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3B7DC" w14:textId="58FAA533" w:rsidR="00477B8F" w:rsidRPr="009118AB" w:rsidRDefault="004E33EF" w:rsidP="00564D02">
      <w:pPr>
        <w:autoSpaceDE w:val="0"/>
        <w:autoSpaceDN w:val="0"/>
        <w:adjustRightInd w:val="0"/>
        <w:ind w:left="708"/>
      </w:pPr>
      <w:r w:rsidRPr="009118AB">
        <w:rPr>
          <w:b/>
          <w:bCs/>
          <w:sz w:val="32"/>
          <w:szCs w:val="32"/>
        </w:rPr>
        <w:t>10</w:t>
      </w:r>
      <w:r w:rsidR="009805E9" w:rsidRPr="009118AB">
        <w:rPr>
          <w:b/>
          <w:bCs/>
          <w:sz w:val="32"/>
          <w:szCs w:val="32"/>
        </w:rPr>
        <w:t>.</w:t>
      </w:r>
      <w:r w:rsidR="00564D02" w:rsidRPr="009118AB">
        <w:rPr>
          <w:b/>
          <w:bCs/>
          <w:sz w:val="32"/>
          <w:szCs w:val="32"/>
        </w:rPr>
        <w:t> </w:t>
      </w:r>
      <w:r w:rsidR="009805E9" w:rsidRPr="009118AB">
        <w:rPr>
          <w:b/>
          <w:bCs/>
          <w:sz w:val="32"/>
          <w:szCs w:val="32"/>
        </w:rPr>
        <w:t>APRIL</w:t>
      </w:r>
      <w:r w:rsidR="00564D02" w:rsidRPr="009118AB">
        <w:rPr>
          <w:b/>
          <w:bCs/>
          <w:sz w:val="32"/>
          <w:szCs w:val="32"/>
        </w:rPr>
        <w:t> </w:t>
      </w:r>
      <w:r w:rsidR="00477B8F" w:rsidRPr="009118AB">
        <w:rPr>
          <w:b/>
          <w:bCs/>
          <w:sz w:val="32"/>
          <w:szCs w:val="32"/>
        </w:rPr>
        <w:t>1992</w:t>
      </w:r>
      <w:r w:rsidR="00D67EB8" w:rsidRPr="009118AB">
        <w:rPr>
          <w:b/>
          <w:bCs/>
          <w:sz w:val="32"/>
          <w:szCs w:val="32"/>
        </w:rPr>
        <w:t> - </w:t>
      </w:r>
      <w:r w:rsidR="00477B8F" w:rsidRPr="009118AB">
        <w:rPr>
          <w:b/>
          <w:bCs/>
          <w:sz w:val="32"/>
          <w:szCs w:val="32"/>
        </w:rPr>
        <w:t>Einkommensteuergesetzbuch 1992</w:t>
      </w:r>
    </w:p>
    <w:p w14:paraId="5C1076CE" w14:textId="5CD1791D" w:rsidR="00477B8F" w:rsidRPr="009118AB" w:rsidRDefault="00477B8F" w:rsidP="00FE6F38">
      <w:pPr>
        <w:autoSpaceDE w:val="0"/>
        <w:autoSpaceDN w:val="0"/>
        <w:adjustRightInd w:val="0"/>
        <w:jc w:val="both"/>
      </w:pPr>
    </w:p>
    <w:p w14:paraId="1E595C1D" w14:textId="77777777" w:rsidR="0055148C" w:rsidRPr="009118AB" w:rsidRDefault="0055148C" w:rsidP="00601019">
      <w:pPr>
        <w:autoSpaceDE w:val="0"/>
        <w:autoSpaceDN w:val="0"/>
        <w:adjustRightInd w:val="0"/>
        <w:ind w:firstLine="709"/>
        <w:jc w:val="both"/>
      </w:pPr>
    </w:p>
    <w:p w14:paraId="7EAAAAC1" w14:textId="1C6D29C9" w:rsidR="00477B8F" w:rsidRPr="009118AB" w:rsidRDefault="00477B8F" w:rsidP="00477B8F">
      <w:pPr>
        <w:autoSpaceDE w:val="0"/>
        <w:autoSpaceDN w:val="0"/>
        <w:adjustRightInd w:val="0"/>
        <w:jc w:val="both"/>
        <w:rPr>
          <w:i/>
          <w:iCs/>
        </w:rPr>
      </w:pPr>
      <w:r w:rsidRPr="009118AB">
        <w:rPr>
          <w:i/>
          <w:iCs/>
        </w:rPr>
        <w:t>Im Belgischen Staatsblatt vom 8. Dezember 2005</w:t>
      </w:r>
      <w:r w:rsidR="00003A2A" w:rsidRPr="009118AB">
        <w:rPr>
          <w:i/>
          <w:iCs/>
        </w:rPr>
        <w:t xml:space="preserve"> </w:t>
      </w:r>
      <w:r w:rsidRPr="009118AB">
        <w:rPr>
          <w:i/>
          <w:iCs/>
        </w:rPr>
        <w:t>ist die deutsche Übersetzung dieses</w:t>
      </w:r>
      <w:r w:rsidR="00003A2A" w:rsidRPr="009118AB">
        <w:rPr>
          <w:i/>
          <w:iCs/>
        </w:rPr>
        <w:t xml:space="preserve"> </w:t>
      </w:r>
      <w:r w:rsidRPr="009118AB">
        <w:rPr>
          <w:i/>
          <w:iCs/>
        </w:rPr>
        <w:t>Gesetzbuches, so wie es auf das Steuerjahr 2005 anwendbar ist</w:t>
      </w:r>
      <w:r w:rsidR="00D67EB8" w:rsidRPr="009118AB">
        <w:rPr>
          <w:i/>
          <w:iCs/>
        </w:rPr>
        <w:t> - </w:t>
      </w:r>
      <w:r w:rsidRPr="009118AB">
        <w:rPr>
          <w:i/>
          <w:iCs/>
        </w:rPr>
        <w:t>was die Bestimmungen betrifft, die bis zum 31. Dezember 2004 im Belgischen Staatsblatt veröffentlicht worden sind</w:t>
      </w:r>
      <w:r w:rsidR="00FD68E8" w:rsidRPr="009118AB">
        <w:rPr>
          <w:i/>
          <w:iCs/>
        </w:rPr>
        <w:t> -,</w:t>
      </w:r>
      <w:r w:rsidRPr="009118AB">
        <w:rPr>
          <w:i/>
          <w:iCs/>
        </w:rPr>
        <w:t xml:space="preserve"> als inoffizielle </w:t>
      </w:r>
      <w:r w:rsidR="002B1D7D" w:rsidRPr="009118AB">
        <w:rPr>
          <w:i/>
          <w:iCs/>
        </w:rPr>
        <w:t>K</w:t>
      </w:r>
      <w:r w:rsidRPr="009118AB">
        <w:rPr>
          <w:i/>
          <w:iCs/>
        </w:rPr>
        <w:t xml:space="preserve">oordinierung veröffentlicht worden. Die vorliegende </w:t>
      </w:r>
      <w:r w:rsidR="00F36AB8" w:rsidRPr="009118AB">
        <w:rPr>
          <w:i/>
          <w:iCs/>
        </w:rPr>
        <w:t>Konsolidierung</w:t>
      </w:r>
      <w:r w:rsidRPr="009118AB">
        <w:rPr>
          <w:i/>
          <w:iCs/>
        </w:rPr>
        <w:t xml:space="preserve"> enthält darüber hinaus alle Abänderungen, die bis zum </w:t>
      </w:r>
      <w:r w:rsidR="00970435">
        <w:rPr>
          <w:i/>
          <w:iCs/>
        </w:rPr>
        <w:t>8</w:t>
      </w:r>
      <w:r w:rsidR="002A4F74" w:rsidRPr="009118AB">
        <w:rPr>
          <w:i/>
          <w:iCs/>
        </w:rPr>
        <w:t>. </w:t>
      </w:r>
      <w:r w:rsidR="00970435">
        <w:rPr>
          <w:i/>
          <w:iCs/>
        </w:rPr>
        <w:t>Februa</w:t>
      </w:r>
      <w:r w:rsidR="006D5F18" w:rsidRPr="009118AB">
        <w:rPr>
          <w:i/>
          <w:iCs/>
        </w:rPr>
        <w:t>r</w:t>
      </w:r>
      <w:r w:rsidR="002A4F74" w:rsidRPr="009118AB">
        <w:rPr>
          <w:i/>
          <w:iCs/>
        </w:rPr>
        <w:t> 202</w:t>
      </w:r>
      <w:r w:rsidR="00970435">
        <w:rPr>
          <w:i/>
          <w:iCs/>
        </w:rPr>
        <w:t>4</w:t>
      </w:r>
      <w:r w:rsidRPr="009118AB">
        <w:rPr>
          <w:i/>
          <w:iCs/>
        </w:rPr>
        <w:t xml:space="preserve"> im Belgischen Staatsblatt veröffentlicht worden sind. Folgende abändernde Rechtsvorschriften sind berücksichtigt worden:</w:t>
      </w:r>
    </w:p>
    <w:p w14:paraId="746599DB" w14:textId="77777777" w:rsidR="00477B8F" w:rsidRPr="009118AB" w:rsidRDefault="00477B8F" w:rsidP="00477B8F">
      <w:pPr>
        <w:autoSpaceDE w:val="0"/>
        <w:autoSpaceDN w:val="0"/>
        <w:adjustRightInd w:val="0"/>
        <w:jc w:val="both"/>
      </w:pPr>
    </w:p>
    <w:p w14:paraId="78CC6E8D" w14:textId="7D7A9F38" w:rsidR="00477B8F" w:rsidRPr="009118AB" w:rsidRDefault="00477B8F" w:rsidP="00477B8F">
      <w:pPr>
        <w:autoSpaceDE w:val="0"/>
        <w:autoSpaceDN w:val="0"/>
        <w:adjustRightInd w:val="0"/>
        <w:jc w:val="both"/>
      </w:pPr>
      <w:r w:rsidRPr="009118AB">
        <w:t>-</w:t>
      </w:r>
      <w:r w:rsidR="00970435">
        <w:t> </w:t>
      </w:r>
      <w:r w:rsidRPr="009118AB">
        <w:t>das Gesetz vom 21. März 1991 zur Umstrukturierung bestimmter öffentlicher Wirtschaftsunternehmen,</w:t>
      </w:r>
    </w:p>
    <w:p w14:paraId="55BA0B23" w14:textId="77777777" w:rsidR="00477B8F" w:rsidRPr="009118AB" w:rsidRDefault="00477B8F" w:rsidP="00477B8F">
      <w:pPr>
        <w:autoSpaceDE w:val="0"/>
        <w:autoSpaceDN w:val="0"/>
        <w:adjustRightInd w:val="0"/>
        <w:jc w:val="both"/>
      </w:pPr>
    </w:p>
    <w:p w14:paraId="5D4A178D" w14:textId="52140556" w:rsidR="00477B8F" w:rsidRPr="009118AB" w:rsidRDefault="00477B8F" w:rsidP="00477B8F">
      <w:pPr>
        <w:autoSpaceDE w:val="0"/>
        <w:autoSpaceDN w:val="0"/>
        <w:adjustRightInd w:val="0"/>
        <w:jc w:val="both"/>
      </w:pPr>
      <w:r w:rsidRPr="009118AB">
        <w:t>-</w:t>
      </w:r>
      <w:r w:rsidR="00970435">
        <w:t> </w:t>
      </w:r>
      <w:r w:rsidRPr="009118AB">
        <w:t>das Gesetz vom 17. Juni 1991 zur Organisation des öffentlichen Kreditsektors und des Besitzes der Beteiligungen des öffentlichen Sektors an bestimmten privatrechtlichen Finanzgesellschaften,</w:t>
      </w:r>
    </w:p>
    <w:p w14:paraId="7E767441" w14:textId="77777777" w:rsidR="00477B8F" w:rsidRPr="009118AB" w:rsidRDefault="00477B8F" w:rsidP="00477B8F">
      <w:pPr>
        <w:autoSpaceDE w:val="0"/>
        <w:autoSpaceDN w:val="0"/>
        <w:adjustRightInd w:val="0"/>
        <w:jc w:val="both"/>
      </w:pPr>
    </w:p>
    <w:p w14:paraId="2156E15E" w14:textId="383160B3" w:rsidR="00477B8F" w:rsidRPr="009118AB" w:rsidRDefault="00477B8F" w:rsidP="00477B8F">
      <w:pPr>
        <w:autoSpaceDE w:val="0"/>
        <w:autoSpaceDN w:val="0"/>
        <w:adjustRightInd w:val="0"/>
        <w:jc w:val="both"/>
      </w:pPr>
      <w:r w:rsidRPr="009118AB">
        <w:t>-</w:t>
      </w:r>
      <w:r w:rsidR="00970435">
        <w:t> </w:t>
      </w:r>
      <w:r w:rsidRPr="009118AB">
        <w:t>das Gesetz vom 28. Juli 1992 zur Festlegung steuerrechtlicher und finanzieller Bestimmungen,</w:t>
      </w:r>
    </w:p>
    <w:p w14:paraId="1D10A173" w14:textId="77777777" w:rsidR="00477B8F" w:rsidRPr="009118AB" w:rsidRDefault="00477B8F" w:rsidP="00477B8F">
      <w:pPr>
        <w:autoSpaceDE w:val="0"/>
        <w:autoSpaceDN w:val="0"/>
        <w:adjustRightInd w:val="0"/>
        <w:jc w:val="both"/>
      </w:pPr>
    </w:p>
    <w:p w14:paraId="220E8B80" w14:textId="5988BE9F" w:rsidR="00477B8F" w:rsidRPr="009118AB" w:rsidRDefault="00477B8F" w:rsidP="00477B8F">
      <w:pPr>
        <w:autoSpaceDE w:val="0"/>
        <w:autoSpaceDN w:val="0"/>
        <w:adjustRightInd w:val="0"/>
        <w:jc w:val="both"/>
      </w:pPr>
      <w:r w:rsidRPr="009118AB">
        <w:t>-</w:t>
      </w:r>
      <w:r w:rsidR="00970435">
        <w:t> </w:t>
      </w:r>
      <w:r w:rsidRPr="009118AB">
        <w:t>das Gesetz vom 28. Dezember 1992 zur Festlegung steuerrechtlicher, finanzieller und sonstiger Bestimmungen,</w:t>
      </w:r>
    </w:p>
    <w:p w14:paraId="230A755C" w14:textId="77777777" w:rsidR="00477B8F" w:rsidRPr="009118AB" w:rsidRDefault="00477B8F" w:rsidP="00477B8F">
      <w:pPr>
        <w:autoSpaceDE w:val="0"/>
        <w:autoSpaceDN w:val="0"/>
        <w:adjustRightInd w:val="0"/>
        <w:jc w:val="both"/>
      </w:pPr>
    </w:p>
    <w:p w14:paraId="63450550" w14:textId="6BA84E0A" w:rsidR="00477B8F" w:rsidRPr="009118AB" w:rsidRDefault="00477B8F" w:rsidP="00477B8F">
      <w:pPr>
        <w:autoSpaceDE w:val="0"/>
        <w:autoSpaceDN w:val="0"/>
        <w:adjustRightInd w:val="0"/>
        <w:jc w:val="both"/>
      </w:pPr>
      <w:r w:rsidRPr="009118AB">
        <w:t>-</w:t>
      </w:r>
      <w:r w:rsidR="00970435">
        <w:t> </w:t>
      </w:r>
      <w:r w:rsidRPr="009118AB">
        <w:t>das Gesetz vom 22. März 1993 über den Status und die Kontrolle der Kreditinstitute,</w:t>
      </w:r>
    </w:p>
    <w:p w14:paraId="69E9C56C" w14:textId="77777777" w:rsidR="00477B8F" w:rsidRPr="009118AB" w:rsidRDefault="00477B8F" w:rsidP="00477B8F">
      <w:pPr>
        <w:autoSpaceDE w:val="0"/>
        <w:autoSpaceDN w:val="0"/>
        <w:adjustRightInd w:val="0"/>
        <w:jc w:val="both"/>
      </w:pPr>
    </w:p>
    <w:p w14:paraId="4847A7A3" w14:textId="0C437B54" w:rsidR="00477B8F" w:rsidRPr="009118AB" w:rsidRDefault="00477B8F" w:rsidP="00477B8F">
      <w:pPr>
        <w:autoSpaceDE w:val="0"/>
        <w:autoSpaceDN w:val="0"/>
        <w:adjustRightInd w:val="0"/>
        <w:jc w:val="both"/>
      </w:pPr>
      <w:r w:rsidRPr="009118AB">
        <w:t>-</w:t>
      </w:r>
      <w:r w:rsidR="00970435">
        <w:t> </w:t>
      </w:r>
      <w:r w:rsidRPr="009118AB">
        <w:t xml:space="preserve">das Gesetz vom 18. Juni 1993 zur Abänderung des Gesetzes vom 4. Juli 1989 über die Einschränkung und Kontrolle der Wahlausgaben und über die Finanzierung und die offene Buchführung der politischen Parteien </w:t>
      </w:r>
      <w:r w:rsidRPr="009118AB">
        <w:rPr>
          <w:i/>
          <w:iCs/>
        </w:rPr>
        <w:t>(offizielle deutsche Übersetzung: Belgisches Staatsblatt vom 12. März 1999)</w:t>
      </w:r>
      <w:r w:rsidRPr="009118AB">
        <w:t>,</w:t>
      </w:r>
    </w:p>
    <w:p w14:paraId="7FF6E52A" w14:textId="77777777" w:rsidR="00477B8F" w:rsidRPr="009118AB" w:rsidRDefault="00477B8F" w:rsidP="00477B8F">
      <w:pPr>
        <w:autoSpaceDE w:val="0"/>
        <w:autoSpaceDN w:val="0"/>
        <w:adjustRightInd w:val="0"/>
        <w:jc w:val="both"/>
      </w:pPr>
    </w:p>
    <w:p w14:paraId="3DC26B01" w14:textId="6A622CB2" w:rsidR="00477B8F" w:rsidRPr="009118AB" w:rsidRDefault="00477B8F" w:rsidP="00477B8F">
      <w:pPr>
        <w:autoSpaceDE w:val="0"/>
        <w:autoSpaceDN w:val="0"/>
        <w:adjustRightInd w:val="0"/>
        <w:jc w:val="both"/>
      </w:pPr>
      <w:r w:rsidRPr="009118AB">
        <w:t>-</w:t>
      </w:r>
      <w:r w:rsidR="00970435">
        <w:t> </w:t>
      </w:r>
      <w:r w:rsidRPr="009118AB">
        <w:t>das Gesetz vom 22. Juli 1993 zur Festlegung steuerrechtlicher und finanzieller Bestimmungen,</w:t>
      </w:r>
    </w:p>
    <w:p w14:paraId="668FCAD2" w14:textId="77777777" w:rsidR="00477B8F" w:rsidRPr="009118AB" w:rsidRDefault="00477B8F" w:rsidP="00477B8F">
      <w:pPr>
        <w:autoSpaceDE w:val="0"/>
        <w:autoSpaceDN w:val="0"/>
        <w:adjustRightInd w:val="0"/>
        <w:jc w:val="both"/>
      </w:pPr>
    </w:p>
    <w:p w14:paraId="3564C2BD" w14:textId="54E13467" w:rsidR="00477B8F" w:rsidRPr="009118AB" w:rsidRDefault="00477B8F" w:rsidP="00477B8F">
      <w:pPr>
        <w:autoSpaceDE w:val="0"/>
        <w:autoSpaceDN w:val="0"/>
        <w:adjustRightInd w:val="0"/>
        <w:jc w:val="both"/>
      </w:pPr>
      <w:r w:rsidRPr="009118AB">
        <w:t>-</w:t>
      </w:r>
      <w:r w:rsidR="00970435">
        <w:t> </w:t>
      </w:r>
      <w:r w:rsidRPr="009118AB">
        <w:t>das Gesetz vom 6. August 1993</w:t>
      </w:r>
      <w:r w:rsidR="00970435">
        <w:t xml:space="preserve"> </w:t>
      </w:r>
      <w:r w:rsidRPr="009118AB">
        <w:t>über Geschäfte mit bestimmten Wertpapieren</w:t>
      </w:r>
      <w:r w:rsidR="00E84115" w:rsidRPr="009118AB">
        <w:t xml:space="preserve"> </w:t>
      </w:r>
      <w:r w:rsidR="00E84115" w:rsidRPr="009118AB">
        <w:rPr>
          <w:i/>
        </w:rPr>
        <w:t>(I)</w:t>
      </w:r>
      <w:r w:rsidRPr="009118AB">
        <w:t>,</w:t>
      </w:r>
    </w:p>
    <w:p w14:paraId="758FAE70" w14:textId="77777777" w:rsidR="00477B8F" w:rsidRPr="009118AB" w:rsidRDefault="00477B8F" w:rsidP="00477B8F">
      <w:pPr>
        <w:autoSpaceDE w:val="0"/>
        <w:autoSpaceDN w:val="0"/>
        <w:adjustRightInd w:val="0"/>
        <w:jc w:val="both"/>
      </w:pPr>
    </w:p>
    <w:p w14:paraId="24240077" w14:textId="75EE10F2" w:rsidR="00477B8F" w:rsidRPr="009118AB" w:rsidRDefault="00477B8F" w:rsidP="00477B8F">
      <w:pPr>
        <w:autoSpaceDE w:val="0"/>
        <w:autoSpaceDN w:val="0"/>
        <w:adjustRightInd w:val="0"/>
        <w:jc w:val="both"/>
      </w:pPr>
      <w:r w:rsidRPr="009118AB">
        <w:t>-</w:t>
      </w:r>
      <w:r w:rsidR="00970435">
        <w:t> </w:t>
      </w:r>
      <w:r w:rsidRPr="009118AB">
        <w:t>das Gesetz vom 6. August 1993</w:t>
      </w:r>
      <w:r w:rsidR="00970435">
        <w:t xml:space="preserve"> </w:t>
      </w:r>
      <w:r w:rsidRPr="009118AB">
        <w:t>zur Festlegung steuerrechtlicher Bestimmungen in Bezug auf Fusion und Aufspaltung von Gesellschaften</w:t>
      </w:r>
      <w:r w:rsidR="00E84115" w:rsidRPr="009118AB">
        <w:t xml:space="preserve"> </w:t>
      </w:r>
      <w:r w:rsidR="00E84115" w:rsidRPr="009118AB">
        <w:rPr>
          <w:i/>
        </w:rPr>
        <w:t>(II)</w:t>
      </w:r>
      <w:r w:rsidRPr="009118AB">
        <w:t>,</w:t>
      </w:r>
    </w:p>
    <w:p w14:paraId="14329FCA" w14:textId="77777777" w:rsidR="00477B8F" w:rsidRPr="009118AB" w:rsidRDefault="00477B8F" w:rsidP="00477B8F">
      <w:pPr>
        <w:autoSpaceDE w:val="0"/>
        <w:autoSpaceDN w:val="0"/>
        <w:adjustRightInd w:val="0"/>
        <w:jc w:val="both"/>
      </w:pPr>
    </w:p>
    <w:p w14:paraId="7528B197" w14:textId="298998F9" w:rsidR="00477B8F" w:rsidRPr="009118AB" w:rsidRDefault="00477B8F" w:rsidP="00477B8F">
      <w:pPr>
        <w:autoSpaceDE w:val="0"/>
        <w:autoSpaceDN w:val="0"/>
        <w:adjustRightInd w:val="0"/>
        <w:jc w:val="both"/>
      </w:pPr>
      <w:r w:rsidRPr="009118AB">
        <w:t>-</w:t>
      </w:r>
      <w:r w:rsidR="00970435">
        <w:t> </w:t>
      </w:r>
      <w:r w:rsidRPr="009118AB">
        <w:t>das Gesetz vom 6. August 1993</w:t>
      </w:r>
      <w:r w:rsidR="00970435">
        <w:t xml:space="preserve"> </w:t>
      </w:r>
      <w:r w:rsidRPr="009118AB">
        <w:t>zur Abänderung des Einkommensteuergesetzbuches, was freiwillige Feuerwehrleute betrifft</w:t>
      </w:r>
      <w:r w:rsidR="00E84115" w:rsidRPr="009118AB">
        <w:t xml:space="preserve"> </w:t>
      </w:r>
      <w:r w:rsidR="00E84115" w:rsidRPr="009118AB">
        <w:rPr>
          <w:i/>
        </w:rPr>
        <w:t>(III)</w:t>
      </w:r>
      <w:r w:rsidRPr="009118AB">
        <w:t>,</w:t>
      </w:r>
    </w:p>
    <w:p w14:paraId="3531EA50" w14:textId="77777777" w:rsidR="00477B8F" w:rsidRPr="009118AB" w:rsidRDefault="00477B8F" w:rsidP="00477B8F">
      <w:pPr>
        <w:autoSpaceDE w:val="0"/>
        <w:autoSpaceDN w:val="0"/>
        <w:adjustRightInd w:val="0"/>
        <w:jc w:val="both"/>
      </w:pPr>
    </w:p>
    <w:p w14:paraId="56F6CDA9" w14:textId="06E24566" w:rsidR="00477B8F" w:rsidRPr="009118AB" w:rsidRDefault="00477B8F" w:rsidP="00477B8F">
      <w:pPr>
        <w:autoSpaceDE w:val="0"/>
        <w:autoSpaceDN w:val="0"/>
        <w:adjustRightInd w:val="0"/>
        <w:jc w:val="both"/>
      </w:pPr>
      <w:r w:rsidRPr="009118AB">
        <w:t>-</w:t>
      </w:r>
      <w:r w:rsidR="00970435">
        <w:t> </w:t>
      </w:r>
      <w:r w:rsidRPr="009118AB">
        <w:t>das Programmgesetz vom 24. Dezember 1993,</w:t>
      </w:r>
    </w:p>
    <w:p w14:paraId="553CBAFD" w14:textId="77777777" w:rsidR="00477B8F" w:rsidRPr="009118AB" w:rsidRDefault="00477B8F" w:rsidP="00477B8F">
      <w:pPr>
        <w:autoSpaceDE w:val="0"/>
        <w:autoSpaceDN w:val="0"/>
        <w:adjustRightInd w:val="0"/>
        <w:jc w:val="both"/>
      </w:pPr>
    </w:p>
    <w:p w14:paraId="15DE59A6" w14:textId="0D5AF46A" w:rsidR="00477B8F" w:rsidRPr="009118AB" w:rsidRDefault="00477B8F" w:rsidP="00477B8F">
      <w:pPr>
        <w:autoSpaceDE w:val="0"/>
        <w:autoSpaceDN w:val="0"/>
        <w:adjustRightInd w:val="0"/>
        <w:jc w:val="both"/>
      </w:pPr>
      <w:r w:rsidRPr="009118AB">
        <w:t>-</w:t>
      </w:r>
      <w:r w:rsidR="00970435">
        <w:t> </w:t>
      </w:r>
      <w:r w:rsidRPr="009118AB">
        <w:t>das Gesetz vom 27. Dezember 1993 zur Abänderung des Gesetzes vom 17. Juni 1991 zur Organisation des öffentlichen Kreditsektors und des Besitzes der Beteiligungen des öffentlichen Sektors an bestimmten privatrechtlichen Finanzgesellschaften und zur Abänderung des Einkommensteuergesetzbuches 1992, des Gesetzbuches der der Stempelsteuer gleichgesetzten Steuern und zur Abänderung der Satzung der Nationalen Industriekreditgesellschaft,</w:t>
      </w:r>
    </w:p>
    <w:p w14:paraId="0E21F1B3" w14:textId="77777777" w:rsidR="00BF252D" w:rsidRPr="009118AB" w:rsidRDefault="00BF252D" w:rsidP="00477B8F">
      <w:pPr>
        <w:autoSpaceDE w:val="0"/>
        <w:autoSpaceDN w:val="0"/>
        <w:adjustRightInd w:val="0"/>
        <w:jc w:val="both"/>
      </w:pPr>
    </w:p>
    <w:p w14:paraId="474222F0" w14:textId="747642B2" w:rsidR="00477B8F" w:rsidRPr="009118AB" w:rsidRDefault="00477B8F" w:rsidP="009C622A">
      <w:pPr>
        <w:autoSpaceDE w:val="0"/>
        <w:autoSpaceDN w:val="0"/>
        <w:adjustRightInd w:val="0"/>
        <w:jc w:val="both"/>
      </w:pPr>
      <w:r w:rsidRPr="009118AB">
        <w:t>-</w:t>
      </w:r>
      <w:r w:rsidR="00970435">
        <w:t> </w:t>
      </w:r>
      <w:r w:rsidRPr="009118AB">
        <w:t>das Gesetz vom 30. März 1994 zur Ausführung des Globalplans im Bereich des Steuerwesens,</w:t>
      </w:r>
    </w:p>
    <w:p w14:paraId="4F4332E5" w14:textId="77777777" w:rsidR="00477B8F" w:rsidRPr="009118AB" w:rsidRDefault="00477B8F" w:rsidP="00477B8F">
      <w:pPr>
        <w:autoSpaceDE w:val="0"/>
        <w:autoSpaceDN w:val="0"/>
        <w:adjustRightInd w:val="0"/>
        <w:jc w:val="both"/>
      </w:pPr>
    </w:p>
    <w:p w14:paraId="60044FA2" w14:textId="56BF6655" w:rsidR="00477B8F" w:rsidRPr="009118AB" w:rsidRDefault="00477B8F" w:rsidP="00477B8F">
      <w:pPr>
        <w:autoSpaceDE w:val="0"/>
        <w:autoSpaceDN w:val="0"/>
        <w:adjustRightInd w:val="0"/>
        <w:jc w:val="both"/>
      </w:pPr>
      <w:r w:rsidRPr="009118AB">
        <w:t>-</w:t>
      </w:r>
      <w:r w:rsidR="00970435">
        <w:t> </w:t>
      </w:r>
      <w:r w:rsidRPr="009118AB">
        <w:t>das Gesetz vom 5. Juli 1994 zur Abänderung des Einkommensteuergesetzbuches 1992, was die Festlegung der Steuer der natürlichen Personen betrifft,</w:t>
      </w:r>
    </w:p>
    <w:p w14:paraId="206FEEE4" w14:textId="77777777" w:rsidR="00477B8F" w:rsidRPr="009118AB" w:rsidRDefault="00477B8F" w:rsidP="00477B8F">
      <w:pPr>
        <w:autoSpaceDE w:val="0"/>
        <w:autoSpaceDN w:val="0"/>
        <w:adjustRightInd w:val="0"/>
        <w:jc w:val="both"/>
      </w:pPr>
    </w:p>
    <w:p w14:paraId="012C7008" w14:textId="30B4588F" w:rsidR="00477B8F" w:rsidRPr="009118AB" w:rsidRDefault="00477B8F" w:rsidP="00477B8F">
      <w:pPr>
        <w:autoSpaceDE w:val="0"/>
        <w:autoSpaceDN w:val="0"/>
        <w:adjustRightInd w:val="0"/>
        <w:jc w:val="both"/>
      </w:pPr>
      <w:r w:rsidRPr="009118AB">
        <w:t>-</w:t>
      </w:r>
      <w:r w:rsidR="00970435">
        <w:t> </w:t>
      </w:r>
      <w:r w:rsidRPr="009118AB">
        <w:t>das Gesetz vom 6. Juli 1994 zur Festlegung steuerrechtlicher Bestimmungen,</w:t>
      </w:r>
    </w:p>
    <w:p w14:paraId="20D29629" w14:textId="77777777" w:rsidR="00477B8F" w:rsidRPr="009118AB" w:rsidRDefault="00477B8F" w:rsidP="00477B8F">
      <w:pPr>
        <w:autoSpaceDE w:val="0"/>
        <w:autoSpaceDN w:val="0"/>
        <w:adjustRightInd w:val="0"/>
        <w:jc w:val="both"/>
      </w:pPr>
    </w:p>
    <w:p w14:paraId="49D75FAA" w14:textId="1869522B" w:rsidR="00477B8F" w:rsidRPr="009118AB" w:rsidRDefault="00477B8F" w:rsidP="00477B8F">
      <w:pPr>
        <w:autoSpaceDE w:val="0"/>
        <w:autoSpaceDN w:val="0"/>
        <w:adjustRightInd w:val="0"/>
        <w:jc w:val="both"/>
      </w:pPr>
      <w:r w:rsidRPr="009118AB">
        <w:t>-</w:t>
      </w:r>
      <w:r w:rsidR="00970435">
        <w:t> </w:t>
      </w:r>
      <w:r w:rsidRPr="009118AB">
        <w:t>das Gesetz vom 21. Dezember 1994 zur Festlegung sozialer und sonstiger Bestimmungen,</w:t>
      </w:r>
    </w:p>
    <w:p w14:paraId="667DC7A6" w14:textId="77777777" w:rsidR="00477B8F" w:rsidRPr="009118AB" w:rsidRDefault="00477B8F" w:rsidP="00477B8F">
      <w:pPr>
        <w:autoSpaceDE w:val="0"/>
        <w:autoSpaceDN w:val="0"/>
        <w:adjustRightInd w:val="0"/>
        <w:jc w:val="both"/>
      </w:pPr>
    </w:p>
    <w:p w14:paraId="02610705" w14:textId="653F66EA" w:rsidR="00477B8F" w:rsidRPr="009118AB" w:rsidRDefault="00477B8F" w:rsidP="00477B8F">
      <w:pPr>
        <w:autoSpaceDE w:val="0"/>
        <w:autoSpaceDN w:val="0"/>
        <w:adjustRightInd w:val="0"/>
        <w:jc w:val="both"/>
      </w:pPr>
      <w:r w:rsidRPr="009118AB">
        <w:t>-</w:t>
      </w:r>
      <w:r w:rsidR="00970435">
        <w:t> </w:t>
      </w:r>
      <w:r w:rsidRPr="009118AB">
        <w:t>das Gesetz vom 22. Februar 1995 zur Abänderung der Artikel 104 und 110 des Einkommensteuergesetzbuches 1992,</w:t>
      </w:r>
    </w:p>
    <w:p w14:paraId="5F570AE1" w14:textId="77777777" w:rsidR="00477B8F" w:rsidRPr="009118AB" w:rsidRDefault="00477B8F" w:rsidP="00477B8F">
      <w:pPr>
        <w:autoSpaceDE w:val="0"/>
        <w:autoSpaceDN w:val="0"/>
        <w:adjustRightInd w:val="0"/>
        <w:jc w:val="both"/>
      </w:pPr>
    </w:p>
    <w:p w14:paraId="29493F32" w14:textId="7F974C4D" w:rsidR="00477B8F" w:rsidRPr="009118AB" w:rsidRDefault="00477B8F" w:rsidP="00477B8F">
      <w:pPr>
        <w:autoSpaceDE w:val="0"/>
        <w:autoSpaceDN w:val="0"/>
        <w:adjustRightInd w:val="0"/>
        <w:jc w:val="both"/>
      </w:pPr>
      <w:r w:rsidRPr="009118AB">
        <w:t>-</w:t>
      </w:r>
      <w:r w:rsidR="00970435">
        <w:t> </w:t>
      </w:r>
      <w:r w:rsidRPr="009118AB">
        <w:t>das Gesetz vom 22. März 1995 zur Bestätigung des Abkommens vom 1. Juni 1994 zwischen der Föderalregierung, der Flämischen Regierung, der Wallonischen Regionalregierung und der Regierung der Region Brüssel</w:t>
      </w:r>
      <w:r w:rsidRPr="009118AB">
        <w:noBreakHyphen/>
        <w:t>Hauptstadt über die Begleichung von Altschulden und diesbezüglichen Lasten in Bezug auf den sozialen Wohnungsbau und zur Festlegung bestimmter steuerrechtlicher und finanzieller Bestimmungen im Hinblick auf die Anwendung des vorerwähnten Abkommens,</w:t>
      </w:r>
    </w:p>
    <w:p w14:paraId="7A0A2964" w14:textId="77777777" w:rsidR="00477B8F" w:rsidRPr="009118AB" w:rsidRDefault="00477B8F" w:rsidP="00477B8F">
      <w:pPr>
        <w:autoSpaceDE w:val="0"/>
        <w:autoSpaceDN w:val="0"/>
        <w:adjustRightInd w:val="0"/>
        <w:jc w:val="both"/>
      </w:pPr>
    </w:p>
    <w:p w14:paraId="72E2E56D" w14:textId="2D4EF370" w:rsidR="00477B8F" w:rsidRPr="009118AB" w:rsidRDefault="00477B8F" w:rsidP="00477B8F">
      <w:pPr>
        <w:autoSpaceDE w:val="0"/>
        <w:autoSpaceDN w:val="0"/>
        <w:adjustRightInd w:val="0"/>
        <w:jc w:val="both"/>
      </w:pPr>
      <w:r w:rsidRPr="009118AB">
        <w:t>-</w:t>
      </w:r>
      <w:r w:rsidR="00970435">
        <w:t> </w:t>
      </w:r>
      <w:r w:rsidRPr="009118AB">
        <w:t>das Gesetz vom 4. April 1995 zur Festlegung steuerrechtlicher und finanzieller Bestimmungen,</w:t>
      </w:r>
    </w:p>
    <w:p w14:paraId="0588696F" w14:textId="77777777" w:rsidR="00477B8F" w:rsidRPr="009118AB" w:rsidRDefault="00477B8F" w:rsidP="00477B8F">
      <w:pPr>
        <w:autoSpaceDE w:val="0"/>
        <w:autoSpaceDN w:val="0"/>
        <w:adjustRightInd w:val="0"/>
        <w:jc w:val="both"/>
      </w:pPr>
    </w:p>
    <w:p w14:paraId="5D416AEA" w14:textId="0115F718" w:rsidR="00477B8F" w:rsidRPr="009118AB" w:rsidRDefault="00477B8F" w:rsidP="00477B8F">
      <w:pPr>
        <w:autoSpaceDE w:val="0"/>
        <w:autoSpaceDN w:val="0"/>
        <w:adjustRightInd w:val="0"/>
        <w:jc w:val="both"/>
      </w:pPr>
      <w:r w:rsidRPr="009118AB">
        <w:t>-</w:t>
      </w:r>
      <w:r w:rsidR="00970435">
        <w:t> </w:t>
      </w:r>
      <w:r w:rsidRPr="009118AB">
        <w:t xml:space="preserve">das Gesetz vom 6. April 1995 zur Abänderung von Artikel 7 </w:t>
      </w:r>
      <w:r w:rsidR="00D67EB8" w:rsidRPr="009118AB">
        <w:t>§ </w:t>
      </w:r>
      <w:r w:rsidRPr="009118AB">
        <w:t xml:space="preserve">1 </w:t>
      </w:r>
      <w:r w:rsidR="00D67EB8" w:rsidRPr="009118AB">
        <w:t>Nr. </w:t>
      </w:r>
      <w:r w:rsidRPr="009118AB">
        <w:t>2 des Einkommensteuergesetzbuches 1992,</w:t>
      </w:r>
    </w:p>
    <w:p w14:paraId="31AF7790" w14:textId="77777777" w:rsidR="00477B8F" w:rsidRPr="009118AB" w:rsidRDefault="00477B8F" w:rsidP="00477B8F">
      <w:pPr>
        <w:autoSpaceDE w:val="0"/>
        <w:autoSpaceDN w:val="0"/>
        <w:adjustRightInd w:val="0"/>
        <w:jc w:val="both"/>
      </w:pPr>
    </w:p>
    <w:p w14:paraId="338AA003" w14:textId="3612B8A4" w:rsidR="00477B8F" w:rsidRPr="009118AB" w:rsidRDefault="00477B8F" w:rsidP="00477B8F">
      <w:pPr>
        <w:autoSpaceDE w:val="0"/>
        <w:autoSpaceDN w:val="0"/>
        <w:adjustRightInd w:val="0"/>
        <w:jc w:val="both"/>
      </w:pPr>
      <w:r w:rsidRPr="009118AB">
        <w:t>-</w:t>
      </w:r>
      <w:r w:rsidR="00970435">
        <w:t> </w:t>
      </w:r>
      <w:r w:rsidRPr="009118AB">
        <w:t>das Gesetz vom 7. April 1995 über den steuerrechtlichen Status der Mitglieder der Abgeordnetenkammer, des Senats, der Gemeinschafts- und Regionalräte und des Europäischen Parlaments,</w:t>
      </w:r>
    </w:p>
    <w:p w14:paraId="68295E9E" w14:textId="77777777" w:rsidR="00477B8F" w:rsidRPr="009118AB" w:rsidRDefault="00477B8F" w:rsidP="00477B8F">
      <w:pPr>
        <w:autoSpaceDE w:val="0"/>
        <w:autoSpaceDN w:val="0"/>
        <w:adjustRightInd w:val="0"/>
        <w:jc w:val="both"/>
      </w:pPr>
    </w:p>
    <w:p w14:paraId="161FB0D6" w14:textId="11548F3D" w:rsidR="00477B8F" w:rsidRPr="009118AB" w:rsidRDefault="00477B8F" w:rsidP="00477B8F">
      <w:pPr>
        <w:autoSpaceDE w:val="0"/>
        <w:autoSpaceDN w:val="0"/>
        <w:adjustRightInd w:val="0"/>
        <w:jc w:val="both"/>
      </w:pPr>
      <w:r w:rsidRPr="009118AB">
        <w:t>-</w:t>
      </w:r>
      <w:r w:rsidR="00970435">
        <w:t> </w:t>
      </w:r>
      <w:r w:rsidRPr="009118AB">
        <w:t>das Gesetz vom 12. April 1995 zur Abänderung von Artikel 15 des Einkommensteuergesetzbuches 1992,</w:t>
      </w:r>
    </w:p>
    <w:p w14:paraId="58CFC8A0" w14:textId="77777777" w:rsidR="00477B8F" w:rsidRPr="009118AB" w:rsidRDefault="00477B8F" w:rsidP="00477B8F">
      <w:pPr>
        <w:autoSpaceDE w:val="0"/>
        <w:autoSpaceDN w:val="0"/>
        <w:adjustRightInd w:val="0"/>
        <w:jc w:val="both"/>
      </w:pPr>
    </w:p>
    <w:p w14:paraId="36507585" w14:textId="6D9EB6B9" w:rsidR="00477B8F" w:rsidRPr="009118AB" w:rsidRDefault="00477B8F" w:rsidP="00477B8F">
      <w:pPr>
        <w:autoSpaceDE w:val="0"/>
        <w:autoSpaceDN w:val="0"/>
        <w:adjustRightInd w:val="0"/>
        <w:jc w:val="both"/>
      </w:pPr>
      <w:r w:rsidRPr="009118AB">
        <w:t>-</w:t>
      </w:r>
      <w:r w:rsidR="00970435">
        <w:t> </w:t>
      </w:r>
      <w:r w:rsidRPr="009118AB">
        <w:t>das Gesetz vom 20. Dezember 1995 zur Festlegung steuerrechtlicher, finanzieller und sonstiger Bestimmungen,</w:t>
      </w:r>
    </w:p>
    <w:p w14:paraId="47B94F86" w14:textId="77777777" w:rsidR="00477B8F" w:rsidRPr="009118AB" w:rsidRDefault="00477B8F" w:rsidP="00477B8F">
      <w:pPr>
        <w:autoSpaceDE w:val="0"/>
        <w:autoSpaceDN w:val="0"/>
        <w:adjustRightInd w:val="0"/>
        <w:jc w:val="both"/>
      </w:pPr>
    </w:p>
    <w:p w14:paraId="2B2CAA36" w14:textId="2DE8AE9D" w:rsidR="00477B8F" w:rsidRPr="009118AB" w:rsidRDefault="00477B8F" w:rsidP="00477B8F">
      <w:pPr>
        <w:autoSpaceDE w:val="0"/>
        <w:autoSpaceDN w:val="0"/>
        <w:adjustRightInd w:val="0"/>
        <w:jc w:val="both"/>
      </w:pPr>
      <w:r w:rsidRPr="009118AB">
        <w:t>-</w:t>
      </w:r>
      <w:r w:rsidR="00970435">
        <w:t> </w:t>
      </w:r>
      <w:r w:rsidRPr="009118AB">
        <w:t>den Königlichen Erlass vom 22. Dezember 1995</w:t>
      </w:r>
      <w:r w:rsidR="00970435">
        <w:t xml:space="preserve"> </w:t>
      </w:r>
      <w:r w:rsidRPr="009118AB">
        <w:t>über die Übertragung der Kontrollbefugnisse des Interventionsfonds der Börsengesellschaften an die Kommission für das Bank</w:t>
      </w:r>
      <w:r w:rsidRPr="009118AB">
        <w:noBreakHyphen/>
        <w:t xml:space="preserve"> und Finanzwesen </w:t>
      </w:r>
      <w:r w:rsidRPr="009118AB">
        <w:rPr>
          <w:i/>
        </w:rPr>
        <w:t>(I)</w:t>
      </w:r>
      <w:r w:rsidRPr="009118AB">
        <w:t>,</w:t>
      </w:r>
    </w:p>
    <w:p w14:paraId="6B8AADFC" w14:textId="77777777" w:rsidR="00477B8F" w:rsidRPr="009118AB" w:rsidRDefault="00477B8F" w:rsidP="00477B8F">
      <w:pPr>
        <w:autoSpaceDE w:val="0"/>
        <w:autoSpaceDN w:val="0"/>
        <w:adjustRightInd w:val="0"/>
        <w:jc w:val="both"/>
      </w:pPr>
    </w:p>
    <w:p w14:paraId="42418A9E" w14:textId="6CCC3C01" w:rsidR="00477B8F" w:rsidRPr="009118AB" w:rsidRDefault="00477B8F" w:rsidP="00477B8F">
      <w:pPr>
        <w:autoSpaceDE w:val="0"/>
        <w:autoSpaceDN w:val="0"/>
        <w:adjustRightInd w:val="0"/>
        <w:jc w:val="both"/>
      </w:pPr>
      <w:r w:rsidRPr="009118AB">
        <w:t>-</w:t>
      </w:r>
      <w:r w:rsidR="00970435">
        <w:t> </w:t>
      </w:r>
      <w:r w:rsidRPr="009118AB">
        <w:t>den Königlichen Erlass vom 22. Dezember 1995</w:t>
      </w:r>
      <w:r w:rsidR="00970435">
        <w:t xml:space="preserve"> </w:t>
      </w:r>
      <w:r w:rsidRPr="009118AB">
        <w:t xml:space="preserve">zur Abänderung in Bezug auf die Steuerbefreiung für Zusatzpersonal, das in Belgien in der wissenschaftlichen Forschung tätig ist, des EStGB 92 und des KE/EStGB 92 </w:t>
      </w:r>
      <w:r w:rsidRPr="009118AB">
        <w:rPr>
          <w:i/>
        </w:rPr>
        <w:t>(II)</w:t>
      </w:r>
      <w:r w:rsidRPr="009118AB">
        <w:t>,</w:t>
      </w:r>
    </w:p>
    <w:p w14:paraId="676FA2CB" w14:textId="77777777" w:rsidR="00477B8F" w:rsidRPr="009118AB" w:rsidRDefault="00477B8F" w:rsidP="00477B8F">
      <w:pPr>
        <w:autoSpaceDE w:val="0"/>
        <w:autoSpaceDN w:val="0"/>
        <w:adjustRightInd w:val="0"/>
        <w:jc w:val="both"/>
      </w:pPr>
    </w:p>
    <w:p w14:paraId="40C525F4" w14:textId="5BB010EF" w:rsidR="00477B8F" w:rsidRPr="009118AB" w:rsidRDefault="00477B8F" w:rsidP="00477B8F">
      <w:pPr>
        <w:autoSpaceDE w:val="0"/>
        <w:autoSpaceDN w:val="0"/>
        <w:adjustRightInd w:val="0"/>
        <w:jc w:val="both"/>
      </w:pPr>
      <w:r w:rsidRPr="009118AB">
        <w:t>-</w:t>
      </w:r>
      <w:r w:rsidR="00970435">
        <w:t> </w:t>
      </w:r>
      <w:r w:rsidRPr="009118AB">
        <w:t>das Gesetz vom 30. Januar 1996 zur Abänderung verschiedener Bestimmungen in Bezug auf die Steuer der Gebietsfremden,</w:t>
      </w:r>
    </w:p>
    <w:p w14:paraId="664DE42B" w14:textId="77777777" w:rsidR="009C622A" w:rsidRPr="009118AB" w:rsidRDefault="009C622A" w:rsidP="00477B8F">
      <w:pPr>
        <w:autoSpaceDE w:val="0"/>
        <w:autoSpaceDN w:val="0"/>
        <w:adjustRightInd w:val="0"/>
        <w:jc w:val="both"/>
      </w:pPr>
    </w:p>
    <w:p w14:paraId="5537405A" w14:textId="22556CCE" w:rsidR="00477B8F" w:rsidRPr="009118AB" w:rsidRDefault="00477B8F" w:rsidP="00477B8F">
      <w:pPr>
        <w:autoSpaceDE w:val="0"/>
        <w:autoSpaceDN w:val="0"/>
        <w:adjustRightInd w:val="0"/>
        <w:jc w:val="both"/>
      </w:pPr>
      <w:r w:rsidRPr="009118AB">
        <w:t>-</w:t>
      </w:r>
      <w:r w:rsidR="00970435">
        <w:t> </w:t>
      </w:r>
      <w:r w:rsidRPr="009118AB">
        <w:t>das Gesetz vom 20. März 1996 zur Festlegung steuerrechtlicher Bestimmungen in Bezug auf Einkünfte aus beweglichen Gütern,</w:t>
      </w:r>
    </w:p>
    <w:p w14:paraId="4ADC413B" w14:textId="77777777" w:rsidR="008A5CAC" w:rsidRPr="009118AB" w:rsidRDefault="008A5CAC" w:rsidP="00477B8F">
      <w:pPr>
        <w:autoSpaceDE w:val="0"/>
        <w:autoSpaceDN w:val="0"/>
        <w:adjustRightInd w:val="0"/>
        <w:jc w:val="both"/>
      </w:pPr>
    </w:p>
    <w:p w14:paraId="43ACAAC4" w14:textId="0ED63D2A" w:rsidR="00477B8F" w:rsidRPr="009118AB" w:rsidRDefault="00477B8F" w:rsidP="00477B8F">
      <w:pPr>
        <w:autoSpaceDE w:val="0"/>
        <w:autoSpaceDN w:val="0"/>
        <w:adjustRightInd w:val="0"/>
        <w:jc w:val="both"/>
      </w:pPr>
      <w:r w:rsidRPr="009118AB">
        <w:lastRenderedPageBreak/>
        <w:t>-</w:t>
      </w:r>
      <w:r w:rsidR="00970435">
        <w:t> </w:t>
      </w:r>
      <w:r w:rsidRPr="009118AB">
        <w:t>das Gesetz vom 2. April 1996 zur Abänderung von Artikel 104 des Einkommensteuergesetzbuches 1992, um der Liste der abzugsfähigen Ausgaben unentgeltliche Geldzuwendungen an zugelassene Umweltschutzeinrichtungen hinzuzufügen,</w:t>
      </w:r>
    </w:p>
    <w:p w14:paraId="521FF486" w14:textId="77777777" w:rsidR="00477B8F" w:rsidRPr="009118AB" w:rsidRDefault="00477B8F" w:rsidP="00477B8F">
      <w:pPr>
        <w:autoSpaceDE w:val="0"/>
        <w:autoSpaceDN w:val="0"/>
        <w:adjustRightInd w:val="0"/>
        <w:jc w:val="both"/>
      </w:pPr>
    </w:p>
    <w:p w14:paraId="2EF491EC" w14:textId="5B552815" w:rsidR="00477B8F" w:rsidRPr="009118AB" w:rsidRDefault="00477B8F" w:rsidP="00477B8F">
      <w:pPr>
        <w:autoSpaceDE w:val="0"/>
        <w:autoSpaceDN w:val="0"/>
        <w:adjustRightInd w:val="0"/>
        <w:jc w:val="both"/>
      </w:pPr>
      <w:r w:rsidRPr="009118AB">
        <w:t>-</w:t>
      </w:r>
      <w:r w:rsidR="00970435">
        <w:t> </w:t>
      </w:r>
      <w:r w:rsidRPr="009118AB">
        <w:t>das Gesetz vom 21. Mai 1996 zur Befreiung des Katastereinkommens aufgrund der öffentlichen Ausübung des freigeistigen moralischen Beistands,</w:t>
      </w:r>
    </w:p>
    <w:p w14:paraId="778ECB05" w14:textId="77777777" w:rsidR="00477B8F" w:rsidRPr="009118AB" w:rsidRDefault="00477B8F" w:rsidP="00477B8F">
      <w:pPr>
        <w:autoSpaceDE w:val="0"/>
        <w:autoSpaceDN w:val="0"/>
        <w:adjustRightInd w:val="0"/>
        <w:jc w:val="both"/>
      </w:pPr>
    </w:p>
    <w:p w14:paraId="3C0F792D" w14:textId="3F37E0AF" w:rsidR="00477B8F" w:rsidRPr="009118AB" w:rsidRDefault="00477B8F" w:rsidP="00477B8F">
      <w:pPr>
        <w:autoSpaceDE w:val="0"/>
        <w:autoSpaceDN w:val="0"/>
        <w:adjustRightInd w:val="0"/>
        <w:jc w:val="both"/>
      </w:pPr>
      <w:r w:rsidRPr="009118AB">
        <w:t>-</w:t>
      </w:r>
      <w:r w:rsidR="00970435">
        <w:t> </w:t>
      </w:r>
      <w:r w:rsidRPr="009118AB">
        <w:t>den Königlichen Erlass vom 14. November 1996 zur Abänderung des Einkommensteuergesetzbuches 1992 in Bezug auf die Steuerermäßigung für Pensionen und Ersatzeinkommen in Anwendung der Artikel 2 §</w:t>
      </w:r>
      <w:r w:rsidR="00D67EB8" w:rsidRPr="009118AB">
        <w:t>§ </w:t>
      </w:r>
      <w:r w:rsidRPr="009118AB">
        <w:t xml:space="preserve">1 und 3 und 3 </w:t>
      </w:r>
      <w:r w:rsidR="00D67EB8" w:rsidRPr="009118AB">
        <w:t>§ </w:t>
      </w:r>
      <w:r w:rsidRPr="009118AB">
        <w:t xml:space="preserve">1 </w:t>
      </w:r>
      <w:r w:rsidR="00D67EB8" w:rsidRPr="009118AB">
        <w:t>Nr. </w:t>
      </w:r>
      <w:r w:rsidRPr="009118AB">
        <w:t>2 des Gesetzes vom 26. Juli 1996 zur Erfüllung der Haushaltskriterien für die Teilnahme Belgiens an der Europäischen Wirtschafts</w:t>
      </w:r>
      <w:r w:rsidRPr="009118AB">
        <w:noBreakHyphen/>
        <w:t xml:space="preserve"> und Währungsunion,</w:t>
      </w:r>
    </w:p>
    <w:p w14:paraId="38A87EA7" w14:textId="4A73E4B4" w:rsidR="00477B8F" w:rsidRDefault="00477B8F" w:rsidP="00477B8F">
      <w:pPr>
        <w:autoSpaceDE w:val="0"/>
        <w:autoSpaceDN w:val="0"/>
        <w:adjustRightInd w:val="0"/>
        <w:jc w:val="both"/>
      </w:pPr>
    </w:p>
    <w:p w14:paraId="366A4952" w14:textId="16279FA1" w:rsidR="008720AB" w:rsidRPr="008720AB" w:rsidRDefault="008720AB" w:rsidP="00477B8F">
      <w:pPr>
        <w:autoSpaceDE w:val="0"/>
        <w:autoSpaceDN w:val="0"/>
        <w:adjustRightInd w:val="0"/>
        <w:jc w:val="both"/>
      </w:pPr>
      <w:r>
        <w:t xml:space="preserve">- den </w:t>
      </w:r>
      <w:r w:rsidRPr="008720AB">
        <w:t>Entscheid Nr. 70/96 des Schiedshofs vom 11. Dezember 1996 (</w:t>
      </w:r>
      <w:r>
        <w:rPr>
          <w:i/>
          <w:iCs/>
        </w:rPr>
        <w:t>Belgisches Staatsblatt</w:t>
      </w:r>
      <w:r w:rsidRPr="008720AB">
        <w:t> vom 19. Dezember 1996)</w:t>
      </w:r>
      <w:r>
        <w:t>,</w:t>
      </w:r>
    </w:p>
    <w:p w14:paraId="576C332D" w14:textId="77777777" w:rsidR="008720AB" w:rsidRDefault="008720AB" w:rsidP="00477B8F">
      <w:pPr>
        <w:autoSpaceDE w:val="0"/>
        <w:autoSpaceDN w:val="0"/>
        <w:adjustRightInd w:val="0"/>
        <w:jc w:val="both"/>
      </w:pPr>
    </w:p>
    <w:p w14:paraId="0295EF95" w14:textId="268BACAD" w:rsidR="00BA2134" w:rsidRDefault="00BA2134" w:rsidP="00477B8F">
      <w:pPr>
        <w:autoSpaceDE w:val="0"/>
        <w:autoSpaceDN w:val="0"/>
        <w:adjustRightInd w:val="0"/>
        <w:jc w:val="both"/>
      </w:pPr>
      <w:r>
        <w:t>- den Entscheid Nr. 74/96 des Schiedshofs vom 11. Dezember 1996 (</w:t>
      </w:r>
      <w:r>
        <w:rPr>
          <w:i/>
          <w:iCs/>
        </w:rPr>
        <w:t xml:space="preserve">Belgisches Staatsblatt </w:t>
      </w:r>
      <w:r>
        <w:t>vom 9. Januar 1997),</w:t>
      </w:r>
    </w:p>
    <w:p w14:paraId="7629E512" w14:textId="77777777" w:rsidR="00BA2134" w:rsidRPr="00BA2134" w:rsidRDefault="00BA2134" w:rsidP="00477B8F">
      <w:pPr>
        <w:autoSpaceDE w:val="0"/>
        <w:autoSpaceDN w:val="0"/>
        <w:adjustRightInd w:val="0"/>
        <w:jc w:val="both"/>
      </w:pPr>
    </w:p>
    <w:p w14:paraId="330F9533" w14:textId="48B5EA67" w:rsidR="00477B8F" w:rsidRPr="009118AB" w:rsidRDefault="00477B8F" w:rsidP="00477B8F">
      <w:pPr>
        <w:autoSpaceDE w:val="0"/>
        <w:autoSpaceDN w:val="0"/>
        <w:adjustRightInd w:val="0"/>
        <w:jc w:val="both"/>
      </w:pPr>
      <w:r w:rsidRPr="009118AB">
        <w:t>-</w:t>
      </w:r>
      <w:r w:rsidR="00970435">
        <w:t> </w:t>
      </w:r>
      <w:r w:rsidRPr="009118AB">
        <w:t>das Gesetz vom 12. Dezember 1996 zur Abänderung des Gesetzes vom 4. Dezember 1990 über die Geldgeschäfte und die Finanzmärkte, von Artikel 2075 des Zivilgesetzbuches, von Buch I Titel VI Artikel 2 des Handelsgesetzbuches, von Artikel 22 des Gesetzes vom 10. Juni 1964 über die öffentliche Aufforderung zur Zeichnung, von Artikel 44 des Mehrwertsteuergesetzbuches und von Artikel 265 des Einkommensteuergesetzbuches 1992,</w:t>
      </w:r>
    </w:p>
    <w:p w14:paraId="77DB98C5" w14:textId="77777777" w:rsidR="00477B8F" w:rsidRPr="009118AB" w:rsidRDefault="00477B8F" w:rsidP="00477B8F">
      <w:pPr>
        <w:autoSpaceDE w:val="0"/>
        <w:autoSpaceDN w:val="0"/>
        <w:adjustRightInd w:val="0"/>
        <w:jc w:val="both"/>
      </w:pPr>
    </w:p>
    <w:p w14:paraId="3E80B634" w14:textId="1FC48BEE" w:rsidR="00477B8F" w:rsidRPr="009118AB" w:rsidRDefault="00477B8F" w:rsidP="00477B8F">
      <w:pPr>
        <w:autoSpaceDE w:val="0"/>
        <w:autoSpaceDN w:val="0"/>
        <w:adjustRightInd w:val="0"/>
        <w:jc w:val="both"/>
      </w:pPr>
      <w:r w:rsidRPr="009118AB">
        <w:t>-</w:t>
      </w:r>
      <w:r w:rsidR="00970435">
        <w:t> </w:t>
      </w:r>
      <w:r w:rsidRPr="009118AB">
        <w:t xml:space="preserve">den Königlichen Erlass vom 12. Dezember 1996 zur Festlegung von Maßnahmen in Bezug auf die Bekämpfung der Steuerhinterziehung und im Hinblick auf eine bessere Steuererhebung in Anwendung der Artikel 2 </w:t>
      </w:r>
      <w:r w:rsidR="00D67EB8" w:rsidRPr="009118AB">
        <w:t>§ </w:t>
      </w:r>
      <w:r w:rsidRPr="009118AB">
        <w:t xml:space="preserve">1 und 3 </w:t>
      </w:r>
      <w:r w:rsidR="00D67EB8" w:rsidRPr="009118AB">
        <w:t>§ </w:t>
      </w:r>
      <w:r w:rsidRPr="009118AB">
        <w:t xml:space="preserve">1 </w:t>
      </w:r>
      <w:r w:rsidR="00D67EB8" w:rsidRPr="009118AB">
        <w:t>Nr. </w:t>
      </w:r>
      <w:r w:rsidRPr="009118AB">
        <w:t>2 und 3 des Gesetzes vom 26. Juli 1996 zur Erfüllung der Haushaltskriterien für die Teilnahme Belgiens an der Europäischen Wirtschafts</w:t>
      </w:r>
      <w:r w:rsidRPr="009118AB">
        <w:noBreakHyphen/>
        <w:t xml:space="preserve"> und Währungsunion,</w:t>
      </w:r>
    </w:p>
    <w:p w14:paraId="6ADAAD73" w14:textId="77777777" w:rsidR="00477B8F" w:rsidRPr="009118AB" w:rsidRDefault="00477B8F" w:rsidP="00477B8F">
      <w:pPr>
        <w:autoSpaceDE w:val="0"/>
        <w:autoSpaceDN w:val="0"/>
        <w:adjustRightInd w:val="0"/>
        <w:jc w:val="both"/>
      </w:pPr>
    </w:p>
    <w:p w14:paraId="623CF655" w14:textId="6C5DDF64" w:rsidR="00477B8F" w:rsidRPr="009118AB" w:rsidRDefault="00477B8F" w:rsidP="00477B8F">
      <w:pPr>
        <w:autoSpaceDE w:val="0"/>
        <w:autoSpaceDN w:val="0"/>
        <w:adjustRightInd w:val="0"/>
        <w:jc w:val="both"/>
      </w:pPr>
      <w:r w:rsidRPr="009118AB">
        <w:t>-</w:t>
      </w:r>
      <w:r w:rsidR="00970435">
        <w:t> </w:t>
      </w:r>
      <w:r w:rsidRPr="009118AB">
        <w:t xml:space="preserve">den Königlichen Erlass vom 20. Dezember 1996 zur Festlegung verschiedener steuerrechtlicher Maßnahmen in Anwendung der Artikel 2 </w:t>
      </w:r>
      <w:r w:rsidR="00D67EB8" w:rsidRPr="009118AB">
        <w:t>§ </w:t>
      </w:r>
      <w:r w:rsidRPr="009118AB">
        <w:t xml:space="preserve">1 und 3 </w:t>
      </w:r>
      <w:r w:rsidR="00D67EB8" w:rsidRPr="009118AB">
        <w:t>§ </w:t>
      </w:r>
      <w:r w:rsidRPr="009118AB">
        <w:t xml:space="preserve">1 </w:t>
      </w:r>
      <w:r w:rsidR="00D67EB8" w:rsidRPr="009118AB">
        <w:t>Nr. </w:t>
      </w:r>
      <w:r w:rsidRPr="009118AB">
        <w:t>2 und 3 des Gesetzes vom 26. Juli 1996 zur Erfüllung der Haushaltskriterien für die Teilnahme Belgiens an der Europäischen Wirtschafts</w:t>
      </w:r>
      <w:r w:rsidRPr="009118AB">
        <w:noBreakHyphen/>
        <w:t xml:space="preserve"> und Währungsunion,</w:t>
      </w:r>
    </w:p>
    <w:p w14:paraId="57C307E6" w14:textId="77777777" w:rsidR="00477B8F" w:rsidRPr="009118AB" w:rsidRDefault="00477B8F" w:rsidP="00477B8F">
      <w:pPr>
        <w:autoSpaceDE w:val="0"/>
        <w:autoSpaceDN w:val="0"/>
        <w:adjustRightInd w:val="0"/>
        <w:jc w:val="both"/>
      </w:pPr>
    </w:p>
    <w:p w14:paraId="7012E768" w14:textId="5E636D4D" w:rsidR="00477B8F" w:rsidRPr="009118AB" w:rsidRDefault="00477B8F" w:rsidP="00477B8F">
      <w:pPr>
        <w:autoSpaceDE w:val="0"/>
        <w:autoSpaceDN w:val="0"/>
        <w:adjustRightInd w:val="0"/>
        <w:jc w:val="both"/>
      </w:pPr>
      <w:r w:rsidRPr="009118AB">
        <w:t>-</w:t>
      </w:r>
      <w:r w:rsidR="00970435">
        <w:t> </w:t>
      </w:r>
      <w:r w:rsidRPr="009118AB">
        <w:t>das Gesetz vom 16. April 1997 zur Festlegung verschiedener steuerrechtlicher Bestimmungen,</w:t>
      </w:r>
    </w:p>
    <w:p w14:paraId="20446D5B" w14:textId="77777777" w:rsidR="00477B8F" w:rsidRPr="009118AB" w:rsidRDefault="00477B8F" w:rsidP="00477B8F">
      <w:pPr>
        <w:autoSpaceDE w:val="0"/>
        <w:autoSpaceDN w:val="0"/>
        <w:adjustRightInd w:val="0"/>
        <w:jc w:val="both"/>
      </w:pPr>
    </w:p>
    <w:p w14:paraId="7C23F72C" w14:textId="2A3F2263" w:rsidR="00477B8F" w:rsidRPr="009118AB" w:rsidRDefault="00477B8F" w:rsidP="00477B8F">
      <w:pPr>
        <w:autoSpaceDE w:val="0"/>
        <w:autoSpaceDN w:val="0"/>
        <w:adjustRightInd w:val="0"/>
        <w:jc w:val="both"/>
      </w:pPr>
      <w:r w:rsidRPr="009118AB">
        <w:t>-</w:t>
      </w:r>
      <w:r w:rsidR="00970435">
        <w:t> </w:t>
      </w:r>
      <w:r w:rsidRPr="009118AB">
        <w:t xml:space="preserve">den Königlichen Erlass vom 25. April 1997 zur Abänderung von Artikel 216 des Einkommensteuergesetzbuches 1992 in Anwendung der Artikel 2 und 3 </w:t>
      </w:r>
      <w:r w:rsidR="00D67EB8" w:rsidRPr="009118AB">
        <w:t>§ </w:t>
      </w:r>
      <w:r w:rsidRPr="009118AB">
        <w:t xml:space="preserve">1 </w:t>
      </w:r>
      <w:r w:rsidR="00D67EB8" w:rsidRPr="009118AB">
        <w:t>Nr. </w:t>
      </w:r>
      <w:r w:rsidRPr="009118AB">
        <w:t xml:space="preserve">2 und </w:t>
      </w:r>
      <w:r w:rsidR="00D67EB8" w:rsidRPr="009118AB">
        <w:t>§ </w:t>
      </w:r>
      <w:r w:rsidRPr="009118AB">
        <w:t>2 des Gesetzes vom 26. Juli 1996 zur Erfüllung der Haushaltskriterien für die Teilnahme Belgiens an der Europäischen Wirtschafts</w:t>
      </w:r>
      <w:r w:rsidRPr="009118AB">
        <w:noBreakHyphen/>
        <w:t xml:space="preserve"> und Währungsunion,</w:t>
      </w:r>
    </w:p>
    <w:p w14:paraId="0ACE5F41" w14:textId="77777777" w:rsidR="00477B8F" w:rsidRPr="009118AB" w:rsidRDefault="00477B8F" w:rsidP="00477B8F">
      <w:pPr>
        <w:autoSpaceDE w:val="0"/>
        <w:autoSpaceDN w:val="0"/>
        <w:adjustRightInd w:val="0"/>
        <w:jc w:val="both"/>
      </w:pPr>
    </w:p>
    <w:p w14:paraId="2A28F54A" w14:textId="3187FFEF" w:rsidR="00477B8F" w:rsidRPr="009118AB" w:rsidRDefault="00477B8F" w:rsidP="00477B8F">
      <w:pPr>
        <w:autoSpaceDE w:val="0"/>
        <w:autoSpaceDN w:val="0"/>
        <w:adjustRightInd w:val="0"/>
        <w:jc w:val="both"/>
      </w:pPr>
      <w:r w:rsidRPr="009118AB">
        <w:t>-</w:t>
      </w:r>
      <w:r w:rsidR="00970435">
        <w:t> </w:t>
      </w:r>
      <w:r w:rsidRPr="009118AB">
        <w:t xml:space="preserve">das Gesetz vom 4. Juni 1997 zur Abänderung von Artikel 104 </w:t>
      </w:r>
      <w:r w:rsidR="00D67EB8" w:rsidRPr="009118AB">
        <w:t>Nr. </w:t>
      </w:r>
      <w:r w:rsidRPr="009118AB">
        <w:t>8 des Einkommensteuergesetzbuches 1992 im Hinblick auf den Schutz des unbeweglichen Kulturerbes,</w:t>
      </w:r>
    </w:p>
    <w:p w14:paraId="0056E5F6" w14:textId="77777777" w:rsidR="00477B8F" w:rsidRPr="009118AB" w:rsidRDefault="00477B8F" w:rsidP="00477B8F">
      <w:pPr>
        <w:autoSpaceDE w:val="0"/>
        <w:autoSpaceDN w:val="0"/>
        <w:adjustRightInd w:val="0"/>
        <w:jc w:val="both"/>
      </w:pPr>
    </w:p>
    <w:p w14:paraId="20C0CC2F" w14:textId="3D2671F4" w:rsidR="009C622A" w:rsidRPr="009118AB" w:rsidRDefault="00477B8F" w:rsidP="00477B8F">
      <w:pPr>
        <w:autoSpaceDE w:val="0"/>
        <w:autoSpaceDN w:val="0"/>
        <w:adjustRightInd w:val="0"/>
        <w:jc w:val="both"/>
      </w:pPr>
      <w:r w:rsidRPr="009118AB">
        <w:t>-</w:t>
      </w:r>
      <w:r w:rsidR="00970435">
        <w:t> </w:t>
      </w:r>
      <w:r w:rsidRPr="009118AB">
        <w:t>das Gesetz vom 6. Juli 1997 zur Abänderung von Artikel 164 des Einkommensteuer</w:t>
      </w:r>
      <w:r w:rsidR="009C622A" w:rsidRPr="009118AB">
        <w:softHyphen/>
      </w:r>
      <w:r w:rsidRPr="009118AB">
        <w:t xml:space="preserve">gesetzbuches 1992 </w:t>
      </w:r>
      <w:r w:rsidRPr="009118AB">
        <w:rPr>
          <w:i/>
        </w:rPr>
        <w:t>(I)</w:t>
      </w:r>
      <w:r w:rsidRPr="009118AB">
        <w:t>,</w:t>
      </w:r>
    </w:p>
    <w:p w14:paraId="1F65FB4C" w14:textId="77777777" w:rsidR="009C622A" w:rsidRPr="009118AB" w:rsidRDefault="009C622A" w:rsidP="00477B8F">
      <w:pPr>
        <w:autoSpaceDE w:val="0"/>
        <w:autoSpaceDN w:val="0"/>
        <w:adjustRightInd w:val="0"/>
        <w:jc w:val="both"/>
      </w:pPr>
    </w:p>
    <w:p w14:paraId="26665AC4" w14:textId="0445488D" w:rsidR="00477B8F" w:rsidRPr="009118AB" w:rsidRDefault="00477B8F" w:rsidP="00477B8F">
      <w:pPr>
        <w:autoSpaceDE w:val="0"/>
        <w:autoSpaceDN w:val="0"/>
        <w:adjustRightInd w:val="0"/>
        <w:jc w:val="both"/>
      </w:pPr>
      <w:r w:rsidRPr="009118AB">
        <w:t>-</w:t>
      </w:r>
      <w:r w:rsidR="00970435">
        <w:t> </w:t>
      </w:r>
      <w:r w:rsidRPr="009118AB">
        <w:t xml:space="preserve">das Gesetz vom 6. Juli 1997 zur Abänderung von Artikel 7 </w:t>
      </w:r>
      <w:r w:rsidR="00D67EB8" w:rsidRPr="009118AB">
        <w:t>§ </w:t>
      </w:r>
      <w:r w:rsidRPr="009118AB">
        <w:t xml:space="preserve">1 </w:t>
      </w:r>
      <w:r w:rsidR="00D67EB8" w:rsidRPr="009118AB">
        <w:t>Nr. </w:t>
      </w:r>
      <w:r w:rsidRPr="009118AB">
        <w:t>2 Buchstabe </w:t>
      </w:r>
      <w:r w:rsidRPr="009118AB">
        <w:rPr>
          <w:i/>
          <w:iCs/>
        </w:rPr>
        <w:t>bbis</w:t>
      </w:r>
      <w:r w:rsidRPr="009118AB">
        <w:t>)</w:t>
      </w:r>
      <w:r w:rsidRPr="009118AB">
        <w:rPr>
          <w:i/>
          <w:iCs/>
        </w:rPr>
        <w:t xml:space="preserve"> </w:t>
      </w:r>
      <w:r w:rsidRPr="009118AB">
        <w:t xml:space="preserve">des Einkommensteuergesetzbuches 1992 </w:t>
      </w:r>
      <w:r w:rsidRPr="009118AB">
        <w:rPr>
          <w:i/>
        </w:rPr>
        <w:t>(II)</w:t>
      </w:r>
      <w:r w:rsidRPr="009118AB">
        <w:t>,</w:t>
      </w:r>
    </w:p>
    <w:p w14:paraId="3FB4E7F8" w14:textId="77777777" w:rsidR="00477B8F" w:rsidRPr="009118AB" w:rsidRDefault="00477B8F" w:rsidP="00477B8F">
      <w:pPr>
        <w:autoSpaceDE w:val="0"/>
        <w:autoSpaceDN w:val="0"/>
        <w:adjustRightInd w:val="0"/>
        <w:jc w:val="both"/>
      </w:pPr>
    </w:p>
    <w:p w14:paraId="1A33FBF9" w14:textId="3426B452" w:rsidR="00477B8F" w:rsidRPr="009118AB" w:rsidRDefault="00477B8F" w:rsidP="00477B8F">
      <w:pPr>
        <w:autoSpaceDE w:val="0"/>
        <w:autoSpaceDN w:val="0"/>
        <w:adjustRightInd w:val="0"/>
        <w:jc w:val="both"/>
      </w:pPr>
      <w:r w:rsidRPr="009118AB">
        <w:t>-</w:t>
      </w:r>
      <w:r w:rsidR="00970435">
        <w:t> </w:t>
      </w:r>
      <w:r w:rsidRPr="009118AB">
        <w:t>das Gesetz vom 6. Juli 1997 zur Abänderung von Artikel 180 des Einkommensteuer</w:t>
      </w:r>
      <w:r w:rsidR="009C622A" w:rsidRPr="009118AB">
        <w:softHyphen/>
      </w:r>
      <w:r w:rsidRPr="009118AB">
        <w:t xml:space="preserve">gesetzbuches 1992 </w:t>
      </w:r>
      <w:r w:rsidRPr="009118AB">
        <w:rPr>
          <w:i/>
        </w:rPr>
        <w:t>(III)</w:t>
      </w:r>
      <w:r w:rsidRPr="009118AB">
        <w:t>,</w:t>
      </w:r>
    </w:p>
    <w:p w14:paraId="5448403C" w14:textId="77777777" w:rsidR="00845926" w:rsidRPr="009118AB" w:rsidRDefault="00845926" w:rsidP="00477B8F">
      <w:pPr>
        <w:autoSpaceDE w:val="0"/>
        <w:autoSpaceDN w:val="0"/>
        <w:adjustRightInd w:val="0"/>
        <w:jc w:val="both"/>
      </w:pPr>
    </w:p>
    <w:p w14:paraId="575641FE" w14:textId="7FBFFD28" w:rsidR="00477B8F" w:rsidRPr="009118AB" w:rsidRDefault="00477B8F" w:rsidP="00477B8F">
      <w:pPr>
        <w:autoSpaceDE w:val="0"/>
        <w:autoSpaceDN w:val="0"/>
        <w:adjustRightInd w:val="0"/>
        <w:jc w:val="both"/>
      </w:pPr>
      <w:r w:rsidRPr="009118AB">
        <w:t>-</w:t>
      </w:r>
      <w:r w:rsidR="00970435">
        <w:t> </w:t>
      </w:r>
      <w:r w:rsidRPr="009118AB">
        <w:t>das Gesetz vom 14. Juli 1997 zur Abänderung von Artikel 110 des Einkommensteuer</w:t>
      </w:r>
      <w:r w:rsidR="009C622A" w:rsidRPr="009118AB">
        <w:softHyphen/>
      </w:r>
      <w:r w:rsidRPr="009118AB">
        <w:t xml:space="preserve">gesetzbuches 1992 im Hinblick auf die Ausführung von Artikel 104 </w:t>
      </w:r>
      <w:r w:rsidR="00D67EB8" w:rsidRPr="009118AB">
        <w:t>Nr. </w:t>
      </w:r>
      <w:r w:rsidRPr="009118AB">
        <w:t>3 Buchstabe </w:t>
      </w:r>
      <w:r w:rsidRPr="009118AB">
        <w:rPr>
          <w:i/>
          <w:iCs/>
        </w:rPr>
        <w:t>i)</w:t>
      </w:r>
      <w:r w:rsidRPr="009118AB">
        <w:t xml:space="preserve"> desselben Gesetzbuches,</w:t>
      </w:r>
    </w:p>
    <w:p w14:paraId="232E9281" w14:textId="77777777" w:rsidR="00477B8F" w:rsidRPr="009118AB" w:rsidRDefault="00477B8F" w:rsidP="00477B8F">
      <w:pPr>
        <w:autoSpaceDE w:val="0"/>
        <w:autoSpaceDN w:val="0"/>
        <w:adjustRightInd w:val="0"/>
        <w:jc w:val="both"/>
      </w:pPr>
    </w:p>
    <w:p w14:paraId="4CB7218D" w14:textId="1138A9D3" w:rsidR="00477B8F" w:rsidRPr="009118AB" w:rsidRDefault="00477B8F" w:rsidP="00477B8F">
      <w:pPr>
        <w:autoSpaceDE w:val="0"/>
        <w:autoSpaceDN w:val="0"/>
        <w:adjustRightInd w:val="0"/>
        <w:jc w:val="both"/>
      </w:pPr>
      <w:r w:rsidRPr="009118AB">
        <w:t>-</w:t>
      </w:r>
      <w:r w:rsidR="00970435">
        <w:t> </w:t>
      </w:r>
      <w:r w:rsidRPr="009118AB">
        <w:t>das Konkursgesetz vom 8. August 1997</w:t>
      </w:r>
      <w:r w:rsidR="00C83EA3" w:rsidRPr="009118AB">
        <w:t xml:space="preserve"> </w:t>
      </w:r>
      <w:r w:rsidRPr="009118AB">
        <w:rPr>
          <w:i/>
          <w:iCs/>
        </w:rPr>
        <w:t>(offizielle deutsche Übersetzung: Belgisches Staatsblatt vom 13. Oktober 1999</w:t>
      </w:r>
      <w:r w:rsidR="003266AF" w:rsidRPr="009118AB">
        <w:rPr>
          <w:i/>
          <w:iCs/>
        </w:rPr>
        <w:t xml:space="preserve">) </w:t>
      </w:r>
      <w:r w:rsidR="003266AF" w:rsidRPr="009118AB">
        <w:rPr>
          <w:i/>
        </w:rPr>
        <w:t>(I)</w:t>
      </w:r>
      <w:r w:rsidRPr="009118AB">
        <w:t>,</w:t>
      </w:r>
    </w:p>
    <w:p w14:paraId="288EEB07" w14:textId="77777777" w:rsidR="00477B8F" w:rsidRPr="009118AB" w:rsidRDefault="00477B8F" w:rsidP="00477B8F">
      <w:pPr>
        <w:autoSpaceDE w:val="0"/>
        <w:autoSpaceDN w:val="0"/>
        <w:adjustRightInd w:val="0"/>
        <w:jc w:val="both"/>
      </w:pPr>
    </w:p>
    <w:p w14:paraId="0DDB25FE" w14:textId="7E882AF1" w:rsidR="00477B8F" w:rsidRPr="009118AB" w:rsidRDefault="00477B8F" w:rsidP="00477B8F">
      <w:pPr>
        <w:autoSpaceDE w:val="0"/>
        <w:autoSpaceDN w:val="0"/>
        <w:adjustRightInd w:val="0"/>
        <w:jc w:val="both"/>
      </w:pPr>
      <w:r w:rsidRPr="009118AB">
        <w:t>-</w:t>
      </w:r>
      <w:r w:rsidR="00970435">
        <w:t> </w:t>
      </w:r>
      <w:r w:rsidRPr="009118AB">
        <w:t>das Gesetz vom 8. August 1997 zur Abänderung von Artikel 38 des Einkommensteuer</w:t>
      </w:r>
      <w:r w:rsidR="009C622A" w:rsidRPr="009118AB">
        <w:softHyphen/>
      </w:r>
      <w:r w:rsidRPr="009118AB">
        <w:t>gesetzbuches 1992 zur steuerlichen Förderung der Benutzung des Fahrrads auf dem Arbeitsweg</w:t>
      </w:r>
      <w:r w:rsidR="008A5CAC" w:rsidRPr="009118AB">
        <w:t> </w:t>
      </w:r>
      <w:r w:rsidRPr="009118AB">
        <w:rPr>
          <w:i/>
        </w:rPr>
        <w:t>(II)</w:t>
      </w:r>
      <w:r w:rsidRPr="009118AB">
        <w:t>,</w:t>
      </w:r>
    </w:p>
    <w:p w14:paraId="2B4D2876" w14:textId="77777777" w:rsidR="00477B8F" w:rsidRPr="009118AB" w:rsidRDefault="00477B8F" w:rsidP="00477B8F">
      <w:pPr>
        <w:autoSpaceDE w:val="0"/>
        <w:autoSpaceDN w:val="0"/>
        <w:adjustRightInd w:val="0"/>
        <w:jc w:val="both"/>
      </w:pPr>
    </w:p>
    <w:p w14:paraId="4A1610A2" w14:textId="7D56D421" w:rsidR="00477B8F" w:rsidRPr="009118AB" w:rsidRDefault="00477B8F" w:rsidP="00477B8F">
      <w:pPr>
        <w:autoSpaceDE w:val="0"/>
        <w:autoSpaceDN w:val="0"/>
        <w:adjustRightInd w:val="0"/>
        <w:jc w:val="both"/>
      </w:pPr>
      <w:r w:rsidRPr="009118AB">
        <w:t>-</w:t>
      </w:r>
      <w:r w:rsidR="00970435">
        <w:t> </w:t>
      </w:r>
      <w:r w:rsidRPr="009118AB">
        <w:t>das Gesetz vom 27. Oktober 1997 zur Festlegung steuerrechtlicher Maßnahmen zur Förderung der Ausfuhr und der Forschung,</w:t>
      </w:r>
    </w:p>
    <w:p w14:paraId="4B88E18E" w14:textId="77777777" w:rsidR="00477B8F" w:rsidRPr="009118AB" w:rsidRDefault="00477B8F" w:rsidP="00477B8F">
      <w:pPr>
        <w:autoSpaceDE w:val="0"/>
        <w:autoSpaceDN w:val="0"/>
        <w:adjustRightInd w:val="0"/>
        <w:jc w:val="both"/>
      </w:pPr>
    </w:p>
    <w:p w14:paraId="5D41E218" w14:textId="4894BA60" w:rsidR="00477B8F" w:rsidRPr="009118AB" w:rsidRDefault="00477B8F" w:rsidP="00477B8F">
      <w:pPr>
        <w:autoSpaceDE w:val="0"/>
        <w:autoSpaceDN w:val="0"/>
        <w:adjustRightInd w:val="0"/>
        <w:jc w:val="both"/>
      </w:pPr>
      <w:r w:rsidRPr="009118AB">
        <w:t>-</w:t>
      </w:r>
      <w:r w:rsidR="00970435">
        <w:t> </w:t>
      </w:r>
      <w:r w:rsidRPr="009118AB">
        <w:t>das Gesetz vom 9. Dezember 1997 zur Abänderung von Artikel 320 des Einkommensteuergesetzbuches 1992 im Hinblick auf die Einführung eines Verbots für Pflegeerbringer, den Steuerkontrollabschnitt der Pflegebescheinigungen abzutrennen,</w:t>
      </w:r>
    </w:p>
    <w:p w14:paraId="438BA6EF" w14:textId="77777777" w:rsidR="00477B8F" w:rsidRPr="009118AB" w:rsidRDefault="00477B8F" w:rsidP="00477B8F">
      <w:pPr>
        <w:autoSpaceDE w:val="0"/>
        <w:autoSpaceDN w:val="0"/>
        <w:adjustRightInd w:val="0"/>
        <w:jc w:val="both"/>
      </w:pPr>
    </w:p>
    <w:p w14:paraId="5F8FEE19" w14:textId="016122E7" w:rsidR="00477B8F" w:rsidRPr="009118AB" w:rsidRDefault="00477B8F" w:rsidP="00477B8F">
      <w:pPr>
        <w:autoSpaceDE w:val="0"/>
        <w:autoSpaceDN w:val="0"/>
        <w:adjustRightInd w:val="0"/>
        <w:jc w:val="both"/>
      </w:pPr>
      <w:r w:rsidRPr="009118AB">
        <w:t>-</w:t>
      </w:r>
      <w:r w:rsidR="00970435">
        <w:t> </w:t>
      </w:r>
      <w:r w:rsidRPr="009118AB">
        <w:t>das Programmgesetz vom 10. Februar 1998 zur Förderung des selbständigen Unternehmertums,</w:t>
      </w:r>
    </w:p>
    <w:p w14:paraId="2FAE15AA" w14:textId="77777777" w:rsidR="00477B8F" w:rsidRPr="009118AB" w:rsidRDefault="00477B8F" w:rsidP="00477B8F">
      <w:pPr>
        <w:autoSpaceDE w:val="0"/>
        <w:autoSpaceDN w:val="0"/>
        <w:adjustRightInd w:val="0"/>
        <w:jc w:val="both"/>
      </w:pPr>
    </w:p>
    <w:p w14:paraId="4481F9C4" w14:textId="299C1FC8" w:rsidR="00477B8F" w:rsidRPr="009118AB" w:rsidRDefault="00477B8F" w:rsidP="00477B8F">
      <w:pPr>
        <w:autoSpaceDE w:val="0"/>
        <w:autoSpaceDN w:val="0"/>
        <w:adjustRightInd w:val="0"/>
        <w:jc w:val="both"/>
      </w:pPr>
      <w:r w:rsidRPr="009118AB">
        <w:t>-</w:t>
      </w:r>
      <w:r w:rsidR="00970435">
        <w:t> </w:t>
      </w:r>
      <w:r w:rsidRPr="009118AB">
        <w:t>das Gesetz vom 19. Mai 1998 zur Abänderung des Einkommensteuergesetzbuches 1992, was Entschädigungen im Falle einer Übertragung von Referenzmengen an den Milchquotenfonds betrifft,</w:t>
      </w:r>
    </w:p>
    <w:p w14:paraId="4957BA55" w14:textId="77777777" w:rsidR="00477B8F" w:rsidRPr="009118AB" w:rsidRDefault="00477B8F" w:rsidP="00477B8F">
      <w:pPr>
        <w:autoSpaceDE w:val="0"/>
        <w:autoSpaceDN w:val="0"/>
        <w:adjustRightInd w:val="0"/>
        <w:jc w:val="both"/>
      </w:pPr>
    </w:p>
    <w:p w14:paraId="45941875" w14:textId="6205773F" w:rsidR="00477B8F" w:rsidRPr="009118AB" w:rsidRDefault="00477B8F" w:rsidP="00477B8F">
      <w:pPr>
        <w:autoSpaceDE w:val="0"/>
        <w:autoSpaceDN w:val="0"/>
        <w:adjustRightInd w:val="0"/>
        <w:jc w:val="both"/>
      </w:pPr>
      <w:r w:rsidRPr="009118AB">
        <w:t>-</w:t>
      </w:r>
      <w:r w:rsidR="00970435">
        <w:t> </w:t>
      </w:r>
      <w:r w:rsidRPr="009118AB">
        <w:t>das Gesetz vom 8. Juni 1998 zur Abänderung von Artikel 38 des Einkommensteuer</w:t>
      </w:r>
      <w:r w:rsidR="009C622A" w:rsidRPr="009118AB">
        <w:softHyphen/>
      </w:r>
      <w:r w:rsidRPr="009118AB">
        <w:t>gesetzbuches 1992, was freiwillige Mitarbeiter beim Zivilschutz betrifft,</w:t>
      </w:r>
    </w:p>
    <w:p w14:paraId="5D7B2894" w14:textId="77777777" w:rsidR="00477B8F" w:rsidRPr="009118AB" w:rsidRDefault="00477B8F" w:rsidP="00477B8F">
      <w:pPr>
        <w:autoSpaceDE w:val="0"/>
        <w:autoSpaceDN w:val="0"/>
        <w:adjustRightInd w:val="0"/>
        <w:jc w:val="both"/>
      </w:pPr>
    </w:p>
    <w:p w14:paraId="58D09B11" w14:textId="0EB864D1" w:rsidR="00477B8F" w:rsidRPr="009118AB" w:rsidRDefault="00477B8F" w:rsidP="00477B8F">
      <w:pPr>
        <w:autoSpaceDE w:val="0"/>
        <w:autoSpaceDN w:val="0"/>
        <w:adjustRightInd w:val="0"/>
        <w:jc w:val="both"/>
      </w:pPr>
      <w:r w:rsidRPr="009118AB">
        <w:t>-</w:t>
      </w:r>
      <w:r w:rsidR="00970435">
        <w:t> </w:t>
      </w:r>
      <w:r w:rsidRPr="009118AB">
        <w:t xml:space="preserve">das Gesetz vom 12. Juni 1998 zur Abänderung von Artikel 104 </w:t>
      </w:r>
      <w:r w:rsidR="00D67EB8" w:rsidRPr="009118AB">
        <w:t>Nr. </w:t>
      </w:r>
      <w:r w:rsidRPr="009118AB">
        <w:t>3 Buchstabe </w:t>
      </w:r>
      <w:r w:rsidRPr="009118AB">
        <w:rPr>
          <w:i/>
          <w:iCs/>
        </w:rPr>
        <w:t>b)</w:t>
      </w:r>
      <w:r w:rsidRPr="009118AB">
        <w:t xml:space="preserve"> des Einkommensteuergesetzbuches 1992,</w:t>
      </w:r>
    </w:p>
    <w:p w14:paraId="55D9CB31" w14:textId="77777777" w:rsidR="00477B8F" w:rsidRPr="009118AB" w:rsidRDefault="00477B8F" w:rsidP="00477B8F">
      <w:pPr>
        <w:autoSpaceDE w:val="0"/>
        <w:autoSpaceDN w:val="0"/>
        <w:adjustRightInd w:val="0"/>
        <w:jc w:val="both"/>
      </w:pPr>
    </w:p>
    <w:p w14:paraId="1F5505D9" w14:textId="4F3BF88C" w:rsidR="00477B8F" w:rsidRPr="009118AB" w:rsidRDefault="00477B8F" w:rsidP="00477B8F">
      <w:pPr>
        <w:autoSpaceDE w:val="0"/>
        <w:autoSpaceDN w:val="0"/>
        <w:adjustRightInd w:val="0"/>
        <w:jc w:val="both"/>
      </w:pPr>
      <w:r w:rsidRPr="009118AB">
        <w:t>-</w:t>
      </w:r>
      <w:r w:rsidR="00970435">
        <w:t> </w:t>
      </w:r>
      <w:r w:rsidRPr="009118AB">
        <w:t>das Gesetz vom 17. November 1998 zur Abänderung von Artikel 145</w:t>
      </w:r>
      <w:r w:rsidRPr="009118AB">
        <w:rPr>
          <w:vertAlign w:val="superscript"/>
        </w:rPr>
        <w:t>1</w:t>
      </w:r>
      <w:r w:rsidRPr="009118AB">
        <w:t xml:space="preserve"> des Einkommensteuergesetzbuches 1992, was Steuerermäßigungen für Rückzahlungen von Hypothekenanleihen betrifft,</w:t>
      </w:r>
    </w:p>
    <w:p w14:paraId="1BCE10A7" w14:textId="77777777" w:rsidR="00477B8F" w:rsidRPr="009118AB" w:rsidRDefault="00477B8F" w:rsidP="00477B8F">
      <w:pPr>
        <w:autoSpaceDE w:val="0"/>
        <w:autoSpaceDN w:val="0"/>
        <w:adjustRightInd w:val="0"/>
        <w:jc w:val="both"/>
      </w:pPr>
    </w:p>
    <w:p w14:paraId="4B61A0B2" w14:textId="00427EC3" w:rsidR="00477B8F" w:rsidRPr="009118AB" w:rsidRDefault="00477B8F" w:rsidP="00477B8F">
      <w:pPr>
        <w:autoSpaceDE w:val="0"/>
        <w:autoSpaceDN w:val="0"/>
        <w:adjustRightInd w:val="0"/>
        <w:jc w:val="both"/>
      </w:pPr>
      <w:r w:rsidRPr="009118AB">
        <w:t>-</w:t>
      </w:r>
      <w:r w:rsidR="00970435">
        <w:t> </w:t>
      </w:r>
      <w:r w:rsidRPr="009118AB">
        <w:t xml:space="preserve">das Gesetz vom 21. Dezember 1998 zur Gründung der Gesellschaft </w:t>
      </w:r>
      <w:r w:rsidR="00117C1A" w:rsidRPr="009118AB">
        <w:t>"</w:t>
      </w:r>
      <w:r w:rsidRPr="009118AB">
        <w:t>Belgische Technische Zusammenarbeit</w:t>
      </w:r>
      <w:r w:rsidR="00117C1A" w:rsidRPr="009118AB">
        <w:t>"</w:t>
      </w:r>
      <w:r w:rsidRPr="009118AB">
        <w:t xml:space="preserve"> in der Form einer öffentlich</w:t>
      </w:r>
      <w:r w:rsidRPr="009118AB">
        <w:noBreakHyphen/>
        <w:t>rechtlichen Gesellschaft (</w:t>
      </w:r>
      <w:r w:rsidRPr="009118AB">
        <w:rPr>
          <w:i/>
          <w:iCs/>
        </w:rPr>
        <w:t>Belgisches Staatsblatt</w:t>
      </w:r>
      <w:r w:rsidRPr="009118AB">
        <w:t xml:space="preserve"> vom 12. Juli 2002),</w:t>
      </w:r>
    </w:p>
    <w:p w14:paraId="7B5EB82F" w14:textId="77777777" w:rsidR="00477B8F" w:rsidRPr="009118AB" w:rsidRDefault="00477B8F" w:rsidP="00477B8F">
      <w:pPr>
        <w:autoSpaceDE w:val="0"/>
        <w:autoSpaceDN w:val="0"/>
        <w:adjustRightInd w:val="0"/>
        <w:jc w:val="both"/>
      </w:pPr>
    </w:p>
    <w:p w14:paraId="7BCCD603" w14:textId="01C16625" w:rsidR="00477B8F" w:rsidRPr="009118AB" w:rsidRDefault="00477B8F" w:rsidP="00477B8F">
      <w:pPr>
        <w:autoSpaceDE w:val="0"/>
        <w:autoSpaceDN w:val="0"/>
        <w:adjustRightInd w:val="0"/>
        <w:jc w:val="both"/>
      </w:pPr>
      <w:r w:rsidRPr="009118AB">
        <w:t>-</w:t>
      </w:r>
      <w:r w:rsidR="00970435">
        <w:t> </w:t>
      </w:r>
      <w:r w:rsidRPr="009118AB">
        <w:t>das Gesetz vom 22. Dezember 1998 zur Festlegung steuerrechtlicher und anderer Bestimmungen,</w:t>
      </w:r>
    </w:p>
    <w:p w14:paraId="7C3B2381" w14:textId="77777777" w:rsidR="009C622A" w:rsidRPr="009118AB" w:rsidRDefault="009C622A" w:rsidP="00477B8F">
      <w:pPr>
        <w:autoSpaceDE w:val="0"/>
        <w:autoSpaceDN w:val="0"/>
        <w:adjustRightInd w:val="0"/>
        <w:jc w:val="both"/>
      </w:pPr>
    </w:p>
    <w:p w14:paraId="03CDF3CB" w14:textId="670BA585" w:rsidR="00477B8F" w:rsidRPr="009118AB" w:rsidRDefault="00477B8F" w:rsidP="00477B8F">
      <w:pPr>
        <w:autoSpaceDE w:val="0"/>
        <w:autoSpaceDN w:val="0"/>
        <w:adjustRightInd w:val="0"/>
        <w:jc w:val="both"/>
      </w:pPr>
      <w:r w:rsidRPr="009118AB">
        <w:lastRenderedPageBreak/>
        <w:t>-</w:t>
      </w:r>
      <w:r w:rsidR="00970435">
        <w:t> </w:t>
      </w:r>
      <w:r w:rsidRPr="009118AB">
        <w:t>den Königlichen Erlass vom 26. Dezember 1998 zur Festlegung von Maßnahmen im Hinblick auf die Anpassung der Regelung der gesamtschuldnerischen Haftung für Sozial- und Steuerschulden in Anwendung von Artikel 43 des Gesetzes vom 26. Juli 1996 zur Modernisierung der sozialen Sicherheit und zur Sicherung der gesetzlichen Pensionsregelungen,</w:t>
      </w:r>
    </w:p>
    <w:p w14:paraId="0F0E63D4" w14:textId="77777777" w:rsidR="00477B8F" w:rsidRPr="009118AB" w:rsidRDefault="00477B8F" w:rsidP="00477B8F">
      <w:pPr>
        <w:autoSpaceDE w:val="0"/>
        <w:autoSpaceDN w:val="0"/>
        <w:adjustRightInd w:val="0"/>
        <w:jc w:val="both"/>
      </w:pPr>
    </w:p>
    <w:p w14:paraId="36186E85" w14:textId="70983A14" w:rsidR="00477B8F" w:rsidRPr="009118AB" w:rsidRDefault="00477B8F" w:rsidP="00477B8F">
      <w:pPr>
        <w:autoSpaceDE w:val="0"/>
        <w:autoSpaceDN w:val="0"/>
        <w:adjustRightInd w:val="0"/>
        <w:jc w:val="both"/>
      </w:pPr>
      <w:r w:rsidRPr="009118AB">
        <w:t>-</w:t>
      </w:r>
      <w:r w:rsidR="00970435">
        <w:t> </w:t>
      </w:r>
      <w:r w:rsidRPr="009118AB">
        <w:t>das Gesetz vom 25. Januar 1999 zur Festlegung sozialer Bestimmungen,</w:t>
      </w:r>
    </w:p>
    <w:p w14:paraId="6254A820" w14:textId="77777777" w:rsidR="00477B8F" w:rsidRPr="009118AB" w:rsidRDefault="00477B8F" w:rsidP="00477B8F">
      <w:pPr>
        <w:autoSpaceDE w:val="0"/>
        <w:autoSpaceDN w:val="0"/>
        <w:adjustRightInd w:val="0"/>
        <w:jc w:val="both"/>
      </w:pPr>
    </w:p>
    <w:p w14:paraId="64C2BC39" w14:textId="5EB00AE5" w:rsidR="00477B8F" w:rsidRPr="009118AB" w:rsidRDefault="00477B8F" w:rsidP="00477B8F">
      <w:pPr>
        <w:autoSpaceDE w:val="0"/>
        <w:autoSpaceDN w:val="0"/>
        <w:adjustRightInd w:val="0"/>
        <w:jc w:val="both"/>
      </w:pPr>
      <w:r w:rsidRPr="009118AB">
        <w:t>-</w:t>
      </w:r>
      <w:r w:rsidR="00970435">
        <w:t> </w:t>
      </w:r>
      <w:r w:rsidRPr="009118AB">
        <w:t>das Gesetz vom 10. Februar 1999 über die Ahndung der Korruption,</w:t>
      </w:r>
    </w:p>
    <w:p w14:paraId="1DBBC66D" w14:textId="77777777" w:rsidR="00477B8F" w:rsidRPr="009118AB" w:rsidRDefault="00477B8F" w:rsidP="00477B8F">
      <w:pPr>
        <w:autoSpaceDE w:val="0"/>
        <w:autoSpaceDN w:val="0"/>
        <w:adjustRightInd w:val="0"/>
        <w:jc w:val="both"/>
      </w:pPr>
    </w:p>
    <w:p w14:paraId="47B816C5" w14:textId="40B6A2E1" w:rsidR="00477B8F" w:rsidRPr="009118AB" w:rsidRDefault="00477B8F" w:rsidP="00477B8F">
      <w:pPr>
        <w:autoSpaceDE w:val="0"/>
        <w:autoSpaceDN w:val="0"/>
        <w:adjustRightInd w:val="0"/>
        <w:jc w:val="both"/>
      </w:pPr>
      <w:r w:rsidRPr="009118AB">
        <w:t>-</w:t>
      </w:r>
      <w:r w:rsidR="00970435">
        <w:t> </w:t>
      </w:r>
      <w:r w:rsidRPr="009118AB">
        <w:t>das Gesetz vom 1. März 1999 zur Bewilligung der steuerlichen Abzugsfähigkeit unentgeltlicher Zuwendungen an das Europäische Zentrum für vermisste und sexuell ausgebeutete Kinder</w:t>
      </w:r>
      <w:r w:rsidR="00D67EB8" w:rsidRPr="009118AB">
        <w:t> - </w:t>
      </w:r>
      <w:r w:rsidRPr="009118AB">
        <w:t>Belgien</w:t>
      </w:r>
      <w:r w:rsidR="00D67EB8" w:rsidRPr="009118AB">
        <w:t> - </w:t>
      </w:r>
      <w:r w:rsidRPr="009118AB">
        <w:t>Stiftung belgischen Rechts und der Befreiung von der Plakatsteuer,</w:t>
      </w:r>
    </w:p>
    <w:p w14:paraId="7C4E4EDE" w14:textId="77777777" w:rsidR="00477B8F" w:rsidRPr="009118AB" w:rsidRDefault="00477B8F" w:rsidP="00477B8F">
      <w:pPr>
        <w:autoSpaceDE w:val="0"/>
        <w:autoSpaceDN w:val="0"/>
        <w:adjustRightInd w:val="0"/>
        <w:jc w:val="both"/>
      </w:pPr>
    </w:p>
    <w:p w14:paraId="6334898A" w14:textId="69D4A471" w:rsidR="00477B8F" w:rsidRPr="009118AB" w:rsidRDefault="00477B8F" w:rsidP="00477B8F">
      <w:pPr>
        <w:autoSpaceDE w:val="0"/>
        <w:autoSpaceDN w:val="0"/>
        <w:adjustRightInd w:val="0"/>
        <w:jc w:val="both"/>
      </w:pPr>
      <w:r w:rsidRPr="009118AB">
        <w:t>-</w:t>
      </w:r>
      <w:r w:rsidR="00970435">
        <w:t> </w:t>
      </w:r>
      <w:r w:rsidRPr="009118AB">
        <w:t>das Gesetz vom 10. März 1999 zur Abänderung des Gesetzes vom 6. April 1995 über die Sekundärmärkte, den Status von Investmentgesellschaften und deren Kontrolle, die Vermittler und Anlageberater sowie zur Festlegung des Steuersystems für Aktienverleihgeschäfte und verschiedener anderer Bestimmungen,</w:t>
      </w:r>
    </w:p>
    <w:p w14:paraId="718D6CBD" w14:textId="77777777" w:rsidR="00477B8F" w:rsidRPr="009118AB" w:rsidRDefault="00477B8F" w:rsidP="00477B8F">
      <w:pPr>
        <w:autoSpaceDE w:val="0"/>
        <w:autoSpaceDN w:val="0"/>
        <w:adjustRightInd w:val="0"/>
        <w:jc w:val="both"/>
      </w:pPr>
    </w:p>
    <w:p w14:paraId="5991874B" w14:textId="5400EE3F" w:rsidR="00477B8F" w:rsidRPr="009118AB" w:rsidRDefault="00477B8F" w:rsidP="00477B8F">
      <w:pPr>
        <w:autoSpaceDE w:val="0"/>
        <w:autoSpaceDN w:val="0"/>
        <w:adjustRightInd w:val="0"/>
        <w:jc w:val="both"/>
      </w:pPr>
      <w:r w:rsidRPr="009118AB">
        <w:t>-</w:t>
      </w:r>
      <w:r w:rsidR="00970435">
        <w:t> </w:t>
      </w:r>
      <w:r w:rsidRPr="009118AB">
        <w:t>das Gesetz vom 15. März 1999 über steuerrechtliche Streitsachen,</w:t>
      </w:r>
    </w:p>
    <w:p w14:paraId="3F00332B" w14:textId="77777777" w:rsidR="00477B8F" w:rsidRPr="009118AB" w:rsidRDefault="00477B8F" w:rsidP="00477B8F">
      <w:pPr>
        <w:autoSpaceDE w:val="0"/>
        <w:autoSpaceDN w:val="0"/>
        <w:adjustRightInd w:val="0"/>
        <w:jc w:val="both"/>
      </w:pPr>
    </w:p>
    <w:p w14:paraId="05B7DA2E" w14:textId="78B9C536" w:rsidR="00477B8F" w:rsidRPr="009118AB" w:rsidRDefault="00477B8F" w:rsidP="00477B8F">
      <w:pPr>
        <w:autoSpaceDE w:val="0"/>
        <w:autoSpaceDN w:val="0"/>
        <w:adjustRightInd w:val="0"/>
        <w:jc w:val="both"/>
      </w:pPr>
      <w:r w:rsidRPr="009118AB">
        <w:t>-</w:t>
      </w:r>
      <w:r w:rsidR="00970435">
        <w:t> </w:t>
      </w:r>
      <w:r w:rsidRPr="009118AB">
        <w:t>das Gesetz vom 26. März 1999 über den belgischen Aktionsplan für die Beschäftigung 1998 und zur Festlegung sonstiger Bestimmungen,</w:t>
      </w:r>
    </w:p>
    <w:p w14:paraId="7939DD37" w14:textId="77777777" w:rsidR="00477B8F" w:rsidRPr="009118AB" w:rsidRDefault="00477B8F" w:rsidP="00477B8F">
      <w:pPr>
        <w:autoSpaceDE w:val="0"/>
        <w:autoSpaceDN w:val="0"/>
        <w:adjustRightInd w:val="0"/>
        <w:jc w:val="both"/>
      </w:pPr>
    </w:p>
    <w:p w14:paraId="3BE88443" w14:textId="7E89723D" w:rsidR="00477B8F" w:rsidRPr="009118AB" w:rsidRDefault="00477B8F" w:rsidP="00477B8F">
      <w:pPr>
        <w:autoSpaceDE w:val="0"/>
        <w:autoSpaceDN w:val="0"/>
        <w:adjustRightInd w:val="0"/>
        <w:jc w:val="both"/>
      </w:pPr>
      <w:r w:rsidRPr="009118AB">
        <w:t>-</w:t>
      </w:r>
      <w:r w:rsidR="00970435">
        <w:t> </w:t>
      </w:r>
      <w:r w:rsidRPr="009118AB">
        <w:t>das Gesetz vom 7. April 1999 über den LBA</w:t>
      </w:r>
      <w:r w:rsidRPr="009118AB">
        <w:noBreakHyphen/>
        <w:t>Arbeitsvertrag,</w:t>
      </w:r>
    </w:p>
    <w:p w14:paraId="6226CCCA" w14:textId="77777777" w:rsidR="00477B8F" w:rsidRPr="009118AB" w:rsidRDefault="00477B8F" w:rsidP="00477B8F">
      <w:pPr>
        <w:autoSpaceDE w:val="0"/>
        <w:autoSpaceDN w:val="0"/>
        <w:adjustRightInd w:val="0"/>
        <w:jc w:val="both"/>
      </w:pPr>
    </w:p>
    <w:p w14:paraId="058B420B" w14:textId="3B31C29B" w:rsidR="00477B8F" w:rsidRPr="009118AB" w:rsidRDefault="00477B8F" w:rsidP="00477B8F">
      <w:pPr>
        <w:autoSpaceDE w:val="0"/>
        <w:autoSpaceDN w:val="0"/>
        <w:adjustRightInd w:val="0"/>
        <w:jc w:val="both"/>
      </w:pPr>
      <w:r w:rsidRPr="009118AB">
        <w:t>-</w:t>
      </w:r>
      <w:r w:rsidR="00970435">
        <w:t> </w:t>
      </w:r>
      <w:r w:rsidRPr="009118AB">
        <w:t>das Gesetz vom 21. April 1999 zur Abänderung von Artikel 104 des Einkommensteuergesetzbuches 1992 zur Ermöglichung der Abzugsfähigkeit unentgeltlicher Geldzuwendungen an zugelassene Tierheime,</w:t>
      </w:r>
    </w:p>
    <w:p w14:paraId="4A715F9C" w14:textId="77777777" w:rsidR="00477B8F" w:rsidRPr="009118AB" w:rsidRDefault="00477B8F" w:rsidP="00477B8F">
      <w:pPr>
        <w:autoSpaceDE w:val="0"/>
        <w:autoSpaceDN w:val="0"/>
        <w:adjustRightInd w:val="0"/>
        <w:jc w:val="both"/>
      </w:pPr>
    </w:p>
    <w:p w14:paraId="7A6DC5AD" w14:textId="74F3234B" w:rsidR="00477B8F" w:rsidRPr="009118AB" w:rsidRDefault="00970435" w:rsidP="00477B8F">
      <w:pPr>
        <w:autoSpaceDE w:val="0"/>
        <w:autoSpaceDN w:val="0"/>
        <w:adjustRightInd w:val="0"/>
        <w:jc w:val="both"/>
      </w:pPr>
      <w:r>
        <w:t>- </w:t>
      </w:r>
      <w:r w:rsidR="00477B8F" w:rsidRPr="009118AB">
        <w:t xml:space="preserve">das Gesetz vom 28. April 1999 zur Ergänzung, was die Bekämpfung der Steuerhinterziehung betrifft, des Königlichen Erlasses </w:t>
      </w:r>
      <w:r w:rsidR="00D67EB8" w:rsidRPr="009118AB">
        <w:t>Nr. </w:t>
      </w:r>
      <w:r w:rsidR="00477B8F" w:rsidRPr="009118AB">
        <w:t>185 vom 9. Juli 1935 über die Bankenaufsicht und die Regelung der Ausgabe von Wertpapieren und Effekten und des Gesetzes vom 9. Juli 1975 über die Kontrolle der Versicherungsunternehmen,</w:t>
      </w:r>
    </w:p>
    <w:p w14:paraId="60456E2A" w14:textId="77777777" w:rsidR="00477B8F" w:rsidRPr="009118AB" w:rsidRDefault="00477B8F" w:rsidP="00477B8F">
      <w:pPr>
        <w:autoSpaceDE w:val="0"/>
        <w:autoSpaceDN w:val="0"/>
        <w:adjustRightInd w:val="0"/>
        <w:jc w:val="both"/>
      </w:pPr>
    </w:p>
    <w:p w14:paraId="62A025E2" w14:textId="7880520C" w:rsidR="00477B8F" w:rsidRPr="009118AB" w:rsidRDefault="00970435" w:rsidP="00477B8F">
      <w:pPr>
        <w:autoSpaceDE w:val="0"/>
        <w:autoSpaceDN w:val="0"/>
        <w:adjustRightInd w:val="0"/>
        <w:jc w:val="both"/>
      </w:pPr>
      <w:r>
        <w:t>- </w:t>
      </w:r>
      <w:r w:rsidR="00477B8F" w:rsidRPr="009118AB">
        <w:t>das Gesetz vom 29. April 1999 über die Organisation des Gasmarktes und den steuerrechtlichen Status der Stromerzeuger,</w:t>
      </w:r>
    </w:p>
    <w:p w14:paraId="34DA4D22" w14:textId="77777777" w:rsidR="00477B8F" w:rsidRPr="009118AB" w:rsidRDefault="00477B8F" w:rsidP="00477B8F">
      <w:pPr>
        <w:autoSpaceDE w:val="0"/>
        <w:autoSpaceDN w:val="0"/>
        <w:adjustRightInd w:val="0"/>
        <w:jc w:val="both"/>
      </w:pPr>
    </w:p>
    <w:p w14:paraId="35CDD8C2" w14:textId="25B96AA8" w:rsidR="00477B8F" w:rsidRPr="009118AB" w:rsidRDefault="00970435" w:rsidP="00477B8F">
      <w:pPr>
        <w:autoSpaceDE w:val="0"/>
        <w:autoSpaceDN w:val="0"/>
        <w:adjustRightInd w:val="0"/>
        <w:jc w:val="both"/>
      </w:pPr>
      <w:r>
        <w:t>- </w:t>
      </w:r>
      <w:r w:rsidR="00477B8F" w:rsidRPr="009118AB">
        <w:t>das Gesetz vom 4. Mai 1999 zur Festlegung steuerrechtlicher und anderer Bestimmungen</w:t>
      </w:r>
      <w:r w:rsidR="00222E0D" w:rsidRPr="009118AB">
        <w:t> </w:t>
      </w:r>
      <w:r w:rsidR="00477B8F" w:rsidRPr="009118AB">
        <w:rPr>
          <w:i/>
        </w:rPr>
        <w:t>(I)</w:t>
      </w:r>
      <w:r w:rsidR="00477B8F" w:rsidRPr="009118AB">
        <w:t>,</w:t>
      </w:r>
    </w:p>
    <w:p w14:paraId="3501684A" w14:textId="77777777" w:rsidR="00477B8F" w:rsidRPr="009118AB" w:rsidRDefault="00477B8F" w:rsidP="00477B8F">
      <w:pPr>
        <w:autoSpaceDE w:val="0"/>
        <w:autoSpaceDN w:val="0"/>
        <w:adjustRightInd w:val="0"/>
        <w:jc w:val="both"/>
      </w:pPr>
    </w:p>
    <w:p w14:paraId="120AA23F" w14:textId="2F99DFA8" w:rsidR="00477B8F" w:rsidRPr="009118AB" w:rsidRDefault="00970435" w:rsidP="00477B8F">
      <w:pPr>
        <w:autoSpaceDE w:val="0"/>
        <w:autoSpaceDN w:val="0"/>
        <w:adjustRightInd w:val="0"/>
        <w:jc w:val="both"/>
      </w:pPr>
      <w:r>
        <w:t>- </w:t>
      </w:r>
      <w:r w:rsidR="00477B8F" w:rsidRPr="009118AB">
        <w:t>das Gesetz vom 4. Mai 1999 zur Festlegung verschiedener steuerrechtlicher Bestimmungen</w:t>
      </w:r>
      <w:r w:rsidR="00222E0D" w:rsidRPr="009118AB">
        <w:t> </w:t>
      </w:r>
      <w:r w:rsidR="00477B8F" w:rsidRPr="009118AB">
        <w:rPr>
          <w:i/>
        </w:rPr>
        <w:t>(II)</w:t>
      </w:r>
      <w:r w:rsidR="00477B8F" w:rsidRPr="009118AB">
        <w:t>,</w:t>
      </w:r>
    </w:p>
    <w:p w14:paraId="3CFF09AD" w14:textId="77777777" w:rsidR="00477B8F" w:rsidRPr="009118AB" w:rsidRDefault="00477B8F" w:rsidP="00477B8F">
      <w:pPr>
        <w:autoSpaceDE w:val="0"/>
        <w:autoSpaceDN w:val="0"/>
        <w:adjustRightInd w:val="0"/>
        <w:jc w:val="both"/>
      </w:pPr>
    </w:p>
    <w:p w14:paraId="1F2313EE" w14:textId="772D437E" w:rsidR="00477B8F" w:rsidRPr="009118AB" w:rsidRDefault="00970435" w:rsidP="00477B8F">
      <w:pPr>
        <w:autoSpaceDE w:val="0"/>
        <w:autoSpaceDN w:val="0"/>
        <w:adjustRightInd w:val="0"/>
        <w:jc w:val="both"/>
      </w:pPr>
      <w:r>
        <w:t>- </w:t>
      </w:r>
      <w:r w:rsidR="00477B8F" w:rsidRPr="009118AB">
        <w:t xml:space="preserve">das Gesetz vom 4. Mai 1999 zur Einschränkung der gleichzeitigen Ausübung des Amtes als Mitglied des ständigen Ausschusses und anderer Ämter und zur Harmonisierung des finanziellen und steuerlichen Statuts der Mitglieder des ständigen Ausschusses </w:t>
      </w:r>
      <w:r w:rsidR="00477B8F" w:rsidRPr="009118AB">
        <w:rPr>
          <w:i/>
        </w:rPr>
        <w:t>(III)</w:t>
      </w:r>
      <w:r w:rsidR="00477B8F" w:rsidRPr="009118AB">
        <w:t>,</w:t>
      </w:r>
    </w:p>
    <w:p w14:paraId="1FC06263" w14:textId="77777777" w:rsidR="00222E0D" w:rsidRPr="009118AB" w:rsidRDefault="00222E0D" w:rsidP="00477B8F">
      <w:pPr>
        <w:autoSpaceDE w:val="0"/>
        <w:autoSpaceDN w:val="0"/>
        <w:adjustRightInd w:val="0"/>
        <w:jc w:val="both"/>
      </w:pPr>
    </w:p>
    <w:p w14:paraId="328B2A09" w14:textId="28424232" w:rsidR="00477B8F" w:rsidRPr="009118AB" w:rsidRDefault="00970435" w:rsidP="00477B8F">
      <w:pPr>
        <w:autoSpaceDE w:val="0"/>
        <w:autoSpaceDN w:val="0"/>
        <w:adjustRightInd w:val="0"/>
        <w:jc w:val="both"/>
      </w:pPr>
      <w:r>
        <w:lastRenderedPageBreak/>
        <w:t>- </w:t>
      </w:r>
      <w:r w:rsidR="00477B8F" w:rsidRPr="009118AB">
        <w:t xml:space="preserve">das Gesetz vom 7. Mai 1999 über die Glücksspiele, die Glücksspieleinrichtungen und den Schutz der Spieler </w:t>
      </w:r>
      <w:r w:rsidR="00477B8F" w:rsidRPr="009118AB">
        <w:rPr>
          <w:i/>
          <w:iCs/>
        </w:rPr>
        <w:t>(offizielle deutsche Übersetzung: Belgisches Staatsblatt vom 17. Oktober 2000)</w:t>
      </w:r>
      <w:r w:rsidR="00477B8F" w:rsidRPr="009118AB">
        <w:t>,</w:t>
      </w:r>
    </w:p>
    <w:p w14:paraId="1FD86C58" w14:textId="77777777" w:rsidR="00477B8F" w:rsidRPr="009118AB" w:rsidRDefault="00477B8F" w:rsidP="00477B8F">
      <w:pPr>
        <w:autoSpaceDE w:val="0"/>
        <w:autoSpaceDN w:val="0"/>
        <w:adjustRightInd w:val="0"/>
        <w:jc w:val="both"/>
      </w:pPr>
    </w:p>
    <w:p w14:paraId="4CC133F9" w14:textId="36139DA8" w:rsidR="00477B8F" w:rsidRPr="009118AB" w:rsidRDefault="00970435" w:rsidP="00477B8F">
      <w:pPr>
        <w:autoSpaceDE w:val="0"/>
        <w:autoSpaceDN w:val="0"/>
        <w:adjustRightInd w:val="0"/>
        <w:jc w:val="both"/>
      </w:pPr>
      <w:r>
        <w:t>- </w:t>
      </w:r>
      <w:r w:rsidR="00477B8F" w:rsidRPr="009118AB">
        <w:t>das Gesetz vom 13. Mai 1999 zur Förderung von Landpachtverträgen langer Dauer,</w:t>
      </w:r>
    </w:p>
    <w:p w14:paraId="2AF3C6A7" w14:textId="77777777" w:rsidR="00477B8F" w:rsidRPr="009118AB" w:rsidRDefault="00477B8F" w:rsidP="00477B8F">
      <w:pPr>
        <w:autoSpaceDE w:val="0"/>
        <w:autoSpaceDN w:val="0"/>
        <w:adjustRightInd w:val="0"/>
        <w:jc w:val="both"/>
      </w:pPr>
    </w:p>
    <w:p w14:paraId="6518BD6C" w14:textId="2D603025" w:rsidR="00477B8F" w:rsidRPr="009118AB" w:rsidRDefault="00970435" w:rsidP="00477B8F">
      <w:pPr>
        <w:autoSpaceDE w:val="0"/>
        <w:autoSpaceDN w:val="0"/>
        <w:adjustRightInd w:val="0"/>
        <w:jc w:val="both"/>
      </w:pPr>
      <w:r>
        <w:t>- </w:t>
      </w:r>
      <w:r w:rsidR="00477B8F" w:rsidRPr="009118AB">
        <w:t xml:space="preserve">das Gesetz vom 3. Dezember 1999 über Maßnahmen zur Unterstützung der von der Dioxinkrise betroffenen Landwirtschaftsbetriebe </w:t>
      </w:r>
      <w:r w:rsidR="00477B8F" w:rsidRPr="009118AB">
        <w:rPr>
          <w:i/>
          <w:iCs/>
        </w:rPr>
        <w:t>(offizielle deutsche Übersetzung: Belgisches Staatsblatt vom 2. August 2000)</w:t>
      </w:r>
      <w:r w:rsidR="00477B8F" w:rsidRPr="009118AB">
        <w:t>,</w:t>
      </w:r>
    </w:p>
    <w:p w14:paraId="74221FF4" w14:textId="77777777" w:rsidR="008A5CAC" w:rsidRPr="009118AB" w:rsidRDefault="008A5CAC" w:rsidP="00477B8F">
      <w:pPr>
        <w:autoSpaceDE w:val="0"/>
        <w:autoSpaceDN w:val="0"/>
        <w:adjustRightInd w:val="0"/>
        <w:jc w:val="both"/>
      </w:pPr>
    </w:p>
    <w:p w14:paraId="0127C064" w14:textId="1F722010" w:rsidR="00477B8F" w:rsidRPr="009118AB" w:rsidRDefault="00970435" w:rsidP="00477B8F">
      <w:pPr>
        <w:autoSpaceDE w:val="0"/>
        <w:autoSpaceDN w:val="0"/>
        <w:adjustRightInd w:val="0"/>
        <w:jc w:val="both"/>
      </w:pPr>
      <w:r>
        <w:t>- </w:t>
      </w:r>
      <w:r w:rsidR="00477B8F" w:rsidRPr="009118AB">
        <w:t>das Gesetz vom 24. Dezember 1999 zur Festlegung steuerrechtlicher und sonstiger Bestimmungen,</w:t>
      </w:r>
    </w:p>
    <w:p w14:paraId="6D0C5BDF" w14:textId="77777777" w:rsidR="00477B8F" w:rsidRPr="009118AB" w:rsidRDefault="00477B8F" w:rsidP="00477B8F">
      <w:pPr>
        <w:autoSpaceDE w:val="0"/>
        <w:autoSpaceDN w:val="0"/>
        <w:adjustRightInd w:val="0"/>
        <w:jc w:val="both"/>
      </w:pPr>
    </w:p>
    <w:p w14:paraId="0E2D65EA" w14:textId="0364D0F1" w:rsidR="00477B8F" w:rsidRPr="009118AB" w:rsidRDefault="00970435" w:rsidP="00477B8F">
      <w:pPr>
        <w:autoSpaceDE w:val="0"/>
        <w:autoSpaceDN w:val="0"/>
        <w:adjustRightInd w:val="0"/>
        <w:jc w:val="both"/>
      </w:pPr>
      <w:r>
        <w:t>- </w:t>
      </w:r>
      <w:r w:rsidR="00477B8F" w:rsidRPr="009118AB">
        <w:t>das Gesetz vom 17. Februar 2000 zur Abänderung des Gesetzes vom 15. März 1999 über steuerrechtliche Streitsachen,</w:t>
      </w:r>
    </w:p>
    <w:p w14:paraId="7EAB703C" w14:textId="77777777" w:rsidR="00477B8F" w:rsidRPr="009118AB" w:rsidRDefault="00477B8F" w:rsidP="00477B8F">
      <w:pPr>
        <w:autoSpaceDE w:val="0"/>
        <w:autoSpaceDN w:val="0"/>
        <w:adjustRightInd w:val="0"/>
        <w:jc w:val="both"/>
      </w:pPr>
    </w:p>
    <w:p w14:paraId="11FDB0C6" w14:textId="021F9FE0" w:rsidR="00477B8F" w:rsidRPr="009118AB" w:rsidRDefault="00970435" w:rsidP="00477B8F">
      <w:pPr>
        <w:autoSpaceDE w:val="0"/>
        <w:autoSpaceDN w:val="0"/>
        <w:adjustRightInd w:val="0"/>
        <w:jc w:val="both"/>
      </w:pPr>
      <w:r>
        <w:t>- </w:t>
      </w:r>
      <w:r w:rsidR="00477B8F" w:rsidRPr="009118AB">
        <w:t xml:space="preserve">das Gesetz vom 6. April 2000 zur Abänderung von Artikel 171 </w:t>
      </w:r>
      <w:r w:rsidR="00D67EB8" w:rsidRPr="009118AB">
        <w:t>Nr. </w:t>
      </w:r>
      <w:r w:rsidR="00477B8F" w:rsidRPr="009118AB">
        <w:t>5 des Einkommensteuergesetzbuches 1992,</w:t>
      </w:r>
    </w:p>
    <w:p w14:paraId="4C7362E3" w14:textId="77777777" w:rsidR="00477B8F" w:rsidRPr="009118AB" w:rsidRDefault="00477B8F" w:rsidP="00477B8F">
      <w:pPr>
        <w:autoSpaceDE w:val="0"/>
        <w:autoSpaceDN w:val="0"/>
        <w:adjustRightInd w:val="0"/>
        <w:jc w:val="both"/>
      </w:pPr>
    </w:p>
    <w:p w14:paraId="01A578D5" w14:textId="7C765170" w:rsidR="00477B8F" w:rsidRPr="009118AB" w:rsidRDefault="00970435" w:rsidP="00477B8F">
      <w:pPr>
        <w:autoSpaceDE w:val="0"/>
        <w:autoSpaceDN w:val="0"/>
        <w:adjustRightInd w:val="0"/>
        <w:jc w:val="both"/>
      </w:pPr>
      <w:r>
        <w:t>- </w:t>
      </w:r>
      <w:r w:rsidR="00477B8F" w:rsidRPr="009118AB">
        <w:t>das Gesetz vom 17. Mai 2000 zur Abänderung der Artikel 145</w:t>
      </w:r>
      <w:r w:rsidR="00477B8F" w:rsidRPr="009118AB">
        <w:rPr>
          <w:vertAlign w:val="superscript"/>
        </w:rPr>
        <w:t>1</w:t>
      </w:r>
      <w:r w:rsidR="00477B8F" w:rsidRPr="009118AB">
        <w:t xml:space="preserve"> und 145</w:t>
      </w:r>
      <w:r w:rsidR="00477B8F" w:rsidRPr="009118AB">
        <w:rPr>
          <w:vertAlign w:val="superscript"/>
        </w:rPr>
        <w:t>5</w:t>
      </w:r>
      <w:r w:rsidR="00477B8F" w:rsidRPr="009118AB">
        <w:t xml:space="preserve"> des Einkommensteuergesetzbuches 1992,</w:t>
      </w:r>
    </w:p>
    <w:p w14:paraId="4419391A" w14:textId="77777777" w:rsidR="00477B8F" w:rsidRPr="009118AB" w:rsidRDefault="00477B8F" w:rsidP="00477B8F">
      <w:pPr>
        <w:autoSpaceDE w:val="0"/>
        <w:autoSpaceDN w:val="0"/>
        <w:adjustRightInd w:val="0"/>
        <w:jc w:val="both"/>
      </w:pPr>
    </w:p>
    <w:p w14:paraId="16B07D5B" w14:textId="5FB9FC4C" w:rsidR="00477B8F" w:rsidRPr="009118AB" w:rsidRDefault="00970435" w:rsidP="00477B8F">
      <w:pPr>
        <w:autoSpaceDE w:val="0"/>
        <w:autoSpaceDN w:val="0"/>
        <w:adjustRightInd w:val="0"/>
        <w:jc w:val="both"/>
      </w:pPr>
      <w:r>
        <w:t>- </w:t>
      </w:r>
      <w:r w:rsidR="00477B8F" w:rsidRPr="009118AB">
        <w:t>das Gesetz vom 30. Juni 2000 zur Abänderung des allgemeinen Gesetzes über Zölle und Akzisen und des Einkommensteuergesetzbuches 1992,</w:t>
      </w:r>
    </w:p>
    <w:p w14:paraId="0BC5C203" w14:textId="77777777" w:rsidR="00477B8F" w:rsidRPr="009118AB" w:rsidRDefault="00477B8F" w:rsidP="00477B8F">
      <w:pPr>
        <w:autoSpaceDE w:val="0"/>
        <w:autoSpaceDN w:val="0"/>
        <w:adjustRightInd w:val="0"/>
        <w:jc w:val="both"/>
      </w:pPr>
    </w:p>
    <w:p w14:paraId="3CB0982D" w14:textId="0CB5FCC8" w:rsidR="00477B8F" w:rsidRPr="009118AB" w:rsidRDefault="00970435" w:rsidP="00477B8F">
      <w:pPr>
        <w:autoSpaceDE w:val="0"/>
        <w:autoSpaceDN w:val="0"/>
        <w:adjustRightInd w:val="0"/>
        <w:jc w:val="both"/>
      </w:pPr>
      <w:r>
        <w:t>- </w:t>
      </w:r>
      <w:r w:rsidR="00477B8F" w:rsidRPr="009118AB">
        <w:t xml:space="preserve">das Gesetz vom 19. Juli 2000 zur Abänderung der Artikel 34 </w:t>
      </w:r>
      <w:r w:rsidR="00D67EB8" w:rsidRPr="009118AB">
        <w:t>§ </w:t>
      </w:r>
      <w:r w:rsidR="00477B8F" w:rsidRPr="009118AB">
        <w:t>1 und 39 des Einkommen</w:t>
      </w:r>
      <w:r w:rsidR="00222E0D" w:rsidRPr="009118AB">
        <w:softHyphen/>
      </w:r>
      <w:r w:rsidR="00477B8F" w:rsidRPr="009118AB">
        <w:t>steuer</w:t>
      </w:r>
      <w:r w:rsidR="00222E0D" w:rsidRPr="009118AB">
        <w:softHyphen/>
      </w:r>
      <w:r w:rsidR="00477B8F" w:rsidRPr="009118AB">
        <w:t>gesetzbuches 1992,</w:t>
      </w:r>
    </w:p>
    <w:p w14:paraId="5DCABAD5" w14:textId="77777777" w:rsidR="00477B8F" w:rsidRPr="009118AB" w:rsidRDefault="00477B8F" w:rsidP="00477B8F">
      <w:pPr>
        <w:autoSpaceDE w:val="0"/>
        <w:autoSpaceDN w:val="0"/>
        <w:adjustRightInd w:val="0"/>
        <w:jc w:val="both"/>
      </w:pPr>
    </w:p>
    <w:p w14:paraId="456E57F8" w14:textId="2B64E6DE" w:rsidR="00477B8F" w:rsidRPr="009118AB" w:rsidRDefault="00970435" w:rsidP="00477B8F">
      <w:pPr>
        <w:autoSpaceDE w:val="0"/>
        <w:autoSpaceDN w:val="0"/>
        <w:adjustRightInd w:val="0"/>
        <w:jc w:val="both"/>
      </w:pPr>
      <w:r>
        <w:t>- </w:t>
      </w:r>
      <w:r w:rsidR="00477B8F" w:rsidRPr="009118AB">
        <w:t xml:space="preserve">den Königlichen Erlass vom 20. Juli 2000 zur Einführung des Euro in die Königlichen Erlasse, für die das Ministerium der Finanzen zuständig ist, und zur Ausführung des Gesetzes vom 30. Oktober 1998 über den Euro </w:t>
      </w:r>
      <w:r w:rsidR="00477B8F" w:rsidRPr="009118AB">
        <w:rPr>
          <w:i/>
        </w:rPr>
        <w:t>(I)</w:t>
      </w:r>
      <w:r w:rsidR="00477B8F" w:rsidRPr="009118AB">
        <w:t>,</w:t>
      </w:r>
    </w:p>
    <w:p w14:paraId="35318FB9" w14:textId="77777777" w:rsidR="00477B8F" w:rsidRPr="009118AB" w:rsidRDefault="00477B8F" w:rsidP="00477B8F">
      <w:pPr>
        <w:autoSpaceDE w:val="0"/>
        <w:autoSpaceDN w:val="0"/>
        <w:adjustRightInd w:val="0"/>
        <w:jc w:val="both"/>
      </w:pPr>
    </w:p>
    <w:p w14:paraId="496382C0" w14:textId="7A13AED8" w:rsidR="00477B8F" w:rsidRPr="009118AB" w:rsidRDefault="00970435" w:rsidP="00477B8F">
      <w:pPr>
        <w:autoSpaceDE w:val="0"/>
        <w:autoSpaceDN w:val="0"/>
        <w:adjustRightInd w:val="0"/>
        <w:jc w:val="both"/>
      </w:pPr>
      <w:r>
        <w:t>- </w:t>
      </w:r>
      <w:r w:rsidR="00477B8F" w:rsidRPr="009118AB">
        <w:t xml:space="preserve">den Königlichen Erlass vom 20. Juli 2000 zur Ausführung des Gesetzes vom 26. Juni 2000 über die Einführung des Euro in die Rechtsvorschriften in Bezug auf die in Artikel 78 der Verfassung erwähnten Angelegenheiten, für die das Ministerium der Finanzen zuständig ist </w:t>
      </w:r>
      <w:r w:rsidR="00E84115" w:rsidRPr="009118AB">
        <w:rPr>
          <w:i/>
        </w:rPr>
        <w:t>(II)</w:t>
      </w:r>
      <w:r w:rsidR="00E84115" w:rsidRPr="009118AB">
        <w:t>,</w:t>
      </w:r>
    </w:p>
    <w:p w14:paraId="099BD1BA" w14:textId="77777777" w:rsidR="00477B8F" w:rsidRPr="009118AB" w:rsidRDefault="00477B8F" w:rsidP="00477B8F">
      <w:pPr>
        <w:autoSpaceDE w:val="0"/>
        <w:autoSpaceDN w:val="0"/>
        <w:adjustRightInd w:val="0"/>
        <w:jc w:val="both"/>
      </w:pPr>
    </w:p>
    <w:p w14:paraId="39C9751B" w14:textId="65CAC6E8" w:rsidR="00477B8F" w:rsidRPr="009118AB" w:rsidRDefault="00970435" w:rsidP="00477B8F">
      <w:pPr>
        <w:autoSpaceDE w:val="0"/>
        <w:autoSpaceDN w:val="0"/>
        <w:adjustRightInd w:val="0"/>
        <w:jc w:val="both"/>
      </w:pPr>
      <w:r>
        <w:t>- </w:t>
      </w:r>
      <w:r w:rsidR="00477B8F" w:rsidRPr="009118AB">
        <w:t xml:space="preserve">das Gesetz vom 12. August 2000 zur Festlegung verschiedener Bestimmungen in Bezug auf die Organisation der Finanzmärkte und verschiedener anderer Bestimmungen </w:t>
      </w:r>
      <w:r w:rsidR="00477B8F" w:rsidRPr="009118AB">
        <w:rPr>
          <w:i/>
        </w:rPr>
        <w:t>(I)</w:t>
      </w:r>
      <w:r w:rsidR="00477B8F" w:rsidRPr="009118AB">
        <w:t>,</w:t>
      </w:r>
    </w:p>
    <w:p w14:paraId="009E70EB" w14:textId="77777777" w:rsidR="00477B8F" w:rsidRPr="009118AB" w:rsidRDefault="00477B8F" w:rsidP="00477B8F">
      <w:pPr>
        <w:autoSpaceDE w:val="0"/>
        <w:autoSpaceDN w:val="0"/>
        <w:adjustRightInd w:val="0"/>
        <w:jc w:val="both"/>
      </w:pPr>
    </w:p>
    <w:p w14:paraId="595E8E42" w14:textId="6AC489EF" w:rsidR="00477B8F" w:rsidRPr="009118AB" w:rsidRDefault="00970435" w:rsidP="00477B8F">
      <w:pPr>
        <w:autoSpaceDE w:val="0"/>
        <w:autoSpaceDN w:val="0"/>
        <w:adjustRightInd w:val="0"/>
        <w:jc w:val="both"/>
      </w:pPr>
      <w:r>
        <w:t>- </w:t>
      </w:r>
      <w:r w:rsidR="00477B8F" w:rsidRPr="009118AB">
        <w:t xml:space="preserve">das Gesetz vom 12. August 2000 zur allmählichen Abschaffung der zusätzlichen Krisenabgabe auf die Einkünfte der natürlichen Personen </w:t>
      </w:r>
      <w:r w:rsidR="00477B8F" w:rsidRPr="009118AB">
        <w:rPr>
          <w:i/>
        </w:rPr>
        <w:t>(II)</w:t>
      </w:r>
      <w:r w:rsidR="00477B8F" w:rsidRPr="009118AB">
        <w:t>,</w:t>
      </w:r>
    </w:p>
    <w:p w14:paraId="1B845E3C" w14:textId="77777777" w:rsidR="00477B8F" w:rsidRPr="009118AB" w:rsidRDefault="00477B8F" w:rsidP="00477B8F">
      <w:pPr>
        <w:autoSpaceDE w:val="0"/>
        <w:autoSpaceDN w:val="0"/>
        <w:adjustRightInd w:val="0"/>
        <w:jc w:val="both"/>
      </w:pPr>
    </w:p>
    <w:p w14:paraId="401FE416" w14:textId="0C7AB774" w:rsidR="00477B8F" w:rsidRPr="009118AB" w:rsidRDefault="00970435" w:rsidP="00477B8F">
      <w:pPr>
        <w:autoSpaceDE w:val="0"/>
        <w:autoSpaceDN w:val="0"/>
        <w:adjustRightInd w:val="0"/>
        <w:jc w:val="both"/>
      </w:pPr>
      <w:r>
        <w:t>- </w:t>
      </w:r>
      <w:r w:rsidR="00477B8F" w:rsidRPr="009118AB">
        <w:t>das Gesetz vom 12. August 2000 zur Festlegung von sozialen, Haushalts</w:t>
      </w:r>
      <w:r>
        <w:t>- </w:t>
      </w:r>
      <w:r w:rsidR="00477B8F" w:rsidRPr="009118AB">
        <w:t>und sonstigen Bestimmungen</w:t>
      </w:r>
      <w:r w:rsidR="00477B8F" w:rsidRPr="009118AB">
        <w:rPr>
          <w:i/>
          <w:iCs/>
        </w:rPr>
        <w:t xml:space="preserve"> (offizielle deutsche Übersetzung: Belgisches Staatsblatt vom 22.</w:t>
      </w:r>
      <w:r w:rsidR="00E84115" w:rsidRPr="009118AB">
        <w:rPr>
          <w:i/>
          <w:iCs/>
        </w:rPr>
        <w:t> </w:t>
      </w:r>
      <w:r w:rsidR="00477B8F" w:rsidRPr="009118AB">
        <w:rPr>
          <w:i/>
          <w:iCs/>
        </w:rPr>
        <w:t>Februar 2006)</w:t>
      </w:r>
      <w:r w:rsidR="009D5A30" w:rsidRPr="009118AB">
        <w:rPr>
          <w:i/>
        </w:rPr>
        <w:t> </w:t>
      </w:r>
      <w:r w:rsidR="003266AF" w:rsidRPr="009118AB">
        <w:rPr>
          <w:i/>
        </w:rPr>
        <w:t>(III)</w:t>
      </w:r>
      <w:r w:rsidR="00477B8F" w:rsidRPr="009118AB">
        <w:t>,</w:t>
      </w:r>
    </w:p>
    <w:p w14:paraId="227DF3FD" w14:textId="77777777" w:rsidR="00477B8F" w:rsidRDefault="00477B8F" w:rsidP="00477B8F">
      <w:pPr>
        <w:autoSpaceDE w:val="0"/>
        <w:autoSpaceDN w:val="0"/>
        <w:adjustRightInd w:val="0"/>
        <w:jc w:val="both"/>
      </w:pPr>
    </w:p>
    <w:p w14:paraId="35355579" w14:textId="18F003FA" w:rsidR="008720AB" w:rsidRDefault="008720AB" w:rsidP="00477B8F">
      <w:pPr>
        <w:autoSpaceDE w:val="0"/>
        <w:autoSpaceDN w:val="0"/>
        <w:adjustRightInd w:val="0"/>
        <w:jc w:val="both"/>
      </w:pPr>
      <w:r>
        <w:t xml:space="preserve">- den </w:t>
      </w:r>
      <w:r w:rsidRPr="008720AB">
        <w:t>Entscheid Nr. 30/2001 des Schiedshofs vom 1. März 2001 (</w:t>
      </w:r>
      <w:r>
        <w:rPr>
          <w:i/>
          <w:iCs/>
        </w:rPr>
        <w:t xml:space="preserve">Belgisches Staatsblatt </w:t>
      </w:r>
      <w:r w:rsidRPr="008720AB">
        <w:t>vom 24. März 2001)</w:t>
      </w:r>
      <w:r>
        <w:t>,</w:t>
      </w:r>
    </w:p>
    <w:p w14:paraId="1B77F905" w14:textId="77777777" w:rsidR="008720AB" w:rsidRPr="008720AB" w:rsidRDefault="008720AB" w:rsidP="00477B8F">
      <w:pPr>
        <w:autoSpaceDE w:val="0"/>
        <w:autoSpaceDN w:val="0"/>
        <w:adjustRightInd w:val="0"/>
        <w:jc w:val="both"/>
      </w:pPr>
    </w:p>
    <w:p w14:paraId="5505FC23" w14:textId="5AEF8BB5" w:rsidR="00477B8F" w:rsidRPr="009118AB" w:rsidRDefault="00970435" w:rsidP="00477B8F">
      <w:pPr>
        <w:autoSpaceDE w:val="0"/>
        <w:autoSpaceDN w:val="0"/>
        <w:adjustRightInd w:val="0"/>
        <w:jc w:val="both"/>
      </w:pPr>
      <w:r>
        <w:lastRenderedPageBreak/>
        <w:t>- </w:t>
      </w:r>
      <w:r w:rsidR="00477B8F" w:rsidRPr="009118AB">
        <w:t xml:space="preserve">das Gesetz vom 23. März 2001 zur Abänderung von Artikel 104 </w:t>
      </w:r>
      <w:r w:rsidR="00D67EB8" w:rsidRPr="009118AB">
        <w:t>Nr. </w:t>
      </w:r>
      <w:r w:rsidR="00477B8F" w:rsidRPr="009118AB">
        <w:t>7 des Einkommen</w:t>
      </w:r>
      <w:r w:rsidR="00222E0D" w:rsidRPr="009118AB">
        <w:softHyphen/>
      </w:r>
      <w:r w:rsidR="00477B8F" w:rsidRPr="009118AB">
        <w:t>steuer</w:t>
      </w:r>
      <w:r w:rsidR="00222E0D" w:rsidRPr="009118AB">
        <w:softHyphen/>
      </w:r>
      <w:r w:rsidR="00477B8F" w:rsidRPr="009118AB">
        <w:t>gesetzbuches 1992,</w:t>
      </w:r>
    </w:p>
    <w:p w14:paraId="61A6B2A3" w14:textId="77777777" w:rsidR="00477B8F" w:rsidRPr="009118AB" w:rsidRDefault="00477B8F" w:rsidP="00477B8F">
      <w:pPr>
        <w:autoSpaceDE w:val="0"/>
        <w:autoSpaceDN w:val="0"/>
        <w:adjustRightInd w:val="0"/>
        <w:jc w:val="both"/>
      </w:pPr>
    </w:p>
    <w:p w14:paraId="532014F2" w14:textId="5D71A3F5" w:rsidR="00477B8F" w:rsidRPr="009118AB" w:rsidRDefault="00970435" w:rsidP="00477B8F">
      <w:pPr>
        <w:autoSpaceDE w:val="0"/>
        <w:autoSpaceDN w:val="0"/>
        <w:adjustRightInd w:val="0"/>
        <w:jc w:val="both"/>
      </w:pPr>
      <w:r>
        <w:t>- </w:t>
      </w:r>
      <w:r w:rsidR="00477B8F" w:rsidRPr="009118AB">
        <w:t>das Gesetz vom 22. Mai 2001 über die Beteiligung der Arbeitnehmer an Kapital und Gewinn der Gesellschaften,</w:t>
      </w:r>
    </w:p>
    <w:p w14:paraId="10D059D0" w14:textId="77777777" w:rsidR="00477B8F" w:rsidRPr="009118AB" w:rsidRDefault="00477B8F" w:rsidP="00477B8F">
      <w:pPr>
        <w:autoSpaceDE w:val="0"/>
        <w:autoSpaceDN w:val="0"/>
        <w:adjustRightInd w:val="0"/>
        <w:jc w:val="both"/>
      </w:pPr>
    </w:p>
    <w:p w14:paraId="2412487F" w14:textId="2FF6BBF9" w:rsidR="00477B8F" w:rsidRPr="009118AB" w:rsidRDefault="00970435" w:rsidP="00477B8F">
      <w:pPr>
        <w:autoSpaceDE w:val="0"/>
        <w:autoSpaceDN w:val="0"/>
        <w:adjustRightInd w:val="0"/>
        <w:jc w:val="both"/>
      </w:pPr>
      <w:r>
        <w:t>- </w:t>
      </w:r>
      <w:r w:rsidR="00477B8F" w:rsidRPr="009118AB">
        <w:t>das Gesetz vom 21. Juni 2001 zur Abänderung der Auswirkungen von Schenkungen an den Staat auf die Einkommensteuer und zur Abänderung der Modalitäten der Hingabe von Kunstgegenständen an Zahlungs statt zur Abgeltung der Erbschaftssteuer,</w:t>
      </w:r>
    </w:p>
    <w:p w14:paraId="6C73F1FF" w14:textId="77777777" w:rsidR="00477B8F" w:rsidRPr="009118AB" w:rsidRDefault="00477B8F" w:rsidP="00477B8F">
      <w:pPr>
        <w:autoSpaceDE w:val="0"/>
        <w:autoSpaceDN w:val="0"/>
        <w:adjustRightInd w:val="0"/>
        <w:jc w:val="both"/>
      </w:pPr>
    </w:p>
    <w:p w14:paraId="3717B6E1" w14:textId="4016BB2B" w:rsidR="00477B8F" w:rsidRPr="009118AB" w:rsidRDefault="00970435" w:rsidP="00477B8F">
      <w:pPr>
        <w:autoSpaceDE w:val="0"/>
        <w:autoSpaceDN w:val="0"/>
        <w:adjustRightInd w:val="0"/>
        <w:jc w:val="both"/>
      </w:pPr>
      <w:r>
        <w:t>- </w:t>
      </w:r>
      <w:r w:rsidR="00477B8F" w:rsidRPr="009118AB">
        <w:t>das Gesetz vom 10. Juli 2001 zur Abänderung von Artikel 38 des Einkommensteuer</w:t>
      </w:r>
      <w:r w:rsidR="00222E0D" w:rsidRPr="009118AB">
        <w:softHyphen/>
      </w:r>
      <w:r w:rsidR="00477B8F" w:rsidRPr="009118AB">
        <w:t>gesetzbuches 1992 in Bezug auf die Beteiligung des Arbeitgebers an den Kosten der Fahrt zwischen Wohnsitz und Arbeitsplatz,</w:t>
      </w:r>
    </w:p>
    <w:p w14:paraId="618A91EB" w14:textId="77777777" w:rsidR="008A5CAC" w:rsidRPr="009118AB" w:rsidRDefault="008A5CAC" w:rsidP="00477B8F">
      <w:pPr>
        <w:autoSpaceDE w:val="0"/>
        <w:autoSpaceDN w:val="0"/>
        <w:adjustRightInd w:val="0"/>
        <w:jc w:val="both"/>
      </w:pPr>
    </w:p>
    <w:p w14:paraId="23CF974D" w14:textId="0B85B570" w:rsidR="00477B8F" w:rsidRPr="009118AB" w:rsidRDefault="00970435" w:rsidP="00477B8F">
      <w:pPr>
        <w:autoSpaceDE w:val="0"/>
        <w:autoSpaceDN w:val="0"/>
        <w:adjustRightInd w:val="0"/>
        <w:jc w:val="both"/>
      </w:pPr>
      <w:r>
        <w:t>- </w:t>
      </w:r>
      <w:r w:rsidR="00477B8F" w:rsidRPr="009118AB">
        <w:t>den Königlichen Erlass vom 13. Juli 2001 zur Ausführung des Gesetzes vom 26. Juni 2000 über die Einführung des Euro in die Rechtsvorschriften in Bezug auf die in Artikel 78 der Verfassung erwähnten Angelegenheiten, für die das Ministerium der Finanzen zuständig ist,</w:t>
      </w:r>
    </w:p>
    <w:p w14:paraId="6DEC3C56" w14:textId="77777777" w:rsidR="00477B8F" w:rsidRPr="009118AB" w:rsidRDefault="00477B8F" w:rsidP="00477B8F">
      <w:pPr>
        <w:autoSpaceDE w:val="0"/>
        <w:autoSpaceDN w:val="0"/>
        <w:adjustRightInd w:val="0"/>
        <w:jc w:val="both"/>
      </w:pPr>
    </w:p>
    <w:p w14:paraId="1AD3A781" w14:textId="21EFEFE4" w:rsidR="00477B8F" w:rsidRPr="009118AB" w:rsidRDefault="00970435" w:rsidP="00477B8F">
      <w:pPr>
        <w:autoSpaceDE w:val="0"/>
        <w:autoSpaceDN w:val="0"/>
        <w:adjustRightInd w:val="0"/>
        <w:jc w:val="both"/>
      </w:pPr>
      <w:r>
        <w:t>- </w:t>
      </w:r>
      <w:r w:rsidR="00477B8F" w:rsidRPr="009118AB">
        <w:t>das Gesetz vom 16. Juli 2001 zur Abänderung des Gesetzes vom 29. April 1999 über die Organisation des Elektrizitätsmarktes, des Gesetzes vom 12. April 1965 über den Transport gasförmiger und anderer Produkte durch Leitungen und des Einkommensteuer</w:t>
      </w:r>
      <w:r w:rsidR="00222E0D" w:rsidRPr="009118AB">
        <w:softHyphen/>
      </w:r>
      <w:r w:rsidR="00477B8F" w:rsidRPr="009118AB">
        <w:t>gesetzbuches 1992,</w:t>
      </w:r>
    </w:p>
    <w:p w14:paraId="44CDC7DF" w14:textId="77777777" w:rsidR="00477B8F" w:rsidRPr="009118AB" w:rsidRDefault="00477B8F" w:rsidP="00477B8F">
      <w:pPr>
        <w:autoSpaceDE w:val="0"/>
        <w:autoSpaceDN w:val="0"/>
        <w:adjustRightInd w:val="0"/>
        <w:jc w:val="both"/>
      </w:pPr>
    </w:p>
    <w:p w14:paraId="25797ED8" w14:textId="0B671DD0" w:rsidR="00477B8F" w:rsidRPr="009118AB" w:rsidRDefault="00970435" w:rsidP="00477B8F">
      <w:pPr>
        <w:autoSpaceDE w:val="0"/>
        <w:autoSpaceDN w:val="0"/>
        <w:adjustRightInd w:val="0"/>
        <w:jc w:val="both"/>
      </w:pPr>
      <w:r>
        <w:t>- </w:t>
      </w:r>
      <w:r w:rsidR="00477B8F" w:rsidRPr="009118AB">
        <w:t>das Programmgesetz vom 19. Juli 2001,</w:t>
      </w:r>
    </w:p>
    <w:p w14:paraId="4103ED39" w14:textId="77777777" w:rsidR="00477B8F" w:rsidRPr="009118AB" w:rsidRDefault="00477B8F" w:rsidP="00477B8F">
      <w:pPr>
        <w:autoSpaceDE w:val="0"/>
        <w:autoSpaceDN w:val="0"/>
        <w:adjustRightInd w:val="0"/>
        <w:jc w:val="both"/>
      </w:pPr>
    </w:p>
    <w:p w14:paraId="4EB08BDB" w14:textId="5C8DA7EC" w:rsidR="00477B8F" w:rsidRPr="009118AB" w:rsidRDefault="00970435" w:rsidP="00477B8F">
      <w:pPr>
        <w:autoSpaceDE w:val="0"/>
        <w:autoSpaceDN w:val="0"/>
        <w:adjustRightInd w:val="0"/>
        <w:jc w:val="both"/>
      </w:pPr>
      <w:r>
        <w:t>- </w:t>
      </w:r>
      <w:r w:rsidR="00477B8F" w:rsidRPr="009118AB">
        <w:t xml:space="preserve">das Gesetz vom 20. Juli 2001 zur Förderung der Entwicklung von Dienstleistungen und Arbeitsplätzen im Nahbereich </w:t>
      </w:r>
      <w:r w:rsidR="00477B8F" w:rsidRPr="009118AB">
        <w:rPr>
          <w:i/>
          <w:iCs/>
        </w:rPr>
        <w:t>(offizielle deutsche Übersetzung: Belgisches Staatsblatt vom 12. Juli 2002)</w:t>
      </w:r>
      <w:r w:rsidR="00477B8F" w:rsidRPr="009118AB">
        <w:t>,</w:t>
      </w:r>
    </w:p>
    <w:p w14:paraId="65F23CD4" w14:textId="77777777" w:rsidR="00477B8F" w:rsidRPr="009118AB" w:rsidRDefault="00477B8F" w:rsidP="00477B8F">
      <w:pPr>
        <w:autoSpaceDE w:val="0"/>
        <w:autoSpaceDN w:val="0"/>
        <w:adjustRightInd w:val="0"/>
        <w:jc w:val="both"/>
      </w:pPr>
    </w:p>
    <w:p w14:paraId="19147CEA" w14:textId="7BFAD714" w:rsidR="00477B8F" w:rsidRPr="009118AB" w:rsidRDefault="00970435" w:rsidP="00477B8F">
      <w:pPr>
        <w:autoSpaceDE w:val="0"/>
        <w:autoSpaceDN w:val="0"/>
        <w:adjustRightInd w:val="0"/>
        <w:jc w:val="both"/>
      </w:pPr>
      <w:r>
        <w:t>- </w:t>
      </w:r>
      <w:r w:rsidR="00477B8F" w:rsidRPr="009118AB">
        <w:t>das Gesetz vom 10. August 2001 zur Reform der Steuer der natürlichen Personen,</w:t>
      </w:r>
    </w:p>
    <w:p w14:paraId="4208E610" w14:textId="77777777" w:rsidR="00477B8F" w:rsidRPr="009118AB" w:rsidRDefault="00477B8F" w:rsidP="00477B8F">
      <w:pPr>
        <w:autoSpaceDE w:val="0"/>
        <w:autoSpaceDN w:val="0"/>
        <w:adjustRightInd w:val="0"/>
        <w:jc w:val="both"/>
      </w:pPr>
    </w:p>
    <w:p w14:paraId="6A6ED178" w14:textId="434ACA56" w:rsidR="00477B8F" w:rsidRPr="009118AB" w:rsidRDefault="00970435" w:rsidP="00477B8F">
      <w:pPr>
        <w:autoSpaceDE w:val="0"/>
        <w:autoSpaceDN w:val="0"/>
        <w:adjustRightInd w:val="0"/>
        <w:jc w:val="both"/>
      </w:pPr>
      <w:r>
        <w:t>- </w:t>
      </w:r>
      <w:r w:rsidR="00477B8F" w:rsidRPr="009118AB">
        <w:t>das Gesetz vom 5. Dezember 2001 zur Abänderung von Artikel 298 des Einkommensteuer</w:t>
      </w:r>
      <w:r w:rsidR="00222E0D" w:rsidRPr="009118AB">
        <w:softHyphen/>
      </w:r>
      <w:r w:rsidR="00477B8F" w:rsidRPr="009118AB">
        <w:t>gesetzbuches 1992,</w:t>
      </w:r>
    </w:p>
    <w:p w14:paraId="3866EABF" w14:textId="77777777" w:rsidR="00477B8F" w:rsidRPr="009118AB" w:rsidRDefault="00477B8F" w:rsidP="00477B8F">
      <w:pPr>
        <w:autoSpaceDE w:val="0"/>
        <w:autoSpaceDN w:val="0"/>
        <w:adjustRightInd w:val="0"/>
        <w:jc w:val="both"/>
      </w:pPr>
    </w:p>
    <w:p w14:paraId="5F48686B" w14:textId="076964C8" w:rsidR="00477B8F" w:rsidRPr="009118AB" w:rsidRDefault="00970435" w:rsidP="00477B8F">
      <w:pPr>
        <w:autoSpaceDE w:val="0"/>
        <w:autoSpaceDN w:val="0"/>
        <w:adjustRightInd w:val="0"/>
        <w:jc w:val="both"/>
      </w:pPr>
      <w:r>
        <w:t>- </w:t>
      </w:r>
      <w:r w:rsidR="00477B8F" w:rsidRPr="009118AB">
        <w:t xml:space="preserve">das Gesetz vom 10. Dezember 2001 zur Abänderung verschiedener Steuergesetzbücher, was die Kassationsbeschwerde und die Vertretung des Staates vor Gerichtshöfen und Gerichten betrifft </w:t>
      </w:r>
      <w:r w:rsidR="00477B8F" w:rsidRPr="009118AB">
        <w:rPr>
          <w:i/>
        </w:rPr>
        <w:t>(I)</w:t>
      </w:r>
      <w:r w:rsidR="00477B8F" w:rsidRPr="009118AB">
        <w:t>,</w:t>
      </w:r>
    </w:p>
    <w:p w14:paraId="77DAB233" w14:textId="77777777" w:rsidR="00477B8F" w:rsidRPr="009118AB" w:rsidRDefault="00477B8F" w:rsidP="00477B8F">
      <w:pPr>
        <w:autoSpaceDE w:val="0"/>
        <w:autoSpaceDN w:val="0"/>
        <w:adjustRightInd w:val="0"/>
        <w:jc w:val="both"/>
      </w:pPr>
    </w:p>
    <w:p w14:paraId="1BF34CDC" w14:textId="09E4DE97" w:rsidR="00477B8F" w:rsidRPr="009118AB" w:rsidRDefault="00970435" w:rsidP="00477B8F">
      <w:pPr>
        <w:autoSpaceDE w:val="0"/>
        <w:autoSpaceDN w:val="0"/>
        <w:adjustRightInd w:val="0"/>
        <w:jc w:val="both"/>
      </w:pPr>
      <w:r>
        <w:t>- </w:t>
      </w:r>
      <w:r w:rsidR="00477B8F" w:rsidRPr="009118AB">
        <w:t>das Gesetz vom 10. Dezember 2001 zur Abänderung von Artikel 470 des Einkommen</w:t>
      </w:r>
      <w:r w:rsidR="00222E0D" w:rsidRPr="009118AB">
        <w:softHyphen/>
      </w:r>
      <w:r w:rsidR="00477B8F" w:rsidRPr="009118AB">
        <w:t>steuer</w:t>
      </w:r>
      <w:r w:rsidR="00222E0D" w:rsidRPr="009118AB">
        <w:softHyphen/>
      </w:r>
      <w:r w:rsidR="00477B8F" w:rsidRPr="009118AB">
        <w:t xml:space="preserve">gesetzbuches 1992 im Hinblick auf eine Verbesserung der Gemeindefinanzen </w:t>
      </w:r>
      <w:r w:rsidR="00477B8F" w:rsidRPr="009118AB">
        <w:rPr>
          <w:i/>
        </w:rPr>
        <w:t>(II)</w:t>
      </w:r>
      <w:r w:rsidR="00477B8F" w:rsidRPr="009118AB">
        <w:t>,</w:t>
      </w:r>
    </w:p>
    <w:p w14:paraId="5FD850FD" w14:textId="77777777" w:rsidR="00477B8F" w:rsidRPr="009118AB" w:rsidRDefault="00477B8F" w:rsidP="00477B8F">
      <w:pPr>
        <w:autoSpaceDE w:val="0"/>
        <w:autoSpaceDN w:val="0"/>
        <w:adjustRightInd w:val="0"/>
        <w:jc w:val="both"/>
      </w:pPr>
    </w:p>
    <w:p w14:paraId="08A7D52D" w14:textId="1466DBE6" w:rsidR="00477B8F" w:rsidRPr="009118AB" w:rsidRDefault="00970435" w:rsidP="00477B8F">
      <w:pPr>
        <w:autoSpaceDE w:val="0"/>
        <w:autoSpaceDN w:val="0"/>
        <w:adjustRightInd w:val="0"/>
        <w:jc w:val="both"/>
      </w:pPr>
      <w:r>
        <w:t>- </w:t>
      </w:r>
      <w:r w:rsidR="00477B8F" w:rsidRPr="009118AB">
        <w:t>den Königlichen Erlass vom 11. Dezember 2001 zur Ausführung des Gesetzes vom 26. Juni 2000 über die Einführung des Euro in die Rechtsvorschriften in Bezug auf die in Artikel 78 der Verfassung erwähnten Angelegenheiten, für die das Ministerium der Finanzen zuständig ist,</w:t>
      </w:r>
    </w:p>
    <w:p w14:paraId="29A9DBF7" w14:textId="77777777" w:rsidR="00477B8F" w:rsidRPr="009118AB" w:rsidRDefault="00477B8F" w:rsidP="00477B8F">
      <w:pPr>
        <w:autoSpaceDE w:val="0"/>
        <w:autoSpaceDN w:val="0"/>
        <w:adjustRightInd w:val="0"/>
        <w:jc w:val="both"/>
      </w:pPr>
    </w:p>
    <w:p w14:paraId="74686A8B" w14:textId="55B5CE8F" w:rsidR="00477B8F" w:rsidRPr="009118AB" w:rsidRDefault="00970435" w:rsidP="00477B8F">
      <w:pPr>
        <w:autoSpaceDE w:val="0"/>
        <w:autoSpaceDN w:val="0"/>
        <w:adjustRightInd w:val="0"/>
        <w:jc w:val="both"/>
      </w:pPr>
      <w:r>
        <w:t>- </w:t>
      </w:r>
      <w:r w:rsidR="00477B8F" w:rsidRPr="009118AB">
        <w:t xml:space="preserve">das Gesetz vom 7. März 2002 zur Abänderung, was Provinzialratsmitglieder betrifft, von Artikel 27 Absatz 2 des Einkommensteuergesetzbuches 1992 und, was Mitglieder der ständigen Ausschüsse betrifft, von Artikel 53 </w:t>
      </w:r>
      <w:r w:rsidR="00D67EB8" w:rsidRPr="009118AB">
        <w:t>Nr. </w:t>
      </w:r>
      <w:r w:rsidR="00477B8F" w:rsidRPr="009118AB">
        <w:t>17 desselben Gesetzbuches,</w:t>
      </w:r>
    </w:p>
    <w:p w14:paraId="64CC5233" w14:textId="77777777" w:rsidR="00222E0D" w:rsidRPr="009118AB" w:rsidRDefault="00222E0D" w:rsidP="00477B8F">
      <w:pPr>
        <w:autoSpaceDE w:val="0"/>
        <w:autoSpaceDN w:val="0"/>
        <w:adjustRightInd w:val="0"/>
        <w:jc w:val="both"/>
      </w:pPr>
    </w:p>
    <w:p w14:paraId="0D7A6A89" w14:textId="45E08A54" w:rsidR="00477B8F" w:rsidRPr="009118AB" w:rsidRDefault="00970435" w:rsidP="00477B8F">
      <w:pPr>
        <w:autoSpaceDE w:val="0"/>
        <w:autoSpaceDN w:val="0"/>
        <w:adjustRightInd w:val="0"/>
        <w:jc w:val="both"/>
      </w:pPr>
      <w:r>
        <w:lastRenderedPageBreak/>
        <w:t>- </w:t>
      </w:r>
      <w:r w:rsidR="00477B8F" w:rsidRPr="009118AB">
        <w:t>das Gesetz vom 13. März 2002 im Hinblick auf die Zurverfügungstellung von Beamten der Steuerverwaltungen an die föderale Polizei,</w:t>
      </w:r>
    </w:p>
    <w:p w14:paraId="2C55D4D9" w14:textId="77777777" w:rsidR="00477B8F" w:rsidRPr="009118AB" w:rsidRDefault="00477B8F" w:rsidP="00477B8F">
      <w:pPr>
        <w:autoSpaceDE w:val="0"/>
        <w:autoSpaceDN w:val="0"/>
        <w:adjustRightInd w:val="0"/>
        <w:jc w:val="both"/>
      </w:pPr>
    </w:p>
    <w:p w14:paraId="73D362D1" w14:textId="52D0429C" w:rsidR="00477B8F" w:rsidRPr="009118AB" w:rsidRDefault="00970435" w:rsidP="00477B8F">
      <w:pPr>
        <w:autoSpaceDE w:val="0"/>
        <w:autoSpaceDN w:val="0"/>
        <w:adjustRightInd w:val="0"/>
        <w:jc w:val="both"/>
      </w:pPr>
      <w:r>
        <w:t>- </w:t>
      </w:r>
      <w:r w:rsidR="00477B8F" w:rsidRPr="009118AB">
        <w:t xml:space="preserve">das Gesetz vom 19. April 2002 zur Rationalisierung der Arbeit und Verwaltung der Nationallotterie </w:t>
      </w:r>
      <w:r w:rsidR="00477B8F" w:rsidRPr="009118AB">
        <w:rPr>
          <w:i/>
          <w:iCs/>
        </w:rPr>
        <w:t>(offizielle deutsche Übersetzung: Belgisches Staatsblatt vom 3. Januar 2003)</w:t>
      </w:r>
      <w:r w:rsidR="00477B8F" w:rsidRPr="009118AB">
        <w:t>,</w:t>
      </w:r>
    </w:p>
    <w:p w14:paraId="0F82F1E7" w14:textId="77777777" w:rsidR="00477B8F" w:rsidRPr="009118AB" w:rsidRDefault="00477B8F" w:rsidP="00477B8F">
      <w:pPr>
        <w:autoSpaceDE w:val="0"/>
        <w:autoSpaceDN w:val="0"/>
        <w:adjustRightInd w:val="0"/>
        <w:jc w:val="both"/>
      </w:pPr>
    </w:p>
    <w:p w14:paraId="2D86D5B4" w14:textId="5D59C94B" w:rsidR="00477B8F" w:rsidRPr="009118AB" w:rsidRDefault="00970435" w:rsidP="00477B8F">
      <w:pPr>
        <w:autoSpaceDE w:val="0"/>
        <w:autoSpaceDN w:val="0"/>
        <w:adjustRightInd w:val="0"/>
        <w:jc w:val="both"/>
      </w:pPr>
      <w:r>
        <w:t>- </w:t>
      </w:r>
      <w:r w:rsidR="00477B8F" w:rsidRPr="009118AB">
        <w:t xml:space="preserve">das Gesetz vom 2. Mai 2002 über die Vereinigungen ohne Gewinnerzielungsabsicht, die internationalen Vereinigungen ohne Gewinnerzielungsabsicht und die Stiftungen </w:t>
      </w:r>
      <w:r w:rsidR="00477B8F" w:rsidRPr="009118AB">
        <w:rPr>
          <w:i/>
          <w:iCs/>
        </w:rPr>
        <w:t>(offizielle deutsche Übersetzung: Belgisches Staatsblatt vom 12. November 2003)</w:t>
      </w:r>
      <w:r w:rsidR="00477B8F" w:rsidRPr="009118AB">
        <w:t>,</w:t>
      </w:r>
    </w:p>
    <w:p w14:paraId="28C1295E" w14:textId="77777777" w:rsidR="00477B8F" w:rsidRPr="009118AB" w:rsidRDefault="00477B8F" w:rsidP="00477B8F">
      <w:pPr>
        <w:autoSpaceDE w:val="0"/>
        <w:autoSpaceDN w:val="0"/>
        <w:adjustRightInd w:val="0"/>
        <w:jc w:val="both"/>
      </w:pPr>
    </w:p>
    <w:p w14:paraId="155CBFDC" w14:textId="1457700F" w:rsidR="00477B8F" w:rsidRPr="009118AB" w:rsidRDefault="00970435" w:rsidP="00477B8F">
      <w:pPr>
        <w:autoSpaceDE w:val="0"/>
        <w:autoSpaceDN w:val="0"/>
        <w:adjustRightInd w:val="0"/>
        <w:jc w:val="both"/>
      </w:pPr>
      <w:r>
        <w:t>- </w:t>
      </w:r>
      <w:r w:rsidR="00477B8F" w:rsidRPr="009118AB">
        <w:t xml:space="preserve">das Gesetz vom 21. Juni 2002 zur Abänderung von Artikel 25 des Gesetzes vom 10. August 2001 zur Reform der Steuer der natürlichen Personen und der Artikel 136, 140, 141 und 178 </w:t>
      </w:r>
      <w:r w:rsidR="00D67EB8" w:rsidRPr="009118AB">
        <w:t>§ </w:t>
      </w:r>
      <w:r w:rsidR="00477B8F" w:rsidRPr="009118AB">
        <w:t>3 des Einkommensteuergesetzbuches 1992,</w:t>
      </w:r>
    </w:p>
    <w:p w14:paraId="2239240E" w14:textId="77777777" w:rsidR="00477B8F" w:rsidRPr="009118AB" w:rsidRDefault="00477B8F" w:rsidP="00477B8F">
      <w:pPr>
        <w:autoSpaceDE w:val="0"/>
        <w:autoSpaceDN w:val="0"/>
        <w:adjustRightInd w:val="0"/>
        <w:jc w:val="both"/>
      </w:pPr>
    </w:p>
    <w:p w14:paraId="0528EB5B" w14:textId="42F5F874" w:rsidR="00477B8F" w:rsidRPr="009118AB" w:rsidRDefault="00970435" w:rsidP="00477B8F">
      <w:pPr>
        <w:autoSpaceDE w:val="0"/>
        <w:autoSpaceDN w:val="0"/>
        <w:adjustRightInd w:val="0"/>
        <w:jc w:val="both"/>
      </w:pPr>
      <w:r>
        <w:t>- </w:t>
      </w:r>
      <w:r w:rsidR="00477B8F" w:rsidRPr="009118AB">
        <w:t>das Programmgesetz vom 2. August 2002,</w:t>
      </w:r>
    </w:p>
    <w:p w14:paraId="0DD9B35D" w14:textId="77777777" w:rsidR="00477B8F" w:rsidRPr="009118AB" w:rsidRDefault="00477B8F" w:rsidP="00477B8F">
      <w:pPr>
        <w:autoSpaceDE w:val="0"/>
        <w:autoSpaceDN w:val="0"/>
        <w:adjustRightInd w:val="0"/>
        <w:jc w:val="both"/>
      </w:pPr>
    </w:p>
    <w:p w14:paraId="73C2BE30" w14:textId="2402630C" w:rsidR="00477B8F" w:rsidRPr="009118AB" w:rsidRDefault="00970435" w:rsidP="00477B8F">
      <w:pPr>
        <w:autoSpaceDE w:val="0"/>
        <w:autoSpaceDN w:val="0"/>
        <w:adjustRightInd w:val="0"/>
        <w:jc w:val="both"/>
      </w:pPr>
      <w:r>
        <w:t>- </w:t>
      </w:r>
      <w:r w:rsidR="00477B8F" w:rsidRPr="009118AB">
        <w:t>das Gesetz vom 27. November 2002 zur Abänderung von Artikel 219 des Einkommensteuergesetzbuches 1992,</w:t>
      </w:r>
    </w:p>
    <w:p w14:paraId="11073B9D" w14:textId="77777777" w:rsidR="00477B8F" w:rsidRPr="009118AB" w:rsidRDefault="00477B8F" w:rsidP="00477B8F">
      <w:pPr>
        <w:autoSpaceDE w:val="0"/>
        <w:autoSpaceDN w:val="0"/>
        <w:adjustRightInd w:val="0"/>
        <w:jc w:val="both"/>
      </w:pPr>
    </w:p>
    <w:p w14:paraId="5D86B965" w14:textId="6D9223AC" w:rsidR="00477B8F" w:rsidRPr="009118AB" w:rsidRDefault="00970435" w:rsidP="00477B8F">
      <w:pPr>
        <w:autoSpaceDE w:val="0"/>
        <w:autoSpaceDN w:val="0"/>
        <w:adjustRightInd w:val="0"/>
        <w:jc w:val="both"/>
      </w:pPr>
      <w:r>
        <w:t>- </w:t>
      </w:r>
      <w:r w:rsidR="00477B8F" w:rsidRPr="009118AB">
        <w:t>das Gesetz vom 13. Dezember 2002 zur Einfügung von Artikel 466</w:t>
      </w:r>
      <w:r w:rsidR="00477B8F" w:rsidRPr="009118AB">
        <w:rPr>
          <w:i/>
          <w:iCs/>
        </w:rPr>
        <w:t>bis</w:t>
      </w:r>
      <w:r w:rsidR="00477B8F" w:rsidRPr="009118AB">
        <w:t xml:space="preserve"> in das Einkommensteuergesetzbuch 1992 und zur Regelung der Anwendung von Artikel 244</w:t>
      </w:r>
      <w:r w:rsidR="00477B8F" w:rsidRPr="009118AB">
        <w:rPr>
          <w:i/>
          <w:iCs/>
        </w:rPr>
        <w:t>bis</w:t>
      </w:r>
      <w:r w:rsidR="00477B8F" w:rsidRPr="009118AB">
        <w:t xml:space="preserve"> desselben Gesetzbuches auf Einwohner der Niederlande,</w:t>
      </w:r>
    </w:p>
    <w:p w14:paraId="14833CD9" w14:textId="77777777" w:rsidR="00477B8F" w:rsidRPr="009118AB" w:rsidRDefault="00477B8F" w:rsidP="00477B8F">
      <w:pPr>
        <w:autoSpaceDE w:val="0"/>
        <w:autoSpaceDN w:val="0"/>
        <w:adjustRightInd w:val="0"/>
        <w:jc w:val="both"/>
      </w:pPr>
    </w:p>
    <w:p w14:paraId="09C20C8E" w14:textId="418C023D" w:rsidR="00477B8F" w:rsidRPr="009118AB" w:rsidRDefault="00970435" w:rsidP="00477B8F">
      <w:pPr>
        <w:autoSpaceDE w:val="0"/>
        <w:autoSpaceDN w:val="0"/>
        <w:adjustRightInd w:val="0"/>
        <w:jc w:val="both"/>
      </w:pPr>
      <w:r>
        <w:t>- </w:t>
      </w:r>
      <w:r w:rsidR="00477B8F" w:rsidRPr="009118AB">
        <w:t>das Programmgesetz (I) vom 24. Dezember 2002</w:t>
      </w:r>
      <w:r w:rsidR="00D86BCC" w:rsidRPr="009118AB">
        <w:t xml:space="preserve"> </w:t>
      </w:r>
      <w:r w:rsidR="00D86BCC" w:rsidRPr="009118AB">
        <w:rPr>
          <w:i/>
        </w:rPr>
        <w:t>(I)</w:t>
      </w:r>
      <w:r w:rsidR="00477B8F" w:rsidRPr="009118AB">
        <w:t>,</w:t>
      </w:r>
    </w:p>
    <w:p w14:paraId="74684E24" w14:textId="77777777" w:rsidR="00477B8F" w:rsidRPr="009118AB" w:rsidRDefault="00477B8F" w:rsidP="00477B8F">
      <w:pPr>
        <w:autoSpaceDE w:val="0"/>
        <w:autoSpaceDN w:val="0"/>
        <w:adjustRightInd w:val="0"/>
        <w:jc w:val="both"/>
      </w:pPr>
    </w:p>
    <w:p w14:paraId="608AC1DF" w14:textId="79F5BD1B" w:rsidR="00477B8F" w:rsidRPr="009118AB" w:rsidRDefault="00970435" w:rsidP="00477B8F">
      <w:pPr>
        <w:autoSpaceDE w:val="0"/>
        <w:autoSpaceDN w:val="0"/>
        <w:adjustRightInd w:val="0"/>
        <w:jc w:val="both"/>
      </w:pPr>
      <w:r>
        <w:t>- </w:t>
      </w:r>
      <w:r w:rsidR="00477B8F" w:rsidRPr="009118AB">
        <w:t>das Gesetz vom 24. Dezember 2002 zur Abänderung der Gesellschaftsregelung in Bezug auf die Einkommensteuer und zur Einführung eines Systems der Vorausentscheidung in Steuerangelegenheiten</w:t>
      </w:r>
      <w:r w:rsidR="00D86BCC" w:rsidRPr="009118AB">
        <w:t xml:space="preserve"> </w:t>
      </w:r>
      <w:r w:rsidR="00D86BCC" w:rsidRPr="009118AB">
        <w:rPr>
          <w:i/>
        </w:rPr>
        <w:t>(II)</w:t>
      </w:r>
      <w:r w:rsidR="00477B8F" w:rsidRPr="009118AB">
        <w:t>,</w:t>
      </w:r>
    </w:p>
    <w:p w14:paraId="463C7F86" w14:textId="77777777" w:rsidR="00477B8F" w:rsidRPr="009118AB" w:rsidRDefault="00477B8F" w:rsidP="00477B8F">
      <w:pPr>
        <w:autoSpaceDE w:val="0"/>
        <w:autoSpaceDN w:val="0"/>
        <w:adjustRightInd w:val="0"/>
        <w:jc w:val="both"/>
      </w:pPr>
    </w:p>
    <w:p w14:paraId="19F506A8" w14:textId="29C602BC" w:rsidR="00477B8F" w:rsidRPr="009118AB" w:rsidRDefault="00970435" w:rsidP="00477B8F">
      <w:pPr>
        <w:autoSpaceDE w:val="0"/>
        <w:autoSpaceDN w:val="0"/>
        <w:adjustRightInd w:val="0"/>
        <w:jc w:val="both"/>
      </w:pPr>
      <w:r>
        <w:t>- </w:t>
      </w:r>
      <w:r w:rsidR="00477B8F" w:rsidRPr="009118AB">
        <w:t>das Gesetz vom 14. Januar 2003 über Mehrwerte bei Veräußerung von Betriebsfahrzeugen,</w:t>
      </w:r>
    </w:p>
    <w:p w14:paraId="680D1FBD" w14:textId="77777777" w:rsidR="00477B8F" w:rsidRPr="009118AB" w:rsidRDefault="00477B8F" w:rsidP="00477B8F">
      <w:pPr>
        <w:autoSpaceDE w:val="0"/>
        <w:autoSpaceDN w:val="0"/>
        <w:adjustRightInd w:val="0"/>
        <w:jc w:val="both"/>
      </w:pPr>
    </w:p>
    <w:p w14:paraId="5A878527" w14:textId="07760B6B" w:rsidR="00477B8F" w:rsidRPr="009118AB" w:rsidRDefault="00970435" w:rsidP="00477B8F">
      <w:pPr>
        <w:autoSpaceDE w:val="0"/>
        <w:autoSpaceDN w:val="0"/>
        <w:adjustRightInd w:val="0"/>
        <w:jc w:val="both"/>
      </w:pPr>
      <w:r>
        <w:t>- </w:t>
      </w:r>
      <w:r w:rsidR="00477B8F" w:rsidRPr="009118AB">
        <w:t>den Königlichen Erlass vom 27. März 2003 zur Einführung eines Systems der elektronischen Steuererklärung,</w:t>
      </w:r>
    </w:p>
    <w:p w14:paraId="1C0C0DCD" w14:textId="77777777" w:rsidR="00477B8F" w:rsidRPr="009118AB" w:rsidRDefault="00477B8F" w:rsidP="00477B8F">
      <w:pPr>
        <w:autoSpaceDE w:val="0"/>
        <w:autoSpaceDN w:val="0"/>
        <w:adjustRightInd w:val="0"/>
        <w:jc w:val="both"/>
      </w:pPr>
    </w:p>
    <w:p w14:paraId="157A22C7" w14:textId="71C6D9E7" w:rsidR="00477B8F" w:rsidRPr="009118AB" w:rsidRDefault="00970435" w:rsidP="00477B8F">
      <w:pPr>
        <w:autoSpaceDE w:val="0"/>
        <w:autoSpaceDN w:val="0"/>
        <w:adjustRightInd w:val="0"/>
        <w:jc w:val="both"/>
      </w:pPr>
      <w:r>
        <w:t>- </w:t>
      </w:r>
      <w:r w:rsidR="00477B8F" w:rsidRPr="009118AB">
        <w:t>den Königlichen Erlass vom 31. März 2003 zur Einführung eines elektronischen Notifizierungssystems zwischen dem Föderalen Öffentlichen Dienst Finanzen und bestimmten ministeriellen Amtsträgern, Beamten und anderen Personen,</w:t>
      </w:r>
    </w:p>
    <w:p w14:paraId="0994F3B4" w14:textId="77777777" w:rsidR="00477B8F" w:rsidRPr="009118AB" w:rsidRDefault="00477B8F" w:rsidP="00477B8F">
      <w:pPr>
        <w:autoSpaceDE w:val="0"/>
        <w:autoSpaceDN w:val="0"/>
        <w:adjustRightInd w:val="0"/>
        <w:jc w:val="both"/>
      </w:pPr>
    </w:p>
    <w:p w14:paraId="3255F7D7" w14:textId="347342BB" w:rsidR="00477B8F" w:rsidRPr="009118AB" w:rsidRDefault="00970435" w:rsidP="00477B8F">
      <w:pPr>
        <w:autoSpaceDE w:val="0"/>
        <w:autoSpaceDN w:val="0"/>
        <w:adjustRightInd w:val="0"/>
        <w:jc w:val="both"/>
      </w:pPr>
      <w:r>
        <w:t>- </w:t>
      </w:r>
      <w:r w:rsidR="00477B8F" w:rsidRPr="009118AB">
        <w:t>das Programmgesetz vom 8. April 2003,</w:t>
      </w:r>
    </w:p>
    <w:p w14:paraId="2711B678" w14:textId="77777777" w:rsidR="00477B8F" w:rsidRPr="009118AB" w:rsidRDefault="00477B8F" w:rsidP="00477B8F">
      <w:pPr>
        <w:autoSpaceDE w:val="0"/>
        <w:autoSpaceDN w:val="0"/>
        <w:adjustRightInd w:val="0"/>
        <w:jc w:val="both"/>
      </w:pPr>
    </w:p>
    <w:p w14:paraId="6D91D862" w14:textId="0CC3E4B6" w:rsidR="00477B8F" w:rsidRPr="009118AB" w:rsidRDefault="00970435" w:rsidP="00477B8F">
      <w:pPr>
        <w:autoSpaceDE w:val="0"/>
        <w:autoSpaceDN w:val="0"/>
        <w:adjustRightInd w:val="0"/>
        <w:jc w:val="both"/>
      </w:pPr>
      <w:r>
        <w:t>- </w:t>
      </w:r>
      <w:r w:rsidR="00477B8F" w:rsidRPr="009118AB">
        <w:t>das Gesetz vom 22. April 2003 zur Abänderung des Gesetzes vom 4. Dezember 1990 über die Geldgeschäfte und die Finanzmärkte im Hinblick auf die Schaffung einer neuen Kategorie von Instituten für gemeinsame Anlagen, privater Kapitalanlagefonds mit fixem Kapital genannt, und zur Festlegung verschiedener steuerrechtlicher Bestimmungen,</w:t>
      </w:r>
    </w:p>
    <w:p w14:paraId="0F2709B0" w14:textId="77777777" w:rsidR="00CF3A3F" w:rsidRPr="009118AB" w:rsidRDefault="00CF3A3F" w:rsidP="00477B8F">
      <w:pPr>
        <w:autoSpaceDE w:val="0"/>
        <w:autoSpaceDN w:val="0"/>
        <w:adjustRightInd w:val="0"/>
        <w:jc w:val="both"/>
      </w:pPr>
    </w:p>
    <w:p w14:paraId="67AB4F92" w14:textId="28E95015" w:rsidR="00477B8F" w:rsidRPr="009118AB" w:rsidRDefault="00970435" w:rsidP="00477B8F">
      <w:pPr>
        <w:autoSpaceDE w:val="0"/>
        <w:autoSpaceDN w:val="0"/>
        <w:adjustRightInd w:val="0"/>
        <w:jc w:val="both"/>
      </w:pPr>
      <w:r>
        <w:t>- </w:t>
      </w:r>
      <w:r w:rsidR="00477B8F" w:rsidRPr="009118AB">
        <w:t>das Gesetz vom 28. April 2003 über ergänzende Pensionen und das Besteuerungssystem für diese Pensionen und für bestimmte Zusatzleistungen im Bereich der sozialen Sicherheit,</w:t>
      </w:r>
    </w:p>
    <w:p w14:paraId="32187B71" w14:textId="77777777" w:rsidR="00477B8F" w:rsidRPr="009118AB" w:rsidRDefault="00477B8F" w:rsidP="00477B8F">
      <w:pPr>
        <w:autoSpaceDE w:val="0"/>
        <w:autoSpaceDN w:val="0"/>
        <w:adjustRightInd w:val="0"/>
        <w:jc w:val="both"/>
      </w:pPr>
    </w:p>
    <w:p w14:paraId="70446B00" w14:textId="5C116268" w:rsidR="00477B8F" w:rsidRPr="009118AB" w:rsidRDefault="00970435" w:rsidP="00477B8F">
      <w:pPr>
        <w:autoSpaceDE w:val="0"/>
        <w:autoSpaceDN w:val="0"/>
        <w:adjustRightInd w:val="0"/>
        <w:jc w:val="both"/>
      </w:pPr>
      <w:r>
        <w:t>- </w:t>
      </w:r>
      <w:r w:rsidR="00477B8F" w:rsidRPr="009118AB">
        <w:t>das Programmgesetz vom 5. August 2003,</w:t>
      </w:r>
    </w:p>
    <w:p w14:paraId="0BC9CDBF" w14:textId="77777777" w:rsidR="00477B8F" w:rsidRPr="009118AB" w:rsidRDefault="00477B8F" w:rsidP="00477B8F">
      <w:pPr>
        <w:autoSpaceDE w:val="0"/>
        <w:autoSpaceDN w:val="0"/>
        <w:adjustRightInd w:val="0"/>
        <w:jc w:val="both"/>
      </w:pPr>
    </w:p>
    <w:p w14:paraId="57E6DDD8" w14:textId="13A5F1F7" w:rsidR="00477B8F" w:rsidRPr="009118AB" w:rsidRDefault="00970435" w:rsidP="00477B8F">
      <w:pPr>
        <w:autoSpaceDE w:val="0"/>
        <w:autoSpaceDN w:val="0"/>
        <w:adjustRightInd w:val="0"/>
        <w:jc w:val="both"/>
      </w:pPr>
      <w:r>
        <w:lastRenderedPageBreak/>
        <w:t>- </w:t>
      </w:r>
      <w:r w:rsidR="00477B8F" w:rsidRPr="009118AB">
        <w:t>das Programmgesetz vom 22. Dezember 2003,</w:t>
      </w:r>
    </w:p>
    <w:p w14:paraId="4ED98FEB" w14:textId="77777777" w:rsidR="00477B8F" w:rsidRPr="009118AB" w:rsidRDefault="00477B8F" w:rsidP="00477B8F">
      <w:pPr>
        <w:autoSpaceDE w:val="0"/>
        <w:autoSpaceDN w:val="0"/>
        <w:adjustRightInd w:val="0"/>
        <w:jc w:val="both"/>
      </w:pPr>
    </w:p>
    <w:p w14:paraId="0B730C28" w14:textId="1D518DBF" w:rsidR="00477B8F" w:rsidRPr="009118AB" w:rsidRDefault="00970435" w:rsidP="00477B8F">
      <w:pPr>
        <w:autoSpaceDE w:val="0"/>
        <w:autoSpaceDN w:val="0"/>
        <w:adjustRightInd w:val="0"/>
        <w:jc w:val="both"/>
      </w:pPr>
      <w:r>
        <w:t>- </w:t>
      </w:r>
      <w:r w:rsidR="00477B8F" w:rsidRPr="009118AB">
        <w:t xml:space="preserve">das Gesetz vom 8. Januar 2004 zur Abänderung von Artikel 215 Absatz 3 </w:t>
      </w:r>
      <w:r w:rsidR="00D67EB8" w:rsidRPr="009118AB">
        <w:t>Nr. </w:t>
      </w:r>
      <w:r w:rsidR="00477B8F" w:rsidRPr="009118AB">
        <w:t>4 des Einkommensteuergesetzbuches 1992,</w:t>
      </w:r>
    </w:p>
    <w:p w14:paraId="57A60F94" w14:textId="77777777" w:rsidR="00477B8F" w:rsidRPr="009118AB" w:rsidRDefault="00477B8F" w:rsidP="00477B8F">
      <w:pPr>
        <w:autoSpaceDE w:val="0"/>
        <w:autoSpaceDN w:val="0"/>
        <w:adjustRightInd w:val="0"/>
        <w:jc w:val="both"/>
      </w:pPr>
    </w:p>
    <w:p w14:paraId="18B091AF" w14:textId="0A913709" w:rsidR="00477B8F" w:rsidRPr="009118AB" w:rsidRDefault="00970435" w:rsidP="00477B8F">
      <w:pPr>
        <w:autoSpaceDE w:val="0"/>
        <w:autoSpaceDN w:val="0"/>
        <w:adjustRightInd w:val="0"/>
        <w:jc w:val="both"/>
      </w:pPr>
      <w:r>
        <w:t>- </w:t>
      </w:r>
      <w:r w:rsidR="00477B8F" w:rsidRPr="009118AB">
        <w:t>das Gesetz vom 10. Mai 2004 zur Abänderung von Artikel 53 des Einkommensteuergesetzbuches 1992 in Bezug auf Restaurantkosten,</w:t>
      </w:r>
    </w:p>
    <w:p w14:paraId="48D1B626" w14:textId="77777777" w:rsidR="00477B8F" w:rsidRPr="009118AB" w:rsidRDefault="00477B8F" w:rsidP="00477B8F">
      <w:pPr>
        <w:autoSpaceDE w:val="0"/>
        <w:autoSpaceDN w:val="0"/>
        <w:adjustRightInd w:val="0"/>
        <w:jc w:val="both"/>
      </w:pPr>
    </w:p>
    <w:p w14:paraId="3045A5E6" w14:textId="1054946E" w:rsidR="00477B8F" w:rsidRPr="009118AB" w:rsidRDefault="00970435" w:rsidP="00477B8F">
      <w:pPr>
        <w:autoSpaceDE w:val="0"/>
        <w:autoSpaceDN w:val="0"/>
        <w:adjustRightInd w:val="0"/>
        <w:jc w:val="both"/>
      </w:pPr>
      <w:r>
        <w:t>- </w:t>
      </w:r>
      <w:r w:rsidR="00477B8F" w:rsidRPr="009118AB">
        <w:t>das Gesetz vom 17. Mai 2004</w:t>
      </w:r>
      <w:r w:rsidR="00700AD2" w:rsidRPr="009118AB">
        <w:t xml:space="preserve"> </w:t>
      </w:r>
      <w:r w:rsidR="00477B8F" w:rsidRPr="009118AB">
        <w:t>zur Abänderung von Artikel 194</w:t>
      </w:r>
      <w:r w:rsidR="00477B8F" w:rsidRPr="009118AB">
        <w:rPr>
          <w:i/>
          <w:iCs/>
        </w:rPr>
        <w:t>ter</w:t>
      </w:r>
      <w:r w:rsidR="00477B8F" w:rsidRPr="009118AB">
        <w:t xml:space="preserve"> des Einkommensteuergesetzbuches 1992 in Bezug auf die Tax-Shelter-Regelung zugunsten der audiovisuellen Produktion </w:t>
      </w:r>
      <w:r w:rsidR="00477B8F" w:rsidRPr="009118AB">
        <w:rPr>
          <w:i/>
          <w:iCs/>
        </w:rPr>
        <w:t>(offizielle deutsche Übersetzung: Belgisches Staatsblatt vom 22. Februar 2006)</w:t>
      </w:r>
      <w:r w:rsidR="003266AF" w:rsidRPr="009118AB">
        <w:rPr>
          <w:i/>
        </w:rPr>
        <w:t xml:space="preserve"> (I)</w:t>
      </w:r>
      <w:r w:rsidR="00477B8F" w:rsidRPr="009118AB">
        <w:t>,</w:t>
      </w:r>
    </w:p>
    <w:p w14:paraId="7AFA3714" w14:textId="77777777" w:rsidR="00477B8F" w:rsidRPr="009118AB" w:rsidRDefault="00477B8F" w:rsidP="00477B8F">
      <w:pPr>
        <w:autoSpaceDE w:val="0"/>
        <w:autoSpaceDN w:val="0"/>
        <w:adjustRightInd w:val="0"/>
        <w:jc w:val="both"/>
      </w:pPr>
    </w:p>
    <w:p w14:paraId="6C1FE1E4" w14:textId="7D1DF629" w:rsidR="00477B8F" w:rsidRPr="009118AB" w:rsidRDefault="00970435" w:rsidP="00477B8F">
      <w:pPr>
        <w:autoSpaceDE w:val="0"/>
        <w:autoSpaceDN w:val="0"/>
        <w:adjustRightInd w:val="0"/>
        <w:jc w:val="both"/>
      </w:pPr>
      <w:r>
        <w:t>- </w:t>
      </w:r>
      <w:r w:rsidR="00477B8F" w:rsidRPr="009118AB">
        <w:t xml:space="preserve">das Gesetz vom 17. Mai 2004 zur Anpassung des Einkommensteuergesetzbuches 1992 in Sachen Pensionssparen </w:t>
      </w:r>
      <w:r w:rsidR="00477B8F" w:rsidRPr="009118AB">
        <w:rPr>
          <w:i/>
        </w:rPr>
        <w:t>(II)</w:t>
      </w:r>
      <w:r w:rsidR="00477B8F" w:rsidRPr="009118AB">
        <w:t>,</w:t>
      </w:r>
    </w:p>
    <w:p w14:paraId="1E29C9C3" w14:textId="77777777" w:rsidR="00477B8F" w:rsidRPr="009118AB" w:rsidRDefault="00477B8F" w:rsidP="00477B8F">
      <w:pPr>
        <w:autoSpaceDE w:val="0"/>
        <w:autoSpaceDN w:val="0"/>
        <w:adjustRightInd w:val="0"/>
        <w:jc w:val="both"/>
      </w:pPr>
    </w:p>
    <w:p w14:paraId="442E00E7" w14:textId="2E482097" w:rsidR="00477B8F" w:rsidRPr="009118AB" w:rsidRDefault="00970435" w:rsidP="00477B8F">
      <w:pPr>
        <w:autoSpaceDE w:val="0"/>
        <w:autoSpaceDN w:val="0"/>
        <w:adjustRightInd w:val="0"/>
        <w:jc w:val="both"/>
      </w:pPr>
      <w:r>
        <w:t>- </w:t>
      </w:r>
      <w:r w:rsidR="00477B8F" w:rsidRPr="009118AB">
        <w:t xml:space="preserve">das Gesetz vom 17. Mai 2004 zur Umsetzung der Richtlinie 2003/48/EG des Rates der Europäischen Union vom 3. Juni 2003 im Bereich der Besteuerung von Zinserträgen in belgisches Recht und zur Abänderung des Einkommensteuergesetzbuches 1992 in Sachen Mobiliensteuervorabzug </w:t>
      </w:r>
      <w:r w:rsidR="00477B8F" w:rsidRPr="009118AB">
        <w:rPr>
          <w:i/>
          <w:iCs/>
        </w:rPr>
        <w:t>(offizielle deutsche Übersetzung: Belgisches Staatsblatt vom 22. Februar 2006)</w:t>
      </w:r>
      <w:r w:rsidR="003266AF" w:rsidRPr="009118AB">
        <w:rPr>
          <w:i/>
        </w:rPr>
        <w:t xml:space="preserve"> (III)</w:t>
      </w:r>
      <w:r w:rsidR="00477B8F" w:rsidRPr="009118AB">
        <w:t>,</w:t>
      </w:r>
    </w:p>
    <w:p w14:paraId="33E56733" w14:textId="77777777" w:rsidR="00477B8F" w:rsidRPr="009118AB" w:rsidRDefault="00477B8F" w:rsidP="00477B8F">
      <w:pPr>
        <w:autoSpaceDE w:val="0"/>
        <w:autoSpaceDN w:val="0"/>
        <w:adjustRightInd w:val="0"/>
        <w:jc w:val="both"/>
      </w:pPr>
    </w:p>
    <w:p w14:paraId="02B4DBBC" w14:textId="2C8B53D6" w:rsidR="00477B8F" w:rsidRPr="009118AB" w:rsidRDefault="00970435" w:rsidP="00477B8F">
      <w:pPr>
        <w:autoSpaceDE w:val="0"/>
        <w:autoSpaceDN w:val="0"/>
        <w:adjustRightInd w:val="0"/>
        <w:jc w:val="both"/>
      </w:pPr>
      <w:r>
        <w:t>- </w:t>
      </w:r>
      <w:r w:rsidR="00477B8F" w:rsidRPr="009118AB">
        <w:t>den Königlichen Erlass vom 14. Juni 2004 zur Reform der Verwaltungsstrukturen der Eisenbahninfrastruktur,</w:t>
      </w:r>
    </w:p>
    <w:p w14:paraId="6F5E645B" w14:textId="77777777" w:rsidR="00477B8F" w:rsidRPr="009118AB" w:rsidRDefault="00477B8F" w:rsidP="00477B8F">
      <w:pPr>
        <w:autoSpaceDE w:val="0"/>
        <w:autoSpaceDN w:val="0"/>
        <w:adjustRightInd w:val="0"/>
        <w:jc w:val="both"/>
      </w:pPr>
    </w:p>
    <w:p w14:paraId="133CE595" w14:textId="5502859C" w:rsidR="00477B8F" w:rsidRPr="009118AB" w:rsidRDefault="00970435" w:rsidP="00477B8F">
      <w:pPr>
        <w:autoSpaceDE w:val="0"/>
        <w:autoSpaceDN w:val="0"/>
        <w:adjustRightInd w:val="0"/>
        <w:jc w:val="both"/>
      </w:pPr>
      <w:r>
        <w:t>- </w:t>
      </w:r>
      <w:r w:rsidR="00477B8F" w:rsidRPr="009118AB">
        <w:t>das Gesetz vom 21. Juni 2004 zur Abänderung des Einkommensteuergesetzbuches 1992 und des Gesetzes vom 24. Dezember 2002 zur Abänderung der Gesellschaftsregelung in Bezug auf die Einkommensteuer und zur Einführung eines Systems der Vorausentscheidung in Steuerangelegenheiten,</w:t>
      </w:r>
    </w:p>
    <w:p w14:paraId="22404C8A" w14:textId="77777777" w:rsidR="00477B8F" w:rsidRPr="009118AB" w:rsidRDefault="00477B8F" w:rsidP="00477B8F">
      <w:pPr>
        <w:autoSpaceDE w:val="0"/>
        <w:autoSpaceDN w:val="0"/>
        <w:adjustRightInd w:val="0"/>
        <w:jc w:val="both"/>
      </w:pPr>
    </w:p>
    <w:p w14:paraId="17C50195" w14:textId="2EF1282D" w:rsidR="00477B8F" w:rsidRPr="009118AB" w:rsidRDefault="00970435" w:rsidP="00477B8F">
      <w:pPr>
        <w:autoSpaceDE w:val="0"/>
        <w:autoSpaceDN w:val="0"/>
        <w:adjustRightInd w:val="0"/>
        <w:jc w:val="both"/>
      </w:pPr>
      <w:r>
        <w:t>- </w:t>
      </w:r>
      <w:r w:rsidR="00477B8F" w:rsidRPr="009118AB">
        <w:t>das Gesetz vom 4. Juli 2004 zur Abänderung des Einkommensteuergesetzbuches 1992 im Hinblick auf die Umsetzung der Richtlinie des Rates der Europäischen Union vom 3. Juni 2003 (2003/49/EG) über eine gemeinsame Steuerregelung für Zahlungen von Zinsen und Lizenzgebühren zwischen verbundenen Unternehmen verschiedener Mitgliedstaaten,</w:t>
      </w:r>
    </w:p>
    <w:p w14:paraId="7BDA747C" w14:textId="77777777" w:rsidR="00477B8F" w:rsidRPr="009118AB" w:rsidRDefault="00477B8F" w:rsidP="00477B8F">
      <w:pPr>
        <w:autoSpaceDE w:val="0"/>
        <w:autoSpaceDN w:val="0"/>
        <w:adjustRightInd w:val="0"/>
        <w:jc w:val="both"/>
      </w:pPr>
    </w:p>
    <w:p w14:paraId="06B3C491" w14:textId="1563BCFA" w:rsidR="00477B8F" w:rsidRPr="009118AB" w:rsidRDefault="00970435" w:rsidP="00477B8F">
      <w:pPr>
        <w:autoSpaceDE w:val="0"/>
        <w:autoSpaceDN w:val="0"/>
        <w:adjustRightInd w:val="0"/>
        <w:jc w:val="both"/>
      </w:pPr>
      <w:r>
        <w:t>- </w:t>
      </w:r>
      <w:r w:rsidR="00477B8F" w:rsidRPr="009118AB">
        <w:t xml:space="preserve">das Gesetz vom 6. Juli 2004 zur Abänderung von Artikel 113 des Einkommensteuergesetzbuches 1992 in Bezug auf den Abzug der Betreuungskosten für Kinder, die jünger als zwölf Jahre sind </w:t>
      </w:r>
      <w:r w:rsidR="00477B8F" w:rsidRPr="009118AB">
        <w:rPr>
          <w:i/>
          <w:iCs/>
        </w:rPr>
        <w:t>(offizielle deutsche Übersetzung: Belgisches Staatsblatt vom 2. Februar 2006)</w:t>
      </w:r>
      <w:r w:rsidR="003266AF" w:rsidRPr="009118AB">
        <w:rPr>
          <w:i/>
        </w:rPr>
        <w:t xml:space="preserve"> (I)</w:t>
      </w:r>
      <w:r w:rsidR="00477B8F" w:rsidRPr="009118AB">
        <w:t>,</w:t>
      </w:r>
    </w:p>
    <w:p w14:paraId="3988AA8B" w14:textId="77777777" w:rsidR="00CF3A3F" w:rsidRPr="009118AB" w:rsidRDefault="00CF3A3F" w:rsidP="00477B8F">
      <w:pPr>
        <w:autoSpaceDE w:val="0"/>
        <w:autoSpaceDN w:val="0"/>
        <w:adjustRightInd w:val="0"/>
        <w:jc w:val="both"/>
      </w:pPr>
    </w:p>
    <w:p w14:paraId="4B03755B" w14:textId="226573BA" w:rsidR="00477B8F" w:rsidRPr="009118AB" w:rsidRDefault="00970435" w:rsidP="00477B8F">
      <w:pPr>
        <w:autoSpaceDE w:val="0"/>
        <w:autoSpaceDN w:val="0"/>
        <w:adjustRightInd w:val="0"/>
        <w:jc w:val="both"/>
      </w:pPr>
      <w:r>
        <w:t>- </w:t>
      </w:r>
      <w:r w:rsidR="00477B8F" w:rsidRPr="009118AB">
        <w:t xml:space="preserve">das Gesetz vom 6. Juli 2004 zur Abänderung der Artikel 132 und 143 des Einkommensteuergesetzbuches 1992 in Bezug auf bestimmte Personen zu Lasten über fünfundsechzig Jahre </w:t>
      </w:r>
      <w:r w:rsidR="00477B8F" w:rsidRPr="009118AB">
        <w:rPr>
          <w:i/>
          <w:iCs/>
        </w:rPr>
        <w:t>(offizielle deutsche Übersetzung: Belgisches Staatsblatt vom 2. Februar 2006)</w:t>
      </w:r>
      <w:r w:rsidR="003266AF" w:rsidRPr="009118AB">
        <w:rPr>
          <w:i/>
        </w:rPr>
        <w:t xml:space="preserve"> (II)</w:t>
      </w:r>
      <w:r w:rsidR="00477B8F" w:rsidRPr="009118AB">
        <w:t>,</w:t>
      </w:r>
    </w:p>
    <w:p w14:paraId="5EB9FC3F" w14:textId="77777777" w:rsidR="00477B8F" w:rsidRPr="009118AB" w:rsidRDefault="00477B8F" w:rsidP="00477B8F">
      <w:pPr>
        <w:autoSpaceDE w:val="0"/>
        <w:autoSpaceDN w:val="0"/>
        <w:adjustRightInd w:val="0"/>
        <w:jc w:val="both"/>
      </w:pPr>
    </w:p>
    <w:p w14:paraId="200EF513" w14:textId="37A45C8F" w:rsidR="00477B8F" w:rsidRPr="009118AB" w:rsidRDefault="00970435" w:rsidP="00477B8F">
      <w:pPr>
        <w:autoSpaceDE w:val="0"/>
        <w:autoSpaceDN w:val="0"/>
        <w:adjustRightInd w:val="0"/>
        <w:jc w:val="both"/>
      </w:pPr>
      <w:r>
        <w:t>- </w:t>
      </w:r>
      <w:r w:rsidR="00477B8F" w:rsidRPr="009118AB">
        <w:t>das Gesetz vom 6. Juli 2004 zur Abänderung von Artikel 138 des Einkommensteuer</w:t>
      </w:r>
      <w:r w:rsidR="00222E0D" w:rsidRPr="009118AB">
        <w:softHyphen/>
      </w:r>
      <w:r w:rsidR="00477B8F" w:rsidRPr="009118AB">
        <w:t xml:space="preserve">gesetzbuches 1992 zur Berücksichtigung tot geborener Kinder bei der Bestimmung der Personen zu Lasten </w:t>
      </w:r>
      <w:r w:rsidR="00477B8F" w:rsidRPr="009118AB">
        <w:rPr>
          <w:i/>
          <w:iCs/>
        </w:rPr>
        <w:t>(offizielle deutsche Übersetzung: Belgisches Staatsblatt vom 2. Februar 2006)</w:t>
      </w:r>
      <w:r w:rsidR="003266AF" w:rsidRPr="009118AB">
        <w:rPr>
          <w:i/>
        </w:rPr>
        <w:t xml:space="preserve"> (III)</w:t>
      </w:r>
      <w:r w:rsidR="00477B8F" w:rsidRPr="009118AB">
        <w:t>,</w:t>
      </w:r>
    </w:p>
    <w:p w14:paraId="78DC9ADD" w14:textId="77777777" w:rsidR="00477B8F" w:rsidRPr="009118AB" w:rsidRDefault="00477B8F" w:rsidP="00477B8F">
      <w:pPr>
        <w:autoSpaceDE w:val="0"/>
        <w:autoSpaceDN w:val="0"/>
        <w:adjustRightInd w:val="0"/>
        <w:jc w:val="both"/>
      </w:pPr>
    </w:p>
    <w:p w14:paraId="422DFCA2" w14:textId="3A7A0E89" w:rsidR="00477B8F" w:rsidRPr="009118AB" w:rsidRDefault="00970435" w:rsidP="00477B8F">
      <w:pPr>
        <w:autoSpaceDE w:val="0"/>
        <w:autoSpaceDN w:val="0"/>
        <w:adjustRightInd w:val="0"/>
        <w:jc w:val="both"/>
      </w:pPr>
      <w:r>
        <w:lastRenderedPageBreak/>
        <w:t>- </w:t>
      </w:r>
      <w:r w:rsidR="00477B8F" w:rsidRPr="009118AB">
        <w:t xml:space="preserve">das Programmgesetz vom 9. Juli 2004 </w:t>
      </w:r>
      <w:r w:rsidR="00477B8F" w:rsidRPr="009118AB">
        <w:rPr>
          <w:i/>
          <w:iCs/>
        </w:rPr>
        <w:t>(offizielle deutsche Übersetzung: Belgisches Staatsblatt vom 2. Februar 2006)</w:t>
      </w:r>
      <w:r w:rsidR="00477B8F" w:rsidRPr="009118AB">
        <w:t>,</w:t>
      </w:r>
    </w:p>
    <w:p w14:paraId="79419F80" w14:textId="77777777" w:rsidR="00477B8F" w:rsidRPr="009118AB" w:rsidRDefault="00477B8F" w:rsidP="00477B8F">
      <w:pPr>
        <w:autoSpaceDE w:val="0"/>
        <w:autoSpaceDN w:val="0"/>
        <w:adjustRightInd w:val="0"/>
        <w:jc w:val="both"/>
      </w:pPr>
    </w:p>
    <w:p w14:paraId="6590EABB" w14:textId="636526E0" w:rsidR="00477B8F" w:rsidRPr="009118AB" w:rsidRDefault="00970435" w:rsidP="00477B8F">
      <w:pPr>
        <w:autoSpaceDE w:val="0"/>
        <w:autoSpaceDN w:val="0"/>
        <w:adjustRightInd w:val="0"/>
        <w:jc w:val="both"/>
      </w:pPr>
      <w:r>
        <w:t>- </w:t>
      </w:r>
      <w:r w:rsidR="00477B8F" w:rsidRPr="009118AB">
        <w:t xml:space="preserve">das Gesetz vom 31. Juli 2004 zur Abänderung der Artikel 196 </w:t>
      </w:r>
      <w:r w:rsidR="00D67EB8" w:rsidRPr="009118AB">
        <w:t>§ </w:t>
      </w:r>
      <w:r w:rsidR="00477B8F" w:rsidRPr="009118AB">
        <w:t xml:space="preserve">2 und 216 </w:t>
      </w:r>
      <w:r w:rsidR="00D67EB8" w:rsidRPr="009118AB">
        <w:t>Nr. </w:t>
      </w:r>
      <w:r w:rsidR="00477B8F" w:rsidRPr="009118AB">
        <w:t>2 Buchstabe </w:t>
      </w:r>
      <w:r w:rsidR="00477B8F" w:rsidRPr="009118AB">
        <w:rPr>
          <w:i/>
          <w:iCs/>
        </w:rPr>
        <w:t>b)</w:t>
      </w:r>
      <w:r w:rsidR="00477B8F" w:rsidRPr="009118AB">
        <w:t xml:space="preserve"> des Einkommensteuergesetzbuches 1992 </w:t>
      </w:r>
      <w:r w:rsidR="00477B8F" w:rsidRPr="009118AB">
        <w:rPr>
          <w:i/>
        </w:rPr>
        <w:t>(I)</w:t>
      </w:r>
      <w:r w:rsidR="00477B8F" w:rsidRPr="009118AB">
        <w:t>,</w:t>
      </w:r>
    </w:p>
    <w:p w14:paraId="038A043E" w14:textId="77777777" w:rsidR="00477B8F" w:rsidRPr="009118AB" w:rsidRDefault="00477B8F" w:rsidP="00477B8F">
      <w:pPr>
        <w:autoSpaceDE w:val="0"/>
        <w:autoSpaceDN w:val="0"/>
        <w:adjustRightInd w:val="0"/>
        <w:jc w:val="both"/>
      </w:pPr>
    </w:p>
    <w:p w14:paraId="60D17F1C" w14:textId="73D91BC8" w:rsidR="00477B8F" w:rsidRPr="009118AB" w:rsidRDefault="00970435" w:rsidP="00477B8F">
      <w:pPr>
        <w:autoSpaceDE w:val="0"/>
        <w:autoSpaceDN w:val="0"/>
        <w:adjustRightInd w:val="0"/>
        <w:jc w:val="both"/>
      </w:pPr>
      <w:r>
        <w:t>- </w:t>
      </w:r>
      <w:r w:rsidR="00477B8F" w:rsidRPr="009118AB">
        <w:t>das Gesetz vom 31. Juli 2004 zur Abänderung von Artikel 145</w:t>
      </w:r>
      <w:r w:rsidR="00477B8F" w:rsidRPr="009118AB">
        <w:rPr>
          <w:vertAlign w:val="superscript"/>
        </w:rPr>
        <w:t>24</w:t>
      </w:r>
      <w:r w:rsidR="00477B8F" w:rsidRPr="009118AB">
        <w:t xml:space="preserve"> des Einkommensteuergesetzbuches 1992 zur verstärkten Förderung der rationelleren Energienutzung in Wohnungen </w:t>
      </w:r>
      <w:r w:rsidR="00477B8F" w:rsidRPr="009118AB">
        <w:rPr>
          <w:i/>
          <w:iCs/>
        </w:rPr>
        <w:t>(offizielle deutsche Übersetzung: Belgisches Staatsblatt vom 2. Februar 2006)</w:t>
      </w:r>
      <w:r w:rsidR="003266AF" w:rsidRPr="009118AB">
        <w:rPr>
          <w:i/>
        </w:rPr>
        <w:t xml:space="preserve"> (II)</w:t>
      </w:r>
      <w:r w:rsidR="00477B8F" w:rsidRPr="009118AB">
        <w:t>,</w:t>
      </w:r>
    </w:p>
    <w:p w14:paraId="6006450A" w14:textId="77777777" w:rsidR="00477B8F" w:rsidRPr="009118AB" w:rsidRDefault="00477B8F" w:rsidP="00477B8F">
      <w:pPr>
        <w:autoSpaceDE w:val="0"/>
        <w:autoSpaceDN w:val="0"/>
        <w:adjustRightInd w:val="0"/>
        <w:jc w:val="both"/>
      </w:pPr>
    </w:p>
    <w:p w14:paraId="6B9371BD" w14:textId="3E3E51D3" w:rsidR="00477B8F" w:rsidRPr="009118AB" w:rsidRDefault="00970435" w:rsidP="00477B8F">
      <w:pPr>
        <w:autoSpaceDE w:val="0"/>
        <w:autoSpaceDN w:val="0"/>
        <w:adjustRightInd w:val="0"/>
        <w:jc w:val="both"/>
      </w:pPr>
      <w:r>
        <w:t>- </w:t>
      </w:r>
      <w:r w:rsidR="00477B8F" w:rsidRPr="009118AB">
        <w:t xml:space="preserve">das Gesetz vom 16. November 2004 zur Abänderung verschiedener Bestimmungen des Einkommensteuergesetzbuches 1992 zur Ermöglichung der Abzugsfähigkeit unentgeltlicher Geldzuwendungen an zugelassene Einrichtungen für nachhaltige Entwicklung </w:t>
      </w:r>
      <w:r w:rsidR="00477B8F" w:rsidRPr="009118AB">
        <w:rPr>
          <w:i/>
          <w:iCs/>
        </w:rPr>
        <w:t>(offizielle deutsche Übersetzung: Belgisches Staatsblatt vom 2. Februar 2006)</w:t>
      </w:r>
      <w:r w:rsidR="00477B8F" w:rsidRPr="009118AB">
        <w:t>,</w:t>
      </w:r>
    </w:p>
    <w:p w14:paraId="127F4916" w14:textId="77777777" w:rsidR="00477B8F" w:rsidRPr="009118AB" w:rsidRDefault="00477B8F" w:rsidP="00477B8F">
      <w:pPr>
        <w:autoSpaceDE w:val="0"/>
        <w:autoSpaceDN w:val="0"/>
        <w:adjustRightInd w:val="0"/>
        <w:jc w:val="both"/>
      </w:pPr>
    </w:p>
    <w:p w14:paraId="38239A59" w14:textId="62B8311E" w:rsidR="00477B8F" w:rsidRPr="009118AB" w:rsidRDefault="00970435" w:rsidP="00477B8F">
      <w:pPr>
        <w:autoSpaceDE w:val="0"/>
        <w:autoSpaceDN w:val="0"/>
        <w:adjustRightInd w:val="0"/>
        <w:jc w:val="both"/>
      </w:pPr>
      <w:r>
        <w:t>- </w:t>
      </w:r>
      <w:r w:rsidR="00477B8F" w:rsidRPr="009118AB">
        <w:t xml:space="preserve">das Gesetz vom 15. Dezember 2004 über Finanzsicherheiten und zur Festlegung verschiedener steuerrechtlicher Bestimmungen in Bezug auf Vereinbarungen über die Leistung von dinglichen Sicherheiten und den Verleih mit Bezug auf Finanzinstrumente </w:t>
      </w:r>
      <w:r w:rsidR="00477B8F" w:rsidRPr="009118AB">
        <w:rPr>
          <w:i/>
          <w:iCs/>
        </w:rPr>
        <w:t>(offizielle deutsche Übersetzung: Belgisches Staatsblatt vom 18. April 2006)</w:t>
      </w:r>
      <w:r w:rsidR="00477B8F" w:rsidRPr="009118AB">
        <w:t>,</w:t>
      </w:r>
    </w:p>
    <w:p w14:paraId="48E51B81" w14:textId="77777777" w:rsidR="00477B8F" w:rsidRPr="009118AB" w:rsidRDefault="00477B8F" w:rsidP="00477B8F">
      <w:pPr>
        <w:autoSpaceDE w:val="0"/>
        <w:autoSpaceDN w:val="0"/>
        <w:adjustRightInd w:val="0"/>
        <w:jc w:val="both"/>
      </w:pPr>
    </w:p>
    <w:p w14:paraId="185CEF2B" w14:textId="14487331" w:rsidR="00477B8F" w:rsidRPr="009118AB" w:rsidRDefault="00970435" w:rsidP="00477B8F">
      <w:pPr>
        <w:autoSpaceDE w:val="0"/>
        <w:autoSpaceDN w:val="0"/>
        <w:adjustRightInd w:val="0"/>
        <w:jc w:val="both"/>
      </w:pPr>
      <w:r>
        <w:t>- </w:t>
      </w:r>
      <w:r w:rsidR="00477B8F" w:rsidRPr="009118AB">
        <w:t xml:space="preserve">das Programmgesetz vom 27. Dezember 2004 </w:t>
      </w:r>
      <w:r w:rsidR="00477B8F" w:rsidRPr="009118AB">
        <w:rPr>
          <w:i/>
          <w:iCs/>
        </w:rPr>
        <w:t>(offizielle deutsche Übersetzung: Belgisches Staatsblatt vom 17. November 2005)</w:t>
      </w:r>
      <w:r w:rsidR="00477B8F" w:rsidRPr="009118AB">
        <w:t>,</w:t>
      </w:r>
    </w:p>
    <w:p w14:paraId="40500D27" w14:textId="77777777" w:rsidR="00477B8F" w:rsidRPr="009118AB" w:rsidRDefault="00477B8F" w:rsidP="00477B8F">
      <w:pPr>
        <w:autoSpaceDE w:val="0"/>
        <w:autoSpaceDN w:val="0"/>
        <w:adjustRightInd w:val="0"/>
        <w:jc w:val="both"/>
      </w:pPr>
    </w:p>
    <w:p w14:paraId="5A156469" w14:textId="256855D3" w:rsidR="00477B8F" w:rsidRPr="009118AB" w:rsidRDefault="00970435" w:rsidP="00477B8F">
      <w:pPr>
        <w:autoSpaceDE w:val="0"/>
        <w:autoSpaceDN w:val="0"/>
        <w:adjustRightInd w:val="0"/>
        <w:jc w:val="both"/>
      </w:pPr>
      <w:r>
        <w:t>- </w:t>
      </w:r>
      <w:r w:rsidR="00477B8F" w:rsidRPr="009118AB">
        <w:t xml:space="preserve">das Gesetz vom 7. April 2005 zur Abänderung des Königlichen Erlasses </w:t>
      </w:r>
      <w:r w:rsidR="00D67EB8" w:rsidRPr="009118AB">
        <w:t>Nr. </w:t>
      </w:r>
      <w:r w:rsidR="00477B8F" w:rsidRPr="009118AB">
        <w:t xml:space="preserve">4 vom 29. Dezember 1969 in Bezug auf Erstattungen im Bereich der Mehrwertsteuer, des Konkursgesetzes vom 8. August 1997 und des Einkommensteuergesetzbuches 1992 im Hinblick auf die Gewährleistung einer gerechteren steuerlichen Behandlung von Gläubigern im Rahmen eines gerichtlichen Vergleichs oder eines Konkursverfahrens </w:t>
      </w:r>
      <w:r w:rsidR="00477B8F" w:rsidRPr="009118AB">
        <w:rPr>
          <w:i/>
          <w:iCs/>
        </w:rPr>
        <w:t>(offizielle deutsche Übersetzung: Belgisches Staatsblatt vom 18. April 2006)</w:t>
      </w:r>
      <w:r w:rsidR="00477B8F" w:rsidRPr="009118AB">
        <w:t>,</w:t>
      </w:r>
    </w:p>
    <w:p w14:paraId="01BA08C9" w14:textId="77777777" w:rsidR="00477B8F" w:rsidRPr="009118AB" w:rsidRDefault="00477B8F" w:rsidP="00477B8F">
      <w:pPr>
        <w:autoSpaceDE w:val="0"/>
        <w:autoSpaceDN w:val="0"/>
        <w:adjustRightInd w:val="0"/>
        <w:jc w:val="both"/>
      </w:pPr>
    </w:p>
    <w:p w14:paraId="58EFA511" w14:textId="614DB047" w:rsidR="00477B8F" w:rsidRPr="009118AB" w:rsidRDefault="00970435" w:rsidP="00477B8F">
      <w:pPr>
        <w:autoSpaceDE w:val="0"/>
        <w:autoSpaceDN w:val="0"/>
        <w:adjustRightInd w:val="0"/>
        <w:jc w:val="both"/>
      </w:pPr>
      <w:r>
        <w:t>- </w:t>
      </w:r>
      <w:r w:rsidR="00477B8F" w:rsidRPr="009118AB">
        <w:t xml:space="preserve">das Gesetz vom 2. Mai 2005 zur Abänderung von Artikel 205 </w:t>
      </w:r>
      <w:r w:rsidR="00D67EB8" w:rsidRPr="009118AB">
        <w:t>§ </w:t>
      </w:r>
      <w:r w:rsidR="00477B8F" w:rsidRPr="009118AB">
        <w:t xml:space="preserve">2 des Einkommensteuergesetzbuches 1992 in Bezug auf die von steuerpflichtigen Gewinnen abzugsfähigen Einkünfte </w:t>
      </w:r>
      <w:r w:rsidR="00477B8F" w:rsidRPr="009118AB">
        <w:rPr>
          <w:i/>
          <w:iCs/>
        </w:rPr>
        <w:t>(offizielle deutsche Übersetzung: Belgisches Staatsblatt vom 14. April 2006)</w:t>
      </w:r>
      <w:r w:rsidR="00477B8F" w:rsidRPr="009118AB">
        <w:t>,</w:t>
      </w:r>
    </w:p>
    <w:p w14:paraId="7C9C50CB" w14:textId="77777777" w:rsidR="00CF3A3F" w:rsidRPr="009118AB" w:rsidRDefault="00CF3A3F" w:rsidP="00477B8F">
      <w:pPr>
        <w:autoSpaceDE w:val="0"/>
        <w:autoSpaceDN w:val="0"/>
        <w:adjustRightInd w:val="0"/>
        <w:jc w:val="both"/>
      </w:pPr>
    </w:p>
    <w:p w14:paraId="13D487DD" w14:textId="0097EC9D" w:rsidR="00477B8F" w:rsidRPr="009118AB" w:rsidRDefault="00970435" w:rsidP="00477B8F">
      <w:pPr>
        <w:autoSpaceDE w:val="0"/>
        <w:autoSpaceDN w:val="0"/>
        <w:adjustRightInd w:val="0"/>
        <w:jc w:val="both"/>
      </w:pPr>
      <w:r>
        <w:t>- </w:t>
      </w:r>
      <w:r w:rsidR="00477B8F" w:rsidRPr="009118AB">
        <w:t xml:space="preserve">das Gesetz vom 20. Juni 2005 zur Abänderung des Einkommensteuergesetzbuches 1992 und des Gesetzbuches der der Stempelsteuer gleichgesetzten Steuern in Bezug auf die Amtshilfe zwischen den zuständigen Behörden der Mitgliedstaaten im Bereich der direkten Steuern und der Steuern auf Versicherungsprämien </w:t>
      </w:r>
      <w:r w:rsidR="00477B8F" w:rsidRPr="009118AB">
        <w:rPr>
          <w:i/>
          <w:iCs/>
        </w:rPr>
        <w:t>(offizielle deutsche Übersetzung: Belgisches Staatsblatt vom 14. April 2006)</w:t>
      </w:r>
      <w:r w:rsidR="00477B8F" w:rsidRPr="009118AB">
        <w:t>,</w:t>
      </w:r>
    </w:p>
    <w:p w14:paraId="5B6CF689" w14:textId="77777777" w:rsidR="00477B8F" w:rsidRPr="009118AB" w:rsidRDefault="00477B8F" w:rsidP="00477B8F">
      <w:pPr>
        <w:autoSpaceDE w:val="0"/>
        <w:autoSpaceDN w:val="0"/>
        <w:adjustRightInd w:val="0"/>
        <w:jc w:val="both"/>
      </w:pPr>
    </w:p>
    <w:p w14:paraId="7E3ACA05" w14:textId="0BDFD779" w:rsidR="00477B8F" w:rsidRPr="009118AB" w:rsidRDefault="00970435" w:rsidP="00477B8F">
      <w:pPr>
        <w:autoSpaceDE w:val="0"/>
        <w:autoSpaceDN w:val="0"/>
        <w:adjustRightInd w:val="0"/>
        <w:jc w:val="both"/>
      </w:pPr>
      <w:r>
        <w:t>- </w:t>
      </w:r>
      <w:r w:rsidR="00477B8F" w:rsidRPr="009118AB">
        <w:t xml:space="preserve">das Gesetz vom 22. Juni 2005 zur Einführung eines Steuerabzugs für Risikokapital </w:t>
      </w:r>
      <w:r w:rsidR="00477B8F" w:rsidRPr="009118AB">
        <w:rPr>
          <w:i/>
          <w:iCs/>
        </w:rPr>
        <w:t>(offizielle deutsche Übersetzung: Belgisches Staatsblatt vom 14. April 2006)</w:t>
      </w:r>
      <w:r w:rsidR="00477B8F" w:rsidRPr="009118AB">
        <w:t>,</w:t>
      </w:r>
    </w:p>
    <w:p w14:paraId="3065235E" w14:textId="77777777" w:rsidR="00477B8F" w:rsidRPr="009118AB" w:rsidRDefault="00477B8F" w:rsidP="00477B8F">
      <w:pPr>
        <w:autoSpaceDE w:val="0"/>
        <w:autoSpaceDN w:val="0"/>
        <w:adjustRightInd w:val="0"/>
        <w:jc w:val="both"/>
      </w:pPr>
    </w:p>
    <w:p w14:paraId="330AA93D" w14:textId="08F626A5" w:rsidR="00477B8F" w:rsidRPr="009118AB" w:rsidRDefault="00970435" w:rsidP="00477B8F">
      <w:pPr>
        <w:autoSpaceDE w:val="0"/>
        <w:autoSpaceDN w:val="0"/>
        <w:adjustRightInd w:val="0"/>
        <w:jc w:val="both"/>
      </w:pPr>
      <w:r>
        <w:t>- </w:t>
      </w:r>
      <w:r w:rsidR="00477B8F" w:rsidRPr="009118AB">
        <w:t xml:space="preserve">das Gesetz vom 3. Juli 2005 zur Festlegung verschiedener Bestimmungen in Bezug auf die soziale Konzertierung </w:t>
      </w:r>
      <w:r w:rsidR="00477B8F" w:rsidRPr="009118AB">
        <w:rPr>
          <w:i/>
          <w:iCs/>
        </w:rPr>
        <w:t>(offizielle deutsche Übersetzung: Belgisches Staatsblatt vom 4. Mai 2006)</w:t>
      </w:r>
      <w:r w:rsidR="00477B8F" w:rsidRPr="009118AB">
        <w:t>,</w:t>
      </w:r>
    </w:p>
    <w:p w14:paraId="3B0B45B4" w14:textId="77777777" w:rsidR="00477B8F" w:rsidRPr="009118AB" w:rsidRDefault="00477B8F" w:rsidP="00477B8F">
      <w:pPr>
        <w:autoSpaceDE w:val="0"/>
        <w:autoSpaceDN w:val="0"/>
        <w:adjustRightInd w:val="0"/>
        <w:jc w:val="both"/>
      </w:pPr>
    </w:p>
    <w:p w14:paraId="3A7DDB3D" w14:textId="20EDC3CC" w:rsidR="00477B8F" w:rsidRPr="009118AB" w:rsidRDefault="00970435" w:rsidP="00477B8F">
      <w:pPr>
        <w:autoSpaceDE w:val="0"/>
        <w:autoSpaceDN w:val="0"/>
        <w:adjustRightInd w:val="0"/>
        <w:jc w:val="both"/>
      </w:pPr>
      <w:r>
        <w:lastRenderedPageBreak/>
        <w:t>- </w:t>
      </w:r>
      <w:r w:rsidR="00477B8F" w:rsidRPr="009118AB">
        <w:t xml:space="preserve">das Programmgesetz vom 11. Juli 2005 </w:t>
      </w:r>
      <w:r w:rsidR="00477B8F" w:rsidRPr="009118AB">
        <w:rPr>
          <w:i/>
          <w:iCs/>
        </w:rPr>
        <w:t>(offizielle deutsche Übersetzung: Belgisches Staatsblatt vom 4. Mai 2006)</w:t>
      </w:r>
      <w:r w:rsidR="00477B8F" w:rsidRPr="009118AB">
        <w:t>,</w:t>
      </w:r>
    </w:p>
    <w:p w14:paraId="09508CA1" w14:textId="77777777" w:rsidR="00477B8F" w:rsidRPr="009118AB" w:rsidRDefault="00477B8F" w:rsidP="00477B8F">
      <w:pPr>
        <w:autoSpaceDE w:val="0"/>
        <w:autoSpaceDN w:val="0"/>
        <w:adjustRightInd w:val="0"/>
        <w:jc w:val="both"/>
      </w:pPr>
    </w:p>
    <w:p w14:paraId="722FAB51" w14:textId="4B506387" w:rsidR="00477B8F" w:rsidRPr="009118AB" w:rsidRDefault="00970435" w:rsidP="00477B8F">
      <w:pPr>
        <w:autoSpaceDE w:val="0"/>
        <w:autoSpaceDN w:val="0"/>
        <w:adjustRightInd w:val="0"/>
        <w:jc w:val="both"/>
      </w:pPr>
      <w:r>
        <w:t>- </w:t>
      </w:r>
      <w:r w:rsidR="00477B8F" w:rsidRPr="009118AB">
        <w:t>das Gesetz vom 20. Juli 2005 zur Abänderung des Einkommensteuergesetzbuches 1992 in</w:t>
      </w:r>
      <w:r w:rsidR="000000E9" w:rsidRPr="009118AB">
        <w:t xml:space="preserve"> Bezug auf den Berufs</w:t>
      </w:r>
      <w:r w:rsidR="00477B8F" w:rsidRPr="009118AB">
        <w:t xml:space="preserve">steuervorabzug aufgrund der Leitlinien der Gemeinschaft 2004/43 der Kommission der Europäischen Union vom 17. Januar 2004 für staatliche Beihilfen im Seeverkehr </w:t>
      </w:r>
      <w:r w:rsidR="00477B8F" w:rsidRPr="009118AB">
        <w:rPr>
          <w:i/>
          <w:iCs/>
        </w:rPr>
        <w:t>(offizielle deutsche Übersetzung: Belgisches Staatsblatt vom 4. Mai 2006)</w:t>
      </w:r>
      <w:r w:rsidR="00477B8F" w:rsidRPr="009118AB">
        <w:t>,</w:t>
      </w:r>
    </w:p>
    <w:p w14:paraId="29CC306C" w14:textId="77777777" w:rsidR="00477B8F" w:rsidRPr="009118AB" w:rsidRDefault="00477B8F" w:rsidP="00477B8F">
      <w:pPr>
        <w:autoSpaceDE w:val="0"/>
        <w:autoSpaceDN w:val="0"/>
        <w:adjustRightInd w:val="0"/>
        <w:jc w:val="both"/>
      </w:pPr>
    </w:p>
    <w:p w14:paraId="196A6B97" w14:textId="38E97D0E" w:rsidR="00477B8F" w:rsidRPr="009118AB" w:rsidRDefault="00970435" w:rsidP="00477B8F">
      <w:pPr>
        <w:autoSpaceDE w:val="0"/>
        <w:autoSpaceDN w:val="0"/>
        <w:adjustRightInd w:val="0"/>
        <w:jc w:val="both"/>
      </w:pPr>
      <w:r>
        <w:t>- </w:t>
      </w:r>
      <w:r w:rsidR="00477B8F" w:rsidRPr="009118AB">
        <w:t>das Gesetz vom 10. August 2005 zur Einfügung eines Artikels 314</w:t>
      </w:r>
      <w:r w:rsidR="00477B8F" w:rsidRPr="009118AB">
        <w:rPr>
          <w:i/>
          <w:iCs/>
        </w:rPr>
        <w:t>bis</w:t>
      </w:r>
      <w:r w:rsidR="00477B8F" w:rsidRPr="009118AB">
        <w:t xml:space="preserve"> in das Einkommensteuergesetzbuch 1992 </w:t>
      </w:r>
      <w:r w:rsidR="00477B8F" w:rsidRPr="009118AB">
        <w:rPr>
          <w:i/>
          <w:iCs/>
        </w:rPr>
        <w:t>(offizielle deutsche Übersetzung: Belgisches Staatsblatt vom 4. Mai 2006)</w:t>
      </w:r>
      <w:r w:rsidR="003266AF" w:rsidRPr="009118AB">
        <w:rPr>
          <w:i/>
        </w:rPr>
        <w:t xml:space="preserve"> (I)</w:t>
      </w:r>
      <w:r w:rsidR="00477B8F" w:rsidRPr="009118AB">
        <w:t>,</w:t>
      </w:r>
    </w:p>
    <w:p w14:paraId="22AE36DB" w14:textId="77777777" w:rsidR="00477B8F" w:rsidRPr="009118AB" w:rsidRDefault="00477B8F" w:rsidP="00477B8F">
      <w:pPr>
        <w:autoSpaceDE w:val="0"/>
        <w:autoSpaceDN w:val="0"/>
        <w:adjustRightInd w:val="0"/>
        <w:jc w:val="both"/>
      </w:pPr>
    </w:p>
    <w:p w14:paraId="107B2F7A" w14:textId="7CB5F2CA" w:rsidR="00477B8F" w:rsidRPr="009118AB" w:rsidRDefault="00970435" w:rsidP="00477B8F">
      <w:pPr>
        <w:autoSpaceDE w:val="0"/>
        <w:autoSpaceDN w:val="0"/>
        <w:adjustRightInd w:val="0"/>
        <w:jc w:val="both"/>
      </w:pPr>
      <w:r>
        <w:t>- </w:t>
      </w:r>
      <w:r w:rsidR="00477B8F" w:rsidRPr="009118AB">
        <w:t xml:space="preserve">das Gesetz vom 10. August 2005 zur Abänderung, im Hinblick auf die Humanisierung der Steuereintreibung für Ehepartner, von Artikel 394 des Einkommensteuergesetzbuches 1992 und von Artikel 2 des Gesetzbuches der der Einkommensteuer gleichgesetzten Steuern </w:t>
      </w:r>
      <w:r w:rsidR="00477B8F" w:rsidRPr="009118AB">
        <w:rPr>
          <w:i/>
          <w:iCs/>
        </w:rPr>
        <w:t>(offizielle deutsche Übersetzung: Belgisches Staatsblatt vom 4. Mai 2006)</w:t>
      </w:r>
      <w:r w:rsidR="003266AF" w:rsidRPr="009118AB">
        <w:rPr>
          <w:i/>
        </w:rPr>
        <w:t xml:space="preserve"> (II)</w:t>
      </w:r>
      <w:r w:rsidR="00477B8F" w:rsidRPr="009118AB">
        <w:t>,</w:t>
      </w:r>
    </w:p>
    <w:p w14:paraId="60D90C79" w14:textId="77777777" w:rsidR="00477B8F" w:rsidRPr="009118AB" w:rsidRDefault="00477B8F" w:rsidP="00477B8F">
      <w:pPr>
        <w:autoSpaceDE w:val="0"/>
        <w:autoSpaceDN w:val="0"/>
        <w:adjustRightInd w:val="0"/>
        <w:jc w:val="both"/>
      </w:pPr>
    </w:p>
    <w:p w14:paraId="01C05DCB" w14:textId="32F49B5C" w:rsidR="00477B8F" w:rsidRPr="009118AB" w:rsidRDefault="00970435" w:rsidP="00477B8F">
      <w:pPr>
        <w:autoSpaceDE w:val="0"/>
        <w:autoSpaceDN w:val="0"/>
        <w:adjustRightInd w:val="0"/>
        <w:jc w:val="both"/>
      </w:pPr>
      <w:r>
        <w:t>- </w:t>
      </w:r>
      <w:r w:rsidR="00477B8F" w:rsidRPr="009118AB">
        <w:t xml:space="preserve">das Gesetz vom 10. August 2005 zur Abänderung, im Hinblick auf die Bekämpfung der Organisation der Zahlungsunfähigkeit im Rahmen von betrügerischen Abtretungen einer Gesamtheit von Gütern, des Mehrwertsteuergesetzbuches und des Einkommensteuergesetzbuches 1992 </w:t>
      </w:r>
      <w:r w:rsidR="00477B8F" w:rsidRPr="009118AB">
        <w:rPr>
          <w:i/>
          <w:iCs/>
        </w:rPr>
        <w:t>(offizielle deutsche Übersetzung: Belgisches Staatsblatt vom 4. Mai 2006)</w:t>
      </w:r>
      <w:r w:rsidR="003266AF" w:rsidRPr="009118AB">
        <w:rPr>
          <w:i/>
        </w:rPr>
        <w:t xml:space="preserve"> (III)</w:t>
      </w:r>
      <w:r w:rsidR="00477B8F" w:rsidRPr="009118AB">
        <w:t>,</w:t>
      </w:r>
    </w:p>
    <w:p w14:paraId="4BDAF46F" w14:textId="77777777" w:rsidR="00477B8F" w:rsidRPr="009118AB" w:rsidRDefault="00477B8F" w:rsidP="00477B8F">
      <w:pPr>
        <w:autoSpaceDE w:val="0"/>
        <w:autoSpaceDN w:val="0"/>
        <w:adjustRightInd w:val="0"/>
        <w:jc w:val="both"/>
      </w:pPr>
    </w:p>
    <w:p w14:paraId="29E02F4E" w14:textId="25280960" w:rsidR="00477B8F" w:rsidRPr="009118AB" w:rsidRDefault="00970435" w:rsidP="00477B8F">
      <w:pPr>
        <w:autoSpaceDE w:val="0"/>
        <w:autoSpaceDN w:val="0"/>
        <w:adjustRightInd w:val="0"/>
        <w:jc w:val="both"/>
      </w:pPr>
      <w:r>
        <w:t>- </w:t>
      </w:r>
      <w:r w:rsidR="00477B8F" w:rsidRPr="009118AB">
        <w:t xml:space="preserve">das Gesetz vom 23. Dezember 2005 über den Solidaritätspakt zwischen den Generationen </w:t>
      </w:r>
      <w:r w:rsidR="00477B8F" w:rsidRPr="009118AB">
        <w:rPr>
          <w:i/>
          <w:iCs/>
        </w:rPr>
        <w:t>(offizielle deutsche Übersetzung: Belgisches Staatsblatt vom 4. Mai 2006)</w:t>
      </w:r>
      <w:r w:rsidR="00477B8F" w:rsidRPr="009118AB">
        <w:t>,</w:t>
      </w:r>
    </w:p>
    <w:p w14:paraId="188379D0" w14:textId="77777777" w:rsidR="00477B8F" w:rsidRPr="009118AB" w:rsidRDefault="00477B8F" w:rsidP="00477B8F">
      <w:pPr>
        <w:autoSpaceDE w:val="0"/>
        <w:autoSpaceDN w:val="0"/>
        <w:adjustRightInd w:val="0"/>
        <w:jc w:val="both"/>
      </w:pPr>
    </w:p>
    <w:p w14:paraId="06E4D611" w14:textId="6FC729A2" w:rsidR="00477B8F" w:rsidRPr="009118AB" w:rsidRDefault="00970435" w:rsidP="00477B8F">
      <w:pPr>
        <w:autoSpaceDE w:val="0"/>
        <w:autoSpaceDN w:val="0"/>
        <w:adjustRightInd w:val="0"/>
        <w:jc w:val="both"/>
      </w:pPr>
      <w:r>
        <w:t>- </w:t>
      </w:r>
      <w:r w:rsidR="00477B8F" w:rsidRPr="009118AB">
        <w:t xml:space="preserve">das Programmgesetz vom 27. Dezember 2005 </w:t>
      </w:r>
      <w:r w:rsidR="00477B8F" w:rsidRPr="009118AB">
        <w:rPr>
          <w:i/>
          <w:iCs/>
        </w:rPr>
        <w:t>(offizielle deutsche Übersetzung: Belgisches Staatsblatt vom 4. Mai 2006)</w:t>
      </w:r>
      <w:r w:rsidR="003266AF" w:rsidRPr="009118AB">
        <w:rPr>
          <w:i/>
        </w:rPr>
        <w:t xml:space="preserve"> (I)</w:t>
      </w:r>
      <w:r w:rsidR="00477B8F" w:rsidRPr="009118AB">
        <w:t>,</w:t>
      </w:r>
    </w:p>
    <w:p w14:paraId="13F4F1D1" w14:textId="77777777" w:rsidR="00477B8F" w:rsidRPr="009118AB" w:rsidRDefault="00477B8F" w:rsidP="00477B8F">
      <w:pPr>
        <w:autoSpaceDE w:val="0"/>
        <w:autoSpaceDN w:val="0"/>
        <w:adjustRightInd w:val="0"/>
        <w:jc w:val="both"/>
        <w:rPr>
          <w:i/>
        </w:rPr>
      </w:pPr>
    </w:p>
    <w:p w14:paraId="36ED95C6" w14:textId="63E4A58A" w:rsidR="00477B8F" w:rsidRPr="009118AB" w:rsidRDefault="00970435" w:rsidP="00477B8F">
      <w:pPr>
        <w:autoSpaceDE w:val="0"/>
        <w:autoSpaceDN w:val="0"/>
        <w:adjustRightInd w:val="0"/>
        <w:jc w:val="both"/>
      </w:pPr>
      <w:r>
        <w:t>- </w:t>
      </w:r>
      <w:r w:rsidR="00477B8F" w:rsidRPr="009118AB">
        <w:t xml:space="preserve">das Gesetz vom 27. Dezember 2005 zur Festlegung verschiedener Bestimmungen </w:t>
      </w:r>
      <w:r w:rsidR="00477B8F" w:rsidRPr="009118AB">
        <w:rPr>
          <w:i/>
          <w:iCs/>
        </w:rPr>
        <w:t>(offizielle deutsche Übersetzung: Belgisches Staatsblatt vom 1. Juni 2006)</w:t>
      </w:r>
      <w:r w:rsidR="003266AF" w:rsidRPr="009118AB">
        <w:rPr>
          <w:i/>
        </w:rPr>
        <w:t xml:space="preserve"> (II)</w:t>
      </w:r>
      <w:r w:rsidR="00477B8F" w:rsidRPr="009118AB">
        <w:t>,</w:t>
      </w:r>
    </w:p>
    <w:p w14:paraId="5397A545" w14:textId="77777777" w:rsidR="00931675" w:rsidRPr="009118AB" w:rsidRDefault="00931675" w:rsidP="00477B8F">
      <w:pPr>
        <w:autoSpaceDE w:val="0"/>
        <w:autoSpaceDN w:val="0"/>
        <w:adjustRightInd w:val="0"/>
        <w:jc w:val="both"/>
      </w:pPr>
    </w:p>
    <w:p w14:paraId="71D661BE" w14:textId="197524AA" w:rsidR="008720AB" w:rsidRPr="00DD5892" w:rsidRDefault="008720AB" w:rsidP="00477B8F">
      <w:pPr>
        <w:autoSpaceDE w:val="0"/>
        <w:autoSpaceDN w:val="0"/>
        <w:adjustRightInd w:val="0"/>
        <w:jc w:val="both"/>
      </w:pPr>
      <w:r>
        <w:t xml:space="preserve">- den </w:t>
      </w:r>
      <w:r w:rsidRPr="008720AB">
        <w:t>Entscheid Nr. 7/2006 des Schiedshofes vom 18. </w:t>
      </w:r>
      <w:r w:rsidRPr="00DD5892">
        <w:t>Januar 2006 (</w:t>
      </w:r>
      <w:r w:rsidRPr="00DD5892">
        <w:rPr>
          <w:i/>
          <w:iCs/>
        </w:rPr>
        <w:t xml:space="preserve">Belgisches Staatsblatt </w:t>
      </w:r>
      <w:r w:rsidRPr="00DD5892">
        <w:t>vom 1. Februar 2006),</w:t>
      </w:r>
    </w:p>
    <w:p w14:paraId="23376CFF" w14:textId="77777777" w:rsidR="008720AB" w:rsidRPr="00DD5892" w:rsidRDefault="008720AB" w:rsidP="00477B8F">
      <w:pPr>
        <w:autoSpaceDE w:val="0"/>
        <w:autoSpaceDN w:val="0"/>
        <w:adjustRightInd w:val="0"/>
        <w:jc w:val="both"/>
        <w:rPr>
          <w:i/>
          <w:iCs/>
        </w:rPr>
      </w:pPr>
    </w:p>
    <w:p w14:paraId="7BAC27D2" w14:textId="48709CAD" w:rsidR="00477B8F" w:rsidRPr="009118AB" w:rsidRDefault="00970435" w:rsidP="00477B8F">
      <w:pPr>
        <w:autoSpaceDE w:val="0"/>
        <w:autoSpaceDN w:val="0"/>
        <w:adjustRightInd w:val="0"/>
        <w:jc w:val="both"/>
      </w:pPr>
      <w:r>
        <w:t>- </w:t>
      </w:r>
      <w:r w:rsidR="00477B8F" w:rsidRPr="009118AB">
        <w:t xml:space="preserve">das Gesetz vom 26. Januar 2006 über die Haltung von Pflichtvorräten an Erdöl und Erdölerzeugnissen und die Schaffung einer Agentur für die Verwaltung eines Teils dieser Vorräte und zur Abänderung des Gesetzes vom 10. Juni 1997 über die allgemeine Regelung, den Besitz, den Verkehr und die Kontrollen der Akzisenprodukte </w:t>
      </w:r>
      <w:r w:rsidR="00477B8F" w:rsidRPr="009118AB">
        <w:rPr>
          <w:i/>
          <w:iCs/>
        </w:rPr>
        <w:t>(offizielle deutsche Übersetzung: Belgisches Staatsblatt vom 19. Dezember 2006)</w:t>
      </w:r>
      <w:r w:rsidR="00477B8F" w:rsidRPr="009118AB">
        <w:t>,</w:t>
      </w:r>
    </w:p>
    <w:p w14:paraId="1680A8BD" w14:textId="77777777" w:rsidR="00477B8F" w:rsidRPr="009118AB" w:rsidRDefault="00477B8F" w:rsidP="00477B8F">
      <w:pPr>
        <w:autoSpaceDE w:val="0"/>
        <w:autoSpaceDN w:val="0"/>
        <w:adjustRightInd w:val="0"/>
        <w:jc w:val="both"/>
      </w:pPr>
    </w:p>
    <w:p w14:paraId="60D62177" w14:textId="1BF37A67" w:rsidR="00477B8F" w:rsidRPr="009118AB" w:rsidRDefault="00970435" w:rsidP="00477B8F">
      <w:pPr>
        <w:autoSpaceDE w:val="0"/>
        <w:autoSpaceDN w:val="0"/>
        <w:adjustRightInd w:val="0"/>
        <w:jc w:val="both"/>
      </w:pPr>
      <w:r>
        <w:t>- </w:t>
      </w:r>
      <w:r w:rsidR="00477B8F" w:rsidRPr="009118AB">
        <w:t xml:space="preserve">das Gesetz vom 31. Januar 2006 zur Abänderung des Einkommensteuergesetzbuches 1992 in Bezug auf die Gleichsetzung von Gewinnanteilen mit eingezahltem Kapital </w:t>
      </w:r>
      <w:r w:rsidR="00477B8F" w:rsidRPr="009118AB">
        <w:rPr>
          <w:i/>
          <w:iCs/>
        </w:rPr>
        <w:t>(offizielle deutsche Übersetzung: Belgisches Staatsblatt vom 19. Dezember 2006)</w:t>
      </w:r>
      <w:r w:rsidR="00477B8F" w:rsidRPr="009118AB">
        <w:t>,</w:t>
      </w:r>
    </w:p>
    <w:p w14:paraId="11CEC506" w14:textId="77777777" w:rsidR="00477B8F" w:rsidRPr="009118AB" w:rsidRDefault="00477B8F" w:rsidP="00477B8F">
      <w:pPr>
        <w:autoSpaceDE w:val="0"/>
        <w:autoSpaceDN w:val="0"/>
        <w:adjustRightInd w:val="0"/>
        <w:jc w:val="both"/>
      </w:pPr>
    </w:p>
    <w:p w14:paraId="44693525" w14:textId="5B769DF0" w:rsidR="00477B8F" w:rsidRPr="009118AB" w:rsidRDefault="00970435" w:rsidP="00477B8F">
      <w:pPr>
        <w:autoSpaceDE w:val="0"/>
        <w:autoSpaceDN w:val="0"/>
        <w:adjustRightInd w:val="0"/>
        <w:jc w:val="both"/>
      </w:pPr>
      <w:r>
        <w:t>- </w:t>
      </w:r>
      <w:r w:rsidR="00477B8F" w:rsidRPr="009118AB">
        <w:t xml:space="preserve">das Gesetz vom 25. April 2006 zur Festlegung verschiedener steuerrechtlicher Bestimmungen in Bezug auf Einkünfte aus beweglichen Gütern </w:t>
      </w:r>
      <w:r w:rsidR="00477B8F" w:rsidRPr="009118AB">
        <w:rPr>
          <w:i/>
          <w:iCs/>
        </w:rPr>
        <w:t>(offizielle deutsche Übersetzung: Belgisches Staatsblatt vom 19. Dezember 2006)</w:t>
      </w:r>
      <w:r w:rsidR="00477B8F" w:rsidRPr="009118AB">
        <w:t>,</w:t>
      </w:r>
    </w:p>
    <w:p w14:paraId="1328AE9A" w14:textId="77777777" w:rsidR="00477B8F" w:rsidRPr="009118AB" w:rsidRDefault="00477B8F" w:rsidP="00477B8F">
      <w:pPr>
        <w:autoSpaceDE w:val="0"/>
        <w:autoSpaceDN w:val="0"/>
        <w:adjustRightInd w:val="0"/>
        <w:jc w:val="both"/>
      </w:pPr>
    </w:p>
    <w:p w14:paraId="1ABEFB7A" w14:textId="432A0A10" w:rsidR="00477B8F" w:rsidRPr="009118AB" w:rsidRDefault="00970435" w:rsidP="00477B8F">
      <w:pPr>
        <w:autoSpaceDE w:val="0"/>
        <w:autoSpaceDN w:val="0"/>
        <w:adjustRightInd w:val="0"/>
        <w:jc w:val="both"/>
      </w:pPr>
      <w:r>
        <w:lastRenderedPageBreak/>
        <w:t>- </w:t>
      </w:r>
      <w:r w:rsidR="00477B8F" w:rsidRPr="009118AB">
        <w:t xml:space="preserve">das Gesetz 10. Juni 2006 über die getrennte Veranlagung der regionalen Wiederbeschäftigungsprämien </w:t>
      </w:r>
      <w:r w:rsidR="00477B8F" w:rsidRPr="009118AB">
        <w:rPr>
          <w:i/>
          <w:iCs/>
        </w:rPr>
        <w:t>(offizielle deutsche Übersetzung: Belgisches Staatsblatt vom 19. Dezember 2006)</w:t>
      </w:r>
      <w:r w:rsidR="00477B8F" w:rsidRPr="009118AB">
        <w:t>,</w:t>
      </w:r>
    </w:p>
    <w:p w14:paraId="2BC22D45" w14:textId="77777777" w:rsidR="00477B8F" w:rsidRPr="009118AB" w:rsidRDefault="00477B8F" w:rsidP="00477B8F">
      <w:pPr>
        <w:autoSpaceDE w:val="0"/>
        <w:autoSpaceDN w:val="0"/>
        <w:adjustRightInd w:val="0"/>
        <w:jc w:val="both"/>
      </w:pPr>
    </w:p>
    <w:p w14:paraId="534F8183" w14:textId="7028416C" w:rsidR="00477B8F" w:rsidRPr="009118AB" w:rsidRDefault="00970435" w:rsidP="00477B8F">
      <w:pPr>
        <w:autoSpaceDE w:val="0"/>
        <w:autoSpaceDN w:val="0"/>
        <w:adjustRightInd w:val="0"/>
        <w:jc w:val="both"/>
      </w:pPr>
      <w:r>
        <w:t>- </w:t>
      </w:r>
      <w:r w:rsidR="00477B8F" w:rsidRPr="009118AB">
        <w:t xml:space="preserve">das Programmgesetz vom 20. Juli 2006 </w:t>
      </w:r>
      <w:r w:rsidR="00477B8F" w:rsidRPr="009118AB">
        <w:rPr>
          <w:i/>
          <w:iCs/>
        </w:rPr>
        <w:t>(offizielle deutsche Übersetzung: Belgisches Staatsblatt vom 12. Januar 2007)</w:t>
      </w:r>
      <w:r w:rsidR="003266AF" w:rsidRPr="009118AB">
        <w:rPr>
          <w:i/>
        </w:rPr>
        <w:t xml:space="preserve"> (I)</w:t>
      </w:r>
      <w:r w:rsidR="00477B8F" w:rsidRPr="009118AB">
        <w:t>,</w:t>
      </w:r>
    </w:p>
    <w:p w14:paraId="2C286970" w14:textId="77777777" w:rsidR="00477B8F" w:rsidRPr="009118AB" w:rsidRDefault="00477B8F" w:rsidP="00477B8F">
      <w:pPr>
        <w:autoSpaceDE w:val="0"/>
        <w:autoSpaceDN w:val="0"/>
        <w:adjustRightInd w:val="0"/>
        <w:jc w:val="both"/>
      </w:pPr>
    </w:p>
    <w:p w14:paraId="2561C847" w14:textId="0D195B2B" w:rsidR="00477B8F" w:rsidRPr="009118AB" w:rsidRDefault="00970435" w:rsidP="00477B8F">
      <w:pPr>
        <w:autoSpaceDE w:val="0"/>
        <w:autoSpaceDN w:val="0"/>
        <w:adjustRightInd w:val="0"/>
        <w:jc w:val="both"/>
      </w:pPr>
      <w:r>
        <w:t>- </w:t>
      </w:r>
      <w:r w:rsidR="00477B8F" w:rsidRPr="009118AB">
        <w:t xml:space="preserve">das Gesetz vom 20. Juli 2006 zur Festlegung verschiedener Bestimmungen (II) </w:t>
      </w:r>
      <w:r w:rsidR="00477B8F" w:rsidRPr="009118AB">
        <w:rPr>
          <w:i/>
          <w:iCs/>
        </w:rPr>
        <w:t>(offizielle deutsche Übersetzung: Belgisches Staatsblatt vom 15. Februar 2007)</w:t>
      </w:r>
      <w:r w:rsidR="00477B8F" w:rsidRPr="009118AB">
        <w:t>,</w:t>
      </w:r>
    </w:p>
    <w:p w14:paraId="334D166C" w14:textId="77777777" w:rsidR="00477B8F" w:rsidRPr="009118AB" w:rsidRDefault="00477B8F" w:rsidP="00477B8F">
      <w:pPr>
        <w:autoSpaceDE w:val="0"/>
        <w:autoSpaceDN w:val="0"/>
        <w:adjustRightInd w:val="0"/>
        <w:jc w:val="both"/>
      </w:pPr>
    </w:p>
    <w:p w14:paraId="2F6203C7" w14:textId="2CC02A18" w:rsidR="00477B8F" w:rsidRPr="009118AB" w:rsidRDefault="00970435" w:rsidP="00477B8F">
      <w:pPr>
        <w:autoSpaceDE w:val="0"/>
        <w:autoSpaceDN w:val="0"/>
        <w:adjustRightInd w:val="0"/>
        <w:jc w:val="both"/>
      </w:pPr>
      <w:r>
        <w:t>- </w:t>
      </w:r>
      <w:r w:rsidR="00477B8F" w:rsidRPr="009118AB">
        <w:t xml:space="preserve">den Königlichen Erlass vom 10. November 2006 zur Änderung der Verwaltungsstrukturen der Eisenbahninfrastruktur </w:t>
      </w:r>
      <w:r w:rsidR="00477B8F" w:rsidRPr="009118AB">
        <w:rPr>
          <w:i/>
          <w:iCs/>
        </w:rPr>
        <w:t>(offizielle deutsche Übersetzung: Belgisches Staatsblatt vom 6. April 2007)</w:t>
      </w:r>
      <w:r w:rsidR="00477B8F" w:rsidRPr="009118AB">
        <w:t>,</w:t>
      </w:r>
    </w:p>
    <w:p w14:paraId="5E37BB43" w14:textId="77777777" w:rsidR="00477B8F" w:rsidRPr="009118AB" w:rsidRDefault="00477B8F" w:rsidP="00477B8F">
      <w:pPr>
        <w:autoSpaceDE w:val="0"/>
        <w:autoSpaceDN w:val="0"/>
        <w:adjustRightInd w:val="0"/>
        <w:jc w:val="both"/>
      </w:pPr>
    </w:p>
    <w:p w14:paraId="1B17EE9B" w14:textId="374416A2" w:rsidR="00477B8F" w:rsidRPr="009118AB" w:rsidRDefault="00970435" w:rsidP="00477B8F">
      <w:pPr>
        <w:autoSpaceDE w:val="0"/>
        <w:autoSpaceDN w:val="0"/>
        <w:adjustRightInd w:val="0"/>
        <w:jc w:val="both"/>
      </w:pPr>
      <w:r>
        <w:t>- </w:t>
      </w:r>
      <w:r w:rsidR="00477B8F" w:rsidRPr="009118AB">
        <w:t>den Königlichen Erlass vom 29. November 2006 zur Ausführung des Gesetzes vom 26.</w:t>
      </w:r>
      <w:r w:rsidR="00222E0D" w:rsidRPr="009118AB">
        <w:t> </w:t>
      </w:r>
      <w:r w:rsidR="00477B8F" w:rsidRPr="009118AB">
        <w:t xml:space="preserve">November 2006 zur Abänderung von Artikel 51 des Einkommensteuergesetzbuches 1992 </w:t>
      </w:r>
      <w:r w:rsidR="00477B8F" w:rsidRPr="009118AB">
        <w:rPr>
          <w:i/>
          <w:iCs/>
        </w:rPr>
        <w:t>(offizielle deutsche Übersetzung: Belgisches Staatsblatt vom 6. April 2007)</w:t>
      </w:r>
      <w:r w:rsidR="00477B8F" w:rsidRPr="009118AB">
        <w:t>,</w:t>
      </w:r>
    </w:p>
    <w:p w14:paraId="00296E0E" w14:textId="77777777" w:rsidR="00477B8F" w:rsidRPr="009118AB" w:rsidRDefault="00477B8F" w:rsidP="00477B8F">
      <w:pPr>
        <w:autoSpaceDE w:val="0"/>
        <w:autoSpaceDN w:val="0"/>
        <w:adjustRightInd w:val="0"/>
        <w:jc w:val="both"/>
      </w:pPr>
    </w:p>
    <w:p w14:paraId="506FB5F9" w14:textId="4F98B044" w:rsidR="00477B8F" w:rsidRPr="009118AB" w:rsidRDefault="00970435" w:rsidP="00477B8F">
      <w:pPr>
        <w:autoSpaceDE w:val="0"/>
        <w:autoSpaceDN w:val="0"/>
        <w:adjustRightInd w:val="0"/>
        <w:jc w:val="both"/>
      </w:pPr>
      <w:r>
        <w:t>- </w:t>
      </w:r>
      <w:r w:rsidR="00477B8F" w:rsidRPr="009118AB">
        <w:t>das Gesetz vom 3. Dezember</w:t>
      </w:r>
      <w:r>
        <w:t> </w:t>
      </w:r>
      <w:r w:rsidR="00477B8F" w:rsidRPr="009118AB">
        <w:t>2006 zur Abänderung von Artikel 194</w:t>
      </w:r>
      <w:r w:rsidR="00477B8F" w:rsidRPr="009118AB">
        <w:rPr>
          <w:i/>
        </w:rPr>
        <w:t>ter</w:t>
      </w:r>
      <w:r w:rsidR="00477B8F" w:rsidRPr="009118AB">
        <w:t xml:space="preserve"> des Einkommensteuergesetzbuches</w:t>
      </w:r>
      <w:r>
        <w:t> </w:t>
      </w:r>
      <w:r w:rsidR="00477B8F" w:rsidRPr="009118AB">
        <w:t>1992 in Bezug auf die Tax</w:t>
      </w:r>
      <w:r w:rsidR="00477B8F" w:rsidRPr="009118AB">
        <w:noBreakHyphen/>
        <w:t>Shelter</w:t>
      </w:r>
      <w:r w:rsidR="00477B8F" w:rsidRPr="009118AB">
        <w:noBreakHyphen/>
        <w:t xml:space="preserve">Regelung zugunsten der audiovisuellen Produktion </w:t>
      </w:r>
      <w:r w:rsidR="00477B8F" w:rsidRPr="009118AB">
        <w:rPr>
          <w:i/>
          <w:iCs/>
        </w:rPr>
        <w:t>(offizielle deutsche Übersetzung: Belgisches Staatsblatt vom 6. April 2007)</w:t>
      </w:r>
      <w:r w:rsidR="00477B8F" w:rsidRPr="009118AB">
        <w:t>,</w:t>
      </w:r>
    </w:p>
    <w:p w14:paraId="68A4F5B6" w14:textId="77777777" w:rsidR="00477B8F" w:rsidRPr="009118AB" w:rsidRDefault="00477B8F" w:rsidP="00477B8F">
      <w:pPr>
        <w:autoSpaceDE w:val="0"/>
        <w:autoSpaceDN w:val="0"/>
        <w:adjustRightInd w:val="0"/>
        <w:jc w:val="both"/>
      </w:pPr>
    </w:p>
    <w:p w14:paraId="1B7330B2" w14:textId="6C14B624" w:rsidR="00477B8F" w:rsidRPr="009118AB" w:rsidRDefault="00970435" w:rsidP="00477B8F">
      <w:pPr>
        <w:autoSpaceDE w:val="0"/>
        <w:autoSpaceDN w:val="0"/>
        <w:adjustRightInd w:val="0"/>
        <w:jc w:val="both"/>
      </w:pPr>
      <w:r>
        <w:t>- </w:t>
      </w:r>
      <w:r w:rsidR="00477B8F" w:rsidRPr="009118AB">
        <w:t xml:space="preserve">das Gesetz vom 7. Dezember 2006 zur Ersetzung von Artikel 230 Absatz 1 </w:t>
      </w:r>
      <w:r w:rsidR="00D67EB8" w:rsidRPr="009118AB">
        <w:t>Nr. </w:t>
      </w:r>
      <w:r w:rsidR="00477B8F" w:rsidRPr="009118AB">
        <w:t xml:space="preserve">3 des Einkommensteuergesetzbuches 1992 </w:t>
      </w:r>
      <w:r w:rsidR="00477B8F" w:rsidRPr="009118AB">
        <w:rPr>
          <w:i/>
          <w:iCs/>
        </w:rPr>
        <w:t>(offizielle deutsche Übersetzung: Belgisches Staatsblatt vom 6. April 2007)</w:t>
      </w:r>
      <w:r w:rsidR="00F455AA" w:rsidRPr="009118AB">
        <w:rPr>
          <w:i/>
        </w:rPr>
        <w:t xml:space="preserve"> (I)</w:t>
      </w:r>
      <w:r w:rsidR="00477B8F" w:rsidRPr="009118AB">
        <w:t>,</w:t>
      </w:r>
    </w:p>
    <w:p w14:paraId="2D1FCD85" w14:textId="77777777" w:rsidR="00477B8F" w:rsidRPr="009118AB" w:rsidRDefault="00477B8F" w:rsidP="00477B8F">
      <w:pPr>
        <w:autoSpaceDE w:val="0"/>
        <w:autoSpaceDN w:val="0"/>
        <w:adjustRightInd w:val="0"/>
        <w:jc w:val="both"/>
      </w:pPr>
    </w:p>
    <w:p w14:paraId="381C2B47" w14:textId="685B2652" w:rsidR="00477B8F" w:rsidRPr="009118AB" w:rsidRDefault="00970435" w:rsidP="00477B8F">
      <w:pPr>
        <w:autoSpaceDE w:val="0"/>
        <w:autoSpaceDN w:val="0"/>
        <w:adjustRightInd w:val="0"/>
        <w:jc w:val="both"/>
      </w:pPr>
      <w:r>
        <w:t>- </w:t>
      </w:r>
      <w:r w:rsidR="00477B8F" w:rsidRPr="009118AB">
        <w:t>das Gesetz vom 7. Dezember 2006 über den Investitionsabzug zugunsten des Horeca</w:t>
      </w:r>
      <w:r w:rsidR="00477B8F" w:rsidRPr="009118AB">
        <w:noBreakHyphen/>
        <w:t xml:space="preserve">Sektors </w:t>
      </w:r>
      <w:r w:rsidR="00477B8F" w:rsidRPr="009118AB">
        <w:rPr>
          <w:i/>
          <w:iCs/>
        </w:rPr>
        <w:t>(offizielle deutsche Übersetzung: Belgisches Staatsblatt vom 6. April 2007)</w:t>
      </w:r>
      <w:r w:rsidR="00F455AA" w:rsidRPr="009118AB">
        <w:rPr>
          <w:i/>
        </w:rPr>
        <w:t xml:space="preserve"> (II)</w:t>
      </w:r>
      <w:r w:rsidR="00477B8F" w:rsidRPr="009118AB">
        <w:t>,</w:t>
      </w:r>
    </w:p>
    <w:p w14:paraId="2BB512F8" w14:textId="77777777" w:rsidR="00477B8F" w:rsidRPr="009118AB" w:rsidRDefault="00477B8F" w:rsidP="00477B8F">
      <w:pPr>
        <w:autoSpaceDE w:val="0"/>
        <w:autoSpaceDN w:val="0"/>
        <w:adjustRightInd w:val="0"/>
        <w:jc w:val="both"/>
      </w:pPr>
    </w:p>
    <w:p w14:paraId="5CA57534" w14:textId="4408F44C" w:rsidR="00477B8F" w:rsidRPr="009118AB" w:rsidRDefault="00970435" w:rsidP="00477B8F">
      <w:pPr>
        <w:autoSpaceDE w:val="0"/>
        <w:autoSpaceDN w:val="0"/>
        <w:adjustRightInd w:val="0"/>
        <w:jc w:val="both"/>
      </w:pPr>
      <w:r>
        <w:t>- </w:t>
      </w:r>
      <w:r w:rsidR="00477B8F" w:rsidRPr="009118AB">
        <w:t>das Programmgesetz (I) vom 27. Dezember 2006</w:t>
      </w:r>
      <w:r w:rsidR="007E553C" w:rsidRPr="009118AB">
        <w:t xml:space="preserve"> </w:t>
      </w:r>
      <w:r w:rsidR="00477B8F" w:rsidRPr="009118AB">
        <w:rPr>
          <w:i/>
          <w:iCs/>
        </w:rPr>
        <w:t>(offizielle deutsche Übersetzung: Belgisches Staatsblatt vom 1. Juni 2007)</w:t>
      </w:r>
      <w:r w:rsidR="00F455AA" w:rsidRPr="009118AB">
        <w:rPr>
          <w:i/>
        </w:rPr>
        <w:t xml:space="preserve"> (I)</w:t>
      </w:r>
      <w:r w:rsidR="00477B8F" w:rsidRPr="009118AB">
        <w:t>,</w:t>
      </w:r>
    </w:p>
    <w:p w14:paraId="528E462C" w14:textId="77777777" w:rsidR="00931675" w:rsidRPr="009118AB" w:rsidRDefault="00931675" w:rsidP="00477B8F">
      <w:pPr>
        <w:autoSpaceDE w:val="0"/>
        <w:autoSpaceDN w:val="0"/>
        <w:adjustRightInd w:val="0"/>
        <w:jc w:val="both"/>
      </w:pPr>
    </w:p>
    <w:p w14:paraId="3726F09C" w14:textId="1EF20CC8" w:rsidR="00477B8F" w:rsidRPr="009118AB" w:rsidRDefault="00970435" w:rsidP="00477B8F">
      <w:pPr>
        <w:autoSpaceDE w:val="0"/>
        <w:autoSpaceDN w:val="0"/>
        <w:adjustRightInd w:val="0"/>
        <w:jc w:val="both"/>
      </w:pPr>
      <w:r>
        <w:t>- </w:t>
      </w:r>
      <w:r w:rsidR="00477B8F" w:rsidRPr="009118AB">
        <w:t>das Gesetz vom 27. Dezember 2006 zur Festlegung verschiedener Bestimmungen (I)</w:t>
      </w:r>
      <w:r w:rsidR="007E553C" w:rsidRPr="009118AB">
        <w:t xml:space="preserve"> </w:t>
      </w:r>
      <w:r w:rsidR="00477B8F" w:rsidRPr="009118AB">
        <w:rPr>
          <w:i/>
          <w:iCs/>
        </w:rPr>
        <w:t>(offizielle deutsche Übersetzung: Belgisches Staatsblatt vom 1. Juni 2007)</w:t>
      </w:r>
      <w:r w:rsidR="00F455AA" w:rsidRPr="009118AB">
        <w:rPr>
          <w:i/>
        </w:rPr>
        <w:t xml:space="preserve"> (II)</w:t>
      </w:r>
      <w:r w:rsidR="00477B8F" w:rsidRPr="009118AB">
        <w:t>,</w:t>
      </w:r>
    </w:p>
    <w:p w14:paraId="6BE9565A" w14:textId="77777777" w:rsidR="00477B8F" w:rsidRPr="009118AB" w:rsidRDefault="00477B8F" w:rsidP="00477B8F">
      <w:pPr>
        <w:autoSpaceDE w:val="0"/>
        <w:autoSpaceDN w:val="0"/>
        <w:adjustRightInd w:val="0"/>
        <w:jc w:val="both"/>
      </w:pPr>
    </w:p>
    <w:p w14:paraId="71A2B80C" w14:textId="418ED732" w:rsidR="00477B8F" w:rsidRPr="009118AB" w:rsidRDefault="00970435" w:rsidP="00477B8F">
      <w:pPr>
        <w:autoSpaceDE w:val="0"/>
        <w:autoSpaceDN w:val="0"/>
        <w:adjustRightInd w:val="0"/>
        <w:jc w:val="both"/>
      </w:pPr>
      <w:r>
        <w:t>- </w:t>
      </w:r>
      <w:r w:rsidR="00477B8F" w:rsidRPr="009118AB">
        <w:t xml:space="preserve">den Königlichen Erlass vom 25. Februar 2007 zur Weiterentwicklung des elektronischen Notifizierungssystems zwischen dem Föderalen Öffentlichen Dienst Finanzen und bestimmten ministeriellen Amtsträgern, Beamten und anderen Personen </w:t>
      </w:r>
      <w:r w:rsidR="00477B8F" w:rsidRPr="009118AB">
        <w:rPr>
          <w:i/>
          <w:iCs/>
        </w:rPr>
        <w:t>(deutsche Übersetzung: Belgisches Staatsblatt vom 8. August 2007)</w:t>
      </w:r>
      <w:r w:rsidR="00477B8F" w:rsidRPr="009118AB">
        <w:t>,</w:t>
      </w:r>
    </w:p>
    <w:p w14:paraId="0A7BA038" w14:textId="77777777" w:rsidR="00477B8F" w:rsidRPr="009118AB" w:rsidRDefault="00477B8F" w:rsidP="00477B8F">
      <w:pPr>
        <w:autoSpaceDE w:val="0"/>
        <w:autoSpaceDN w:val="0"/>
        <w:adjustRightInd w:val="0"/>
        <w:jc w:val="both"/>
      </w:pPr>
    </w:p>
    <w:p w14:paraId="43BE418F" w14:textId="16CB003A" w:rsidR="00477B8F" w:rsidRPr="009118AB" w:rsidRDefault="00970435" w:rsidP="00477B8F">
      <w:pPr>
        <w:autoSpaceDE w:val="0"/>
        <w:autoSpaceDN w:val="0"/>
        <w:adjustRightInd w:val="0"/>
        <w:jc w:val="both"/>
      </w:pPr>
      <w:r>
        <w:t>- </w:t>
      </w:r>
      <w:r w:rsidR="00222E0D" w:rsidRPr="009118AB">
        <w:t>die Artikel</w:t>
      </w:r>
      <w:r>
        <w:t> </w:t>
      </w:r>
      <w:r w:rsidR="00222E0D" w:rsidRPr="009118AB">
        <w:t xml:space="preserve">129 bis 133 </w:t>
      </w:r>
      <w:r w:rsidR="00E77B5D" w:rsidRPr="009118AB">
        <w:t>d</w:t>
      </w:r>
      <w:r w:rsidR="00222E0D" w:rsidRPr="009118AB">
        <w:t>e</w:t>
      </w:r>
      <w:r w:rsidR="00E77B5D" w:rsidRPr="009118AB">
        <w:t>s Gesetz</w:t>
      </w:r>
      <w:r w:rsidR="00222E0D" w:rsidRPr="009118AB">
        <w:t>es</w:t>
      </w:r>
      <w:r w:rsidR="00477B8F" w:rsidRPr="009118AB">
        <w:t xml:space="preserve"> vom 1. März 2007 zur Festlegung verschiedener Bestimmungen (III) </w:t>
      </w:r>
      <w:r w:rsidR="00477B8F" w:rsidRPr="009118AB">
        <w:rPr>
          <w:i/>
          <w:iCs/>
        </w:rPr>
        <w:t>(deutsche Übersetzung: Belgisches Staatsblatt vom 8. August 2007)</w:t>
      </w:r>
      <w:r w:rsidR="00477B8F" w:rsidRPr="009118AB">
        <w:t>,</w:t>
      </w:r>
    </w:p>
    <w:p w14:paraId="74E5F425" w14:textId="77777777" w:rsidR="00477B8F" w:rsidRPr="009118AB" w:rsidRDefault="00477B8F" w:rsidP="00477B8F">
      <w:pPr>
        <w:autoSpaceDE w:val="0"/>
        <w:autoSpaceDN w:val="0"/>
        <w:adjustRightInd w:val="0"/>
        <w:jc w:val="both"/>
      </w:pPr>
    </w:p>
    <w:p w14:paraId="34D4308B" w14:textId="51718A43" w:rsidR="00477B8F" w:rsidRPr="009118AB" w:rsidRDefault="00970435" w:rsidP="00477B8F">
      <w:pPr>
        <w:autoSpaceDE w:val="0"/>
        <w:autoSpaceDN w:val="0"/>
        <w:adjustRightInd w:val="0"/>
        <w:jc w:val="both"/>
      </w:pPr>
      <w:r>
        <w:t>- </w:t>
      </w:r>
      <w:r w:rsidR="00477B8F" w:rsidRPr="009118AB">
        <w:t>den Königlichen Erlass vom 23. März 2007 zur Aus</w:t>
      </w:r>
      <w:r w:rsidR="00222E0D" w:rsidRPr="009118AB">
        <w:t>führung des Gesetzes vom 26. No</w:t>
      </w:r>
      <w:r w:rsidR="00477B8F" w:rsidRPr="009118AB">
        <w:t xml:space="preserve">vember 2006 zur Abänderung von Artikel 51 des Einkommensteuergesetzbuches 1992 </w:t>
      </w:r>
      <w:r w:rsidR="00477B8F" w:rsidRPr="009118AB">
        <w:rPr>
          <w:i/>
          <w:iCs/>
        </w:rPr>
        <w:t>(deutsche Übersetzung: Belgisches Staatsblatt vom 8. August 2007)</w:t>
      </w:r>
      <w:r w:rsidR="00477B8F" w:rsidRPr="009118AB">
        <w:t>,</w:t>
      </w:r>
    </w:p>
    <w:p w14:paraId="4B571D23" w14:textId="77777777" w:rsidR="00477B8F" w:rsidRPr="009118AB" w:rsidRDefault="00477B8F" w:rsidP="00477B8F">
      <w:pPr>
        <w:autoSpaceDE w:val="0"/>
        <w:autoSpaceDN w:val="0"/>
        <w:adjustRightInd w:val="0"/>
        <w:jc w:val="both"/>
      </w:pPr>
    </w:p>
    <w:p w14:paraId="68059CFB" w14:textId="121EB194" w:rsidR="00477B8F" w:rsidRPr="009118AB" w:rsidRDefault="00970435" w:rsidP="00477B8F">
      <w:pPr>
        <w:autoSpaceDE w:val="0"/>
        <w:autoSpaceDN w:val="0"/>
        <w:adjustRightInd w:val="0"/>
        <w:jc w:val="both"/>
      </w:pPr>
      <w:r>
        <w:lastRenderedPageBreak/>
        <w:t>- </w:t>
      </w:r>
      <w:r w:rsidR="00477B8F" w:rsidRPr="009118AB">
        <w:t>die Artikel</w:t>
      </w:r>
      <w:r>
        <w:t> </w:t>
      </w:r>
      <w:r w:rsidR="00477B8F" w:rsidRPr="009118AB">
        <w:t xml:space="preserve">106 bis 114, 119 bis 122 und 132 bis 142 des Gesetzes vom 25. April 2007 zur Festlegung verschiedener Bestimmungen (IV) </w:t>
      </w:r>
      <w:r w:rsidR="00477B8F" w:rsidRPr="009118AB">
        <w:rPr>
          <w:i/>
          <w:iCs/>
        </w:rPr>
        <w:t>(deutsche Übersetzung: Belgisches Staatsblatt vom 8. August 2007)</w:t>
      </w:r>
      <w:r w:rsidR="00F455AA" w:rsidRPr="009118AB">
        <w:rPr>
          <w:i/>
        </w:rPr>
        <w:t xml:space="preserve"> (I)</w:t>
      </w:r>
      <w:r w:rsidR="00477B8F" w:rsidRPr="009118AB">
        <w:t>,</w:t>
      </w:r>
    </w:p>
    <w:p w14:paraId="3A643E26" w14:textId="77777777" w:rsidR="00477B8F" w:rsidRPr="009118AB" w:rsidRDefault="00477B8F" w:rsidP="00477B8F">
      <w:pPr>
        <w:autoSpaceDE w:val="0"/>
        <w:autoSpaceDN w:val="0"/>
        <w:adjustRightInd w:val="0"/>
        <w:jc w:val="both"/>
      </w:pPr>
    </w:p>
    <w:p w14:paraId="32B10009" w14:textId="159D55D2" w:rsidR="00477B8F" w:rsidRPr="009118AB" w:rsidRDefault="00970435" w:rsidP="00477B8F">
      <w:pPr>
        <w:autoSpaceDE w:val="0"/>
        <w:autoSpaceDN w:val="0"/>
        <w:adjustRightInd w:val="0"/>
        <w:jc w:val="both"/>
      </w:pPr>
      <w:r>
        <w:t>- </w:t>
      </w:r>
      <w:r w:rsidR="00477B8F" w:rsidRPr="009118AB">
        <w:t xml:space="preserve">des Gesetzes vom 25. April 2007 zur Abänderung einiger Bestimmungen des Einkommensteuergesetzbuches 1992, um sie mit bestimmten Grundsätzen des Vertrags zur Gründung der Europäischen Gemeinschaft und des Abkommens über den Europäischen Wirtschaftsraum in Einklang zu bringen </w:t>
      </w:r>
      <w:r w:rsidR="00477B8F" w:rsidRPr="009118AB">
        <w:rPr>
          <w:i/>
          <w:iCs/>
        </w:rPr>
        <w:t>(deutsche Übersetzung: Belgisches Staatsblatt vom 21. September 2007)</w:t>
      </w:r>
      <w:r w:rsidR="00F455AA" w:rsidRPr="009118AB">
        <w:rPr>
          <w:i/>
        </w:rPr>
        <w:t xml:space="preserve"> (II)</w:t>
      </w:r>
      <w:r w:rsidR="00477B8F" w:rsidRPr="009118AB">
        <w:t>,</w:t>
      </w:r>
    </w:p>
    <w:p w14:paraId="4B5B3701" w14:textId="77777777" w:rsidR="00477B8F" w:rsidRPr="009118AB" w:rsidRDefault="00477B8F" w:rsidP="00477B8F">
      <w:pPr>
        <w:autoSpaceDE w:val="0"/>
        <w:autoSpaceDN w:val="0"/>
        <w:adjustRightInd w:val="0"/>
        <w:jc w:val="both"/>
      </w:pPr>
    </w:p>
    <w:p w14:paraId="055A041F" w14:textId="13DACD23" w:rsidR="00477B8F" w:rsidRPr="009118AB" w:rsidRDefault="00970435" w:rsidP="00477B8F">
      <w:pPr>
        <w:autoSpaceDE w:val="0"/>
        <w:autoSpaceDN w:val="0"/>
        <w:adjustRightInd w:val="0"/>
        <w:jc w:val="both"/>
      </w:pPr>
      <w:r>
        <w:t>- </w:t>
      </w:r>
      <w:r w:rsidR="00477B8F" w:rsidRPr="009118AB">
        <w:t xml:space="preserve">des Gesetzes vom 25. April 2007 zur Abänderung des Einkommensteuergesetzbuches 1992 in Bezug auf Vergütungen, die Künstlern bewilligt werden </w:t>
      </w:r>
      <w:r w:rsidR="00477B8F" w:rsidRPr="009118AB">
        <w:rPr>
          <w:i/>
          <w:iCs/>
        </w:rPr>
        <w:t>(deutsche Übersetzung: Belgisches Staatsblatt vom 21. September 2007)</w:t>
      </w:r>
      <w:r w:rsidR="00F455AA" w:rsidRPr="009118AB">
        <w:rPr>
          <w:i/>
        </w:rPr>
        <w:t xml:space="preserve"> (III)</w:t>
      </w:r>
      <w:r w:rsidR="00477B8F" w:rsidRPr="009118AB">
        <w:t>,</w:t>
      </w:r>
    </w:p>
    <w:p w14:paraId="695CDC2C" w14:textId="77777777" w:rsidR="00477B8F" w:rsidRPr="009118AB" w:rsidRDefault="00477B8F" w:rsidP="00477B8F">
      <w:pPr>
        <w:autoSpaceDE w:val="0"/>
        <w:autoSpaceDN w:val="0"/>
        <w:adjustRightInd w:val="0"/>
        <w:jc w:val="both"/>
      </w:pPr>
    </w:p>
    <w:p w14:paraId="2A7765B1" w14:textId="2ED3FB06" w:rsidR="00477B8F" w:rsidRPr="009118AB" w:rsidRDefault="00970435" w:rsidP="00477B8F">
      <w:pPr>
        <w:autoSpaceDE w:val="0"/>
        <w:autoSpaceDN w:val="0"/>
        <w:adjustRightInd w:val="0"/>
        <w:jc w:val="both"/>
      </w:pPr>
      <w:r>
        <w:t>- </w:t>
      </w:r>
      <w:r w:rsidR="00477B8F" w:rsidRPr="009118AB">
        <w:t>des Gesetzes vom 25. April 2007 zur Abänderung der Bestimmungen über den Investitions</w:t>
      </w:r>
      <w:r w:rsidR="002320F5" w:rsidRPr="009118AB">
        <w:softHyphen/>
      </w:r>
      <w:r w:rsidR="00477B8F" w:rsidRPr="009118AB">
        <w:t>abzug</w:t>
      </w:r>
      <w:r w:rsidR="00C83EA3" w:rsidRPr="009118AB">
        <w:t xml:space="preserve"> </w:t>
      </w:r>
      <w:r w:rsidR="00477B8F" w:rsidRPr="009118AB">
        <w:rPr>
          <w:i/>
          <w:iCs/>
        </w:rPr>
        <w:t>(deutsche Übersetzung: Belgisches Staatsblatt vom 21. September 2007)</w:t>
      </w:r>
      <w:r w:rsidR="00F455AA" w:rsidRPr="009118AB">
        <w:rPr>
          <w:i/>
        </w:rPr>
        <w:t xml:space="preserve"> (IV)</w:t>
      </w:r>
      <w:r w:rsidR="00477B8F" w:rsidRPr="009118AB">
        <w:t>,</w:t>
      </w:r>
    </w:p>
    <w:p w14:paraId="41850BBF" w14:textId="77777777" w:rsidR="00477B8F" w:rsidRPr="009118AB" w:rsidRDefault="00477B8F" w:rsidP="00477B8F">
      <w:pPr>
        <w:autoSpaceDE w:val="0"/>
        <w:autoSpaceDN w:val="0"/>
        <w:adjustRightInd w:val="0"/>
        <w:jc w:val="both"/>
      </w:pPr>
    </w:p>
    <w:p w14:paraId="28206D10" w14:textId="06B980B3" w:rsidR="00F20E8A" w:rsidRPr="009118AB" w:rsidRDefault="00970435" w:rsidP="000264B0">
      <w:pPr>
        <w:autoSpaceDE w:val="0"/>
        <w:autoSpaceDN w:val="0"/>
        <w:adjustRightInd w:val="0"/>
        <w:jc w:val="both"/>
      </w:pPr>
      <w:r>
        <w:t>- </w:t>
      </w:r>
      <w:r w:rsidR="00E77B5D" w:rsidRPr="009118AB">
        <w:t>d</w:t>
      </w:r>
      <w:r w:rsidR="00222E0D" w:rsidRPr="009118AB">
        <w:t>ie Artikel</w:t>
      </w:r>
      <w:r>
        <w:t> </w:t>
      </w:r>
      <w:r w:rsidR="00222E0D" w:rsidRPr="009118AB">
        <w:t>66 bis 69, 78 bis 96, 138 bis 146, 159 und 160 de</w:t>
      </w:r>
      <w:r w:rsidR="00E77B5D" w:rsidRPr="009118AB">
        <w:t>s Programmgesetz</w:t>
      </w:r>
      <w:r w:rsidR="00222E0D" w:rsidRPr="009118AB">
        <w:t>es</w:t>
      </w:r>
      <w:r w:rsidR="00E77B5D" w:rsidRPr="009118AB">
        <w:t xml:space="preserve"> vom 27.</w:t>
      </w:r>
      <w:r w:rsidR="00222E0D" w:rsidRPr="009118AB">
        <w:t> </w:t>
      </w:r>
      <w:r w:rsidR="00E77B5D" w:rsidRPr="009118AB">
        <w:t>April</w:t>
      </w:r>
      <w:r w:rsidR="002935DF" w:rsidRPr="009118AB">
        <w:t> </w:t>
      </w:r>
      <w:r w:rsidR="00E77B5D" w:rsidRPr="009118AB">
        <w:t xml:space="preserve">2007 </w:t>
      </w:r>
      <w:r w:rsidR="000264B0" w:rsidRPr="009118AB">
        <w:rPr>
          <w:i/>
          <w:iCs/>
        </w:rPr>
        <w:t>(deutsche Übersetzung: Belgisches Staatsblatt vom 20. November 2007)</w:t>
      </w:r>
      <w:r w:rsidR="00F455AA" w:rsidRPr="009118AB">
        <w:rPr>
          <w:i/>
        </w:rPr>
        <w:t xml:space="preserve"> (I)</w:t>
      </w:r>
      <w:r w:rsidR="000264B0" w:rsidRPr="009118AB">
        <w:t>,</w:t>
      </w:r>
      <w:r w:rsidR="00F20E8A" w:rsidRPr="009118AB">
        <w:t xml:space="preserve"> </w:t>
      </w:r>
    </w:p>
    <w:p w14:paraId="37201A78" w14:textId="77777777" w:rsidR="002935DF" w:rsidRPr="009118AB" w:rsidRDefault="002935DF" w:rsidP="000264B0">
      <w:pPr>
        <w:autoSpaceDE w:val="0"/>
        <w:autoSpaceDN w:val="0"/>
        <w:adjustRightInd w:val="0"/>
        <w:jc w:val="both"/>
      </w:pPr>
    </w:p>
    <w:p w14:paraId="7F04CE02" w14:textId="74DC91A3" w:rsidR="00F20E8A" w:rsidRPr="009118AB" w:rsidRDefault="00970435" w:rsidP="00F20E8A">
      <w:pPr>
        <w:autoSpaceDE w:val="0"/>
        <w:autoSpaceDN w:val="0"/>
        <w:adjustRightInd w:val="0"/>
        <w:jc w:val="both"/>
      </w:pPr>
      <w:r>
        <w:t>- </w:t>
      </w:r>
      <w:r w:rsidR="00F20E8A" w:rsidRPr="009118AB">
        <w:t>das Gesetz vom 27.</w:t>
      </w:r>
      <w:r>
        <w:t> </w:t>
      </w:r>
      <w:r w:rsidR="00F20E8A" w:rsidRPr="009118AB">
        <w:t>April</w:t>
      </w:r>
      <w:r>
        <w:t> </w:t>
      </w:r>
      <w:r w:rsidR="00F20E8A" w:rsidRPr="009118AB">
        <w:t>2007 zur Einführung einer Steuerermäßigung für Passivhäuser</w:t>
      </w:r>
      <w:r w:rsidR="00D66C8F" w:rsidRPr="009118AB">
        <w:t xml:space="preserve"> </w:t>
      </w:r>
      <w:r w:rsidR="00F20E8A" w:rsidRPr="009118AB">
        <w:rPr>
          <w:i/>
          <w:iCs/>
        </w:rPr>
        <w:t>(deutsche Übersetzung: Belgisches Staatsblatt vom 7.</w:t>
      </w:r>
      <w:r>
        <w:rPr>
          <w:i/>
          <w:iCs/>
        </w:rPr>
        <w:t> </w:t>
      </w:r>
      <w:r w:rsidR="00F20E8A" w:rsidRPr="009118AB">
        <w:rPr>
          <w:i/>
          <w:iCs/>
        </w:rPr>
        <w:t>Dezember 2007)</w:t>
      </w:r>
      <w:r w:rsidR="00F455AA" w:rsidRPr="009118AB">
        <w:rPr>
          <w:i/>
        </w:rPr>
        <w:t xml:space="preserve"> (II)</w:t>
      </w:r>
      <w:r w:rsidR="00F20E8A" w:rsidRPr="009118AB">
        <w:t xml:space="preserve">, </w:t>
      </w:r>
    </w:p>
    <w:p w14:paraId="766022B3" w14:textId="77777777" w:rsidR="000264B0" w:rsidRPr="009118AB" w:rsidRDefault="000264B0" w:rsidP="000264B0">
      <w:pPr>
        <w:autoSpaceDE w:val="0"/>
        <w:autoSpaceDN w:val="0"/>
        <w:adjustRightInd w:val="0"/>
        <w:jc w:val="both"/>
      </w:pPr>
    </w:p>
    <w:p w14:paraId="61203685" w14:textId="4D99E722" w:rsidR="0048585C" w:rsidRPr="009118AB" w:rsidRDefault="00970435" w:rsidP="0048585C">
      <w:pPr>
        <w:autoSpaceDE w:val="0"/>
        <w:autoSpaceDN w:val="0"/>
        <w:adjustRightInd w:val="0"/>
        <w:jc w:val="both"/>
      </w:pPr>
      <w:r>
        <w:t>- </w:t>
      </w:r>
      <w:r w:rsidR="0048585C" w:rsidRPr="009118AB">
        <w:t>das Gesetz vom 4.</w:t>
      </w:r>
      <w:r>
        <w:t> </w:t>
      </w:r>
      <w:r w:rsidR="0048585C" w:rsidRPr="009118AB">
        <w:t>Mai</w:t>
      </w:r>
      <w:r>
        <w:t> </w:t>
      </w:r>
      <w:r w:rsidR="0048585C" w:rsidRPr="009118AB">
        <w:t>2007 über den steuerrechtlichen Status der entlohnten Sportler</w:t>
      </w:r>
      <w:r w:rsidR="00D66C8F" w:rsidRPr="009118AB">
        <w:t xml:space="preserve"> </w:t>
      </w:r>
      <w:r w:rsidR="0048585C" w:rsidRPr="009118AB">
        <w:rPr>
          <w:i/>
          <w:iCs/>
        </w:rPr>
        <w:t>(deutsche Übersetzung: Belgisches Staatsblatt vom 7.</w:t>
      </w:r>
      <w:r>
        <w:rPr>
          <w:i/>
          <w:iCs/>
        </w:rPr>
        <w:t> </w:t>
      </w:r>
      <w:r w:rsidR="0048585C" w:rsidRPr="009118AB">
        <w:rPr>
          <w:i/>
          <w:iCs/>
        </w:rPr>
        <w:t>Dezember 2007)</w:t>
      </w:r>
      <w:r w:rsidR="0048585C" w:rsidRPr="009118AB">
        <w:t xml:space="preserve">, </w:t>
      </w:r>
    </w:p>
    <w:p w14:paraId="2BD87225" w14:textId="77777777" w:rsidR="00E77B5D" w:rsidRPr="009118AB" w:rsidRDefault="00E77B5D" w:rsidP="00477B8F">
      <w:pPr>
        <w:autoSpaceDE w:val="0"/>
        <w:autoSpaceDN w:val="0"/>
        <w:adjustRightInd w:val="0"/>
        <w:jc w:val="both"/>
      </w:pPr>
    </w:p>
    <w:p w14:paraId="299FC983" w14:textId="27898B49" w:rsidR="00DB7225" w:rsidRPr="009118AB" w:rsidRDefault="00970435" w:rsidP="00477B8F">
      <w:pPr>
        <w:autoSpaceDE w:val="0"/>
        <w:autoSpaceDN w:val="0"/>
        <w:adjustRightInd w:val="0"/>
        <w:jc w:val="both"/>
      </w:pPr>
      <w:r>
        <w:t>- </w:t>
      </w:r>
      <w:r w:rsidR="00DB7225" w:rsidRPr="009118AB">
        <w:t>das Gesetz vom 11.</w:t>
      </w:r>
      <w:r>
        <w:t> </w:t>
      </w:r>
      <w:r w:rsidR="00DB7225" w:rsidRPr="009118AB">
        <w:t>Mai</w:t>
      </w:r>
      <w:r>
        <w:t> </w:t>
      </w:r>
      <w:r w:rsidR="00DB7225" w:rsidRPr="009118AB">
        <w:t xml:space="preserve">2007 zur Anpassung der Rechtsvorschriften über die Bekämpfung der Bestechung </w:t>
      </w:r>
      <w:r w:rsidR="00DB7225" w:rsidRPr="009118AB">
        <w:rPr>
          <w:i/>
          <w:iCs/>
        </w:rPr>
        <w:t>(deutsche Übersetzung: Belgisches Staatsblatt vom 7.</w:t>
      </w:r>
      <w:r>
        <w:rPr>
          <w:i/>
          <w:iCs/>
        </w:rPr>
        <w:t> </w:t>
      </w:r>
      <w:r w:rsidR="00DB7225" w:rsidRPr="009118AB">
        <w:rPr>
          <w:i/>
          <w:iCs/>
        </w:rPr>
        <w:t>Dezember 2007)</w:t>
      </w:r>
      <w:r w:rsidR="00DB7225" w:rsidRPr="009118AB">
        <w:t>,</w:t>
      </w:r>
    </w:p>
    <w:p w14:paraId="720278C9" w14:textId="77777777" w:rsidR="00DB7225" w:rsidRPr="009118AB" w:rsidRDefault="00DB7225" w:rsidP="00477B8F">
      <w:pPr>
        <w:autoSpaceDE w:val="0"/>
        <w:autoSpaceDN w:val="0"/>
        <w:adjustRightInd w:val="0"/>
        <w:jc w:val="both"/>
      </w:pPr>
    </w:p>
    <w:p w14:paraId="63E09AD2" w14:textId="44165A17" w:rsidR="008802D9" w:rsidRPr="009118AB" w:rsidRDefault="00970435" w:rsidP="00DB7225">
      <w:pPr>
        <w:autoSpaceDE w:val="0"/>
        <w:autoSpaceDN w:val="0"/>
        <w:adjustRightInd w:val="0"/>
        <w:jc w:val="both"/>
      </w:pPr>
      <w:r>
        <w:t>- </w:t>
      </w:r>
      <w:r w:rsidR="00DB7225" w:rsidRPr="009118AB">
        <w:t>das Gesetz vom 17.</w:t>
      </w:r>
      <w:r>
        <w:t> </w:t>
      </w:r>
      <w:r w:rsidR="00DB7225" w:rsidRPr="009118AB">
        <w:t>Mai</w:t>
      </w:r>
      <w:r>
        <w:t> </w:t>
      </w:r>
      <w:r w:rsidR="00DB7225" w:rsidRPr="009118AB">
        <w:t xml:space="preserve">2007 zur Ausführung des überberuflichen Abkommens für den Zeitraum 2007-2008 </w:t>
      </w:r>
      <w:r w:rsidR="00DB7225" w:rsidRPr="009118AB">
        <w:rPr>
          <w:i/>
          <w:iCs/>
        </w:rPr>
        <w:t>(deutsche Übersetzung: Belgisches Staatsblatt vom 7.</w:t>
      </w:r>
      <w:r>
        <w:rPr>
          <w:i/>
          <w:iCs/>
        </w:rPr>
        <w:t> </w:t>
      </w:r>
      <w:r w:rsidR="00DB7225" w:rsidRPr="009118AB">
        <w:rPr>
          <w:i/>
          <w:iCs/>
        </w:rPr>
        <w:t>Dezember 2007)</w:t>
      </w:r>
      <w:r w:rsidR="00DB7225" w:rsidRPr="009118AB">
        <w:t>,</w:t>
      </w:r>
    </w:p>
    <w:p w14:paraId="3AA06865" w14:textId="77777777" w:rsidR="00931675" w:rsidRPr="009118AB" w:rsidRDefault="00931675" w:rsidP="00477B8F">
      <w:pPr>
        <w:autoSpaceDE w:val="0"/>
        <w:autoSpaceDN w:val="0"/>
        <w:adjustRightInd w:val="0"/>
        <w:jc w:val="both"/>
      </w:pPr>
    </w:p>
    <w:p w14:paraId="36D1B911" w14:textId="7F5CA430" w:rsidR="00931675" w:rsidRPr="009118AB" w:rsidRDefault="00970435" w:rsidP="00477B8F">
      <w:pPr>
        <w:autoSpaceDE w:val="0"/>
        <w:autoSpaceDN w:val="0"/>
        <w:adjustRightInd w:val="0"/>
        <w:jc w:val="both"/>
      </w:pPr>
      <w:r>
        <w:t>- </w:t>
      </w:r>
      <w:r w:rsidR="008802D9" w:rsidRPr="009118AB">
        <w:t>den Königlichen Erlass vom 7. Dezember 2007 zur Anpassung der steuerrechtlichen Vorschriften und des Gesetzes vom 22. Februar 1998 zur Festlegung des Grundlagenstatuts der Belgischen Nationalbank an die Bestimmungen des Gesetzes vom 14. Dezember 2005 zur Abschaffung der Inhaberpapiere</w:t>
      </w:r>
      <w:r w:rsidR="004C1618" w:rsidRPr="009118AB">
        <w:t xml:space="preserve"> </w:t>
      </w:r>
      <w:r w:rsidR="008802D9" w:rsidRPr="009118AB">
        <w:rPr>
          <w:i/>
          <w:iCs/>
        </w:rPr>
        <w:t xml:space="preserve">(deutsche Übersetzung: Belgisches Staatsblatt vom </w:t>
      </w:r>
      <w:r w:rsidR="004C1618" w:rsidRPr="009118AB">
        <w:rPr>
          <w:i/>
          <w:iCs/>
        </w:rPr>
        <w:t>18. August 2008</w:t>
      </w:r>
      <w:r w:rsidR="008802D9" w:rsidRPr="009118AB">
        <w:rPr>
          <w:i/>
          <w:iCs/>
        </w:rPr>
        <w:t>)</w:t>
      </w:r>
      <w:r w:rsidR="008802D9" w:rsidRPr="009118AB">
        <w:t>,</w:t>
      </w:r>
    </w:p>
    <w:p w14:paraId="26B59ADE" w14:textId="77777777" w:rsidR="00CF3A3F" w:rsidRPr="009118AB" w:rsidRDefault="00CF3A3F" w:rsidP="00477B8F">
      <w:pPr>
        <w:autoSpaceDE w:val="0"/>
        <w:autoSpaceDN w:val="0"/>
        <w:adjustRightInd w:val="0"/>
        <w:jc w:val="both"/>
      </w:pPr>
    </w:p>
    <w:p w14:paraId="2002FA63" w14:textId="5B017904" w:rsidR="004C1618" w:rsidRPr="009118AB" w:rsidRDefault="00970435" w:rsidP="00477B8F">
      <w:pPr>
        <w:autoSpaceDE w:val="0"/>
        <w:autoSpaceDN w:val="0"/>
        <w:adjustRightInd w:val="0"/>
        <w:jc w:val="both"/>
      </w:pPr>
      <w:r>
        <w:t>- </w:t>
      </w:r>
      <w:r w:rsidR="005B203B" w:rsidRPr="009118AB">
        <w:t>die Artikel</w:t>
      </w:r>
      <w:r>
        <w:t> </w:t>
      </w:r>
      <w:r w:rsidR="005B203B" w:rsidRPr="009118AB">
        <w:t>17 bis 20 des</w:t>
      </w:r>
      <w:r w:rsidR="007B1292" w:rsidRPr="009118AB">
        <w:t xml:space="preserve"> </w:t>
      </w:r>
      <w:r w:rsidR="004C1618" w:rsidRPr="009118AB">
        <w:t>Gesetz</w:t>
      </w:r>
      <w:r w:rsidR="005B203B" w:rsidRPr="009118AB">
        <w:t>es</w:t>
      </w:r>
      <w:r w:rsidR="004C1618" w:rsidRPr="009118AB">
        <w:t xml:space="preserve"> </w:t>
      </w:r>
      <w:r w:rsidR="007B1292" w:rsidRPr="009118AB">
        <w:t xml:space="preserve">vom 21. Dezember 2007 </w:t>
      </w:r>
      <w:r w:rsidR="004C1618" w:rsidRPr="009118AB">
        <w:t>über die Ausführung des überberuflichen Abkommens 2007-2008</w:t>
      </w:r>
      <w:r w:rsidR="007B1292" w:rsidRPr="009118AB">
        <w:t xml:space="preserve"> </w:t>
      </w:r>
      <w:r w:rsidR="007B1292" w:rsidRPr="009118AB">
        <w:rPr>
          <w:i/>
          <w:iCs/>
        </w:rPr>
        <w:t>(deutsche Übersetzung: Belgisches Staatsblatt vom 18. August 2008)</w:t>
      </w:r>
      <w:r w:rsidR="00290B4E" w:rsidRPr="009118AB">
        <w:t>,</w:t>
      </w:r>
    </w:p>
    <w:p w14:paraId="2D4C633C" w14:textId="77777777" w:rsidR="00290B4E" w:rsidRPr="009118AB" w:rsidRDefault="00290B4E" w:rsidP="00477B8F">
      <w:pPr>
        <w:autoSpaceDE w:val="0"/>
        <w:autoSpaceDN w:val="0"/>
        <w:adjustRightInd w:val="0"/>
        <w:jc w:val="both"/>
      </w:pPr>
    </w:p>
    <w:p w14:paraId="6687C245" w14:textId="0D20E930" w:rsidR="00B61B6D" w:rsidRPr="009118AB" w:rsidRDefault="00970435" w:rsidP="00B61B6D">
      <w:pPr>
        <w:autoSpaceDE w:val="0"/>
        <w:autoSpaceDN w:val="0"/>
        <w:adjustRightInd w:val="0"/>
        <w:jc w:val="both"/>
      </w:pPr>
      <w:r>
        <w:t>- </w:t>
      </w:r>
      <w:r w:rsidR="00F35445" w:rsidRPr="009118AB">
        <w:t>das Gesetz vom 1. Juni 2008 zur Einführung einer Steuerermäßigung für Beteiligungen in Form von Aktien an Entwicklungsfonds für Mikrofinanzierung in Entwicklungsländern und zur Festlegung der Bedingungen für die Zulassung als Entwicklungsfonds</w:t>
      </w:r>
      <w:r w:rsidR="00B61B6D" w:rsidRPr="009118AB">
        <w:t xml:space="preserve"> </w:t>
      </w:r>
      <w:r w:rsidR="00B61B6D" w:rsidRPr="009118AB">
        <w:rPr>
          <w:i/>
          <w:iCs/>
        </w:rPr>
        <w:t>(deutsche Übersetzung: Belgisches Staatsblatt vom 27. November 2008)</w:t>
      </w:r>
      <w:r w:rsidR="00B61B6D" w:rsidRPr="009118AB">
        <w:t>,</w:t>
      </w:r>
    </w:p>
    <w:p w14:paraId="0134CA3B" w14:textId="77777777" w:rsidR="00B61B6D" w:rsidRPr="009118AB" w:rsidRDefault="00B61B6D" w:rsidP="00B61B6D">
      <w:pPr>
        <w:autoSpaceDE w:val="0"/>
        <w:autoSpaceDN w:val="0"/>
        <w:adjustRightInd w:val="0"/>
        <w:jc w:val="both"/>
      </w:pPr>
    </w:p>
    <w:p w14:paraId="613EE1E5" w14:textId="417E006A" w:rsidR="00B61B6D" w:rsidRPr="009118AB" w:rsidRDefault="00970435" w:rsidP="00B61B6D">
      <w:pPr>
        <w:autoSpaceDE w:val="0"/>
        <w:autoSpaceDN w:val="0"/>
        <w:adjustRightInd w:val="0"/>
        <w:jc w:val="both"/>
      </w:pPr>
      <w:r>
        <w:t>- </w:t>
      </w:r>
      <w:r w:rsidR="00B61B6D" w:rsidRPr="009118AB">
        <w:t>die Artikel</w:t>
      </w:r>
      <w:r>
        <w:t> </w:t>
      </w:r>
      <w:r w:rsidR="00B61B6D" w:rsidRPr="009118AB">
        <w:t>54 bis 58</w:t>
      </w:r>
      <w:r w:rsidR="00E10DB0" w:rsidRPr="009118AB">
        <w:t xml:space="preserve"> und 60</w:t>
      </w:r>
      <w:r w:rsidR="00B61B6D" w:rsidRPr="009118AB">
        <w:t xml:space="preserve"> bis 72 des Programmgesetzes vom 8. Juni 2008 </w:t>
      </w:r>
      <w:r w:rsidR="00B61B6D" w:rsidRPr="009118AB">
        <w:rPr>
          <w:i/>
          <w:iCs/>
        </w:rPr>
        <w:t>(deutsche Übersetzung: Belgisches Staatsblatt vom 24. November 2008)</w:t>
      </w:r>
      <w:r w:rsidR="00B61B6D" w:rsidRPr="009118AB">
        <w:t>,</w:t>
      </w:r>
    </w:p>
    <w:p w14:paraId="446CEB54" w14:textId="77777777" w:rsidR="00B61B6D" w:rsidRPr="009118AB" w:rsidRDefault="00B61B6D" w:rsidP="00B61B6D">
      <w:pPr>
        <w:autoSpaceDE w:val="0"/>
        <w:autoSpaceDN w:val="0"/>
        <w:adjustRightInd w:val="0"/>
        <w:jc w:val="both"/>
      </w:pPr>
    </w:p>
    <w:p w14:paraId="218CD25B" w14:textId="654E0078" w:rsidR="00B61B6D" w:rsidRPr="009118AB" w:rsidRDefault="00970435" w:rsidP="00B61B6D">
      <w:pPr>
        <w:autoSpaceDE w:val="0"/>
        <w:autoSpaceDN w:val="0"/>
        <w:adjustRightInd w:val="0"/>
        <w:jc w:val="both"/>
      </w:pPr>
      <w:r>
        <w:lastRenderedPageBreak/>
        <w:t>- </w:t>
      </w:r>
      <w:r w:rsidR="00B61B6D" w:rsidRPr="009118AB">
        <w:t xml:space="preserve">das Gesetz vom 16. Juli 2008 zur Abänderung des Einkommensteuergesetzbuches 1992 und zur Einführung eines pauschalen Besteuerungssystems für Urheberrechte und ähnliche Rechte </w:t>
      </w:r>
      <w:r w:rsidR="00B61B6D" w:rsidRPr="009118AB">
        <w:rPr>
          <w:i/>
          <w:iCs/>
        </w:rPr>
        <w:t>(deutsche Übersetzung: Belgisches Staatsblatt vom 2. Dezember 2008)</w:t>
      </w:r>
      <w:r w:rsidR="00B61B6D" w:rsidRPr="009118AB">
        <w:t>,</w:t>
      </w:r>
    </w:p>
    <w:p w14:paraId="326EA28F" w14:textId="77777777" w:rsidR="00B61B6D" w:rsidRPr="009118AB" w:rsidRDefault="00B61B6D" w:rsidP="00B61B6D">
      <w:pPr>
        <w:autoSpaceDE w:val="0"/>
        <w:autoSpaceDN w:val="0"/>
        <w:adjustRightInd w:val="0"/>
        <w:jc w:val="both"/>
      </w:pPr>
    </w:p>
    <w:p w14:paraId="595F15F3" w14:textId="596B1028" w:rsidR="00B61B6D" w:rsidRPr="009118AB" w:rsidRDefault="00970435" w:rsidP="00B61B6D">
      <w:pPr>
        <w:autoSpaceDE w:val="0"/>
        <w:autoSpaceDN w:val="0"/>
        <w:adjustRightInd w:val="0"/>
        <w:jc w:val="both"/>
      </w:pPr>
      <w:r>
        <w:t>- </w:t>
      </w:r>
      <w:r w:rsidR="00B61B6D" w:rsidRPr="009118AB">
        <w:t>die Artikel</w:t>
      </w:r>
      <w:r>
        <w:t> </w:t>
      </w:r>
      <w:r w:rsidR="00B61B6D" w:rsidRPr="009118AB">
        <w:t>2 bis 10, 14 bis 17, 169 und 170 des Gesetzes vom 24. Juli 2008 zur Festlegung verschiedener Bestimmungen</w:t>
      </w:r>
      <w:r>
        <w:t> </w:t>
      </w:r>
      <w:r w:rsidR="00B61B6D" w:rsidRPr="009118AB">
        <w:t xml:space="preserve">(I) </w:t>
      </w:r>
      <w:r w:rsidR="00B61B6D" w:rsidRPr="009118AB">
        <w:rPr>
          <w:i/>
          <w:iCs/>
        </w:rPr>
        <w:t>(deutsche Übersetzung: Belgisches Staatsblatt vom 17. Dezember 2008)</w:t>
      </w:r>
      <w:r w:rsidR="006B23C9" w:rsidRPr="009118AB">
        <w:rPr>
          <w:i/>
        </w:rPr>
        <w:t xml:space="preserve"> (I)</w:t>
      </w:r>
      <w:r w:rsidR="00B61B6D" w:rsidRPr="009118AB">
        <w:t>,</w:t>
      </w:r>
    </w:p>
    <w:p w14:paraId="2FD9E87D" w14:textId="77777777" w:rsidR="00B61B6D" w:rsidRPr="009118AB" w:rsidRDefault="00B61B6D" w:rsidP="00B61B6D">
      <w:pPr>
        <w:autoSpaceDE w:val="0"/>
        <w:autoSpaceDN w:val="0"/>
        <w:adjustRightInd w:val="0"/>
        <w:jc w:val="both"/>
      </w:pPr>
    </w:p>
    <w:p w14:paraId="55B8DBC0" w14:textId="68DF9066" w:rsidR="00B61B6D" w:rsidRPr="009118AB" w:rsidRDefault="00970435" w:rsidP="00B61B6D">
      <w:pPr>
        <w:autoSpaceDE w:val="0"/>
        <w:autoSpaceDN w:val="0"/>
        <w:adjustRightInd w:val="0"/>
        <w:jc w:val="both"/>
      </w:pPr>
      <w:r>
        <w:t>- </w:t>
      </w:r>
      <w:r w:rsidR="00B61B6D" w:rsidRPr="009118AB">
        <w:t>das Gesetz vom 24. Juli 2008 zur Bestätigung der Festlegung bestimmter Gemeindezuschlagsteuern und der Agglomerationszuschlagsteuer auf die Steuer der natürlichen Personen für jedes der Steuerjahre</w:t>
      </w:r>
      <w:r>
        <w:t> </w:t>
      </w:r>
      <w:r w:rsidR="00B61B6D" w:rsidRPr="009118AB">
        <w:t>2001 bis 2007 und zur Abänderung von Artikel</w:t>
      </w:r>
      <w:r w:rsidR="008A5CAC" w:rsidRPr="009118AB">
        <w:t> </w:t>
      </w:r>
      <w:r w:rsidR="00B61B6D" w:rsidRPr="009118AB">
        <w:t>468 des Einkommensteuergesetzbuches</w:t>
      </w:r>
      <w:r>
        <w:t> </w:t>
      </w:r>
      <w:r w:rsidR="00B61B6D" w:rsidRPr="009118AB">
        <w:t>1992 ab dem Steuerjahr</w:t>
      </w:r>
      <w:r>
        <w:t> </w:t>
      </w:r>
      <w:r w:rsidR="00B61B6D" w:rsidRPr="009118AB">
        <w:t xml:space="preserve">2009 </w:t>
      </w:r>
      <w:r w:rsidR="00B61B6D" w:rsidRPr="009118AB">
        <w:rPr>
          <w:i/>
          <w:iCs/>
        </w:rPr>
        <w:t>(deutsche Übersetzung: Belgisches Staatsblatt vom 6. Februar 2009)</w:t>
      </w:r>
      <w:r w:rsidR="006B23C9" w:rsidRPr="009118AB">
        <w:rPr>
          <w:i/>
        </w:rPr>
        <w:t xml:space="preserve"> (II)</w:t>
      </w:r>
      <w:r w:rsidR="00B61B6D" w:rsidRPr="009118AB">
        <w:t>,</w:t>
      </w:r>
    </w:p>
    <w:p w14:paraId="2FD33482" w14:textId="77777777" w:rsidR="00B61B6D" w:rsidRPr="009118AB" w:rsidRDefault="00B61B6D" w:rsidP="00B61B6D">
      <w:pPr>
        <w:autoSpaceDE w:val="0"/>
        <w:autoSpaceDN w:val="0"/>
        <w:adjustRightInd w:val="0"/>
        <w:jc w:val="both"/>
      </w:pPr>
    </w:p>
    <w:p w14:paraId="54923E4F" w14:textId="048B0EE9" w:rsidR="00B61B6D" w:rsidRPr="009118AB" w:rsidRDefault="00970435" w:rsidP="00B61B6D">
      <w:pPr>
        <w:autoSpaceDE w:val="0"/>
        <w:autoSpaceDN w:val="0"/>
        <w:adjustRightInd w:val="0"/>
        <w:jc w:val="both"/>
      </w:pPr>
      <w:r>
        <w:t>- </w:t>
      </w:r>
      <w:r w:rsidR="00B61B6D" w:rsidRPr="009118AB">
        <w:t>Artikel</w:t>
      </w:r>
      <w:r>
        <w:t> </w:t>
      </w:r>
      <w:r w:rsidR="00B61B6D" w:rsidRPr="009118AB">
        <w:t>18 des Königlichen Erlasses vom 28.</w:t>
      </w:r>
      <w:r>
        <w:t> </w:t>
      </w:r>
      <w:r w:rsidR="00B61B6D" w:rsidRPr="009118AB">
        <w:t xml:space="preserve">September 2008 über die Umstrukturierung des Fonds der Eisenbahninfrastruktur </w:t>
      </w:r>
      <w:r w:rsidR="00B61B6D" w:rsidRPr="009118AB">
        <w:rPr>
          <w:i/>
          <w:iCs/>
        </w:rPr>
        <w:t>(deutsche Übersetzung: Belgisches Staatsblatt vom 17. Dezember 2008)</w:t>
      </w:r>
      <w:r w:rsidR="00B61B6D" w:rsidRPr="009118AB">
        <w:t>,</w:t>
      </w:r>
    </w:p>
    <w:p w14:paraId="096D49CC" w14:textId="77777777" w:rsidR="00B278E9" w:rsidRPr="009118AB" w:rsidRDefault="00B278E9" w:rsidP="00B61B6D">
      <w:pPr>
        <w:autoSpaceDE w:val="0"/>
        <w:autoSpaceDN w:val="0"/>
        <w:adjustRightInd w:val="0"/>
        <w:jc w:val="both"/>
      </w:pPr>
    </w:p>
    <w:p w14:paraId="40B4DC91" w14:textId="5CE91FD3" w:rsidR="00B278E9" w:rsidRPr="009118AB" w:rsidRDefault="00970435" w:rsidP="00B278E9">
      <w:pPr>
        <w:autoSpaceDE w:val="0"/>
        <w:autoSpaceDN w:val="0"/>
        <w:adjustRightInd w:val="0"/>
        <w:jc w:val="both"/>
      </w:pPr>
      <w:r>
        <w:t>- </w:t>
      </w:r>
      <w:r w:rsidR="00B278E9" w:rsidRPr="009118AB">
        <w:t>das Gesetz vom 11. Dezember 2008 zur Abänderung des Einkommensteuergesetz</w:t>
      </w:r>
      <w:r w:rsidR="009D5A30" w:rsidRPr="009118AB">
        <w:softHyphen/>
      </w:r>
      <w:r w:rsidR="00B278E9" w:rsidRPr="009118AB">
        <w:t>buches</w:t>
      </w:r>
      <w:r w:rsidR="009D5A30" w:rsidRPr="009118AB">
        <w:t> </w:t>
      </w:r>
      <w:r w:rsidR="00B278E9" w:rsidRPr="009118AB">
        <w:t xml:space="preserve">1992, um es in Einklang zu bringen mit der Richtlinie 90/434/EWG des Rates vom 23. Juli 1990 über das gemeinsame Steuersystem für Fusionen, Spaltungen, Abspaltungen, die Einbringung von Unternehmensteilen und den Austausch von Anteilen, die Gesellschaften verschiedener Mitgliedstaaten betreffen, sowie für die Verlegung des Sitzes einer Europäischen Gesellschaft oder einer Europäischen Genossenschaft von einem Mitgliedstaat in einen anderen Mitgliedstaat, abgeändert durch die Richtlinie 2005/19/EG des Rates vom 17. Februar 2005 </w:t>
      </w:r>
      <w:r w:rsidR="00B278E9" w:rsidRPr="009118AB">
        <w:rPr>
          <w:i/>
          <w:iCs/>
        </w:rPr>
        <w:t>(deutsche Übersetzung: Belgisches Staatsblatt vom 26. August 2009)</w:t>
      </w:r>
      <w:r w:rsidR="00B278E9" w:rsidRPr="009118AB">
        <w:t>,</w:t>
      </w:r>
    </w:p>
    <w:p w14:paraId="757E8F1F" w14:textId="77777777" w:rsidR="00B278E9" w:rsidRPr="009118AB" w:rsidRDefault="00B278E9" w:rsidP="00B61B6D">
      <w:pPr>
        <w:autoSpaceDE w:val="0"/>
        <w:autoSpaceDN w:val="0"/>
        <w:adjustRightInd w:val="0"/>
        <w:jc w:val="both"/>
      </w:pPr>
    </w:p>
    <w:p w14:paraId="1345A069" w14:textId="01A9CBD1" w:rsidR="00B278E9" w:rsidRPr="009118AB" w:rsidRDefault="00970435" w:rsidP="00B278E9">
      <w:pPr>
        <w:autoSpaceDE w:val="0"/>
        <w:autoSpaceDN w:val="0"/>
        <w:adjustRightInd w:val="0"/>
        <w:jc w:val="both"/>
      </w:pPr>
      <w:r>
        <w:t>- </w:t>
      </w:r>
      <w:r w:rsidR="00B278E9" w:rsidRPr="009118AB">
        <w:t>die Artikel</w:t>
      </w:r>
      <w:r>
        <w:t> </w:t>
      </w:r>
      <w:r w:rsidR="00B278E9" w:rsidRPr="009118AB">
        <w:t>184 bis 193, 196 und 197 des Programmgesetzes vom 22. Dezember 2008</w:t>
      </w:r>
      <w:r w:rsidR="002B1D7D" w:rsidRPr="009118AB">
        <w:t xml:space="preserve"> </w:t>
      </w:r>
      <w:r w:rsidR="00B278E9" w:rsidRPr="009118AB">
        <w:rPr>
          <w:i/>
          <w:iCs/>
        </w:rPr>
        <w:t xml:space="preserve">(deutsche Übersetzung: Belgisches Staatsblatt vom </w:t>
      </w:r>
      <w:r w:rsidR="002B1D7D" w:rsidRPr="009118AB">
        <w:rPr>
          <w:i/>
          <w:iCs/>
        </w:rPr>
        <w:t>1</w:t>
      </w:r>
      <w:r w:rsidR="00B278E9" w:rsidRPr="009118AB">
        <w:rPr>
          <w:i/>
          <w:iCs/>
        </w:rPr>
        <w:t>. </w:t>
      </w:r>
      <w:r w:rsidR="002B1D7D" w:rsidRPr="009118AB">
        <w:rPr>
          <w:i/>
          <w:iCs/>
        </w:rPr>
        <w:t>Oktober</w:t>
      </w:r>
      <w:r w:rsidR="00B278E9" w:rsidRPr="009118AB">
        <w:rPr>
          <w:i/>
          <w:iCs/>
        </w:rPr>
        <w:t> 2009)</w:t>
      </w:r>
      <w:r w:rsidR="006B23C9" w:rsidRPr="009118AB">
        <w:rPr>
          <w:i/>
        </w:rPr>
        <w:t xml:space="preserve"> (I)</w:t>
      </w:r>
      <w:r w:rsidR="00B278E9" w:rsidRPr="009118AB">
        <w:t>,</w:t>
      </w:r>
    </w:p>
    <w:p w14:paraId="71279144" w14:textId="77777777" w:rsidR="00290B4E" w:rsidRPr="009118AB" w:rsidRDefault="00290B4E" w:rsidP="00477B8F">
      <w:pPr>
        <w:autoSpaceDE w:val="0"/>
        <w:autoSpaceDN w:val="0"/>
        <w:adjustRightInd w:val="0"/>
        <w:jc w:val="both"/>
      </w:pPr>
    </w:p>
    <w:p w14:paraId="15FCD597" w14:textId="20D3B76C" w:rsidR="002B1D7D" w:rsidRPr="009118AB" w:rsidRDefault="00970435" w:rsidP="002B1D7D">
      <w:pPr>
        <w:autoSpaceDE w:val="0"/>
        <w:autoSpaceDN w:val="0"/>
        <w:adjustRightInd w:val="0"/>
        <w:jc w:val="both"/>
      </w:pPr>
      <w:r>
        <w:t>- </w:t>
      </w:r>
      <w:r w:rsidR="002B1D7D" w:rsidRPr="009118AB">
        <w:t>die Artikel</w:t>
      </w:r>
      <w:r>
        <w:t> </w:t>
      </w:r>
      <w:r w:rsidR="002B1D7D" w:rsidRPr="009118AB">
        <w:t>113 bis 129, 132 bis 134, 137 bis 175, 183 und 184 des Gesetzes vom 22. Dezember 2008 zur Festlegung verschiedener Bestimmungen</w:t>
      </w:r>
      <w:r>
        <w:t> </w:t>
      </w:r>
      <w:r w:rsidR="002B1D7D" w:rsidRPr="009118AB">
        <w:t xml:space="preserve">(I) </w:t>
      </w:r>
      <w:r w:rsidR="002B1D7D" w:rsidRPr="009118AB">
        <w:rPr>
          <w:i/>
          <w:iCs/>
        </w:rPr>
        <w:t>(deutsche Übersetzung: Belgisches Staatsblatt vom 1. Oktober 2009)</w:t>
      </w:r>
      <w:r w:rsidR="006B23C9" w:rsidRPr="009118AB">
        <w:rPr>
          <w:i/>
        </w:rPr>
        <w:t xml:space="preserve"> (II)</w:t>
      </w:r>
      <w:r w:rsidR="002B1D7D" w:rsidRPr="009118AB">
        <w:t>,</w:t>
      </w:r>
    </w:p>
    <w:p w14:paraId="1F9ACD50" w14:textId="77777777" w:rsidR="002B1D7D" w:rsidRPr="009118AB" w:rsidRDefault="002B1D7D" w:rsidP="00477B8F">
      <w:pPr>
        <w:autoSpaceDE w:val="0"/>
        <w:autoSpaceDN w:val="0"/>
        <w:adjustRightInd w:val="0"/>
        <w:jc w:val="both"/>
      </w:pPr>
    </w:p>
    <w:p w14:paraId="10C3262B" w14:textId="5CCCB22C" w:rsidR="002B1D7D" w:rsidRPr="009118AB" w:rsidRDefault="00970435" w:rsidP="002B1D7D">
      <w:pPr>
        <w:autoSpaceDE w:val="0"/>
        <w:autoSpaceDN w:val="0"/>
        <w:adjustRightInd w:val="0"/>
        <w:jc w:val="both"/>
      </w:pPr>
      <w:r>
        <w:t>- </w:t>
      </w:r>
      <w:r w:rsidR="002B1D7D" w:rsidRPr="009118AB">
        <w:t>das Gesetz vom 24.</w:t>
      </w:r>
      <w:r>
        <w:t> </w:t>
      </w:r>
      <w:r w:rsidR="002B1D7D" w:rsidRPr="009118AB">
        <w:t>Dezember 2008 zur Abänderung des Einkommensteuergesetz</w:t>
      </w:r>
      <w:r w:rsidR="009D5A30" w:rsidRPr="009118AB">
        <w:softHyphen/>
      </w:r>
      <w:r w:rsidR="002B1D7D" w:rsidRPr="009118AB">
        <w:t>buches</w:t>
      </w:r>
      <w:r w:rsidR="009D5A30" w:rsidRPr="009118AB">
        <w:t> </w:t>
      </w:r>
      <w:r w:rsidR="002B1D7D" w:rsidRPr="009118AB">
        <w:t xml:space="preserve">1992, was die Anrechnung des Steuerabzugs der Hypothekenanleihe für die einzige Wohnung betrifft </w:t>
      </w:r>
      <w:r w:rsidR="002B1D7D" w:rsidRPr="009118AB">
        <w:rPr>
          <w:i/>
          <w:iCs/>
        </w:rPr>
        <w:t>(deutsche Übersetzung: Belgisches Staatsblatt vom 25. September 2009)</w:t>
      </w:r>
      <w:r w:rsidR="006B23C9" w:rsidRPr="009118AB">
        <w:rPr>
          <w:i/>
        </w:rPr>
        <w:t xml:space="preserve"> (I)</w:t>
      </w:r>
      <w:r w:rsidR="002B1D7D" w:rsidRPr="009118AB">
        <w:t>,</w:t>
      </w:r>
    </w:p>
    <w:p w14:paraId="299C0AA0" w14:textId="77777777" w:rsidR="002B1D7D" w:rsidRPr="009118AB" w:rsidRDefault="002B1D7D" w:rsidP="00477B8F">
      <w:pPr>
        <w:autoSpaceDE w:val="0"/>
        <w:autoSpaceDN w:val="0"/>
        <w:adjustRightInd w:val="0"/>
        <w:jc w:val="both"/>
      </w:pPr>
    </w:p>
    <w:p w14:paraId="62506F25" w14:textId="230986F1" w:rsidR="002B1D7D" w:rsidRPr="009118AB" w:rsidRDefault="00970435" w:rsidP="002B1D7D">
      <w:pPr>
        <w:autoSpaceDE w:val="0"/>
        <w:autoSpaceDN w:val="0"/>
        <w:adjustRightInd w:val="0"/>
        <w:jc w:val="both"/>
      </w:pPr>
      <w:r>
        <w:t>- </w:t>
      </w:r>
      <w:r w:rsidR="002B1D7D" w:rsidRPr="009118AB">
        <w:t xml:space="preserve">das Gesetz vom 24. Dezember 2008 zur Abänderung des Einkommensteuergesetzbuches 1992, was den Abzug für die einzige und eigene Wohnung betrifft </w:t>
      </w:r>
      <w:r w:rsidR="002B1D7D" w:rsidRPr="009118AB">
        <w:rPr>
          <w:i/>
          <w:iCs/>
        </w:rPr>
        <w:t>(deutsche Übersetzung: Belgisches Staatsblatt vom 25. September 2009)</w:t>
      </w:r>
      <w:r w:rsidR="006B23C9" w:rsidRPr="009118AB">
        <w:rPr>
          <w:i/>
        </w:rPr>
        <w:t xml:space="preserve"> (II)</w:t>
      </w:r>
      <w:r w:rsidR="000A1B1F" w:rsidRPr="009118AB">
        <w:t>,</w:t>
      </w:r>
    </w:p>
    <w:p w14:paraId="42C4C22C" w14:textId="77777777" w:rsidR="000A1B1F" w:rsidRPr="009118AB" w:rsidRDefault="000A1B1F" w:rsidP="002B1D7D">
      <w:pPr>
        <w:autoSpaceDE w:val="0"/>
        <w:autoSpaceDN w:val="0"/>
        <w:adjustRightInd w:val="0"/>
        <w:jc w:val="both"/>
      </w:pPr>
    </w:p>
    <w:p w14:paraId="1159E2C3" w14:textId="40183721" w:rsidR="001364EA" w:rsidRPr="009118AB" w:rsidRDefault="00970435" w:rsidP="002B1D7D">
      <w:pPr>
        <w:autoSpaceDE w:val="0"/>
        <w:autoSpaceDN w:val="0"/>
        <w:adjustRightInd w:val="0"/>
        <w:jc w:val="both"/>
        <w:rPr>
          <w:iCs/>
        </w:rPr>
      </w:pPr>
      <w:r>
        <w:rPr>
          <w:iCs/>
        </w:rPr>
        <w:t>- </w:t>
      </w:r>
      <w:r w:rsidR="000A1B1F" w:rsidRPr="009118AB">
        <w:rPr>
          <w:iCs/>
        </w:rPr>
        <w:t xml:space="preserve">das Gesetz vom 31. Januar 2009 über die Kontinuität der Unternehmen </w:t>
      </w:r>
      <w:r w:rsidR="000A1B1F" w:rsidRPr="009118AB">
        <w:rPr>
          <w:i/>
          <w:iCs/>
        </w:rPr>
        <w:t>(deutsche Übersetzung: Belgisches Staatsblatt vom 1. Februar 2010)</w:t>
      </w:r>
      <w:r w:rsidR="000A1B1F" w:rsidRPr="009118AB">
        <w:rPr>
          <w:iCs/>
        </w:rPr>
        <w:t>,</w:t>
      </w:r>
    </w:p>
    <w:p w14:paraId="405CFEF9" w14:textId="77777777" w:rsidR="00D655E1" w:rsidRPr="009118AB" w:rsidRDefault="00D655E1" w:rsidP="00D655E1">
      <w:pPr>
        <w:autoSpaceDE w:val="0"/>
        <w:autoSpaceDN w:val="0"/>
        <w:adjustRightInd w:val="0"/>
        <w:jc w:val="both"/>
      </w:pPr>
    </w:p>
    <w:p w14:paraId="4AAE6FC5" w14:textId="377C55FD" w:rsidR="00D655E1" w:rsidRPr="009118AB" w:rsidRDefault="00970435" w:rsidP="00D655E1">
      <w:pPr>
        <w:autoSpaceDE w:val="0"/>
        <w:autoSpaceDN w:val="0"/>
        <w:adjustRightInd w:val="0"/>
        <w:jc w:val="both"/>
      </w:pPr>
      <w:r>
        <w:t>- </w:t>
      </w:r>
      <w:r w:rsidR="00D655E1" w:rsidRPr="009118AB">
        <w:t>die Artikel</w:t>
      </w:r>
      <w:r>
        <w:t> </w:t>
      </w:r>
      <w:r w:rsidR="00D655E1" w:rsidRPr="009118AB">
        <w:t xml:space="preserve">3 bis 29 des Gesetzes vom 27. März 2009 zur Belebung der Wirtschaft </w:t>
      </w:r>
      <w:r w:rsidR="00D655E1" w:rsidRPr="009118AB">
        <w:rPr>
          <w:i/>
        </w:rPr>
        <w:t>(deutsche Übersetzung: Belgisches Staatsblatt vom 19. Februar 2010)</w:t>
      </w:r>
      <w:r w:rsidR="00D655E1" w:rsidRPr="009118AB">
        <w:t>,</w:t>
      </w:r>
    </w:p>
    <w:p w14:paraId="2102C630" w14:textId="77777777" w:rsidR="00DC1F9F" w:rsidRPr="009118AB" w:rsidRDefault="00DC1F9F" w:rsidP="00D655E1">
      <w:pPr>
        <w:autoSpaceDE w:val="0"/>
        <w:autoSpaceDN w:val="0"/>
        <w:adjustRightInd w:val="0"/>
        <w:jc w:val="both"/>
      </w:pPr>
    </w:p>
    <w:p w14:paraId="0279EF51" w14:textId="12CCD4EF" w:rsidR="00DC1F9F" w:rsidRPr="009118AB" w:rsidRDefault="00970435" w:rsidP="00D655E1">
      <w:pPr>
        <w:autoSpaceDE w:val="0"/>
        <w:autoSpaceDN w:val="0"/>
        <w:adjustRightInd w:val="0"/>
        <w:jc w:val="both"/>
      </w:pPr>
      <w:r>
        <w:lastRenderedPageBreak/>
        <w:t>- </w:t>
      </w:r>
      <w:r w:rsidR="00DC1F9F" w:rsidRPr="009118AB">
        <w:t xml:space="preserve">den Königlichen Erlass vom 6. April 2009 zur Ausführung des Gesetzes vom 26. November 2006 zur Abänderung von Artikel 51 des Einkommensteuergesetzbuches 1992 </w:t>
      </w:r>
      <w:r w:rsidR="00DC1F9F" w:rsidRPr="009118AB">
        <w:rPr>
          <w:i/>
        </w:rPr>
        <w:t>(deutsche Übersetzung: Belgisches Staatsblatt vom 27. April 2010)</w:t>
      </w:r>
      <w:r w:rsidR="00DC1F9F" w:rsidRPr="009118AB">
        <w:t>,</w:t>
      </w:r>
    </w:p>
    <w:p w14:paraId="1ADE9BAB" w14:textId="77777777" w:rsidR="00C03EF2" w:rsidRPr="009118AB" w:rsidRDefault="00C03EF2" w:rsidP="00D655E1">
      <w:pPr>
        <w:autoSpaceDE w:val="0"/>
        <w:autoSpaceDN w:val="0"/>
        <w:adjustRightInd w:val="0"/>
        <w:jc w:val="both"/>
      </w:pPr>
    </w:p>
    <w:p w14:paraId="6906AD29" w14:textId="4C7BE4F5" w:rsidR="00C03EF2" w:rsidRPr="009118AB" w:rsidRDefault="00970435" w:rsidP="00D655E1">
      <w:pPr>
        <w:autoSpaceDE w:val="0"/>
        <w:autoSpaceDN w:val="0"/>
        <w:adjustRightInd w:val="0"/>
        <w:jc w:val="both"/>
      </w:pPr>
      <w:r>
        <w:t>- </w:t>
      </w:r>
      <w:r w:rsidR="00C03EF2" w:rsidRPr="009118AB">
        <w:t>die Artikel</w:t>
      </w:r>
      <w:r>
        <w:t> </w:t>
      </w:r>
      <w:r w:rsidR="00C03EF2" w:rsidRPr="009118AB">
        <w:t xml:space="preserve">40 bis 42 und 47 bis 51 des Gesetzes vom 6. Mai 2009 zur Festlegung verschiedener Bestimmungen </w:t>
      </w:r>
      <w:r w:rsidR="00C03EF2" w:rsidRPr="009118AB">
        <w:rPr>
          <w:i/>
        </w:rPr>
        <w:t>(deutsche Übersetzung: Belgisches Staatsblatt vom 19. Februar 2010)</w:t>
      </w:r>
      <w:r w:rsidR="00C03EF2" w:rsidRPr="009118AB">
        <w:t>,</w:t>
      </w:r>
    </w:p>
    <w:p w14:paraId="402DFE06" w14:textId="77777777" w:rsidR="001364EA" w:rsidRPr="009118AB" w:rsidRDefault="001364EA" w:rsidP="002B1D7D">
      <w:pPr>
        <w:autoSpaceDE w:val="0"/>
        <w:autoSpaceDN w:val="0"/>
        <w:adjustRightInd w:val="0"/>
        <w:jc w:val="both"/>
        <w:rPr>
          <w:iCs/>
        </w:rPr>
      </w:pPr>
    </w:p>
    <w:p w14:paraId="3F76F6E2" w14:textId="3A14C896" w:rsidR="001364EA" w:rsidRPr="009118AB" w:rsidRDefault="00970435" w:rsidP="001364EA">
      <w:pPr>
        <w:autoSpaceDE w:val="0"/>
        <w:autoSpaceDN w:val="0"/>
        <w:adjustRightInd w:val="0"/>
        <w:jc w:val="both"/>
        <w:rPr>
          <w:iCs/>
        </w:rPr>
      </w:pPr>
      <w:r>
        <w:rPr>
          <w:iCs/>
        </w:rPr>
        <w:t>- </w:t>
      </w:r>
      <w:r w:rsidR="001364EA" w:rsidRPr="009118AB">
        <w:rPr>
          <w:iCs/>
        </w:rPr>
        <w:t>das Gesetz vom 8.</w:t>
      </w:r>
      <w:r>
        <w:rPr>
          <w:iCs/>
        </w:rPr>
        <w:t> </w:t>
      </w:r>
      <w:r w:rsidR="001364EA" w:rsidRPr="009118AB">
        <w:rPr>
          <w:iCs/>
        </w:rPr>
        <w:t>Juni 2009 zur Abänderung des Einkommensteuergesetzbuches 1992 hinsichtlich der Steuererklärungen</w:t>
      </w:r>
      <w:r w:rsidR="000A1B1F" w:rsidRPr="009118AB">
        <w:rPr>
          <w:iCs/>
        </w:rPr>
        <w:t xml:space="preserve"> </w:t>
      </w:r>
      <w:r w:rsidR="001364EA" w:rsidRPr="009118AB">
        <w:rPr>
          <w:i/>
          <w:iCs/>
        </w:rPr>
        <w:t>(deutsche Übersetzung: Belgisches Staatsblatt vom 17. Februar 2010)</w:t>
      </w:r>
      <w:r w:rsidR="00F846D3" w:rsidRPr="009118AB">
        <w:rPr>
          <w:iCs/>
        </w:rPr>
        <w:t>,</w:t>
      </w:r>
    </w:p>
    <w:p w14:paraId="51EA199C" w14:textId="77777777" w:rsidR="00F846D3" w:rsidRPr="009118AB" w:rsidRDefault="00F846D3" w:rsidP="001364EA">
      <w:pPr>
        <w:autoSpaceDE w:val="0"/>
        <w:autoSpaceDN w:val="0"/>
        <w:adjustRightInd w:val="0"/>
        <w:jc w:val="both"/>
        <w:rPr>
          <w:iCs/>
        </w:rPr>
      </w:pPr>
    </w:p>
    <w:p w14:paraId="1CE569E3" w14:textId="608B0D19" w:rsidR="00F846D3" w:rsidRPr="009118AB" w:rsidRDefault="00970435" w:rsidP="001364EA">
      <w:pPr>
        <w:autoSpaceDE w:val="0"/>
        <w:autoSpaceDN w:val="0"/>
        <w:adjustRightInd w:val="0"/>
        <w:jc w:val="both"/>
        <w:rPr>
          <w:iCs/>
        </w:rPr>
      </w:pPr>
      <w:r>
        <w:rPr>
          <w:iCs/>
        </w:rPr>
        <w:t>- </w:t>
      </w:r>
      <w:r w:rsidR="00F846D3" w:rsidRPr="009118AB">
        <w:rPr>
          <w:iCs/>
        </w:rPr>
        <w:t>die Artikel</w:t>
      </w:r>
      <w:r>
        <w:rPr>
          <w:iCs/>
        </w:rPr>
        <w:t> </w:t>
      </w:r>
      <w:r w:rsidR="00F846D3" w:rsidRPr="009118AB">
        <w:rPr>
          <w:iCs/>
        </w:rPr>
        <w:t>2 bis</w:t>
      </w:r>
      <w:r w:rsidR="00F06AA7" w:rsidRPr="009118AB">
        <w:rPr>
          <w:iCs/>
        </w:rPr>
        <w:t xml:space="preserve"> 4, 6 bis</w:t>
      </w:r>
      <w:r w:rsidR="00F846D3" w:rsidRPr="009118AB">
        <w:rPr>
          <w:iCs/>
        </w:rPr>
        <w:t xml:space="preserve"> 9 und 13 bis 18 des Gesetzes vom 21. Dezember 2009 zur Festlegung steuerrechtlicher und sonstiger Bestimmungen </w:t>
      </w:r>
      <w:r w:rsidR="00F846D3" w:rsidRPr="009118AB">
        <w:rPr>
          <w:i/>
          <w:iCs/>
        </w:rPr>
        <w:t>(deutsche Übersetzung: Belgisches Staatsblatt vom 16. März 2010)</w:t>
      </w:r>
      <w:r w:rsidR="00393938" w:rsidRPr="009118AB">
        <w:rPr>
          <w:iCs/>
        </w:rPr>
        <w:t>,</w:t>
      </w:r>
    </w:p>
    <w:p w14:paraId="281BF8BE" w14:textId="77777777" w:rsidR="00393938" w:rsidRPr="009118AB" w:rsidRDefault="00393938" w:rsidP="001364EA">
      <w:pPr>
        <w:autoSpaceDE w:val="0"/>
        <w:autoSpaceDN w:val="0"/>
        <w:adjustRightInd w:val="0"/>
        <w:jc w:val="both"/>
        <w:rPr>
          <w:iCs/>
        </w:rPr>
      </w:pPr>
    </w:p>
    <w:p w14:paraId="54224B3E" w14:textId="143F265A" w:rsidR="00393938" w:rsidRPr="009118AB" w:rsidRDefault="00970435" w:rsidP="001364EA">
      <w:pPr>
        <w:autoSpaceDE w:val="0"/>
        <w:autoSpaceDN w:val="0"/>
        <w:adjustRightInd w:val="0"/>
        <w:jc w:val="both"/>
        <w:rPr>
          <w:iCs/>
        </w:rPr>
      </w:pPr>
      <w:r>
        <w:rPr>
          <w:iCs/>
        </w:rPr>
        <w:t>- </w:t>
      </w:r>
      <w:r w:rsidR="00393938" w:rsidRPr="009118AB">
        <w:rPr>
          <w:iCs/>
        </w:rPr>
        <w:t>die Artikel</w:t>
      </w:r>
      <w:r>
        <w:rPr>
          <w:iCs/>
        </w:rPr>
        <w:t> </w:t>
      </w:r>
      <w:r w:rsidR="00393938" w:rsidRPr="009118AB">
        <w:rPr>
          <w:iCs/>
        </w:rPr>
        <w:t>1 bis 71 des Gesetzes vom 22. Dezember 2009 zur Festlegung steuerrechtlicher und sonstiger Bestimmungen</w:t>
      </w:r>
      <w:r w:rsidR="00DC1F9F" w:rsidRPr="009118AB">
        <w:rPr>
          <w:iCs/>
        </w:rPr>
        <w:t xml:space="preserve"> </w:t>
      </w:r>
      <w:r w:rsidR="00393938" w:rsidRPr="009118AB">
        <w:rPr>
          <w:i/>
          <w:iCs/>
        </w:rPr>
        <w:t>(deutsche Übersetzung: Belgisches Staatsblatt vom 27. April 2010)</w:t>
      </w:r>
      <w:r w:rsidR="006B23C9" w:rsidRPr="009118AB">
        <w:rPr>
          <w:i/>
          <w:iCs/>
        </w:rPr>
        <w:t xml:space="preserve"> (I)</w:t>
      </w:r>
      <w:r w:rsidR="00DC1F9F" w:rsidRPr="009118AB">
        <w:rPr>
          <w:iCs/>
        </w:rPr>
        <w:t>,</w:t>
      </w:r>
    </w:p>
    <w:p w14:paraId="42AD6888" w14:textId="77777777" w:rsidR="00DC1F9F" w:rsidRPr="009118AB" w:rsidRDefault="00DC1F9F" w:rsidP="001364EA">
      <w:pPr>
        <w:autoSpaceDE w:val="0"/>
        <w:autoSpaceDN w:val="0"/>
        <w:adjustRightInd w:val="0"/>
        <w:jc w:val="both"/>
        <w:rPr>
          <w:iCs/>
        </w:rPr>
      </w:pPr>
    </w:p>
    <w:p w14:paraId="11900F89" w14:textId="35D829F8" w:rsidR="00785E9D" w:rsidRPr="009118AB" w:rsidRDefault="00970435" w:rsidP="001364EA">
      <w:pPr>
        <w:autoSpaceDE w:val="0"/>
        <w:autoSpaceDN w:val="0"/>
        <w:adjustRightInd w:val="0"/>
        <w:jc w:val="both"/>
        <w:rPr>
          <w:iCs/>
        </w:rPr>
      </w:pPr>
      <w:r>
        <w:rPr>
          <w:iCs/>
        </w:rPr>
        <w:t>- </w:t>
      </w:r>
      <w:r w:rsidR="00DC1F9F" w:rsidRPr="009118AB">
        <w:rPr>
          <w:iCs/>
        </w:rPr>
        <w:t xml:space="preserve">das Gesetz vom 22. Dezember 2009 zur Festlegung steuerrechtlicher </w:t>
      </w:r>
      <w:r w:rsidR="00DC1F9F" w:rsidRPr="009118AB">
        <w:rPr>
          <w:i/>
          <w:iCs/>
        </w:rPr>
        <w:t>(deutsche Übersetzung: Belgisches Staatsblatt vom 27. April 2010</w:t>
      </w:r>
      <w:r w:rsidR="00377960" w:rsidRPr="009118AB">
        <w:rPr>
          <w:i/>
          <w:iCs/>
        </w:rPr>
        <w:t>, Err. vom 11. April 2017</w:t>
      </w:r>
      <w:r w:rsidR="00DC1F9F" w:rsidRPr="009118AB">
        <w:rPr>
          <w:i/>
          <w:iCs/>
        </w:rPr>
        <w:t>)</w:t>
      </w:r>
      <w:r w:rsidR="006B23C9" w:rsidRPr="009118AB">
        <w:rPr>
          <w:i/>
          <w:iCs/>
        </w:rPr>
        <w:t xml:space="preserve"> (II)</w:t>
      </w:r>
      <w:r w:rsidR="00785E9D" w:rsidRPr="009118AB">
        <w:rPr>
          <w:iCs/>
        </w:rPr>
        <w:t>,</w:t>
      </w:r>
    </w:p>
    <w:p w14:paraId="5EB0C459" w14:textId="77777777" w:rsidR="00785E9D" w:rsidRPr="009118AB" w:rsidRDefault="00785E9D" w:rsidP="001364EA">
      <w:pPr>
        <w:autoSpaceDE w:val="0"/>
        <w:autoSpaceDN w:val="0"/>
        <w:adjustRightInd w:val="0"/>
        <w:jc w:val="both"/>
        <w:rPr>
          <w:iCs/>
        </w:rPr>
      </w:pPr>
    </w:p>
    <w:p w14:paraId="3E697268" w14:textId="588C5B61" w:rsidR="00F36AB8" w:rsidRPr="009118AB" w:rsidRDefault="00970435" w:rsidP="00F36AB8">
      <w:pPr>
        <w:autoSpaceDE w:val="0"/>
        <w:autoSpaceDN w:val="0"/>
        <w:adjustRightInd w:val="0"/>
        <w:jc w:val="both"/>
      </w:pPr>
      <w:r>
        <w:rPr>
          <w:iCs/>
        </w:rPr>
        <w:t>- </w:t>
      </w:r>
      <w:r w:rsidR="00785E9D" w:rsidRPr="009118AB">
        <w:rPr>
          <w:iCs/>
        </w:rPr>
        <w:t>die Artikel</w:t>
      </w:r>
      <w:r>
        <w:rPr>
          <w:iCs/>
        </w:rPr>
        <w:t> </w:t>
      </w:r>
      <w:r w:rsidR="00785E9D" w:rsidRPr="009118AB">
        <w:rPr>
          <w:iCs/>
        </w:rPr>
        <w:t>114 bis 141</w:t>
      </w:r>
      <w:r w:rsidR="00546F45" w:rsidRPr="009118AB">
        <w:rPr>
          <w:iCs/>
        </w:rPr>
        <w:t>, 153 und 154</w:t>
      </w:r>
      <w:r w:rsidR="00785E9D" w:rsidRPr="009118AB">
        <w:t xml:space="preserve"> des Programmgesetzes vom 23. Dezember 2009 </w:t>
      </w:r>
      <w:r w:rsidR="00785E9D" w:rsidRPr="009118AB">
        <w:rPr>
          <w:i/>
        </w:rPr>
        <w:t>(deutsche Übersetzung: Belgisches Staatsblatt vom 19. Mai 2010)</w:t>
      </w:r>
      <w:r w:rsidR="00F36AB8" w:rsidRPr="009118AB">
        <w:t>,</w:t>
      </w:r>
    </w:p>
    <w:p w14:paraId="6E56E515" w14:textId="77777777" w:rsidR="00F36AB8" w:rsidRPr="009118AB" w:rsidRDefault="00F36AB8" w:rsidP="00F36AB8">
      <w:pPr>
        <w:autoSpaceDE w:val="0"/>
        <w:autoSpaceDN w:val="0"/>
        <w:adjustRightInd w:val="0"/>
        <w:jc w:val="both"/>
      </w:pPr>
    </w:p>
    <w:p w14:paraId="169F46A6" w14:textId="128113A0" w:rsidR="00F36AB8" w:rsidRPr="009118AB"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w:t>
      </w:r>
      <w:r w:rsidR="00F36AB8" w:rsidRPr="009118AB">
        <w:t>Artikel</w:t>
      </w:r>
      <w:r>
        <w:t> </w:t>
      </w:r>
      <w:r w:rsidR="00F36AB8" w:rsidRPr="009118AB">
        <w:t xml:space="preserve">12 des Gesetzes vom 21. Februar 2010 zur Anpassung verschiedener Gesetze, die eine in Artikel 78 der Verfassung erwähnte Angelegenheit regeln, an die Bezeichnung "Verfassungsgerichtshof" </w:t>
      </w:r>
      <w:r w:rsidR="00F36AB8" w:rsidRPr="009118AB">
        <w:rPr>
          <w:i/>
        </w:rPr>
        <w:t>(deutsche Übersetzung: Belgisches Staatsblatt vom 4. Juni 2010)</w:t>
      </w:r>
      <w:r w:rsidR="00F36AB8" w:rsidRPr="009118AB">
        <w:t>,</w:t>
      </w:r>
    </w:p>
    <w:p w14:paraId="7766170F" w14:textId="77777777" w:rsidR="00F36AB8" w:rsidRPr="009118AB" w:rsidRDefault="00F36AB8"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8F829A" w14:textId="6A6C53A1" w:rsidR="00DC1F9F" w:rsidRPr="009118AB"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w:t>
      </w:r>
      <w:r w:rsidR="00F36AB8" w:rsidRPr="009118AB">
        <w:t>Artikel</w:t>
      </w:r>
      <w:r>
        <w:t> </w:t>
      </w:r>
      <w:r w:rsidR="00F36AB8" w:rsidRPr="009118AB">
        <w:t>51 des Gesetzes vom 10. Januar 2010 zur Abänderung der Rechtsvorschriften über Glücksspiele (</w:t>
      </w:r>
      <w:r w:rsidR="00F36AB8" w:rsidRPr="009118AB">
        <w:rPr>
          <w:i/>
        </w:rPr>
        <w:t xml:space="preserve">Belgisches Staatsblatt </w:t>
      </w:r>
      <w:r w:rsidR="001D4878" w:rsidRPr="009118AB">
        <w:t>vom 10. August 2010),</w:t>
      </w:r>
    </w:p>
    <w:p w14:paraId="76921400" w14:textId="77777777" w:rsidR="001D4878" w:rsidRPr="009118AB" w:rsidRDefault="001D4878"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D163DD5" w14:textId="6E25B513" w:rsidR="001D4878" w:rsidRPr="009118AB"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w:t>
      </w:r>
      <w:r w:rsidR="001D4878" w:rsidRPr="009118AB">
        <w:t>das Gesetz vom 21. Februar 2010 zur Abänderung des Einkommensteuergesetzbuches 1992 zwecks Hinzufügung der Entwässerungsgenossenschaften und Bewässerungs</w:t>
      </w:r>
      <w:r w:rsidR="001D4878" w:rsidRPr="009118AB">
        <w:softHyphen/>
        <w:t>genossenschaften zu den juristischen Personen des öffentlichen Rechts, die der Steuer der juristischen Personen unterliegen (</w:t>
      </w:r>
      <w:r w:rsidR="001D4878" w:rsidRPr="009118AB">
        <w:rPr>
          <w:i/>
        </w:rPr>
        <w:t xml:space="preserve">Belgisches Staatsblatt </w:t>
      </w:r>
      <w:r w:rsidR="001D4878" w:rsidRPr="009118AB">
        <w:t>vom 24. Januar 2011),</w:t>
      </w:r>
    </w:p>
    <w:p w14:paraId="394EFBB5" w14:textId="77777777" w:rsidR="001D4878" w:rsidRPr="009118AB" w:rsidRDefault="001D4878"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1B14BD" w14:textId="276D0DBF" w:rsidR="001D4878" w:rsidRPr="009118AB"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w:t>
      </w:r>
      <w:r w:rsidR="001D4878" w:rsidRPr="009118AB">
        <w:t>das Gesetz vom 4. Mai 2010 z</w:t>
      </w:r>
      <w:r w:rsidR="00771A0F" w:rsidRPr="009118AB">
        <w:t xml:space="preserve">ur Abänderung von Artikel 308 </w:t>
      </w:r>
      <w:r w:rsidR="00D67EB8" w:rsidRPr="009118AB">
        <w:t>§ </w:t>
      </w:r>
      <w:r w:rsidR="001D4878" w:rsidRPr="009118AB">
        <w:t>3 des Einkommen</w:t>
      </w:r>
      <w:r w:rsidR="00771A0F" w:rsidRPr="009118AB">
        <w:softHyphen/>
      </w:r>
      <w:r w:rsidR="001D4878" w:rsidRPr="009118AB">
        <w:t>steuer</w:t>
      </w:r>
      <w:r w:rsidR="00771A0F" w:rsidRPr="009118AB">
        <w:softHyphen/>
      </w:r>
      <w:r w:rsidR="001D4878" w:rsidRPr="009118AB">
        <w:t>gesetzbuches 1992 (</w:t>
      </w:r>
      <w:r w:rsidR="001D4878" w:rsidRPr="009118AB">
        <w:rPr>
          <w:i/>
        </w:rPr>
        <w:t xml:space="preserve">Belgisches Staatsblatt </w:t>
      </w:r>
      <w:r w:rsidR="000E17D1" w:rsidRPr="009118AB">
        <w:t>vom 24. Januar 2011),</w:t>
      </w:r>
    </w:p>
    <w:p w14:paraId="77F76329" w14:textId="77777777" w:rsidR="000E17D1" w:rsidRPr="009118AB" w:rsidRDefault="000E17D1"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8A40731" w14:textId="47EEF64F" w:rsidR="000E17D1" w:rsidRPr="009118AB"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w:t>
      </w:r>
      <w:r w:rsidR="000E17D1" w:rsidRPr="009118AB">
        <w:t>die Artikel</w:t>
      </w:r>
      <w:r>
        <w:t> </w:t>
      </w:r>
      <w:r w:rsidR="000E17D1" w:rsidRPr="009118AB">
        <w:t>2, 6 bis 12 und 21 des Gesetzes vom 19. Mai 2010 zur Festlegung steuerrechtlicher und sonstiger Bestimmungen (</w:t>
      </w:r>
      <w:r w:rsidR="000E17D1" w:rsidRPr="009118AB">
        <w:rPr>
          <w:i/>
        </w:rPr>
        <w:t xml:space="preserve">Belgisches Staatsblatt </w:t>
      </w:r>
      <w:r w:rsidR="000E17D1" w:rsidRPr="009118AB">
        <w:t>vom 11. Februar 2011)</w:t>
      </w:r>
      <w:r w:rsidR="00A52B24" w:rsidRPr="009118AB">
        <w:t>,</w:t>
      </w:r>
    </w:p>
    <w:p w14:paraId="77B4C0D5" w14:textId="77777777" w:rsidR="00A52B24" w:rsidRPr="009118AB" w:rsidRDefault="00A52B24"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C56AA01" w14:textId="0AFB5264" w:rsidR="00A52B24" w:rsidRPr="009118AB" w:rsidRDefault="00970435" w:rsidP="00A52B24">
      <w:pPr>
        <w:autoSpaceDE w:val="0"/>
        <w:autoSpaceDN w:val="0"/>
        <w:adjustRightInd w:val="0"/>
        <w:jc w:val="both"/>
        <w:rPr>
          <w:iCs/>
        </w:rPr>
      </w:pPr>
      <w:r>
        <w:rPr>
          <w:iCs/>
        </w:rPr>
        <w:t>- </w:t>
      </w:r>
      <w:r w:rsidR="00A52B24" w:rsidRPr="009118AB">
        <w:rPr>
          <w:iCs/>
        </w:rPr>
        <w:t>die Artikel</w:t>
      </w:r>
      <w:r>
        <w:rPr>
          <w:iCs/>
        </w:rPr>
        <w:t> </w:t>
      </w:r>
      <w:r w:rsidR="00A52B24" w:rsidRPr="009118AB">
        <w:rPr>
          <w:iCs/>
        </w:rPr>
        <w:t>5 bis 7 des Königlichen Erlasses vom 19. Dezember 2010 zur Ausführung von Artikel 84 des Gesetzes vom 31. Januar 2009 über die Kontinuität der Unternehmen (</w:t>
      </w:r>
      <w:r w:rsidR="00A52B24" w:rsidRPr="009118AB">
        <w:rPr>
          <w:i/>
          <w:iCs/>
        </w:rPr>
        <w:t>Belgisches Staatsblatt</w:t>
      </w:r>
      <w:r w:rsidR="00A52B24" w:rsidRPr="009118AB">
        <w:rPr>
          <w:iCs/>
        </w:rPr>
        <w:t xml:space="preserve"> vom 3</w:t>
      </w:r>
      <w:r w:rsidR="00C027E8" w:rsidRPr="009118AB">
        <w:rPr>
          <w:iCs/>
        </w:rPr>
        <w:t>0. Mai 2011),</w:t>
      </w:r>
    </w:p>
    <w:p w14:paraId="53C4E7AA" w14:textId="77777777" w:rsidR="00C027E8" w:rsidRPr="009118AB" w:rsidRDefault="00C027E8" w:rsidP="00A52B24">
      <w:pPr>
        <w:autoSpaceDE w:val="0"/>
        <w:autoSpaceDN w:val="0"/>
        <w:adjustRightInd w:val="0"/>
        <w:jc w:val="both"/>
        <w:rPr>
          <w:iCs/>
        </w:rPr>
      </w:pPr>
    </w:p>
    <w:p w14:paraId="43F855F9" w14:textId="6782177B" w:rsidR="00C027E8" w:rsidRPr="009118AB" w:rsidRDefault="00970435" w:rsidP="00A52B24">
      <w:pPr>
        <w:autoSpaceDE w:val="0"/>
        <w:autoSpaceDN w:val="0"/>
        <w:adjustRightInd w:val="0"/>
        <w:jc w:val="both"/>
        <w:rPr>
          <w:iCs/>
        </w:rPr>
      </w:pPr>
      <w:r>
        <w:rPr>
          <w:iCs/>
        </w:rPr>
        <w:t>- </w:t>
      </w:r>
      <w:r w:rsidR="00C027E8" w:rsidRPr="009118AB">
        <w:rPr>
          <w:iCs/>
        </w:rPr>
        <w:t>die Artikel</w:t>
      </w:r>
      <w:r>
        <w:rPr>
          <w:iCs/>
        </w:rPr>
        <w:t> </w:t>
      </w:r>
      <w:r w:rsidR="00C027E8" w:rsidRPr="009118AB">
        <w:rPr>
          <w:iCs/>
        </w:rPr>
        <w:t>25 bis</w:t>
      </w:r>
      <w:r w:rsidR="004A6FA9" w:rsidRPr="009118AB">
        <w:rPr>
          <w:iCs/>
        </w:rPr>
        <w:t xml:space="preserve"> 31</w:t>
      </w:r>
      <w:r w:rsidR="00C027E8" w:rsidRPr="009118AB">
        <w:rPr>
          <w:iCs/>
        </w:rPr>
        <w:t xml:space="preserve"> des Gesetzes vom 29. Dezember 2010 zur Festlegung verschiedener Bestimmungen (I) (</w:t>
      </w:r>
      <w:r w:rsidR="00C027E8" w:rsidRPr="009118AB">
        <w:rPr>
          <w:i/>
          <w:iCs/>
        </w:rPr>
        <w:t>Belgisches Staatsblatt</w:t>
      </w:r>
      <w:r w:rsidR="00570291" w:rsidRPr="009118AB">
        <w:rPr>
          <w:iCs/>
        </w:rPr>
        <w:t xml:space="preserve"> vom 20. Juni 2011),</w:t>
      </w:r>
    </w:p>
    <w:p w14:paraId="29071CE8" w14:textId="77777777" w:rsidR="00570291" w:rsidRPr="009118AB" w:rsidRDefault="00570291" w:rsidP="00A52B24">
      <w:pPr>
        <w:autoSpaceDE w:val="0"/>
        <w:autoSpaceDN w:val="0"/>
        <w:adjustRightInd w:val="0"/>
        <w:jc w:val="both"/>
        <w:rPr>
          <w:iCs/>
        </w:rPr>
      </w:pPr>
    </w:p>
    <w:p w14:paraId="10ECB5E5" w14:textId="18970071" w:rsidR="00570291" w:rsidRPr="009118AB" w:rsidRDefault="00970435" w:rsidP="00A52B24">
      <w:pPr>
        <w:autoSpaceDE w:val="0"/>
        <w:autoSpaceDN w:val="0"/>
        <w:adjustRightInd w:val="0"/>
        <w:jc w:val="both"/>
      </w:pPr>
      <w:r>
        <w:t>- </w:t>
      </w:r>
      <w:r w:rsidR="000441E2" w:rsidRPr="009118AB">
        <w:t>die Artikel</w:t>
      </w:r>
      <w:r>
        <w:t> </w:t>
      </w:r>
      <w:r w:rsidR="000441E2" w:rsidRPr="009118AB">
        <w:t>97,</w:t>
      </w:r>
      <w:r w:rsidR="00570291" w:rsidRPr="009118AB">
        <w:t xml:space="preserve"> 98</w:t>
      </w:r>
      <w:r w:rsidR="000441E2" w:rsidRPr="009118AB">
        <w:t xml:space="preserve"> und 331</w:t>
      </w:r>
      <w:r w:rsidR="00570291" w:rsidRPr="009118AB">
        <w:t xml:space="preserve"> des Königlichen Erlasses vom 3. März 2011 über die Entwicklung der Aufsichtsstruktur für den Finanzsektor (</w:t>
      </w:r>
      <w:r w:rsidR="00570291" w:rsidRPr="009118AB">
        <w:rPr>
          <w:i/>
        </w:rPr>
        <w:t>Belgisches Staatsblatt</w:t>
      </w:r>
      <w:r w:rsidR="001409BD" w:rsidRPr="009118AB">
        <w:t xml:space="preserve"> vom 23. Juni 2011),</w:t>
      </w:r>
    </w:p>
    <w:p w14:paraId="640ABBDA" w14:textId="77777777" w:rsidR="001409BD" w:rsidRPr="009118AB" w:rsidRDefault="001409BD" w:rsidP="00A52B24">
      <w:pPr>
        <w:autoSpaceDE w:val="0"/>
        <w:autoSpaceDN w:val="0"/>
        <w:adjustRightInd w:val="0"/>
        <w:jc w:val="both"/>
      </w:pPr>
    </w:p>
    <w:p w14:paraId="0AD573BD" w14:textId="26C1ACB9" w:rsidR="001409BD" w:rsidRPr="009118AB" w:rsidRDefault="00970435" w:rsidP="00A52B24">
      <w:pPr>
        <w:autoSpaceDE w:val="0"/>
        <w:autoSpaceDN w:val="0"/>
        <w:adjustRightInd w:val="0"/>
        <w:jc w:val="both"/>
      </w:pPr>
      <w:r>
        <w:t>- </w:t>
      </w:r>
      <w:r w:rsidR="001409BD" w:rsidRPr="009118AB">
        <w:t>die Artikel</w:t>
      </w:r>
      <w:r>
        <w:t> </w:t>
      </w:r>
      <w:r w:rsidR="001409BD" w:rsidRPr="009118AB">
        <w:t>31 bis 57 und 78 bis 83 des Gesetzes vom 14. April 2011 zur Festlegung verschiedener Bestimmungen (</w:t>
      </w:r>
      <w:r w:rsidR="001409BD" w:rsidRPr="009118AB">
        <w:rPr>
          <w:i/>
        </w:rPr>
        <w:t xml:space="preserve">Belgisches Staatsblatt </w:t>
      </w:r>
      <w:r w:rsidR="001409BD" w:rsidRPr="009118AB">
        <w:t>vom 27. Oktober 2011),</w:t>
      </w:r>
    </w:p>
    <w:p w14:paraId="39C5CF76" w14:textId="77777777" w:rsidR="001409BD" w:rsidRPr="009118AB" w:rsidRDefault="001409BD" w:rsidP="00A52B24">
      <w:pPr>
        <w:autoSpaceDE w:val="0"/>
        <w:autoSpaceDN w:val="0"/>
        <w:adjustRightInd w:val="0"/>
        <w:jc w:val="both"/>
      </w:pPr>
    </w:p>
    <w:p w14:paraId="74B4A560" w14:textId="54643526" w:rsidR="001409BD" w:rsidRPr="009118AB" w:rsidRDefault="00970435" w:rsidP="00A52B24">
      <w:pPr>
        <w:autoSpaceDE w:val="0"/>
        <w:autoSpaceDN w:val="0"/>
        <w:adjustRightInd w:val="0"/>
        <w:jc w:val="both"/>
      </w:pPr>
      <w:r>
        <w:t>- </w:t>
      </w:r>
      <w:r w:rsidR="001409BD" w:rsidRPr="009118AB">
        <w:t>das Gesetz vom 28. April 2011 zur Abänderung des Einkommensteuergesetzbuches 1992 hinsichtlich der Befreiung von der Zahlung des auf die Entlohnungen von Sportlern einbehaltenen Berufssteuervorabzugs (</w:t>
      </w:r>
      <w:r w:rsidR="001409BD" w:rsidRPr="009118AB">
        <w:rPr>
          <w:i/>
        </w:rPr>
        <w:t xml:space="preserve">Belgisches Staatsblatt </w:t>
      </w:r>
      <w:r w:rsidR="001409BD" w:rsidRPr="009118AB">
        <w:t>vom 27. Oktober 2011),</w:t>
      </w:r>
    </w:p>
    <w:p w14:paraId="513946F7" w14:textId="77777777" w:rsidR="001409BD" w:rsidRPr="009118AB" w:rsidRDefault="001409BD" w:rsidP="00A52B24">
      <w:pPr>
        <w:autoSpaceDE w:val="0"/>
        <w:autoSpaceDN w:val="0"/>
        <w:adjustRightInd w:val="0"/>
        <w:jc w:val="both"/>
      </w:pPr>
    </w:p>
    <w:p w14:paraId="1D644B92" w14:textId="7C49B0FA" w:rsidR="001409BD" w:rsidRPr="009118AB" w:rsidRDefault="00970435" w:rsidP="001409BD">
      <w:pPr>
        <w:autoSpaceDE w:val="0"/>
        <w:autoSpaceDN w:val="0"/>
        <w:adjustRightInd w:val="0"/>
        <w:jc w:val="both"/>
      </w:pPr>
      <w:r>
        <w:t>- </w:t>
      </w:r>
      <w:r w:rsidR="001409BD" w:rsidRPr="009118AB">
        <w:t>das Gesetz vom 19. Juni 2011 zur Abänderung des Einkommensteuergesetzbuches 1992 hinsichtlich des Arbeitsbonus und der Entlassungsentschädigung (</w:t>
      </w:r>
      <w:r w:rsidR="001409BD" w:rsidRPr="009118AB">
        <w:rPr>
          <w:i/>
        </w:rPr>
        <w:t xml:space="preserve">Belgisches Staatsblatt </w:t>
      </w:r>
      <w:r w:rsidR="001409BD" w:rsidRPr="009118AB">
        <w:t>vom 27. Oktober 2011),</w:t>
      </w:r>
    </w:p>
    <w:p w14:paraId="2BB3F1B6" w14:textId="77777777" w:rsidR="001409BD" w:rsidRPr="009118AB" w:rsidRDefault="001409BD" w:rsidP="00A52B24">
      <w:pPr>
        <w:autoSpaceDE w:val="0"/>
        <w:autoSpaceDN w:val="0"/>
        <w:adjustRightInd w:val="0"/>
        <w:jc w:val="both"/>
      </w:pPr>
    </w:p>
    <w:p w14:paraId="314CAC82" w14:textId="3934B8DD" w:rsidR="000E467D" w:rsidRPr="009118AB" w:rsidRDefault="00970435" w:rsidP="003D405D">
      <w:pPr>
        <w:autoSpaceDE w:val="0"/>
        <w:autoSpaceDN w:val="0"/>
        <w:adjustRightInd w:val="0"/>
        <w:jc w:val="both"/>
      </w:pPr>
      <w:r>
        <w:rPr>
          <w:iCs/>
        </w:rPr>
        <w:t>- </w:t>
      </w:r>
      <w:r w:rsidR="003D405D" w:rsidRPr="009118AB">
        <w:rPr>
          <w:iCs/>
        </w:rPr>
        <w:t xml:space="preserve">das Gesetz vom 28. Juli 2011 zur Abänderung des Einkommensteuergesetzbuches 1992 und des Gesetzbuches der verschiedenen Gebühren und Steuern in Bezug auf Einkünfte aus Versicherungsprodukten und zur Festlegung einer anderen Bestimmung </w:t>
      </w:r>
      <w:r w:rsidR="003D405D" w:rsidRPr="009118AB">
        <w:t>(</w:t>
      </w:r>
      <w:r w:rsidR="003D405D" w:rsidRPr="009118AB">
        <w:rPr>
          <w:i/>
        </w:rPr>
        <w:t xml:space="preserve">Belgisches Staatsblatt </w:t>
      </w:r>
      <w:r w:rsidR="000E467D" w:rsidRPr="009118AB">
        <w:t>vom 27. Oktober 2011</w:t>
      </w:r>
      <w:r w:rsidR="006B23C9" w:rsidRPr="009118AB">
        <w:t>)</w:t>
      </w:r>
      <w:r w:rsidR="000E467D" w:rsidRPr="009118AB">
        <w:t>,</w:t>
      </w:r>
    </w:p>
    <w:p w14:paraId="6582C573" w14:textId="77777777" w:rsidR="000E467D" w:rsidRPr="009118AB" w:rsidRDefault="000E467D" w:rsidP="003D405D">
      <w:pPr>
        <w:autoSpaceDE w:val="0"/>
        <w:autoSpaceDN w:val="0"/>
        <w:adjustRightInd w:val="0"/>
        <w:jc w:val="both"/>
      </w:pPr>
    </w:p>
    <w:p w14:paraId="64DDBEE4" w14:textId="6C44281F" w:rsidR="003D405D" w:rsidRPr="009118AB" w:rsidRDefault="00970435" w:rsidP="003D405D">
      <w:pPr>
        <w:autoSpaceDE w:val="0"/>
        <w:autoSpaceDN w:val="0"/>
        <w:adjustRightInd w:val="0"/>
        <w:jc w:val="both"/>
      </w:pPr>
      <w:r>
        <w:t>- </w:t>
      </w:r>
      <w:r w:rsidR="000E467D" w:rsidRPr="009118AB">
        <w:t>das Gesetz vom 7. November 2011 zur Festlegung steuerrechtlicher und sonstiger Bestimmungen (</w:t>
      </w:r>
      <w:r w:rsidR="000E467D" w:rsidRPr="009118AB">
        <w:rPr>
          <w:i/>
        </w:rPr>
        <w:t>Belgi</w:t>
      </w:r>
      <w:r w:rsidR="00317F09" w:rsidRPr="009118AB">
        <w:rPr>
          <w:i/>
        </w:rPr>
        <w:t>s</w:t>
      </w:r>
      <w:r w:rsidR="000E467D" w:rsidRPr="009118AB">
        <w:rPr>
          <w:i/>
        </w:rPr>
        <w:t>ches Staatsblatt</w:t>
      </w:r>
      <w:r w:rsidR="000E467D" w:rsidRPr="009118AB">
        <w:t xml:space="preserve"> vom 7. Februar 2012)</w:t>
      </w:r>
      <w:r w:rsidR="006B23C9" w:rsidRPr="009118AB">
        <w:rPr>
          <w:i/>
        </w:rPr>
        <w:t xml:space="preserve"> (I)</w:t>
      </w:r>
      <w:r w:rsidR="00D57282" w:rsidRPr="009118AB">
        <w:t>,</w:t>
      </w:r>
    </w:p>
    <w:p w14:paraId="29F1232C" w14:textId="77777777" w:rsidR="00D57282" w:rsidRPr="009118AB" w:rsidRDefault="00D57282" w:rsidP="003D405D">
      <w:pPr>
        <w:autoSpaceDE w:val="0"/>
        <w:autoSpaceDN w:val="0"/>
        <w:adjustRightInd w:val="0"/>
        <w:jc w:val="both"/>
      </w:pPr>
    </w:p>
    <w:p w14:paraId="22DF0981" w14:textId="79461469" w:rsidR="004C5E96" w:rsidRPr="009118AB" w:rsidRDefault="00970435" w:rsidP="00D57282">
      <w:pPr>
        <w:autoSpaceDE w:val="0"/>
        <w:autoSpaceDN w:val="0"/>
        <w:adjustRightInd w:val="0"/>
        <w:jc w:val="both"/>
      </w:pPr>
      <w:r>
        <w:t>- </w:t>
      </w:r>
      <w:r w:rsidR="00D57282" w:rsidRPr="009118AB">
        <w:t>das Gesetz vom 7. November 2011 zur Abänderung von Artikel</w:t>
      </w:r>
      <w:r w:rsidR="008720AB">
        <w:t> </w:t>
      </w:r>
      <w:r w:rsidR="00D57282" w:rsidRPr="009118AB">
        <w:t xml:space="preserve">171 </w:t>
      </w:r>
      <w:r w:rsidR="00D67EB8" w:rsidRPr="009118AB">
        <w:t>Nr. </w:t>
      </w:r>
      <w:r w:rsidR="00D57282" w:rsidRPr="009118AB">
        <w:t>4 des Einkommensteuergesetzbuches 1992 (</w:t>
      </w:r>
      <w:r w:rsidR="004C5E96" w:rsidRPr="009118AB">
        <w:rPr>
          <w:i/>
        </w:rPr>
        <w:t>Belg</w:t>
      </w:r>
      <w:r w:rsidR="00D57282" w:rsidRPr="009118AB">
        <w:rPr>
          <w:i/>
        </w:rPr>
        <w:t>i</w:t>
      </w:r>
      <w:r w:rsidR="004C5E96" w:rsidRPr="009118AB">
        <w:rPr>
          <w:i/>
        </w:rPr>
        <w:t>s</w:t>
      </w:r>
      <w:r w:rsidR="00D57282" w:rsidRPr="009118AB">
        <w:rPr>
          <w:i/>
        </w:rPr>
        <w:t>ches Staatsblatt</w:t>
      </w:r>
      <w:r w:rsidR="00D57282" w:rsidRPr="009118AB">
        <w:t xml:space="preserve"> vom 7. Februar 2012)</w:t>
      </w:r>
      <w:r w:rsidR="006B23C9" w:rsidRPr="009118AB">
        <w:rPr>
          <w:i/>
        </w:rPr>
        <w:t xml:space="preserve"> (II)</w:t>
      </w:r>
      <w:r w:rsidR="004C5E96" w:rsidRPr="009118AB">
        <w:t>,</w:t>
      </w:r>
    </w:p>
    <w:p w14:paraId="617C6E61" w14:textId="77777777" w:rsidR="004C5E96" w:rsidRPr="009118AB" w:rsidRDefault="004C5E96" w:rsidP="00D57282">
      <w:pPr>
        <w:autoSpaceDE w:val="0"/>
        <w:autoSpaceDN w:val="0"/>
        <w:adjustRightInd w:val="0"/>
        <w:jc w:val="both"/>
      </w:pPr>
    </w:p>
    <w:p w14:paraId="7DA37B3E" w14:textId="6227C6F0" w:rsidR="00D57282" w:rsidRPr="009118AB" w:rsidRDefault="00970435" w:rsidP="00D57282">
      <w:pPr>
        <w:autoSpaceDE w:val="0"/>
        <w:autoSpaceDN w:val="0"/>
        <w:adjustRightInd w:val="0"/>
        <w:jc w:val="both"/>
      </w:pPr>
      <w:r>
        <w:t>- </w:t>
      </w:r>
      <w:r w:rsidR="004C5E96" w:rsidRPr="009118AB">
        <w:t>die Artikel</w:t>
      </w:r>
      <w:r>
        <w:t> </w:t>
      </w:r>
      <w:r w:rsidR="004C5E96" w:rsidRPr="009118AB">
        <w:t xml:space="preserve">17 bis </w:t>
      </w:r>
      <w:r w:rsidR="003A2AE4" w:rsidRPr="009118AB">
        <w:t xml:space="preserve">22 und 24 bis </w:t>
      </w:r>
      <w:r w:rsidR="004C5E96" w:rsidRPr="009118AB">
        <w:t>52 des Gesetzes vom 28. Dezember 2011 zur Festlegung verschiedener Bestimmungen (</w:t>
      </w:r>
      <w:r w:rsidR="004C5E96" w:rsidRPr="009118AB">
        <w:rPr>
          <w:i/>
        </w:rPr>
        <w:t>Belgisches Staatsblatt</w:t>
      </w:r>
      <w:r w:rsidR="004C5E96" w:rsidRPr="009118AB">
        <w:t xml:space="preserve"> vom 21. Februar 2012)</w:t>
      </w:r>
      <w:r w:rsidR="00317F09" w:rsidRPr="009118AB">
        <w:t>,</w:t>
      </w:r>
    </w:p>
    <w:p w14:paraId="03BBEAF8" w14:textId="77777777" w:rsidR="00317F09" w:rsidRPr="009118AB" w:rsidRDefault="00317F09" w:rsidP="00D57282">
      <w:pPr>
        <w:autoSpaceDE w:val="0"/>
        <w:autoSpaceDN w:val="0"/>
        <w:adjustRightInd w:val="0"/>
        <w:jc w:val="both"/>
      </w:pPr>
    </w:p>
    <w:p w14:paraId="5B31DFDE" w14:textId="67F54AA3" w:rsidR="00317F09" w:rsidRPr="009118AB" w:rsidRDefault="00970435" w:rsidP="00D57282">
      <w:pPr>
        <w:autoSpaceDE w:val="0"/>
        <w:autoSpaceDN w:val="0"/>
        <w:adjustRightInd w:val="0"/>
        <w:jc w:val="both"/>
      </w:pPr>
      <w:r>
        <w:t>- </w:t>
      </w:r>
      <w:r w:rsidR="00317F09" w:rsidRPr="009118AB">
        <w:t>die Artikel</w:t>
      </w:r>
      <w:r>
        <w:t> </w:t>
      </w:r>
      <w:r w:rsidR="00317F09" w:rsidRPr="009118AB">
        <w:t xml:space="preserve">63 bis 65, 143 bis 153, 166 und 167 des Programmgesetzes </w:t>
      </w:r>
      <w:r w:rsidR="00FE654E" w:rsidRPr="009118AB">
        <w:t xml:space="preserve">(I) </w:t>
      </w:r>
      <w:r w:rsidR="00317F09" w:rsidRPr="009118AB">
        <w:t>vom 29. März 2012 (</w:t>
      </w:r>
      <w:r w:rsidR="00317F09" w:rsidRPr="009118AB">
        <w:rPr>
          <w:i/>
        </w:rPr>
        <w:t>Belgisches Staatsblatt</w:t>
      </w:r>
      <w:r w:rsidR="00ED7A07" w:rsidRPr="009118AB">
        <w:t xml:space="preserve"> vom 6. August 2012),</w:t>
      </w:r>
    </w:p>
    <w:p w14:paraId="23663532" w14:textId="77777777" w:rsidR="00ED7A07" w:rsidRPr="009118AB" w:rsidRDefault="00ED7A07" w:rsidP="00D57282">
      <w:pPr>
        <w:autoSpaceDE w:val="0"/>
        <w:autoSpaceDN w:val="0"/>
        <w:adjustRightInd w:val="0"/>
        <w:jc w:val="both"/>
      </w:pPr>
    </w:p>
    <w:p w14:paraId="23138812" w14:textId="76F7A778" w:rsidR="00ED7A07" w:rsidRPr="009118AB" w:rsidRDefault="00970435" w:rsidP="00ED7A07">
      <w:pPr>
        <w:jc w:val="both"/>
      </w:pPr>
      <w:r>
        <w:t>- </w:t>
      </w:r>
      <w:r w:rsidR="00ED7A07" w:rsidRPr="009118AB">
        <w:t>die Artikel 62 bis 65, 82 bis 84 und 86 bis 93 des Programmgesetzes vom 22. Juni 2012 (</w:t>
      </w:r>
      <w:r w:rsidR="00ED7A07" w:rsidRPr="009118AB">
        <w:rPr>
          <w:i/>
        </w:rPr>
        <w:t>Belgisches Staatsblatt</w:t>
      </w:r>
      <w:r w:rsidR="00C05053" w:rsidRPr="009118AB">
        <w:t xml:space="preserve"> vom 5. Oktober 2012),</w:t>
      </w:r>
    </w:p>
    <w:p w14:paraId="3F57EA43" w14:textId="77777777" w:rsidR="00C05053" w:rsidRPr="009118AB" w:rsidRDefault="00C05053" w:rsidP="00ED7A07">
      <w:pPr>
        <w:jc w:val="both"/>
      </w:pPr>
    </w:p>
    <w:p w14:paraId="2AC2F05F" w14:textId="64F8E29D" w:rsidR="00C05053" w:rsidRPr="009118AB" w:rsidRDefault="00970435" w:rsidP="00ED7A07">
      <w:pPr>
        <w:jc w:val="both"/>
      </w:pPr>
      <w:r>
        <w:t>- </w:t>
      </w:r>
      <w:r w:rsidR="00C05053" w:rsidRPr="009118AB">
        <w:t xml:space="preserve">die Artikel 3 bis </w:t>
      </w:r>
      <w:r w:rsidR="00FD0C94" w:rsidRPr="009118AB">
        <w:t>13</w:t>
      </w:r>
      <w:r w:rsidR="00C05053" w:rsidRPr="009118AB">
        <w:t xml:space="preserve"> des Gesetzes vom 20. September 2012 zur Einführung des "Una-via"-Grundsatzes bei der Verfolgung von Verstößen gegen die steuerrechtlichen Vorschriften und zur Erhöhung der strafrechtlichen Steuergeldbußen (</w:t>
      </w:r>
      <w:r w:rsidR="00C05053" w:rsidRPr="009118AB">
        <w:rPr>
          <w:i/>
        </w:rPr>
        <w:t>Belgisches Staatsblatt</w:t>
      </w:r>
      <w:r w:rsidR="00A71C0A" w:rsidRPr="009118AB">
        <w:t xml:space="preserve"> vom 2. Mai 2013),</w:t>
      </w:r>
    </w:p>
    <w:p w14:paraId="138C32CC" w14:textId="77777777" w:rsidR="00A71C0A" w:rsidRPr="009118AB" w:rsidRDefault="00A71C0A" w:rsidP="00ED7A07">
      <w:pPr>
        <w:jc w:val="both"/>
      </w:pPr>
    </w:p>
    <w:p w14:paraId="04857E20" w14:textId="031C4737" w:rsidR="00A71C0A" w:rsidRPr="009118AB" w:rsidRDefault="00970435" w:rsidP="00ED7A07">
      <w:pPr>
        <w:jc w:val="both"/>
      </w:pPr>
      <w:r>
        <w:t>- </w:t>
      </w:r>
      <w:r w:rsidR="00A71C0A" w:rsidRPr="009118AB">
        <w:t>das Gesetz vom 13. Dezember 2012 zur Festlegung steuerrechtlicher und finanzieller Bestimmungen (</w:t>
      </w:r>
      <w:r w:rsidR="00A71C0A" w:rsidRPr="009118AB">
        <w:rPr>
          <w:i/>
        </w:rPr>
        <w:t>Belgisches Staatsblatt</w:t>
      </w:r>
      <w:r w:rsidR="00A2096A" w:rsidRPr="009118AB">
        <w:t xml:space="preserve"> vom 28. August 2013),</w:t>
      </w:r>
    </w:p>
    <w:p w14:paraId="10444614" w14:textId="77777777" w:rsidR="007568EB" w:rsidRDefault="007568EB" w:rsidP="00ED7A07">
      <w:pPr>
        <w:jc w:val="both"/>
      </w:pPr>
    </w:p>
    <w:p w14:paraId="1947A790" w14:textId="62E397EE" w:rsidR="008720AB" w:rsidRPr="00DD5892" w:rsidRDefault="008720AB" w:rsidP="00ED7A07">
      <w:pPr>
        <w:jc w:val="both"/>
      </w:pPr>
      <w:r>
        <w:t xml:space="preserve">- den </w:t>
      </w:r>
      <w:r w:rsidRPr="008720AB">
        <w:t>Entscheid Nr. 153/2012 des Verfassungsgerichtshofes vom 13. </w:t>
      </w:r>
      <w:r w:rsidRPr="00DD5892">
        <w:t>Dezember 2012 (</w:t>
      </w:r>
      <w:r w:rsidRPr="00DD5892">
        <w:rPr>
          <w:i/>
          <w:iCs/>
        </w:rPr>
        <w:t>Belgisches Staatsblatt</w:t>
      </w:r>
      <w:r w:rsidRPr="00DD5892">
        <w:t xml:space="preserve"> vom 25. Januar 2013),</w:t>
      </w:r>
    </w:p>
    <w:p w14:paraId="05E1231A" w14:textId="77777777" w:rsidR="008720AB" w:rsidRPr="008720AB" w:rsidRDefault="008720AB" w:rsidP="00ED7A07">
      <w:pPr>
        <w:jc w:val="both"/>
      </w:pPr>
    </w:p>
    <w:p w14:paraId="26412670" w14:textId="7122A44D" w:rsidR="007568EB" w:rsidRPr="009118AB" w:rsidRDefault="00970435" w:rsidP="007568EB">
      <w:pPr>
        <w:jc w:val="both"/>
      </w:pPr>
      <w:r>
        <w:t>- </w:t>
      </w:r>
      <w:r w:rsidR="007568EB" w:rsidRPr="009118AB">
        <w:t>die Artikel</w:t>
      </w:r>
      <w:r>
        <w:t> </w:t>
      </w:r>
      <w:r w:rsidR="007568EB" w:rsidRPr="009118AB">
        <w:t>77 bis 103 des Programmgesetzes vom 27. Dezember 2012 (</w:t>
      </w:r>
      <w:r w:rsidR="007568EB" w:rsidRPr="009118AB">
        <w:rPr>
          <w:i/>
        </w:rPr>
        <w:t>Belgisches Staatsblatt</w:t>
      </w:r>
      <w:r w:rsidR="003F289E" w:rsidRPr="009118AB">
        <w:t xml:space="preserve"> vom 13. September 2013),</w:t>
      </w:r>
    </w:p>
    <w:p w14:paraId="2C6C60DE" w14:textId="77777777" w:rsidR="00A2096A" w:rsidRPr="009118AB" w:rsidRDefault="00A2096A" w:rsidP="00ED7A07">
      <w:pPr>
        <w:jc w:val="both"/>
      </w:pPr>
    </w:p>
    <w:p w14:paraId="54CCF7BE" w14:textId="5A253D14" w:rsidR="00D4566A" w:rsidRPr="009118AB" w:rsidRDefault="00970435" w:rsidP="00ED7A07">
      <w:pPr>
        <w:jc w:val="both"/>
      </w:pPr>
      <w:r>
        <w:t>- </w:t>
      </w:r>
      <w:r w:rsidR="00A2096A" w:rsidRPr="009118AB">
        <w:t>Artikel</w:t>
      </w:r>
      <w:r>
        <w:t> </w:t>
      </w:r>
      <w:r w:rsidR="00A2096A" w:rsidRPr="009118AB">
        <w:t>6 des Gesetzes vom 14. Januar 2013 zur Festlegung steuerrechtlicher und sonstiger Bestimmungen im Bereich der Justiz (</w:t>
      </w:r>
      <w:r w:rsidR="00A2096A" w:rsidRPr="009118AB">
        <w:rPr>
          <w:i/>
        </w:rPr>
        <w:t>Belgisches Staatsblatt</w:t>
      </w:r>
      <w:r w:rsidR="00A2096A" w:rsidRPr="009118AB">
        <w:t xml:space="preserve"> vom 17. September 2013)</w:t>
      </w:r>
      <w:r w:rsidR="00D4566A" w:rsidRPr="009118AB">
        <w:t>,</w:t>
      </w:r>
    </w:p>
    <w:p w14:paraId="56491EB8" w14:textId="77777777" w:rsidR="009C3F27" w:rsidRPr="009118AB" w:rsidRDefault="009C3F27" w:rsidP="00ED7A07">
      <w:pPr>
        <w:jc w:val="both"/>
      </w:pPr>
    </w:p>
    <w:p w14:paraId="4E2C6BDC" w14:textId="1223796C" w:rsidR="009C3F27" w:rsidRPr="009118AB" w:rsidRDefault="00970435" w:rsidP="009C3F27">
      <w:pPr>
        <w:autoSpaceDE w:val="0"/>
        <w:autoSpaceDN w:val="0"/>
        <w:adjustRightInd w:val="0"/>
        <w:jc w:val="both"/>
      </w:pPr>
      <w:r>
        <w:t>- </w:t>
      </w:r>
      <w:r w:rsidR="009C3F27" w:rsidRPr="009118AB">
        <w:t>die Artikel</w:t>
      </w:r>
      <w:r>
        <w:t> </w:t>
      </w:r>
      <w:r w:rsidR="009C3F27" w:rsidRPr="009118AB">
        <w:t>211 und 212</w:t>
      </w:r>
      <w:r w:rsidR="00C83EA3" w:rsidRPr="009118AB">
        <w:t xml:space="preserve"> </w:t>
      </w:r>
      <w:r w:rsidR="009C3F27" w:rsidRPr="009118AB">
        <w:t>des Gesetzes vom 17. März 2013 zur Reform der Regelungen in Sachen Handlungsunfähigkeit und zur Einführung eines neuen, die Menschenwürde wahrenden Schutzstatus (</w:t>
      </w:r>
      <w:r w:rsidR="009C3F27" w:rsidRPr="009118AB">
        <w:rPr>
          <w:i/>
        </w:rPr>
        <w:t>Belgisches Staatsblatt</w:t>
      </w:r>
      <w:r w:rsidR="009C3F27" w:rsidRPr="009118AB">
        <w:t xml:space="preserve"> vom 28. November 2013),</w:t>
      </w:r>
    </w:p>
    <w:p w14:paraId="1932A9CC" w14:textId="77777777" w:rsidR="00D4566A" w:rsidRPr="009118AB" w:rsidRDefault="00D4566A" w:rsidP="00ED7A07">
      <w:pPr>
        <w:jc w:val="both"/>
      </w:pPr>
    </w:p>
    <w:p w14:paraId="47A8A68A" w14:textId="15E4B00F" w:rsidR="00A2096A" w:rsidRPr="009118AB" w:rsidRDefault="00970435" w:rsidP="00ED7A07">
      <w:pPr>
        <w:jc w:val="both"/>
      </w:pPr>
      <w:r>
        <w:t>- </w:t>
      </w:r>
      <w:r w:rsidR="00D4566A" w:rsidRPr="009118AB">
        <w:t>das Gesetz vom 14. April 2013 zur Abänderung von Artikel</w:t>
      </w:r>
      <w:r>
        <w:t> </w:t>
      </w:r>
      <w:r w:rsidR="00D4566A" w:rsidRPr="009118AB">
        <w:t xml:space="preserve">38/1 </w:t>
      </w:r>
      <w:r w:rsidR="00D67EB8" w:rsidRPr="009118AB">
        <w:t>§ </w:t>
      </w:r>
      <w:r w:rsidR="00D4566A" w:rsidRPr="009118AB">
        <w:t xml:space="preserve">2 </w:t>
      </w:r>
      <w:r w:rsidR="00D67EB8" w:rsidRPr="009118AB">
        <w:t>Nr. </w:t>
      </w:r>
      <w:r w:rsidR="00D4566A" w:rsidRPr="009118AB">
        <w:t>4 des Einkommensteuergesetzbuches</w:t>
      </w:r>
      <w:r>
        <w:t> </w:t>
      </w:r>
      <w:r w:rsidR="00D4566A" w:rsidRPr="009118AB">
        <w:t>1992 und zur Abänderung von Artikel</w:t>
      </w:r>
      <w:r>
        <w:t> </w:t>
      </w:r>
      <w:r w:rsidR="00D4566A" w:rsidRPr="009118AB">
        <w:t>19</w:t>
      </w:r>
      <w:r w:rsidR="00D4566A" w:rsidRPr="009118AB">
        <w:rPr>
          <w:i/>
        </w:rPr>
        <w:t>bis</w:t>
      </w:r>
      <w:r w:rsidR="00D4566A" w:rsidRPr="009118AB">
        <w:t xml:space="preserve"> </w:t>
      </w:r>
      <w:r w:rsidR="00D67EB8" w:rsidRPr="009118AB">
        <w:t>§ </w:t>
      </w:r>
      <w:r w:rsidR="00D4566A" w:rsidRPr="009118AB">
        <w:t xml:space="preserve">2 </w:t>
      </w:r>
      <w:r w:rsidR="00D67EB8" w:rsidRPr="009118AB">
        <w:t>Nr. </w:t>
      </w:r>
      <w:r w:rsidR="00D4566A" w:rsidRPr="009118AB">
        <w:t>4 des Königlichen Erlasses vom 28.</w:t>
      </w:r>
      <w:r>
        <w:t> </w:t>
      </w:r>
      <w:r w:rsidR="00D4566A" w:rsidRPr="009118AB">
        <w:t>November</w:t>
      </w:r>
      <w:r>
        <w:t> </w:t>
      </w:r>
      <w:r w:rsidR="00D4566A" w:rsidRPr="009118AB">
        <w:t>1969 zur Ausführung des Gesetzes vom 27. Juni 1969 zur Revision des Erlassgesetzes vom 28.</w:t>
      </w:r>
      <w:r>
        <w:t> </w:t>
      </w:r>
      <w:r w:rsidR="00D4566A" w:rsidRPr="009118AB">
        <w:t>Dezember</w:t>
      </w:r>
      <w:r>
        <w:t> </w:t>
      </w:r>
      <w:r w:rsidR="00D4566A" w:rsidRPr="009118AB">
        <w:t>1944 über die soziale Sicherheit der Arbeitnehmer (</w:t>
      </w:r>
      <w:r w:rsidR="00D4566A" w:rsidRPr="009118AB">
        <w:rPr>
          <w:i/>
        </w:rPr>
        <w:t>Belgisches Staatsblatt</w:t>
      </w:r>
      <w:r w:rsidR="00D4566A" w:rsidRPr="009118AB">
        <w:t xml:space="preserve"> vom 2. Dezember 2013),</w:t>
      </w:r>
    </w:p>
    <w:p w14:paraId="2C09D526" w14:textId="77777777" w:rsidR="00D4566A" w:rsidRPr="009118AB" w:rsidRDefault="00D4566A" w:rsidP="00ED7A07">
      <w:pPr>
        <w:jc w:val="both"/>
      </w:pPr>
    </w:p>
    <w:p w14:paraId="1042E48E" w14:textId="7EDD2632" w:rsidR="00D4566A" w:rsidRDefault="00970435" w:rsidP="00ED7A07">
      <w:pPr>
        <w:jc w:val="both"/>
      </w:pPr>
      <w:r>
        <w:t>- </w:t>
      </w:r>
      <w:r w:rsidR="00202435" w:rsidRPr="009118AB">
        <w:t>das Gesetz vom 29. April 2013 zur Abänderung des Einkommensteuergesetzbuches 1992 im Hinblick auf die Ausdehnung der Steuerschlichtung auf Anträge auf Nachlass von Amts wegen (</w:t>
      </w:r>
      <w:r w:rsidR="00202435" w:rsidRPr="009118AB">
        <w:rPr>
          <w:i/>
        </w:rPr>
        <w:t>Belgisches Staatsblatt</w:t>
      </w:r>
      <w:r w:rsidR="001915FC" w:rsidRPr="009118AB">
        <w:t xml:space="preserve"> vom 2. Dezember 2013),</w:t>
      </w:r>
    </w:p>
    <w:p w14:paraId="768C605C" w14:textId="77777777" w:rsidR="008720AB" w:rsidRDefault="008720AB" w:rsidP="00ED7A07">
      <w:pPr>
        <w:jc w:val="both"/>
      </w:pPr>
    </w:p>
    <w:p w14:paraId="420FD06D" w14:textId="16A84234" w:rsidR="008720AB" w:rsidRDefault="008720AB" w:rsidP="00ED7A07">
      <w:pPr>
        <w:jc w:val="both"/>
      </w:pPr>
      <w:r>
        <w:t xml:space="preserve">- den </w:t>
      </w:r>
      <w:r w:rsidRPr="008720AB">
        <w:t>Entscheid Nr. 63/2013 des Verfassungsgerichtshofes vom 8. Mai 2013 (</w:t>
      </w:r>
      <w:r>
        <w:rPr>
          <w:i/>
          <w:iCs/>
        </w:rPr>
        <w:t xml:space="preserve">Belgisches Staatsblatt </w:t>
      </w:r>
      <w:r w:rsidRPr="008720AB">
        <w:t>vom 8. Juli 2013)</w:t>
      </w:r>
      <w:r>
        <w:t>,</w:t>
      </w:r>
    </w:p>
    <w:p w14:paraId="3CFF80DB" w14:textId="77777777" w:rsidR="008720AB" w:rsidRDefault="008720AB" w:rsidP="00ED7A07">
      <w:pPr>
        <w:jc w:val="both"/>
      </w:pPr>
    </w:p>
    <w:p w14:paraId="475083D0" w14:textId="0653419B" w:rsidR="008720AB" w:rsidRPr="008720AB" w:rsidRDefault="008720AB" w:rsidP="00ED7A07">
      <w:pPr>
        <w:jc w:val="both"/>
      </w:pPr>
      <w:r>
        <w:t xml:space="preserve">- den </w:t>
      </w:r>
      <w:r w:rsidRPr="008720AB">
        <w:t>Entscheid Nr. 66/2013 des Verfassungsgerichts</w:t>
      </w:r>
      <w:r w:rsidRPr="008720AB">
        <w:softHyphen/>
        <w:t>hofes vom 16. Mai 2013 (</w:t>
      </w:r>
      <w:r>
        <w:rPr>
          <w:i/>
          <w:iCs/>
        </w:rPr>
        <w:t xml:space="preserve">Belgisches Staatsblatt </w:t>
      </w:r>
      <w:r w:rsidRPr="008720AB">
        <w:t>vom 31. Juli 2013)</w:t>
      </w:r>
      <w:r>
        <w:t>,</w:t>
      </w:r>
    </w:p>
    <w:p w14:paraId="7146D594" w14:textId="77777777" w:rsidR="001915FC" w:rsidRPr="009118AB" w:rsidRDefault="001915FC" w:rsidP="001915FC">
      <w:pPr>
        <w:autoSpaceDE w:val="0"/>
        <w:autoSpaceDN w:val="0"/>
        <w:adjustRightInd w:val="0"/>
        <w:jc w:val="both"/>
      </w:pPr>
    </w:p>
    <w:p w14:paraId="457C7F3C" w14:textId="39DE505A" w:rsidR="001915FC" w:rsidRPr="009118AB" w:rsidRDefault="00970435" w:rsidP="001915FC">
      <w:pPr>
        <w:autoSpaceDE w:val="0"/>
        <w:autoSpaceDN w:val="0"/>
        <w:adjustRightInd w:val="0"/>
        <w:jc w:val="both"/>
      </w:pPr>
      <w:r>
        <w:t>- </w:t>
      </w:r>
      <w:r w:rsidR="001915FC" w:rsidRPr="009118AB">
        <w:t>das Gesetz vom 27. Mai</w:t>
      </w:r>
      <w:r>
        <w:t> </w:t>
      </w:r>
      <w:r w:rsidR="001915FC" w:rsidRPr="009118AB">
        <w:t>2013 zur Abänderung verschiedener Rechtsvorschriften in Bezug auf die Kontinuität der Unternehmen (</w:t>
      </w:r>
      <w:r w:rsidR="001915FC" w:rsidRPr="009118AB">
        <w:rPr>
          <w:i/>
        </w:rPr>
        <w:t>Belgisches Staatsblatt</w:t>
      </w:r>
      <w:r w:rsidR="00DD736C" w:rsidRPr="009118AB">
        <w:t xml:space="preserve"> vom 20. März 2014),</w:t>
      </w:r>
    </w:p>
    <w:p w14:paraId="5429ECFF" w14:textId="77777777" w:rsidR="00DD736C" w:rsidRPr="009118AB" w:rsidRDefault="00DD736C" w:rsidP="001915FC">
      <w:pPr>
        <w:autoSpaceDE w:val="0"/>
        <w:autoSpaceDN w:val="0"/>
        <w:adjustRightInd w:val="0"/>
        <w:jc w:val="both"/>
      </w:pPr>
    </w:p>
    <w:p w14:paraId="6775E86C" w14:textId="43358A8B" w:rsidR="00C91D51" w:rsidRPr="009118AB" w:rsidRDefault="00970435" w:rsidP="001915FC">
      <w:pPr>
        <w:autoSpaceDE w:val="0"/>
        <w:autoSpaceDN w:val="0"/>
        <w:adjustRightInd w:val="0"/>
        <w:jc w:val="both"/>
      </w:pPr>
      <w:r>
        <w:t>- </w:t>
      </w:r>
      <w:r w:rsidR="00B31D68" w:rsidRPr="009118AB">
        <w:t>die Artikel 2 bis 36</w:t>
      </w:r>
      <w:r w:rsidR="007042F6" w:rsidRPr="009118AB">
        <w:t xml:space="preserve"> und 98</w:t>
      </w:r>
      <w:r w:rsidR="00C91D51" w:rsidRPr="009118AB">
        <w:t xml:space="preserve"> des Gesetzes vom 17. Juni 2013 zur Festlegung steuerrechtlicher und finanzieller Bestimmungen und von Bestimmungen über die nachhaltige Entwicklung (</w:t>
      </w:r>
      <w:r w:rsidR="00C91D51" w:rsidRPr="009118AB">
        <w:rPr>
          <w:i/>
        </w:rPr>
        <w:t>Belgisches Staatsblatt</w:t>
      </w:r>
      <w:r w:rsidR="00C91D51" w:rsidRPr="009118AB">
        <w:t xml:space="preserve"> vom 12. August 201</w:t>
      </w:r>
      <w:r w:rsidR="00A36553" w:rsidRPr="009118AB">
        <w:t>4</w:t>
      </w:r>
      <w:r w:rsidR="00C91D51" w:rsidRPr="009118AB">
        <w:t>),</w:t>
      </w:r>
    </w:p>
    <w:p w14:paraId="316265C1" w14:textId="77777777" w:rsidR="00C91D51" w:rsidRPr="009118AB" w:rsidRDefault="00C91D51" w:rsidP="001915FC">
      <w:pPr>
        <w:autoSpaceDE w:val="0"/>
        <w:autoSpaceDN w:val="0"/>
        <w:adjustRightInd w:val="0"/>
        <w:jc w:val="both"/>
      </w:pPr>
    </w:p>
    <w:p w14:paraId="26E673E2" w14:textId="492FDAF3" w:rsidR="00DD736C" w:rsidRPr="009118AB" w:rsidRDefault="00970435" w:rsidP="001915FC">
      <w:pPr>
        <w:autoSpaceDE w:val="0"/>
        <w:autoSpaceDN w:val="0"/>
        <w:adjustRightInd w:val="0"/>
        <w:jc w:val="both"/>
      </w:pPr>
      <w:r>
        <w:t>- </w:t>
      </w:r>
      <w:r w:rsidR="00DD736C" w:rsidRPr="009118AB">
        <w:t>die Artikel</w:t>
      </w:r>
      <w:r>
        <w:t> </w:t>
      </w:r>
      <w:r w:rsidR="00DD736C" w:rsidRPr="009118AB">
        <w:t>2 bis 7 des Programmgesetzes vom 28. Juni 2013 (</w:t>
      </w:r>
      <w:r w:rsidR="00DD736C" w:rsidRPr="009118AB">
        <w:rPr>
          <w:i/>
        </w:rPr>
        <w:t>Belgisches Staatsblatt</w:t>
      </w:r>
      <w:r w:rsidR="008353ED" w:rsidRPr="009118AB">
        <w:t xml:space="preserve"> vom 3. April 2014),</w:t>
      </w:r>
    </w:p>
    <w:p w14:paraId="71F8659D" w14:textId="77777777" w:rsidR="00C91D51" w:rsidRPr="009118AB" w:rsidRDefault="00C91D51" w:rsidP="008353ED">
      <w:pPr>
        <w:autoSpaceDE w:val="0"/>
        <w:autoSpaceDN w:val="0"/>
        <w:adjustRightInd w:val="0"/>
        <w:jc w:val="both"/>
      </w:pPr>
    </w:p>
    <w:p w14:paraId="615F20EF" w14:textId="3BBE7824" w:rsidR="009C1314" w:rsidRPr="009118AB" w:rsidRDefault="00970435" w:rsidP="008353ED">
      <w:pPr>
        <w:autoSpaceDE w:val="0"/>
        <w:autoSpaceDN w:val="0"/>
        <w:adjustRightInd w:val="0"/>
        <w:jc w:val="both"/>
      </w:pPr>
      <w:r>
        <w:t>- </w:t>
      </w:r>
      <w:r w:rsidR="009C1314" w:rsidRPr="009118AB">
        <w:t xml:space="preserve">das Gesetz vom 30. Juli 2013 zur Festlegung verschiedener Bestimmungen </w:t>
      </w:r>
      <w:r w:rsidR="009C1314" w:rsidRPr="009118AB">
        <w:rPr>
          <w:iCs/>
        </w:rPr>
        <w:t>(</w:t>
      </w:r>
      <w:r w:rsidR="009C1314" w:rsidRPr="009118AB">
        <w:rPr>
          <w:i/>
          <w:iCs/>
        </w:rPr>
        <w:t xml:space="preserve">Belgisches Staatsblatt </w:t>
      </w:r>
      <w:r w:rsidR="009C1314" w:rsidRPr="009118AB">
        <w:rPr>
          <w:iCs/>
        </w:rPr>
        <w:t>vom 11. August 2014)</w:t>
      </w:r>
      <w:r w:rsidR="009C1314" w:rsidRPr="009118AB">
        <w:t>,</w:t>
      </w:r>
    </w:p>
    <w:p w14:paraId="197F560E" w14:textId="77777777" w:rsidR="009C1314" w:rsidRPr="009118AB" w:rsidRDefault="009C1314" w:rsidP="008353ED">
      <w:pPr>
        <w:autoSpaceDE w:val="0"/>
        <w:autoSpaceDN w:val="0"/>
        <w:adjustRightInd w:val="0"/>
        <w:jc w:val="both"/>
      </w:pPr>
    </w:p>
    <w:p w14:paraId="451519C6" w14:textId="34CCCB2F" w:rsidR="00377828" w:rsidRPr="009118AB" w:rsidRDefault="00970435" w:rsidP="008353ED">
      <w:pPr>
        <w:autoSpaceDE w:val="0"/>
        <w:autoSpaceDN w:val="0"/>
        <w:adjustRightInd w:val="0"/>
        <w:jc w:val="both"/>
      </w:pPr>
      <w:r>
        <w:t>- </w:t>
      </w:r>
      <w:r w:rsidR="00377828" w:rsidRPr="009118AB">
        <w:t>Artikel 3 des Gesetzes vom 17. August 2013 zur Umsetzung der Richtlinie 2011/16/EU des Rates vom 15. Februar 2011 über die Zusammenarbeit der Verwaltungsbehörden im Bereich der Besteuerung und zur Aufhebung der Richtlinie 77/799/EWG (</w:t>
      </w:r>
      <w:r w:rsidR="00377828" w:rsidRPr="009118AB">
        <w:rPr>
          <w:i/>
        </w:rPr>
        <w:t>Belgisches Staatsblatt</w:t>
      </w:r>
      <w:r w:rsidR="00377828" w:rsidRPr="009118AB">
        <w:t xml:space="preserve"> vom 12. August 2014),</w:t>
      </w:r>
    </w:p>
    <w:p w14:paraId="558A8DBB" w14:textId="77777777" w:rsidR="00377828" w:rsidRPr="009118AB" w:rsidRDefault="00377828" w:rsidP="008353ED">
      <w:pPr>
        <w:autoSpaceDE w:val="0"/>
        <w:autoSpaceDN w:val="0"/>
        <w:adjustRightInd w:val="0"/>
        <w:jc w:val="both"/>
      </w:pPr>
    </w:p>
    <w:p w14:paraId="3F6C1FBE" w14:textId="7D9EFFB3" w:rsidR="003D5D5B" w:rsidRPr="009118AB" w:rsidRDefault="00970435" w:rsidP="008353ED">
      <w:pPr>
        <w:autoSpaceDE w:val="0"/>
        <w:autoSpaceDN w:val="0"/>
        <w:adjustRightInd w:val="0"/>
        <w:jc w:val="both"/>
      </w:pPr>
      <w:r>
        <w:t>- </w:t>
      </w:r>
      <w:r w:rsidR="003D5D5B" w:rsidRPr="009118AB">
        <w:t>Artikel 6 des Gesetzes vom 11. November 2013 zur Abänderung verschiedener Bestimmungen zur Einführung eines neuen Sozialversicherungs- und Steuersystems für Gelegenheitsarbeitnehmer im Horeca-Sektor (</w:t>
      </w:r>
      <w:r w:rsidR="003D5D5B" w:rsidRPr="009118AB">
        <w:rPr>
          <w:i/>
        </w:rPr>
        <w:t>Belgisches Staatsblatt</w:t>
      </w:r>
      <w:r w:rsidR="003D5D5B" w:rsidRPr="009118AB">
        <w:t xml:space="preserve"> vom 12. August 2014),</w:t>
      </w:r>
    </w:p>
    <w:p w14:paraId="320A8993" w14:textId="77777777" w:rsidR="003D5D5B" w:rsidRPr="009118AB" w:rsidRDefault="003D5D5B" w:rsidP="008353ED">
      <w:pPr>
        <w:autoSpaceDE w:val="0"/>
        <w:autoSpaceDN w:val="0"/>
        <w:adjustRightInd w:val="0"/>
        <w:jc w:val="both"/>
      </w:pPr>
    </w:p>
    <w:p w14:paraId="594CA62A" w14:textId="248023A2" w:rsidR="008353ED" w:rsidRPr="009118AB" w:rsidRDefault="00970435" w:rsidP="008353ED">
      <w:pPr>
        <w:autoSpaceDE w:val="0"/>
        <w:autoSpaceDN w:val="0"/>
        <w:adjustRightInd w:val="0"/>
        <w:jc w:val="both"/>
      </w:pPr>
      <w:r>
        <w:t>- </w:t>
      </w:r>
      <w:r w:rsidR="008353ED" w:rsidRPr="009118AB">
        <w:t>die Artikel 69 bis 72 des Königlichen Erlasses vom 11. Dezember 2013 über das Personal der belgischen Eisenbahnen (</w:t>
      </w:r>
      <w:r w:rsidR="008353ED" w:rsidRPr="009118AB">
        <w:rPr>
          <w:i/>
        </w:rPr>
        <w:t>Belgisches Staatsblatt</w:t>
      </w:r>
      <w:r w:rsidR="00656E98" w:rsidRPr="009118AB">
        <w:t xml:space="preserve"> vom 17. Juli 2014),</w:t>
      </w:r>
    </w:p>
    <w:p w14:paraId="6C8F8A52" w14:textId="77777777" w:rsidR="00656E98" w:rsidRPr="009118AB" w:rsidRDefault="00656E98" w:rsidP="008353ED">
      <w:pPr>
        <w:autoSpaceDE w:val="0"/>
        <w:autoSpaceDN w:val="0"/>
        <w:adjustRightInd w:val="0"/>
        <w:jc w:val="both"/>
      </w:pPr>
    </w:p>
    <w:p w14:paraId="59BA6FA9" w14:textId="58B42009" w:rsidR="00656E98" w:rsidRPr="009118AB" w:rsidRDefault="00970435" w:rsidP="00656E98">
      <w:pPr>
        <w:autoSpaceDE w:val="0"/>
        <w:autoSpaceDN w:val="0"/>
        <w:adjustRightInd w:val="0"/>
        <w:jc w:val="both"/>
        <w:rPr>
          <w:spacing w:val="-2"/>
        </w:rPr>
      </w:pPr>
      <w:r>
        <w:rPr>
          <w:spacing w:val="-2"/>
        </w:rPr>
        <w:t>- </w:t>
      </w:r>
      <w:r w:rsidR="00656E98" w:rsidRPr="009118AB">
        <w:rPr>
          <w:spacing w:val="-2"/>
        </w:rPr>
        <w:t xml:space="preserve">das Gesetz vom 21. Dezember 2013 zur Abänderung des Einkommensteuergesetzbuches 1992 in Bezug auf die Abzugsfähigkeit von Regionalsteuern, -abgaben und </w:t>
      </w:r>
      <w:r w:rsidR="0051369F" w:rsidRPr="009118AB">
        <w:rPr>
          <w:spacing w:val="-2"/>
        </w:rPr>
        <w:t>-</w:t>
      </w:r>
      <w:r w:rsidR="00656E98" w:rsidRPr="009118AB">
        <w:rPr>
          <w:spacing w:val="-2"/>
        </w:rPr>
        <w:t>gebühren (</w:t>
      </w:r>
      <w:r w:rsidR="00656E98" w:rsidRPr="009118AB">
        <w:rPr>
          <w:i/>
          <w:spacing w:val="-2"/>
        </w:rPr>
        <w:t>Belgisches Staatsblatt</w:t>
      </w:r>
      <w:r w:rsidR="00E154D3" w:rsidRPr="009118AB">
        <w:rPr>
          <w:spacing w:val="-2"/>
        </w:rPr>
        <w:t xml:space="preserve"> vom 17. Juli 2014)</w:t>
      </w:r>
      <w:r w:rsidR="006B23C9" w:rsidRPr="009118AB">
        <w:rPr>
          <w:i/>
          <w:spacing w:val="-2"/>
        </w:rPr>
        <w:t xml:space="preserve"> (I)</w:t>
      </w:r>
      <w:r w:rsidR="00E154D3" w:rsidRPr="009118AB">
        <w:rPr>
          <w:spacing w:val="-2"/>
        </w:rPr>
        <w:t>,</w:t>
      </w:r>
    </w:p>
    <w:p w14:paraId="605A9A9B" w14:textId="77777777" w:rsidR="00E154D3" w:rsidRPr="009118AB" w:rsidRDefault="00E154D3" w:rsidP="00656E98">
      <w:pPr>
        <w:autoSpaceDE w:val="0"/>
        <w:autoSpaceDN w:val="0"/>
        <w:adjustRightInd w:val="0"/>
        <w:jc w:val="both"/>
        <w:rPr>
          <w:spacing w:val="-2"/>
        </w:rPr>
      </w:pPr>
    </w:p>
    <w:p w14:paraId="0EEA21F3" w14:textId="5A8144B1" w:rsidR="00260973" w:rsidRPr="009118AB" w:rsidRDefault="00970435" w:rsidP="00656E98">
      <w:pPr>
        <w:autoSpaceDE w:val="0"/>
        <w:autoSpaceDN w:val="0"/>
        <w:adjustRightInd w:val="0"/>
        <w:jc w:val="both"/>
        <w:rPr>
          <w:spacing w:val="-2"/>
        </w:rPr>
      </w:pPr>
      <w:r>
        <w:rPr>
          <w:spacing w:val="-2"/>
        </w:rPr>
        <w:lastRenderedPageBreak/>
        <w:t>- </w:t>
      </w:r>
      <w:r w:rsidR="00260973" w:rsidRPr="009118AB">
        <w:rPr>
          <w:spacing w:val="-2"/>
        </w:rPr>
        <w:t>die Artikel</w:t>
      </w:r>
      <w:r>
        <w:rPr>
          <w:spacing w:val="-2"/>
        </w:rPr>
        <w:t> </w:t>
      </w:r>
      <w:r w:rsidR="00260973" w:rsidRPr="009118AB">
        <w:rPr>
          <w:spacing w:val="-2"/>
        </w:rPr>
        <w:t>2 bis 13, 15, 16</w:t>
      </w:r>
      <w:r w:rsidR="00D87403" w:rsidRPr="009118AB">
        <w:rPr>
          <w:spacing w:val="-2"/>
        </w:rPr>
        <w:t xml:space="preserve"> und </w:t>
      </w:r>
      <w:r w:rsidR="00765737" w:rsidRPr="009118AB">
        <w:rPr>
          <w:spacing w:val="-2"/>
        </w:rPr>
        <w:t>22 bis 29</w:t>
      </w:r>
      <w:r w:rsidR="00D87403" w:rsidRPr="009118AB">
        <w:rPr>
          <w:spacing w:val="-2"/>
        </w:rPr>
        <w:t xml:space="preserve"> des Gesetzes vom 21. Dezember 2013 zur Festlegung verschiedener steuerrechtlicher und finanzieller Bestimmungen (</w:t>
      </w:r>
      <w:r w:rsidR="00D87403" w:rsidRPr="009118AB">
        <w:rPr>
          <w:i/>
          <w:spacing w:val="-2"/>
        </w:rPr>
        <w:t>Belgisches Staatsblatt</w:t>
      </w:r>
      <w:r w:rsidR="00D87403" w:rsidRPr="009118AB">
        <w:rPr>
          <w:spacing w:val="-2"/>
        </w:rPr>
        <w:t xml:space="preserve"> vom 19. August 2014)</w:t>
      </w:r>
      <w:r w:rsidR="006B23C9" w:rsidRPr="009118AB">
        <w:rPr>
          <w:i/>
          <w:spacing w:val="-2"/>
        </w:rPr>
        <w:t xml:space="preserve"> (II)</w:t>
      </w:r>
      <w:r w:rsidR="00D87403" w:rsidRPr="009118AB">
        <w:rPr>
          <w:spacing w:val="-2"/>
        </w:rPr>
        <w:t>,</w:t>
      </w:r>
    </w:p>
    <w:p w14:paraId="4725217F" w14:textId="77777777" w:rsidR="00D87403" w:rsidRPr="009118AB" w:rsidRDefault="00D87403" w:rsidP="00656E98">
      <w:pPr>
        <w:autoSpaceDE w:val="0"/>
        <w:autoSpaceDN w:val="0"/>
        <w:adjustRightInd w:val="0"/>
        <w:jc w:val="both"/>
        <w:rPr>
          <w:spacing w:val="-2"/>
        </w:rPr>
      </w:pPr>
    </w:p>
    <w:p w14:paraId="7682E425" w14:textId="37A63A51" w:rsidR="00E154D3" w:rsidRPr="009118AB" w:rsidRDefault="00970435" w:rsidP="00656E98">
      <w:pPr>
        <w:autoSpaceDE w:val="0"/>
        <w:autoSpaceDN w:val="0"/>
        <w:adjustRightInd w:val="0"/>
        <w:jc w:val="both"/>
        <w:rPr>
          <w:iCs/>
        </w:rPr>
      </w:pPr>
      <w:r>
        <w:rPr>
          <w:spacing w:val="-2"/>
        </w:rPr>
        <w:t>- </w:t>
      </w:r>
      <w:r w:rsidR="00E154D3" w:rsidRPr="009118AB">
        <w:rPr>
          <w:spacing w:val="-2"/>
        </w:rPr>
        <w:t xml:space="preserve">die Artikel 100 bis 103 </w:t>
      </w:r>
      <w:r w:rsidR="00E154D3" w:rsidRPr="009118AB">
        <w:rPr>
          <w:iCs/>
        </w:rPr>
        <w:t>des Gesetzes vom 26. Dezember 2013 über die Einführung eines Einheitsstatuts für Arbeiter und Angestellte, was Kündigungsfristen und Karenztag betrifft, und von Begleitmaßnahmen (</w:t>
      </w:r>
      <w:r w:rsidR="00E154D3" w:rsidRPr="009118AB">
        <w:rPr>
          <w:i/>
          <w:iCs/>
        </w:rPr>
        <w:t>Belgisches Staatsblatt</w:t>
      </w:r>
      <w:r w:rsidR="00E154D3" w:rsidRPr="009118AB">
        <w:rPr>
          <w:iCs/>
        </w:rPr>
        <w:t xml:space="preserve"> vom 19. August 2014)</w:t>
      </w:r>
      <w:r w:rsidR="00F20A88" w:rsidRPr="009118AB">
        <w:rPr>
          <w:iCs/>
        </w:rPr>
        <w:t> </w:t>
      </w:r>
      <w:r w:rsidR="00F20A88" w:rsidRPr="009118AB">
        <w:rPr>
          <w:i/>
          <w:iCs/>
        </w:rPr>
        <w:t>(I)</w:t>
      </w:r>
      <w:r w:rsidR="008D4A02" w:rsidRPr="009118AB">
        <w:rPr>
          <w:iCs/>
        </w:rPr>
        <w:t>,</w:t>
      </w:r>
    </w:p>
    <w:p w14:paraId="16774592" w14:textId="77777777" w:rsidR="008D4A02" w:rsidRPr="009118AB" w:rsidRDefault="008D4A02" w:rsidP="00656E98">
      <w:pPr>
        <w:autoSpaceDE w:val="0"/>
        <w:autoSpaceDN w:val="0"/>
        <w:adjustRightInd w:val="0"/>
        <w:jc w:val="both"/>
        <w:rPr>
          <w:iCs/>
        </w:rPr>
      </w:pPr>
    </w:p>
    <w:p w14:paraId="78B4BBB1" w14:textId="0C15F1F6" w:rsidR="008D4A02" w:rsidRPr="009118AB" w:rsidRDefault="00970435" w:rsidP="00656E98">
      <w:pPr>
        <w:autoSpaceDE w:val="0"/>
        <w:autoSpaceDN w:val="0"/>
        <w:adjustRightInd w:val="0"/>
        <w:jc w:val="both"/>
        <w:rPr>
          <w:iCs/>
        </w:rPr>
      </w:pPr>
      <w:r>
        <w:rPr>
          <w:iCs/>
        </w:rPr>
        <w:t>- </w:t>
      </w:r>
      <w:r w:rsidR="008D4A02" w:rsidRPr="009118AB">
        <w:rPr>
          <w:iCs/>
        </w:rPr>
        <w:t>die Artikel 49 bis 54 des Programmgesetzes (I) vom 26. Dezember 2013</w:t>
      </w:r>
      <w:r w:rsidR="00F20A88" w:rsidRPr="009118AB">
        <w:rPr>
          <w:iCs/>
        </w:rPr>
        <w:t xml:space="preserve"> </w:t>
      </w:r>
      <w:r w:rsidR="008D4A02" w:rsidRPr="009118AB">
        <w:rPr>
          <w:iCs/>
        </w:rPr>
        <w:t>(</w:t>
      </w:r>
      <w:r w:rsidR="008D4A02" w:rsidRPr="009118AB">
        <w:rPr>
          <w:i/>
          <w:iCs/>
        </w:rPr>
        <w:t>Belgisches Staatsblatt</w:t>
      </w:r>
      <w:r w:rsidR="008D4A02" w:rsidRPr="009118AB">
        <w:rPr>
          <w:iCs/>
        </w:rPr>
        <w:t xml:space="preserve"> vom 18. August 2014)</w:t>
      </w:r>
      <w:r w:rsidR="00F20A88" w:rsidRPr="009118AB">
        <w:rPr>
          <w:iCs/>
        </w:rPr>
        <w:t> </w:t>
      </w:r>
      <w:r w:rsidR="00F20A88" w:rsidRPr="009118AB">
        <w:rPr>
          <w:i/>
          <w:iCs/>
        </w:rPr>
        <w:t>(II)</w:t>
      </w:r>
      <w:r w:rsidR="00F71E93" w:rsidRPr="009118AB">
        <w:rPr>
          <w:iCs/>
        </w:rPr>
        <w:t>,</w:t>
      </w:r>
    </w:p>
    <w:p w14:paraId="48916458" w14:textId="77777777" w:rsidR="00F71E93" w:rsidRPr="009118AB" w:rsidRDefault="00F71E93" w:rsidP="00656E98">
      <w:pPr>
        <w:autoSpaceDE w:val="0"/>
        <w:autoSpaceDN w:val="0"/>
        <w:adjustRightInd w:val="0"/>
        <w:jc w:val="both"/>
        <w:rPr>
          <w:iCs/>
        </w:rPr>
      </w:pPr>
    </w:p>
    <w:p w14:paraId="0CC3654E" w14:textId="54E40E17" w:rsidR="00F71E93" w:rsidRPr="009118AB" w:rsidRDefault="00970435" w:rsidP="00656E98">
      <w:pPr>
        <w:autoSpaceDE w:val="0"/>
        <w:autoSpaceDN w:val="0"/>
        <w:adjustRightInd w:val="0"/>
        <w:jc w:val="both"/>
        <w:rPr>
          <w:color w:val="000000"/>
        </w:rPr>
      </w:pPr>
      <w:r>
        <w:rPr>
          <w:iCs/>
        </w:rPr>
        <w:t>- </w:t>
      </w:r>
      <w:r w:rsidR="00F71E93" w:rsidRPr="009118AB">
        <w:rPr>
          <w:iCs/>
        </w:rPr>
        <w:t xml:space="preserve">das Gesetz vom 26. Dezember 2013 </w:t>
      </w:r>
      <w:r w:rsidR="00F71E93" w:rsidRPr="009118AB">
        <w:rPr>
          <w:color w:val="000000"/>
        </w:rPr>
        <w:t>zur Festlegung verschiedener Bestimmungen in Bezug auf thematische Volksanleihen (</w:t>
      </w:r>
      <w:r w:rsidR="00F71E93" w:rsidRPr="009118AB">
        <w:rPr>
          <w:i/>
          <w:color w:val="000000"/>
        </w:rPr>
        <w:t>Belgisches Staatsblatt</w:t>
      </w:r>
      <w:r w:rsidR="00F71E93" w:rsidRPr="009118AB">
        <w:rPr>
          <w:color w:val="000000"/>
        </w:rPr>
        <w:t xml:space="preserve"> vom 6. Oktober 2014) </w:t>
      </w:r>
      <w:r w:rsidR="00F71E93" w:rsidRPr="009118AB">
        <w:rPr>
          <w:i/>
          <w:color w:val="000000"/>
        </w:rPr>
        <w:t>(III)</w:t>
      </w:r>
      <w:r w:rsidR="00CE1102" w:rsidRPr="009118AB">
        <w:rPr>
          <w:color w:val="000000"/>
        </w:rPr>
        <w:t>,</w:t>
      </w:r>
    </w:p>
    <w:p w14:paraId="3F1212F0" w14:textId="77777777" w:rsidR="00CE1102" w:rsidRPr="009118AB" w:rsidRDefault="00CE1102" w:rsidP="00656E98">
      <w:pPr>
        <w:autoSpaceDE w:val="0"/>
        <w:autoSpaceDN w:val="0"/>
        <w:adjustRightInd w:val="0"/>
        <w:jc w:val="both"/>
        <w:rPr>
          <w:color w:val="000000"/>
        </w:rPr>
      </w:pPr>
    </w:p>
    <w:p w14:paraId="336D6478" w14:textId="4AECDA95" w:rsidR="00CE1102" w:rsidRDefault="00970435" w:rsidP="00656E98">
      <w:pPr>
        <w:autoSpaceDE w:val="0"/>
        <w:autoSpaceDN w:val="0"/>
        <w:adjustRightInd w:val="0"/>
        <w:jc w:val="both"/>
      </w:pPr>
      <w:r>
        <w:t>- </w:t>
      </w:r>
      <w:r w:rsidR="00CE1102" w:rsidRPr="009118AB">
        <w:t>Artikel 15 des Gesetzes vom 6. Januar 2014 über die Sechste Staatsreform in Bezug auf die in Artikel</w:t>
      </w:r>
      <w:r>
        <w:t> </w:t>
      </w:r>
      <w:r w:rsidR="00CE1102" w:rsidRPr="009118AB">
        <w:t>78 der Verfassung erwähnten Angelegenheiten (</w:t>
      </w:r>
      <w:r w:rsidR="00CE1102" w:rsidRPr="009118AB">
        <w:rPr>
          <w:i/>
        </w:rPr>
        <w:t>Belgisches Staatsblatt</w:t>
      </w:r>
      <w:r w:rsidR="009050A0" w:rsidRPr="009118AB">
        <w:t xml:space="preserve"> vom 2. Oktober 2014),</w:t>
      </w:r>
    </w:p>
    <w:p w14:paraId="3A004FD9" w14:textId="77777777" w:rsidR="008720AB" w:rsidRDefault="008720AB" w:rsidP="00656E98">
      <w:pPr>
        <w:autoSpaceDE w:val="0"/>
        <w:autoSpaceDN w:val="0"/>
        <w:adjustRightInd w:val="0"/>
        <w:jc w:val="both"/>
      </w:pPr>
    </w:p>
    <w:p w14:paraId="69FEDDFC" w14:textId="4AAD2751" w:rsidR="008720AB" w:rsidRPr="008720AB" w:rsidRDefault="008720AB" w:rsidP="00656E98">
      <w:pPr>
        <w:autoSpaceDE w:val="0"/>
        <w:autoSpaceDN w:val="0"/>
        <w:adjustRightInd w:val="0"/>
        <w:jc w:val="both"/>
      </w:pPr>
      <w:r>
        <w:t xml:space="preserve">- den </w:t>
      </w:r>
      <w:r w:rsidRPr="008720AB">
        <w:t>Entscheid Nr. 7/2014 des Verfassungsgerichtshofes vom 23. Januar 2014 (</w:t>
      </w:r>
      <w:r>
        <w:rPr>
          <w:i/>
          <w:iCs/>
        </w:rPr>
        <w:t xml:space="preserve">Belgisches Staatsblatt </w:t>
      </w:r>
      <w:r w:rsidRPr="008720AB">
        <w:t>vom 17. April 2014),</w:t>
      </w:r>
    </w:p>
    <w:p w14:paraId="06B41CEC" w14:textId="77777777" w:rsidR="009050A0" w:rsidRDefault="009050A0" w:rsidP="00656E98">
      <w:pPr>
        <w:autoSpaceDE w:val="0"/>
        <w:autoSpaceDN w:val="0"/>
        <w:adjustRightInd w:val="0"/>
        <w:jc w:val="both"/>
      </w:pPr>
    </w:p>
    <w:p w14:paraId="5CEEEB63" w14:textId="28D8640E" w:rsidR="008720AB" w:rsidRDefault="008720AB" w:rsidP="00656E98">
      <w:pPr>
        <w:autoSpaceDE w:val="0"/>
        <w:autoSpaceDN w:val="0"/>
        <w:adjustRightInd w:val="0"/>
        <w:jc w:val="both"/>
      </w:pPr>
      <w:r>
        <w:t xml:space="preserve">- den </w:t>
      </w:r>
      <w:r w:rsidRPr="008720AB">
        <w:t>Entscheid Nr. 61/2014 des Verfassungsgerichtshofes vom 3. April 2014 (</w:t>
      </w:r>
      <w:r>
        <w:rPr>
          <w:i/>
          <w:iCs/>
        </w:rPr>
        <w:t xml:space="preserve">Belgisches Staatsblatt </w:t>
      </w:r>
      <w:r w:rsidRPr="008720AB">
        <w:t>vom 2. Juni 2014)</w:t>
      </w:r>
      <w:r>
        <w:t>,</w:t>
      </w:r>
    </w:p>
    <w:p w14:paraId="716AED8F" w14:textId="77777777" w:rsidR="008720AB" w:rsidRPr="008720AB" w:rsidRDefault="008720AB" w:rsidP="00656E98">
      <w:pPr>
        <w:autoSpaceDE w:val="0"/>
        <w:autoSpaceDN w:val="0"/>
        <w:adjustRightInd w:val="0"/>
        <w:jc w:val="both"/>
      </w:pPr>
    </w:p>
    <w:p w14:paraId="46C64E98" w14:textId="0645C222" w:rsidR="009050A0" w:rsidRPr="009118AB" w:rsidRDefault="00970435" w:rsidP="00656E98">
      <w:pPr>
        <w:autoSpaceDE w:val="0"/>
        <w:autoSpaceDN w:val="0"/>
        <w:adjustRightInd w:val="0"/>
        <w:jc w:val="both"/>
      </w:pPr>
      <w:r>
        <w:t>- </w:t>
      </w:r>
      <w:r w:rsidR="009050A0" w:rsidRPr="009118AB">
        <w:t>das Gesetz vom 19. April 2014 zur Abänderung des Einkommensteuergesetzbuches</w:t>
      </w:r>
      <w:r>
        <w:t> </w:t>
      </w:r>
      <w:r w:rsidR="009050A0" w:rsidRPr="009118AB">
        <w:t>1992 in Bezug auf die Festlegung von Zuschlagsteuern auf Regionalsteuern (</w:t>
      </w:r>
      <w:r w:rsidR="009050A0" w:rsidRPr="009118AB">
        <w:rPr>
          <w:i/>
        </w:rPr>
        <w:t>Belgisches Staatsblatt</w:t>
      </w:r>
      <w:r w:rsidR="00C8310E" w:rsidRPr="009118AB">
        <w:t xml:space="preserve"> vom 17. März 2015),</w:t>
      </w:r>
    </w:p>
    <w:p w14:paraId="40C1F449" w14:textId="77777777" w:rsidR="00C8310E" w:rsidRPr="009118AB" w:rsidRDefault="00C8310E" w:rsidP="00656E98">
      <w:pPr>
        <w:autoSpaceDE w:val="0"/>
        <w:autoSpaceDN w:val="0"/>
        <w:adjustRightInd w:val="0"/>
        <w:jc w:val="both"/>
      </w:pPr>
    </w:p>
    <w:p w14:paraId="6BC570E7" w14:textId="3E82B62C" w:rsidR="00C8310E" w:rsidRPr="009118AB" w:rsidRDefault="00970435" w:rsidP="00656E98">
      <w:pPr>
        <w:autoSpaceDE w:val="0"/>
        <w:autoSpaceDN w:val="0"/>
        <w:adjustRightInd w:val="0"/>
        <w:jc w:val="both"/>
      </w:pPr>
      <w:r>
        <w:t>- </w:t>
      </w:r>
      <w:r w:rsidR="00C8310E" w:rsidRPr="009118AB">
        <w:t>das Gesetz vom 25. April 2014 zur Anpassung der Bezeichnungen der Verwaltungen des Föderalen Öffentlichen Dienstes Finanzen in den steuerrechtlichen Vorschriften und zur Festlegung verschiedener anderer Gesetzesabänderungen (</w:t>
      </w:r>
      <w:r w:rsidR="00C8310E" w:rsidRPr="009118AB">
        <w:rPr>
          <w:i/>
        </w:rPr>
        <w:t>Belgisches Staatsblatt</w:t>
      </w:r>
      <w:r w:rsidR="00195327" w:rsidRPr="009118AB">
        <w:t xml:space="preserve"> vom 14. April 2015) </w:t>
      </w:r>
      <w:r w:rsidR="00195327" w:rsidRPr="009118AB">
        <w:rPr>
          <w:i/>
        </w:rPr>
        <w:t>(I)</w:t>
      </w:r>
      <w:r w:rsidR="00195327" w:rsidRPr="009118AB">
        <w:t>,</w:t>
      </w:r>
    </w:p>
    <w:p w14:paraId="10894CB3" w14:textId="77777777" w:rsidR="00195327" w:rsidRPr="009118AB" w:rsidRDefault="00195327" w:rsidP="00656E98">
      <w:pPr>
        <w:autoSpaceDE w:val="0"/>
        <w:autoSpaceDN w:val="0"/>
        <w:adjustRightInd w:val="0"/>
        <w:jc w:val="both"/>
      </w:pPr>
    </w:p>
    <w:p w14:paraId="7E502F63" w14:textId="331E2208" w:rsidR="00195327" w:rsidRPr="009118AB" w:rsidRDefault="00970435" w:rsidP="00656E98">
      <w:pPr>
        <w:autoSpaceDE w:val="0"/>
        <w:autoSpaceDN w:val="0"/>
        <w:adjustRightInd w:val="0"/>
        <w:jc w:val="both"/>
      </w:pPr>
      <w:r>
        <w:t>- </w:t>
      </w:r>
      <w:r w:rsidR="00195327" w:rsidRPr="009118AB">
        <w:t>Artikel 16 des Gesetzes vom 25. April 2014 zur Berichtigung verschiedener Gesetze, die eine in Artikel 78 der Verfassung erwähnte Angelegenheit regeln (</w:t>
      </w:r>
      <w:r w:rsidR="00195327" w:rsidRPr="009118AB">
        <w:rPr>
          <w:i/>
        </w:rPr>
        <w:t>Belgisches Staatsblatt</w:t>
      </w:r>
      <w:r w:rsidR="00195327" w:rsidRPr="009118AB">
        <w:t xml:space="preserve"> vom 27. April 2015) </w:t>
      </w:r>
      <w:r w:rsidR="00195327" w:rsidRPr="009118AB">
        <w:rPr>
          <w:i/>
        </w:rPr>
        <w:t>(II)</w:t>
      </w:r>
      <w:r w:rsidR="000F7C33" w:rsidRPr="009118AB">
        <w:t>,</w:t>
      </w:r>
    </w:p>
    <w:p w14:paraId="6536EA4A" w14:textId="77777777" w:rsidR="000F7C33" w:rsidRPr="009118AB" w:rsidRDefault="000F7C33" w:rsidP="00656E98">
      <w:pPr>
        <w:autoSpaceDE w:val="0"/>
        <w:autoSpaceDN w:val="0"/>
        <w:adjustRightInd w:val="0"/>
        <w:jc w:val="both"/>
      </w:pPr>
    </w:p>
    <w:p w14:paraId="06C70682" w14:textId="445004C0" w:rsidR="000F7C33" w:rsidRPr="009118AB" w:rsidRDefault="00970435" w:rsidP="00656E98">
      <w:pPr>
        <w:autoSpaceDE w:val="0"/>
        <w:autoSpaceDN w:val="0"/>
        <w:adjustRightInd w:val="0"/>
        <w:jc w:val="both"/>
      </w:pPr>
      <w:r>
        <w:t>- </w:t>
      </w:r>
      <w:r w:rsidR="000F7C33" w:rsidRPr="009118AB">
        <w:t>die Artikel 170 bis 177 des Gesetzes vom 25. April 2014 zur Festlegung verschiedener Bestimmungen (</w:t>
      </w:r>
      <w:r w:rsidR="000F7C33" w:rsidRPr="009118AB">
        <w:rPr>
          <w:i/>
        </w:rPr>
        <w:t>Belgisches Staatsblatt</w:t>
      </w:r>
      <w:r w:rsidR="000F7C33" w:rsidRPr="009118AB">
        <w:t xml:space="preserve"> vom 27. April 2015) </w:t>
      </w:r>
      <w:r w:rsidR="000F7C33" w:rsidRPr="009118AB">
        <w:rPr>
          <w:i/>
        </w:rPr>
        <w:t>(III)</w:t>
      </w:r>
      <w:r w:rsidR="00E241D1" w:rsidRPr="009118AB">
        <w:t>,</w:t>
      </w:r>
    </w:p>
    <w:p w14:paraId="1C5152BD" w14:textId="77777777" w:rsidR="00E241D1" w:rsidRPr="009118AB" w:rsidRDefault="00E241D1" w:rsidP="00656E98">
      <w:pPr>
        <w:autoSpaceDE w:val="0"/>
        <w:autoSpaceDN w:val="0"/>
        <w:adjustRightInd w:val="0"/>
        <w:jc w:val="both"/>
      </w:pPr>
    </w:p>
    <w:p w14:paraId="76DFE843" w14:textId="56FFAC68" w:rsidR="00F75C57" w:rsidRPr="009118AB" w:rsidRDefault="00970435" w:rsidP="00656E98">
      <w:pPr>
        <w:autoSpaceDE w:val="0"/>
        <w:autoSpaceDN w:val="0"/>
        <w:adjustRightInd w:val="0"/>
        <w:jc w:val="both"/>
      </w:pPr>
      <w:r>
        <w:t>- </w:t>
      </w:r>
      <w:r w:rsidR="00E241D1" w:rsidRPr="009118AB">
        <w:t>das Gesetz vom 8. Mai 2014 zur Abänderung des Einkommensteuergesetzbuches 1992 infolge der Einführung der in Titel III/1 des Sondergesetzes vom 16. Januar 1989 bezüglich der Finanzierung der Gemeinschaften und Regionen erwähnten regionalen Zuschlagsteuer auf die Steuer der natürlichen Personen, zur Abänderung der Regeln im Bereich der Steuer der Gebietsfremden und zur Abänderung des Gesetzes vom 6. Januar 2014 über die Sechste Staatsreform in Bezug auf die in Artikel 78 der Verfassung erwähnten Angelegenheiten (</w:t>
      </w:r>
      <w:r w:rsidR="00E241D1" w:rsidRPr="009118AB">
        <w:rPr>
          <w:i/>
        </w:rPr>
        <w:t>Belgisches Staatsblatt</w:t>
      </w:r>
      <w:r w:rsidR="00F75C57" w:rsidRPr="009118AB">
        <w:t xml:space="preserve"> vom 30. Juni 2015),</w:t>
      </w:r>
    </w:p>
    <w:p w14:paraId="06DE36BF" w14:textId="77777777" w:rsidR="00F75C57" w:rsidRPr="009118AB" w:rsidRDefault="00F75C57" w:rsidP="00656E98">
      <w:pPr>
        <w:autoSpaceDE w:val="0"/>
        <w:autoSpaceDN w:val="0"/>
        <w:adjustRightInd w:val="0"/>
        <w:jc w:val="both"/>
      </w:pPr>
    </w:p>
    <w:p w14:paraId="15E70027" w14:textId="1589D7F3" w:rsidR="00AE15D3" w:rsidRPr="009118AB" w:rsidRDefault="00970435" w:rsidP="00656E98">
      <w:pPr>
        <w:autoSpaceDE w:val="0"/>
        <w:autoSpaceDN w:val="0"/>
        <w:adjustRightInd w:val="0"/>
        <w:jc w:val="both"/>
      </w:pPr>
      <w:r>
        <w:lastRenderedPageBreak/>
        <w:t>- </w:t>
      </w:r>
      <w:r w:rsidR="00F75C57" w:rsidRPr="009118AB">
        <w:t>das Gesetz vom 12. Mai 2014 zur Abänderung von Artikel 194</w:t>
      </w:r>
      <w:r w:rsidR="00F75C57" w:rsidRPr="009118AB">
        <w:rPr>
          <w:i/>
        </w:rPr>
        <w:t>ter</w:t>
      </w:r>
      <w:r w:rsidR="00F75C57" w:rsidRPr="009118AB">
        <w:t xml:space="preserve"> des Einkommensteuer</w:t>
      </w:r>
      <w:r w:rsidR="00F75C57" w:rsidRPr="009118AB">
        <w:softHyphen/>
        <w:t>gesetzbuches 1992 in Bezug auf die Tax-Shelter-Regelung zugunsten der audiovisuellen Produktion (</w:t>
      </w:r>
      <w:r w:rsidR="00F75C57" w:rsidRPr="009118AB">
        <w:rPr>
          <w:i/>
        </w:rPr>
        <w:t>Belgisches Staatsblatt</w:t>
      </w:r>
      <w:r w:rsidR="00F75C57" w:rsidRPr="009118AB">
        <w:t xml:space="preserve"> vom 7. August 2015)</w:t>
      </w:r>
      <w:r w:rsidR="00AE15D3" w:rsidRPr="009118AB">
        <w:t xml:space="preserve"> </w:t>
      </w:r>
      <w:r w:rsidR="00AE15D3" w:rsidRPr="009118AB">
        <w:rPr>
          <w:i/>
        </w:rPr>
        <w:t>(I)</w:t>
      </w:r>
      <w:r w:rsidR="00690C43" w:rsidRPr="009118AB">
        <w:t>,</w:t>
      </w:r>
    </w:p>
    <w:p w14:paraId="59FD8593" w14:textId="77777777" w:rsidR="00AE15D3" w:rsidRPr="009118AB" w:rsidRDefault="00AE15D3" w:rsidP="00656E98">
      <w:pPr>
        <w:autoSpaceDE w:val="0"/>
        <w:autoSpaceDN w:val="0"/>
        <w:adjustRightInd w:val="0"/>
        <w:jc w:val="both"/>
      </w:pPr>
    </w:p>
    <w:p w14:paraId="6DFA3516" w14:textId="5C77D375" w:rsidR="00F75C57" w:rsidRPr="009118AB" w:rsidRDefault="00970435" w:rsidP="00656E98">
      <w:pPr>
        <w:autoSpaceDE w:val="0"/>
        <w:autoSpaceDN w:val="0"/>
        <w:adjustRightInd w:val="0"/>
        <w:jc w:val="both"/>
      </w:pPr>
      <w:r>
        <w:t>- </w:t>
      </w:r>
      <w:r w:rsidR="008A7190" w:rsidRPr="009118AB">
        <w:t>das Gesetz vom 12. Mai 2014 über die beaufsichtigten Immobiliengesellschaften (</w:t>
      </w:r>
      <w:r w:rsidR="008A7190" w:rsidRPr="009118AB">
        <w:rPr>
          <w:i/>
        </w:rPr>
        <w:t>Belgisches Staatsblatt</w:t>
      </w:r>
      <w:r w:rsidR="008A7190" w:rsidRPr="009118AB">
        <w:t xml:space="preserve"> vom 30. Juni 2015) </w:t>
      </w:r>
      <w:r w:rsidR="008A7190" w:rsidRPr="009118AB">
        <w:rPr>
          <w:i/>
        </w:rPr>
        <w:t>(II)</w:t>
      </w:r>
      <w:r w:rsidR="00BF252D" w:rsidRPr="009118AB">
        <w:t>,</w:t>
      </w:r>
    </w:p>
    <w:p w14:paraId="32D38148" w14:textId="77777777" w:rsidR="00BF252D" w:rsidRPr="009118AB" w:rsidRDefault="00BF252D" w:rsidP="00656E98">
      <w:pPr>
        <w:autoSpaceDE w:val="0"/>
        <w:autoSpaceDN w:val="0"/>
        <w:adjustRightInd w:val="0"/>
        <w:jc w:val="both"/>
      </w:pPr>
    </w:p>
    <w:p w14:paraId="77137D65" w14:textId="75DBC304" w:rsidR="00BF252D" w:rsidRPr="009118AB" w:rsidRDefault="00970435" w:rsidP="00656E98">
      <w:pPr>
        <w:autoSpaceDE w:val="0"/>
        <w:autoSpaceDN w:val="0"/>
        <w:adjustRightInd w:val="0"/>
        <w:jc w:val="both"/>
      </w:pPr>
      <w:r>
        <w:t>- </w:t>
      </w:r>
      <w:r w:rsidR="00BF252D" w:rsidRPr="009118AB">
        <w:t>die Artikel 5</w:t>
      </w:r>
      <w:r w:rsidR="00043F2A" w:rsidRPr="009118AB">
        <w:t xml:space="preserve">, 6, </w:t>
      </w:r>
      <w:r w:rsidR="00AB0866" w:rsidRPr="009118AB">
        <w:t xml:space="preserve">9 und 10 </w:t>
      </w:r>
      <w:r w:rsidR="00BF252D" w:rsidRPr="009118AB">
        <w:t>des Gesetzes vom 15. Mai 2014 zur Ausführung des Pakts für Wettbewerbsfähigkeit, Beschäftigung und Wirtschaftsbelebung (</w:t>
      </w:r>
      <w:r w:rsidR="00BF252D" w:rsidRPr="009118AB">
        <w:rPr>
          <w:i/>
        </w:rPr>
        <w:t>Belgisches Staatsblatt</w:t>
      </w:r>
      <w:r w:rsidR="00BF252D" w:rsidRPr="009118AB">
        <w:t xml:space="preserve"> vom 4.</w:t>
      </w:r>
      <w:r w:rsidR="00043F2A" w:rsidRPr="009118AB">
        <w:t> September 2015),</w:t>
      </w:r>
    </w:p>
    <w:p w14:paraId="72474A35" w14:textId="77777777" w:rsidR="006C6F4B" w:rsidRDefault="006C6F4B" w:rsidP="00656E98">
      <w:pPr>
        <w:autoSpaceDE w:val="0"/>
        <w:autoSpaceDN w:val="0"/>
        <w:adjustRightInd w:val="0"/>
        <w:jc w:val="both"/>
      </w:pPr>
    </w:p>
    <w:p w14:paraId="5900FB4B" w14:textId="1CEBBF8B" w:rsidR="008720AB" w:rsidRPr="00DD5892" w:rsidRDefault="008720AB" w:rsidP="00656E98">
      <w:pPr>
        <w:autoSpaceDE w:val="0"/>
        <w:autoSpaceDN w:val="0"/>
        <w:adjustRightInd w:val="0"/>
        <w:jc w:val="both"/>
        <w:rPr>
          <w:iCs/>
        </w:rPr>
      </w:pPr>
      <w:r>
        <w:t xml:space="preserve">- den </w:t>
      </w:r>
      <w:r w:rsidRPr="008720AB">
        <w:rPr>
          <w:iCs/>
        </w:rPr>
        <w:t>Entscheid Nr. 93/2014 des Verfassungsgerichtshofes vom 19. </w:t>
      </w:r>
      <w:r w:rsidRPr="00DD5892">
        <w:rPr>
          <w:iCs/>
        </w:rPr>
        <w:t>Juni 2014 (</w:t>
      </w:r>
      <w:r w:rsidRPr="00DD5892">
        <w:rPr>
          <w:i/>
        </w:rPr>
        <w:t xml:space="preserve">Belgisches Staatsblatt </w:t>
      </w:r>
      <w:r w:rsidRPr="00DD5892">
        <w:rPr>
          <w:iCs/>
        </w:rPr>
        <w:t>vom 10. Juli 2014),</w:t>
      </w:r>
    </w:p>
    <w:p w14:paraId="5C6713BA" w14:textId="77777777" w:rsidR="008720AB" w:rsidRPr="008720AB" w:rsidRDefault="008720AB" w:rsidP="00656E98">
      <w:pPr>
        <w:autoSpaceDE w:val="0"/>
        <w:autoSpaceDN w:val="0"/>
        <w:adjustRightInd w:val="0"/>
        <w:jc w:val="both"/>
        <w:rPr>
          <w:iCs/>
        </w:rPr>
      </w:pPr>
    </w:p>
    <w:p w14:paraId="5C6120B6" w14:textId="3938AFD0" w:rsidR="006C6F4B" w:rsidRPr="009118AB" w:rsidRDefault="00970435" w:rsidP="006C6F4B">
      <w:pPr>
        <w:jc w:val="both"/>
      </w:pPr>
      <w:r>
        <w:t>- </w:t>
      </w:r>
      <w:r w:rsidR="006C6F4B" w:rsidRPr="009118AB">
        <w:t>die Entscheidung des Ausschusses der Deutschsprachigen Gemeinschaft für die deutsche Rechtsterminologie vom 4. Dezember 2014, durch die der Begriff "erwiesene Schuld" durch den Begriff "sichere Schuld" zu ersetzen ist,</w:t>
      </w:r>
    </w:p>
    <w:p w14:paraId="41BE8E84" w14:textId="77777777" w:rsidR="00043F2A" w:rsidRPr="009118AB" w:rsidRDefault="00043F2A" w:rsidP="00656E98">
      <w:pPr>
        <w:autoSpaceDE w:val="0"/>
        <w:autoSpaceDN w:val="0"/>
        <w:adjustRightInd w:val="0"/>
        <w:jc w:val="both"/>
      </w:pPr>
    </w:p>
    <w:p w14:paraId="466E3D7D" w14:textId="214F60A8" w:rsidR="00043F2A" w:rsidRPr="009118AB" w:rsidRDefault="00970435" w:rsidP="00043F2A">
      <w:pPr>
        <w:autoSpaceDE w:val="0"/>
        <w:autoSpaceDN w:val="0"/>
        <w:adjustRightInd w:val="0"/>
        <w:jc w:val="both"/>
      </w:pPr>
      <w:r>
        <w:t>- </w:t>
      </w:r>
      <w:r w:rsidR="00292ECB" w:rsidRPr="009118AB">
        <w:t>die Artikel</w:t>
      </w:r>
      <w:r>
        <w:t> </w:t>
      </w:r>
      <w:r w:rsidR="00292ECB" w:rsidRPr="009118AB">
        <w:t>2 bis 13, 1</w:t>
      </w:r>
      <w:r w:rsidR="007122E8" w:rsidRPr="009118AB">
        <w:t>6</w:t>
      </w:r>
      <w:r w:rsidR="00292ECB" w:rsidRPr="009118AB">
        <w:t xml:space="preserve"> bis </w:t>
      </w:r>
      <w:r w:rsidR="00E7584D" w:rsidRPr="009118AB">
        <w:t>25, 2</w:t>
      </w:r>
      <w:r w:rsidR="007122E8" w:rsidRPr="009118AB">
        <w:t>7</w:t>
      </w:r>
      <w:r w:rsidR="00E7584D" w:rsidRPr="009118AB">
        <w:t xml:space="preserve"> bis </w:t>
      </w:r>
      <w:r w:rsidR="007122E8" w:rsidRPr="009118AB">
        <w:t>58</w:t>
      </w:r>
      <w:r w:rsidR="00E354F5" w:rsidRPr="009118AB">
        <w:t xml:space="preserve"> und 107 bis 112</w:t>
      </w:r>
      <w:r w:rsidR="00E7584D" w:rsidRPr="009118AB">
        <w:t xml:space="preserve"> </w:t>
      </w:r>
      <w:r w:rsidR="00043F2A" w:rsidRPr="009118AB">
        <w:t>d</w:t>
      </w:r>
      <w:r w:rsidR="00292ECB" w:rsidRPr="009118AB">
        <w:t>e</w:t>
      </w:r>
      <w:r w:rsidR="00043F2A" w:rsidRPr="009118AB">
        <w:t xml:space="preserve">s </w:t>
      </w:r>
      <w:r w:rsidR="00043F2A" w:rsidRPr="009118AB">
        <w:rPr>
          <w:lang w:bidi="de-DE"/>
        </w:rPr>
        <w:t>Programmgesetz</w:t>
      </w:r>
      <w:r w:rsidR="00292ECB" w:rsidRPr="009118AB">
        <w:rPr>
          <w:lang w:bidi="de-DE"/>
        </w:rPr>
        <w:t>es</w:t>
      </w:r>
      <w:r w:rsidR="00043F2A" w:rsidRPr="009118AB">
        <w:rPr>
          <w:lang w:bidi="de-DE"/>
        </w:rPr>
        <w:t xml:space="preserve"> vom 19. Dezember 2014 </w:t>
      </w:r>
      <w:r w:rsidR="00043F2A" w:rsidRPr="009118AB">
        <w:t>(</w:t>
      </w:r>
      <w:r w:rsidR="00043F2A" w:rsidRPr="009118AB">
        <w:rPr>
          <w:i/>
        </w:rPr>
        <w:t>Belgisches Staatsblatt</w:t>
      </w:r>
      <w:r w:rsidR="00D0091A" w:rsidRPr="009118AB">
        <w:t xml:space="preserve"> vom 2. Oktober 2015),</w:t>
      </w:r>
    </w:p>
    <w:p w14:paraId="0E39AE98" w14:textId="77777777" w:rsidR="009C1FF6" w:rsidRPr="009118AB" w:rsidRDefault="009C1FF6" w:rsidP="00043F2A">
      <w:pPr>
        <w:autoSpaceDE w:val="0"/>
        <w:autoSpaceDN w:val="0"/>
        <w:adjustRightInd w:val="0"/>
        <w:jc w:val="both"/>
      </w:pPr>
    </w:p>
    <w:p w14:paraId="55EBA9F3" w14:textId="5B4BAD45" w:rsidR="00D0091A" w:rsidRPr="009118AB" w:rsidRDefault="00970435" w:rsidP="00043F2A">
      <w:pPr>
        <w:autoSpaceDE w:val="0"/>
        <w:autoSpaceDN w:val="0"/>
        <w:adjustRightInd w:val="0"/>
        <w:jc w:val="both"/>
      </w:pPr>
      <w:r>
        <w:t>- </w:t>
      </w:r>
      <w:r w:rsidR="00D0091A" w:rsidRPr="009118AB">
        <w:t>das Gesetz vom 24. März 2015 zur Anpassung des Titels</w:t>
      </w:r>
      <w:r>
        <w:t> </w:t>
      </w:r>
      <w:r w:rsidR="00D0091A" w:rsidRPr="009118AB">
        <w:t>3 des Gesetzes vom 15. Mai 2014 zur Ausführung des Pakts für Wettbewerbsfähigkeit, Beschäftigung und Wirtschaftsbelebung und der Artikel 275</w:t>
      </w:r>
      <w:r w:rsidR="00D0091A" w:rsidRPr="009118AB">
        <w:rPr>
          <w:vertAlign w:val="superscript"/>
        </w:rPr>
        <w:t>8</w:t>
      </w:r>
      <w:r w:rsidR="00D0091A" w:rsidRPr="009118AB">
        <w:t xml:space="preserve"> und 275</w:t>
      </w:r>
      <w:r w:rsidR="00D0091A" w:rsidRPr="009118AB">
        <w:rPr>
          <w:vertAlign w:val="superscript"/>
        </w:rPr>
        <w:t>9</w:t>
      </w:r>
      <w:r w:rsidR="00D0091A" w:rsidRPr="009118AB">
        <w:t xml:space="preserve"> des Einkommensteuergesetzbuches 1992 an die Verordnung (EU) </w:t>
      </w:r>
      <w:r w:rsidR="00D67EB8" w:rsidRPr="009118AB">
        <w:t>Nr. </w:t>
      </w:r>
      <w:r w:rsidR="00D0091A" w:rsidRPr="009118AB">
        <w:t>651/2014 der Kommission vom 17.</w:t>
      </w:r>
      <w:r>
        <w:t> </w:t>
      </w:r>
      <w:r w:rsidR="00D0091A" w:rsidRPr="009118AB">
        <w:t>Juni</w:t>
      </w:r>
      <w:r>
        <w:t> </w:t>
      </w:r>
      <w:r w:rsidR="00D0091A" w:rsidRPr="009118AB">
        <w:t>2014 zur Feststellung der Vereinbarkeit bestimmter Gruppen von Beihilfen mit dem Binnenmarkt in Anwendung der Artikel 107 und 108 des Vertrags über die Arbeitsweise der Europäischen Union (</w:t>
      </w:r>
      <w:r w:rsidR="00D0091A" w:rsidRPr="009118AB">
        <w:rPr>
          <w:i/>
        </w:rPr>
        <w:t>Belgisches Staatsblatt</w:t>
      </w:r>
      <w:r w:rsidR="00B86F4D" w:rsidRPr="009118AB">
        <w:t xml:space="preserve"> vom 18. Januar 2016),</w:t>
      </w:r>
    </w:p>
    <w:p w14:paraId="4CE3B9FA" w14:textId="77777777" w:rsidR="00B86F4D" w:rsidRPr="009118AB" w:rsidRDefault="00B86F4D" w:rsidP="00043F2A">
      <w:pPr>
        <w:autoSpaceDE w:val="0"/>
        <w:autoSpaceDN w:val="0"/>
        <w:adjustRightInd w:val="0"/>
        <w:jc w:val="both"/>
      </w:pPr>
    </w:p>
    <w:p w14:paraId="57627879" w14:textId="074C9383" w:rsidR="00B86F4D" w:rsidRPr="009118AB" w:rsidRDefault="00970435" w:rsidP="00043F2A">
      <w:pPr>
        <w:autoSpaceDE w:val="0"/>
        <w:autoSpaceDN w:val="0"/>
        <w:adjustRightInd w:val="0"/>
        <w:jc w:val="both"/>
      </w:pPr>
      <w:r>
        <w:t>- </w:t>
      </w:r>
      <w:r w:rsidR="00B86F4D" w:rsidRPr="009118AB">
        <w:t>die A</w:t>
      </w:r>
      <w:r w:rsidR="00D97942" w:rsidRPr="009118AB">
        <w:t>rtikel 19, 38 bis 66, 73 bis 90 und 94 bis 100 des Programmgesetzes vom 1</w:t>
      </w:r>
      <w:r w:rsidR="00CA41A8" w:rsidRPr="009118AB">
        <w:t>0</w:t>
      </w:r>
      <w:r w:rsidR="00D97942" w:rsidRPr="009118AB">
        <w:t>. August 2015 (</w:t>
      </w:r>
      <w:r w:rsidR="00D97942" w:rsidRPr="009118AB">
        <w:rPr>
          <w:i/>
        </w:rPr>
        <w:t>Belgisches Staatsblatt</w:t>
      </w:r>
      <w:r w:rsidR="005F0C4E" w:rsidRPr="009118AB">
        <w:t xml:space="preserve"> vom 21. März 2016),</w:t>
      </w:r>
    </w:p>
    <w:p w14:paraId="77B48CD3" w14:textId="77777777" w:rsidR="005F0C4E" w:rsidRPr="009118AB" w:rsidRDefault="005F0C4E" w:rsidP="00043F2A">
      <w:pPr>
        <w:autoSpaceDE w:val="0"/>
        <w:autoSpaceDN w:val="0"/>
        <w:adjustRightInd w:val="0"/>
        <w:jc w:val="both"/>
      </w:pPr>
    </w:p>
    <w:p w14:paraId="648B76CE" w14:textId="345D467A" w:rsidR="005F0C4E" w:rsidRPr="009118AB" w:rsidRDefault="00970435" w:rsidP="005F0C4E">
      <w:pPr>
        <w:jc w:val="both"/>
        <w:rPr>
          <w:bCs/>
        </w:rPr>
      </w:pPr>
      <w:r>
        <w:t>- </w:t>
      </w:r>
      <w:r w:rsidR="005F0C4E" w:rsidRPr="009118AB">
        <w:t xml:space="preserve">das Gesetz vom 16. November 2015 </w:t>
      </w:r>
      <w:r w:rsidR="00743A0E" w:rsidRPr="009118AB">
        <w:rPr>
          <w:bCs/>
        </w:rPr>
        <w:t>zur Festlegung versc</w:t>
      </w:r>
      <w:r w:rsidR="005F0C4E" w:rsidRPr="009118AB">
        <w:rPr>
          <w:bCs/>
        </w:rPr>
        <w:t>hiedener Bestimmungen im Bereich Soziales (</w:t>
      </w:r>
      <w:r w:rsidR="005F0C4E" w:rsidRPr="009118AB">
        <w:rPr>
          <w:bCs/>
          <w:i/>
        </w:rPr>
        <w:t>Belgisches Staatsblatt</w:t>
      </w:r>
      <w:r w:rsidR="00743A0E" w:rsidRPr="009118AB">
        <w:rPr>
          <w:bCs/>
        </w:rPr>
        <w:t xml:space="preserve"> vom 23. März 2016),</w:t>
      </w:r>
    </w:p>
    <w:p w14:paraId="5559BC4A" w14:textId="77777777" w:rsidR="00743A0E" w:rsidRPr="009118AB" w:rsidRDefault="00743A0E" w:rsidP="005F0C4E">
      <w:pPr>
        <w:jc w:val="both"/>
        <w:rPr>
          <w:bCs/>
        </w:rPr>
      </w:pPr>
    </w:p>
    <w:p w14:paraId="6E993B98" w14:textId="4870B578" w:rsidR="00743A0E" w:rsidRPr="009118AB" w:rsidRDefault="00970435" w:rsidP="005F0C4E">
      <w:pPr>
        <w:jc w:val="both"/>
        <w:rPr>
          <w:bCs/>
          <w:spacing w:val="-2"/>
        </w:rPr>
      </w:pPr>
      <w:r>
        <w:rPr>
          <w:bCs/>
          <w:spacing w:val="-2"/>
        </w:rPr>
        <w:t>- </w:t>
      </w:r>
      <w:r w:rsidR="00743A0E" w:rsidRPr="009118AB">
        <w:rPr>
          <w:bCs/>
          <w:spacing w:val="-2"/>
        </w:rPr>
        <w:t>das Gesetz vom 6. Dezember 2015 zur Abänderung des Einkommensteuergesetzbuches</w:t>
      </w:r>
      <w:r w:rsidR="005C1B4F" w:rsidRPr="009118AB">
        <w:rPr>
          <w:bCs/>
          <w:spacing w:val="-2"/>
        </w:rPr>
        <w:t> </w:t>
      </w:r>
      <w:r w:rsidR="00743A0E" w:rsidRPr="009118AB">
        <w:rPr>
          <w:bCs/>
          <w:spacing w:val="-2"/>
        </w:rPr>
        <w:t>1992 hinsichtlich der Mahlzeitschecks und der einmaligen ergebnisgebundenen Vorteile (</w:t>
      </w:r>
      <w:r w:rsidR="00743A0E" w:rsidRPr="009118AB">
        <w:rPr>
          <w:bCs/>
          <w:i/>
          <w:spacing w:val="-2"/>
        </w:rPr>
        <w:t>Belgisches Staatsblatt</w:t>
      </w:r>
      <w:r w:rsidR="00700AD2" w:rsidRPr="009118AB">
        <w:rPr>
          <w:bCs/>
          <w:spacing w:val="-2"/>
        </w:rPr>
        <w:t xml:space="preserve"> vom 29. März 2016),</w:t>
      </w:r>
    </w:p>
    <w:p w14:paraId="079038D3" w14:textId="77777777" w:rsidR="00700AD2" w:rsidRPr="009118AB" w:rsidRDefault="00700AD2" w:rsidP="005F0C4E">
      <w:pPr>
        <w:jc w:val="both"/>
        <w:rPr>
          <w:bCs/>
          <w:spacing w:val="-2"/>
        </w:rPr>
      </w:pPr>
    </w:p>
    <w:p w14:paraId="42E09AD8" w14:textId="07C69415" w:rsidR="00700AD2" w:rsidRPr="009118AB" w:rsidRDefault="00970435" w:rsidP="005F0C4E">
      <w:pPr>
        <w:jc w:val="both"/>
        <w:rPr>
          <w:bCs/>
          <w:spacing w:val="-2"/>
        </w:rPr>
      </w:pPr>
      <w:r>
        <w:rPr>
          <w:bCs/>
          <w:spacing w:val="-2"/>
        </w:rPr>
        <w:t>- </w:t>
      </w:r>
      <w:r w:rsidR="00700AD2" w:rsidRPr="009118AB">
        <w:rPr>
          <w:bCs/>
          <w:spacing w:val="-2"/>
        </w:rPr>
        <w:t>die Artikel</w:t>
      </w:r>
      <w:r>
        <w:rPr>
          <w:bCs/>
          <w:spacing w:val="-2"/>
        </w:rPr>
        <w:t> </w:t>
      </w:r>
      <w:r w:rsidR="00700AD2" w:rsidRPr="009118AB">
        <w:rPr>
          <w:bCs/>
          <w:spacing w:val="-2"/>
        </w:rPr>
        <w:t>45 bis 62 des Gesetzes vom 18. Dezember 2015 zur Umsetzung der Richtlinie 2013/34/EU des Euro</w:t>
      </w:r>
      <w:r w:rsidR="00700AD2" w:rsidRPr="009118AB">
        <w:rPr>
          <w:bCs/>
          <w:spacing w:val="-2"/>
        </w:rPr>
        <w:softHyphen/>
        <w:t>päischen Parlaments und des Rates vom 26. Juni 2013 über den Jahresabschluss, den konsolidierten Abschluss und damit verbundene Berichte von Unternehmen bestimmter Rechtsformen und zur Änderung der Richtlinie 2006/43/EG des Europäischen Parla</w:t>
      </w:r>
      <w:r w:rsidR="00700AD2" w:rsidRPr="009118AB">
        <w:rPr>
          <w:bCs/>
          <w:spacing w:val="-2"/>
        </w:rPr>
        <w:softHyphen/>
        <w:t>ments und des Rates und zur Aufhebung der Richtlinien 78/660/EWG und 83/349/EWG des Rates (</w:t>
      </w:r>
      <w:r w:rsidR="00700AD2" w:rsidRPr="009118AB">
        <w:rPr>
          <w:bCs/>
          <w:i/>
          <w:spacing w:val="-2"/>
        </w:rPr>
        <w:t>Belgisches Staatsblatt</w:t>
      </w:r>
      <w:r w:rsidR="00700AD2" w:rsidRPr="009118AB">
        <w:rPr>
          <w:bCs/>
          <w:spacing w:val="-2"/>
        </w:rPr>
        <w:t xml:space="preserve"> vom 30. Dezember 2015)</w:t>
      </w:r>
      <w:r w:rsidR="007D0EAE" w:rsidRPr="009118AB">
        <w:rPr>
          <w:bCs/>
          <w:spacing w:val="-2"/>
        </w:rPr>
        <w:t xml:space="preserve"> </w:t>
      </w:r>
      <w:r w:rsidR="007D0EAE" w:rsidRPr="009118AB">
        <w:rPr>
          <w:bCs/>
          <w:i/>
          <w:spacing w:val="-2"/>
        </w:rPr>
        <w:t>(I)</w:t>
      </w:r>
      <w:r w:rsidR="00E56969" w:rsidRPr="009118AB">
        <w:rPr>
          <w:bCs/>
          <w:spacing w:val="-2"/>
        </w:rPr>
        <w:t>,</w:t>
      </w:r>
    </w:p>
    <w:p w14:paraId="3DA1200B" w14:textId="77777777" w:rsidR="00E56969" w:rsidRPr="009118AB" w:rsidRDefault="00E56969" w:rsidP="005F0C4E">
      <w:pPr>
        <w:jc w:val="both"/>
        <w:rPr>
          <w:bCs/>
          <w:spacing w:val="-2"/>
        </w:rPr>
      </w:pPr>
    </w:p>
    <w:p w14:paraId="69571C16" w14:textId="677637F8" w:rsidR="00E56969" w:rsidRPr="009118AB" w:rsidRDefault="00970435" w:rsidP="005F0C4E">
      <w:pPr>
        <w:jc w:val="both"/>
        <w:rPr>
          <w:bCs/>
          <w:spacing w:val="-2"/>
        </w:rPr>
      </w:pPr>
      <w:r>
        <w:rPr>
          <w:bCs/>
          <w:spacing w:val="-2"/>
        </w:rPr>
        <w:t>- </w:t>
      </w:r>
      <w:r w:rsidR="00E56969" w:rsidRPr="009118AB">
        <w:rPr>
          <w:bCs/>
          <w:spacing w:val="-2"/>
        </w:rPr>
        <w:t>das Gesetz vom 18. Dezember 2015 zur Festlegung steuerrechtlicher und sonstiger Bestimmungen (</w:t>
      </w:r>
      <w:r w:rsidR="00E56969" w:rsidRPr="009118AB">
        <w:rPr>
          <w:bCs/>
          <w:i/>
          <w:spacing w:val="-2"/>
        </w:rPr>
        <w:t>Belgisches Staatsblatt</w:t>
      </w:r>
      <w:r w:rsidR="00E56969" w:rsidRPr="009118AB">
        <w:rPr>
          <w:bCs/>
          <w:spacing w:val="-2"/>
        </w:rPr>
        <w:t xml:space="preserve"> vom 15. Juni 2016) </w:t>
      </w:r>
      <w:r w:rsidR="00EC1B5B" w:rsidRPr="009118AB">
        <w:rPr>
          <w:bCs/>
          <w:i/>
          <w:spacing w:val="-2"/>
        </w:rPr>
        <w:t>(II)</w:t>
      </w:r>
      <w:r w:rsidR="00EC1B5B" w:rsidRPr="009118AB">
        <w:rPr>
          <w:bCs/>
          <w:spacing w:val="-2"/>
        </w:rPr>
        <w:t>,</w:t>
      </w:r>
    </w:p>
    <w:p w14:paraId="4DDD6CE1" w14:textId="77777777" w:rsidR="00EC1B5B" w:rsidRPr="009118AB" w:rsidRDefault="00EC1B5B" w:rsidP="005F0C4E">
      <w:pPr>
        <w:jc w:val="both"/>
        <w:rPr>
          <w:bCs/>
          <w:spacing w:val="-2"/>
        </w:rPr>
      </w:pPr>
    </w:p>
    <w:p w14:paraId="42A6DB5D" w14:textId="76E049F9" w:rsidR="00EC1B5B" w:rsidRPr="009118AB" w:rsidRDefault="00970435" w:rsidP="005F0C4E">
      <w:pPr>
        <w:jc w:val="both"/>
      </w:pPr>
      <w:r>
        <w:lastRenderedPageBreak/>
        <w:t>- </w:t>
      </w:r>
      <w:r w:rsidR="00EC1B5B" w:rsidRPr="009118AB">
        <w:t>die Artikel 93 und 102 bis 110 des Programmgesetzes (I) vom 26. Dezember 2015 (</w:t>
      </w:r>
      <w:r w:rsidR="00EC1B5B" w:rsidRPr="009118AB">
        <w:rPr>
          <w:i/>
        </w:rPr>
        <w:t>Belgisches Staatsblatt</w:t>
      </w:r>
      <w:r w:rsidR="00EC1B5B" w:rsidRPr="009118AB">
        <w:t xml:space="preserve"> vom 25. Juli 2016)</w:t>
      </w:r>
      <w:r w:rsidR="000B354C" w:rsidRPr="009118AB">
        <w:t xml:space="preserve"> </w:t>
      </w:r>
      <w:r w:rsidR="000B354C" w:rsidRPr="009118AB">
        <w:rPr>
          <w:i/>
        </w:rPr>
        <w:t>(I)</w:t>
      </w:r>
      <w:r w:rsidR="000B354C" w:rsidRPr="009118AB">
        <w:t>,</w:t>
      </w:r>
    </w:p>
    <w:p w14:paraId="163A60A5" w14:textId="77777777" w:rsidR="000B354C" w:rsidRPr="009118AB" w:rsidRDefault="000B354C" w:rsidP="005F0C4E">
      <w:pPr>
        <w:jc w:val="both"/>
      </w:pPr>
    </w:p>
    <w:p w14:paraId="589A55F5" w14:textId="5534DE32" w:rsidR="000B354C" w:rsidRPr="009118AB" w:rsidRDefault="00970435" w:rsidP="005F0C4E">
      <w:pPr>
        <w:jc w:val="both"/>
      </w:pPr>
      <w:r>
        <w:t>- </w:t>
      </w:r>
      <w:r w:rsidR="000B354C" w:rsidRPr="009118AB">
        <w:t>die Artikel 43 bis 109, 137, 138</w:t>
      </w:r>
      <w:r w:rsidR="00856C91" w:rsidRPr="009118AB">
        <w:t xml:space="preserve"> und 140 bis 153 des Gesetzes vom 26. Dezember 2015 über Maßnahmen zur verstärkten Schaffung von Arbeitsplätzen und zur Stärkung der Kaufkraft (</w:t>
      </w:r>
      <w:r w:rsidR="00856C91" w:rsidRPr="009118AB">
        <w:rPr>
          <w:i/>
        </w:rPr>
        <w:t>Belgisches Staatsblatt</w:t>
      </w:r>
      <w:r w:rsidR="00856C91" w:rsidRPr="009118AB">
        <w:t xml:space="preserve"> vom 4. Oktober 2016) </w:t>
      </w:r>
      <w:r w:rsidR="00856C91" w:rsidRPr="009118AB">
        <w:rPr>
          <w:i/>
        </w:rPr>
        <w:t>(II)</w:t>
      </w:r>
      <w:r w:rsidR="002A5643" w:rsidRPr="009118AB">
        <w:t>,</w:t>
      </w:r>
    </w:p>
    <w:p w14:paraId="33E084CD" w14:textId="77777777" w:rsidR="002A5643" w:rsidRPr="009118AB" w:rsidRDefault="002A5643" w:rsidP="005F0C4E">
      <w:pPr>
        <w:jc w:val="both"/>
      </w:pPr>
    </w:p>
    <w:p w14:paraId="47537C6C" w14:textId="6A96193B" w:rsidR="002A5643" w:rsidRPr="009118AB" w:rsidRDefault="00970435" w:rsidP="005F0C4E">
      <w:pPr>
        <w:jc w:val="both"/>
      </w:pPr>
      <w:r>
        <w:t>- </w:t>
      </w:r>
      <w:r w:rsidR="002A5643" w:rsidRPr="009118AB">
        <w:t>die Artikel 2 bis 37 des Gesetzes vom 27. April 2016 zur Anpassung der Bestimmungen zur Verleihung von Titeln und Dienstgraden in den Steuergesetzbüchern und den Gesetzesbestimmungen im Bereich Zoll und Akzisen und zur Festlegung verschiedener anderer Bestimmungen (</w:t>
      </w:r>
      <w:r w:rsidR="002A5643" w:rsidRPr="009118AB">
        <w:rPr>
          <w:i/>
        </w:rPr>
        <w:t>Belgisches Staatsblatt</w:t>
      </w:r>
      <w:r w:rsidR="00E9301C" w:rsidRPr="009118AB">
        <w:t xml:space="preserve"> vom 31. Oktober 2016),</w:t>
      </w:r>
    </w:p>
    <w:p w14:paraId="68D90DCE" w14:textId="77777777" w:rsidR="00E9301C" w:rsidRPr="009118AB" w:rsidRDefault="00E9301C" w:rsidP="005F0C4E">
      <w:pPr>
        <w:jc w:val="both"/>
      </w:pPr>
    </w:p>
    <w:p w14:paraId="69F3781E" w14:textId="54CBF7BA" w:rsidR="00E9301C" w:rsidRPr="009118AB" w:rsidRDefault="00970435" w:rsidP="00E9301C">
      <w:pPr>
        <w:jc w:val="both"/>
      </w:pPr>
      <w:r>
        <w:t>- </w:t>
      </w:r>
      <w:r w:rsidR="00E9301C" w:rsidRPr="009118AB">
        <w:t>das Gesetz vom 26. Mai 2016 zur Abänderung von Artikel 194</w:t>
      </w:r>
      <w:r w:rsidR="00E9301C" w:rsidRPr="009118AB">
        <w:rPr>
          <w:i/>
        </w:rPr>
        <w:t>ter</w:t>
      </w:r>
      <w:r w:rsidR="00E9301C" w:rsidRPr="009118AB">
        <w:t xml:space="preserve"> des Einkommensteuer</w:t>
      </w:r>
      <w:r w:rsidR="00E9301C" w:rsidRPr="009118AB">
        <w:softHyphen/>
        <w:t>gesetzbuches 1992 in Bezug auf die Tax-Shelter-Regelung zugunsten der audiovisuellen Produktion (</w:t>
      </w:r>
      <w:r w:rsidR="00E9301C" w:rsidRPr="009118AB">
        <w:rPr>
          <w:i/>
        </w:rPr>
        <w:t>Belgisches Staatsblatt</w:t>
      </w:r>
      <w:r w:rsidR="002817D5" w:rsidRPr="009118AB">
        <w:t xml:space="preserve"> vom 15. Dezember 2016),</w:t>
      </w:r>
    </w:p>
    <w:p w14:paraId="3C540066" w14:textId="77777777" w:rsidR="00CA1BCD" w:rsidRPr="009118AB" w:rsidRDefault="00CA1BCD" w:rsidP="00CA1BCD">
      <w:pPr>
        <w:jc w:val="both"/>
        <w:rPr>
          <w:bCs/>
        </w:rPr>
      </w:pPr>
    </w:p>
    <w:p w14:paraId="7DA0194D" w14:textId="768A5590" w:rsidR="00CA1BCD" w:rsidRPr="009118AB" w:rsidRDefault="00970435" w:rsidP="00CA1BCD">
      <w:pPr>
        <w:jc w:val="both"/>
      </w:pPr>
      <w:r>
        <w:rPr>
          <w:bCs/>
        </w:rPr>
        <w:t>- </w:t>
      </w:r>
      <w:r w:rsidR="00CA1BCD" w:rsidRPr="009118AB">
        <w:rPr>
          <w:bCs/>
        </w:rPr>
        <w:t>die Artikel 35 bis 39, 44 bis 50 und 53 bis 65 des Programmgesetzes vom 1. Juli 2016 (</w:t>
      </w:r>
      <w:r w:rsidR="00CA1BCD" w:rsidRPr="009118AB">
        <w:rPr>
          <w:bCs/>
          <w:i/>
        </w:rPr>
        <w:t>Belgisches Staatsblatt</w:t>
      </w:r>
      <w:r w:rsidR="00CA1BCD" w:rsidRPr="009118AB">
        <w:rPr>
          <w:bCs/>
        </w:rPr>
        <w:t xml:space="preserve"> vom 2. März 2017),</w:t>
      </w:r>
    </w:p>
    <w:p w14:paraId="01F78D6C" w14:textId="77777777" w:rsidR="002817D5" w:rsidRPr="009118AB" w:rsidRDefault="002817D5" w:rsidP="00E9301C">
      <w:pPr>
        <w:jc w:val="both"/>
      </w:pPr>
    </w:p>
    <w:p w14:paraId="10F911D3" w14:textId="379E73C6" w:rsidR="000A1B1F" w:rsidRPr="009118AB" w:rsidRDefault="00970435" w:rsidP="002B1D7D">
      <w:pPr>
        <w:autoSpaceDE w:val="0"/>
        <w:autoSpaceDN w:val="0"/>
        <w:adjustRightInd w:val="0"/>
        <w:jc w:val="both"/>
        <w:rPr>
          <w:iCs/>
          <w:spacing w:val="-4"/>
        </w:rPr>
      </w:pPr>
      <w:r>
        <w:rPr>
          <w:iCs/>
          <w:spacing w:val="-4"/>
        </w:rPr>
        <w:t>- </w:t>
      </w:r>
      <w:r w:rsidR="002817D5" w:rsidRPr="009118AB">
        <w:rPr>
          <w:iCs/>
          <w:spacing w:val="-4"/>
        </w:rPr>
        <w:t>das Gesetz vom 10. Juli 2016 zur Abänderung des Einkommensteuergesetzbuches 1992 in Bezug auf unentgeltliche Zuwendungen an Hochschulen (</w:t>
      </w:r>
      <w:r w:rsidR="002817D5" w:rsidRPr="009118AB">
        <w:rPr>
          <w:i/>
          <w:iCs/>
          <w:spacing w:val="-4"/>
        </w:rPr>
        <w:t>Belgisches Staatsblatt</w:t>
      </w:r>
      <w:r w:rsidR="002817D5" w:rsidRPr="009118AB">
        <w:rPr>
          <w:iCs/>
          <w:spacing w:val="-4"/>
        </w:rPr>
        <w:t xml:space="preserve"> vom 2. März 20</w:t>
      </w:r>
      <w:r w:rsidR="003452ED" w:rsidRPr="009118AB">
        <w:rPr>
          <w:iCs/>
          <w:spacing w:val="-4"/>
        </w:rPr>
        <w:t>17),</w:t>
      </w:r>
    </w:p>
    <w:p w14:paraId="3E2D77DD" w14:textId="77777777" w:rsidR="003452ED" w:rsidRPr="009118AB" w:rsidRDefault="003452ED" w:rsidP="002B1D7D">
      <w:pPr>
        <w:autoSpaceDE w:val="0"/>
        <w:autoSpaceDN w:val="0"/>
        <w:adjustRightInd w:val="0"/>
        <w:jc w:val="both"/>
        <w:rPr>
          <w:iCs/>
        </w:rPr>
      </w:pPr>
    </w:p>
    <w:p w14:paraId="715C2A34" w14:textId="389C41ED" w:rsidR="003452ED" w:rsidRPr="009118AB" w:rsidRDefault="00970435" w:rsidP="002B1D7D">
      <w:pPr>
        <w:autoSpaceDE w:val="0"/>
        <w:autoSpaceDN w:val="0"/>
        <w:adjustRightInd w:val="0"/>
        <w:jc w:val="both"/>
        <w:rPr>
          <w:iCs/>
        </w:rPr>
      </w:pPr>
      <w:r>
        <w:rPr>
          <w:iCs/>
        </w:rPr>
        <w:t>- </w:t>
      </w:r>
      <w:r w:rsidR="003452ED" w:rsidRPr="009118AB">
        <w:rPr>
          <w:iCs/>
        </w:rPr>
        <w:t>das Gesetz vom 3. August 2016 zur Festlegung dringender steuerrechtlicher Bestimmungen (</w:t>
      </w:r>
      <w:r w:rsidR="003452ED" w:rsidRPr="009118AB">
        <w:rPr>
          <w:i/>
          <w:iCs/>
        </w:rPr>
        <w:t>Belgisches Staatsblatt</w:t>
      </w:r>
      <w:r w:rsidR="003452ED" w:rsidRPr="009118AB">
        <w:rPr>
          <w:iCs/>
        </w:rPr>
        <w:t xml:space="preserve"> vom 28. März 2017)</w:t>
      </w:r>
      <w:r w:rsidR="00E616A4" w:rsidRPr="009118AB">
        <w:rPr>
          <w:iCs/>
        </w:rPr>
        <w:t xml:space="preserve"> </w:t>
      </w:r>
      <w:r w:rsidR="00E616A4" w:rsidRPr="009118AB">
        <w:rPr>
          <w:i/>
          <w:iCs/>
        </w:rPr>
        <w:t>(I)</w:t>
      </w:r>
      <w:r w:rsidR="00E616A4" w:rsidRPr="009118AB">
        <w:rPr>
          <w:iCs/>
        </w:rPr>
        <w:t>,</w:t>
      </w:r>
    </w:p>
    <w:p w14:paraId="77CC13AF" w14:textId="77777777" w:rsidR="00E616A4" w:rsidRPr="009118AB" w:rsidRDefault="00E616A4" w:rsidP="002B1D7D">
      <w:pPr>
        <w:autoSpaceDE w:val="0"/>
        <w:autoSpaceDN w:val="0"/>
        <w:adjustRightInd w:val="0"/>
        <w:jc w:val="both"/>
        <w:rPr>
          <w:iCs/>
        </w:rPr>
      </w:pPr>
    </w:p>
    <w:p w14:paraId="6B1C1815" w14:textId="75E68A3F" w:rsidR="00E616A4" w:rsidRPr="009118AB" w:rsidRDefault="00970435" w:rsidP="002B1D7D">
      <w:pPr>
        <w:autoSpaceDE w:val="0"/>
        <w:autoSpaceDN w:val="0"/>
        <w:adjustRightInd w:val="0"/>
        <w:jc w:val="both"/>
        <w:rPr>
          <w:iCs/>
        </w:rPr>
      </w:pPr>
      <w:r>
        <w:rPr>
          <w:iCs/>
        </w:rPr>
        <w:t>- </w:t>
      </w:r>
      <w:r w:rsidR="00E616A4" w:rsidRPr="009118AB">
        <w:rPr>
          <w:iCs/>
        </w:rPr>
        <w:t>das Gesetz vom 3. August 2016 zur Abänderung des Einkommensteuergesetzbuches 1992 in Bezug auf die Steuergutschrift für niedrige Einkünfte aus Tätigkeiten (</w:t>
      </w:r>
      <w:r w:rsidR="00E616A4" w:rsidRPr="009118AB">
        <w:rPr>
          <w:i/>
          <w:iCs/>
        </w:rPr>
        <w:t>Belgisches Staatsblatt</w:t>
      </w:r>
      <w:r w:rsidR="00E616A4" w:rsidRPr="009118AB">
        <w:rPr>
          <w:iCs/>
        </w:rPr>
        <w:t xml:space="preserve"> vom 6. April 2017) </w:t>
      </w:r>
      <w:r w:rsidR="00E616A4" w:rsidRPr="009118AB">
        <w:rPr>
          <w:i/>
          <w:iCs/>
        </w:rPr>
        <w:t>(II)</w:t>
      </w:r>
      <w:r w:rsidR="00E616A4" w:rsidRPr="009118AB">
        <w:rPr>
          <w:iCs/>
        </w:rPr>
        <w:t>,</w:t>
      </w:r>
    </w:p>
    <w:p w14:paraId="2FD4D30B" w14:textId="77777777" w:rsidR="00E616A4" w:rsidRPr="009118AB" w:rsidRDefault="00E616A4" w:rsidP="002B1D7D">
      <w:pPr>
        <w:autoSpaceDE w:val="0"/>
        <w:autoSpaceDN w:val="0"/>
        <w:adjustRightInd w:val="0"/>
        <w:jc w:val="both"/>
        <w:rPr>
          <w:iCs/>
        </w:rPr>
      </w:pPr>
    </w:p>
    <w:p w14:paraId="12B118C0" w14:textId="77777777" w:rsidR="00FD0057" w:rsidRPr="009118AB" w:rsidRDefault="00281C7B" w:rsidP="00FD0057">
      <w:pPr>
        <w:autoSpaceDE w:val="0"/>
        <w:autoSpaceDN w:val="0"/>
        <w:adjustRightInd w:val="0"/>
        <w:jc w:val="both"/>
        <w:rPr>
          <w:iCs/>
        </w:rPr>
      </w:pPr>
      <w:r w:rsidRPr="009118AB">
        <w:rPr>
          <w:iCs/>
        </w:rPr>
        <w:t>- </w:t>
      </w:r>
      <w:r w:rsidR="00BB6BCF" w:rsidRPr="009118AB">
        <w:rPr>
          <w:iCs/>
        </w:rPr>
        <w:t>das Gesetz vom 3. August 2016 über den Steuerfreibetrag für Kinder im Falle von Mitelternschaft</w:t>
      </w:r>
      <w:r w:rsidR="00FD0057" w:rsidRPr="009118AB">
        <w:rPr>
          <w:iCs/>
        </w:rPr>
        <w:t xml:space="preserve"> Tätigkeiten (</w:t>
      </w:r>
      <w:r w:rsidR="00FD0057" w:rsidRPr="009118AB">
        <w:rPr>
          <w:i/>
          <w:iCs/>
        </w:rPr>
        <w:t>Belgisches Staatsblatt</w:t>
      </w:r>
      <w:r w:rsidR="00FD0057" w:rsidRPr="009118AB">
        <w:rPr>
          <w:iCs/>
        </w:rPr>
        <w:t xml:space="preserve"> vom 6. April 2017) </w:t>
      </w:r>
      <w:r w:rsidR="00FD0057" w:rsidRPr="009118AB">
        <w:rPr>
          <w:i/>
          <w:iCs/>
        </w:rPr>
        <w:t>(III)</w:t>
      </w:r>
      <w:r w:rsidR="00FD0057" w:rsidRPr="009118AB">
        <w:rPr>
          <w:iCs/>
        </w:rPr>
        <w:t>,</w:t>
      </w:r>
    </w:p>
    <w:p w14:paraId="2F0F49BB" w14:textId="77777777" w:rsidR="00281C7B" w:rsidRPr="009118AB" w:rsidRDefault="00281C7B" w:rsidP="00FD0057">
      <w:pPr>
        <w:autoSpaceDE w:val="0"/>
        <w:autoSpaceDN w:val="0"/>
        <w:adjustRightInd w:val="0"/>
        <w:jc w:val="both"/>
        <w:rPr>
          <w:iCs/>
        </w:rPr>
      </w:pPr>
    </w:p>
    <w:p w14:paraId="788C4573" w14:textId="77777777" w:rsidR="00281C7B" w:rsidRPr="009118AB" w:rsidRDefault="00281C7B" w:rsidP="00281C7B">
      <w:pPr>
        <w:autoSpaceDE w:val="0"/>
        <w:autoSpaceDN w:val="0"/>
        <w:adjustRightInd w:val="0"/>
        <w:jc w:val="both"/>
        <w:rPr>
          <w:iCs/>
        </w:rPr>
      </w:pPr>
      <w:r w:rsidRPr="009118AB">
        <w:rPr>
          <w:iCs/>
        </w:rPr>
        <w:t xml:space="preserve">- das Gesetz vom 3. August 2016 </w:t>
      </w:r>
      <w:r w:rsidRPr="009118AB">
        <w:t xml:space="preserve">zur Einführung einer neuen jährlichen Steuer auf Kreditinstitute zur Ersetzung der bestehenden jährlichen Steuern, der Maßnahmen zur Begrenzung der Abzüge im Rahmen der Gesellschaftssteuer und des Beitrags zur Finanzstabilität </w:t>
      </w:r>
      <w:r w:rsidRPr="009118AB">
        <w:rPr>
          <w:iCs/>
        </w:rPr>
        <w:t>(</w:t>
      </w:r>
      <w:r w:rsidRPr="009118AB">
        <w:rPr>
          <w:i/>
          <w:iCs/>
        </w:rPr>
        <w:t>Belgisches Staatsblatt</w:t>
      </w:r>
      <w:r w:rsidRPr="009118AB">
        <w:rPr>
          <w:iCs/>
        </w:rPr>
        <w:t xml:space="preserve"> vom 7. April 2017) </w:t>
      </w:r>
      <w:r w:rsidRPr="009118AB">
        <w:rPr>
          <w:i/>
          <w:iCs/>
        </w:rPr>
        <w:t>(IV)</w:t>
      </w:r>
      <w:r w:rsidRPr="009118AB">
        <w:rPr>
          <w:iCs/>
        </w:rPr>
        <w:t>,</w:t>
      </w:r>
    </w:p>
    <w:p w14:paraId="385147A9" w14:textId="77777777" w:rsidR="00E616A4" w:rsidRPr="009118AB" w:rsidRDefault="00E616A4" w:rsidP="002B1D7D">
      <w:pPr>
        <w:autoSpaceDE w:val="0"/>
        <w:autoSpaceDN w:val="0"/>
        <w:adjustRightInd w:val="0"/>
        <w:jc w:val="both"/>
        <w:rPr>
          <w:b/>
          <w:iCs/>
        </w:rPr>
      </w:pPr>
    </w:p>
    <w:p w14:paraId="2136F40A" w14:textId="01915A50" w:rsidR="00B21B80" w:rsidRPr="009118AB" w:rsidRDefault="00970435" w:rsidP="00B21B80">
      <w:pPr>
        <w:autoSpaceDE w:val="0"/>
        <w:autoSpaceDN w:val="0"/>
        <w:adjustRightInd w:val="0"/>
        <w:jc w:val="both"/>
        <w:rPr>
          <w:iCs/>
        </w:rPr>
      </w:pPr>
      <w:r>
        <w:rPr>
          <w:iCs/>
        </w:rPr>
        <w:t>- </w:t>
      </w:r>
      <w:r w:rsidR="00B21B80" w:rsidRPr="009118AB">
        <w:rPr>
          <w:iCs/>
        </w:rPr>
        <w:t>das Gesetz vom 3. August 2016 zur Abänderung des Einkommensteuergesetzbuches 1992 in Bezug auf die Einreichung eines schriftlichen Widerspruchs (</w:t>
      </w:r>
      <w:r w:rsidR="00B21B80" w:rsidRPr="009118AB">
        <w:rPr>
          <w:i/>
          <w:iCs/>
        </w:rPr>
        <w:t>Belgisches Staatsblatt</w:t>
      </w:r>
      <w:r w:rsidR="00B21B80" w:rsidRPr="009118AB">
        <w:rPr>
          <w:iCs/>
        </w:rPr>
        <w:t xml:space="preserve"> vom 6. April 2017) </w:t>
      </w:r>
      <w:r w:rsidR="00B21B80" w:rsidRPr="009118AB">
        <w:rPr>
          <w:i/>
          <w:iCs/>
        </w:rPr>
        <w:t>(V)</w:t>
      </w:r>
      <w:r w:rsidR="00E9217A" w:rsidRPr="009118AB">
        <w:rPr>
          <w:iCs/>
        </w:rPr>
        <w:t>,</w:t>
      </w:r>
    </w:p>
    <w:p w14:paraId="543CEEB6" w14:textId="77777777" w:rsidR="00923F2F" w:rsidRPr="009118AB" w:rsidRDefault="00923F2F" w:rsidP="00B21B80">
      <w:pPr>
        <w:autoSpaceDE w:val="0"/>
        <w:autoSpaceDN w:val="0"/>
        <w:adjustRightInd w:val="0"/>
        <w:jc w:val="both"/>
        <w:rPr>
          <w:iCs/>
        </w:rPr>
      </w:pPr>
    </w:p>
    <w:p w14:paraId="409E961B" w14:textId="5A2DC0B9" w:rsidR="00923F2F" w:rsidRPr="009118AB" w:rsidRDefault="00923F2F" w:rsidP="00923F2F">
      <w:pPr>
        <w:jc w:val="both"/>
      </w:pPr>
      <w:r w:rsidRPr="009118AB">
        <w:rPr>
          <w:iCs/>
        </w:rPr>
        <w:t>-</w:t>
      </w:r>
      <w:r w:rsidR="002935DF" w:rsidRPr="009118AB">
        <w:rPr>
          <w:iCs/>
        </w:rPr>
        <w:t> </w:t>
      </w:r>
      <w:r w:rsidRPr="009118AB">
        <w:t>das Programmgesetz vom 3. August 2016</w:t>
      </w:r>
      <w:r w:rsidR="002935DF" w:rsidRPr="009118AB">
        <w:t> </w:t>
      </w:r>
      <w:r w:rsidRPr="009118AB">
        <w:t>(II) (</w:t>
      </w:r>
      <w:r w:rsidRPr="009118AB">
        <w:rPr>
          <w:i/>
        </w:rPr>
        <w:t>Belgisches Staatsblatt</w:t>
      </w:r>
      <w:r w:rsidRPr="009118AB">
        <w:t xml:space="preserve"> vom 14. April 2017) </w:t>
      </w:r>
      <w:r w:rsidRPr="009118AB">
        <w:rPr>
          <w:i/>
        </w:rPr>
        <w:t>(VI)</w:t>
      </w:r>
      <w:r w:rsidRPr="009118AB">
        <w:t>,</w:t>
      </w:r>
    </w:p>
    <w:p w14:paraId="1EF1696B" w14:textId="77777777" w:rsidR="00923F2F" w:rsidRPr="009118AB" w:rsidRDefault="00923F2F" w:rsidP="00923F2F">
      <w:pPr>
        <w:jc w:val="both"/>
      </w:pPr>
    </w:p>
    <w:p w14:paraId="2E65FF05" w14:textId="77777777" w:rsidR="00E9217A" w:rsidRPr="009118AB" w:rsidRDefault="00923F2F" w:rsidP="00B21B80">
      <w:pPr>
        <w:autoSpaceDE w:val="0"/>
        <w:autoSpaceDN w:val="0"/>
        <w:adjustRightInd w:val="0"/>
        <w:jc w:val="both"/>
        <w:rPr>
          <w:iCs/>
        </w:rPr>
      </w:pPr>
      <w:r w:rsidRPr="009118AB">
        <w:rPr>
          <w:iCs/>
        </w:rPr>
        <w:t>- </w:t>
      </w:r>
      <w:r w:rsidR="00E9217A" w:rsidRPr="009118AB">
        <w:rPr>
          <w:iCs/>
        </w:rPr>
        <w:t>das Gesetz vom 1. Dezember 2016 zur Festlegung steuerrechtlicher Bestimmungen (</w:t>
      </w:r>
      <w:r w:rsidR="00E9217A" w:rsidRPr="009118AB">
        <w:rPr>
          <w:i/>
          <w:iCs/>
        </w:rPr>
        <w:t>Belgisches Staatsblatt</w:t>
      </w:r>
      <w:r w:rsidR="00AE15B6" w:rsidRPr="009118AB">
        <w:rPr>
          <w:iCs/>
        </w:rPr>
        <w:t xml:space="preserve"> vom 17. März 2017),</w:t>
      </w:r>
    </w:p>
    <w:p w14:paraId="19F531CB" w14:textId="77777777" w:rsidR="00AE15B6" w:rsidRPr="009118AB" w:rsidRDefault="00AE15B6" w:rsidP="00B21B80">
      <w:pPr>
        <w:autoSpaceDE w:val="0"/>
        <w:autoSpaceDN w:val="0"/>
        <w:adjustRightInd w:val="0"/>
        <w:jc w:val="both"/>
        <w:rPr>
          <w:iCs/>
        </w:rPr>
      </w:pPr>
    </w:p>
    <w:p w14:paraId="6E83FD74" w14:textId="77777777" w:rsidR="00AE15B6" w:rsidRPr="009118AB" w:rsidRDefault="00AE15B6" w:rsidP="00B21B80">
      <w:pPr>
        <w:autoSpaceDE w:val="0"/>
        <w:autoSpaceDN w:val="0"/>
        <w:adjustRightInd w:val="0"/>
        <w:jc w:val="both"/>
        <w:rPr>
          <w:iCs/>
        </w:rPr>
      </w:pPr>
      <w:r w:rsidRPr="009118AB">
        <w:rPr>
          <w:iCs/>
        </w:rPr>
        <w:t>- </w:t>
      </w:r>
      <w:r w:rsidR="00703EF3" w:rsidRPr="009118AB">
        <w:rPr>
          <w:iCs/>
        </w:rPr>
        <w:t>die Artikel 37</w:t>
      </w:r>
      <w:r w:rsidR="00AD2DFC" w:rsidRPr="009118AB">
        <w:rPr>
          <w:iCs/>
        </w:rPr>
        <w:t>,</w:t>
      </w:r>
      <w:r w:rsidR="00703EF3" w:rsidRPr="009118AB">
        <w:rPr>
          <w:iCs/>
        </w:rPr>
        <w:t xml:space="preserve"> 38</w:t>
      </w:r>
      <w:r w:rsidR="00AD2DFC" w:rsidRPr="009118AB">
        <w:rPr>
          <w:iCs/>
        </w:rPr>
        <w:t>, 79 bis 82, 84 bis 87, 88 bis 93, 100, 101 und 108 bis 111</w:t>
      </w:r>
      <w:r w:rsidR="00703EF3" w:rsidRPr="009118AB">
        <w:rPr>
          <w:iCs/>
        </w:rPr>
        <w:t xml:space="preserve"> de</w:t>
      </w:r>
      <w:r w:rsidRPr="009118AB">
        <w:rPr>
          <w:iCs/>
        </w:rPr>
        <w:t>s Gesetz</w:t>
      </w:r>
      <w:r w:rsidR="00703EF3" w:rsidRPr="009118AB">
        <w:rPr>
          <w:iCs/>
        </w:rPr>
        <w:t>es</w:t>
      </w:r>
      <w:r w:rsidRPr="009118AB">
        <w:rPr>
          <w:iCs/>
        </w:rPr>
        <w:t xml:space="preserve"> vom 18. Dezember 2016 zur Regelung der Anerkennung und zur Festlegung des Rahmens von </w:t>
      </w:r>
      <w:r w:rsidRPr="009118AB">
        <w:rPr>
          <w:iCs/>
        </w:rPr>
        <w:lastRenderedPageBreak/>
        <w:t>Crowdfunding und zur Festlegung verschiedener Bestimmungen im Bereich Finanzen (</w:t>
      </w:r>
      <w:r w:rsidRPr="009118AB">
        <w:rPr>
          <w:i/>
          <w:iCs/>
        </w:rPr>
        <w:t>Belgisches Staatsblatt</w:t>
      </w:r>
      <w:r w:rsidRPr="009118AB">
        <w:rPr>
          <w:iCs/>
        </w:rPr>
        <w:t xml:space="preserve"> vom 9. August</w:t>
      </w:r>
      <w:r w:rsidR="00AF5FF4" w:rsidRPr="009118AB">
        <w:rPr>
          <w:iCs/>
        </w:rPr>
        <w:t> 2017)</w:t>
      </w:r>
      <w:r w:rsidR="004E359B" w:rsidRPr="009118AB">
        <w:rPr>
          <w:iCs/>
        </w:rPr>
        <w:t> </w:t>
      </w:r>
      <w:r w:rsidR="004E359B" w:rsidRPr="009118AB">
        <w:rPr>
          <w:i/>
          <w:iCs/>
        </w:rPr>
        <w:t>(I)</w:t>
      </w:r>
      <w:r w:rsidR="00AF5FF4" w:rsidRPr="009118AB">
        <w:rPr>
          <w:iCs/>
        </w:rPr>
        <w:t>,</w:t>
      </w:r>
    </w:p>
    <w:p w14:paraId="589F3AA2" w14:textId="77777777" w:rsidR="002817D5" w:rsidRPr="009118AB" w:rsidRDefault="002817D5" w:rsidP="002B1D7D">
      <w:pPr>
        <w:autoSpaceDE w:val="0"/>
        <w:autoSpaceDN w:val="0"/>
        <w:adjustRightInd w:val="0"/>
        <w:jc w:val="both"/>
        <w:rPr>
          <w:iCs/>
        </w:rPr>
      </w:pPr>
    </w:p>
    <w:p w14:paraId="6F993D7A" w14:textId="2ABF1282" w:rsidR="00AD5461" w:rsidRPr="009118AB" w:rsidRDefault="00970435" w:rsidP="002B1D7D">
      <w:pPr>
        <w:autoSpaceDE w:val="0"/>
        <w:autoSpaceDN w:val="0"/>
        <w:adjustRightInd w:val="0"/>
        <w:jc w:val="both"/>
        <w:rPr>
          <w:iCs/>
        </w:rPr>
      </w:pPr>
      <w:r>
        <w:rPr>
          <w:iCs/>
        </w:rPr>
        <w:t>- </w:t>
      </w:r>
      <w:r w:rsidR="00AD5461" w:rsidRPr="009118AB">
        <w:rPr>
          <w:iCs/>
        </w:rPr>
        <w:t>die Artikel</w:t>
      </w:r>
      <w:r>
        <w:rPr>
          <w:iCs/>
        </w:rPr>
        <w:t> </w:t>
      </w:r>
      <w:r w:rsidR="00AD5461" w:rsidRPr="009118AB">
        <w:rPr>
          <w:iCs/>
        </w:rPr>
        <w:t>8 bis 11 des Gesetzes vom 18. Dezember 2016 zur Festlegung des Sozialstatuts und des steuerrechtlichen Status des Student-Selbständigen (</w:t>
      </w:r>
      <w:r w:rsidR="00AD5461" w:rsidRPr="009118AB">
        <w:rPr>
          <w:i/>
          <w:iCs/>
        </w:rPr>
        <w:t>Belgisches Staatsblatt</w:t>
      </w:r>
      <w:r w:rsidR="00AD5461" w:rsidRPr="009118AB">
        <w:rPr>
          <w:iCs/>
        </w:rPr>
        <w:t xml:space="preserve"> vom 13. September 2017) </w:t>
      </w:r>
      <w:r w:rsidR="00AD5461" w:rsidRPr="009118AB">
        <w:rPr>
          <w:i/>
          <w:iCs/>
        </w:rPr>
        <w:t>(II)</w:t>
      </w:r>
      <w:r w:rsidR="00AD5461" w:rsidRPr="009118AB">
        <w:rPr>
          <w:iCs/>
        </w:rPr>
        <w:t>,</w:t>
      </w:r>
    </w:p>
    <w:p w14:paraId="64D86F59" w14:textId="77777777" w:rsidR="00AD5461" w:rsidRPr="009118AB" w:rsidRDefault="00AD5461" w:rsidP="002B1D7D">
      <w:pPr>
        <w:autoSpaceDE w:val="0"/>
        <w:autoSpaceDN w:val="0"/>
        <w:adjustRightInd w:val="0"/>
        <w:jc w:val="both"/>
        <w:rPr>
          <w:iCs/>
        </w:rPr>
      </w:pPr>
    </w:p>
    <w:p w14:paraId="5E349740" w14:textId="4BDEB8D8" w:rsidR="00AF5FF4" w:rsidRPr="009118AB" w:rsidRDefault="00970435" w:rsidP="00AF5FF4">
      <w:pPr>
        <w:jc w:val="both"/>
        <w:rPr>
          <w:iCs/>
        </w:rPr>
      </w:pPr>
      <w:r>
        <w:rPr>
          <w:iCs/>
        </w:rPr>
        <w:t>- </w:t>
      </w:r>
      <w:r w:rsidR="00AF5FF4" w:rsidRPr="009118AB">
        <w:rPr>
          <w:iCs/>
        </w:rPr>
        <w:t>die Artikel 67 bis 99 des Programmgesetzes vom 25. Dezember 2016 (</w:t>
      </w:r>
      <w:r w:rsidR="00AF5FF4" w:rsidRPr="009118AB">
        <w:rPr>
          <w:i/>
          <w:iCs/>
        </w:rPr>
        <w:t>Belgisches Staatsblatt</w:t>
      </w:r>
      <w:r w:rsidR="00AF5FF4" w:rsidRPr="009118AB">
        <w:rPr>
          <w:iCs/>
        </w:rPr>
        <w:t xml:space="preserve"> vom 13. September 2017)</w:t>
      </w:r>
      <w:r w:rsidR="001022BB" w:rsidRPr="009118AB">
        <w:rPr>
          <w:iCs/>
        </w:rPr>
        <w:t> </w:t>
      </w:r>
      <w:r w:rsidR="001022BB" w:rsidRPr="009118AB">
        <w:rPr>
          <w:i/>
          <w:iCs/>
        </w:rPr>
        <w:t>(I)</w:t>
      </w:r>
      <w:r w:rsidR="001022BB" w:rsidRPr="009118AB">
        <w:rPr>
          <w:iCs/>
        </w:rPr>
        <w:t>,</w:t>
      </w:r>
    </w:p>
    <w:p w14:paraId="229B5E00" w14:textId="77777777" w:rsidR="001022BB" w:rsidRPr="009118AB" w:rsidRDefault="001022BB" w:rsidP="00AF5FF4">
      <w:pPr>
        <w:jc w:val="both"/>
        <w:rPr>
          <w:iCs/>
        </w:rPr>
      </w:pPr>
    </w:p>
    <w:p w14:paraId="3D71E11E" w14:textId="7B721700" w:rsidR="001022BB" w:rsidRPr="009118AB" w:rsidRDefault="00970435" w:rsidP="00AF5FF4">
      <w:pPr>
        <w:jc w:val="both"/>
        <w:rPr>
          <w:iCs/>
          <w:sz w:val="28"/>
        </w:rPr>
      </w:pPr>
      <w:r>
        <w:rPr>
          <w:iCs/>
        </w:rPr>
        <w:t>- </w:t>
      </w:r>
      <w:r w:rsidR="001022BB" w:rsidRPr="009118AB">
        <w:rPr>
          <w:iCs/>
        </w:rPr>
        <w:t>das Gesetz vom 25. Dezember 2016 zur Abänderung des Einkommensteuergesetz</w:t>
      </w:r>
      <w:r w:rsidR="002B19A7" w:rsidRPr="009118AB">
        <w:rPr>
          <w:iCs/>
        </w:rPr>
        <w:softHyphen/>
      </w:r>
      <w:r w:rsidR="001022BB" w:rsidRPr="009118AB">
        <w:rPr>
          <w:iCs/>
        </w:rPr>
        <w:t>buches</w:t>
      </w:r>
      <w:r w:rsidR="002B19A7" w:rsidRPr="009118AB">
        <w:rPr>
          <w:iCs/>
        </w:rPr>
        <w:t> </w:t>
      </w:r>
      <w:r w:rsidR="001022BB" w:rsidRPr="009118AB">
        <w:rPr>
          <w:iCs/>
        </w:rPr>
        <w:t>1992 hinsichtlich der Pensionen (</w:t>
      </w:r>
      <w:r w:rsidR="001022BB" w:rsidRPr="009118AB">
        <w:rPr>
          <w:i/>
          <w:iCs/>
        </w:rPr>
        <w:t>Belgisches Staatsblatt</w:t>
      </w:r>
      <w:r w:rsidR="001022BB" w:rsidRPr="009118AB">
        <w:rPr>
          <w:iCs/>
        </w:rPr>
        <w:t xml:space="preserve"> vom </w:t>
      </w:r>
      <w:r w:rsidR="00107B70" w:rsidRPr="009118AB">
        <w:rPr>
          <w:iCs/>
        </w:rPr>
        <w:t>3</w:t>
      </w:r>
      <w:r w:rsidR="001022BB" w:rsidRPr="009118AB">
        <w:rPr>
          <w:iCs/>
        </w:rPr>
        <w:t xml:space="preserve">. Oktober 2017) </w:t>
      </w:r>
      <w:r w:rsidR="001022BB" w:rsidRPr="009118AB">
        <w:rPr>
          <w:i/>
          <w:iCs/>
        </w:rPr>
        <w:t>(II)</w:t>
      </w:r>
      <w:r w:rsidR="00107B70" w:rsidRPr="009118AB">
        <w:rPr>
          <w:i/>
          <w:iCs/>
        </w:rPr>
        <w:t>,</w:t>
      </w:r>
    </w:p>
    <w:p w14:paraId="54D621CD" w14:textId="77777777" w:rsidR="00AF5FF4" w:rsidRPr="009118AB" w:rsidRDefault="00AF5FF4" w:rsidP="00477B8F">
      <w:pPr>
        <w:autoSpaceDE w:val="0"/>
        <w:autoSpaceDN w:val="0"/>
        <w:adjustRightInd w:val="0"/>
        <w:jc w:val="both"/>
      </w:pPr>
    </w:p>
    <w:p w14:paraId="35DB9083" w14:textId="2EEF1988" w:rsidR="00EA2EB8" w:rsidRPr="009118AB" w:rsidRDefault="00970435" w:rsidP="00107B70">
      <w:pPr>
        <w:jc w:val="both"/>
        <w:rPr>
          <w:iCs/>
        </w:rPr>
      </w:pPr>
      <w:r>
        <w:rPr>
          <w:iCs/>
        </w:rPr>
        <w:t>- </w:t>
      </w:r>
      <w:r w:rsidR="00107B70" w:rsidRPr="009118AB">
        <w:rPr>
          <w:iCs/>
        </w:rPr>
        <w:t>das Gesetz vom 25. Dezember 2016 zur Abänderung der Artikel 4 und 243/1 des Einkommensteuer</w:t>
      </w:r>
      <w:r w:rsidR="00107B70" w:rsidRPr="009118AB">
        <w:rPr>
          <w:iCs/>
        </w:rPr>
        <w:softHyphen/>
        <w:t>gesetz</w:t>
      </w:r>
      <w:r w:rsidR="00107B70" w:rsidRPr="009118AB">
        <w:rPr>
          <w:iCs/>
        </w:rPr>
        <w:softHyphen/>
        <w:t>buches 1992 (</w:t>
      </w:r>
      <w:r w:rsidR="00107B70" w:rsidRPr="009118AB">
        <w:rPr>
          <w:i/>
          <w:iCs/>
        </w:rPr>
        <w:t>Belgisches Staatsblatt</w:t>
      </w:r>
      <w:r w:rsidR="00107B70" w:rsidRPr="009118AB">
        <w:rPr>
          <w:iCs/>
        </w:rPr>
        <w:t xml:space="preserve"> vom 3. Oktober 2017) </w:t>
      </w:r>
      <w:r w:rsidR="00107B70" w:rsidRPr="009118AB">
        <w:rPr>
          <w:i/>
          <w:iCs/>
        </w:rPr>
        <w:t>(III)</w:t>
      </w:r>
      <w:r w:rsidR="00EA2EB8" w:rsidRPr="009118AB">
        <w:rPr>
          <w:iCs/>
        </w:rPr>
        <w:t>,</w:t>
      </w:r>
    </w:p>
    <w:p w14:paraId="4343BFAA" w14:textId="77777777" w:rsidR="00EA2EB8" w:rsidRPr="009118AB" w:rsidRDefault="00EA2EB8" w:rsidP="00107B70">
      <w:pPr>
        <w:jc w:val="both"/>
        <w:rPr>
          <w:iCs/>
        </w:rPr>
      </w:pPr>
    </w:p>
    <w:p w14:paraId="191CC0F1" w14:textId="6BDAE9E4" w:rsidR="004674D2" w:rsidRPr="009118AB" w:rsidRDefault="00970435" w:rsidP="00107B70">
      <w:pPr>
        <w:jc w:val="both"/>
        <w:rPr>
          <w:iCs/>
        </w:rPr>
      </w:pPr>
      <w:r>
        <w:rPr>
          <w:iCs/>
        </w:rPr>
        <w:t>- </w:t>
      </w:r>
      <w:r w:rsidR="00EA2EB8" w:rsidRPr="009118AB">
        <w:rPr>
          <w:iCs/>
        </w:rPr>
        <w:t>das Gesetz vom 25. Dezember 2016 über die Steuerbefreiung für Einkünfte, die in ein Rahmenübereinkommen zur Produktion eines Bühnenwerks investiert werden (</w:t>
      </w:r>
      <w:r w:rsidR="00EA2EB8" w:rsidRPr="009118AB">
        <w:rPr>
          <w:i/>
          <w:iCs/>
        </w:rPr>
        <w:t>Belgisches Staatsblatt</w:t>
      </w:r>
      <w:r w:rsidR="00EA2EB8" w:rsidRPr="009118AB">
        <w:rPr>
          <w:iCs/>
        </w:rPr>
        <w:t xml:space="preserve"> vom 3. November 2017) </w:t>
      </w:r>
      <w:r w:rsidR="00EA2EB8" w:rsidRPr="009118AB">
        <w:rPr>
          <w:i/>
          <w:iCs/>
        </w:rPr>
        <w:t>(IV)</w:t>
      </w:r>
      <w:r w:rsidR="0031458F" w:rsidRPr="009118AB">
        <w:rPr>
          <w:iCs/>
        </w:rPr>
        <w:t>,</w:t>
      </w:r>
    </w:p>
    <w:p w14:paraId="7F228B67" w14:textId="77777777" w:rsidR="0031458F" w:rsidRPr="009118AB" w:rsidRDefault="0031458F" w:rsidP="00107B70">
      <w:pPr>
        <w:jc w:val="both"/>
        <w:rPr>
          <w:iCs/>
        </w:rPr>
      </w:pPr>
    </w:p>
    <w:p w14:paraId="6B4AF4E9" w14:textId="1E45026B" w:rsidR="0031458F" w:rsidRPr="009118AB" w:rsidRDefault="00970435" w:rsidP="0031458F">
      <w:pPr>
        <w:autoSpaceDE w:val="0"/>
        <w:autoSpaceDN w:val="0"/>
        <w:adjustRightInd w:val="0"/>
        <w:jc w:val="both"/>
        <w:rPr>
          <w:iCs/>
        </w:rPr>
      </w:pPr>
      <w:r>
        <w:rPr>
          <w:iCs/>
        </w:rPr>
        <w:t>- </w:t>
      </w:r>
      <w:r w:rsidR="0031458F" w:rsidRPr="009118AB">
        <w:rPr>
          <w:iCs/>
        </w:rPr>
        <w:t>das Gesetz vom 9. Februar 2017 zur Einführung eines Abzugs für Einkünfte aus Innovationen (</w:t>
      </w:r>
      <w:r w:rsidR="0031458F" w:rsidRPr="009118AB">
        <w:rPr>
          <w:i/>
          <w:iCs/>
        </w:rPr>
        <w:t>Belgisches Staatsblatt</w:t>
      </w:r>
      <w:r w:rsidR="008C0074" w:rsidRPr="009118AB">
        <w:rPr>
          <w:iCs/>
        </w:rPr>
        <w:t xml:space="preserve"> vom 8. Juni 2017),</w:t>
      </w:r>
    </w:p>
    <w:p w14:paraId="35A290A5" w14:textId="77777777" w:rsidR="008C0074" w:rsidRDefault="008C0074" w:rsidP="0031458F">
      <w:pPr>
        <w:autoSpaceDE w:val="0"/>
        <w:autoSpaceDN w:val="0"/>
        <w:adjustRightInd w:val="0"/>
        <w:jc w:val="both"/>
        <w:rPr>
          <w:iCs/>
        </w:rPr>
      </w:pPr>
    </w:p>
    <w:p w14:paraId="13AFCD07" w14:textId="030A5246" w:rsidR="008720AB" w:rsidRDefault="008720AB" w:rsidP="0031458F">
      <w:pPr>
        <w:autoSpaceDE w:val="0"/>
        <w:autoSpaceDN w:val="0"/>
        <w:adjustRightInd w:val="0"/>
        <w:jc w:val="both"/>
      </w:pPr>
      <w:r>
        <w:rPr>
          <w:iCs/>
        </w:rPr>
        <w:t xml:space="preserve">- den </w:t>
      </w:r>
      <w:r w:rsidRPr="008720AB">
        <w:t>Entscheid Nr. 20/2017 des Verfassungsgerichtshofes vom 16. Februar 2017 (</w:t>
      </w:r>
      <w:r>
        <w:rPr>
          <w:i/>
          <w:iCs/>
        </w:rPr>
        <w:t xml:space="preserve">Belgisches Staatsblatt </w:t>
      </w:r>
      <w:r w:rsidRPr="008720AB">
        <w:t>vom 3. März 2017)</w:t>
      </w:r>
      <w:r>
        <w:t>,</w:t>
      </w:r>
    </w:p>
    <w:p w14:paraId="4262E70E" w14:textId="77777777" w:rsidR="008720AB" w:rsidRPr="008720AB" w:rsidRDefault="008720AB" w:rsidP="0031458F">
      <w:pPr>
        <w:autoSpaceDE w:val="0"/>
        <w:autoSpaceDN w:val="0"/>
        <w:adjustRightInd w:val="0"/>
        <w:jc w:val="both"/>
      </w:pPr>
    </w:p>
    <w:p w14:paraId="3893E97A" w14:textId="6FE1060F" w:rsidR="008C0074" w:rsidRPr="009118AB" w:rsidRDefault="00970435" w:rsidP="0031458F">
      <w:pPr>
        <w:autoSpaceDE w:val="0"/>
        <w:autoSpaceDN w:val="0"/>
        <w:adjustRightInd w:val="0"/>
        <w:jc w:val="both"/>
        <w:rPr>
          <w:iCs/>
        </w:rPr>
      </w:pPr>
      <w:r>
        <w:rPr>
          <w:iCs/>
        </w:rPr>
        <w:t>- </w:t>
      </w:r>
      <w:r w:rsidR="008C0074" w:rsidRPr="009118AB">
        <w:rPr>
          <w:iCs/>
        </w:rPr>
        <w:t>das Gesetz vom 20. Februar 2017 zur Abänderung von Artikel 298 des Einkommen</w:t>
      </w:r>
      <w:r w:rsidR="008C0074" w:rsidRPr="009118AB">
        <w:rPr>
          <w:iCs/>
        </w:rPr>
        <w:softHyphen/>
        <w:t>steuer</w:t>
      </w:r>
      <w:r w:rsidR="008C0074" w:rsidRPr="009118AB">
        <w:rPr>
          <w:iCs/>
        </w:rPr>
        <w:softHyphen/>
        <w:t>gesetzbuches 1992 in Bezug auf die bei Nichtzahlung von Einkommensteuern versandten Erinnerungsschreiben (</w:t>
      </w:r>
      <w:r w:rsidR="008C0074" w:rsidRPr="009118AB">
        <w:rPr>
          <w:i/>
          <w:iCs/>
        </w:rPr>
        <w:t>Belgisches Staatsblatt</w:t>
      </w:r>
      <w:r w:rsidR="007821FA" w:rsidRPr="009118AB">
        <w:rPr>
          <w:iCs/>
        </w:rPr>
        <w:t xml:space="preserve"> vom 23. Januar 2018),</w:t>
      </w:r>
    </w:p>
    <w:p w14:paraId="1D70B780" w14:textId="77777777" w:rsidR="007821FA" w:rsidRPr="009118AB" w:rsidRDefault="007821FA" w:rsidP="0031458F">
      <w:pPr>
        <w:autoSpaceDE w:val="0"/>
        <w:autoSpaceDN w:val="0"/>
        <w:adjustRightInd w:val="0"/>
        <w:jc w:val="both"/>
        <w:rPr>
          <w:iCs/>
        </w:rPr>
      </w:pPr>
    </w:p>
    <w:p w14:paraId="083C7C99" w14:textId="77777777" w:rsidR="007821FA" w:rsidRPr="009118AB" w:rsidRDefault="002E1080" w:rsidP="0031458F">
      <w:pPr>
        <w:autoSpaceDE w:val="0"/>
        <w:autoSpaceDN w:val="0"/>
        <w:adjustRightInd w:val="0"/>
        <w:jc w:val="both"/>
        <w:rPr>
          <w:iCs/>
        </w:rPr>
      </w:pPr>
      <w:r w:rsidRPr="009118AB">
        <w:rPr>
          <w:iCs/>
        </w:rPr>
        <w:t>- </w:t>
      </w:r>
      <w:r w:rsidR="007821FA" w:rsidRPr="009118AB">
        <w:rPr>
          <w:iCs/>
        </w:rPr>
        <w:t xml:space="preserve">das Gesetz vom </w:t>
      </w:r>
      <w:r w:rsidR="004D552A" w:rsidRPr="009118AB">
        <w:rPr>
          <w:iCs/>
        </w:rPr>
        <w:t xml:space="preserve">30. Juni 2017 </w:t>
      </w:r>
      <w:r w:rsidR="005E7DFC" w:rsidRPr="009118AB">
        <w:rPr>
          <w:iCs/>
        </w:rPr>
        <w:t>zur Abänderung von Artikel </w:t>
      </w:r>
      <w:r w:rsidR="004D552A" w:rsidRPr="009118AB">
        <w:rPr>
          <w:iCs/>
        </w:rPr>
        <w:t>134 des Einkom</w:t>
      </w:r>
      <w:r w:rsidR="005E7DFC" w:rsidRPr="009118AB">
        <w:rPr>
          <w:iCs/>
        </w:rPr>
        <w:t>mensteuer</w:t>
      </w:r>
      <w:r w:rsidRPr="009118AB">
        <w:rPr>
          <w:iCs/>
        </w:rPr>
        <w:softHyphen/>
      </w:r>
      <w:r w:rsidR="005E7DFC" w:rsidRPr="009118AB">
        <w:rPr>
          <w:iCs/>
        </w:rPr>
        <w:t>gesetz</w:t>
      </w:r>
      <w:r w:rsidRPr="009118AB">
        <w:rPr>
          <w:iCs/>
        </w:rPr>
        <w:softHyphen/>
      </w:r>
      <w:r w:rsidR="005E7DFC" w:rsidRPr="009118AB">
        <w:rPr>
          <w:iCs/>
        </w:rPr>
        <w:t>buches </w:t>
      </w:r>
      <w:r w:rsidR="004D552A" w:rsidRPr="009118AB">
        <w:rPr>
          <w:iCs/>
        </w:rPr>
        <w:t>1992 hinsichtlich der Berechnung der Steuergutschrift für Kinder zu Lasten (</w:t>
      </w:r>
      <w:r w:rsidR="004D552A" w:rsidRPr="009118AB">
        <w:rPr>
          <w:i/>
          <w:iCs/>
        </w:rPr>
        <w:t>Belgisches Staatsblatt</w:t>
      </w:r>
      <w:r w:rsidRPr="009118AB">
        <w:rPr>
          <w:iCs/>
        </w:rPr>
        <w:t xml:space="preserve"> vom 23. Januar 2018)</w:t>
      </w:r>
      <w:r w:rsidR="000536EA" w:rsidRPr="009118AB">
        <w:rPr>
          <w:iCs/>
        </w:rPr>
        <w:t xml:space="preserve"> </w:t>
      </w:r>
      <w:r w:rsidR="000536EA" w:rsidRPr="009118AB">
        <w:rPr>
          <w:i/>
          <w:iCs/>
        </w:rPr>
        <w:t>(I)</w:t>
      </w:r>
      <w:r w:rsidRPr="009118AB">
        <w:rPr>
          <w:iCs/>
        </w:rPr>
        <w:t>,</w:t>
      </w:r>
    </w:p>
    <w:p w14:paraId="1384BDEB" w14:textId="77777777" w:rsidR="000536EA" w:rsidRPr="009118AB" w:rsidRDefault="000536EA" w:rsidP="0031458F">
      <w:pPr>
        <w:autoSpaceDE w:val="0"/>
        <w:autoSpaceDN w:val="0"/>
        <w:adjustRightInd w:val="0"/>
        <w:jc w:val="both"/>
        <w:rPr>
          <w:iCs/>
        </w:rPr>
      </w:pPr>
    </w:p>
    <w:p w14:paraId="6676AD05" w14:textId="77777777" w:rsidR="000536EA" w:rsidRPr="009118AB" w:rsidRDefault="005651B9" w:rsidP="0031458F">
      <w:pPr>
        <w:autoSpaceDE w:val="0"/>
        <w:autoSpaceDN w:val="0"/>
        <w:adjustRightInd w:val="0"/>
        <w:jc w:val="both"/>
        <w:rPr>
          <w:iCs/>
        </w:rPr>
      </w:pPr>
      <w:r w:rsidRPr="009118AB">
        <w:rPr>
          <w:iCs/>
        </w:rPr>
        <w:t>- </w:t>
      </w:r>
      <w:r w:rsidR="000536EA" w:rsidRPr="009118AB">
        <w:rPr>
          <w:iCs/>
        </w:rPr>
        <w:t>das Gesetz vom 30. Juni 2017 zur Abänderung von Artikel 276 des Einkommensteuer</w:t>
      </w:r>
      <w:r w:rsidR="000536EA" w:rsidRPr="009118AB">
        <w:rPr>
          <w:iCs/>
        </w:rPr>
        <w:softHyphen/>
        <w:t>gesetzbuches 1992 hinsichtlich der Anrechnung der vorzeitigen Einnahme der Steuer auf langfristiges Sparen (</w:t>
      </w:r>
      <w:r w:rsidR="000536EA" w:rsidRPr="009118AB">
        <w:rPr>
          <w:i/>
          <w:iCs/>
        </w:rPr>
        <w:t>Belgisches Staatsblatt</w:t>
      </w:r>
      <w:r w:rsidR="000536EA" w:rsidRPr="009118AB">
        <w:rPr>
          <w:iCs/>
        </w:rPr>
        <w:t xml:space="preserve"> vom 27. Februar 2018) </w:t>
      </w:r>
      <w:r w:rsidR="000536EA" w:rsidRPr="009118AB">
        <w:rPr>
          <w:i/>
          <w:iCs/>
        </w:rPr>
        <w:t>(II)</w:t>
      </w:r>
      <w:r w:rsidR="000536EA" w:rsidRPr="009118AB">
        <w:rPr>
          <w:iCs/>
        </w:rPr>
        <w:t>,</w:t>
      </w:r>
    </w:p>
    <w:p w14:paraId="71D8920C" w14:textId="77777777" w:rsidR="002E1080" w:rsidRPr="009118AB" w:rsidRDefault="002E1080" w:rsidP="0031458F">
      <w:pPr>
        <w:autoSpaceDE w:val="0"/>
        <w:autoSpaceDN w:val="0"/>
        <w:adjustRightInd w:val="0"/>
        <w:jc w:val="both"/>
        <w:rPr>
          <w:iCs/>
        </w:rPr>
      </w:pPr>
    </w:p>
    <w:p w14:paraId="1C67D285" w14:textId="77777777" w:rsidR="005651B9" w:rsidRPr="009118AB" w:rsidRDefault="005651B9" w:rsidP="005651B9">
      <w:pPr>
        <w:autoSpaceDE w:val="0"/>
        <w:autoSpaceDN w:val="0"/>
        <w:adjustRightInd w:val="0"/>
        <w:jc w:val="both"/>
        <w:rPr>
          <w:iCs/>
        </w:rPr>
      </w:pPr>
      <w:r w:rsidRPr="009118AB">
        <w:rPr>
          <w:iCs/>
        </w:rPr>
        <w:t>- das Gesetz vom 30. Juni 2017 zur Festlegung von Maßnahmen zur Bekämpfung der Steuerhinterziehung (</w:t>
      </w:r>
      <w:r w:rsidRPr="009118AB">
        <w:rPr>
          <w:i/>
          <w:iCs/>
        </w:rPr>
        <w:t>Belgisches Staatsblatt</w:t>
      </w:r>
      <w:r w:rsidRPr="009118AB">
        <w:rPr>
          <w:iCs/>
        </w:rPr>
        <w:t xml:space="preserve"> vom 27. Februar 2018) </w:t>
      </w:r>
      <w:r w:rsidRPr="009118AB">
        <w:rPr>
          <w:i/>
          <w:iCs/>
        </w:rPr>
        <w:t>(III)</w:t>
      </w:r>
      <w:r w:rsidRPr="009118AB">
        <w:rPr>
          <w:iCs/>
        </w:rPr>
        <w:t>,</w:t>
      </w:r>
    </w:p>
    <w:p w14:paraId="5603EB0B" w14:textId="77777777" w:rsidR="005651B9" w:rsidRPr="009118AB" w:rsidRDefault="005651B9" w:rsidP="0031458F">
      <w:pPr>
        <w:autoSpaceDE w:val="0"/>
        <w:autoSpaceDN w:val="0"/>
        <w:adjustRightInd w:val="0"/>
        <w:jc w:val="both"/>
        <w:rPr>
          <w:iCs/>
        </w:rPr>
      </w:pPr>
    </w:p>
    <w:p w14:paraId="6F5CDDB5" w14:textId="2303756C" w:rsidR="00F71E7A" w:rsidRPr="009118AB" w:rsidRDefault="00970435" w:rsidP="0031458F">
      <w:pPr>
        <w:autoSpaceDE w:val="0"/>
        <w:autoSpaceDN w:val="0"/>
        <w:adjustRightInd w:val="0"/>
        <w:jc w:val="both"/>
        <w:rPr>
          <w:color w:val="000000"/>
        </w:rPr>
      </w:pPr>
      <w:r>
        <w:rPr>
          <w:color w:val="000000"/>
        </w:rPr>
        <w:t>- </w:t>
      </w:r>
      <w:r w:rsidR="00F7442D" w:rsidRPr="009118AB">
        <w:rPr>
          <w:color w:val="000000"/>
        </w:rPr>
        <w:t>das Gesetz vom 10. Juli 2017 zur Stärkung der Rolle des Dienstes Steuerschlichtung (</w:t>
      </w:r>
      <w:r w:rsidR="00F7442D" w:rsidRPr="009118AB">
        <w:rPr>
          <w:i/>
          <w:color w:val="000000"/>
        </w:rPr>
        <w:t>Belgisches Staatsblatt</w:t>
      </w:r>
      <w:r w:rsidR="00F7442D" w:rsidRPr="009118AB">
        <w:rPr>
          <w:color w:val="000000"/>
        </w:rPr>
        <w:t xml:space="preserve"> vom 20. März 2018),</w:t>
      </w:r>
    </w:p>
    <w:p w14:paraId="58B26B5A" w14:textId="77777777" w:rsidR="00F71E7A" w:rsidRPr="009118AB" w:rsidRDefault="00F71E7A" w:rsidP="0031458F">
      <w:pPr>
        <w:autoSpaceDE w:val="0"/>
        <w:autoSpaceDN w:val="0"/>
        <w:adjustRightInd w:val="0"/>
        <w:jc w:val="both"/>
        <w:rPr>
          <w:color w:val="000000"/>
        </w:rPr>
      </w:pPr>
    </w:p>
    <w:p w14:paraId="4FCD4C9D" w14:textId="19CD6F4B" w:rsidR="002E1080" w:rsidRPr="009118AB" w:rsidRDefault="00970435" w:rsidP="0031458F">
      <w:pPr>
        <w:autoSpaceDE w:val="0"/>
        <w:autoSpaceDN w:val="0"/>
        <w:adjustRightInd w:val="0"/>
        <w:jc w:val="both"/>
        <w:rPr>
          <w:iCs/>
        </w:rPr>
      </w:pPr>
      <w:r>
        <w:rPr>
          <w:iCs/>
        </w:rPr>
        <w:t>- </w:t>
      </w:r>
      <w:r w:rsidR="002E1080" w:rsidRPr="009118AB">
        <w:rPr>
          <w:iCs/>
        </w:rPr>
        <w:t>das Gesetz vom 21. Juli 2017 über die Steuerpflichtigkeit bestimmter Arbeitnehmer, die in Ländern, mit denen Belgien kein Abkommen zur Vermeidung der Doppelbesteuerung geschlossen hat, von belgischen Missionen vor Ort angeworben werden (</w:t>
      </w:r>
      <w:r w:rsidR="002E1080" w:rsidRPr="009118AB">
        <w:rPr>
          <w:i/>
          <w:iCs/>
        </w:rPr>
        <w:t>Belgisches Staatsblatt</w:t>
      </w:r>
      <w:r w:rsidR="00B20510" w:rsidRPr="009118AB">
        <w:rPr>
          <w:iCs/>
        </w:rPr>
        <w:t xml:space="preserve"> vom 20. März 2018),</w:t>
      </w:r>
    </w:p>
    <w:p w14:paraId="1200F29D" w14:textId="77777777" w:rsidR="00B20510" w:rsidRPr="009118AB" w:rsidRDefault="00B20510" w:rsidP="0031458F">
      <w:pPr>
        <w:autoSpaceDE w:val="0"/>
        <w:autoSpaceDN w:val="0"/>
        <w:adjustRightInd w:val="0"/>
        <w:jc w:val="both"/>
        <w:rPr>
          <w:iCs/>
        </w:rPr>
      </w:pPr>
    </w:p>
    <w:p w14:paraId="496820C4" w14:textId="402131B7" w:rsidR="00B20510" w:rsidRPr="009118AB" w:rsidRDefault="00970435" w:rsidP="0031458F">
      <w:pPr>
        <w:autoSpaceDE w:val="0"/>
        <w:autoSpaceDN w:val="0"/>
        <w:adjustRightInd w:val="0"/>
        <w:jc w:val="both"/>
        <w:rPr>
          <w:iCs/>
        </w:rPr>
      </w:pPr>
      <w:r>
        <w:rPr>
          <w:iCs/>
        </w:rPr>
        <w:lastRenderedPageBreak/>
        <w:t>- </w:t>
      </w:r>
      <w:r w:rsidR="00B20510" w:rsidRPr="009118AB">
        <w:rPr>
          <w:iCs/>
        </w:rPr>
        <w:t>das Gesetz vom 31. Juli 2017 zur Umsetzung mehrerer Richtlinien in Bezug auf die Verpflichtung zum automatischen Austausch von Informationen im Bereich der Besteuerung (</w:t>
      </w:r>
      <w:r w:rsidR="00B20510" w:rsidRPr="009118AB">
        <w:rPr>
          <w:i/>
          <w:iCs/>
        </w:rPr>
        <w:t>Belgisches Staatsblatt</w:t>
      </w:r>
      <w:r w:rsidR="00F73613" w:rsidRPr="009118AB">
        <w:rPr>
          <w:iCs/>
        </w:rPr>
        <w:t xml:space="preserve"> vom 13. April 2018)</w:t>
      </w:r>
      <w:r w:rsidR="00D352A1" w:rsidRPr="009118AB">
        <w:rPr>
          <w:iCs/>
        </w:rPr>
        <w:t xml:space="preserve"> </w:t>
      </w:r>
      <w:r w:rsidR="00D352A1" w:rsidRPr="009118AB">
        <w:rPr>
          <w:i/>
          <w:iCs/>
        </w:rPr>
        <w:t>(I)</w:t>
      </w:r>
      <w:r w:rsidR="00F73613" w:rsidRPr="009118AB">
        <w:rPr>
          <w:iCs/>
        </w:rPr>
        <w:t>,</w:t>
      </w:r>
    </w:p>
    <w:p w14:paraId="3ABDCDBB" w14:textId="77777777" w:rsidR="00F73613" w:rsidRPr="009118AB" w:rsidRDefault="00F73613" w:rsidP="0031458F">
      <w:pPr>
        <w:autoSpaceDE w:val="0"/>
        <w:autoSpaceDN w:val="0"/>
        <w:adjustRightInd w:val="0"/>
        <w:jc w:val="both"/>
        <w:rPr>
          <w:iCs/>
        </w:rPr>
      </w:pPr>
    </w:p>
    <w:p w14:paraId="1E8A4033" w14:textId="5AD71F6E" w:rsidR="00D352A1" w:rsidRPr="009118AB" w:rsidRDefault="00970435" w:rsidP="00D352A1">
      <w:pPr>
        <w:autoSpaceDE w:val="0"/>
        <w:autoSpaceDN w:val="0"/>
        <w:adjustRightInd w:val="0"/>
        <w:jc w:val="both"/>
        <w:rPr>
          <w:i/>
        </w:rPr>
      </w:pPr>
      <w:r>
        <w:t>- </w:t>
      </w:r>
      <w:r w:rsidR="00D352A1" w:rsidRPr="009118AB">
        <w:t>die Artikel 48 und 49 des Gesetzes vom 31. Juli 2017 zur Festlegung verschiedener finanzieller und steuerrechtlicher Bestimmungen und zur Festlegung von Maßnahmen in Bezug auf Konzessionsverträge (</w:t>
      </w:r>
      <w:r w:rsidR="00D352A1" w:rsidRPr="009118AB">
        <w:rPr>
          <w:i/>
        </w:rPr>
        <w:t>Belgisches Staatsblatt</w:t>
      </w:r>
      <w:r w:rsidR="00D352A1" w:rsidRPr="009118AB">
        <w:t xml:space="preserve"> vom 18. Mai 2018) </w:t>
      </w:r>
      <w:r w:rsidR="00D352A1" w:rsidRPr="009118AB">
        <w:rPr>
          <w:i/>
        </w:rPr>
        <w:t>(II)</w:t>
      </w:r>
      <w:r w:rsidR="00D352A1" w:rsidRPr="009118AB">
        <w:t>,</w:t>
      </w:r>
    </w:p>
    <w:p w14:paraId="38CDA005" w14:textId="77777777" w:rsidR="00D352A1" w:rsidRPr="009118AB" w:rsidRDefault="00D352A1" w:rsidP="00D352A1">
      <w:pPr>
        <w:autoSpaceDE w:val="0"/>
        <w:autoSpaceDN w:val="0"/>
        <w:adjustRightInd w:val="0"/>
        <w:jc w:val="both"/>
      </w:pPr>
    </w:p>
    <w:p w14:paraId="4380C233" w14:textId="15867EC9" w:rsidR="00D352A1" w:rsidRPr="009118AB" w:rsidRDefault="00970435" w:rsidP="00D352A1">
      <w:pPr>
        <w:jc w:val="both"/>
        <w:rPr>
          <w:szCs w:val="22"/>
          <w:lang w:eastAsia="en-US"/>
        </w:rPr>
      </w:pPr>
      <w:r>
        <w:rPr>
          <w:szCs w:val="22"/>
          <w:lang w:eastAsia="en-US"/>
        </w:rPr>
        <w:t>- </w:t>
      </w:r>
      <w:r w:rsidR="00D352A1" w:rsidRPr="009118AB">
        <w:rPr>
          <w:szCs w:val="22"/>
          <w:lang w:eastAsia="en-US"/>
        </w:rPr>
        <w:t>das Gesetz vom 31. Juli 2017 zur Einführung eines ständigen Systems der Vorschüsse auf das Aufkommen der Gemeindezuschlagsteuer auf die Steuer der natürlichen Personen (</w:t>
      </w:r>
      <w:r w:rsidR="00D352A1" w:rsidRPr="009118AB">
        <w:rPr>
          <w:i/>
          <w:szCs w:val="22"/>
          <w:lang w:eastAsia="en-US"/>
        </w:rPr>
        <w:t>Belgisches Staatsblatt</w:t>
      </w:r>
      <w:r w:rsidR="00D352A1" w:rsidRPr="009118AB">
        <w:rPr>
          <w:szCs w:val="22"/>
          <w:lang w:eastAsia="en-US"/>
        </w:rPr>
        <w:t xml:space="preserve"> vom 15. Mai 2018) </w:t>
      </w:r>
      <w:r w:rsidR="00D352A1" w:rsidRPr="009118AB">
        <w:rPr>
          <w:i/>
          <w:szCs w:val="22"/>
          <w:lang w:eastAsia="en-US"/>
        </w:rPr>
        <w:t>(III)</w:t>
      </w:r>
      <w:r w:rsidR="00D352A1" w:rsidRPr="009118AB">
        <w:rPr>
          <w:szCs w:val="22"/>
          <w:lang w:eastAsia="en-US"/>
        </w:rPr>
        <w:t>,</w:t>
      </w:r>
    </w:p>
    <w:p w14:paraId="3DA6E4F6" w14:textId="77777777" w:rsidR="009D5DD5" w:rsidRPr="009118AB" w:rsidRDefault="009D5DD5" w:rsidP="00D352A1">
      <w:pPr>
        <w:jc w:val="both"/>
        <w:rPr>
          <w:szCs w:val="22"/>
          <w:lang w:eastAsia="en-US"/>
        </w:rPr>
      </w:pPr>
    </w:p>
    <w:p w14:paraId="46AA8151" w14:textId="099884E1" w:rsidR="009D5DD5" w:rsidRPr="009118AB" w:rsidRDefault="00970435" w:rsidP="009D5DD5">
      <w:pPr>
        <w:jc w:val="both"/>
        <w:rPr>
          <w:color w:val="000000"/>
        </w:rPr>
      </w:pPr>
      <w:r>
        <w:rPr>
          <w:color w:val="000000"/>
        </w:rPr>
        <w:t>- </w:t>
      </w:r>
      <w:r w:rsidR="009D5DD5" w:rsidRPr="009118AB">
        <w:rPr>
          <w:color w:val="000000"/>
        </w:rPr>
        <w:t>Artikel 54 des Gesetzes vom 11. August 2017 zur Einfügung von Buch XX "Insolvenz von Unternehmen" in das Wirtschaftsgesetzbuch und zur Einfügung der Buch XX eigenen Begriffsbestimmungen und der Buch</w:t>
      </w:r>
      <w:r w:rsidR="004D5E8E" w:rsidRPr="009118AB">
        <w:rPr>
          <w:color w:val="000000"/>
        </w:rPr>
        <w:t> XX eigenen Rechtsdurchsetzungs</w:t>
      </w:r>
      <w:r w:rsidR="009D5DD5" w:rsidRPr="009118AB">
        <w:rPr>
          <w:color w:val="000000"/>
        </w:rPr>
        <w:t>bestimmungen in Buch I des Wirtschaftsgesetzbuches (</w:t>
      </w:r>
      <w:r w:rsidR="009D5DD5" w:rsidRPr="009118AB">
        <w:rPr>
          <w:i/>
          <w:color w:val="000000"/>
        </w:rPr>
        <w:t>Belgisches Staatsblatt</w:t>
      </w:r>
      <w:r w:rsidR="009D5DD5" w:rsidRPr="009118AB">
        <w:rPr>
          <w:color w:val="000000"/>
        </w:rPr>
        <w:t xml:space="preserve"> vom 17. September 2018),</w:t>
      </w:r>
    </w:p>
    <w:p w14:paraId="162FD300" w14:textId="77777777" w:rsidR="00D352A1" w:rsidRPr="009118AB" w:rsidRDefault="00D352A1" w:rsidP="00D352A1">
      <w:pPr>
        <w:jc w:val="both"/>
        <w:rPr>
          <w:szCs w:val="22"/>
          <w:lang w:eastAsia="en-US"/>
        </w:rPr>
      </w:pPr>
    </w:p>
    <w:p w14:paraId="43BE60EB" w14:textId="7E71C25B" w:rsidR="00442F80" w:rsidRPr="009118AB" w:rsidRDefault="00970435" w:rsidP="00D352A1">
      <w:pPr>
        <w:jc w:val="both"/>
        <w:rPr>
          <w:szCs w:val="22"/>
          <w:lang w:eastAsia="en-US"/>
        </w:rPr>
      </w:pPr>
      <w:r>
        <w:rPr>
          <w:szCs w:val="22"/>
          <w:lang w:eastAsia="en-US"/>
        </w:rPr>
        <w:t>- </w:t>
      </w:r>
      <w:r w:rsidR="00442F80" w:rsidRPr="009118AB">
        <w:rPr>
          <w:szCs w:val="22"/>
          <w:lang w:eastAsia="en-US"/>
        </w:rPr>
        <w:t>das Gesetz vom 22. Oktober 2017 zur Festlegung verschiedener steuerrechtlicher Bestimmungen I (</w:t>
      </w:r>
      <w:r w:rsidR="00442F80" w:rsidRPr="009118AB">
        <w:rPr>
          <w:i/>
          <w:szCs w:val="22"/>
          <w:lang w:eastAsia="en-US"/>
        </w:rPr>
        <w:t>Belgisches Staatsblatt</w:t>
      </w:r>
      <w:r w:rsidR="00442F80" w:rsidRPr="009118AB">
        <w:rPr>
          <w:szCs w:val="22"/>
          <w:lang w:eastAsia="en-US"/>
        </w:rPr>
        <w:t xml:space="preserve"> vom 3. Juli 2018),</w:t>
      </w:r>
    </w:p>
    <w:p w14:paraId="799900DE" w14:textId="77777777" w:rsidR="00442F80" w:rsidRPr="009118AB" w:rsidRDefault="00442F80" w:rsidP="00D352A1">
      <w:pPr>
        <w:jc w:val="both"/>
        <w:rPr>
          <w:szCs w:val="22"/>
          <w:lang w:eastAsia="en-US"/>
        </w:rPr>
      </w:pPr>
    </w:p>
    <w:p w14:paraId="7DC33B42" w14:textId="665C894C" w:rsidR="00F73613" w:rsidRPr="009118AB" w:rsidRDefault="00970435" w:rsidP="00F73613">
      <w:pPr>
        <w:jc w:val="both"/>
        <w:rPr>
          <w:spacing w:val="-2"/>
        </w:rPr>
      </w:pPr>
      <w:r>
        <w:rPr>
          <w:iCs/>
          <w:spacing w:val="-2"/>
        </w:rPr>
        <w:t>- </w:t>
      </w:r>
      <w:r w:rsidR="00F73613" w:rsidRPr="009118AB">
        <w:rPr>
          <w:iCs/>
          <w:spacing w:val="-2"/>
        </w:rPr>
        <w:t xml:space="preserve">Artikel 46 des Gesetzes vom 23. November 2017 </w:t>
      </w:r>
      <w:r w:rsidR="00F73613" w:rsidRPr="009118AB">
        <w:rPr>
          <w:spacing w:val="-2"/>
        </w:rPr>
        <w:t>zur Abänderung des Gesellschaftsnamens der Belgischen Technischen Zusammenarbeit und zur Festlegung der Aufträge und der Arbeitsweise von Enabel, Belgische Entwicklungsagentur (</w:t>
      </w:r>
      <w:r w:rsidR="00F73613" w:rsidRPr="009118AB">
        <w:rPr>
          <w:i/>
          <w:spacing w:val="-2"/>
        </w:rPr>
        <w:t>Belgisches Staatsblatt</w:t>
      </w:r>
      <w:r w:rsidR="005225A3" w:rsidRPr="009118AB">
        <w:rPr>
          <w:spacing w:val="-2"/>
        </w:rPr>
        <w:t xml:space="preserve"> vom 18. April 2018),</w:t>
      </w:r>
    </w:p>
    <w:p w14:paraId="45C5417F" w14:textId="77777777" w:rsidR="005225A3" w:rsidRPr="009118AB" w:rsidRDefault="005225A3" w:rsidP="00F73613">
      <w:pPr>
        <w:jc w:val="both"/>
      </w:pPr>
    </w:p>
    <w:p w14:paraId="3B6E7BFB" w14:textId="7436B6E5" w:rsidR="005225A3" w:rsidRPr="009118AB" w:rsidRDefault="00970435" w:rsidP="00F73613">
      <w:pPr>
        <w:jc w:val="both"/>
      </w:pPr>
      <w:r>
        <w:t>- </w:t>
      </w:r>
      <w:r w:rsidR="005225A3" w:rsidRPr="009118AB">
        <w:t>Artikel 5 des Gesetzes vom 5. Dezember 2017</w:t>
      </w:r>
      <w:r w:rsidR="00B556BC" w:rsidRPr="009118AB">
        <w:t xml:space="preserve"> </w:t>
      </w:r>
      <w:r w:rsidR="0093644D" w:rsidRPr="009118AB">
        <w:t>zur Festlegung verschiedener finanzieller Bestimmungen (</w:t>
      </w:r>
      <w:r w:rsidR="0093644D" w:rsidRPr="009118AB">
        <w:rPr>
          <w:i/>
        </w:rPr>
        <w:t>Belgisches Staatsblatt</w:t>
      </w:r>
      <w:r w:rsidR="008E17A3" w:rsidRPr="009118AB">
        <w:t xml:space="preserve"> vom 3. Juli 2018),</w:t>
      </w:r>
    </w:p>
    <w:p w14:paraId="189713AB" w14:textId="77777777" w:rsidR="008E17A3" w:rsidRPr="009118AB" w:rsidRDefault="008E17A3" w:rsidP="00F73613">
      <w:pPr>
        <w:jc w:val="both"/>
      </w:pPr>
    </w:p>
    <w:p w14:paraId="76DA4589" w14:textId="6A4439DF" w:rsidR="008E17A3" w:rsidRPr="009118AB" w:rsidRDefault="00970435" w:rsidP="00F73613">
      <w:pPr>
        <w:jc w:val="both"/>
      </w:pPr>
      <w:r>
        <w:t>- </w:t>
      </w:r>
      <w:r w:rsidR="008E17A3" w:rsidRPr="009118AB">
        <w:t xml:space="preserve">das Gesetz vom 17. Dezember 2017 zur Festlegung verschiedener </w:t>
      </w:r>
      <w:r w:rsidR="002D22E1" w:rsidRPr="009118AB">
        <w:t>steuerrechtlicher</w:t>
      </w:r>
      <w:r w:rsidR="008E17A3" w:rsidRPr="009118AB">
        <w:t xml:space="preserve"> Bestimmungen</w:t>
      </w:r>
      <w:r w:rsidR="002D22E1" w:rsidRPr="009118AB">
        <w:t> II</w:t>
      </w:r>
      <w:r w:rsidR="008E17A3" w:rsidRPr="009118AB">
        <w:t xml:space="preserve"> (</w:t>
      </w:r>
      <w:r w:rsidR="008E17A3" w:rsidRPr="009118AB">
        <w:rPr>
          <w:i/>
        </w:rPr>
        <w:t>Belgisches Staatsblatt</w:t>
      </w:r>
      <w:r w:rsidR="002D22E1" w:rsidRPr="009118AB">
        <w:t xml:space="preserve"> vom 9</w:t>
      </w:r>
      <w:r w:rsidR="008E17A3" w:rsidRPr="009118AB">
        <w:t>.</w:t>
      </w:r>
      <w:r w:rsidR="00C35B63" w:rsidRPr="009118AB">
        <w:t> Juli 2018),</w:t>
      </w:r>
    </w:p>
    <w:p w14:paraId="2EAA7E60" w14:textId="77777777" w:rsidR="00C35B63" w:rsidRPr="009118AB" w:rsidRDefault="00C35B63" w:rsidP="00F73613">
      <w:pPr>
        <w:jc w:val="both"/>
      </w:pPr>
    </w:p>
    <w:p w14:paraId="5DBEE80A" w14:textId="33DB6B42" w:rsidR="00C35B63" w:rsidRPr="009118AB" w:rsidRDefault="00970435" w:rsidP="00C35B63">
      <w:pPr>
        <w:jc w:val="both"/>
      </w:pPr>
      <w:r>
        <w:t>- </w:t>
      </w:r>
      <w:r w:rsidR="00C35B63" w:rsidRPr="009118AB">
        <w:t>das Gesetz vom 25. Dezember 2017 zur Festlegung verschiedener steuerrechtlicher Bestimmungen III (</w:t>
      </w:r>
      <w:r w:rsidR="00C35B63" w:rsidRPr="009118AB">
        <w:rPr>
          <w:i/>
        </w:rPr>
        <w:t>Belgisches Staatsblatt</w:t>
      </w:r>
      <w:r w:rsidR="00C35B63" w:rsidRPr="009118AB">
        <w:t xml:space="preserve"> vom 20. September 2018)</w:t>
      </w:r>
      <w:r w:rsidR="00AD39DE" w:rsidRPr="009118AB">
        <w:t> </w:t>
      </w:r>
      <w:r w:rsidR="00AD39DE" w:rsidRPr="009118AB">
        <w:rPr>
          <w:i/>
        </w:rPr>
        <w:t>(I)</w:t>
      </w:r>
      <w:r w:rsidR="00AD39DE" w:rsidRPr="009118AB">
        <w:t>,</w:t>
      </w:r>
    </w:p>
    <w:p w14:paraId="7FD8A630" w14:textId="77777777" w:rsidR="00AD39DE" w:rsidRPr="009118AB" w:rsidRDefault="00AD39DE" w:rsidP="00C35B63">
      <w:pPr>
        <w:jc w:val="both"/>
      </w:pPr>
    </w:p>
    <w:p w14:paraId="356C887B" w14:textId="58F17B91" w:rsidR="00AD39DE" w:rsidRPr="009118AB" w:rsidRDefault="00970435" w:rsidP="00AD39DE">
      <w:pPr>
        <w:jc w:val="both"/>
      </w:pPr>
      <w:r>
        <w:t>- </w:t>
      </w:r>
      <w:r w:rsidR="00AD39DE" w:rsidRPr="009118AB">
        <w:t xml:space="preserve">die Artikel 2 bis </w:t>
      </w:r>
      <w:r w:rsidR="00F23B0B" w:rsidRPr="009118AB">
        <w:t xml:space="preserve">18 und </w:t>
      </w:r>
      <w:r w:rsidR="00AD39DE" w:rsidRPr="009118AB">
        <w:t>20 des Gesetzes vom 25. Dezember 2017 zur Festlegung verschiedener steuerrechtlicher Bestimmungen IV (</w:t>
      </w:r>
      <w:r w:rsidR="00AD39DE" w:rsidRPr="009118AB">
        <w:rPr>
          <w:i/>
        </w:rPr>
        <w:t>Belgisches Staatsblatt</w:t>
      </w:r>
      <w:r w:rsidR="00AD39DE" w:rsidRPr="009118AB">
        <w:t xml:space="preserve"> vom 20. September 2018) </w:t>
      </w:r>
      <w:r w:rsidR="00AD39DE" w:rsidRPr="009118AB">
        <w:rPr>
          <w:i/>
        </w:rPr>
        <w:t>(II)</w:t>
      </w:r>
      <w:r w:rsidR="00434769" w:rsidRPr="009118AB">
        <w:t>,</w:t>
      </w:r>
    </w:p>
    <w:p w14:paraId="1FBCB911" w14:textId="77777777" w:rsidR="007500F2" w:rsidRPr="009118AB" w:rsidRDefault="007500F2" w:rsidP="00AD39DE">
      <w:pPr>
        <w:jc w:val="both"/>
      </w:pPr>
    </w:p>
    <w:p w14:paraId="2614879C" w14:textId="7E020EBD" w:rsidR="00125D93" w:rsidRPr="009118AB" w:rsidRDefault="00970435" w:rsidP="00720EF9">
      <w:pPr>
        <w:jc w:val="both"/>
      </w:pPr>
      <w:r>
        <w:t>- </w:t>
      </w:r>
      <w:r w:rsidR="00434769" w:rsidRPr="009118AB">
        <w:t>d</w:t>
      </w:r>
      <w:r w:rsidR="007500F2" w:rsidRPr="009118AB">
        <w:t>as Gesetz vom 25. Dezember 2017 zur Reform der Gesellscha</w:t>
      </w:r>
      <w:r w:rsidR="00BD2FC0" w:rsidRPr="009118AB">
        <w:t>f</w:t>
      </w:r>
      <w:r w:rsidR="007500F2" w:rsidRPr="009118AB">
        <w:t>tssteuer (</w:t>
      </w:r>
      <w:r w:rsidR="007500F2" w:rsidRPr="009118AB">
        <w:rPr>
          <w:i/>
        </w:rPr>
        <w:t>Belgisches Staatsblatt</w:t>
      </w:r>
      <w:r w:rsidR="007500F2" w:rsidRPr="009118AB">
        <w:t xml:space="preserve"> vom 27. November 2018) </w:t>
      </w:r>
      <w:r w:rsidR="00434769" w:rsidRPr="009118AB">
        <w:rPr>
          <w:i/>
        </w:rPr>
        <w:t>(III)</w:t>
      </w:r>
      <w:r w:rsidR="00720EF9" w:rsidRPr="009118AB">
        <w:t>,</w:t>
      </w:r>
    </w:p>
    <w:p w14:paraId="7CA33B9E" w14:textId="77777777" w:rsidR="00125D93" w:rsidRPr="009118AB" w:rsidRDefault="00125D93" w:rsidP="00720EF9">
      <w:pPr>
        <w:jc w:val="both"/>
      </w:pPr>
    </w:p>
    <w:p w14:paraId="1D331556" w14:textId="0069C262" w:rsidR="00720EF9" w:rsidRPr="009118AB" w:rsidRDefault="00970435" w:rsidP="00720EF9">
      <w:pPr>
        <w:jc w:val="both"/>
      </w:pPr>
      <w:r>
        <w:t>- </w:t>
      </w:r>
      <w:r w:rsidR="000E129A" w:rsidRPr="009118AB">
        <w:t>die Artikel 77, 78, 81 bis 98,</w:t>
      </w:r>
      <w:r w:rsidR="00162A81" w:rsidRPr="009118AB">
        <w:t xml:space="preserve"> 100 bis 131</w:t>
      </w:r>
      <w:r w:rsidR="000E129A" w:rsidRPr="009118AB">
        <w:t>, 147 und 148</w:t>
      </w:r>
      <w:r w:rsidR="00162A81" w:rsidRPr="009118AB">
        <w:t xml:space="preserve"> </w:t>
      </w:r>
      <w:r w:rsidR="00720EF9" w:rsidRPr="009118AB">
        <w:t>d</w:t>
      </w:r>
      <w:r w:rsidR="00162A81" w:rsidRPr="009118AB">
        <w:t>e</w:t>
      </w:r>
      <w:r w:rsidR="00720EF9" w:rsidRPr="009118AB">
        <w:t>s Programmgesetz</w:t>
      </w:r>
      <w:r w:rsidR="00162A81" w:rsidRPr="009118AB">
        <w:t>es</w:t>
      </w:r>
      <w:r w:rsidR="00720EF9" w:rsidRPr="009118AB">
        <w:t xml:space="preserve"> vom 25. Dezember 2017 (</w:t>
      </w:r>
      <w:r w:rsidR="00720EF9" w:rsidRPr="009118AB">
        <w:rPr>
          <w:i/>
        </w:rPr>
        <w:t>Belgisches Staatsblatt</w:t>
      </w:r>
      <w:r w:rsidR="00720EF9" w:rsidRPr="009118AB">
        <w:t xml:space="preserve"> vom 30. November 2018) </w:t>
      </w:r>
      <w:r w:rsidR="00720EF9" w:rsidRPr="009118AB">
        <w:rPr>
          <w:i/>
        </w:rPr>
        <w:t>(IV)</w:t>
      </w:r>
      <w:r w:rsidR="00F30277" w:rsidRPr="009118AB">
        <w:t>,</w:t>
      </w:r>
    </w:p>
    <w:p w14:paraId="4BC63E50" w14:textId="77777777" w:rsidR="00DC275D" w:rsidRPr="009118AB" w:rsidRDefault="00DC275D" w:rsidP="00720EF9">
      <w:pPr>
        <w:jc w:val="both"/>
      </w:pPr>
    </w:p>
    <w:p w14:paraId="0F515423" w14:textId="289C4997" w:rsidR="00F30277" w:rsidRPr="009118AB" w:rsidRDefault="00970435" w:rsidP="00720EF9">
      <w:pPr>
        <w:jc w:val="both"/>
      </w:pPr>
      <w:r>
        <w:t>- </w:t>
      </w:r>
      <w:r w:rsidR="00DC275D" w:rsidRPr="009118AB">
        <w:t>das Gesetz vom 7. Februar 2018 zur Einführung einer Steuer auf Wertpapierkonten (</w:t>
      </w:r>
      <w:r w:rsidR="00DC275D" w:rsidRPr="009118AB">
        <w:rPr>
          <w:i/>
        </w:rPr>
        <w:t>Belgisches Staatsblatt</w:t>
      </w:r>
      <w:r w:rsidR="00DC275D" w:rsidRPr="009118AB">
        <w:t xml:space="preserve"> vom 15. Mai 2019),</w:t>
      </w:r>
    </w:p>
    <w:p w14:paraId="3E158AB9" w14:textId="77777777" w:rsidR="00DC275D" w:rsidRPr="009118AB" w:rsidRDefault="00DC275D" w:rsidP="00720EF9">
      <w:pPr>
        <w:jc w:val="both"/>
      </w:pPr>
    </w:p>
    <w:p w14:paraId="5B77A409" w14:textId="73180B7E" w:rsidR="003B78A6" w:rsidRPr="009118AB" w:rsidRDefault="00970435" w:rsidP="003B78A6">
      <w:pPr>
        <w:jc w:val="both"/>
      </w:pPr>
      <w:r>
        <w:t>- </w:t>
      </w:r>
      <w:r w:rsidR="003B78A6" w:rsidRPr="009118AB">
        <w:t>die Artikel 52 bis 66 des Gesetzes vom 18. Februar 2018 zur Festlegung verschiedener Bestimmungen im Bereich ergänzende Altersversorgung und zur Einführung einer ergänzenden Altersversorgung für als natürliche Person tätige Selbständige, mithelfende Ehepartner und selbständige Helfer (</w:t>
      </w:r>
      <w:r w:rsidR="003B78A6" w:rsidRPr="009118AB">
        <w:rPr>
          <w:i/>
        </w:rPr>
        <w:t xml:space="preserve">Belgisches Staatsblatt </w:t>
      </w:r>
      <w:r w:rsidR="003B78A6" w:rsidRPr="009118AB">
        <w:t>vom 10. September 2019)</w:t>
      </w:r>
      <w:r w:rsidR="00970CB7" w:rsidRPr="009118AB">
        <w:t>,</w:t>
      </w:r>
    </w:p>
    <w:p w14:paraId="17DCDC64" w14:textId="77777777" w:rsidR="003B78A6" w:rsidRDefault="003B78A6" w:rsidP="00125D93">
      <w:pPr>
        <w:jc w:val="both"/>
      </w:pPr>
    </w:p>
    <w:p w14:paraId="104FAB44" w14:textId="52632D22" w:rsidR="008720AB" w:rsidRPr="00DD5892" w:rsidRDefault="008720AB" w:rsidP="00125D93">
      <w:pPr>
        <w:jc w:val="both"/>
      </w:pPr>
      <w:r>
        <w:t xml:space="preserve">- den </w:t>
      </w:r>
      <w:r w:rsidRPr="008720AB">
        <w:t>Entscheid Nr. 24/2018 des Verfassungsgerichtshofes vom 1. </w:t>
      </w:r>
      <w:r w:rsidRPr="00DD5892">
        <w:t>März 2018 (</w:t>
      </w:r>
      <w:r w:rsidRPr="00DD5892">
        <w:rPr>
          <w:i/>
          <w:iCs/>
        </w:rPr>
        <w:t xml:space="preserve">Belgisches Staatsblatt </w:t>
      </w:r>
      <w:r w:rsidRPr="00DD5892">
        <w:t>vom 28. Mai 2018),</w:t>
      </w:r>
    </w:p>
    <w:p w14:paraId="325FDCD7" w14:textId="77777777" w:rsidR="008720AB" w:rsidRPr="008720AB" w:rsidRDefault="008720AB" w:rsidP="00125D93">
      <w:pPr>
        <w:jc w:val="both"/>
      </w:pPr>
    </w:p>
    <w:p w14:paraId="0EFFAA1E" w14:textId="0438280E" w:rsidR="00125D93" w:rsidRPr="009118AB" w:rsidRDefault="00970435" w:rsidP="00125D93">
      <w:pPr>
        <w:jc w:val="both"/>
      </w:pPr>
      <w:r>
        <w:t>- </w:t>
      </w:r>
      <w:r w:rsidR="00125D93" w:rsidRPr="009118AB">
        <w:t>das Gesetz vom 6. März 2018 zur Abänderung des Einkommensteuergesetzbuches 1992 in Bezug auf Existenzmittel von Waisen (</w:t>
      </w:r>
      <w:r w:rsidR="00125D93" w:rsidRPr="009118AB">
        <w:rPr>
          <w:i/>
        </w:rPr>
        <w:t>Belgisches Staatsblatt</w:t>
      </w:r>
      <w:r w:rsidR="00125D93" w:rsidRPr="009118AB">
        <w:t xml:space="preserve"> vom 22. Mai 2019),</w:t>
      </w:r>
    </w:p>
    <w:p w14:paraId="012E06D0" w14:textId="77777777" w:rsidR="007D699A" w:rsidRPr="009118AB" w:rsidRDefault="007D699A" w:rsidP="00125D93">
      <w:pPr>
        <w:jc w:val="both"/>
      </w:pPr>
    </w:p>
    <w:p w14:paraId="5DC7F8BB" w14:textId="3DEE7B0E" w:rsidR="007D699A" w:rsidRPr="009118AB" w:rsidRDefault="00970435" w:rsidP="007D699A">
      <w:pPr>
        <w:jc w:val="both"/>
      </w:pPr>
      <w:r>
        <w:t>- </w:t>
      </w:r>
      <w:r w:rsidR="007D699A" w:rsidRPr="009118AB">
        <w:t>das Gesetz vom 11. März 2018 zur Abänderung des Einkommensteuergesetzbuches 1992 im Hinblick auf die Einführung einer Steuerermäßigung für Adoptionskosten (</w:t>
      </w:r>
      <w:r w:rsidR="007D699A" w:rsidRPr="009118AB">
        <w:rPr>
          <w:i/>
        </w:rPr>
        <w:t>Belgisches Staatsblatt</w:t>
      </w:r>
      <w:r w:rsidR="007D699A" w:rsidRPr="009118AB">
        <w:t xml:space="preserve"> vom 3. September 2019),</w:t>
      </w:r>
    </w:p>
    <w:p w14:paraId="5B9E0D5A" w14:textId="77777777" w:rsidR="00FF1FC7" w:rsidRPr="009118AB" w:rsidRDefault="00FF1FC7" w:rsidP="007D699A">
      <w:pPr>
        <w:jc w:val="both"/>
      </w:pPr>
    </w:p>
    <w:p w14:paraId="27F74623" w14:textId="1E94C764" w:rsidR="003B78A6" w:rsidRPr="009118AB" w:rsidRDefault="00970435" w:rsidP="003B78A6">
      <w:pPr>
        <w:jc w:val="both"/>
      </w:pPr>
      <w:r>
        <w:t>- </w:t>
      </w:r>
      <w:r w:rsidR="003B78A6" w:rsidRPr="009118AB">
        <w:t>die Artikel 19 bis 21</w:t>
      </w:r>
      <w:r w:rsidR="00F21E45" w:rsidRPr="009118AB">
        <w:t xml:space="preserve">, </w:t>
      </w:r>
      <w:r w:rsidR="003B78A6" w:rsidRPr="009118AB">
        <w:t>28 bis 39</w:t>
      </w:r>
      <w:r w:rsidR="00F21E45" w:rsidRPr="009118AB">
        <w:t>, 47 bis 75</w:t>
      </w:r>
      <w:r w:rsidR="00926B50" w:rsidRPr="009118AB">
        <w:t xml:space="preserve">, </w:t>
      </w:r>
      <w:r w:rsidR="00F21E45" w:rsidRPr="009118AB">
        <w:t>79 bis</w:t>
      </w:r>
      <w:r w:rsidR="00926B50" w:rsidRPr="009118AB">
        <w:t xml:space="preserve"> 81 und 83 bis</w:t>
      </w:r>
      <w:r w:rsidR="00F21E45" w:rsidRPr="009118AB">
        <w:t xml:space="preserve"> 87</w:t>
      </w:r>
      <w:r w:rsidR="003B78A6" w:rsidRPr="009118AB">
        <w:t xml:space="preserve"> des Gesetzes vom 26. März 2018 zur Stärkung des Wirtschaftswachstums und des sozialen Zusammenhalts (</w:t>
      </w:r>
      <w:r w:rsidR="003B78A6" w:rsidRPr="009118AB">
        <w:rPr>
          <w:i/>
        </w:rPr>
        <w:t>Belgisches Staatsblatt</w:t>
      </w:r>
      <w:r w:rsidR="003B78A6" w:rsidRPr="009118AB">
        <w:t xml:space="preserve"> vom 2</w:t>
      </w:r>
      <w:r w:rsidR="00F16DFA" w:rsidRPr="009118AB">
        <w:t>0</w:t>
      </w:r>
      <w:r w:rsidR="003B78A6" w:rsidRPr="009118AB">
        <w:t>.</w:t>
      </w:r>
      <w:r w:rsidR="00F16DFA" w:rsidRPr="009118AB">
        <w:t> August 2019</w:t>
      </w:r>
      <w:r w:rsidR="003B78A6" w:rsidRPr="009118AB">
        <w:t>),</w:t>
      </w:r>
    </w:p>
    <w:p w14:paraId="544A7AA4" w14:textId="77777777" w:rsidR="003B78A6" w:rsidRPr="009118AB" w:rsidRDefault="003B78A6" w:rsidP="00720EF9">
      <w:pPr>
        <w:jc w:val="both"/>
      </w:pPr>
    </w:p>
    <w:p w14:paraId="484FBBD2" w14:textId="66032A92" w:rsidR="00DE7425" w:rsidRPr="009118AB" w:rsidRDefault="00970435" w:rsidP="00DE7425">
      <w:pPr>
        <w:jc w:val="both"/>
      </w:pPr>
      <w:r>
        <w:t>- </w:t>
      </w:r>
      <w:r w:rsidR="00DE7425" w:rsidRPr="009118AB">
        <w:t>das Gesetz vom 29. März 2018 zur Erweiterung der Aufträge und zur Stärkung der Rolle des Dienstes Steuerschlichtung (</w:t>
      </w:r>
      <w:r w:rsidR="00DE7425" w:rsidRPr="009118AB">
        <w:rPr>
          <w:i/>
        </w:rPr>
        <w:t>Belgisches Staatsblatt</w:t>
      </w:r>
      <w:r w:rsidR="00DE7425" w:rsidRPr="009118AB">
        <w:t xml:space="preserve"> vom 26. September 2019),</w:t>
      </w:r>
    </w:p>
    <w:p w14:paraId="35E543C0" w14:textId="77777777" w:rsidR="00DE7425" w:rsidRPr="009118AB" w:rsidRDefault="00DE7425" w:rsidP="00720EF9">
      <w:pPr>
        <w:jc w:val="both"/>
      </w:pPr>
    </w:p>
    <w:p w14:paraId="3764FC22" w14:textId="6846F776" w:rsidR="00C353A1" w:rsidRPr="009118AB" w:rsidRDefault="00970435" w:rsidP="00720EF9">
      <w:pPr>
        <w:jc w:val="both"/>
      </w:pPr>
      <w:r>
        <w:t>- </w:t>
      </w:r>
      <w:r w:rsidR="00C353A1" w:rsidRPr="009118AB">
        <w:t>die Artikel 23 bis 34 des Gesetzes vom 30. März 2018 zur Einführung einer Mobilitätszulage (</w:t>
      </w:r>
      <w:r w:rsidR="00C353A1" w:rsidRPr="009118AB">
        <w:rPr>
          <w:i/>
        </w:rPr>
        <w:t>Belgisches Staatsblatt</w:t>
      </w:r>
      <w:r w:rsidR="00C353A1" w:rsidRPr="009118AB">
        <w:t xml:space="preserve"> vom 29. Oktober 2019),</w:t>
      </w:r>
    </w:p>
    <w:p w14:paraId="382986F5" w14:textId="77777777" w:rsidR="00C353A1" w:rsidRPr="009118AB" w:rsidRDefault="00C353A1" w:rsidP="00720EF9">
      <w:pPr>
        <w:jc w:val="both"/>
      </w:pPr>
    </w:p>
    <w:p w14:paraId="2C2B4058" w14:textId="0D930520" w:rsidR="00CB7474" w:rsidRPr="009118AB" w:rsidRDefault="00970435" w:rsidP="00720EF9">
      <w:pPr>
        <w:jc w:val="both"/>
      </w:pPr>
      <w:r>
        <w:t>- </w:t>
      </w:r>
      <w:r w:rsidR="00CB7474" w:rsidRPr="009118AB">
        <w:t>das Gesetz vom 15. April 2018 zur Abänderung von Artikel 375 des Einkommensteuergesetzbuches 1992 (</w:t>
      </w:r>
      <w:r w:rsidR="00CB7474" w:rsidRPr="009118AB">
        <w:rPr>
          <w:i/>
        </w:rPr>
        <w:t>Belgisches Staatsblatt</w:t>
      </w:r>
      <w:r w:rsidR="00CB7474" w:rsidRPr="009118AB">
        <w:t xml:space="preserve"> vom 29. Oktober 2019),</w:t>
      </w:r>
    </w:p>
    <w:p w14:paraId="1250338F" w14:textId="77777777" w:rsidR="00467314" w:rsidRPr="009118AB" w:rsidRDefault="00467314" w:rsidP="00720EF9">
      <w:pPr>
        <w:jc w:val="both"/>
      </w:pPr>
    </w:p>
    <w:p w14:paraId="29D6A248" w14:textId="75747D7D" w:rsidR="00467314" w:rsidRPr="009118AB" w:rsidRDefault="00970435" w:rsidP="00720EF9">
      <w:pPr>
        <w:jc w:val="both"/>
      </w:pPr>
      <w:r>
        <w:t>- </w:t>
      </w:r>
      <w:r w:rsidR="00467314" w:rsidRPr="009118AB">
        <w:t>das Gesetz vom 4. Mai 2018 zur Abänderung des Einkommensteuergesetzbuches 1992 in Bezug auf unentgeltliche Zuwendungen an Einrichtungen, die in der Form einer Stiftung gegründet wurden und von zugelassenen Universitätskrankenhäusern abhängen (</w:t>
      </w:r>
      <w:r w:rsidR="00467314" w:rsidRPr="009118AB">
        <w:rPr>
          <w:i/>
        </w:rPr>
        <w:t>Belgisches Staatsblatt</w:t>
      </w:r>
      <w:r w:rsidR="00467314" w:rsidRPr="009118AB">
        <w:t xml:space="preserve"> vom 29. Oktober 2019),</w:t>
      </w:r>
    </w:p>
    <w:p w14:paraId="2A1C79E0" w14:textId="77777777" w:rsidR="0031412F" w:rsidRPr="009118AB" w:rsidRDefault="0031412F" w:rsidP="00720EF9">
      <w:pPr>
        <w:jc w:val="both"/>
      </w:pPr>
    </w:p>
    <w:p w14:paraId="217C586C" w14:textId="24B6E908" w:rsidR="0031412F" w:rsidRPr="009118AB" w:rsidRDefault="00970435" w:rsidP="00720EF9">
      <w:pPr>
        <w:jc w:val="both"/>
      </w:pPr>
      <w:r>
        <w:t>- </w:t>
      </w:r>
      <w:r w:rsidR="0031412F" w:rsidRPr="009118AB">
        <w:t>das Gesetz vom 29. Mai 2018 zur Festlegung der Bedingungen für den Übergang zur Gesellschaftssteuerpflicht von Hafenunternehmen (</w:t>
      </w:r>
      <w:r w:rsidR="0031412F" w:rsidRPr="009118AB">
        <w:rPr>
          <w:i/>
        </w:rPr>
        <w:t>Belgisches Staatsblatt</w:t>
      </w:r>
      <w:r w:rsidR="0031412F" w:rsidRPr="009118AB">
        <w:t xml:space="preserve"> vom 7. November 2019),</w:t>
      </w:r>
    </w:p>
    <w:p w14:paraId="3A58FD1A" w14:textId="77777777" w:rsidR="00AC4A04" w:rsidRPr="009118AB" w:rsidRDefault="00AC4A04" w:rsidP="00720EF9">
      <w:pPr>
        <w:jc w:val="both"/>
      </w:pPr>
    </w:p>
    <w:p w14:paraId="02F2AE6F" w14:textId="36E1FE43" w:rsidR="00AC4A04" w:rsidRPr="009118AB" w:rsidRDefault="00970435" w:rsidP="00AC4A04">
      <w:pPr>
        <w:jc w:val="both"/>
      </w:pPr>
      <w:r>
        <w:t>- </w:t>
      </w:r>
      <w:r w:rsidR="00AC4A04" w:rsidRPr="009118AB">
        <w:t xml:space="preserve">das Gesetz vom 8. Juli 2018 </w:t>
      </w:r>
      <w:r w:rsidR="00AC4A04" w:rsidRPr="009118AB">
        <w:rPr>
          <w:rFonts w:eastAsiaTheme="minorHAnsi"/>
          <w:lang w:eastAsia="en-US"/>
        </w:rPr>
        <w:t>zur Organisation einer zentralen Kontaktstelle Konten und Fi</w:t>
      </w:r>
      <w:r w:rsidR="00AC4A04" w:rsidRPr="009118AB">
        <w:rPr>
          <w:rFonts w:eastAsiaTheme="minorHAnsi"/>
          <w:lang w:eastAsia="en-US"/>
        </w:rPr>
        <w:softHyphen/>
        <w:t>nanzverträge und zur Ausweitung des Zugriffs auf die zentrale Datei der Pfändungs-, Einzugsermächtigungs-, Abtretungs- und Protestmeldungen und der Meldungen einer kollektiven Schuldenregelung</w:t>
      </w:r>
      <w:r w:rsidR="00AC4A04" w:rsidRPr="009118AB">
        <w:t xml:space="preserve"> (</w:t>
      </w:r>
      <w:r w:rsidR="00AC4A04" w:rsidRPr="009118AB">
        <w:rPr>
          <w:i/>
          <w:iCs/>
        </w:rPr>
        <w:t>Belgisches Staatsblatt</w:t>
      </w:r>
      <w:r w:rsidR="00AC4A04" w:rsidRPr="009118AB">
        <w:t xml:space="preserve"> vom 13. Februar 2020),</w:t>
      </w:r>
    </w:p>
    <w:p w14:paraId="331A7F96" w14:textId="77777777" w:rsidR="00CB7474" w:rsidRPr="009118AB" w:rsidRDefault="00CB7474" w:rsidP="00720EF9">
      <w:pPr>
        <w:jc w:val="both"/>
      </w:pPr>
    </w:p>
    <w:p w14:paraId="1A9D7E3B" w14:textId="48AEE9D7" w:rsidR="00F30277" w:rsidRPr="009118AB" w:rsidRDefault="00970435" w:rsidP="00720EF9">
      <w:pPr>
        <w:jc w:val="both"/>
      </w:pPr>
      <w:r>
        <w:t>- </w:t>
      </w:r>
      <w:r w:rsidR="00F30277" w:rsidRPr="009118AB">
        <w:t>das Gesetz vom 11. Juli 2018 über die Auszahlung von Pensionen, Zulagen und Renten des öffentlichen Sektors (</w:t>
      </w:r>
      <w:r w:rsidR="00F30277" w:rsidRPr="009118AB">
        <w:rPr>
          <w:i/>
        </w:rPr>
        <w:t>Belgisches Staatsblatt</w:t>
      </w:r>
      <w:r w:rsidR="003B78A6" w:rsidRPr="009118AB">
        <w:t xml:space="preserve"> vom 23. April 2019)</w:t>
      </w:r>
      <w:r w:rsidR="00A7620E" w:rsidRPr="009118AB">
        <w:t xml:space="preserve"> </w:t>
      </w:r>
      <w:r w:rsidR="00A7620E" w:rsidRPr="009118AB">
        <w:rPr>
          <w:i/>
        </w:rPr>
        <w:t>(I)</w:t>
      </w:r>
      <w:r w:rsidR="00A7620E" w:rsidRPr="009118AB">
        <w:t>,</w:t>
      </w:r>
    </w:p>
    <w:p w14:paraId="270054A8" w14:textId="77777777" w:rsidR="00A7620E" w:rsidRPr="009118AB" w:rsidRDefault="00A7620E" w:rsidP="00720EF9">
      <w:pPr>
        <w:jc w:val="both"/>
      </w:pPr>
    </w:p>
    <w:p w14:paraId="52BC85D9" w14:textId="3841B320" w:rsidR="00A7620E" w:rsidRPr="009118AB" w:rsidRDefault="00970435" w:rsidP="00720EF9">
      <w:pPr>
        <w:jc w:val="both"/>
      </w:pPr>
      <w:r>
        <w:t>- </w:t>
      </w:r>
      <w:r w:rsidR="00A7620E" w:rsidRPr="009118AB">
        <w:t>die Artikel 35 und 36 des Gesetzes vom 11. Juli 2018 über das öffentliche Angebot von Anlageinstrumenten und deren Zulassung zum Handel an geregelten Märkten (</w:t>
      </w:r>
      <w:r w:rsidR="00A7620E" w:rsidRPr="009118AB">
        <w:rPr>
          <w:i/>
        </w:rPr>
        <w:t>Belgisches Staatsblatt</w:t>
      </w:r>
      <w:r w:rsidR="00A7620E" w:rsidRPr="009118AB">
        <w:t xml:space="preserve"> vom 14. Februar 2020) </w:t>
      </w:r>
      <w:r w:rsidR="00A7620E" w:rsidRPr="009118AB">
        <w:rPr>
          <w:i/>
        </w:rPr>
        <w:t>(II)</w:t>
      </w:r>
      <w:r w:rsidR="0046443B" w:rsidRPr="009118AB">
        <w:t>,</w:t>
      </w:r>
    </w:p>
    <w:p w14:paraId="2567C75A" w14:textId="77777777" w:rsidR="0046443B" w:rsidRPr="009118AB" w:rsidRDefault="0046443B" w:rsidP="00720EF9">
      <w:pPr>
        <w:jc w:val="both"/>
      </w:pPr>
    </w:p>
    <w:p w14:paraId="1957824B" w14:textId="48EA6117" w:rsidR="0046443B" w:rsidRPr="009118AB" w:rsidRDefault="00970435" w:rsidP="00720EF9">
      <w:pPr>
        <w:jc w:val="both"/>
      </w:pPr>
      <w:r>
        <w:t>- </w:t>
      </w:r>
      <w:r w:rsidR="0046443B" w:rsidRPr="009118AB">
        <w:t>die Artikel 75 bis 77 des Gesetzes vom 11. Juli 2018 im Rahmen der Integration der Hypothekenämter in die Ver</w:t>
      </w:r>
      <w:r w:rsidR="0046443B" w:rsidRPr="009118AB">
        <w:softHyphen/>
        <w:t>waltung Rechtssicherheit der Generalverwaltung Vermögensdokumentation des Föde</w:t>
      </w:r>
      <w:r w:rsidR="0046443B" w:rsidRPr="009118AB">
        <w:softHyphen/>
        <w:t>ralen Öffentlichen Dienstes Finanzen und der neuen Organisation und Verteilung der Zuständigkeiten innerhalb der Verwaltung Rechtssicherheit (</w:t>
      </w:r>
      <w:r w:rsidR="0046443B" w:rsidRPr="009118AB">
        <w:rPr>
          <w:i/>
        </w:rPr>
        <w:t>Belgisches Staatsblatt</w:t>
      </w:r>
      <w:r w:rsidR="00864068" w:rsidRPr="009118AB">
        <w:rPr>
          <w:i/>
        </w:rPr>
        <w:t xml:space="preserve"> </w:t>
      </w:r>
      <w:r w:rsidR="0046443B" w:rsidRPr="009118AB">
        <w:t xml:space="preserve">vom 14. Februar 2020) </w:t>
      </w:r>
      <w:r w:rsidR="0046443B" w:rsidRPr="009118AB">
        <w:rPr>
          <w:i/>
        </w:rPr>
        <w:t>(III)</w:t>
      </w:r>
      <w:r w:rsidR="0019661C" w:rsidRPr="009118AB">
        <w:t>,</w:t>
      </w:r>
    </w:p>
    <w:p w14:paraId="4D2E2C5F" w14:textId="77777777" w:rsidR="0019661C" w:rsidRPr="009118AB" w:rsidRDefault="0019661C" w:rsidP="00720EF9">
      <w:pPr>
        <w:jc w:val="both"/>
      </w:pPr>
    </w:p>
    <w:p w14:paraId="7F690A08" w14:textId="06B3F4C4" w:rsidR="0019661C" w:rsidRPr="009118AB" w:rsidRDefault="00970435" w:rsidP="00720EF9">
      <w:pPr>
        <w:jc w:val="both"/>
      </w:pPr>
      <w:r>
        <w:t>- </w:t>
      </w:r>
      <w:r w:rsidR="0019661C" w:rsidRPr="009118AB">
        <w:t>die Artikel 45 bis 53 des Gesetzes</w:t>
      </w:r>
      <w:r w:rsidR="004635EA" w:rsidRPr="009118AB">
        <w:t xml:space="preserve"> vom 18. Juli 2018</w:t>
      </w:r>
      <w:r w:rsidR="0019661C" w:rsidRPr="009118AB">
        <w:t xml:space="preserve"> zur Belebung der Wirtschaft und zur Stärkung des sozialen Zusammenhalts (</w:t>
      </w:r>
      <w:r w:rsidR="0019661C" w:rsidRPr="009118AB">
        <w:rPr>
          <w:i/>
        </w:rPr>
        <w:t>Belgisches Staatsblatt</w:t>
      </w:r>
      <w:r w:rsidR="0019661C" w:rsidRPr="009118AB">
        <w:t xml:space="preserve"> vom 6. März 2020)</w:t>
      </w:r>
      <w:r w:rsidR="004635EA" w:rsidRPr="009118AB">
        <w:t>,</w:t>
      </w:r>
    </w:p>
    <w:p w14:paraId="7BB2C6B8" w14:textId="77777777" w:rsidR="004635EA" w:rsidRPr="009118AB" w:rsidRDefault="004635EA" w:rsidP="00720EF9">
      <w:pPr>
        <w:jc w:val="both"/>
      </w:pPr>
    </w:p>
    <w:p w14:paraId="147E7DC1" w14:textId="6489ABDC" w:rsidR="004635EA" w:rsidRPr="009118AB" w:rsidRDefault="00970435" w:rsidP="00720EF9">
      <w:pPr>
        <w:jc w:val="both"/>
        <w:rPr>
          <w:bCs/>
        </w:rPr>
      </w:pPr>
      <w:r>
        <w:t>- </w:t>
      </w:r>
      <w:r w:rsidR="004635EA" w:rsidRPr="009118AB">
        <w:t xml:space="preserve">das Gesetz vom 30. Juli 2018 </w:t>
      </w:r>
      <w:r w:rsidR="004635EA" w:rsidRPr="009118AB">
        <w:rPr>
          <w:bCs/>
        </w:rPr>
        <w:t>zur Festlegung verschiedener Bestimmungen im Bereich Einkommensteuern (</w:t>
      </w:r>
      <w:r w:rsidR="004635EA" w:rsidRPr="009118AB">
        <w:rPr>
          <w:bCs/>
          <w:i/>
          <w:iCs/>
        </w:rPr>
        <w:t>Belgisches Staatsblatt</w:t>
      </w:r>
      <w:r w:rsidR="004635EA" w:rsidRPr="009118AB">
        <w:rPr>
          <w:bCs/>
        </w:rPr>
        <w:t xml:space="preserve"> vom 12. Mai 2020) </w:t>
      </w:r>
      <w:r w:rsidR="004635EA" w:rsidRPr="009118AB">
        <w:rPr>
          <w:bCs/>
          <w:i/>
          <w:iCs/>
        </w:rPr>
        <w:t>(I)</w:t>
      </w:r>
      <w:r w:rsidR="00B52929" w:rsidRPr="009118AB">
        <w:rPr>
          <w:bCs/>
        </w:rPr>
        <w:t>,</w:t>
      </w:r>
    </w:p>
    <w:p w14:paraId="53AB00CC" w14:textId="77777777" w:rsidR="00B52929" w:rsidRPr="009118AB" w:rsidRDefault="00B52929" w:rsidP="00720EF9">
      <w:pPr>
        <w:jc w:val="both"/>
        <w:rPr>
          <w:bCs/>
        </w:rPr>
      </w:pPr>
    </w:p>
    <w:p w14:paraId="624A67FA" w14:textId="77777777" w:rsidR="00B52929" w:rsidRPr="009118AB" w:rsidRDefault="00B52929" w:rsidP="00720EF9">
      <w:pPr>
        <w:jc w:val="both"/>
        <w:rPr>
          <w:bCs/>
        </w:rPr>
      </w:pPr>
      <w:r w:rsidRPr="009118AB">
        <w:rPr>
          <w:bCs/>
        </w:rPr>
        <w:t>- das Gesetz vom 30. Juli 2018 zur Optimierung der Beihilfe für Arbeitgeber, die in einer Zone in Schwierigkeiten investieren (</w:t>
      </w:r>
      <w:r w:rsidRPr="009118AB">
        <w:rPr>
          <w:bCs/>
          <w:i/>
          <w:iCs/>
        </w:rPr>
        <w:t>Belgisches Staatsblatt</w:t>
      </w:r>
      <w:r w:rsidRPr="009118AB">
        <w:rPr>
          <w:bCs/>
        </w:rPr>
        <w:t xml:space="preserve"> vom 18. Mai 2020) </w:t>
      </w:r>
      <w:r w:rsidRPr="009118AB">
        <w:rPr>
          <w:bCs/>
          <w:i/>
          <w:iCs/>
        </w:rPr>
        <w:t>(II)</w:t>
      </w:r>
      <w:r w:rsidR="00F11C09" w:rsidRPr="009118AB">
        <w:rPr>
          <w:bCs/>
        </w:rPr>
        <w:t>,</w:t>
      </w:r>
    </w:p>
    <w:p w14:paraId="5B83C1CD" w14:textId="77777777" w:rsidR="00F11C09" w:rsidRPr="009118AB" w:rsidRDefault="00F11C09" w:rsidP="00720EF9">
      <w:pPr>
        <w:jc w:val="both"/>
      </w:pPr>
    </w:p>
    <w:p w14:paraId="68AEC976" w14:textId="77777777" w:rsidR="00720EF9" w:rsidRPr="009118AB" w:rsidRDefault="00F11C09" w:rsidP="00F73613">
      <w:pPr>
        <w:jc w:val="both"/>
        <w:rPr>
          <w:bCs/>
        </w:rPr>
      </w:pPr>
      <w:r w:rsidRPr="009118AB">
        <w:t xml:space="preserve">- Artikel 7 des Gesetzes vom 30. Oktober 2018 </w:t>
      </w:r>
      <w:r w:rsidRPr="009118AB">
        <w:rPr>
          <w:bCs/>
        </w:rPr>
        <w:t>zur Abänderung des Gesetzes vom 18. Juli 2018 zur Belebung der Wirtschaft und zur Stärkung des sozialen Zusammenhalts und des Einkommensteuergesetzbuches 1992 (</w:t>
      </w:r>
      <w:r w:rsidRPr="009118AB">
        <w:rPr>
          <w:bCs/>
          <w:i/>
          <w:iCs/>
        </w:rPr>
        <w:t>Belgisches Staatsblatt</w:t>
      </w:r>
      <w:r w:rsidRPr="009118AB">
        <w:rPr>
          <w:bCs/>
        </w:rPr>
        <w:t xml:space="preserve"> vom 18. Mai 2020)</w:t>
      </w:r>
      <w:r w:rsidR="00BF0578" w:rsidRPr="009118AB">
        <w:rPr>
          <w:bCs/>
        </w:rPr>
        <w:t>,</w:t>
      </w:r>
    </w:p>
    <w:p w14:paraId="1473949A" w14:textId="77777777" w:rsidR="00BF0578" w:rsidRPr="009118AB" w:rsidRDefault="00BF0578" w:rsidP="00F73613">
      <w:pPr>
        <w:jc w:val="both"/>
        <w:rPr>
          <w:bCs/>
        </w:rPr>
      </w:pPr>
    </w:p>
    <w:p w14:paraId="31189E87" w14:textId="77777777" w:rsidR="00BF0578" w:rsidRPr="009118AB" w:rsidRDefault="00BF0578" w:rsidP="00F73613">
      <w:pPr>
        <w:jc w:val="both"/>
        <w:rPr>
          <w:bCs/>
        </w:rPr>
      </w:pPr>
      <w:r w:rsidRPr="009118AB">
        <w:rPr>
          <w:bCs/>
        </w:rPr>
        <w:t>- die Artikel 45 bis 50 und 52 des Gesetzes vom 6. Dezember 2018 zur Einführung einer freien ergänzenden Altersversorgung für Lohnempfänger und zur Festlegung verschiedener Bestimmungen im Bereich ergänzende Altersversorgung (</w:t>
      </w:r>
      <w:r w:rsidRPr="009118AB">
        <w:rPr>
          <w:bCs/>
          <w:i/>
          <w:iCs/>
        </w:rPr>
        <w:t>Belgisches Staatsblatt</w:t>
      </w:r>
      <w:r w:rsidRPr="009118AB">
        <w:rPr>
          <w:bCs/>
        </w:rPr>
        <w:t xml:space="preserve"> vom 18. Mai 2020),</w:t>
      </w:r>
    </w:p>
    <w:p w14:paraId="18867EEE" w14:textId="77777777" w:rsidR="00BF0578" w:rsidRPr="009118AB" w:rsidRDefault="00BF0578" w:rsidP="00F73613">
      <w:pPr>
        <w:jc w:val="both"/>
        <w:rPr>
          <w:bCs/>
        </w:rPr>
      </w:pPr>
    </w:p>
    <w:p w14:paraId="7AC03AC9" w14:textId="77777777" w:rsidR="00F11C09" w:rsidRPr="009118AB" w:rsidRDefault="00BF0578" w:rsidP="00F73613">
      <w:pPr>
        <w:jc w:val="both"/>
        <w:rPr>
          <w:bCs/>
        </w:rPr>
      </w:pPr>
      <w:r w:rsidRPr="009118AB">
        <w:rPr>
          <w:bCs/>
        </w:rPr>
        <w:t>- die Artikel 74 und 75 des Gesetzes vom 21. Dezember 2018 zur Festlegung verschiedener Bestimmungen im Bereich Soziales (</w:t>
      </w:r>
      <w:r w:rsidRPr="009118AB">
        <w:rPr>
          <w:bCs/>
          <w:i/>
          <w:iCs/>
        </w:rPr>
        <w:t>Belgisches Staatsblatt</w:t>
      </w:r>
      <w:r w:rsidRPr="009118AB">
        <w:rPr>
          <w:bCs/>
        </w:rPr>
        <w:t xml:space="preserve"> vom 18. Mai 2020)</w:t>
      </w:r>
      <w:r w:rsidR="00004716" w:rsidRPr="009118AB">
        <w:rPr>
          <w:bCs/>
        </w:rPr>
        <w:t>,</w:t>
      </w:r>
    </w:p>
    <w:p w14:paraId="3B9C386A" w14:textId="77777777" w:rsidR="00004716" w:rsidRPr="009118AB" w:rsidRDefault="00004716" w:rsidP="00F73613">
      <w:pPr>
        <w:jc w:val="both"/>
        <w:rPr>
          <w:bCs/>
        </w:rPr>
      </w:pPr>
    </w:p>
    <w:p w14:paraId="732D1D09" w14:textId="75278117" w:rsidR="00004716" w:rsidRPr="009118AB" w:rsidRDefault="00970435" w:rsidP="00004716">
      <w:pPr>
        <w:jc w:val="both"/>
        <w:rPr>
          <w:bCs/>
        </w:rPr>
      </w:pPr>
      <w:r>
        <w:rPr>
          <w:bCs/>
        </w:rPr>
        <w:t>- </w:t>
      </w:r>
      <w:r w:rsidR="00004716" w:rsidRPr="009118AB">
        <w:t xml:space="preserve">das Gesetz vom 11. Januar 2019 </w:t>
      </w:r>
      <w:r w:rsidR="00004716" w:rsidRPr="009118AB">
        <w:rPr>
          <w:bCs/>
        </w:rPr>
        <w:t>zur Festlegung von Maßnahmen zur Bekämpfung der Steuerhinterziehung und -umgehung hinsichtlich des Mobiliensteuervorabzugs (</w:t>
      </w:r>
      <w:r w:rsidR="00004716" w:rsidRPr="009118AB">
        <w:rPr>
          <w:bCs/>
          <w:i/>
          <w:iCs/>
        </w:rPr>
        <w:t>Belgisches Staatsblatt</w:t>
      </w:r>
      <w:r w:rsidR="00004716" w:rsidRPr="009118AB">
        <w:rPr>
          <w:bCs/>
        </w:rPr>
        <w:t xml:space="preserve"> vom 18. Mai 2020)</w:t>
      </w:r>
      <w:r w:rsidR="000C793E" w:rsidRPr="009118AB">
        <w:rPr>
          <w:bCs/>
        </w:rPr>
        <w:t>,</w:t>
      </w:r>
    </w:p>
    <w:p w14:paraId="24BFDD01" w14:textId="77777777" w:rsidR="000C793E" w:rsidRPr="009118AB" w:rsidRDefault="000C793E" w:rsidP="00004716">
      <w:pPr>
        <w:jc w:val="both"/>
        <w:rPr>
          <w:bCs/>
        </w:rPr>
      </w:pPr>
    </w:p>
    <w:p w14:paraId="6F8E3738" w14:textId="5FC4D733" w:rsidR="000C793E" w:rsidRPr="009118AB" w:rsidRDefault="00970435" w:rsidP="00004716">
      <w:pPr>
        <w:jc w:val="both"/>
      </w:pPr>
      <w:r>
        <w:rPr>
          <w:bCs/>
        </w:rPr>
        <w:t>- </w:t>
      </w:r>
      <w:r w:rsidR="000C793E" w:rsidRPr="009118AB">
        <w:rPr>
          <w:bCs/>
        </w:rPr>
        <w:t>die Artikel</w:t>
      </w:r>
      <w:r>
        <w:rPr>
          <w:bCs/>
        </w:rPr>
        <w:t> </w:t>
      </w:r>
      <w:r w:rsidR="000C793E" w:rsidRPr="009118AB">
        <w:rPr>
          <w:bCs/>
        </w:rPr>
        <w:t>2</w:t>
      </w:r>
      <w:r w:rsidR="00B92397" w:rsidRPr="009118AB">
        <w:rPr>
          <w:bCs/>
        </w:rPr>
        <w:t xml:space="preserve"> und 3,</w:t>
      </w:r>
      <w:r w:rsidR="000C793E" w:rsidRPr="009118AB">
        <w:rPr>
          <w:bCs/>
        </w:rPr>
        <w:t xml:space="preserve"> </w:t>
      </w:r>
      <w:r w:rsidR="009F794D" w:rsidRPr="009118AB">
        <w:rPr>
          <w:bCs/>
        </w:rPr>
        <w:t xml:space="preserve">5, 6, </w:t>
      </w:r>
      <w:r w:rsidR="00B92397" w:rsidRPr="009118AB">
        <w:rPr>
          <w:bCs/>
        </w:rPr>
        <w:t xml:space="preserve">8 </w:t>
      </w:r>
      <w:r w:rsidR="000C793E" w:rsidRPr="009118AB">
        <w:rPr>
          <w:bCs/>
        </w:rPr>
        <w:t xml:space="preserve">bis 30, 43 bis 49, 58, </w:t>
      </w:r>
      <w:r w:rsidR="00F86487" w:rsidRPr="009118AB">
        <w:rPr>
          <w:bCs/>
        </w:rPr>
        <w:t xml:space="preserve">59, </w:t>
      </w:r>
      <w:r w:rsidR="000C793E" w:rsidRPr="009118AB">
        <w:rPr>
          <w:bCs/>
        </w:rPr>
        <w:t xml:space="preserve">73 bis 79 und 84 bis 106 des Gesetzes vom 11. Februar 2019 </w:t>
      </w:r>
      <w:r w:rsidR="001C50E0" w:rsidRPr="009118AB">
        <w:t>zur Festlegung von steuerrechtlichen, finanziellen und verschiedenen Bestimmungen und Bestimmungen im Bereich der Betrugsbekämpfung (</w:t>
      </w:r>
      <w:r w:rsidR="001C50E0" w:rsidRPr="009118AB">
        <w:rPr>
          <w:i/>
          <w:iCs/>
        </w:rPr>
        <w:t>Belgisches Staatsblatt</w:t>
      </w:r>
      <w:r w:rsidR="001C50E0" w:rsidRPr="009118AB">
        <w:t xml:space="preserve"> vom 19. Mai 2020)</w:t>
      </w:r>
      <w:r w:rsidR="007152C0" w:rsidRPr="009118AB">
        <w:t>,</w:t>
      </w:r>
    </w:p>
    <w:p w14:paraId="3DE9409A" w14:textId="77777777" w:rsidR="007152C0" w:rsidRPr="009118AB" w:rsidRDefault="007152C0" w:rsidP="00004716">
      <w:pPr>
        <w:jc w:val="both"/>
      </w:pPr>
    </w:p>
    <w:p w14:paraId="38602518" w14:textId="456081E2" w:rsidR="007152C0" w:rsidRPr="009118AB" w:rsidRDefault="00970435" w:rsidP="00004716">
      <w:pPr>
        <w:jc w:val="both"/>
      </w:pPr>
      <w:r>
        <w:t>- </w:t>
      </w:r>
      <w:r w:rsidR="007152C0" w:rsidRPr="009118AB">
        <w:t>das Gesetz vom 27. Februar 2019</w:t>
      </w:r>
      <w:r w:rsidR="004032CB" w:rsidRPr="009118AB">
        <w:t xml:space="preserve"> zur Abänderung des Einkommensteuergesetzbuches 1992 in Bezug auf den Begriff "gesetzliches Ruhestandsalter" (</w:t>
      </w:r>
      <w:r w:rsidR="004032CB" w:rsidRPr="009118AB">
        <w:rPr>
          <w:i/>
          <w:iCs/>
        </w:rPr>
        <w:t>Belgisches Staatsblatt</w:t>
      </w:r>
      <w:r w:rsidR="004032CB" w:rsidRPr="009118AB">
        <w:t xml:space="preserve"> vom 19. Mai 2020)</w:t>
      </w:r>
      <w:r w:rsidR="00DF38A8" w:rsidRPr="009118AB">
        <w:t>,</w:t>
      </w:r>
    </w:p>
    <w:p w14:paraId="5B7BD8B1" w14:textId="77777777" w:rsidR="00DF38A8" w:rsidRPr="009118AB" w:rsidRDefault="00DF38A8" w:rsidP="00004716">
      <w:pPr>
        <w:jc w:val="both"/>
      </w:pPr>
    </w:p>
    <w:p w14:paraId="3934E960" w14:textId="72768C67" w:rsidR="00DF38A8" w:rsidRPr="009118AB" w:rsidRDefault="00970435" w:rsidP="00004716">
      <w:pPr>
        <w:jc w:val="both"/>
      </w:pPr>
      <w:r>
        <w:t>- </w:t>
      </w:r>
      <w:r w:rsidR="00DF38A8" w:rsidRPr="009118AB">
        <w:t>das Gesetz vom 1. März 2019 zur Abänderung des Einkommensteuergesetzbuches 1992 im Hinblick auf die Erhöhung des Betrags der Steuerbefreiung zugunsten der freiwilligen Feuerwehrleute der öffentlichen Feuerwehrdienste und der freiwilligen Mitarbeiter beim Zivilschutz (</w:t>
      </w:r>
      <w:r w:rsidR="00DF38A8" w:rsidRPr="009118AB">
        <w:rPr>
          <w:i/>
          <w:iCs/>
        </w:rPr>
        <w:t>Belgisches Staatsblatt</w:t>
      </w:r>
      <w:r w:rsidR="00DF38A8" w:rsidRPr="009118AB">
        <w:t xml:space="preserve"> vom 19. Mai 2020)</w:t>
      </w:r>
      <w:r w:rsidR="007807D5" w:rsidRPr="009118AB">
        <w:t>,</w:t>
      </w:r>
    </w:p>
    <w:p w14:paraId="3DE9D101" w14:textId="77777777" w:rsidR="007807D5" w:rsidRPr="009118AB" w:rsidRDefault="007807D5" w:rsidP="00004716">
      <w:pPr>
        <w:jc w:val="both"/>
      </w:pPr>
    </w:p>
    <w:p w14:paraId="4E03F7FE" w14:textId="62AB387C" w:rsidR="007807D5" w:rsidRPr="009118AB" w:rsidRDefault="007807D5" w:rsidP="00004716">
      <w:pPr>
        <w:jc w:val="both"/>
        <w:rPr>
          <w:bCs/>
        </w:rPr>
      </w:pPr>
      <w:r w:rsidRPr="009118AB">
        <w:t xml:space="preserve">- das Gesetz vom 17. März 2019 zur Abänderung einiger Bestimmungen in Bezug auf die Mobilitätszulage </w:t>
      </w:r>
      <w:r w:rsidRPr="009118AB">
        <w:rPr>
          <w:iCs/>
        </w:rPr>
        <w:t>(</w:t>
      </w:r>
      <w:r w:rsidRPr="009118AB">
        <w:rPr>
          <w:i/>
          <w:iCs/>
        </w:rPr>
        <w:t xml:space="preserve">Belgisches Staatsblatt </w:t>
      </w:r>
      <w:r w:rsidRPr="009118AB">
        <w:rPr>
          <w:iCs/>
        </w:rPr>
        <w:t>vom 20. Juli 2020)</w:t>
      </w:r>
      <w:r w:rsidR="00D43899" w:rsidRPr="009118AB">
        <w:rPr>
          <w:iCs/>
        </w:rPr>
        <w:t xml:space="preserve"> </w:t>
      </w:r>
      <w:r w:rsidR="00D43899" w:rsidRPr="009118AB">
        <w:rPr>
          <w:i/>
          <w:iCs/>
        </w:rPr>
        <w:t>(I)</w:t>
      </w:r>
      <w:r w:rsidR="00D43899" w:rsidRPr="009118AB">
        <w:rPr>
          <w:iCs/>
        </w:rPr>
        <w:t>,</w:t>
      </w:r>
    </w:p>
    <w:p w14:paraId="094DA2F1" w14:textId="77777777" w:rsidR="00004716" w:rsidRPr="009118AB" w:rsidRDefault="00004716" w:rsidP="00004716">
      <w:pPr>
        <w:jc w:val="both"/>
      </w:pPr>
    </w:p>
    <w:p w14:paraId="592E60E8" w14:textId="4E5D078B" w:rsidR="00D43899" w:rsidRPr="009118AB" w:rsidRDefault="00D43899" w:rsidP="00D43899">
      <w:pPr>
        <w:jc w:val="both"/>
      </w:pPr>
      <w:r w:rsidRPr="009118AB">
        <w:t>- das Gesetz vom 17. März 2019 zur Organisation des Übergangs von der Steuerpflicht hinsichtlich der Steuer der juristischen Personen zur Gesellschaftssteuerpflicht (</w:t>
      </w:r>
      <w:r w:rsidRPr="009118AB">
        <w:rPr>
          <w:i/>
          <w:iCs/>
        </w:rPr>
        <w:t>Belgi</w:t>
      </w:r>
      <w:r w:rsidR="003B0B00" w:rsidRPr="009118AB">
        <w:rPr>
          <w:i/>
          <w:iCs/>
        </w:rPr>
        <w:t>s</w:t>
      </w:r>
      <w:r w:rsidRPr="009118AB">
        <w:rPr>
          <w:i/>
          <w:iCs/>
        </w:rPr>
        <w:t>ches Staatsblatt</w:t>
      </w:r>
      <w:r w:rsidRPr="009118AB">
        <w:t xml:space="preserve"> vom 24. Juli 2020) </w:t>
      </w:r>
      <w:r w:rsidRPr="009118AB">
        <w:rPr>
          <w:i/>
        </w:rPr>
        <w:t>(II)</w:t>
      </w:r>
      <w:r w:rsidR="00F2084F" w:rsidRPr="009118AB">
        <w:t>,</w:t>
      </w:r>
    </w:p>
    <w:p w14:paraId="7ED82B0F" w14:textId="77777777" w:rsidR="00F2084F" w:rsidRPr="009118AB" w:rsidRDefault="00F2084F" w:rsidP="00D43899">
      <w:pPr>
        <w:jc w:val="both"/>
      </w:pPr>
    </w:p>
    <w:p w14:paraId="45F8C999" w14:textId="6675F0B7" w:rsidR="00F2084F" w:rsidRPr="009118AB" w:rsidRDefault="00F2084F" w:rsidP="00D43899">
      <w:pPr>
        <w:jc w:val="both"/>
      </w:pPr>
      <w:r w:rsidRPr="009118AB">
        <w:t>- die Artikel 2 bis 82 d</w:t>
      </w:r>
      <w:r w:rsidR="00E225E5" w:rsidRPr="009118AB">
        <w:t>e</w:t>
      </w:r>
      <w:r w:rsidRPr="009118AB">
        <w:t>s Gesetz</w:t>
      </w:r>
      <w:r w:rsidR="00E225E5" w:rsidRPr="009118AB">
        <w:t>es</w:t>
      </w:r>
      <w:r w:rsidRPr="009118AB">
        <w:t xml:space="preserve"> vom 17. März 2019 zur Anpassung bestimmter föderaler steuerrechtlicher Bestimmungen an das neue Gesetzbuch der Gesellschaften und Vereinigungen (</w:t>
      </w:r>
      <w:r w:rsidRPr="009118AB">
        <w:rPr>
          <w:i/>
        </w:rPr>
        <w:t>Belgisches Staatsblatt</w:t>
      </w:r>
      <w:r w:rsidRPr="009118AB">
        <w:t xml:space="preserve"> vom 14. Dezember 2020) </w:t>
      </w:r>
      <w:r w:rsidRPr="009118AB">
        <w:rPr>
          <w:i/>
        </w:rPr>
        <w:t>(III)</w:t>
      </w:r>
      <w:r w:rsidR="00DF1146" w:rsidRPr="009118AB">
        <w:t>,</w:t>
      </w:r>
    </w:p>
    <w:p w14:paraId="6E091E20" w14:textId="77777777" w:rsidR="00DF1146" w:rsidRPr="009118AB" w:rsidRDefault="00DF1146" w:rsidP="00DF1146">
      <w:pPr>
        <w:jc w:val="both"/>
      </w:pPr>
    </w:p>
    <w:p w14:paraId="0807980B" w14:textId="071957D6" w:rsidR="00DF1146" w:rsidRPr="009118AB" w:rsidRDefault="00DF1146" w:rsidP="00DF1146">
      <w:pPr>
        <w:jc w:val="both"/>
      </w:pPr>
      <w:r w:rsidRPr="009118AB">
        <w:t>- das Gesetz vom 17. März 2019 über die Einführung eines Mobilitätsbudgets (</w:t>
      </w:r>
      <w:r w:rsidRPr="009118AB">
        <w:rPr>
          <w:i/>
        </w:rPr>
        <w:t>Belgisches Staatsblatt</w:t>
      </w:r>
      <w:r w:rsidRPr="009118AB">
        <w:t xml:space="preserve"> vom 25. Januar 2021) </w:t>
      </w:r>
      <w:r w:rsidRPr="009118AB">
        <w:rPr>
          <w:i/>
        </w:rPr>
        <w:t>(IV)</w:t>
      </w:r>
      <w:r w:rsidR="00747E36" w:rsidRPr="009118AB">
        <w:t>,</w:t>
      </w:r>
    </w:p>
    <w:p w14:paraId="724B60BD" w14:textId="77777777" w:rsidR="00747E36" w:rsidRPr="009118AB" w:rsidRDefault="00747E36" w:rsidP="00DF1146">
      <w:pPr>
        <w:jc w:val="both"/>
      </w:pPr>
    </w:p>
    <w:p w14:paraId="50CB351C" w14:textId="4B9239EE" w:rsidR="00747E36" w:rsidRPr="009118AB" w:rsidRDefault="00747E36" w:rsidP="00DF1146">
      <w:pPr>
        <w:jc w:val="both"/>
      </w:pPr>
      <w:r w:rsidRPr="009118AB">
        <w:t>- das Gesetz vom 23. März 2019 zur Abänderung des Einkommensteuergesetzbuches 1992 in Bezug auf die steuerrechtlichen Bestimmungen über den Jobdeal (</w:t>
      </w:r>
      <w:r w:rsidRPr="009118AB">
        <w:rPr>
          <w:i/>
        </w:rPr>
        <w:t>Belgisches Staatsblatt</w:t>
      </w:r>
      <w:r w:rsidR="000A0CD5" w:rsidRPr="009118AB">
        <w:t xml:space="preserve"> vom 28. Januar 2021),</w:t>
      </w:r>
    </w:p>
    <w:p w14:paraId="43C52A17" w14:textId="7DEC8AE5" w:rsidR="00CF4F77" w:rsidRPr="009118AB" w:rsidRDefault="00CF4F77" w:rsidP="00DF1146">
      <w:pPr>
        <w:jc w:val="both"/>
      </w:pPr>
    </w:p>
    <w:p w14:paraId="76996B86" w14:textId="027A65EF" w:rsidR="00CF4F77" w:rsidRPr="009118AB" w:rsidRDefault="00970435" w:rsidP="00DF1146">
      <w:pPr>
        <w:jc w:val="both"/>
      </w:pPr>
      <w:r>
        <w:t>- </w:t>
      </w:r>
      <w:r w:rsidR="00CF4F77" w:rsidRPr="009118AB">
        <w:t>das Gesetz vom 23. März 2019 zur Einführung des Gesetzbuches der Gesellschaften und Vereinigungen und zur Festlegung verschiedener Bestimmungen,</w:t>
      </w:r>
    </w:p>
    <w:p w14:paraId="047B792D" w14:textId="0FE461F5" w:rsidR="002766A8" w:rsidRPr="009118AB" w:rsidRDefault="002766A8" w:rsidP="00DF1146">
      <w:pPr>
        <w:jc w:val="both"/>
      </w:pPr>
    </w:p>
    <w:p w14:paraId="478EA6BB" w14:textId="57E3C931" w:rsidR="002766A8" w:rsidRPr="009118AB" w:rsidRDefault="00970435" w:rsidP="00DF1146">
      <w:pPr>
        <w:jc w:val="both"/>
      </w:pPr>
      <w:r>
        <w:t>- </w:t>
      </w:r>
      <w:r w:rsidR="002766A8" w:rsidRPr="009118AB">
        <w:t>das Gesetz vom 29. März 2019 zur Ausdehnung des Tax Shelter auf die Videospielindustrie (</w:t>
      </w:r>
      <w:r w:rsidR="002766A8" w:rsidRPr="009118AB">
        <w:rPr>
          <w:i/>
        </w:rPr>
        <w:t>Belgisches Staatsblatt</w:t>
      </w:r>
      <w:r w:rsidR="002766A8" w:rsidRPr="009118AB">
        <w:t xml:space="preserve"> vom 20. April 2021),</w:t>
      </w:r>
    </w:p>
    <w:p w14:paraId="17932656" w14:textId="03326B8A" w:rsidR="00814518" w:rsidRPr="009118AB" w:rsidRDefault="00814518" w:rsidP="00DF1146">
      <w:pPr>
        <w:jc w:val="both"/>
      </w:pPr>
    </w:p>
    <w:p w14:paraId="5C5BFB18" w14:textId="150A82BC" w:rsidR="00814518" w:rsidRPr="009118AB" w:rsidRDefault="00970435" w:rsidP="00DF1146">
      <w:pPr>
        <w:jc w:val="both"/>
      </w:pPr>
      <w:r>
        <w:t>- </w:t>
      </w:r>
      <w:r w:rsidR="00BA2C1F" w:rsidRPr="009118AB">
        <w:t>die Artikel 22 bis 34 des</w:t>
      </w:r>
      <w:r w:rsidR="00814518" w:rsidRPr="009118AB">
        <w:t xml:space="preserve"> Gesetz</w:t>
      </w:r>
      <w:r w:rsidR="00BA2C1F" w:rsidRPr="009118AB">
        <w:t>es</w:t>
      </w:r>
      <w:r w:rsidR="00814518" w:rsidRPr="009118AB">
        <w:t xml:space="preserve"> vom 7. April 2019 in Bezug auf die sozialen Bestimmungen über den Jobdeal (</w:t>
      </w:r>
      <w:r w:rsidR="00814518" w:rsidRPr="009118AB">
        <w:rPr>
          <w:i/>
        </w:rPr>
        <w:t>Belgisches Staatsblatt</w:t>
      </w:r>
      <w:r w:rsidR="00814518" w:rsidRPr="009118AB">
        <w:t xml:space="preserve"> vom 20. April 2021) </w:t>
      </w:r>
      <w:r w:rsidR="00814518" w:rsidRPr="009118AB">
        <w:rPr>
          <w:i/>
        </w:rPr>
        <w:t>(I)</w:t>
      </w:r>
      <w:r w:rsidR="00814518" w:rsidRPr="009118AB">
        <w:t>,</w:t>
      </w:r>
    </w:p>
    <w:p w14:paraId="6D2A4F4A" w14:textId="20BACB7C" w:rsidR="00CB3EDA" w:rsidRPr="009118AB" w:rsidRDefault="00CB3EDA" w:rsidP="00DF1146">
      <w:pPr>
        <w:jc w:val="both"/>
      </w:pPr>
    </w:p>
    <w:p w14:paraId="2D3A28E0" w14:textId="50281F71" w:rsidR="002678A9" w:rsidRPr="009118AB" w:rsidRDefault="00970435" w:rsidP="002678A9">
      <w:pPr>
        <w:jc w:val="both"/>
      </w:pPr>
      <w:r>
        <w:t>- </w:t>
      </w:r>
      <w:r w:rsidR="002678A9" w:rsidRPr="009118AB">
        <w:t>das Gesetz vom 7. April 2019 in Bezug auf die sozialen Bestimmungen über den Jobdeal (</w:t>
      </w:r>
      <w:r w:rsidR="002678A9" w:rsidRPr="009118AB">
        <w:rPr>
          <w:i/>
        </w:rPr>
        <w:t>Belgisches Staatsblatt</w:t>
      </w:r>
      <w:r w:rsidR="002678A9" w:rsidRPr="009118AB">
        <w:t xml:space="preserve"> vom 20. April 2021) </w:t>
      </w:r>
      <w:r w:rsidR="002678A9" w:rsidRPr="009118AB">
        <w:rPr>
          <w:i/>
        </w:rPr>
        <w:t>(</w:t>
      </w:r>
      <w:r w:rsidR="000634A1" w:rsidRPr="009118AB">
        <w:rPr>
          <w:i/>
        </w:rPr>
        <w:t>I</w:t>
      </w:r>
      <w:r w:rsidR="002678A9" w:rsidRPr="009118AB">
        <w:rPr>
          <w:i/>
        </w:rPr>
        <w:t>I)</w:t>
      </w:r>
      <w:r w:rsidR="002678A9" w:rsidRPr="009118AB">
        <w:t>,</w:t>
      </w:r>
    </w:p>
    <w:p w14:paraId="391D1EFA" w14:textId="463B02BB" w:rsidR="002678A9" w:rsidRPr="009118AB" w:rsidRDefault="002678A9" w:rsidP="00DF1146">
      <w:pPr>
        <w:jc w:val="both"/>
      </w:pPr>
    </w:p>
    <w:p w14:paraId="16BF3E3B" w14:textId="3AE6A7A4" w:rsidR="007B19C5" w:rsidRPr="009118AB" w:rsidRDefault="007B19C5" w:rsidP="007B19C5">
      <w:pPr>
        <w:jc w:val="both"/>
      </w:pPr>
      <w:r w:rsidRPr="009118AB">
        <w:t>- das Gesetz vom 13. April 2019 zur Abänderung des Einkommensteuergesetzbuches 1992 im Hinblick auf die Aufhebung der Sanktion bei Nichterfüllung der Bedingung in Bezug auf den Betrag der Entlohnung des Unternehmensleiters (</w:t>
      </w:r>
      <w:r w:rsidRPr="009118AB">
        <w:rPr>
          <w:i/>
        </w:rPr>
        <w:t>Belgisches Staatsblatt</w:t>
      </w:r>
      <w:r w:rsidRPr="009118AB">
        <w:t xml:space="preserve"> vom 20. April 2021)</w:t>
      </w:r>
      <w:r w:rsidR="00A43EA0" w:rsidRPr="009118AB">
        <w:t> </w:t>
      </w:r>
      <w:r w:rsidR="00A43EA0" w:rsidRPr="009118AB">
        <w:rPr>
          <w:i/>
        </w:rPr>
        <w:t>(I)</w:t>
      </w:r>
      <w:r w:rsidRPr="009118AB">
        <w:t>,</w:t>
      </w:r>
    </w:p>
    <w:p w14:paraId="6CFBEB38" w14:textId="528F8FA9" w:rsidR="00453A90" w:rsidRPr="009118AB" w:rsidRDefault="00453A90" w:rsidP="007B19C5">
      <w:pPr>
        <w:jc w:val="both"/>
      </w:pPr>
    </w:p>
    <w:p w14:paraId="6887307E" w14:textId="106E1FDC" w:rsidR="00A43EA0" w:rsidRPr="009118AB" w:rsidRDefault="00A43EA0" w:rsidP="007B19C5">
      <w:pPr>
        <w:jc w:val="both"/>
      </w:pPr>
      <w:r w:rsidRPr="009118AB">
        <w:t>- </w:t>
      </w:r>
      <w:r w:rsidR="00704C98" w:rsidRPr="009118AB">
        <w:t xml:space="preserve">die Artikel 28 bis 63 </w:t>
      </w:r>
      <w:r w:rsidRPr="009118AB">
        <w:t>d</w:t>
      </w:r>
      <w:r w:rsidR="00704C98" w:rsidRPr="009118AB">
        <w:t>e</w:t>
      </w:r>
      <w:r w:rsidRPr="009118AB">
        <w:t>s Gesetz</w:t>
      </w:r>
      <w:r w:rsidR="00704C98" w:rsidRPr="009118AB">
        <w:t>es</w:t>
      </w:r>
      <w:r w:rsidRPr="009118AB">
        <w:t xml:space="preserve"> vom 13. April 2019 </w:t>
      </w:r>
      <w:r w:rsidR="00704C98" w:rsidRPr="009118AB">
        <w:rPr>
          <w:spacing w:val="-2"/>
        </w:rPr>
        <w:t>zur Einführung des Gesetzbuches über die gütliche Beitreibung und die Zwangsbeitreibung von Steuerforderungen und nichtsteuerlichen Forderungen</w:t>
      </w:r>
      <w:r w:rsidRPr="009118AB">
        <w:t xml:space="preserve"> (</w:t>
      </w:r>
      <w:r w:rsidRPr="009118AB">
        <w:rPr>
          <w:i/>
        </w:rPr>
        <w:t>Belgisches Staatsblatt</w:t>
      </w:r>
      <w:r w:rsidRPr="009118AB">
        <w:t xml:space="preserve"> vom 20. April 2021) </w:t>
      </w:r>
      <w:r w:rsidRPr="009118AB">
        <w:rPr>
          <w:i/>
        </w:rPr>
        <w:t>(II)</w:t>
      </w:r>
      <w:r w:rsidRPr="009118AB">
        <w:t>,</w:t>
      </w:r>
    </w:p>
    <w:p w14:paraId="0B599184" w14:textId="77777777" w:rsidR="00A43EA0" w:rsidRPr="009118AB" w:rsidRDefault="00A43EA0" w:rsidP="007B19C5">
      <w:pPr>
        <w:jc w:val="both"/>
      </w:pPr>
    </w:p>
    <w:p w14:paraId="018B294D" w14:textId="091FD06A" w:rsidR="00453A90" w:rsidRPr="009118AB" w:rsidRDefault="00453A90" w:rsidP="007B19C5">
      <w:pPr>
        <w:jc w:val="both"/>
      </w:pPr>
      <w:r w:rsidRPr="009118AB">
        <w:t>- </w:t>
      </w:r>
      <w:r w:rsidR="00BC1A80" w:rsidRPr="009118AB">
        <w:t xml:space="preserve">die </w:t>
      </w:r>
      <w:r w:rsidRPr="009118AB">
        <w:t>Artikel 13</w:t>
      </w:r>
      <w:r w:rsidR="00BC1A80" w:rsidRPr="009118AB">
        <w:t xml:space="preserve"> bis 19</w:t>
      </w:r>
      <w:r w:rsidRPr="009118AB">
        <w:t xml:space="preserve"> des Gesetzes vom 22. April 2019 zur Erleichterung des Zugangs zu einer Rechtsschutzversicherung (</w:t>
      </w:r>
      <w:r w:rsidRPr="009118AB">
        <w:rPr>
          <w:i/>
        </w:rPr>
        <w:t>Belgisches Staatsblatt</w:t>
      </w:r>
      <w:r w:rsidRPr="009118AB">
        <w:t xml:space="preserve"> vom 20. April 2021)</w:t>
      </w:r>
      <w:r w:rsidR="00E9160D" w:rsidRPr="009118AB">
        <w:t> </w:t>
      </w:r>
      <w:r w:rsidR="00E9160D" w:rsidRPr="009118AB">
        <w:rPr>
          <w:i/>
        </w:rPr>
        <w:t>(I)</w:t>
      </w:r>
      <w:r w:rsidRPr="009118AB">
        <w:t>,</w:t>
      </w:r>
    </w:p>
    <w:p w14:paraId="60E48FBB" w14:textId="0B9AD9A0" w:rsidR="007B19C5" w:rsidRPr="009118AB" w:rsidRDefault="007B19C5" w:rsidP="00DF1146">
      <w:pPr>
        <w:jc w:val="both"/>
      </w:pPr>
    </w:p>
    <w:p w14:paraId="4E9B89CB" w14:textId="3FA3DD76" w:rsidR="00E9160D" w:rsidRPr="009118AB" w:rsidRDefault="00E9160D" w:rsidP="00DF1146">
      <w:pPr>
        <w:jc w:val="both"/>
      </w:pPr>
      <w:r w:rsidRPr="009118AB">
        <w:t>- das Gesetz vom 22. April 2019 zur Abänderung des Einkommensteuergesetzbuches 1992 hinsichtlich der Steuerbefreiung für die Abtretung der Erbpacht (</w:t>
      </w:r>
      <w:r w:rsidRPr="009118AB">
        <w:rPr>
          <w:i/>
        </w:rPr>
        <w:t>Belgisches Staatsblatt</w:t>
      </w:r>
      <w:r w:rsidRPr="009118AB">
        <w:t xml:space="preserve"> vom 20. April 2021) </w:t>
      </w:r>
      <w:r w:rsidRPr="009118AB">
        <w:rPr>
          <w:i/>
        </w:rPr>
        <w:t>(II)</w:t>
      </w:r>
      <w:r w:rsidRPr="009118AB">
        <w:t>,</w:t>
      </w:r>
    </w:p>
    <w:p w14:paraId="0C73CF16" w14:textId="51DC42F4" w:rsidR="00FA3419" w:rsidRPr="009118AB" w:rsidRDefault="00FA3419" w:rsidP="00DF1146">
      <w:pPr>
        <w:jc w:val="both"/>
      </w:pPr>
    </w:p>
    <w:p w14:paraId="0A015AD1" w14:textId="7D97B5A4" w:rsidR="00FA3419" w:rsidRPr="009118AB" w:rsidRDefault="00FA3419" w:rsidP="00DF1146">
      <w:pPr>
        <w:jc w:val="both"/>
      </w:pPr>
      <w:r w:rsidRPr="009118AB">
        <w:t>- Artikel 3 des Königlichen Erlasses vom 22. April 2019 zur Abänderung der Gesetzes- und Verordnungsbestimmungen in Bezug auf den Rentenfonds (</w:t>
      </w:r>
      <w:r w:rsidRPr="009118AB">
        <w:rPr>
          <w:i/>
        </w:rPr>
        <w:t>Belgisches Staatsblatt</w:t>
      </w:r>
      <w:r w:rsidRPr="009118AB">
        <w:t xml:space="preserve"> vom 7. Oktober 2021),</w:t>
      </w:r>
    </w:p>
    <w:p w14:paraId="69AF57F9" w14:textId="77777777" w:rsidR="00E9160D" w:rsidRPr="009118AB" w:rsidRDefault="00E9160D" w:rsidP="00DF1146">
      <w:pPr>
        <w:jc w:val="both"/>
      </w:pPr>
    </w:p>
    <w:p w14:paraId="4377B673" w14:textId="19FF273A" w:rsidR="00FD3223" w:rsidRPr="009118AB" w:rsidRDefault="00FD3223" w:rsidP="00DF1146">
      <w:pPr>
        <w:jc w:val="both"/>
      </w:pPr>
      <w:r w:rsidRPr="009118AB">
        <w:t xml:space="preserve">- die Artikel 2 bis 7, 9 bis 20 und 53 bis 55 des Gesetzes vom 28. April 2019 zur Festlegung verschiedener steuerrechtlicher Bestimmungen und zur Abänderung von Artikel 1 </w:t>
      </w:r>
      <w:r w:rsidR="00D67EB8" w:rsidRPr="009118AB">
        <w:t>§ </w:t>
      </w:r>
      <w:r w:rsidRPr="009118AB">
        <w:t>1</w:t>
      </w:r>
      <w:r w:rsidRPr="009118AB">
        <w:rPr>
          <w:i/>
          <w:iCs/>
        </w:rPr>
        <w:t>ter</w:t>
      </w:r>
      <w:r w:rsidRPr="009118AB">
        <w:t xml:space="preserve"> des Gesetzes vom 5. April 1955 (</w:t>
      </w:r>
      <w:r w:rsidRPr="009118AB">
        <w:rPr>
          <w:i/>
        </w:rPr>
        <w:t>Belgisches Staatsblatt</w:t>
      </w:r>
      <w:r w:rsidRPr="009118AB">
        <w:t xml:space="preserve"> vom 23. April 2021),</w:t>
      </w:r>
    </w:p>
    <w:p w14:paraId="4849CFA8" w14:textId="52B04269" w:rsidR="000205C1" w:rsidRPr="009118AB" w:rsidRDefault="000205C1" w:rsidP="00DF1146">
      <w:pPr>
        <w:jc w:val="both"/>
      </w:pPr>
    </w:p>
    <w:p w14:paraId="4EF0A2F1" w14:textId="11BA887E" w:rsidR="000205C1" w:rsidRPr="009118AB" w:rsidRDefault="00970435" w:rsidP="00DF1146">
      <w:pPr>
        <w:jc w:val="both"/>
      </w:pPr>
      <w:r>
        <w:t>- </w:t>
      </w:r>
      <w:r w:rsidR="000205C1" w:rsidRPr="009118AB">
        <w:t>das Gesetz vom 2. Mai 2019 zur Umsetzung der Richtlinie (EU) 2017/1852 des Rates vom 10. Oktober 2017 über Verfahren zur Beilegung von Besteuerungsstreitigkeiten in der Europäischen Union (</w:t>
      </w:r>
      <w:r w:rsidR="000205C1" w:rsidRPr="009118AB">
        <w:rPr>
          <w:i/>
        </w:rPr>
        <w:t>Belgisches Staatsblatt</w:t>
      </w:r>
      <w:r w:rsidR="000205C1" w:rsidRPr="009118AB">
        <w:t xml:space="preserve"> vom 27. Mai 2021) (</w:t>
      </w:r>
      <w:r w:rsidR="000205C1" w:rsidRPr="009118AB">
        <w:rPr>
          <w:i/>
        </w:rPr>
        <w:t>I)</w:t>
      </w:r>
      <w:r w:rsidR="000205C1" w:rsidRPr="009118AB">
        <w:t>,</w:t>
      </w:r>
    </w:p>
    <w:p w14:paraId="78E580DD" w14:textId="26277924" w:rsidR="00283038" w:rsidRPr="009118AB" w:rsidRDefault="00283038"/>
    <w:p w14:paraId="09F0C478" w14:textId="6C223F5B" w:rsidR="00B632E4" w:rsidRPr="009118AB" w:rsidRDefault="00B632E4" w:rsidP="00DF1146">
      <w:pPr>
        <w:jc w:val="both"/>
      </w:pPr>
      <w:r w:rsidRPr="009118AB">
        <w:t>- die Artikel 223 und 241 des Gesetzes vom 2. Mai 2019 zur Festlegung verschiedener finanzieller Bestimmungen (</w:t>
      </w:r>
      <w:r w:rsidRPr="009118AB">
        <w:rPr>
          <w:i/>
        </w:rPr>
        <w:t>Belgisches Staatsblatt</w:t>
      </w:r>
      <w:r w:rsidRPr="009118AB">
        <w:t xml:space="preserve"> vom 2</w:t>
      </w:r>
      <w:r w:rsidR="00D75FFD" w:rsidRPr="009118AB">
        <w:t>7</w:t>
      </w:r>
      <w:r w:rsidRPr="009118AB">
        <w:t>. Mai 2021) </w:t>
      </w:r>
      <w:r w:rsidRPr="009118AB">
        <w:rPr>
          <w:i/>
        </w:rPr>
        <w:t>(II)</w:t>
      </w:r>
      <w:r w:rsidRPr="009118AB">
        <w:t>,</w:t>
      </w:r>
    </w:p>
    <w:p w14:paraId="5201221F" w14:textId="1086DDF9" w:rsidR="00D75FFD" w:rsidRPr="009118AB" w:rsidRDefault="00D75FFD" w:rsidP="00DF1146">
      <w:pPr>
        <w:jc w:val="both"/>
      </w:pPr>
    </w:p>
    <w:p w14:paraId="20FE63B7" w14:textId="201FB1D4" w:rsidR="00D75FFD" w:rsidRPr="009118AB" w:rsidRDefault="00D75FFD" w:rsidP="00DF1146">
      <w:pPr>
        <w:jc w:val="both"/>
      </w:pPr>
      <w:r w:rsidRPr="009118AB">
        <w:t>- das Gesetz vom 2. Mai 2019 zur Festlegung verschiedener steuerrechtlicher Bestimmungen 2019-I (</w:t>
      </w:r>
      <w:r w:rsidRPr="009118AB">
        <w:rPr>
          <w:i/>
        </w:rPr>
        <w:t>Belgisches Staatsblatt</w:t>
      </w:r>
      <w:r w:rsidRPr="009118AB">
        <w:t xml:space="preserve"> vom 2</w:t>
      </w:r>
      <w:r w:rsidR="002C6500" w:rsidRPr="009118AB">
        <w:t>7</w:t>
      </w:r>
      <w:r w:rsidRPr="009118AB">
        <w:t>. Mai 2021) </w:t>
      </w:r>
      <w:r w:rsidRPr="009118AB">
        <w:rPr>
          <w:i/>
        </w:rPr>
        <w:t>(III)</w:t>
      </w:r>
      <w:r w:rsidRPr="009118AB">
        <w:t>,</w:t>
      </w:r>
    </w:p>
    <w:p w14:paraId="7AF5DF30" w14:textId="16C44D0C" w:rsidR="00B50F13" w:rsidRPr="009118AB" w:rsidRDefault="00B50F13" w:rsidP="00DF1146">
      <w:pPr>
        <w:jc w:val="both"/>
      </w:pPr>
    </w:p>
    <w:p w14:paraId="03CC8C52" w14:textId="253845AA" w:rsidR="00A74ECF" w:rsidRPr="009118AB" w:rsidRDefault="00A74ECF" w:rsidP="00DF1146">
      <w:pPr>
        <w:jc w:val="both"/>
      </w:pPr>
      <w:r w:rsidRPr="009118AB">
        <w:t>- die Artikel 17 bis 19 des Gesetzes vom 2. Mai 2019 zur Festlegung verschiedener Bestimmungen im Bereich der Mehrwertsteuer und zur Abänderung der Steuerermäßigung für unentgeltliche Zuwendungen (</w:t>
      </w:r>
      <w:r w:rsidRPr="009118AB">
        <w:rPr>
          <w:i/>
        </w:rPr>
        <w:t>Belgisches Staatsblatt</w:t>
      </w:r>
      <w:r w:rsidRPr="009118AB">
        <w:t xml:space="preserve"> vom 27. Mai 2021) </w:t>
      </w:r>
      <w:r w:rsidRPr="009118AB">
        <w:rPr>
          <w:i/>
        </w:rPr>
        <w:t>(IV)</w:t>
      </w:r>
      <w:r w:rsidRPr="009118AB">
        <w:t>,</w:t>
      </w:r>
    </w:p>
    <w:p w14:paraId="7AD53EAE" w14:textId="77777777" w:rsidR="00A74ECF" w:rsidRPr="009118AB" w:rsidRDefault="00A74ECF" w:rsidP="00DF1146">
      <w:pPr>
        <w:jc w:val="both"/>
      </w:pPr>
    </w:p>
    <w:p w14:paraId="196F0B5D" w14:textId="081AACA2" w:rsidR="00B50F13" w:rsidRPr="009118AB" w:rsidRDefault="00970435" w:rsidP="00B50F13">
      <w:pPr>
        <w:jc w:val="both"/>
      </w:pPr>
      <w:r>
        <w:t>- </w:t>
      </w:r>
      <w:r w:rsidR="00B50F13" w:rsidRPr="009118AB">
        <w:t>die Artikel</w:t>
      </w:r>
      <w:r>
        <w:t> </w:t>
      </w:r>
      <w:r w:rsidR="00B50F13" w:rsidRPr="009118AB">
        <w:t>118 und 119 des Gesetzes vom 5.</w:t>
      </w:r>
      <w:r>
        <w:t> </w:t>
      </w:r>
      <w:r w:rsidR="00B50F13" w:rsidRPr="009118AB">
        <w:t>Mai</w:t>
      </w:r>
      <w:r>
        <w:t> </w:t>
      </w:r>
      <w:r w:rsidR="00B50F13" w:rsidRPr="009118AB">
        <w:t>2019 zur Festlegung verschiedener Bestimmungen in Strafsachen und im Bereich Kulte sowie zur Abänderung des Gesetzes vom 28.</w:t>
      </w:r>
      <w:r>
        <w:t> </w:t>
      </w:r>
      <w:r w:rsidR="00B50F13" w:rsidRPr="009118AB">
        <w:t>Mai</w:t>
      </w:r>
      <w:r>
        <w:t> </w:t>
      </w:r>
      <w:r w:rsidR="00B50F13" w:rsidRPr="009118AB">
        <w:t>2002 über die Sterbehilfe und des Sozialstrafgesetzbuches (</w:t>
      </w:r>
      <w:r w:rsidR="00B50F13" w:rsidRPr="009118AB">
        <w:rPr>
          <w:i/>
          <w:iCs/>
        </w:rPr>
        <w:t>Belgisches Staatsblatt</w:t>
      </w:r>
      <w:r w:rsidR="00B50F13" w:rsidRPr="009118AB">
        <w:t xml:space="preserve"> vom 25.</w:t>
      </w:r>
      <w:r>
        <w:t> </w:t>
      </w:r>
      <w:r w:rsidR="00B50F13" w:rsidRPr="009118AB">
        <w:t>Mai</w:t>
      </w:r>
      <w:r>
        <w:t> </w:t>
      </w:r>
      <w:r w:rsidR="00B50F13" w:rsidRPr="009118AB">
        <w:t>2021),</w:t>
      </w:r>
    </w:p>
    <w:p w14:paraId="476DAF85" w14:textId="5413B60B" w:rsidR="00E9160D" w:rsidRPr="009118AB" w:rsidRDefault="00E9160D" w:rsidP="00B50F13">
      <w:pPr>
        <w:jc w:val="both"/>
      </w:pPr>
    </w:p>
    <w:p w14:paraId="2AD241BA" w14:textId="27E8DE24" w:rsidR="000A0CD5" w:rsidRPr="009118AB" w:rsidRDefault="000A0CD5" w:rsidP="00DF1146">
      <w:pPr>
        <w:jc w:val="both"/>
      </w:pPr>
      <w:r w:rsidRPr="009118AB">
        <w:t>- die Artikel 3 bis 8 des Königlichen Erlasses vom 3. Oktober 2019 zur Anpassung der Terminologie in den Steuergesetzbüchern und im Königlichen Erlass zur Ausführung des Einkommen</w:t>
      </w:r>
      <w:r w:rsidRPr="009118AB">
        <w:softHyphen/>
        <w:t>steuergesetzbuches 1992 an die Terminologie des Wirtschaftsgesetzbuches (</w:t>
      </w:r>
      <w:r w:rsidRPr="009118AB">
        <w:rPr>
          <w:i/>
        </w:rPr>
        <w:t>Belgisches Staatsblatt</w:t>
      </w:r>
      <w:r w:rsidR="00394C50" w:rsidRPr="009118AB">
        <w:t xml:space="preserve"> vom 19. April 2021),</w:t>
      </w:r>
    </w:p>
    <w:p w14:paraId="2B9ED5EF" w14:textId="0781F6E9" w:rsidR="00394C50" w:rsidRDefault="00394C50" w:rsidP="00DF1146">
      <w:pPr>
        <w:jc w:val="both"/>
      </w:pPr>
    </w:p>
    <w:p w14:paraId="18094C8A" w14:textId="5A9038AD" w:rsidR="008720AB" w:rsidRDefault="008720AB" w:rsidP="00DF1146">
      <w:pPr>
        <w:jc w:val="both"/>
      </w:pPr>
      <w:r>
        <w:t xml:space="preserve">- den </w:t>
      </w:r>
      <w:r w:rsidRPr="008720AB">
        <w:t>Entscheid Nr. 138/2019 des Verfassungsgerichtshofes vom 17. Oktober 2019 (</w:t>
      </w:r>
      <w:r>
        <w:rPr>
          <w:i/>
          <w:iCs/>
        </w:rPr>
        <w:t xml:space="preserve">Belgisches Staatsblatt </w:t>
      </w:r>
      <w:r w:rsidRPr="008720AB">
        <w:t>vom 5. November 2019)</w:t>
      </w:r>
      <w:r>
        <w:t>,</w:t>
      </w:r>
    </w:p>
    <w:p w14:paraId="315212BA" w14:textId="77777777" w:rsidR="008720AB" w:rsidRPr="008720AB" w:rsidRDefault="008720AB" w:rsidP="00DF1146">
      <w:pPr>
        <w:jc w:val="both"/>
      </w:pPr>
    </w:p>
    <w:p w14:paraId="1FEA0E41" w14:textId="153DEFEC" w:rsidR="00394C50" w:rsidRDefault="00394C50" w:rsidP="00DF1146">
      <w:pPr>
        <w:jc w:val="both"/>
      </w:pPr>
      <w:r w:rsidRPr="009118AB">
        <w:t>- die Artikel 3 bis 18 des Gesetzes vom 20. Dezember 2019 zur Umsetzung der Richtlinie (EU) 2018/822 des Rates vom 25. Mai 2018 zur Änderung der Richtlinie 2011/16/EU bezüglich des verpflichtenden automatischen Informationsaustauschs im Bereich der Besteuerung über meldepflichtige grenzüberschreitende Gestaltungen (</w:t>
      </w:r>
      <w:r w:rsidRPr="009118AB">
        <w:rPr>
          <w:i/>
        </w:rPr>
        <w:t>Belgisches Staatsblatt</w:t>
      </w:r>
      <w:r w:rsidR="00C651C6" w:rsidRPr="009118AB">
        <w:t xml:space="preserve"> vom 25. Juni 2021),</w:t>
      </w:r>
    </w:p>
    <w:p w14:paraId="1540C29B" w14:textId="77777777" w:rsidR="008720AB" w:rsidRDefault="008720AB" w:rsidP="00DF1146">
      <w:pPr>
        <w:jc w:val="both"/>
      </w:pPr>
    </w:p>
    <w:p w14:paraId="0A27B3CE" w14:textId="1CF499C5" w:rsidR="008720AB" w:rsidRPr="008720AB" w:rsidRDefault="008720AB" w:rsidP="00DF1146">
      <w:pPr>
        <w:jc w:val="both"/>
      </w:pPr>
      <w:r>
        <w:t xml:space="preserve">- den </w:t>
      </w:r>
      <w:r w:rsidRPr="008720AB">
        <w:t>Entscheid Nr. 11/2020 des Verfassungsgerichtshofes vom 23. Januar 2020 (</w:t>
      </w:r>
      <w:r>
        <w:rPr>
          <w:i/>
          <w:iCs/>
        </w:rPr>
        <w:t xml:space="preserve">Belgisches Staatsblatt </w:t>
      </w:r>
      <w:r w:rsidRPr="008720AB">
        <w:t>vom 24. Februar 2020)</w:t>
      </w:r>
      <w:r>
        <w:t>,</w:t>
      </w:r>
    </w:p>
    <w:p w14:paraId="0429DE12" w14:textId="553907E5" w:rsidR="00C651C6" w:rsidRPr="009118AB" w:rsidRDefault="00C651C6" w:rsidP="00DF1146">
      <w:pPr>
        <w:jc w:val="both"/>
      </w:pPr>
    </w:p>
    <w:p w14:paraId="07F0AE3E" w14:textId="7ED82A45" w:rsidR="00C651C6" w:rsidRPr="009118AB" w:rsidRDefault="00C651C6" w:rsidP="00DF1146">
      <w:pPr>
        <w:jc w:val="both"/>
      </w:pPr>
      <w:r w:rsidRPr="009118AB">
        <w:t>- Artikel 16 des Gesetzes vom 4. Februar 2020 zur Einführung von Buch 3 "Güter" des Zivilgesetzbuches (</w:t>
      </w:r>
      <w:r w:rsidRPr="009118AB">
        <w:rPr>
          <w:i/>
        </w:rPr>
        <w:t>Belgisches Staatsblatt</w:t>
      </w:r>
      <w:r w:rsidR="00DB037A" w:rsidRPr="009118AB">
        <w:t xml:space="preserve"> vom 20. Juli 2021),</w:t>
      </w:r>
    </w:p>
    <w:p w14:paraId="45DAA003" w14:textId="6F39722C" w:rsidR="00DB037A" w:rsidRPr="009118AB" w:rsidRDefault="00DB037A" w:rsidP="00DF1146">
      <w:pPr>
        <w:jc w:val="both"/>
      </w:pPr>
    </w:p>
    <w:p w14:paraId="09DDEF15" w14:textId="6DE33EE6" w:rsidR="00DB037A" w:rsidRPr="009118AB" w:rsidRDefault="00970435" w:rsidP="00DF1146">
      <w:pPr>
        <w:jc w:val="both"/>
      </w:pPr>
      <w:r>
        <w:t>- </w:t>
      </w:r>
      <w:r w:rsidR="00A96E33" w:rsidRPr="009118AB">
        <w:t xml:space="preserve">die Artikel 2 und 3 </w:t>
      </w:r>
      <w:r w:rsidR="00C4453E" w:rsidRPr="009118AB">
        <w:t>d</w:t>
      </w:r>
      <w:r w:rsidR="00A96E33" w:rsidRPr="009118AB">
        <w:t>e</w:t>
      </w:r>
      <w:r w:rsidR="00C4453E" w:rsidRPr="009118AB">
        <w:t>s Gesetz</w:t>
      </w:r>
      <w:r w:rsidR="00A96E33" w:rsidRPr="009118AB">
        <w:t>es</w:t>
      </w:r>
      <w:r w:rsidR="00C4453E" w:rsidRPr="009118AB">
        <w:t xml:space="preserve"> vom 21. Februar 2020</w:t>
      </w:r>
      <w:r w:rsidR="00A96E33" w:rsidRPr="009118AB">
        <w:t xml:space="preserve"> zur Einführung verschiedener steuerrechtlicher Übergangsbestimmungen in Bezug auf den Austritt des Vereinigten Königreichs Großbritannien und Nordirland aus der Europäischen Union (</w:t>
      </w:r>
      <w:r w:rsidR="00A96E33" w:rsidRPr="009118AB">
        <w:rPr>
          <w:i/>
        </w:rPr>
        <w:t>Belgisches Staatsblatt</w:t>
      </w:r>
      <w:r w:rsidR="0002192E" w:rsidRPr="009118AB">
        <w:t xml:space="preserve"> vom 26. Juli 2021),</w:t>
      </w:r>
    </w:p>
    <w:p w14:paraId="2D4E4BE6" w14:textId="2FC27772" w:rsidR="0002192E" w:rsidRPr="009118AB" w:rsidRDefault="0002192E" w:rsidP="00DF1146">
      <w:pPr>
        <w:jc w:val="both"/>
      </w:pPr>
    </w:p>
    <w:p w14:paraId="526D0F6E" w14:textId="00E90FF0" w:rsidR="0002192E" w:rsidRDefault="0002192E" w:rsidP="00DF1146">
      <w:pPr>
        <w:jc w:val="both"/>
      </w:pPr>
      <w:r w:rsidRPr="009118AB">
        <w:t>- das Gesetz vom 23. April 2020 zur Abänderung des Mehrwertsteuergesetzbuches, des Einkommensteuergesetzbuches 1992, des Gesetzbuches über die gütliche Beitreibung und die Zwangsbeitreibung von Steuerforderungen und nichtsteuerlichen Forderungen und des Programmgesetzes (I) vom 29. März 2012 in Bezug auf die Verarbeitung der über E-Notariat übermittelten personenbezogenen Daten (</w:t>
      </w:r>
      <w:r w:rsidRPr="009118AB">
        <w:rPr>
          <w:i/>
        </w:rPr>
        <w:t>Belgisches Staatsblatt</w:t>
      </w:r>
      <w:r w:rsidR="00FE0ACA" w:rsidRPr="009118AB">
        <w:t xml:space="preserve"> vom 12. Oktober 2021),</w:t>
      </w:r>
    </w:p>
    <w:p w14:paraId="54921DF2" w14:textId="77777777" w:rsidR="00BA2134" w:rsidRDefault="00BA2134" w:rsidP="00DF1146">
      <w:pPr>
        <w:jc w:val="both"/>
      </w:pPr>
    </w:p>
    <w:p w14:paraId="2EB63431" w14:textId="403E7DB6" w:rsidR="00BA2134" w:rsidRPr="00BA2134" w:rsidRDefault="00BA2134" w:rsidP="00DF1146">
      <w:pPr>
        <w:jc w:val="both"/>
      </w:pPr>
      <w:r>
        <w:t>- den Entscheid Nr. 53/2020 des Verfassungsgerichtshofes vom 23. April 2020 (</w:t>
      </w:r>
      <w:r>
        <w:rPr>
          <w:i/>
          <w:iCs/>
        </w:rPr>
        <w:t xml:space="preserve">Belgisches Staatsblatt </w:t>
      </w:r>
      <w:r>
        <w:t>vom 20. Mai 2020),</w:t>
      </w:r>
    </w:p>
    <w:p w14:paraId="081510B4" w14:textId="2B2E8ACE" w:rsidR="00F93E24" w:rsidRPr="009118AB" w:rsidRDefault="00F93E24" w:rsidP="00DF1146">
      <w:pPr>
        <w:jc w:val="both"/>
      </w:pPr>
    </w:p>
    <w:p w14:paraId="338FD5C5" w14:textId="3907E327" w:rsidR="00F93E24" w:rsidRPr="009118AB" w:rsidRDefault="00F93E24" w:rsidP="00DF1146">
      <w:pPr>
        <w:jc w:val="both"/>
      </w:pPr>
      <w:r w:rsidRPr="009118AB">
        <w:t>- die Artikel 10 bis 15 des Gesetzes vom 29. Mai 2020 zur Festlegung verschiedener dringender Steuermaßnahmen aufgrund der COVID-19-Pandemie (</w:t>
      </w:r>
      <w:r w:rsidRPr="009118AB">
        <w:rPr>
          <w:i/>
        </w:rPr>
        <w:t>Belgisches Staatsblatt</w:t>
      </w:r>
      <w:r w:rsidRPr="009118AB">
        <w:t xml:space="preserve"> vom 16. November 2021),</w:t>
      </w:r>
    </w:p>
    <w:p w14:paraId="069029CF" w14:textId="63A0AA7C" w:rsidR="00FE0ACA" w:rsidRPr="009118AB" w:rsidRDefault="00FE0ACA" w:rsidP="00DF1146">
      <w:pPr>
        <w:jc w:val="both"/>
      </w:pPr>
    </w:p>
    <w:p w14:paraId="25B95168" w14:textId="6B4F8788" w:rsidR="00FE0ACA" w:rsidRPr="009118AB" w:rsidRDefault="0057335E" w:rsidP="00DF1146">
      <w:pPr>
        <w:jc w:val="both"/>
      </w:pPr>
      <w:r>
        <w:t>- </w:t>
      </w:r>
      <w:r w:rsidR="00FE0ACA" w:rsidRPr="009118AB">
        <w:t xml:space="preserve">den Königlichen Erlass </w:t>
      </w:r>
      <w:r w:rsidR="00D67EB8" w:rsidRPr="009118AB">
        <w:t>Nr. </w:t>
      </w:r>
      <w:r w:rsidR="00FE0ACA" w:rsidRPr="009118AB">
        <w:t>22 vom 4. Juni 2020 zur Schaffung eines Entschädigungsfonds für die an COVID-19 gestorbenen Freiwilligen (</w:t>
      </w:r>
      <w:r w:rsidR="00FE0ACA" w:rsidRPr="009118AB">
        <w:rPr>
          <w:i/>
        </w:rPr>
        <w:t>Belgisches Staatsblatt</w:t>
      </w:r>
      <w:r w:rsidR="00397077" w:rsidRPr="009118AB">
        <w:t xml:space="preserve"> vom 7. Oktober 2021),</w:t>
      </w:r>
    </w:p>
    <w:p w14:paraId="2C572A1E" w14:textId="26F77F77" w:rsidR="00397077" w:rsidRPr="009118AB" w:rsidRDefault="00397077" w:rsidP="00DF1146">
      <w:pPr>
        <w:jc w:val="both"/>
      </w:pPr>
    </w:p>
    <w:p w14:paraId="7FE1C567" w14:textId="16994A1E" w:rsidR="00397077" w:rsidRPr="009118AB" w:rsidRDefault="0057335E" w:rsidP="00DF1146">
      <w:pPr>
        <w:jc w:val="both"/>
      </w:pPr>
      <w:r>
        <w:t>- </w:t>
      </w:r>
      <w:r w:rsidR="004D7577" w:rsidRPr="009118AB">
        <w:t>die Artikel </w:t>
      </w:r>
      <w:r w:rsidR="00397077" w:rsidRPr="009118AB">
        <w:t>2 bis 5 des Gesetzes vom 11. Juni 2020 zur Anpassung verschiedener Steuergesetzbücher an das Gesetz vom 5. Mai 2019 zur Festlegung verschiedener Bestimmungen in Strafsachen und im Bereich Kulte sowie zur Abänderung des Gesetzes vom 28. Mai 2002 über die Sterbehilfe und des Sozialstrafgesetzbuches (</w:t>
      </w:r>
      <w:r w:rsidR="00397077" w:rsidRPr="009118AB">
        <w:rPr>
          <w:i/>
        </w:rPr>
        <w:t>Belgisches Staatsblatt</w:t>
      </w:r>
      <w:r w:rsidR="004D7577" w:rsidRPr="009118AB">
        <w:t xml:space="preserve"> vom 16. November 2021),</w:t>
      </w:r>
    </w:p>
    <w:p w14:paraId="7F3990A1" w14:textId="7F411E0D" w:rsidR="00E056FF" w:rsidRPr="009118AB" w:rsidRDefault="00E056FF"/>
    <w:p w14:paraId="6DC241E6" w14:textId="28E1F325" w:rsidR="00E056FF" w:rsidRPr="009118AB" w:rsidRDefault="00E056FF" w:rsidP="00DF1146">
      <w:pPr>
        <w:jc w:val="both"/>
      </w:pPr>
      <w:r w:rsidRPr="009118AB">
        <w:t>- das Gesetz vom 23. Juni 2020 zur Festlegung steuerrechtlicher Bestimmungen zur Förderung der Liquidität und Zahlungsfähigkeit von Unternehmen im Rahmen der Bekämpfung der wirtschaftlichen Auswirkungen der COVID-19-Pandemie (</w:t>
      </w:r>
      <w:r w:rsidRPr="009118AB">
        <w:rPr>
          <w:i/>
        </w:rPr>
        <w:t>Belgisches Staatsblatt</w:t>
      </w:r>
      <w:r w:rsidRPr="009118AB">
        <w:t xml:space="preserve"> vom 23. Dezember 2021),</w:t>
      </w:r>
    </w:p>
    <w:p w14:paraId="0FCF362E" w14:textId="1B5E3C09" w:rsidR="004D7577" w:rsidRPr="009118AB" w:rsidRDefault="004D7577" w:rsidP="00DF1146">
      <w:pPr>
        <w:jc w:val="both"/>
      </w:pPr>
    </w:p>
    <w:p w14:paraId="0931D707" w14:textId="1D08A0F5" w:rsidR="004D7577" w:rsidRPr="009118AB" w:rsidRDefault="004D7577" w:rsidP="00DF1146">
      <w:pPr>
        <w:jc w:val="both"/>
      </w:pPr>
      <w:r w:rsidRPr="009118AB">
        <w:t>- die Artikel</w:t>
      </w:r>
      <w:r w:rsidR="0057335E">
        <w:t> </w:t>
      </w:r>
      <w:r w:rsidRPr="009118AB">
        <w:t>11 bis 14 und 16 bis 20 des Gesetzes vom 15. Juli 2020 zur Festlegung verschiedener dringender Steuermaßnahmen aufgrund der COVID-19-Pandemie (CORONA III) (</w:t>
      </w:r>
      <w:r w:rsidRPr="009118AB">
        <w:rPr>
          <w:i/>
        </w:rPr>
        <w:t>Belgisches Staatsblatt</w:t>
      </w:r>
      <w:r w:rsidR="004368E0" w:rsidRPr="009118AB">
        <w:t xml:space="preserve"> vom 23. Dezember 2021),</w:t>
      </w:r>
    </w:p>
    <w:p w14:paraId="509D9110" w14:textId="47D2F4E5" w:rsidR="004368E0" w:rsidRPr="009118AB" w:rsidRDefault="004368E0" w:rsidP="00DF1146">
      <w:pPr>
        <w:jc w:val="both"/>
      </w:pPr>
    </w:p>
    <w:p w14:paraId="0309C61E" w14:textId="79FC288A" w:rsidR="004368E0" w:rsidRPr="009118AB" w:rsidRDefault="004368E0" w:rsidP="00DF1146">
      <w:pPr>
        <w:jc w:val="both"/>
      </w:pPr>
      <w:r w:rsidRPr="009118AB">
        <w:t>- das Gesetz vom 19. November 2020 zur Einführung einer Wiederherstellungsrücklage für Gesellschaften (</w:t>
      </w:r>
      <w:r w:rsidRPr="009118AB">
        <w:rPr>
          <w:i/>
        </w:rPr>
        <w:t>Belgisches Staatsblatt</w:t>
      </w:r>
      <w:r w:rsidR="005427D5" w:rsidRPr="009118AB">
        <w:t xml:space="preserve"> vom 11. Januar 2022),</w:t>
      </w:r>
    </w:p>
    <w:p w14:paraId="59AC374F" w14:textId="3ED2B13C" w:rsidR="005427D5" w:rsidRPr="009118AB" w:rsidRDefault="005427D5" w:rsidP="00DF1146">
      <w:pPr>
        <w:jc w:val="both"/>
      </w:pPr>
    </w:p>
    <w:p w14:paraId="33E614FA" w14:textId="57FCF05D" w:rsidR="005427D5" w:rsidRPr="009118AB" w:rsidRDefault="005427D5" w:rsidP="00DF1146">
      <w:pPr>
        <w:jc w:val="both"/>
      </w:pPr>
      <w:r w:rsidRPr="009118AB">
        <w:t>- das Gesetz vom 8. Dezember 2020 zur Abänderung des Einkommensteuergesetzbuches 1992 im Hinblick auf die Begrenzung der CO</w:t>
      </w:r>
      <w:r w:rsidRPr="009118AB">
        <w:rPr>
          <w:vertAlign w:val="subscript"/>
        </w:rPr>
        <w:t>2</w:t>
      </w:r>
      <w:r w:rsidRPr="009118AB">
        <w:t>-Bezugsemission (</w:t>
      </w:r>
      <w:r w:rsidRPr="009118AB">
        <w:rPr>
          <w:i/>
        </w:rPr>
        <w:t>Belgisches Staatsblatt</w:t>
      </w:r>
      <w:r w:rsidR="00A933A5" w:rsidRPr="009118AB">
        <w:t xml:space="preserve"> vom 11. Januar 2022),</w:t>
      </w:r>
    </w:p>
    <w:p w14:paraId="1D9DF5F5" w14:textId="4FF16722" w:rsidR="00A933A5" w:rsidRPr="009118AB" w:rsidRDefault="00A933A5" w:rsidP="00DF1146">
      <w:pPr>
        <w:jc w:val="both"/>
      </w:pPr>
    </w:p>
    <w:p w14:paraId="68125DB2" w14:textId="37A0A774" w:rsidR="00B43C02" w:rsidRPr="009118AB" w:rsidRDefault="00A933A5" w:rsidP="00DF1146">
      <w:pPr>
        <w:jc w:val="both"/>
      </w:pPr>
      <w:r w:rsidRPr="009118AB">
        <w:t>- </w:t>
      </w:r>
      <w:r w:rsidR="00985008" w:rsidRPr="009118AB">
        <w:t xml:space="preserve">die Artikel 1 bis 14 </w:t>
      </w:r>
      <w:r w:rsidR="00B20095" w:rsidRPr="009118AB">
        <w:t xml:space="preserve">und 18 </w:t>
      </w:r>
      <w:r w:rsidRPr="009118AB">
        <w:t>d</w:t>
      </w:r>
      <w:r w:rsidR="00985008" w:rsidRPr="009118AB">
        <w:t>e</w:t>
      </w:r>
      <w:r w:rsidR="006B570B" w:rsidRPr="009118AB">
        <w:t>s Programmg</w:t>
      </w:r>
      <w:r w:rsidRPr="009118AB">
        <w:t>esetz</w:t>
      </w:r>
      <w:r w:rsidR="00985008" w:rsidRPr="009118AB">
        <w:t>es</w:t>
      </w:r>
      <w:r w:rsidRPr="009118AB">
        <w:t xml:space="preserve"> vom 20. Dezember 2020 </w:t>
      </w:r>
      <w:r w:rsidR="006B570B" w:rsidRPr="009118AB">
        <w:t>(</w:t>
      </w:r>
      <w:r w:rsidR="006B570B" w:rsidRPr="009118AB">
        <w:rPr>
          <w:i/>
        </w:rPr>
        <w:t>Belgisches Staatsblatt</w:t>
      </w:r>
      <w:r w:rsidR="006B570B" w:rsidRPr="009118AB">
        <w:t xml:space="preserve"> vom 4. Februar 2022)</w:t>
      </w:r>
      <w:r w:rsidR="00B43C02" w:rsidRPr="009118AB">
        <w:t> </w:t>
      </w:r>
      <w:r w:rsidR="00B43C02" w:rsidRPr="009118AB">
        <w:rPr>
          <w:i/>
        </w:rPr>
        <w:t>(I)</w:t>
      </w:r>
      <w:r w:rsidR="00B43C02" w:rsidRPr="009118AB">
        <w:t>,</w:t>
      </w:r>
    </w:p>
    <w:p w14:paraId="7F8D8CDC" w14:textId="77777777" w:rsidR="00B43C02" w:rsidRPr="009118AB" w:rsidRDefault="00B43C02" w:rsidP="00DF1146">
      <w:pPr>
        <w:jc w:val="both"/>
      </w:pPr>
    </w:p>
    <w:p w14:paraId="7B0E66DA" w14:textId="39A6F155" w:rsidR="00A933A5" w:rsidRPr="009118AB" w:rsidRDefault="0057335E" w:rsidP="00DF1146">
      <w:pPr>
        <w:jc w:val="both"/>
      </w:pPr>
      <w:r>
        <w:t>- </w:t>
      </w:r>
      <w:r w:rsidR="00B43C02" w:rsidRPr="009118AB">
        <w:t>das Gesetz vom 20. Dezember 2020 zur Festlegung dringender verschiedener steuerrecht</w:t>
      </w:r>
      <w:r w:rsidR="00B43C02" w:rsidRPr="009118AB">
        <w:softHyphen/>
        <w:t>licher Bestimmungen und Bestimmungen im Bereich der Betrugsbekämpfung (</w:t>
      </w:r>
      <w:r w:rsidR="00B43C02" w:rsidRPr="009118AB">
        <w:rPr>
          <w:i/>
        </w:rPr>
        <w:t>Belgisches Staatsblatt</w:t>
      </w:r>
      <w:r w:rsidR="00B43C02" w:rsidRPr="009118AB">
        <w:t xml:space="preserve"> vom 1. Februar 2022) </w:t>
      </w:r>
      <w:r w:rsidR="00B43C02" w:rsidRPr="009118AB">
        <w:rPr>
          <w:i/>
        </w:rPr>
        <w:t>(II)</w:t>
      </w:r>
      <w:r w:rsidR="00E927FA" w:rsidRPr="009118AB">
        <w:t>,</w:t>
      </w:r>
    </w:p>
    <w:p w14:paraId="390B7E57" w14:textId="08FAAAF2" w:rsidR="00E927FA" w:rsidRPr="009118AB" w:rsidRDefault="00E927FA" w:rsidP="00DF1146">
      <w:pPr>
        <w:jc w:val="both"/>
      </w:pPr>
    </w:p>
    <w:p w14:paraId="137CC981" w14:textId="787C5C8C" w:rsidR="00E927FA" w:rsidRPr="009118AB" w:rsidRDefault="00E927FA" w:rsidP="00DF1146">
      <w:pPr>
        <w:jc w:val="both"/>
      </w:pPr>
      <w:r w:rsidRPr="009118AB">
        <w:t>- die Artikel 60 bis 67 des Gesetzes vom 24. Dezember 2020 über die Vereinsarbeit (</w:t>
      </w:r>
      <w:r w:rsidRPr="009118AB">
        <w:rPr>
          <w:i/>
        </w:rPr>
        <w:t>Belgisches Staatsblatt</w:t>
      </w:r>
      <w:r w:rsidR="000918DE" w:rsidRPr="009118AB">
        <w:t xml:space="preserve"> vom 4. März 2022),</w:t>
      </w:r>
    </w:p>
    <w:p w14:paraId="55F7542E" w14:textId="698A6FC0" w:rsidR="000918DE" w:rsidRPr="009118AB" w:rsidRDefault="000918DE" w:rsidP="00DF1146">
      <w:pPr>
        <w:jc w:val="both"/>
      </w:pPr>
    </w:p>
    <w:p w14:paraId="7EEE0945" w14:textId="3F34D18F" w:rsidR="008E5855" w:rsidRPr="009118AB" w:rsidRDefault="008E5855" w:rsidP="00DF1146">
      <w:pPr>
        <w:jc w:val="both"/>
      </w:pPr>
      <w:r w:rsidRPr="009118AB">
        <w:t>- die Artikel 2 bis 46 des Gesetzes vom 26. Januar 2021 über die Entmaterialisierung der Beziehungen zwischen dem Föderalen Öffentlichen Dienst Finanzen, den Bürgern, den juristischen Personen und bestimmten Dritten und zur Abänderung verschiedener Steuergesetzbücher und Steuergesetze (</w:t>
      </w:r>
      <w:r w:rsidRPr="009118AB">
        <w:rPr>
          <w:i/>
        </w:rPr>
        <w:t>Belgisches Staatsblatt</w:t>
      </w:r>
      <w:r w:rsidRPr="009118AB">
        <w:t xml:space="preserve"> vom 11. Juli 2022),</w:t>
      </w:r>
    </w:p>
    <w:p w14:paraId="68583A68" w14:textId="77777777" w:rsidR="008E5855" w:rsidRDefault="008E5855" w:rsidP="00DF1146">
      <w:pPr>
        <w:jc w:val="both"/>
      </w:pPr>
    </w:p>
    <w:p w14:paraId="3BD8EEF5" w14:textId="4B646EEC" w:rsidR="008720AB" w:rsidRPr="008720AB" w:rsidRDefault="008720AB" w:rsidP="00DF1146">
      <w:pPr>
        <w:jc w:val="both"/>
      </w:pPr>
      <w:r>
        <w:t xml:space="preserve">- den </w:t>
      </w:r>
      <w:r w:rsidRPr="008720AB">
        <w:t>Entscheid Nr. 12/2021 des Verfassungsgerichtshofes vom 28. Januar 2021 (</w:t>
      </w:r>
      <w:r>
        <w:rPr>
          <w:i/>
          <w:iCs/>
        </w:rPr>
        <w:t xml:space="preserve">Belgisches Staatsblatt </w:t>
      </w:r>
      <w:r w:rsidRPr="008720AB">
        <w:t>vom 19. Mai 2021),</w:t>
      </w:r>
    </w:p>
    <w:p w14:paraId="1C7D1D77" w14:textId="77777777" w:rsidR="008720AB" w:rsidRPr="009118AB" w:rsidRDefault="008720AB" w:rsidP="00DF1146">
      <w:pPr>
        <w:jc w:val="both"/>
      </w:pPr>
    </w:p>
    <w:p w14:paraId="23CDEBDD" w14:textId="06E8F26A" w:rsidR="000918DE" w:rsidRPr="009118AB" w:rsidRDefault="000918DE" w:rsidP="00DF1146">
      <w:pPr>
        <w:jc w:val="both"/>
      </w:pPr>
      <w:r w:rsidRPr="009118AB">
        <w:t>- die Artikel 17 bis 19 des Gesetzes vom 17. Februar 2021 zur Einführung einer jährlichen Steuer auf Wertpapierkonten (</w:t>
      </w:r>
      <w:r w:rsidRPr="009118AB">
        <w:rPr>
          <w:i/>
        </w:rPr>
        <w:t>Belgisches Staatsblatt</w:t>
      </w:r>
      <w:r w:rsidR="007C5435" w:rsidRPr="009118AB">
        <w:t xml:space="preserve"> vom 1. März 2022)</w:t>
      </w:r>
      <w:r w:rsidR="002935DF" w:rsidRPr="009118AB">
        <w:t> </w:t>
      </w:r>
      <w:r w:rsidR="002935DF" w:rsidRPr="009118AB">
        <w:rPr>
          <w:i/>
          <w:iCs/>
        </w:rPr>
        <w:t>(I)</w:t>
      </w:r>
      <w:r w:rsidR="007C5435" w:rsidRPr="009118AB">
        <w:t>,</w:t>
      </w:r>
    </w:p>
    <w:p w14:paraId="31A87366" w14:textId="265FCDF3" w:rsidR="002935DF" w:rsidRPr="009118AB" w:rsidRDefault="002935DF" w:rsidP="00DF1146">
      <w:pPr>
        <w:jc w:val="both"/>
      </w:pPr>
    </w:p>
    <w:p w14:paraId="446C981A" w14:textId="1419AB9D" w:rsidR="002935DF" w:rsidRPr="009118AB" w:rsidRDefault="0057335E" w:rsidP="002935DF">
      <w:pPr>
        <w:jc w:val="both"/>
        <w:rPr>
          <w:bCs/>
        </w:rPr>
      </w:pPr>
      <w:r>
        <w:t>- </w:t>
      </w:r>
      <w:r w:rsidR="002935DF" w:rsidRPr="009118AB">
        <w:t xml:space="preserve">das Gesetz vom 17. Februar 2021 </w:t>
      </w:r>
      <w:r w:rsidR="002935DF" w:rsidRPr="009118AB">
        <w:rPr>
          <w:bCs/>
        </w:rPr>
        <w:t>zur Abänderung des Einkommensteuergesetzbuches 1992 in Bezug auf im Ausland gelegene unbewegliche Güter (</w:t>
      </w:r>
      <w:r w:rsidR="002935DF" w:rsidRPr="009118AB">
        <w:rPr>
          <w:bCs/>
          <w:i/>
          <w:iCs/>
        </w:rPr>
        <w:t>Belgisches Staatsblatt</w:t>
      </w:r>
      <w:r w:rsidR="002935DF" w:rsidRPr="009118AB">
        <w:rPr>
          <w:bCs/>
        </w:rPr>
        <w:t xml:space="preserve"> vom 1. März 2022) </w:t>
      </w:r>
      <w:r w:rsidR="002935DF" w:rsidRPr="009118AB">
        <w:rPr>
          <w:bCs/>
          <w:i/>
          <w:iCs/>
        </w:rPr>
        <w:t>(II)</w:t>
      </w:r>
      <w:r w:rsidR="002935DF" w:rsidRPr="009118AB">
        <w:rPr>
          <w:bCs/>
        </w:rPr>
        <w:t>,</w:t>
      </w:r>
    </w:p>
    <w:p w14:paraId="13A8E3AA" w14:textId="19666E8F" w:rsidR="007C5435" w:rsidRPr="009118AB" w:rsidRDefault="007C5435" w:rsidP="00DF1146">
      <w:pPr>
        <w:jc w:val="both"/>
        <w:rPr>
          <w:bCs/>
        </w:rPr>
      </w:pPr>
    </w:p>
    <w:p w14:paraId="09AC357A" w14:textId="45457604" w:rsidR="006459C3" w:rsidRPr="009118AB" w:rsidRDefault="006459C3" w:rsidP="00DF1146">
      <w:pPr>
        <w:jc w:val="both"/>
        <w:rPr>
          <w:bCs/>
        </w:rPr>
      </w:pPr>
      <w:r w:rsidRPr="009118AB">
        <w:rPr>
          <w:bCs/>
        </w:rPr>
        <w:t>- das Gesetz vom 16. März 2021 zur Festlegung von Bestimmungen in Bezug auf die Familienbesteuerung und zur Abschaffung des ständigen Systems der steuerlichen und sozialen Regularisierung (</w:t>
      </w:r>
      <w:r w:rsidRPr="009118AB">
        <w:rPr>
          <w:bCs/>
          <w:i/>
          <w:iCs/>
        </w:rPr>
        <w:t>Belgisches Staatsblatt</w:t>
      </w:r>
      <w:r w:rsidRPr="009118AB">
        <w:rPr>
          <w:bCs/>
        </w:rPr>
        <w:t xml:space="preserve"> vom 4. März 2022),</w:t>
      </w:r>
    </w:p>
    <w:p w14:paraId="14CD60F5" w14:textId="77777777" w:rsidR="006459C3" w:rsidRPr="009118AB" w:rsidRDefault="006459C3" w:rsidP="00DF1146">
      <w:pPr>
        <w:jc w:val="both"/>
        <w:rPr>
          <w:bCs/>
        </w:rPr>
      </w:pPr>
    </w:p>
    <w:p w14:paraId="164BD979" w14:textId="454F7B16" w:rsidR="00381EBB" w:rsidRPr="009118AB" w:rsidRDefault="00381EBB" w:rsidP="00DF1146">
      <w:pPr>
        <w:jc w:val="both"/>
      </w:pPr>
      <w:r w:rsidRPr="009118AB">
        <w:t>- Artikel 15 des Gesetzes vom 21. März 2021 zur Abänderung des Buches XX des Wirtschaftsgesetzbuches und des Einkommensteuergesetzbuches 1992 (</w:t>
      </w:r>
      <w:r w:rsidRPr="009118AB">
        <w:rPr>
          <w:i/>
        </w:rPr>
        <w:t>Belgisches Staatsblatt</w:t>
      </w:r>
      <w:r w:rsidRPr="009118AB">
        <w:t xml:space="preserve"> vom 11. Juli 2022),</w:t>
      </w:r>
    </w:p>
    <w:p w14:paraId="1531CCAB" w14:textId="77777777" w:rsidR="00381EBB" w:rsidRPr="009118AB" w:rsidRDefault="00381EBB" w:rsidP="00DF1146">
      <w:pPr>
        <w:jc w:val="both"/>
      </w:pPr>
    </w:p>
    <w:p w14:paraId="20E44BAD" w14:textId="50F8018C" w:rsidR="007C5435" w:rsidRPr="009118AB" w:rsidRDefault="007C5435" w:rsidP="00DF1146">
      <w:pPr>
        <w:jc w:val="both"/>
        <w:rPr>
          <w:iCs/>
        </w:rPr>
      </w:pPr>
      <w:r w:rsidRPr="009118AB">
        <w:rPr>
          <w:iCs/>
        </w:rPr>
        <w:t>- die Artikel 17 und 18 des Gesetzes vom 2. April 2021 zur Festlegung von zeitweiligen Unterstützungsmaßnahmen aufgrund der COVID-19-Pandemie (</w:t>
      </w:r>
      <w:r w:rsidRPr="009118AB">
        <w:rPr>
          <w:i/>
          <w:iCs/>
        </w:rPr>
        <w:t>Belgisches Staatsblatt</w:t>
      </w:r>
      <w:r w:rsidR="00D67F82" w:rsidRPr="009118AB">
        <w:rPr>
          <w:iCs/>
        </w:rPr>
        <w:t xml:space="preserve"> vom 27. Juni 2022),</w:t>
      </w:r>
    </w:p>
    <w:p w14:paraId="55603418" w14:textId="66BB6D8F" w:rsidR="00D67F82" w:rsidRPr="009118AB" w:rsidRDefault="00D67F82" w:rsidP="00DF1146">
      <w:pPr>
        <w:jc w:val="both"/>
        <w:rPr>
          <w:iCs/>
        </w:rPr>
      </w:pPr>
    </w:p>
    <w:p w14:paraId="3F66F5EB" w14:textId="3E53BE4D" w:rsidR="00D67F82" w:rsidRPr="009118AB" w:rsidRDefault="00D67F82" w:rsidP="00DF1146">
      <w:pPr>
        <w:jc w:val="both"/>
        <w:rPr>
          <w:iCs/>
        </w:rPr>
      </w:pPr>
      <w:r w:rsidRPr="009118AB">
        <w:rPr>
          <w:iCs/>
        </w:rPr>
        <w:t>- </w:t>
      </w:r>
      <w:r w:rsidR="002A340F" w:rsidRPr="009118AB">
        <w:rPr>
          <w:iCs/>
        </w:rPr>
        <w:t>die Artikel 4, 5, 14, 15, 20 bis 96</w:t>
      </w:r>
      <w:r w:rsidR="00CE2FDC" w:rsidRPr="009118AB">
        <w:rPr>
          <w:iCs/>
        </w:rPr>
        <w:t>, 105</w:t>
      </w:r>
      <w:r w:rsidR="00743235" w:rsidRPr="009118AB">
        <w:rPr>
          <w:iCs/>
        </w:rPr>
        <w:t>,</w:t>
      </w:r>
      <w:r w:rsidR="002A340F" w:rsidRPr="009118AB">
        <w:rPr>
          <w:iCs/>
        </w:rPr>
        <w:t xml:space="preserve"> 107 </w:t>
      </w:r>
      <w:r w:rsidR="00743235" w:rsidRPr="009118AB">
        <w:rPr>
          <w:iCs/>
        </w:rPr>
        <w:t>und</w:t>
      </w:r>
      <w:r w:rsidR="002A340F" w:rsidRPr="009118AB">
        <w:rPr>
          <w:iCs/>
        </w:rPr>
        <w:t xml:space="preserve"> 109 de</w:t>
      </w:r>
      <w:r w:rsidRPr="009118AB">
        <w:rPr>
          <w:iCs/>
        </w:rPr>
        <w:t>s Gesetz</w:t>
      </w:r>
      <w:r w:rsidR="002A340F" w:rsidRPr="009118AB">
        <w:rPr>
          <w:iCs/>
        </w:rPr>
        <w:t>es</w:t>
      </w:r>
      <w:r w:rsidRPr="009118AB">
        <w:rPr>
          <w:iCs/>
        </w:rPr>
        <w:t xml:space="preserve"> vom 27. Juni 2021 zur Festlegung verschiedener steuerrechtlicher Bestimmungen und zur Abänderung des Gesetzes vom 18. September 2017 zur Verhinderung von Geldwäsche und Terrorism</w:t>
      </w:r>
      <w:r w:rsidR="00CE265B" w:rsidRPr="009118AB">
        <w:rPr>
          <w:iCs/>
        </w:rPr>
        <w:t>usfinanzierung und zur Beschränk</w:t>
      </w:r>
      <w:r w:rsidRPr="009118AB">
        <w:rPr>
          <w:iCs/>
        </w:rPr>
        <w:t>ung der Nutzung von Bargeld</w:t>
      </w:r>
      <w:r w:rsidR="00957E64" w:rsidRPr="009118AB">
        <w:rPr>
          <w:iCs/>
        </w:rPr>
        <w:t xml:space="preserve"> (</w:t>
      </w:r>
      <w:r w:rsidR="00957E64" w:rsidRPr="009118AB">
        <w:rPr>
          <w:i/>
        </w:rPr>
        <w:t>Belgisches Staatsblatt</w:t>
      </w:r>
      <w:r w:rsidR="00957E64" w:rsidRPr="009118AB">
        <w:rPr>
          <w:iCs/>
        </w:rPr>
        <w:t xml:space="preserve"> vom </w:t>
      </w:r>
      <w:r w:rsidR="002807E5" w:rsidRPr="009118AB">
        <w:rPr>
          <w:iCs/>
        </w:rPr>
        <w:t>9. Dezember 2022)</w:t>
      </w:r>
      <w:r w:rsidRPr="009118AB">
        <w:rPr>
          <w:iCs/>
        </w:rPr>
        <w:t>,</w:t>
      </w:r>
    </w:p>
    <w:p w14:paraId="34B46AB0" w14:textId="4B74E226" w:rsidR="00E712E1" w:rsidRPr="009118AB" w:rsidRDefault="00E712E1" w:rsidP="00DF1146">
      <w:pPr>
        <w:jc w:val="both"/>
        <w:rPr>
          <w:iCs/>
        </w:rPr>
      </w:pPr>
    </w:p>
    <w:p w14:paraId="46004266" w14:textId="27013723" w:rsidR="009749EE" w:rsidRPr="009118AB" w:rsidRDefault="0057335E" w:rsidP="009749EE">
      <w:pPr>
        <w:jc w:val="both"/>
        <w:rPr>
          <w:rFonts w:eastAsia="Calibri"/>
          <w:bCs/>
          <w:lang w:eastAsia="en-US"/>
        </w:rPr>
      </w:pPr>
      <w:r>
        <w:rPr>
          <w:iCs/>
        </w:rPr>
        <w:t>- </w:t>
      </w:r>
      <w:r w:rsidR="009749EE" w:rsidRPr="009118AB">
        <w:rPr>
          <w:iCs/>
        </w:rPr>
        <w:t xml:space="preserve">die Artikel 2 bis 21, 23 und 36 bis 40 des Gesetzes vom </w:t>
      </w:r>
      <w:r w:rsidR="009749EE" w:rsidRPr="009118AB">
        <w:rPr>
          <w:rFonts w:eastAsia="Calibri"/>
          <w:bCs/>
          <w:szCs w:val="22"/>
          <w:lang w:eastAsia="en-US"/>
        </w:rPr>
        <w:t>25. November 2021 zur Regelung der steuerlichen und sozialen Ökologisierung der Mobilität (</w:t>
      </w:r>
      <w:r w:rsidR="009749EE" w:rsidRPr="009118AB">
        <w:rPr>
          <w:rFonts w:eastAsia="Calibri"/>
          <w:bCs/>
          <w:i/>
          <w:iCs/>
          <w:szCs w:val="22"/>
          <w:lang w:eastAsia="en-US"/>
        </w:rPr>
        <w:t>Belgisches Staatsblatt</w:t>
      </w:r>
      <w:r w:rsidR="009749EE" w:rsidRPr="009118AB">
        <w:rPr>
          <w:rFonts w:eastAsia="Calibri"/>
          <w:bCs/>
          <w:szCs w:val="22"/>
          <w:lang w:eastAsia="en-US"/>
        </w:rPr>
        <w:t xml:space="preserve"> vom 31. Januar 2023),</w:t>
      </w:r>
    </w:p>
    <w:p w14:paraId="5E14A87D" w14:textId="13002E94" w:rsidR="009749EE" w:rsidRPr="009118AB" w:rsidRDefault="009749EE" w:rsidP="00DF1146">
      <w:pPr>
        <w:jc w:val="both"/>
        <w:rPr>
          <w:iCs/>
        </w:rPr>
      </w:pPr>
    </w:p>
    <w:p w14:paraId="70CD20DF" w14:textId="05807EBD" w:rsidR="00E712E1" w:rsidRPr="009118AB" w:rsidRDefault="00E712E1" w:rsidP="00DF1146">
      <w:pPr>
        <w:jc w:val="both"/>
        <w:rPr>
          <w:iCs/>
        </w:rPr>
      </w:pPr>
      <w:r w:rsidRPr="009118AB">
        <w:rPr>
          <w:iCs/>
        </w:rPr>
        <w:t>- die Artikel 18 bis 22 des Gesetzes vom 12. Dezember 2021</w:t>
      </w:r>
      <w:r w:rsidRPr="009118AB">
        <w:t xml:space="preserve"> zur Ausführung des Sozialabkommens im Rahmen der berufsübergreifenden Verhandlungen für den Zeitraum 2021-2022 (</w:t>
      </w:r>
      <w:r w:rsidRPr="009118AB">
        <w:rPr>
          <w:i/>
        </w:rPr>
        <w:t>Belgisches Staatsblatt</w:t>
      </w:r>
      <w:r w:rsidRPr="009118AB">
        <w:t xml:space="preserve"> vom 5. September 2022),</w:t>
      </w:r>
    </w:p>
    <w:p w14:paraId="0873CCAF" w14:textId="5D801290" w:rsidR="002F776B" w:rsidRPr="009118AB" w:rsidRDefault="002F776B" w:rsidP="00DF1146">
      <w:pPr>
        <w:jc w:val="both"/>
        <w:rPr>
          <w:iCs/>
        </w:rPr>
      </w:pPr>
    </w:p>
    <w:p w14:paraId="155518F9" w14:textId="7D3DB478" w:rsidR="002F776B" w:rsidRPr="009118AB" w:rsidRDefault="002F776B" w:rsidP="00DF1146">
      <w:pPr>
        <w:jc w:val="both"/>
      </w:pPr>
      <w:r w:rsidRPr="009118AB">
        <w:t>- die Artikel 22 und 23 des Gesetzes vom 20. Dezember 2021 zur Einführung verschiedener Bestimmungen im Bereich Beitreibung und zur Anpassung von Bestimmungen infolge der Einführung des Gesetzbuches über die gütliche Beitreibung und die Zwangsbeitreibung von Steuer</w:t>
      </w:r>
      <w:r w:rsidRPr="009118AB">
        <w:softHyphen/>
        <w:t>forderungen und nichtsteuerlichen Forderungen (</w:t>
      </w:r>
      <w:r w:rsidRPr="009118AB">
        <w:rPr>
          <w:i/>
        </w:rPr>
        <w:t>Belgisches Staatsblatt</w:t>
      </w:r>
      <w:r w:rsidR="00414CAB" w:rsidRPr="009118AB">
        <w:t xml:space="preserve"> vom 5. September 2022)</w:t>
      </w:r>
      <w:r w:rsidR="00123378" w:rsidRPr="009118AB">
        <w:t>,</w:t>
      </w:r>
    </w:p>
    <w:p w14:paraId="43414D4A" w14:textId="3B3EE6BA" w:rsidR="00123378" w:rsidRPr="009118AB" w:rsidRDefault="00123378" w:rsidP="00DF1146">
      <w:pPr>
        <w:jc w:val="both"/>
      </w:pPr>
    </w:p>
    <w:p w14:paraId="46208094" w14:textId="3B79F0C8" w:rsidR="00D67F82" w:rsidRPr="009118AB" w:rsidRDefault="00123378" w:rsidP="00DF1146">
      <w:pPr>
        <w:jc w:val="both"/>
      </w:pPr>
      <w:bookmarkStart w:id="0" w:name="_Hlk128491572"/>
      <w:r w:rsidRPr="009118AB">
        <w:t>- die Artikel </w:t>
      </w:r>
      <w:r w:rsidR="009D0DD3" w:rsidRPr="009118AB">
        <w:t>2 und</w:t>
      </w:r>
      <w:r w:rsidR="00E02A5B" w:rsidRPr="009118AB">
        <w:t xml:space="preserve"> 4 </w:t>
      </w:r>
      <w:r w:rsidR="004000EF" w:rsidRPr="009118AB">
        <w:t>bis 31 des Programmgesetzes vom 27. Dezember 2021 (</w:t>
      </w:r>
      <w:r w:rsidR="004000EF" w:rsidRPr="009118AB">
        <w:rPr>
          <w:i/>
          <w:iCs/>
        </w:rPr>
        <w:t>Belgisches Staatsblatt</w:t>
      </w:r>
      <w:r w:rsidR="004000EF" w:rsidRPr="009118AB">
        <w:t xml:space="preserve"> vom 20. Januar 2023)</w:t>
      </w:r>
      <w:bookmarkEnd w:id="0"/>
      <w:r w:rsidR="00C80255" w:rsidRPr="009118AB">
        <w:t>,</w:t>
      </w:r>
    </w:p>
    <w:p w14:paraId="16952B4E" w14:textId="77777777" w:rsidR="00B63A50" w:rsidRPr="009118AB" w:rsidRDefault="00B63A50" w:rsidP="00DF1146">
      <w:pPr>
        <w:jc w:val="both"/>
      </w:pPr>
    </w:p>
    <w:p w14:paraId="7698DA7D" w14:textId="7A898B92" w:rsidR="009626F5" w:rsidRPr="009118AB" w:rsidRDefault="009626F5" w:rsidP="00DF1146">
      <w:pPr>
        <w:jc w:val="both"/>
      </w:pPr>
      <w:r w:rsidRPr="009118AB">
        <w:t>- die Artikel</w:t>
      </w:r>
      <w:r w:rsidR="000548FC" w:rsidRPr="009118AB">
        <w:t xml:space="preserve"> 2 bis 21, 23 bis 70, 108, 117 bis 119, </w:t>
      </w:r>
      <w:r w:rsidRPr="009118AB">
        <w:t>120 bis 122</w:t>
      </w:r>
      <w:r w:rsidR="000548FC" w:rsidRPr="009118AB">
        <w:t xml:space="preserve"> und 124 bis 127</w:t>
      </w:r>
      <w:r w:rsidRPr="009118AB">
        <w:t xml:space="preserve"> des Gesetzes vom 21. Januar 2022 zur Festlegung verschiedener steuerrechtlicher Bestimmungen</w:t>
      </w:r>
      <w:r w:rsidR="000548FC" w:rsidRPr="009118AB">
        <w:t xml:space="preserve"> (</w:t>
      </w:r>
      <w:r w:rsidR="000548FC" w:rsidRPr="009118AB">
        <w:rPr>
          <w:i/>
          <w:iCs/>
        </w:rPr>
        <w:t xml:space="preserve">Belgisches Staatsblatt </w:t>
      </w:r>
      <w:r w:rsidR="000548FC" w:rsidRPr="009118AB">
        <w:t>vom 30. November 2023)</w:t>
      </w:r>
      <w:r w:rsidRPr="009118AB">
        <w:t>,</w:t>
      </w:r>
    </w:p>
    <w:p w14:paraId="0EF76257" w14:textId="77777777" w:rsidR="009626F5" w:rsidRPr="009118AB" w:rsidRDefault="009626F5" w:rsidP="00DF1146">
      <w:pPr>
        <w:jc w:val="both"/>
        <w:rPr>
          <w:i/>
          <w:iCs/>
        </w:rPr>
      </w:pPr>
    </w:p>
    <w:p w14:paraId="53C211E0" w14:textId="1312DC59" w:rsidR="00E504C7" w:rsidRPr="009118AB" w:rsidRDefault="00E504C7" w:rsidP="00E504C7">
      <w:pPr>
        <w:jc w:val="both"/>
        <w:rPr>
          <w:bCs/>
        </w:rPr>
      </w:pPr>
      <w:r w:rsidRPr="009118AB">
        <w:t xml:space="preserve">- die Artikel 25 bis 27 des Gesetzes vom 23. Februar 2022 </w:t>
      </w:r>
      <w:r w:rsidRPr="009118AB">
        <w:rPr>
          <w:bCs/>
        </w:rPr>
        <w:t>zur Durchführung der Verordnung (EU) 2020/1503 des Europäischen Parlaments und des Rates vom 7. Oktober 2020 über Europäische Schwarmfinanzierungsdienstleister für Unternehmen und zur Änderung der Verordnung (EU) 2017/1129 und der Richtlinie (EU) 2019/1937 und zur Umsetzung der Richtlinie (EU) 2021/338 des Europäischen Parlaments und des Rates vom 16. Februar 2021 zur Änderung der Richtlinie 2014/65/EU im Hinblick auf die Informationspflichten, die Produktüberwachung und die Positionslimits sowie der Richtlinien 2013/36/EU und (EU) 2019/878 im Hinblick auf ihre Anwendung auf Wertpapierfirmen, zur Förderung der wirtschaftlichen Erholung von der COVID-19-Krise (II) (</w:t>
      </w:r>
      <w:r w:rsidRPr="009118AB">
        <w:rPr>
          <w:bCs/>
          <w:i/>
          <w:iCs/>
        </w:rPr>
        <w:t xml:space="preserve">Belgisches Staatsblatt </w:t>
      </w:r>
      <w:r w:rsidRPr="009118AB">
        <w:rPr>
          <w:bCs/>
        </w:rPr>
        <w:t>vom 7. November 2023),</w:t>
      </w:r>
    </w:p>
    <w:p w14:paraId="2E174AC5" w14:textId="5734AB18" w:rsidR="00E504C7" w:rsidRPr="009118AB" w:rsidRDefault="00E504C7" w:rsidP="00DF1146">
      <w:pPr>
        <w:jc w:val="both"/>
      </w:pPr>
    </w:p>
    <w:p w14:paraId="5DAC246E" w14:textId="1F6922AB" w:rsidR="00B63A50" w:rsidRPr="009118AB" w:rsidRDefault="00B63A50" w:rsidP="00DF1146">
      <w:pPr>
        <w:jc w:val="both"/>
      </w:pPr>
      <w:r w:rsidRPr="009118AB">
        <w:lastRenderedPageBreak/>
        <w:t>- die Artikel </w:t>
      </w:r>
      <w:r w:rsidR="00075A7D" w:rsidRPr="009118AB">
        <w:t>2</w:t>
      </w:r>
      <w:r w:rsidRPr="009118AB">
        <w:t xml:space="preserve"> bis </w:t>
      </w:r>
      <w:r w:rsidR="00075A7D" w:rsidRPr="009118AB">
        <w:t>1</w:t>
      </w:r>
      <w:r w:rsidR="0006720F" w:rsidRPr="009118AB">
        <w:t>3</w:t>
      </w:r>
      <w:r w:rsidRPr="009118AB">
        <w:t xml:space="preserve"> des Gesetzes vom 17. März 2022 zur Festlegung verschiedener steuerrechtlicher Bestimmungen und von Bestimmungen im Bereich der Betrugsbekämpfung</w:t>
      </w:r>
      <w:r w:rsidR="00075A7D" w:rsidRPr="009118AB">
        <w:t xml:space="preserve"> (</w:t>
      </w:r>
      <w:r w:rsidR="00075A7D" w:rsidRPr="009118AB">
        <w:rPr>
          <w:i/>
          <w:iCs/>
        </w:rPr>
        <w:t xml:space="preserve">Belgisches Staatsblatt </w:t>
      </w:r>
      <w:r w:rsidR="00075A7D" w:rsidRPr="009118AB">
        <w:t>vom 7. November 2023)</w:t>
      </w:r>
      <w:r w:rsidRPr="009118AB">
        <w:t>,</w:t>
      </w:r>
    </w:p>
    <w:p w14:paraId="3A4FA417" w14:textId="77777777" w:rsidR="00EE409A" w:rsidRPr="009118AB" w:rsidRDefault="00EE409A" w:rsidP="00DF1146">
      <w:pPr>
        <w:jc w:val="both"/>
      </w:pPr>
    </w:p>
    <w:p w14:paraId="32E50E70" w14:textId="2965D78C" w:rsidR="00EE409A" w:rsidRPr="009118AB" w:rsidRDefault="00EE409A" w:rsidP="00DF1146">
      <w:pPr>
        <w:jc w:val="both"/>
      </w:pPr>
      <w:r w:rsidRPr="009118AB">
        <w:t xml:space="preserve">- die Artikel 6 bis </w:t>
      </w:r>
      <w:r w:rsidR="00743D48" w:rsidRPr="009118AB">
        <w:t xml:space="preserve">25, </w:t>
      </w:r>
      <w:r w:rsidRPr="009118AB">
        <w:t>27 und 40 bis 42 des Gesetzes vom 28. März 2022</w:t>
      </w:r>
      <w:r w:rsidRPr="009118AB">
        <w:rPr>
          <w:bCs/>
        </w:rPr>
        <w:t xml:space="preserve"> zur Senkung von Lasten auf Arbeit (</w:t>
      </w:r>
      <w:r w:rsidRPr="009118AB">
        <w:rPr>
          <w:bCs/>
          <w:i/>
          <w:iCs/>
        </w:rPr>
        <w:t xml:space="preserve">Belgisches Staatsblatt </w:t>
      </w:r>
      <w:r w:rsidRPr="009118AB">
        <w:rPr>
          <w:bCs/>
        </w:rPr>
        <w:t>vom 28. Dezember 2023),</w:t>
      </w:r>
    </w:p>
    <w:p w14:paraId="7D9D3122" w14:textId="32B93465" w:rsidR="008A5CAC" w:rsidRPr="009118AB" w:rsidRDefault="008A5CAC"/>
    <w:p w14:paraId="3C16643F" w14:textId="57665BA4" w:rsidR="00C80255" w:rsidRPr="009118AB" w:rsidRDefault="00C80255" w:rsidP="00C80255">
      <w:pPr>
        <w:jc w:val="both"/>
        <w:rPr>
          <w:bCs/>
        </w:rPr>
      </w:pPr>
      <w:r w:rsidRPr="009118AB">
        <w:t xml:space="preserve">- die Artikel 5 und 6 des Königlichen Erlasses vom 18. April 2022 </w:t>
      </w:r>
      <w:r w:rsidRPr="009118AB">
        <w:rPr>
          <w:bCs/>
        </w:rPr>
        <w:t>zur Ausführung von Artikel 74 des Gesetzes vom 11. August 2017 zur Einfügung von Buch XX "Insolvenz von Unternehmen" in das Wirtschaftsgesetzbuch und zur Einfügung der Buch XX eigenen Begriffsbestimmungen und der Buch XX eigenen Rechtsdurchsetzungsbestimmungen in Buch I des Wirtschaftsgesetzbuches (</w:t>
      </w:r>
      <w:r w:rsidRPr="009118AB">
        <w:rPr>
          <w:bCs/>
          <w:i/>
          <w:iCs/>
        </w:rPr>
        <w:t xml:space="preserve">Belgisches Staatsblatt </w:t>
      </w:r>
      <w:r w:rsidRPr="009118AB">
        <w:rPr>
          <w:bCs/>
        </w:rPr>
        <w:t>vom 2. Juni 2023)</w:t>
      </w:r>
      <w:r w:rsidR="009D5A30" w:rsidRPr="009118AB">
        <w:rPr>
          <w:bCs/>
        </w:rPr>
        <w:t>,</w:t>
      </w:r>
    </w:p>
    <w:p w14:paraId="0B141D0C" w14:textId="77777777" w:rsidR="0001730E" w:rsidRPr="009118AB" w:rsidRDefault="0001730E" w:rsidP="00C80255">
      <w:pPr>
        <w:jc w:val="both"/>
        <w:rPr>
          <w:bCs/>
        </w:rPr>
      </w:pPr>
    </w:p>
    <w:p w14:paraId="47FA0ED5" w14:textId="38C52DAD" w:rsidR="0001730E" w:rsidRPr="009118AB" w:rsidRDefault="0001730E" w:rsidP="00C80255">
      <w:pPr>
        <w:jc w:val="both"/>
        <w:rPr>
          <w:bCs/>
        </w:rPr>
      </w:pPr>
      <w:r w:rsidRPr="009118AB">
        <w:rPr>
          <w:bCs/>
        </w:rPr>
        <w:t>- das Gesetz vom 26. April 2022 zur Festlegung der Steuerregelung für Vergütungen für Vereinstätigkeiten wie in Artikel 17 des Königlichen Erlasses vom 28. November 1969 zur Ausführung des Gesetzes vom 27. Juni 1969 zur Revision des Erlassgesetzes vom 28. Dezember 1944 über die soziale Sicherheit der Arbeitnehmer erwähnt (</w:t>
      </w:r>
      <w:r w:rsidRPr="009118AB">
        <w:rPr>
          <w:bCs/>
          <w:i/>
          <w:iCs/>
        </w:rPr>
        <w:t xml:space="preserve">Belgisches Staatsblatt </w:t>
      </w:r>
      <w:r w:rsidRPr="009118AB">
        <w:rPr>
          <w:bCs/>
        </w:rPr>
        <w:t>vom 28. Dezember 2023),</w:t>
      </w:r>
    </w:p>
    <w:p w14:paraId="1EC5A023" w14:textId="77777777" w:rsidR="009D5A30" w:rsidRPr="009118AB" w:rsidRDefault="009D5A30" w:rsidP="00C80255">
      <w:pPr>
        <w:jc w:val="both"/>
        <w:rPr>
          <w:bCs/>
        </w:rPr>
      </w:pPr>
    </w:p>
    <w:p w14:paraId="74F47144" w14:textId="2B0B4BD8" w:rsidR="009D5A30" w:rsidRDefault="0057335E" w:rsidP="00C80255">
      <w:pPr>
        <w:jc w:val="both"/>
        <w:rPr>
          <w:bCs/>
        </w:rPr>
      </w:pPr>
      <w:r>
        <w:rPr>
          <w:bCs/>
        </w:rPr>
        <w:t>- </w:t>
      </w:r>
      <w:r w:rsidR="005732B8" w:rsidRPr="009118AB">
        <w:rPr>
          <w:bCs/>
        </w:rPr>
        <w:t xml:space="preserve">die </w:t>
      </w:r>
      <w:r w:rsidR="009D5A30" w:rsidRPr="009118AB">
        <w:rPr>
          <w:bCs/>
        </w:rPr>
        <w:t>Artikel </w:t>
      </w:r>
      <w:r w:rsidR="00FC2DA4" w:rsidRPr="009118AB">
        <w:rPr>
          <w:bCs/>
        </w:rPr>
        <w:t xml:space="preserve">2 bis 42, 50, 65 bis </w:t>
      </w:r>
      <w:r w:rsidR="005732B8" w:rsidRPr="009118AB">
        <w:rPr>
          <w:bCs/>
        </w:rPr>
        <w:t>7</w:t>
      </w:r>
      <w:r w:rsidR="00FC2DA4" w:rsidRPr="009118AB">
        <w:rPr>
          <w:bCs/>
        </w:rPr>
        <w:t>0, 84</w:t>
      </w:r>
      <w:r w:rsidR="005732B8" w:rsidRPr="009118AB">
        <w:rPr>
          <w:bCs/>
        </w:rPr>
        <w:t xml:space="preserve"> und </w:t>
      </w:r>
      <w:r w:rsidR="009D5A30" w:rsidRPr="009118AB">
        <w:rPr>
          <w:bCs/>
        </w:rPr>
        <w:t>86 des Gesetzes vom 5. Juli 2022 zur Festlegung verschiedener steuerrechtlicher Bestimmungen</w:t>
      </w:r>
      <w:r w:rsidR="00FC2DA4" w:rsidRPr="009118AB">
        <w:rPr>
          <w:bCs/>
        </w:rPr>
        <w:t xml:space="preserve"> (</w:t>
      </w:r>
      <w:r w:rsidR="00FC2DA4" w:rsidRPr="009118AB">
        <w:rPr>
          <w:bCs/>
          <w:i/>
          <w:iCs/>
        </w:rPr>
        <w:t xml:space="preserve">Belgisches Staatsblatt </w:t>
      </w:r>
      <w:r w:rsidR="00FC2DA4" w:rsidRPr="009118AB">
        <w:rPr>
          <w:bCs/>
        </w:rPr>
        <w:t>vom 1. Februar 2024)</w:t>
      </w:r>
      <w:r w:rsidR="00656460" w:rsidRPr="009118AB">
        <w:rPr>
          <w:bCs/>
        </w:rPr>
        <w:t>,</w:t>
      </w:r>
    </w:p>
    <w:p w14:paraId="3751FCDB" w14:textId="77777777" w:rsidR="008720AB" w:rsidRDefault="008720AB" w:rsidP="00C80255">
      <w:pPr>
        <w:jc w:val="both"/>
        <w:rPr>
          <w:bCs/>
        </w:rPr>
      </w:pPr>
    </w:p>
    <w:p w14:paraId="3CA2942D" w14:textId="2C0B1F38" w:rsidR="008720AB" w:rsidRPr="008720AB" w:rsidRDefault="008720AB" w:rsidP="00C80255">
      <w:pPr>
        <w:jc w:val="both"/>
        <w:rPr>
          <w:bCs/>
          <w:iCs/>
        </w:rPr>
      </w:pPr>
      <w:r>
        <w:rPr>
          <w:bCs/>
        </w:rPr>
        <w:t xml:space="preserve">- den </w:t>
      </w:r>
      <w:r w:rsidRPr="008720AB">
        <w:rPr>
          <w:bCs/>
          <w:iCs/>
        </w:rPr>
        <w:t>Entscheid Nr. 103/2022 des Verfassungsgerichtshofes vom 15. September 2022 (</w:t>
      </w:r>
      <w:r>
        <w:rPr>
          <w:bCs/>
          <w:i/>
        </w:rPr>
        <w:t xml:space="preserve">Belgisches Staatsblatt </w:t>
      </w:r>
      <w:r w:rsidRPr="008720AB">
        <w:rPr>
          <w:bCs/>
          <w:iCs/>
        </w:rPr>
        <w:t>vom 13. Januar 2023)</w:t>
      </w:r>
      <w:r>
        <w:rPr>
          <w:bCs/>
          <w:iCs/>
        </w:rPr>
        <w:t>,</w:t>
      </w:r>
    </w:p>
    <w:p w14:paraId="63416B74" w14:textId="77777777" w:rsidR="00972E9F" w:rsidRPr="009118AB" w:rsidRDefault="00972E9F" w:rsidP="00C80255">
      <w:pPr>
        <w:jc w:val="both"/>
        <w:rPr>
          <w:bCs/>
        </w:rPr>
      </w:pPr>
    </w:p>
    <w:p w14:paraId="0590EF3C" w14:textId="563C3D9C" w:rsidR="00656460" w:rsidRPr="009118AB" w:rsidRDefault="00972E9F" w:rsidP="00C80255">
      <w:pPr>
        <w:jc w:val="both"/>
      </w:pPr>
      <w:r w:rsidRPr="009118AB">
        <w:rPr>
          <w:bCs/>
        </w:rPr>
        <w:t>- die Artikel 5, 6, 39 bis 53, 90 und 92 bis 102 des Gesetzes vom 20. November 2022</w:t>
      </w:r>
      <w:r w:rsidRPr="009118AB">
        <w:rPr>
          <w:b/>
        </w:rPr>
        <w:t xml:space="preserve"> </w:t>
      </w:r>
      <w:r w:rsidRPr="009118AB">
        <w:t>zur Festlegung verschiedener steuerrechtlicher und finanzieller Bestimmungen (</w:t>
      </w:r>
      <w:r w:rsidRPr="009118AB">
        <w:rPr>
          <w:i/>
          <w:iCs/>
        </w:rPr>
        <w:t xml:space="preserve">Belgisches Staatsblatt </w:t>
      </w:r>
      <w:r w:rsidRPr="009118AB">
        <w:t>vom 25. April 2024),</w:t>
      </w:r>
    </w:p>
    <w:p w14:paraId="4426D8CA" w14:textId="77777777" w:rsidR="00972E9F" w:rsidRPr="009118AB" w:rsidRDefault="00972E9F" w:rsidP="00C80255">
      <w:pPr>
        <w:jc w:val="both"/>
      </w:pPr>
    </w:p>
    <w:p w14:paraId="77D5D1DE" w14:textId="5059076C" w:rsidR="00C80255" w:rsidRPr="009118AB" w:rsidRDefault="00656460" w:rsidP="00DF1146">
      <w:pPr>
        <w:jc w:val="both"/>
        <w:rPr>
          <w:bCs/>
        </w:rPr>
      </w:pPr>
      <w:r w:rsidRPr="009118AB">
        <w:rPr>
          <w:bCs/>
        </w:rPr>
        <w:t>- das Gesetz vom 21. Dezember 2022 zur Umsetzung der Richtlinie (EU) 2021/514 des Rates vom 22. März 2021 zur Änderung der Richtlinie 2011/16/EU über die Zusammenarbeit der Verwaltungsbehörden im Bereich der Besteuerung (</w:t>
      </w:r>
      <w:r w:rsidRPr="009118AB">
        <w:rPr>
          <w:bCs/>
          <w:i/>
          <w:iCs/>
        </w:rPr>
        <w:t xml:space="preserve">Belgisches Staatsblatt </w:t>
      </w:r>
      <w:r w:rsidRPr="009118AB">
        <w:rPr>
          <w:bCs/>
        </w:rPr>
        <w:t>vom 24. März 2024)</w:t>
      </w:r>
      <w:r w:rsidR="003365DD" w:rsidRPr="009118AB">
        <w:rPr>
          <w:bCs/>
        </w:rPr>
        <w:t> </w:t>
      </w:r>
      <w:r w:rsidR="003365DD" w:rsidRPr="009118AB">
        <w:rPr>
          <w:bCs/>
          <w:i/>
          <w:iCs/>
        </w:rPr>
        <w:t>(I)</w:t>
      </w:r>
      <w:r w:rsidR="003365DD" w:rsidRPr="009118AB">
        <w:rPr>
          <w:bCs/>
        </w:rPr>
        <w:t>,</w:t>
      </w:r>
    </w:p>
    <w:p w14:paraId="22521098" w14:textId="77777777" w:rsidR="003365DD" w:rsidRPr="009118AB" w:rsidRDefault="003365DD" w:rsidP="00DF1146">
      <w:pPr>
        <w:jc w:val="both"/>
        <w:rPr>
          <w:bCs/>
        </w:rPr>
      </w:pPr>
    </w:p>
    <w:p w14:paraId="382DE93E" w14:textId="16743E93" w:rsidR="003365DD" w:rsidRPr="009118AB" w:rsidRDefault="003365DD" w:rsidP="00DF1146">
      <w:pPr>
        <w:jc w:val="both"/>
        <w:rPr>
          <w:bCs/>
        </w:rPr>
      </w:pPr>
      <w:r w:rsidRPr="009118AB">
        <w:rPr>
          <w:bCs/>
        </w:rPr>
        <w:t xml:space="preserve">- die Artikel 2 bis </w:t>
      </w:r>
      <w:r w:rsidR="00C676E9" w:rsidRPr="009118AB">
        <w:rPr>
          <w:bCs/>
        </w:rPr>
        <w:t xml:space="preserve">31, 33, </w:t>
      </w:r>
      <w:r w:rsidRPr="009118AB">
        <w:rPr>
          <w:bCs/>
        </w:rPr>
        <w:t>34 und 46 des Gesetzes vom 21. Dezember 2022 zur Festlegung verschiedener steuerrechtlicher Bestimmungen (</w:t>
      </w:r>
      <w:r w:rsidRPr="009118AB">
        <w:rPr>
          <w:bCs/>
          <w:i/>
          <w:iCs/>
        </w:rPr>
        <w:t xml:space="preserve">Belgisches Staatsblatt </w:t>
      </w:r>
      <w:r w:rsidRPr="009118AB">
        <w:rPr>
          <w:bCs/>
        </w:rPr>
        <w:t>vom 23. Mai 2024) </w:t>
      </w:r>
      <w:r w:rsidRPr="009118AB">
        <w:rPr>
          <w:bCs/>
          <w:i/>
          <w:iCs/>
        </w:rPr>
        <w:t>(II)</w:t>
      </w:r>
      <w:r w:rsidR="00AB7300" w:rsidRPr="009118AB">
        <w:rPr>
          <w:bCs/>
        </w:rPr>
        <w:t>,</w:t>
      </w:r>
    </w:p>
    <w:p w14:paraId="55419496" w14:textId="77777777" w:rsidR="00AB7300" w:rsidRPr="009118AB" w:rsidRDefault="00AB7300" w:rsidP="00DF1146">
      <w:pPr>
        <w:jc w:val="both"/>
        <w:rPr>
          <w:bCs/>
        </w:rPr>
      </w:pPr>
    </w:p>
    <w:p w14:paraId="73A3069A" w14:textId="77777777" w:rsidR="00236038" w:rsidRPr="009118AB" w:rsidRDefault="00AB7300" w:rsidP="00DF1146">
      <w:pPr>
        <w:jc w:val="both"/>
        <w:rPr>
          <w:bCs/>
        </w:rPr>
      </w:pPr>
      <w:r w:rsidRPr="009118AB">
        <w:rPr>
          <w:bCs/>
        </w:rPr>
        <w:t xml:space="preserve">- die Artikel 100 bis </w:t>
      </w:r>
      <w:r w:rsidR="003403C5" w:rsidRPr="009118AB">
        <w:rPr>
          <w:bCs/>
        </w:rPr>
        <w:t xml:space="preserve">108, 110 bis 120 und 122 bis </w:t>
      </w:r>
      <w:r w:rsidRPr="009118AB">
        <w:rPr>
          <w:bCs/>
        </w:rPr>
        <w:t>124 des Programmgesetzes vom 26. Dezember 2022 (</w:t>
      </w:r>
      <w:r w:rsidRPr="009118AB">
        <w:rPr>
          <w:bCs/>
          <w:i/>
          <w:iCs/>
        </w:rPr>
        <w:t>Belgisches Staatsblatt</w:t>
      </w:r>
      <w:r w:rsidRPr="009118AB">
        <w:rPr>
          <w:bCs/>
        </w:rPr>
        <w:t xml:space="preserve"> vom 17. Juni 2024)</w:t>
      </w:r>
      <w:r w:rsidR="00236038" w:rsidRPr="009118AB">
        <w:rPr>
          <w:bCs/>
        </w:rPr>
        <w:t> </w:t>
      </w:r>
      <w:r w:rsidR="00236038" w:rsidRPr="009118AB">
        <w:rPr>
          <w:bCs/>
          <w:i/>
          <w:iCs/>
        </w:rPr>
        <w:t>(I)</w:t>
      </w:r>
      <w:r w:rsidR="00236038" w:rsidRPr="009118AB">
        <w:rPr>
          <w:bCs/>
        </w:rPr>
        <w:t>,</w:t>
      </w:r>
    </w:p>
    <w:p w14:paraId="71C1A711" w14:textId="77777777" w:rsidR="00236038" w:rsidRPr="009118AB" w:rsidRDefault="00236038" w:rsidP="00DF1146">
      <w:pPr>
        <w:jc w:val="both"/>
        <w:rPr>
          <w:bCs/>
        </w:rPr>
      </w:pPr>
    </w:p>
    <w:p w14:paraId="0024B8A5" w14:textId="33234AC4" w:rsidR="00AB7300" w:rsidRPr="009118AB" w:rsidRDefault="00236038" w:rsidP="00DF1146">
      <w:pPr>
        <w:jc w:val="both"/>
        <w:rPr>
          <w:bCs/>
        </w:rPr>
      </w:pPr>
      <w:r w:rsidRPr="009118AB">
        <w:rPr>
          <w:bCs/>
        </w:rPr>
        <w:t>- die Artikel 8 bis 10 des Gesetzes vom 26. Dezember 2022 zur Abänderung des Gesetzes vom 15. Mai 2014 zur Ausführung des Pakts für Wettbewerbsfähigkeit, Beschäftigung und Wirtschaftsbelebung in Bezug auf die zweite Verlängerung des Zeitraums der Anwendung der Förderzonen und zur Einführung einer Befreiung von der Zahlung des Berufssteuervorabzugs für die von einer Naturkatastrophe betroffenen Arbeitgeber (</w:t>
      </w:r>
      <w:r w:rsidRPr="009118AB">
        <w:rPr>
          <w:bCs/>
          <w:i/>
          <w:iCs/>
        </w:rPr>
        <w:t xml:space="preserve">Belgisches Staatsblatt </w:t>
      </w:r>
      <w:r w:rsidRPr="009118AB">
        <w:rPr>
          <w:bCs/>
        </w:rPr>
        <w:t>vom 28. Juni 2024) </w:t>
      </w:r>
      <w:r w:rsidRPr="009118AB">
        <w:rPr>
          <w:bCs/>
          <w:i/>
          <w:iCs/>
        </w:rPr>
        <w:t>(II)</w:t>
      </w:r>
      <w:r w:rsidR="00FB210D" w:rsidRPr="009118AB">
        <w:rPr>
          <w:bCs/>
        </w:rPr>
        <w:t>,</w:t>
      </w:r>
    </w:p>
    <w:p w14:paraId="296468E5" w14:textId="77777777" w:rsidR="00FB210D" w:rsidRPr="009118AB" w:rsidRDefault="00FB210D" w:rsidP="00DF1146">
      <w:pPr>
        <w:jc w:val="both"/>
        <w:rPr>
          <w:bCs/>
        </w:rPr>
      </w:pPr>
    </w:p>
    <w:p w14:paraId="347B0837" w14:textId="785EF3FA" w:rsidR="00FB210D" w:rsidRPr="009118AB" w:rsidRDefault="00FB210D" w:rsidP="00DF1146">
      <w:pPr>
        <w:jc w:val="both"/>
        <w:rPr>
          <w:bCs/>
        </w:rPr>
      </w:pPr>
      <w:r w:rsidRPr="009118AB">
        <w:rPr>
          <w:bCs/>
        </w:rPr>
        <w:t>- das Gesetz vom 31. Juli 2023 zur Abänderung des Einkommensteuergesetzbuches 1992 in Bezug auf Vergütungen, die Künstlern bewilligt werden (</w:t>
      </w:r>
      <w:r w:rsidRPr="009118AB">
        <w:rPr>
          <w:bCs/>
          <w:i/>
          <w:iCs/>
        </w:rPr>
        <w:t xml:space="preserve">Belgisches Staatsblatt </w:t>
      </w:r>
      <w:r w:rsidRPr="009118AB">
        <w:rPr>
          <w:bCs/>
        </w:rPr>
        <w:t xml:space="preserve">vom 8. August 2024) </w:t>
      </w:r>
      <w:r w:rsidRPr="009118AB">
        <w:rPr>
          <w:bCs/>
          <w:i/>
          <w:iCs/>
        </w:rPr>
        <w:t>(I)</w:t>
      </w:r>
      <w:r w:rsidR="00501844" w:rsidRPr="009118AB">
        <w:rPr>
          <w:bCs/>
        </w:rPr>
        <w:t>,</w:t>
      </w:r>
    </w:p>
    <w:p w14:paraId="1323C120" w14:textId="77777777" w:rsidR="008074B0" w:rsidRPr="009118AB" w:rsidRDefault="008074B0" w:rsidP="00DF1146">
      <w:pPr>
        <w:jc w:val="both"/>
        <w:rPr>
          <w:bCs/>
        </w:rPr>
      </w:pPr>
    </w:p>
    <w:p w14:paraId="107D804E" w14:textId="0168236D" w:rsidR="00501844" w:rsidRPr="009118AB" w:rsidRDefault="00501844" w:rsidP="00DF1146">
      <w:pPr>
        <w:jc w:val="both"/>
        <w:rPr>
          <w:bCs/>
        </w:rPr>
      </w:pPr>
      <w:r w:rsidRPr="009118AB">
        <w:rPr>
          <w:bCs/>
        </w:rPr>
        <w:t>- die Artikel 6 bis 17 und 25 bis 33 des Gesetzes vom 31. Juli 2023 zur Festlegung verschiedener steuerrechtlicher Bestimmungen (</w:t>
      </w:r>
      <w:r w:rsidRPr="009118AB">
        <w:rPr>
          <w:bCs/>
          <w:i/>
          <w:iCs/>
        </w:rPr>
        <w:t xml:space="preserve">Belgisches Staatsblatt </w:t>
      </w:r>
      <w:r w:rsidRPr="009118AB">
        <w:rPr>
          <w:bCs/>
        </w:rPr>
        <w:t>vom 13. August 2024) </w:t>
      </w:r>
      <w:r w:rsidRPr="009118AB">
        <w:rPr>
          <w:bCs/>
          <w:i/>
          <w:iCs/>
        </w:rPr>
        <w:t>(II)</w:t>
      </w:r>
      <w:r w:rsidR="008074B0" w:rsidRPr="009118AB">
        <w:rPr>
          <w:bCs/>
        </w:rPr>
        <w:t>,</w:t>
      </w:r>
    </w:p>
    <w:p w14:paraId="4DFE636C" w14:textId="77777777" w:rsidR="008074B0" w:rsidRPr="009118AB" w:rsidRDefault="008074B0" w:rsidP="00DF1146">
      <w:pPr>
        <w:jc w:val="both"/>
        <w:rPr>
          <w:bCs/>
        </w:rPr>
      </w:pPr>
    </w:p>
    <w:p w14:paraId="2C0CB2DA" w14:textId="71C2AE7B" w:rsidR="008074B0" w:rsidRPr="009118AB" w:rsidRDefault="008074B0" w:rsidP="00DF1146">
      <w:pPr>
        <w:jc w:val="both"/>
        <w:rPr>
          <w:bCs/>
        </w:rPr>
      </w:pPr>
      <w:r w:rsidRPr="009118AB">
        <w:rPr>
          <w:bCs/>
        </w:rPr>
        <w:t>- das Gesetz vom 31. Juli 2023 zur Ausführung des Rahmenabkommens im Rahmen der berufsübergreifenden Verhandlungen für den Zeitraum 2023-2024 (</w:t>
      </w:r>
      <w:r w:rsidRPr="009118AB">
        <w:rPr>
          <w:bCs/>
          <w:i/>
          <w:iCs/>
        </w:rPr>
        <w:t xml:space="preserve">Belgisches Staatsblatt </w:t>
      </w:r>
      <w:r w:rsidRPr="009118AB">
        <w:rPr>
          <w:bCs/>
        </w:rPr>
        <w:t>vom 13. August 2024) </w:t>
      </w:r>
      <w:r w:rsidRPr="009118AB">
        <w:rPr>
          <w:bCs/>
          <w:i/>
          <w:iCs/>
        </w:rPr>
        <w:t>(III)</w:t>
      </w:r>
      <w:r w:rsidR="001937CB" w:rsidRPr="009118AB">
        <w:rPr>
          <w:bCs/>
        </w:rPr>
        <w:t>,</w:t>
      </w:r>
    </w:p>
    <w:p w14:paraId="7D1EF724" w14:textId="77777777" w:rsidR="001937CB" w:rsidRPr="009118AB" w:rsidRDefault="001937CB" w:rsidP="00DF1146">
      <w:pPr>
        <w:jc w:val="both"/>
        <w:rPr>
          <w:bCs/>
        </w:rPr>
      </w:pPr>
    </w:p>
    <w:p w14:paraId="7AE556E1" w14:textId="77777777" w:rsidR="003114E7" w:rsidRPr="009118AB" w:rsidRDefault="003114E7" w:rsidP="003114E7">
      <w:pPr>
        <w:jc w:val="both"/>
        <w:rPr>
          <w:bCs/>
        </w:rPr>
      </w:pPr>
      <w:r w:rsidRPr="009118AB">
        <w:rPr>
          <w:bCs/>
        </w:rPr>
        <w:t>- das Gesetz vom 23. November 2023 zur Festlegung verschiedener Bestimmungen im Bereich der Mehrwertsteuer und zur Festlegung besonderer Beitreibungsregeln des Einkommen</w:t>
      </w:r>
      <w:r w:rsidRPr="009118AB">
        <w:rPr>
          <w:bCs/>
        </w:rPr>
        <w:softHyphen/>
        <w:t>steuergesetzbuches 1992 (</w:t>
      </w:r>
      <w:r w:rsidRPr="009118AB">
        <w:rPr>
          <w:bCs/>
          <w:i/>
          <w:iCs/>
        </w:rPr>
        <w:t xml:space="preserve">Belgisches Staatsblatt </w:t>
      </w:r>
      <w:r w:rsidRPr="009118AB">
        <w:rPr>
          <w:bCs/>
        </w:rPr>
        <w:t>vom 21. Oktober 2024),</w:t>
      </w:r>
    </w:p>
    <w:p w14:paraId="4B42E8E7" w14:textId="77777777" w:rsidR="003114E7" w:rsidRPr="009118AB" w:rsidRDefault="003114E7" w:rsidP="003114E7">
      <w:pPr>
        <w:jc w:val="both"/>
        <w:rPr>
          <w:bCs/>
        </w:rPr>
      </w:pPr>
    </w:p>
    <w:p w14:paraId="0DEDE1CD" w14:textId="747AF981" w:rsidR="001937CB" w:rsidRPr="009118AB" w:rsidRDefault="001937CB" w:rsidP="00DF1146">
      <w:pPr>
        <w:jc w:val="both"/>
        <w:rPr>
          <w:bCs/>
        </w:rPr>
      </w:pPr>
      <w:r w:rsidRPr="009118AB">
        <w:rPr>
          <w:bCs/>
        </w:rPr>
        <w:t>- Artikel 55 des Gesetzes vom 21. Dezember 2023 über die Haltung von Pflichtvorräten an Erdöl und Erdölerzeugnissen, die Haltung von zusätzlichen strategischen Vorräten für die Energieversorgung des Landes im Falle einer Energiekrise, die Bewältigung einer Erdölversorgungskrise und die Organisation von ASEVA (</w:t>
      </w:r>
      <w:r w:rsidRPr="009118AB">
        <w:rPr>
          <w:bCs/>
          <w:i/>
          <w:iCs/>
        </w:rPr>
        <w:t xml:space="preserve">Belgisches Staatsblatt </w:t>
      </w:r>
      <w:r w:rsidRPr="009118AB">
        <w:rPr>
          <w:bCs/>
        </w:rPr>
        <w:t>vom 13. August 2024)</w:t>
      </w:r>
      <w:r w:rsidR="00BE008B" w:rsidRPr="009118AB">
        <w:rPr>
          <w:bCs/>
        </w:rPr>
        <w:t>,</w:t>
      </w:r>
    </w:p>
    <w:p w14:paraId="47C34071" w14:textId="77777777" w:rsidR="00BE008B" w:rsidRPr="009118AB" w:rsidRDefault="00BE008B" w:rsidP="00DF1146">
      <w:pPr>
        <w:jc w:val="both"/>
        <w:rPr>
          <w:bCs/>
        </w:rPr>
      </w:pPr>
    </w:p>
    <w:p w14:paraId="2B0C9F6C" w14:textId="098B754B" w:rsidR="00BE008B" w:rsidRPr="00BE008B" w:rsidRDefault="00BE008B" w:rsidP="00BE008B">
      <w:pPr>
        <w:jc w:val="both"/>
        <w:rPr>
          <w:bCs/>
        </w:rPr>
      </w:pPr>
      <w:r w:rsidRPr="00BE008B">
        <w:rPr>
          <w:bCs/>
        </w:rPr>
        <w:t>- </w:t>
      </w:r>
      <w:r w:rsidRPr="009118AB">
        <w:rPr>
          <w:bCs/>
        </w:rPr>
        <w:t xml:space="preserve">die </w:t>
      </w:r>
      <w:r w:rsidRPr="00BE008B">
        <w:rPr>
          <w:bCs/>
        </w:rPr>
        <w:t>Artikel</w:t>
      </w:r>
      <w:r w:rsidRPr="009118AB">
        <w:rPr>
          <w:bCs/>
        </w:rPr>
        <w:t> 12 bis 16, 23 bis 27 und 30 bis 38</w:t>
      </w:r>
      <w:r w:rsidRPr="00BE008B">
        <w:rPr>
          <w:bCs/>
        </w:rPr>
        <w:t xml:space="preserve"> des Gesetzes vom 22. Dezember 2023 zur Festlegung verschiedener steuerrechtlicher Bestimmungen (</w:t>
      </w:r>
      <w:r w:rsidRPr="00BE008B">
        <w:rPr>
          <w:bCs/>
          <w:i/>
          <w:iCs/>
        </w:rPr>
        <w:t xml:space="preserve">Belgisches Staatsblatt </w:t>
      </w:r>
      <w:r w:rsidRPr="00BE008B">
        <w:rPr>
          <w:bCs/>
        </w:rPr>
        <w:t>vom 29. November 2024)</w:t>
      </w:r>
      <w:r w:rsidR="00552005" w:rsidRPr="00552005">
        <w:rPr>
          <w:bCs/>
          <w:i/>
          <w:iCs/>
        </w:rPr>
        <w:t> (I)</w:t>
      </w:r>
      <w:r w:rsidR="00552005">
        <w:rPr>
          <w:bCs/>
        </w:rPr>
        <w:t>,</w:t>
      </w:r>
    </w:p>
    <w:p w14:paraId="651A4735" w14:textId="77777777" w:rsidR="00656460" w:rsidRPr="009118AB" w:rsidRDefault="00656460" w:rsidP="00DF1146">
      <w:pPr>
        <w:jc w:val="both"/>
        <w:rPr>
          <w:bCs/>
        </w:rPr>
      </w:pPr>
    </w:p>
    <w:p w14:paraId="7D19068B" w14:textId="48CD9FE4" w:rsidR="00552005" w:rsidRDefault="00552005" w:rsidP="00552005">
      <w:pPr>
        <w:autoSpaceDE w:val="0"/>
        <w:autoSpaceDN w:val="0"/>
        <w:adjustRightInd w:val="0"/>
        <w:jc w:val="both"/>
        <w:rPr>
          <w:bCs/>
        </w:rPr>
      </w:pPr>
      <w:r w:rsidRPr="00552005">
        <w:rPr>
          <w:bCs/>
        </w:rPr>
        <w:t>- die Artikel </w:t>
      </w:r>
      <w:r>
        <w:rPr>
          <w:bCs/>
        </w:rPr>
        <w:t>7</w:t>
      </w:r>
      <w:r w:rsidRPr="00552005">
        <w:rPr>
          <w:bCs/>
        </w:rPr>
        <w:t xml:space="preserve"> </w:t>
      </w:r>
      <w:r>
        <w:rPr>
          <w:bCs/>
        </w:rPr>
        <w:t xml:space="preserve">bis 40 </w:t>
      </w:r>
      <w:r w:rsidRPr="00552005">
        <w:rPr>
          <w:bCs/>
        </w:rPr>
        <w:t xml:space="preserve">und </w:t>
      </w:r>
      <w:r>
        <w:rPr>
          <w:bCs/>
        </w:rPr>
        <w:t>43 bis 45</w:t>
      </w:r>
      <w:r w:rsidRPr="00552005">
        <w:rPr>
          <w:bCs/>
        </w:rPr>
        <w:t xml:space="preserve"> des Programmgesetzes vom 22. Dezember 2023 (</w:t>
      </w:r>
      <w:r w:rsidRPr="00552005">
        <w:rPr>
          <w:bCs/>
          <w:i/>
          <w:iCs/>
        </w:rPr>
        <w:t xml:space="preserve">Belgisches Staatsblatt </w:t>
      </w:r>
      <w:r w:rsidRPr="00552005">
        <w:rPr>
          <w:bCs/>
        </w:rPr>
        <w:t>vom 17. Dezember 2024)</w:t>
      </w:r>
      <w:r w:rsidRPr="00552005">
        <w:rPr>
          <w:bCs/>
          <w:i/>
          <w:iCs/>
        </w:rPr>
        <w:t> (</w:t>
      </w:r>
      <w:r>
        <w:rPr>
          <w:bCs/>
          <w:i/>
          <w:iCs/>
        </w:rPr>
        <w:t>I</w:t>
      </w:r>
      <w:r w:rsidRPr="00552005">
        <w:rPr>
          <w:bCs/>
          <w:i/>
          <w:iCs/>
        </w:rPr>
        <w:t>I)</w:t>
      </w:r>
      <w:r w:rsidR="00C73E2E">
        <w:rPr>
          <w:bCs/>
        </w:rPr>
        <w:t>,</w:t>
      </w:r>
    </w:p>
    <w:p w14:paraId="0DE2D5B1" w14:textId="77777777" w:rsidR="00C73E2E" w:rsidRDefault="00C73E2E" w:rsidP="00552005">
      <w:pPr>
        <w:autoSpaceDE w:val="0"/>
        <w:autoSpaceDN w:val="0"/>
        <w:adjustRightInd w:val="0"/>
        <w:jc w:val="both"/>
        <w:rPr>
          <w:bCs/>
        </w:rPr>
      </w:pPr>
    </w:p>
    <w:p w14:paraId="2E0234C5" w14:textId="0ED95631" w:rsidR="00C57C64" w:rsidRDefault="0057335E" w:rsidP="00C57C64">
      <w:pPr>
        <w:autoSpaceDE w:val="0"/>
        <w:autoSpaceDN w:val="0"/>
        <w:adjustRightInd w:val="0"/>
        <w:jc w:val="both"/>
        <w:rPr>
          <w:bCs/>
        </w:rPr>
      </w:pPr>
      <w:r>
        <w:rPr>
          <w:bCs/>
        </w:rPr>
        <w:t>- </w:t>
      </w:r>
      <w:r w:rsidR="00C73E2E">
        <w:rPr>
          <w:bCs/>
        </w:rPr>
        <w:t xml:space="preserve">die Artikel 44 bis 59, 66 bis 85 des Gesetzes vom 28. Dezember 2023 </w:t>
      </w:r>
      <w:r w:rsidR="00C73E2E" w:rsidRPr="00C73E2E">
        <w:rPr>
          <w:bCs/>
        </w:rPr>
        <w:t>zur Festlegung verschiedener steuerrechtlicher Bestimmungen</w:t>
      </w:r>
      <w:r w:rsidR="00C73E2E">
        <w:rPr>
          <w:bCs/>
        </w:rPr>
        <w:t xml:space="preserve"> (</w:t>
      </w:r>
      <w:r w:rsidR="00C73E2E" w:rsidRPr="00552005">
        <w:rPr>
          <w:bCs/>
          <w:i/>
          <w:iCs/>
        </w:rPr>
        <w:t xml:space="preserve">Belgisches Staatsblatt </w:t>
      </w:r>
      <w:r w:rsidR="00C73E2E" w:rsidRPr="00552005">
        <w:rPr>
          <w:bCs/>
        </w:rPr>
        <w:t>vom</w:t>
      </w:r>
      <w:r w:rsidR="00C73E2E">
        <w:rPr>
          <w:bCs/>
        </w:rPr>
        <w:t xml:space="preserve"> 20. Februar 2025)</w:t>
      </w:r>
      <w:r w:rsidR="00F7473A">
        <w:rPr>
          <w:bCs/>
        </w:rPr>
        <w:t>,</w:t>
      </w:r>
    </w:p>
    <w:p w14:paraId="7F95F3AE" w14:textId="77777777" w:rsidR="008720AB" w:rsidRDefault="008720AB" w:rsidP="00C57C64">
      <w:pPr>
        <w:autoSpaceDE w:val="0"/>
        <w:autoSpaceDN w:val="0"/>
        <w:adjustRightInd w:val="0"/>
        <w:jc w:val="both"/>
        <w:rPr>
          <w:bCs/>
        </w:rPr>
      </w:pPr>
    </w:p>
    <w:p w14:paraId="73EA1EC0" w14:textId="76CDA555" w:rsidR="008720AB" w:rsidRPr="008720AB" w:rsidRDefault="008720AB" w:rsidP="00C57C64">
      <w:pPr>
        <w:autoSpaceDE w:val="0"/>
        <w:autoSpaceDN w:val="0"/>
        <w:adjustRightInd w:val="0"/>
        <w:jc w:val="both"/>
        <w:rPr>
          <w:bCs/>
          <w:iCs/>
        </w:rPr>
      </w:pPr>
      <w:r>
        <w:rPr>
          <w:bCs/>
        </w:rPr>
        <w:t xml:space="preserve">- den </w:t>
      </w:r>
      <w:r w:rsidRPr="008720AB">
        <w:rPr>
          <w:bCs/>
          <w:iCs/>
        </w:rPr>
        <w:t>Entscheid Nr. 1/2024 des Verfassungsgerichtshofes vom 11. Januar 2024 (</w:t>
      </w:r>
      <w:r>
        <w:rPr>
          <w:bCs/>
          <w:i/>
        </w:rPr>
        <w:t xml:space="preserve">Belgisches Staatsblatt </w:t>
      </w:r>
      <w:r w:rsidRPr="008720AB">
        <w:rPr>
          <w:bCs/>
          <w:iCs/>
        </w:rPr>
        <w:t>vom 5. </w:t>
      </w:r>
      <w:r w:rsidRPr="00DD5892">
        <w:rPr>
          <w:bCs/>
          <w:iCs/>
        </w:rPr>
        <w:t>Februar 2024),</w:t>
      </w:r>
    </w:p>
    <w:p w14:paraId="31CDBE59" w14:textId="77777777" w:rsidR="00F7473A" w:rsidRPr="00C57C64" w:rsidRDefault="00F7473A" w:rsidP="00C57C64">
      <w:pPr>
        <w:autoSpaceDE w:val="0"/>
        <w:autoSpaceDN w:val="0"/>
        <w:adjustRightInd w:val="0"/>
        <w:jc w:val="both"/>
        <w:rPr>
          <w:bCs/>
        </w:rPr>
      </w:pPr>
    </w:p>
    <w:p w14:paraId="16C1EE09" w14:textId="77777777" w:rsidR="00ED6329" w:rsidRDefault="00ED6329" w:rsidP="00ED6329">
      <w:pPr>
        <w:autoSpaceDE w:val="0"/>
        <w:autoSpaceDN w:val="0"/>
        <w:adjustRightInd w:val="0"/>
        <w:jc w:val="both"/>
        <w:rPr>
          <w:bCs/>
        </w:rPr>
      </w:pPr>
      <w:r>
        <w:rPr>
          <w:bCs/>
        </w:rPr>
        <w:t xml:space="preserve">- das Gesetz vom 6. Februar 2024 </w:t>
      </w:r>
      <w:r w:rsidRPr="0031146A">
        <w:rPr>
          <w:bCs/>
        </w:rPr>
        <w:t>zur Abänderung des Mehrwertsteuergesetzbuches und des Einkommensteuergesetzbuches</w:t>
      </w:r>
      <w:r>
        <w:rPr>
          <w:bCs/>
        </w:rPr>
        <w:t> </w:t>
      </w:r>
      <w:r w:rsidRPr="0031146A">
        <w:rPr>
          <w:bCs/>
        </w:rPr>
        <w:t>1992 in Bezug auf die Einführung der Verpflichtung zur elektronischen Rechnungsstellung</w:t>
      </w:r>
      <w:r>
        <w:rPr>
          <w:bCs/>
        </w:rPr>
        <w:t xml:space="preserve"> (</w:t>
      </w:r>
      <w:r w:rsidRPr="00552005">
        <w:rPr>
          <w:bCs/>
          <w:i/>
          <w:iCs/>
        </w:rPr>
        <w:t xml:space="preserve">Belgisches Staatsblatt </w:t>
      </w:r>
      <w:r w:rsidRPr="00552005">
        <w:rPr>
          <w:bCs/>
        </w:rPr>
        <w:t>vom</w:t>
      </w:r>
      <w:r>
        <w:rPr>
          <w:bCs/>
        </w:rPr>
        <w:t xml:space="preserve"> 17. Oktober 2024),</w:t>
      </w:r>
    </w:p>
    <w:p w14:paraId="248E6728" w14:textId="77777777" w:rsidR="00AA2534" w:rsidRDefault="00AA2534" w:rsidP="00ED6329">
      <w:pPr>
        <w:autoSpaceDE w:val="0"/>
        <w:autoSpaceDN w:val="0"/>
        <w:adjustRightInd w:val="0"/>
        <w:jc w:val="both"/>
        <w:rPr>
          <w:bCs/>
        </w:rPr>
      </w:pPr>
    </w:p>
    <w:p w14:paraId="67319AFB" w14:textId="4D0E904E" w:rsidR="00AA2534" w:rsidRPr="00AA2534" w:rsidRDefault="00AA2534" w:rsidP="00ED6329">
      <w:pPr>
        <w:autoSpaceDE w:val="0"/>
        <w:autoSpaceDN w:val="0"/>
        <w:adjustRightInd w:val="0"/>
        <w:jc w:val="both"/>
        <w:rPr>
          <w:bCs/>
        </w:rPr>
      </w:pPr>
      <w:r>
        <w:rPr>
          <w:bCs/>
        </w:rPr>
        <w:t xml:space="preserve">- Artikel 8 des Gesetzes vom 29. März 2024 </w:t>
      </w:r>
      <w:r w:rsidRPr="00AA2534">
        <w:rPr>
          <w:bCs/>
        </w:rPr>
        <w:t>zur Abänderung verschiedener Bestimmungen in Bezug auf Sport-/Kulturschecks und Kaufkraftprämien</w:t>
      </w:r>
      <w:r>
        <w:rPr>
          <w:bCs/>
        </w:rPr>
        <w:t xml:space="preserve"> (</w:t>
      </w:r>
      <w:r>
        <w:rPr>
          <w:bCs/>
          <w:i/>
          <w:iCs/>
        </w:rPr>
        <w:t xml:space="preserve">Belgisches Staatsblatt </w:t>
      </w:r>
      <w:r>
        <w:rPr>
          <w:bCs/>
        </w:rPr>
        <w:t>vom 4. April 2025),</w:t>
      </w:r>
    </w:p>
    <w:p w14:paraId="28D5940E" w14:textId="77777777" w:rsidR="00ED6329" w:rsidRPr="00C57C64" w:rsidRDefault="00ED6329" w:rsidP="00ED6329">
      <w:pPr>
        <w:autoSpaceDE w:val="0"/>
        <w:autoSpaceDN w:val="0"/>
        <w:adjustRightInd w:val="0"/>
        <w:jc w:val="both"/>
        <w:rPr>
          <w:bCs/>
        </w:rPr>
      </w:pPr>
    </w:p>
    <w:p w14:paraId="570215DF" w14:textId="09A0CEAB" w:rsidR="00F7473A" w:rsidRDefault="00F7473A" w:rsidP="00F7473A">
      <w:pPr>
        <w:autoSpaceDE w:val="0"/>
        <w:autoSpaceDN w:val="0"/>
        <w:adjustRightInd w:val="0"/>
        <w:jc w:val="both"/>
        <w:rPr>
          <w:bCs/>
        </w:rPr>
      </w:pPr>
      <w:r w:rsidRPr="00F7473A">
        <w:rPr>
          <w:bCs/>
        </w:rPr>
        <w:t>- Artikel 5</w:t>
      </w:r>
      <w:r>
        <w:rPr>
          <w:bCs/>
        </w:rPr>
        <w:t>7</w:t>
      </w:r>
      <w:r w:rsidRPr="00F7473A">
        <w:rPr>
          <w:bCs/>
        </w:rPr>
        <w:t xml:space="preserve"> des Gesetzes vom 9. April 2024 Strafprozessrecht I (</w:t>
      </w:r>
      <w:r w:rsidRPr="00F7473A">
        <w:rPr>
          <w:bCs/>
          <w:i/>
        </w:rPr>
        <w:t xml:space="preserve">Belgisches Staatsblatt </w:t>
      </w:r>
      <w:r w:rsidRPr="00F7473A">
        <w:rPr>
          <w:bCs/>
        </w:rPr>
        <w:t>vom 4. April 2025)</w:t>
      </w:r>
      <w:r w:rsidR="00DD5892">
        <w:rPr>
          <w:bCs/>
        </w:rPr>
        <w:t>,</w:t>
      </w:r>
    </w:p>
    <w:p w14:paraId="0201E686" w14:textId="77777777" w:rsidR="00D1767D" w:rsidRDefault="00D1767D" w:rsidP="00F7473A">
      <w:pPr>
        <w:autoSpaceDE w:val="0"/>
        <w:autoSpaceDN w:val="0"/>
        <w:adjustRightInd w:val="0"/>
        <w:jc w:val="both"/>
        <w:rPr>
          <w:bCs/>
        </w:rPr>
      </w:pPr>
    </w:p>
    <w:p w14:paraId="669E1DB9" w14:textId="2D3A98A4" w:rsidR="00D1767D" w:rsidRPr="00D1767D" w:rsidRDefault="00D1767D" w:rsidP="00F7473A">
      <w:pPr>
        <w:autoSpaceDE w:val="0"/>
        <w:autoSpaceDN w:val="0"/>
        <w:adjustRightInd w:val="0"/>
        <w:jc w:val="both"/>
        <w:rPr>
          <w:bCs/>
        </w:rPr>
      </w:pPr>
      <w:r>
        <w:rPr>
          <w:bCs/>
        </w:rPr>
        <w:t>- Artikel 41 des Gesetzes vom 25. April 2024 zur Reform der Pensionen (</w:t>
      </w:r>
      <w:r>
        <w:rPr>
          <w:bCs/>
          <w:i/>
          <w:iCs/>
        </w:rPr>
        <w:t xml:space="preserve">Belgisches Staatsblatt </w:t>
      </w:r>
      <w:r>
        <w:rPr>
          <w:bCs/>
        </w:rPr>
        <w:t>vom 4. April 2025),</w:t>
      </w:r>
    </w:p>
    <w:p w14:paraId="2088F1F7" w14:textId="77777777" w:rsidR="00DD5892" w:rsidRDefault="00DD5892" w:rsidP="00F7473A">
      <w:pPr>
        <w:autoSpaceDE w:val="0"/>
        <w:autoSpaceDN w:val="0"/>
        <w:adjustRightInd w:val="0"/>
        <w:jc w:val="both"/>
        <w:rPr>
          <w:bCs/>
        </w:rPr>
      </w:pPr>
    </w:p>
    <w:p w14:paraId="31A9FC3A" w14:textId="77777777" w:rsidR="00D1767D" w:rsidRDefault="00D1767D">
      <w:pPr>
        <w:rPr>
          <w:bCs/>
        </w:rPr>
      </w:pPr>
      <w:r>
        <w:rPr>
          <w:bCs/>
        </w:rPr>
        <w:br w:type="page"/>
      </w:r>
    </w:p>
    <w:p w14:paraId="6037E9F8" w14:textId="77777777" w:rsidR="00186493" w:rsidRDefault="00DD5892" w:rsidP="00F7473A">
      <w:pPr>
        <w:autoSpaceDE w:val="0"/>
        <w:autoSpaceDN w:val="0"/>
        <w:adjustRightInd w:val="0"/>
        <w:jc w:val="both"/>
        <w:rPr>
          <w:bCs/>
        </w:rPr>
      </w:pPr>
      <w:r>
        <w:rPr>
          <w:bCs/>
        </w:rPr>
        <w:lastRenderedPageBreak/>
        <w:t>- die Artikel 2 bis 28, 6</w:t>
      </w:r>
      <w:r w:rsidR="009344E2">
        <w:rPr>
          <w:bCs/>
        </w:rPr>
        <w:t>4</w:t>
      </w:r>
      <w:r>
        <w:rPr>
          <w:bCs/>
        </w:rPr>
        <w:t xml:space="preserve"> bis 68, 71</w:t>
      </w:r>
      <w:r w:rsidR="00286CFA">
        <w:rPr>
          <w:bCs/>
        </w:rPr>
        <w:t xml:space="preserve"> und </w:t>
      </w:r>
      <w:r>
        <w:rPr>
          <w:bCs/>
        </w:rPr>
        <w:t>72 des Gesetzes vom 12. Mai 2024 zur Festlegung verschiedener steuerrechtlicher Bestimmungen (</w:t>
      </w:r>
      <w:r>
        <w:rPr>
          <w:bCs/>
          <w:i/>
          <w:iCs/>
        </w:rPr>
        <w:t xml:space="preserve">Belgisches Staatsblatt </w:t>
      </w:r>
      <w:r>
        <w:rPr>
          <w:bCs/>
        </w:rPr>
        <w:t>vom 8. April 2025)</w:t>
      </w:r>
      <w:r w:rsidR="00186493">
        <w:rPr>
          <w:bCs/>
        </w:rPr>
        <w:t>,</w:t>
      </w:r>
    </w:p>
    <w:p w14:paraId="36F02361" w14:textId="77777777" w:rsidR="004755B9" w:rsidRDefault="004755B9" w:rsidP="00F7473A">
      <w:pPr>
        <w:autoSpaceDE w:val="0"/>
        <w:autoSpaceDN w:val="0"/>
        <w:adjustRightInd w:val="0"/>
        <w:jc w:val="both"/>
        <w:rPr>
          <w:bCs/>
        </w:rPr>
      </w:pPr>
    </w:p>
    <w:p w14:paraId="0E8A3DC5" w14:textId="6779B5AE" w:rsidR="004755B9" w:rsidRPr="004755B9" w:rsidRDefault="004755B9" w:rsidP="00F7473A">
      <w:pPr>
        <w:autoSpaceDE w:val="0"/>
        <w:autoSpaceDN w:val="0"/>
        <w:adjustRightInd w:val="0"/>
        <w:jc w:val="both"/>
        <w:rPr>
          <w:bCs/>
        </w:rPr>
      </w:pPr>
      <w:r>
        <w:rPr>
          <w:bCs/>
        </w:rPr>
        <w:t xml:space="preserve">- die Artikel 2 bis 44 </w:t>
      </w:r>
      <w:r w:rsidR="00DF3507">
        <w:rPr>
          <w:bCs/>
        </w:rPr>
        <w:t xml:space="preserve">und 214 </w:t>
      </w:r>
      <w:r>
        <w:rPr>
          <w:bCs/>
        </w:rPr>
        <w:t xml:space="preserve">des Gesetzes vom 12. Mai 2024 </w:t>
      </w:r>
      <w:r w:rsidRPr="004755B9">
        <w:rPr>
          <w:bCs/>
        </w:rPr>
        <w:t>zur Digitalisierung der Beziehungen zwischen dem Föderalen Öffentlichen Dienst Finanzen, den Bürgern, den Unternehmen, den juristischen Personen und bestimmten Dritten und zur Aufhebung des Gesetzes vom 26. Januar 2021 über die Entmaterialisierung der Beziehungen zwischen dem Föderalen Öffentlichen Dienst Finanzen, den Bürgern, den juristischen Personen und bestimmten Dritten und zur Abänderung verschiedener Steuergesetzbücher und Steuergesetze</w:t>
      </w:r>
      <w:r>
        <w:rPr>
          <w:bCs/>
        </w:rPr>
        <w:t xml:space="preserve"> (</w:t>
      </w:r>
      <w:r>
        <w:rPr>
          <w:bCs/>
          <w:i/>
          <w:iCs/>
        </w:rPr>
        <w:t xml:space="preserve">Belgisches Staatsblatt </w:t>
      </w:r>
      <w:r>
        <w:rPr>
          <w:bCs/>
        </w:rPr>
        <w:t>vom 13. Juni 2025),</w:t>
      </w:r>
    </w:p>
    <w:p w14:paraId="1498B4E7" w14:textId="77777777" w:rsidR="00186493" w:rsidRDefault="00186493" w:rsidP="00F7473A">
      <w:pPr>
        <w:autoSpaceDE w:val="0"/>
        <w:autoSpaceDN w:val="0"/>
        <w:adjustRightInd w:val="0"/>
        <w:jc w:val="both"/>
        <w:rPr>
          <w:bCs/>
        </w:rPr>
      </w:pPr>
    </w:p>
    <w:p w14:paraId="78BF9282" w14:textId="6F3B9D11" w:rsidR="00DD5892" w:rsidRDefault="00186493" w:rsidP="00F7473A">
      <w:pPr>
        <w:autoSpaceDE w:val="0"/>
        <w:autoSpaceDN w:val="0"/>
        <w:adjustRightInd w:val="0"/>
        <w:jc w:val="both"/>
        <w:rPr>
          <w:bCs/>
        </w:rPr>
      </w:pPr>
      <w:r>
        <w:rPr>
          <w:bCs/>
        </w:rPr>
        <w:t xml:space="preserve">- das Gesetz vom 16. Mai 2024 </w:t>
      </w:r>
      <w:r w:rsidRPr="00186493">
        <w:rPr>
          <w:bCs/>
        </w:rPr>
        <w:t>zur Anpassung des besonderen Steuerstrafrechts an das neue Strafgesetzbuch</w:t>
      </w:r>
      <w:r>
        <w:rPr>
          <w:bCs/>
        </w:rPr>
        <w:t xml:space="preserve"> (</w:t>
      </w:r>
      <w:r>
        <w:rPr>
          <w:bCs/>
          <w:i/>
          <w:iCs/>
        </w:rPr>
        <w:t xml:space="preserve">Belgisches Staatsblatt </w:t>
      </w:r>
      <w:r>
        <w:rPr>
          <w:bCs/>
        </w:rPr>
        <w:t>vom 12. Mai 2025)</w:t>
      </w:r>
      <w:r w:rsidR="0085253A">
        <w:rPr>
          <w:bCs/>
        </w:rPr>
        <w:t>,</w:t>
      </w:r>
    </w:p>
    <w:p w14:paraId="36DF42FD" w14:textId="77777777" w:rsidR="0085253A" w:rsidRDefault="0085253A" w:rsidP="00F7473A">
      <w:pPr>
        <w:autoSpaceDE w:val="0"/>
        <w:autoSpaceDN w:val="0"/>
        <w:adjustRightInd w:val="0"/>
        <w:jc w:val="both"/>
        <w:rPr>
          <w:bCs/>
        </w:rPr>
      </w:pPr>
    </w:p>
    <w:p w14:paraId="2AC2753F" w14:textId="64301CDC" w:rsidR="0085253A" w:rsidRDefault="0085253A" w:rsidP="00F7473A">
      <w:pPr>
        <w:autoSpaceDE w:val="0"/>
        <w:autoSpaceDN w:val="0"/>
        <w:adjustRightInd w:val="0"/>
        <w:jc w:val="both"/>
        <w:rPr>
          <w:bCs/>
        </w:rPr>
      </w:pPr>
      <w:r>
        <w:rPr>
          <w:bCs/>
        </w:rPr>
        <w:t xml:space="preserve">- die Artikel 2 bis 4, 7 bis 12, 19 und 20 des Gesetzes vom 20. Dezember 2024 </w:t>
      </w:r>
      <w:r w:rsidRPr="0085253A">
        <w:rPr>
          <w:bCs/>
        </w:rPr>
        <w:t>zur Festlegung verschiedener steuerrechtlicher Bestimmungen</w:t>
      </w:r>
      <w:r>
        <w:rPr>
          <w:bCs/>
        </w:rPr>
        <w:t xml:space="preserve"> (</w:t>
      </w:r>
      <w:r>
        <w:rPr>
          <w:bCs/>
          <w:i/>
          <w:iCs/>
        </w:rPr>
        <w:t xml:space="preserve">Belgisches Staatsblatt </w:t>
      </w:r>
      <w:r>
        <w:rPr>
          <w:bCs/>
        </w:rPr>
        <w:t xml:space="preserve">vom </w:t>
      </w:r>
      <w:r w:rsidR="00303A80">
        <w:rPr>
          <w:bCs/>
        </w:rPr>
        <w:t>10. Juni</w:t>
      </w:r>
      <w:r>
        <w:rPr>
          <w:bCs/>
        </w:rPr>
        <w:t> 2025)</w:t>
      </w:r>
      <w:r w:rsidR="00D53250">
        <w:rPr>
          <w:bCs/>
        </w:rPr>
        <w:t>,</w:t>
      </w:r>
    </w:p>
    <w:p w14:paraId="5F7417E4" w14:textId="77777777" w:rsidR="00D53250" w:rsidRDefault="00D53250" w:rsidP="00F7473A">
      <w:pPr>
        <w:autoSpaceDE w:val="0"/>
        <w:autoSpaceDN w:val="0"/>
        <w:adjustRightInd w:val="0"/>
        <w:jc w:val="both"/>
        <w:rPr>
          <w:bCs/>
        </w:rPr>
      </w:pPr>
    </w:p>
    <w:p w14:paraId="48A2F5E2" w14:textId="29E65119" w:rsidR="00D53250" w:rsidRPr="00DD5892" w:rsidRDefault="00D53250" w:rsidP="00F7473A">
      <w:pPr>
        <w:autoSpaceDE w:val="0"/>
        <w:autoSpaceDN w:val="0"/>
        <w:adjustRightInd w:val="0"/>
        <w:jc w:val="both"/>
        <w:rPr>
          <w:bCs/>
        </w:rPr>
      </w:pPr>
      <w:r>
        <w:rPr>
          <w:bCs/>
        </w:rPr>
        <w:t>- d</w:t>
      </w:r>
      <w:r w:rsidR="001E2ACB">
        <w:rPr>
          <w:bCs/>
        </w:rPr>
        <w:t>en</w:t>
      </w:r>
      <w:r>
        <w:rPr>
          <w:bCs/>
        </w:rPr>
        <w:t xml:space="preserve"> </w:t>
      </w:r>
      <w:r w:rsidRPr="00D53250">
        <w:rPr>
          <w:bCs/>
        </w:rPr>
        <w:t xml:space="preserve">Entscheid Nr. 86/2025 des Verfassungsgerichtshofes vom 12. Juni 2025 </w:t>
      </w:r>
      <w:r w:rsidRPr="00D53250">
        <w:rPr>
          <w:bCs/>
          <w:iCs/>
        </w:rPr>
        <w:t>(</w:t>
      </w:r>
      <w:r w:rsidRPr="00D53250">
        <w:rPr>
          <w:bCs/>
          <w:i/>
          <w:iCs/>
        </w:rPr>
        <w:t xml:space="preserve">Belgisches Staatsblatt </w:t>
      </w:r>
      <w:r w:rsidRPr="00D53250">
        <w:rPr>
          <w:bCs/>
          <w:iCs/>
        </w:rPr>
        <w:t>vom 14. Juli 2025)</w:t>
      </w:r>
      <w:r>
        <w:rPr>
          <w:bCs/>
          <w:iCs/>
        </w:rPr>
        <w:t>.</w:t>
      </w:r>
    </w:p>
    <w:p w14:paraId="441CF4FD" w14:textId="77777777" w:rsidR="00552005" w:rsidRPr="00552005" w:rsidRDefault="00552005" w:rsidP="00552005">
      <w:pPr>
        <w:autoSpaceDE w:val="0"/>
        <w:autoSpaceDN w:val="0"/>
        <w:adjustRightInd w:val="0"/>
        <w:jc w:val="both"/>
        <w:rPr>
          <w:bCs/>
        </w:rPr>
      </w:pPr>
    </w:p>
    <w:p w14:paraId="0E94444D" w14:textId="4EE8C402" w:rsidR="00651BF4" w:rsidRPr="009118AB" w:rsidRDefault="00477B8F" w:rsidP="00A95BE1">
      <w:pPr>
        <w:autoSpaceDE w:val="0"/>
        <w:autoSpaceDN w:val="0"/>
        <w:adjustRightInd w:val="0"/>
        <w:jc w:val="both"/>
      </w:pPr>
      <w:r w:rsidRPr="009118AB">
        <w:t xml:space="preserve">Diese </w:t>
      </w:r>
      <w:r w:rsidR="002B1D7D" w:rsidRPr="009118AB">
        <w:t>K</w:t>
      </w:r>
      <w:r w:rsidRPr="009118AB">
        <w:t>o</w:t>
      </w:r>
      <w:r w:rsidR="00F36AB8" w:rsidRPr="009118AB">
        <w:t>nsolidi</w:t>
      </w:r>
      <w:r w:rsidRPr="009118AB">
        <w:t>erung ist von der Zentralen Dienststelle für Deutsche Übersetzungen in Malmedy erstellt worden</w:t>
      </w:r>
      <w:r w:rsidR="00A95BE1" w:rsidRPr="009118AB">
        <w:t>.</w:t>
      </w:r>
    </w:p>
    <w:p w14:paraId="3A5A9AD1" w14:textId="429EC626" w:rsidR="00477B8F" w:rsidRPr="009118AB" w:rsidRDefault="008353ED" w:rsidP="00C676E9">
      <w:pPr>
        <w:autoSpaceDE w:val="0"/>
        <w:autoSpaceDN w:val="0"/>
        <w:adjustRightInd w:val="0"/>
        <w:jc w:val="center"/>
      </w:pPr>
      <w:r w:rsidRPr="009118AB">
        <w:rPr>
          <w:b/>
          <w:bCs/>
          <w:sz w:val="32"/>
          <w:szCs w:val="32"/>
        </w:rPr>
        <w:br w:type="page"/>
      </w:r>
      <w:r w:rsidR="00477B8F" w:rsidRPr="009118AB">
        <w:rPr>
          <w:b/>
          <w:bCs/>
          <w:sz w:val="32"/>
          <w:szCs w:val="32"/>
        </w:rPr>
        <w:lastRenderedPageBreak/>
        <w:t>10. APRIL 1992</w:t>
      </w:r>
      <w:r w:rsidR="00D67EB8" w:rsidRPr="009118AB">
        <w:rPr>
          <w:b/>
          <w:bCs/>
          <w:sz w:val="32"/>
          <w:szCs w:val="32"/>
        </w:rPr>
        <w:t> - </w:t>
      </w:r>
      <w:r w:rsidR="00477B8F" w:rsidRPr="009118AB">
        <w:rPr>
          <w:b/>
          <w:bCs/>
          <w:sz w:val="32"/>
          <w:szCs w:val="32"/>
        </w:rPr>
        <w:t>Einkommensteuergesetzbuch 1992</w:t>
      </w:r>
    </w:p>
    <w:p w14:paraId="40F2074A" w14:textId="77777777" w:rsidR="00477B8F" w:rsidRPr="009118AB" w:rsidRDefault="00477B8F" w:rsidP="00477B8F">
      <w:pPr>
        <w:autoSpaceDE w:val="0"/>
        <w:autoSpaceDN w:val="0"/>
        <w:adjustRightInd w:val="0"/>
        <w:jc w:val="both"/>
      </w:pPr>
    </w:p>
    <w:p w14:paraId="200E77AE" w14:textId="77777777" w:rsidR="00477B8F" w:rsidRPr="009118AB" w:rsidRDefault="00477B8F" w:rsidP="00477B8F">
      <w:pPr>
        <w:autoSpaceDE w:val="0"/>
        <w:autoSpaceDN w:val="0"/>
        <w:adjustRightInd w:val="0"/>
        <w:jc w:val="both"/>
      </w:pPr>
    </w:p>
    <w:p w14:paraId="661200DC" w14:textId="49AD3CE2" w:rsidR="00477B8F" w:rsidRPr="009118AB" w:rsidRDefault="00477B8F" w:rsidP="00477B8F">
      <w:pPr>
        <w:autoSpaceDE w:val="0"/>
        <w:autoSpaceDN w:val="0"/>
        <w:adjustRightInd w:val="0"/>
        <w:jc w:val="center"/>
      </w:pPr>
      <w:r w:rsidRPr="009118AB">
        <w:rPr>
          <w:b/>
          <w:bCs/>
        </w:rPr>
        <w:t>TITEL I</w:t>
      </w:r>
      <w:r w:rsidR="00D67EB8" w:rsidRPr="009118AB">
        <w:rPr>
          <w:b/>
          <w:bCs/>
        </w:rPr>
        <w:t> - </w:t>
      </w:r>
      <w:r w:rsidRPr="009118AB">
        <w:rPr>
          <w:b/>
          <w:bCs/>
          <w:i/>
          <w:iCs/>
        </w:rPr>
        <w:t>Verschiedene Einkommensteuern</w:t>
      </w:r>
      <w:r w:rsidR="00D67EB8" w:rsidRPr="009118AB">
        <w:rPr>
          <w:b/>
          <w:bCs/>
          <w:i/>
          <w:iCs/>
        </w:rPr>
        <w:t> - </w:t>
      </w:r>
      <w:r w:rsidRPr="009118AB">
        <w:rPr>
          <w:b/>
          <w:bCs/>
          <w:i/>
          <w:iCs/>
        </w:rPr>
        <w:t>Begriffsbestimmungen</w:t>
      </w:r>
    </w:p>
    <w:p w14:paraId="5BB7F008" w14:textId="77777777" w:rsidR="00477B8F" w:rsidRPr="009118AB" w:rsidRDefault="00477B8F" w:rsidP="00477B8F">
      <w:pPr>
        <w:autoSpaceDE w:val="0"/>
        <w:autoSpaceDN w:val="0"/>
        <w:adjustRightInd w:val="0"/>
        <w:jc w:val="both"/>
      </w:pPr>
    </w:p>
    <w:p w14:paraId="3A804344" w14:textId="77777777" w:rsidR="00477B8F" w:rsidRPr="009118AB" w:rsidRDefault="00477B8F" w:rsidP="00477B8F">
      <w:pPr>
        <w:autoSpaceDE w:val="0"/>
        <w:autoSpaceDN w:val="0"/>
        <w:adjustRightInd w:val="0"/>
        <w:jc w:val="both"/>
      </w:pPr>
    </w:p>
    <w:p w14:paraId="65A151CE" w14:textId="4AF5613F" w:rsidR="00477B8F" w:rsidRPr="009118AB" w:rsidRDefault="00477B8F" w:rsidP="00477B8F">
      <w:pPr>
        <w:autoSpaceDE w:val="0"/>
        <w:autoSpaceDN w:val="0"/>
        <w:adjustRightInd w:val="0"/>
        <w:jc w:val="both"/>
      </w:pPr>
      <w:r w:rsidRPr="009118AB">
        <w:tab/>
      </w:r>
      <w:r w:rsidRPr="009118AB">
        <w:rPr>
          <w:b/>
          <w:bCs/>
        </w:rPr>
        <w:t>Artikel 1</w:t>
      </w:r>
      <w:r w:rsidR="00D67EB8" w:rsidRPr="009118AB">
        <w:t> - § </w:t>
      </w:r>
      <w:r w:rsidRPr="009118AB">
        <w:t>1</w:t>
      </w:r>
      <w:r w:rsidR="00D67EB8" w:rsidRPr="009118AB">
        <w:t> - </w:t>
      </w:r>
      <w:r w:rsidRPr="009118AB">
        <w:t>Als Einkommensteuern werden erhoben:</w:t>
      </w:r>
    </w:p>
    <w:p w14:paraId="78CC3E53" w14:textId="77777777" w:rsidR="00477B8F" w:rsidRPr="009118AB" w:rsidRDefault="00477B8F" w:rsidP="00477B8F">
      <w:pPr>
        <w:autoSpaceDE w:val="0"/>
        <w:autoSpaceDN w:val="0"/>
        <w:adjustRightInd w:val="0"/>
        <w:jc w:val="both"/>
      </w:pPr>
    </w:p>
    <w:p w14:paraId="4E7FE4F9" w14:textId="77777777" w:rsidR="00477B8F" w:rsidRPr="009118AB" w:rsidRDefault="00477B8F" w:rsidP="00477B8F">
      <w:pPr>
        <w:autoSpaceDE w:val="0"/>
        <w:autoSpaceDN w:val="0"/>
        <w:adjustRightInd w:val="0"/>
        <w:jc w:val="both"/>
      </w:pPr>
      <w:r w:rsidRPr="009118AB">
        <w:tab/>
        <w:t>1. eine Steuer auf das Gesamteinkommen der Einwohner des Königreichs, Steuer der natürlichen Personen genannt,</w:t>
      </w:r>
    </w:p>
    <w:p w14:paraId="1B7FF0D0" w14:textId="77777777" w:rsidR="00477B8F" w:rsidRPr="009118AB" w:rsidRDefault="00477B8F" w:rsidP="00477B8F">
      <w:pPr>
        <w:autoSpaceDE w:val="0"/>
        <w:autoSpaceDN w:val="0"/>
        <w:adjustRightInd w:val="0"/>
        <w:jc w:val="both"/>
      </w:pPr>
    </w:p>
    <w:p w14:paraId="16461290" w14:textId="77777777" w:rsidR="00477B8F" w:rsidRPr="009118AB" w:rsidRDefault="00477B8F" w:rsidP="00477B8F">
      <w:pPr>
        <w:autoSpaceDE w:val="0"/>
        <w:autoSpaceDN w:val="0"/>
        <w:adjustRightInd w:val="0"/>
        <w:jc w:val="both"/>
      </w:pPr>
      <w:r w:rsidRPr="009118AB">
        <w:tab/>
        <w:t>2. eine Steuer auf das Gesamteinkommen der inländischen Gesellschaften, Gesellschaftssteuer genannt,</w:t>
      </w:r>
    </w:p>
    <w:p w14:paraId="1942DE3B" w14:textId="77777777" w:rsidR="00477B8F" w:rsidRPr="009118AB" w:rsidRDefault="00477B8F" w:rsidP="00477B8F">
      <w:pPr>
        <w:autoSpaceDE w:val="0"/>
        <w:autoSpaceDN w:val="0"/>
        <w:adjustRightInd w:val="0"/>
        <w:jc w:val="both"/>
      </w:pPr>
    </w:p>
    <w:p w14:paraId="35542E96" w14:textId="77777777" w:rsidR="00477B8F" w:rsidRPr="009118AB" w:rsidRDefault="00477B8F" w:rsidP="00477B8F">
      <w:pPr>
        <w:autoSpaceDE w:val="0"/>
        <w:autoSpaceDN w:val="0"/>
        <w:adjustRightInd w:val="0"/>
        <w:jc w:val="both"/>
      </w:pPr>
      <w:r w:rsidRPr="009118AB">
        <w:tab/>
        <w:t>3. eine Steuer auf das Einkommen belgischer juristischer Personen, die keine Gesellschaften sind, Steuer der juristischen Personen genannt,</w:t>
      </w:r>
    </w:p>
    <w:p w14:paraId="798C1053" w14:textId="77777777" w:rsidR="00477B8F" w:rsidRPr="009118AB" w:rsidRDefault="00477B8F" w:rsidP="00477B8F">
      <w:pPr>
        <w:autoSpaceDE w:val="0"/>
        <w:autoSpaceDN w:val="0"/>
        <w:adjustRightInd w:val="0"/>
        <w:jc w:val="both"/>
      </w:pPr>
    </w:p>
    <w:p w14:paraId="0D5B2635" w14:textId="77777777" w:rsidR="00477B8F" w:rsidRPr="009118AB" w:rsidRDefault="00477B8F" w:rsidP="00477B8F">
      <w:pPr>
        <w:autoSpaceDE w:val="0"/>
        <w:autoSpaceDN w:val="0"/>
        <w:adjustRightInd w:val="0"/>
        <w:jc w:val="both"/>
      </w:pPr>
      <w:r w:rsidRPr="009118AB">
        <w:tab/>
        <w:t>4. eine Steuer auf das Einkommen Nichtansässiger, Steuer der Gebietsfremden genannt.</w:t>
      </w:r>
    </w:p>
    <w:p w14:paraId="7CD58203" w14:textId="77777777" w:rsidR="00477B8F" w:rsidRPr="009118AB" w:rsidRDefault="00477B8F" w:rsidP="00477B8F">
      <w:pPr>
        <w:autoSpaceDE w:val="0"/>
        <w:autoSpaceDN w:val="0"/>
        <w:adjustRightInd w:val="0"/>
        <w:jc w:val="both"/>
      </w:pPr>
    </w:p>
    <w:p w14:paraId="25E9A73A" w14:textId="228F673D"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Die Steuern werden in Grenzen und unter Bedingungen, die in Titel VI Kapitel </w:t>
      </w:r>
      <w:r w:rsidR="00E17965" w:rsidRPr="009118AB">
        <w:t>1</w:t>
      </w:r>
      <w:r w:rsidRPr="009118AB">
        <w:t xml:space="preserve"> vorgesehen sind, per Vorabzug erhoben.</w:t>
      </w:r>
    </w:p>
    <w:p w14:paraId="0FC1128C" w14:textId="77777777" w:rsidR="00477B8F" w:rsidRPr="009118AB" w:rsidRDefault="00477B8F" w:rsidP="00477B8F">
      <w:pPr>
        <w:autoSpaceDE w:val="0"/>
        <w:autoSpaceDN w:val="0"/>
        <w:adjustRightInd w:val="0"/>
        <w:jc w:val="both"/>
      </w:pPr>
    </w:p>
    <w:p w14:paraId="7CF13A5B" w14:textId="77777777" w:rsidR="00041B55" w:rsidRPr="009118AB" w:rsidRDefault="00041B55" w:rsidP="00477B8F">
      <w:pPr>
        <w:autoSpaceDE w:val="0"/>
        <w:autoSpaceDN w:val="0"/>
        <w:adjustRightInd w:val="0"/>
        <w:jc w:val="both"/>
      </w:pPr>
    </w:p>
    <w:p w14:paraId="4D58A96C" w14:textId="6020DD06" w:rsidR="00681B7D" w:rsidRPr="009118AB" w:rsidRDefault="00585974" w:rsidP="00434769">
      <w:pPr>
        <w:autoSpaceDE w:val="0"/>
        <w:autoSpaceDN w:val="0"/>
        <w:adjustRightInd w:val="0"/>
        <w:jc w:val="both"/>
      </w:pPr>
      <w:r w:rsidRPr="009118AB">
        <w:tab/>
      </w:r>
      <w:r w:rsidR="00D67EB8" w:rsidRPr="009118AB">
        <w:rPr>
          <w:b/>
        </w:rPr>
        <w:t>Art. </w:t>
      </w:r>
      <w:r w:rsidR="00041B55" w:rsidRPr="009118AB">
        <w:rPr>
          <w:b/>
        </w:rPr>
        <w:t>2</w:t>
      </w:r>
      <w:r w:rsidR="00D67EB8" w:rsidRPr="009118AB">
        <w:t> - </w:t>
      </w:r>
      <w:r w:rsidR="00477B8F" w:rsidRPr="009118AB">
        <w:t>[</w:t>
      </w:r>
      <w:r w:rsidR="00D67EB8" w:rsidRPr="009118AB">
        <w:t>§ </w:t>
      </w:r>
      <w:r w:rsidR="00477B8F" w:rsidRPr="009118AB">
        <w:t>1]</w:t>
      </w:r>
      <w:r w:rsidR="00D67EB8" w:rsidRPr="009118AB">
        <w:t> - </w:t>
      </w:r>
      <w:r w:rsidR="00477B8F" w:rsidRPr="009118AB">
        <w:t>[Für die Anwendung des vorliegenden Gesetzbuches, der besonderen Gesetzesbestimmungen über Einkommensteuern und ihrer Ausführungserlasse haben folgende Begriffe die in vorliegendem Artikel definierte Bedeutung.</w:t>
      </w:r>
    </w:p>
    <w:p w14:paraId="5D687185" w14:textId="77777777" w:rsidR="00681B7D" w:rsidRPr="009118AB" w:rsidRDefault="00681B7D" w:rsidP="00681B7D">
      <w:pPr>
        <w:autoSpaceDE w:val="0"/>
        <w:autoSpaceDN w:val="0"/>
        <w:adjustRightInd w:val="0"/>
        <w:jc w:val="both"/>
      </w:pPr>
    </w:p>
    <w:p w14:paraId="0AD7DAA1" w14:textId="77777777" w:rsidR="00681B7D" w:rsidRPr="009118AB" w:rsidRDefault="00585974" w:rsidP="00681B7D">
      <w:pPr>
        <w:autoSpaceDE w:val="0"/>
        <w:autoSpaceDN w:val="0"/>
        <w:adjustRightInd w:val="0"/>
        <w:jc w:val="both"/>
      </w:pPr>
      <w:r w:rsidRPr="009118AB">
        <w:tab/>
      </w:r>
      <w:r w:rsidR="00477B8F" w:rsidRPr="009118AB">
        <w:t>1. Einwohner des Königreichs</w:t>
      </w:r>
    </w:p>
    <w:p w14:paraId="15EB07C4" w14:textId="77777777" w:rsidR="00681B7D" w:rsidRPr="009118AB" w:rsidRDefault="00681B7D" w:rsidP="00681B7D">
      <w:pPr>
        <w:autoSpaceDE w:val="0"/>
        <w:autoSpaceDN w:val="0"/>
        <w:adjustRightInd w:val="0"/>
        <w:jc w:val="both"/>
      </w:pPr>
    </w:p>
    <w:p w14:paraId="7495A34C" w14:textId="77777777" w:rsidR="00681B7D" w:rsidRPr="009118AB" w:rsidRDefault="00585974" w:rsidP="00681B7D">
      <w:pPr>
        <w:autoSpaceDE w:val="0"/>
        <w:autoSpaceDN w:val="0"/>
        <w:adjustRightInd w:val="0"/>
        <w:jc w:val="both"/>
      </w:pPr>
      <w:r w:rsidRPr="009118AB">
        <w:tab/>
      </w:r>
      <w:r w:rsidR="00477B8F" w:rsidRPr="009118AB">
        <w:t>Unter Einwohnern des Königreichs versteht man:</w:t>
      </w:r>
    </w:p>
    <w:p w14:paraId="2BA6842F" w14:textId="77777777" w:rsidR="00681B7D" w:rsidRPr="009118AB" w:rsidRDefault="00681B7D" w:rsidP="00681B7D">
      <w:pPr>
        <w:autoSpaceDE w:val="0"/>
        <w:autoSpaceDN w:val="0"/>
        <w:adjustRightInd w:val="0"/>
        <w:jc w:val="both"/>
      </w:pPr>
    </w:p>
    <w:p w14:paraId="2E29D65E" w14:textId="77777777" w:rsidR="00477C42" w:rsidRPr="009118AB" w:rsidRDefault="00585974" w:rsidP="00477C42">
      <w:pPr>
        <w:jc w:val="both"/>
      </w:pPr>
      <w:r w:rsidRPr="009118AB">
        <w:rPr>
          <w:i/>
          <w:iCs/>
        </w:rPr>
        <w:tab/>
      </w:r>
      <w:r w:rsidR="00477B8F" w:rsidRPr="009118AB">
        <w:rPr>
          <w:i/>
          <w:iCs/>
        </w:rPr>
        <w:t>a)</w:t>
      </w:r>
      <w:r w:rsidR="00477C42" w:rsidRPr="009118AB">
        <w:rPr>
          <w:iCs/>
        </w:rPr>
        <w:t xml:space="preserve"> [</w:t>
      </w:r>
      <w:r w:rsidR="00477C42" w:rsidRPr="009118AB">
        <w:t>natürliche Personen:</w:t>
      </w:r>
    </w:p>
    <w:p w14:paraId="16119F14" w14:textId="77777777" w:rsidR="00477C42" w:rsidRPr="009118AB" w:rsidRDefault="00477C42" w:rsidP="00477C42">
      <w:pPr>
        <w:jc w:val="both"/>
      </w:pPr>
    </w:p>
    <w:p w14:paraId="3D108E51" w14:textId="66642208" w:rsidR="00477C42" w:rsidRPr="009118AB" w:rsidRDefault="00585974" w:rsidP="00477C42">
      <w:pPr>
        <w:jc w:val="both"/>
      </w:pPr>
      <w:r w:rsidRPr="009118AB">
        <w:tab/>
      </w:r>
      <w:r w:rsidR="00477C42" w:rsidRPr="009118AB">
        <w:t>- deren Wohnsitz in Belgien liegt,</w:t>
      </w:r>
    </w:p>
    <w:p w14:paraId="3F30A147" w14:textId="77777777" w:rsidR="00477C42" w:rsidRPr="009118AB" w:rsidRDefault="00477C42" w:rsidP="00477C42">
      <w:pPr>
        <w:jc w:val="both"/>
      </w:pPr>
    </w:p>
    <w:p w14:paraId="47A7F131" w14:textId="77777777" w:rsidR="00681B7D" w:rsidRPr="009118AB" w:rsidRDefault="00585974" w:rsidP="00477C42">
      <w:pPr>
        <w:autoSpaceDE w:val="0"/>
        <w:autoSpaceDN w:val="0"/>
        <w:adjustRightInd w:val="0"/>
        <w:jc w:val="both"/>
      </w:pPr>
      <w:r w:rsidRPr="009118AB">
        <w:tab/>
      </w:r>
      <w:r w:rsidR="00477C42" w:rsidRPr="009118AB">
        <w:t>- deren Vermögenssitz in Belgien liegt, wenn sie keinen Wohnsitz in Belgien haben,]</w:t>
      </w:r>
    </w:p>
    <w:p w14:paraId="10DCBAD2" w14:textId="77777777" w:rsidR="00681B7D" w:rsidRPr="009118AB" w:rsidRDefault="00681B7D" w:rsidP="00681B7D">
      <w:pPr>
        <w:autoSpaceDE w:val="0"/>
        <w:autoSpaceDN w:val="0"/>
        <w:adjustRightInd w:val="0"/>
        <w:jc w:val="both"/>
      </w:pPr>
    </w:p>
    <w:p w14:paraId="7EF7D1D8" w14:textId="77777777" w:rsidR="00681B7D" w:rsidRPr="009118AB" w:rsidRDefault="00585974" w:rsidP="00681B7D">
      <w:pPr>
        <w:autoSpaceDE w:val="0"/>
        <w:autoSpaceDN w:val="0"/>
        <w:adjustRightInd w:val="0"/>
        <w:jc w:val="both"/>
      </w:pPr>
      <w:r w:rsidRPr="009118AB">
        <w:rPr>
          <w:i/>
          <w:iCs/>
        </w:rPr>
        <w:tab/>
      </w:r>
      <w:r w:rsidR="00477B8F" w:rsidRPr="009118AB">
        <w:rPr>
          <w:i/>
          <w:iCs/>
        </w:rPr>
        <w:t>b)</w:t>
      </w:r>
      <w:r w:rsidR="00477B8F" w:rsidRPr="009118AB">
        <w:t xml:space="preserve"> belgische diplomatische und berufskonsularische Vertreter, die im Ausland akkreditiert sind, und in ihrem Haushalt lebende Familienmitglieder,</w:t>
      </w:r>
    </w:p>
    <w:p w14:paraId="043A3738" w14:textId="77777777" w:rsidR="00681B7D" w:rsidRPr="009118AB" w:rsidRDefault="00681B7D" w:rsidP="002E1080">
      <w:pPr>
        <w:tabs>
          <w:tab w:val="left" w:pos="6946"/>
        </w:tabs>
        <w:autoSpaceDE w:val="0"/>
        <w:autoSpaceDN w:val="0"/>
        <w:adjustRightInd w:val="0"/>
        <w:jc w:val="both"/>
      </w:pPr>
    </w:p>
    <w:p w14:paraId="48651A9D" w14:textId="77777777" w:rsidR="00681B7D" w:rsidRPr="009118AB" w:rsidRDefault="00585974" w:rsidP="00681B7D">
      <w:pPr>
        <w:autoSpaceDE w:val="0"/>
        <w:autoSpaceDN w:val="0"/>
        <w:adjustRightInd w:val="0"/>
        <w:jc w:val="both"/>
      </w:pPr>
      <w:r w:rsidRPr="009118AB">
        <w:rPr>
          <w:i/>
          <w:iCs/>
        </w:rPr>
        <w:tab/>
      </w:r>
      <w:r w:rsidR="00477B8F" w:rsidRPr="009118AB">
        <w:rPr>
          <w:i/>
          <w:iCs/>
        </w:rPr>
        <w:t>c)</w:t>
      </w:r>
      <w:r w:rsidR="00477B8F" w:rsidRPr="009118AB">
        <w:t xml:space="preserve"> andere Mitglieder belgischer diplomatischer Missionen und konsularischer Vertretungen im Ausland</w:t>
      </w:r>
      <w:r w:rsidR="002E1080" w:rsidRPr="009118AB">
        <w:t>[, die ihre Tätigkeiten im Ausland ausüben in einem Land, dessen Staatsangehörige sie nicht sind oder in dem sie nicht ständig ansässig sind,]</w:t>
      </w:r>
      <w:r w:rsidR="00477B8F" w:rsidRPr="009118AB">
        <w:t xml:space="preserve"> und in ihrem Haushalt lebende Familienmitglieder, ausschließlich ehrenamtlicher Konsularbeamter,</w:t>
      </w:r>
    </w:p>
    <w:p w14:paraId="69BAC682" w14:textId="77777777" w:rsidR="00681B7D" w:rsidRPr="009118AB" w:rsidRDefault="00681B7D" w:rsidP="00681B7D">
      <w:pPr>
        <w:autoSpaceDE w:val="0"/>
        <w:autoSpaceDN w:val="0"/>
        <w:adjustRightInd w:val="0"/>
        <w:jc w:val="both"/>
      </w:pPr>
    </w:p>
    <w:p w14:paraId="3D5E6263" w14:textId="77777777" w:rsidR="00681B7D" w:rsidRPr="009118AB" w:rsidRDefault="00585974" w:rsidP="00681B7D">
      <w:pPr>
        <w:autoSpaceDE w:val="0"/>
        <w:autoSpaceDN w:val="0"/>
        <w:adjustRightInd w:val="0"/>
        <w:jc w:val="both"/>
      </w:pPr>
      <w:r w:rsidRPr="009118AB">
        <w:rPr>
          <w:i/>
          <w:iCs/>
        </w:rPr>
        <w:tab/>
      </w:r>
      <w:r w:rsidR="00477B8F" w:rsidRPr="009118AB">
        <w:rPr>
          <w:i/>
          <w:iCs/>
        </w:rPr>
        <w:t>d)</w:t>
      </w:r>
      <w:r w:rsidR="00477B8F" w:rsidRPr="009118AB">
        <w:t xml:space="preserve"> andere Beamte, Bedienstete und Vertreter oder Beauftragte des Belgischen Staates, der Gemeinschaften, Regionen, Provinzen, Agglomerationen, Gemeindeföderationen und Gemeinden und belgischer öffentlich-rechtlicher Einrichtungen, die die belgische Staatsangehörigkeit besitzen und ihre Tätigkeiten im Ausland ausüben in einem Land, in dem sie nicht ständig ansässig sind.</w:t>
      </w:r>
    </w:p>
    <w:p w14:paraId="68F13ECA" w14:textId="77777777" w:rsidR="00681B7D" w:rsidRPr="009118AB" w:rsidRDefault="00681B7D" w:rsidP="00681B7D">
      <w:pPr>
        <w:autoSpaceDE w:val="0"/>
        <w:autoSpaceDN w:val="0"/>
        <w:adjustRightInd w:val="0"/>
        <w:jc w:val="both"/>
      </w:pPr>
    </w:p>
    <w:p w14:paraId="0A02A886" w14:textId="77777777" w:rsidR="00681B7D" w:rsidRPr="009118AB" w:rsidRDefault="00585974" w:rsidP="00681B7D">
      <w:pPr>
        <w:autoSpaceDE w:val="0"/>
        <w:autoSpaceDN w:val="0"/>
        <w:adjustRightInd w:val="0"/>
        <w:jc w:val="both"/>
      </w:pPr>
      <w:r w:rsidRPr="009118AB">
        <w:tab/>
      </w:r>
      <w:r w:rsidR="00477B8F" w:rsidRPr="009118AB">
        <w:t xml:space="preserve">Die Begründung des Wohn- oder Vermögenssitzes in Belgien wird entsprechend den Umständen beurteilt. Außer Beweis des Gegenteils wird jedoch angenommen, dass </w:t>
      </w:r>
      <w:r w:rsidR="00477C42" w:rsidRPr="009118AB">
        <w:t xml:space="preserve">[der Wohnsitz] </w:t>
      </w:r>
      <w:r w:rsidR="00477B8F" w:rsidRPr="009118AB">
        <w:t>von natürlichen Personen, die im Nationalregister der natürlichen Personen eingetragen sind, in Belgien liegt.</w:t>
      </w:r>
    </w:p>
    <w:p w14:paraId="2307C7B1" w14:textId="77777777" w:rsidR="00681B7D" w:rsidRPr="009118AB" w:rsidRDefault="008E6C0F" w:rsidP="00681B7D">
      <w:pPr>
        <w:autoSpaceDE w:val="0"/>
        <w:autoSpaceDN w:val="0"/>
        <w:adjustRightInd w:val="0"/>
        <w:jc w:val="both"/>
      </w:pPr>
      <w:r w:rsidRPr="009118AB">
        <w:tab/>
      </w:r>
    </w:p>
    <w:p w14:paraId="7C848ED0" w14:textId="731D2539" w:rsidR="00681B7D" w:rsidRPr="009118AB" w:rsidRDefault="00585974" w:rsidP="00681B7D">
      <w:pPr>
        <w:autoSpaceDE w:val="0"/>
        <w:autoSpaceDN w:val="0"/>
        <w:adjustRightInd w:val="0"/>
        <w:jc w:val="both"/>
      </w:pPr>
      <w:r w:rsidRPr="009118AB">
        <w:tab/>
      </w:r>
      <w:r w:rsidR="00477B8F" w:rsidRPr="009118AB">
        <w:t xml:space="preserve">Für verheiratete Personen, die nicht durch eine der in Artikel 126 </w:t>
      </w:r>
      <w:r w:rsidR="00D67EB8" w:rsidRPr="009118AB">
        <w:t>§ </w:t>
      </w:r>
      <w:r w:rsidR="00477B8F" w:rsidRPr="009118AB">
        <w:t>2 Absatz 1 erwähnten Bestimmungen erfasst werden, liegt der Steuerwohnsitz dort, wo sich der Familienhaushalt befindet.</w:t>
      </w:r>
    </w:p>
    <w:p w14:paraId="0467C6A4" w14:textId="77777777" w:rsidR="00681B7D" w:rsidRPr="009118AB" w:rsidRDefault="00681B7D" w:rsidP="00681B7D">
      <w:pPr>
        <w:autoSpaceDE w:val="0"/>
        <w:autoSpaceDN w:val="0"/>
        <w:adjustRightInd w:val="0"/>
        <w:jc w:val="both"/>
      </w:pPr>
    </w:p>
    <w:p w14:paraId="1C3C2579" w14:textId="19159B68" w:rsidR="00681B7D" w:rsidRPr="009118AB" w:rsidRDefault="00585974" w:rsidP="00681B7D">
      <w:pPr>
        <w:autoSpaceDE w:val="0"/>
        <w:autoSpaceDN w:val="0"/>
        <w:adjustRightInd w:val="0"/>
        <w:jc w:val="both"/>
      </w:pPr>
      <w:r w:rsidRPr="009118AB">
        <w:tab/>
      </w:r>
      <w:r w:rsidR="00477B8F" w:rsidRPr="009118AB">
        <w:t>2. Verheiratete Personen und Ehepartner</w:t>
      </w:r>
      <w:r w:rsidR="00D67EB8" w:rsidRPr="009118AB">
        <w:t> - </w:t>
      </w:r>
      <w:r w:rsidR="00477B8F" w:rsidRPr="009118AB">
        <w:t>gesetzlich Zusammenwohnende</w:t>
      </w:r>
    </w:p>
    <w:p w14:paraId="4A7646A8" w14:textId="77777777" w:rsidR="00681B7D" w:rsidRPr="009118AB" w:rsidRDefault="00B20101" w:rsidP="00681B7D">
      <w:pPr>
        <w:autoSpaceDE w:val="0"/>
        <w:autoSpaceDN w:val="0"/>
        <w:adjustRightInd w:val="0"/>
        <w:jc w:val="both"/>
      </w:pPr>
      <w:r w:rsidRPr="009118AB">
        <w:tab/>
      </w:r>
    </w:p>
    <w:p w14:paraId="3681819C" w14:textId="77777777" w:rsidR="00681B7D" w:rsidRPr="009118AB" w:rsidRDefault="00585974" w:rsidP="00681B7D">
      <w:pPr>
        <w:autoSpaceDE w:val="0"/>
        <w:autoSpaceDN w:val="0"/>
        <w:adjustRightInd w:val="0"/>
        <w:jc w:val="both"/>
      </w:pPr>
      <w:r w:rsidRPr="009118AB">
        <w:tab/>
      </w:r>
      <w:r w:rsidR="00477B8F" w:rsidRPr="009118AB">
        <w:t>Gesetzlich Zusammenwohnende werden verheirateten Personen gleichgestellt und ein gesetzlich Zusammenwohnender wird einem Ehepartner gleichgestellt.</w:t>
      </w:r>
    </w:p>
    <w:p w14:paraId="21560AB3" w14:textId="77777777" w:rsidR="00681B7D" w:rsidRPr="009118AB" w:rsidRDefault="00681B7D" w:rsidP="00681B7D">
      <w:pPr>
        <w:autoSpaceDE w:val="0"/>
        <w:autoSpaceDN w:val="0"/>
        <w:adjustRightInd w:val="0"/>
        <w:jc w:val="both"/>
      </w:pPr>
    </w:p>
    <w:p w14:paraId="7CE5445F" w14:textId="77777777" w:rsidR="00681B7D" w:rsidRPr="009118AB" w:rsidRDefault="00585974" w:rsidP="00681B7D">
      <w:pPr>
        <w:autoSpaceDE w:val="0"/>
        <w:autoSpaceDN w:val="0"/>
        <w:adjustRightInd w:val="0"/>
        <w:jc w:val="both"/>
      </w:pPr>
      <w:r w:rsidRPr="009118AB">
        <w:tab/>
      </w:r>
      <w:r w:rsidR="00477B8F" w:rsidRPr="009118AB">
        <w:t>3. Gemeinsame Veranlagung</w:t>
      </w:r>
    </w:p>
    <w:p w14:paraId="027CFE6E" w14:textId="77777777" w:rsidR="00681B7D" w:rsidRPr="009118AB" w:rsidRDefault="00681B7D" w:rsidP="00681B7D">
      <w:pPr>
        <w:autoSpaceDE w:val="0"/>
        <w:autoSpaceDN w:val="0"/>
        <w:adjustRightInd w:val="0"/>
        <w:jc w:val="both"/>
      </w:pPr>
    </w:p>
    <w:p w14:paraId="103976A4" w14:textId="77777777" w:rsidR="00681B7D" w:rsidRPr="009118AB" w:rsidRDefault="00585974" w:rsidP="00681B7D">
      <w:pPr>
        <w:autoSpaceDE w:val="0"/>
        <w:autoSpaceDN w:val="0"/>
        <w:adjustRightInd w:val="0"/>
        <w:jc w:val="both"/>
      </w:pPr>
      <w:r w:rsidRPr="009118AB">
        <w:tab/>
      </w:r>
      <w:r w:rsidR="00477B8F" w:rsidRPr="009118AB">
        <w:t>Unter gemeinsamer Veranlagung versteht man die Festlegung einer einzigen Veranlagung auf den Namen der beiden Ehepartner oder der beiden gesetzlich Zusammenwohnenden.</w:t>
      </w:r>
    </w:p>
    <w:p w14:paraId="0789194C" w14:textId="77777777" w:rsidR="00681B7D" w:rsidRPr="009118AB" w:rsidRDefault="00681B7D" w:rsidP="00681B7D">
      <w:pPr>
        <w:autoSpaceDE w:val="0"/>
        <w:autoSpaceDN w:val="0"/>
        <w:adjustRightInd w:val="0"/>
        <w:jc w:val="both"/>
      </w:pPr>
    </w:p>
    <w:p w14:paraId="319C2711" w14:textId="77777777" w:rsidR="00681B7D" w:rsidRPr="009118AB" w:rsidRDefault="00585974" w:rsidP="00681B7D">
      <w:pPr>
        <w:autoSpaceDE w:val="0"/>
        <w:autoSpaceDN w:val="0"/>
        <w:adjustRightInd w:val="0"/>
        <w:jc w:val="both"/>
      </w:pPr>
      <w:r w:rsidRPr="009118AB">
        <w:tab/>
      </w:r>
      <w:r w:rsidR="00477B8F" w:rsidRPr="009118AB">
        <w:t>4. Kinder</w:t>
      </w:r>
    </w:p>
    <w:p w14:paraId="4E938254" w14:textId="77777777" w:rsidR="00681B7D" w:rsidRPr="009118AB" w:rsidRDefault="00681B7D" w:rsidP="00681B7D">
      <w:pPr>
        <w:autoSpaceDE w:val="0"/>
        <w:autoSpaceDN w:val="0"/>
        <w:adjustRightInd w:val="0"/>
        <w:jc w:val="both"/>
      </w:pPr>
    </w:p>
    <w:p w14:paraId="0BFBB17A" w14:textId="77777777" w:rsidR="00681B7D" w:rsidRPr="009118AB" w:rsidRDefault="00585974" w:rsidP="00681B7D">
      <w:pPr>
        <w:autoSpaceDE w:val="0"/>
        <w:autoSpaceDN w:val="0"/>
        <w:adjustRightInd w:val="0"/>
        <w:jc w:val="both"/>
      </w:pPr>
      <w:r w:rsidRPr="009118AB">
        <w:tab/>
      </w:r>
      <w:r w:rsidR="00477B8F" w:rsidRPr="009118AB">
        <w:t>Unter Kindern versteht man die Nachkommen des Steuerpflichtigen und die seines Ehepartners und Kinder, die ausschließlich oder hauptsächlich er zu Lasten hat.</w:t>
      </w:r>
    </w:p>
    <w:p w14:paraId="51D44A72" w14:textId="77777777" w:rsidR="00681B7D" w:rsidRPr="009118AB" w:rsidRDefault="00681B7D" w:rsidP="00681B7D">
      <w:pPr>
        <w:autoSpaceDE w:val="0"/>
        <w:autoSpaceDN w:val="0"/>
        <w:adjustRightInd w:val="0"/>
        <w:jc w:val="both"/>
      </w:pPr>
    </w:p>
    <w:p w14:paraId="5838C8EF" w14:textId="77777777" w:rsidR="0023593F" w:rsidRPr="009118AB" w:rsidRDefault="0023593F" w:rsidP="0023593F">
      <w:pPr>
        <w:jc w:val="both"/>
      </w:pPr>
      <w:r w:rsidRPr="009118AB">
        <w:tab/>
        <w:t>[4/1. Mittleres Unternehmen</w:t>
      </w:r>
    </w:p>
    <w:p w14:paraId="15816AA5" w14:textId="77777777" w:rsidR="0023593F" w:rsidRPr="009118AB" w:rsidRDefault="0023593F" w:rsidP="0023593F">
      <w:pPr>
        <w:jc w:val="both"/>
      </w:pPr>
    </w:p>
    <w:p w14:paraId="20E4EC0C" w14:textId="77777777" w:rsidR="0023593F" w:rsidRPr="009118AB" w:rsidRDefault="0023593F" w:rsidP="0023593F">
      <w:pPr>
        <w:jc w:val="both"/>
      </w:pPr>
      <w:r w:rsidRPr="009118AB">
        <w:tab/>
        <w:t>Unter mittlerem Unternehmen versteht man eine natürliche oder juristische Person, die eine wirtschaftliche Tätigkeit ausübt, die während mindestens zweier der letzten drei abgeschlossenen Besteuerungszeiträume eine durchschnittliche Beschäftigtenzahl von weniger als 250 Personen in Vollzeitgleichwerten hat und:</w:t>
      </w:r>
    </w:p>
    <w:p w14:paraId="0940535E" w14:textId="77777777" w:rsidR="0023593F" w:rsidRPr="009118AB" w:rsidRDefault="0023593F" w:rsidP="0023593F">
      <w:pPr>
        <w:jc w:val="both"/>
      </w:pPr>
    </w:p>
    <w:p w14:paraId="03CAE9CF" w14:textId="77777777" w:rsidR="0023593F" w:rsidRPr="009118AB" w:rsidRDefault="0023593F" w:rsidP="0023593F">
      <w:pPr>
        <w:jc w:val="both"/>
      </w:pPr>
      <w:r w:rsidRPr="009118AB">
        <w:tab/>
        <w:t>- die einen Umsatz ohne Mehrwertsteuer mit einem Höchstbetrag von 50 Mil</w:t>
      </w:r>
      <w:r w:rsidRPr="009118AB">
        <w:softHyphen/>
        <w:t>lionen EUR erzielt oder</w:t>
      </w:r>
    </w:p>
    <w:p w14:paraId="1A786791" w14:textId="77777777" w:rsidR="0023593F" w:rsidRPr="009118AB" w:rsidRDefault="0023593F" w:rsidP="0023593F">
      <w:pPr>
        <w:jc w:val="both"/>
      </w:pPr>
    </w:p>
    <w:p w14:paraId="1829F674" w14:textId="77777777" w:rsidR="0023593F" w:rsidRPr="009118AB" w:rsidRDefault="0023593F" w:rsidP="0023593F">
      <w:pPr>
        <w:jc w:val="both"/>
      </w:pPr>
      <w:r w:rsidRPr="009118AB">
        <w:tab/>
        <w:t>- deren Bilanzsumme sich auf einen Höchstbetrag von 43 Millionen EUR beläuft.</w:t>
      </w:r>
    </w:p>
    <w:p w14:paraId="1CE06C47" w14:textId="77777777" w:rsidR="0023593F" w:rsidRPr="009118AB" w:rsidRDefault="0023593F" w:rsidP="0023593F">
      <w:pPr>
        <w:jc w:val="both"/>
      </w:pPr>
    </w:p>
    <w:p w14:paraId="68A692BE" w14:textId="77777777" w:rsidR="0023593F" w:rsidRPr="009118AB" w:rsidRDefault="0023593F" w:rsidP="0023593F">
      <w:pPr>
        <w:jc w:val="both"/>
      </w:pPr>
      <w:r w:rsidRPr="009118AB">
        <w:tab/>
        <w:t>Hat der Besteuerungszeitraum eine Dauer, die zwölf Monate unter- beziehungsweise überschreitet, wird der Betrag des in Absatz 1 erwähnten Umsatzes ohne Mehrwertsteuer mit einem Bruch multipliziert, dessen Nenner zwölf ist und dessen Zähler der Anzahl Monate entspricht, die der in Betracht gezogene Besteuerungszeitraum umfasst, wobei jeder begonnene Monat als voller Monat zählt.</w:t>
      </w:r>
    </w:p>
    <w:p w14:paraId="595870A4" w14:textId="77777777" w:rsidR="0023593F" w:rsidRPr="009118AB" w:rsidRDefault="0023593F" w:rsidP="0023593F">
      <w:pPr>
        <w:jc w:val="both"/>
      </w:pPr>
    </w:p>
    <w:p w14:paraId="30E639D1" w14:textId="77777777" w:rsidR="0023593F" w:rsidRPr="009118AB" w:rsidRDefault="0023593F" w:rsidP="0023593F">
      <w:pPr>
        <w:jc w:val="both"/>
      </w:pPr>
      <w:r w:rsidRPr="009118AB">
        <w:tab/>
        <w:t>Ist das Unternehmen ein verbundenes Unternehmen, werden die Kriterien "Umsatz" und "Bilanzsumme" auf konsolidierter Basis bestimmt. Zur Bestimmung der durchschnittlichen Beschäftigtenzahl eines verbundenen Unternehmens wird die durchschnittliche Beschäftigten</w:t>
      </w:r>
      <w:r w:rsidRPr="009118AB">
        <w:softHyphen/>
        <w:t>zahl jeder der im Besteuerungszeitraum verbundenen Gesellschaften zusammengerechnet.</w:t>
      </w:r>
    </w:p>
    <w:p w14:paraId="0B44D288" w14:textId="77777777" w:rsidR="0023593F" w:rsidRPr="009118AB" w:rsidRDefault="0023593F" w:rsidP="0023593F">
      <w:pPr>
        <w:jc w:val="both"/>
      </w:pPr>
    </w:p>
    <w:p w14:paraId="6A4D6972" w14:textId="77777777" w:rsidR="0023593F" w:rsidRPr="009118AB" w:rsidRDefault="0023593F" w:rsidP="0023593F">
      <w:pPr>
        <w:jc w:val="both"/>
      </w:pPr>
      <w:r w:rsidRPr="009118AB">
        <w:lastRenderedPageBreak/>
        <w:tab/>
        <w:t>Umsatz, Bilanzsumme und durchschnittliche Beschäftigtenzahl wie in Absatz 1 erwähnt werden um Umsatz, Bilanzsumme und durchschnittliche Beschäftigtenzahl jedes Partner</w:t>
      </w:r>
      <w:r w:rsidRPr="009118AB">
        <w:softHyphen/>
        <w:t>unternehmens erhöht, und zwar im Verhältnis zu dem höchsten der folgenden vier Prozentsätze:</w:t>
      </w:r>
    </w:p>
    <w:p w14:paraId="36D3238A" w14:textId="77777777" w:rsidR="0023593F" w:rsidRPr="009118AB" w:rsidRDefault="0023593F" w:rsidP="0023593F">
      <w:pPr>
        <w:jc w:val="both"/>
      </w:pPr>
    </w:p>
    <w:p w14:paraId="5D0738E7" w14:textId="241C9DB4" w:rsidR="0023593F" w:rsidRPr="009118AB" w:rsidRDefault="0023593F" w:rsidP="0023593F">
      <w:pPr>
        <w:jc w:val="both"/>
      </w:pPr>
      <w:r w:rsidRPr="009118AB">
        <w:tab/>
        <w:t xml:space="preserve">- entweder dem in </w:t>
      </w:r>
      <w:r w:rsidR="00D67EB8" w:rsidRPr="009118AB">
        <w:t>§ </w:t>
      </w:r>
      <w:r w:rsidRPr="009118AB">
        <w:t>4 Absatz 1 erwähnten Prozentsatz der Beteiligung des erst</w:t>
      </w:r>
      <w:r w:rsidRPr="009118AB">
        <w:softHyphen/>
        <w:t>genannten Unternehmens an den Stimmrechten des anderen Unternehmens</w:t>
      </w:r>
    </w:p>
    <w:p w14:paraId="791ED29A" w14:textId="77777777" w:rsidR="0023593F" w:rsidRPr="009118AB" w:rsidRDefault="0023593F" w:rsidP="0023593F">
      <w:pPr>
        <w:jc w:val="both"/>
      </w:pPr>
    </w:p>
    <w:p w14:paraId="2E82523C" w14:textId="7C5CD657" w:rsidR="0023593F" w:rsidRPr="009118AB" w:rsidRDefault="0023593F" w:rsidP="0023593F">
      <w:pPr>
        <w:jc w:val="both"/>
      </w:pPr>
      <w:r w:rsidRPr="009118AB">
        <w:tab/>
        <w:t xml:space="preserve">- oder dem in </w:t>
      </w:r>
      <w:r w:rsidR="00D67EB8" w:rsidRPr="009118AB">
        <w:t>§ </w:t>
      </w:r>
      <w:r w:rsidRPr="009118AB">
        <w:t>4 Absatz 1 erwähnten Prozentsatz der Beteiligung des anderen Unter</w:t>
      </w:r>
      <w:r w:rsidRPr="009118AB">
        <w:softHyphen/>
        <w:t>nehmens an den Stimmrechten des erstgenannten Unternehmens</w:t>
      </w:r>
    </w:p>
    <w:p w14:paraId="58999E0A" w14:textId="77777777" w:rsidR="0023593F" w:rsidRPr="009118AB" w:rsidRDefault="0023593F" w:rsidP="0023593F">
      <w:pPr>
        <w:jc w:val="both"/>
      </w:pPr>
    </w:p>
    <w:p w14:paraId="1850C219" w14:textId="2788FC97" w:rsidR="0023593F" w:rsidRPr="009118AB" w:rsidRDefault="0023593F" w:rsidP="0023593F">
      <w:pPr>
        <w:jc w:val="both"/>
      </w:pPr>
      <w:r w:rsidRPr="009118AB">
        <w:tab/>
        <w:t xml:space="preserve">- oder dem in </w:t>
      </w:r>
      <w:r w:rsidR="00D67EB8" w:rsidRPr="009118AB">
        <w:t>§ </w:t>
      </w:r>
      <w:r w:rsidRPr="009118AB">
        <w:t>4 Absatz 1 erwähnten Prozentsatz der Beteiligung des erstgenannten Unternehmens am Kapital des anderen Unternehmens</w:t>
      </w:r>
    </w:p>
    <w:p w14:paraId="6D32F21A" w14:textId="77777777" w:rsidR="0023593F" w:rsidRPr="009118AB" w:rsidRDefault="0023593F" w:rsidP="0023593F">
      <w:pPr>
        <w:jc w:val="both"/>
      </w:pPr>
    </w:p>
    <w:p w14:paraId="567EB20D" w14:textId="67B8BAC3" w:rsidR="0023593F" w:rsidRPr="009118AB" w:rsidRDefault="0023593F" w:rsidP="0023593F">
      <w:pPr>
        <w:jc w:val="both"/>
      </w:pPr>
      <w:r w:rsidRPr="009118AB">
        <w:tab/>
        <w:t xml:space="preserve">- oder dem in </w:t>
      </w:r>
      <w:r w:rsidR="00D67EB8" w:rsidRPr="009118AB">
        <w:t>§ </w:t>
      </w:r>
      <w:r w:rsidRPr="009118AB">
        <w:t>4 Absatz 1 erwähnten Prozentsatz der Beteiligung des anderen Unternehmens am Kapital des erstgenannten Unternehmens.</w:t>
      </w:r>
    </w:p>
    <w:p w14:paraId="5581780F" w14:textId="77777777" w:rsidR="0023593F" w:rsidRPr="009118AB" w:rsidRDefault="0023593F" w:rsidP="0023593F">
      <w:pPr>
        <w:jc w:val="both"/>
      </w:pPr>
    </w:p>
    <w:p w14:paraId="62E7C165" w14:textId="77777777" w:rsidR="0023593F" w:rsidRPr="009118AB" w:rsidRDefault="0023593F" w:rsidP="0023593F">
      <w:pPr>
        <w:jc w:val="both"/>
      </w:pPr>
      <w:r w:rsidRPr="009118AB">
        <w:tab/>
        <w:t>Bei neuen Unternehmen, deren erster, zweiter beziehungsweise dritter Besteuerungs</w:t>
      </w:r>
      <w:r w:rsidRPr="009118AB">
        <w:softHyphen/>
        <w:t>zeitraum noch nicht abgeschlossen ist, werden die zu berücksichtigenden Daten anhand einer im Laufe des Besteuerungszeitraums in gutem Glauben vorgenommenen Schätzung bestimmt.</w:t>
      </w:r>
    </w:p>
    <w:p w14:paraId="6FF339BF" w14:textId="77777777" w:rsidR="0023593F" w:rsidRPr="009118AB" w:rsidRDefault="0023593F" w:rsidP="0023593F">
      <w:pPr>
        <w:jc w:val="both"/>
      </w:pPr>
    </w:p>
    <w:p w14:paraId="60FB5077" w14:textId="52A4F448" w:rsidR="0023593F" w:rsidRPr="009118AB" w:rsidRDefault="0023593F" w:rsidP="0023593F">
      <w:pPr>
        <w:autoSpaceDE w:val="0"/>
        <w:autoSpaceDN w:val="0"/>
        <w:adjustRightInd w:val="0"/>
        <w:jc w:val="both"/>
      </w:pPr>
      <w:r w:rsidRPr="009118AB">
        <w:tab/>
        <w:t xml:space="preserve">Ein Unternehmen kann jedoch kein mittleres Unternehmen sein, wenn das Kapital oder die Stimmrechte des Unternehmens für mindestens 25 Prozent direkt oder indirekt von einem oder mehreren in Artikel 2 des Gesetzes vom 17. Juni 2016 über die öffentlichen Aufträge erwähnten öffentlichen Auftraggebern einzeln oder gemeinsam kontrolliert werden. In </w:t>
      </w:r>
      <w:r w:rsidR="00D67EB8" w:rsidRPr="009118AB">
        <w:t>§ </w:t>
      </w:r>
      <w:r w:rsidRPr="009118AB">
        <w:t>4 Absatz 2 erwähnte Fälle, die nicht mit dem vorerwähnten Unternehmen verbunden sind, werden für die Anwendung des vorliegenden Absatzes nicht als öffentliche Auftraggeber betrachtet.]</w:t>
      </w:r>
    </w:p>
    <w:p w14:paraId="244ADDA4" w14:textId="77777777" w:rsidR="0023593F" w:rsidRPr="009118AB" w:rsidRDefault="0023593F" w:rsidP="00681B7D">
      <w:pPr>
        <w:autoSpaceDE w:val="0"/>
        <w:autoSpaceDN w:val="0"/>
        <w:adjustRightInd w:val="0"/>
        <w:jc w:val="both"/>
      </w:pPr>
    </w:p>
    <w:p w14:paraId="6725B272" w14:textId="77777777" w:rsidR="00D2192B" w:rsidRPr="009118AB" w:rsidRDefault="00D2192B" w:rsidP="00D2192B">
      <w:pPr>
        <w:jc w:val="both"/>
      </w:pPr>
      <w:r w:rsidRPr="009118AB">
        <w:tab/>
        <w:t>[4/2. Unternehmen in Schwierigkeiten</w:t>
      </w:r>
    </w:p>
    <w:p w14:paraId="2C3B9F66" w14:textId="77777777" w:rsidR="00D2192B" w:rsidRPr="009118AB" w:rsidRDefault="00D2192B" w:rsidP="00D2192B">
      <w:pPr>
        <w:jc w:val="both"/>
      </w:pPr>
    </w:p>
    <w:p w14:paraId="065ED9AF" w14:textId="77777777" w:rsidR="00D2192B" w:rsidRPr="009118AB" w:rsidRDefault="00D2192B" w:rsidP="00D2192B">
      <w:pPr>
        <w:jc w:val="both"/>
      </w:pPr>
      <w:r w:rsidRPr="009118AB">
        <w:tab/>
        <w:t>Unter Unternehmen in Schwierigkeiten versteht man ein Unternehmen:</w:t>
      </w:r>
    </w:p>
    <w:p w14:paraId="7FD1C8F1" w14:textId="77777777" w:rsidR="00D2192B" w:rsidRPr="009118AB" w:rsidRDefault="00D2192B" w:rsidP="00D2192B">
      <w:pPr>
        <w:jc w:val="both"/>
      </w:pPr>
    </w:p>
    <w:p w14:paraId="2E16B27F" w14:textId="77777777" w:rsidR="00D2192B" w:rsidRPr="009118AB" w:rsidRDefault="00D2192B" w:rsidP="00D2192B">
      <w:pPr>
        <w:jc w:val="both"/>
      </w:pPr>
      <w:r w:rsidRPr="009118AB">
        <w:tab/>
        <w:t>- für das ein Konkursgeständnis abgelegt oder ein Konkursantrag eingereicht wird oder dem zu diesem Zeitpunkt die Verwaltung der Gesamtheit oder eines Teils der Aktiva entzogen wird wie in den Artikeln XX.32 und XX.100 des Wirtschaftsgesetzbuches vorgesehen,</w:t>
      </w:r>
    </w:p>
    <w:p w14:paraId="37CA902C" w14:textId="77777777" w:rsidR="00D2192B" w:rsidRPr="009118AB" w:rsidRDefault="00D2192B" w:rsidP="00D2192B">
      <w:pPr>
        <w:jc w:val="both"/>
      </w:pPr>
    </w:p>
    <w:p w14:paraId="7109C03F" w14:textId="77777777" w:rsidR="00D2192B" w:rsidRPr="009118AB" w:rsidRDefault="00D2192B" w:rsidP="00D2192B">
      <w:pPr>
        <w:jc w:val="both"/>
      </w:pPr>
      <w:r w:rsidRPr="009118AB">
        <w:tab/>
        <w:t>- für das ein Verfahren der gerichtlichen Reorganisation eröffnet wird wie in Buch XX Titel 5 des Wirtschaftsgesetzbuches vorgesehen,</w:t>
      </w:r>
    </w:p>
    <w:p w14:paraId="1E21300B" w14:textId="77777777" w:rsidR="00D2192B" w:rsidRPr="009118AB" w:rsidRDefault="00D2192B" w:rsidP="00D2192B">
      <w:pPr>
        <w:jc w:val="both"/>
      </w:pPr>
    </w:p>
    <w:p w14:paraId="7A3CD2E9" w14:textId="77777777" w:rsidR="00D2192B" w:rsidRPr="009118AB" w:rsidRDefault="00D2192B" w:rsidP="00D2192B">
      <w:pPr>
        <w:jc w:val="both"/>
      </w:pPr>
      <w:r w:rsidRPr="009118AB">
        <w:tab/>
        <w:t>- das eine aufgelöste Gesellschaft ist und in Liquidation befindlich ist,</w:t>
      </w:r>
    </w:p>
    <w:p w14:paraId="0A742856" w14:textId="77777777" w:rsidR="00D2192B" w:rsidRPr="009118AB" w:rsidRDefault="00D2192B" w:rsidP="00D2192B">
      <w:pPr>
        <w:jc w:val="both"/>
      </w:pPr>
    </w:p>
    <w:p w14:paraId="253C301A" w14:textId="0D8E3DE5" w:rsidR="00D2192B" w:rsidRPr="009118AB" w:rsidRDefault="00D2192B" w:rsidP="00D2192B">
      <w:pPr>
        <w:jc w:val="both"/>
      </w:pPr>
      <w:r w:rsidRPr="009118AB">
        <w:tab/>
        <w:t>- </w:t>
      </w:r>
      <w:r w:rsidR="0068768C" w:rsidRPr="009118AB">
        <w:t>[dessen Reinvermögen infolge von Verlusten negativ geworden ist oder auf einen Betrag gesunken ist, der niedriger als die Hälfte des Teils des Eigenkapitals ist, das aufgrund der Satzung oder des Gesetzes, dem das Unternehmen unterliegt, nicht verfügbar ist,]</w:t>
      </w:r>
    </w:p>
    <w:p w14:paraId="110E2C84" w14:textId="77777777" w:rsidR="00D2192B" w:rsidRPr="009118AB" w:rsidRDefault="00D2192B" w:rsidP="00D2192B">
      <w:pPr>
        <w:jc w:val="both"/>
      </w:pPr>
    </w:p>
    <w:p w14:paraId="67CE79F9" w14:textId="77777777" w:rsidR="00D2192B" w:rsidRPr="009118AB" w:rsidRDefault="00D2192B" w:rsidP="00D2192B">
      <w:pPr>
        <w:autoSpaceDE w:val="0"/>
        <w:autoSpaceDN w:val="0"/>
        <w:adjustRightInd w:val="0"/>
        <w:jc w:val="both"/>
      </w:pPr>
      <w:r w:rsidRPr="009118AB">
        <w:tab/>
        <w:t>- das Beihilfen erhalten hat, die von der Europäischen Kommission als Beihilfen angesehen werden, die mit den Leitlinien für staatliche Beihilfen zur Rettung und Umstruk</w:t>
      </w:r>
      <w:r w:rsidRPr="009118AB">
        <w:softHyphen/>
        <w:t>turierung nichtfinanzieller Unternehmen in Schwierigkeiten vom 31. Juli 2014 (</w:t>
      </w:r>
      <w:r w:rsidRPr="009118AB">
        <w:rPr>
          <w:i/>
        </w:rPr>
        <w:t>ABl.</w:t>
      </w:r>
      <w:r w:rsidRPr="009118AB">
        <w:t> C 249) oder mit Artikel 107 Absatz 3 Buchstabe </w:t>
      </w:r>
      <w:r w:rsidRPr="009118AB">
        <w:rPr>
          <w:i/>
        </w:rPr>
        <w:t>b)</w:t>
      </w:r>
      <w:r w:rsidRPr="009118AB">
        <w:t xml:space="preserve"> des Vertrags über die Arbeitsweise der Euro</w:t>
      </w:r>
      <w:r w:rsidRPr="009118AB">
        <w:softHyphen/>
        <w:t xml:space="preserve">päischen Union vereinbar sind, und das im Fall von Rettungsbeihilfen das Darlehen noch nicht </w:t>
      </w:r>
      <w:r w:rsidRPr="009118AB">
        <w:lastRenderedPageBreak/>
        <w:t>zurückgezahlt hat oder für das die Garantie noch nicht erloschen ist oder das im Fall von Umstrukturierungsbeihilfen noch immer einem Umstrukturierungsplan unterliegt.]</w:t>
      </w:r>
    </w:p>
    <w:p w14:paraId="772A443C" w14:textId="77777777" w:rsidR="00D2192B" w:rsidRPr="009118AB" w:rsidRDefault="00D2192B" w:rsidP="00681B7D">
      <w:pPr>
        <w:autoSpaceDE w:val="0"/>
        <w:autoSpaceDN w:val="0"/>
        <w:adjustRightInd w:val="0"/>
        <w:jc w:val="both"/>
      </w:pPr>
    </w:p>
    <w:p w14:paraId="2B889886" w14:textId="77777777" w:rsidR="00681B7D" w:rsidRPr="009118AB" w:rsidRDefault="00585974" w:rsidP="00681B7D">
      <w:pPr>
        <w:autoSpaceDE w:val="0"/>
        <w:autoSpaceDN w:val="0"/>
        <w:adjustRightInd w:val="0"/>
        <w:jc w:val="both"/>
      </w:pPr>
      <w:r w:rsidRPr="009118AB">
        <w:tab/>
      </w:r>
      <w:r w:rsidR="00477B8F" w:rsidRPr="009118AB">
        <w:t>5. Gesellschaften</w:t>
      </w:r>
    </w:p>
    <w:p w14:paraId="325027B8" w14:textId="77777777" w:rsidR="00681B7D" w:rsidRPr="009118AB" w:rsidRDefault="00681B7D" w:rsidP="00681B7D">
      <w:pPr>
        <w:autoSpaceDE w:val="0"/>
        <w:autoSpaceDN w:val="0"/>
        <w:adjustRightInd w:val="0"/>
        <w:jc w:val="both"/>
      </w:pPr>
    </w:p>
    <w:p w14:paraId="48108BEB" w14:textId="77777777" w:rsidR="00477B8F" w:rsidRPr="009118AB" w:rsidRDefault="00585974" w:rsidP="00681B7D">
      <w:pPr>
        <w:autoSpaceDE w:val="0"/>
        <w:autoSpaceDN w:val="0"/>
        <w:adjustRightInd w:val="0"/>
        <w:jc w:val="both"/>
      </w:pPr>
      <w:r w:rsidRPr="009118AB">
        <w:tab/>
      </w:r>
      <w:r w:rsidR="00477B8F" w:rsidRPr="009118AB">
        <w:t>Man versteht unter:</w:t>
      </w:r>
    </w:p>
    <w:p w14:paraId="3DD49A8D" w14:textId="77777777" w:rsidR="00681B7D" w:rsidRPr="009118AB" w:rsidRDefault="00681B7D" w:rsidP="00681B7D">
      <w:pPr>
        <w:autoSpaceDE w:val="0"/>
        <w:autoSpaceDN w:val="0"/>
        <w:adjustRightInd w:val="0"/>
        <w:jc w:val="both"/>
      </w:pPr>
    </w:p>
    <w:p w14:paraId="7BF0FEB1" w14:textId="77777777" w:rsidR="000533F3" w:rsidRPr="009118AB" w:rsidRDefault="00585974" w:rsidP="000533F3">
      <w:pPr>
        <w:jc w:val="both"/>
      </w:pPr>
      <w:r w:rsidRPr="009118AB">
        <w:rPr>
          <w:i/>
          <w:iCs/>
        </w:rPr>
        <w:tab/>
      </w:r>
      <w:r w:rsidR="00477B8F" w:rsidRPr="009118AB">
        <w:rPr>
          <w:i/>
          <w:iCs/>
        </w:rPr>
        <w:t>a)</w:t>
      </w:r>
      <w:r w:rsidR="00477B8F" w:rsidRPr="009118AB">
        <w:t xml:space="preserve"> Gesellschaften: Gesellschaften, Vereinigungen, Niederlassungen oder Einrichtungen, die </w:t>
      </w:r>
      <w:r w:rsidR="000533F3" w:rsidRPr="009118AB">
        <w:t>[…]</w:t>
      </w:r>
      <w:r w:rsidR="00477B8F" w:rsidRPr="009118AB">
        <w:t xml:space="preserve"> ein Unternehmen beziehungsweise Geschäfte mit gewinnbringendem Zweck betreiben</w:t>
      </w:r>
      <w:r w:rsidR="000533F3" w:rsidRPr="009118AB">
        <w:t xml:space="preserve"> [und die:</w:t>
      </w:r>
    </w:p>
    <w:p w14:paraId="6767B7BF" w14:textId="77777777" w:rsidR="000533F3" w:rsidRPr="009118AB" w:rsidRDefault="000533F3" w:rsidP="000533F3">
      <w:pPr>
        <w:jc w:val="both"/>
      </w:pPr>
    </w:p>
    <w:p w14:paraId="110114BF" w14:textId="77777777" w:rsidR="000533F3" w:rsidRPr="009118AB" w:rsidRDefault="000533F3" w:rsidP="000533F3">
      <w:pPr>
        <w:jc w:val="both"/>
      </w:pPr>
      <w:r w:rsidRPr="009118AB">
        <w:tab/>
        <w:t>- entweder Rechtspersönlichkeit besitzen aufgrund des belgischen oder ausländischen Rechts, dem sie unterliegen,</w:t>
      </w:r>
    </w:p>
    <w:p w14:paraId="7185AE9D" w14:textId="77777777" w:rsidR="000533F3" w:rsidRPr="009118AB" w:rsidRDefault="000533F3" w:rsidP="000533F3">
      <w:pPr>
        <w:jc w:val="both"/>
      </w:pPr>
    </w:p>
    <w:p w14:paraId="2039E772" w14:textId="3088A4F6" w:rsidR="00681B7D" w:rsidRPr="009118AB" w:rsidRDefault="000533F3" w:rsidP="000533F3">
      <w:pPr>
        <w:autoSpaceDE w:val="0"/>
        <w:autoSpaceDN w:val="0"/>
        <w:adjustRightInd w:val="0"/>
        <w:jc w:val="both"/>
      </w:pPr>
      <w:r w:rsidRPr="009118AB">
        <w:tab/>
        <w:t>- oder einem ausländischen Recht unterliegen, das ihnen keine Rechtspersönlichkeit verleiht, jedoch eine Rechtsform haben, die mit der einer Gesellschaft mit Rechtspersönlichkeit nach belgischem Recht vergleichbar ist, und der Begriffsbestimmung der inländischen Gesellschaften wie in nachstehendem Buchstaben </w:t>
      </w:r>
      <w:r w:rsidRPr="009118AB">
        <w:rPr>
          <w:i/>
          <w:iCs/>
        </w:rPr>
        <w:t>b)</w:t>
      </w:r>
      <w:r w:rsidRPr="009118AB">
        <w:t xml:space="preserve"> erwähnt entsprechen]</w:t>
      </w:r>
      <w:r w:rsidR="00477B8F" w:rsidRPr="009118AB">
        <w:t>.</w:t>
      </w:r>
    </w:p>
    <w:p w14:paraId="6870BA2E" w14:textId="77777777" w:rsidR="00681B7D" w:rsidRPr="009118AB" w:rsidRDefault="00681B7D" w:rsidP="00681B7D">
      <w:pPr>
        <w:autoSpaceDE w:val="0"/>
        <w:autoSpaceDN w:val="0"/>
        <w:adjustRightInd w:val="0"/>
        <w:jc w:val="both"/>
      </w:pPr>
    </w:p>
    <w:p w14:paraId="47A378A3" w14:textId="77777777" w:rsidR="002008CA" w:rsidRPr="009118AB" w:rsidRDefault="00585974" w:rsidP="002008CA">
      <w:pPr>
        <w:autoSpaceDE w:val="0"/>
        <w:autoSpaceDN w:val="0"/>
        <w:adjustRightInd w:val="0"/>
        <w:jc w:val="both"/>
      </w:pPr>
      <w:r w:rsidRPr="009118AB">
        <w:tab/>
      </w:r>
      <w:r w:rsidR="00477B8F" w:rsidRPr="009118AB">
        <w:t>Einrichtungen belgischen Rechts, die Rechtspersönlichkeit besitzen, die für die Anwendung der Einkommensteuern jedoch als Einrichtungen gelten, die keine Rechtspersönlichkeit besitzen, werden nicht als Gesellschaften angesehen,</w:t>
      </w:r>
    </w:p>
    <w:p w14:paraId="6557DDB4" w14:textId="77777777" w:rsidR="00434769" w:rsidRPr="009118AB" w:rsidRDefault="00434769" w:rsidP="002008CA">
      <w:pPr>
        <w:autoSpaceDE w:val="0"/>
        <w:autoSpaceDN w:val="0"/>
        <w:adjustRightInd w:val="0"/>
        <w:jc w:val="both"/>
        <w:rPr>
          <w:i/>
          <w:iCs/>
        </w:rPr>
      </w:pPr>
    </w:p>
    <w:p w14:paraId="76E13015" w14:textId="1AB3DE2D" w:rsidR="002008CA" w:rsidRPr="009118AB" w:rsidRDefault="00585974" w:rsidP="002008CA">
      <w:pPr>
        <w:autoSpaceDE w:val="0"/>
        <w:autoSpaceDN w:val="0"/>
        <w:adjustRightInd w:val="0"/>
        <w:jc w:val="both"/>
      </w:pPr>
      <w:r w:rsidRPr="009118AB">
        <w:rPr>
          <w:i/>
          <w:iCs/>
        </w:rPr>
        <w:tab/>
      </w:r>
      <w:r w:rsidR="00477B8F" w:rsidRPr="009118AB">
        <w:rPr>
          <w:i/>
          <w:iCs/>
        </w:rPr>
        <w:t xml:space="preserve">b) </w:t>
      </w:r>
      <w:r w:rsidR="00477B8F" w:rsidRPr="009118AB">
        <w:t xml:space="preserve">inländischen Gesellschaften: Gesellschaften, deren </w:t>
      </w:r>
      <w:r w:rsidR="000533F3" w:rsidRPr="009118AB">
        <w:t>[…]</w:t>
      </w:r>
      <w:r w:rsidR="00477B8F" w:rsidRPr="009118AB">
        <w:t xml:space="preserve"> Hauptniederlassung oder Geschäftsführungs- oder Verwaltungssitz in Belgien liegt und die nicht von der Gesellsc</w:t>
      </w:r>
      <w:r w:rsidR="000533F3" w:rsidRPr="009118AB">
        <w:t>haftssteuer ausgeschlossen sind.</w:t>
      </w:r>
    </w:p>
    <w:p w14:paraId="015F2158" w14:textId="77777777" w:rsidR="000533F3" w:rsidRPr="009118AB" w:rsidRDefault="000533F3" w:rsidP="002008CA">
      <w:pPr>
        <w:autoSpaceDE w:val="0"/>
        <w:autoSpaceDN w:val="0"/>
        <w:adjustRightInd w:val="0"/>
        <w:jc w:val="both"/>
      </w:pPr>
    </w:p>
    <w:p w14:paraId="398EDAE7" w14:textId="0F0D271F" w:rsidR="000533F3" w:rsidRPr="009118AB" w:rsidRDefault="000533F3" w:rsidP="002008CA">
      <w:pPr>
        <w:autoSpaceDE w:val="0"/>
        <w:autoSpaceDN w:val="0"/>
        <w:adjustRightInd w:val="0"/>
        <w:jc w:val="both"/>
      </w:pPr>
      <w:r w:rsidRPr="009118AB">
        <w:tab/>
        <w:t>[Außer bei Beweis des Gegenteils wird davon ausgegangen, dass Gesellschaften, die ihren satzungsmäßigen Sitz in Belgien haben, dort auch ihre Hauptniederlassung oder ihren Geschäftsführungs- oder Verwaltungssitz haben. Der Beweis des Gegenteils ist jedoch nur zulässig, wenn darüber hinaus nachgewiesen wird, dass der Steuerwohnsitz der Gesellschaft sich in einem anderen Staat als Belgien befindet gemäß den steuerrechtlichen Vorschriften dieses anderen Staates,]</w:t>
      </w:r>
    </w:p>
    <w:p w14:paraId="37FE92D6" w14:textId="77777777" w:rsidR="002008CA" w:rsidRPr="009118AB" w:rsidRDefault="002008CA" w:rsidP="002008CA">
      <w:pPr>
        <w:autoSpaceDE w:val="0"/>
        <w:autoSpaceDN w:val="0"/>
        <w:adjustRightInd w:val="0"/>
        <w:jc w:val="both"/>
      </w:pPr>
    </w:p>
    <w:p w14:paraId="3C53E34D" w14:textId="77777777" w:rsidR="002008CA" w:rsidRPr="009118AB" w:rsidRDefault="00585974" w:rsidP="002008CA">
      <w:pPr>
        <w:autoSpaceDE w:val="0"/>
        <w:autoSpaceDN w:val="0"/>
        <w:adjustRightInd w:val="0"/>
        <w:jc w:val="both"/>
      </w:pPr>
      <w:r w:rsidRPr="009118AB">
        <w:tab/>
      </w:r>
      <w:r w:rsidR="00206A8C" w:rsidRPr="009118AB">
        <w:t>[</w:t>
      </w:r>
      <w:r w:rsidR="00206A8C" w:rsidRPr="009118AB">
        <w:rPr>
          <w:i/>
        </w:rPr>
        <w:t>bbis)</w:t>
      </w:r>
      <w:r w:rsidR="00206A8C" w:rsidRPr="009118AB">
        <w:t xml:space="preserve"> innereuropäischen Gesellschaften: Gesellschaften eines Mitgliedstaates der Eu</w:t>
      </w:r>
      <w:r w:rsidR="002008CA" w:rsidRPr="009118AB">
        <w:t>ropäischen Union</w:t>
      </w:r>
    </w:p>
    <w:p w14:paraId="7943C65A" w14:textId="77777777" w:rsidR="002008CA" w:rsidRPr="009118AB" w:rsidRDefault="002008CA" w:rsidP="002008CA">
      <w:pPr>
        <w:autoSpaceDE w:val="0"/>
        <w:autoSpaceDN w:val="0"/>
        <w:adjustRightInd w:val="0"/>
        <w:jc w:val="both"/>
      </w:pPr>
    </w:p>
    <w:p w14:paraId="381D728B" w14:textId="77777777" w:rsidR="00206A8C" w:rsidRPr="009118AB" w:rsidRDefault="00585974" w:rsidP="002008CA">
      <w:pPr>
        <w:autoSpaceDE w:val="0"/>
        <w:autoSpaceDN w:val="0"/>
        <w:adjustRightInd w:val="0"/>
        <w:jc w:val="both"/>
      </w:pPr>
      <w:r w:rsidRPr="009118AB">
        <w:tab/>
      </w:r>
      <w:r w:rsidR="00206A8C" w:rsidRPr="009118AB">
        <w:t>- die keine inländischen Gesellschaften sind,</w:t>
      </w:r>
    </w:p>
    <w:p w14:paraId="5CBFFE1C" w14:textId="77777777" w:rsidR="00206A8C" w:rsidRPr="009118AB" w:rsidRDefault="00206A8C" w:rsidP="00206A8C">
      <w:pPr>
        <w:jc w:val="both"/>
      </w:pPr>
    </w:p>
    <w:p w14:paraId="4C845A2D" w14:textId="595F7991" w:rsidR="00206A8C" w:rsidRPr="009118AB" w:rsidRDefault="00585974" w:rsidP="00206A8C">
      <w:pPr>
        <w:jc w:val="both"/>
      </w:pPr>
      <w:r w:rsidRPr="009118AB">
        <w:tab/>
      </w:r>
      <w:r w:rsidR="00206A8C" w:rsidRPr="009118AB">
        <w:t xml:space="preserve">- die eine Rechtsform haben, die erwähnt ist </w:t>
      </w:r>
      <w:r w:rsidR="00B75EB8" w:rsidRPr="009118AB">
        <w:t xml:space="preserve">[in Anhang I Teil A zur Richtlinie 2009/133/EG des Rates vom 19. Oktober 2009] </w:t>
      </w:r>
      <w:r w:rsidR="00206A8C" w:rsidRPr="009118AB">
        <w:t>über das gemeinsame Steuersystem für Fusionen, Spaltungen, Abspaltungen, die Einbringung von Unternehmensteilen und den Austausch von Anteilen, die Gesellschaften verschiedener Mitgliedstaaten betreffen, sowie für die Verlegung des Sitzes einer Europäischen Gesellschaft oder einer Europäischen Genossenschaft von einem Mitgliedstaat in einen anderen Mitgliedstaat</w:t>
      </w:r>
      <w:r w:rsidR="00B75EB8" w:rsidRPr="009118AB">
        <w:t xml:space="preserve"> […]</w:t>
      </w:r>
      <w:r w:rsidR="000533F3" w:rsidRPr="009118AB">
        <w:t xml:space="preserve">[, wobei in Bezug auf die in Buchstabe b) dieses Anhangs erwähnten Gesellschaften nach belgischem Recht die Verweise auf "société privée à responsabilité limitée"/"besloten vennootschap met beperkte aansprakelijkheid", auf "société coopérative à responsabilité limitée"/"coöperatieve vennootschap met beperkte aansprakelijkheid" und "société coopérative à responsabilité illimitée"/"coöperatieve vennootschap met onbeperkte aansprakelijkheid" und auf "société en </w:t>
      </w:r>
      <w:r w:rsidR="000533F3" w:rsidRPr="009118AB">
        <w:lastRenderedPageBreak/>
        <w:t>commandite simple"/"gewone commanditaire vennootschap", das heißt auf die "Privatgesellschaft mit beschränkter Haftung", auf die "Genossenschaft mit beschränkter Haftung" und die "Genossenschaft mit unbeschränkter Haftung" und auf die "einfache Kommanditgesellschaft", auch als Verweis auf "société à responsabilité limitée"/"besloten vennootschap", "société coopérative"/"coöperatieve vennootschap" und "société en commandite"/"commanditaire vennootschap", das heißt auf die "Gesellschaft mit beschränkter Haftung", die "Genossenschaft" beziehungsweise die "Kommanditgesellschaft", zu verstehen sind]</w:t>
      </w:r>
      <w:r w:rsidR="00206A8C" w:rsidRPr="009118AB">
        <w:t>,</w:t>
      </w:r>
    </w:p>
    <w:p w14:paraId="0C8460AB" w14:textId="77777777" w:rsidR="00206A8C" w:rsidRPr="009118AB" w:rsidRDefault="00206A8C" w:rsidP="00206A8C">
      <w:pPr>
        <w:jc w:val="both"/>
      </w:pPr>
    </w:p>
    <w:p w14:paraId="4D7D3E50" w14:textId="77777777" w:rsidR="002008CA" w:rsidRPr="009118AB" w:rsidRDefault="00585974" w:rsidP="002008CA">
      <w:pPr>
        <w:jc w:val="both"/>
      </w:pPr>
      <w:r w:rsidRPr="009118AB">
        <w:tab/>
      </w:r>
      <w:r w:rsidR="00206A8C" w:rsidRPr="009118AB">
        <w:t>- die gemäß den steuerrechtlichen Vorschriften eines anderen Mitgliedstaates der Europäischen Union als Belgien als in diesem Staat ansässig angesehen werden, ohne aufgrund eines Doppelbesteuerungsabkommens mit einem dritten Staat als außerhalb der Europäischen Union ansässig angesehen zu werden, und</w:t>
      </w:r>
    </w:p>
    <w:p w14:paraId="58CC53C2" w14:textId="77777777" w:rsidR="002008CA" w:rsidRPr="009118AB" w:rsidRDefault="002008CA" w:rsidP="002008CA">
      <w:pPr>
        <w:jc w:val="both"/>
      </w:pPr>
    </w:p>
    <w:p w14:paraId="31B62B5E" w14:textId="77777777" w:rsidR="002008CA" w:rsidRPr="009118AB" w:rsidRDefault="00585974" w:rsidP="002008CA">
      <w:pPr>
        <w:jc w:val="both"/>
      </w:pPr>
      <w:r w:rsidRPr="009118AB">
        <w:tab/>
      </w:r>
      <w:r w:rsidR="00206A8C" w:rsidRPr="009118AB">
        <w:t xml:space="preserve">- die ohne Wahlmöglichkeit einer der </w:t>
      </w:r>
      <w:r w:rsidR="00B75EB8" w:rsidRPr="009118AB">
        <w:t>[in Anhang I Teil B]</w:t>
      </w:r>
      <w:r w:rsidR="00206A8C" w:rsidRPr="009118AB">
        <w:t xml:space="preserve"> der vorerwähnten Richtlinie aufgezählten Steuern, die der Gesellschaftssteuer entsprechen, unterliegen, ohne davon befreit zu sein,]</w:t>
      </w:r>
    </w:p>
    <w:p w14:paraId="34AA9296" w14:textId="77777777" w:rsidR="002008CA" w:rsidRPr="009118AB" w:rsidRDefault="002008CA" w:rsidP="002008CA">
      <w:pPr>
        <w:jc w:val="both"/>
      </w:pPr>
    </w:p>
    <w:p w14:paraId="0EC64B61" w14:textId="0A23091B" w:rsidR="002008CA" w:rsidRPr="009118AB" w:rsidRDefault="00585974" w:rsidP="002008CA">
      <w:pPr>
        <w:jc w:val="both"/>
      </w:pPr>
      <w:r w:rsidRPr="009118AB">
        <w:rPr>
          <w:i/>
          <w:iCs/>
        </w:rPr>
        <w:tab/>
      </w:r>
      <w:r w:rsidR="00477B8F" w:rsidRPr="009118AB">
        <w:rPr>
          <w:i/>
          <w:iCs/>
        </w:rPr>
        <w:t xml:space="preserve">c) </w:t>
      </w:r>
      <w:r w:rsidR="00477B8F" w:rsidRPr="009118AB">
        <w:t xml:space="preserve">ausländischen Gesellschaften: </w:t>
      </w:r>
      <w:r w:rsidR="000533F3" w:rsidRPr="009118AB">
        <w:t>[unbeschadet der Nummer 5 Buchstabe </w:t>
      </w:r>
      <w:r w:rsidR="000533F3" w:rsidRPr="009118AB">
        <w:rPr>
          <w:i/>
          <w:iCs/>
        </w:rPr>
        <w:t>b)</w:t>
      </w:r>
      <w:r w:rsidR="000533F3" w:rsidRPr="009118AB">
        <w:t xml:space="preserve">] </w:t>
      </w:r>
      <w:r w:rsidR="00477B8F" w:rsidRPr="009118AB">
        <w:t xml:space="preserve">Gesellschaften, deren </w:t>
      </w:r>
      <w:r w:rsidR="000533F3" w:rsidRPr="009118AB">
        <w:t>[…]</w:t>
      </w:r>
      <w:r w:rsidR="00477B8F" w:rsidRPr="009118AB">
        <w:t xml:space="preserve"> Hauptniederlassung oder Geschäftsführungs- oder Verwaltungssitz nicht in Belgien liegt,</w:t>
      </w:r>
    </w:p>
    <w:p w14:paraId="59F975C1" w14:textId="77777777" w:rsidR="00FC2DA4" w:rsidRPr="009118AB" w:rsidRDefault="00FC2DA4" w:rsidP="002008CA">
      <w:pPr>
        <w:jc w:val="both"/>
      </w:pPr>
    </w:p>
    <w:p w14:paraId="4BAE0436" w14:textId="731DCC01" w:rsidR="00FC2DA4" w:rsidRPr="009118AB" w:rsidRDefault="00FC2DA4" w:rsidP="002008CA">
      <w:pPr>
        <w:jc w:val="both"/>
      </w:pPr>
      <w:r w:rsidRPr="009118AB">
        <w:tab/>
        <w:t>[</w:t>
      </w:r>
      <w:r w:rsidRPr="009118AB">
        <w:rPr>
          <w:rFonts w:eastAsia="Calibri"/>
          <w:i/>
          <w:iCs/>
          <w:kern w:val="2"/>
          <w:szCs w:val="22"/>
          <w:lang w:eastAsia="en-US"/>
          <w14:ligatures w14:val="standardContextual"/>
        </w:rPr>
        <w:t>cbis)</w:t>
      </w:r>
      <w:r w:rsidRPr="009118AB">
        <w:rPr>
          <w:rFonts w:eastAsia="Calibri"/>
          <w:kern w:val="2"/>
          <w:szCs w:val="22"/>
          <w:lang w:eastAsia="en-US"/>
          <w14:ligatures w14:val="standardContextual"/>
        </w:rPr>
        <w:t> kleinen Gesellschaften: Gesellschaften, die aufgrund von Artikel 1:24 §</w:t>
      </w:r>
      <w:r w:rsidR="00D67EB8" w:rsidRPr="009118AB">
        <w:rPr>
          <w:rFonts w:eastAsia="Calibri"/>
          <w:kern w:val="2"/>
          <w:szCs w:val="22"/>
          <w:lang w:eastAsia="en-US"/>
          <w14:ligatures w14:val="standardContextual"/>
        </w:rPr>
        <w:t>§ </w:t>
      </w:r>
      <w:r w:rsidRPr="009118AB">
        <w:rPr>
          <w:rFonts w:eastAsia="Calibri"/>
          <w:kern w:val="2"/>
          <w:szCs w:val="22"/>
          <w:lang w:eastAsia="en-US"/>
          <w14:ligatures w14:val="standardContextual"/>
        </w:rPr>
        <w:t>1 bis 6 des Gesetzbuches der Gesellschaften und Vereinigungen als kleine Gesellschaften gelten oder die</w:t>
      </w:r>
      <w:r w:rsidR="00D67EB8" w:rsidRPr="009118AB">
        <w:rPr>
          <w:rFonts w:eastAsia="Calibri"/>
          <w:kern w:val="2"/>
          <w:szCs w:val="22"/>
          <w:lang w:eastAsia="en-US"/>
          <w14:ligatures w14:val="standardContextual"/>
        </w:rPr>
        <w:t> - </w:t>
      </w:r>
      <w:r w:rsidRPr="009118AB">
        <w:rPr>
          <w:rFonts w:eastAsia="Calibri"/>
          <w:kern w:val="2"/>
          <w:szCs w:val="22"/>
          <w:lang w:eastAsia="en-US"/>
          <w14:ligatures w14:val="standardContextual"/>
        </w:rPr>
        <w:t>wenn vorerwähnter Artikel 1:24 nicht auf sie anwendbar ist</w:t>
      </w:r>
      <w:r w:rsidR="00D67EB8" w:rsidRPr="009118AB">
        <w:rPr>
          <w:rFonts w:eastAsia="Calibri"/>
          <w:kern w:val="2"/>
          <w:szCs w:val="22"/>
          <w:lang w:eastAsia="en-US"/>
          <w14:ligatures w14:val="standardContextual"/>
        </w:rPr>
        <w:t> - </w:t>
      </w:r>
      <w:r w:rsidRPr="009118AB">
        <w:rPr>
          <w:rFonts w:eastAsia="Calibri"/>
          <w:kern w:val="2"/>
          <w:szCs w:val="22"/>
          <w:lang w:eastAsia="en-US"/>
          <w14:ligatures w14:val="standardContextual"/>
        </w:rPr>
        <w:t>die Kriterien des vorerwähnten Artikels 1:24 §</w:t>
      </w:r>
      <w:r w:rsidR="00D67EB8" w:rsidRPr="009118AB">
        <w:rPr>
          <w:rFonts w:eastAsia="Calibri"/>
          <w:kern w:val="2"/>
          <w:szCs w:val="22"/>
          <w:lang w:eastAsia="en-US"/>
          <w14:ligatures w14:val="standardContextual"/>
        </w:rPr>
        <w:t>§ </w:t>
      </w:r>
      <w:r w:rsidRPr="009118AB">
        <w:rPr>
          <w:rFonts w:eastAsia="Calibri"/>
          <w:kern w:val="2"/>
          <w:szCs w:val="22"/>
          <w:lang w:eastAsia="en-US"/>
          <w14:ligatures w14:val="standardContextual"/>
        </w:rPr>
        <w:t>1 bis 6 mutatis mutandis erfüllen,</w:t>
      </w:r>
      <w:r w:rsidRPr="009118AB">
        <w:t>]</w:t>
      </w:r>
    </w:p>
    <w:p w14:paraId="68467545" w14:textId="77777777" w:rsidR="004D154D" w:rsidRPr="009118AB" w:rsidRDefault="004D154D" w:rsidP="002008CA">
      <w:pPr>
        <w:jc w:val="both"/>
        <w:rPr>
          <w:i/>
          <w:iCs/>
        </w:rPr>
      </w:pPr>
    </w:p>
    <w:p w14:paraId="720DB846" w14:textId="77777777" w:rsidR="002008CA" w:rsidRPr="009118AB" w:rsidRDefault="00585974" w:rsidP="002008CA">
      <w:pPr>
        <w:jc w:val="both"/>
      </w:pPr>
      <w:r w:rsidRPr="009118AB">
        <w:rPr>
          <w:i/>
          <w:iCs/>
        </w:rPr>
        <w:tab/>
      </w:r>
      <w:r w:rsidR="00477B8F" w:rsidRPr="009118AB">
        <w:rPr>
          <w:i/>
          <w:iCs/>
        </w:rPr>
        <w:t xml:space="preserve">d) </w:t>
      </w:r>
      <w:r w:rsidR="00477B8F" w:rsidRPr="009118AB">
        <w:t>Finanzierungsgesellschaften: Gesellschaften, deren Tätigkeit ausschließlich oder hauptsächlich darin besteht, Finanzdienstleistungen zugunsten von Gesellschaften zu erbringen, die mit der dienstleistenden Gesellschaft weder direkt noch indirekt eine Gruppe bilden,</w:t>
      </w:r>
    </w:p>
    <w:p w14:paraId="136337F7" w14:textId="77777777" w:rsidR="002008CA" w:rsidRPr="009118AB" w:rsidRDefault="002008CA" w:rsidP="002008CA">
      <w:pPr>
        <w:jc w:val="both"/>
      </w:pPr>
    </w:p>
    <w:p w14:paraId="6066ACCF" w14:textId="77777777" w:rsidR="002008CA" w:rsidRPr="009118AB" w:rsidRDefault="00585974" w:rsidP="002008CA">
      <w:pPr>
        <w:jc w:val="both"/>
      </w:pPr>
      <w:r w:rsidRPr="009118AB">
        <w:rPr>
          <w:i/>
          <w:iCs/>
        </w:rPr>
        <w:tab/>
      </w:r>
      <w:r w:rsidR="00477B8F" w:rsidRPr="009118AB">
        <w:rPr>
          <w:i/>
          <w:iCs/>
        </w:rPr>
        <w:t>e)</w:t>
      </w:r>
      <w:r w:rsidR="00477B8F" w:rsidRPr="009118AB">
        <w:t xml:space="preserve"> Geldanlagegesellschaften: Gesellschaften, deren Tätigkeit ausschließlich oder hauptsächlich darin besteht, Geldanlagen zu tätigen,</w:t>
      </w:r>
    </w:p>
    <w:p w14:paraId="5E00763C" w14:textId="77777777" w:rsidR="002008CA" w:rsidRPr="009118AB" w:rsidRDefault="002008CA" w:rsidP="002008CA">
      <w:pPr>
        <w:jc w:val="both"/>
      </w:pPr>
    </w:p>
    <w:p w14:paraId="52C4D15C" w14:textId="77777777" w:rsidR="002008CA" w:rsidRPr="009118AB" w:rsidRDefault="00585974" w:rsidP="002008CA">
      <w:pPr>
        <w:jc w:val="both"/>
      </w:pPr>
      <w:r w:rsidRPr="009118AB">
        <w:rPr>
          <w:i/>
          <w:iCs/>
        </w:rPr>
        <w:tab/>
      </w:r>
      <w:r w:rsidR="00477B8F" w:rsidRPr="009118AB">
        <w:rPr>
          <w:i/>
          <w:iCs/>
        </w:rPr>
        <w:t>f)</w:t>
      </w:r>
      <w:r w:rsidR="00477B8F" w:rsidRPr="009118AB">
        <w:t xml:space="preserve"> Investmentgesellschaften: Gesellschaften, deren Zweck darin besteht, gemei</w:t>
      </w:r>
      <w:r w:rsidR="001F135B" w:rsidRPr="009118AB">
        <w:t>nsame Kapitalanlagen zu tätigen,</w:t>
      </w:r>
    </w:p>
    <w:p w14:paraId="63A09009" w14:textId="77777777" w:rsidR="001F135B" w:rsidRPr="009118AB" w:rsidRDefault="001F135B" w:rsidP="002008CA">
      <w:pPr>
        <w:jc w:val="both"/>
      </w:pPr>
    </w:p>
    <w:p w14:paraId="21C28C67" w14:textId="77777777" w:rsidR="001F135B" w:rsidRPr="009118AB" w:rsidRDefault="00585974" w:rsidP="002008CA">
      <w:pPr>
        <w:jc w:val="both"/>
      </w:pPr>
      <w:r w:rsidRPr="009118AB">
        <w:tab/>
      </w:r>
      <w:r w:rsidR="001F135B" w:rsidRPr="009118AB">
        <w:t>[</w:t>
      </w:r>
      <w:r w:rsidR="001F135B" w:rsidRPr="009118AB">
        <w:rPr>
          <w:i/>
        </w:rPr>
        <w:t>g)</w:t>
      </w:r>
      <w:r w:rsidR="001F135B" w:rsidRPr="009118AB">
        <w:t> beaufsichtigten Immobiliengesellschaften: öffentliche oder institutionelle beauf</w:t>
      </w:r>
      <w:r w:rsidR="001F135B" w:rsidRPr="009118AB">
        <w:softHyphen/>
        <w:t>sichtigte Immobiliengesellschaften wie in Artikel 2 des Gesetzes vom 12. Mai 2014 über die beaufsichtigten I</w:t>
      </w:r>
      <w:r w:rsidR="00923F2F" w:rsidRPr="009118AB">
        <w:t>mmobiliengesellschaften erwähnt,</w:t>
      </w:r>
      <w:r w:rsidR="001F135B" w:rsidRPr="009118AB">
        <w:t>]</w:t>
      </w:r>
    </w:p>
    <w:p w14:paraId="3F910ACF" w14:textId="77777777" w:rsidR="00923F2F" w:rsidRPr="009118AB" w:rsidRDefault="00923F2F" w:rsidP="002008CA">
      <w:pPr>
        <w:jc w:val="both"/>
      </w:pPr>
    </w:p>
    <w:p w14:paraId="3A58744D" w14:textId="3B3E2E0E" w:rsidR="00923F2F" w:rsidRPr="009118AB" w:rsidRDefault="00585974" w:rsidP="002008CA">
      <w:pPr>
        <w:jc w:val="both"/>
      </w:pPr>
      <w:r w:rsidRPr="009118AB">
        <w:tab/>
      </w:r>
      <w:r w:rsidR="00923F2F" w:rsidRPr="009118AB">
        <w:t>[</w:t>
      </w:r>
      <w:r w:rsidR="00923F2F" w:rsidRPr="009118AB">
        <w:rPr>
          <w:i/>
        </w:rPr>
        <w:t>h)</w:t>
      </w:r>
      <w:r w:rsidR="00923F2F" w:rsidRPr="009118AB">
        <w:t> Investmentgesellschaften mit fixem Kapital für Immobilien: Investment</w:t>
      </w:r>
      <w:r w:rsidR="00923F2F" w:rsidRPr="009118AB">
        <w:softHyphen/>
        <w:t xml:space="preserve">gesellschaften mit fixem Kapital wie in den Artikeln 195 und 288 des Gesetzes vom 19. April 2014 über alternative Organismen für gemeinsame Anlagen und ihre Verwalter erwähnt, deren ausschließlicher Zweck darin besteht, Anlagen in der in Artikel 183 Absatz 1 </w:t>
      </w:r>
      <w:r w:rsidR="00D67EB8" w:rsidRPr="009118AB">
        <w:t>Nr. </w:t>
      </w:r>
      <w:r w:rsidR="00923F2F" w:rsidRPr="009118AB">
        <w:t>3 desselben Gesetzes erwähnten Kategorie von zugelassenen Anlagen zu tätigen</w:t>
      </w:r>
      <w:r w:rsidR="000D5C7F" w:rsidRPr="009118AB">
        <w:t>,</w:t>
      </w:r>
      <w:r w:rsidR="00923F2F" w:rsidRPr="009118AB">
        <w:t>]</w:t>
      </w:r>
    </w:p>
    <w:p w14:paraId="27055B76" w14:textId="77777777" w:rsidR="000D5C7F" w:rsidRPr="009118AB" w:rsidRDefault="000D5C7F" w:rsidP="002008CA">
      <w:pPr>
        <w:jc w:val="both"/>
      </w:pPr>
    </w:p>
    <w:p w14:paraId="768B7230" w14:textId="75798C5F" w:rsidR="000D5C7F" w:rsidRPr="009118AB" w:rsidRDefault="000D5C7F" w:rsidP="002008CA">
      <w:pPr>
        <w:jc w:val="both"/>
      </w:pPr>
      <w:r w:rsidRPr="009118AB">
        <w:tab/>
        <w:t>[</w:t>
      </w:r>
      <w:r w:rsidRPr="009118AB">
        <w:rPr>
          <w:i/>
          <w:iCs/>
          <w:lang w:eastAsia="fr-BE"/>
        </w:rPr>
        <w:t>i)</w:t>
      </w:r>
      <w:r w:rsidRPr="009118AB">
        <w:rPr>
          <w:lang w:eastAsia="fr-BE"/>
        </w:rPr>
        <w:t xml:space="preserve"> europäischen langfristigen Investmentfonds: alternative Organismen für gemeinsame Anlagen, die die Satzungsform haben, in der Form einer Gesellschaft mit </w:t>
      </w:r>
      <w:r w:rsidRPr="009118AB">
        <w:rPr>
          <w:lang w:eastAsia="fr-BE"/>
        </w:rPr>
        <w:lastRenderedPageBreak/>
        <w:t>Rechtspersönlichkeit nach belgischem Recht gegründet worden sind und vor Aufnahme ihrer Tätigkeiten von der FSMA zugelassen worden sind gemäß der Verordnung (EU) 2015/760 des Europäischen Parlaments und des Rates vom 29. April 2015 über europäische langfristige Investmentfonds.</w:t>
      </w:r>
      <w:r w:rsidRPr="009118AB">
        <w:t>]</w:t>
      </w:r>
    </w:p>
    <w:p w14:paraId="6E72844A" w14:textId="77777777" w:rsidR="006F5A3D" w:rsidRPr="009118AB" w:rsidRDefault="006F5A3D" w:rsidP="002008CA">
      <w:pPr>
        <w:jc w:val="both"/>
      </w:pPr>
    </w:p>
    <w:p w14:paraId="3A49EE50" w14:textId="77777777" w:rsidR="006F5A3D" w:rsidRPr="009118AB" w:rsidRDefault="006F5A3D" w:rsidP="006F5A3D">
      <w:pPr>
        <w:ind w:firstLine="708"/>
        <w:jc w:val="both"/>
      </w:pPr>
      <w:r w:rsidRPr="009118AB">
        <w:tab/>
        <w:t>[5/1. Unternehmensgruppe</w:t>
      </w:r>
    </w:p>
    <w:p w14:paraId="41484E66" w14:textId="77777777" w:rsidR="006F5A3D" w:rsidRPr="009118AB" w:rsidRDefault="006F5A3D" w:rsidP="006F5A3D">
      <w:pPr>
        <w:jc w:val="both"/>
      </w:pPr>
    </w:p>
    <w:p w14:paraId="0DF48902" w14:textId="531F837D" w:rsidR="006F5A3D" w:rsidRPr="009118AB" w:rsidRDefault="006F5A3D" w:rsidP="006F5A3D">
      <w:pPr>
        <w:ind w:firstLine="708"/>
        <w:jc w:val="both"/>
      </w:pPr>
      <w:r w:rsidRPr="009118AB">
        <w:t xml:space="preserve">Unter Unternehmensgruppe versteht man die Gesamtheit der Gesellschaften, die im Sinne von </w:t>
      </w:r>
      <w:r w:rsidR="00BC5AEF" w:rsidRPr="009118AB">
        <w:t>[Artikel 1:20 des Gesetzbuches der Gesellschaften und Vereinigungen]</w:t>
      </w:r>
      <w:r w:rsidRPr="009118AB">
        <w:t xml:space="preserve"> miteinander verbunden sind.]</w:t>
      </w:r>
    </w:p>
    <w:p w14:paraId="7938BF0E" w14:textId="77777777" w:rsidR="0023593F" w:rsidRPr="009118AB" w:rsidRDefault="0023593F"/>
    <w:p w14:paraId="1106782C" w14:textId="7B0442F3" w:rsidR="00C151E6" w:rsidRPr="009118AB" w:rsidRDefault="00434769" w:rsidP="0023593F">
      <w:pPr>
        <w:ind w:firstLine="708"/>
        <w:jc w:val="both"/>
      </w:pPr>
      <w:r w:rsidRPr="009118AB">
        <w:t>[</w:t>
      </w:r>
      <w:r w:rsidR="00477B8F" w:rsidRPr="009118AB">
        <w:t>5</w:t>
      </w:r>
      <w:r w:rsidR="00477B8F" w:rsidRPr="009118AB">
        <w:rPr>
          <w:i/>
          <w:iCs/>
        </w:rPr>
        <w:t>bis</w:t>
      </w:r>
      <w:r w:rsidR="00477B8F" w:rsidRPr="009118AB">
        <w:t xml:space="preserve">. </w:t>
      </w:r>
      <w:r w:rsidR="00C151E6" w:rsidRPr="009118AB">
        <w:t>[Gemeinsamer Investmentfonds</w:t>
      </w:r>
    </w:p>
    <w:p w14:paraId="403CDBAB" w14:textId="77777777" w:rsidR="00C151E6" w:rsidRPr="009118AB" w:rsidRDefault="00C151E6" w:rsidP="00C151E6">
      <w:pPr>
        <w:jc w:val="both"/>
      </w:pPr>
    </w:p>
    <w:p w14:paraId="79C404FC" w14:textId="77777777" w:rsidR="00C151E6" w:rsidRPr="009118AB" w:rsidRDefault="00585974" w:rsidP="00434769">
      <w:pPr>
        <w:jc w:val="both"/>
      </w:pPr>
      <w:r w:rsidRPr="009118AB">
        <w:tab/>
      </w:r>
      <w:r w:rsidR="00C151E6" w:rsidRPr="009118AB">
        <w:t>Unter gemeinsamem Investmentfonds versteht man:</w:t>
      </w:r>
    </w:p>
    <w:p w14:paraId="70003DE4" w14:textId="77777777" w:rsidR="00C151E6" w:rsidRPr="009118AB" w:rsidRDefault="00C151E6" w:rsidP="00C151E6">
      <w:pPr>
        <w:jc w:val="both"/>
      </w:pPr>
    </w:p>
    <w:p w14:paraId="545347E4" w14:textId="77777777" w:rsidR="00C151E6" w:rsidRPr="009118AB" w:rsidRDefault="00585974" w:rsidP="00434769">
      <w:pPr>
        <w:jc w:val="both"/>
      </w:pPr>
      <w:r w:rsidRPr="009118AB">
        <w:tab/>
      </w:r>
      <w:r w:rsidR="00C151E6" w:rsidRPr="009118AB">
        <w:t>- das ungeteilte Vermögen, das von einer Verwaltungsgesellschaft von Organismen für gemeinsame Anlagen für Rechnung der Anteilinhaber verwaltet wird gemäß den Bestimmungen des Gesetzes vom 3. August 2012 über Organismen für gemeinsame Anlagen, die die Bedingungen der Richtlinie 2009/65/EG erfüllen, und Organismen für Anlagen in Forderungen oder gemäß entsprechenden Bestimmungen ausländischen Rechts,</w:t>
      </w:r>
    </w:p>
    <w:p w14:paraId="19F9DD9B" w14:textId="77777777" w:rsidR="00C151E6" w:rsidRPr="009118AB" w:rsidRDefault="00C151E6" w:rsidP="00C151E6">
      <w:pPr>
        <w:jc w:val="both"/>
      </w:pPr>
    </w:p>
    <w:p w14:paraId="21B74CBE" w14:textId="77777777" w:rsidR="002008CA" w:rsidRPr="009118AB" w:rsidRDefault="00585974" w:rsidP="00C151E6">
      <w:pPr>
        <w:jc w:val="both"/>
      </w:pPr>
      <w:r w:rsidRPr="009118AB">
        <w:tab/>
      </w:r>
      <w:r w:rsidR="00C151E6" w:rsidRPr="009118AB">
        <w:t>- das ungeteilte Vermögen, das von einer Verwaltungsgesellschaft von alternativen Organismen für gemeinsame Anlagen für Rechnung der Anteilinhaber verwaltet wird gemäß den Bestimmungen des Gesetzes vom 19. April 2014 über alternative Organismen für gemeinsame Anlagen und ihre Verwalter oder gemäß entsprechenden Bestimmungen ausländischen Rechts.]</w:t>
      </w:r>
      <w:r w:rsidR="00477B8F" w:rsidRPr="009118AB">
        <w:t>]</w:t>
      </w:r>
    </w:p>
    <w:p w14:paraId="1007C8CD" w14:textId="77777777" w:rsidR="002008CA" w:rsidRPr="009118AB" w:rsidRDefault="002008CA" w:rsidP="002008CA">
      <w:pPr>
        <w:jc w:val="both"/>
      </w:pPr>
    </w:p>
    <w:p w14:paraId="3E91AA02" w14:textId="77777777" w:rsidR="00BC5AEF" w:rsidRPr="009118AB" w:rsidRDefault="00BC5AEF" w:rsidP="00BC5AEF">
      <w:pPr>
        <w:jc w:val="both"/>
      </w:pPr>
      <w:r w:rsidRPr="009118AB">
        <w:tab/>
        <w:t>[5</w:t>
      </w:r>
      <w:r w:rsidRPr="009118AB">
        <w:rPr>
          <w:i/>
          <w:iCs/>
        </w:rPr>
        <w:t>ter</w:t>
      </w:r>
      <w:r w:rsidRPr="009118AB">
        <w:t>. Ansässig</w:t>
      </w:r>
    </w:p>
    <w:p w14:paraId="7533D90D" w14:textId="77777777" w:rsidR="00BC5AEF" w:rsidRPr="009118AB" w:rsidRDefault="00BC5AEF" w:rsidP="00BC5AEF">
      <w:pPr>
        <w:jc w:val="both"/>
      </w:pPr>
    </w:p>
    <w:p w14:paraId="49DDE012" w14:textId="611ACF1E" w:rsidR="00BC5AEF" w:rsidRPr="009118AB" w:rsidRDefault="00BC5AEF" w:rsidP="00BC5AEF">
      <w:pPr>
        <w:jc w:val="both"/>
      </w:pPr>
      <w:r w:rsidRPr="009118AB">
        <w:tab/>
        <w:t>Wird in Bezug auf Gesellschaften, Vereinigungen, Niederlassungen oder Einrichtungen in Zusammenhang mit einem Staat oder einer Gruppe von Staaten der Begriff "ansässig" verwendet, bedeutet dieser Begriff, dass ihr Steuerwohnsitz sich in diesem Staat oder in einem der Staaten dieser Gruppe von Staaten befindet gemäß den steuerrechtlichen Vorschriften dieses Staates, ohne dass infolge eines Doppelbesteuerungsabkommens ihr Steuerwohnsitz als außerhalb dieses Staates oder dieser Gruppe von Staaten befindlich betrachtet werden muss.]</w:t>
      </w:r>
    </w:p>
    <w:p w14:paraId="47EBF0DE" w14:textId="77777777" w:rsidR="00BC5AEF" w:rsidRPr="009118AB" w:rsidRDefault="00BC5AEF" w:rsidP="002008CA">
      <w:pPr>
        <w:jc w:val="both"/>
      </w:pPr>
    </w:p>
    <w:p w14:paraId="5104C7DF" w14:textId="77777777" w:rsidR="00BC5AEF" w:rsidRPr="009118AB" w:rsidRDefault="00585974" w:rsidP="00BC5AEF">
      <w:pPr>
        <w:jc w:val="both"/>
      </w:pPr>
      <w:r w:rsidRPr="009118AB">
        <w:tab/>
      </w:r>
      <w:r w:rsidR="00477B8F" w:rsidRPr="009118AB">
        <w:t>6. </w:t>
      </w:r>
      <w:r w:rsidR="00BC5AEF" w:rsidRPr="009118AB">
        <w:t>[Kapital</w:t>
      </w:r>
    </w:p>
    <w:p w14:paraId="3F7494DF" w14:textId="77777777" w:rsidR="00BC5AEF" w:rsidRPr="009118AB" w:rsidRDefault="00BC5AEF" w:rsidP="00BC5AEF">
      <w:pPr>
        <w:jc w:val="both"/>
      </w:pPr>
    </w:p>
    <w:p w14:paraId="76800733" w14:textId="77777777" w:rsidR="00BC5AEF" w:rsidRPr="009118AB" w:rsidRDefault="00BC5AEF" w:rsidP="00BC5AEF">
      <w:pPr>
        <w:jc w:val="both"/>
      </w:pPr>
      <w:r w:rsidRPr="009118AB">
        <w:tab/>
        <w:t>Man versteht unter:</w:t>
      </w:r>
    </w:p>
    <w:p w14:paraId="28A127B7" w14:textId="77777777" w:rsidR="00BC5AEF" w:rsidRPr="009118AB" w:rsidRDefault="00BC5AEF" w:rsidP="00BC5AEF">
      <w:pPr>
        <w:jc w:val="both"/>
      </w:pPr>
    </w:p>
    <w:p w14:paraId="497D5871" w14:textId="77777777" w:rsidR="00BC5AEF" w:rsidRPr="009118AB" w:rsidRDefault="00BC5AEF" w:rsidP="00BC5AEF">
      <w:pPr>
        <w:jc w:val="both"/>
      </w:pPr>
      <w:r w:rsidRPr="009118AB">
        <w:tab/>
      </w:r>
      <w:r w:rsidRPr="009118AB">
        <w:rPr>
          <w:i/>
          <w:iCs/>
        </w:rPr>
        <w:t>a)</w:t>
      </w:r>
      <w:r w:rsidRPr="009118AB">
        <w:t> "Kapital" bei Gesellschaften:</w:t>
      </w:r>
    </w:p>
    <w:p w14:paraId="68B6D365" w14:textId="77777777" w:rsidR="00BC5AEF" w:rsidRPr="009118AB" w:rsidRDefault="00BC5AEF" w:rsidP="00BC5AEF">
      <w:pPr>
        <w:jc w:val="both"/>
      </w:pPr>
    </w:p>
    <w:p w14:paraId="48D8BC8E" w14:textId="77777777" w:rsidR="00BC5AEF" w:rsidRPr="009118AB" w:rsidRDefault="00BC5AEF" w:rsidP="00BC5AEF">
      <w:pPr>
        <w:jc w:val="both"/>
      </w:pPr>
      <w:r w:rsidRPr="009118AB">
        <w:tab/>
        <w:t>1. das Kapital von Aktiengesellschaften wie im Gesetzbuch der Gesellschaften und Vereinigungen erwähnt oder, im Falle von Gesellschaften mit einer anderen Rechtsform, für die das belgische oder ausländische Recht, dem sie unterliegen, einen ähnlichen Begriff vorsieht, diesen Begriff wie in diesem Recht erwähnt,</w:t>
      </w:r>
    </w:p>
    <w:p w14:paraId="3DC67EE2" w14:textId="77777777" w:rsidR="00BC5AEF" w:rsidRPr="009118AB" w:rsidRDefault="00BC5AEF" w:rsidP="00BC5AEF">
      <w:pPr>
        <w:jc w:val="both"/>
      </w:pPr>
    </w:p>
    <w:p w14:paraId="02FE8224" w14:textId="77777777" w:rsidR="00BC5AEF" w:rsidRPr="009118AB" w:rsidRDefault="00BC5AEF" w:rsidP="00BC5AEF">
      <w:pPr>
        <w:jc w:val="both"/>
      </w:pPr>
      <w:r w:rsidRPr="009118AB">
        <w:tab/>
        <w:t xml:space="preserve">2. für Gesellschaftsformen, für die das belgische oder ausländische Recht, dem die Gesellschaften unterliegen, keinen ähnlichen Begriff vorsieht, das Eigenkapital der Gesellschaften wie im belgischen oder ausländischen Recht erwähnt, dem die Gesellschaften </w:t>
      </w:r>
      <w:r w:rsidRPr="009118AB">
        <w:lastRenderedPageBreak/>
        <w:t>unterliegen, sofern es durch Geld- oder Sacheinlagen, die keine Einlagen von Dienstleistungen sind, gebildet wird,</w:t>
      </w:r>
    </w:p>
    <w:p w14:paraId="06D9F559" w14:textId="737F3251" w:rsidR="000D5C7F" w:rsidRPr="009118AB" w:rsidRDefault="000D5C7F"/>
    <w:p w14:paraId="5DD685F9" w14:textId="3589E9C5" w:rsidR="00BC5AEF" w:rsidRPr="009118AB" w:rsidRDefault="00BC5AEF" w:rsidP="00BC5AEF">
      <w:pPr>
        <w:jc w:val="both"/>
      </w:pPr>
      <w:r w:rsidRPr="009118AB">
        <w:tab/>
      </w:r>
      <w:r w:rsidRPr="009118AB">
        <w:rPr>
          <w:i/>
          <w:iCs/>
        </w:rPr>
        <w:t>b)</w:t>
      </w:r>
      <w:r w:rsidRPr="009118AB">
        <w:t> eingezahltem Kapital:</w:t>
      </w:r>
    </w:p>
    <w:p w14:paraId="09DE9BAB" w14:textId="77777777" w:rsidR="00BC5AEF" w:rsidRPr="009118AB" w:rsidRDefault="00BC5AEF" w:rsidP="00BC5AEF">
      <w:pPr>
        <w:jc w:val="both"/>
      </w:pPr>
    </w:p>
    <w:p w14:paraId="09A966EA" w14:textId="3C06AC6A" w:rsidR="002008CA" w:rsidRPr="009118AB" w:rsidRDefault="00BC5AEF" w:rsidP="00BC5AEF">
      <w:pPr>
        <w:jc w:val="both"/>
      </w:pPr>
      <w:r w:rsidRPr="009118AB">
        <w:tab/>
        <w:t>sowohl für inländische Gesellschaften als auch für ausländische Gesellschaften das tatsächlich eingezahlte Kapital im Sinne der Gesellschaftssteuer.]</w:t>
      </w:r>
    </w:p>
    <w:p w14:paraId="42DDDCAD" w14:textId="77777777" w:rsidR="002008CA" w:rsidRPr="009118AB" w:rsidRDefault="002008CA" w:rsidP="002008CA">
      <w:pPr>
        <w:jc w:val="both"/>
      </w:pPr>
    </w:p>
    <w:p w14:paraId="06094BE5" w14:textId="77777777" w:rsidR="00BC5AEF" w:rsidRPr="009118AB" w:rsidRDefault="00BC5AEF" w:rsidP="00BC5AEF">
      <w:pPr>
        <w:jc w:val="both"/>
      </w:pPr>
      <w:r w:rsidRPr="009118AB">
        <w:tab/>
        <w:t>[6/1. Fusion durch Übernahme, Fusion durch Gründung einer neuen Gesellschaft, Aufspaltung durch Übernahme, Aufspaltung durch Gründung neuer Gesellschaften, gemischte Aufspaltung, mit einer Fusion durch Übernahme gleichgesetzter Vorgang und mit einer Aufspaltung gleichgesetzter Vorgang oder abgekürzt "Fusion, Aufspaltung und mit einer Fusion oder mit einer Aufspaltung gleichgesetzter Vorgang"</w:t>
      </w:r>
    </w:p>
    <w:p w14:paraId="2DB14398" w14:textId="77777777" w:rsidR="00BC5AEF" w:rsidRPr="009118AB" w:rsidRDefault="00BC5AEF" w:rsidP="00BC5AEF">
      <w:pPr>
        <w:jc w:val="both"/>
      </w:pPr>
    </w:p>
    <w:p w14:paraId="047AE8ED" w14:textId="77777777" w:rsidR="00BC5AEF" w:rsidRPr="009118AB" w:rsidRDefault="00BC5AEF" w:rsidP="00BC5AEF">
      <w:pPr>
        <w:jc w:val="both"/>
      </w:pPr>
      <w:r w:rsidRPr="009118AB">
        <w:tab/>
        <w:t>Man versteht unter:</w:t>
      </w:r>
    </w:p>
    <w:p w14:paraId="7A46833E" w14:textId="77777777" w:rsidR="00BC5AEF" w:rsidRPr="009118AB" w:rsidRDefault="00BC5AEF" w:rsidP="00BC5AEF">
      <w:pPr>
        <w:jc w:val="both"/>
      </w:pPr>
    </w:p>
    <w:p w14:paraId="7E25D5BC" w14:textId="676A8B2A" w:rsidR="00BC5AEF" w:rsidRPr="009118AB" w:rsidRDefault="00BC5AEF" w:rsidP="00BC5AEF">
      <w:pPr>
        <w:jc w:val="both"/>
      </w:pPr>
      <w:r w:rsidRPr="009118AB">
        <w:tab/>
      </w:r>
      <w:r w:rsidRPr="009118AB">
        <w:rPr>
          <w:i/>
          <w:iCs/>
        </w:rPr>
        <w:t>a)</w:t>
      </w:r>
      <w:r w:rsidRPr="009118AB">
        <w:t> Fusion durch Übernahme: den Vorgang, durch den eine oder mehrere Gesellschaften infolge ihrer Auflösung ohne Liquidation ihr gesamtes Aktiv- und Passivvermögen auf eine andere bereits bestehende Gesellschaft gegen Gewährung von Aktien oder Anteilen der begünstigten Gesellschaft an die Aktionäre oder Gesellschafter der aufgelösten Gesellschaft(en) und gegebenenfalls einer baren Zuzahlung übertragen; letztere darf ein Zehntel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dem rechnerischen Wert der Einlagewert</w:t>
      </w:r>
      <w:r w:rsidR="00D67EB8" w:rsidRPr="009118AB">
        <w:t> - </w:t>
      </w:r>
      <w:r w:rsidRPr="009118AB">
        <w:t>so wie er aus dem Jahresabschluss hervorgeht</w:t>
      </w:r>
      <w:r w:rsidR="00D67EB8" w:rsidRPr="009118AB">
        <w:t> - </w:t>
      </w:r>
      <w:r w:rsidRPr="009118AB">
        <w:t>aller von den Aktionären oder Gesellschaftern gewährten Geld- oder Sacheinlagen, die keine Einlagen von Dienstleistungen sind, gleichgesetzt, gegebenenfalls erhöht um die Rücklagen, die den Aktionären oder Gesellschaftern aufgrund einer Satzungsbestimmung nur nach Satzungsänderung ausgeschüttet werden können; dieser Gesamtwert wird durch die Anzahl Aktien oder Anteile geteilt,</w:t>
      </w:r>
    </w:p>
    <w:p w14:paraId="0C858303" w14:textId="77777777" w:rsidR="00BC5AEF" w:rsidRPr="009118AB" w:rsidRDefault="00BC5AEF" w:rsidP="00BC5AEF">
      <w:pPr>
        <w:jc w:val="both"/>
      </w:pPr>
    </w:p>
    <w:p w14:paraId="78FFCB59" w14:textId="77777777" w:rsidR="00BC5AEF" w:rsidRPr="009118AB" w:rsidRDefault="00BC5AEF" w:rsidP="00BC5AEF">
      <w:pPr>
        <w:jc w:val="both"/>
      </w:pPr>
      <w:r w:rsidRPr="009118AB">
        <w:tab/>
      </w:r>
      <w:r w:rsidRPr="009118AB">
        <w:rPr>
          <w:i/>
          <w:iCs/>
        </w:rPr>
        <w:t>b)</w:t>
      </w:r>
      <w:r w:rsidRPr="009118AB">
        <w:t> Fusion durch Gründung einer neuen Gesellschaft: den Vorgang, durch den zwei oder mehrere Gesellschaften infolge ihrer Auflösung ohne Liquidation ihr gesamtes Aktiv- und Passivvermögen auf eine neue von ihnen gegründete Gesellschaft gegen Gewährung von Aktien oder Anteilen der neuen Gesellschaft an die Aktionäre oder Gesellschafter der aufgelösten Gesellschaften und gegebenenfalls einer baren Zuzahlung übertragen; letztere darf ein Zehntel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118AB">
        <w:rPr>
          <w:i/>
          <w:iCs/>
        </w:rPr>
        <w:t>a)</w:t>
      </w:r>
      <w:r w:rsidRPr="009118AB">
        <w:t xml:space="preserve"> erwähnten Regeln bestimmt,</w:t>
      </w:r>
    </w:p>
    <w:p w14:paraId="08291D8E" w14:textId="77777777" w:rsidR="00BC5AEF" w:rsidRPr="009118AB" w:rsidRDefault="00BC5AEF" w:rsidP="00BC5AEF">
      <w:pPr>
        <w:jc w:val="both"/>
      </w:pPr>
    </w:p>
    <w:p w14:paraId="71FEE063" w14:textId="4291C38D" w:rsidR="001F5203" w:rsidRPr="009541B3" w:rsidRDefault="00BC5AEF" w:rsidP="001F5203">
      <w:pPr>
        <w:ind w:firstLine="708"/>
        <w:jc w:val="both"/>
      </w:pPr>
      <w:r w:rsidRPr="009118AB">
        <w:tab/>
      </w:r>
      <w:r w:rsidRPr="009118AB">
        <w:rPr>
          <w:i/>
          <w:iCs/>
        </w:rPr>
        <w:t>c)</w:t>
      </w:r>
      <w:r w:rsidRPr="009118AB">
        <w:t> </w:t>
      </w:r>
      <w:r w:rsidR="001F5203">
        <w:t>[</w:t>
      </w:r>
      <w:r w:rsidR="001F5203" w:rsidRPr="009541B3">
        <w:t>mit einer Fusion durch Übernahme gleichgesetztem Vorgang:</w:t>
      </w:r>
    </w:p>
    <w:p w14:paraId="59F32DD9" w14:textId="77777777" w:rsidR="001F5203" w:rsidRPr="009541B3" w:rsidRDefault="001F5203" w:rsidP="001F5203">
      <w:pPr>
        <w:jc w:val="both"/>
      </w:pPr>
    </w:p>
    <w:p w14:paraId="6132CFA5" w14:textId="77777777" w:rsidR="001F5203" w:rsidRPr="009541B3" w:rsidRDefault="001F5203" w:rsidP="001F5203">
      <w:pPr>
        <w:ind w:firstLine="708"/>
        <w:jc w:val="both"/>
      </w:pPr>
      <w:r w:rsidRPr="009541B3">
        <w:t>1. den Vorgang, durch den eine Gesellschaft infolge ihrer Auflösung ohne Liquidation ihr gesamtes Aktiv- und Passivvermögen auf die Gesellschaft überträgt, die alle ihre Aktien oder Anteile und anderen Stimmrecht gewährenden Wertpapiere besitzt,</w:t>
      </w:r>
    </w:p>
    <w:p w14:paraId="7554E9C5" w14:textId="77777777" w:rsidR="001F5203" w:rsidRPr="009541B3" w:rsidRDefault="001F5203" w:rsidP="001F5203">
      <w:pPr>
        <w:jc w:val="both"/>
      </w:pPr>
    </w:p>
    <w:p w14:paraId="2C5F8CC1" w14:textId="55991BEF" w:rsidR="00BC5AEF" w:rsidRPr="009118AB" w:rsidRDefault="001F5203" w:rsidP="001C4294">
      <w:pPr>
        <w:ind w:firstLine="708"/>
        <w:jc w:val="both"/>
      </w:pPr>
      <w:r w:rsidRPr="009541B3">
        <w:t xml:space="preserve">2. den Vorgang, durch den eine Gesellschaft infolge ihrer Auflösung ohne Liquidation ihr gesamtes Aktiv- und Passivvermögen auf eine andere Gesellschaft überträgt, ohne dass </w:t>
      </w:r>
      <w:r w:rsidRPr="009541B3">
        <w:lastRenderedPageBreak/>
        <w:t>diese letzte Gesellschaft Aktien oder Anteile ausgibt, sofern ein und dieselbe Person alle Aktien oder Anteile und anderen Stimmrecht gewährenden Wertpapiere, ausgegeben von der übertragenden und der übernehmenden Gesellschaft, besitzt oder sofern die Wertpapiere und Aktien oder Anteile der Gesellschafter oder Aktionäre der fusionierenden Gesellschaften bei allen fusionierenden Gesellschaften vor der Fusion dasselbe Verhältnis haben,</w:t>
      </w:r>
      <w:r>
        <w:t>]</w:t>
      </w:r>
    </w:p>
    <w:p w14:paraId="68A79C7B" w14:textId="77777777" w:rsidR="00BC5AEF" w:rsidRPr="009118AB" w:rsidRDefault="00BC5AEF" w:rsidP="00BC5AEF">
      <w:pPr>
        <w:jc w:val="both"/>
      </w:pPr>
    </w:p>
    <w:p w14:paraId="012B08C2" w14:textId="77777777" w:rsidR="00BC5AEF" w:rsidRPr="009118AB" w:rsidRDefault="00BC5AEF" w:rsidP="00BC5AEF">
      <w:pPr>
        <w:jc w:val="both"/>
      </w:pPr>
      <w:r w:rsidRPr="009118AB">
        <w:tab/>
      </w:r>
      <w:r w:rsidRPr="009118AB">
        <w:rPr>
          <w:i/>
          <w:iCs/>
        </w:rPr>
        <w:t>d)</w:t>
      </w:r>
      <w:r w:rsidRPr="009118AB">
        <w:t> Aufspaltung durch Übernahme: den Vorgang, durch den eine Gesellschaft infolge ihrer Auflösung ohne Liquidation ihr gesamtes Aktiv- und Passivvermögen auf mehrere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118AB">
        <w:rPr>
          <w:i/>
          <w:iCs/>
        </w:rPr>
        <w:t>a)</w:t>
      </w:r>
      <w:r w:rsidRPr="009118AB">
        <w:t xml:space="preserve"> erwähnten Regeln bestimmt,</w:t>
      </w:r>
    </w:p>
    <w:p w14:paraId="6AFBA76E" w14:textId="77777777" w:rsidR="00BC5AEF" w:rsidRPr="009118AB" w:rsidRDefault="00BC5AEF" w:rsidP="00BC5AEF">
      <w:pPr>
        <w:jc w:val="both"/>
      </w:pPr>
    </w:p>
    <w:p w14:paraId="53532690" w14:textId="77777777" w:rsidR="00BC5AEF" w:rsidRPr="009118AB" w:rsidRDefault="00BC5AEF" w:rsidP="00BC5AEF">
      <w:pPr>
        <w:jc w:val="both"/>
      </w:pPr>
      <w:r w:rsidRPr="009118AB">
        <w:tab/>
      </w:r>
      <w:r w:rsidRPr="009118AB">
        <w:rPr>
          <w:i/>
          <w:iCs/>
        </w:rPr>
        <w:t>e)</w:t>
      </w:r>
      <w:r w:rsidRPr="009118AB">
        <w:t> Aufspaltung durch Gründung neuer Gesellschaften: den Vorgang, durch den eine Gesellschaft infolge ihrer Auflösung ohne Liquidation ihr gesamtes Aktiv- und Passivvermögen auf mehrere von ihr gegründete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118AB">
        <w:rPr>
          <w:i/>
          <w:iCs/>
        </w:rPr>
        <w:t>a)</w:t>
      </w:r>
      <w:r w:rsidRPr="009118AB">
        <w:t xml:space="preserve"> erwähnten Regeln bestimmt,</w:t>
      </w:r>
    </w:p>
    <w:p w14:paraId="37FB5494" w14:textId="77777777" w:rsidR="00BC5AEF" w:rsidRPr="009118AB" w:rsidRDefault="00BC5AEF" w:rsidP="00BC5AEF">
      <w:pPr>
        <w:jc w:val="both"/>
      </w:pPr>
    </w:p>
    <w:p w14:paraId="3FE88BAE" w14:textId="77777777" w:rsidR="00BC5AEF" w:rsidRPr="009118AB" w:rsidRDefault="00BC5AEF" w:rsidP="00BC5AEF">
      <w:pPr>
        <w:jc w:val="both"/>
      </w:pPr>
      <w:r w:rsidRPr="009118AB">
        <w:tab/>
      </w:r>
      <w:r w:rsidRPr="009118AB">
        <w:rPr>
          <w:i/>
          <w:iCs/>
        </w:rPr>
        <w:t>f)</w:t>
      </w:r>
      <w:r w:rsidRPr="009118AB">
        <w:t> gemischter Aufspaltung: den Vorgang, durch den eine Gesellschaft infolge ihrer Auflösung ohne Liquidation ihr gesamtes Aktiv- und Passivvermögen auf eine oder mehrere bestehende Gesellschaften und auf eine oder mehrere von ihr gegründete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118AB">
        <w:rPr>
          <w:i/>
          <w:iCs/>
        </w:rPr>
        <w:t>a)</w:t>
      </w:r>
      <w:r w:rsidRPr="009118AB">
        <w:t xml:space="preserve"> erwähnten Regeln bestimmt,</w:t>
      </w:r>
    </w:p>
    <w:p w14:paraId="57436ADA" w14:textId="77777777" w:rsidR="00BC5AEF" w:rsidRPr="009118AB" w:rsidRDefault="00BC5AEF" w:rsidP="00BC5AEF">
      <w:pPr>
        <w:jc w:val="both"/>
      </w:pPr>
    </w:p>
    <w:p w14:paraId="1AD65DD5" w14:textId="77777777" w:rsidR="00BC5AEF" w:rsidRPr="009118AB" w:rsidRDefault="00BC5AEF" w:rsidP="00BC5AEF">
      <w:pPr>
        <w:jc w:val="both"/>
      </w:pPr>
      <w:r w:rsidRPr="009118AB">
        <w:tab/>
      </w:r>
      <w:r w:rsidRPr="009118AB">
        <w:rPr>
          <w:i/>
          <w:iCs/>
        </w:rPr>
        <w:t>g)</w:t>
      </w:r>
      <w:r w:rsidRPr="009118AB">
        <w:t> mit einer Aufspaltung gleichgesetztem Vorgang:</w:t>
      </w:r>
    </w:p>
    <w:p w14:paraId="2CDA7C9C" w14:textId="77777777" w:rsidR="00BC5AEF" w:rsidRPr="009118AB" w:rsidRDefault="00BC5AEF" w:rsidP="00BC5AEF">
      <w:pPr>
        <w:jc w:val="both"/>
      </w:pPr>
    </w:p>
    <w:p w14:paraId="54EB4A68" w14:textId="286188F1" w:rsidR="00BC5AEF" w:rsidRPr="009118AB" w:rsidRDefault="00BC5AEF" w:rsidP="00BC5AEF">
      <w:pPr>
        <w:jc w:val="both"/>
      </w:pPr>
      <w:r w:rsidRPr="009118AB">
        <w:tab/>
        <w:t xml:space="preserve">1. den Vorgang, durch den eine Gesellschaft, ohne aufgelöst zu werden, einen Teil ihres Aktiv- und Passivvermögens auf eine oder mehrere bestehende oder von ihr gegründete Gesellschaften </w:t>
      </w:r>
      <w:r w:rsidR="001C4294">
        <w:t>[</w:t>
      </w:r>
      <w:r w:rsidR="001C4294" w:rsidRPr="009541B3">
        <w:t>überträgt, und zwar gegen anteilige oder nicht anteilige Gewährung von Aktien oder Anteilen der begünstigten Gesellschaft(en), der aufgespaltenen Gesellschaft oder sowohl der begünstigten Gesellschaft(en) als auch der aufgespaltenen Gesellschaft an die Aktionäre oder Gesellschafter der übertragenden Gesellschaft und gegebenenfalls einer baren Zuzahlung</w:t>
      </w:r>
      <w:r w:rsidR="001C4294">
        <w:t>]</w:t>
      </w:r>
      <w:r w:rsidRPr="009118AB">
        <w:t xml:space="preserve">; letztere darf 10 Prozent des Nennwerts oder mangels Nennwert des rechnerischen Werts dieser Aktien oder Anteile nicht überschreiten. Sieht das belgische oder ausländische Recht, dem die begünstigte Gesellschaft unterliegt, keinen Begriff vor, der dem Begriff des Kapitals einer </w:t>
      </w:r>
      <w:r w:rsidRPr="009118AB">
        <w:lastRenderedPageBreak/>
        <w:t>Aktiengesellschaft ähnlich ist, wird der rechnerische Wert gemäß den in Buchstabe </w:t>
      </w:r>
      <w:r w:rsidRPr="009118AB">
        <w:rPr>
          <w:i/>
          <w:iCs/>
        </w:rPr>
        <w:t>a)</w:t>
      </w:r>
      <w:r w:rsidRPr="009118AB">
        <w:t xml:space="preserve"> erwähnten Regeln bestimmt,</w:t>
      </w:r>
    </w:p>
    <w:p w14:paraId="61925A89" w14:textId="77777777" w:rsidR="00BC5AEF" w:rsidRPr="009118AB" w:rsidRDefault="00BC5AEF" w:rsidP="00BC5AEF">
      <w:pPr>
        <w:jc w:val="both"/>
      </w:pPr>
    </w:p>
    <w:p w14:paraId="46A8230B" w14:textId="76361C22" w:rsidR="00BC5AEF" w:rsidRDefault="00BC5AEF" w:rsidP="00BC5AEF">
      <w:pPr>
        <w:jc w:val="both"/>
      </w:pPr>
      <w:r w:rsidRPr="009118AB">
        <w:tab/>
        <w:t>2. den Vorgang, durch den eine Gesellschaft, ohne aufgelöst zu werden, einen Teil ihres Aktiv- und Passivvermögens auf eine andere Gesellschaft überträgt, die bereits alle ihre Aktien oder Anteile und anderen Stimmrecht gewährenden Wertpapiere besitzt</w:t>
      </w:r>
      <w:r w:rsidR="00020AB5">
        <w:t>,</w:t>
      </w:r>
    </w:p>
    <w:p w14:paraId="45C36079" w14:textId="77777777" w:rsidR="00020AB5" w:rsidRDefault="00020AB5" w:rsidP="00BC5AEF">
      <w:pPr>
        <w:jc w:val="both"/>
      </w:pPr>
    </w:p>
    <w:p w14:paraId="33598E42" w14:textId="10DA9319" w:rsidR="00020AB5" w:rsidRPr="009118AB" w:rsidRDefault="00020AB5" w:rsidP="00BC5AEF">
      <w:pPr>
        <w:jc w:val="both"/>
      </w:pPr>
      <w:r>
        <w:tab/>
        <w:t>[</w:t>
      </w:r>
      <w:r w:rsidRPr="009541B3">
        <w:t>3. den grenzüberschreitenden Vorgang, durch den eine Gesellschaft, ohne aufgelöst zu werden, einen Teil ihres Aktiv- und Passivvermögens auf eine oder mehrere bestehende oder von ihr gegründete Gesellschaften überträgt gegen Gewährung von Aktien oder Anteilen der begünstigten Gesellschaft(en) an die aufgespaltene Gesellschaft.</w:t>
      </w:r>
      <w:r>
        <w:t>]</w:t>
      </w:r>
    </w:p>
    <w:p w14:paraId="3B553EB4" w14:textId="77777777" w:rsidR="00BC5AEF" w:rsidRPr="009118AB" w:rsidRDefault="00BC5AEF" w:rsidP="00BC5AEF">
      <w:pPr>
        <w:jc w:val="both"/>
      </w:pPr>
    </w:p>
    <w:p w14:paraId="505353D6" w14:textId="77777777" w:rsidR="00BC5AEF" w:rsidRPr="009118AB" w:rsidRDefault="00BC5AEF" w:rsidP="00BC5AEF">
      <w:pPr>
        <w:jc w:val="both"/>
      </w:pPr>
      <w:r w:rsidRPr="009118AB">
        <w:tab/>
        <w:t>Diese Vorgänge können ebenfalls stattfinden, wenn eine oder mehrere der Gesellschaften, deren Vermögen übertragen wird, sich in Liquidation oder im Konkurs befinden, sofern sie noch nicht mit der Verteilung ihres Vermögens an ihre Aktionäre oder Gesellschafter begonnen haben.</w:t>
      </w:r>
    </w:p>
    <w:p w14:paraId="27C4076B" w14:textId="77777777" w:rsidR="00BC5AEF" w:rsidRPr="009118AB" w:rsidRDefault="00BC5AEF" w:rsidP="00BC5AEF">
      <w:pPr>
        <w:jc w:val="both"/>
      </w:pPr>
    </w:p>
    <w:p w14:paraId="265D6312" w14:textId="77777777" w:rsidR="00BC5AEF" w:rsidRPr="009118AB" w:rsidRDefault="00BC5AEF" w:rsidP="00BC5AEF">
      <w:pPr>
        <w:jc w:val="both"/>
      </w:pPr>
      <w:r w:rsidRPr="009118AB">
        <w:tab/>
        <w:t>Wenn eine Gesellschaft, die ihr gesamtes oder einen Teil ihres Vermögens überträgt, die Rechtsform einer Vereinigung oder Stiftung nach belgischem Recht oder eine ähnliche Rechtsform nach ausländischem Recht hat, einen uneigennützigen Zweck verfolgt und keine Aktien oder Anteile ausgegeben hat, sind die vorstehenden Begriffsbestimmungen zu lesen, ohne die Angaben in Bezug auf die Gewährung von Aktien oder Anteilen oder einer Zuzahlung an ihre Aktionäre oder Gesellschafter zu berücksichtigen.</w:t>
      </w:r>
    </w:p>
    <w:p w14:paraId="67AE8327" w14:textId="77777777" w:rsidR="00BC5AEF" w:rsidRPr="009118AB" w:rsidRDefault="00BC5AEF" w:rsidP="00BC5AEF">
      <w:pPr>
        <w:jc w:val="both"/>
      </w:pPr>
    </w:p>
    <w:p w14:paraId="2CEA524D" w14:textId="77777777" w:rsidR="00BC5AEF" w:rsidRPr="009118AB" w:rsidRDefault="00BC5AEF" w:rsidP="00BC5AEF">
      <w:pPr>
        <w:jc w:val="both"/>
      </w:pPr>
      <w:r w:rsidRPr="009118AB">
        <w:tab/>
        <w:t>6/2. Einbringung eines Gesamtvermögens und Einbringung eines Teilbetriebs beziehungsweise eines Teils einer Tätigkeit</w:t>
      </w:r>
    </w:p>
    <w:p w14:paraId="3464135D" w14:textId="77777777" w:rsidR="00BC5AEF" w:rsidRPr="009118AB" w:rsidRDefault="00BC5AEF" w:rsidP="00BC5AEF">
      <w:pPr>
        <w:jc w:val="both"/>
      </w:pPr>
    </w:p>
    <w:p w14:paraId="7E47A3E2" w14:textId="70173F6A" w:rsidR="00BC5AEF" w:rsidRPr="009118AB" w:rsidRDefault="00BC5AEF" w:rsidP="00BC5AEF">
      <w:pPr>
        <w:jc w:val="both"/>
      </w:pPr>
      <w:r w:rsidRPr="009118AB">
        <w:tab/>
        <w:t>Man versteht unter:</w:t>
      </w:r>
    </w:p>
    <w:p w14:paraId="1D6711C9" w14:textId="77777777" w:rsidR="00BC5AEF" w:rsidRPr="009118AB" w:rsidRDefault="00BC5AEF" w:rsidP="00BC5AEF">
      <w:pPr>
        <w:jc w:val="both"/>
      </w:pPr>
    </w:p>
    <w:p w14:paraId="16220917" w14:textId="77777777" w:rsidR="00BC5AEF" w:rsidRPr="009118AB" w:rsidRDefault="00BC5AEF" w:rsidP="00BC5AEF">
      <w:pPr>
        <w:jc w:val="both"/>
      </w:pPr>
      <w:r w:rsidRPr="009118AB">
        <w:tab/>
      </w:r>
      <w:r w:rsidRPr="009118AB">
        <w:rPr>
          <w:i/>
          <w:iCs/>
        </w:rPr>
        <w:t>a)</w:t>
      </w:r>
      <w:r w:rsidRPr="009118AB">
        <w:t> Einbringung eines Gesamtvermögens: den Vorgang, durch den eine natürliche Person oder eine Gesellschaft, ohne aufgelöst zu werden, ihr gesamtes Aktiv- und Passivvermögen auf eine Gesellschaft überträgt gegen eine Vergütung, die ausschließlich aus Aktien oder Anteilen der begünstigten Gesellschaft besteht; handelt es sich um eine Einbringung durch eine natürliche Person, sind unter ihrem gesamten Vermögen alle ihre Teilbetriebe beziehungsweise alle Teile ihrer Tätigkeit zu verstehen,</w:t>
      </w:r>
    </w:p>
    <w:p w14:paraId="32C36C42" w14:textId="77777777" w:rsidR="00BC5AEF" w:rsidRPr="009118AB" w:rsidRDefault="00BC5AEF" w:rsidP="00BC5AEF">
      <w:pPr>
        <w:jc w:val="both"/>
      </w:pPr>
    </w:p>
    <w:p w14:paraId="0E1CDC99" w14:textId="77777777" w:rsidR="00BC5AEF" w:rsidRPr="009118AB" w:rsidRDefault="00BC5AEF" w:rsidP="00BC5AEF">
      <w:pPr>
        <w:jc w:val="both"/>
      </w:pPr>
      <w:r w:rsidRPr="009118AB">
        <w:tab/>
      </w:r>
      <w:r w:rsidRPr="009118AB">
        <w:rPr>
          <w:i/>
          <w:iCs/>
        </w:rPr>
        <w:t>b)</w:t>
      </w:r>
      <w:r w:rsidRPr="009118AB">
        <w:t> Einbringung eines Teilbetriebs beziehungsweise eines Teils einer Tätigkeit: den Vorgang, durch den eine natürliche Person oder eine Gesellschaft, ohne aufgelöst zu werden, einen Teilbetrieb beziehungsweise einen Teil einer Tätigkeit auf eine andere Gesellschaft überträgt gegen eine Vergütung, die ausschließlich aus Aktien oder Anteilen der begünstigten Gesellschaft besteht,</w:t>
      </w:r>
    </w:p>
    <w:p w14:paraId="04478B0A" w14:textId="77777777" w:rsidR="00BC5AEF" w:rsidRPr="009118AB" w:rsidRDefault="00BC5AEF" w:rsidP="00BC5AEF">
      <w:pPr>
        <w:jc w:val="both"/>
      </w:pPr>
    </w:p>
    <w:p w14:paraId="18445BAF" w14:textId="798CA670" w:rsidR="00BC5AEF" w:rsidRPr="009118AB" w:rsidRDefault="00BC5AEF" w:rsidP="00BC5AEF">
      <w:r w:rsidRPr="009118AB">
        <w:tab/>
      </w:r>
      <w:r w:rsidRPr="009118AB">
        <w:rPr>
          <w:i/>
          <w:iCs/>
        </w:rPr>
        <w:t>c)</w:t>
      </w:r>
      <w:r w:rsidRPr="009118AB">
        <w:t> Teilbetrieb beziehungsweise Teil einer Tätigkeit: die Gesamtheit der in einem Unternehmensteil einer Gesellschaft vorhandenen aktiven und passiven Wirtschaftsgüter, die in organisatorischer Hinsicht einen selbständigen Betrieb, das heißt eine aus eigenen Mitteln funktionsfähige Einheit, darstellen.]</w:t>
      </w:r>
    </w:p>
    <w:p w14:paraId="23DA02E3" w14:textId="77777777" w:rsidR="00BC5AEF" w:rsidRPr="009118AB" w:rsidRDefault="00BC5AEF" w:rsidP="00BC5AEF"/>
    <w:p w14:paraId="3B2B1DBC" w14:textId="77777777" w:rsidR="005D07B1" w:rsidRDefault="005D07B1">
      <w:r>
        <w:br w:type="page"/>
      </w:r>
    </w:p>
    <w:p w14:paraId="54679F21" w14:textId="3523D83B" w:rsidR="002008CA" w:rsidRPr="009118AB" w:rsidRDefault="00585974" w:rsidP="002008CA">
      <w:pPr>
        <w:jc w:val="both"/>
      </w:pPr>
      <w:r w:rsidRPr="009118AB">
        <w:lastRenderedPageBreak/>
        <w:tab/>
      </w:r>
      <w:r w:rsidR="00477B8F" w:rsidRPr="009118AB">
        <w:t>7. Neu bewerteter Wert</w:t>
      </w:r>
    </w:p>
    <w:p w14:paraId="26509D5E" w14:textId="77777777" w:rsidR="002008CA" w:rsidRPr="009118AB" w:rsidRDefault="002008CA" w:rsidP="002008CA">
      <w:pPr>
        <w:jc w:val="both"/>
      </w:pPr>
    </w:p>
    <w:p w14:paraId="7DB1D398" w14:textId="77777777" w:rsidR="00206A8C" w:rsidRPr="009118AB" w:rsidRDefault="00585974" w:rsidP="002008CA">
      <w:pPr>
        <w:jc w:val="both"/>
      </w:pPr>
      <w:r w:rsidRPr="009118AB">
        <w:tab/>
      </w:r>
      <w:r w:rsidR="00477B8F" w:rsidRPr="009118AB">
        <w:t>Unter neu bewertetem Wert versteht man den Wert, der Gütern, die zur Ausübung der Berufstätigkeit genutzt werden, und eingezahltem Kapital nach Aufwertung des Anschaffungs- oder Investitionswertes dieser Güter oder des Kapitals beigemessen wird, und zwar durch Anwendung je nach Jahr der Investition dieser Güter beziehungsweise der Einzahlung, Herabsetzung oder Rückzahlung des Kapitals der nachstehend erwähnten Koeffizienten:</w:t>
      </w:r>
    </w:p>
    <w:p w14:paraId="2A0F741E" w14:textId="77777777" w:rsidR="00206A8C" w:rsidRPr="009118AB" w:rsidRDefault="00206A8C" w:rsidP="002008CA">
      <w:pPr>
        <w:autoSpaceDE w:val="0"/>
        <w:autoSpaceDN w:val="0"/>
        <w:adjustRightInd w:val="0"/>
        <w:jc w:val="both"/>
      </w:pPr>
    </w:p>
    <w:tbl>
      <w:tblPr>
        <w:tblW w:w="0" w:type="auto"/>
        <w:tblLayout w:type="fixed"/>
        <w:tblCellMar>
          <w:left w:w="120" w:type="dxa"/>
          <w:right w:w="120" w:type="dxa"/>
        </w:tblCellMar>
        <w:tblLook w:val="0000" w:firstRow="0" w:lastRow="0" w:firstColumn="0" w:lastColumn="0" w:noHBand="0" w:noVBand="0"/>
      </w:tblPr>
      <w:tblGrid>
        <w:gridCol w:w="4024"/>
        <w:gridCol w:w="4281"/>
      </w:tblGrid>
      <w:tr w:rsidR="00477B8F" w:rsidRPr="009118AB" w14:paraId="4AE72931" w14:textId="77777777" w:rsidTr="002008CA">
        <w:trPr>
          <w:cantSplit/>
          <w:trHeight w:val="403"/>
        </w:trPr>
        <w:tc>
          <w:tcPr>
            <w:tcW w:w="4024" w:type="dxa"/>
            <w:tcBorders>
              <w:top w:val="nil"/>
              <w:left w:val="nil"/>
              <w:bottom w:val="nil"/>
              <w:right w:val="nil"/>
            </w:tcBorders>
          </w:tcPr>
          <w:p w14:paraId="7BF64B3A" w14:textId="77777777" w:rsidR="00477B8F" w:rsidRPr="009118AB" w:rsidRDefault="00206A8C" w:rsidP="002008CA">
            <w:pPr>
              <w:autoSpaceDE w:val="0"/>
              <w:autoSpaceDN w:val="0"/>
              <w:adjustRightInd w:val="0"/>
            </w:pPr>
            <w:r w:rsidRPr="009118AB">
              <w:br w:type="page"/>
            </w:r>
            <w:r w:rsidR="00477B8F" w:rsidRPr="009118AB">
              <w:t>Jahre</w:t>
            </w:r>
          </w:p>
        </w:tc>
        <w:tc>
          <w:tcPr>
            <w:tcW w:w="4281" w:type="dxa"/>
            <w:tcBorders>
              <w:top w:val="nil"/>
              <w:left w:val="nil"/>
              <w:bottom w:val="nil"/>
              <w:right w:val="nil"/>
            </w:tcBorders>
          </w:tcPr>
          <w:p w14:paraId="32B0FD03" w14:textId="77777777" w:rsidR="00477B8F" w:rsidRPr="009118AB" w:rsidRDefault="00477B8F" w:rsidP="002008CA">
            <w:pPr>
              <w:autoSpaceDE w:val="0"/>
              <w:autoSpaceDN w:val="0"/>
              <w:adjustRightInd w:val="0"/>
            </w:pPr>
            <w:r w:rsidRPr="009118AB">
              <w:t>Anwendbare Koeffizienten</w:t>
            </w:r>
          </w:p>
        </w:tc>
      </w:tr>
      <w:tr w:rsidR="00477B8F" w:rsidRPr="009118AB" w14:paraId="594FF6C7" w14:textId="77777777" w:rsidTr="002008CA">
        <w:trPr>
          <w:cantSplit/>
          <w:trHeight w:val="403"/>
        </w:trPr>
        <w:tc>
          <w:tcPr>
            <w:tcW w:w="4024" w:type="dxa"/>
            <w:tcBorders>
              <w:top w:val="nil"/>
              <w:left w:val="nil"/>
              <w:bottom w:val="nil"/>
              <w:right w:val="nil"/>
            </w:tcBorders>
          </w:tcPr>
          <w:p w14:paraId="2124131F" w14:textId="77777777" w:rsidR="00477B8F" w:rsidRPr="009118AB" w:rsidRDefault="00477B8F" w:rsidP="002008CA">
            <w:pPr>
              <w:autoSpaceDE w:val="0"/>
              <w:autoSpaceDN w:val="0"/>
              <w:adjustRightInd w:val="0"/>
            </w:pPr>
            <w:r w:rsidRPr="009118AB">
              <w:t>1918 und vorhergehende</w:t>
            </w:r>
          </w:p>
        </w:tc>
        <w:tc>
          <w:tcPr>
            <w:tcW w:w="4281" w:type="dxa"/>
            <w:tcBorders>
              <w:top w:val="nil"/>
              <w:left w:val="nil"/>
              <w:bottom w:val="nil"/>
              <w:right w:val="nil"/>
            </w:tcBorders>
          </w:tcPr>
          <w:p w14:paraId="7FFE4953" w14:textId="77777777" w:rsidR="00477B8F" w:rsidRPr="009118AB" w:rsidRDefault="00477B8F" w:rsidP="002008CA">
            <w:pPr>
              <w:autoSpaceDE w:val="0"/>
              <w:autoSpaceDN w:val="0"/>
              <w:adjustRightInd w:val="0"/>
            </w:pPr>
            <w:r w:rsidRPr="009118AB">
              <w:t>16,33</w:t>
            </w:r>
          </w:p>
        </w:tc>
      </w:tr>
      <w:tr w:rsidR="00477B8F" w:rsidRPr="009118AB" w14:paraId="25A3E62A" w14:textId="77777777" w:rsidTr="002008CA">
        <w:trPr>
          <w:cantSplit/>
          <w:trHeight w:val="403"/>
        </w:trPr>
        <w:tc>
          <w:tcPr>
            <w:tcW w:w="4024" w:type="dxa"/>
            <w:tcBorders>
              <w:top w:val="nil"/>
              <w:left w:val="nil"/>
              <w:bottom w:val="nil"/>
              <w:right w:val="nil"/>
            </w:tcBorders>
          </w:tcPr>
          <w:p w14:paraId="6BBB136C" w14:textId="77777777" w:rsidR="00477B8F" w:rsidRPr="009118AB" w:rsidRDefault="00477B8F" w:rsidP="002008CA">
            <w:pPr>
              <w:autoSpaceDE w:val="0"/>
              <w:autoSpaceDN w:val="0"/>
              <w:adjustRightInd w:val="0"/>
            </w:pPr>
            <w:r w:rsidRPr="009118AB">
              <w:t>1919</w:t>
            </w:r>
          </w:p>
        </w:tc>
        <w:tc>
          <w:tcPr>
            <w:tcW w:w="4281" w:type="dxa"/>
            <w:tcBorders>
              <w:top w:val="nil"/>
              <w:left w:val="nil"/>
              <w:bottom w:val="nil"/>
              <w:right w:val="nil"/>
            </w:tcBorders>
          </w:tcPr>
          <w:p w14:paraId="02E4FBFE" w14:textId="77777777" w:rsidR="00477B8F" w:rsidRPr="009118AB" w:rsidRDefault="00477B8F" w:rsidP="002008CA">
            <w:pPr>
              <w:autoSpaceDE w:val="0"/>
              <w:autoSpaceDN w:val="0"/>
              <w:adjustRightInd w:val="0"/>
            </w:pPr>
            <w:r w:rsidRPr="009118AB">
              <w:t>11,49</w:t>
            </w:r>
          </w:p>
        </w:tc>
      </w:tr>
      <w:tr w:rsidR="00477B8F" w:rsidRPr="009118AB" w14:paraId="15A4CF96" w14:textId="77777777" w:rsidTr="002008CA">
        <w:trPr>
          <w:cantSplit/>
          <w:trHeight w:val="403"/>
        </w:trPr>
        <w:tc>
          <w:tcPr>
            <w:tcW w:w="4024" w:type="dxa"/>
            <w:tcBorders>
              <w:top w:val="nil"/>
              <w:left w:val="nil"/>
              <w:bottom w:val="nil"/>
              <w:right w:val="nil"/>
            </w:tcBorders>
          </w:tcPr>
          <w:p w14:paraId="1BC19727" w14:textId="77777777" w:rsidR="00477B8F" w:rsidRPr="009118AB" w:rsidRDefault="00477B8F" w:rsidP="002008CA">
            <w:pPr>
              <w:autoSpaceDE w:val="0"/>
              <w:autoSpaceDN w:val="0"/>
              <w:adjustRightInd w:val="0"/>
            </w:pPr>
            <w:r w:rsidRPr="009118AB">
              <w:t>1920</w:t>
            </w:r>
          </w:p>
        </w:tc>
        <w:tc>
          <w:tcPr>
            <w:tcW w:w="4281" w:type="dxa"/>
            <w:tcBorders>
              <w:top w:val="nil"/>
              <w:left w:val="nil"/>
              <w:bottom w:val="nil"/>
              <w:right w:val="nil"/>
            </w:tcBorders>
          </w:tcPr>
          <w:p w14:paraId="6CD07EFE" w14:textId="77777777" w:rsidR="00477B8F" w:rsidRPr="009118AB" w:rsidRDefault="00477B8F" w:rsidP="002008CA">
            <w:pPr>
              <w:autoSpaceDE w:val="0"/>
              <w:autoSpaceDN w:val="0"/>
              <w:adjustRightInd w:val="0"/>
            </w:pPr>
            <w:r w:rsidRPr="009118AB">
              <w:t>6,15</w:t>
            </w:r>
          </w:p>
        </w:tc>
      </w:tr>
      <w:tr w:rsidR="00477B8F" w:rsidRPr="009118AB" w14:paraId="475C535E" w14:textId="77777777" w:rsidTr="002008CA">
        <w:trPr>
          <w:cantSplit/>
          <w:trHeight w:val="403"/>
        </w:trPr>
        <w:tc>
          <w:tcPr>
            <w:tcW w:w="4024" w:type="dxa"/>
            <w:tcBorders>
              <w:top w:val="nil"/>
              <w:left w:val="nil"/>
              <w:bottom w:val="nil"/>
              <w:right w:val="nil"/>
            </w:tcBorders>
          </w:tcPr>
          <w:p w14:paraId="6EBC63F6" w14:textId="77777777" w:rsidR="00477B8F" w:rsidRPr="009118AB" w:rsidRDefault="00477B8F" w:rsidP="002008CA">
            <w:pPr>
              <w:autoSpaceDE w:val="0"/>
              <w:autoSpaceDN w:val="0"/>
              <w:adjustRightInd w:val="0"/>
            </w:pPr>
            <w:r w:rsidRPr="009118AB">
              <w:t>1921</w:t>
            </w:r>
          </w:p>
        </w:tc>
        <w:tc>
          <w:tcPr>
            <w:tcW w:w="4281" w:type="dxa"/>
            <w:tcBorders>
              <w:top w:val="nil"/>
              <w:left w:val="nil"/>
              <w:bottom w:val="nil"/>
              <w:right w:val="nil"/>
            </w:tcBorders>
          </w:tcPr>
          <w:p w14:paraId="4C53D698" w14:textId="77777777" w:rsidR="00477B8F" w:rsidRPr="009118AB" w:rsidRDefault="00477B8F" w:rsidP="002008CA">
            <w:pPr>
              <w:autoSpaceDE w:val="0"/>
              <w:autoSpaceDN w:val="0"/>
              <w:adjustRightInd w:val="0"/>
            </w:pPr>
            <w:r w:rsidRPr="009118AB">
              <w:t>6,3</w:t>
            </w:r>
          </w:p>
        </w:tc>
      </w:tr>
      <w:tr w:rsidR="00477B8F" w:rsidRPr="009118AB" w14:paraId="701AEF42" w14:textId="77777777" w:rsidTr="002008CA">
        <w:trPr>
          <w:cantSplit/>
          <w:trHeight w:val="403"/>
        </w:trPr>
        <w:tc>
          <w:tcPr>
            <w:tcW w:w="4024" w:type="dxa"/>
            <w:tcBorders>
              <w:top w:val="nil"/>
              <w:left w:val="nil"/>
              <w:bottom w:val="nil"/>
              <w:right w:val="nil"/>
            </w:tcBorders>
          </w:tcPr>
          <w:p w14:paraId="3BF7284C" w14:textId="77777777" w:rsidR="00477B8F" w:rsidRPr="009118AB" w:rsidRDefault="00477B8F" w:rsidP="002008CA">
            <w:pPr>
              <w:autoSpaceDE w:val="0"/>
              <w:autoSpaceDN w:val="0"/>
              <w:adjustRightInd w:val="0"/>
            </w:pPr>
            <w:r w:rsidRPr="009118AB">
              <w:t>1922</w:t>
            </w:r>
          </w:p>
        </w:tc>
        <w:tc>
          <w:tcPr>
            <w:tcW w:w="4281" w:type="dxa"/>
            <w:tcBorders>
              <w:top w:val="nil"/>
              <w:left w:val="nil"/>
              <w:bottom w:val="nil"/>
              <w:right w:val="nil"/>
            </w:tcBorders>
          </w:tcPr>
          <w:p w14:paraId="13D1BBB6" w14:textId="77777777" w:rsidR="00477B8F" w:rsidRPr="009118AB" w:rsidRDefault="00477B8F" w:rsidP="002008CA">
            <w:pPr>
              <w:autoSpaceDE w:val="0"/>
              <w:autoSpaceDN w:val="0"/>
              <w:adjustRightInd w:val="0"/>
            </w:pPr>
            <w:r w:rsidRPr="009118AB">
              <w:t>6,43</w:t>
            </w:r>
          </w:p>
        </w:tc>
      </w:tr>
      <w:tr w:rsidR="00477B8F" w:rsidRPr="009118AB" w14:paraId="073D487D" w14:textId="77777777" w:rsidTr="002008CA">
        <w:trPr>
          <w:cantSplit/>
          <w:trHeight w:val="403"/>
        </w:trPr>
        <w:tc>
          <w:tcPr>
            <w:tcW w:w="4024" w:type="dxa"/>
            <w:tcBorders>
              <w:top w:val="nil"/>
              <w:left w:val="nil"/>
              <w:bottom w:val="nil"/>
              <w:right w:val="nil"/>
            </w:tcBorders>
          </w:tcPr>
          <w:p w14:paraId="5459B561" w14:textId="77777777" w:rsidR="00477B8F" w:rsidRPr="009118AB" w:rsidRDefault="00477B8F" w:rsidP="002008CA">
            <w:pPr>
              <w:autoSpaceDE w:val="0"/>
              <w:autoSpaceDN w:val="0"/>
              <w:adjustRightInd w:val="0"/>
            </w:pPr>
            <w:r w:rsidRPr="009118AB">
              <w:t>1923</w:t>
            </w:r>
          </w:p>
        </w:tc>
        <w:tc>
          <w:tcPr>
            <w:tcW w:w="4281" w:type="dxa"/>
            <w:tcBorders>
              <w:top w:val="nil"/>
              <w:left w:val="nil"/>
              <w:bottom w:val="nil"/>
              <w:right w:val="nil"/>
            </w:tcBorders>
          </w:tcPr>
          <w:p w14:paraId="10903491" w14:textId="77777777" w:rsidR="00477B8F" w:rsidRPr="009118AB" w:rsidRDefault="00477B8F" w:rsidP="002008CA">
            <w:pPr>
              <w:autoSpaceDE w:val="0"/>
              <w:autoSpaceDN w:val="0"/>
              <w:adjustRightInd w:val="0"/>
            </w:pPr>
            <w:r w:rsidRPr="009118AB">
              <w:t>4,37</w:t>
            </w:r>
          </w:p>
        </w:tc>
      </w:tr>
      <w:tr w:rsidR="00477B8F" w:rsidRPr="009118AB" w14:paraId="433EE435" w14:textId="77777777" w:rsidTr="002008CA">
        <w:trPr>
          <w:cantSplit/>
          <w:trHeight w:val="403"/>
        </w:trPr>
        <w:tc>
          <w:tcPr>
            <w:tcW w:w="4024" w:type="dxa"/>
            <w:tcBorders>
              <w:top w:val="nil"/>
              <w:left w:val="nil"/>
              <w:bottom w:val="nil"/>
              <w:right w:val="nil"/>
            </w:tcBorders>
          </w:tcPr>
          <w:p w14:paraId="5512A486" w14:textId="77777777" w:rsidR="00477B8F" w:rsidRPr="009118AB" w:rsidRDefault="00477B8F" w:rsidP="002008CA">
            <w:pPr>
              <w:autoSpaceDE w:val="0"/>
              <w:autoSpaceDN w:val="0"/>
              <w:adjustRightInd w:val="0"/>
            </w:pPr>
            <w:r w:rsidRPr="009118AB">
              <w:t>1924</w:t>
            </w:r>
          </w:p>
        </w:tc>
        <w:tc>
          <w:tcPr>
            <w:tcW w:w="4281" w:type="dxa"/>
            <w:tcBorders>
              <w:top w:val="nil"/>
              <w:left w:val="nil"/>
              <w:bottom w:val="nil"/>
              <w:right w:val="nil"/>
            </w:tcBorders>
          </w:tcPr>
          <w:p w14:paraId="473E7C99" w14:textId="77777777" w:rsidR="00477B8F" w:rsidRPr="009118AB" w:rsidRDefault="00477B8F" w:rsidP="002008CA">
            <w:pPr>
              <w:autoSpaceDE w:val="0"/>
              <w:autoSpaceDN w:val="0"/>
              <w:adjustRightInd w:val="0"/>
            </w:pPr>
            <w:r w:rsidRPr="009118AB">
              <w:t>3,89</w:t>
            </w:r>
          </w:p>
        </w:tc>
      </w:tr>
      <w:tr w:rsidR="00477B8F" w:rsidRPr="009118AB" w14:paraId="705DEA20" w14:textId="77777777" w:rsidTr="002008CA">
        <w:trPr>
          <w:cantSplit/>
          <w:trHeight w:val="403"/>
        </w:trPr>
        <w:tc>
          <w:tcPr>
            <w:tcW w:w="4024" w:type="dxa"/>
            <w:tcBorders>
              <w:top w:val="nil"/>
              <w:left w:val="nil"/>
              <w:bottom w:val="nil"/>
              <w:right w:val="nil"/>
            </w:tcBorders>
          </w:tcPr>
          <w:p w14:paraId="5EC58AF0" w14:textId="77777777" w:rsidR="00477B8F" w:rsidRPr="009118AB" w:rsidRDefault="00477B8F" w:rsidP="002008CA">
            <w:pPr>
              <w:autoSpaceDE w:val="0"/>
              <w:autoSpaceDN w:val="0"/>
              <w:adjustRightInd w:val="0"/>
            </w:pPr>
            <w:r w:rsidRPr="009118AB">
              <w:t>1925</w:t>
            </w:r>
          </w:p>
        </w:tc>
        <w:tc>
          <w:tcPr>
            <w:tcW w:w="4281" w:type="dxa"/>
            <w:tcBorders>
              <w:top w:val="nil"/>
              <w:left w:val="nil"/>
              <w:bottom w:val="nil"/>
              <w:right w:val="nil"/>
            </w:tcBorders>
          </w:tcPr>
          <w:p w14:paraId="5B6FF02E" w14:textId="77777777" w:rsidR="00477B8F" w:rsidRPr="009118AB" w:rsidRDefault="00477B8F" w:rsidP="002008CA">
            <w:pPr>
              <w:autoSpaceDE w:val="0"/>
              <w:autoSpaceDN w:val="0"/>
              <w:adjustRightInd w:val="0"/>
            </w:pPr>
            <w:r w:rsidRPr="009118AB">
              <w:t>4,02</w:t>
            </w:r>
          </w:p>
        </w:tc>
      </w:tr>
      <w:tr w:rsidR="00477B8F" w:rsidRPr="009118AB" w14:paraId="62047042" w14:textId="77777777" w:rsidTr="002008CA">
        <w:trPr>
          <w:cantSplit/>
          <w:trHeight w:val="403"/>
        </w:trPr>
        <w:tc>
          <w:tcPr>
            <w:tcW w:w="4024" w:type="dxa"/>
            <w:tcBorders>
              <w:top w:val="nil"/>
              <w:left w:val="nil"/>
              <w:bottom w:val="nil"/>
              <w:right w:val="nil"/>
            </w:tcBorders>
          </w:tcPr>
          <w:p w14:paraId="5DEBD086" w14:textId="77777777" w:rsidR="00477B8F" w:rsidRPr="009118AB" w:rsidRDefault="00477B8F" w:rsidP="002008CA">
            <w:pPr>
              <w:autoSpaceDE w:val="0"/>
              <w:autoSpaceDN w:val="0"/>
              <w:adjustRightInd w:val="0"/>
            </w:pPr>
            <w:r w:rsidRPr="009118AB">
              <w:t>1926</w:t>
            </w:r>
          </w:p>
        </w:tc>
        <w:tc>
          <w:tcPr>
            <w:tcW w:w="4281" w:type="dxa"/>
            <w:tcBorders>
              <w:top w:val="nil"/>
              <w:left w:val="nil"/>
              <w:bottom w:val="nil"/>
              <w:right w:val="nil"/>
            </w:tcBorders>
          </w:tcPr>
          <w:p w14:paraId="3AAB8B1B" w14:textId="77777777" w:rsidR="00477B8F" w:rsidRPr="009118AB" w:rsidRDefault="00477B8F" w:rsidP="002008CA">
            <w:pPr>
              <w:autoSpaceDE w:val="0"/>
              <w:autoSpaceDN w:val="0"/>
              <w:adjustRightInd w:val="0"/>
            </w:pPr>
            <w:r w:rsidRPr="009118AB">
              <w:t>2,72</w:t>
            </w:r>
          </w:p>
        </w:tc>
      </w:tr>
      <w:tr w:rsidR="00477B8F" w:rsidRPr="009118AB" w14:paraId="6AEB7245" w14:textId="77777777" w:rsidTr="002008CA">
        <w:trPr>
          <w:cantSplit/>
          <w:trHeight w:val="403"/>
        </w:trPr>
        <w:tc>
          <w:tcPr>
            <w:tcW w:w="4024" w:type="dxa"/>
            <w:tcBorders>
              <w:top w:val="nil"/>
              <w:left w:val="nil"/>
              <w:bottom w:val="nil"/>
              <w:right w:val="nil"/>
            </w:tcBorders>
          </w:tcPr>
          <w:p w14:paraId="5F5391EE" w14:textId="77777777" w:rsidR="00477B8F" w:rsidRPr="009118AB" w:rsidRDefault="00477B8F" w:rsidP="002008CA">
            <w:pPr>
              <w:autoSpaceDE w:val="0"/>
              <w:autoSpaceDN w:val="0"/>
              <w:adjustRightInd w:val="0"/>
            </w:pPr>
            <w:r w:rsidRPr="009118AB">
              <w:t>1927 bis 1934 einschließlich</w:t>
            </w:r>
          </w:p>
        </w:tc>
        <w:tc>
          <w:tcPr>
            <w:tcW w:w="4281" w:type="dxa"/>
            <w:tcBorders>
              <w:top w:val="nil"/>
              <w:left w:val="nil"/>
              <w:bottom w:val="nil"/>
              <w:right w:val="nil"/>
            </w:tcBorders>
          </w:tcPr>
          <w:p w14:paraId="24123E44" w14:textId="77777777" w:rsidR="00477B8F" w:rsidRPr="009118AB" w:rsidRDefault="00477B8F" w:rsidP="002008CA">
            <w:pPr>
              <w:autoSpaceDE w:val="0"/>
              <w:autoSpaceDN w:val="0"/>
              <w:adjustRightInd w:val="0"/>
            </w:pPr>
            <w:r w:rsidRPr="009118AB">
              <w:t>2,35</w:t>
            </w:r>
          </w:p>
        </w:tc>
      </w:tr>
      <w:tr w:rsidR="00477B8F" w:rsidRPr="009118AB" w14:paraId="67DBD423" w14:textId="77777777" w:rsidTr="002008CA">
        <w:trPr>
          <w:cantSplit/>
          <w:trHeight w:val="403"/>
        </w:trPr>
        <w:tc>
          <w:tcPr>
            <w:tcW w:w="4024" w:type="dxa"/>
            <w:tcBorders>
              <w:top w:val="nil"/>
              <w:left w:val="nil"/>
              <w:bottom w:val="nil"/>
              <w:right w:val="nil"/>
            </w:tcBorders>
          </w:tcPr>
          <w:p w14:paraId="658BAA6A" w14:textId="77777777" w:rsidR="00477B8F" w:rsidRPr="009118AB" w:rsidRDefault="00477B8F" w:rsidP="002008CA">
            <w:pPr>
              <w:autoSpaceDE w:val="0"/>
              <w:autoSpaceDN w:val="0"/>
              <w:adjustRightInd w:val="0"/>
            </w:pPr>
            <w:r w:rsidRPr="009118AB">
              <w:t>1935</w:t>
            </w:r>
          </w:p>
        </w:tc>
        <w:tc>
          <w:tcPr>
            <w:tcW w:w="4281" w:type="dxa"/>
            <w:tcBorders>
              <w:top w:val="nil"/>
              <w:left w:val="nil"/>
              <w:bottom w:val="nil"/>
              <w:right w:val="nil"/>
            </w:tcBorders>
          </w:tcPr>
          <w:p w14:paraId="3A158D55" w14:textId="77777777" w:rsidR="00477B8F" w:rsidRPr="009118AB" w:rsidRDefault="00477B8F" w:rsidP="002008CA">
            <w:pPr>
              <w:autoSpaceDE w:val="0"/>
              <w:autoSpaceDN w:val="0"/>
              <w:adjustRightInd w:val="0"/>
            </w:pPr>
            <w:r w:rsidRPr="009118AB">
              <w:t>1,86</w:t>
            </w:r>
          </w:p>
        </w:tc>
      </w:tr>
      <w:tr w:rsidR="00477B8F" w:rsidRPr="009118AB" w14:paraId="2EFE8629" w14:textId="77777777" w:rsidTr="002008CA">
        <w:trPr>
          <w:cantSplit/>
          <w:trHeight w:val="403"/>
        </w:trPr>
        <w:tc>
          <w:tcPr>
            <w:tcW w:w="4024" w:type="dxa"/>
            <w:tcBorders>
              <w:top w:val="nil"/>
              <w:left w:val="nil"/>
              <w:bottom w:val="nil"/>
              <w:right w:val="nil"/>
            </w:tcBorders>
          </w:tcPr>
          <w:p w14:paraId="77662FE2" w14:textId="77777777" w:rsidR="00477B8F" w:rsidRPr="009118AB" w:rsidRDefault="00477B8F" w:rsidP="002008CA">
            <w:pPr>
              <w:autoSpaceDE w:val="0"/>
              <w:autoSpaceDN w:val="0"/>
              <w:adjustRightInd w:val="0"/>
            </w:pPr>
            <w:r w:rsidRPr="009118AB">
              <w:t>1936 bis 1943 einschließlich</w:t>
            </w:r>
          </w:p>
        </w:tc>
        <w:tc>
          <w:tcPr>
            <w:tcW w:w="4281" w:type="dxa"/>
            <w:tcBorders>
              <w:top w:val="nil"/>
              <w:left w:val="nil"/>
              <w:bottom w:val="nil"/>
              <w:right w:val="nil"/>
            </w:tcBorders>
          </w:tcPr>
          <w:p w14:paraId="2647E3E5" w14:textId="77777777" w:rsidR="00477B8F" w:rsidRPr="009118AB" w:rsidRDefault="00477B8F" w:rsidP="002008CA">
            <w:pPr>
              <w:autoSpaceDE w:val="0"/>
              <w:autoSpaceDN w:val="0"/>
              <w:adjustRightInd w:val="0"/>
            </w:pPr>
            <w:r w:rsidRPr="009118AB">
              <w:t>1,7</w:t>
            </w:r>
          </w:p>
        </w:tc>
      </w:tr>
      <w:tr w:rsidR="00477B8F" w:rsidRPr="009118AB" w14:paraId="51701A67" w14:textId="77777777" w:rsidTr="002008CA">
        <w:trPr>
          <w:cantSplit/>
          <w:trHeight w:val="403"/>
        </w:trPr>
        <w:tc>
          <w:tcPr>
            <w:tcW w:w="4024" w:type="dxa"/>
            <w:tcBorders>
              <w:top w:val="nil"/>
              <w:left w:val="nil"/>
              <w:bottom w:val="nil"/>
              <w:right w:val="nil"/>
            </w:tcBorders>
          </w:tcPr>
          <w:p w14:paraId="756D8EAF" w14:textId="77777777" w:rsidR="00477B8F" w:rsidRPr="009118AB" w:rsidRDefault="00477B8F" w:rsidP="002008CA">
            <w:pPr>
              <w:autoSpaceDE w:val="0"/>
              <w:autoSpaceDN w:val="0"/>
              <w:adjustRightInd w:val="0"/>
            </w:pPr>
            <w:r w:rsidRPr="009118AB">
              <w:t>1944 bis 1948 einschließlich</w:t>
            </w:r>
          </w:p>
        </w:tc>
        <w:tc>
          <w:tcPr>
            <w:tcW w:w="4281" w:type="dxa"/>
            <w:tcBorders>
              <w:top w:val="nil"/>
              <w:left w:val="nil"/>
              <w:bottom w:val="nil"/>
              <w:right w:val="nil"/>
            </w:tcBorders>
          </w:tcPr>
          <w:p w14:paraId="0707CDD5" w14:textId="77777777" w:rsidR="00477B8F" w:rsidRPr="009118AB" w:rsidRDefault="00477B8F" w:rsidP="002008CA">
            <w:pPr>
              <w:autoSpaceDE w:val="0"/>
              <w:autoSpaceDN w:val="0"/>
              <w:adjustRightInd w:val="0"/>
            </w:pPr>
            <w:r w:rsidRPr="009118AB">
              <w:t>1,14</w:t>
            </w:r>
          </w:p>
        </w:tc>
      </w:tr>
      <w:tr w:rsidR="00477B8F" w:rsidRPr="009118AB" w14:paraId="5DA471C5" w14:textId="77777777" w:rsidTr="002008CA">
        <w:trPr>
          <w:cantSplit/>
          <w:trHeight w:val="403"/>
        </w:trPr>
        <w:tc>
          <w:tcPr>
            <w:tcW w:w="4024" w:type="dxa"/>
            <w:tcBorders>
              <w:top w:val="nil"/>
              <w:left w:val="nil"/>
              <w:bottom w:val="nil"/>
              <w:right w:val="nil"/>
            </w:tcBorders>
          </w:tcPr>
          <w:p w14:paraId="54B1B9D5" w14:textId="77777777" w:rsidR="00477B8F" w:rsidRPr="009118AB" w:rsidRDefault="00477B8F" w:rsidP="002008CA">
            <w:pPr>
              <w:autoSpaceDE w:val="0"/>
              <w:autoSpaceDN w:val="0"/>
              <w:adjustRightInd w:val="0"/>
            </w:pPr>
            <w:r w:rsidRPr="009118AB">
              <w:t>1949</w:t>
            </w:r>
          </w:p>
        </w:tc>
        <w:tc>
          <w:tcPr>
            <w:tcW w:w="4281" w:type="dxa"/>
            <w:tcBorders>
              <w:top w:val="nil"/>
              <w:left w:val="nil"/>
              <w:bottom w:val="nil"/>
              <w:right w:val="nil"/>
            </w:tcBorders>
          </w:tcPr>
          <w:p w14:paraId="4133071B" w14:textId="77777777" w:rsidR="00477B8F" w:rsidRPr="009118AB" w:rsidRDefault="00477B8F" w:rsidP="002008CA">
            <w:pPr>
              <w:autoSpaceDE w:val="0"/>
              <w:autoSpaceDN w:val="0"/>
              <w:adjustRightInd w:val="0"/>
            </w:pPr>
            <w:r w:rsidRPr="009118AB">
              <w:t>1,1</w:t>
            </w:r>
          </w:p>
        </w:tc>
      </w:tr>
      <w:tr w:rsidR="00477B8F" w:rsidRPr="009118AB" w14:paraId="74AFD1E2" w14:textId="77777777" w:rsidTr="002008CA">
        <w:trPr>
          <w:cantSplit/>
        </w:trPr>
        <w:tc>
          <w:tcPr>
            <w:tcW w:w="4024" w:type="dxa"/>
            <w:tcBorders>
              <w:top w:val="nil"/>
              <w:left w:val="nil"/>
              <w:bottom w:val="nil"/>
              <w:right w:val="nil"/>
            </w:tcBorders>
          </w:tcPr>
          <w:p w14:paraId="08AD800A" w14:textId="77777777" w:rsidR="00477B8F" w:rsidRPr="009118AB" w:rsidRDefault="00477B8F" w:rsidP="002008CA">
            <w:pPr>
              <w:autoSpaceDE w:val="0"/>
              <w:autoSpaceDN w:val="0"/>
              <w:adjustRightInd w:val="0"/>
            </w:pPr>
            <w:r w:rsidRPr="009118AB">
              <w:t>1950 und nachfolgende</w:t>
            </w:r>
          </w:p>
        </w:tc>
        <w:tc>
          <w:tcPr>
            <w:tcW w:w="4281" w:type="dxa"/>
            <w:tcBorders>
              <w:top w:val="nil"/>
              <w:left w:val="nil"/>
              <w:bottom w:val="nil"/>
              <w:right w:val="nil"/>
            </w:tcBorders>
          </w:tcPr>
          <w:p w14:paraId="0315C193" w14:textId="77777777" w:rsidR="00477B8F" w:rsidRPr="009118AB" w:rsidRDefault="00477B8F" w:rsidP="002008CA">
            <w:pPr>
              <w:autoSpaceDE w:val="0"/>
              <w:autoSpaceDN w:val="0"/>
              <w:adjustRightInd w:val="0"/>
            </w:pPr>
            <w:r w:rsidRPr="009118AB">
              <w:t>1</w:t>
            </w:r>
          </w:p>
        </w:tc>
      </w:tr>
    </w:tbl>
    <w:p w14:paraId="1813AEC3" w14:textId="77777777" w:rsidR="002008CA" w:rsidRPr="009118AB" w:rsidRDefault="002008CA" w:rsidP="002008CA">
      <w:pPr>
        <w:autoSpaceDE w:val="0"/>
        <w:autoSpaceDN w:val="0"/>
        <w:adjustRightInd w:val="0"/>
        <w:jc w:val="both"/>
      </w:pPr>
    </w:p>
    <w:p w14:paraId="4624295C" w14:textId="77777777" w:rsidR="00477B8F" w:rsidRPr="009118AB" w:rsidRDefault="00585974" w:rsidP="002008CA">
      <w:pPr>
        <w:autoSpaceDE w:val="0"/>
        <w:autoSpaceDN w:val="0"/>
        <w:adjustRightInd w:val="0"/>
        <w:jc w:val="both"/>
      </w:pPr>
      <w:r w:rsidRPr="009118AB">
        <w:tab/>
      </w:r>
      <w:r w:rsidR="00477B8F" w:rsidRPr="009118AB">
        <w:t>8. Festverzinsliche Wertpapiere</w:t>
      </w:r>
    </w:p>
    <w:p w14:paraId="745382F0" w14:textId="77777777" w:rsidR="00477B8F" w:rsidRPr="009118AB" w:rsidRDefault="00477B8F" w:rsidP="002008CA">
      <w:pPr>
        <w:autoSpaceDE w:val="0"/>
        <w:autoSpaceDN w:val="0"/>
        <w:adjustRightInd w:val="0"/>
        <w:jc w:val="both"/>
      </w:pPr>
    </w:p>
    <w:p w14:paraId="42D32D32" w14:textId="77777777" w:rsidR="002008CA" w:rsidRPr="009118AB" w:rsidRDefault="00585974" w:rsidP="002008CA">
      <w:pPr>
        <w:autoSpaceDE w:val="0"/>
        <w:autoSpaceDN w:val="0"/>
        <w:adjustRightInd w:val="0"/>
        <w:jc w:val="both"/>
      </w:pPr>
      <w:r w:rsidRPr="009118AB">
        <w:tab/>
      </w:r>
      <w:r w:rsidR="00477B8F" w:rsidRPr="009118AB">
        <w:t>Unter festverzinslichen Wertpapieren versteht man Schuldverschreibungen, Kassenbons und andere ähnliche Wertpapiere einschließlich Wertpapiere, deren Einkünfte zum Kapital geschlagen werden, oder Wertpapiere, die nicht zu einer periodischen Auszahlung von Einkünften führen und mit einem Diskont, der den kapitalisierten Zinsen bis zur Fälligkeit des Wertpapiers entspricht, ausgegeben wurden.</w:t>
      </w:r>
    </w:p>
    <w:p w14:paraId="3A79A251" w14:textId="77777777" w:rsidR="002008CA" w:rsidRPr="009118AB" w:rsidRDefault="002008CA" w:rsidP="002008CA">
      <w:pPr>
        <w:autoSpaceDE w:val="0"/>
        <w:autoSpaceDN w:val="0"/>
        <w:adjustRightInd w:val="0"/>
        <w:jc w:val="both"/>
      </w:pPr>
    </w:p>
    <w:p w14:paraId="6754DE62" w14:textId="77777777" w:rsidR="002008CA" w:rsidRPr="009118AB" w:rsidRDefault="00585974" w:rsidP="002008CA">
      <w:pPr>
        <w:autoSpaceDE w:val="0"/>
        <w:autoSpaceDN w:val="0"/>
        <w:adjustRightInd w:val="0"/>
        <w:jc w:val="both"/>
      </w:pPr>
      <w:r w:rsidRPr="009118AB">
        <w:tab/>
      </w:r>
      <w:r w:rsidR="00477B8F" w:rsidRPr="009118AB">
        <w:t>Als festverzinsliche Wertpapiere werden auch Verträge über Kapitalisierungsgeschäfte angesehen, die als Gegenleistung für einmalige oder periodische Zahlungen Verbindlichkeiten vorsehen, die unabhängig von jedem zufälligen Ereignis des menschlichen Lebens sind und deren Dauer und Betrag aus den Vertragsklauseln hervorgehen.</w:t>
      </w:r>
    </w:p>
    <w:p w14:paraId="3DE43117" w14:textId="77777777" w:rsidR="002008CA" w:rsidRPr="009118AB" w:rsidRDefault="002008CA" w:rsidP="002008CA">
      <w:pPr>
        <w:autoSpaceDE w:val="0"/>
        <w:autoSpaceDN w:val="0"/>
        <w:adjustRightInd w:val="0"/>
        <w:jc w:val="both"/>
      </w:pPr>
    </w:p>
    <w:p w14:paraId="763C10E0" w14:textId="77777777" w:rsidR="002008CA" w:rsidRPr="009118AB" w:rsidRDefault="00585974" w:rsidP="002008CA">
      <w:pPr>
        <w:autoSpaceDE w:val="0"/>
        <w:autoSpaceDN w:val="0"/>
        <w:adjustRightInd w:val="0"/>
        <w:jc w:val="both"/>
      </w:pPr>
      <w:r w:rsidRPr="009118AB">
        <w:tab/>
      </w:r>
      <w:r w:rsidR="00477B8F" w:rsidRPr="009118AB">
        <w:t xml:space="preserve">9. Die Begriffe </w:t>
      </w:r>
      <w:r w:rsidR="00117C1A" w:rsidRPr="009118AB">
        <w:t>"</w:t>
      </w:r>
      <w:r w:rsidR="00477B8F" w:rsidRPr="009118AB">
        <w:t>immaterielle Anlagen, Sachanlagen oder Finanzanlagen</w:t>
      </w:r>
      <w:r w:rsidR="00117C1A" w:rsidRPr="009118AB">
        <w:t>"</w:t>
      </w:r>
      <w:r w:rsidR="00477B8F" w:rsidRPr="009118AB">
        <w:t xml:space="preserve">, </w:t>
      </w:r>
      <w:r w:rsidR="00117C1A" w:rsidRPr="009118AB">
        <w:t>"</w:t>
      </w:r>
      <w:r w:rsidR="00477B8F" w:rsidRPr="009118AB">
        <w:t>Gründungskosten</w:t>
      </w:r>
      <w:r w:rsidR="00117C1A" w:rsidRPr="009118AB">
        <w:t>"</w:t>
      </w:r>
      <w:r w:rsidR="00477B8F" w:rsidRPr="009118AB">
        <w:t xml:space="preserve"> und </w:t>
      </w:r>
      <w:r w:rsidR="00117C1A" w:rsidRPr="009118AB">
        <w:t>"</w:t>
      </w:r>
      <w:r w:rsidR="00477B8F" w:rsidRPr="009118AB">
        <w:t>Bestände und in Ausführung befindliche Bestellungen</w:t>
      </w:r>
      <w:r w:rsidR="00117C1A" w:rsidRPr="009118AB">
        <w:t>"</w:t>
      </w:r>
      <w:r w:rsidR="00477B8F" w:rsidRPr="009118AB">
        <w:t xml:space="preserve"> haben die Bedeutung, die ihnen in den Rechtsvorschriften über die Buchhaltung und den Jahresabschluss der Unternehmen beigemessen wird.]</w:t>
      </w:r>
    </w:p>
    <w:p w14:paraId="79605330" w14:textId="77777777" w:rsidR="002008CA" w:rsidRPr="009118AB" w:rsidRDefault="002008CA" w:rsidP="002008CA">
      <w:pPr>
        <w:autoSpaceDE w:val="0"/>
        <w:autoSpaceDN w:val="0"/>
        <w:adjustRightInd w:val="0"/>
        <w:jc w:val="both"/>
      </w:pPr>
    </w:p>
    <w:p w14:paraId="5353E665" w14:textId="6A8FB0F0" w:rsidR="002008CA" w:rsidRPr="009118AB" w:rsidRDefault="00585974" w:rsidP="00FC2DA4">
      <w:pPr>
        <w:autoSpaceDE w:val="0"/>
        <w:autoSpaceDN w:val="0"/>
        <w:adjustRightInd w:val="0"/>
        <w:jc w:val="both"/>
        <w:rPr>
          <w:spacing w:val="-4"/>
        </w:rPr>
      </w:pPr>
      <w:r w:rsidRPr="009118AB">
        <w:lastRenderedPageBreak/>
        <w:tab/>
      </w:r>
      <w:r w:rsidR="00477B8F" w:rsidRPr="009118AB">
        <w:t xml:space="preserve">[10. </w:t>
      </w:r>
      <w:r w:rsidR="00FC2DA4" w:rsidRPr="009118AB">
        <w:t>[...]</w:t>
      </w:r>
      <w:r w:rsidR="00477B8F" w:rsidRPr="009118AB">
        <w:rPr>
          <w:spacing w:val="-4"/>
        </w:rPr>
        <w:t>]</w:t>
      </w:r>
    </w:p>
    <w:p w14:paraId="54BA97A4" w14:textId="77777777" w:rsidR="002008CA" w:rsidRPr="009118AB" w:rsidRDefault="002008CA" w:rsidP="002008CA">
      <w:pPr>
        <w:autoSpaceDE w:val="0"/>
        <w:autoSpaceDN w:val="0"/>
        <w:adjustRightInd w:val="0"/>
        <w:jc w:val="both"/>
      </w:pPr>
    </w:p>
    <w:p w14:paraId="15585E73" w14:textId="77777777" w:rsidR="002008CA" w:rsidRPr="009118AB" w:rsidRDefault="00585974" w:rsidP="002008CA">
      <w:pPr>
        <w:autoSpaceDE w:val="0"/>
        <w:autoSpaceDN w:val="0"/>
        <w:adjustRightInd w:val="0"/>
        <w:jc w:val="both"/>
      </w:pPr>
      <w:r w:rsidRPr="009118AB">
        <w:tab/>
      </w:r>
      <w:r w:rsidR="00477B8F" w:rsidRPr="009118AB">
        <w:t>[11. Finanzinstrumente</w:t>
      </w:r>
    </w:p>
    <w:p w14:paraId="7A2C1C85" w14:textId="77777777" w:rsidR="002008CA" w:rsidRPr="009118AB" w:rsidRDefault="002008CA" w:rsidP="002008CA">
      <w:pPr>
        <w:autoSpaceDE w:val="0"/>
        <w:autoSpaceDN w:val="0"/>
        <w:adjustRightInd w:val="0"/>
        <w:jc w:val="both"/>
      </w:pPr>
    </w:p>
    <w:p w14:paraId="094F03BF" w14:textId="62641F86" w:rsidR="002008CA" w:rsidRPr="009118AB" w:rsidRDefault="00585974" w:rsidP="002008CA">
      <w:pPr>
        <w:autoSpaceDE w:val="0"/>
        <w:autoSpaceDN w:val="0"/>
        <w:adjustRightInd w:val="0"/>
        <w:jc w:val="both"/>
      </w:pPr>
      <w:r w:rsidRPr="009118AB">
        <w:tab/>
      </w:r>
      <w:r w:rsidR="00477B8F" w:rsidRPr="009118AB">
        <w:t xml:space="preserve">Unter Finanzinstrumenten versteht man Finanzinstrumente erwähnt in Artikel 3 </w:t>
      </w:r>
      <w:r w:rsidR="00D67EB8" w:rsidRPr="009118AB">
        <w:t>Nr. </w:t>
      </w:r>
      <w:r w:rsidR="00477B8F" w:rsidRPr="009118AB">
        <w:t>1 des Gesetzes vom 15. Dezember 2004 über Finanzsicherheiten und zur Festlegung verschiedener steuerrechtlicher Bestimmungen in Bezug auf Vereinbarungen über die Leistung von dinglichen Sicherheiten und den Verleih mit Bezug auf Finanzinstrumente.</w:t>
      </w:r>
    </w:p>
    <w:p w14:paraId="374F5961" w14:textId="77777777" w:rsidR="002008CA" w:rsidRPr="009118AB" w:rsidRDefault="002008CA" w:rsidP="002008CA">
      <w:pPr>
        <w:autoSpaceDE w:val="0"/>
        <w:autoSpaceDN w:val="0"/>
        <w:adjustRightInd w:val="0"/>
        <w:jc w:val="both"/>
      </w:pPr>
    </w:p>
    <w:p w14:paraId="7A24B168" w14:textId="6891A681" w:rsidR="002008CA" w:rsidRPr="009118AB" w:rsidRDefault="00585974" w:rsidP="002008CA">
      <w:pPr>
        <w:autoSpaceDE w:val="0"/>
        <w:autoSpaceDN w:val="0"/>
        <w:adjustRightInd w:val="0"/>
        <w:jc w:val="both"/>
      </w:pPr>
      <w:r w:rsidRPr="009118AB">
        <w:tab/>
      </w:r>
      <w:r w:rsidR="00477B8F" w:rsidRPr="009118AB">
        <w:t>12. Vereinbarungen über die Leistung von dinglichen Sicherheiten mit Bezug auf Finanzinstrumente</w:t>
      </w:r>
    </w:p>
    <w:p w14:paraId="6CB6D472" w14:textId="77777777" w:rsidR="002008CA" w:rsidRPr="009118AB" w:rsidRDefault="002008CA" w:rsidP="002008CA">
      <w:pPr>
        <w:autoSpaceDE w:val="0"/>
        <w:autoSpaceDN w:val="0"/>
        <w:adjustRightInd w:val="0"/>
        <w:jc w:val="both"/>
      </w:pPr>
    </w:p>
    <w:p w14:paraId="3D010862" w14:textId="77777777" w:rsidR="002008CA" w:rsidRPr="009118AB" w:rsidRDefault="00585974" w:rsidP="002008CA">
      <w:pPr>
        <w:autoSpaceDE w:val="0"/>
        <w:autoSpaceDN w:val="0"/>
        <w:adjustRightInd w:val="0"/>
        <w:jc w:val="both"/>
      </w:pPr>
      <w:r w:rsidRPr="009118AB">
        <w:tab/>
      </w:r>
      <w:r w:rsidR="00477B8F" w:rsidRPr="009118AB">
        <w:t>Unter Vereinbarungen über die Leistung von dinglichen Sicherheiten mit Bezug auf Finanzinstrumente versteht man:</w:t>
      </w:r>
    </w:p>
    <w:p w14:paraId="6BAB71E3" w14:textId="77777777" w:rsidR="002008CA" w:rsidRPr="009118AB" w:rsidRDefault="002008CA" w:rsidP="002008CA">
      <w:pPr>
        <w:autoSpaceDE w:val="0"/>
        <w:autoSpaceDN w:val="0"/>
        <w:adjustRightInd w:val="0"/>
        <w:jc w:val="both"/>
      </w:pPr>
    </w:p>
    <w:p w14:paraId="2B3D0CF3" w14:textId="260FEB4F" w:rsidR="002008CA" w:rsidRPr="009118AB" w:rsidRDefault="00585974" w:rsidP="002008CA">
      <w:pPr>
        <w:autoSpaceDE w:val="0"/>
        <w:autoSpaceDN w:val="0"/>
        <w:adjustRightInd w:val="0"/>
        <w:jc w:val="both"/>
      </w:pPr>
      <w:r w:rsidRPr="009118AB">
        <w:rPr>
          <w:i/>
          <w:iCs/>
        </w:rPr>
        <w:tab/>
      </w:r>
      <w:r w:rsidR="00477B8F" w:rsidRPr="009118AB">
        <w:rPr>
          <w:i/>
          <w:iCs/>
        </w:rPr>
        <w:t>a)</w:t>
      </w:r>
      <w:r w:rsidR="00477B8F" w:rsidRPr="009118AB">
        <w:t xml:space="preserve"> Pfandvereinbarungen und Vereinbarungen zur Eigentumsübertragung als Sicherheit einschließlich Rückübertragungsvereinbarungen (so genannte </w:t>
      </w:r>
      <w:r w:rsidR="00117C1A" w:rsidRPr="009118AB">
        <w:t>"</w:t>
      </w:r>
      <w:r w:rsidR="00477B8F" w:rsidRPr="009118AB">
        <w:t>Wertpapierpensionsgeschäfte</w:t>
      </w:r>
      <w:r w:rsidR="00117C1A" w:rsidRPr="009118AB">
        <w:t>"</w:t>
      </w:r>
      <w:r w:rsidR="00477B8F" w:rsidRPr="009118AB">
        <w:t xml:space="preserve"> beziehungsweise </w:t>
      </w:r>
      <w:r w:rsidR="00117C1A" w:rsidRPr="009118AB">
        <w:t>"</w:t>
      </w:r>
      <w:r w:rsidR="00477B8F" w:rsidRPr="009118AB">
        <w:t>Repos</w:t>
      </w:r>
      <w:r w:rsidR="00117C1A" w:rsidRPr="009118AB">
        <w:t>"</w:t>
      </w:r>
      <w:r w:rsidR="00477B8F" w:rsidRPr="009118AB">
        <w:t xml:space="preserve">) erwähnt in Artikel 3 </w:t>
      </w:r>
      <w:r w:rsidR="00D67EB8" w:rsidRPr="009118AB">
        <w:t>Nr. </w:t>
      </w:r>
      <w:r w:rsidR="00477B8F" w:rsidRPr="009118AB">
        <w:t>3 des Gesetzes vom 15. Dezember 2004 über Finanzsicherheiten und zur Festlegung verschiedener steuerrechtlicher Bestimmungen in Bezug auf Vereinbarungen über die Leistung von dinglichen Sicherheiten und den Verleih mit Bezug auf Finanzinstrumente,</w:t>
      </w:r>
    </w:p>
    <w:p w14:paraId="602686F0" w14:textId="77777777" w:rsidR="002008CA" w:rsidRPr="009118AB" w:rsidRDefault="002008CA" w:rsidP="002008CA">
      <w:pPr>
        <w:autoSpaceDE w:val="0"/>
        <w:autoSpaceDN w:val="0"/>
        <w:adjustRightInd w:val="0"/>
        <w:jc w:val="both"/>
      </w:pPr>
    </w:p>
    <w:p w14:paraId="41139C06" w14:textId="12DF2DD6" w:rsidR="002008CA" w:rsidRPr="009118AB" w:rsidRDefault="00585974" w:rsidP="002008CA">
      <w:pPr>
        <w:autoSpaceDE w:val="0"/>
        <w:autoSpaceDN w:val="0"/>
        <w:adjustRightInd w:val="0"/>
        <w:jc w:val="both"/>
      </w:pPr>
      <w:r w:rsidRPr="009118AB">
        <w:rPr>
          <w:i/>
          <w:iCs/>
        </w:rPr>
        <w:tab/>
      </w:r>
      <w:r w:rsidR="00477B8F" w:rsidRPr="009118AB">
        <w:rPr>
          <w:i/>
          <w:iCs/>
        </w:rPr>
        <w:t>b)</w:t>
      </w:r>
      <w:r w:rsidR="00477B8F" w:rsidRPr="009118AB">
        <w:t xml:space="preserve"> im Rahmen der in Buchstabe </w:t>
      </w:r>
      <w:r w:rsidR="00477B8F" w:rsidRPr="009118AB">
        <w:rPr>
          <w:i/>
          <w:iCs/>
        </w:rPr>
        <w:t>a)</w:t>
      </w:r>
      <w:r w:rsidR="00477B8F" w:rsidRPr="009118AB">
        <w:t xml:space="preserve"> erwähnten Vereinbarungen Nachdeckungsleistungen erwähnt in Artikel 3 </w:t>
      </w:r>
      <w:r w:rsidR="00D67EB8" w:rsidRPr="009118AB">
        <w:t>Nr. </w:t>
      </w:r>
      <w:r w:rsidR="00477B8F" w:rsidRPr="009118AB">
        <w:t>9 des Gesetzes vom 15. Dezember 2004 über Finanzsicherheiten und zur Festlegung verschiedener steuerrechtlicher Bestimmungen in Bezug auf Vereinbarungen über die Leistung von dinglichen Sicherheiten und den Verleih mit Bezug auf Finanzinstrumente und im Laufe der Vereinbarung erfolgende Ersetzungen der ursprünglich als Sicherheit bestellten Aktiva durch neue Finanzinstrumente,</w:t>
      </w:r>
    </w:p>
    <w:p w14:paraId="28556F2B" w14:textId="77777777" w:rsidR="002008CA" w:rsidRPr="009118AB" w:rsidRDefault="002008CA" w:rsidP="002008CA">
      <w:pPr>
        <w:autoSpaceDE w:val="0"/>
        <w:autoSpaceDN w:val="0"/>
        <w:adjustRightInd w:val="0"/>
        <w:jc w:val="both"/>
      </w:pPr>
    </w:p>
    <w:p w14:paraId="7096880E" w14:textId="77777777" w:rsidR="002008CA" w:rsidRPr="009118AB" w:rsidRDefault="00585974" w:rsidP="002008CA">
      <w:pPr>
        <w:autoSpaceDE w:val="0"/>
        <w:autoSpaceDN w:val="0"/>
        <w:adjustRightInd w:val="0"/>
        <w:jc w:val="both"/>
      </w:pPr>
      <w:r w:rsidRPr="009118AB">
        <w:rPr>
          <w:i/>
          <w:iCs/>
        </w:rPr>
        <w:tab/>
      </w:r>
      <w:r w:rsidR="00477B8F" w:rsidRPr="009118AB">
        <w:rPr>
          <w:i/>
          <w:iCs/>
        </w:rPr>
        <w:t>c)</w:t>
      </w:r>
      <w:r w:rsidR="00477B8F" w:rsidRPr="009118AB">
        <w:t xml:space="preserve"> ähnliche Vereinbarungen wie die in Buchstabe </w:t>
      </w:r>
      <w:r w:rsidR="00477B8F" w:rsidRPr="009118AB">
        <w:rPr>
          <w:i/>
          <w:iCs/>
        </w:rPr>
        <w:t>a)</w:t>
      </w:r>
      <w:r w:rsidR="00477B8F" w:rsidRPr="009118AB">
        <w:t xml:space="preserve"> und </w:t>
      </w:r>
      <w:r w:rsidR="00477B8F" w:rsidRPr="009118AB">
        <w:rPr>
          <w:i/>
          <w:iCs/>
        </w:rPr>
        <w:t>b)</w:t>
      </w:r>
      <w:r w:rsidR="00477B8F" w:rsidRPr="009118AB">
        <w:t xml:space="preserve"> erwähnten Vereinbarungen, die aufgrund von Bestimmungen ausländischen Rechts zu einer Eigentumsübertragung führen oder in Bezug auf Pfandvereinbarungen zu einer Eigentumsübertragung führen können.]</w:t>
      </w:r>
    </w:p>
    <w:p w14:paraId="59EE6D35" w14:textId="77777777" w:rsidR="009C1314" w:rsidRPr="009118AB" w:rsidRDefault="009C1314" w:rsidP="002008CA">
      <w:pPr>
        <w:autoSpaceDE w:val="0"/>
        <w:autoSpaceDN w:val="0"/>
        <w:adjustRightInd w:val="0"/>
        <w:jc w:val="both"/>
      </w:pPr>
    </w:p>
    <w:p w14:paraId="2AE0684A" w14:textId="77777777" w:rsidR="009C1314" w:rsidRPr="009118AB" w:rsidRDefault="00585974" w:rsidP="009C1314">
      <w:pPr>
        <w:jc w:val="both"/>
      </w:pPr>
      <w:r w:rsidRPr="009118AB">
        <w:tab/>
      </w:r>
      <w:r w:rsidR="009C1314" w:rsidRPr="009118AB">
        <w:t xml:space="preserve">[13. Unter Rechtsvereinbarung versteht man: </w:t>
      </w:r>
    </w:p>
    <w:p w14:paraId="7E0DB725" w14:textId="37F38748" w:rsidR="009C1314" w:rsidRPr="009118AB" w:rsidRDefault="009C1314" w:rsidP="009C1314">
      <w:pPr>
        <w:jc w:val="both"/>
      </w:pPr>
    </w:p>
    <w:p w14:paraId="6F380598" w14:textId="77777777" w:rsidR="009C1314" w:rsidRPr="009118AB" w:rsidRDefault="00585974" w:rsidP="009C1314">
      <w:pPr>
        <w:jc w:val="both"/>
        <w:rPr>
          <w:spacing w:val="-4"/>
        </w:rPr>
      </w:pPr>
      <w:r w:rsidRPr="009118AB">
        <w:rPr>
          <w:i/>
          <w:spacing w:val="-4"/>
        </w:rPr>
        <w:tab/>
      </w:r>
      <w:r w:rsidR="009C1314" w:rsidRPr="009118AB">
        <w:rPr>
          <w:i/>
          <w:spacing w:val="-4"/>
        </w:rPr>
        <w:t>a)</w:t>
      </w:r>
      <w:r w:rsidR="009C1314" w:rsidRPr="009118AB">
        <w:rPr>
          <w:spacing w:val="-4"/>
        </w:rPr>
        <w:t> ein Rechtsverhältnis, das durch eine Rechtshandlung des Gründers oder durch eine gerichtliche Entscheidung geschaffen wird, wobei Güter oder Rechte unter die Kontrolle eines Verwalters gestellt werden, damit sie im Interesse eines oder mehrerer Begünstigter oder mit einem bestimmten Ziel verwaltet werden.</w:t>
      </w:r>
      <w:r w:rsidR="00C83EA3" w:rsidRPr="009118AB">
        <w:rPr>
          <w:spacing w:val="-4"/>
        </w:rPr>
        <w:t xml:space="preserve"> </w:t>
      </w:r>
      <w:r w:rsidR="009C1314" w:rsidRPr="009118AB">
        <w:rPr>
          <w:spacing w:val="-4"/>
        </w:rPr>
        <w:t xml:space="preserve">Dieses Rechtsverhältnis weist folgende Merkmale auf: </w:t>
      </w:r>
    </w:p>
    <w:p w14:paraId="533B7B7F" w14:textId="77777777" w:rsidR="009C1314" w:rsidRPr="009118AB" w:rsidRDefault="009C1314" w:rsidP="009C1314">
      <w:pPr>
        <w:jc w:val="both"/>
      </w:pPr>
    </w:p>
    <w:p w14:paraId="2BFDAAE7" w14:textId="77777777" w:rsidR="009C1314" w:rsidRPr="009118AB" w:rsidRDefault="00585974" w:rsidP="009C1314">
      <w:pPr>
        <w:jc w:val="both"/>
      </w:pPr>
      <w:r w:rsidRPr="009118AB">
        <w:tab/>
      </w:r>
      <w:r w:rsidR="009C1314" w:rsidRPr="009118AB">
        <w:t>- Der Eigentumstitel mit Bezug auf die Güter oder Rechte der Rechtsvereinbarung wird auf den Namen des Verwalters oder auf den Namen einer anderen Person für Rechnung des Verwalters ausgestellt.</w:t>
      </w:r>
    </w:p>
    <w:p w14:paraId="3D922BBF" w14:textId="77777777" w:rsidR="009C1314" w:rsidRPr="009118AB" w:rsidRDefault="009C1314" w:rsidP="009C1314">
      <w:pPr>
        <w:jc w:val="both"/>
      </w:pPr>
    </w:p>
    <w:p w14:paraId="2BA51155" w14:textId="77777777" w:rsidR="009C1314" w:rsidRPr="009118AB" w:rsidRDefault="00585974" w:rsidP="009C1314">
      <w:pPr>
        <w:jc w:val="both"/>
      </w:pPr>
      <w:r w:rsidRPr="009118AB">
        <w:tab/>
      </w:r>
      <w:r w:rsidR="009C1314" w:rsidRPr="009118AB">
        <w:t>- Die Güter der Rechtsvereinbarung bilden ein getrenntes Vermögen und sind nicht Bestandteil des Vermögens des Verwalters.</w:t>
      </w:r>
    </w:p>
    <w:p w14:paraId="7696C6A3" w14:textId="77777777" w:rsidR="009C1314" w:rsidRPr="009118AB" w:rsidRDefault="009C1314" w:rsidP="009C1314">
      <w:pPr>
        <w:jc w:val="both"/>
      </w:pPr>
    </w:p>
    <w:p w14:paraId="114F567A" w14:textId="77777777" w:rsidR="009C1314" w:rsidRPr="009118AB" w:rsidRDefault="00585974" w:rsidP="009C1314">
      <w:pPr>
        <w:jc w:val="both"/>
      </w:pPr>
      <w:r w:rsidRPr="009118AB">
        <w:tab/>
      </w:r>
      <w:r w:rsidR="009C1314" w:rsidRPr="009118AB">
        <w:t xml:space="preserve">- Der Verwalter hat die Befugnis und die Pflicht, in deren Rahmen er Bericht erstatten muss, in Übereinstimmung mit den Bestimmungen der Rechtsvereinbarung und den durch das </w:t>
      </w:r>
      <w:r w:rsidR="009C1314" w:rsidRPr="009118AB">
        <w:lastRenderedPageBreak/>
        <w:t>Gesetz vorgeschriebenen besonderen Regeln die Güter der Rechtsvereinbarung zu verwalten oder darüber zu verfügen,</w:t>
      </w:r>
    </w:p>
    <w:p w14:paraId="2BB53228" w14:textId="77777777" w:rsidR="009C1314" w:rsidRPr="009118AB" w:rsidRDefault="009C1314" w:rsidP="009C1314">
      <w:pPr>
        <w:jc w:val="both"/>
      </w:pPr>
    </w:p>
    <w:p w14:paraId="6151E5F9" w14:textId="20C9F331" w:rsidR="00CA4DA4" w:rsidRPr="009118AB" w:rsidRDefault="00585974" w:rsidP="00F9275A">
      <w:pPr>
        <w:jc w:val="both"/>
      </w:pPr>
      <w:r w:rsidRPr="009118AB">
        <w:rPr>
          <w:i/>
        </w:rPr>
        <w:tab/>
      </w:r>
      <w:r w:rsidR="009C1314" w:rsidRPr="009118AB">
        <w:rPr>
          <w:i/>
        </w:rPr>
        <w:t>b)</w:t>
      </w:r>
      <w:r w:rsidR="009C1314" w:rsidRPr="009118AB">
        <w:t> </w:t>
      </w:r>
      <w:r w:rsidR="00CA4DA4" w:rsidRPr="009118AB">
        <w:t xml:space="preserve">[eine Gesellschaft, Vereinigung, Niederlassung, Einrichtung oder Körperschaft, </w:t>
      </w:r>
      <w:r w:rsidR="0068768C" w:rsidRPr="009118AB">
        <w:t>[die aufgrund des Rechts, dem sie unterliegt, Rechtspersönlichkeit besitzt oder die eine Rechtsform hat, die mit der einer Gesellschaft oder Vereinigung mit Rechtspersönlichkeit nach belgischem Recht vergleichbar ist, und die]</w:t>
      </w:r>
      <w:r w:rsidR="00CA4DA4" w:rsidRPr="009118AB">
        <w:t xml:space="preserve"> aufgrund der Rechtsvorschriften des Staates oder des Rechtssystems, in dem sie ansässig ist, dort entweder keiner Einkommensteuer unterliegt oder einer Einkommensteuer unterliegt, die sich auf weniger als 15 Prozent des steuerpflichtigen Einkommens dieser Rechtsvereinbarung beläuft, das gemäß Regeln bestimmt wird, die für die Festlegung der belgischen Steuer auf entspre</w:t>
      </w:r>
      <w:r w:rsidR="008D16A6" w:rsidRPr="009118AB">
        <w:t>chende Einkünfte anwendbar sind,</w:t>
      </w:r>
    </w:p>
    <w:p w14:paraId="1DF05933" w14:textId="77777777" w:rsidR="008D16A6" w:rsidRPr="009118AB" w:rsidRDefault="008D16A6" w:rsidP="00F9275A">
      <w:pPr>
        <w:jc w:val="both"/>
      </w:pPr>
    </w:p>
    <w:p w14:paraId="55A8C45C" w14:textId="77777777" w:rsidR="005C3B88" w:rsidRPr="00FF1F87" w:rsidRDefault="00585974" w:rsidP="005C3B88">
      <w:pPr>
        <w:ind w:firstLine="708"/>
        <w:jc w:val="both"/>
      </w:pPr>
      <w:r w:rsidRPr="009118AB">
        <w:tab/>
      </w:r>
      <w:r w:rsidR="005C3B88">
        <w:t>[</w:t>
      </w:r>
      <w:r w:rsidR="005C3B88" w:rsidRPr="00FF1F87">
        <w:t>Gesellschaften, Vereinigungen, Niederlassungen, Einrichtungen oder Körperschaften wie in Absatz 1 erwähnt sind keine Rechtsvereinbarungen, wenn sie in einem Staat oder einem Rechtssystem ansässig sind, der/das zum Europäischen Wirtschaftsraum gehört, außer:</w:t>
      </w:r>
    </w:p>
    <w:p w14:paraId="4681D384" w14:textId="77777777" w:rsidR="005C3B88" w:rsidRPr="00FF1F87" w:rsidRDefault="005C3B88" w:rsidP="005C3B88">
      <w:pPr>
        <w:jc w:val="both"/>
      </w:pPr>
    </w:p>
    <w:p w14:paraId="7D9C3D79" w14:textId="77777777" w:rsidR="005C3B88" w:rsidRPr="00FF1F87" w:rsidRDefault="005C3B88" w:rsidP="005C3B88">
      <w:pPr>
        <w:ind w:firstLine="708"/>
        <w:jc w:val="both"/>
      </w:pPr>
      <w:r w:rsidRPr="00FF1F87">
        <w:t>1. in einem Fall wie in Nr. 13/1 Absatz 2 bis 4 erwähnt,</w:t>
      </w:r>
    </w:p>
    <w:p w14:paraId="6DEF58F2" w14:textId="77777777" w:rsidR="005C3B88" w:rsidRPr="00FF1F87" w:rsidRDefault="005C3B88" w:rsidP="005C3B88">
      <w:pPr>
        <w:jc w:val="both"/>
      </w:pPr>
    </w:p>
    <w:p w14:paraId="12341DD9" w14:textId="77777777" w:rsidR="005C3B88" w:rsidRPr="00FF1F87" w:rsidRDefault="005C3B88" w:rsidP="005C3B88">
      <w:pPr>
        <w:ind w:firstLine="708"/>
        <w:jc w:val="both"/>
      </w:pPr>
      <w:r w:rsidRPr="00FF1F87">
        <w:t>2. im Falle einer nicht in Artikel 29 § 2 erwähnten Gesellschaft, deren Einkünfte durch den Staat oder das Rechtssystem, in dem diese Gesellschaft ansässig ist, zu Lasten der Gesellschafter oder Aktionäre besteuert werden, es sei denn, diese Einkünfte unterliegen einer Einkommensteuer, die zu Lasten des Gesellschafters oder des Aktionärs festgelegt wird aufgrund der Rechtsvorschriften des Staates oder des Rechtssystems, in dem diese Gesellschaft ansässig ist, und wenn diese Einkommensteuer sich auf mindestens 1 Prozent des auf diesen Aktionär oder Gesellschafter entfallenden Teils des steuerpflichtigen Einkommens dieser Gesellschaft beläuft, das gemäß Regeln bestimmt wird, die für die Festlegung der belgischen Steuer auf entsprechende Einkünfte anwendbar sind,</w:t>
      </w:r>
    </w:p>
    <w:p w14:paraId="7469D0E4" w14:textId="77777777" w:rsidR="005C3B88" w:rsidRPr="00FF1F87" w:rsidRDefault="005C3B88" w:rsidP="005C3B88">
      <w:pPr>
        <w:jc w:val="both"/>
      </w:pPr>
    </w:p>
    <w:p w14:paraId="289AC7E7" w14:textId="5989C2DC" w:rsidR="00CA4DA4" w:rsidRPr="009118AB" w:rsidRDefault="005C3B88" w:rsidP="005C3B88">
      <w:pPr>
        <w:ind w:firstLine="708"/>
        <w:jc w:val="both"/>
      </w:pPr>
      <w:r w:rsidRPr="00FF1F87">
        <w:t>3. im Falle einer nicht in Nr. 1 oder 2 oder in Artikel 29 § 2 erwähnten Gesellschaft, Vereinigung, Niederlassung, Einrichtung oder Körperschaft, die Rechtspersönlichkeit besitzt und die aufgrund der Rechtsvorschriften des Staates oder des Rechtssystems, in dem sie ansässig ist, dort entweder keiner Einkommensteuer unterliegt oder einer Einkommensteuer unterliegt, die sich auf weniger als 1 Prozent des steuerpflichtigen Einkommens dieser Rechtsvereinbarung beläuft, das gemäß Regeln bestimmt wird, die für die Festlegung der belgischen Steuer auf entsprechende Einkünfte anwendbar sind.</w:t>
      </w:r>
      <w:r w:rsidR="00982B46">
        <w:t>]</w:t>
      </w:r>
    </w:p>
    <w:p w14:paraId="54F3C29B" w14:textId="77777777" w:rsidR="00CA4DA4" w:rsidRPr="009118AB" w:rsidRDefault="00CA4DA4" w:rsidP="00CA4DA4">
      <w:pPr>
        <w:jc w:val="both"/>
      </w:pPr>
    </w:p>
    <w:p w14:paraId="267D9E69" w14:textId="57E553A8" w:rsidR="00CA4DA4" w:rsidRPr="009118AB" w:rsidRDefault="00585974" w:rsidP="00F9275A">
      <w:pPr>
        <w:jc w:val="both"/>
      </w:pPr>
      <w:r w:rsidRPr="009118AB">
        <w:tab/>
      </w:r>
      <w:r w:rsidR="005C3B88">
        <w:t>[...]</w:t>
      </w:r>
    </w:p>
    <w:p w14:paraId="63E46073" w14:textId="4B5502F4" w:rsidR="00405084" w:rsidRPr="009118AB" w:rsidRDefault="00405084" w:rsidP="00F9275A">
      <w:pPr>
        <w:jc w:val="both"/>
      </w:pPr>
    </w:p>
    <w:p w14:paraId="169E8F2D" w14:textId="77777777" w:rsidR="005C3B88" w:rsidRPr="00FF1F87" w:rsidRDefault="00405084" w:rsidP="005C3B88">
      <w:pPr>
        <w:ind w:firstLine="708"/>
        <w:jc w:val="both"/>
      </w:pPr>
      <w:r w:rsidRPr="009118AB">
        <w:tab/>
        <w:t>[</w:t>
      </w:r>
      <w:r w:rsidR="005C3B88" w:rsidRPr="00FF1F87">
        <w:t>Außer in dem Fall, in dem der Steuerpflichtige den Nachweis erbringt, dass die Gesellschaft, Vereinigung, Niederlassung, Einrichtung oder Körperschaft keine Rechtsvereinbarung ist, gilt für folgende Fälle die Vermutung, dass es sich um eine Rechtsvereinbarung handelt:</w:t>
      </w:r>
    </w:p>
    <w:p w14:paraId="5BE76C2A" w14:textId="77777777" w:rsidR="005C3B88" w:rsidRPr="00FF1F87" w:rsidRDefault="005C3B88" w:rsidP="005C3B88">
      <w:pPr>
        <w:jc w:val="both"/>
      </w:pPr>
    </w:p>
    <w:p w14:paraId="582D77A6" w14:textId="77777777" w:rsidR="005C3B88" w:rsidRPr="00FF1F87" w:rsidRDefault="005C3B88" w:rsidP="005C3B88">
      <w:pPr>
        <w:ind w:firstLine="708"/>
        <w:jc w:val="both"/>
      </w:pPr>
      <w:r w:rsidRPr="00FF1F87">
        <w:t>- Gesellschaften, Vereinigungen, Niederlassungen, Einrichtungen oder Körperschaften, die Rechtspersönlichkeit besitzen und in einem Rechtssystem ansässig sind, das am Ende des Besteuerungszeitraums in der EU-Liste nicht kooperativer Steuergebiete oder in der Liste der Staaten ohne oder mit niedriger Besteuerung wie in Artikel 307 § 1/2 erwähnt aufgenommen ist,</w:t>
      </w:r>
    </w:p>
    <w:p w14:paraId="635406D3" w14:textId="77777777" w:rsidR="005C3B88" w:rsidRPr="00FF1F87" w:rsidRDefault="005C3B88" w:rsidP="005C3B88">
      <w:pPr>
        <w:jc w:val="both"/>
      </w:pPr>
    </w:p>
    <w:p w14:paraId="2996BF98" w14:textId="77777777" w:rsidR="005C3B88" w:rsidRPr="00FF1F87" w:rsidRDefault="005C3B88" w:rsidP="005C3B88">
      <w:pPr>
        <w:ind w:firstLine="708"/>
        <w:jc w:val="both"/>
      </w:pPr>
      <w:r w:rsidRPr="00FF1F87">
        <w:t>- Fälle wie in Nr. 13/1 Absatz 2 bis 4 erwähnt,</w:t>
      </w:r>
    </w:p>
    <w:p w14:paraId="1740F620" w14:textId="77777777" w:rsidR="005C3B88" w:rsidRPr="00FF1F87" w:rsidRDefault="005C3B88" w:rsidP="005C3B88">
      <w:pPr>
        <w:jc w:val="both"/>
      </w:pPr>
    </w:p>
    <w:p w14:paraId="175F290E" w14:textId="322EDD2D" w:rsidR="00405084" w:rsidRPr="009118AB" w:rsidRDefault="005C3B88" w:rsidP="005C3B88">
      <w:pPr>
        <w:ind w:firstLine="708"/>
        <w:jc w:val="both"/>
      </w:pPr>
      <w:r w:rsidRPr="00FF1F87">
        <w:t>- Fälle wie in Absatz 2 Nr. 2 erwähnt.</w:t>
      </w:r>
      <w:r w:rsidR="00405084" w:rsidRPr="009118AB">
        <w:t>]</w:t>
      </w:r>
    </w:p>
    <w:p w14:paraId="3C32DD6A" w14:textId="77777777" w:rsidR="00F9275A" w:rsidRPr="009118AB" w:rsidRDefault="00F9275A" w:rsidP="00CA4DA4">
      <w:pPr>
        <w:jc w:val="both"/>
      </w:pPr>
    </w:p>
    <w:p w14:paraId="0664F8FD" w14:textId="3F51FA97" w:rsidR="009C1314" w:rsidRPr="009118AB" w:rsidRDefault="00585974" w:rsidP="00CA4DA4">
      <w:pPr>
        <w:jc w:val="both"/>
      </w:pPr>
      <w:r w:rsidRPr="009118AB">
        <w:tab/>
      </w:r>
      <w:r w:rsidR="00497719" w:rsidRPr="009118AB">
        <w:t xml:space="preserve">[Der König reicht bei der Abgeordnetenkammer, wenn sie versammelt ist, unverzüglich und sonst, sobald die nächste Sitzungsperiode eröffnet ist, einen Gesetzentwurf ein zur Bestätigung der Erlasse zur Ausführung von Absatz 2. Es wird davon ausgegangen, dass diese Erlasse nicht wirksam geworden sind, wenn sie nicht binnen zwölf Monaten nach dem Datum ihrer Veröffentlichung im </w:t>
      </w:r>
      <w:r w:rsidR="00497719" w:rsidRPr="009118AB">
        <w:rPr>
          <w:i/>
          <w:iCs/>
        </w:rPr>
        <w:t>Belgischen Staatsblatt</w:t>
      </w:r>
      <w:r w:rsidR="00497719" w:rsidRPr="009118AB">
        <w:t xml:space="preserve"> durch Gesetz bestätigt worden sind.]</w:t>
      </w:r>
      <w:r w:rsidR="00CA4DA4" w:rsidRPr="009118AB">
        <w:t>]</w:t>
      </w:r>
      <w:r w:rsidR="00006C49" w:rsidRPr="009118AB">
        <w:t>]</w:t>
      </w:r>
    </w:p>
    <w:p w14:paraId="6AB0AE57" w14:textId="77777777" w:rsidR="00125D93" w:rsidRPr="009118AB" w:rsidRDefault="00125D93"/>
    <w:p w14:paraId="171D34CC" w14:textId="77777777" w:rsidR="00A50DAF" w:rsidRPr="009118AB" w:rsidRDefault="00125D93" w:rsidP="00A50DAF">
      <w:pPr>
        <w:jc w:val="both"/>
      </w:pPr>
      <w:r w:rsidRPr="009118AB">
        <w:tab/>
      </w:r>
      <w:r w:rsidR="00A50DAF" w:rsidRPr="009118AB">
        <w:t>[</w:t>
      </w:r>
      <w:r w:rsidR="00A50DAF" w:rsidRPr="009118AB">
        <w:rPr>
          <w:i/>
        </w:rPr>
        <w:t>c)</w:t>
      </w:r>
      <w:r w:rsidR="00A50DAF" w:rsidRPr="009118AB">
        <w:t> einen Vertrag in dem Maße, wie dieser Vertrag:</w:t>
      </w:r>
    </w:p>
    <w:p w14:paraId="567F2CE2" w14:textId="77777777" w:rsidR="00A50DAF" w:rsidRPr="009118AB" w:rsidRDefault="00A50DAF" w:rsidP="00A50DAF">
      <w:pPr>
        <w:jc w:val="both"/>
      </w:pPr>
    </w:p>
    <w:p w14:paraId="67E9AB79" w14:textId="77777777" w:rsidR="00A50DAF" w:rsidRPr="009118AB" w:rsidRDefault="00585974" w:rsidP="00A50DAF">
      <w:pPr>
        <w:jc w:val="both"/>
      </w:pPr>
      <w:r w:rsidRPr="009118AB">
        <w:tab/>
      </w:r>
      <w:r w:rsidR="00A50DAF" w:rsidRPr="009118AB">
        <w:t>- während der Laufzeit des Vertrags oder zum Vertragsablauf gegen Zahlung einer oder mehrerer Prämien die Zahlung der von einer in Buchstabe </w:t>
      </w:r>
      <w:r w:rsidR="00A50DAF" w:rsidRPr="009118AB">
        <w:rPr>
          <w:i/>
        </w:rPr>
        <w:t>a)</w:t>
      </w:r>
      <w:r w:rsidR="00A50DAF" w:rsidRPr="009118AB">
        <w:t xml:space="preserve"> oder </w:t>
      </w:r>
      <w:r w:rsidR="00A50DAF" w:rsidRPr="009118AB">
        <w:rPr>
          <w:i/>
        </w:rPr>
        <w:t>b)</w:t>
      </w:r>
      <w:r w:rsidR="00A50DAF" w:rsidRPr="009118AB">
        <w:t xml:space="preserve"> erwähnten Rechts</w:t>
      </w:r>
      <w:r w:rsidR="00A50DAF" w:rsidRPr="009118AB">
        <w:softHyphen/>
        <w:t>vereinbarung bezogenen Einkünfte oder die Ausschüttung der wirtschaftlichen Rechte, der Aktien oder Anteile beziehungsweise der Aktiva einer in Buchstabe </w:t>
      </w:r>
      <w:r w:rsidR="00A50DAF" w:rsidRPr="009118AB">
        <w:rPr>
          <w:i/>
        </w:rPr>
        <w:t>a)</w:t>
      </w:r>
      <w:r w:rsidR="00A50DAF" w:rsidRPr="009118AB">
        <w:t xml:space="preserve"> oder </w:t>
      </w:r>
      <w:r w:rsidR="00A50DAF" w:rsidRPr="009118AB">
        <w:rPr>
          <w:i/>
        </w:rPr>
        <w:t>b)</w:t>
      </w:r>
      <w:r w:rsidR="00A50DAF" w:rsidRPr="009118AB">
        <w:t xml:space="preserve"> erwähnten Rechtsvereinbarung vorsieht,</w:t>
      </w:r>
    </w:p>
    <w:p w14:paraId="0A6424D7" w14:textId="77777777" w:rsidR="00A50DAF" w:rsidRPr="009118AB" w:rsidRDefault="00A50DAF" w:rsidP="00A50DAF">
      <w:pPr>
        <w:jc w:val="both"/>
      </w:pPr>
    </w:p>
    <w:p w14:paraId="3EE60474" w14:textId="77777777" w:rsidR="00A50DAF" w:rsidRPr="009118AB" w:rsidRDefault="00585974" w:rsidP="00A50DAF">
      <w:pPr>
        <w:jc w:val="both"/>
      </w:pPr>
      <w:r w:rsidRPr="009118AB">
        <w:tab/>
      </w:r>
      <w:r w:rsidR="00A50DAF" w:rsidRPr="009118AB">
        <w:t>- während der Laufzeit des Vertrags oder zum Vertragsablauf gegen Einbringung der wirtschaftlichen Rechte, der Aktien oder Anteile beziehungsweise der Aktiva einer in Buch</w:t>
      </w:r>
      <w:r w:rsidR="00A50DAF" w:rsidRPr="009118AB">
        <w:softHyphen/>
        <w:t>stabe </w:t>
      </w:r>
      <w:r w:rsidR="00A50DAF" w:rsidRPr="009118AB">
        <w:rPr>
          <w:i/>
        </w:rPr>
        <w:t>a)</w:t>
      </w:r>
      <w:r w:rsidR="00A50DAF" w:rsidRPr="009118AB">
        <w:t xml:space="preserve"> oder </w:t>
      </w:r>
      <w:r w:rsidR="00A50DAF" w:rsidRPr="009118AB">
        <w:rPr>
          <w:i/>
        </w:rPr>
        <w:t>b)</w:t>
      </w:r>
      <w:r w:rsidR="00A50DAF" w:rsidRPr="009118AB">
        <w:t xml:space="preserve"> erwähnten Rechtsvereinbarung die Zahlung oder Ausschüttung der einge</w:t>
      </w:r>
      <w:r w:rsidR="00A50DAF" w:rsidRPr="009118AB">
        <w:softHyphen/>
        <w:t>brachten Rechte, Aktien oder Anteile beziehungsweise Aktiva oder ihres Gegenwerts vorsieht.]</w:t>
      </w:r>
    </w:p>
    <w:p w14:paraId="1945A066" w14:textId="77777777" w:rsidR="00A50DAF" w:rsidRPr="009118AB" w:rsidRDefault="00A50DAF" w:rsidP="00CA4DA4">
      <w:pPr>
        <w:jc w:val="both"/>
      </w:pPr>
    </w:p>
    <w:p w14:paraId="1F271CC2" w14:textId="01BDA1F9" w:rsidR="00643D34" w:rsidRPr="009118AB" w:rsidRDefault="00585974" w:rsidP="00F9275A">
      <w:pPr>
        <w:jc w:val="both"/>
      </w:pPr>
      <w:r w:rsidRPr="009118AB">
        <w:tab/>
      </w:r>
      <w:r w:rsidR="00643D34" w:rsidRPr="009118AB">
        <w:t>[13/1. </w:t>
      </w:r>
      <w:r w:rsidR="005C3B88">
        <w:t>[</w:t>
      </w:r>
      <w:r w:rsidR="005C3B88" w:rsidRPr="00FF1F87">
        <w:t>In Abweichung von Nr. 13 und Nr. 13/2 gelten nicht als Rechtsvereinbarungen oder zwischengeschaltete Konstruktionen:</w:t>
      </w:r>
      <w:r w:rsidR="005C3B88">
        <w:t>]</w:t>
      </w:r>
    </w:p>
    <w:p w14:paraId="3A86FEB1" w14:textId="77777777" w:rsidR="00643D34" w:rsidRPr="009118AB" w:rsidRDefault="00643D34" w:rsidP="00643D34">
      <w:pPr>
        <w:jc w:val="both"/>
      </w:pPr>
    </w:p>
    <w:p w14:paraId="67E59953" w14:textId="28CCC265" w:rsidR="00643D34" w:rsidRPr="009118AB" w:rsidRDefault="00585974" w:rsidP="00F9275A">
      <w:pPr>
        <w:jc w:val="both"/>
      </w:pPr>
      <w:r w:rsidRPr="009118AB">
        <w:rPr>
          <w:i/>
        </w:rPr>
        <w:tab/>
      </w:r>
      <w:r w:rsidR="00643D34" w:rsidRPr="009118AB">
        <w:rPr>
          <w:i/>
        </w:rPr>
        <w:t>a)</w:t>
      </w:r>
      <w:r w:rsidR="00643D34" w:rsidRPr="009118AB">
        <w:t> </w:t>
      </w:r>
      <w:r w:rsidR="005C3B88">
        <w:t>[</w:t>
      </w:r>
      <w:r w:rsidR="005C3B88" w:rsidRPr="00FF1F87">
        <w:t>Organismen für gemeinsame Anlagen nach belgischem Recht oder nach ausländischem Recht, die die Bedingungen der Richtlinie 2009/65/EG des Europäischen Parlaments und des Rates vom 13. Juli 2019 zur Koordinierung der Rechts- und Verwaltungsvorschriften betreffend bestimmte Organismen für gemeinsame Anlagen in Wertpapieren (OGAW) erfüllen, oder Organismen für Anlagen in Forderungen erwähnt in Teil III</w:t>
      </w:r>
      <w:r w:rsidR="005C3B88" w:rsidRPr="00FF1F87">
        <w:rPr>
          <w:i/>
          <w:iCs/>
        </w:rPr>
        <w:t>bis</w:t>
      </w:r>
      <w:r w:rsidR="005C3B88" w:rsidRPr="00FF1F87">
        <w:t xml:space="preserve"> des Gesetzes vom 3. August 2012 über Organismen für gemeinsame Anlagen, die die Bedingungen der Richtlinie 2009/65/EG erfüllen, und Organismen für Anlagen in Forderungen, die gegebenenfalls pro separaten Teilfonds berücksichtigt werden,</w:t>
      </w:r>
      <w:r w:rsidR="005C3B88">
        <w:t>]</w:t>
      </w:r>
    </w:p>
    <w:p w14:paraId="6E37FADD" w14:textId="77777777" w:rsidR="00643D34" w:rsidRPr="009118AB" w:rsidRDefault="00643D34" w:rsidP="00643D34">
      <w:pPr>
        <w:jc w:val="both"/>
      </w:pPr>
    </w:p>
    <w:p w14:paraId="749FD7D5" w14:textId="7226847A" w:rsidR="00643D34" w:rsidRPr="009118AB" w:rsidRDefault="00585974" w:rsidP="00F9275A">
      <w:pPr>
        <w:jc w:val="both"/>
      </w:pPr>
      <w:r w:rsidRPr="009118AB">
        <w:rPr>
          <w:i/>
        </w:rPr>
        <w:tab/>
      </w:r>
      <w:r w:rsidR="00643D34" w:rsidRPr="009118AB">
        <w:rPr>
          <w:i/>
        </w:rPr>
        <w:t>b)</w:t>
      </w:r>
      <w:r w:rsidR="00643D34" w:rsidRPr="009118AB">
        <w:t> </w:t>
      </w:r>
      <w:r w:rsidR="005C3B88">
        <w:t>[</w:t>
      </w:r>
      <w:r w:rsidR="005C3B88" w:rsidRPr="00FF1F87">
        <w:t>alternative Organismen für gemeinsame Anlagen nach belgischem Recht oder nach ausländischem Recht, deren Verwalter gemäß dem Gesetz vom 19. April 2014 über alternative Organismen für gemeinsame Anlagen und ihre Verwalter, gemäß dem innerstaatlichen Recht eines Mitgliedstaates der Europäischen Union oder gemäß dem innerstaatlichen Recht eines Drittlandes die Bedingungen der Richtlinie 2011/61/EU des Europäischen Parlaments und des Rates vom 8. Juni 2011 über die Verwalter alternativer Investmentfonds und zur Änderung der Richtlinien 2003/41/EG und 2009/65/EG und der Verordnungen (EG) Nr. 1060/2009 und (EU) Nr. 1095/2010 erfüllen und die gegebenenfalls pro separaten Teilfonds berücksichtigt werden,</w:t>
      </w:r>
      <w:r w:rsidR="005C3B88">
        <w:t>]</w:t>
      </w:r>
    </w:p>
    <w:p w14:paraId="332807C8" w14:textId="77777777" w:rsidR="00643D34" w:rsidRPr="009118AB" w:rsidRDefault="00643D34" w:rsidP="00643D34">
      <w:pPr>
        <w:jc w:val="both"/>
      </w:pPr>
    </w:p>
    <w:p w14:paraId="21BF51CF" w14:textId="77777777" w:rsidR="00643D34" w:rsidRPr="009118AB" w:rsidRDefault="00585974" w:rsidP="00F9275A">
      <w:pPr>
        <w:jc w:val="both"/>
      </w:pPr>
      <w:r w:rsidRPr="009118AB">
        <w:rPr>
          <w:i/>
        </w:rPr>
        <w:tab/>
      </w:r>
      <w:r w:rsidR="00643D34" w:rsidRPr="009118AB">
        <w:rPr>
          <w:i/>
        </w:rPr>
        <w:t>c)</w:t>
      </w:r>
      <w:r w:rsidR="00643D34" w:rsidRPr="009118AB">
        <w:t> Körperschaften, die keine in Buchstabe </w:t>
      </w:r>
      <w:r w:rsidR="00643D34" w:rsidRPr="009118AB">
        <w:rPr>
          <w:i/>
        </w:rPr>
        <w:t>a)</w:t>
      </w:r>
      <w:r w:rsidR="00643D34" w:rsidRPr="009118AB">
        <w:t xml:space="preserve"> oder </w:t>
      </w:r>
      <w:r w:rsidR="00643D34" w:rsidRPr="009118AB">
        <w:rPr>
          <w:i/>
        </w:rPr>
        <w:t>b)</w:t>
      </w:r>
      <w:r w:rsidR="00643D34" w:rsidRPr="009118AB">
        <w:t xml:space="preserve"> erwähnten Organismen sind und die ausschließlich folgende Geschäfte betreiben:</w:t>
      </w:r>
    </w:p>
    <w:p w14:paraId="43B236FC" w14:textId="77777777" w:rsidR="00643D34" w:rsidRPr="009118AB" w:rsidRDefault="00643D34" w:rsidP="00643D34">
      <w:pPr>
        <w:jc w:val="both"/>
      </w:pPr>
    </w:p>
    <w:p w14:paraId="26F431A6" w14:textId="77777777" w:rsidR="00643D34" w:rsidRPr="009118AB" w:rsidRDefault="00585974" w:rsidP="00F9275A">
      <w:pPr>
        <w:jc w:val="both"/>
      </w:pPr>
      <w:r w:rsidRPr="009118AB">
        <w:tab/>
      </w:r>
      <w:r w:rsidR="00643D34" w:rsidRPr="009118AB">
        <w:t>- Verwalten und Anlegen von Geldern, die mit dem Ziel gesammelt werden, gesetzliche oder ergänzende Pensionen auszuzahlen, oder</w:t>
      </w:r>
    </w:p>
    <w:p w14:paraId="01216774" w14:textId="77777777" w:rsidR="00643D34" w:rsidRPr="009118AB" w:rsidRDefault="00643D34" w:rsidP="00F9275A">
      <w:pPr>
        <w:jc w:val="both"/>
      </w:pPr>
    </w:p>
    <w:p w14:paraId="798A7ED1" w14:textId="77777777" w:rsidR="00643D34" w:rsidRPr="009118AB" w:rsidRDefault="00585974" w:rsidP="00F9275A">
      <w:pPr>
        <w:jc w:val="both"/>
      </w:pPr>
      <w:r w:rsidRPr="009118AB">
        <w:lastRenderedPageBreak/>
        <w:tab/>
      </w:r>
      <w:r w:rsidR="00643D34" w:rsidRPr="009118AB">
        <w:t>- Verwalten von Beteiligungen der Arbeitnehmer an der Finanzierung ihres Unternehmens oder der Gruppe, zu der ihr Unternehmen gehört,</w:t>
      </w:r>
    </w:p>
    <w:p w14:paraId="5130022D" w14:textId="77777777" w:rsidR="00643D34" w:rsidRPr="009118AB" w:rsidRDefault="00643D34" w:rsidP="00F9275A">
      <w:pPr>
        <w:jc w:val="both"/>
      </w:pPr>
    </w:p>
    <w:p w14:paraId="39D04D18" w14:textId="77777777" w:rsidR="00643D34" w:rsidRPr="009118AB" w:rsidRDefault="00585974" w:rsidP="00F9275A">
      <w:pPr>
        <w:jc w:val="both"/>
      </w:pPr>
      <w:r w:rsidRPr="009118AB">
        <w:rPr>
          <w:i/>
        </w:rPr>
        <w:tab/>
      </w:r>
      <w:r w:rsidR="00643D34" w:rsidRPr="009118AB">
        <w:rPr>
          <w:i/>
        </w:rPr>
        <w:t>d)</w:t>
      </w:r>
      <w:r w:rsidR="00643D34" w:rsidRPr="009118AB">
        <w:t> Gesellschaften, deren Wertpapiere an einer Wertpapierbörse eines Mitgliedstaates der Europäischen Union notiert werden unter den Bedingungen der Richtlinie 2001/34/EG des Europäischen Parlaments und des Rates vom 28. Mai 2001 über die Zulassung von Wertpapieren zur amtlichen Börsennotierung und über die hinsichtlich dieser Wertpapiere zu veröffentlichenden Informationen oder an einer Wertpapierbörse eines Drittstaates, dessen Rechtsvorschriften ähnliche Zulassungsbedingungen vorsehen,</w:t>
      </w:r>
    </w:p>
    <w:p w14:paraId="072A55E8" w14:textId="77777777" w:rsidR="00643D34" w:rsidRPr="009118AB" w:rsidRDefault="00643D34" w:rsidP="00F9275A">
      <w:pPr>
        <w:jc w:val="both"/>
      </w:pPr>
    </w:p>
    <w:p w14:paraId="7E2E63FE" w14:textId="77777777" w:rsidR="00643D34" w:rsidRPr="009118AB" w:rsidRDefault="00585974" w:rsidP="00F9275A">
      <w:pPr>
        <w:jc w:val="both"/>
      </w:pPr>
      <w:r w:rsidRPr="009118AB">
        <w:rPr>
          <w:i/>
        </w:rPr>
        <w:tab/>
      </w:r>
      <w:r w:rsidR="00643D34" w:rsidRPr="009118AB">
        <w:rPr>
          <w:i/>
        </w:rPr>
        <w:t>e)</w:t>
      </w:r>
      <w:r w:rsidR="00643D34" w:rsidRPr="009118AB">
        <w:t> </w:t>
      </w:r>
      <w:r w:rsidR="00DD65E2" w:rsidRPr="009118AB">
        <w:t>[..</w:t>
      </w:r>
      <w:r w:rsidR="00643D34" w:rsidRPr="009118AB">
        <w:t>.</w:t>
      </w:r>
      <w:r w:rsidR="00DD65E2" w:rsidRPr="009118AB">
        <w:t>].</w:t>
      </w:r>
      <w:r w:rsidR="00643D34" w:rsidRPr="009118AB">
        <w:t>]</w:t>
      </w:r>
    </w:p>
    <w:p w14:paraId="54BF08C0" w14:textId="77777777" w:rsidR="00DD65E2" w:rsidRPr="009118AB" w:rsidRDefault="00DD65E2" w:rsidP="00F9275A">
      <w:pPr>
        <w:jc w:val="both"/>
      </w:pPr>
    </w:p>
    <w:p w14:paraId="3FBF82CB" w14:textId="378CE08E" w:rsidR="00DD65E2" w:rsidRPr="009118AB" w:rsidRDefault="00585974" w:rsidP="00F9275A">
      <w:pPr>
        <w:jc w:val="both"/>
      </w:pPr>
      <w:r w:rsidRPr="009118AB">
        <w:tab/>
      </w:r>
      <w:r w:rsidR="00DD65E2" w:rsidRPr="009118AB">
        <w:t xml:space="preserve">[Absatz 1 ist nicht anwendbar </w:t>
      </w:r>
      <w:r w:rsidR="005C3B88">
        <w:t>[</w:t>
      </w:r>
      <w:r w:rsidR="005C3B88" w:rsidRPr="00FF1F87">
        <w:t>in Bezug auf die in diesem Absatz Buchstabe </w:t>
      </w:r>
      <w:r w:rsidR="005C3B88" w:rsidRPr="00FF1F87">
        <w:rPr>
          <w:i/>
          <w:iCs/>
        </w:rPr>
        <w:t>a)</w:t>
      </w:r>
      <w:r w:rsidR="005C3B88" w:rsidRPr="00FF1F87">
        <w:t xml:space="preserve"> bis </w:t>
      </w:r>
      <w:r w:rsidR="005C3B88" w:rsidRPr="00FF1F87">
        <w:rPr>
          <w:i/>
          <w:iCs/>
        </w:rPr>
        <w:t>c)</w:t>
      </w:r>
      <w:r w:rsidR="005C3B88" w:rsidRPr="00FF1F87">
        <w:t xml:space="preserve"> erwähnten Organismen, Körperschaften und Gesellschaften, deren Rechte zu mehr als 50 Prozent im Besitz einer Person oder mehrerer miteinander verbundener Personen sind und die gegebenenfalls pro separaten Teilfonds berücksichtigt werden</w:t>
      </w:r>
      <w:r w:rsidR="005C3B88">
        <w:t>]</w:t>
      </w:r>
      <w:r w:rsidR="00DD65E2" w:rsidRPr="009118AB">
        <w:t>.</w:t>
      </w:r>
      <w:r w:rsidR="001D3C1B">
        <w:t>]</w:t>
      </w:r>
    </w:p>
    <w:p w14:paraId="310985CE" w14:textId="12031617" w:rsidR="0023593F" w:rsidRPr="009118AB" w:rsidRDefault="00585974" w:rsidP="005E5137">
      <w:pPr>
        <w:jc w:val="both"/>
      </w:pPr>
      <w:r w:rsidRPr="009118AB">
        <w:tab/>
      </w:r>
    </w:p>
    <w:p w14:paraId="555F046E" w14:textId="328F6DF2" w:rsidR="00DD65E2" w:rsidRPr="009118AB" w:rsidRDefault="00125D93" w:rsidP="005E5137">
      <w:pPr>
        <w:jc w:val="both"/>
      </w:pPr>
      <w:r w:rsidRPr="009118AB">
        <w:tab/>
      </w:r>
      <w:r w:rsidR="001D3C1B">
        <w:t>[</w:t>
      </w:r>
      <w:r w:rsidR="00DD65E2" w:rsidRPr="009118AB">
        <w:t>Für die Anwendung von Absatz 2 sind Personen mit anderen Personen verbunden, wenn:</w:t>
      </w:r>
    </w:p>
    <w:p w14:paraId="3939CC93" w14:textId="77777777" w:rsidR="00DD65E2" w:rsidRPr="009118AB" w:rsidRDefault="00DD65E2" w:rsidP="00F9275A">
      <w:pPr>
        <w:jc w:val="both"/>
      </w:pPr>
    </w:p>
    <w:p w14:paraId="7969EA5B" w14:textId="10B48F4C" w:rsidR="00DD65E2" w:rsidRPr="009118AB" w:rsidRDefault="00585974" w:rsidP="00F9275A">
      <w:pPr>
        <w:jc w:val="both"/>
      </w:pPr>
      <w:r w:rsidRPr="009118AB">
        <w:tab/>
      </w:r>
      <w:r w:rsidR="00DD65E2" w:rsidRPr="009118AB">
        <w:t xml:space="preserve">- eine oder mehrere natürliche oder juristische Personen über eine andere juristische Person die Kontrolle ausüben wie in </w:t>
      </w:r>
      <w:r w:rsidR="00BC5AEF" w:rsidRPr="009118AB">
        <w:t>[Artikel 1:14 des Gesetzbuches der Gesellschaften und Vereinigungen]</w:t>
      </w:r>
      <w:r w:rsidR="00DD65E2" w:rsidRPr="009118AB">
        <w:t xml:space="preserve"> erwähnt oder</w:t>
      </w:r>
    </w:p>
    <w:p w14:paraId="6F50A5C8" w14:textId="77777777" w:rsidR="00DD65E2" w:rsidRPr="009118AB" w:rsidRDefault="00DD65E2" w:rsidP="00F9275A">
      <w:pPr>
        <w:jc w:val="both"/>
      </w:pPr>
    </w:p>
    <w:p w14:paraId="03F4EC43" w14:textId="77777777" w:rsidR="00DD65E2" w:rsidRPr="009118AB" w:rsidRDefault="00585974" w:rsidP="00F9275A">
      <w:pPr>
        <w:jc w:val="both"/>
      </w:pPr>
      <w:r w:rsidRPr="009118AB">
        <w:tab/>
      </w:r>
      <w:r w:rsidR="00DD65E2" w:rsidRPr="009118AB">
        <w:t>- diese Personen bis zum vierten Grad miteinander verwandt oder verschwägert sind oder</w:t>
      </w:r>
    </w:p>
    <w:p w14:paraId="66186A87" w14:textId="77777777" w:rsidR="00DD65E2" w:rsidRPr="009118AB" w:rsidRDefault="00DD65E2" w:rsidP="00F9275A">
      <w:pPr>
        <w:jc w:val="both"/>
      </w:pPr>
    </w:p>
    <w:p w14:paraId="51BBB2FB" w14:textId="77777777" w:rsidR="009C1314" w:rsidRDefault="00585974" w:rsidP="00F9275A">
      <w:pPr>
        <w:jc w:val="both"/>
      </w:pPr>
      <w:r w:rsidRPr="009118AB">
        <w:tab/>
      </w:r>
      <w:r w:rsidR="00DD65E2" w:rsidRPr="009118AB">
        <w:t>- diese Personen miteinander verheiratet sind, gesetzlich zusammenwohnen oder ihren Wohn- oder Vermögenssitz an derselben Adresse festgelegt haben.]</w:t>
      </w:r>
    </w:p>
    <w:p w14:paraId="6A9D3140" w14:textId="77777777" w:rsidR="005C3B88" w:rsidRDefault="005C3B88" w:rsidP="00F9275A">
      <w:pPr>
        <w:jc w:val="both"/>
      </w:pPr>
    </w:p>
    <w:p w14:paraId="30E230E6" w14:textId="77777777" w:rsidR="005C3B88" w:rsidRPr="00FF1F87" w:rsidRDefault="005C3B88" w:rsidP="005C3B88">
      <w:pPr>
        <w:ind w:firstLine="708"/>
        <w:jc w:val="both"/>
      </w:pPr>
      <w:r>
        <w:tab/>
        <w:t>[</w:t>
      </w:r>
      <w:r w:rsidRPr="00FF1F87">
        <w:t>Vorbehaltlich des Gegenbeweises wird davon ausgegangen, dass die in Absatz 2 erwähnte Ausnahme anwendbar ist, wenn:</w:t>
      </w:r>
    </w:p>
    <w:p w14:paraId="707AC151" w14:textId="77777777" w:rsidR="005C3B88" w:rsidRPr="00FF1F87" w:rsidRDefault="005C3B88" w:rsidP="005C3B88">
      <w:pPr>
        <w:jc w:val="both"/>
      </w:pPr>
    </w:p>
    <w:p w14:paraId="3057317E" w14:textId="77777777" w:rsidR="005C3B88" w:rsidRPr="00FF1F87" w:rsidRDefault="005C3B88" w:rsidP="005C3B88">
      <w:pPr>
        <w:ind w:firstLine="708"/>
        <w:jc w:val="both"/>
      </w:pPr>
      <w:r w:rsidRPr="00FF1F87">
        <w:t>- Vermögensverwalter der in diesem Absatz erwähnten Organismen, Körperschaften oder Gesellschaften oder eines ihrer Teilfonds von den Personen, die die Rechte dieses Teilfonds besitzen, spezifische Anweisungen zum Kauf oder Verkauf bestimmter Finanzinstrumente erhalten oder</w:t>
      </w:r>
    </w:p>
    <w:p w14:paraId="1C128C5D" w14:textId="77777777" w:rsidR="005C3B88" w:rsidRPr="00FF1F87" w:rsidRDefault="005C3B88" w:rsidP="005C3B88">
      <w:pPr>
        <w:jc w:val="both"/>
      </w:pPr>
    </w:p>
    <w:p w14:paraId="1AF72E9D" w14:textId="0D75129F" w:rsidR="005C3B88" w:rsidRPr="009118AB" w:rsidRDefault="005C3B88" w:rsidP="005C3B88">
      <w:pPr>
        <w:ind w:firstLine="708"/>
        <w:jc w:val="both"/>
      </w:pPr>
      <w:r w:rsidRPr="00FF1F87">
        <w:t>- kein unabhängiger Vermögensverwalter bestimmt wurde.</w:t>
      </w:r>
      <w:r>
        <w:t>]</w:t>
      </w:r>
    </w:p>
    <w:p w14:paraId="28CE1D47" w14:textId="77777777" w:rsidR="008D16A6" w:rsidRPr="009118AB" w:rsidRDefault="008D16A6" w:rsidP="00F9275A">
      <w:pPr>
        <w:jc w:val="both"/>
      </w:pPr>
    </w:p>
    <w:p w14:paraId="0645FB52" w14:textId="77777777" w:rsidR="008D16A6" w:rsidRPr="009118AB" w:rsidRDefault="00585974" w:rsidP="008D16A6">
      <w:pPr>
        <w:jc w:val="both"/>
      </w:pPr>
      <w:r w:rsidRPr="009118AB">
        <w:tab/>
      </w:r>
      <w:r w:rsidR="008D16A6" w:rsidRPr="009118AB">
        <w:t>[13/2. Tochterkonstruktion</w:t>
      </w:r>
    </w:p>
    <w:p w14:paraId="45C73A0D" w14:textId="77777777" w:rsidR="008D16A6" w:rsidRPr="009118AB" w:rsidRDefault="008D16A6" w:rsidP="008D16A6">
      <w:pPr>
        <w:jc w:val="both"/>
      </w:pPr>
    </w:p>
    <w:p w14:paraId="070AE695" w14:textId="4B0C8208" w:rsidR="008D16A6" w:rsidRPr="009118AB" w:rsidRDefault="00585974" w:rsidP="008D16A6">
      <w:pPr>
        <w:jc w:val="both"/>
      </w:pPr>
      <w:r w:rsidRPr="009118AB">
        <w:tab/>
      </w:r>
      <w:r w:rsidR="008D16A6" w:rsidRPr="009118AB">
        <w:t xml:space="preserve">Unter Tochterkonstruktion versteht man eine Rechtsvereinbarung, deren Aktien oder Anteile beziehungsweise deren wirtschaftliche Rechte ganz oder teilweise im Besitz </w:t>
      </w:r>
      <w:r w:rsidR="005C3B88">
        <w:t>[</w:t>
      </w:r>
      <w:r w:rsidR="005C3B88" w:rsidRPr="00FF1F87">
        <w:t>einer zwischengeschalteten Konstruktion</w:t>
      </w:r>
      <w:r w:rsidR="005C3B88">
        <w:t>]</w:t>
      </w:r>
      <w:r w:rsidR="008D16A6" w:rsidRPr="009118AB">
        <w:t xml:space="preserve"> sind.</w:t>
      </w:r>
      <w:r w:rsidR="00BB5F5A">
        <w:t>]</w:t>
      </w:r>
    </w:p>
    <w:p w14:paraId="483C9E25" w14:textId="77777777" w:rsidR="008D16A6" w:rsidRPr="009118AB" w:rsidRDefault="008D16A6" w:rsidP="008D16A6">
      <w:pPr>
        <w:jc w:val="both"/>
      </w:pPr>
    </w:p>
    <w:p w14:paraId="71133290" w14:textId="2CE8F2C6" w:rsidR="005C3B88" w:rsidRPr="00FF1F87" w:rsidRDefault="00BB5F5A" w:rsidP="005C3B88">
      <w:pPr>
        <w:ind w:firstLine="708"/>
        <w:jc w:val="both"/>
      </w:pPr>
      <w:r>
        <w:t>[</w:t>
      </w:r>
      <w:r w:rsidR="008D16A6" w:rsidRPr="009118AB">
        <w:t>13/3. </w:t>
      </w:r>
      <w:r w:rsidR="005C3B88">
        <w:t>[</w:t>
      </w:r>
      <w:r w:rsidR="005C3B88" w:rsidRPr="00FF1F87">
        <w:t>Zwischengeschaltete Konstruktion</w:t>
      </w:r>
    </w:p>
    <w:p w14:paraId="0887B740" w14:textId="77777777" w:rsidR="005C3B88" w:rsidRPr="00FF1F87" w:rsidRDefault="005C3B88" w:rsidP="005C3B88">
      <w:pPr>
        <w:jc w:val="both"/>
      </w:pPr>
    </w:p>
    <w:p w14:paraId="767BB74E" w14:textId="2CE6D977" w:rsidR="008D16A6" w:rsidRPr="009118AB" w:rsidRDefault="005C3B88" w:rsidP="005C3B88">
      <w:pPr>
        <w:ind w:firstLine="708"/>
        <w:jc w:val="both"/>
      </w:pPr>
      <w:r w:rsidRPr="00FF1F87">
        <w:t xml:space="preserve">Unter zwischengeschalteter Konstruktion versteht man eine Rechtsvereinbarung oder eine Gesellschaft, Vereinigung, Niederlassung, Einrichtung oder Körperschaft, die aufgrund </w:t>
      </w:r>
      <w:r w:rsidRPr="00FF1F87">
        <w:lastRenderedPageBreak/>
        <w:t>des Rechts, dem sie unterliegt, Rechtspersönlichkeit besitzt oder nicht, die die Aktien oder Anteile beziehungsweise die wirtschaftlichen Rechte einer Tochterkonstruktion oder einer anderen zwischengeschalteten Konstruktion ganz oder teilweise besitzt.</w:t>
      </w:r>
      <w:r>
        <w:t>]</w:t>
      </w:r>
      <w:r w:rsidR="00BB5F5A">
        <w:t>]</w:t>
      </w:r>
    </w:p>
    <w:p w14:paraId="033414D7" w14:textId="77777777" w:rsidR="008D16A6" w:rsidRPr="009118AB" w:rsidRDefault="008D16A6" w:rsidP="008D16A6">
      <w:pPr>
        <w:jc w:val="both"/>
      </w:pPr>
    </w:p>
    <w:p w14:paraId="79935E78" w14:textId="495A6BD0" w:rsidR="0068768C" w:rsidRPr="009118AB" w:rsidRDefault="00585974" w:rsidP="005C3B88">
      <w:pPr>
        <w:jc w:val="both"/>
      </w:pPr>
      <w:r w:rsidRPr="009118AB">
        <w:tab/>
      </w:r>
      <w:r w:rsidR="00BB5F5A">
        <w:t>[</w:t>
      </w:r>
      <w:r w:rsidR="008D16A6" w:rsidRPr="009118AB">
        <w:t>13/4. </w:t>
      </w:r>
      <w:r w:rsidR="005C3B88">
        <w:t>[..</w:t>
      </w:r>
      <w:r w:rsidR="008D16A6" w:rsidRPr="009118AB">
        <w:t>.</w:t>
      </w:r>
      <w:r w:rsidR="00BB5F5A">
        <w:t>]</w:t>
      </w:r>
      <w:r w:rsidR="008D16A6" w:rsidRPr="009118AB">
        <w:t>]</w:t>
      </w:r>
    </w:p>
    <w:p w14:paraId="498E3F72" w14:textId="016F175C" w:rsidR="00405084" w:rsidRPr="009118AB" w:rsidRDefault="00405084"/>
    <w:p w14:paraId="7DBE250A" w14:textId="743C54CD" w:rsidR="00643D34" w:rsidRPr="009118AB" w:rsidRDefault="00585974" w:rsidP="00F9275A">
      <w:pPr>
        <w:jc w:val="both"/>
      </w:pPr>
      <w:r w:rsidRPr="009118AB">
        <w:tab/>
      </w:r>
      <w:r w:rsidR="00006C49" w:rsidRPr="009118AB">
        <w:t>[</w:t>
      </w:r>
      <w:r w:rsidR="009C1314" w:rsidRPr="009118AB">
        <w:t>14. </w:t>
      </w:r>
      <w:r w:rsidR="00643D34" w:rsidRPr="009118AB">
        <w:t>[Unter Gründer beziehungsweise Gründern einer Rechtsvereinbarung versteht man:</w:t>
      </w:r>
    </w:p>
    <w:p w14:paraId="029FE0E1" w14:textId="77777777" w:rsidR="00643D34" w:rsidRPr="009118AB" w:rsidRDefault="00643D34" w:rsidP="00F9275A">
      <w:pPr>
        <w:jc w:val="both"/>
      </w:pPr>
    </w:p>
    <w:p w14:paraId="4A82CF1C" w14:textId="77777777" w:rsidR="00643D34" w:rsidRPr="009118AB" w:rsidRDefault="00585974" w:rsidP="00F9275A">
      <w:pPr>
        <w:jc w:val="both"/>
      </w:pPr>
      <w:r w:rsidRPr="009118AB">
        <w:tab/>
      </w:r>
      <w:r w:rsidR="00643D34" w:rsidRPr="009118AB">
        <w:t>- entweder die natürliche Person, die die Rechtsvereinbarung außerhalb der Ausübung ihrer Berufstätigkeit gegründet hat, oder die juristische Person, die gemäß Artikel 220 der Steuer der juristischen Personen unterliegt und die die Rechtsvereinbarung gegründet hat,</w:t>
      </w:r>
    </w:p>
    <w:p w14:paraId="175047EF" w14:textId="77777777" w:rsidR="00643D34" w:rsidRPr="009118AB" w:rsidRDefault="00643D34" w:rsidP="00F9275A">
      <w:pPr>
        <w:jc w:val="both"/>
      </w:pPr>
    </w:p>
    <w:p w14:paraId="7DE44F5F" w14:textId="77777777" w:rsidR="00643D34" w:rsidRPr="009118AB" w:rsidRDefault="00585974" w:rsidP="00F9275A">
      <w:pPr>
        <w:jc w:val="both"/>
      </w:pPr>
      <w:r w:rsidRPr="009118AB">
        <w:tab/>
      </w:r>
      <w:r w:rsidR="00643D34" w:rsidRPr="009118AB">
        <w:t>- oder, wenn die Rechtsvereinbarung von einem Dritten gegründet worden ist, die natürliche Person, die außerhalb der Ausübung ihrer Berufstätigkeit handelt, oder die juristische Person, die gemäß Artikel 220 der Steuer der juristischen Personen unterliegt, die Güter und Rechte in die Rechtsvereinbarung eingebracht hat,</w:t>
      </w:r>
    </w:p>
    <w:p w14:paraId="3AC5EE84" w14:textId="77777777" w:rsidR="00643D34" w:rsidRPr="009118AB" w:rsidRDefault="00643D34" w:rsidP="00F9275A">
      <w:pPr>
        <w:jc w:val="both"/>
      </w:pPr>
    </w:p>
    <w:p w14:paraId="565C134C" w14:textId="77777777" w:rsidR="00643D34" w:rsidRPr="009118AB" w:rsidRDefault="00585974" w:rsidP="00F9275A">
      <w:pPr>
        <w:jc w:val="both"/>
      </w:pPr>
      <w:r w:rsidRPr="009118AB">
        <w:tab/>
      </w:r>
      <w:r w:rsidR="00643D34" w:rsidRPr="009118AB">
        <w:t>- oder natürliche Personen, die die in den vorhergehenden Gedankenstrichen erwähn</w:t>
      </w:r>
      <w:r w:rsidR="00643D34" w:rsidRPr="009118AB">
        <w:softHyphen/>
        <w:t xml:space="preserve">ten natürlichen Personen mittelbar oder unmittelbar beerben, oder natürliche Personen, die diese Personen mittelbar oder unmittelbar beerben werden, ab dem Zeitpunkt des Todes, es sei denn, diese Erben weisen nach, dass sie oder ihre Erbberechtigten zu keinem Zeitpunkt und in keiner Weise einen Vorteil von der </w:t>
      </w:r>
      <w:r w:rsidR="00DD65E2" w:rsidRPr="009118AB">
        <w:t>[...]</w:t>
      </w:r>
      <w:r w:rsidR="00643D34" w:rsidRPr="009118AB">
        <w:t xml:space="preserve"> Rechtsverein</w:t>
      </w:r>
      <w:r w:rsidR="00643D34" w:rsidRPr="009118AB">
        <w:softHyphen/>
        <w:t>barung erhalten werden,</w:t>
      </w:r>
    </w:p>
    <w:p w14:paraId="255D202E" w14:textId="77777777" w:rsidR="00643D34" w:rsidRPr="009118AB" w:rsidRDefault="00643D34" w:rsidP="00F9275A">
      <w:pPr>
        <w:jc w:val="both"/>
      </w:pPr>
    </w:p>
    <w:p w14:paraId="00A848D3" w14:textId="68ECFF1A" w:rsidR="009C1314" w:rsidRPr="009118AB" w:rsidRDefault="00585974" w:rsidP="00F9275A">
      <w:pPr>
        <w:jc w:val="both"/>
      </w:pPr>
      <w:r w:rsidRPr="009118AB">
        <w:tab/>
      </w:r>
      <w:r w:rsidR="00643D34" w:rsidRPr="009118AB">
        <w:t xml:space="preserve">- oder natürliche Personen oder juristische Personen, die gemäß Artikel 220 der Steuer der juristischen Personen unterliegen, </w:t>
      </w:r>
      <w:r w:rsidR="00BB5F5A">
        <w:t>[</w:t>
      </w:r>
      <w:r w:rsidR="00BB5F5A" w:rsidRPr="00FF1F87">
        <w:t>die unmittelbar oder mittelbar über eine Kette von zwischengeschalteten Konstruktionen die juristischen oder wirtschaftlichen Rechte an Aktien oder Anteilen</w:t>
      </w:r>
      <w:r w:rsidR="00BB5F5A">
        <w:t>]</w:t>
      </w:r>
      <w:r w:rsidR="00643D34" w:rsidRPr="009118AB">
        <w:t xml:space="preserve"> beziehungsweise die wirtschaftlichen Rechte an Gütern und Kapitalvermögen, die im Besitz einer in </w:t>
      </w:r>
      <w:r w:rsidR="00D67EB8" w:rsidRPr="009118AB">
        <w:t>Nr. </w:t>
      </w:r>
      <w:r w:rsidR="00643D34" w:rsidRPr="009118AB">
        <w:t>13 Buchstabe </w:t>
      </w:r>
      <w:r w:rsidR="00643D34" w:rsidRPr="009118AB">
        <w:rPr>
          <w:i/>
        </w:rPr>
        <w:t>b)</w:t>
      </w:r>
      <w:r w:rsidR="00643D34" w:rsidRPr="009118AB">
        <w:t xml:space="preserve"> erwähnten Re</w:t>
      </w:r>
      <w:r w:rsidR="008D16A6" w:rsidRPr="009118AB">
        <w:t>chtsvereinbarung sind, besitzen,</w:t>
      </w:r>
      <w:r w:rsidR="00643D34" w:rsidRPr="009118AB">
        <w:t>]</w:t>
      </w:r>
      <w:r w:rsidR="009C1314" w:rsidRPr="009118AB">
        <w:t>]</w:t>
      </w:r>
    </w:p>
    <w:p w14:paraId="52FE7E66" w14:textId="77777777" w:rsidR="00477C42" w:rsidRPr="009118AB" w:rsidRDefault="00477C42" w:rsidP="009C1314">
      <w:pPr>
        <w:autoSpaceDE w:val="0"/>
        <w:autoSpaceDN w:val="0"/>
        <w:adjustRightInd w:val="0"/>
        <w:jc w:val="both"/>
      </w:pPr>
    </w:p>
    <w:p w14:paraId="0843EE4B" w14:textId="34EB0CFD" w:rsidR="008D16A6" w:rsidRPr="009118AB" w:rsidRDefault="00585974" w:rsidP="009C1314">
      <w:pPr>
        <w:autoSpaceDE w:val="0"/>
        <w:autoSpaceDN w:val="0"/>
        <w:adjustRightInd w:val="0"/>
        <w:jc w:val="both"/>
      </w:pPr>
      <w:r w:rsidRPr="009118AB">
        <w:tab/>
      </w:r>
      <w:r w:rsidR="008D16A6" w:rsidRPr="009118AB">
        <w:t xml:space="preserve">[- oder die natürliche Person oder die juristische Person, die gemäß Artikel 220 der Steuer der juristischen Personen unterliegt, die den in </w:t>
      </w:r>
      <w:r w:rsidR="00D67EB8" w:rsidRPr="009118AB">
        <w:t>Nr. </w:t>
      </w:r>
      <w:r w:rsidR="008D16A6" w:rsidRPr="009118AB">
        <w:t>13 Buchstabe </w:t>
      </w:r>
      <w:r w:rsidR="008D16A6" w:rsidRPr="009118AB">
        <w:rPr>
          <w:i/>
        </w:rPr>
        <w:t>c)</w:t>
      </w:r>
      <w:r w:rsidR="008D16A6" w:rsidRPr="009118AB">
        <w:t xml:space="preserve"> erwähnten Vertrag abgeschlossen hat und in deren Namen die Prämie(n) für diesen Vertrag beglichen werden.]</w:t>
      </w:r>
    </w:p>
    <w:p w14:paraId="31196D04" w14:textId="77777777" w:rsidR="008D16A6" w:rsidRDefault="008D16A6" w:rsidP="009C1314">
      <w:pPr>
        <w:autoSpaceDE w:val="0"/>
        <w:autoSpaceDN w:val="0"/>
        <w:adjustRightInd w:val="0"/>
        <w:jc w:val="both"/>
      </w:pPr>
    </w:p>
    <w:p w14:paraId="45321E12" w14:textId="77777777" w:rsidR="00BB5F5A" w:rsidRPr="00FF1F87" w:rsidRDefault="00BB5F5A" w:rsidP="00BB5F5A">
      <w:pPr>
        <w:ind w:firstLine="708"/>
        <w:jc w:val="both"/>
      </w:pPr>
      <w:r>
        <w:tab/>
        <w:t>[</w:t>
      </w:r>
      <w:r w:rsidRPr="00FF1F87">
        <w:t>Gilt eine natürliche Person in einem Zentralregister der wirtschaftlichen Eigentümer als wirtschaftlicher Eigentümer einer Gesellschaft, einer Treuhandgesellschaft, eines Trusts, einer Stiftung, einer Vereinigung ohne Gewinnerzielungsabsicht oder einer Rechtsvereinbarung, die einer Treuhandgesellschaft oder einem Trust ähnelt, wie im Gesetz vom 18. September 2017 zur Verhinderung von Geldwäsche und Terrorismusfinanzierung und zur Beschränkung der Nutzung von Bargeld erwähnt, die/der ebenfalls eine Rechtsvereinbarung wie in Nr. 13 erwähnt ist, kann vorbehaltlich des Gegenbeweises und unter Berücksichtigung aller relevanten Fakten und Umstände davon ausgegangen werden, dass sie Gründer dieser Rechtsvereinbarung ist.</w:t>
      </w:r>
    </w:p>
    <w:p w14:paraId="2EB86305" w14:textId="77777777" w:rsidR="00BB5F5A" w:rsidRPr="00FF1F87" w:rsidRDefault="00BB5F5A" w:rsidP="00BB5F5A">
      <w:pPr>
        <w:jc w:val="both"/>
      </w:pPr>
    </w:p>
    <w:p w14:paraId="0C310A68" w14:textId="06B99E99" w:rsidR="00BB5F5A" w:rsidRDefault="00BB5F5A" w:rsidP="00BB5F5A">
      <w:pPr>
        <w:autoSpaceDE w:val="0"/>
        <w:autoSpaceDN w:val="0"/>
        <w:adjustRightInd w:val="0"/>
        <w:ind w:firstLine="708"/>
        <w:jc w:val="both"/>
      </w:pPr>
      <w:r w:rsidRPr="00FF1F87">
        <w:t>Für die Anwendung von Absatz 2 versteht man unter einem Zentralregister der wirtschaftlichen Eigentümer das in Buch IV Titel 2 des Gesetzes vom 18. September 2017 zur Verhinderung von Geldwäsche und Terrorismusfinanzierung und zur Beschränkung der Nutzung von Bargeld erwähnte Register sowie ein ähnliches Register, das von einem Mitgliedstaat der Europäischen Union oder einem Drittland geführt wird.</w:t>
      </w:r>
      <w:r>
        <w:t>]</w:t>
      </w:r>
    </w:p>
    <w:p w14:paraId="723E73A8" w14:textId="77777777" w:rsidR="00BB5F5A" w:rsidRPr="009118AB" w:rsidRDefault="00BB5F5A" w:rsidP="00BB5F5A">
      <w:pPr>
        <w:autoSpaceDE w:val="0"/>
        <w:autoSpaceDN w:val="0"/>
        <w:adjustRightInd w:val="0"/>
        <w:ind w:firstLine="708"/>
        <w:jc w:val="both"/>
      </w:pPr>
    </w:p>
    <w:p w14:paraId="0F721640" w14:textId="77BFACFB" w:rsidR="00D2192B" w:rsidRPr="009118AB" w:rsidRDefault="00585974" w:rsidP="00BC5AEF">
      <w:pPr>
        <w:autoSpaceDE w:val="0"/>
        <w:autoSpaceDN w:val="0"/>
        <w:adjustRightInd w:val="0"/>
        <w:jc w:val="both"/>
      </w:pPr>
      <w:r w:rsidRPr="009118AB">
        <w:lastRenderedPageBreak/>
        <w:tab/>
      </w:r>
      <w:r w:rsidR="00643D34" w:rsidRPr="009118AB">
        <w:t>[14/1. </w:t>
      </w:r>
      <w:r w:rsidR="008D16A6" w:rsidRPr="009118AB">
        <w:t>[…]</w:t>
      </w:r>
      <w:r w:rsidR="00643D34" w:rsidRPr="009118AB">
        <w:t>]</w:t>
      </w:r>
    </w:p>
    <w:p w14:paraId="0F5C2035" w14:textId="77777777" w:rsidR="00BC5AEF" w:rsidRPr="009118AB" w:rsidRDefault="00BC5AEF" w:rsidP="00BC5AEF">
      <w:pPr>
        <w:autoSpaceDE w:val="0"/>
        <w:autoSpaceDN w:val="0"/>
        <w:adjustRightInd w:val="0"/>
        <w:jc w:val="both"/>
      </w:pPr>
    </w:p>
    <w:p w14:paraId="26CC45BB" w14:textId="17FCBDE7" w:rsidR="00477C42" w:rsidRPr="009118AB" w:rsidRDefault="00585974" w:rsidP="00477C42">
      <w:pPr>
        <w:jc w:val="both"/>
      </w:pPr>
      <w:r w:rsidRPr="009118AB">
        <w:tab/>
      </w:r>
      <w:r w:rsidR="00477C42" w:rsidRPr="009118AB">
        <w:t>[15. Eigene Wohnung</w:t>
      </w:r>
    </w:p>
    <w:p w14:paraId="059BDE6B" w14:textId="77777777" w:rsidR="00477C42" w:rsidRPr="009118AB" w:rsidRDefault="00477C42" w:rsidP="00477C42">
      <w:pPr>
        <w:jc w:val="both"/>
      </w:pPr>
    </w:p>
    <w:p w14:paraId="47B06D49" w14:textId="01988AEC" w:rsidR="00477C42" w:rsidRPr="009118AB" w:rsidRDefault="00585974" w:rsidP="00477C42">
      <w:pPr>
        <w:jc w:val="both"/>
      </w:pPr>
      <w:r w:rsidRPr="009118AB">
        <w:tab/>
      </w:r>
      <w:r w:rsidR="00477C42" w:rsidRPr="009118AB">
        <w:t xml:space="preserve">Unter eigener Wohnung versteht man die Wohnung, die in Artikel 5/5 </w:t>
      </w:r>
      <w:r w:rsidR="00D67EB8" w:rsidRPr="009118AB">
        <w:t>§ </w:t>
      </w:r>
      <w:r w:rsidR="00477C42" w:rsidRPr="009118AB">
        <w:t>4 Absatz 2 bis 8 des Sondergesetzes vom 16. Januar 1989 bezüglich der Finanzierung der Gemeinschaften und Regionen erwähnt ist.]</w:t>
      </w:r>
    </w:p>
    <w:p w14:paraId="565D6F1F" w14:textId="77777777" w:rsidR="00477C42" w:rsidRPr="009118AB" w:rsidRDefault="00477C42" w:rsidP="00477C42">
      <w:pPr>
        <w:jc w:val="both"/>
      </w:pPr>
    </w:p>
    <w:p w14:paraId="597CDDCA" w14:textId="1DDFDC65" w:rsidR="00434769" w:rsidRPr="009118AB" w:rsidRDefault="00585974" w:rsidP="00434769">
      <w:pPr>
        <w:jc w:val="both"/>
      </w:pPr>
      <w:r w:rsidRPr="009118AB">
        <w:tab/>
      </w:r>
      <w:r w:rsidR="00434769" w:rsidRPr="009118AB">
        <w:t>[16. Hybride Gestaltung</w:t>
      </w:r>
    </w:p>
    <w:p w14:paraId="26556CF2" w14:textId="77777777" w:rsidR="00434769" w:rsidRPr="009118AB" w:rsidRDefault="00434769" w:rsidP="00434769">
      <w:pPr>
        <w:jc w:val="both"/>
      </w:pPr>
    </w:p>
    <w:p w14:paraId="36413C3B" w14:textId="77777777" w:rsidR="00434769" w:rsidRPr="009118AB" w:rsidRDefault="00585974" w:rsidP="00434769">
      <w:pPr>
        <w:jc w:val="both"/>
      </w:pPr>
      <w:r w:rsidRPr="009118AB">
        <w:tab/>
      </w:r>
      <w:r w:rsidR="00434769" w:rsidRPr="009118AB">
        <w:t>Unter hybrider Gestaltung versteht man eine Gestaltung, die zu Ausgaben führt, die bei einer inländischen Gesellschaft oder einer belgischen Niederlassung und bei einem ausländischen Unternehmen oder einem Zweigbetrieb eines solchen Unternehmens oder nur bei einem dieser Akteure abzugsfähig sind, jedoch ohne dass in diesem Fall diesen Ausgaben Einkünfte entsprechen, die in den steuerpflichtigen Einkünften des Empfängers enthalten sind.</w:t>
      </w:r>
    </w:p>
    <w:p w14:paraId="7FB085BC" w14:textId="77777777" w:rsidR="00434769" w:rsidRPr="009118AB" w:rsidRDefault="00434769" w:rsidP="00434769">
      <w:pPr>
        <w:jc w:val="both"/>
      </w:pPr>
    </w:p>
    <w:p w14:paraId="3207897D" w14:textId="77777777" w:rsidR="00434769" w:rsidRPr="009118AB" w:rsidRDefault="00585974" w:rsidP="00434769">
      <w:pPr>
        <w:jc w:val="both"/>
      </w:pPr>
      <w:r w:rsidRPr="009118AB">
        <w:tab/>
      </w:r>
      <w:r w:rsidR="00434769" w:rsidRPr="009118AB">
        <w:t>Zwischen einer inländischen Gesellschaft oder einer belgischen Niederlassung einerseits und einem ausländischen Unternehmen oder einem Zweigbetrieb eines solchen Unternehmens andererseits kann nur dann eine hybride Gestaltung vorliegen, wenn sie verbundene Unternehmen sind, die Teil desselben Unternehmens sind oder im Rahmen einer strukturierten Gestaltung handeln.</w:t>
      </w:r>
    </w:p>
    <w:p w14:paraId="6632548D" w14:textId="77777777" w:rsidR="00434769" w:rsidRPr="009118AB" w:rsidRDefault="00434769" w:rsidP="00434769">
      <w:pPr>
        <w:jc w:val="both"/>
      </w:pPr>
    </w:p>
    <w:p w14:paraId="33E2A4C0" w14:textId="77777777" w:rsidR="00434769" w:rsidRPr="009118AB" w:rsidRDefault="00585974" w:rsidP="00434769">
      <w:pPr>
        <w:jc w:val="both"/>
      </w:pPr>
      <w:r w:rsidRPr="009118AB">
        <w:tab/>
      </w:r>
      <w:r w:rsidR="00434769" w:rsidRPr="009118AB">
        <w:t>Eine inländische Gesellschaft oder eine belgische Niederlassung und ein ausländisches Unternehmen oder ein Zweigbetrieb eines solchen Unternehmens sind verbundene Unter</w:t>
      </w:r>
      <w:r w:rsidR="00434769" w:rsidRPr="009118AB">
        <w:softHyphen/>
        <w:t>nehmen:</w:t>
      </w:r>
    </w:p>
    <w:p w14:paraId="18D73970" w14:textId="77777777" w:rsidR="00434769" w:rsidRPr="009118AB" w:rsidRDefault="00434769" w:rsidP="00434769">
      <w:pPr>
        <w:jc w:val="both"/>
      </w:pPr>
    </w:p>
    <w:p w14:paraId="13C32F71" w14:textId="77777777" w:rsidR="00434769" w:rsidRPr="009118AB" w:rsidRDefault="00585974" w:rsidP="00434769">
      <w:pPr>
        <w:jc w:val="both"/>
      </w:pPr>
      <w:r w:rsidRPr="009118AB">
        <w:tab/>
      </w:r>
      <w:r w:rsidR="00434769" w:rsidRPr="009118AB">
        <w:t>- wenn das ausländische Unternehmen ein Unternehmen ist, an dem die inländische Gesellschaft oder die belgische Niederlassung unmittelbar oder mittelbar eine Beteiligung in Form von Stimmrechten oder Kapital von mindestens 50 Prozent hält oder bei dem sie Anspruch auf mindestens 50 Prozent der Gewinne dieses Unternehmens hat, oder</w:t>
      </w:r>
    </w:p>
    <w:p w14:paraId="41FFCCE8" w14:textId="77777777" w:rsidR="00434769" w:rsidRPr="009118AB" w:rsidRDefault="00434769" w:rsidP="00434769">
      <w:pPr>
        <w:jc w:val="both"/>
      </w:pPr>
    </w:p>
    <w:p w14:paraId="0D64A55E" w14:textId="77777777" w:rsidR="00434769" w:rsidRPr="009118AB" w:rsidRDefault="00585974" w:rsidP="00434769">
      <w:pPr>
        <w:jc w:val="both"/>
      </w:pPr>
      <w:r w:rsidRPr="009118AB">
        <w:tab/>
      </w:r>
      <w:r w:rsidR="00434769" w:rsidRPr="009118AB">
        <w:t>- wenn das ausländische Unternehmen oder der Zweigbetrieb eines solchen Unternehmens eine natürliche Person oder ein Unternehmen ist, die/das unmittelbar oder mittelbar eine Beteiligung in Form von Stimmrechten oder Kapital von mindestens 50 Prozent an der inländischen Gesellschaft hält oder Anspruch auf mindestens 50 Prozent der Gewinne der inländischen Gesellschaft hat, oder</w:t>
      </w:r>
    </w:p>
    <w:p w14:paraId="6928CCC1" w14:textId="77777777" w:rsidR="00434769" w:rsidRPr="009118AB" w:rsidRDefault="00434769" w:rsidP="00434769">
      <w:pPr>
        <w:jc w:val="both"/>
      </w:pPr>
    </w:p>
    <w:p w14:paraId="5D43FE80" w14:textId="77777777" w:rsidR="00434769" w:rsidRPr="009118AB" w:rsidRDefault="00585974" w:rsidP="00434769">
      <w:pPr>
        <w:jc w:val="both"/>
      </w:pPr>
      <w:r w:rsidRPr="009118AB">
        <w:tab/>
      </w:r>
      <w:r w:rsidR="00434769" w:rsidRPr="009118AB">
        <w:t>- wenn eine natürliche Person oder ein Unternehmen unmittelbar oder mittelbar eine Beteiligung in Form von Stimmrechten oder Kapital von mindestens 50 Prozent an der inländischen Gesellschaft und an dem ausländischen Unternehmen hält oder</w:t>
      </w:r>
    </w:p>
    <w:p w14:paraId="14874E0B" w14:textId="77777777" w:rsidR="00434769" w:rsidRPr="009118AB" w:rsidRDefault="00434769" w:rsidP="00434769">
      <w:pPr>
        <w:jc w:val="both"/>
      </w:pPr>
    </w:p>
    <w:p w14:paraId="25C9B1CC" w14:textId="77777777" w:rsidR="00434769" w:rsidRPr="009118AB" w:rsidRDefault="00585974" w:rsidP="00434769">
      <w:pPr>
        <w:jc w:val="both"/>
      </w:pPr>
      <w:r w:rsidRPr="009118AB">
        <w:tab/>
      </w:r>
      <w:r w:rsidR="00434769" w:rsidRPr="009118AB">
        <w:t>- wenn die inländische Gesellschaft oder die belgische Niederlassung und das ausländische Unternehmen oder der Zweigbetrieb eines solchen Unternehmens Teil derselben zu Rechnungslegungszwecken konsolidierten Gruppe sind oder</w:t>
      </w:r>
    </w:p>
    <w:p w14:paraId="45B6A29F" w14:textId="77777777" w:rsidR="00434769" w:rsidRPr="009118AB" w:rsidRDefault="00434769" w:rsidP="00434769">
      <w:pPr>
        <w:jc w:val="both"/>
      </w:pPr>
    </w:p>
    <w:p w14:paraId="0A897A7E" w14:textId="77777777" w:rsidR="00434769" w:rsidRPr="009118AB" w:rsidRDefault="00585974" w:rsidP="00434769">
      <w:pPr>
        <w:jc w:val="both"/>
      </w:pPr>
      <w:r w:rsidRPr="009118AB">
        <w:tab/>
      </w:r>
      <w:r w:rsidR="00434769" w:rsidRPr="009118AB">
        <w:t>- wenn der eine maßgeblich Einfluss auf die Leitung des anderen nimmt.</w:t>
      </w:r>
    </w:p>
    <w:p w14:paraId="572CE740" w14:textId="77777777" w:rsidR="00434769" w:rsidRPr="009118AB" w:rsidRDefault="00434769" w:rsidP="00434769">
      <w:pPr>
        <w:jc w:val="both"/>
      </w:pPr>
    </w:p>
    <w:p w14:paraId="70B053EB" w14:textId="77777777" w:rsidR="00434769" w:rsidRPr="009118AB" w:rsidRDefault="00585974" w:rsidP="00434769">
      <w:pPr>
        <w:jc w:val="both"/>
      </w:pPr>
      <w:r w:rsidRPr="009118AB">
        <w:tab/>
      </w:r>
      <w:r w:rsidR="00434769" w:rsidRPr="009118AB">
        <w:t>Bei Gestaltungen im Zusammenhang mit einer Zahlung im Rahmen eines Finanz</w:t>
      </w:r>
      <w:r w:rsidR="00434769" w:rsidRPr="009118AB">
        <w:softHyphen/>
        <w:t>instruments wird die vorerwähnte Anforderung von 50 Prozent auf 25 Prozent herabgesetzt.</w:t>
      </w:r>
    </w:p>
    <w:p w14:paraId="37905E20" w14:textId="77777777" w:rsidR="00434769" w:rsidRPr="009118AB" w:rsidRDefault="00434769" w:rsidP="00434769">
      <w:pPr>
        <w:jc w:val="both"/>
      </w:pPr>
    </w:p>
    <w:p w14:paraId="3877BFED" w14:textId="77777777" w:rsidR="00434769" w:rsidRPr="009118AB" w:rsidRDefault="00585974" w:rsidP="00434769">
      <w:pPr>
        <w:jc w:val="both"/>
      </w:pPr>
      <w:r w:rsidRPr="009118AB">
        <w:lastRenderedPageBreak/>
        <w:tab/>
      </w:r>
      <w:r w:rsidR="00434769" w:rsidRPr="009118AB">
        <w:t>Eine Person, die in Bezug auf die Stimmrechte oder die Kapitalbeteiligung an einem Unternehmen gemeinsam mit einer anderen Person handelt, wird so behandelt, als hielte sie eine Beteiligung an allen Stimmrechten oder dem gesamten Kapital dieses Unternehmens, die/das von der anderen Person oder den anderen Personen gehalten werden/wird.</w:t>
      </w:r>
    </w:p>
    <w:p w14:paraId="650AB9D1" w14:textId="77777777" w:rsidR="00434769" w:rsidRPr="009118AB" w:rsidRDefault="00434769" w:rsidP="00434769">
      <w:pPr>
        <w:jc w:val="both"/>
      </w:pPr>
    </w:p>
    <w:p w14:paraId="67877525" w14:textId="77777777" w:rsidR="00434769" w:rsidRPr="009118AB" w:rsidRDefault="00585974" w:rsidP="00434769">
      <w:pPr>
        <w:jc w:val="both"/>
      </w:pPr>
      <w:r w:rsidRPr="009118AB">
        <w:tab/>
      </w:r>
      <w:r w:rsidR="00434769" w:rsidRPr="009118AB">
        <w:t>Eine zu Rechnungslegungszwecken konsolidierte Gruppe ist eine Gruppe aus allen Unternehmen, die vollständig in konsolidierten Abschlüssen gemäß den Internationalen Rechnungslegungsstandards (IFRS) oder dem nationalen Finanzberichtssystem eines Mitgliedstaates des Europäischen Wirtschaftsraums berücksichtigt sind.</w:t>
      </w:r>
    </w:p>
    <w:p w14:paraId="52A5EDB3" w14:textId="77777777" w:rsidR="00434769" w:rsidRPr="009118AB" w:rsidRDefault="00434769" w:rsidP="00434769">
      <w:pPr>
        <w:jc w:val="both"/>
      </w:pPr>
    </w:p>
    <w:p w14:paraId="429CBD06" w14:textId="77777777" w:rsidR="00434769" w:rsidRPr="009118AB" w:rsidRDefault="00585974" w:rsidP="00434769">
      <w:pPr>
        <w:jc w:val="both"/>
      </w:pPr>
      <w:r w:rsidRPr="009118AB">
        <w:tab/>
      </w:r>
      <w:r w:rsidR="00434769" w:rsidRPr="009118AB">
        <w:t>Eine inländische Gesellschaft oder eine belgische Niederlassung und ein ausländisches Unternehmen oder ein Zweigbetrieb eines solchen Unternehmens gehören demselben Unternehmen an, wenn der eine eine belgische Niederlassung oder eine Betriebsstätte des anderen ist oder wenn beide belgische Niederlassungen oder Betriebsstätten desselben Unternehmens sind.</w:t>
      </w:r>
    </w:p>
    <w:p w14:paraId="120C7695" w14:textId="77777777" w:rsidR="00434769" w:rsidRPr="009118AB" w:rsidRDefault="00434769" w:rsidP="00434769">
      <w:pPr>
        <w:jc w:val="both"/>
      </w:pPr>
    </w:p>
    <w:p w14:paraId="032DFF16" w14:textId="77777777" w:rsidR="00434769" w:rsidRPr="009118AB" w:rsidRDefault="00585974" w:rsidP="00434769">
      <w:pPr>
        <w:jc w:val="both"/>
      </w:pPr>
      <w:r w:rsidRPr="009118AB">
        <w:tab/>
      </w:r>
      <w:r w:rsidR="00434769" w:rsidRPr="009118AB">
        <w:t>Eine inländische Gesellschaft oder eine belgische Niederlassung und ein ausländisches Unternehmen oder ein Zweigbetrieb eines solchen Unternehmens handeln im Rahmen einer strukturierten Gestaltung, wenn sie im Rahmen einer Gestaltung handeln, die zu einem Abzug für jeden unter ihnen oder zu einem Abzug für den einen bei gleichzeitiger Nichtbesteuerung des anderen führt und bei der diese Auswirkung bereits in die Bedingungen der Gestaltung eingerechnet ist, oder wenn sie im Rahmen einer Gestaltung handeln, die mit der Absicht entwickelt wurde, eine solche Auswirkung herbeizuführen, es sei denn, es kann vernünf</w:t>
      </w:r>
      <w:r w:rsidR="00434769" w:rsidRPr="009118AB">
        <w:softHyphen/>
        <w:t>tigerweise nicht davon ausgegangen werden, dass der inländischen Gesellschaft oder der belgischen Niederlassung oder dem ausländischen Unternehmen oder dem Zweigbetrieb eines solchen Unternehmens die Auswirkung bewusst war, und der Betreffende hat keinen Vorteil aus dieser Auswirkung gezogen.</w:t>
      </w:r>
    </w:p>
    <w:p w14:paraId="169F9103" w14:textId="77777777" w:rsidR="00434769" w:rsidRPr="009118AB" w:rsidRDefault="00434769" w:rsidP="00434769">
      <w:pPr>
        <w:jc w:val="both"/>
      </w:pPr>
    </w:p>
    <w:p w14:paraId="028AE568" w14:textId="77777777" w:rsidR="00434769" w:rsidRPr="009118AB" w:rsidRDefault="00585974" w:rsidP="00434769">
      <w:pPr>
        <w:jc w:val="both"/>
      </w:pPr>
      <w:r w:rsidRPr="009118AB">
        <w:tab/>
      </w:r>
      <w:r w:rsidR="00434769" w:rsidRPr="009118AB">
        <w:t>Es liegt keine hybride Gestaltung vor, die zu einem Abzug für einen der Akteure bei gleichzeitiger Nichtbesteuerung des anderen Akteurs führt, wenn die Nichtbesteuerung des Letztgenannten lediglich auf ein vom allgemeinen Recht abweichendes Besteuerungssystem, das auf ihn anwendbar ist, oder auf Unterschiede bei dem einer Zahlung beigemessenen Wert, einschließlich durch die Anwendung von Verrechnungspreisregelungen, zurückzuführen ist.</w:t>
      </w:r>
    </w:p>
    <w:p w14:paraId="258F6B93" w14:textId="77777777" w:rsidR="00434769" w:rsidRPr="009118AB" w:rsidRDefault="00434769" w:rsidP="00434769">
      <w:pPr>
        <w:jc w:val="both"/>
      </w:pPr>
    </w:p>
    <w:p w14:paraId="0A1EA101" w14:textId="77777777" w:rsidR="00434769" w:rsidRPr="009118AB" w:rsidRDefault="00585974" w:rsidP="00434769">
      <w:pPr>
        <w:jc w:val="both"/>
      </w:pPr>
      <w:r w:rsidRPr="009118AB">
        <w:tab/>
      </w:r>
      <w:r w:rsidR="00434769" w:rsidRPr="009118AB">
        <w:t>17. Hybrides Unternehmen</w:t>
      </w:r>
    </w:p>
    <w:p w14:paraId="54134920" w14:textId="77777777" w:rsidR="00434769" w:rsidRPr="009118AB" w:rsidRDefault="00434769" w:rsidP="00434769">
      <w:pPr>
        <w:jc w:val="both"/>
      </w:pPr>
    </w:p>
    <w:p w14:paraId="02E93F73" w14:textId="77777777" w:rsidR="00434769" w:rsidRPr="009118AB" w:rsidRDefault="00585974" w:rsidP="00434769">
      <w:pPr>
        <w:jc w:val="both"/>
      </w:pPr>
      <w:r w:rsidRPr="009118AB">
        <w:tab/>
      </w:r>
      <w:r w:rsidR="00434769" w:rsidRPr="009118AB">
        <w:t>Unter hybridem Unternehmen versteht man ein Unternehmen oder eine Gestaltung, das/die nach den Rechtsvorschriften eines Steuergebiets als Steuerpflichtiger gilt und dessen/deren Einkünfte oder Ausgaben nach den Rechtsvorschriften eines anderen Steuer</w:t>
      </w:r>
      <w:r w:rsidR="00434769" w:rsidRPr="009118AB">
        <w:softHyphen/>
        <w:t>gebiets als Einkünfte oder Ausgaben einer oder mehrerer anderer Personen behandelt werden.</w:t>
      </w:r>
    </w:p>
    <w:p w14:paraId="4933C4B1" w14:textId="77777777" w:rsidR="00434769" w:rsidRPr="009118AB" w:rsidRDefault="00434769" w:rsidP="00434769">
      <w:pPr>
        <w:jc w:val="both"/>
      </w:pPr>
    </w:p>
    <w:p w14:paraId="620D90B2" w14:textId="77777777" w:rsidR="00434769" w:rsidRPr="009118AB" w:rsidRDefault="00585974" w:rsidP="00434769">
      <w:pPr>
        <w:jc w:val="both"/>
      </w:pPr>
      <w:r w:rsidRPr="009118AB">
        <w:tab/>
      </w:r>
      <w:r w:rsidR="00434769" w:rsidRPr="009118AB">
        <w:t>18. Hybride Übertragung</w:t>
      </w:r>
    </w:p>
    <w:p w14:paraId="3D74D7B4" w14:textId="77777777" w:rsidR="00434769" w:rsidRPr="009118AB" w:rsidRDefault="00434769" w:rsidP="00434769">
      <w:pPr>
        <w:jc w:val="both"/>
      </w:pPr>
    </w:p>
    <w:p w14:paraId="4683E277" w14:textId="7124E5BB" w:rsidR="00434769" w:rsidRPr="009118AB" w:rsidRDefault="00585974" w:rsidP="00434769">
      <w:pPr>
        <w:jc w:val="both"/>
      </w:pPr>
      <w:r w:rsidRPr="009118AB">
        <w:tab/>
      </w:r>
      <w:r w:rsidR="00434769" w:rsidRPr="009118AB">
        <w:t>Unter hybrider Übertragung versteht man eine Gestaltung zur Übertragung eines Finanzinstruments, wenn der zugrunde liegende Ertrag des übertragenen Finanzinstruments für Steuerzwecke so behandelt wird, als sei er zugleich mehr als einer der an der Gestaltung beteiligten Parteien zugeflossen.]</w:t>
      </w:r>
    </w:p>
    <w:p w14:paraId="2F8E37A9" w14:textId="7DFA2AA1" w:rsidR="00405084" w:rsidRPr="009118AB" w:rsidRDefault="00405084" w:rsidP="00434769">
      <w:pPr>
        <w:jc w:val="both"/>
      </w:pPr>
    </w:p>
    <w:p w14:paraId="48EA979D" w14:textId="77777777" w:rsidR="009546A2" w:rsidRDefault="009546A2">
      <w:r>
        <w:br w:type="page"/>
      </w:r>
    </w:p>
    <w:p w14:paraId="53727FB7" w14:textId="39A34DC0" w:rsidR="00405084" w:rsidRPr="009118AB" w:rsidRDefault="00405084" w:rsidP="00405084">
      <w:pPr>
        <w:jc w:val="both"/>
      </w:pPr>
      <w:r w:rsidRPr="009118AB">
        <w:lastRenderedPageBreak/>
        <w:tab/>
        <w:t>[19. EU-Liste nicht kooperativer Steuergebiete</w:t>
      </w:r>
    </w:p>
    <w:p w14:paraId="6A9A82F1" w14:textId="77777777" w:rsidR="00405084" w:rsidRPr="009118AB" w:rsidRDefault="00405084" w:rsidP="00405084">
      <w:pPr>
        <w:jc w:val="both"/>
      </w:pPr>
    </w:p>
    <w:p w14:paraId="64D714A4" w14:textId="6A663A0B" w:rsidR="004755B9" w:rsidRPr="009118AB" w:rsidRDefault="00405084" w:rsidP="00405084">
      <w:pPr>
        <w:jc w:val="both"/>
      </w:pPr>
      <w:r w:rsidRPr="009118AB">
        <w:tab/>
        <w:t>Unter EU-Liste nicht kooperativer Steuergebiete versteht man die EU-Liste nicht kooperativer Länder und Gebiete für Steuerzwecke, die vom Rat der Europäischen Union festgelegt wird und für die jede Änderung im Amtsblatt der Europäischen Union veröffentlicht wird.]</w:t>
      </w:r>
    </w:p>
    <w:p w14:paraId="4C93D369" w14:textId="77777777" w:rsidR="00434769" w:rsidRPr="009118AB" w:rsidRDefault="00434769" w:rsidP="00477C42">
      <w:pPr>
        <w:jc w:val="both"/>
      </w:pPr>
    </w:p>
    <w:p w14:paraId="5E22375D" w14:textId="498431F6" w:rsidR="002008CA" w:rsidRPr="009118AB" w:rsidRDefault="00585974" w:rsidP="002008CA">
      <w:pPr>
        <w:autoSpaceDE w:val="0"/>
        <w:autoSpaceDN w:val="0"/>
        <w:adjustRightInd w:val="0"/>
        <w:jc w:val="both"/>
        <w:rPr>
          <w:spacing w:val="-2"/>
        </w:rPr>
      </w:pPr>
      <w:r w:rsidRPr="009118AB">
        <w:rPr>
          <w:spacing w:val="-2"/>
        </w:rPr>
        <w:tab/>
      </w:r>
      <w:r w:rsidR="00477B8F" w:rsidRPr="009118AB">
        <w:rPr>
          <w:spacing w:val="-2"/>
        </w:rPr>
        <w:t>[</w:t>
      </w:r>
      <w:r w:rsidR="00D67EB8" w:rsidRPr="009118AB">
        <w:rPr>
          <w:spacing w:val="-2"/>
        </w:rPr>
        <w:t>§ </w:t>
      </w:r>
      <w:r w:rsidR="00477B8F" w:rsidRPr="009118AB">
        <w:rPr>
          <w:spacing w:val="-2"/>
        </w:rPr>
        <w:t>2</w:t>
      </w:r>
      <w:r w:rsidR="00D67EB8" w:rsidRPr="009118AB">
        <w:rPr>
          <w:spacing w:val="-2"/>
        </w:rPr>
        <w:t> - </w:t>
      </w:r>
      <w:r w:rsidR="00477B8F" w:rsidRPr="009118AB">
        <w:rPr>
          <w:spacing w:val="-2"/>
        </w:rPr>
        <w:t>Für die Anwendung</w:t>
      </w:r>
      <w:r w:rsidR="00D67EB8" w:rsidRPr="009118AB">
        <w:rPr>
          <w:spacing w:val="-2"/>
        </w:rPr>
        <w:t> - </w:t>
      </w:r>
      <w:r w:rsidR="00477B8F" w:rsidRPr="009118AB">
        <w:rPr>
          <w:spacing w:val="-2"/>
        </w:rPr>
        <w:t>in Bezug auf Zedenten, Pfandschuldner und Verleiher</w:t>
      </w:r>
      <w:r w:rsidR="00D67EB8" w:rsidRPr="009118AB">
        <w:rPr>
          <w:spacing w:val="-2"/>
        </w:rPr>
        <w:t> - </w:t>
      </w:r>
      <w:r w:rsidR="00477B8F" w:rsidRPr="009118AB">
        <w:rPr>
          <w:spacing w:val="-2"/>
        </w:rPr>
        <w:t>der Bestimmungen des vorliegenden Gesetzbuches, der besonderen Gesetzesbestimmungen über Einkommensteuern und ihrer Ausführungserlasse gilt, dass vorerwähnte Zedenten, Pfandschuldner und Verleiher, die in Ausführung einer Vereinbarung über die Leistung von dinglichen Sicherheiten oder eines Verleihs mit Bezug auf Finanzinstrumente handeln, während der Gesamtlaufzeit des Vertrags Eigentümer vorerwähnter Finanzinstrumente bleiben.</w:t>
      </w:r>
    </w:p>
    <w:p w14:paraId="61B2CAEB" w14:textId="77777777" w:rsidR="00F9275A" w:rsidRPr="009118AB" w:rsidRDefault="00F9275A" w:rsidP="002008CA">
      <w:pPr>
        <w:autoSpaceDE w:val="0"/>
        <w:autoSpaceDN w:val="0"/>
        <w:adjustRightInd w:val="0"/>
        <w:jc w:val="both"/>
      </w:pPr>
    </w:p>
    <w:p w14:paraId="231F74F0" w14:textId="77777777" w:rsidR="00477B8F" w:rsidRPr="009118AB" w:rsidRDefault="00585974" w:rsidP="002008CA">
      <w:pPr>
        <w:autoSpaceDE w:val="0"/>
        <w:autoSpaceDN w:val="0"/>
        <w:adjustRightInd w:val="0"/>
        <w:jc w:val="both"/>
      </w:pPr>
      <w:r w:rsidRPr="009118AB">
        <w:tab/>
      </w:r>
      <w:r w:rsidR="00477B8F" w:rsidRPr="009118AB">
        <w:t>In Abweichung von Absatz 1 gilt für Einkünfte aus Kapitalvermögen und beweglichen Gütern, die aus Finanzinstrumenten hervorgehen, die in Ausführung einer Vereinbarung über die Leistung von dinglichen Sicherheiten oder eines Verleihs übertragen, verpfändet oder verliehen werden, dass sie nicht vom Zedenten, Pfandschuldner oder Verleiher bezogen werden.]</w:t>
      </w:r>
    </w:p>
    <w:p w14:paraId="08D5CD51" w14:textId="77777777" w:rsidR="007B4DE9" w:rsidRPr="009118AB" w:rsidRDefault="007B4DE9" w:rsidP="002008CA">
      <w:pPr>
        <w:autoSpaceDE w:val="0"/>
        <w:autoSpaceDN w:val="0"/>
        <w:adjustRightInd w:val="0"/>
        <w:jc w:val="both"/>
      </w:pPr>
    </w:p>
    <w:p w14:paraId="0D3263C3" w14:textId="3CFAFA4A" w:rsidR="007B4DE9" w:rsidRPr="009118AB" w:rsidRDefault="00585974" w:rsidP="007B4DE9">
      <w:pPr>
        <w:autoSpaceDE w:val="0"/>
        <w:autoSpaceDN w:val="0"/>
        <w:adjustRightInd w:val="0"/>
        <w:jc w:val="both"/>
      </w:pPr>
      <w:r w:rsidRPr="009118AB">
        <w:tab/>
      </w:r>
      <w:r w:rsidR="007B4DE9" w:rsidRPr="009118AB">
        <w:t>[</w:t>
      </w:r>
      <w:r w:rsidR="00D67EB8" w:rsidRPr="009118AB">
        <w:t>§ </w:t>
      </w:r>
      <w:r w:rsidR="007B4DE9" w:rsidRPr="009118AB">
        <w:t>3</w:t>
      </w:r>
      <w:r w:rsidR="00D67EB8" w:rsidRPr="009118AB">
        <w:t> - </w:t>
      </w:r>
      <w:r w:rsidR="007B4DE9" w:rsidRPr="009118AB">
        <w:t>Für die Anwendung des vorliegenden Gesetzbuches und seiner Ausführungs</w:t>
      </w:r>
      <w:r w:rsidR="007B4DE9" w:rsidRPr="009118AB">
        <w:softHyphen/>
        <w:t>erlasse haben die Begriffe "Staatssteuer", "reduzierte Staatssteuer", "föderale Steuer der natürlichen Personen", "regionale Zuschlaghundertstel", "regionale Steuersenkung", "regio</w:t>
      </w:r>
      <w:r w:rsidR="007B4DE9" w:rsidRPr="009118AB">
        <w:softHyphen/>
        <w:t>nale Steuererhöhung", "regionale Steuerermäßigung", "regionale Steuergutschrift", "regionale Steuer der natürlichen Personen" und "Gesamtsteuer" die Bedeutung, die ihnen in Titel III/1 des Sondergesetzes vom 16. Januar 1989 bezüglich der Finanzierung der Gemeinschaften und Regionen gegeben wird.]</w:t>
      </w:r>
    </w:p>
    <w:p w14:paraId="6129E051" w14:textId="77777777" w:rsidR="007B4DE9" w:rsidRPr="009118AB" w:rsidRDefault="007B4DE9" w:rsidP="002008CA">
      <w:pPr>
        <w:autoSpaceDE w:val="0"/>
        <w:autoSpaceDN w:val="0"/>
        <w:adjustRightInd w:val="0"/>
        <w:jc w:val="both"/>
      </w:pPr>
    </w:p>
    <w:p w14:paraId="1E8F7146" w14:textId="30D9135D" w:rsidR="00D2192B" w:rsidRPr="009118AB" w:rsidRDefault="00D2192B" w:rsidP="00D2192B">
      <w:pPr>
        <w:jc w:val="both"/>
      </w:pPr>
      <w:r w:rsidRPr="009118AB">
        <w:tab/>
        <w:t>[</w:t>
      </w:r>
      <w:r w:rsidR="00D67EB8" w:rsidRPr="009118AB">
        <w:t>§ </w:t>
      </w:r>
      <w:r w:rsidRPr="009118AB">
        <w:t>4</w:t>
      </w:r>
      <w:r w:rsidR="00D67EB8" w:rsidRPr="009118AB">
        <w:t> - </w:t>
      </w:r>
      <w:r w:rsidRPr="009118AB">
        <w:t xml:space="preserve">Für die Anwendung von </w:t>
      </w:r>
      <w:r w:rsidR="00D67EB8" w:rsidRPr="009118AB">
        <w:t>§ </w:t>
      </w:r>
      <w:r w:rsidRPr="009118AB">
        <w:t xml:space="preserve">1 </w:t>
      </w:r>
      <w:r w:rsidR="00D67EB8" w:rsidRPr="009118AB">
        <w:t>Nr. </w:t>
      </w:r>
      <w:r w:rsidRPr="009118AB">
        <w:t>4/1 wird ein Unternehmen als Partnerunter</w:t>
      </w:r>
      <w:r w:rsidRPr="009118AB">
        <w:softHyphen/>
        <w:t>nehmen eines anderen Unternehmens betrachtet, wenn das erstgenannte Unternehmen nicht mit diesem anderen Unternehmen verbunden ist und:</w:t>
      </w:r>
    </w:p>
    <w:p w14:paraId="7FF948D7" w14:textId="77777777" w:rsidR="00D2192B" w:rsidRPr="009118AB" w:rsidRDefault="00D2192B" w:rsidP="00D2192B">
      <w:pPr>
        <w:jc w:val="both"/>
      </w:pPr>
    </w:p>
    <w:p w14:paraId="196C6C13" w14:textId="77777777" w:rsidR="00D2192B" w:rsidRPr="009118AB" w:rsidRDefault="00D2192B" w:rsidP="00D2192B">
      <w:pPr>
        <w:jc w:val="both"/>
      </w:pPr>
      <w:r w:rsidRPr="009118AB">
        <w:tab/>
        <w:t>- das erstgenannte Unternehmen allein oder zusammen mit den mit diesem Unter</w:t>
      </w:r>
      <w:r w:rsidRPr="009118AB">
        <w:softHyphen/>
        <w:t>nehmen verbundenen Unternehmen eine Beteiligung hält, die mindestens 25 Prozent des Kapi</w:t>
      </w:r>
      <w:r w:rsidRPr="009118AB">
        <w:softHyphen/>
        <w:t>tals oder der Stimmrechte des anderen Unternehmens beträgt, oder</w:t>
      </w:r>
    </w:p>
    <w:p w14:paraId="6F7AD410" w14:textId="77777777" w:rsidR="00D2192B" w:rsidRPr="009118AB" w:rsidRDefault="00D2192B" w:rsidP="00D2192B">
      <w:pPr>
        <w:jc w:val="both"/>
      </w:pPr>
    </w:p>
    <w:p w14:paraId="56266EBC" w14:textId="77777777" w:rsidR="00D2192B" w:rsidRPr="009118AB" w:rsidRDefault="00D2192B" w:rsidP="00D2192B">
      <w:pPr>
        <w:jc w:val="both"/>
      </w:pPr>
      <w:r w:rsidRPr="009118AB">
        <w:tab/>
        <w:t>- das andere Unternehmen allein oder zusammen mit den mit diesem Unternehmen verbundenen Unternehmen eine Beteiligung hält, die mindestens 25 Prozent des Kapitals oder der Stimmrechte des erstgenannten Unternehmens beträgt.</w:t>
      </w:r>
    </w:p>
    <w:p w14:paraId="1B730521" w14:textId="77777777" w:rsidR="00D2192B" w:rsidRPr="009118AB" w:rsidRDefault="00D2192B" w:rsidP="00D2192B">
      <w:pPr>
        <w:jc w:val="both"/>
      </w:pPr>
    </w:p>
    <w:p w14:paraId="26988CDF" w14:textId="7833530F" w:rsidR="00D2192B" w:rsidRPr="009118AB" w:rsidRDefault="00D2192B" w:rsidP="00D2192B">
      <w:pPr>
        <w:jc w:val="both"/>
      </w:pPr>
      <w:r w:rsidRPr="009118AB">
        <w:tab/>
        <w:t xml:space="preserve">Staatliche Beteiligungsgesellschaften, Risikokapitalgesellschaften, "Business Angels", Universitäten, Forschungszentren ohne Gewinnzweck, institutionelle Investoren, regionale Entwicklungsfonds und autonome Gebietskörperschaften wie in Artikel 3 Absatz 2 des Anhangs I der Verordnung (EU) </w:t>
      </w:r>
      <w:r w:rsidR="00D67EB8" w:rsidRPr="009118AB">
        <w:t>Nr. </w:t>
      </w:r>
      <w:r w:rsidRPr="009118AB">
        <w:t>651/2014 der Kommission vom 17. Juni 2014 zur Fest</w:t>
      </w:r>
      <w:r w:rsidRPr="009118AB">
        <w:softHyphen/>
        <w:t xml:space="preserve">stellung der Vereinbarkeit bestimmter Gruppen von Beihilfen mit dem Binnenmarkt in Anwendung der Artikel 107 und 108 des Vertrags über die Arbeitsweise der Europäischen Union erwähnt werden für die Anwendung von </w:t>
      </w:r>
      <w:r w:rsidR="00D67EB8" w:rsidRPr="009118AB">
        <w:t>§ </w:t>
      </w:r>
      <w:r w:rsidRPr="009118AB">
        <w:t xml:space="preserve">1 </w:t>
      </w:r>
      <w:r w:rsidR="00D67EB8" w:rsidRPr="009118AB">
        <w:t>Nr. </w:t>
      </w:r>
      <w:r w:rsidRPr="009118AB">
        <w:t>4/1 nicht als Partnerunternehmen betrachtet.</w:t>
      </w:r>
    </w:p>
    <w:p w14:paraId="4560FE3C" w14:textId="77777777" w:rsidR="00D2192B" w:rsidRPr="009118AB" w:rsidRDefault="00D2192B" w:rsidP="00D2192B">
      <w:pPr>
        <w:jc w:val="both"/>
      </w:pPr>
    </w:p>
    <w:p w14:paraId="3506189E" w14:textId="63FECD73" w:rsidR="00D2192B" w:rsidRPr="009118AB" w:rsidRDefault="00D2192B" w:rsidP="00D2192B">
      <w:pPr>
        <w:jc w:val="both"/>
      </w:pPr>
      <w:r w:rsidRPr="009118AB">
        <w:lastRenderedPageBreak/>
        <w:tab/>
        <w:t xml:space="preserve">Für die Anwendung von Absatz 1 und von </w:t>
      </w:r>
      <w:r w:rsidR="00D67EB8" w:rsidRPr="009118AB">
        <w:t>§ </w:t>
      </w:r>
      <w:r w:rsidRPr="009118AB">
        <w:t xml:space="preserve">1 </w:t>
      </w:r>
      <w:r w:rsidR="00D67EB8" w:rsidRPr="009118AB">
        <w:t>Nr. </w:t>
      </w:r>
      <w:r w:rsidRPr="009118AB">
        <w:t>4/1 wird ein Unternehmen als verbundenes Unternehmen eines anderen Unternehmens betrachtet, wenn:</w:t>
      </w:r>
    </w:p>
    <w:p w14:paraId="45EB308D" w14:textId="77777777" w:rsidR="00D2192B" w:rsidRPr="009118AB" w:rsidRDefault="00D2192B" w:rsidP="00D2192B">
      <w:pPr>
        <w:jc w:val="both"/>
      </w:pPr>
    </w:p>
    <w:p w14:paraId="6AB2722D" w14:textId="77777777" w:rsidR="00D2192B" w:rsidRPr="009118AB" w:rsidRDefault="00D2192B" w:rsidP="00D2192B">
      <w:pPr>
        <w:jc w:val="both"/>
      </w:pPr>
      <w:r w:rsidRPr="009118AB">
        <w:tab/>
        <w:t>- das erstgenannte Unternehmen direkt oder über Drittunternehmen die Mehrheit der Stimmrechte der Aktionäre oder Gesellschafter des anderen Unternehmens hält,</w:t>
      </w:r>
    </w:p>
    <w:p w14:paraId="5AD32A32" w14:textId="77777777" w:rsidR="00D2192B" w:rsidRPr="009118AB" w:rsidRDefault="00D2192B" w:rsidP="00D2192B">
      <w:pPr>
        <w:jc w:val="both"/>
      </w:pPr>
    </w:p>
    <w:p w14:paraId="7206B80C" w14:textId="77777777" w:rsidR="00D2192B" w:rsidRPr="009118AB" w:rsidRDefault="00D2192B" w:rsidP="00D2192B">
      <w:pPr>
        <w:jc w:val="both"/>
      </w:pPr>
      <w:r w:rsidRPr="009118AB">
        <w:tab/>
        <w:t>- das andere Unternehmen direkt oder über Drittunternehmen die Mehrheit der Stimmrechte der Aktionäre oder Gesellschafter des erstgenannten Unternehmens hält,</w:t>
      </w:r>
    </w:p>
    <w:p w14:paraId="06CF962E" w14:textId="77777777" w:rsidR="00D2192B" w:rsidRPr="009118AB" w:rsidRDefault="00D2192B" w:rsidP="00D2192B">
      <w:pPr>
        <w:jc w:val="both"/>
      </w:pPr>
    </w:p>
    <w:p w14:paraId="64C112E3" w14:textId="77777777" w:rsidR="00D2192B" w:rsidRPr="009118AB" w:rsidRDefault="00D2192B" w:rsidP="00D2192B">
      <w:pPr>
        <w:jc w:val="both"/>
      </w:pPr>
      <w:r w:rsidRPr="009118AB">
        <w:tab/>
        <w:t>- das erstgenannte Unternehmen direkt oder über Drittunternehmen das Recht hat, die Mehrheit der Mitglieder des Verwaltungs-, Leitungs- oder Aufsichtsorgans des anderen Unternehmens zu ernennen oder zu entlassen,</w:t>
      </w:r>
    </w:p>
    <w:p w14:paraId="5DFE86CC" w14:textId="77777777" w:rsidR="00D2192B" w:rsidRPr="009118AB" w:rsidRDefault="00D2192B" w:rsidP="00D2192B">
      <w:pPr>
        <w:jc w:val="both"/>
      </w:pPr>
    </w:p>
    <w:p w14:paraId="08863560" w14:textId="77777777" w:rsidR="00D2192B" w:rsidRPr="009118AB" w:rsidRDefault="00D2192B" w:rsidP="00D2192B">
      <w:pPr>
        <w:jc w:val="both"/>
      </w:pPr>
      <w:r w:rsidRPr="009118AB">
        <w:tab/>
        <w:t>- das andere Unternehmen direkt oder über Drittunternehmen das Recht hat, die Mehrheit der Mitglieder des Verwaltungs-, Leitungs- oder Aufsichtsorgans des erstgenannten Unternehmens zu ernennen oder zu entlassen,</w:t>
      </w:r>
    </w:p>
    <w:p w14:paraId="1FBA619E" w14:textId="77777777" w:rsidR="00D2192B" w:rsidRPr="009118AB" w:rsidRDefault="00D2192B" w:rsidP="00D2192B">
      <w:pPr>
        <w:jc w:val="both"/>
      </w:pPr>
    </w:p>
    <w:p w14:paraId="4C3FB7A6" w14:textId="77777777" w:rsidR="00D2192B" w:rsidRPr="009118AB" w:rsidRDefault="00D2192B" w:rsidP="00D2192B">
      <w:pPr>
        <w:jc w:val="both"/>
      </w:pPr>
      <w:r w:rsidRPr="009118AB">
        <w:tab/>
        <w:t>- das erstgenannte Unternehmen direkt oder über Drittunternehmen das Recht hat, einen beherrschenden Einfluss auf ein anderes Unternehmen auszuüben, und zwar aufgrund eines mit diesem Unternehmen geschlossenen Vertrags oder einer in der Satzung des letztgenannten Unternehmens enthaltenen Klausel, außer wenn das erstgenannte Unternehmen in den Anwen</w:t>
      </w:r>
      <w:r w:rsidRPr="009118AB">
        <w:softHyphen/>
        <w:t>dungsbereich von Absatz 2 fällt und nicht feststeht, dass dieses Recht tatsächlich ausgeübt wird,</w:t>
      </w:r>
    </w:p>
    <w:p w14:paraId="43753F8F" w14:textId="77777777" w:rsidR="00D2192B" w:rsidRPr="009118AB" w:rsidRDefault="00D2192B" w:rsidP="00D2192B">
      <w:pPr>
        <w:jc w:val="both"/>
      </w:pPr>
    </w:p>
    <w:p w14:paraId="04142C24" w14:textId="77777777" w:rsidR="00D2192B" w:rsidRPr="009118AB" w:rsidRDefault="00D2192B" w:rsidP="00D2192B">
      <w:pPr>
        <w:jc w:val="both"/>
      </w:pPr>
      <w:r w:rsidRPr="009118AB">
        <w:tab/>
        <w:t>- das andere Unternehmen direkt oder über Drittunternehmen das Recht hat, einen beherrschenden Einfluss auf ein anderes Unternehmen auszuüben, und zwar aufgrund eines mit diesem Unternehmen geschlossenen Vertrags oder einer in der Satzung des letztgenannten Unternehmens enthaltenen Klausel, außer wenn das andere Unternehmen in den Anwendungs</w:t>
      </w:r>
      <w:r w:rsidRPr="009118AB">
        <w:softHyphen/>
        <w:t>bereich von Absatz 2 fällt und nicht feststeht, dass dieses Recht tatsächlich ausgeübt wird,</w:t>
      </w:r>
    </w:p>
    <w:p w14:paraId="14EE16BB" w14:textId="77777777" w:rsidR="00D2192B" w:rsidRPr="009118AB" w:rsidRDefault="00D2192B" w:rsidP="00D2192B">
      <w:pPr>
        <w:jc w:val="both"/>
      </w:pPr>
    </w:p>
    <w:p w14:paraId="0CEAB983" w14:textId="77777777" w:rsidR="00D2192B" w:rsidRPr="009118AB" w:rsidRDefault="00D2192B" w:rsidP="00D2192B">
      <w:pPr>
        <w:jc w:val="both"/>
      </w:pPr>
      <w:r w:rsidRPr="009118AB">
        <w:tab/>
        <w:t>- das erstgenannte Unternehmen direkt oder über Drittunternehmen Aktionär oder Gesellschafter eines anderen Unternehmens ist und aufgrund eines mit anderen Aktionären oder Gesellschaftern dieses anderen Unternehmens geschlossenen Vertrags die Mehrheit der Stimm</w:t>
      </w:r>
      <w:r w:rsidRPr="009118AB">
        <w:softHyphen/>
        <w:t>rechte der Aktionäre oder Gesellschafter dieses anderen Unternehmens allein kontrolliert,</w:t>
      </w:r>
    </w:p>
    <w:p w14:paraId="23DB8533" w14:textId="77777777" w:rsidR="00D2192B" w:rsidRPr="009118AB" w:rsidRDefault="00D2192B" w:rsidP="00D2192B">
      <w:pPr>
        <w:jc w:val="both"/>
      </w:pPr>
    </w:p>
    <w:p w14:paraId="3791A841" w14:textId="77777777" w:rsidR="00D2192B" w:rsidRPr="009118AB" w:rsidRDefault="00D2192B" w:rsidP="00D2192B">
      <w:pPr>
        <w:jc w:val="both"/>
      </w:pPr>
      <w:r w:rsidRPr="009118AB">
        <w:tab/>
        <w:t>- das andere Unternehmen direkt oder über Drittunternehmen Aktionär oder Gesell</w:t>
      </w:r>
      <w:r w:rsidRPr="009118AB">
        <w:softHyphen/>
        <w:t>schafter des erstgenannten Unternehmens ist und aufgrund eines mit anderen Aktionären oder Gesellschaftern dieses erstgenannten Unternehmens geschlossenen Vertrags die Mehrheit der Stimmrechte der Aktionäre oder Gesellschafter dieses erstgenannten Unternehmens allein kontrolliert.</w:t>
      </w:r>
    </w:p>
    <w:p w14:paraId="69F09E53" w14:textId="77777777" w:rsidR="00D2192B" w:rsidRPr="009118AB" w:rsidRDefault="00D2192B" w:rsidP="00D2192B">
      <w:pPr>
        <w:jc w:val="both"/>
      </w:pPr>
    </w:p>
    <w:p w14:paraId="4EF6D8C0" w14:textId="32F0D0C1" w:rsidR="00D2192B" w:rsidRPr="009118AB" w:rsidRDefault="00D2192B" w:rsidP="00D2192B">
      <w:pPr>
        <w:jc w:val="both"/>
      </w:pPr>
      <w:r w:rsidRPr="009118AB">
        <w:tab/>
        <w:t xml:space="preserve">Für die Anwendung von </w:t>
      </w:r>
      <w:r w:rsidR="00D67EB8" w:rsidRPr="009118AB">
        <w:t>§ </w:t>
      </w:r>
      <w:r w:rsidRPr="009118AB">
        <w:t xml:space="preserve">1 </w:t>
      </w:r>
      <w:r w:rsidR="00D67EB8" w:rsidRPr="009118AB">
        <w:t>Nr. </w:t>
      </w:r>
      <w:r w:rsidRPr="009118AB">
        <w:t>4/1 entspricht die durchschnittliche Beschäftigtenzahl der in Vollzeitgleichwerten ausgedrückten durchschnittlichen Zahl der Arbeitnehmer, die am Ende jeden Monats des Besteuerungszeitraums gemäß dem Königlichen Erlass vom 5. Novem</w:t>
      </w:r>
      <w:r w:rsidRPr="009118AB">
        <w:softHyphen/>
        <w:t>ber 2002 zur Einführung einer unmittelbaren Beschäftigungsmeldung in Anwendung des Artikels 38 des Gesetzes vom 26. Juli 1996 zur Modernisierung der sozialen Sicherheit und zur Sicherung der gesetzlichen Pensionsregelungen in der DIMONA-Datenbank eingetragen sind, oder</w:t>
      </w:r>
      <w:r w:rsidR="00D67EB8" w:rsidRPr="009118AB">
        <w:t> - </w:t>
      </w:r>
      <w:r w:rsidRPr="009118AB">
        <w:t>wenn die Beschäftigung nicht in den Anwendungsbereich dieses Königlichen Erlasses fällt</w:t>
      </w:r>
      <w:r w:rsidR="00D67EB8" w:rsidRPr="009118AB">
        <w:t> - </w:t>
      </w:r>
      <w:r w:rsidRPr="009118AB">
        <w:t>der in Vollzeitgleichwerten ausgedrückten durchschnittlichen Zahl der beschäftigten Arbeitnehmer, die am Ende jeden Monats des in Betracht gezogenen Besteuerungszeitraums im allgemeinen Personalregister oder in einem gleichwertigen Dokument eingetragen sind.</w:t>
      </w:r>
    </w:p>
    <w:p w14:paraId="6EE62E97" w14:textId="77777777" w:rsidR="00D2192B" w:rsidRPr="009118AB" w:rsidRDefault="00D2192B" w:rsidP="00D2192B">
      <w:pPr>
        <w:jc w:val="both"/>
      </w:pPr>
    </w:p>
    <w:p w14:paraId="0F9645D4" w14:textId="77777777" w:rsidR="00D2192B" w:rsidRPr="009118AB" w:rsidRDefault="00D2192B" w:rsidP="00D2192B">
      <w:pPr>
        <w:jc w:val="both"/>
      </w:pPr>
      <w:r w:rsidRPr="009118AB">
        <w:tab/>
        <w:t>Diese durchschnittliche Zahl der Arbeitnehmer wird gegebenenfalls um die Zahl der natürlichen Personen erhöht, die im Unternehmen eine leitende Funktion oder eine leitende Tätigkeit der täglichen Geschäftsführung kommerzieller, finanzieller oder technischer Art ausüben und weder in der DIMONA-Datenbank noch im vorerwähnten allgemeinen Personal</w:t>
      </w:r>
      <w:r w:rsidRPr="009118AB">
        <w:softHyphen/>
        <w:t>register oder im vorerwähnten gleichwertigen Dokument eingetragen sind.</w:t>
      </w:r>
    </w:p>
    <w:p w14:paraId="130189F2" w14:textId="77777777" w:rsidR="00D2192B" w:rsidRPr="009118AB" w:rsidRDefault="00D2192B" w:rsidP="00D2192B">
      <w:pPr>
        <w:jc w:val="both"/>
      </w:pPr>
    </w:p>
    <w:p w14:paraId="05340227" w14:textId="77777777" w:rsidR="00D2192B" w:rsidRPr="009118AB" w:rsidRDefault="00D2192B" w:rsidP="00D2192B">
      <w:pPr>
        <w:autoSpaceDE w:val="0"/>
        <w:autoSpaceDN w:val="0"/>
        <w:adjustRightInd w:val="0"/>
        <w:jc w:val="both"/>
      </w:pPr>
      <w:r w:rsidRPr="009118AB">
        <w:tab/>
        <w:t>Die in Vollzeitgleichwerten ausgedrückte Zahl der Arbeitnehmer entspricht dem Arbeitsvolumen, ausgedrückt in Vollzeitgleichwerten, das für Teilzeitarbeitnehmer auf der Grundlage der vertraglich festgelegten Anzahl zu leistender Stunden im Verhältnis zur normalen Arbeitszeit eines vergleichbaren Vollzeitarbeitnehmers zu berechnen ist.]</w:t>
      </w:r>
    </w:p>
    <w:p w14:paraId="37433C47" w14:textId="77777777" w:rsidR="00D2192B" w:rsidRPr="009118AB" w:rsidRDefault="00D2192B" w:rsidP="002008CA">
      <w:pPr>
        <w:autoSpaceDE w:val="0"/>
        <w:autoSpaceDN w:val="0"/>
        <w:adjustRightInd w:val="0"/>
        <w:jc w:val="both"/>
      </w:pPr>
    </w:p>
    <w:p w14:paraId="296C4CC8" w14:textId="61033B88" w:rsidR="00477B8F" w:rsidRPr="009118AB" w:rsidRDefault="00477B8F" w:rsidP="00477B8F">
      <w:pPr>
        <w:autoSpaceDE w:val="0"/>
        <w:autoSpaceDN w:val="0"/>
        <w:adjustRightInd w:val="0"/>
        <w:jc w:val="both"/>
        <w:rPr>
          <w:iCs/>
        </w:rPr>
      </w:pPr>
      <w:r w:rsidRPr="009118AB">
        <w:rPr>
          <w:i/>
          <w:iCs/>
        </w:rPr>
        <w:t>[</w:t>
      </w:r>
      <w:r w:rsidR="00D67EB8" w:rsidRPr="009118AB">
        <w:rPr>
          <w:i/>
          <w:iCs/>
        </w:rPr>
        <w:t>Art. </w:t>
      </w:r>
      <w:r w:rsidRPr="009118AB">
        <w:rPr>
          <w:i/>
          <w:iCs/>
        </w:rPr>
        <w:t xml:space="preserve">2 </w:t>
      </w:r>
      <w:r w:rsidR="00D67EB8" w:rsidRPr="009118AB">
        <w:rPr>
          <w:i/>
          <w:iCs/>
        </w:rPr>
        <w:t>§ </w:t>
      </w:r>
      <w:r w:rsidRPr="009118AB">
        <w:rPr>
          <w:i/>
          <w:iCs/>
        </w:rPr>
        <w:t xml:space="preserve">1 nummeriert durch </w:t>
      </w:r>
      <w:r w:rsidR="00D67EB8" w:rsidRPr="009118AB">
        <w:rPr>
          <w:i/>
          <w:iCs/>
        </w:rPr>
        <w:t>Art. </w:t>
      </w:r>
      <w:r w:rsidRPr="009118AB">
        <w:rPr>
          <w:i/>
          <w:iCs/>
        </w:rPr>
        <w:t xml:space="preserve">33 </w:t>
      </w:r>
      <w:r w:rsidR="00D67EB8" w:rsidRPr="009118AB">
        <w:rPr>
          <w:i/>
          <w:iCs/>
        </w:rPr>
        <w:t>Nr. </w:t>
      </w:r>
      <w:r w:rsidRPr="009118AB">
        <w:rPr>
          <w:i/>
          <w:iCs/>
        </w:rPr>
        <w:t>1 des G. vom 15. Dezember 2004 (B.S. vom 1. Februar 2005)</w:t>
      </w:r>
      <w:r w:rsidR="00D67EB8" w:rsidRPr="009118AB">
        <w:rPr>
          <w:i/>
          <w:iCs/>
        </w:rPr>
        <w:t> - </w:t>
      </w:r>
      <w:r w:rsidRPr="009118AB">
        <w:rPr>
          <w:i/>
          <w:iCs/>
        </w:rPr>
        <w:t>anwendbar auf Vereinbarungen über die Leistung von dinglichen Sicherheiten und auf Verleihe mit Bezug auf Finanzinstrumente, die ab dem 1. Februar 2005 abgeschlossen werden</w:t>
      </w:r>
      <w:r w:rsidR="003366D9" w:rsidRPr="009118AB">
        <w:rPr>
          <w:i/>
          <w:iCs/>
        </w:rPr>
        <w:t> -;</w:t>
      </w:r>
      <w:r w:rsidRPr="009118AB">
        <w:rPr>
          <w:i/>
          <w:iCs/>
        </w:rPr>
        <w:t xml:space="preserve"> </w:t>
      </w:r>
      <w:r w:rsidR="00D67EB8" w:rsidRPr="009118AB">
        <w:rPr>
          <w:i/>
          <w:iCs/>
        </w:rPr>
        <w:t>§ </w:t>
      </w:r>
      <w:r w:rsidRPr="009118AB">
        <w:rPr>
          <w:i/>
          <w:iCs/>
        </w:rPr>
        <w:t xml:space="preserve">1 (früherer einziger Absatz) ersetzt durch </w:t>
      </w:r>
      <w:r w:rsidR="00D67EB8" w:rsidRPr="009118AB">
        <w:rPr>
          <w:i/>
          <w:iCs/>
        </w:rPr>
        <w:t>Art. </w:t>
      </w:r>
      <w:r w:rsidRPr="009118AB">
        <w:rPr>
          <w:i/>
          <w:iCs/>
        </w:rPr>
        <w:t>2 des G. vom 10. August 2001 (B.S. vom 20. September 2001)</w:t>
      </w:r>
      <w:r w:rsidR="00D67EB8" w:rsidRPr="009118AB">
        <w:rPr>
          <w:i/>
          <w:iCs/>
        </w:rPr>
        <w:t> - </w:t>
      </w:r>
      <w:r w:rsidRPr="009118AB">
        <w:rPr>
          <w:i/>
          <w:iCs/>
        </w:rPr>
        <w:t>in Kraft ab dem Steuerjahr 2005</w:t>
      </w:r>
      <w:r w:rsidR="003366D9" w:rsidRPr="009118AB">
        <w:rPr>
          <w:i/>
          <w:iCs/>
        </w:rPr>
        <w:t> -;</w:t>
      </w:r>
      <w:r w:rsidR="00206A8C" w:rsidRPr="009118AB">
        <w:rPr>
          <w:i/>
          <w:iCs/>
        </w:rPr>
        <w:t xml:space="preserve"> </w:t>
      </w:r>
      <w:r w:rsidR="00D67EB8" w:rsidRPr="009118AB">
        <w:rPr>
          <w:i/>
          <w:iCs/>
        </w:rPr>
        <w:t>§ </w:t>
      </w:r>
      <w:r w:rsidR="007B4DE9" w:rsidRPr="009118AB">
        <w:rPr>
          <w:i/>
          <w:iCs/>
        </w:rPr>
        <w:t xml:space="preserve">1 einziger Absatz </w:t>
      </w:r>
      <w:r w:rsidR="00D67EB8" w:rsidRPr="009118AB">
        <w:rPr>
          <w:i/>
          <w:iCs/>
        </w:rPr>
        <w:t>Nr. </w:t>
      </w:r>
      <w:r w:rsidR="007B4DE9" w:rsidRPr="009118AB">
        <w:rPr>
          <w:i/>
          <w:iCs/>
        </w:rPr>
        <w:t xml:space="preserve">1 </w:t>
      </w:r>
      <w:r w:rsidR="00D67EB8" w:rsidRPr="009118AB">
        <w:rPr>
          <w:i/>
          <w:iCs/>
        </w:rPr>
        <w:t>Abs. </w:t>
      </w:r>
      <w:r w:rsidR="007B4DE9" w:rsidRPr="009118AB">
        <w:rPr>
          <w:i/>
          <w:iCs/>
        </w:rPr>
        <w:t xml:space="preserve">1 Buchstabe a) ersetzt durch </w:t>
      </w:r>
      <w:r w:rsidR="00D67EB8" w:rsidRPr="009118AB">
        <w:rPr>
          <w:i/>
          <w:iCs/>
        </w:rPr>
        <w:t>Art. </w:t>
      </w:r>
      <w:r w:rsidR="007B4DE9" w:rsidRPr="009118AB">
        <w:rPr>
          <w:i/>
          <w:iCs/>
        </w:rPr>
        <w:t xml:space="preserve">8 </w:t>
      </w:r>
      <w:r w:rsidR="00D67EB8" w:rsidRPr="009118AB">
        <w:rPr>
          <w:i/>
          <w:iCs/>
        </w:rPr>
        <w:t>Nr. </w:t>
      </w:r>
      <w:r w:rsidR="007B4DE9" w:rsidRPr="009118AB">
        <w:rPr>
          <w:i/>
          <w:iCs/>
        </w:rPr>
        <w:t>1</w:t>
      </w:r>
      <w:r w:rsidR="007B4DE9" w:rsidRPr="009118AB">
        <w:rPr>
          <w:i/>
        </w:rPr>
        <w:t xml:space="preserve"> des G. vom 8. Mai 2014 (B.S. vom 28. Mai 2014)</w:t>
      </w:r>
      <w:r w:rsidR="00D67EB8" w:rsidRPr="009118AB">
        <w:rPr>
          <w:i/>
        </w:rPr>
        <w:t> - </w:t>
      </w:r>
      <w:r w:rsidR="007B4DE9" w:rsidRPr="009118AB">
        <w:rPr>
          <w:i/>
          <w:iCs/>
        </w:rPr>
        <w:t>anwendbar auf Besteuerungszeiträume, die am 1. Januar 2014 oder später beginnen</w:t>
      </w:r>
      <w:r w:rsidR="003366D9" w:rsidRPr="009118AB">
        <w:rPr>
          <w:i/>
          <w:iCs/>
        </w:rPr>
        <w:t> -;</w:t>
      </w:r>
      <w:r w:rsidR="007B4DE9" w:rsidRPr="009118AB">
        <w:rPr>
          <w:i/>
          <w:iCs/>
        </w:rPr>
        <w:t xml:space="preserve"> </w:t>
      </w:r>
      <w:r w:rsidR="00D67EB8" w:rsidRPr="009118AB">
        <w:rPr>
          <w:i/>
          <w:iCs/>
        </w:rPr>
        <w:t>§ </w:t>
      </w:r>
      <w:r w:rsidR="002E1080" w:rsidRPr="009118AB">
        <w:rPr>
          <w:i/>
          <w:iCs/>
        </w:rPr>
        <w:t xml:space="preserve">1 einziger Absatz </w:t>
      </w:r>
      <w:r w:rsidR="00D67EB8" w:rsidRPr="009118AB">
        <w:rPr>
          <w:i/>
          <w:iCs/>
        </w:rPr>
        <w:t>Nr. </w:t>
      </w:r>
      <w:r w:rsidR="002E1080" w:rsidRPr="009118AB">
        <w:rPr>
          <w:i/>
          <w:iCs/>
        </w:rPr>
        <w:t xml:space="preserve">1 </w:t>
      </w:r>
      <w:r w:rsidR="00D67EB8" w:rsidRPr="009118AB">
        <w:rPr>
          <w:i/>
          <w:iCs/>
        </w:rPr>
        <w:t>Abs. </w:t>
      </w:r>
      <w:r w:rsidR="002E1080" w:rsidRPr="009118AB">
        <w:rPr>
          <w:i/>
          <w:iCs/>
        </w:rPr>
        <w:t xml:space="preserve">1 Buchstabe c) abgeändert durch </w:t>
      </w:r>
      <w:r w:rsidR="00D67EB8" w:rsidRPr="009118AB">
        <w:rPr>
          <w:i/>
          <w:iCs/>
        </w:rPr>
        <w:t>Art. </w:t>
      </w:r>
      <w:r w:rsidR="002E1080" w:rsidRPr="009118AB">
        <w:rPr>
          <w:i/>
          <w:iCs/>
        </w:rPr>
        <w:t>2 des G. vom 21. Juli 2017 (B.S. vom 3. August 2017)</w:t>
      </w:r>
      <w:r w:rsidR="00D67EB8" w:rsidRPr="009118AB">
        <w:rPr>
          <w:i/>
          <w:iCs/>
        </w:rPr>
        <w:t> - </w:t>
      </w:r>
      <w:r w:rsidR="00EE3495" w:rsidRPr="009118AB">
        <w:rPr>
          <w:i/>
          <w:iCs/>
        </w:rPr>
        <w:t>anwendbar ab dem Steuerjahr 2018</w:t>
      </w:r>
      <w:r w:rsidR="003366D9" w:rsidRPr="009118AB">
        <w:rPr>
          <w:i/>
          <w:iCs/>
        </w:rPr>
        <w:t> -;</w:t>
      </w:r>
      <w:r w:rsidR="002E1080" w:rsidRPr="009118AB">
        <w:rPr>
          <w:i/>
          <w:iCs/>
        </w:rPr>
        <w:t xml:space="preserve"> </w:t>
      </w:r>
      <w:r w:rsidR="00D67EB8" w:rsidRPr="009118AB">
        <w:rPr>
          <w:i/>
          <w:iCs/>
        </w:rPr>
        <w:t>§ </w:t>
      </w:r>
      <w:r w:rsidR="00C60A18" w:rsidRPr="009118AB">
        <w:rPr>
          <w:i/>
          <w:iCs/>
        </w:rPr>
        <w:t xml:space="preserve">1 einziger Absatz </w:t>
      </w:r>
      <w:r w:rsidR="00D67EB8" w:rsidRPr="009118AB">
        <w:rPr>
          <w:i/>
          <w:iCs/>
        </w:rPr>
        <w:t>Nr. </w:t>
      </w:r>
      <w:r w:rsidR="00C60A18" w:rsidRPr="009118AB">
        <w:rPr>
          <w:i/>
          <w:iCs/>
        </w:rPr>
        <w:t xml:space="preserve">1 </w:t>
      </w:r>
      <w:r w:rsidR="00D67EB8" w:rsidRPr="009118AB">
        <w:rPr>
          <w:i/>
          <w:iCs/>
        </w:rPr>
        <w:t>Abs. </w:t>
      </w:r>
      <w:r w:rsidR="00C60A18" w:rsidRPr="009118AB">
        <w:rPr>
          <w:i/>
          <w:iCs/>
        </w:rPr>
        <w:t xml:space="preserve">2 abgeändert durch </w:t>
      </w:r>
      <w:r w:rsidR="00D67EB8" w:rsidRPr="009118AB">
        <w:rPr>
          <w:i/>
          <w:iCs/>
        </w:rPr>
        <w:t>Art. </w:t>
      </w:r>
      <w:r w:rsidR="00C60A18" w:rsidRPr="009118AB">
        <w:rPr>
          <w:i/>
          <w:iCs/>
        </w:rPr>
        <w:t xml:space="preserve">8 </w:t>
      </w:r>
      <w:r w:rsidR="00D67EB8" w:rsidRPr="009118AB">
        <w:rPr>
          <w:i/>
          <w:iCs/>
        </w:rPr>
        <w:t>Nr. </w:t>
      </w:r>
      <w:r w:rsidR="00C60A18" w:rsidRPr="009118AB">
        <w:rPr>
          <w:i/>
          <w:iCs/>
        </w:rPr>
        <w:t>2</w:t>
      </w:r>
      <w:r w:rsidR="00C60A18" w:rsidRPr="009118AB">
        <w:rPr>
          <w:i/>
        </w:rPr>
        <w:t xml:space="preserve"> des G. vom 8. Mai 2014 (B.S. vom 28. Mai 2014)</w:t>
      </w:r>
      <w:r w:rsidR="00D67EB8" w:rsidRPr="009118AB">
        <w:rPr>
          <w:i/>
        </w:rPr>
        <w:t> - </w:t>
      </w:r>
      <w:r w:rsidR="00C60A18" w:rsidRPr="009118AB">
        <w:rPr>
          <w:i/>
          <w:iCs/>
        </w:rPr>
        <w:t>anwendbar auf Besteuerungszeiträume, die am 1. Januar 2014 oder später beginnen</w:t>
      </w:r>
      <w:r w:rsidR="003366D9" w:rsidRPr="009118AB">
        <w:rPr>
          <w:i/>
          <w:iCs/>
        </w:rPr>
        <w:t> -;</w:t>
      </w:r>
      <w:r w:rsidR="00C60A18" w:rsidRPr="009118AB">
        <w:rPr>
          <w:i/>
          <w:iCs/>
        </w:rPr>
        <w:t xml:space="preserve"> </w:t>
      </w:r>
      <w:r w:rsidR="00D67EB8" w:rsidRPr="009118AB">
        <w:rPr>
          <w:i/>
          <w:iCs/>
        </w:rPr>
        <w:t>§ </w:t>
      </w:r>
      <w:r w:rsidR="0023593F" w:rsidRPr="009118AB">
        <w:rPr>
          <w:i/>
          <w:iCs/>
        </w:rPr>
        <w:t xml:space="preserve">1 einziger Absatz </w:t>
      </w:r>
      <w:r w:rsidR="00D67EB8" w:rsidRPr="009118AB">
        <w:rPr>
          <w:i/>
          <w:iCs/>
        </w:rPr>
        <w:t>Nr. </w:t>
      </w:r>
      <w:r w:rsidR="0023593F" w:rsidRPr="009118AB">
        <w:rPr>
          <w:i/>
          <w:iCs/>
        </w:rPr>
        <w:t xml:space="preserve">4/1 eingefügt durch </w:t>
      </w:r>
      <w:r w:rsidR="00D67EB8" w:rsidRPr="009118AB">
        <w:rPr>
          <w:i/>
          <w:iCs/>
        </w:rPr>
        <w:t>Art. </w:t>
      </w:r>
      <w:r w:rsidR="0023593F" w:rsidRPr="009118AB">
        <w:rPr>
          <w:i/>
          <w:iCs/>
        </w:rPr>
        <w:t>84 Buchstabe a)</w:t>
      </w:r>
      <w:r w:rsidR="0023593F" w:rsidRPr="009118AB">
        <w:rPr>
          <w:i/>
          <w:iCs/>
          <w:spacing w:val="-2"/>
        </w:rPr>
        <w:t xml:space="preserve"> des G. vom 11. Februar 2019 (B.S. vom 22. März 2020)</w:t>
      </w:r>
      <w:r w:rsidR="00D67EB8" w:rsidRPr="009118AB">
        <w:rPr>
          <w:i/>
          <w:iCs/>
          <w:spacing w:val="-2"/>
        </w:rPr>
        <w:t> - </w:t>
      </w:r>
      <w:r w:rsidR="0023593F"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23593F" w:rsidRPr="009118AB">
        <w:rPr>
          <w:i/>
          <w:iCs/>
          <w:spacing w:val="-2"/>
        </w:rPr>
        <w:t xml:space="preserve"> </w:t>
      </w:r>
      <w:r w:rsidR="00D67EB8" w:rsidRPr="009118AB">
        <w:rPr>
          <w:i/>
          <w:iCs/>
          <w:spacing w:val="-2"/>
        </w:rPr>
        <w:t>§ </w:t>
      </w:r>
      <w:r w:rsidR="00D2192B" w:rsidRPr="009118AB">
        <w:rPr>
          <w:i/>
          <w:iCs/>
          <w:spacing w:val="-2"/>
        </w:rPr>
        <w:t xml:space="preserve">1 einziger Absatz </w:t>
      </w:r>
      <w:r w:rsidR="00D67EB8" w:rsidRPr="009118AB">
        <w:rPr>
          <w:i/>
          <w:iCs/>
          <w:spacing w:val="-2"/>
        </w:rPr>
        <w:t>Nr. </w:t>
      </w:r>
      <w:r w:rsidR="00D2192B" w:rsidRPr="009118AB">
        <w:rPr>
          <w:i/>
          <w:iCs/>
          <w:spacing w:val="-2"/>
        </w:rPr>
        <w:t xml:space="preserve">4/2 eingefügt durch </w:t>
      </w:r>
      <w:r w:rsidR="00D67EB8" w:rsidRPr="009118AB">
        <w:rPr>
          <w:i/>
          <w:iCs/>
          <w:spacing w:val="-2"/>
        </w:rPr>
        <w:t>Art. </w:t>
      </w:r>
      <w:r w:rsidR="00D2192B" w:rsidRPr="009118AB">
        <w:rPr>
          <w:i/>
          <w:iCs/>
          <w:spacing w:val="-2"/>
        </w:rPr>
        <w:t>84 Buchstabe b) des G. vom 11. Februar 2019 (B.S. vom 22. März 2020)</w:t>
      </w:r>
      <w:r w:rsidR="00D67EB8" w:rsidRPr="009118AB">
        <w:rPr>
          <w:i/>
          <w:iCs/>
          <w:spacing w:val="-2"/>
        </w:rPr>
        <w:t> - </w:t>
      </w:r>
      <w:r w:rsidR="00D2192B"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D2192B" w:rsidRPr="009118AB">
        <w:rPr>
          <w:i/>
          <w:iCs/>
          <w:spacing w:val="-2"/>
        </w:rPr>
        <w:t xml:space="preserve"> </w:t>
      </w:r>
      <w:r w:rsidR="00D67EB8" w:rsidRPr="009118AB">
        <w:rPr>
          <w:i/>
          <w:iCs/>
          <w:spacing w:val="-2"/>
        </w:rPr>
        <w:t>§ </w:t>
      </w:r>
      <w:r w:rsidR="0068768C" w:rsidRPr="009118AB">
        <w:rPr>
          <w:i/>
          <w:iCs/>
          <w:spacing w:val="-2"/>
        </w:rPr>
        <w:t xml:space="preserve">1 einziger Absatz </w:t>
      </w:r>
      <w:r w:rsidR="00D67EB8" w:rsidRPr="009118AB">
        <w:rPr>
          <w:i/>
          <w:iCs/>
          <w:spacing w:val="-2"/>
        </w:rPr>
        <w:t>Nr. </w:t>
      </w:r>
      <w:r w:rsidR="0068768C" w:rsidRPr="009118AB">
        <w:rPr>
          <w:i/>
          <w:iCs/>
          <w:spacing w:val="-2"/>
        </w:rPr>
        <w:t xml:space="preserve">4/2 </w:t>
      </w:r>
      <w:r w:rsidR="00234B39" w:rsidRPr="009118AB">
        <w:rPr>
          <w:i/>
          <w:iCs/>
          <w:spacing w:val="-2"/>
        </w:rPr>
        <w:t xml:space="preserve">einziger Absatz </w:t>
      </w:r>
      <w:r w:rsidR="0068768C" w:rsidRPr="009118AB">
        <w:rPr>
          <w:i/>
          <w:iCs/>
          <w:spacing w:val="-2"/>
        </w:rPr>
        <w:t xml:space="preserve">vierter Gedankenstrich ersetzt durch </w:t>
      </w:r>
      <w:r w:rsidR="00D67EB8" w:rsidRPr="009118AB">
        <w:rPr>
          <w:i/>
          <w:iCs/>
          <w:spacing w:val="-2"/>
        </w:rPr>
        <w:t>Art. </w:t>
      </w:r>
      <w:r w:rsidR="0068768C" w:rsidRPr="009118AB">
        <w:rPr>
          <w:i/>
          <w:iCs/>
          <w:spacing w:val="-2"/>
        </w:rPr>
        <w:t>20 Buchstabe </w:t>
      </w:r>
      <w:r w:rsidR="005242FB" w:rsidRPr="009118AB">
        <w:rPr>
          <w:i/>
          <w:iCs/>
          <w:spacing w:val="-2"/>
        </w:rPr>
        <w:t>a</w:t>
      </w:r>
      <w:r w:rsidR="0068768C" w:rsidRPr="009118AB">
        <w:rPr>
          <w:i/>
          <w:iCs/>
          <w:spacing w:val="-2"/>
        </w:rPr>
        <w:t>)</w:t>
      </w:r>
      <w:r w:rsidR="0068768C" w:rsidRPr="009118AB">
        <w:rPr>
          <w:i/>
        </w:rPr>
        <w:t xml:space="preserve"> des G. vom 27. Juni 2021 (B.S. vom 30. Juni 2021); </w:t>
      </w:r>
      <w:r w:rsidR="00D67EB8" w:rsidRPr="009118AB">
        <w:rPr>
          <w:i/>
          <w:iCs/>
          <w:spacing w:val="-2"/>
        </w:rPr>
        <w:t>§ </w:t>
      </w:r>
      <w:r w:rsidR="00BC5AEF" w:rsidRPr="009118AB">
        <w:rPr>
          <w:i/>
          <w:iCs/>
          <w:spacing w:val="-2"/>
        </w:rPr>
        <w:t xml:space="preserve">1 einziger Absatz </w:t>
      </w:r>
      <w:r w:rsidR="00D67EB8" w:rsidRPr="009118AB">
        <w:rPr>
          <w:i/>
          <w:iCs/>
          <w:spacing w:val="-2"/>
        </w:rPr>
        <w:t>Nr. </w:t>
      </w:r>
      <w:r w:rsidR="00BC5AEF" w:rsidRPr="009118AB">
        <w:rPr>
          <w:i/>
          <w:iCs/>
          <w:spacing w:val="-2"/>
        </w:rPr>
        <w:t xml:space="preserve">5 einziger Absatz Buchstabe a) </w:t>
      </w:r>
      <w:r w:rsidR="00D67EB8" w:rsidRPr="009118AB">
        <w:rPr>
          <w:i/>
          <w:iCs/>
          <w:spacing w:val="-2"/>
        </w:rPr>
        <w:t>Abs. </w:t>
      </w:r>
      <w:r w:rsidR="00BC5AEF" w:rsidRPr="009118AB">
        <w:rPr>
          <w:i/>
          <w:iCs/>
          <w:spacing w:val="-2"/>
        </w:rPr>
        <w:t xml:space="preserve">1 abgeändert durch </w:t>
      </w:r>
      <w:r w:rsidR="00D67EB8" w:rsidRPr="009118AB">
        <w:rPr>
          <w:i/>
          <w:iCs/>
          <w:spacing w:val="-2"/>
        </w:rPr>
        <w:t>Art. </w:t>
      </w:r>
      <w:r w:rsidR="00BC5AEF" w:rsidRPr="009118AB">
        <w:rPr>
          <w:i/>
          <w:iCs/>
          <w:spacing w:val="-2"/>
        </w:rPr>
        <w:t xml:space="preserve">2 </w:t>
      </w:r>
      <w:r w:rsidR="00D67EB8" w:rsidRPr="009118AB">
        <w:rPr>
          <w:i/>
          <w:iCs/>
          <w:spacing w:val="-2"/>
        </w:rPr>
        <w:t>Nr. </w:t>
      </w:r>
      <w:r w:rsidR="00BC5AEF" w:rsidRPr="009118AB">
        <w:rPr>
          <w:i/>
          <w:iCs/>
          <w:spacing w:val="-2"/>
        </w:rPr>
        <w:t>1 und 2 des G. vom 17. März 2019 (III) (B.S. vom 10. Mai 2019)</w:t>
      </w:r>
      <w:r w:rsidR="00D67EB8" w:rsidRPr="009118AB">
        <w:rPr>
          <w:i/>
          <w:iCs/>
          <w:spacing w:val="-2"/>
        </w:rPr>
        <w:t> - </w:t>
      </w:r>
      <w:r w:rsidR="003C2A01" w:rsidRPr="009118AB">
        <w:rPr>
          <w:i/>
          <w:iCs/>
          <w:spacing w:val="-2"/>
        </w:rPr>
        <w:t>in Kraft am 1. Mai 2019</w:t>
      </w:r>
      <w:r w:rsidR="003366D9" w:rsidRPr="009118AB">
        <w:rPr>
          <w:i/>
          <w:iCs/>
          <w:spacing w:val="-2"/>
        </w:rPr>
        <w:t> -;</w:t>
      </w:r>
      <w:r w:rsidR="00BC5AEF" w:rsidRPr="009118AB">
        <w:rPr>
          <w:i/>
          <w:iCs/>
          <w:spacing w:val="-2"/>
        </w:rPr>
        <w:t xml:space="preserve"> </w:t>
      </w:r>
      <w:r w:rsidR="00D67EB8" w:rsidRPr="009118AB">
        <w:rPr>
          <w:i/>
          <w:iCs/>
          <w:spacing w:val="-2"/>
        </w:rPr>
        <w:t>§ </w:t>
      </w:r>
      <w:r w:rsidR="003C2A01" w:rsidRPr="009118AB">
        <w:rPr>
          <w:i/>
          <w:iCs/>
          <w:spacing w:val="-2"/>
        </w:rPr>
        <w:t xml:space="preserve">1 einziger Absatz </w:t>
      </w:r>
      <w:r w:rsidR="00D67EB8" w:rsidRPr="009118AB">
        <w:rPr>
          <w:i/>
          <w:iCs/>
          <w:spacing w:val="-2"/>
        </w:rPr>
        <w:t>Nr. </w:t>
      </w:r>
      <w:r w:rsidR="003C2A01" w:rsidRPr="009118AB">
        <w:rPr>
          <w:i/>
          <w:iCs/>
          <w:spacing w:val="-2"/>
        </w:rPr>
        <w:t xml:space="preserve">5 einziger Absatz Buchstabe b) </w:t>
      </w:r>
      <w:r w:rsidR="00D67EB8" w:rsidRPr="009118AB">
        <w:rPr>
          <w:i/>
          <w:iCs/>
          <w:spacing w:val="-2"/>
        </w:rPr>
        <w:t>Abs. </w:t>
      </w:r>
      <w:r w:rsidR="003C2A01" w:rsidRPr="009118AB">
        <w:rPr>
          <w:i/>
          <w:iCs/>
          <w:spacing w:val="-2"/>
        </w:rPr>
        <w:t xml:space="preserve">1 abgeändert durch </w:t>
      </w:r>
      <w:r w:rsidR="00D67EB8" w:rsidRPr="009118AB">
        <w:rPr>
          <w:i/>
          <w:iCs/>
          <w:spacing w:val="-2"/>
        </w:rPr>
        <w:t>Art. </w:t>
      </w:r>
      <w:r w:rsidR="003C2A01" w:rsidRPr="009118AB">
        <w:rPr>
          <w:i/>
          <w:iCs/>
          <w:spacing w:val="-2"/>
        </w:rPr>
        <w:t xml:space="preserve">2 </w:t>
      </w:r>
      <w:r w:rsidR="00D67EB8" w:rsidRPr="009118AB">
        <w:rPr>
          <w:i/>
          <w:iCs/>
          <w:spacing w:val="-2"/>
        </w:rPr>
        <w:t>Nr. </w:t>
      </w:r>
      <w:r w:rsidR="003C2A01" w:rsidRPr="009118AB">
        <w:rPr>
          <w:i/>
          <w:iCs/>
          <w:spacing w:val="-2"/>
        </w:rPr>
        <w:t>3 Buchstabe a) des G. vom 17. März 2019 (III) (B.S. vom 10. Mai 2019)</w:t>
      </w:r>
      <w:r w:rsidR="00D67EB8" w:rsidRPr="009118AB">
        <w:rPr>
          <w:i/>
          <w:iCs/>
          <w:spacing w:val="-2"/>
        </w:rPr>
        <w:t> - </w:t>
      </w:r>
      <w:r w:rsidR="003C2A01" w:rsidRPr="009118AB">
        <w:rPr>
          <w:i/>
          <w:iCs/>
          <w:spacing w:val="-2"/>
        </w:rPr>
        <w:t>in Kraft am 1. Mai 2019</w:t>
      </w:r>
      <w:r w:rsidR="003366D9" w:rsidRPr="009118AB">
        <w:rPr>
          <w:i/>
          <w:iCs/>
          <w:spacing w:val="-2"/>
        </w:rPr>
        <w:t> -;</w:t>
      </w:r>
      <w:r w:rsidR="003C2A01" w:rsidRPr="009118AB">
        <w:rPr>
          <w:i/>
          <w:iCs/>
          <w:spacing w:val="-2"/>
        </w:rPr>
        <w:t xml:space="preserve"> </w:t>
      </w:r>
      <w:r w:rsidR="00D67EB8" w:rsidRPr="009118AB">
        <w:rPr>
          <w:i/>
          <w:iCs/>
          <w:spacing w:val="-2"/>
        </w:rPr>
        <w:t>§ </w:t>
      </w:r>
      <w:r w:rsidR="003C2A01" w:rsidRPr="009118AB">
        <w:rPr>
          <w:i/>
          <w:iCs/>
          <w:spacing w:val="-2"/>
        </w:rPr>
        <w:t xml:space="preserve">1 einziger Absatz </w:t>
      </w:r>
      <w:r w:rsidR="00D67EB8" w:rsidRPr="009118AB">
        <w:rPr>
          <w:i/>
          <w:iCs/>
          <w:spacing w:val="-2"/>
        </w:rPr>
        <w:t>Nr. </w:t>
      </w:r>
      <w:r w:rsidR="003C2A01" w:rsidRPr="009118AB">
        <w:rPr>
          <w:i/>
          <w:iCs/>
          <w:spacing w:val="-2"/>
        </w:rPr>
        <w:t xml:space="preserve">5 einziger Absatz Buchstabe b) </w:t>
      </w:r>
      <w:r w:rsidR="00D67EB8" w:rsidRPr="009118AB">
        <w:rPr>
          <w:i/>
          <w:iCs/>
          <w:spacing w:val="-2"/>
        </w:rPr>
        <w:t>Abs. </w:t>
      </w:r>
      <w:r w:rsidR="003C2A01" w:rsidRPr="009118AB">
        <w:rPr>
          <w:i/>
          <w:iCs/>
          <w:spacing w:val="-2"/>
        </w:rPr>
        <w:t xml:space="preserve">2 eingefügt durch </w:t>
      </w:r>
      <w:r w:rsidR="00D67EB8" w:rsidRPr="009118AB">
        <w:rPr>
          <w:i/>
          <w:iCs/>
          <w:spacing w:val="-2"/>
        </w:rPr>
        <w:t>Art. </w:t>
      </w:r>
      <w:r w:rsidR="003C2A01" w:rsidRPr="009118AB">
        <w:rPr>
          <w:i/>
          <w:iCs/>
          <w:spacing w:val="-2"/>
        </w:rPr>
        <w:t xml:space="preserve">2 </w:t>
      </w:r>
      <w:r w:rsidR="00D67EB8" w:rsidRPr="009118AB">
        <w:rPr>
          <w:i/>
          <w:iCs/>
          <w:spacing w:val="-2"/>
        </w:rPr>
        <w:t>Nr. </w:t>
      </w:r>
      <w:r w:rsidR="003C2A01" w:rsidRPr="009118AB">
        <w:rPr>
          <w:i/>
          <w:iCs/>
          <w:spacing w:val="-2"/>
        </w:rPr>
        <w:t>3 Buchstabe b) des G. vom 17. März 2019 (III) (B.S. vom 10. Mai 2019)</w:t>
      </w:r>
      <w:r w:rsidR="00D67EB8" w:rsidRPr="009118AB">
        <w:rPr>
          <w:i/>
          <w:iCs/>
          <w:spacing w:val="-2"/>
        </w:rPr>
        <w:t> - </w:t>
      </w:r>
      <w:r w:rsidR="003C2A01" w:rsidRPr="009118AB">
        <w:rPr>
          <w:i/>
          <w:iCs/>
          <w:spacing w:val="-2"/>
        </w:rPr>
        <w:t>in Kraft am 1. Mai 2019</w:t>
      </w:r>
      <w:r w:rsidR="003366D9" w:rsidRPr="009118AB">
        <w:rPr>
          <w:i/>
          <w:iCs/>
          <w:spacing w:val="-2"/>
        </w:rPr>
        <w:t> -;</w:t>
      </w:r>
      <w:r w:rsidR="003C2A01" w:rsidRPr="009118AB">
        <w:rPr>
          <w:i/>
          <w:iCs/>
          <w:spacing w:val="-2"/>
        </w:rPr>
        <w:t xml:space="preserve"> </w:t>
      </w:r>
      <w:r w:rsidR="00D67EB8" w:rsidRPr="009118AB">
        <w:rPr>
          <w:i/>
          <w:iCs/>
        </w:rPr>
        <w:t>§ </w:t>
      </w:r>
      <w:r w:rsidR="00206A8C" w:rsidRPr="009118AB">
        <w:rPr>
          <w:i/>
          <w:iCs/>
        </w:rPr>
        <w:t xml:space="preserve">1 einziger Absatz </w:t>
      </w:r>
      <w:r w:rsidR="00D67EB8" w:rsidRPr="009118AB">
        <w:rPr>
          <w:i/>
          <w:iCs/>
        </w:rPr>
        <w:t>Nr. </w:t>
      </w:r>
      <w:r w:rsidR="00206A8C" w:rsidRPr="009118AB">
        <w:rPr>
          <w:i/>
          <w:iCs/>
        </w:rPr>
        <w:t xml:space="preserve">5 </w:t>
      </w:r>
      <w:r w:rsidR="00EC2332" w:rsidRPr="009118AB">
        <w:rPr>
          <w:i/>
          <w:iCs/>
        </w:rPr>
        <w:t>einziger Absatz Buchstabe</w:t>
      </w:r>
      <w:r w:rsidR="001F135B" w:rsidRPr="009118AB">
        <w:rPr>
          <w:i/>
          <w:iCs/>
        </w:rPr>
        <w:t> </w:t>
      </w:r>
      <w:r w:rsidR="00EC2332" w:rsidRPr="009118AB">
        <w:rPr>
          <w:i/>
          <w:iCs/>
        </w:rPr>
        <w:t xml:space="preserve">bbis) eingefügt durch </w:t>
      </w:r>
      <w:r w:rsidR="00D67EB8" w:rsidRPr="009118AB">
        <w:rPr>
          <w:i/>
          <w:iCs/>
        </w:rPr>
        <w:t>Art. </w:t>
      </w:r>
      <w:r w:rsidR="00EC2332" w:rsidRPr="009118AB">
        <w:rPr>
          <w:i/>
          <w:iCs/>
        </w:rPr>
        <w:t>3 des G. vom 11. Dezember 2008 (B.S. vom 12.</w:t>
      </w:r>
      <w:r w:rsidR="001F135B" w:rsidRPr="009118AB">
        <w:rPr>
          <w:i/>
          <w:iCs/>
        </w:rPr>
        <w:t> </w:t>
      </w:r>
      <w:r w:rsidR="00EC2332" w:rsidRPr="009118AB">
        <w:rPr>
          <w:i/>
          <w:iCs/>
        </w:rPr>
        <w:t>Januar 2009)</w:t>
      </w:r>
      <w:r w:rsidR="00D67EB8" w:rsidRPr="009118AB">
        <w:rPr>
          <w:i/>
          <w:iCs/>
        </w:rPr>
        <w:t> - </w:t>
      </w:r>
      <w:r w:rsidR="00EC2332" w:rsidRPr="009118AB">
        <w:rPr>
          <w:i/>
          <w:iCs/>
        </w:rPr>
        <w:t>anwendbar auf Vorgänge oder Verlegungen, d</w:t>
      </w:r>
      <w:r w:rsidR="003C2A01" w:rsidRPr="009118AB">
        <w:rPr>
          <w:i/>
          <w:iCs/>
        </w:rPr>
        <w:t>ie ab dem 12. Januar 2009 statt</w:t>
      </w:r>
      <w:r w:rsidR="00EC2332" w:rsidRPr="009118AB">
        <w:rPr>
          <w:i/>
          <w:iCs/>
        </w:rPr>
        <w:t>finden</w:t>
      </w:r>
      <w:r w:rsidR="003366D9" w:rsidRPr="009118AB">
        <w:rPr>
          <w:i/>
          <w:iCs/>
        </w:rPr>
        <w:t> -;</w:t>
      </w:r>
      <w:r w:rsidR="00B75EB8" w:rsidRPr="009118AB">
        <w:rPr>
          <w:i/>
          <w:iCs/>
        </w:rPr>
        <w:t xml:space="preserve"> </w:t>
      </w:r>
      <w:r w:rsidR="00D67EB8" w:rsidRPr="009118AB">
        <w:rPr>
          <w:i/>
          <w:iCs/>
        </w:rPr>
        <w:t>§ </w:t>
      </w:r>
      <w:r w:rsidR="00B75EB8" w:rsidRPr="009118AB">
        <w:rPr>
          <w:i/>
          <w:iCs/>
        </w:rPr>
        <w:t xml:space="preserve">1 einziger Absatz </w:t>
      </w:r>
      <w:r w:rsidR="00D67EB8" w:rsidRPr="009118AB">
        <w:rPr>
          <w:i/>
          <w:iCs/>
        </w:rPr>
        <w:t>Nr. </w:t>
      </w:r>
      <w:r w:rsidR="00F9275A" w:rsidRPr="009118AB">
        <w:rPr>
          <w:i/>
          <w:iCs/>
        </w:rPr>
        <w:t>5 einziger Absatz Buchstabe </w:t>
      </w:r>
      <w:r w:rsidR="00B75EB8" w:rsidRPr="009118AB">
        <w:rPr>
          <w:i/>
          <w:iCs/>
        </w:rPr>
        <w:t>bbis)</w:t>
      </w:r>
      <w:r w:rsidR="009D0DC9" w:rsidRPr="009118AB">
        <w:rPr>
          <w:i/>
          <w:iCs/>
        </w:rPr>
        <w:t xml:space="preserve"> einziger Absatz zweiter Gedankenstrich abgeändert durch </w:t>
      </w:r>
      <w:r w:rsidR="00D67EB8" w:rsidRPr="009118AB">
        <w:rPr>
          <w:i/>
          <w:iCs/>
        </w:rPr>
        <w:t>Art. </w:t>
      </w:r>
      <w:r w:rsidR="009D0DC9" w:rsidRPr="009118AB">
        <w:rPr>
          <w:i/>
          <w:iCs/>
        </w:rPr>
        <w:t xml:space="preserve">2 </w:t>
      </w:r>
      <w:r w:rsidR="00D67EB8" w:rsidRPr="009118AB">
        <w:rPr>
          <w:i/>
          <w:iCs/>
        </w:rPr>
        <w:t>Nr. </w:t>
      </w:r>
      <w:r w:rsidR="003C2A01" w:rsidRPr="009118AB">
        <w:rPr>
          <w:i/>
          <w:iCs/>
        </w:rPr>
        <w:t>1 des G. vom 21. Dezember 2013 </w:t>
      </w:r>
      <w:r w:rsidR="009D0DC9" w:rsidRPr="009118AB">
        <w:rPr>
          <w:i/>
          <w:iCs/>
        </w:rPr>
        <w:t>(II) (B.S. vom 31. Dezember 2013)</w:t>
      </w:r>
      <w:r w:rsidR="003C2A01" w:rsidRPr="009118AB">
        <w:rPr>
          <w:i/>
          <w:iCs/>
        </w:rPr>
        <w:t xml:space="preserve"> und </w:t>
      </w:r>
      <w:r w:rsidR="00D67EB8" w:rsidRPr="009118AB">
        <w:rPr>
          <w:i/>
          <w:iCs/>
        </w:rPr>
        <w:t>Art. </w:t>
      </w:r>
      <w:r w:rsidR="003C2A01" w:rsidRPr="009118AB">
        <w:rPr>
          <w:i/>
          <w:iCs/>
        </w:rPr>
        <w:t xml:space="preserve">2 </w:t>
      </w:r>
      <w:r w:rsidR="00D67EB8" w:rsidRPr="009118AB">
        <w:rPr>
          <w:i/>
          <w:iCs/>
        </w:rPr>
        <w:t>Nr. </w:t>
      </w:r>
      <w:r w:rsidR="003C2A01" w:rsidRPr="009118AB">
        <w:rPr>
          <w:i/>
          <w:iCs/>
        </w:rPr>
        <w:t>4</w:t>
      </w:r>
      <w:r w:rsidR="003C2A01" w:rsidRPr="009118AB">
        <w:rPr>
          <w:i/>
          <w:iCs/>
          <w:spacing w:val="-2"/>
        </w:rPr>
        <w:t xml:space="preserve"> des G. vom 17. März 2019 (III) (B.S. vom 10. Mai 2019)</w:t>
      </w:r>
      <w:r w:rsidR="00D67EB8" w:rsidRPr="009118AB">
        <w:rPr>
          <w:i/>
          <w:iCs/>
          <w:spacing w:val="-2"/>
        </w:rPr>
        <w:t> - </w:t>
      </w:r>
      <w:r w:rsidR="003C2A01" w:rsidRPr="009118AB">
        <w:rPr>
          <w:i/>
          <w:iCs/>
          <w:spacing w:val="-2"/>
        </w:rPr>
        <w:t>in Kraft am 1. Mai 2019</w:t>
      </w:r>
      <w:r w:rsidR="003366D9" w:rsidRPr="009118AB">
        <w:rPr>
          <w:i/>
          <w:iCs/>
          <w:spacing w:val="-2"/>
        </w:rPr>
        <w:t> -;</w:t>
      </w:r>
      <w:r w:rsidRPr="009118AB">
        <w:rPr>
          <w:i/>
          <w:iCs/>
        </w:rPr>
        <w:t xml:space="preserve"> </w:t>
      </w:r>
      <w:r w:rsidR="00D67EB8" w:rsidRPr="009118AB">
        <w:rPr>
          <w:i/>
          <w:iCs/>
        </w:rPr>
        <w:t>§ </w:t>
      </w:r>
      <w:r w:rsidR="009D0DC9" w:rsidRPr="009118AB">
        <w:rPr>
          <w:i/>
          <w:iCs/>
        </w:rPr>
        <w:t xml:space="preserve">1 einziger Absatz </w:t>
      </w:r>
      <w:r w:rsidR="00D67EB8" w:rsidRPr="009118AB">
        <w:rPr>
          <w:i/>
          <w:iCs/>
        </w:rPr>
        <w:t>Nr. </w:t>
      </w:r>
      <w:r w:rsidR="009D0DC9" w:rsidRPr="009118AB">
        <w:rPr>
          <w:i/>
          <w:iCs/>
        </w:rPr>
        <w:t xml:space="preserve">5 einziger Absatz Buchstabe bbis) einziger Absatz vierter Gedankenstrich abgeändert durch </w:t>
      </w:r>
      <w:r w:rsidR="00D67EB8" w:rsidRPr="009118AB">
        <w:rPr>
          <w:i/>
          <w:iCs/>
        </w:rPr>
        <w:t>Art. </w:t>
      </w:r>
      <w:r w:rsidR="009D0DC9" w:rsidRPr="009118AB">
        <w:rPr>
          <w:i/>
          <w:iCs/>
        </w:rPr>
        <w:t xml:space="preserve">2 </w:t>
      </w:r>
      <w:r w:rsidR="00D67EB8" w:rsidRPr="009118AB">
        <w:rPr>
          <w:i/>
          <w:iCs/>
        </w:rPr>
        <w:t>Nr. </w:t>
      </w:r>
      <w:r w:rsidR="009D0DC9" w:rsidRPr="009118AB">
        <w:rPr>
          <w:i/>
          <w:iCs/>
        </w:rPr>
        <w:t>2 des G. vom 21. Dezember 2013</w:t>
      </w:r>
      <w:r w:rsidR="003C2A01" w:rsidRPr="009118AB">
        <w:rPr>
          <w:i/>
          <w:iCs/>
        </w:rPr>
        <w:t> </w:t>
      </w:r>
      <w:r w:rsidR="009D0DC9" w:rsidRPr="009118AB">
        <w:rPr>
          <w:i/>
          <w:iCs/>
        </w:rPr>
        <w:t xml:space="preserve">(II) (B.S. vom 31. Dezember 2013); </w:t>
      </w:r>
      <w:r w:rsidR="00D67EB8" w:rsidRPr="009118AB">
        <w:rPr>
          <w:i/>
          <w:iCs/>
          <w:spacing w:val="-2"/>
        </w:rPr>
        <w:t>§ </w:t>
      </w:r>
      <w:r w:rsidR="003C2A01" w:rsidRPr="009118AB">
        <w:rPr>
          <w:i/>
          <w:iCs/>
          <w:spacing w:val="-2"/>
        </w:rPr>
        <w:t xml:space="preserve">1 einziger Absatz </w:t>
      </w:r>
      <w:r w:rsidR="00D67EB8" w:rsidRPr="009118AB">
        <w:rPr>
          <w:i/>
          <w:iCs/>
          <w:spacing w:val="-2"/>
        </w:rPr>
        <w:t>Nr. </w:t>
      </w:r>
      <w:r w:rsidR="003C2A01" w:rsidRPr="009118AB">
        <w:rPr>
          <w:i/>
          <w:iCs/>
          <w:spacing w:val="-2"/>
        </w:rPr>
        <w:t xml:space="preserve">5 einziger Absatz Buchstabe c) abgeändert durch </w:t>
      </w:r>
      <w:r w:rsidR="00D67EB8" w:rsidRPr="009118AB">
        <w:rPr>
          <w:i/>
          <w:iCs/>
          <w:spacing w:val="-2"/>
        </w:rPr>
        <w:t>Art. </w:t>
      </w:r>
      <w:r w:rsidR="003C2A01" w:rsidRPr="009118AB">
        <w:rPr>
          <w:i/>
          <w:iCs/>
          <w:spacing w:val="-2"/>
        </w:rPr>
        <w:t xml:space="preserve">2 </w:t>
      </w:r>
      <w:r w:rsidR="00D67EB8" w:rsidRPr="009118AB">
        <w:rPr>
          <w:i/>
          <w:iCs/>
          <w:spacing w:val="-2"/>
        </w:rPr>
        <w:t>Nr. </w:t>
      </w:r>
      <w:r w:rsidR="003C2A01" w:rsidRPr="009118AB">
        <w:rPr>
          <w:i/>
          <w:iCs/>
          <w:spacing w:val="-2"/>
        </w:rPr>
        <w:t>5 des G. vom 17. März 2019 (III) (B.S. vom 10. Mai 2019)</w:t>
      </w:r>
      <w:r w:rsidR="00D67EB8" w:rsidRPr="009118AB">
        <w:rPr>
          <w:i/>
          <w:iCs/>
          <w:spacing w:val="-2"/>
        </w:rPr>
        <w:t> - </w:t>
      </w:r>
      <w:r w:rsidR="003C2A01" w:rsidRPr="009118AB">
        <w:rPr>
          <w:i/>
          <w:iCs/>
          <w:spacing w:val="-2"/>
        </w:rPr>
        <w:t>in Kraft am 1. Mai 2019</w:t>
      </w:r>
      <w:r w:rsidR="003366D9" w:rsidRPr="009118AB">
        <w:rPr>
          <w:i/>
          <w:iCs/>
          <w:spacing w:val="-2"/>
        </w:rPr>
        <w:t> -;</w:t>
      </w:r>
      <w:r w:rsidR="003C2A01" w:rsidRPr="009118AB">
        <w:rPr>
          <w:i/>
          <w:iCs/>
          <w:spacing w:val="-2"/>
        </w:rPr>
        <w:t xml:space="preserve"> </w:t>
      </w:r>
      <w:r w:rsidR="00D67EB8" w:rsidRPr="009118AB">
        <w:rPr>
          <w:i/>
          <w:iCs/>
        </w:rPr>
        <w:t>§ </w:t>
      </w:r>
      <w:r w:rsidR="00FC2DA4" w:rsidRPr="009118AB">
        <w:rPr>
          <w:i/>
          <w:iCs/>
        </w:rPr>
        <w:t xml:space="preserve">1 einziger Absatz </w:t>
      </w:r>
      <w:r w:rsidR="00D67EB8" w:rsidRPr="009118AB">
        <w:rPr>
          <w:i/>
          <w:iCs/>
        </w:rPr>
        <w:t>Nr. </w:t>
      </w:r>
      <w:r w:rsidR="00FC2DA4" w:rsidRPr="009118AB">
        <w:rPr>
          <w:i/>
          <w:iCs/>
        </w:rPr>
        <w:t xml:space="preserve">5 einziger Absatz Buchstabe cbis) eingefügt durch </w:t>
      </w:r>
      <w:r w:rsidR="00D67EB8" w:rsidRPr="009118AB">
        <w:rPr>
          <w:i/>
          <w:iCs/>
        </w:rPr>
        <w:t>Art. </w:t>
      </w:r>
      <w:r w:rsidR="00FC2DA4" w:rsidRPr="009118AB">
        <w:rPr>
          <w:i/>
          <w:iCs/>
        </w:rPr>
        <w:t xml:space="preserve">2 </w:t>
      </w:r>
      <w:r w:rsidR="00D67EB8" w:rsidRPr="009118AB">
        <w:rPr>
          <w:i/>
          <w:iCs/>
        </w:rPr>
        <w:t>Nr. </w:t>
      </w:r>
      <w:r w:rsidR="00FC2DA4" w:rsidRPr="009118AB">
        <w:rPr>
          <w:i/>
          <w:iCs/>
        </w:rPr>
        <w:t xml:space="preserve">1 des G. vom 5. Juli 2022 (B.S. </w:t>
      </w:r>
      <w:r w:rsidR="00FC2DA4" w:rsidRPr="009118AB">
        <w:rPr>
          <w:rFonts w:ascii="Times New Roman Italique" w:hAnsi="Times New Roman Italique"/>
          <w:i/>
          <w:iCs/>
          <w:spacing w:val="-2"/>
        </w:rPr>
        <w:t xml:space="preserve">vom 15. Juli 2022); </w:t>
      </w:r>
      <w:r w:rsidR="00D67EB8" w:rsidRPr="009118AB">
        <w:rPr>
          <w:rFonts w:ascii="Times New Roman Italique" w:hAnsi="Times New Roman Italique"/>
          <w:i/>
          <w:iCs/>
          <w:spacing w:val="-2"/>
        </w:rPr>
        <w:t>§ </w:t>
      </w:r>
      <w:r w:rsidR="001F135B" w:rsidRPr="009118AB">
        <w:rPr>
          <w:rFonts w:ascii="Times New Roman Italique" w:hAnsi="Times New Roman Italique"/>
          <w:i/>
          <w:iCs/>
          <w:spacing w:val="-2"/>
        </w:rPr>
        <w:t xml:space="preserve">1 einziger Absatz </w:t>
      </w:r>
      <w:r w:rsidR="00D67EB8" w:rsidRPr="009118AB">
        <w:rPr>
          <w:rFonts w:ascii="Times New Roman Italique" w:hAnsi="Times New Roman Italique"/>
          <w:i/>
          <w:iCs/>
          <w:spacing w:val="-2"/>
        </w:rPr>
        <w:t>Nr. </w:t>
      </w:r>
      <w:r w:rsidR="001F135B" w:rsidRPr="009118AB">
        <w:rPr>
          <w:rFonts w:ascii="Times New Roman Italique" w:hAnsi="Times New Roman Italique"/>
          <w:i/>
          <w:iCs/>
          <w:spacing w:val="-2"/>
        </w:rPr>
        <w:t xml:space="preserve">5 einziger Absatz Buchstabe g) eingefügt durch </w:t>
      </w:r>
      <w:r w:rsidR="00D67EB8" w:rsidRPr="009118AB">
        <w:rPr>
          <w:rFonts w:ascii="Times New Roman Italique" w:hAnsi="Times New Roman Italique"/>
          <w:i/>
          <w:iCs/>
          <w:spacing w:val="-2"/>
        </w:rPr>
        <w:lastRenderedPageBreak/>
        <w:t>Art. </w:t>
      </w:r>
      <w:r w:rsidR="001F135B" w:rsidRPr="009118AB">
        <w:rPr>
          <w:rFonts w:ascii="Times New Roman Italique" w:hAnsi="Times New Roman Italique"/>
          <w:i/>
          <w:iCs/>
          <w:spacing w:val="-2"/>
        </w:rPr>
        <w:t>83 des G. vom 12. Mai 2014 (II) (B.S. vom 30. Juni 2014</w:t>
      </w:r>
      <w:r w:rsidR="00D70874" w:rsidRPr="009118AB">
        <w:rPr>
          <w:rFonts w:ascii="Times New Roman Italique" w:hAnsi="Times New Roman Italique"/>
          <w:i/>
          <w:iCs/>
          <w:spacing w:val="-2"/>
        </w:rPr>
        <w:t>)</w:t>
      </w:r>
      <w:r w:rsidR="00D67EB8" w:rsidRPr="009118AB">
        <w:rPr>
          <w:rFonts w:ascii="Times New Roman Italique" w:hAnsi="Times New Roman Italique"/>
          <w:i/>
          <w:iCs/>
          <w:spacing w:val="-2"/>
        </w:rPr>
        <w:t> - </w:t>
      </w:r>
      <w:r w:rsidR="006557F3" w:rsidRPr="009118AB">
        <w:rPr>
          <w:rFonts w:ascii="Times New Roman Italique" w:hAnsi="Times New Roman Italique"/>
          <w:i/>
          <w:iCs/>
          <w:spacing w:val="-2"/>
        </w:rPr>
        <w:t>in Kraft ab dem 16. Juli 2014</w:t>
      </w:r>
      <w:r w:rsidR="003366D9" w:rsidRPr="009118AB">
        <w:rPr>
          <w:rFonts w:ascii="Times New Roman Italique" w:hAnsi="Times New Roman Italique"/>
          <w:i/>
          <w:iCs/>
          <w:spacing w:val="-2"/>
        </w:rPr>
        <w:t> -;</w:t>
      </w:r>
      <w:r w:rsidR="001F135B" w:rsidRPr="009118AB">
        <w:rPr>
          <w:i/>
          <w:iCs/>
        </w:rPr>
        <w:t xml:space="preserve"> </w:t>
      </w:r>
      <w:r w:rsidR="00D67EB8" w:rsidRPr="009118AB">
        <w:rPr>
          <w:i/>
          <w:iCs/>
        </w:rPr>
        <w:t>§ </w:t>
      </w:r>
      <w:r w:rsidR="00F9275A" w:rsidRPr="009118AB">
        <w:rPr>
          <w:i/>
          <w:iCs/>
        </w:rPr>
        <w:t xml:space="preserve">1 einziger Absatz </w:t>
      </w:r>
      <w:r w:rsidR="00D67EB8" w:rsidRPr="009118AB">
        <w:rPr>
          <w:i/>
          <w:iCs/>
        </w:rPr>
        <w:t>Nr. </w:t>
      </w:r>
      <w:r w:rsidR="00923F2F" w:rsidRPr="009118AB">
        <w:rPr>
          <w:i/>
          <w:iCs/>
        </w:rPr>
        <w:t xml:space="preserve">5 einziger Absatz Buchstabe h) eingefügt durch </w:t>
      </w:r>
      <w:r w:rsidR="00D67EB8" w:rsidRPr="009118AB">
        <w:rPr>
          <w:i/>
          <w:iCs/>
        </w:rPr>
        <w:t>Art. </w:t>
      </w:r>
      <w:r w:rsidR="00633A30" w:rsidRPr="009118AB">
        <w:rPr>
          <w:i/>
          <w:iCs/>
        </w:rPr>
        <w:t>6</w:t>
      </w:r>
      <w:r w:rsidR="00633A30" w:rsidRPr="009118AB">
        <w:rPr>
          <w:i/>
        </w:rPr>
        <w:t xml:space="preserve"> des G. (II) vom 3. August 2016 (VI) (B.S. vom 16. August 2016)</w:t>
      </w:r>
      <w:r w:rsidR="00D67EB8" w:rsidRPr="009118AB">
        <w:rPr>
          <w:i/>
        </w:rPr>
        <w:t> - </w:t>
      </w:r>
      <w:r w:rsidR="00633A30" w:rsidRPr="009118AB">
        <w:rPr>
          <w:i/>
        </w:rPr>
        <w:t xml:space="preserve">in Kraft ab dem Steuerjahr 2016 für Vorgänge und Einkünfte, die ab dem 1. Juli 2016 stattfinden </w:t>
      </w:r>
      <w:r w:rsidR="00633A30" w:rsidRPr="009118AB">
        <w:rPr>
          <w:rFonts w:ascii="Times New Roman Italique" w:hAnsi="Times New Roman Italique"/>
          <w:i/>
          <w:iCs/>
          <w:spacing w:val="2"/>
        </w:rPr>
        <w:t>beziehungsweise zuerkannt oder ausgeschüttet werden</w:t>
      </w:r>
      <w:r w:rsidR="003366D9" w:rsidRPr="009118AB">
        <w:rPr>
          <w:rFonts w:ascii="Times New Roman Italique" w:hAnsi="Times New Roman Italique"/>
          <w:i/>
          <w:iCs/>
          <w:spacing w:val="2"/>
        </w:rPr>
        <w:t> -;</w:t>
      </w:r>
      <w:r w:rsidR="00923F2F" w:rsidRPr="009118AB">
        <w:rPr>
          <w:rFonts w:ascii="Times New Roman Italique" w:hAnsi="Times New Roman Italique"/>
          <w:i/>
          <w:iCs/>
          <w:spacing w:val="2"/>
        </w:rPr>
        <w:t xml:space="preserve"> </w:t>
      </w:r>
      <w:r w:rsidR="00D67EB8" w:rsidRPr="009118AB">
        <w:rPr>
          <w:i/>
          <w:iCs/>
        </w:rPr>
        <w:t>§ </w:t>
      </w:r>
      <w:r w:rsidR="000D5C7F" w:rsidRPr="009118AB">
        <w:rPr>
          <w:i/>
          <w:iCs/>
        </w:rPr>
        <w:t xml:space="preserve">1 einziger Absatz </w:t>
      </w:r>
      <w:r w:rsidR="00D67EB8" w:rsidRPr="009118AB">
        <w:rPr>
          <w:i/>
          <w:iCs/>
        </w:rPr>
        <w:t>Nr. </w:t>
      </w:r>
      <w:r w:rsidR="000D5C7F" w:rsidRPr="009118AB">
        <w:rPr>
          <w:i/>
          <w:iCs/>
        </w:rPr>
        <w:t xml:space="preserve">5 einziger Absatz Buchstabe i) eingefügt durch </w:t>
      </w:r>
      <w:r w:rsidR="00D67EB8" w:rsidRPr="009118AB">
        <w:rPr>
          <w:i/>
          <w:iCs/>
        </w:rPr>
        <w:t>Art. </w:t>
      </w:r>
      <w:r w:rsidR="000D5C7F" w:rsidRPr="009118AB">
        <w:rPr>
          <w:i/>
          <w:iCs/>
        </w:rPr>
        <w:t>61</w:t>
      </w:r>
      <w:r w:rsidR="000D5C7F" w:rsidRPr="009118AB">
        <w:rPr>
          <w:bCs/>
          <w:i/>
          <w:iCs/>
          <w:sz w:val="20"/>
          <w:szCs w:val="20"/>
        </w:rPr>
        <w:t xml:space="preserve"> </w:t>
      </w:r>
      <w:r w:rsidR="000D5C7F" w:rsidRPr="009118AB">
        <w:rPr>
          <w:bCs/>
          <w:i/>
          <w:iCs/>
        </w:rPr>
        <w:t xml:space="preserve">des G. vom 21. Januar 2022 (B.S. vom 28. Januar 2022); </w:t>
      </w:r>
      <w:r w:rsidR="00D67EB8" w:rsidRPr="009118AB">
        <w:rPr>
          <w:rFonts w:ascii="Times New Roman Italique" w:hAnsi="Times New Roman Italique"/>
          <w:i/>
          <w:iCs/>
          <w:spacing w:val="2"/>
        </w:rPr>
        <w:t>§ </w:t>
      </w:r>
      <w:r w:rsidR="005E5137" w:rsidRPr="009118AB">
        <w:rPr>
          <w:rFonts w:ascii="Times New Roman Italique" w:hAnsi="Times New Roman Italique"/>
          <w:i/>
          <w:iCs/>
          <w:spacing w:val="2"/>
        </w:rPr>
        <w:t xml:space="preserve">1 einziger Absatz </w:t>
      </w:r>
      <w:r w:rsidR="00D67EB8" w:rsidRPr="009118AB">
        <w:rPr>
          <w:rFonts w:ascii="Times New Roman Italique" w:hAnsi="Times New Roman Italique"/>
          <w:i/>
          <w:iCs/>
          <w:spacing w:val="2"/>
        </w:rPr>
        <w:t>Nr. </w:t>
      </w:r>
      <w:r w:rsidR="005E5137" w:rsidRPr="009118AB">
        <w:rPr>
          <w:rFonts w:ascii="Times New Roman Italique" w:hAnsi="Times New Roman Italique"/>
          <w:i/>
          <w:iCs/>
          <w:spacing w:val="2"/>
        </w:rPr>
        <w:t xml:space="preserve">5/1 eingefügt durch </w:t>
      </w:r>
      <w:r w:rsidR="00D67EB8" w:rsidRPr="009118AB">
        <w:rPr>
          <w:rFonts w:ascii="Times New Roman Italique" w:hAnsi="Times New Roman Italique"/>
          <w:i/>
          <w:iCs/>
          <w:spacing w:val="2"/>
        </w:rPr>
        <w:t>Art. </w:t>
      </w:r>
      <w:r w:rsidR="005E5137" w:rsidRPr="009118AB">
        <w:rPr>
          <w:rFonts w:ascii="Times New Roman Italique" w:hAnsi="Times New Roman Italique"/>
          <w:i/>
          <w:iCs/>
          <w:spacing w:val="2"/>
        </w:rPr>
        <w:t>5 des G. vom 30. Juli 2018 (II) (B.S. vom 10. August 2018)</w:t>
      </w:r>
      <w:r w:rsidR="003C2A01" w:rsidRPr="009118AB">
        <w:rPr>
          <w:rFonts w:ascii="Times New Roman Italique" w:hAnsi="Times New Roman Italique"/>
          <w:i/>
          <w:iCs/>
          <w:spacing w:val="2"/>
        </w:rPr>
        <w:t xml:space="preserve"> und abgeändert durch </w:t>
      </w:r>
      <w:r w:rsidR="00D67EB8" w:rsidRPr="009118AB">
        <w:rPr>
          <w:rFonts w:ascii="Times New Roman Italique" w:hAnsi="Times New Roman Italique"/>
          <w:i/>
          <w:iCs/>
          <w:spacing w:val="2"/>
        </w:rPr>
        <w:t>Art. </w:t>
      </w:r>
      <w:r w:rsidR="003C2A01"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003C2A01" w:rsidRPr="009118AB">
        <w:rPr>
          <w:rFonts w:ascii="Times New Roman Italique" w:hAnsi="Times New Roman Italique"/>
          <w:i/>
          <w:iCs/>
          <w:spacing w:val="2"/>
        </w:rPr>
        <w:t>6 des G. vom 17. März 2019 (III) (B.S. vom 10. Mai 2019)</w:t>
      </w:r>
      <w:r w:rsidR="00D67EB8" w:rsidRPr="009118AB">
        <w:rPr>
          <w:rFonts w:ascii="Times New Roman Italique" w:hAnsi="Times New Roman Italique"/>
          <w:i/>
          <w:iCs/>
          <w:spacing w:val="2"/>
        </w:rPr>
        <w:t> - </w:t>
      </w:r>
      <w:r w:rsidR="003C2A01" w:rsidRPr="009118AB">
        <w:rPr>
          <w:rFonts w:ascii="Times New Roman Italique" w:hAnsi="Times New Roman Italique"/>
          <w:i/>
          <w:iCs/>
          <w:spacing w:val="2"/>
        </w:rPr>
        <w:t>in Kraft am 1. Mai 2019</w:t>
      </w:r>
      <w:r w:rsidR="003366D9" w:rsidRPr="009118AB">
        <w:rPr>
          <w:rFonts w:ascii="Times New Roman Italique" w:hAnsi="Times New Roman Italique"/>
          <w:i/>
          <w:iCs/>
          <w:spacing w:val="2"/>
        </w:rPr>
        <w:t> -;</w:t>
      </w:r>
      <w:r w:rsidR="005E5137"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5bis eingefügt durch </w:t>
      </w:r>
      <w:r w:rsidR="00D67EB8" w:rsidRPr="009118AB">
        <w:rPr>
          <w:i/>
          <w:iCs/>
        </w:rPr>
        <w:t>Art. </w:t>
      </w:r>
      <w:r w:rsidRPr="009118AB">
        <w:rPr>
          <w:i/>
          <w:iCs/>
        </w:rPr>
        <w:t xml:space="preserve">313 des G. </w:t>
      </w:r>
      <w:r w:rsidR="0014743B" w:rsidRPr="009118AB">
        <w:rPr>
          <w:i/>
          <w:iCs/>
        </w:rPr>
        <w:t xml:space="preserve">(I) </w:t>
      </w:r>
      <w:r w:rsidRPr="009118AB">
        <w:rPr>
          <w:i/>
          <w:iCs/>
        </w:rPr>
        <w:t>vom 27. Dezember 2006 (</w:t>
      </w:r>
      <w:r w:rsidR="0014743B" w:rsidRPr="009118AB">
        <w:rPr>
          <w:i/>
          <w:iCs/>
        </w:rPr>
        <w:t>I</w:t>
      </w:r>
      <w:r w:rsidR="003C2A01" w:rsidRPr="009118AB">
        <w:rPr>
          <w:i/>
          <w:iCs/>
        </w:rPr>
        <w:t>I) </w:t>
      </w:r>
      <w:r w:rsidRPr="009118AB">
        <w:rPr>
          <w:i/>
          <w:iCs/>
        </w:rPr>
        <w:t>(B.S.</w:t>
      </w:r>
      <w:r w:rsidR="003C2A01" w:rsidRPr="009118AB">
        <w:rPr>
          <w:i/>
          <w:iCs/>
        </w:rPr>
        <w:t xml:space="preserve"> </w:t>
      </w:r>
      <w:r w:rsidRPr="009118AB">
        <w:rPr>
          <w:i/>
          <w:iCs/>
        </w:rPr>
        <w:t xml:space="preserve">vom </w:t>
      </w:r>
      <w:r w:rsidRPr="009118AB">
        <w:rPr>
          <w:i/>
          <w:iCs/>
          <w:spacing w:val="-2"/>
        </w:rPr>
        <w:t>28. Dezember 2006)</w:t>
      </w:r>
      <w:r w:rsidR="00D67EB8" w:rsidRPr="009118AB">
        <w:rPr>
          <w:i/>
          <w:iCs/>
          <w:spacing w:val="-2"/>
        </w:rPr>
        <w:t> - </w:t>
      </w:r>
      <w:r w:rsidRPr="009118AB">
        <w:rPr>
          <w:i/>
          <w:iCs/>
          <w:spacing w:val="-2"/>
        </w:rPr>
        <w:t>in Kraft ab dem 1. Januar 2007</w:t>
      </w:r>
      <w:r w:rsidR="00D67EB8" w:rsidRPr="009118AB">
        <w:rPr>
          <w:i/>
          <w:iCs/>
          <w:spacing w:val="-2"/>
        </w:rPr>
        <w:t> - </w:t>
      </w:r>
      <w:r w:rsidR="00C151E6" w:rsidRPr="009118AB">
        <w:rPr>
          <w:i/>
          <w:iCs/>
          <w:spacing w:val="-2"/>
        </w:rPr>
        <w:t xml:space="preserve">und ersetzt durch </w:t>
      </w:r>
      <w:r w:rsidR="00D67EB8" w:rsidRPr="009118AB">
        <w:rPr>
          <w:i/>
          <w:iCs/>
          <w:spacing w:val="-2"/>
        </w:rPr>
        <w:t>Art. </w:t>
      </w:r>
      <w:r w:rsidR="00C151E6" w:rsidRPr="009118AB">
        <w:rPr>
          <w:i/>
          <w:iCs/>
          <w:spacing w:val="-2"/>
        </w:rPr>
        <w:t>16</w:t>
      </w:r>
      <w:r w:rsidR="00C151E6" w:rsidRPr="009118AB">
        <w:rPr>
          <w:i/>
          <w:iCs/>
        </w:rPr>
        <w:t xml:space="preserve"> des G. vom 18. Dezember 2015 (II) (B.S. vom 28. Dezember 2015)</w:t>
      </w:r>
      <w:r w:rsidRPr="009118AB">
        <w:rPr>
          <w:i/>
          <w:iCs/>
          <w:spacing w:val="-2"/>
        </w:rPr>
        <w:t xml:space="preserve">; </w:t>
      </w:r>
      <w:r w:rsidR="00D67EB8" w:rsidRPr="009118AB">
        <w:rPr>
          <w:i/>
          <w:iCs/>
          <w:spacing w:val="-2"/>
        </w:rPr>
        <w:t>§ </w:t>
      </w:r>
      <w:r w:rsidR="003C2A01" w:rsidRPr="009118AB">
        <w:rPr>
          <w:i/>
          <w:iCs/>
          <w:spacing w:val="-2"/>
        </w:rPr>
        <w:t xml:space="preserve">1 einziger Absatz </w:t>
      </w:r>
      <w:r w:rsidR="00D67EB8" w:rsidRPr="009118AB">
        <w:rPr>
          <w:i/>
          <w:iCs/>
          <w:spacing w:val="-2"/>
        </w:rPr>
        <w:t>Nr. </w:t>
      </w:r>
      <w:r w:rsidR="003C2A01" w:rsidRPr="009118AB">
        <w:rPr>
          <w:i/>
          <w:iCs/>
          <w:spacing w:val="-2"/>
        </w:rPr>
        <w:t xml:space="preserve">5ter eingefügt durch </w:t>
      </w:r>
      <w:r w:rsidR="00D67EB8" w:rsidRPr="009118AB">
        <w:rPr>
          <w:i/>
          <w:iCs/>
          <w:spacing w:val="-2"/>
        </w:rPr>
        <w:t>Art. </w:t>
      </w:r>
      <w:r w:rsidR="003C2A01" w:rsidRPr="009118AB">
        <w:rPr>
          <w:i/>
          <w:iCs/>
          <w:spacing w:val="-2"/>
        </w:rPr>
        <w:t xml:space="preserve">2 </w:t>
      </w:r>
      <w:r w:rsidR="00D67EB8" w:rsidRPr="009118AB">
        <w:rPr>
          <w:i/>
          <w:iCs/>
          <w:spacing w:val="-2"/>
        </w:rPr>
        <w:t>Nr. </w:t>
      </w:r>
      <w:r w:rsidR="003C2A01" w:rsidRPr="009118AB">
        <w:rPr>
          <w:i/>
          <w:iCs/>
          <w:spacing w:val="-2"/>
        </w:rPr>
        <w:t>7 des G. vom 17. März 2019 (III) (B.S. vom 10. Mai 2019)</w:t>
      </w:r>
      <w:r w:rsidR="00D67EB8" w:rsidRPr="009118AB">
        <w:rPr>
          <w:i/>
          <w:iCs/>
          <w:spacing w:val="-2"/>
        </w:rPr>
        <w:t> - </w:t>
      </w:r>
      <w:r w:rsidR="003C2A01" w:rsidRPr="009118AB">
        <w:rPr>
          <w:i/>
          <w:iCs/>
          <w:spacing w:val="-2"/>
        </w:rPr>
        <w:t>in Kraft am 1. Mai 2019</w:t>
      </w:r>
      <w:r w:rsidR="003366D9" w:rsidRPr="009118AB">
        <w:rPr>
          <w:i/>
          <w:iCs/>
          <w:spacing w:val="-2"/>
        </w:rPr>
        <w:t> -;</w:t>
      </w:r>
      <w:r w:rsidR="003C2A01" w:rsidRPr="009118AB">
        <w:rPr>
          <w:i/>
          <w:iCs/>
          <w:spacing w:val="-2"/>
        </w:rPr>
        <w:t xml:space="preserve"> </w:t>
      </w:r>
      <w:r w:rsidR="00D67EB8" w:rsidRPr="009118AB">
        <w:rPr>
          <w:i/>
          <w:iCs/>
          <w:spacing w:val="-2"/>
        </w:rPr>
        <w:t>§ </w:t>
      </w:r>
      <w:r w:rsidR="003C2A01" w:rsidRPr="009118AB">
        <w:rPr>
          <w:i/>
          <w:iCs/>
          <w:spacing w:val="-2"/>
        </w:rPr>
        <w:t xml:space="preserve">1 einziger Absatz </w:t>
      </w:r>
      <w:r w:rsidR="00D67EB8" w:rsidRPr="009118AB">
        <w:rPr>
          <w:i/>
          <w:iCs/>
          <w:spacing w:val="-2"/>
        </w:rPr>
        <w:t>Nr. </w:t>
      </w:r>
      <w:r w:rsidR="003C2A01" w:rsidRPr="009118AB">
        <w:rPr>
          <w:i/>
          <w:iCs/>
          <w:spacing w:val="-2"/>
        </w:rPr>
        <w:t xml:space="preserve">6 ersetzt durch </w:t>
      </w:r>
      <w:r w:rsidR="00D67EB8" w:rsidRPr="009118AB">
        <w:rPr>
          <w:i/>
          <w:iCs/>
          <w:spacing w:val="-2"/>
        </w:rPr>
        <w:t>Art. </w:t>
      </w:r>
      <w:r w:rsidR="003C2A01" w:rsidRPr="009118AB">
        <w:rPr>
          <w:i/>
          <w:iCs/>
          <w:spacing w:val="-2"/>
        </w:rPr>
        <w:t xml:space="preserve">2 </w:t>
      </w:r>
      <w:r w:rsidR="00D67EB8" w:rsidRPr="009118AB">
        <w:rPr>
          <w:i/>
          <w:iCs/>
          <w:spacing w:val="-2"/>
        </w:rPr>
        <w:t>Nr. </w:t>
      </w:r>
      <w:r w:rsidR="003C2A01" w:rsidRPr="009118AB">
        <w:rPr>
          <w:i/>
          <w:iCs/>
          <w:spacing w:val="-2"/>
        </w:rPr>
        <w:t>8 des G. vom 17. März 2019 (III) (B.S. vom 10. Mai 2019)</w:t>
      </w:r>
      <w:r w:rsidR="00D67EB8" w:rsidRPr="009118AB">
        <w:rPr>
          <w:i/>
          <w:iCs/>
          <w:spacing w:val="-2"/>
        </w:rPr>
        <w:t> - </w:t>
      </w:r>
      <w:r w:rsidR="003C2A01" w:rsidRPr="009118AB">
        <w:rPr>
          <w:i/>
          <w:iCs/>
          <w:spacing w:val="-2"/>
        </w:rPr>
        <w:t>in Kraft am 1. Mai 2019</w:t>
      </w:r>
      <w:r w:rsidR="003366D9" w:rsidRPr="009118AB">
        <w:rPr>
          <w:i/>
          <w:iCs/>
          <w:spacing w:val="-2"/>
        </w:rPr>
        <w:t> -;</w:t>
      </w:r>
      <w:r w:rsidR="003C2A01" w:rsidRPr="009118AB">
        <w:rPr>
          <w:i/>
          <w:iCs/>
          <w:spacing w:val="-2"/>
        </w:rPr>
        <w:t xml:space="preserve"> </w:t>
      </w:r>
      <w:r w:rsidR="00D67EB8" w:rsidRPr="009118AB">
        <w:rPr>
          <w:i/>
          <w:iCs/>
          <w:spacing w:val="-2"/>
        </w:rPr>
        <w:t>§ </w:t>
      </w:r>
      <w:r w:rsidR="003C2A01" w:rsidRPr="009118AB">
        <w:rPr>
          <w:i/>
          <w:iCs/>
          <w:spacing w:val="-2"/>
        </w:rPr>
        <w:t xml:space="preserve">1 einziger Absatz </w:t>
      </w:r>
      <w:r w:rsidR="00D67EB8" w:rsidRPr="009118AB">
        <w:rPr>
          <w:i/>
          <w:iCs/>
          <w:spacing w:val="-2"/>
        </w:rPr>
        <w:t>Nr. </w:t>
      </w:r>
      <w:r w:rsidR="003C2A01" w:rsidRPr="009118AB">
        <w:rPr>
          <w:i/>
          <w:iCs/>
          <w:spacing w:val="-2"/>
        </w:rPr>
        <w:t xml:space="preserve">6/1 eingefügt durch </w:t>
      </w:r>
      <w:r w:rsidR="00D67EB8" w:rsidRPr="009118AB">
        <w:rPr>
          <w:i/>
          <w:iCs/>
          <w:spacing w:val="-2"/>
        </w:rPr>
        <w:t>Art. </w:t>
      </w:r>
      <w:r w:rsidR="003C2A01" w:rsidRPr="009118AB">
        <w:rPr>
          <w:i/>
          <w:iCs/>
          <w:spacing w:val="-2"/>
        </w:rPr>
        <w:t xml:space="preserve">2 </w:t>
      </w:r>
      <w:r w:rsidR="00D67EB8" w:rsidRPr="009118AB">
        <w:rPr>
          <w:i/>
          <w:iCs/>
          <w:spacing w:val="-2"/>
        </w:rPr>
        <w:t>Nr. </w:t>
      </w:r>
      <w:r w:rsidR="003C2A01" w:rsidRPr="009118AB">
        <w:rPr>
          <w:i/>
          <w:iCs/>
          <w:spacing w:val="-2"/>
        </w:rPr>
        <w:t>9 des G. vom 17. März 2019 (III) (B.S. vom 10. Mai 2019)</w:t>
      </w:r>
      <w:r w:rsidR="00D67EB8" w:rsidRPr="009118AB">
        <w:rPr>
          <w:i/>
          <w:iCs/>
          <w:spacing w:val="-2"/>
        </w:rPr>
        <w:t> - </w:t>
      </w:r>
      <w:r w:rsidR="003C2A01" w:rsidRPr="009118AB">
        <w:rPr>
          <w:i/>
          <w:iCs/>
          <w:spacing w:val="-2"/>
        </w:rPr>
        <w:t>in Kraft am 1. Mai 2019 und anwendbar auf die</w:t>
      </w:r>
      <w:r w:rsidR="00D401E4" w:rsidRPr="009118AB">
        <w:rPr>
          <w:i/>
          <w:iCs/>
          <w:spacing w:val="-2"/>
        </w:rPr>
        <w:t xml:space="preserve"> dort</w:t>
      </w:r>
      <w:r w:rsidR="003C2A01" w:rsidRPr="009118AB">
        <w:rPr>
          <w:i/>
          <w:iCs/>
          <w:spacing w:val="-2"/>
        </w:rPr>
        <w:t xml:space="preserve"> definierten Vorgänge, die ab dem 1. Mai 2019 vorgenommen </w:t>
      </w:r>
      <w:r w:rsidR="003C2A01" w:rsidRPr="00591551">
        <w:rPr>
          <w:i/>
          <w:iCs/>
          <w:spacing w:val="-2"/>
        </w:rPr>
        <w:t>werden</w:t>
      </w:r>
      <w:r w:rsidR="003366D9" w:rsidRPr="00591551">
        <w:rPr>
          <w:i/>
          <w:iCs/>
          <w:spacing w:val="-2"/>
        </w:rPr>
        <w:t> -</w:t>
      </w:r>
      <w:r w:rsidR="00591551" w:rsidRPr="00591551">
        <w:rPr>
          <w:i/>
          <w:iCs/>
          <w:spacing w:val="-2"/>
        </w:rPr>
        <w:t xml:space="preserve"> ; § 1 einziger Absatz Nr. 6/1 Absatz 2 Buchstabe c) </w:t>
      </w:r>
      <w:r w:rsidR="00D6496B">
        <w:rPr>
          <w:i/>
          <w:iCs/>
          <w:spacing w:val="-2"/>
        </w:rPr>
        <w:t>ersetz</w:t>
      </w:r>
      <w:r w:rsidR="00591551" w:rsidRPr="00591551">
        <w:rPr>
          <w:i/>
          <w:iCs/>
          <w:spacing w:val="-2"/>
        </w:rPr>
        <w:t>t durch Art. 44 Nr. 1 des G. vom 28. Dezember 2023 (B.S. vom 29. Dezember</w:t>
      </w:r>
      <w:r w:rsidR="00591551" w:rsidRPr="00591551">
        <w:rPr>
          <w:i/>
          <w:iCs/>
          <w:spacing w:val="-2"/>
          <w:sz w:val="22"/>
          <w:szCs w:val="22"/>
        </w:rPr>
        <w:t> 2023) -</w:t>
      </w:r>
      <w:r w:rsidR="00D6496B">
        <w:rPr>
          <w:i/>
          <w:iCs/>
          <w:spacing w:val="-2"/>
          <w:sz w:val="22"/>
          <w:szCs w:val="22"/>
        </w:rPr>
        <w:t> </w:t>
      </w:r>
      <w:r w:rsidR="00591551" w:rsidRPr="00591551">
        <w:rPr>
          <w:i/>
          <w:iCs/>
        </w:rPr>
        <w:t>wirksam mit 16. Juni 2023</w:t>
      </w:r>
      <w:r w:rsidR="00D6496B">
        <w:rPr>
          <w:i/>
          <w:iCs/>
        </w:rPr>
        <w:t> </w:t>
      </w:r>
      <w:r w:rsidR="00591551" w:rsidRPr="00591551">
        <w:rPr>
          <w:i/>
          <w:iCs/>
        </w:rPr>
        <w:t>-</w:t>
      </w:r>
      <w:r w:rsidR="003366D9" w:rsidRPr="009118AB">
        <w:rPr>
          <w:i/>
          <w:iCs/>
          <w:spacing w:val="-2"/>
        </w:rPr>
        <w:t>;</w:t>
      </w:r>
      <w:r w:rsidR="00D6496B">
        <w:rPr>
          <w:i/>
          <w:iCs/>
          <w:spacing w:val="-2"/>
        </w:rPr>
        <w:t xml:space="preserve"> </w:t>
      </w:r>
      <w:r w:rsidR="00D6496B" w:rsidRPr="00591551">
        <w:rPr>
          <w:i/>
          <w:iCs/>
          <w:spacing w:val="-2"/>
        </w:rPr>
        <w:t>§ 1 einziger Absatz Nr. 6/1 Absatz 2 Buchstabe </w:t>
      </w:r>
      <w:r w:rsidR="00D6496B">
        <w:rPr>
          <w:i/>
          <w:iCs/>
          <w:spacing w:val="-2"/>
        </w:rPr>
        <w:t>g</w:t>
      </w:r>
      <w:r w:rsidR="00D6496B" w:rsidRPr="00591551">
        <w:rPr>
          <w:i/>
          <w:iCs/>
          <w:spacing w:val="-2"/>
        </w:rPr>
        <w:t xml:space="preserve">) </w:t>
      </w:r>
      <w:r w:rsidR="00D6496B">
        <w:rPr>
          <w:i/>
          <w:iCs/>
          <w:spacing w:val="-2"/>
        </w:rPr>
        <w:t xml:space="preserve">Nr. 1 </w:t>
      </w:r>
      <w:r w:rsidR="00D6496B" w:rsidRPr="00591551">
        <w:rPr>
          <w:i/>
          <w:iCs/>
          <w:spacing w:val="-2"/>
        </w:rPr>
        <w:t>abgeändert durch Art. 44 Nr. </w:t>
      </w:r>
      <w:r w:rsidR="00D6496B">
        <w:rPr>
          <w:i/>
          <w:iCs/>
          <w:spacing w:val="-2"/>
        </w:rPr>
        <w:t>2</w:t>
      </w:r>
      <w:r w:rsidR="00D6496B" w:rsidRPr="00591551">
        <w:rPr>
          <w:i/>
          <w:iCs/>
          <w:spacing w:val="-2"/>
        </w:rPr>
        <w:t xml:space="preserve"> des G. vom 28. Dezember 2023 (B.S. vom 29. Dezember</w:t>
      </w:r>
      <w:r w:rsidR="00D6496B" w:rsidRPr="00591551">
        <w:rPr>
          <w:i/>
          <w:iCs/>
          <w:spacing w:val="-2"/>
          <w:sz w:val="22"/>
          <w:szCs w:val="22"/>
        </w:rPr>
        <w:t> 2023) -</w:t>
      </w:r>
      <w:r w:rsidR="00D6496B">
        <w:rPr>
          <w:i/>
          <w:iCs/>
          <w:spacing w:val="-2"/>
          <w:sz w:val="22"/>
          <w:szCs w:val="22"/>
        </w:rPr>
        <w:t> </w:t>
      </w:r>
      <w:r w:rsidR="00D6496B" w:rsidRPr="00591551">
        <w:rPr>
          <w:i/>
          <w:iCs/>
        </w:rPr>
        <w:t>wirksam mit 16. Juni 2023</w:t>
      </w:r>
      <w:r w:rsidR="00D6496B">
        <w:rPr>
          <w:i/>
          <w:iCs/>
        </w:rPr>
        <w:t> </w:t>
      </w:r>
      <w:r w:rsidR="00D6496B" w:rsidRPr="00591551">
        <w:rPr>
          <w:i/>
          <w:iCs/>
        </w:rPr>
        <w:t>-</w:t>
      </w:r>
      <w:r w:rsidR="00D6496B" w:rsidRPr="009118AB">
        <w:rPr>
          <w:i/>
          <w:iCs/>
          <w:spacing w:val="-2"/>
        </w:rPr>
        <w:t>;</w:t>
      </w:r>
      <w:r w:rsidR="00D6496B">
        <w:rPr>
          <w:i/>
          <w:iCs/>
          <w:spacing w:val="-2"/>
        </w:rPr>
        <w:t xml:space="preserve"> </w:t>
      </w:r>
      <w:r w:rsidR="00D6496B" w:rsidRPr="00591551">
        <w:rPr>
          <w:i/>
          <w:iCs/>
          <w:spacing w:val="-2"/>
        </w:rPr>
        <w:t>§ 1 einziger Absatz Nr. 6/1 Absatz 2 Buchstabe </w:t>
      </w:r>
      <w:r w:rsidR="00D6496B">
        <w:rPr>
          <w:i/>
          <w:iCs/>
          <w:spacing w:val="-2"/>
        </w:rPr>
        <w:t>g</w:t>
      </w:r>
      <w:r w:rsidR="00D6496B" w:rsidRPr="00591551">
        <w:rPr>
          <w:i/>
          <w:iCs/>
          <w:spacing w:val="-2"/>
        </w:rPr>
        <w:t xml:space="preserve">) </w:t>
      </w:r>
      <w:r w:rsidR="00D6496B">
        <w:rPr>
          <w:i/>
          <w:iCs/>
          <w:spacing w:val="-2"/>
        </w:rPr>
        <w:t>Nr. 3 eingefügt</w:t>
      </w:r>
      <w:r w:rsidR="00D6496B" w:rsidRPr="00591551">
        <w:rPr>
          <w:i/>
          <w:iCs/>
          <w:spacing w:val="-2"/>
        </w:rPr>
        <w:t xml:space="preserve"> durch Art. 44 Nr. </w:t>
      </w:r>
      <w:r w:rsidR="00D6496B">
        <w:rPr>
          <w:i/>
          <w:iCs/>
          <w:spacing w:val="-2"/>
        </w:rPr>
        <w:t>3</w:t>
      </w:r>
      <w:r w:rsidR="00D6496B" w:rsidRPr="00591551">
        <w:rPr>
          <w:i/>
          <w:iCs/>
          <w:spacing w:val="-2"/>
        </w:rPr>
        <w:t xml:space="preserve"> des G. vom 28. Dezember 2023 (B.S. vom 29. Dezember</w:t>
      </w:r>
      <w:r w:rsidR="00D6496B" w:rsidRPr="00591551">
        <w:rPr>
          <w:i/>
          <w:iCs/>
          <w:spacing w:val="-2"/>
          <w:sz w:val="22"/>
          <w:szCs w:val="22"/>
        </w:rPr>
        <w:t> 2023) -</w:t>
      </w:r>
      <w:r w:rsidR="00D6496B">
        <w:rPr>
          <w:i/>
          <w:iCs/>
          <w:spacing w:val="-2"/>
          <w:sz w:val="22"/>
          <w:szCs w:val="22"/>
        </w:rPr>
        <w:t> </w:t>
      </w:r>
      <w:r w:rsidR="00D6496B" w:rsidRPr="00591551">
        <w:rPr>
          <w:i/>
          <w:iCs/>
        </w:rPr>
        <w:t>wirksam mit 16. Juni 2023</w:t>
      </w:r>
      <w:r w:rsidR="00D6496B">
        <w:rPr>
          <w:i/>
          <w:iCs/>
        </w:rPr>
        <w:t> </w:t>
      </w:r>
      <w:r w:rsidR="00D6496B" w:rsidRPr="00591551">
        <w:rPr>
          <w:i/>
          <w:iCs/>
        </w:rPr>
        <w:t>-</w:t>
      </w:r>
      <w:r w:rsidR="00D6496B" w:rsidRPr="009118AB">
        <w:rPr>
          <w:i/>
          <w:iCs/>
          <w:spacing w:val="-2"/>
        </w:rPr>
        <w:t>;</w:t>
      </w:r>
      <w:r w:rsidR="005674D4" w:rsidRPr="009118AB">
        <w:rPr>
          <w:i/>
          <w:iCs/>
          <w:spacing w:val="-2"/>
        </w:rPr>
        <w:t xml:space="preserve"> </w:t>
      </w:r>
      <w:r w:rsidR="00591551" w:rsidRPr="009118AB">
        <w:rPr>
          <w:i/>
          <w:iCs/>
          <w:spacing w:val="-2"/>
        </w:rPr>
        <w:t>§ 1 einziger Absatz Nr.</w:t>
      </w:r>
      <w:r w:rsidR="00591551">
        <w:rPr>
          <w:i/>
          <w:iCs/>
          <w:spacing w:val="-2"/>
        </w:rPr>
        <w:t> </w:t>
      </w:r>
      <w:r w:rsidR="00591551" w:rsidRPr="009118AB">
        <w:rPr>
          <w:i/>
          <w:iCs/>
          <w:spacing w:val="-2"/>
        </w:rPr>
        <w:t xml:space="preserve">6/2 eingefügt durch Art. 2 Nr. 9 des G. vom 17. März 2019 (III) (B.S. vom 10. Mai 2019) - in Kraft am 1. Mai 2019 und anwendbar auf die dort definierten Vorgänge, die ab dem 1. Mai 2019 vorgenommen werden -; </w:t>
      </w:r>
      <w:r w:rsidR="00D67EB8" w:rsidRPr="009118AB">
        <w:rPr>
          <w:i/>
          <w:iCs/>
          <w:spacing w:val="-2"/>
        </w:rPr>
        <w:t>§ </w:t>
      </w:r>
      <w:r w:rsidR="003C2A01" w:rsidRPr="009118AB">
        <w:rPr>
          <w:i/>
          <w:iCs/>
          <w:spacing w:val="-2"/>
        </w:rPr>
        <w:t xml:space="preserve">1 einziger Absatz </w:t>
      </w:r>
      <w:r w:rsidR="00D67EB8" w:rsidRPr="009118AB">
        <w:rPr>
          <w:i/>
          <w:iCs/>
          <w:spacing w:val="-2"/>
        </w:rPr>
        <w:t>Nr. </w:t>
      </w:r>
      <w:r w:rsidRPr="009118AB">
        <w:rPr>
          <w:i/>
          <w:iCs/>
          <w:spacing w:val="-2"/>
        </w:rPr>
        <w:t xml:space="preserve">10 eingefügt durch </w:t>
      </w:r>
      <w:r w:rsidR="00D67EB8" w:rsidRPr="009118AB">
        <w:rPr>
          <w:i/>
          <w:iCs/>
          <w:spacing w:val="-2"/>
        </w:rPr>
        <w:t>Art. </w:t>
      </w:r>
      <w:r w:rsidRPr="009118AB">
        <w:rPr>
          <w:i/>
          <w:iCs/>
          <w:spacing w:val="-2"/>
        </w:rPr>
        <w:t>8 des G.</w:t>
      </w:r>
      <w:r w:rsidR="002008CA" w:rsidRPr="009118AB">
        <w:rPr>
          <w:i/>
          <w:iCs/>
          <w:spacing w:val="-2"/>
        </w:rPr>
        <w:t> </w:t>
      </w:r>
      <w:r w:rsidRPr="009118AB">
        <w:rPr>
          <w:i/>
          <w:iCs/>
          <w:spacing w:val="-2"/>
        </w:rPr>
        <w:t>vom 17. Mai 2004 (B.S. vom 27. Mai 2004)</w:t>
      </w:r>
      <w:r w:rsidR="00D67EB8" w:rsidRPr="009118AB">
        <w:rPr>
          <w:i/>
          <w:iCs/>
          <w:spacing w:val="-2"/>
        </w:rPr>
        <w:t> - </w:t>
      </w:r>
      <w:r w:rsidRPr="009118AB">
        <w:rPr>
          <w:i/>
          <w:iCs/>
          <w:spacing w:val="-2"/>
        </w:rPr>
        <w:t>in Kraft ab dem 1. Juli 2005</w:t>
      </w:r>
      <w:r w:rsidR="00D67EB8" w:rsidRPr="009118AB">
        <w:rPr>
          <w:i/>
          <w:iCs/>
          <w:spacing w:val="-2"/>
        </w:rPr>
        <w:t> - </w:t>
      </w:r>
      <w:r w:rsidR="003F4F6F" w:rsidRPr="009118AB">
        <w:rPr>
          <w:i/>
          <w:iCs/>
          <w:spacing w:val="-2"/>
        </w:rPr>
        <w:t xml:space="preserve">und aufgehoben durch </w:t>
      </w:r>
      <w:r w:rsidR="00D67EB8" w:rsidRPr="009118AB">
        <w:rPr>
          <w:i/>
          <w:iCs/>
          <w:spacing w:val="-2"/>
        </w:rPr>
        <w:t>Art. </w:t>
      </w:r>
      <w:r w:rsidR="003F4F6F" w:rsidRPr="009118AB">
        <w:rPr>
          <w:i/>
          <w:iCs/>
          <w:spacing w:val="-2"/>
        </w:rPr>
        <w:t xml:space="preserve">2 </w:t>
      </w:r>
      <w:r w:rsidR="00D67EB8" w:rsidRPr="009118AB">
        <w:rPr>
          <w:i/>
          <w:iCs/>
          <w:spacing w:val="-2"/>
        </w:rPr>
        <w:t>Nr. </w:t>
      </w:r>
      <w:r w:rsidR="003F4F6F" w:rsidRPr="009118AB">
        <w:rPr>
          <w:i/>
          <w:iCs/>
          <w:spacing w:val="-2"/>
        </w:rPr>
        <w:t>2</w:t>
      </w:r>
      <w:r w:rsidR="003F4F6F" w:rsidRPr="009118AB">
        <w:rPr>
          <w:i/>
          <w:iCs/>
        </w:rPr>
        <w:t xml:space="preserve"> des G. vom 5. Juli 2022 (B.S. vom 15. Juli 2022)</w:t>
      </w:r>
      <w:r w:rsidRPr="009118AB">
        <w:rPr>
          <w:i/>
          <w:iCs/>
          <w:spacing w:val="-2"/>
        </w:rPr>
        <w:t>;</w:t>
      </w:r>
      <w:r w:rsidR="00F9275A" w:rsidRPr="009118AB">
        <w:rPr>
          <w:i/>
          <w:iCs/>
          <w:spacing w:val="-2"/>
        </w:rPr>
        <w:t xml:space="preserve"> </w:t>
      </w:r>
      <w:r w:rsidR="00D67EB8" w:rsidRPr="009118AB">
        <w:rPr>
          <w:i/>
          <w:iCs/>
          <w:spacing w:val="-2"/>
        </w:rPr>
        <w:t>§ </w:t>
      </w:r>
      <w:r w:rsidRPr="009118AB">
        <w:rPr>
          <w:i/>
          <w:iCs/>
          <w:spacing w:val="-2"/>
        </w:rPr>
        <w:t xml:space="preserve">1 einziger Absatz </w:t>
      </w:r>
      <w:r w:rsidR="00D67EB8" w:rsidRPr="009118AB">
        <w:rPr>
          <w:i/>
          <w:iCs/>
          <w:spacing w:val="-2"/>
        </w:rPr>
        <w:t>Nr. </w:t>
      </w:r>
      <w:r w:rsidRPr="009118AB">
        <w:rPr>
          <w:i/>
          <w:iCs/>
          <w:spacing w:val="-2"/>
        </w:rPr>
        <w:t xml:space="preserve">11 und 12 eingefügt durch </w:t>
      </w:r>
      <w:r w:rsidR="00D67EB8" w:rsidRPr="009118AB">
        <w:rPr>
          <w:i/>
          <w:iCs/>
          <w:spacing w:val="-2"/>
        </w:rPr>
        <w:t>Art. </w:t>
      </w:r>
      <w:r w:rsidRPr="009118AB">
        <w:rPr>
          <w:i/>
          <w:iCs/>
          <w:spacing w:val="-2"/>
        </w:rPr>
        <w:t xml:space="preserve">33 </w:t>
      </w:r>
      <w:r w:rsidR="00D67EB8" w:rsidRPr="009118AB">
        <w:rPr>
          <w:i/>
          <w:iCs/>
          <w:spacing w:val="-2"/>
        </w:rPr>
        <w:t>Nr. </w:t>
      </w:r>
      <w:r w:rsidRPr="009118AB">
        <w:rPr>
          <w:i/>
          <w:iCs/>
          <w:spacing w:val="-2"/>
        </w:rPr>
        <w:t>1 des G. vom 15. Dezember 2004 (B.S. vom 1. Februar 2005)</w:t>
      </w:r>
      <w:r w:rsidR="00D67EB8" w:rsidRPr="009118AB">
        <w:rPr>
          <w:i/>
          <w:iCs/>
          <w:spacing w:val="-2"/>
        </w:rPr>
        <w:t> - </w:t>
      </w:r>
      <w:r w:rsidRPr="009118AB">
        <w:rPr>
          <w:i/>
          <w:iCs/>
          <w:spacing w:val="-2"/>
        </w:rPr>
        <w:t>anwendbar auf Vereinbarungen über die Leistung von dinglichen Sicherheiten und auf Verleihe mit Bezug auf Finanzinstrumente, die ab dem 1. Februar 2005 abgeschlossen werden</w:t>
      </w:r>
      <w:r w:rsidR="003366D9" w:rsidRPr="009118AB">
        <w:rPr>
          <w:i/>
          <w:iCs/>
          <w:spacing w:val="-2"/>
        </w:rPr>
        <w:t> -;</w:t>
      </w:r>
      <w:r w:rsidR="009C1314" w:rsidRPr="009118AB">
        <w:rPr>
          <w:i/>
          <w:iCs/>
          <w:spacing w:val="-2"/>
        </w:rPr>
        <w:t xml:space="preserve"> </w:t>
      </w:r>
      <w:r w:rsidR="00D67EB8" w:rsidRPr="009118AB">
        <w:rPr>
          <w:i/>
          <w:iCs/>
          <w:spacing w:val="-2"/>
        </w:rPr>
        <w:t>§ </w:t>
      </w:r>
      <w:r w:rsidR="009C1314" w:rsidRPr="009118AB">
        <w:rPr>
          <w:i/>
          <w:iCs/>
          <w:spacing w:val="-2"/>
        </w:rPr>
        <w:t xml:space="preserve">1 einziger Absatz </w:t>
      </w:r>
      <w:r w:rsidR="00D67EB8" w:rsidRPr="009118AB">
        <w:rPr>
          <w:i/>
          <w:iCs/>
          <w:spacing w:val="-2"/>
        </w:rPr>
        <w:t>Nr. </w:t>
      </w:r>
      <w:r w:rsidR="009C1314" w:rsidRPr="009118AB">
        <w:rPr>
          <w:i/>
          <w:iCs/>
          <w:spacing w:val="-2"/>
        </w:rPr>
        <w:t xml:space="preserve">13 eingefügt durch </w:t>
      </w:r>
      <w:r w:rsidR="00D67EB8" w:rsidRPr="009118AB">
        <w:rPr>
          <w:i/>
          <w:iCs/>
          <w:spacing w:val="-2"/>
        </w:rPr>
        <w:t>Art. </w:t>
      </w:r>
      <w:r w:rsidR="009C1314" w:rsidRPr="009118AB">
        <w:rPr>
          <w:i/>
          <w:iCs/>
          <w:spacing w:val="-2"/>
        </w:rPr>
        <w:t>35 des G. vom 30. Juli 2013 (B.S. vom 1. August 2013)</w:t>
      </w:r>
      <w:r w:rsidR="00D67EB8" w:rsidRPr="009118AB">
        <w:rPr>
          <w:i/>
          <w:iCs/>
          <w:spacing w:val="-2"/>
        </w:rPr>
        <w:t> - </w:t>
      </w:r>
      <w:r w:rsidR="009C1314" w:rsidRPr="009118AB">
        <w:rPr>
          <w:i/>
          <w:iCs/>
          <w:spacing w:val="-2"/>
        </w:rPr>
        <w:t>in Kraft ab dem Steuerjahr 2014</w:t>
      </w:r>
      <w:r w:rsidR="003366D9" w:rsidRPr="009118AB">
        <w:rPr>
          <w:i/>
          <w:iCs/>
          <w:spacing w:val="-2"/>
        </w:rPr>
        <w:t> -;</w:t>
      </w:r>
      <w:r w:rsidRPr="009118AB">
        <w:rPr>
          <w:i/>
          <w:iCs/>
          <w:spacing w:val="-2"/>
        </w:rPr>
        <w:t xml:space="preserve"> </w:t>
      </w:r>
      <w:r w:rsidR="00D67EB8" w:rsidRPr="009118AB">
        <w:rPr>
          <w:i/>
          <w:iCs/>
          <w:spacing w:val="-2"/>
        </w:rPr>
        <w:t>§ </w:t>
      </w:r>
      <w:r w:rsidR="006C7EB9" w:rsidRPr="009118AB">
        <w:rPr>
          <w:i/>
          <w:iCs/>
          <w:spacing w:val="-2"/>
        </w:rPr>
        <w:t xml:space="preserve">1 einziger Absatz </w:t>
      </w:r>
      <w:r w:rsidR="00D67EB8" w:rsidRPr="009118AB">
        <w:rPr>
          <w:i/>
          <w:iCs/>
          <w:spacing w:val="-2"/>
        </w:rPr>
        <w:t>Nr. </w:t>
      </w:r>
      <w:r w:rsidR="006C7EB9" w:rsidRPr="009118AB">
        <w:rPr>
          <w:i/>
          <w:iCs/>
          <w:spacing w:val="-2"/>
        </w:rPr>
        <w:t xml:space="preserve">13 </w:t>
      </w:r>
      <w:r w:rsidR="0035184F" w:rsidRPr="009118AB">
        <w:rPr>
          <w:i/>
          <w:iCs/>
          <w:spacing w:val="-2"/>
        </w:rPr>
        <w:t xml:space="preserve">einziger Absatz Buchstabe b) ersetzt durch </w:t>
      </w:r>
      <w:r w:rsidR="00D67EB8" w:rsidRPr="009118AB">
        <w:rPr>
          <w:i/>
          <w:iCs/>
          <w:spacing w:val="-2"/>
        </w:rPr>
        <w:t>Art. </w:t>
      </w:r>
      <w:r w:rsidR="0035184F" w:rsidRPr="009118AB">
        <w:rPr>
          <w:i/>
          <w:iCs/>
          <w:spacing w:val="-2"/>
        </w:rPr>
        <w:t xml:space="preserve">38 </w:t>
      </w:r>
      <w:r w:rsidR="00D67EB8" w:rsidRPr="009118AB">
        <w:rPr>
          <w:i/>
          <w:iCs/>
          <w:spacing w:val="-2"/>
        </w:rPr>
        <w:t>Nr. </w:t>
      </w:r>
      <w:r w:rsidR="0035184F" w:rsidRPr="009118AB">
        <w:rPr>
          <w:i/>
          <w:iCs/>
          <w:spacing w:val="-2"/>
        </w:rPr>
        <w:t>1 des G. vom 10. August 2015 (B.S. vom 18. August 2015)</w:t>
      </w:r>
      <w:r w:rsidR="00D67EB8" w:rsidRPr="009118AB">
        <w:rPr>
          <w:i/>
          <w:iCs/>
          <w:spacing w:val="-2"/>
        </w:rPr>
        <w:t> - </w:t>
      </w:r>
      <w:r w:rsidR="0035184F" w:rsidRPr="009118AB">
        <w:rPr>
          <w:i/>
          <w:iCs/>
          <w:spacing w:val="-2"/>
        </w:rPr>
        <w:t>anwendbar au</w:t>
      </w:r>
      <w:r w:rsidR="005674D4" w:rsidRPr="009118AB">
        <w:rPr>
          <w:i/>
          <w:iCs/>
          <w:spacing w:val="-2"/>
        </w:rPr>
        <w:t>f Einkünfte, die ab dem</w:t>
      </w:r>
      <w:r w:rsidR="005674D4" w:rsidRPr="009118AB">
        <w:rPr>
          <w:i/>
          <w:spacing w:val="2"/>
          <w:lang w:bidi="de-DE"/>
        </w:rPr>
        <w:t xml:space="preserve"> 1. Janu</w:t>
      </w:r>
      <w:r w:rsidR="0035184F" w:rsidRPr="009118AB">
        <w:rPr>
          <w:i/>
          <w:spacing w:val="2"/>
          <w:lang w:bidi="de-DE"/>
        </w:rPr>
        <w:t>ar 2015 von einer Rechtsvereinbarung bezogen, zuerkannt oder ausgeschüttet werden, und</w:t>
      </w:r>
      <w:r w:rsidR="00D67EB8" w:rsidRPr="009118AB">
        <w:rPr>
          <w:i/>
          <w:spacing w:val="2"/>
          <w:lang w:bidi="de-DE"/>
        </w:rPr>
        <w:t> - </w:t>
      </w:r>
      <w:r w:rsidR="0035184F" w:rsidRPr="009118AB">
        <w:rPr>
          <w:i/>
          <w:spacing w:val="2"/>
          <w:lang w:bidi="de-DE"/>
        </w:rPr>
        <w:t>in Bezug auf die Anwendung des Mobiliensteuervorabzugs oder des Berufssteuervorabzugs</w:t>
      </w:r>
      <w:r w:rsidR="00D67EB8" w:rsidRPr="009118AB">
        <w:rPr>
          <w:i/>
          <w:spacing w:val="2"/>
          <w:lang w:bidi="de-DE"/>
        </w:rPr>
        <w:t> - </w:t>
      </w:r>
      <w:r w:rsidR="0035184F" w:rsidRPr="009118AB">
        <w:rPr>
          <w:i/>
          <w:spacing w:val="2"/>
          <w:lang w:bidi="de-DE"/>
        </w:rPr>
        <w:t xml:space="preserve">auf Einkünfte, die ab dem </w:t>
      </w:r>
      <w:r w:rsidR="001C47B2" w:rsidRPr="009118AB">
        <w:rPr>
          <w:i/>
          <w:spacing w:val="2"/>
          <w:lang w:bidi="de-DE"/>
        </w:rPr>
        <w:t>1. September 2015</w:t>
      </w:r>
      <w:r w:rsidR="0035184F" w:rsidRPr="009118AB">
        <w:rPr>
          <w:i/>
          <w:spacing w:val="2"/>
          <w:lang w:bidi="de-DE"/>
        </w:rPr>
        <w:t xml:space="preserve"> zuerkannt oder ausgeschüttet werden</w:t>
      </w:r>
      <w:r w:rsidR="003366D9" w:rsidRPr="009118AB">
        <w:rPr>
          <w:i/>
          <w:spacing w:val="2"/>
        </w:rPr>
        <w:t> -;</w:t>
      </w:r>
      <w:r w:rsidR="00296F5F" w:rsidRPr="009118AB">
        <w:rPr>
          <w:i/>
          <w:spacing w:val="2"/>
        </w:rPr>
        <w:t xml:space="preserve"> </w:t>
      </w:r>
      <w:r w:rsidR="00D67EB8" w:rsidRPr="009118AB">
        <w:rPr>
          <w:i/>
          <w:iCs/>
          <w:spacing w:val="2"/>
        </w:rPr>
        <w:t>§ </w:t>
      </w:r>
      <w:r w:rsidR="00234B39" w:rsidRPr="009118AB">
        <w:rPr>
          <w:i/>
          <w:iCs/>
          <w:spacing w:val="2"/>
        </w:rPr>
        <w:t xml:space="preserve">1 einziger Absatz </w:t>
      </w:r>
      <w:r w:rsidR="00D67EB8" w:rsidRPr="009118AB">
        <w:rPr>
          <w:i/>
          <w:iCs/>
          <w:spacing w:val="2"/>
        </w:rPr>
        <w:t>Nr. </w:t>
      </w:r>
      <w:r w:rsidR="00234B39" w:rsidRPr="009118AB">
        <w:rPr>
          <w:i/>
          <w:iCs/>
          <w:spacing w:val="2"/>
        </w:rPr>
        <w:t xml:space="preserve">13 einziger Absatz Buchstabe b) </w:t>
      </w:r>
      <w:r w:rsidR="00D67EB8" w:rsidRPr="009118AB">
        <w:rPr>
          <w:i/>
          <w:iCs/>
          <w:spacing w:val="2"/>
        </w:rPr>
        <w:t>Abs. </w:t>
      </w:r>
      <w:r w:rsidR="00234B39" w:rsidRPr="009118AB">
        <w:rPr>
          <w:i/>
          <w:iCs/>
          <w:spacing w:val="2"/>
        </w:rPr>
        <w:t xml:space="preserve">1 abgeändert durch </w:t>
      </w:r>
      <w:r w:rsidR="00D67EB8" w:rsidRPr="009118AB">
        <w:rPr>
          <w:i/>
          <w:iCs/>
          <w:spacing w:val="2"/>
        </w:rPr>
        <w:t>Art. </w:t>
      </w:r>
      <w:r w:rsidR="00234B39" w:rsidRPr="009118AB">
        <w:rPr>
          <w:i/>
          <w:iCs/>
          <w:spacing w:val="2"/>
        </w:rPr>
        <w:t>20 Buchstabe b)</w:t>
      </w:r>
      <w:r w:rsidR="00234B39" w:rsidRPr="009118AB">
        <w:rPr>
          <w:i/>
        </w:rPr>
        <w:t xml:space="preserve"> des G. vom 27. Juni 2021 (B.S. vom 30. Juni 2021); </w:t>
      </w:r>
      <w:r w:rsidR="00BB5F5A" w:rsidRPr="009118AB">
        <w:rPr>
          <w:i/>
          <w:iCs/>
          <w:spacing w:val="-2"/>
        </w:rPr>
        <w:t xml:space="preserve">§ 1 einziger Absatz Nr. 13 einziger Absatz Buchstabe b) </w:t>
      </w:r>
      <w:r w:rsidR="00BB5F5A">
        <w:rPr>
          <w:i/>
          <w:iCs/>
          <w:spacing w:val="-2"/>
        </w:rPr>
        <w:t>Abs. 2 ersetzt durch Art. 33 Nr. 1</w:t>
      </w:r>
      <w:r w:rsidR="00BB5F5A" w:rsidRPr="00BB5F5A">
        <w:rPr>
          <w:i/>
          <w:iCs/>
          <w:spacing w:val="-2"/>
        </w:rPr>
        <w:t xml:space="preserve"> des G. vom 22. Dezember 2023 (II) (B.S. vom 29. Dezember 2023)</w:t>
      </w:r>
      <w:r w:rsidR="00BB5F5A">
        <w:rPr>
          <w:i/>
          <w:iCs/>
          <w:spacing w:val="-2"/>
        </w:rPr>
        <w:t> - </w:t>
      </w:r>
      <w:r w:rsidR="00BB5F5A" w:rsidRPr="00BB5F5A">
        <w:rPr>
          <w:i/>
          <w:iCs/>
        </w:rPr>
        <w:t>anwendbar auf Einkünfte, die ab dem 1. Januar 2024 von einer Rechtsvereinbarung bezogen, zuerkannt oder ausgeschüttet werden</w:t>
      </w:r>
      <w:r w:rsidR="00BB5F5A">
        <w:rPr>
          <w:i/>
          <w:iCs/>
        </w:rPr>
        <w:t> -</w:t>
      </w:r>
      <w:r w:rsidR="00BB5F5A">
        <w:rPr>
          <w:i/>
          <w:iCs/>
          <w:spacing w:val="-2"/>
        </w:rPr>
        <w:t xml:space="preserve">; </w:t>
      </w:r>
      <w:r w:rsidR="00D67EB8" w:rsidRPr="009118AB">
        <w:rPr>
          <w:i/>
          <w:iCs/>
          <w:spacing w:val="2"/>
        </w:rPr>
        <w:t>§ </w:t>
      </w:r>
      <w:r w:rsidR="00296F5F" w:rsidRPr="009118AB">
        <w:rPr>
          <w:i/>
          <w:iCs/>
          <w:spacing w:val="2"/>
        </w:rPr>
        <w:t xml:space="preserve">1 einziger Absatz </w:t>
      </w:r>
      <w:r w:rsidR="00D67EB8" w:rsidRPr="009118AB">
        <w:rPr>
          <w:i/>
          <w:iCs/>
          <w:spacing w:val="2"/>
        </w:rPr>
        <w:t>Nr. </w:t>
      </w:r>
      <w:r w:rsidR="00296F5F" w:rsidRPr="009118AB">
        <w:rPr>
          <w:i/>
          <w:iCs/>
          <w:spacing w:val="2"/>
        </w:rPr>
        <w:t>13 einziger Absatz Buchstabe </w:t>
      </w:r>
      <w:r w:rsidR="005674D4" w:rsidRPr="009118AB">
        <w:rPr>
          <w:i/>
          <w:iCs/>
          <w:spacing w:val="2"/>
        </w:rPr>
        <w:t xml:space="preserve">b) </w:t>
      </w:r>
      <w:r w:rsidR="00BB5F5A">
        <w:rPr>
          <w:i/>
          <w:iCs/>
          <w:spacing w:val="2"/>
        </w:rPr>
        <w:t xml:space="preserve">früherer </w:t>
      </w:r>
      <w:r w:rsidR="00D67EB8" w:rsidRPr="009118AB">
        <w:rPr>
          <w:i/>
          <w:iCs/>
          <w:spacing w:val="2"/>
        </w:rPr>
        <w:t>Abs</w:t>
      </w:r>
      <w:r w:rsidR="00BB5F5A">
        <w:rPr>
          <w:i/>
          <w:iCs/>
          <w:spacing w:val="2"/>
        </w:rPr>
        <w:t>atz</w:t>
      </w:r>
      <w:r w:rsidR="00D67EB8" w:rsidRPr="009118AB">
        <w:rPr>
          <w:i/>
          <w:iCs/>
          <w:spacing w:val="2"/>
        </w:rPr>
        <w:t> </w:t>
      </w:r>
      <w:r w:rsidR="00296F5F" w:rsidRPr="009118AB">
        <w:rPr>
          <w:i/>
          <w:iCs/>
          <w:spacing w:val="2"/>
        </w:rPr>
        <w:t xml:space="preserve">3 </w:t>
      </w:r>
      <w:r w:rsidR="00BB5F5A">
        <w:rPr>
          <w:i/>
          <w:iCs/>
          <w:spacing w:val="2"/>
        </w:rPr>
        <w:t>aufgehoben durch Art. 33 Nr. 2</w:t>
      </w:r>
      <w:r w:rsidR="00BB5F5A" w:rsidRPr="00BB5F5A">
        <w:rPr>
          <w:i/>
          <w:iCs/>
          <w:spacing w:val="2"/>
        </w:rPr>
        <w:t xml:space="preserve"> des G. vom 22. Dezember 2023 (II) (B.S. vom 29. Dezember 2023) - anwendbar auf Einkünfte, die ab dem 1. Januar 2024 von einer Rechtsvereinbarung bezogen, zuerkannt oder ausgeschüttet werden -</w:t>
      </w:r>
      <w:r w:rsidR="00296F5F" w:rsidRPr="009118AB">
        <w:rPr>
          <w:i/>
        </w:rPr>
        <w:t>;</w:t>
      </w:r>
      <w:r w:rsidR="0035184F" w:rsidRPr="009118AB">
        <w:rPr>
          <w:i/>
          <w:spacing w:val="2"/>
        </w:rPr>
        <w:t xml:space="preserve"> </w:t>
      </w:r>
      <w:r w:rsidR="00D67EB8" w:rsidRPr="009118AB">
        <w:rPr>
          <w:i/>
          <w:iCs/>
          <w:spacing w:val="2"/>
        </w:rPr>
        <w:t>§ </w:t>
      </w:r>
      <w:r w:rsidR="00405084" w:rsidRPr="009118AB">
        <w:rPr>
          <w:i/>
          <w:iCs/>
          <w:spacing w:val="2"/>
        </w:rPr>
        <w:t xml:space="preserve">1 einziger Absatz </w:t>
      </w:r>
      <w:r w:rsidR="00D67EB8" w:rsidRPr="009118AB">
        <w:rPr>
          <w:i/>
          <w:iCs/>
          <w:spacing w:val="2"/>
        </w:rPr>
        <w:t>Nr. </w:t>
      </w:r>
      <w:r w:rsidR="00405084" w:rsidRPr="009118AB">
        <w:rPr>
          <w:i/>
          <w:iCs/>
          <w:spacing w:val="2"/>
        </w:rPr>
        <w:t>13 einziger Absatz Buchstabe b) neuer Absatz </w:t>
      </w:r>
      <w:r w:rsidR="00BB5F5A">
        <w:rPr>
          <w:i/>
          <w:iCs/>
          <w:spacing w:val="2"/>
        </w:rPr>
        <w:t>3</w:t>
      </w:r>
      <w:r w:rsidR="00405084" w:rsidRPr="009118AB">
        <w:rPr>
          <w:i/>
          <w:iCs/>
          <w:spacing w:val="2"/>
        </w:rPr>
        <w:t xml:space="preserve"> eingefügt durch </w:t>
      </w:r>
      <w:r w:rsidR="00D67EB8" w:rsidRPr="009118AB">
        <w:rPr>
          <w:i/>
          <w:iCs/>
          <w:spacing w:val="2"/>
        </w:rPr>
        <w:t>Art. </w:t>
      </w:r>
      <w:r w:rsidR="00405084" w:rsidRPr="009118AB">
        <w:rPr>
          <w:i/>
          <w:iCs/>
          <w:spacing w:val="2"/>
        </w:rPr>
        <w:t xml:space="preserve">7 </w:t>
      </w:r>
      <w:r w:rsidR="00D67EB8" w:rsidRPr="009118AB">
        <w:rPr>
          <w:i/>
          <w:iCs/>
          <w:spacing w:val="2"/>
        </w:rPr>
        <w:t>Nr. </w:t>
      </w:r>
      <w:r w:rsidR="00405084" w:rsidRPr="009118AB">
        <w:rPr>
          <w:i/>
          <w:iCs/>
          <w:spacing w:val="2"/>
        </w:rPr>
        <w:t>1</w:t>
      </w:r>
      <w:r w:rsidR="00405084" w:rsidRPr="009118AB">
        <w:rPr>
          <w:i/>
          <w:iCs/>
        </w:rPr>
        <w:t xml:space="preserve"> des G. vom 20. Dezember 2020 (II) (B.S. vom 30. Dezember 2020)</w:t>
      </w:r>
      <w:r w:rsidR="00D67EB8" w:rsidRPr="009118AB">
        <w:rPr>
          <w:i/>
          <w:iCs/>
        </w:rPr>
        <w:t> - </w:t>
      </w:r>
      <w:r w:rsidR="00CE06B8" w:rsidRPr="009118AB">
        <w:rPr>
          <w:i/>
          <w:iCs/>
        </w:rPr>
        <w:t xml:space="preserve">in Kraft am 31. Dezember 2020 und </w:t>
      </w:r>
      <w:r w:rsidR="00405084" w:rsidRPr="009118AB">
        <w:rPr>
          <w:i/>
          <w:iCs/>
        </w:rPr>
        <w:t>anwendbar auf Besteuerungszeiträume, die ab dem 31. Dezember 2020 enden</w:t>
      </w:r>
      <w:r w:rsidR="003366D9" w:rsidRPr="009118AB">
        <w:rPr>
          <w:i/>
          <w:iCs/>
        </w:rPr>
        <w:t> -</w:t>
      </w:r>
      <w:r w:rsidR="00BB5F5A">
        <w:rPr>
          <w:i/>
          <w:iCs/>
        </w:rPr>
        <w:t xml:space="preserve"> und ersetzt durch Art. 33 Nr. 3</w:t>
      </w:r>
      <w:r w:rsidR="00BB5F5A" w:rsidRPr="00BB5F5A">
        <w:rPr>
          <w:i/>
          <w:iCs/>
        </w:rPr>
        <w:t xml:space="preserve"> des G. vom 22. Dezember 2023 (II) (B.S. vom </w:t>
      </w:r>
      <w:r w:rsidR="00BB5F5A" w:rsidRPr="00BB5F5A">
        <w:rPr>
          <w:i/>
          <w:iCs/>
        </w:rPr>
        <w:lastRenderedPageBreak/>
        <w:t>29. Dezember 2023) - anwendbar auf Einkünfte, die ab dem 1. Januar 2024 von einer Rechtsvereinbarung bezogen, zuerkannt oder ausgeschüttet werden -</w:t>
      </w:r>
      <w:r w:rsidR="003366D9" w:rsidRPr="009118AB">
        <w:rPr>
          <w:i/>
          <w:iCs/>
        </w:rPr>
        <w:t>;</w:t>
      </w:r>
      <w:r w:rsidR="00405084" w:rsidRPr="009118AB">
        <w:rPr>
          <w:i/>
          <w:iCs/>
        </w:rPr>
        <w:t xml:space="preserve"> </w:t>
      </w:r>
      <w:r w:rsidR="00D67EB8" w:rsidRPr="009118AB">
        <w:rPr>
          <w:i/>
          <w:iCs/>
          <w:spacing w:val="2"/>
        </w:rPr>
        <w:t>§ </w:t>
      </w:r>
      <w:r w:rsidR="00497719" w:rsidRPr="009118AB">
        <w:rPr>
          <w:i/>
          <w:iCs/>
          <w:spacing w:val="2"/>
        </w:rPr>
        <w:t xml:space="preserve">1 einziger Absatz </w:t>
      </w:r>
      <w:r w:rsidR="00D67EB8" w:rsidRPr="009118AB">
        <w:rPr>
          <w:i/>
          <w:iCs/>
          <w:spacing w:val="2"/>
        </w:rPr>
        <w:t>Nr. </w:t>
      </w:r>
      <w:r w:rsidR="00497719" w:rsidRPr="009118AB">
        <w:rPr>
          <w:i/>
          <w:iCs/>
          <w:spacing w:val="2"/>
        </w:rPr>
        <w:t xml:space="preserve">13 einziger Absatz Buchstabe b) </w:t>
      </w:r>
      <w:r w:rsidR="00D67EB8" w:rsidRPr="009118AB">
        <w:rPr>
          <w:i/>
          <w:iCs/>
          <w:spacing w:val="2"/>
        </w:rPr>
        <w:t>Abs. </w:t>
      </w:r>
      <w:r w:rsidR="00405084" w:rsidRPr="009118AB">
        <w:rPr>
          <w:i/>
          <w:iCs/>
          <w:spacing w:val="2"/>
        </w:rPr>
        <w:t>4</w:t>
      </w:r>
      <w:r w:rsidR="00497719" w:rsidRPr="009118AB">
        <w:rPr>
          <w:i/>
          <w:iCs/>
          <w:spacing w:val="2"/>
        </w:rPr>
        <w:t xml:space="preserve"> ersetzt durch </w:t>
      </w:r>
      <w:r w:rsidR="00D67EB8" w:rsidRPr="009118AB">
        <w:rPr>
          <w:i/>
          <w:iCs/>
          <w:spacing w:val="2"/>
        </w:rPr>
        <w:t>Art. </w:t>
      </w:r>
      <w:r w:rsidR="00497719" w:rsidRPr="009118AB">
        <w:rPr>
          <w:i/>
          <w:iCs/>
          <w:spacing w:val="2"/>
        </w:rPr>
        <w:t>26</w:t>
      </w:r>
      <w:r w:rsidR="00497719" w:rsidRPr="009118AB">
        <w:rPr>
          <w:i/>
        </w:rPr>
        <w:t xml:space="preserve"> des G. vom 2. Mai 2019 (III) (B.S. vom 1</w:t>
      </w:r>
      <w:r w:rsidR="009B37FC" w:rsidRPr="009118AB">
        <w:rPr>
          <w:i/>
        </w:rPr>
        <w:t>5</w:t>
      </w:r>
      <w:r w:rsidR="00497719" w:rsidRPr="009118AB">
        <w:rPr>
          <w:i/>
        </w:rPr>
        <w:t>. Mai 2019)</w:t>
      </w:r>
      <w:r w:rsidR="00D67EB8" w:rsidRPr="009118AB">
        <w:rPr>
          <w:i/>
        </w:rPr>
        <w:t> - </w:t>
      </w:r>
      <w:r w:rsidR="00497719" w:rsidRPr="009118AB">
        <w:rPr>
          <w:i/>
        </w:rPr>
        <w:t>anwendbar auf die ab dem 1. Januar 2019 ergangenen Erlasse</w:t>
      </w:r>
      <w:r w:rsidR="003366D9" w:rsidRPr="009118AB">
        <w:rPr>
          <w:i/>
        </w:rPr>
        <w:t> -;</w:t>
      </w:r>
      <w:r w:rsidR="00497719" w:rsidRPr="009118AB">
        <w:rPr>
          <w:i/>
        </w:rPr>
        <w:t xml:space="preserve"> </w:t>
      </w:r>
      <w:r w:rsidR="00D67EB8" w:rsidRPr="009118AB">
        <w:rPr>
          <w:i/>
          <w:iCs/>
          <w:spacing w:val="2"/>
        </w:rPr>
        <w:t>§ </w:t>
      </w:r>
      <w:r w:rsidR="008D16A6" w:rsidRPr="009118AB">
        <w:rPr>
          <w:i/>
          <w:iCs/>
          <w:spacing w:val="2"/>
        </w:rPr>
        <w:t xml:space="preserve">1 einziger Absatz </w:t>
      </w:r>
      <w:r w:rsidR="00D67EB8" w:rsidRPr="009118AB">
        <w:rPr>
          <w:i/>
          <w:iCs/>
          <w:spacing w:val="2"/>
        </w:rPr>
        <w:t>Nr. </w:t>
      </w:r>
      <w:r w:rsidR="008D16A6" w:rsidRPr="009118AB">
        <w:rPr>
          <w:i/>
          <w:iCs/>
          <w:spacing w:val="2"/>
        </w:rPr>
        <w:t xml:space="preserve">13 einziger Absatz Buchstabe c) eingefügt durch </w:t>
      </w:r>
      <w:r w:rsidR="00D67EB8" w:rsidRPr="009118AB">
        <w:rPr>
          <w:i/>
          <w:iCs/>
          <w:spacing w:val="2"/>
        </w:rPr>
        <w:t>Art. </w:t>
      </w:r>
      <w:r w:rsidR="008D16A6" w:rsidRPr="009118AB">
        <w:rPr>
          <w:i/>
          <w:iCs/>
          <w:spacing w:val="2"/>
        </w:rPr>
        <w:t xml:space="preserve">86 </w:t>
      </w:r>
      <w:r w:rsidR="00D67EB8" w:rsidRPr="009118AB">
        <w:rPr>
          <w:i/>
          <w:iCs/>
          <w:spacing w:val="2"/>
        </w:rPr>
        <w:t>Nr. </w:t>
      </w:r>
      <w:r w:rsidR="008D16A6" w:rsidRPr="009118AB">
        <w:rPr>
          <w:i/>
          <w:iCs/>
          <w:spacing w:val="2"/>
        </w:rPr>
        <w:t>1 des G. vom 25. Dezember 2017 (IV) (B.S. vom 29. Dezember 2017)</w:t>
      </w:r>
      <w:r w:rsidR="00D67EB8" w:rsidRPr="009118AB">
        <w:rPr>
          <w:i/>
          <w:iCs/>
          <w:spacing w:val="2"/>
        </w:rPr>
        <w:t> - </w:t>
      </w:r>
      <w:r w:rsidR="00514056" w:rsidRPr="009118AB">
        <w:rPr>
          <w:i/>
          <w:iCs/>
          <w:spacing w:val="2"/>
        </w:rPr>
        <w:t>in Kraft am 1. Januar 2018</w:t>
      </w:r>
      <w:r w:rsidR="003366D9" w:rsidRPr="009118AB">
        <w:rPr>
          <w:i/>
          <w:iCs/>
          <w:spacing w:val="2"/>
        </w:rPr>
        <w:t> -;</w:t>
      </w:r>
      <w:r w:rsidR="008D16A6" w:rsidRPr="009118AB">
        <w:rPr>
          <w:i/>
          <w:iCs/>
          <w:spacing w:val="2"/>
        </w:rPr>
        <w:t xml:space="preserve"> </w:t>
      </w:r>
      <w:r w:rsidR="00D67EB8" w:rsidRPr="009118AB">
        <w:rPr>
          <w:i/>
          <w:iCs/>
          <w:spacing w:val="2"/>
        </w:rPr>
        <w:t>§ </w:t>
      </w:r>
      <w:r w:rsidR="00006C49" w:rsidRPr="009118AB">
        <w:rPr>
          <w:i/>
          <w:iCs/>
          <w:spacing w:val="2"/>
        </w:rPr>
        <w:t xml:space="preserve">1 einziger Absatz </w:t>
      </w:r>
      <w:r w:rsidR="00D67EB8" w:rsidRPr="009118AB">
        <w:rPr>
          <w:i/>
          <w:iCs/>
          <w:spacing w:val="2"/>
        </w:rPr>
        <w:t>Nr. </w:t>
      </w:r>
      <w:r w:rsidR="00006C49" w:rsidRPr="009118AB">
        <w:rPr>
          <w:i/>
          <w:iCs/>
          <w:spacing w:val="2"/>
        </w:rPr>
        <w:t xml:space="preserve">13/1 eingefügt durch </w:t>
      </w:r>
      <w:r w:rsidR="00D67EB8" w:rsidRPr="009118AB">
        <w:rPr>
          <w:i/>
          <w:iCs/>
          <w:spacing w:val="2"/>
        </w:rPr>
        <w:t>Art. </w:t>
      </w:r>
      <w:r w:rsidR="00006C49" w:rsidRPr="009118AB">
        <w:rPr>
          <w:i/>
          <w:iCs/>
          <w:spacing w:val="2"/>
        </w:rPr>
        <w:t xml:space="preserve">38 </w:t>
      </w:r>
      <w:r w:rsidR="00D67EB8" w:rsidRPr="009118AB">
        <w:rPr>
          <w:i/>
          <w:iCs/>
          <w:spacing w:val="2"/>
        </w:rPr>
        <w:t>Nr. </w:t>
      </w:r>
      <w:r w:rsidR="00006C49" w:rsidRPr="009118AB">
        <w:rPr>
          <w:i/>
          <w:iCs/>
          <w:spacing w:val="2"/>
        </w:rPr>
        <w:t>2</w:t>
      </w:r>
      <w:r w:rsidR="00006C49" w:rsidRPr="009118AB">
        <w:rPr>
          <w:i/>
          <w:spacing w:val="2"/>
        </w:rPr>
        <w:t xml:space="preserve"> des G. vom 10. August 2015 (B.S. vom 18. August 2015)</w:t>
      </w:r>
      <w:r w:rsidR="00D67EB8" w:rsidRPr="009118AB">
        <w:rPr>
          <w:i/>
          <w:spacing w:val="2"/>
        </w:rPr>
        <w:t> - </w:t>
      </w:r>
      <w:r w:rsidR="00006C49" w:rsidRPr="009118AB">
        <w:rPr>
          <w:i/>
          <w:spacing w:val="2"/>
          <w:lang w:bidi="de-DE"/>
        </w:rPr>
        <w:t>anwendbar au</w:t>
      </w:r>
      <w:r w:rsidR="005674D4" w:rsidRPr="009118AB">
        <w:rPr>
          <w:i/>
          <w:spacing w:val="2"/>
          <w:lang w:bidi="de-DE"/>
        </w:rPr>
        <w:t>f Einkünfte, die ab dem 1. Janu</w:t>
      </w:r>
      <w:r w:rsidR="00006C49" w:rsidRPr="009118AB">
        <w:rPr>
          <w:i/>
          <w:spacing w:val="2"/>
          <w:lang w:bidi="de-DE"/>
        </w:rPr>
        <w:t>ar 2015 von einer Rechtsvereinbarung bezogen, zuerkannt oder ausgeschüttet werden, und</w:t>
      </w:r>
      <w:r w:rsidR="00D67EB8" w:rsidRPr="009118AB">
        <w:rPr>
          <w:i/>
          <w:spacing w:val="2"/>
          <w:lang w:bidi="de-DE"/>
        </w:rPr>
        <w:t> - </w:t>
      </w:r>
      <w:r w:rsidR="00006C49" w:rsidRPr="009118AB">
        <w:rPr>
          <w:i/>
          <w:spacing w:val="2"/>
          <w:lang w:bidi="de-DE"/>
        </w:rPr>
        <w:t>in Bezug auf die Anwendung des Mobiliensteuervorabzugs oder des Berufssteuervorabzugs</w:t>
      </w:r>
      <w:r w:rsidR="00D67EB8" w:rsidRPr="009118AB">
        <w:rPr>
          <w:i/>
          <w:spacing w:val="2"/>
          <w:lang w:bidi="de-DE"/>
        </w:rPr>
        <w:t> - </w:t>
      </w:r>
      <w:r w:rsidR="00006C49" w:rsidRPr="009118AB">
        <w:rPr>
          <w:i/>
          <w:spacing w:val="2"/>
          <w:lang w:bidi="de-DE"/>
        </w:rPr>
        <w:t>auf Einkünfte, die ab dem 1. September 2015 zuerkannt oder ausgeschüttet werden</w:t>
      </w:r>
      <w:r w:rsidR="003366D9" w:rsidRPr="009118AB">
        <w:rPr>
          <w:i/>
          <w:spacing w:val="2"/>
        </w:rPr>
        <w:t> -;</w:t>
      </w:r>
      <w:r w:rsidR="00BB5F5A">
        <w:rPr>
          <w:i/>
          <w:spacing w:val="2"/>
        </w:rPr>
        <w:t xml:space="preserve"> </w:t>
      </w:r>
      <w:r w:rsidR="00BB5F5A" w:rsidRPr="00BB5F5A">
        <w:rPr>
          <w:i/>
          <w:iCs/>
          <w:spacing w:val="2"/>
        </w:rPr>
        <w:t xml:space="preserve">§ 1 einziger Absatz Nr. 13/1 Abs. 1 </w:t>
      </w:r>
      <w:r w:rsidR="00BB5F5A">
        <w:rPr>
          <w:i/>
          <w:iCs/>
          <w:spacing w:val="2"/>
        </w:rPr>
        <w:t xml:space="preserve">einleitende Bestimmung </w:t>
      </w:r>
      <w:r w:rsidR="00472C4C">
        <w:rPr>
          <w:i/>
          <w:iCs/>
          <w:spacing w:val="2"/>
        </w:rPr>
        <w:t>ersetzt durch Art. 33 Nr. 4</w:t>
      </w:r>
      <w:r w:rsidR="00472C4C" w:rsidRPr="00472C4C">
        <w:rPr>
          <w:i/>
          <w:iCs/>
          <w:spacing w:val="2"/>
        </w:rPr>
        <w:t xml:space="preserve"> des G. vom 22. Dezember 2023 (II) (B.S. vom 29. Dezember 2023) - anwendbar auf Einkünfte, die ab dem 1. Januar 2024 von einer Rechtsvereinbarung bezogen, zuerkannt oder ausgeschüttet werden -</w:t>
      </w:r>
      <w:r w:rsidR="00472C4C">
        <w:rPr>
          <w:i/>
          <w:iCs/>
          <w:spacing w:val="2"/>
        </w:rPr>
        <w:t xml:space="preserve">; </w:t>
      </w:r>
      <w:r w:rsidR="00BB5F5A" w:rsidRPr="009118AB">
        <w:rPr>
          <w:i/>
          <w:iCs/>
          <w:spacing w:val="2"/>
        </w:rPr>
        <w:t>§ 1 einziger Absatz Nr. 13/1 Abs. 1 Buchstabe </w:t>
      </w:r>
      <w:r w:rsidR="00BB5F5A">
        <w:rPr>
          <w:i/>
          <w:iCs/>
          <w:spacing w:val="2"/>
        </w:rPr>
        <w:t>a) ersetzt durch Art. 33 Nr. </w:t>
      </w:r>
      <w:r w:rsidR="00472C4C">
        <w:rPr>
          <w:i/>
          <w:iCs/>
          <w:spacing w:val="2"/>
        </w:rPr>
        <w:t>5</w:t>
      </w:r>
      <w:r w:rsidR="00BB5F5A" w:rsidRPr="00BB5F5A">
        <w:rPr>
          <w:i/>
          <w:iCs/>
          <w:spacing w:val="2"/>
        </w:rPr>
        <w:t xml:space="preserve"> des G. vom 22. Dezember 2023 (II) (B.S. vom 29. Dezember 2023) - anwendbar auf Einkünfte, die ab dem 1. Januar 2024 von einer Rechtsvereinbarung bezogen, zuerkannt oder ausgeschüttet werden -</w:t>
      </w:r>
      <w:r w:rsidR="00BB5F5A">
        <w:rPr>
          <w:i/>
          <w:iCs/>
          <w:spacing w:val="2"/>
        </w:rPr>
        <w:t>;</w:t>
      </w:r>
      <w:r w:rsidR="00006C49" w:rsidRPr="009118AB">
        <w:rPr>
          <w:i/>
          <w:iCs/>
          <w:spacing w:val="2"/>
        </w:rPr>
        <w:t xml:space="preserve"> </w:t>
      </w:r>
      <w:r w:rsidR="00BB5F5A" w:rsidRPr="009118AB">
        <w:rPr>
          <w:i/>
          <w:iCs/>
          <w:spacing w:val="2"/>
        </w:rPr>
        <w:t>§ 1 einziger Absatz Nr. 13/1 Abs. 1 Buchstabe </w:t>
      </w:r>
      <w:r w:rsidR="00BB5F5A">
        <w:rPr>
          <w:i/>
          <w:iCs/>
          <w:spacing w:val="2"/>
        </w:rPr>
        <w:t>b) ersetzt durch Art. 33 Nr. </w:t>
      </w:r>
      <w:r w:rsidR="00472C4C">
        <w:rPr>
          <w:i/>
          <w:iCs/>
          <w:spacing w:val="2"/>
        </w:rPr>
        <w:t>6</w:t>
      </w:r>
      <w:r w:rsidR="00BB5F5A" w:rsidRPr="00BB5F5A">
        <w:rPr>
          <w:i/>
          <w:iCs/>
          <w:spacing w:val="2"/>
        </w:rPr>
        <w:t xml:space="preserve"> des G. vom 22. Dezember 2023 (II) (B.S. vom 29. Dezember 2023) - anwendbar auf Einkünfte, die ab dem 1. Januar 2024 von einer Rechtsvereinbarung bezogen, zuerkannt oder ausgeschüttet werden -</w:t>
      </w:r>
      <w:r w:rsidR="00BB5F5A">
        <w:rPr>
          <w:i/>
          <w:iCs/>
          <w:spacing w:val="2"/>
        </w:rPr>
        <w:t>;</w:t>
      </w:r>
      <w:r w:rsidR="00BB5F5A" w:rsidRPr="009118AB">
        <w:rPr>
          <w:i/>
          <w:iCs/>
          <w:spacing w:val="2"/>
        </w:rPr>
        <w:t xml:space="preserve"> </w:t>
      </w:r>
      <w:r w:rsidR="00D67EB8" w:rsidRPr="009118AB">
        <w:rPr>
          <w:i/>
          <w:iCs/>
          <w:spacing w:val="2"/>
        </w:rPr>
        <w:t>§ </w:t>
      </w:r>
      <w:r w:rsidR="00DD65E2" w:rsidRPr="009118AB">
        <w:rPr>
          <w:i/>
          <w:iCs/>
          <w:spacing w:val="2"/>
        </w:rPr>
        <w:t xml:space="preserve">1 einziger Absatz </w:t>
      </w:r>
      <w:r w:rsidR="00D67EB8" w:rsidRPr="009118AB">
        <w:rPr>
          <w:i/>
          <w:iCs/>
          <w:spacing w:val="2"/>
        </w:rPr>
        <w:t>Nr. </w:t>
      </w:r>
      <w:r w:rsidR="00DD65E2" w:rsidRPr="009118AB">
        <w:rPr>
          <w:i/>
          <w:iCs/>
          <w:spacing w:val="2"/>
        </w:rPr>
        <w:t xml:space="preserve">13/1 </w:t>
      </w:r>
      <w:r w:rsidR="00D67EB8" w:rsidRPr="009118AB">
        <w:rPr>
          <w:i/>
          <w:iCs/>
          <w:spacing w:val="2"/>
        </w:rPr>
        <w:t>Abs. </w:t>
      </w:r>
      <w:r w:rsidR="00DD65E2" w:rsidRPr="009118AB">
        <w:rPr>
          <w:i/>
          <w:iCs/>
          <w:spacing w:val="2"/>
        </w:rPr>
        <w:t xml:space="preserve">1 Buchstabe e) aufgehoben durch </w:t>
      </w:r>
      <w:r w:rsidR="00D67EB8" w:rsidRPr="009118AB">
        <w:rPr>
          <w:i/>
          <w:iCs/>
          <w:spacing w:val="2"/>
        </w:rPr>
        <w:t>Art. </w:t>
      </w:r>
      <w:r w:rsidR="00DD65E2" w:rsidRPr="009118AB">
        <w:rPr>
          <w:i/>
          <w:iCs/>
          <w:spacing w:val="2"/>
        </w:rPr>
        <w:t>102 Buchstabe a)</w:t>
      </w:r>
      <w:r w:rsidR="00DD65E2" w:rsidRPr="009118AB">
        <w:rPr>
          <w:i/>
          <w:spacing w:val="2"/>
        </w:rPr>
        <w:t xml:space="preserve"> des G. vom 26. Dezember 2015 (II) (B.S. vom 30. Dezember 2015)</w:t>
      </w:r>
      <w:r w:rsidR="00D67EB8" w:rsidRPr="009118AB">
        <w:rPr>
          <w:spacing w:val="2"/>
        </w:rPr>
        <w:t> - </w:t>
      </w:r>
      <w:r w:rsidR="00DD65E2" w:rsidRPr="009118AB">
        <w:rPr>
          <w:i/>
          <w:spacing w:val="2"/>
        </w:rPr>
        <w:t>in Kraft ab dem Steuerjahr 2016</w:t>
      </w:r>
      <w:r w:rsidR="003366D9" w:rsidRPr="009118AB">
        <w:rPr>
          <w:i/>
          <w:spacing w:val="2"/>
        </w:rPr>
        <w:t> -;</w:t>
      </w:r>
      <w:r w:rsidR="00DD65E2" w:rsidRPr="009118AB">
        <w:rPr>
          <w:i/>
          <w:spacing w:val="2"/>
        </w:rPr>
        <w:t xml:space="preserve"> </w:t>
      </w:r>
      <w:r w:rsidR="00D67EB8" w:rsidRPr="009118AB">
        <w:rPr>
          <w:i/>
          <w:iCs/>
          <w:spacing w:val="2"/>
        </w:rPr>
        <w:t>§ </w:t>
      </w:r>
      <w:r w:rsidR="00DD65E2" w:rsidRPr="009118AB">
        <w:rPr>
          <w:i/>
          <w:iCs/>
          <w:spacing w:val="2"/>
        </w:rPr>
        <w:t xml:space="preserve">1 einziger Absatz </w:t>
      </w:r>
      <w:r w:rsidR="00D67EB8" w:rsidRPr="009118AB">
        <w:rPr>
          <w:i/>
          <w:iCs/>
          <w:spacing w:val="2"/>
        </w:rPr>
        <w:t>Nr. </w:t>
      </w:r>
      <w:r w:rsidR="00DD65E2" w:rsidRPr="009118AB">
        <w:rPr>
          <w:i/>
          <w:iCs/>
          <w:spacing w:val="2"/>
        </w:rPr>
        <w:t xml:space="preserve">13/1 </w:t>
      </w:r>
      <w:r w:rsidR="00D67EB8" w:rsidRPr="009118AB">
        <w:rPr>
          <w:i/>
          <w:iCs/>
          <w:spacing w:val="2"/>
        </w:rPr>
        <w:t>Abs. </w:t>
      </w:r>
      <w:r w:rsidR="005674D4" w:rsidRPr="009118AB">
        <w:rPr>
          <w:i/>
          <w:iCs/>
          <w:spacing w:val="2"/>
        </w:rPr>
        <w:t>2</w:t>
      </w:r>
      <w:r w:rsidR="00DD65E2" w:rsidRPr="009118AB">
        <w:rPr>
          <w:i/>
          <w:iCs/>
          <w:spacing w:val="2"/>
        </w:rPr>
        <w:t xml:space="preserve"> eingefügt durch </w:t>
      </w:r>
      <w:r w:rsidR="00D67EB8" w:rsidRPr="009118AB">
        <w:rPr>
          <w:i/>
          <w:iCs/>
          <w:spacing w:val="2"/>
        </w:rPr>
        <w:t>Art. </w:t>
      </w:r>
      <w:r w:rsidR="00DD65E2" w:rsidRPr="009118AB">
        <w:rPr>
          <w:i/>
          <w:iCs/>
          <w:spacing w:val="2"/>
        </w:rPr>
        <w:t>102 Buchstabe b)</w:t>
      </w:r>
      <w:r w:rsidR="00DD65E2" w:rsidRPr="009118AB">
        <w:rPr>
          <w:i/>
          <w:spacing w:val="2"/>
        </w:rPr>
        <w:t xml:space="preserve"> des G. vom 26. Dezember 2015 (II) (B.S. vom 30. Dezember 2015)</w:t>
      </w:r>
      <w:r w:rsidR="00D67EB8" w:rsidRPr="009118AB">
        <w:rPr>
          <w:spacing w:val="2"/>
        </w:rPr>
        <w:t> - </w:t>
      </w:r>
      <w:r w:rsidR="00DD65E2" w:rsidRPr="009118AB">
        <w:rPr>
          <w:i/>
          <w:spacing w:val="2"/>
        </w:rPr>
        <w:t>in Kraft ab dem Steuerjahr 2016</w:t>
      </w:r>
      <w:r w:rsidR="003366D9" w:rsidRPr="009118AB">
        <w:rPr>
          <w:i/>
          <w:spacing w:val="2"/>
        </w:rPr>
        <w:t> -</w:t>
      </w:r>
      <w:r w:rsidR="00BB5F5A">
        <w:rPr>
          <w:i/>
          <w:spacing w:val="2"/>
        </w:rPr>
        <w:t xml:space="preserve"> und abgeändert durch Art. 33 Nr. 7</w:t>
      </w:r>
      <w:r w:rsidR="00BB5F5A" w:rsidRPr="00BB5F5A">
        <w:rPr>
          <w:i/>
          <w:iCs/>
          <w:spacing w:val="2"/>
        </w:rPr>
        <w:t xml:space="preserve"> des G. vom 22. Dezember 2023 (II) (B.S. vom 29. Dezember 2023) - anwendbar auf Einkünfte, die ab dem 1. Januar 2024 von einer Rechtsvereinbarung bezogen, zuerkannt oder ausgeschüttet werden -</w:t>
      </w:r>
      <w:r w:rsidR="003366D9" w:rsidRPr="009118AB">
        <w:rPr>
          <w:i/>
          <w:spacing w:val="2"/>
        </w:rPr>
        <w:t>;</w:t>
      </w:r>
      <w:r w:rsidR="005674D4" w:rsidRPr="009118AB">
        <w:rPr>
          <w:i/>
          <w:spacing w:val="2"/>
        </w:rPr>
        <w:t xml:space="preserve"> </w:t>
      </w:r>
      <w:r w:rsidR="00D67EB8" w:rsidRPr="009118AB">
        <w:rPr>
          <w:i/>
          <w:iCs/>
          <w:spacing w:val="2"/>
        </w:rPr>
        <w:t>§ </w:t>
      </w:r>
      <w:r w:rsidR="005674D4" w:rsidRPr="009118AB">
        <w:rPr>
          <w:i/>
          <w:iCs/>
          <w:spacing w:val="2"/>
        </w:rPr>
        <w:t xml:space="preserve">1 einziger Absatz </w:t>
      </w:r>
      <w:r w:rsidR="00D67EB8" w:rsidRPr="009118AB">
        <w:rPr>
          <w:i/>
          <w:iCs/>
          <w:spacing w:val="2"/>
        </w:rPr>
        <w:t>Nr. </w:t>
      </w:r>
      <w:r w:rsidR="005674D4" w:rsidRPr="009118AB">
        <w:rPr>
          <w:i/>
          <w:iCs/>
          <w:spacing w:val="2"/>
        </w:rPr>
        <w:t xml:space="preserve">13/1 </w:t>
      </w:r>
      <w:r w:rsidR="00D67EB8" w:rsidRPr="009118AB">
        <w:rPr>
          <w:i/>
          <w:iCs/>
          <w:spacing w:val="2"/>
        </w:rPr>
        <w:t>Abs. </w:t>
      </w:r>
      <w:r w:rsidR="005674D4" w:rsidRPr="009118AB">
        <w:rPr>
          <w:i/>
          <w:iCs/>
          <w:spacing w:val="2"/>
        </w:rPr>
        <w:t xml:space="preserve">3 eingefügt durch </w:t>
      </w:r>
      <w:r w:rsidR="00D67EB8" w:rsidRPr="009118AB">
        <w:rPr>
          <w:i/>
          <w:iCs/>
          <w:spacing w:val="2"/>
        </w:rPr>
        <w:t>Art. </w:t>
      </w:r>
      <w:r w:rsidR="005674D4" w:rsidRPr="009118AB">
        <w:rPr>
          <w:i/>
          <w:iCs/>
          <w:spacing w:val="2"/>
        </w:rPr>
        <w:t>102 Buchstabe b)</w:t>
      </w:r>
      <w:r w:rsidR="005674D4" w:rsidRPr="009118AB">
        <w:rPr>
          <w:i/>
          <w:spacing w:val="2"/>
        </w:rPr>
        <w:t xml:space="preserve"> des G. vom 26. Dezember 2015 (II) (B.S. vom 30. Dezember 2015)</w:t>
      </w:r>
      <w:r w:rsidR="00D67EB8" w:rsidRPr="009118AB">
        <w:rPr>
          <w:spacing w:val="2"/>
        </w:rPr>
        <w:t> - </w:t>
      </w:r>
      <w:r w:rsidR="005674D4" w:rsidRPr="009118AB">
        <w:rPr>
          <w:i/>
          <w:spacing w:val="2"/>
        </w:rPr>
        <w:t>in Kraft ab dem Steuerjahr 2016</w:t>
      </w:r>
      <w:r w:rsidR="00D67EB8" w:rsidRPr="009118AB">
        <w:rPr>
          <w:i/>
          <w:spacing w:val="2"/>
        </w:rPr>
        <w:t> - </w:t>
      </w:r>
      <w:r w:rsidR="005674D4" w:rsidRPr="009118AB">
        <w:rPr>
          <w:i/>
          <w:spacing w:val="2"/>
        </w:rPr>
        <w:t xml:space="preserve">und abgeändert durch </w:t>
      </w:r>
      <w:r w:rsidR="00D67EB8" w:rsidRPr="009118AB">
        <w:rPr>
          <w:i/>
          <w:spacing w:val="2"/>
        </w:rPr>
        <w:t>Art. </w:t>
      </w:r>
      <w:r w:rsidR="005674D4" w:rsidRPr="009118AB">
        <w:rPr>
          <w:i/>
          <w:spacing w:val="2"/>
        </w:rPr>
        <w:t xml:space="preserve">2 </w:t>
      </w:r>
      <w:r w:rsidR="00D67EB8" w:rsidRPr="009118AB">
        <w:rPr>
          <w:i/>
          <w:spacing w:val="2"/>
        </w:rPr>
        <w:t>Nr. </w:t>
      </w:r>
      <w:r w:rsidR="005674D4" w:rsidRPr="009118AB">
        <w:rPr>
          <w:i/>
          <w:spacing w:val="2"/>
        </w:rPr>
        <w:t>10</w:t>
      </w:r>
      <w:r w:rsidR="005674D4" w:rsidRPr="009118AB">
        <w:rPr>
          <w:i/>
          <w:iCs/>
          <w:spacing w:val="-2"/>
        </w:rPr>
        <w:t xml:space="preserve"> des G. vom 17. März 2019 (III) (B.S. vom 10. Mai 2019)</w:t>
      </w:r>
      <w:r w:rsidR="00D67EB8" w:rsidRPr="009118AB">
        <w:rPr>
          <w:i/>
          <w:iCs/>
          <w:spacing w:val="-2"/>
        </w:rPr>
        <w:t> - </w:t>
      </w:r>
      <w:r w:rsidR="005674D4" w:rsidRPr="009118AB">
        <w:rPr>
          <w:i/>
          <w:iCs/>
          <w:spacing w:val="-2"/>
        </w:rPr>
        <w:t>in Kraft am 1. Mai 2019</w:t>
      </w:r>
      <w:r w:rsidR="003366D9" w:rsidRPr="009118AB">
        <w:rPr>
          <w:i/>
          <w:iCs/>
          <w:spacing w:val="-2"/>
        </w:rPr>
        <w:t> -;</w:t>
      </w:r>
      <w:r w:rsidR="00DD65E2" w:rsidRPr="009118AB">
        <w:rPr>
          <w:i/>
        </w:rPr>
        <w:t xml:space="preserve"> </w:t>
      </w:r>
      <w:r w:rsidR="00472C4C" w:rsidRPr="00472C4C">
        <w:rPr>
          <w:i/>
          <w:iCs/>
        </w:rPr>
        <w:t>§ 1 einziger Absatz Nr. 13/1 Abs. </w:t>
      </w:r>
      <w:r w:rsidR="00472C4C">
        <w:rPr>
          <w:i/>
          <w:iCs/>
        </w:rPr>
        <w:t>4 eingefügt durch Art. 33 Nr. 8</w:t>
      </w:r>
      <w:r w:rsidR="00472C4C" w:rsidRPr="00472C4C">
        <w:rPr>
          <w:i/>
          <w:iCs/>
        </w:rPr>
        <w:t xml:space="preserve"> des G. vom 22. Dezember 2023 (II) (B.S. vom 29. Dezember 2023) - anwendbar auf Einkünfte, die ab dem 1. Januar 2024 von einer Rechtsvereinbarung bezogen, zuerkannt oder ausgeschüttet werden -</w:t>
      </w:r>
      <w:r w:rsidR="00472C4C">
        <w:rPr>
          <w:i/>
          <w:iCs/>
        </w:rPr>
        <w:t xml:space="preserve">; </w:t>
      </w:r>
      <w:r w:rsidR="00D67EB8" w:rsidRPr="009118AB">
        <w:rPr>
          <w:i/>
        </w:rPr>
        <w:t>§ </w:t>
      </w:r>
      <w:r w:rsidR="008D16A6" w:rsidRPr="009118AB">
        <w:rPr>
          <w:i/>
        </w:rPr>
        <w:t xml:space="preserve">1 einziger Absatz </w:t>
      </w:r>
      <w:r w:rsidR="00D67EB8" w:rsidRPr="009118AB">
        <w:rPr>
          <w:i/>
        </w:rPr>
        <w:t>Nr. </w:t>
      </w:r>
      <w:r w:rsidR="008D16A6" w:rsidRPr="009118AB">
        <w:rPr>
          <w:i/>
        </w:rPr>
        <w:t xml:space="preserve">13/2 eingefügt durch </w:t>
      </w:r>
      <w:r w:rsidR="00D67EB8" w:rsidRPr="009118AB">
        <w:rPr>
          <w:i/>
        </w:rPr>
        <w:t>Art. </w:t>
      </w:r>
      <w:r w:rsidR="008D16A6" w:rsidRPr="009118AB">
        <w:rPr>
          <w:i/>
        </w:rPr>
        <w:t xml:space="preserve">86 </w:t>
      </w:r>
      <w:r w:rsidR="00D67EB8" w:rsidRPr="009118AB">
        <w:rPr>
          <w:i/>
        </w:rPr>
        <w:t>Nr. </w:t>
      </w:r>
      <w:r w:rsidR="008D16A6" w:rsidRPr="009118AB">
        <w:rPr>
          <w:i/>
        </w:rPr>
        <w:t>2</w:t>
      </w:r>
      <w:r w:rsidR="008D16A6" w:rsidRPr="009118AB">
        <w:rPr>
          <w:i/>
          <w:iCs/>
          <w:spacing w:val="2"/>
        </w:rPr>
        <w:t xml:space="preserve"> des G. vom 25. Dezember 2017 (IV) (B.S. vom 29. Dezember 2017)</w:t>
      </w:r>
      <w:r w:rsidR="00D67EB8" w:rsidRPr="009118AB">
        <w:rPr>
          <w:i/>
          <w:iCs/>
          <w:spacing w:val="2"/>
        </w:rPr>
        <w:t> - </w:t>
      </w:r>
      <w:r w:rsidR="00514056" w:rsidRPr="009118AB">
        <w:rPr>
          <w:i/>
          <w:iCs/>
          <w:spacing w:val="2"/>
        </w:rPr>
        <w:t>in Kraft am 1. Januar 2018</w:t>
      </w:r>
      <w:r w:rsidR="003366D9" w:rsidRPr="009118AB">
        <w:rPr>
          <w:i/>
          <w:iCs/>
          <w:spacing w:val="2"/>
        </w:rPr>
        <w:t> -</w:t>
      </w:r>
      <w:r w:rsidR="00472C4C">
        <w:rPr>
          <w:i/>
          <w:iCs/>
          <w:spacing w:val="2"/>
        </w:rPr>
        <w:t xml:space="preserve"> und abgeändert durch Art. 33 Nr. 9</w:t>
      </w:r>
      <w:r w:rsidR="00472C4C" w:rsidRPr="00472C4C">
        <w:rPr>
          <w:i/>
          <w:iCs/>
          <w:spacing w:val="2"/>
        </w:rPr>
        <w:t xml:space="preserve"> des G. vom 22. Dezember 2023 (II) (B.S. vom 29. Dezember 2023) - anwendbar auf Einkünfte, die ab dem 1. Januar 2024 von einer Rechtsvereinbarung bezogen, zuerkannt oder ausgeschüttet werden -</w:t>
      </w:r>
      <w:r w:rsidR="003366D9" w:rsidRPr="009118AB">
        <w:rPr>
          <w:i/>
          <w:iCs/>
          <w:spacing w:val="2"/>
        </w:rPr>
        <w:t>;</w:t>
      </w:r>
      <w:r w:rsidR="008D16A6" w:rsidRPr="009118AB">
        <w:rPr>
          <w:i/>
          <w:iCs/>
          <w:spacing w:val="2"/>
        </w:rPr>
        <w:t xml:space="preserve"> </w:t>
      </w:r>
      <w:r w:rsidR="00472C4C" w:rsidRPr="009118AB">
        <w:rPr>
          <w:i/>
        </w:rPr>
        <w:t>§ 1 einziger Absatz Nr. 13/</w:t>
      </w:r>
      <w:r w:rsidR="00472C4C">
        <w:rPr>
          <w:i/>
        </w:rPr>
        <w:t>3</w:t>
      </w:r>
      <w:r w:rsidR="00472C4C" w:rsidRPr="009118AB">
        <w:rPr>
          <w:i/>
        </w:rPr>
        <w:t xml:space="preserve"> eingefügt durch Art. 86 Nr. 2</w:t>
      </w:r>
      <w:r w:rsidR="00472C4C" w:rsidRPr="009118AB">
        <w:rPr>
          <w:i/>
          <w:iCs/>
          <w:spacing w:val="2"/>
        </w:rPr>
        <w:t xml:space="preserve"> des G. vom 25. Dezember 2017 (IV) (B.S. vom 29. Dezember 2017) - in Kraft am 1. Januar 2018 -</w:t>
      </w:r>
      <w:r w:rsidR="00472C4C">
        <w:rPr>
          <w:i/>
          <w:iCs/>
          <w:spacing w:val="2"/>
        </w:rPr>
        <w:t xml:space="preserve"> und ersetzt durch Art. 33 Nr. 10</w:t>
      </w:r>
      <w:r w:rsidR="00472C4C" w:rsidRPr="00472C4C">
        <w:rPr>
          <w:i/>
          <w:iCs/>
          <w:spacing w:val="2"/>
        </w:rPr>
        <w:t xml:space="preserve"> des G. vom 22. Dezember 2023 (II) (B.S. vom 29. Dezember 2023) - anwendbar auf Einkünfte, die ab dem 1. Januar 2024 von einer Rechtsvereinbarung bezogen, zuerkannt oder ausgeschüttet werden -</w:t>
      </w:r>
      <w:r w:rsidR="00472C4C" w:rsidRPr="009118AB">
        <w:rPr>
          <w:i/>
          <w:iCs/>
          <w:spacing w:val="2"/>
        </w:rPr>
        <w:t xml:space="preserve">; </w:t>
      </w:r>
      <w:r w:rsidR="00472C4C" w:rsidRPr="009118AB">
        <w:rPr>
          <w:i/>
        </w:rPr>
        <w:t>§ 1 einziger Absatz Nr. 13/4 eingefügt durch Art. 86 Nr. 2</w:t>
      </w:r>
      <w:r w:rsidR="00472C4C" w:rsidRPr="009118AB">
        <w:rPr>
          <w:i/>
          <w:iCs/>
          <w:spacing w:val="2"/>
        </w:rPr>
        <w:t xml:space="preserve"> des G. vom 25. Dezember 2017 (IV) (B.S. vom 29. Dezember 2017) - in Kraft am 1. Januar 2018 -</w:t>
      </w:r>
      <w:r w:rsidR="00472C4C">
        <w:rPr>
          <w:i/>
          <w:iCs/>
          <w:spacing w:val="2"/>
        </w:rPr>
        <w:t xml:space="preserve"> und aufgehoben durch Art. 33 Nr. 11</w:t>
      </w:r>
      <w:r w:rsidR="00472C4C" w:rsidRPr="00472C4C">
        <w:rPr>
          <w:i/>
          <w:iCs/>
          <w:spacing w:val="2"/>
        </w:rPr>
        <w:t xml:space="preserve"> des G. vom 22. Dezember 2023 (II) (B.S. vom 29. Dezember 2023) - anwendbar auf Einkünfte, die ab dem 1. Januar 2024 von einer Rechtsvereinbarung bezogen, zuerkannt oder ausgeschüttet werden -</w:t>
      </w:r>
      <w:r w:rsidR="00472C4C" w:rsidRPr="009118AB">
        <w:rPr>
          <w:i/>
          <w:iCs/>
          <w:spacing w:val="2"/>
        </w:rPr>
        <w:t xml:space="preserve">; </w:t>
      </w:r>
      <w:r w:rsidR="00D67EB8" w:rsidRPr="009118AB">
        <w:rPr>
          <w:i/>
          <w:iCs/>
        </w:rPr>
        <w:t>§ </w:t>
      </w:r>
      <w:r w:rsidR="006C7EB9" w:rsidRPr="009118AB">
        <w:rPr>
          <w:i/>
          <w:iCs/>
        </w:rPr>
        <w:t xml:space="preserve">1 einziger Absatz </w:t>
      </w:r>
      <w:r w:rsidR="00D67EB8" w:rsidRPr="009118AB">
        <w:rPr>
          <w:i/>
          <w:iCs/>
        </w:rPr>
        <w:t>Nr. </w:t>
      </w:r>
      <w:r w:rsidR="006C7EB9" w:rsidRPr="009118AB">
        <w:rPr>
          <w:i/>
          <w:iCs/>
        </w:rPr>
        <w:t xml:space="preserve">14 eingefügt durch </w:t>
      </w:r>
      <w:r w:rsidR="00D67EB8" w:rsidRPr="009118AB">
        <w:rPr>
          <w:i/>
          <w:iCs/>
        </w:rPr>
        <w:t>Art. </w:t>
      </w:r>
      <w:r w:rsidR="006C7EB9" w:rsidRPr="009118AB">
        <w:rPr>
          <w:i/>
          <w:iCs/>
        </w:rPr>
        <w:t>35</w:t>
      </w:r>
      <w:r w:rsidR="006C7EB9" w:rsidRPr="009118AB">
        <w:rPr>
          <w:i/>
        </w:rPr>
        <w:t xml:space="preserve"> des G. vom 30. Juli 2013 (B.S. vom 1. August 2013)</w:t>
      </w:r>
      <w:r w:rsidR="00D67EB8" w:rsidRPr="009118AB">
        <w:rPr>
          <w:i/>
        </w:rPr>
        <w:t> - </w:t>
      </w:r>
      <w:r w:rsidR="006C7EB9" w:rsidRPr="009118AB">
        <w:rPr>
          <w:i/>
        </w:rPr>
        <w:t>in Kraft ab dem Steuerjahr 2014</w:t>
      </w:r>
      <w:r w:rsidR="00D67EB8" w:rsidRPr="009118AB">
        <w:rPr>
          <w:i/>
        </w:rPr>
        <w:t> - </w:t>
      </w:r>
      <w:r w:rsidR="00006C49" w:rsidRPr="009118AB">
        <w:rPr>
          <w:i/>
        </w:rPr>
        <w:t xml:space="preserve">und ersetzt durch </w:t>
      </w:r>
      <w:r w:rsidR="00D67EB8" w:rsidRPr="009118AB">
        <w:rPr>
          <w:i/>
        </w:rPr>
        <w:t>Art. </w:t>
      </w:r>
      <w:r w:rsidR="00006C49" w:rsidRPr="009118AB">
        <w:rPr>
          <w:i/>
        </w:rPr>
        <w:t xml:space="preserve">38 </w:t>
      </w:r>
      <w:r w:rsidR="00D67EB8" w:rsidRPr="009118AB">
        <w:rPr>
          <w:i/>
        </w:rPr>
        <w:t>Nr. </w:t>
      </w:r>
      <w:r w:rsidR="00AD3DEC" w:rsidRPr="009118AB">
        <w:rPr>
          <w:i/>
        </w:rPr>
        <w:t xml:space="preserve">3 </w:t>
      </w:r>
      <w:r w:rsidR="00006C49" w:rsidRPr="009118AB">
        <w:rPr>
          <w:i/>
        </w:rPr>
        <w:t>des G. vom 10. August 2015 (B.S. vom 18. August 2015)</w:t>
      </w:r>
      <w:r w:rsidR="00D67EB8" w:rsidRPr="009118AB">
        <w:rPr>
          <w:i/>
        </w:rPr>
        <w:t> - </w:t>
      </w:r>
      <w:r w:rsidR="00006C49" w:rsidRPr="009118AB">
        <w:rPr>
          <w:i/>
          <w:lang w:bidi="de-DE"/>
        </w:rPr>
        <w:t xml:space="preserve">anwendbar auf </w:t>
      </w:r>
      <w:r w:rsidR="00006C49" w:rsidRPr="009118AB">
        <w:rPr>
          <w:i/>
          <w:lang w:bidi="de-DE"/>
        </w:rPr>
        <w:lastRenderedPageBreak/>
        <w:t>Einkünfte, die ab dem 1. Janu</w:t>
      </w:r>
      <w:r w:rsidR="00006C49" w:rsidRPr="009118AB">
        <w:rPr>
          <w:i/>
          <w:lang w:bidi="de-DE"/>
        </w:rPr>
        <w:softHyphen/>
        <w:t>ar 2015 von einer Rechtsvereinbarung bezogen, zuerkannt oder ausgeschüttet werden, und</w:t>
      </w:r>
      <w:r w:rsidR="00D67EB8" w:rsidRPr="009118AB">
        <w:rPr>
          <w:i/>
          <w:lang w:bidi="de-DE"/>
        </w:rPr>
        <w:t> - </w:t>
      </w:r>
      <w:r w:rsidR="00006C49" w:rsidRPr="009118AB">
        <w:rPr>
          <w:i/>
          <w:lang w:bidi="de-DE"/>
        </w:rPr>
        <w:t>in Bezug auf die Anwendung des Mobiliensteuervorabzugs oder des Berufs</w:t>
      </w:r>
      <w:r w:rsidR="00DD65E2" w:rsidRPr="009118AB">
        <w:rPr>
          <w:i/>
          <w:lang w:bidi="de-DE"/>
        </w:rPr>
        <w:softHyphen/>
      </w:r>
      <w:r w:rsidR="00006C49" w:rsidRPr="009118AB">
        <w:rPr>
          <w:i/>
          <w:lang w:bidi="de-DE"/>
        </w:rPr>
        <w:t>steuervorabzugs</w:t>
      </w:r>
      <w:r w:rsidR="00D67EB8" w:rsidRPr="009118AB">
        <w:rPr>
          <w:i/>
          <w:lang w:bidi="de-DE"/>
        </w:rPr>
        <w:t> - </w:t>
      </w:r>
      <w:r w:rsidR="00006C49" w:rsidRPr="009118AB">
        <w:rPr>
          <w:i/>
          <w:lang w:bidi="de-DE"/>
        </w:rPr>
        <w:t>auf Einkünfte, die ab dem 1. September 2015 zuerkannt oder ausgeschüttet werden</w:t>
      </w:r>
      <w:r w:rsidR="003366D9" w:rsidRPr="009118AB">
        <w:rPr>
          <w:i/>
        </w:rPr>
        <w:t> -;</w:t>
      </w:r>
      <w:r w:rsidR="00006C49" w:rsidRPr="009118AB">
        <w:rPr>
          <w:i/>
        </w:rPr>
        <w:t xml:space="preserve"> </w:t>
      </w:r>
      <w:r w:rsidR="00D67EB8" w:rsidRPr="009118AB">
        <w:rPr>
          <w:i/>
          <w:iCs/>
        </w:rPr>
        <w:t>§ </w:t>
      </w:r>
      <w:r w:rsidR="00DD65E2" w:rsidRPr="009118AB">
        <w:rPr>
          <w:i/>
          <w:iCs/>
        </w:rPr>
        <w:t xml:space="preserve">1 einziger Absatz </w:t>
      </w:r>
      <w:r w:rsidR="00D67EB8" w:rsidRPr="009118AB">
        <w:rPr>
          <w:i/>
          <w:iCs/>
        </w:rPr>
        <w:t>Nr. </w:t>
      </w:r>
      <w:r w:rsidR="00DD65E2" w:rsidRPr="009118AB">
        <w:rPr>
          <w:i/>
          <w:iCs/>
        </w:rPr>
        <w:t xml:space="preserve">14 </w:t>
      </w:r>
      <w:r w:rsidR="00472C4C">
        <w:rPr>
          <w:i/>
          <w:iCs/>
        </w:rPr>
        <w:t xml:space="preserve">Abs. 1 (früherer </w:t>
      </w:r>
      <w:r w:rsidR="00DD65E2" w:rsidRPr="009118AB">
        <w:rPr>
          <w:i/>
          <w:iCs/>
        </w:rPr>
        <w:t>einziger Absatz</w:t>
      </w:r>
      <w:r w:rsidR="00472C4C">
        <w:rPr>
          <w:i/>
          <w:iCs/>
        </w:rPr>
        <w:t>)</w:t>
      </w:r>
      <w:r w:rsidR="00DD65E2" w:rsidRPr="009118AB">
        <w:rPr>
          <w:i/>
          <w:iCs/>
        </w:rPr>
        <w:t xml:space="preserve"> dritter Gedankenstrich abgeändert durch </w:t>
      </w:r>
      <w:r w:rsidR="00D67EB8" w:rsidRPr="009118AB">
        <w:rPr>
          <w:i/>
          <w:iCs/>
        </w:rPr>
        <w:t>Art. </w:t>
      </w:r>
      <w:r w:rsidR="00DD65E2" w:rsidRPr="009118AB">
        <w:rPr>
          <w:i/>
          <w:iCs/>
        </w:rPr>
        <w:t>102 Buchstabe c)</w:t>
      </w:r>
      <w:r w:rsidR="00DD65E2" w:rsidRPr="009118AB">
        <w:rPr>
          <w:i/>
        </w:rPr>
        <w:t xml:space="preserve"> des G. vom 26. Dezember 2015 (II) (B.S. vom 30. Dezember 2015)</w:t>
      </w:r>
      <w:r w:rsidR="00D67EB8" w:rsidRPr="009118AB">
        <w:t> - </w:t>
      </w:r>
      <w:r w:rsidR="00DD65E2" w:rsidRPr="009118AB">
        <w:rPr>
          <w:i/>
        </w:rPr>
        <w:t>in Kraft ab dem Steuerjahr 2016</w:t>
      </w:r>
      <w:r w:rsidR="003366D9" w:rsidRPr="009118AB">
        <w:rPr>
          <w:i/>
        </w:rPr>
        <w:t> -;</w:t>
      </w:r>
      <w:r w:rsidR="00472C4C">
        <w:rPr>
          <w:i/>
        </w:rPr>
        <w:t xml:space="preserve"> </w:t>
      </w:r>
      <w:r w:rsidR="00472C4C" w:rsidRPr="009118AB">
        <w:rPr>
          <w:i/>
          <w:iCs/>
        </w:rPr>
        <w:t xml:space="preserve">§ 1 einziger Absatz Nr. 14 </w:t>
      </w:r>
      <w:r w:rsidR="00472C4C">
        <w:rPr>
          <w:i/>
          <w:iCs/>
        </w:rPr>
        <w:t>Abs. 1</w:t>
      </w:r>
      <w:r w:rsidR="00472C4C" w:rsidRPr="009118AB">
        <w:rPr>
          <w:i/>
          <w:iCs/>
        </w:rPr>
        <w:t xml:space="preserve"> </w:t>
      </w:r>
      <w:r w:rsidR="00472C4C">
        <w:rPr>
          <w:i/>
          <w:iCs/>
        </w:rPr>
        <w:t>vier</w:t>
      </w:r>
      <w:r w:rsidR="00472C4C" w:rsidRPr="009118AB">
        <w:rPr>
          <w:i/>
          <w:iCs/>
        </w:rPr>
        <w:t>ter Gedankenstrich</w:t>
      </w:r>
      <w:r w:rsidR="00472C4C">
        <w:rPr>
          <w:i/>
          <w:iCs/>
        </w:rPr>
        <w:t xml:space="preserve"> abgeändert durch Art. 33 Nr. 12</w:t>
      </w:r>
      <w:r w:rsidR="00472C4C" w:rsidRPr="00472C4C">
        <w:rPr>
          <w:i/>
          <w:iCs/>
        </w:rPr>
        <w:t xml:space="preserve"> des G. vom </w:t>
      </w:r>
      <w:r w:rsidR="00472C4C" w:rsidRPr="00472C4C">
        <w:rPr>
          <w:rFonts w:ascii="Times New Roman Italique" w:hAnsi="Times New Roman Italique"/>
          <w:i/>
          <w:iCs/>
          <w:spacing w:val="2"/>
        </w:rPr>
        <w:t>22. Dezember 2023 (II) (B.S. vom 29. Dezember 2023) - anwendbar auf Einkünfte, die ab dem 1. Januar 2024 von einer Rechtsvereinbarung bezogen, zuerkannt oder ausgeschüttet werden -;</w:t>
      </w:r>
      <w:r w:rsidR="00DD65E2" w:rsidRPr="00472C4C">
        <w:rPr>
          <w:rFonts w:ascii="Times New Roman Italique" w:hAnsi="Times New Roman Italique"/>
          <w:i/>
          <w:iCs/>
          <w:spacing w:val="2"/>
        </w:rPr>
        <w:t xml:space="preserve"> </w:t>
      </w:r>
      <w:r w:rsidR="00D67EB8" w:rsidRPr="00472C4C">
        <w:rPr>
          <w:rFonts w:ascii="Times New Roman Italique" w:hAnsi="Times New Roman Italique"/>
          <w:i/>
          <w:iCs/>
          <w:spacing w:val="2"/>
        </w:rPr>
        <w:t>§ </w:t>
      </w:r>
      <w:r w:rsidR="008D16A6" w:rsidRPr="00472C4C">
        <w:rPr>
          <w:rFonts w:ascii="Times New Roman Italique" w:hAnsi="Times New Roman Italique"/>
          <w:i/>
          <w:iCs/>
          <w:spacing w:val="2"/>
        </w:rPr>
        <w:t xml:space="preserve">1 einziger Absatz </w:t>
      </w:r>
      <w:r w:rsidR="00D67EB8" w:rsidRPr="00472C4C">
        <w:rPr>
          <w:rFonts w:ascii="Times New Roman Italique" w:hAnsi="Times New Roman Italique"/>
          <w:i/>
          <w:iCs/>
          <w:spacing w:val="2"/>
        </w:rPr>
        <w:t>Nr. </w:t>
      </w:r>
      <w:r w:rsidR="008D16A6" w:rsidRPr="00472C4C">
        <w:rPr>
          <w:rFonts w:ascii="Times New Roman Italique" w:hAnsi="Times New Roman Italique"/>
          <w:i/>
          <w:iCs/>
          <w:spacing w:val="2"/>
        </w:rPr>
        <w:t xml:space="preserve">14 </w:t>
      </w:r>
      <w:r w:rsidR="00472C4C" w:rsidRPr="00472C4C">
        <w:rPr>
          <w:rFonts w:ascii="Times New Roman Italique" w:hAnsi="Times New Roman Italique"/>
          <w:i/>
          <w:iCs/>
          <w:spacing w:val="2"/>
        </w:rPr>
        <w:t>Abs. 1</w:t>
      </w:r>
      <w:r w:rsidR="008D16A6" w:rsidRPr="00472C4C">
        <w:rPr>
          <w:rFonts w:ascii="Times New Roman Italique" w:hAnsi="Times New Roman Italique"/>
          <w:i/>
          <w:iCs/>
          <w:spacing w:val="2"/>
        </w:rPr>
        <w:t xml:space="preserve"> </w:t>
      </w:r>
      <w:r w:rsidR="00A50DAF" w:rsidRPr="00472C4C">
        <w:rPr>
          <w:rFonts w:ascii="Times New Roman Italique" w:hAnsi="Times New Roman Italique"/>
          <w:i/>
          <w:iCs/>
          <w:spacing w:val="2"/>
        </w:rPr>
        <w:t>fünft</w:t>
      </w:r>
      <w:r w:rsidR="008D16A6" w:rsidRPr="00472C4C">
        <w:rPr>
          <w:rFonts w:ascii="Times New Roman Italique" w:hAnsi="Times New Roman Italique"/>
          <w:i/>
          <w:iCs/>
          <w:spacing w:val="2"/>
        </w:rPr>
        <w:t xml:space="preserve">er Gedankenstrich eingefügt durch </w:t>
      </w:r>
      <w:r w:rsidR="00D67EB8" w:rsidRPr="00472C4C">
        <w:rPr>
          <w:rFonts w:ascii="Times New Roman Italique" w:hAnsi="Times New Roman Italique"/>
          <w:i/>
          <w:iCs/>
          <w:spacing w:val="2"/>
        </w:rPr>
        <w:t>Art. </w:t>
      </w:r>
      <w:r w:rsidR="008D16A6" w:rsidRPr="00472C4C">
        <w:rPr>
          <w:rFonts w:ascii="Times New Roman Italique" w:hAnsi="Times New Roman Italique"/>
          <w:i/>
          <w:iCs/>
          <w:spacing w:val="2"/>
        </w:rPr>
        <w:t xml:space="preserve">86 </w:t>
      </w:r>
      <w:r w:rsidR="00D67EB8" w:rsidRPr="00472C4C">
        <w:rPr>
          <w:rFonts w:ascii="Times New Roman Italique" w:hAnsi="Times New Roman Italique"/>
          <w:i/>
          <w:iCs/>
          <w:spacing w:val="2"/>
        </w:rPr>
        <w:t>Nr. </w:t>
      </w:r>
      <w:r w:rsidR="008D16A6" w:rsidRPr="00472C4C">
        <w:rPr>
          <w:rFonts w:ascii="Times New Roman Italique" w:hAnsi="Times New Roman Italique"/>
          <w:i/>
          <w:iCs/>
          <w:spacing w:val="2"/>
        </w:rPr>
        <w:t>3 des G.</w:t>
      </w:r>
      <w:r w:rsidR="008D16A6" w:rsidRPr="009118AB">
        <w:rPr>
          <w:i/>
          <w:iCs/>
          <w:spacing w:val="2"/>
        </w:rPr>
        <w:t xml:space="preserve"> vom 25. Dezember 2017 (IV) (B.S. vom 29. Dezember 2017)</w:t>
      </w:r>
      <w:r w:rsidR="00D67EB8" w:rsidRPr="009118AB">
        <w:rPr>
          <w:i/>
          <w:iCs/>
          <w:spacing w:val="2"/>
        </w:rPr>
        <w:t> - </w:t>
      </w:r>
      <w:r w:rsidR="00514056" w:rsidRPr="009118AB">
        <w:rPr>
          <w:i/>
          <w:iCs/>
          <w:spacing w:val="2"/>
        </w:rPr>
        <w:t>in Kraft am 1. Januar 2018</w:t>
      </w:r>
      <w:r w:rsidR="003366D9" w:rsidRPr="009118AB">
        <w:rPr>
          <w:i/>
          <w:iCs/>
          <w:spacing w:val="2"/>
        </w:rPr>
        <w:t> -;</w:t>
      </w:r>
      <w:r w:rsidR="008D16A6" w:rsidRPr="009118AB">
        <w:rPr>
          <w:i/>
          <w:iCs/>
        </w:rPr>
        <w:t xml:space="preserve"> </w:t>
      </w:r>
      <w:r w:rsidR="00472C4C" w:rsidRPr="00472C4C">
        <w:rPr>
          <w:i/>
          <w:iCs/>
        </w:rPr>
        <w:t>§ 1 einziger Absatz Nr. 14 Abs. </w:t>
      </w:r>
      <w:r w:rsidR="00472C4C">
        <w:rPr>
          <w:i/>
          <w:iCs/>
        </w:rPr>
        <w:t>2 und 3 eingefügt durch Art. 33 Nr. 14</w:t>
      </w:r>
      <w:r w:rsidR="00472C4C" w:rsidRPr="00472C4C">
        <w:rPr>
          <w:i/>
          <w:iCs/>
        </w:rPr>
        <w:t xml:space="preserve"> des G. vom 22. Dezember 2023 (II) (B.S. vom 29. Dezember 2023) - anwendbar auf Einkünfte, die ab dem 1. Januar 2024 von einer Rechtsvereinbarung bezogen, zuerkannt oder ausgeschüttet werden -</w:t>
      </w:r>
      <w:r w:rsidR="00472C4C">
        <w:rPr>
          <w:i/>
          <w:iCs/>
        </w:rPr>
        <w:t>;</w:t>
      </w:r>
      <w:r w:rsidR="00472C4C" w:rsidRPr="00472C4C">
        <w:rPr>
          <w:i/>
          <w:iCs/>
        </w:rPr>
        <w:t xml:space="preserve"> </w:t>
      </w:r>
      <w:r w:rsidR="00D67EB8" w:rsidRPr="009118AB">
        <w:rPr>
          <w:i/>
          <w:iCs/>
        </w:rPr>
        <w:t>§ </w:t>
      </w:r>
      <w:r w:rsidR="00006C49" w:rsidRPr="009118AB">
        <w:rPr>
          <w:i/>
          <w:iCs/>
        </w:rPr>
        <w:t xml:space="preserve">1 einziger Absatz </w:t>
      </w:r>
      <w:r w:rsidR="00D67EB8" w:rsidRPr="009118AB">
        <w:rPr>
          <w:i/>
          <w:iCs/>
        </w:rPr>
        <w:t>Nr. </w:t>
      </w:r>
      <w:r w:rsidR="00006C49" w:rsidRPr="009118AB">
        <w:rPr>
          <w:i/>
          <w:iCs/>
        </w:rPr>
        <w:t xml:space="preserve">14/1 eingefügt durch </w:t>
      </w:r>
      <w:r w:rsidR="00D67EB8" w:rsidRPr="009118AB">
        <w:rPr>
          <w:i/>
          <w:iCs/>
        </w:rPr>
        <w:t>Art. </w:t>
      </w:r>
      <w:r w:rsidR="009C05F0" w:rsidRPr="009118AB">
        <w:rPr>
          <w:i/>
          <w:iCs/>
        </w:rPr>
        <w:t xml:space="preserve">38 </w:t>
      </w:r>
      <w:r w:rsidR="00D67EB8" w:rsidRPr="009118AB">
        <w:rPr>
          <w:i/>
          <w:iCs/>
        </w:rPr>
        <w:t>Nr. </w:t>
      </w:r>
      <w:r w:rsidR="009C05F0" w:rsidRPr="009118AB">
        <w:rPr>
          <w:i/>
          <w:iCs/>
        </w:rPr>
        <w:t>4</w:t>
      </w:r>
      <w:r w:rsidR="009C05F0" w:rsidRPr="009118AB">
        <w:rPr>
          <w:i/>
        </w:rPr>
        <w:t xml:space="preserve"> des G. vom 10. August 2015 (B.S. vom 18. August 2015)</w:t>
      </w:r>
      <w:r w:rsidR="00D67EB8" w:rsidRPr="009118AB">
        <w:rPr>
          <w:i/>
        </w:rPr>
        <w:t> - </w:t>
      </w:r>
      <w:r w:rsidR="009C05F0" w:rsidRPr="009118AB">
        <w:rPr>
          <w:i/>
          <w:lang w:bidi="de-DE"/>
        </w:rPr>
        <w:t>anwendbar auf Einkünfte, die ab dem 1. Janu</w:t>
      </w:r>
      <w:r w:rsidR="009C05F0" w:rsidRPr="009118AB">
        <w:rPr>
          <w:i/>
          <w:lang w:bidi="de-DE"/>
        </w:rPr>
        <w:softHyphen/>
        <w:t>ar 2015 von einer Rechtsvereinbarung bezogen, zuerkannt oder ausgeschüttet werden, und</w:t>
      </w:r>
      <w:r w:rsidR="00D67EB8" w:rsidRPr="009118AB">
        <w:rPr>
          <w:i/>
          <w:lang w:bidi="de-DE"/>
        </w:rPr>
        <w:t> - </w:t>
      </w:r>
      <w:r w:rsidR="009C05F0" w:rsidRPr="009118AB">
        <w:rPr>
          <w:i/>
          <w:lang w:bidi="de-DE"/>
        </w:rPr>
        <w:t>in Bezug auf die Anwendung des Mobiliensteuervorabzugs oder des Berufssteuervorabzugs</w:t>
      </w:r>
      <w:r w:rsidR="00D67EB8" w:rsidRPr="009118AB">
        <w:rPr>
          <w:i/>
          <w:lang w:bidi="de-DE"/>
        </w:rPr>
        <w:t> - </w:t>
      </w:r>
      <w:r w:rsidR="009C05F0" w:rsidRPr="009118AB">
        <w:rPr>
          <w:i/>
          <w:lang w:bidi="de-DE"/>
        </w:rPr>
        <w:t>auf Einkünfte, die ab dem 1. September 2015 zuerkannt oder ausgeschüttet werden</w:t>
      </w:r>
      <w:r w:rsidR="00D67EB8" w:rsidRPr="009118AB">
        <w:rPr>
          <w:i/>
        </w:rPr>
        <w:t> - </w:t>
      </w:r>
      <w:r w:rsidR="008D16A6" w:rsidRPr="009118AB">
        <w:rPr>
          <w:i/>
        </w:rPr>
        <w:t xml:space="preserve">und aufgehoben durch </w:t>
      </w:r>
      <w:r w:rsidR="00D67EB8" w:rsidRPr="009118AB">
        <w:rPr>
          <w:i/>
        </w:rPr>
        <w:t>Art. </w:t>
      </w:r>
      <w:r w:rsidR="008D16A6" w:rsidRPr="009118AB">
        <w:rPr>
          <w:i/>
        </w:rPr>
        <w:t xml:space="preserve">86 </w:t>
      </w:r>
      <w:r w:rsidR="00D67EB8" w:rsidRPr="009118AB">
        <w:rPr>
          <w:i/>
        </w:rPr>
        <w:t>Nr. </w:t>
      </w:r>
      <w:r w:rsidR="008D16A6" w:rsidRPr="009118AB">
        <w:rPr>
          <w:i/>
        </w:rPr>
        <w:t>4</w:t>
      </w:r>
      <w:r w:rsidR="00945838" w:rsidRPr="009118AB">
        <w:rPr>
          <w:i/>
          <w:iCs/>
          <w:spacing w:val="2"/>
        </w:rPr>
        <w:t xml:space="preserve"> des G. vom 25. Dezember 2017 (IV) (B.S. vom 29. Dezember 2017)</w:t>
      </w:r>
      <w:r w:rsidR="00D67EB8" w:rsidRPr="009118AB">
        <w:rPr>
          <w:i/>
          <w:iCs/>
          <w:spacing w:val="2"/>
        </w:rPr>
        <w:t> - </w:t>
      </w:r>
      <w:r w:rsidR="00945838" w:rsidRPr="009118AB">
        <w:rPr>
          <w:i/>
          <w:iCs/>
          <w:spacing w:val="2"/>
        </w:rPr>
        <w:t>anwendbar auf Einkünfte, die ab dem 17. September 2017 von einer Rechts</w:t>
      </w:r>
      <w:r w:rsidR="00514056" w:rsidRPr="009118AB">
        <w:rPr>
          <w:i/>
          <w:iCs/>
          <w:spacing w:val="2"/>
        </w:rPr>
        <w:softHyphen/>
      </w:r>
      <w:r w:rsidR="00945838" w:rsidRPr="009118AB">
        <w:rPr>
          <w:i/>
          <w:iCs/>
          <w:spacing w:val="2"/>
        </w:rPr>
        <w:t>verein</w:t>
      </w:r>
      <w:r w:rsidR="00514056" w:rsidRPr="009118AB">
        <w:rPr>
          <w:i/>
          <w:iCs/>
          <w:spacing w:val="2"/>
        </w:rPr>
        <w:softHyphen/>
      </w:r>
      <w:r w:rsidR="00945838" w:rsidRPr="009118AB">
        <w:rPr>
          <w:i/>
          <w:iCs/>
          <w:spacing w:val="2"/>
        </w:rPr>
        <w:t>barung bezogen, zuerkannt oder ausgeschüttet werden, und</w:t>
      </w:r>
      <w:r w:rsidR="00D67EB8" w:rsidRPr="009118AB">
        <w:rPr>
          <w:i/>
          <w:iCs/>
          <w:spacing w:val="2"/>
        </w:rPr>
        <w:t> - </w:t>
      </w:r>
      <w:r w:rsidR="00945838" w:rsidRPr="009118AB">
        <w:rPr>
          <w:i/>
          <w:iCs/>
          <w:spacing w:val="2"/>
        </w:rPr>
        <w:t>in Bezug auf die Anwendung des Mobilien</w:t>
      </w:r>
      <w:r w:rsidR="00514056" w:rsidRPr="009118AB">
        <w:rPr>
          <w:i/>
          <w:iCs/>
          <w:spacing w:val="2"/>
        </w:rPr>
        <w:softHyphen/>
      </w:r>
      <w:r w:rsidR="00945838" w:rsidRPr="009118AB">
        <w:rPr>
          <w:i/>
          <w:iCs/>
          <w:spacing w:val="2"/>
        </w:rPr>
        <w:t>steuervorabzugs</w:t>
      </w:r>
      <w:r w:rsidR="00D67EB8" w:rsidRPr="009118AB">
        <w:rPr>
          <w:i/>
          <w:iCs/>
          <w:spacing w:val="2"/>
        </w:rPr>
        <w:t> - </w:t>
      </w:r>
      <w:r w:rsidR="00945838" w:rsidRPr="009118AB">
        <w:rPr>
          <w:i/>
          <w:iCs/>
          <w:spacing w:val="2"/>
        </w:rPr>
        <w:t>auf Einkünfte, die ab dem 1. Januar 2018 zuerkannt oder ausgeschüttet werden</w:t>
      </w:r>
      <w:r w:rsidR="003366D9" w:rsidRPr="009118AB">
        <w:rPr>
          <w:i/>
          <w:iCs/>
          <w:spacing w:val="2"/>
        </w:rPr>
        <w:t> -;</w:t>
      </w:r>
      <w:r w:rsidR="006C7EB9" w:rsidRPr="009118AB">
        <w:rPr>
          <w:i/>
          <w:iCs/>
        </w:rPr>
        <w:t xml:space="preserve"> </w:t>
      </w:r>
      <w:r w:rsidR="00D67EB8" w:rsidRPr="009118AB">
        <w:rPr>
          <w:i/>
          <w:iCs/>
        </w:rPr>
        <w:t>§ </w:t>
      </w:r>
      <w:r w:rsidR="00C60A18" w:rsidRPr="009118AB">
        <w:rPr>
          <w:i/>
          <w:iCs/>
        </w:rPr>
        <w:t xml:space="preserve">1 einziger Absatz </w:t>
      </w:r>
      <w:r w:rsidR="00D67EB8" w:rsidRPr="009118AB">
        <w:rPr>
          <w:i/>
          <w:iCs/>
        </w:rPr>
        <w:t>Nr. </w:t>
      </w:r>
      <w:r w:rsidR="00C60A18" w:rsidRPr="009118AB">
        <w:rPr>
          <w:i/>
          <w:iCs/>
        </w:rPr>
        <w:t xml:space="preserve">15 eingefügt durch </w:t>
      </w:r>
      <w:r w:rsidR="00D67EB8" w:rsidRPr="009118AB">
        <w:rPr>
          <w:i/>
          <w:iCs/>
        </w:rPr>
        <w:t>Art. </w:t>
      </w:r>
      <w:r w:rsidR="00C60A18" w:rsidRPr="009118AB">
        <w:rPr>
          <w:i/>
          <w:iCs/>
        </w:rPr>
        <w:t xml:space="preserve">8 </w:t>
      </w:r>
      <w:r w:rsidR="00D67EB8" w:rsidRPr="009118AB">
        <w:rPr>
          <w:i/>
          <w:iCs/>
        </w:rPr>
        <w:t>Nr. </w:t>
      </w:r>
      <w:r w:rsidR="00C60A18" w:rsidRPr="009118AB">
        <w:rPr>
          <w:i/>
          <w:iCs/>
        </w:rPr>
        <w:t>3</w:t>
      </w:r>
      <w:r w:rsidR="00C60A18" w:rsidRPr="009118AB">
        <w:rPr>
          <w:i/>
        </w:rPr>
        <w:t xml:space="preserve"> des G. vom 8. Mai 2014 (B.S. vom 28. Mai 2014)</w:t>
      </w:r>
      <w:r w:rsidR="00D67EB8" w:rsidRPr="009118AB">
        <w:rPr>
          <w:i/>
        </w:rPr>
        <w:t> - </w:t>
      </w:r>
      <w:r w:rsidR="00C60A18" w:rsidRPr="009118AB">
        <w:rPr>
          <w:i/>
          <w:iCs/>
        </w:rPr>
        <w:t>anwendbar ab dem Steuerjahr 2015</w:t>
      </w:r>
      <w:r w:rsidR="003366D9" w:rsidRPr="009118AB">
        <w:rPr>
          <w:i/>
          <w:iCs/>
        </w:rPr>
        <w:t> -;</w:t>
      </w:r>
      <w:r w:rsidR="00C60A18" w:rsidRPr="009118AB">
        <w:rPr>
          <w:i/>
          <w:iCs/>
        </w:rPr>
        <w:t xml:space="preserve"> </w:t>
      </w:r>
      <w:r w:rsidR="00D67EB8" w:rsidRPr="009118AB">
        <w:rPr>
          <w:i/>
          <w:iCs/>
        </w:rPr>
        <w:t>§ </w:t>
      </w:r>
      <w:r w:rsidR="00434769" w:rsidRPr="009118AB">
        <w:rPr>
          <w:i/>
          <w:iCs/>
        </w:rPr>
        <w:t xml:space="preserve">1 einziger Absatz </w:t>
      </w:r>
      <w:r w:rsidR="00D67EB8" w:rsidRPr="009118AB">
        <w:rPr>
          <w:i/>
          <w:iCs/>
        </w:rPr>
        <w:t>Nr. </w:t>
      </w:r>
      <w:r w:rsidR="00434769" w:rsidRPr="009118AB">
        <w:rPr>
          <w:i/>
          <w:iCs/>
        </w:rPr>
        <w:t xml:space="preserve">16 bis 18 eingefügt durch </w:t>
      </w:r>
      <w:r w:rsidR="00D67EB8" w:rsidRPr="009118AB">
        <w:rPr>
          <w:i/>
          <w:iCs/>
        </w:rPr>
        <w:t>Art. </w:t>
      </w:r>
      <w:r w:rsidR="00434769" w:rsidRPr="009118AB">
        <w:rPr>
          <w:i/>
          <w:iCs/>
        </w:rPr>
        <w:t>3 des G. vom 25. Dezember 2017 (III) (B.S. vom 29. Dezember 2017)</w:t>
      </w:r>
      <w:r w:rsidR="00D67EB8" w:rsidRPr="009118AB">
        <w:rPr>
          <w:i/>
          <w:iCs/>
        </w:rPr>
        <w:t> - </w:t>
      </w:r>
      <w:r w:rsidR="00434769" w:rsidRPr="009118AB">
        <w:rPr>
          <w:i/>
          <w:iCs/>
        </w:rPr>
        <w:t>in Kraft am 1. Januar 2019 und anwendbar ab dem Steuerjahr 2020, das sich auf einen Besteuerungszeitraum bezieht, der frühestens am 1. Januar 2019 beginnt</w:t>
      </w:r>
      <w:r w:rsidR="003366D9" w:rsidRPr="009118AB">
        <w:rPr>
          <w:i/>
          <w:iCs/>
        </w:rPr>
        <w:t> -;</w:t>
      </w:r>
      <w:r w:rsidR="00405084" w:rsidRPr="009118AB">
        <w:rPr>
          <w:i/>
          <w:iCs/>
        </w:rPr>
        <w:t xml:space="preserve"> </w:t>
      </w:r>
      <w:r w:rsidR="00D67EB8" w:rsidRPr="009118AB">
        <w:rPr>
          <w:i/>
          <w:iCs/>
        </w:rPr>
        <w:t>§ </w:t>
      </w:r>
      <w:r w:rsidR="00405084" w:rsidRPr="009118AB">
        <w:rPr>
          <w:i/>
          <w:iCs/>
        </w:rPr>
        <w:t xml:space="preserve">1 einziger Absatz </w:t>
      </w:r>
      <w:r w:rsidR="00D67EB8" w:rsidRPr="009118AB">
        <w:rPr>
          <w:i/>
          <w:iCs/>
        </w:rPr>
        <w:t>Nr. </w:t>
      </w:r>
      <w:r w:rsidR="00405084" w:rsidRPr="009118AB">
        <w:rPr>
          <w:i/>
          <w:iCs/>
        </w:rPr>
        <w:t xml:space="preserve">19 eingefügt durch </w:t>
      </w:r>
      <w:r w:rsidR="00D67EB8" w:rsidRPr="009118AB">
        <w:rPr>
          <w:i/>
          <w:iCs/>
        </w:rPr>
        <w:t>Art. </w:t>
      </w:r>
      <w:r w:rsidR="00405084" w:rsidRPr="009118AB">
        <w:rPr>
          <w:i/>
          <w:iCs/>
        </w:rPr>
        <w:t xml:space="preserve">7 </w:t>
      </w:r>
      <w:r w:rsidR="00D67EB8" w:rsidRPr="009118AB">
        <w:rPr>
          <w:i/>
          <w:iCs/>
        </w:rPr>
        <w:t>Nr. </w:t>
      </w:r>
      <w:r w:rsidR="00405084" w:rsidRPr="009118AB">
        <w:rPr>
          <w:i/>
          <w:iCs/>
        </w:rPr>
        <w:t>2 des G. vom 20. Dezember 2020 (II) (B.S. vom 30. Dezember 2020)</w:t>
      </w:r>
      <w:r w:rsidR="00D67EB8" w:rsidRPr="009118AB">
        <w:rPr>
          <w:i/>
          <w:iCs/>
        </w:rPr>
        <w:t> - </w:t>
      </w:r>
      <w:r w:rsidR="00405084" w:rsidRPr="009118AB">
        <w:rPr>
          <w:i/>
          <w:iCs/>
        </w:rPr>
        <w:t>in Kraft am 31. Dezember 2020</w:t>
      </w:r>
      <w:r w:rsidR="003366D9" w:rsidRPr="009118AB">
        <w:rPr>
          <w:i/>
          <w:iCs/>
        </w:rPr>
        <w:t> -;</w:t>
      </w:r>
      <w:r w:rsidR="00434769" w:rsidRPr="009118AB">
        <w:rPr>
          <w:i/>
          <w:iCs/>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 xml:space="preserve">33 </w:t>
      </w:r>
      <w:r w:rsidR="00D67EB8" w:rsidRPr="009118AB">
        <w:rPr>
          <w:i/>
          <w:iCs/>
        </w:rPr>
        <w:t>Nr. </w:t>
      </w:r>
      <w:r w:rsidRPr="009118AB">
        <w:rPr>
          <w:i/>
          <w:iCs/>
        </w:rPr>
        <w:t>2 des G.</w:t>
      </w:r>
      <w:r w:rsidR="00D9207E">
        <w:rPr>
          <w:i/>
          <w:iCs/>
        </w:rPr>
        <w:t xml:space="preserve"> </w:t>
      </w:r>
      <w:r w:rsidRPr="009118AB">
        <w:rPr>
          <w:i/>
          <w:iCs/>
        </w:rPr>
        <w:t>vom 15. Dezember 2004 (B.S. vom 1. Februar 2005)</w:t>
      </w:r>
      <w:r w:rsidR="00D67EB8" w:rsidRPr="009118AB">
        <w:rPr>
          <w:i/>
          <w:iCs/>
        </w:rPr>
        <w:t> - </w:t>
      </w:r>
      <w:r w:rsidRPr="009118AB">
        <w:rPr>
          <w:i/>
          <w:iCs/>
        </w:rPr>
        <w:t>anwendbar auf Vereinbarungen über die Leistung von dinglichen Sicherheiten und auf Verleihe mit Bezug auf Finanzinstrumente, die ab dem 1. Februar 2005 abgeschlossen werden</w:t>
      </w:r>
      <w:r w:rsidR="003366D9" w:rsidRPr="009118AB">
        <w:rPr>
          <w:i/>
          <w:iCs/>
        </w:rPr>
        <w:t> -;</w:t>
      </w:r>
      <w:r w:rsidR="00C60A18" w:rsidRPr="009118AB">
        <w:rPr>
          <w:i/>
          <w:iCs/>
        </w:rPr>
        <w:t xml:space="preserve"> </w:t>
      </w:r>
      <w:r w:rsidR="00D67EB8" w:rsidRPr="009118AB">
        <w:rPr>
          <w:i/>
          <w:iCs/>
        </w:rPr>
        <w:t>§ </w:t>
      </w:r>
      <w:r w:rsidR="00C60A18" w:rsidRPr="009118AB">
        <w:rPr>
          <w:i/>
          <w:iCs/>
        </w:rPr>
        <w:t xml:space="preserve">3 eingefügt durch </w:t>
      </w:r>
      <w:r w:rsidR="00D67EB8" w:rsidRPr="009118AB">
        <w:rPr>
          <w:i/>
          <w:iCs/>
        </w:rPr>
        <w:t>Art. </w:t>
      </w:r>
      <w:r w:rsidR="00C60A18" w:rsidRPr="009118AB">
        <w:rPr>
          <w:i/>
          <w:iCs/>
        </w:rPr>
        <w:t xml:space="preserve">8 </w:t>
      </w:r>
      <w:r w:rsidR="00D67EB8" w:rsidRPr="009118AB">
        <w:rPr>
          <w:i/>
          <w:iCs/>
        </w:rPr>
        <w:t>Nr. </w:t>
      </w:r>
      <w:r w:rsidR="00C60A18" w:rsidRPr="009118AB">
        <w:rPr>
          <w:i/>
          <w:iCs/>
        </w:rPr>
        <w:t>4</w:t>
      </w:r>
      <w:r w:rsidR="00C60A18" w:rsidRPr="009118AB">
        <w:rPr>
          <w:i/>
        </w:rPr>
        <w:t xml:space="preserve"> des G. vom 8. Mai 2014 (B.S. vom 28. Mai 2014)</w:t>
      </w:r>
      <w:r w:rsidR="00D67EB8" w:rsidRPr="009118AB">
        <w:rPr>
          <w:i/>
        </w:rPr>
        <w:t> - </w:t>
      </w:r>
      <w:r w:rsidR="00C60A18" w:rsidRPr="009118AB">
        <w:rPr>
          <w:i/>
          <w:iCs/>
        </w:rPr>
        <w:t>anwendbar ab dem Steuerjahr 2015</w:t>
      </w:r>
      <w:r w:rsidR="003366D9" w:rsidRPr="009118AB">
        <w:rPr>
          <w:i/>
          <w:iCs/>
        </w:rPr>
        <w:t> -;</w:t>
      </w:r>
      <w:r w:rsidR="00D2192B" w:rsidRPr="009118AB">
        <w:rPr>
          <w:i/>
          <w:iCs/>
        </w:rPr>
        <w:t xml:space="preserve"> </w:t>
      </w:r>
      <w:r w:rsidR="00D67EB8" w:rsidRPr="009118AB">
        <w:rPr>
          <w:i/>
          <w:iCs/>
        </w:rPr>
        <w:t>§ </w:t>
      </w:r>
      <w:r w:rsidR="00D2192B" w:rsidRPr="009118AB">
        <w:rPr>
          <w:i/>
          <w:iCs/>
        </w:rPr>
        <w:t xml:space="preserve">4 eingefügt durch </w:t>
      </w:r>
      <w:r w:rsidR="00D67EB8" w:rsidRPr="009118AB">
        <w:rPr>
          <w:i/>
          <w:iCs/>
        </w:rPr>
        <w:t>Art. </w:t>
      </w:r>
      <w:r w:rsidR="00D2192B" w:rsidRPr="009118AB">
        <w:rPr>
          <w:i/>
          <w:iCs/>
        </w:rPr>
        <w:t>84 Buchstabe c)</w:t>
      </w:r>
      <w:r w:rsidR="00D2192B" w:rsidRPr="009118AB">
        <w:rPr>
          <w:i/>
          <w:iCs/>
          <w:spacing w:val="-2"/>
        </w:rPr>
        <w:t xml:space="preserve"> des G. vom 11. Februar 2019 (B.S. vom 22. März 2020)</w:t>
      </w:r>
      <w:r w:rsidR="00D67EB8" w:rsidRPr="009118AB">
        <w:rPr>
          <w:i/>
          <w:iCs/>
          <w:spacing w:val="-2"/>
        </w:rPr>
        <w:t> - </w:t>
      </w:r>
      <w:r w:rsidR="00D2192B"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p>
    <w:p w14:paraId="28C81391" w14:textId="1EA35D79" w:rsidR="008E5855" w:rsidRPr="009118AB" w:rsidRDefault="008E5855" w:rsidP="00477B8F">
      <w:pPr>
        <w:autoSpaceDE w:val="0"/>
        <w:autoSpaceDN w:val="0"/>
        <w:adjustRightInd w:val="0"/>
        <w:jc w:val="both"/>
        <w:rPr>
          <w:iCs/>
        </w:rPr>
      </w:pPr>
    </w:p>
    <w:p w14:paraId="08EA3918" w14:textId="6ECDB1E7" w:rsidR="001B525B" w:rsidRDefault="001B525B">
      <w:pPr>
        <w:rPr>
          <w:iCs/>
          <w:sz w:val="20"/>
        </w:rPr>
      </w:pPr>
    </w:p>
    <w:p w14:paraId="16F46CA4" w14:textId="77777777" w:rsidR="00916AEA" w:rsidRDefault="00916AEA">
      <w:pPr>
        <w:rPr>
          <w:sz w:val="20"/>
          <w:szCs w:val="20"/>
        </w:rPr>
      </w:pPr>
      <w:r>
        <w:rPr>
          <w:sz w:val="20"/>
          <w:szCs w:val="20"/>
        </w:rPr>
        <w:br w:type="page"/>
      </w:r>
    </w:p>
    <w:p w14:paraId="691ADEC4" w14:textId="09FF01CB" w:rsidR="004755B9" w:rsidRPr="009118AB" w:rsidRDefault="004755B9" w:rsidP="004755B9">
      <w:pPr>
        <w:jc w:val="both"/>
        <w:rPr>
          <w:iCs/>
          <w:sz w:val="20"/>
        </w:rPr>
      </w:pPr>
      <w:r w:rsidRPr="00AC5372">
        <w:rPr>
          <w:sz w:val="20"/>
          <w:szCs w:val="20"/>
        </w:rPr>
        <w:lastRenderedPageBreak/>
        <w:t xml:space="preserve">Ab einem </w:t>
      </w:r>
      <w:r>
        <w:rPr>
          <w:sz w:val="20"/>
          <w:szCs w:val="20"/>
        </w:rPr>
        <w:t>gemäß Art. </w:t>
      </w:r>
      <w:r w:rsidRPr="004755B9">
        <w:rPr>
          <w:sz w:val="20"/>
          <w:szCs w:val="20"/>
        </w:rPr>
        <w:t>222 des G. vom 12. Mai 2024 (B.S. vom 30. Mai 2024) vom</w:t>
      </w:r>
      <w:r w:rsidRPr="00AC5372">
        <w:rPr>
          <w:sz w:val="20"/>
          <w:szCs w:val="20"/>
        </w:rPr>
        <w:t xml:space="preserve"> König festzulegenden Datum und spätestens am 1. Januar 2028 lautet Art. </w:t>
      </w:r>
      <w:r>
        <w:rPr>
          <w:sz w:val="20"/>
          <w:szCs w:val="20"/>
        </w:rPr>
        <w:t xml:space="preserve">2 </w:t>
      </w:r>
      <w:r w:rsidRPr="009118AB">
        <w:rPr>
          <w:iCs/>
          <w:sz w:val="20"/>
        </w:rPr>
        <w:t>wie folgt:</w:t>
      </w:r>
    </w:p>
    <w:p w14:paraId="644D01A4" w14:textId="7944EBD5" w:rsidR="008E5855" w:rsidRPr="009118AB" w:rsidRDefault="008E5855" w:rsidP="00477B8F">
      <w:pPr>
        <w:autoSpaceDE w:val="0"/>
        <w:autoSpaceDN w:val="0"/>
        <w:adjustRightInd w:val="0"/>
        <w:jc w:val="both"/>
        <w:rPr>
          <w:iCs/>
          <w:sz w:val="20"/>
        </w:rPr>
      </w:pPr>
    </w:p>
    <w:p w14:paraId="03E3848A" w14:textId="4804BCE0" w:rsidR="008E5855" w:rsidRPr="009118AB" w:rsidRDefault="008E5855" w:rsidP="008E5855">
      <w:pPr>
        <w:autoSpaceDE w:val="0"/>
        <w:autoSpaceDN w:val="0"/>
        <w:adjustRightInd w:val="0"/>
        <w:jc w:val="both"/>
        <w:rPr>
          <w:iCs/>
          <w:sz w:val="20"/>
        </w:rPr>
      </w:pPr>
      <w:r w:rsidRPr="009118AB">
        <w:rPr>
          <w:iCs/>
          <w:sz w:val="20"/>
        </w:rPr>
        <w:t>"</w:t>
      </w:r>
      <w:r w:rsidR="00D67EB8" w:rsidRPr="009118AB">
        <w:rPr>
          <w:iCs/>
          <w:sz w:val="20"/>
        </w:rPr>
        <w:t>Art. </w:t>
      </w:r>
      <w:r w:rsidRPr="009118AB">
        <w:rPr>
          <w:iCs/>
          <w:sz w:val="20"/>
        </w:rPr>
        <w:t>2</w:t>
      </w:r>
      <w:r w:rsidR="00D67EB8" w:rsidRPr="009118AB">
        <w:rPr>
          <w:iCs/>
          <w:sz w:val="20"/>
        </w:rPr>
        <w:t> - </w:t>
      </w:r>
      <w:r w:rsidRPr="009118AB">
        <w:rPr>
          <w:iCs/>
          <w:sz w:val="20"/>
        </w:rPr>
        <w:t>[</w:t>
      </w:r>
      <w:r w:rsidR="00D67EB8" w:rsidRPr="009118AB">
        <w:rPr>
          <w:iCs/>
          <w:sz w:val="20"/>
        </w:rPr>
        <w:t>§ </w:t>
      </w:r>
      <w:r w:rsidRPr="009118AB">
        <w:rPr>
          <w:iCs/>
          <w:sz w:val="20"/>
        </w:rPr>
        <w:t>1]</w:t>
      </w:r>
      <w:r w:rsidR="00D67EB8" w:rsidRPr="009118AB">
        <w:rPr>
          <w:iCs/>
          <w:sz w:val="20"/>
        </w:rPr>
        <w:t> - </w:t>
      </w:r>
      <w:r w:rsidRPr="009118AB">
        <w:rPr>
          <w:iCs/>
          <w:sz w:val="20"/>
        </w:rPr>
        <w:t>[Für die Anwendung des vorliegenden Gesetzbuches, der besonderen Gesetzesbestimmungen über Einkommensteuern und ihrer Ausführungserlasse haben folgende Begriffe die in vorliegendem Artikel definierte Bedeutung.</w:t>
      </w:r>
    </w:p>
    <w:p w14:paraId="4A604C3E" w14:textId="77777777" w:rsidR="008E5855" w:rsidRPr="009118AB" w:rsidRDefault="008E5855" w:rsidP="008E5855">
      <w:pPr>
        <w:autoSpaceDE w:val="0"/>
        <w:autoSpaceDN w:val="0"/>
        <w:adjustRightInd w:val="0"/>
        <w:jc w:val="both"/>
        <w:rPr>
          <w:iCs/>
          <w:sz w:val="20"/>
        </w:rPr>
      </w:pPr>
    </w:p>
    <w:p w14:paraId="6B59C382" w14:textId="24A66298" w:rsidR="008E5855" w:rsidRPr="009118AB" w:rsidRDefault="008E5855" w:rsidP="008E5855">
      <w:pPr>
        <w:autoSpaceDE w:val="0"/>
        <w:autoSpaceDN w:val="0"/>
        <w:adjustRightInd w:val="0"/>
        <w:jc w:val="both"/>
        <w:rPr>
          <w:iCs/>
          <w:sz w:val="20"/>
        </w:rPr>
      </w:pPr>
      <w:r w:rsidRPr="009118AB">
        <w:rPr>
          <w:iCs/>
          <w:sz w:val="20"/>
        </w:rPr>
        <w:t>1. Einwohner des Königreichs</w:t>
      </w:r>
    </w:p>
    <w:p w14:paraId="6DAE3C06" w14:textId="77777777" w:rsidR="008E5855" w:rsidRPr="009118AB" w:rsidRDefault="008E5855" w:rsidP="008E5855">
      <w:pPr>
        <w:autoSpaceDE w:val="0"/>
        <w:autoSpaceDN w:val="0"/>
        <w:adjustRightInd w:val="0"/>
        <w:jc w:val="both"/>
        <w:rPr>
          <w:iCs/>
          <w:sz w:val="20"/>
        </w:rPr>
      </w:pPr>
    </w:p>
    <w:p w14:paraId="50419E4D" w14:textId="47E90A56" w:rsidR="008E5855" w:rsidRPr="009118AB" w:rsidRDefault="008E5855" w:rsidP="008E5855">
      <w:pPr>
        <w:autoSpaceDE w:val="0"/>
        <w:autoSpaceDN w:val="0"/>
        <w:adjustRightInd w:val="0"/>
        <w:jc w:val="both"/>
        <w:rPr>
          <w:iCs/>
          <w:sz w:val="20"/>
        </w:rPr>
      </w:pPr>
      <w:r w:rsidRPr="009118AB">
        <w:rPr>
          <w:iCs/>
          <w:sz w:val="20"/>
        </w:rPr>
        <w:t>Unter Einwohnern des Königreichs versteht man:</w:t>
      </w:r>
    </w:p>
    <w:p w14:paraId="0062CE03" w14:textId="77777777" w:rsidR="008E5855" w:rsidRPr="009118AB" w:rsidRDefault="008E5855" w:rsidP="008E5855">
      <w:pPr>
        <w:autoSpaceDE w:val="0"/>
        <w:autoSpaceDN w:val="0"/>
        <w:adjustRightInd w:val="0"/>
        <w:jc w:val="both"/>
        <w:rPr>
          <w:iCs/>
          <w:sz w:val="20"/>
        </w:rPr>
      </w:pPr>
    </w:p>
    <w:p w14:paraId="6985FAFD" w14:textId="785CE8BA" w:rsidR="008E5855" w:rsidRPr="009118AB" w:rsidRDefault="008E5855" w:rsidP="008E5855">
      <w:pPr>
        <w:autoSpaceDE w:val="0"/>
        <w:autoSpaceDN w:val="0"/>
        <w:adjustRightInd w:val="0"/>
        <w:jc w:val="both"/>
        <w:rPr>
          <w:iCs/>
          <w:sz w:val="20"/>
        </w:rPr>
      </w:pPr>
      <w:r w:rsidRPr="009118AB">
        <w:rPr>
          <w:i/>
          <w:iCs/>
          <w:sz w:val="20"/>
        </w:rPr>
        <w:t>a)</w:t>
      </w:r>
      <w:r w:rsidRPr="009118AB">
        <w:rPr>
          <w:iCs/>
          <w:sz w:val="20"/>
        </w:rPr>
        <w:t xml:space="preserve"> [natürliche Personen:</w:t>
      </w:r>
    </w:p>
    <w:p w14:paraId="53FABB10" w14:textId="77777777" w:rsidR="008E5855" w:rsidRPr="009118AB" w:rsidRDefault="008E5855" w:rsidP="008E5855">
      <w:pPr>
        <w:autoSpaceDE w:val="0"/>
        <w:autoSpaceDN w:val="0"/>
        <w:adjustRightInd w:val="0"/>
        <w:jc w:val="both"/>
        <w:rPr>
          <w:iCs/>
          <w:sz w:val="20"/>
        </w:rPr>
      </w:pPr>
    </w:p>
    <w:p w14:paraId="54E74667" w14:textId="1F591CFC" w:rsidR="008E5855" w:rsidRPr="009118AB" w:rsidRDefault="008E5855" w:rsidP="008E5855">
      <w:pPr>
        <w:autoSpaceDE w:val="0"/>
        <w:autoSpaceDN w:val="0"/>
        <w:adjustRightInd w:val="0"/>
        <w:jc w:val="both"/>
        <w:rPr>
          <w:iCs/>
          <w:sz w:val="20"/>
        </w:rPr>
      </w:pPr>
      <w:r w:rsidRPr="009118AB">
        <w:rPr>
          <w:iCs/>
          <w:sz w:val="20"/>
        </w:rPr>
        <w:t>- deren Wohnsitz in Belgien liegt,</w:t>
      </w:r>
    </w:p>
    <w:p w14:paraId="77CA6426" w14:textId="77777777" w:rsidR="008E5855" w:rsidRPr="009118AB" w:rsidRDefault="008E5855" w:rsidP="008E5855">
      <w:pPr>
        <w:autoSpaceDE w:val="0"/>
        <w:autoSpaceDN w:val="0"/>
        <w:adjustRightInd w:val="0"/>
        <w:jc w:val="both"/>
        <w:rPr>
          <w:iCs/>
          <w:sz w:val="20"/>
        </w:rPr>
      </w:pPr>
    </w:p>
    <w:p w14:paraId="4B939856" w14:textId="2A70F73F" w:rsidR="008E5855" w:rsidRPr="009118AB" w:rsidRDefault="008E5855" w:rsidP="008E5855">
      <w:pPr>
        <w:autoSpaceDE w:val="0"/>
        <w:autoSpaceDN w:val="0"/>
        <w:adjustRightInd w:val="0"/>
        <w:jc w:val="both"/>
        <w:rPr>
          <w:iCs/>
          <w:sz w:val="20"/>
        </w:rPr>
      </w:pPr>
      <w:r w:rsidRPr="009118AB">
        <w:rPr>
          <w:iCs/>
          <w:sz w:val="20"/>
        </w:rPr>
        <w:t>- deren Vermögenssitz in Belgien liegt, wenn sie keinen Wohnsitz in Belgien haben,]</w:t>
      </w:r>
    </w:p>
    <w:p w14:paraId="7847ED23" w14:textId="77777777" w:rsidR="008E5855" w:rsidRPr="009118AB" w:rsidRDefault="008E5855" w:rsidP="008E5855">
      <w:pPr>
        <w:autoSpaceDE w:val="0"/>
        <w:autoSpaceDN w:val="0"/>
        <w:adjustRightInd w:val="0"/>
        <w:jc w:val="both"/>
        <w:rPr>
          <w:iCs/>
          <w:sz w:val="20"/>
        </w:rPr>
      </w:pPr>
    </w:p>
    <w:p w14:paraId="7A614602" w14:textId="4ACA0606" w:rsidR="008E5855" w:rsidRPr="009118AB" w:rsidRDefault="008E5855" w:rsidP="008E5855">
      <w:pPr>
        <w:autoSpaceDE w:val="0"/>
        <w:autoSpaceDN w:val="0"/>
        <w:adjustRightInd w:val="0"/>
        <w:jc w:val="both"/>
        <w:rPr>
          <w:iCs/>
          <w:sz w:val="20"/>
        </w:rPr>
      </w:pPr>
      <w:r w:rsidRPr="009118AB">
        <w:rPr>
          <w:i/>
          <w:iCs/>
          <w:sz w:val="20"/>
        </w:rPr>
        <w:t>b)</w:t>
      </w:r>
      <w:r w:rsidRPr="009118AB">
        <w:rPr>
          <w:iCs/>
          <w:sz w:val="20"/>
        </w:rPr>
        <w:t xml:space="preserve"> belgische diplomatische und berufskonsularische Vertreter, die im Ausland akkreditiert sind, und in ihrem Haushalt lebende Familienmitglieder,</w:t>
      </w:r>
    </w:p>
    <w:p w14:paraId="00C7A2F5" w14:textId="77777777" w:rsidR="008E5855" w:rsidRPr="009118AB" w:rsidRDefault="008E5855" w:rsidP="008E5855">
      <w:pPr>
        <w:autoSpaceDE w:val="0"/>
        <w:autoSpaceDN w:val="0"/>
        <w:adjustRightInd w:val="0"/>
        <w:jc w:val="both"/>
        <w:rPr>
          <w:iCs/>
          <w:sz w:val="20"/>
        </w:rPr>
      </w:pPr>
    </w:p>
    <w:p w14:paraId="05C33799" w14:textId="435601BA" w:rsidR="008E5855" w:rsidRPr="009118AB" w:rsidRDefault="008E5855" w:rsidP="008E5855">
      <w:pPr>
        <w:autoSpaceDE w:val="0"/>
        <w:autoSpaceDN w:val="0"/>
        <w:adjustRightInd w:val="0"/>
        <w:jc w:val="both"/>
        <w:rPr>
          <w:iCs/>
          <w:sz w:val="20"/>
        </w:rPr>
      </w:pPr>
      <w:r w:rsidRPr="009118AB">
        <w:rPr>
          <w:i/>
          <w:iCs/>
          <w:sz w:val="20"/>
        </w:rPr>
        <w:t>c)</w:t>
      </w:r>
      <w:r w:rsidRPr="009118AB">
        <w:rPr>
          <w:iCs/>
          <w:sz w:val="20"/>
        </w:rPr>
        <w:t xml:space="preserve"> andere Mitglieder belgischer diplomatischer Missionen und konsularischer Vertretungen im Ausland[, die ihre Tätigkeiten im Ausland ausüben in einem Land, dessen Staatsangehörige sie nicht sind oder in dem sie nicht ständig ansässig sind,] und in ihrem Haushalt lebende Familienmitglieder, ausschließlich ehrenamtlicher Konsularbeamter,</w:t>
      </w:r>
    </w:p>
    <w:p w14:paraId="2D388A9A" w14:textId="77777777" w:rsidR="008E5855" w:rsidRPr="009118AB" w:rsidRDefault="008E5855" w:rsidP="008E5855">
      <w:pPr>
        <w:autoSpaceDE w:val="0"/>
        <w:autoSpaceDN w:val="0"/>
        <w:adjustRightInd w:val="0"/>
        <w:jc w:val="both"/>
        <w:rPr>
          <w:iCs/>
          <w:sz w:val="20"/>
        </w:rPr>
      </w:pPr>
    </w:p>
    <w:p w14:paraId="6D2A06C0" w14:textId="558D0579" w:rsidR="008E5855" w:rsidRPr="009118AB" w:rsidRDefault="008E5855" w:rsidP="008E5855">
      <w:pPr>
        <w:autoSpaceDE w:val="0"/>
        <w:autoSpaceDN w:val="0"/>
        <w:adjustRightInd w:val="0"/>
        <w:jc w:val="both"/>
        <w:rPr>
          <w:iCs/>
          <w:sz w:val="20"/>
        </w:rPr>
      </w:pPr>
      <w:r w:rsidRPr="009118AB">
        <w:rPr>
          <w:i/>
          <w:iCs/>
          <w:sz w:val="20"/>
        </w:rPr>
        <w:t>d)</w:t>
      </w:r>
      <w:r w:rsidRPr="009118AB">
        <w:rPr>
          <w:iCs/>
          <w:sz w:val="20"/>
        </w:rPr>
        <w:t xml:space="preserve"> andere Beamte, Bedienstete und Vertreter oder Beauftragte des Belgischen Staates, der Gemeinschaften, Regionen, Provinzen, Agglomerationen, Gemeindeföderationen und Gemeinden und belgischer öffentlich-rechtlicher Einrichtungen, die die belgische Staatsangehörigkeit besitzen und ihre Tätigkeiten im Ausland ausüben in einem Land, in dem sie nicht ständig ansässig sind.</w:t>
      </w:r>
    </w:p>
    <w:p w14:paraId="0051D546" w14:textId="77777777" w:rsidR="008E5855" w:rsidRPr="009118AB" w:rsidRDefault="008E5855" w:rsidP="008E5855">
      <w:pPr>
        <w:autoSpaceDE w:val="0"/>
        <w:autoSpaceDN w:val="0"/>
        <w:adjustRightInd w:val="0"/>
        <w:jc w:val="both"/>
        <w:rPr>
          <w:iCs/>
          <w:sz w:val="20"/>
        </w:rPr>
      </w:pPr>
    </w:p>
    <w:p w14:paraId="5E6F8E4F" w14:textId="1E17E90C" w:rsidR="008E5855" w:rsidRPr="009118AB" w:rsidRDefault="008E5855" w:rsidP="008E5855">
      <w:pPr>
        <w:autoSpaceDE w:val="0"/>
        <w:autoSpaceDN w:val="0"/>
        <w:adjustRightInd w:val="0"/>
        <w:jc w:val="both"/>
        <w:rPr>
          <w:iCs/>
          <w:sz w:val="20"/>
        </w:rPr>
      </w:pPr>
      <w:r w:rsidRPr="009118AB">
        <w:rPr>
          <w:iCs/>
          <w:sz w:val="20"/>
        </w:rPr>
        <w:t>Die Begründung des Wohn- oder Vermögenssitzes in Belgien wird entsprechend den Umständen beurteilt. Außer Beweis des Gegenteils wird jedoch angenommen, dass [der Wohnsitz] von natürlichen Personen, die im Nationalregister der natürlichen Personen eingetragen sind, in Belgien liegt.</w:t>
      </w:r>
    </w:p>
    <w:p w14:paraId="78B34929" w14:textId="77777777" w:rsidR="008E5855" w:rsidRPr="009118AB" w:rsidRDefault="008E5855" w:rsidP="008E5855">
      <w:pPr>
        <w:autoSpaceDE w:val="0"/>
        <w:autoSpaceDN w:val="0"/>
        <w:adjustRightInd w:val="0"/>
        <w:jc w:val="both"/>
        <w:rPr>
          <w:iCs/>
          <w:sz w:val="20"/>
        </w:rPr>
      </w:pPr>
      <w:r w:rsidRPr="009118AB">
        <w:rPr>
          <w:iCs/>
          <w:sz w:val="20"/>
        </w:rPr>
        <w:tab/>
      </w:r>
    </w:p>
    <w:p w14:paraId="110A97AB" w14:textId="10526C7B" w:rsidR="008E5855" w:rsidRPr="009118AB" w:rsidRDefault="008E5855" w:rsidP="008E5855">
      <w:pPr>
        <w:autoSpaceDE w:val="0"/>
        <w:autoSpaceDN w:val="0"/>
        <w:adjustRightInd w:val="0"/>
        <w:jc w:val="both"/>
        <w:rPr>
          <w:iCs/>
          <w:sz w:val="20"/>
        </w:rPr>
      </w:pPr>
      <w:r w:rsidRPr="009118AB">
        <w:rPr>
          <w:iCs/>
          <w:sz w:val="20"/>
        </w:rPr>
        <w:t xml:space="preserve">Für verheiratete Personen, die nicht durch eine der in Artikel 126 </w:t>
      </w:r>
      <w:r w:rsidR="00D67EB8" w:rsidRPr="009118AB">
        <w:rPr>
          <w:iCs/>
          <w:sz w:val="20"/>
        </w:rPr>
        <w:t>§ </w:t>
      </w:r>
      <w:r w:rsidRPr="009118AB">
        <w:rPr>
          <w:iCs/>
          <w:sz w:val="20"/>
        </w:rPr>
        <w:t>2 Absatz 1 erwähnten Bestimmungen erfasst werden, liegt der Steuerwohnsitz dort, wo sich der Familienhaushalt befindet.</w:t>
      </w:r>
    </w:p>
    <w:p w14:paraId="5E6932A4" w14:textId="77777777" w:rsidR="008E5855" w:rsidRPr="009118AB" w:rsidRDefault="008E5855" w:rsidP="008E5855">
      <w:pPr>
        <w:autoSpaceDE w:val="0"/>
        <w:autoSpaceDN w:val="0"/>
        <w:adjustRightInd w:val="0"/>
        <w:jc w:val="both"/>
        <w:rPr>
          <w:iCs/>
          <w:sz w:val="20"/>
        </w:rPr>
      </w:pPr>
    </w:p>
    <w:p w14:paraId="04C8AE46" w14:textId="3017CAF8" w:rsidR="008E5855" w:rsidRPr="009118AB" w:rsidRDefault="008E5855" w:rsidP="008E5855">
      <w:pPr>
        <w:autoSpaceDE w:val="0"/>
        <w:autoSpaceDN w:val="0"/>
        <w:adjustRightInd w:val="0"/>
        <w:jc w:val="both"/>
        <w:rPr>
          <w:iCs/>
          <w:sz w:val="20"/>
        </w:rPr>
      </w:pPr>
      <w:r w:rsidRPr="009118AB">
        <w:rPr>
          <w:iCs/>
          <w:sz w:val="20"/>
        </w:rPr>
        <w:t>2. Verheiratete Personen und Ehepartner</w:t>
      </w:r>
      <w:r w:rsidR="00D67EB8" w:rsidRPr="009118AB">
        <w:rPr>
          <w:iCs/>
          <w:sz w:val="20"/>
        </w:rPr>
        <w:t> - </w:t>
      </w:r>
      <w:r w:rsidRPr="009118AB">
        <w:rPr>
          <w:iCs/>
          <w:sz w:val="20"/>
        </w:rPr>
        <w:t>gesetzlich Zusammenwohnende</w:t>
      </w:r>
    </w:p>
    <w:p w14:paraId="21D26E1A" w14:textId="77777777" w:rsidR="008E5855" w:rsidRPr="009118AB" w:rsidRDefault="008E5855" w:rsidP="008E5855">
      <w:pPr>
        <w:autoSpaceDE w:val="0"/>
        <w:autoSpaceDN w:val="0"/>
        <w:adjustRightInd w:val="0"/>
        <w:jc w:val="both"/>
        <w:rPr>
          <w:iCs/>
          <w:sz w:val="20"/>
        </w:rPr>
      </w:pPr>
      <w:r w:rsidRPr="009118AB">
        <w:rPr>
          <w:iCs/>
          <w:sz w:val="20"/>
        </w:rPr>
        <w:tab/>
      </w:r>
    </w:p>
    <w:p w14:paraId="20D6978A" w14:textId="3C29B807" w:rsidR="008E5855" w:rsidRPr="009118AB" w:rsidRDefault="008E5855" w:rsidP="008E5855">
      <w:pPr>
        <w:autoSpaceDE w:val="0"/>
        <w:autoSpaceDN w:val="0"/>
        <w:adjustRightInd w:val="0"/>
        <w:jc w:val="both"/>
        <w:rPr>
          <w:iCs/>
          <w:sz w:val="20"/>
        </w:rPr>
      </w:pPr>
      <w:r w:rsidRPr="009118AB">
        <w:rPr>
          <w:iCs/>
          <w:sz w:val="20"/>
        </w:rPr>
        <w:t>Gesetzlich Zusammenwohnende werden verheirateten Personen gleichgestellt und ein gesetzlich Zusammenwohnender wird einem Ehepartner gleichgestellt.</w:t>
      </w:r>
    </w:p>
    <w:p w14:paraId="63805688" w14:textId="77777777" w:rsidR="008E5855" w:rsidRPr="009118AB" w:rsidRDefault="008E5855" w:rsidP="008E5855">
      <w:pPr>
        <w:autoSpaceDE w:val="0"/>
        <w:autoSpaceDN w:val="0"/>
        <w:adjustRightInd w:val="0"/>
        <w:jc w:val="both"/>
        <w:rPr>
          <w:iCs/>
          <w:sz w:val="20"/>
        </w:rPr>
      </w:pPr>
    </w:p>
    <w:p w14:paraId="4D849199" w14:textId="2785BF5C" w:rsidR="008E5855" w:rsidRPr="009118AB" w:rsidRDefault="008E5855" w:rsidP="008E5855">
      <w:pPr>
        <w:autoSpaceDE w:val="0"/>
        <w:autoSpaceDN w:val="0"/>
        <w:adjustRightInd w:val="0"/>
        <w:jc w:val="both"/>
        <w:rPr>
          <w:iCs/>
          <w:sz w:val="20"/>
        </w:rPr>
      </w:pPr>
      <w:r w:rsidRPr="009118AB">
        <w:rPr>
          <w:iCs/>
          <w:sz w:val="20"/>
        </w:rPr>
        <w:t>3. Gemeinsame Veranlagung</w:t>
      </w:r>
    </w:p>
    <w:p w14:paraId="71D26D86" w14:textId="77777777" w:rsidR="008E5855" w:rsidRPr="009118AB" w:rsidRDefault="008E5855" w:rsidP="008E5855">
      <w:pPr>
        <w:autoSpaceDE w:val="0"/>
        <w:autoSpaceDN w:val="0"/>
        <w:adjustRightInd w:val="0"/>
        <w:jc w:val="both"/>
        <w:rPr>
          <w:iCs/>
          <w:sz w:val="20"/>
        </w:rPr>
      </w:pPr>
    </w:p>
    <w:p w14:paraId="478C652F" w14:textId="77777777" w:rsidR="00234B39" w:rsidRPr="009118AB" w:rsidRDefault="008E5855" w:rsidP="00234B39">
      <w:pPr>
        <w:autoSpaceDE w:val="0"/>
        <w:autoSpaceDN w:val="0"/>
        <w:adjustRightInd w:val="0"/>
        <w:jc w:val="both"/>
        <w:rPr>
          <w:iCs/>
          <w:sz w:val="20"/>
        </w:rPr>
      </w:pPr>
      <w:r w:rsidRPr="009118AB">
        <w:rPr>
          <w:iCs/>
          <w:sz w:val="20"/>
        </w:rPr>
        <w:t>Unter gemeinsamer Veranlagung versteht man die Festlegung einer einzigen Veranlagung auf den Namen der beiden Ehepartner oder der beiden gesetzlich Zusammenwohnenden.</w:t>
      </w:r>
    </w:p>
    <w:p w14:paraId="7A33977E" w14:textId="70128CD8" w:rsidR="000A1286" w:rsidRPr="009118AB" w:rsidRDefault="000A1286" w:rsidP="00234B39">
      <w:pPr>
        <w:autoSpaceDE w:val="0"/>
        <w:autoSpaceDN w:val="0"/>
        <w:adjustRightInd w:val="0"/>
        <w:jc w:val="both"/>
        <w:rPr>
          <w:iCs/>
          <w:sz w:val="20"/>
        </w:rPr>
      </w:pPr>
    </w:p>
    <w:p w14:paraId="4FDACECC" w14:textId="47BEB507" w:rsidR="008E5855" w:rsidRPr="009118AB" w:rsidRDefault="008E5855" w:rsidP="008E5855">
      <w:pPr>
        <w:autoSpaceDE w:val="0"/>
        <w:autoSpaceDN w:val="0"/>
        <w:adjustRightInd w:val="0"/>
        <w:jc w:val="both"/>
        <w:rPr>
          <w:iCs/>
          <w:sz w:val="20"/>
        </w:rPr>
      </w:pPr>
      <w:r w:rsidRPr="009118AB">
        <w:rPr>
          <w:iCs/>
          <w:sz w:val="20"/>
        </w:rPr>
        <w:t>4. Kinder</w:t>
      </w:r>
    </w:p>
    <w:p w14:paraId="183C3CDB" w14:textId="77777777" w:rsidR="008E5855" w:rsidRPr="009118AB" w:rsidRDefault="008E5855" w:rsidP="008E5855">
      <w:pPr>
        <w:autoSpaceDE w:val="0"/>
        <w:autoSpaceDN w:val="0"/>
        <w:adjustRightInd w:val="0"/>
        <w:jc w:val="both"/>
        <w:rPr>
          <w:iCs/>
          <w:sz w:val="20"/>
        </w:rPr>
      </w:pPr>
    </w:p>
    <w:p w14:paraId="59F761BE" w14:textId="462C9626" w:rsidR="008E5855" w:rsidRPr="009118AB" w:rsidRDefault="008E5855" w:rsidP="008E5855">
      <w:pPr>
        <w:autoSpaceDE w:val="0"/>
        <w:autoSpaceDN w:val="0"/>
        <w:adjustRightInd w:val="0"/>
        <w:jc w:val="both"/>
        <w:rPr>
          <w:iCs/>
          <w:sz w:val="20"/>
        </w:rPr>
      </w:pPr>
      <w:r w:rsidRPr="009118AB">
        <w:rPr>
          <w:iCs/>
          <w:sz w:val="20"/>
        </w:rPr>
        <w:t>Unter Kindern versteht man die Nachkommen des Steuerpflichtigen und die seines Ehepartners und Kinder, die ausschließlich oder hauptsächlich er zu Lasten hat.</w:t>
      </w:r>
    </w:p>
    <w:p w14:paraId="026D9B1B" w14:textId="77777777" w:rsidR="008E5855" w:rsidRPr="009118AB" w:rsidRDefault="008E5855" w:rsidP="008E5855">
      <w:pPr>
        <w:autoSpaceDE w:val="0"/>
        <w:autoSpaceDN w:val="0"/>
        <w:adjustRightInd w:val="0"/>
        <w:jc w:val="both"/>
        <w:rPr>
          <w:iCs/>
          <w:sz w:val="20"/>
        </w:rPr>
      </w:pPr>
    </w:p>
    <w:p w14:paraId="41E40F8F" w14:textId="37891A81" w:rsidR="008E5855" w:rsidRPr="009118AB" w:rsidRDefault="008E5855" w:rsidP="008E5855">
      <w:pPr>
        <w:autoSpaceDE w:val="0"/>
        <w:autoSpaceDN w:val="0"/>
        <w:adjustRightInd w:val="0"/>
        <w:jc w:val="both"/>
        <w:rPr>
          <w:iCs/>
          <w:sz w:val="20"/>
        </w:rPr>
      </w:pPr>
      <w:r w:rsidRPr="009118AB">
        <w:rPr>
          <w:iCs/>
          <w:sz w:val="20"/>
        </w:rPr>
        <w:t>[4/1. Mittleres Unternehmen</w:t>
      </w:r>
    </w:p>
    <w:p w14:paraId="6535B5FE" w14:textId="77777777" w:rsidR="008E5855" w:rsidRPr="009118AB" w:rsidRDefault="008E5855" w:rsidP="008E5855">
      <w:pPr>
        <w:autoSpaceDE w:val="0"/>
        <w:autoSpaceDN w:val="0"/>
        <w:adjustRightInd w:val="0"/>
        <w:jc w:val="both"/>
        <w:rPr>
          <w:iCs/>
          <w:sz w:val="20"/>
        </w:rPr>
      </w:pPr>
    </w:p>
    <w:p w14:paraId="5893C855" w14:textId="21CA9384" w:rsidR="008E5855" w:rsidRPr="009118AB" w:rsidRDefault="008E5855" w:rsidP="008E5855">
      <w:pPr>
        <w:autoSpaceDE w:val="0"/>
        <w:autoSpaceDN w:val="0"/>
        <w:adjustRightInd w:val="0"/>
        <w:jc w:val="both"/>
        <w:rPr>
          <w:iCs/>
          <w:sz w:val="20"/>
        </w:rPr>
      </w:pPr>
      <w:r w:rsidRPr="009118AB">
        <w:rPr>
          <w:iCs/>
          <w:sz w:val="20"/>
        </w:rPr>
        <w:t>Unter mittlerem Unternehmen versteht man eine natürliche oder juristische Person, die eine wirtschaftliche Tätigkeit ausübt, die während mindestens zweier der letzten drei abgeschlossenen Besteuerungszeiträume eine durchschnittliche Beschäftigtenzahl von weniger als 250 Personen in Vollzeitgleichwerten hat und:</w:t>
      </w:r>
    </w:p>
    <w:p w14:paraId="387956C5" w14:textId="77777777" w:rsidR="008E5855" w:rsidRPr="009118AB" w:rsidRDefault="008E5855" w:rsidP="008E5855">
      <w:pPr>
        <w:autoSpaceDE w:val="0"/>
        <w:autoSpaceDN w:val="0"/>
        <w:adjustRightInd w:val="0"/>
        <w:jc w:val="both"/>
        <w:rPr>
          <w:iCs/>
          <w:sz w:val="20"/>
        </w:rPr>
      </w:pPr>
    </w:p>
    <w:p w14:paraId="2202A101" w14:textId="738A01D2" w:rsidR="008E5855" w:rsidRPr="009118AB" w:rsidRDefault="008E5855" w:rsidP="008E5855">
      <w:pPr>
        <w:autoSpaceDE w:val="0"/>
        <w:autoSpaceDN w:val="0"/>
        <w:adjustRightInd w:val="0"/>
        <w:jc w:val="both"/>
        <w:rPr>
          <w:iCs/>
          <w:sz w:val="20"/>
        </w:rPr>
      </w:pPr>
      <w:r w:rsidRPr="009118AB">
        <w:rPr>
          <w:iCs/>
          <w:sz w:val="20"/>
        </w:rPr>
        <w:t>- die einen Umsatz ohne Mehrwertsteuer mit einem Höchstbetrag von 50 Mil</w:t>
      </w:r>
      <w:r w:rsidRPr="009118AB">
        <w:rPr>
          <w:iCs/>
          <w:sz w:val="20"/>
        </w:rPr>
        <w:softHyphen/>
        <w:t>lionen EUR erzielt oder</w:t>
      </w:r>
    </w:p>
    <w:p w14:paraId="59E76A3F" w14:textId="77777777" w:rsidR="008E5855" w:rsidRPr="009118AB" w:rsidRDefault="008E5855" w:rsidP="008E5855">
      <w:pPr>
        <w:autoSpaceDE w:val="0"/>
        <w:autoSpaceDN w:val="0"/>
        <w:adjustRightInd w:val="0"/>
        <w:jc w:val="both"/>
        <w:rPr>
          <w:iCs/>
          <w:sz w:val="20"/>
        </w:rPr>
      </w:pPr>
    </w:p>
    <w:p w14:paraId="1DE3C649" w14:textId="1074D173" w:rsidR="008E5855" w:rsidRPr="009118AB" w:rsidRDefault="008E5855" w:rsidP="008E5855">
      <w:pPr>
        <w:autoSpaceDE w:val="0"/>
        <w:autoSpaceDN w:val="0"/>
        <w:adjustRightInd w:val="0"/>
        <w:jc w:val="both"/>
        <w:rPr>
          <w:iCs/>
          <w:sz w:val="20"/>
        </w:rPr>
      </w:pPr>
      <w:r w:rsidRPr="009118AB">
        <w:rPr>
          <w:iCs/>
          <w:sz w:val="20"/>
        </w:rPr>
        <w:lastRenderedPageBreak/>
        <w:t>- deren Bilanzsumme sich auf einen Höchstbetrag von 43 Millionen EUR beläuft.</w:t>
      </w:r>
    </w:p>
    <w:p w14:paraId="463A985D" w14:textId="77777777" w:rsidR="008E5855" w:rsidRPr="009118AB" w:rsidRDefault="008E5855" w:rsidP="008E5855">
      <w:pPr>
        <w:autoSpaceDE w:val="0"/>
        <w:autoSpaceDN w:val="0"/>
        <w:adjustRightInd w:val="0"/>
        <w:jc w:val="both"/>
        <w:rPr>
          <w:iCs/>
          <w:sz w:val="20"/>
        </w:rPr>
      </w:pPr>
    </w:p>
    <w:p w14:paraId="50F40A51" w14:textId="6C93DB80" w:rsidR="008E5855" w:rsidRPr="009118AB" w:rsidRDefault="008E5855" w:rsidP="008E5855">
      <w:pPr>
        <w:autoSpaceDE w:val="0"/>
        <w:autoSpaceDN w:val="0"/>
        <w:adjustRightInd w:val="0"/>
        <w:jc w:val="both"/>
        <w:rPr>
          <w:iCs/>
          <w:sz w:val="20"/>
        </w:rPr>
      </w:pPr>
      <w:r w:rsidRPr="009118AB">
        <w:rPr>
          <w:iCs/>
          <w:sz w:val="20"/>
        </w:rPr>
        <w:t>Hat der Besteuerungszeitraum eine Dauer, die zwölf Monate unter- beziehungsweise überschreitet, wird der Betrag des in Absatz 1 erwähnten Umsatzes ohne Mehrwertsteuer mit einem Bruch multipliziert, dessen Nenner zwölf ist und dessen Zähler der Anzahl Monate entspricht, die der in Betracht gezogene Besteuerungszeitraum umfasst, wobei jeder begonnene Monat als voller Monat zählt.</w:t>
      </w:r>
    </w:p>
    <w:p w14:paraId="3D3C99CC" w14:textId="77777777" w:rsidR="008E5855" w:rsidRPr="009118AB" w:rsidRDefault="008E5855" w:rsidP="008E5855">
      <w:pPr>
        <w:autoSpaceDE w:val="0"/>
        <w:autoSpaceDN w:val="0"/>
        <w:adjustRightInd w:val="0"/>
        <w:jc w:val="both"/>
        <w:rPr>
          <w:iCs/>
          <w:sz w:val="20"/>
        </w:rPr>
      </w:pPr>
    </w:p>
    <w:p w14:paraId="58E4EED1" w14:textId="7F58BC93" w:rsidR="008E5855" w:rsidRPr="009118AB" w:rsidRDefault="008E5855" w:rsidP="008E5855">
      <w:pPr>
        <w:autoSpaceDE w:val="0"/>
        <w:autoSpaceDN w:val="0"/>
        <w:adjustRightInd w:val="0"/>
        <w:jc w:val="both"/>
        <w:rPr>
          <w:iCs/>
          <w:sz w:val="20"/>
        </w:rPr>
      </w:pPr>
      <w:r w:rsidRPr="009118AB">
        <w:rPr>
          <w:iCs/>
          <w:sz w:val="20"/>
        </w:rPr>
        <w:t>Ist das Unternehmen ein verbundenes Unternehmen, werden die Kriterien "Umsatz" und "Bilanzsumme" auf konsolidierter Basis bestimmt. Zur Bestimmung der durchschnittlichen Beschäftigtenzahl eines verbundenen Unternehmens wird die durchschnittliche Beschäftigten</w:t>
      </w:r>
      <w:r w:rsidRPr="009118AB">
        <w:rPr>
          <w:iCs/>
          <w:sz w:val="20"/>
        </w:rPr>
        <w:softHyphen/>
        <w:t>zahl jeder der im Besteuerungszeitraum verbundenen Gesellschaften zusammengerechnet.</w:t>
      </w:r>
    </w:p>
    <w:p w14:paraId="61AA9B3F" w14:textId="77777777" w:rsidR="008E5855" w:rsidRPr="009118AB" w:rsidRDefault="008E5855" w:rsidP="008E5855">
      <w:pPr>
        <w:autoSpaceDE w:val="0"/>
        <w:autoSpaceDN w:val="0"/>
        <w:adjustRightInd w:val="0"/>
        <w:jc w:val="both"/>
        <w:rPr>
          <w:iCs/>
          <w:sz w:val="20"/>
        </w:rPr>
      </w:pPr>
    </w:p>
    <w:p w14:paraId="69129920" w14:textId="4DFA67F9" w:rsidR="008E5855" w:rsidRPr="009118AB" w:rsidRDefault="008E5855" w:rsidP="008E5855">
      <w:pPr>
        <w:autoSpaceDE w:val="0"/>
        <w:autoSpaceDN w:val="0"/>
        <w:adjustRightInd w:val="0"/>
        <w:jc w:val="both"/>
        <w:rPr>
          <w:iCs/>
          <w:sz w:val="20"/>
        </w:rPr>
      </w:pPr>
      <w:r w:rsidRPr="009118AB">
        <w:rPr>
          <w:iCs/>
          <w:sz w:val="20"/>
        </w:rPr>
        <w:t>Umsatz, Bilanzsumme und durchschnittliche Beschäftigtenzahl wie in Absatz 1 erwähnt werden um Umsatz, Bilanzsumme und durchschnittliche Beschäftigtenzahl jedes Partner</w:t>
      </w:r>
      <w:r w:rsidRPr="009118AB">
        <w:rPr>
          <w:iCs/>
          <w:sz w:val="20"/>
        </w:rPr>
        <w:softHyphen/>
        <w:t>unternehmens erhöht, und zwar im Verhältnis zu dem höchsten der folgenden vier Prozentsätze:</w:t>
      </w:r>
    </w:p>
    <w:p w14:paraId="09894748" w14:textId="77777777" w:rsidR="008E5855" w:rsidRPr="009118AB" w:rsidRDefault="008E5855" w:rsidP="008E5855">
      <w:pPr>
        <w:autoSpaceDE w:val="0"/>
        <w:autoSpaceDN w:val="0"/>
        <w:adjustRightInd w:val="0"/>
        <w:jc w:val="both"/>
        <w:rPr>
          <w:iCs/>
          <w:sz w:val="20"/>
        </w:rPr>
      </w:pPr>
    </w:p>
    <w:p w14:paraId="728042C9" w14:textId="511AF100" w:rsidR="008E5855" w:rsidRPr="009118AB" w:rsidRDefault="008E5855" w:rsidP="008E5855">
      <w:pPr>
        <w:autoSpaceDE w:val="0"/>
        <w:autoSpaceDN w:val="0"/>
        <w:adjustRightInd w:val="0"/>
        <w:jc w:val="both"/>
        <w:rPr>
          <w:iCs/>
          <w:sz w:val="20"/>
        </w:rPr>
      </w:pPr>
      <w:r w:rsidRPr="009118AB">
        <w:rPr>
          <w:iCs/>
          <w:sz w:val="20"/>
        </w:rPr>
        <w:t xml:space="preserve">- entweder dem in </w:t>
      </w:r>
      <w:r w:rsidR="00D67EB8" w:rsidRPr="009118AB">
        <w:rPr>
          <w:iCs/>
          <w:sz w:val="20"/>
        </w:rPr>
        <w:t>§ </w:t>
      </w:r>
      <w:r w:rsidRPr="009118AB">
        <w:rPr>
          <w:iCs/>
          <w:sz w:val="20"/>
        </w:rPr>
        <w:t>4 Absatz 1 erwähnten Prozentsatz der Beteiligung des erst</w:t>
      </w:r>
      <w:r w:rsidRPr="009118AB">
        <w:rPr>
          <w:iCs/>
          <w:sz w:val="20"/>
        </w:rPr>
        <w:softHyphen/>
        <w:t>genannten Unternehmens an den Stimmrechten des anderen Unternehmens</w:t>
      </w:r>
    </w:p>
    <w:p w14:paraId="3D8F0A9C" w14:textId="77777777" w:rsidR="008E5855" w:rsidRPr="009118AB" w:rsidRDefault="008E5855" w:rsidP="008E5855">
      <w:pPr>
        <w:autoSpaceDE w:val="0"/>
        <w:autoSpaceDN w:val="0"/>
        <w:adjustRightInd w:val="0"/>
        <w:jc w:val="both"/>
        <w:rPr>
          <w:iCs/>
          <w:sz w:val="20"/>
        </w:rPr>
      </w:pPr>
    </w:p>
    <w:p w14:paraId="3396EA99" w14:textId="37E89A5D" w:rsidR="008E5855" w:rsidRPr="009118AB" w:rsidRDefault="008E5855" w:rsidP="008E5855">
      <w:pPr>
        <w:autoSpaceDE w:val="0"/>
        <w:autoSpaceDN w:val="0"/>
        <w:adjustRightInd w:val="0"/>
        <w:jc w:val="both"/>
        <w:rPr>
          <w:iCs/>
          <w:sz w:val="20"/>
        </w:rPr>
      </w:pPr>
      <w:r w:rsidRPr="009118AB">
        <w:rPr>
          <w:iCs/>
          <w:sz w:val="20"/>
        </w:rPr>
        <w:t xml:space="preserve">- oder dem in </w:t>
      </w:r>
      <w:r w:rsidR="00D67EB8" w:rsidRPr="009118AB">
        <w:rPr>
          <w:iCs/>
          <w:sz w:val="20"/>
        </w:rPr>
        <w:t>§ </w:t>
      </w:r>
      <w:r w:rsidRPr="009118AB">
        <w:rPr>
          <w:iCs/>
          <w:sz w:val="20"/>
        </w:rPr>
        <w:t>4 Absatz 1 erwähnten Prozentsatz der Beteiligung des anderen Unter</w:t>
      </w:r>
      <w:r w:rsidRPr="009118AB">
        <w:rPr>
          <w:iCs/>
          <w:sz w:val="20"/>
        </w:rPr>
        <w:softHyphen/>
        <w:t>nehmens an den Stimmrechten des erstgenannten Unternehmens</w:t>
      </w:r>
    </w:p>
    <w:p w14:paraId="3FB2C6F3" w14:textId="77777777" w:rsidR="008E5855" w:rsidRPr="009118AB" w:rsidRDefault="008E5855" w:rsidP="008E5855">
      <w:pPr>
        <w:autoSpaceDE w:val="0"/>
        <w:autoSpaceDN w:val="0"/>
        <w:adjustRightInd w:val="0"/>
        <w:jc w:val="both"/>
        <w:rPr>
          <w:iCs/>
          <w:sz w:val="20"/>
        </w:rPr>
      </w:pPr>
    </w:p>
    <w:p w14:paraId="48872A2C" w14:textId="73D1F1BE" w:rsidR="008E5855" w:rsidRPr="009118AB" w:rsidRDefault="008E5855" w:rsidP="008E5855">
      <w:pPr>
        <w:autoSpaceDE w:val="0"/>
        <w:autoSpaceDN w:val="0"/>
        <w:adjustRightInd w:val="0"/>
        <w:jc w:val="both"/>
        <w:rPr>
          <w:iCs/>
          <w:sz w:val="20"/>
        </w:rPr>
      </w:pPr>
      <w:r w:rsidRPr="009118AB">
        <w:rPr>
          <w:iCs/>
          <w:sz w:val="20"/>
        </w:rPr>
        <w:t xml:space="preserve">- oder dem in </w:t>
      </w:r>
      <w:r w:rsidR="00D67EB8" w:rsidRPr="009118AB">
        <w:rPr>
          <w:iCs/>
          <w:sz w:val="20"/>
        </w:rPr>
        <w:t>§ </w:t>
      </w:r>
      <w:r w:rsidRPr="009118AB">
        <w:rPr>
          <w:iCs/>
          <w:sz w:val="20"/>
        </w:rPr>
        <w:t>4 Absatz 1 erwähnten Prozentsatz der Beteiligung des erstgenannten Unternehmens am Kapital des anderen Unternehmens</w:t>
      </w:r>
    </w:p>
    <w:p w14:paraId="0469C848" w14:textId="77777777" w:rsidR="008E5855" w:rsidRPr="009118AB" w:rsidRDefault="008E5855" w:rsidP="008E5855">
      <w:pPr>
        <w:autoSpaceDE w:val="0"/>
        <w:autoSpaceDN w:val="0"/>
        <w:adjustRightInd w:val="0"/>
        <w:jc w:val="both"/>
        <w:rPr>
          <w:iCs/>
          <w:sz w:val="20"/>
        </w:rPr>
      </w:pPr>
    </w:p>
    <w:p w14:paraId="69353404" w14:textId="5BD1D3FE" w:rsidR="008E5855" w:rsidRPr="009118AB" w:rsidRDefault="008E5855" w:rsidP="008E5855">
      <w:pPr>
        <w:autoSpaceDE w:val="0"/>
        <w:autoSpaceDN w:val="0"/>
        <w:adjustRightInd w:val="0"/>
        <w:jc w:val="both"/>
        <w:rPr>
          <w:iCs/>
          <w:sz w:val="20"/>
        </w:rPr>
      </w:pPr>
      <w:r w:rsidRPr="009118AB">
        <w:rPr>
          <w:iCs/>
          <w:sz w:val="20"/>
        </w:rPr>
        <w:t xml:space="preserve">- oder dem in </w:t>
      </w:r>
      <w:r w:rsidR="00D67EB8" w:rsidRPr="009118AB">
        <w:rPr>
          <w:iCs/>
          <w:sz w:val="20"/>
        </w:rPr>
        <w:t>§ </w:t>
      </w:r>
      <w:r w:rsidRPr="009118AB">
        <w:rPr>
          <w:iCs/>
          <w:sz w:val="20"/>
        </w:rPr>
        <w:t>4 Absatz 1 erwähnten Prozentsatz der Beteiligung des anderen Unternehmens am Kapital des erstgenannten Unternehmens.</w:t>
      </w:r>
    </w:p>
    <w:p w14:paraId="391970B2" w14:textId="77777777" w:rsidR="008E5855" w:rsidRPr="009118AB" w:rsidRDefault="008E5855" w:rsidP="008E5855">
      <w:pPr>
        <w:autoSpaceDE w:val="0"/>
        <w:autoSpaceDN w:val="0"/>
        <w:adjustRightInd w:val="0"/>
        <w:jc w:val="both"/>
        <w:rPr>
          <w:iCs/>
          <w:sz w:val="20"/>
        </w:rPr>
      </w:pPr>
    </w:p>
    <w:p w14:paraId="20051E14" w14:textId="611A37A8" w:rsidR="008E5855" w:rsidRPr="009118AB" w:rsidRDefault="008E5855" w:rsidP="008E5855">
      <w:pPr>
        <w:autoSpaceDE w:val="0"/>
        <w:autoSpaceDN w:val="0"/>
        <w:adjustRightInd w:val="0"/>
        <w:jc w:val="both"/>
        <w:rPr>
          <w:iCs/>
          <w:sz w:val="20"/>
        </w:rPr>
      </w:pPr>
      <w:r w:rsidRPr="009118AB">
        <w:rPr>
          <w:iCs/>
          <w:sz w:val="20"/>
        </w:rPr>
        <w:t>Bei neuen Unternehmen, deren erster, zweiter beziehungsweise dritter Besteuerungs</w:t>
      </w:r>
      <w:r w:rsidRPr="009118AB">
        <w:rPr>
          <w:iCs/>
          <w:sz w:val="20"/>
        </w:rPr>
        <w:softHyphen/>
        <w:t>zeitraum noch nicht abgeschlossen ist, werden die zu berücksichtigenden Daten anhand einer im Laufe des Besteuerungszeitraums in gutem Glauben vorgenommenen Schätzung bestimmt.</w:t>
      </w:r>
    </w:p>
    <w:p w14:paraId="7F5FAEB1" w14:textId="77777777" w:rsidR="008E5855" w:rsidRPr="009118AB" w:rsidRDefault="008E5855" w:rsidP="008E5855">
      <w:pPr>
        <w:autoSpaceDE w:val="0"/>
        <w:autoSpaceDN w:val="0"/>
        <w:adjustRightInd w:val="0"/>
        <w:jc w:val="both"/>
        <w:rPr>
          <w:iCs/>
          <w:sz w:val="20"/>
        </w:rPr>
      </w:pPr>
    </w:p>
    <w:p w14:paraId="14BDBCCE" w14:textId="7B0DDD78" w:rsidR="008E5855" w:rsidRPr="009118AB" w:rsidRDefault="008E5855" w:rsidP="008E5855">
      <w:pPr>
        <w:autoSpaceDE w:val="0"/>
        <w:autoSpaceDN w:val="0"/>
        <w:adjustRightInd w:val="0"/>
        <w:jc w:val="both"/>
        <w:rPr>
          <w:iCs/>
          <w:sz w:val="20"/>
        </w:rPr>
      </w:pPr>
      <w:r w:rsidRPr="009118AB">
        <w:rPr>
          <w:iCs/>
          <w:sz w:val="20"/>
        </w:rPr>
        <w:t xml:space="preserve">Ein Unternehmen kann jedoch kein mittleres Unternehmen sein, wenn das Kapital oder die Stimmrechte des Unternehmens für mindestens 25 Prozent direkt oder indirekt von einem oder mehreren in Artikel 2 des Gesetzes vom 17. Juni 2016 über die öffentlichen Aufträge erwähnten öffentlichen Auftraggebern einzeln oder gemeinsam kontrolliert werden. In </w:t>
      </w:r>
      <w:r w:rsidR="00D67EB8" w:rsidRPr="009118AB">
        <w:rPr>
          <w:iCs/>
          <w:sz w:val="20"/>
        </w:rPr>
        <w:t>§ </w:t>
      </w:r>
      <w:r w:rsidRPr="009118AB">
        <w:rPr>
          <w:iCs/>
          <w:sz w:val="20"/>
        </w:rPr>
        <w:t>4 Absatz 2 erwähnte Fälle, die nicht mit dem vorerwähnten Unternehmen verbunden sind, werden für die Anwendung des vorliegenden Absatzes nicht als öffentliche Auftraggeber betrachtet.]</w:t>
      </w:r>
    </w:p>
    <w:p w14:paraId="4E00F218" w14:textId="77777777" w:rsidR="008E5855" w:rsidRPr="009118AB" w:rsidRDefault="008E5855" w:rsidP="008E5855">
      <w:pPr>
        <w:autoSpaceDE w:val="0"/>
        <w:autoSpaceDN w:val="0"/>
        <w:adjustRightInd w:val="0"/>
        <w:jc w:val="both"/>
        <w:rPr>
          <w:iCs/>
          <w:sz w:val="20"/>
        </w:rPr>
      </w:pPr>
    </w:p>
    <w:p w14:paraId="15545298" w14:textId="39ABC3F5" w:rsidR="008E5855" w:rsidRPr="009118AB" w:rsidRDefault="008E5855" w:rsidP="008E5855">
      <w:pPr>
        <w:autoSpaceDE w:val="0"/>
        <w:autoSpaceDN w:val="0"/>
        <w:adjustRightInd w:val="0"/>
        <w:jc w:val="both"/>
        <w:rPr>
          <w:iCs/>
          <w:sz w:val="20"/>
        </w:rPr>
      </w:pPr>
      <w:r w:rsidRPr="009118AB">
        <w:rPr>
          <w:iCs/>
          <w:sz w:val="20"/>
        </w:rPr>
        <w:t>[4/2. Unternehmen in Schwierigkeiten</w:t>
      </w:r>
    </w:p>
    <w:p w14:paraId="5EF15CD2" w14:textId="77777777" w:rsidR="008E5855" w:rsidRPr="009118AB" w:rsidRDefault="008E5855" w:rsidP="008E5855">
      <w:pPr>
        <w:autoSpaceDE w:val="0"/>
        <w:autoSpaceDN w:val="0"/>
        <w:adjustRightInd w:val="0"/>
        <w:jc w:val="both"/>
        <w:rPr>
          <w:iCs/>
          <w:sz w:val="20"/>
        </w:rPr>
      </w:pPr>
    </w:p>
    <w:p w14:paraId="6C82C8B1" w14:textId="50CD0D2C" w:rsidR="008E5855" w:rsidRPr="009118AB" w:rsidRDefault="008E5855" w:rsidP="008E5855">
      <w:pPr>
        <w:autoSpaceDE w:val="0"/>
        <w:autoSpaceDN w:val="0"/>
        <w:adjustRightInd w:val="0"/>
        <w:jc w:val="both"/>
        <w:rPr>
          <w:iCs/>
          <w:sz w:val="20"/>
        </w:rPr>
      </w:pPr>
      <w:r w:rsidRPr="009118AB">
        <w:rPr>
          <w:iCs/>
          <w:sz w:val="20"/>
        </w:rPr>
        <w:t>Unter Unternehmen in Schwierigkeiten versteht man ein Unternehmen:</w:t>
      </w:r>
    </w:p>
    <w:p w14:paraId="705A176C" w14:textId="77777777" w:rsidR="008E5855" w:rsidRPr="009118AB" w:rsidRDefault="008E5855" w:rsidP="008E5855">
      <w:pPr>
        <w:autoSpaceDE w:val="0"/>
        <w:autoSpaceDN w:val="0"/>
        <w:adjustRightInd w:val="0"/>
        <w:jc w:val="both"/>
        <w:rPr>
          <w:iCs/>
          <w:sz w:val="20"/>
        </w:rPr>
      </w:pPr>
    </w:p>
    <w:p w14:paraId="4B418471" w14:textId="657F24AD" w:rsidR="008E5855" w:rsidRPr="009118AB" w:rsidRDefault="008E5855" w:rsidP="008E5855">
      <w:pPr>
        <w:autoSpaceDE w:val="0"/>
        <w:autoSpaceDN w:val="0"/>
        <w:adjustRightInd w:val="0"/>
        <w:jc w:val="both"/>
        <w:rPr>
          <w:iCs/>
          <w:sz w:val="20"/>
        </w:rPr>
      </w:pPr>
      <w:r w:rsidRPr="009118AB">
        <w:rPr>
          <w:iCs/>
          <w:sz w:val="20"/>
        </w:rPr>
        <w:t>- für das ein Konkursgeständnis abgelegt oder ein Konkursantrag eingereicht wird oder dem zu diesem Zeitpunkt die Verwaltung der Gesamtheit oder eines Teils der Aktiva entzogen wird wie in den Artikeln XX.32 und XX.100 des Wirtschaftsgesetzbuches vorgesehen,</w:t>
      </w:r>
    </w:p>
    <w:p w14:paraId="2B82C6C8" w14:textId="77777777" w:rsidR="008E5855" w:rsidRPr="009118AB" w:rsidRDefault="008E5855" w:rsidP="008E5855">
      <w:pPr>
        <w:autoSpaceDE w:val="0"/>
        <w:autoSpaceDN w:val="0"/>
        <w:adjustRightInd w:val="0"/>
        <w:jc w:val="both"/>
        <w:rPr>
          <w:iCs/>
          <w:sz w:val="20"/>
        </w:rPr>
      </w:pPr>
    </w:p>
    <w:p w14:paraId="5310B76E" w14:textId="59AEFCED" w:rsidR="008E5855" w:rsidRPr="009118AB" w:rsidRDefault="008E5855" w:rsidP="008E5855">
      <w:pPr>
        <w:autoSpaceDE w:val="0"/>
        <w:autoSpaceDN w:val="0"/>
        <w:adjustRightInd w:val="0"/>
        <w:jc w:val="both"/>
        <w:rPr>
          <w:iCs/>
          <w:sz w:val="20"/>
        </w:rPr>
      </w:pPr>
      <w:r w:rsidRPr="009118AB">
        <w:rPr>
          <w:iCs/>
          <w:sz w:val="20"/>
        </w:rPr>
        <w:t>- für das ein Verfahren der gerichtlichen Reorganisation eröffnet wird wie in Buch XX Titel 5 des Wirtschaftsgesetzbuches vorgesehen,</w:t>
      </w:r>
    </w:p>
    <w:p w14:paraId="4359C975" w14:textId="77777777" w:rsidR="008E5855" w:rsidRPr="009118AB" w:rsidRDefault="008E5855" w:rsidP="008E5855">
      <w:pPr>
        <w:autoSpaceDE w:val="0"/>
        <w:autoSpaceDN w:val="0"/>
        <w:adjustRightInd w:val="0"/>
        <w:jc w:val="both"/>
        <w:rPr>
          <w:iCs/>
          <w:sz w:val="20"/>
        </w:rPr>
      </w:pPr>
    </w:p>
    <w:p w14:paraId="669266D1" w14:textId="292A0882" w:rsidR="008E5855" w:rsidRPr="009118AB" w:rsidRDefault="008E5855" w:rsidP="008E5855">
      <w:pPr>
        <w:autoSpaceDE w:val="0"/>
        <w:autoSpaceDN w:val="0"/>
        <w:adjustRightInd w:val="0"/>
        <w:jc w:val="both"/>
        <w:rPr>
          <w:iCs/>
          <w:sz w:val="20"/>
        </w:rPr>
      </w:pPr>
      <w:r w:rsidRPr="009118AB">
        <w:rPr>
          <w:iCs/>
          <w:sz w:val="20"/>
        </w:rPr>
        <w:t>- das eine aufgelöste Gesellschaft ist und in Liquidation befindlich ist,</w:t>
      </w:r>
    </w:p>
    <w:p w14:paraId="197F4D8C" w14:textId="77777777" w:rsidR="008E5855" w:rsidRPr="009118AB" w:rsidRDefault="008E5855" w:rsidP="008E5855">
      <w:pPr>
        <w:autoSpaceDE w:val="0"/>
        <w:autoSpaceDN w:val="0"/>
        <w:adjustRightInd w:val="0"/>
        <w:jc w:val="both"/>
        <w:rPr>
          <w:iCs/>
          <w:sz w:val="20"/>
        </w:rPr>
      </w:pPr>
    </w:p>
    <w:p w14:paraId="43CEC3BC" w14:textId="100525C2" w:rsidR="008E5855" w:rsidRPr="009118AB" w:rsidRDefault="008E5855" w:rsidP="008E5855">
      <w:pPr>
        <w:autoSpaceDE w:val="0"/>
        <w:autoSpaceDN w:val="0"/>
        <w:adjustRightInd w:val="0"/>
        <w:jc w:val="both"/>
        <w:rPr>
          <w:iCs/>
          <w:sz w:val="20"/>
        </w:rPr>
      </w:pPr>
      <w:r w:rsidRPr="009118AB">
        <w:rPr>
          <w:iCs/>
          <w:sz w:val="20"/>
        </w:rPr>
        <w:t>- </w:t>
      </w:r>
      <w:r w:rsidR="00234B39" w:rsidRPr="009118AB">
        <w:rPr>
          <w:iCs/>
          <w:sz w:val="20"/>
        </w:rPr>
        <w:t>[dessen Reinvermögen infolge von Verlusten negativ geworden ist oder auf einen Betrag gesunken ist, der niedriger als die Hälfte des Teils des Eigenkapitals ist, das aufgrund der Satzung oder des Gesetzes, dem das Unternehmen unterliegt, nicht verfügbar ist,]</w:t>
      </w:r>
    </w:p>
    <w:p w14:paraId="6E37CEE6" w14:textId="77777777" w:rsidR="008E5855" w:rsidRPr="009118AB" w:rsidRDefault="008E5855" w:rsidP="008E5855">
      <w:pPr>
        <w:autoSpaceDE w:val="0"/>
        <w:autoSpaceDN w:val="0"/>
        <w:adjustRightInd w:val="0"/>
        <w:jc w:val="both"/>
        <w:rPr>
          <w:iCs/>
          <w:sz w:val="20"/>
        </w:rPr>
      </w:pPr>
    </w:p>
    <w:p w14:paraId="6E0931F5" w14:textId="13BC2DB4" w:rsidR="008E5855" w:rsidRPr="009118AB" w:rsidRDefault="008E5855" w:rsidP="008E5855">
      <w:pPr>
        <w:autoSpaceDE w:val="0"/>
        <w:autoSpaceDN w:val="0"/>
        <w:adjustRightInd w:val="0"/>
        <w:jc w:val="both"/>
        <w:rPr>
          <w:iCs/>
          <w:sz w:val="20"/>
        </w:rPr>
      </w:pPr>
      <w:r w:rsidRPr="009118AB">
        <w:rPr>
          <w:iCs/>
          <w:sz w:val="20"/>
        </w:rPr>
        <w:t>- das Beihilfen erhalten hat, die von der Europäischen Kommission als Beihilfen angesehen werden, die mit den Leitlinien für staatliche Beihilfen zur Rettung und Umstruk</w:t>
      </w:r>
      <w:r w:rsidRPr="009118AB">
        <w:rPr>
          <w:iCs/>
          <w:sz w:val="20"/>
        </w:rPr>
        <w:softHyphen/>
        <w:t>turierung nichtfinanzieller Unternehmen in Schwierigkeiten vom 31. Juli 2014 (</w:t>
      </w:r>
      <w:r w:rsidRPr="009118AB">
        <w:rPr>
          <w:i/>
          <w:iCs/>
          <w:sz w:val="20"/>
        </w:rPr>
        <w:t>ABl.</w:t>
      </w:r>
      <w:r w:rsidRPr="009118AB">
        <w:rPr>
          <w:iCs/>
          <w:sz w:val="20"/>
        </w:rPr>
        <w:t> C 249) oder mit Artikel 107 Absatz 3 Buchstabe </w:t>
      </w:r>
      <w:r w:rsidRPr="009118AB">
        <w:rPr>
          <w:i/>
          <w:iCs/>
          <w:sz w:val="20"/>
        </w:rPr>
        <w:t>b)</w:t>
      </w:r>
      <w:r w:rsidRPr="009118AB">
        <w:rPr>
          <w:iCs/>
          <w:sz w:val="20"/>
        </w:rPr>
        <w:t xml:space="preserve"> des Vertrags über die Arbeitsweise der Euro</w:t>
      </w:r>
      <w:r w:rsidRPr="009118AB">
        <w:rPr>
          <w:iCs/>
          <w:sz w:val="20"/>
        </w:rPr>
        <w:softHyphen/>
        <w:t xml:space="preserve">päischen Union vereinbar sind, und das im Fall von Rettungsbeihilfen das Darlehen noch </w:t>
      </w:r>
      <w:r w:rsidRPr="009118AB">
        <w:rPr>
          <w:iCs/>
          <w:sz w:val="20"/>
        </w:rPr>
        <w:lastRenderedPageBreak/>
        <w:t>nicht zurückgezahlt hat oder für das die Garantie noch nicht erloschen ist oder das im Fall von Umstrukturierungsbeihilfen noch immer einem Umstrukturierungsplan unterliegt.]</w:t>
      </w:r>
    </w:p>
    <w:p w14:paraId="71CE6D20" w14:textId="77777777" w:rsidR="008E5855" w:rsidRPr="009118AB" w:rsidRDefault="008E5855" w:rsidP="008E5855">
      <w:pPr>
        <w:autoSpaceDE w:val="0"/>
        <w:autoSpaceDN w:val="0"/>
        <w:adjustRightInd w:val="0"/>
        <w:jc w:val="both"/>
        <w:rPr>
          <w:iCs/>
          <w:sz w:val="20"/>
        </w:rPr>
      </w:pPr>
    </w:p>
    <w:p w14:paraId="173D5ED6" w14:textId="3B2C18D3" w:rsidR="008E5855" w:rsidRPr="009118AB" w:rsidRDefault="008E5855" w:rsidP="008E5855">
      <w:pPr>
        <w:autoSpaceDE w:val="0"/>
        <w:autoSpaceDN w:val="0"/>
        <w:adjustRightInd w:val="0"/>
        <w:jc w:val="both"/>
        <w:rPr>
          <w:iCs/>
          <w:sz w:val="20"/>
        </w:rPr>
      </w:pPr>
      <w:r w:rsidRPr="009118AB">
        <w:rPr>
          <w:iCs/>
          <w:sz w:val="20"/>
        </w:rPr>
        <w:t>5. Gesellschaften</w:t>
      </w:r>
    </w:p>
    <w:p w14:paraId="286BF51C" w14:textId="77777777" w:rsidR="008E5855" w:rsidRPr="009118AB" w:rsidRDefault="008E5855" w:rsidP="008E5855">
      <w:pPr>
        <w:autoSpaceDE w:val="0"/>
        <w:autoSpaceDN w:val="0"/>
        <w:adjustRightInd w:val="0"/>
        <w:jc w:val="both"/>
        <w:rPr>
          <w:iCs/>
          <w:sz w:val="20"/>
        </w:rPr>
      </w:pPr>
    </w:p>
    <w:p w14:paraId="50A703F2" w14:textId="5F031A2F" w:rsidR="008E5855" w:rsidRPr="009118AB" w:rsidRDefault="008E5855" w:rsidP="008E5855">
      <w:pPr>
        <w:autoSpaceDE w:val="0"/>
        <w:autoSpaceDN w:val="0"/>
        <w:adjustRightInd w:val="0"/>
        <w:jc w:val="both"/>
        <w:rPr>
          <w:iCs/>
          <w:sz w:val="20"/>
        </w:rPr>
      </w:pPr>
      <w:r w:rsidRPr="009118AB">
        <w:rPr>
          <w:iCs/>
          <w:sz w:val="20"/>
        </w:rPr>
        <w:t>Man versteht unter:</w:t>
      </w:r>
    </w:p>
    <w:p w14:paraId="324F2D69" w14:textId="77777777" w:rsidR="008E5855" w:rsidRPr="009118AB" w:rsidRDefault="008E5855" w:rsidP="008E5855">
      <w:pPr>
        <w:autoSpaceDE w:val="0"/>
        <w:autoSpaceDN w:val="0"/>
        <w:adjustRightInd w:val="0"/>
        <w:jc w:val="both"/>
        <w:rPr>
          <w:iCs/>
          <w:sz w:val="20"/>
        </w:rPr>
      </w:pPr>
    </w:p>
    <w:p w14:paraId="228DEE76" w14:textId="15106A06" w:rsidR="008E5855" w:rsidRPr="009118AB" w:rsidRDefault="008E5855" w:rsidP="008E5855">
      <w:pPr>
        <w:autoSpaceDE w:val="0"/>
        <w:autoSpaceDN w:val="0"/>
        <w:adjustRightInd w:val="0"/>
        <w:jc w:val="both"/>
        <w:rPr>
          <w:iCs/>
          <w:sz w:val="20"/>
        </w:rPr>
      </w:pPr>
      <w:r w:rsidRPr="009118AB">
        <w:rPr>
          <w:i/>
          <w:iCs/>
          <w:sz w:val="20"/>
        </w:rPr>
        <w:t>a)</w:t>
      </w:r>
      <w:r w:rsidRPr="009118AB">
        <w:rPr>
          <w:iCs/>
          <w:sz w:val="20"/>
        </w:rPr>
        <w:t xml:space="preserve"> Gesellschaften: Gesellschaften, Vereinigungen, Niederlassungen oder Einrichtungen, die […] ein Unternehmen beziehungsweise Geschäfte mit gewinnbringendem Zweck betreiben [und die:</w:t>
      </w:r>
    </w:p>
    <w:p w14:paraId="3A01EC20" w14:textId="77777777" w:rsidR="008E5855" w:rsidRPr="009118AB" w:rsidRDefault="008E5855" w:rsidP="008E5855">
      <w:pPr>
        <w:autoSpaceDE w:val="0"/>
        <w:autoSpaceDN w:val="0"/>
        <w:adjustRightInd w:val="0"/>
        <w:jc w:val="both"/>
        <w:rPr>
          <w:iCs/>
          <w:sz w:val="20"/>
        </w:rPr>
      </w:pPr>
    </w:p>
    <w:p w14:paraId="76CC577F" w14:textId="31C01FB4" w:rsidR="008E5855" w:rsidRPr="009118AB" w:rsidRDefault="008E5855" w:rsidP="008E5855">
      <w:pPr>
        <w:autoSpaceDE w:val="0"/>
        <w:autoSpaceDN w:val="0"/>
        <w:adjustRightInd w:val="0"/>
        <w:jc w:val="both"/>
        <w:rPr>
          <w:iCs/>
          <w:sz w:val="20"/>
        </w:rPr>
      </w:pPr>
      <w:r w:rsidRPr="009118AB">
        <w:rPr>
          <w:iCs/>
          <w:sz w:val="20"/>
        </w:rPr>
        <w:t>- entweder Rechtspersönlichkeit besitzen aufgrund des belgischen oder ausländischen Rechts, dem sie unterliegen,</w:t>
      </w:r>
    </w:p>
    <w:p w14:paraId="1845951B" w14:textId="77777777" w:rsidR="008E5855" w:rsidRPr="009118AB" w:rsidRDefault="008E5855" w:rsidP="008E5855">
      <w:pPr>
        <w:autoSpaceDE w:val="0"/>
        <w:autoSpaceDN w:val="0"/>
        <w:adjustRightInd w:val="0"/>
        <w:jc w:val="both"/>
        <w:rPr>
          <w:iCs/>
          <w:sz w:val="20"/>
        </w:rPr>
      </w:pPr>
    </w:p>
    <w:p w14:paraId="4075EAED" w14:textId="328D06B8" w:rsidR="008E5855" w:rsidRPr="009118AB" w:rsidRDefault="008E5855" w:rsidP="008E5855">
      <w:pPr>
        <w:autoSpaceDE w:val="0"/>
        <w:autoSpaceDN w:val="0"/>
        <w:adjustRightInd w:val="0"/>
        <w:jc w:val="both"/>
        <w:rPr>
          <w:iCs/>
          <w:sz w:val="20"/>
        </w:rPr>
      </w:pPr>
      <w:r w:rsidRPr="009118AB">
        <w:rPr>
          <w:iCs/>
          <w:sz w:val="20"/>
        </w:rPr>
        <w:t>- oder einem ausländischen Recht unterliegen, das ihnen keine Rechtspersönlichkeit verleiht, jedoch eine Rechtsform haben, die mit der einer Gesellschaft mit Rechtspersönlichkeit nach belgischem Recht vergleichbar ist, und der Begriffsbestimmung der inländischen Gesellschaften wie in nachstehendem Buchstaben </w:t>
      </w:r>
      <w:r w:rsidRPr="009118AB">
        <w:rPr>
          <w:i/>
          <w:iCs/>
          <w:sz w:val="20"/>
        </w:rPr>
        <w:t>b)</w:t>
      </w:r>
      <w:r w:rsidRPr="009118AB">
        <w:rPr>
          <w:iCs/>
          <w:sz w:val="20"/>
        </w:rPr>
        <w:t xml:space="preserve"> erwähnt entsprechen].</w:t>
      </w:r>
    </w:p>
    <w:p w14:paraId="06C24FD5" w14:textId="77777777" w:rsidR="008E5855" w:rsidRPr="009118AB" w:rsidRDefault="008E5855" w:rsidP="008E5855">
      <w:pPr>
        <w:autoSpaceDE w:val="0"/>
        <w:autoSpaceDN w:val="0"/>
        <w:adjustRightInd w:val="0"/>
        <w:jc w:val="both"/>
        <w:rPr>
          <w:iCs/>
          <w:sz w:val="20"/>
        </w:rPr>
      </w:pPr>
    </w:p>
    <w:p w14:paraId="677D47AA" w14:textId="6747A1E0" w:rsidR="008E5855" w:rsidRPr="009118AB" w:rsidRDefault="008E5855" w:rsidP="008E5855">
      <w:pPr>
        <w:autoSpaceDE w:val="0"/>
        <w:autoSpaceDN w:val="0"/>
        <w:adjustRightInd w:val="0"/>
        <w:jc w:val="both"/>
        <w:rPr>
          <w:iCs/>
          <w:sz w:val="20"/>
        </w:rPr>
      </w:pPr>
      <w:r w:rsidRPr="009118AB">
        <w:rPr>
          <w:iCs/>
          <w:sz w:val="20"/>
        </w:rPr>
        <w:t>Einrichtungen belgischen Rechts, die Rechtspersönlichkeit besitzen, die für die Anwendung der Einkommensteuern jedoch als Einrichtungen gelten, die keine Rechtspersönlichkeit besitzen, werden nicht als Gesellschaften angesehen,</w:t>
      </w:r>
    </w:p>
    <w:p w14:paraId="4C3321D1" w14:textId="77777777" w:rsidR="008E5855" w:rsidRPr="009118AB" w:rsidRDefault="008E5855" w:rsidP="008E5855">
      <w:pPr>
        <w:autoSpaceDE w:val="0"/>
        <w:autoSpaceDN w:val="0"/>
        <w:adjustRightInd w:val="0"/>
        <w:jc w:val="both"/>
        <w:rPr>
          <w:i/>
          <w:iCs/>
          <w:sz w:val="20"/>
        </w:rPr>
      </w:pPr>
    </w:p>
    <w:p w14:paraId="60A53FB1" w14:textId="4219F0D5" w:rsidR="008E5855" w:rsidRPr="009118AB" w:rsidRDefault="008E5855" w:rsidP="008E5855">
      <w:pPr>
        <w:autoSpaceDE w:val="0"/>
        <w:autoSpaceDN w:val="0"/>
        <w:adjustRightInd w:val="0"/>
        <w:jc w:val="both"/>
        <w:rPr>
          <w:iCs/>
          <w:sz w:val="20"/>
        </w:rPr>
      </w:pPr>
      <w:r w:rsidRPr="009118AB">
        <w:rPr>
          <w:i/>
          <w:iCs/>
          <w:sz w:val="20"/>
        </w:rPr>
        <w:t xml:space="preserve">b) </w:t>
      </w:r>
      <w:r w:rsidRPr="009118AB">
        <w:rPr>
          <w:iCs/>
          <w:sz w:val="20"/>
        </w:rPr>
        <w:t>inländischen Gesellschaften: Gesellschaften, deren […] Hauptniederlassung oder Geschäftsführungs- oder Verwaltungssitz in Belgien liegt und die nicht von der Gesellschaftssteuer ausgeschlossen sind.</w:t>
      </w:r>
    </w:p>
    <w:p w14:paraId="3E89514D" w14:textId="77777777" w:rsidR="008E5855" w:rsidRPr="009118AB" w:rsidRDefault="008E5855" w:rsidP="008E5855">
      <w:pPr>
        <w:autoSpaceDE w:val="0"/>
        <w:autoSpaceDN w:val="0"/>
        <w:adjustRightInd w:val="0"/>
        <w:jc w:val="both"/>
        <w:rPr>
          <w:iCs/>
          <w:sz w:val="20"/>
        </w:rPr>
      </w:pPr>
    </w:p>
    <w:p w14:paraId="3500D54F" w14:textId="7838E8C7" w:rsidR="008E5855" w:rsidRPr="009118AB" w:rsidRDefault="008E5855" w:rsidP="008E5855">
      <w:pPr>
        <w:autoSpaceDE w:val="0"/>
        <w:autoSpaceDN w:val="0"/>
        <w:adjustRightInd w:val="0"/>
        <w:jc w:val="both"/>
        <w:rPr>
          <w:iCs/>
          <w:sz w:val="20"/>
        </w:rPr>
      </w:pPr>
      <w:r w:rsidRPr="009118AB">
        <w:rPr>
          <w:iCs/>
          <w:sz w:val="20"/>
        </w:rPr>
        <w:t>[Außer bei Beweis des Gegenteils wird davon ausgegangen, dass Gesellschaften, die ihren satzungsmäßigen Sitz in Belgien haben, dort auch ihre Hauptniederlassung oder ihren Geschäftsführungs- oder Verwaltungssitz haben. Der Beweis des Gegenteils ist jedoch nur zulässig, wenn darüber hinaus nachgewiesen wird, dass der Steuerwohnsitz der Gesellschaft sich in einem anderen Staat als Belgien befindet gemäß den steuerrechtlichen Vorschriften dieses anderen Staates,]</w:t>
      </w:r>
    </w:p>
    <w:p w14:paraId="7C040579" w14:textId="77777777" w:rsidR="008E5855" w:rsidRPr="009118AB" w:rsidRDefault="008E5855" w:rsidP="008E5855">
      <w:pPr>
        <w:autoSpaceDE w:val="0"/>
        <w:autoSpaceDN w:val="0"/>
        <w:adjustRightInd w:val="0"/>
        <w:jc w:val="both"/>
        <w:rPr>
          <w:iCs/>
          <w:sz w:val="20"/>
        </w:rPr>
      </w:pPr>
    </w:p>
    <w:p w14:paraId="4152E1A0" w14:textId="3A470C7C" w:rsidR="008E5855" w:rsidRPr="009118AB" w:rsidRDefault="008E5855" w:rsidP="008E5855">
      <w:pPr>
        <w:autoSpaceDE w:val="0"/>
        <w:autoSpaceDN w:val="0"/>
        <w:adjustRightInd w:val="0"/>
        <w:jc w:val="both"/>
        <w:rPr>
          <w:iCs/>
          <w:sz w:val="20"/>
        </w:rPr>
      </w:pPr>
      <w:r w:rsidRPr="009118AB">
        <w:rPr>
          <w:iCs/>
          <w:sz w:val="20"/>
        </w:rPr>
        <w:t>[</w:t>
      </w:r>
      <w:r w:rsidRPr="009118AB">
        <w:rPr>
          <w:i/>
          <w:iCs/>
          <w:sz w:val="20"/>
        </w:rPr>
        <w:t>bbis)</w:t>
      </w:r>
      <w:r w:rsidRPr="009118AB">
        <w:rPr>
          <w:iCs/>
          <w:sz w:val="20"/>
        </w:rPr>
        <w:t xml:space="preserve"> innereuropäischen Gesellschaften: Gesellschaften eines Mitgliedstaates der Europäischen Union</w:t>
      </w:r>
    </w:p>
    <w:p w14:paraId="23A69BE8" w14:textId="77777777" w:rsidR="008E5855" w:rsidRPr="009118AB" w:rsidRDefault="008E5855" w:rsidP="008E5855">
      <w:pPr>
        <w:autoSpaceDE w:val="0"/>
        <w:autoSpaceDN w:val="0"/>
        <w:adjustRightInd w:val="0"/>
        <w:jc w:val="both"/>
        <w:rPr>
          <w:iCs/>
          <w:sz w:val="20"/>
        </w:rPr>
      </w:pPr>
    </w:p>
    <w:p w14:paraId="49B7D285" w14:textId="52B6C3FE" w:rsidR="008E5855" w:rsidRPr="009118AB" w:rsidRDefault="008E5855" w:rsidP="008E5855">
      <w:pPr>
        <w:autoSpaceDE w:val="0"/>
        <w:autoSpaceDN w:val="0"/>
        <w:adjustRightInd w:val="0"/>
        <w:jc w:val="both"/>
        <w:rPr>
          <w:iCs/>
          <w:sz w:val="20"/>
        </w:rPr>
      </w:pPr>
      <w:r w:rsidRPr="009118AB">
        <w:rPr>
          <w:iCs/>
          <w:sz w:val="20"/>
        </w:rPr>
        <w:t>- die keine inländischen Gesellschaften sind,</w:t>
      </w:r>
    </w:p>
    <w:p w14:paraId="2C141DD9" w14:textId="77777777" w:rsidR="008E5855" w:rsidRPr="009118AB" w:rsidRDefault="008E5855" w:rsidP="008E5855">
      <w:pPr>
        <w:autoSpaceDE w:val="0"/>
        <w:autoSpaceDN w:val="0"/>
        <w:adjustRightInd w:val="0"/>
        <w:jc w:val="both"/>
        <w:rPr>
          <w:iCs/>
          <w:sz w:val="20"/>
        </w:rPr>
      </w:pPr>
    </w:p>
    <w:p w14:paraId="1AC9C608" w14:textId="4889C409" w:rsidR="008E5855" w:rsidRPr="009118AB" w:rsidRDefault="008E5855" w:rsidP="008E5855">
      <w:pPr>
        <w:autoSpaceDE w:val="0"/>
        <w:autoSpaceDN w:val="0"/>
        <w:adjustRightInd w:val="0"/>
        <w:jc w:val="both"/>
        <w:rPr>
          <w:iCs/>
          <w:sz w:val="20"/>
        </w:rPr>
      </w:pPr>
      <w:r w:rsidRPr="009118AB">
        <w:rPr>
          <w:iCs/>
          <w:sz w:val="20"/>
        </w:rPr>
        <w:t>- die eine Rechtsform haben, die erwähnt ist [in Anhang I Teil A zur Richtlinie 2009/133/EG des Rates vom 19. Oktober 2009] über das gemeinsame Steuersystem für Fusionen, Spaltungen, Abspaltungen, die Einbringung von Unternehmensteilen und den Austausch von Anteilen, die Gesellschaften verschiedener Mitgliedstaaten betreffen, sowie für die Verlegung des Sitzes einer Europäischen Gesellschaft oder einer Europäischen Genossenschaft von einem Mitgliedstaat in einen anderen Mitgliedstaat […][, wobei in Bezug auf die in Buchstabe b) dieses Anhangs erwähnten Gesellschaften nach belgischem Recht die Verweise auf "société privée à responsabilité limitée"/"besloten vennootschap met beperkte aansprakelijkheid", auf "société coopérative à responsabilité limitée"/"coöperatieve vennootschap met beperkte aansprakelijkheid" und "société coopérative à responsabilité illimitée"/"coöperatieve vennootschap met onbeperkte aansprakelijkheid" und auf "société en commandite simple"/"gewone commanditaire vennootschap", das heißt auf die "Privatgesellschaft mit beschränkter Haftung", auf die "Genossenschaft mit beschränkter Haftung" und die "Genossenschaft mit unbeschränkter Haftung" und auf die "einfache Kommanditgesellschaft", auch als Verweis auf "société à responsabilité limitée"/"besloten vennootschap", "société coopérative"/"coöperatieve vennootschap" und "société en commandite"/"commanditaire vennootschap", das heißt auf die "Gesellschaft mit beschränkter Haftung", die "Genossenschaft" beziehungsweise die "Kommanditgesellschaft", zu verstehen sind],</w:t>
      </w:r>
    </w:p>
    <w:p w14:paraId="49BEDD39" w14:textId="77777777" w:rsidR="008E5855" w:rsidRPr="009118AB" w:rsidRDefault="008E5855" w:rsidP="008E5855">
      <w:pPr>
        <w:autoSpaceDE w:val="0"/>
        <w:autoSpaceDN w:val="0"/>
        <w:adjustRightInd w:val="0"/>
        <w:jc w:val="both"/>
        <w:rPr>
          <w:iCs/>
          <w:sz w:val="20"/>
        </w:rPr>
      </w:pPr>
    </w:p>
    <w:p w14:paraId="3A39B603" w14:textId="68326229" w:rsidR="008E5855" w:rsidRPr="009118AB" w:rsidRDefault="008E5855" w:rsidP="008E5855">
      <w:pPr>
        <w:autoSpaceDE w:val="0"/>
        <w:autoSpaceDN w:val="0"/>
        <w:adjustRightInd w:val="0"/>
        <w:jc w:val="both"/>
        <w:rPr>
          <w:iCs/>
          <w:sz w:val="20"/>
        </w:rPr>
      </w:pPr>
      <w:r w:rsidRPr="009118AB">
        <w:rPr>
          <w:iCs/>
          <w:sz w:val="20"/>
        </w:rPr>
        <w:t>- die gemäß den steuerrechtlichen Vorschriften eines anderen Mitgliedstaates der Europäischen Union als Belgien als in diesem Staat ansässig angesehen werden, ohne aufgrund eines Doppelbesteuerungsabkommens mit einem dritten Staat als außerhalb der Europäischen Union ansässig angesehen zu werden, und</w:t>
      </w:r>
    </w:p>
    <w:p w14:paraId="530876EB" w14:textId="77777777" w:rsidR="008E5855" w:rsidRPr="009118AB" w:rsidRDefault="008E5855" w:rsidP="008E5855">
      <w:pPr>
        <w:autoSpaceDE w:val="0"/>
        <w:autoSpaceDN w:val="0"/>
        <w:adjustRightInd w:val="0"/>
        <w:jc w:val="both"/>
        <w:rPr>
          <w:iCs/>
          <w:sz w:val="20"/>
        </w:rPr>
      </w:pPr>
    </w:p>
    <w:p w14:paraId="06C6E972" w14:textId="6FECB760" w:rsidR="008E5855" w:rsidRPr="009118AB" w:rsidRDefault="008E5855" w:rsidP="008E5855">
      <w:pPr>
        <w:autoSpaceDE w:val="0"/>
        <w:autoSpaceDN w:val="0"/>
        <w:adjustRightInd w:val="0"/>
        <w:jc w:val="both"/>
        <w:rPr>
          <w:iCs/>
          <w:sz w:val="20"/>
        </w:rPr>
      </w:pPr>
      <w:r w:rsidRPr="009118AB">
        <w:rPr>
          <w:iCs/>
          <w:sz w:val="20"/>
        </w:rPr>
        <w:t>- die ohne Wahlmöglichkeit einer der [in Anhang I Teil B] der vorerwähnten Richtlinie aufgezählten Steuern, die der Gesellschaftssteuer entsprechen, unterliegen, ohne davon befreit zu sein,]</w:t>
      </w:r>
    </w:p>
    <w:p w14:paraId="17F66640" w14:textId="77777777" w:rsidR="008E5855" w:rsidRPr="009118AB" w:rsidRDefault="008E5855" w:rsidP="008E5855">
      <w:pPr>
        <w:autoSpaceDE w:val="0"/>
        <w:autoSpaceDN w:val="0"/>
        <w:adjustRightInd w:val="0"/>
        <w:jc w:val="both"/>
        <w:rPr>
          <w:iCs/>
          <w:sz w:val="20"/>
        </w:rPr>
      </w:pPr>
    </w:p>
    <w:p w14:paraId="62BD62B0" w14:textId="76049FFC" w:rsidR="008E5855" w:rsidRPr="009118AB" w:rsidRDefault="008E5855" w:rsidP="008E5855">
      <w:pPr>
        <w:autoSpaceDE w:val="0"/>
        <w:autoSpaceDN w:val="0"/>
        <w:adjustRightInd w:val="0"/>
        <w:jc w:val="both"/>
        <w:rPr>
          <w:iCs/>
          <w:sz w:val="20"/>
        </w:rPr>
      </w:pPr>
      <w:r w:rsidRPr="009118AB">
        <w:rPr>
          <w:i/>
          <w:iCs/>
          <w:sz w:val="20"/>
        </w:rPr>
        <w:t xml:space="preserve">c) </w:t>
      </w:r>
      <w:r w:rsidRPr="009118AB">
        <w:rPr>
          <w:iCs/>
          <w:sz w:val="20"/>
        </w:rPr>
        <w:t>ausländischen Gesellschaften: [unbeschadet der Nummer 5 Buchstabe </w:t>
      </w:r>
      <w:r w:rsidRPr="009118AB">
        <w:rPr>
          <w:i/>
          <w:iCs/>
          <w:sz w:val="20"/>
        </w:rPr>
        <w:t>b)</w:t>
      </w:r>
      <w:r w:rsidRPr="009118AB">
        <w:rPr>
          <w:iCs/>
          <w:sz w:val="20"/>
        </w:rPr>
        <w:t>] Gesellschaften, deren […] Hauptniederlassung oder Geschäftsführungs- oder Verwaltungssitz nicht in Belgien liegt,</w:t>
      </w:r>
    </w:p>
    <w:p w14:paraId="167FF80B" w14:textId="77777777" w:rsidR="008E5855" w:rsidRPr="009118AB" w:rsidRDefault="008E5855" w:rsidP="008E5855">
      <w:pPr>
        <w:autoSpaceDE w:val="0"/>
        <w:autoSpaceDN w:val="0"/>
        <w:adjustRightInd w:val="0"/>
        <w:jc w:val="both"/>
        <w:rPr>
          <w:i/>
          <w:iCs/>
          <w:sz w:val="20"/>
        </w:rPr>
      </w:pPr>
    </w:p>
    <w:p w14:paraId="2CADBEE5" w14:textId="4ED44F47" w:rsidR="003F4F6F" w:rsidRPr="009118AB" w:rsidRDefault="003F4F6F" w:rsidP="008E5855">
      <w:pPr>
        <w:autoSpaceDE w:val="0"/>
        <w:autoSpaceDN w:val="0"/>
        <w:adjustRightInd w:val="0"/>
        <w:jc w:val="both"/>
        <w:rPr>
          <w:sz w:val="20"/>
        </w:rPr>
      </w:pPr>
      <w:r w:rsidRPr="009118AB">
        <w:rPr>
          <w:sz w:val="20"/>
        </w:rPr>
        <w:lastRenderedPageBreak/>
        <w:t>[</w:t>
      </w:r>
      <w:r w:rsidRPr="009118AB">
        <w:rPr>
          <w:i/>
          <w:iCs/>
          <w:sz w:val="20"/>
        </w:rPr>
        <w:t>cbis)</w:t>
      </w:r>
      <w:r w:rsidRPr="009118AB">
        <w:rPr>
          <w:sz w:val="20"/>
        </w:rPr>
        <w:t> kleinen Gesellschaften: Gesellschaften, die aufgrund von Artikel 1:24 §</w:t>
      </w:r>
      <w:r w:rsidR="00D67EB8" w:rsidRPr="009118AB">
        <w:rPr>
          <w:sz w:val="20"/>
        </w:rPr>
        <w:t>§ </w:t>
      </w:r>
      <w:r w:rsidRPr="009118AB">
        <w:rPr>
          <w:sz w:val="20"/>
        </w:rPr>
        <w:t>1 bis 6 des Gesetzbuches der Gesellschaften und Vereinigungen als kleine Gesellschaften gelten oder die</w:t>
      </w:r>
      <w:r w:rsidR="00D67EB8" w:rsidRPr="009118AB">
        <w:rPr>
          <w:sz w:val="20"/>
        </w:rPr>
        <w:t> - </w:t>
      </w:r>
      <w:r w:rsidRPr="009118AB">
        <w:rPr>
          <w:sz w:val="20"/>
        </w:rPr>
        <w:t>wenn vorerwähnter Artikel 1:24 nicht auf sie anwendbar ist</w:t>
      </w:r>
      <w:r w:rsidR="00D67EB8" w:rsidRPr="009118AB">
        <w:rPr>
          <w:sz w:val="20"/>
        </w:rPr>
        <w:t> - </w:t>
      </w:r>
      <w:r w:rsidRPr="009118AB">
        <w:rPr>
          <w:sz w:val="20"/>
        </w:rPr>
        <w:t>die Kriterien des vorerwähnten Artikels 1:24 §</w:t>
      </w:r>
      <w:r w:rsidR="00D67EB8" w:rsidRPr="009118AB">
        <w:rPr>
          <w:sz w:val="20"/>
        </w:rPr>
        <w:t>§ </w:t>
      </w:r>
      <w:r w:rsidRPr="009118AB">
        <w:rPr>
          <w:sz w:val="20"/>
        </w:rPr>
        <w:t>1 bis 6 mutatis mutandis erfüllen,]</w:t>
      </w:r>
    </w:p>
    <w:p w14:paraId="3C274D20" w14:textId="77777777" w:rsidR="003F4F6F" w:rsidRPr="009118AB" w:rsidRDefault="003F4F6F" w:rsidP="008E5855">
      <w:pPr>
        <w:autoSpaceDE w:val="0"/>
        <w:autoSpaceDN w:val="0"/>
        <w:adjustRightInd w:val="0"/>
        <w:jc w:val="both"/>
        <w:rPr>
          <w:sz w:val="20"/>
        </w:rPr>
      </w:pPr>
    </w:p>
    <w:p w14:paraId="465B8C5F" w14:textId="2A7A8926" w:rsidR="008E5855" w:rsidRPr="009118AB" w:rsidRDefault="008E5855" w:rsidP="008E5855">
      <w:pPr>
        <w:autoSpaceDE w:val="0"/>
        <w:autoSpaceDN w:val="0"/>
        <w:adjustRightInd w:val="0"/>
        <w:jc w:val="both"/>
        <w:rPr>
          <w:iCs/>
          <w:sz w:val="20"/>
        </w:rPr>
      </w:pPr>
      <w:r w:rsidRPr="009118AB">
        <w:rPr>
          <w:i/>
          <w:iCs/>
          <w:sz w:val="20"/>
        </w:rPr>
        <w:t xml:space="preserve">d) </w:t>
      </w:r>
      <w:r w:rsidRPr="009118AB">
        <w:rPr>
          <w:iCs/>
          <w:sz w:val="20"/>
        </w:rPr>
        <w:t>Finanzierungsgesellschaften: Gesellschaften, deren Tätigkeit ausschließlich oder hauptsächlich darin besteht, Finanzdienstleistungen zugunsten von Gesellschaften zu erbringen, die mit der dienstleistenden Gesellschaft weder direkt noch indirekt eine Gruppe bilden,</w:t>
      </w:r>
    </w:p>
    <w:p w14:paraId="4124F233" w14:textId="77777777" w:rsidR="008E5855" w:rsidRPr="009118AB" w:rsidRDefault="008E5855" w:rsidP="008E5855">
      <w:pPr>
        <w:autoSpaceDE w:val="0"/>
        <w:autoSpaceDN w:val="0"/>
        <w:adjustRightInd w:val="0"/>
        <w:jc w:val="both"/>
        <w:rPr>
          <w:iCs/>
          <w:sz w:val="20"/>
        </w:rPr>
      </w:pPr>
    </w:p>
    <w:p w14:paraId="416C78A0" w14:textId="39EC415C" w:rsidR="008E5855" w:rsidRPr="009118AB" w:rsidRDefault="008E5855" w:rsidP="008E5855">
      <w:pPr>
        <w:autoSpaceDE w:val="0"/>
        <w:autoSpaceDN w:val="0"/>
        <w:adjustRightInd w:val="0"/>
        <w:jc w:val="both"/>
        <w:rPr>
          <w:iCs/>
          <w:sz w:val="20"/>
        </w:rPr>
      </w:pPr>
      <w:r w:rsidRPr="009118AB">
        <w:rPr>
          <w:i/>
          <w:iCs/>
          <w:sz w:val="20"/>
        </w:rPr>
        <w:t>e)</w:t>
      </w:r>
      <w:r w:rsidRPr="009118AB">
        <w:rPr>
          <w:iCs/>
          <w:sz w:val="20"/>
        </w:rPr>
        <w:t xml:space="preserve"> Geldanlagegesellschaften: Gesellschaften, deren Tätigkeit ausschließlich oder hauptsächlich darin besteht, Geldanlagen zu tätigen,</w:t>
      </w:r>
    </w:p>
    <w:p w14:paraId="795C73C1" w14:textId="77777777" w:rsidR="008E5855" w:rsidRPr="009118AB" w:rsidRDefault="008E5855" w:rsidP="008E5855">
      <w:pPr>
        <w:autoSpaceDE w:val="0"/>
        <w:autoSpaceDN w:val="0"/>
        <w:adjustRightInd w:val="0"/>
        <w:jc w:val="both"/>
        <w:rPr>
          <w:iCs/>
          <w:sz w:val="20"/>
        </w:rPr>
      </w:pPr>
    </w:p>
    <w:p w14:paraId="6AD1A6F3" w14:textId="379435FF" w:rsidR="008E5855" w:rsidRPr="009118AB" w:rsidRDefault="008E5855" w:rsidP="008E5855">
      <w:pPr>
        <w:autoSpaceDE w:val="0"/>
        <w:autoSpaceDN w:val="0"/>
        <w:adjustRightInd w:val="0"/>
        <w:jc w:val="both"/>
        <w:rPr>
          <w:iCs/>
          <w:sz w:val="20"/>
        </w:rPr>
      </w:pPr>
      <w:r w:rsidRPr="009118AB">
        <w:rPr>
          <w:i/>
          <w:iCs/>
          <w:sz w:val="20"/>
        </w:rPr>
        <w:t>f)</w:t>
      </w:r>
      <w:r w:rsidRPr="009118AB">
        <w:rPr>
          <w:iCs/>
          <w:sz w:val="20"/>
        </w:rPr>
        <w:t xml:space="preserve"> Investmentgesellschaften: Gesellschaften, deren Zweck darin besteht, gemeinsame Kapitalanlagen zu tätigen,</w:t>
      </w:r>
    </w:p>
    <w:p w14:paraId="07FEB197" w14:textId="77777777" w:rsidR="008E5855" w:rsidRPr="009118AB" w:rsidRDefault="008E5855" w:rsidP="008E5855">
      <w:pPr>
        <w:autoSpaceDE w:val="0"/>
        <w:autoSpaceDN w:val="0"/>
        <w:adjustRightInd w:val="0"/>
        <w:jc w:val="both"/>
        <w:rPr>
          <w:iCs/>
          <w:sz w:val="20"/>
        </w:rPr>
      </w:pPr>
    </w:p>
    <w:p w14:paraId="50EFA454" w14:textId="4BE84DBB" w:rsidR="008E5855" w:rsidRPr="009118AB" w:rsidRDefault="008E5855" w:rsidP="008E5855">
      <w:pPr>
        <w:autoSpaceDE w:val="0"/>
        <w:autoSpaceDN w:val="0"/>
        <w:adjustRightInd w:val="0"/>
        <w:jc w:val="both"/>
        <w:rPr>
          <w:iCs/>
          <w:sz w:val="20"/>
        </w:rPr>
      </w:pPr>
      <w:r w:rsidRPr="009118AB">
        <w:rPr>
          <w:iCs/>
          <w:sz w:val="20"/>
        </w:rPr>
        <w:t>[</w:t>
      </w:r>
      <w:r w:rsidRPr="009118AB">
        <w:rPr>
          <w:i/>
          <w:iCs/>
          <w:sz w:val="20"/>
        </w:rPr>
        <w:t>g)</w:t>
      </w:r>
      <w:r w:rsidRPr="009118AB">
        <w:rPr>
          <w:iCs/>
          <w:sz w:val="20"/>
        </w:rPr>
        <w:t> beaufsichtigten Immobiliengesellschaften: öffentliche oder institutionelle beauf</w:t>
      </w:r>
      <w:r w:rsidRPr="009118AB">
        <w:rPr>
          <w:iCs/>
          <w:sz w:val="20"/>
        </w:rPr>
        <w:softHyphen/>
        <w:t>sichtigte Immobiliengesellschaften wie in Artikel 2 des Gesetzes vom 12. Mai 2014 über die beaufsichtigten Immobiliengesellschaften erwähnt,]</w:t>
      </w:r>
    </w:p>
    <w:p w14:paraId="14800661" w14:textId="77777777" w:rsidR="008E5855" w:rsidRPr="009118AB" w:rsidRDefault="008E5855" w:rsidP="008E5855">
      <w:pPr>
        <w:autoSpaceDE w:val="0"/>
        <w:autoSpaceDN w:val="0"/>
        <w:adjustRightInd w:val="0"/>
        <w:jc w:val="both"/>
        <w:rPr>
          <w:iCs/>
          <w:sz w:val="20"/>
        </w:rPr>
      </w:pPr>
    </w:p>
    <w:p w14:paraId="0E81853E" w14:textId="7C948F37" w:rsidR="008E5855" w:rsidRPr="009118AB" w:rsidRDefault="008E5855" w:rsidP="008E5855">
      <w:pPr>
        <w:autoSpaceDE w:val="0"/>
        <w:autoSpaceDN w:val="0"/>
        <w:adjustRightInd w:val="0"/>
        <w:jc w:val="both"/>
        <w:rPr>
          <w:iCs/>
          <w:sz w:val="20"/>
        </w:rPr>
      </w:pPr>
      <w:r w:rsidRPr="009118AB">
        <w:rPr>
          <w:iCs/>
          <w:sz w:val="20"/>
        </w:rPr>
        <w:t>[</w:t>
      </w:r>
      <w:r w:rsidRPr="009118AB">
        <w:rPr>
          <w:i/>
          <w:iCs/>
          <w:sz w:val="20"/>
        </w:rPr>
        <w:t>h)</w:t>
      </w:r>
      <w:r w:rsidRPr="009118AB">
        <w:rPr>
          <w:iCs/>
          <w:sz w:val="20"/>
        </w:rPr>
        <w:t> Investmentgesellschaften mit fixem Kapital für Immobilien: Investment</w:t>
      </w:r>
      <w:r w:rsidRPr="009118AB">
        <w:rPr>
          <w:iCs/>
          <w:sz w:val="20"/>
        </w:rPr>
        <w:softHyphen/>
        <w:t xml:space="preserve">gesellschaften mit fixem Kapital wie in den Artikeln 195 und 288 des Gesetzes vom 19. April 2014 über alternative Organismen für gemeinsame Anlagen und ihre Verwalter erwähnt, deren ausschließlicher Zweck darin besteht, Anlagen in der in Artikel 183 Absatz 1 </w:t>
      </w:r>
      <w:r w:rsidR="00D67EB8" w:rsidRPr="009118AB">
        <w:rPr>
          <w:iCs/>
          <w:sz w:val="20"/>
        </w:rPr>
        <w:t>Nr. </w:t>
      </w:r>
      <w:r w:rsidRPr="009118AB">
        <w:rPr>
          <w:iCs/>
          <w:sz w:val="20"/>
        </w:rPr>
        <w:t>3 desselben Gesetzes erwähnten Kategorie von zugelassenen Anlagen zu tätigen</w:t>
      </w:r>
      <w:r w:rsidR="000D5C7F" w:rsidRPr="009118AB">
        <w:rPr>
          <w:iCs/>
          <w:sz w:val="20"/>
        </w:rPr>
        <w:t>,</w:t>
      </w:r>
      <w:r w:rsidRPr="009118AB">
        <w:rPr>
          <w:iCs/>
          <w:sz w:val="20"/>
        </w:rPr>
        <w:t>]</w:t>
      </w:r>
    </w:p>
    <w:p w14:paraId="19E15260" w14:textId="77777777" w:rsidR="008E5855" w:rsidRPr="009118AB" w:rsidRDefault="008E5855" w:rsidP="008E5855">
      <w:pPr>
        <w:autoSpaceDE w:val="0"/>
        <w:autoSpaceDN w:val="0"/>
        <w:adjustRightInd w:val="0"/>
        <w:jc w:val="both"/>
        <w:rPr>
          <w:iCs/>
          <w:sz w:val="20"/>
        </w:rPr>
      </w:pPr>
    </w:p>
    <w:p w14:paraId="7F026825" w14:textId="3A5D30CE" w:rsidR="000D5C7F" w:rsidRPr="009118AB" w:rsidRDefault="000D5C7F" w:rsidP="008E5855">
      <w:pPr>
        <w:autoSpaceDE w:val="0"/>
        <w:autoSpaceDN w:val="0"/>
        <w:adjustRightInd w:val="0"/>
        <w:jc w:val="both"/>
        <w:rPr>
          <w:iCs/>
          <w:sz w:val="20"/>
        </w:rPr>
      </w:pPr>
      <w:r w:rsidRPr="009118AB">
        <w:rPr>
          <w:iCs/>
          <w:sz w:val="20"/>
        </w:rPr>
        <w:t>[</w:t>
      </w:r>
      <w:r w:rsidRPr="009118AB">
        <w:rPr>
          <w:i/>
          <w:iCs/>
          <w:sz w:val="20"/>
        </w:rPr>
        <w:t>i)</w:t>
      </w:r>
      <w:r w:rsidRPr="009118AB">
        <w:rPr>
          <w:iCs/>
          <w:sz w:val="20"/>
        </w:rPr>
        <w:t> europäischen langfristigen Investmentfonds: alternative Organismen für gemeinsame Anlagen, die die Satzungsform haben, in der Form einer Gesellschaft mit Rechtspersönlichkeit nach belgischem Recht gegründet worden sind und vor Aufnahme ihrer Tätigkeiten von der FSMA zugelassen worden sind gemäß der Verordnung (EU) 2015/760 des Europäischen Parlaments und des Rates vom 29. April 2015 über europäische langfristige Investmentfonds.]</w:t>
      </w:r>
    </w:p>
    <w:p w14:paraId="2D29E2D4" w14:textId="77777777" w:rsidR="000D5C7F" w:rsidRPr="009118AB" w:rsidRDefault="000D5C7F" w:rsidP="008E5855">
      <w:pPr>
        <w:autoSpaceDE w:val="0"/>
        <w:autoSpaceDN w:val="0"/>
        <w:adjustRightInd w:val="0"/>
        <w:jc w:val="both"/>
        <w:rPr>
          <w:iCs/>
          <w:sz w:val="20"/>
        </w:rPr>
      </w:pPr>
    </w:p>
    <w:p w14:paraId="7421DED9" w14:textId="15A8E922" w:rsidR="008E5855" w:rsidRPr="009118AB" w:rsidRDefault="008E5855" w:rsidP="008E5855">
      <w:pPr>
        <w:autoSpaceDE w:val="0"/>
        <w:autoSpaceDN w:val="0"/>
        <w:adjustRightInd w:val="0"/>
        <w:jc w:val="both"/>
        <w:rPr>
          <w:iCs/>
          <w:sz w:val="20"/>
        </w:rPr>
      </w:pPr>
      <w:r w:rsidRPr="009118AB">
        <w:rPr>
          <w:iCs/>
          <w:sz w:val="20"/>
        </w:rPr>
        <w:t>[5/1. Unternehmensgruppe</w:t>
      </w:r>
    </w:p>
    <w:p w14:paraId="526F30F4" w14:textId="77777777" w:rsidR="008E5855" w:rsidRPr="009118AB" w:rsidRDefault="008E5855" w:rsidP="008E5855">
      <w:pPr>
        <w:autoSpaceDE w:val="0"/>
        <w:autoSpaceDN w:val="0"/>
        <w:adjustRightInd w:val="0"/>
        <w:jc w:val="both"/>
        <w:rPr>
          <w:iCs/>
          <w:sz w:val="20"/>
        </w:rPr>
      </w:pPr>
    </w:p>
    <w:p w14:paraId="0EB5DFE1" w14:textId="77777777" w:rsidR="008E5855" w:rsidRPr="009118AB" w:rsidRDefault="008E5855" w:rsidP="008E5855">
      <w:pPr>
        <w:autoSpaceDE w:val="0"/>
        <w:autoSpaceDN w:val="0"/>
        <w:adjustRightInd w:val="0"/>
        <w:jc w:val="both"/>
        <w:rPr>
          <w:iCs/>
          <w:sz w:val="20"/>
        </w:rPr>
      </w:pPr>
      <w:r w:rsidRPr="009118AB">
        <w:rPr>
          <w:iCs/>
          <w:sz w:val="20"/>
        </w:rPr>
        <w:t>Unter Unternehmensgruppe versteht man die Gesamtheit der Gesellschaften, die im Sinne von [Artikel 1:20 des Gesetzbuches der Gesellschaften und Vereinigungen] miteinander verbunden sind.]</w:t>
      </w:r>
    </w:p>
    <w:p w14:paraId="117CAE94" w14:textId="0C0478D9" w:rsidR="008E5855" w:rsidRPr="009118AB" w:rsidRDefault="008E5855" w:rsidP="008E5855">
      <w:pPr>
        <w:autoSpaceDE w:val="0"/>
        <w:autoSpaceDN w:val="0"/>
        <w:adjustRightInd w:val="0"/>
        <w:jc w:val="both"/>
        <w:rPr>
          <w:iCs/>
          <w:sz w:val="20"/>
        </w:rPr>
      </w:pPr>
    </w:p>
    <w:p w14:paraId="774226AC" w14:textId="77777777" w:rsidR="008E5855" w:rsidRPr="009118AB" w:rsidRDefault="008E5855" w:rsidP="008E5855">
      <w:pPr>
        <w:autoSpaceDE w:val="0"/>
        <w:autoSpaceDN w:val="0"/>
        <w:adjustRightInd w:val="0"/>
        <w:jc w:val="both"/>
        <w:rPr>
          <w:iCs/>
          <w:sz w:val="20"/>
        </w:rPr>
      </w:pPr>
      <w:r w:rsidRPr="009118AB">
        <w:rPr>
          <w:iCs/>
          <w:sz w:val="20"/>
        </w:rPr>
        <w:t>[5</w:t>
      </w:r>
      <w:r w:rsidRPr="009118AB">
        <w:rPr>
          <w:i/>
          <w:iCs/>
          <w:sz w:val="20"/>
        </w:rPr>
        <w:t>bis</w:t>
      </w:r>
      <w:r w:rsidRPr="009118AB">
        <w:rPr>
          <w:iCs/>
          <w:sz w:val="20"/>
        </w:rPr>
        <w:t>. [Gemeinsamer Investmentfonds</w:t>
      </w:r>
    </w:p>
    <w:p w14:paraId="3FD29C8E" w14:textId="77777777" w:rsidR="008E5855" w:rsidRPr="009118AB" w:rsidRDefault="008E5855" w:rsidP="008E5855">
      <w:pPr>
        <w:autoSpaceDE w:val="0"/>
        <w:autoSpaceDN w:val="0"/>
        <w:adjustRightInd w:val="0"/>
        <w:jc w:val="both"/>
        <w:rPr>
          <w:iCs/>
          <w:sz w:val="20"/>
        </w:rPr>
      </w:pPr>
    </w:p>
    <w:p w14:paraId="0DCCC809" w14:textId="229CD8DA" w:rsidR="008E5855" w:rsidRPr="009118AB" w:rsidRDefault="008E5855" w:rsidP="008E5855">
      <w:pPr>
        <w:autoSpaceDE w:val="0"/>
        <w:autoSpaceDN w:val="0"/>
        <w:adjustRightInd w:val="0"/>
        <w:jc w:val="both"/>
        <w:rPr>
          <w:iCs/>
          <w:sz w:val="20"/>
        </w:rPr>
      </w:pPr>
      <w:r w:rsidRPr="009118AB">
        <w:rPr>
          <w:iCs/>
          <w:sz w:val="20"/>
        </w:rPr>
        <w:t>Unter gemeinsamem Investmentfonds versteht man:</w:t>
      </w:r>
    </w:p>
    <w:p w14:paraId="0422A996" w14:textId="77777777" w:rsidR="008E5855" w:rsidRPr="009118AB" w:rsidRDefault="008E5855" w:rsidP="008E5855">
      <w:pPr>
        <w:autoSpaceDE w:val="0"/>
        <w:autoSpaceDN w:val="0"/>
        <w:adjustRightInd w:val="0"/>
        <w:jc w:val="both"/>
        <w:rPr>
          <w:iCs/>
          <w:sz w:val="20"/>
        </w:rPr>
      </w:pPr>
    </w:p>
    <w:p w14:paraId="40D08854" w14:textId="7637E9A0" w:rsidR="008E5855" w:rsidRPr="009118AB" w:rsidRDefault="008E5855" w:rsidP="008E5855">
      <w:pPr>
        <w:autoSpaceDE w:val="0"/>
        <w:autoSpaceDN w:val="0"/>
        <w:adjustRightInd w:val="0"/>
        <w:jc w:val="both"/>
        <w:rPr>
          <w:iCs/>
          <w:sz w:val="20"/>
        </w:rPr>
      </w:pPr>
      <w:r w:rsidRPr="009118AB">
        <w:rPr>
          <w:iCs/>
          <w:sz w:val="20"/>
        </w:rPr>
        <w:t>- das ungeteilte Vermögen, das von einer Verwaltungsgesellschaft von Organismen für gemeinsame Anlagen für Rechnung der Anteilinhaber verwaltet wird gemäß den Bestimmungen des Gesetzes vom 3. August 2012 über Organismen für gemeinsame Anlagen, die die Bedingungen der Richtlinie 2009/65/EG erfüllen, und Organismen für Anlagen in Forderungen oder gemäß entsprechenden Bestimmungen ausländischen Rechts,</w:t>
      </w:r>
    </w:p>
    <w:p w14:paraId="1B0AD822" w14:textId="77777777" w:rsidR="008E5855" w:rsidRPr="009118AB" w:rsidRDefault="008E5855" w:rsidP="008E5855">
      <w:pPr>
        <w:autoSpaceDE w:val="0"/>
        <w:autoSpaceDN w:val="0"/>
        <w:adjustRightInd w:val="0"/>
        <w:jc w:val="both"/>
        <w:rPr>
          <w:iCs/>
          <w:sz w:val="20"/>
        </w:rPr>
      </w:pPr>
    </w:p>
    <w:p w14:paraId="0A124D1F" w14:textId="5A0A956F" w:rsidR="008E5855" w:rsidRPr="009118AB" w:rsidRDefault="008E5855" w:rsidP="008E5855">
      <w:pPr>
        <w:autoSpaceDE w:val="0"/>
        <w:autoSpaceDN w:val="0"/>
        <w:adjustRightInd w:val="0"/>
        <w:jc w:val="both"/>
        <w:rPr>
          <w:iCs/>
          <w:sz w:val="20"/>
        </w:rPr>
      </w:pPr>
      <w:r w:rsidRPr="009118AB">
        <w:rPr>
          <w:iCs/>
          <w:sz w:val="20"/>
        </w:rPr>
        <w:t>- das ungeteilte Vermögen, das von einer Verwaltungsgesellschaft von alternativen Organismen für gemeinsame Anlagen für Rechnung der Anteilinhaber verwaltet wird gemäß den Bestimmungen des Gesetzes vom 19. April 2014 über alternative Organismen für gemeinsame Anlagen und ihre Verwalter oder gemäß entsprechenden Bestimmungen ausländischen Rechts.]]</w:t>
      </w:r>
    </w:p>
    <w:p w14:paraId="7B255DA6" w14:textId="77777777" w:rsidR="008E5855" w:rsidRPr="009118AB" w:rsidRDefault="008E5855" w:rsidP="008E5855">
      <w:pPr>
        <w:autoSpaceDE w:val="0"/>
        <w:autoSpaceDN w:val="0"/>
        <w:adjustRightInd w:val="0"/>
        <w:jc w:val="both"/>
        <w:rPr>
          <w:iCs/>
          <w:sz w:val="20"/>
        </w:rPr>
      </w:pPr>
    </w:p>
    <w:p w14:paraId="63869CC4" w14:textId="6313BC55" w:rsidR="008E5855" w:rsidRPr="009118AB" w:rsidRDefault="008E5855" w:rsidP="008E5855">
      <w:pPr>
        <w:autoSpaceDE w:val="0"/>
        <w:autoSpaceDN w:val="0"/>
        <w:adjustRightInd w:val="0"/>
        <w:jc w:val="both"/>
        <w:rPr>
          <w:iCs/>
          <w:sz w:val="20"/>
        </w:rPr>
      </w:pPr>
      <w:r w:rsidRPr="009118AB">
        <w:rPr>
          <w:iCs/>
          <w:sz w:val="20"/>
        </w:rPr>
        <w:t>[5</w:t>
      </w:r>
      <w:r w:rsidRPr="009118AB">
        <w:rPr>
          <w:i/>
          <w:iCs/>
          <w:sz w:val="20"/>
        </w:rPr>
        <w:t>ter</w:t>
      </w:r>
      <w:r w:rsidRPr="009118AB">
        <w:rPr>
          <w:iCs/>
          <w:sz w:val="20"/>
        </w:rPr>
        <w:t>. Ansässig</w:t>
      </w:r>
    </w:p>
    <w:p w14:paraId="3E3907F6" w14:textId="77777777" w:rsidR="008E5855" w:rsidRPr="009118AB" w:rsidRDefault="008E5855" w:rsidP="008E5855">
      <w:pPr>
        <w:autoSpaceDE w:val="0"/>
        <w:autoSpaceDN w:val="0"/>
        <w:adjustRightInd w:val="0"/>
        <w:jc w:val="both"/>
        <w:rPr>
          <w:iCs/>
          <w:sz w:val="20"/>
        </w:rPr>
      </w:pPr>
    </w:p>
    <w:p w14:paraId="2CF32C67" w14:textId="072CF022" w:rsidR="008E5855" w:rsidRPr="009118AB" w:rsidRDefault="008E5855" w:rsidP="008E5855">
      <w:pPr>
        <w:autoSpaceDE w:val="0"/>
        <w:autoSpaceDN w:val="0"/>
        <w:adjustRightInd w:val="0"/>
        <w:jc w:val="both"/>
        <w:rPr>
          <w:iCs/>
          <w:sz w:val="20"/>
        </w:rPr>
      </w:pPr>
      <w:r w:rsidRPr="009118AB">
        <w:rPr>
          <w:iCs/>
          <w:sz w:val="20"/>
        </w:rPr>
        <w:t>Wird in Bezug auf Gesellschaften, Vereinigungen, Niederlassungen oder Einrichtungen in Zusammenhang mit einem Staat oder einer Gruppe von Staaten der Begriff "ansässig" verwendet, bedeutet dieser Begriff, dass ihr Steuerwohnsitz sich in diesem Staat oder in einem der Staaten dieser Gruppe von Staaten befindet gemäß den steuerrechtlichen Vorschriften dieses Staates, ohne dass infolge eines Doppelbesteuerungsabkommens ihr Steuerwohnsitz als außerhalb dieses Staates oder dieser Gruppe von Staaten befindlich betrachtet werden muss.]</w:t>
      </w:r>
    </w:p>
    <w:p w14:paraId="07FB4290" w14:textId="77777777" w:rsidR="008E5855" w:rsidRPr="009118AB" w:rsidRDefault="008E5855" w:rsidP="008E5855">
      <w:pPr>
        <w:autoSpaceDE w:val="0"/>
        <w:autoSpaceDN w:val="0"/>
        <w:adjustRightInd w:val="0"/>
        <w:jc w:val="both"/>
        <w:rPr>
          <w:iCs/>
          <w:sz w:val="20"/>
        </w:rPr>
      </w:pPr>
    </w:p>
    <w:p w14:paraId="265AD6C3" w14:textId="77777777" w:rsidR="009546A2" w:rsidRDefault="009546A2">
      <w:pPr>
        <w:rPr>
          <w:iCs/>
          <w:sz w:val="20"/>
        </w:rPr>
      </w:pPr>
      <w:r>
        <w:rPr>
          <w:iCs/>
          <w:sz w:val="20"/>
        </w:rPr>
        <w:br w:type="page"/>
      </w:r>
    </w:p>
    <w:p w14:paraId="4D354B4E" w14:textId="7BA28F27" w:rsidR="008E5855" w:rsidRPr="009118AB" w:rsidRDefault="008E5855" w:rsidP="008E5855">
      <w:pPr>
        <w:autoSpaceDE w:val="0"/>
        <w:autoSpaceDN w:val="0"/>
        <w:adjustRightInd w:val="0"/>
        <w:jc w:val="both"/>
        <w:rPr>
          <w:iCs/>
          <w:sz w:val="20"/>
        </w:rPr>
      </w:pPr>
      <w:r w:rsidRPr="009118AB">
        <w:rPr>
          <w:iCs/>
          <w:sz w:val="20"/>
        </w:rPr>
        <w:lastRenderedPageBreak/>
        <w:t>6. [Kapital</w:t>
      </w:r>
    </w:p>
    <w:p w14:paraId="1096C3A2" w14:textId="77777777" w:rsidR="008E5855" w:rsidRPr="009118AB" w:rsidRDefault="008E5855" w:rsidP="008E5855">
      <w:pPr>
        <w:autoSpaceDE w:val="0"/>
        <w:autoSpaceDN w:val="0"/>
        <w:adjustRightInd w:val="0"/>
        <w:jc w:val="both"/>
        <w:rPr>
          <w:iCs/>
          <w:sz w:val="20"/>
        </w:rPr>
      </w:pPr>
    </w:p>
    <w:p w14:paraId="02DBDE98" w14:textId="75F871C5" w:rsidR="008E5855" w:rsidRPr="009118AB" w:rsidRDefault="008E5855" w:rsidP="008E5855">
      <w:pPr>
        <w:autoSpaceDE w:val="0"/>
        <w:autoSpaceDN w:val="0"/>
        <w:adjustRightInd w:val="0"/>
        <w:jc w:val="both"/>
        <w:rPr>
          <w:iCs/>
          <w:sz w:val="20"/>
        </w:rPr>
      </w:pPr>
      <w:r w:rsidRPr="009118AB">
        <w:rPr>
          <w:iCs/>
          <w:sz w:val="20"/>
        </w:rPr>
        <w:t>Man versteht unter:</w:t>
      </w:r>
    </w:p>
    <w:p w14:paraId="47F71E4C" w14:textId="77777777" w:rsidR="008E5855" w:rsidRPr="009118AB" w:rsidRDefault="008E5855" w:rsidP="008E5855">
      <w:pPr>
        <w:autoSpaceDE w:val="0"/>
        <w:autoSpaceDN w:val="0"/>
        <w:adjustRightInd w:val="0"/>
        <w:jc w:val="both"/>
        <w:rPr>
          <w:iCs/>
          <w:sz w:val="20"/>
        </w:rPr>
      </w:pPr>
    </w:p>
    <w:p w14:paraId="6E522279" w14:textId="57317D7D" w:rsidR="008E5855" w:rsidRPr="009118AB" w:rsidRDefault="008E5855" w:rsidP="008E5855">
      <w:pPr>
        <w:autoSpaceDE w:val="0"/>
        <w:autoSpaceDN w:val="0"/>
        <w:adjustRightInd w:val="0"/>
        <w:jc w:val="both"/>
        <w:rPr>
          <w:iCs/>
          <w:sz w:val="20"/>
        </w:rPr>
      </w:pPr>
      <w:r w:rsidRPr="009118AB">
        <w:rPr>
          <w:i/>
          <w:iCs/>
          <w:sz w:val="20"/>
        </w:rPr>
        <w:t>a)</w:t>
      </w:r>
      <w:r w:rsidRPr="009118AB">
        <w:rPr>
          <w:iCs/>
          <w:sz w:val="20"/>
        </w:rPr>
        <w:t> "Kapital" bei Gesellschaften:</w:t>
      </w:r>
    </w:p>
    <w:p w14:paraId="60017D22" w14:textId="77777777" w:rsidR="008E5855" w:rsidRPr="009118AB" w:rsidRDefault="008E5855" w:rsidP="008E5855">
      <w:pPr>
        <w:autoSpaceDE w:val="0"/>
        <w:autoSpaceDN w:val="0"/>
        <w:adjustRightInd w:val="0"/>
        <w:jc w:val="both"/>
        <w:rPr>
          <w:iCs/>
          <w:sz w:val="20"/>
        </w:rPr>
      </w:pPr>
    </w:p>
    <w:p w14:paraId="342A60E3" w14:textId="20A8060B" w:rsidR="008E5855" w:rsidRPr="009118AB" w:rsidRDefault="008E5855" w:rsidP="008E5855">
      <w:pPr>
        <w:autoSpaceDE w:val="0"/>
        <w:autoSpaceDN w:val="0"/>
        <w:adjustRightInd w:val="0"/>
        <w:jc w:val="both"/>
        <w:rPr>
          <w:iCs/>
          <w:sz w:val="20"/>
        </w:rPr>
      </w:pPr>
      <w:r w:rsidRPr="009118AB">
        <w:rPr>
          <w:iCs/>
          <w:sz w:val="20"/>
        </w:rPr>
        <w:t>1. das Kapital von Aktiengesellschaften wie im Gesetzbuch der Gesellschaften und Vereinigungen erwähnt oder, im Falle von Gesellschaften mit einer anderen Rechtsform, für die das belgische oder ausländische Recht, dem sie unterliegen, einen ähnlichen Begriff vorsieht, diesen Begriff wie in diesem Recht erwähnt,</w:t>
      </w:r>
    </w:p>
    <w:p w14:paraId="58D3AEA5" w14:textId="77777777" w:rsidR="008E5855" w:rsidRPr="009118AB" w:rsidRDefault="008E5855" w:rsidP="008E5855">
      <w:pPr>
        <w:autoSpaceDE w:val="0"/>
        <w:autoSpaceDN w:val="0"/>
        <w:adjustRightInd w:val="0"/>
        <w:jc w:val="both"/>
        <w:rPr>
          <w:iCs/>
          <w:sz w:val="20"/>
        </w:rPr>
      </w:pPr>
    </w:p>
    <w:p w14:paraId="4BDFC309" w14:textId="68FCA178" w:rsidR="008E5855" w:rsidRPr="009118AB" w:rsidRDefault="008E5855" w:rsidP="008E5855">
      <w:pPr>
        <w:autoSpaceDE w:val="0"/>
        <w:autoSpaceDN w:val="0"/>
        <w:adjustRightInd w:val="0"/>
        <w:jc w:val="both"/>
        <w:rPr>
          <w:iCs/>
          <w:sz w:val="20"/>
        </w:rPr>
      </w:pPr>
      <w:r w:rsidRPr="009118AB">
        <w:rPr>
          <w:iCs/>
          <w:sz w:val="20"/>
        </w:rPr>
        <w:t>2. für Gesellschaftsformen, für die das belgische oder ausländische Recht, dem die Gesellschaften unterliegen, keinen ähnlichen Begriff vorsieht, das Eigenkapital der Gesellschaften wie im belgischen oder ausländischen Recht erwähnt, dem die Gesellschaften unterliegen, sofern es durch Geld- oder Sacheinlagen, die keine Einlagen von Dienstleistungen sind, gebildet wird,</w:t>
      </w:r>
    </w:p>
    <w:p w14:paraId="624A1AF7" w14:textId="77777777" w:rsidR="008E5855" w:rsidRPr="009118AB" w:rsidRDefault="008E5855" w:rsidP="008E5855">
      <w:pPr>
        <w:autoSpaceDE w:val="0"/>
        <w:autoSpaceDN w:val="0"/>
        <w:adjustRightInd w:val="0"/>
        <w:jc w:val="both"/>
        <w:rPr>
          <w:iCs/>
          <w:sz w:val="20"/>
        </w:rPr>
      </w:pPr>
    </w:p>
    <w:p w14:paraId="4FF968BF" w14:textId="61A31A37" w:rsidR="008E5855" w:rsidRPr="009118AB" w:rsidRDefault="008E5855" w:rsidP="008E5855">
      <w:pPr>
        <w:autoSpaceDE w:val="0"/>
        <w:autoSpaceDN w:val="0"/>
        <w:adjustRightInd w:val="0"/>
        <w:jc w:val="both"/>
        <w:rPr>
          <w:iCs/>
          <w:sz w:val="20"/>
        </w:rPr>
      </w:pPr>
      <w:r w:rsidRPr="009118AB">
        <w:rPr>
          <w:i/>
          <w:iCs/>
          <w:sz w:val="20"/>
        </w:rPr>
        <w:t>b)</w:t>
      </w:r>
      <w:r w:rsidRPr="009118AB">
        <w:rPr>
          <w:iCs/>
          <w:sz w:val="20"/>
        </w:rPr>
        <w:t> eingezahltem Kapital:</w:t>
      </w:r>
    </w:p>
    <w:p w14:paraId="2E343A42" w14:textId="77777777" w:rsidR="008E5855" w:rsidRPr="009118AB" w:rsidRDefault="008E5855" w:rsidP="008E5855">
      <w:pPr>
        <w:autoSpaceDE w:val="0"/>
        <w:autoSpaceDN w:val="0"/>
        <w:adjustRightInd w:val="0"/>
        <w:jc w:val="both"/>
        <w:rPr>
          <w:iCs/>
          <w:sz w:val="20"/>
        </w:rPr>
      </w:pPr>
    </w:p>
    <w:p w14:paraId="24ABCBC5" w14:textId="1DD7C7F1" w:rsidR="008E5855" w:rsidRPr="009118AB" w:rsidRDefault="008E5855" w:rsidP="008E5855">
      <w:pPr>
        <w:autoSpaceDE w:val="0"/>
        <w:autoSpaceDN w:val="0"/>
        <w:adjustRightInd w:val="0"/>
        <w:jc w:val="both"/>
        <w:rPr>
          <w:iCs/>
          <w:sz w:val="20"/>
        </w:rPr>
      </w:pPr>
      <w:r w:rsidRPr="009118AB">
        <w:rPr>
          <w:iCs/>
          <w:sz w:val="20"/>
        </w:rPr>
        <w:t>sowohl für inländische Gesellschaften als auch für ausländische Gesellschaften das tatsächlich eingezahlte Kapital im Sinne der Gesellschaftssteuer.]</w:t>
      </w:r>
    </w:p>
    <w:p w14:paraId="6DB51D94" w14:textId="77777777" w:rsidR="008E5855" w:rsidRPr="009118AB" w:rsidRDefault="008E5855" w:rsidP="008E5855">
      <w:pPr>
        <w:autoSpaceDE w:val="0"/>
        <w:autoSpaceDN w:val="0"/>
        <w:adjustRightInd w:val="0"/>
        <w:jc w:val="both"/>
        <w:rPr>
          <w:iCs/>
          <w:sz w:val="20"/>
        </w:rPr>
      </w:pPr>
    </w:p>
    <w:p w14:paraId="583CAEE0" w14:textId="7C166BC2" w:rsidR="008E5855" w:rsidRPr="009118AB" w:rsidRDefault="008E5855" w:rsidP="008E5855">
      <w:pPr>
        <w:autoSpaceDE w:val="0"/>
        <w:autoSpaceDN w:val="0"/>
        <w:adjustRightInd w:val="0"/>
        <w:jc w:val="both"/>
        <w:rPr>
          <w:iCs/>
          <w:sz w:val="20"/>
        </w:rPr>
      </w:pPr>
      <w:r w:rsidRPr="009118AB">
        <w:rPr>
          <w:iCs/>
          <w:sz w:val="20"/>
        </w:rPr>
        <w:t>[6/1. Fusion durch Übernahme, Fusion durch Gründung einer neuen Gesellschaft, Aufspaltung durch Übernahme, Aufspaltung durch Gründung neuer Gesellschaften, gemischte Aufspaltung, mit einer Fusion durch Übernahme gleichgesetzter Vorgang und mit einer Aufspaltung gleichgesetzter Vorgang oder abgekürzt "Fusion, Aufspaltung und mit einer Fusion oder mit einer Aufspaltung gleichgesetzter Vorgang"</w:t>
      </w:r>
    </w:p>
    <w:p w14:paraId="2B0DA7CF" w14:textId="77777777" w:rsidR="008E5855" w:rsidRPr="009118AB" w:rsidRDefault="008E5855" w:rsidP="008E5855">
      <w:pPr>
        <w:autoSpaceDE w:val="0"/>
        <w:autoSpaceDN w:val="0"/>
        <w:adjustRightInd w:val="0"/>
        <w:jc w:val="both"/>
        <w:rPr>
          <w:iCs/>
          <w:sz w:val="20"/>
        </w:rPr>
      </w:pPr>
    </w:p>
    <w:p w14:paraId="45EB8146" w14:textId="70A48486" w:rsidR="008E5855" w:rsidRPr="009118AB" w:rsidRDefault="008E5855" w:rsidP="008E5855">
      <w:pPr>
        <w:autoSpaceDE w:val="0"/>
        <w:autoSpaceDN w:val="0"/>
        <w:adjustRightInd w:val="0"/>
        <w:jc w:val="both"/>
        <w:rPr>
          <w:iCs/>
          <w:sz w:val="20"/>
        </w:rPr>
      </w:pPr>
      <w:r w:rsidRPr="009118AB">
        <w:rPr>
          <w:iCs/>
          <w:sz w:val="20"/>
        </w:rPr>
        <w:t>Man versteht unter:</w:t>
      </w:r>
    </w:p>
    <w:p w14:paraId="76CB226F" w14:textId="77777777" w:rsidR="008E5855" w:rsidRPr="009118AB" w:rsidRDefault="008E5855" w:rsidP="008E5855">
      <w:pPr>
        <w:autoSpaceDE w:val="0"/>
        <w:autoSpaceDN w:val="0"/>
        <w:adjustRightInd w:val="0"/>
        <w:jc w:val="both"/>
        <w:rPr>
          <w:iCs/>
          <w:sz w:val="20"/>
        </w:rPr>
      </w:pPr>
    </w:p>
    <w:p w14:paraId="69F4EB84" w14:textId="127EA74D" w:rsidR="008E5855" w:rsidRPr="009118AB" w:rsidRDefault="008E5855" w:rsidP="008E5855">
      <w:pPr>
        <w:autoSpaceDE w:val="0"/>
        <w:autoSpaceDN w:val="0"/>
        <w:adjustRightInd w:val="0"/>
        <w:jc w:val="both"/>
        <w:rPr>
          <w:iCs/>
          <w:sz w:val="20"/>
        </w:rPr>
      </w:pPr>
      <w:r w:rsidRPr="009118AB">
        <w:rPr>
          <w:i/>
          <w:iCs/>
          <w:sz w:val="20"/>
        </w:rPr>
        <w:t>a)</w:t>
      </w:r>
      <w:r w:rsidRPr="009118AB">
        <w:rPr>
          <w:iCs/>
          <w:sz w:val="20"/>
        </w:rPr>
        <w:t> Fusion durch Übernahme: den Vorgang, durch den eine oder mehrere Gesellschaften infolge ihrer Auflösung ohne Liquidation ihr gesamtes Aktiv- und Passivvermögen auf eine andere bereits bestehende Gesellschaft gegen Gewährung von Aktien oder Anteilen der begünstigten Gesellschaft an die Aktionäre oder Gesellschafter der aufgelösten Gesellschaft(en) und gegebenenfalls einer baren Zuzahlung übertragen; letztere darf ein Zehntel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dem rechnerischen Wert der Einlagewert</w:t>
      </w:r>
      <w:r w:rsidR="00D67EB8" w:rsidRPr="009118AB">
        <w:rPr>
          <w:iCs/>
          <w:sz w:val="20"/>
        </w:rPr>
        <w:t> - </w:t>
      </w:r>
      <w:r w:rsidRPr="009118AB">
        <w:rPr>
          <w:iCs/>
          <w:sz w:val="20"/>
        </w:rPr>
        <w:t>so wie er aus dem Jahresabschluss hervorgeht</w:t>
      </w:r>
      <w:r w:rsidR="00D67EB8" w:rsidRPr="009118AB">
        <w:rPr>
          <w:iCs/>
          <w:sz w:val="20"/>
        </w:rPr>
        <w:t> - </w:t>
      </w:r>
      <w:r w:rsidRPr="009118AB">
        <w:rPr>
          <w:iCs/>
          <w:sz w:val="20"/>
        </w:rPr>
        <w:t>aller von den Aktionären oder Gesellschaftern gewährten Geld- oder Sacheinlagen, die keine Einlagen von Dienstleistungen sind, gleichgesetzt, gegebenenfalls erhöht um die Rücklagen, die den Aktionären oder Gesellschaftern aufgrund einer Satzungsbestimmung nur nach Satzungsänderung ausgeschüttet werden können; dieser Gesamtwert wird durch die Anzahl Aktien oder Anteile geteilt,</w:t>
      </w:r>
    </w:p>
    <w:p w14:paraId="73FC1612" w14:textId="77777777" w:rsidR="008E5855" w:rsidRPr="009118AB" w:rsidRDefault="008E5855" w:rsidP="008E5855">
      <w:pPr>
        <w:autoSpaceDE w:val="0"/>
        <w:autoSpaceDN w:val="0"/>
        <w:adjustRightInd w:val="0"/>
        <w:jc w:val="both"/>
        <w:rPr>
          <w:iCs/>
          <w:sz w:val="20"/>
        </w:rPr>
      </w:pPr>
    </w:p>
    <w:p w14:paraId="28E798B1" w14:textId="3D91C87A" w:rsidR="008E5855" w:rsidRPr="009118AB" w:rsidRDefault="008E5855" w:rsidP="008E5855">
      <w:pPr>
        <w:autoSpaceDE w:val="0"/>
        <w:autoSpaceDN w:val="0"/>
        <w:adjustRightInd w:val="0"/>
        <w:jc w:val="both"/>
        <w:rPr>
          <w:iCs/>
          <w:sz w:val="20"/>
        </w:rPr>
      </w:pPr>
      <w:r w:rsidRPr="009118AB">
        <w:rPr>
          <w:i/>
          <w:iCs/>
          <w:sz w:val="20"/>
        </w:rPr>
        <w:t>b)</w:t>
      </w:r>
      <w:r w:rsidRPr="009118AB">
        <w:rPr>
          <w:iCs/>
          <w:sz w:val="20"/>
        </w:rPr>
        <w:t> Fusion durch Gründung einer neuen Gesellschaft: den Vorgang, durch den zwei oder mehrere Gesellschaften infolge ihrer Auflösung ohne Liquidation ihr gesamtes Aktiv- und Passivvermögen auf eine neue von ihnen gegründete Gesellschaft gegen Gewährung von Aktien oder Anteilen der neuen Gesellschaft an die Aktionäre oder Gesellschafter der aufgelösten Gesellschaften und gegebenenfalls einer baren Zuzahlung übertragen; letztere darf ein Zehntel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118AB">
        <w:rPr>
          <w:i/>
          <w:iCs/>
          <w:sz w:val="20"/>
        </w:rPr>
        <w:t>a)</w:t>
      </w:r>
      <w:r w:rsidRPr="009118AB">
        <w:rPr>
          <w:iCs/>
          <w:sz w:val="20"/>
        </w:rPr>
        <w:t xml:space="preserve"> erwähnten Regeln bestimmt,</w:t>
      </w:r>
    </w:p>
    <w:p w14:paraId="57D9845C" w14:textId="77777777" w:rsidR="008E5855" w:rsidRPr="009118AB" w:rsidRDefault="008E5855" w:rsidP="008E5855">
      <w:pPr>
        <w:autoSpaceDE w:val="0"/>
        <w:autoSpaceDN w:val="0"/>
        <w:adjustRightInd w:val="0"/>
        <w:jc w:val="both"/>
        <w:rPr>
          <w:iCs/>
          <w:sz w:val="20"/>
        </w:rPr>
      </w:pPr>
    </w:p>
    <w:p w14:paraId="136927EA" w14:textId="77777777" w:rsidR="00D6496B" w:rsidRPr="00D6496B" w:rsidRDefault="008E5855" w:rsidP="00D6496B">
      <w:pPr>
        <w:jc w:val="both"/>
        <w:rPr>
          <w:sz w:val="20"/>
          <w:szCs w:val="20"/>
        </w:rPr>
      </w:pPr>
      <w:r w:rsidRPr="00D6496B">
        <w:rPr>
          <w:i/>
          <w:iCs/>
          <w:sz w:val="20"/>
          <w:szCs w:val="20"/>
        </w:rPr>
        <w:t>c)</w:t>
      </w:r>
      <w:r w:rsidRPr="00D6496B">
        <w:rPr>
          <w:iCs/>
          <w:sz w:val="20"/>
          <w:szCs w:val="20"/>
        </w:rPr>
        <w:t> </w:t>
      </w:r>
      <w:r w:rsidR="00D6496B" w:rsidRPr="00D6496B">
        <w:rPr>
          <w:iCs/>
          <w:sz w:val="20"/>
          <w:szCs w:val="20"/>
        </w:rPr>
        <w:t>[</w:t>
      </w:r>
      <w:r w:rsidR="00D6496B" w:rsidRPr="00D6496B">
        <w:rPr>
          <w:sz w:val="20"/>
          <w:szCs w:val="20"/>
        </w:rPr>
        <w:t>mit einer Fusion durch Übernahme gleichgesetztem Vorgang:</w:t>
      </w:r>
    </w:p>
    <w:p w14:paraId="442D06A3" w14:textId="77777777" w:rsidR="00D6496B" w:rsidRPr="00D6496B" w:rsidRDefault="00D6496B" w:rsidP="00D6496B">
      <w:pPr>
        <w:jc w:val="both"/>
        <w:rPr>
          <w:sz w:val="20"/>
          <w:szCs w:val="20"/>
        </w:rPr>
      </w:pPr>
    </w:p>
    <w:p w14:paraId="0E6471C3" w14:textId="77777777" w:rsidR="00D6496B" w:rsidRPr="00D6496B" w:rsidRDefault="00D6496B" w:rsidP="00D6496B">
      <w:pPr>
        <w:jc w:val="both"/>
        <w:rPr>
          <w:sz w:val="20"/>
          <w:szCs w:val="20"/>
        </w:rPr>
      </w:pPr>
      <w:r w:rsidRPr="00D6496B">
        <w:rPr>
          <w:sz w:val="20"/>
          <w:szCs w:val="20"/>
        </w:rPr>
        <w:t>1. den Vorgang, durch den eine Gesellschaft infolge ihrer Auflösung ohne Liquidation ihr gesamtes Aktiv- und Passivvermögen auf die Gesellschaft überträgt, die alle ihre Aktien oder Anteile und anderen Stimmrecht gewährenden Wertpapiere besitzt,</w:t>
      </w:r>
    </w:p>
    <w:p w14:paraId="3E6CF173" w14:textId="77777777" w:rsidR="00D6496B" w:rsidRPr="00D6496B" w:rsidRDefault="00D6496B" w:rsidP="00D6496B">
      <w:pPr>
        <w:jc w:val="both"/>
        <w:rPr>
          <w:sz w:val="20"/>
          <w:szCs w:val="20"/>
        </w:rPr>
      </w:pPr>
    </w:p>
    <w:p w14:paraId="4EB790E4" w14:textId="747797AD" w:rsidR="008E5855" w:rsidRPr="00D6496B" w:rsidRDefault="00D6496B" w:rsidP="00D6496B">
      <w:pPr>
        <w:autoSpaceDE w:val="0"/>
        <w:autoSpaceDN w:val="0"/>
        <w:adjustRightInd w:val="0"/>
        <w:jc w:val="both"/>
        <w:rPr>
          <w:iCs/>
          <w:sz w:val="20"/>
          <w:szCs w:val="20"/>
        </w:rPr>
      </w:pPr>
      <w:r w:rsidRPr="00D6496B">
        <w:rPr>
          <w:sz w:val="20"/>
          <w:szCs w:val="20"/>
        </w:rPr>
        <w:t xml:space="preserve">2. den Vorgang, durch den eine Gesellschaft infolge ihrer Auflösung ohne Liquidation ihr gesamtes Aktiv- und Passivvermögen auf eine andere Gesellschaft überträgt, ohne dass diese letzte Gesellschaft Aktien oder Anteile ausgibt, sofern ein und dieselbe Person alle Aktien oder Anteile und anderen Stimmrecht gewährenden Wertpapiere, ausgegeben von der übertragenden und der übernehmenden Gesellschaft, besitzt oder sofern die </w:t>
      </w:r>
      <w:r w:rsidRPr="00D6496B">
        <w:rPr>
          <w:sz w:val="20"/>
          <w:szCs w:val="20"/>
        </w:rPr>
        <w:lastRenderedPageBreak/>
        <w:t>Wertpapiere und Aktien oder Anteile der Gesellschafter oder Aktionäre der fusionierenden Gesellschaften bei allen fusionierenden Gesellschaften vor der Fusion dasselbe Verhältnis haben,</w:t>
      </w:r>
      <w:r w:rsidRPr="00D6496B">
        <w:rPr>
          <w:iCs/>
          <w:sz w:val="20"/>
          <w:szCs w:val="20"/>
        </w:rPr>
        <w:t>]</w:t>
      </w:r>
    </w:p>
    <w:p w14:paraId="733E6200" w14:textId="77777777" w:rsidR="008E5855" w:rsidRPr="009118AB" w:rsidRDefault="008E5855" w:rsidP="008E5855">
      <w:pPr>
        <w:autoSpaceDE w:val="0"/>
        <w:autoSpaceDN w:val="0"/>
        <w:adjustRightInd w:val="0"/>
        <w:jc w:val="both"/>
        <w:rPr>
          <w:iCs/>
          <w:sz w:val="20"/>
        </w:rPr>
      </w:pPr>
    </w:p>
    <w:p w14:paraId="3B429EC6" w14:textId="42087589" w:rsidR="008E5855" w:rsidRPr="009118AB" w:rsidRDefault="008E5855" w:rsidP="008E5855">
      <w:pPr>
        <w:autoSpaceDE w:val="0"/>
        <w:autoSpaceDN w:val="0"/>
        <w:adjustRightInd w:val="0"/>
        <w:jc w:val="both"/>
        <w:rPr>
          <w:iCs/>
          <w:sz w:val="20"/>
        </w:rPr>
      </w:pPr>
      <w:r w:rsidRPr="009118AB">
        <w:rPr>
          <w:i/>
          <w:iCs/>
          <w:sz w:val="20"/>
        </w:rPr>
        <w:t>d)</w:t>
      </w:r>
      <w:r w:rsidRPr="009118AB">
        <w:rPr>
          <w:iCs/>
          <w:sz w:val="20"/>
        </w:rPr>
        <w:t> Aufspaltung durch Übernahme: den Vorgang, durch den eine Gesellschaft infolge ihrer Auflösung ohne Liquidation ihr gesamtes Aktiv- und Passivvermögen auf mehrere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118AB">
        <w:rPr>
          <w:i/>
          <w:iCs/>
          <w:sz w:val="20"/>
        </w:rPr>
        <w:t>a)</w:t>
      </w:r>
      <w:r w:rsidRPr="009118AB">
        <w:rPr>
          <w:iCs/>
          <w:sz w:val="20"/>
        </w:rPr>
        <w:t xml:space="preserve"> erwähnten Regeln bestimmt,</w:t>
      </w:r>
    </w:p>
    <w:p w14:paraId="05D1E6AD" w14:textId="77777777" w:rsidR="008E5855" w:rsidRPr="009118AB" w:rsidRDefault="008E5855" w:rsidP="008E5855">
      <w:pPr>
        <w:autoSpaceDE w:val="0"/>
        <w:autoSpaceDN w:val="0"/>
        <w:adjustRightInd w:val="0"/>
        <w:jc w:val="both"/>
        <w:rPr>
          <w:iCs/>
          <w:sz w:val="20"/>
        </w:rPr>
      </w:pPr>
    </w:p>
    <w:p w14:paraId="608B3F08" w14:textId="5991E48E" w:rsidR="008E5855" w:rsidRPr="009118AB" w:rsidRDefault="008E5855" w:rsidP="008E5855">
      <w:pPr>
        <w:autoSpaceDE w:val="0"/>
        <w:autoSpaceDN w:val="0"/>
        <w:adjustRightInd w:val="0"/>
        <w:jc w:val="both"/>
        <w:rPr>
          <w:iCs/>
          <w:sz w:val="20"/>
        </w:rPr>
      </w:pPr>
      <w:r w:rsidRPr="009118AB">
        <w:rPr>
          <w:i/>
          <w:iCs/>
          <w:sz w:val="20"/>
        </w:rPr>
        <w:t>e)</w:t>
      </w:r>
      <w:r w:rsidRPr="009118AB">
        <w:rPr>
          <w:iCs/>
          <w:sz w:val="20"/>
        </w:rPr>
        <w:t> Aufspaltung durch Gründung neuer Gesellschaften: den Vorgang, durch den eine Gesellschaft infolge ihrer Auflösung ohne Liquidation ihr gesamtes Aktiv- und Passivvermögen auf mehrere von ihr gegründete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118AB">
        <w:rPr>
          <w:i/>
          <w:iCs/>
          <w:sz w:val="20"/>
        </w:rPr>
        <w:t>a)</w:t>
      </w:r>
      <w:r w:rsidRPr="009118AB">
        <w:rPr>
          <w:iCs/>
          <w:sz w:val="20"/>
        </w:rPr>
        <w:t xml:space="preserve"> erwähnten Regeln bestimmt,</w:t>
      </w:r>
    </w:p>
    <w:p w14:paraId="58FDFAFC" w14:textId="77777777" w:rsidR="008E5855" w:rsidRPr="009118AB" w:rsidRDefault="008E5855" w:rsidP="008E5855">
      <w:pPr>
        <w:autoSpaceDE w:val="0"/>
        <w:autoSpaceDN w:val="0"/>
        <w:adjustRightInd w:val="0"/>
        <w:jc w:val="both"/>
        <w:rPr>
          <w:iCs/>
          <w:sz w:val="20"/>
        </w:rPr>
      </w:pPr>
    </w:p>
    <w:p w14:paraId="229270A9" w14:textId="4CFA08FB" w:rsidR="008E5855" w:rsidRPr="009118AB" w:rsidRDefault="008E5855" w:rsidP="008E5855">
      <w:pPr>
        <w:autoSpaceDE w:val="0"/>
        <w:autoSpaceDN w:val="0"/>
        <w:adjustRightInd w:val="0"/>
        <w:jc w:val="both"/>
        <w:rPr>
          <w:iCs/>
          <w:sz w:val="20"/>
        </w:rPr>
      </w:pPr>
      <w:r w:rsidRPr="009118AB">
        <w:rPr>
          <w:i/>
          <w:iCs/>
          <w:sz w:val="20"/>
        </w:rPr>
        <w:t>f)</w:t>
      </w:r>
      <w:r w:rsidRPr="009118AB">
        <w:rPr>
          <w:iCs/>
          <w:sz w:val="20"/>
        </w:rPr>
        <w:t> gemischter Aufspaltung: den Vorgang, durch den eine Gesellschaft infolge ihrer Auflösung ohne Liquidation ihr gesamtes Aktiv- und Passivvermögen auf eine oder mehrere bestehende Gesellschaften und auf eine oder mehrere von ihr gegründete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118AB">
        <w:rPr>
          <w:i/>
          <w:iCs/>
          <w:sz w:val="20"/>
        </w:rPr>
        <w:t>a)</w:t>
      </w:r>
      <w:r w:rsidRPr="009118AB">
        <w:rPr>
          <w:iCs/>
          <w:sz w:val="20"/>
        </w:rPr>
        <w:t xml:space="preserve"> erwähnten Regeln bestimmt,</w:t>
      </w:r>
    </w:p>
    <w:p w14:paraId="66F8D870" w14:textId="77777777" w:rsidR="008E5855" w:rsidRPr="009118AB" w:rsidRDefault="008E5855" w:rsidP="008E5855">
      <w:pPr>
        <w:autoSpaceDE w:val="0"/>
        <w:autoSpaceDN w:val="0"/>
        <w:adjustRightInd w:val="0"/>
        <w:jc w:val="both"/>
        <w:rPr>
          <w:iCs/>
          <w:sz w:val="20"/>
        </w:rPr>
      </w:pPr>
    </w:p>
    <w:p w14:paraId="739420BE" w14:textId="2F376684" w:rsidR="008E5855" w:rsidRPr="009118AB" w:rsidRDefault="008E5855" w:rsidP="008E5855">
      <w:pPr>
        <w:autoSpaceDE w:val="0"/>
        <w:autoSpaceDN w:val="0"/>
        <w:adjustRightInd w:val="0"/>
        <w:jc w:val="both"/>
        <w:rPr>
          <w:iCs/>
          <w:sz w:val="20"/>
        </w:rPr>
      </w:pPr>
      <w:r w:rsidRPr="009118AB">
        <w:rPr>
          <w:i/>
          <w:iCs/>
          <w:sz w:val="20"/>
        </w:rPr>
        <w:t>g)</w:t>
      </w:r>
      <w:r w:rsidRPr="009118AB">
        <w:rPr>
          <w:iCs/>
          <w:sz w:val="20"/>
        </w:rPr>
        <w:t> mit einer Aufspaltung gleichgesetztem Vorgang:</w:t>
      </w:r>
    </w:p>
    <w:p w14:paraId="14B913FC" w14:textId="77777777" w:rsidR="008E5855" w:rsidRPr="009118AB" w:rsidRDefault="008E5855" w:rsidP="008E5855">
      <w:pPr>
        <w:autoSpaceDE w:val="0"/>
        <w:autoSpaceDN w:val="0"/>
        <w:adjustRightInd w:val="0"/>
        <w:jc w:val="both"/>
        <w:rPr>
          <w:iCs/>
          <w:sz w:val="20"/>
        </w:rPr>
      </w:pPr>
    </w:p>
    <w:p w14:paraId="1B4060DF" w14:textId="77E9EE2D" w:rsidR="008E5855" w:rsidRPr="009118AB" w:rsidRDefault="008E5855" w:rsidP="008E5855">
      <w:pPr>
        <w:autoSpaceDE w:val="0"/>
        <w:autoSpaceDN w:val="0"/>
        <w:adjustRightInd w:val="0"/>
        <w:jc w:val="both"/>
        <w:rPr>
          <w:iCs/>
          <w:sz w:val="20"/>
        </w:rPr>
      </w:pPr>
      <w:r w:rsidRPr="009118AB">
        <w:rPr>
          <w:iCs/>
          <w:sz w:val="20"/>
        </w:rPr>
        <w:t xml:space="preserve">1. den Vorgang, durch den eine Gesellschaft, ohne aufgelöst zu werden, einen Teil ihres Aktiv- und Passivvermögens auf eine oder mehrere bestehende oder von ihr gegründete Gesellschaften </w:t>
      </w:r>
      <w:r w:rsidR="00FB2BD1">
        <w:rPr>
          <w:iCs/>
          <w:sz w:val="20"/>
        </w:rPr>
        <w:t>[</w:t>
      </w:r>
      <w:r w:rsidR="00FB2BD1" w:rsidRPr="00FB2BD1">
        <w:rPr>
          <w:sz w:val="20"/>
          <w:szCs w:val="20"/>
        </w:rPr>
        <w:t>überträgt, und zwar gegen anteilige oder nicht anteilige Gewährung von Aktien oder Anteilen der begünstigten Gesellschaft(en), der aufgespaltenen Gesellschaft oder sowohl der begünstigten Gesellschaft(en) als auch der aufgespaltenen Gesellschaft an die Aktionäre oder Gesellschafter der übertragenden Gesellschaft und gegebenenfalls einer baren Zuzahlung</w:t>
      </w:r>
      <w:r w:rsidR="00FB2BD1">
        <w:rPr>
          <w:iCs/>
          <w:sz w:val="20"/>
        </w:rPr>
        <w:t>]</w:t>
      </w:r>
      <w:r w:rsidRPr="009118AB">
        <w:rPr>
          <w:iCs/>
          <w:sz w:val="20"/>
        </w:rPr>
        <w: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118AB">
        <w:rPr>
          <w:i/>
          <w:iCs/>
          <w:sz w:val="20"/>
        </w:rPr>
        <w:t>a)</w:t>
      </w:r>
      <w:r w:rsidRPr="009118AB">
        <w:rPr>
          <w:iCs/>
          <w:sz w:val="20"/>
        </w:rPr>
        <w:t xml:space="preserve"> erwähnten Regeln bestimmt,</w:t>
      </w:r>
    </w:p>
    <w:p w14:paraId="0FD118F1" w14:textId="77777777" w:rsidR="008E5855" w:rsidRPr="009118AB" w:rsidRDefault="008E5855" w:rsidP="008E5855">
      <w:pPr>
        <w:autoSpaceDE w:val="0"/>
        <w:autoSpaceDN w:val="0"/>
        <w:adjustRightInd w:val="0"/>
        <w:jc w:val="both"/>
        <w:rPr>
          <w:iCs/>
          <w:sz w:val="20"/>
        </w:rPr>
      </w:pPr>
    </w:p>
    <w:p w14:paraId="63B6856E" w14:textId="1CBAC8F1" w:rsidR="008E5855" w:rsidRDefault="008E5855" w:rsidP="008E5855">
      <w:pPr>
        <w:autoSpaceDE w:val="0"/>
        <w:autoSpaceDN w:val="0"/>
        <w:adjustRightInd w:val="0"/>
        <w:jc w:val="both"/>
        <w:rPr>
          <w:iCs/>
          <w:sz w:val="20"/>
        </w:rPr>
      </w:pPr>
      <w:r w:rsidRPr="009118AB">
        <w:rPr>
          <w:iCs/>
          <w:sz w:val="20"/>
        </w:rPr>
        <w:t>2. den Vorgang, durch den eine Gesellschaft, ohne aufgelöst zu werden, einen Teil ihres Aktiv- und Passivvermögens auf eine andere Gesellschaft überträgt, die bereits alle ihre Aktien oder Anteile und anderen Stimmrecht gewährenden Wertpapiere besitzt</w:t>
      </w:r>
      <w:r w:rsidR="000866B2">
        <w:rPr>
          <w:iCs/>
          <w:sz w:val="20"/>
        </w:rPr>
        <w:t>,</w:t>
      </w:r>
    </w:p>
    <w:p w14:paraId="68ED9E64" w14:textId="77777777" w:rsidR="000866B2" w:rsidRDefault="000866B2" w:rsidP="008E5855">
      <w:pPr>
        <w:autoSpaceDE w:val="0"/>
        <w:autoSpaceDN w:val="0"/>
        <w:adjustRightInd w:val="0"/>
        <w:jc w:val="both"/>
        <w:rPr>
          <w:iCs/>
          <w:sz w:val="20"/>
        </w:rPr>
      </w:pPr>
    </w:p>
    <w:p w14:paraId="4C278162" w14:textId="1B8C26CC" w:rsidR="000866B2" w:rsidRPr="009118AB" w:rsidRDefault="000866B2" w:rsidP="008E5855">
      <w:pPr>
        <w:autoSpaceDE w:val="0"/>
        <w:autoSpaceDN w:val="0"/>
        <w:adjustRightInd w:val="0"/>
        <w:jc w:val="both"/>
        <w:rPr>
          <w:iCs/>
          <w:sz w:val="20"/>
        </w:rPr>
      </w:pPr>
      <w:r>
        <w:rPr>
          <w:iCs/>
          <w:sz w:val="20"/>
        </w:rPr>
        <w:t>[</w:t>
      </w:r>
      <w:r w:rsidRPr="000866B2">
        <w:rPr>
          <w:sz w:val="20"/>
          <w:szCs w:val="20"/>
        </w:rPr>
        <w:t>3. den grenzüberschreitenden Vorgang, durch den eine Gesellschaft, ohne aufgelöst zu werden, einen Teil ihres Aktiv- und Passivvermögens auf eine oder mehrere bestehende oder von ihr gegründete Gesellschaften überträgt gegen Gewährung von Aktien oder Anteilen der begünstigten Gesellschaft(en) an die aufgespaltene Gesellschaft.</w:t>
      </w:r>
      <w:r>
        <w:rPr>
          <w:iCs/>
          <w:sz w:val="20"/>
        </w:rPr>
        <w:t>]</w:t>
      </w:r>
    </w:p>
    <w:p w14:paraId="6C29A96C" w14:textId="77777777" w:rsidR="008E5855" w:rsidRPr="009118AB" w:rsidRDefault="008E5855" w:rsidP="008E5855">
      <w:pPr>
        <w:autoSpaceDE w:val="0"/>
        <w:autoSpaceDN w:val="0"/>
        <w:adjustRightInd w:val="0"/>
        <w:jc w:val="both"/>
        <w:rPr>
          <w:iCs/>
          <w:sz w:val="20"/>
        </w:rPr>
      </w:pPr>
    </w:p>
    <w:p w14:paraId="1555739F" w14:textId="68401B11" w:rsidR="008E5855" w:rsidRPr="009118AB" w:rsidRDefault="008E5855" w:rsidP="008E5855">
      <w:pPr>
        <w:autoSpaceDE w:val="0"/>
        <w:autoSpaceDN w:val="0"/>
        <w:adjustRightInd w:val="0"/>
        <w:jc w:val="both"/>
        <w:rPr>
          <w:iCs/>
          <w:sz w:val="20"/>
        </w:rPr>
      </w:pPr>
      <w:r w:rsidRPr="009118AB">
        <w:rPr>
          <w:iCs/>
          <w:sz w:val="20"/>
        </w:rPr>
        <w:t>Diese Vorgänge können ebenfalls stattfinden, wenn eine oder mehrere der Gesellschaften, deren Vermögen übertragen wird, sich in Liquidation oder im Konkurs befinden, sofern sie noch nicht mit der Verteilung ihres Vermögens an ihre Aktionäre oder Gesellschafter begonnen haben.</w:t>
      </w:r>
    </w:p>
    <w:p w14:paraId="0A415715" w14:textId="77777777" w:rsidR="008E5855" w:rsidRPr="009118AB" w:rsidRDefault="008E5855" w:rsidP="008E5855">
      <w:pPr>
        <w:autoSpaceDE w:val="0"/>
        <w:autoSpaceDN w:val="0"/>
        <w:adjustRightInd w:val="0"/>
        <w:jc w:val="both"/>
        <w:rPr>
          <w:iCs/>
          <w:sz w:val="20"/>
        </w:rPr>
      </w:pPr>
    </w:p>
    <w:p w14:paraId="07B67C93" w14:textId="7E5B4D5D" w:rsidR="008E5855" w:rsidRPr="009118AB" w:rsidRDefault="008E5855" w:rsidP="008E5855">
      <w:pPr>
        <w:autoSpaceDE w:val="0"/>
        <w:autoSpaceDN w:val="0"/>
        <w:adjustRightInd w:val="0"/>
        <w:jc w:val="both"/>
        <w:rPr>
          <w:iCs/>
          <w:sz w:val="20"/>
        </w:rPr>
      </w:pPr>
      <w:r w:rsidRPr="009118AB">
        <w:rPr>
          <w:iCs/>
          <w:sz w:val="20"/>
        </w:rPr>
        <w:t>Wenn eine Gesellschaft, die ihr gesamtes oder einen Teil ihres Vermögens überträgt, die Rechtsform einer Vereinigung oder Stiftung nach belgischem Recht oder eine ähnliche Rechtsform nach ausländischem Recht hat, einen uneigennützigen Zweck verfolgt und keine Aktien oder Anteile ausgegeben hat, sind die vorstehenden Begriffsbestimmungen zu lesen, ohne die Angaben in Bezug auf die Gewährung von Aktien oder Anteilen oder einer Zuzahlung an ihre Aktionäre oder Gesellschafter zu berücksichtigen.</w:t>
      </w:r>
    </w:p>
    <w:p w14:paraId="7ED5D2DD" w14:textId="77777777" w:rsidR="008E5855" w:rsidRPr="009118AB" w:rsidRDefault="008E5855" w:rsidP="008E5855">
      <w:pPr>
        <w:autoSpaceDE w:val="0"/>
        <w:autoSpaceDN w:val="0"/>
        <w:adjustRightInd w:val="0"/>
        <w:jc w:val="both"/>
        <w:rPr>
          <w:iCs/>
          <w:sz w:val="20"/>
        </w:rPr>
      </w:pPr>
    </w:p>
    <w:p w14:paraId="6C0762B7" w14:textId="0FB3E219" w:rsidR="008E5855" w:rsidRPr="009118AB" w:rsidRDefault="008E5855" w:rsidP="008E5855">
      <w:pPr>
        <w:autoSpaceDE w:val="0"/>
        <w:autoSpaceDN w:val="0"/>
        <w:adjustRightInd w:val="0"/>
        <w:jc w:val="both"/>
        <w:rPr>
          <w:iCs/>
          <w:sz w:val="20"/>
        </w:rPr>
      </w:pPr>
      <w:r w:rsidRPr="009118AB">
        <w:rPr>
          <w:iCs/>
          <w:sz w:val="20"/>
        </w:rPr>
        <w:lastRenderedPageBreak/>
        <w:t>6/2. Einbringung eines Gesamtvermögens und Einbringung eines Teilbetriebs beziehungsweise eines Teils einer Tätigkeit</w:t>
      </w:r>
    </w:p>
    <w:p w14:paraId="7262FF30" w14:textId="77777777" w:rsidR="008E5855" w:rsidRPr="009118AB" w:rsidRDefault="008E5855" w:rsidP="008E5855">
      <w:pPr>
        <w:autoSpaceDE w:val="0"/>
        <w:autoSpaceDN w:val="0"/>
        <w:adjustRightInd w:val="0"/>
        <w:jc w:val="both"/>
        <w:rPr>
          <w:iCs/>
          <w:sz w:val="20"/>
        </w:rPr>
      </w:pPr>
    </w:p>
    <w:p w14:paraId="15968229" w14:textId="244DB781" w:rsidR="008E5855" w:rsidRPr="009118AB" w:rsidRDefault="008E5855" w:rsidP="008E5855">
      <w:pPr>
        <w:autoSpaceDE w:val="0"/>
        <w:autoSpaceDN w:val="0"/>
        <w:adjustRightInd w:val="0"/>
        <w:jc w:val="both"/>
        <w:rPr>
          <w:iCs/>
          <w:sz w:val="20"/>
        </w:rPr>
      </w:pPr>
      <w:r w:rsidRPr="009118AB">
        <w:rPr>
          <w:iCs/>
          <w:sz w:val="20"/>
        </w:rPr>
        <w:t>Man versteht unter:</w:t>
      </w:r>
    </w:p>
    <w:p w14:paraId="4A0C0A81" w14:textId="77777777" w:rsidR="008E5855" w:rsidRPr="009118AB" w:rsidRDefault="008E5855" w:rsidP="008E5855">
      <w:pPr>
        <w:autoSpaceDE w:val="0"/>
        <w:autoSpaceDN w:val="0"/>
        <w:adjustRightInd w:val="0"/>
        <w:jc w:val="both"/>
        <w:rPr>
          <w:iCs/>
          <w:sz w:val="20"/>
        </w:rPr>
      </w:pPr>
    </w:p>
    <w:p w14:paraId="4AFBC5C3" w14:textId="54858A15" w:rsidR="008E5855" w:rsidRPr="009118AB" w:rsidRDefault="008E5855" w:rsidP="008E5855">
      <w:pPr>
        <w:autoSpaceDE w:val="0"/>
        <w:autoSpaceDN w:val="0"/>
        <w:adjustRightInd w:val="0"/>
        <w:jc w:val="both"/>
        <w:rPr>
          <w:iCs/>
          <w:sz w:val="20"/>
        </w:rPr>
      </w:pPr>
      <w:r w:rsidRPr="009118AB">
        <w:rPr>
          <w:i/>
          <w:iCs/>
          <w:sz w:val="20"/>
        </w:rPr>
        <w:t>a)</w:t>
      </w:r>
      <w:r w:rsidRPr="009118AB">
        <w:rPr>
          <w:iCs/>
          <w:sz w:val="20"/>
        </w:rPr>
        <w:t> Einbringung eines Gesamtvermögens: den Vorgang, durch den eine natürliche Person oder eine Gesellschaft, ohne aufgelöst zu werden, ihr gesamtes Aktiv- und Passivvermögen auf eine Gesellschaft überträgt gegen eine Vergütung, die ausschließlich aus Aktien oder Anteilen der begünstigten Gesellschaft besteht; handelt es sich um eine Einbringung durch eine natürliche Person, sind unter ihrem gesamten Vermögen alle ihre Teilbetriebe beziehungsweise alle Teile ihrer Tätigkeit zu verstehen,</w:t>
      </w:r>
    </w:p>
    <w:p w14:paraId="3A4A2158" w14:textId="77777777" w:rsidR="008E5855" w:rsidRPr="009118AB" w:rsidRDefault="008E5855" w:rsidP="008E5855">
      <w:pPr>
        <w:autoSpaceDE w:val="0"/>
        <w:autoSpaceDN w:val="0"/>
        <w:adjustRightInd w:val="0"/>
        <w:jc w:val="both"/>
        <w:rPr>
          <w:iCs/>
          <w:sz w:val="20"/>
        </w:rPr>
      </w:pPr>
    </w:p>
    <w:p w14:paraId="74C3EA2A" w14:textId="48EDF68C" w:rsidR="008E5855" w:rsidRPr="009118AB" w:rsidRDefault="008E5855" w:rsidP="008E5855">
      <w:pPr>
        <w:autoSpaceDE w:val="0"/>
        <w:autoSpaceDN w:val="0"/>
        <w:adjustRightInd w:val="0"/>
        <w:jc w:val="both"/>
        <w:rPr>
          <w:iCs/>
          <w:sz w:val="20"/>
        </w:rPr>
      </w:pPr>
      <w:r w:rsidRPr="009118AB">
        <w:rPr>
          <w:i/>
          <w:iCs/>
          <w:sz w:val="20"/>
        </w:rPr>
        <w:t>b)</w:t>
      </w:r>
      <w:r w:rsidRPr="009118AB">
        <w:rPr>
          <w:iCs/>
          <w:sz w:val="20"/>
        </w:rPr>
        <w:t> Einbringung eines Teilbetriebs beziehungsweise eines Teils einer Tätigkeit: den Vorgang, durch den eine natürliche Person oder eine Gesellschaft, ohne aufgelöst zu werden, einen Teilbetrieb beziehungsweise einen Teil einer Tätigkeit auf eine andere Gesellschaft überträgt gegen eine Vergütung, die ausschließlich aus Aktien oder Anteilen der begünstigten Gesellschaft besteht,</w:t>
      </w:r>
    </w:p>
    <w:p w14:paraId="1AFB3184" w14:textId="77777777" w:rsidR="008E5855" w:rsidRPr="009118AB" w:rsidRDefault="008E5855" w:rsidP="008E5855">
      <w:pPr>
        <w:autoSpaceDE w:val="0"/>
        <w:autoSpaceDN w:val="0"/>
        <w:adjustRightInd w:val="0"/>
        <w:jc w:val="both"/>
        <w:rPr>
          <w:iCs/>
          <w:sz w:val="20"/>
        </w:rPr>
      </w:pPr>
    </w:p>
    <w:p w14:paraId="31A749EE" w14:textId="6C1840EF" w:rsidR="008E5855" w:rsidRPr="009118AB" w:rsidRDefault="008E5855" w:rsidP="008E5855">
      <w:pPr>
        <w:autoSpaceDE w:val="0"/>
        <w:autoSpaceDN w:val="0"/>
        <w:adjustRightInd w:val="0"/>
        <w:jc w:val="both"/>
        <w:rPr>
          <w:iCs/>
          <w:sz w:val="20"/>
        </w:rPr>
      </w:pPr>
      <w:r w:rsidRPr="009118AB">
        <w:rPr>
          <w:i/>
          <w:iCs/>
          <w:sz w:val="20"/>
        </w:rPr>
        <w:t>c)</w:t>
      </w:r>
      <w:r w:rsidRPr="009118AB">
        <w:rPr>
          <w:iCs/>
          <w:sz w:val="20"/>
        </w:rPr>
        <w:t> Teilbetrieb beziehungsweise Teil einer Tätigkeit: die Gesamtheit der in einem Unternehmensteil einer Gesellschaft vorhandenen aktiven und passiven Wirtschaftsgüter, die in organisatorischer Hinsicht einen selbständigen Betrieb, das heißt eine aus eigenen Mitteln funktionsfähige Einheit, darstellen.]</w:t>
      </w:r>
    </w:p>
    <w:p w14:paraId="79CBF30B" w14:textId="77777777" w:rsidR="008E5855" w:rsidRPr="009118AB" w:rsidRDefault="008E5855" w:rsidP="008E5855">
      <w:pPr>
        <w:autoSpaceDE w:val="0"/>
        <w:autoSpaceDN w:val="0"/>
        <w:adjustRightInd w:val="0"/>
        <w:jc w:val="both"/>
        <w:rPr>
          <w:iCs/>
          <w:sz w:val="20"/>
        </w:rPr>
      </w:pPr>
    </w:p>
    <w:p w14:paraId="2037E70E" w14:textId="30E3DBD3" w:rsidR="008E5855" w:rsidRPr="009118AB" w:rsidRDefault="008E5855" w:rsidP="008E5855">
      <w:pPr>
        <w:autoSpaceDE w:val="0"/>
        <w:autoSpaceDN w:val="0"/>
        <w:adjustRightInd w:val="0"/>
        <w:jc w:val="both"/>
        <w:rPr>
          <w:iCs/>
          <w:sz w:val="20"/>
        </w:rPr>
      </w:pPr>
      <w:r w:rsidRPr="009118AB">
        <w:rPr>
          <w:iCs/>
          <w:sz w:val="20"/>
        </w:rPr>
        <w:t>7. Neu bewerteter Wert</w:t>
      </w:r>
    </w:p>
    <w:p w14:paraId="1BA7D9E2" w14:textId="77777777" w:rsidR="008E5855" w:rsidRPr="009118AB" w:rsidRDefault="008E5855" w:rsidP="008E5855">
      <w:pPr>
        <w:autoSpaceDE w:val="0"/>
        <w:autoSpaceDN w:val="0"/>
        <w:adjustRightInd w:val="0"/>
        <w:jc w:val="both"/>
        <w:rPr>
          <w:iCs/>
          <w:sz w:val="20"/>
        </w:rPr>
      </w:pPr>
    </w:p>
    <w:p w14:paraId="115E65C2" w14:textId="3D1219A5" w:rsidR="008E5855" w:rsidRPr="009118AB" w:rsidRDefault="008E5855" w:rsidP="008E5855">
      <w:pPr>
        <w:autoSpaceDE w:val="0"/>
        <w:autoSpaceDN w:val="0"/>
        <w:adjustRightInd w:val="0"/>
        <w:jc w:val="both"/>
        <w:rPr>
          <w:iCs/>
          <w:sz w:val="20"/>
        </w:rPr>
      </w:pPr>
      <w:r w:rsidRPr="009118AB">
        <w:rPr>
          <w:iCs/>
          <w:sz w:val="20"/>
        </w:rPr>
        <w:t>Unter neu bewertetem Wert versteht man den Wert, der Gütern, die zur Ausübung der Berufstätigkeit genutzt werden, und eingezahltem Kapital nach Aufwertung des Anschaffungs- oder Investitionswertes dieser Güter oder des Kapitals beigemessen wird, und zwar durch Anwendung je nach Jahr der Investition dieser Güter beziehungsweise der Einzahlung, Herabsetzung oder Rückzahlung des Kapitals der nachstehend erwähnten Koeffizienten:</w:t>
      </w:r>
    </w:p>
    <w:p w14:paraId="6D726EDC" w14:textId="77777777" w:rsidR="008E5855" w:rsidRPr="009118AB" w:rsidRDefault="008E5855" w:rsidP="008E5855">
      <w:pPr>
        <w:autoSpaceDE w:val="0"/>
        <w:autoSpaceDN w:val="0"/>
        <w:adjustRightInd w:val="0"/>
        <w:jc w:val="both"/>
        <w:rPr>
          <w:iCs/>
          <w:sz w:val="20"/>
        </w:rPr>
      </w:pPr>
    </w:p>
    <w:tbl>
      <w:tblPr>
        <w:tblW w:w="0" w:type="auto"/>
        <w:tblLayout w:type="fixed"/>
        <w:tblCellMar>
          <w:left w:w="120" w:type="dxa"/>
          <w:right w:w="120" w:type="dxa"/>
        </w:tblCellMar>
        <w:tblLook w:val="0000" w:firstRow="0" w:lastRow="0" w:firstColumn="0" w:lastColumn="0" w:noHBand="0" w:noVBand="0"/>
      </w:tblPr>
      <w:tblGrid>
        <w:gridCol w:w="4024"/>
        <w:gridCol w:w="4281"/>
      </w:tblGrid>
      <w:tr w:rsidR="008E5855" w:rsidRPr="009118AB" w14:paraId="7D481834" w14:textId="77777777" w:rsidTr="008E5855">
        <w:trPr>
          <w:cantSplit/>
          <w:trHeight w:val="403"/>
        </w:trPr>
        <w:tc>
          <w:tcPr>
            <w:tcW w:w="4024" w:type="dxa"/>
            <w:tcBorders>
              <w:top w:val="nil"/>
              <w:left w:val="nil"/>
              <w:bottom w:val="nil"/>
              <w:right w:val="nil"/>
            </w:tcBorders>
          </w:tcPr>
          <w:p w14:paraId="5A13CE47" w14:textId="77777777" w:rsidR="008E5855" w:rsidRPr="009118AB" w:rsidRDefault="008E5855" w:rsidP="008E5855">
            <w:pPr>
              <w:autoSpaceDE w:val="0"/>
              <w:autoSpaceDN w:val="0"/>
              <w:adjustRightInd w:val="0"/>
              <w:jc w:val="both"/>
              <w:rPr>
                <w:iCs/>
                <w:sz w:val="20"/>
              </w:rPr>
            </w:pPr>
            <w:r w:rsidRPr="009118AB">
              <w:rPr>
                <w:iCs/>
                <w:sz w:val="20"/>
              </w:rPr>
              <w:br w:type="page"/>
              <w:t>Jahre</w:t>
            </w:r>
          </w:p>
        </w:tc>
        <w:tc>
          <w:tcPr>
            <w:tcW w:w="4281" w:type="dxa"/>
            <w:tcBorders>
              <w:top w:val="nil"/>
              <w:left w:val="nil"/>
              <w:bottom w:val="nil"/>
              <w:right w:val="nil"/>
            </w:tcBorders>
          </w:tcPr>
          <w:p w14:paraId="44DD6A69" w14:textId="77777777" w:rsidR="008E5855" w:rsidRPr="009118AB" w:rsidRDefault="008E5855" w:rsidP="008E5855">
            <w:pPr>
              <w:autoSpaceDE w:val="0"/>
              <w:autoSpaceDN w:val="0"/>
              <w:adjustRightInd w:val="0"/>
              <w:jc w:val="both"/>
              <w:rPr>
                <w:iCs/>
                <w:sz w:val="20"/>
              </w:rPr>
            </w:pPr>
            <w:r w:rsidRPr="009118AB">
              <w:rPr>
                <w:iCs/>
                <w:sz w:val="20"/>
              </w:rPr>
              <w:t>Anwendbare Koeffizienten</w:t>
            </w:r>
          </w:p>
        </w:tc>
      </w:tr>
      <w:tr w:rsidR="008E5855" w:rsidRPr="009118AB" w14:paraId="39EE6400" w14:textId="77777777" w:rsidTr="008E5855">
        <w:trPr>
          <w:cantSplit/>
          <w:trHeight w:val="403"/>
        </w:trPr>
        <w:tc>
          <w:tcPr>
            <w:tcW w:w="4024" w:type="dxa"/>
            <w:tcBorders>
              <w:top w:val="nil"/>
              <w:left w:val="nil"/>
              <w:bottom w:val="nil"/>
              <w:right w:val="nil"/>
            </w:tcBorders>
          </w:tcPr>
          <w:p w14:paraId="51D58FD4" w14:textId="77777777" w:rsidR="008E5855" w:rsidRPr="009118AB" w:rsidRDefault="008E5855" w:rsidP="008E5855">
            <w:pPr>
              <w:autoSpaceDE w:val="0"/>
              <w:autoSpaceDN w:val="0"/>
              <w:adjustRightInd w:val="0"/>
              <w:jc w:val="both"/>
              <w:rPr>
                <w:iCs/>
                <w:sz w:val="20"/>
              </w:rPr>
            </w:pPr>
            <w:r w:rsidRPr="009118AB">
              <w:rPr>
                <w:iCs/>
                <w:sz w:val="20"/>
              </w:rPr>
              <w:t>1918 und vorhergehende</w:t>
            </w:r>
          </w:p>
        </w:tc>
        <w:tc>
          <w:tcPr>
            <w:tcW w:w="4281" w:type="dxa"/>
            <w:tcBorders>
              <w:top w:val="nil"/>
              <w:left w:val="nil"/>
              <w:bottom w:val="nil"/>
              <w:right w:val="nil"/>
            </w:tcBorders>
          </w:tcPr>
          <w:p w14:paraId="08FBAB7C" w14:textId="77777777" w:rsidR="008E5855" w:rsidRPr="009118AB" w:rsidRDefault="008E5855" w:rsidP="008E5855">
            <w:pPr>
              <w:autoSpaceDE w:val="0"/>
              <w:autoSpaceDN w:val="0"/>
              <w:adjustRightInd w:val="0"/>
              <w:jc w:val="both"/>
              <w:rPr>
                <w:iCs/>
                <w:sz w:val="20"/>
              </w:rPr>
            </w:pPr>
            <w:r w:rsidRPr="009118AB">
              <w:rPr>
                <w:iCs/>
                <w:sz w:val="20"/>
              </w:rPr>
              <w:t>16,33</w:t>
            </w:r>
          </w:p>
        </w:tc>
      </w:tr>
      <w:tr w:rsidR="008E5855" w:rsidRPr="009118AB" w14:paraId="392537B0" w14:textId="77777777" w:rsidTr="008E5855">
        <w:trPr>
          <w:cantSplit/>
          <w:trHeight w:val="403"/>
        </w:trPr>
        <w:tc>
          <w:tcPr>
            <w:tcW w:w="4024" w:type="dxa"/>
            <w:tcBorders>
              <w:top w:val="nil"/>
              <w:left w:val="nil"/>
              <w:bottom w:val="nil"/>
              <w:right w:val="nil"/>
            </w:tcBorders>
          </w:tcPr>
          <w:p w14:paraId="097F376F" w14:textId="77777777" w:rsidR="008E5855" w:rsidRPr="009118AB" w:rsidRDefault="008E5855" w:rsidP="008E5855">
            <w:pPr>
              <w:autoSpaceDE w:val="0"/>
              <w:autoSpaceDN w:val="0"/>
              <w:adjustRightInd w:val="0"/>
              <w:jc w:val="both"/>
              <w:rPr>
                <w:iCs/>
                <w:sz w:val="20"/>
              </w:rPr>
            </w:pPr>
            <w:r w:rsidRPr="009118AB">
              <w:rPr>
                <w:iCs/>
                <w:sz w:val="20"/>
              </w:rPr>
              <w:t>1919</w:t>
            </w:r>
          </w:p>
        </w:tc>
        <w:tc>
          <w:tcPr>
            <w:tcW w:w="4281" w:type="dxa"/>
            <w:tcBorders>
              <w:top w:val="nil"/>
              <w:left w:val="nil"/>
              <w:bottom w:val="nil"/>
              <w:right w:val="nil"/>
            </w:tcBorders>
          </w:tcPr>
          <w:p w14:paraId="707E5239" w14:textId="77777777" w:rsidR="008E5855" w:rsidRPr="009118AB" w:rsidRDefault="008E5855" w:rsidP="008E5855">
            <w:pPr>
              <w:autoSpaceDE w:val="0"/>
              <w:autoSpaceDN w:val="0"/>
              <w:adjustRightInd w:val="0"/>
              <w:jc w:val="both"/>
              <w:rPr>
                <w:iCs/>
                <w:sz w:val="20"/>
              </w:rPr>
            </w:pPr>
            <w:r w:rsidRPr="009118AB">
              <w:rPr>
                <w:iCs/>
                <w:sz w:val="20"/>
              </w:rPr>
              <w:t>11,49</w:t>
            </w:r>
          </w:p>
        </w:tc>
      </w:tr>
      <w:tr w:rsidR="008E5855" w:rsidRPr="009118AB" w14:paraId="6E4D26F6" w14:textId="77777777" w:rsidTr="008E5855">
        <w:trPr>
          <w:cantSplit/>
          <w:trHeight w:val="403"/>
        </w:trPr>
        <w:tc>
          <w:tcPr>
            <w:tcW w:w="4024" w:type="dxa"/>
            <w:tcBorders>
              <w:top w:val="nil"/>
              <w:left w:val="nil"/>
              <w:bottom w:val="nil"/>
              <w:right w:val="nil"/>
            </w:tcBorders>
          </w:tcPr>
          <w:p w14:paraId="63D632D4" w14:textId="77777777" w:rsidR="008E5855" w:rsidRPr="009118AB" w:rsidRDefault="008E5855" w:rsidP="008E5855">
            <w:pPr>
              <w:autoSpaceDE w:val="0"/>
              <w:autoSpaceDN w:val="0"/>
              <w:adjustRightInd w:val="0"/>
              <w:jc w:val="both"/>
              <w:rPr>
                <w:iCs/>
                <w:sz w:val="20"/>
              </w:rPr>
            </w:pPr>
            <w:r w:rsidRPr="009118AB">
              <w:rPr>
                <w:iCs/>
                <w:sz w:val="20"/>
              </w:rPr>
              <w:t>1920</w:t>
            </w:r>
          </w:p>
        </w:tc>
        <w:tc>
          <w:tcPr>
            <w:tcW w:w="4281" w:type="dxa"/>
            <w:tcBorders>
              <w:top w:val="nil"/>
              <w:left w:val="nil"/>
              <w:bottom w:val="nil"/>
              <w:right w:val="nil"/>
            </w:tcBorders>
          </w:tcPr>
          <w:p w14:paraId="2B68CB54" w14:textId="77777777" w:rsidR="008E5855" w:rsidRPr="009118AB" w:rsidRDefault="008E5855" w:rsidP="008E5855">
            <w:pPr>
              <w:autoSpaceDE w:val="0"/>
              <w:autoSpaceDN w:val="0"/>
              <w:adjustRightInd w:val="0"/>
              <w:jc w:val="both"/>
              <w:rPr>
                <w:iCs/>
                <w:sz w:val="20"/>
              </w:rPr>
            </w:pPr>
            <w:r w:rsidRPr="009118AB">
              <w:rPr>
                <w:iCs/>
                <w:sz w:val="20"/>
              </w:rPr>
              <w:t>6,15</w:t>
            </w:r>
          </w:p>
        </w:tc>
      </w:tr>
      <w:tr w:rsidR="008E5855" w:rsidRPr="009118AB" w14:paraId="2551E969" w14:textId="77777777" w:rsidTr="008E5855">
        <w:trPr>
          <w:cantSplit/>
          <w:trHeight w:val="403"/>
        </w:trPr>
        <w:tc>
          <w:tcPr>
            <w:tcW w:w="4024" w:type="dxa"/>
            <w:tcBorders>
              <w:top w:val="nil"/>
              <w:left w:val="nil"/>
              <w:bottom w:val="nil"/>
              <w:right w:val="nil"/>
            </w:tcBorders>
          </w:tcPr>
          <w:p w14:paraId="20DC9638" w14:textId="77777777" w:rsidR="008E5855" w:rsidRPr="009118AB" w:rsidRDefault="008E5855" w:rsidP="008E5855">
            <w:pPr>
              <w:autoSpaceDE w:val="0"/>
              <w:autoSpaceDN w:val="0"/>
              <w:adjustRightInd w:val="0"/>
              <w:jc w:val="both"/>
              <w:rPr>
                <w:iCs/>
                <w:sz w:val="20"/>
              </w:rPr>
            </w:pPr>
            <w:r w:rsidRPr="009118AB">
              <w:rPr>
                <w:iCs/>
                <w:sz w:val="20"/>
              </w:rPr>
              <w:t>1921</w:t>
            </w:r>
          </w:p>
        </w:tc>
        <w:tc>
          <w:tcPr>
            <w:tcW w:w="4281" w:type="dxa"/>
            <w:tcBorders>
              <w:top w:val="nil"/>
              <w:left w:val="nil"/>
              <w:bottom w:val="nil"/>
              <w:right w:val="nil"/>
            </w:tcBorders>
          </w:tcPr>
          <w:p w14:paraId="497B96B8" w14:textId="77777777" w:rsidR="008E5855" w:rsidRPr="009118AB" w:rsidRDefault="008E5855" w:rsidP="008E5855">
            <w:pPr>
              <w:autoSpaceDE w:val="0"/>
              <w:autoSpaceDN w:val="0"/>
              <w:adjustRightInd w:val="0"/>
              <w:jc w:val="both"/>
              <w:rPr>
                <w:iCs/>
                <w:sz w:val="20"/>
              </w:rPr>
            </w:pPr>
            <w:r w:rsidRPr="009118AB">
              <w:rPr>
                <w:iCs/>
                <w:sz w:val="20"/>
              </w:rPr>
              <w:t>6,3</w:t>
            </w:r>
          </w:p>
        </w:tc>
      </w:tr>
      <w:tr w:rsidR="008E5855" w:rsidRPr="009118AB" w14:paraId="7A4B3591" w14:textId="77777777" w:rsidTr="008E5855">
        <w:trPr>
          <w:cantSplit/>
          <w:trHeight w:val="403"/>
        </w:trPr>
        <w:tc>
          <w:tcPr>
            <w:tcW w:w="4024" w:type="dxa"/>
            <w:tcBorders>
              <w:top w:val="nil"/>
              <w:left w:val="nil"/>
              <w:bottom w:val="nil"/>
              <w:right w:val="nil"/>
            </w:tcBorders>
          </w:tcPr>
          <w:p w14:paraId="52742F72" w14:textId="77777777" w:rsidR="008E5855" w:rsidRPr="009118AB" w:rsidRDefault="008E5855" w:rsidP="008E5855">
            <w:pPr>
              <w:autoSpaceDE w:val="0"/>
              <w:autoSpaceDN w:val="0"/>
              <w:adjustRightInd w:val="0"/>
              <w:jc w:val="both"/>
              <w:rPr>
                <w:iCs/>
                <w:sz w:val="20"/>
              </w:rPr>
            </w:pPr>
            <w:r w:rsidRPr="009118AB">
              <w:rPr>
                <w:iCs/>
                <w:sz w:val="20"/>
              </w:rPr>
              <w:t>1922</w:t>
            </w:r>
          </w:p>
        </w:tc>
        <w:tc>
          <w:tcPr>
            <w:tcW w:w="4281" w:type="dxa"/>
            <w:tcBorders>
              <w:top w:val="nil"/>
              <w:left w:val="nil"/>
              <w:bottom w:val="nil"/>
              <w:right w:val="nil"/>
            </w:tcBorders>
          </w:tcPr>
          <w:p w14:paraId="4E4CFB22" w14:textId="77777777" w:rsidR="008E5855" w:rsidRPr="009118AB" w:rsidRDefault="008E5855" w:rsidP="008E5855">
            <w:pPr>
              <w:autoSpaceDE w:val="0"/>
              <w:autoSpaceDN w:val="0"/>
              <w:adjustRightInd w:val="0"/>
              <w:jc w:val="both"/>
              <w:rPr>
                <w:iCs/>
                <w:sz w:val="20"/>
              </w:rPr>
            </w:pPr>
            <w:r w:rsidRPr="009118AB">
              <w:rPr>
                <w:iCs/>
                <w:sz w:val="20"/>
              </w:rPr>
              <w:t>6,43</w:t>
            </w:r>
          </w:p>
        </w:tc>
      </w:tr>
      <w:tr w:rsidR="008E5855" w:rsidRPr="009118AB" w14:paraId="14112074" w14:textId="77777777" w:rsidTr="008E5855">
        <w:trPr>
          <w:cantSplit/>
          <w:trHeight w:val="403"/>
        </w:trPr>
        <w:tc>
          <w:tcPr>
            <w:tcW w:w="4024" w:type="dxa"/>
            <w:tcBorders>
              <w:top w:val="nil"/>
              <w:left w:val="nil"/>
              <w:bottom w:val="nil"/>
              <w:right w:val="nil"/>
            </w:tcBorders>
          </w:tcPr>
          <w:p w14:paraId="3253034C" w14:textId="77777777" w:rsidR="008E5855" w:rsidRPr="009118AB" w:rsidRDefault="008E5855" w:rsidP="008E5855">
            <w:pPr>
              <w:autoSpaceDE w:val="0"/>
              <w:autoSpaceDN w:val="0"/>
              <w:adjustRightInd w:val="0"/>
              <w:jc w:val="both"/>
              <w:rPr>
                <w:iCs/>
                <w:sz w:val="20"/>
              </w:rPr>
            </w:pPr>
            <w:r w:rsidRPr="009118AB">
              <w:rPr>
                <w:iCs/>
                <w:sz w:val="20"/>
              </w:rPr>
              <w:t>1923</w:t>
            </w:r>
          </w:p>
        </w:tc>
        <w:tc>
          <w:tcPr>
            <w:tcW w:w="4281" w:type="dxa"/>
            <w:tcBorders>
              <w:top w:val="nil"/>
              <w:left w:val="nil"/>
              <w:bottom w:val="nil"/>
              <w:right w:val="nil"/>
            </w:tcBorders>
          </w:tcPr>
          <w:p w14:paraId="35B24BC2" w14:textId="77777777" w:rsidR="008E5855" w:rsidRPr="009118AB" w:rsidRDefault="008E5855" w:rsidP="008E5855">
            <w:pPr>
              <w:autoSpaceDE w:val="0"/>
              <w:autoSpaceDN w:val="0"/>
              <w:adjustRightInd w:val="0"/>
              <w:jc w:val="both"/>
              <w:rPr>
                <w:iCs/>
                <w:sz w:val="20"/>
              </w:rPr>
            </w:pPr>
            <w:r w:rsidRPr="009118AB">
              <w:rPr>
                <w:iCs/>
                <w:sz w:val="20"/>
              </w:rPr>
              <w:t>4,37</w:t>
            </w:r>
          </w:p>
        </w:tc>
      </w:tr>
      <w:tr w:rsidR="008E5855" w:rsidRPr="009118AB" w14:paraId="45E3EEC8" w14:textId="77777777" w:rsidTr="008E5855">
        <w:trPr>
          <w:cantSplit/>
          <w:trHeight w:val="403"/>
        </w:trPr>
        <w:tc>
          <w:tcPr>
            <w:tcW w:w="4024" w:type="dxa"/>
            <w:tcBorders>
              <w:top w:val="nil"/>
              <w:left w:val="nil"/>
              <w:bottom w:val="nil"/>
              <w:right w:val="nil"/>
            </w:tcBorders>
          </w:tcPr>
          <w:p w14:paraId="7016C6D9" w14:textId="77777777" w:rsidR="008E5855" w:rsidRPr="009118AB" w:rsidRDefault="008E5855" w:rsidP="008E5855">
            <w:pPr>
              <w:autoSpaceDE w:val="0"/>
              <w:autoSpaceDN w:val="0"/>
              <w:adjustRightInd w:val="0"/>
              <w:jc w:val="both"/>
              <w:rPr>
                <w:iCs/>
                <w:sz w:val="20"/>
              </w:rPr>
            </w:pPr>
            <w:r w:rsidRPr="009118AB">
              <w:rPr>
                <w:iCs/>
                <w:sz w:val="20"/>
              </w:rPr>
              <w:t>1924</w:t>
            </w:r>
          </w:p>
        </w:tc>
        <w:tc>
          <w:tcPr>
            <w:tcW w:w="4281" w:type="dxa"/>
            <w:tcBorders>
              <w:top w:val="nil"/>
              <w:left w:val="nil"/>
              <w:bottom w:val="nil"/>
              <w:right w:val="nil"/>
            </w:tcBorders>
          </w:tcPr>
          <w:p w14:paraId="34D76254" w14:textId="77777777" w:rsidR="008E5855" w:rsidRPr="009118AB" w:rsidRDefault="008E5855" w:rsidP="008E5855">
            <w:pPr>
              <w:autoSpaceDE w:val="0"/>
              <w:autoSpaceDN w:val="0"/>
              <w:adjustRightInd w:val="0"/>
              <w:jc w:val="both"/>
              <w:rPr>
                <w:iCs/>
                <w:sz w:val="20"/>
              </w:rPr>
            </w:pPr>
            <w:r w:rsidRPr="009118AB">
              <w:rPr>
                <w:iCs/>
                <w:sz w:val="20"/>
              </w:rPr>
              <w:t>3,89</w:t>
            </w:r>
          </w:p>
        </w:tc>
      </w:tr>
      <w:tr w:rsidR="008E5855" w:rsidRPr="009118AB" w14:paraId="6B063CC2" w14:textId="77777777" w:rsidTr="008E5855">
        <w:trPr>
          <w:cantSplit/>
          <w:trHeight w:val="403"/>
        </w:trPr>
        <w:tc>
          <w:tcPr>
            <w:tcW w:w="4024" w:type="dxa"/>
            <w:tcBorders>
              <w:top w:val="nil"/>
              <w:left w:val="nil"/>
              <w:bottom w:val="nil"/>
              <w:right w:val="nil"/>
            </w:tcBorders>
          </w:tcPr>
          <w:p w14:paraId="544C4652" w14:textId="77777777" w:rsidR="008E5855" w:rsidRPr="009118AB" w:rsidRDefault="008E5855" w:rsidP="008E5855">
            <w:pPr>
              <w:autoSpaceDE w:val="0"/>
              <w:autoSpaceDN w:val="0"/>
              <w:adjustRightInd w:val="0"/>
              <w:jc w:val="both"/>
              <w:rPr>
                <w:iCs/>
                <w:sz w:val="20"/>
              </w:rPr>
            </w:pPr>
            <w:r w:rsidRPr="009118AB">
              <w:rPr>
                <w:iCs/>
                <w:sz w:val="20"/>
              </w:rPr>
              <w:t>1925</w:t>
            </w:r>
          </w:p>
        </w:tc>
        <w:tc>
          <w:tcPr>
            <w:tcW w:w="4281" w:type="dxa"/>
            <w:tcBorders>
              <w:top w:val="nil"/>
              <w:left w:val="nil"/>
              <w:bottom w:val="nil"/>
              <w:right w:val="nil"/>
            </w:tcBorders>
          </w:tcPr>
          <w:p w14:paraId="0D32A590" w14:textId="77777777" w:rsidR="008E5855" w:rsidRPr="009118AB" w:rsidRDefault="008E5855" w:rsidP="008E5855">
            <w:pPr>
              <w:autoSpaceDE w:val="0"/>
              <w:autoSpaceDN w:val="0"/>
              <w:adjustRightInd w:val="0"/>
              <w:jc w:val="both"/>
              <w:rPr>
                <w:iCs/>
                <w:sz w:val="20"/>
              </w:rPr>
            </w:pPr>
            <w:r w:rsidRPr="009118AB">
              <w:rPr>
                <w:iCs/>
                <w:sz w:val="20"/>
              </w:rPr>
              <w:t>4,02</w:t>
            </w:r>
          </w:p>
        </w:tc>
      </w:tr>
      <w:tr w:rsidR="008E5855" w:rsidRPr="009118AB" w14:paraId="3EF7A22A" w14:textId="77777777" w:rsidTr="008E5855">
        <w:trPr>
          <w:cantSplit/>
          <w:trHeight w:val="403"/>
        </w:trPr>
        <w:tc>
          <w:tcPr>
            <w:tcW w:w="4024" w:type="dxa"/>
            <w:tcBorders>
              <w:top w:val="nil"/>
              <w:left w:val="nil"/>
              <w:bottom w:val="nil"/>
              <w:right w:val="nil"/>
            </w:tcBorders>
          </w:tcPr>
          <w:p w14:paraId="6955C833" w14:textId="77777777" w:rsidR="008E5855" w:rsidRPr="009118AB" w:rsidRDefault="008E5855" w:rsidP="008E5855">
            <w:pPr>
              <w:autoSpaceDE w:val="0"/>
              <w:autoSpaceDN w:val="0"/>
              <w:adjustRightInd w:val="0"/>
              <w:jc w:val="both"/>
              <w:rPr>
                <w:iCs/>
                <w:sz w:val="20"/>
              </w:rPr>
            </w:pPr>
            <w:r w:rsidRPr="009118AB">
              <w:rPr>
                <w:iCs/>
                <w:sz w:val="20"/>
              </w:rPr>
              <w:t>1926</w:t>
            </w:r>
          </w:p>
        </w:tc>
        <w:tc>
          <w:tcPr>
            <w:tcW w:w="4281" w:type="dxa"/>
            <w:tcBorders>
              <w:top w:val="nil"/>
              <w:left w:val="nil"/>
              <w:bottom w:val="nil"/>
              <w:right w:val="nil"/>
            </w:tcBorders>
          </w:tcPr>
          <w:p w14:paraId="1AEE31C2" w14:textId="77777777" w:rsidR="008E5855" w:rsidRPr="009118AB" w:rsidRDefault="008E5855" w:rsidP="008E5855">
            <w:pPr>
              <w:autoSpaceDE w:val="0"/>
              <w:autoSpaceDN w:val="0"/>
              <w:adjustRightInd w:val="0"/>
              <w:jc w:val="both"/>
              <w:rPr>
                <w:iCs/>
                <w:sz w:val="20"/>
              </w:rPr>
            </w:pPr>
            <w:r w:rsidRPr="009118AB">
              <w:rPr>
                <w:iCs/>
                <w:sz w:val="20"/>
              </w:rPr>
              <w:t>2,72</w:t>
            </w:r>
          </w:p>
        </w:tc>
      </w:tr>
      <w:tr w:rsidR="008E5855" w:rsidRPr="009118AB" w14:paraId="28715387" w14:textId="77777777" w:rsidTr="008E5855">
        <w:trPr>
          <w:cantSplit/>
          <w:trHeight w:val="403"/>
        </w:trPr>
        <w:tc>
          <w:tcPr>
            <w:tcW w:w="4024" w:type="dxa"/>
            <w:tcBorders>
              <w:top w:val="nil"/>
              <w:left w:val="nil"/>
              <w:bottom w:val="nil"/>
              <w:right w:val="nil"/>
            </w:tcBorders>
          </w:tcPr>
          <w:p w14:paraId="3D14F20F" w14:textId="77777777" w:rsidR="008E5855" w:rsidRPr="009118AB" w:rsidRDefault="008E5855" w:rsidP="008E5855">
            <w:pPr>
              <w:autoSpaceDE w:val="0"/>
              <w:autoSpaceDN w:val="0"/>
              <w:adjustRightInd w:val="0"/>
              <w:jc w:val="both"/>
              <w:rPr>
                <w:iCs/>
                <w:sz w:val="20"/>
              </w:rPr>
            </w:pPr>
            <w:r w:rsidRPr="009118AB">
              <w:rPr>
                <w:iCs/>
                <w:sz w:val="20"/>
              </w:rPr>
              <w:t>1927 bis 1934 einschließlich</w:t>
            </w:r>
          </w:p>
        </w:tc>
        <w:tc>
          <w:tcPr>
            <w:tcW w:w="4281" w:type="dxa"/>
            <w:tcBorders>
              <w:top w:val="nil"/>
              <w:left w:val="nil"/>
              <w:bottom w:val="nil"/>
              <w:right w:val="nil"/>
            </w:tcBorders>
          </w:tcPr>
          <w:p w14:paraId="67970A41" w14:textId="77777777" w:rsidR="008E5855" w:rsidRPr="009118AB" w:rsidRDefault="008E5855" w:rsidP="008E5855">
            <w:pPr>
              <w:autoSpaceDE w:val="0"/>
              <w:autoSpaceDN w:val="0"/>
              <w:adjustRightInd w:val="0"/>
              <w:jc w:val="both"/>
              <w:rPr>
                <w:iCs/>
                <w:sz w:val="20"/>
              </w:rPr>
            </w:pPr>
            <w:r w:rsidRPr="009118AB">
              <w:rPr>
                <w:iCs/>
                <w:sz w:val="20"/>
              </w:rPr>
              <w:t>2,35</w:t>
            </w:r>
          </w:p>
        </w:tc>
      </w:tr>
      <w:tr w:rsidR="008E5855" w:rsidRPr="009118AB" w14:paraId="5B9F016D" w14:textId="77777777" w:rsidTr="008E5855">
        <w:trPr>
          <w:cantSplit/>
          <w:trHeight w:val="403"/>
        </w:trPr>
        <w:tc>
          <w:tcPr>
            <w:tcW w:w="4024" w:type="dxa"/>
            <w:tcBorders>
              <w:top w:val="nil"/>
              <w:left w:val="nil"/>
              <w:bottom w:val="nil"/>
              <w:right w:val="nil"/>
            </w:tcBorders>
          </w:tcPr>
          <w:p w14:paraId="1E9E3BCF" w14:textId="77777777" w:rsidR="008E5855" w:rsidRPr="009118AB" w:rsidRDefault="008E5855" w:rsidP="008E5855">
            <w:pPr>
              <w:autoSpaceDE w:val="0"/>
              <w:autoSpaceDN w:val="0"/>
              <w:adjustRightInd w:val="0"/>
              <w:jc w:val="both"/>
              <w:rPr>
                <w:iCs/>
                <w:sz w:val="20"/>
              </w:rPr>
            </w:pPr>
            <w:r w:rsidRPr="009118AB">
              <w:rPr>
                <w:iCs/>
                <w:sz w:val="20"/>
              </w:rPr>
              <w:t>1935</w:t>
            </w:r>
          </w:p>
        </w:tc>
        <w:tc>
          <w:tcPr>
            <w:tcW w:w="4281" w:type="dxa"/>
            <w:tcBorders>
              <w:top w:val="nil"/>
              <w:left w:val="nil"/>
              <w:bottom w:val="nil"/>
              <w:right w:val="nil"/>
            </w:tcBorders>
          </w:tcPr>
          <w:p w14:paraId="37693EE7" w14:textId="77777777" w:rsidR="008E5855" w:rsidRPr="009118AB" w:rsidRDefault="008E5855" w:rsidP="008E5855">
            <w:pPr>
              <w:autoSpaceDE w:val="0"/>
              <w:autoSpaceDN w:val="0"/>
              <w:adjustRightInd w:val="0"/>
              <w:jc w:val="both"/>
              <w:rPr>
                <w:iCs/>
                <w:sz w:val="20"/>
              </w:rPr>
            </w:pPr>
            <w:r w:rsidRPr="009118AB">
              <w:rPr>
                <w:iCs/>
                <w:sz w:val="20"/>
              </w:rPr>
              <w:t>1,86</w:t>
            </w:r>
          </w:p>
        </w:tc>
      </w:tr>
      <w:tr w:rsidR="008E5855" w:rsidRPr="009118AB" w14:paraId="37091A7A" w14:textId="77777777" w:rsidTr="008E5855">
        <w:trPr>
          <w:cantSplit/>
          <w:trHeight w:val="403"/>
        </w:trPr>
        <w:tc>
          <w:tcPr>
            <w:tcW w:w="4024" w:type="dxa"/>
            <w:tcBorders>
              <w:top w:val="nil"/>
              <w:left w:val="nil"/>
              <w:bottom w:val="nil"/>
              <w:right w:val="nil"/>
            </w:tcBorders>
          </w:tcPr>
          <w:p w14:paraId="7E06A6CF" w14:textId="77777777" w:rsidR="008E5855" w:rsidRPr="009118AB" w:rsidRDefault="008E5855" w:rsidP="008E5855">
            <w:pPr>
              <w:autoSpaceDE w:val="0"/>
              <w:autoSpaceDN w:val="0"/>
              <w:adjustRightInd w:val="0"/>
              <w:jc w:val="both"/>
              <w:rPr>
                <w:iCs/>
                <w:sz w:val="20"/>
              </w:rPr>
            </w:pPr>
            <w:r w:rsidRPr="009118AB">
              <w:rPr>
                <w:iCs/>
                <w:sz w:val="20"/>
              </w:rPr>
              <w:t>1936 bis 1943 einschließlich</w:t>
            </w:r>
          </w:p>
        </w:tc>
        <w:tc>
          <w:tcPr>
            <w:tcW w:w="4281" w:type="dxa"/>
            <w:tcBorders>
              <w:top w:val="nil"/>
              <w:left w:val="nil"/>
              <w:bottom w:val="nil"/>
              <w:right w:val="nil"/>
            </w:tcBorders>
          </w:tcPr>
          <w:p w14:paraId="603A48D6" w14:textId="77777777" w:rsidR="008E5855" w:rsidRPr="009118AB" w:rsidRDefault="008E5855" w:rsidP="008E5855">
            <w:pPr>
              <w:autoSpaceDE w:val="0"/>
              <w:autoSpaceDN w:val="0"/>
              <w:adjustRightInd w:val="0"/>
              <w:jc w:val="both"/>
              <w:rPr>
                <w:iCs/>
                <w:sz w:val="20"/>
              </w:rPr>
            </w:pPr>
            <w:r w:rsidRPr="009118AB">
              <w:rPr>
                <w:iCs/>
                <w:sz w:val="20"/>
              </w:rPr>
              <w:t>1,7</w:t>
            </w:r>
          </w:p>
        </w:tc>
      </w:tr>
      <w:tr w:rsidR="008E5855" w:rsidRPr="009118AB" w14:paraId="4FE2D83D" w14:textId="77777777" w:rsidTr="008E5855">
        <w:trPr>
          <w:cantSplit/>
          <w:trHeight w:val="403"/>
        </w:trPr>
        <w:tc>
          <w:tcPr>
            <w:tcW w:w="4024" w:type="dxa"/>
            <w:tcBorders>
              <w:top w:val="nil"/>
              <w:left w:val="nil"/>
              <w:bottom w:val="nil"/>
              <w:right w:val="nil"/>
            </w:tcBorders>
          </w:tcPr>
          <w:p w14:paraId="734980E6" w14:textId="77777777" w:rsidR="008E5855" w:rsidRPr="009118AB" w:rsidRDefault="008E5855" w:rsidP="008E5855">
            <w:pPr>
              <w:autoSpaceDE w:val="0"/>
              <w:autoSpaceDN w:val="0"/>
              <w:adjustRightInd w:val="0"/>
              <w:jc w:val="both"/>
              <w:rPr>
                <w:iCs/>
                <w:sz w:val="20"/>
              </w:rPr>
            </w:pPr>
            <w:r w:rsidRPr="009118AB">
              <w:rPr>
                <w:iCs/>
                <w:sz w:val="20"/>
              </w:rPr>
              <w:t>1944 bis 1948 einschließlich</w:t>
            </w:r>
          </w:p>
        </w:tc>
        <w:tc>
          <w:tcPr>
            <w:tcW w:w="4281" w:type="dxa"/>
            <w:tcBorders>
              <w:top w:val="nil"/>
              <w:left w:val="nil"/>
              <w:bottom w:val="nil"/>
              <w:right w:val="nil"/>
            </w:tcBorders>
          </w:tcPr>
          <w:p w14:paraId="65E2FBCD" w14:textId="77777777" w:rsidR="008E5855" w:rsidRPr="009118AB" w:rsidRDefault="008E5855" w:rsidP="008E5855">
            <w:pPr>
              <w:autoSpaceDE w:val="0"/>
              <w:autoSpaceDN w:val="0"/>
              <w:adjustRightInd w:val="0"/>
              <w:jc w:val="both"/>
              <w:rPr>
                <w:iCs/>
                <w:sz w:val="20"/>
              </w:rPr>
            </w:pPr>
            <w:r w:rsidRPr="009118AB">
              <w:rPr>
                <w:iCs/>
                <w:sz w:val="20"/>
              </w:rPr>
              <w:t>1,14</w:t>
            </w:r>
          </w:p>
        </w:tc>
      </w:tr>
      <w:tr w:rsidR="008E5855" w:rsidRPr="009118AB" w14:paraId="12C96036" w14:textId="77777777" w:rsidTr="008E5855">
        <w:trPr>
          <w:cantSplit/>
          <w:trHeight w:val="403"/>
        </w:trPr>
        <w:tc>
          <w:tcPr>
            <w:tcW w:w="4024" w:type="dxa"/>
            <w:tcBorders>
              <w:top w:val="nil"/>
              <w:left w:val="nil"/>
              <w:bottom w:val="nil"/>
              <w:right w:val="nil"/>
            </w:tcBorders>
          </w:tcPr>
          <w:p w14:paraId="4C8E8429" w14:textId="77777777" w:rsidR="008E5855" w:rsidRPr="009118AB" w:rsidRDefault="008E5855" w:rsidP="008E5855">
            <w:pPr>
              <w:autoSpaceDE w:val="0"/>
              <w:autoSpaceDN w:val="0"/>
              <w:adjustRightInd w:val="0"/>
              <w:jc w:val="both"/>
              <w:rPr>
                <w:iCs/>
                <w:sz w:val="20"/>
              </w:rPr>
            </w:pPr>
            <w:r w:rsidRPr="009118AB">
              <w:rPr>
                <w:iCs/>
                <w:sz w:val="20"/>
              </w:rPr>
              <w:t>1949</w:t>
            </w:r>
          </w:p>
        </w:tc>
        <w:tc>
          <w:tcPr>
            <w:tcW w:w="4281" w:type="dxa"/>
            <w:tcBorders>
              <w:top w:val="nil"/>
              <w:left w:val="nil"/>
              <w:bottom w:val="nil"/>
              <w:right w:val="nil"/>
            </w:tcBorders>
          </w:tcPr>
          <w:p w14:paraId="1270F73B" w14:textId="77777777" w:rsidR="008E5855" w:rsidRPr="009118AB" w:rsidRDefault="008E5855" w:rsidP="008E5855">
            <w:pPr>
              <w:autoSpaceDE w:val="0"/>
              <w:autoSpaceDN w:val="0"/>
              <w:adjustRightInd w:val="0"/>
              <w:jc w:val="both"/>
              <w:rPr>
                <w:iCs/>
                <w:sz w:val="20"/>
              </w:rPr>
            </w:pPr>
            <w:r w:rsidRPr="009118AB">
              <w:rPr>
                <w:iCs/>
                <w:sz w:val="20"/>
              </w:rPr>
              <w:t>1,1</w:t>
            </w:r>
          </w:p>
        </w:tc>
      </w:tr>
      <w:tr w:rsidR="008E5855" w:rsidRPr="009118AB" w14:paraId="03669853" w14:textId="77777777" w:rsidTr="008E5855">
        <w:trPr>
          <w:cantSplit/>
        </w:trPr>
        <w:tc>
          <w:tcPr>
            <w:tcW w:w="4024" w:type="dxa"/>
            <w:tcBorders>
              <w:top w:val="nil"/>
              <w:left w:val="nil"/>
              <w:bottom w:val="nil"/>
              <w:right w:val="nil"/>
            </w:tcBorders>
          </w:tcPr>
          <w:p w14:paraId="527CBFEC" w14:textId="77777777" w:rsidR="008E5855" w:rsidRPr="009118AB" w:rsidRDefault="008E5855" w:rsidP="008E5855">
            <w:pPr>
              <w:autoSpaceDE w:val="0"/>
              <w:autoSpaceDN w:val="0"/>
              <w:adjustRightInd w:val="0"/>
              <w:jc w:val="both"/>
              <w:rPr>
                <w:iCs/>
                <w:sz w:val="20"/>
              </w:rPr>
            </w:pPr>
            <w:r w:rsidRPr="009118AB">
              <w:rPr>
                <w:iCs/>
                <w:sz w:val="20"/>
              </w:rPr>
              <w:t>1950 und nachfolgende</w:t>
            </w:r>
          </w:p>
        </w:tc>
        <w:tc>
          <w:tcPr>
            <w:tcW w:w="4281" w:type="dxa"/>
            <w:tcBorders>
              <w:top w:val="nil"/>
              <w:left w:val="nil"/>
              <w:bottom w:val="nil"/>
              <w:right w:val="nil"/>
            </w:tcBorders>
          </w:tcPr>
          <w:p w14:paraId="16DBA571" w14:textId="77777777" w:rsidR="008E5855" w:rsidRPr="009118AB" w:rsidRDefault="008E5855" w:rsidP="008E5855">
            <w:pPr>
              <w:autoSpaceDE w:val="0"/>
              <w:autoSpaceDN w:val="0"/>
              <w:adjustRightInd w:val="0"/>
              <w:jc w:val="both"/>
              <w:rPr>
                <w:iCs/>
                <w:sz w:val="20"/>
              </w:rPr>
            </w:pPr>
            <w:r w:rsidRPr="009118AB">
              <w:rPr>
                <w:iCs/>
                <w:sz w:val="20"/>
              </w:rPr>
              <w:t>1</w:t>
            </w:r>
          </w:p>
        </w:tc>
      </w:tr>
    </w:tbl>
    <w:p w14:paraId="11EE6B71" w14:textId="77777777" w:rsidR="008E5855" w:rsidRPr="009118AB" w:rsidRDefault="008E5855" w:rsidP="008E5855">
      <w:pPr>
        <w:autoSpaceDE w:val="0"/>
        <w:autoSpaceDN w:val="0"/>
        <w:adjustRightInd w:val="0"/>
        <w:jc w:val="both"/>
        <w:rPr>
          <w:iCs/>
          <w:sz w:val="20"/>
        </w:rPr>
      </w:pPr>
    </w:p>
    <w:p w14:paraId="029C85E0" w14:textId="73227161" w:rsidR="008E5855" w:rsidRPr="009118AB" w:rsidRDefault="008E5855" w:rsidP="008E5855">
      <w:pPr>
        <w:autoSpaceDE w:val="0"/>
        <w:autoSpaceDN w:val="0"/>
        <w:adjustRightInd w:val="0"/>
        <w:jc w:val="both"/>
        <w:rPr>
          <w:iCs/>
          <w:sz w:val="20"/>
        </w:rPr>
      </w:pPr>
      <w:r w:rsidRPr="009118AB">
        <w:rPr>
          <w:iCs/>
          <w:sz w:val="20"/>
        </w:rPr>
        <w:t>8. Festverzinsliche Wertpapiere</w:t>
      </w:r>
    </w:p>
    <w:p w14:paraId="49C8A237" w14:textId="77777777" w:rsidR="008E5855" w:rsidRPr="009118AB" w:rsidRDefault="008E5855" w:rsidP="008E5855">
      <w:pPr>
        <w:autoSpaceDE w:val="0"/>
        <w:autoSpaceDN w:val="0"/>
        <w:adjustRightInd w:val="0"/>
        <w:jc w:val="both"/>
        <w:rPr>
          <w:iCs/>
          <w:sz w:val="20"/>
        </w:rPr>
      </w:pPr>
    </w:p>
    <w:p w14:paraId="3103E888" w14:textId="7FBE6FD0" w:rsidR="008E5855" w:rsidRPr="009118AB" w:rsidRDefault="008E5855" w:rsidP="008E5855">
      <w:pPr>
        <w:autoSpaceDE w:val="0"/>
        <w:autoSpaceDN w:val="0"/>
        <w:adjustRightInd w:val="0"/>
        <w:jc w:val="both"/>
        <w:rPr>
          <w:iCs/>
          <w:sz w:val="20"/>
        </w:rPr>
      </w:pPr>
      <w:r w:rsidRPr="009118AB">
        <w:rPr>
          <w:iCs/>
          <w:sz w:val="20"/>
        </w:rPr>
        <w:t xml:space="preserve">Unter festverzinslichen Wertpapieren versteht man Schuldverschreibungen, Kassenbons und andere ähnliche Wertpapiere einschließlich Wertpapiere, deren Einkünfte zum Kapital geschlagen werden, oder Wertpapiere, die </w:t>
      </w:r>
      <w:r w:rsidRPr="009118AB">
        <w:rPr>
          <w:iCs/>
          <w:sz w:val="20"/>
        </w:rPr>
        <w:lastRenderedPageBreak/>
        <w:t>nicht zu einer periodischen Auszahlung von Einkünften führen und mit einem Diskont, der den kapitalisierten Zinsen bis zur Fälligkeit des Wertpapiers entspricht, ausgegeben wurden.</w:t>
      </w:r>
    </w:p>
    <w:p w14:paraId="7DFC7DFF" w14:textId="77777777" w:rsidR="008E5855" w:rsidRPr="009118AB" w:rsidRDefault="008E5855" w:rsidP="008E5855">
      <w:pPr>
        <w:autoSpaceDE w:val="0"/>
        <w:autoSpaceDN w:val="0"/>
        <w:adjustRightInd w:val="0"/>
        <w:jc w:val="both"/>
        <w:rPr>
          <w:iCs/>
          <w:sz w:val="20"/>
        </w:rPr>
      </w:pPr>
    </w:p>
    <w:p w14:paraId="5A7AA29C" w14:textId="47D46AFC" w:rsidR="008E5855" w:rsidRPr="009118AB" w:rsidRDefault="008E5855" w:rsidP="008E5855">
      <w:pPr>
        <w:autoSpaceDE w:val="0"/>
        <w:autoSpaceDN w:val="0"/>
        <w:adjustRightInd w:val="0"/>
        <w:jc w:val="both"/>
        <w:rPr>
          <w:iCs/>
          <w:sz w:val="20"/>
        </w:rPr>
      </w:pPr>
      <w:r w:rsidRPr="009118AB">
        <w:rPr>
          <w:iCs/>
          <w:sz w:val="20"/>
        </w:rPr>
        <w:t>Als festverzinsliche Wertpapiere werden auch Verträge über Kapitalisierungsgeschäfte angesehen, die als Gegenleistung für einmalige oder periodische Zahlungen Verbindlichkeiten vorsehen, die unabhängig von jedem zufälligen Ereignis des menschlichen Lebens sind und deren Dauer und Betrag aus den Vertragsklauseln hervorgehen.</w:t>
      </w:r>
    </w:p>
    <w:p w14:paraId="2DBD27FE" w14:textId="77777777" w:rsidR="008E5855" w:rsidRPr="009118AB" w:rsidRDefault="008E5855" w:rsidP="008E5855">
      <w:pPr>
        <w:autoSpaceDE w:val="0"/>
        <w:autoSpaceDN w:val="0"/>
        <w:adjustRightInd w:val="0"/>
        <w:jc w:val="both"/>
        <w:rPr>
          <w:iCs/>
          <w:sz w:val="20"/>
        </w:rPr>
      </w:pPr>
    </w:p>
    <w:p w14:paraId="4CB415A3" w14:textId="3B191918" w:rsidR="008E5855" w:rsidRPr="009118AB" w:rsidRDefault="008E5855" w:rsidP="008E5855">
      <w:pPr>
        <w:autoSpaceDE w:val="0"/>
        <w:autoSpaceDN w:val="0"/>
        <w:adjustRightInd w:val="0"/>
        <w:jc w:val="both"/>
        <w:rPr>
          <w:iCs/>
          <w:sz w:val="20"/>
        </w:rPr>
      </w:pPr>
      <w:r w:rsidRPr="009118AB">
        <w:rPr>
          <w:iCs/>
          <w:sz w:val="20"/>
        </w:rPr>
        <w:t>9. Die Begriffe "immaterielle Anlagen, Sachanlagen oder Finanzanlagen", "Gründungskosten" und "Bestände und in Ausführung befindliche Bestellungen" haben die Bedeutung, die ihnen in den Rechtsvorschriften über die Buchhaltung und den Jahresabschluss der Unternehmen beigemessen wird.]</w:t>
      </w:r>
    </w:p>
    <w:p w14:paraId="33AEEA4E" w14:textId="77777777" w:rsidR="008E5855" w:rsidRPr="009118AB" w:rsidRDefault="008E5855" w:rsidP="008E5855">
      <w:pPr>
        <w:autoSpaceDE w:val="0"/>
        <w:autoSpaceDN w:val="0"/>
        <w:adjustRightInd w:val="0"/>
        <w:jc w:val="both"/>
        <w:rPr>
          <w:iCs/>
          <w:sz w:val="20"/>
        </w:rPr>
      </w:pPr>
    </w:p>
    <w:p w14:paraId="4C5E19F5" w14:textId="08554D17" w:rsidR="008E5855" w:rsidRPr="009118AB" w:rsidRDefault="008E5855" w:rsidP="003F4F6F">
      <w:pPr>
        <w:autoSpaceDE w:val="0"/>
        <w:autoSpaceDN w:val="0"/>
        <w:adjustRightInd w:val="0"/>
        <w:jc w:val="both"/>
        <w:rPr>
          <w:iCs/>
          <w:sz w:val="20"/>
        </w:rPr>
      </w:pPr>
      <w:r w:rsidRPr="009118AB">
        <w:rPr>
          <w:iCs/>
          <w:sz w:val="20"/>
        </w:rPr>
        <w:t xml:space="preserve">[10. </w:t>
      </w:r>
      <w:r w:rsidR="003F4F6F" w:rsidRPr="009118AB">
        <w:rPr>
          <w:iCs/>
          <w:sz w:val="20"/>
        </w:rPr>
        <w:t>[...]</w:t>
      </w:r>
      <w:r w:rsidRPr="009118AB">
        <w:rPr>
          <w:iCs/>
          <w:sz w:val="20"/>
        </w:rPr>
        <w:t>]</w:t>
      </w:r>
    </w:p>
    <w:p w14:paraId="5116A132" w14:textId="77777777" w:rsidR="008E5855" w:rsidRPr="009118AB" w:rsidRDefault="008E5855" w:rsidP="008E5855">
      <w:pPr>
        <w:autoSpaceDE w:val="0"/>
        <w:autoSpaceDN w:val="0"/>
        <w:adjustRightInd w:val="0"/>
        <w:jc w:val="both"/>
        <w:rPr>
          <w:iCs/>
          <w:sz w:val="20"/>
        </w:rPr>
      </w:pPr>
    </w:p>
    <w:p w14:paraId="6C32E928" w14:textId="7E1D0C84" w:rsidR="008E5855" w:rsidRPr="009118AB" w:rsidRDefault="008E5855" w:rsidP="008E5855">
      <w:pPr>
        <w:autoSpaceDE w:val="0"/>
        <w:autoSpaceDN w:val="0"/>
        <w:adjustRightInd w:val="0"/>
        <w:jc w:val="both"/>
        <w:rPr>
          <w:iCs/>
          <w:sz w:val="20"/>
        </w:rPr>
      </w:pPr>
      <w:r w:rsidRPr="009118AB">
        <w:rPr>
          <w:iCs/>
          <w:sz w:val="20"/>
        </w:rPr>
        <w:t>[11. Finanzinstrumente</w:t>
      </w:r>
    </w:p>
    <w:p w14:paraId="7827963E" w14:textId="77777777" w:rsidR="008E5855" w:rsidRPr="009118AB" w:rsidRDefault="008E5855" w:rsidP="008E5855">
      <w:pPr>
        <w:autoSpaceDE w:val="0"/>
        <w:autoSpaceDN w:val="0"/>
        <w:adjustRightInd w:val="0"/>
        <w:jc w:val="both"/>
        <w:rPr>
          <w:iCs/>
          <w:sz w:val="20"/>
        </w:rPr>
      </w:pPr>
    </w:p>
    <w:p w14:paraId="21BBCC53" w14:textId="487E8683" w:rsidR="008E5855" w:rsidRPr="009118AB" w:rsidRDefault="008E5855" w:rsidP="008E5855">
      <w:pPr>
        <w:autoSpaceDE w:val="0"/>
        <w:autoSpaceDN w:val="0"/>
        <w:adjustRightInd w:val="0"/>
        <w:jc w:val="both"/>
        <w:rPr>
          <w:iCs/>
          <w:sz w:val="20"/>
        </w:rPr>
      </w:pPr>
      <w:r w:rsidRPr="009118AB">
        <w:rPr>
          <w:iCs/>
          <w:sz w:val="20"/>
        </w:rPr>
        <w:t xml:space="preserve">Unter Finanzinstrumenten versteht man Finanzinstrumente erwähnt in Artikel 3 </w:t>
      </w:r>
      <w:r w:rsidR="00D67EB8" w:rsidRPr="009118AB">
        <w:rPr>
          <w:iCs/>
          <w:sz w:val="20"/>
        </w:rPr>
        <w:t>Nr. </w:t>
      </w:r>
      <w:r w:rsidRPr="009118AB">
        <w:rPr>
          <w:iCs/>
          <w:sz w:val="20"/>
        </w:rPr>
        <w:t>1 des Gesetzes vom 15. Dezember 2004 über Finanzsicherheiten und zur Festlegung verschiedener steuerrechtlicher Bestimmungen in Bezug auf Vereinbarungen über die Leistung von dinglichen Sicherheiten und den Verleih mit Bezug auf Finanzinstrumente.</w:t>
      </w:r>
    </w:p>
    <w:p w14:paraId="3C9A531C" w14:textId="77777777" w:rsidR="008E5855" w:rsidRPr="009118AB" w:rsidRDefault="008E5855" w:rsidP="008E5855">
      <w:pPr>
        <w:autoSpaceDE w:val="0"/>
        <w:autoSpaceDN w:val="0"/>
        <w:adjustRightInd w:val="0"/>
        <w:jc w:val="both"/>
        <w:rPr>
          <w:iCs/>
          <w:sz w:val="20"/>
        </w:rPr>
      </w:pPr>
    </w:p>
    <w:p w14:paraId="0773338A" w14:textId="3D66C384" w:rsidR="008E5855" w:rsidRPr="009118AB" w:rsidRDefault="008E5855" w:rsidP="008E5855">
      <w:pPr>
        <w:autoSpaceDE w:val="0"/>
        <w:autoSpaceDN w:val="0"/>
        <w:adjustRightInd w:val="0"/>
        <w:jc w:val="both"/>
        <w:rPr>
          <w:iCs/>
          <w:sz w:val="20"/>
        </w:rPr>
      </w:pPr>
      <w:r w:rsidRPr="009118AB">
        <w:rPr>
          <w:iCs/>
          <w:sz w:val="20"/>
        </w:rPr>
        <w:t>12. Vereinbarungen über die Leistung von dinglichen Sicherheiten mit Bezug auf Finanzinstrumente</w:t>
      </w:r>
    </w:p>
    <w:p w14:paraId="698CEADB" w14:textId="77777777" w:rsidR="008E5855" w:rsidRPr="009118AB" w:rsidRDefault="008E5855" w:rsidP="008E5855">
      <w:pPr>
        <w:autoSpaceDE w:val="0"/>
        <w:autoSpaceDN w:val="0"/>
        <w:adjustRightInd w:val="0"/>
        <w:jc w:val="both"/>
        <w:rPr>
          <w:iCs/>
          <w:sz w:val="20"/>
        </w:rPr>
      </w:pPr>
    </w:p>
    <w:p w14:paraId="5E1AB676" w14:textId="2A677BF1" w:rsidR="008E5855" w:rsidRPr="009118AB" w:rsidRDefault="008E5855" w:rsidP="008E5855">
      <w:pPr>
        <w:autoSpaceDE w:val="0"/>
        <w:autoSpaceDN w:val="0"/>
        <w:adjustRightInd w:val="0"/>
        <w:jc w:val="both"/>
        <w:rPr>
          <w:iCs/>
          <w:sz w:val="20"/>
        </w:rPr>
      </w:pPr>
      <w:r w:rsidRPr="009118AB">
        <w:rPr>
          <w:iCs/>
          <w:sz w:val="20"/>
        </w:rPr>
        <w:t>Unter Vereinbarungen über die Leistung von dinglichen Sicherheiten mit Bezug auf Finanzinstrumente versteht man:</w:t>
      </w:r>
    </w:p>
    <w:p w14:paraId="41D6C414" w14:textId="77777777" w:rsidR="008E5855" w:rsidRPr="009118AB" w:rsidRDefault="008E5855" w:rsidP="008E5855">
      <w:pPr>
        <w:autoSpaceDE w:val="0"/>
        <w:autoSpaceDN w:val="0"/>
        <w:adjustRightInd w:val="0"/>
        <w:jc w:val="both"/>
        <w:rPr>
          <w:iCs/>
          <w:sz w:val="20"/>
        </w:rPr>
      </w:pPr>
    </w:p>
    <w:p w14:paraId="672D0CBA" w14:textId="182EBE97" w:rsidR="008E5855" w:rsidRPr="009118AB" w:rsidRDefault="008E5855" w:rsidP="008E5855">
      <w:pPr>
        <w:autoSpaceDE w:val="0"/>
        <w:autoSpaceDN w:val="0"/>
        <w:adjustRightInd w:val="0"/>
        <w:jc w:val="both"/>
        <w:rPr>
          <w:iCs/>
          <w:sz w:val="20"/>
        </w:rPr>
      </w:pPr>
      <w:r w:rsidRPr="009118AB">
        <w:rPr>
          <w:i/>
          <w:iCs/>
          <w:sz w:val="20"/>
        </w:rPr>
        <w:t>a)</w:t>
      </w:r>
      <w:r w:rsidRPr="009118AB">
        <w:rPr>
          <w:iCs/>
          <w:sz w:val="20"/>
        </w:rPr>
        <w:t xml:space="preserve"> Pfandvereinbarungen und Vereinbarungen zur Eigentumsübertragung als Sicherheit einschließlich Rückübertragungsvereinbarungen (so genannte "Wertpapierpensionsgeschäfte" beziehungsweise "Repos") erwähnt in Artikel 3 </w:t>
      </w:r>
      <w:r w:rsidR="00D67EB8" w:rsidRPr="009118AB">
        <w:rPr>
          <w:iCs/>
          <w:sz w:val="20"/>
        </w:rPr>
        <w:t>Nr. </w:t>
      </w:r>
      <w:r w:rsidRPr="009118AB">
        <w:rPr>
          <w:iCs/>
          <w:sz w:val="20"/>
        </w:rPr>
        <w:t>3 des Gesetzes vom 15. Dezember 2004 über Finanzsicherheiten und zur Festlegung verschiedener steuerrechtlicher Bestimmungen in Bezug auf Vereinbarungen über die Leistung von dinglichen Sicherheiten und den Verleih mit Bezug auf Finanzinstrumente,</w:t>
      </w:r>
    </w:p>
    <w:p w14:paraId="464E3721" w14:textId="77777777" w:rsidR="008E5855" w:rsidRPr="009118AB" w:rsidRDefault="008E5855" w:rsidP="008E5855">
      <w:pPr>
        <w:autoSpaceDE w:val="0"/>
        <w:autoSpaceDN w:val="0"/>
        <w:adjustRightInd w:val="0"/>
        <w:jc w:val="both"/>
        <w:rPr>
          <w:iCs/>
          <w:sz w:val="20"/>
        </w:rPr>
      </w:pPr>
    </w:p>
    <w:p w14:paraId="41A5B49F" w14:textId="78518A2D" w:rsidR="008E5855" w:rsidRPr="009118AB" w:rsidRDefault="008E5855" w:rsidP="008E5855">
      <w:pPr>
        <w:autoSpaceDE w:val="0"/>
        <w:autoSpaceDN w:val="0"/>
        <w:adjustRightInd w:val="0"/>
        <w:jc w:val="both"/>
        <w:rPr>
          <w:iCs/>
          <w:sz w:val="20"/>
        </w:rPr>
      </w:pPr>
      <w:r w:rsidRPr="009118AB">
        <w:rPr>
          <w:i/>
          <w:iCs/>
          <w:sz w:val="20"/>
        </w:rPr>
        <w:t>b)</w:t>
      </w:r>
      <w:r w:rsidRPr="009118AB">
        <w:rPr>
          <w:iCs/>
          <w:sz w:val="20"/>
        </w:rPr>
        <w:t xml:space="preserve"> im Rahmen der in Buchstabe </w:t>
      </w:r>
      <w:r w:rsidRPr="009118AB">
        <w:rPr>
          <w:i/>
          <w:iCs/>
          <w:sz w:val="20"/>
        </w:rPr>
        <w:t>a)</w:t>
      </w:r>
      <w:r w:rsidRPr="009118AB">
        <w:rPr>
          <w:iCs/>
          <w:sz w:val="20"/>
        </w:rPr>
        <w:t xml:space="preserve"> erwähnten Vereinbarungen Nachdeckungsleistungen erwähnt in Artikel 3 </w:t>
      </w:r>
      <w:r w:rsidR="00D67EB8" w:rsidRPr="009118AB">
        <w:rPr>
          <w:iCs/>
          <w:sz w:val="20"/>
        </w:rPr>
        <w:t>Nr. </w:t>
      </w:r>
      <w:r w:rsidRPr="009118AB">
        <w:rPr>
          <w:iCs/>
          <w:sz w:val="20"/>
        </w:rPr>
        <w:t>9 des Gesetzes vom 15. Dezember 2004 über Finanzsicherheiten und zur Festlegung verschiedener steuerrechtlicher Bestimmungen in Bezug auf Vereinbarungen über die Leistung von dinglichen Sicherheiten und den Verleih mit Bezug auf Finanzinstrumente und im Laufe der Vereinbarung erfolgende Ersetzungen der ursprünglich als Sicherheit bestellten Aktiva durch neue Finanzinstrumente,</w:t>
      </w:r>
    </w:p>
    <w:p w14:paraId="0D0F041E" w14:textId="77777777" w:rsidR="008E5855" w:rsidRPr="009118AB" w:rsidRDefault="008E5855" w:rsidP="008E5855">
      <w:pPr>
        <w:autoSpaceDE w:val="0"/>
        <w:autoSpaceDN w:val="0"/>
        <w:adjustRightInd w:val="0"/>
        <w:jc w:val="both"/>
        <w:rPr>
          <w:iCs/>
          <w:sz w:val="20"/>
        </w:rPr>
      </w:pPr>
    </w:p>
    <w:p w14:paraId="141DA9E6" w14:textId="1E675815" w:rsidR="008E5855" w:rsidRPr="009118AB" w:rsidRDefault="008E5855" w:rsidP="008E5855">
      <w:pPr>
        <w:autoSpaceDE w:val="0"/>
        <w:autoSpaceDN w:val="0"/>
        <w:adjustRightInd w:val="0"/>
        <w:jc w:val="both"/>
        <w:rPr>
          <w:iCs/>
          <w:sz w:val="20"/>
        </w:rPr>
      </w:pPr>
      <w:r w:rsidRPr="009118AB">
        <w:rPr>
          <w:i/>
          <w:iCs/>
          <w:sz w:val="20"/>
        </w:rPr>
        <w:t>c)</w:t>
      </w:r>
      <w:r w:rsidRPr="009118AB">
        <w:rPr>
          <w:iCs/>
          <w:sz w:val="20"/>
        </w:rPr>
        <w:t xml:space="preserve"> ähnliche Vereinbarungen wie die in Buchstabe </w:t>
      </w:r>
      <w:r w:rsidRPr="009118AB">
        <w:rPr>
          <w:i/>
          <w:iCs/>
          <w:sz w:val="20"/>
        </w:rPr>
        <w:t>a)</w:t>
      </w:r>
      <w:r w:rsidRPr="009118AB">
        <w:rPr>
          <w:iCs/>
          <w:sz w:val="20"/>
        </w:rPr>
        <w:t xml:space="preserve"> und </w:t>
      </w:r>
      <w:r w:rsidRPr="009118AB">
        <w:rPr>
          <w:i/>
          <w:iCs/>
          <w:sz w:val="20"/>
        </w:rPr>
        <w:t>b)</w:t>
      </w:r>
      <w:r w:rsidRPr="009118AB">
        <w:rPr>
          <w:iCs/>
          <w:sz w:val="20"/>
        </w:rPr>
        <w:t xml:space="preserve"> erwähnten Vereinbarungen, die aufgrund von Bestimmungen ausländischen Rechts zu einer Eigentumsübertragung führen oder in Bezug auf Pfandvereinbarungen zu einer Eigentumsübertragung führen können.]</w:t>
      </w:r>
    </w:p>
    <w:p w14:paraId="510B9C78" w14:textId="77777777" w:rsidR="008E5855" w:rsidRPr="009118AB" w:rsidRDefault="008E5855" w:rsidP="008E5855">
      <w:pPr>
        <w:autoSpaceDE w:val="0"/>
        <w:autoSpaceDN w:val="0"/>
        <w:adjustRightInd w:val="0"/>
        <w:jc w:val="both"/>
        <w:rPr>
          <w:iCs/>
          <w:sz w:val="20"/>
        </w:rPr>
      </w:pPr>
    </w:p>
    <w:p w14:paraId="457E7F1C" w14:textId="7DAAEEEC" w:rsidR="008E5855" w:rsidRPr="009118AB" w:rsidRDefault="008E5855" w:rsidP="008E5855">
      <w:pPr>
        <w:autoSpaceDE w:val="0"/>
        <w:autoSpaceDN w:val="0"/>
        <w:adjustRightInd w:val="0"/>
        <w:jc w:val="both"/>
        <w:rPr>
          <w:iCs/>
          <w:sz w:val="20"/>
        </w:rPr>
      </w:pPr>
      <w:r w:rsidRPr="009118AB">
        <w:rPr>
          <w:iCs/>
          <w:sz w:val="20"/>
        </w:rPr>
        <w:t xml:space="preserve">[13. Unter Rechtsvereinbarung versteht man: </w:t>
      </w:r>
    </w:p>
    <w:p w14:paraId="20DF3502" w14:textId="77777777" w:rsidR="008E5855" w:rsidRPr="009118AB" w:rsidRDefault="008E5855" w:rsidP="008E5855">
      <w:pPr>
        <w:autoSpaceDE w:val="0"/>
        <w:autoSpaceDN w:val="0"/>
        <w:adjustRightInd w:val="0"/>
        <w:jc w:val="both"/>
        <w:rPr>
          <w:iCs/>
          <w:sz w:val="20"/>
        </w:rPr>
      </w:pPr>
    </w:p>
    <w:p w14:paraId="2E014D6B" w14:textId="219CD703" w:rsidR="008E5855" w:rsidRPr="009118AB" w:rsidRDefault="008E5855" w:rsidP="008E5855">
      <w:pPr>
        <w:autoSpaceDE w:val="0"/>
        <w:autoSpaceDN w:val="0"/>
        <w:adjustRightInd w:val="0"/>
        <w:jc w:val="both"/>
        <w:rPr>
          <w:iCs/>
          <w:sz w:val="20"/>
        </w:rPr>
      </w:pPr>
      <w:r w:rsidRPr="009118AB">
        <w:rPr>
          <w:i/>
          <w:iCs/>
          <w:sz w:val="20"/>
        </w:rPr>
        <w:t>a)</w:t>
      </w:r>
      <w:r w:rsidRPr="009118AB">
        <w:rPr>
          <w:iCs/>
          <w:sz w:val="20"/>
        </w:rPr>
        <w:t xml:space="preserve"> ein Rechtsverhältnis, das durch eine Rechtshandlung des Gründers oder durch eine gerichtliche Entscheidung geschaffen wird, wobei Güter oder Rechte unter die Kontrolle eines Verwalters gestellt werden, damit sie im Interesse eines oder mehrerer Begünstigter oder mit einem bestimmten Ziel verwaltet werden. Dieses Rechtsverhältnis weist folgende Merkmale auf: </w:t>
      </w:r>
    </w:p>
    <w:p w14:paraId="0303C47D" w14:textId="77777777" w:rsidR="008E5855" w:rsidRPr="009118AB" w:rsidRDefault="008E5855" w:rsidP="008E5855">
      <w:pPr>
        <w:autoSpaceDE w:val="0"/>
        <w:autoSpaceDN w:val="0"/>
        <w:adjustRightInd w:val="0"/>
        <w:jc w:val="both"/>
        <w:rPr>
          <w:iCs/>
          <w:sz w:val="20"/>
        </w:rPr>
      </w:pPr>
    </w:p>
    <w:p w14:paraId="42958EE1" w14:textId="18F14A8F" w:rsidR="008E5855" w:rsidRPr="009118AB" w:rsidRDefault="008E5855" w:rsidP="008E5855">
      <w:pPr>
        <w:autoSpaceDE w:val="0"/>
        <w:autoSpaceDN w:val="0"/>
        <w:adjustRightInd w:val="0"/>
        <w:jc w:val="both"/>
        <w:rPr>
          <w:iCs/>
          <w:sz w:val="20"/>
        </w:rPr>
      </w:pPr>
      <w:r w:rsidRPr="009118AB">
        <w:rPr>
          <w:iCs/>
          <w:sz w:val="20"/>
        </w:rPr>
        <w:t>- Der Eigentumstitel mit Bezug auf die Güter oder Rechte der Rechtsvereinbarung wird auf den Namen des Verwalters oder auf den Namen einer anderen Person für Rechnung des Verwalters ausgestellt.</w:t>
      </w:r>
    </w:p>
    <w:p w14:paraId="7E9732AA" w14:textId="77777777" w:rsidR="008E5855" w:rsidRPr="009118AB" w:rsidRDefault="008E5855" w:rsidP="008E5855">
      <w:pPr>
        <w:autoSpaceDE w:val="0"/>
        <w:autoSpaceDN w:val="0"/>
        <w:adjustRightInd w:val="0"/>
        <w:jc w:val="both"/>
        <w:rPr>
          <w:iCs/>
          <w:sz w:val="20"/>
        </w:rPr>
      </w:pPr>
    </w:p>
    <w:p w14:paraId="097FAE4E" w14:textId="7BC619D3" w:rsidR="008E5855" w:rsidRPr="009118AB" w:rsidRDefault="008E5855" w:rsidP="008E5855">
      <w:pPr>
        <w:autoSpaceDE w:val="0"/>
        <w:autoSpaceDN w:val="0"/>
        <w:adjustRightInd w:val="0"/>
        <w:jc w:val="both"/>
        <w:rPr>
          <w:iCs/>
          <w:sz w:val="20"/>
        </w:rPr>
      </w:pPr>
      <w:r w:rsidRPr="009118AB">
        <w:rPr>
          <w:iCs/>
          <w:sz w:val="20"/>
        </w:rPr>
        <w:t>- Die Güter der Rechtsvereinbarung bilden ein getrenntes Vermögen und sind nicht Bestandteil des Vermögens des Verwalters.</w:t>
      </w:r>
    </w:p>
    <w:p w14:paraId="024E9445" w14:textId="77777777" w:rsidR="008E5855" w:rsidRPr="009118AB" w:rsidRDefault="008E5855" w:rsidP="008E5855">
      <w:pPr>
        <w:autoSpaceDE w:val="0"/>
        <w:autoSpaceDN w:val="0"/>
        <w:adjustRightInd w:val="0"/>
        <w:jc w:val="both"/>
        <w:rPr>
          <w:iCs/>
          <w:sz w:val="20"/>
        </w:rPr>
      </w:pPr>
    </w:p>
    <w:p w14:paraId="1B9ADBCF" w14:textId="79D9B799" w:rsidR="008E5855" w:rsidRPr="009118AB" w:rsidRDefault="008E5855" w:rsidP="008E5855">
      <w:pPr>
        <w:autoSpaceDE w:val="0"/>
        <w:autoSpaceDN w:val="0"/>
        <w:adjustRightInd w:val="0"/>
        <w:jc w:val="both"/>
        <w:rPr>
          <w:iCs/>
          <w:sz w:val="20"/>
        </w:rPr>
      </w:pPr>
      <w:r w:rsidRPr="009118AB">
        <w:rPr>
          <w:iCs/>
          <w:sz w:val="20"/>
        </w:rPr>
        <w:t>- Der Verwalter hat die Befugnis und die Pflicht, in deren Rahmen er Bericht erstatten muss, in Übereinstimmung mit den Bestimmungen der Rechtsvereinbarung und den durch das Gesetz vorgeschriebenen besonderen Regeln die Güter der Rechtsvereinbarung zu verwalten oder darüber zu verfügen,</w:t>
      </w:r>
    </w:p>
    <w:p w14:paraId="1EEF4548" w14:textId="77777777" w:rsidR="008E5855" w:rsidRPr="009118AB" w:rsidRDefault="008E5855" w:rsidP="008E5855">
      <w:pPr>
        <w:autoSpaceDE w:val="0"/>
        <w:autoSpaceDN w:val="0"/>
        <w:adjustRightInd w:val="0"/>
        <w:jc w:val="both"/>
        <w:rPr>
          <w:iCs/>
          <w:sz w:val="20"/>
        </w:rPr>
      </w:pPr>
    </w:p>
    <w:p w14:paraId="5C41A4A9" w14:textId="0829CBA9" w:rsidR="008E5855" w:rsidRPr="009118AB" w:rsidRDefault="008E5855" w:rsidP="008E5855">
      <w:pPr>
        <w:autoSpaceDE w:val="0"/>
        <w:autoSpaceDN w:val="0"/>
        <w:adjustRightInd w:val="0"/>
        <w:jc w:val="both"/>
        <w:rPr>
          <w:iCs/>
          <w:sz w:val="20"/>
        </w:rPr>
      </w:pPr>
      <w:r w:rsidRPr="009118AB">
        <w:rPr>
          <w:i/>
          <w:iCs/>
          <w:sz w:val="20"/>
        </w:rPr>
        <w:lastRenderedPageBreak/>
        <w:t>b)</w:t>
      </w:r>
      <w:r w:rsidRPr="009118AB">
        <w:rPr>
          <w:iCs/>
          <w:sz w:val="20"/>
        </w:rPr>
        <w:t xml:space="preserve"> [eine Gesellschaft, Vereinigung, Niederlassung, Einrichtung oder Körperschaft, </w:t>
      </w:r>
      <w:r w:rsidR="00234B39" w:rsidRPr="009118AB">
        <w:rPr>
          <w:iCs/>
          <w:sz w:val="20"/>
        </w:rPr>
        <w:t>[die aufgrund des Rechts, dem sie unterliegt, Rechtspersönlichkeit besitzt oder die eine Rechtsform hat, die mit der einer Gesellschaft oder Vereinigung mit Rechtspersönlichkeit nach belgischem Recht vergleichbar ist, und die]</w:t>
      </w:r>
      <w:r w:rsidRPr="009118AB">
        <w:rPr>
          <w:iCs/>
          <w:sz w:val="20"/>
        </w:rPr>
        <w:t xml:space="preserve"> aufgrund der Rechtsvorschriften des Staates oder des Rechtssystems, in dem sie ansässig ist, dort entweder keiner Einkommensteuer unterliegt oder einer Einkommensteuer unterliegt, die sich auf weniger als 15 Prozent des steuerpflichtigen Einkommens dieser Rechtsvereinbarung beläuft, das gemäß Regeln bestimmt wird, die für die Festlegung der belgischen Steuer auf entsprechende Einkünfte anwendbar sind,</w:t>
      </w:r>
    </w:p>
    <w:p w14:paraId="5D56C880" w14:textId="77777777" w:rsidR="008E5855" w:rsidRPr="009118AB" w:rsidRDefault="008E5855" w:rsidP="008E5855">
      <w:pPr>
        <w:autoSpaceDE w:val="0"/>
        <w:autoSpaceDN w:val="0"/>
        <w:adjustRightInd w:val="0"/>
        <w:jc w:val="both"/>
        <w:rPr>
          <w:iCs/>
          <w:sz w:val="20"/>
        </w:rPr>
      </w:pPr>
    </w:p>
    <w:p w14:paraId="17DFF2FA" w14:textId="77777777" w:rsidR="00C911AF" w:rsidRPr="00C911AF" w:rsidRDefault="00C911AF" w:rsidP="00C911AF">
      <w:pPr>
        <w:autoSpaceDE w:val="0"/>
        <w:autoSpaceDN w:val="0"/>
        <w:adjustRightInd w:val="0"/>
        <w:jc w:val="both"/>
        <w:rPr>
          <w:iCs/>
          <w:sz w:val="20"/>
        </w:rPr>
      </w:pPr>
      <w:r>
        <w:rPr>
          <w:iCs/>
          <w:sz w:val="20"/>
        </w:rPr>
        <w:t>[</w:t>
      </w:r>
      <w:r w:rsidRPr="00C911AF">
        <w:rPr>
          <w:iCs/>
          <w:sz w:val="20"/>
        </w:rPr>
        <w:t>Gesellschaften, Vereinigungen, Niederlassungen, Einrichtungen oder Körperschaften wie in Absatz 1 erwähnt sind keine Rechtsvereinbarungen, wenn sie in einem Staat oder einem Rechtssystem ansässig sind, der/das zum Europäischen Wirtschaftsraum gehört, außer:</w:t>
      </w:r>
    </w:p>
    <w:p w14:paraId="05790D68" w14:textId="77777777" w:rsidR="00C911AF" w:rsidRPr="00C911AF" w:rsidRDefault="00C911AF" w:rsidP="00C911AF">
      <w:pPr>
        <w:autoSpaceDE w:val="0"/>
        <w:autoSpaceDN w:val="0"/>
        <w:adjustRightInd w:val="0"/>
        <w:jc w:val="both"/>
        <w:rPr>
          <w:iCs/>
          <w:sz w:val="20"/>
        </w:rPr>
      </w:pPr>
    </w:p>
    <w:p w14:paraId="1004052F" w14:textId="77777777" w:rsidR="00C911AF" w:rsidRPr="00C911AF" w:rsidRDefault="00C911AF" w:rsidP="00C911AF">
      <w:pPr>
        <w:autoSpaceDE w:val="0"/>
        <w:autoSpaceDN w:val="0"/>
        <w:adjustRightInd w:val="0"/>
        <w:jc w:val="both"/>
        <w:rPr>
          <w:iCs/>
          <w:sz w:val="20"/>
        </w:rPr>
      </w:pPr>
      <w:r w:rsidRPr="00C911AF">
        <w:rPr>
          <w:iCs/>
          <w:sz w:val="20"/>
        </w:rPr>
        <w:t>1. in einem Fall wie in Nr. 13/1 Absatz 2 bis 4 erwähnt,</w:t>
      </w:r>
    </w:p>
    <w:p w14:paraId="05478A9C" w14:textId="77777777" w:rsidR="00C911AF" w:rsidRPr="00C911AF" w:rsidRDefault="00C911AF" w:rsidP="00C911AF">
      <w:pPr>
        <w:autoSpaceDE w:val="0"/>
        <w:autoSpaceDN w:val="0"/>
        <w:adjustRightInd w:val="0"/>
        <w:jc w:val="both"/>
        <w:rPr>
          <w:iCs/>
          <w:sz w:val="20"/>
        </w:rPr>
      </w:pPr>
    </w:p>
    <w:p w14:paraId="249D2E6F" w14:textId="77777777" w:rsidR="00C911AF" w:rsidRPr="00C911AF" w:rsidRDefault="00C911AF" w:rsidP="00C911AF">
      <w:pPr>
        <w:autoSpaceDE w:val="0"/>
        <w:autoSpaceDN w:val="0"/>
        <w:adjustRightInd w:val="0"/>
        <w:jc w:val="both"/>
        <w:rPr>
          <w:iCs/>
          <w:sz w:val="20"/>
        </w:rPr>
      </w:pPr>
      <w:r w:rsidRPr="00C911AF">
        <w:rPr>
          <w:iCs/>
          <w:sz w:val="20"/>
        </w:rPr>
        <w:t>2. im Falle einer nicht in Artikel 29 § 2 erwähnten Gesellschaft, deren Einkünfte durch den Staat oder das Rechtssystem, in dem diese Gesellschaft ansässig ist, zu Lasten der Gesellschafter oder Aktionäre besteuert werden, es sei denn, diese Einkünfte unterliegen einer Einkommensteuer, die zu Lasten des Gesellschafters oder des Aktionärs festgelegt wird aufgrund der Rechtsvorschriften des Staates oder des Rechtssystems, in dem diese Gesellschaft ansässig ist, und wenn diese Einkommensteuer sich auf mindestens 1 Prozent des auf diesen Aktionär oder Gesellschafter entfallenden Teils des steuerpflichtigen Einkommens dieser Gesellschaft beläuft, das gemäß Regeln bestimmt wird, die für die Festlegung der belgischen Steuer auf entsprechende Einkünfte anwendbar sind,</w:t>
      </w:r>
    </w:p>
    <w:p w14:paraId="3D0B0ECC" w14:textId="77777777" w:rsidR="00C911AF" w:rsidRPr="00C911AF" w:rsidRDefault="00C911AF" w:rsidP="00C911AF">
      <w:pPr>
        <w:autoSpaceDE w:val="0"/>
        <w:autoSpaceDN w:val="0"/>
        <w:adjustRightInd w:val="0"/>
        <w:jc w:val="both"/>
        <w:rPr>
          <w:iCs/>
          <w:sz w:val="20"/>
        </w:rPr>
      </w:pPr>
    </w:p>
    <w:p w14:paraId="6556BFEC" w14:textId="72F88D4A" w:rsidR="008E5855" w:rsidRPr="009118AB" w:rsidRDefault="00C911AF" w:rsidP="00C911AF">
      <w:pPr>
        <w:autoSpaceDE w:val="0"/>
        <w:autoSpaceDN w:val="0"/>
        <w:adjustRightInd w:val="0"/>
        <w:jc w:val="both"/>
        <w:rPr>
          <w:iCs/>
          <w:sz w:val="20"/>
        </w:rPr>
      </w:pPr>
      <w:r w:rsidRPr="00C911AF">
        <w:rPr>
          <w:iCs/>
          <w:sz w:val="20"/>
        </w:rPr>
        <w:t>3. im Falle einer nicht in Nr. 1 oder 2 oder in Artikel 29 § 2 erwähnten Gesellschaft, Vereinigung, Niederlassung, Einrichtung oder Körperschaft, die Rechtspersönlichkeit besitzt und die aufgrund der Rechtsvorschriften des Staates oder des Rechtssystems, in dem sie ansässig ist, dort entweder keiner Einkommensteuer unterliegt oder einer Einkommensteuer unterliegt, die sich auf weniger als 1 Prozent des steuerpflichtigen Einkommens dieser Rechtsvereinbarung beläuft, das gemäß Regeln bestimmt wird, die für die Festlegung der belgischen Steuer auf entsprechende Einkünfte anwendbar sind.</w:t>
      </w:r>
      <w:r>
        <w:rPr>
          <w:iCs/>
          <w:sz w:val="20"/>
        </w:rPr>
        <w:t>]</w:t>
      </w:r>
    </w:p>
    <w:p w14:paraId="4C0DB061" w14:textId="77777777" w:rsidR="008E5855" w:rsidRPr="009118AB" w:rsidRDefault="008E5855" w:rsidP="008E5855">
      <w:pPr>
        <w:autoSpaceDE w:val="0"/>
        <w:autoSpaceDN w:val="0"/>
        <w:adjustRightInd w:val="0"/>
        <w:jc w:val="both"/>
        <w:rPr>
          <w:iCs/>
          <w:sz w:val="20"/>
        </w:rPr>
      </w:pPr>
    </w:p>
    <w:p w14:paraId="44344571" w14:textId="4A016CA3" w:rsidR="008E5855" w:rsidRPr="009118AB" w:rsidRDefault="00C911AF" w:rsidP="008E5855">
      <w:pPr>
        <w:autoSpaceDE w:val="0"/>
        <w:autoSpaceDN w:val="0"/>
        <w:adjustRightInd w:val="0"/>
        <w:jc w:val="both"/>
        <w:rPr>
          <w:iCs/>
          <w:sz w:val="20"/>
        </w:rPr>
      </w:pPr>
      <w:r>
        <w:rPr>
          <w:iCs/>
          <w:sz w:val="20"/>
        </w:rPr>
        <w:t>[...]</w:t>
      </w:r>
    </w:p>
    <w:p w14:paraId="2458CF7A" w14:textId="77777777" w:rsidR="008E5855" w:rsidRPr="009118AB" w:rsidRDefault="008E5855" w:rsidP="008E5855">
      <w:pPr>
        <w:autoSpaceDE w:val="0"/>
        <w:autoSpaceDN w:val="0"/>
        <w:adjustRightInd w:val="0"/>
        <w:jc w:val="both"/>
        <w:rPr>
          <w:iCs/>
          <w:sz w:val="20"/>
        </w:rPr>
      </w:pPr>
    </w:p>
    <w:p w14:paraId="485678D9" w14:textId="77777777" w:rsidR="00C911AF" w:rsidRPr="00C911AF" w:rsidRDefault="008E5855" w:rsidP="00C911AF">
      <w:pPr>
        <w:autoSpaceDE w:val="0"/>
        <w:autoSpaceDN w:val="0"/>
        <w:adjustRightInd w:val="0"/>
        <w:jc w:val="both"/>
        <w:rPr>
          <w:iCs/>
          <w:sz w:val="20"/>
        </w:rPr>
      </w:pPr>
      <w:r w:rsidRPr="009118AB">
        <w:rPr>
          <w:iCs/>
          <w:sz w:val="20"/>
        </w:rPr>
        <w:t>[</w:t>
      </w:r>
      <w:r w:rsidR="00C911AF" w:rsidRPr="00C911AF">
        <w:rPr>
          <w:iCs/>
          <w:sz w:val="20"/>
        </w:rPr>
        <w:t>Außer in dem Fall, in dem der Steuerpflichtige den Nachweis erbringt, dass die Gesellschaft, Vereinigung, Niederlassung, Einrichtung oder Körperschaft keine Rechtsvereinbarung ist, gilt für folgende Fälle die Vermutung, dass es sich um eine Rechtsvereinbarung handelt:</w:t>
      </w:r>
    </w:p>
    <w:p w14:paraId="3866EB22" w14:textId="77777777" w:rsidR="00C911AF" w:rsidRPr="00C911AF" w:rsidRDefault="00C911AF" w:rsidP="00C911AF">
      <w:pPr>
        <w:autoSpaceDE w:val="0"/>
        <w:autoSpaceDN w:val="0"/>
        <w:adjustRightInd w:val="0"/>
        <w:jc w:val="both"/>
        <w:rPr>
          <w:iCs/>
          <w:sz w:val="20"/>
        </w:rPr>
      </w:pPr>
    </w:p>
    <w:p w14:paraId="5F574A12" w14:textId="77777777" w:rsidR="00C911AF" w:rsidRPr="00C911AF" w:rsidRDefault="00C911AF" w:rsidP="00C911AF">
      <w:pPr>
        <w:autoSpaceDE w:val="0"/>
        <w:autoSpaceDN w:val="0"/>
        <w:adjustRightInd w:val="0"/>
        <w:jc w:val="both"/>
        <w:rPr>
          <w:iCs/>
          <w:sz w:val="20"/>
        </w:rPr>
      </w:pPr>
      <w:r w:rsidRPr="00C911AF">
        <w:rPr>
          <w:iCs/>
          <w:sz w:val="20"/>
        </w:rPr>
        <w:t>- Gesellschaften, Vereinigungen, Niederlassungen, Einrichtungen oder Körperschaften, die Rechtspersönlichkeit besitzen und in einem Rechtssystem ansässig sind, das am Ende des Besteuerungszeitraums in der EU-Liste nicht kooperativer Steuergebiete oder in der Liste der Staaten ohne oder mit niedriger Besteuerung wie in Artikel 307 § 1/2 erwähnt aufgenommen ist,</w:t>
      </w:r>
    </w:p>
    <w:p w14:paraId="32C182C2" w14:textId="77777777" w:rsidR="00C911AF" w:rsidRPr="00C911AF" w:rsidRDefault="00C911AF" w:rsidP="00C911AF">
      <w:pPr>
        <w:autoSpaceDE w:val="0"/>
        <w:autoSpaceDN w:val="0"/>
        <w:adjustRightInd w:val="0"/>
        <w:jc w:val="both"/>
        <w:rPr>
          <w:iCs/>
          <w:sz w:val="20"/>
        </w:rPr>
      </w:pPr>
    </w:p>
    <w:p w14:paraId="44C22DBC" w14:textId="77777777" w:rsidR="00C911AF" w:rsidRPr="00C911AF" w:rsidRDefault="00C911AF" w:rsidP="00C911AF">
      <w:pPr>
        <w:autoSpaceDE w:val="0"/>
        <w:autoSpaceDN w:val="0"/>
        <w:adjustRightInd w:val="0"/>
        <w:jc w:val="both"/>
        <w:rPr>
          <w:iCs/>
          <w:sz w:val="20"/>
        </w:rPr>
      </w:pPr>
      <w:r w:rsidRPr="00C911AF">
        <w:rPr>
          <w:iCs/>
          <w:sz w:val="20"/>
        </w:rPr>
        <w:t>- Fälle wie in Nr. 13/1 Absatz 2 bis 4 erwähnt,</w:t>
      </w:r>
    </w:p>
    <w:p w14:paraId="6861564B" w14:textId="77777777" w:rsidR="00C911AF" w:rsidRPr="00C911AF" w:rsidRDefault="00C911AF" w:rsidP="00C911AF">
      <w:pPr>
        <w:autoSpaceDE w:val="0"/>
        <w:autoSpaceDN w:val="0"/>
        <w:adjustRightInd w:val="0"/>
        <w:jc w:val="both"/>
        <w:rPr>
          <w:iCs/>
          <w:sz w:val="20"/>
        </w:rPr>
      </w:pPr>
    </w:p>
    <w:p w14:paraId="7E1C4379" w14:textId="793862A5" w:rsidR="008E5855" w:rsidRPr="009118AB" w:rsidRDefault="00C911AF" w:rsidP="00C911AF">
      <w:pPr>
        <w:autoSpaceDE w:val="0"/>
        <w:autoSpaceDN w:val="0"/>
        <w:adjustRightInd w:val="0"/>
        <w:jc w:val="both"/>
        <w:rPr>
          <w:iCs/>
          <w:sz w:val="20"/>
        </w:rPr>
      </w:pPr>
      <w:r w:rsidRPr="00C911AF">
        <w:rPr>
          <w:iCs/>
          <w:sz w:val="20"/>
        </w:rPr>
        <w:t>- Fälle wie in Absatz 2 Nr. 2 erwähnt.</w:t>
      </w:r>
      <w:r w:rsidR="008E5855" w:rsidRPr="009118AB">
        <w:rPr>
          <w:iCs/>
          <w:sz w:val="20"/>
        </w:rPr>
        <w:t>]</w:t>
      </w:r>
    </w:p>
    <w:p w14:paraId="1D557617" w14:textId="77777777" w:rsidR="008E5855" w:rsidRPr="009118AB" w:rsidRDefault="008E5855" w:rsidP="008E5855">
      <w:pPr>
        <w:autoSpaceDE w:val="0"/>
        <w:autoSpaceDN w:val="0"/>
        <w:adjustRightInd w:val="0"/>
        <w:jc w:val="both"/>
        <w:rPr>
          <w:iCs/>
          <w:sz w:val="20"/>
        </w:rPr>
      </w:pPr>
    </w:p>
    <w:p w14:paraId="72A01104" w14:textId="13BC83A6" w:rsidR="008E5855" w:rsidRPr="009118AB" w:rsidRDefault="008E5855" w:rsidP="008E5855">
      <w:pPr>
        <w:autoSpaceDE w:val="0"/>
        <w:autoSpaceDN w:val="0"/>
        <w:adjustRightInd w:val="0"/>
        <w:jc w:val="both"/>
        <w:rPr>
          <w:iCs/>
          <w:sz w:val="20"/>
        </w:rPr>
      </w:pPr>
      <w:r w:rsidRPr="009118AB">
        <w:rPr>
          <w:iCs/>
          <w:sz w:val="20"/>
        </w:rPr>
        <w:t xml:space="preserve">[Der König reicht bei der Abgeordnetenkammer, wenn sie versammelt ist, unverzüglich und sonst, sobald die nächste Sitzungsperiode eröffnet ist, einen Gesetzentwurf ein zur Bestätigung der Erlasse zur Ausführung von Absatz 2. Es wird davon ausgegangen, dass diese Erlasse nicht wirksam geworden sind, wenn sie nicht binnen zwölf Monaten nach dem Datum ihrer Veröffentlichung im </w:t>
      </w:r>
      <w:r w:rsidRPr="009118AB">
        <w:rPr>
          <w:i/>
          <w:iCs/>
          <w:sz w:val="20"/>
        </w:rPr>
        <w:t>Belgischen Staatsblatt</w:t>
      </w:r>
      <w:r w:rsidRPr="009118AB">
        <w:rPr>
          <w:iCs/>
          <w:sz w:val="20"/>
        </w:rPr>
        <w:t xml:space="preserve"> durch Gesetz bestätigt worden sind.]]]</w:t>
      </w:r>
    </w:p>
    <w:p w14:paraId="01B9BD4B" w14:textId="77777777" w:rsidR="008E5855" w:rsidRPr="009118AB" w:rsidRDefault="008E5855" w:rsidP="008E5855">
      <w:pPr>
        <w:autoSpaceDE w:val="0"/>
        <w:autoSpaceDN w:val="0"/>
        <w:adjustRightInd w:val="0"/>
        <w:jc w:val="both"/>
        <w:rPr>
          <w:iCs/>
          <w:sz w:val="20"/>
        </w:rPr>
      </w:pPr>
    </w:p>
    <w:p w14:paraId="4D9F9D05" w14:textId="42132AA1" w:rsidR="008E5855" w:rsidRPr="009118AB" w:rsidRDefault="008E5855" w:rsidP="008E5855">
      <w:pPr>
        <w:autoSpaceDE w:val="0"/>
        <w:autoSpaceDN w:val="0"/>
        <w:adjustRightInd w:val="0"/>
        <w:jc w:val="both"/>
        <w:rPr>
          <w:iCs/>
          <w:sz w:val="20"/>
        </w:rPr>
      </w:pPr>
      <w:r w:rsidRPr="009118AB">
        <w:rPr>
          <w:iCs/>
          <w:sz w:val="20"/>
        </w:rPr>
        <w:t>[</w:t>
      </w:r>
      <w:r w:rsidRPr="009118AB">
        <w:rPr>
          <w:i/>
          <w:iCs/>
          <w:sz w:val="20"/>
        </w:rPr>
        <w:t>c)</w:t>
      </w:r>
      <w:r w:rsidRPr="009118AB">
        <w:rPr>
          <w:iCs/>
          <w:sz w:val="20"/>
        </w:rPr>
        <w:t> einen Vertrag in dem Maße, wie dieser Vertrag:</w:t>
      </w:r>
    </w:p>
    <w:p w14:paraId="7F579A30" w14:textId="77777777" w:rsidR="008E5855" w:rsidRPr="009118AB" w:rsidRDefault="008E5855" w:rsidP="008E5855">
      <w:pPr>
        <w:autoSpaceDE w:val="0"/>
        <w:autoSpaceDN w:val="0"/>
        <w:adjustRightInd w:val="0"/>
        <w:jc w:val="both"/>
        <w:rPr>
          <w:iCs/>
          <w:sz w:val="20"/>
        </w:rPr>
      </w:pPr>
    </w:p>
    <w:p w14:paraId="5EC31E51" w14:textId="74574C95" w:rsidR="008E5855" w:rsidRPr="009118AB" w:rsidRDefault="008E5855" w:rsidP="008E5855">
      <w:pPr>
        <w:autoSpaceDE w:val="0"/>
        <w:autoSpaceDN w:val="0"/>
        <w:adjustRightInd w:val="0"/>
        <w:jc w:val="both"/>
        <w:rPr>
          <w:iCs/>
          <w:sz w:val="20"/>
        </w:rPr>
      </w:pPr>
      <w:r w:rsidRPr="009118AB">
        <w:rPr>
          <w:iCs/>
          <w:sz w:val="20"/>
        </w:rPr>
        <w:t>- während der Laufzeit des Vertrags oder zum Vertragsablauf gegen Zahlung einer oder mehrerer Prämien die Zahlung der von einer in Buchstabe </w:t>
      </w:r>
      <w:r w:rsidRPr="009118AB">
        <w:rPr>
          <w:i/>
          <w:iCs/>
          <w:sz w:val="20"/>
        </w:rPr>
        <w:t>a)</w:t>
      </w:r>
      <w:r w:rsidRPr="009118AB">
        <w:rPr>
          <w:iCs/>
          <w:sz w:val="20"/>
        </w:rPr>
        <w:t xml:space="preserve"> oder </w:t>
      </w:r>
      <w:r w:rsidRPr="009118AB">
        <w:rPr>
          <w:i/>
          <w:iCs/>
          <w:sz w:val="20"/>
        </w:rPr>
        <w:t>b)</w:t>
      </w:r>
      <w:r w:rsidRPr="009118AB">
        <w:rPr>
          <w:iCs/>
          <w:sz w:val="20"/>
        </w:rPr>
        <w:t xml:space="preserve"> erwähnten Rechts</w:t>
      </w:r>
      <w:r w:rsidRPr="009118AB">
        <w:rPr>
          <w:iCs/>
          <w:sz w:val="20"/>
        </w:rPr>
        <w:softHyphen/>
        <w:t>vereinbarung bezogenen Einkünfte oder die Ausschüttung der wirtschaftlichen Rechte, der Aktien oder Anteile beziehungsweise der Aktiva einer in Buchstabe </w:t>
      </w:r>
      <w:r w:rsidRPr="009118AB">
        <w:rPr>
          <w:i/>
          <w:iCs/>
          <w:sz w:val="20"/>
        </w:rPr>
        <w:t>a)</w:t>
      </w:r>
      <w:r w:rsidRPr="009118AB">
        <w:rPr>
          <w:iCs/>
          <w:sz w:val="20"/>
        </w:rPr>
        <w:t xml:space="preserve"> oder </w:t>
      </w:r>
      <w:r w:rsidRPr="009118AB">
        <w:rPr>
          <w:i/>
          <w:iCs/>
          <w:sz w:val="20"/>
        </w:rPr>
        <w:t>b)</w:t>
      </w:r>
      <w:r w:rsidRPr="009118AB">
        <w:rPr>
          <w:iCs/>
          <w:sz w:val="20"/>
        </w:rPr>
        <w:t xml:space="preserve"> erwähnten Rechtsvereinbarung vorsieht,</w:t>
      </w:r>
    </w:p>
    <w:p w14:paraId="7E6F056E" w14:textId="77777777" w:rsidR="008E5855" w:rsidRPr="009118AB" w:rsidRDefault="008E5855" w:rsidP="008E5855">
      <w:pPr>
        <w:autoSpaceDE w:val="0"/>
        <w:autoSpaceDN w:val="0"/>
        <w:adjustRightInd w:val="0"/>
        <w:jc w:val="both"/>
        <w:rPr>
          <w:iCs/>
          <w:sz w:val="20"/>
        </w:rPr>
      </w:pPr>
    </w:p>
    <w:p w14:paraId="04303E68" w14:textId="5421F81F" w:rsidR="008E5855" w:rsidRPr="009118AB" w:rsidRDefault="008E5855" w:rsidP="008E5855">
      <w:pPr>
        <w:autoSpaceDE w:val="0"/>
        <w:autoSpaceDN w:val="0"/>
        <w:adjustRightInd w:val="0"/>
        <w:jc w:val="both"/>
        <w:rPr>
          <w:iCs/>
          <w:sz w:val="20"/>
        </w:rPr>
      </w:pPr>
      <w:r w:rsidRPr="009118AB">
        <w:rPr>
          <w:iCs/>
          <w:sz w:val="20"/>
        </w:rPr>
        <w:t>- während der Laufzeit des Vertrags oder zum Vertragsablauf gegen Einbringung der wirtschaftlichen Rechte, der Aktien oder Anteile beziehungsweise der Aktiva einer in Buch</w:t>
      </w:r>
      <w:r w:rsidRPr="009118AB">
        <w:rPr>
          <w:iCs/>
          <w:sz w:val="20"/>
        </w:rPr>
        <w:softHyphen/>
        <w:t>stabe </w:t>
      </w:r>
      <w:r w:rsidRPr="009118AB">
        <w:rPr>
          <w:i/>
          <w:iCs/>
          <w:sz w:val="20"/>
        </w:rPr>
        <w:t>a)</w:t>
      </w:r>
      <w:r w:rsidRPr="009118AB">
        <w:rPr>
          <w:iCs/>
          <w:sz w:val="20"/>
        </w:rPr>
        <w:t xml:space="preserve"> oder </w:t>
      </w:r>
      <w:r w:rsidRPr="009118AB">
        <w:rPr>
          <w:i/>
          <w:iCs/>
          <w:sz w:val="20"/>
        </w:rPr>
        <w:t>b)</w:t>
      </w:r>
      <w:r w:rsidRPr="009118AB">
        <w:rPr>
          <w:iCs/>
          <w:sz w:val="20"/>
        </w:rPr>
        <w:t xml:space="preserve"> erwähnten Rechtsvereinbarung die </w:t>
      </w:r>
      <w:r w:rsidRPr="009118AB">
        <w:rPr>
          <w:iCs/>
          <w:sz w:val="20"/>
        </w:rPr>
        <w:lastRenderedPageBreak/>
        <w:t>Zahlung oder Ausschüttung der einge</w:t>
      </w:r>
      <w:r w:rsidRPr="009118AB">
        <w:rPr>
          <w:iCs/>
          <w:sz w:val="20"/>
        </w:rPr>
        <w:softHyphen/>
        <w:t>brachten Rechte, Aktien oder Anteile beziehungsweise Aktiva oder ihres Gegenwerts vorsieht.]</w:t>
      </w:r>
    </w:p>
    <w:p w14:paraId="49D6CF8E" w14:textId="77777777" w:rsidR="008E5855" w:rsidRPr="009118AB" w:rsidRDefault="008E5855" w:rsidP="008E5855">
      <w:pPr>
        <w:autoSpaceDE w:val="0"/>
        <w:autoSpaceDN w:val="0"/>
        <w:adjustRightInd w:val="0"/>
        <w:jc w:val="both"/>
        <w:rPr>
          <w:iCs/>
          <w:sz w:val="20"/>
        </w:rPr>
      </w:pPr>
    </w:p>
    <w:p w14:paraId="50E56821" w14:textId="1DC8FD74" w:rsidR="008E5855" w:rsidRPr="009118AB" w:rsidRDefault="008E5855" w:rsidP="008E5855">
      <w:pPr>
        <w:autoSpaceDE w:val="0"/>
        <w:autoSpaceDN w:val="0"/>
        <w:adjustRightInd w:val="0"/>
        <w:jc w:val="both"/>
        <w:rPr>
          <w:iCs/>
          <w:sz w:val="20"/>
        </w:rPr>
      </w:pPr>
      <w:r w:rsidRPr="009118AB">
        <w:rPr>
          <w:iCs/>
          <w:sz w:val="20"/>
        </w:rPr>
        <w:t>[13/1. </w:t>
      </w:r>
      <w:r w:rsidR="00C911AF">
        <w:rPr>
          <w:iCs/>
          <w:sz w:val="20"/>
        </w:rPr>
        <w:t>[</w:t>
      </w:r>
      <w:r w:rsidR="00C911AF" w:rsidRPr="00C911AF">
        <w:rPr>
          <w:iCs/>
          <w:sz w:val="20"/>
        </w:rPr>
        <w:t>In Abweichung von Nr. 13 und Nr. 13/2 gelten nicht als Rechtsvereinbarungen oder zwischengeschaltete Konstruktionen:</w:t>
      </w:r>
      <w:r w:rsidR="00C911AF">
        <w:rPr>
          <w:iCs/>
          <w:sz w:val="20"/>
        </w:rPr>
        <w:t>]</w:t>
      </w:r>
    </w:p>
    <w:p w14:paraId="0BD8A943" w14:textId="77777777" w:rsidR="008E5855" w:rsidRPr="009118AB" w:rsidRDefault="008E5855" w:rsidP="008E5855">
      <w:pPr>
        <w:autoSpaceDE w:val="0"/>
        <w:autoSpaceDN w:val="0"/>
        <w:adjustRightInd w:val="0"/>
        <w:jc w:val="both"/>
        <w:rPr>
          <w:iCs/>
          <w:sz w:val="20"/>
        </w:rPr>
      </w:pPr>
    </w:p>
    <w:p w14:paraId="11E218B4" w14:textId="01D2FBF2" w:rsidR="008E5855" w:rsidRPr="009118AB" w:rsidRDefault="008E5855" w:rsidP="008E5855">
      <w:pPr>
        <w:autoSpaceDE w:val="0"/>
        <w:autoSpaceDN w:val="0"/>
        <w:adjustRightInd w:val="0"/>
        <w:jc w:val="both"/>
        <w:rPr>
          <w:iCs/>
          <w:sz w:val="20"/>
        </w:rPr>
      </w:pPr>
      <w:r w:rsidRPr="009118AB">
        <w:rPr>
          <w:i/>
          <w:iCs/>
          <w:sz w:val="20"/>
        </w:rPr>
        <w:t>a)</w:t>
      </w:r>
      <w:r w:rsidRPr="009118AB">
        <w:rPr>
          <w:iCs/>
          <w:sz w:val="20"/>
        </w:rPr>
        <w:t> </w:t>
      </w:r>
      <w:r w:rsidR="00C911AF">
        <w:rPr>
          <w:iCs/>
          <w:sz w:val="20"/>
        </w:rPr>
        <w:t>[</w:t>
      </w:r>
      <w:r w:rsidR="00C911AF" w:rsidRPr="00C911AF">
        <w:rPr>
          <w:iCs/>
          <w:sz w:val="20"/>
        </w:rPr>
        <w:t>Organismen für gemeinsame Anlagen nach belgischem Recht oder nach ausländischem Recht, die die Bedingungen der Richtlinie 2009/65/EG des Europäischen Parlaments und des Rates vom 13. Juli 2019 zur Koordinierung der Rechts- und Verwaltungsvorschriften betreffend bestimmte Organismen für gemeinsame Anlagen in Wertpapieren (OGAW) erfüllen, oder Organismen für Anlagen in Forderungen erwähnt in Teil III</w:t>
      </w:r>
      <w:r w:rsidR="00C911AF" w:rsidRPr="00C911AF">
        <w:rPr>
          <w:i/>
          <w:iCs/>
          <w:sz w:val="20"/>
        </w:rPr>
        <w:t>bis</w:t>
      </w:r>
      <w:r w:rsidR="00C911AF" w:rsidRPr="00C911AF">
        <w:rPr>
          <w:iCs/>
          <w:sz w:val="20"/>
        </w:rPr>
        <w:t xml:space="preserve"> des Gesetzes vom 3. August 2012 über Organismen für gemeinsame Anlagen, die die Bedingungen der Richtlinie 2009/65/EG erfüllen, und Organismen für Anlagen in Forderungen, die gegebenenfalls pro separaten Teilfonds berücksichtigt werden,</w:t>
      </w:r>
      <w:r w:rsidR="00C911AF">
        <w:rPr>
          <w:iCs/>
          <w:sz w:val="20"/>
        </w:rPr>
        <w:t>]</w:t>
      </w:r>
    </w:p>
    <w:p w14:paraId="29DA6F0F" w14:textId="77777777" w:rsidR="008E5855" w:rsidRPr="009118AB" w:rsidRDefault="008E5855" w:rsidP="008E5855">
      <w:pPr>
        <w:autoSpaceDE w:val="0"/>
        <w:autoSpaceDN w:val="0"/>
        <w:adjustRightInd w:val="0"/>
        <w:jc w:val="both"/>
        <w:rPr>
          <w:iCs/>
          <w:sz w:val="20"/>
        </w:rPr>
      </w:pPr>
    </w:p>
    <w:p w14:paraId="3BE358BC" w14:textId="53A23EED" w:rsidR="008E5855" w:rsidRPr="009118AB" w:rsidRDefault="008E5855" w:rsidP="008E5855">
      <w:pPr>
        <w:autoSpaceDE w:val="0"/>
        <w:autoSpaceDN w:val="0"/>
        <w:adjustRightInd w:val="0"/>
        <w:jc w:val="both"/>
        <w:rPr>
          <w:iCs/>
          <w:sz w:val="20"/>
        </w:rPr>
      </w:pPr>
      <w:r w:rsidRPr="009118AB">
        <w:rPr>
          <w:i/>
          <w:iCs/>
          <w:sz w:val="20"/>
        </w:rPr>
        <w:t>b)</w:t>
      </w:r>
      <w:r w:rsidRPr="009118AB">
        <w:rPr>
          <w:iCs/>
          <w:sz w:val="20"/>
        </w:rPr>
        <w:t> </w:t>
      </w:r>
      <w:r w:rsidR="00C911AF">
        <w:rPr>
          <w:iCs/>
          <w:sz w:val="20"/>
        </w:rPr>
        <w:t>[</w:t>
      </w:r>
      <w:r w:rsidR="00C911AF" w:rsidRPr="00C911AF">
        <w:rPr>
          <w:iCs/>
          <w:sz w:val="20"/>
        </w:rPr>
        <w:t>alternative Organismen für gemeinsame Anlagen nach belgischem Recht oder nach ausländischem Recht, deren Verwalter gemäß dem Gesetz vom 19. April 2014 über alternative Organismen für gemeinsame Anlagen und ihre Verwalter, gemäß dem innerstaatlichen Recht eines Mitgliedstaates der Europäischen Union oder gemäß dem innerstaatlichen Recht eines Drittlandes die Bedingungen der Richtlinie 2011/61/EU des Europäischen Parlaments und des Rates vom 8. Juni 2011 über die Verwalter alternativer Investmentfonds und zur Änderung der Richtlinien 2003/41/EG und 2009/65/EG und der Verordnungen (EG) Nr. 1060/2009 und (EU) Nr. 1095/2010 erfüllen und die gegebenenfalls pro separaten Teilfonds berücksichtigt werden,</w:t>
      </w:r>
      <w:r w:rsidR="00C911AF">
        <w:rPr>
          <w:iCs/>
          <w:sz w:val="20"/>
        </w:rPr>
        <w:t>]</w:t>
      </w:r>
    </w:p>
    <w:p w14:paraId="1BCFE650" w14:textId="77777777" w:rsidR="008E5855" w:rsidRPr="009118AB" w:rsidRDefault="008E5855" w:rsidP="008E5855">
      <w:pPr>
        <w:autoSpaceDE w:val="0"/>
        <w:autoSpaceDN w:val="0"/>
        <w:adjustRightInd w:val="0"/>
        <w:jc w:val="both"/>
        <w:rPr>
          <w:iCs/>
          <w:sz w:val="20"/>
        </w:rPr>
      </w:pPr>
    </w:p>
    <w:p w14:paraId="11C33F84" w14:textId="597F85AB" w:rsidR="008E5855" w:rsidRPr="009118AB" w:rsidRDefault="008E5855" w:rsidP="008E5855">
      <w:pPr>
        <w:autoSpaceDE w:val="0"/>
        <w:autoSpaceDN w:val="0"/>
        <w:adjustRightInd w:val="0"/>
        <w:jc w:val="both"/>
        <w:rPr>
          <w:iCs/>
          <w:sz w:val="20"/>
        </w:rPr>
      </w:pPr>
      <w:r w:rsidRPr="009118AB">
        <w:rPr>
          <w:i/>
          <w:iCs/>
          <w:sz w:val="20"/>
        </w:rPr>
        <w:t>c)</w:t>
      </w:r>
      <w:r w:rsidRPr="009118AB">
        <w:rPr>
          <w:iCs/>
          <w:sz w:val="20"/>
        </w:rPr>
        <w:t> Körperschaften, die keine in Buchstabe </w:t>
      </w:r>
      <w:r w:rsidRPr="009118AB">
        <w:rPr>
          <w:i/>
          <w:iCs/>
          <w:sz w:val="20"/>
        </w:rPr>
        <w:t>a)</w:t>
      </w:r>
      <w:r w:rsidRPr="009118AB">
        <w:rPr>
          <w:iCs/>
          <w:sz w:val="20"/>
        </w:rPr>
        <w:t xml:space="preserve"> oder </w:t>
      </w:r>
      <w:r w:rsidRPr="009118AB">
        <w:rPr>
          <w:i/>
          <w:iCs/>
          <w:sz w:val="20"/>
        </w:rPr>
        <w:t>b)</w:t>
      </w:r>
      <w:r w:rsidRPr="009118AB">
        <w:rPr>
          <w:iCs/>
          <w:sz w:val="20"/>
        </w:rPr>
        <w:t xml:space="preserve"> erwähnten Organismen sind und die ausschließlich folgende Geschäfte betreiben:</w:t>
      </w:r>
    </w:p>
    <w:p w14:paraId="0A686421" w14:textId="77777777" w:rsidR="008E5855" w:rsidRPr="009118AB" w:rsidRDefault="008E5855" w:rsidP="008E5855">
      <w:pPr>
        <w:autoSpaceDE w:val="0"/>
        <w:autoSpaceDN w:val="0"/>
        <w:adjustRightInd w:val="0"/>
        <w:jc w:val="both"/>
        <w:rPr>
          <w:iCs/>
          <w:sz w:val="20"/>
        </w:rPr>
      </w:pPr>
    </w:p>
    <w:p w14:paraId="61D5E9CD" w14:textId="0C37E557" w:rsidR="008E5855" w:rsidRPr="009118AB" w:rsidRDefault="008E5855" w:rsidP="008E5855">
      <w:pPr>
        <w:autoSpaceDE w:val="0"/>
        <w:autoSpaceDN w:val="0"/>
        <w:adjustRightInd w:val="0"/>
        <w:jc w:val="both"/>
        <w:rPr>
          <w:iCs/>
          <w:sz w:val="20"/>
        </w:rPr>
      </w:pPr>
      <w:r w:rsidRPr="009118AB">
        <w:rPr>
          <w:iCs/>
          <w:sz w:val="20"/>
        </w:rPr>
        <w:t>- Verwalten und Anlegen von Geldern, die mit dem Ziel gesammelt werden, gesetzliche oder ergänzende Pensionen auszuzahlen, oder</w:t>
      </w:r>
    </w:p>
    <w:p w14:paraId="667756EE" w14:textId="77777777" w:rsidR="008E5855" w:rsidRPr="009118AB" w:rsidRDefault="008E5855" w:rsidP="008E5855">
      <w:pPr>
        <w:autoSpaceDE w:val="0"/>
        <w:autoSpaceDN w:val="0"/>
        <w:adjustRightInd w:val="0"/>
        <w:jc w:val="both"/>
        <w:rPr>
          <w:iCs/>
          <w:sz w:val="20"/>
        </w:rPr>
      </w:pPr>
    </w:p>
    <w:p w14:paraId="0B4ED32A" w14:textId="5765E384" w:rsidR="008E5855" w:rsidRPr="009118AB" w:rsidRDefault="008E5855" w:rsidP="008E5855">
      <w:pPr>
        <w:autoSpaceDE w:val="0"/>
        <w:autoSpaceDN w:val="0"/>
        <w:adjustRightInd w:val="0"/>
        <w:jc w:val="both"/>
        <w:rPr>
          <w:iCs/>
          <w:sz w:val="20"/>
        </w:rPr>
      </w:pPr>
      <w:r w:rsidRPr="009118AB">
        <w:rPr>
          <w:iCs/>
          <w:sz w:val="20"/>
        </w:rPr>
        <w:t>- Verwalten von Beteiligungen der Arbeitnehmer an der Finanzierung ihres Unternehmens oder der Gruppe, zu der ihr Unternehmen gehört,</w:t>
      </w:r>
    </w:p>
    <w:p w14:paraId="6A07988B" w14:textId="77777777" w:rsidR="008E5855" w:rsidRPr="009118AB" w:rsidRDefault="008E5855" w:rsidP="008E5855">
      <w:pPr>
        <w:autoSpaceDE w:val="0"/>
        <w:autoSpaceDN w:val="0"/>
        <w:adjustRightInd w:val="0"/>
        <w:jc w:val="both"/>
        <w:rPr>
          <w:iCs/>
          <w:sz w:val="20"/>
        </w:rPr>
      </w:pPr>
    </w:p>
    <w:p w14:paraId="407405BB" w14:textId="7AD61F88" w:rsidR="008E5855" w:rsidRPr="009118AB" w:rsidRDefault="008E5855" w:rsidP="008E5855">
      <w:pPr>
        <w:autoSpaceDE w:val="0"/>
        <w:autoSpaceDN w:val="0"/>
        <w:adjustRightInd w:val="0"/>
        <w:jc w:val="both"/>
        <w:rPr>
          <w:iCs/>
          <w:sz w:val="20"/>
        </w:rPr>
      </w:pPr>
      <w:r w:rsidRPr="009118AB">
        <w:rPr>
          <w:i/>
          <w:iCs/>
          <w:sz w:val="20"/>
        </w:rPr>
        <w:t>d)</w:t>
      </w:r>
      <w:r w:rsidRPr="009118AB">
        <w:rPr>
          <w:iCs/>
          <w:sz w:val="20"/>
        </w:rPr>
        <w:t> Gesellschaften, deren Wertpapiere an einer Wertpapierbörse eines Mitgliedstaates der Europäischen Union notiert werden unter den Bedingungen der Richtlinie 2001/34/EG des Europäischen Parlaments und des Rates vom 28. Mai 2001 über die Zulassung von Wertpapieren zur amtlichen Börsennotierung und über die hinsichtlich dieser Wertpapiere zu veröffentlichenden Informationen oder an einer Wertpapierbörse eines Drittstaates, dessen Rechtsvorschriften ähnliche Zulassungsbedingungen vorsehen,</w:t>
      </w:r>
    </w:p>
    <w:p w14:paraId="3E0CACBA" w14:textId="77777777" w:rsidR="008E5855" w:rsidRPr="009118AB" w:rsidRDefault="008E5855" w:rsidP="008E5855">
      <w:pPr>
        <w:autoSpaceDE w:val="0"/>
        <w:autoSpaceDN w:val="0"/>
        <w:adjustRightInd w:val="0"/>
        <w:jc w:val="both"/>
        <w:rPr>
          <w:iCs/>
          <w:sz w:val="20"/>
        </w:rPr>
      </w:pPr>
    </w:p>
    <w:p w14:paraId="074B3497" w14:textId="0384A9C8" w:rsidR="008E5855" w:rsidRPr="009118AB" w:rsidRDefault="008E5855" w:rsidP="008E5855">
      <w:pPr>
        <w:autoSpaceDE w:val="0"/>
        <w:autoSpaceDN w:val="0"/>
        <w:adjustRightInd w:val="0"/>
        <w:jc w:val="both"/>
        <w:rPr>
          <w:iCs/>
          <w:sz w:val="20"/>
        </w:rPr>
      </w:pPr>
      <w:r w:rsidRPr="009118AB">
        <w:rPr>
          <w:i/>
          <w:iCs/>
          <w:sz w:val="20"/>
        </w:rPr>
        <w:t>e)</w:t>
      </w:r>
      <w:r w:rsidRPr="009118AB">
        <w:rPr>
          <w:iCs/>
          <w:sz w:val="20"/>
        </w:rPr>
        <w:t> [...].]</w:t>
      </w:r>
    </w:p>
    <w:p w14:paraId="6B2D303D" w14:textId="77777777" w:rsidR="008E5855" w:rsidRPr="009118AB" w:rsidRDefault="008E5855" w:rsidP="008E5855">
      <w:pPr>
        <w:autoSpaceDE w:val="0"/>
        <w:autoSpaceDN w:val="0"/>
        <w:adjustRightInd w:val="0"/>
        <w:jc w:val="both"/>
        <w:rPr>
          <w:iCs/>
          <w:sz w:val="20"/>
        </w:rPr>
      </w:pPr>
    </w:p>
    <w:p w14:paraId="3FA07485" w14:textId="62AF701A" w:rsidR="008E5855" w:rsidRPr="009118AB" w:rsidRDefault="008E5855" w:rsidP="008E5855">
      <w:pPr>
        <w:autoSpaceDE w:val="0"/>
        <w:autoSpaceDN w:val="0"/>
        <w:adjustRightInd w:val="0"/>
        <w:jc w:val="both"/>
        <w:rPr>
          <w:iCs/>
          <w:sz w:val="20"/>
        </w:rPr>
      </w:pPr>
      <w:r w:rsidRPr="009118AB">
        <w:rPr>
          <w:iCs/>
          <w:sz w:val="20"/>
        </w:rPr>
        <w:t xml:space="preserve">[Absatz 1 ist nicht anwendbar </w:t>
      </w:r>
      <w:r w:rsidR="00C911AF">
        <w:rPr>
          <w:iCs/>
          <w:sz w:val="20"/>
        </w:rPr>
        <w:t>[</w:t>
      </w:r>
      <w:r w:rsidR="00C911AF" w:rsidRPr="00C911AF">
        <w:rPr>
          <w:iCs/>
          <w:sz w:val="20"/>
        </w:rPr>
        <w:t>in Bezug auf die in diesem Absatz Buchstabe </w:t>
      </w:r>
      <w:r w:rsidR="00C911AF" w:rsidRPr="00C911AF">
        <w:rPr>
          <w:i/>
          <w:iCs/>
          <w:sz w:val="20"/>
        </w:rPr>
        <w:t>a)</w:t>
      </w:r>
      <w:r w:rsidR="00C911AF" w:rsidRPr="00C911AF">
        <w:rPr>
          <w:iCs/>
          <w:sz w:val="20"/>
        </w:rPr>
        <w:t xml:space="preserve"> bis </w:t>
      </w:r>
      <w:r w:rsidR="00C911AF" w:rsidRPr="00C911AF">
        <w:rPr>
          <w:i/>
          <w:iCs/>
          <w:sz w:val="20"/>
        </w:rPr>
        <w:t>c)</w:t>
      </w:r>
      <w:r w:rsidR="00C911AF" w:rsidRPr="00C911AF">
        <w:rPr>
          <w:iCs/>
          <w:sz w:val="20"/>
        </w:rPr>
        <w:t xml:space="preserve"> erwähnten Organismen, Körperschaften und Gesellschaften, deren Rechte zu mehr als 50 Prozent im Besitz einer Person oder mehrerer miteinander verbundener Personen sind und die gegebenenfalls pro separaten Teilfonds berücksichtigt werden</w:t>
      </w:r>
      <w:r w:rsidR="00C911AF">
        <w:rPr>
          <w:iCs/>
          <w:sz w:val="20"/>
        </w:rPr>
        <w:t>]</w:t>
      </w:r>
      <w:r w:rsidRPr="009118AB">
        <w:rPr>
          <w:iCs/>
          <w:sz w:val="20"/>
        </w:rPr>
        <w:t>.</w:t>
      </w:r>
      <w:r w:rsidR="00FB1BE2">
        <w:rPr>
          <w:iCs/>
          <w:sz w:val="20"/>
        </w:rPr>
        <w:t>]</w:t>
      </w:r>
    </w:p>
    <w:p w14:paraId="09A2DC93" w14:textId="77777777" w:rsidR="008E5855" w:rsidRPr="009118AB" w:rsidRDefault="008E5855" w:rsidP="008E5855">
      <w:pPr>
        <w:autoSpaceDE w:val="0"/>
        <w:autoSpaceDN w:val="0"/>
        <w:adjustRightInd w:val="0"/>
        <w:jc w:val="both"/>
        <w:rPr>
          <w:iCs/>
          <w:sz w:val="20"/>
        </w:rPr>
      </w:pPr>
      <w:r w:rsidRPr="009118AB">
        <w:rPr>
          <w:iCs/>
          <w:sz w:val="20"/>
        </w:rPr>
        <w:tab/>
      </w:r>
    </w:p>
    <w:p w14:paraId="47F4A71A" w14:textId="7F6C859C" w:rsidR="008E5855" w:rsidRPr="009118AB" w:rsidRDefault="00FB1BE2" w:rsidP="008E5855">
      <w:pPr>
        <w:autoSpaceDE w:val="0"/>
        <w:autoSpaceDN w:val="0"/>
        <w:adjustRightInd w:val="0"/>
        <w:jc w:val="both"/>
        <w:rPr>
          <w:iCs/>
          <w:sz w:val="20"/>
        </w:rPr>
      </w:pPr>
      <w:r>
        <w:rPr>
          <w:iCs/>
          <w:sz w:val="20"/>
        </w:rPr>
        <w:t>[</w:t>
      </w:r>
      <w:r w:rsidR="008E5855" w:rsidRPr="009118AB">
        <w:rPr>
          <w:iCs/>
          <w:sz w:val="20"/>
        </w:rPr>
        <w:t>Für die Anwendung von Absatz 2 sind Personen mit anderen Personen verbunden, wenn:</w:t>
      </w:r>
    </w:p>
    <w:p w14:paraId="0FBB7707" w14:textId="77777777" w:rsidR="008E5855" w:rsidRPr="009118AB" w:rsidRDefault="008E5855" w:rsidP="008E5855">
      <w:pPr>
        <w:autoSpaceDE w:val="0"/>
        <w:autoSpaceDN w:val="0"/>
        <w:adjustRightInd w:val="0"/>
        <w:jc w:val="both"/>
        <w:rPr>
          <w:iCs/>
          <w:sz w:val="20"/>
        </w:rPr>
      </w:pPr>
    </w:p>
    <w:p w14:paraId="25D1EE35" w14:textId="6883F0A3" w:rsidR="008E5855" w:rsidRPr="009118AB" w:rsidRDefault="008E5855" w:rsidP="008E5855">
      <w:pPr>
        <w:autoSpaceDE w:val="0"/>
        <w:autoSpaceDN w:val="0"/>
        <w:adjustRightInd w:val="0"/>
        <w:jc w:val="both"/>
        <w:rPr>
          <w:iCs/>
          <w:sz w:val="20"/>
        </w:rPr>
      </w:pPr>
      <w:r w:rsidRPr="009118AB">
        <w:rPr>
          <w:iCs/>
          <w:sz w:val="20"/>
        </w:rPr>
        <w:t>- eine oder mehrere natürliche oder juristische Personen über eine andere juristische Person die Kontrolle ausüben wie in [Artikel 1:14 des Gesetzbuches der Gesellschaften und Vereinigungen] erwähnt oder</w:t>
      </w:r>
    </w:p>
    <w:p w14:paraId="01AC369B" w14:textId="77777777" w:rsidR="008E5855" w:rsidRPr="009118AB" w:rsidRDefault="008E5855" w:rsidP="008E5855">
      <w:pPr>
        <w:autoSpaceDE w:val="0"/>
        <w:autoSpaceDN w:val="0"/>
        <w:adjustRightInd w:val="0"/>
        <w:jc w:val="both"/>
        <w:rPr>
          <w:iCs/>
          <w:sz w:val="20"/>
        </w:rPr>
      </w:pPr>
    </w:p>
    <w:p w14:paraId="46B7997F" w14:textId="28B38285" w:rsidR="008E5855" w:rsidRPr="009118AB" w:rsidRDefault="008E5855" w:rsidP="008E5855">
      <w:pPr>
        <w:autoSpaceDE w:val="0"/>
        <w:autoSpaceDN w:val="0"/>
        <w:adjustRightInd w:val="0"/>
        <w:jc w:val="both"/>
        <w:rPr>
          <w:iCs/>
          <w:sz w:val="20"/>
        </w:rPr>
      </w:pPr>
      <w:r w:rsidRPr="009118AB">
        <w:rPr>
          <w:iCs/>
          <w:sz w:val="20"/>
        </w:rPr>
        <w:t>- diese Personen bis zum vierten Grad miteinander verwandt oder verschwägert sind oder</w:t>
      </w:r>
    </w:p>
    <w:p w14:paraId="0C887808" w14:textId="77777777" w:rsidR="008E5855" w:rsidRPr="009118AB" w:rsidRDefault="008E5855" w:rsidP="008E5855">
      <w:pPr>
        <w:autoSpaceDE w:val="0"/>
        <w:autoSpaceDN w:val="0"/>
        <w:adjustRightInd w:val="0"/>
        <w:jc w:val="both"/>
        <w:rPr>
          <w:iCs/>
          <w:sz w:val="20"/>
        </w:rPr>
      </w:pPr>
    </w:p>
    <w:p w14:paraId="6A717BAF" w14:textId="09A2F1F9" w:rsidR="008E5855" w:rsidRPr="009118AB" w:rsidRDefault="008E5855" w:rsidP="008E5855">
      <w:pPr>
        <w:autoSpaceDE w:val="0"/>
        <w:autoSpaceDN w:val="0"/>
        <w:adjustRightInd w:val="0"/>
        <w:jc w:val="both"/>
        <w:rPr>
          <w:iCs/>
          <w:sz w:val="20"/>
        </w:rPr>
      </w:pPr>
      <w:r w:rsidRPr="009118AB">
        <w:rPr>
          <w:iCs/>
          <w:sz w:val="20"/>
        </w:rPr>
        <w:t>- diese Personen miteinander verheiratet sind, gesetzlich zusammenwohnen oder ihren Wohn- oder Vermögenssitz an derselben Adresse festgelegt haben.]</w:t>
      </w:r>
    </w:p>
    <w:p w14:paraId="1EA2CBEE" w14:textId="77777777" w:rsidR="008E5855" w:rsidRDefault="008E5855" w:rsidP="008E5855">
      <w:pPr>
        <w:autoSpaceDE w:val="0"/>
        <w:autoSpaceDN w:val="0"/>
        <w:adjustRightInd w:val="0"/>
        <w:jc w:val="both"/>
        <w:rPr>
          <w:iCs/>
          <w:sz w:val="20"/>
        </w:rPr>
      </w:pPr>
    </w:p>
    <w:p w14:paraId="0FD22246" w14:textId="014EAEA8" w:rsidR="00C911AF" w:rsidRPr="00C911AF" w:rsidRDefault="00C911AF" w:rsidP="00C911AF">
      <w:pPr>
        <w:autoSpaceDE w:val="0"/>
        <w:autoSpaceDN w:val="0"/>
        <w:adjustRightInd w:val="0"/>
        <w:jc w:val="both"/>
        <w:rPr>
          <w:iCs/>
          <w:sz w:val="20"/>
        </w:rPr>
      </w:pPr>
      <w:r>
        <w:rPr>
          <w:iCs/>
          <w:sz w:val="20"/>
        </w:rPr>
        <w:t>[</w:t>
      </w:r>
      <w:r w:rsidRPr="00C911AF">
        <w:rPr>
          <w:iCs/>
          <w:sz w:val="20"/>
        </w:rPr>
        <w:t>Vorbehaltlich des Gegenbeweises wird davon ausgegangen, dass die in Absatz 2 erwähnte Ausnahme anwendbar ist, wenn:</w:t>
      </w:r>
    </w:p>
    <w:p w14:paraId="0B799579" w14:textId="77777777" w:rsidR="00C911AF" w:rsidRPr="00C911AF" w:rsidRDefault="00C911AF" w:rsidP="00C911AF">
      <w:pPr>
        <w:autoSpaceDE w:val="0"/>
        <w:autoSpaceDN w:val="0"/>
        <w:adjustRightInd w:val="0"/>
        <w:jc w:val="both"/>
        <w:rPr>
          <w:iCs/>
          <w:sz w:val="20"/>
        </w:rPr>
      </w:pPr>
    </w:p>
    <w:p w14:paraId="526805B8" w14:textId="77777777" w:rsidR="00C911AF" w:rsidRPr="00C911AF" w:rsidRDefault="00C911AF" w:rsidP="00C911AF">
      <w:pPr>
        <w:autoSpaceDE w:val="0"/>
        <w:autoSpaceDN w:val="0"/>
        <w:adjustRightInd w:val="0"/>
        <w:jc w:val="both"/>
        <w:rPr>
          <w:iCs/>
          <w:sz w:val="20"/>
        </w:rPr>
      </w:pPr>
      <w:r w:rsidRPr="00C911AF">
        <w:rPr>
          <w:iCs/>
          <w:sz w:val="20"/>
        </w:rPr>
        <w:t>- Vermögensverwalter der in diesem Absatz erwähnten Organismen, Körperschaften oder Gesellschaften oder eines ihrer Teilfonds von den Personen, die die Rechte dieses Teilfonds besitzen, spezifische Anweisungen zum Kauf oder Verkauf bestimmter Finanzinstrumente erhalten oder</w:t>
      </w:r>
    </w:p>
    <w:p w14:paraId="7BB0379C" w14:textId="77777777" w:rsidR="00C911AF" w:rsidRPr="00C911AF" w:rsidRDefault="00C911AF" w:rsidP="00C911AF">
      <w:pPr>
        <w:autoSpaceDE w:val="0"/>
        <w:autoSpaceDN w:val="0"/>
        <w:adjustRightInd w:val="0"/>
        <w:jc w:val="both"/>
        <w:rPr>
          <w:iCs/>
          <w:sz w:val="20"/>
        </w:rPr>
      </w:pPr>
    </w:p>
    <w:p w14:paraId="1186B222" w14:textId="28480E24" w:rsidR="00C911AF" w:rsidRDefault="00C911AF" w:rsidP="00C911AF">
      <w:pPr>
        <w:autoSpaceDE w:val="0"/>
        <w:autoSpaceDN w:val="0"/>
        <w:adjustRightInd w:val="0"/>
        <w:jc w:val="both"/>
        <w:rPr>
          <w:iCs/>
          <w:sz w:val="20"/>
        </w:rPr>
      </w:pPr>
      <w:r w:rsidRPr="00C911AF">
        <w:rPr>
          <w:iCs/>
          <w:sz w:val="20"/>
        </w:rPr>
        <w:lastRenderedPageBreak/>
        <w:t>- kein unabhängiger Vermögensverwalter bestimmt wurde.</w:t>
      </w:r>
      <w:r>
        <w:rPr>
          <w:iCs/>
          <w:sz w:val="20"/>
        </w:rPr>
        <w:t>]</w:t>
      </w:r>
    </w:p>
    <w:p w14:paraId="6589CB1E" w14:textId="77777777" w:rsidR="00C911AF" w:rsidRPr="009118AB" w:rsidRDefault="00C911AF" w:rsidP="00C911AF">
      <w:pPr>
        <w:autoSpaceDE w:val="0"/>
        <w:autoSpaceDN w:val="0"/>
        <w:adjustRightInd w:val="0"/>
        <w:jc w:val="both"/>
        <w:rPr>
          <w:iCs/>
          <w:sz w:val="20"/>
        </w:rPr>
      </w:pPr>
    </w:p>
    <w:p w14:paraId="66763DC1" w14:textId="4B29A623" w:rsidR="008E5855" w:rsidRPr="009118AB" w:rsidRDefault="008E5855" w:rsidP="008E5855">
      <w:pPr>
        <w:autoSpaceDE w:val="0"/>
        <w:autoSpaceDN w:val="0"/>
        <w:adjustRightInd w:val="0"/>
        <w:jc w:val="both"/>
        <w:rPr>
          <w:iCs/>
          <w:sz w:val="20"/>
        </w:rPr>
      </w:pPr>
      <w:r w:rsidRPr="009118AB">
        <w:rPr>
          <w:iCs/>
          <w:sz w:val="20"/>
        </w:rPr>
        <w:t>[13/2. Tochterkonstruktion</w:t>
      </w:r>
    </w:p>
    <w:p w14:paraId="612BFC37" w14:textId="77777777" w:rsidR="008E5855" w:rsidRPr="009118AB" w:rsidRDefault="008E5855" w:rsidP="008E5855">
      <w:pPr>
        <w:autoSpaceDE w:val="0"/>
        <w:autoSpaceDN w:val="0"/>
        <w:adjustRightInd w:val="0"/>
        <w:jc w:val="both"/>
        <w:rPr>
          <w:iCs/>
          <w:sz w:val="20"/>
        </w:rPr>
      </w:pPr>
    </w:p>
    <w:p w14:paraId="6F77A16B" w14:textId="1502387C" w:rsidR="008E5855" w:rsidRPr="009118AB" w:rsidRDefault="008E5855" w:rsidP="008E5855">
      <w:pPr>
        <w:autoSpaceDE w:val="0"/>
        <w:autoSpaceDN w:val="0"/>
        <w:adjustRightInd w:val="0"/>
        <w:jc w:val="both"/>
        <w:rPr>
          <w:iCs/>
          <w:sz w:val="20"/>
        </w:rPr>
      </w:pPr>
      <w:r w:rsidRPr="009118AB">
        <w:rPr>
          <w:iCs/>
          <w:sz w:val="20"/>
        </w:rPr>
        <w:t xml:space="preserve">Unter Tochterkonstruktion versteht man eine Rechtsvereinbarung, deren Aktien oder Anteile beziehungsweise deren wirtschaftliche Rechte ganz oder teilweise im Besitz </w:t>
      </w:r>
      <w:r w:rsidR="00C911AF">
        <w:rPr>
          <w:iCs/>
          <w:sz w:val="20"/>
        </w:rPr>
        <w:t>[</w:t>
      </w:r>
      <w:r w:rsidR="00C911AF" w:rsidRPr="00C911AF">
        <w:rPr>
          <w:iCs/>
          <w:sz w:val="20"/>
        </w:rPr>
        <w:t>einer zwischengeschalteten Konstruktion</w:t>
      </w:r>
      <w:r w:rsidR="00C911AF">
        <w:rPr>
          <w:iCs/>
          <w:sz w:val="20"/>
        </w:rPr>
        <w:t>]</w:t>
      </w:r>
      <w:r w:rsidRPr="009118AB">
        <w:rPr>
          <w:iCs/>
          <w:sz w:val="20"/>
        </w:rPr>
        <w:t xml:space="preserve"> sind.</w:t>
      </w:r>
      <w:r w:rsidR="00C911AF">
        <w:rPr>
          <w:iCs/>
          <w:sz w:val="20"/>
        </w:rPr>
        <w:t>]</w:t>
      </w:r>
    </w:p>
    <w:p w14:paraId="5B788519" w14:textId="77777777" w:rsidR="008E5855" w:rsidRPr="009118AB" w:rsidRDefault="008E5855" w:rsidP="008E5855">
      <w:pPr>
        <w:autoSpaceDE w:val="0"/>
        <w:autoSpaceDN w:val="0"/>
        <w:adjustRightInd w:val="0"/>
        <w:jc w:val="both"/>
        <w:rPr>
          <w:iCs/>
          <w:sz w:val="20"/>
        </w:rPr>
      </w:pPr>
    </w:p>
    <w:p w14:paraId="2A1331D6" w14:textId="77777777" w:rsidR="00C911AF" w:rsidRPr="00C911AF" w:rsidRDefault="00C911AF" w:rsidP="00C911AF">
      <w:pPr>
        <w:autoSpaceDE w:val="0"/>
        <w:autoSpaceDN w:val="0"/>
        <w:adjustRightInd w:val="0"/>
        <w:jc w:val="both"/>
        <w:rPr>
          <w:iCs/>
          <w:sz w:val="20"/>
        </w:rPr>
      </w:pPr>
      <w:r>
        <w:rPr>
          <w:iCs/>
          <w:sz w:val="20"/>
        </w:rPr>
        <w:t>[</w:t>
      </w:r>
      <w:r w:rsidR="008E5855" w:rsidRPr="009118AB">
        <w:rPr>
          <w:iCs/>
          <w:sz w:val="20"/>
        </w:rPr>
        <w:t>13/3. </w:t>
      </w:r>
      <w:r>
        <w:rPr>
          <w:iCs/>
          <w:sz w:val="20"/>
        </w:rPr>
        <w:t>[</w:t>
      </w:r>
      <w:r w:rsidRPr="00C911AF">
        <w:rPr>
          <w:iCs/>
          <w:sz w:val="20"/>
        </w:rPr>
        <w:t>Zwischengeschaltete Konstruktion</w:t>
      </w:r>
    </w:p>
    <w:p w14:paraId="3D6B9777" w14:textId="77777777" w:rsidR="00C911AF" w:rsidRPr="00C911AF" w:rsidRDefault="00C911AF" w:rsidP="00C911AF">
      <w:pPr>
        <w:autoSpaceDE w:val="0"/>
        <w:autoSpaceDN w:val="0"/>
        <w:adjustRightInd w:val="0"/>
        <w:jc w:val="both"/>
        <w:rPr>
          <w:iCs/>
          <w:sz w:val="20"/>
        </w:rPr>
      </w:pPr>
    </w:p>
    <w:p w14:paraId="5F9C731D" w14:textId="0503320C" w:rsidR="008E5855" w:rsidRPr="009118AB" w:rsidRDefault="00C911AF" w:rsidP="00C911AF">
      <w:pPr>
        <w:autoSpaceDE w:val="0"/>
        <w:autoSpaceDN w:val="0"/>
        <w:adjustRightInd w:val="0"/>
        <w:jc w:val="both"/>
        <w:rPr>
          <w:iCs/>
          <w:sz w:val="20"/>
        </w:rPr>
      </w:pPr>
      <w:r w:rsidRPr="00C911AF">
        <w:rPr>
          <w:iCs/>
          <w:sz w:val="20"/>
        </w:rPr>
        <w:t>Unter zwischengeschalteter Konstruktion versteht man eine Rechtsvereinbarung oder eine Gesellschaft, Vereinigung, Niederlassung, Einrichtung oder Körperschaft, die aufgrund des Rechts, dem sie unterliegt, Rechtspersönlichkeit besitzt oder nicht, die die Aktien oder Anteile beziehungsweise die wirtschaftlichen Rechte einer Tochterkonstruktion oder einer anderen zwischengeschalteten Konstruktion ganz oder teilweise besitzt.</w:t>
      </w:r>
      <w:r>
        <w:rPr>
          <w:iCs/>
          <w:sz w:val="20"/>
        </w:rPr>
        <w:t>]]</w:t>
      </w:r>
    </w:p>
    <w:p w14:paraId="0FF919E5" w14:textId="77777777" w:rsidR="008E5855" w:rsidRPr="009118AB" w:rsidRDefault="008E5855" w:rsidP="008E5855">
      <w:pPr>
        <w:autoSpaceDE w:val="0"/>
        <w:autoSpaceDN w:val="0"/>
        <w:adjustRightInd w:val="0"/>
        <w:jc w:val="both"/>
        <w:rPr>
          <w:iCs/>
          <w:sz w:val="20"/>
        </w:rPr>
      </w:pPr>
    </w:p>
    <w:p w14:paraId="4EE46AE8" w14:textId="65D17268" w:rsidR="008E5855" w:rsidRPr="009118AB" w:rsidRDefault="00C911AF" w:rsidP="00C911AF">
      <w:pPr>
        <w:autoSpaceDE w:val="0"/>
        <w:autoSpaceDN w:val="0"/>
        <w:adjustRightInd w:val="0"/>
        <w:jc w:val="both"/>
        <w:rPr>
          <w:iCs/>
          <w:sz w:val="20"/>
        </w:rPr>
      </w:pPr>
      <w:r>
        <w:rPr>
          <w:iCs/>
          <w:sz w:val="20"/>
        </w:rPr>
        <w:t>[</w:t>
      </w:r>
      <w:r w:rsidR="008E5855" w:rsidRPr="009118AB">
        <w:rPr>
          <w:iCs/>
          <w:sz w:val="20"/>
        </w:rPr>
        <w:t>13/4. </w:t>
      </w:r>
      <w:r>
        <w:rPr>
          <w:iCs/>
          <w:sz w:val="20"/>
        </w:rPr>
        <w:t>[...]</w:t>
      </w:r>
      <w:r w:rsidR="008E5855" w:rsidRPr="009118AB">
        <w:rPr>
          <w:iCs/>
          <w:sz w:val="20"/>
        </w:rPr>
        <w:t>]</w:t>
      </w:r>
    </w:p>
    <w:p w14:paraId="2BE62E0F" w14:textId="77777777" w:rsidR="008E5855" w:rsidRPr="009118AB" w:rsidRDefault="008E5855" w:rsidP="008E5855">
      <w:pPr>
        <w:autoSpaceDE w:val="0"/>
        <w:autoSpaceDN w:val="0"/>
        <w:adjustRightInd w:val="0"/>
        <w:jc w:val="both"/>
        <w:rPr>
          <w:iCs/>
          <w:sz w:val="20"/>
        </w:rPr>
      </w:pPr>
      <w:r w:rsidRPr="009118AB">
        <w:rPr>
          <w:iCs/>
          <w:sz w:val="20"/>
        </w:rPr>
        <w:tab/>
      </w:r>
    </w:p>
    <w:p w14:paraId="648497E0" w14:textId="57F80BEA" w:rsidR="008E5855" w:rsidRPr="009118AB" w:rsidRDefault="008E5855" w:rsidP="008E5855">
      <w:pPr>
        <w:autoSpaceDE w:val="0"/>
        <w:autoSpaceDN w:val="0"/>
        <w:adjustRightInd w:val="0"/>
        <w:jc w:val="both"/>
        <w:rPr>
          <w:iCs/>
          <w:sz w:val="20"/>
        </w:rPr>
      </w:pPr>
      <w:r w:rsidRPr="009118AB">
        <w:rPr>
          <w:iCs/>
          <w:sz w:val="20"/>
        </w:rPr>
        <w:t>[14. [Unter Gründer beziehungsweise Gründern einer Rechtsvereinbarung versteht man:</w:t>
      </w:r>
    </w:p>
    <w:p w14:paraId="4DC359EB" w14:textId="77777777" w:rsidR="008E5855" w:rsidRPr="009118AB" w:rsidRDefault="008E5855" w:rsidP="008E5855">
      <w:pPr>
        <w:autoSpaceDE w:val="0"/>
        <w:autoSpaceDN w:val="0"/>
        <w:adjustRightInd w:val="0"/>
        <w:jc w:val="both"/>
        <w:rPr>
          <w:iCs/>
          <w:sz w:val="20"/>
        </w:rPr>
      </w:pPr>
    </w:p>
    <w:p w14:paraId="5A5D7BA3" w14:textId="61EDFE9A" w:rsidR="008E5855" w:rsidRPr="009118AB" w:rsidRDefault="008E5855" w:rsidP="008E5855">
      <w:pPr>
        <w:autoSpaceDE w:val="0"/>
        <w:autoSpaceDN w:val="0"/>
        <w:adjustRightInd w:val="0"/>
        <w:jc w:val="both"/>
        <w:rPr>
          <w:iCs/>
          <w:sz w:val="20"/>
        </w:rPr>
      </w:pPr>
      <w:r w:rsidRPr="009118AB">
        <w:rPr>
          <w:iCs/>
          <w:sz w:val="20"/>
        </w:rPr>
        <w:t>- entweder die natürliche Person, die die Rechtsvereinbarung außerhalb der Ausübung ihrer Berufstätigkeit gegründet hat, oder die juristische Person, die gemäß Artikel 220 der Steuer der juristischen Personen unterliegt und die die Rechtsvereinbarung gegründet hat,</w:t>
      </w:r>
    </w:p>
    <w:p w14:paraId="4F5D124D" w14:textId="77777777" w:rsidR="008E5855" w:rsidRPr="009118AB" w:rsidRDefault="008E5855" w:rsidP="008E5855">
      <w:pPr>
        <w:autoSpaceDE w:val="0"/>
        <w:autoSpaceDN w:val="0"/>
        <w:adjustRightInd w:val="0"/>
        <w:jc w:val="both"/>
        <w:rPr>
          <w:iCs/>
          <w:sz w:val="20"/>
        </w:rPr>
      </w:pPr>
    </w:p>
    <w:p w14:paraId="4093F801" w14:textId="024D37AF" w:rsidR="008E5855" w:rsidRPr="009118AB" w:rsidRDefault="008E5855" w:rsidP="008E5855">
      <w:pPr>
        <w:autoSpaceDE w:val="0"/>
        <w:autoSpaceDN w:val="0"/>
        <w:adjustRightInd w:val="0"/>
        <w:jc w:val="both"/>
        <w:rPr>
          <w:iCs/>
          <w:sz w:val="20"/>
        </w:rPr>
      </w:pPr>
      <w:r w:rsidRPr="009118AB">
        <w:rPr>
          <w:iCs/>
          <w:sz w:val="20"/>
        </w:rPr>
        <w:t>- oder, wenn die Rechtsvereinbarung von einem Dritten gegründet worden ist, die natürliche Person, die außerhalb der Ausübung ihrer Berufstätigkeit handelt, oder die juristische Person, die gemäß Artikel 220 der Steuer der juristischen Personen unterliegt, die Güter und Rechte in die Rechtsvereinbarung eingebracht hat,</w:t>
      </w:r>
    </w:p>
    <w:p w14:paraId="079E04A6" w14:textId="77777777" w:rsidR="008E5855" w:rsidRPr="009118AB" w:rsidRDefault="008E5855" w:rsidP="008E5855">
      <w:pPr>
        <w:autoSpaceDE w:val="0"/>
        <w:autoSpaceDN w:val="0"/>
        <w:adjustRightInd w:val="0"/>
        <w:jc w:val="both"/>
        <w:rPr>
          <w:iCs/>
          <w:sz w:val="20"/>
        </w:rPr>
      </w:pPr>
    </w:p>
    <w:p w14:paraId="54251651" w14:textId="675DF0F7" w:rsidR="008E5855" w:rsidRPr="009118AB" w:rsidRDefault="008E5855" w:rsidP="008E5855">
      <w:pPr>
        <w:autoSpaceDE w:val="0"/>
        <w:autoSpaceDN w:val="0"/>
        <w:adjustRightInd w:val="0"/>
        <w:jc w:val="both"/>
        <w:rPr>
          <w:iCs/>
          <w:sz w:val="20"/>
        </w:rPr>
      </w:pPr>
      <w:r w:rsidRPr="009118AB">
        <w:rPr>
          <w:iCs/>
          <w:sz w:val="20"/>
        </w:rPr>
        <w:t>- oder natürliche Personen, die die in den vorhergehenden Gedankenstrichen erwähn</w:t>
      </w:r>
      <w:r w:rsidRPr="009118AB">
        <w:rPr>
          <w:iCs/>
          <w:sz w:val="20"/>
        </w:rPr>
        <w:softHyphen/>
        <w:t>ten natürlichen Personen mittelbar oder unmittelbar beerben, oder natürliche Personen, die diese Personen mittelbar oder unmittelbar beerben werden, ab dem Zeitpunkt des Todes, es sei denn, diese Erben weisen nach, dass sie oder ihre Erbberechtigten zu keinem Zeitpunkt und in keiner Weise einen Vorteil von der [...] Rechtsverein</w:t>
      </w:r>
      <w:r w:rsidRPr="009118AB">
        <w:rPr>
          <w:iCs/>
          <w:sz w:val="20"/>
        </w:rPr>
        <w:softHyphen/>
        <w:t>barung erhalten werden,</w:t>
      </w:r>
    </w:p>
    <w:p w14:paraId="2DD5FC3E" w14:textId="77777777" w:rsidR="008E5855" w:rsidRPr="009118AB" w:rsidRDefault="008E5855" w:rsidP="008E5855">
      <w:pPr>
        <w:autoSpaceDE w:val="0"/>
        <w:autoSpaceDN w:val="0"/>
        <w:adjustRightInd w:val="0"/>
        <w:jc w:val="both"/>
        <w:rPr>
          <w:iCs/>
          <w:sz w:val="20"/>
        </w:rPr>
      </w:pPr>
    </w:p>
    <w:p w14:paraId="053A8FB3" w14:textId="22CE0AFA" w:rsidR="008E5855" w:rsidRPr="009118AB" w:rsidRDefault="008E5855" w:rsidP="008E5855">
      <w:pPr>
        <w:autoSpaceDE w:val="0"/>
        <w:autoSpaceDN w:val="0"/>
        <w:adjustRightInd w:val="0"/>
        <w:jc w:val="both"/>
        <w:rPr>
          <w:iCs/>
          <w:sz w:val="20"/>
        </w:rPr>
      </w:pPr>
      <w:r w:rsidRPr="009118AB">
        <w:rPr>
          <w:iCs/>
          <w:sz w:val="20"/>
        </w:rPr>
        <w:t xml:space="preserve">- oder natürliche Personen oder juristische Personen, die gemäß Artikel 220 der Steuer der juristischen Personen unterliegen, </w:t>
      </w:r>
      <w:r w:rsidR="00C911AF">
        <w:rPr>
          <w:iCs/>
          <w:sz w:val="20"/>
        </w:rPr>
        <w:t>[</w:t>
      </w:r>
      <w:r w:rsidR="00C911AF" w:rsidRPr="00C911AF">
        <w:rPr>
          <w:iCs/>
          <w:sz w:val="20"/>
        </w:rPr>
        <w:t>die unmittelbar oder mittelbar über eine Kette von zwischengeschalteten Konstruktionen die juristischen oder wirtschaftlichen Rechte an Aktien oder Anteilen</w:t>
      </w:r>
      <w:r w:rsidR="00C911AF">
        <w:rPr>
          <w:iCs/>
          <w:sz w:val="20"/>
        </w:rPr>
        <w:t>]</w:t>
      </w:r>
      <w:r w:rsidRPr="009118AB">
        <w:rPr>
          <w:iCs/>
          <w:sz w:val="20"/>
        </w:rPr>
        <w:t xml:space="preserve"> beziehungsweise die wirtschaftlichen Rechte an Gütern und Kapitalvermögen, die im Besitz einer in </w:t>
      </w:r>
      <w:r w:rsidR="00D67EB8" w:rsidRPr="009118AB">
        <w:rPr>
          <w:iCs/>
          <w:sz w:val="20"/>
        </w:rPr>
        <w:t>Nr. </w:t>
      </w:r>
      <w:r w:rsidRPr="009118AB">
        <w:rPr>
          <w:iCs/>
          <w:sz w:val="20"/>
        </w:rPr>
        <w:t>13 Buchstabe </w:t>
      </w:r>
      <w:r w:rsidRPr="009118AB">
        <w:rPr>
          <w:i/>
          <w:iCs/>
          <w:sz w:val="20"/>
        </w:rPr>
        <w:t>b)</w:t>
      </w:r>
      <w:r w:rsidRPr="009118AB">
        <w:rPr>
          <w:iCs/>
          <w:sz w:val="20"/>
        </w:rPr>
        <w:t xml:space="preserve"> erwähnten Rechtsvereinbarung sind, besitzen,]]</w:t>
      </w:r>
    </w:p>
    <w:p w14:paraId="32A769D8" w14:textId="77777777" w:rsidR="008E5855" w:rsidRPr="009118AB" w:rsidRDefault="008E5855" w:rsidP="008E5855">
      <w:pPr>
        <w:autoSpaceDE w:val="0"/>
        <w:autoSpaceDN w:val="0"/>
        <w:adjustRightInd w:val="0"/>
        <w:jc w:val="both"/>
        <w:rPr>
          <w:iCs/>
          <w:sz w:val="20"/>
        </w:rPr>
      </w:pPr>
    </w:p>
    <w:p w14:paraId="5B945690" w14:textId="7F06937A" w:rsidR="008E5855" w:rsidRDefault="008E5855" w:rsidP="008E5855">
      <w:pPr>
        <w:autoSpaceDE w:val="0"/>
        <w:autoSpaceDN w:val="0"/>
        <w:adjustRightInd w:val="0"/>
        <w:jc w:val="both"/>
        <w:rPr>
          <w:iCs/>
          <w:sz w:val="20"/>
        </w:rPr>
      </w:pPr>
      <w:r w:rsidRPr="009118AB">
        <w:rPr>
          <w:iCs/>
          <w:sz w:val="20"/>
        </w:rPr>
        <w:t xml:space="preserve">[- oder die natürliche Person oder die juristische Person, die gemäß Artikel 220 der Steuer der juristischen Personen unterliegt, die den in </w:t>
      </w:r>
      <w:r w:rsidR="00D67EB8" w:rsidRPr="009118AB">
        <w:rPr>
          <w:iCs/>
          <w:sz w:val="20"/>
        </w:rPr>
        <w:t>Nr. </w:t>
      </w:r>
      <w:r w:rsidRPr="009118AB">
        <w:rPr>
          <w:iCs/>
          <w:sz w:val="20"/>
        </w:rPr>
        <w:t>13 Buchstabe </w:t>
      </w:r>
      <w:r w:rsidRPr="009118AB">
        <w:rPr>
          <w:i/>
          <w:iCs/>
          <w:sz w:val="20"/>
        </w:rPr>
        <w:t>c)</w:t>
      </w:r>
      <w:r w:rsidRPr="009118AB">
        <w:rPr>
          <w:iCs/>
          <w:sz w:val="20"/>
        </w:rPr>
        <w:t xml:space="preserve"> erwähnten Vertrag abgeschlossen hat und in deren Namen die Prämie(n) für diesen Vertrag beglichen werden.]</w:t>
      </w:r>
    </w:p>
    <w:p w14:paraId="76365F78" w14:textId="5759878C" w:rsidR="00C911AF" w:rsidRDefault="00C911AF" w:rsidP="008E5855">
      <w:pPr>
        <w:autoSpaceDE w:val="0"/>
        <w:autoSpaceDN w:val="0"/>
        <w:adjustRightInd w:val="0"/>
        <w:jc w:val="both"/>
        <w:rPr>
          <w:iCs/>
          <w:sz w:val="20"/>
        </w:rPr>
      </w:pPr>
    </w:p>
    <w:p w14:paraId="57CD5839" w14:textId="77777777" w:rsidR="00C911AF" w:rsidRPr="00C911AF" w:rsidRDefault="00C911AF" w:rsidP="00C911AF">
      <w:pPr>
        <w:autoSpaceDE w:val="0"/>
        <w:autoSpaceDN w:val="0"/>
        <w:adjustRightInd w:val="0"/>
        <w:jc w:val="both"/>
        <w:rPr>
          <w:iCs/>
          <w:sz w:val="20"/>
        </w:rPr>
      </w:pPr>
      <w:r>
        <w:rPr>
          <w:iCs/>
          <w:sz w:val="20"/>
        </w:rPr>
        <w:t>[</w:t>
      </w:r>
      <w:r w:rsidRPr="00C911AF">
        <w:rPr>
          <w:iCs/>
          <w:sz w:val="20"/>
        </w:rPr>
        <w:t>Gilt eine natürliche Person in einem Zentralregister der wirtschaftlichen Eigentümer als wirtschaftlicher Eigentümer einer Gesellschaft, einer Treuhandgesellschaft, eines Trusts, einer Stiftung, einer Vereinigung ohne Gewinnerzielungsabsicht oder einer Rechtsvereinbarung, die einer Treuhandgesellschaft oder einem Trust ähnelt, wie im Gesetz vom 18. September 2017 zur Verhinderung von Geldwäsche und Terrorismusfinanzierung und zur Beschränkung der Nutzung von Bargeld erwähnt, die/der ebenfalls eine Rechtsvereinbarung wie in Nr. 13 erwähnt ist, kann vorbehaltlich des Gegenbeweises und unter Berücksichtigung aller relevanten Fakten und Umstände davon ausgegangen werden, dass sie Gründer dieser Rechtsvereinbarung ist.</w:t>
      </w:r>
    </w:p>
    <w:p w14:paraId="7BBE7A84" w14:textId="77777777" w:rsidR="00C911AF" w:rsidRPr="00C911AF" w:rsidRDefault="00C911AF" w:rsidP="00C911AF">
      <w:pPr>
        <w:autoSpaceDE w:val="0"/>
        <w:autoSpaceDN w:val="0"/>
        <w:adjustRightInd w:val="0"/>
        <w:jc w:val="both"/>
        <w:rPr>
          <w:iCs/>
          <w:sz w:val="20"/>
        </w:rPr>
      </w:pPr>
    </w:p>
    <w:p w14:paraId="659A2845" w14:textId="3A2396C7" w:rsidR="00C911AF" w:rsidRPr="009118AB" w:rsidRDefault="00C911AF" w:rsidP="00C911AF">
      <w:pPr>
        <w:autoSpaceDE w:val="0"/>
        <w:autoSpaceDN w:val="0"/>
        <w:adjustRightInd w:val="0"/>
        <w:jc w:val="both"/>
        <w:rPr>
          <w:iCs/>
          <w:sz w:val="20"/>
        </w:rPr>
      </w:pPr>
      <w:r w:rsidRPr="00C911AF">
        <w:rPr>
          <w:iCs/>
          <w:sz w:val="20"/>
        </w:rPr>
        <w:t>Für die Anwendung von Absatz 2 versteht man unter einem Zentralregister der wirtschaftlichen Eigentümer das in Buch IV Titel 2 des Gesetzes vom 18. September 2017 zur Verhinderung von Geldwäsche und Terrorismusfinanzierung und zur Beschränkung der Nutzung von Bargeld erwähnte Register sowie ein ähnliches Register, das von einem Mitgliedstaat der Europäischen Union oder einem Drittland geführt wird.</w:t>
      </w:r>
      <w:r>
        <w:rPr>
          <w:iCs/>
          <w:sz w:val="20"/>
        </w:rPr>
        <w:t>]</w:t>
      </w:r>
    </w:p>
    <w:p w14:paraId="64C9BD02" w14:textId="77777777" w:rsidR="008E5855" w:rsidRPr="009118AB" w:rsidRDefault="008E5855" w:rsidP="008E5855">
      <w:pPr>
        <w:autoSpaceDE w:val="0"/>
        <w:autoSpaceDN w:val="0"/>
        <w:adjustRightInd w:val="0"/>
        <w:jc w:val="both"/>
        <w:rPr>
          <w:iCs/>
          <w:sz w:val="20"/>
        </w:rPr>
      </w:pPr>
    </w:p>
    <w:p w14:paraId="2A64E8BE" w14:textId="22EFAC48" w:rsidR="008E5855" w:rsidRPr="009118AB" w:rsidRDefault="008E5855" w:rsidP="008E5855">
      <w:pPr>
        <w:autoSpaceDE w:val="0"/>
        <w:autoSpaceDN w:val="0"/>
        <w:adjustRightInd w:val="0"/>
        <w:jc w:val="both"/>
        <w:rPr>
          <w:iCs/>
          <w:sz w:val="20"/>
        </w:rPr>
      </w:pPr>
      <w:r w:rsidRPr="009118AB">
        <w:rPr>
          <w:iCs/>
          <w:sz w:val="20"/>
        </w:rPr>
        <w:t>[14/1. […]]</w:t>
      </w:r>
    </w:p>
    <w:p w14:paraId="7C4193E4" w14:textId="77777777" w:rsidR="008E5855" w:rsidRPr="009118AB" w:rsidRDefault="008E5855" w:rsidP="008E5855">
      <w:pPr>
        <w:autoSpaceDE w:val="0"/>
        <w:autoSpaceDN w:val="0"/>
        <w:adjustRightInd w:val="0"/>
        <w:jc w:val="both"/>
        <w:rPr>
          <w:iCs/>
          <w:sz w:val="20"/>
        </w:rPr>
      </w:pPr>
    </w:p>
    <w:p w14:paraId="0BF61CB8" w14:textId="77777777" w:rsidR="009546A2" w:rsidRDefault="009546A2">
      <w:pPr>
        <w:rPr>
          <w:iCs/>
          <w:sz w:val="20"/>
        </w:rPr>
      </w:pPr>
      <w:r>
        <w:rPr>
          <w:iCs/>
          <w:sz w:val="20"/>
        </w:rPr>
        <w:br w:type="page"/>
      </w:r>
    </w:p>
    <w:p w14:paraId="7AD38DFB" w14:textId="05EDB99B" w:rsidR="008E5855" w:rsidRPr="009118AB" w:rsidRDefault="008E5855" w:rsidP="008E5855">
      <w:pPr>
        <w:autoSpaceDE w:val="0"/>
        <w:autoSpaceDN w:val="0"/>
        <w:adjustRightInd w:val="0"/>
        <w:jc w:val="both"/>
        <w:rPr>
          <w:iCs/>
          <w:sz w:val="20"/>
        </w:rPr>
      </w:pPr>
      <w:r w:rsidRPr="009118AB">
        <w:rPr>
          <w:iCs/>
          <w:sz w:val="20"/>
        </w:rPr>
        <w:lastRenderedPageBreak/>
        <w:t>[15. Eigene Wohnung</w:t>
      </w:r>
    </w:p>
    <w:p w14:paraId="20FAD5A4" w14:textId="77777777" w:rsidR="008E5855" w:rsidRPr="009118AB" w:rsidRDefault="008E5855" w:rsidP="008E5855">
      <w:pPr>
        <w:autoSpaceDE w:val="0"/>
        <w:autoSpaceDN w:val="0"/>
        <w:adjustRightInd w:val="0"/>
        <w:jc w:val="both"/>
        <w:rPr>
          <w:iCs/>
          <w:sz w:val="20"/>
        </w:rPr>
      </w:pPr>
    </w:p>
    <w:p w14:paraId="51E2A701" w14:textId="7C09737B" w:rsidR="008E5855" w:rsidRPr="009118AB" w:rsidRDefault="008E5855" w:rsidP="008E5855">
      <w:pPr>
        <w:autoSpaceDE w:val="0"/>
        <w:autoSpaceDN w:val="0"/>
        <w:adjustRightInd w:val="0"/>
        <w:jc w:val="both"/>
        <w:rPr>
          <w:iCs/>
          <w:sz w:val="20"/>
        </w:rPr>
      </w:pPr>
      <w:r w:rsidRPr="009118AB">
        <w:rPr>
          <w:iCs/>
          <w:sz w:val="20"/>
        </w:rPr>
        <w:t xml:space="preserve">Unter eigener Wohnung versteht man die Wohnung, die in Artikel 5/5 </w:t>
      </w:r>
      <w:r w:rsidR="00D67EB8" w:rsidRPr="009118AB">
        <w:rPr>
          <w:iCs/>
          <w:sz w:val="20"/>
        </w:rPr>
        <w:t>§ </w:t>
      </w:r>
      <w:r w:rsidRPr="009118AB">
        <w:rPr>
          <w:iCs/>
          <w:sz w:val="20"/>
        </w:rPr>
        <w:t>4 Absatz 2 bis 8 des Sondergesetzes vom 16. Januar 1989 bezüglich der Finanzierung der Gemeinschaften und Regionen erwähnt ist.]</w:t>
      </w:r>
    </w:p>
    <w:p w14:paraId="7F2DB491" w14:textId="77777777" w:rsidR="008E5855" w:rsidRPr="009118AB" w:rsidRDefault="008E5855" w:rsidP="008E5855">
      <w:pPr>
        <w:autoSpaceDE w:val="0"/>
        <w:autoSpaceDN w:val="0"/>
        <w:adjustRightInd w:val="0"/>
        <w:jc w:val="both"/>
        <w:rPr>
          <w:iCs/>
          <w:sz w:val="20"/>
        </w:rPr>
      </w:pPr>
    </w:p>
    <w:p w14:paraId="17750B66" w14:textId="65BC9CB2" w:rsidR="008E5855" w:rsidRPr="009118AB" w:rsidRDefault="008E5855" w:rsidP="008E5855">
      <w:pPr>
        <w:autoSpaceDE w:val="0"/>
        <w:autoSpaceDN w:val="0"/>
        <w:adjustRightInd w:val="0"/>
        <w:jc w:val="both"/>
        <w:rPr>
          <w:iCs/>
          <w:sz w:val="20"/>
        </w:rPr>
      </w:pPr>
      <w:r w:rsidRPr="009118AB">
        <w:rPr>
          <w:iCs/>
          <w:sz w:val="20"/>
        </w:rPr>
        <w:t>[16. Hybride Gestaltung</w:t>
      </w:r>
    </w:p>
    <w:p w14:paraId="0043111D" w14:textId="77777777" w:rsidR="008E5855" w:rsidRPr="009118AB" w:rsidRDefault="008E5855" w:rsidP="008E5855">
      <w:pPr>
        <w:autoSpaceDE w:val="0"/>
        <w:autoSpaceDN w:val="0"/>
        <w:adjustRightInd w:val="0"/>
        <w:jc w:val="both"/>
        <w:rPr>
          <w:iCs/>
          <w:sz w:val="20"/>
        </w:rPr>
      </w:pPr>
    </w:p>
    <w:p w14:paraId="27F43CD6" w14:textId="0FD4584F" w:rsidR="008E5855" w:rsidRPr="009118AB" w:rsidRDefault="008E5855" w:rsidP="008E5855">
      <w:pPr>
        <w:autoSpaceDE w:val="0"/>
        <w:autoSpaceDN w:val="0"/>
        <w:adjustRightInd w:val="0"/>
        <w:jc w:val="both"/>
        <w:rPr>
          <w:iCs/>
          <w:sz w:val="20"/>
        </w:rPr>
      </w:pPr>
      <w:r w:rsidRPr="009118AB">
        <w:rPr>
          <w:iCs/>
          <w:sz w:val="20"/>
        </w:rPr>
        <w:t>Unter hybrider Gestaltung versteht man eine Gestaltung, die zu Ausgaben führt, die bei einer inländischen Gesellschaft oder einer belgischen Niederlassung und bei einem ausländischen Unternehmen oder einem Zweigbetrieb eines solchen Unternehmens oder nur bei einem dieser Akteure abzugsfähig sind, jedoch ohne dass in diesem Fall diesen Ausgaben Einkünfte entsprechen, die in den steuerpflichtigen Einkünften des Empfängers enthalten sind.</w:t>
      </w:r>
    </w:p>
    <w:p w14:paraId="5FCE932A" w14:textId="77777777" w:rsidR="008E5855" w:rsidRPr="009118AB" w:rsidRDefault="008E5855" w:rsidP="008E5855">
      <w:pPr>
        <w:autoSpaceDE w:val="0"/>
        <w:autoSpaceDN w:val="0"/>
        <w:adjustRightInd w:val="0"/>
        <w:jc w:val="both"/>
        <w:rPr>
          <w:iCs/>
          <w:sz w:val="20"/>
        </w:rPr>
      </w:pPr>
    </w:p>
    <w:p w14:paraId="12F0AE0B" w14:textId="604C7F40" w:rsidR="008E5855" w:rsidRPr="009118AB" w:rsidRDefault="008E5855" w:rsidP="008E5855">
      <w:pPr>
        <w:autoSpaceDE w:val="0"/>
        <w:autoSpaceDN w:val="0"/>
        <w:adjustRightInd w:val="0"/>
        <w:jc w:val="both"/>
        <w:rPr>
          <w:iCs/>
          <w:sz w:val="20"/>
        </w:rPr>
      </w:pPr>
      <w:r w:rsidRPr="009118AB">
        <w:rPr>
          <w:iCs/>
          <w:sz w:val="20"/>
        </w:rPr>
        <w:t>Zwischen einer inländischen Gesellschaft oder einer belgischen Niederlassung einerseits und einem ausländischen Unternehmen oder einem Zweigbetrieb eines solchen Unternehmens andererseits kann nur dann eine hybride Gestaltung vorliegen, wenn sie verbundene Unternehmen sind, die Teil desselben Unternehmens sind oder im Rahmen einer strukturierten Gestaltung handeln.</w:t>
      </w:r>
    </w:p>
    <w:p w14:paraId="3651922C" w14:textId="77777777" w:rsidR="008E5855" w:rsidRPr="009118AB" w:rsidRDefault="008E5855" w:rsidP="008E5855">
      <w:pPr>
        <w:autoSpaceDE w:val="0"/>
        <w:autoSpaceDN w:val="0"/>
        <w:adjustRightInd w:val="0"/>
        <w:jc w:val="both"/>
        <w:rPr>
          <w:iCs/>
          <w:sz w:val="20"/>
        </w:rPr>
      </w:pPr>
    </w:p>
    <w:p w14:paraId="726161F8" w14:textId="48AAA67D" w:rsidR="008E5855" w:rsidRPr="009118AB" w:rsidRDefault="008E5855" w:rsidP="008E5855">
      <w:pPr>
        <w:autoSpaceDE w:val="0"/>
        <w:autoSpaceDN w:val="0"/>
        <w:adjustRightInd w:val="0"/>
        <w:jc w:val="both"/>
        <w:rPr>
          <w:iCs/>
          <w:sz w:val="20"/>
        </w:rPr>
      </w:pPr>
      <w:r w:rsidRPr="009118AB">
        <w:rPr>
          <w:iCs/>
          <w:sz w:val="20"/>
        </w:rPr>
        <w:t>Eine inländische Gesellschaft oder eine belgische Niederlassung und ein ausländisches Unternehmen oder ein Zweigbetrieb eines solchen Unternehmens sind verbundene Unternehmen:</w:t>
      </w:r>
    </w:p>
    <w:p w14:paraId="1CF86BF2" w14:textId="77777777" w:rsidR="008E5855" w:rsidRPr="009118AB" w:rsidRDefault="008E5855" w:rsidP="008E5855">
      <w:pPr>
        <w:autoSpaceDE w:val="0"/>
        <w:autoSpaceDN w:val="0"/>
        <w:adjustRightInd w:val="0"/>
        <w:jc w:val="both"/>
        <w:rPr>
          <w:iCs/>
          <w:sz w:val="20"/>
        </w:rPr>
      </w:pPr>
    </w:p>
    <w:p w14:paraId="0151D858" w14:textId="21DAD979" w:rsidR="008E5855" w:rsidRPr="009118AB" w:rsidRDefault="008E5855" w:rsidP="008E5855">
      <w:pPr>
        <w:autoSpaceDE w:val="0"/>
        <w:autoSpaceDN w:val="0"/>
        <w:adjustRightInd w:val="0"/>
        <w:jc w:val="both"/>
        <w:rPr>
          <w:iCs/>
          <w:sz w:val="20"/>
        </w:rPr>
      </w:pPr>
      <w:r w:rsidRPr="009118AB">
        <w:rPr>
          <w:iCs/>
          <w:sz w:val="20"/>
        </w:rPr>
        <w:t>- wenn das ausländische Unternehmen ein Unternehmen ist, an dem die inländische Gesellschaft oder die belgische Niederlassung unmittelbar oder mittelbar eine Beteiligung in Form von Stimmrechten oder Kapital von mindestens 50 Prozent hält oder bei dem sie Anspruch auf mindestens 50 Prozent der Gewinne dieses Unternehmens hat, oder</w:t>
      </w:r>
    </w:p>
    <w:p w14:paraId="3BE548A3" w14:textId="77777777" w:rsidR="008E5855" w:rsidRPr="009118AB" w:rsidRDefault="008E5855" w:rsidP="008E5855">
      <w:pPr>
        <w:autoSpaceDE w:val="0"/>
        <w:autoSpaceDN w:val="0"/>
        <w:adjustRightInd w:val="0"/>
        <w:jc w:val="both"/>
        <w:rPr>
          <w:iCs/>
          <w:sz w:val="20"/>
        </w:rPr>
      </w:pPr>
    </w:p>
    <w:p w14:paraId="6620768C" w14:textId="63D5B6B8" w:rsidR="008E5855" w:rsidRPr="009118AB" w:rsidRDefault="008E5855" w:rsidP="008E5855">
      <w:pPr>
        <w:autoSpaceDE w:val="0"/>
        <w:autoSpaceDN w:val="0"/>
        <w:adjustRightInd w:val="0"/>
        <w:jc w:val="both"/>
        <w:rPr>
          <w:iCs/>
          <w:sz w:val="20"/>
        </w:rPr>
      </w:pPr>
      <w:r w:rsidRPr="009118AB">
        <w:rPr>
          <w:iCs/>
          <w:sz w:val="20"/>
        </w:rPr>
        <w:t>- wenn das ausländische Unternehmen oder der Zweigbetrieb eines solchen Unternehmens eine natürliche Person oder ein Unternehmen ist, die/das unmittelbar oder mittelbar eine Beteiligung in Form von Stimmrechten oder Kapital von mindestens 50 Prozent an der inländischen Gesellschaft hält oder Anspruch auf mindestens 50 Prozent der Gewinne der inländischen Gesellschaft hat, oder</w:t>
      </w:r>
    </w:p>
    <w:p w14:paraId="0670BC4B" w14:textId="77777777" w:rsidR="008E5855" w:rsidRPr="009118AB" w:rsidRDefault="008E5855" w:rsidP="008E5855">
      <w:pPr>
        <w:autoSpaceDE w:val="0"/>
        <w:autoSpaceDN w:val="0"/>
        <w:adjustRightInd w:val="0"/>
        <w:jc w:val="both"/>
        <w:rPr>
          <w:iCs/>
          <w:sz w:val="20"/>
        </w:rPr>
      </w:pPr>
    </w:p>
    <w:p w14:paraId="2DF43E26" w14:textId="18CFA0CA" w:rsidR="008E5855" w:rsidRPr="009118AB" w:rsidRDefault="008E5855" w:rsidP="008E5855">
      <w:pPr>
        <w:autoSpaceDE w:val="0"/>
        <w:autoSpaceDN w:val="0"/>
        <w:adjustRightInd w:val="0"/>
        <w:jc w:val="both"/>
        <w:rPr>
          <w:iCs/>
          <w:sz w:val="20"/>
        </w:rPr>
      </w:pPr>
      <w:r w:rsidRPr="009118AB">
        <w:rPr>
          <w:iCs/>
          <w:sz w:val="20"/>
        </w:rPr>
        <w:t>- wenn eine natürliche Person oder ein Unternehmen unmittelbar oder mittelbar eine Beteiligung in Form von Stimmrechten oder Kapital von mindestens 50 Prozent an der inländischen Gesellschaft und an dem ausländischen Unternehmen hält oder</w:t>
      </w:r>
    </w:p>
    <w:p w14:paraId="0E00F46D" w14:textId="77777777" w:rsidR="008E5855" w:rsidRPr="009118AB" w:rsidRDefault="008E5855" w:rsidP="008E5855">
      <w:pPr>
        <w:autoSpaceDE w:val="0"/>
        <w:autoSpaceDN w:val="0"/>
        <w:adjustRightInd w:val="0"/>
        <w:jc w:val="both"/>
        <w:rPr>
          <w:iCs/>
          <w:sz w:val="20"/>
        </w:rPr>
      </w:pPr>
    </w:p>
    <w:p w14:paraId="55ADAB0D" w14:textId="70582718" w:rsidR="008E5855" w:rsidRPr="009118AB" w:rsidRDefault="008E5855" w:rsidP="008E5855">
      <w:pPr>
        <w:autoSpaceDE w:val="0"/>
        <w:autoSpaceDN w:val="0"/>
        <w:adjustRightInd w:val="0"/>
        <w:jc w:val="both"/>
        <w:rPr>
          <w:iCs/>
          <w:sz w:val="20"/>
        </w:rPr>
      </w:pPr>
      <w:r w:rsidRPr="009118AB">
        <w:rPr>
          <w:iCs/>
          <w:sz w:val="20"/>
        </w:rPr>
        <w:t>- wenn die inländische Gesellschaft oder die belgische Niederlassung und das ausländische Unternehmen oder der Zweigbetrieb eines solchen Unternehmens Teil derselben zu Rechnungslegungszwecken konsolidierten Gruppe sind oder</w:t>
      </w:r>
    </w:p>
    <w:p w14:paraId="0287E712" w14:textId="77777777" w:rsidR="008E5855" w:rsidRPr="009118AB" w:rsidRDefault="008E5855" w:rsidP="008E5855">
      <w:pPr>
        <w:autoSpaceDE w:val="0"/>
        <w:autoSpaceDN w:val="0"/>
        <w:adjustRightInd w:val="0"/>
        <w:jc w:val="both"/>
        <w:rPr>
          <w:iCs/>
          <w:sz w:val="20"/>
        </w:rPr>
      </w:pPr>
    </w:p>
    <w:p w14:paraId="32B84CBF" w14:textId="00E0A907" w:rsidR="008E5855" w:rsidRPr="009118AB" w:rsidRDefault="008E5855" w:rsidP="008E5855">
      <w:pPr>
        <w:autoSpaceDE w:val="0"/>
        <w:autoSpaceDN w:val="0"/>
        <w:adjustRightInd w:val="0"/>
        <w:jc w:val="both"/>
        <w:rPr>
          <w:iCs/>
          <w:sz w:val="20"/>
        </w:rPr>
      </w:pPr>
      <w:r w:rsidRPr="009118AB">
        <w:rPr>
          <w:iCs/>
          <w:sz w:val="20"/>
        </w:rPr>
        <w:t>- wenn der eine maßgeblich Einfluss auf die Leitung des anderen nimmt.</w:t>
      </w:r>
    </w:p>
    <w:p w14:paraId="6364FF7F" w14:textId="77777777" w:rsidR="008E5855" w:rsidRPr="009118AB" w:rsidRDefault="008E5855" w:rsidP="008E5855">
      <w:pPr>
        <w:autoSpaceDE w:val="0"/>
        <w:autoSpaceDN w:val="0"/>
        <w:adjustRightInd w:val="0"/>
        <w:jc w:val="both"/>
        <w:rPr>
          <w:iCs/>
          <w:sz w:val="20"/>
        </w:rPr>
      </w:pPr>
    </w:p>
    <w:p w14:paraId="34AAA040" w14:textId="45C114D6" w:rsidR="008E5855" w:rsidRPr="009118AB" w:rsidRDefault="008E5855" w:rsidP="008E5855">
      <w:pPr>
        <w:autoSpaceDE w:val="0"/>
        <w:autoSpaceDN w:val="0"/>
        <w:adjustRightInd w:val="0"/>
        <w:jc w:val="both"/>
        <w:rPr>
          <w:iCs/>
          <w:sz w:val="20"/>
        </w:rPr>
      </w:pPr>
      <w:r w:rsidRPr="009118AB">
        <w:rPr>
          <w:iCs/>
          <w:sz w:val="20"/>
        </w:rPr>
        <w:t>Bei Gestaltungen im Zusammenhang mit einer Zahlung im Rahmen eines Finanz</w:t>
      </w:r>
      <w:r w:rsidRPr="009118AB">
        <w:rPr>
          <w:iCs/>
          <w:sz w:val="20"/>
        </w:rPr>
        <w:softHyphen/>
        <w:t>instruments wird die vorerwähnte Anforderung von 50 Prozent auf 25 Prozent herabgesetzt.</w:t>
      </w:r>
    </w:p>
    <w:p w14:paraId="10D28D6C" w14:textId="77777777" w:rsidR="008E5855" w:rsidRPr="009118AB" w:rsidRDefault="008E5855" w:rsidP="008E5855">
      <w:pPr>
        <w:autoSpaceDE w:val="0"/>
        <w:autoSpaceDN w:val="0"/>
        <w:adjustRightInd w:val="0"/>
        <w:jc w:val="both"/>
        <w:rPr>
          <w:iCs/>
          <w:sz w:val="20"/>
        </w:rPr>
      </w:pPr>
    </w:p>
    <w:p w14:paraId="7888175C" w14:textId="1B491E6D" w:rsidR="008E5855" w:rsidRPr="009118AB" w:rsidRDefault="008E5855" w:rsidP="008E5855">
      <w:pPr>
        <w:autoSpaceDE w:val="0"/>
        <w:autoSpaceDN w:val="0"/>
        <w:adjustRightInd w:val="0"/>
        <w:jc w:val="both"/>
        <w:rPr>
          <w:iCs/>
          <w:sz w:val="20"/>
        </w:rPr>
      </w:pPr>
      <w:r w:rsidRPr="009118AB">
        <w:rPr>
          <w:iCs/>
          <w:sz w:val="20"/>
        </w:rPr>
        <w:t>Eine Person, die in Bezug auf die Stimmrechte oder die Kapitalbeteiligung an einem Unternehmen gemeinsam mit einer anderen Person handelt, wird so behandelt, als hielte sie eine Beteiligung an allen Stimmrechten oder dem gesamten Kapital dieses Unternehmens, die/das von der anderen Person oder den anderen Personen gehalten werden/wird.</w:t>
      </w:r>
    </w:p>
    <w:p w14:paraId="17F52E4B" w14:textId="77777777" w:rsidR="008E5855" w:rsidRPr="009118AB" w:rsidRDefault="008E5855" w:rsidP="008E5855">
      <w:pPr>
        <w:autoSpaceDE w:val="0"/>
        <w:autoSpaceDN w:val="0"/>
        <w:adjustRightInd w:val="0"/>
        <w:jc w:val="both"/>
        <w:rPr>
          <w:iCs/>
          <w:sz w:val="20"/>
        </w:rPr>
      </w:pPr>
    </w:p>
    <w:p w14:paraId="33FDAF1D" w14:textId="5F2101E1" w:rsidR="008E5855" w:rsidRPr="009118AB" w:rsidRDefault="008E5855" w:rsidP="008E5855">
      <w:pPr>
        <w:autoSpaceDE w:val="0"/>
        <w:autoSpaceDN w:val="0"/>
        <w:adjustRightInd w:val="0"/>
        <w:jc w:val="both"/>
        <w:rPr>
          <w:iCs/>
          <w:sz w:val="20"/>
        </w:rPr>
      </w:pPr>
      <w:r w:rsidRPr="009118AB">
        <w:rPr>
          <w:iCs/>
          <w:sz w:val="20"/>
        </w:rPr>
        <w:t>Eine zu Rechnungslegungszwecken konsolidierte Gruppe ist eine Gruppe aus allen Unternehmen, die vollständig in konsolidierten Abschlüssen gemäß den Internationalen Rechnungslegungsstandards (IFRS) oder dem nationalen Finanzberichtssystem eines Mitgliedstaates des Europäischen Wirtschaftsraums berücksichtigt sind.</w:t>
      </w:r>
    </w:p>
    <w:p w14:paraId="2633CA65" w14:textId="77777777" w:rsidR="008E5855" w:rsidRPr="009118AB" w:rsidRDefault="008E5855" w:rsidP="008E5855">
      <w:pPr>
        <w:autoSpaceDE w:val="0"/>
        <w:autoSpaceDN w:val="0"/>
        <w:adjustRightInd w:val="0"/>
        <w:jc w:val="both"/>
        <w:rPr>
          <w:iCs/>
          <w:sz w:val="20"/>
        </w:rPr>
      </w:pPr>
    </w:p>
    <w:p w14:paraId="2BE85CE2" w14:textId="1051FD1E" w:rsidR="008E5855" w:rsidRPr="009118AB" w:rsidRDefault="008E5855" w:rsidP="008E5855">
      <w:pPr>
        <w:autoSpaceDE w:val="0"/>
        <w:autoSpaceDN w:val="0"/>
        <w:adjustRightInd w:val="0"/>
        <w:jc w:val="both"/>
        <w:rPr>
          <w:iCs/>
          <w:sz w:val="20"/>
        </w:rPr>
      </w:pPr>
      <w:r w:rsidRPr="009118AB">
        <w:rPr>
          <w:iCs/>
          <w:sz w:val="20"/>
        </w:rPr>
        <w:t>Eine inländische Gesellschaft oder eine belgische Niederlassung und ein ausländisches Unternehmen oder ein Zweigbetrieb eines solchen Unternehmens gehören demselben Unternehmen an, wenn der eine eine belgische Niederlassung oder eine Betriebsstätte des anderen ist oder wenn beide belgische Niederlassungen oder Betriebsstätten desselben Unternehmens sind.</w:t>
      </w:r>
    </w:p>
    <w:p w14:paraId="0C401BED" w14:textId="77777777" w:rsidR="008E5855" w:rsidRPr="009118AB" w:rsidRDefault="008E5855" w:rsidP="008E5855">
      <w:pPr>
        <w:autoSpaceDE w:val="0"/>
        <w:autoSpaceDN w:val="0"/>
        <w:adjustRightInd w:val="0"/>
        <w:jc w:val="both"/>
        <w:rPr>
          <w:iCs/>
          <w:sz w:val="20"/>
        </w:rPr>
      </w:pPr>
    </w:p>
    <w:p w14:paraId="127C1410" w14:textId="34681C59" w:rsidR="008E5855" w:rsidRPr="009118AB" w:rsidRDefault="008E5855" w:rsidP="008E5855">
      <w:pPr>
        <w:autoSpaceDE w:val="0"/>
        <w:autoSpaceDN w:val="0"/>
        <w:adjustRightInd w:val="0"/>
        <w:jc w:val="both"/>
        <w:rPr>
          <w:iCs/>
          <w:sz w:val="20"/>
        </w:rPr>
      </w:pPr>
      <w:r w:rsidRPr="009118AB">
        <w:rPr>
          <w:iCs/>
          <w:sz w:val="20"/>
        </w:rPr>
        <w:t xml:space="preserve">Eine inländische Gesellschaft oder eine belgische Niederlassung und ein ausländisches Unternehmen oder ein Zweigbetrieb eines solchen Unternehmens handeln im Rahmen einer strukturierten Gestaltung, wenn sie im Rahmen einer Gestaltung handeln, die zu einem Abzug für jeden unter ihnen oder zu einem Abzug für den einen </w:t>
      </w:r>
      <w:r w:rsidRPr="009118AB">
        <w:rPr>
          <w:iCs/>
          <w:sz w:val="20"/>
        </w:rPr>
        <w:lastRenderedPageBreak/>
        <w:t>bei gleichzeitiger Nichtbesteuerung des anderen führt und bei der diese Auswirkung bereits in die Bedingungen der Gestaltung eingerechnet ist, oder wenn sie im Rahmen einer Gestaltung handeln, die mit der Absicht entwickelt wurde, eine solche Auswirkung herbeizuführen, es sei denn, es kann vernünf</w:t>
      </w:r>
      <w:r w:rsidRPr="009118AB">
        <w:rPr>
          <w:iCs/>
          <w:sz w:val="20"/>
        </w:rPr>
        <w:softHyphen/>
        <w:t>tigerweise nicht davon ausgegangen werden, dass der inländischen Gesellschaft oder der belgischen Niederlassung oder dem ausländischen Unternehmen oder dem Zweigbetrieb eines solchen Unternehmens die Auswirkung bewusst war, und der Betreffende hat keinen Vorteil aus dieser Auswirkung gezogen.</w:t>
      </w:r>
    </w:p>
    <w:p w14:paraId="3D1A6FCC" w14:textId="77777777" w:rsidR="008E5855" w:rsidRPr="009118AB" w:rsidRDefault="008E5855" w:rsidP="008E5855">
      <w:pPr>
        <w:autoSpaceDE w:val="0"/>
        <w:autoSpaceDN w:val="0"/>
        <w:adjustRightInd w:val="0"/>
        <w:jc w:val="both"/>
        <w:rPr>
          <w:iCs/>
          <w:sz w:val="20"/>
        </w:rPr>
      </w:pPr>
    </w:p>
    <w:p w14:paraId="3A3FB19D" w14:textId="191461DE" w:rsidR="008E5855" w:rsidRPr="009118AB" w:rsidRDefault="008E5855" w:rsidP="008E5855">
      <w:pPr>
        <w:autoSpaceDE w:val="0"/>
        <w:autoSpaceDN w:val="0"/>
        <w:adjustRightInd w:val="0"/>
        <w:jc w:val="both"/>
        <w:rPr>
          <w:iCs/>
          <w:sz w:val="20"/>
        </w:rPr>
      </w:pPr>
      <w:r w:rsidRPr="009118AB">
        <w:rPr>
          <w:iCs/>
          <w:sz w:val="20"/>
        </w:rPr>
        <w:t>Es liegt keine hybride Gestaltung vor, die zu einem Abzug für einen der Akteure bei gleichzeitiger Nichtbesteuerung des anderen Akteurs führt, wenn die Nichtbesteuerung des Letztgenannten lediglich auf ein vom allgemeinen Recht abweichendes Besteuerungssystem, das auf ihn anwendbar ist, oder auf Unterschiede bei dem einer Zahlung beigemessenen Wert, einschließlich durch die Anwendung von Verrechnungspreisregelungen, zurückzuführen ist.</w:t>
      </w:r>
    </w:p>
    <w:p w14:paraId="388D98F8" w14:textId="77777777" w:rsidR="008E5855" w:rsidRPr="009118AB" w:rsidRDefault="008E5855" w:rsidP="008E5855">
      <w:pPr>
        <w:autoSpaceDE w:val="0"/>
        <w:autoSpaceDN w:val="0"/>
        <w:adjustRightInd w:val="0"/>
        <w:jc w:val="both"/>
        <w:rPr>
          <w:iCs/>
          <w:sz w:val="20"/>
        </w:rPr>
      </w:pPr>
    </w:p>
    <w:p w14:paraId="2B324021" w14:textId="3DFB4BD4" w:rsidR="008E5855" w:rsidRPr="009118AB" w:rsidRDefault="008E5855" w:rsidP="008E5855">
      <w:pPr>
        <w:autoSpaceDE w:val="0"/>
        <w:autoSpaceDN w:val="0"/>
        <w:adjustRightInd w:val="0"/>
        <w:jc w:val="both"/>
        <w:rPr>
          <w:iCs/>
          <w:sz w:val="20"/>
        </w:rPr>
      </w:pPr>
      <w:r w:rsidRPr="009118AB">
        <w:rPr>
          <w:iCs/>
          <w:sz w:val="20"/>
        </w:rPr>
        <w:t>17. Hybrides Unternehmen</w:t>
      </w:r>
    </w:p>
    <w:p w14:paraId="41D30A41" w14:textId="77777777" w:rsidR="008E5855" w:rsidRPr="009118AB" w:rsidRDefault="008E5855" w:rsidP="008E5855">
      <w:pPr>
        <w:autoSpaceDE w:val="0"/>
        <w:autoSpaceDN w:val="0"/>
        <w:adjustRightInd w:val="0"/>
        <w:jc w:val="both"/>
        <w:rPr>
          <w:iCs/>
          <w:sz w:val="20"/>
        </w:rPr>
      </w:pPr>
    </w:p>
    <w:p w14:paraId="583D3867" w14:textId="6C98D71C" w:rsidR="008E5855" w:rsidRPr="009118AB" w:rsidRDefault="008E5855" w:rsidP="008E5855">
      <w:pPr>
        <w:autoSpaceDE w:val="0"/>
        <w:autoSpaceDN w:val="0"/>
        <w:adjustRightInd w:val="0"/>
        <w:jc w:val="both"/>
        <w:rPr>
          <w:iCs/>
          <w:sz w:val="20"/>
        </w:rPr>
      </w:pPr>
      <w:r w:rsidRPr="009118AB">
        <w:rPr>
          <w:iCs/>
          <w:sz w:val="20"/>
        </w:rPr>
        <w:t>Unter hybridem Unternehmen versteht man ein Unternehmen oder eine Gestaltung, das/die nach den Rechtsvorschriften eines Steuergebiets als Steuerpflichtiger gilt und dessen/deren Einkünfte oder Ausgaben nach den Rechtsvorschriften eines anderen Steuer</w:t>
      </w:r>
      <w:r w:rsidRPr="009118AB">
        <w:rPr>
          <w:iCs/>
          <w:sz w:val="20"/>
        </w:rPr>
        <w:softHyphen/>
        <w:t>gebiets als Einkünfte oder Ausgaben einer oder mehrerer anderer Personen behandelt werden.</w:t>
      </w:r>
    </w:p>
    <w:p w14:paraId="3FA9AAA0" w14:textId="77777777" w:rsidR="008E5855" w:rsidRPr="009118AB" w:rsidRDefault="008E5855" w:rsidP="008E5855">
      <w:pPr>
        <w:autoSpaceDE w:val="0"/>
        <w:autoSpaceDN w:val="0"/>
        <w:adjustRightInd w:val="0"/>
        <w:jc w:val="both"/>
        <w:rPr>
          <w:iCs/>
          <w:sz w:val="20"/>
        </w:rPr>
      </w:pPr>
    </w:p>
    <w:p w14:paraId="6B03827B" w14:textId="3E8137DF" w:rsidR="008E5855" w:rsidRPr="009118AB" w:rsidRDefault="008E5855" w:rsidP="008E5855">
      <w:pPr>
        <w:autoSpaceDE w:val="0"/>
        <w:autoSpaceDN w:val="0"/>
        <w:adjustRightInd w:val="0"/>
        <w:jc w:val="both"/>
        <w:rPr>
          <w:iCs/>
          <w:sz w:val="20"/>
        </w:rPr>
      </w:pPr>
      <w:r w:rsidRPr="009118AB">
        <w:rPr>
          <w:iCs/>
          <w:sz w:val="20"/>
        </w:rPr>
        <w:t>18. Hybride Übertragung</w:t>
      </w:r>
    </w:p>
    <w:p w14:paraId="00B19808" w14:textId="77777777" w:rsidR="008E5855" w:rsidRPr="009118AB" w:rsidRDefault="008E5855" w:rsidP="008E5855">
      <w:pPr>
        <w:autoSpaceDE w:val="0"/>
        <w:autoSpaceDN w:val="0"/>
        <w:adjustRightInd w:val="0"/>
        <w:jc w:val="both"/>
        <w:rPr>
          <w:iCs/>
          <w:sz w:val="20"/>
        </w:rPr>
      </w:pPr>
    </w:p>
    <w:p w14:paraId="38221B63" w14:textId="7E4932A9" w:rsidR="008E5855" w:rsidRPr="009118AB" w:rsidRDefault="008E5855" w:rsidP="008E5855">
      <w:pPr>
        <w:autoSpaceDE w:val="0"/>
        <w:autoSpaceDN w:val="0"/>
        <w:adjustRightInd w:val="0"/>
        <w:jc w:val="both"/>
        <w:rPr>
          <w:iCs/>
          <w:sz w:val="20"/>
        </w:rPr>
      </w:pPr>
      <w:r w:rsidRPr="009118AB">
        <w:rPr>
          <w:iCs/>
          <w:sz w:val="20"/>
        </w:rPr>
        <w:t>Unter hybrider Übertragung versteht man eine Gestaltung zur Übertragung eines Finanzinstruments, wenn der zugrunde liegende Ertrag des übertragenen Finanzinstruments für Steuerzwecke so behandelt wird, als sei er zugleich mehr als einer der an der Gestaltung beteiligten Parteien zugeflossen.]</w:t>
      </w:r>
    </w:p>
    <w:p w14:paraId="0F816C73" w14:textId="77777777" w:rsidR="008E5855" w:rsidRPr="009118AB" w:rsidRDefault="008E5855" w:rsidP="008E5855">
      <w:pPr>
        <w:autoSpaceDE w:val="0"/>
        <w:autoSpaceDN w:val="0"/>
        <w:adjustRightInd w:val="0"/>
        <w:jc w:val="both"/>
        <w:rPr>
          <w:iCs/>
          <w:sz w:val="20"/>
        </w:rPr>
      </w:pPr>
    </w:p>
    <w:p w14:paraId="732A41A7" w14:textId="592976A1" w:rsidR="008E5855" w:rsidRPr="009118AB" w:rsidRDefault="008E5855" w:rsidP="008E5855">
      <w:pPr>
        <w:autoSpaceDE w:val="0"/>
        <w:autoSpaceDN w:val="0"/>
        <w:adjustRightInd w:val="0"/>
        <w:jc w:val="both"/>
        <w:rPr>
          <w:iCs/>
          <w:sz w:val="20"/>
        </w:rPr>
      </w:pPr>
      <w:r w:rsidRPr="009118AB">
        <w:rPr>
          <w:iCs/>
          <w:sz w:val="20"/>
        </w:rPr>
        <w:t>[19. EU-Liste nicht kooperativer Steuergebiete</w:t>
      </w:r>
    </w:p>
    <w:p w14:paraId="3725A79E" w14:textId="77777777" w:rsidR="008E5855" w:rsidRPr="009118AB" w:rsidRDefault="008E5855" w:rsidP="008E5855">
      <w:pPr>
        <w:autoSpaceDE w:val="0"/>
        <w:autoSpaceDN w:val="0"/>
        <w:adjustRightInd w:val="0"/>
        <w:jc w:val="both"/>
        <w:rPr>
          <w:iCs/>
          <w:sz w:val="20"/>
        </w:rPr>
      </w:pPr>
    </w:p>
    <w:p w14:paraId="3A9C2D4B" w14:textId="26B8D46F" w:rsidR="008E5855" w:rsidRPr="009118AB" w:rsidRDefault="008E5855" w:rsidP="008E5855">
      <w:pPr>
        <w:autoSpaceDE w:val="0"/>
        <w:autoSpaceDN w:val="0"/>
        <w:adjustRightInd w:val="0"/>
        <w:jc w:val="both"/>
        <w:rPr>
          <w:iCs/>
          <w:sz w:val="20"/>
        </w:rPr>
      </w:pPr>
      <w:r w:rsidRPr="009118AB">
        <w:rPr>
          <w:iCs/>
          <w:sz w:val="20"/>
        </w:rPr>
        <w:t>Unter EU-Liste nicht kooperativer Steuergebiete versteht man die EU-Liste nicht kooperativer Länder und Gebiete für Steuerzwecke, die vom Rat der Europäischen Union festgelegt wird und für die jede Änderung im Amtsblatt der Europäischen Union veröffentlicht wird.]</w:t>
      </w:r>
    </w:p>
    <w:p w14:paraId="1482685F" w14:textId="581AF816" w:rsidR="008E5855" w:rsidRPr="009118AB" w:rsidRDefault="008E5855" w:rsidP="008E5855">
      <w:pPr>
        <w:autoSpaceDE w:val="0"/>
        <w:autoSpaceDN w:val="0"/>
        <w:adjustRightInd w:val="0"/>
        <w:jc w:val="both"/>
        <w:rPr>
          <w:iCs/>
          <w:sz w:val="20"/>
        </w:rPr>
      </w:pPr>
    </w:p>
    <w:p w14:paraId="7970CC7E" w14:textId="77777777" w:rsidR="004755B9" w:rsidRPr="004755B9" w:rsidRDefault="004755B9" w:rsidP="004755B9">
      <w:pPr>
        <w:autoSpaceDE w:val="0"/>
        <w:autoSpaceDN w:val="0"/>
        <w:adjustRightInd w:val="0"/>
        <w:jc w:val="both"/>
        <w:rPr>
          <w:iCs/>
          <w:sz w:val="20"/>
        </w:rPr>
      </w:pPr>
      <w:r>
        <w:rPr>
          <w:iCs/>
          <w:sz w:val="20"/>
        </w:rPr>
        <w:t>[</w:t>
      </w:r>
      <w:r w:rsidRPr="004755B9">
        <w:rPr>
          <w:iCs/>
          <w:sz w:val="20"/>
        </w:rPr>
        <w:t>20. Unter Einschreibesendung versteht man entweder ein Schreiben mit oder ohne Empfangsbestätigung, das beim Universalpostdiensteanbieter, bei einem Postdiensteanbieter oder bei einem Anbieter eines qualifizierten Vertrauensdienstes, der die Anforderungen von Artikel 44 der Verordnung (EU) Nr. 910/2014 des Europäischen Parlaments und des Rates vom 23. Juli 2014 über elektronische Identifizierung und Vertrauensdienste für elektronische Transaktionen im Binnenmarkt und zur Aufhebung der Richtlinie 1999/93/EG erfüllt, abgegeben wird und von einem dieser Anbieter elektronisch oder nicht elektronisch einem zuvor bestimmten Empfänger übermittelt wird, wodurch das Datum der Übermittlung und des Empfangs des Schreibens durch den Empfänger nachgewiesen werden kann, oder eine Nachricht, die der Föderale Öffentliche Dienst Finanzen im Rahmen der Ausübung seiner Aufgabe des öffentlichen Dienstes über den Dienst für Versendung und Empfang elektronischer Nachrichten durch bestimmte öffentliche Dienste übermittelt, der natürlichen Personen oder ihren Vertretern von dem für die Digitale Agenda zuständigen Föderalen Öffentlichen Dienst und Inhabern einer Unternehmensnummer wie in Artikel III.16 des Wirtschaftsgesetzbuches bestimmt oder ihren Vertretern vom Landesamt für soziale Sicherheit angeboten wird.</w:t>
      </w:r>
    </w:p>
    <w:p w14:paraId="7761E6D2" w14:textId="77777777" w:rsidR="004755B9" w:rsidRPr="004755B9" w:rsidRDefault="004755B9" w:rsidP="004755B9">
      <w:pPr>
        <w:autoSpaceDE w:val="0"/>
        <w:autoSpaceDN w:val="0"/>
        <w:adjustRightInd w:val="0"/>
        <w:jc w:val="both"/>
        <w:rPr>
          <w:iCs/>
          <w:sz w:val="20"/>
        </w:rPr>
      </w:pPr>
    </w:p>
    <w:p w14:paraId="1DAC53A3" w14:textId="36D8E8C9" w:rsidR="000A1286" w:rsidRPr="009118AB" w:rsidRDefault="004755B9" w:rsidP="004755B9">
      <w:pPr>
        <w:autoSpaceDE w:val="0"/>
        <w:autoSpaceDN w:val="0"/>
        <w:adjustRightInd w:val="0"/>
        <w:jc w:val="both"/>
        <w:rPr>
          <w:iCs/>
          <w:sz w:val="20"/>
        </w:rPr>
      </w:pPr>
      <w:r w:rsidRPr="004755B9">
        <w:rPr>
          <w:iCs/>
          <w:sz w:val="20"/>
        </w:rPr>
        <w:t>21. Unter gesicherter elektronischer Plattform versteht man jede EDV-Anwendung, die vom Föderalen Öffentlichen Dienst Finanzen oder von einer anderen öffentlichen Einrichtung in Zusammenarbeit mit dem Föderalen Öffentlichen Dienst Finanzen oder einer anderen Einrichtung bereitgestellt wird, die Bürgern, Unternehmen, juristischen Personen und bestimmten Dritten elektronische Dienste zur Verfügung stellt, die ihnen den Austausch von elektronischen Nachrichten mit dem Föderalen Öffentlichen Dienst Finanzen ermöglichen, sofern Authentifizierung und Identifizierung in Anwendung von Kapitel 4 des Gesetzes vom 18. Juli 2017 über die elektronische Identifizierung mittels eines elektronischen Identifizierungssystems wie in Artikel 8 Absatz 2 der Verordnung (EU) Nr. 910/2014 des Europäischen Parlaments und des Rates vom 23. Juli 2014 über elektronische Identifizierung und Vertrauensdienste für elektronische Transaktionen im Binnenmarkt und zur Aufhebung der Richtlinie 1999/93/EG erwähnt erfolgen, das mindestens ein substanzielles Sicherheitsniveau im Sinne von Artikel 8 Absatz 2 Buchstabe b der vorerwähnten Verordnung in Bezug auf Unversehrtheit des Inhalts, Zeitstempelung und Aufbewahrung der übermittelten Nachricht gewährleistet.</w:t>
      </w:r>
      <w:r w:rsidR="000A1286" w:rsidRPr="009118AB">
        <w:rPr>
          <w:iCs/>
          <w:sz w:val="20"/>
        </w:rPr>
        <w:t>]</w:t>
      </w:r>
    </w:p>
    <w:p w14:paraId="086D4774" w14:textId="77777777" w:rsidR="000A1286" w:rsidRPr="009118AB" w:rsidRDefault="000A1286" w:rsidP="000A1286">
      <w:pPr>
        <w:autoSpaceDE w:val="0"/>
        <w:autoSpaceDN w:val="0"/>
        <w:adjustRightInd w:val="0"/>
        <w:jc w:val="both"/>
        <w:rPr>
          <w:iCs/>
          <w:sz w:val="20"/>
        </w:rPr>
      </w:pPr>
    </w:p>
    <w:p w14:paraId="69EABAFB" w14:textId="0C002C36" w:rsidR="008E5855" w:rsidRPr="009118AB" w:rsidRDefault="008E5855" w:rsidP="008E5855">
      <w:pPr>
        <w:autoSpaceDE w:val="0"/>
        <w:autoSpaceDN w:val="0"/>
        <w:adjustRightInd w:val="0"/>
        <w:jc w:val="both"/>
        <w:rPr>
          <w:iCs/>
          <w:sz w:val="20"/>
        </w:rPr>
      </w:pPr>
      <w:r w:rsidRPr="009118AB">
        <w:rPr>
          <w:iCs/>
          <w:sz w:val="20"/>
        </w:rPr>
        <w:lastRenderedPageBreak/>
        <w:t>[</w:t>
      </w:r>
      <w:r w:rsidR="00D67EB8" w:rsidRPr="009118AB">
        <w:rPr>
          <w:iCs/>
          <w:sz w:val="20"/>
        </w:rPr>
        <w:t>§ </w:t>
      </w:r>
      <w:r w:rsidRPr="009118AB">
        <w:rPr>
          <w:iCs/>
          <w:sz w:val="20"/>
        </w:rPr>
        <w:t>2</w:t>
      </w:r>
      <w:r w:rsidR="00D67EB8" w:rsidRPr="009118AB">
        <w:rPr>
          <w:iCs/>
          <w:sz w:val="20"/>
        </w:rPr>
        <w:t> - </w:t>
      </w:r>
      <w:r w:rsidRPr="009118AB">
        <w:rPr>
          <w:iCs/>
          <w:sz w:val="20"/>
        </w:rPr>
        <w:t>Für die Anwendung</w:t>
      </w:r>
      <w:r w:rsidR="00D67EB8" w:rsidRPr="009118AB">
        <w:rPr>
          <w:iCs/>
          <w:sz w:val="20"/>
        </w:rPr>
        <w:t> - </w:t>
      </w:r>
      <w:r w:rsidRPr="009118AB">
        <w:rPr>
          <w:iCs/>
          <w:sz w:val="20"/>
        </w:rPr>
        <w:t>in Bezug auf Zedenten, Pfandschuldner und Verleiher</w:t>
      </w:r>
      <w:r w:rsidR="00D67EB8" w:rsidRPr="009118AB">
        <w:rPr>
          <w:iCs/>
          <w:sz w:val="20"/>
        </w:rPr>
        <w:t> - </w:t>
      </w:r>
      <w:r w:rsidRPr="009118AB">
        <w:rPr>
          <w:iCs/>
          <w:sz w:val="20"/>
        </w:rPr>
        <w:t>der Bestimmungen des vorliegenden Gesetzbuches, der besonderen Gesetzesbestimmungen über Einkommensteuern und ihrer Ausführungserlasse gilt, dass vorerwähnte Zedenten, Pfandschuldner und Verleiher, die in Ausführung einer Vereinbarung über die Leistung von dinglichen Sicherheiten oder eines Verleihs mit Bezug auf Finanzinstrumente handeln, während der Gesamtlaufzeit des Vertrags Eigentümer vorerwähnter Finanzinstrumente bleiben.</w:t>
      </w:r>
    </w:p>
    <w:p w14:paraId="6D143168" w14:textId="77777777" w:rsidR="008E5855" w:rsidRPr="009118AB" w:rsidRDefault="008E5855" w:rsidP="008E5855">
      <w:pPr>
        <w:autoSpaceDE w:val="0"/>
        <w:autoSpaceDN w:val="0"/>
        <w:adjustRightInd w:val="0"/>
        <w:jc w:val="both"/>
        <w:rPr>
          <w:iCs/>
          <w:sz w:val="20"/>
        </w:rPr>
      </w:pPr>
    </w:p>
    <w:p w14:paraId="3AB85725" w14:textId="635AEC01" w:rsidR="008E5855" w:rsidRPr="009118AB" w:rsidRDefault="008E5855" w:rsidP="008E5855">
      <w:pPr>
        <w:autoSpaceDE w:val="0"/>
        <w:autoSpaceDN w:val="0"/>
        <w:adjustRightInd w:val="0"/>
        <w:jc w:val="both"/>
        <w:rPr>
          <w:iCs/>
          <w:sz w:val="20"/>
        </w:rPr>
      </w:pPr>
      <w:r w:rsidRPr="009118AB">
        <w:rPr>
          <w:iCs/>
          <w:sz w:val="20"/>
        </w:rPr>
        <w:t>In Abweichung von Absatz 1 gilt für Einkünfte aus Kapitalvermögen und beweglichen Gütern, die aus Finanzinstrumenten hervorgehen, die in Ausführung einer Vereinbarung über die Leistung von dinglichen Sicherheiten oder eines Verleihs übertragen, verpfändet oder verliehen werden, dass sie nicht vom Zedenten, Pfandschuldner oder Verleiher bezogen werden.]</w:t>
      </w:r>
    </w:p>
    <w:p w14:paraId="4CF403BA" w14:textId="77777777" w:rsidR="008E5855" w:rsidRPr="009118AB" w:rsidRDefault="008E5855" w:rsidP="008E5855">
      <w:pPr>
        <w:autoSpaceDE w:val="0"/>
        <w:autoSpaceDN w:val="0"/>
        <w:adjustRightInd w:val="0"/>
        <w:jc w:val="both"/>
        <w:rPr>
          <w:iCs/>
          <w:sz w:val="20"/>
        </w:rPr>
      </w:pPr>
    </w:p>
    <w:p w14:paraId="483FD5E1" w14:textId="6A7B1D13" w:rsidR="008E5855" w:rsidRPr="009118AB" w:rsidRDefault="008E5855" w:rsidP="008E5855">
      <w:pPr>
        <w:autoSpaceDE w:val="0"/>
        <w:autoSpaceDN w:val="0"/>
        <w:adjustRightInd w:val="0"/>
        <w:jc w:val="both"/>
        <w:rPr>
          <w:iCs/>
          <w:sz w:val="20"/>
        </w:rPr>
      </w:pPr>
      <w:r w:rsidRPr="009118AB">
        <w:rPr>
          <w:iCs/>
          <w:sz w:val="20"/>
        </w:rPr>
        <w:t>[</w:t>
      </w:r>
      <w:r w:rsidR="00D67EB8" w:rsidRPr="009118AB">
        <w:rPr>
          <w:iCs/>
          <w:sz w:val="20"/>
        </w:rPr>
        <w:t>§ </w:t>
      </w:r>
      <w:r w:rsidRPr="009118AB">
        <w:rPr>
          <w:iCs/>
          <w:sz w:val="20"/>
        </w:rPr>
        <w:t>3</w:t>
      </w:r>
      <w:r w:rsidR="00D67EB8" w:rsidRPr="009118AB">
        <w:rPr>
          <w:iCs/>
          <w:sz w:val="20"/>
        </w:rPr>
        <w:t> - </w:t>
      </w:r>
      <w:r w:rsidRPr="009118AB">
        <w:rPr>
          <w:iCs/>
          <w:sz w:val="20"/>
        </w:rPr>
        <w:t>Für die Anwendung des vorliegenden Gesetzbuches und seiner Ausführungs</w:t>
      </w:r>
      <w:r w:rsidRPr="009118AB">
        <w:rPr>
          <w:iCs/>
          <w:sz w:val="20"/>
        </w:rPr>
        <w:softHyphen/>
        <w:t>erlasse haben die Begriffe "Staatssteuer", "reduzierte Staatssteuer", "föderale Steuer der natürlichen Personen", "regionale Zuschlaghundertstel", "regionale Steuersenkung", "regio</w:t>
      </w:r>
      <w:r w:rsidRPr="009118AB">
        <w:rPr>
          <w:iCs/>
          <w:sz w:val="20"/>
        </w:rPr>
        <w:softHyphen/>
        <w:t>nale Steuererhöhung", "regionale Steuerermäßigung", "regionale Steuergutschrift", "regionale Steuer der natürlichen Personen" und "Gesamtsteuer" die Bedeutung, die ihnen in Titel III/1 des Sondergesetzes vom 16. Januar 1989 bezüglich der Finanzierung der Gemeinschaften und Regionen gegeben wird.]</w:t>
      </w:r>
    </w:p>
    <w:p w14:paraId="53FCF460" w14:textId="77777777" w:rsidR="008E5855" w:rsidRPr="009118AB" w:rsidRDefault="008E5855" w:rsidP="008E5855">
      <w:pPr>
        <w:autoSpaceDE w:val="0"/>
        <w:autoSpaceDN w:val="0"/>
        <w:adjustRightInd w:val="0"/>
        <w:jc w:val="both"/>
        <w:rPr>
          <w:iCs/>
          <w:sz w:val="20"/>
        </w:rPr>
      </w:pPr>
    </w:p>
    <w:p w14:paraId="2A37E656" w14:textId="6AF084EE" w:rsidR="008E5855" w:rsidRPr="009118AB" w:rsidRDefault="008E5855" w:rsidP="008E5855">
      <w:pPr>
        <w:autoSpaceDE w:val="0"/>
        <w:autoSpaceDN w:val="0"/>
        <w:adjustRightInd w:val="0"/>
        <w:jc w:val="both"/>
        <w:rPr>
          <w:iCs/>
          <w:sz w:val="20"/>
        </w:rPr>
      </w:pPr>
      <w:r w:rsidRPr="009118AB">
        <w:rPr>
          <w:iCs/>
          <w:sz w:val="20"/>
        </w:rPr>
        <w:t>[</w:t>
      </w:r>
      <w:r w:rsidR="00D67EB8" w:rsidRPr="009118AB">
        <w:rPr>
          <w:iCs/>
          <w:sz w:val="20"/>
        </w:rPr>
        <w:t>§ </w:t>
      </w:r>
      <w:r w:rsidRPr="009118AB">
        <w:rPr>
          <w:iCs/>
          <w:sz w:val="20"/>
        </w:rPr>
        <w:t>4</w:t>
      </w:r>
      <w:r w:rsidR="00D67EB8" w:rsidRPr="009118AB">
        <w:rPr>
          <w:iCs/>
          <w:sz w:val="20"/>
        </w:rPr>
        <w:t> - </w:t>
      </w:r>
      <w:r w:rsidRPr="009118AB">
        <w:rPr>
          <w:iCs/>
          <w:sz w:val="20"/>
        </w:rPr>
        <w:t xml:space="preserve">Für die Anwendung von </w:t>
      </w:r>
      <w:r w:rsidR="00D67EB8" w:rsidRPr="009118AB">
        <w:rPr>
          <w:iCs/>
          <w:sz w:val="20"/>
        </w:rPr>
        <w:t>§ </w:t>
      </w:r>
      <w:r w:rsidRPr="009118AB">
        <w:rPr>
          <w:iCs/>
          <w:sz w:val="20"/>
        </w:rPr>
        <w:t xml:space="preserve">1 </w:t>
      </w:r>
      <w:r w:rsidR="00D67EB8" w:rsidRPr="009118AB">
        <w:rPr>
          <w:iCs/>
          <w:sz w:val="20"/>
        </w:rPr>
        <w:t>Nr. </w:t>
      </w:r>
      <w:r w:rsidRPr="009118AB">
        <w:rPr>
          <w:iCs/>
          <w:sz w:val="20"/>
        </w:rPr>
        <w:t>4/1 wird ein Unternehmen als Partnerunter</w:t>
      </w:r>
      <w:r w:rsidRPr="009118AB">
        <w:rPr>
          <w:iCs/>
          <w:sz w:val="20"/>
        </w:rPr>
        <w:softHyphen/>
        <w:t>nehmen eines anderen Unternehmens betrachtet, wenn das erstgenannte Unternehmen nicht mit diesem anderen Unternehmen verbunden ist und:</w:t>
      </w:r>
    </w:p>
    <w:p w14:paraId="3D8C3474" w14:textId="77777777" w:rsidR="008E5855" w:rsidRPr="009118AB" w:rsidRDefault="008E5855" w:rsidP="008E5855">
      <w:pPr>
        <w:autoSpaceDE w:val="0"/>
        <w:autoSpaceDN w:val="0"/>
        <w:adjustRightInd w:val="0"/>
        <w:jc w:val="both"/>
        <w:rPr>
          <w:iCs/>
          <w:sz w:val="20"/>
        </w:rPr>
      </w:pPr>
    </w:p>
    <w:p w14:paraId="46C51D5B" w14:textId="45F8AD82" w:rsidR="008E5855" w:rsidRPr="009118AB" w:rsidRDefault="008E5855" w:rsidP="008E5855">
      <w:pPr>
        <w:autoSpaceDE w:val="0"/>
        <w:autoSpaceDN w:val="0"/>
        <w:adjustRightInd w:val="0"/>
        <w:jc w:val="both"/>
        <w:rPr>
          <w:iCs/>
          <w:sz w:val="20"/>
        </w:rPr>
      </w:pPr>
      <w:r w:rsidRPr="009118AB">
        <w:rPr>
          <w:iCs/>
          <w:sz w:val="20"/>
        </w:rPr>
        <w:t>- das erstgenannte Unternehmen allein oder zusammen mit den mit diesem Unter</w:t>
      </w:r>
      <w:r w:rsidRPr="009118AB">
        <w:rPr>
          <w:iCs/>
          <w:sz w:val="20"/>
        </w:rPr>
        <w:softHyphen/>
        <w:t>nehmen verbundenen Unternehmen eine Beteiligung hält, die mindestens 25 Prozent des Kapi</w:t>
      </w:r>
      <w:r w:rsidRPr="009118AB">
        <w:rPr>
          <w:iCs/>
          <w:sz w:val="20"/>
        </w:rPr>
        <w:softHyphen/>
        <w:t>tals oder der Stimmrechte des anderen Unternehmens beträgt, oder</w:t>
      </w:r>
    </w:p>
    <w:p w14:paraId="13041663" w14:textId="77777777" w:rsidR="008E5855" w:rsidRPr="009118AB" w:rsidRDefault="008E5855" w:rsidP="008E5855">
      <w:pPr>
        <w:autoSpaceDE w:val="0"/>
        <w:autoSpaceDN w:val="0"/>
        <w:adjustRightInd w:val="0"/>
        <w:jc w:val="both"/>
        <w:rPr>
          <w:iCs/>
          <w:sz w:val="20"/>
        </w:rPr>
      </w:pPr>
    </w:p>
    <w:p w14:paraId="1EDB7DC7" w14:textId="702521C6" w:rsidR="008E5855" w:rsidRPr="009118AB" w:rsidRDefault="008E5855" w:rsidP="008E5855">
      <w:pPr>
        <w:autoSpaceDE w:val="0"/>
        <w:autoSpaceDN w:val="0"/>
        <w:adjustRightInd w:val="0"/>
        <w:jc w:val="both"/>
        <w:rPr>
          <w:iCs/>
          <w:sz w:val="20"/>
        </w:rPr>
      </w:pPr>
      <w:r w:rsidRPr="009118AB">
        <w:rPr>
          <w:iCs/>
          <w:sz w:val="20"/>
        </w:rPr>
        <w:t>- das andere Unternehmen allein oder zusammen mit den mit diesem Unternehmen verbundenen Unternehmen eine Beteiligung hält, die mindestens 25 Prozent des Kapitals oder der Stimmrechte des erstgenannten Unternehmens beträgt.</w:t>
      </w:r>
    </w:p>
    <w:p w14:paraId="6574FC67" w14:textId="77777777" w:rsidR="008E5855" w:rsidRPr="009118AB" w:rsidRDefault="008E5855" w:rsidP="008E5855">
      <w:pPr>
        <w:autoSpaceDE w:val="0"/>
        <w:autoSpaceDN w:val="0"/>
        <w:adjustRightInd w:val="0"/>
        <w:jc w:val="both"/>
        <w:rPr>
          <w:iCs/>
          <w:sz w:val="20"/>
        </w:rPr>
      </w:pPr>
    </w:p>
    <w:p w14:paraId="5403F5B3" w14:textId="6FD82B2F" w:rsidR="008E5855" w:rsidRPr="009118AB" w:rsidRDefault="008E5855" w:rsidP="008E5855">
      <w:pPr>
        <w:autoSpaceDE w:val="0"/>
        <w:autoSpaceDN w:val="0"/>
        <w:adjustRightInd w:val="0"/>
        <w:jc w:val="both"/>
        <w:rPr>
          <w:iCs/>
          <w:sz w:val="20"/>
        </w:rPr>
      </w:pPr>
      <w:r w:rsidRPr="009118AB">
        <w:rPr>
          <w:iCs/>
          <w:sz w:val="20"/>
        </w:rPr>
        <w:t xml:space="preserve">Staatliche Beteiligungsgesellschaften, Risikokapitalgesellschaften, "Business Angels", Universitäten, Forschungszentren ohne Gewinnzweck, institutionelle Investoren, regionale Entwicklungsfonds und autonome Gebietskörperschaften wie in Artikel 3 Absatz 2 des Anhangs I der Verordnung (EU) </w:t>
      </w:r>
      <w:r w:rsidR="00D67EB8" w:rsidRPr="009118AB">
        <w:rPr>
          <w:iCs/>
          <w:sz w:val="20"/>
        </w:rPr>
        <w:t>Nr. </w:t>
      </w:r>
      <w:r w:rsidRPr="009118AB">
        <w:rPr>
          <w:iCs/>
          <w:sz w:val="20"/>
        </w:rPr>
        <w:t xml:space="preserve">651/2014 der Kommission vom 17. Juni 2014 zur Feststellung der Vereinbarkeit bestimmter Gruppen von Beihilfen mit dem Binnenmarkt in Anwendung der Artikel 107 und 108 des Vertrags über die Arbeitsweise der Europäischen Union erwähnt werden für die Anwendung von </w:t>
      </w:r>
      <w:r w:rsidR="00D67EB8" w:rsidRPr="009118AB">
        <w:rPr>
          <w:iCs/>
          <w:sz w:val="20"/>
        </w:rPr>
        <w:t>§ </w:t>
      </w:r>
      <w:r w:rsidRPr="009118AB">
        <w:rPr>
          <w:iCs/>
          <w:sz w:val="20"/>
        </w:rPr>
        <w:t xml:space="preserve">1 </w:t>
      </w:r>
      <w:r w:rsidR="00D67EB8" w:rsidRPr="009118AB">
        <w:rPr>
          <w:iCs/>
          <w:sz w:val="20"/>
        </w:rPr>
        <w:t>Nr. </w:t>
      </w:r>
      <w:r w:rsidRPr="009118AB">
        <w:rPr>
          <w:iCs/>
          <w:sz w:val="20"/>
        </w:rPr>
        <w:t>4/1 nicht als Partnerunternehmen betrachtet.</w:t>
      </w:r>
    </w:p>
    <w:p w14:paraId="36F5BEA7" w14:textId="77777777" w:rsidR="008E5855" w:rsidRPr="009118AB" w:rsidRDefault="008E5855" w:rsidP="008E5855">
      <w:pPr>
        <w:autoSpaceDE w:val="0"/>
        <w:autoSpaceDN w:val="0"/>
        <w:adjustRightInd w:val="0"/>
        <w:jc w:val="both"/>
        <w:rPr>
          <w:iCs/>
          <w:sz w:val="20"/>
        </w:rPr>
      </w:pPr>
    </w:p>
    <w:p w14:paraId="0C9FD25B" w14:textId="4A7658A1" w:rsidR="008E5855" w:rsidRPr="009118AB" w:rsidRDefault="008E5855" w:rsidP="008E5855">
      <w:pPr>
        <w:autoSpaceDE w:val="0"/>
        <w:autoSpaceDN w:val="0"/>
        <w:adjustRightInd w:val="0"/>
        <w:jc w:val="both"/>
        <w:rPr>
          <w:iCs/>
          <w:sz w:val="20"/>
        </w:rPr>
      </w:pPr>
      <w:r w:rsidRPr="009118AB">
        <w:rPr>
          <w:iCs/>
          <w:sz w:val="20"/>
        </w:rPr>
        <w:t xml:space="preserve">Für die Anwendung von Absatz 1 und von </w:t>
      </w:r>
      <w:r w:rsidR="00D67EB8" w:rsidRPr="009118AB">
        <w:rPr>
          <w:iCs/>
          <w:sz w:val="20"/>
        </w:rPr>
        <w:t>§ </w:t>
      </w:r>
      <w:r w:rsidRPr="009118AB">
        <w:rPr>
          <w:iCs/>
          <w:sz w:val="20"/>
        </w:rPr>
        <w:t xml:space="preserve">1 </w:t>
      </w:r>
      <w:r w:rsidR="00D67EB8" w:rsidRPr="009118AB">
        <w:rPr>
          <w:iCs/>
          <w:sz w:val="20"/>
        </w:rPr>
        <w:t>Nr. </w:t>
      </w:r>
      <w:r w:rsidRPr="009118AB">
        <w:rPr>
          <w:iCs/>
          <w:sz w:val="20"/>
        </w:rPr>
        <w:t>4/1 wird ein Unternehmen als verbundenes Unternehmen eines anderen Unternehmens betrachtet, wenn:</w:t>
      </w:r>
    </w:p>
    <w:p w14:paraId="6A559DAF" w14:textId="77777777" w:rsidR="008E5855" w:rsidRPr="009118AB" w:rsidRDefault="008E5855" w:rsidP="008E5855">
      <w:pPr>
        <w:autoSpaceDE w:val="0"/>
        <w:autoSpaceDN w:val="0"/>
        <w:adjustRightInd w:val="0"/>
        <w:jc w:val="both"/>
        <w:rPr>
          <w:iCs/>
          <w:sz w:val="20"/>
        </w:rPr>
      </w:pPr>
    </w:p>
    <w:p w14:paraId="718F3E5A" w14:textId="3A09C86C" w:rsidR="008E5855" w:rsidRPr="009118AB" w:rsidRDefault="008E5855" w:rsidP="008E5855">
      <w:pPr>
        <w:autoSpaceDE w:val="0"/>
        <w:autoSpaceDN w:val="0"/>
        <w:adjustRightInd w:val="0"/>
        <w:jc w:val="both"/>
        <w:rPr>
          <w:iCs/>
          <w:sz w:val="20"/>
        </w:rPr>
      </w:pPr>
      <w:r w:rsidRPr="009118AB">
        <w:rPr>
          <w:iCs/>
          <w:sz w:val="20"/>
        </w:rPr>
        <w:t>- das erstgenannte Unternehmen direkt oder über Drittunternehmen die Mehrheit der Stimmrechte der Aktionäre oder Gesellschafter des anderen Unternehmens hält,</w:t>
      </w:r>
    </w:p>
    <w:p w14:paraId="1F580599" w14:textId="77777777" w:rsidR="008E5855" w:rsidRPr="009118AB" w:rsidRDefault="008E5855" w:rsidP="008E5855">
      <w:pPr>
        <w:autoSpaceDE w:val="0"/>
        <w:autoSpaceDN w:val="0"/>
        <w:adjustRightInd w:val="0"/>
        <w:jc w:val="both"/>
        <w:rPr>
          <w:iCs/>
          <w:sz w:val="20"/>
        </w:rPr>
      </w:pPr>
    </w:p>
    <w:p w14:paraId="0EDB7EA6" w14:textId="245A9CD8" w:rsidR="008E5855" w:rsidRPr="009118AB" w:rsidRDefault="008E5855" w:rsidP="008E5855">
      <w:pPr>
        <w:autoSpaceDE w:val="0"/>
        <w:autoSpaceDN w:val="0"/>
        <w:adjustRightInd w:val="0"/>
        <w:jc w:val="both"/>
        <w:rPr>
          <w:iCs/>
          <w:sz w:val="20"/>
        </w:rPr>
      </w:pPr>
      <w:r w:rsidRPr="009118AB">
        <w:rPr>
          <w:iCs/>
          <w:sz w:val="20"/>
        </w:rPr>
        <w:t>- das andere Unternehmen direkt oder über Drittunternehmen die Mehrheit der Stimmrechte der Aktionäre oder Gesellschafter des erstgenannten Unternehmens hält,</w:t>
      </w:r>
    </w:p>
    <w:p w14:paraId="03ADED51" w14:textId="77777777" w:rsidR="000A1286" w:rsidRPr="009118AB" w:rsidRDefault="000A1286" w:rsidP="008E5855">
      <w:pPr>
        <w:autoSpaceDE w:val="0"/>
        <w:autoSpaceDN w:val="0"/>
        <w:adjustRightInd w:val="0"/>
        <w:jc w:val="both"/>
        <w:rPr>
          <w:iCs/>
          <w:sz w:val="20"/>
        </w:rPr>
      </w:pPr>
    </w:p>
    <w:p w14:paraId="45BCAB48" w14:textId="4275F239" w:rsidR="008E5855" w:rsidRPr="009118AB" w:rsidRDefault="008E5855" w:rsidP="008E5855">
      <w:pPr>
        <w:autoSpaceDE w:val="0"/>
        <w:autoSpaceDN w:val="0"/>
        <w:adjustRightInd w:val="0"/>
        <w:jc w:val="both"/>
        <w:rPr>
          <w:iCs/>
          <w:sz w:val="20"/>
        </w:rPr>
      </w:pPr>
      <w:r w:rsidRPr="009118AB">
        <w:rPr>
          <w:iCs/>
          <w:sz w:val="20"/>
        </w:rPr>
        <w:t>- das erstgenannte Unternehmen direkt oder über Drittunternehmen das Recht hat, die Mehrheit der Mitglieder des Verwaltungs-, Leitungs- oder Aufsichtsorgans des anderen Unternehmens zu ernennen oder zu entlassen,</w:t>
      </w:r>
    </w:p>
    <w:p w14:paraId="7203CFF5" w14:textId="77777777" w:rsidR="008E5855" w:rsidRPr="009118AB" w:rsidRDefault="008E5855" w:rsidP="008E5855">
      <w:pPr>
        <w:autoSpaceDE w:val="0"/>
        <w:autoSpaceDN w:val="0"/>
        <w:adjustRightInd w:val="0"/>
        <w:jc w:val="both"/>
        <w:rPr>
          <w:iCs/>
          <w:sz w:val="20"/>
        </w:rPr>
      </w:pPr>
    </w:p>
    <w:p w14:paraId="174DCBF0" w14:textId="41DA5E95" w:rsidR="008E5855" w:rsidRPr="009118AB" w:rsidRDefault="008E5855" w:rsidP="008E5855">
      <w:pPr>
        <w:autoSpaceDE w:val="0"/>
        <w:autoSpaceDN w:val="0"/>
        <w:adjustRightInd w:val="0"/>
        <w:jc w:val="both"/>
        <w:rPr>
          <w:iCs/>
          <w:sz w:val="20"/>
        </w:rPr>
      </w:pPr>
      <w:r w:rsidRPr="009118AB">
        <w:rPr>
          <w:iCs/>
          <w:sz w:val="20"/>
        </w:rPr>
        <w:t>- das andere Unternehmen direkt oder über Drittunternehmen das Recht hat, die Mehrheit der Mitglieder des Verwaltungs-, Leitungs- oder Aufsichtsorgans des erstgenannten Unternehmens zu ernennen oder zu entlassen,</w:t>
      </w:r>
    </w:p>
    <w:p w14:paraId="1E957940" w14:textId="77777777" w:rsidR="008E5855" w:rsidRPr="009118AB" w:rsidRDefault="008E5855" w:rsidP="008E5855">
      <w:pPr>
        <w:autoSpaceDE w:val="0"/>
        <w:autoSpaceDN w:val="0"/>
        <w:adjustRightInd w:val="0"/>
        <w:jc w:val="both"/>
        <w:rPr>
          <w:iCs/>
          <w:sz w:val="20"/>
        </w:rPr>
      </w:pPr>
    </w:p>
    <w:p w14:paraId="67595587" w14:textId="716B46DA" w:rsidR="008E5855" w:rsidRPr="009118AB" w:rsidRDefault="008E5855" w:rsidP="008E5855">
      <w:pPr>
        <w:autoSpaceDE w:val="0"/>
        <w:autoSpaceDN w:val="0"/>
        <w:adjustRightInd w:val="0"/>
        <w:jc w:val="both"/>
        <w:rPr>
          <w:iCs/>
          <w:sz w:val="20"/>
        </w:rPr>
      </w:pPr>
      <w:r w:rsidRPr="009118AB">
        <w:rPr>
          <w:iCs/>
          <w:sz w:val="20"/>
        </w:rPr>
        <w:t>- das erstgenannte Unternehmen direkt oder über Drittunternehmen das Recht hat, einen beherrschenden Einfluss auf ein anderes Unternehmen auszuüben, und zwar aufgrund eines mit diesem Unternehmen geschlossenen Vertrags oder einer in der Satzung des letztgenannten Unternehmens enthaltenen Klausel, außer wenn das erstgenannte Unternehmen in den Anwen</w:t>
      </w:r>
      <w:r w:rsidRPr="009118AB">
        <w:rPr>
          <w:iCs/>
          <w:sz w:val="20"/>
        </w:rPr>
        <w:softHyphen/>
        <w:t>dungsbereich von Absatz 2 fällt und nicht feststeht, dass dieses Recht tatsächlich ausgeübt wird,</w:t>
      </w:r>
    </w:p>
    <w:p w14:paraId="69330E9B" w14:textId="77777777" w:rsidR="008E5855" w:rsidRPr="009118AB" w:rsidRDefault="008E5855" w:rsidP="008E5855">
      <w:pPr>
        <w:autoSpaceDE w:val="0"/>
        <w:autoSpaceDN w:val="0"/>
        <w:adjustRightInd w:val="0"/>
        <w:jc w:val="both"/>
        <w:rPr>
          <w:iCs/>
          <w:sz w:val="20"/>
        </w:rPr>
      </w:pPr>
    </w:p>
    <w:p w14:paraId="66C44618" w14:textId="3B8A1966" w:rsidR="008E5855" w:rsidRPr="009118AB" w:rsidRDefault="008E5855" w:rsidP="008E5855">
      <w:pPr>
        <w:autoSpaceDE w:val="0"/>
        <w:autoSpaceDN w:val="0"/>
        <w:adjustRightInd w:val="0"/>
        <w:jc w:val="both"/>
        <w:rPr>
          <w:iCs/>
          <w:sz w:val="20"/>
        </w:rPr>
      </w:pPr>
      <w:r w:rsidRPr="009118AB">
        <w:rPr>
          <w:iCs/>
          <w:sz w:val="20"/>
        </w:rPr>
        <w:t xml:space="preserve">- das andere Unternehmen direkt oder über Drittunternehmen das Recht hat, einen beherrschenden Einfluss auf ein anderes Unternehmen auszuüben, und zwar aufgrund eines mit diesem Unternehmen geschlossenen Vertrags </w:t>
      </w:r>
      <w:r w:rsidRPr="009118AB">
        <w:rPr>
          <w:iCs/>
          <w:sz w:val="20"/>
        </w:rPr>
        <w:lastRenderedPageBreak/>
        <w:t>oder einer in der Satzung des letztgenannten Unternehmens enthaltenen Klausel, außer wenn das andere Unternehmen in den Anwendungs</w:t>
      </w:r>
      <w:r w:rsidRPr="009118AB">
        <w:rPr>
          <w:iCs/>
          <w:sz w:val="20"/>
        </w:rPr>
        <w:softHyphen/>
        <w:t>bereich von Absatz 2 fällt und nicht feststeht, dass dieses Recht tatsächlich ausgeübt wird,</w:t>
      </w:r>
    </w:p>
    <w:p w14:paraId="12C1F53E" w14:textId="77777777" w:rsidR="008E5855" w:rsidRPr="009118AB" w:rsidRDefault="008E5855" w:rsidP="008E5855">
      <w:pPr>
        <w:autoSpaceDE w:val="0"/>
        <w:autoSpaceDN w:val="0"/>
        <w:adjustRightInd w:val="0"/>
        <w:jc w:val="both"/>
        <w:rPr>
          <w:iCs/>
          <w:sz w:val="20"/>
        </w:rPr>
      </w:pPr>
    </w:p>
    <w:p w14:paraId="35E9FBEE" w14:textId="3BFD2FCD" w:rsidR="008E5855" w:rsidRPr="009118AB" w:rsidRDefault="008E5855" w:rsidP="008E5855">
      <w:pPr>
        <w:autoSpaceDE w:val="0"/>
        <w:autoSpaceDN w:val="0"/>
        <w:adjustRightInd w:val="0"/>
        <w:jc w:val="both"/>
        <w:rPr>
          <w:iCs/>
          <w:sz w:val="20"/>
        </w:rPr>
      </w:pPr>
      <w:r w:rsidRPr="009118AB">
        <w:rPr>
          <w:iCs/>
          <w:sz w:val="20"/>
        </w:rPr>
        <w:t>- das erstgenannte Unternehmen direkt oder über Drittunternehmen Aktionär oder Gesellschafter eines anderen Unternehmens ist und aufgrund eines mit anderen Aktionären oder Gesellschaftern dieses anderen Unternehmens geschlossenen Vertrags die Mehrheit der Stimm</w:t>
      </w:r>
      <w:r w:rsidRPr="009118AB">
        <w:rPr>
          <w:iCs/>
          <w:sz w:val="20"/>
        </w:rPr>
        <w:softHyphen/>
        <w:t>rechte der Aktionäre oder Gesellschafter dieses anderen Unternehmens allein kontrolliert,</w:t>
      </w:r>
    </w:p>
    <w:p w14:paraId="6C7299F9" w14:textId="77777777" w:rsidR="008E5855" w:rsidRPr="009118AB" w:rsidRDefault="008E5855" w:rsidP="008E5855">
      <w:pPr>
        <w:autoSpaceDE w:val="0"/>
        <w:autoSpaceDN w:val="0"/>
        <w:adjustRightInd w:val="0"/>
        <w:jc w:val="both"/>
        <w:rPr>
          <w:iCs/>
          <w:sz w:val="20"/>
        </w:rPr>
      </w:pPr>
    </w:p>
    <w:p w14:paraId="0389CE5C" w14:textId="7B1FABD4" w:rsidR="008E5855" w:rsidRPr="009118AB" w:rsidRDefault="008E5855" w:rsidP="008E5855">
      <w:pPr>
        <w:autoSpaceDE w:val="0"/>
        <w:autoSpaceDN w:val="0"/>
        <w:adjustRightInd w:val="0"/>
        <w:jc w:val="both"/>
        <w:rPr>
          <w:iCs/>
          <w:sz w:val="20"/>
        </w:rPr>
      </w:pPr>
      <w:r w:rsidRPr="009118AB">
        <w:rPr>
          <w:iCs/>
          <w:sz w:val="20"/>
        </w:rPr>
        <w:t>- das andere Unternehmen direkt oder über Drittunternehmen Aktionär oder Gesell</w:t>
      </w:r>
      <w:r w:rsidRPr="009118AB">
        <w:rPr>
          <w:iCs/>
          <w:sz w:val="20"/>
        </w:rPr>
        <w:softHyphen/>
        <w:t>schafter des erstgenannten Unternehmens ist und aufgrund eines mit anderen Aktionären oder Gesellschaftern dieses erstgenannten Unternehmens geschlossenen Vertrags die Mehrheit der Stimmrechte der Aktionäre oder Gesellschafter dieses erstgenannten Unternehmens allein kontrolliert.</w:t>
      </w:r>
    </w:p>
    <w:p w14:paraId="58BE5E49" w14:textId="77777777" w:rsidR="008E5855" w:rsidRPr="009118AB" w:rsidRDefault="008E5855" w:rsidP="008E5855">
      <w:pPr>
        <w:autoSpaceDE w:val="0"/>
        <w:autoSpaceDN w:val="0"/>
        <w:adjustRightInd w:val="0"/>
        <w:jc w:val="both"/>
        <w:rPr>
          <w:iCs/>
          <w:sz w:val="20"/>
        </w:rPr>
      </w:pPr>
    </w:p>
    <w:p w14:paraId="1A33FF92" w14:textId="7D22D79E" w:rsidR="008E5855" w:rsidRPr="009118AB" w:rsidRDefault="008E5855" w:rsidP="008E5855">
      <w:pPr>
        <w:autoSpaceDE w:val="0"/>
        <w:autoSpaceDN w:val="0"/>
        <w:adjustRightInd w:val="0"/>
        <w:jc w:val="both"/>
        <w:rPr>
          <w:iCs/>
          <w:sz w:val="20"/>
        </w:rPr>
      </w:pPr>
      <w:r w:rsidRPr="009118AB">
        <w:rPr>
          <w:iCs/>
          <w:sz w:val="20"/>
        </w:rPr>
        <w:t xml:space="preserve">Für die Anwendung von </w:t>
      </w:r>
      <w:r w:rsidR="00D67EB8" w:rsidRPr="009118AB">
        <w:rPr>
          <w:iCs/>
          <w:sz w:val="20"/>
        </w:rPr>
        <w:t>§ </w:t>
      </w:r>
      <w:r w:rsidRPr="009118AB">
        <w:rPr>
          <w:iCs/>
          <w:sz w:val="20"/>
        </w:rPr>
        <w:t xml:space="preserve">1 </w:t>
      </w:r>
      <w:r w:rsidR="00D67EB8" w:rsidRPr="009118AB">
        <w:rPr>
          <w:iCs/>
          <w:sz w:val="20"/>
        </w:rPr>
        <w:t>Nr. </w:t>
      </w:r>
      <w:r w:rsidRPr="009118AB">
        <w:rPr>
          <w:iCs/>
          <w:sz w:val="20"/>
        </w:rPr>
        <w:t>4/1 entspricht die durchschnittliche Beschäftigtenzahl der in Vollzeitgleichwerten ausgedrückten durchschnittlichen Zahl der Arbeitnehmer, die am Ende jeden Monats des Besteuerungszeitraums gemäß dem Königlichen Erlass vom 5. Novem</w:t>
      </w:r>
      <w:r w:rsidRPr="009118AB">
        <w:rPr>
          <w:iCs/>
          <w:sz w:val="20"/>
        </w:rPr>
        <w:softHyphen/>
        <w:t>ber 2002 zur Einführung einer unmittelbaren Beschäftigungsmeldung in Anwendung des Artikels 38 des Gesetzes vom 26. Juli 1996 zur Modernisierung der sozialen Sicherheit und zur Sicherung der gesetzlichen Pensionsregelungen in der DIMONA-Datenbank eingetragen sind, oder</w:t>
      </w:r>
      <w:r w:rsidR="00D67EB8" w:rsidRPr="009118AB">
        <w:rPr>
          <w:iCs/>
          <w:sz w:val="20"/>
        </w:rPr>
        <w:t> - </w:t>
      </w:r>
      <w:r w:rsidRPr="009118AB">
        <w:rPr>
          <w:iCs/>
          <w:sz w:val="20"/>
        </w:rPr>
        <w:t>wenn die Beschäftigung nicht in den Anwendungsbereich dieses Königlichen Erlasses fällt</w:t>
      </w:r>
      <w:r w:rsidR="00D67EB8" w:rsidRPr="009118AB">
        <w:rPr>
          <w:iCs/>
          <w:sz w:val="20"/>
        </w:rPr>
        <w:t> - </w:t>
      </w:r>
      <w:r w:rsidRPr="009118AB">
        <w:rPr>
          <w:iCs/>
          <w:sz w:val="20"/>
        </w:rPr>
        <w:t>der in Vollzeitgleichwerten ausgedrückten durchschnittlichen Zahl der beschäftigten Arbeitnehmer, die am Ende jeden Monats des in Betracht gezogenen Besteuerungszeitraums im allgemeinen Personalregister oder in einem gleichwertigen Dokument eingetragen sind.</w:t>
      </w:r>
    </w:p>
    <w:p w14:paraId="57E050D7" w14:textId="77777777" w:rsidR="008E5855" w:rsidRPr="009118AB" w:rsidRDefault="008E5855" w:rsidP="008E5855">
      <w:pPr>
        <w:autoSpaceDE w:val="0"/>
        <w:autoSpaceDN w:val="0"/>
        <w:adjustRightInd w:val="0"/>
        <w:jc w:val="both"/>
        <w:rPr>
          <w:iCs/>
          <w:sz w:val="20"/>
        </w:rPr>
      </w:pPr>
    </w:p>
    <w:p w14:paraId="538A28E9" w14:textId="3F576540" w:rsidR="008E5855" w:rsidRPr="009118AB" w:rsidRDefault="008E5855" w:rsidP="008E5855">
      <w:pPr>
        <w:autoSpaceDE w:val="0"/>
        <w:autoSpaceDN w:val="0"/>
        <w:adjustRightInd w:val="0"/>
        <w:jc w:val="both"/>
        <w:rPr>
          <w:iCs/>
          <w:sz w:val="20"/>
        </w:rPr>
      </w:pPr>
      <w:r w:rsidRPr="009118AB">
        <w:rPr>
          <w:iCs/>
          <w:sz w:val="20"/>
        </w:rPr>
        <w:t>Diese durchschnittliche Zahl der Arbeitnehmer wird gegebenenfalls um die Zahl der natürlichen Personen erhöht, die im Unternehmen eine leitende Funktion oder eine leitende Tätigkeit der täglichen Geschäftsführung kommerzieller, finanzieller oder technischer Art ausüben und weder in der DIMONA-Datenbank noch im vorerwähnten allgemeinen Personal</w:t>
      </w:r>
      <w:r w:rsidRPr="009118AB">
        <w:rPr>
          <w:iCs/>
          <w:sz w:val="20"/>
        </w:rPr>
        <w:softHyphen/>
        <w:t>register oder im vorerwähnten gleichwertigen Dokument eingetragen sind.</w:t>
      </w:r>
    </w:p>
    <w:p w14:paraId="7650668E" w14:textId="77777777" w:rsidR="008E5855" w:rsidRPr="009118AB" w:rsidRDefault="008E5855" w:rsidP="008E5855">
      <w:pPr>
        <w:autoSpaceDE w:val="0"/>
        <w:autoSpaceDN w:val="0"/>
        <w:adjustRightInd w:val="0"/>
        <w:jc w:val="both"/>
        <w:rPr>
          <w:iCs/>
          <w:sz w:val="20"/>
        </w:rPr>
      </w:pPr>
    </w:p>
    <w:p w14:paraId="057B55B8" w14:textId="16D417AD" w:rsidR="008E5855" w:rsidRPr="009118AB" w:rsidRDefault="008E5855" w:rsidP="008E5855">
      <w:pPr>
        <w:autoSpaceDE w:val="0"/>
        <w:autoSpaceDN w:val="0"/>
        <w:adjustRightInd w:val="0"/>
        <w:jc w:val="both"/>
        <w:rPr>
          <w:iCs/>
          <w:sz w:val="20"/>
        </w:rPr>
      </w:pPr>
      <w:r w:rsidRPr="009118AB">
        <w:rPr>
          <w:iCs/>
          <w:sz w:val="20"/>
        </w:rPr>
        <w:t>Die in Vollzeitgleichwerten ausgedrückte Zahl der Arbeitnehmer entspricht dem Arbeitsvolumen, ausgedrückt in Vollzeitgleichwerten, das für Teilzeitarbeitnehmer auf der Grundlage der vertraglich festgelegten Anzahl zu leistender Stunden im Verhältnis zur normalen Arbeitszeit eines vergleichbaren Vollzeitarbeitnehmers zu berechnen ist.]</w:t>
      </w:r>
    </w:p>
    <w:p w14:paraId="67941855" w14:textId="77777777" w:rsidR="008E5855" w:rsidRPr="009118AB" w:rsidRDefault="008E5855" w:rsidP="008E5855">
      <w:pPr>
        <w:autoSpaceDE w:val="0"/>
        <w:autoSpaceDN w:val="0"/>
        <w:adjustRightInd w:val="0"/>
        <w:jc w:val="both"/>
        <w:rPr>
          <w:iCs/>
          <w:sz w:val="20"/>
        </w:rPr>
      </w:pPr>
    </w:p>
    <w:p w14:paraId="641842DD" w14:textId="2E804E07" w:rsidR="008E5855" w:rsidRPr="009118AB" w:rsidRDefault="008E5855" w:rsidP="00477B8F">
      <w:pPr>
        <w:autoSpaceDE w:val="0"/>
        <w:autoSpaceDN w:val="0"/>
        <w:adjustRightInd w:val="0"/>
        <w:jc w:val="both"/>
        <w:rPr>
          <w:iCs/>
          <w:sz w:val="20"/>
        </w:rPr>
      </w:pPr>
      <w:r w:rsidRPr="009118AB">
        <w:rPr>
          <w:i/>
          <w:iCs/>
          <w:sz w:val="20"/>
        </w:rPr>
        <w:t>[</w:t>
      </w:r>
      <w:r w:rsidR="00D67EB8" w:rsidRPr="009118AB">
        <w:rPr>
          <w:i/>
          <w:iCs/>
          <w:sz w:val="20"/>
        </w:rPr>
        <w:t>Art. </w:t>
      </w:r>
      <w:r w:rsidRPr="009118AB">
        <w:rPr>
          <w:i/>
          <w:iCs/>
          <w:sz w:val="20"/>
        </w:rPr>
        <w:t xml:space="preserve">2 </w:t>
      </w:r>
      <w:r w:rsidR="00D67EB8" w:rsidRPr="009118AB">
        <w:rPr>
          <w:i/>
          <w:iCs/>
          <w:sz w:val="20"/>
        </w:rPr>
        <w:t>§ </w:t>
      </w:r>
      <w:r w:rsidRPr="009118AB">
        <w:rPr>
          <w:i/>
          <w:iCs/>
          <w:sz w:val="20"/>
        </w:rPr>
        <w:t xml:space="preserve">1 nummeriert durch </w:t>
      </w:r>
      <w:r w:rsidR="00D67EB8" w:rsidRPr="009118AB">
        <w:rPr>
          <w:i/>
          <w:iCs/>
          <w:sz w:val="20"/>
        </w:rPr>
        <w:t>Art. </w:t>
      </w:r>
      <w:r w:rsidRPr="009118AB">
        <w:rPr>
          <w:i/>
          <w:iCs/>
          <w:sz w:val="20"/>
        </w:rPr>
        <w:t xml:space="preserve">33 </w:t>
      </w:r>
      <w:r w:rsidR="00D67EB8" w:rsidRPr="009118AB">
        <w:rPr>
          <w:i/>
          <w:iCs/>
          <w:sz w:val="20"/>
        </w:rPr>
        <w:t>Nr. </w:t>
      </w:r>
      <w:r w:rsidRPr="009118AB">
        <w:rPr>
          <w:i/>
          <w:iCs/>
          <w:sz w:val="20"/>
        </w:rPr>
        <w:t>1 des G. vom 15. Dezember 2004 (B.S. vom 1. Februar 2005)</w:t>
      </w:r>
      <w:r w:rsidR="00D67EB8" w:rsidRPr="009118AB">
        <w:rPr>
          <w:i/>
          <w:iCs/>
          <w:sz w:val="20"/>
        </w:rPr>
        <w:t> - </w:t>
      </w:r>
      <w:r w:rsidRPr="009118AB">
        <w:rPr>
          <w:i/>
          <w:iCs/>
          <w:sz w:val="20"/>
        </w:rPr>
        <w:t>anwendbar auf Vereinbarungen über die Leistung von dinglichen Sicherheiten und auf Verleihe mit Bezug auf Finanzinstrumente, die ab dem 1. Februar 2005 abgeschlossen werden</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(früherer einziger Absatz) ersetzt durch </w:t>
      </w:r>
      <w:r w:rsidR="00D67EB8" w:rsidRPr="009118AB">
        <w:rPr>
          <w:i/>
          <w:iCs/>
          <w:sz w:val="20"/>
        </w:rPr>
        <w:t>Art. </w:t>
      </w:r>
      <w:r w:rsidRPr="009118AB">
        <w:rPr>
          <w:i/>
          <w:iCs/>
          <w:sz w:val="20"/>
        </w:rPr>
        <w:t>2 des G. vom 10. August 2001 (B.S. vom 20. September 2001)</w:t>
      </w:r>
      <w:r w:rsidR="00D67EB8" w:rsidRPr="009118AB">
        <w:rPr>
          <w:i/>
          <w:iCs/>
          <w:sz w:val="20"/>
        </w:rPr>
        <w:t> - </w:t>
      </w:r>
      <w:r w:rsidRPr="009118AB">
        <w:rPr>
          <w:i/>
          <w:iCs/>
          <w:sz w:val="20"/>
        </w:rPr>
        <w:t>in Kraft ab dem Steuerjahr 2005</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 </w:t>
      </w:r>
      <w:r w:rsidR="00D67EB8" w:rsidRPr="009118AB">
        <w:rPr>
          <w:i/>
          <w:iCs/>
          <w:sz w:val="20"/>
        </w:rPr>
        <w:t>Abs. </w:t>
      </w:r>
      <w:r w:rsidRPr="009118AB">
        <w:rPr>
          <w:i/>
          <w:iCs/>
          <w:sz w:val="20"/>
        </w:rPr>
        <w:t xml:space="preserve">1 Buchstabe a) ersetzt durch </w:t>
      </w:r>
      <w:r w:rsidR="00D67EB8" w:rsidRPr="009118AB">
        <w:rPr>
          <w:i/>
          <w:iCs/>
          <w:sz w:val="20"/>
        </w:rPr>
        <w:t>Art. </w:t>
      </w:r>
      <w:r w:rsidRPr="009118AB">
        <w:rPr>
          <w:i/>
          <w:iCs/>
          <w:sz w:val="20"/>
        </w:rPr>
        <w:t xml:space="preserve">8 </w:t>
      </w:r>
      <w:r w:rsidR="00D67EB8" w:rsidRPr="009118AB">
        <w:rPr>
          <w:i/>
          <w:iCs/>
          <w:sz w:val="20"/>
        </w:rPr>
        <w:t>Nr. </w:t>
      </w:r>
      <w:r w:rsidRPr="009118AB">
        <w:rPr>
          <w:i/>
          <w:iCs/>
          <w:sz w:val="20"/>
        </w:rPr>
        <w:t>1 des G. vom 8. Mai 2014 (B.S. vom 28. Mai 2014)</w:t>
      </w:r>
      <w:r w:rsidR="00D67EB8" w:rsidRPr="009118AB">
        <w:rPr>
          <w:i/>
          <w:iCs/>
          <w:sz w:val="20"/>
        </w:rPr>
        <w:t> - </w:t>
      </w:r>
      <w:r w:rsidRPr="009118AB">
        <w:rPr>
          <w:i/>
          <w:iCs/>
          <w:sz w:val="20"/>
        </w:rPr>
        <w:t>anwendbar auf Besteuerungszeiträume, die am 1. Januar 2014 oder später beginnen</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 </w:t>
      </w:r>
      <w:r w:rsidR="00D67EB8" w:rsidRPr="009118AB">
        <w:rPr>
          <w:i/>
          <w:iCs/>
          <w:sz w:val="20"/>
        </w:rPr>
        <w:t>Abs. </w:t>
      </w:r>
      <w:r w:rsidRPr="009118AB">
        <w:rPr>
          <w:i/>
          <w:iCs/>
          <w:sz w:val="20"/>
        </w:rPr>
        <w:t xml:space="preserve">1 Buchstabe c) abgeändert durch </w:t>
      </w:r>
      <w:r w:rsidR="00D67EB8" w:rsidRPr="009118AB">
        <w:rPr>
          <w:i/>
          <w:iCs/>
          <w:sz w:val="20"/>
        </w:rPr>
        <w:t>Art. </w:t>
      </w:r>
      <w:r w:rsidRPr="009118AB">
        <w:rPr>
          <w:i/>
          <w:iCs/>
          <w:sz w:val="20"/>
        </w:rPr>
        <w:t>2 des G. vom 21. Juli 2017 (B.S. vom 3. August 2017)</w:t>
      </w:r>
      <w:r w:rsidR="00D67EB8" w:rsidRPr="009118AB">
        <w:rPr>
          <w:i/>
          <w:iCs/>
          <w:sz w:val="20"/>
        </w:rPr>
        <w:t> - </w:t>
      </w:r>
      <w:r w:rsidRPr="009118AB">
        <w:rPr>
          <w:i/>
          <w:iCs/>
          <w:sz w:val="20"/>
        </w:rPr>
        <w:t>anwendbar ab dem Steuerjahr 2018</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 </w:t>
      </w:r>
      <w:r w:rsidR="00D67EB8" w:rsidRPr="009118AB">
        <w:rPr>
          <w:i/>
          <w:iCs/>
          <w:sz w:val="20"/>
        </w:rPr>
        <w:t>Abs. </w:t>
      </w:r>
      <w:r w:rsidRPr="009118AB">
        <w:rPr>
          <w:i/>
          <w:iCs/>
          <w:sz w:val="20"/>
        </w:rPr>
        <w:t xml:space="preserve">2 abgeändert durch </w:t>
      </w:r>
      <w:r w:rsidR="00D67EB8" w:rsidRPr="009118AB">
        <w:rPr>
          <w:i/>
          <w:iCs/>
          <w:sz w:val="20"/>
        </w:rPr>
        <w:t>Art. </w:t>
      </w:r>
      <w:r w:rsidRPr="009118AB">
        <w:rPr>
          <w:i/>
          <w:iCs/>
          <w:sz w:val="20"/>
        </w:rPr>
        <w:t xml:space="preserve">8 </w:t>
      </w:r>
      <w:r w:rsidR="00D67EB8" w:rsidRPr="009118AB">
        <w:rPr>
          <w:i/>
          <w:iCs/>
          <w:sz w:val="20"/>
        </w:rPr>
        <w:t>Nr. </w:t>
      </w:r>
      <w:r w:rsidRPr="009118AB">
        <w:rPr>
          <w:i/>
          <w:iCs/>
          <w:sz w:val="20"/>
        </w:rPr>
        <w:t>2 des G. vom 8. Mai 2014 (B.S. vom 28. Mai 2014)</w:t>
      </w:r>
      <w:r w:rsidR="00D67EB8" w:rsidRPr="009118AB">
        <w:rPr>
          <w:i/>
          <w:iCs/>
          <w:sz w:val="20"/>
        </w:rPr>
        <w:t> - </w:t>
      </w:r>
      <w:r w:rsidRPr="009118AB">
        <w:rPr>
          <w:i/>
          <w:iCs/>
          <w:sz w:val="20"/>
        </w:rPr>
        <w:t>anwendbar auf Besteuerungszeiträume, die am 1. Januar 2014 oder später beginnen</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4/1 eingefügt durch </w:t>
      </w:r>
      <w:r w:rsidR="00D67EB8" w:rsidRPr="009118AB">
        <w:rPr>
          <w:i/>
          <w:iCs/>
          <w:sz w:val="20"/>
        </w:rPr>
        <w:t>Art. </w:t>
      </w:r>
      <w:r w:rsidRPr="009118AB">
        <w:rPr>
          <w:i/>
          <w:iCs/>
          <w:sz w:val="20"/>
        </w:rPr>
        <w:t>84 Buchstabe a) des G. vom 11. Februar 2019 (B.S. vom 22. März 2020)</w:t>
      </w:r>
      <w:r w:rsidR="00D67EB8" w:rsidRPr="009118AB">
        <w:rPr>
          <w:i/>
          <w:iCs/>
          <w:sz w:val="20"/>
        </w:rPr>
        <w:t> - </w:t>
      </w:r>
      <w:r w:rsidRPr="009118AB">
        <w:rPr>
          <w:i/>
          <w:iCs/>
          <w:sz w:val="20"/>
        </w:rPr>
        <w:t>anwendbar ab dem Steuerjahr 2019 auf berufliche Verluste, die Schäden an Landwirtschaftskulturen zuzurechnen sind, die durch ab dem 1. Januar 2018 aufgetretene schlechte Witterungsbedingungen verursacht worden sind</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4/2 eingefügt durch </w:t>
      </w:r>
      <w:r w:rsidR="00D67EB8" w:rsidRPr="009118AB">
        <w:rPr>
          <w:i/>
          <w:iCs/>
          <w:sz w:val="20"/>
        </w:rPr>
        <w:t>Art. </w:t>
      </w:r>
      <w:r w:rsidRPr="009118AB">
        <w:rPr>
          <w:i/>
          <w:iCs/>
          <w:sz w:val="20"/>
        </w:rPr>
        <w:t>84 Buchstabe b) des G. vom 11. Februar 2019 (B.S. vom 22. März 2020)</w:t>
      </w:r>
      <w:r w:rsidR="00D67EB8" w:rsidRPr="009118AB">
        <w:rPr>
          <w:i/>
          <w:iCs/>
          <w:sz w:val="20"/>
        </w:rPr>
        <w:t> - </w:t>
      </w:r>
      <w:r w:rsidRPr="009118AB">
        <w:rPr>
          <w:i/>
          <w:iCs/>
          <w:sz w:val="20"/>
        </w:rPr>
        <w:t>anwendbar ab dem Steuerjahr 2019 auf berufliche Verluste, die Schäden an Landwirtschaftskulturen zuzurechnen sind, die durch ab dem 1. Januar 2018 aufgetretene schlechte Witterungsbedingungen verursacht worden sind</w:t>
      </w:r>
      <w:r w:rsidR="003366D9" w:rsidRPr="009118AB">
        <w:rPr>
          <w:i/>
          <w:iCs/>
          <w:sz w:val="20"/>
        </w:rPr>
        <w:t> -;</w:t>
      </w:r>
      <w:r w:rsidRPr="009118AB">
        <w:rPr>
          <w:i/>
          <w:iCs/>
          <w:sz w:val="20"/>
        </w:rPr>
        <w:t xml:space="preserve"> </w:t>
      </w:r>
      <w:r w:rsidR="00D67EB8" w:rsidRPr="009118AB">
        <w:rPr>
          <w:i/>
          <w:iCs/>
          <w:sz w:val="20"/>
        </w:rPr>
        <w:t>§ </w:t>
      </w:r>
      <w:r w:rsidR="00234B39" w:rsidRPr="009118AB">
        <w:rPr>
          <w:i/>
          <w:iCs/>
          <w:sz w:val="20"/>
        </w:rPr>
        <w:t xml:space="preserve">1 einziger Absatz </w:t>
      </w:r>
      <w:r w:rsidR="00D67EB8" w:rsidRPr="009118AB">
        <w:rPr>
          <w:i/>
          <w:iCs/>
          <w:sz w:val="20"/>
        </w:rPr>
        <w:t>Nr. </w:t>
      </w:r>
      <w:r w:rsidR="00234B39" w:rsidRPr="009118AB">
        <w:rPr>
          <w:i/>
          <w:iCs/>
          <w:sz w:val="20"/>
        </w:rPr>
        <w:t xml:space="preserve">4/2 einziger Absatz vierter Gedankenstrich ersetzt durch </w:t>
      </w:r>
      <w:r w:rsidR="00D67EB8" w:rsidRPr="009118AB">
        <w:rPr>
          <w:i/>
          <w:iCs/>
          <w:sz w:val="20"/>
        </w:rPr>
        <w:t>Art. </w:t>
      </w:r>
      <w:r w:rsidR="00234B39" w:rsidRPr="009118AB">
        <w:rPr>
          <w:i/>
          <w:iCs/>
          <w:sz w:val="20"/>
        </w:rPr>
        <w:t xml:space="preserve">20 Buchstabe a) des G. vom 27. Juni 2021 (B.S. vom 30. Juni 2021);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 einziger Absatz Buchstabe a) </w:t>
      </w:r>
      <w:r w:rsidR="00D67EB8" w:rsidRPr="009118AB">
        <w:rPr>
          <w:i/>
          <w:iCs/>
          <w:sz w:val="20"/>
        </w:rPr>
        <w:t>Abs. </w:t>
      </w:r>
      <w:r w:rsidRPr="009118AB">
        <w:rPr>
          <w:i/>
          <w:iCs/>
          <w:sz w:val="20"/>
        </w:rPr>
        <w:t xml:space="preserve">1 abgeändert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1 und 2 des G. vom 17. März 2019 (III) (B.S. vom 10. Mai 2019)</w:t>
      </w:r>
      <w:r w:rsidR="00D67EB8" w:rsidRPr="009118AB">
        <w:rPr>
          <w:i/>
          <w:iCs/>
          <w:sz w:val="20"/>
        </w:rPr>
        <w:t> - </w:t>
      </w:r>
      <w:r w:rsidRPr="009118AB">
        <w:rPr>
          <w:i/>
          <w:iCs/>
          <w:sz w:val="20"/>
        </w:rPr>
        <w:t>in Kraft am 1. Mai 2019</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 einziger Absatz Buchstabe b) </w:t>
      </w:r>
      <w:r w:rsidR="00D67EB8" w:rsidRPr="009118AB">
        <w:rPr>
          <w:i/>
          <w:iCs/>
          <w:sz w:val="20"/>
        </w:rPr>
        <w:t>Abs. </w:t>
      </w:r>
      <w:r w:rsidRPr="009118AB">
        <w:rPr>
          <w:i/>
          <w:iCs/>
          <w:sz w:val="20"/>
        </w:rPr>
        <w:t xml:space="preserve">1 abgeändert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3 Buchstabe a) des G. vom 17. März 2019 (III) (B.S. vom 10. Mai 2019)</w:t>
      </w:r>
      <w:r w:rsidR="00D67EB8" w:rsidRPr="009118AB">
        <w:rPr>
          <w:i/>
          <w:iCs/>
          <w:sz w:val="20"/>
        </w:rPr>
        <w:t> - </w:t>
      </w:r>
      <w:r w:rsidRPr="009118AB">
        <w:rPr>
          <w:i/>
          <w:iCs/>
          <w:sz w:val="20"/>
        </w:rPr>
        <w:t>in Kraft am 1. Mai 2019</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 einziger Absatz Buchstabe b) </w:t>
      </w:r>
      <w:r w:rsidR="00D67EB8" w:rsidRPr="009118AB">
        <w:rPr>
          <w:i/>
          <w:iCs/>
          <w:sz w:val="20"/>
        </w:rPr>
        <w:t>Abs. </w:t>
      </w:r>
      <w:r w:rsidRPr="009118AB">
        <w:rPr>
          <w:i/>
          <w:iCs/>
          <w:sz w:val="20"/>
        </w:rPr>
        <w:t xml:space="preserve">2 eingefügt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3 Buchstabe b) des G. vom 17. März 2019 (III) (B.S. vom 10. Mai 2019)</w:t>
      </w:r>
      <w:r w:rsidR="00D67EB8" w:rsidRPr="009118AB">
        <w:rPr>
          <w:i/>
          <w:iCs/>
          <w:sz w:val="20"/>
        </w:rPr>
        <w:t> - </w:t>
      </w:r>
      <w:r w:rsidRPr="009118AB">
        <w:rPr>
          <w:i/>
          <w:iCs/>
          <w:sz w:val="20"/>
        </w:rPr>
        <w:t>in Kraft am 1. Mai 2019</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 einziger Absatz Buchstabe bbis) eingefügt durch </w:t>
      </w:r>
      <w:r w:rsidR="00D67EB8" w:rsidRPr="009118AB">
        <w:rPr>
          <w:i/>
          <w:iCs/>
          <w:sz w:val="20"/>
        </w:rPr>
        <w:t>Art. </w:t>
      </w:r>
      <w:r w:rsidRPr="009118AB">
        <w:rPr>
          <w:i/>
          <w:iCs/>
          <w:sz w:val="20"/>
        </w:rPr>
        <w:t>3 des G. vom 11. Dezember 2008 (B.S. vom 12. Januar 2009)</w:t>
      </w:r>
      <w:r w:rsidR="00D67EB8" w:rsidRPr="009118AB">
        <w:rPr>
          <w:i/>
          <w:iCs/>
          <w:sz w:val="20"/>
        </w:rPr>
        <w:t> - </w:t>
      </w:r>
      <w:r w:rsidRPr="009118AB">
        <w:rPr>
          <w:i/>
          <w:iCs/>
          <w:sz w:val="20"/>
        </w:rPr>
        <w:t>anwendbar auf Vorgänge oder Verlegungen, die ab dem 12. Januar 2009 stattfinden</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 einziger Absatz Buchstabe bbis) einziger Absatz zweiter Gedankenstrich abgeändert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 xml:space="preserve">1 des G. vom 21. Dezember 2013 (II) (B.S. vom 31. Dezember 2013) </w:t>
      </w:r>
      <w:r w:rsidRPr="009118AB">
        <w:rPr>
          <w:i/>
          <w:iCs/>
          <w:sz w:val="20"/>
        </w:rPr>
        <w:lastRenderedPageBreak/>
        <w:t xml:space="preserve">und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4 des G. vom 17. März 2019 (III) (B.S. vom 10. Mai 2019)</w:t>
      </w:r>
      <w:r w:rsidR="00D67EB8" w:rsidRPr="009118AB">
        <w:rPr>
          <w:i/>
          <w:iCs/>
          <w:sz w:val="20"/>
        </w:rPr>
        <w:t> - </w:t>
      </w:r>
      <w:r w:rsidRPr="009118AB">
        <w:rPr>
          <w:i/>
          <w:iCs/>
          <w:sz w:val="20"/>
        </w:rPr>
        <w:t>in Kraft am 1. Mai 2019</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 einziger Absatz Buchstabe bbis) einziger Absatz vierter Gedankenstrich abgeändert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 xml:space="preserve">2 des G. vom 21. Dezember 2013 (II) (B.S. vom 31. Dezember 2013);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 einziger Absatz Buchstabe c) abgeändert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5 des G. vom 17. März 2019 (III) (B.S. vom 10. Mai 2019)</w:t>
      </w:r>
      <w:r w:rsidR="00D67EB8" w:rsidRPr="009118AB">
        <w:rPr>
          <w:i/>
          <w:iCs/>
          <w:sz w:val="20"/>
        </w:rPr>
        <w:t> - </w:t>
      </w:r>
      <w:r w:rsidRPr="009118AB">
        <w:rPr>
          <w:i/>
          <w:iCs/>
          <w:sz w:val="20"/>
        </w:rPr>
        <w:t>in Kraft am 1. Mai 2019</w:t>
      </w:r>
      <w:r w:rsidR="003366D9" w:rsidRPr="009118AB">
        <w:rPr>
          <w:i/>
          <w:iCs/>
          <w:sz w:val="20"/>
        </w:rPr>
        <w:t> -;</w:t>
      </w:r>
      <w:r w:rsidRPr="009118AB">
        <w:rPr>
          <w:i/>
          <w:iCs/>
          <w:sz w:val="20"/>
        </w:rPr>
        <w:t xml:space="preserve"> </w:t>
      </w:r>
      <w:r w:rsidR="00D67EB8" w:rsidRPr="009118AB">
        <w:rPr>
          <w:i/>
          <w:iCs/>
          <w:sz w:val="20"/>
        </w:rPr>
        <w:t>§ </w:t>
      </w:r>
      <w:r w:rsidR="003F4F6F" w:rsidRPr="009118AB">
        <w:rPr>
          <w:i/>
          <w:iCs/>
          <w:sz w:val="20"/>
        </w:rPr>
        <w:t xml:space="preserve">1 einziger Absatz </w:t>
      </w:r>
      <w:r w:rsidR="00D67EB8" w:rsidRPr="009118AB">
        <w:rPr>
          <w:i/>
          <w:iCs/>
          <w:sz w:val="20"/>
        </w:rPr>
        <w:t>Nr. </w:t>
      </w:r>
      <w:r w:rsidR="003F4F6F" w:rsidRPr="009118AB">
        <w:rPr>
          <w:i/>
          <w:iCs/>
          <w:sz w:val="20"/>
        </w:rPr>
        <w:t xml:space="preserve">5 einziger Absatz Buchstabe cbis) eingefügt durch </w:t>
      </w:r>
      <w:r w:rsidR="00D67EB8" w:rsidRPr="009118AB">
        <w:rPr>
          <w:i/>
          <w:iCs/>
          <w:sz w:val="20"/>
        </w:rPr>
        <w:t>Art. </w:t>
      </w:r>
      <w:r w:rsidR="003F4F6F" w:rsidRPr="009118AB">
        <w:rPr>
          <w:i/>
          <w:iCs/>
          <w:sz w:val="20"/>
        </w:rPr>
        <w:t xml:space="preserve">2 </w:t>
      </w:r>
      <w:r w:rsidR="00D67EB8" w:rsidRPr="009118AB">
        <w:rPr>
          <w:i/>
          <w:iCs/>
          <w:sz w:val="20"/>
        </w:rPr>
        <w:t>Nr. </w:t>
      </w:r>
      <w:r w:rsidR="003F4F6F" w:rsidRPr="009118AB">
        <w:rPr>
          <w:i/>
          <w:iCs/>
          <w:sz w:val="20"/>
        </w:rPr>
        <w:t>1 des G. vom 5. Juli 2022 (B.S. vom 15. Juli 2022)</w:t>
      </w:r>
      <w:r w:rsidR="00D30515"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 einziger Absatz Buchstabe g) eingefügt durch </w:t>
      </w:r>
      <w:r w:rsidR="00D67EB8" w:rsidRPr="009118AB">
        <w:rPr>
          <w:i/>
          <w:iCs/>
          <w:sz w:val="20"/>
        </w:rPr>
        <w:t>Art. </w:t>
      </w:r>
      <w:r w:rsidRPr="009118AB">
        <w:rPr>
          <w:i/>
          <w:iCs/>
          <w:sz w:val="20"/>
        </w:rPr>
        <w:t>83 des G. vom 12. Mai 2014 (II) (B.S. vom 30. Juni 2014)</w:t>
      </w:r>
      <w:r w:rsidR="00D67EB8" w:rsidRPr="009118AB">
        <w:rPr>
          <w:i/>
          <w:iCs/>
          <w:sz w:val="20"/>
        </w:rPr>
        <w:t> - </w:t>
      </w:r>
      <w:r w:rsidRPr="009118AB">
        <w:rPr>
          <w:i/>
          <w:iCs/>
          <w:sz w:val="20"/>
        </w:rPr>
        <w:t>in Kraft ab dem 16. Juli 2014</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 einziger Absatz Buchstabe h) eingefügt durch </w:t>
      </w:r>
      <w:r w:rsidR="00D67EB8" w:rsidRPr="009118AB">
        <w:rPr>
          <w:i/>
          <w:iCs/>
          <w:sz w:val="20"/>
        </w:rPr>
        <w:t>Art. </w:t>
      </w:r>
      <w:r w:rsidRPr="009118AB">
        <w:rPr>
          <w:i/>
          <w:iCs/>
          <w:sz w:val="20"/>
        </w:rPr>
        <w:t>6 des G. (II) vom 3. August 2016 (VI) (B.S. vom 16. August 2016)</w:t>
      </w:r>
      <w:r w:rsidR="00D67EB8" w:rsidRPr="009118AB">
        <w:rPr>
          <w:i/>
          <w:iCs/>
          <w:sz w:val="20"/>
        </w:rPr>
        <w:t> - </w:t>
      </w:r>
      <w:r w:rsidRPr="009118AB">
        <w:rPr>
          <w:i/>
          <w:iCs/>
          <w:sz w:val="20"/>
        </w:rPr>
        <w:t>in Kraft ab dem Steuerjahr 2016 für Vorgänge und Einkünfte, die ab dem 1. Juli 2016 stattfinden beziehungsweise zuerkannt oder ausgeschüttet werden</w:t>
      </w:r>
      <w:r w:rsidR="003366D9" w:rsidRPr="009118AB">
        <w:rPr>
          <w:i/>
          <w:iCs/>
          <w:sz w:val="20"/>
        </w:rPr>
        <w:t> -;</w:t>
      </w:r>
      <w:r w:rsidR="00D30515" w:rsidRPr="009118AB">
        <w:rPr>
          <w:i/>
          <w:iCs/>
          <w:sz w:val="20"/>
        </w:rPr>
        <w:t xml:space="preserve"> </w:t>
      </w:r>
      <w:r w:rsidR="00D67EB8" w:rsidRPr="009118AB">
        <w:rPr>
          <w:i/>
          <w:iCs/>
          <w:sz w:val="20"/>
        </w:rPr>
        <w:t>§ </w:t>
      </w:r>
      <w:r w:rsidR="00271EEB" w:rsidRPr="009118AB">
        <w:rPr>
          <w:i/>
          <w:iCs/>
          <w:sz w:val="20"/>
        </w:rPr>
        <w:t xml:space="preserve">1 einziger Absatz </w:t>
      </w:r>
      <w:r w:rsidR="00D67EB8" w:rsidRPr="009118AB">
        <w:rPr>
          <w:i/>
          <w:iCs/>
          <w:sz w:val="20"/>
        </w:rPr>
        <w:t>Nr. </w:t>
      </w:r>
      <w:r w:rsidR="00271EEB" w:rsidRPr="009118AB">
        <w:rPr>
          <w:i/>
          <w:iCs/>
          <w:sz w:val="20"/>
        </w:rPr>
        <w:t xml:space="preserve">5 einziger Absatz Buchstabe i) eingefügt durch </w:t>
      </w:r>
      <w:r w:rsidR="00D67EB8" w:rsidRPr="009118AB">
        <w:rPr>
          <w:i/>
          <w:iCs/>
          <w:sz w:val="20"/>
        </w:rPr>
        <w:t>Art. </w:t>
      </w:r>
      <w:r w:rsidR="00271EEB" w:rsidRPr="009118AB">
        <w:rPr>
          <w:i/>
          <w:iCs/>
          <w:sz w:val="20"/>
        </w:rPr>
        <w:t>61</w:t>
      </w:r>
      <w:r w:rsidR="00271EEB" w:rsidRPr="009118AB">
        <w:rPr>
          <w:bCs/>
          <w:i/>
          <w:iCs/>
          <w:sz w:val="20"/>
        </w:rPr>
        <w:t xml:space="preserve"> des G. vom 21. Januar 2022 (B.S. vom 28. Januar 2022);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5/1 eingefügt durch </w:t>
      </w:r>
      <w:r w:rsidR="00D67EB8" w:rsidRPr="009118AB">
        <w:rPr>
          <w:i/>
          <w:iCs/>
          <w:sz w:val="20"/>
        </w:rPr>
        <w:t>Art. </w:t>
      </w:r>
      <w:r w:rsidRPr="009118AB">
        <w:rPr>
          <w:i/>
          <w:iCs/>
          <w:sz w:val="20"/>
        </w:rPr>
        <w:t xml:space="preserve">5 des G. vom 30. Juli 2018 (II) (B.S. vom 10. August 2018) und abgeändert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6 des G. vom 17. März 2019 (III) (B.S. vom 10. Mai 2019)</w:t>
      </w:r>
      <w:r w:rsidR="00D67EB8" w:rsidRPr="009118AB">
        <w:rPr>
          <w:i/>
          <w:iCs/>
          <w:sz w:val="20"/>
        </w:rPr>
        <w:t> - </w:t>
      </w:r>
      <w:r w:rsidRPr="009118AB">
        <w:rPr>
          <w:i/>
          <w:iCs/>
          <w:sz w:val="20"/>
        </w:rPr>
        <w:t>in Kraft am 1. Mai 2019</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5bis </w:t>
      </w:r>
      <w:r w:rsidR="00234B39" w:rsidRPr="009118AB">
        <w:rPr>
          <w:i/>
          <w:iCs/>
          <w:sz w:val="20"/>
        </w:rPr>
        <w:t xml:space="preserve">eingefügt durch </w:t>
      </w:r>
      <w:r w:rsidR="00D67EB8" w:rsidRPr="009118AB">
        <w:rPr>
          <w:i/>
          <w:iCs/>
          <w:sz w:val="20"/>
        </w:rPr>
        <w:t>Art. </w:t>
      </w:r>
      <w:r w:rsidR="00234B39" w:rsidRPr="009118AB">
        <w:rPr>
          <w:i/>
          <w:iCs/>
          <w:sz w:val="20"/>
        </w:rPr>
        <w:t>313 des G. </w:t>
      </w:r>
      <w:r w:rsidRPr="009118AB">
        <w:rPr>
          <w:i/>
          <w:iCs/>
          <w:sz w:val="20"/>
        </w:rPr>
        <w:t>(I) vom 27. Dezember 2006 (II) (B.S. vom 28. Dezember 2006)</w:t>
      </w:r>
      <w:r w:rsidR="00D67EB8" w:rsidRPr="009118AB">
        <w:rPr>
          <w:i/>
          <w:iCs/>
          <w:sz w:val="20"/>
        </w:rPr>
        <w:t> - </w:t>
      </w:r>
      <w:r w:rsidRPr="009118AB">
        <w:rPr>
          <w:i/>
          <w:iCs/>
          <w:sz w:val="20"/>
        </w:rPr>
        <w:t>in Kraft ab dem 1. Januar 2007</w:t>
      </w:r>
      <w:r w:rsidR="00D67EB8" w:rsidRPr="009118AB">
        <w:rPr>
          <w:i/>
          <w:iCs/>
          <w:sz w:val="20"/>
        </w:rPr>
        <w:t> - </w:t>
      </w:r>
      <w:r w:rsidRPr="009118AB">
        <w:rPr>
          <w:i/>
          <w:iCs/>
          <w:sz w:val="20"/>
        </w:rPr>
        <w:t xml:space="preserve">und ersetzt durch </w:t>
      </w:r>
      <w:r w:rsidR="00D67EB8" w:rsidRPr="009118AB">
        <w:rPr>
          <w:i/>
          <w:iCs/>
          <w:sz w:val="20"/>
        </w:rPr>
        <w:t>Art. </w:t>
      </w:r>
      <w:r w:rsidRPr="009118AB">
        <w:rPr>
          <w:i/>
          <w:iCs/>
          <w:sz w:val="20"/>
        </w:rPr>
        <w:t xml:space="preserve">16 des G. vom 18. Dezember 2015 (II) (B.S. vom 28. Dezember 2015);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5ter eingefügt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7 des G. vom 17. März 2019 (III) (B.S. vom 10. Mai 2019)</w:t>
      </w:r>
      <w:r w:rsidR="00D67EB8" w:rsidRPr="009118AB">
        <w:rPr>
          <w:i/>
          <w:iCs/>
          <w:sz w:val="20"/>
        </w:rPr>
        <w:t> - </w:t>
      </w:r>
      <w:r w:rsidRPr="009118AB">
        <w:rPr>
          <w:i/>
          <w:iCs/>
          <w:sz w:val="20"/>
        </w:rPr>
        <w:t>in Kraft am 1. Mai 2019</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6 ersetzt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8 des G. vom 17. März 2019 (III) (B.S. vom 10. Mai 2019)</w:t>
      </w:r>
      <w:r w:rsidR="00D67EB8" w:rsidRPr="009118AB">
        <w:rPr>
          <w:i/>
          <w:iCs/>
          <w:sz w:val="20"/>
        </w:rPr>
        <w:t> - </w:t>
      </w:r>
      <w:r w:rsidRPr="009118AB">
        <w:rPr>
          <w:i/>
          <w:iCs/>
          <w:sz w:val="20"/>
        </w:rPr>
        <w:t>in Kraft am 1. Mai 2019</w:t>
      </w:r>
      <w:r w:rsidR="003366D9" w:rsidRPr="009118AB">
        <w:rPr>
          <w:i/>
          <w:iCs/>
          <w:sz w:val="20"/>
        </w:rPr>
        <w:t> </w:t>
      </w:r>
      <w:r w:rsidR="003366D9" w:rsidRPr="00E900F4">
        <w:rPr>
          <w:i/>
          <w:iCs/>
          <w:sz w:val="20"/>
          <w:szCs w:val="20"/>
        </w:rPr>
        <w:t>-;</w:t>
      </w:r>
      <w:r w:rsidRPr="00E900F4">
        <w:rPr>
          <w:i/>
          <w:iCs/>
          <w:sz w:val="20"/>
          <w:szCs w:val="20"/>
        </w:rPr>
        <w:t xml:space="preserve"> </w:t>
      </w:r>
      <w:r w:rsidR="00E900F4" w:rsidRPr="00E900F4">
        <w:rPr>
          <w:i/>
          <w:iCs/>
          <w:spacing w:val="-2"/>
          <w:sz w:val="20"/>
          <w:szCs w:val="20"/>
        </w:rPr>
        <w:t>§ 1 einziger Absatz Nr. 6/1 eingefügt durch Art. 2 Nr. 9 des G. vom 17. März 2019 (III) (B.S. vom 10. Mai 2019) - in Kraft am 1. Mai 2019 und anwendbar auf die dort definierten Vorgänge, die ab dem 1. Mai 2019 vorgenommen werden - ; § 1 einziger Absatz Nr. 6/1 Absatz 2 Buchstabe c) ersetzt durch Art. 44 Nr. 1 des G. vom 28. Dezember 2023 (B.S. vom 29. Dezember 2023) - </w:t>
      </w:r>
      <w:r w:rsidR="00E900F4" w:rsidRPr="00E900F4">
        <w:rPr>
          <w:i/>
          <w:iCs/>
          <w:sz w:val="20"/>
          <w:szCs w:val="20"/>
        </w:rPr>
        <w:t>wirksam mit 16. Juni 2023 -</w:t>
      </w:r>
      <w:r w:rsidR="00E900F4" w:rsidRPr="00E900F4">
        <w:rPr>
          <w:i/>
          <w:iCs/>
          <w:spacing w:val="-2"/>
          <w:sz w:val="20"/>
          <w:szCs w:val="20"/>
        </w:rPr>
        <w:t>; § 1 einziger Absatz Nr. 6/1 Absatz 2 Buchstabe g) Nr. 1 abgeändert durch Art. 44 Nr. 2 des G. vom 28. Dezember 2023 (B.S. vom 29. Dezember 2023) - </w:t>
      </w:r>
      <w:r w:rsidR="00E900F4" w:rsidRPr="00E900F4">
        <w:rPr>
          <w:i/>
          <w:iCs/>
          <w:sz w:val="20"/>
          <w:szCs w:val="20"/>
        </w:rPr>
        <w:t>wirksam mit 16. Juni 2023 -</w:t>
      </w:r>
      <w:r w:rsidR="00E900F4" w:rsidRPr="00E900F4">
        <w:rPr>
          <w:i/>
          <w:iCs/>
          <w:spacing w:val="-2"/>
          <w:sz w:val="20"/>
          <w:szCs w:val="20"/>
        </w:rPr>
        <w:t>; § 1 einziger Absatz Nr. 6/1 Absatz 2 Buchstabe g) Nr. 3 eingefügt durch Art. 44 Nr. 3 des G. vom 28. Dezember 2023 (B.S. vom 29. Dezember 2023) - </w:t>
      </w:r>
      <w:r w:rsidR="00E900F4" w:rsidRPr="00E900F4">
        <w:rPr>
          <w:i/>
          <w:iCs/>
          <w:sz w:val="20"/>
          <w:szCs w:val="20"/>
        </w:rPr>
        <w:t>wirksam mit 16. Juni 2023 -</w:t>
      </w:r>
      <w:r w:rsidR="00E900F4" w:rsidRPr="00E900F4">
        <w:rPr>
          <w:i/>
          <w:iCs/>
          <w:spacing w:val="-2"/>
          <w:sz w:val="20"/>
          <w:szCs w:val="20"/>
        </w:rPr>
        <w:t>; § 1 einziger Absatz Nr. 6/2 eingefügt durch Art. 2 Nr. 9 des G. vom 17. März 2019 (III) (B.S. vom 10. Mai 2019) - in Kraft am 1. Mai 2019 und anwendbar auf die dort definierten Vorgänge, die ab dem 1. Mai 2019 vorgenommen werden -;</w:t>
      </w:r>
      <w:r w:rsidR="00E900F4">
        <w:rPr>
          <w:i/>
          <w:iCs/>
          <w:spacing w:val="-2"/>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10 eingefügt durch </w:t>
      </w:r>
      <w:r w:rsidR="00D67EB8" w:rsidRPr="009118AB">
        <w:rPr>
          <w:i/>
          <w:iCs/>
          <w:sz w:val="20"/>
        </w:rPr>
        <w:t>Art. </w:t>
      </w:r>
      <w:r w:rsidRPr="009118AB">
        <w:rPr>
          <w:i/>
          <w:iCs/>
          <w:sz w:val="20"/>
        </w:rPr>
        <w:t>8 des G. vom 17. Mai 2004 (B.S. vom 27. Mai 2004)</w:t>
      </w:r>
      <w:r w:rsidR="00D67EB8" w:rsidRPr="009118AB">
        <w:rPr>
          <w:i/>
          <w:iCs/>
          <w:sz w:val="20"/>
        </w:rPr>
        <w:t> - </w:t>
      </w:r>
      <w:r w:rsidRPr="009118AB">
        <w:rPr>
          <w:i/>
          <w:iCs/>
          <w:sz w:val="20"/>
        </w:rPr>
        <w:t>in Kraft ab dem 1. Juli 2005</w:t>
      </w:r>
      <w:r w:rsidR="00D67EB8" w:rsidRPr="009118AB">
        <w:rPr>
          <w:i/>
          <w:iCs/>
          <w:sz w:val="20"/>
        </w:rPr>
        <w:t> - </w:t>
      </w:r>
      <w:r w:rsidR="003F4F6F" w:rsidRPr="009118AB">
        <w:rPr>
          <w:i/>
          <w:iCs/>
          <w:sz w:val="20"/>
        </w:rPr>
        <w:t xml:space="preserve">und aufgehoben durch </w:t>
      </w:r>
      <w:r w:rsidR="00D67EB8" w:rsidRPr="009118AB">
        <w:rPr>
          <w:i/>
          <w:iCs/>
          <w:sz w:val="20"/>
        </w:rPr>
        <w:t>Art. </w:t>
      </w:r>
      <w:r w:rsidR="003F4F6F" w:rsidRPr="009118AB">
        <w:rPr>
          <w:i/>
          <w:iCs/>
          <w:sz w:val="20"/>
        </w:rPr>
        <w:t xml:space="preserve">2 </w:t>
      </w:r>
      <w:r w:rsidR="00D67EB8" w:rsidRPr="009118AB">
        <w:rPr>
          <w:i/>
          <w:iCs/>
          <w:sz w:val="20"/>
        </w:rPr>
        <w:t>Nr. </w:t>
      </w:r>
      <w:r w:rsidR="003F4F6F" w:rsidRPr="009118AB">
        <w:rPr>
          <w:i/>
          <w:iCs/>
          <w:sz w:val="20"/>
        </w:rPr>
        <w:t>2 des G. vom 5. Juli 2022 (B.S. vom 15. Juli 2022)</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11 und 12 eingefügt durch </w:t>
      </w:r>
      <w:r w:rsidR="00D67EB8" w:rsidRPr="009118AB">
        <w:rPr>
          <w:i/>
          <w:iCs/>
          <w:sz w:val="20"/>
        </w:rPr>
        <w:t>Art. </w:t>
      </w:r>
      <w:r w:rsidRPr="009118AB">
        <w:rPr>
          <w:i/>
          <w:iCs/>
          <w:sz w:val="20"/>
        </w:rPr>
        <w:t xml:space="preserve">33 </w:t>
      </w:r>
      <w:r w:rsidR="00D67EB8" w:rsidRPr="009118AB">
        <w:rPr>
          <w:i/>
          <w:iCs/>
          <w:sz w:val="20"/>
        </w:rPr>
        <w:t>Nr. </w:t>
      </w:r>
      <w:r w:rsidRPr="009118AB">
        <w:rPr>
          <w:i/>
          <w:iCs/>
          <w:sz w:val="20"/>
        </w:rPr>
        <w:t>1 des G. vom 15. Dezember 2004 (B.S. vom 1. Februar 2005)</w:t>
      </w:r>
      <w:r w:rsidR="00D67EB8" w:rsidRPr="009118AB">
        <w:rPr>
          <w:i/>
          <w:iCs/>
          <w:sz w:val="20"/>
        </w:rPr>
        <w:t> - </w:t>
      </w:r>
      <w:r w:rsidRPr="009118AB">
        <w:rPr>
          <w:i/>
          <w:iCs/>
          <w:sz w:val="20"/>
        </w:rPr>
        <w:t>anwendbar auf Vereinbarungen über die Leistung von dinglichen Sicherheiten und auf Verleihe mit Bezug auf Finanzinstrumente, die ab dem 1. Februar 2005 abgeschlossen werden</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13 eingefügt durch </w:t>
      </w:r>
      <w:r w:rsidR="00D67EB8" w:rsidRPr="009118AB">
        <w:rPr>
          <w:i/>
          <w:iCs/>
          <w:sz w:val="20"/>
        </w:rPr>
        <w:t>Art. </w:t>
      </w:r>
      <w:r w:rsidRPr="009118AB">
        <w:rPr>
          <w:i/>
          <w:iCs/>
          <w:sz w:val="20"/>
        </w:rPr>
        <w:t>35 des G. vom 30. Juli 2013 (B.S. vom 1. August 2013)</w:t>
      </w:r>
      <w:r w:rsidR="00D67EB8" w:rsidRPr="009118AB">
        <w:rPr>
          <w:i/>
          <w:iCs/>
          <w:sz w:val="20"/>
        </w:rPr>
        <w:t> - </w:t>
      </w:r>
      <w:r w:rsidRPr="009118AB">
        <w:rPr>
          <w:i/>
          <w:iCs/>
          <w:sz w:val="20"/>
        </w:rPr>
        <w:t>in Kraft ab dem Steuerjahr 2014</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13 einziger Absatz Buchstabe b) ersetzt durch </w:t>
      </w:r>
      <w:r w:rsidR="00D67EB8" w:rsidRPr="009118AB">
        <w:rPr>
          <w:i/>
          <w:iCs/>
          <w:sz w:val="20"/>
        </w:rPr>
        <w:t>Art. </w:t>
      </w:r>
      <w:r w:rsidRPr="009118AB">
        <w:rPr>
          <w:i/>
          <w:iCs/>
          <w:sz w:val="20"/>
        </w:rPr>
        <w:t xml:space="preserve">38 </w:t>
      </w:r>
      <w:r w:rsidR="00D67EB8" w:rsidRPr="009118AB">
        <w:rPr>
          <w:i/>
          <w:iCs/>
          <w:sz w:val="20"/>
        </w:rPr>
        <w:t>Nr. </w:t>
      </w:r>
      <w:r w:rsidRPr="009118AB">
        <w:rPr>
          <w:i/>
          <w:iCs/>
          <w:sz w:val="20"/>
        </w:rPr>
        <w:t>1 des G. vom 10. August 2015 (B.S. vom 18. August 2015)</w:t>
      </w:r>
      <w:r w:rsidR="00D67EB8" w:rsidRPr="009118AB">
        <w:rPr>
          <w:i/>
          <w:iCs/>
          <w:sz w:val="20"/>
        </w:rPr>
        <w:t> - </w:t>
      </w:r>
      <w:r w:rsidRPr="009118AB">
        <w:rPr>
          <w:i/>
          <w:iCs/>
          <w:sz w:val="20"/>
        </w:rPr>
        <w:t>anwendbar auf Einkünfte, die ab dem</w:t>
      </w:r>
      <w:r w:rsidRPr="009118AB">
        <w:rPr>
          <w:i/>
          <w:iCs/>
          <w:sz w:val="20"/>
          <w:lang w:bidi="de-DE"/>
        </w:rPr>
        <w:t xml:space="preserve"> 1. Januar 2015 von einer Rechtsvereinbarung bezogen, zuerkannt oder ausgeschüttet werden, und</w:t>
      </w:r>
      <w:r w:rsidR="00D67EB8" w:rsidRPr="009118AB">
        <w:rPr>
          <w:i/>
          <w:iCs/>
          <w:sz w:val="20"/>
          <w:lang w:bidi="de-DE"/>
        </w:rPr>
        <w:t> - </w:t>
      </w:r>
      <w:r w:rsidRPr="009118AB">
        <w:rPr>
          <w:i/>
          <w:iCs/>
          <w:sz w:val="20"/>
          <w:lang w:bidi="de-DE"/>
        </w:rPr>
        <w:t>in Bezug auf die Anwendung des Mobiliensteuervorabzugs oder des Berufssteuervorabzugs</w:t>
      </w:r>
      <w:r w:rsidR="00D67EB8" w:rsidRPr="009118AB">
        <w:rPr>
          <w:i/>
          <w:iCs/>
          <w:sz w:val="20"/>
          <w:lang w:bidi="de-DE"/>
        </w:rPr>
        <w:t> - </w:t>
      </w:r>
      <w:r w:rsidRPr="009118AB">
        <w:rPr>
          <w:i/>
          <w:iCs/>
          <w:sz w:val="20"/>
          <w:lang w:bidi="de-DE"/>
        </w:rPr>
        <w:t>auf Einkünfte, die ab dem 1. September 2015 zuerkannt oder ausgeschüttet werden</w:t>
      </w:r>
      <w:r w:rsidR="003366D9" w:rsidRPr="009118AB">
        <w:rPr>
          <w:i/>
          <w:iCs/>
          <w:sz w:val="20"/>
        </w:rPr>
        <w:t> -;</w:t>
      </w:r>
      <w:r w:rsidRPr="009118AB">
        <w:rPr>
          <w:i/>
          <w:iCs/>
          <w:sz w:val="20"/>
        </w:rPr>
        <w:t xml:space="preserve"> </w:t>
      </w:r>
      <w:r w:rsidR="00D67EB8" w:rsidRPr="009118AB">
        <w:rPr>
          <w:i/>
          <w:iCs/>
          <w:sz w:val="20"/>
        </w:rPr>
        <w:t>§ </w:t>
      </w:r>
      <w:r w:rsidR="00234B39" w:rsidRPr="009118AB">
        <w:rPr>
          <w:i/>
          <w:iCs/>
          <w:sz w:val="20"/>
        </w:rPr>
        <w:t xml:space="preserve">1 einziger Absatz </w:t>
      </w:r>
      <w:r w:rsidR="00D67EB8" w:rsidRPr="009118AB">
        <w:rPr>
          <w:i/>
          <w:iCs/>
          <w:sz w:val="20"/>
        </w:rPr>
        <w:t>Nr. </w:t>
      </w:r>
      <w:r w:rsidR="00234B39" w:rsidRPr="009118AB">
        <w:rPr>
          <w:i/>
          <w:iCs/>
          <w:sz w:val="20"/>
        </w:rPr>
        <w:t xml:space="preserve">13 einziger Absatz Buchstabe b) </w:t>
      </w:r>
      <w:r w:rsidR="00D67EB8" w:rsidRPr="009118AB">
        <w:rPr>
          <w:i/>
          <w:iCs/>
          <w:sz w:val="20"/>
        </w:rPr>
        <w:t>Abs. </w:t>
      </w:r>
      <w:r w:rsidR="00234B39" w:rsidRPr="009118AB">
        <w:rPr>
          <w:i/>
          <w:iCs/>
          <w:sz w:val="20"/>
        </w:rPr>
        <w:t xml:space="preserve">1 abgeändert durch </w:t>
      </w:r>
      <w:r w:rsidR="00D67EB8" w:rsidRPr="009118AB">
        <w:rPr>
          <w:i/>
          <w:iCs/>
          <w:sz w:val="20"/>
        </w:rPr>
        <w:t>Art. </w:t>
      </w:r>
      <w:r w:rsidR="00234B39" w:rsidRPr="009118AB">
        <w:rPr>
          <w:i/>
          <w:iCs/>
          <w:sz w:val="20"/>
        </w:rPr>
        <w:t xml:space="preserve">20 </w:t>
      </w:r>
      <w:r w:rsidR="00C25B18" w:rsidRPr="009118AB">
        <w:rPr>
          <w:i/>
          <w:iCs/>
          <w:sz w:val="20"/>
        </w:rPr>
        <w:t>Buchstabe</w:t>
      </w:r>
      <w:r w:rsidR="00234B39" w:rsidRPr="009118AB">
        <w:rPr>
          <w:i/>
          <w:iCs/>
          <w:sz w:val="20"/>
        </w:rPr>
        <w:t xml:space="preserve"> b) des G. vom 27. Juni 2021 (B.S. vom 30. Juni 2021); </w:t>
      </w:r>
      <w:r w:rsidR="00646F3C" w:rsidRPr="00646F3C">
        <w:rPr>
          <w:i/>
          <w:iCs/>
          <w:sz w:val="20"/>
        </w:rPr>
        <w:t>§ 1 einziger Absatz Nr. 13 einziger Absatz Buchstabe b) Abs. </w:t>
      </w:r>
      <w:r w:rsidR="00646F3C">
        <w:rPr>
          <w:i/>
          <w:iCs/>
          <w:sz w:val="20"/>
        </w:rPr>
        <w:t>2 ersetzt durch Art. 33 Nr. 1</w:t>
      </w:r>
      <w:r w:rsidR="00646F3C" w:rsidRPr="00646F3C">
        <w:rPr>
          <w:i/>
          <w:iCs/>
          <w:sz w:val="20"/>
        </w:rPr>
        <w:t xml:space="preserve"> des G. vom 22. Dezember 2023 (II) (B.S. vom 29. Dezember 2023) - anwendbar auf Einkünfte, die ab dem 1. Januar 2024 von einer Rechtsvereinbarung bezogen, zuerkannt oder ausgeschüttet werden -</w:t>
      </w:r>
      <w:r w:rsidR="00646F3C">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13 einziger Absatz Buchstabe b) </w:t>
      </w:r>
      <w:r w:rsidR="00646F3C">
        <w:rPr>
          <w:i/>
          <w:iCs/>
          <w:sz w:val="20"/>
        </w:rPr>
        <w:t>früherer Absatz</w:t>
      </w:r>
      <w:r w:rsidR="00D67EB8" w:rsidRPr="009118AB">
        <w:rPr>
          <w:i/>
          <w:iCs/>
          <w:sz w:val="20"/>
        </w:rPr>
        <w:t> </w:t>
      </w:r>
      <w:r w:rsidRPr="009118AB">
        <w:rPr>
          <w:i/>
          <w:iCs/>
          <w:sz w:val="20"/>
        </w:rPr>
        <w:t xml:space="preserve">3 </w:t>
      </w:r>
      <w:r w:rsidR="00646F3C">
        <w:rPr>
          <w:i/>
          <w:iCs/>
          <w:sz w:val="20"/>
        </w:rPr>
        <w:t>aufgehoben durch Art. 33 Nr. 2</w:t>
      </w:r>
      <w:r w:rsidR="00646F3C" w:rsidRPr="00646F3C">
        <w:rPr>
          <w:i/>
          <w:iCs/>
          <w:sz w:val="20"/>
        </w:rPr>
        <w:t xml:space="preserve"> des G. vom 22. Dezember 2023 (II) (B.S. vom 29. Dezember 2023) - anwendbar auf Einkünfte, die ab dem 1. Januar 2024 von einer Rechtsvereinbarung bezogen, zuerkannt oder ausgeschüttet werden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13 einziger Absatz Buchstabe b) neuer Absatz </w:t>
      </w:r>
      <w:r w:rsidR="00646F3C">
        <w:rPr>
          <w:i/>
          <w:iCs/>
          <w:sz w:val="20"/>
        </w:rPr>
        <w:t>3</w:t>
      </w:r>
      <w:r w:rsidRPr="009118AB">
        <w:rPr>
          <w:i/>
          <w:iCs/>
          <w:sz w:val="20"/>
        </w:rPr>
        <w:t xml:space="preserve"> eingefügt durch </w:t>
      </w:r>
      <w:r w:rsidR="00D67EB8" w:rsidRPr="009118AB">
        <w:rPr>
          <w:i/>
          <w:iCs/>
          <w:sz w:val="20"/>
        </w:rPr>
        <w:t>Art. </w:t>
      </w:r>
      <w:r w:rsidRPr="009118AB">
        <w:rPr>
          <w:i/>
          <w:iCs/>
          <w:sz w:val="20"/>
        </w:rPr>
        <w:t xml:space="preserve">7 </w:t>
      </w:r>
      <w:r w:rsidR="00D67EB8" w:rsidRPr="009118AB">
        <w:rPr>
          <w:i/>
          <w:iCs/>
          <w:sz w:val="20"/>
        </w:rPr>
        <w:t>Nr. </w:t>
      </w:r>
      <w:r w:rsidRPr="009118AB">
        <w:rPr>
          <w:i/>
          <w:iCs/>
          <w:sz w:val="20"/>
        </w:rPr>
        <w:t>1 des G. vom 20. Dezember 2020 (II) (B.S. vom 30. Dezember 2020)</w:t>
      </w:r>
      <w:r w:rsidR="00D67EB8" w:rsidRPr="009118AB">
        <w:rPr>
          <w:i/>
          <w:iCs/>
          <w:sz w:val="20"/>
        </w:rPr>
        <w:t> - </w:t>
      </w:r>
      <w:r w:rsidRPr="009118AB">
        <w:rPr>
          <w:i/>
          <w:iCs/>
          <w:sz w:val="20"/>
        </w:rPr>
        <w:t>in Kraft am 31. Dezember 2020 und anwendbar auf Besteuerungszeiträume, die ab dem 31. Dezember 2020 enden</w:t>
      </w:r>
      <w:r w:rsidR="003366D9" w:rsidRPr="009118AB">
        <w:rPr>
          <w:i/>
          <w:iCs/>
          <w:sz w:val="20"/>
        </w:rPr>
        <w:t> -</w:t>
      </w:r>
      <w:r w:rsidR="00646F3C">
        <w:rPr>
          <w:i/>
          <w:iCs/>
          <w:sz w:val="20"/>
        </w:rPr>
        <w:t xml:space="preserve"> und ersetzt durch Art. 33 Nr. 3</w:t>
      </w:r>
      <w:r w:rsidR="00646F3C" w:rsidRPr="00646F3C">
        <w:rPr>
          <w:i/>
          <w:iCs/>
          <w:sz w:val="20"/>
        </w:rPr>
        <w:t xml:space="preserve"> des G. vom 22. Dezember 2023 (II) (B.S. vom 29. Dezember 2023) - anwendbar auf Einkünfte, die ab dem 1. Januar 2024 von einer Rechtsvereinbarung bezogen, zuerkannt oder ausgeschüttet werden -</w:t>
      </w:r>
      <w:r w:rsidR="003366D9" w:rsidRPr="009118AB">
        <w:rPr>
          <w:i/>
          <w:iCs/>
          <w:sz w:val="20"/>
        </w:rPr>
        <w:t>;</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13 einziger Absatz Buchstabe b) </w:t>
      </w:r>
      <w:r w:rsidR="00D67EB8" w:rsidRPr="009118AB">
        <w:rPr>
          <w:i/>
          <w:iCs/>
          <w:sz w:val="20"/>
        </w:rPr>
        <w:t>Abs. </w:t>
      </w:r>
      <w:r w:rsidRPr="009118AB">
        <w:rPr>
          <w:i/>
          <w:iCs/>
          <w:sz w:val="20"/>
        </w:rPr>
        <w:t xml:space="preserve">4 ersetzt durch </w:t>
      </w:r>
      <w:r w:rsidR="00D67EB8" w:rsidRPr="009118AB">
        <w:rPr>
          <w:i/>
          <w:iCs/>
          <w:sz w:val="20"/>
        </w:rPr>
        <w:t>Art. </w:t>
      </w:r>
      <w:r w:rsidRPr="009118AB">
        <w:rPr>
          <w:i/>
          <w:iCs/>
          <w:sz w:val="20"/>
        </w:rPr>
        <w:t>26 des G. vom 2. Mai 2019 (III) (B.S. vom 15. Mai 2019)</w:t>
      </w:r>
      <w:r w:rsidR="00D67EB8" w:rsidRPr="009118AB">
        <w:rPr>
          <w:i/>
          <w:iCs/>
          <w:sz w:val="20"/>
        </w:rPr>
        <w:t> - </w:t>
      </w:r>
      <w:r w:rsidRPr="009118AB">
        <w:rPr>
          <w:i/>
          <w:iCs/>
          <w:sz w:val="20"/>
        </w:rPr>
        <w:t>anwendbar auf die ab dem 1. Januar 2019 ergangenen Erlasse</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13 einziger Absatz Buchstabe c) eingefügt durch </w:t>
      </w:r>
      <w:r w:rsidR="00D67EB8" w:rsidRPr="009118AB">
        <w:rPr>
          <w:i/>
          <w:iCs/>
          <w:sz w:val="20"/>
        </w:rPr>
        <w:t>Art. </w:t>
      </w:r>
      <w:r w:rsidRPr="009118AB">
        <w:rPr>
          <w:i/>
          <w:iCs/>
          <w:sz w:val="20"/>
        </w:rPr>
        <w:t xml:space="preserve">86 </w:t>
      </w:r>
      <w:r w:rsidR="00D67EB8" w:rsidRPr="009118AB">
        <w:rPr>
          <w:i/>
          <w:iCs/>
          <w:sz w:val="20"/>
        </w:rPr>
        <w:t>Nr. </w:t>
      </w:r>
      <w:r w:rsidRPr="009118AB">
        <w:rPr>
          <w:i/>
          <w:iCs/>
          <w:sz w:val="20"/>
        </w:rPr>
        <w:t>1 des G. vom 25. Dezember 2017 (IV) (B.S. vom 29. Dezember 2017)</w:t>
      </w:r>
      <w:r w:rsidR="00D67EB8" w:rsidRPr="009118AB">
        <w:rPr>
          <w:i/>
          <w:iCs/>
          <w:sz w:val="20"/>
        </w:rPr>
        <w:t> - </w:t>
      </w:r>
      <w:r w:rsidRPr="009118AB">
        <w:rPr>
          <w:i/>
          <w:iCs/>
          <w:sz w:val="20"/>
        </w:rPr>
        <w:t>in Kraft am 1. Januar 2018</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13/1 eingefügt durch </w:t>
      </w:r>
      <w:r w:rsidR="00D67EB8" w:rsidRPr="009118AB">
        <w:rPr>
          <w:i/>
          <w:iCs/>
          <w:sz w:val="20"/>
        </w:rPr>
        <w:t>Art. </w:t>
      </w:r>
      <w:r w:rsidRPr="009118AB">
        <w:rPr>
          <w:i/>
          <w:iCs/>
          <w:sz w:val="20"/>
        </w:rPr>
        <w:t xml:space="preserve">38 </w:t>
      </w:r>
      <w:r w:rsidR="00D67EB8" w:rsidRPr="009118AB">
        <w:rPr>
          <w:i/>
          <w:iCs/>
          <w:sz w:val="20"/>
        </w:rPr>
        <w:t>Nr. </w:t>
      </w:r>
      <w:r w:rsidRPr="009118AB">
        <w:rPr>
          <w:i/>
          <w:iCs/>
          <w:sz w:val="20"/>
        </w:rPr>
        <w:t>2 des G. vom 10. August 2015 (B.S. vom 18. August 2015)</w:t>
      </w:r>
      <w:r w:rsidR="00D67EB8" w:rsidRPr="009118AB">
        <w:rPr>
          <w:i/>
          <w:iCs/>
          <w:sz w:val="20"/>
        </w:rPr>
        <w:t> - </w:t>
      </w:r>
      <w:r w:rsidRPr="009118AB">
        <w:rPr>
          <w:i/>
          <w:iCs/>
          <w:sz w:val="20"/>
          <w:lang w:bidi="de-DE"/>
        </w:rPr>
        <w:t>anwendbar auf Einkünfte, die ab dem 1. Januar 2015 von einer Rechtsvereinbarung bezogen, zuerkannt oder ausgeschüttet werden, und</w:t>
      </w:r>
      <w:r w:rsidR="00D67EB8" w:rsidRPr="009118AB">
        <w:rPr>
          <w:i/>
          <w:iCs/>
          <w:sz w:val="20"/>
          <w:lang w:bidi="de-DE"/>
        </w:rPr>
        <w:t> - </w:t>
      </w:r>
      <w:r w:rsidRPr="009118AB">
        <w:rPr>
          <w:i/>
          <w:iCs/>
          <w:sz w:val="20"/>
          <w:lang w:bidi="de-DE"/>
        </w:rPr>
        <w:t>in Bezug auf die Anwendung des Mobiliensteuervorabzugs oder des Berufssteuervorabzugs</w:t>
      </w:r>
      <w:r w:rsidR="00D67EB8" w:rsidRPr="009118AB">
        <w:rPr>
          <w:i/>
          <w:iCs/>
          <w:sz w:val="20"/>
          <w:lang w:bidi="de-DE"/>
        </w:rPr>
        <w:t> - </w:t>
      </w:r>
      <w:r w:rsidRPr="009118AB">
        <w:rPr>
          <w:i/>
          <w:iCs/>
          <w:sz w:val="20"/>
          <w:lang w:bidi="de-DE"/>
        </w:rPr>
        <w:t>auf Einkünfte, die ab dem 1. September 2015 zuerkannt oder ausgeschüttet werden</w:t>
      </w:r>
      <w:r w:rsidR="003366D9" w:rsidRPr="009118AB">
        <w:rPr>
          <w:i/>
          <w:iCs/>
          <w:sz w:val="20"/>
        </w:rPr>
        <w:t> -;</w:t>
      </w:r>
      <w:r w:rsidR="00646F3C">
        <w:rPr>
          <w:i/>
          <w:iCs/>
          <w:sz w:val="20"/>
        </w:rPr>
        <w:t xml:space="preserve"> </w:t>
      </w:r>
      <w:r w:rsidR="00646F3C" w:rsidRPr="009118AB">
        <w:rPr>
          <w:i/>
          <w:iCs/>
          <w:sz w:val="20"/>
        </w:rPr>
        <w:t xml:space="preserve">§ 1 einziger Absatz Nr. 13/1 </w:t>
      </w:r>
      <w:r w:rsidR="00646F3C">
        <w:rPr>
          <w:i/>
          <w:iCs/>
          <w:sz w:val="20"/>
        </w:rPr>
        <w:t>Abs. 1 einleitende Bestimmung ersetzt durch Art. 33 Nr. 4</w:t>
      </w:r>
      <w:r w:rsidR="00646F3C" w:rsidRPr="00646F3C">
        <w:rPr>
          <w:i/>
          <w:iCs/>
          <w:sz w:val="20"/>
        </w:rPr>
        <w:t xml:space="preserve"> des G. vom 22. Dezember 2023 (II) (B.S. vom 29. Dezember 2023) - anwendbar auf Einkünfte, die ab dem 1. Januar 2024 von einer Rechtsvereinbarung bezogen, zuerkannt oder ausgeschüttet werden -</w:t>
      </w:r>
      <w:r w:rsidR="00646F3C">
        <w:rPr>
          <w:i/>
          <w:iCs/>
          <w:sz w:val="20"/>
        </w:rPr>
        <w:t xml:space="preserve">; </w:t>
      </w:r>
      <w:r w:rsidR="00646F3C" w:rsidRPr="009118AB">
        <w:rPr>
          <w:i/>
          <w:iCs/>
          <w:sz w:val="20"/>
        </w:rPr>
        <w:t>§ 1 einziger Absatz Nr. 13/1 Abs. 1 Buchstabe </w:t>
      </w:r>
      <w:r w:rsidR="00646F3C">
        <w:rPr>
          <w:i/>
          <w:iCs/>
          <w:sz w:val="20"/>
        </w:rPr>
        <w:t>a) ersetzt durch Art. 33 Nr. 5</w:t>
      </w:r>
      <w:r w:rsidR="00646F3C" w:rsidRPr="00646F3C">
        <w:rPr>
          <w:i/>
          <w:iCs/>
          <w:sz w:val="20"/>
        </w:rPr>
        <w:t xml:space="preserve"> des G. vom 22. Dezember 2023 (II) (B.S. vom 29. Dezember 2023) - anwendbar auf Einkünfte, die </w:t>
      </w:r>
      <w:r w:rsidR="00646F3C" w:rsidRPr="00646F3C">
        <w:rPr>
          <w:i/>
          <w:iCs/>
          <w:sz w:val="20"/>
        </w:rPr>
        <w:lastRenderedPageBreak/>
        <w:t>ab dem 1. Januar 2024 von einer Rechtsvereinbarung bezogen, zuerkannt oder ausgeschüttet werden -</w:t>
      </w:r>
      <w:r w:rsidR="00646F3C">
        <w:rPr>
          <w:i/>
          <w:iCs/>
          <w:sz w:val="20"/>
        </w:rPr>
        <w:t>;</w:t>
      </w:r>
      <w:r w:rsidRPr="009118AB">
        <w:rPr>
          <w:i/>
          <w:iCs/>
          <w:sz w:val="20"/>
        </w:rPr>
        <w:t xml:space="preserve"> </w:t>
      </w:r>
      <w:r w:rsidR="00646F3C" w:rsidRPr="009118AB">
        <w:rPr>
          <w:i/>
          <w:iCs/>
          <w:sz w:val="20"/>
        </w:rPr>
        <w:t>§ 1 einziger Absatz Nr. 13/1 Abs. 1 Buchstabe </w:t>
      </w:r>
      <w:r w:rsidR="00646F3C">
        <w:rPr>
          <w:i/>
          <w:iCs/>
          <w:sz w:val="20"/>
        </w:rPr>
        <w:t>b) ersetzt durch Art. 33 Nr. 6</w:t>
      </w:r>
      <w:r w:rsidR="00646F3C" w:rsidRPr="00646F3C">
        <w:rPr>
          <w:i/>
          <w:iCs/>
          <w:sz w:val="20"/>
        </w:rPr>
        <w:t xml:space="preserve"> des G. vom 22. Dezember 2023 (II) (B.S. vom 29. Dezember 2023) - anwendbar auf Einkünfte, die ab dem 1. Januar 2024 von einer Rechtsvereinbarung bezogen, zuerkannt oder ausgeschüttet werden -</w:t>
      </w:r>
      <w:r w:rsidR="00646F3C">
        <w:rPr>
          <w:i/>
          <w:iCs/>
          <w:sz w:val="20"/>
        </w:rPr>
        <w:t>;</w:t>
      </w:r>
      <w:r w:rsidR="00646F3C"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13/1 </w:t>
      </w:r>
      <w:r w:rsidR="00D67EB8" w:rsidRPr="009118AB">
        <w:rPr>
          <w:i/>
          <w:iCs/>
          <w:sz w:val="20"/>
        </w:rPr>
        <w:t>Abs. </w:t>
      </w:r>
      <w:r w:rsidRPr="009118AB">
        <w:rPr>
          <w:i/>
          <w:iCs/>
          <w:sz w:val="20"/>
        </w:rPr>
        <w:t xml:space="preserve">1 Buchstabe e) aufgehoben durch </w:t>
      </w:r>
      <w:r w:rsidR="00D67EB8" w:rsidRPr="009118AB">
        <w:rPr>
          <w:i/>
          <w:iCs/>
          <w:sz w:val="20"/>
        </w:rPr>
        <w:t>Art. </w:t>
      </w:r>
      <w:r w:rsidRPr="009118AB">
        <w:rPr>
          <w:i/>
          <w:iCs/>
          <w:sz w:val="20"/>
        </w:rPr>
        <w:t>102 Buchstabe a) des G. vom 26. Dezember 2015 (II) (B.S. vom 30. Dezember 2015)</w:t>
      </w:r>
      <w:r w:rsidR="00D67EB8" w:rsidRPr="009118AB">
        <w:rPr>
          <w:iCs/>
          <w:sz w:val="20"/>
        </w:rPr>
        <w:t> - </w:t>
      </w:r>
      <w:r w:rsidRPr="009118AB">
        <w:rPr>
          <w:i/>
          <w:iCs/>
          <w:sz w:val="20"/>
        </w:rPr>
        <w:t>in Kraft ab dem Steuerjahr 2016</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13/1 </w:t>
      </w:r>
      <w:r w:rsidR="00D67EB8" w:rsidRPr="009118AB">
        <w:rPr>
          <w:i/>
          <w:iCs/>
          <w:sz w:val="20"/>
        </w:rPr>
        <w:t>Abs. </w:t>
      </w:r>
      <w:r w:rsidRPr="009118AB">
        <w:rPr>
          <w:i/>
          <w:iCs/>
          <w:sz w:val="20"/>
        </w:rPr>
        <w:t xml:space="preserve">2 eingefügt durch </w:t>
      </w:r>
      <w:r w:rsidR="00D67EB8" w:rsidRPr="009118AB">
        <w:rPr>
          <w:i/>
          <w:iCs/>
          <w:sz w:val="20"/>
        </w:rPr>
        <w:t>Art. </w:t>
      </w:r>
      <w:r w:rsidRPr="009118AB">
        <w:rPr>
          <w:i/>
          <w:iCs/>
          <w:sz w:val="20"/>
        </w:rPr>
        <w:t>102 Buchstabe b) des G. vom 26. Dezember 2015 (II) (B.S. vom 30. Dezember 2015)</w:t>
      </w:r>
      <w:r w:rsidR="00D67EB8" w:rsidRPr="009118AB">
        <w:rPr>
          <w:iCs/>
          <w:sz w:val="20"/>
        </w:rPr>
        <w:t> - </w:t>
      </w:r>
      <w:r w:rsidRPr="009118AB">
        <w:rPr>
          <w:i/>
          <w:iCs/>
          <w:sz w:val="20"/>
        </w:rPr>
        <w:t>in Kraft ab dem Steuerjahr 2016</w:t>
      </w:r>
      <w:r w:rsidR="003366D9" w:rsidRPr="009118AB">
        <w:rPr>
          <w:i/>
          <w:iCs/>
          <w:sz w:val="20"/>
        </w:rPr>
        <w:t> -</w:t>
      </w:r>
      <w:r w:rsidR="00646F3C">
        <w:rPr>
          <w:i/>
          <w:iCs/>
          <w:sz w:val="20"/>
        </w:rPr>
        <w:t xml:space="preserve"> und abgeändert durch Art. 33 Nr. 7</w:t>
      </w:r>
      <w:r w:rsidR="00646F3C" w:rsidRPr="00646F3C">
        <w:rPr>
          <w:i/>
          <w:iCs/>
          <w:sz w:val="20"/>
        </w:rPr>
        <w:t xml:space="preserve"> des G. vom 22. Dezember 2023 (II) (B.S. vom 29. Dezember 2023) - anwendbar auf Einkünfte, die ab dem 1. Januar 2024 von einer Rechtsvereinbarung bezogen, zuerkannt oder ausgeschüttet werden -</w:t>
      </w:r>
      <w:r w:rsidR="003366D9" w:rsidRPr="009118AB">
        <w:rPr>
          <w:i/>
          <w:iCs/>
          <w:sz w:val="20"/>
        </w:rPr>
        <w:t>;</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13/1 </w:t>
      </w:r>
      <w:r w:rsidR="00D67EB8" w:rsidRPr="009118AB">
        <w:rPr>
          <w:i/>
          <w:iCs/>
          <w:sz w:val="20"/>
        </w:rPr>
        <w:t>Abs. </w:t>
      </w:r>
      <w:r w:rsidRPr="009118AB">
        <w:rPr>
          <w:i/>
          <w:iCs/>
          <w:sz w:val="20"/>
        </w:rPr>
        <w:t xml:space="preserve">3 eingefügt durch </w:t>
      </w:r>
      <w:r w:rsidR="00D67EB8" w:rsidRPr="009118AB">
        <w:rPr>
          <w:i/>
          <w:iCs/>
          <w:sz w:val="20"/>
        </w:rPr>
        <w:t>Art. </w:t>
      </w:r>
      <w:r w:rsidRPr="009118AB">
        <w:rPr>
          <w:i/>
          <w:iCs/>
          <w:sz w:val="20"/>
        </w:rPr>
        <w:t>102 Buchstabe b) des G. vom 26. Dezember 2015 (II) (B.S. vom 30. Dezember 2015)</w:t>
      </w:r>
      <w:r w:rsidR="00D67EB8" w:rsidRPr="009118AB">
        <w:rPr>
          <w:iCs/>
          <w:sz w:val="20"/>
        </w:rPr>
        <w:t> - </w:t>
      </w:r>
      <w:r w:rsidRPr="009118AB">
        <w:rPr>
          <w:i/>
          <w:iCs/>
          <w:sz w:val="20"/>
        </w:rPr>
        <w:t>in Kraft ab dem Steuerjahr 2016</w:t>
      </w:r>
      <w:r w:rsidR="00D67EB8" w:rsidRPr="009118AB">
        <w:rPr>
          <w:i/>
          <w:iCs/>
          <w:sz w:val="20"/>
        </w:rPr>
        <w:t> - </w:t>
      </w:r>
      <w:r w:rsidRPr="009118AB">
        <w:rPr>
          <w:i/>
          <w:iCs/>
          <w:sz w:val="20"/>
        </w:rPr>
        <w:t xml:space="preserve">und abgeändert durch </w:t>
      </w:r>
      <w:r w:rsidR="00D67EB8" w:rsidRPr="009118AB">
        <w:rPr>
          <w:i/>
          <w:iCs/>
          <w:sz w:val="20"/>
        </w:rPr>
        <w:t>Art. </w:t>
      </w:r>
      <w:r w:rsidRPr="009118AB">
        <w:rPr>
          <w:i/>
          <w:iCs/>
          <w:sz w:val="20"/>
        </w:rPr>
        <w:t xml:space="preserve">2 </w:t>
      </w:r>
      <w:r w:rsidR="00D67EB8" w:rsidRPr="009118AB">
        <w:rPr>
          <w:i/>
          <w:iCs/>
          <w:sz w:val="20"/>
        </w:rPr>
        <w:t>Nr. </w:t>
      </w:r>
      <w:r w:rsidRPr="009118AB">
        <w:rPr>
          <w:i/>
          <w:iCs/>
          <w:sz w:val="20"/>
        </w:rPr>
        <w:t>10 des G. vom 17. März 2019 (III) (B.S. vom 10. Mai 2019)</w:t>
      </w:r>
      <w:r w:rsidR="00D67EB8" w:rsidRPr="009118AB">
        <w:rPr>
          <w:i/>
          <w:iCs/>
          <w:sz w:val="20"/>
        </w:rPr>
        <w:t> - </w:t>
      </w:r>
      <w:r w:rsidRPr="009118AB">
        <w:rPr>
          <w:i/>
          <w:iCs/>
          <w:sz w:val="20"/>
        </w:rPr>
        <w:t>in Kraft am 1. Mai 2019</w:t>
      </w:r>
      <w:r w:rsidR="003366D9" w:rsidRPr="009118AB">
        <w:rPr>
          <w:i/>
          <w:iCs/>
          <w:sz w:val="20"/>
        </w:rPr>
        <w:t> -;</w:t>
      </w:r>
      <w:r w:rsidRPr="009118AB">
        <w:rPr>
          <w:i/>
          <w:iCs/>
          <w:sz w:val="20"/>
        </w:rPr>
        <w:t xml:space="preserve"> </w:t>
      </w:r>
      <w:r w:rsidR="00646F3C" w:rsidRPr="009118AB">
        <w:rPr>
          <w:i/>
          <w:iCs/>
          <w:sz w:val="20"/>
        </w:rPr>
        <w:t>§ 1 einziger Absatz Nr. 13/1 Abs. </w:t>
      </w:r>
      <w:r w:rsidR="00646F3C">
        <w:rPr>
          <w:i/>
          <w:iCs/>
          <w:sz w:val="20"/>
        </w:rPr>
        <w:t>4</w:t>
      </w:r>
      <w:r w:rsidR="00646F3C" w:rsidRPr="009118AB">
        <w:rPr>
          <w:i/>
          <w:iCs/>
          <w:sz w:val="20"/>
        </w:rPr>
        <w:t xml:space="preserve"> eingefügt durch Art. </w:t>
      </w:r>
      <w:r w:rsidR="00646F3C">
        <w:rPr>
          <w:i/>
          <w:iCs/>
          <w:sz w:val="20"/>
        </w:rPr>
        <w:t>33 Nr. 8</w:t>
      </w:r>
      <w:r w:rsidR="00646F3C" w:rsidRPr="00646F3C">
        <w:rPr>
          <w:i/>
          <w:iCs/>
          <w:sz w:val="20"/>
        </w:rPr>
        <w:t xml:space="preserve"> des G. vom 22. Dezember 2023 (II) (B.S. vom 29. Dezember 2023) - anwendbar auf Einkünfte, die ab dem 1. Januar 2024 von einer Rechtsvereinbarung bezogen, zuerkannt oder ausgeschüttet werden -</w:t>
      </w:r>
      <w:r w:rsidR="00646F3C">
        <w:rPr>
          <w:i/>
          <w:iCs/>
          <w:sz w:val="20"/>
        </w:rPr>
        <w:t xml:space="preserve">; </w:t>
      </w:r>
      <w:r w:rsidR="00646F3C" w:rsidRPr="00646F3C">
        <w:rPr>
          <w:i/>
          <w:iCs/>
          <w:sz w:val="20"/>
        </w:rPr>
        <w:t xml:space="preserve">§ 1 einziger Absatz Nr. 13/2 eingefügt durch Art. 86 Nr. 2 des G. vom 25. Dezember 2017 (IV) (B.S. vom 29. Dezember 2017) - in Kraft am 1. Januar 2018 - und abgeändert durch Art. 33 Nr. 9 des G. vom 22. Dezember 2023 (II) (B.S. vom 29. Dezember 2023) - anwendbar auf Einkünfte, die ab dem 1. Januar 2024 von einer Rechtsvereinbarung bezogen, zuerkannt oder ausgeschüttet werden -; § 1 einziger Absatz Nr. 13/3 eingefügt durch Art. 86 Nr. 2 des G. vom 25. Dezember 2017 (IV) (B.S. vom 29. Dezember 2017) - in Kraft am 1. Januar 2018 - und ersetzt durch Art. 33 Nr. 10 des G. vom 22. Dezember 2023 (II) (B.S. vom 29. Dezember 2023) - anwendbar auf Einkünfte, die ab dem 1. Januar 2024 von einer Rechtsvereinbarung bezogen, zuerkannt oder ausgeschüttet werden -; § 1 einziger Absatz Nr. 13/4 eingefügt durch Art. 86 Nr. 2 des G. vom 25. Dezember 2017 (IV) (B.S. vom 29. Dezember 2017) - in Kraft am 1. Januar 2018 - und aufgehoben durch Art. 33 Nr. 11 des G. vom 22. Dezember 2023 (II) (B.S. vom 29. Dezember 2023) - anwendbar auf Einkünfte, die ab dem 1. Januar 2024 von einer Rechtsvereinbarung bezogen, zuerkannt oder ausgeschüttet werden -;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14 eingefügt durch </w:t>
      </w:r>
      <w:r w:rsidR="00D67EB8" w:rsidRPr="009118AB">
        <w:rPr>
          <w:i/>
          <w:iCs/>
          <w:sz w:val="20"/>
        </w:rPr>
        <w:t>Art. </w:t>
      </w:r>
      <w:r w:rsidRPr="009118AB">
        <w:rPr>
          <w:i/>
          <w:iCs/>
          <w:sz w:val="20"/>
        </w:rPr>
        <w:t>35 des G. vom 30. Juli 2013 (B.S. vom 1. August 2013)</w:t>
      </w:r>
      <w:r w:rsidR="00D67EB8" w:rsidRPr="009118AB">
        <w:rPr>
          <w:i/>
          <w:iCs/>
          <w:sz w:val="20"/>
        </w:rPr>
        <w:t> - </w:t>
      </w:r>
      <w:r w:rsidRPr="009118AB">
        <w:rPr>
          <w:i/>
          <w:iCs/>
          <w:sz w:val="20"/>
        </w:rPr>
        <w:t>in Kraft ab dem Steuerjahr 2014</w:t>
      </w:r>
      <w:r w:rsidR="00D67EB8" w:rsidRPr="009118AB">
        <w:rPr>
          <w:i/>
          <w:iCs/>
          <w:sz w:val="20"/>
        </w:rPr>
        <w:t> - </w:t>
      </w:r>
      <w:r w:rsidRPr="009118AB">
        <w:rPr>
          <w:i/>
          <w:iCs/>
          <w:sz w:val="20"/>
        </w:rPr>
        <w:t xml:space="preserve">und ersetzt durch </w:t>
      </w:r>
      <w:r w:rsidR="00D67EB8" w:rsidRPr="009118AB">
        <w:rPr>
          <w:i/>
          <w:iCs/>
          <w:sz w:val="20"/>
        </w:rPr>
        <w:t>Art. </w:t>
      </w:r>
      <w:r w:rsidRPr="009118AB">
        <w:rPr>
          <w:i/>
          <w:iCs/>
          <w:sz w:val="20"/>
        </w:rPr>
        <w:t xml:space="preserve">38 </w:t>
      </w:r>
      <w:r w:rsidR="00D67EB8" w:rsidRPr="009118AB">
        <w:rPr>
          <w:i/>
          <w:iCs/>
          <w:sz w:val="20"/>
        </w:rPr>
        <w:t>Nr. </w:t>
      </w:r>
      <w:r w:rsidRPr="009118AB">
        <w:rPr>
          <w:i/>
          <w:iCs/>
          <w:sz w:val="20"/>
        </w:rPr>
        <w:t>3 des G. vom 10. August 2015 (B.S. vom 18. August 2015)</w:t>
      </w:r>
      <w:r w:rsidR="00D67EB8" w:rsidRPr="009118AB">
        <w:rPr>
          <w:i/>
          <w:iCs/>
          <w:sz w:val="20"/>
        </w:rPr>
        <w:t> - </w:t>
      </w:r>
      <w:r w:rsidRPr="009118AB">
        <w:rPr>
          <w:i/>
          <w:iCs/>
          <w:sz w:val="20"/>
          <w:lang w:bidi="de-DE"/>
        </w:rPr>
        <w:t>anwendbar auf Einkünfte, die ab dem 1. Janu</w:t>
      </w:r>
      <w:r w:rsidRPr="009118AB">
        <w:rPr>
          <w:i/>
          <w:iCs/>
          <w:sz w:val="20"/>
          <w:lang w:bidi="de-DE"/>
        </w:rPr>
        <w:softHyphen/>
        <w:t>ar 2015 von einer Rechtsvereinbarung bezogen, zuerkannt oder ausgeschüttet werden, und</w:t>
      </w:r>
      <w:r w:rsidR="00D67EB8" w:rsidRPr="009118AB">
        <w:rPr>
          <w:i/>
          <w:iCs/>
          <w:sz w:val="20"/>
          <w:lang w:bidi="de-DE"/>
        </w:rPr>
        <w:t> - </w:t>
      </w:r>
      <w:r w:rsidRPr="009118AB">
        <w:rPr>
          <w:i/>
          <w:iCs/>
          <w:sz w:val="20"/>
          <w:lang w:bidi="de-DE"/>
        </w:rPr>
        <w:t>in Bezug auf die Anwendung des Mobiliensteuervorabzugs oder des Berufs</w:t>
      </w:r>
      <w:r w:rsidRPr="009118AB">
        <w:rPr>
          <w:i/>
          <w:iCs/>
          <w:sz w:val="20"/>
          <w:lang w:bidi="de-DE"/>
        </w:rPr>
        <w:softHyphen/>
        <w:t>steuervorabzugs</w:t>
      </w:r>
      <w:r w:rsidR="00D67EB8" w:rsidRPr="009118AB">
        <w:rPr>
          <w:i/>
          <w:iCs/>
          <w:sz w:val="20"/>
          <w:lang w:bidi="de-DE"/>
        </w:rPr>
        <w:t> - </w:t>
      </w:r>
      <w:r w:rsidRPr="009118AB">
        <w:rPr>
          <w:i/>
          <w:iCs/>
          <w:sz w:val="20"/>
          <w:lang w:bidi="de-DE"/>
        </w:rPr>
        <w:t>auf Einkünfte, die ab dem 1. September 2015 zuerkannt oder ausgeschüttet werden</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14 </w:t>
      </w:r>
      <w:r w:rsidR="002C6934">
        <w:rPr>
          <w:i/>
          <w:iCs/>
          <w:sz w:val="20"/>
        </w:rPr>
        <w:t xml:space="preserve">Abs. 1 (früherer </w:t>
      </w:r>
      <w:r w:rsidRPr="009118AB">
        <w:rPr>
          <w:i/>
          <w:iCs/>
          <w:sz w:val="20"/>
        </w:rPr>
        <w:t>einziger Absatz</w:t>
      </w:r>
      <w:r w:rsidR="002C6934">
        <w:rPr>
          <w:i/>
          <w:iCs/>
          <w:sz w:val="20"/>
        </w:rPr>
        <w:t>)</w:t>
      </w:r>
      <w:r w:rsidRPr="009118AB">
        <w:rPr>
          <w:i/>
          <w:iCs/>
          <w:sz w:val="20"/>
        </w:rPr>
        <w:t xml:space="preserve"> dritter Gedankenstrich abgeändert durch </w:t>
      </w:r>
      <w:r w:rsidR="00D67EB8" w:rsidRPr="009118AB">
        <w:rPr>
          <w:i/>
          <w:iCs/>
          <w:sz w:val="20"/>
        </w:rPr>
        <w:t>Art. </w:t>
      </w:r>
      <w:r w:rsidRPr="009118AB">
        <w:rPr>
          <w:i/>
          <w:iCs/>
          <w:sz w:val="20"/>
        </w:rPr>
        <w:t>102 Buchstabe c) des G. vom 26. Dezember 2015 (II) (B.S. vom 30. Dezember 2015)</w:t>
      </w:r>
      <w:r w:rsidR="00D67EB8" w:rsidRPr="009118AB">
        <w:rPr>
          <w:iCs/>
          <w:sz w:val="20"/>
        </w:rPr>
        <w:t> - </w:t>
      </w:r>
      <w:r w:rsidRPr="009118AB">
        <w:rPr>
          <w:i/>
          <w:iCs/>
          <w:sz w:val="20"/>
        </w:rPr>
        <w:t>in Kraft ab dem Steuerjahr 2016</w:t>
      </w:r>
      <w:r w:rsidR="003366D9" w:rsidRPr="009118AB">
        <w:rPr>
          <w:i/>
          <w:iCs/>
          <w:sz w:val="20"/>
        </w:rPr>
        <w:t> -;</w:t>
      </w:r>
      <w:r w:rsidRPr="009118AB">
        <w:rPr>
          <w:i/>
          <w:iCs/>
          <w:sz w:val="20"/>
        </w:rPr>
        <w:t xml:space="preserve"> </w:t>
      </w:r>
      <w:r w:rsidR="002C6934" w:rsidRPr="002C6934">
        <w:rPr>
          <w:i/>
          <w:iCs/>
          <w:sz w:val="20"/>
        </w:rPr>
        <w:t xml:space="preserve">§ 1 einziger Absatz Nr. 14 Abs. 1 vierter Gedankenstrich abgeändert durch Art. 33 Nr. 12 des G. vom 22. Dezember 2023 (II) (B.S. vom 29. Dezember 2023) - anwendbar auf Einkünfte, die ab dem 1. Januar 2024 von einer Rechtsvereinbarung bezogen, zuerkannt oder ausgeschüttet werden -;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14 </w:t>
      </w:r>
      <w:r w:rsidR="002C6934">
        <w:rPr>
          <w:i/>
          <w:iCs/>
          <w:sz w:val="20"/>
        </w:rPr>
        <w:t xml:space="preserve">Abs. 1 </w:t>
      </w:r>
      <w:r w:rsidRPr="009118AB">
        <w:rPr>
          <w:i/>
          <w:iCs/>
          <w:sz w:val="20"/>
        </w:rPr>
        <w:t xml:space="preserve">fünfter Gedankenstrich eingefügt durch </w:t>
      </w:r>
      <w:r w:rsidR="00D67EB8" w:rsidRPr="009118AB">
        <w:rPr>
          <w:i/>
          <w:iCs/>
          <w:sz w:val="20"/>
        </w:rPr>
        <w:t>Art. </w:t>
      </w:r>
      <w:r w:rsidRPr="009118AB">
        <w:rPr>
          <w:i/>
          <w:iCs/>
          <w:sz w:val="20"/>
        </w:rPr>
        <w:t xml:space="preserve">86 </w:t>
      </w:r>
      <w:r w:rsidR="00D67EB8" w:rsidRPr="009118AB">
        <w:rPr>
          <w:i/>
          <w:iCs/>
          <w:sz w:val="20"/>
        </w:rPr>
        <w:t>Nr. </w:t>
      </w:r>
      <w:r w:rsidRPr="009118AB">
        <w:rPr>
          <w:i/>
          <w:iCs/>
          <w:sz w:val="20"/>
        </w:rPr>
        <w:t>3 des G. vom 25. Dezember 2017 (IV) (B.S. vom 29. Dezember 2017)</w:t>
      </w:r>
      <w:r w:rsidR="00D67EB8" w:rsidRPr="009118AB">
        <w:rPr>
          <w:i/>
          <w:iCs/>
          <w:sz w:val="20"/>
        </w:rPr>
        <w:t> - </w:t>
      </w:r>
      <w:r w:rsidRPr="009118AB">
        <w:rPr>
          <w:i/>
          <w:iCs/>
          <w:sz w:val="20"/>
        </w:rPr>
        <w:t>in Kraft am 1. Januar 2018</w:t>
      </w:r>
      <w:r w:rsidR="003366D9" w:rsidRPr="009118AB">
        <w:rPr>
          <w:i/>
          <w:iCs/>
          <w:sz w:val="20"/>
        </w:rPr>
        <w:t> -;</w:t>
      </w:r>
      <w:r w:rsidRPr="009118AB">
        <w:rPr>
          <w:i/>
          <w:iCs/>
          <w:sz w:val="20"/>
        </w:rPr>
        <w:t xml:space="preserve"> </w:t>
      </w:r>
      <w:r w:rsidR="00646F3C" w:rsidRPr="009118AB">
        <w:rPr>
          <w:i/>
          <w:iCs/>
          <w:sz w:val="20"/>
        </w:rPr>
        <w:t>§ 1 einziger Absatz Nr. 14</w:t>
      </w:r>
      <w:r w:rsidR="00646F3C">
        <w:rPr>
          <w:i/>
          <w:iCs/>
          <w:sz w:val="20"/>
        </w:rPr>
        <w:t xml:space="preserve"> Abs. 2 und 3 eingefügt durch Art. 33 Nr. 13</w:t>
      </w:r>
      <w:r w:rsidR="00646F3C" w:rsidRPr="00646F3C">
        <w:rPr>
          <w:i/>
          <w:iCs/>
          <w:sz w:val="20"/>
        </w:rPr>
        <w:t xml:space="preserve"> des G. vom 22. Dezember 2023 (II) (B.S. vom 29. Dezember 2023) - anwendbar auf Einkünfte, die ab dem 1. Januar 2024 von einer Rechtsvereinbarung bezogen, zuerkannt oder ausgeschüttet werden -</w:t>
      </w:r>
      <w:r w:rsidR="00646F3C">
        <w:rPr>
          <w:i/>
          <w:iCs/>
          <w:sz w:val="20"/>
        </w:rPr>
        <w:t>;</w:t>
      </w:r>
      <w:r w:rsidR="00646F3C"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14/1 eingefügt durch </w:t>
      </w:r>
      <w:r w:rsidR="00D67EB8" w:rsidRPr="009118AB">
        <w:rPr>
          <w:i/>
          <w:iCs/>
          <w:sz w:val="20"/>
        </w:rPr>
        <w:t>Art. </w:t>
      </w:r>
      <w:r w:rsidRPr="009118AB">
        <w:rPr>
          <w:i/>
          <w:iCs/>
          <w:sz w:val="20"/>
        </w:rPr>
        <w:t xml:space="preserve">38 </w:t>
      </w:r>
      <w:r w:rsidR="00D67EB8" w:rsidRPr="009118AB">
        <w:rPr>
          <w:i/>
          <w:iCs/>
          <w:sz w:val="20"/>
        </w:rPr>
        <w:t>Nr. </w:t>
      </w:r>
      <w:r w:rsidRPr="009118AB">
        <w:rPr>
          <w:i/>
          <w:iCs/>
          <w:sz w:val="20"/>
        </w:rPr>
        <w:t>4 des G. vom 10. August 2015 (B.S. vom 18. August 2015)</w:t>
      </w:r>
      <w:r w:rsidR="00D67EB8" w:rsidRPr="009118AB">
        <w:rPr>
          <w:i/>
          <w:iCs/>
          <w:sz w:val="20"/>
        </w:rPr>
        <w:t> - </w:t>
      </w:r>
      <w:r w:rsidRPr="009118AB">
        <w:rPr>
          <w:i/>
          <w:iCs/>
          <w:sz w:val="20"/>
          <w:lang w:bidi="de-DE"/>
        </w:rPr>
        <w:t>anwendbar auf Einkünfte, die ab dem 1. Janu</w:t>
      </w:r>
      <w:r w:rsidRPr="009118AB">
        <w:rPr>
          <w:i/>
          <w:iCs/>
          <w:sz w:val="20"/>
          <w:lang w:bidi="de-DE"/>
        </w:rPr>
        <w:softHyphen/>
        <w:t>ar 2015 von einer Rechtsvereinbarung bezogen, zuerkannt oder ausgeschüttet werden, und</w:t>
      </w:r>
      <w:r w:rsidR="00D67EB8" w:rsidRPr="009118AB">
        <w:rPr>
          <w:i/>
          <w:iCs/>
          <w:sz w:val="20"/>
          <w:lang w:bidi="de-DE"/>
        </w:rPr>
        <w:t> - </w:t>
      </w:r>
      <w:r w:rsidRPr="009118AB">
        <w:rPr>
          <w:i/>
          <w:iCs/>
          <w:sz w:val="20"/>
          <w:lang w:bidi="de-DE"/>
        </w:rPr>
        <w:t>in Bezug auf die Anwendung des Mobiliensteuervorabzugs oder des Berufssteuervorabzugs</w:t>
      </w:r>
      <w:r w:rsidR="00D67EB8" w:rsidRPr="009118AB">
        <w:rPr>
          <w:i/>
          <w:iCs/>
          <w:sz w:val="20"/>
          <w:lang w:bidi="de-DE"/>
        </w:rPr>
        <w:t> - </w:t>
      </w:r>
      <w:r w:rsidRPr="009118AB">
        <w:rPr>
          <w:i/>
          <w:iCs/>
          <w:sz w:val="20"/>
          <w:lang w:bidi="de-DE"/>
        </w:rPr>
        <w:t>auf Einkünfte, die ab dem 1. September 2015 zuerkannt oder ausgeschüttet werden</w:t>
      </w:r>
      <w:r w:rsidR="00D67EB8" w:rsidRPr="009118AB">
        <w:rPr>
          <w:i/>
          <w:iCs/>
          <w:sz w:val="20"/>
        </w:rPr>
        <w:t> - </w:t>
      </w:r>
      <w:r w:rsidRPr="009118AB">
        <w:rPr>
          <w:i/>
          <w:iCs/>
          <w:sz w:val="20"/>
        </w:rPr>
        <w:t xml:space="preserve">und aufgehoben durch </w:t>
      </w:r>
      <w:r w:rsidR="00D67EB8" w:rsidRPr="009118AB">
        <w:rPr>
          <w:i/>
          <w:iCs/>
          <w:sz w:val="20"/>
        </w:rPr>
        <w:t>Art. </w:t>
      </w:r>
      <w:r w:rsidRPr="009118AB">
        <w:rPr>
          <w:i/>
          <w:iCs/>
          <w:sz w:val="20"/>
        </w:rPr>
        <w:t xml:space="preserve">86 </w:t>
      </w:r>
      <w:r w:rsidR="00D67EB8" w:rsidRPr="009118AB">
        <w:rPr>
          <w:i/>
          <w:iCs/>
          <w:sz w:val="20"/>
        </w:rPr>
        <w:t>Nr. </w:t>
      </w:r>
      <w:r w:rsidRPr="009118AB">
        <w:rPr>
          <w:i/>
          <w:iCs/>
          <w:sz w:val="20"/>
        </w:rPr>
        <w:t>4 des G. vom 25. Dezember 2017 (IV) (B.S. vom 29. Dezember 2017)</w:t>
      </w:r>
      <w:r w:rsidR="00D67EB8" w:rsidRPr="009118AB">
        <w:rPr>
          <w:i/>
          <w:iCs/>
          <w:sz w:val="20"/>
        </w:rPr>
        <w:t> - </w:t>
      </w:r>
      <w:r w:rsidRPr="009118AB">
        <w:rPr>
          <w:i/>
          <w:iCs/>
          <w:sz w:val="20"/>
        </w:rPr>
        <w:t>anwendbar auf Einkünfte, die ab dem 17. September 2017 von einer Rechts</w:t>
      </w:r>
      <w:r w:rsidRPr="009118AB">
        <w:rPr>
          <w:i/>
          <w:iCs/>
          <w:sz w:val="20"/>
        </w:rPr>
        <w:softHyphen/>
        <w:t>verein</w:t>
      </w:r>
      <w:r w:rsidRPr="009118AB">
        <w:rPr>
          <w:i/>
          <w:iCs/>
          <w:sz w:val="20"/>
        </w:rPr>
        <w:softHyphen/>
        <w:t>barung bezogen, zuerkannt oder ausge</w:t>
      </w:r>
      <w:r w:rsidRPr="009118AB">
        <w:rPr>
          <w:i/>
          <w:iCs/>
          <w:sz w:val="20"/>
        </w:rPr>
        <w:softHyphen/>
        <w:t>schüttet werden, und</w:t>
      </w:r>
      <w:r w:rsidR="00D67EB8" w:rsidRPr="009118AB">
        <w:rPr>
          <w:i/>
          <w:iCs/>
          <w:sz w:val="20"/>
        </w:rPr>
        <w:t> - </w:t>
      </w:r>
      <w:r w:rsidRPr="009118AB">
        <w:rPr>
          <w:i/>
          <w:iCs/>
          <w:sz w:val="20"/>
        </w:rPr>
        <w:t>in Bezug auf die Anwendung des Mobilien</w:t>
      </w:r>
      <w:r w:rsidRPr="009118AB">
        <w:rPr>
          <w:i/>
          <w:iCs/>
          <w:sz w:val="20"/>
        </w:rPr>
        <w:softHyphen/>
        <w:t>steuervorabzugs</w:t>
      </w:r>
      <w:r w:rsidR="00D67EB8" w:rsidRPr="009118AB">
        <w:rPr>
          <w:i/>
          <w:iCs/>
          <w:sz w:val="20"/>
        </w:rPr>
        <w:t> - </w:t>
      </w:r>
      <w:r w:rsidRPr="009118AB">
        <w:rPr>
          <w:i/>
          <w:iCs/>
          <w:sz w:val="20"/>
        </w:rPr>
        <w:t>auf Einkünfte, die ab dem 1. Januar 2018 zuerkannt oder ausgeschüttet werden</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15 eingefügt durch </w:t>
      </w:r>
      <w:r w:rsidR="00D67EB8" w:rsidRPr="009118AB">
        <w:rPr>
          <w:i/>
          <w:iCs/>
          <w:sz w:val="20"/>
        </w:rPr>
        <w:t>Art. </w:t>
      </w:r>
      <w:r w:rsidRPr="009118AB">
        <w:rPr>
          <w:i/>
          <w:iCs/>
          <w:sz w:val="20"/>
        </w:rPr>
        <w:t xml:space="preserve">8 </w:t>
      </w:r>
      <w:r w:rsidR="00D67EB8" w:rsidRPr="009118AB">
        <w:rPr>
          <w:i/>
          <w:iCs/>
          <w:sz w:val="20"/>
        </w:rPr>
        <w:t>Nr. </w:t>
      </w:r>
      <w:r w:rsidRPr="009118AB">
        <w:rPr>
          <w:i/>
          <w:iCs/>
          <w:sz w:val="20"/>
        </w:rPr>
        <w:t>3 des G. vom 8. Mai 2014 (B.S. vom 28. Mai 2014)</w:t>
      </w:r>
      <w:r w:rsidR="00D67EB8" w:rsidRPr="009118AB">
        <w:rPr>
          <w:i/>
          <w:iCs/>
          <w:sz w:val="20"/>
        </w:rPr>
        <w:t> - </w:t>
      </w:r>
      <w:r w:rsidRPr="009118AB">
        <w:rPr>
          <w:i/>
          <w:iCs/>
          <w:sz w:val="20"/>
        </w:rPr>
        <w:t>anwendbar ab dem Steuerjahr 2015</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D67EB8" w:rsidRPr="009118AB">
        <w:rPr>
          <w:i/>
          <w:iCs/>
          <w:sz w:val="20"/>
        </w:rPr>
        <w:t>Nr. </w:t>
      </w:r>
      <w:r w:rsidRPr="009118AB">
        <w:rPr>
          <w:i/>
          <w:iCs/>
          <w:sz w:val="20"/>
        </w:rPr>
        <w:t xml:space="preserve">16 bis 18 eingefügt durch </w:t>
      </w:r>
      <w:r w:rsidR="00D67EB8" w:rsidRPr="009118AB">
        <w:rPr>
          <w:i/>
          <w:iCs/>
          <w:sz w:val="20"/>
        </w:rPr>
        <w:t>Art. </w:t>
      </w:r>
      <w:r w:rsidRPr="009118AB">
        <w:rPr>
          <w:i/>
          <w:iCs/>
          <w:sz w:val="20"/>
        </w:rPr>
        <w:t>3 des G. vom 25. Dezember 2017 (III) (B.S. vom 29. Dezember 2017)</w:t>
      </w:r>
      <w:r w:rsidR="00D67EB8" w:rsidRPr="009118AB">
        <w:rPr>
          <w:i/>
          <w:iCs/>
          <w:sz w:val="20"/>
        </w:rPr>
        <w:t> - </w:t>
      </w:r>
      <w:r w:rsidRPr="009118AB">
        <w:rPr>
          <w:i/>
          <w:iCs/>
          <w:sz w:val="20"/>
        </w:rPr>
        <w:t>in Kraft am 1. Januar 2019 und anwendbar ab dem Steuerjahr 2020, das sich auf einen Besteuerungszeitraum bezieht, der frühestens am 1. Januar 2019 beginnt</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1 einziger Absatz </w:t>
      </w:r>
      <w:r w:rsidR="000A1286" w:rsidRPr="009118AB">
        <w:rPr>
          <w:i/>
          <w:iCs/>
          <w:sz w:val="20"/>
        </w:rPr>
        <w:t xml:space="preserve">erste </w:t>
      </w:r>
      <w:r w:rsidRPr="009118AB">
        <w:rPr>
          <w:i/>
          <w:iCs/>
          <w:sz w:val="20"/>
        </w:rPr>
        <w:t>N</w:t>
      </w:r>
      <w:r w:rsidR="000A1286" w:rsidRPr="009118AB">
        <w:rPr>
          <w:i/>
          <w:iCs/>
          <w:sz w:val="20"/>
        </w:rPr>
        <w:t>ummer </w:t>
      </w:r>
      <w:r w:rsidRPr="009118AB">
        <w:rPr>
          <w:i/>
          <w:iCs/>
          <w:sz w:val="20"/>
        </w:rPr>
        <w:t xml:space="preserve">19 eingefügt durch </w:t>
      </w:r>
      <w:r w:rsidR="00D67EB8" w:rsidRPr="009118AB">
        <w:rPr>
          <w:i/>
          <w:iCs/>
          <w:sz w:val="20"/>
        </w:rPr>
        <w:t>Art. </w:t>
      </w:r>
      <w:r w:rsidRPr="009118AB">
        <w:rPr>
          <w:i/>
          <w:iCs/>
          <w:sz w:val="20"/>
        </w:rPr>
        <w:t xml:space="preserve">7 </w:t>
      </w:r>
      <w:r w:rsidR="00D67EB8" w:rsidRPr="009118AB">
        <w:rPr>
          <w:i/>
          <w:iCs/>
          <w:sz w:val="20"/>
        </w:rPr>
        <w:t>Nr. </w:t>
      </w:r>
      <w:r w:rsidRPr="009118AB">
        <w:rPr>
          <w:i/>
          <w:iCs/>
          <w:sz w:val="20"/>
        </w:rPr>
        <w:t>2 des G. vom 20. Dezember 2020 (II) (B.S. vom 30. Dezember 2020)</w:t>
      </w:r>
      <w:r w:rsidR="00D67EB8" w:rsidRPr="009118AB">
        <w:rPr>
          <w:i/>
          <w:iCs/>
          <w:sz w:val="20"/>
        </w:rPr>
        <w:t> - </w:t>
      </w:r>
      <w:r w:rsidRPr="009118AB">
        <w:rPr>
          <w:i/>
          <w:iCs/>
          <w:sz w:val="20"/>
        </w:rPr>
        <w:t>in Kraft am 31. Dezember 2020</w:t>
      </w:r>
      <w:r w:rsidR="003366D9" w:rsidRPr="009118AB">
        <w:rPr>
          <w:i/>
          <w:iCs/>
          <w:sz w:val="20"/>
        </w:rPr>
        <w:t> -;</w:t>
      </w:r>
      <w:r w:rsidRPr="009118AB">
        <w:rPr>
          <w:i/>
          <w:iCs/>
          <w:sz w:val="20"/>
        </w:rPr>
        <w:t xml:space="preserve"> </w:t>
      </w:r>
      <w:r w:rsidR="00BA49EE" w:rsidRPr="00BA49EE">
        <w:rPr>
          <w:i/>
          <w:iCs/>
          <w:sz w:val="20"/>
        </w:rPr>
        <w:t>§ 1 einziger Absatz</w:t>
      </w:r>
      <w:r w:rsidR="00BA49EE">
        <w:rPr>
          <w:i/>
          <w:iCs/>
          <w:sz w:val="20"/>
        </w:rPr>
        <w:t xml:space="preserve"> frühere</w:t>
      </w:r>
      <w:r w:rsidR="00BA49EE" w:rsidRPr="00BA49EE">
        <w:rPr>
          <w:i/>
          <w:iCs/>
          <w:sz w:val="20"/>
        </w:rPr>
        <w:t xml:space="preserve"> zweite Nummer 19 und </w:t>
      </w:r>
      <w:r w:rsidR="00BA49EE">
        <w:rPr>
          <w:i/>
          <w:iCs/>
          <w:sz w:val="20"/>
        </w:rPr>
        <w:t xml:space="preserve">frühere </w:t>
      </w:r>
      <w:r w:rsidR="00BA49EE" w:rsidRPr="00BA49EE">
        <w:rPr>
          <w:i/>
          <w:iCs/>
          <w:sz w:val="20"/>
        </w:rPr>
        <w:t>N</w:t>
      </w:r>
      <w:r w:rsidR="00BA49EE">
        <w:rPr>
          <w:i/>
          <w:iCs/>
          <w:sz w:val="20"/>
        </w:rPr>
        <w:t>ummer</w:t>
      </w:r>
      <w:r w:rsidR="00BA49EE" w:rsidRPr="00BA49EE">
        <w:rPr>
          <w:i/>
          <w:iCs/>
          <w:sz w:val="20"/>
        </w:rPr>
        <w:t> 20 und 21 eingefügt durch Art. 2 des G. vom 26. Januar 2021 (B.S. vom 10. Februar 2021) - in Kraft am 1. Januar 2025 -</w:t>
      </w:r>
      <w:r w:rsidR="00BA49EE">
        <w:rPr>
          <w:i/>
          <w:iCs/>
          <w:sz w:val="20"/>
        </w:rPr>
        <w:t>, selbst aufgehoben durch Art. 213</w:t>
      </w:r>
      <w:r w:rsidR="00BA49EE" w:rsidRPr="00BA49EE">
        <w:rPr>
          <w:i/>
          <w:iCs/>
          <w:sz w:val="20"/>
        </w:rPr>
        <w:t xml:space="preserve"> des G. vom 12. Mai 2024 (B.S. vom 30. Mai 2024);</w:t>
      </w:r>
      <w:r w:rsidR="00BA49EE">
        <w:rPr>
          <w:i/>
          <w:iCs/>
          <w:sz w:val="20"/>
        </w:rPr>
        <w:t xml:space="preserve"> </w:t>
      </w:r>
      <w:r w:rsidR="00D67EB8" w:rsidRPr="009118AB">
        <w:rPr>
          <w:i/>
          <w:iCs/>
          <w:sz w:val="20"/>
        </w:rPr>
        <w:t>§ </w:t>
      </w:r>
      <w:r w:rsidR="000A1286" w:rsidRPr="009118AB">
        <w:rPr>
          <w:i/>
          <w:iCs/>
          <w:sz w:val="20"/>
        </w:rPr>
        <w:t xml:space="preserve">1 einziger Absatz </w:t>
      </w:r>
      <w:r w:rsidR="00D67EB8" w:rsidRPr="009118AB">
        <w:rPr>
          <w:i/>
          <w:iCs/>
          <w:sz w:val="20"/>
        </w:rPr>
        <w:t>Nr. </w:t>
      </w:r>
      <w:r w:rsidR="000A1286" w:rsidRPr="009118AB">
        <w:rPr>
          <w:i/>
          <w:iCs/>
          <w:sz w:val="20"/>
        </w:rPr>
        <w:t xml:space="preserve">20 und 21 eingefügt durch </w:t>
      </w:r>
      <w:r w:rsidR="00D67EB8" w:rsidRPr="009118AB">
        <w:rPr>
          <w:i/>
          <w:iCs/>
          <w:sz w:val="20"/>
        </w:rPr>
        <w:t>Art. </w:t>
      </w:r>
      <w:r w:rsidR="000A1286" w:rsidRPr="009118AB">
        <w:rPr>
          <w:i/>
          <w:iCs/>
          <w:sz w:val="20"/>
        </w:rPr>
        <w:t xml:space="preserve">2 des G. vom </w:t>
      </w:r>
      <w:r w:rsidR="004755B9">
        <w:rPr>
          <w:i/>
          <w:iCs/>
          <w:sz w:val="20"/>
        </w:rPr>
        <w:t>12. Mai 2024 (B.S. vom 30. Mai 2024</w:t>
      </w:r>
      <w:r w:rsidR="000A1286" w:rsidRPr="009118AB">
        <w:rPr>
          <w:i/>
          <w:iCs/>
          <w:sz w:val="20"/>
        </w:rPr>
        <w:t>)</w:t>
      </w:r>
      <w:r w:rsidR="00D67EB8" w:rsidRPr="009118AB">
        <w:rPr>
          <w:i/>
          <w:iCs/>
          <w:sz w:val="20"/>
        </w:rPr>
        <w:t> - </w:t>
      </w:r>
      <w:r w:rsidR="00A54224">
        <w:rPr>
          <w:i/>
          <w:iCs/>
          <w:sz w:val="20"/>
        </w:rPr>
        <w:t xml:space="preserve">in Kraft für alle oder bestimmte Kategorien von Inhabern einer Unternehmensnummer sowie für natürliche Personen an dem jeweils vom König festzulegenden Datum und spätestens am </w:t>
      </w:r>
      <w:r w:rsidR="00CC23FF">
        <w:rPr>
          <w:i/>
          <w:iCs/>
          <w:sz w:val="20"/>
        </w:rPr>
        <w:t>1. Januar 2028 </w:t>
      </w:r>
      <w:r w:rsidR="003366D9" w:rsidRPr="009118AB">
        <w:rPr>
          <w:i/>
          <w:iCs/>
          <w:sz w:val="20"/>
        </w:rPr>
        <w:t>-;</w:t>
      </w:r>
      <w:r w:rsidR="000A1286" w:rsidRPr="009118AB">
        <w:rPr>
          <w:i/>
          <w:iCs/>
          <w:sz w:val="20"/>
        </w:rPr>
        <w:t xml:space="preserve"> </w:t>
      </w:r>
      <w:r w:rsidR="00D67EB8" w:rsidRPr="009118AB">
        <w:rPr>
          <w:i/>
          <w:iCs/>
          <w:sz w:val="20"/>
        </w:rPr>
        <w:t>§ </w:t>
      </w:r>
      <w:r w:rsidRPr="009118AB">
        <w:rPr>
          <w:i/>
          <w:iCs/>
          <w:sz w:val="20"/>
        </w:rPr>
        <w:t xml:space="preserve">2 eingefügt durch </w:t>
      </w:r>
      <w:r w:rsidR="00D67EB8" w:rsidRPr="009118AB">
        <w:rPr>
          <w:i/>
          <w:iCs/>
          <w:sz w:val="20"/>
        </w:rPr>
        <w:t>Art. </w:t>
      </w:r>
      <w:r w:rsidRPr="009118AB">
        <w:rPr>
          <w:i/>
          <w:iCs/>
          <w:sz w:val="20"/>
        </w:rPr>
        <w:t xml:space="preserve">33 </w:t>
      </w:r>
      <w:r w:rsidR="00D67EB8" w:rsidRPr="009118AB">
        <w:rPr>
          <w:i/>
          <w:iCs/>
          <w:sz w:val="20"/>
        </w:rPr>
        <w:t>Nr. </w:t>
      </w:r>
      <w:r w:rsidRPr="009118AB">
        <w:rPr>
          <w:i/>
          <w:iCs/>
          <w:sz w:val="20"/>
        </w:rPr>
        <w:t>2 des G. vom 15. Dezember 2004 (B.S. vom 1. Februar 2005)</w:t>
      </w:r>
      <w:r w:rsidR="00D67EB8" w:rsidRPr="009118AB">
        <w:rPr>
          <w:i/>
          <w:iCs/>
          <w:sz w:val="20"/>
        </w:rPr>
        <w:t> - </w:t>
      </w:r>
      <w:r w:rsidRPr="009118AB">
        <w:rPr>
          <w:i/>
          <w:iCs/>
          <w:sz w:val="20"/>
        </w:rPr>
        <w:t>anwendbar auf Vereinbarungen über die Leistung von dinglichen Sicherheiten und auf Verleihe mit Bezug auf Finanzinstrumente, die ab dem 1. Februar 2005 abgeschlossen werden</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3 eingefügt </w:t>
      </w:r>
      <w:r w:rsidRPr="009118AB">
        <w:rPr>
          <w:i/>
          <w:iCs/>
          <w:sz w:val="20"/>
        </w:rPr>
        <w:lastRenderedPageBreak/>
        <w:t xml:space="preserve">durch </w:t>
      </w:r>
      <w:r w:rsidR="00D67EB8" w:rsidRPr="009118AB">
        <w:rPr>
          <w:i/>
          <w:iCs/>
          <w:sz w:val="20"/>
        </w:rPr>
        <w:t>Art. </w:t>
      </w:r>
      <w:r w:rsidRPr="009118AB">
        <w:rPr>
          <w:i/>
          <w:iCs/>
          <w:sz w:val="20"/>
        </w:rPr>
        <w:t xml:space="preserve">8 </w:t>
      </w:r>
      <w:r w:rsidR="00D67EB8" w:rsidRPr="009118AB">
        <w:rPr>
          <w:i/>
          <w:iCs/>
          <w:sz w:val="20"/>
        </w:rPr>
        <w:t>Nr. </w:t>
      </w:r>
      <w:r w:rsidRPr="009118AB">
        <w:rPr>
          <w:i/>
          <w:iCs/>
          <w:sz w:val="20"/>
        </w:rPr>
        <w:t>4 des G. vom 8. Mai 2014 (B.S. vom 28. Mai 2014)</w:t>
      </w:r>
      <w:r w:rsidR="00D67EB8" w:rsidRPr="009118AB">
        <w:rPr>
          <w:i/>
          <w:iCs/>
          <w:sz w:val="20"/>
        </w:rPr>
        <w:t> - </w:t>
      </w:r>
      <w:r w:rsidRPr="009118AB">
        <w:rPr>
          <w:i/>
          <w:iCs/>
          <w:sz w:val="20"/>
        </w:rPr>
        <w:t>anwendbar ab dem Steuerjahr 2015</w:t>
      </w:r>
      <w:r w:rsidR="003366D9" w:rsidRPr="009118AB">
        <w:rPr>
          <w:i/>
          <w:iCs/>
          <w:sz w:val="20"/>
        </w:rPr>
        <w:t> -;</w:t>
      </w:r>
      <w:r w:rsidRPr="009118AB">
        <w:rPr>
          <w:i/>
          <w:iCs/>
          <w:sz w:val="20"/>
        </w:rPr>
        <w:t xml:space="preserve"> </w:t>
      </w:r>
      <w:r w:rsidR="00D67EB8" w:rsidRPr="009118AB">
        <w:rPr>
          <w:i/>
          <w:iCs/>
          <w:sz w:val="20"/>
        </w:rPr>
        <w:t>§ </w:t>
      </w:r>
      <w:r w:rsidRPr="009118AB">
        <w:rPr>
          <w:i/>
          <w:iCs/>
          <w:sz w:val="20"/>
        </w:rPr>
        <w:t xml:space="preserve">4 eingefügt durch </w:t>
      </w:r>
      <w:r w:rsidR="00D67EB8" w:rsidRPr="009118AB">
        <w:rPr>
          <w:i/>
          <w:iCs/>
          <w:sz w:val="20"/>
        </w:rPr>
        <w:t>Art. </w:t>
      </w:r>
      <w:r w:rsidRPr="009118AB">
        <w:rPr>
          <w:i/>
          <w:iCs/>
          <w:sz w:val="20"/>
        </w:rPr>
        <w:t>84 Buchstabe c) des G. vom 11. Februar 2019 (B.S. vom 22. März 2020)</w:t>
      </w:r>
      <w:r w:rsidR="00D67EB8" w:rsidRPr="009118AB">
        <w:rPr>
          <w:i/>
          <w:iCs/>
          <w:sz w:val="20"/>
        </w:rPr>
        <w:t> - </w:t>
      </w:r>
      <w:r w:rsidRPr="009118AB">
        <w:rPr>
          <w:i/>
          <w:iCs/>
          <w:sz w:val="20"/>
        </w:rPr>
        <w:t>anwendbar ab dem Steuerjahr 2019 auf berufliche Verluste, die Schäden an Landwirtschaftskulturen zuzurechnen sind, die durch ab dem 1. Januar 2018 aufgetretene schlechte Witterungsbedingungen verursacht worden sind</w:t>
      </w:r>
      <w:r w:rsidR="00FD68E8" w:rsidRPr="009118AB">
        <w:rPr>
          <w:i/>
          <w:iCs/>
          <w:sz w:val="20"/>
        </w:rPr>
        <w:t> -]</w:t>
      </w:r>
      <w:r w:rsidRPr="009118AB">
        <w:rPr>
          <w:iCs/>
          <w:sz w:val="20"/>
        </w:rPr>
        <w:t>"</w:t>
      </w:r>
    </w:p>
    <w:p w14:paraId="3ACA5818" w14:textId="69679F16" w:rsidR="00477B8F" w:rsidRPr="009118AB" w:rsidRDefault="00477B8F" w:rsidP="00477B8F">
      <w:pPr>
        <w:autoSpaceDE w:val="0"/>
        <w:autoSpaceDN w:val="0"/>
        <w:adjustRightInd w:val="0"/>
        <w:jc w:val="center"/>
        <w:rPr>
          <w:i/>
          <w:iCs/>
        </w:rPr>
      </w:pPr>
      <w:r w:rsidRPr="009118AB">
        <w:br w:type="page"/>
      </w:r>
      <w:r w:rsidRPr="009118AB">
        <w:rPr>
          <w:b/>
          <w:bCs/>
        </w:rPr>
        <w:lastRenderedPageBreak/>
        <w:t>TITEL II</w:t>
      </w:r>
      <w:r w:rsidR="00D67EB8" w:rsidRPr="009118AB">
        <w:rPr>
          <w:i/>
          <w:iCs/>
        </w:rPr>
        <w:t> - </w:t>
      </w:r>
      <w:r w:rsidRPr="009118AB">
        <w:rPr>
          <w:b/>
          <w:bCs/>
          <w:i/>
          <w:iCs/>
        </w:rPr>
        <w:t>Steuer der natürlichen Personen</w:t>
      </w:r>
    </w:p>
    <w:p w14:paraId="7FA25679" w14:textId="77777777" w:rsidR="00477B8F" w:rsidRPr="009118AB" w:rsidRDefault="00477B8F" w:rsidP="00477B8F">
      <w:pPr>
        <w:autoSpaceDE w:val="0"/>
        <w:autoSpaceDN w:val="0"/>
        <w:adjustRightInd w:val="0"/>
        <w:jc w:val="center"/>
        <w:rPr>
          <w:i/>
          <w:iCs/>
        </w:rPr>
      </w:pPr>
    </w:p>
    <w:p w14:paraId="11DC6449" w14:textId="77777777" w:rsidR="00477B8F" w:rsidRPr="009118AB" w:rsidRDefault="00477B8F" w:rsidP="00477B8F">
      <w:pPr>
        <w:autoSpaceDE w:val="0"/>
        <w:autoSpaceDN w:val="0"/>
        <w:adjustRightInd w:val="0"/>
        <w:jc w:val="center"/>
        <w:rPr>
          <w:i/>
          <w:iCs/>
        </w:rPr>
      </w:pPr>
    </w:p>
    <w:p w14:paraId="4EFFEF9A" w14:textId="3BE4C6EB" w:rsidR="00477B8F" w:rsidRPr="009118AB" w:rsidRDefault="006F1797" w:rsidP="00477B8F">
      <w:pPr>
        <w:autoSpaceDE w:val="0"/>
        <w:autoSpaceDN w:val="0"/>
        <w:adjustRightInd w:val="0"/>
        <w:jc w:val="center"/>
      </w:pPr>
      <w:r w:rsidRPr="009118AB">
        <w:rPr>
          <w:b/>
          <w:bCs/>
        </w:rPr>
        <w:t xml:space="preserve">KAPITEL </w:t>
      </w:r>
      <w:r w:rsidR="007828ED" w:rsidRPr="009118AB">
        <w:rPr>
          <w:b/>
          <w:bCs/>
        </w:rPr>
        <w:t>1</w:t>
      </w:r>
      <w:r w:rsidR="00D67EB8" w:rsidRPr="009118AB">
        <w:t> - </w:t>
      </w:r>
      <w:r w:rsidR="00477B8F" w:rsidRPr="009118AB">
        <w:rPr>
          <w:i/>
          <w:iCs/>
        </w:rPr>
        <w:t>Steuerpflichtige Personen</w:t>
      </w:r>
    </w:p>
    <w:p w14:paraId="4B97D1CB" w14:textId="77777777" w:rsidR="00477B8F" w:rsidRPr="009118AB" w:rsidRDefault="00477B8F" w:rsidP="00477B8F">
      <w:pPr>
        <w:autoSpaceDE w:val="0"/>
        <w:autoSpaceDN w:val="0"/>
        <w:adjustRightInd w:val="0"/>
        <w:jc w:val="center"/>
      </w:pPr>
    </w:p>
    <w:p w14:paraId="1A583356" w14:textId="77777777" w:rsidR="00477B8F" w:rsidRPr="009118AB" w:rsidRDefault="00477B8F" w:rsidP="00477B8F">
      <w:pPr>
        <w:autoSpaceDE w:val="0"/>
        <w:autoSpaceDN w:val="0"/>
        <w:adjustRightInd w:val="0"/>
        <w:jc w:val="center"/>
      </w:pPr>
    </w:p>
    <w:p w14:paraId="44B634DF" w14:textId="44A22F01" w:rsidR="00477B8F" w:rsidRPr="009118AB" w:rsidRDefault="00477B8F" w:rsidP="00477B8F">
      <w:pPr>
        <w:autoSpaceDE w:val="0"/>
        <w:autoSpaceDN w:val="0"/>
        <w:adjustRightInd w:val="0"/>
        <w:jc w:val="both"/>
      </w:pPr>
      <w:r w:rsidRPr="009118AB">
        <w:rPr>
          <w:b/>
          <w:bCs/>
        </w:rPr>
        <w:tab/>
      </w:r>
      <w:r w:rsidR="00D67EB8" w:rsidRPr="009118AB">
        <w:rPr>
          <w:b/>
          <w:bCs/>
        </w:rPr>
        <w:t>Art. </w:t>
      </w:r>
      <w:r w:rsidRPr="009118AB">
        <w:rPr>
          <w:b/>
          <w:bCs/>
        </w:rPr>
        <w:t>3</w:t>
      </w:r>
      <w:r w:rsidR="00D67EB8" w:rsidRPr="009118AB">
        <w:t> - </w:t>
      </w:r>
      <w:r w:rsidRPr="009118AB">
        <w:t>[Die Einwohner des Königreichs unterliegen der Steuer der natürlichen Personen.]</w:t>
      </w:r>
    </w:p>
    <w:p w14:paraId="1D17258E" w14:textId="77777777" w:rsidR="00477B8F" w:rsidRPr="009118AB" w:rsidRDefault="00477B8F" w:rsidP="00477B8F">
      <w:pPr>
        <w:autoSpaceDE w:val="0"/>
        <w:autoSpaceDN w:val="0"/>
        <w:adjustRightInd w:val="0"/>
        <w:jc w:val="both"/>
      </w:pPr>
    </w:p>
    <w:p w14:paraId="1C088A8F" w14:textId="51AF23E6"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3 ersetzt durch </w:t>
      </w:r>
      <w:r w:rsidR="00D67EB8" w:rsidRPr="009118AB">
        <w:rPr>
          <w:i/>
          <w:iCs/>
        </w:rPr>
        <w:t>Art. </w:t>
      </w:r>
      <w:r w:rsidRPr="009118AB">
        <w:rPr>
          <w:i/>
          <w:iCs/>
        </w:rPr>
        <w:t>3 des G. vom 10. August 2001 (B.S. vom 20. September 2001)</w:t>
      </w:r>
      <w:r w:rsidR="00D67EB8" w:rsidRPr="009118AB">
        <w:rPr>
          <w:i/>
          <w:iCs/>
        </w:rPr>
        <w:t> - </w:t>
      </w:r>
      <w:r w:rsidRPr="009118AB">
        <w:rPr>
          <w:i/>
          <w:iCs/>
        </w:rPr>
        <w:t>in Kraft ab dem Steuerjahr 2005</w:t>
      </w:r>
      <w:r w:rsidR="00FD68E8" w:rsidRPr="009118AB">
        <w:rPr>
          <w:i/>
          <w:iCs/>
        </w:rPr>
        <w:t> -]</w:t>
      </w:r>
    </w:p>
    <w:p w14:paraId="0EB85EDA" w14:textId="77777777" w:rsidR="00477B8F" w:rsidRPr="009118AB" w:rsidRDefault="00477B8F" w:rsidP="00477B8F">
      <w:pPr>
        <w:autoSpaceDE w:val="0"/>
        <w:autoSpaceDN w:val="0"/>
        <w:adjustRightInd w:val="0"/>
        <w:jc w:val="both"/>
      </w:pPr>
    </w:p>
    <w:p w14:paraId="521B8EEF" w14:textId="77777777" w:rsidR="00477B8F" w:rsidRPr="009118AB" w:rsidRDefault="00477B8F" w:rsidP="00477B8F">
      <w:pPr>
        <w:autoSpaceDE w:val="0"/>
        <w:autoSpaceDN w:val="0"/>
        <w:adjustRightInd w:val="0"/>
        <w:jc w:val="both"/>
      </w:pPr>
    </w:p>
    <w:p w14:paraId="06475A71" w14:textId="660764F6" w:rsidR="00477B8F" w:rsidRPr="009118AB" w:rsidRDefault="00477B8F" w:rsidP="00477B8F">
      <w:pPr>
        <w:autoSpaceDE w:val="0"/>
        <w:autoSpaceDN w:val="0"/>
        <w:adjustRightInd w:val="0"/>
        <w:jc w:val="both"/>
      </w:pPr>
      <w:r w:rsidRPr="009118AB">
        <w:rPr>
          <w:b/>
          <w:bCs/>
        </w:rPr>
        <w:tab/>
      </w:r>
      <w:r w:rsidR="00D67EB8" w:rsidRPr="009118AB">
        <w:rPr>
          <w:b/>
          <w:bCs/>
        </w:rPr>
        <w:t>Art. </w:t>
      </w:r>
      <w:r w:rsidRPr="009118AB">
        <w:rPr>
          <w:b/>
          <w:bCs/>
        </w:rPr>
        <w:t>4</w:t>
      </w:r>
      <w:r w:rsidR="00D67EB8" w:rsidRPr="009118AB">
        <w:t> - </w:t>
      </w:r>
      <w:r w:rsidRPr="009118AB">
        <w:t>Der Steuer der natürlichen Personen unterliegen nicht:</w:t>
      </w:r>
    </w:p>
    <w:p w14:paraId="7A655EF0" w14:textId="77777777" w:rsidR="00477B8F" w:rsidRPr="009118AB" w:rsidRDefault="00477B8F" w:rsidP="00477B8F">
      <w:pPr>
        <w:autoSpaceDE w:val="0"/>
        <w:autoSpaceDN w:val="0"/>
        <w:adjustRightInd w:val="0"/>
        <w:jc w:val="both"/>
      </w:pPr>
    </w:p>
    <w:p w14:paraId="1DF81EBE" w14:textId="77777777" w:rsidR="00477B8F" w:rsidRPr="009118AB" w:rsidRDefault="00477B8F" w:rsidP="00477B8F">
      <w:pPr>
        <w:autoSpaceDE w:val="0"/>
        <w:autoSpaceDN w:val="0"/>
        <w:adjustRightInd w:val="0"/>
        <w:jc w:val="both"/>
      </w:pPr>
      <w:r w:rsidRPr="009118AB">
        <w:tab/>
        <w:t>1. ausländische diplomatische und berufskonsularische Vertreter, die in Belgien akkreditiert sind [und in ihrem Haushalt lebende Familienmitglieder],</w:t>
      </w:r>
    </w:p>
    <w:p w14:paraId="52C014BF" w14:textId="77777777" w:rsidR="00477B8F" w:rsidRPr="009118AB" w:rsidRDefault="00477B8F" w:rsidP="00477B8F">
      <w:pPr>
        <w:autoSpaceDE w:val="0"/>
        <w:autoSpaceDN w:val="0"/>
        <w:adjustRightInd w:val="0"/>
        <w:jc w:val="both"/>
      </w:pPr>
    </w:p>
    <w:p w14:paraId="2DE8C64B" w14:textId="77777777" w:rsidR="00477B8F" w:rsidRPr="009118AB" w:rsidRDefault="00477B8F" w:rsidP="00477B8F">
      <w:pPr>
        <w:autoSpaceDE w:val="0"/>
        <w:autoSpaceDN w:val="0"/>
        <w:adjustRightInd w:val="0"/>
        <w:jc w:val="both"/>
      </w:pPr>
      <w:r w:rsidRPr="009118AB">
        <w:tab/>
        <w:t>2. unter der Bedingung der Gegenseitigkeit andere Mitglieder ausländischer diplomatischer Missionen und konsularischer Vertretungen in Belgien und in ihrem Haushalt lebende Familienmitglieder, sofern die Betreffenden nicht die belgische Staatsangehörigkeit besitzen [oder nicht ständig in Belgien ansässig sind],</w:t>
      </w:r>
    </w:p>
    <w:p w14:paraId="560BFC18" w14:textId="77777777" w:rsidR="00477B8F" w:rsidRPr="009118AB" w:rsidRDefault="00477B8F" w:rsidP="00477B8F">
      <w:pPr>
        <w:autoSpaceDE w:val="0"/>
        <w:autoSpaceDN w:val="0"/>
        <w:adjustRightInd w:val="0"/>
        <w:jc w:val="both"/>
      </w:pPr>
    </w:p>
    <w:p w14:paraId="24D2FE2F" w14:textId="77777777" w:rsidR="00477B8F" w:rsidRPr="009118AB" w:rsidRDefault="00477B8F" w:rsidP="00477B8F">
      <w:pPr>
        <w:autoSpaceDE w:val="0"/>
        <w:autoSpaceDN w:val="0"/>
        <w:adjustRightInd w:val="0"/>
        <w:jc w:val="both"/>
      </w:pPr>
      <w:r w:rsidRPr="009118AB">
        <w:tab/>
        <w:t xml:space="preserve">3. unter der Bedingung der Gegenseitigkeit Beamte, Bedienstete, Vertreter oder Beauftragte ausländischer Staaten oder deren politischen Untergliederungen oder lokalen Gebietskörperschaften und Einrichtungen ausländischen öffentlichen Rechts, sofern die Betreffenden nicht die belgische Staatsangehörigkeit besitzen [oder nicht ständig in Belgien ansässig sind] und sie ihr Amt nicht im Rahmen einer industriellen oder </w:t>
      </w:r>
      <w:r w:rsidR="00107B70" w:rsidRPr="009118AB">
        <w:t>kommerziellen Tätigkeit ausüben,</w:t>
      </w:r>
    </w:p>
    <w:p w14:paraId="4D6E2644" w14:textId="77777777" w:rsidR="00107B70" w:rsidRPr="009118AB" w:rsidRDefault="00107B70" w:rsidP="00477B8F">
      <w:pPr>
        <w:autoSpaceDE w:val="0"/>
        <w:autoSpaceDN w:val="0"/>
        <w:adjustRightInd w:val="0"/>
        <w:jc w:val="both"/>
      </w:pPr>
    </w:p>
    <w:p w14:paraId="15BEECB3" w14:textId="1EA29885" w:rsidR="00107B70" w:rsidRPr="009118AB" w:rsidRDefault="00107B70" w:rsidP="00477B8F">
      <w:pPr>
        <w:autoSpaceDE w:val="0"/>
        <w:autoSpaceDN w:val="0"/>
        <w:adjustRightInd w:val="0"/>
        <w:jc w:val="both"/>
      </w:pPr>
      <w:r w:rsidRPr="009118AB">
        <w:tab/>
        <w:t xml:space="preserve">[4. natürliche Personen, die gemäß Artikel 1 </w:t>
      </w:r>
      <w:r w:rsidR="00D67EB8" w:rsidRPr="009118AB">
        <w:t>§ </w:t>
      </w:r>
      <w:r w:rsidRPr="009118AB">
        <w:t xml:space="preserve">1 Absatz 1 </w:t>
      </w:r>
      <w:r w:rsidR="00D67EB8" w:rsidRPr="009118AB">
        <w:t>Nr. </w:t>
      </w:r>
      <w:r w:rsidRPr="009118AB">
        <w:t xml:space="preserve">2 des Gesetzes vom 19. Juli 1991 über die Bevölkerungsregister, die Personalausweise, die Ausländerkarten und die Aufenthaltsdokumente und zur Abänderung des Gesetzes vom 8. August 1983 zur Organisation eines Nationalregisters der natürlichen Personen im Warteregister eingetragen sind, mit Ausnahme der Personen, die ihren Vermögenssitz bereits vor ihrer Eintragung ins Warteregister in Belgien festgelegt haben, und der Ehepartner von Steuerpflichtigen, die der Steuer der natürlichen Personen unterliegen, sofern diese Ehepartner sich nicht in einem der in Artikel 126 </w:t>
      </w:r>
      <w:r w:rsidR="00D67EB8" w:rsidRPr="009118AB">
        <w:t>§ </w:t>
      </w:r>
      <w:r w:rsidRPr="009118AB">
        <w:t xml:space="preserve">2 Absatz 1 </w:t>
      </w:r>
      <w:r w:rsidR="00D67EB8" w:rsidRPr="009118AB">
        <w:t>Nr. </w:t>
      </w:r>
      <w:r w:rsidRPr="009118AB">
        <w:t>1 bis 3 erwähnten Fälle befinden.]</w:t>
      </w:r>
    </w:p>
    <w:p w14:paraId="588B5B61" w14:textId="77777777" w:rsidR="00477B8F" w:rsidRPr="009118AB" w:rsidRDefault="00477B8F" w:rsidP="00477B8F">
      <w:pPr>
        <w:autoSpaceDE w:val="0"/>
        <w:autoSpaceDN w:val="0"/>
        <w:adjustRightInd w:val="0"/>
        <w:jc w:val="both"/>
      </w:pPr>
    </w:p>
    <w:p w14:paraId="753D7599" w14:textId="0EB17099"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4 einziger Absatz </w:t>
      </w:r>
      <w:r w:rsidR="00D67EB8" w:rsidRPr="009118AB">
        <w:rPr>
          <w:i/>
          <w:iCs/>
        </w:rPr>
        <w:t>Nr. </w:t>
      </w:r>
      <w:r w:rsidRPr="009118AB">
        <w:rPr>
          <w:i/>
          <w:iCs/>
        </w:rPr>
        <w:t xml:space="preserve">1 ergänzt durch </w:t>
      </w:r>
      <w:r w:rsidR="00D67EB8" w:rsidRPr="009118AB">
        <w:rPr>
          <w:i/>
          <w:iCs/>
        </w:rPr>
        <w:t>Art. </w:t>
      </w:r>
      <w:r w:rsidRPr="009118AB">
        <w:rPr>
          <w:i/>
          <w:iCs/>
        </w:rPr>
        <w:t xml:space="preserve">3 </w:t>
      </w:r>
      <w:r w:rsidR="00D67EB8" w:rsidRPr="009118AB">
        <w:rPr>
          <w:i/>
          <w:iCs/>
        </w:rPr>
        <w:t>Nr. </w:t>
      </w:r>
      <w:r w:rsidRPr="009118AB">
        <w:rPr>
          <w:i/>
          <w:iCs/>
        </w:rPr>
        <w:t>1 des G. vom 6. Juli 1994 (B.S. vom 16. Juli 1994)</w:t>
      </w:r>
      <w:r w:rsidR="00D67EB8" w:rsidRPr="009118AB">
        <w:rPr>
          <w:i/>
          <w:iCs/>
        </w:rPr>
        <w:t> - </w:t>
      </w:r>
      <w:r w:rsidRPr="009118AB">
        <w:rPr>
          <w:i/>
          <w:iCs/>
        </w:rPr>
        <w:t>anwendbar ab dem Steuerjahr 1995</w:t>
      </w:r>
      <w:r w:rsidR="003366D9" w:rsidRPr="009118AB">
        <w:rPr>
          <w:i/>
          <w:iCs/>
        </w:rPr>
        <w:t> -;</w:t>
      </w:r>
      <w:r w:rsidRPr="009118AB">
        <w:rPr>
          <w:i/>
          <w:iCs/>
        </w:rPr>
        <w:t xml:space="preserve"> einziger Absatz </w:t>
      </w:r>
      <w:r w:rsidR="00D67EB8" w:rsidRPr="009118AB">
        <w:rPr>
          <w:i/>
          <w:iCs/>
        </w:rPr>
        <w:t>Nr. </w:t>
      </w:r>
      <w:r w:rsidRPr="009118AB">
        <w:rPr>
          <w:i/>
          <w:iCs/>
        </w:rPr>
        <w:t xml:space="preserve">2 ergänzt durch </w:t>
      </w:r>
      <w:r w:rsidR="00D67EB8" w:rsidRPr="009118AB">
        <w:rPr>
          <w:i/>
          <w:iCs/>
        </w:rPr>
        <w:t>Art. </w:t>
      </w:r>
      <w:r w:rsidRPr="009118AB">
        <w:rPr>
          <w:i/>
          <w:iCs/>
        </w:rPr>
        <w:t xml:space="preserve">3 </w:t>
      </w:r>
      <w:r w:rsidR="00D67EB8" w:rsidRPr="009118AB">
        <w:rPr>
          <w:i/>
          <w:iCs/>
        </w:rPr>
        <w:t>Nr. </w:t>
      </w:r>
      <w:r w:rsidRPr="009118AB">
        <w:rPr>
          <w:i/>
          <w:iCs/>
        </w:rPr>
        <w:t>3 des G. vom 6. Juli 1994 (B.S. vom 16. Juli 1994)</w:t>
      </w:r>
      <w:r w:rsidR="00D67EB8" w:rsidRPr="009118AB">
        <w:rPr>
          <w:i/>
          <w:iCs/>
        </w:rPr>
        <w:t> - </w:t>
      </w:r>
      <w:r w:rsidRPr="009118AB">
        <w:rPr>
          <w:i/>
          <w:iCs/>
        </w:rPr>
        <w:t>anwendbar ab dem Steuerjahr</w:t>
      </w:r>
      <w:r w:rsidR="006E15C2" w:rsidRPr="009118AB">
        <w:rPr>
          <w:i/>
          <w:iCs/>
        </w:rPr>
        <w:t> </w:t>
      </w:r>
      <w:r w:rsidRPr="009118AB">
        <w:rPr>
          <w:i/>
          <w:iCs/>
        </w:rPr>
        <w:t>1995</w:t>
      </w:r>
      <w:r w:rsidR="003366D9" w:rsidRPr="009118AB">
        <w:rPr>
          <w:i/>
          <w:iCs/>
        </w:rPr>
        <w:t> -;</w:t>
      </w:r>
      <w:r w:rsidRPr="009118AB">
        <w:rPr>
          <w:i/>
          <w:iCs/>
        </w:rPr>
        <w:t xml:space="preserve"> einziger Absatz </w:t>
      </w:r>
      <w:r w:rsidR="00D67EB8" w:rsidRPr="009118AB">
        <w:rPr>
          <w:i/>
          <w:iCs/>
        </w:rPr>
        <w:t>Nr. </w:t>
      </w:r>
      <w:r w:rsidRPr="009118AB">
        <w:rPr>
          <w:i/>
          <w:iCs/>
        </w:rPr>
        <w:t xml:space="preserve">3 abgeändert durch </w:t>
      </w:r>
      <w:r w:rsidR="00D67EB8" w:rsidRPr="009118AB">
        <w:rPr>
          <w:i/>
          <w:iCs/>
        </w:rPr>
        <w:t>Art. </w:t>
      </w:r>
      <w:r w:rsidRPr="009118AB">
        <w:rPr>
          <w:i/>
          <w:iCs/>
        </w:rPr>
        <w:t xml:space="preserve">3 </w:t>
      </w:r>
      <w:r w:rsidR="00D67EB8" w:rsidRPr="009118AB">
        <w:rPr>
          <w:i/>
          <w:iCs/>
        </w:rPr>
        <w:t>Nr. </w:t>
      </w:r>
      <w:r w:rsidRPr="009118AB">
        <w:rPr>
          <w:i/>
          <w:iCs/>
        </w:rPr>
        <w:t>4 des G. vom 6. Juli 1994 (B.S.</w:t>
      </w:r>
      <w:r w:rsidR="006C1BF6" w:rsidRPr="009118AB">
        <w:rPr>
          <w:i/>
          <w:iCs/>
        </w:rPr>
        <w:t> </w:t>
      </w:r>
      <w:r w:rsidRPr="009118AB">
        <w:rPr>
          <w:i/>
          <w:iCs/>
        </w:rPr>
        <w:t>vom 16. Juli 1994)</w:t>
      </w:r>
      <w:r w:rsidR="00D67EB8" w:rsidRPr="009118AB">
        <w:rPr>
          <w:i/>
          <w:iCs/>
        </w:rPr>
        <w:t> - </w:t>
      </w:r>
      <w:r w:rsidRPr="009118AB">
        <w:rPr>
          <w:i/>
          <w:iCs/>
        </w:rPr>
        <w:t>anwendbar ab dem Steuerjahr 1995</w:t>
      </w:r>
      <w:r w:rsidR="003366D9" w:rsidRPr="009118AB">
        <w:rPr>
          <w:i/>
          <w:iCs/>
        </w:rPr>
        <w:t> -;</w:t>
      </w:r>
      <w:r w:rsidR="00107B70" w:rsidRPr="009118AB">
        <w:rPr>
          <w:i/>
          <w:iCs/>
        </w:rPr>
        <w:t xml:space="preserve"> einziger Absatz </w:t>
      </w:r>
      <w:r w:rsidR="00D67EB8" w:rsidRPr="009118AB">
        <w:rPr>
          <w:i/>
          <w:iCs/>
        </w:rPr>
        <w:t>Nr. </w:t>
      </w:r>
      <w:r w:rsidR="00107B70" w:rsidRPr="009118AB">
        <w:rPr>
          <w:i/>
          <w:iCs/>
        </w:rPr>
        <w:t xml:space="preserve">4 eingefügt durch </w:t>
      </w:r>
      <w:r w:rsidR="00D67EB8" w:rsidRPr="009118AB">
        <w:rPr>
          <w:i/>
          <w:iCs/>
        </w:rPr>
        <w:t>Art. </w:t>
      </w:r>
      <w:r w:rsidR="00107B70" w:rsidRPr="009118AB">
        <w:rPr>
          <w:i/>
          <w:iCs/>
        </w:rPr>
        <w:t>2</w:t>
      </w:r>
      <w:r w:rsidR="00107B70" w:rsidRPr="009118AB">
        <w:rPr>
          <w:i/>
        </w:rPr>
        <w:t xml:space="preserve"> des G. vom 25. Dezember 2016 (III) (B.S. vom 30. Dezember 2016)</w:t>
      </w:r>
      <w:r w:rsidR="00D67EB8" w:rsidRPr="009118AB">
        <w:rPr>
          <w:i/>
        </w:rPr>
        <w:t> - </w:t>
      </w:r>
      <w:r w:rsidR="00107B70" w:rsidRPr="009118AB">
        <w:rPr>
          <w:i/>
        </w:rPr>
        <w:t>anwendbar ab dem Steuerjahr, das sich auf den Besteuerungszeitraum bezieht, der am 1. Januar 2017 beginnt</w:t>
      </w:r>
      <w:r w:rsidR="00FD68E8" w:rsidRPr="009118AB">
        <w:rPr>
          <w:i/>
        </w:rPr>
        <w:t> -]</w:t>
      </w:r>
    </w:p>
    <w:p w14:paraId="51D554DC" w14:textId="77777777" w:rsidR="00477B8F" w:rsidRPr="009118AB" w:rsidRDefault="00477B8F" w:rsidP="00477B8F">
      <w:pPr>
        <w:autoSpaceDE w:val="0"/>
        <w:autoSpaceDN w:val="0"/>
        <w:adjustRightInd w:val="0"/>
        <w:jc w:val="both"/>
        <w:rPr>
          <w:i/>
          <w:iCs/>
        </w:rPr>
      </w:pPr>
    </w:p>
    <w:p w14:paraId="00255384" w14:textId="77777777" w:rsidR="00477B8F" w:rsidRPr="009118AB" w:rsidRDefault="00477B8F" w:rsidP="00477B8F">
      <w:pPr>
        <w:autoSpaceDE w:val="0"/>
        <w:autoSpaceDN w:val="0"/>
        <w:adjustRightInd w:val="0"/>
        <w:jc w:val="both"/>
        <w:rPr>
          <w:i/>
          <w:iCs/>
        </w:rPr>
      </w:pPr>
    </w:p>
    <w:p w14:paraId="3301AF64" w14:textId="478EC48A" w:rsidR="00477B8F" w:rsidRPr="009118AB" w:rsidRDefault="00477B8F" w:rsidP="00477B8F">
      <w:pPr>
        <w:autoSpaceDE w:val="0"/>
        <w:autoSpaceDN w:val="0"/>
        <w:adjustRightInd w:val="0"/>
        <w:jc w:val="both"/>
      </w:pPr>
      <w:r w:rsidRPr="009118AB">
        <w:rPr>
          <w:b/>
          <w:bCs/>
        </w:rPr>
        <w:lastRenderedPageBreak/>
        <w:tab/>
      </w:r>
      <w:r w:rsidR="00D67EB8" w:rsidRPr="009118AB">
        <w:rPr>
          <w:b/>
          <w:bCs/>
        </w:rPr>
        <w:t>Art. </w:t>
      </w:r>
      <w:r w:rsidRPr="009118AB">
        <w:rPr>
          <w:b/>
          <w:bCs/>
        </w:rPr>
        <w:t>5</w:t>
      </w:r>
      <w:r w:rsidR="00D67EB8" w:rsidRPr="009118AB">
        <w:t> - </w:t>
      </w:r>
      <w:r w:rsidRPr="009118AB">
        <w:t>Die Einwohner des Königreichs unterliegen der Steuer der natürlichen Personen mit all ihren in vorliegendem Gesetzbuch erwähnten steuerpflichtigen Einkünften, selbst wenn einige dieser Einkünfte im Ausland erzielt oder bezogen wurden.</w:t>
      </w:r>
    </w:p>
    <w:p w14:paraId="62B27142" w14:textId="77777777" w:rsidR="00BF4B6D" w:rsidRPr="009118AB" w:rsidRDefault="00BF4B6D" w:rsidP="00477B8F">
      <w:pPr>
        <w:autoSpaceDE w:val="0"/>
        <w:autoSpaceDN w:val="0"/>
        <w:adjustRightInd w:val="0"/>
        <w:jc w:val="center"/>
      </w:pPr>
    </w:p>
    <w:p w14:paraId="72AFE8B6" w14:textId="77777777" w:rsidR="00BF4B6D" w:rsidRPr="009118AB" w:rsidRDefault="00BF4B6D" w:rsidP="00477B8F">
      <w:pPr>
        <w:autoSpaceDE w:val="0"/>
        <w:autoSpaceDN w:val="0"/>
        <w:adjustRightInd w:val="0"/>
        <w:jc w:val="center"/>
      </w:pPr>
    </w:p>
    <w:p w14:paraId="617F71FF" w14:textId="7B479CCE" w:rsidR="00085A2D" w:rsidRPr="009118AB" w:rsidRDefault="00BF4B6D" w:rsidP="00085A2D">
      <w:pPr>
        <w:ind w:firstLine="708"/>
        <w:jc w:val="both"/>
      </w:pPr>
      <w:r w:rsidRPr="009118AB">
        <w:tab/>
        <w:t>[</w:t>
      </w:r>
      <w:r w:rsidR="00D67EB8" w:rsidRPr="009118AB">
        <w:rPr>
          <w:b/>
        </w:rPr>
        <w:t>Art. </w:t>
      </w:r>
      <w:r w:rsidR="00085A2D" w:rsidRPr="009118AB">
        <w:rPr>
          <w:b/>
        </w:rPr>
        <w:t>5/1</w:t>
      </w:r>
      <w:r w:rsidR="00D67EB8" w:rsidRPr="009118AB">
        <w:t> - § </w:t>
      </w:r>
      <w:r w:rsidR="00085A2D" w:rsidRPr="009118AB">
        <w:t>1</w:t>
      </w:r>
      <w:r w:rsidR="00D67EB8" w:rsidRPr="009118AB">
        <w:t> - </w:t>
      </w:r>
      <w:r w:rsidR="008D16A6" w:rsidRPr="009118AB">
        <w:t>[Die von einer Rechtsvereinbarung bezogenen Einkünfte sind beim Einwohner des Königreichs, der Gründer der Rechtsvereinbarung ist, steuerpflichtig, als ob dieser Einwohner des Königreichs sie direkt bezogen hätte.]</w:t>
      </w:r>
    </w:p>
    <w:p w14:paraId="7145226B" w14:textId="77777777" w:rsidR="00085A2D" w:rsidRPr="009118AB" w:rsidRDefault="00085A2D" w:rsidP="00085A2D">
      <w:pPr>
        <w:jc w:val="both"/>
      </w:pPr>
    </w:p>
    <w:p w14:paraId="294716C7" w14:textId="10A5E58C" w:rsidR="00085A2D" w:rsidRPr="009118AB" w:rsidRDefault="008D16A6" w:rsidP="008D16A6">
      <w:pPr>
        <w:ind w:firstLine="708"/>
        <w:jc w:val="both"/>
      </w:pPr>
      <w:r w:rsidRPr="009118AB">
        <w:t>[</w:t>
      </w:r>
      <w:r w:rsidR="00FC3A84" w:rsidRPr="00FF1F87">
        <w:t>In Abweichung von Absatz 1 sind die von einer Tochterkonstruktion bezogenen Einkünfte nur beim Einwohner des Königreichs, der Gründer der Tochterkonstruktion ist, steuerpflichtig, insoweit dieser Gründer über eine zwischengeschaltete Konstruktion oder über eine Kette von zwischengeschalteten Konstruktionen mittelbar die juristischen oder wirtschaftlichen Rechte an den Aktien oder Anteilen der Tochterkonstruktion besitzt.</w:t>
      </w:r>
      <w:r w:rsidRPr="009118AB">
        <w:t>]</w:t>
      </w:r>
    </w:p>
    <w:p w14:paraId="2741935B" w14:textId="77777777" w:rsidR="00085A2D" w:rsidRPr="009118AB" w:rsidRDefault="00085A2D" w:rsidP="00085A2D">
      <w:pPr>
        <w:jc w:val="both"/>
      </w:pPr>
    </w:p>
    <w:p w14:paraId="19BED357" w14:textId="48923C71" w:rsidR="008D16A6" w:rsidRPr="009118AB" w:rsidRDefault="008D16A6" w:rsidP="008D16A6">
      <w:pPr>
        <w:jc w:val="both"/>
      </w:pPr>
      <w:r w:rsidRPr="009118AB">
        <w:tab/>
        <w:t>[</w:t>
      </w:r>
      <w:r w:rsidR="00FC3A84" w:rsidRPr="00FF1F87">
        <w:t>Die von der Tochterkonstruktion an eine Rechtsvereinbarung ausgeschütteten Einkünfte sind nicht beim Einwohner des Königreichs, der Gründer der Tochterkonstruktion ist, steuerpflichtig, insoweit und unter der Bedingung, dass der Steuerpflichtige nachgewiesen hat, dass diese Einkünfte die Bedingungen von Artikel 21 Absatz 1 Nr. 12 und Absatz 2 erfüllen.</w:t>
      </w:r>
      <w:r w:rsidR="00FC3A84">
        <w:t>]</w:t>
      </w:r>
    </w:p>
    <w:p w14:paraId="48BE7CCF" w14:textId="77777777" w:rsidR="008D16A6" w:rsidRPr="009118AB" w:rsidRDefault="008D16A6" w:rsidP="008D16A6"/>
    <w:p w14:paraId="39C3FAED" w14:textId="67D598AA" w:rsidR="008D16A6" w:rsidRPr="009118AB" w:rsidRDefault="008D16A6" w:rsidP="00FC3A84">
      <w:pPr>
        <w:jc w:val="both"/>
      </w:pPr>
      <w:r w:rsidRPr="009118AB">
        <w:tab/>
      </w:r>
      <w:r w:rsidR="00FC3A84">
        <w:t>[...</w:t>
      </w:r>
      <w:r w:rsidRPr="009118AB">
        <w:t>]</w:t>
      </w:r>
    </w:p>
    <w:p w14:paraId="2E7E169D" w14:textId="77777777" w:rsidR="008D16A6" w:rsidRPr="009118AB" w:rsidRDefault="008D16A6" w:rsidP="00085A2D">
      <w:pPr>
        <w:jc w:val="both"/>
      </w:pPr>
    </w:p>
    <w:p w14:paraId="36364793" w14:textId="77777777" w:rsidR="00085A2D" w:rsidRPr="009118AB" w:rsidRDefault="00085A2D" w:rsidP="00085A2D">
      <w:pPr>
        <w:ind w:firstLine="708"/>
        <w:jc w:val="both"/>
      </w:pPr>
      <w:r w:rsidRPr="009118AB">
        <w:t>Wurde eine Rechtsvereinbarung durch mehrere Gründer gegründet, ist jeder Gründer im Verhältnis zu seiner Einbringung in die Rechtsvereinbarung oder, wenn dieses Verhältnis nicht festgestellt werden kann, jeder für einen gleichen Teil steuerpflichtig.</w:t>
      </w:r>
    </w:p>
    <w:p w14:paraId="5B649144" w14:textId="77777777" w:rsidR="00085A2D" w:rsidRPr="009118AB" w:rsidRDefault="00085A2D" w:rsidP="00085A2D">
      <w:pPr>
        <w:jc w:val="both"/>
      </w:pPr>
    </w:p>
    <w:p w14:paraId="3C25C6C1" w14:textId="285A5A7A" w:rsidR="00085A2D" w:rsidRPr="009118AB" w:rsidRDefault="00085A2D" w:rsidP="00085A2D">
      <w:pPr>
        <w:ind w:firstLine="708"/>
        <w:jc w:val="both"/>
      </w:pPr>
      <w:r w:rsidRPr="009118AB">
        <w:t xml:space="preserve">Im Falle einer Aufteilung des Eigentums an juristischen Rechten, die in Artikel 2 </w:t>
      </w:r>
      <w:r w:rsidR="00D67EB8" w:rsidRPr="009118AB">
        <w:t>§ </w:t>
      </w:r>
      <w:r w:rsidRPr="009118AB">
        <w:t xml:space="preserve">1 </w:t>
      </w:r>
      <w:r w:rsidR="00D67EB8" w:rsidRPr="009118AB">
        <w:t>Nr. </w:t>
      </w:r>
      <w:r w:rsidRPr="009118AB">
        <w:t xml:space="preserve">14 vierter Gedankenstrich erwähnte Gründer besitzen, ist jeder Gründer im Verhältnis zu den wirtschaftlichen Rechten, die er in einer in Artikel 2 </w:t>
      </w:r>
      <w:r w:rsidR="00D67EB8" w:rsidRPr="009118AB">
        <w:t>§ </w:t>
      </w:r>
      <w:r w:rsidRPr="009118AB">
        <w:t xml:space="preserve">1 </w:t>
      </w:r>
      <w:r w:rsidR="00D67EB8" w:rsidRPr="009118AB">
        <w:t>Nr. </w:t>
      </w:r>
      <w:r w:rsidRPr="009118AB">
        <w:t>13 Buchstabe </w:t>
      </w:r>
      <w:r w:rsidRPr="009118AB">
        <w:rPr>
          <w:i/>
        </w:rPr>
        <w:t>b)</w:t>
      </w:r>
      <w:r w:rsidRPr="009118AB">
        <w:t xml:space="preserve"> erwähnten Rechtsvereinbarung besitzt, oder, wenn dieses Verhältnis nicht festgestellt werden kann, jeder für einen gleichen Teil steuerpflichtig.</w:t>
      </w:r>
    </w:p>
    <w:p w14:paraId="1046A6EB" w14:textId="77777777" w:rsidR="00085A2D" w:rsidRPr="009118AB" w:rsidRDefault="00085A2D" w:rsidP="00085A2D">
      <w:pPr>
        <w:jc w:val="both"/>
      </w:pPr>
    </w:p>
    <w:p w14:paraId="017E3FD2" w14:textId="18CC1461" w:rsidR="00085A2D" w:rsidRPr="009118AB" w:rsidRDefault="00085A2D" w:rsidP="00085A2D">
      <w:pPr>
        <w:ind w:firstLine="708"/>
        <w:jc w:val="both"/>
      </w:pPr>
      <w:r w:rsidRPr="009118AB">
        <w:t xml:space="preserve">In Bezug auf die in Artikel 2 </w:t>
      </w:r>
      <w:r w:rsidR="00D67EB8" w:rsidRPr="009118AB">
        <w:t>§ </w:t>
      </w:r>
      <w:r w:rsidRPr="009118AB">
        <w:t xml:space="preserve">1 </w:t>
      </w:r>
      <w:r w:rsidR="00D67EB8" w:rsidRPr="009118AB">
        <w:t>Nr. </w:t>
      </w:r>
      <w:r w:rsidRPr="009118AB">
        <w:t>14 dritter Gedankenstrich erwähnten Gründer ist jeder Gründer im Verhältnis zu seinem Anteil an der Rechtsvereinbarung oder, wenn dieses Verhältnis nicht festgestellt werden kann, im Verhältnis zu seinem Anteil am Nachlass des Gründers, dessen Stelle er einnimmt, steuerpflichtig.</w:t>
      </w:r>
    </w:p>
    <w:p w14:paraId="6363027A" w14:textId="77777777" w:rsidR="00085A2D" w:rsidRPr="009118AB" w:rsidRDefault="00085A2D" w:rsidP="00085A2D">
      <w:pPr>
        <w:jc w:val="both"/>
      </w:pPr>
    </w:p>
    <w:p w14:paraId="6862DC15" w14:textId="77777777" w:rsidR="00085A2D" w:rsidRPr="009118AB" w:rsidRDefault="00085A2D" w:rsidP="00085A2D">
      <w:pPr>
        <w:ind w:firstLine="708"/>
        <w:jc w:val="both"/>
      </w:pPr>
      <w:r w:rsidRPr="009118AB">
        <w:t>Die Vermutungen in Bezug auf die Verteilung der Einkünfte, die gemäß den Bestim</w:t>
      </w:r>
      <w:r w:rsidRPr="009118AB">
        <w:softHyphen/>
        <w:t>mungen des vorliegenden Paragraphen angewandt werden, können von jedem Gründer mit allen in Artikel 340 erwähnten Beweismitteln widerlegt werden, sofern nachgewiesen wird, welcher anderen Person und in welchem Verhältnis die von der Rechtsvereinbarung bezoge</w:t>
      </w:r>
      <w:r w:rsidRPr="009118AB">
        <w:softHyphen/>
        <w:t xml:space="preserve">nen Einkünfte zugeteilt werden müssen. Können diese Beweise nicht in ausreichendem Maße vorgelegt werden, bleiben die Einkünfte dieser Rechtsvereinbarung </w:t>
      </w:r>
      <w:r w:rsidR="003252E4" w:rsidRPr="009118AB">
        <w:t>[gemäß den Bestimmungen des vorliegenden Paragraphen beim Gründer]</w:t>
      </w:r>
      <w:r w:rsidRPr="009118AB">
        <w:t xml:space="preserve"> steuerpflichtig.</w:t>
      </w:r>
    </w:p>
    <w:p w14:paraId="33A20E29" w14:textId="77777777" w:rsidR="00085A2D" w:rsidRPr="009118AB" w:rsidRDefault="00085A2D" w:rsidP="00085A2D">
      <w:pPr>
        <w:jc w:val="both"/>
      </w:pPr>
    </w:p>
    <w:p w14:paraId="6B061063" w14:textId="2094EAC4" w:rsidR="00085A2D" w:rsidRPr="009118AB" w:rsidRDefault="003252E4" w:rsidP="00085A2D">
      <w:pPr>
        <w:ind w:firstLine="708"/>
        <w:jc w:val="both"/>
      </w:pPr>
      <w:r w:rsidRPr="009118AB">
        <w:t>[</w:t>
      </w:r>
      <w:r w:rsidR="00FC3A84" w:rsidRPr="00FF1F87">
        <w:t>Durch die Anwendung des vorliegenden Paragraphen auf die von der Rechtsvereinbarung bezogenen Einkünfte wird die Anwendung von Artikel 18 Absatz 1 Nr. 3 auf die von dieser Rechtsvereinbarung gezahlten oder zuerkannten Einkünfte nicht verhindert.</w:t>
      </w:r>
      <w:r w:rsidRPr="009118AB">
        <w:t>]</w:t>
      </w:r>
    </w:p>
    <w:p w14:paraId="62AF8978" w14:textId="77777777" w:rsidR="00085A2D" w:rsidRPr="009118AB" w:rsidRDefault="00085A2D" w:rsidP="00085A2D">
      <w:pPr>
        <w:jc w:val="both"/>
      </w:pPr>
    </w:p>
    <w:p w14:paraId="07B214C9" w14:textId="292B1CAB" w:rsidR="00085A2D" w:rsidRPr="009118AB" w:rsidRDefault="00D67EB8" w:rsidP="00FC3A84">
      <w:pPr>
        <w:ind w:firstLine="708"/>
        <w:jc w:val="both"/>
        <w:rPr>
          <w:spacing w:val="-2"/>
        </w:rPr>
      </w:pPr>
      <w:r w:rsidRPr="009118AB">
        <w:rPr>
          <w:spacing w:val="-2"/>
        </w:rPr>
        <w:lastRenderedPageBreak/>
        <w:t>§ </w:t>
      </w:r>
      <w:r w:rsidR="00085A2D" w:rsidRPr="009118AB">
        <w:rPr>
          <w:spacing w:val="-2"/>
        </w:rPr>
        <w:t>2</w:t>
      </w:r>
      <w:r w:rsidRPr="009118AB">
        <w:rPr>
          <w:spacing w:val="-2"/>
        </w:rPr>
        <w:t> - </w:t>
      </w:r>
      <w:r w:rsidR="003252E4" w:rsidRPr="009118AB">
        <w:rPr>
          <w:spacing w:val="-2"/>
        </w:rPr>
        <w:t>[</w:t>
      </w:r>
      <w:r w:rsidR="00FC3A84">
        <w:t>..</w:t>
      </w:r>
      <w:r w:rsidR="003252E4" w:rsidRPr="009118AB">
        <w:t>.</w:t>
      </w:r>
      <w:r w:rsidR="003252E4" w:rsidRPr="009118AB">
        <w:rPr>
          <w:spacing w:val="-2"/>
        </w:rPr>
        <w:t>]</w:t>
      </w:r>
    </w:p>
    <w:p w14:paraId="55D4257B" w14:textId="6EF3351D" w:rsidR="00085A2D" w:rsidRPr="009118AB" w:rsidRDefault="00FC3A84" w:rsidP="00085A2D">
      <w:pPr>
        <w:jc w:val="both"/>
      </w:pPr>
      <w:r>
        <w:t xml:space="preserve"> </w:t>
      </w:r>
    </w:p>
    <w:p w14:paraId="46AEBDF1" w14:textId="034993F9" w:rsidR="00DD65E2" w:rsidRPr="009118AB" w:rsidRDefault="00085A2D" w:rsidP="00DD65E2">
      <w:pPr>
        <w:ind w:firstLine="708"/>
        <w:jc w:val="both"/>
      </w:pPr>
      <w:r w:rsidRPr="009118AB">
        <w:tab/>
      </w:r>
      <w:r w:rsidR="00D67EB8" w:rsidRPr="009118AB">
        <w:t>§ </w:t>
      </w:r>
      <w:r w:rsidRPr="009118AB">
        <w:t>3</w:t>
      </w:r>
      <w:r w:rsidR="00D67EB8" w:rsidRPr="009118AB">
        <w:t> - </w:t>
      </w:r>
      <w:r w:rsidR="00DD65E2" w:rsidRPr="009118AB">
        <w:t xml:space="preserve">[Paragraph 1 </w:t>
      </w:r>
      <w:r w:rsidR="00FC3A84">
        <w:t xml:space="preserve">ist] </w:t>
      </w:r>
      <w:r w:rsidR="00DD65E2" w:rsidRPr="009118AB">
        <w:t xml:space="preserve">nicht für das Steuerjahr anwendbar, für das der Gründer </w:t>
      </w:r>
      <w:r w:rsidR="00945838" w:rsidRPr="009118AB">
        <w:t>[…]</w:t>
      </w:r>
      <w:r w:rsidR="00DD65E2" w:rsidRPr="009118AB">
        <w:t>:</w:t>
      </w:r>
    </w:p>
    <w:p w14:paraId="38B9B3B9" w14:textId="77777777" w:rsidR="00DD65E2" w:rsidRPr="009118AB" w:rsidRDefault="00DD65E2" w:rsidP="00DD65E2">
      <w:pPr>
        <w:jc w:val="both"/>
      </w:pPr>
    </w:p>
    <w:p w14:paraId="47308CA2" w14:textId="43442F30" w:rsidR="00DD65E2" w:rsidRPr="009118AB" w:rsidRDefault="00DD65E2" w:rsidP="00DD65E2">
      <w:pPr>
        <w:ind w:firstLine="708"/>
        <w:jc w:val="both"/>
      </w:pPr>
      <w:r w:rsidRPr="009118AB">
        <w:rPr>
          <w:i/>
        </w:rPr>
        <w:t>a)</w:t>
      </w:r>
      <w:r w:rsidRPr="009118AB">
        <w:t xml:space="preserve"> nachweist, </w:t>
      </w:r>
      <w:r w:rsidR="00234B39" w:rsidRPr="009118AB">
        <w:t>[dass die Rechtsvereinbarung aufgrund des Rechts, dem sie unterliegt, Rechtspersönlichkeit besitzt oder dass sie eine Rechtsform hat, die mit der einer Gesellschaft oder Vereinigung mit Rechtspersönlichkeit nach belgischem Recht vergleichbar ist, und dass sie]</w:t>
      </w:r>
      <w:r w:rsidRPr="009118AB">
        <w:t xml:space="preserve"> einer Einkommensteuer unterliegt, die sich auf mindestens 15 Prozent des steuer</w:t>
      </w:r>
      <w:r w:rsidRPr="009118AB">
        <w:softHyphen/>
        <w:t xml:space="preserve">pflichtigen Einkommens dieser Rechtsvereinbarung beläuft, </w:t>
      </w:r>
      <w:r w:rsidR="000F0F20" w:rsidRPr="009118AB">
        <w:t>dass</w:t>
      </w:r>
      <w:r w:rsidRPr="009118AB">
        <w:t xml:space="preserve"> gemäß Regeln bestimmt wird, die für die Festlegung der belgischen Steuer auf entsprechende Einkünfte anwendbar sind, oder</w:t>
      </w:r>
    </w:p>
    <w:p w14:paraId="2C90072F" w14:textId="77777777" w:rsidR="00DD65E2" w:rsidRPr="009118AB" w:rsidRDefault="00DD65E2" w:rsidP="00DD65E2">
      <w:pPr>
        <w:jc w:val="both"/>
      </w:pPr>
    </w:p>
    <w:p w14:paraId="0EC58A39" w14:textId="77777777" w:rsidR="00FC3A84" w:rsidRPr="00FF1F87" w:rsidRDefault="00DD65E2" w:rsidP="00FC3A84">
      <w:pPr>
        <w:ind w:firstLine="708"/>
        <w:jc w:val="both"/>
      </w:pPr>
      <w:r w:rsidRPr="009118AB">
        <w:rPr>
          <w:i/>
        </w:rPr>
        <w:t>b)</w:t>
      </w:r>
      <w:r w:rsidRPr="009118AB">
        <w:t> </w:t>
      </w:r>
      <w:r w:rsidR="00945838" w:rsidRPr="009118AB">
        <w:t>[</w:t>
      </w:r>
      <w:r w:rsidR="00FC3A84" w:rsidRPr="00FF1F87">
        <w:t>in der jährlichen Einkommensteuererklärung angibt und auf einfaches Ersuchen nachweist, dass die Rechtsvereinbarung in einem Staat ansässig ist, mit dem Belgien ein Abkommen zur Vermeidung der Doppelbesteuerung oder eine Vereinbarung im Hinblick auf den Informationsaustausch in Steuersachen abgeschlossen hat oder der zusammen mit Belgien zu den Parteien eines anderen bilateralen oder multilateralen Rechtsinstruments gehört, sofern dieses Abkommen, diese Vereinbarung oder dieses Rechtsinstrument den Informationsaustausch in Steuersachen zwischen den Vertragsstaaten ermöglicht und:</w:t>
      </w:r>
    </w:p>
    <w:p w14:paraId="4B547084" w14:textId="77777777" w:rsidR="00FC3A84" w:rsidRPr="00FF1F87" w:rsidRDefault="00FC3A84" w:rsidP="00FC3A84">
      <w:pPr>
        <w:jc w:val="both"/>
      </w:pPr>
    </w:p>
    <w:p w14:paraId="016D608F" w14:textId="77777777" w:rsidR="00FC3A84" w:rsidRPr="00FF1F87" w:rsidRDefault="00FC3A84" w:rsidP="00FC3A84">
      <w:pPr>
        <w:ind w:firstLine="708"/>
        <w:jc w:val="both"/>
      </w:pPr>
      <w:r w:rsidRPr="00FF1F87">
        <w:t>- nachgewiesen wird, dass die Rechtsvereinbarung, gestützt auf Personal, Ausstattung, Vermögenswerte und Räumlichkeiten, eine wesentliche wirtschaftliche Tätigkeit ausübt und ihre Einkünfte hauptsächlich durch diese Tätigkeit erzielt und dass</w:t>
      </w:r>
    </w:p>
    <w:p w14:paraId="5C1DF0F0" w14:textId="77777777" w:rsidR="00FC3A84" w:rsidRPr="00FF1F87" w:rsidRDefault="00FC3A84" w:rsidP="00FC3A84">
      <w:pPr>
        <w:jc w:val="both"/>
      </w:pPr>
    </w:p>
    <w:p w14:paraId="257577C6" w14:textId="60D5A2A7" w:rsidR="00085A2D" w:rsidRDefault="00FC3A84" w:rsidP="00945838">
      <w:pPr>
        <w:ind w:firstLine="708"/>
        <w:jc w:val="both"/>
      </w:pPr>
      <w:r w:rsidRPr="00FF1F87">
        <w:t>- diese wesentliche Tätigkeit die Verwaltung des Privatvermögens des Gründers beziehungsweise eines der Gründer dieser Rechtsvereinbarung nicht zum Ziel hat</w:t>
      </w:r>
      <w:r>
        <w:t>,</w:t>
      </w:r>
      <w:r w:rsidR="00945838" w:rsidRPr="009118AB">
        <w:t>]</w:t>
      </w:r>
      <w:r w:rsidR="00DD65E2" w:rsidRPr="009118AB">
        <w:t>]</w:t>
      </w:r>
      <w:r w:rsidR="00085A2D" w:rsidRPr="009118AB">
        <w:t>]</w:t>
      </w:r>
    </w:p>
    <w:p w14:paraId="3A9A83CC" w14:textId="77777777" w:rsidR="00FC3A84" w:rsidRDefault="00FC3A84" w:rsidP="00945838">
      <w:pPr>
        <w:ind w:firstLine="708"/>
        <w:jc w:val="both"/>
      </w:pPr>
    </w:p>
    <w:p w14:paraId="4CA0A1C4" w14:textId="77777777" w:rsidR="00FC3A84" w:rsidRPr="00FF1F87" w:rsidRDefault="00FC3A84" w:rsidP="00FC3A84">
      <w:pPr>
        <w:ind w:firstLine="708"/>
        <w:jc w:val="both"/>
      </w:pPr>
      <w:r>
        <w:t>[</w:t>
      </w:r>
      <w:r w:rsidRPr="00FF1F87">
        <w:rPr>
          <w:i/>
          <w:iCs/>
        </w:rPr>
        <w:t>c)</w:t>
      </w:r>
      <w:r w:rsidRPr="00FF1F87">
        <w:t> nachweist, dass die Einkünfte dieser Rechtsvereinbarung in Anwendung von Artikel 185/2 bei einer inländischen Gesellschaft besteuert werden,</w:t>
      </w:r>
    </w:p>
    <w:p w14:paraId="496AB78A" w14:textId="77777777" w:rsidR="00FC3A84" w:rsidRPr="00FF1F87" w:rsidRDefault="00FC3A84" w:rsidP="00FC3A84">
      <w:pPr>
        <w:jc w:val="both"/>
      </w:pPr>
    </w:p>
    <w:p w14:paraId="3E4B7CAD" w14:textId="52BD1EFD" w:rsidR="00FC3A84" w:rsidRDefault="00FC3A84" w:rsidP="00FC3A84">
      <w:pPr>
        <w:ind w:firstLine="708"/>
        <w:jc w:val="both"/>
      </w:pPr>
      <w:r w:rsidRPr="00FF1F87">
        <w:rPr>
          <w:i/>
          <w:iCs/>
        </w:rPr>
        <w:t>d)</w:t>
      </w:r>
      <w:r w:rsidRPr="00FF1F87">
        <w:t> nachweist, dass die Einkünfte dieser Rechtsvereinbarung in Anwendung von § 1 oder von Artikel 220/1 bei einem anderen Gründer dieser Rechtsvereinbarung besteuert werden.</w:t>
      </w:r>
      <w:r>
        <w:t>]</w:t>
      </w:r>
    </w:p>
    <w:p w14:paraId="7E822D28" w14:textId="77777777" w:rsidR="00FC3A84" w:rsidRDefault="00FC3A84" w:rsidP="00FC3A84">
      <w:pPr>
        <w:ind w:firstLine="708"/>
        <w:jc w:val="both"/>
      </w:pPr>
    </w:p>
    <w:p w14:paraId="46FD845A" w14:textId="6EB69E8F" w:rsidR="00FC3A84" w:rsidRPr="009118AB" w:rsidRDefault="00FC3A84" w:rsidP="00FC3A84">
      <w:pPr>
        <w:ind w:firstLine="708"/>
        <w:jc w:val="both"/>
      </w:pPr>
      <w:r>
        <w:t>[</w:t>
      </w:r>
      <w:r w:rsidRPr="00FF1F87">
        <w:t>Für die Anwendung von Absatz 1 Buchstabe </w:t>
      </w:r>
      <w:r w:rsidRPr="00FF1F87">
        <w:rPr>
          <w:i/>
          <w:iCs/>
        </w:rPr>
        <w:t>b)</w:t>
      </w:r>
      <w:r w:rsidRPr="00FF1F87">
        <w:t xml:space="preserve"> ist unter der Ausübung einer wirtschaftlichen Tätigkeit das Anbieten von Gütern oder Dienstleistungen auf einem bestimmten Markt zu verstehen.</w:t>
      </w:r>
      <w:r>
        <w:t>]</w:t>
      </w:r>
    </w:p>
    <w:p w14:paraId="26809B28" w14:textId="77777777" w:rsidR="00085A2D" w:rsidRPr="009118AB" w:rsidRDefault="00085A2D" w:rsidP="00085A2D">
      <w:pPr>
        <w:autoSpaceDE w:val="0"/>
        <w:autoSpaceDN w:val="0"/>
        <w:adjustRightInd w:val="0"/>
        <w:jc w:val="both"/>
      </w:pPr>
    </w:p>
    <w:p w14:paraId="2ECD1829" w14:textId="52128C02" w:rsidR="00085A2D" w:rsidRPr="009118AB" w:rsidRDefault="00085A2D" w:rsidP="00085A2D">
      <w:pPr>
        <w:autoSpaceDE w:val="0"/>
        <w:autoSpaceDN w:val="0"/>
        <w:adjustRightInd w:val="0"/>
        <w:jc w:val="both"/>
        <w:rPr>
          <w:i/>
        </w:rPr>
      </w:pPr>
      <w:r w:rsidRPr="009118AB">
        <w:rPr>
          <w:i/>
        </w:rPr>
        <w:t>[</w:t>
      </w:r>
      <w:r w:rsidR="00D67EB8" w:rsidRPr="009118AB">
        <w:rPr>
          <w:i/>
        </w:rPr>
        <w:t>Art. </w:t>
      </w:r>
      <w:r w:rsidRPr="009118AB">
        <w:rPr>
          <w:i/>
        </w:rPr>
        <w:t xml:space="preserve">5/1 eingefügt durch </w:t>
      </w:r>
      <w:r w:rsidR="00D67EB8" w:rsidRPr="009118AB">
        <w:rPr>
          <w:i/>
        </w:rPr>
        <w:t>Art. </w:t>
      </w:r>
      <w:r w:rsidRPr="009118AB">
        <w:rPr>
          <w:i/>
        </w:rPr>
        <w:t>39 des G. vom 10. August 2015 (B.S. vom 18. August 2015)</w:t>
      </w:r>
      <w:r w:rsidR="00D67EB8" w:rsidRPr="009118AB">
        <w:rPr>
          <w:i/>
        </w:rPr>
        <w:t> - </w:t>
      </w:r>
      <w:r w:rsidRPr="009118AB">
        <w:rPr>
          <w:i/>
          <w:lang w:bidi="de-DE"/>
        </w:rPr>
        <w:t>anwendbar auf Einkünfte, die ab dem 1. Januar 2015 von einer Rechtsvereinbarung bezogen, zuerkannt oder ausgeschüttet werden, und</w:t>
      </w:r>
      <w:r w:rsidR="00D67EB8" w:rsidRPr="009118AB">
        <w:rPr>
          <w:i/>
          <w:lang w:bidi="de-DE"/>
        </w:rPr>
        <w:t> - </w:t>
      </w:r>
      <w:r w:rsidRPr="009118AB">
        <w:rPr>
          <w:i/>
          <w:lang w:bidi="de-DE"/>
        </w:rPr>
        <w:t>in Bezug auf die Anwendung des Mobiliensteuer</w:t>
      </w:r>
      <w:r w:rsidRPr="009118AB">
        <w:rPr>
          <w:i/>
          <w:lang w:bidi="de-DE"/>
        </w:rPr>
        <w:softHyphen/>
        <w:t>vorabzugs oder des Berufssteuervorabzugs</w:t>
      </w:r>
      <w:r w:rsidR="00D67EB8" w:rsidRPr="009118AB">
        <w:rPr>
          <w:i/>
          <w:lang w:bidi="de-DE"/>
        </w:rPr>
        <w:t> - </w:t>
      </w:r>
      <w:r w:rsidRPr="009118AB">
        <w:rPr>
          <w:i/>
          <w:lang w:bidi="de-DE"/>
        </w:rPr>
        <w:t>auf Einkünfte, die ab dem 1. September 2015 zuerkannt oder ausgeschüttet werden</w:t>
      </w:r>
      <w:r w:rsidR="003366D9" w:rsidRPr="009118AB">
        <w:rPr>
          <w:i/>
        </w:rPr>
        <w:t> -;</w:t>
      </w:r>
      <w:r w:rsidR="00DD65E2" w:rsidRPr="009118AB">
        <w:rPr>
          <w:i/>
        </w:rPr>
        <w:t xml:space="preserve"> </w:t>
      </w:r>
      <w:r w:rsidR="00D67EB8" w:rsidRPr="009118AB">
        <w:rPr>
          <w:i/>
        </w:rPr>
        <w:t>§ </w:t>
      </w:r>
      <w:r w:rsidR="00945838" w:rsidRPr="009118AB">
        <w:rPr>
          <w:i/>
        </w:rPr>
        <w:t xml:space="preserve">1 </w:t>
      </w:r>
      <w:r w:rsidR="00D67EB8" w:rsidRPr="009118AB">
        <w:rPr>
          <w:i/>
        </w:rPr>
        <w:t>Abs. </w:t>
      </w:r>
      <w:r w:rsidR="00945838" w:rsidRPr="009118AB">
        <w:rPr>
          <w:i/>
        </w:rPr>
        <w:t xml:space="preserve">1 ersetzt durch </w:t>
      </w:r>
      <w:r w:rsidR="00D67EB8" w:rsidRPr="009118AB">
        <w:rPr>
          <w:i/>
        </w:rPr>
        <w:t>Art. </w:t>
      </w:r>
      <w:r w:rsidR="00945838" w:rsidRPr="009118AB">
        <w:rPr>
          <w:i/>
        </w:rPr>
        <w:t xml:space="preserve">87 </w:t>
      </w:r>
      <w:r w:rsidR="00D67EB8" w:rsidRPr="009118AB">
        <w:rPr>
          <w:i/>
        </w:rPr>
        <w:t>Nr. </w:t>
      </w:r>
      <w:r w:rsidR="00945838" w:rsidRPr="009118AB">
        <w:rPr>
          <w:i/>
        </w:rPr>
        <w:t>1</w:t>
      </w:r>
      <w:r w:rsidR="00945838" w:rsidRPr="009118AB">
        <w:rPr>
          <w:i/>
          <w:iCs/>
        </w:rPr>
        <w:t xml:space="preserve"> des G. vom 25. Dezember 2017 (IV) (B.S. vom 29. Dezember 2017)</w:t>
      </w:r>
      <w:r w:rsidR="00D67EB8" w:rsidRPr="009118AB">
        <w:rPr>
          <w:i/>
          <w:iCs/>
        </w:rPr>
        <w:t> - </w:t>
      </w:r>
      <w:r w:rsidR="00945838" w:rsidRPr="009118AB">
        <w:rPr>
          <w:i/>
          <w:iCs/>
        </w:rPr>
        <w:t>anwendbar auf Einkünfte, die ab dem 17. September 2017 von einer Rechtsvereinbarung bezogen, zuerkannt oder ausge</w:t>
      </w:r>
      <w:r w:rsidR="00945838" w:rsidRPr="009118AB">
        <w:rPr>
          <w:i/>
          <w:iCs/>
        </w:rPr>
        <w:softHyphen/>
        <w:t>schüttet werden, und</w:t>
      </w:r>
      <w:r w:rsidR="00D67EB8" w:rsidRPr="009118AB">
        <w:rPr>
          <w:i/>
          <w:iCs/>
        </w:rPr>
        <w:t> - </w:t>
      </w:r>
      <w:r w:rsidR="00945838" w:rsidRPr="009118AB">
        <w:rPr>
          <w:i/>
          <w:iCs/>
        </w:rPr>
        <w:t>in Bezug auf die Anwendung des Mobiliensteuer</w:t>
      </w:r>
      <w:r w:rsidR="00FC3A84">
        <w:rPr>
          <w:i/>
          <w:iCs/>
        </w:rPr>
        <w:softHyphen/>
      </w:r>
      <w:r w:rsidR="00945838" w:rsidRPr="009118AB">
        <w:rPr>
          <w:i/>
          <w:iCs/>
        </w:rPr>
        <w:t>vorabzugs</w:t>
      </w:r>
      <w:r w:rsidR="00D67EB8" w:rsidRPr="009118AB">
        <w:rPr>
          <w:i/>
          <w:iCs/>
        </w:rPr>
        <w:t> - </w:t>
      </w:r>
      <w:r w:rsidR="00945838" w:rsidRPr="009118AB">
        <w:rPr>
          <w:i/>
          <w:iCs/>
        </w:rPr>
        <w:t>auf Einkünfte, die ab dem 1. Januar 2018 zuerkannt oder ausgeschüttet werden</w:t>
      </w:r>
      <w:r w:rsidR="003366D9" w:rsidRPr="009118AB">
        <w:rPr>
          <w:i/>
          <w:iCs/>
        </w:rPr>
        <w:t> -;</w:t>
      </w:r>
      <w:r w:rsidR="00945838" w:rsidRPr="009118AB">
        <w:rPr>
          <w:i/>
          <w:iCs/>
        </w:rPr>
        <w:t xml:space="preserve"> </w:t>
      </w:r>
      <w:r w:rsidR="00D67EB8" w:rsidRPr="009118AB">
        <w:rPr>
          <w:i/>
          <w:iCs/>
        </w:rPr>
        <w:t>§ </w:t>
      </w:r>
      <w:r w:rsidR="00945838" w:rsidRPr="009118AB">
        <w:rPr>
          <w:i/>
          <w:iCs/>
        </w:rPr>
        <w:t xml:space="preserve">1 </w:t>
      </w:r>
      <w:r w:rsidR="00D67EB8" w:rsidRPr="009118AB">
        <w:rPr>
          <w:i/>
          <w:iCs/>
        </w:rPr>
        <w:t>Abs. </w:t>
      </w:r>
      <w:r w:rsidR="00945838" w:rsidRPr="009118AB">
        <w:rPr>
          <w:i/>
          <w:iCs/>
        </w:rPr>
        <w:t xml:space="preserve">2 ersetzt durch </w:t>
      </w:r>
      <w:r w:rsidR="00D67EB8" w:rsidRPr="009118AB">
        <w:rPr>
          <w:i/>
          <w:iCs/>
        </w:rPr>
        <w:t>Art. </w:t>
      </w:r>
      <w:r w:rsidR="00FC3A84">
        <w:rPr>
          <w:i/>
          <w:iCs/>
        </w:rPr>
        <w:t>34 Nr. 1</w:t>
      </w:r>
      <w:r w:rsidR="00FC3A84" w:rsidRPr="00FC3A84">
        <w:rPr>
          <w:i/>
          <w:iCs/>
        </w:rPr>
        <w:t xml:space="preserve"> des G. vom 22. Dezember 2023 (II) (B.S. vom 29. Dezember 2023) - anwendbar auf Einkünfte, die ab dem 1. Januar 2024 von einer Rechts</w:t>
      </w:r>
      <w:r w:rsidR="00FC3A84">
        <w:rPr>
          <w:i/>
          <w:iCs/>
        </w:rPr>
        <w:softHyphen/>
      </w:r>
      <w:r w:rsidR="00FC3A84" w:rsidRPr="00FC3A84">
        <w:rPr>
          <w:i/>
          <w:iCs/>
        </w:rPr>
        <w:t>vereinbarung bezogen, zuerkannt oder ausgeschüttet werden -</w:t>
      </w:r>
      <w:r w:rsidR="003366D9" w:rsidRPr="009118AB">
        <w:rPr>
          <w:i/>
          <w:iCs/>
        </w:rPr>
        <w:t>;</w:t>
      </w:r>
      <w:r w:rsidR="00945838" w:rsidRPr="009118AB">
        <w:rPr>
          <w:i/>
          <w:iCs/>
        </w:rPr>
        <w:t xml:space="preserve"> </w:t>
      </w:r>
      <w:r w:rsidR="00D67EB8" w:rsidRPr="009118AB">
        <w:rPr>
          <w:i/>
          <w:iCs/>
        </w:rPr>
        <w:t>§ </w:t>
      </w:r>
      <w:r w:rsidR="00945838" w:rsidRPr="009118AB">
        <w:rPr>
          <w:i/>
          <w:iCs/>
        </w:rPr>
        <w:t>1 neue</w:t>
      </w:r>
      <w:r w:rsidR="00FC3A84">
        <w:rPr>
          <w:i/>
          <w:iCs/>
        </w:rPr>
        <w:t>r</w:t>
      </w:r>
      <w:r w:rsidR="00945838" w:rsidRPr="009118AB">
        <w:rPr>
          <w:i/>
          <w:iCs/>
        </w:rPr>
        <w:t xml:space="preserve"> Abs</w:t>
      </w:r>
      <w:r w:rsidR="00FC3A84">
        <w:rPr>
          <w:i/>
          <w:iCs/>
        </w:rPr>
        <w:t>atz</w:t>
      </w:r>
      <w:r w:rsidR="00945838" w:rsidRPr="009118AB">
        <w:rPr>
          <w:i/>
          <w:iCs/>
        </w:rPr>
        <w:t xml:space="preserve"> 3 eingefügt durch </w:t>
      </w:r>
      <w:r w:rsidR="00D67EB8" w:rsidRPr="009118AB">
        <w:rPr>
          <w:i/>
          <w:iCs/>
        </w:rPr>
        <w:t>Art. </w:t>
      </w:r>
      <w:r w:rsidR="00945838" w:rsidRPr="009118AB">
        <w:rPr>
          <w:i/>
          <w:iCs/>
        </w:rPr>
        <w:t xml:space="preserve">87 </w:t>
      </w:r>
      <w:r w:rsidR="00D67EB8" w:rsidRPr="009118AB">
        <w:rPr>
          <w:i/>
          <w:iCs/>
        </w:rPr>
        <w:t>Nr. </w:t>
      </w:r>
      <w:r w:rsidR="00945838" w:rsidRPr="009118AB">
        <w:rPr>
          <w:i/>
          <w:iCs/>
        </w:rPr>
        <w:t>3 des G. vom 25. Dezember 2017 (IV) (B.S. vom 29. Dezember 2017)</w:t>
      </w:r>
      <w:r w:rsidR="00D67EB8" w:rsidRPr="009118AB">
        <w:rPr>
          <w:i/>
          <w:iCs/>
        </w:rPr>
        <w:t> - </w:t>
      </w:r>
      <w:r w:rsidR="00514056" w:rsidRPr="009118AB">
        <w:rPr>
          <w:i/>
          <w:iCs/>
        </w:rPr>
        <w:t>in Kraft am 1. Januar 2018</w:t>
      </w:r>
      <w:r w:rsidR="003366D9" w:rsidRPr="009118AB">
        <w:rPr>
          <w:i/>
          <w:iCs/>
        </w:rPr>
        <w:t> -</w:t>
      </w:r>
      <w:r w:rsidR="00FC3A84">
        <w:rPr>
          <w:i/>
          <w:iCs/>
        </w:rPr>
        <w:t xml:space="preserve"> und ersetzt durch Art. 34 Nr. 2</w:t>
      </w:r>
      <w:r w:rsidR="00FC3A84" w:rsidRPr="00FC3A84">
        <w:rPr>
          <w:i/>
          <w:iCs/>
        </w:rPr>
        <w:t xml:space="preserve"> des G. vom 22. Dezember 2023 (II) </w:t>
      </w:r>
      <w:r w:rsidR="00FC3A84" w:rsidRPr="00FC3A84">
        <w:rPr>
          <w:i/>
          <w:iCs/>
        </w:rPr>
        <w:lastRenderedPageBreak/>
        <w:t>(B.S. vom 29. Dezember 2023) - anwendbar auf Einkünfte, die ab dem 1. Januar 2024 von einer Rechtsvereinbarung bezogen, zuerkannt oder ausgeschüttet werden -</w:t>
      </w:r>
      <w:r w:rsidR="003366D9" w:rsidRPr="009118AB">
        <w:rPr>
          <w:i/>
          <w:iCs/>
        </w:rPr>
        <w:t>;</w:t>
      </w:r>
      <w:r w:rsidR="00945838" w:rsidRPr="009118AB">
        <w:rPr>
          <w:i/>
          <w:iCs/>
        </w:rPr>
        <w:t xml:space="preserve"> </w:t>
      </w:r>
      <w:r w:rsidR="00FC3A84" w:rsidRPr="009118AB">
        <w:rPr>
          <w:i/>
          <w:iCs/>
        </w:rPr>
        <w:t xml:space="preserve">§ 1 </w:t>
      </w:r>
      <w:r w:rsidR="00C64B00">
        <w:rPr>
          <w:i/>
          <w:iCs/>
        </w:rPr>
        <w:t>früher</w:t>
      </w:r>
      <w:r w:rsidR="00FC3A84" w:rsidRPr="009118AB">
        <w:rPr>
          <w:i/>
          <w:iCs/>
        </w:rPr>
        <w:t>e Absätze </w:t>
      </w:r>
      <w:r w:rsidR="00FC3A84">
        <w:rPr>
          <w:i/>
          <w:iCs/>
        </w:rPr>
        <w:t>4 und</w:t>
      </w:r>
      <w:r w:rsidR="00FC3A84" w:rsidRPr="009118AB">
        <w:rPr>
          <w:i/>
          <w:iCs/>
        </w:rPr>
        <w:t xml:space="preserve"> 5 eingefügt durch Art. 87 Nr. 3 des G. vom 25. Dezember 2017 (IV) (B.S. vom 29. Dezember 2017) - in Kraft am 1. Januar 2018 -</w:t>
      </w:r>
      <w:r w:rsidR="00FC3A84">
        <w:rPr>
          <w:i/>
          <w:iCs/>
        </w:rPr>
        <w:t xml:space="preserve"> und aufgehoben durch Art. 34 Nr. 3</w:t>
      </w:r>
      <w:r w:rsidR="00FC3A84" w:rsidRPr="00FC3A84">
        <w:rPr>
          <w:i/>
          <w:iCs/>
        </w:rPr>
        <w:t xml:space="preserve"> des G. vom 22. Dezember 2023 (II) (B.S. vom 29. Dezember 2023) - anwendbar auf Einkünfte, die ab dem 1. Januar 2024 von einer Rechtsvereinbarung bezogen, zuerkannt oder ausgeschüttet werden -</w:t>
      </w:r>
      <w:r w:rsidR="00FC3A84" w:rsidRPr="009118AB">
        <w:rPr>
          <w:i/>
          <w:iCs/>
        </w:rPr>
        <w:t xml:space="preserve">; </w:t>
      </w:r>
      <w:r w:rsidR="00D67EB8" w:rsidRPr="009118AB">
        <w:rPr>
          <w:i/>
          <w:iCs/>
        </w:rPr>
        <w:t>§ </w:t>
      </w:r>
      <w:r w:rsidR="00945838" w:rsidRPr="009118AB">
        <w:rPr>
          <w:i/>
          <w:iCs/>
        </w:rPr>
        <w:t xml:space="preserve">1 </w:t>
      </w:r>
      <w:r w:rsidR="00D67EB8" w:rsidRPr="009118AB">
        <w:rPr>
          <w:i/>
          <w:iCs/>
        </w:rPr>
        <w:t>Abs. </w:t>
      </w:r>
      <w:r w:rsidR="00FC3A84">
        <w:rPr>
          <w:i/>
          <w:iCs/>
        </w:rPr>
        <w:t>7 (früherer Absatz </w:t>
      </w:r>
      <w:r w:rsidR="00945838" w:rsidRPr="009118AB">
        <w:rPr>
          <w:i/>
          <w:iCs/>
        </w:rPr>
        <w:t>9</w:t>
      </w:r>
      <w:r w:rsidR="00FC3A84">
        <w:rPr>
          <w:i/>
          <w:iCs/>
        </w:rPr>
        <w:t>)</w:t>
      </w:r>
      <w:r w:rsidR="00945838" w:rsidRPr="009118AB">
        <w:rPr>
          <w:i/>
          <w:iCs/>
        </w:rPr>
        <w:t xml:space="preserve"> abgeändert durch </w:t>
      </w:r>
      <w:r w:rsidR="00D67EB8" w:rsidRPr="009118AB">
        <w:rPr>
          <w:i/>
          <w:iCs/>
        </w:rPr>
        <w:t>Art. </w:t>
      </w:r>
      <w:r w:rsidR="00945838" w:rsidRPr="009118AB">
        <w:rPr>
          <w:i/>
          <w:iCs/>
        </w:rPr>
        <w:t xml:space="preserve">87 </w:t>
      </w:r>
      <w:r w:rsidR="00D67EB8" w:rsidRPr="009118AB">
        <w:rPr>
          <w:i/>
          <w:iCs/>
        </w:rPr>
        <w:t>Nr. </w:t>
      </w:r>
      <w:r w:rsidR="00945838" w:rsidRPr="009118AB">
        <w:rPr>
          <w:i/>
          <w:iCs/>
        </w:rPr>
        <w:t>4 des G. vom 25. Dezember 2017 (IV) (B.S. vom 29. Dezember 2017)</w:t>
      </w:r>
      <w:r w:rsidR="00D67EB8" w:rsidRPr="009118AB">
        <w:rPr>
          <w:i/>
          <w:iCs/>
        </w:rPr>
        <w:t> - </w:t>
      </w:r>
      <w:r w:rsidR="00945838" w:rsidRPr="009118AB">
        <w:rPr>
          <w:i/>
          <w:iCs/>
        </w:rPr>
        <w:t>anwendbar auf Einkünfte, die ab dem 17. September 2017 von einer Rechtsvereinbarung bezogen, zuerkannt oder ausge</w:t>
      </w:r>
      <w:r w:rsidR="00945838" w:rsidRPr="009118AB">
        <w:rPr>
          <w:i/>
          <w:iCs/>
        </w:rPr>
        <w:softHyphen/>
        <w:t>schüttet werden, und</w:t>
      </w:r>
      <w:r w:rsidR="00D67EB8" w:rsidRPr="009118AB">
        <w:rPr>
          <w:i/>
          <w:iCs/>
        </w:rPr>
        <w:t> - </w:t>
      </w:r>
      <w:r w:rsidR="00945838" w:rsidRPr="009118AB">
        <w:rPr>
          <w:i/>
          <w:iCs/>
        </w:rPr>
        <w:t>in Bezug auf die Anwendung des Mobiliensteuervorabzugs</w:t>
      </w:r>
      <w:r w:rsidR="00D67EB8" w:rsidRPr="009118AB">
        <w:rPr>
          <w:i/>
          <w:iCs/>
        </w:rPr>
        <w:t> - </w:t>
      </w:r>
      <w:r w:rsidR="00945838" w:rsidRPr="009118AB">
        <w:rPr>
          <w:i/>
          <w:iCs/>
        </w:rPr>
        <w:t>auf Einkünfte, die ab dem 1. Januar 2018 zuerkannt oder ausgeschüttet werden</w:t>
      </w:r>
      <w:r w:rsidR="003366D9" w:rsidRPr="009118AB">
        <w:rPr>
          <w:i/>
          <w:iCs/>
        </w:rPr>
        <w:t> -;</w:t>
      </w:r>
      <w:r w:rsidR="00945838" w:rsidRPr="009118AB">
        <w:rPr>
          <w:i/>
          <w:iCs/>
        </w:rPr>
        <w:t xml:space="preserve"> </w:t>
      </w:r>
      <w:r w:rsidR="00D67EB8" w:rsidRPr="009118AB">
        <w:rPr>
          <w:i/>
          <w:iCs/>
        </w:rPr>
        <w:t>§ </w:t>
      </w:r>
      <w:r w:rsidR="00945838" w:rsidRPr="009118AB">
        <w:rPr>
          <w:i/>
          <w:iCs/>
        </w:rPr>
        <w:t xml:space="preserve">1 </w:t>
      </w:r>
      <w:r w:rsidR="00D67EB8" w:rsidRPr="009118AB">
        <w:rPr>
          <w:i/>
          <w:iCs/>
        </w:rPr>
        <w:t>Abs. </w:t>
      </w:r>
      <w:r w:rsidR="00D0654E">
        <w:rPr>
          <w:i/>
          <w:iCs/>
        </w:rPr>
        <w:t>8</w:t>
      </w:r>
      <w:r w:rsidR="00945838" w:rsidRPr="009118AB">
        <w:rPr>
          <w:i/>
          <w:iCs/>
        </w:rPr>
        <w:t xml:space="preserve"> ersetzt durch </w:t>
      </w:r>
      <w:r w:rsidR="00D67EB8" w:rsidRPr="009118AB">
        <w:rPr>
          <w:i/>
          <w:iCs/>
        </w:rPr>
        <w:t>Art. </w:t>
      </w:r>
      <w:r w:rsidR="00D0654E">
        <w:rPr>
          <w:i/>
          <w:iCs/>
        </w:rPr>
        <w:t>34 Nr. 4</w:t>
      </w:r>
      <w:r w:rsidR="00D0654E" w:rsidRPr="00D0654E">
        <w:rPr>
          <w:i/>
          <w:iCs/>
        </w:rPr>
        <w:t xml:space="preserve"> des G. vom 22. Dezember 2023 (II) (B.S. vom 29. Dezember 2023) - anwendbar auf Einkünfte, die ab dem 1. Januar 2024 von einer Rechtsvereinbarung bezogen, zuerkannt oder ausgeschüttet werden -</w:t>
      </w:r>
      <w:r w:rsidR="003366D9" w:rsidRPr="009118AB">
        <w:rPr>
          <w:i/>
          <w:iCs/>
        </w:rPr>
        <w:t>;</w:t>
      </w:r>
      <w:r w:rsidR="00945838" w:rsidRPr="009118AB">
        <w:rPr>
          <w:i/>
          <w:iCs/>
        </w:rPr>
        <w:t xml:space="preserve"> </w:t>
      </w:r>
      <w:r w:rsidR="00D67EB8" w:rsidRPr="009118AB">
        <w:rPr>
          <w:i/>
          <w:iCs/>
        </w:rPr>
        <w:t>§ </w:t>
      </w:r>
      <w:r w:rsidR="00945838" w:rsidRPr="009118AB">
        <w:rPr>
          <w:i/>
          <w:iCs/>
        </w:rPr>
        <w:t xml:space="preserve">2 </w:t>
      </w:r>
      <w:r w:rsidR="00D0654E">
        <w:rPr>
          <w:i/>
          <w:iCs/>
        </w:rPr>
        <w:t>aufgehoben durch Art. 34 Nr. 5</w:t>
      </w:r>
      <w:r w:rsidR="00D0654E" w:rsidRPr="00D0654E">
        <w:rPr>
          <w:i/>
          <w:iCs/>
        </w:rPr>
        <w:t xml:space="preserve"> des G. vom 22. Dezember 2023 (II) (B.S. vom 29. Dezember 2023) - anwendbar auf Einkünfte, die ab dem 1. Januar 2024 von einer Rechtsvereinbarung bezogen, zuerkannt oder ausgeschüttet werden -</w:t>
      </w:r>
      <w:r w:rsidR="003366D9" w:rsidRPr="009118AB">
        <w:rPr>
          <w:i/>
          <w:iCs/>
        </w:rPr>
        <w:t>;</w:t>
      </w:r>
      <w:r w:rsidR="00945838" w:rsidRPr="009118AB">
        <w:rPr>
          <w:i/>
          <w:iCs/>
        </w:rPr>
        <w:t xml:space="preserve"> </w:t>
      </w:r>
      <w:r w:rsidR="00D67EB8" w:rsidRPr="009118AB">
        <w:rPr>
          <w:i/>
        </w:rPr>
        <w:t>§ </w:t>
      </w:r>
      <w:r w:rsidR="00DD65E2" w:rsidRPr="009118AB">
        <w:rPr>
          <w:i/>
        </w:rPr>
        <w:t xml:space="preserve">3 ersetzt durch </w:t>
      </w:r>
      <w:r w:rsidR="00D67EB8" w:rsidRPr="009118AB">
        <w:rPr>
          <w:i/>
        </w:rPr>
        <w:t>Art. </w:t>
      </w:r>
      <w:r w:rsidR="00DD65E2" w:rsidRPr="009118AB">
        <w:rPr>
          <w:i/>
        </w:rPr>
        <w:t>103 des G. vom 26. Dezember 2015 (II) (B.S. vom 30. Dezember 2015)</w:t>
      </w:r>
      <w:r w:rsidR="00D67EB8" w:rsidRPr="009118AB">
        <w:t> - </w:t>
      </w:r>
      <w:r w:rsidR="00DD65E2" w:rsidRPr="009118AB">
        <w:rPr>
          <w:i/>
        </w:rPr>
        <w:t>in Kraft ab dem Steuerjahr 2016</w:t>
      </w:r>
      <w:r w:rsidR="003366D9" w:rsidRPr="009118AB">
        <w:rPr>
          <w:i/>
        </w:rPr>
        <w:t> -;</w:t>
      </w:r>
      <w:r w:rsidR="00945838" w:rsidRPr="009118AB">
        <w:rPr>
          <w:i/>
        </w:rPr>
        <w:t xml:space="preserve"> </w:t>
      </w:r>
      <w:r w:rsidR="00D67EB8" w:rsidRPr="009118AB">
        <w:rPr>
          <w:i/>
        </w:rPr>
        <w:t>§ </w:t>
      </w:r>
      <w:r w:rsidR="00945838" w:rsidRPr="009118AB">
        <w:rPr>
          <w:i/>
        </w:rPr>
        <w:t xml:space="preserve">3 </w:t>
      </w:r>
      <w:r w:rsidR="00D0654E">
        <w:rPr>
          <w:i/>
        </w:rPr>
        <w:t xml:space="preserve">Abs. 1 (früherer </w:t>
      </w:r>
      <w:r w:rsidR="00945838" w:rsidRPr="009118AB">
        <w:rPr>
          <w:i/>
        </w:rPr>
        <w:t>einziger Absatz</w:t>
      </w:r>
      <w:r w:rsidR="00D0654E">
        <w:rPr>
          <w:i/>
        </w:rPr>
        <w:t>)</w:t>
      </w:r>
      <w:r w:rsidR="00945838" w:rsidRPr="009118AB">
        <w:rPr>
          <w:i/>
        </w:rPr>
        <w:t xml:space="preserve"> einleitende Bestimmung abgeändert durch </w:t>
      </w:r>
      <w:r w:rsidR="00D67EB8" w:rsidRPr="009118AB">
        <w:rPr>
          <w:i/>
        </w:rPr>
        <w:t>Art. </w:t>
      </w:r>
      <w:r w:rsidR="00945838" w:rsidRPr="009118AB">
        <w:rPr>
          <w:i/>
        </w:rPr>
        <w:t xml:space="preserve">87 </w:t>
      </w:r>
      <w:r w:rsidR="00D67EB8" w:rsidRPr="009118AB">
        <w:rPr>
          <w:i/>
        </w:rPr>
        <w:t>Nr. </w:t>
      </w:r>
      <w:r w:rsidR="00945838" w:rsidRPr="009118AB">
        <w:rPr>
          <w:i/>
        </w:rPr>
        <w:t>7</w:t>
      </w:r>
      <w:r w:rsidR="00945838" w:rsidRPr="009118AB">
        <w:rPr>
          <w:i/>
          <w:iCs/>
        </w:rPr>
        <w:t xml:space="preserve"> des G. vom 25. Dezember 2017 (IV) (B.S. vom 29. Dezember 2017)</w:t>
      </w:r>
      <w:r w:rsidR="00D67EB8" w:rsidRPr="009118AB">
        <w:rPr>
          <w:i/>
          <w:iCs/>
        </w:rPr>
        <w:t> - </w:t>
      </w:r>
      <w:r w:rsidR="00945838" w:rsidRPr="009118AB">
        <w:rPr>
          <w:i/>
          <w:iCs/>
        </w:rPr>
        <w:t>anwendbar auf Einkünfte, die ab dem 17. September 2017 von einer Rechtsvereinbarung bezogen, zuerkannt oder ausge</w:t>
      </w:r>
      <w:r w:rsidR="00945838" w:rsidRPr="009118AB">
        <w:rPr>
          <w:i/>
          <w:iCs/>
        </w:rPr>
        <w:softHyphen/>
        <w:t>schüttet werden, und</w:t>
      </w:r>
      <w:r w:rsidR="00D67EB8" w:rsidRPr="009118AB">
        <w:rPr>
          <w:i/>
          <w:iCs/>
        </w:rPr>
        <w:t> - </w:t>
      </w:r>
      <w:r w:rsidR="00945838" w:rsidRPr="009118AB">
        <w:rPr>
          <w:i/>
          <w:iCs/>
        </w:rPr>
        <w:t>in Bezug auf die Anwendung des Mobiliensteuervorabzugs</w:t>
      </w:r>
      <w:r w:rsidR="00D67EB8" w:rsidRPr="009118AB">
        <w:rPr>
          <w:i/>
          <w:iCs/>
        </w:rPr>
        <w:t> - </w:t>
      </w:r>
      <w:r w:rsidR="00945838" w:rsidRPr="009118AB">
        <w:rPr>
          <w:i/>
          <w:iCs/>
        </w:rPr>
        <w:t>auf Einkünfte, die ab dem 1. Januar 2018 zuerkannt oder ausgeschüttet werden</w:t>
      </w:r>
      <w:r w:rsidR="003366D9" w:rsidRPr="009118AB">
        <w:rPr>
          <w:i/>
          <w:iCs/>
        </w:rPr>
        <w:t> -</w:t>
      </w:r>
      <w:r w:rsidR="00D0654E">
        <w:rPr>
          <w:i/>
          <w:iCs/>
        </w:rPr>
        <w:t xml:space="preserve"> und Art. 34 Nr. 6</w:t>
      </w:r>
      <w:r w:rsidR="00D0654E" w:rsidRPr="00D0654E">
        <w:rPr>
          <w:i/>
          <w:iCs/>
        </w:rPr>
        <w:t xml:space="preserve"> des G. vom 22. Dezember 2023 (II) (B.S. vom 29. Dezember 2023) - anwendbar auf Einkünfte, die ab dem 1. Januar 2024 von einer Rechtsvereinbarung bezogen, zuerkannt oder ausgeschüttet werden -</w:t>
      </w:r>
      <w:r w:rsidR="003366D9" w:rsidRPr="009118AB">
        <w:rPr>
          <w:i/>
          <w:iCs/>
        </w:rPr>
        <w:t>;</w:t>
      </w:r>
      <w:r w:rsidR="00945838" w:rsidRPr="009118AB">
        <w:rPr>
          <w:i/>
          <w:iCs/>
        </w:rPr>
        <w:t xml:space="preserve"> </w:t>
      </w:r>
      <w:r w:rsidR="00D67EB8" w:rsidRPr="009118AB">
        <w:rPr>
          <w:i/>
          <w:iCs/>
        </w:rPr>
        <w:t>§ </w:t>
      </w:r>
      <w:r w:rsidR="00234B39" w:rsidRPr="009118AB">
        <w:rPr>
          <w:i/>
          <w:iCs/>
        </w:rPr>
        <w:t xml:space="preserve">3 </w:t>
      </w:r>
      <w:r w:rsidR="00D0654E">
        <w:rPr>
          <w:i/>
          <w:iCs/>
        </w:rPr>
        <w:t>Abs. 1</w:t>
      </w:r>
      <w:r w:rsidR="00234B39" w:rsidRPr="009118AB">
        <w:rPr>
          <w:i/>
          <w:iCs/>
        </w:rPr>
        <w:t xml:space="preserve"> Buchstabe a) abgeändert durch </w:t>
      </w:r>
      <w:r w:rsidR="00D67EB8" w:rsidRPr="009118AB">
        <w:rPr>
          <w:i/>
          <w:iCs/>
        </w:rPr>
        <w:t>Art. </w:t>
      </w:r>
      <w:r w:rsidR="00234B39" w:rsidRPr="009118AB">
        <w:rPr>
          <w:i/>
          <w:iCs/>
        </w:rPr>
        <w:t>21</w:t>
      </w:r>
      <w:r w:rsidR="00234B39" w:rsidRPr="009118AB">
        <w:rPr>
          <w:i/>
        </w:rPr>
        <w:t xml:space="preserve"> des G. vom 27. Juni 2021 (B.S. vom 30. Juni 2021)</w:t>
      </w:r>
      <w:r w:rsidR="00D67EB8" w:rsidRPr="009118AB">
        <w:rPr>
          <w:i/>
        </w:rPr>
        <w:t> - </w:t>
      </w:r>
      <w:r w:rsidR="00234B39" w:rsidRPr="009118AB">
        <w:rPr>
          <w:i/>
        </w:rPr>
        <w:t>wirksam mit 17. September 2017 und anwendbar auf Einkünfte, die ab diesem Datum von einer Rechtsvereinbarung zuerkannt oder ausgeschüttet werden, und</w:t>
      </w:r>
      <w:r w:rsidR="00D67EB8" w:rsidRPr="009118AB">
        <w:rPr>
          <w:i/>
        </w:rPr>
        <w:t> - </w:t>
      </w:r>
      <w:r w:rsidR="00234B39" w:rsidRPr="009118AB">
        <w:rPr>
          <w:i/>
        </w:rPr>
        <w:t>in Bezug auf den Mobiliensteuervorabzug</w:t>
      </w:r>
      <w:r w:rsidR="00D67EB8" w:rsidRPr="009118AB">
        <w:rPr>
          <w:i/>
        </w:rPr>
        <w:t> - </w:t>
      </w:r>
      <w:r w:rsidR="00234B39" w:rsidRPr="009118AB">
        <w:rPr>
          <w:i/>
        </w:rPr>
        <w:t>auf Einkünfte, die ab dem 1. Januar 2018 zuerkannt oder ausgeschüttet werden</w:t>
      </w:r>
      <w:r w:rsidR="003366D9" w:rsidRPr="009118AB">
        <w:rPr>
          <w:i/>
        </w:rPr>
        <w:t> -;</w:t>
      </w:r>
      <w:r w:rsidR="00234B39" w:rsidRPr="009118AB">
        <w:rPr>
          <w:i/>
        </w:rPr>
        <w:t xml:space="preserve"> </w:t>
      </w:r>
      <w:r w:rsidR="00D67EB8" w:rsidRPr="009118AB">
        <w:rPr>
          <w:i/>
          <w:iCs/>
        </w:rPr>
        <w:t>§ </w:t>
      </w:r>
      <w:r w:rsidR="00945838" w:rsidRPr="009118AB">
        <w:rPr>
          <w:i/>
          <w:iCs/>
        </w:rPr>
        <w:t xml:space="preserve">3 </w:t>
      </w:r>
      <w:r w:rsidR="00D0654E">
        <w:rPr>
          <w:i/>
          <w:iCs/>
        </w:rPr>
        <w:t>Abs. 1</w:t>
      </w:r>
      <w:r w:rsidR="00945838" w:rsidRPr="009118AB">
        <w:rPr>
          <w:i/>
          <w:iCs/>
        </w:rPr>
        <w:t xml:space="preserve"> Buchstabe b) ersetzt durch </w:t>
      </w:r>
      <w:r w:rsidR="00D67EB8" w:rsidRPr="009118AB">
        <w:rPr>
          <w:i/>
          <w:iCs/>
        </w:rPr>
        <w:t>Art. </w:t>
      </w:r>
      <w:r w:rsidR="00D0654E">
        <w:rPr>
          <w:i/>
          <w:iCs/>
        </w:rPr>
        <w:t>34 Nr. 7</w:t>
      </w:r>
      <w:r w:rsidR="00D0654E" w:rsidRPr="00D0654E">
        <w:rPr>
          <w:i/>
          <w:iCs/>
        </w:rPr>
        <w:t xml:space="preserve"> des G. vom </w:t>
      </w:r>
      <w:r w:rsidR="00D0654E" w:rsidRPr="00D0654E">
        <w:rPr>
          <w:rFonts w:ascii="Times New Roman Italique" w:hAnsi="Times New Roman Italique"/>
          <w:i/>
          <w:iCs/>
          <w:spacing w:val="2"/>
        </w:rPr>
        <w:t>22. Dezember 2023 (II) (B.S. vom 29. Dezember 2023) - anwendbar auf Einkünfte, die ab dem 1. Januar 2024 von einer Rechtsvereinbarung bezogen, zuerkannt oder ausgeschüttet werden -;</w:t>
      </w:r>
      <w:r w:rsidR="00D0654E">
        <w:rPr>
          <w:i/>
          <w:iCs/>
        </w:rPr>
        <w:t xml:space="preserve"> </w:t>
      </w:r>
      <w:r w:rsidR="006166BA" w:rsidRPr="009118AB">
        <w:rPr>
          <w:i/>
          <w:iCs/>
        </w:rPr>
        <w:t xml:space="preserve">§ 3 </w:t>
      </w:r>
      <w:r w:rsidR="006166BA">
        <w:rPr>
          <w:i/>
          <w:iCs/>
        </w:rPr>
        <w:t>Abs. 1</w:t>
      </w:r>
      <w:r w:rsidR="006166BA" w:rsidRPr="009118AB">
        <w:rPr>
          <w:i/>
          <w:iCs/>
        </w:rPr>
        <w:t xml:space="preserve"> Buchstabe </w:t>
      </w:r>
      <w:r w:rsidR="006166BA">
        <w:rPr>
          <w:i/>
          <w:iCs/>
        </w:rPr>
        <w:t>c</w:t>
      </w:r>
      <w:r w:rsidR="006166BA" w:rsidRPr="009118AB">
        <w:rPr>
          <w:i/>
          <w:iCs/>
        </w:rPr>
        <w:t>)</w:t>
      </w:r>
      <w:r w:rsidR="006166BA">
        <w:rPr>
          <w:i/>
          <w:iCs/>
        </w:rPr>
        <w:t xml:space="preserve"> und d) eingefüg</w:t>
      </w:r>
      <w:r w:rsidR="006166BA" w:rsidRPr="009118AB">
        <w:rPr>
          <w:i/>
          <w:iCs/>
        </w:rPr>
        <w:t>t durch Art. </w:t>
      </w:r>
      <w:r w:rsidR="006166BA">
        <w:rPr>
          <w:i/>
          <w:iCs/>
        </w:rPr>
        <w:t>34 Nr. 8</w:t>
      </w:r>
      <w:r w:rsidR="006166BA" w:rsidRPr="00D0654E">
        <w:rPr>
          <w:i/>
          <w:iCs/>
        </w:rPr>
        <w:t xml:space="preserve"> des G. vom </w:t>
      </w:r>
      <w:r w:rsidR="006166BA" w:rsidRPr="00D0654E">
        <w:rPr>
          <w:rFonts w:ascii="Times New Roman Italique" w:hAnsi="Times New Roman Italique"/>
          <w:i/>
          <w:iCs/>
          <w:spacing w:val="2"/>
        </w:rPr>
        <w:t>22. Dezember 2023 (II) (B.S. vom 29. Dezember 2023) - anwendbar auf Einkünfte, die ab dem 1. Januar 2024 von einer Rechtsvereinbarung bezogen, zuerkannt oder ausgeschüttet werden -;</w:t>
      </w:r>
      <w:r w:rsidR="006166BA">
        <w:rPr>
          <w:i/>
          <w:iCs/>
        </w:rPr>
        <w:t xml:space="preserve"> </w:t>
      </w:r>
      <w:r w:rsidR="00D0654E">
        <w:rPr>
          <w:i/>
          <w:iCs/>
        </w:rPr>
        <w:t>§ 3 Abs. 2 eingefügt durch Art. 34 Nr</w:t>
      </w:r>
      <w:r w:rsidR="00C64B00">
        <w:rPr>
          <w:i/>
          <w:iCs/>
        </w:rPr>
        <w:t>. </w:t>
      </w:r>
      <w:r w:rsidR="006166BA">
        <w:rPr>
          <w:i/>
          <w:iCs/>
        </w:rPr>
        <w:t>9</w:t>
      </w:r>
      <w:r w:rsidR="00D0654E" w:rsidRPr="00D0654E">
        <w:rPr>
          <w:i/>
          <w:iCs/>
        </w:rPr>
        <w:t xml:space="preserve"> des G. vom 22. Dezember 2023 (II) (B.S. vom 29. Dezember 2023) - anwendbar auf Einkünfte, die ab dem 1. Januar 2024 von einer Rechtsvereinbarung bezogen, zuerkannt oder ausgeschüttet werden -</w:t>
      </w:r>
      <w:r w:rsidR="00FD68E8" w:rsidRPr="009118AB">
        <w:rPr>
          <w:i/>
          <w:iCs/>
        </w:rPr>
        <w:t>]</w:t>
      </w:r>
    </w:p>
    <w:p w14:paraId="0D24B371" w14:textId="77777777" w:rsidR="00085A2D" w:rsidRPr="009118AB" w:rsidRDefault="00085A2D" w:rsidP="00085A2D">
      <w:pPr>
        <w:autoSpaceDE w:val="0"/>
        <w:autoSpaceDN w:val="0"/>
        <w:adjustRightInd w:val="0"/>
        <w:jc w:val="both"/>
      </w:pPr>
    </w:p>
    <w:p w14:paraId="5404A1A8" w14:textId="77777777" w:rsidR="00085A2D" w:rsidRPr="009118AB" w:rsidRDefault="00085A2D" w:rsidP="00085A2D">
      <w:pPr>
        <w:autoSpaceDE w:val="0"/>
        <w:autoSpaceDN w:val="0"/>
        <w:adjustRightInd w:val="0"/>
        <w:jc w:val="both"/>
      </w:pPr>
    </w:p>
    <w:p w14:paraId="50BA9F4B" w14:textId="64F4C79A" w:rsidR="00125D93" w:rsidRPr="009118AB" w:rsidRDefault="00514056" w:rsidP="00125D93">
      <w:pPr>
        <w:jc w:val="both"/>
      </w:pPr>
      <w:r w:rsidRPr="009118AB">
        <w:tab/>
        <w:t>[</w:t>
      </w:r>
      <w:r w:rsidR="00D67EB8" w:rsidRPr="009118AB">
        <w:rPr>
          <w:b/>
        </w:rPr>
        <w:t>Art. </w:t>
      </w:r>
      <w:r w:rsidRPr="009118AB">
        <w:rPr>
          <w:b/>
        </w:rPr>
        <w:t>5/2</w:t>
      </w:r>
      <w:r w:rsidR="00D67EB8" w:rsidRPr="009118AB">
        <w:t> - </w:t>
      </w:r>
      <w:r w:rsidRPr="009118AB">
        <w:t>Einkünfte aus beweglichen Gütern, die auf einem Konto auf den Namen einer Vereinigung bezogen worden sind, die keine Gewinne oder Profite erzielt oder die der Gesellschaftssteuer oder der Steuer der juristischen Personen nicht unterliegt, sind beim Einwohner des Königreichs, der zur Verwaltung dieses Kontos ermächtigt ist, steuerpflichtig, als ob dieser Einwohner des Königreichs sie direkt bezogen hätte.</w:t>
      </w:r>
    </w:p>
    <w:p w14:paraId="227DE45A" w14:textId="77777777" w:rsidR="00125D93" w:rsidRPr="009118AB" w:rsidRDefault="00125D93" w:rsidP="00125D93">
      <w:pPr>
        <w:jc w:val="both"/>
      </w:pPr>
    </w:p>
    <w:p w14:paraId="7B30E70C" w14:textId="77777777" w:rsidR="006166BA" w:rsidRDefault="006166BA">
      <w:r>
        <w:br w:type="page"/>
      </w:r>
    </w:p>
    <w:p w14:paraId="52AE1DF2" w14:textId="2C9214B3" w:rsidR="00514056" w:rsidRPr="009118AB" w:rsidRDefault="00514056" w:rsidP="00125D93">
      <w:pPr>
        <w:jc w:val="both"/>
      </w:pPr>
      <w:r w:rsidRPr="009118AB">
        <w:lastRenderedPageBreak/>
        <w:tab/>
        <w:t>Wird das Konto von mehreren Personen verwaltet, ist jeder Einwohner des König</w:t>
      </w:r>
      <w:r w:rsidRPr="009118AB">
        <w:softHyphen/>
        <w:t>reichs im Verhältnis zur Anzahl Personen, die zur Verwaltung dieses Kontos ermächtigt sind, steuerpflichtig.]</w:t>
      </w:r>
    </w:p>
    <w:p w14:paraId="7CBFB12A" w14:textId="77777777" w:rsidR="00514056" w:rsidRPr="009118AB" w:rsidRDefault="00514056" w:rsidP="00514056">
      <w:pPr>
        <w:autoSpaceDE w:val="0"/>
        <w:autoSpaceDN w:val="0"/>
        <w:adjustRightInd w:val="0"/>
        <w:jc w:val="both"/>
      </w:pPr>
    </w:p>
    <w:p w14:paraId="60FC99CF" w14:textId="717AAEFE" w:rsidR="00514056" w:rsidRPr="009118AB" w:rsidRDefault="00514056" w:rsidP="00514056">
      <w:pPr>
        <w:autoSpaceDE w:val="0"/>
        <w:autoSpaceDN w:val="0"/>
        <w:adjustRightInd w:val="0"/>
        <w:jc w:val="both"/>
        <w:rPr>
          <w:i/>
        </w:rPr>
      </w:pPr>
      <w:r w:rsidRPr="009118AB">
        <w:rPr>
          <w:i/>
        </w:rPr>
        <w:t>[</w:t>
      </w:r>
      <w:r w:rsidR="00D67EB8" w:rsidRPr="009118AB">
        <w:rPr>
          <w:i/>
        </w:rPr>
        <w:t>Art. </w:t>
      </w:r>
      <w:r w:rsidRPr="009118AB">
        <w:rPr>
          <w:i/>
        </w:rPr>
        <w:t xml:space="preserve">5/2 eingefügt durch </w:t>
      </w:r>
      <w:r w:rsidR="00D67EB8" w:rsidRPr="009118AB">
        <w:rPr>
          <w:i/>
        </w:rPr>
        <w:t>Art. </w:t>
      </w:r>
      <w:r w:rsidRPr="009118AB">
        <w:rPr>
          <w:i/>
        </w:rPr>
        <w:t>88</w:t>
      </w:r>
      <w:r w:rsidRPr="009118AB">
        <w:rPr>
          <w:i/>
          <w:iCs/>
        </w:rPr>
        <w:t xml:space="preserve"> des G. vom 25. Dezember 2017 (IV) (B.S. vom 29. Dezember 2017)</w:t>
      </w:r>
      <w:r w:rsidR="00D67EB8" w:rsidRPr="009118AB">
        <w:rPr>
          <w:i/>
          <w:iCs/>
        </w:rPr>
        <w:t> - </w:t>
      </w:r>
      <w:r w:rsidRPr="009118AB">
        <w:rPr>
          <w:i/>
          <w:iCs/>
        </w:rPr>
        <w:t>in Kraft am 1. Januar 2018</w:t>
      </w:r>
      <w:r w:rsidR="00FD68E8" w:rsidRPr="009118AB">
        <w:rPr>
          <w:i/>
          <w:iCs/>
        </w:rPr>
        <w:t> -]</w:t>
      </w:r>
    </w:p>
    <w:p w14:paraId="55A57649" w14:textId="2D69A057" w:rsidR="00477B8F" w:rsidRPr="009118AB" w:rsidRDefault="00477B8F" w:rsidP="00085A2D">
      <w:pPr>
        <w:autoSpaceDE w:val="0"/>
        <w:autoSpaceDN w:val="0"/>
        <w:adjustRightInd w:val="0"/>
        <w:jc w:val="center"/>
      </w:pPr>
      <w:r w:rsidRPr="009118AB">
        <w:br w:type="page"/>
      </w:r>
      <w:r w:rsidR="006F1797" w:rsidRPr="009118AB">
        <w:rPr>
          <w:b/>
          <w:bCs/>
        </w:rPr>
        <w:lastRenderedPageBreak/>
        <w:t>KAPITEL</w:t>
      </w:r>
      <w:r w:rsidRPr="009118AB">
        <w:rPr>
          <w:b/>
          <w:bCs/>
        </w:rPr>
        <w:t> </w:t>
      </w:r>
      <w:r w:rsidR="007828ED" w:rsidRPr="009118AB">
        <w:rPr>
          <w:b/>
          <w:bCs/>
        </w:rPr>
        <w:t>2</w:t>
      </w:r>
      <w:r w:rsidR="00D67EB8" w:rsidRPr="009118AB">
        <w:t> - </w:t>
      </w:r>
      <w:r w:rsidRPr="009118AB">
        <w:rPr>
          <w:i/>
          <w:iCs/>
        </w:rPr>
        <w:t>Besteuerungsgrundlage</w:t>
      </w:r>
    </w:p>
    <w:p w14:paraId="47B7B16D" w14:textId="77777777" w:rsidR="00477B8F" w:rsidRPr="009118AB" w:rsidRDefault="00477B8F" w:rsidP="00477B8F">
      <w:pPr>
        <w:autoSpaceDE w:val="0"/>
        <w:autoSpaceDN w:val="0"/>
        <w:adjustRightInd w:val="0"/>
        <w:jc w:val="center"/>
      </w:pPr>
    </w:p>
    <w:p w14:paraId="6D1E7371" w14:textId="77777777" w:rsidR="00477B8F" w:rsidRPr="009118AB" w:rsidRDefault="00477B8F" w:rsidP="00477B8F">
      <w:pPr>
        <w:autoSpaceDE w:val="0"/>
        <w:autoSpaceDN w:val="0"/>
        <w:adjustRightInd w:val="0"/>
        <w:jc w:val="center"/>
      </w:pPr>
    </w:p>
    <w:p w14:paraId="443FB5E1" w14:textId="4A0D2EB6" w:rsidR="00477B8F" w:rsidRPr="009118AB" w:rsidRDefault="00AA609D" w:rsidP="00477B8F">
      <w:pPr>
        <w:autoSpaceDE w:val="0"/>
        <w:autoSpaceDN w:val="0"/>
        <w:adjustRightInd w:val="0"/>
        <w:jc w:val="center"/>
      </w:pPr>
      <w:r w:rsidRPr="009118AB">
        <w:rPr>
          <w:i/>
          <w:iCs/>
        </w:rPr>
        <w:t>Abschnitt 1</w:t>
      </w:r>
      <w:r w:rsidR="00D67EB8" w:rsidRPr="009118AB">
        <w:t> - </w:t>
      </w:r>
      <w:r w:rsidR="00477B8F" w:rsidRPr="009118AB">
        <w:t>Allgemeine Bestimmung des steuerpflichtigen Einkommens</w:t>
      </w:r>
    </w:p>
    <w:p w14:paraId="5B314E15" w14:textId="77777777" w:rsidR="00477B8F" w:rsidRPr="009118AB" w:rsidRDefault="00477B8F" w:rsidP="00477B8F">
      <w:pPr>
        <w:autoSpaceDE w:val="0"/>
        <w:autoSpaceDN w:val="0"/>
        <w:adjustRightInd w:val="0"/>
        <w:jc w:val="center"/>
      </w:pPr>
    </w:p>
    <w:p w14:paraId="0D8D5133" w14:textId="77777777" w:rsidR="00477B8F" w:rsidRPr="009118AB" w:rsidRDefault="00477B8F" w:rsidP="00477B8F">
      <w:pPr>
        <w:autoSpaceDE w:val="0"/>
        <w:autoSpaceDN w:val="0"/>
        <w:adjustRightInd w:val="0"/>
        <w:jc w:val="center"/>
      </w:pPr>
    </w:p>
    <w:p w14:paraId="0170D5A4" w14:textId="20DB9097"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6</w:t>
      </w:r>
      <w:r w:rsidR="00D67EB8" w:rsidRPr="009118AB">
        <w:t> - </w:t>
      </w:r>
      <w:r w:rsidRPr="009118AB">
        <w:t>Das steuerpflichtige Einkommen besteht aus der Gesamtheit der Nettoeinkünfte abzüglich der abzugsfähigen Ausgaben.</w:t>
      </w:r>
    </w:p>
    <w:p w14:paraId="60C0AC53" w14:textId="77777777" w:rsidR="00477B8F" w:rsidRPr="009118AB" w:rsidRDefault="00477B8F" w:rsidP="00477B8F">
      <w:pPr>
        <w:autoSpaceDE w:val="0"/>
        <w:autoSpaceDN w:val="0"/>
        <w:adjustRightInd w:val="0"/>
        <w:jc w:val="both"/>
      </w:pPr>
    </w:p>
    <w:p w14:paraId="5A9FCB63" w14:textId="77777777" w:rsidR="00477B8F" w:rsidRPr="009118AB" w:rsidRDefault="00477B8F" w:rsidP="00477B8F">
      <w:pPr>
        <w:autoSpaceDE w:val="0"/>
        <w:autoSpaceDN w:val="0"/>
        <w:adjustRightInd w:val="0"/>
        <w:jc w:val="both"/>
      </w:pPr>
      <w:r w:rsidRPr="009118AB">
        <w:tab/>
        <w:t>Die Gesamtheit der Nettoeinkünfte entspricht der Summe der Nettoeinkünfte nachstehender Kategorien:</w:t>
      </w:r>
    </w:p>
    <w:p w14:paraId="3F4A7519" w14:textId="77777777" w:rsidR="00477B8F" w:rsidRPr="009118AB" w:rsidRDefault="00477B8F" w:rsidP="00477B8F">
      <w:pPr>
        <w:autoSpaceDE w:val="0"/>
        <w:autoSpaceDN w:val="0"/>
        <w:adjustRightInd w:val="0"/>
        <w:jc w:val="both"/>
      </w:pPr>
    </w:p>
    <w:p w14:paraId="267B1BA5" w14:textId="77777777" w:rsidR="00477B8F" w:rsidRPr="009118AB" w:rsidRDefault="00477B8F" w:rsidP="00477B8F">
      <w:pPr>
        <w:autoSpaceDE w:val="0"/>
        <w:autoSpaceDN w:val="0"/>
        <w:adjustRightInd w:val="0"/>
        <w:jc w:val="both"/>
      </w:pPr>
      <w:r w:rsidRPr="009118AB">
        <w:tab/>
        <w:t>1. Einkünfte aus unbeweglichen Gütern,</w:t>
      </w:r>
    </w:p>
    <w:p w14:paraId="5BE0616E" w14:textId="77777777" w:rsidR="00477B8F" w:rsidRPr="009118AB" w:rsidRDefault="00477B8F" w:rsidP="00477B8F">
      <w:pPr>
        <w:autoSpaceDE w:val="0"/>
        <w:autoSpaceDN w:val="0"/>
        <w:adjustRightInd w:val="0"/>
        <w:jc w:val="both"/>
      </w:pPr>
    </w:p>
    <w:p w14:paraId="4A06A6A8" w14:textId="77777777" w:rsidR="00477B8F" w:rsidRPr="009118AB" w:rsidRDefault="00477B8F" w:rsidP="00477B8F">
      <w:pPr>
        <w:autoSpaceDE w:val="0"/>
        <w:autoSpaceDN w:val="0"/>
        <w:adjustRightInd w:val="0"/>
        <w:jc w:val="both"/>
      </w:pPr>
      <w:r w:rsidRPr="009118AB">
        <w:tab/>
        <w:t>2. Einkünfte aus Kapitalvermögen und beweglichen Gütern,</w:t>
      </w:r>
    </w:p>
    <w:p w14:paraId="7C3451DF" w14:textId="77777777" w:rsidR="00477B8F" w:rsidRPr="009118AB" w:rsidRDefault="00477B8F" w:rsidP="00477B8F">
      <w:pPr>
        <w:autoSpaceDE w:val="0"/>
        <w:autoSpaceDN w:val="0"/>
        <w:adjustRightInd w:val="0"/>
        <w:jc w:val="both"/>
      </w:pPr>
    </w:p>
    <w:p w14:paraId="7E35C5DA" w14:textId="77777777" w:rsidR="00477B8F" w:rsidRPr="009118AB" w:rsidRDefault="00477B8F" w:rsidP="00477B8F">
      <w:pPr>
        <w:autoSpaceDE w:val="0"/>
        <w:autoSpaceDN w:val="0"/>
        <w:adjustRightInd w:val="0"/>
        <w:jc w:val="both"/>
      </w:pPr>
      <w:r w:rsidRPr="009118AB">
        <w:tab/>
        <w:t>3. Berufseinkünfte,</w:t>
      </w:r>
    </w:p>
    <w:p w14:paraId="6FF4477C" w14:textId="77777777" w:rsidR="00477B8F" w:rsidRPr="009118AB" w:rsidRDefault="00477B8F" w:rsidP="00477B8F">
      <w:pPr>
        <w:autoSpaceDE w:val="0"/>
        <w:autoSpaceDN w:val="0"/>
        <w:adjustRightInd w:val="0"/>
        <w:jc w:val="both"/>
      </w:pPr>
    </w:p>
    <w:p w14:paraId="096753AA" w14:textId="77777777" w:rsidR="00477B8F" w:rsidRPr="009118AB" w:rsidRDefault="00477B8F" w:rsidP="00477B8F">
      <w:pPr>
        <w:autoSpaceDE w:val="0"/>
        <w:autoSpaceDN w:val="0"/>
        <w:adjustRightInd w:val="0"/>
        <w:jc w:val="both"/>
      </w:pPr>
      <w:r w:rsidRPr="009118AB">
        <w:tab/>
        <w:t>4. verschiedene Einkünfte.</w:t>
      </w:r>
    </w:p>
    <w:p w14:paraId="5C015EB9" w14:textId="77777777" w:rsidR="001E243B" w:rsidRPr="009118AB" w:rsidRDefault="001E243B" w:rsidP="00477B8F">
      <w:pPr>
        <w:autoSpaceDE w:val="0"/>
        <w:autoSpaceDN w:val="0"/>
        <w:adjustRightInd w:val="0"/>
        <w:jc w:val="center"/>
        <w:rPr>
          <w:i/>
          <w:iCs/>
        </w:rPr>
      </w:pPr>
    </w:p>
    <w:p w14:paraId="3B9BC15D" w14:textId="77777777" w:rsidR="001E243B" w:rsidRPr="009118AB" w:rsidRDefault="001E243B" w:rsidP="00477B8F">
      <w:pPr>
        <w:autoSpaceDE w:val="0"/>
        <w:autoSpaceDN w:val="0"/>
        <w:adjustRightInd w:val="0"/>
        <w:jc w:val="center"/>
        <w:rPr>
          <w:i/>
          <w:iCs/>
        </w:rPr>
      </w:pPr>
    </w:p>
    <w:p w14:paraId="6155E4AD" w14:textId="0BF598BA" w:rsidR="00477B8F" w:rsidRPr="009118AB" w:rsidRDefault="0044431B" w:rsidP="00477B8F">
      <w:pPr>
        <w:autoSpaceDE w:val="0"/>
        <w:autoSpaceDN w:val="0"/>
        <w:adjustRightInd w:val="0"/>
        <w:jc w:val="center"/>
      </w:pPr>
      <w:r w:rsidRPr="009118AB">
        <w:rPr>
          <w:i/>
          <w:iCs/>
        </w:rPr>
        <w:br w:type="page"/>
      </w:r>
      <w:r w:rsidR="00477B8F" w:rsidRPr="009118AB">
        <w:rPr>
          <w:i/>
          <w:iCs/>
        </w:rPr>
        <w:lastRenderedPageBreak/>
        <w:t>Abschnitt </w:t>
      </w:r>
      <w:r w:rsidR="00AA609D" w:rsidRPr="009118AB">
        <w:rPr>
          <w:i/>
          <w:iCs/>
        </w:rPr>
        <w:t>2</w:t>
      </w:r>
      <w:r w:rsidR="00D67EB8" w:rsidRPr="009118AB">
        <w:t> - </w:t>
      </w:r>
      <w:r w:rsidR="00477B8F" w:rsidRPr="009118AB">
        <w:t>Einkünfte aus unbeweglichen Gütern</w:t>
      </w:r>
    </w:p>
    <w:p w14:paraId="37329D29" w14:textId="77777777" w:rsidR="00477B8F" w:rsidRPr="009118AB" w:rsidRDefault="00477B8F" w:rsidP="00477B8F">
      <w:pPr>
        <w:autoSpaceDE w:val="0"/>
        <w:autoSpaceDN w:val="0"/>
        <w:adjustRightInd w:val="0"/>
        <w:jc w:val="center"/>
      </w:pPr>
    </w:p>
    <w:p w14:paraId="2BC3FF58" w14:textId="77777777" w:rsidR="00477B8F" w:rsidRPr="009118AB" w:rsidRDefault="00477B8F" w:rsidP="00477B8F">
      <w:pPr>
        <w:autoSpaceDE w:val="0"/>
        <w:autoSpaceDN w:val="0"/>
        <w:adjustRightInd w:val="0"/>
        <w:jc w:val="center"/>
      </w:pPr>
    </w:p>
    <w:p w14:paraId="19279775" w14:textId="1AA7A8AC" w:rsidR="00477B8F" w:rsidRPr="009118AB" w:rsidRDefault="00477B8F" w:rsidP="00477B8F">
      <w:pPr>
        <w:autoSpaceDE w:val="0"/>
        <w:autoSpaceDN w:val="0"/>
        <w:adjustRightInd w:val="0"/>
        <w:jc w:val="center"/>
      </w:pPr>
      <w:r w:rsidRPr="009118AB">
        <w:t>Unterabschnitt </w:t>
      </w:r>
      <w:r w:rsidR="00AA609D" w:rsidRPr="009118AB">
        <w:t>1</w:t>
      </w:r>
      <w:r w:rsidR="00D67EB8" w:rsidRPr="009118AB">
        <w:rPr>
          <w:b/>
          <w:bCs/>
        </w:rPr>
        <w:t> - </w:t>
      </w:r>
      <w:r w:rsidRPr="009118AB">
        <w:t>Steuerpflichtige Einkünfte</w:t>
      </w:r>
    </w:p>
    <w:p w14:paraId="1EEA17BB" w14:textId="77777777" w:rsidR="00477B8F" w:rsidRPr="009118AB" w:rsidRDefault="00477B8F" w:rsidP="00477B8F">
      <w:pPr>
        <w:autoSpaceDE w:val="0"/>
        <w:autoSpaceDN w:val="0"/>
        <w:adjustRightInd w:val="0"/>
        <w:jc w:val="center"/>
      </w:pPr>
    </w:p>
    <w:p w14:paraId="159D2B91" w14:textId="77777777" w:rsidR="00477B8F" w:rsidRPr="009118AB" w:rsidRDefault="00477B8F" w:rsidP="00477B8F">
      <w:pPr>
        <w:autoSpaceDE w:val="0"/>
        <w:autoSpaceDN w:val="0"/>
        <w:adjustRightInd w:val="0"/>
        <w:jc w:val="center"/>
      </w:pPr>
    </w:p>
    <w:p w14:paraId="4B907D01" w14:textId="0699398A" w:rsidR="002935DF" w:rsidRPr="009118AB" w:rsidRDefault="00477B8F" w:rsidP="002935DF">
      <w:pPr>
        <w:jc w:val="both"/>
      </w:pPr>
      <w:r w:rsidRPr="009118AB">
        <w:tab/>
      </w:r>
      <w:r w:rsidR="00D67EB8" w:rsidRPr="009118AB">
        <w:rPr>
          <w:b/>
          <w:bCs/>
        </w:rPr>
        <w:t>Art. </w:t>
      </w:r>
      <w:r w:rsidRPr="009118AB">
        <w:rPr>
          <w:b/>
          <w:bCs/>
        </w:rPr>
        <w:t>7</w:t>
      </w:r>
      <w:r w:rsidR="00D67EB8" w:rsidRPr="009118AB">
        <w:rPr>
          <w:b/>
          <w:bCs/>
        </w:rPr>
        <w:t> - </w:t>
      </w:r>
      <w:r w:rsidR="00D67EB8" w:rsidRPr="009118AB">
        <w:t>§ </w:t>
      </w:r>
      <w:r w:rsidRPr="009118AB">
        <w:t>1</w:t>
      </w:r>
      <w:r w:rsidR="00D67EB8" w:rsidRPr="009118AB">
        <w:t> - </w:t>
      </w:r>
      <w:r w:rsidR="002935DF" w:rsidRPr="009118AB">
        <w:t>[Einkünfte aus unbeweglichen Gütern sind:</w:t>
      </w:r>
    </w:p>
    <w:p w14:paraId="011864DC" w14:textId="77777777" w:rsidR="002935DF" w:rsidRPr="009118AB" w:rsidRDefault="002935DF" w:rsidP="002935DF">
      <w:pPr>
        <w:jc w:val="both"/>
      </w:pPr>
    </w:p>
    <w:p w14:paraId="1FE20911" w14:textId="77777777" w:rsidR="002935DF" w:rsidRPr="009118AB" w:rsidRDefault="002935DF" w:rsidP="002935DF">
      <w:pPr>
        <w:jc w:val="both"/>
      </w:pPr>
      <w:r w:rsidRPr="009118AB">
        <w:tab/>
        <w:t>1. für nicht vermietete unbewegliche Güter:</w:t>
      </w:r>
    </w:p>
    <w:p w14:paraId="3D828D0C" w14:textId="77777777" w:rsidR="002935DF" w:rsidRPr="009118AB" w:rsidRDefault="002935DF" w:rsidP="002935DF">
      <w:pPr>
        <w:jc w:val="both"/>
      </w:pPr>
    </w:p>
    <w:p w14:paraId="5469C95B" w14:textId="77777777" w:rsidR="002935DF" w:rsidRPr="009118AB" w:rsidRDefault="002935DF" w:rsidP="002935DF">
      <w:pPr>
        <w:jc w:val="both"/>
      </w:pPr>
      <w:r w:rsidRPr="009118AB">
        <w:tab/>
        <w:t>- das Katastereinkommen, wenn es sich um unbebaute unbewegliche Güter, Material und Ausrüstung, die ihrem Wesen oder ihrer Bestimmung nach unbeweglich sind, oder die eigene Wohnung handelt,</w:t>
      </w:r>
    </w:p>
    <w:p w14:paraId="795E8EDB" w14:textId="77777777" w:rsidR="002935DF" w:rsidRPr="009118AB" w:rsidRDefault="002935DF" w:rsidP="002935DF">
      <w:pPr>
        <w:jc w:val="both"/>
      </w:pPr>
    </w:p>
    <w:p w14:paraId="3B9B6FDB" w14:textId="77777777" w:rsidR="002935DF" w:rsidRPr="009118AB" w:rsidRDefault="002935DF" w:rsidP="002935DF">
      <w:pPr>
        <w:jc w:val="both"/>
      </w:pPr>
      <w:r w:rsidRPr="009118AB">
        <w:tab/>
        <w:t>- das um 40 Prozent erhöhte Katastereinkommen, wenn es sich um andere Güter handelt,</w:t>
      </w:r>
    </w:p>
    <w:p w14:paraId="551EE79E" w14:textId="77777777" w:rsidR="002935DF" w:rsidRPr="009118AB" w:rsidRDefault="002935DF" w:rsidP="002935DF">
      <w:pPr>
        <w:jc w:val="both"/>
      </w:pPr>
    </w:p>
    <w:p w14:paraId="1DA8880B" w14:textId="77777777" w:rsidR="002935DF" w:rsidRPr="009118AB" w:rsidRDefault="002935DF" w:rsidP="002935DF">
      <w:pPr>
        <w:jc w:val="both"/>
      </w:pPr>
      <w:r w:rsidRPr="009118AB">
        <w:tab/>
        <w:t>2. für vermietete unbewegliche Güter:</w:t>
      </w:r>
    </w:p>
    <w:p w14:paraId="6577DA32" w14:textId="77777777" w:rsidR="002935DF" w:rsidRPr="009118AB" w:rsidRDefault="002935DF" w:rsidP="002935DF">
      <w:pPr>
        <w:jc w:val="both"/>
      </w:pPr>
    </w:p>
    <w:p w14:paraId="41FAA5F4" w14:textId="77777777" w:rsidR="002935DF" w:rsidRPr="009118AB" w:rsidRDefault="002935DF" w:rsidP="002935DF">
      <w:pPr>
        <w:jc w:val="both"/>
      </w:pPr>
      <w:r w:rsidRPr="009118AB">
        <w:tab/>
      </w:r>
      <w:r w:rsidRPr="009118AB">
        <w:rPr>
          <w:i/>
        </w:rPr>
        <w:t>a)</w:t>
      </w:r>
      <w:r w:rsidRPr="009118AB">
        <w:t> für Güter, die an eine natürliche Person vermietet sind, die sie weder ganz noch teilweise zur Ausübung ihrer Berufstätigkeit nutzt:</w:t>
      </w:r>
    </w:p>
    <w:p w14:paraId="47BD49CC" w14:textId="77777777" w:rsidR="002935DF" w:rsidRPr="009118AB" w:rsidRDefault="002935DF" w:rsidP="002935DF">
      <w:pPr>
        <w:jc w:val="both"/>
      </w:pPr>
    </w:p>
    <w:p w14:paraId="43C4EDE0" w14:textId="77777777" w:rsidR="002935DF" w:rsidRPr="009118AB" w:rsidRDefault="002935DF" w:rsidP="002935DF">
      <w:pPr>
        <w:jc w:val="both"/>
      </w:pPr>
      <w:r w:rsidRPr="009118AB">
        <w:tab/>
        <w:t>- das Katastereinkommen, wenn es sich um unbebaute unbewegliche Güter oder Material und Ausrüstung, die ihrem Wesen oder ihrer Bestimmung nach unbeweglich sind, handelt,</w:t>
      </w:r>
    </w:p>
    <w:p w14:paraId="74E69140" w14:textId="77777777" w:rsidR="002935DF" w:rsidRPr="009118AB" w:rsidRDefault="002935DF" w:rsidP="002935DF">
      <w:pPr>
        <w:jc w:val="both"/>
      </w:pPr>
    </w:p>
    <w:p w14:paraId="4C5F2D26" w14:textId="77777777" w:rsidR="002935DF" w:rsidRPr="009118AB" w:rsidRDefault="002935DF" w:rsidP="002935DF">
      <w:pPr>
        <w:jc w:val="both"/>
      </w:pPr>
      <w:r w:rsidRPr="009118AB">
        <w:tab/>
        <w:t>- das um 40 Prozent erhöhte Katastereinkommen, wenn es sich um andere Güter handelt,</w:t>
      </w:r>
    </w:p>
    <w:p w14:paraId="7A53F008" w14:textId="77777777" w:rsidR="002935DF" w:rsidRPr="009118AB" w:rsidRDefault="002935DF" w:rsidP="002935DF">
      <w:pPr>
        <w:jc w:val="both"/>
      </w:pPr>
    </w:p>
    <w:p w14:paraId="012C4BF6" w14:textId="77777777" w:rsidR="002935DF" w:rsidRPr="009118AB" w:rsidRDefault="002935DF" w:rsidP="002935DF">
      <w:pPr>
        <w:jc w:val="both"/>
      </w:pPr>
      <w:r w:rsidRPr="009118AB">
        <w:tab/>
      </w:r>
      <w:r w:rsidRPr="009118AB">
        <w:rPr>
          <w:i/>
        </w:rPr>
        <w:t>b)</w:t>
      </w:r>
      <w:r w:rsidRPr="009118AB">
        <w:t> das Katastereinkommen, wenn es sich um Güter handelt, die gemäß den Rechtsvorschriften über den Landpachtvertrag oder einem entsprechenden ausländischen Recht, das die Pachtpreise beschränkt, vermietet sind und vom Mieter zu landwirtschaftlichen oder gartenbaulichen Zwecken genutzt werden,</w:t>
      </w:r>
    </w:p>
    <w:p w14:paraId="1B6AC2F5" w14:textId="77777777" w:rsidR="002935DF" w:rsidRPr="009118AB" w:rsidRDefault="002935DF" w:rsidP="002935DF">
      <w:pPr>
        <w:jc w:val="both"/>
      </w:pPr>
    </w:p>
    <w:p w14:paraId="69C5F962" w14:textId="79A1723C" w:rsidR="002935DF" w:rsidRPr="009118AB" w:rsidRDefault="002935DF" w:rsidP="002935DF">
      <w:pPr>
        <w:jc w:val="both"/>
      </w:pPr>
      <w:r w:rsidRPr="009118AB">
        <w:tab/>
      </w:r>
      <w:r w:rsidRPr="009118AB">
        <w:rPr>
          <w:i/>
        </w:rPr>
        <w:t>bbis</w:t>
      </w:r>
      <w:r w:rsidRPr="009118AB">
        <w:t xml:space="preserve">) das um 40 Prozent erhöhte Katastereinkommen, wenn es sich um bebaute unbewegliche Güter handelt, </w:t>
      </w:r>
      <w:r w:rsidR="003365DD" w:rsidRPr="009118AB">
        <w:t>[die an eine juristische Person, die keine Gesellschaft ist, oder an eine regionale Wohnungsbaugesellschaft oder eine von ihr oder von der Behörde, die für die Politik im Bereich des sozialen Wohnungsbaus zuständig ist, zugelassene Gesellschaft für sozialen Wohnungsbau vermietet sind,]</w:t>
      </w:r>
      <w:r w:rsidRPr="009118AB">
        <w:t xml:space="preserve"> im Hinblick auf ihre Zurverfügungstellung an:</w:t>
      </w:r>
    </w:p>
    <w:p w14:paraId="6AFD1BC6" w14:textId="77777777" w:rsidR="002935DF" w:rsidRPr="009118AB" w:rsidRDefault="002935DF" w:rsidP="002935DF">
      <w:pPr>
        <w:jc w:val="both"/>
      </w:pPr>
    </w:p>
    <w:p w14:paraId="0B1F6422" w14:textId="77777777" w:rsidR="002935DF" w:rsidRPr="009118AB" w:rsidRDefault="002935DF" w:rsidP="002935DF">
      <w:pPr>
        <w:jc w:val="both"/>
      </w:pPr>
      <w:r w:rsidRPr="009118AB">
        <w:tab/>
        <w:t>- eine natürliche Person, die sie ausschließlich zu Wohnzwecken nutzt, oder</w:t>
      </w:r>
    </w:p>
    <w:p w14:paraId="4E5120BA" w14:textId="77777777" w:rsidR="002935DF" w:rsidRPr="009118AB" w:rsidRDefault="002935DF" w:rsidP="002935DF">
      <w:pPr>
        <w:jc w:val="both"/>
      </w:pPr>
    </w:p>
    <w:p w14:paraId="19615823" w14:textId="77777777" w:rsidR="002935DF" w:rsidRPr="009118AB" w:rsidRDefault="002935DF" w:rsidP="002935DF">
      <w:pPr>
        <w:jc w:val="both"/>
      </w:pPr>
      <w:r w:rsidRPr="009118AB">
        <w:t xml:space="preserve"> </w:t>
      </w:r>
      <w:r w:rsidRPr="009118AB">
        <w:tab/>
        <w:t>- mehrere natürliche Personen, die sie gemeinsam und ausschließlich zu Wohnzwecken nutzen,</w:t>
      </w:r>
    </w:p>
    <w:p w14:paraId="467F0504" w14:textId="77777777" w:rsidR="002935DF" w:rsidRPr="009118AB" w:rsidRDefault="002935DF" w:rsidP="002935DF">
      <w:pPr>
        <w:jc w:val="both"/>
      </w:pPr>
    </w:p>
    <w:p w14:paraId="11F03D2D" w14:textId="77777777" w:rsidR="002935DF" w:rsidRPr="009118AB" w:rsidRDefault="002935DF" w:rsidP="002935DF">
      <w:pPr>
        <w:jc w:val="both"/>
      </w:pPr>
      <w:r w:rsidRPr="009118AB">
        <w:tab/>
      </w:r>
      <w:r w:rsidRPr="009118AB">
        <w:rPr>
          <w:i/>
        </w:rPr>
        <w:t>c)</w:t>
      </w:r>
      <w:r w:rsidRPr="009118AB">
        <w:t> der Gesamtbetrag des Mietpreises und der Mietvorteile, der nicht weniger als das Katastereinkommen betragen darf, wenn es sich um andere unbebaute unbewegliche Güter oder Material und Ausrüstung, die ihrem Wesen oder ihrer Bestimmung nach unbeweglich sind, handelt, oder das um 40 Prozent erhöhte Katastereinkommen, wenn es sich um andere bebaute unbewegliche Güter handelt,</w:t>
      </w:r>
    </w:p>
    <w:p w14:paraId="4867AF34" w14:textId="77777777" w:rsidR="002935DF" w:rsidRPr="009118AB" w:rsidRDefault="002935DF" w:rsidP="002935DF">
      <w:pPr>
        <w:jc w:val="both"/>
      </w:pPr>
    </w:p>
    <w:p w14:paraId="34FDE9D2" w14:textId="4CB93F26" w:rsidR="00477B8F" w:rsidRPr="009118AB" w:rsidRDefault="002935DF" w:rsidP="002935DF">
      <w:pPr>
        <w:autoSpaceDE w:val="0"/>
        <w:autoSpaceDN w:val="0"/>
        <w:adjustRightInd w:val="0"/>
        <w:jc w:val="both"/>
      </w:pPr>
      <w:r w:rsidRPr="009118AB">
        <w:tab/>
        <w:t>3. bei Begründung oder Abtretung eines Erbpachtrechts oder Erbbaurechts oder gleichartiger Rechte an unbeweglichen Gütern erhaltene Beträge.]</w:t>
      </w:r>
    </w:p>
    <w:p w14:paraId="0BFFFFC0" w14:textId="77777777" w:rsidR="00477B8F" w:rsidRPr="009118AB" w:rsidRDefault="00477B8F" w:rsidP="00477B8F">
      <w:pPr>
        <w:autoSpaceDE w:val="0"/>
        <w:autoSpaceDN w:val="0"/>
        <w:adjustRightInd w:val="0"/>
        <w:jc w:val="both"/>
      </w:pPr>
    </w:p>
    <w:p w14:paraId="77030FC9" w14:textId="3DD6BE50"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Besteht ein Mietvorteil aus einer einmalig vom Mieter getätigten Ausgabe, wird ihr Betrag auf die Gesamtdauer des Mietvertrags verteilt.</w:t>
      </w:r>
    </w:p>
    <w:p w14:paraId="4B818436" w14:textId="77777777" w:rsidR="00477B8F" w:rsidRPr="009118AB" w:rsidRDefault="00477B8F" w:rsidP="00477B8F">
      <w:pPr>
        <w:autoSpaceDE w:val="0"/>
        <w:autoSpaceDN w:val="0"/>
        <w:adjustRightInd w:val="0"/>
        <w:jc w:val="both"/>
      </w:pPr>
    </w:p>
    <w:p w14:paraId="42B9DE90" w14:textId="39FCA8F1"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7 </w:t>
      </w:r>
      <w:r w:rsidR="00D67EB8" w:rsidRPr="009118AB">
        <w:rPr>
          <w:i/>
          <w:iCs/>
        </w:rPr>
        <w:t>§ </w:t>
      </w:r>
      <w:r w:rsidRPr="009118AB">
        <w:rPr>
          <w:i/>
          <w:iCs/>
        </w:rPr>
        <w:t xml:space="preserve">1 </w:t>
      </w:r>
      <w:r w:rsidR="002935DF" w:rsidRPr="009118AB">
        <w:rPr>
          <w:i/>
          <w:iCs/>
        </w:rPr>
        <w:t xml:space="preserve">ersetzt durch </w:t>
      </w:r>
      <w:r w:rsidR="00D67EB8" w:rsidRPr="009118AB">
        <w:rPr>
          <w:i/>
          <w:iCs/>
        </w:rPr>
        <w:t>Art. </w:t>
      </w:r>
      <w:r w:rsidR="002935DF" w:rsidRPr="009118AB">
        <w:rPr>
          <w:i/>
          <w:iCs/>
        </w:rPr>
        <w:t>2 des G. vom 17. Februar 2021</w:t>
      </w:r>
      <w:r w:rsidR="007A716D" w:rsidRPr="009118AB">
        <w:rPr>
          <w:i/>
          <w:iCs/>
        </w:rPr>
        <w:t> (II)</w:t>
      </w:r>
      <w:r w:rsidR="002935DF" w:rsidRPr="009118AB">
        <w:rPr>
          <w:i/>
          <w:iCs/>
        </w:rPr>
        <w:t xml:space="preserve"> (B.S. vom 25. Februar 2021)</w:t>
      </w:r>
      <w:r w:rsidR="00D67EB8" w:rsidRPr="009118AB">
        <w:rPr>
          <w:i/>
          <w:iCs/>
        </w:rPr>
        <w:t> - </w:t>
      </w:r>
      <w:r w:rsidR="002935DF" w:rsidRPr="009118AB">
        <w:rPr>
          <w:i/>
          <w:iCs/>
        </w:rPr>
        <w:t>wirksam mit 1. Januar 2021 und anwendbar ab dem Steuerjahr 2022</w:t>
      </w:r>
      <w:r w:rsidR="00FD68E8" w:rsidRPr="009118AB">
        <w:rPr>
          <w:i/>
          <w:iCs/>
        </w:rPr>
        <w:t> -</w:t>
      </w:r>
      <w:r w:rsidR="003365DD" w:rsidRPr="009118AB">
        <w:rPr>
          <w:i/>
          <w:iCs/>
        </w:rPr>
        <w:t>; § 1 einziger Absatz Nr. 2 einziger Absatz Buchstabe bbis) einziger Absatz einleitende Bestimmung abgeändert durch Art. 2 des G. vom 21. Dezember 2022 (II) (B.S. vom 29. Dezember 2022) - wirksam mit 1. Januar 2022 -</w:t>
      </w:r>
      <w:r w:rsidR="00FD68E8" w:rsidRPr="009118AB">
        <w:rPr>
          <w:i/>
          <w:iCs/>
        </w:rPr>
        <w:t>]</w:t>
      </w:r>
      <w:r w:rsidRPr="009118AB">
        <w:t xml:space="preserve"> </w:t>
      </w:r>
    </w:p>
    <w:p w14:paraId="6F9C1712" w14:textId="77777777" w:rsidR="00477B8F" w:rsidRPr="009118AB" w:rsidRDefault="00477B8F" w:rsidP="00477B8F">
      <w:pPr>
        <w:autoSpaceDE w:val="0"/>
        <w:autoSpaceDN w:val="0"/>
        <w:adjustRightInd w:val="0"/>
        <w:jc w:val="both"/>
      </w:pPr>
    </w:p>
    <w:p w14:paraId="522E08CC" w14:textId="77777777" w:rsidR="00477B8F" w:rsidRPr="009118AB" w:rsidRDefault="00477B8F" w:rsidP="00477B8F">
      <w:pPr>
        <w:autoSpaceDE w:val="0"/>
        <w:autoSpaceDN w:val="0"/>
        <w:adjustRightInd w:val="0"/>
        <w:jc w:val="both"/>
      </w:pPr>
    </w:p>
    <w:p w14:paraId="4B144C4E" w14:textId="281C399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8</w:t>
      </w:r>
      <w:r w:rsidR="00D67EB8" w:rsidRPr="009118AB">
        <w:t> - </w:t>
      </w:r>
      <w:r w:rsidRPr="009118AB">
        <w:t xml:space="preserve">Ist ein </w:t>
      </w:r>
      <w:r w:rsidR="002935DF" w:rsidRPr="009118AB">
        <w:t>[...]</w:t>
      </w:r>
      <w:r w:rsidRPr="009118AB">
        <w:t xml:space="preserve"> unbewegliches Gut an eine natürliche Person vermietet und sind Mietpreis und Mietvorteile in einem registrierten Mietvertrag getrennt festgelegt für den zur Ausübung der Berufstätigkeit genutzten Teil und den zu anderen Zwecken genutzten Teil, werden die Einkünfte aus jedem dieser Teile gemäß </w:t>
      </w:r>
      <w:r w:rsidR="00D67EB8" w:rsidRPr="009118AB">
        <w:t>Art. </w:t>
      </w:r>
      <w:r w:rsidRPr="009118AB">
        <w:t xml:space="preserve">7 </w:t>
      </w:r>
      <w:r w:rsidR="00D67EB8" w:rsidRPr="009118AB">
        <w:t>§ </w:t>
      </w:r>
      <w:r w:rsidRPr="009118AB">
        <w:t xml:space="preserve">1 </w:t>
      </w:r>
      <w:r w:rsidR="00D67EB8" w:rsidRPr="009118AB">
        <w:t>Nr. </w:t>
      </w:r>
      <w:r w:rsidRPr="009118AB">
        <w:t>2 Buchstabe </w:t>
      </w:r>
      <w:r w:rsidRPr="009118AB">
        <w:rPr>
          <w:i/>
          <w:iCs/>
        </w:rPr>
        <w:t>a)</w:t>
      </w:r>
      <w:r w:rsidRPr="009118AB">
        <w:t xml:space="preserve"> beziehungsweise </w:t>
      </w:r>
      <w:r w:rsidRPr="009118AB">
        <w:rPr>
          <w:i/>
          <w:iCs/>
        </w:rPr>
        <w:t>c)</w:t>
      </w:r>
      <w:r w:rsidRPr="009118AB">
        <w:t xml:space="preserve"> getrennt festgelegt.</w:t>
      </w:r>
    </w:p>
    <w:p w14:paraId="5C143D03" w14:textId="0F75709D" w:rsidR="002935DF" w:rsidRPr="009118AB" w:rsidRDefault="002935DF" w:rsidP="00477B8F">
      <w:pPr>
        <w:autoSpaceDE w:val="0"/>
        <w:autoSpaceDN w:val="0"/>
        <w:adjustRightInd w:val="0"/>
        <w:jc w:val="both"/>
      </w:pPr>
    </w:p>
    <w:p w14:paraId="276DE651" w14:textId="5AD41541" w:rsidR="002935DF" w:rsidRPr="009118AB" w:rsidRDefault="002935D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8 abgeändert durch </w:t>
      </w:r>
      <w:r w:rsidR="00D67EB8" w:rsidRPr="009118AB">
        <w:rPr>
          <w:i/>
          <w:iCs/>
        </w:rPr>
        <w:t>Art. </w:t>
      </w:r>
      <w:r w:rsidRPr="009118AB">
        <w:rPr>
          <w:i/>
          <w:iCs/>
        </w:rPr>
        <w:t>3 des G. vom 17. Februar 2021</w:t>
      </w:r>
      <w:r w:rsidR="007A716D" w:rsidRPr="009118AB">
        <w:rPr>
          <w:i/>
          <w:iCs/>
        </w:rPr>
        <w:t> (II)</w:t>
      </w:r>
      <w:r w:rsidRPr="009118AB">
        <w:rPr>
          <w:i/>
          <w:iCs/>
        </w:rPr>
        <w:t xml:space="preserve"> (B.S. vom 25. Februar 2021)</w:t>
      </w:r>
      <w:r w:rsidR="00D67EB8" w:rsidRPr="009118AB">
        <w:rPr>
          <w:i/>
          <w:iCs/>
        </w:rPr>
        <w:t> - </w:t>
      </w:r>
      <w:r w:rsidRPr="009118AB">
        <w:rPr>
          <w:i/>
          <w:iCs/>
        </w:rPr>
        <w:t>wirksam mit 1. Januar 2021 und anwendbar ab dem Steuerjahr 2022</w:t>
      </w:r>
      <w:r w:rsidR="00FD68E8" w:rsidRPr="009118AB">
        <w:rPr>
          <w:i/>
          <w:iCs/>
        </w:rPr>
        <w:t> -]</w:t>
      </w:r>
    </w:p>
    <w:p w14:paraId="64C03023" w14:textId="77777777" w:rsidR="00477B8F" w:rsidRPr="009118AB" w:rsidRDefault="00477B8F" w:rsidP="00477B8F">
      <w:pPr>
        <w:autoSpaceDE w:val="0"/>
        <w:autoSpaceDN w:val="0"/>
        <w:adjustRightInd w:val="0"/>
        <w:jc w:val="both"/>
      </w:pPr>
    </w:p>
    <w:p w14:paraId="3C03ACD2" w14:textId="77777777" w:rsidR="00477B8F" w:rsidRPr="009118AB" w:rsidRDefault="00477B8F" w:rsidP="00477B8F">
      <w:pPr>
        <w:autoSpaceDE w:val="0"/>
        <w:autoSpaceDN w:val="0"/>
        <w:adjustRightInd w:val="0"/>
        <w:jc w:val="both"/>
      </w:pPr>
    </w:p>
    <w:p w14:paraId="60068BDC" w14:textId="45ED92DF" w:rsidR="002935DF" w:rsidRPr="009118AB" w:rsidRDefault="00477B8F" w:rsidP="002935DF">
      <w:pPr>
        <w:jc w:val="both"/>
      </w:pPr>
      <w:r w:rsidRPr="009118AB">
        <w:tab/>
      </w:r>
      <w:r w:rsidR="00D67EB8" w:rsidRPr="009118AB">
        <w:rPr>
          <w:b/>
          <w:bCs/>
        </w:rPr>
        <w:t>Art. </w:t>
      </w:r>
      <w:r w:rsidRPr="009118AB">
        <w:rPr>
          <w:b/>
          <w:bCs/>
        </w:rPr>
        <w:t>9</w:t>
      </w:r>
      <w:r w:rsidR="00D67EB8" w:rsidRPr="009118AB">
        <w:t> - </w:t>
      </w:r>
      <w:r w:rsidR="00E9390E" w:rsidRPr="009118AB">
        <w:t>[</w:t>
      </w:r>
      <w:r w:rsidR="002935DF" w:rsidRPr="009118AB">
        <w:t>Für die Anwendung des vorliegenden Abschnitts und vorbehaltlich des Artikels 494 §</w:t>
      </w:r>
      <w:r w:rsidR="00D67EB8" w:rsidRPr="009118AB">
        <w:t>§ </w:t>
      </w:r>
      <w:r w:rsidR="002935DF" w:rsidRPr="009118AB">
        <w:t>3 und 6 gilt für ein Katastereinkommen, das aus einer Bewertung oder Neubewertung hervorgeht, dass es gilt:</w:t>
      </w:r>
    </w:p>
    <w:p w14:paraId="7630692F" w14:textId="77777777" w:rsidR="002935DF" w:rsidRPr="009118AB" w:rsidRDefault="002935DF" w:rsidP="002935DF">
      <w:pPr>
        <w:jc w:val="both"/>
      </w:pPr>
    </w:p>
    <w:p w14:paraId="3A40305A" w14:textId="2D67881B" w:rsidR="002935DF" w:rsidRPr="009118AB" w:rsidRDefault="002935DF" w:rsidP="002935DF">
      <w:pPr>
        <w:jc w:val="both"/>
      </w:pPr>
      <w:r w:rsidRPr="009118AB">
        <w:tab/>
        <w:t xml:space="preserve">1. ab dem Tag, an dem das Ereignis eingetreten ist, dessen Erklärung in Artikel 473 </w:t>
      </w:r>
      <w:r w:rsidR="00D67EB8" w:rsidRPr="009118AB">
        <w:t>§ </w:t>
      </w:r>
      <w:r w:rsidRPr="009118AB">
        <w:t xml:space="preserve">1 und </w:t>
      </w:r>
      <w:r w:rsidR="00D67EB8" w:rsidRPr="009118AB">
        <w:t>§ </w:t>
      </w:r>
      <w:r w:rsidRPr="009118AB">
        <w:t>2 Absatz 1 vorgeschrieben ist,</w:t>
      </w:r>
    </w:p>
    <w:p w14:paraId="4B8BC556" w14:textId="77777777" w:rsidR="002935DF" w:rsidRPr="009118AB" w:rsidRDefault="002935DF" w:rsidP="002935DF">
      <w:pPr>
        <w:jc w:val="both"/>
      </w:pPr>
    </w:p>
    <w:p w14:paraId="4C1E4983" w14:textId="7F4952DD" w:rsidR="002935DF" w:rsidRPr="009118AB" w:rsidRDefault="002935DF" w:rsidP="002935DF">
      <w:pPr>
        <w:jc w:val="both"/>
      </w:pPr>
      <w:r w:rsidRPr="009118AB">
        <w:tab/>
        <w:t xml:space="preserve">2. ab dem 1. Januar 2021 für unbewegliche Güter wie in Artikel 473 </w:t>
      </w:r>
      <w:r w:rsidR="00D67EB8" w:rsidRPr="009118AB">
        <w:t>§ </w:t>
      </w:r>
      <w:r w:rsidRPr="009118AB">
        <w:t>2 Absatz 2 erwähnt,</w:t>
      </w:r>
    </w:p>
    <w:p w14:paraId="40F6F531" w14:textId="77777777" w:rsidR="002935DF" w:rsidRPr="009118AB" w:rsidRDefault="002935DF" w:rsidP="002935DF">
      <w:pPr>
        <w:jc w:val="both"/>
      </w:pPr>
    </w:p>
    <w:p w14:paraId="7409C2A9" w14:textId="10CF336C" w:rsidR="00E9390E" w:rsidRPr="009118AB" w:rsidRDefault="002935DF" w:rsidP="002935DF">
      <w:pPr>
        <w:autoSpaceDE w:val="0"/>
        <w:autoSpaceDN w:val="0"/>
        <w:adjustRightInd w:val="0"/>
        <w:jc w:val="both"/>
      </w:pPr>
      <w:r w:rsidRPr="009118AB">
        <w:tab/>
        <w:t xml:space="preserve">3. ab dem ersten Tag des Besteuerungszeitraums, in dem der Steuerpflichtige für unbewegliche Güter wie in Artikel 473 </w:t>
      </w:r>
      <w:r w:rsidR="00D67EB8" w:rsidRPr="009118AB">
        <w:t>§ </w:t>
      </w:r>
      <w:r w:rsidRPr="009118AB">
        <w:t>2 Absatz 3 erwähnt der Steuer der natürlichen Personen unterworfen wird.</w:t>
      </w:r>
      <w:r w:rsidR="00E9390E" w:rsidRPr="009118AB">
        <w:t>]</w:t>
      </w:r>
    </w:p>
    <w:p w14:paraId="357DCD73" w14:textId="77777777" w:rsidR="00E9390E" w:rsidRPr="009118AB" w:rsidRDefault="00E9390E" w:rsidP="00477B8F">
      <w:pPr>
        <w:autoSpaceDE w:val="0"/>
        <w:autoSpaceDN w:val="0"/>
        <w:adjustRightInd w:val="0"/>
        <w:jc w:val="both"/>
      </w:pPr>
    </w:p>
    <w:p w14:paraId="363F7897" w14:textId="77777777" w:rsidR="00477B8F" w:rsidRPr="009118AB" w:rsidRDefault="00E9390E" w:rsidP="00477B8F">
      <w:pPr>
        <w:autoSpaceDE w:val="0"/>
        <w:autoSpaceDN w:val="0"/>
        <w:adjustRightInd w:val="0"/>
        <w:jc w:val="both"/>
      </w:pPr>
      <w:r w:rsidRPr="009118AB">
        <w:tab/>
      </w:r>
      <w:r w:rsidR="00477B8F" w:rsidRPr="009118AB">
        <w:t xml:space="preserve">Wird in einem Besteuerungszeitraum das Katastereinkommen festgelegt oder angepasst oder die Zweckbestimmung eines unbeweglichen Gutes geändert, werden die steuerpflichtigen Einkünfte für diesen Zeitraum proportional zur wirklichen Dauer, </w:t>
      </w:r>
      <w:r w:rsidRPr="009118AB">
        <w:t>[</w:t>
      </w:r>
      <w:r w:rsidR="00477B8F" w:rsidRPr="009118AB">
        <w:t xml:space="preserve">ausgedrückt in </w:t>
      </w:r>
      <w:r w:rsidRPr="009118AB">
        <w:t>Tag</w:t>
      </w:r>
      <w:r w:rsidR="00477B8F" w:rsidRPr="009118AB">
        <w:t>en</w:t>
      </w:r>
      <w:r w:rsidRPr="009118AB">
        <w:t>]</w:t>
      </w:r>
      <w:r w:rsidR="00477B8F" w:rsidRPr="009118AB">
        <w:t>, des Teils des Besteuerungszeitraums vor und nach der Änderung der Sachlage festgelegt.</w:t>
      </w:r>
    </w:p>
    <w:p w14:paraId="3C01FB18" w14:textId="77777777" w:rsidR="00B24F25" w:rsidRPr="009118AB" w:rsidRDefault="00B24F25" w:rsidP="00477B8F">
      <w:pPr>
        <w:autoSpaceDE w:val="0"/>
        <w:autoSpaceDN w:val="0"/>
        <w:adjustRightInd w:val="0"/>
        <w:jc w:val="both"/>
      </w:pPr>
    </w:p>
    <w:p w14:paraId="330A9113" w14:textId="5CB6E0D1" w:rsidR="00E9390E" w:rsidRPr="009118AB" w:rsidRDefault="00E9390E" w:rsidP="00477B8F">
      <w:pPr>
        <w:autoSpaceDE w:val="0"/>
        <w:autoSpaceDN w:val="0"/>
        <w:adjustRightInd w:val="0"/>
        <w:jc w:val="both"/>
        <w:rPr>
          <w:iCs/>
        </w:rPr>
      </w:pPr>
      <w:r w:rsidRPr="009118AB">
        <w:rPr>
          <w:i/>
        </w:rPr>
        <w:t>[</w:t>
      </w:r>
      <w:r w:rsidR="00D67EB8" w:rsidRPr="009118AB">
        <w:rPr>
          <w:i/>
        </w:rPr>
        <w:t>Art. </w:t>
      </w:r>
      <w:r w:rsidRPr="009118AB">
        <w:rPr>
          <w:i/>
        </w:rPr>
        <w:t xml:space="preserve">9 neuer Absatz 1 eingefügt durch </w:t>
      </w:r>
      <w:r w:rsidR="00D67EB8" w:rsidRPr="009118AB">
        <w:rPr>
          <w:i/>
        </w:rPr>
        <w:t>Art. </w:t>
      </w:r>
      <w:r w:rsidRPr="009118AB">
        <w:rPr>
          <w:i/>
        </w:rPr>
        <w:t xml:space="preserve">10 </w:t>
      </w:r>
      <w:r w:rsidR="00D67EB8" w:rsidRPr="009118AB">
        <w:rPr>
          <w:i/>
        </w:rPr>
        <w:t>Nr. </w:t>
      </w:r>
      <w:r w:rsidRPr="009118AB">
        <w:rPr>
          <w:i/>
        </w:rPr>
        <w:t>1 des G. vom 8. Mai 2014 (B.S. vom 28. Mai 2014)</w:t>
      </w:r>
      <w:r w:rsidR="00D67EB8" w:rsidRPr="009118AB">
        <w:rPr>
          <w:i/>
        </w:rPr>
        <w:t> - </w:t>
      </w:r>
      <w:r w:rsidRPr="009118AB">
        <w:rPr>
          <w:i/>
          <w:iCs/>
        </w:rPr>
        <w:t>anwendbar ab dem Steuerjahr 2015</w:t>
      </w:r>
      <w:r w:rsidR="00D67EB8" w:rsidRPr="009118AB">
        <w:rPr>
          <w:i/>
          <w:iCs/>
        </w:rPr>
        <w:t> - </w:t>
      </w:r>
      <w:r w:rsidR="002935DF" w:rsidRPr="009118AB">
        <w:rPr>
          <w:i/>
          <w:iCs/>
        </w:rPr>
        <w:t xml:space="preserve">und ersetzt durch </w:t>
      </w:r>
      <w:r w:rsidR="00D67EB8" w:rsidRPr="009118AB">
        <w:rPr>
          <w:i/>
          <w:iCs/>
        </w:rPr>
        <w:t>Art. </w:t>
      </w:r>
      <w:r w:rsidR="002935DF" w:rsidRPr="009118AB">
        <w:rPr>
          <w:i/>
          <w:iCs/>
        </w:rPr>
        <w:t>4 des G. vom 17. Februar 2021</w:t>
      </w:r>
      <w:r w:rsidR="007A716D" w:rsidRPr="009118AB">
        <w:rPr>
          <w:i/>
          <w:iCs/>
        </w:rPr>
        <w:t> (II)</w:t>
      </w:r>
      <w:r w:rsidR="002935DF" w:rsidRPr="009118AB">
        <w:rPr>
          <w:i/>
          <w:iCs/>
        </w:rPr>
        <w:t xml:space="preserve"> (B.S. vom 25. Februar 2021)</w:t>
      </w:r>
      <w:r w:rsidR="00D67EB8" w:rsidRPr="009118AB">
        <w:rPr>
          <w:i/>
          <w:iCs/>
        </w:rPr>
        <w:t> - </w:t>
      </w:r>
      <w:r w:rsidR="002935DF" w:rsidRPr="009118AB">
        <w:rPr>
          <w:i/>
          <w:iCs/>
        </w:rPr>
        <w:t>wirksam mit 1. Januar 2021 und anwendbar ab dem Steuerjahr 2022</w:t>
      </w:r>
      <w:r w:rsidR="003366D9" w:rsidRPr="009118AB">
        <w:rPr>
          <w:i/>
          <w:iCs/>
        </w:rPr>
        <w:t> -;</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 xml:space="preserve">10 </w:t>
      </w:r>
      <w:r w:rsidR="00D67EB8" w:rsidRPr="009118AB">
        <w:rPr>
          <w:i/>
          <w:iCs/>
        </w:rPr>
        <w:t>Nr. </w:t>
      </w:r>
      <w:r w:rsidRPr="009118AB">
        <w:rPr>
          <w:i/>
          <w:iCs/>
        </w:rPr>
        <w:t>2</w:t>
      </w:r>
      <w:r w:rsidRPr="009118AB">
        <w:rPr>
          <w:i/>
        </w:rPr>
        <w:t xml:space="preserve"> des G. vom 8. Mai 2014 (B.S. vom 28. Mai 2014)</w:t>
      </w:r>
      <w:r w:rsidR="00D67EB8" w:rsidRPr="009118AB">
        <w:rPr>
          <w:i/>
        </w:rPr>
        <w:t> - </w:t>
      </w:r>
      <w:r w:rsidRPr="009118AB">
        <w:rPr>
          <w:i/>
          <w:iCs/>
        </w:rPr>
        <w:t>anwendbar ab dem Steuerjahr 2015</w:t>
      </w:r>
      <w:r w:rsidR="00FD68E8" w:rsidRPr="009118AB">
        <w:rPr>
          <w:i/>
          <w:iCs/>
        </w:rPr>
        <w:t> -]</w:t>
      </w:r>
    </w:p>
    <w:p w14:paraId="376C5913" w14:textId="77777777" w:rsidR="00E9390E" w:rsidRPr="009118AB" w:rsidRDefault="00E9390E" w:rsidP="00477B8F">
      <w:pPr>
        <w:autoSpaceDE w:val="0"/>
        <w:autoSpaceDN w:val="0"/>
        <w:adjustRightInd w:val="0"/>
        <w:jc w:val="both"/>
      </w:pPr>
    </w:p>
    <w:p w14:paraId="52A1F934" w14:textId="77777777" w:rsidR="00B24F25" w:rsidRPr="009118AB" w:rsidRDefault="00B24F25" w:rsidP="00477B8F">
      <w:pPr>
        <w:autoSpaceDE w:val="0"/>
        <w:autoSpaceDN w:val="0"/>
        <w:adjustRightInd w:val="0"/>
        <w:jc w:val="both"/>
      </w:pPr>
    </w:p>
    <w:p w14:paraId="2AE22EC9" w14:textId="0A9436C7" w:rsidR="00477B8F" w:rsidRPr="009118AB" w:rsidRDefault="00477B8F" w:rsidP="00477B8F">
      <w:pPr>
        <w:autoSpaceDE w:val="0"/>
        <w:autoSpaceDN w:val="0"/>
        <w:adjustRightInd w:val="0"/>
        <w:jc w:val="both"/>
      </w:pPr>
      <w:r w:rsidRPr="009118AB">
        <w:lastRenderedPageBreak/>
        <w:tab/>
      </w:r>
      <w:r w:rsidR="00D67EB8" w:rsidRPr="009118AB">
        <w:rPr>
          <w:b/>
          <w:bCs/>
        </w:rPr>
        <w:t>Art. </w:t>
      </w:r>
      <w:r w:rsidRPr="009118AB">
        <w:rPr>
          <w:b/>
          <w:bCs/>
        </w:rPr>
        <w:t>10</w:t>
      </w:r>
      <w:r w:rsidR="00D67EB8" w:rsidRPr="009118AB">
        <w:t> - § </w:t>
      </w:r>
      <w:r w:rsidRPr="009118AB">
        <w:t>1</w:t>
      </w:r>
      <w:r w:rsidR="00D67EB8" w:rsidRPr="009118AB">
        <w:t> - </w:t>
      </w:r>
      <w:r w:rsidRPr="009118AB">
        <w:t>Bei Begründung oder Abtretung eines Erbpachtrechts, Erbbaurechts oder gleichartiger Rechte an unbeweglichen Gütern erhaltene Beträge umfassen den Erbpacht- oder Erbbauzins und alle anderen Vorteile, die der Zedent erhält.</w:t>
      </w:r>
    </w:p>
    <w:p w14:paraId="4229A844" w14:textId="77777777" w:rsidR="00477B8F" w:rsidRPr="009118AB" w:rsidRDefault="00477B8F" w:rsidP="00477B8F">
      <w:pPr>
        <w:autoSpaceDE w:val="0"/>
        <w:autoSpaceDN w:val="0"/>
        <w:adjustRightInd w:val="0"/>
        <w:jc w:val="both"/>
      </w:pPr>
    </w:p>
    <w:p w14:paraId="53290AF9" w14:textId="77777777" w:rsidR="00477B8F" w:rsidRPr="009118AB" w:rsidRDefault="00477B8F" w:rsidP="00477B8F">
      <w:pPr>
        <w:autoSpaceDE w:val="0"/>
        <w:autoSpaceDN w:val="0"/>
        <w:adjustRightInd w:val="0"/>
        <w:jc w:val="both"/>
      </w:pPr>
      <w:r w:rsidRPr="009118AB">
        <w:tab/>
        <w:t>Der Wert der erhaltenen Vorteile entspricht dem Wert, der ihnen für die Erhebung der Registrierungsgebühr für Erbpachtverträge, Erbbauverträge oder Verträge über gleichartige Rechte an unbeweglichen Gütern, in denen diese Vorteile vorgesehen sind, beigemessen wird.</w:t>
      </w:r>
    </w:p>
    <w:p w14:paraId="6896DD3A" w14:textId="77777777" w:rsidR="00477B8F" w:rsidRPr="009118AB" w:rsidRDefault="00477B8F" w:rsidP="00477B8F">
      <w:pPr>
        <w:autoSpaceDE w:val="0"/>
        <w:autoSpaceDN w:val="0"/>
        <w:adjustRightInd w:val="0"/>
        <w:jc w:val="both"/>
      </w:pPr>
    </w:p>
    <w:p w14:paraId="7EB1F40D" w14:textId="77777777" w:rsidR="00477B8F" w:rsidRPr="009118AB" w:rsidRDefault="00477B8F" w:rsidP="00477B8F">
      <w:pPr>
        <w:autoSpaceDE w:val="0"/>
        <w:autoSpaceDN w:val="0"/>
        <w:adjustRightInd w:val="0"/>
        <w:jc w:val="both"/>
      </w:pPr>
      <w:r w:rsidRPr="009118AB">
        <w:tab/>
        <w:t>Diese Beträge gelten als Einkünfte des Jahres, in dem sie gezahlt oder zuerkannt wurden, selbst wenn sie sich auf die Gesamtdauer des Erbpachtrechts, Erbbaurechts oder gleichartiger Rechte an unbeweglichen Gütern oder einen Teil davon beziehen.</w:t>
      </w:r>
    </w:p>
    <w:p w14:paraId="0BEC8BD7" w14:textId="77777777" w:rsidR="00477B8F" w:rsidRPr="009118AB" w:rsidRDefault="00477B8F" w:rsidP="00477B8F">
      <w:pPr>
        <w:autoSpaceDE w:val="0"/>
        <w:autoSpaceDN w:val="0"/>
        <w:adjustRightInd w:val="0"/>
        <w:jc w:val="both"/>
      </w:pPr>
    </w:p>
    <w:p w14:paraId="0CBD66FD" w14:textId="4FA236B3"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Die in </w:t>
      </w:r>
      <w:r w:rsidR="00D67EB8" w:rsidRPr="009118AB">
        <w:t>§ </w:t>
      </w:r>
      <w:r w:rsidRPr="009118AB">
        <w:t>1 erwähnten Einkünfte umfassen nicht die Beträge, die für die Überlassung eines Nutzungsrechts an bebauten unbeweglichen Gütern aufgrund eines nicht kündbaren Erbpachtvertrags, Erbbauvertrags oder Vertrags über gleichartige Rechte an unbeweglichen Gütern bezogen wurden, unter der Bedingung, dass:</w:t>
      </w:r>
    </w:p>
    <w:p w14:paraId="5924AE02" w14:textId="77777777" w:rsidR="00477B8F" w:rsidRPr="009118AB" w:rsidRDefault="00477B8F" w:rsidP="00477B8F">
      <w:pPr>
        <w:autoSpaceDE w:val="0"/>
        <w:autoSpaceDN w:val="0"/>
        <w:adjustRightInd w:val="0"/>
        <w:jc w:val="both"/>
      </w:pPr>
    </w:p>
    <w:p w14:paraId="6F34621C" w14:textId="77777777" w:rsidR="00477B8F" w:rsidRPr="009118AB" w:rsidRDefault="00477B8F" w:rsidP="00477B8F">
      <w:pPr>
        <w:autoSpaceDE w:val="0"/>
        <w:autoSpaceDN w:val="0"/>
        <w:adjustRightInd w:val="0"/>
        <w:jc w:val="both"/>
      </w:pPr>
      <w:r w:rsidRPr="009118AB">
        <w:tab/>
        <w:t>1. die im Vertrag vorgesehenen gestaffelten Gebühren es dem Eigentümer ermöglichen, nicht nur Zinsen und andere Aufwendungen des Geschäfts zu decken, sondern auch das in das Gebäude investierte Kapital oder im Falle eines bestehenden Gebäudes dessen Verkaufswert vollständig wiederherzustellen,</w:t>
      </w:r>
    </w:p>
    <w:p w14:paraId="47A4AEC7" w14:textId="77777777" w:rsidR="00477B8F" w:rsidRPr="009118AB" w:rsidRDefault="00477B8F" w:rsidP="00477B8F">
      <w:pPr>
        <w:autoSpaceDE w:val="0"/>
        <w:autoSpaceDN w:val="0"/>
        <w:adjustRightInd w:val="0"/>
        <w:jc w:val="both"/>
      </w:pPr>
    </w:p>
    <w:p w14:paraId="13D1E3A2" w14:textId="77777777" w:rsidR="00477B8F" w:rsidRPr="009118AB" w:rsidRDefault="00477B8F" w:rsidP="00477B8F">
      <w:pPr>
        <w:autoSpaceDE w:val="0"/>
        <w:autoSpaceDN w:val="0"/>
        <w:adjustRightInd w:val="0"/>
        <w:jc w:val="both"/>
      </w:pPr>
      <w:r w:rsidRPr="009118AB">
        <w:tab/>
        <w:t>2. das Eigentum am Gebäude bei Vertragsende von Rechts wegen an den Benutzer übergeht oder der Vertrag eine Kaufoption für den Benutzer enthält.</w:t>
      </w:r>
    </w:p>
    <w:p w14:paraId="7616816F" w14:textId="77777777" w:rsidR="00477B8F" w:rsidRPr="009118AB" w:rsidRDefault="00477B8F" w:rsidP="00477B8F">
      <w:pPr>
        <w:autoSpaceDE w:val="0"/>
        <w:autoSpaceDN w:val="0"/>
        <w:adjustRightInd w:val="0"/>
        <w:jc w:val="both"/>
      </w:pPr>
    </w:p>
    <w:p w14:paraId="58707962" w14:textId="77777777" w:rsidR="00477B8F" w:rsidRPr="009118AB" w:rsidRDefault="00477B8F" w:rsidP="00477B8F">
      <w:pPr>
        <w:autoSpaceDE w:val="0"/>
        <w:autoSpaceDN w:val="0"/>
        <w:adjustRightInd w:val="0"/>
        <w:jc w:val="both"/>
      </w:pPr>
    </w:p>
    <w:p w14:paraId="6DED7A64" w14:textId="70DDDB5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11</w:t>
      </w:r>
      <w:r w:rsidR="00D67EB8" w:rsidRPr="009118AB">
        <w:t> - </w:t>
      </w:r>
      <w:r w:rsidRPr="009118AB">
        <w:t xml:space="preserve">In Artikel 7 </w:t>
      </w:r>
      <w:r w:rsidR="00D67EB8" w:rsidRPr="009118AB">
        <w:t>§ </w:t>
      </w:r>
      <w:r w:rsidRPr="009118AB">
        <w:t xml:space="preserve">1 </w:t>
      </w:r>
      <w:r w:rsidR="00D67EB8" w:rsidRPr="009118AB">
        <w:t>Nr. </w:t>
      </w:r>
      <w:r w:rsidRPr="009118AB">
        <w:t>1 und 2 definierte Einkünfte sind je nach Fall beim Eigentümer, Besitzer, Erbpächter, Erbbauberechtigten beziehungsweise Nießbraucher des Gutes steuerpflichtig.</w:t>
      </w:r>
    </w:p>
    <w:p w14:paraId="4A7D4DB5" w14:textId="77777777" w:rsidR="001E243B" w:rsidRPr="009118AB" w:rsidRDefault="001E243B" w:rsidP="00477B8F">
      <w:pPr>
        <w:autoSpaceDE w:val="0"/>
        <w:autoSpaceDN w:val="0"/>
        <w:adjustRightInd w:val="0"/>
        <w:jc w:val="center"/>
      </w:pPr>
    </w:p>
    <w:p w14:paraId="441AEA80" w14:textId="77777777" w:rsidR="001E243B" w:rsidRPr="009118AB" w:rsidRDefault="001E243B" w:rsidP="00477B8F">
      <w:pPr>
        <w:autoSpaceDE w:val="0"/>
        <w:autoSpaceDN w:val="0"/>
        <w:adjustRightInd w:val="0"/>
        <w:jc w:val="center"/>
      </w:pPr>
    </w:p>
    <w:p w14:paraId="57A310DB" w14:textId="29E94F6F" w:rsidR="00477B8F" w:rsidRPr="009118AB" w:rsidRDefault="0044431B" w:rsidP="00477B8F">
      <w:pPr>
        <w:autoSpaceDE w:val="0"/>
        <w:autoSpaceDN w:val="0"/>
        <w:adjustRightInd w:val="0"/>
        <w:jc w:val="center"/>
      </w:pPr>
      <w:r w:rsidRPr="009118AB">
        <w:br w:type="page"/>
      </w:r>
      <w:r w:rsidR="00477B8F" w:rsidRPr="009118AB">
        <w:lastRenderedPageBreak/>
        <w:t>Unterabschnitt </w:t>
      </w:r>
      <w:r w:rsidR="00AA609D" w:rsidRPr="009118AB">
        <w:t>2</w:t>
      </w:r>
      <w:r w:rsidR="00D67EB8" w:rsidRPr="009118AB">
        <w:rPr>
          <w:b/>
          <w:bCs/>
        </w:rPr>
        <w:t> - </w:t>
      </w:r>
      <w:r w:rsidR="00477B8F" w:rsidRPr="009118AB">
        <w:t>Steuerfreie Einkünfte</w:t>
      </w:r>
    </w:p>
    <w:p w14:paraId="25CA9207" w14:textId="77777777" w:rsidR="00477B8F" w:rsidRPr="009118AB" w:rsidRDefault="00477B8F" w:rsidP="00477B8F">
      <w:pPr>
        <w:autoSpaceDE w:val="0"/>
        <w:autoSpaceDN w:val="0"/>
        <w:adjustRightInd w:val="0"/>
        <w:jc w:val="center"/>
      </w:pPr>
    </w:p>
    <w:p w14:paraId="6750E2AB" w14:textId="77777777" w:rsidR="00477B8F" w:rsidRPr="009118AB" w:rsidRDefault="00477B8F" w:rsidP="00477B8F">
      <w:pPr>
        <w:autoSpaceDE w:val="0"/>
        <w:autoSpaceDN w:val="0"/>
        <w:adjustRightInd w:val="0"/>
        <w:jc w:val="center"/>
      </w:pPr>
    </w:p>
    <w:p w14:paraId="2514A8F1" w14:textId="3C78D9A2"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12</w:t>
      </w:r>
      <w:r w:rsidR="00D67EB8" w:rsidRPr="009118AB">
        <w:t> - § </w:t>
      </w:r>
      <w:r w:rsidRPr="009118AB">
        <w:t>1</w:t>
      </w:r>
      <w:r w:rsidR="00D67EB8" w:rsidRPr="009118AB">
        <w:t> - </w:t>
      </w:r>
      <w:r w:rsidRPr="009118AB">
        <w:t>[</w:t>
      </w:r>
      <w:r w:rsidR="00BA143D" w:rsidRPr="009118AB">
        <w:t xml:space="preserve">[Einkünfte aus unbeweglichen Gütern oder Teilen von unbeweglichen Gütern, die in einem Mitgliedstaat des Europäischen Wirtschaftsraums gelegen sind und die] </w:t>
      </w:r>
      <w:r w:rsidRPr="009118AB">
        <w:t xml:space="preserve">ein Steuerpflichtiger oder Bewohner ohne Gewinnerzielungsabsicht für die öffentliche Ausübung eines Kultes oder des freigeistigen moralischen Beistands, für Unterrichtszwecke, für die Errichtung von Krankenhäusern, Kliniken, Ambulatorien, Altenheimen, Ferienheimen für Kinder oder Pensionierte oder für die Errichtung anderer ähnlicher Wohlfahrtseinrichtungen bestimmt hat, </w:t>
      </w:r>
      <w:r w:rsidR="00BA143D" w:rsidRPr="009118AB">
        <w:t>[sind</w:t>
      </w:r>
      <w:r w:rsidRPr="009118AB">
        <w:t xml:space="preserve"> steuerfrei</w:t>
      </w:r>
      <w:r w:rsidR="00BA143D" w:rsidRPr="009118AB">
        <w:t>]</w:t>
      </w:r>
      <w:r w:rsidRPr="009118AB">
        <w:t>.]</w:t>
      </w:r>
    </w:p>
    <w:p w14:paraId="24A1F1D4" w14:textId="77777777" w:rsidR="00477B8F" w:rsidRPr="009118AB" w:rsidRDefault="00477B8F" w:rsidP="00477B8F">
      <w:pPr>
        <w:autoSpaceDE w:val="0"/>
        <w:autoSpaceDN w:val="0"/>
        <w:adjustRightInd w:val="0"/>
        <w:jc w:val="both"/>
      </w:pPr>
    </w:p>
    <w:p w14:paraId="73C72868" w14:textId="12A9ADED" w:rsidR="00BA143D" w:rsidRPr="009118AB" w:rsidRDefault="00477B8F" w:rsidP="00BA143D">
      <w:pPr>
        <w:jc w:val="both"/>
      </w:pPr>
      <w:r w:rsidRPr="009118AB">
        <w:tab/>
      </w:r>
      <w:r w:rsidR="00D67EB8" w:rsidRPr="009118AB">
        <w:t>§ </w:t>
      </w:r>
      <w:r w:rsidRPr="009118AB">
        <w:t>2</w:t>
      </w:r>
      <w:r w:rsidR="00D67EB8" w:rsidRPr="009118AB">
        <w:t> - </w:t>
      </w:r>
      <w:r w:rsidR="00BA143D" w:rsidRPr="009118AB">
        <w:t>[Unbeschadet der Erhebung des Immobiliensteuervorabzugs sind Einkünfte aus unbeweglichen Gütern, die in einem Mitgliedstaat des Europäischen Wirtschaftsraums gelegen sind und aufgrund eines Laufbahnpachtvertrags oder eines gleichartigen Pachtvertrags in einem anderen Mitgliedstaat des Europäischen Wirtschaftsraums vermietet sind, steuerfrei.</w:t>
      </w:r>
    </w:p>
    <w:p w14:paraId="3A66082E" w14:textId="77777777" w:rsidR="00BA143D" w:rsidRPr="009118AB" w:rsidRDefault="00BA143D" w:rsidP="00BA143D">
      <w:pPr>
        <w:jc w:val="both"/>
      </w:pPr>
    </w:p>
    <w:p w14:paraId="7754A3D9" w14:textId="77777777" w:rsidR="004D0569" w:rsidRPr="009118AB" w:rsidRDefault="00BA143D" w:rsidP="00BA143D">
      <w:pPr>
        <w:autoSpaceDE w:val="0"/>
        <w:autoSpaceDN w:val="0"/>
        <w:adjustRightInd w:val="0"/>
        <w:jc w:val="both"/>
      </w:pPr>
      <w:r w:rsidRPr="009118AB">
        <w:tab/>
        <w:t>Diese Steuerbefreiung gilt auch für Einkünfte aus unbeweglichen Gütern, die in einem Mitgliedstaat des Europäischen Wirtschaftsraums gelegen sind und aufgrund eines Landpachtvertrags über Grundstücke oder eines gleichartigen Pachtvertrags in einem anderen Mitgliedstaat des Europäischen Wirtschaftsraums vermietet sind, der einen ersten Nutzungszeitraum von mindestens achtzehn Jahren vorsieht.]</w:t>
      </w:r>
    </w:p>
    <w:p w14:paraId="051EC58E" w14:textId="77777777" w:rsidR="00477B8F" w:rsidRPr="009118AB" w:rsidRDefault="00477B8F" w:rsidP="00477B8F">
      <w:pPr>
        <w:autoSpaceDE w:val="0"/>
        <w:autoSpaceDN w:val="0"/>
        <w:adjustRightInd w:val="0"/>
        <w:jc w:val="both"/>
      </w:pPr>
      <w:r w:rsidRPr="009118AB">
        <w:tab/>
      </w:r>
    </w:p>
    <w:p w14:paraId="088D86AC" w14:textId="2501A637" w:rsidR="00477B8F" w:rsidRPr="009118AB" w:rsidRDefault="00477B8F" w:rsidP="00477B8F">
      <w:pPr>
        <w:autoSpaceDE w:val="0"/>
        <w:autoSpaceDN w:val="0"/>
        <w:adjustRightInd w:val="0"/>
        <w:jc w:val="both"/>
      </w:pPr>
      <w:r w:rsidRPr="009118AB">
        <w:tab/>
        <w:t>[</w:t>
      </w:r>
      <w:r w:rsidR="00D67EB8" w:rsidRPr="009118AB">
        <w:t>§ </w:t>
      </w:r>
      <w:r w:rsidRPr="009118AB">
        <w:t>3</w:t>
      </w:r>
      <w:r w:rsidR="00D67EB8" w:rsidRPr="009118AB">
        <w:t> - </w:t>
      </w:r>
      <w:r w:rsidR="00E9390E" w:rsidRPr="009118AB">
        <w:t>[Das Einkommen der eigenen Wohnung ist steuerfrei.]</w:t>
      </w:r>
      <w:r w:rsidRPr="009118AB">
        <w:t>]</w:t>
      </w:r>
    </w:p>
    <w:p w14:paraId="2FA26BF9" w14:textId="051507BA" w:rsidR="00E9160D" w:rsidRPr="009118AB" w:rsidRDefault="00E9160D" w:rsidP="00477B8F">
      <w:pPr>
        <w:autoSpaceDE w:val="0"/>
        <w:autoSpaceDN w:val="0"/>
        <w:adjustRightInd w:val="0"/>
        <w:jc w:val="both"/>
      </w:pPr>
    </w:p>
    <w:p w14:paraId="26B20B6A" w14:textId="2EE30B76" w:rsidR="00E9160D" w:rsidRPr="009118AB" w:rsidRDefault="00E9160D" w:rsidP="00E9160D">
      <w:pPr>
        <w:jc w:val="both"/>
      </w:pPr>
      <w:r w:rsidRPr="009118AB">
        <w:tab/>
        <w:t>[</w:t>
      </w:r>
      <w:r w:rsidR="00D67EB8" w:rsidRPr="009118AB">
        <w:t>§ </w:t>
      </w:r>
      <w:r w:rsidRPr="009118AB">
        <w:t>4</w:t>
      </w:r>
      <w:r w:rsidR="00D67EB8" w:rsidRPr="009118AB">
        <w:t> - </w:t>
      </w:r>
      <w:r w:rsidRPr="009118AB">
        <w:t xml:space="preserve">In Abweichung von Artikel 7 </w:t>
      </w:r>
      <w:r w:rsidR="00D67EB8" w:rsidRPr="009118AB">
        <w:t>§ </w:t>
      </w:r>
      <w:r w:rsidRPr="009118AB">
        <w:t xml:space="preserve">1 </w:t>
      </w:r>
      <w:r w:rsidR="00D67EB8" w:rsidRPr="009118AB">
        <w:t>Nr. </w:t>
      </w:r>
      <w:r w:rsidRPr="009118AB">
        <w:t>3 ist die entgeltliche Abtretung eines Erbpachtrechts oder Erbbaurechts oder gleichartiger Rechte an unbeweglichen Gütern in Bezug auf ein Grundstück, auf dem ein Gebäude errichtet ist, ein bebautes unbewegliches Gut oder ein Gebäude steuerfrei:</w:t>
      </w:r>
    </w:p>
    <w:p w14:paraId="176CA03A" w14:textId="77777777" w:rsidR="00E9160D" w:rsidRPr="009118AB" w:rsidRDefault="00E9160D" w:rsidP="00E9160D">
      <w:pPr>
        <w:jc w:val="both"/>
      </w:pPr>
    </w:p>
    <w:p w14:paraId="3D4B85D2" w14:textId="77777777" w:rsidR="00E9160D" w:rsidRPr="009118AB" w:rsidRDefault="00E9160D" w:rsidP="00E9160D">
      <w:pPr>
        <w:jc w:val="both"/>
      </w:pPr>
      <w:r w:rsidRPr="009118AB">
        <w:tab/>
        <w:t>1. entweder wenn das Recht frühestens fünf Jahre nach dem Datum der authentischen Urkunde über die Begründung oder den Erwerb des Rechts abgetreten worden ist</w:t>
      </w:r>
    </w:p>
    <w:p w14:paraId="15599E56" w14:textId="77777777" w:rsidR="00E9160D" w:rsidRPr="009118AB" w:rsidRDefault="00E9160D" w:rsidP="00E9160D">
      <w:pPr>
        <w:jc w:val="both"/>
      </w:pPr>
    </w:p>
    <w:p w14:paraId="2A1C02F0" w14:textId="77777777" w:rsidR="00E9160D" w:rsidRPr="009118AB" w:rsidRDefault="00E9160D" w:rsidP="00E9160D">
      <w:pPr>
        <w:jc w:val="both"/>
      </w:pPr>
      <w:r w:rsidRPr="009118AB">
        <w:tab/>
        <w:t>2. oder wenn die Wohnung für einen ununterbrochenen Zeitraum von mindestens zwölf Monaten vor dem Monat der Veräußerung die eigene Wohnung des Steuerpflichtigen war. Zwischen dem Zeitraum von mindestens zwölf Monaten und dem Monat der Veräußerung kann jedoch ein Zeitraum von höchstens sechs Monaten liegen, in dem die Wohnung ungenutzt war,</w:t>
      </w:r>
    </w:p>
    <w:p w14:paraId="0FA985C9" w14:textId="77777777" w:rsidR="00E9160D" w:rsidRPr="009118AB" w:rsidRDefault="00E9160D" w:rsidP="00E9160D">
      <w:pPr>
        <w:jc w:val="both"/>
      </w:pPr>
    </w:p>
    <w:p w14:paraId="757E2644" w14:textId="77777777" w:rsidR="00E9160D" w:rsidRPr="009118AB" w:rsidRDefault="00E9160D" w:rsidP="00E9160D">
      <w:pPr>
        <w:jc w:val="both"/>
      </w:pPr>
      <w:r w:rsidRPr="009118AB">
        <w:tab/>
        <w:t>3. oder wenn das Recht:</w:t>
      </w:r>
    </w:p>
    <w:p w14:paraId="038EEC07" w14:textId="77777777" w:rsidR="00E9160D" w:rsidRPr="009118AB" w:rsidRDefault="00E9160D" w:rsidP="00E9160D">
      <w:pPr>
        <w:jc w:val="both"/>
      </w:pPr>
    </w:p>
    <w:p w14:paraId="1D017C9F" w14:textId="77777777" w:rsidR="00E9160D" w:rsidRPr="009118AB" w:rsidRDefault="00E9160D" w:rsidP="00E9160D">
      <w:pPr>
        <w:jc w:val="both"/>
      </w:pPr>
      <w:r w:rsidRPr="009118AB">
        <w:tab/>
      </w:r>
      <w:r w:rsidRPr="009118AB">
        <w:rPr>
          <w:i/>
          <w:iCs/>
        </w:rPr>
        <w:t>a)</w:t>
      </w:r>
      <w:r w:rsidRPr="009118AB">
        <w:t> für mündig oder nicht für mündig erklärten Minderjährigen zusteht, wenn eine Gerichtsinstanz diese Abtretung erlaubt hat,</w:t>
      </w:r>
    </w:p>
    <w:p w14:paraId="5D169C74" w14:textId="77777777" w:rsidR="00E9160D" w:rsidRPr="009118AB" w:rsidRDefault="00E9160D" w:rsidP="00E9160D">
      <w:pPr>
        <w:jc w:val="both"/>
      </w:pPr>
    </w:p>
    <w:p w14:paraId="477CECED" w14:textId="77777777" w:rsidR="00E9160D" w:rsidRPr="009118AB" w:rsidRDefault="00E9160D" w:rsidP="00E9160D">
      <w:pPr>
        <w:jc w:val="both"/>
      </w:pPr>
      <w:r w:rsidRPr="009118AB">
        <w:tab/>
      </w:r>
      <w:r w:rsidRPr="009118AB">
        <w:rPr>
          <w:i/>
          <w:iCs/>
        </w:rPr>
        <w:t>b)</w:t>
      </w:r>
      <w:r w:rsidRPr="009118AB">
        <w:t> Personen zusteht, denen gemäß den Bestimmungen von Teil IV Buch IV Kapitel X des Gerichtsgesetzbuches aufgrund einer Sondergenehmigung des Friedensrichters ein Betreuer zugewiesen wurde,</w:t>
      </w:r>
    </w:p>
    <w:p w14:paraId="1E9A1153" w14:textId="77777777" w:rsidR="00E9160D" w:rsidRPr="009118AB" w:rsidRDefault="00E9160D" w:rsidP="00E9160D">
      <w:pPr>
        <w:jc w:val="both"/>
      </w:pPr>
    </w:p>
    <w:p w14:paraId="684229F3" w14:textId="77777777" w:rsidR="00E9160D" w:rsidRPr="009118AB" w:rsidRDefault="00E9160D">
      <w:r w:rsidRPr="009118AB">
        <w:br w:type="page"/>
      </w:r>
    </w:p>
    <w:p w14:paraId="12D61D00" w14:textId="58524C33" w:rsidR="00E9160D" w:rsidRPr="009118AB" w:rsidRDefault="00E9160D" w:rsidP="00E9160D">
      <w:pPr>
        <w:autoSpaceDE w:val="0"/>
        <w:autoSpaceDN w:val="0"/>
        <w:adjustRightInd w:val="0"/>
        <w:jc w:val="both"/>
      </w:pPr>
      <w:r w:rsidRPr="009118AB">
        <w:lastRenderedPageBreak/>
        <w:tab/>
        <w:t>4. oder im Falle von Enteignungen oder gütlichen Abtretungen von unbeweglichen Gütern zum Nutzen der Allgemeinheit, wenn diese Abtretungen gemäß Artikel 161 des Registrierungs-, Hypotheken- und Kanzleigebührengesetzbuches kostenlos der Registrierungsformalität unterworfen sind.]</w:t>
      </w:r>
    </w:p>
    <w:p w14:paraId="38741CCC" w14:textId="77777777" w:rsidR="00477B8F" w:rsidRPr="009118AB" w:rsidRDefault="00477B8F" w:rsidP="00477B8F">
      <w:pPr>
        <w:autoSpaceDE w:val="0"/>
        <w:autoSpaceDN w:val="0"/>
        <w:adjustRightInd w:val="0"/>
        <w:jc w:val="both"/>
      </w:pPr>
    </w:p>
    <w:p w14:paraId="59818D4F" w14:textId="7C7B9719"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12 </w:t>
      </w:r>
      <w:r w:rsidR="00D67EB8" w:rsidRPr="009118AB">
        <w:rPr>
          <w:i/>
          <w:iCs/>
        </w:rPr>
        <w:t>§ </w:t>
      </w:r>
      <w:r w:rsidRPr="009118AB">
        <w:rPr>
          <w:i/>
          <w:iCs/>
        </w:rPr>
        <w:t xml:space="preserve">1 ersetzt durch </w:t>
      </w:r>
      <w:r w:rsidR="00D67EB8" w:rsidRPr="009118AB">
        <w:rPr>
          <w:i/>
          <w:iCs/>
        </w:rPr>
        <w:t>Art. </w:t>
      </w:r>
      <w:r w:rsidRPr="009118AB">
        <w:rPr>
          <w:i/>
          <w:iCs/>
        </w:rPr>
        <w:t>2 des G. vom 21. Mai 1996 (B.S. vom 31. Juli 1996)</w:t>
      </w:r>
      <w:r w:rsidR="00BA143D" w:rsidRPr="009118AB">
        <w:rPr>
          <w:i/>
          <w:iCs/>
        </w:rPr>
        <w:t xml:space="preserve"> und abgeändert durch </w:t>
      </w:r>
      <w:r w:rsidR="00D67EB8" w:rsidRPr="009118AB">
        <w:rPr>
          <w:i/>
          <w:iCs/>
        </w:rPr>
        <w:t>Art. </w:t>
      </w:r>
      <w:r w:rsidR="00BA143D" w:rsidRPr="009118AB">
        <w:rPr>
          <w:i/>
          <w:iCs/>
        </w:rPr>
        <w:t xml:space="preserve">31 </w:t>
      </w:r>
      <w:r w:rsidR="00D67EB8" w:rsidRPr="009118AB">
        <w:rPr>
          <w:i/>
          <w:iCs/>
        </w:rPr>
        <w:t>Nr. </w:t>
      </w:r>
      <w:r w:rsidR="00BA143D" w:rsidRPr="009118AB">
        <w:rPr>
          <w:i/>
          <w:iCs/>
        </w:rPr>
        <w:t>1 des G. vom 14. April 2011 (B.S. vom 6. Mai 2011)</w:t>
      </w:r>
      <w:r w:rsidR="00D67EB8" w:rsidRPr="009118AB">
        <w:rPr>
          <w:i/>
          <w:iCs/>
        </w:rPr>
        <w:t> - </w:t>
      </w:r>
      <w:r w:rsidR="00BA143D" w:rsidRPr="009118AB">
        <w:rPr>
          <w:i/>
          <w:iCs/>
        </w:rPr>
        <w:t>anwendbar ab dem Steuerjahr 2012</w:t>
      </w:r>
      <w:r w:rsidR="003366D9" w:rsidRPr="009118AB">
        <w:rPr>
          <w:i/>
          <w:iCs/>
        </w:rPr>
        <w:t> -;</w:t>
      </w:r>
      <w:r w:rsidR="00BA143D" w:rsidRPr="009118AB">
        <w:rPr>
          <w:i/>
          <w:iCs/>
        </w:rPr>
        <w:t xml:space="preserve"> </w:t>
      </w:r>
      <w:r w:rsidR="00D67EB8" w:rsidRPr="009118AB">
        <w:rPr>
          <w:i/>
          <w:iCs/>
        </w:rPr>
        <w:t>§ </w:t>
      </w:r>
      <w:r w:rsidR="00BA143D" w:rsidRPr="009118AB">
        <w:rPr>
          <w:i/>
          <w:iCs/>
        </w:rPr>
        <w:t xml:space="preserve">2 ersetzt durch </w:t>
      </w:r>
      <w:r w:rsidR="00D67EB8" w:rsidRPr="009118AB">
        <w:rPr>
          <w:i/>
          <w:iCs/>
        </w:rPr>
        <w:t>Art. </w:t>
      </w:r>
      <w:r w:rsidR="00BA143D" w:rsidRPr="009118AB">
        <w:rPr>
          <w:i/>
          <w:iCs/>
        </w:rPr>
        <w:t xml:space="preserve">31 </w:t>
      </w:r>
      <w:r w:rsidR="00D67EB8" w:rsidRPr="009118AB">
        <w:rPr>
          <w:i/>
          <w:iCs/>
        </w:rPr>
        <w:t>Nr. </w:t>
      </w:r>
      <w:r w:rsidR="00BA143D" w:rsidRPr="009118AB">
        <w:rPr>
          <w:i/>
          <w:iCs/>
        </w:rPr>
        <w:t>2 des G. vom 14. April 2011 (B.S. vom 6. Mai 2011)</w:t>
      </w:r>
      <w:r w:rsidR="00D67EB8" w:rsidRPr="009118AB">
        <w:rPr>
          <w:i/>
          <w:iCs/>
        </w:rPr>
        <w:t> - </w:t>
      </w:r>
      <w:r w:rsidR="00BA143D" w:rsidRPr="009118AB">
        <w:rPr>
          <w:i/>
          <w:iCs/>
        </w:rPr>
        <w:t>anwendbar ab dem Steuerjahr 2012</w:t>
      </w:r>
      <w:r w:rsidR="003366D9" w:rsidRPr="009118AB">
        <w:rPr>
          <w:i/>
          <w:iCs/>
        </w:rPr>
        <w:t> -;</w:t>
      </w:r>
      <w:r w:rsidRPr="009118AB">
        <w:rPr>
          <w:i/>
          <w:iCs/>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387 des G. vom 27. Dezember 2004 (B.S. vom 31. Dezember 2004)</w:t>
      </w:r>
      <w:r w:rsidR="00D67EB8" w:rsidRPr="009118AB">
        <w:rPr>
          <w:i/>
          <w:iCs/>
        </w:rPr>
        <w:t> - </w:t>
      </w:r>
      <w:r w:rsidRPr="009118AB">
        <w:rPr>
          <w:i/>
          <w:iCs/>
        </w:rPr>
        <w:t>in Kraft ab dem Steuerjahr 2006</w:t>
      </w:r>
      <w:r w:rsidR="00D67EB8" w:rsidRPr="009118AB">
        <w:rPr>
          <w:i/>
          <w:iCs/>
        </w:rPr>
        <w:t> - </w:t>
      </w:r>
      <w:r w:rsidR="00410C8F" w:rsidRPr="009118AB">
        <w:rPr>
          <w:i/>
          <w:iCs/>
        </w:rPr>
        <w:t xml:space="preserve">und ersetzt durch </w:t>
      </w:r>
      <w:r w:rsidR="00D67EB8" w:rsidRPr="009118AB">
        <w:rPr>
          <w:i/>
          <w:iCs/>
        </w:rPr>
        <w:t>Art. </w:t>
      </w:r>
      <w:r w:rsidR="00410C8F" w:rsidRPr="009118AB">
        <w:rPr>
          <w:i/>
          <w:iCs/>
        </w:rPr>
        <w:t>11</w:t>
      </w:r>
      <w:r w:rsidR="00410C8F" w:rsidRPr="009118AB">
        <w:rPr>
          <w:i/>
        </w:rPr>
        <w:t xml:space="preserve"> des G. vom 8. Mai 2014 (B.S. vom 28. Mai 2014)</w:t>
      </w:r>
      <w:r w:rsidR="00D67EB8" w:rsidRPr="009118AB">
        <w:rPr>
          <w:i/>
        </w:rPr>
        <w:t> - </w:t>
      </w:r>
      <w:r w:rsidR="00410C8F" w:rsidRPr="009118AB">
        <w:rPr>
          <w:i/>
          <w:iCs/>
        </w:rPr>
        <w:t>anwendbar ab dem Steuerjahr 2015</w:t>
      </w:r>
      <w:r w:rsidR="003366D9" w:rsidRPr="009118AB">
        <w:rPr>
          <w:i/>
          <w:iCs/>
        </w:rPr>
        <w:t> -;</w:t>
      </w:r>
      <w:r w:rsidR="00E9160D" w:rsidRPr="009118AB">
        <w:rPr>
          <w:i/>
          <w:iCs/>
        </w:rPr>
        <w:t xml:space="preserve"> </w:t>
      </w:r>
      <w:r w:rsidR="00D67EB8" w:rsidRPr="009118AB">
        <w:rPr>
          <w:i/>
          <w:iCs/>
        </w:rPr>
        <w:t>§ </w:t>
      </w:r>
      <w:r w:rsidR="00E9160D" w:rsidRPr="009118AB">
        <w:rPr>
          <w:i/>
          <w:iCs/>
        </w:rPr>
        <w:t xml:space="preserve">4 eingefügt durch </w:t>
      </w:r>
      <w:r w:rsidR="00D67EB8" w:rsidRPr="009118AB">
        <w:rPr>
          <w:i/>
          <w:iCs/>
        </w:rPr>
        <w:t>Art. </w:t>
      </w:r>
      <w:r w:rsidR="00E9160D" w:rsidRPr="009118AB">
        <w:rPr>
          <w:i/>
          <w:iCs/>
        </w:rPr>
        <w:t>2 des G. vom 22. April 2019 (II) (B.S. vom 29. April 2019)</w:t>
      </w:r>
      <w:r w:rsidR="00D67EB8" w:rsidRPr="009118AB">
        <w:rPr>
          <w:i/>
          <w:iCs/>
        </w:rPr>
        <w:t> - </w:t>
      </w:r>
      <w:r w:rsidR="00E9160D" w:rsidRPr="009118AB">
        <w:rPr>
          <w:i/>
          <w:iCs/>
        </w:rPr>
        <w:t>anwendbar ab dem S</w:t>
      </w:r>
      <w:r w:rsidR="0017643F" w:rsidRPr="009118AB">
        <w:rPr>
          <w:i/>
          <w:iCs/>
        </w:rPr>
        <w:t>t</w:t>
      </w:r>
      <w:r w:rsidR="00E9160D" w:rsidRPr="009118AB">
        <w:rPr>
          <w:i/>
          <w:iCs/>
        </w:rPr>
        <w:t>euerjahr 2020</w:t>
      </w:r>
      <w:r w:rsidR="00FD68E8" w:rsidRPr="009118AB">
        <w:rPr>
          <w:i/>
          <w:iCs/>
        </w:rPr>
        <w:t> -]</w:t>
      </w:r>
    </w:p>
    <w:p w14:paraId="5A16E950" w14:textId="77777777" w:rsidR="001E243B" w:rsidRPr="009118AB" w:rsidRDefault="001E243B" w:rsidP="00477B8F">
      <w:pPr>
        <w:autoSpaceDE w:val="0"/>
        <w:autoSpaceDN w:val="0"/>
        <w:adjustRightInd w:val="0"/>
        <w:jc w:val="center"/>
      </w:pPr>
    </w:p>
    <w:p w14:paraId="3C018531" w14:textId="77777777" w:rsidR="001E243B" w:rsidRPr="009118AB" w:rsidRDefault="001E243B" w:rsidP="00477B8F">
      <w:pPr>
        <w:autoSpaceDE w:val="0"/>
        <w:autoSpaceDN w:val="0"/>
        <w:adjustRightInd w:val="0"/>
        <w:jc w:val="center"/>
      </w:pPr>
    </w:p>
    <w:p w14:paraId="215F8E8E" w14:textId="550DE296" w:rsidR="00477B8F" w:rsidRPr="009118AB" w:rsidRDefault="0044431B" w:rsidP="00477B8F">
      <w:pPr>
        <w:autoSpaceDE w:val="0"/>
        <w:autoSpaceDN w:val="0"/>
        <w:adjustRightInd w:val="0"/>
        <w:jc w:val="center"/>
      </w:pPr>
      <w:r w:rsidRPr="009118AB">
        <w:br w:type="page"/>
      </w:r>
      <w:r w:rsidR="00477B8F" w:rsidRPr="009118AB">
        <w:lastRenderedPageBreak/>
        <w:t>Unterabschnitt </w:t>
      </w:r>
      <w:r w:rsidR="00AA609D" w:rsidRPr="009118AB">
        <w:t>3</w:t>
      </w:r>
      <w:r w:rsidR="00D67EB8" w:rsidRPr="009118AB">
        <w:t> - </w:t>
      </w:r>
      <w:r w:rsidR="00477B8F" w:rsidRPr="009118AB">
        <w:t>Festlegung des Nettoeinkommens</w:t>
      </w:r>
    </w:p>
    <w:p w14:paraId="69ECAAAF" w14:textId="77777777" w:rsidR="00477B8F" w:rsidRPr="009118AB" w:rsidRDefault="00477B8F" w:rsidP="00477B8F">
      <w:pPr>
        <w:autoSpaceDE w:val="0"/>
        <w:autoSpaceDN w:val="0"/>
        <w:adjustRightInd w:val="0"/>
        <w:jc w:val="center"/>
      </w:pPr>
    </w:p>
    <w:p w14:paraId="375CF841" w14:textId="77777777" w:rsidR="00477B8F" w:rsidRPr="009118AB" w:rsidRDefault="00477B8F" w:rsidP="00477B8F">
      <w:pPr>
        <w:autoSpaceDE w:val="0"/>
        <w:autoSpaceDN w:val="0"/>
        <w:adjustRightInd w:val="0"/>
        <w:jc w:val="center"/>
      </w:pPr>
    </w:p>
    <w:p w14:paraId="04ACB90C" w14:textId="5DF6243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13</w:t>
      </w:r>
      <w:r w:rsidR="00D67EB8" w:rsidRPr="009118AB">
        <w:t> - </w:t>
      </w:r>
      <w:r w:rsidRPr="009118AB">
        <w:t xml:space="preserve">In Bezug auf </w:t>
      </w:r>
      <w:r w:rsidR="00A1126B" w:rsidRPr="009118AB">
        <w:t>[...]</w:t>
      </w:r>
      <w:r w:rsidRPr="009118AB">
        <w:t xml:space="preserve"> Mietpreis und Mietvorteile von unbeweglichen Gütern versteht man unter Nettoeinkommen den Bruttobetrag der Einkünfte abzüglich folgender Prozentsätze für Unterhalts- und Reparaturkosten:</w:t>
      </w:r>
    </w:p>
    <w:p w14:paraId="7143B642" w14:textId="77777777" w:rsidR="00477B8F" w:rsidRPr="009118AB" w:rsidRDefault="00477B8F" w:rsidP="00477B8F">
      <w:pPr>
        <w:autoSpaceDE w:val="0"/>
        <w:autoSpaceDN w:val="0"/>
        <w:adjustRightInd w:val="0"/>
        <w:jc w:val="both"/>
      </w:pPr>
    </w:p>
    <w:p w14:paraId="4DB3E4F5" w14:textId="026AAA38" w:rsidR="00477B8F" w:rsidRPr="009118AB" w:rsidRDefault="00477B8F" w:rsidP="00477B8F">
      <w:pPr>
        <w:autoSpaceDE w:val="0"/>
        <w:autoSpaceDN w:val="0"/>
        <w:adjustRightInd w:val="0"/>
        <w:jc w:val="both"/>
      </w:pPr>
      <w:r w:rsidRPr="009118AB">
        <w:tab/>
        <w:t xml:space="preserve">- </w:t>
      </w:r>
      <w:r w:rsidR="000B415D" w:rsidRPr="009118AB">
        <w:t>[</w:t>
      </w:r>
      <w:r w:rsidR="006D241C" w:rsidRPr="009118AB">
        <w:rPr>
          <w:lang w:eastAsia="fr-BE"/>
        </w:rPr>
        <w:t xml:space="preserve">40 Prozent für bebaute unbewegliche Güter und für Material und Ausrüstung, die ihrem Wesen oder ihrer Bestimmung nach unbeweglich sind, ohne dass dieser Abzug in Bezug auf die in Artikel 7 </w:t>
      </w:r>
      <w:r w:rsidR="00D67EB8" w:rsidRPr="009118AB">
        <w:rPr>
          <w:lang w:eastAsia="fr-BE"/>
        </w:rPr>
        <w:t>§ </w:t>
      </w:r>
      <w:r w:rsidR="006D241C" w:rsidRPr="009118AB">
        <w:rPr>
          <w:lang w:eastAsia="fr-BE"/>
        </w:rPr>
        <w:t xml:space="preserve">1 </w:t>
      </w:r>
      <w:r w:rsidR="00D67EB8" w:rsidRPr="009118AB">
        <w:rPr>
          <w:lang w:eastAsia="fr-BE"/>
        </w:rPr>
        <w:t>Nr. </w:t>
      </w:r>
      <w:r w:rsidR="006D241C" w:rsidRPr="009118AB">
        <w:rPr>
          <w:lang w:eastAsia="fr-BE"/>
        </w:rPr>
        <w:t>2 Buchstabe </w:t>
      </w:r>
      <w:r w:rsidR="006D241C" w:rsidRPr="009118AB">
        <w:rPr>
          <w:i/>
          <w:iCs/>
          <w:lang w:eastAsia="fr-BE"/>
        </w:rPr>
        <w:t>c)</w:t>
      </w:r>
      <w:r w:rsidR="006D241C" w:rsidRPr="009118AB">
        <w:rPr>
          <w:lang w:eastAsia="fr-BE"/>
        </w:rPr>
        <w:t xml:space="preserve"> erwähnten unbeweglichen Güter zwei Drittel des Katastereinkommens übersteigen darf, das entsprechend einem Koeffizienten neu bewertet wird, der 4,23 beträgt. Dieser Neubewertungskoeffizient wird an die Entwicklung des Gesundheitsindexes des Königreichs angepasst anhand eines Koeffizienten, der erhalten wird, indem der Gesundheitsindex des Monats Dezember des zweiten Jahres vor dem Jahr, dessen Jahreszahl das Steuerjahr bestimmt, durch den Gesundheitsindex des Monats Dezember 2013 geteilt wird. Der so erhaltene Koeffizient wird auf das höhere oder niedrigere Hundertstel eines Punkts abgerundet, je nachdem ob die Ziffer des Tausendstel eines Punkts 5 erreicht oder nicht. Der indexierte Neubewertungskoeffizient wird auf das höhere oder niedrigere Hundertstel abgerundet, je nachdem ob die Ziffer der Tausendstel 5 erreicht oder nicht,]</w:t>
      </w:r>
    </w:p>
    <w:p w14:paraId="096362E6" w14:textId="74F9128C" w:rsidR="00477B8F" w:rsidRPr="009118AB" w:rsidRDefault="00477B8F" w:rsidP="00477B8F">
      <w:pPr>
        <w:autoSpaceDE w:val="0"/>
        <w:autoSpaceDN w:val="0"/>
        <w:adjustRightInd w:val="0"/>
        <w:jc w:val="both"/>
      </w:pPr>
    </w:p>
    <w:p w14:paraId="44D5C781" w14:textId="49D261A6" w:rsidR="00477B8F" w:rsidRPr="009118AB" w:rsidRDefault="00477B8F" w:rsidP="00477B8F">
      <w:pPr>
        <w:autoSpaceDE w:val="0"/>
        <w:autoSpaceDN w:val="0"/>
        <w:adjustRightInd w:val="0"/>
        <w:jc w:val="both"/>
      </w:pPr>
      <w:r w:rsidRPr="009118AB">
        <w:tab/>
        <w:t>- 10 Prozent für unbebaute unbewegliche Güter.</w:t>
      </w:r>
    </w:p>
    <w:p w14:paraId="26F8F87F" w14:textId="3861D5C9" w:rsidR="00A1126B" w:rsidRPr="009118AB" w:rsidRDefault="00A1126B" w:rsidP="00477B8F">
      <w:pPr>
        <w:autoSpaceDE w:val="0"/>
        <w:autoSpaceDN w:val="0"/>
        <w:adjustRightInd w:val="0"/>
        <w:jc w:val="both"/>
      </w:pPr>
    </w:p>
    <w:p w14:paraId="1C535BF6" w14:textId="153792DA" w:rsidR="00A1126B" w:rsidRPr="009118AB" w:rsidRDefault="00A1126B"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13 einziger Absatz einleitende Bestimmung abgeändert durch </w:t>
      </w:r>
      <w:r w:rsidR="00D67EB8" w:rsidRPr="009118AB">
        <w:rPr>
          <w:i/>
          <w:iCs/>
        </w:rPr>
        <w:t>Art. </w:t>
      </w:r>
      <w:r w:rsidRPr="009118AB">
        <w:rPr>
          <w:i/>
          <w:iCs/>
        </w:rPr>
        <w:t>5 des G. vom 17. Februar 2021</w:t>
      </w:r>
      <w:r w:rsidR="007A716D" w:rsidRPr="009118AB">
        <w:rPr>
          <w:i/>
          <w:iCs/>
        </w:rPr>
        <w:t> (II)</w:t>
      </w:r>
      <w:r w:rsidRPr="009118AB">
        <w:rPr>
          <w:i/>
          <w:iCs/>
        </w:rPr>
        <w:t xml:space="preserve"> (B.S. vom 25. Februar 2021)</w:t>
      </w:r>
      <w:r w:rsidR="00D67EB8" w:rsidRPr="009118AB">
        <w:rPr>
          <w:i/>
          <w:iCs/>
        </w:rPr>
        <w:t> - </w:t>
      </w:r>
      <w:r w:rsidRPr="009118AB">
        <w:rPr>
          <w:i/>
          <w:iCs/>
        </w:rPr>
        <w:t>wirksam mit 1. Januar 2021 und anwendbar ab dem Steuerjahr 2022</w:t>
      </w:r>
      <w:r w:rsidR="003366D9" w:rsidRPr="009118AB">
        <w:rPr>
          <w:i/>
          <w:iCs/>
        </w:rPr>
        <w:t> -;</w:t>
      </w:r>
      <w:r w:rsidR="006D241C" w:rsidRPr="009118AB">
        <w:rPr>
          <w:i/>
          <w:iCs/>
        </w:rPr>
        <w:t xml:space="preserve"> einziger Absatz </w:t>
      </w:r>
      <w:r w:rsidR="00271EEB" w:rsidRPr="009118AB">
        <w:rPr>
          <w:i/>
          <w:iCs/>
        </w:rPr>
        <w:t>erster Gedankenstrich</w:t>
      </w:r>
      <w:r w:rsidR="006D241C" w:rsidRPr="009118AB">
        <w:rPr>
          <w:i/>
          <w:iCs/>
        </w:rPr>
        <w:t xml:space="preserve"> ersetzt durch </w:t>
      </w:r>
      <w:r w:rsidR="00D67EB8" w:rsidRPr="009118AB">
        <w:rPr>
          <w:i/>
          <w:iCs/>
        </w:rPr>
        <w:t>Art. </w:t>
      </w:r>
      <w:r w:rsidR="006D241C" w:rsidRPr="009118AB">
        <w:rPr>
          <w:i/>
          <w:iCs/>
        </w:rPr>
        <w:t>24 des G. vom 21. Januar 2022 (B.S. vom 28. Januar 2022)</w:t>
      </w:r>
      <w:r w:rsidRPr="009118AB">
        <w:rPr>
          <w:i/>
          <w:iCs/>
        </w:rPr>
        <w:t>]</w:t>
      </w:r>
    </w:p>
    <w:p w14:paraId="5853714F" w14:textId="77777777" w:rsidR="00477B8F" w:rsidRPr="009118AB" w:rsidRDefault="00477B8F" w:rsidP="00477B8F">
      <w:pPr>
        <w:autoSpaceDE w:val="0"/>
        <w:autoSpaceDN w:val="0"/>
        <w:adjustRightInd w:val="0"/>
        <w:jc w:val="both"/>
      </w:pPr>
    </w:p>
    <w:p w14:paraId="142ECE8D" w14:textId="77777777" w:rsidR="00477B8F" w:rsidRPr="009118AB" w:rsidRDefault="00477B8F" w:rsidP="00477B8F">
      <w:pPr>
        <w:autoSpaceDE w:val="0"/>
        <w:autoSpaceDN w:val="0"/>
        <w:adjustRightInd w:val="0"/>
        <w:jc w:val="both"/>
      </w:pPr>
    </w:p>
    <w:p w14:paraId="62B6AB72" w14:textId="099DDC6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w:t>
      </w:r>
      <w:r w:rsidR="00D67EB8" w:rsidRPr="009118AB">
        <w:t> - </w:t>
      </w:r>
      <w:r w:rsidRPr="009118AB">
        <w:t>[Von den Einkünften aus unbeweglichen Gütern werden abgezogen unter der Bedingung, dass sie während des Besteuerungszeitraums gezahlt oder getragen werden:</w:t>
      </w:r>
    </w:p>
    <w:p w14:paraId="14DC2569" w14:textId="77777777" w:rsidR="00477B8F" w:rsidRPr="009118AB" w:rsidRDefault="00477B8F" w:rsidP="00477B8F">
      <w:pPr>
        <w:autoSpaceDE w:val="0"/>
        <w:autoSpaceDN w:val="0"/>
        <w:adjustRightInd w:val="0"/>
        <w:jc w:val="both"/>
      </w:pPr>
    </w:p>
    <w:p w14:paraId="5C93DD52" w14:textId="10147F64" w:rsidR="00477B8F" w:rsidRPr="009118AB" w:rsidRDefault="00477B8F" w:rsidP="00477B8F">
      <w:pPr>
        <w:autoSpaceDE w:val="0"/>
        <w:autoSpaceDN w:val="0"/>
        <w:adjustRightInd w:val="0"/>
        <w:jc w:val="both"/>
      </w:pPr>
      <w:r w:rsidRPr="009118AB">
        <w:tab/>
        <w:t>1. [</w:t>
      </w:r>
      <w:r w:rsidR="00410C8F" w:rsidRPr="009118AB">
        <w:t>Zinsen auf Schulden, die spezifisch für Erwerb oder Erhaltung unbeweglicher Güter gemacht wurden, deren Einkünfte nach Anwendung von Artikel 12 in den steuerpflichtigen Einkünften aus unbeweglichen Gütern enthalten sind,</w:t>
      </w:r>
      <w:r w:rsidR="00BB701B" w:rsidRPr="009118AB">
        <w:t xml:space="preserve"> [</w:t>
      </w:r>
      <w:r w:rsidR="00BB701B" w:rsidRPr="009118AB">
        <w:rPr>
          <w:lang w:eastAsia="fr-BE"/>
        </w:rPr>
        <w:t>- mit Ausnahme der Zinsen, für die ein Zinszuschuss beantragt worden ist wie in Artikel 8.2.3 des flämischen Energiedekrets vom 8. Mai 2009 und in den Artikeln 7.15.1 bis 7.15.5 des Erlasses der Flämischen Regierung vom 19. November 2010 "houdende algemene bepalingen over het energiebeleid" (allgemeine Bestimmungen zur Energiepolitik) vorgesehen</w:t>
      </w:r>
      <w:r w:rsidR="00FD68E8" w:rsidRPr="009118AB">
        <w:rPr>
          <w:lang w:eastAsia="fr-BE"/>
        </w:rPr>
        <w:t> -]</w:t>
      </w:r>
      <w:r w:rsidR="00410C8F" w:rsidRPr="009118AB">
        <w:t xml:space="preserve"> wobei Zinsen auf Schulden, die für ein einziges unbewegliches Gut gemacht wurden, vom Gesamtbetrag der Einkünfte aus unbeweglichen Gütern abgezogen werden können,</w:t>
      </w:r>
      <w:r w:rsidRPr="009118AB">
        <w:t>]</w:t>
      </w:r>
    </w:p>
    <w:p w14:paraId="2F9E8B20" w14:textId="77777777" w:rsidR="00477B8F" w:rsidRPr="009118AB" w:rsidRDefault="00477B8F" w:rsidP="00477B8F">
      <w:pPr>
        <w:autoSpaceDE w:val="0"/>
        <w:autoSpaceDN w:val="0"/>
        <w:adjustRightInd w:val="0"/>
        <w:jc w:val="both"/>
      </w:pPr>
    </w:p>
    <w:p w14:paraId="704C1986" w14:textId="0B7EC1A0" w:rsidR="00477B8F" w:rsidRPr="009118AB" w:rsidRDefault="00477B8F" w:rsidP="00477B8F">
      <w:pPr>
        <w:autoSpaceDE w:val="0"/>
        <w:autoSpaceDN w:val="0"/>
        <w:adjustRightInd w:val="0"/>
        <w:jc w:val="both"/>
      </w:pPr>
      <w:r w:rsidRPr="009118AB">
        <w:tab/>
        <w:t>2. Gebühren und Wert damit gleichgesetzter Lasten für den Erwerb eines Erbpachtrechts, Erbbaurechts oder gleichartiger Rechte an unbeweglichen Gütern</w:t>
      </w:r>
      <w:r w:rsidR="00410C8F" w:rsidRPr="009118AB">
        <w:t xml:space="preserve"> [in Bezug auf die in </w:t>
      </w:r>
      <w:r w:rsidR="00D67EB8" w:rsidRPr="009118AB">
        <w:t>Nr. </w:t>
      </w:r>
      <w:r w:rsidR="00410C8F" w:rsidRPr="009118AB">
        <w:t>1 erwähnten Güter]</w:t>
      </w:r>
      <w:r w:rsidRPr="009118AB">
        <w:t xml:space="preserve">, ausschließlich der in Artikel 10 </w:t>
      </w:r>
      <w:r w:rsidR="00D67EB8" w:rsidRPr="009118AB">
        <w:t>§ </w:t>
      </w:r>
      <w:r w:rsidRPr="009118AB">
        <w:t>2 erwähnten Nutzungsrechte</w:t>
      </w:r>
      <w:r w:rsidR="00BB701B" w:rsidRPr="009118AB">
        <w:t>,</w:t>
      </w:r>
    </w:p>
    <w:p w14:paraId="5F8E0D36" w14:textId="77777777" w:rsidR="00BB701B" w:rsidRPr="009118AB" w:rsidRDefault="00BB701B" w:rsidP="00477B8F">
      <w:pPr>
        <w:autoSpaceDE w:val="0"/>
        <w:autoSpaceDN w:val="0"/>
        <w:adjustRightInd w:val="0"/>
        <w:jc w:val="both"/>
      </w:pPr>
    </w:p>
    <w:p w14:paraId="27089786" w14:textId="7957B263" w:rsidR="00BB701B" w:rsidRPr="009118AB" w:rsidRDefault="00BB701B" w:rsidP="00477B8F">
      <w:pPr>
        <w:autoSpaceDE w:val="0"/>
        <w:autoSpaceDN w:val="0"/>
        <w:adjustRightInd w:val="0"/>
        <w:jc w:val="both"/>
      </w:pPr>
      <w:r w:rsidRPr="009118AB">
        <w:tab/>
        <w:t>[</w:t>
      </w:r>
      <w:r w:rsidRPr="009118AB">
        <w:rPr>
          <w:lang w:eastAsia="fr-BE"/>
        </w:rPr>
        <w:t>3. zurückgeforderte Zinszuschüsse wie in Artikel 7.15.5 des Erlasses der Flämischen Regierung vom 19. November 2010 "houdende algemene bepalingen over het energiebeleid" (allgemeine Bestimmungen zur Energiepolitik) vorgesehen.]</w:t>
      </w:r>
    </w:p>
    <w:p w14:paraId="327C0DC9" w14:textId="77777777" w:rsidR="00477B8F" w:rsidRPr="009118AB" w:rsidRDefault="00477B8F" w:rsidP="00477B8F">
      <w:pPr>
        <w:autoSpaceDE w:val="0"/>
        <w:autoSpaceDN w:val="0"/>
        <w:adjustRightInd w:val="0"/>
        <w:jc w:val="both"/>
      </w:pPr>
    </w:p>
    <w:p w14:paraId="5C29A545" w14:textId="47BB4136" w:rsidR="00A47B9D" w:rsidRPr="009118AB" w:rsidRDefault="00A47B9D" w:rsidP="00477B8F">
      <w:pPr>
        <w:autoSpaceDE w:val="0"/>
        <w:autoSpaceDN w:val="0"/>
        <w:adjustRightInd w:val="0"/>
        <w:jc w:val="both"/>
      </w:pPr>
      <w:r w:rsidRPr="009118AB">
        <w:lastRenderedPageBreak/>
        <w:tab/>
        <w:t xml:space="preserve">[Hat ein unbewegliches Gut, für das in Absatz 1 </w:t>
      </w:r>
      <w:r w:rsidR="00D67EB8" w:rsidRPr="009118AB">
        <w:t>Nr. </w:t>
      </w:r>
      <w:r w:rsidRPr="009118AB">
        <w:t xml:space="preserve">1 erwähnte Schulden gemacht wurden oder in Absatz 1 </w:t>
      </w:r>
      <w:r w:rsidR="00D67EB8" w:rsidRPr="009118AB">
        <w:t>Nr. </w:t>
      </w:r>
      <w:r w:rsidRPr="009118AB">
        <w:t>2 erwähnte Gebühren gezahlt wurden, nach Anwendung von Artikel 12 steuerpflichtige Einkünfte aus unbeweglichen Gütern nur während eines Teils des Besteuerungszeitraums erzeugt, sind in Absatz 1 erwähnte Zinsen und Gebühren nur abzugsfähig, wenn sie während des Teils des Besteuerungszeitraums gezahlt wurden, in dem das unbewegliche Gut steuerpflichtige Einkünfte aus unbeweglichen Gütern erzeugt hat.]</w:t>
      </w:r>
    </w:p>
    <w:p w14:paraId="44B62C52" w14:textId="77777777" w:rsidR="00A47B9D" w:rsidRPr="009118AB" w:rsidRDefault="00A47B9D" w:rsidP="00477B8F">
      <w:pPr>
        <w:autoSpaceDE w:val="0"/>
        <w:autoSpaceDN w:val="0"/>
        <w:adjustRightInd w:val="0"/>
        <w:jc w:val="both"/>
      </w:pPr>
    </w:p>
    <w:p w14:paraId="1BCF20FB" w14:textId="77777777" w:rsidR="00477B8F" w:rsidRPr="009118AB" w:rsidRDefault="00477B8F" w:rsidP="00477B8F">
      <w:pPr>
        <w:autoSpaceDE w:val="0"/>
        <w:autoSpaceDN w:val="0"/>
        <w:adjustRightInd w:val="0"/>
        <w:jc w:val="both"/>
      </w:pPr>
      <w:r w:rsidRPr="009118AB">
        <w:tab/>
        <w:t>[Der Gesamtbetrag der in Absatz 1 erwähnten Abzüge ist auf die gemäß den Artikeln 7 bis 13 bestimmten Einkünfte aus unbeweglichen Gütern begrenzt.]</w:t>
      </w:r>
    </w:p>
    <w:p w14:paraId="7430F2D4" w14:textId="77777777" w:rsidR="00477B8F" w:rsidRPr="009118AB" w:rsidRDefault="00477B8F" w:rsidP="00477B8F">
      <w:pPr>
        <w:autoSpaceDE w:val="0"/>
        <w:autoSpaceDN w:val="0"/>
        <w:adjustRightInd w:val="0"/>
        <w:jc w:val="both"/>
      </w:pPr>
    </w:p>
    <w:p w14:paraId="0AFF4579" w14:textId="26CCB13B" w:rsidR="00370549" w:rsidRPr="009118AB" w:rsidRDefault="00477B8F" w:rsidP="00370549">
      <w:pPr>
        <w:autoSpaceDE w:val="0"/>
        <w:autoSpaceDN w:val="0"/>
        <w:adjustRightInd w:val="0"/>
        <w:jc w:val="both"/>
      </w:pPr>
      <w:r w:rsidRPr="009118AB">
        <w:tab/>
        <w:t>[Diese Abzüge werden proportional auf Einkünfte aus unbeweglichen Gütern angerechnet.]]</w:t>
      </w:r>
    </w:p>
    <w:p w14:paraId="7E18ECA6" w14:textId="346365B8" w:rsidR="009A31EB" w:rsidRPr="009118AB" w:rsidRDefault="009A31EB"/>
    <w:p w14:paraId="1D3B9744" w14:textId="77777777" w:rsidR="00477B8F" w:rsidRPr="009118AB" w:rsidRDefault="00477B8F" w:rsidP="00370549">
      <w:pPr>
        <w:autoSpaceDE w:val="0"/>
        <w:autoSpaceDN w:val="0"/>
        <w:adjustRightInd w:val="0"/>
        <w:jc w:val="both"/>
      </w:pPr>
      <w:r w:rsidRPr="009118AB">
        <w:tab/>
        <w:t>[Wird eine gemeinsame Veranlagung festgelegt und übersteigen die in Absatz 1 erwähnten Abzüge eines Steuerpflichtigen seine Einkünfte aus unbeweglichen Gütern, wird der Restbetrag auf die Einkünfte aus unbeweglichen Gütern des anderen Steuerpflichtigen angerechnet.]</w:t>
      </w:r>
    </w:p>
    <w:p w14:paraId="1226C207" w14:textId="77777777" w:rsidR="00477B8F" w:rsidRPr="009118AB" w:rsidRDefault="00477B8F" w:rsidP="00370549">
      <w:pPr>
        <w:autoSpaceDE w:val="0"/>
        <w:autoSpaceDN w:val="0"/>
        <w:adjustRightInd w:val="0"/>
        <w:jc w:val="both"/>
      </w:pPr>
    </w:p>
    <w:p w14:paraId="73EE5477" w14:textId="1567BF7B" w:rsidR="00477B8F" w:rsidRPr="009118AB" w:rsidRDefault="00477B8F" w:rsidP="00370549">
      <w:pPr>
        <w:autoSpaceDE w:val="0"/>
        <w:autoSpaceDN w:val="0"/>
        <w:adjustRightInd w:val="0"/>
        <w:jc w:val="both"/>
        <w:rPr>
          <w:spacing w:val="2"/>
        </w:rPr>
      </w:pPr>
      <w:r w:rsidRPr="009118AB">
        <w:rPr>
          <w:i/>
          <w:iCs/>
        </w:rPr>
        <w:t>[</w:t>
      </w:r>
      <w:r w:rsidR="00D67EB8" w:rsidRPr="009118AB">
        <w:rPr>
          <w:i/>
          <w:iCs/>
        </w:rPr>
        <w:t>Art. </w:t>
      </w:r>
      <w:r w:rsidRPr="009118AB">
        <w:rPr>
          <w:i/>
          <w:iCs/>
        </w:rPr>
        <w:t xml:space="preserve">14 ersetzt durch </w:t>
      </w:r>
      <w:r w:rsidR="00D67EB8" w:rsidRPr="009118AB">
        <w:rPr>
          <w:i/>
          <w:iCs/>
        </w:rPr>
        <w:t>Art. </w:t>
      </w:r>
      <w:r w:rsidRPr="009118AB">
        <w:rPr>
          <w:i/>
          <w:iCs/>
        </w:rPr>
        <w:t>4 des G. vom 6. Juli 1994 (B.S. vom 16. Juli 1994)</w:t>
      </w:r>
      <w:r w:rsidR="00D67EB8" w:rsidRPr="009118AB">
        <w:rPr>
          <w:i/>
          <w:iCs/>
        </w:rPr>
        <w:t> - </w:t>
      </w:r>
      <w:r w:rsidRPr="009118AB">
        <w:rPr>
          <w:i/>
          <w:iCs/>
        </w:rPr>
        <w:t>anwendbar ab dem Steuerjahr 1995</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1 ersetzt durch </w:t>
      </w:r>
      <w:r w:rsidR="00D67EB8" w:rsidRPr="009118AB">
        <w:rPr>
          <w:i/>
          <w:iCs/>
        </w:rPr>
        <w:t>Art. </w:t>
      </w:r>
      <w:r w:rsidR="00A47B9D" w:rsidRPr="009118AB">
        <w:rPr>
          <w:i/>
          <w:iCs/>
        </w:rPr>
        <w:t>12</w:t>
      </w:r>
      <w:r w:rsidR="00A47B9D" w:rsidRPr="009118AB">
        <w:rPr>
          <w:i/>
        </w:rPr>
        <w:t xml:space="preserve"> </w:t>
      </w:r>
      <w:r w:rsidR="00D67EB8" w:rsidRPr="009118AB">
        <w:rPr>
          <w:i/>
        </w:rPr>
        <w:t>Nr. </w:t>
      </w:r>
      <w:r w:rsidR="00A47B9D" w:rsidRPr="009118AB">
        <w:rPr>
          <w:i/>
        </w:rPr>
        <w:t>1 des G. vom 8. Mai 2014 (B.S. vom 28. Mai 2014)</w:t>
      </w:r>
      <w:r w:rsidR="00D67EB8" w:rsidRPr="009118AB">
        <w:rPr>
          <w:i/>
        </w:rPr>
        <w:t> - </w:t>
      </w:r>
      <w:r w:rsidR="00A47B9D" w:rsidRPr="009118AB">
        <w:rPr>
          <w:i/>
          <w:iCs/>
        </w:rPr>
        <w:t>anwendbar ab dem Steuerjahr 2015</w:t>
      </w:r>
      <w:r w:rsidR="00D67EB8" w:rsidRPr="009118AB">
        <w:rPr>
          <w:i/>
          <w:iCs/>
        </w:rPr>
        <w:t> - </w:t>
      </w:r>
      <w:r w:rsidR="00BB701B" w:rsidRPr="009118AB">
        <w:rPr>
          <w:i/>
          <w:iCs/>
        </w:rPr>
        <w:t xml:space="preserve">und abgeändert durch </w:t>
      </w:r>
      <w:r w:rsidR="00D67EB8" w:rsidRPr="009118AB">
        <w:rPr>
          <w:i/>
          <w:iCs/>
        </w:rPr>
        <w:t>Art. </w:t>
      </w:r>
      <w:r w:rsidR="00BB701B" w:rsidRPr="009118AB">
        <w:rPr>
          <w:i/>
          <w:iCs/>
        </w:rPr>
        <w:t>25 Buchstabe a) des G. vom 21. Januar 2022 (B.S. vom 28. Januar 2022)</w:t>
      </w:r>
      <w:r w:rsidR="00D67EB8" w:rsidRPr="009118AB">
        <w:rPr>
          <w:i/>
          <w:iCs/>
        </w:rPr>
        <w:t> - </w:t>
      </w:r>
      <w:r w:rsidR="00BB701B" w:rsidRPr="009118AB">
        <w:rPr>
          <w:i/>
          <w:iCs/>
        </w:rPr>
        <w:t>wirksam mit 1. Januar 2021</w:t>
      </w:r>
      <w:r w:rsidR="003366D9" w:rsidRPr="009118AB">
        <w:rPr>
          <w:i/>
          <w:iCs/>
        </w:rPr>
        <w:t> -;</w:t>
      </w:r>
      <w:r w:rsidRPr="009118AB">
        <w:rPr>
          <w:i/>
          <w:iCs/>
        </w:rPr>
        <w:t xml:space="preserve"> </w:t>
      </w:r>
      <w:r w:rsidR="00D67EB8" w:rsidRPr="009118AB">
        <w:rPr>
          <w:i/>
          <w:iCs/>
        </w:rPr>
        <w:t>Abs. </w:t>
      </w:r>
      <w:r w:rsidR="00A47B9D" w:rsidRPr="009118AB">
        <w:rPr>
          <w:i/>
          <w:iCs/>
        </w:rPr>
        <w:t xml:space="preserve">1 </w:t>
      </w:r>
      <w:r w:rsidR="00D67EB8" w:rsidRPr="009118AB">
        <w:rPr>
          <w:i/>
          <w:iCs/>
        </w:rPr>
        <w:t>Nr. </w:t>
      </w:r>
      <w:r w:rsidR="00A47B9D" w:rsidRPr="009118AB">
        <w:rPr>
          <w:i/>
          <w:iCs/>
        </w:rPr>
        <w:t xml:space="preserve">2 abgeändert durch </w:t>
      </w:r>
      <w:r w:rsidR="00D67EB8" w:rsidRPr="009118AB">
        <w:rPr>
          <w:i/>
          <w:iCs/>
        </w:rPr>
        <w:t>Art. </w:t>
      </w:r>
      <w:r w:rsidR="00A47B9D" w:rsidRPr="009118AB">
        <w:rPr>
          <w:i/>
          <w:iCs/>
        </w:rPr>
        <w:t xml:space="preserve">12 </w:t>
      </w:r>
      <w:r w:rsidR="00D67EB8" w:rsidRPr="009118AB">
        <w:rPr>
          <w:i/>
          <w:iCs/>
        </w:rPr>
        <w:t>Nr. </w:t>
      </w:r>
      <w:r w:rsidR="00A47B9D" w:rsidRPr="009118AB">
        <w:rPr>
          <w:i/>
          <w:iCs/>
        </w:rPr>
        <w:t>2</w:t>
      </w:r>
      <w:r w:rsidR="00A47B9D" w:rsidRPr="009118AB">
        <w:rPr>
          <w:i/>
        </w:rPr>
        <w:t xml:space="preserve"> des G. vom 8. Mai 2014 (B.S. vom 28. Mai 2014)</w:t>
      </w:r>
      <w:r w:rsidR="00D67EB8" w:rsidRPr="009118AB">
        <w:rPr>
          <w:i/>
        </w:rPr>
        <w:t> - </w:t>
      </w:r>
      <w:r w:rsidR="00A47B9D" w:rsidRPr="009118AB">
        <w:rPr>
          <w:i/>
          <w:iCs/>
        </w:rPr>
        <w:t>anwendbar ab dem Steuerjahr 2015</w:t>
      </w:r>
      <w:r w:rsidR="003366D9" w:rsidRPr="009118AB">
        <w:rPr>
          <w:i/>
          <w:iCs/>
        </w:rPr>
        <w:t> -;</w:t>
      </w:r>
      <w:r w:rsidR="00A47B9D" w:rsidRPr="009118AB">
        <w:rPr>
          <w:i/>
          <w:iCs/>
        </w:rPr>
        <w:t xml:space="preserve"> </w:t>
      </w:r>
      <w:r w:rsidR="00D67EB8" w:rsidRPr="009118AB">
        <w:rPr>
          <w:i/>
          <w:iCs/>
        </w:rPr>
        <w:t>Abs. </w:t>
      </w:r>
      <w:r w:rsidR="00BB701B" w:rsidRPr="009118AB">
        <w:rPr>
          <w:i/>
          <w:iCs/>
        </w:rPr>
        <w:t xml:space="preserve">1 </w:t>
      </w:r>
      <w:r w:rsidR="00D67EB8" w:rsidRPr="009118AB">
        <w:rPr>
          <w:i/>
          <w:iCs/>
        </w:rPr>
        <w:t>Nr. </w:t>
      </w:r>
      <w:r w:rsidR="00BB701B" w:rsidRPr="009118AB">
        <w:rPr>
          <w:i/>
          <w:iCs/>
        </w:rPr>
        <w:t xml:space="preserve">3 eingefügt durch </w:t>
      </w:r>
      <w:r w:rsidR="00D67EB8" w:rsidRPr="009118AB">
        <w:rPr>
          <w:i/>
          <w:iCs/>
        </w:rPr>
        <w:t>Art. </w:t>
      </w:r>
      <w:r w:rsidR="00BB701B" w:rsidRPr="009118AB">
        <w:rPr>
          <w:i/>
          <w:iCs/>
        </w:rPr>
        <w:t>25 Buchstabe b) des G. vom 21. Januar 2022 (B.S. vom 28. Januar 2022)</w:t>
      </w:r>
      <w:r w:rsidR="00D67EB8" w:rsidRPr="009118AB">
        <w:rPr>
          <w:i/>
          <w:iCs/>
        </w:rPr>
        <w:t> - </w:t>
      </w:r>
      <w:r w:rsidR="00BB701B" w:rsidRPr="009118AB">
        <w:rPr>
          <w:i/>
          <w:iCs/>
        </w:rPr>
        <w:t>wirksam mit 1. Januar 2021</w:t>
      </w:r>
      <w:r w:rsidR="003366D9" w:rsidRPr="009118AB">
        <w:rPr>
          <w:i/>
          <w:iCs/>
        </w:rPr>
        <w:t> -;</w:t>
      </w:r>
      <w:r w:rsidR="00BB701B" w:rsidRPr="009118AB">
        <w:rPr>
          <w:i/>
          <w:iCs/>
        </w:rPr>
        <w:t xml:space="preserve"> </w:t>
      </w:r>
      <w:r w:rsidR="00A47B9D" w:rsidRPr="009118AB">
        <w:rPr>
          <w:i/>
          <w:iCs/>
        </w:rPr>
        <w:t xml:space="preserve">neuer Absatz 2 eingefügt durch </w:t>
      </w:r>
      <w:r w:rsidR="00D67EB8" w:rsidRPr="009118AB">
        <w:rPr>
          <w:i/>
          <w:iCs/>
        </w:rPr>
        <w:t>Art. </w:t>
      </w:r>
      <w:r w:rsidR="00A47B9D" w:rsidRPr="009118AB">
        <w:rPr>
          <w:i/>
          <w:iCs/>
        </w:rPr>
        <w:t xml:space="preserve">12 </w:t>
      </w:r>
      <w:r w:rsidR="00D67EB8" w:rsidRPr="009118AB">
        <w:rPr>
          <w:i/>
          <w:iCs/>
        </w:rPr>
        <w:t>Nr. </w:t>
      </w:r>
      <w:r w:rsidR="00A47B9D" w:rsidRPr="009118AB">
        <w:rPr>
          <w:i/>
          <w:iCs/>
        </w:rPr>
        <w:t>3</w:t>
      </w:r>
      <w:r w:rsidR="00A47B9D" w:rsidRPr="009118AB">
        <w:rPr>
          <w:i/>
        </w:rPr>
        <w:t xml:space="preserve"> des G. vom 8. Mai 2014 (B.S. vom 28. Mai 2014)</w:t>
      </w:r>
      <w:r w:rsidR="00D67EB8" w:rsidRPr="009118AB">
        <w:rPr>
          <w:i/>
        </w:rPr>
        <w:t> - </w:t>
      </w:r>
      <w:r w:rsidR="00A47B9D" w:rsidRPr="009118AB">
        <w:rPr>
          <w:i/>
          <w:iCs/>
        </w:rPr>
        <w:t>anwendbar ab dem Steuerjahr 2015</w:t>
      </w:r>
      <w:r w:rsidR="003366D9" w:rsidRPr="009118AB">
        <w:rPr>
          <w:i/>
          <w:iCs/>
        </w:rPr>
        <w:t> -;</w:t>
      </w:r>
      <w:r w:rsidR="00A47B9D" w:rsidRPr="009118AB">
        <w:rPr>
          <w:i/>
          <w:iCs/>
        </w:rPr>
        <w:t xml:space="preserve"> </w:t>
      </w:r>
      <w:r w:rsidR="00D67EB8" w:rsidRPr="009118AB">
        <w:rPr>
          <w:i/>
          <w:iCs/>
        </w:rPr>
        <w:t>Abs. </w:t>
      </w:r>
      <w:r w:rsidR="00A47B9D" w:rsidRPr="009118AB">
        <w:rPr>
          <w:i/>
          <w:iCs/>
        </w:rPr>
        <w:t>3 (früherer Absatz </w:t>
      </w:r>
      <w:r w:rsidRPr="009118AB">
        <w:rPr>
          <w:i/>
          <w:iCs/>
        </w:rPr>
        <w:t>2</w:t>
      </w:r>
      <w:r w:rsidR="00A47B9D" w:rsidRPr="009118AB">
        <w:rPr>
          <w:i/>
          <w:iCs/>
        </w:rPr>
        <w:t>)</w:t>
      </w:r>
      <w:r w:rsidRPr="009118AB">
        <w:rPr>
          <w:i/>
          <w:iCs/>
        </w:rPr>
        <w:t xml:space="preserve"> ersetzt durch </w:t>
      </w:r>
      <w:r w:rsidR="00D67EB8" w:rsidRPr="009118AB">
        <w:rPr>
          <w:i/>
          <w:iCs/>
        </w:rPr>
        <w:t>Art. </w:t>
      </w:r>
      <w:r w:rsidRPr="009118AB">
        <w:rPr>
          <w:i/>
          <w:iCs/>
        </w:rPr>
        <w:t xml:space="preserve">388 </w:t>
      </w:r>
      <w:r w:rsidR="00D67EB8" w:rsidRPr="009118AB">
        <w:rPr>
          <w:i/>
          <w:iCs/>
        </w:rPr>
        <w:t>Nr. </w:t>
      </w:r>
      <w:r w:rsidRPr="009118AB">
        <w:rPr>
          <w:i/>
          <w:iCs/>
        </w:rPr>
        <w:t xml:space="preserve">2 des G. vom 27. Dezember 2004 (B.S. vom </w:t>
      </w:r>
      <w:r w:rsidRPr="009118AB">
        <w:rPr>
          <w:rFonts w:ascii="Times New Roman Italique" w:hAnsi="Times New Roman Italique"/>
          <w:i/>
          <w:iCs/>
          <w:spacing w:val="-2"/>
        </w:rPr>
        <w:t>31. Dezember 2004)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2006</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A47B9D" w:rsidRPr="009118AB">
        <w:rPr>
          <w:rFonts w:ascii="Times New Roman Italique" w:hAnsi="Times New Roman Italique"/>
          <w:i/>
          <w:iCs/>
          <w:spacing w:val="-2"/>
        </w:rPr>
        <w:t>4</w:t>
      </w:r>
      <w:r w:rsidRPr="009118AB">
        <w:rPr>
          <w:rFonts w:ascii="Times New Roman Italique" w:hAnsi="Times New Roman Italique"/>
          <w:i/>
          <w:iCs/>
          <w:spacing w:val="-2"/>
        </w:rPr>
        <w:t xml:space="preserve">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388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3 des G. vom 27. Dezember 2004 </w:t>
      </w:r>
      <w:r w:rsidRPr="009118AB">
        <w:rPr>
          <w:rFonts w:ascii="Times New Roman Italique" w:hAnsi="Times New Roman Italique"/>
          <w:i/>
          <w:iCs/>
          <w:spacing w:val="2"/>
        </w:rPr>
        <w:t>(B.S. vom 31. Dezember 2004)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2006</w:t>
      </w:r>
      <w:r w:rsidR="003366D9" w:rsidRPr="009118AB">
        <w:rPr>
          <w:rFonts w:ascii="Times New Roman Italique" w:hAnsi="Times New Roman Italique"/>
          <w:i/>
          <w:iCs/>
          <w:spacing w:val="2"/>
        </w:rPr>
        <w:t> -;</w:t>
      </w:r>
      <w:r w:rsidRPr="009118AB">
        <w:rPr>
          <w:i/>
          <w:iCs/>
          <w:spacing w:val="2"/>
        </w:rPr>
        <w:t xml:space="preserve"> </w:t>
      </w:r>
      <w:r w:rsidR="00D67EB8" w:rsidRPr="009118AB">
        <w:rPr>
          <w:i/>
          <w:iCs/>
          <w:spacing w:val="2"/>
        </w:rPr>
        <w:t>Abs. </w:t>
      </w:r>
      <w:r w:rsidR="00A47B9D" w:rsidRPr="009118AB">
        <w:rPr>
          <w:i/>
          <w:iCs/>
          <w:spacing w:val="2"/>
        </w:rPr>
        <w:t>5</w:t>
      </w:r>
      <w:r w:rsidRPr="009118AB">
        <w:rPr>
          <w:i/>
          <w:iCs/>
          <w:spacing w:val="2"/>
        </w:rPr>
        <w:t xml:space="preserve"> eingefügt durch </w:t>
      </w:r>
      <w:r w:rsidR="00D67EB8" w:rsidRPr="009118AB">
        <w:rPr>
          <w:i/>
          <w:iCs/>
          <w:spacing w:val="2"/>
        </w:rPr>
        <w:t>Art. </w:t>
      </w:r>
      <w:r w:rsidRPr="009118AB">
        <w:rPr>
          <w:i/>
          <w:iCs/>
          <w:spacing w:val="2"/>
        </w:rPr>
        <w:t>4 des G. vom 10. August 2001 (B.S. vom 20. September 2001)</w:t>
      </w:r>
      <w:r w:rsidR="00D67EB8" w:rsidRPr="009118AB">
        <w:rPr>
          <w:i/>
          <w:iCs/>
          <w:spacing w:val="2"/>
        </w:rPr>
        <w:t> - </w:t>
      </w:r>
      <w:r w:rsidRPr="009118AB">
        <w:rPr>
          <w:i/>
          <w:iCs/>
          <w:spacing w:val="2"/>
        </w:rPr>
        <w:t>in Kraft ab dem Steuerjahr</w:t>
      </w:r>
      <w:r w:rsidR="009A31EB" w:rsidRPr="009118AB">
        <w:rPr>
          <w:i/>
          <w:iCs/>
          <w:spacing w:val="2"/>
        </w:rPr>
        <w:t> </w:t>
      </w:r>
      <w:r w:rsidRPr="009118AB">
        <w:rPr>
          <w:i/>
          <w:iCs/>
          <w:spacing w:val="2"/>
        </w:rPr>
        <w:t>2005</w:t>
      </w:r>
      <w:r w:rsidR="00FD68E8" w:rsidRPr="009118AB">
        <w:rPr>
          <w:i/>
          <w:iCs/>
          <w:spacing w:val="2"/>
        </w:rPr>
        <w:t> -]</w:t>
      </w:r>
      <w:r w:rsidRPr="009118AB">
        <w:rPr>
          <w:i/>
          <w:iCs/>
          <w:spacing w:val="2"/>
        </w:rPr>
        <w:t xml:space="preserve"> </w:t>
      </w:r>
    </w:p>
    <w:p w14:paraId="192B55D7" w14:textId="77777777" w:rsidR="00477B8F" w:rsidRPr="009118AB" w:rsidRDefault="00477B8F" w:rsidP="00477B8F">
      <w:pPr>
        <w:autoSpaceDE w:val="0"/>
        <w:autoSpaceDN w:val="0"/>
        <w:adjustRightInd w:val="0"/>
        <w:jc w:val="both"/>
      </w:pPr>
    </w:p>
    <w:p w14:paraId="2E88CF48" w14:textId="77777777" w:rsidR="00477B8F" w:rsidRPr="009118AB" w:rsidRDefault="00477B8F" w:rsidP="00477B8F">
      <w:pPr>
        <w:autoSpaceDE w:val="0"/>
        <w:autoSpaceDN w:val="0"/>
        <w:adjustRightInd w:val="0"/>
        <w:jc w:val="both"/>
      </w:pPr>
    </w:p>
    <w:p w14:paraId="163995B0" w14:textId="77777777" w:rsidR="00E352E1" w:rsidRPr="00C9746D" w:rsidRDefault="00E352E1" w:rsidP="00E352E1">
      <w:pPr>
        <w:ind w:firstLine="708"/>
        <w:jc w:val="both"/>
      </w:pPr>
      <w:r w:rsidRPr="00C9746D">
        <w:rPr>
          <w:b/>
          <w:bCs/>
        </w:rPr>
        <w:t>Art. 15</w:t>
      </w:r>
      <w:r w:rsidRPr="00C9746D">
        <w:t> - § 1 - Das Katastereinkommen wird proportional zu Dauer und Ausmaß der Ertraglosigkeit, des fehlenden Genusses des Einkommens oder des Einkommensausfalls verringert:</w:t>
      </w:r>
    </w:p>
    <w:p w14:paraId="3A303324" w14:textId="77777777" w:rsidR="00E352E1" w:rsidRPr="00C9746D" w:rsidRDefault="00E352E1" w:rsidP="00E352E1">
      <w:pPr>
        <w:jc w:val="both"/>
      </w:pPr>
    </w:p>
    <w:p w14:paraId="6626BA60" w14:textId="77777777" w:rsidR="00E352E1" w:rsidRPr="00C9746D" w:rsidRDefault="00E352E1" w:rsidP="00E352E1">
      <w:pPr>
        <w:ind w:firstLine="708"/>
        <w:jc w:val="both"/>
      </w:pPr>
      <w:r w:rsidRPr="00C9746D">
        <w:t>1. wenn ein nicht möbliertes bebautes unbewegliches Gut während mindestens neunzig Tagen des Jahres vollkommen ungenutzt und ertraglos war,</w:t>
      </w:r>
    </w:p>
    <w:p w14:paraId="76C8EDF5" w14:textId="77777777" w:rsidR="00E352E1" w:rsidRPr="00C9746D" w:rsidRDefault="00E352E1" w:rsidP="00E352E1">
      <w:pPr>
        <w:jc w:val="both"/>
      </w:pPr>
    </w:p>
    <w:p w14:paraId="155DBE3A" w14:textId="77777777" w:rsidR="00E352E1" w:rsidRPr="00C9746D" w:rsidRDefault="00E352E1" w:rsidP="00E352E1">
      <w:pPr>
        <w:ind w:firstLine="708"/>
        <w:jc w:val="both"/>
      </w:pPr>
      <w:r w:rsidRPr="00C9746D">
        <w:t>2. wenn Material und Ausrüstung oder ein Teil davon, der mindestens 25 Prozent ihres Katastereinkommens darstellt, während mindestens neunzig Tagen des Jahres inaktiv geblieben sind,</w:t>
      </w:r>
    </w:p>
    <w:p w14:paraId="4857720A" w14:textId="77777777" w:rsidR="00E352E1" w:rsidRPr="00C9746D" w:rsidRDefault="00E352E1" w:rsidP="00E352E1">
      <w:pPr>
        <w:jc w:val="both"/>
      </w:pPr>
    </w:p>
    <w:p w14:paraId="5DBEC199" w14:textId="77777777" w:rsidR="00E352E1" w:rsidRPr="00C9746D" w:rsidRDefault="00E352E1" w:rsidP="00E352E1">
      <w:pPr>
        <w:ind w:firstLine="708"/>
        <w:jc w:val="both"/>
      </w:pPr>
      <w:r w:rsidRPr="00C9746D">
        <w:t>3. wenn ein unbewegliches Gut oder Material und Ausrüstung oder ein Teil davon, der mindestens 25 Prozent ihres Katastereinkommens darstellt, zerstört wurden.</w:t>
      </w:r>
    </w:p>
    <w:p w14:paraId="7A15EDDC" w14:textId="77777777" w:rsidR="00E352E1" w:rsidRPr="00C9746D" w:rsidRDefault="00E352E1" w:rsidP="00E352E1">
      <w:pPr>
        <w:jc w:val="both"/>
      </w:pPr>
    </w:p>
    <w:p w14:paraId="3653049D" w14:textId="77777777" w:rsidR="00E352E1" w:rsidRDefault="00E352E1" w:rsidP="00E352E1">
      <w:pPr>
        <w:ind w:firstLine="708"/>
        <w:jc w:val="both"/>
      </w:pPr>
      <w:r w:rsidRPr="00C9746D">
        <w:t xml:space="preserve">§ 2 ­ Die Bedingungen für die Verringerung müssen pro Katasterparzelle oder pro Teil einer Katasterparzelle beurteilt werden, wenn ein solcher Teil entweder eine getrennte </w:t>
      </w:r>
      <w:r w:rsidRPr="00C9746D">
        <w:lastRenderedPageBreak/>
        <w:t>Wohnung oder eine Produktions- oder Betriebsabteilung beziehungsweise -unterabteilung bildet, die getrennt funktionieren oder als getrennt funktionierend betrachtet werden kann, oder aber eine Einheit, die von den anderen Gütern oder Teilen, die die Parzelle bilden, getrennt werden kann und getrennt im Kataster eingetragen werden kann.</w:t>
      </w:r>
    </w:p>
    <w:p w14:paraId="29E4BFE5" w14:textId="77777777" w:rsidR="00E352E1" w:rsidRDefault="00E352E1" w:rsidP="00E352E1">
      <w:pPr>
        <w:jc w:val="both"/>
      </w:pPr>
    </w:p>
    <w:p w14:paraId="47A28B42" w14:textId="77777777" w:rsidR="00E352E1" w:rsidRPr="00E6321F" w:rsidRDefault="00E352E1" w:rsidP="00E352E1">
      <w:pPr>
        <w:autoSpaceDE w:val="0"/>
        <w:autoSpaceDN w:val="0"/>
        <w:adjustRightInd w:val="0"/>
        <w:jc w:val="both"/>
      </w:pPr>
      <w:r w:rsidRPr="00E6321F">
        <w:tab/>
        <w:t>[Für im Ausland gelegene unbewegliche Güter entspricht die Katasterparzelle dem unbeweglichen Gut oder der Gruppe von unbeweglichen Gütern, für die ein Kataster</w:t>
      </w:r>
      <w:r w:rsidRPr="00E6321F">
        <w:softHyphen/>
        <w:t>einkommen gemäß Artikel 472 § 3 festgelegt wird.]</w:t>
      </w:r>
    </w:p>
    <w:p w14:paraId="7402D089" w14:textId="77777777" w:rsidR="00E352E1" w:rsidRPr="009118AB" w:rsidRDefault="00E352E1" w:rsidP="00477B8F">
      <w:pPr>
        <w:autoSpaceDE w:val="0"/>
        <w:autoSpaceDN w:val="0"/>
        <w:adjustRightInd w:val="0"/>
        <w:jc w:val="both"/>
      </w:pPr>
    </w:p>
    <w:p w14:paraId="6072076D" w14:textId="21899ABF" w:rsidR="00477B8F" w:rsidRPr="00DD5892" w:rsidRDefault="00477B8F" w:rsidP="00477B8F">
      <w:pPr>
        <w:autoSpaceDE w:val="0"/>
        <w:autoSpaceDN w:val="0"/>
        <w:adjustRightInd w:val="0"/>
        <w:jc w:val="both"/>
        <w:rPr>
          <w:i/>
          <w:iCs/>
        </w:rPr>
      </w:pPr>
      <w:r w:rsidRPr="00E352E1">
        <w:rPr>
          <w:i/>
          <w:iCs/>
        </w:rPr>
        <w:t>[</w:t>
      </w:r>
      <w:r w:rsidR="00D67EB8" w:rsidRPr="00E352E1">
        <w:rPr>
          <w:i/>
          <w:iCs/>
        </w:rPr>
        <w:t>Art. </w:t>
      </w:r>
      <w:r w:rsidRPr="00E352E1">
        <w:rPr>
          <w:i/>
          <w:iCs/>
        </w:rPr>
        <w:t xml:space="preserve">15 ersetzt durch </w:t>
      </w:r>
      <w:r w:rsidR="00D67EB8" w:rsidRPr="00E352E1">
        <w:rPr>
          <w:i/>
          <w:iCs/>
        </w:rPr>
        <w:t>Art. </w:t>
      </w:r>
      <w:r w:rsidRPr="00E352E1">
        <w:rPr>
          <w:i/>
          <w:iCs/>
        </w:rPr>
        <w:t xml:space="preserve">1 des G. vom 12. April 1995 </w:t>
      </w:r>
      <w:r w:rsidR="005E3D7F" w:rsidRPr="00E352E1">
        <w:rPr>
          <w:i/>
          <w:iCs/>
        </w:rPr>
        <w:t>(B.S. vom 26. September 1995)</w:t>
      </w:r>
      <w:r w:rsidR="00D67EB8" w:rsidRPr="00E352E1">
        <w:rPr>
          <w:i/>
          <w:iCs/>
        </w:rPr>
        <w:t> - </w:t>
      </w:r>
      <w:r w:rsidRPr="00E352E1">
        <w:rPr>
          <w:i/>
          <w:iCs/>
        </w:rPr>
        <w:t>anw</w:t>
      </w:r>
      <w:r w:rsidR="006A72C8" w:rsidRPr="00E352E1">
        <w:rPr>
          <w:i/>
          <w:iCs/>
        </w:rPr>
        <w:t>endbar ab dem Steuerjahr 1996</w:t>
      </w:r>
      <w:r w:rsidR="003366D9" w:rsidRPr="00E352E1">
        <w:rPr>
          <w:i/>
          <w:iCs/>
        </w:rPr>
        <w:t> -</w:t>
      </w:r>
      <w:r w:rsidR="00E352E1" w:rsidRPr="00E352E1">
        <w:rPr>
          <w:i/>
          <w:iCs/>
        </w:rPr>
        <w:t>, selbst für nichtig erklärt durch Entscheid Nr. 74/96 des Schiedshofs vom 11. </w:t>
      </w:r>
      <w:r w:rsidR="00E352E1" w:rsidRPr="00DD5892">
        <w:rPr>
          <w:i/>
          <w:iCs/>
        </w:rPr>
        <w:t>Dezember 1996 (B.S. vom 9. Januar 1997)</w:t>
      </w:r>
      <w:r w:rsidR="003366D9" w:rsidRPr="00E352E1">
        <w:rPr>
          <w:i/>
          <w:iCs/>
        </w:rPr>
        <w:t>;</w:t>
      </w:r>
      <w:r w:rsidR="00A1126B" w:rsidRPr="00E352E1">
        <w:rPr>
          <w:i/>
          <w:iCs/>
        </w:rPr>
        <w:t xml:space="preserve"> </w:t>
      </w:r>
      <w:r w:rsidR="00D67EB8" w:rsidRPr="00E352E1">
        <w:rPr>
          <w:i/>
          <w:iCs/>
        </w:rPr>
        <w:t>§ </w:t>
      </w:r>
      <w:r w:rsidR="00A1126B" w:rsidRPr="00E352E1">
        <w:rPr>
          <w:i/>
          <w:iCs/>
        </w:rPr>
        <w:t>2</w:t>
      </w:r>
      <w:r w:rsidR="00A1126B" w:rsidRPr="009118AB">
        <w:rPr>
          <w:i/>
          <w:iCs/>
        </w:rPr>
        <w:t xml:space="preserve"> </w:t>
      </w:r>
      <w:r w:rsidR="00D67EB8" w:rsidRPr="009118AB">
        <w:rPr>
          <w:i/>
          <w:iCs/>
        </w:rPr>
        <w:t>Abs. </w:t>
      </w:r>
      <w:r w:rsidR="00A1126B" w:rsidRPr="009118AB">
        <w:rPr>
          <w:i/>
          <w:iCs/>
        </w:rPr>
        <w:t xml:space="preserve">2 eingefügt durch </w:t>
      </w:r>
      <w:r w:rsidR="00D67EB8" w:rsidRPr="009118AB">
        <w:rPr>
          <w:i/>
          <w:iCs/>
        </w:rPr>
        <w:t>Art. </w:t>
      </w:r>
      <w:r w:rsidR="00A1126B" w:rsidRPr="009118AB">
        <w:rPr>
          <w:i/>
          <w:iCs/>
        </w:rPr>
        <w:t>6 des G. vom 17. Februar 2021</w:t>
      </w:r>
      <w:r w:rsidR="007A716D" w:rsidRPr="009118AB">
        <w:rPr>
          <w:i/>
          <w:iCs/>
        </w:rPr>
        <w:t> (II)</w:t>
      </w:r>
      <w:r w:rsidR="00A1126B" w:rsidRPr="009118AB">
        <w:rPr>
          <w:i/>
          <w:iCs/>
        </w:rPr>
        <w:t xml:space="preserve"> (B.S. vom 25. Februar 2021)</w:t>
      </w:r>
      <w:r w:rsidR="00D67EB8" w:rsidRPr="009118AB">
        <w:rPr>
          <w:i/>
          <w:iCs/>
        </w:rPr>
        <w:t> - </w:t>
      </w:r>
      <w:r w:rsidR="00A1126B" w:rsidRPr="009118AB">
        <w:rPr>
          <w:i/>
          <w:iCs/>
        </w:rPr>
        <w:t>wirksam mit 1. Januar 2021 und anwendbar ab dem Steuerjahr 2022</w:t>
      </w:r>
      <w:r w:rsidR="003366D9" w:rsidRPr="009118AB">
        <w:rPr>
          <w:i/>
          <w:iCs/>
        </w:rPr>
        <w:t> -</w:t>
      </w:r>
      <w:r w:rsidRPr="00DD5892">
        <w:rPr>
          <w:i/>
          <w:iCs/>
        </w:rPr>
        <w:t>]</w:t>
      </w:r>
    </w:p>
    <w:p w14:paraId="70940B13" w14:textId="77777777" w:rsidR="00650972" w:rsidRPr="00DD5892" w:rsidRDefault="00650972" w:rsidP="00477B8F">
      <w:pPr>
        <w:autoSpaceDE w:val="0"/>
        <w:autoSpaceDN w:val="0"/>
        <w:adjustRightInd w:val="0"/>
        <w:jc w:val="both"/>
        <w:rPr>
          <w:i/>
          <w:iCs/>
        </w:rPr>
      </w:pPr>
    </w:p>
    <w:p w14:paraId="2E6A40BC" w14:textId="77777777" w:rsidR="00650972" w:rsidRPr="00DD5892" w:rsidRDefault="00650972" w:rsidP="00477B8F">
      <w:pPr>
        <w:autoSpaceDE w:val="0"/>
        <w:autoSpaceDN w:val="0"/>
        <w:adjustRightInd w:val="0"/>
        <w:jc w:val="both"/>
      </w:pPr>
    </w:p>
    <w:p w14:paraId="74548A72" w14:textId="77777777" w:rsidR="00E352E1" w:rsidRPr="00F75F24" w:rsidRDefault="00E352E1">
      <w:r w:rsidRPr="00F75F24">
        <w:br w:type="page"/>
      </w:r>
    </w:p>
    <w:p w14:paraId="6EFEE2D8" w14:textId="54397997" w:rsidR="00477B8F" w:rsidRPr="009118AB" w:rsidRDefault="00477B8F" w:rsidP="00477B8F">
      <w:pPr>
        <w:autoSpaceDE w:val="0"/>
        <w:autoSpaceDN w:val="0"/>
        <w:adjustRightInd w:val="0"/>
        <w:jc w:val="center"/>
      </w:pPr>
      <w:r w:rsidRPr="009118AB">
        <w:lastRenderedPageBreak/>
        <w:t>Unterabschnitt </w:t>
      </w:r>
      <w:r w:rsidR="00AA609D" w:rsidRPr="009118AB">
        <w:t>4</w:t>
      </w:r>
      <w:r w:rsidR="00D67EB8" w:rsidRPr="009118AB">
        <w:t> - </w:t>
      </w:r>
      <w:r w:rsidRPr="009118AB">
        <w:t>Wohnungsabzug</w:t>
      </w:r>
    </w:p>
    <w:p w14:paraId="435165B7" w14:textId="77777777" w:rsidR="00477B8F" w:rsidRPr="009118AB" w:rsidRDefault="00477B8F" w:rsidP="00477B8F">
      <w:pPr>
        <w:autoSpaceDE w:val="0"/>
        <w:autoSpaceDN w:val="0"/>
        <w:adjustRightInd w:val="0"/>
        <w:jc w:val="both"/>
      </w:pPr>
    </w:p>
    <w:p w14:paraId="24B7F107" w14:textId="77777777" w:rsidR="00477B8F" w:rsidRPr="009118AB" w:rsidRDefault="00477B8F" w:rsidP="00477B8F">
      <w:pPr>
        <w:autoSpaceDE w:val="0"/>
        <w:autoSpaceDN w:val="0"/>
        <w:adjustRightInd w:val="0"/>
        <w:jc w:val="both"/>
      </w:pPr>
    </w:p>
    <w:p w14:paraId="3FA66153" w14:textId="5F82A581"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16</w:t>
      </w:r>
      <w:r w:rsidR="00D67EB8" w:rsidRPr="009118AB">
        <w:t> - </w:t>
      </w:r>
      <w:r w:rsidRPr="009118AB">
        <w:t>[...]</w:t>
      </w:r>
    </w:p>
    <w:p w14:paraId="6CF08770" w14:textId="77777777" w:rsidR="00477B8F" w:rsidRPr="009118AB" w:rsidRDefault="00477B8F" w:rsidP="00477B8F">
      <w:pPr>
        <w:autoSpaceDE w:val="0"/>
        <w:autoSpaceDN w:val="0"/>
        <w:adjustRightInd w:val="0"/>
        <w:jc w:val="both"/>
      </w:pPr>
    </w:p>
    <w:p w14:paraId="6288CF2B" w14:textId="3B8B7329"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16 aufgehoben durch </w:t>
      </w:r>
      <w:r w:rsidR="00D67EB8" w:rsidRPr="009118AB">
        <w:rPr>
          <w:i/>
          <w:iCs/>
        </w:rPr>
        <w:t>Art. </w:t>
      </w:r>
      <w:r w:rsidRPr="009118AB">
        <w:rPr>
          <w:i/>
          <w:iCs/>
        </w:rPr>
        <w:t>389 des G. vom 27. Dezember 2004 (B.S. vom 31. Dezember 2004)</w:t>
      </w:r>
      <w:r w:rsidR="00D67EB8" w:rsidRPr="009118AB">
        <w:rPr>
          <w:i/>
          <w:iCs/>
        </w:rPr>
        <w:t> - </w:t>
      </w:r>
      <w:r w:rsidRPr="009118AB">
        <w:rPr>
          <w:i/>
          <w:iCs/>
        </w:rPr>
        <w:t>in Kraft ab dem Steuerjahr 2006</w:t>
      </w:r>
      <w:r w:rsidR="003366D9" w:rsidRPr="009118AB">
        <w:rPr>
          <w:i/>
          <w:iCs/>
        </w:rPr>
        <w:t> -;</w:t>
      </w:r>
      <w:r w:rsidRPr="009118AB">
        <w:rPr>
          <w:i/>
          <w:iCs/>
        </w:rPr>
        <w:t xml:space="preserve"> Der frühere Text von </w:t>
      </w:r>
      <w:r w:rsidR="00D67EB8" w:rsidRPr="009118AB">
        <w:rPr>
          <w:i/>
          <w:iCs/>
        </w:rPr>
        <w:t>Art. </w:t>
      </w:r>
      <w:r w:rsidRPr="009118AB">
        <w:rPr>
          <w:i/>
          <w:iCs/>
        </w:rPr>
        <w:t>16, d.h.</w:t>
      </w:r>
      <w:r w:rsidR="00B36C02" w:rsidRPr="009118AB">
        <w:rPr>
          <w:i/>
          <w:iCs/>
        </w:rPr>
        <w:t> </w:t>
      </w:r>
      <w:r w:rsidRPr="009118AB">
        <w:rPr>
          <w:i/>
          <w:iCs/>
        </w:rPr>
        <w:t>vor der Aufhebung durch das G. vom 27. Dezember 2004 (siehe Einkommensteuergesetzbuch Fassung 2005), bleibt anwendbar in den in Artikel 526 des vorliegenden Gesetzbuches vorgesehenen Fällen.]</w:t>
      </w:r>
    </w:p>
    <w:p w14:paraId="35808BA6" w14:textId="77777777" w:rsidR="001E243B" w:rsidRPr="009118AB" w:rsidRDefault="001E243B" w:rsidP="00477B8F">
      <w:pPr>
        <w:autoSpaceDE w:val="0"/>
        <w:autoSpaceDN w:val="0"/>
        <w:adjustRightInd w:val="0"/>
        <w:jc w:val="center"/>
        <w:rPr>
          <w:i/>
          <w:iCs/>
        </w:rPr>
      </w:pPr>
    </w:p>
    <w:p w14:paraId="1F7A2FC8" w14:textId="77777777" w:rsidR="001E243B" w:rsidRPr="009118AB" w:rsidRDefault="001E243B" w:rsidP="00477B8F">
      <w:pPr>
        <w:autoSpaceDE w:val="0"/>
        <w:autoSpaceDN w:val="0"/>
        <w:adjustRightInd w:val="0"/>
        <w:jc w:val="center"/>
        <w:rPr>
          <w:i/>
          <w:iCs/>
          <w:u w:val="single"/>
        </w:rPr>
      </w:pPr>
    </w:p>
    <w:p w14:paraId="2D87C248" w14:textId="47E833B8" w:rsidR="00477B8F" w:rsidRPr="009118AB" w:rsidRDefault="0044431B" w:rsidP="00477B8F">
      <w:pPr>
        <w:autoSpaceDE w:val="0"/>
        <w:autoSpaceDN w:val="0"/>
        <w:adjustRightInd w:val="0"/>
        <w:jc w:val="center"/>
      </w:pPr>
      <w:r w:rsidRPr="009118AB">
        <w:rPr>
          <w:i/>
          <w:iCs/>
        </w:rPr>
        <w:br w:type="page"/>
      </w:r>
      <w:r w:rsidR="00477B8F" w:rsidRPr="009118AB">
        <w:rPr>
          <w:i/>
          <w:iCs/>
        </w:rPr>
        <w:lastRenderedPageBreak/>
        <w:t>Abschnitt </w:t>
      </w:r>
      <w:r w:rsidR="00AA609D" w:rsidRPr="009118AB">
        <w:rPr>
          <w:i/>
          <w:iCs/>
        </w:rPr>
        <w:t>3</w:t>
      </w:r>
      <w:r w:rsidR="00D67EB8" w:rsidRPr="009118AB">
        <w:t> - </w:t>
      </w:r>
      <w:r w:rsidR="00477B8F" w:rsidRPr="009118AB">
        <w:t>Einkünfte aus Kapitalvermögen und beweglichen Gütern</w:t>
      </w:r>
    </w:p>
    <w:p w14:paraId="4C350797" w14:textId="77777777" w:rsidR="00477B8F" w:rsidRPr="009118AB" w:rsidRDefault="00477B8F" w:rsidP="00477B8F">
      <w:pPr>
        <w:autoSpaceDE w:val="0"/>
        <w:autoSpaceDN w:val="0"/>
        <w:adjustRightInd w:val="0"/>
        <w:jc w:val="center"/>
      </w:pPr>
    </w:p>
    <w:p w14:paraId="297117FB" w14:textId="77777777" w:rsidR="00477B8F" w:rsidRPr="009118AB" w:rsidRDefault="00477B8F" w:rsidP="00477B8F">
      <w:pPr>
        <w:autoSpaceDE w:val="0"/>
        <w:autoSpaceDN w:val="0"/>
        <w:adjustRightInd w:val="0"/>
        <w:jc w:val="center"/>
      </w:pPr>
    </w:p>
    <w:p w14:paraId="72B1AFC7" w14:textId="6A9E5DAE" w:rsidR="00477B8F" w:rsidRPr="009118AB" w:rsidRDefault="00477B8F" w:rsidP="00477B8F">
      <w:pPr>
        <w:autoSpaceDE w:val="0"/>
        <w:autoSpaceDN w:val="0"/>
        <w:adjustRightInd w:val="0"/>
        <w:jc w:val="center"/>
      </w:pPr>
      <w:r w:rsidRPr="009118AB">
        <w:t>Unterabschnitt </w:t>
      </w:r>
      <w:r w:rsidR="00AA609D" w:rsidRPr="009118AB">
        <w:t>1</w:t>
      </w:r>
      <w:r w:rsidR="00D67EB8" w:rsidRPr="009118AB">
        <w:t> - </w:t>
      </w:r>
      <w:r w:rsidRPr="009118AB">
        <w:t>Begriffsbestimmung</w:t>
      </w:r>
    </w:p>
    <w:p w14:paraId="25B15CF5" w14:textId="77777777" w:rsidR="00477B8F" w:rsidRPr="009118AB" w:rsidRDefault="00477B8F" w:rsidP="00477B8F">
      <w:pPr>
        <w:autoSpaceDE w:val="0"/>
        <w:autoSpaceDN w:val="0"/>
        <w:adjustRightInd w:val="0"/>
        <w:jc w:val="both"/>
      </w:pPr>
    </w:p>
    <w:p w14:paraId="2047D9A1" w14:textId="77777777" w:rsidR="00477B8F" w:rsidRPr="009118AB" w:rsidRDefault="00477B8F" w:rsidP="00477B8F">
      <w:pPr>
        <w:autoSpaceDE w:val="0"/>
        <w:autoSpaceDN w:val="0"/>
        <w:adjustRightInd w:val="0"/>
        <w:jc w:val="both"/>
      </w:pPr>
    </w:p>
    <w:p w14:paraId="7F74B8EC" w14:textId="252BA024"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17</w:t>
      </w:r>
      <w:r w:rsidR="00D67EB8" w:rsidRPr="009118AB">
        <w:rPr>
          <w:b/>
          <w:bCs/>
        </w:rPr>
        <w:t> - </w:t>
      </w:r>
      <w:r w:rsidR="00D67EB8" w:rsidRPr="009118AB">
        <w:t>§ </w:t>
      </w:r>
      <w:r w:rsidRPr="009118AB">
        <w:t>1</w:t>
      </w:r>
      <w:r w:rsidR="00D67EB8" w:rsidRPr="009118AB">
        <w:t> - </w:t>
      </w:r>
      <w:r w:rsidRPr="009118AB">
        <w:t>[Einkünfte aus Kapitalvermögen und beweglichen Gütern sind alle Erträge aus beweglichem Vermögen, ungeachtet der Weise, wie es eingesetzt wird, und zwar:</w:t>
      </w:r>
    </w:p>
    <w:p w14:paraId="3BE721DB" w14:textId="77777777" w:rsidR="00477B8F" w:rsidRPr="009118AB" w:rsidRDefault="00477B8F" w:rsidP="00477B8F">
      <w:pPr>
        <w:autoSpaceDE w:val="0"/>
        <w:autoSpaceDN w:val="0"/>
        <w:adjustRightInd w:val="0"/>
        <w:jc w:val="both"/>
      </w:pPr>
    </w:p>
    <w:p w14:paraId="2D0AAC98" w14:textId="77777777" w:rsidR="00477B8F" w:rsidRPr="009118AB" w:rsidRDefault="00477B8F" w:rsidP="00477B8F">
      <w:pPr>
        <w:autoSpaceDE w:val="0"/>
        <w:autoSpaceDN w:val="0"/>
        <w:adjustRightInd w:val="0"/>
        <w:jc w:val="both"/>
      </w:pPr>
      <w:r w:rsidRPr="009118AB">
        <w:tab/>
        <w:t>1. Dividenden,</w:t>
      </w:r>
    </w:p>
    <w:p w14:paraId="0D8C1B7D" w14:textId="77777777" w:rsidR="00477B8F" w:rsidRPr="009118AB" w:rsidRDefault="00477B8F" w:rsidP="00477B8F">
      <w:pPr>
        <w:autoSpaceDE w:val="0"/>
        <w:autoSpaceDN w:val="0"/>
        <w:adjustRightInd w:val="0"/>
        <w:jc w:val="both"/>
      </w:pPr>
    </w:p>
    <w:p w14:paraId="53073CD6" w14:textId="77777777" w:rsidR="00477B8F" w:rsidRPr="009118AB" w:rsidRDefault="00477B8F" w:rsidP="00477B8F">
      <w:pPr>
        <w:autoSpaceDE w:val="0"/>
        <w:autoSpaceDN w:val="0"/>
        <w:adjustRightInd w:val="0"/>
        <w:jc w:val="both"/>
      </w:pPr>
      <w:r w:rsidRPr="009118AB">
        <w:tab/>
        <w:t>2. Zinsen,</w:t>
      </w:r>
    </w:p>
    <w:p w14:paraId="57B5C0F2" w14:textId="77777777" w:rsidR="00477B8F" w:rsidRPr="009118AB" w:rsidRDefault="00477B8F" w:rsidP="00477B8F">
      <w:pPr>
        <w:autoSpaceDE w:val="0"/>
        <w:autoSpaceDN w:val="0"/>
        <w:adjustRightInd w:val="0"/>
        <w:jc w:val="both"/>
      </w:pPr>
    </w:p>
    <w:p w14:paraId="72B7F0A2" w14:textId="44CE592E" w:rsidR="00477B8F" w:rsidRPr="009118AB" w:rsidRDefault="00477B8F" w:rsidP="00477B8F">
      <w:pPr>
        <w:autoSpaceDE w:val="0"/>
        <w:autoSpaceDN w:val="0"/>
        <w:adjustRightInd w:val="0"/>
        <w:jc w:val="both"/>
      </w:pPr>
      <w:r w:rsidRPr="009118AB">
        <w:tab/>
        <w:t>3. </w:t>
      </w:r>
      <w:r w:rsidR="00BB701B" w:rsidRPr="009118AB">
        <w:t>[</w:t>
      </w:r>
      <w:r w:rsidR="00BB701B" w:rsidRPr="009118AB">
        <w:rPr>
          <w:lang w:eastAsia="fr-BE"/>
        </w:rPr>
        <w:t xml:space="preserve">nicht in </w:t>
      </w:r>
      <w:r w:rsidR="00D67EB8" w:rsidRPr="009118AB">
        <w:rPr>
          <w:lang w:eastAsia="fr-BE"/>
        </w:rPr>
        <w:t>Nr. </w:t>
      </w:r>
      <w:r w:rsidR="00BB701B" w:rsidRPr="009118AB">
        <w:rPr>
          <w:lang w:eastAsia="fr-BE"/>
        </w:rPr>
        <w:t>5 erwähnte</w:t>
      </w:r>
      <w:r w:rsidR="00BB701B" w:rsidRPr="009118AB">
        <w:t xml:space="preserve">] </w:t>
      </w:r>
      <w:r w:rsidRPr="009118AB">
        <w:t>Einkünfte aus Vermietung, Verpachtung, Nutzung und Überlassung von beweglichen Gütern,</w:t>
      </w:r>
    </w:p>
    <w:p w14:paraId="15976633" w14:textId="77777777" w:rsidR="00477B8F" w:rsidRPr="009118AB" w:rsidRDefault="00477B8F" w:rsidP="00477B8F">
      <w:pPr>
        <w:autoSpaceDE w:val="0"/>
        <w:autoSpaceDN w:val="0"/>
        <w:adjustRightInd w:val="0"/>
        <w:jc w:val="both"/>
      </w:pPr>
    </w:p>
    <w:p w14:paraId="6C386301" w14:textId="2F20CE3F" w:rsidR="00477B8F" w:rsidRPr="009118AB" w:rsidRDefault="00477B8F" w:rsidP="00477B8F">
      <w:pPr>
        <w:autoSpaceDE w:val="0"/>
        <w:autoSpaceDN w:val="0"/>
        <w:adjustRightInd w:val="0"/>
        <w:jc w:val="both"/>
      </w:pPr>
      <w:r w:rsidRPr="009118AB">
        <w:tab/>
        <w:t xml:space="preserve">4. Einkünfte, die in Leib- oder Zeitrenten enthalten sind, die keine Pensionen sind und nach dem 1. Januar 1962 entgeltlich zu Lasten von juristischen Personen oder Unternehmen gebildet wurden.] [Leibrenten, die gebildet werden durch Zahlungen unter Abtretung des Kapitals, [das entweder durch Beiträge beziehungsweise Prämien, die in Artikel 34 </w:t>
      </w:r>
      <w:r w:rsidR="00D67EB8" w:rsidRPr="009118AB">
        <w:t>§ </w:t>
      </w:r>
      <w:r w:rsidRPr="009118AB">
        <w:t xml:space="preserve">1 </w:t>
      </w:r>
      <w:r w:rsidR="00D67EB8" w:rsidRPr="009118AB">
        <w:t>Nr. </w:t>
      </w:r>
      <w:r w:rsidRPr="009118AB">
        <w:t xml:space="preserve">2 erwähnt sind, oder im Rahmen einer in </w:t>
      </w:r>
      <w:r w:rsidR="00B81FCA" w:rsidRPr="009118AB">
        <w:t>[</w:t>
      </w:r>
      <w:r w:rsidRPr="009118AB">
        <w:t xml:space="preserve">Artikel 34 </w:t>
      </w:r>
      <w:r w:rsidR="00D67EB8" w:rsidRPr="009118AB">
        <w:t>§ </w:t>
      </w:r>
      <w:r w:rsidRPr="009118AB">
        <w:t xml:space="preserve">1 </w:t>
      </w:r>
      <w:r w:rsidR="00D67EB8" w:rsidRPr="009118AB">
        <w:t>Nr. </w:t>
      </w:r>
      <w:r w:rsidRPr="009118AB">
        <w:t>2</w:t>
      </w:r>
      <w:r w:rsidRPr="009118AB">
        <w:rPr>
          <w:i/>
          <w:iCs/>
        </w:rPr>
        <w:t>bis</w:t>
      </w:r>
      <w:r w:rsidRPr="009118AB">
        <w:t xml:space="preserve"> </w:t>
      </w:r>
      <w:r w:rsidR="00B81FCA" w:rsidRPr="009118AB">
        <w:t>und 2</w:t>
      </w:r>
      <w:r w:rsidR="00B81FCA" w:rsidRPr="009118AB">
        <w:rPr>
          <w:i/>
        </w:rPr>
        <w:t>ter</w:t>
      </w:r>
      <w:r w:rsidR="00B81FCA" w:rsidRPr="009118AB">
        <w:t xml:space="preserve">] </w:t>
      </w:r>
      <w:r w:rsidRPr="009118AB">
        <w:t>erwähnten ergänzenden Pension der Selbs</w:t>
      </w:r>
      <w:r w:rsidR="00AD7C56" w:rsidRPr="009118AB">
        <w:t>tändigen gebildet wird],</w:t>
      </w:r>
      <w:r w:rsidRPr="009118AB">
        <w:t>]</w:t>
      </w:r>
    </w:p>
    <w:p w14:paraId="4A3B0B35" w14:textId="77777777" w:rsidR="00AD7C56" w:rsidRPr="009118AB" w:rsidRDefault="00AD7C56" w:rsidP="00477B8F">
      <w:pPr>
        <w:autoSpaceDE w:val="0"/>
        <w:autoSpaceDN w:val="0"/>
        <w:adjustRightInd w:val="0"/>
        <w:jc w:val="both"/>
      </w:pPr>
    </w:p>
    <w:p w14:paraId="43FDF60B" w14:textId="77777777" w:rsidR="00AB7300" w:rsidRPr="009118AB" w:rsidRDefault="00AD7C56" w:rsidP="00AB7300">
      <w:pPr>
        <w:ind w:firstLine="708"/>
        <w:jc w:val="both"/>
      </w:pPr>
      <w:r w:rsidRPr="009118AB">
        <w:tab/>
        <w:t>[5.</w:t>
      </w:r>
      <w:r w:rsidR="00EE3EDD" w:rsidRPr="009118AB">
        <w:t xml:space="preserve"> [</w:t>
      </w:r>
      <w:r w:rsidR="00AB7300" w:rsidRPr="009118AB">
        <w:t>Einkünfte:</w:t>
      </w:r>
    </w:p>
    <w:p w14:paraId="00D4E316" w14:textId="77777777" w:rsidR="00AB7300" w:rsidRPr="009118AB" w:rsidRDefault="00AB7300" w:rsidP="00AB7300">
      <w:pPr>
        <w:jc w:val="both"/>
      </w:pPr>
    </w:p>
    <w:p w14:paraId="0218635E" w14:textId="77777777" w:rsidR="00AB7300" w:rsidRPr="009118AB" w:rsidRDefault="00AB7300" w:rsidP="00AB7300">
      <w:pPr>
        <w:ind w:firstLine="708"/>
        <w:jc w:val="both"/>
      </w:pPr>
      <w:r w:rsidRPr="009118AB">
        <w:t>- aus Abtretung von oder Vergabe einer Lizenz für Urheberrechte und verwandte Schutzrechte (auch "ähnliche Rechte" genannt) durch den ursprünglichen Inhaber, seine Erben oder Vermächtnisnehmer und aus den durch das Gesetz geregelten gesetzlichen Lizenzen und Zwangslizenzen erwähnt in Buch XI Titel 5 des Wirtschaftsgesetzbuches oder in ähnlichen Bestimmungen ausländischen Rechts,</w:t>
      </w:r>
    </w:p>
    <w:p w14:paraId="7CA8AC3E" w14:textId="77777777" w:rsidR="00AB7300" w:rsidRPr="009118AB" w:rsidRDefault="00AB7300" w:rsidP="00AB7300">
      <w:pPr>
        <w:jc w:val="both"/>
      </w:pPr>
    </w:p>
    <w:p w14:paraId="6DE4BA78" w14:textId="77777777" w:rsidR="00AB7300" w:rsidRPr="009118AB" w:rsidRDefault="00AB7300" w:rsidP="00AB7300">
      <w:pPr>
        <w:ind w:firstLine="708"/>
        <w:jc w:val="both"/>
      </w:pPr>
      <w:r w:rsidRPr="009118AB">
        <w:t>- die sich auf Originale von Werken der Literatur oder der Kunst wie in Artikel XI.165 des Wirtschaftsgesetzbuches erwähnt oder auf Leistungen von ausübenden Künstlern wie in Artikel XI.205 desselben Gesetzbuches erwähnt beziehen,</w:t>
      </w:r>
    </w:p>
    <w:p w14:paraId="7AD28D7E" w14:textId="77777777" w:rsidR="00AB7300" w:rsidRPr="009118AB" w:rsidRDefault="00AB7300" w:rsidP="00AB7300">
      <w:pPr>
        <w:jc w:val="both"/>
      </w:pPr>
    </w:p>
    <w:p w14:paraId="7A8B1D5F" w14:textId="77777777" w:rsidR="00AB7300" w:rsidRPr="009118AB" w:rsidRDefault="00AB7300" w:rsidP="00AB7300">
      <w:pPr>
        <w:ind w:firstLine="708"/>
        <w:jc w:val="both"/>
      </w:pPr>
      <w:r w:rsidRPr="009118AB">
        <w:t>- zur Verwertung oder tatsächlichen Nutzung dieser Rechte - außer bei Ereignissen, die unabhängig vom Willen der Vertragsparteien sind - gemäß den anständigen Berufsgepflogenheiten durch den Zessionar, den Lizenzinhaber oder einen Dritten,</w:t>
      </w:r>
    </w:p>
    <w:p w14:paraId="45F2B66E" w14:textId="77777777" w:rsidR="00AB7300" w:rsidRPr="009118AB" w:rsidRDefault="00AB7300" w:rsidP="00AB7300">
      <w:pPr>
        <w:jc w:val="both"/>
      </w:pPr>
    </w:p>
    <w:p w14:paraId="0B4D699D" w14:textId="4D7DC4DD" w:rsidR="00AB7300" w:rsidRPr="009118AB" w:rsidRDefault="00AB7300" w:rsidP="00AB7300">
      <w:pPr>
        <w:ind w:firstLine="708"/>
        <w:jc w:val="both"/>
      </w:pPr>
      <w:r w:rsidRPr="009118AB">
        <w:t xml:space="preserve">- unter der Bedingung, dass der vorerwähnte ursprüngliche Inhaber der Rechte eine Bescheinigung über Kunstarbeit besitzt wie in </w:t>
      </w:r>
      <w:r w:rsidR="00C6754C">
        <w:t>[</w:t>
      </w:r>
      <w:r w:rsidRPr="009118AB">
        <w:t>Artikel </w:t>
      </w:r>
      <w:r w:rsidR="00C6754C">
        <w:t>7]</w:t>
      </w:r>
      <w:r w:rsidRPr="009118AB">
        <w:t xml:space="preserve"> des Gesetzes vom 16. Dezember 2022 zur Schaffung der Kommission für Kunstarbeit und zur Verbesserung des Sozialschutzes der Kunstschaffenden oder in ähnlichen Bestimmungen oder in Bestimmungen mit gleichwertigen Auswirkungen eines anderen Mitgliedstaates des Europäischen Wirtschaftsraums erwähnt, oder</w:t>
      </w:r>
    </w:p>
    <w:p w14:paraId="33D962BC" w14:textId="77777777" w:rsidR="00AB7300" w:rsidRPr="009118AB" w:rsidRDefault="00AB7300" w:rsidP="00AB7300">
      <w:pPr>
        <w:jc w:val="both"/>
      </w:pPr>
    </w:p>
    <w:p w14:paraId="35AD90B4" w14:textId="77777777" w:rsidR="00AB7300" w:rsidRPr="009118AB" w:rsidRDefault="00AB7300" w:rsidP="00AB7300">
      <w:pPr>
        <w:ind w:firstLine="708"/>
        <w:jc w:val="both"/>
      </w:pPr>
      <w:r w:rsidRPr="009118AB">
        <w:t xml:space="preserve">- ansonsten unter der Bedingung, dass der Inhaber der Rechte - im Rahmen der Abtretung oder der Vergabe einer Lizenz gemäß den ersten drei Gedankenstrichen - diese Rechte an einen Dritten abtritt beziehungsweise eine Lizenz für diese Rechte an einen Dritten </w:t>
      </w:r>
      <w:r w:rsidRPr="009118AB">
        <w:lastRenderedPageBreak/>
        <w:t>vergibt zum Zwecke der öffentlichen Wiedergabe, der öffentlichen Darbietung oder Aufführung oder der Vervielfältigung,</w:t>
      </w:r>
    </w:p>
    <w:p w14:paraId="5E950B07" w14:textId="77777777" w:rsidR="00AB7300" w:rsidRPr="009118AB" w:rsidRDefault="00AB7300" w:rsidP="00AB7300">
      <w:pPr>
        <w:jc w:val="both"/>
      </w:pPr>
    </w:p>
    <w:p w14:paraId="5629D52E" w14:textId="16D4E9E1" w:rsidR="00AD7C56" w:rsidRPr="009118AB" w:rsidRDefault="00AB7300" w:rsidP="00AB7300">
      <w:pPr>
        <w:autoSpaceDE w:val="0"/>
        <w:autoSpaceDN w:val="0"/>
        <w:adjustRightInd w:val="0"/>
        <w:ind w:firstLine="708"/>
        <w:jc w:val="both"/>
      </w:pPr>
      <w:r w:rsidRPr="009118AB">
        <w:t>sowie vorerwähnte Einkünfte, die der vorerwähnte Inhaber der Rechte über eine in Artikel I.16 § 1 Nr. 4 bis 6 des Wirtschaftsrechtsgesetzbuches erwähnte Verwertungsorganisation bezieht.</w:t>
      </w:r>
      <w:r w:rsidR="00EE3EDD" w:rsidRPr="009118AB">
        <w:t>]</w:t>
      </w:r>
      <w:r w:rsidR="00AD7C56" w:rsidRPr="009118AB">
        <w:t>]</w:t>
      </w:r>
    </w:p>
    <w:p w14:paraId="1DE43941" w14:textId="77777777" w:rsidR="00477B8F" w:rsidRPr="009118AB" w:rsidRDefault="00477B8F" w:rsidP="00477B8F">
      <w:pPr>
        <w:autoSpaceDE w:val="0"/>
        <w:autoSpaceDN w:val="0"/>
        <w:adjustRightInd w:val="0"/>
        <w:jc w:val="both"/>
      </w:pPr>
    </w:p>
    <w:p w14:paraId="57752989" w14:textId="6A179288"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Lautet der Betrag der Einkünfte auf ausländische Währung, wird er entsprechend dem Wechselkurs, der zum Zeitpunkt der Zahlung oder Zuerkennung dieser Einkünfte galt, [in Euro] umgerechnet.</w:t>
      </w:r>
    </w:p>
    <w:p w14:paraId="44C74C14" w14:textId="77777777" w:rsidR="00477B8F" w:rsidRPr="009118AB" w:rsidRDefault="00477B8F" w:rsidP="00477B8F">
      <w:pPr>
        <w:autoSpaceDE w:val="0"/>
        <w:autoSpaceDN w:val="0"/>
        <w:adjustRightInd w:val="0"/>
        <w:jc w:val="both"/>
      </w:pPr>
    </w:p>
    <w:p w14:paraId="2CBE76E8" w14:textId="6201DFED" w:rsidR="00477B8F" w:rsidRPr="00C6754C" w:rsidRDefault="00477B8F" w:rsidP="00477B8F">
      <w:pPr>
        <w:autoSpaceDE w:val="0"/>
        <w:autoSpaceDN w:val="0"/>
        <w:adjustRightInd w:val="0"/>
        <w:jc w:val="both"/>
        <w:rPr>
          <w:rFonts w:ascii="Times New Roman Italique" w:hAnsi="Times New Roman Italique"/>
          <w:i/>
          <w:iCs/>
          <w:spacing w:val="2"/>
        </w:rPr>
      </w:pPr>
      <w:r w:rsidRPr="009118AB">
        <w:rPr>
          <w:i/>
          <w:iCs/>
        </w:rPr>
        <w:t>[</w:t>
      </w:r>
      <w:r w:rsidR="00D67EB8" w:rsidRPr="009118AB">
        <w:rPr>
          <w:i/>
          <w:iCs/>
        </w:rPr>
        <w:t>Art. </w:t>
      </w:r>
      <w:r w:rsidRPr="009118AB">
        <w:rPr>
          <w:i/>
          <w:iCs/>
        </w:rPr>
        <w:t xml:space="preserve">17 </w:t>
      </w:r>
      <w:r w:rsidR="00D67EB8" w:rsidRPr="009118AB">
        <w:rPr>
          <w:i/>
          <w:iCs/>
        </w:rPr>
        <w:t>§ </w:t>
      </w:r>
      <w:r w:rsidRPr="009118AB">
        <w:rPr>
          <w:i/>
          <w:iCs/>
        </w:rPr>
        <w:t xml:space="preserve">1 ersetzt durch </w:t>
      </w:r>
      <w:r w:rsidR="00D67EB8" w:rsidRPr="009118AB">
        <w:rPr>
          <w:i/>
          <w:iCs/>
        </w:rPr>
        <w:t>Art. </w:t>
      </w:r>
      <w:r w:rsidRPr="009118AB">
        <w:rPr>
          <w:i/>
          <w:iCs/>
        </w:rPr>
        <w:t>2 des G. vom 22. Dezember 19</w:t>
      </w:r>
      <w:r w:rsidR="005E3D7F" w:rsidRPr="009118AB">
        <w:rPr>
          <w:i/>
          <w:iCs/>
        </w:rPr>
        <w:t>98 (B.S. vom 15. Januar 1999)</w:t>
      </w:r>
      <w:r w:rsidR="00D67EB8" w:rsidRPr="009118AB">
        <w:rPr>
          <w:i/>
          <w:iCs/>
        </w:rPr>
        <w:t> - </w:t>
      </w:r>
      <w:r w:rsidRPr="009118AB">
        <w:rPr>
          <w:i/>
          <w:iCs/>
        </w:rPr>
        <w:t>anwendbar ab dem Steuerjahr 1992</w:t>
      </w:r>
      <w:r w:rsidR="003366D9" w:rsidRPr="009118AB">
        <w:rPr>
          <w:i/>
          <w:iCs/>
        </w:rPr>
        <w:t> -;</w:t>
      </w:r>
      <w:r w:rsidR="00BB701B" w:rsidRPr="009118AB">
        <w:rPr>
          <w:i/>
          <w:iCs/>
        </w:rPr>
        <w:t xml:space="preserve"> </w:t>
      </w:r>
      <w:r w:rsidR="00D67EB8" w:rsidRPr="009118AB">
        <w:rPr>
          <w:i/>
          <w:iCs/>
        </w:rPr>
        <w:t>§ </w:t>
      </w:r>
      <w:r w:rsidR="00BB701B" w:rsidRPr="009118AB">
        <w:rPr>
          <w:i/>
          <w:iCs/>
        </w:rPr>
        <w:t xml:space="preserve">1 einziger Absatz </w:t>
      </w:r>
      <w:r w:rsidR="00D67EB8" w:rsidRPr="009118AB">
        <w:rPr>
          <w:i/>
          <w:iCs/>
        </w:rPr>
        <w:t>Nr. </w:t>
      </w:r>
      <w:r w:rsidR="00BB701B" w:rsidRPr="009118AB">
        <w:rPr>
          <w:i/>
          <w:iCs/>
        </w:rPr>
        <w:t xml:space="preserve">3 abgeändert durch </w:t>
      </w:r>
      <w:r w:rsidR="00D67EB8" w:rsidRPr="009118AB">
        <w:rPr>
          <w:i/>
          <w:iCs/>
        </w:rPr>
        <w:t>Art. </w:t>
      </w:r>
      <w:r w:rsidR="00BB701B" w:rsidRPr="009118AB">
        <w:rPr>
          <w:i/>
          <w:iCs/>
        </w:rPr>
        <w:t>26 des G. vom 21. Januar 2022 (B.S. vom 28. Januar 2022)</w:t>
      </w:r>
      <w:r w:rsidR="00D67EB8" w:rsidRPr="009118AB">
        <w:rPr>
          <w:i/>
          <w:iCs/>
        </w:rPr>
        <w:t> - </w:t>
      </w:r>
      <w:r w:rsidR="00BB701B" w:rsidRPr="009118AB">
        <w:rPr>
          <w:i/>
          <w:iCs/>
          <w:lang w:eastAsia="fr-BE"/>
        </w:rPr>
        <w:t>anwendbar auf Einkünfte, die ab dem 1. Januar 2021 während eines Besteuerungszeitraums gezahlt oder zuerkannt werden, der frühestens an das Steuerjahr 2022 gebunden ist</w:t>
      </w:r>
      <w:r w:rsidR="003366D9" w:rsidRPr="009118AB">
        <w:rPr>
          <w:i/>
          <w:iCs/>
          <w:lang w:eastAsia="fr-BE"/>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4 </w:t>
      </w:r>
      <w:r w:rsidR="003B78A6" w:rsidRPr="009118AB">
        <w:rPr>
          <w:i/>
          <w:iCs/>
        </w:rPr>
        <w:t>abgeändert</w:t>
      </w:r>
      <w:r w:rsidRPr="009118AB">
        <w:rPr>
          <w:i/>
          <w:iCs/>
        </w:rPr>
        <w:t xml:space="preserve"> durch </w:t>
      </w:r>
      <w:r w:rsidR="00D67EB8" w:rsidRPr="009118AB">
        <w:rPr>
          <w:i/>
          <w:iCs/>
        </w:rPr>
        <w:t>Art. </w:t>
      </w:r>
      <w:r w:rsidRPr="009118AB">
        <w:rPr>
          <w:i/>
          <w:iCs/>
        </w:rPr>
        <w:t>72 des G.</w:t>
      </w:r>
      <w:r w:rsidR="009E1ACC" w:rsidRPr="009118AB">
        <w:rPr>
          <w:i/>
          <w:iCs/>
        </w:rPr>
        <w:t> </w:t>
      </w:r>
      <w:r w:rsidRPr="009118AB">
        <w:rPr>
          <w:i/>
          <w:iCs/>
        </w:rPr>
        <w:t>vom 28. April 2003 (B.S. vom 15. Mai 2003)</w:t>
      </w:r>
      <w:r w:rsidR="00D67EB8" w:rsidRPr="009118AB">
        <w:rPr>
          <w:i/>
          <w:iCs/>
        </w:rPr>
        <w:t> - </w:t>
      </w:r>
      <w:r w:rsidRPr="009118AB">
        <w:rPr>
          <w:i/>
          <w:iCs/>
        </w:rPr>
        <w:t xml:space="preserve">anwendbar auf Leibrenten, Renten, Entschädigungen, andere als in </w:t>
      </w:r>
      <w:r w:rsidR="00D67EB8" w:rsidRPr="009118AB">
        <w:rPr>
          <w:i/>
          <w:iCs/>
        </w:rPr>
        <w:t>Art. </w:t>
      </w:r>
      <w:r w:rsidRPr="009118AB">
        <w:rPr>
          <w:i/>
          <w:iCs/>
        </w:rPr>
        <w:t xml:space="preserve">23 </w:t>
      </w:r>
      <w:r w:rsidR="00D67EB8" w:rsidRPr="009118AB">
        <w:rPr>
          <w:i/>
          <w:iCs/>
        </w:rPr>
        <w:t>§ </w:t>
      </w:r>
      <w:r w:rsidRPr="009118AB">
        <w:rPr>
          <w:i/>
          <w:iCs/>
        </w:rPr>
        <w:t>3 Buchstabe</w:t>
      </w:r>
      <w:r w:rsidR="00D2192B" w:rsidRPr="009118AB">
        <w:rPr>
          <w:i/>
          <w:iCs/>
        </w:rPr>
        <w:t> </w:t>
      </w:r>
      <w:r w:rsidRPr="009118AB">
        <w:rPr>
          <w:i/>
          <w:iCs/>
        </w:rPr>
        <w:t xml:space="preserve">A </w:t>
      </w:r>
      <w:r w:rsidR="00D67EB8" w:rsidRPr="009118AB">
        <w:rPr>
          <w:i/>
          <w:iCs/>
        </w:rPr>
        <w:t>Nr. </w:t>
      </w:r>
      <w:r w:rsidRPr="009118AB">
        <w:rPr>
          <w:i/>
          <w:iCs/>
        </w:rPr>
        <w:t>6 erwähnte Kapitalien, Rückkaufswerte von Lebensversicherungsverträgen, Pensionen und ergänzende Pensionen, die ab dem 1. Januar 2004 ausgezahlt werden</w:t>
      </w:r>
      <w:r w:rsidR="00FD68E8" w:rsidRPr="009118AB">
        <w:rPr>
          <w:i/>
          <w:iCs/>
        </w:rPr>
        <w:t> -,</w:t>
      </w:r>
      <w:r w:rsidRPr="009118AB">
        <w:rPr>
          <w:i/>
          <w:iCs/>
        </w:rPr>
        <w:t xml:space="preserve"> </w:t>
      </w:r>
      <w:r w:rsidR="00D67EB8" w:rsidRPr="009118AB">
        <w:rPr>
          <w:i/>
          <w:iCs/>
        </w:rPr>
        <w:t>Art. </w:t>
      </w:r>
      <w:r w:rsidRPr="009118AB">
        <w:rPr>
          <w:i/>
          <w:iCs/>
        </w:rPr>
        <w:t>162 des G. vom 27. Dezember 2005 (II) (B.S. vom 30. Dezember 2005)</w:t>
      </w:r>
      <w:r w:rsidR="00D67EB8" w:rsidRPr="009118AB">
        <w:rPr>
          <w:i/>
          <w:iCs/>
        </w:rPr>
        <w:t> - </w:t>
      </w:r>
      <w:r w:rsidRPr="009118AB">
        <w:rPr>
          <w:i/>
          <w:iCs/>
        </w:rPr>
        <w:t>anwendbar auf Leibrenten und Pensionen, ergänzende Pensionen, Renten, Kapitalien, Sparguthaben und Rückkaufswerte, die ab dem 1. Januar 2006 ausgezahlt werden</w:t>
      </w:r>
      <w:r w:rsidR="00D67EB8" w:rsidRPr="009118AB">
        <w:rPr>
          <w:i/>
          <w:iCs/>
        </w:rPr>
        <w:t> - </w:t>
      </w:r>
      <w:r w:rsidR="00B81FCA" w:rsidRPr="009118AB">
        <w:rPr>
          <w:i/>
          <w:iCs/>
        </w:rPr>
        <w:t xml:space="preserve">und </w:t>
      </w:r>
      <w:r w:rsidR="00D67EB8" w:rsidRPr="009118AB">
        <w:rPr>
          <w:i/>
          <w:iCs/>
        </w:rPr>
        <w:t>Art. </w:t>
      </w:r>
      <w:r w:rsidR="00B81FCA" w:rsidRPr="009118AB">
        <w:rPr>
          <w:i/>
          <w:iCs/>
        </w:rPr>
        <w:t>52 des G. vom 18. Februar 2018 (B.S. vom 30. März 2018)</w:t>
      </w:r>
      <w:r w:rsidR="00D67EB8" w:rsidRPr="009118AB">
        <w:rPr>
          <w:i/>
          <w:iCs/>
        </w:rPr>
        <w:t> - </w:t>
      </w:r>
      <w:r w:rsidR="00B81FCA" w:rsidRPr="009118AB">
        <w:rPr>
          <w:i/>
          <w:iCs/>
        </w:rPr>
        <w:t>anwendbar ab dem Steuerjahr 2019</w:t>
      </w:r>
      <w:r w:rsidR="003366D9" w:rsidRPr="009118AB">
        <w:rPr>
          <w:i/>
          <w:iCs/>
        </w:rPr>
        <w:t> -;</w:t>
      </w:r>
      <w:r w:rsidR="00AD7C56" w:rsidRPr="009118AB">
        <w:rPr>
          <w:i/>
          <w:iCs/>
        </w:rPr>
        <w:t xml:space="preserve"> </w:t>
      </w:r>
      <w:r w:rsidR="00D67EB8" w:rsidRPr="009118AB">
        <w:rPr>
          <w:i/>
          <w:iCs/>
        </w:rPr>
        <w:t>§ </w:t>
      </w:r>
      <w:r w:rsidR="00AD7C56" w:rsidRPr="009118AB">
        <w:rPr>
          <w:i/>
          <w:iCs/>
        </w:rPr>
        <w:t xml:space="preserve">1 einziger Absatz </w:t>
      </w:r>
      <w:r w:rsidR="00D67EB8" w:rsidRPr="009118AB">
        <w:rPr>
          <w:i/>
          <w:iCs/>
        </w:rPr>
        <w:t>Nr. </w:t>
      </w:r>
      <w:r w:rsidR="00AD7C56" w:rsidRPr="009118AB">
        <w:rPr>
          <w:i/>
          <w:iCs/>
        </w:rPr>
        <w:t xml:space="preserve">5 eingefügt durch </w:t>
      </w:r>
      <w:r w:rsidR="00D67EB8" w:rsidRPr="009118AB">
        <w:rPr>
          <w:i/>
          <w:iCs/>
        </w:rPr>
        <w:t>Art. </w:t>
      </w:r>
      <w:r w:rsidR="00AD7C56" w:rsidRPr="009118AB">
        <w:rPr>
          <w:i/>
          <w:iCs/>
        </w:rPr>
        <w:t>2 des G. vom 16. Juli 2008 (B.S. vom 30. Juli 2008)</w:t>
      </w:r>
      <w:r w:rsidR="00D67EB8" w:rsidRPr="009118AB">
        <w:rPr>
          <w:i/>
          <w:iCs/>
        </w:rPr>
        <w:t> - </w:t>
      </w:r>
      <w:r w:rsidR="00AD7C56" w:rsidRPr="009118AB">
        <w:rPr>
          <w:i/>
          <w:iCs/>
        </w:rPr>
        <w:t>wirksam mit 1. Januar 2008</w:t>
      </w:r>
      <w:r w:rsidR="00D67EB8" w:rsidRPr="009118AB">
        <w:rPr>
          <w:i/>
          <w:iCs/>
        </w:rPr>
        <w:t> - </w:t>
      </w:r>
      <w:r w:rsidR="00F96CA8" w:rsidRPr="009118AB">
        <w:rPr>
          <w:i/>
          <w:iCs/>
        </w:rPr>
        <w:t xml:space="preserve">und ersetzt durch </w:t>
      </w:r>
      <w:r w:rsidR="00D67EB8" w:rsidRPr="009118AB">
        <w:rPr>
          <w:i/>
          <w:iCs/>
        </w:rPr>
        <w:t>Art. </w:t>
      </w:r>
      <w:r w:rsidR="00AB7300" w:rsidRPr="009118AB">
        <w:rPr>
          <w:i/>
          <w:iCs/>
        </w:rPr>
        <w:t xml:space="preserve">100 des G. vom </w:t>
      </w:r>
      <w:r w:rsidR="00AB7300" w:rsidRPr="00C6754C">
        <w:rPr>
          <w:rFonts w:ascii="Times New Roman Italique" w:hAnsi="Times New Roman Italique"/>
          <w:i/>
          <w:iCs/>
          <w:spacing w:val="2"/>
        </w:rPr>
        <w:t>26. Dezember 2022</w:t>
      </w:r>
      <w:r w:rsidR="00236038" w:rsidRPr="00C6754C">
        <w:rPr>
          <w:rFonts w:ascii="Times New Roman Italique" w:hAnsi="Times New Roman Italique"/>
          <w:i/>
          <w:iCs/>
          <w:spacing w:val="2"/>
        </w:rPr>
        <w:t> (I)</w:t>
      </w:r>
      <w:r w:rsidR="00AB7300" w:rsidRPr="00C6754C">
        <w:rPr>
          <w:rFonts w:ascii="Times New Roman Italique" w:hAnsi="Times New Roman Italique"/>
          <w:i/>
          <w:iCs/>
          <w:spacing w:val="2"/>
        </w:rPr>
        <w:t xml:space="preserve"> (B.S. vom 30. Dezember 2022) - in Kraft am 1. Januar 2023 und anwendbar auf die ab dem 1. Januar 2023 gezahlten oder zuerkannten Einkünfte -</w:t>
      </w:r>
      <w:r w:rsidR="00AD7C56" w:rsidRPr="00C6754C">
        <w:rPr>
          <w:rFonts w:ascii="Times New Roman Italique" w:hAnsi="Times New Roman Italique"/>
          <w:i/>
          <w:iCs/>
          <w:spacing w:val="2"/>
        </w:rPr>
        <w:t>;</w:t>
      </w:r>
      <w:r w:rsidRPr="00C6754C">
        <w:rPr>
          <w:rFonts w:ascii="Times New Roman Italique" w:hAnsi="Times New Roman Italique"/>
          <w:i/>
          <w:iCs/>
          <w:spacing w:val="2"/>
        </w:rPr>
        <w:t xml:space="preserve"> </w:t>
      </w:r>
      <w:r w:rsidR="00C6754C" w:rsidRPr="00C6754C">
        <w:rPr>
          <w:rFonts w:ascii="Times New Roman Italique" w:hAnsi="Times New Roman Italique"/>
          <w:i/>
          <w:iCs/>
          <w:spacing w:val="2"/>
        </w:rPr>
        <w:t xml:space="preserve">§ 1 einziger Absatz Nr. 5 einziger Absatz vierter Gedankenstrich abgeändert durch Art. 22 des G. vom 12. Mai 2024 (B.S. vom 29. Mai 2024) - in Kraft am 1. Januar 2023 und anwendbar auf die ab dem 1. Januar 2023 gezahlten oder zuerkannten Einkünfte -; </w:t>
      </w:r>
      <w:r w:rsidR="00D67EB8" w:rsidRPr="00C6754C">
        <w:rPr>
          <w:rFonts w:ascii="Times New Roman Italique" w:hAnsi="Times New Roman Italique"/>
          <w:i/>
          <w:iCs/>
          <w:spacing w:val="2"/>
        </w:rPr>
        <w:t>§ </w:t>
      </w:r>
      <w:r w:rsidRPr="00C6754C">
        <w:rPr>
          <w:rFonts w:ascii="Times New Roman Italique" w:hAnsi="Times New Roman Italique"/>
          <w:i/>
          <w:iCs/>
          <w:spacing w:val="2"/>
        </w:rPr>
        <w:t xml:space="preserve">2 abgeändert durch </w:t>
      </w:r>
      <w:r w:rsidR="00D67EB8" w:rsidRPr="00C6754C">
        <w:rPr>
          <w:rFonts w:ascii="Times New Roman Italique" w:hAnsi="Times New Roman Italique"/>
          <w:i/>
          <w:iCs/>
          <w:spacing w:val="2"/>
        </w:rPr>
        <w:t>Art. </w:t>
      </w:r>
      <w:r w:rsidRPr="00C6754C">
        <w:rPr>
          <w:rFonts w:ascii="Times New Roman Italique" w:hAnsi="Times New Roman Italique"/>
          <w:i/>
          <w:iCs/>
          <w:spacing w:val="2"/>
        </w:rPr>
        <w:t xml:space="preserve">4 </w:t>
      </w:r>
      <w:r w:rsidR="00D67EB8" w:rsidRPr="00C6754C">
        <w:rPr>
          <w:rFonts w:ascii="Times New Roman Italique" w:hAnsi="Times New Roman Italique"/>
          <w:i/>
          <w:iCs/>
          <w:spacing w:val="2"/>
        </w:rPr>
        <w:t>Nr. </w:t>
      </w:r>
      <w:r w:rsidRPr="00C6754C">
        <w:rPr>
          <w:rFonts w:ascii="Times New Roman Italique" w:hAnsi="Times New Roman Italique"/>
          <w:i/>
          <w:iCs/>
          <w:spacing w:val="2"/>
        </w:rPr>
        <w:t>1 des K.E.</w:t>
      </w:r>
      <w:r w:rsidR="009E1ACC" w:rsidRPr="00C6754C">
        <w:rPr>
          <w:rFonts w:ascii="Times New Roman Italique" w:hAnsi="Times New Roman Italique"/>
          <w:i/>
          <w:iCs/>
          <w:spacing w:val="2"/>
        </w:rPr>
        <w:t> </w:t>
      </w:r>
      <w:r w:rsidRPr="00C6754C">
        <w:rPr>
          <w:rFonts w:ascii="Times New Roman Italique" w:hAnsi="Times New Roman Italique"/>
          <w:i/>
          <w:iCs/>
          <w:spacing w:val="2"/>
        </w:rPr>
        <w:t>vom 20. Juli 2000 (II) (B.S. vom 30. August 2000)</w:t>
      </w:r>
      <w:r w:rsidR="00D67EB8" w:rsidRPr="00C6754C">
        <w:rPr>
          <w:rFonts w:ascii="Times New Roman Italique" w:hAnsi="Times New Roman Italique"/>
          <w:i/>
          <w:iCs/>
          <w:spacing w:val="2"/>
        </w:rPr>
        <w:t> - </w:t>
      </w:r>
      <w:r w:rsidRPr="00C6754C">
        <w:rPr>
          <w:rFonts w:ascii="Times New Roman Italique" w:hAnsi="Times New Roman Italique"/>
          <w:i/>
          <w:iCs/>
          <w:spacing w:val="2"/>
        </w:rPr>
        <w:t>in Kraft ab dem Steuerjahr</w:t>
      </w:r>
      <w:r w:rsidR="003B78A6" w:rsidRPr="00C6754C">
        <w:rPr>
          <w:rFonts w:ascii="Times New Roman Italique" w:hAnsi="Times New Roman Italique"/>
          <w:i/>
          <w:iCs/>
          <w:spacing w:val="2"/>
        </w:rPr>
        <w:t> </w:t>
      </w:r>
      <w:r w:rsidRPr="00C6754C">
        <w:rPr>
          <w:rFonts w:ascii="Times New Roman Italique" w:hAnsi="Times New Roman Italique"/>
          <w:i/>
          <w:iCs/>
          <w:spacing w:val="2"/>
        </w:rPr>
        <w:t>2002</w:t>
      </w:r>
      <w:r w:rsidR="00FD68E8" w:rsidRPr="00C6754C">
        <w:rPr>
          <w:rFonts w:ascii="Times New Roman Italique" w:hAnsi="Times New Roman Italique"/>
          <w:i/>
          <w:iCs/>
          <w:spacing w:val="2"/>
        </w:rPr>
        <w:t> -]</w:t>
      </w:r>
    </w:p>
    <w:p w14:paraId="21E45B61" w14:textId="77777777" w:rsidR="00477B8F" w:rsidRPr="00C6754C" w:rsidRDefault="00477B8F" w:rsidP="00477B8F">
      <w:pPr>
        <w:autoSpaceDE w:val="0"/>
        <w:autoSpaceDN w:val="0"/>
        <w:adjustRightInd w:val="0"/>
        <w:jc w:val="both"/>
        <w:rPr>
          <w:rFonts w:ascii="Times New Roman Italique" w:hAnsi="Times New Roman Italique"/>
          <w:spacing w:val="2"/>
        </w:rPr>
      </w:pPr>
    </w:p>
    <w:p w14:paraId="50925B73" w14:textId="77777777" w:rsidR="00477B8F" w:rsidRPr="009118AB" w:rsidRDefault="00477B8F" w:rsidP="00477B8F">
      <w:pPr>
        <w:autoSpaceDE w:val="0"/>
        <w:autoSpaceDN w:val="0"/>
        <w:adjustRightInd w:val="0"/>
        <w:jc w:val="both"/>
      </w:pPr>
    </w:p>
    <w:p w14:paraId="20E3F799" w14:textId="404E3AD0" w:rsidR="009760FE" w:rsidRPr="009118AB" w:rsidRDefault="0044431B" w:rsidP="00DA3DC3">
      <w:pPr>
        <w:autoSpaceDE w:val="0"/>
        <w:autoSpaceDN w:val="0"/>
        <w:adjustRightInd w:val="0"/>
        <w:jc w:val="both"/>
      </w:pPr>
      <w:r w:rsidRPr="009118AB">
        <w:rPr>
          <w:b/>
          <w:bCs/>
        </w:rPr>
        <w:tab/>
      </w:r>
      <w:r w:rsidR="00D67EB8" w:rsidRPr="009118AB">
        <w:rPr>
          <w:b/>
          <w:bCs/>
        </w:rPr>
        <w:t>Art. </w:t>
      </w:r>
      <w:r w:rsidR="00477B8F" w:rsidRPr="009118AB">
        <w:rPr>
          <w:b/>
          <w:bCs/>
        </w:rPr>
        <w:t>18</w:t>
      </w:r>
      <w:r w:rsidR="00D67EB8" w:rsidRPr="009118AB">
        <w:t> - </w:t>
      </w:r>
      <w:r w:rsidR="009760FE" w:rsidRPr="009118AB">
        <w:t>Dividenden umfassen:</w:t>
      </w:r>
      <w:r w:rsidR="00DA3DC3" w:rsidRPr="009118AB">
        <w:tab/>
      </w:r>
    </w:p>
    <w:p w14:paraId="649E78C1" w14:textId="77777777" w:rsidR="009760FE" w:rsidRPr="009118AB" w:rsidRDefault="009760FE" w:rsidP="009760FE">
      <w:pPr>
        <w:autoSpaceDE w:val="0"/>
        <w:autoSpaceDN w:val="0"/>
        <w:adjustRightInd w:val="0"/>
        <w:jc w:val="both"/>
      </w:pPr>
    </w:p>
    <w:p w14:paraId="2E8B6B97" w14:textId="77777777" w:rsidR="009760FE" w:rsidRPr="009118AB" w:rsidRDefault="009760FE" w:rsidP="00DA3DC3">
      <w:pPr>
        <w:autoSpaceDE w:val="0"/>
        <w:autoSpaceDN w:val="0"/>
        <w:adjustRightInd w:val="0"/>
        <w:ind w:firstLine="709"/>
        <w:jc w:val="both"/>
      </w:pPr>
      <w:r w:rsidRPr="009118AB">
        <w:t>1. [alle Vorteile, die eine Gesellschaft Aktien, Anteilen und Gewinnanteilen ungeachtet deren Bezeichnung beimisst, ungeachtet aus welchem Grund und in welcher Form diese Vorteile bezogen werden,]</w:t>
      </w:r>
    </w:p>
    <w:p w14:paraId="35AB53C7" w14:textId="77777777" w:rsidR="009760FE" w:rsidRPr="009118AB" w:rsidRDefault="009760FE" w:rsidP="009760FE">
      <w:pPr>
        <w:autoSpaceDE w:val="0"/>
        <w:autoSpaceDN w:val="0"/>
        <w:adjustRightInd w:val="0"/>
        <w:jc w:val="both"/>
      </w:pPr>
    </w:p>
    <w:p w14:paraId="08B9BD8E" w14:textId="77C5DE8A" w:rsidR="009760FE" w:rsidRPr="009118AB" w:rsidRDefault="009760FE" w:rsidP="00DA3DC3">
      <w:pPr>
        <w:autoSpaceDE w:val="0"/>
        <w:autoSpaceDN w:val="0"/>
        <w:adjustRightInd w:val="0"/>
        <w:ind w:firstLine="709"/>
        <w:jc w:val="both"/>
      </w:pPr>
      <w:r w:rsidRPr="009118AB">
        <w:t>2. [</w:t>
      </w:r>
      <w:r w:rsidR="00CA6089" w:rsidRPr="009118AB">
        <w:t xml:space="preserve">vollständige Rückzahlungen oder Teilrückzahlungen von Kapital, mit Ausnahme der Rückzahlungen, für die gemäß Absatz 2 davon ausgegangen wird, dass sie aus dem eingezahlten Kapital oder aus den in </w:t>
      </w:r>
      <w:r w:rsidR="00D67EB8" w:rsidRPr="009118AB">
        <w:t>Nr. </w:t>
      </w:r>
      <w:r w:rsidR="00CA6089" w:rsidRPr="009118AB">
        <w:t>2</w:t>
      </w:r>
      <w:r w:rsidR="00CA6089" w:rsidRPr="009118AB">
        <w:rPr>
          <w:i/>
        </w:rPr>
        <w:t>bis</w:t>
      </w:r>
      <w:r w:rsidR="00CA6089" w:rsidRPr="009118AB">
        <w:t xml:space="preserve"> erwähnten Beträgen, die eingezahltem Kapital gleichgesetzt werden, stammen und die in Ausführung einer ordnungsgemäß getroffenen Entscheidung der Gesellschaft gemäß dem Gesetzbuch der Gesellschaften und Vereinigungen oder, wenn die Gesellschaft diesem Gesetzbuch nicht unterliegt, gemäß den Bestimmungen des Rechts, dem sie unterliegt, geleistet werden,</w:t>
      </w:r>
      <w:r w:rsidRPr="009118AB">
        <w:t>]</w:t>
      </w:r>
    </w:p>
    <w:p w14:paraId="58A9B645" w14:textId="77777777" w:rsidR="009760FE" w:rsidRPr="009118AB" w:rsidRDefault="009760FE" w:rsidP="009760FE">
      <w:pPr>
        <w:autoSpaceDE w:val="0"/>
        <w:autoSpaceDN w:val="0"/>
        <w:adjustRightInd w:val="0"/>
        <w:jc w:val="both"/>
      </w:pPr>
    </w:p>
    <w:p w14:paraId="01C24C10" w14:textId="1A056B99" w:rsidR="009760FE" w:rsidRPr="009118AB" w:rsidRDefault="009760FE" w:rsidP="00DA3DC3">
      <w:pPr>
        <w:autoSpaceDE w:val="0"/>
        <w:autoSpaceDN w:val="0"/>
        <w:adjustRightInd w:val="0"/>
        <w:ind w:firstLine="709"/>
        <w:jc w:val="both"/>
      </w:pPr>
      <w:r w:rsidRPr="009118AB">
        <w:lastRenderedPageBreak/>
        <w:t>[2</w:t>
      </w:r>
      <w:r w:rsidRPr="009118AB">
        <w:rPr>
          <w:i/>
          <w:iCs/>
        </w:rPr>
        <w:t>bis</w:t>
      </w:r>
      <w:r w:rsidRPr="009118AB">
        <w:t>. [</w:t>
      </w:r>
      <w:r w:rsidR="00CA6089" w:rsidRPr="009118AB">
        <w:t>vollständige Rückzahlungen oder Teilrückzahlungen von Emissionsagien und von anderen Beträgen, die anlässlich der Ausgabe von Aktien oder Anteilen oder von Gewinnanteilen gezeichnet werden, mit Ausnahme der Rückzahlungen von Beträgen, die gemäß Artikel 184 Absatz 2 eingezahltem Kapital gleichgesetzt werden, die in Ausführung einer ordnungsgemäß getroffenen Entscheidung der Gesellschaft gemäß dem Gesetzbuch der Gesellschaften und Vereinigungen oder, wenn die Gesellschaft diesem Gesetzbuch nicht unterliegt, gemäß den Bestimmungen des Rechts, dem sie unterliegt, geleistet werden, in dem Maße, wie gemäß Absatz 2 davon ausgegangen wird, dass diese Rückzahlungen aus dem eingezahlten Kapital oder aus den vorerwähnten Beträgen, die eingezahltem Kapital gleichgesetzt werden, stammen,</w:t>
      </w:r>
      <w:r w:rsidRPr="009118AB">
        <w:t>]]</w:t>
      </w:r>
    </w:p>
    <w:p w14:paraId="15ECB0DF" w14:textId="77777777" w:rsidR="009760FE" w:rsidRPr="009118AB" w:rsidRDefault="009760FE" w:rsidP="009760FE">
      <w:pPr>
        <w:autoSpaceDE w:val="0"/>
        <w:autoSpaceDN w:val="0"/>
        <w:adjustRightInd w:val="0"/>
        <w:jc w:val="both"/>
      </w:pPr>
    </w:p>
    <w:p w14:paraId="344A1130" w14:textId="77777777" w:rsidR="009760FE" w:rsidRPr="009118AB" w:rsidRDefault="009760FE" w:rsidP="00DA3DC3">
      <w:pPr>
        <w:autoSpaceDE w:val="0"/>
        <w:autoSpaceDN w:val="0"/>
        <w:adjustRightInd w:val="0"/>
        <w:ind w:firstLine="709"/>
        <w:jc w:val="both"/>
      </w:pPr>
      <w:r w:rsidRPr="009118AB">
        <w:t>[2</w:t>
      </w:r>
      <w:r w:rsidRPr="009118AB">
        <w:rPr>
          <w:i/>
          <w:iCs/>
        </w:rPr>
        <w:t>ter</w:t>
      </w:r>
      <w:r w:rsidRPr="009118AB">
        <w:t>. [Beträge, die in den Artikeln 186, 187 und 209 im Falle der Gesamt- oder Teilverteilung des Gesellschaftsvermögens einer inländischen oder ausländischen Gesell</w:t>
      </w:r>
      <w:r w:rsidRPr="009118AB">
        <w:softHyphen/>
        <w:t>schaft oder des Erwerbs eigener Aktien oder Anteile durch eine solche Gesellschaft als Dividenden definiert werden,]]</w:t>
      </w:r>
    </w:p>
    <w:p w14:paraId="1882356F" w14:textId="77777777" w:rsidR="009760FE" w:rsidRPr="009118AB" w:rsidRDefault="009760FE" w:rsidP="009760FE">
      <w:pPr>
        <w:autoSpaceDE w:val="0"/>
        <w:autoSpaceDN w:val="0"/>
        <w:adjustRightInd w:val="0"/>
        <w:jc w:val="both"/>
      </w:pPr>
    </w:p>
    <w:p w14:paraId="56489261" w14:textId="0DCEFAA4" w:rsidR="009760FE" w:rsidRPr="009118AB" w:rsidRDefault="009760FE" w:rsidP="00DA3DC3">
      <w:pPr>
        <w:autoSpaceDE w:val="0"/>
        <w:autoSpaceDN w:val="0"/>
        <w:adjustRightInd w:val="0"/>
        <w:ind w:firstLine="709"/>
        <w:jc w:val="both"/>
      </w:pPr>
      <w:r w:rsidRPr="009118AB">
        <w:t xml:space="preserve">[3. [andere als in </w:t>
      </w:r>
      <w:r w:rsidR="00D67EB8" w:rsidRPr="009118AB">
        <w:t>Nr. </w:t>
      </w:r>
      <w:r w:rsidRPr="009118AB">
        <w:t>1, 2, 2</w:t>
      </w:r>
      <w:r w:rsidRPr="009118AB">
        <w:rPr>
          <w:i/>
        </w:rPr>
        <w:t>bis</w:t>
      </w:r>
      <w:r w:rsidRPr="009118AB">
        <w:t xml:space="preserve"> und 2</w:t>
      </w:r>
      <w:r w:rsidRPr="009118AB">
        <w:rPr>
          <w:i/>
        </w:rPr>
        <w:t>ter</w:t>
      </w:r>
      <w:r w:rsidRPr="009118AB">
        <w:t xml:space="preserve"> erwähnte Beträge, </w:t>
      </w:r>
      <w:r w:rsidR="00D0654E">
        <w:t>[[</w:t>
      </w:r>
      <w:r w:rsidR="00D0654E" w:rsidRPr="00FF1F87">
        <w:t>die zuerkannt oder ausgeschüttet werden von einer Körperschaft, die für mindestens einen der drei abgelaufenen Besteuerungszeiträume als Rechtsvereinbarung galt, die nicht aufgrund von Artikel 5/1 § 3 von der Anwendung des Artikels 5/1 § 1 oder des Artikels 220/1 ausgeschlossen ist</w:t>
      </w:r>
      <w:r w:rsidR="00D0654E">
        <w:t>]</w:t>
      </w:r>
      <w:r w:rsidR="00514056" w:rsidRPr="009118AB">
        <w:t xml:space="preserve">, </w:t>
      </w:r>
      <w:r w:rsidR="00D0654E">
        <w:t>[...]</w:t>
      </w:r>
      <w:r w:rsidR="00514056" w:rsidRPr="009118AB">
        <w:t>]</w:t>
      </w:r>
      <w:r w:rsidRPr="009118AB">
        <w:t xml:space="preserve"> </w:t>
      </w:r>
      <w:r w:rsidR="00514056" w:rsidRPr="009118AB">
        <w:t>[in dem Maße, wie der Steuerpflichtige nicht nachge</w:t>
      </w:r>
      <w:r w:rsidR="00514056" w:rsidRPr="009118AB">
        <w:softHyphen/>
        <w:t>wiesen hat, dass diese Zuerkennung oder Ausschüttung zu einer Verringerung des Vermögens der Rechtsvereinbarung bis zu einem Betrag führen würde, der unter dem vom Gründer eingebrachten Kapitalvermögen liegt,]</w:t>
      </w:r>
      <w:r w:rsidRPr="009118AB">
        <w:t>]]</w:t>
      </w:r>
    </w:p>
    <w:p w14:paraId="39246FC7" w14:textId="77777777" w:rsidR="009760FE" w:rsidRDefault="009760FE" w:rsidP="009760FE">
      <w:pPr>
        <w:autoSpaceDE w:val="0"/>
        <w:autoSpaceDN w:val="0"/>
        <w:adjustRightInd w:val="0"/>
        <w:jc w:val="both"/>
      </w:pPr>
    </w:p>
    <w:p w14:paraId="22664969" w14:textId="77777777" w:rsidR="00917C85" w:rsidRPr="00FF1F87" w:rsidRDefault="00917C85" w:rsidP="00917C85">
      <w:pPr>
        <w:ind w:firstLine="708"/>
        <w:jc w:val="both"/>
      </w:pPr>
      <w:r>
        <w:tab/>
        <w:t>[</w:t>
      </w:r>
      <w:r w:rsidRPr="00FF1F87">
        <w:t>3/1. nicht ausgeschüttete Gewinne einer in Artikel 2 § 1 Nr. 13 Buchstabe </w:t>
      </w:r>
      <w:r w:rsidRPr="00FF1F87">
        <w:rPr>
          <w:i/>
          <w:iCs/>
        </w:rPr>
        <w:t>a)</w:t>
      </w:r>
      <w:r w:rsidRPr="00FF1F87">
        <w:t xml:space="preserve"> und </w:t>
      </w:r>
      <w:r w:rsidRPr="00FF1F87">
        <w:rPr>
          <w:i/>
          <w:iCs/>
        </w:rPr>
        <w:t>b)</w:t>
      </w:r>
      <w:r w:rsidRPr="00FF1F87">
        <w:t xml:space="preserve"> erwähnten Rechtsvereinbarung, für die davon ausgegangen wird, dass sie dem Gründer einer Rechtsvereinbarung zuerkannt oder ausgeschüttet werden zu dem Zeitpunkt, zu dem:</w:t>
      </w:r>
    </w:p>
    <w:p w14:paraId="491B1237" w14:textId="77777777" w:rsidR="00917C85" w:rsidRPr="00FF1F87" w:rsidRDefault="00917C85" w:rsidP="00917C85">
      <w:pPr>
        <w:jc w:val="both"/>
      </w:pPr>
    </w:p>
    <w:p w14:paraId="2E96B65A" w14:textId="77777777" w:rsidR="00917C85" w:rsidRPr="00FF1F87" w:rsidRDefault="00917C85" w:rsidP="00917C85">
      <w:pPr>
        <w:ind w:firstLine="708"/>
        <w:jc w:val="both"/>
      </w:pPr>
      <w:r w:rsidRPr="00FF1F87">
        <w:t>- die wirtschaftlichen Rechte, die Aktien oder Anteile beziehungsweise die Aktiva der Rechtsvereinbarung in eine andere Rechtsvereinbarung oder juristische Person eingebracht werden oder in einen anderen Staat oder ein anderes Steuergebiet als Belgien übertragen werden oder</w:t>
      </w:r>
    </w:p>
    <w:p w14:paraId="66DE6386" w14:textId="77777777" w:rsidR="00917C85" w:rsidRPr="00FF1F87" w:rsidRDefault="00917C85" w:rsidP="00917C85">
      <w:pPr>
        <w:jc w:val="both"/>
      </w:pPr>
    </w:p>
    <w:p w14:paraId="7C9CFACC" w14:textId="77777777" w:rsidR="00917C85" w:rsidRPr="00FF1F87" w:rsidRDefault="00917C85" w:rsidP="00917C85">
      <w:pPr>
        <w:ind w:firstLine="708"/>
        <w:jc w:val="both"/>
      </w:pPr>
      <w:r w:rsidRPr="00FF1F87">
        <w:t>- die natürliche Person, die Gründer dieser Rechtsvereinbarung ist, ihren Wohn- oder Vermögenssitz ins Ausland verlegt oder</w:t>
      </w:r>
    </w:p>
    <w:p w14:paraId="2D4E4C43" w14:textId="77777777" w:rsidR="00917C85" w:rsidRPr="00FF1F87" w:rsidRDefault="00917C85" w:rsidP="00917C85">
      <w:pPr>
        <w:jc w:val="both"/>
      </w:pPr>
    </w:p>
    <w:p w14:paraId="2D9F29E6" w14:textId="195C3B96" w:rsidR="00917C85" w:rsidRDefault="00917C85" w:rsidP="00917C85">
      <w:pPr>
        <w:autoSpaceDE w:val="0"/>
        <w:autoSpaceDN w:val="0"/>
        <w:adjustRightInd w:val="0"/>
        <w:ind w:firstLine="708"/>
        <w:jc w:val="both"/>
      </w:pPr>
      <w:r w:rsidRPr="00FF1F87">
        <w:t>- die Hauptniederlassung oder der Geschäftsführungs- oder Verwaltungssitz der in Artikel 220 erwähnten juristischen Person, die Gründer dieser Rechtsvereinbarung ist, ins Ausland verlegt wird,</w:t>
      </w:r>
      <w:r>
        <w:t>]</w:t>
      </w:r>
    </w:p>
    <w:p w14:paraId="3971FBCC" w14:textId="77777777" w:rsidR="00917C85" w:rsidRPr="009118AB" w:rsidRDefault="00917C85" w:rsidP="00917C85">
      <w:pPr>
        <w:autoSpaceDE w:val="0"/>
        <w:autoSpaceDN w:val="0"/>
        <w:adjustRightInd w:val="0"/>
        <w:ind w:firstLine="708"/>
        <w:jc w:val="both"/>
      </w:pPr>
    </w:p>
    <w:p w14:paraId="45E0E548" w14:textId="77777777" w:rsidR="009760FE" w:rsidRPr="009118AB" w:rsidRDefault="009760FE" w:rsidP="00DA3DC3">
      <w:pPr>
        <w:autoSpaceDE w:val="0"/>
        <w:autoSpaceDN w:val="0"/>
        <w:adjustRightInd w:val="0"/>
        <w:ind w:firstLine="709"/>
        <w:jc w:val="both"/>
      </w:pPr>
      <w:r w:rsidRPr="009118AB">
        <w:t>[4.] [Zinsen auf Vorschüsse, wenn einer der folgenden Grenzwerte überschritten wird und im Maße dieser Überschreitung:</w:t>
      </w:r>
    </w:p>
    <w:p w14:paraId="5FC8D9A4" w14:textId="77777777" w:rsidR="009760FE" w:rsidRPr="009118AB" w:rsidRDefault="009760FE" w:rsidP="009760FE">
      <w:pPr>
        <w:autoSpaceDE w:val="0"/>
        <w:autoSpaceDN w:val="0"/>
        <w:adjustRightInd w:val="0"/>
        <w:jc w:val="both"/>
      </w:pPr>
    </w:p>
    <w:p w14:paraId="3752444B" w14:textId="77777777" w:rsidR="009760FE" w:rsidRPr="009118AB" w:rsidRDefault="009760FE" w:rsidP="00DA3DC3">
      <w:pPr>
        <w:autoSpaceDE w:val="0"/>
        <w:autoSpaceDN w:val="0"/>
        <w:adjustRightInd w:val="0"/>
        <w:ind w:firstLine="709"/>
        <w:jc w:val="both"/>
      </w:pPr>
      <w:r w:rsidRPr="009118AB">
        <w:t>- entweder der in Artikel 55 bestimmte Grenzwert</w:t>
      </w:r>
    </w:p>
    <w:p w14:paraId="6A12B14F" w14:textId="77777777" w:rsidR="009760FE" w:rsidRPr="009118AB" w:rsidRDefault="009760FE" w:rsidP="009760FE">
      <w:pPr>
        <w:autoSpaceDE w:val="0"/>
        <w:autoSpaceDN w:val="0"/>
        <w:adjustRightInd w:val="0"/>
        <w:jc w:val="both"/>
      </w:pPr>
    </w:p>
    <w:p w14:paraId="6A290926" w14:textId="77777777" w:rsidR="009760FE" w:rsidRPr="009118AB" w:rsidRDefault="009760FE" w:rsidP="00DA3DC3">
      <w:pPr>
        <w:autoSpaceDE w:val="0"/>
        <w:autoSpaceDN w:val="0"/>
        <w:adjustRightInd w:val="0"/>
        <w:ind w:firstLine="709"/>
        <w:jc w:val="both"/>
      </w:pPr>
      <w:r w:rsidRPr="009118AB">
        <w:t>- [oder wenn der Gesamtbetrag der verzinslichen Vorschüsse die Summe der besteuerten Rücklagen zu Beginn des Besteuerungszeitraums und des eingezahlten Kapitals am Ende dieses Zeitraums übersteigt.]]</w:t>
      </w:r>
    </w:p>
    <w:p w14:paraId="4350F4C2" w14:textId="77777777" w:rsidR="009760FE" w:rsidRPr="009118AB" w:rsidRDefault="009760FE" w:rsidP="009760FE">
      <w:pPr>
        <w:autoSpaceDE w:val="0"/>
        <w:autoSpaceDN w:val="0"/>
        <w:adjustRightInd w:val="0"/>
        <w:jc w:val="both"/>
      </w:pPr>
    </w:p>
    <w:p w14:paraId="596F7986" w14:textId="77777777" w:rsidR="00917C85" w:rsidRDefault="00917C85">
      <w:r>
        <w:br w:type="page"/>
      </w:r>
    </w:p>
    <w:p w14:paraId="6478F302" w14:textId="6DAE7947" w:rsidR="00CA6089" w:rsidRPr="009118AB" w:rsidRDefault="009760FE" w:rsidP="001A3B85">
      <w:pPr>
        <w:ind w:firstLine="709"/>
        <w:jc w:val="both"/>
      </w:pPr>
      <w:r w:rsidRPr="009118AB">
        <w:lastRenderedPageBreak/>
        <w:t>[</w:t>
      </w:r>
      <w:r w:rsidR="00CA6089" w:rsidRPr="009118AB">
        <w:t xml:space="preserve">Unbeschadet der Anwendung von Artikel 537 und von Absatz 7 des vorliegenden Artikels wird davon ausgegangen, dass die in Absatz 1 </w:t>
      </w:r>
      <w:r w:rsidR="00D67EB8" w:rsidRPr="009118AB">
        <w:t>Nr. </w:t>
      </w:r>
      <w:r w:rsidR="00CA6089" w:rsidRPr="009118AB">
        <w:t>2 und 2</w:t>
      </w:r>
      <w:r w:rsidR="00CA6089" w:rsidRPr="009118AB">
        <w:rPr>
          <w:i/>
          <w:iCs/>
        </w:rPr>
        <w:t>bis</w:t>
      </w:r>
      <w:r w:rsidR="00CA6089" w:rsidRPr="009118AB">
        <w:t xml:space="preserve"> erwähnten Rückzahlungen:</w:t>
      </w:r>
    </w:p>
    <w:p w14:paraId="0F0F6D56" w14:textId="77777777" w:rsidR="00CA6089" w:rsidRPr="009118AB" w:rsidRDefault="00CA6089" w:rsidP="00CA6089">
      <w:pPr>
        <w:jc w:val="both"/>
      </w:pPr>
    </w:p>
    <w:p w14:paraId="5DE229B9" w14:textId="7C627024" w:rsidR="00CA6089" w:rsidRPr="009118AB" w:rsidRDefault="00CA6089" w:rsidP="00CA6089">
      <w:pPr>
        <w:jc w:val="both"/>
      </w:pPr>
      <w:r w:rsidRPr="009118AB">
        <w:tab/>
        <w:t xml:space="preserve">- aus dem eingezahlten Kapital und aus den in Absatz 1 </w:t>
      </w:r>
      <w:r w:rsidR="00D67EB8" w:rsidRPr="009118AB">
        <w:t>Nr. </w:t>
      </w:r>
      <w:r w:rsidRPr="009118AB">
        <w:t>2</w:t>
      </w:r>
      <w:r w:rsidRPr="009118AB">
        <w:rPr>
          <w:i/>
        </w:rPr>
        <w:t>bis</w:t>
      </w:r>
      <w:r w:rsidRPr="009118AB">
        <w:t xml:space="preserve"> erwähnten Beträgen, die eingezahltem Kapital gleichgesetzt werden, stammen, und zwar bis zu einem Prozentsatz, der das Verhältnis ausdrückt zwischen der Summe des eingezahlten Kapitals und der vorerwähnten Beträge, die eingezahltem Kapital gleichgesetzt werden, im Zähler und der Summe der besteuerten Rücklagen, der dem Kapital zugeführten steuerfreien Rücklagen und des im Zähler bestimmten Betrags im Nenner,</w:t>
      </w:r>
    </w:p>
    <w:p w14:paraId="486781DD" w14:textId="77777777" w:rsidR="00CA6089" w:rsidRPr="009118AB" w:rsidRDefault="00CA6089" w:rsidP="00CA6089">
      <w:pPr>
        <w:jc w:val="both"/>
      </w:pPr>
    </w:p>
    <w:p w14:paraId="45EDC517" w14:textId="77777777" w:rsidR="00CA6089" w:rsidRPr="009118AB" w:rsidRDefault="00CA6089" w:rsidP="00CA6089">
      <w:pPr>
        <w:jc w:val="both"/>
      </w:pPr>
      <w:r w:rsidRPr="009118AB">
        <w:tab/>
        <w:t>- für den Restbetrag aus den besteuerten Rücklagen und aus den dem Kapital zugeführten steuerfreien Rücklagen stammen.</w:t>
      </w:r>
    </w:p>
    <w:p w14:paraId="4DAED9F9" w14:textId="77777777" w:rsidR="00CA6089" w:rsidRPr="009118AB" w:rsidRDefault="00CA6089" w:rsidP="00CA6089">
      <w:pPr>
        <w:jc w:val="both"/>
      </w:pPr>
    </w:p>
    <w:p w14:paraId="47ECFE66" w14:textId="77777777" w:rsidR="00CA6089" w:rsidRPr="009118AB" w:rsidRDefault="00CA6089" w:rsidP="00CA6089">
      <w:pPr>
        <w:jc w:val="both"/>
      </w:pPr>
      <w:r w:rsidRPr="009118AB">
        <w:tab/>
        <w:t>Unbeschadet der Anwendung von Absatz 7 werden die wie im vorhergehenden Absatz bestimmten Rückzahlungen wie folgt angerechnet:</w:t>
      </w:r>
    </w:p>
    <w:p w14:paraId="69E859D5" w14:textId="77777777" w:rsidR="00CA6089" w:rsidRPr="009118AB" w:rsidRDefault="00CA6089" w:rsidP="00CA6089">
      <w:pPr>
        <w:jc w:val="both"/>
      </w:pPr>
    </w:p>
    <w:p w14:paraId="11CB24DC" w14:textId="77777777" w:rsidR="00CA6089" w:rsidRPr="009118AB" w:rsidRDefault="00CA6089" w:rsidP="00CA6089">
      <w:pPr>
        <w:jc w:val="both"/>
      </w:pPr>
      <w:r w:rsidRPr="009118AB">
        <w:tab/>
      </w:r>
      <w:r w:rsidRPr="009118AB">
        <w:rPr>
          <w:i/>
        </w:rPr>
        <w:t>a)</w:t>
      </w:r>
      <w:r w:rsidRPr="009118AB">
        <w:t> was den Anteil betrifft, für den davon ausgegangen wird, dass er aus den Rücklagen stammt, zunächst auf die dem Kapital zugeführten besteuerten Rücklagen, dann auf die nicht dem Kapital zugeführten besteuerten Rücklagen und schließlich auf die dem Kapital zugeführten steuerfreien Rücklagen,</w:t>
      </w:r>
    </w:p>
    <w:p w14:paraId="3951D5A7" w14:textId="77777777" w:rsidR="00CA6089" w:rsidRPr="009118AB" w:rsidRDefault="00CA6089" w:rsidP="00CA6089">
      <w:pPr>
        <w:jc w:val="both"/>
      </w:pPr>
    </w:p>
    <w:p w14:paraId="137E3752" w14:textId="77777777" w:rsidR="00CA6089" w:rsidRPr="009118AB" w:rsidRDefault="00CA6089" w:rsidP="00CA6089">
      <w:pPr>
        <w:jc w:val="both"/>
      </w:pPr>
      <w:r w:rsidRPr="009118AB">
        <w:tab/>
      </w:r>
      <w:r w:rsidRPr="009118AB">
        <w:rPr>
          <w:i/>
        </w:rPr>
        <w:t>b)</w:t>
      </w:r>
      <w:r w:rsidRPr="009118AB">
        <w:t> was den Anteil betrifft, für den davon ausgegangen wird, dass er aus dem eingezahlten Kapital und aus den vorerwähnten Beträgen, die eingezahltem Kapital gleichgesetzt werden, stammt:</w:t>
      </w:r>
    </w:p>
    <w:p w14:paraId="6C1CFB7C" w14:textId="77777777" w:rsidR="00CA6089" w:rsidRPr="009118AB" w:rsidRDefault="00CA6089" w:rsidP="00CA6089">
      <w:pPr>
        <w:jc w:val="both"/>
      </w:pPr>
    </w:p>
    <w:p w14:paraId="2EE8B4D1" w14:textId="120EB949" w:rsidR="00CA6089" w:rsidRPr="009118AB" w:rsidRDefault="00CA6089" w:rsidP="00CA6089">
      <w:pPr>
        <w:jc w:val="both"/>
      </w:pPr>
      <w:r w:rsidRPr="009118AB">
        <w:tab/>
        <w:t xml:space="preserve">- im Falle einer in Absatz 1 </w:t>
      </w:r>
      <w:r w:rsidR="00D67EB8" w:rsidRPr="009118AB">
        <w:t>Nr. </w:t>
      </w:r>
      <w:r w:rsidRPr="009118AB">
        <w:t>2 erwähnten Rückzahlung von Kapital zunächst auf das eingezahlte Kapital und, wenn dieser Betrag nicht ausreicht, auf die vorerwähnten Beträge, die eingezahltem Kapital gleichgesetzt werden, wobei mit den Emissionsagien begonnen wird,</w:t>
      </w:r>
    </w:p>
    <w:p w14:paraId="306D77A4" w14:textId="77777777" w:rsidR="00CA6089" w:rsidRPr="009118AB" w:rsidRDefault="00CA6089" w:rsidP="00CA6089">
      <w:pPr>
        <w:jc w:val="both"/>
      </w:pPr>
    </w:p>
    <w:p w14:paraId="72938D84" w14:textId="090E1594" w:rsidR="00CA6089" w:rsidRPr="009118AB" w:rsidRDefault="00CA6089" w:rsidP="00CA6089">
      <w:pPr>
        <w:jc w:val="both"/>
      </w:pPr>
      <w:r w:rsidRPr="009118AB">
        <w:tab/>
        <w:t xml:space="preserve">- im Falle einer in Absatz 1 </w:t>
      </w:r>
      <w:r w:rsidR="00D67EB8" w:rsidRPr="009118AB">
        <w:t>Nr. </w:t>
      </w:r>
      <w:r w:rsidRPr="009118AB">
        <w:t>2</w:t>
      </w:r>
      <w:r w:rsidRPr="009118AB">
        <w:rPr>
          <w:i/>
          <w:iCs/>
        </w:rPr>
        <w:t>bis</w:t>
      </w:r>
      <w:r w:rsidRPr="009118AB">
        <w:t xml:space="preserve"> erwähnten Rückzahlung von Emissionsagien zunächst auf die Emissionsagien, die eingezahltem Kapital gleichgesetzt werden, und, wenn dieser Betrag nicht ausreicht, nacheinander auf das eingezahlte Kapital und auf die anderen Beträge, die anlässlich der Ausgabe von Aktien oder Anteilen oder von Gewinnanteilen gezeichnet werden und die eingezahltem Kapital gleichgesetzt werden,</w:t>
      </w:r>
    </w:p>
    <w:p w14:paraId="21A8F0F9" w14:textId="77777777" w:rsidR="00CA6089" w:rsidRPr="009118AB" w:rsidRDefault="00CA6089" w:rsidP="00CA6089">
      <w:pPr>
        <w:jc w:val="both"/>
      </w:pPr>
    </w:p>
    <w:p w14:paraId="28AC66C3" w14:textId="5121B169" w:rsidR="009760FE" w:rsidRPr="009118AB" w:rsidRDefault="00CA6089" w:rsidP="00CA6089">
      <w:pPr>
        <w:autoSpaceDE w:val="0"/>
        <w:autoSpaceDN w:val="0"/>
        <w:adjustRightInd w:val="0"/>
        <w:ind w:firstLine="709"/>
        <w:jc w:val="both"/>
      </w:pPr>
      <w:r w:rsidRPr="009118AB">
        <w:t xml:space="preserve">- im Falle einer in Absatz 1 </w:t>
      </w:r>
      <w:r w:rsidR="00D67EB8" w:rsidRPr="009118AB">
        <w:t>Nr. </w:t>
      </w:r>
      <w:r w:rsidRPr="009118AB">
        <w:t>2</w:t>
      </w:r>
      <w:r w:rsidRPr="009118AB">
        <w:rPr>
          <w:i/>
          <w:iCs/>
        </w:rPr>
        <w:t>bis</w:t>
      </w:r>
      <w:r w:rsidRPr="009118AB">
        <w:t xml:space="preserve"> erwähnten Rückzahlung von anderen Beträgen, die anlässlich der Ausgabe von Aktien oder Anteilen oder von Gewinnanteilen gezeichnet werden, zunächst auf diese anderen Beträge, die eingezahltem Kapital gleichgesetzt werden, und, wenn dieser Betrag nicht ausreicht, nacheinander auf das eingezahlte Kapital und auf die Emissionsagien, die eingezahltem Kapital gleichgesetzt werden.]</w:t>
      </w:r>
    </w:p>
    <w:p w14:paraId="78EF0BEC" w14:textId="77777777" w:rsidR="009760FE" w:rsidRPr="009118AB" w:rsidRDefault="009760FE" w:rsidP="009760FE">
      <w:pPr>
        <w:autoSpaceDE w:val="0"/>
        <w:autoSpaceDN w:val="0"/>
        <w:adjustRightInd w:val="0"/>
        <w:jc w:val="both"/>
      </w:pPr>
    </w:p>
    <w:p w14:paraId="05A948B6" w14:textId="54EAAE2F" w:rsidR="009760FE" w:rsidRPr="009118AB" w:rsidRDefault="00AC038F" w:rsidP="00DA3DC3">
      <w:pPr>
        <w:autoSpaceDE w:val="0"/>
        <w:autoSpaceDN w:val="0"/>
        <w:adjustRightInd w:val="0"/>
        <w:ind w:firstLine="709"/>
        <w:jc w:val="both"/>
      </w:pPr>
      <w:r w:rsidRPr="009118AB">
        <w:t>[</w:t>
      </w:r>
      <w:r w:rsidR="009760FE" w:rsidRPr="009118AB">
        <w:t xml:space="preserve">Für die Anwendung von </w:t>
      </w:r>
      <w:r w:rsidR="001A3B85" w:rsidRPr="009118AB">
        <w:t>[</w:t>
      </w:r>
      <w:r w:rsidR="009760FE" w:rsidRPr="009118AB">
        <w:t>Absatz </w:t>
      </w:r>
      <w:r w:rsidR="001A3B85" w:rsidRPr="009118AB">
        <w:t>2]</w:t>
      </w:r>
      <w:r w:rsidR="009760FE" w:rsidRPr="009118AB">
        <w:t xml:space="preserve"> wird der Betrag der Rücklagen am Ende des Besteuerungszeitraums vor dem Besteuerungszeitraum bestimmt, in dem die in Absatz 1 </w:t>
      </w:r>
      <w:r w:rsidR="00D67EB8" w:rsidRPr="009118AB">
        <w:t>Nr. </w:t>
      </w:r>
      <w:r w:rsidR="009760FE" w:rsidRPr="009118AB">
        <w:t>2 und 2</w:t>
      </w:r>
      <w:r w:rsidR="009760FE" w:rsidRPr="009118AB">
        <w:rPr>
          <w:i/>
        </w:rPr>
        <w:t>bis</w:t>
      </w:r>
      <w:r w:rsidR="009760FE" w:rsidRPr="009118AB">
        <w:t xml:space="preserve"> erwähnten Beträge zurückgezahlt werden, abzüglich des Betrags der Zwischen</w:t>
      </w:r>
      <w:r w:rsidR="009760FE" w:rsidRPr="009118AB">
        <w:softHyphen/>
        <w:t>dividenden, die während des Besteuerungszeitraums und spätestens zum Zeitpunkt der Rückzahlung ausgeschüttet werden.</w:t>
      </w:r>
      <w:r w:rsidRPr="009118AB">
        <w:t>]</w:t>
      </w:r>
    </w:p>
    <w:p w14:paraId="4A5717DA" w14:textId="77777777" w:rsidR="009760FE" w:rsidRPr="009118AB" w:rsidRDefault="009760FE" w:rsidP="009760FE">
      <w:pPr>
        <w:autoSpaceDE w:val="0"/>
        <w:autoSpaceDN w:val="0"/>
        <w:adjustRightInd w:val="0"/>
        <w:jc w:val="both"/>
      </w:pPr>
    </w:p>
    <w:p w14:paraId="282615E2" w14:textId="77777777" w:rsidR="00917C85" w:rsidRDefault="00917C85">
      <w:r>
        <w:br w:type="page"/>
      </w:r>
    </w:p>
    <w:p w14:paraId="0A3AE6B5" w14:textId="2495F6B4" w:rsidR="009760FE" w:rsidRPr="009118AB" w:rsidRDefault="00AC038F" w:rsidP="00DA3DC3">
      <w:pPr>
        <w:autoSpaceDE w:val="0"/>
        <w:autoSpaceDN w:val="0"/>
        <w:adjustRightInd w:val="0"/>
        <w:ind w:firstLine="709"/>
        <w:jc w:val="both"/>
      </w:pPr>
      <w:r w:rsidRPr="009118AB">
        <w:lastRenderedPageBreak/>
        <w:t>[</w:t>
      </w:r>
      <w:r w:rsidR="009760FE" w:rsidRPr="009118AB">
        <w:t>Bei der Bestimmung der in den Absätzen 2 und 3 erwähnten Pro-rata-Sätze wird Folgendes nicht berücksichtigt:</w:t>
      </w:r>
    </w:p>
    <w:p w14:paraId="10B15F6F" w14:textId="77777777" w:rsidR="009760FE" w:rsidRPr="009118AB" w:rsidRDefault="009760FE" w:rsidP="009760FE">
      <w:pPr>
        <w:autoSpaceDE w:val="0"/>
        <w:autoSpaceDN w:val="0"/>
        <w:adjustRightInd w:val="0"/>
        <w:jc w:val="both"/>
      </w:pPr>
    </w:p>
    <w:p w14:paraId="7FA6E935" w14:textId="77777777" w:rsidR="009760FE" w:rsidRPr="009118AB" w:rsidRDefault="009760FE" w:rsidP="00DA3DC3">
      <w:pPr>
        <w:autoSpaceDE w:val="0"/>
        <w:autoSpaceDN w:val="0"/>
        <w:adjustRightInd w:val="0"/>
        <w:ind w:firstLine="709"/>
        <w:jc w:val="both"/>
      </w:pPr>
      <w:r w:rsidRPr="009118AB">
        <w:t>- negative besteuerte Rücklagen, die keinen Verlustvortrag darstellen und die nicht anlässlich einer Kapitalrückzahlung oder einer Rückzahlung von vorerwähnten Beträgen, die eingezahltem Kapital gleichgesetzt werden, gebildet werden,</w:t>
      </w:r>
    </w:p>
    <w:p w14:paraId="414D85D3" w14:textId="77777777" w:rsidR="009760FE" w:rsidRPr="009118AB" w:rsidRDefault="009760FE" w:rsidP="009760FE">
      <w:pPr>
        <w:autoSpaceDE w:val="0"/>
        <w:autoSpaceDN w:val="0"/>
        <w:adjustRightInd w:val="0"/>
        <w:jc w:val="both"/>
      </w:pPr>
    </w:p>
    <w:p w14:paraId="5613B4F6" w14:textId="3A38A446" w:rsidR="009760FE" w:rsidRPr="009118AB" w:rsidRDefault="009760FE" w:rsidP="00DA3DC3">
      <w:pPr>
        <w:autoSpaceDE w:val="0"/>
        <w:autoSpaceDN w:val="0"/>
        <w:adjustRightInd w:val="0"/>
        <w:ind w:firstLine="709"/>
        <w:jc w:val="both"/>
      </w:pPr>
      <w:r w:rsidRPr="009118AB">
        <w:t xml:space="preserve">- steuerfreie Rücklagen wie in Artikel 44 </w:t>
      </w:r>
      <w:r w:rsidR="00D67EB8" w:rsidRPr="009118AB">
        <w:t>§ </w:t>
      </w:r>
      <w:r w:rsidRPr="009118AB">
        <w:t xml:space="preserve">1 </w:t>
      </w:r>
      <w:r w:rsidR="00D67EB8" w:rsidRPr="009118AB">
        <w:t>Nr. </w:t>
      </w:r>
      <w:r w:rsidRPr="009118AB">
        <w:t>1 erwähnt und andere steuerfreie Rücklagen, die nicht dem Kapital zugeführt werden,</w:t>
      </w:r>
    </w:p>
    <w:p w14:paraId="4D121BE1" w14:textId="77777777" w:rsidR="009760FE" w:rsidRPr="009118AB" w:rsidRDefault="009760FE" w:rsidP="009760FE">
      <w:pPr>
        <w:autoSpaceDE w:val="0"/>
        <w:autoSpaceDN w:val="0"/>
        <w:adjustRightInd w:val="0"/>
        <w:jc w:val="both"/>
      </w:pPr>
    </w:p>
    <w:p w14:paraId="4AC470C3" w14:textId="4B3C9C6E" w:rsidR="009760FE" w:rsidRPr="009118AB" w:rsidRDefault="009760FE" w:rsidP="00DA3DC3">
      <w:pPr>
        <w:autoSpaceDE w:val="0"/>
        <w:autoSpaceDN w:val="0"/>
        <w:adjustRightInd w:val="0"/>
        <w:ind w:firstLine="709"/>
        <w:jc w:val="both"/>
      </w:pPr>
      <w:r w:rsidRPr="009118AB">
        <w:t xml:space="preserve">- steuerfreie Rücklagen wie in Artikel 44 </w:t>
      </w:r>
      <w:r w:rsidR="00D67EB8" w:rsidRPr="009118AB">
        <w:t>§ </w:t>
      </w:r>
      <w:r w:rsidRPr="009118AB">
        <w:t xml:space="preserve">1 </w:t>
      </w:r>
      <w:r w:rsidR="00D67EB8" w:rsidRPr="009118AB">
        <w:t>Nr. </w:t>
      </w:r>
      <w:r w:rsidRPr="009118AB">
        <w:t>1 erwähnt, die dem Kapital zugeführt werden, in dem Maße, wie sie nicht ausgeschüttet werden können,</w:t>
      </w:r>
    </w:p>
    <w:p w14:paraId="6D26C380" w14:textId="77777777" w:rsidR="009760FE" w:rsidRPr="009118AB" w:rsidRDefault="009760FE" w:rsidP="009760FE">
      <w:pPr>
        <w:autoSpaceDE w:val="0"/>
        <w:autoSpaceDN w:val="0"/>
        <w:adjustRightInd w:val="0"/>
        <w:jc w:val="both"/>
      </w:pPr>
    </w:p>
    <w:p w14:paraId="0326FD77" w14:textId="14D29EDB" w:rsidR="009760FE" w:rsidRPr="009118AB" w:rsidRDefault="009760FE" w:rsidP="00DA3DC3">
      <w:pPr>
        <w:autoSpaceDE w:val="0"/>
        <w:autoSpaceDN w:val="0"/>
        <w:adjustRightInd w:val="0"/>
        <w:ind w:firstLine="709"/>
        <w:jc w:val="both"/>
      </w:pPr>
      <w:r w:rsidRPr="009118AB">
        <w:t xml:space="preserve">- steuerfreie Rücklagen, die im Falle einer Fusion, einer Aufspaltung oder eines mit einer Fusion durch Übernahme oder eines mit einer Aufspaltung gleichgesetzten Vorgangs wie in Artikel 211 </w:t>
      </w:r>
      <w:r w:rsidR="00D67EB8" w:rsidRPr="009118AB">
        <w:t>§ </w:t>
      </w:r>
      <w:r w:rsidRPr="009118AB">
        <w:t xml:space="preserve">1 erwähnt wieder dem Kapital zugeführt werden, wenn die Einbringung nicht vollständig durch neue Aktien oder Anteile vergütet wird wie in Artikel 211 </w:t>
      </w:r>
      <w:r w:rsidR="00D67EB8" w:rsidRPr="009118AB">
        <w:t>§ </w:t>
      </w:r>
      <w:r w:rsidRPr="009118AB">
        <w:t>2 Absatz 3 erwähnt, weil die übernehmenden oder begünstigten Gesellschaften Aktien oder Anteile der übertragenden oder aufgespaltenen Gesellschaft besitzen,</w:t>
      </w:r>
    </w:p>
    <w:p w14:paraId="09D66A5E" w14:textId="77777777" w:rsidR="009760FE" w:rsidRPr="009118AB" w:rsidRDefault="009760FE" w:rsidP="009760FE">
      <w:pPr>
        <w:autoSpaceDE w:val="0"/>
        <w:autoSpaceDN w:val="0"/>
        <w:adjustRightInd w:val="0"/>
        <w:jc w:val="both"/>
      </w:pPr>
    </w:p>
    <w:p w14:paraId="01BB4B1B" w14:textId="149CB735" w:rsidR="009760FE" w:rsidRPr="009118AB" w:rsidRDefault="009760FE" w:rsidP="00DA3DC3">
      <w:pPr>
        <w:autoSpaceDE w:val="0"/>
        <w:autoSpaceDN w:val="0"/>
        <w:adjustRightInd w:val="0"/>
        <w:ind w:firstLine="709"/>
        <w:jc w:val="both"/>
      </w:pPr>
      <w:r w:rsidRPr="009118AB">
        <w:t xml:space="preserve">- Rücklagen wie in den Artikeln 24 Absatz 1 </w:t>
      </w:r>
      <w:r w:rsidR="00D67EB8" w:rsidRPr="009118AB">
        <w:t>Nr. </w:t>
      </w:r>
      <w:r w:rsidRPr="009118AB">
        <w:t>4, 184</w:t>
      </w:r>
      <w:r w:rsidRPr="009118AB">
        <w:rPr>
          <w:i/>
        </w:rPr>
        <w:t>quater</w:t>
      </w:r>
      <w:r w:rsidRPr="009118AB">
        <w:t xml:space="preserve"> und 541 erwähnt,</w:t>
      </w:r>
    </w:p>
    <w:p w14:paraId="093D02B3" w14:textId="77777777" w:rsidR="009760FE" w:rsidRPr="009118AB" w:rsidRDefault="009760FE" w:rsidP="009760FE">
      <w:pPr>
        <w:autoSpaceDE w:val="0"/>
        <w:autoSpaceDN w:val="0"/>
        <w:adjustRightInd w:val="0"/>
        <w:jc w:val="both"/>
      </w:pPr>
    </w:p>
    <w:p w14:paraId="049D4495" w14:textId="77777777" w:rsidR="009760FE" w:rsidRPr="009118AB" w:rsidRDefault="009760FE" w:rsidP="00DA3DC3">
      <w:pPr>
        <w:autoSpaceDE w:val="0"/>
        <w:autoSpaceDN w:val="0"/>
        <w:adjustRightInd w:val="0"/>
        <w:ind w:firstLine="709"/>
        <w:jc w:val="both"/>
      </w:pPr>
      <w:r w:rsidRPr="009118AB">
        <w:t>- die gesetzliche Rücklage in Höhe ihres gesetzlichen Mindestbetrags,</w:t>
      </w:r>
    </w:p>
    <w:p w14:paraId="205CCA80" w14:textId="77777777" w:rsidR="009760FE" w:rsidRPr="009118AB" w:rsidRDefault="009760FE" w:rsidP="009760FE">
      <w:pPr>
        <w:autoSpaceDE w:val="0"/>
        <w:autoSpaceDN w:val="0"/>
        <w:adjustRightInd w:val="0"/>
        <w:jc w:val="both"/>
      </w:pPr>
    </w:p>
    <w:p w14:paraId="22D14947" w14:textId="3594B567" w:rsidR="009760FE" w:rsidRPr="009118AB" w:rsidRDefault="009760FE" w:rsidP="00DA3DC3">
      <w:pPr>
        <w:autoSpaceDE w:val="0"/>
        <w:autoSpaceDN w:val="0"/>
        <w:adjustRightInd w:val="0"/>
        <w:ind w:firstLine="709"/>
        <w:jc w:val="both"/>
      </w:pPr>
      <w:r w:rsidRPr="009118AB">
        <w:t xml:space="preserve">- nicht verfügbare Rücklagen für eigene Aktien oder Anteile und für eigene Gewinnanteile </w:t>
      </w:r>
      <w:r w:rsidR="001A3B85" w:rsidRPr="009118AB">
        <w:t>[in der in Artikel 186 Absatz 6 erwähnten Grenze von 20 Prozent]</w:t>
      </w:r>
      <w:r w:rsidRPr="009118AB">
        <w:t>,</w:t>
      </w:r>
    </w:p>
    <w:p w14:paraId="51F4FE5C" w14:textId="77777777" w:rsidR="009760FE" w:rsidRPr="009118AB" w:rsidRDefault="009760FE" w:rsidP="009760FE">
      <w:pPr>
        <w:autoSpaceDE w:val="0"/>
        <w:autoSpaceDN w:val="0"/>
        <w:adjustRightInd w:val="0"/>
        <w:jc w:val="both"/>
      </w:pPr>
    </w:p>
    <w:p w14:paraId="3ECEF9E5" w14:textId="77777777" w:rsidR="009760FE" w:rsidRPr="009118AB" w:rsidRDefault="009760FE" w:rsidP="00DA3DC3">
      <w:pPr>
        <w:autoSpaceDE w:val="0"/>
        <w:autoSpaceDN w:val="0"/>
        <w:adjustRightInd w:val="0"/>
        <w:ind w:firstLine="709"/>
        <w:jc w:val="both"/>
      </w:pPr>
      <w:r w:rsidRPr="009118AB">
        <w:t>- Rückstellungen für Risiken und Aufwendungen und Wertminderungen, ob gemäß den Artikeln 48, 194 und 194</w:t>
      </w:r>
      <w:r w:rsidRPr="009118AB">
        <w:rPr>
          <w:i/>
        </w:rPr>
        <w:t>bis</w:t>
      </w:r>
      <w:r w:rsidRPr="009118AB">
        <w:t xml:space="preserve"> steuerfrei oder nicht,</w:t>
      </w:r>
    </w:p>
    <w:p w14:paraId="2555A44E" w14:textId="77777777" w:rsidR="009760FE" w:rsidRPr="009118AB" w:rsidRDefault="009760FE" w:rsidP="009760FE">
      <w:pPr>
        <w:autoSpaceDE w:val="0"/>
        <w:autoSpaceDN w:val="0"/>
        <w:adjustRightInd w:val="0"/>
        <w:jc w:val="both"/>
      </w:pPr>
    </w:p>
    <w:p w14:paraId="618CFD34" w14:textId="201707A7" w:rsidR="009760FE" w:rsidRPr="009118AB" w:rsidRDefault="009760FE" w:rsidP="00DA3DC3">
      <w:pPr>
        <w:autoSpaceDE w:val="0"/>
        <w:autoSpaceDN w:val="0"/>
        <w:adjustRightInd w:val="0"/>
        <w:ind w:firstLine="709"/>
        <w:jc w:val="both"/>
      </w:pPr>
      <w:r w:rsidRPr="009118AB">
        <w:t>- oder, für ausländische Gesellschaften, Rücklagen oder Rückstellungen wie in entsprechenden Bestimmungen ausländischen Rechts erwähnt.</w:t>
      </w:r>
      <w:r w:rsidR="00AC038F" w:rsidRPr="009118AB">
        <w:t>]</w:t>
      </w:r>
    </w:p>
    <w:p w14:paraId="78DAAEEB" w14:textId="77777777" w:rsidR="009760FE" w:rsidRPr="009118AB" w:rsidRDefault="009760FE" w:rsidP="009760FE">
      <w:pPr>
        <w:autoSpaceDE w:val="0"/>
        <w:autoSpaceDN w:val="0"/>
        <w:adjustRightInd w:val="0"/>
        <w:jc w:val="both"/>
      </w:pPr>
    </w:p>
    <w:p w14:paraId="78757750" w14:textId="7E547A95" w:rsidR="009760FE" w:rsidRPr="009118AB" w:rsidRDefault="00AC038F" w:rsidP="00DA3DC3">
      <w:pPr>
        <w:autoSpaceDE w:val="0"/>
        <w:autoSpaceDN w:val="0"/>
        <w:adjustRightInd w:val="0"/>
        <w:ind w:firstLine="709"/>
        <w:jc w:val="both"/>
      </w:pPr>
      <w:r w:rsidRPr="009118AB">
        <w:t>[</w:t>
      </w:r>
      <w:r w:rsidR="009760FE" w:rsidRPr="009118AB">
        <w:t>Die in Artikel 190 erwähnte Unantastbarkeitsbedingung gilt als nicht mehr erfüllt in dem Maße, wie die Herabsetzung auf die steuerfreien Rücklagen angerechnet wird.</w:t>
      </w:r>
      <w:r w:rsidRPr="009118AB">
        <w:t>]</w:t>
      </w:r>
    </w:p>
    <w:p w14:paraId="4D6F2156" w14:textId="77777777" w:rsidR="009760FE" w:rsidRPr="009118AB" w:rsidRDefault="009760FE" w:rsidP="009760FE">
      <w:pPr>
        <w:autoSpaceDE w:val="0"/>
        <w:autoSpaceDN w:val="0"/>
        <w:adjustRightInd w:val="0"/>
        <w:jc w:val="both"/>
      </w:pPr>
    </w:p>
    <w:p w14:paraId="3B5EC206" w14:textId="6E40CDEE" w:rsidR="009760FE" w:rsidRPr="009118AB" w:rsidRDefault="00AC038F" w:rsidP="00DA3DC3">
      <w:pPr>
        <w:autoSpaceDE w:val="0"/>
        <w:autoSpaceDN w:val="0"/>
        <w:adjustRightInd w:val="0"/>
        <w:ind w:firstLine="709"/>
        <w:jc w:val="both"/>
      </w:pPr>
      <w:r w:rsidRPr="009118AB">
        <w:t>[</w:t>
      </w:r>
      <w:r w:rsidR="009760FE" w:rsidRPr="009118AB">
        <w:t xml:space="preserve">Sieht die in Absatz 1 </w:t>
      </w:r>
      <w:r w:rsidR="00D67EB8" w:rsidRPr="009118AB">
        <w:t>Nr. </w:t>
      </w:r>
      <w:r w:rsidR="009760FE" w:rsidRPr="009118AB">
        <w:t>2 und 2</w:t>
      </w:r>
      <w:r w:rsidR="009760FE" w:rsidRPr="009118AB">
        <w:rPr>
          <w:i/>
        </w:rPr>
        <w:t>bis</w:t>
      </w:r>
      <w:r w:rsidR="009760FE" w:rsidRPr="009118AB">
        <w:t xml:space="preserve"> erwähnte </w:t>
      </w:r>
      <w:r w:rsidR="001A3B85" w:rsidRPr="009118AB">
        <w:t>[Entscheidung der Gesellschaft]</w:t>
      </w:r>
      <w:r w:rsidR="009760FE" w:rsidRPr="009118AB">
        <w:t xml:space="preserve"> eine Anrechnungsweise für eine Herabsetzung des Eigenkapitals vor, die sich sowohl auf das eingezahlte Kapital als auch je nach Fall auf die dem Kapital gleichgesetzten Beträge und </w:t>
      </w:r>
      <w:r w:rsidR="001A3B85" w:rsidRPr="009118AB">
        <w:t>[auf andere als die in Absatz 5 erwähnten Rücklagen]</w:t>
      </w:r>
      <w:r w:rsidR="009760FE" w:rsidRPr="009118AB">
        <w:t xml:space="preserve"> bezieht, die als solche gebucht wird und die zur Bestimmung eines Dividendenbetrags führt, der mindestens dem Dividendenbetrag entspricht, der aus einer Herabsetzung des eingezahlten Kapitals oder der dem Kapital gleichgesetzten Beträge für einen identischen Gesamtbetrag hervorgehen würde, auf den die in den Absätzen 2 bis 6 vorgesehenen Regeln angewandt worden wären, wird der Dividendenbetrag ungeachtet der Bestimmungen der Absätze 2 bis 6 auf der Grundlage der vorerwähnten Entscheidung bestimmt.]</w:t>
      </w:r>
    </w:p>
    <w:p w14:paraId="3D463B98" w14:textId="77777777" w:rsidR="009760FE" w:rsidRPr="009118AB" w:rsidRDefault="009760FE" w:rsidP="009760FE">
      <w:pPr>
        <w:autoSpaceDE w:val="0"/>
        <w:autoSpaceDN w:val="0"/>
        <w:adjustRightInd w:val="0"/>
        <w:jc w:val="both"/>
      </w:pPr>
    </w:p>
    <w:p w14:paraId="4A6900C6" w14:textId="1AF5AFDA" w:rsidR="009760FE" w:rsidRPr="009118AB" w:rsidRDefault="009760FE" w:rsidP="00DA3DC3">
      <w:pPr>
        <w:autoSpaceDE w:val="0"/>
        <w:autoSpaceDN w:val="0"/>
        <w:adjustRightInd w:val="0"/>
        <w:ind w:firstLine="709"/>
        <w:jc w:val="both"/>
      </w:pPr>
      <w:r w:rsidRPr="009118AB">
        <w:t xml:space="preserve">[[Als Vorschüsse im Sinne von Absatz 1 </w:t>
      </w:r>
      <w:r w:rsidR="00D67EB8" w:rsidRPr="009118AB">
        <w:t>Nr. </w:t>
      </w:r>
      <w:r w:rsidRPr="009118AB">
        <w:t xml:space="preserve">4 gelten Forderungen, ob in Wertpapieren verbrieft oder nicht, einer natürlichen Person einer Gesellschaft gegenüber, von der sie Aktien oder Anteile besitzt oder in der sie ein Mandat oder eine Funktion wie in Artikel 32 Absatz 1 </w:t>
      </w:r>
      <w:r w:rsidR="00D67EB8" w:rsidRPr="009118AB">
        <w:lastRenderedPageBreak/>
        <w:t>Nr. </w:t>
      </w:r>
      <w:r w:rsidRPr="009118AB">
        <w:t>1 erwähnt ausübt, und gegebenenfalls Forderungen des Ehepartners dieser Person oder ihrer Kinder einer solchen Gesellschaft gegenüber], sofern diese Person oder ihr Ehepartner das gesetzliche Nutzungsrecht an den Einkünften dieser Kinder haben, mit Ausnahme von:</w:t>
      </w:r>
    </w:p>
    <w:p w14:paraId="394F7B81" w14:textId="77777777" w:rsidR="009760FE" w:rsidRPr="009118AB" w:rsidRDefault="009760FE" w:rsidP="009760FE">
      <w:pPr>
        <w:autoSpaceDE w:val="0"/>
        <w:autoSpaceDN w:val="0"/>
        <w:adjustRightInd w:val="0"/>
        <w:jc w:val="both"/>
      </w:pPr>
    </w:p>
    <w:p w14:paraId="3941D9F5" w14:textId="77777777" w:rsidR="009760FE" w:rsidRPr="009118AB" w:rsidRDefault="009760FE" w:rsidP="00DA3DC3">
      <w:pPr>
        <w:autoSpaceDE w:val="0"/>
        <w:autoSpaceDN w:val="0"/>
        <w:adjustRightInd w:val="0"/>
        <w:ind w:firstLine="709"/>
        <w:jc w:val="both"/>
      </w:pPr>
      <w:r w:rsidRPr="009118AB">
        <w:t>1. Schuldverschreibungen und anderen ähnlichen Wertpapieren, die durch öffentliche Aufforderung zur Zeichnung ausgegeben werden,</w:t>
      </w:r>
    </w:p>
    <w:p w14:paraId="2E535A88" w14:textId="77777777" w:rsidR="009760FE" w:rsidRPr="009118AB" w:rsidRDefault="009760FE" w:rsidP="009760FE">
      <w:pPr>
        <w:autoSpaceDE w:val="0"/>
        <w:autoSpaceDN w:val="0"/>
        <w:adjustRightInd w:val="0"/>
        <w:jc w:val="both"/>
      </w:pPr>
    </w:p>
    <w:p w14:paraId="4EC4D4AB" w14:textId="3AA8DBDF" w:rsidR="009760FE" w:rsidRPr="009118AB" w:rsidRDefault="00AC038F" w:rsidP="00DA3DC3">
      <w:pPr>
        <w:autoSpaceDE w:val="0"/>
        <w:autoSpaceDN w:val="0"/>
        <w:adjustRightInd w:val="0"/>
        <w:ind w:firstLine="709"/>
        <w:jc w:val="both"/>
      </w:pPr>
      <w:r w:rsidRPr="009118AB">
        <w:t>2. </w:t>
      </w:r>
      <w:r w:rsidR="009760FE" w:rsidRPr="009118AB">
        <w:t xml:space="preserve">[Forderungen Genossenschaften gegenüber], </w:t>
      </w:r>
      <w:r w:rsidR="001A3B85" w:rsidRPr="009118AB">
        <w:t>[die gemäß Artikel 8:4 des Gesetz</w:t>
      </w:r>
      <w:r w:rsidRPr="009118AB">
        <w:softHyphen/>
      </w:r>
      <w:r w:rsidR="001A3B85" w:rsidRPr="009118AB">
        <w:t>buches der Gesellschaften und Vereinigungen zugelassen sind]</w:t>
      </w:r>
      <w:r w:rsidR="009760FE" w:rsidRPr="009118AB">
        <w:t>,</w:t>
      </w:r>
    </w:p>
    <w:p w14:paraId="701F85FA" w14:textId="77777777" w:rsidR="009760FE" w:rsidRPr="009118AB" w:rsidRDefault="009760FE" w:rsidP="009760FE">
      <w:pPr>
        <w:autoSpaceDE w:val="0"/>
        <w:autoSpaceDN w:val="0"/>
        <w:adjustRightInd w:val="0"/>
        <w:jc w:val="both"/>
      </w:pPr>
    </w:p>
    <w:p w14:paraId="0463AA35" w14:textId="77777777" w:rsidR="009760FE" w:rsidRPr="009118AB" w:rsidRDefault="009760FE" w:rsidP="00DA3DC3">
      <w:pPr>
        <w:autoSpaceDE w:val="0"/>
        <w:autoSpaceDN w:val="0"/>
        <w:adjustRightInd w:val="0"/>
        <w:ind w:firstLine="709"/>
        <w:jc w:val="both"/>
      </w:pPr>
      <w:r w:rsidRPr="009118AB">
        <w:t>3. [Forderungen von Gesellschaften], die in Artikel 179 erwähnt sind.]</w:t>
      </w:r>
    </w:p>
    <w:p w14:paraId="7E855365" w14:textId="77777777" w:rsidR="009760FE" w:rsidRPr="009118AB" w:rsidRDefault="009760FE" w:rsidP="009760FE">
      <w:pPr>
        <w:autoSpaceDE w:val="0"/>
        <w:autoSpaceDN w:val="0"/>
        <w:adjustRightInd w:val="0"/>
        <w:jc w:val="both"/>
      </w:pPr>
    </w:p>
    <w:p w14:paraId="6B097FE1" w14:textId="0B52BEED" w:rsidR="00AB7300" w:rsidRDefault="009760FE" w:rsidP="00917C85">
      <w:pPr>
        <w:autoSpaceDE w:val="0"/>
        <w:autoSpaceDN w:val="0"/>
        <w:adjustRightInd w:val="0"/>
        <w:ind w:firstLine="709"/>
        <w:jc w:val="both"/>
      </w:pPr>
      <w:r w:rsidRPr="009118AB">
        <w:t xml:space="preserve">[Dividenden umfassen nicht die [in den Artikeln 19 </w:t>
      </w:r>
      <w:r w:rsidR="00D67EB8" w:rsidRPr="009118AB">
        <w:t>§ </w:t>
      </w:r>
      <w:r w:rsidRPr="009118AB">
        <w:t xml:space="preserve">1 Absatz 1 </w:t>
      </w:r>
      <w:r w:rsidR="00D67EB8" w:rsidRPr="009118AB">
        <w:t>Nr. </w:t>
      </w:r>
      <w:r w:rsidRPr="009118AB">
        <w:t>4 und 19</w:t>
      </w:r>
      <w:r w:rsidRPr="009118AB">
        <w:rPr>
          <w:i/>
          <w:iCs/>
        </w:rPr>
        <w:t>bis</w:t>
      </w:r>
      <w:r w:rsidRPr="009118AB">
        <w:t>] erwähnten Einkünfte.]</w:t>
      </w:r>
    </w:p>
    <w:p w14:paraId="6052FEF8" w14:textId="77777777" w:rsidR="00917C85" w:rsidRPr="009118AB" w:rsidRDefault="00917C85" w:rsidP="00917C85">
      <w:pPr>
        <w:autoSpaceDE w:val="0"/>
        <w:autoSpaceDN w:val="0"/>
        <w:adjustRightInd w:val="0"/>
        <w:ind w:firstLine="709"/>
        <w:jc w:val="both"/>
      </w:pPr>
    </w:p>
    <w:p w14:paraId="244280F1" w14:textId="1B10B557" w:rsidR="009760FE" w:rsidRDefault="009760FE" w:rsidP="00DA3DC3">
      <w:pPr>
        <w:autoSpaceDE w:val="0"/>
        <w:autoSpaceDN w:val="0"/>
        <w:adjustRightInd w:val="0"/>
        <w:ind w:firstLine="709"/>
        <w:jc w:val="both"/>
      </w:pPr>
      <w:r w:rsidRPr="009118AB">
        <w:t xml:space="preserve">[Für die Anwendung von Absatz 1 </w:t>
      </w:r>
      <w:r w:rsidR="00D67EB8" w:rsidRPr="009118AB">
        <w:t>Nr. </w:t>
      </w:r>
      <w:r w:rsidRPr="009118AB">
        <w:t>2 und 2</w:t>
      </w:r>
      <w:r w:rsidRPr="009118AB">
        <w:rPr>
          <w:i/>
        </w:rPr>
        <w:t>bis</w:t>
      </w:r>
      <w:r w:rsidRPr="009118AB">
        <w:t xml:space="preserve"> ist im Falle von Verrichtungen, die von einer ausländischen Gesellschaft durchgeführt werden, der Begriff "eingezahltes Kapital" gemäß </w:t>
      </w:r>
      <w:r w:rsidR="001A3B85" w:rsidRPr="009118AB">
        <w:t xml:space="preserve">[Artikel 2 </w:t>
      </w:r>
      <w:r w:rsidR="00D67EB8" w:rsidRPr="009118AB">
        <w:t>§ </w:t>
      </w:r>
      <w:r w:rsidR="001A3B85" w:rsidRPr="009118AB">
        <w:t xml:space="preserve">1 </w:t>
      </w:r>
      <w:r w:rsidR="00D67EB8" w:rsidRPr="009118AB">
        <w:t>Nr. </w:t>
      </w:r>
      <w:r w:rsidR="001A3B85" w:rsidRPr="009118AB">
        <w:t>6 Buchstabe </w:t>
      </w:r>
      <w:r w:rsidR="001A3B85" w:rsidRPr="009118AB">
        <w:rPr>
          <w:i/>
          <w:iCs/>
        </w:rPr>
        <w:t>b)</w:t>
      </w:r>
      <w:r w:rsidR="001A3B85" w:rsidRPr="009118AB">
        <w:t>]</w:t>
      </w:r>
      <w:r w:rsidRPr="009118AB">
        <w:t xml:space="preserve"> in dem Sinne zu verstehen, wie es in den Bestimmungen des vorliegenden Gesetzbuches in Bezug auf die Gesellschaftssteuer vorgesehen ist.]</w:t>
      </w:r>
    </w:p>
    <w:p w14:paraId="53D8D7CD" w14:textId="77777777" w:rsidR="00917C85" w:rsidRDefault="00917C85" w:rsidP="00DA3DC3">
      <w:pPr>
        <w:autoSpaceDE w:val="0"/>
        <w:autoSpaceDN w:val="0"/>
        <w:adjustRightInd w:val="0"/>
        <w:ind w:firstLine="709"/>
        <w:jc w:val="both"/>
      </w:pPr>
    </w:p>
    <w:p w14:paraId="6F67BAF2" w14:textId="77777777" w:rsidR="00917C85" w:rsidRPr="00FF1F87" w:rsidRDefault="00917C85" w:rsidP="00917C85">
      <w:pPr>
        <w:ind w:firstLine="708"/>
        <w:jc w:val="both"/>
      </w:pPr>
      <w:r>
        <w:t>[</w:t>
      </w:r>
      <w:r w:rsidRPr="00FF1F87">
        <w:t>Für die Anwendung von Absatz 1 Nr. 3/1 werden die nicht ausgeschütteten Gewinne einer Tochterkonstruktion, für die gemäß dieser Bestimmung davon ausgegangen wird, dass sie dem Gründer zuerkannt oder ausgeschüttet werden, insoweit begrenzt, wie er über eine zwischengeschaltete Konstruktion oder über eine Kette von zwischengeschalteten Konstruktionen der Gründer der Tochterkonstruktion ist.</w:t>
      </w:r>
    </w:p>
    <w:p w14:paraId="797BC122" w14:textId="77777777" w:rsidR="00917C85" w:rsidRPr="00FF1F87" w:rsidRDefault="00917C85" w:rsidP="00917C85">
      <w:pPr>
        <w:jc w:val="both"/>
      </w:pPr>
    </w:p>
    <w:p w14:paraId="47DC58FE" w14:textId="11AB0959" w:rsidR="00917C85" w:rsidRPr="009118AB" w:rsidRDefault="00917C85" w:rsidP="00917C85">
      <w:pPr>
        <w:autoSpaceDE w:val="0"/>
        <w:autoSpaceDN w:val="0"/>
        <w:adjustRightInd w:val="0"/>
        <w:ind w:firstLine="709"/>
        <w:jc w:val="both"/>
      </w:pPr>
      <w:r w:rsidRPr="00FF1F87">
        <w:t>Absatz 1 Nr. 3/1 ist nicht auf eine Rechtsvereinbarung anwendbar, die aufgrund von Artikel 5/1 § 3 von der Anwendung des Artikels 5/1 § 1 oder des Artikels 220/1 ausgeschlossen ist.</w:t>
      </w:r>
      <w:r>
        <w:t>]</w:t>
      </w:r>
    </w:p>
    <w:p w14:paraId="26595D2B" w14:textId="77777777" w:rsidR="009760FE" w:rsidRPr="009118AB" w:rsidRDefault="009760FE" w:rsidP="009760FE">
      <w:pPr>
        <w:autoSpaceDE w:val="0"/>
        <w:autoSpaceDN w:val="0"/>
        <w:adjustRightInd w:val="0"/>
        <w:jc w:val="both"/>
      </w:pPr>
    </w:p>
    <w:p w14:paraId="4D57F643" w14:textId="28AF71D3" w:rsidR="009760FE" w:rsidRPr="009118AB" w:rsidRDefault="009760FE" w:rsidP="009760FE">
      <w:pPr>
        <w:autoSpaceDE w:val="0"/>
        <w:autoSpaceDN w:val="0"/>
        <w:adjustRightInd w:val="0"/>
        <w:jc w:val="both"/>
      </w:pPr>
      <w:r w:rsidRPr="009118AB">
        <w:rPr>
          <w:i/>
          <w:iCs/>
        </w:rPr>
        <w:t>[</w:t>
      </w:r>
      <w:r w:rsidR="00D67EB8" w:rsidRPr="009118AB">
        <w:rPr>
          <w:i/>
          <w:iCs/>
        </w:rPr>
        <w:t>Art. </w:t>
      </w:r>
      <w:r w:rsidRPr="009118AB">
        <w:rPr>
          <w:i/>
          <w:iCs/>
        </w:rPr>
        <w:t xml:space="preserve">18 </w:t>
      </w:r>
      <w:r w:rsidR="00D67EB8" w:rsidRPr="009118AB">
        <w:rPr>
          <w:i/>
          <w:iCs/>
        </w:rPr>
        <w:t>Abs. </w:t>
      </w:r>
      <w:r w:rsidRPr="009118AB">
        <w:rPr>
          <w:i/>
          <w:iCs/>
        </w:rPr>
        <w:t xml:space="preserve">1 </w:t>
      </w:r>
      <w:r w:rsidR="00D67EB8" w:rsidRPr="009118AB">
        <w:rPr>
          <w:i/>
          <w:iCs/>
        </w:rPr>
        <w:t>Nr. </w:t>
      </w:r>
      <w:r w:rsidRPr="009118AB">
        <w:rPr>
          <w:i/>
          <w:iCs/>
        </w:rPr>
        <w:t xml:space="preserve">1 ersetzt durch </w:t>
      </w:r>
      <w:r w:rsidR="00D67EB8" w:rsidRPr="009118AB">
        <w:rPr>
          <w:i/>
          <w:iCs/>
        </w:rPr>
        <w:t>Art. </w:t>
      </w:r>
      <w:r w:rsidRPr="009118AB">
        <w:rPr>
          <w:i/>
          <w:iCs/>
        </w:rPr>
        <w:t xml:space="preserve">3 </w:t>
      </w:r>
      <w:r w:rsidR="00D67EB8" w:rsidRPr="009118AB">
        <w:rPr>
          <w:i/>
          <w:iCs/>
        </w:rPr>
        <w:t>Nr. </w:t>
      </w:r>
      <w:r w:rsidRPr="009118AB">
        <w:rPr>
          <w:i/>
          <w:iCs/>
        </w:rPr>
        <w:t>1 des G. vom 22. Dezember 1998 (B.S. vom 15. Januar 1999)</w:t>
      </w:r>
      <w:r w:rsidR="00D67EB8" w:rsidRPr="009118AB">
        <w:rPr>
          <w:i/>
          <w:iCs/>
        </w:rPr>
        <w:t> - </w:t>
      </w:r>
      <w:r w:rsidRPr="009118AB">
        <w:rPr>
          <w:i/>
          <w:iCs/>
        </w:rPr>
        <w:t>anwendbar ab dem Steuerjahr 1992</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ersetzt durch </w:t>
      </w:r>
      <w:r w:rsidR="00D67EB8" w:rsidRPr="009118AB">
        <w:rPr>
          <w:i/>
          <w:iCs/>
        </w:rPr>
        <w:t>Art. </w:t>
      </w:r>
      <w:r w:rsidR="00AC038F" w:rsidRPr="009118AB">
        <w:rPr>
          <w:i/>
          <w:iCs/>
        </w:rPr>
        <w:t xml:space="preserve">3 </w:t>
      </w:r>
      <w:r w:rsidR="00D67EB8" w:rsidRPr="009118AB">
        <w:rPr>
          <w:i/>
          <w:iCs/>
        </w:rPr>
        <w:t>Nr. </w:t>
      </w:r>
      <w:r w:rsidR="00AC038F" w:rsidRPr="009118AB">
        <w:rPr>
          <w:i/>
          <w:iCs/>
        </w:rPr>
        <w:t>1</w:t>
      </w:r>
      <w:r w:rsidR="00AC038F" w:rsidRPr="009118AB">
        <w:rPr>
          <w:i/>
          <w:iCs/>
          <w:spacing w:val="-2"/>
        </w:rPr>
        <w:t xml:space="preserve"> des G. vom 17. März 2019 (III) (B.S. vom 10. Mai 2019)</w:t>
      </w:r>
      <w:r w:rsidR="00D67EB8" w:rsidRPr="009118AB">
        <w:rPr>
          <w:i/>
          <w:iCs/>
          <w:spacing w:val="-2"/>
        </w:rPr>
        <w:t> - </w:t>
      </w:r>
      <w:r w:rsidR="00AC038F" w:rsidRPr="009118AB">
        <w:rPr>
          <w:i/>
          <w:iCs/>
          <w:spacing w:val="-2"/>
        </w:rPr>
        <w:t>in Kraft am 1. Mai 2019</w:t>
      </w:r>
      <w:r w:rsidR="003366D9" w:rsidRPr="009118AB">
        <w:rPr>
          <w:i/>
          <w:iCs/>
          <w:spacing w:val="-2"/>
        </w:rPr>
        <w:t> -;</w:t>
      </w:r>
      <w:r w:rsidRPr="009118AB">
        <w:rPr>
          <w:i/>
          <w:iCs/>
          <w:spacing w:val="-2"/>
        </w:rPr>
        <w:t xml:space="preserve"> </w:t>
      </w:r>
      <w:r w:rsidR="00D67EB8" w:rsidRPr="009118AB">
        <w:rPr>
          <w:i/>
          <w:iCs/>
          <w:spacing w:val="-2"/>
        </w:rPr>
        <w:t>Abs. </w:t>
      </w:r>
      <w:r w:rsidRPr="009118AB">
        <w:rPr>
          <w:i/>
          <w:iCs/>
          <w:spacing w:val="-2"/>
        </w:rPr>
        <w:t xml:space="preserve">1 </w:t>
      </w:r>
      <w:r w:rsidR="00D67EB8" w:rsidRPr="009118AB">
        <w:rPr>
          <w:i/>
          <w:iCs/>
          <w:spacing w:val="-2"/>
        </w:rPr>
        <w:t>Nr. </w:t>
      </w:r>
      <w:r w:rsidRPr="009118AB">
        <w:rPr>
          <w:i/>
          <w:iCs/>
          <w:spacing w:val="-2"/>
        </w:rPr>
        <w:t xml:space="preserve">2bis eingefügt durch </w:t>
      </w:r>
      <w:r w:rsidR="00D67EB8" w:rsidRPr="009118AB">
        <w:rPr>
          <w:i/>
          <w:iCs/>
          <w:spacing w:val="-2"/>
        </w:rPr>
        <w:t>Art. </w:t>
      </w:r>
      <w:r w:rsidRPr="009118AB">
        <w:rPr>
          <w:i/>
          <w:iCs/>
          <w:spacing w:val="-2"/>
        </w:rPr>
        <w:t xml:space="preserve">3 </w:t>
      </w:r>
      <w:r w:rsidR="00D67EB8" w:rsidRPr="009118AB">
        <w:rPr>
          <w:i/>
          <w:iCs/>
          <w:spacing w:val="-2"/>
        </w:rPr>
        <w:t>Nr. </w:t>
      </w:r>
      <w:r w:rsidRPr="009118AB">
        <w:rPr>
          <w:i/>
          <w:iCs/>
          <w:spacing w:val="-2"/>
        </w:rPr>
        <w:t xml:space="preserve">2 des G. vom 22. Dezember 1998 (B.S. vom </w:t>
      </w:r>
      <w:r w:rsidRPr="009118AB">
        <w:rPr>
          <w:rFonts w:ascii="Times New Roman Italique" w:hAnsi="Times New Roman Italique"/>
          <w:i/>
          <w:iCs/>
          <w:spacing w:val="2"/>
        </w:rPr>
        <w:t>15. Januar 1999)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Erstattungen, die ab dem 1. Juli 1997 während eines Geschäfts</w:t>
      </w:r>
      <w:r w:rsidR="00AC038F" w:rsidRPr="009118AB">
        <w:rPr>
          <w:rFonts w:ascii="Times New Roman Italique" w:hAnsi="Times New Roman Italique"/>
          <w:i/>
          <w:iCs/>
          <w:spacing w:val="2"/>
        </w:rPr>
        <w:softHyphen/>
      </w:r>
      <w:r w:rsidR="00AC038F" w:rsidRPr="009118AB">
        <w:rPr>
          <w:rFonts w:ascii="Times New Roman Italique" w:hAnsi="Times New Roman Italique"/>
          <w:i/>
          <w:iCs/>
          <w:spacing w:val="2"/>
        </w:rPr>
        <w:softHyphen/>
      </w:r>
      <w:r w:rsidRPr="009118AB">
        <w:rPr>
          <w:rFonts w:ascii="Times New Roman Italique" w:hAnsi="Times New Roman Italique"/>
          <w:i/>
          <w:iCs/>
          <w:spacing w:val="2"/>
        </w:rPr>
        <w:t>jahr, das an das Steuerjahr 1998 oder ein späteres St</w:t>
      </w:r>
      <w:r w:rsidR="00AC038F" w:rsidRPr="009118AB">
        <w:rPr>
          <w:rFonts w:ascii="Times New Roman Italique" w:hAnsi="Times New Roman Italique"/>
          <w:i/>
          <w:iCs/>
          <w:spacing w:val="2"/>
        </w:rPr>
        <w:t>euerjahr gebunden ist, erfolgen</w:t>
      </w:r>
      <w:r w:rsidR="00FD68E8" w:rsidRPr="009118AB">
        <w:rPr>
          <w:rFonts w:ascii="Times New Roman Italique" w:hAnsi="Times New Roman Italique"/>
          <w:i/>
          <w:iCs/>
          <w:spacing w:val="2"/>
        </w:rPr>
        <w:t> -,</w:t>
      </w:r>
      <w:r w:rsidRPr="009118AB">
        <w:rPr>
          <w:i/>
          <w:iCs/>
        </w:rPr>
        <w:t xml:space="preserve"> und ersetzt durch </w:t>
      </w:r>
      <w:r w:rsidR="00D67EB8" w:rsidRPr="009118AB">
        <w:rPr>
          <w:i/>
          <w:iCs/>
        </w:rPr>
        <w:t>Art. </w:t>
      </w:r>
      <w:r w:rsidR="00AC038F" w:rsidRPr="009118AB">
        <w:rPr>
          <w:i/>
          <w:iCs/>
        </w:rPr>
        <w:t xml:space="preserve">3 </w:t>
      </w:r>
      <w:r w:rsidR="00D67EB8" w:rsidRPr="009118AB">
        <w:rPr>
          <w:i/>
          <w:iCs/>
        </w:rPr>
        <w:t>Nr. </w:t>
      </w:r>
      <w:r w:rsidR="00AC038F" w:rsidRPr="009118AB">
        <w:rPr>
          <w:i/>
          <w:iCs/>
        </w:rPr>
        <w:t>1 des G. vom 17. März 2019 (III) (B.S. vom 10. Mai 2019)</w:t>
      </w:r>
      <w:r w:rsidR="00D67EB8" w:rsidRPr="009118AB">
        <w:rPr>
          <w:i/>
          <w:iCs/>
        </w:rPr>
        <w:t> - </w:t>
      </w:r>
      <w:r w:rsidR="00AC038F" w:rsidRPr="009118AB">
        <w:rPr>
          <w:i/>
          <w:iCs/>
        </w:rPr>
        <w:t>in Kraft am 1. Mai 2019</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2ter eingefügt durch </w:t>
      </w:r>
      <w:r w:rsidR="00D67EB8" w:rsidRPr="009118AB">
        <w:rPr>
          <w:i/>
          <w:iCs/>
        </w:rPr>
        <w:t>Art. </w:t>
      </w:r>
      <w:r w:rsidRPr="009118AB">
        <w:rPr>
          <w:i/>
          <w:iCs/>
        </w:rPr>
        <w:t>2 des G. vom 24. Dezember 2002 (II) (B.S. vom 31. Dezember 2002)</w:t>
      </w:r>
      <w:r w:rsidR="00D67EB8" w:rsidRPr="009118AB">
        <w:rPr>
          <w:i/>
          <w:iCs/>
        </w:rPr>
        <w:t> - </w:t>
      </w:r>
      <w:r w:rsidRPr="009118AB">
        <w:rPr>
          <w:i/>
          <w:iCs/>
        </w:rPr>
        <w:t xml:space="preserve">anwendbar auf Einkünfte, die zuerkannt oder ausgeschüttet werden, oder als solche anzusehen sind ab dem 1. Januar 2002, insofern, wenn es sich um in </w:t>
      </w:r>
      <w:r w:rsidR="00D67EB8" w:rsidRPr="009118AB">
        <w:rPr>
          <w:i/>
          <w:iCs/>
        </w:rPr>
        <w:t>Art. </w:t>
      </w:r>
      <w:r w:rsidRPr="009118AB">
        <w:rPr>
          <w:i/>
          <w:iCs/>
        </w:rPr>
        <w:t>209 des Einkommensteuergesetzbuches 1992 erwähnte Verrichtungen handelt, die Liquidation nicht vor dem 25. März 2002 beendet wurde</w:t>
      </w:r>
      <w:r w:rsidR="00D67EB8" w:rsidRPr="009118AB">
        <w:rPr>
          <w:i/>
          <w:iCs/>
        </w:rPr>
        <w:t> - </w:t>
      </w:r>
      <w:r w:rsidRPr="009118AB">
        <w:rPr>
          <w:i/>
          <w:iCs/>
        </w:rPr>
        <w:t xml:space="preserve">und ersetzt durch </w:t>
      </w:r>
      <w:r w:rsidR="00D67EB8" w:rsidRPr="009118AB">
        <w:rPr>
          <w:i/>
          <w:iCs/>
        </w:rPr>
        <w:t>Art. </w:t>
      </w:r>
      <w:r w:rsidRPr="009118AB">
        <w:rPr>
          <w:i/>
          <w:iCs/>
        </w:rPr>
        <w:t>104 Buchstabe a)</w:t>
      </w:r>
      <w:r w:rsidRPr="009118AB">
        <w:rPr>
          <w:i/>
        </w:rPr>
        <w:t xml:space="preserve"> des G. vom 26. Dezember 2015 (II) (B.S. vom 30. Dezember 2015)</w:t>
      </w:r>
      <w:r w:rsidR="00D67EB8" w:rsidRPr="009118AB">
        <w:t> - </w:t>
      </w:r>
      <w:r w:rsidRPr="009118AB">
        <w:rPr>
          <w:i/>
        </w:rPr>
        <w:t>in Kraft ab dem Steuerjahr 2016</w:t>
      </w:r>
      <w:r w:rsidR="003366D9" w:rsidRPr="009118AB">
        <w:rPr>
          <w:i/>
        </w:rPr>
        <w:t> -;</w:t>
      </w:r>
      <w:r w:rsidRPr="009118AB">
        <w:rPr>
          <w:i/>
          <w:iCs/>
        </w:rPr>
        <w:t xml:space="preserve"> </w:t>
      </w:r>
      <w:r w:rsidR="00D67EB8" w:rsidRPr="009118AB">
        <w:rPr>
          <w:i/>
          <w:iCs/>
        </w:rPr>
        <w:t>Abs. </w:t>
      </w:r>
      <w:r w:rsidRPr="009118AB">
        <w:rPr>
          <w:i/>
          <w:iCs/>
        </w:rPr>
        <w:t xml:space="preserve">1 neue Nummer 3 eingefügt durch </w:t>
      </w:r>
      <w:r w:rsidR="00D67EB8" w:rsidRPr="009118AB">
        <w:rPr>
          <w:i/>
          <w:iCs/>
        </w:rPr>
        <w:t>Art. </w:t>
      </w:r>
      <w:r w:rsidRPr="009118AB">
        <w:rPr>
          <w:i/>
          <w:iCs/>
        </w:rPr>
        <w:t>44 des G. vom 10. März 1999 (B.S. vom 14. April 1999)</w:t>
      </w:r>
      <w:r w:rsidR="00D67EB8" w:rsidRPr="009118AB">
        <w:rPr>
          <w:i/>
          <w:iCs/>
        </w:rPr>
        <w:t> - </w:t>
      </w:r>
      <w:r w:rsidRPr="009118AB">
        <w:rPr>
          <w:i/>
          <w:iCs/>
        </w:rPr>
        <w:t>in Kraft ab dem 14. April 1999</w:t>
      </w:r>
      <w:r w:rsidR="00FD68E8" w:rsidRPr="009118AB">
        <w:rPr>
          <w:i/>
          <w:iCs/>
        </w:rPr>
        <w:t> -,</w:t>
      </w:r>
      <w:r w:rsidRPr="009118AB">
        <w:rPr>
          <w:i/>
          <w:iCs/>
        </w:rPr>
        <w:t xml:space="preserve"> aufgehoben durch </w:t>
      </w:r>
      <w:r w:rsidR="00D67EB8" w:rsidRPr="009118AB">
        <w:rPr>
          <w:i/>
          <w:iCs/>
        </w:rPr>
        <w:t>Art. </w:t>
      </w:r>
      <w:r w:rsidRPr="009118AB">
        <w:rPr>
          <w:i/>
          <w:iCs/>
        </w:rPr>
        <w:t>34 des G. vom 15. Dezember 2004 (B.S. vom 1. Februar 2005)</w:t>
      </w:r>
      <w:r w:rsidR="00D67EB8" w:rsidRPr="009118AB">
        <w:rPr>
          <w:i/>
          <w:iCs/>
        </w:rPr>
        <w:t> - </w:t>
      </w:r>
      <w:r w:rsidRPr="009118AB">
        <w:rPr>
          <w:i/>
          <w:iCs/>
        </w:rPr>
        <w:t>anwendbar auf Aktien- oder Anteilverleihe, die ab dem 1. Februar</w:t>
      </w:r>
      <w:r w:rsidR="00514056" w:rsidRPr="009118AB">
        <w:rPr>
          <w:i/>
          <w:iCs/>
        </w:rPr>
        <w:t> 2005 abgeschlossen werden</w:t>
      </w:r>
      <w:r w:rsidR="00FD68E8" w:rsidRPr="009118AB">
        <w:rPr>
          <w:i/>
          <w:iCs/>
        </w:rPr>
        <w:t> -,</w:t>
      </w:r>
      <w:r w:rsidRPr="009118AB">
        <w:rPr>
          <w:i/>
          <w:iCs/>
        </w:rPr>
        <w:t xml:space="preserve"> wieder aufgenommen durch </w:t>
      </w:r>
      <w:r w:rsidR="00D67EB8" w:rsidRPr="009118AB">
        <w:rPr>
          <w:i/>
          <w:iCs/>
        </w:rPr>
        <w:t>Art. </w:t>
      </w:r>
      <w:r w:rsidRPr="009118AB">
        <w:rPr>
          <w:i/>
          <w:iCs/>
        </w:rPr>
        <w:t>104 Buchstabe b)</w:t>
      </w:r>
      <w:r w:rsidRPr="009118AB">
        <w:rPr>
          <w:i/>
        </w:rPr>
        <w:t xml:space="preserve"> des G. vom 26. Dezember 2015 (II) (B.S. vom 30. Dezember 2015)</w:t>
      </w:r>
      <w:r w:rsidR="00D67EB8" w:rsidRPr="009118AB">
        <w:t> - </w:t>
      </w:r>
      <w:r w:rsidRPr="009118AB">
        <w:rPr>
          <w:i/>
        </w:rPr>
        <w:t>in Kraft ab dem Steuerjahr 2016</w:t>
      </w:r>
      <w:r w:rsidR="00D67EB8" w:rsidRPr="009118AB">
        <w:rPr>
          <w:i/>
        </w:rPr>
        <w:t> - </w:t>
      </w:r>
      <w:r w:rsidR="00514056" w:rsidRPr="009118AB">
        <w:rPr>
          <w:i/>
        </w:rPr>
        <w:t xml:space="preserve">und </w:t>
      </w:r>
      <w:r w:rsidR="00514056" w:rsidRPr="009118AB">
        <w:rPr>
          <w:i/>
        </w:rPr>
        <w:lastRenderedPageBreak/>
        <w:t xml:space="preserve">abgeändert durch </w:t>
      </w:r>
      <w:r w:rsidR="00D67EB8" w:rsidRPr="009118AB">
        <w:rPr>
          <w:i/>
        </w:rPr>
        <w:t>Art. </w:t>
      </w:r>
      <w:r w:rsidR="00514056" w:rsidRPr="009118AB">
        <w:rPr>
          <w:i/>
        </w:rPr>
        <w:t xml:space="preserve">89 </w:t>
      </w:r>
      <w:r w:rsidR="00D67EB8" w:rsidRPr="009118AB">
        <w:rPr>
          <w:i/>
        </w:rPr>
        <w:t>Nr. </w:t>
      </w:r>
      <w:r w:rsidR="00514056" w:rsidRPr="009118AB">
        <w:rPr>
          <w:i/>
        </w:rPr>
        <w:t xml:space="preserve">1 </w:t>
      </w:r>
      <w:r w:rsidR="00514056" w:rsidRPr="009118AB">
        <w:rPr>
          <w:i/>
          <w:iCs/>
        </w:rPr>
        <w:t>des G. vom 25. Dezember 2017 (IV) (B.S. vom 29. Dezember 2017)</w:t>
      </w:r>
      <w:r w:rsidR="00D67EB8" w:rsidRPr="009118AB">
        <w:rPr>
          <w:i/>
          <w:iCs/>
        </w:rPr>
        <w:t> - </w:t>
      </w:r>
      <w:r w:rsidR="00514056" w:rsidRPr="009118AB">
        <w:rPr>
          <w:i/>
          <w:iCs/>
        </w:rPr>
        <w:t>anwendbar auf Einkünfte, die ab dem 17. September 2017 von einer Rechtsvereinbarung bezogen, zuerkannt oder ausge</w:t>
      </w:r>
      <w:r w:rsidR="00514056" w:rsidRPr="009118AB">
        <w:rPr>
          <w:i/>
          <w:iCs/>
        </w:rPr>
        <w:softHyphen/>
        <w:t>schüttet werden, und</w:t>
      </w:r>
      <w:r w:rsidR="00D67EB8" w:rsidRPr="009118AB">
        <w:rPr>
          <w:i/>
          <w:iCs/>
        </w:rPr>
        <w:t> - </w:t>
      </w:r>
      <w:r w:rsidR="00514056" w:rsidRPr="009118AB">
        <w:rPr>
          <w:i/>
          <w:iCs/>
        </w:rPr>
        <w:t>in Bezug auf die Anwendung des Mobiliensteuervorabzugs</w:t>
      </w:r>
      <w:r w:rsidR="00D67EB8" w:rsidRPr="009118AB">
        <w:rPr>
          <w:i/>
          <w:iCs/>
        </w:rPr>
        <w:t> - </w:t>
      </w:r>
      <w:r w:rsidR="00514056" w:rsidRPr="009118AB">
        <w:rPr>
          <w:i/>
          <w:iCs/>
        </w:rPr>
        <w:t>auf Einkünfte, die ab dem 1. Januar 2018 zuerkannt oder ausgeschüttet werden</w:t>
      </w:r>
      <w:r w:rsidR="00FD68E8" w:rsidRPr="009118AB">
        <w:rPr>
          <w:i/>
          <w:iCs/>
        </w:rPr>
        <w:t> -,</w:t>
      </w:r>
      <w:r w:rsidR="00E100F2" w:rsidRPr="009118AB">
        <w:rPr>
          <w:i/>
          <w:iCs/>
        </w:rPr>
        <w:t xml:space="preserve"> selbst</w:t>
      </w:r>
      <w:r w:rsidR="00655E93" w:rsidRPr="009118AB">
        <w:rPr>
          <w:i/>
          <w:iCs/>
        </w:rPr>
        <w:t xml:space="preserve"> teilweise</w:t>
      </w:r>
      <w:r w:rsidR="00E100F2" w:rsidRPr="009118AB">
        <w:rPr>
          <w:i/>
          <w:iCs/>
        </w:rPr>
        <w:t xml:space="preserve"> für nichtig erklärt durch Entscheid </w:t>
      </w:r>
      <w:r w:rsidR="00D67EB8" w:rsidRPr="009118AB">
        <w:rPr>
          <w:i/>
          <w:iCs/>
        </w:rPr>
        <w:t>Nr. </w:t>
      </w:r>
      <w:r w:rsidR="00E100F2" w:rsidRPr="009118AB">
        <w:rPr>
          <w:i/>
          <w:iCs/>
        </w:rPr>
        <w:t>12/2021 des Verfassungsgerichtshofes vom 28. Januar 2021 (B.S. vom 19. Mai 2021)</w:t>
      </w:r>
      <w:r w:rsidR="0035784E" w:rsidRPr="009118AB">
        <w:rPr>
          <w:i/>
          <w:iCs/>
        </w:rPr>
        <w:t xml:space="preserve">, und durch </w:t>
      </w:r>
      <w:r w:rsidR="00D67EB8" w:rsidRPr="009118AB">
        <w:rPr>
          <w:i/>
        </w:rPr>
        <w:t>Art. </w:t>
      </w:r>
      <w:r w:rsidR="0035784E" w:rsidRPr="009118AB">
        <w:rPr>
          <w:i/>
        </w:rPr>
        <w:t xml:space="preserve">89 </w:t>
      </w:r>
      <w:r w:rsidR="00D67EB8" w:rsidRPr="009118AB">
        <w:rPr>
          <w:i/>
        </w:rPr>
        <w:t>Nr. </w:t>
      </w:r>
      <w:r w:rsidR="0035784E" w:rsidRPr="009118AB">
        <w:rPr>
          <w:i/>
        </w:rPr>
        <w:t>2 und 3</w:t>
      </w:r>
      <w:r w:rsidR="0035784E" w:rsidRPr="009118AB">
        <w:rPr>
          <w:i/>
          <w:iCs/>
        </w:rPr>
        <w:t xml:space="preserve"> des G. vom 25. Dezember 2017 (IV) (B.S. vom 29. Dezember 2017)</w:t>
      </w:r>
      <w:r w:rsidR="00D67EB8" w:rsidRPr="009118AB">
        <w:rPr>
          <w:i/>
          <w:iCs/>
        </w:rPr>
        <w:t> - </w:t>
      </w:r>
      <w:r w:rsidR="0035784E" w:rsidRPr="009118AB">
        <w:rPr>
          <w:i/>
          <w:iCs/>
        </w:rPr>
        <w:t>anwendbar auf Einkünfte, die ab dem 17. September 2017 von einer Rechtsvereinbarung bezogen, zuerkannt oder ausge</w:t>
      </w:r>
      <w:r w:rsidR="0035784E" w:rsidRPr="009118AB">
        <w:rPr>
          <w:i/>
          <w:iCs/>
        </w:rPr>
        <w:softHyphen/>
        <w:t>schüttet werden, und</w:t>
      </w:r>
      <w:r w:rsidR="00D67EB8" w:rsidRPr="009118AB">
        <w:rPr>
          <w:i/>
          <w:iCs/>
        </w:rPr>
        <w:t> - </w:t>
      </w:r>
      <w:r w:rsidR="0035784E" w:rsidRPr="009118AB">
        <w:rPr>
          <w:i/>
          <w:iCs/>
        </w:rPr>
        <w:t>in Bezug auf die Anwendung des Mobiliensteuervorabzugs</w:t>
      </w:r>
      <w:r w:rsidR="00D67EB8" w:rsidRPr="009118AB">
        <w:rPr>
          <w:i/>
          <w:iCs/>
        </w:rPr>
        <w:t> - </w:t>
      </w:r>
      <w:r w:rsidR="0035784E" w:rsidRPr="009118AB">
        <w:rPr>
          <w:i/>
          <w:iCs/>
        </w:rPr>
        <w:t>auf Einkünfte, die ab dem 1. Januar 2018 zuerkannt oder ausgeschüttet werden</w:t>
      </w:r>
      <w:r w:rsidR="00D67EB8" w:rsidRPr="009118AB">
        <w:rPr>
          <w:i/>
          <w:iCs/>
        </w:rPr>
        <w:t> -</w:t>
      </w:r>
      <w:r w:rsidR="00917C85">
        <w:rPr>
          <w:i/>
          <w:iCs/>
        </w:rPr>
        <w:t>,</w:t>
      </w:r>
      <w:r w:rsidR="008B6D76" w:rsidRPr="009118AB">
        <w:rPr>
          <w:i/>
          <w:iCs/>
        </w:rPr>
        <w:t xml:space="preserve"> </w:t>
      </w:r>
      <w:r w:rsidR="00D67EB8" w:rsidRPr="009118AB">
        <w:rPr>
          <w:i/>
          <w:iCs/>
        </w:rPr>
        <w:t>Art. </w:t>
      </w:r>
      <w:r w:rsidR="008B6D76" w:rsidRPr="009118AB">
        <w:rPr>
          <w:i/>
          <w:iCs/>
        </w:rPr>
        <w:t xml:space="preserve">22 </w:t>
      </w:r>
      <w:r w:rsidR="008B6D76" w:rsidRPr="009118AB">
        <w:rPr>
          <w:i/>
        </w:rPr>
        <w:t>des G. vom 27. Juni 2021 (B.S. vom 30. Juni 2021)</w:t>
      </w:r>
      <w:r w:rsidR="00D67EB8" w:rsidRPr="009118AB">
        <w:rPr>
          <w:i/>
        </w:rPr>
        <w:t> - </w:t>
      </w:r>
      <w:r w:rsidR="008B6D76" w:rsidRPr="009118AB">
        <w:rPr>
          <w:i/>
        </w:rPr>
        <w:t>wirksam mit 17. September 2017 und anwendbar auf Einkünfte, die ab diesem Datum von einer Rechtsvereinbarung zuerkannt oder ausgeschüttet werden, und</w:t>
      </w:r>
      <w:r w:rsidR="00D67EB8" w:rsidRPr="009118AB">
        <w:rPr>
          <w:i/>
        </w:rPr>
        <w:t> - </w:t>
      </w:r>
      <w:r w:rsidR="008B6D76" w:rsidRPr="009118AB">
        <w:rPr>
          <w:i/>
        </w:rPr>
        <w:t>in Bezug auf den Mobiliensteuervorabzug</w:t>
      </w:r>
      <w:r w:rsidR="00D67EB8" w:rsidRPr="009118AB">
        <w:rPr>
          <w:i/>
        </w:rPr>
        <w:t> - </w:t>
      </w:r>
      <w:r w:rsidR="008B6D76" w:rsidRPr="009118AB">
        <w:rPr>
          <w:i/>
        </w:rPr>
        <w:t>auf Einkünfte, die ab dem 1. Januar 2018 zuerkannt oder ausgeschüttet werden</w:t>
      </w:r>
      <w:r w:rsidR="003366D9" w:rsidRPr="009118AB">
        <w:rPr>
          <w:i/>
        </w:rPr>
        <w:t> -</w:t>
      </w:r>
      <w:r w:rsidR="00917C85">
        <w:rPr>
          <w:i/>
        </w:rPr>
        <w:t xml:space="preserve"> und Art. 35 Nr. 1</w:t>
      </w:r>
      <w:r w:rsidR="00917C85" w:rsidRPr="00917C85">
        <w:rPr>
          <w:i/>
          <w:iCs/>
        </w:rPr>
        <w:t xml:space="preserve"> des G. vom 22. Dezember 2023 (II) (B.S. vom 29. Dezember 2023) - anwendbar auf Einkünfte, die ab dem 1. Januar 2024 von einer Rechtsvereinbarung bezogen, zuerkannt oder ausgeschüttet werden -</w:t>
      </w:r>
      <w:r w:rsidR="003366D9" w:rsidRPr="009118AB">
        <w:rPr>
          <w:i/>
        </w:rPr>
        <w:t>;</w:t>
      </w:r>
      <w:r w:rsidRPr="009118AB">
        <w:rPr>
          <w:i/>
          <w:iCs/>
        </w:rPr>
        <w:t xml:space="preserve"> </w:t>
      </w:r>
      <w:r w:rsidR="00917C85">
        <w:rPr>
          <w:i/>
          <w:iCs/>
        </w:rPr>
        <w:t>Abs. 1 Nr. 3/1 eingefügt durch Art. 35 Nr. 2</w:t>
      </w:r>
      <w:r w:rsidR="00917C85" w:rsidRPr="00917C85">
        <w:rPr>
          <w:i/>
          <w:iCs/>
        </w:rPr>
        <w:t xml:space="preserve"> des G. vom 22. Dezember 2023 (II) (B.S. vom 29. Dezember 2023) - anwendbar auf Einkünfte, die ab dem 1. Januar 2024 von einer Rechtsvereinbarung bezogen, zuerkannt oder ausgeschüttet werden -</w:t>
      </w:r>
      <w:r w:rsidR="00917C85">
        <w:rPr>
          <w:i/>
          <w:iCs/>
        </w:rPr>
        <w:t xml:space="preserve">; </w:t>
      </w:r>
      <w:r w:rsidR="00D67EB8" w:rsidRPr="009118AB">
        <w:rPr>
          <w:i/>
          <w:iCs/>
        </w:rPr>
        <w:t>Abs. </w:t>
      </w:r>
      <w:r w:rsidRPr="009118AB">
        <w:rPr>
          <w:i/>
          <w:iCs/>
        </w:rPr>
        <w:t xml:space="preserve">1 frühere Nummer 3 ersetzt durch </w:t>
      </w:r>
      <w:r w:rsidR="00D67EB8" w:rsidRPr="009118AB">
        <w:rPr>
          <w:i/>
          <w:iCs/>
        </w:rPr>
        <w:t>Art. </w:t>
      </w:r>
      <w:r w:rsidRPr="009118AB">
        <w:rPr>
          <w:i/>
          <w:iCs/>
        </w:rPr>
        <w:t xml:space="preserve">1 </w:t>
      </w:r>
      <w:r w:rsidR="00D67EB8" w:rsidRPr="009118AB">
        <w:rPr>
          <w:i/>
          <w:iCs/>
        </w:rPr>
        <w:t>Nr. </w:t>
      </w:r>
      <w:r w:rsidRPr="009118AB">
        <w:rPr>
          <w:i/>
          <w:iCs/>
        </w:rPr>
        <w:t>1 des G. vom 28. Juli 1992 (B.S. vom 31. Juli 1992)</w:t>
      </w:r>
      <w:r w:rsidR="00D67EB8" w:rsidRPr="009118AB">
        <w:rPr>
          <w:i/>
          <w:iCs/>
        </w:rPr>
        <w:t> - </w:t>
      </w:r>
      <w:r w:rsidRPr="009118AB">
        <w:rPr>
          <w:i/>
          <w:iCs/>
        </w:rPr>
        <w:t>anwendbar auf die ab dem 27. März 1992 gezahlten oder zuerkannten Zinsen</w:t>
      </w:r>
      <w:r w:rsidR="00D67EB8" w:rsidRPr="009118AB">
        <w:rPr>
          <w:i/>
          <w:iCs/>
        </w:rPr>
        <w:t> - </w:t>
      </w:r>
      <w:r w:rsidRPr="009118AB">
        <w:rPr>
          <w:i/>
          <w:iCs/>
        </w:rPr>
        <w:t xml:space="preserve">und umnummeriert zu </w:t>
      </w:r>
      <w:r w:rsidR="00D67EB8" w:rsidRPr="009118AB">
        <w:rPr>
          <w:i/>
          <w:iCs/>
        </w:rPr>
        <w:t>Nr. </w:t>
      </w:r>
      <w:r w:rsidRPr="009118AB">
        <w:rPr>
          <w:i/>
          <w:iCs/>
        </w:rPr>
        <w:t xml:space="preserve">4 durch </w:t>
      </w:r>
      <w:r w:rsidR="00D67EB8" w:rsidRPr="009118AB">
        <w:rPr>
          <w:i/>
          <w:iCs/>
        </w:rPr>
        <w:t>Art. </w:t>
      </w:r>
      <w:r w:rsidRPr="009118AB">
        <w:rPr>
          <w:i/>
          <w:iCs/>
        </w:rPr>
        <w:t>44 des G. vom 10. März 1999 (B.S. vom 14. April 1999)</w:t>
      </w:r>
      <w:r w:rsidR="00D67EB8" w:rsidRPr="009118AB">
        <w:rPr>
          <w:i/>
          <w:iCs/>
        </w:rPr>
        <w:t> - </w:t>
      </w:r>
      <w:r w:rsidRPr="009118AB">
        <w:rPr>
          <w:i/>
          <w:iCs/>
        </w:rPr>
        <w:t>in Kraft ab dem 14. April 1999</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4 einziger Absatz zweiter Gedankenstrich ersetzt durch </w:t>
      </w:r>
      <w:r w:rsidR="00D67EB8" w:rsidRPr="009118AB">
        <w:rPr>
          <w:i/>
          <w:iCs/>
        </w:rPr>
        <w:t>Art. </w:t>
      </w:r>
      <w:r w:rsidRPr="009118AB">
        <w:rPr>
          <w:i/>
          <w:iCs/>
        </w:rPr>
        <w:t xml:space="preserve">3 </w:t>
      </w:r>
      <w:r w:rsidR="00D67EB8" w:rsidRPr="009118AB">
        <w:rPr>
          <w:i/>
          <w:iCs/>
        </w:rPr>
        <w:t>Nr. </w:t>
      </w:r>
      <w:r w:rsidRPr="009118AB">
        <w:rPr>
          <w:i/>
          <w:iCs/>
        </w:rPr>
        <w:t>1 des K.E. vom 20. Dezember 1996 (B.S. vom 31. Dezember 1996)</w:t>
      </w:r>
      <w:r w:rsidR="00D67EB8" w:rsidRPr="009118AB">
        <w:rPr>
          <w:i/>
          <w:iCs/>
        </w:rPr>
        <w:t> - </w:t>
      </w:r>
      <w:r w:rsidRPr="009118AB">
        <w:rPr>
          <w:i/>
          <w:iCs/>
        </w:rPr>
        <w:t>anwendbar auf die ab dem 1. Januar 1997 zuerkannten oder ausgeschütteten Einkünfte</w:t>
      </w:r>
      <w:r w:rsidR="003366D9" w:rsidRPr="009118AB">
        <w:rPr>
          <w:i/>
          <w:iCs/>
        </w:rPr>
        <w:t> -;</w:t>
      </w:r>
      <w:r w:rsidRPr="009118AB">
        <w:rPr>
          <w:i/>
          <w:iCs/>
        </w:rPr>
        <w:t xml:space="preserve"> neue Absätze 2 </w:t>
      </w:r>
      <w:r w:rsidR="00AC038F" w:rsidRPr="009118AB">
        <w:rPr>
          <w:i/>
          <w:iCs/>
        </w:rPr>
        <w:t>und 3</w:t>
      </w:r>
      <w:r w:rsidRPr="009118AB">
        <w:rPr>
          <w:i/>
          <w:iCs/>
        </w:rPr>
        <w:t xml:space="preserve"> eingefügt durch </w:t>
      </w:r>
      <w:r w:rsidR="00D67EB8" w:rsidRPr="009118AB">
        <w:rPr>
          <w:i/>
          <w:iCs/>
        </w:rPr>
        <w:t>Art. </w:t>
      </w:r>
      <w:r w:rsidRPr="009118AB">
        <w:rPr>
          <w:i/>
          <w:iCs/>
        </w:rPr>
        <w:t xml:space="preserve">4 </w:t>
      </w:r>
      <w:r w:rsidR="00D67EB8" w:rsidRPr="009118AB">
        <w:rPr>
          <w:i/>
          <w:iCs/>
        </w:rPr>
        <w:t>Nr. </w:t>
      </w:r>
      <w:r w:rsidRPr="009118AB">
        <w:rPr>
          <w:i/>
          <w:iCs/>
        </w:rPr>
        <w:t>2 des G. vom 25. Dezember 2017 (III) (B.S. vom 29. Dezember 2017</w:t>
      </w:r>
      <w:r w:rsidR="00D67EB8" w:rsidRPr="009118AB">
        <w:rPr>
          <w:i/>
          <w:iCs/>
        </w:rPr>
        <w:t> - </w:t>
      </w:r>
      <w:r w:rsidRPr="009118AB">
        <w:rPr>
          <w:i/>
          <w:iCs/>
        </w:rPr>
        <w:t>in Kraft am 1. Januar 2018 und anwendbar auf Vorgänge der Kapitalherabsetzung und der Rückzahlung von eingezahltem Kapital gleichgesetzten Emissionsagien oder Gewinnanteilen, die die Generalversammlung ab dem 1. Januar 2018 beschließt</w:t>
      </w:r>
      <w:r w:rsidR="00D67EB8" w:rsidRPr="009118AB">
        <w:rPr>
          <w:i/>
        </w:rPr>
        <w:t> - </w:t>
      </w:r>
      <w:r w:rsidR="00AC038F" w:rsidRPr="009118AB">
        <w:rPr>
          <w:i/>
        </w:rPr>
        <w:t xml:space="preserve">und ersetzt durch </w:t>
      </w:r>
      <w:r w:rsidR="00D67EB8" w:rsidRPr="009118AB">
        <w:rPr>
          <w:i/>
        </w:rPr>
        <w:t>Art. </w:t>
      </w:r>
      <w:r w:rsidR="00AC038F" w:rsidRPr="009118AB">
        <w:rPr>
          <w:i/>
        </w:rPr>
        <w:t xml:space="preserve">3 </w:t>
      </w:r>
      <w:r w:rsidR="00D67EB8" w:rsidRPr="009118AB">
        <w:rPr>
          <w:i/>
        </w:rPr>
        <w:t>Nr. </w:t>
      </w:r>
      <w:r w:rsidR="00AC038F" w:rsidRPr="009118AB">
        <w:rPr>
          <w:i/>
        </w:rPr>
        <w:t>2</w:t>
      </w:r>
      <w:r w:rsidR="00AC038F" w:rsidRPr="009118AB">
        <w:rPr>
          <w:i/>
          <w:iCs/>
          <w:spacing w:val="-2"/>
        </w:rPr>
        <w:t xml:space="preserve"> des G. vom 17. März 2019 (III) (B.S. vom 10. Mai 2019)</w:t>
      </w:r>
      <w:r w:rsidR="00D67EB8" w:rsidRPr="009118AB">
        <w:rPr>
          <w:i/>
          <w:iCs/>
          <w:spacing w:val="-2"/>
        </w:rPr>
        <w:t> - </w:t>
      </w:r>
      <w:r w:rsidR="00AC038F" w:rsidRPr="009118AB">
        <w:rPr>
          <w:i/>
          <w:iCs/>
          <w:spacing w:val="-2"/>
        </w:rPr>
        <w:t>in Kraft am 1. Mai 2019</w:t>
      </w:r>
      <w:r w:rsidR="003366D9" w:rsidRPr="009118AB">
        <w:rPr>
          <w:i/>
          <w:iCs/>
          <w:spacing w:val="-2"/>
        </w:rPr>
        <w:t> -;</w:t>
      </w:r>
      <w:r w:rsidR="00AC038F" w:rsidRPr="009118AB">
        <w:rPr>
          <w:i/>
        </w:rPr>
        <w:t xml:space="preserve"> </w:t>
      </w:r>
      <w:r w:rsidR="00AC038F" w:rsidRPr="009118AB">
        <w:rPr>
          <w:i/>
          <w:iCs/>
        </w:rPr>
        <w:t xml:space="preserve">neuer Absatz 4 eingefügt durch </w:t>
      </w:r>
      <w:r w:rsidR="00D67EB8" w:rsidRPr="009118AB">
        <w:rPr>
          <w:i/>
          <w:iCs/>
        </w:rPr>
        <w:t>Art. </w:t>
      </w:r>
      <w:r w:rsidR="00AC038F" w:rsidRPr="009118AB">
        <w:rPr>
          <w:i/>
          <w:iCs/>
        </w:rPr>
        <w:t xml:space="preserve">4 </w:t>
      </w:r>
      <w:r w:rsidR="00D67EB8" w:rsidRPr="009118AB">
        <w:rPr>
          <w:i/>
          <w:iCs/>
        </w:rPr>
        <w:t>Nr. </w:t>
      </w:r>
      <w:r w:rsidR="00AC038F" w:rsidRPr="009118AB">
        <w:rPr>
          <w:i/>
          <w:iCs/>
        </w:rPr>
        <w:t>2 des G. vom 25. Dezember 2017 (III) (B.S. vom 29. Dezember 2017</w:t>
      </w:r>
      <w:r w:rsidR="00D67EB8" w:rsidRPr="009118AB">
        <w:rPr>
          <w:i/>
          <w:iCs/>
        </w:rPr>
        <w:t> - </w:t>
      </w:r>
      <w:r w:rsidR="00AC038F" w:rsidRPr="009118AB">
        <w:rPr>
          <w:i/>
          <w:iCs/>
        </w:rPr>
        <w:t>in Kraft am 1. Januar 2018 und anwendbar auf Vorgänge der Kapitalherabsetzung und der Rückzahlung von eingezahltem Kapital gleichgesetzten Emissionsagien oder Gewinnanteilen, die die Generalversammlung ab dem 1. Januar 2018 beschließt</w:t>
      </w:r>
      <w:r w:rsidR="00D67EB8" w:rsidRPr="009118AB">
        <w:rPr>
          <w:i/>
        </w:rPr>
        <w:t> - </w:t>
      </w:r>
      <w:r w:rsidR="00AC038F" w:rsidRPr="009118AB">
        <w:rPr>
          <w:i/>
        </w:rPr>
        <w:t xml:space="preserve">und abgeändert durch </w:t>
      </w:r>
      <w:r w:rsidR="00D67EB8" w:rsidRPr="009118AB">
        <w:rPr>
          <w:i/>
        </w:rPr>
        <w:t>Art. </w:t>
      </w:r>
      <w:r w:rsidR="00AC038F" w:rsidRPr="009118AB">
        <w:rPr>
          <w:i/>
        </w:rPr>
        <w:t xml:space="preserve">3 </w:t>
      </w:r>
      <w:r w:rsidR="00D67EB8" w:rsidRPr="009118AB">
        <w:rPr>
          <w:i/>
        </w:rPr>
        <w:t>Nr. </w:t>
      </w:r>
      <w:r w:rsidR="00AC038F" w:rsidRPr="009118AB">
        <w:rPr>
          <w:i/>
        </w:rPr>
        <w:t>3</w:t>
      </w:r>
      <w:r w:rsidR="00AC038F" w:rsidRPr="009118AB">
        <w:rPr>
          <w:i/>
          <w:iCs/>
          <w:spacing w:val="-2"/>
        </w:rPr>
        <w:t xml:space="preserve"> des G. vom 17. März 2019 (III) (B.S. vom 10. Mai 2019)</w:t>
      </w:r>
      <w:r w:rsidR="00D67EB8" w:rsidRPr="009118AB">
        <w:rPr>
          <w:i/>
          <w:iCs/>
          <w:spacing w:val="-2"/>
        </w:rPr>
        <w:t> - </w:t>
      </w:r>
      <w:r w:rsidR="00AC038F" w:rsidRPr="009118AB">
        <w:rPr>
          <w:i/>
          <w:iCs/>
          <w:spacing w:val="-2"/>
        </w:rPr>
        <w:t>in Kraft am 1. Mai 2019</w:t>
      </w:r>
      <w:r w:rsidR="003366D9" w:rsidRPr="009118AB">
        <w:rPr>
          <w:i/>
          <w:iCs/>
          <w:spacing w:val="-2"/>
        </w:rPr>
        <w:t> -;</w:t>
      </w:r>
      <w:r w:rsidRPr="009118AB">
        <w:rPr>
          <w:i/>
        </w:rPr>
        <w:t xml:space="preserve"> </w:t>
      </w:r>
      <w:r w:rsidR="00AC038F" w:rsidRPr="009118AB">
        <w:rPr>
          <w:i/>
          <w:iCs/>
        </w:rPr>
        <w:t xml:space="preserve">neuer Absatz 5 eingefügt durch </w:t>
      </w:r>
      <w:r w:rsidR="00D67EB8" w:rsidRPr="009118AB">
        <w:rPr>
          <w:i/>
          <w:iCs/>
        </w:rPr>
        <w:t>Art. </w:t>
      </w:r>
      <w:r w:rsidR="00AC038F" w:rsidRPr="009118AB">
        <w:rPr>
          <w:i/>
          <w:iCs/>
        </w:rPr>
        <w:t xml:space="preserve">4 </w:t>
      </w:r>
      <w:r w:rsidR="00D67EB8" w:rsidRPr="009118AB">
        <w:rPr>
          <w:i/>
          <w:iCs/>
        </w:rPr>
        <w:t>Nr. </w:t>
      </w:r>
      <w:r w:rsidR="00AC038F" w:rsidRPr="009118AB">
        <w:rPr>
          <w:i/>
          <w:iCs/>
        </w:rPr>
        <w:t>2 des G. vom 25. Dezember 2017 (III) (B.S. vom 29. Dezember 2017</w:t>
      </w:r>
      <w:r w:rsidR="00D67EB8" w:rsidRPr="009118AB">
        <w:rPr>
          <w:i/>
          <w:iCs/>
        </w:rPr>
        <w:t> - </w:t>
      </w:r>
      <w:r w:rsidR="00AC038F" w:rsidRPr="009118AB">
        <w:rPr>
          <w:i/>
          <w:iCs/>
        </w:rPr>
        <w:t>in Kraft am 1. Januar 2018 und anwendbar auf Vorgänge der Kapitalherabsetzung und der Rückzahlung von eingezahltem Kapital gleichgesetzten Emissionsagien oder Gewinnanteilen, die die Generalversammlung ab dem 1. Januar 2018 beschließt</w:t>
      </w:r>
      <w:r w:rsidR="003366D9" w:rsidRPr="009118AB">
        <w:rPr>
          <w:i/>
        </w:rPr>
        <w:t> -;</w:t>
      </w:r>
      <w:r w:rsidR="00644F6A" w:rsidRPr="009118AB">
        <w:rPr>
          <w:i/>
        </w:rPr>
        <w:t xml:space="preserve"> </w:t>
      </w:r>
      <w:r w:rsidR="00D67EB8" w:rsidRPr="009118AB">
        <w:rPr>
          <w:i/>
        </w:rPr>
        <w:t>Abs. </w:t>
      </w:r>
      <w:r w:rsidR="00644F6A" w:rsidRPr="009118AB">
        <w:rPr>
          <w:i/>
        </w:rPr>
        <w:t>5 siebter Gedankenstrich</w:t>
      </w:r>
      <w:r w:rsidR="00AC038F" w:rsidRPr="009118AB">
        <w:rPr>
          <w:i/>
        </w:rPr>
        <w:t xml:space="preserve"> abgeändert durch </w:t>
      </w:r>
      <w:r w:rsidR="00D67EB8" w:rsidRPr="009118AB">
        <w:rPr>
          <w:i/>
        </w:rPr>
        <w:t>Art. </w:t>
      </w:r>
      <w:r w:rsidR="00AC038F" w:rsidRPr="009118AB">
        <w:rPr>
          <w:i/>
        </w:rPr>
        <w:t xml:space="preserve">3 </w:t>
      </w:r>
      <w:r w:rsidR="00D67EB8" w:rsidRPr="009118AB">
        <w:rPr>
          <w:i/>
        </w:rPr>
        <w:t>Nr. </w:t>
      </w:r>
      <w:r w:rsidR="00AC038F" w:rsidRPr="009118AB">
        <w:rPr>
          <w:i/>
        </w:rPr>
        <w:t>4</w:t>
      </w:r>
      <w:r w:rsidR="00AC038F" w:rsidRPr="009118AB">
        <w:rPr>
          <w:i/>
          <w:iCs/>
          <w:spacing w:val="-2"/>
        </w:rPr>
        <w:t xml:space="preserve"> des G. vom 17. März 2019 (III) (B.S. vom 10. Mai 2019)</w:t>
      </w:r>
      <w:r w:rsidR="00D67EB8" w:rsidRPr="009118AB">
        <w:rPr>
          <w:i/>
          <w:iCs/>
          <w:spacing w:val="-2"/>
        </w:rPr>
        <w:t> - </w:t>
      </w:r>
      <w:r w:rsidR="00AC038F" w:rsidRPr="009118AB">
        <w:rPr>
          <w:i/>
          <w:iCs/>
          <w:spacing w:val="-2"/>
        </w:rPr>
        <w:t>in Kraft am 1. Mai 2019</w:t>
      </w:r>
      <w:r w:rsidR="003366D9" w:rsidRPr="009118AB">
        <w:rPr>
          <w:i/>
          <w:iCs/>
          <w:spacing w:val="-2"/>
        </w:rPr>
        <w:t> -;</w:t>
      </w:r>
      <w:r w:rsidR="00AC038F" w:rsidRPr="009118AB">
        <w:rPr>
          <w:i/>
        </w:rPr>
        <w:t xml:space="preserve"> </w:t>
      </w:r>
      <w:r w:rsidR="00AC038F" w:rsidRPr="009118AB">
        <w:rPr>
          <w:i/>
          <w:iCs/>
        </w:rPr>
        <w:t xml:space="preserve">neuer Absatz 6 eingefügt durch </w:t>
      </w:r>
      <w:r w:rsidR="00D67EB8" w:rsidRPr="009118AB">
        <w:rPr>
          <w:i/>
          <w:iCs/>
        </w:rPr>
        <w:t>Art. </w:t>
      </w:r>
      <w:r w:rsidR="00AC038F" w:rsidRPr="009118AB">
        <w:rPr>
          <w:i/>
          <w:iCs/>
        </w:rPr>
        <w:t xml:space="preserve">4 </w:t>
      </w:r>
      <w:r w:rsidR="00D67EB8" w:rsidRPr="009118AB">
        <w:rPr>
          <w:i/>
          <w:iCs/>
        </w:rPr>
        <w:t>Nr. </w:t>
      </w:r>
      <w:r w:rsidR="00AC038F" w:rsidRPr="009118AB">
        <w:rPr>
          <w:i/>
          <w:iCs/>
        </w:rPr>
        <w:t>2 des G. vom 25. Dezember 2017 (III) (B.S. vom 29. Dezember 2017</w:t>
      </w:r>
      <w:r w:rsidR="00D67EB8" w:rsidRPr="009118AB">
        <w:rPr>
          <w:i/>
          <w:iCs/>
        </w:rPr>
        <w:t> - </w:t>
      </w:r>
      <w:r w:rsidR="00AC038F" w:rsidRPr="009118AB">
        <w:rPr>
          <w:i/>
          <w:iCs/>
        </w:rPr>
        <w:t>in Kraft am 1. Januar 2018 und anwendbar auf Vorgänge der Kapitalherabsetzung und der Rückzahlung von eingezahltem Kapital gleichgesetzten Emissionsagien oder Gewinnanteilen, die die Generalversammlung ab dem 1. Januar 2018 beschließt</w:t>
      </w:r>
      <w:r w:rsidR="003366D9" w:rsidRPr="009118AB">
        <w:rPr>
          <w:i/>
        </w:rPr>
        <w:t> -;</w:t>
      </w:r>
      <w:r w:rsidR="00AC038F" w:rsidRPr="009118AB">
        <w:rPr>
          <w:i/>
        </w:rPr>
        <w:t xml:space="preserve"> </w:t>
      </w:r>
      <w:r w:rsidR="00AC038F" w:rsidRPr="009118AB">
        <w:rPr>
          <w:i/>
          <w:iCs/>
        </w:rPr>
        <w:t xml:space="preserve">neuer Absatz 7 eingefügt durch </w:t>
      </w:r>
      <w:r w:rsidR="00D67EB8" w:rsidRPr="009118AB">
        <w:rPr>
          <w:i/>
          <w:iCs/>
        </w:rPr>
        <w:t>Art. </w:t>
      </w:r>
      <w:r w:rsidR="00AC038F" w:rsidRPr="009118AB">
        <w:rPr>
          <w:i/>
          <w:iCs/>
        </w:rPr>
        <w:t xml:space="preserve">4 </w:t>
      </w:r>
      <w:r w:rsidR="00D67EB8" w:rsidRPr="009118AB">
        <w:rPr>
          <w:i/>
          <w:iCs/>
        </w:rPr>
        <w:t>Nr. </w:t>
      </w:r>
      <w:r w:rsidR="00AC038F" w:rsidRPr="009118AB">
        <w:rPr>
          <w:i/>
          <w:iCs/>
        </w:rPr>
        <w:t>2 des G. vom 25. Dezember 2017 (III) (B.S. vom 29. Dezember 2017</w:t>
      </w:r>
      <w:r w:rsidR="00D67EB8" w:rsidRPr="009118AB">
        <w:rPr>
          <w:i/>
          <w:iCs/>
        </w:rPr>
        <w:t> - </w:t>
      </w:r>
      <w:r w:rsidR="00AC038F" w:rsidRPr="009118AB">
        <w:rPr>
          <w:i/>
          <w:iCs/>
        </w:rPr>
        <w:t xml:space="preserve">in Kraft am 1. Januar 2018 und anwendbar auf Vorgänge der Kapitalherabsetzung und der Rückzahlung von eingezahltem Kapital gleichgesetzten </w:t>
      </w:r>
      <w:r w:rsidR="00AC038F" w:rsidRPr="009118AB">
        <w:rPr>
          <w:i/>
          <w:iCs/>
        </w:rPr>
        <w:lastRenderedPageBreak/>
        <w:t>Emissionsagien oder Gewinnanteilen, die die Generalversammlung ab dem 1. Januar 2018 beschließt</w:t>
      </w:r>
      <w:r w:rsidR="00D67EB8" w:rsidRPr="009118AB">
        <w:rPr>
          <w:i/>
        </w:rPr>
        <w:t> - </w:t>
      </w:r>
      <w:r w:rsidR="00AC038F" w:rsidRPr="009118AB">
        <w:rPr>
          <w:i/>
        </w:rPr>
        <w:t xml:space="preserve">und abgeändert durch </w:t>
      </w:r>
      <w:r w:rsidR="00D67EB8" w:rsidRPr="009118AB">
        <w:rPr>
          <w:i/>
        </w:rPr>
        <w:t>Art. </w:t>
      </w:r>
      <w:r w:rsidR="00AC038F" w:rsidRPr="009118AB">
        <w:rPr>
          <w:i/>
        </w:rPr>
        <w:t>5 Buchstabe a) bis c)</w:t>
      </w:r>
      <w:r w:rsidR="00AC038F" w:rsidRPr="009118AB">
        <w:rPr>
          <w:i/>
          <w:iCs/>
          <w:spacing w:val="-2"/>
        </w:rPr>
        <w:t xml:space="preserve"> des G. vom 17. März 2019 (III) (B.S. vom 10. Mai 2019)</w:t>
      </w:r>
      <w:r w:rsidR="00D67EB8" w:rsidRPr="009118AB">
        <w:rPr>
          <w:i/>
          <w:iCs/>
          <w:spacing w:val="-2"/>
        </w:rPr>
        <w:t> - </w:t>
      </w:r>
      <w:r w:rsidR="00AC038F" w:rsidRPr="009118AB">
        <w:rPr>
          <w:i/>
          <w:iCs/>
          <w:spacing w:val="-2"/>
        </w:rPr>
        <w:t>in Kraft am 1. Mai 2019</w:t>
      </w:r>
      <w:r w:rsidR="003366D9" w:rsidRPr="009118AB">
        <w:rPr>
          <w:i/>
          <w:iCs/>
          <w:spacing w:val="-2"/>
        </w:rPr>
        <w:t> -;</w:t>
      </w:r>
      <w:r w:rsidR="00AC038F" w:rsidRPr="009118AB">
        <w:rPr>
          <w:i/>
        </w:rPr>
        <w:t xml:space="preserve"> </w:t>
      </w:r>
      <w:r w:rsidR="00D67EB8" w:rsidRPr="009118AB">
        <w:rPr>
          <w:i/>
          <w:iCs/>
        </w:rPr>
        <w:t>Abs. </w:t>
      </w:r>
      <w:r w:rsidRPr="009118AB">
        <w:rPr>
          <w:i/>
          <w:iCs/>
        </w:rPr>
        <w:t xml:space="preserve">8 (früherer Absatz 2) eingefügt durch </w:t>
      </w:r>
      <w:r w:rsidR="00D67EB8" w:rsidRPr="009118AB">
        <w:rPr>
          <w:i/>
          <w:iCs/>
        </w:rPr>
        <w:t>Art. </w:t>
      </w:r>
      <w:r w:rsidRPr="009118AB">
        <w:rPr>
          <w:i/>
          <w:iCs/>
        </w:rPr>
        <w:t xml:space="preserve">1 </w:t>
      </w:r>
      <w:r w:rsidR="00D67EB8" w:rsidRPr="009118AB">
        <w:rPr>
          <w:i/>
          <w:iCs/>
        </w:rPr>
        <w:t>Nr. </w:t>
      </w:r>
      <w:r w:rsidRPr="009118AB">
        <w:rPr>
          <w:i/>
          <w:iCs/>
        </w:rPr>
        <w:t xml:space="preserve">2 des G. vom 28. Juli 1992 (B.S. vom 31. Juli 1992) und ersetzt durch </w:t>
      </w:r>
      <w:r w:rsidR="00D67EB8" w:rsidRPr="009118AB">
        <w:rPr>
          <w:i/>
          <w:iCs/>
        </w:rPr>
        <w:t>Art. </w:t>
      </w:r>
      <w:r w:rsidRPr="009118AB">
        <w:rPr>
          <w:i/>
          <w:iCs/>
        </w:rPr>
        <w:t xml:space="preserve">3 </w:t>
      </w:r>
      <w:r w:rsidR="00D67EB8" w:rsidRPr="009118AB">
        <w:rPr>
          <w:i/>
          <w:iCs/>
        </w:rPr>
        <w:t>Nr. </w:t>
      </w:r>
      <w:r w:rsidRPr="009118AB">
        <w:rPr>
          <w:i/>
          <w:iCs/>
        </w:rPr>
        <w:t>2 des K.E. vom 20. Dezember 1996 (B.S. vom 31. Dezember 1996)</w:t>
      </w:r>
      <w:r w:rsidR="00D67EB8" w:rsidRPr="009118AB">
        <w:rPr>
          <w:i/>
          <w:iCs/>
        </w:rPr>
        <w:t> - </w:t>
      </w:r>
      <w:r w:rsidRPr="009118AB">
        <w:rPr>
          <w:i/>
          <w:iCs/>
        </w:rPr>
        <w:t>anwendbar auf die ab dem 1. Januar 1997 zuerkannten oder ausgeschütteten Einkünfte</w:t>
      </w:r>
      <w:r w:rsidR="003366D9" w:rsidRPr="009118AB">
        <w:rPr>
          <w:i/>
          <w:iCs/>
        </w:rPr>
        <w:t> -;</w:t>
      </w:r>
      <w:r w:rsidRPr="009118AB">
        <w:rPr>
          <w:i/>
          <w:iCs/>
        </w:rPr>
        <w:t xml:space="preserve"> </w:t>
      </w:r>
      <w:r w:rsidR="00D67EB8" w:rsidRPr="009118AB">
        <w:rPr>
          <w:i/>
          <w:iCs/>
        </w:rPr>
        <w:t>Abs. </w:t>
      </w:r>
      <w:r w:rsidR="005356AD" w:rsidRPr="009118AB">
        <w:rPr>
          <w:i/>
          <w:iCs/>
        </w:rPr>
        <w:t xml:space="preserve">8 einleitende Bestimmung abgeändert durch </w:t>
      </w:r>
      <w:r w:rsidR="00D67EB8" w:rsidRPr="009118AB">
        <w:rPr>
          <w:i/>
          <w:iCs/>
        </w:rPr>
        <w:t>Art. </w:t>
      </w:r>
      <w:r w:rsidR="005356AD" w:rsidRPr="009118AB">
        <w:rPr>
          <w:i/>
          <w:iCs/>
        </w:rPr>
        <w:t xml:space="preserve">4 </w:t>
      </w:r>
      <w:r w:rsidR="00D67EB8" w:rsidRPr="009118AB">
        <w:rPr>
          <w:i/>
          <w:iCs/>
        </w:rPr>
        <w:t>Nr. </w:t>
      </w:r>
      <w:r w:rsidR="005356AD" w:rsidRPr="009118AB">
        <w:rPr>
          <w:i/>
          <w:iCs/>
        </w:rPr>
        <w:t>3 erster Gedankenstrich des G. vom 25. Dezember 2017 (III) (B.S. vom 29. Dezember 2017)</w:t>
      </w:r>
      <w:r w:rsidR="00D67EB8" w:rsidRPr="009118AB">
        <w:rPr>
          <w:i/>
          <w:iCs/>
        </w:rPr>
        <w:t> - </w:t>
      </w:r>
      <w:r w:rsidR="005356AD" w:rsidRPr="009118AB">
        <w:rPr>
          <w:i/>
          <w:iCs/>
        </w:rPr>
        <w:t>in Kraft am 1. Januar 2020 und anwendbar auf Zinsen, die sich auf Zeiträume nach dem 31. Dezember 2019 beziehen</w:t>
      </w:r>
      <w:r w:rsidR="003366D9" w:rsidRPr="009118AB">
        <w:rPr>
          <w:i/>
          <w:iCs/>
        </w:rPr>
        <w:t> -;</w:t>
      </w:r>
      <w:r w:rsidR="005356AD" w:rsidRPr="009118AB">
        <w:rPr>
          <w:i/>
          <w:iCs/>
        </w:rPr>
        <w:t xml:space="preserve"> </w:t>
      </w:r>
      <w:r w:rsidR="00D67EB8" w:rsidRPr="009118AB">
        <w:rPr>
          <w:i/>
          <w:iCs/>
        </w:rPr>
        <w:t>Abs. </w:t>
      </w:r>
      <w:r w:rsidR="005356AD" w:rsidRPr="009118AB">
        <w:rPr>
          <w:i/>
          <w:iCs/>
        </w:rPr>
        <w:t xml:space="preserve">8 </w:t>
      </w:r>
      <w:r w:rsidR="00D67EB8" w:rsidRPr="009118AB">
        <w:rPr>
          <w:i/>
          <w:iCs/>
        </w:rPr>
        <w:t>Nr. </w:t>
      </w:r>
      <w:r w:rsidR="005356AD" w:rsidRPr="009118AB">
        <w:rPr>
          <w:i/>
          <w:iCs/>
        </w:rPr>
        <w:t xml:space="preserve">2 abgeändert durch </w:t>
      </w:r>
      <w:r w:rsidR="00D67EB8" w:rsidRPr="009118AB">
        <w:rPr>
          <w:i/>
          <w:iCs/>
        </w:rPr>
        <w:t>Art. </w:t>
      </w:r>
      <w:r w:rsidR="005356AD" w:rsidRPr="009118AB">
        <w:rPr>
          <w:i/>
          <w:iCs/>
        </w:rPr>
        <w:t xml:space="preserve">4 </w:t>
      </w:r>
      <w:r w:rsidR="00D67EB8" w:rsidRPr="009118AB">
        <w:rPr>
          <w:i/>
          <w:iCs/>
        </w:rPr>
        <w:t>Nr. </w:t>
      </w:r>
      <w:r w:rsidR="005356AD" w:rsidRPr="009118AB">
        <w:rPr>
          <w:i/>
          <w:iCs/>
        </w:rPr>
        <w:t xml:space="preserve">3 zweiter Gedankenstrich des G. vom </w:t>
      </w:r>
      <w:r w:rsidR="005356AD" w:rsidRPr="009118AB">
        <w:rPr>
          <w:rFonts w:ascii="Times New Roman Italique" w:hAnsi="Times New Roman Italique"/>
          <w:i/>
          <w:iCs/>
          <w:spacing w:val="-2"/>
        </w:rPr>
        <w:t>25. Dezember 2017 (III) (B.S. vom 29. Dezember 2017)</w:t>
      </w:r>
      <w:r w:rsidR="00D67EB8" w:rsidRPr="009118AB">
        <w:rPr>
          <w:rFonts w:ascii="Times New Roman Italique" w:hAnsi="Times New Roman Italique"/>
          <w:i/>
          <w:iCs/>
          <w:spacing w:val="-2"/>
        </w:rPr>
        <w:t> - </w:t>
      </w:r>
      <w:r w:rsidR="005356AD" w:rsidRPr="009118AB">
        <w:rPr>
          <w:rFonts w:ascii="Times New Roman Italique" w:hAnsi="Times New Roman Italique"/>
          <w:i/>
          <w:iCs/>
          <w:spacing w:val="-2"/>
        </w:rPr>
        <w:t>in Kraft am 1. Januar 2020 und anwendbar auf Zinsen, die sich auf Zeiträume nach dem 31. Dezember 2019 beziehen</w:t>
      </w:r>
      <w:r w:rsidR="00D67EB8" w:rsidRPr="009118AB">
        <w:rPr>
          <w:rFonts w:ascii="Times New Roman Italique" w:hAnsi="Times New Roman Italique"/>
          <w:i/>
          <w:iCs/>
          <w:spacing w:val="-2"/>
        </w:rPr>
        <w:t> - </w:t>
      </w:r>
      <w:r w:rsidR="00AC038F"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AC038F"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Nr. </w:t>
      </w:r>
      <w:r w:rsidR="00AC038F" w:rsidRPr="009118AB">
        <w:rPr>
          <w:rFonts w:ascii="Times New Roman Italique" w:hAnsi="Times New Roman Italique"/>
          <w:i/>
          <w:iCs/>
          <w:spacing w:val="-2"/>
        </w:rPr>
        <w:t>6 des G. vom 17. März 2019 (III) (B.S. vom 10. Mai 2019)</w:t>
      </w:r>
      <w:r w:rsidR="00D67EB8" w:rsidRPr="009118AB">
        <w:rPr>
          <w:rFonts w:ascii="Times New Roman Italique" w:hAnsi="Times New Roman Italique"/>
          <w:i/>
          <w:iCs/>
          <w:spacing w:val="-2"/>
        </w:rPr>
        <w:t> - </w:t>
      </w:r>
      <w:r w:rsidR="00AC038F" w:rsidRPr="009118AB">
        <w:rPr>
          <w:rFonts w:ascii="Times New Roman Italique" w:hAnsi="Times New Roman Italique"/>
          <w:i/>
          <w:iCs/>
          <w:spacing w:val="-2"/>
        </w:rPr>
        <w:t>in Kraft am 1. Mai 2019</w:t>
      </w:r>
      <w:r w:rsidR="003366D9" w:rsidRPr="009118AB">
        <w:rPr>
          <w:rFonts w:ascii="Times New Roman Italique" w:hAnsi="Times New Roman Italique"/>
          <w:i/>
          <w:iCs/>
          <w:spacing w:val="-2"/>
        </w:rPr>
        <w:t> -;</w:t>
      </w:r>
      <w:r w:rsidR="005356AD" w:rsidRPr="009118AB">
        <w:rPr>
          <w:i/>
          <w:iCs/>
        </w:rPr>
        <w:t xml:space="preserve"> </w:t>
      </w:r>
      <w:r w:rsidR="00D67EB8" w:rsidRPr="009118AB">
        <w:rPr>
          <w:i/>
          <w:iCs/>
        </w:rPr>
        <w:t>Abs. </w:t>
      </w:r>
      <w:r w:rsidR="005356AD" w:rsidRPr="009118AB">
        <w:rPr>
          <w:i/>
          <w:iCs/>
        </w:rPr>
        <w:t xml:space="preserve">8 </w:t>
      </w:r>
      <w:r w:rsidR="00D67EB8" w:rsidRPr="009118AB">
        <w:rPr>
          <w:i/>
          <w:iCs/>
        </w:rPr>
        <w:t>Nr. </w:t>
      </w:r>
      <w:r w:rsidR="005356AD" w:rsidRPr="009118AB">
        <w:rPr>
          <w:i/>
          <w:iCs/>
        </w:rPr>
        <w:t xml:space="preserve">3 abgeändert durch </w:t>
      </w:r>
      <w:r w:rsidR="00D67EB8" w:rsidRPr="009118AB">
        <w:rPr>
          <w:i/>
          <w:iCs/>
        </w:rPr>
        <w:t>Art. </w:t>
      </w:r>
      <w:r w:rsidR="005356AD" w:rsidRPr="009118AB">
        <w:rPr>
          <w:i/>
          <w:iCs/>
        </w:rPr>
        <w:t xml:space="preserve">4 </w:t>
      </w:r>
      <w:r w:rsidR="00D67EB8" w:rsidRPr="009118AB">
        <w:rPr>
          <w:i/>
          <w:iCs/>
        </w:rPr>
        <w:t>Nr. </w:t>
      </w:r>
      <w:r w:rsidR="005356AD" w:rsidRPr="009118AB">
        <w:rPr>
          <w:i/>
          <w:iCs/>
        </w:rPr>
        <w:t>3 dritter Gedankenstrich des G. vom 25. Dezember 2017 (III) (B.S. vom 29. Dezember 2017)</w:t>
      </w:r>
      <w:r w:rsidR="00D67EB8" w:rsidRPr="009118AB">
        <w:rPr>
          <w:i/>
          <w:iCs/>
        </w:rPr>
        <w:t> - </w:t>
      </w:r>
      <w:r w:rsidR="005356AD" w:rsidRPr="009118AB">
        <w:rPr>
          <w:i/>
          <w:iCs/>
        </w:rPr>
        <w:t>in Kraft am 1. Januar 2020 und anwendbar auf Zinsen, die sich auf Zeiträume nach dem 31. Dezember 2019 beziehen</w:t>
      </w:r>
      <w:r w:rsidR="003366D9" w:rsidRPr="009118AB">
        <w:rPr>
          <w:i/>
          <w:iCs/>
        </w:rPr>
        <w:t> -;</w:t>
      </w:r>
      <w:r w:rsidR="005356AD" w:rsidRPr="009118AB">
        <w:rPr>
          <w:i/>
          <w:iCs/>
        </w:rPr>
        <w:t xml:space="preserve"> </w:t>
      </w:r>
      <w:r w:rsidR="00D67EB8" w:rsidRPr="009118AB">
        <w:rPr>
          <w:i/>
          <w:iCs/>
        </w:rPr>
        <w:t>Abs. </w:t>
      </w:r>
      <w:r w:rsidRPr="009118AB">
        <w:rPr>
          <w:i/>
          <w:iCs/>
        </w:rPr>
        <w:t xml:space="preserve">9 eingefügt durch </w:t>
      </w:r>
      <w:r w:rsidR="00D67EB8" w:rsidRPr="009118AB">
        <w:rPr>
          <w:i/>
          <w:iCs/>
        </w:rPr>
        <w:t>Art. </w:t>
      </w:r>
      <w:r w:rsidRPr="009118AB">
        <w:rPr>
          <w:i/>
          <w:iCs/>
        </w:rPr>
        <w:t>3 des G. vom 20. März 1996 (B.S. vom 7. Mai 1996)</w:t>
      </w:r>
      <w:r w:rsidR="00D67EB8" w:rsidRPr="009118AB">
        <w:rPr>
          <w:i/>
          <w:iCs/>
        </w:rPr>
        <w:t> - </w:t>
      </w:r>
      <w:r w:rsidRPr="009118AB">
        <w:rPr>
          <w:i/>
          <w:iCs/>
        </w:rPr>
        <w:t>anwendbar auf die ab dem 7. April 1995 ausgegebenen Aktien oder Anteile oder gezeichneten Verträge</w:t>
      </w:r>
      <w:r w:rsidR="00D67EB8" w:rsidRPr="009118AB">
        <w:rPr>
          <w:i/>
          <w:iCs/>
        </w:rPr>
        <w:t> - </w:t>
      </w:r>
      <w:r w:rsidRPr="009118AB">
        <w:rPr>
          <w:i/>
          <w:iCs/>
        </w:rPr>
        <w:t xml:space="preserve">und abgeändert durch </w:t>
      </w:r>
      <w:r w:rsidR="00D67EB8" w:rsidRPr="009118AB">
        <w:rPr>
          <w:i/>
          <w:iCs/>
        </w:rPr>
        <w:t>Art. </w:t>
      </w:r>
      <w:r w:rsidRPr="009118AB">
        <w:rPr>
          <w:i/>
          <w:iCs/>
        </w:rPr>
        <w:t>1</w:t>
      </w:r>
      <w:r w:rsidR="00AC038F" w:rsidRPr="009118AB">
        <w:rPr>
          <w:i/>
          <w:iCs/>
        </w:rPr>
        <w:t>09 des G. vom 27. Dezember 2005 </w:t>
      </w:r>
      <w:r w:rsidRPr="009118AB">
        <w:rPr>
          <w:i/>
          <w:iCs/>
        </w:rPr>
        <w:t>(I) (B.S. vom 30. Dezember 2005)</w:t>
      </w:r>
      <w:r w:rsidR="00D67EB8" w:rsidRPr="009118AB">
        <w:rPr>
          <w:i/>
          <w:iCs/>
        </w:rPr>
        <w:t> - </w:t>
      </w:r>
      <w:r w:rsidRPr="009118AB">
        <w:rPr>
          <w:i/>
          <w:iCs/>
        </w:rPr>
        <w:t>anwendbar auf die ab dem 1. Januar 2006 gezahlten Einkünfte</w:t>
      </w:r>
      <w:r w:rsidR="00D67EB8" w:rsidRPr="009118AB">
        <w:rPr>
          <w:i/>
          <w:iCs/>
        </w:rPr>
        <w:t> - </w:t>
      </w:r>
      <w:r w:rsidRPr="009118AB">
        <w:rPr>
          <w:i/>
          <w:iCs/>
        </w:rPr>
        <w:t xml:space="preserve">und </w:t>
      </w:r>
      <w:r w:rsidR="00D67EB8" w:rsidRPr="009118AB">
        <w:rPr>
          <w:i/>
          <w:iCs/>
        </w:rPr>
        <w:t>Art. </w:t>
      </w:r>
      <w:r w:rsidRPr="009118AB">
        <w:rPr>
          <w:i/>
          <w:iCs/>
        </w:rPr>
        <w:t>2 des G. vom 28. Juli 2011 (B.S. vom 11. August 2011)</w:t>
      </w:r>
      <w:r w:rsidR="00D67EB8" w:rsidRPr="009118AB">
        <w:rPr>
          <w:i/>
          <w:iCs/>
        </w:rPr>
        <w:t> - </w:t>
      </w:r>
      <w:r w:rsidRPr="009118AB">
        <w:rPr>
          <w:i/>
          <w:iCs/>
        </w:rPr>
        <w:t>wirksam mit 1. Januar 2011</w:t>
      </w:r>
      <w:r w:rsidR="00FD68E8" w:rsidRPr="009118AB">
        <w:rPr>
          <w:i/>
          <w:iCs/>
        </w:rPr>
        <w:t> -,</w:t>
      </w:r>
      <w:r w:rsidRPr="009118AB">
        <w:rPr>
          <w:i/>
          <w:iCs/>
        </w:rPr>
        <w:t xml:space="preserve"> </w:t>
      </w:r>
      <w:r w:rsidR="00D67EB8" w:rsidRPr="009118AB">
        <w:rPr>
          <w:i/>
          <w:iCs/>
        </w:rPr>
        <w:t>Abs. </w:t>
      </w:r>
      <w:r w:rsidRPr="009118AB">
        <w:rPr>
          <w:i/>
          <w:iCs/>
        </w:rPr>
        <w:t xml:space="preserve">10 eingefügt durch </w:t>
      </w:r>
      <w:r w:rsidR="00D67EB8" w:rsidRPr="009118AB">
        <w:rPr>
          <w:i/>
          <w:iCs/>
        </w:rPr>
        <w:t>Art. </w:t>
      </w:r>
      <w:r w:rsidRPr="009118AB">
        <w:rPr>
          <w:i/>
          <w:iCs/>
        </w:rPr>
        <w:t xml:space="preserve">96 </w:t>
      </w:r>
      <w:r w:rsidR="00D67EB8" w:rsidRPr="009118AB">
        <w:rPr>
          <w:i/>
          <w:iCs/>
        </w:rPr>
        <w:t>Nr. </w:t>
      </w:r>
      <w:r w:rsidRPr="009118AB">
        <w:rPr>
          <w:i/>
          <w:iCs/>
        </w:rPr>
        <w:t>3</w:t>
      </w:r>
      <w:r w:rsidRPr="009118AB">
        <w:rPr>
          <w:i/>
        </w:rPr>
        <w:t xml:space="preserve"> des G. vom 25. Dezember 2016 (I) (B.S. vom 29. Dezember 2016)</w:t>
      </w:r>
      <w:r w:rsidR="00D67EB8" w:rsidRPr="009118AB">
        <w:rPr>
          <w:i/>
        </w:rPr>
        <w:t> - </w:t>
      </w:r>
      <w:r w:rsidRPr="009118AB">
        <w:rPr>
          <w:i/>
        </w:rPr>
        <w:t>in Kraft am 1. Januar 2017</w:t>
      </w:r>
      <w:r w:rsidR="00D67EB8" w:rsidRPr="009118AB">
        <w:rPr>
          <w:i/>
        </w:rPr>
        <w:t> - </w:t>
      </w:r>
      <w:r w:rsidR="00AC038F" w:rsidRPr="009118AB">
        <w:rPr>
          <w:i/>
        </w:rPr>
        <w:t xml:space="preserve">und abgeändert durch </w:t>
      </w:r>
      <w:r w:rsidR="00D67EB8" w:rsidRPr="009118AB">
        <w:rPr>
          <w:i/>
        </w:rPr>
        <w:t>Art. </w:t>
      </w:r>
      <w:r w:rsidR="00AC038F" w:rsidRPr="009118AB">
        <w:rPr>
          <w:i/>
        </w:rPr>
        <w:t xml:space="preserve">3 </w:t>
      </w:r>
      <w:r w:rsidR="00D67EB8" w:rsidRPr="009118AB">
        <w:rPr>
          <w:i/>
        </w:rPr>
        <w:t>Nr. </w:t>
      </w:r>
      <w:r w:rsidR="00AC038F" w:rsidRPr="009118AB">
        <w:rPr>
          <w:i/>
        </w:rPr>
        <w:t>7</w:t>
      </w:r>
      <w:r w:rsidR="00AC038F" w:rsidRPr="009118AB">
        <w:rPr>
          <w:i/>
          <w:iCs/>
          <w:spacing w:val="-2"/>
        </w:rPr>
        <w:t xml:space="preserve"> des G. vom 17. März 2019 (III) (B.S. vom 10. Mai 2019)</w:t>
      </w:r>
      <w:r w:rsidR="00D67EB8" w:rsidRPr="009118AB">
        <w:rPr>
          <w:i/>
          <w:iCs/>
          <w:spacing w:val="-2"/>
        </w:rPr>
        <w:t> - </w:t>
      </w:r>
      <w:r w:rsidR="00AC038F" w:rsidRPr="009118AB">
        <w:rPr>
          <w:i/>
          <w:iCs/>
          <w:spacing w:val="-2"/>
        </w:rPr>
        <w:t>in Kraft am 1. Mai 2019</w:t>
      </w:r>
      <w:r w:rsidR="00FD68E8" w:rsidRPr="009118AB">
        <w:rPr>
          <w:i/>
          <w:iCs/>
          <w:spacing w:val="-2"/>
        </w:rPr>
        <w:t> -</w:t>
      </w:r>
      <w:r w:rsidR="00917C85">
        <w:rPr>
          <w:i/>
          <w:iCs/>
          <w:spacing w:val="-2"/>
        </w:rPr>
        <w:t>; Abs. 11 und 12 eingefügt durch Art. 35 Nr. 3</w:t>
      </w:r>
      <w:r w:rsidR="00917C85" w:rsidRPr="00917C85">
        <w:rPr>
          <w:i/>
          <w:iCs/>
          <w:spacing w:val="-2"/>
        </w:rPr>
        <w:t xml:space="preserve"> des G. vom 22. Dezember 2023 (II) (B.S. vom 29. Dezember 2023) - anwendbar auf Einkünfte, die ab dem 1. Januar 2024 von einer Rechtsvereinbarung bezogen, zuerkannt oder ausgeschüttet werden -</w:t>
      </w:r>
      <w:r w:rsidR="00917C85">
        <w:rPr>
          <w:i/>
          <w:iCs/>
          <w:spacing w:val="-2"/>
        </w:rPr>
        <w:t>]</w:t>
      </w:r>
    </w:p>
    <w:p w14:paraId="10490997" w14:textId="5A3C8BA5" w:rsidR="00477B8F" w:rsidRPr="009118AB" w:rsidRDefault="00477B8F" w:rsidP="00477B8F">
      <w:pPr>
        <w:autoSpaceDE w:val="0"/>
        <w:autoSpaceDN w:val="0"/>
        <w:adjustRightInd w:val="0"/>
        <w:jc w:val="both"/>
      </w:pPr>
    </w:p>
    <w:p w14:paraId="5FC62B0E" w14:textId="506EAA6D" w:rsidR="00E100F2" w:rsidRPr="009118AB" w:rsidRDefault="00E100F2" w:rsidP="00477B8F">
      <w:pPr>
        <w:autoSpaceDE w:val="0"/>
        <w:autoSpaceDN w:val="0"/>
        <w:adjustRightInd w:val="0"/>
        <w:jc w:val="both"/>
      </w:pPr>
    </w:p>
    <w:p w14:paraId="5D019030" w14:textId="6CF59AE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19</w:t>
      </w:r>
      <w:r w:rsidR="00D67EB8" w:rsidRPr="009118AB">
        <w:t> - § </w:t>
      </w:r>
      <w:r w:rsidRPr="009118AB">
        <w:t>1</w:t>
      </w:r>
      <w:r w:rsidR="00D67EB8" w:rsidRPr="009118AB">
        <w:t> - </w:t>
      </w:r>
      <w:r w:rsidRPr="009118AB">
        <w:t>Zinsen umfassen:</w:t>
      </w:r>
    </w:p>
    <w:p w14:paraId="20057355" w14:textId="77777777" w:rsidR="00477B8F" w:rsidRPr="009118AB" w:rsidRDefault="00477B8F" w:rsidP="00477B8F">
      <w:pPr>
        <w:autoSpaceDE w:val="0"/>
        <w:autoSpaceDN w:val="0"/>
        <w:adjustRightInd w:val="0"/>
        <w:jc w:val="both"/>
      </w:pPr>
    </w:p>
    <w:p w14:paraId="0C263AF4" w14:textId="77777777" w:rsidR="00477B8F" w:rsidRPr="009118AB" w:rsidRDefault="00477B8F" w:rsidP="00477B8F">
      <w:pPr>
        <w:autoSpaceDE w:val="0"/>
        <w:autoSpaceDN w:val="0"/>
        <w:adjustRightInd w:val="0"/>
        <w:jc w:val="both"/>
      </w:pPr>
      <w:r w:rsidRPr="009118AB">
        <w:tab/>
        <w:t>1. [Zinsen, Prämien und andere Erträge aus Darlehen einschließlich Vereinbarungen über die Leistung von dinglichen Sicherheiten in Bezug auf Finanzinstrumente, aus Geldeinlagen und anderen Schuldforderungen,]</w:t>
      </w:r>
    </w:p>
    <w:p w14:paraId="31B06986" w14:textId="77777777" w:rsidR="00477B8F" w:rsidRPr="009118AB" w:rsidRDefault="00477B8F" w:rsidP="00477B8F">
      <w:pPr>
        <w:autoSpaceDE w:val="0"/>
        <w:autoSpaceDN w:val="0"/>
        <w:adjustRightInd w:val="0"/>
        <w:jc w:val="both"/>
      </w:pPr>
    </w:p>
    <w:p w14:paraId="57CD0D13" w14:textId="11BB1E59" w:rsidR="00477B8F" w:rsidRPr="009118AB" w:rsidRDefault="00477B8F" w:rsidP="00477B8F">
      <w:pPr>
        <w:autoSpaceDE w:val="0"/>
        <w:autoSpaceDN w:val="0"/>
        <w:adjustRightInd w:val="0"/>
        <w:jc w:val="both"/>
      </w:pPr>
      <w:r w:rsidRPr="009118AB">
        <w:tab/>
        <w:t xml:space="preserve">2. in Artikel 10 </w:t>
      </w:r>
      <w:r w:rsidR="00D67EB8" w:rsidRPr="009118AB">
        <w:t>§ </w:t>
      </w:r>
      <w:r w:rsidRPr="009118AB">
        <w:t>2 erwähnte Gebühren, die in Verträgen in Bezug auf die Überlassung von Nutzungsrechten an bebauten unbeweglichen Gütern festgelegt sind, mit Ausnahme des Anteils dieser Gebühren, der zur vollständigen Wiederherstellung des in das Gebäude investierten Kapitals oder im Falle eines bestehenden Gebäudes dessen Verkaufswertes dient,</w:t>
      </w:r>
    </w:p>
    <w:p w14:paraId="707B721C" w14:textId="77777777" w:rsidR="006131E9" w:rsidRPr="009118AB" w:rsidRDefault="006131E9" w:rsidP="00477B8F">
      <w:pPr>
        <w:autoSpaceDE w:val="0"/>
        <w:autoSpaceDN w:val="0"/>
        <w:adjustRightInd w:val="0"/>
      </w:pPr>
    </w:p>
    <w:p w14:paraId="4AD57EB4" w14:textId="77777777" w:rsidR="00477B8F" w:rsidRPr="009118AB" w:rsidRDefault="00477B8F" w:rsidP="00CD159D">
      <w:pPr>
        <w:autoSpaceDE w:val="0"/>
        <w:autoSpaceDN w:val="0"/>
        <w:adjustRightInd w:val="0"/>
        <w:jc w:val="both"/>
      </w:pPr>
      <w:r w:rsidRPr="009118AB">
        <w:tab/>
        <w:t>[3. [Einkünfte, die in Kapitalien und Rückkaufswerten enthalten sind, die zu Lebzeiten für Lebensversicherungsverträge ausgezahlt werden, die der Steuerpflichtige individuell abgeschlossen hat, wenn es sich handelt um:</w:t>
      </w:r>
    </w:p>
    <w:p w14:paraId="7B6A93D5" w14:textId="77777777" w:rsidR="00477B8F" w:rsidRPr="009118AB" w:rsidRDefault="00477B8F" w:rsidP="00477B8F">
      <w:pPr>
        <w:autoSpaceDE w:val="0"/>
        <w:autoSpaceDN w:val="0"/>
        <w:adjustRightInd w:val="0"/>
        <w:jc w:val="both"/>
      </w:pPr>
    </w:p>
    <w:p w14:paraId="42B6476B" w14:textId="77777777" w:rsidR="008E5278" w:rsidRPr="009118AB" w:rsidRDefault="00477B8F" w:rsidP="008E5278">
      <w:pPr>
        <w:jc w:val="both"/>
      </w:pPr>
      <w:r w:rsidRPr="009118AB">
        <w:rPr>
          <w:i/>
          <w:iCs/>
        </w:rPr>
        <w:tab/>
        <w:t xml:space="preserve">a) </w:t>
      </w:r>
      <w:r w:rsidRPr="009118AB">
        <w:t>[</w:t>
      </w:r>
      <w:r w:rsidR="008E5278" w:rsidRPr="009118AB">
        <w:t>Verträge, die eine garantierte Leistung vorsehen und für die keine Prämie:</w:t>
      </w:r>
    </w:p>
    <w:p w14:paraId="65DEA338" w14:textId="77777777" w:rsidR="008E5278" w:rsidRPr="009118AB" w:rsidRDefault="008E5278" w:rsidP="008E5278">
      <w:pPr>
        <w:jc w:val="both"/>
      </w:pPr>
    </w:p>
    <w:p w14:paraId="292882E5" w14:textId="77777777" w:rsidR="008E5278" w:rsidRPr="009118AB" w:rsidRDefault="008E5278" w:rsidP="008E5278">
      <w:pPr>
        <w:jc w:val="both"/>
      </w:pPr>
      <w:r w:rsidRPr="009118AB">
        <w:tab/>
        <w:t>- zu einer Steuerermäßigung für langfristiges Sparen in Anwendung der Artikel 145</w:t>
      </w:r>
      <w:r w:rsidRPr="009118AB">
        <w:rPr>
          <w:vertAlign w:val="superscript"/>
        </w:rPr>
        <w:t>1</w:t>
      </w:r>
      <w:r w:rsidRPr="009118AB">
        <w:t xml:space="preserve"> bis 145</w:t>
      </w:r>
      <w:r w:rsidRPr="009118AB">
        <w:rPr>
          <w:vertAlign w:val="superscript"/>
        </w:rPr>
        <w:t>16</w:t>
      </w:r>
      <w:r w:rsidRPr="009118AB">
        <w:t xml:space="preserve"> geführt hat,</w:t>
      </w:r>
    </w:p>
    <w:p w14:paraId="12326615" w14:textId="77777777" w:rsidR="008E5278" w:rsidRPr="009118AB" w:rsidRDefault="008E5278" w:rsidP="008E5278">
      <w:pPr>
        <w:jc w:val="both"/>
      </w:pPr>
    </w:p>
    <w:p w14:paraId="3282F3C5" w14:textId="77777777" w:rsidR="00477B8F" w:rsidRPr="009118AB" w:rsidRDefault="008E5278" w:rsidP="008E5278">
      <w:pPr>
        <w:autoSpaceDE w:val="0"/>
        <w:autoSpaceDN w:val="0"/>
        <w:adjustRightInd w:val="0"/>
        <w:jc w:val="both"/>
      </w:pPr>
      <w:r w:rsidRPr="009118AB">
        <w:tab/>
        <w:t>- zu einer regionalen Steuerermäßigung oder regionalen Steuergutschrift geführt hat,</w:t>
      </w:r>
      <w:r w:rsidR="00477B8F" w:rsidRPr="009118AB">
        <w:t>]</w:t>
      </w:r>
    </w:p>
    <w:p w14:paraId="64CE929F" w14:textId="77777777" w:rsidR="00477B8F" w:rsidRPr="009118AB" w:rsidRDefault="00477B8F" w:rsidP="00477B8F">
      <w:pPr>
        <w:autoSpaceDE w:val="0"/>
        <w:autoSpaceDN w:val="0"/>
        <w:adjustRightInd w:val="0"/>
        <w:jc w:val="both"/>
      </w:pPr>
    </w:p>
    <w:p w14:paraId="63DBD798" w14:textId="77777777" w:rsidR="00477B8F" w:rsidRPr="009118AB" w:rsidRDefault="00477B8F" w:rsidP="00477B8F">
      <w:pPr>
        <w:autoSpaceDE w:val="0"/>
        <w:autoSpaceDN w:val="0"/>
        <w:adjustRightInd w:val="0"/>
        <w:jc w:val="both"/>
      </w:pPr>
      <w:r w:rsidRPr="009118AB">
        <w:rPr>
          <w:i/>
          <w:iCs/>
        </w:rPr>
        <w:lastRenderedPageBreak/>
        <w:tab/>
        <w:t>b)</w:t>
      </w:r>
      <w:r w:rsidRPr="009118AB">
        <w:t xml:space="preserve"> oder Verträge, die an einen oder mehrere Investmentfonds gebunden sind, wenn bei ihrer Zeichnung Verbindlichkeiten eingegangen werden, die in Bezug auf ihre Dauer und ihren Betrag oder ihre Rendite genau festgelegt sind,]]</w:t>
      </w:r>
    </w:p>
    <w:p w14:paraId="03EAC966" w14:textId="77777777" w:rsidR="00477B8F" w:rsidRPr="009118AB" w:rsidRDefault="00477B8F" w:rsidP="00477B8F">
      <w:pPr>
        <w:autoSpaceDE w:val="0"/>
        <w:autoSpaceDN w:val="0"/>
        <w:adjustRightInd w:val="0"/>
        <w:jc w:val="both"/>
      </w:pPr>
    </w:p>
    <w:p w14:paraId="613D0619" w14:textId="77777777" w:rsidR="00477B8F" w:rsidRPr="009118AB" w:rsidRDefault="00477B8F" w:rsidP="00477B8F">
      <w:pPr>
        <w:autoSpaceDE w:val="0"/>
        <w:autoSpaceDN w:val="0"/>
        <w:adjustRightInd w:val="0"/>
        <w:jc w:val="both"/>
      </w:pPr>
      <w:r w:rsidRPr="009118AB">
        <w:tab/>
        <w:t>[4. Einkünfte aus Aktien oder Anteilen, die [durch andere als in Artikel 19</w:t>
      </w:r>
      <w:r w:rsidRPr="009118AB">
        <w:rPr>
          <w:i/>
          <w:iCs/>
        </w:rPr>
        <w:t>bis</w:t>
      </w:r>
      <w:r w:rsidRPr="009118AB">
        <w:t xml:space="preserve"> erwähnte Investmentgesellschaften] gezahlt oder zuerkannt werden und aus der Gesamt- oder Teilverteilung ihres Gesellschaftsvermögens oder dem Erwerb ihrer eigenen Aktien oder Anteile stammen, wenn beim öffentlichen Angebot der Aktien oder Anteile in Belgien Verbindlichkeiten eingegangen wurden, die in Bezug auf ihren Rückzahlungsbetrag oder ihre Rendite genau festgelegt waren, und wenn diese Verbindlichkeiten sich auf einen Zeitraum von nicht mehr als acht Jahren beziehen.]</w:t>
      </w:r>
    </w:p>
    <w:p w14:paraId="7D1FE830" w14:textId="77777777" w:rsidR="00480672" w:rsidRPr="009118AB" w:rsidRDefault="00480672" w:rsidP="00477B8F">
      <w:pPr>
        <w:autoSpaceDE w:val="0"/>
        <w:autoSpaceDN w:val="0"/>
        <w:adjustRightInd w:val="0"/>
        <w:jc w:val="both"/>
      </w:pPr>
    </w:p>
    <w:p w14:paraId="4C1B63FC" w14:textId="658C61DD" w:rsidR="00480672" w:rsidRPr="009118AB" w:rsidRDefault="00480672" w:rsidP="00480672">
      <w:pPr>
        <w:ind w:firstLine="708"/>
        <w:jc w:val="both"/>
      </w:pPr>
      <w:r w:rsidRPr="009118AB">
        <w:t xml:space="preserve">[In Absatz 1 </w:t>
      </w:r>
      <w:r w:rsidR="00D67EB8" w:rsidRPr="009118AB">
        <w:t>Nr. </w:t>
      </w:r>
      <w:r w:rsidRPr="009118AB">
        <w:t>3 erwähnte Rückkaufswerte von Lebensversicherungsverträgen umfassen ebenfalls:</w:t>
      </w:r>
    </w:p>
    <w:p w14:paraId="51D79FC6" w14:textId="77777777" w:rsidR="00480672" w:rsidRPr="009118AB" w:rsidRDefault="00480672" w:rsidP="00480672">
      <w:pPr>
        <w:jc w:val="both"/>
      </w:pPr>
    </w:p>
    <w:p w14:paraId="5F5104FC" w14:textId="43249417" w:rsidR="00480672" w:rsidRPr="009118AB" w:rsidRDefault="00480672" w:rsidP="0035784E">
      <w:pPr>
        <w:ind w:firstLine="708"/>
        <w:jc w:val="both"/>
      </w:pPr>
      <w:r w:rsidRPr="009118AB">
        <w:t>1. </w:t>
      </w:r>
      <w:r w:rsidR="00881904" w:rsidRPr="009118AB">
        <w:t xml:space="preserve">[Rückkaufswerte erwähnt in Artikel 6 </w:t>
      </w:r>
      <w:r w:rsidR="00D67EB8" w:rsidRPr="009118AB">
        <w:t>§ </w:t>
      </w:r>
      <w:r w:rsidR="00881904" w:rsidRPr="009118AB">
        <w:t>2 des Königlichen Erlasses vom 14. November 2008 zur Ausführung der Krisenmaßnahmen, die im Gesetz vom 22. Februar 1998 zur Festlegung des Grundlagenstatuts der Belgischen Nationalbank vorgesehen sind, hinsichtlich der Schaffung des Sicherungsfonds für Finanzdienstleistungen]</w:t>
      </w:r>
      <w:r w:rsidRPr="009118AB">
        <w:t>, die vom Sonderschutzfonds für Einlagen und Lebensversicherungen, der durch vorerwähnten Königlichen Erlass vom 14. November 2008 geschaffen wurde, oder von einem Fonds gleicher Art mit Sitz in einem anderen Mitgliedstaat des Europäischen Wirtschaftsraums ausgezahlt werden,</w:t>
      </w:r>
    </w:p>
    <w:p w14:paraId="5BF3AAA7" w14:textId="0B68651B" w:rsidR="00881904" w:rsidRPr="009118AB" w:rsidRDefault="00881904"/>
    <w:p w14:paraId="4239185B" w14:textId="75C9DB6C" w:rsidR="00480672" w:rsidRPr="009118AB" w:rsidRDefault="00480672" w:rsidP="00480672">
      <w:pPr>
        <w:ind w:firstLine="708"/>
        <w:jc w:val="both"/>
      </w:pPr>
      <w:r w:rsidRPr="009118AB">
        <w:t>2. Summen, die einem Versicherungsnehmer von einem Liquidator oder Konkursver</w:t>
      </w:r>
      <w:r w:rsidRPr="009118AB">
        <w:softHyphen/>
        <w:t>walter ausgezahlt werden, wenn die Säumigkeit des Versicherungsunternehmens festgestellt wird, das heißt:</w:t>
      </w:r>
    </w:p>
    <w:p w14:paraId="2368289D" w14:textId="77777777" w:rsidR="00480672" w:rsidRPr="009118AB" w:rsidRDefault="00480672" w:rsidP="00480672">
      <w:pPr>
        <w:jc w:val="both"/>
      </w:pPr>
    </w:p>
    <w:p w14:paraId="6DEAC26F" w14:textId="77777777" w:rsidR="00480672" w:rsidRPr="009118AB" w:rsidRDefault="00480672" w:rsidP="00480672">
      <w:pPr>
        <w:ind w:firstLine="708"/>
        <w:jc w:val="both"/>
      </w:pPr>
      <w:r w:rsidRPr="009118AB">
        <w:rPr>
          <w:i/>
        </w:rPr>
        <w:t>a)</w:t>
      </w:r>
      <w:r w:rsidRPr="009118AB">
        <w:t> entweder wenn der Konkurs über das Versicherungsunternehmen eröffnet wird</w:t>
      </w:r>
    </w:p>
    <w:p w14:paraId="62320D64" w14:textId="77777777" w:rsidR="00480672" w:rsidRPr="009118AB" w:rsidRDefault="00480672" w:rsidP="00480672">
      <w:pPr>
        <w:jc w:val="both"/>
      </w:pPr>
    </w:p>
    <w:p w14:paraId="353892EA" w14:textId="3C8BBB63" w:rsidR="00480672" w:rsidRPr="009118AB" w:rsidRDefault="00480672" w:rsidP="00480672">
      <w:pPr>
        <w:autoSpaceDE w:val="0"/>
        <w:autoSpaceDN w:val="0"/>
        <w:adjustRightInd w:val="0"/>
        <w:jc w:val="both"/>
      </w:pPr>
      <w:r w:rsidRPr="009118AB">
        <w:rPr>
          <w:i/>
        </w:rPr>
        <w:tab/>
        <w:t>b)</w:t>
      </w:r>
      <w:r w:rsidRPr="009118AB">
        <w:t xml:space="preserve"> oder wenn die für vorbeugende Aufsicht zuständige Behörde dem </w:t>
      </w:r>
      <w:r w:rsidR="00881904" w:rsidRPr="009118AB">
        <w:t>[Sicherungsfonds]</w:t>
      </w:r>
      <w:r w:rsidRPr="009118AB">
        <w:t xml:space="preserve"> oder einem Fonds gleicher Art ihre Feststellung notifiziert hat, dass die Finanzlage des Versicherungsunternehmens dieses Unternehmen veranlasst hat, die Erstattung eines einforderbaren Guthabens zu verweigern, und sie es ihm nicht mehr ermöglicht, ein solches Guthaben unverzüglich oder in absehbarer Zeit zu erstatten.]</w:t>
      </w:r>
    </w:p>
    <w:p w14:paraId="5668EFD3" w14:textId="77777777" w:rsidR="00BF660B" w:rsidRPr="009118AB" w:rsidRDefault="00BF660B" w:rsidP="00480672">
      <w:pPr>
        <w:autoSpaceDE w:val="0"/>
        <w:autoSpaceDN w:val="0"/>
        <w:adjustRightInd w:val="0"/>
        <w:jc w:val="both"/>
      </w:pPr>
    </w:p>
    <w:p w14:paraId="12C5632C" w14:textId="47A94220"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Handelt es sich um festverzinsliche Wertpapiere [oder um die </w:t>
      </w:r>
      <w:r w:rsidR="00480672" w:rsidRPr="009118AB">
        <w:t>[</w:t>
      </w:r>
      <w:r w:rsidRPr="009118AB">
        <w:t xml:space="preserve">in </w:t>
      </w:r>
      <w:r w:rsidR="00D67EB8" w:rsidRPr="009118AB">
        <w:t>§ </w:t>
      </w:r>
      <w:r w:rsidRPr="009118AB">
        <w:t>1</w:t>
      </w:r>
      <w:r w:rsidR="00480672" w:rsidRPr="009118AB">
        <w:t xml:space="preserve"> Absatz 1</w:t>
      </w:r>
      <w:r w:rsidRPr="009118AB">
        <w:t xml:space="preserve"> </w:t>
      </w:r>
      <w:r w:rsidR="00D67EB8" w:rsidRPr="009118AB">
        <w:t>Nr. </w:t>
      </w:r>
      <w:r w:rsidRPr="009118AB">
        <w:t>4</w:t>
      </w:r>
      <w:r w:rsidR="00480672" w:rsidRPr="009118AB">
        <w:t>]</w:t>
      </w:r>
      <w:r w:rsidRPr="009118AB">
        <w:t xml:space="preserve"> erwähnten Aktien oder Anteile], umfassen die Einkünfte alle über den Ausgabepreis hinaus gezahlten oder zuerkannten Summen, ob diese Zuerkennung am vertraglich festgelegten Fälligkeitstermin stattfindet oder nicht.</w:t>
      </w:r>
    </w:p>
    <w:p w14:paraId="397A4994" w14:textId="77777777" w:rsidR="00477B8F" w:rsidRPr="009118AB" w:rsidRDefault="00477B8F" w:rsidP="00477B8F">
      <w:pPr>
        <w:autoSpaceDE w:val="0"/>
        <w:autoSpaceDN w:val="0"/>
        <w:adjustRightInd w:val="0"/>
        <w:jc w:val="both"/>
      </w:pPr>
    </w:p>
    <w:p w14:paraId="23658E41" w14:textId="77777777" w:rsidR="00477B8F" w:rsidRPr="009118AB" w:rsidRDefault="00477B8F" w:rsidP="00477B8F">
      <w:pPr>
        <w:autoSpaceDE w:val="0"/>
        <w:autoSpaceDN w:val="0"/>
        <w:adjustRightInd w:val="0"/>
        <w:jc w:val="both"/>
      </w:pPr>
      <w:r w:rsidRPr="009118AB">
        <w:tab/>
        <w:t>Diese Einkünfte sind bei allen aufeinander folgenden Inhabern der Wertpapiere steuerpflichtig im Verhältnis zum Zeitraum, in dem die jeweiligen Personen Inhaber dieser Wertpapiere waren.</w:t>
      </w:r>
    </w:p>
    <w:p w14:paraId="0A0F2524" w14:textId="77777777" w:rsidR="00477B8F" w:rsidRPr="009118AB" w:rsidRDefault="00477B8F" w:rsidP="00477B8F">
      <w:pPr>
        <w:autoSpaceDE w:val="0"/>
        <w:autoSpaceDN w:val="0"/>
        <w:adjustRightInd w:val="0"/>
        <w:jc w:val="both"/>
      </w:pPr>
    </w:p>
    <w:p w14:paraId="02107B2C" w14:textId="77777777" w:rsidR="00477B8F" w:rsidRPr="009118AB" w:rsidRDefault="00477B8F" w:rsidP="00477B8F">
      <w:pPr>
        <w:autoSpaceDE w:val="0"/>
        <w:autoSpaceDN w:val="0"/>
        <w:adjustRightInd w:val="0"/>
        <w:jc w:val="both"/>
      </w:pPr>
      <w:r w:rsidRPr="009118AB">
        <w:tab/>
        <w:t>[In Abweichung von vorhergehendem Absatz ist der Gesamtbetrag der in Absatz 1 erwähnten Einkünfte aus Finanzinstrumenten, die Gegenstand einer Vereinbarung über die Leistung von dinglichen Sicherheiten oder eines Verleihs sind, der während der Laufzeit des Vertrags am festgelegten Fälligkeitstermin gezahlt oder zuerkannt wird, beim Zessionar, Pfandgläubiger oder Entleiher steuerpflichtig.]</w:t>
      </w:r>
    </w:p>
    <w:p w14:paraId="4D51F716" w14:textId="77777777" w:rsidR="00477B8F" w:rsidRPr="009118AB" w:rsidRDefault="00477B8F" w:rsidP="00477B8F">
      <w:pPr>
        <w:autoSpaceDE w:val="0"/>
        <w:autoSpaceDN w:val="0"/>
        <w:adjustRightInd w:val="0"/>
        <w:jc w:val="both"/>
      </w:pPr>
    </w:p>
    <w:p w14:paraId="5C80F85C" w14:textId="10FAE408" w:rsidR="00477B8F" w:rsidRPr="009118AB" w:rsidRDefault="00477B8F" w:rsidP="00477B8F">
      <w:pPr>
        <w:autoSpaceDE w:val="0"/>
        <w:autoSpaceDN w:val="0"/>
        <w:adjustRightInd w:val="0"/>
        <w:jc w:val="both"/>
      </w:pPr>
      <w:r w:rsidRPr="009118AB">
        <w:tab/>
        <w:t>[</w:t>
      </w:r>
      <w:r w:rsidR="00D67EB8" w:rsidRPr="009118AB">
        <w:t>§ </w:t>
      </w:r>
      <w:r w:rsidRPr="009118AB">
        <w:t>3</w:t>
      </w:r>
      <w:r w:rsidR="00D67EB8" w:rsidRPr="009118AB">
        <w:t> - </w:t>
      </w:r>
      <w:r w:rsidRPr="009118AB">
        <w:t>Handelt es sich um Geldeinlagen, umfassen Einkünfte Erträge aus Verrichtungen [- die keine Vereinbarungen über die Leistung von dinglichen Sicherheiten mit Bezug auf Finanzinstrumente sind</w:t>
      </w:r>
      <w:r w:rsidR="00FD68E8" w:rsidRPr="009118AB">
        <w:t> -]</w:t>
      </w:r>
      <w:r w:rsidRPr="009118AB">
        <w:t xml:space="preserve"> zur Übergabe einer Geldsumme aus gleich welchem Grund durch eine Partei an eine andere, bei der letztere sich verpflichtet, der übergebenden Partei an einem vorherbestimmten Datum oder während eines vereinbarten Zeitraums eine höhere Geldsumme zurückzugeben, deren Betrag zu Beginn vereinbart wurde. Die Einkünfte entsprechen der Differenz zwischen diesen beiden Summen ungeachtet der Weise, wie diese berechnet und festgelegt werden.]</w:t>
      </w:r>
    </w:p>
    <w:p w14:paraId="5AC4CB72" w14:textId="77777777" w:rsidR="006131E9" w:rsidRPr="009118AB" w:rsidRDefault="006131E9" w:rsidP="00477B8F">
      <w:pPr>
        <w:autoSpaceDE w:val="0"/>
        <w:autoSpaceDN w:val="0"/>
        <w:adjustRightInd w:val="0"/>
      </w:pPr>
    </w:p>
    <w:p w14:paraId="4ABDAF14" w14:textId="56162E24" w:rsidR="00477B8F" w:rsidRPr="009118AB" w:rsidRDefault="00477B8F" w:rsidP="00CD159D">
      <w:pPr>
        <w:autoSpaceDE w:val="0"/>
        <w:autoSpaceDN w:val="0"/>
        <w:adjustRightInd w:val="0"/>
        <w:jc w:val="both"/>
      </w:pPr>
      <w:r w:rsidRPr="009118AB">
        <w:tab/>
        <w:t>[</w:t>
      </w:r>
      <w:r w:rsidR="00D67EB8" w:rsidRPr="009118AB">
        <w:t>§ </w:t>
      </w:r>
      <w:r w:rsidRPr="009118AB">
        <w:t>4</w:t>
      </w:r>
      <w:r w:rsidR="00D67EB8" w:rsidRPr="009118AB">
        <w:t> - </w:t>
      </w:r>
      <w:r w:rsidRPr="009118AB">
        <w:t>Handelt es sich um Kapitalien und Rückkaufswerte von Lebensversicherungs</w:t>
      </w:r>
      <w:r w:rsidR="00CD159D" w:rsidRPr="009118AB">
        <w:softHyphen/>
      </w:r>
      <w:r w:rsidRPr="009118AB">
        <w:t xml:space="preserve">verträgen, die </w:t>
      </w:r>
      <w:r w:rsidR="00480672" w:rsidRPr="009118AB">
        <w:t>[</w:t>
      </w:r>
      <w:r w:rsidRPr="009118AB">
        <w:t xml:space="preserve">in </w:t>
      </w:r>
      <w:r w:rsidR="00D67EB8" w:rsidRPr="009118AB">
        <w:t>§ </w:t>
      </w:r>
      <w:r w:rsidRPr="009118AB">
        <w:t>1</w:t>
      </w:r>
      <w:r w:rsidR="00480672" w:rsidRPr="009118AB">
        <w:t xml:space="preserve"> Absatz 1</w:t>
      </w:r>
      <w:r w:rsidRPr="009118AB">
        <w:t xml:space="preserve"> </w:t>
      </w:r>
      <w:r w:rsidR="00D67EB8" w:rsidRPr="009118AB">
        <w:t>Nr. </w:t>
      </w:r>
      <w:r w:rsidRPr="009118AB">
        <w:t>3</w:t>
      </w:r>
      <w:r w:rsidR="0055471D" w:rsidRPr="009118AB">
        <w:t>]</w:t>
      </w:r>
      <w:r w:rsidRPr="009118AB">
        <w:t xml:space="preserve"> erwähnt sind, entsprechen die Einkünfte der Differenz zwischen einerseits den gezahlten oder zuerkannten Summen mit Ausnahme der gemäß Artikel 40 steuerfreien Gewinnbeteiligungen und andererseits dem Gesamtbetrag der gezahlten Prämien.</w:t>
      </w:r>
    </w:p>
    <w:p w14:paraId="69F263DC" w14:textId="77777777" w:rsidR="00477B8F" w:rsidRPr="009118AB" w:rsidRDefault="00477B8F" w:rsidP="00477B8F">
      <w:pPr>
        <w:autoSpaceDE w:val="0"/>
        <w:autoSpaceDN w:val="0"/>
        <w:adjustRightInd w:val="0"/>
        <w:jc w:val="both"/>
      </w:pPr>
    </w:p>
    <w:p w14:paraId="12EDE7B6" w14:textId="6A5B0DD5" w:rsidR="00477B8F" w:rsidRPr="009118AB" w:rsidRDefault="00477B8F" w:rsidP="00477B8F">
      <w:pPr>
        <w:autoSpaceDE w:val="0"/>
        <w:autoSpaceDN w:val="0"/>
        <w:adjustRightInd w:val="0"/>
        <w:jc w:val="both"/>
      </w:pPr>
      <w:r w:rsidRPr="009118AB">
        <w:tab/>
        <w:t>Der steuerpflichtige Betrag der [</w:t>
      </w:r>
      <w:r w:rsidR="00480672" w:rsidRPr="009118AB">
        <w:t>[</w:t>
      </w:r>
      <w:r w:rsidRPr="009118AB">
        <w:t xml:space="preserve">in </w:t>
      </w:r>
      <w:r w:rsidR="00D67EB8" w:rsidRPr="009118AB">
        <w:t>§ </w:t>
      </w:r>
      <w:r w:rsidRPr="009118AB">
        <w:t xml:space="preserve">1 </w:t>
      </w:r>
      <w:r w:rsidR="00480672" w:rsidRPr="009118AB">
        <w:t xml:space="preserve">Absatz 1 </w:t>
      </w:r>
      <w:r w:rsidR="00D67EB8" w:rsidRPr="009118AB">
        <w:t>Nr. </w:t>
      </w:r>
      <w:r w:rsidRPr="009118AB">
        <w:t>3</w:t>
      </w:r>
      <w:r w:rsidR="00480672" w:rsidRPr="009118AB">
        <w:t>]</w:t>
      </w:r>
      <w:r w:rsidRPr="009118AB">
        <w:t xml:space="preserve"> Buchstabe </w:t>
      </w:r>
      <w:r w:rsidRPr="009118AB">
        <w:rPr>
          <w:i/>
          <w:iCs/>
        </w:rPr>
        <w:t>a)</w:t>
      </w:r>
      <w:r w:rsidRPr="009118AB">
        <w:t xml:space="preserve"> erwähnten] Einkünfte darf jedoch nicht niedriger sein als der Betrag, der der Kapitalisierung der Zinsen, die zu einem Zinssatz von 4,75 Prozent pro Jahr auf den Gesamtbetrag der gezahlten Prämien berechnet werden, entspricht.]</w:t>
      </w:r>
    </w:p>
    <w:p w14:paraId="4BDEDD1A" w14:textId="77777777" w:rsidR="00477B8F" w:rsidRPr="009118AB" w:rsidRDefault="00477B8F" w:rsidP="00477B8F">
      <w:pPr>
        <w:autoSpaceDE w:val="0"/>
        <w:autoSpaceDN w:val="0"/>
        <w:adjustRightInd w:val="0"/>
        <w:jc w:val="both"/>
      </w:pPr>
    </w:p>
    <w:p w14:paraId="3FD4F9D3" w14:textId="2E79E6C9"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19 </w:t>
      </w:r>
      <w:r w:rsidR="00D67EB8" w:rsidRPr="009118AB">
        <w:rPr>
          <w:i/>
          <w:iCs/>
        </w:rPr>
        <w:t>§ </w:t>
      </w:r>
      <w:r w:rsidRPr="009118AB">
        <w:rPr>
          <w:i/>
          <w:iCs/>
        </w:rPr>
        <w:t xml:space="preserve">1 </w:t>
      </w:r>
      <w:r w:rsidR="00D67EB8" w:rsidRPr="009118AB">
        <w:rPr>
          <w:i/>
          <w:iCs/>
        </w:rPr>
        <w:t>Abs. </w:t>
      </w:r>
      <w:r w:rsidR="00480672" w:rsidRPr="009118AB">
        <w:rPr>
          <w:i/>
          <w:iCs/>
        </w:rPr>
        <w:t xml:space="preserve">1 (früherer </w:t>
      </w:r>
      <w:r w:rsidRPr="009118AB">
        <w:rPr>
          <w:i/>
          <w:iCs/>
        </w:rPr>
        <w:t>einziger Absatz</w:t>
      </w:r>
      <w:r w:rsidR="00480672" w:rsidRPr="009118AB">
        <w:rPr>
          <w:i/>
          <w:iCs/>
        </w:rPr>
        <w:t>)</w:t>
      </w:r>
      <w:r w:rsidRPr="009118AB">
        <w:rPr>
          <w:i/>
          <w:iCs/>
        </w:rPr>
        <w:t xml:space="preserve"> </w:t>
      </w:r>
      <w:r w:rsidR="00D67EB8" w:rsidRPr="009118AB">
        <w:rPr>
          <w:i/>
          <w:iCs/>
        </w:rPr>
        <w:t>Nr. </w:t>
      </w:r>
      <w:r w:rsidRPr="009118AB">
        <w:rPr>
          <w:i/>
          <w:iCs/>
        </w:rPr>
        <w:t xml:space="preserve">1 ersetzt durch </w:t>
      </w:r>
      <w:r w:rsidR="00D67EB8" w:rsidRPr="009118AB">
        <w:rPr>
          <w:i/>
          <w:iCs/>
        </w:rPr>
        <w:t>Art. </w:t>
      </w:r>
      <w:r w:rsidRPr="009118AB">
        <w:rPr>
          <w:i/>
          <w:iCs/>
        </w:rPr>
        <w:t xml:space="preserve">35 </w:t>
      </w:r>
      <w:r w:rsidR="00D67EB8" w:rsidRPr="009118AB">
        <w:rPr>
          <w:i/>
          <w:iCs/>
        </w:rPr>
        <w:t>Nr. </w:t>
      </w:r>
      <w:r w:rsidRPr="009118AB">
        <w:rPr>
          <w:i/>
          <w:iCs/>
        </w:rPr>
        <w:t>1 des G. vom 15. Dezember 2004 (B.S. vom 1. Februar 2005)</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00480672" w:rsidRPr="009118AB">
        <w:rPr>
          <w:i/>
          <w:iCs/>
        </w:rPr>
        <w:t>1</w:t>
      </w:r>
      <w:r w:rsidRPr="009118AB">
        <w:rPr>
          <w:i/>
          <w:iCs/>
        </w:rPr>
        <w:t xml:space="preserve"> </w:t>
      </w:r>
      <w:r w:rsidR="00D67EB8" w:rsidRPr="009118AB">
        <w:rPr>
          <w:i/>
          <w:iCs/>
        </w:rPr>
        <w:t>Nr. </w:t>
      </w:r>
      <w:r w:rsidRPr="009118AB">
        <w:rPr>
          <w:i/>
          <w:iCs/>
        </w:rPr>
        <w:t xml:space="preserve">3 eingefügt durch </w:t>
      </w:r>
      <w:r w:rsidR="00D67EB8" w:rsidRPr="009118AB">
        <w:rPr>
          <w:i/>
          <w:iCs/>
        </w:rPr>
        <w:t>Art. </w:t>
      </w:r>
      <w:r w:rsidRPr="009118AB">
        <w:rPr>
          <w:i/>
          <w:iCs/>
        </w:rPr>
        <w:t xml:space="preserve">1 </w:t>
      </w:r>
      <w:r w:rsidR="00D67EB8" w:rsidRPr="009118AB">
        <w:rPr>
          <w:i/>
          <w:iCs/>
        </w:rPr>
        <w:t>Nr. </w:t>
      </w:r>
      <w:r w:rsidRPr="009118AB">
        <w:rPr>
          <w:i/>
          <w:iCs/>
        </w:rPr>
        <w:t>1 des G. vom 22. Juli 1993 (B.S. vom 26. Juli 1993)</w:t>
      </w:r>
      <w:r w:rsidR="00D67EB8" w:rsidRPr="009118AB">
        <w:rPr>
          <w:i/>
          <w:iCs/>
        </w:rPr>
        <w:t> - </w:t>
      </w:r>
      <w:r w:rsidRPr="009118AB">
        <w:rPr>
          <w:i/>
          <w:iCs/>
        </w:rPr>
        <w:t>anwendbar auf Verträge, die ab dem 7. Mai 1993 abgeschlossen werden</w:t>
      </w:r>
      <w:r w:rsidR="00D67EB8" w:rsidRPr="009118AB">
        <w:rPr>
          <w:i/>
          <w:iCs/>
        </w:rPr>
        <w:t> - </w:t>
      </w:r>
      <w:r w:rsidRPr="009118AB">
        <w:rPr>
          <w:i/>
          <w:iCs/>
        </w:rPr>
        <w:t xml:space="preserve">und ersetzt durch </w:t>
      </w:r>
      <w:r w:rsidR="00D67EB8" w:rsidRPr="009118AB">
        <w:rPr>
          <w:i/>
          <w:iCs/>
        </w:rPr>
        <w:t>Art. </w:t>
      </w:r>
      <w:r w:rsidRPr="009118AB">
        <w:rPr>
          <w:i/>
          <w:iCs/>
        </w:rPr>
        <w:t xml:space="preserve">4 </w:t>
      </w:r>
      <w:r w:rsidR="00D67EB8" w:rsidRPr="009118AB">
        <w:rPr>
          <w:i/>
          <w:iCs/>
        </w:rPr>
        <w:t>Nr. </w:t>
      </w:r>
      <w:r w:rsidRPr="009118AB">
        <w:rPr>
          <w:i/>
          <w:iCs/>
        </w:rPr>
        <w:t>1 des G. vom 20. März 1996 (B.S. vom 7. Mai 1996)</w:t>
      </w:r>
      <w:r w:rsidR="00D67EB8" w:rsidRPr="009118AB">
        <w:rPr>
          <w:i/>
          <w:iCs/>
        </w:rPr>
        <w:t> - </w:t>
      </w:r>
      <w:r w:rsidRPr="009118AB">
        <w:rPr>
          <w:i/>
          <w:iCs/>
        </w:rPr>
        <w:t>anwendbar auf die ab dem 7. April 1995 ausgegebenen Aktien oder Anteile oder gezeichneten Verträge</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00480672" w:rsidRPr="009118AB">
        <w:rPr>
          <w:i/>
          <w:iCs/>
        </w:rPr>
        <w:t>1</w:t>
      </w:r>
      <w:r w:rsidRPr="009118AB">
        <w:rPr>
          <w:i/>
          <w:iCs/>
        </w:rPr>
        <w:t xml:space="preserve"> </w:t>
      </w:r>
      <w:r w:rsidR="00D67EB8" w:rsidRPr="009118AB">
        <w:rPr>
          <w:i/>
          <w:iCs/>
        </w:rPr>
        <w:t>Nr. </w:t>
      </w:r>
      <w:r w:rsidRPr="009118AB">
        <w:rPr>
          <w:i/>
          <w:iCs/>
        </w:rPr>
        <w:t xml:space="preserve">3 einziger Absatz Buchstabe a) ersetzt durch </w:t>
      </w:r>
      <w:r w:rsidR="00D67EB8" w:rsidRPr="009118AB">
        <w:rPr>
          <w:i/>
          <w:iCs/>
        </w:rPr>
        <w:t>Art. </w:t>
      </w:r>
      <w:r w:rsidR="008E5278" w:rsidRPr="009118AB">
        <w:rPr>
          <w:i/>
          <w:iCs/>
        </w:rPr>
        <w:t>13</w:t>
      </w:r>
      <w:r w:rsidR="008E5278" w:rsidRPr="009118AB">
        <w:rPr>
          <w:i/>
        </w:rPr>
        <w:t xml:space="preserve"> des G. vom 8. Mai 2014 (B.S. vom 28. Mai 2014)</w:t>
      </w:r>
      <w:r w:rsidR="00D67EB8" w:rsidRPr="009118AB">
        <w:rPr>
          <w:i/>
        </w:rPr>
        <w:t> - </w:t>
      </w:r>
      <w:r w:rsidR="008E5278" w:rsidRPr="009118AB">
        <w:rPr>
          <w:i/>
          <w:iCs/>
        </w:rPr>
        <w:t>anwendbar ab dem Steuerjahr 2015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00480672" w:rsidRPr="009118AB">
        <w:rPr>
          <w:i/>
          <w:iCs/>
        </w:rPr>
        <w:t>1</w:t>
      </w:r>
      <w:r w:rsidRPr="009118AB">
        <w:rPr>
          <w:i/>
          <w:iCs/>
        </w:rPr>
        <w:t xml:space="preserve"> </w:t>
      </w:r>
      <w:r w:rsidR="00D67EB8" w:rsidRPr="009118AB">
        <w:rPr>
          <w:i/>
          <w:iCs/>
        </w:rPr>
        <w:t>Nr. </w:t>
      </w:r>
      <w:r w:rsidRPr="009118AB">
        <w:rPr>
          <w:i/>
          <w:iCs/>
        </w:rPr>
        <w:t xml:space="preserve">4 eingefügt durch </w:t>
      </w:r>
      <w:r w:rsidR="00D67EB8" w:rsidRPr="009118AB">
        <w:rPr>
          <w:i/>
          <w:iCs/>
        </w:rPr>
        <w:t>Art. </w:t>
      </w:r>
      <w:r w:rsidRPr="009118AB">
        <w:rPr>
          <w:i/>
          <w:iCs/>
        </w:rPr>
        <w:t xml:space="preserve">4 </w:t>
      </w:r>
      <w:r w:rsidR="00D67EB8" w:rsidRPr="009118AB">
        <w:rPr>
          <w:i/>
          <w:iCs/>
        </w:rPr>
        <w:t>Nr. </w:t>
      </w:r>
      <w:r w:rsidRPr="009118AB">
        <w:rPr>
          <w:i/>
          <w:iCs/>
        </w:rPr>
        <w:t>2 des G. vom 20. März 1996 (B.S. vom 7. Mai 1996)</w:t>
      </w:r>
      <w:r w:rsidR="00D67EB8" w:rsidRPr="009118AB">
        <w:rPr>
          <w:i/>
          <w:iCs/>
        </w:rPr>
        <w:t> - </w:t>
      </w:r>
      <w:r w:rsidRPr="009118AB">
        <w:rPr>
          <w:i/>
          <w:iCs/>
        </w:rPr>
        <w:t>anwendbar auf die ab dem 7. April 1995 ausgegebenen Aktien oder Anteile oder gezeichneten Verträge</w:t>
      </w:r>
      <w:r w:rsidR="00D67EB8" w:rsidRPr="009118AB">
        <w:rPr>
          <w:i/>
          <w:iCs/>
        </w:rPr>
        <w:t> - </w:t>
      </w:r>
      <w:r w:rsidRPr="009118AB">
        <w:rPr>
          <w:i/>
          <w:iCs/>
        </w:rPr>
        <w:t xml:space="preserve">und abgeändert durch </w:t>
      </w:r>
      <w:r w:rsidR="00D67EB8" w:rsidRPr="009118AB">
        <w:rPr>
          <w:i/>
          <w:iCs/>
        </w:rPr>
        <w:t>Art. </w:t>
      </w:r>
      <w:r w:rsidRPr="009118AB">
        <w:rPr>
          <w:i/>
          <w:iCs/>
        </w:rPr>
        <w:t>110 des G. vom 27. Dezember 2005 (I) (B.S. vom 30. Dezember 2005)</w:t>
      </w:r>
      <w:r w:rsidR="00D67EB8" w:rsidRPr="009118AB">
        <w:rPr>
          <w:i/>
          <w:iCs/>
        </w:rPr>
        <w:t> - </w:t>
      </w:r>
      <w:r w:rsidRPr="009118AB">
        <w:rPr>
          <w:i/>
          <w:iCs/>
        </w:rPr>
        <w:t>anwendbar auf die ab dem 1. Januar 2006 gezahlten Einkünfte</w:t>
      </w:r>
      <w:r w:rsidR="003366D9" w:rsidRPr="009118AB">
        <w:rPr>
          <w:i/>
          <w:iCs/>
        </w:rPr>
        <w:t> -;</w:t>
      </w:r>
      <w:r w:rsidR="00480672" w:rsidRPr="009118AB">
        <w:rPr>
          <w:i/>
          <w:iCs/>
        </w:rPr>
        <w:t xml:space="preserve"> </w:t>
      </w:r>
      <w:r w:rsidR="00D67EB8" w:rsidRPr="009118AB">
        <w:rPr>
          <w:i/>
          <w:iCs/>
        </w:rPr>
        <w:t>§ </w:t>
      </w:r>
      <w:r w:rsidR="00480672" w:rsidRPr="009118AB">
        <w:rPr>
          <w:i/>
          <w:iCs/>
        </w:rPr>
        <w:t xml:space="preserve">1 </w:t>
      </w:r>
      <w:r w:rsidR="00D67EB8" w:rsidRPr="009118AB">
        <w:rPr>
          <w:i/>
          <w:iCs/>
        </w:rPr>
        <w:t>Abs. </w:t>
      </w:r>
      <w:r w:rsidR="00480672" w:rsidRPr="009118AB">
        <w:rPr>
          <w:i/>
          <w:iCs/>
        </w:rPr>
        <w:t xml:space="preserve">2 eingefügt durch </w:t>
      </w:r>
      <w:r w:rsidR="00D67EB8" w:rsidRPr="009118AB">
        <w:rPr>
          <w:i/>
          <w:iCs/>
        </w:rPr>
        <w:t>Art. </w:t>
      </w:r>
      <w:r w:rsidR="00480672" w:rsidRPr="009118AB">
        <w:rPr>
          <w:i/>
          <w:iCs/>
        </w:rPr>
        <w:t xml:space="preserve">3 </w:t>
      </w:r>
      <w:r w:rsidR="00D67EB8" w:rsidRPr="009118AB">
        <w:rPr>
          <w:i/>
          <w:iCs/>
        </w:rPr>
        <w:t>Nr. </w:t>
      </w:r>
      <w:r w:rsidR="00480672" w:rsidRPr="009118AB">
        <w:rPr>
          <w:i/>
          <w:iCs/>
        </w:rPr>
        <w:t>1 des G. vom 28. Juli 2011 (B.S. vom 11. August 2011)</w:t>
      </w:r>
      <w:r w:rsidR="00D67EB8" w:rsidRPr="009118AB">
        <w:rPr>
          <w:i/>
          <w:iCs/>
        </w:rPr>
        <w:t> - </w:t>
      </w:r>
      <w:r w:rsidR="00480672" w:rsidRPr="009118AB">
        <w:rPr>
          <w:i/>
          <w:iCs/>
        </w:rPr>
        <w:t>wirksam mit 1. Januar 2011</w:t>
      </w:r>
      <w:r w:rsidR="003366D9" w:rsidRPr="009118AB">
        <w:rPr>
          <w:i/>
          <w:iCs/>
        </w:rPr>
        <w:t> -;</w:t>
      </w:r>
      <w:r w:rsidR="00881904" w:rsidRPr="009118AB">
        <w:rPr>
          <w:i/>
          <w:iCs/>
        </w:rPr>
        <w:t xml:space="preserve"> </w:t>
      </w:r>
      <w:r w:rsidR="00D67EB8" w:rsidRPr="009118AB">
        <w:rPr>
          <w:i/>
          <w:iCs/>
        </w:rPr>
        <w:t>§ </w:t>
      </w:r>
      <w:r w:rsidR="00881904" w:rsidRPr="009118AB">
        <w:rPr>
          <w:i/>
          <w:iCs/>
        </w:rPr>
        <w:t xml:space="preserve">1 </w:t>
      </w:r>
      <w:r w:rsidR="00D67EB8" w:rsidRPr="009118AB">
        <w:rPr>
          <w:i/>
          <w:iCs/>
        </w:rPr>
        <w:t>Abs. </w:t>
      </w:r>
      <w:r w:rsidR="00881904" w:rsidRPr="009118AB">
        <w:rPr>
          <w:i/>
          <w:iCs/>
        </w:rPr>
        <w:t xml:space="preserve">2 </w:t>
      </w:r>
      <w:r w:rsidR="00D67EB8" w:rsidRPr="009118AB">
        <w:rPr>
          <w:i/>
          <w:iCs/>
        </w:rPr>
        <w:t>Nr. </w:t>
      </w:r>
      <w:r w:rsidR="00881904" w:rsidRPr="009118AB">
        <w:rPr>
          <w:i/>
          <w:iCs/>
        </w:rPr>
        <w:t xml:space="preserve">1 abgeändert durch </w:t>
      </w:r>
      <w:r w:rsidR="00D67EB8" w:rsidRPr="009118AB">
        <w:rPr>
          <w:i/>
          <w:iCs/>
        </w:rPr>
        <w:t>Art. </w:t>
      </w:r>
      <w:r w:rsidR="00881904" w:rsidRPr="009118AB">
        <w:rPr>
          <w:i/>
          <w:iCs/>
        </w:rPr>
        <w:t>5 Buchstabe a)</w:t>
      </w:r>
      <w:r w:rsidR="00881904" w:rsidRPr="009118AB">
        <w:rPr>
          <w:i/>
        </w:rPr>
        <w:t xml:space="preserve"> des G. vom 2. Mai 2019 (III) (B.S. vom 1</w:t>
      </w:r>
      <w:r w:rsidR="002C6500" w:rsidRPr="009118AB">
        <w:rPr>
          <w:i/>
        </w:rPr>
        <w:t>5</w:t>
      </w:r>
      <w:r w:rsidR="00881904" w:rsidRPr="009118AB">
        <w:rPr>
          <w:i/>
        </w:rPr>
        <w:t>. Mai 2019);</w:t>
      </w:r>
      <w:r w:rsidRPr="009118AB">
        <w:rPr>
          <w:i/>
          <w:iCs/>
        </w:rPr>
        <w:t xml:space="preserve"> </w:t>
      </w:r>
      <w:r w:rsidR="00D67EB8" w:rsidRPr="009118AB">
        <w:rPr>
          <w:i/>
          <w:iCs/>
        </w:rPr>
        <w:t>§ </w:t>
      </w:r>
      <w:r w:rsidR="003357C9" w:rsidRPr="009118AB">
        <w:rPr>
          <w:i/>
          <w:iCs/>
        </w:rPr>
        <w:t xml:space="preserve">1 </w:t>
      </w:r>
      <w:r w:rsidR="00D67EB8" w:rsidRPr="009118AB">
        <w:rPr>
          <w:i/>
          <w:iCs/>
        </w:rPr>
        <w:t>Abs. </w:t>
      </w:r>
      <w:r w:rsidR="003357C9" w:rsidRPr="009118AB">
        <w:rPr>
          <w:i/>
          <w:iCs/>
        </w:rPr>
        <w:t xml:space="preserve">2 </w:t>
      </w:r>
      <w:r w:rsidR="00D67EB8" w:rsidRPr="009118AB">
        <w:rPr>
          <w:i/>
          <w:iCs/>
        </w:rPr>
        <w:t>Nr. </w:t>
      </w:r>
      <w:r w:rsidR="003357C9" w:rsidRPr="009118AB">
        <w:rPr>
          <w:i/>
          <w:iCs/>
        </w:rPr>
        <w:t xml:space="preserve">2 einziger Absatz Buchstabe b) abgeändert durch </w:t>
      </w:r>
      <w:r w:rsidR="00D67EB8" w:rsidRPr="009118AB">
        <w:rPr>
          <w:i/>
          <w:iCs/>
        </w:rPr>
        <w:t>Art. </w:t>
      </w:r>
      <w:r w:rsidR="003357C9" w:rsidRPr="009118AB">
        <w:rPr>
          <w:i/>
          <w:iCs/>
        </w:rPr>
        <w:t>5 Buchstabe b)</w:t>
      </w:r>
      <w:r w:rsidR="003357C9" w:rsidRPr="009118AB">
        <w:rPr>
          <w:i/>
        </w:rPr>
        <w:t xml:space="preserve"> des G. vom 2. Mai 2019 (III) (B.S. vom 1</w:t>
      </w:r>
      <w:r w:rsidR="002C6500" w:rsidRPr="009118AB">
        <w:rPr>
          <w:i/>
        </w:rPr>
        <w:t>5</w:t>
      </w:r>
      <w:r w:rsidR="003357C9" w:rsidRPr="009118AB">
        <w:rPr>
          <w:i/>
        </w:rPr>
        <w:t>. Mai 2019);</w:t>
      </w:r>
      <w:r w:rsidR="003357C9"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abgeändert durch </w:t>
      </w:r>
      <w:r w:rsidR="00D67EB8" w:rsidRPr="009118AB">
        <w:rPr>
          <w:i/>
          <w:iCs/>
        </w:rPr>
        <w:t>Art. </w:t>
      </w:r>
      <w:r w:rsidRPr="009118AB">
        <w:rPr>
          <w:i/>
          <w:iCs/>
        </w:rPr>
        <w:t xml:space="preserve">4 </w:t>
      </w:r>
      <w:r w:rsidR="00D67EB8" w:rsidRPr="009118AB">
        <w:rPr>
          <w:i/>
          <w:iCs/>
        </w:rPr>
        <w:t>Nr. </w:t>
      </w:r>
      <w:r w:rsidRPr="009118AB">
        <w:rPr>
          <w:i/>
          <w:iCs/>
        </w:rPr>
        <w:t>3 des G. vom 20. März 1996 (B.S. vom 7. Mai 1996)</w:t>
      </w:r>
      <w:r w:rsidR="00D67EB8" w:rsidRPr="009118AB">
        <w:rPr>
          <w:i/>
          <w:iCs/>
        </w:rPr>
        <w:t> - </w:t>
      </w:r>
      <w:r w:rsidRPr="009118AB">
        <w:rPr>
          <w:i/>
          <w:iCs/>
        </w:rPr>
        <w:t>anwendbar auf die ab dem 7. April 1995 ausgegebenen Aktien oder Anteile oder gezeichneten Verträge</w:t>
      </w:r>
      <w:r w:rsidR="00D67EB8" w:rsidRPr="009118AB">
        <w:rPr>
          <w:i/>
          <w:iCs/>
        </w:rPr>
        <w:t> - </w:t>
      </w:r>
      <w:r w:rsidR="00480672" w:rsidRPr="009118AB">
        <w:rPr>
          <w:i/>
          <w:iCs/>
        </w:rPr>
        <w:t xml:space="preserve">und </w:t>
      </w:r>
      <w:r w:rsidR="00D67EB8" w:rsidRPr="009118AB">
        <w:rPr>
          <w:i/>
          <w:iCs/>
        </w:rPr>
        <w:t>Art. </w:t>
      </w:r>
      <w:r w:rsidR="00480672" w:rsidRPr="009118AB">
        <w:rPr>
          <w:i/>
          <w:iCs/>
        </w:rPr>
        <w:t xml:space="preserve">3 </w:t>
      </w:r>
      <w:r w:rsidR="00D67EB8" w:rsidRPr="009118AB">
        <w:rPr>
          <w:i/>
          <w:iCs/>
        </w:rPr>
        <w:t>Nr. </w:t>
      </w:r>
      <w:r w:rsidR="00480672" w:rsidRPr="009118AB">
        <w:rPr>
          <w:i/>
          <w:iCs/>
        </w:rPr>
        <w:t>2 des G. vom 28. Juli 2011 (B.S. vom 11. August 2011)</w:t>
      </w:r>
      <w:r w:rsidR="00D67EB8" w:rsidRPr="009118AB">
        <w:rPr>
          <w:i/>
          <w:iCs/>
        </w:rPr>
        <w:t> - </w:t>
      </w:r>
      <w:r w:rsidR="00480672" w:rsidRPr="009118AB">
        <w:rPr>
          <w:i/>
          <w:iCs/>
        </w:rPr>
        <w:t>wirksam mit 1. Januar 2011</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3 eingefügt durch </w:t>
      </w:r>
      <w:r w:rsidR="00D67EB8" w:rsidRPr="009118AB">
        <w:rPr>
          <w:i/>
          <w:iCs/>
        </w:rPr>
        <w:t>Art. </w:t>
      </w:r>
      <w:r w:rsidRPr="009118AB">
        <w:rPr>
          <w:i/>
          <w:iCs/>
        </w:rPr>
        <w:t xml:space="preserve">35 </w:t>
      </w:r>
      <w:r w:rsidR="00D67EB8" w:rsidRPr="009118AB">
        <w:rPr>
          <w:i/>
          <w:iCs/>
        </w:rPr>
        <w:t>Nr. </w:t>
      </w:r>
      <w:r w:rsidRPr="009118AB">
        <w:rPr>
          <w:i/>
          <w:iCs/>
        </w:rPr>
        <w:t>2 des G. vom 15. Dezember 2004 (B.S. vom 1. Februar 2005)</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118AB">
        <w:rPr>
          <w:i/>
          <w:iCs/>
        </w:rPr>
        <w:t> -;</w:t>
      </w:r>
      <w:r w:rsidRPr="009118AB">
        <w:rPr>
          <w:i/>
          <w:iCs/>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 xml:space="preserve">2 des G. vom 28. Juli 1992 (B.S. vom 31. Juli 1992) und abgeändert durch </w:t>
      </w:r>
      <w:r w:rsidR="00D67EB8" w:rsidRPr="009118AB">
        <w:rPr>
          <w:i/>
          <w:iCs/>
        </w:rPr>
        <w:t>Art. </w:t>
      </w:r>
      <w:r w:rsidRPr="009118AB">
        <w:rPr>
          <w:i/>
          <w:iCs/>
        </w:rPr>
        <w:t xml:space="preserve">35 </w:t>
      </w:r>
      <w:r w:rsidR="00D67EB8" w:rsidRPr="009118AB">
        <w:rPr>
          <w:i/>
          <w:iCs/>
        </w:rPr>
        <w:t>Nr. </w:t>
      </w:r>
      <w:r w:rsidRPr="009118AB">
        <w:rPr>
          <w:i/>
          <w:iCs/>
        </w:rPr>
        <w:t>3 des G. vom 15. Dezember 2004 (B.S. vom 1. Februar 2005)</w:t>
      </w:r>
      <w:r w:rsidR="00D67EB8" w:rsidRPr="009118AB">
        <w:rPr>
          <w:i/>
          <w:iCs/>
        </w:rPr>
        <w:t> - </w:t>
      </w:r>
      <w:r w:rsidRPr="009118AB">
        <w:rPr>
          <w:i/>
          <w:iCs/>
        </w:rPr>
        <w:t xml:space="preserve">anwendbar auf Entschädigungen für fehlende Kupons oder für </w:t>
      </w:r>
      <w:r w:rsidRPr="009118AB">
        <w:rPr>
          <w:i/>
          <w:iCs/>
        </w:rPr>
        <w:lastRenderedPageBreak/>
        <w:t>fehlende Lose, die in Ausführung von Vereinbarungen über die Leistung von dinglichen Sicherheiten und von Verleihen mit Bezug auf Finanzinstrumente gezahlt oder zuerkannt werden, die ab dem 1. Februar 2005 abgeschlossen werden</w:t>
      </w:r>
      <w:r w:rsidR="003366D9" w:rsidRPr="009118AB">
        <w:rPr>
          <w:i/>
          <w:iCs/>
        </w:rPr>
        <w:t> -;</w:t>
      </w:r>
      <w:r w:rsidRPr="009118AB">
        <w:rPr>
          <w:i/>
          <w:iCs/>
        </w:rPr>
        <w:t xml:space="preserve"> </w:t>
      </w:r>
      <w:r w:rsidR="00D67EB8" w:rsidRPr="009118AB">
        <w:rPr>
          <w:i/>
          <w:iCs/>
        </w:rPr>
        <w:t>§ </w:t>
      </w:r>
      <w:r w:rsidRPr="009118AB">
        <w:rPr>
          <w:i/>
          <w:iCs/>
        </w:rPr>
        <w:t xml:space="preserve">4 eingefügt durch </w:t>
      </w:r>
      <w:r w:rsidR="00D67EB8" w:rsidRPr="009118AB">
        <w:rPr>
          <w:i/>
          <w:iCs/>
        </w:rPr>
        <w:t>Art. </w:t>
      </w:r>
      <w:r w:rsidRPr="009118AB">
        <w:rPr>
          <w:i/>
          <w:iCs/>
        </w:rPr>
        <w:t xml:space="preserve">1 </w:t>
      </w:r>
      <w:r w:rsidR="00D67EB8" w:rsidRPr="009118AB">
        <w:rPr>
          <w:i/>
          <w:iCs/>
        </w:rPr>
        <w:t>Nr. </w:t>
      </w:r>
      <w:r w:rsidRPr="009118AB">
        <w:rPr>
          <w:i/>
          <w:iCs/>
        </w:rPr>
        <w:t>2 des G. vom 22. Juli 1993 (B.S. vom 26. Juli 1993)</w:t>
      </w:r>
      <w:r w:rsidR="00D67EB8" w:rsidRPr="009118AB">
        <w:rPr>
          <w:i/>
          <w:iCs/>
        </w:rPr>
        <w:t> - </w:t>
      </w:r>
      <w:r w:rsidRPr="009118AB">
        <w:rPr>
          <w:i/>
          <w:iCs/>
        </w:rPr>
        <w:t>anwendbar auf Verträge, die ab dem 7. Mai 1993 abgeschlossen werden</w:t>
      </w:r>
      <w:r w:rsidR="003366D9" w:rsidRPr="009118AB">
        <w:rPr>
          <w:i/>
          <w:iCs/>
        </w:rPr>
        <w:t> -;</w:t>
      </w:r>
      <w:r w:rsidRPr="009118AB">
        <w:rPr>
          <w:i/>
          <w:iCs/>
        </w:rPr>
        <w:t xml:space="preserve"> </w:t>
      </w:r>
      <w:r w:rsidR="00D67EB8" w:rsidRPr="009118AB">
        <w:rPr>
          <w:i/>
          <w:iCs/>
        </w:rPr>
        <w:t>§ </w:t>
      </w:r>
      <w:r w:rsidR="00480672" w:rsidRPr="009118AB">
        <w:rPr>
          <w:i/>
          <w:iCs/>
        </w:rPr>
        <w:t xml:space="preserve">4 </w:t>
      </w:r>
      <w:r w:rsidR="00D67EB8" w:rsidRPr="009118AB">
        <w:rPr>
          <w:i/>
          <w:iCs/>
        </w:rPr>
        <w:t>Abs. </w:t>
      </w:r>
      <w:r w:rsidR="00480672" w:rsidRPr="009118AB">
        <w:rPr>
          <w:i/>
          <w:iCs/>
        </w:rPr>
        <w:t xml:space="preserve">1 abgeändert durch </w:t>
      </w:r>
      <w:r w:rsidR="00D67EB8" w:rsidRPr="009118AB">
        <w:rPr>
          <w:i/>
          <w:iCs/>
        </w:rPr>
        <w:t>Art. </w:t>
      </w:r>
      <w:r w:rsidR="00480672" w:rsidRPr="009118AB">
        <w:rPr>
          <w:i/>
          <w:iCs/>
        </w:rPr>
        <w:t xml:space="preserve">3 </w:t>
      </w:r>
      <w:r w:rsidR="00D67EB8" w:rsidRPr="009118AB">
        <w:rPr>
          <w:i/>
          <w:iCs/>
        </w:rPr>
        <w:t>Nr. </w:t>
      </w:r>
      <w:r w:rsidR="00480672" w:rsidRPr="009118AB">
        <w:rPr>
          <w:i/>
          <w:iCs/>
        </w:rPr>
        <w:t>3 des G. vom 28. Juli 2011 (B.S. vom 11. August 2011)</w:t>
      </w:r>
      <w:r w:rsidR="00D67EB8" w:rsidRPr="009118AB">
        <w:rPr>
          <w:i/>
          <w:iCs/>
        </w:rPr>
        <w:t> - </w:t>
      </w:r>
      <w:r w:rsidR="00480672" w:rsidRPr="009118AB">
        <w:rPr>
          <w:i/>
          <w:iCs/>
        </w:rPr>
        <w:t>wirksam mit 1. Januar 2011</w:t>
      </w:r>
      <w:r w:rsidR="003366D9" w:rsidRPr="009118AB">
        <w:rPr>
          <w:i/>
          <w:iCs/>
        </w:rPr>
        <w:t> -;</w:t>
      </w:r>
      <w:r w:rsidR="00480672" w:rsidRPr="009118AB">
        <w:rPr>
          <w:i/>
          <w:iCs/>
        </w:rPr>
        <w:t xml:space="preserve"> </w:t>
      </w:r>
      <w:r w:rsidR="00D67EB8" w:rsidRPr="009118AB">
        <w:rPr>
          <w:i/>
          <w:iCs/>
        </w:rPr>
        <w:t>§ </w:t>
      </w:r>
      <w:r w:rsidRPr="009118AB">
        <w:rPr>
          <w:i/>
          <w:iCs/>
        </w:rPr>
        <w:t xml:space="preserve">4 </w:t>
      </w:r>
      <w:r w:rsidR="00D67EB8" w:rsidRPr="009118AB">
        <w:rPr>
          <w:i/>
          <w:iCs/>
        </w:rPr>
        <w:t>Abs. </w:t>
      </w:r>
      <w:r w:rsidRPr="009118AB">
        <w:rPr>
          <w:i/>
          <w:iCs/>
        </w:rPr>
        <w:t xml:space="preserve">2 abgeändert durch </w:t>
      </w:r>
      <w:r w:rsidR="00D67EB8" w:rsidRPr="009118AB">
        <w:rPr>
          <w:i/>
          <w:iCs/>
        </w:rPr>
        <w:t>Art. </w:t>
      </w:r>
      <w:r w:rsidRPr="009118AB">
        <w:rPr>
          <w:i/>
          <w:iCs/>
        </w:rPr>
        <w:t xml:space="preserve">4 </w:t>
      </w:r>
      <w:r w:rsidR="00D67EB8" w:rsidRPr="009118AB">
        <w:rPr>
          <w:i/>
          <w:iCs/>
        </w:rPr>
        <w:t>Nr. </w:t>
      </w:r>
      <w:r w:rsidRPr="009118AB">
        <w:rPr>
          <w:i/>
          <w:iCs/>
        </w:rPr>
        <w:t>4 des G. vom 20. März 1996 (B.S.</w:t>
      </w:r>
      <w:r w:rsidR="000467A4" w:rsidRPr="009118AB">
        <w:rPr>
          <w:i/>
          <w:iCs/>
        </w:rPr>
        <w:t> </w:t>
      </w:r>
      <w:r w:rsidRPr="009118AB">
        <w:rPr>
          <w:i/>
          <w:iCs/>
        </w:rPr>
        <w:t>vom 7. Mai 1996)</w:t>
      </w:r>
      <w:r w:rsidR="00D67EB8" w:rsidRPr="009118AB">
        <w:rPr>
          <w:i/>
          <w:iCs/>
        </w:rPr>
        <w:t> - </w:t>
      </w:r>
      <w:r w:rsidRPr="009118AB">
        <w:rPr>
          <w:i/>
          <w:iCs/>
        </w:rPr>
        <w:t>anwendbar auf die ab dem 7. April 1995 ausgegebenen Aktien oder Anteile oder gezeichneten Verträge</w:t>
      </w:r>
      <w:r w:rsidR="00D67EB8" w:rsidRPr="009118AB">
        <w:rPr>
          <w:i/>
          <w:iCs/>
        </w:rPr>
        <w:t> - </w:t>
      </w:r>
      <w:r w:rsidR="00480672" w:rsidRPr="009118AB">
        <w:rPr>
          <w:i/>
          <w:iCs/>
        </w:rPr>
        <w:t xml:space="preserve">und </w:t>
      </w:r>
      <w:r w:rsidR="00D67EB8" w:rsidRPr="009118AB">
        <w:rPr>
          <w:i/>
          <w:iCs/>
        </w:rPr>
        <w:t>Art. </w:t>
      </w:r>
      <w:r w:rsidR="00480672" w:rsidRPr="009118AB">
        <w:rPr>
          <w:i/>
          <w:iCs/>
        </w:rPr>
        <w:t xml:space="preserve">3 </w:t>
      </w:r>
      <w:r w:rsidR="00D67EB8" w:rsidRPr="009118AB">
        <w:rPr>
          <w:i/>
          <w:iCs/>
        </w:rPr>
        <w:t>Nr. </w:t>
      </w:r>
      <w:r w:rsidR="00480672" w:rsidRPr="009118AB">
        <w:rPr>
          <w:i/>
          <w:iCs/>
        </w:rPr>
        <w:t>3 des G. vom 28. Juli 2011 (B.S. vom 11. August 2011)</w:t>
      </w:r>
      <w:r w:rsidR="00D67EB8" w:rsidRPr="009118AB">
        <w:rPr>
          <w:i/>
          <w:iCs/>
        </w:rPr>
        <w:t> - </w:t>
      </w:r>
      <w:r w:rsidR="00480672" w:rsidRPr="009118AB">
        <w:rPr>
          <w:i/>
          <w:iCs/>
        </w:rPr>
        <w:t>wirksam mit 1. Januar 2011</w:t>
      </w:r>
      <w:r w:rsidR="00FD68E8" w:rsidRPr="009118AB">
        <w:rPr>
          <w:i/>
          <w:iCs/>
        </w:rPr>
        <w:t> -]</w:t>
      </w:r>
    </w:p>
    <w:p w14:paraId="6880E326" w14:textId="77777777" w:rsidR="006131E9" w:rsidRPr="009118AB" w:rsidRDefault="006131E9" w:rsidP="00477B8F">
      <w:pPr>
        <w:autoSpaceDE w:val="0"/>
        <w:autoSpaceDN w:val="0"/>
        <w:adjustRightInd w:val="0"/>
        <w:jc w:val="both"/>
      </w:pPr>
    </w:p>
    <w:p w14:paraId="33971E4B" w14:textId="77777777" w:rsidR="00CD159D" w:rsidRPr="009118AB" w:rsidRDefault="00CD159D" w:rsidP="00477B8F">
      <w:pPr>
        <w:autoSpaceDE w:val="0"/>
        <w:autoSpaceDN w:val="0"/>
        <w:adjustRightInd w:val="0"/>
        <w:jc w:val="both"/>
      </w:pPr>
    </w:p>
    <w:p w14:paraId="4771F5E4" w14:textId="61AEFEA3" w:rsidR="00FB0DE1" w:rsidRPr="009118AB" w:rsidRDefault="00FB0DE1" w:rsidP="00FB0DE1">
      <w:pPr>
        <w:autoSpaceDE w:val="0"/>
        <w:autoSpaceDN w:val="0"/>
        <w:adjustRightInd w:val="0"/>
        <w:jc w:val="both"/>
      </w:pPr>
      <w:r w:rsidRPr="009118AB">
        <w:tab/>
        <w:t>[</w:t>
      </w:r>
      <w:r w:rsidR="00D67EB8" w:rsidRPr="009118AB">
        <w:rPr>
          <w:b/>
          <w:bCs/>
        </w:rPr>
        <w:t>Art. </w:t>
      </w:r>
      <w:r w:rsidRPr="009118AB">
        <w:rPr>
          <w:b/>
          <w:bCs/>
        </w:rPr>
        <w:t>19</w:t>
      </w:r>
      <w:r w:rsidRPr="009118AB">
        <w:rPr>
          <w:b/>
          <w:bCs/>
          <w:i/>
          <w:iCs/>
        </w:rPr>
        <w:t>bis</w:t>
      </w:r>
      <w:r w:rsidR="00D67EB8" w:rsidRPr="009118AB">
        <w:t> - § </w:t>
      </w:r>
      <w:r w:rsidRPr="009118AB">
        <w:t>1</w:t>
      </w:r>
      <w:r w:rsidR="00D67EB8" w:rsidRPr="009118AB">
        <w:t> - </w:t>
      </w:r>
      <w:r w:rsidRPr="009118AB">
        <w:t xml:space="preserve">[Zinsen umfassen ebenfalls den Teil des Betrags, der den Einkünften entspricht, die </w:t>
      </w:r>
      <w:r w:rsidR="000E2459" w:rsidRPr="009118AB">
        <w:t>[im Falle der entgeltlichen Übertragung von Aktien oder Anteilen,]</w:t>
      </w:r>
      <w:r w:rsidR="00C83EA3" w:rsidRPr="009118AB">
        <w:t xml:space="preserve"> </w:t>
      </w:r>
      <w:r w:rsidRPr="009118AB">
        <w:t>im Falle des Rückkaufs eigener Anteile oder im Falle der Gesamt- oder Teilverteilung des Eigen</w:t>
      </w:r>
      <w:r w:rsidRPr="009118AB">
        <w:softHyphen/>
        <w:t xml:space="preserve">vermögens eines </w:t>
      </w:r>
      <w:r w:rsidR="00162A81" w:rsidRPr="009118AB">
        <w:t>[Organismus für gemeinsame Anlagen, bei dem mehr als 10 Prozent des Vermögens]</w:t>
      </w:r>
      <w:r w:rsidRPr="009118AB">
        <w:t xml:space="preserve"> direkt oder indirekt in Forderungen investiert ist, bezogen werden, in dem Maße, wie diese Einkünfte sich auf den Zeitraum beziehen, in dem der Empfänger Inha</w:t>
      </w:r>
      <w:r w:rsidRPr="009118AB">
        <w:softHyphen/>
        <w:t xml:space="preserve">ber der Anteile war. </w:t>
      </w:r>
      <w:r w:rsidR="000E17D1" w:rsidRPr="009118AB">
        <w:t>[Hat der Empfänger diese Anteile durch Schenkung erworben, wird dieser Zeitraum um den Zeitraum erhöht, in dem der Schenker Inhaber der Anteile war. Hat der Empfänger oder der Schenker die Anteile vor dem 1. Juli 2005 erworben oder kann der Empfänger das Erwerbsdatum der Anteile nicht nachweisen, gilt der Empfänger als deren Inhaber seit dem 1. Juli 2005.]</w:t>
      </w:r>
      <w:r w:rsidRPr="009118AB">
        <w:t>]</w:t>
      </w:r>
    </w:p>
    <w:p w14:paraId="79F31313" w14:textId="77777777" w:rsidR="00FB0DE1" w:rsidRPr="009118AB" w:rsidRDefault="00FB0DE1" w:rsidP="00FB0DE1">
      <w:pPr>
        <w:autoSpaceDE w:val="0"/>
        <w:autoSpaceDN w:val="0"/>
        <w:adjustRightInd w:val="0"/>
        <w:jc w:val="both"/>
      </w:pPr>
    </w:p>
    <w:p w14:paraId="7D2FCBA4" w14:textId="77777777" w:rsidR="00FB0DE1" w:rsidRPr="009118AB" w:rsidRDefault="00FB0DE1" w:rsidP="00FB0DE1">
      <w:pPr>
        <w:autoSpaceDE w:val="0"/>
        <w:autoSpaceDN w:val="0"/>
        <w:adjustRightInd w:val="0"/>
        <w:jc w:val="both"/>
      </w:pPr>
      <w:r w:rsidRPr="009118AB">
        <w:tab/>
        <w:t xml:space="preserve">Diese Verrichtungen sind nur steuerpflichtig, wenn sie sich auf Anteile </w:t>
      </w:r>
      <w:r w:rsidR="00162A81" w:rsidRPr="009118AB">
        <w:t>[</w:t>
      </w:r>
      <w:r w:rsidRPr="009118AB">
        <w:t>von Organismen für gemeinsame Anlagen</w:t>
      </w:r>
      <w:r w:rsidR="00162A81" w:rsidRPr="009118AB">
        <w:t>]</w:t>
      </w:r>
      <w:r w:rsidRPr="009118AB">
        <w:t xml:space="preserve"> beziehen, deren Satzung oder Vertragsbedingungen keine Ausschüttung der Nettoeinkünfte vorsehen.</w:t>
      </w:r>
    </w:p>
    <w:p w14:paraId="2DA449A4" w14:textId="77777777" w:rsidR="00FB0DE1" w:rsidRPr="009118AB" w:rsidRDefault="00FB0DE1" w:rsidP="00FB0DE1">
      <w:pPr>
        <w:autoSpaceDE w:val="0"/>
        <w:autoSpaceDN w:val="0"/>
        <w:adjustRightInd w:val="0"/>
        <w:jc w:val="both"/>
      </w:pPr>
    </w:p>
    <w:p w14:paraId="12A9E42F" w14:textId="77777777" w:rsidR="00FB0DE1" w:rsidRPr="009118AB" w:rsidRDefault="00FB0DE1" w:rsidP="00FB0DE1">
      <w:pPr>
        <w:autoSpaceDE w:val="0"/>
        <w:autoSpaceDN w:val="0"/>
        <w:adjustRightInd w:val="0"/>
        <w:jc w:val="both"/>
      </w:pPr>
      <w:r w:rsidRPr="009118AB">
        <w:tab/>
        <w:t>[Für einen Organismus für gemeinsame Anlagen, dessen Satzung keine jährliche Aus</w:t>
      </w:r>
      <w:r w:rsidRPr="009118AB">
        <w:softHyphen/>
        <w:t>schüttung aller erhaltenen Einkünfte abzüglich der Entlohnungen, Provisionen und Kosten vor</w:t>
      </w:r>
      <w:r w:rsidRPr="009118AB">
        <w:softHyphen/>
        <w:t>sieht, gilt, dass er für die Anwendung des vorhergehenden Absatzes keine Ausschüttung der Nettoeinkünfte vorsieht.]</w:t>
      </w:r>
    </w:p>
    <w:p w14:paraId="1AA39D1E" w14:textId="77777777" w:rsidR="00FB0DE1" w:rsidRPr="009118AB" w:rsidRDefault="00FB0DE1" w:rsidP="00FB0DE1">
      <w:pPr>
        <w:autoSpaceDE w:val="0"/>
        <w:autoSpaceDN w:val="0"/>
        <w:adjustRightInd w:val="0"/>
        <w:jc w:val="both"/>
      </w:pPr>
    </w:p>
    <w:p w14:paraId="11CF4AAA" w14:textId="77777777" w:rsidR="00FB0DE1" w:rsidRPr="009118AB" w:rsidRDefault="00FB0DE1" w:rsidP="00FB0DE1">
      <w:pPr>
        <w:autoSpaceDE w:val="0"/>
        <w:autoSpaceDN w:val="0"/>
        <w:adjustRightInd w:val="0"/>
        <w:jc w:val="both"/>
      </w:pPr>
      <w:r w:rsidRPr="009118AB">
        <w:tab/>
        <w:t>[Der steuerpflichtige Betrag der in Absatz 1 erwähnten Einkünfte entspricht der Gesamt</w:t>
      </w:r>
      <w:r w:rsidRPr="009118AB">
        <w:softHyphen/>
        <w:t>heit der Einkünfte, die direkt oder indirekt in der Form von Zinsen, Mehrwerten oder Minder</w:t>
      </w:r>
      <w:r w:rsidRPr="009118AB">
        <w:softHyphen/>
        <w:t xml:space="preserve">werten aus dem Ertrag der Aktiva hervorgehen, die in Forderungen </w:t>
      </w:r>
      <w:r w:rsidR="00162A81" w:rsidRPr="009118AB">
        <w:t>[…</w:t>
      </w:r>
      <w:r w:rsidR="006258A5" w:rsidRPr="009118AB">
        <w:t xml:space="preserve">] </w:t>
      </w:r>
      <w:r w:rsidRPr="009118AB">
        <w:t>investiert sind, wenn der Verwalter des Organismus für gemeinsame Anlagen in der Lage ist, diesen Anteil in dem Betrag, der aus der Differenz zwischen dem bei der Verrichtung erhaltenen Betrag und dem Anschaffungs- oder Investitionswert der Aktien oder Anteile hervorgeht, zu bestimmen.]</w:t>
      </w:r>
    </w:p>
    <w:p w14:paraId="5870092A" w14:textId="77777777" w:rsidR="00FB0DE1" w:rsidRPr="009118AB" w:rsidRDefault="00FB0DE1" w:rsidP="00FB0DE1">
      <w:pPr>
        <w:autoSpaceDE w:val="0"/>
        <w:autoSpaceDN w:val="0"/>
        <w:adjustRightInd w:val="0"/>
        <w:jc w:val="both"/>
      </w:pPr>
    </w:p>
    <w:p w14:paraId="5D1C6CF1" w14:textId="4D0C8EF3" w:rsidR="00FB0DE1" w:rsidRPr="009118AB" w:rsidRDefault="00FB0DE1" w:rsidP="00FB0DE1">
      <w:pPr>
        <w:autoSpaceDE w:val="0"/>
        <w:autoSpaceDN w:val="0"/>
        <w:adjustRightInd w:val="0"/>
        <w:jc w:val="both"/>
      </w:pPr>
      <w:r w:rsidRPr="009118AB">
        <w:tab/>
        <w:t xml:space="preserve">Als Forderungen gelten </w:t>
      </w:r>
      <w:r w:rsidR="006258A5" w:rsidRPr="009118AB">
        <w:t xml:space="preserve">[in Artikel 2 </w:t>
      </w:r>
      <w:r w:rsidR="00D67EB8" w:rsidRPr="009118AB">
        <w:t>§ </w:t>
      </w:r>
      <w:r w:rsidR="006258A5" w:rsidRPr="009118AB">
        <w:t xml:space="preserve">1 </w:t>
      </w:r>
      <w:r w:rsidR="00D67EB8" w:rsidRPr="009118AB">
        <w:t>Nr. </w:t>
      </w:r>
      <w:r w:rsidR="006258A5" w:rsidRPr="009118AB">
        <w:t>3 Buchstabe </w:t>
      </w:r>
      <w:r w:rsidR="006258A5" w:rsidRPr="009118AB">
        <w:rPr>
          <w:i/>
          <w:iCs/>
        </w:rPr>
        <w:t>a)</w:t>
      </w:r>
      <w:r w:rsidR="006258A5" w:rsidRPr="009118AB">
        <w:t xml:space="preserve"> </w:t>
      </w:r>
      <w:r w:rsidR="00162A81" w:rsidRPr="009118AB">
        <w:t>[des Königlichen Erlasses vom 27. September 2009 zur Ausführung von Artikel 338</w:t>
      </w:r>
      <w:r w:rsidR="00162A81" w:rsidRPr="009118AB">
        <w:rPr>
          <w:i/>
        </w:rPr>
        <w:t>bis</w:t>
      </w:r>
      <w:r w:rsidR="00162A81" w:rsidRPr="009118AB">
        <w:t xml:space="preserve"> </w:t>
      </w:r>
      <w:r w:rsidR="00D67EB8" w:rsidRPr="009118AB">
        <w:t>§ </w:t>
      </w:r>
      <w:r w:rsidR="00162A81" w:rsidRPr="009118AB">
        <w:t>2 des Einkommensteuer</w:t>
      </w:r>
      <w:r w:rsidR="005A03F0" w:rsidRPr="009118AB">
        <w:softHyphen/>
      </w:r>
      <w:r w:rsidR="00162A81" w:rsidRPr="009118AB">
        <w:t>gesetzbuches 1992]</w:t>
      </w:r>
      <w:r w:rsidR="006258A5" w:rsidRPr="009118AB">
        <w:t xml:space="preserve"> erwähnte Forderungen </w:t>
      </w:r>
      <w:r w:rsidR="000E2459" w:rsidRPr="009118AB">
        <w:t>[...]</w:t>
      </w:r>
      <w:r w:rsidR="006258A5" w:rsidRPr="009118AB">
        <w:t>]</w:t>
      </w:r>
      <w:r w:rsidRPr="009118AB">
        <w:t>.</w:t>
      </w:r>
    </w:p>
    <w:p w14:paraId="268C4DD7" w14:textId="77777777" w:rsidR="00FB0DE1" w:rsidRPr="009118AB" w:rsidRDefault="00FB0DE1" w:rsidP="00FB0DE1">
      <w:pPr>
        <w:autoSpaceDE w:val="0"/>
        <w:autoSpaceDN w:val="0"/>
        <w:adjustRightInd w:val="0"/>
        <w:jc w:val="both"/>
      </w:pPr>
    </w:p>
    <w:p w14:paraId="6F930758" w14:textId="77777777" w:rsidR="00FB0DE1" w:rsidRPr="009118AB" w:rsidRDefault="00FB0DE1" w:rsidP="00FB0DE1">
      <w:pPr>
        <w:autoSpaceDE w:val="0"/>
        <w:autoSpaceDN w:val="0"/>
        <w:adjustRightInd w:val="0"/>
        <w:jc w:val="both"/>
      </w:pPr>
      <w:r w:rsidRPr="009118AB">
        <w:tab/>
      </w:r>
      <w:r w:rsidR="000E2459" w:rsidRPr="009118AB">
        <w:t>[</w:t>
      </w:r>
      <w:r w:rsidR="00652330" w:rsidRPr="009118AB">
        <w:t>..</w:t>
      </w:r>
      <w:r w:rsidR="000E2459" w:rsidRPr="009118AB">
        <w:t>.]</w:t>
      </w:r>
    </w:p>
    <w:p w14:paraId="768DBDCA" w14:textId="77777777" w:rsidR="00FB0DE1" w:rsidRPr="009118AB" w:rsidRDefault="00FB0DE1" w:rsidP="00FB0DE1">
      <w:pPr>
        <w:autoSpaceDE w:val="0"/>
        <w:autoSpaceDN w:val="0"/>
        <w:adjustRightInd w:val="0"/>
        <w:jc w:val="both"/>
      </w:pPr>
    </w:p>
    <w:p w14:paraId="36B6F448" w14:textId="77777777" w:rsidR="00FB0DE1" w:rsidRPr="009118AB" w:rsidRDefault="00FB0DE1" w:rsidP="00FB0DE1">
      <w:pPr>
        <w:autoSpaceDE w:val="0"/>
        <w:autoSpaceDN w:val="0"/>
        <w:adjustRightInd w:val="0"/>
        <w:jc w:val="both"/>
      </w:pPr>
      <w:r w:rsidRPr="009118AB">
        <w:tab/>
        <w:t xml:space="preserve">Der im ersten Absatz erwähnte Prozentsatz von </w:t>
      </w:r>
      <w:r w:rsidR="000E2459" w:rsidRPr="009118AB">
        <w:t>[</w:t>
      </w:r>
      <w:r w:rsidR="00162A81" w:rsidRPr="009118AB">
        <w:t>10</w:t>
      </w:r>
      <w:r w:rsidRPr="009118AB">
        <w:t> Prozent</w:t>
      </w:r>
      <w:r w:rsidR="000E2459" w:rsidRPr="009118AB">
        <w:t>]</w:t>
      </w:r>
      <w:r w:rsidRPr="009118AB">
        <w:t xml:space="preserve"> wird gemäß der Anlagepolitik, so wie sie in den Vertragsbedingungen oder der Satzung des betreffenden Organismus definiert ist, und in Ermangelung einer Anlagepolitik gemäß der tatsächlichen Zusammensetzung seines Anlageportfolios festgelegt.</w:t>
      </w:r>
    </w:p>
    <w:p w14:paraId="23C6386A" w14:textId="77777777" w:rsidR="00FB0DE1" w:rsidRPr="009118AB" w:rsidRDefault="00FB0DE1" w:rsidP="00FB0DE1">
      <w:pPr>
        <w:autoSpaceDE w:val="0"/>
        <w:autoSpaceDN w:val="0"/>
        <w:adjustRightInd w:val="0"/>
        <w:jc w:val="both"/>
      </w:pPr>
    </w:p>
    <w:p w14:paraId="066EEE36" w14:textId="77777777" w:rsidR="00FB0DE1" w:rsidRPr="009118AB" w:rsidRDefault="00FB0DE1" w:rsidP="00FB0DE1">
      <w:pPr>
        <w:autoSpaceDE w:val="0"/>
        <w:autoSpaceDN w:val="0"/>
        <w:adjustRightInd w:val="0"/>
        <w:jc w:val="both"/>
      </w:pPr>
      <w:r w:rsidRPr="009118AB">
        <w:tab/>
        <w:t xml:space="preserve">In Ermangelung von Angaben über den vorerwähnten Prozentsatz des Vermögens </w:t>
      </w:r>
      <w:r w:rsidR="00162A81" w:rsidRPr="009118AB">
        <w:t>[</w:t>
      </w:r>
      <w:r w:rsidRPr="009118AB">
        <w:t>des Organismus für gemeinsame Anlagen</w:t>
      </w:r>
      <w:r w:rsidR="00162A81" w:rsidRPr="009118AB">
        <w:t>]</w:t>
      </w:r>
      <w:r w:rsidRPr="009118AB">
        <w:t xml:space="preserve">, der in Forderungen investiert ist, gilt, </w:t>
      </w:r>
      <w:r w:rsidR="000E2459" w:rsidRPr="009118AB">
        <w:t>[dass dieser Prozentsatz 100 Prozent beträgt]</w:t>
      </w:r>
      <w:r w:rsidRPr="009118AB">
        <w:t>.</w:t>
      </w:r>
    </w:p>
    <w:p w14:paraId="68B54DD4" w14:textId="77777777" w:rsidR="00FB0DE1" w:rsidRPr="009118AB" w:rsidRDefault="00FB0DE1" w:rsidP="00FB0DE1">
      <w:pPr>
        <w:autoSpaceDE w:val="0"/>
        <w:autoSpaceDN w:val="0"/>
        <w:adjustRightInd w:val="0"/>
        <w:jc w:val="both"/>
      </w:pPr>
    </w:p>
    <w:p w14:paraId="0E77B169" w14:textId="67C1303A" w:rsidR="00FB0DE1" w:rsidRPr="009118AB" w:rsidRDefault="00FB0DE1" w:rsidP="00FB0DE1">
      <w:pPr>
        <w:autoSpaceDE w:val="0"/>
        <w:autoSpaceDN w:val="0"/>
        <w:adjustRightInd w:val="0"/>
        <w:jc w:val="both"/>
      </w:pPr>
      <w:r w:rsidRPr="009118AB">
        <w:tab/>
      </w:r>
      <w:r w:rsidR="00D67EB8" w:rsidRPr="009118AB">
        <w:t>§ </w:t>
      </w:r>
      <w:r w:rsidRPr="009118AB">
        <w:t>2</w:t>
      </w:r>
      <w:r w:rsidR="00D67EB8" w:rsidRPr="009118AB">
        <w:t> - </w:t>
      </w:r>
      <w:r w:rsidRPr="009118AB">
        <w:t>[[Ist der Verwalter nicht in der Lage, diesen Anteil zu bestimmen, entspricht der steuer</w:t>
      </w:r>
      <w:r w:rsidRPr="009118AB">
        <w:softHyphen/>
        <w:t>pflichtige Betrag der Einkünfte der Differenz zwischen dem bei der Verrichtung erhaltenen Be</w:t>
      </w:r>
      <w:r w:rsidRPr="009118AB">
        <w:softHyphen/>
        <w:t xml:space="preserve">trag und dem Anschaffungs- oder Investitionswert der Aktien oder Anteile, multipliziert mit dem Prozentsatz der Aktiva </w:t>
      </w:r>
      <w:r w:rsidR="00162A81" w:rsidRPr="009118AB">
        <w:t>[des Organismus für gemeinsame Anlagen, die in Forderungen investiert sind]</w:t>
      </w:r>
      <w:r w:rsidRPr="009118AB">
        <w:t>.]</w:t>
      </w:r>
    </w:p>
    <w:p w14:paraId="20DDB222" w14:textId="77777777" w:rsidR="00FB0DE1" w:rsidRPr="009118AB" w:rsidRDefault="00FB0DE1" w:rsidP="00FB0DE1">
      <w:pPr>
        <w:autoSpaceDE w:val="0"/>
        <w:autoSpaceDN w:val="0"/>
        <w:adjustRightInd w:val="0"/>
        <w:jc w:val="both"/>
      </w:pPr>
    </w:p>
    <w:p w14:paraId="74078389" w14:textId="77777777" w:rsidR="00FB0DE1" w:rsidRPr="009118AB" w:rsidRDefault="00FB0DE1" w:rsidP="00FB0DE1">
      <w:pPr>
        <w:autoSpaceDE w:val="0"/>
        <w:autoSpaceDN w:val="0"/>
        <w:adjustRightInd w:val="0"/>
        <w:jc w:val="both"/>
      </w:pPr>
      <w:r w:rsidRPr="009118AB">
        <w:tab/>
        <w:t>Wurden die Anteile vor dem 1. Juli 2005 erworben oder kann der Empfänger das Erwerbsdatum nicht nachweisen, gilt der Inventarwert am 1. Juli 2005 für die Anwendung des vorliegenden Paragraphen als Anschaffungs- oder Investitionswert.]]</w:t>
      </w:r>
    </w:p>
    <w:p w14:paraId="5F4E2005" w14:textId="77777777" w:rsidR="000E2459" w:rsidRPr="009118AB" w:rsidRDefault="000E2459" w:rsidP="00FB0DE1">
      <w:pPr>
        <w:autoSpaceDE w:val="0"/>
        <w:autoSpaceDN w:val="0"/>
        <w:adjustRightInd w:val="0"/>
        <w:jc w:val="both"/>
      </w:pPr>
    </w:p>
    <w:p w14:paraId="532F4664" w14:textId="77777777" w:rsidR="000E2459" w:rsidRPr="009118AB" w:rsidRDefault="000E2459" w:rsidP="00FB0DE1">
      <w:pPr>
        <w:autoSpaceDE w:val="0"/>
        <w:autoSpaceDN w:val="0"/>
        <w:adjustRightInd w:val="0"/>
        <w:jc w:val="both"/>
      </w:pPr>
      <w:r w:rsidRPr="009118AB">
        <w:tab/>
        <w:t>[Ist der Anschaffungs- oder Investitionswert nicht bekannt, entspricht der steuer</w:t>
      </w:r>
      <w:r w:rsidRPr="009118AB">
        <w:softHyphen/>
        <w:t>pflichtige Betrag der Einkünfte dem bei der Verrichtung erhaltenen Betrag, multipliziert mit dem in Absatz 1 erwähnten Prozentsatz.]</w:t>
      </w:r>
    </w:p>
    <w:p w14:paraId="57AC5DB7" w14:textId="77777777" w:rsidR="00652330" w:rsidRPr="009118AB" w:rsidRDefault="00652330" w:rsidP="00FB0DE1">
      <w:pPr>
        <w:autoSpaceDE w:val="0"/>
        <w:autoSpaceDN w:val="0"/>
        <w:adjustRightInd w:val="0"/>
        <w:jc w:val="both"/>
      </w:pPr>
    </w:p>
    <w:p w14:paraId="0A942B32" w14:textId="10073B7F" w:rsidR="00652330" w:rsidRPr="009118AB" w:rsidRDefault="00652330" w:rsidP="00652330">
      <w:pPr>
        <w:jc w:val="both"/>
      </w:pPr>
      <w:r w:rsidRPr="009118AB">
        <w:tab/>
        <w:t>[</w:t>
      </w:r>
      <w:r w:rsidR="00D67EB8" w:rsidRPr="009118AB">
        <w:t>§ </w:t>
      </w:r>
      <w:r w:rsidRPr="009118AB">
        <w:t>3</w:t>
      </w:r>
      <w:r w:rsidR="00D67EB8" w:rsidRPr="009118AB">
        <w:t> - </w:t>
      </w:r>
      <w:r w:rsidRPr="009118AB">
        <w:t xml:space="preserve">In Abweichung von </w:t>
      </w:r>
      <w:r w:rsidR="00D67EB8" w:rsidRPr="009118AB">
        <w:t>§ </w:t>
      </w:r>
      <w:r w:rsidRPr="009118AB">
        <w:t xml:space="preserve">1 Absatz 1 werden Zinsen, die in dem Betrag enthalten sind, der den bezogenen Einkünften entspricht, in Bezug auf </w:t>
      </w:r>
      <w:r w:rsidR="00162A81" w:rsidRPr="009118AB">
        <w:t>[</w:t>
      </w:r>
      <w:r w:rsidRPr="009118AB">
        <w:t>Organismen für gemeinsame Anlagen</w:t>
      </w:r>
      <w:r w:rsidR="00162A81" w:rsidRPr="009118AB">
        <w:t>]</w:t>
      </w:r>
      <w:r w:rsidRPr="009118AB">
        <w:t xml:space="preserve"> ohne Europäischen Pass, auf die </w:t>
      </w:r>
      <w:r w:rsidR="00D67EB8" w:rsidRPr="009118AB">
        <w:t>§ </w:t>
      </w:r>
      <w:r w:rsidRPr="009118AB">
        <w:t>1 erst ab dem 1. Juli 2013 Anwendung findet, ab dem 1. Juli 2008 berechnet.</w:t>
      </w:r>
    </w:p>
    <w:p w14:paraId="7149DE59" w14:textId="77777777" w:rsidR="00652330" w:rsidRPr="009118AB" w:rsidRDefault="00652330" w:rsidP="00652330">
      <w:pPr>
        <w:jc w:val="both"/>
      </w:pPr>
    </w:p>
    <w:p w14:paraId="39E3FD96" w14:textId="6E3986A5" w:rsidR="00652330" w:rsidRPr="009118AB" w:rsidRDefault="00652330" w:rsidP="00652330">
      <w:pPr>
        <w:jc w:val="both"/>
      </w:pPr>
      <w:r w:rsidRPr="009118AB">
        <w:tab/>
        <w:t xml:space="preserve">Ist der Verwalter eines </w:t>
      </w:r>
      <w:r w:rsidR="00162A81" w:rsidRPr="009118AB">
        <w:t>[</w:t>
      </w:r>
      <w:r w:rsidRPr="009118AB">
        <w:t>Organismus für gemeinsame Anlagen</w:t>
      </w:r>
      <w:r w:rsidR="00162A81" w:rsidRPr="009118AB">
        <w:t>]</w:t>
      </w:r>
      <w:r w:rsidRPr="009118AB">
        <w:t xml:space="preserve">, der seinen Sitz in einem Mitgliedstaat des Europäischen Wirtschaftsraums hat und über keinen Europäischen Pass verfügt, nicht in der Lage, den steuerpflichtigen Betrag gemäß </w:t>
      </w:r>
      <w:r w:rsidR="00D67EB8" w:rsidRPr="009118AB">
        <w:t>§ </w:t>
      </w:r>
      <w:r w:rsidRPr="009118AB">
        <w:t xml:space="preserve">1 Absatz 4 zu bestimmen, werden die in dem erhaltenen Betrag enthaltenen Zinsen in Abweichung von </w:t>
      </w:r>
      <w:r w:rsidR="00D67EB8" w:rsidRPr="009118AB">
        <w:t>§ </w:t>
      </w:r>
      <w:r w:rsidRPr="009118AB">
        <w:t xml:space="preserve">1 Absatz 1 und 4 aufgrund einer auf 3 Prozent festgelegten fiktiven Jahresrendite berechnet, die auf den Investitionswert der in </w:t>
      </w:r>
      <w:r w:rsidR="00D67EB8" w:rsidRPr="009118AB">
        <w:t>§ </w:t>
      </w:r>
      <w:r w:rsidRPr="009118AB">
        <w:t>1 Absatz 5 erwähnten Forderungen für den Besitzzeitraum zwischen dem 1. Juli 2008 und dem 1. Juli 2013 anzuwenden ist.</w:t>
      </w:r>
    </w:p>
    <w:p w14:paraId="7A8423B4" w14:textId="77777777" w:rsidR="00652330" w:rsidRPr="009118AB" w:rsidRDefault="00652330" w:rsidP="00652330">
      <w:pPr>
        <w:jc w:val="both"/>
      </w:pPr>
    </w:p>
    <w:p w14:paraId="3A5AA3C8" w14:textId="77777777" w:rsidR="00652330" w:rsidRPr="009118AB" w:rsidRDefault="00652330" w:rsidP="00652330">
      <w:pPr>
        <w:jc w:val="both"/>
      </w:pPr>
      <w:r w:rsidRPr="009118AB">
        <w:tab/>
        <w:t xml:space="preserve">Der auf diese Weise bestimmte Betrag wird um den Anteil der Zinsen verringert, der gegebenenfalls bereits ausgeschüttet worden ist. </w:t>
      </w:r>
    </w:p>
    <w:p w14:paraId="4249FF01" w14:textId="77777777" w:rsidR="00652330" w:rsidRPr="009118AB" w:rsidRDefault="00652330" w:rsidP="00652330">
      <w:pPr>
        <w:jc w:val="both"/>
      </w:pPr>
    </w:p>
    <w:p w14:paraId="2BC8B0EA" w14:textId="0EDCE0CB" w:rsidR="00652330" w:rsidRPr="009118AB" w:rsidRDefault="00652330" w:rsidP="00652330">
      <w:pPr>
        <w:autoSpaceDE w:val="0"/>
        <w:autoSpaceDN w:val="0"/>
        <w:adjustRightInd w:val="0"/>
        <w:jc w:val="both"/>
      </w:pPr>
      <w:r w:rsidRPr="009118AB">
        <w:tab/>
        <w:t xml:space="preserve">Für die Anwendung von Absatz 1 müssen die Wörter "1. Juli 2005" in </w:t>
      </w:r>
      <w:r w:rsidR="00D67EB8" w:rsidRPr="009118AB">
        <w:t>§ </w:t>
      </w:r>
      <w:r w:rsidRPr="009118AB">
        <w:t>2 Absatz 2 als "1. Juli 2008" gelesen werden.]</w:t>
      </w:r>
    </w:p>
    <w:p w14:paraId="4D37DBE5" w14:textId="77777777" w:rsidR="00FB0DE1" w:rsidRPr="009118AB" w:rsidRDefault="00FB0DE1" w:rsidP="00FB0DE1">
      <w:pPr>
        <w:autoSpaceDE w:val="0"/>
        <w:autoSpaceDN w:val="0"/>
        <w:adjustRightInd w:val="0"/>
        <w:jc w:val="both"/>
      </w:pPr>
    </w:p>
    <w:p w14:paraId="72FBC6B1" w14:textId="71513543" w:rsidR="00AD7C56" w:rsidRPr="009118AB" w:rsidRDefault="00FB0DE1"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19bis eingefügt durch </w:t>
      </w:r>
      <w:r w:rsidR="00D67EB8" w:rsidRPr="009118AB">
        <w:rPr>
          <w:i/>
          <w:iCs/>
        </w:rPr>
        <w:t>Art. </w:t>
      </w:r>
      <w:r w:rsidRPr="009118AB">
        <w:rPr>
          <w:i/>
          <w:iCs/>
        </w:rPr>
        <w:t>111 des G. vom 27. Dezember 2005</w:t>
      </w:r>
      <w:r w:rsidR="005F065E" w:rsidRPr="009118AB">
        <w:rPr>
          <w:i/>
          <w:iCs/>
        </w:rPr>
        <w:t> </w:t>
      </w:r>
      <w:r w:rsidRPr="009118AB">
        <w:rPr>
          <w:i/>
          <w:iCs/>
        </w:rPr>
        <w:t>(I) (B.S. vom 30. Dezember 2005)</w:t>
      </w:r>
      <w:r w:rsidR="00D67EB8" w:rsidRPr="009118AB">
        <w:rPr>
          <w:i/>
          <w:iCs/>
        </w:rPr>
        <w:t> - </w:t>
      </w:r>
      <w:r w:rsidRPr="009118AB">
        <w:rPr>
          <w:i/>
          <w:iCs/>
        </w:rPr>
        <w:t xml:space="preserve">anwendbar auf die ab dem 1. Januar 2006 </w:t>
      </w:r>
      <w:r w:rsidR="005A03F0" w:rsidRPr="009118AB">
        <w:rPr>
          <w:i/>
          <w:iCs/>
        </w:rPr>
        <w:t>gezahlten Einkünfte</w:t>
      </w:r>
      <w:r w:rsidR="003366D9" w:rsidRPr="009118AB">
        <w:rPr>
          <w:i/>
          <w:iCs/>
        </w:rPr>
        <w:t> -;</w:t>
      </w:r>
      <w:r w:rsidR="005A03F0" w:rsidRPr="009118AB">
        <w:rPr>
          <w:i/>
          <w:iCs/>
        </w:rPr>
        <w:t xml:space="preserve"> </w:t>
      </w:r>
      <w:r w:rsidR="00D67EB8" w:rsidRPr="009118AB">
        <w:rPr>
          <w:i/>
          <w:iCs/>
        </w:rPr>
        <w:t>§ </w:t>
      </w:r>
      <w:r w:rsidR="005A03F0" w:rsidRPr="009118AB">
        <w:rPr>
          <w:i/>
          <w:iCs/>
        </w:rPr>
        <w:t xml:space="preserve">1 </w:t>
      </w:r>
      <w:r w:rsidR="00D67EB8" w:rsidRPr="009118AB">
        <w:rPr>
          <w:i/>
          <w:iCs/>
        </w:rPr>
        <w:t>Abs. </w:t>
      </w:r>
      <w:r w:rsidRPr="009118AB">
        <w:rPr>
          <w:i/>
          <w:iCs/>
        </w:rPr>
        <w:t xml:space="preserve">1 ersetzt durch </w:t>
      </w:r>
      <w:r w:rsidR="00D67EB8" w:rsidRPr="009118AB">
        <w:rPr>
          <w:i/>
          <w:iCs/>
        </w:rPr>
        <w:t>Art. </w:t>
      </w:r>
      <w:r w:rsidRPr="009118AB">
        <w:rPr>
          <w:i/>
          <w:iCs/>
        </w:rPr>
        <w:t xml:space="preserve">119 </w:t>
      </w:r>
      <w:r w:rsidR="00D67EB8" w:rsidRPr="009118AB">
        <w:rPr>
          <w:i/>
          <w:iCs/>
        </w:rPr>
        <w:t>Nr. </w:t>
      </w:r>
      <w:r w:rsidRPr="009118AB">
        <w:rPr>
          <w:i/>
          <w:iCs/>
        </w:rPr>
        <w:t>1 des G. vom 27. Dezember 2005 (I) (B.S. vom 30. Dezember 2005)</w:t>
      </w:r>
      <w:r w:rsidR="00D67EB8" w:rsidRPr="009118AB">
        <w:rPr>
          <w:i/>
          <w:iCs/>
        </w:rPr>
        <w:t> - </w:t>
      </w:r>
      <w:r w:rsidRPr="009118AB">
        <w:rPr>
          <w:i/>
          <w:iCs/>
        </w:rPr>
        <w:t>anwendbar ab dem 1. Januar 2008</w:t>
      </w:r>
      <w:r w:rsidR="00D67EB8" w:rsidRPr="009118AB">
        <w:rPr>
          <w:i/>
          <w:iCs/>
        </w:rPr>
        <w:t> - </w:t>
      </w:r>
      <w:r w:rsidR="000E17D1" w:rsidRPr="009118AB">
        <w:rPr>
          <w:i/>
          <w:iCs/>
        </w:rPr>
        <w:t xml:space="preserve">und abgeändert durch </w:t>
      </w:r>
      <w:r w:rsidR="00D67EB8" w:rsidRPr="009118AB">
        <w:rPr>
          <w:i/>
          <w:iCs/>
        </w:rPr>
        <w:t>Art. </w:t>
      </w:r>
      <w:r w:rsidR="000E17D1" w:rsidRPr="009118AB">
        <w:rPr>
          <w:i/>
          <w:iCs/>
        </w:rPr>
        <w:t>2 des G. vom 19. Mai 2010 (B.S. vom 28. Mai 2010)</w:t>
      </w:r>
      <w:r w:rsidR="00D67EB8" w:rsidRPr="009118AB">
        <w:rPr>
          <w:i/>
          <w:iCs/>
        </w:rPr>
        <w:t> - </w:t>
      </w:r>
      <w:r w:rsidR="000E17D1" w:rsidRPr="009118AB">
        <w:rPr>
          <w:i/>
          <w:iCs/>
        </w:rPr>
        <w:t>in Kraft ab dem 28. Mai 2010</w:t>
      </w:r>
      <w:r w:rsidR="00FD68E8" w:rsidRPr="009118AB">
        <w:rPr>
          <w:i/>
          <w:iCs/>
        </w:rPr>
        <w:t> -,</w:t>
      </w:r>
      <w:r w:rsidR="003B7091" w:rsidRPr="009118AB">
        <w:rPr>
          <w:i/>
          <w:iCs/>
        </w:rPr>
        <w:t xml:space="preserve"> </w:t>
      </w:r>
      <w:r w:rsidR="00D67EB8" w:rsidRPr="009118AB">
        <w:rPr>
          <w:i/>
          <w:iCs/>
        </w:rPr>
        <w:t>Art. </w:t>
      </w:r>
      <w:r w:rsidR="003B7091" w:rsidRPr="009118AB">
        <w:rPr>
          <w:i/>
          <w:iCs/>
        </w:rPr>
        <w:t xml:space="preserve">40 </w:t>
      </w:r>
      <w:r w:rsidR="00D67EB8" w:rsidRPr="009118AB">
        <w:rPr>
          <w:i/>
          <w:iCs/>
        </w:rPr>
        <w:t>Nr. </w:t>
      </w:r>
      <w:r w:rsidR="003B7091" w:rsidRPr="009118AB">
        <w:rPr>
          <w:i/>
          <w:iCs/>
        </w:rPr>
        <w:t>1 des G. vom 13. Dezember 2012 (B.S. vom 20. Dezember 2012)</w:t>
      </w:r>
      <w:r w:rsidR="00D67EB8" w:rsidRPr="009118AB">
        <w:rPr>
          <w:i/>
          <w:iCs/>
        </w:rPr>
        <w:t> - </w:t>
      </w:r>
      <w:r w:rsidR="003B7091" w:rsidRPr="009118AB">
        <w:rPr>
          <w:i/>
          <w:iCs/>
        </w:rPr>
        <w:t>anwendbar auf Vorgänge, die ab dem 20. Dezember 2012 erfolgen</w:t>
      </w:r>
      <w:r w:rsidR="00D67EB8" w:rsidRPr="009118AB">
        <w:rPr>
          <w:i/>
          <w:iCs/>
        </w:rPr>
        <w:t> - </w:t>
      </w:r>
      <w:r w:rsidR="005F02C3" w:rsidRPr="009118AB">
        <w:rPr>
          <w:i/>
          <w:iCs/>
        </w:rPr>
        <w:t xml:space="preserve">und </w:t>
      </w:r>
      <w:r w:rsidR="00D67EB8" w:rsidRPr="009118AB">
        <w:rPr>
          <w:i/>
          <w:iCs/>
        </w:rPr>
        <w:t>Art. </w:t>
      </w:r>
      <w:r w:rsidR="005F02C3" w:rsidRPr="009118AB">
        <w:rPr>
          <w:i/>
          <w:iCs/>
        </w:rPr>
        <w:t xml:space="preserve">101 </w:t>
      </w:r>
      <w:r w:rsidR="00D67EB8" w:rsidRPr="009118AB">
        <w:rPr>
          <w:i/>
          <w:iCs/>
        </w:rPr>
        <w:t>Nr. </w:t>
      </w:r>
      <w:r w:rsidR="005F02C3" w:rsidRPr="009118AB">
        <w:rPr>
          <w:i/>
          <w:iCs/>
        </w:rPr>
        <w:t>1 des G. vom 25. Dezember 2017 (IV) (B.S. vom 29. Dezember 2017)</w:t>
      </w:r>
      <w:r w:rsidR="00D67EB8" w:rsidRPr="009118AB">
        <w:rPr>
          <w:i/>
          <w:iCs/>
        </w:rPr>
        <w:t> - </w:t>
      </w:r>
      <w:r w:rsidR="005F02C3" w:rsidRPr="009118AB">
        <w:rPr>
          <w:i/>
          <w:iCs/>
        </w:rPr>
        <w:t>anwendbar auf Einkünfte, die in Bezug auf Anteile an Organismen für gemeinsame Anlagen gezahlt oder zuerkannt werden, die ab dem 1. Januar 2018 erworben werden</w:t>
      </w:r>
      <w:r w:rsidR="003366D9" w:rsidRPr="009118AB">
        <w:rPr>
          <w:i/>
          <w:iCs/>
        </w:rPr>
        <w:t> -;</w:t>
      </w:r>
      <w:r w:rsidR="009B7952" w:rsidRPr="009118AB">
        <w:rPr>
          <w:i/>
          <w:iCs/>
        </w:rPr>
        <w:t xml:space="preserve"> </w:t>
      </w:r>
      <w:r w:rsidR="00D67EB8" w:rsidRPr="009118AB">
        <w:rPr>
          <w:i/>
          <w:iCs/>
        </w:rPr>
        <w:t>§ </w:t>
      </w:r>
      <w:r w:rsidR="005F02C3" w:rsidRPr="009118AB">
        <w:rPr>
          <w:i/>
          <w:iCs/>
        </w:rPr>
        <w:t xml:space="preserve">1 </w:t>
      </w:r>
      <w:r w:rsidR="00D67EB8" w:rsidRPr="009118AB">
        <w:rPr>
          <w:i/>
          <w:iCs/>
        </w:rPr>
        <w:t>Abs. </w:t>
      </w:r>
      <w:r w:rsidR="005F02C3" w:rsidRPr="009118AB">
        <w:rPr>
          <w:i/>
          <w:iCs/>
        </w:rPr>
        <w:t xml:space="preserve">2 abgeändert durch </w:t>
      </w:r>
      <w:r w:rsidR="00D67EB8" w:rsidRPr="009118AB">
        <w:rPr>
          <w:i/>
          <w:iCs/>
        </w:rPr>
        <w:t>Art. </w:t>
      </w:r>
      <w:r w:rsidR="005F02C3" w:rsidRPr="009118AB">
        <w:rPr>
          <w:i/>
          <w:iCs/>
        </w:rPr>
        <w:t xml:space="preserve">101 </w:t>
      </w:r>
      <w:r w:rsidR="00D67EB8" w:rsidRPr="009118AB">
        <w:rPr>
          <w:i/>
          <w:iCs/>
        </w:rPr>
        <w:t>Nr. </w:t>
      </w:r>
      <w:r w:rsidR="005F02C3" w:rsidRPr="009118AB">
        <w:rPr>
          <w:i/>
          <w:iCs/>
        </w:rPr>
        <w:t>2 des G. vom 25. Dezember 2017 (IV) (B.S. vom 29. Dezember 2017)</w:t>
      </w:r>
      <w:r w:rsidR="00D67EB8" w:rsidRPr="009118AB">
        <w:rPr>
          <w:i/>
          <w:iCs/>
        </w:rPr>
        <w:t> - </w:t>
      </w:r>
      <w:r w:rsidR="005F02C3" w:rsidRPr="009118AB">
        <w:rPr>
          <w:i/>
          <w:iCs/>
        </w:rPr>
        <w:t xml:space="preserve">anwendbar auf Einkünfte, die in Bezug auf Anteile an Organismen für gemeinsame Anlagen gezahlt oder zuerkannt werden, die ab dem 1. Januar 2018 erworben </w:t>
      </w:r>
      <w:r w:rsidR="005F02C3" w:rsidRPr="009118AB">
        <w:rPr>
          <w:i/>
          <w:iCs/>
        </w:rPr>
        <w:lastRenderedPageBreak/>
        <w:t>werden</w:t>
      </w:r>
      <w:r w:rsidR="003366D9" w:rsidRPr="009118AB">
        <w:rPr>
          <w:i/>
          <w:iCs/>
        </w:rPr>
        <w:t> -;</w:t>
      </w:r>
      <w:r w:rsidR="005F02C3" w:rsidRPr="009118AB">
        <w:rPr>
          <w:i/>
          <w:iCs/>
        </w:rPr>
        <w:t xml:space="preserve"> </w:t>
      </w:r>
      <w:r w:rsidR="00D67EB8" w:rsidRPr="009118AB">
        <w:rPr>
          <w:i/>
          <w:iCs/>
        </w:rPr>
        <w:t>§ </w:t>
      </w:r>
      <w:r w:rsidR="009B7952" w:rsidRPr="009118AB">
        <w:rPr>
          <w:i/>
          <w:iCs/>
        </w:rPr>
        <w:t xml:space="preserve">1 </w:t>
      </w:r>
      <w:r w:rsidR="00D67EB8" w:rsidRPr="009118AB">
        <w:rPr>
          <w:i/>
          <w:iCs/>
        </w:rPr>
        <w:t>Abs. </w:t>
      </w:r>
      <w:r w:rsidR="009B7952" w:rsidRPr="009118AB">
        <w:rPr>
          <w:i/>
          <w:iCs/>
        </w:rPr>
        <w:t xml:space="preserve">3 ersetzt durch </w:t>
      </w:r>
      <w:r w:rsidR="00D67EB8" w:rsidRPr="009118AB">
        <w:rPr>
          <w:i/>
          <w:iCs/>
        </w:rPr>
        <w:t>Art. </w:t>
      </w:r>
      <w:r w:rsidR="009B7952" w:rsidRPr="009118AB">
        <w:rPr>
          <w:i/>
          <w:iCs/>
        </w:rPr>
        <w:t xml:space="preserve">119 </w:t>
      </w:r>
      <w:r w:rsidR="00D67EB8" w:rsidRPr="009118AB">
        <w:rPr>
          <w:i/>
          <w:iCs/>
        </w:rPr>
        <w:t>Nr. </w:t>
      </w:r>
      <w:r w:rsidRPr="009118AB">
        <w:rPr>
          <w:i/>
          <w:iCs/>
        </w:rPr>
        <w:t>2 des G. vom 27. Dezember 2005 (I) (B.S. vom 30. Dezember 2005)</w:t>
      </w:r>
      <w:r w:rsidR="00D67EB8" w:rsidRPr="009118AB">
        <w:rPr>
          <w:i/>
          <w:iCs/>
        </w:rPr>
        <w:t> - </w:t>
      </w:r>
      <w:r w:rsidRPr="009118AB">
        <w:rPr>
          <w:i/>
          <w:iCs/>
        </w:rPr>
        <w:t>anwendbar ab dem 1. Januar 2008</w:t>
      </w:r>
      <w:r w:rsidR="003366D9" w:rsidRPr="009118AB">
        <w:rPr>
          <w:i/>
          <w:iCs/>
        </w:rPr>
        <w:t> -;</w:t>
      </w:r>
      <w:r w:rsidRPr="009118AB">
        <w:rPr>
          <w:i/>
          <w:iCs/>
        </w:rPr>
        <w:t xml:space="preserve"> </w:t>
      </w:r>
      <w:r w:rsidR="00D67EB8" w:rsidRPr="009118AB">
        <w:rPr>
          <w:i/>
          <w:iCs/>
        </w:rPr>
        <w:t>§ </w:t>
      </w:r>
      <w:r w:rsidR="009B7952" w:rsidRPr="009118AB">
        <w:rPr>
          <w:i/>
          <w:iCs/>
        </w:rPr>
        <w:t xml:space="preserve">1 </w:t>
      </w:r>
      <w:r w:rsidR="00D67EB8" w:rsidRPr="009118AB">
        <w:rPr>
          <w:i/>
          <w:iCs/>
        </w:rPr>
        <w:t>Abs. </w:t>
      </w:r>
      <w:r w:rsidR="009B7952" w:rsidRPr="009118AB">
        <w:rPr>
          <w:i/>
          <w:iCs/>
        </w:rPr>
        <w:t xml:space="preserve">4 ersetzt durch </w:t>
      </w:r>
      <w:r w:rsidR="00D67EB8" w:rsidRPr="009118AB">
        <w:rPr>
          <w:i/>
          <w:iCs/>
        </w:rPr>
        <w:t>Art. </w:t>
      </w:r>
      <w:r w:rsidR="009B7952" w:rsidRPr="009118AB">
        <w:rPr>
          <w:i/>
          <w:iCs/>
        </w:rPr>
        <w:t xml:space="preserve">119 </w:t>
      </w:r>
      <w:r w:rsidR="00D67EB8" w:rsidRPr="009118AB">
        <w:rPr>
          <w:i/>
          <w:iCs/>
        </w:rPr>
        <w:t>Nr. </w:t>
      </w:r>
      <w:r w:rsidRPr="009118AB">
        <w:rPr>
          <w:i/>
          <w:iCs/>
        </w:rPr>
        <w:t>3 des G. vom 27. Dezember 2005 (I) (B.S. vom 30. Dezember 2005)</w:t>
      </w:r>
      <w:r w:rsidR="00D67EB8" w:rsidRPr="009118AB">
        <w:rPr>
          <w:i/>
          <w:iCs/>
        </w:rPr>
        <w:t> - </w:t>
      </w:r>
      <w:r w:rsidRPr="009118AB">
        <w:rPr>
          <w:i/>
          <w:iCs/>
        </w:rPr>
        <w:t>anwendbar ab dem 1. Januar 2008</w:t>
      </w:r>
      <w:r w:rsidR="00D67EB8" w:rsidRPr="009118AB">
        <w:rPr>
          <w:i/>
          <w:iCs/>
        </w:rPr>
        <w:t> - </w:t>
      </w:r>
      <w:r w:rsidR="009B7952" w:rsidRPr="009118AB">
        <w:rPr>
          <w:i/>
          <w:iCs/>
        </w:rPr>
        <w:t xml:space="preserve">und abgeändert durch </w:t>
      </w:r>
      <w:r w:rsidR="00D67EB8" w:rsidRPr="009118AB">
        <w:rPr>
          <w:i/>
          <w:iCs/>
        </w:rPr>
        <w:t>Art. </w:t>
      </w:r>
      <w:r w:rsidR="009B7952" w:rsidRPr="009118AB">
        <w:rPr>
          <w:i/>
          <w:iCs/>
        </w:rPr>
        <w:t>15 </w:t>
      </w:r>
      <w:r w:rsidR="00D67EB8" w:rsidRPr="009118AB">
        <w:rPr>
          <w:i/>
          <w:iCs/>
        </w:rPr>
        <w:t>Nr. </w:t>
      </w:r>
      <w:r w:rsidR="006258A5" w:rsidRPr="009118AB">
        <w:rPr>
          <w:i/>
          <w:iCs/>
        </w:rPr>
        <w:t>1</w:t>
      </w:r>
      <w:r w:rsidR="006258A5" w:rsidRPr="009118AB">
        <w:rPr>
          <w:i/>
        </w:rPr>
        <w:t xml:space="preserve"> des G. vom 21. Dezember 2009 (B.S. vom 31. Dezember 2009)</w:t>
      </w:r>
      <w:r w:rsidR="00D67EB8" w:rsidRPr="009118AB">
        <w:rPr>
          <w:i/>
        </w:rPr>
        <w:t> - </w:t>
      </w:r>
      <w:r w:rsidR="006258A5" w:rsidRPr="009118AB">
        <w:rPr>
          <w:i/>
        </w:rPr>
        <w:t>in Kraft am 1. Januar 2010</w:t>
      </w:r>
      <w:r w:rsidR="00D67EB8" w:rsidRPr="009118AB">
        <w:rPr>
          <w:i/>
        </w:rPr>
        <w:t> - </w:t>
      </w:r>
      <w:r w:rsidR="005F02C3" w:rsidRPr="009118AB">
        <w:rPr>
          <w:i/>
        </w:rPr>
        <w:t xml:space="preserve">und </w:t>
      </w:r>
      <w:r w:rsidR="00D67EB8" w:rsidRPr="009118AB">
        <w:rPr>
          <w:i/>
        </w:rPr>
        <w:t>Art. </w:t>
      </w:r>
      <w:r w:rsidR="005F02C3" w:rsidRPr="009118AB">
        <w:rPr>
          <w:i/>
        </w:rPr>
        <w:t xml:space="preserve">101 </w:t>
      </w:r>
      <w:r w:rsidR="00D67EB8" w:rsidRPr="009118AB">
        <w:rPr>
          <w:i/>
        </w:rPr>
        <w:t>Nr. </w:t>
      </w:r>
      <w:r w:rsidR="005F02C3" w:rsidRPr="009118AB">
        <w:rPr>
          <w:i/>
        </w:rPr>
        <w:t>4</w:t>
      </w:r>
      <w:r w:rsidR="005F02C3" w:rsidRPr="009118AB">
        <w:rPr>
          <w:i/>
          <w:iCs/>
        </w:rPr>
        <w:t xml:space="preserve"> des G. vom 25. Dezember 2017 (IV) (B.S. vom 29. Dezember 2017)</w:t>
      </w:r>
      <w:r w:rsidR="00D67EB8" w:rsidRPr="009118AB">
        <w:rPr>
          <w:i/>
          <w:iCs/>
        </w:rPr>
        <w:t> - </w:t>
      </w:r>
      <w:r w:rsidR="005F02C3" w:rsidRPr="009118AB">
        <w:rPr>
          <w:i/>
          <w:iCs/>
        </w:rPr>
        <w:t>anwendbar auf Einkünfte, die in Bezug auf Anteile an Organismen für gemeinsame Anlagen gezahlt oder zuerkannt werden, die ab dem 1. Januar 2018 erworben werden</w:t>
      </w:r>
      <w:r w:rsidR="003366D9" w:rsidRPr="009118AB">
        <w:rPr>
          <w:i/>
          <w:iCs/>
        </w:rPr>
        <w:t> -;</w:t>
      </w:r>
      <w:r w:rsidRPr="009118AB">
        <w:rPr>
          <w:i/>
          <w:iCs/>
        </w:rPr>
        <w:t xml:space="preserve"> </w:t>
      </w:r>
      <w:r w:rsidR="00D67EB8" w:rsidRPr="009118AB">
        <w:rPr>
          <w:i/>
          <w:iCs/>
        </w:rPr>
        <w:t>§ </w:t>
      </w:r>
      <w:r w:rsidR="009B7952" w:rsidRPr="009118AB">
        <w:rPr>
          <w:i/>
          <w:iCs/>
        </w:rPr>
        <w:t xml:space="preserve">1 </w:t>
      </w:r>
      <w:r w:rsidR="00D67EB8" w:rsidRPr="009118AB">
        <w:rPr>
          <w:i/>
          <w:iCs/>
        </w:rPr>
        <w:t>Abs. </w:t>
      </w:r>
      <w:r w:rsidR="006258A5" w:rsidRPr="009118AB">
        <w:rPr>
          <w:i/>
          <w:iCs/>
        </w:rPr>
        <w:t>5</w:t>
      </w:r>
      <w:r w:rsidR="00C83EA3" w:rsidRPr="009118AB">
        <w:rPr>
          <w:i/>
          <w:iCs/>
        </w:rPr>
        <w:t xml:space="preserve"> </w:t>
      </w:r>
      <w:r w:rsidR="009B7952" w:rsidRPr="009118AB">
        <w:rPr>
          <w:i/>
          <w:iCs/>
        </w:rPr>
        <w:t xml:space="preserve">abgeändert durch </w:t>
      </w:r>
      <w:r w:rsidR="00D67EB8" w:rsidRPr="009118AB">
        <w:rPr>
          <w:i/>
          <w:iCs/>
        </w:rPr>
        <w:t>Art. </w:t>
      </w:r>
      <w:r w:rsidR="006258A5" w:rsidRPr="009118AB">
        <w:rPr>
          <w:i/>
          <w:iCs/>
        </w:rPr>
        <w:t xml:space="preserve">15 </w:t>
      </w:r>
      <w:r w:rsidR="00D67EB8" w:rsidRPr="009118AB">
        <w:rPr>
          <w:i/>
          <w:iCs/>
        </w:rPr>
        <w:t>Nr. </w:t>
      </w:r>
      <w:r w:rsidR="006258A5" w:rsidRPr="009118AB">
        <w:rPr>
          <w:i/>
          <w:iCs/>
        </w:rPr>
        <w:t>2</w:t>
      </w:r>
      <w:r w:rsidR="006258A5" w:rsidRPr="009118AB">
        <w:rPr>
          <w:i/>
        </w:rPr>
        <w:t xml:space="preserve"> des G. vom 21. Dezember 2009 (B.S. vom 31. Dezember 2009)</w:t>
      </w:r>
      <w:r w:rsidR="00D67EB8" w:rsidRPr="009118AB">
        <w:rPr>
          <w:i/>
        </w:rPr>
        <w:t> - </w:t>
      </w:r>
      <w:r w:rsidR="006258A5" w:rsidRPr="009118AB">
        <w:rPr>
          <w:i/>
        </w:rPr>
        <w:t>in Kraft am 1. Januar 2010</w:t>
      </w:r>
      <w:r w:rsidR="00FD68E8" w:rsidRPr="009118AB">
        <w:rPr>
          <w:i/>
        </w:rPr>
        <w:t> -,</w:t>
      </w:r>
      <w:r w:rsidR="003B7091" w:rsidRPr="009118AB">
        <w:rPr>
          <w:i/>
        </w:rPr>
        <w:t xml:space="preserve"> </w:t>
      </w:r>
      <w:r w:rsidR="00D67EB8" w:rsidRPr="009118AB">
        <w:rPr>
          <w:i/>
          <w:iCs/>
        </w:rPr>
        <w:t>Art. </w:t>
      </w:r>
      <w:r w:rsidR="003B7091" w:rsidRPr="009118AB">
        <w:rPr>
          <w:i/>
          <w:iCs/>
        </w:rPr>
        <w:t xml:space="preserve">40 </w:t>
      </w:r>
      <w:r w:rsidR="00D67EB8" w:rsidRPr="009118AB">
        <w:rPr>
          <w:i/>
          <w:iCs/>
        </w:rPr>
        <w:t>Nr. </w:t>
      </w:r>
      <w:r w:rsidR="003B7091" w:rsidRPr="009118AB">
        <w:rPr>
          <w:i/>
          <w:iCs/>
        </w:rPr>
        <w:t>2 des G. vom 13. Dezember 2012 (B.S. vom 20. Dezember 2012)</w:t>
      </w:r>
      <w:r w:rsidR="00D67EB8" w:rsidRPr="009118AB">
        <w:rPr>
          <w:i/>
          <w:iCs/>
        </w:rPr>
        <w:t> - </w:t>
      </w:r>
      <w:r w:rsidR="003B7091" w:rsidRPr="009118AB">
        <w:rPr>
          <w:i/>
          <w:iCs/>
        </w:rPr>
        <w:t>anwendbar auf Vorgänge, die ab dem 20. Dezember 2012 erfolgen</w:t>
      </w:r>
      <w:r w:rsidR="00D67EB8" w:rsidRPr="009118AB">
        <w:rPr>
          <w:i/>
          <w:iCs/>
        </w:rPr>
        <w:t> - </w:t>
      </w:r>
      <w:r w:rsidR="005F02C3" w:rsidRPr="009118AB">
        <w:rPr>
          <w:i/>
          <w:iCs/>
        </w:rPr>
        <w:t xml:space="preserve">und </w:t>
      </w:r>
      <w:r w:rsidR="00D67EB8" w:rsidRPr="009118AB">
        <w:rPr>
          <w:i/>
          <w:iCs/>
        </w:rPr>
        <w:t>Art. </w:t>
      </w:r>
      <w:r w:rsidR="005F02C3" w:rsidRPr="009118AB">
        <w:rPr>
          <w:i/>
          <w:iCs/>
        </w:rPr>
        <w:t xml:space="preserve">101 </w:t>
      </w:r>
      <w:r w:rsidR="00D67EB8" w:rsidRPr="009118AB">
        <w:rPr>
          <w:i/>
          <w:iCs/>
        </w:rPr>
        <w:t>Nr. </w:t>
      </w:r>
      <w:r w:rsidR="005F02C3" w:rsidRPr="009118AB">
        <w:rPr>
          <w:i/>
          <w:iCs/>
        </w:rPr>
        <w:t>5 des G. vom 25. Dezember 2017 (IV) (B.S. vom 29. Dezember 2017)</w:t>
      </w:r>
      <w:r w:rsidR="00D67EB8" w:rsidRPr="009118AB">
        <w:rPr>
          <w:i/>
          <w:iCs/>
        </w:rPr>
        <w:t> - </w:t>
      </w:r>
      <w:r w:rsidR="005F02C3" w:rsidRPr="009118AB">
        <w:rPr>
          <w:i/>
          <w:iCs/>
        </w:rPr>
        <w:t>anwendbar auf Einkünfte, die in Bezug auf Anteile an Organismen für gemeinsame Anlagen gezahlt oder zuerkannt werden, die ab dem 1. Januar 2018 erworben werden</w:t>
      </w:r>
      <w:r w:rsidR="003366D9" w:rsidRPr="009118AB">
        <w:rPr>
          <w:i/>
          <w:iCs/>
        </w:rPr>
        <w:t> -;</w:t>
      </w:r>
      <w:r w:rsidR="009B7952" w:rsidRPr="009118AB">
        <w:rPr>
          <w:i/>
          <w:iCs/>
        </w:rPr>
        <w:t xml:space="preserve"> </w:t>
      </w:r>
      <w:r w:rsidR="00D67EB8" w:rsidRPr="009118AB">
        <w:rPr>
          <w:i/>
          <w:iCs/>
        </w:rPr>
        <w:t>§ </w:t>
      </w:r>
      <w:r w:rsidR="006258A5" w:rsidRPr="009118AB">
        <w:rPr>
          <w:i/>
          <w:iCs/>
        </w:rPr>
        <w:t xml:space="preserve">1 </w:t>
      </w:r>
      <w:r w:rsidR="00652330" w:rsidRPr="009118AB">
        <w:rPr>
          <w:i/>
          <w:iCs/>
        </w:rPr>
        <w:t xml:space="preserve">früherer </w:t>
      </w:r>
      <w:r w:rsidR="006258A5" w:rsidRPr="009118AB">
        <w:rPr>
          <w:i/>
          <w:iCs/>
        </w:rPr>
        <w:t>Abs</w:t>
      </w:r>
      <w:r w:rsidR="00652330" w:rsidRPr="009118AB">
        <w:rPr>
          <w:i/>
          <w:iCs/>
        </w:rPr>
        <w:t>atz</w:t>
      </w:r>
      <w:r w:rsidR="006258A5" w:rsidRPr="009118AB">
        <w:rPr>
          <w:i/>
          <w:iCs/>
        </w:rPr>
        <w:t xml:space="preserve"> 6 </w:t>
      </w:r>
      <w:r w:rsidR="00652330" w:rsidRPr="009118AB">
        <w:rPr>
          <w:i/>
          <w:iCs/>
        </w:rPr>
        <w:t xml:space="preserve">aufgehoben durch </w:t>
      </w:r>
      <w:r w:rsidR="00D67EB8" w:rsidRPr="009118AB">
        <w:rPr>
          <w:i/>
          <w:iCs/>
        </w:rPr>
        <w:t>Art. </w:t>
      </w:r>
      <w:r w:rsidR="00652330" w:rsidRPr="009118AB">
        <w:rPr>
          <w:i/>
          <w:iCs/>
        </w:rPr>
        <w:t xml:space="preserve">52 </w:t>
      </w:r>
      <w:r w:rsidR="00D67EB8" w:rsidRPr="009118AB">
        <w:rPr>
          <w:i/>
          <w:iCs/>
        </w:rPr>
        <w:t>Nr. </w:t>
      </w:r>
      <w:r w:rsidR="00652330" w:rsidRPr="009118AB">
        <w:rPr>
          <w:i/>
          <w:iCs/>
        </w:rPr>
        <w:t>1</w:t>
      </w:r>
      <w:r w:rsidR="00652330" w:rsidRPr="009118AB">
        <w:rPr>
          <w:i/>
        </w:rPr>
        <w:t xml:space="preserve"> des G. vom 30. Juli 2013 (B.S. vom 1. August 2013)</w:t>
      </w:r>
      <w:r w:rsidR="00D67EB8" w:rsidRPr="009118AB">
        <w:rPr>
          <w:i/>
        </w:rPr>
        <w:t> - </w:t>
      </w:r>
      <w:r w:rsidR="00652330" w:rsidRPr="009118AB">
        <w:rPr>
          <w:i/>
        </w:rPr>
        <w:t>wirksam mit 1. Juli 2013</w:t>
      </w:r>
      <w:r w:rsidR="003366D9" w:rsidRPr="009118AB">
        <w:rPr>
          <w:i/>
        </w:rPr>
        <w:t> -;</w:t>
      </w:r>
      <w:r w:rsidR="006258A5" w:rsidRPr="009118AB">
        <w:rPr>
          <w:i/>
          <w:iCs/>
        </w:rPr>
        <w:t xml:space="preserve"> </w:t>
      </w:r>
      <w:r w:rsidR="00D67EB8" w:rsidRPr="009118AB">
        <w:rPr>
          <w:i/>
          <w:iCs/>
        </w:rPr>
        <w:t>§ </w:t>
      </w:r>
      <w:r w:rsidR="006863F6" w:rsidRPr="009118AB">
        <w:rPr>
          <w:i/>
          <w:iCs/>
        </w:rPr>
        <w:t xml:space="preserve">1 </w:t>
      </w:r>
      <w:r w:rsidR="00D4027C" w:rsidRPr="009118AB">
        <w:rPr>
          <w:i/>
          <w:iCs/>
        </w:rPr>
        <w:t xml:space="preserve">neuer </w:t>
      </w:r>
      <w:r w:rsidR="006863F6" w:rsidRPr="009118AB">
        <w:rPr>
          <w:i/>
          <w:iCs/>
        </w:rPr>
        <w:t>Abs</w:t>
      </w:r>
      <w:r w:rsidR="00D4027C" w:rsidRPr="009118AB">
        <w:rPr>
          <w:i/>
          <w:iCs/>
        </w:rPr>
        <w:t>atz</w:t>
      </w:r>
      <w:r w:rsidR="006863F6" w:rsidRPr="009118AB">
        <w:rPr>
          <w:i/>
          <w:iCs/>
        </w:rPr>
        <w:t> </w:t>
      </w:r>
      <w:r w:rsidR="00D4027C" w:rsidRPr="009118AB">
        <w:rPr>
          <w:i/>
          <w:iCs/>
        </w:rPr>
        <w:t>6</w:t>
      </w:r>
      <w:r w:rsidR="006863F6" w:rsidRPr="009118AB">
        <w:rPr>
          <w:i/>
          <w:iCs/>
        </w:rPr>
        <w:t xml:space="preserve"> abgeändert durch </w:t>
      </w:r>
      <w:r w:rsidR="00D67EB8" w:rsidRPr="009118AB">
        <w:rPr>
          <w:i/>
          <w:iCs/>
        </w:rPr>
        <w:t>Art. </w:t>
      </w:r>
      <w:r w:rsidR="006863F6" w:rsidRPr="009118AB">
        <w:rPr>
          <w:i/>
          <w:iCs/>
        </w:rPr>
        <w:t xml:space="preserve">40 </w:t>
      </w:r>
      <w:r w:rsidR="00D67EB8" w:rsidRPr="009118AB">
        <w:rPr>
          <w:i/>
          <w:iCs/>
        </w:rPr>
        <w:t>Nr. </w:t>
      </w:r>
      <w:r w:rsidR="006863F6" w:rsidRPr="009118AB">
        <w:rPr>
          <w:i/>
          <w:iCs/>
        </w:rPr>
        <w:t>4 des G. vom 13. Dezember 2012 (B.S. vom 20. Dezember 2012)</w:t>
      </w:r>
      <w:r w:rsidR="00D67EB8" w:rsidRPr="009118AB">
        <w:rPr>
          <w:i/>
          <w:iCs/>
        </w:rPr>
        <w:t> - </w:t>
      </w:r>
      <w:r w:rsidR="006863F6" w:rsidRPr="009118AB">
        <w:rPr>
          <w:i/>
          <w:iCs/>
        </w:rPr>
        <w:t>anwendbar auf Vorgänge, die ab dem 20. Dezember 2012 erfolgen</w:t>
      </w:r>
      <w:r w:rsidR="00D67EB8" w:rsidRPr="009118AB">
        <w:rPr>
          <w:i/>
          <w:iCs/>
        </w:rPr>
        <w:t> - </w:t>
      </w:r>
      <w:r w:rsidR="005F02C3" w:rsidRPr="009118AB">
        <w:rPr>
          <w:i/>
          <w:iCs/>
        </w:rPr>
        <w:t xml:space="preserve">und </w:t>
      </w:r>
      <w:r w:rsidR="00D67EB8" w:rsidRPr="009118AB">
        <w:rPr>
          <w:i/>
          <w:iCs/>
        </w:rPr>
        <w:t>Art. </w:t>
      </w:r>
      <w:r w:rsidR="005F02C3" w:rsidRPr="009118AB">
        <w:rPr>
          <w:i/>
          <w:iCs/>
        </w:rPr>
        <w:t xml:space="preserve">101 </w:t>
      </w:r>
      <w:r w:rsidR="00D67EB8" w:rsidRPr="009118AB">
        <w:rPr>
          <w:i/>
          <w:iCs/>
        </w:rPr>
        <w:t>Nr. </w:t>
      </w:r>
      <w:r w:rsidR="005F02C3" w:rsidRPr="009118AB">
        <w:rPr>
          <w:i/>
          <w:iCs/>
        </w:rPr>
        <w:t>6 des G. vom 25. Dezember 2017 (IV) (B.S. vom 29. Dezember 2017)</w:t>
      </w:r>
      <w:r w:rsidR="00D67EB8" w:rsidRPr="009118AB">
        <w:rPr>
          <w:i/>
          <w:iCs/>
        </w:rPr>
        <w:t> - </w:t>
      </w:r>
      <w:r w:rsidR="005F02C3" w:rsidRPr="009118AB">
        <w:rPr>
          <w:i/>
          <w:iCs/>
        </w:rPr>
        <w:t>anwendbar auf Einkünfte, die in Bezug auf Anteile an Organismen für gemeinsame Anlagen gezahlt oder zuerkannt werden, die ab dem 1. Januar 2018 erworben werden</w:t>
      </w:r>
      <w:r w:rsidR="003366D9" w:rsidRPr="009118AB">
        <w:rPr>
          <w:i/>
          <w:iCs/>
        </w:rPr>
        <w:t> -;</w:t>
      </w:r>
      <w:r w:rsidR="006863F6" w:rsidRPr="009118AB">
        <w:rPr>
          <w:i/>
          <w:iCs/>
        </w:rPr>
        <w:t xml:space="preserve"> </w:t>
      </w:r>
      <w:r w:rsidR="00D67EB8" w:rsidRPr="009118AB">
        <w:rPr>
          <w:i/>
          <w:iCs/>
        </w:rPr>
        <w:t>§ </w:t>
      </w:r>
      <w:r w:rsidR="006863F6" w:rsidRPr="009118AB">
        <w:rPr>
          <w:i/>
          <w:iCs/>
        </w:rPr>
        <w:t xml:space="preserve">1 </w:t>
      </w:r>
      <w:r w:rsidR="00D67EB8" w:rsidRPr="009118AB">
        <w:rPr>
          <w:i/>
          <w:iCs/>
        </w:rPr>
        <w:t>Abs. </w:t>
      </w:r>
      <w:r w:rsidR="00D4027C" w:rsidRPr="009118AB">
        <w:rPr>
          <w:i/>
          <w:iCs/>
        </w:rPr>
        <w:t>7</w:t>
      </w:r>
      <w:r w:rsidR="006863F6" w:rsidRPr="009118AB">
        <w:rPr>
          <w:i/>
          <w:iCs/>
        </w:rPr>
        <w:t xml:space="preserve"> abgeändert durch </w:t>
      </w:r>
      <w:r w:rsidR="00D67EB8" w:rsidRPr="009118AB">
        <w:rPr>
          <w:i/>
          <w:iCs/>
        </w:rPr>
        <w:t>Art. </w:t>
      </w:r>
      <w:r w:rsidR="006863F6" w:rsidRPr="009118AB">
        <w:rPr>
          <w:i/>
          <w:iCs/>
        </w:rPr>
        <w:t xml:space="preserve">40 </w:t>
      </w:r>
      <w:r w:rsidR="00D67EB8" w:rsidRPr="009118AB">
        <w:rPr>
          <w:i/>
          <w:iCs/>
        </w:rPr>
        <w:t>Nr. </w:t>
      </w:r>
      <w:r w:rsidR="006863F6" w:rsidRPr="009118AB">
        <w:rPr>
          <w:i/>
          <w:iCs/>
        </w:rPr>
        <w:t>5 des G. vom 13. Dezember 2012 (B.S. vom 20. Dezember 2012)</w:t>
      </w:r>
      <w:r w:rsidR="00D67EB8" w:rsidRPr="009118AB">
        <w:rPr>
          <w:i/>
          <w:iCs/>
        </w:rPr>
        <w:t> - </w:t>
      </w:r>
      <w:r w:rsidR="006863F6" w:rsidRPr="009118AB">
        <w:rPr>
          <w:i/>
          <w:iCs/>
        </w:rPr>
        <w:t>anwendbar auf Vorgänge, die ab dem 20. Dezember 2012 erfolgen</w:t>
      </w:r>
      <w:r w:rsidR="00D67EB8" w:rsidRPr="009118AB">
        <w:rPr>
          <w:i/>
          <w:iCs/>
        </w:rPr>
        <w:t> - </w:t>
      </w:r>
      <w:r w:rsidR="005F02C3" w:rsidRPr="009118AB">
        <w:rPr>
          <w:i/>
          <w:iCs/>
        </w:rPr>
        <w:t xml:space="preserve">und </w:t>
      </w:r>
      <w:r w:rsidR="00D67EB8" w:rsidRPr="009118AB">
        <w:rPr>
          <w:i/>
          <w:iCs/>
        </w:rPr>
        <w:t>Art. </w:t>
      </w:r>
      <w:r w:rsidR="005F02C3" w:rsidRPr="009118AB">
        <w:rPr>
          <w:i/>
          <w:iCs/>
        </w:rPr>
        <w:t xml:space="preserve">101 </w:t>
      </w:r>
      <w:r w:rsidR="00D67EB8" w:rsidRPr="009118AB">
        <w:rPr>
          <w:i/>
          <w:iCs/>
        </w:rPr>
        <w:t>Nr. </w:t>
      </w:r>
      <w:r w:rsidR="005F02C3" w:rsidRPr="009118AB">
        <w:rPr>
          <w:i/>
          <w:iCs/>
        </w:rPr>
        <w:t>7 des G. vom 25. Dezember 2017 (IV) (B.S. vom 29. Dezember 2017)</w:t>
      </w:r>
      <w:r w:rsidR="00D67EB8" w:rsidRPr="009118AB">
        <w:rPr>
          <w:i/>
          <w:iCs/>
        </w:rPr>
        <w:t> - </w:t>
      </w:r>
      <w:r w:rsidR="005F02C3" w:rsidRPr="009118AB">
        <w:rPr>
          <w:i/>
          <w:iCs/>
        </w:rPr>
        <w:t>anwendbar auf Einkünfte, die in Bezug auf Anteile an Organismen für gemeinsame Anlagen gezahlt oder zuerkannt werden, die ab dem 1. Januar 2018 erworben werden</w:t>
      </w:r>
      <w:r w:rsidR="003366D9" w:rsidRPr="009118AB">
        <w:rPr>
          <w:i/>
          <w:iCs/>
        </w:rPr>
        <w:t> -;</w:t>
      </w:r>
      <w:r w:rsidR="006863F6" w:rsidRPr="009118AB">
        <w:rPr>
          <w:i/>
          <w:iCs/>
        </w:rPr>
        <w:t xml:space="preserve"> </w:t>
      </w:r>
      <w:r w:rsidR="00D67EB8" w:rsidRPr="009118AB">
        <w:rPr>
          <w:i/>
          <w:iCs/>
        </w:rPr>
        <w:t>§ </w:t>
      </w:r>
      <w:r w:rsidRPr="009118AB">
        <w:rPr>
          <w:i/>
          <w:iCs/>
        </w:rPr>
        <w:t xml:space="preserve">2 ersetzt durch </w:t>
      </w:r>
      <w:r w:rsidR="00D67EB8" w:rsidRPr="009118AB">
        <w:rPr>
          <w:i/>
          <w:iCs/>
        </w:rPr>
        <w:t>Art. </w:t>
      </w:r>
      <w:r w:rsidRPr="009118AB">
        <w:rPr>
          <w:i/>
          <w:iCs/>
        </w:rPr>
        <w:t>117 des G. vom 27. Dezember 2005 (I) (B.S. vom 30. Dezember 2005)</w:t>
      </w:r>
      <w:r w:rsidR="00D67EB8" w:rsidRPr="009118AB">
        <w:rPr>
          <w:i/>
          <w:iCs/>
        </w:rPr>
        <w:t> - </w:t>
      </w:r>
      <w:r w:rsidRPr="009118AB">
        <w:rPr>
          <w:i/>
          <w:iCs/>
        </w:rPr>
        <w:t>in Kraft ab dem 1. Juli 2006</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ersetzt durch </w:t>
      </w:r>
      <w:r w:rsidR="00D67EB8" w:rsidRPr="009118AB">
        <w:rPr>
          <w:i/>
          <w:iCs/>
        </w:rPr>
        <w:t>Art. </w:t>
      </w:r>
      <w:r w:rsidR="009B7952" w:rsidRPr="009118AB">
        <w:rPr>
          <w:i/>
          <w:iCs/>
        </w:rPr>
        <w:t xml:space="preserve">119 </w:t>
      </w:r>
      <w:r w:rsidR="00D67EB8" w:rsidRPr="009118AB">
        <w:rPr>
          <w:i/>
          <w:iCs/>
        </w:rPr>
        <w:t>Nr. </w:t>
      </w:r>
      <w:r w:rsidRPr="009118AB">
        <w:rPr>
          <w:i/>
          <w:iCs/>
        </w:rPr>
        <w:t>4 des G. vom 27. Dezember 2005 (I) (B.S. vom 30. Dezember 2005)</w:t>
      </w:r>
      <w:r w:rsidR="00D67EB8" w:rsidRPr="009118AB">
        <w:rPr>
          <w:i/>
          <w:iCs/>
        </w:rPr>
        <w:t> - </w:t>
      </w:r>
      <w:r w:rsidRPr="009118AB">
        <w:rPr>
          <w:i/>
          <w:iCs/>
        </w:rPr>
        <w:t>anwendbar ab dem 1. Januar 2008</w:t>
      </w:r>
      <w:r w:rsidR="00D67EB8" w:rsidRPr="009118AB">
        <w:rPr>
          <w:i/>
          <w:iCs/>
        </w:rPr>
        <w:t> - </w:t>
      </w:r>
      <w:r w:rsidR="006258A5" w:rsidRPr="009118AB">
        <w:rPr>
          <w:i/>
          <w:iCs/>
        </w:rPr>
        <w:t xml:space="preserve">und abgeändert durch </w:t>
      </w:r>
      <w:r w:rsidR="00D67EB8" w:rsidRPr="009118AB">
        <w:rPr>
          <w:i/>
          <w:iCs/>
        </w:rPr>
        <w:t>Art. </w:t>
      </w:r>
      <w:r w:rsidR="006258A5" w:rsidRPr="009118AB">
        <w:rPr>
          <w:i/>
          <w:iCs/>
        </w:rPr>
        <w:t xml:space="preserve">15 </w:t>
      </w:r>
      <w:r w:rsidR="00D67EB8" w:rsidRPr="009118AB">
        <w:rPr>
          <w:i/>
          <w:iCs/>
        </w:rPr>
        <w:t>Nr. </w:t>
      </w:r>
      <w:r w:rsidR="006258A5" w:rsidRPr="009118AB">
        <w:rPr>
          <w:i/>
          <w:iCs/>
        </w:rPr>
        <w:t>4</w:t>
      </w:r>
      <w:r w:rsidR="006258A5" w:rsidRPr="009118AB">
        <w:rPr>
          <w:i/>
        </w:rPr>
        <w:t xml:space="preserve"> des G. vom 21. Dezember 2009 (B.S. vom 31. Dezember 2009)</w:t>
      </w:r>
      <w:r w:rsidR="00D67EB8" w:rsidRPr="009118AB">
        <w:rPr>
          <w:i/>
        </w:rPr>
        <w:t> - </w:t>
      </w:r>
      <w:r w:rsidR="006258A5" w:rsidRPr="009118AB">
        <w:rPr>
          <w:i/>
        </w:rPr>
        <w:t>in Kraft am 1. Januar 2010</w:t>
      </w:r>
      <w:r w:rsidR="00D67EB8" w:rsidRPr="009118AB">
        <w:rPr>
          <w:i/>
        </w:rPr>
        <w:t> - </w:t>
      </w:r>
      <w:r w:rsidR="005F02C3" w:rsidRPr="009118AB">
        <w:rPr>
          <w:i/>
        </w:rPr>
        <w:t xml:space="preserve">und </w:t>
      </w:r>
      <w:r w:rsidR="00D67EB8" w:rsidRPr="009118AB">
        <w:rPr>
          <w:i/>
        </w:rPr>
        <w:t>Art. </w:t>
      </w:r>
      <w:r w:rsidR="005F02C3" w:rsidRPr="009118AB">
        <w:rPr>
          <w:i/>
        </w:rPr>
        <w:t xml:space="preserve">101 </w:t>
      </w:r>
      <w:r w:rsidR="00D67EB8" w:rsidRPr="009118AB">
        <w:rPr>
          <w:i/>
        </w:rPr>
        <w:t>Nr. </w:t>
      </w:r>
      <w:r w:rsidR="005F02C3" w:rsidRPr="009118AB">
        <w:rPr>
          <w:i/>
        </w:rPr>
        <w:t>8</w:t>
      </w:r>
      <w:r w:rsidR="005F02C3" w:rsidRPr="009118AB">
        <w:rPr>
          <w:i/>
          <w:iCs/>
        </w:rPr>
        <w:t xml:space="preserve"> des G. vom 25. Dezember 2017 (IV) (B.S. vom 29. Dezember 2017)</w:t>
      </w:r>
      <w:r w:rsidR="00D67EB8" w:rsidRPr="009118AB">
        <w:rPr>
          <w:i/>
          <w:iCs/>
        </w:rPr>
        <w:t> - </w:t>
      </w:r>
      <w:r w:rsidR="005F02C3" w:rsidRPr="009118AB">
        <w:rPr>
          <w:i/>
          <w:iCs/>
        </w:rPr>
        <w:t>anwendbar auf Einkünfte, die in Bezug auf Anteile an Organismen für gemeinsame Anlagen gezahlt oder zuerkannt werden, die ab dem 1. Januar 2018 erworben werden</w:t>
      </w:r>
      <w:r w:rsidR="003366D9" w:rsidRPr="009118AB">
        <w:rPr>
          <w:i/>
          <w:iCs/>
        </w:rPr>
        <w:t> -;</w:t>
      </w:r>
      <w:r w:rsidR="006863F6" w:rsidRPr="009118AB">
        <w:rPr>
          <w:i/>
        </w:rPr>
        <w:t xml:space="preserve"> </w:t>
      </w:r>
      <w:r w:rsidR="00D67EB8" w:rsidRPr="009118AB">
        <w:rPr>
          <w:i/>
        </w:rPr>
        <w:t>§ </w:t>
      </w:r>
      <w:r w:rsidR="006863F6" w:rsidRPr="009118AB">
        <w:rPr>
          <w:i/>
        </w:rPr>
        <w:t xml:space="preserve">2 </w:t>
      </w:r>
      <w:r w:rsidR="00D67EB8" w:rsidRPr="009118AB">
        <w:rPr>
          <w:i/>
        </w:rPr>
        <w:t>Abs. </w:t>
      </w:r>
      <w:r w:rsidR="006863F6" w:rsidRPr="009118AB">
        <w:rPr>
          <w:i/>
        </w:rPr>
        <w:t>3 eingefügt durch</w:t>
      </w:r>
      <w:r w:rsidR="006863F6" w:rsidRPr="009118AB">
        <w:rPr>
          <w:i/>
          <w:iCs/>
        </w:rPr>
        <w:t xml:space="preserve"> </w:t>
      </w:r>
      <w:r w:rsidR="00D67EB8" w:rsidRPr="009118AB">
        <w:rPr>
          <w:i/>
          <w:iCs/>
        </w:rPr>
        <w:t>Art. </w:t>
      </w:r>
      <w:r w:rsidR="006863F6" w:rsidRPr="009118AB">
        <w:rPr>
          <w:i/>
          <w:iCs/>
        </w:rPr>
        <w:t xml:space="preserve">40 </w:t>
      </w:r>
      <w:r w:rsidR="00D67EB8" w:rsidRPr="009118AB">
        <w:rPr>
          <w:i/>
          <w:iCs/>
        </w:rPr>
        <w:t>Nr. </w:t>
      </w:r>
      <w:r w:rsidR="006863F6" w:rsidRPr="009118AB">
        <w:rPr>
          <w:i/>
          <w:iCs/>
        </w:rPr>
        <w:t>6 des G. vom 13. Dezember 2012 (B.S. vom 20. Dezember 2012)</w:t>
      </w:r>
      <w:r w:rsidR="00D67EB8" w:rsidRPr="009118AB">
        <w:rPr>
          <w:i/>
          <w:iCs/>
        </w:rPr>
        <w:t> - </w:t>
      </w:r>
      <w:r w:rsidR="006863F6" w:rsidRPr="009118AB">
        <w:rPr>
          <w:i/>
          <w:iCs/>
        </w:rPr>
        <w:t>anwendbar auf Vorgänge, die ab dem 20. Dezember 2012 erfolgen</w:t>
      </w:r>
      <w:r w:rsidR="003366D9" w:rsidRPr="009118AB">
        <w:rPr>
          <w:i/>
          <w:iCs/>
        </w:rPr>
        <w:t> -;</w:t>
      </w:r>
      <w:r w:rsidR="00106290" w:rsidRPr="009118AB">
        <w:rPr>
          <w:i/>
          <w:iCs/>
        </w:rPr>
        <w:t xml:space="preserve"> </w:t>
      </w:r>
      <w:r w:rsidR="00D67EB8" w:rsidRPr="009118AB">
        <w:rPr>
          <w:i/>
          <w:iCs/>
        </w:rPr>
        <w:t>§ </w:t>
      </w:r>
      <w:r w:rsidR="00106290" w:rsidRPr="009118AB">
        <w:rPr>
          <w:i/>
          <w:iCs/>
        </w:rPr>
        <w:t xml:space="preserve">3 eingefügt durch </w:t>
      </w:r>
      <w:r w:rsidR="00D67EB8" w:rsidRPr="009118AB">
        <w:rPr>
          <w:i/>
          <w:iCs/>
        </w:rPr>
        <w:t>Art. </w:t>
      </w:r>
      <w:r w:rsidR="00106290" w:rsidRPr="009118AB">
        <w:rPr>
          <w:i/>
          <w:iCs/>
        </w:rPr>
        <w:t xml:space="preserve">52 </w:t>
      </w:r>
      <w:r w:rsidR="00D67EB8" w:rsidRPr="009118AB">
        <w:rPr>
          <w:i/>
          <w:iCs/>
        </w:rPr>
        <w:t>Nr. </w:t>
      </w:r>
      <w:r w:rsidR="00106290" w:rsidRPr="009118AB">
        <w:rPr>
          <w:i/>
          <w:iCs/>
        </w:rPr>
        <w:t>2 des G. vom 30. Juli 2013 (B.S. vom 1. August 2013)</w:t>
      </w:r>
      <w:r w:rsidR="00D67EB8" w:rsidRPr="009118AB">
        <w:rPr>
          <w:i/>
          <w:iCs/>
        </w:rPr>
        <w:t> - </w:t>
      </w:r>
      <w:r w:rsidR="00106290" w:rsidRPr="009118AB">
        <w:rPr>
          <w:i/>
          <w:iCs/>
        </w:rPr>
        <w:t>wirksam mit 1. Juli 2013</w:t>
      </w:r>
      <w:r w:rsidR="003366D9" w:rsidRPr="009118AB">
        <w:rPr>
          <w:i/>
          <w:iCs/>
        </w:rPr>
        <w:t> -;</w:t>
      </w:r>
      <w:r w:rsidR="005F02C3" w:rsidRPr="009118AB">
        <w:rPr>
          <w:i/>
          <w:iCs/>
        </w:rPr>
        <w:t xml:space="preserve"> </w:t>
      </w:r>
      <w:r w:rsidR="00D67EB8" w:rsidRPr="009118AB">
        <w:rPr>
          <w:i/>
          <w:iCs/>
        </w:rPr>
        <w:t>§ </w:t>
      </w:r>
      <w:r w:rsidR="005F02C3" w:rsidRPr="009118AB">
        <w:rPr>
          <w:i/>
          <w:iCs/>
        </w:rPr>
        <w:t xml:space="preserve">3 </w:t>
      </w:r>
      <w:r w:rsidR="00D67EB8" w:rsidRPr="009118AB">
        <w:rPr>
          <w:i/>
          <w:iCs/>
        </w:rPr>
        <w:t>Abs. </w:t>
      </w:r>
      <w:r w:rsidR="005F02C3" w:rsidRPr="009118AB">
        <w:rPr>
          <w:i/>
          <w:iCs/>
        </w:rPr>
        <w:t xml:space="preserve">1 abgeändert durch </w:t>
      </w:r>
      <w:r w:rsidR="00D67EB8" w:rsidRPr="009118AB">
        <w:rPr>
          <w:i/>
          <w:iCs/>
        </w:rPr>
        <w:t>Art. </w:t>
      </w:r>
      <w:r w:rsidR="005F02C3" w:rsidRPr="009118AB">
        <w:rPr>
          <w:i/>
          <w:iCs/>
        </w:rPr>
        <w:t xml:space="preserve">101 </w:t>
      </w:r>
      <w:r w:rsidR="00D67EB8" w:rsidRPr="009118AB">
        <w:rPr>
          <w:i/>
          <w:iCs/>
        </w:rPr>
        <w:t>Nr. </w:t>
      </w:r>
      <w:r w:rsidR="005F02C3" w:rsidRPr="009118AB">
        <w:rPr>
          <w:i/>
          <w:iCs/>
        </w:rPr>
        <w:t>9 des G. vom 25. Dezember 2017 (IV) (B.S. vom 29. Dezember 2017)</w:t>
      </w:r>
      <w:r w:rsidR="00D67EB8" w:rsidRPr="009118AB">
        <w:rPr>
          <w:i/>
          <w:iCs/>
        </w:rPr>
        <w:t> - </w:t>
      </w:r>
      <w:r w:rsidR="005F02C3" w:rsidRPr="009118AB">
        <w:rPr>
          <w:i/>
          <w:iCs/>
        </w:rPr>
        <w:t>anwendbar auf Einkünfte, die in Bezug auf Anteile an Organismen für gemeinsame Anlagen gezahlt oder zuerkannt werden, die ab dem 1. Januar 2018 erworben werden</w:t>
      </w:r>
      <w:r w:rsidR="003366D9" w:rsidRPr="009118AB">
        <w:rPr>
          <w:i/>
          <w:iCs/>
        </w:rPr>
        <w:t> -;</w:t>
      </w:r>
      <w:r w:rsidR="005F02C3" w:rsidRPr="009118AB">
        <w:rPr>
          <w:i/>
          <w:iCs/>
        </w:rPr>
        <w:t xml:space="preserve"> </w:t>
      </w:r>
      <w:r w:rsidR="00D67EB8" w:rsidRPr="009118AB">
        <w:rPr>
          <w:i/>
          <w:iCs/>
        </w:rPr>
        <w:t>§ </w:t>
      </w:r>
      <w:r w:rsidR="005F02C3" w:rsidRPr="009118AB">
        <w:rPr>
          <w:i/>
          <w:iCs/>
        </w:rPr>
        <w:t xml:space="preserve">3 </w:t>
      </w:r>
      <w:r w:rsidR="00D67EB8" w:rsidRPr="009118AB">
        <w:rPr>
          <w:i/>
          <w:iCs/>
        </w:rPr>
        <w:t>Abs. </w:t>
      </w:r>
      <w:r w:rsidR="005F02C3" w:rsidRPr="009118AB">
        <w:rPr>
          <w:i/>
          <w:iCs/>
        </w:rPr>
        <w:t xml:space="preserve">2 abgeändert durch </w:t>
      </w:r>
      <w:r w:rsidR="00D67EB8" w:rsidRPr="009118AB">
        <w:rPr>
          <w:i/>
          <w:iCs/>
        </w:rPr>
        <w:t>Art. </w:t>
      </w:r>
      <w:r w:rsidR="005F02C3" w:rsidRPr="009118AB">
        <w:rPr>
          <w:i/>
          <w:iCs/>
        </w:rPr>
        <w:t xml:space="preserve">101 </w:t>
      </w:r>
      <w:r w:rsidR="00D67EB8" w:rsidRPr="009118AB">
        <w:rPr>
          <w:i/>
          <w:iCs/>
        </w:rPr>
        <w:t>Nr. </w:t>
      </w:r>
      <w:r w:rsidR="005F02C3" w:rsidRPr="009118AB">
        <w:rPr>
          <w:i/>
          <w:iCs/>
        </w:rPr>
        <w:t>10 des G. vom 25. Dezember 2017 (IV) (B.S. vom 29. Dezember 2017)</w:t>
      </w:r>
      <w:r w:rsidR="00D67EB8" w:rsidRPr="009118AB">
        <w:rPr>
          <w:i/>
          <w:iCs/>
        </w:rPr>
        <w:t> - </w:t>
      </w:r>
      <w:r w:rsidR="005F02C3" w:rsidRPr="009118AB">
        <w:rPr>
          <w:i/>
          <w:iCs/>
        </w:rPr>
        <w:t>anwendbar auf Einkünfte, die in Bezug auf Anteile an Organismen für gemeinsame Anlagen gezahlt oder zuerkannt werden, die ab dem 1. Januar 2018 erworben werden</w:t>
      </w:r>
      <w:r w:rsidR="00FD68E8" w:rsidRPr="009118AB">
        <w:rPr>
          <w:i/>
          <w:iCs/>
        </w:rPr>
        <w:t> -]</w:t>
      </w:r>
    </w:p>
    <w:p w14:paraId="400260B9" w14:textId="77777777" w:rsidR="009C3A3F" w:rsidRPr="009118AB" w:rsidRDefault="009C3A3F" w:rsidP="00477B8F">
      <w:pPr>
        <w:autoSpaceDE w:val="0"/>
        <w:autoSpaceDN w:val="0"/>
        <w:adjustRightInd w:val="0"/>
        <w:jc w:val="both"/>
      </w:pPr>
    </w:p>
    <w:p w14:paraId="36456CC1" w14:textId="77777777" w:rsidR="00AD7C56" w:rsidRPr="009118AB" w:rsidRDefault="00AD7C56" w:rsidP="00477B8F">
      <w:pPr>
        <w:autoSpaceDE w:val="0"/>
        <w:autoSpaceDN w:val="0"/>
        <w:adjustRightInd w:val="0"/>
        <w:jc w:val="both"/>
      </w:pPr>
    </w:p>
    <w:p w14:paraId="2069EFE6" w14:textId="4F18C2A2" w:rsidR="00477B8F" w:rsidRPr="009118AB" w:rsidRDefault="00477B8F" w:rsidP="00B83863">
      <w:pPr>
        <w:autoSpaceDE w:val="0"/>
        <w:autoSpaceDN w:val="0"/>
        <w:adjustRightInd w:val="0"/>
        <w:ind w:firstLine="708"/>
        <w:jc w:val="both"/>
      </w:pPr>
      <w:r w:rsidRPr="009118AB">
        <w:t>[</w:t>
      </w:r>
      <w:r w:rsidR="00D67EB8" w:rsidRPr="009118AB">
        <w:rPr>
          <w:b/>
        </w:rPr>
        <w:t>Art. </w:t>
      </w:r>
      <w:r w:rsidRPr="009118AB">
        <w:rPr>
          <w:b/>
        </w:rPr>
        <w:t>19</w:t>
      </w:r>
      <w:r w:rsidRPr="009118AB">
        <w:rPr>
          <w:b/>
          <w:i/>
          <w:iCs/>
        </w:rPr>
        <w:t>ter</w:t>
      </w:r>
      <w:r w:rsidR="00D67EB8" w:rsidRPr="009118AB">
        <w:t> - </w:t>
      </w:r>
      <w:r w:rsidRPr="009118AB">
        <w:t>Zinsen umfassen ebenfalls alle Summen, die ein gemeinsamer Investmentfonds seinen Mitgliedern zuerkennt oder ausschüttet, ausschließlich der Summen, die anlässlich des Rückkaufs eigener Anteile oder der Gesamt- oder Teilverteilung seines Eigenvermögens zuerkannt werden.</w:t>
      </w:r>
    </w:p>
    <w:p w14:paraId="1B24FE7C" w14:textId="77777777" w:rsidR="00477B8F" w:rsidRPr="009118AB" w:rsidRDefault="00477B8F" w:rsidP="00477B8F">
      <w:pPr>
        <w:autoSpaceDE w:val="0"/>
        <w:autoSpaceDN w:val="0"/>
        <w:adjustRightInd w:val="0"/>
        <w:jc w:val="both"/>
      </w:pPr>
    </w:p>
    <w:p w14:paraId="754389CD" w14:textId="77777777" w:rsidR="00477B8F" w:rsidRPr="009118AB" w:rsidRDefault="00477B8F" w:rsidP="00CD159D">
      <w:pPr>
        <w:autoSpaceDE w:val="0"/>
        <w:autoSpaceDN w:val="0"/>
        <w:adjustRightInd w:val="0"/>
        <w:ind w:firstLine="708"/>
        <w:jc w:val="both"/>
      </w:pPr>
      <w:r w:rsidRPr="009118AB">
        <w:lastRenderedPageBreak/>
        <w:t>Absatz 1 ist nur anwendbar, wenn die Verwaltungsgesellschaft von Organismen für gemeinsame Anlagen die in Artikel 321</w:t>
      </w:r>
      <w:r w:rsidRPr="009118AB">
        <w:rPr>
          <w:i/>
          <w:iCs/>
        </w:rPr>
        <w:t>bis</w:t>
      </w:r>
      <w:r w:rsidRPr="009118AB">
        <w:t xml:space="preserve"> erwähnte Verpflichtung nicht erfüllt.]</w:t>
      </w:r>
    </w:p>
    <w:p w14:paraId="3B0A6480" w14:textId="77777777" w:rsidR="00477B8F" w:rsidRPr="009118AB" w:rsidRDefault="00477B8F" w:rsidP="00477B8F">
      <w:pPr>
        <w:autoSpaceDE w:val="0"/>
        <w:autoSpaceDN w:val="0"/>
        <w:adjustRightInd w:val="0"/>
        <w:jc w:val="both"/>
      </w:pPr>
    </w:p>
    <w:p w14:paraId="18BE530D" w14:textId="5630619F" w:rsidR="00477B8F" w:rsidRPr="009118AB" w:rsidRDefault="009A31EB" w:rsidP="00477B8F">
      <w:pPr>
        <w:autoSpaceDE w:val="0"/>
        <w:autoSpaceDN w:val="0"/>
        <w:adjustRightInd w:val="0"/>
        <w:jc w:val="both"/>
      </w:pPr>
      <w:r w:rsidRPr="009118AB">
        <w:rPr>
          <w:i/>
          <w:iCs/>
        </w:rPr>
        <w:t>[</w:t>
      </w:r>
      <w:r w:rsidR="00D67EB8" w:rsidRPr="009118AB">
        <w:rPr>
          <w:i/>
          <w:iCs/>
        </w:rPr>
        <w:t>Art. </w:t>
      </w:r>
      <w:r w:rsidR="00477B8F" w:rsidRPr="009118AB">
        <w:rPr>
          <w:i/>
          <w:iCs/>
        </w:rPr>
        <w:t>19ter ein</w:t>
      </w:r>
      <w:r w:rsidRPr="009118AB">
        <w:rPr>
          <w:i/>
          <w:iCs/>
        </w:rPr>
        <w:t xml:space="preserve">gefügt durch </w:t>
      </w:r>
      <w:r w:rsidR="00D67EB8" w:rsidRPr="009118AB">
        <w:rPr>
          <w:i/>
          <w:iCs/>
        </w:rPr>
        <w:t>Art. </w:t>
      </w:r>
      <w:r w:rsidR="00477B8F" w:rsidRPr="009118AB">
        <w:rPr>
          <w:i/>
          <w:iCs/>
        </w:rPr>
        <w:t xml:space="preserve">314 des G. </w:t>
      </w:r>
      <w:r w:rsidR="0014743B" w:rsidRPr="009118AB">
        <w:rPr>
          <w:i/>
          <w:iCs/>
        </w:rPr>
        <w:t xml:space="preserve">(I) </w:t>
      </w:r>
      <w:r w:rsidR="00477B8F" w:rsidRPr="009118AB">
        <w:rPr>
          <w:i/>
          <w:iCs/>
        </w:rPr>
        <w:t>vom 27. Dezember 2006 (</w:t>
      </w:r>
      <w:r w:rsidR="0014743B" w:rsidRPr="009118AB">
        <w:rPr>
          <w:i/>
          <w:iCs/>
        </w:rPr>
        <w:t>I</w:t>
      </w:r>
      <w:r w:rsidR="00477B8F" w:rsidRPr="009118AB">
        <w:rPr>
          <w:i/>
          <w:iCs/>
        </w:rPr>
        <w:t>I) (B.S. vom 28. Dezember 2006)</w:t>
      </w:r>
      <w:r w:rsidR="00D67EB8" w:rsidRPr="009118AB">
        <w:rPr>
          <w:i/>
          <w:iCs/>
        </w:rPr>
        <w:t> - </w:t>
      </w:r>
      <w:r w:rsidR="00477B8F" w:rsidRPr="009118AB">
        <w:rPr>
          <w:i/>
          <w:iCs/>
        </w:rPr>
        <w:t>in Kraft ab dem 1. Januar 2007</w:t>
      </w:r>
      <w:r w:rsidR="00FD68E8" w:rsidRPr="009118AB">
        <w:rPr>
          <w:i/>
          <w:iCs/>
        </w:rPr>
        <w:t> -]</w:t>
      </w:r>
    </w:p>
    <w:p w14:paraId="5884D750" w14:textId="77777777" w:rsidR="00477B8F" w:rsidRPr="009118AB" w:rsidRDefault="00477B8F" w:rsidP="00477B8F">
      <w:pPr>
        <w:autoSpaceDE w:val="0"/>
        <w:autoSpaceDN w:val="0"/>
        <w:adjustRightInd w:val="0"/>
        <w:jc w:val="both"/>
      </w:pPr>
    </w:p>
    <w:p w14:paraId="7B44FDBD" w14:textId="77777777" w:rsidR="00477B8F" w:rsidRPr="009118AB" w:rsidRDefault="00477B8F" w:rsidP="00477B8F">
      <w:pPr>
        <w:autoSpaceDE w:val="0"/>
        <w:autoSpaceDN w:val="0"/>
        <w:adjustRightInd w:val="0"/>
        <w:jc w:val="both"/>
      </w:pPr>
    </w:p>
    <w:p w14:paraId="20C72829" w14:textId="1359436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20</w:t>
      </w:r>
      <w:r w:rsidR="00D67EB8" w:rsidRPr="009118AB">
        <w:t> - </w:t>
      </w:r>
      <w:r w:rsidRPr="009118AB">
        <w:t xml:space="preserve">Werden in Artikel 17 </w:t>
      </w:r>
      <w:r w:rsidR="00D67EB8" w:rsidRPr="009118AB">
        <w:t>§ </w:t>
      </w:r>
      <w:r w:rsidRPr="009118AB">
        <w:t xml:space="preserve">1 </w:t>
      </w:r>
      <w:r w:rsidR="00D67EB8" w:rsidRPr="009118AB">
        <w:t>Nr. </w:t>
      </w:r>
      <w:r w:rsidRPr="009118AB">
        <w:t>4 erwähnte Leibrenten [oder Zeitrenten] durch Zahlungen unter Abtretung des Kapitals gebildet, ist der steuerpflichtige Betrag dieser Renten auf 3 Prozent dieses Kapitals begrenzt; handelt es sich um Renten, die aus einer Übertragung des Eigentums, des bloßen Eigentums oder des Nießbrauchs an unbeweglichen Gütern hervorgehen, wird der Wert des Kapitals wie bei der Registrierungsgebühr festgelegt.</w:t>
      </w:r>
    </w:p>
    <w:p w14:paraId="135C60F9" w14:textId="77777777" w:rsidR="00477B8F" w:rsidRPr="009118AB" w:rsidRDefault="00477B8F" w:rsidP="00477B8F">
      <w:pPr>
        <w:autoSpaceDE w:val="0"/>
        <w:autoSpaceDN w:val="0"/>
        <w:adjustRightInd w:val="0"/>
        <w:jc w:val="both"/>
      </w:pPr>
    </w:p>
    <w:p w14:paraId="5A00ED26" w14:textId="2CAC7CE2"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20 abgeändert durch </w:t>
      </w:r>
      <w:r w:rsidR="00D67EB8" w:rsidRPr="009118AB">
        <w:rPr>
          <w:i/>
          <w:iCs/>
        </w:rPr>
        <w:t>Art. </w:t>
      </w:r>
      <w:r w:rsidRPr="009118AB">
        <w:rPr>
          <w:i/>
          <w:iCs/>
        </w:rPr>
        <w:t>73 des G. vom 28. April 2003 (B.S. vom 15. Mai 2003)</w:t>
      </w:r>
      <w:r w:rsidR="00D67EB8" w:rsidRPr="009118AB">
        <w:rPr>
          <w:i/>
          <w:iCs/>
        </w:rPr>
        <w:t> - </w:t>
      </w:r>
      <w:r w:rsidRPr="009118AB">
        <w:rPr>
          <w:i/>
          <w:iCs/>
        </w:rPr>
        <w:t>anwendbar ab dem 1. Januar 2004</w:t>
      </w:r>
      <w:r w:rsidR="00FD68E8" w:rsidRPr="009118AB">
        <w:rPr>
          <w:i/>
          <w:iCs/>
        </w:rPr>
        <w:t> -]</w:t>
      </w:r>
    </w:p>
    <w:p w14:paraId="7096A996" w14:textId="77777777" w:rsidR="00477B8F" w:rsidRPr="009118AB" w:rsidRDefault="00477B8F" w:rsidP="00477B8F">
      <w:pPr>
        <w:autoSpaceDE w:val="0"/>
        <w:autoSpaceDN w:val="0"/>
        <w:adjustRightInd w:val="0"/>
        <w:jc w:val="both"/>
      </w:pPr>
    </w:p>
    <w:p w14:paraId="5EF4D714" w14:textId="77777777" w:rsidR="00477B8F" w:rsidRPr="009118AB" w:rsidRDefault="00477B8F" w:rsidP="00477B8F">
      <w:pPr>
        <w:autoSpaceDE w:val="0"/>
        <w:autoSpaceDN w:val="0"/>
        <w:adjustRightInd w:val="0"/>
        <w:jc w:val="both"/>
      </w:pPr>
    </w:p>
    <w:p w14:paraId="71EBF035" w14:textId="6CCA4CED"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20</w:t>
      </w:r>
      <w:r w:rsidRPr="009118AB">
        <w:rPr>
          <w:b/>
          <w:bCs/>
          <w:i/>
          <w:iCs/>
        </w:rPr>
        <w:t>bis</w:t>
      </w:r>
      <w:r w:rsidR="00D67EB8" w:rsidRPr="009118AB">
        <w:t> - </w:t>
      </w:r>
      <w:r w:rsidRPr="009118AB">
        <w:t>Im Falle einer Zuerkennung oder Ausschüttung von Einkünften aus beweglichen Gütern in der Form von Sachgütern entspricht der Betrag des steuerpflichtigen Einkommens dem Verkaufswert der Güter am Datum ihrer Zuerkennung oder Ausschüttung, selbst wenn die tatsächliche Übertragung der Güter erst später erfolgt.</w:t>
      </w:r>
    </w:p>
    <w:p w14:paraId="036B0836" w14:textId="77777777" w:rsidR="00450A63" w:rsidRPr="009118AB" w:rsidRDefault="00450A63" w:rsidP="00477B8F">
      <w:pPr>
        <w:autoSpaceDE w:val="0"/>
        <w:autoSpaceDN w:val="0"/>
        <w:adjustRightInd w:val="0"/>
        <w:jc w:val="both"/>
      </w:pPr>
    </w:p>
    <w:p w14:paraId="3C26A2E9" w14:textId="77777777" w:rsidR="00477B8F" w:rsidRPr="009118AB" w:rsidRDefault="00477B8F" w:rsidP="00477B8F">
      <w:pPr>
        <w:autoSpaceDE w:val="0"/>
        <w:autoSpaceDN w:val="0"/>
        <w:adjustRightInd w:val="0"/>
        <w:jc w:val="both"/>
      </w:pPr>
      <w:r w:rsidRPr="009118AB">
        <w:tab/>
        <w:t xml:space="preserve">Im Falle einer Zuerkennung oder Ausschüttung von Einkünften in der Form von Wertpapieren, darf der für die Anwendung von Absatz 1 zu berücksichtigende Wert </w:t>
      </w:r>
      <w:r w:rsidR="004B3D00" w:rsidRPr="009118AB">
        <w:t>[nicht unter dem Kurswert auf den belgischen oder ausländischen geregelten Märkten am Tag vor dem Datum der Zuerkennung oder Ausschüttung liegen]</w:t>
      </w:r>
      <w:r w:rsidRPr="009118AB">
        <w:t xml:space="preserve">; sind die Wertpapiere </w:t>
      </w:r>
      <w:r w:rsidR="004B3D00" w:rsidRPr="009118AB">
        <w:t>[nicht an einem belgischen oder einem gleichartigen ausländischen Markt notiert]</w:t>
      </w:r>
      <w:r w:rsidRPr="009118AB">
        <w:t>, muss der Steuerpflichtige ihren Verkaufswert unter Aufsicht der Verwaltung angeben.]</w:t>
      </w:r>
    </w:p>
    <w:p w14:paraId="31448D54" w14:textId="77777777" w:rsidR="004B3D00" w:rsidRPr="009118AB" w:rsidRDefault="004B3D00" w:rsidP="00477B8F">
      <w:pPr>
        <w:autoSpaceDE w:val="0"/>
        <w:autoSpaceDN w:val="0"/>
        <w:adjustRightInd w:val="0"/>
        <w:jc w:val="both"/>
      </w:pPr>
    </w:p>
    <w:p w14:paraId="2DEE8A56" w14:textId="33A2F9E4" w:rsidR="004B3D00" w:rsidRPr="009118AB" w:rsidRDefault="004B3D00" w:rsidP="00477B8F">
      <w:pPr>
        <w:autoSpaceDE w:val="0"/>
        <w:autoSpaceDN w:val="0"/>
        <w:adjustRightInd w:val="0"/>
        <w:jc w:val="both"/>
      </w:pPr>
      <w:r w:rsidRPr="009118AB">
        <w:tab/>
        <w:t>[Unter Kurswert versteht man den Schlusskurs, so wie er auf der Grundlage der in der Fachpresse verfügbaren Kursinformationen und/oder anhand elektronisch einsehbarer Fach</w:t>
      </w:r>
      <w:r w:rsidRPr="009118AB">
        <w:softHyphen/>
        <w:t>quellen festgelegt wird.]</w:t>
      </w:r>
    </w:p>
    <w:p w14:paraId="333DCF46" w14:textId="77777777" w:rsidR="00477B8F" w:rsidRPr="009118AB" w:rsidRDefault="00477B8F" w:rsidP="00477B8F">
      <w:pPr>
        <w:autoSpaceDE w:val="0"/>
        <w:autoSpaceDN w:val="0"/>
        <w:adjustRightInd w:val="0"/>
        <w:jc w:val="both"/>
      </w:pPr>
    </w:p>
    <w:p w14:paraId="65457596" w14:textId="61AED092"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20bis eingefügt durch </w:t>
      </w:r>
      <w:r w:rsidR="00D67EB8" w:rsidRPr="009118AB">
        <w:rPr>
          <w:i/>
          <w:iCs/>
        </w:rPr>
        <w:t>Art. </w:t>
      </w:r>
      <w:r w:rsidRPr="009118AB">
        <w:rPr>
          <w:i/>
          <w:iCs/>
        </w:rPr>
        <w:t>2 des G. vom 25. April 2006 (B.S. vom 28. April 2006)</w:t>
      </w:r>
      <w:r w:rsidR="00D67EB8" w:rsidRPr="009118AB">
        <w:rPr>
          <w:i/>
          <w:iCs/>
        </w:rPr>
        <w:t> - </w:t>
      </w:r>
      <w:r w:rsidRPr="009118AB">
        <w:rPr>
          <w:i/>
          <w:iCs/>
        </w:rPr>
        <w:t>anwendbar auf Einkünfte aus beweglichen Gütern, die ab dem 1. Juni 2006 anders als in bar zuerkannt oder ausgeschüttet werden</w:t>
      </w:r>
      <w:r w:rsidR="003366D9" w:rsidRPr="009118AB">
        <w:rPr>
          <w:i/>
          <w:iCs/>
        </w:rPr>
        <w:t> -;</w:t>
      </w:r>
      <w:r w:rsidR="004B3D00" w:rsidRPr="009118AB">
        <w:rPr>
          <w:i/>
          <w:iCs/>
        </w:rPr>
        <w:t xml:space="preserve"> </w:t>
      </w:r>
      <w:r w:rsidR="00D67EB8" w:rsidRPr="009118AB">
        <w:rPr>
          <w:i/>
          <w:iCs/>
        </w:rPr>
        <w:t>Abs. </w:t>
      </w:r>
      <w:r w:rsidR="004B3D00" w:rsidRPr="009118AB">
        <w:rPr>
          <w:i/>
          <w:iCs/>
        </w:rPr>
        <w:t xml:space="preserve">2 abgeändert durch </w:t>
      </w:r>
      <w:r w:rsidR="00D67EB8" w:rsidRPr="009118AB">
        <w:rPr>
          <w:i/>
          <w:iCs/>
        </w:rPr>
        <w:t>Art. </w:t>
      </w:r>
      <w:r w:rsidR="004B3D00" w:rsidRPr="009118AB">
        <w:rPr>
          <w:i/>
          <w:iCs/>
        </w:rPr>
        <w:t xml:space="preserve">13 </w:t>
      </w:r>
      <w:r w:rsidR="00D67EB8" w:rsidRPr="009118AB">
        <w:rPr>
          <w:i/>
          <w:iCs/>
        </w:rPr>
        <w:t>Nr. </w:t>
      </w:r>
      <w:r w:rsidR="004B3D00" w:rsidRPr="009118AB">
        <w:rPr>
          <w:i/>
          <w:iCs/>
        </w:rPr>
        <w:t xml:space="preserve">1 des G. vom 22. Oktober 2017 (B.S. vom 18. Dezember 2017); </w:t>
      </w:r>
      <w:r w:rsidR="00D67EB8" w:rsidRPr="009118AB">
        <w:rPr>
          <w:i/>
          <w:iCs/>
        </w:rPr>
        <w:t>Abs. </w:t>
      </w:r>
      <w:r w:rsidR="004B3D00" w:rsidRPr="009118AB">
        <w:rPr>
          <w:i/>
          <w:iCs/>
        </w:rPr>
        <w:t xml:space="preserve">3 eingefügt durch </w:t>
      </w:r>
      <w:r w:rsidR="00D67EB8" w:rsidRPr="009118AB">
        <w:rPr>
          <w:i/>
          <w:iCs/>
        </w:rPr>
        <w:t>Art. </w:t>
      </w:r>
      <w:r w:rsidR="004B3D00" w:rsidRPr="009118AB">
        <w:rPr>
          <w:i/>
          <w:iCs/>
        </w:rPr>
        <w:t xml:space="preserve">13 </w:t>
      </w:r>
      <w:r w:rsidR="00D67EB8" w:rsidRPr="009118AB">
        <w:rPr>
          <w:i/>
          <w:iCs/>
        </w:rPr>
        <w:t>Nr. </w:t>
      </w:r>
      <w:r w:rsidR="004B3D00" w:rsidRPr="009118AB">
        <w:rPr>
          <w:i/>
          <w:iCs/>
        </w:rPr>
        <w:t>2 des G. vom 22. Oktober 2017 (B.S. vom 18. Dezember 2017)</w:t>
      </w:r>
      <w:r w:rsidRPr="009118AB">
        <w:rPr>
          <w:i/>
          <w:iCs/>
        </w:rPr>
        <w:t>]</w:t>
      </w:r>
    </w:p>
    <w:p w14:paraId="34BCEE6F" w14:textId="77777777" w:rsidR="001E243B" w:rsidRPr="009118AB" w:rsidRDefault="001E243B" w:rsidP="00477B8F">
      <w:pPr>
        <w:autoSpaceDE w:val="0"/>
        <w:autoSpaceDN w:val="0"/>
        <w:adjustRightInd w:val="0"/>
        <w:jc w:val="center"/>
      </w:pPr>
    </w:p>
    <w:p w14:paraId="4F13E43A" w14:textId="77777777" w:rsidR="001E243B" w:rsidRPr="009118AB" w:rsidRDefault="001E243B" w:rsidP="00477B8F">
      <w:pPr>
        <w:autoSpaceDE w:val="0"/>
        <w:autoSpaceDN w:val="0"/>
        <w:adjustRightInd w:val="0"/>
        <w:jc w:val="center"/>
      </w:pPr>
    </w:p>
    <w:p w14:paraId="49275EFC" w14:textId="0BC87712" w:rsidR="00477B8F" w:rsidRPr="009118AB" w:rsidRDefault="001E243B" w:rsidP="00477B8F">
      <w:pPr>
        <w:autoSpaceDE w:val="0"/>
        <w:autoSpaceDN w:val="0"/>
        <w:adjustRightInd w:val="0"/>
        <w:jc w:val="center"/>
      </w:pPr>
      <w:r w:rsidRPr="009118AB">
        <w:br w:type="page"/>
      </w:r>
      <w:r w:rsidR="00477B8F" w:rsidRPr="009118AB">
        <w:lastRenderedPageBreak/>
        <w:t>Unterabschnitt </w:t>
      </w:r>
      <w:r w:rsidR="00AA609D" w:rsidRPr="009118AB">
        <w:t>2</w:t>
      </w:r>
      <w:r w:rsidR="00D67EB8" w:rsidRPr="009118AB">
        <w:t> - </w:t>
      </w:r>
      <w:r w:rsidR="00477B8F" w:rsidRPr="009118AB">
        <w:t>Nicht als Einkünfte aus Kapitalvermögen und beweglichen Gütern steuerpflichtige Einkünfte</w:t>
      </w:r>
    </w:p>
    <w:p w14:paraId="0673C231" w14:textId="77777777" w:rsidR="00477B8F" w:rsidRPr="009118AB" w:rsidRDefault="00477B8F" w:rsidP="00477B8F">
      <w:pPr>
        <w:autoSpaceDE w:val="0"/>
        <w:autoSpaceDN w:val="0"/>
        <w:adjustRightInd w:val="0"/>
        <w:jc w:val="center"/>
      </w:pPr>
    </w:p>
    <w:p w14:paraId="21ED80B5" w14:textId="77777777" w:rsidR="00477B8F" w:rsidRPr="009118AB" w:rsidRDefault="00477B8F" w:rsidP="00477B8F">
      <w:pPr>
        <w:autoSpaceDE w:val="0"/>
        <w:autoSpaceDN w:val="0"/>
        <w:adjustRightInd w:val="0"/>
        <w:jc w:val="both"/>
      </w:pPr>
    </w:p>
    <w:p w14:paraId="2F6F6E5B" w14:textId="44C468B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21</w:t>
      </w:r>
      <w:r w:rsidR="00D67EB8" w:rsidRPr="009118AB">
        <w:t> - </w:t>
      </w:r>
      <w:r w:rsidRPr="009118AB">
        <w:t>Einkünfte aus Kapitalvermögen und beweglichen Gütern umfassen nicht:</w:t>
      </w:r>
    </w:p>
    <w:p w14:paraId="60E9614A" w14:textId="77777777" w:rsidR="00477B8F" w:rsidRPr="009118AB" w:rsidRDefault="00477B8F" w:rsidP="00477B8F">
      <w:pPr>
        <w:autoSpaceDE w:val="0"/>
        <w:autoSpaceDN w:val="0"/>
        <w:adjustRightInd w:val="0"/>
        <w:jc w:val="both"/>
      </w:pPr>
    </w:p>
    <w:p w14:paraId="7446319E" w14:textId="17807855" w:rsidR="00477B8F" w:rsidRPr="009118AB" w:rsidRDefault="00477B8F" w:rsidP="00477B8F">
      <w:pPr>
        <w:autoSpaceDE w:val="0"/>
        <w:autoSpaceDN w:val="0"/>
        <w:adjustRightInd w:val="0"/>
        <w:jc w:val="both"/>
      </w:pPr>
      <w:r w:rsidRPr="009118AB">
        <w:tab/>
        <w:t>1. </w:t>
      </w:r>
      <w:r w:rsidR="008B6D76" w:rsidRPr="009118AB">
        <w:t>[...]</w:t>
      </w:r>
    </w:p>
    <w:p w14:paraId="43EA5D27" w14:textId="77777777" w:rsidR="00477B8F" w:rsidRPr="009118AB" w:rsidRDefault="00477B8F" w:rsidP="00477B8F">
      <w:pPr>
        <w:autoSpaceDE w:val="0"/>
        <w:autoSpaceDN w:val="0"/>
        <w:adjustRightInd w:val="0"/>
        <w:jc w:val="both"/>
      </w:pPr>
    </w:p>
    <w:p w14:paraId="11048A98" w14:textId="5CCC5A82" w:rsidR="00477B8F" w:rsidRPr="009118AB" w:rsidRDefault="00477B8F" w:rsidP="00477B8F">
      <w:pPr>
        <w:autoSpaceDE w:val="0"/>
        <w:autoSpaceDN w:val="0"/>
        <w:adjustRightInd w:val="0"/>
        <w:jc w:val="both"/>
      </w:pPr>
      <w:r w:rsidRPr="009118AB">
        <w:tab/>
        <w:t xml:space="preserve">2. [[andere als </w:t>
      </w:r>
      <w:r w:rsidR="000467A4" w:rsidRPr="009118AB">
        <w:t>[</w:t>
      </w:r>
      <w:r w:rsidRPr="009118AB">
        <w:t xml:space="preserve">in den Artikeln 19 </w:t>
      </w:r>
      <w:r w:rsidR="00D67EB8" w:rsidRPr="009118AB">
        <w:t>§ </w:t>
      </w:r>
      <w:r w:rsidRPr="009118AB">
        <w:t xml:space="preserve">1 </w:t>
      </w:r>
      <w:r w:rsidR="000467A4" w:rsidRPr="009118AB">
        <w:t xml:space="preserve">Absatz 1 </w:t>
      </w:r>
      <w:r w:rsidR="00D67EB8" w:rsidRPr="009118AB">
        <w:t>Nr. </w:t>
      </w:r>
      <w:r w:rsidRPr="009118AB">
        <w:t>4 und 19</w:t>
      </w:r>
      <w:r w:rsidRPr="009118AB">
        <w:rPr>
          <w:i/>
          <w:iCs/>
        </w:rPr>
        <w:t>bis</w:t>
      </w:r>
      <w:r w:rsidR="000467A4" w:rsidRPr="009118AB">
        <w:rPr>
          <w:iCs/>
        </w:rPr>
        <w:t>]</w:t>
      </w:r>
      <w:r w:rsidRPr="009118AB">
        <w:t xml:space="preserve"> erwähnte] Einkünfte aus Aktien oder Anteilen, die bei einer Gesamt- oder Teilverteilung des Gesellschaftsvermögens oder bei Erwerb eigener Aktien oder Anteile durch eine Investmentgesellschaft, zu deren Gunsten im Land ihres Steuerwohnsitzes ein vom allgemeinen Recht abweichendes Besteuerungssystem angewandt wird, gezahlt oder zuerkannt werden,]</w:t>
      </w:r>
    </w:p>
    <w:p w14:paraId="7645B27F" w14:textId="77777777" w:rsidR="00477B8F" w:rsidRPr="009118AB" w:rsidRDefault="00477B8F" w:rsidP="00477B8F">
      <w:pPr>
        <w:autoSpaceDE w:val="0"/>
        <w:autoSpaceDN w:val="0"/>
        <w:adjustRightInd w:val="0"/>
        <w:jc w:val="both"/>
      </w:pPr>
    </w:p>
    <w:p w14:paraId="6ADDA4B3" w14:textId="77777777" w:rsidR="00477B8F" w:rsidRPr="009118AB" w:rsidRDefault="00477B8F" w:rsidP="00477B8F">
      <w:pPr>
        <w:autoSpaceDE w:val="0"/>
        <w:autoSpaceDN w:val="0"/>
        <w:adjustRightInd w:val="0"/>
        <w:jc w:val="both"/>
      </w:pPr>
      <w:r w:rsidRPr="009118AB">
        <w:tab/>
        <w:t>3. Einkünfte aus belgischen Staatspapieren und Anleihen des ehemaligen Belgisch</w:t>
      </w:r>
      <w:r w:rsidRPr="009118AB">
        <w:noBreakHyphen/>
        <w:t>Kongo, die unter Befreiung von belgischen Real</w:t>
      </w:r>
      <w:r w:rsidRPr="009118AB">
        <w:noBreakHyphen/>
        <w:t xml:space="preserve"> und Personensteuern oder von sämtlichen Steuern ausgegeben wurden,</w:t>
      </w:r>
    </w:p>
    <w:p w14:paraId="54045CE3" w14:textId="77777777" w:rsidR="00477B8F" w:rsidRPr="009118AB" w:rsidRDefault="00477B8F" w:rsidP="00477B8F">
      <w:pPr>
        <w:autoSpaceDE w:val="0"/>
        <w:autoSpaceDN w:val="0"/>
        <w:adjustRightInd w:val="0"/>
        <w:jc w:val="both"/>
      </w:pPr>
    </w:p>
    <w:p w14:paraId="466C6607" w14:textId="77777777" w:rsidR="00477B8F" w:rsidRPr="009118AB" w:rsidRDefault="00477B8F" w:rsidP="00477B8F">
      <w:pPr>
        <w:autoSpaceDE w:val="0"/>
        <w:autoSpaceDN w:val="0"/>
        <w:adjustRightInd w:val="0"/>
        <w:jc w:val="both"/>
      </w:pPr>
      <w:r w:rsidRPr="009118AB">
        <w:tab/>
        <w:t>4. Lose in Bezug auf Anleihepapiere,</w:t>
      </w:r>
    </w:p>
    <w:p w14:paraId="4792F428" w14:textId="77777777" w:rsidR="00477B8F" w:rsidRPr="009118AB" w:rsidRDefault="00477B8F" w:rsidP="00477B8F">
      <w:pPr>
        <w:autoSpaceDE w:val="0"/>
        <w:autoSpaceDN w:val="0"/>
        <w:adjustRightInd w:val="0"/>
        <w:jc w:val="both"/>
      </w:pPr>
    </w:p>
    <w:p w14:paraId="6BAD85A9" w14:textId="242E3EE4" w:rsidR="00477B8F" w:rsidRPr="009118AB" w:rsidRDefault="00477B8F" w:rsidP="00477B8F">
      <w:pPr>
        <w:autoSpaceDE w:val="0"/>
        <w:autoSpaceDN w:val="0"/>
        <w:adjustRightInd w:val="0"/>
        <w:jc w:val="both"/>
      </w:pPr>
      <w:r w:rsidRPr="009118AB">
        <w:tab/>
        <w:t>5. [den ersten Teilbetrag von [</w:t>
      </w:r>
      <w:r w:rsidR="00BF72DB" w:rsidRPr="009118AB">
        <w:t>6</w:t>
      </w:r>
      <w:r w:rsidRPr="009118AB">
        <w:t xml:space="preserve">25 EUR] pro Jahr der Einkünfte aus Spareinlagen, die </w:t>
      </w:r>
      <w:r w:rsidR="000F7C33" w:rsidRPr="009118AB">
        <w:t xml:space="preserve">[in Artikel 56 </w:t>
      </w:r>
      <w:r w:rsidR="00D67EB8" w:rsidRPr="009118AB">
        <w:t>§ </w:t>
      </w:r>
      <w:r w:rsidR="000F7C33" w:rsidRPr="009118AB">
        <w:t xml:space="preserve">2 </w:t>
      </w:r>
      <w:r w:rsidR="00D67EB8" w:rsidRPr="009118AB">
        <w:t>Nr. </w:t>
      </w:r>
      <w:r w:rsidR="000F7C33" w:rsidRPr="009118AB">
        <w:t>2 Buchstabe </w:t>
      </w:r>
      <w:r w:rsidR="000F7C33" w:rsidRPr="009118AB">
        <w:rPr>
          <w:i/>
        </w:rPr>
        <w:t>a)</w:t>
      </w:r>
      <w:r w:rsidR="000F7C33" w:rsidRPr="009118AB">
        <w:t xml:space="preserve"> erwähnte Kreditinstitute]</w:t>
      </w:r>
      <w:r w:rsidRPr="009118AB">
        <w:t xml:space="preserve"> ohne vertraglich festgelegte Laufzeit oder Abhebungs- beziehungsweise Entnahmevorankündigungsfrist entgegennehmen, </w:t>
      </w:r>
    </w:p>
    <w:p w14:paraId="7AED8A25" w14:textId="77777777" w:rsidR="00477B8F" w:rsidRPr="009118AB" w:rsidRDefault="00477B8F" w:rsidP="00477B8F">
      <w:pPr>
        <w:autoSpaceDE w:val="0"/>
        <w:autoSpaceDN w:val="0"/>
        <w:adjustRightInd w:val="0"/>
        <w:jc w:val="both"/>
      </w:pPr>
    </w:p>
    <w:p w14:paraId="05D9A10F" w14:textId="77777777" w:rsidR="00477B8F" w:rsidRPr="009118AB" w:rsidRDefault="00477B8F" w:rsidP="00477B8F">
      <w:pPr>
        <w:autoSpaceDE w:val="0"/>
        <w:autoSpaceDN w:val="0"/>
        <w:adjustRightInd w:val="0"/>
        <w:jc w:val="both"/>
      </w:pPr>
      <w:r w:rsidRPr="009118AB">
        <w:tab/>
        <w:t>wobei:</w:t>
      </w:r>
    </w:p>
    <w:p w14:paraId="09047A6B" w14:textId="77777777" w:rsidR="00477B8F" w:rsidRPr="009118AB" w:rsidRDefault="00477B8F" w:rsidP="00477B8F">
      <w:pPr>
        <w:autoSpaceDE w:val="0"/>
        <w:autoSpaceDN w:val="0"/>
        <w:adjustRightInd w:val="0"/>
        <w:jc w:val="both"/>
      </w:pPr>
    </w:p>
    <w:p w14:paraId="0BD916AB" w14:textId="27957820" w:rsidR="00477B8F" w:rsidRPr="009118AB" w:rsidRDefault="00477B8F" w:rsidP="00477B8F">
      <w:pPr>
        <w:autoSpaceDE w:val="0"/>
        <w:autoSpaceDN w:val="0"/>
        <w:adjustRightInd w:val="0"/>
        <w:jc w:val="both"/>
      </w:pPr>
      <w:r w:rsidRPr="009118AB">
        <w:tab/>
        <w:t xml:space="preserve">- </w:t>
      </w:r>
      <w:r w:rsidR="003C36EF" w:rsidRPr="009118AB">
        <w:t>[diese Einlagen außerdem die vom König auf Stellungnahme der Belgischen Nationalbank und der Autorität Finanzielle Dienste und Märkte</w:t>
      </w:r>
      <w:r w:rsidR="00D67EB8" w:rsidRPr="009118AB">
        <w:t> - </w:t>
      </w:r>
      <w:r w:rsidR="003C36EF" w:rsidRPr="009118AB">
        <w:t>jede für ihren Zuständigkeitsbereich</w:t>
      </w:r>
      <w:r w:rsidR="00D67EB8" w:rsidRPr="009118AB">
        <w:t> - </w:t>
      </w:r>
      <w:r w:rsidR="003C36EF" w:rsidRPr="009118AB">
        <w:t>festgelegten Kriterien in Bezug auf die Währung, auf die sie lauten, in Bezug auf Bedingungen und Modalitäten der Abhebungen und Entnahmen und in Bezug auf Struktur, Niveau und Modalitäten der Berechnung ihrer Vergütung erfüllen müssen oder, für Einlagen, die in einem anderen Mitgliedstaat des Europäischen Wirtschaftsraums ansässige Kreditinstitute entgegennehmen, diese Einlagen ähnliche Kriterien wie von den entsprechenden zuständigen Behörden des anderen Mitgliedstaates festgelegt erfüllen müssen,]</w:t>
      </w:r>
    </w:p>
    <w:p w14:paraId="22474FA7" w14:textId="77777777" w:rsidR="00477B8F" w:rsidRPr="009118AB" w:rsidRDefault="00477B8F" w:rsidP="00477B8F">
      <w:pPr>
        <w:autoSpaceDE w:val="0"/>
        <w:autoSpaceDN w:val="0"/>
        <w:adjustRightInd w:val="0"/>
        <w:jc w:val="both"/>
      </w:pPr>
    </w:p>
    <w:p w14:paraId="24C76F9E" w14:textId="77777777" w:rsidR="00477B8F" w:rsidRPr="009118AB" w:rsidRDefault="00477B8F" w:rsidP="00477B8F">
      <w:pPr>
        <w:autoSpaceDE w:val="0"/>
        <w:autoSpaceDN w:val="0"/>
        <w:adjustRightInd w:val="0"/>
        <w:jc w:val="both"/>
      </w:pPr>
      <w:r w:rsidRPr="009118AB">
        <w:tab/>
        <w:t>- für die Anwendung der vorliegenden Bestimmung Fristen, die eine einfache Schutzmaßnahme darstellen, die der Verwahrer ergreifen kann, nicht als Vorankündigungsfristen betrachtet werden,]</w:t>
      </w:r>
    </w:p>
    <w:p w14:paraId="1211D1D9" w14:textId="77777777" w:rsidR="003C36EF" w:rsidRPr="009118AB" w:rsidRDefault="003C36EF" w:rsidP="00477B8F">
      <w:pPr>
        <w:autoSpaceDE w:val="0"/>
        <w:autoSpaceDN w:val="0"/>
        <w:adjustRightInd w:val="0"/>
        <w:jc w:val="both"/>
      </w:pPr>
    </w:p>
    <w:p w14:paraId="50AC3651" w14:textId="77777777" w:rsidR="003C36EF" w:rsidRPr="009118AB" w:rsidRDefault="003C36EF" w:rsidP="00477B8F">
      <w:pPr>
        <w:autoSpaceDE w:val="0"/>
        <w:autoSpaceDN w:val="0"/>
        <w:adjustRightInd w:val="0"/>
        <w:jc w:val="both"/>
      </w:pPr>
      <w:r w:rsidRPr="009118AB">
        <w:tab/>
        <w:t>[- die Umrechnung in Euro bei einer auf ausländische Währung lautenden Spareinlage einmal jährlich am 31. Dezember oder am Datum der definitiven Auflösung der Einlage erfolgt]</w:t>
      </w:r>
    </w:p>
    <w:p w14:paraId="79AC9C03" w14:textId="77777777" w:rsidR="00477B8F" w:rsidRPr="009118AB" w:rsidRDefault="00477B8F" w:rsidP="00477B8F">
      <w:pPr>
        <w:autoSpaceDE w:val="0"/>
        <w:autoSpaceDN w:val="0"/>
        <w:adjustRightInd w:val="0"/>
        <w:jc w:val="both"/>
      </w:pPr>
    </w:p>
    <w:p w14:paraId="6DEA1014" w14:textId="77777777" w:rsidR="00477B8F" w:rsidRPr="009118AB" w:rsidRDefault="00477B8F" w:rsidP="00477B8F">
      <w:pPr>
        <w:autoSpaceDE w:val="0"/>
        <w:autoSpaceDN w:val="0"/>
        <w:adjustRightInd w:val="0"/>
        <w:jc w:val="both"/>
      </w:pPr>
      <w:r w:rsidRPr="009118AB">
        <w:tab/>
        <w:t>6. [</w:t>
      </w:r>
      <w:r w:rsidR="00BF72DB" w:rsidRPr="009118AB">
        <w:t>…</w:t>
      </w:r>
      <w:r w:rsidRPr="009118AB">
        <w:t>]</w:t>
      </w:r>
    </w:p>
    <w:p w14:paraId="4777CC2C" w14:textId="77777777" w:rsidR="00450A63" w:rsidRPr="009118AB" w:rsidRDefault="00450A63" w:rsidP="00477B8F">
      <w:pPr>
        <w:autoSpaceDE w:val="0"/>
        <w:autoSpaceDN w:val="0"/>
        <w:adjustRightInd w:val="0"/>
      </w:pPr>
    </w:p>
    <w:p w14:paraId="59E08608" w14:textId="77777777" w:rsidR="00477B8F" w:rsidRPr="009118AB" w:rsidRDefault="00477B8F" w:rsidP="00CD159D">
      <w:pPr>
        <w:autoSpaceDE w:val="0"/>
        <w:autoSpaceDN w:val="0"/>
        <w:adjustRightInd w:val="0"/>
        <w:jc w:val="both"/>
      </w:pPr>
      <w:r w:rsidRPr="009118AB">
        <w:tab/>
        <w:t>7. Einkünfte aus Anleihepapieren zur Refinanzierung der Anleihen, die von der Nationalen Wohnungsbaugesellschaft und der Nationalen Grundstücksgesellschaft oder vom Abschreibungsfonds für den sozialen Wohnungsbau aufgenommen wurden. [Diese Bestimmung gilt nur für Anleihen, die durch die Königlichen Erlasse vom 25. November 1986, 5. Dezember 1986, 9. März 1987, 27. April 1987 und 18. Juni 1987 erlaubt wurden,]</w:t>
      </w:r>
    </w:p>
    <w:p w14:paraId="1582B6C7" w14:textId="77777777" w:rsidR="00477B8F" w:rsidRPr="009118AB" w:rsidRDefault="00477B8F" w:rsidP="00477B8F">
      <w:pPr>
        <w:autoSpaceDE w:val="0"/>
        <w:autoSpaceDN w:val="0"/>
        <w:adjustRightInd w:val="0"/>
        <w:jc w:val="both"/>
      </w:pPr>
    </w:p>
    <w:p w14:paraId="52AAA9E9" w14:textId="77777777" w:rsidR="00477B8F" w:rsidRPr="009118AB" w:rsidRDefault="00477B8F" w:rsidP="00477B8F">
      <w:pPr>
        <w:autoSpaceDE w:val="0"/>
        <w:autoSpaceDN w:val="0"/>
        <w:adjustRightInd w:val="0"/>
        <w:jc w:val="both"/>
      </w:pPr>
      <w:r w:rsidRPr="009118AB">
        <w:lastRenderedPageBreak/>
        <w:tab/>
        <w:t>8. Einkünfte aus Kapitalvermögen und beweglichen Gütern, die im Rahmen des Pensionssparens zu diesem Zweck zugelassenen Instituten für gemeinsame Anlagen oder Inhabern eines individuellen Sparkontos in Bezug auf das Guthaben auf diesem Konto gewährt oder zuerkannt werden, sofern die in diesem Bereich vorgesehenen Anforderungen erfüllt werden und die im Rahmen des Pensionssparens eingezahlten Beträge [für die Steuerermäßigung berücksichtigt werden]; der König ergreift Sondermaßnahmen im Hinblick auf Anwendung und Kontrolle vorliegender Bestimmung,</w:t>
      </w:r>
    </w:p>
    <w:p w14:paraId="784543A1" w14:textId="77777777" w:rsidR="00477B8F" w:rsidRPr="009118AB" w:rsidRDefault="00477B8F" w:rsidP="00477B8F">
      <w:pPr>
        <w:autoSpaceDE w:val="0"/>
        <w:autoSpaceDN w:val="0"/>
        <w:adjustRightInd w:val="0"/>
        <w:jc w:val="both"/>
      </w:pPr>
    </w:p>
    <w:p w14:paraId="14407E96" w14:textId="4246C68C" w:rsidR="00477B8F" w:rsidRPr="009118AB" w:rsidRDefault="00477B8F" w:rsidP="00477B8F">
      <w:pPr>
        <w:autoSpaceDE w:val="0"/>
        <w:autoSpaceDN w:val="0"/>
        <w:adjustRightInd w:val="0"/>
        <w:jc w:val="both"/>
      </w:pPr>
      <w:r w:rsidRPr="009118AB">
        <w:tab/>
        <w:t xml:space="preserve">[9. [Einkünfte, die in Kapitalien und Rückkaufswerten der </w:t>
      </w:r>
      <w:r w:rsidR="000467A4" w:rsidRPr="009118AB">
        <w:t>[</w:t>
      </w:r>
      <w:r w:rsidRPr="009118AB">
        <w:t xml:space="preserve">in Artikel 19 </w:t>
      </w:r>
      <w:r w:rsidR="00D67EB8" w:rsidRPr="009118AB">
        <w:t>§ </w:t>
      </w:r>
      <w:r w:rsidRPr="009118AB">
        <w:t xml:space="preserve">1 </w:t>
      </w:r>
      <w:r w:rsidR="000467A4" w:rsidRPr="009118AB">
        <w:t xml:space="preserve">Absatz 1 </w:t>
      </w:r>
      <w:r w:rsidR="00D67EB8" w:rsidRPr="009118AB">
        <w:t>Nr. </w:t>
      </w:r>
      <w:r w:rsidRPr="009118AB">
        <w:t>3</w:t>
      </w:r>
      <w:r w:rsidR="000467A4" w:rsidRPr="009118AB">
        <w:t>]</w:t>
      </w:r>
      <w:r w:rsidRPr="009118AB">
        <w:t xml:space="preserve"> definierten Lebensversicherungsverträge, die von natürlichen Personen abgeschlossen werden, enthalten sind, in jedem der folgenden Fälle:</w:t>
      </w:r>
    </w:p>
    <w:p w14:paraId="09450727" w14:textId="77777777" w:rsidR="00477B8F" w:rsidRPr="009118AB" w:rsidRDefault="00477B8F" w:rsidP="00477B8F">
      <w:pPr>
        <w:autoSpaceDE w:val="0"/>
        <w:autoSpaceDN w:val="0"/>
        <w:adjustRightInd w:val="0"/>
        <w:jc w:val="both"/>
      </w:pPr>
    </w:p>
    <w:p w14:paraId="383021A9" w14:textId="77777777" w:rsidR="00477B8F" w:rsidRPr="009118AB" w:rsidRDefault="00477B8F" w:rsidP="00477B8F">
      <w:pPr>
        <w:autoSpaceDE w:val="0"/>
        <w:autoSpaceDN w:val="0"/>
        <w:adjustRightInd w:val="0"/>
        <w:jc w:val="both"/>
      </w:pPr>
      <w:r w:rsidRPr="009118AB">
        <w:rPr>
          <w:i/>
          <w:iCs/>
        </w:rPr>
        <w:tab/>
        <w:t>a)</w:t>
      </w:r>
      <w:r w:rsidRPr="009118AB">
        <w:t xml:space="preserve"> wenn der Steuerpflichtige, der den Vertrag gezeichnet hat, ausschließlich sich selbst versichert hat und die Vorteile des Vertrags zu Lebzeiten zu seinen Gunsten festgelegt sind und der Vertrag im Todesfall die Zahlung eines Kapitals vorsieht, das mindestens 130 Prozent des Gesamtbetrags der gezahlten Prämien beträgt,</w:t>
      </w:r>
    </w:p>
    <w:p w14:paraId="2988169B" w14:textId="77777777" w:rsidR="00477B8F" w:rsidRPr="009118AB" w:rsidRDefault="00477B8F" w:rsidP="00477B8F">
      <w:pPr>
        <w:autoSpaceDE w:val="0"/>
        <w:autoSpaceDN w:val="0"/>
        <w:adjustRightInd w:val="0"/>
        <w:jc w:val="both"/>
      </w:pPr>
    </w:p>
    <w:p w14:paraId="64D7F35A"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wenn der Vertrag für eine Dauer von mehr als acht Jahren abgeschlossen wird und die Kapitalien oder Rückkaufswerte tatsächlich mehr als acht Jahre nach Vertragsabschluss ausgezahlt werden,]]</w:t>
      </w:r>
    </w:p>
    <w:p w14:paraId="4B9FA2A1" w14:textId="77777777" w:rsidR="00477B8F" w:rsidRPr="009118AB" w:rsidRDefault="00477B8F" w:rsidP="00477B8F">
      <w:pPr>
        <w:autoSpaceDE w:val="0"/>
        <w:autoSpaceDN w:val="0"/>
        <w:adjustRightInd w:val="0"/>
        <w:jc w:val="both"/>
      </w:pPr>
    </w:p>
    <w:p w14:paraId="462ED9A6" w14:textId="761DA0D6" w:rsidR="00C654FB" w:rsidRPr="009118AB" w:rsidRDefault="00477B8F" w:rsidP="00C654FB">
      <w:pPr>
        <w:ind w:firstLine="708"/>
        <w:jc w:val="both"/>
      </w:pPr>
      <w:r w:rsidRPr="009118AB">
        <w:tab/>
        <w:t>[10. </w:t>
      </w:r>
      <w:r w:rsidR="00C654FB" w:rsidRPr="009118AB">
        <w:t xml:space="preserve">[den ersten Teilbetrag von 125 EUR der Zinsen </w:t>
      </w:r>
      <w:r w:rsidR="00BF72DB" w:rsidRPr="009118AB">
        <w:t>[…]</w:t>
      </w:r>
      <w:r w:rsidR="00C654FB" w:rsidRPr="009118AB">
        <w:t xml:space="preserve">, </w:t>
      </w:r>
      <w:r w:rsidR="0079633A" w:rsidRPr="009118AB">
        <w:t>[die entweder von Sozialunternehmen gewährt oder zuerkannt werden, die gemäß Artikel 8:5 des Gesetzbuches der Gesellschaften und Vereinigungen zugelassen sind, oder von Gesellschaften, die in einem anderen Mitgliedstaat des Europäischen Wirtschaftsraums ansässig sind und in diesem Staat Rechtsvorschriften unterliegen, die den Bestimmungen des Gesetzbuches der Gesellschaften und Vereinigungen entsprechen, die auf die gemäß Artikel 8:5 dieses Gesetzbuches zugelassenen Sozialunternehmen anwendbar sind]</w:t>
      </w:r>
      <w:r w:rsidR="00C654FB" w:rsidRPr="009118AB">
        <w:t>:</w:t>
      </w:r>
    </w:p>
    <w:p w14:paraId="0E608302" w14:textId="77777777" w:rsidR="00C654FB" w:rsidRPr="009118AB" w:rsidRDefault="00C654FB" w:rsidP="00C654FB">
      <w:pPr>
        <w:jc w:val="both"/>
      </w:pPr>
    </w:p>
    <w:p w14:paraId="278EA511" w14:textId="2F7419E5" w:rsidR="00C654FB" w:rsidRPr="009118AB" w:rsidRDefault="00C654FB" w:rsidP="00C654FB">
      <w:pPr>
        <w:ind w:firstLine="708"/>
        <w:jc w:val="both"/>
      </w:pPr>
      <w:r w:rsidRPr="009118AB">
        <w:t>- die vom Minister der Finanzen und von dem oder den Ministern, zu dessen bezie</w:t>
      </w:r>
      <w:r w:rsidRPr="009118AB">
        <w:softHyphen/>
        <w:t>hungsweise deren Zuständigkeitsbereich die betreffenden Befugnisse gehören, zugelassen sind oder die</w:t>
      </w:r>
      <w:r w:rsidR="00D67EB8" w:rsidRPr="009118AB">
        <w:t> - </w:t>
      </w:r>
      <w:r w:rsidRPr="009118AB">
        <w:t>für die in einem anderen Mitgliedstaat des Europäischen Wirtschaftsraums ansässigen Gesellschaften</w:t>
      </w:r>
      <w:r w:rsidR="00D67EB8" w:rsidRPr="009118AB">
        <w:t> - </w:t>
      </w:r>
      <w:r w:rsidRPr="009118AB">
        <w:t>auf vergleichbare Weise zugelassen sind,</w:t>
      </w:r>
    </w:p>
    <w:p w14:paraId="265F3FA4" w14:textId="77777777" w:rsidR="00C654FB" w:rsidRPr="009118AB" w:rsidRDefault="00C654FB" w:rsidP="00C654FB">
      <w:pPr>
        <w:jc w:val="both"/>
      </w:pPr>
    </w:p>
    <w:p w14:paraId="2F192E7A" w14:textId="77777777" w:rsidR="00C654FB" w:rsidRPr="009118AB" w:rsidRDefault="00C654FB" w:rsidP="00C654FB">
      <w:pPr>
        <w:ind w:firstLine="708"/>
        <w:jc w:val="both"/>
      </w:pPr>
      <w:r w:rsidRPr="009118AB">
        <w:t>- deren ausschließlicher Gesellschaftszweck einer der folgenden ist:</w:t>
      </w:r>
    </w:p>
    <w:p w14:paraId="7418C520" w14:textId="77777777" w:rsidR="00C654FB" w:rsidRPr="009118AB" w:rsidRDefault="00C654FB" w:rsidP="00C654FB">
      <w:pPr>
        <w:jc w:val="both"/>
      </w:pPr>
    </w:p>
    <w:p w14:paraId="754F4F6A" w14:textId="77777777" w:rsidR="00C654FB" w:rsidRPr="009118AB" w:rsidRDefault="00C654FB" w:rsidP="00C654FB">
      <w:pPr>
        <w:ind w:firstLine="708"/>
        <w:jc w:val="both"/>
      </w:pPr>
      <w:r w:rsidRPr="009118AB">
        <w:rPr>
          <w:i/>
        </w:rPr>
        <w:t>a)</w:t>
      </w:r>
      <w:r w:rsidRPr="009118AB">
        <w:t> Personenbeistand,</w:t>
      </w:r>
    </w:p>
    <w:p w14:paraId="7EA679D5" w14:textId="77777777" w:rsidR="00C654FB" w:rsidRPr="009118AB" w:rsidRDefault="00C654FB" w:rsidP="00C654FB">
      <w:pPr>
        <w:jc w:val="both"/>
      </w:pPr>
    </w:p>
    <w:p w14:paraId="539CE8F9" w14:textId="77777777" w:rsidR="00C654FB" w:rsidRPr="009118AB" w:rsidRDefault="00C654FB" w:rsidP="00C654FB">
      <w:pPr>
        <w:ind w:firstLine="708"/>
        <w:jc w:val="both"/>
      </w:pPr>
      <w:r w:rsidRPr="009118AB">
        <w:rPr>
          <w:i/>
        </w:rPr>
        <w:t>b)</w:t>
      </w:r>
      <w:r w:rsidRPr="009118AB">
        <w:t> Erneuerung stillgelegter wirtschaftlicher Nutzflächen,</w:t>
      </w:r>
    </w:p>
    <w:p w14:paraId="45A27764" w14:textId="77777777" w:rsidR="00C654FB" w:rsidRPr="009118AB" w:rsidRDefault="00C654FB" w:rsidP="00C654FB">
      <w:pPr>
        <w:jc w:val="both"/>
      </w:pPr>
    </w:p>
    <w:p w14:paraId="04CB167E" w14:textId="77777777" w:rsidR="00C654FB" w:rsidRPr="009118AB" w:rsidRDefault="00C654FB" w:rsidP="00C654FB">
      <w:pPr>
        <w:ind w:firstLine="708"/>
        <w:jc w:val="both"/>
      </w:pPr>
      <w:r w:rsidRPr="009118AB">
        <w:rPr>
          <w:i/>
        </w:rPr>
        <w:t>c)</w:t>
      </w:r>
      <w:r w:rsidRPr="009118AB">
        <w:t> Umweltschutz und Wiederverwertung,</w:t>
      </w:r>
    </w:p>
    <w:p w14:paraId="7E2A871B" w14:textId="77777777" w:rsidR="00C654FB" w:rsidRPr="009118AB" w:rsidRDefault="00C654FB" w:rsidP="00C654FB">
      <w:pPr>
        <w:jc w:val="both"/>
      </w:pPr>
    </w:p>
    <w:p w14:paraId="408E24DF" w14:textId="77777777" w:rsidR="00C654FB" w:rsidRPr="009118AB" w:rsidRDefault="00C654FB" w:rsidP="00C654FB">
      <w:pPr>
        <w:ind w:firstLine="708"/>
        <w:jc w:val="both"/>
      </w:pPr>
      <w:r w:rsidRPr="009118AB">
        <w:rPr>
          <w:i/>
        </w:rPr>
        <w:t>d)</w:t>
      </w:r>
      <w:r w:rsidRPr="009118AB">
        <w:t> Naturschutz und Erhaltung der Natur,</w:t>
      </w:r>
    </w:p>
    <w:p w14:paraId="282967D7" w14:textId="77777777" w:rsidR="00C654FB" w:rsidRPr="009118AB" w:rsidRDefault="00C654FB" w:rsidP="00C654FB">
      <w:pPr>
        <w:jc w:val="both"/>
      </w:pPr>
    </w:p>
    <w:p w14:paraId="57815B00" w14:textId="77777777" w:rsidR="00C654FB" w:rsidRPr="009118AB" w:rsidRDefault="00C654FB" w:rsidP="00C654FB">
      <w:pPr>
        <w:ind w:firstLine="708"/>
        <w:jc w:val="both"/>
      </w:pPr>
      <w:r w:rsidRPr="009118AB">
        <w:rPr>
          <w:i/>
        </w:rPr>
        <w:t>e)</w:t>
      </w:r>
      <w:r w:rsidRPr="009118AB">
        <w:t> Erwerb, Bau, Renovierung, Verkauf oder Vermietung von Sozialwohnungen,</w:t>
      </w:r>
    </w:p>
    <w:p w14:paraId="188CFC2C" w14:textId="77777777" w:rsidR="00C654FB" w:rsidRPr="009118AB" w:rsidRDefault="00C654FB" w:rsidP="00C654FB">
      <w:pPr>
        <w:jc w:val="both"/>
      </w:pPr>
    </w:p>
    <w:p w14:paraId="73B2F069" w14:textId="77777777" w:rsidR="00C654FB" w:rsidRPr="009118AB" w:rsidRDefault="00C654FB" w:rsidP="00C654FB">
      <w:pPr>
        <w:ind w:firstLine="708"/>
        <w:jc w:val="both"/>
      </w:pPr>
      <w:r w:rsidRPr="009118AB">
        <w:rPr>
          <w:i/>
        </w:rPr>
        <w:t>f)</w:t>
      </w:r>
      <w:r w:rsidRPr="009118AB">
        <w:t> Hilfe für Entwicklungsländer,</w:t>
      </w:r>
    </w:p>
    <w:p w14:paraId="32BDD07A" w14:textId="77777777" w:rsidR="00C654FB" w:rsidRPr="009118AB" w:rsidRDefault="00C654FB" w:rsidP="00C654FB">
      <w:pPr>
        <w:jc w:val="both"/>
      </w:pPr>
    </w:p>
    <w:p w14:paraId="36F39430" w14:textId="77777777" w:rsidR="00C654FB" w:rsidRPr="009118AB" w:rsidRDefault="00C654FB" w:rsidP="00C654FB">
      <w:pPr>
        <w:ind w:firstLine="708"/>
        <w:jc w:val="both"/>
      </w:pPr>
      <w:r w:rsidRPr="009118AB">
        <w:rPr>
          <w:i/>
        </w:rPr>
        <w:t>g)</w:t>
      </w:r>
      <w:r w:rsidRPr="009118AB">
        <w:t> Erzeugung nachhaltiger Energie,</w:t>
      </w:r>
    </w:p>
    <w:p w14:paraId="3988D44C" w14:textId="77777777" w:rsidR="00C654FB" w:rsidRPr="009118AB" w:rsidRDefault="00C654FB" w:rsidP="00C654FB">
      <w:pPr>
        <w:jc w:val="both"/>
      </w:pPr>
    </w:p>
    <w:p w14:paraId="51453FCD" w14:textId="77777777" w:rsidR="00C654FB" w:rsidRPr="009118AB" w:rsidRDefault="00C654FB" w:rsidP="00C654FB">
      <w:pPr>
        <w:ind w:firstLine="708"/>
        <w:jc w:val="both"/>
      </w:pPr>
      <w:r w:rsidRPr="009118AB">
        <w:rPr>
          <w:i/>
        </w:rPr>
        <w:lastRenderedPageBreak/>
        <w:t>h)</w:t>
      </w:r>
      <w:r w:rsidRPr="009118AB">
        <w:t> Ausbildung,</w:t>
      </w:r>
    </w:p>
    <w:p w14:paraId="68AD6D4B" w14:textId="77777777" w:rsidR="00C654FB" w:rsidRPr="009118AB" w:rsidRDefault="00C654FB" w:rsidP="00C654FB">
      <w:pPr>
        <w:jc w:val="both"/>
      </w:pPr>
    </w:p>
    <w:p w14:paraId="6046BD92" w14:textId="77777777" w:rsidR="00C654FB" w:rsidRPr="009118AB" w:rsidRDefault="00C654FB" w:rsidP="00C654FB">
      <w:pPr>
        <w:ind w:firstLine="708"/>
        <w:jc w:val="both"/>
      </w:pPr>
      <w:r w:rsidRPr="009118AB">
        <w:rPr>
          <w:i/>
        </w:rPr>
        <w:t>i)</w:t>
      </w:r>
      <w:r w:rsidRPr="009118AB">
        <w:t> Finanzierung der vorerwähnten Gesellschaften,</w:t>
      </w:r>
    </w:p>
    <w:p w14:paraId="14E37663" w14:textId="77777777" w:rsidR="00C654FB" w:rsidRPr="009118AB" w:rsidRDefault="00C654FB" w:rsidP="00C654FB">
      <w:pPr>
        <w:jc w:val="both"/>
      </w:pPr>
    </w:p>
    <w:p w14:paraId="75418077" w14:textId="1BF10A8B" w:rsidR="00477B8F" w:rsidRPr="009118AB" w:rsidRDefault="00C654FB" w:rsidP="00BF72DB">
      <w:pPr>
        <w:autoSpaceDE w:val="0"/>
        <w:autoSpaceDN w:val="0"/>
        <w:adjustRightInd w:val="0"/>
        <w:jc w:val="both"/>
        <w:rPr>
          <w:spacing w:val="-2"/>
        </w:rPr>
      </w:pPr>
      <w:r w:rsidRPr="009118AB">
        <w:rPr>
          <w:spacing w:val="-2"/>
        </w:rPr>
        <w:t xml:space="preserve">und sofern ihre Satzung festlegt, dass im Falle einer Liquidation das gesamte Reinvermögen reinvestiert wird </w:t>
      </w:r>
      <w:r w:rsidR="0079633A" w:rsidRPr="009118AB">
        <w:rPr>
          <w:spacing w:val="-2"/>
        </w:rPr>
        <w:t>[</w:t>
      </w:r>
      <w:r w:rsidR="0079633A" w:rsidRPr="009118AB">
        <w:t>in ein anderes im vorhergehenden Gedankenstrich erwähntes Sozialunternehmen oder in eine andere Gesellschaft, die in einem anderen Mitgliedstaat des Europäischen Wirtschaftsraums ansässig ist und in diesem Staat Rechtsvorschriften unterliegt, die den Bestimmungen des Gesetzbuches der Gesellschaften und Vereinigungen entsprechen, die auf die im vorhergehenden Gedankenstrich erwähnten Sozialunternehmen anwendbar sind</w:t>
      </w:r>
      <w:r w:rsidR="0079633A" w:rsidRPr="009118AB">
        <w:rPr>
          <w:spacing w:val="-2"/>
        </w:rPr>
        <w:t>]</w:t>
      </w:r>
      <w:r w:rsidRPr="009118AB">
        <w:rPr>
          <w:spacing w:val="-2"/>
        </w:rPr>
        <w:t>,]</w:t>
      </w:r>
      <w:r w:rsidR="00477B8F" w:rsidRPr="009118AB">
        <w:rPr>
          <w:spacing w:val="-2"/>
        </w:rPr>
        <w:t>]</w:t>
      </w:r>
    </w:p>
    <w:p w14:paraId="6CEA4086" w14:textId="77777777" w:rsidR="00F450FD" w:rsidRPr="009118AB" w:rsidRDefault="00F450FD" w:rsidP="00477B8F">
      <w:pPr>
        <w:autoSpaceDE w:val="0"/>
        <w:autoSpaceDN w:val="0"/>
        <w:adjustRightInd w:val="0"/>
        <w:jc w:val="both"/>
      </w:pPr>
    </w:p>
    <w:p w14:paraId="71BA5913" w14:textId="77777777" w:rsidR="00F450FD" w:rsidRPr="009118AB" w:rsidRDefault="00F450FD" w:rsidP="00477B8F">
      <w:pPr>
        <w:autoSpaceDE w:val="0"/>
        <w:autoSpaceDN w:val="0"/>
        <w:adjustRightInd w:val="0"/>
        <w:jc w:val="both"/>
      </w:pPr>
      <w:r w:rsidRPr="009118AB">
        <w:tab/>
        <w:t xml:space="preserve">[11. in Artikel 209 erwähnte Dividenden in dem Maße, wie sie infolge einer Herabsetzung </w:t>
      </w:r>
      <w:r w:rsidR="002B5CC9" w:rsidRPr="009118AB">
        <w:t>[der in Artikel 184</w:t>
      </w:r>
      <w:r w:rsidR="002B5CC9" w:rsidRPr="009118AB">
        <w:rPr>
          <w:i/>
        </w:rPr>
        <w:t>quater</w:t>
      </w:r>
      <w:r w:rsidR="002B5CC9" w:rsidRPr="009118AB">
        <w:t xml:space="preserve"> oder in Artikel 541 erwähnten Liquidationsrücklage]</w:t>
      </w:r>
      <w:r w:rsidRPr="009118AB">
        <w:t xml:space="preserve"> zuerkannt oder ausgeschüttet werden, oder </w:t>
      </w:r>
      <w:r w:rsidR="007635CC" w:rsidRPr="009118AB">
        <w:t>[Dividenden ausländischer Herkunft]</w:t>
      </w:r>
      <w:r w:rsidRPr="009118AB">
        <w:t xml:space="preserve"> in dem Maße, wie sie infolge ähnlicher Bestimmungen oder infolge von Bestimmungen mit gleich</w:t>
      </w:r>
      <w:r w:rsidRPr="009118AB">
        <w:softHyphen/>
        <w:t>wertigen Auswirkungen eines anderen Mitgliedstaats des Europäischen Wirtschaftsraums zuer</w:t>
      </w:r>
      <w:r w:rsidR="00524171" w:rsidRPr="009118AB">
        <w:t>kannt oder ausgeschüttet werden,</w:t>
      </w:r>
      <w:r w:rsidRPr="009118AB">
        <w:t>]</w:t>
      </w:r>
    </w:p>
    <w:p w14:paraId="14F82C9C" w14:textId="77777777" w:rsidR="00524171" w:rsidRPr="009118AB" w:rsidRDefault="00524171" w:rsidP="00477B8F">
      <w:pPr>
        <w:autoSpaceDE w:val="0"/>
        <w:autoSpaceDN w:val="0"/>
        <w:adjustRightInd w:val="0"/>
        <w:jc w:val="both"/>
      </w:pPr>
    </w:p>
    <w:p w14:paraId="0FD41625" w14:textId="20D06B52" w:rsidR="00524171" w:rsidRPr="009118AB" w:rsidRDefault="00524171" w:rsidP="00477B8F">
      <w:pPr>
        <w:autoSpaceDE w:val="0"/>
        <w:autoSpaceDN w:val="0"/>
        <w:adjustRightInd w:val="0"/>
        <w:jc w:val="both"/>
      </w:pPr>
      <w:r w:rsidRPr="009118AB">
        <w:tab/>
        <w:t>[12. </w:t>
      </w:r>
      <w:r w:rsidR="008604AB" w:rsidRPr="009118AB">
        <w:t>[</w:t>
      </w:r>
      <w:r w:rsidR="00917C85" w:rsidRPr="00FF1F87">
        <w:t>Einkünfte, die von einer Körperschaft zuerkannt oder ausgeschüttet werden, die für mindestens einen der drei abgelaufenen Besteuerungszeiträume als Rechtsvereinbarung oder zwischengeschaltete Konstruktion galt, in dem Maße, wie nachgewiesen wird, dass die von einer Rechtsvereinbarung bezogenen Einkünfte, die bei einer natürlichen Person oder einer in Artikel 220 erwähnten juristischen Person in Anwendung von Artikel 5/1, Artikel 18 Absatz 1 Nr. 3/1 oder Artikel 220/1 in Belgien bereits ihrem Besteuerungssystem unterworfen waren, sich in diesen erstgenannten Einkünften befinden,</w:t>
      </w:r>
      <w:r w:rsidR="00DD65E2" w:rsidRPr="009118AB">
        <w:t>]</w:t>
      </w:r>
      <w:r w:rsidRPr="009118AB">
        <w:t>]</w:t>
      </w:r>
    </w:p>
    <w:p w14:paraId="56624921" w14:textId="77777777" w:rsidR="00AC1FD4" w:rsidRPr="009118AB" w:rsidRDefault="00AC1FD4" w:rsidP="00477B8F">
      <w:pPr>
        <w:autoSpaceDE w:val="0"/>
        <w:autoSpaceDN w:val="0"/>
        <w:adjustRightInd w:val="0"/>
        <w:jc w:val="both"/>
      </w:pPr>
    </w:p>
    <w:p w14:paraId="139C5FF7" w14:textId="0206B671" w:rsidR="00AC1FD4" w:rsidRPr="009118AB" w:rsidRDefault="00AC1FD4" w:rsidP="00AC1FD4">
      <w:pPr>
        <w:ind w:firstLine="708"/>
        <w:jc w:val="both"/>
      </w:pPr>
      <w:r w:rsidRPr="009118AB">
        <w:tab/>
        <w:t xml:space="preserve">[13. unbeschadet der Anwendung von Artikel 18 Absatz 1 </w:t>
      </w:r>
      <w:r w:rsidR="00D67EB8" w:rsidRPr="009118AB">
        <w:t>Nr. </w:t>
      </w:r>
      <w:r w:rsidRPr="009118AB">
        <w:t>4 und Absatz 2 Zinsen in Bezug auf den ersten Teilbetrag von 9.965 EUR</w:t>
      </w:r>
      <w:r w:rsidR="00D67EB8" w:rsidRPr="009118AB">
        <w:t> - </w:t>
      </w:r>
      <w:r w:rsidRPr="009118AB">
        <w:t>pro Jahr und Steuerpflichtigen</w:t>
      </w:r>
      <w:r w:rsidR="00D67EB8" w:rsidRPr="009118AB">
        <w:t> - </w:t>
      </w:r>
      <w:r w:rsidRPr="009118AB">
        <w:t>neuer und außerhalb der Berufstätigkeit des Darlehensgebers abgeschlossener Darlehen, die eine natürliche Person einem Unternehmen über eine zugelassene Crowdfunding-Plattform während vier Jahren leiht, um es diesem Unternehmen zu ermöglichen, neue wirtschaftliche Initiativen zu finanzieren, sofern folgende Bedingungen eingehalten werden:</w:t>
      </w:r>
    </w:p>
    <w:p w14:paraId="711A4C90" w14:textId="77777777" w:rsidR="00AC1FD4" w:rsidRPr="009118AB" w:rsidRDefault="00AC1FD4" w:rsidP="00AC1FD4">
      <w:pPr>
        <w:jc w:val="both"/>
      </w:pPr>
    </w:p>
    <w:p w14:paraId="18F8153E" w14:textId="1E8EB990" w:rsidR="00AC1FD4" w:rsidRPr="009118AB" w:rsidRDefault="00AC1FD4" w:rsidP="00AC1FD4">
      <w:pPr>
        <w:ind w:firstLine="708"/>
        <w:jc w:val="both"/>
      </w:pPr>
      <w:r w:rsidRPr="009118AB">
        <w:rPr>
          <w:i/>
        </w:rPr>
        <w:t>a)</w:t>
      </w:r>
      <w:r w:rsidRPr="009118AB">
        <w:t xml:space="preserve"> Der Darlehensnehmer gilt </w:t>
      </w:r>
      <w:r w:rsidR="003F4F6F" w:rsidRPr="009118AB">
        <w:t>[...</w:t>
      </w:r>
      <w:r w:rsidR="00700AD2" w:rsidRPr="009118AB">
        <w:t xml:space="preserve">] </w:t>
      </w:r>
      <w:r w:rsidRPr="009118AB">
        <w:t xml:space="preserve">als kleine Gesellschaft </w:t>
      </w:r>
      <w:r w:rsidR="00D30515" w:rsidRPr="009118AB">
        <w:t>[...].</w:t>
      </w:r>
    </w:p>
    <w:p w14:paraId="0053B8C7" w14:textId="77777777" w:rsidR="00AC1FD4" w:rsidRPr="009118AB" w:rsidRDefault="00AC1FD4" w:rsidP="00AC1FD4">
      <w:pPr>
        <w:jc w:val="both"/>
      </w:pPr>
    </w:p>
    <w:p w14:paraId="26E46830" w14:textId="7B5F1244" w:rsidR="00AC1FD4" w:rsidRPr="009118AB" w:rsidRDefault="00AC1FD4" w:rsidP="00AC1FD4">
      <w:pPr>
        <w:ind w:firstLine="708"/>
        <w:jc w:val="both"/>
      </w:pPr>
      <w:r w:rsidRPr="009118AB">
        <w:rPr>
          <w:i/>
        </w:rPr>
        <w:t>b)</w:t>
      </w:r>
      <w:r w:rsidRPr="009118AB">
        <w:t xml:space="preserve"> Der Darlehensnehmer ist seit höchstens achtundvierzig Monaten in der </w:t>
      </w:r>
      <w:r w:rsidR="005F3808" w:rsidRPr="009118AB">
        <w:t>zentralen</w:t>
      </w:r>
      <w:r w:rsidRPr="009118AB">
        <w:t xml:space="preserve"> Datenbank der Unternehmen oder in einem entsprechenden Register eines anderen Mitgliedstaates des Europäischen Wirtschaftsraums eingetragen.</w:t>
      </w:r>
    </w:p>
    <w:p w14:paraId="237DAE44" w14:textId="77777777" w:rsidR="00AC1FD4" w:rsidRPr="009118AB" w:rsidRDefault="00AC1FD4" w:rsidP="00AC1FD4">
      <w:pPr>
        <w:jc w:val="both"/>
      </w:pPr>
    </w:p>
    <w:p w14:paraId="27932ABD" w14:textId="77777777" w:rsidR="00AC1FD4" w:rsidRPr="009118AB" w:rsidRDefault="00AC1FD4" w:rsidP="00AC1FD4">
      <w:pPr>
        <w:ind w:firstLine="708"/>
        <w:jc w:val="both"/>
      </w:pPr>
      <w:r w:rsidRPr="009118AB">
        <w:rPr>
          <w:i/>
        </w:rPr>
        <w:t>c)</w:t>
      </w:r>
      <w:r w:rsidRPr="009118AB">
        <w:t> Die Darlehen werden auf der Grundlage jährlich zu zahlender Zinsen mit einer Laufzeit von mindestens vier Jahren abgeschlossen.</w:t>
      </w:r>
    </w:p>
    <w:p w14:paraId="53DB6BCD" w14:textId="77777777" w:rsidR="00AC1FD4" w:rsidRPr="009118AB" w:rsidRDefault="00AC1FD4" w:rsidP="00AC1FD4">
      <w:pPr>
        <w:jc w:val="both"/>
      </w:pPr>
    </w:p>
    <w:p w14:paraId="23C37AD4" w14:textId="77777777" w:rsidR="00AC1FD4" w:rsidRPr="009118AB" w:rsidRDefault="00AC1FD4" w:rsidP="00AC1FD4">
      <w:pPr>
        <w:ind w:firstLine="708"/>
        <w:jc w:val="both"/>
      </w:pPr>
      <w:r w:rsidRPr="009118AB">
        <w:rPr>
          <w:i/>
        </w:rPr>
        <w:t>d)</w:t>
      </w:r>
      <w:r w:rsidRPr="009118AB">
        <w:t> Refinanzierungsdarlehen werden für die Anwendung der vorliegenden Maßnahme nicht berücksichtigt.</w:t>
      </w:r>
    </w:p>
    <w:p w14:paraId="1D4BEB50" w14:textId="77777777" w:rsidR="00AC1FD4" w:rsidRPr="009118AB" w:rsidRDefault="00AC1FD4" w:rsidP="00AC1FD4">
      <w:pPr>
        <w:jc w:val="both"/>
      </w:pPr>
    </w:p>
    <w:p w14:paraId="048F1CCE" w14:textId="42AF9FED" w:rsidR="00AC1FD4" w:rsidRPr="009118AB" w:rsidRDefault="00AC1FD4" w:rsidP="00AC1FD4">
      <w:pPr>
        <w:autoSpaceDE w:val="0"/>
        <w:autoSpaceDN w:val="0"/>
        <w:adjustRightInd w:val="0"/>
        <w:jc w:val="both"/>
      </w:pPr>
      <w:r w:rsidRPr="009118AB">
        <w:rPr>
          <w:i/>
        </w:rPr>
        <w:tab/>
        <w:t>e)</w:t>
      </w:r>
      <w:r w:rsidRPr="009118AB">
        <w:t> </w:t>
      </w:r>
      <w:r w:rsidR="00B37764" w:rsidRPr="009118AB">
        <w:t xml:space="preserve">[Die belgische Crowdfunding-Plattform oder die Crowdfunding-Plattform, die dem Recht eines anderen Mitgliedstaates des Europäischen Wirtschaftsraums unterliegt, </w:t>
      </w:r>
      <w:r w:rsidR="00E504C7" w:rsidRPr="009118AB">
        <w:t xml:space="preserve">[muss von der Autorität Finanzielle Dienste und Märkte oder von der zuständigen Behörde ihres Herkunftsmitgliedstaates gemäß Artikel 12 der Verordnung (EU) 2020/1503 des Europäischen </w:t>
      </w:r>
      <w:r w:rsidR="00E504C7" w:rsidRPr="009118AB">
        <w:lastRenderedPageBreak/>
        <w:t>Parlaments und des Rates vom 7. Oktober 2020 über Europäische Schwarmfinanzierungs</w:t>
      </w:r>
      <w:r w:rsidR="003F4F6F" w:rsidRPr="009118AB">
        <w:softHyphen/>
      </w:r>
      <w:r w:rsidR="00E504C7" w:rsidRPr="009118AB">
        <w:t>dienstleister für Unternehmen und zur Änderung der Verord</w:t>
      </w:r>
      <w:r w:rsidR="00E504C7" w:rsidRPr="009118AB">
        <w:softHyphen/>
        <w:t>nung (EU) 2017/1129 und der Richtlinie (EU) 2019/1937 als Schwarmfinanzierungs</w:t>
      </w:r>
      <w:r w:rsidR="00E504C7" w:rsidRPr="009118AB">
        <w:softHyphen/>
        <w:t>dienstleister zugelassen sein]</w:t>
      </w:r>
      <w:r w:rsidR="00B37764" w:rsidRPr="009118AB">
        <w:t>.]</w:t>
      </w:r>
      <w:r w:rsidRPr="009118AB">
        <w:t>]</w:t>
      </w:r>
    </w:p>
    <w:p w14:paraId="0150BBEB" w14:textId="77777777" w:rsidR="00B37764" w:rsidRPr="009118AB" w:rsidRDefault="00B37764" w:rsidP="00AC1FD4">
      <w:pPr>
        <w:autoSpaceDE w:val="0"/>
        <w:autoSpaceDN w:val="0"/>
        <w:adjustRightInd w:val="0"/>
        <w:jc w:val="both"/>
      </w:pPr>
    </w:p>
    <w:p w14:paraId="1145D8E0" w14:textId="3D383F06" w:rsidR="00B37764" w:rsidRPr="009118AB" w:rsidRDefault="00B37764" w:rsidP="00AC1FD4">
      <w:pPr>
        <w:autoSpaceDE w:val="0"/>
        <w:autoSpaceDN w:val="0"/>
        <w:adjustRightInd w:val="0"/>
        <w:jc w:val="both"/>
      </w:pPr>
      <w:r w:rsidRPr="009118AB">
        <w:tab/>
        <w:t>[</w:t>
      </w:r>
      <w:r w:rsidRPr="009118AB">
        <w:rPr>
          <w:i/>
        </w:rPr>
        <w:t>f)</w:t>
      </w:r>
      <w:r w:rsidRPr="009118AB">
        <w:t xml:space="preserve"> Die Darlehen werden startenden Unternehmen </w:t>
      </w:r>
      <w:r w:rsidR="00200323" w:rsidRPr="009118AB">
        <w:t>[</w:t>
      </w:r>
      <w:r w:rsidRPr="009118AB">
        <w:t>von Steuerpflichtigen</w:t>
      </w:r>
      <w:r w:rsidR="00200323" w:rsidRPr="009118AB">
        <w:t>]</w:t>
      </w:r>
      <w:r w:rsidRPr="009118AB">
        <w:t xml:space="preserve"> gewährt, die Anlageinstrumente zeichnen, die diese Darlehen verbriefen und von diesen Unternehmen im Rahmen eines Kauf- oder Zeichnungsangebots </w:t>
      </w:r>
      <w:r w:rsidR="00A7620E" w:rsidRPr="009118AB">
        <w:t>[gemäß dem Gesetz vom 11. Juli 2018 über das öffentliche Angebot von Anlageinstrumenten und deren Zulassung zum Handel an geregelten Märkten und der Verordnung (EU) 2017/1129 des Europäischen Parlaments und des Rates vom 14. Juni 2017 über den Prospekt, der beim öffentlichen Angebot von Wertpapieren oder bei deren Zulassung zum Handel an einem geregelten Markt zu veröffentlichen ist, und zur Aufhebung der Richtlinie 2003/71/EG]</w:t>
      </w:r>
      <w:r w:rsidRPr="009118AB">
        <w:t xml:space="preserve"> ausgegeben werden</w:t>
      </w:r>
      <w:r w:rsidR="00200323" w:rsidRPr="009118AB">
        <w:t xml:space="preserve"> [...]</w:t>
      </w:r>
      <w:r w:rsidR="00BF72DB" w:rsidRPr="009118AB">
        <w:t>,</w:t>
      </w:r>
      <w:r w:rsidRPr="009118AB">
        <w:t>]</w:t>
      </w:r>
    </w:p>
    <w:p w14:paraId="3F9DCD30" w14:textId="77777777" w:rsidR="00BF72DB" w:rsidRPr="009118AB" w:rsidRDefault="00BF72DB" w:rsidP="00AC1FD4">
      <w:pPr>
        <w:autoSpaceDE w:val="0"/>
        <w:autoSpaceDN w:val="0"/>
        <w:adjustRightInd w:val="0"/>
        <w:jc w:val="both"/>
      </w:pPr>
    </w:p>
    <w:p w14:paraId="23D5782D" w14:textId="6BE84591" w:rsidR="00BF72DB" w:rsidRPr="009118AB" w:rsidRDefault="00BF72DB" w:rsidP="00AC1FD4">
      <w:pPr>
        <w:autoSpaceDE w:val="0"/>
        <w:autoSpaceDN w:val="0"/>
        <w:adjustRightInd w:val="0"/>
        <w:jc w:val="both"/>
      </w:pPr>
      <w:r w:rsidRPr="009118AB">
        <w:tab/>
        <w:t xml:space="preserve">[14. den ersten Teilbetrag von </w:t>
      </w:r>
      <w:r w:rsidR="00F61E69" w:rsidRPr="009118AB">
        <w:t>[5</w:t>
      </w:r>
      <w:r w:rsidRPr="009118AB">
        <w:t>1</w:t>
      </w:r>
      <w:r w:rsidR="00F61E69" w:rsidRPr="009118AB">
        <w:t>2</w:t>
      </w:r>
      <w:r w:rsidRPr="009118AB">
        <w:t>,50 EUR</w:t>
      </w:r>
      <w:r w:rsidR="00F61E69" w:rsidRPr="009118AB">
        <w:t>]</w:t>
      </w:r>
      <w:r w:rsidRPr="009118AB">
        <w:t xml:space="preserve"> der in Artikel 18 Absatz 1 </w:t>
      </w:r>
      <w:r w:rsidR="00D67EB8" w:rsidRPr="009118AB">
        <w:t>Nr. </w:t>
      </w:r>
      <w:r w:rsidRPr="009118AB">
        <w:t>1 erwähnten Dividenden, mit Ausnahme der Dividenden, die von Rechtsvereinbarungen ausgeschüttet oder in Anwendung von Artikel 5/1 über Rechtsvereinbarungen bezogen werden, der Divi</w:t>
      </w:r>
      <w:r w:rsidRPr="009118AB">
        <w:softHyphen/>
        <w:t>denden von Organismen für gemeinsame Anlagen und der über gemeinsame Investmentfonds bezogenen Dividenden.]</w:t>
      </w:r>
    </w:p>
    <w:p w14:paraId="4F702E50" w14:textId="77777777" w:rsidR="00B37764" w:rsidRPr="009118AB" w:rsidRDefault="00B37764" w:rsidP="00AC1FD4">
      <w:pPr>
        <w:autoSpaceDE w:val="0"/>
        <w:autoSpaceDN w:val="0"/>
        <w:adjustRightInd w:val="0"/>
        <w:jc w:val="both"/>
      </w:pPr>
    </w:p>
    <w:p w14:paraId="1DAD9658" w14:textId="5FEBB300" w:rsidR="008604AB" w:rsidRPr="009118AB" w:rsidRDefault="008604AB" w:rsidP="00AC1FD4">
      <w:pPr>
        <w:autoSpaceDE w:val="0"/>
        <w:autoSpaceDN w:val="0"/>
        <w:adjustRightInd w:val="0"/>
        <w:jc w:val="both"/>
      </w:pPr>
      <w:r w:rsidRPr="009118AB">
        <w:tab/>
        <w:t>[</w:t>
      </w:r>
      <w:r w:rsidR="00186364" w:rsidRPr="00FF1F87">
        <w:t>Für die Anwendung von Absatz 1 Nr. 12 und von Artikel 5/1 § 1 Absatz 3 wird davon ausgegangen, dass die ältesten bezogenen Einkünfte als Erstes ausgeschüttet werden, und wird auch davon ausgegangen, dass die Einkünfte in Belgien nicht ihrem Besteuerungssystem unterworfen waren, wenn sie nicht in den Anwendungsbereich des vorliegenden Gesetzbuches fallen oder aufgrund des vorliegenden Gesetzbuches oder eines Abkommens steuerfrei sind.</w:t>
      </w:r>
      <w:r w:rsidR="00186364">
        <w:t>]</w:t>
      </w:r>
    </w:p>
    <w:p w14:paraId="276D7B4C" w14:textId="77777777" w:rsidR="00F61E69" w:rsidRPr="009118AB" w:rsidRDefault="00B37764" w:rsidP="00AC1FD4">
      <w:pPr>
        <w:autoSpaceDE w:val="0"/>
        <w:autoSpaceDN w:val="0"/>
        <w:adjustRightInd w:val="0"/>
        <w:jc w:val="both"/>
      </w:pPr>
      <w:r w:rsidRPr="009118AB">
        <w:tab/>
      </w:r>
      <w:r w:rsidR="00F61E69" w:rsidRPr="009118AB">
        <w:tab/>
      </w:r>
    </w:p>
    <w:p w14:paraId="2E1FD778" w14:textId="7299C53C" w:rsidR="00F61E69" w:rsidRPr="009118AB" w:rsidRDefault="00B37764" w:rsidP="00F61E69">
      <w:pPr>
        <w:autoSpaceDE w:val="0"/>
        <w:autoSpaceDN w:val="0"/>
        <w:adjustRightInd w:val="0"/>
        <w:ind w:firstLine="709"/>
        <w:jc w:val="both"/>
      </w:pPr>
      <w:r w:rsidRPr="009118AB">
        <w:t xml:space="preserve">[Der König bestimmt, wie der Nachweis über die Einhaltung der in Absatz 1 </w:t>
      </w:r>
      <w:r w:rsidR="00D67EB8" w:rsidRPr="009118AB">
        <w:t>Nr. </w:t>
      </w:r>
      <w:r w:rsidRPr="009118AB">
        <w:t>13 erwähnten Bedingungen zu erbringen ist.]</w:t>
      </w:r>
    </w:p>
    <w:p w14:paraId="1699EDAA" w14:textId="77777777" w:rsidR="00F61E69" w:rsidRPr="009118AB" w:rsidRDefault="00F61E69" w:rsidP="00F61E69">
      <w:pPr>
        <w:autoSpaceDE w:val="0"/>
        <w:autoSpaceDN w:val="0"/>
        <w:adjustRightInd w:val="0"/>
        <w:ind w:firstLine="709"/>
        <w:jc w:val="both"/>
      </w:pPr>
    </w:p>
    <w:p w14:paraId="2A3F48C8" w14:textId="2DDD1383" w:rsidR="00B37764" w:rsidRPr="009118AB" w:rsidRDefault="00F61E69" w:rsidP="00F61E69">
      <w:pPr>
        <w:autoSpaceDE w:val="0"/>
        <w:autoSpaceDN w:val="0"/>
        <w:adjustRightInd w:val="0"/>
        <w:ind w:firstLine="709"/>
        <w:jc w:val="both"/>
      </w:pPr>
      <w:r w:rsidRPr="009118AB">
        <w:t xml:space="preserve">[Der König ändert gegebenenfalls den in Absatz 1 </w:t>
      </w:r>
      <w:r w:rsidR="00D67EB8" w:rsidRPr="009118AB">
        <w:t>Nr. </w:t>
      </w:r>
      <w:r w:rsidRPr="009118AB">
        <w:t>14 erwähnten Betrag, sodass er sich nach Anwendung von Artikel 178 für die 2019 gezahlten oder zuerkannten Einkünfte auf 800 EUR beläuft. Unbeschadet der Anwendung von Artikel 178 ist der so geänderte Betrag auf die ab dem 1. Januar 2019 gezahlten oder zuerkannten Einkünfte anwendbar.]</w:t>
      </w:r>
      <w:r w:rsidR="00B37764" w:rsidRPr="009118AB">
        <w:rPr>
          <w:i/>
        </w:rPr>
        <w:t xml:space="preserve"> </w:t>
      </w:r>
    </w:p>
    <w:p w14:paraId="58D7F912" w14:textId="77777777" w:rsidR="00477B8F" w:rsidRPr="009118AB" w:rsidRDefault="00477B8F" w:rsidP="00477B8F">
      <w:pPr>
        <w:autoSpaceDE w:val="0"/>
        <w:autoSpaceDN w:val="0"/>
        <w:adjustRightInd w:val="0"/>
        <w:jc w:val="both"/>
      </w:pPr>
    </w:p>
    <w:p w14:paraId="707B0E43" w14:textId="6C2CC14D" w:rsidR="00477B8F" w:rsidRPr="009118AB" w:rsidRDefault="00477B8F" w:rsidP="000421B2">
      <w:pPr>
        <w:autoSpaceDE w:val="0"/>
        <w:autoSpaceDN w:val="0"/>
        <w:adjustRightInd w:val="0"/>
        <w:jc w:val="both"/>
        <w:rPr>
          <w:i/>
          <w:iCs/>
        </w:rPr>
      </w:pPr>
      <w:r w:rsidRPr="009118AB">
        <w:rPr>
          <w:i/>
          <w:iCs/>
        </w:rPr>
        <w:t>[</w:t>
      </w:r>
      <w:r w:rsidR="00D67EB8" w:rsidRPr="009118AB">
        <w:rPr>
          <w:i/>
          <w:iCs/>
        </w:rPr>
        <w:t>Art. </w:t>
      </w:r>
      <w:r w:rsidRPr="009118AB">
        <w:rPr>
          <w:i/>
          <w:iCs/>
        </w:rPr>
        <w:t xml:space="preserve">21 </w:t>
      </w:r>
      <w:r w:rsidR="00D67EB8" w:rsidRPr="009118AB">
        <w:rPr>
          <w:i/>
          <w:iCs/>
        </w:rPr>
        <w:t>Abs. </w:t>
      </w:r>
      <w:r w:rsidR="008B6D76" w:rsidRPr="009118AB">
        <w:rPr>
          <w:i/>
          <w:iCs/>
        </w:rPr>
        <w:t xml:space="preserve">1 </w:t>
      </w:r>
      <w:r w:rsidR="00D67EB8" w:rsidRPr="009118AB">
        <w:rPr>
          <w:i/>
          <w:iCs/>
        </w:rPr>
        <w:t>Nr. </w:t>
      </w:r>
      <w:r w:rsidR="008B6D76" w:rsidRPr="009118AB">
        <w:rPr>
          <w:i/>
          <w:iCs/>
        </w:rPr>
        <w:t xml:space="preserve">1 aufgehoben durch </w:t>
      </w:r>
      <w:r w:rsidR="00D67EB8" w:rsidRPr="009118AB">
        <w:rPr>
          <w:i/>
          <w:iCs/>
        </w:rPr>
        <w:t>Art. </w:t>
      </w:r>
      <w:r w:rsidR="008B6D76" w:rsidRPr="009118AB">
        <w:rPr>
          <w:i/>
          <w:iCs/>
        </w:rPr>
        <w:t>23</w:t>
      </w:r>
      <w:r w:rsidR="008B6D76" w:rsidRPr="009118AB">
        <w:rPr>
          <w:i/>
        </w:rPr>
        <w:t xml:space="preserve"> des G. vom 27. Juni 2021 (B.S. vom 30. Juni 2021); </w:t>
      </w:r>
      <w:r w:rsidR="00D67EB8" w:rsidRPr="009118AB">
        <w:rPr>
          <w:i/>
          <w:iCs/>
        </w:rPr>
        <w:t>Abs. </w:t>
      </w:r>
      <w:r w:rsidR="00B37764" w:rsidRPr="009118AB">
        <w:rPr>
          <w:i/>
          <w:iCs/>
        </w:rPr>
        <w:t xml:space="preserve">1 (früherer </w:t>
      </w:r>
      <w:r w:rsidRPr="009118AB">
        <w:rPr>
          <w:i/>
          <w:iCs/>
        </w:rPr>
        <w:t>einziger Absatz</w:t>
      </w:r>
      <w:r w:rsidR="00B37764" w:rsidRPr="009118AB">
        <w:rPr>
          <w:i/>
          <w:iCs/>
        </w:rPr>
        <w:t>)</w:t>
      </w:r>
      <w:r w:rsidRPr="009118AB">
        <w:rPr>
          <w:i/>
          <w:iCs/>
        </w:rPr>
        <w:t xml:space="preserve"> </w:t>
      </w:r>
      <w:r w:rsidR="00D67EB8" w:rsidRPr="009118AB">
        <w:rPr>
          <w:i/>
          <w:iCs/>
        </w:rPr>
        <w:t>Nr. </w:t>
      </w:r>
      <w:r w:rsidRPr="009118AB">
        <w:rPr>
          <w:i/>
          <w:iCs/>
        </w:rPr>
        <w:t xml:space="preserve">2 ersetzt durch </w:t>
      </w:r>
      <w:r w:rsidR="00D67EB8" w:rsidRPr="009118AB">
        <w:rPr>
          <w:i/>
          <w:iCs/>
        </w:rPr>
        <w:t>Art. </w:t>
      </w:r>
      <w:r w:rsidRPr="009118AB">
        <w:rPr>
          <w:i/>
          <w:iCs/>
        </w:rPr>
        <w:t>3 des G. vom 24. Dezember 2002</w:t>
      </w:r>
      <w:r w:rsidR="00F66BE3" w:rsidRPr="009118AB">
        <w:rPr>
          <w:i/>
          <w:iCs/>
        </w:rPr>
        <w:t> </w:t>
      </w:r>
      <w:r w:rsidR="00D86BCC" w:rsidRPr="009118AB">
        <w:rPr>
          <w:i/>
          <w:iCs/>
        </w:rPr>
        <w:t>(II)</w:t>
      </w:r>
      <w:r w:rsidRPr="009118AB">
        <w:rPr>
          <w:i/>
          <w:iCs/>
        </w:rPr>
        <w:t xml:space="preserve"> (B.S.</w:t>
      </w:r>
      <w:r w:rsidR="00D86BCC" w:rsidRPr="009118AB">
        <w:rPr>
          <w:i/>
          <w:iCs/>
        </w:rPr>
        <w:t> </w:t>
      </w:r>
      <w:r w:rsidRPr="009118AB">
        <w:rPr>
          <w:i/>
          <w:iCs/>
        </w:rPr>
        <w:t>vom 31. Dezember 2002)</w:t>
      </w:r>
      <w:r w:rsidR="00D67EB8" w:rsidRPr="009118AB">
        <w:rPr>
          <w:i/>
          <w:iCs/>
        </w:rPr>
        <w:t> - </w:t>
      </w:r>
      <w:r w:rsidRPr="009118AB">
        <w:rPr>
          <w:i/>
          <w:iCs/>
        </w:rPr>
        <w:t xml:space="preserve">anwendbar auf Einkünfte, die zuerkannt oder ausgeschüttet werden oder als solche anzusehen sind ab dem 1. Januar 2002, insofern, wenn es sich um in </w:t>
      </w:r>
      <w:r w:rsidR="00D67EB8" w:rsidRPr="009118AB">
        <w:rPr>
          <w:i/>
          <w:iCs/>
        </w:rPr>
        <w:t>Art. </w:t>
      </w:r>
      <w:r w:rsidRPr="009118AB">
        <w:rPr>
          <w:i/>
          <w:iCs/>
        </w:rPr>
        <w:t>209 des Einkommensteuergesetzbuches 1992 erwähnte Verrichtungen handelt, die Liquidation nicht vor dem 25. März 2002 beendet wurde</w:t>
      </w:r>
      <w:r w:rsidR="00D67EB8" w:rsidRPr="009118AB">
        <w:rPr>
          <w:i/>
          <w:iCs/>
        </w:rPr>
        <w:t> - </w:t>
      </w:r>
      <w:r w:rsidRPr="009118AB">
        <w:rPr>
          <w:i/>
          <w:iCs/>
        </w:rPr>
        <w:t xml:space="preserve">und abgeändert durch </w:t>
      </w:r>
      <w:r w:rsidR="00D67EB8" w:rsidRPr="009118AB">
        <w:rPr>
          <w:i/>
          <w:iCs/>
        </w:rPr>
        <w:t>Art. </w:t>
      </w:r>
      <w:r w:rsidRPr="009118AB">
        <w:rPr>
          <w:i/>
          <w:iCs/>
        </w:rPr>
        <w:t>112 des G. vom 27. Dezember 2005 (I) (B.S. vom 30. Dezember 2005)</w:t>
      </w:r>
      <w:r w:rsidR="00D67EB8" w:rsidRPr="009118AB">
        <w:rPr>
          <w:i/>
          <w:iCs/>
        </w:rPr>
        <w:t> - </w:t>
      </w:r>
      <w:r w:rsidRPr="009118AB">
        <w:rPr>
          <w:i/>
          <w:iCs/>
        </w:rPr>
        <w:t>anwendbar auf die ab dem 1. Januar 2006 gezahlten Einkünfte</w:t>
      </w:r>
      <w:r w:rsidR="00D67EB8" w:rsidRPr="009118AB">
        <w:rPr>
          <w:i/>
          <w:iCs/>
        </w:rPr>
        <w:t> - </w:t>
      </w:r>
      <w:r w:rsidR="000467A4" w:rsidRPr="009118AB">
        <w:rPr>
          <w:i/>
          <w:iCs/>
        </w:rPr>
        <w:t xml:space="preserve">und </w:t>
      </w:r>
      <w:r w:rsidR="00D67EB8" w:rsidRPr="009118AB">
        <w:rPr>
          <w:i/>
          <w:iCs/>
        </w:rPr>
        <w:t>Art. </w:t>
      </w:r>
      <w:r w:rsidR="000467A4" w:rsidRPr="009118AB">
        <w:rPr>
          <w:i/>
          <w:iCs/>
        </w:rPr>
        <w:t>4 des G. vom 28. Juli 2011 (B.S. vom 11. August 2011)</w:t>
      </w:r>
      <w:r w:rsidR="00D67EB8" w:rsidRPr="009118AB">
        <w:rPr>
          <w:i/>
          <w:iCs/>
        </w:rPr>
        <w:t> - </w:t>
      </w:r>
      <w:r w:rsidR="000467A4" w:rsidRPr="009118AB">
        <w:rPr>
          <w:i/>
          <w:iCs/>
        </w:rPr>
        <w:t>wirksam mit 1. Januar 2011</w:t>
      </w:r>
      <w:r w:rsidR="003366D9" w:rsidRPr="009118AB">
        <w:rPr>
          <w:i/>
          <w:iCs/>
        </w:rPr>
        <w:t> -;</w:t>
      </w:r>
      <w:r w:rsidRPr="009118AB">
        <w:rPr>
          <w:i/>
          <w:iCs/>
        </w:rPr>
        <w:t xml:space="preserve"> </w:t>
      </w:r>
      <w:r w:rsidR="00D67EB8" w:rsidRPr="009118AB">
        <w:rPr>
          <w:i/>
          <w:iCs/>
        </w:rPr>
        <w:t>Abs. </w:t>
      </w:r>
      <w:r w:rsidR="00B37764" w:rsidRPr="009118AB">
        <w:rPr>
          <w:i/>
          <w:iCs/>
        </w:rPr>
        <w:t>1</w:t>
      </w:r>
      <w:r w:rsidRPr="009118AB">
        <w:rPr>
          <w:i/>
          <w:iCs/>
        </w:rPr>
        <w:t xml:space="preserve"> </w:t>
      </w:r>
      <w:r w:rsidR="00D67EB8" w:rsidRPr="009118AB">
        <w:rPr>
          <w:i/>
          <w:iCs/>
        </w:rPr>
        <w:t>Nr. </w:t>
      </w:r>
      <w:r w:rsidRPr="009118AB">
        <w:rPr>
          <w:i/>
          <w:iCs/>
        </w:rPr>
        <w:t xml:space="preserve">5 ersetzt durch </w:t>
      </w:r>
      <w:r w:rsidR="00D67EB8" w:rsidRPr="009118AB">
        <w:rPr>
          <w:i/>
          <w:iCs/>
        </w:rPr>
        <w:t>Art. </w:t>
      </w:r>
      <w:r w:rsidRPr="009118AB">
        <w:rPr>
          <w:i/>
          <w:iCs/>
        </w:rPr>
        <w:t xml:space="preserve">134 </w:t>
      </w:r>
      <w:r w:rsidR="00D67EB8" w:rsidRPr="009118AB">
        <w:rPr>
          <w:i/>
          <w:iCs/>
        </w:rPr>
        <w:t>Nr. </w:t>
      </w:r>
      <w:r w:rsidRPr="009118AB">
        <w:rPr>
          <w:i/>
          <w:iCs/>
        </w:rPr>
        <w:t>1 des G. vom 22. März 1993 (B.S. vom 19. April 1993)</w:t>
      </w:r>
      <w:r w:rsidR="00D67EB8" w:rsidRPr="009118AB">
        <w:rPr>
          <w:i/>
          <w:iCs/>
        </w:rPr>
        <w:t> - </w:t>
      </w:r>
      <w:r w:rsidRPr="009118AB">
        <w:rPr>
          <w:i/>
          <w:iCs/>
        </w:rPr>
        <w:t>in Kraft ab dem 19. April 1993</w:t>
      </w:r>
      <w:r w:rsidR="00FD68E8" w:rsidRPr="009118AB">
        <w:rPr>
          <w:i/>
          <w:iCs/>
        </w:rPr>
        <w:t> -,</w:t>
      </w:r>
      <w:r w:rsidRPr="009118AB">
        <w:rPr>
          <w:i/>
          <w:iCs/>
        </w:rPr>
        <w:t xml:space="preserve"> selbst abgeändert durch </w:t>
      </w:r>
      <w:r w:rsidR="00D67EB8" w:rsidRPr="009118AB">
        <w:rPr>
          <w:i/>
          <w:iCs/>
        </w:rPr>
        <w:t>Art. </w:t>
      </w:r>
      <w:r w:rsidRPr="009118AB">
        <w:rPr>
          <w:i/>
          <w:iCs/>
        </w:rPr>
        <w:t xml:space="preserve">92 </w:t>
      </w:r>
      <w:r w:rsidR="00D67EB8" w:rsidRPr="009118AB">
        <w:rPr>
          <w:i/>
          <w:iCs/>
        </w:rPr>
        <w:t>Nr. </w:t>
      </w:r>
      <w:r w:rsidRPr="009118AB">
        <w:rPr>
          <w:i/>
          <w:iCs/>
        </w:rPr>
        <w:t>1 des G. vom 22. Juli 1993 (B.S. vom 26. Juli 1993)</w:t>
      </w:r>
      <w:r w:rsidR="00D67EB8" w:rsidRPr="009118AB">
        <w:rPr>
          <w:i/>
          <w:iCs/>
        </w:rPr>
        <w:t> - </w:t>
      </w:r>
      <w:r w:rsidRPr="009118AB">
        <w:rPr>
          <w:i/>
          <w:iCs/>
        </w:rPr>
        <w:t>in Kraft ab dem 19. April 1993</w:t>
      </w:r>
      <w:r w:rsidR="00FD68E8" w:rsidRPr="009118AB">
        <w:rPr>
          <w:i/>
          <w:iCs/>
        </w:rPr>
        <w:t> -,</w:t>
      </w:r>
      <w:r w:rsidRPr="009118AB">
        <w:rPr>
          <w:i/>
          <w:iCs/>
        </w:rPr>
        <w:t xml:space="preserve"> und abgeändert durch </w:t>
      </w:r>
      <w:r w:rsidR="00D67EB8" w:rsidRPr="009118AB">
        <w:rPr>
          <w:i/>
          <w:iCs/>
        </w:rPr>
        <w:t>Art. </w:t>
      </w:r>
      <w:r w:rsidRPr="009118AB">
        <w:rPr>
          <w:i/>
          <w:iCs/>
        </w:rPr>
        <w:t xml:space="preserve">4 </w:t>
      </w:r>
      <w:r w:rsidR="00D67EB8" w:rsidRPr="009118AB">
        <w:rPr>
          <w:i/>
          <w:iCs/>
        </w:rPr>
        <w:t>Nr. </w:t>
      </w:r>
      <w:r w:rsidRPr="009118AB">
        <w:rPr>
          <w:i/>
          <w:iCs/>
        </w:rPr>
        <w:t>2 des G. vom 22. Dezember 1998 (B.S. vom 15. Januar 1999)</w:t>
      </w:r>
      <w:r w:rsidR="00D67EB8" w:rsidRPr="009118AB">
        <w:rPr>
          <w:i/>
          <w:iCs/>
        </w:rPr>
        <w:t> - </w:t>
      </w:r>
      <w:r w:rsidRPr="009118AB">
        <w:rPr>
          <w:i/>
          <w:iCs/>
        </w:rPr>
        <w:t>in Kraft ab dem 19. April 1993</w:t>
      </w:r>
      <w:r w:rsidR="00FD68E8" w:rsidRPr="009118AB">
        <w:rPr>
          <w:i/>
          <w:iCs/>
        </w:rPr>
        <w:t> -,</w:t>
      </w:r>
      <w:r w:rsidRPr="009118AB">
        <w:rPr>
          <w:i/>
          <w:iCs/>
        </w:rPr>
        <w:t xml:space="preserve"> </w:t>
      </w:r>
      <w:r w:rsidR="00D67EB8" w:rsidRPr="009118AB">
        <w:rPr>
          <w:i/>
          <w:iCs/>
        </w:rPr>
        <w:t>Art. </w:t>
      </w:r>
      <w:r w:rsidRPr="009118AB">
        <w:rPr>
          <w:i/>
          <w:iCs/>
        </w:rPr>
        <w:t>1 des K.E. vom 13. Juli 2001 (B.S. vom 11. August 2001)</w:t>
      </w:r>
      <w:r w:rsidR="00D67EB8" w:rsidRPr="009118AB">
        <w:rPr>
          <w:i/>
          <w:iCs/>
        </w:rPr>
        <w:t> - </w:t>
      </w:r>
      <w:r w:rsidRPr="009118AB">
        <w:rPr>
          <w:i/>
          <w:iCs/>
        </w:rPr>
        <w:t>in Kraft ab dem Steuerjahr 2002</w:t>
      </w:r>
      <w:r w:rsidR="00FD68E8" w:rsidRPr="009118AB">
        <w:rPr>
          <w:i/>
          <w:iCs/>
        </w:rPr>
        <w:t> -,</w:t>
      </w:r>
      <w:r w:rsidR="00570291" w:rsidRPr="009118AB">
        <w:rPr>
          <w:i/>
          <w:iCs/>
        </w:rPr>
        <w:t xml:space="preserve"> </w:t>
      </w:r>
      <w:r w:rsidR="00D67EB8" w:rsidRPr="009118AB">
        <w:rPr>
          <w:i/>
          <w:iCs/>
        </w:rPr>
        <w:t>Art. </w:t>
      </w:r>
      <w:r w:rsidRPr="009118AB">
        <w:rPr>
          <w:i/>
          <w:iCs/>
        </w:rPr>
        <w:t>375 des G.</w:t>
      </w:r>
      <w:r w:rsidR="005A03F0" w:rsidRPr="009118AB">
        <w:rPr>
          <w:i/>
          <w:iCs/>
        </w:rPr>
        <w:t xml:space="preserve"> </w:t>
      </w:r>
      <w:r w:rsidRPr="009118AB">
        <w:rPr>
          <w:i/>
          <w:iCs/>
        </w:rPr>
        <w:t>vom 27. Dezember 2004 (B.S. vom 31. Dezember 2004)</w:t>
      </w:r>
      <w:r w:rsidR="00DA1478" w:rsidRPr="009118AB">
        <w:rPr>
          <w:i/>
          <w:iCs/>
        </w:rPr>
        <w:t>,</w:t>
      </w:r>
      <w:r w:rsidR="00570291" w:rsidRPr="009118AB">
        <w:rPr>
          <w:i/>
          <w:iCs/>
        </w:rPr>
        <w:t xml:space="preserve"> </w:t>
      </w:r>
      <w:r w:rsidR="00D67EB8" w:rsidRPr="009118AB">
        <w:rPr>
          <w:i/>
          <w:iCs/>
        </w:rPr>
        <w:t>Art. </w:t>
      </w:r>
      <w:r w:rsidR="00570291" w:rsidRPr="009118AB">
        <w:rPr>
          <w:i/>
          <w:iCs/>
        </w:rPr>
        <w:t>97 des K.E.</w:t>
      </w:r>
      <w:r w:rsidR="000467A4" w:rsidRPr="009118AB">
        <w:rPr>
          <w:i/>
          <w:iCs/>
        </w:rPr>
        <w:t> </w:t>
      </w:r>
      <w:r w:rsidR="00570291" w:rsidRPr="009118AB">
        <w:rPr>
          <w:i/>
          <w:iCs/>
        </w:rPr>
        <w:t>vom 3. März 2011 (B.S. vom 9. März 2011)</w:t>
      </w:r>
      <w:r w:rsidR="00D67EB8" w:rsidRPr="009118AB">
        <w:rPr>
          <w:i/>
          <w:iCs/>
        </w:rPr>
        <w:t> - </w:t>
      </w:r>
      <w:r w:rsidR="00630819" w:rsidRPr="009118AB">
        <w:rPr>
          <w:i/>
          <w:iCs/>
        </w:rPr>
        <w:t>in Kraft ab dem 1. April 2011</w:t>
      </w:r>
      <w:r w:rsidR="00FD68E8" w:rsidRPr="009118AB">
        <w:rPr>
          <w:i/>
          <w:iCs/>
        </w:rPr>
        <w:t> -,</w:t>
      </w:r>
      <w:r w:rsidR="00DA1478" w:rsidRPr="009118AB">
        <w:rPr>
          <w:i/>
          <w:iCs/>
        </w:rPr>
        <w:t xml:space="preserve"> </w:t>
      </w:r>
      <w:r w:rsidR="00D67EB8" w:rsidRPr="009118AB">
        <w:rPr>
          <w:i/>
          <w:iCs/>
        </w:rPr>
        <w:t>Art. </w:t>
      </w:r>
      <w:r w:rsidR="00DA1478" w:rsidRPr="009118AB">
        <w:rPr>
          <w:i/>
          <w:iCs/>
        </w:rPr>
        <w:t xml:space="preserve">170 </w:t>
      </w:r>
      <w:r w:rsidR="00D67EB8" w:rsidRPr="009118AB">
        <w:rPr>
          <w:i/>
          <w:iCs/>
        </w:rPr>
        <w:t>Nr. </w:t>
      </w:r>
      <w:r w:rsidR="00DA1478" w:rsidRPr="009118AB">
        <w:rPr>
          <w:i/>
          <w:iCs/>
        </w:rPr>
        <w:t xml:space="preserve">1 </w:t>
      </w:r>
      <w:r w:rsidR="003C36EF" w:rsidRPr="009118AB">
        <w:rPr>
          <w:i/>
          <w:iCs/>
        </w:rPr>
        <w:t xml:space="preserve">bis 3 </w:t>
      </w:r>
      <w:r w:rsidR="00DA1478" w:rsidRPr="009118AB">
        <w:rPr>
          <w:i/>
          <w:iCs/>
        </w:rPr>
        <w:t>des G. vom 25. April 2014 (B.S. vom 7. Mai 2014)</w:t>
      </w:r>
      <w:r w:rsidR="00D67EB8" w:rsidRPr="009118AB">
        <w:rPr>
          <w:i/>
          <w:iCs/>
        </w:rPr>
        <w:t> - </w:t>
      </w:r>
      <w:r w:rsidR="00321F4C" w:rsidRPr="009118AB">
        <w:rPr>
          <w:i/>
          <w:iCs/>
        </w:rPr>
        <w:t xml:space="preserve">wirksam auf die ab </w:t>
      </w:r>
      <w:r w:rsidR="00321F4C" w:rsidRPr="009118AB">
        <w:rPr>
          <w:i/>
          <w:iCs/>
        </w:rPr>
        <w:lastRenderedPageBreak/>
        <w:t>dem 1. Januar 2012 zuerkannten oder ausgeschütteten Einkünfte</w:t>
      </w:r>
      <w:r w:rsidR="00D67EB8" w:rsidRPr="009118AB">
        <w:rPr>
          <w:i/>
          <w:iCs/>
        </w:rPr>
        <w:t> - </w:t>
      </w:r>
      <w:r w:rsidR="00D0482D" w:rsidRPr="009118AB">
        <w:rPr>
          <w:i/>
          <w:iCs/>
        </w:rPr>
        <w:t xml:space="preserve">und </w:t>
      </w:r>
      <w:r w:rsidR="00D67EB8" w:rsidRPr="009118AB">
        <w:rPr>
          <w:i/>
          <w:iCs/>
        </w:rPr>
        <w:t>Art. </w:t>
      </w:r>
      <w:r w:rsidR="00D0482D" w:rsidRPr="009118AB">
        <w:rPr>
          <w:rFonts w:hint="eastAsia"/>
          <w:i/>
          <w:iCs/>
        </w:rPr>
        <w:t>1</w:t>
      </w:r>
      <w:r w:rsidR="00D0482D" w:rsidRPr="009118AB">
        <w:rPr>
          <w:i/>
          <w:iCs/>
        </w:rPr>
        <w:t>04 Buchstabe a) des G. vom 25. Dezember 2017 (IV) (B.S. vom 29. Dezember 2017)</w:t>
      </w:r>
      <w:r w:rsidR="00D67EB8" w:rsidRPr="009118AB">
        <w:rPr>
          <w:i/>
          <w:iCs/>
        </w:rPr>
        <w:t> - </w:t>
      </w:r>
      <w:r w:rsidR="00D0482D" w:rsidRPr="009118AB">
        <w:rPr>
          <w:i/>
          <w:iCs/>
        </w:rPr>
        <w:t>anwendbar auf die ab dem 1. Januar 2018 gezahlten oder zuerkannten Einkünfte</w:t>
      </w:r>
      <w:r w:rsidR="003366D9" w:rsidRPr="009118AB">
        <w:rPr>
          <w:i/>
          <w:iCs/>
        </w:rPr>
        <w:t> -;</w:t>
      </w:r>
      <w:r w:rsidRPr="009118AB">
        <w:rPr>
          <w:i/>
          <w:iCs/>
        </w:rPr>
        <w:t xml:space="preserve"> </w:t>
      </w:r>
      <w:r w:rsidR="00D67EB8" w:rsidRPr="009118AB">
        <w:rPr>
          <w:i/>
          <w:iCs/>
        </w:rPr>
        <w:t>Abs. </w:t>
      </w:r>
      <w:r w:rsidR="00B37764" w:rsidRPr="009118AB">
        <w:rPr>
          <w:i/>
          <w:iCs/>
        </w:rPr>
        <w:t>1</w:t>
      </w:r>
      <w:r w:rsidRPr="009118AB">
        <w:rPr>
          <w:i/>
          <w:iCs/>
        </w:rPr>
        <w:t xml:space="preserve"> </w:t>
      </w:r>
      <w:r w:rsidR="00D67EB8" w:rsidRPr="009118AB">
        <w:rPr>
          <w:i/>
          <w:iCs/>
        </w:rPr>
        <w:t>Nr. </w:t>
      </w:r>
      <w:r w:rsidRPr="009118AB">
        <w:rPr>
          <w:i/>
          <w:iCs/>
        </w:rPr>
        <w:t xml:space="preserve">6 </w:t>
      </w:r>
      <w:r w:rsidR="00D0482D" w:rsidRPr="009118AB">
        <w:rPr>
          <w:i/>
          <w:iCs/>
        </w:rPr>
        <w:t xml:space="preserve">aufgehoben durch </w:t>
      </w:r>
      <w:r w:rsidR="00D67EB8" w:rsidRPr="009118AB">
        <w:rPr>
          <w:i/>
          <w:iCs/>
        </w:rPr>
        <w:t>Art. </w:t>
      </w:r>
      <w:r w:rsidR="00D0482D" w:rsidRPr="009118AB">
        <w:rPr>
          <w:i/>
          <w:iCs/>
        </w:rPr>
        <w:t>104 Buchstabe b) des G. vom 25. Dezember 2017 (IV</w:t>
      </w:r>
      <w:r w:rsidR="008B6D76" w:rsidRPr="009118AB">
        <w:rPr>
          <w:i/>
          <w:iCs/>
        </w:rPr>
        <w:t>) (B.S. vom 29. Dezember 2017)</w:t>
      </w:r>
      <w:r w:rsidR="00D67EB8" w:rsidRPr="009118AB">
        <w:rPr>
          <w:i/>
          <w:iCs/>
        </w:rPr>
        <w:t> - </w:t>
      </w:r>
      <w:r w:rsidR="00D0482D" w:rsidRPr="009118AB">
        <w:rPr>
          <w:i/>
          <w:iCs/>
        </w:rPr>
        <w:t>anwendbar auf die ab dem 1. Januar 2018 gezahlten oder zuerkannten Einkünfte</w:t>
      </w:r>
      <w:r w:rsidR="003366D9" w:rsidRPr="009118AB">
        <w:rPr>
          <w:i/>
          <w:iCs/>
        </w:rPr>
        <w:t> -;</w:t>
      </w:r>
      <w:r w:rsidRPr="009118AB">
        <w:rPr>
          <w:i/>
          <w:iCs/>
        </w:rPr>
        <w:t xml:space="preserve"> </w:t>
      </w:r>
      <w:r w:rsidR="00D67EB8" w:rsidRPr="009118AB">
        <w:rPr>
          <w:i/>
          <w:iCs/>
        </w:rPr>
        <w:t>Abs. </w:t>
      </w:r>
      <w:r w:rsidR="00B37764" w:rsidRPr="009118AB">
        <w:rPr>
          <w:i/>
          <w:iCs/>
        </w:rPr>
        <w:t>1</w:t>
      </w:r>
      <w:r w:rsidRPr="009118AB">
        <w:rPr>
          <w:i/>
          <w:iCs/>
        </w:rPr>
        <w:t xml:space="preserve"> </w:t>
      </w:r>
      <w:r w:rsidR="00D67EB8" w:rsidRPr="009118AB">
        <w:rPr>
          <w:i/>
          <w:iCs/>
        </w:rPr>
        <w:t>Nr. </w:t>
      </w:r>
      <w:r w:rsidRPr="009118AB">
        <w:rPr>
          <w:i/>
          <w:iCs/>
        </w:rPr>
        <w:t xml:space="preserve">7 ergänzt durch </w:t>
      </w:r>
      <w:r w:rsidR="00D67EB8" w:rsidRPr="009118AB">
        <w:rPr>
          <w:i/>
          <w:iCs/>
        </w:rPr>
        <w:t>Art. </w:t>
      </w:r>
      <w:r w:rsidRPr="009118AB">
        <w:rPr>
          <w:i/>
          <w:iCs/>
        </w:rPr>
        <w:t>2 des G. vom 22. März 1995 (B.S.</w:t>
      </w:r>
      <w:r w:rsidR="00570291" w:rsidRPr="009118AB">
        <w:rPr>
          <w:i/>
          <w:iCs/>
        </w:rPr>
        <w:t> </w:t>
      </w:r>
      <w:r w:rsidRPr="009118AB">
        <w:rPr>
          <w:i/>
          <w:iCs/>
        </w:rPr>
        <w:t>vom 26. April 1995)</w:t>
      </w:r>
      <w:r w:rsidR="00D67EB8" w:rsidRPr="009118AB">
        <w:rPr>
          <w:i/>
          <w:iCs/>
        </w:rPr>
        <w:t> - </w:t>
      </w:r>
      <w:r w:rsidRPr="009118AB">
        <w:rPr>
          <w:i/>
          <w:iCs/>
        </w:rPr>
        <w:t>in Kraft ab dem 1. Januar 1995</w:t>
      </w:r>
      <w:r w:rsidR="003366D9" w:rsidRPr="009118AB">
        <w:rPr>
          <w:i/>
          <w:iCs/>
        </w:rPr>
        <w:t> -;</w:t>
      </w:r>
      <w:r w:rsidRPr="009118AB">
        <w:rPr>
          <w:i/>
          <w:iCs/>
        </w:rPr>
        <w:t xml:space="preserve"> </w:t>
      </w:r>
      <w:r w:rsidR="00D67EB8" w:rsidRPr="009118AB">
        <w:rPr>
          <w:i/>
          <w:iCs/>
        </w:rPr>
        <w:t>Abs. </w:t>
      </w:r>
      <w:r w:rsidR="00B37764" w:rsidRPr="009118AB">
        <w:rPr>
          <w:i/>
          <w:iCs/>
        </w:rPr>
        <w:t>1</w:t>
      </w:r>
      <w:r w:rsidRPr="009118AB">
        <w:rPr>
          <w:i/>
          <w:iCs/>
        </w:rPr>
        <w:t xml:space="preserve"> </w:t>
      </w:r>
      <w:r w:rsidR="00D67EB8" w:rsidRPr="009118AB">
        <w:rPr>
          <w:i/>
          <w:iCs/>
        </w:rPr>
        <w:t>Nr. </w:t>
      </w:r>
      <w:r w:rsidRPr="009118AB">
        <w:rPr>
          <w:i/>
          <w:iCs/>
        </w:rPr>
        <w:t xml:space="preserve">8 abgeändert durch </w:t>
      </w:r>
      <w:r w:rsidR="00D67EB8" w:rsidRPr="009118AB">
        <w:rPr>
          <w:i/>
          <w:iCs/>
        </w:rPr>
        <w:t>Art. </w:t>
      </w:r>
      <w:r w:rsidRPr="009118AB">
        <w:rPr>
          <w:i/>
          <w:iCs/>
        </w:rPr>
        <w:t>5 des G. vom 6. Juli 1994 (B.S. vom 16. Juli 1994)</w:t>
      </w:r>
      <w:r w:rsidR="00D67EB8" w:rsidRPr="009118AB">
        <w:rPr>
          <w:i/>
          <w:iCs/>
        </w:rPr>
        <w:t> - </w:t>
      </w:r>
      <w:r w:rsidRPr="009118AB">
        <w:rPr>
          <w:i/>
          <w:iCs/>
        </w:rPr>
        <w:t>in</w:t>
      </w:r>
      <w:r w:rsidR="00CD159D" w:rsidRPr="009118AB">
        <w:rPr>
          <w:i/>
          <w:iCs/>
        </w:rPr>
        <w:t xml:space="preserve"> Kraft ab dem Steuerjahr 1993</w:t>
      </w:r>
      <w:r w:rsidR="003366D9" w:rsidRPr="009118AB">
        <w:rPr>
          <w:i/>
          <w:iCs/>
        </w:rPr>
        <w:t> -;</w:t>
      </w:r>
      <w:r w:rsidRPr="009118AB">
        <w:rPr>
          <w:i/>
          <w:iCs/>
        </w:rPr>
        <w:t xml:space="preserve"> </w:t>
      </w:r>
      <w:r w:rsidR="00D67EB8" w:rsidRPr="009118AB">
        <w:rPr>
          <w:i/>
          <w:iCs/>
        </w:rPr>
        <w:t>Abs. </w:t>
      </w:r>
      <w:r w:rsidR="00B37764" w:rsidRPr="009118AB">
        <w:rPr>
          <w:i/>
          <w:iCs/>
        </w:rPr>
        <w:t>1</w:t>
      </w:r>
      <w:r w:rsidRPr="009118AB">
        <w:rPr>
          <w:i/>
          <w:iCs/>
        </w:rPr>
        <w:t xml:space="preserve"> </w:t>
      </w:r>
      <w:r w:rsidR="00D67EB8" w:rsidRPr="009118AB">
        <w:rPr>
          <w:i/>
          <w:iCs/>
        </w:rPr>
        <w:t>Nr. </w:t>
      </w:r>
      <w:r w:rsidRPr="009118AB">
        <w:rPr>
          <w:i/>
          <w:iCs/>
        </w:rPr>
        <w:t xml:space="preserve">9 eingefügt durch </w:t>
      </w:r>
      <w:r w:rsidR="00D67EB8" w:rsidRPr="009118AB">
        <w:rPr>
          <w:i/>
          <w:iCs/>
        </w:rPr>
        <w:t>Art. </w:t>
      </w:r>
      <w:r w:rsidRPr="009118AB">
        <w:rPr>
          <w:i/>
          <w:iCs/>
        </w:rPr>
        <w:t>2 des G. vom 22. Juli 1993 (B.S.</w:t>
      </w:r>
      <w:r w:rsidR="009149B3" w:rsidRPr="009118AB">
        <w:rPr>
          <w:i/>
          <w:iCs/>
        </w:rPr>
        <w:t> </w:t>
      </w:r>
      <w:r w:rsidRPr="009118AB">
        <w:rPr>
          <w:i/>
          <w:iCs/>
        </w:rPr>
        <w:t>vom 26. Juli 1993)</w:t>
      </w:r>
      <w:r w:rsidR="00D67EB8" w:rsidRPr="009118AB">
        <w:rPr>
          <w:i/>
          <w:iCs/>
        </w:rPr>
        <w:t> - </w:t>
      </w:r>
      <w:r w:rsidRPr="009118AB">
        <w:rPr>
          <w:i/>
          <w:iCs/>
        </w:rPr>
        <w:t>anwendbar auf Verträge, die ab dem 7. Mai 1993 abgeschlossen werden</w:t>
      </w:r>
      <w:r w:rsidR="00D67EB8" w:rsidRPr="009118AB">
        <w:rPr>
          <w:i/>
          <w:iCs/>
        </w:rPr>
        <w:t> - </w:t>
      </w:r>
      <w:r w:rsidRPr="009118AB">
        <w:rPr>
          <w:i/>
          <w:iCs/>
        </w:rPr>
        <w:t xml:space="preserve">und ersetzt durch </w:t>
      </w:r>
      <w:r w:rsidR="00D67EB8" w:rsidRPr="009118AB">
        <w:rPr>
          <w:i/>
          <w:iCs/>
        </w:rPr>
        <w:t>Art. </w:t>
      </w:r>
      <w:r w:rsidRPr="009118AB">
        <w:rPr>
          <w:i/>
          <w:iCs/>
        </w:rPr>
        <w:t>2 des G. vom 20. Dezember 1995 (B.S. vom 23. Dezember 1995)</w:t>
      </w:r>
      <w:r w:rsidR="00D67EB8" w:rsidRPr="009118AB">
        <w:rPr>
          <w:i/>
          <w:iCs/>
        </w:rPr>
        <w:t> - </w:t>
      </w:r>
      <w:r w:rsidRPr="009118AB">
        <w:rPr>
          <w:i/>
          <w:iCs/>
        </w:rPr>
        <w:t>anwendbar auf Verträge, die ab dem 27. Oktober 1995 abgeschlossen werden</w:t>
      </w:r>
      <w:r w:rsidR="003366D9" w:rsidRPr="009118AB">
        <w:rPr>
          <w:i/>
          <w:iCs/>
        </w:rPr>
        <w:t> -;</w:t>
      </w:r>
      <w:r w:rsidR="000467A4" w:rsidRPr="009118AB">
        <w:rPr>
          <w:i/>
          <w:iCs/>
        </w:rPr>
        <w:t xml:space="preserve"> </w:t>
      </w:r>
      <w:r w:rsidR="00D67EB8" w:rsidRPr="009118AB">
        <w:rPr>
          <w:i/>
          <w:iCs/>
        </w:rPr>
        <w:t>Abs. </w:t>
      </w:r>
      <w:r w:rsidR="00B37764" w:rsidRPr="009118AB">
        <w:rPr>
          <w:i/>
          <w:iCs/>
        </w:rPr>
        <w:t>1</w:t>
      </w:r>
      <w:r w:rsidR="000467A4" w:rsidRPr="009118AB">
        <w:rPr>
          <w:i/>
          <w:iCs/>
        </w:rPr>
        <w:t xml:space="preserve"> </w:t>
      </w:r>
      <w:r w:rsidR="00D67EB8" w:rsidRPr="009118AB">
        <w:rPr>
          <w:i/>
          <w:iCs/>
        </w:rPr>
        <w:t>Nr. </w:t>
      </w:r>
      <w:r w:rsidR="000467A4" w:rsidRPr="009118AB">
        <w:rPr>
          <w:i/>
          <w:iCs/>
        </w:rPr>
        <w:t xml:space="preserve">9 einziger Absatz einleitende Bestimmung abgeändert durch </w:t>
      </w:r>
      <w:r w:rsidR="00D67EB8" w:rsidRPr="009118AB">
        <w:rPr>
          <w:i/>
          <w:iCs/>
        </w:rPr>
        <w:t>Art. </w:t>
      </w:r>
      <w:r w:rsidR="000467A4" w:rsidRPr="009118AB">
        <w:rPr>
          <w:i/>
          <w:iCs/>
        </w:rPr>
        <w:t>4 des G. vom 28. Juli 2011 (B.S. vom 11. August 2011)</w:t>
      </w:r>
      <w:r w:rsidR="00D67EB8" w:rsidRPr="009118AB">
        <w:rPr>
          <w:i/>
          <w:iCs/>
        </w:rPr>
        <w:t> - </w:t>
      </w:r>
      <w:r w:rsidR="000467A4" w:rsidRPr="009118AB">
        <w:rPr>
          <w:i/>
          <w:iCs/>
        </w:rPr>
        <w:t>wirksam mit 1. Januar 2011</w:t>
      </w:r>
      <w:r w:rsidR="003366D9" w:rsidRPr="009118AB">
        <w:rPr>
          <w:i/>
          <w:iCs/>
        </w:rPr>
        <w:t> -;</w:t>
      </w:r>
      <w:r w:rsidRPr="009118AB">
        <w:rPr>
          <w:i/>
          <w:iCs/>
        </w:rPr>
        <w:t xml:space="preserve"> </w:t>
      </w:r>
      <w:r w:rsidR="00D67EB8" w:rsidRPr="009118AB">
        <w:rPr>
          <w:i/>
          <w:iCs/>
        </w:rPr>
        <w:t>Abs. </w:t>
      </w:r>
      <w:r w:rsidR="00B37764" w:rsidRPr="009118AB">
        <w:rPr>
          <w:i/>
          <w:iCs/>
        </w:rPr>
        <w:t>1</w:t>
      </w:r>
      <w:r w:rsidRPr="009118AB">
        <w:rPr>
          <w:i/>
          <w:iCs/>
        </w:rPr>
        <w:t xml:space="preserve"> </w:t>
      </w:r>
      <w:r w:rsidR="00D67EB8" w:rsidRPr="009118AB">
        <w:rPr>
          <w:i/>
          <w:iCs/>
        </w:rPr>
        <w:t>Nr. </w:t>
      </w:r>
      <w:r w:rsidRPr="009118AB">
        <w:rPr>
          <w:i/>
          <w:iCs/>
        </w:rPr>
        <w:t xml:space="preserve">10 eingefügt durch </w:t>
      </w:r>
      <w:r w:rsidR="00D67EB8" w:rsidRPr="009118AB">
        <w:rPr>
          <w:i/>
          <w:iCs/>
        </w:rPr>
        <w:t>Art. </w:t>
      </w:r>
      <w:r w:rsidRPr="009118AB">
        <w:rPr>
          <w:i/>
          <w:iCs/>
        </w:rPr>
        <w:t>62 des G. vom 26. März 1999 (B.S. vom 1. April 1999)</w:t>
      </w:r>
      <w:r w:rsidR="00D67EB8" w:rsidRPr="009118AB">
        <w:rPr>
          <w:i/>
          <w:iCs/>
        </w:rPr>
        <w:t> - </w:t>
      </w:r>
      <w:r w:rsidRPr="009118AB">
        <w:rPr>
          <w:i/>
          <w:iCs/>
        </w:rPr>
        <w:t>anwendbar auf die ab dem 1. Januar 1999 gezahlten oder zuerkannten Einkünfte</w:t>
      </w:r>
      <w:r w:rsidR="00FD68E8" w:rsidRPr="009118AB">
        <w:rPr>
          <w:i/>
          <w:iCs/>
        </w:rPr>
        <w:t> -,</w:t>
      </w:r>
      <w:r w:rsidR="007635CC" w:rsidRPr="009118AB">
        <w:rPr>
          <w:i/>
          <w:iCs/>
        </w:rPr>
        <w:t xml:space="preserve"> ersetzt durch </w:t>
      </w:r>
      <w:r w:rsidR="00D67EB8" w:rsidRPr="009118AB">
        <w:rPr>
          <w:i/>
          <w:iCs/>
        </w:rPr>
        <w:t>Art. </w:t>
      </w:r>
      <w:r w:rsidR="007635CC" w:rsidRPr="009118AB">
        <w:rPr>
          <w:i/>
          <w:iCs/>
        </w:rPr>
        <w:t>48 Buchstabe b) des G. vom 31. Juli 2017</w:t>
      </w:r>
      <w:r w:rsidR="00D352A1" w:rsidRPr="009118AB">
        <w:rPr>
          <w:i/>
          <w:iCs/>
        </w:rPr>
        <w:t> (II)</w:t>
      </w:r>
      <w:r w:rsidR="007635CC" w:rsidRPr="009118AB">
        <w:rPr>
          <w:i/>
          <w:iCs/>
        </w:rPr>
        <w:t xml:space="preserve"> (B.S. vom 11. August 2018)</w:t>
      </w:r>
      <w:r w:rsidR="00D67EB8" w:rsidRPr="009118AB">
        <w:rPr>
          <w:i/>
          <w:iCs/>
        </w:rPr>
        <w:t> - </w:t>
      </w:r>
      <w:r w:rsidR="007635CC" w:rsidRPr="009118AB">
        <w:rPr>
          <w:i/>
          <w:iCs/>
        </w:rPr>
        <w:t>anwendbar auf die ab dem 1. Januar 2017 zuerkannten oder ausgeschütteten Einkünfte</w:t>
      </w:r>
      <w:r w:rsidR="00D67EB8" w:rsidRPr="009118AB">
        <w:rPr>
          <w:i/>
          <w:iCs/>
        </w:rPr>
        <w:t> - </w:t>
      </w:r>
      <w:r w:rsidR="00D0482D" w:rsidRPr="009118AB">
        <w:rPr>
          <w:i/>
          <w:iCs/>
        </w:rPr>
        <w:t xml:space="preserve">und abgeändert durch </w:t>
      </w:r>
      <w:r w:rsidR="00D67EB8" w:rsidRPr="009118AB">
        <w:rPr>
          <w:i/>
          <w:iCs/>
        </w:rPr>
        <w:t>Art. </w:t>
      </w:r>
      <w:r w:rsidR="00D0482D" w:rsidRPr="009118AB">
        <w:rPr>
          <w:i/>
          <w:iCs/>
        </w:rPr>
        <w:t>104 Buchstabe c) des G. vom 25. Dezember 2017 (IV) (B.S. vom 29. Dezember 2017)</w:t>
      </w:r>
      <w:r w:rsidR="00D67EB8" w:rsidRPr="009118AB">
        <w:rPr>
          <w:i/>
          <w:iCs/>
        </w:rPr>
        <w:t> - </w:t>
      </w:r>
      <w:r w:rsidR="00D0482D" w:rsidRPr="009118AB">
        <w:rPr>
          <w:i/>
          <w:iCs/>
        </w:rPr>
        <w:t>anwendbar auf die ab dem 1. Januar 2018 gezahlten oder zuerkannten Einkünfte</w:t>
      </w:r>
      <w:r w:rsidR="003366D9" w:rsidRPr="009118AB">
        <w:rPr>
          <w:i/>
          <w:iCs/>
        </w:rPr>
        <w:t> -;</w:t>
      </w:r>
      <w:r w:rsidRPr="009118AB">
        <w:rPr>
          <w:i/>
          <w:iCs/>
        </w:rPr>
        <w:t xml:space="preserve"> </w:t>
      </w:r>
      <w:r w:rsidR="00D67EB8" w:rsidRPr="009118AB">
        <w:rPr>
          <w:i/>
          <w:iCs/>
        </w:rPr>
        <w:t>Abs. </w:t>
      </w:r>
      <w:r w:rsidR="0079633A" w:rsidRPr="009118AB">
        <w:rPr>
          <w:i/>
          <w:iCs/>
        </w:rPr>
        <w:t xml:space="preserve">1 </w:t>
      </w:r>
      <w:r w:rsidR="00D67EB8" w:rsidRPr="009118AB">
        <w:rPr>
          <w:i/>
          <w:iCs/>
        </w:rPr>
        <w:t>Nr. </w:t>
      </w:r>
      <w:r w:rsidR="0079633A" w:rsidRPr="009118AB">
        <w:rPr>
          <w:i/>
          <w:iCs/>
        </w:rPr>
        <w:t xml:space="preserve">10 einziger Absatz einleitende Bestimmung abgeändert durch </w:t>
      </w:r>
      <w:r w:rsidR="00D67EB8" w:rsidRPr="009118AB">
        <w:rPr>
          <w:i/>
          <w:iCs/>
        </w:rPr>
        <w:t>Art. </w:t>
      </w:r>
      <w:r w:rsidR="0079633A" w:rsidRPr="009118AB">
        <w:rPr>
          <w:i/>
          <w:iCs/>
        </w:rPr>
        <w:t xml:space="preserve">4 </w:t>
      </w:r>
      <w:r w:rsidR="00D67EB8" w:rsidRPr="009118AB">
        <w:rPr>
          <w:i/>
          <w:iCs/>
        </w:rPr>
        <w:t>Nr. </w:t>
      </w:r>
      <w:r w:rsidR="0079633A" w:rsidRPr="009118AB">
        <w:rPr>
          <w:i/>
          <w:iCs/>
        </w:rPr>
        <w:t>1 des G. vom</w:t>
      </w:r>
      <w:r w:rsidR="0079633A" w:rsidRPr="009118AB">
        <w:rPr>
          <w:i/>
          <w:iCs/>
          <w:spacing w:val="-2"/>
        </w:rPr>
        <w:t xml:space="preserve"> 17. März 2019 (III) (B.S. vom 10. Mai 2019)</w:t>
      </w:r>
      <w:r w:rsidR="00D67EB8" w:rsidRPr="009118AB">
        <w:rPr>
          <w:i/>
          <w:iCs/>
          <w:spacing w:val="-2"/>
        </w:rPr>
        <w:t> - </w:t>
      </w:r>
      <w:r w:rsidR="0079633A" w:rsidRPr="009118AB">
        <w:rPr>
          <w:i/>
          <w:iCs/>
          <w:spacing w:val="-2"/>
        </w:rPr>
        <w:t>in Kraft am 1. Mai 2019</w:t>
      </w:r>
      <w:r w:rsidR="00D67EB8" w:rsidRPr="009118AB">
        <w:rPr>
          <w:i/>
          <w:iCs/>
          <w:spacing w:val="-2"/>
        </w:rPr>
        <w:t> - </w:t>
      </w:r>
      <w:r w:rsidR="0079633A" w:rsidRPr="009118AB">
        <w:rPr>
          <w:i/>
          <w:iCs/>
        </w:rPr>
        <w:t xml:space="preserve">; </w:t>
      </w:r>
      <w:r w:rsidR="00D67EB8" w:rsidRPr="009118AB">
        <w:rPr>
          <w:i/>
          <w:iCs/>
        </w:rPr>
        <w:t>Abs. </w:t>
      </w:r>
      <w:r w:rsidR="0079633A" w:rsidRPr="009118AB">
        <w:rPr>
          <w:i/>
          <w:iCs/>
        </w:rPr>
        <w:t xml:space="preserve">1 </w:t>
      </w:r>
      <w:r w:rsidR="00D67EB8" w:rsidRPr="009118AB">
        <w:rPr>
          <w:i/>
          <w:iCs/>
        </w:rPr>
        <w:t>Nr. </w:t>
      </w:r>
      <w:r w:rsidR="0079633A" w:rsidRPr="009118AB">
        <w:rPr>
          <w:i/>
          <w:iCs/>
        </w:rPr>
        <w:t xml:space="preserve">10 einziger Absatz in fine abgeändert durch </w:t>
      </w:r>
      <w:r w:rsidR="00D67EB8" w:rsidRPr="009118AB">
        <w:rPr>
          <w:i/>
          <w:iCs/>
        </w:rPr>
        <w:t>Art. </w:t>
      </w:r>
      <w:r w:rsidR="0079633A" w:rsidRPr="009118AB">
        <w:rPr>
          <w:i/>
          <w:iCs/>
        </w:rPr>
        <w:t xml:space="preserve">4 </w:t>
      </w:r>
      <w:r w:rsidR="00D67EB8" w:rsidRPr="009118AB">
        <w:rPr>
          <w:i/>
          <w:iCs/>
        </w:rPr>
        <w:t>Nr. </w:t>
      </w:r>
      <w:r w:rsidR="0079633A" w:rsidRPr="009118AB">
        <w:rPr>
          <w:i/>
          <w:iCs/>
        </w:rPr>
        <w:t>2</w:t>
      </w:r>
      <w:r w:rsidR="0079633A" w:rsidRPr="009118AB">
        <w:rPr>
          <w:i/>
          <w:iCs/>
          <w:spacing w:val="-2"/>
        </w:rPr>
        <w:t xml:space="preserve"> des G. vom 17. März 2019 (III) (B.S. vom 10. Mai 2019)</w:t>
      </w:r>
      <w:r w:rsidR="00D67EB8" w:rsidRPr="009118AB">
        <w:rPr>
          <w:i/>
          <w:iCs/>
          <w:spacing w:val="-2"/>
        </w:rPr>
        <w:t> - </w:t>
      </w:r>
      <w:r w:rsidR="0079633A" w:rsidRPr="009118AB">
        <w:rPr>
          <w:i/>
          <w:iCs/>
          <w:spacing w:val="-2"/>
        </w:rPr>
        <w:t>in Kraft am 1. Mai 2019</w:t>
      </w:r>
      <w:r w:rsidR="003366D9" w:rsidRPr="009118AB">
        <w:rPr>
          <w:i/>
          <w:iCs/>
          <w:spacing w:val="-2"/>
        </w:rPr>
        <w:t> -;</w:t>
      </w:r>
      <w:r w:rsidR="0079633A" w:rsidRPr="009118AB">
        <w:rPr>
          <w:i/>
          <w:iCs/>
        </w:rPr>
        <w:t xml:space="preserve"> </w:t>
      </w:r>
      <w:r w:rsidR="00D67EB8" w:rsidRPr="009118AB">
        <w:rPr>
          <w:i/>
          <w:iCs/>
        </w:rPr>
        <w:t>Abs. </w:t>
      </w:r>
      <w:r w:rsidR="00B37764" w:rsidRPr="009118AB">
        <w:rPr>
          <w:i/>
          <w:iCs/>
        </w:rPr>
        <w:t>1</w:t>
      </w:r>
      <w:r w:rsidR="00F450FD" w:rsidRPr="009118AB">
        <w:rPr>
          <w:i/>
          <w:iCs/>
        </w:rPr>
        <w:t xml:space="preserve"> </w:t>
      </w:r>
      <w:r w:rsidR="00D67EB8" w:rsidRPr="009118AB">
        <w:rPr>
          <w:i/>
          <w:iCs/>
        </w:rPr>
        <w:t>Nr. </w:t>
      </w:r>
      <w:r w:rsidR="00F450FD" w:rsidRPr="009118AB">
        <w:rPr>
          <w:i/>
          <w:iCs/>
        </w:rPr>
        <w:t xml:space="preserve">11 eingefügt durch </w:t>
      </w:r>
      <w:r w:rsidR="00D67EB8" w:rsidRPr="009118AB">
        <w:rPr>
          <w:i/>
          <w:iCs/>
        </w:rPr>
        <w:t>Art. </w:t>
      </w:r>
      <w:r w:rsidR="00F450FD" w:rsidRPr="009118AB">
        <w:rPr>
          <w:i/>
          <w:iCs/>
        </w:rPr>
        <w:t xml:space="preserve">41 </w:t>
      </w:r>
      <w:r w:rsidR="00F450FD" w:rsidRPr="009118AB">
        <w:rPr>
          <w:i/>
          <w:iCs/>
          <w:spacing w:val="-1"/>
        </w:rPr>
        <w:t xml:space="preserve">des G. vom 19. Dezember 2014 (B.S. vom </w:t>
      </w:r>
      <w:r w:rsidR="005E3D7F" w:rsidRPr="009118AB">
        <w:rPr>
          <w:i/>
          <w:iCs/>
          <w:spacing w:val="-1"/>
        </w:rPr>
        <w:t>29. Dezember 2014)</w:t>
      </w:r>
      <w:r w:rsidR="00D67EB8" w:rsidRPr="009118AB">
        <w:rPr>
          <w:i/>
          <w:iCs/>
          <w:spacing w:val="-1"/>
        </w:rPr>
        <w:t> - </w:t>
      </w:r>
      <w:r w:rsidR="00F450FD" w:rsidRPr="009118AB">
        <w:rPr>
          <w:i/>
          <w:iCs/>
          <w:spacing w:val="-1"/>
        </w:rPr>
        <w:t xml:space="preserve">anwendbar auf die ab dem 1. Januar 2015 </w:t>
      </w:r>
      <w:r w:rsidR="00F450FD" w:rsidRPr="009118AB">
        <w:rPr>
          <w:i/>
          <w:iCs/>
        </w:rPr>
        <w:t>zuerkannten oder ausgeschütteten Einkünfte</w:t>
      </w:r>
      <w:r w:rsidR="00D67EB8" w:rsidRPr="009118AB">
        <w:rPr>
          <w:i/>
          <w:iCs/>
        </w:rPr>
        <w:t> - </w:t>
      </w:r>
      <w:r w:rsidR="002B5CC9" w:rsidRPr="009118AB">
        <w:rPr>
          <w:i/>
          <w:iCs/>
        </w:rPr>
        <w:t xml:space="preserve">und abgeändert durch </w:t>
      </w:r>
      <w:r w:rsidR="00D67EB8" w:rsidRPr="009118AB">
        <w:rPr>
          <w:i/>
          <w:iCs/>
        </w:rPr>
        <w:t>Art. </w:t>
      </w:r>
      <w:r w:rsidR="002B5CC9" w:rsidRPr="009118AB">
        <w:rPr>
          <w:i/>
          <w:iCs/>
        </w:rPr>
        <w:t>77 des G. vom 10. August 2015 (B.S. vom 18. August 2015)</w:t>
      </w:r>
      <w:r w:rsidR="00D67EB8" w:rsidRPr="009118AB">
        <w:rPr>
          <w:i/>
          <w:iCs/>
        </w:rPr>
        <w:t> - </w:t>
      </w:r>
      <w:r w:rsidR="002B5CC9" w:rsidRPr="009118AB">
        <w:rPr>
          <w:i/>
          <w:iCs/>
        </w:rPr>
        <w:t>in Kraft ab dem 18. August 2015</w:t>
      </w:r>
      <w:r w:rsidR="00D67EB8" w:rsidRPr="009118AB">
        <w:rPr>
          <w:i/>
          <w:iCs/>
        </w:rPr>
        <w:t> - </w:t>
      </w:r>
      <w:r w:rsidR="007635CC" w:rsidRPr="009118AB">
        <w:rPr>
          <w:i/>
          <w:iCs/>
        </w:rPr>
        <w:t xml:space="preserve">und </w:t>
      </w:r>
      <w:r w:rsidR="00D67EB8" w:rsidRPr="009118AB">
        <w:rPr>
          <w:i/>
          <w:iCs/>
        </w:rPr>
        <w:t>Art. </w:t>
      </w:r>
      <w:r w:rsidR="007635CC" w:rsidRPr="009118AB">
        <w:rPr>
          <w:i/>
          <w:iCs/>
        </w:rPr>
        <w:t>48 Buchstabe c) des G. vom 31. Juli 2017</w:t>
      </w:r>
      <w:r w:rsidR="00D352A1" w:rsidRPr="009118AB">
        <w:rPr>
          <w:i/>
          <w:iCs/>
        </w:rPr>
        <w:t> (II)</w:t>
      </w:r>
      <w:r w:rsidR="007635CC" w:rsidRPr="009118AB">
        <w:rPr>
          <w:i/>
          <w:iCs/>
        </w:rPr>
        <w:t xml:space="preserve"> (B.S. vom 11. August 2018)</w:t>
      </w:r>
      <w:r w:rsidR="00D67EB8" w:rsidRPr="009118AB">
        <w:rPr>
          <w:i/>
          <w:iCs/>
        </w:rPr>
        <w:t> - </w:t>
      </w:r>
      <w:r w:rsidR="007635CC" w:rsidRPr="009118AB">
        <w:rPr>
          <w:i/>
          <w:iCs/>
        </w:rPr>
        <w:t>anwendbar auf die ab dem 1. Januar 2015 zuerkannten oder ausgeschütteten Einkünfte</w:t>
      </w:r>
      <w:r w:rsidR="003366D9" w:rsidRPr="009118AB">
        <w:rPr>
          <w:i/>
          <w:iCs/>
        </w:rPr>
        <w:t> -;</w:t>
      </w:r>
      <w:r w:rsidR="00524171" w:rsidRPr="009118AB">
        <w:rPr>
          <w:i/>
          <w:iCs/>
        </w:rPr>
        <w:t xml:space="preserve"> </w:t>
      </w:r>
      <w:r w:rsidR="00D67EB8" w:rsidRPr="009118AB">
        <w:rPr>
          <w:i/>
          <w:iCs/>
        </w:rPr>
        <w:t>Abs. </w:t>
      </w:r>
      <w:r w:rsidR="00B37764" w:rsidRPr="009118AB">
        <w:rPr>
          <w:i/>
          <w:iCs/>
        </w:rPr>
        <w:t>1</w:t>
      </w:r>
      <w:r w:rsidR="00524171" w:rsidRPr="009118AB">
        <w:rPr>
          <w:i/>
          <w:iCs/>
        </w:rPr>
        <w:t xml:space="preserve"> </w:t>
      </w:r>
      <w:r w:rsidR="00D67EB8" w:rsidRPr="009118AB">
        <w:rPr>
          <w:i/>
          <w:iCs/>
        </w:rPr>
        <w:t>Nr. </w:t>
      </w:r>
      <w:r w:rsidR="00524171" w:rsidRPr="009118AB">
        <w:rPr>
          <w:i/>
          <w:iCs/>
        </w:rPr>
        <w:t xml:space="preserve">12 eingefügt durch </w:t>
      </w:r>
      <w:r w:rsidR="00D67EB8" w:rsidRPr="009118AB">
        <w:rPr>
          <w:i/>
          <w:iCs/>
        </w:rPr>
        <w:t>Art. </w:t>
      </w:r>
      <w:r w:rsidR="00524171" w:rsidRPr="009118AB">
        <w:rPr>
          <w:i/>
          <w:iCs/>
        </w:rPr>
        <w:t>41 des G. vom 10. August 2015 (B.S. vom 18. August 2015)</w:t>
      </w:r>
      <w:r w:rsidR="00D67EB8" w:rsidRPr="009118AB">
        <w:rPr>
          <w:i/>
          <w:iCs/>
        </w:rPr>
        <w:t> - </w:t>
      </w:r>
      <w:r w:rsidR="00524171" w:rsidRPr="009118AB">
        <w:rPr>
          <w:i/>
          <w:iCs/>
        </w:rPr>
        <w:t>anwendbar auf Einkünfte, die ab dem 1. Januar 2015 von einer Rechtsvereinbarung bezogen, zuerkannt oder ausgeschüttet werden, und</w:t>
      </w:r>
      <w:r w:rsidR="00D67EB8" w:rsidRPr="009118AB">
        <w:rPr>
          <w:i/>
          <w:iCs/>
        </w:rPr>
        <w:t> - </w:t>
      </w:r>
      <w:r w:rsidR="00524171" w:rsidRPr="009118AB">
        <w:rPr>
          <w:i/>
          <w:iCs/>
        </w:rPr>
        <w:t>in Bezug auf die Anwendung des Mobiliensteuervorabzugs oder des Berufs</w:t>
      </w:r>
      <w:r w:rsidR="00524171" w:rsidRPr="009118AB">
        <w:rPr>
          <w:i/>
          <w:iCs/>
        </w:rPr>
        <w:softHyphen/>
        <w:t>steuervorabzugs</w:t>
      </w:r>
      <w:r w:rsidR="00D67EB8" w:rsidRPr="009118AB">
        <w:rPr>
          <w:i/>
          <w:iCs/>
        </w:rPr>
        <w:t> - </w:t>
      </w:r>
      <w:r w:rsidR="00524171" w:rsidRPr="009118AB">
        <w:rPr>
          <w:i/>
          <w:iCs/>
        </w:rPr>
        <w:t>auf Einkünfte, die ab dem 1. September 2015 zuerkannt oder ausgeschüttet werden</w:t>
      </w:r>
      <w:r w:rsidR="00D67EB8" w:rsidRPr="009118AB">
        <w:rPr>
          <w:i/>
          <w:iCs/>
        </w:rPr>
        <w:t> - </w:t>
      </w:r>
      <w:r w:rsidR="00DD65E2" w:rsidRPr="009118AB">
        <w:rPr>
          <w:i/>
          <w:iCs/>
        </w:rPr>
        <w:t xml:space="preserve">und </w:t>
      </w:r>
      <w:r w:rsidR="008604AB" w:rsidRPr="009118AB">
        <w:rPr>
          <w:i/>
          <w:iCs/>
        </w:rPr>
        <w:t xml:space="preserve">ersetzt durch </w:t>
      </w:r>
      <w:r w:rsidR="00D67EB8" w:rsidRPr="009118AB">
        <w:rPr>
          <w:i/>
          <w:iCs/>
        </w:rPr>
        <w:t>Art. </w:t>
      </w:r>
      <w:r w:rsidR="00186364">
        <w:rPr>
          <w:i/>
          <w:iCs/>
        </w:rPr>
        <w:t>36 Nr. 1</w:t>
      </w:r>
      <w:r w:rsidR="00186364" w:rsidRPr="00186364">
        <w:rPr>
          <w:i/>
          <w:iCs/>
        </w:rPr>
        <w:t xml:space="preserve"> des G. vom 22. Dezember 2023 (II) (B.S. vom 29. Dezember 2023) - anwendbar auf Einkünfte, die ab dem 1. Januar 2024 von einer Rechtsvereinbarung bezogen, zuerkannt oder ausgeschüttet werden -</w:t>
      </w:r>
      <w:r w:rsidR="003366D9" w:rsidRPr="009118AB">
        <w:rPr>
          <w:i/>
          <w:iCs/>
        </w:rPr>
        <w:t>;</w:t>
      </w:r>
      <w:r w:rsidR="00AC1FD4" w:rsidRPr="009118AB">
        <w:rPr>
          <w:i/>
          <w:iCs/>
        </w:rPr>
        <w:t xml:space="preserve"> </w:t>
      </w:r>
      <w:r w:rsidR="00D67EB8" w:rsidRPr="009118AB">
        <w:rPr>
          <w:i/>
          <w:iCs/>
        </w:rPr>
        <w:t>Abs. </w:t>
      </w:r>
      <w:r w:rsidR="00B37764" w:rsidRPr="009118AB">
        <w:rPr>
          <w:i/>
          <w:iCs/>
        </w:rPr>
        <w:t>1</w:t>
      </w:r>
      <w:r w:rsidR="00AC1FD4" w:rsidRPr="009118AB">
        <w:rPr>
          <w:i/>
          <w:iCs/>
        </w:rPr>
        <w:t xml:space="preserve"> </w:t>
      </w:r>
      <w:r w:rsidR="00D67EB8" w:rsidRPr="009118AB">
        <w:rPr>
          <w:i/>
          <w:iCs/>
        </w:rPr>
        <w:t>Nr. </w:t>
      </w:r>
      <w:r w:rsidR="00AC1FD4" w:rsidRPr="009118AB">
        <w:rPr>
          <w:i/>
          <w:iCs/>
        </w:rPr>
        <w:t xml:space="preserve">13 eingefügt durch </w:t>
      </w:r>
      <w:r w:rsidR="00D67EB8" w:rsidRPr="009118AB">
        <w:rPr>
          <w:i/>
          <w:iCs/>
        </w:rPr>
        <w:t>Art. </w:t>
      </w:r>
      <w:r w:rsidR="00AC1FD4" w:rsidRPr="009118AB">
        <w:rPr>
          <w:i/>
          <w:iCs/>
        </w:rPr>
        <w:t>60 des G. vom 10. August 2015 (B.S. vom 18. August 2015)</w:t>
      </w:r>
      <w:r w:rsidR="00D67EB8" w:rsidRPr="009118AB">
        <w:rPr>
          <w:i/>
          <w:iCs/>
        </w:rPr>
        <w:t> - </w:t>
      </w:r>
      <w:r w:rsidR="0070587A" w:rsidRPr="009118AB">
        <w:rPr>
          <w:i/>
          <w:iCs/>
        </w:rPr>
        <w:t>anwendbar </w:t>
      </w:r>
      <w:r w:rsidR="00AC1FD4" w:rsidRPr="009118AB">
        <w:rPr>
          <w:i/>
          <w:iCs/>
        </w:rPr>
        <w:t>auf die ab dem 1. August 2015 abgeschlossenen Darlehen</w:t>
      </w:r>
      <w:r w:rsidR="003366D9" w:rsidRPr="009118AB">
        <w:rPr>
          <w:i/>
          <w:iCs/>
        </w:rPr>
        <w:t> -;</w:t>
      </w:r>
      <w:r w:rsidR="00700AD2" w:rsidRPr="009118AB">
        <w:rPr>
          <w:i/>
          <w:iCs/>
        </w:rPr>
        <w:t xml:space="preserve"> </w:t>
      </w:r>
      <w:r w:rsidR="00D67EB8" w:rsidRPr="009118AB">
        <w:rPr>
          <w:i/>
          <w:iCs/>
        </w:rPr>
        <w:t>Abs. </w:t>
      </w:r>
      <w:r w:rsidR="00B37764" w:rsidRPr="009118AB">
        <w:rPr>
          <w:i/>
          <w:iCs/>
        </w:rPr>
        <w:t>1</w:t>
      </w:r>
      <w:r w:rsidR="00700AD2" w:rsidRPr="009118AB">
        <w:rPr>
          <w:i/>
          <w:iCs/>
        </w:rPr>
        <w:t xml:space="preserve"> </w:t>
      </w:r>
      <w:r w:rsidR="00D67EB8" w:rsidRPr="009118AB">
        <w:rPr>
          <w:i/>
          <w:iCs/>
        </w:rPr>
        <w:t>Nr. </w:t>
      </w:r>
      <w:r w:rsidR="00B37764" w:rsidRPr="009118AB">
        <w:rPr>
          <w:i/>
          <w:iCs/>
        </w:rPr>
        <w:t>13 einziger Absatz Buchstabe a) a</w:t>
      </w:r>
      <w:r w:rsidR="00700AD2" w:rsidRPr="009118AB">
        <w:rPr>
          <w:i/>
          <w:iCs/>
        </w:rPr>
        <w:t xml:space="preserve">bgeändert durch </w:t>
      </w:r>
      <w:r w:rsidR="00D67EB8" w:rsidRPr="009118AB">
        <w:rPr>
          <w:i/>
          <w:iCs/>
        </w:rPr>
        <w:t>Art. </w:t>
      </w:r>
      <w:r w:rsidR="00700AD2" w:rsidRPr="009118AB">
        <w:rPr>
          <w:i/>
          <w:iCs/>
        </w:rPr>
        <w:t>45 des G. vom 18. Dezember 2015</w:t>
      </w:r>
      <w:r w:rsidR="007D0EAE" w:rsidRPr="009118AB">
        <w:rPr>
          <w:i/>
          <w:iCs/>
        </w:rPr>
        <w:t> (I)</w:t>
      </w:r>
      <w:r w:rsidR="00700AD2" w:rsidRPr="009118AB">
        <w:rPr>
          <w:i/>
          <w:iCs/>
        </w:rPr>
        <w:t xml:space="preserve"> (B.S. vom 30. Dezember 2015)</w:t>
      </w:r>
      <w:r w:rsidR="00D67EB8" w:rsidRPr="009118AB">
        <w:rPr>
          <w:i/>
          <w:iCs/>
        </w:rPr>
        <w:t> - </w:t>
      </w:r>
      <w:r w:rsidR="00D13599" w:rsidRPr="009118AB">
        <w:rPr>
          <w:i/>
          <w:iCs/>
        </w:rPr>
        <w:t>anwendbar auf Darlehen, die von Darlehensnehmern im Laufe eines Besteuerungszeitraums abgeschlossen werden, der ab dem 1. Januar 2016 beginnt</w:t>
      </w:r>
      <w:r w:rsidR="00FD68E8" w:rsidRPr="009118AB">
        <w:rPr>
          <w:i/>
          <w:iCs/>
        </w:rPr>
        <w:t> -,</w:t>
      </w:r>
      <w:r w:rsidR="00B37764" w:rsidRPr="009118AB">
        <w:rPr>
          <w:i/>
          <w:iCs/>
        </w:rPr>
        <w:t xml:space="preserve"> </w:t>
      </w:r>
      <w:r w:rsidR="00D67EB8" w:rsidRPr="009118AB">
        <w:rPr>
          <w:i/>
          <w:iCs/>
        </w:rPr>
        <w:t>Art. </w:t>
      </w:r>
      <w:r w:rsidR="00B37764" w:rsidRPr="009118AB">
        <w:rPr>
          <w:i/>
          <w:iCs/>
        </w:rPr>
        <w:t xml:space="preserve">37 </w:t>
      </w:r>
      <w:r w:rsidR="00D67EB8" w:rsidRPr="009118AB">
        <w:rPr>
          <w:i/>
          <w:iCs/>
        </w:rPr>
        <w:t>Nr. </w:t>
      </w:r>
      <w:r w:rsidR="00B37764" w:rsidRPr="009118AB">
        <w:rPr>
          <w:i/>
          <w:iCs/>
        </w:rPr>
        <w:t>1 des G. vom 18. Dezember 2016</w:t>
      </w:r>
      <w:r w:rsidR="004E359B" w:rsidRPr="009118AB">
        <w:rPr>
          <w:i/>
          <w:iCs/>
        </w:rPr>
        <w:t> (I)</w:t>
      </w:r>
      <w:r w:rsidR="00B37764" w:rsidRPr="009118AB">
        <w:rPr>
          <w:i/>
          <w:iCs/>
        </w:rPr>
        <w:t xml:space="preserve"> (B.S. vom 20. Dezember 2016)</w:t>
      </w:r>
      <w:r w:rsidR="00D67EB8" w:rsidRPr="009118AB">
        <w:rPr>
          <w:i/>
          <w:iCs/>
        </w:rPr>
        <w:t> - </w:t>
      </w:r>
      <w:r w:rsidR="00B37764" w:rsidRPr="009118AB">
        <w:rPr>
          <w:i/>
          <w:iCs/>
        </w:rPr>
        <w:t>in Kraft ab dem Steuerjahr 2017</w:t>
      </w:r>
      <w:r w:rsidR="00FD68E8" w:rsidRPr="009118AB">
        <w:rPr>
          <w:i/>
          <w:iCs/>
        </w:rPr>
        <w:t> -,</w:t>
      </w:r>
      <w:r w:rsidR="0079633A" w:rsidRPr="009118AB">
        <w:rPr>
          <w:i/>
          <w:iCs/>
        </w:rPr>
        <w:t xml:space="preserve"> </w:t>
      </w:r>
      <w:r w:rsidR="00D67EB8" w:rsidRPr="009118AB">
        <w:rPr>
          <w:i/>
          <w:iCs/>
        </w:rPr>
        <w:t>Art. </w:t>
      </w:r>
      <w:r w:rsidR="0079633A" w:rsidRPr="009118AB">
        <w:rPr>
          <w:i/>
          <w:iCs/>
        </w:rPr>
        <w:t xml:space="preserve">4 </w:t>
      </w:r>
      <w:r w:rsidR="00D67EB8" w:rsidRPr="009118AB">
        <w:rPr>
          <w:i/>
          <w:iCs/>
        </w:rPr>
        <w:t>Nr. </w:t>
      </w:r>
      <w:r w:rsidR="0079633A" w:rsidRPr="009118AB">
        <w:rPr>
          <w:i/>
          <w:iCs/>
        </w:rPr>
        <w:t>3 des G. vom 17. März 2019 (III) (B.S. vom 10. Mai 2019)</w:t>
      </w:r>
      <w:r w:rsidR="00D67EB8" w:rsidRPr="009118AB">
        <w:rPr>
          <w:i/>
          <w:iCs/>
        </w:rPr>
        <w:t> - </w:t>
      </w:r>
      <w:r w:rsidR="0079633A" w:rsidRPr="009118AB">
        <w:rPr>
          <w:i/>
          <w:iCs/>
        </w:rPr>
        <w:t>in Kraft am 1. Mai 2019</w:t>
      </w:r>
      <w:r w:rsidR="00D67EB8" w:rsidRPr="009118AB">
        <w:rPr>
          <w:i/>
          <w:iCs/>
        </w:rPr>
        <w:t> - </w:t>
      </w:r>
      <w:r w:rsidR="003F4F6F" w:rsidRPr="009118AB">
        <w:rPr>
          <w:i/>
          <w:iCs/>
        </w:rPr>
        <w:t xml:space="preserve">und </w:t>
      </w:r>
      <w:r w:rsidR="00D67EB8" w:rsidRPr="009118AB">
        <w:rPr>
          <w:i/>
          <w:iCs/>
        </w:rPr>
        <w:t>Art. </w:t>
      </w:r>
      <w:r w:rsidR="003F4F6F" w:rsidRPr="009118AB">
        <w:rPr>
          <w:i/>
          <w:iCs/>
        </w:rPr>
        <w:t>3 des G. vom 5. Juli 2022 (B.S. vom 15. Juli 2022)</w:t>
      </w:r>
      <w:r w:rsidR="00B37764" w:rsidRPr="009118AB">
        <w:rPr>
          <w:i/>
          <w:iCs/>
        </w:rPr>
        <w:t xml:space="preserve">; </w:t>
      </w:r>
      <w:r w:rsidR="00D67EB8" w:rsidRPr="009118AB">
        <w:rPr>
          <w:i/>
          <w:iCs/>
        </w:rPr>
        <w:t>Abs. </w:t>
      </w:r>
      <w:r w:rsidR="00B37764" w:rsidRPr="009118AB">
        <w:rPr>
          <w:i/>
          <w:iCs/>
        </w:rPr>
        <w:t xml:space="preserve">1 </w:t>
      </w:r>
      <w:r w:rsidR="00D67EB8" w:rsidRPr="009118AB">
        <w:rPr>
          <w:i/>
          <w:iCs/>
        </w:rPr>
        <w:t>Nr. </w:t>
      </w:r>
      <w:r w:rsidR="00B37764" w:rsidRPr="009118AB">
        <w:rPr>
          <w:i/>
          <w:iCs/>
        </w:rPr>
        <w:t xml:space="preserve">13 einziger Absatz Buchstabe e) ersetzt durch </w:t>
      </w:r>
      <w:r w:rsidR="00D67EB8" w:rsidRPr="009118AB">
        <w:rPr>
          <w:i/>
          <w:iCs/>
        </w:rPr>
        <w:t>Art. </w:t>
      </w:r>
      <w:r w:rsidR="00B37764" w:rsidRPr="009118AB">
        <w:rPr>
          <w:i/>
          <w:iCs/>
        </w:rPr>
        <w:t xml:space="preserve">37 </w:t>
      </w:r>
      <w:r w:rsidR="00D67EB8" w:rsidRPr="009118AB">
        <w:rPr>
          <w:i/>
          <w:iCs/>
        </w:rPr>
        <w:t>Nr. </w:t>
      </w:r>
      <w:r w:rsidR="00B37764" w:rsidRPr="009118AB">
        <w:rPr>
          <w:i/>
          <w:iCs/>
        </w:rPr>
        <w:t>2 des G. vom 18. Dezember 2016</w:t>
      </w:r>
      <w:r w:rsidR="004E359B" w:rsidRPr="009118AB">
        <w:rPr>
          <w:i/>
          <w:iCs/>
        </w:rPr>
        <w:t> (I)</w:t>
      </w:r>
      <w:r w:rsidR="00B37764" w:rsidRPr="009118AB">
        <w:rPr>
          <w:i/>
          <w:iCs/>
        </w:rPr>
        <w:t xml:space="preserve"> (B.S. vom 20. Dezember 2016)</w:t>
      </w:r>
      <w:r w:rsidR="00D67EB8" w:rsidRPr="009118AB">
        <w:rPr>
          <w:i/>
          <w:iCs/>
        </w:rPr>
        <w:t> - </w:t>
      </w:r>
      <w:r w:rsidR="00B37764" w:rsidRPr="009118AB">
        <w:rPr>
          <w:i/>
          <w:iCs/>
        </w:rPr>
        <w:t>in Kraft ab dem Steuerjahr 2017</w:t>
      </w:r>
      <w:r w:rsidR="00D67EB8" w:rsidRPr="009118AB">
        <w:rPr>
          <w:i/>
          <w:iCs/>
        </w:rPr>
        <w:t> - </w:t>
      </w:r>
      <w:r w:rsidR="004151B0" w:rsidRPr="009118AB">
        <w:rPr>
          <w:i/>
          <w:iCs/>
        </w:rPr>
        <w:t xml:space="preserve">und abgeändert durch </w:t>
      </w:r>
      <w:r w:rsidR="00D67EB8" w:rsidRPr="009118AB">
        <w:rPr>
          <w:i/>
          <w:iCs/>
        </w:rPr>
        <w:t>Art. </w:t>
      </w:r>
      <w:r w:rsidR="004151B0" w:rsidRPr="009118AB">
        <w:rPr>
          <w:i/>
          <w:iCs/>
        </w:rPr>
        <w:t>25 Buchstabe a) des G. vom 23. Februar 2022 (B.S. vom 4. April 2022)</w:t>
      </w:r>
      <w:r w:rsidR="00D67EB8" w:rsidRPr="009118AB">
        <w:rPr>
          <w:i/>
          <w:iCs/>
        </w:rPr>
        <w:t> - </w:t>
      </w:r>
      <w:r w:rsidR="004151B0" w:rsidRPr="009118AB">
        <w:rPr>
          <w:i/>
          <w:iCs/>
        </w:rPr>
        <w:t>in Kraft am 4. April 2022</w:t>
      </w:r>
      <w:r w:rsidR="003366D9" w:rsidRPr="009118AB">
        <w:rPr>
          <w:i/>
          <w:iCs/>
        </w:rPr>
        <w:t> -;</w:t>
      </w:r>
      <w:r w:rsidR="00B37764" w:rsidRPr="009118AB">
        <w:rPr>
          <w:i/>
          <w:iCs/>
        </w:rPr>
        <w:t xml:space="preserve"> </w:t>
      </w:r>
      <w:r w:rsidR="00D67EB8" w:rsidRPr="009118AB">
        <w:rPr>
          <w:i/>
          <w:iCs/>
        </w:rPr>
        <w:t>Abs. </w:t>
      </w:r>
      <w:r w:rsidR="00B37764" w:rsidRPr="009118AB">
        <w:rPr>
          <w:i/>
          <w:iCs/>
        </w:rPr>
        <w:t xml:space="preserve">1 </w:t>
      </w:r>
      <w:r w:rsidR="00D67EB8" w:rsidRPr="009118AB">
        <w:rPr>
          <w:i/>
          <w:iCs/>
        </w:rPr>
        <w:t>Nr. </w:t>
      </w:r>
      <w:r w:rsidR="00B37764" w:rsidRPr="009118AB">
        <w:rPr>
          <w:i/>
          <w:iCs/>
        </w:rPr>
        <w:t xml:space="preserve">13 einziger Absatz Buchstabe f) eingefügt durch </w:t>
      </w:r>
      <w:r w:rsidR="00D67EB8" w:rsidRPr="009118AB">
        <w:rPr>
          <w:i/>
          <w:iCs/>
        </w:rPr>
        <w:t>Art. </w:t>
      </w:r>
      <w:r w:rsidR="00B37764" w:rsidRPr="009118AB">
        <w:rPr>
          <w:i/>
          <w:iCs/>
        </w:rPr>
        <w:t xml:space="preserve">37 </w:t>
      </w:r>
      <w:r w:rsidR="00D67EB8" w:rsidRPr="009118AB">
        <w:rPr>
          <w:i/>
          <w:iCs/>
        </w:rPr>
        <w:t>Nr. </w:t>
      </w:r>
      <w:r w:rsidR="00B37764" w:rsidRPr="009118AB">
        <w:rPr>
          <w:i/>
          <w:iCs/>
        </w:rPr>
        <w:t>3 des G. vom 18. Dezember 2016</w:t>
      </w:r>
      <w:r w:rsidR="004E359B" w:rsidRPr="009118AB">
        <w:rPr>
          <w:i/>
          <w:iCs/>
        </w:rPr>
        <w:t> (I)</w:t>
      </w:r>
      <w:r w:rsidR="00B37764" w:rsidRPr="009118AB">
        <w:rPr>
          <w:i/>
          <w:iCs/>
        </w:rPr>
        <w:t xml:space="preserve"> (B.S. vom 20. Dezember 2016)</w:t>
      </w:r>
      <w:r w:rsidR="00D67EB8" w:rsidRPr="009118AB">
        <w:rPr>
          <w:i/>
          <w:iCs/>
        </w:rPr>
        <w:t> - </w:t>
      </w:r>
      <w:r w:rsidR="00B37764" w:rsidRPr="009118AB">
        <w:rPr>
          <w:i/>
          <w:iCs/>
        </w:rPr>
        <w:t>in Kraft ab dem Steuerjahr 2017</w:t>
      </w:r>
      <w:r w:rsidR="00D67EB8" w:rsidRPr="009118AB">
        <w:rPr>
          <w:i/>
          <w:iCs/>
        </w:rPr>
        <w:t> - </w:t>
      </w:r>
      <w:r w:rsidR="00A7620E" w:rsidRPr="009118AB">
        <w:rPr>
          <w:i/>
          <w:iCs/>
        </w:rPr>
        <w:t xml:space="preserve">und abgeändert durch </w:t>
      </w:r>
      <w:r w:rsidR="00D67EB8" w:rsidRPr="009118AB">
        <w:rPr>
          <w:i/>
          <w:iCs/>
        </w:rPr>
        <w:t>Art. </w:t>
      </w:r>
      <w:r w:rsidR="00A7620E" w:rsidRPr="009118AB">
        <w:rPr>
          <w:i/>
          <w:iCs/>
        </w:rPr>
        <w:t xml:space="preserve">35 </w:t>
      </w:r>
      <w:r w:rsidR="00D67EB8" w:rsidRPr="009118AB">
        <w:rPr>
          <w:i/>
          <w:iCs/>
        </w:rPr>
        <w:t>Nr. </w:t>
      </w:r>
      <w:r w:rsidR="00A7620E" w:rsidRPr="009118AB">
        <w:rPr>
          <w:i/>
          <w:iCs/>
        </w:rPr>
        <w:t xml:space="preserve">1 </w:t>
      </w:r>
      <w:r w:rsidR="00A7620E" w:rsidRPr="009118AB">
        <w:rPr>
          <w:i/>
          <w:iCs/>
        </w:rPr>
        <w:lastRenderedPageBreak/>
        <w:t>und 2 des G. vom 11. Juli 2018</w:t>
      </w:r>
      <w:r w:rsidR="001B7C2B" w:rsidRPr="009118AB">
        <w:rPr>
          <w:i/>
          <w:iCs/>
        </w:rPr>
        <w:t> (II)</w:t>
      </w:r>
      <w:r w:rsidR="00A7620E" w:rsidRPr="009118AB">
        <w:rPr>
          <w:i/>
          <w:iCs/>
        </w:rPr>
        <w:t xml:space="preserve"> (B.S. vom 20. Juli 2018)</w:t>
      </w:r>
      <w:r w:rsidR="00D67EB8" w:rsidRPr="009118AB">
        <w:rPr>
          <w:i/>
          <w:iCs/>
        </w:rPr>
        <w:t> - </w:t>
      </w:r>
      <w:r w:rsidR="00893CC7" w:rsidRPr="009118AB">
        <w:rPr>
          <w:i/>
          <w:iCs/>
        </w:rPr>
        <w:t>in Kraft ab dem 21. Juli 2019</w:t>
      </w:r>
      <w:r w:rsidR="00D67EB8" w:rsidRPr="009118AB">
        <w:rPr>
          <w:i/>
          <w:iCs/>
        </w:rPr>
        <w:t> -</w:t>
      </w:r>
      <w:r w:rsidR="00200323" w:rsidRPr="009118AB">
        <w:rPr>
          <w:i/>
          <w:iCs/>
        </w:rPr>
        <w:t>,</w:t>
      </w:r>
      <w:r w:rsidR="004151B0" w:rsidRPr="009118AB">
        <w:rPr>
          <w:i/>
          <w:iCs/>
        </w:rPr>
        <w:t xml:space="preserve"> </w:t>
      </w:r>
      <w:r w:rsidR="00D67EB8" w:rsidRPr="009118AB">
        <w:rPr>
          <w:i/>
          <w:iCs/>
        </w:rPr>
        <w:t>Art. </w:t>
      </w:r>
      <w:r w:rsidR="004151B0" w:rsidRPr="009118AB">
        <w:rPr>
          <w:i/>
          <w:iCs/>
        </w:rPr>
        <w:t>25 Buchstabe b) des G. vom 23. Februar 2022 (B.S. vom 4. April 2022)</w:t>
      </w:r>
      <w:r w:rsidR="00D67EB8" w:rsidRPr="009118AB">
        <w:rPr>
          <w:i/>
          <w:iCs/>
        </w:rPr>
        <w:t> - </w:t>
      </w:r>
      <w:r w:rsidR="004151B0" w:rsidRPr="009118AB">
        <w:rPr>
          <w:i/>
          <w:iCs/>
        </w:rPr>
        <w:t>in Kraft am 4. April 2022</w:t>
      </w:r>
      <w:r w:rsidR="003366D9" w:rsidRPr="009118AB">
        <w:rPr>
          <w:i/>
          <w:iCs/>
        </w:rPr>
        <w:t> -</w:t>
      </w:r>
      <w:r w:rsidR="00200323" w:rsidRPr="009118AB">
        <w:rPr>
          <w:i/>
          <w:iCs/>
        </w:rPr>
        <w:t xml:space="preserve"> und Art. 39 Nr. 1 und 2 des G. vom 20. November 2022 (B.S. vom 30. November 2022) - in Kraft am 4. April 2022 -</w:t>
      </w:r>
      <w:r w:rsidR="003366D9" w:rsidRPr="009118AB">
        <w:rPr>
          <w:i/>
          <w:iCs/>
        </w:rPr>
        <w:t>;</w:t>
      </w:r>
      <w:r w:rsidR="00B37764" w:rsidRPr="009118AB">
        <w:rPr>
          <w:i/>
          <w:iCs/>
        </w:rPr>
        <w:t xml:space="preserve"> </w:t>
      </w:r>
      <w:r w:rsidR="00D67EB8" w:rsidRPr="009118AB">
        <w:rPr>
          <w:i/>
          <w:iCs/>
        </w:rPr>
        <w:t>Abs. </w:t>
      </w:r>
      <w:r w:rsidR="00D0482D" w:rsidRPr="009118AB">
        <w:rPr>
          <w:i/>
          <w:iCs/>
        </w:rPr>
        <w:t xml:space="preserve">1 </w:t>
      </w:r>
      <w:r w:rsidR="00D67EB8" w:rsidRPr="009118AB">
        <w:rPr>
          <w:i/>
          <w:iCs/>
        </w:rPr>
        <w:t>Nr. </w:t>
      </w:r>
      <w:r w:rsidR="00D0482D" w:rsidRPr="009118AB">
        <w:rPr>
          <w:i/>
          <w:iCs/>
        </w:rPr>
        <w:t xml:space="preserve">14 eingefügt durch </w:t>
      </w:r>
      <w:r w:rsidR="00D67EB8" w:rsidRPr="009118AB">
        <w:rPr>
          <w:i/>
          <w:iCs/>
        </w:rPr>
        <w:t>Art. </w:t>
      </w:r>
      <w:r w:rsidR="00D0482D" w:rsidRPr="009118AB">
        <w:rPr>
          <w:i/>
          <w:iCs/>
        </w:rPr>
        <w:t>104 Buchstabe d) des G. vom 25. Dezember 2017 (IV) (B.S. vom 29. Dezember 2017)</w:t>
      </w:r>
      <w:r w:rsidR="00D67EB8" w:rsidRPr="009118AB">
        <w:rPr>
          <w:i/>
          <w:iCs/>
        </w:rPr>
        <w:t> - </w:t>
      </w:r>
      <w:r w:rsidR="00D0482D" w:rsidRPr="009118AB">
        <w:rPr>
          <w:i/>
          <w:iCs/>
        </w:rPr>
        <w:t>anwendbar auf die ab dem 1. Januar 2018 gezahlten oder zuerkannten Einkünfte</w:t>
      </w:r>
      <w:r w:rsidR="00D67EB8" w:rsidRPr="009118AB">
        <w:rPr>
          <w:i/>
          <w:iCs/>
        </w:rPr>
        <w:t> - </w:t>
      </w:r>
      <w:r w:rsidR="00F61E69" w:rsidRPr="009118AB">
        <w:rPr>
          <w:i/>
          <w:iCs/>
        </w:rPr>
        <w:t xml:space="preserve">und abgeändert durch </w:t>
      </w:r>
      <w:r w:rsidR="00D67EB8" w:rsidRPr="009118AB">
        <w:rPr>
          <w:i/>
          <w:iCs/>
        </w:rPr>
        <w:t>Art. </w:t>
      </w:r>
      <w:r w:rsidR="00F61E69" w:rsidRPr="009118AB">
        <w:rPr>
          <w:i/>
          <w:iCs/>
        </w:rPr>
        <w:t xml:space="preserve">2 </w:t>
      </w:r>
      <w:r w:rsidR="00D67EB8" w:rsidRPr="009118AB">
        <w:rPr>
          <w:i/>
          <w:iCs/>
        </w:rPr>
        <w:t>Nr. </w:t>
      </w:r>
      <w:r w:rsidR="00F61E69" w:rsidRPr="009118AB">
        <w:rPr>
          <w:i/>
          <w:iCs/>
        </w:rPr>
        <w:t>1 des G. vom 30. Juli 2018 (I) (B.S. vom 10. August 2018)</w:t>
      </w:r>
      <w:r w:rsidR="00D67EB8" w:rsidRPr="009118AB">
        <w:rPr>
          <w:i/>
          <w:iCs/>
        </w:rPr>
        <w:t> - </w:t>
      </w:r>
      <w:r w:rsidR="00F61E69" w:rsidRPr="009118AB">
        <w:rPr>
          <w:i/>
          <w:iCs/>
        </w:rPr>
        <w:t>anwendbar auf die ab dem 1. Januar 2019 gezahlten oder zuerkannten Einkünfte</w:t>
      </w:r>
      <w:r w:rsidR="003366D9" w:rsidRPr="009118AB">
        <w:rPr>
          <w:i/>
          <w:iCs/>
        </w:rPr>
        <w:t> -;</w:t>
      </w:r>
      <w:r w:rsidR="00D0482D" w:rsidRPr="009118AB">
        <w:rPr>
          <w:i/>
          <w:iCs/>
        </w:rPr>
        <w:t xml:space="preserve"> </w:t>
      </w:r>
      <w:r w:rsidR="008604AB" w:rsidRPr="009118AB">
        <w:rPr>
          <w:i/>
          <w:iCs/>
        </w:rPr>
        <w:t xml:space="preserve">neuer Absatz 2 eingefügt durch </w:t>
      </w:r>
      <w:r w:rsidR="00D67EB8" w:rsidRPr="009118AB">
        <w:rPr>
          <w:i/>
          <w:iCs/>
        </w:rPr>
        <w:t>Art. </w:t>
      </w:r>
      <w:r w:rsidR="008604AB" w:rsidRPr="009118AB">
        <w:rPr>
          <w:i/>
          <w:iCs/>
        </w:rPr>
        <w:t>90 Buchstabe b) des G. vom 25. Dezember 2017 (IV) (B.S. vom 29. Dezember 2017)</w:t>
      </w:r>
      <w:r w:rsidR="00D67EB8" w:rsidRPr="009118AB">
        <w:rPr>
          <w:i/>
          <w:iCs/>
        </w:rPr>
        <w:t> - </w:t>
      </w:r>
      <w:r w:rsidR="008604AB" w:rsidRPr="009118AB">
        <w:rPr>
          <w:i/>
          <w:iCs/>
        </w:rPr>
        <w:t xml:space="preserve">anwendbar auf Einkünfte, die ab dem 17. September 2017 von einer </w:t>
      </w:r>
      <w:r w:rsidR="008604AB" w:rsidRPr="00186364">
        <w:rPr>
          <w:rFonts w:ascii="Times New Roman Italique" w:hAnsi="Times New Roman Italique"/>
          <w:i/>
          <w:iCs/>
          <w:spacing w:val="-2"/>
        </w:rPr>
        <w:t>Rechts</w:t>
      </w:r>
      <w:r w:rsidR="00186364" w:rsidRPr="00186364">
        <w:rPr>
          <w:rFonts w:ascii="Times New Roman Italique" w:hAnsi="Times New Roman Italique"/>
          <w:i/>
          <w:iCs/>
          <w:spacing w:val="-2"/>
        </w:rPr>
        <w:softHyphen/>
      </w:r>
      <w:r w:rsidR="008604AB" w:rsidRPr="00186364">
        <w:rPr>
          <w:rFonts w:ascii="Times New Roman Italique" w:hAnsi="Times New Roman Italique"/>
          <w:i/>
          <w:iCs/>
          <w:spacing w:val="-2"/>
        </w:rPr>
        <w:t>vereinbarung bezogen, zuerkannt oder ausge</w:t>
      </w:r>
      <w:r w:rsidR="008604AB" w:rsidRPr="00186364">
        <w:rPr>
          <w:rFonts w:ascii="Times New Roman Italique" w:hAnsi="Times New Roman Italique"/>
          <w:i/>
          <w:iCs/>
          <w:spacing w:val="-2"/>
        </w:rPr>
        <w:softHyphen/>
        <w:t>schüttet werden, und</w:t>
      </w:r>
      <w:r w:rsidR="00D67EB8" w:rsidRPr="00186364">
        <w:rPr>
          <w:rFonts w:ascii="Times New Roman Italique" w:hAnsi="Times New Roman Italique"/>
          <w:i/>
          <w:iCs/>
          <w:spacing w:val="-2"/>
        </w:rPr>
        <w:t> - </w:t>
      </w:r>
      <w:r w:rsidR="008604AB" w:rsidRPr="00186364">
        <w:rPr>
          <w:rFonts w:ascii="Times New Roman Italique" w:hAnsi="Times New Roman Italique"/>
          <w:i/>
          <w:iCs/>
          <w:spacing w:val="-2"/>
        </w:rPr>
        <w:t>in Bezug auf die Anwendung des Mobiliensteuervorabzugs</w:t>
      </w:r>
      <w:r w:rsidR="00D67EB8" w:rsidRPr="00186364">
        <w:rPr>
          <w:rFonts w:ascii="Times New Roman Italique" w:hAnsi="Times New Roman Italique"/>
          <w:i/>
          <w:iCs/>
          <w:spacing w:val="-2"/>
        </w:rPr>
        <w:t> - </w:t>
      </w:r>
      <w:r w:rsidR="008604AB" w:rsidRPr="00186364">
        <w:rPr>
          <w:rFonts w:ascii="Times New Roman Italique" w:hAnsi="Times New Roman Italique"/>
          <w:i/>
          <w:iCs/>
          <w:spacing w:val="-2"/>
        </w:rPr>
        <w:t>auf Einkünfte, die ab dem 1. Januar 2018 zuerkannt oder ausgeschüttet werden</w:t>
      </w:r>
      <w:r w:rsidR="003366D9" w:rsidRPr="00186364">
        <w:rPr>
          <w:rFonts w:ascii="Times New Roman Italique" w:hAnsi="Times New Roman Italique"/>
          <w:i/>
          <w:iCs/>
          <w:spacing w:val="-2"/>
        </w:rPr>
        <w:t> -</w:t>
      </w:r>
      <w:r w:rsidR="00186364" w:rsidRPr="00186364">
        <w:rPr>
          <w:rFonts w:ascii="Times New Roman Italique" w:hAnsi="Times New Roman Italique"/>
          <w:i/>
          <w:iCs/>
          <w:spacing w:val="-2"/>
        </w:rPr>
        <w:t xml:space="preserve"> und ersetzt durch Art. 36 Nr. 2 des G. vom 22. Dezember 2023 (II) (B.S. vom 29. Dezember 2023) - anwendbar auf Einkünfte, die ab dem 1. Januar 2024 von einer Rechtsvereinbarung bezogen, zuerkannt oder ausgeschüttet werden -</w:t>
      </w:r>
      <w:r w:rsidR="003366D9" w:rsidRPr="00186364">
        <w:rPr>
          <w:rFonts w:ascii="Times New Roman Italique" w:hAnsi="Times New Roman Italique"/>
          <w:i/>
          <w:iCs/>
          <w:spacing w:val="-2"/>
        </w:rPr>
        <w:t>;</w:t>
      </w:r>
      <w:r w:rsidR="008604AB" w:rsidRPr="009118AB">
        <w:rPr>
          <w:i/>
          <w:iCs/>
        </w:rPr>
        <w:t xml:space="preserve"> </w:t>
      </w:r>
      <w:r w:rsidR="00D67EB8" w:rsidRPr="009118AB">
        <w:rPr>
          <w:i/>
        </w:rPr>
        <w:t>Abs. </w:t>
      </w:r>
      <w:r w:rsidR="008604AB" w:rsidRPr="009118AB">
        <w:rPr>
          <w:i/>
        </w:rPr>
        <w:t>3</w:t>
      </w:r>
      <w:r w:rsidR="00B37764" w:rsidRPr="009118AB">
        <w:rPr>
          <w:i/>
        </w:rPr>
        <w:t xml:space="preserve"> eingefügt durch </w:t>
      </w:r>
      <w:r w:rsidR="00D67EB8" w:rsidRPr="009118AB">
        <w:rPr>
          <w:i/>
        </w:rPr>
        <w:t>Art. </w:t>
      </w:r>
      <w:r w:rsidR="00B37764" w:rsidRPr="009118AB">
        <w:rPr>
          <w:i/>
        </w:rPr>
        <w:t xml:space="preserve">37 </w:t>
      </w:r>
      <w:r w:rsidR="00D67EB8" w:rsidRPr="009118AB">
        <w:rPr>
          <w:i/>
        </w:rPr>
        <w:t>Nr. </w:t>
      </w:r>
      <w:r w:rsidR="00B37764" w:rsidRPr="009118AB">
        <w:rPr>
          <w:i/>
        </w:rPr>
        <w:t>4 des G. vom 18. Dezember 2016</w:t>
      </w:r>
      <w:r w:rsidR="004E359B" w:rsidRPr="009118AB">
        <w:rPr>
          <w:i/>
        </w:rPr>
        <w:t> (I)</w:t>
      </w:r>
      <w:r w:rsidR="00B37764" w:rsidRPr="009118AB">
        <w:rPr>
          <w:i/>
        </w:rPr>
        <w:t xml:space="preserve"> (B.S. vom 20. Dezember 2016)</w:t>
      </w:r>
      <w:r w:rsidR="00D67EB8" w:rsidRPr="009118AB">
        <w:rPr>
          <w:i/>
        </w:rPr>
        <w:t> - </w:t>
      </w:r>
      <w:r w:rsidR="00B37764" w:rsidRPr="009118AB">
        <w:rPr>
          <w:i/>
        </w:rPr>
        <w:t>in Kraft ab dem Steuerjahr 2017</w:t>
      </w:r>
      <w:r w:rsidR="003366D9" w:rsidRPr="009118AB">
        <w:rPr>
          <w:i/>
        </w:rPr>
        <w:t> -;</w:t>
      </w:r>
      <w:r w:rsidR="00F61E69" w:rsidRPr="009118AB">
        <w:rPr>
          <w:i/>
        </w:rPr>
        <w:t xml:space="preserve"> </w:t>
      </w:r>
      <w:r w:rsidR="00D67EB8" w:rsidRPr="009118AB">
        <w:rPr>
          <w:i/>
        </w:rPr>
        <w:t>Abs. </w:t>
      </w:r>
      <w:r w:rsidR="00F61E69" w:rsidRPr="009118AB">
        <w:rPr>
          <w:i/>
        </w:rPr>
        <w:t xml:space="preserve">4 eingefügt durch </w:t>
      </w:r>
      <w:r w:rsidR="00D67EB8" w:rsidRPr="009118AB">
        <w:rPr>
          <w:i/>
        </w:rPr>
        <w:t>Art. </w:t>
      </w:r>
      <w:r w:rsidR="00F61E69" w:rsidRPr="009118AB">
        <w:rPr>
          <w:i/>
        </w:rPr>
        <w:t xml:space="preserve">2 </w:t>
      </w:r>
      <w:r w:rsidR="00D67EB8" w:rsidRPr="009118AB">
        <w:rPr>
          <w:i/>
        </w:rPr>
        <w:t>Nr. </w:t>
      </w:r>
      <w:r w:rsidR="00F61E69" w:rsidRPr="009118AB">
        <w:rPr>
          <w:i/>
        </w:rPr>
        <w:t>2 des G. vom 30. Juli 2018 (I) (B.S. vom 10. August 2018)</w:t>
      </w:r>
      <w:r w:rsidR="00D67EB8" w:rsidRPr="009118AB">
        <w:rPr>
          <w:i/>
        </w:rPr>
        <w:t> - </w:t>
      </w:r>
      <w:r w:rsidR="00F61E69" w:rsidRPr="009118AB">
        <w:rPr>
          <w:i/>
        </w:rPr>
        <w:t>anwendbar auf die ab dem 1. Januar 2019 gezahlten oder zuerkannten Einkünfte</w:t>
      </w:r>
      <w:r w:rsidR="00FD68E8" w:rsidRPr="009118AB">
        <w:rPr>
          <w:i/>
        </w:rPr>
        <w:t> -]</w:t>
      </w:r>
    </w:p>
    <w:p w14:paraId="3BDF21AB" w14:textId="77777777" w:rsidR="001E243B" w:rsidRPr="009118AB" w:rsidRDefault="001E243B" w:rsidP="00477B8F">
      <w:pPr>
        <w:autoSpaceDE w:val="0"/>
        <w:autoSpaceDN w:val="0"/>
        <w:adjustRightInd w:val="0"/>
        <w:jc w:val="center"/>
      </w:pPr>
    </w:p>
    <w:p w14:paraId="7A1B6460" w14:textId="2451916D" w:rsidR="00477B8F" w:rsidRPr="009118AB" w:rsidRDefault="00477B8F" w:rsidP="00477B8F">
      <w:pPr>
        <w:autoSpaceDE w:val="0"/>
        <w:autoSpaceDN w:val="0"/>
        <w:adjustRightInd w:val="0"/>
        <w:jc w:val="center"/>
      </w:pPr>
      <w:r w:rsidRPr="009118AB">
        <w:br w:type="page"/>
      </w:r>
      <w:r w:rsidRPr="009118AB">
        <w:lastRenderedPageBreak/>
        <w:t>Unterabschnitt </w:t>
      </w:r>
      <w:r w:rsidR="00AA609D" w:rsidRPr="009118AB">
        <w:t>3</w:t>
      </w:r>
      <w:r w:rsidR="00D67EB8" w:rsidRPr="009118AB">
        <w:t> - </w:t>
      </w:r>
      <w:r w:rsidRPr="009118AB">
        <w:t>Festlegung des Nettoeinkommens</w:t>
      </w:r>
    </w:p>
    <w:p w14:paraId="07E6AD1E" w14:textId="77777777" w:rsidR="00477B8F" w:rsidRPr="009118AB" w:rsidRDefault="00477B8F" w:rsidP="00477B8F">
      <w:pPr>
        <w:autoSpaceDE w:val="0"/>
        <w:autoSpaceDN w:val="0"/>
        <w:adjustRightInd w:val="0"/>
        <w:jc w:val="center"/>
      </w:pPr>
    </w:p>
    <w:p w14:paraId="378BFD4A" w14:textId="77777777" w:rsidR="00477B8F" w:rsidRPr="009118AB" w:rsidRDefault="00477B8F" w:rsidP="00477B8F">
      <w:pPr>
        <w:autoSpaceDE w:val="0"/>
        <w:autoSpaceDN w:val="0"/>
        <w:adjustRightInd w:val="0"/>
        <w:jc w:val="center"/>
        <w:rPr>
          <w:i/>
          <w:iCs/>
        </w:rPr>
      </w:pPr>
    </w:p>
    <w:p w14:paraId="1080CBDD" w14:textId="53092615" w:rsidR="007568EB" w:rsidRPr="009118AB" w:rsidRDefault="007568EB" w:rsidP="007568EB">
      <w:pPr>
        <w:autoSpaceDE w:val="0"/>
        <w:autoSpaceDN w:val="0"/>
        <w:adjustRightInd w:val="0"/>
        <w:jc w:val="both"/>
        <w:rPr>
          <w:iCs/>
        </w:rPr>
      </w:pPr>
      <w:r w:rsidRPr="009118AB">
        <w:rPr>
          <w:bCs/>
          <w:iCs/>
        </w:rPr>
        <w:tab/>
      </w:r>
      <w:r w:rsidR="00D67EB8" w:rsidRPr="009118AB">
        <w:rPr>
          <w:b/>
          <w:bCs/>
          <w:iCs/>
        </w:rPr>
        <w:t>Art. </w:t>
      </w:r>
      <w:r w:rsidRPr="009118AB">
        <w:rPr>
          <w:b/>
          <w:bCs/>
          <w:iCs/>
        </w:rPr>
        <w:t>22</w:t>
      </w:r>
      <w:r w:rsidR="00D67EB8" w:rsidRPr="009118AB">
        <w:rPr>
          <w:iCs/>
        </w:rPr>
        <w:t> - § </w:t>
      </w:r>
      <w:r w:rsidRPr="009118AB">
        <w:rPr>
          <w:iCs/>
        </w:rPr>
        <w:t>1</w:t>
      </w:r>
      <w:r w:rsidR="00D67EB8" w:rsidRPr="009118AB">
        <w:rPr>
          <w:iCs/>
        </w:rPr>
        <w:t> - </w:t>
      </w:r>
      <w:r w:rsidRPr="009118AB">
        <w:rPr>
          <w:iCs/>
        </w:rPr>
        <w:t>Unter Nettoeinkommen aus Kapitalvermögen und beweglichen Gütern versteht man den in gleich welcher Form eingenommenen oder erhaltenen Betrag [vor Abzug der Inkassokosten, Aufbewahrungskosten und anderen ähnlichen Kosten und erhöht um den Mobiliensteuervorabzug</w:t>
      </w:r>
      <w:r w:rsidR="003F4F6F" w:rsidRPr="009118AB">
        <w:rPr>
          <w:iCs/>
        </w:rPr>
        <w:t xml:space="preserve"> [</w:t>
      </w:r>
      <w:r w:rsidR="003F4F6F" w:rsidRPr="009118AB">
        <w:rPr>
          <w:rFonts w:eastAsia="Calibri"/>
          <w:kern w:val="2"/>
          <w:szCs w:val="22"/>
          <w:lang w:eastAsia="en-US"/>
          <w14:ligatures w14:val="standardContextual"/>
        </w:rPr>
        <w:t>und den fiktiven Mobiliensteuervorabzug</w:t>
      </w:r>
      <w:r w:rsidR="003F4F6F" w:rsidRPr="009118AB">
        <w:rPr>
          <w:iCs/>
        </w:rPr>
        <w:t>]</w:t>
      </w:r>
      <w:r w:rsidRPr="009118AB">
        <w:rPr>
          <w:iCs/>
        </w:rPr>
        <w:t xml:space="preserve"> […]].</w:t>
      </w:r>
    </w:p>
    <w:p w14:paraId="381997CE" w14:textId="77777777" w:rsidR="007568EB" w:rsidRPr="009118AB" w:rsidRDefault="007568EB" w:rsidP="007568EB">
      <w:pPr>
        <w:autoSpaceDE w:val="0"/>
        <w:autoSpaceDN w:val="0"/>
        <w:adjustRightInd w:val="0"/>
        <w:jc w:val="both"/>
        <w:rPr>
          <w:iCs/>
        </w:rPr>
      </w:pPr>
    </w:p>
    <w:p w14:paraId="48E18E5B" w14:textId="447C16AF" w:rsidR="007568EB" w:rsidRPr="009118AB" w:rsidRDefault="007568EB" w:rsidP="007568EB">
      <w:pPr>
        <w:autoSpaceDE w:val="0"/>
        <w:autoSpaceDN w:val="0"/>
        <w:adjustRightInd w:val="0"/>
        <w:jc w:val="both"/>
        <w:rPr>
          <w:iCs/>
        </w:rPr>
      </w:pPr>
      <w:r w:rsidRPr="009118AB">
        <w:rPr>
          <w:iCs/>
        </w:rPr>
        <w:tab/>
        <w:t xml:space="preserve">Dieses Einkommen wird um die diesbezüglichen Inkassokosten, Aufbewahrungskosten und anderen ähnlichen Kosten verringert, [außer wenn es </w:t>
      </w:r>
      <w:r w:rsidR="004F28E8" w:rsidRPr="009118AB">
        <w:rPr>
          <w:iCs/>
        </w:rPr>
        <w:t>[</w:t>
      </w:r>
      <w:r w:rsidR="004F28E8" w:rsidRPr="009118AB">
        <w:t xml:space="preserve">gemäß Artikel 171 </w:t>
      </w:r>
      <w:r w:rsidR="00D67EB8" w:rsidRPr="009118AB">
        <w:t>Nr. </w:t>
      </w:r>
      <w:r w:rsidR="004F28E8" w:rsidRPr="009118AB">
        <w:t>2</w:t>
      </w:r>
      <w:r w:rsidR="004F28E8" w:rsidRPr="009118AB">
        <w:rPr>
          <w:i/>
        </w:rPr>
        <w:t>bis</w:t>
      </w:r>
      <w:r w:rsidR="004F28E8" w:rsidRPr="009118AB">
        <w:t>, 3 und 3</w:t>
      </w:r>
      <w:r w:rsidR="004F28E8" w:rsidRPr="009118AB">
        <w:rPr>
          <w:i/>
        </w:rPr>
        <w:t>quater</w:t>
      </w:r>
      <w:r w:rsidR="004F28E8" w:rsidRPr="009118AB">
        <w:t xml:space="preserve"> bis 3</w:t>
      </w:r>
      <w:r w:rsidR="004F28E8" w:rsidRPr="009118AB">
        <w:rPr>
          <w:i/>
        </w:rPr>
        <w:t>septies</w:t>
      </w:r>
      <w:r w:rsidR="004F28E8" w:rsidRPr="009118AB">
        <w:rPr>
          <w:iCs/>
        </w:rPr>
        <w:t>]</w:t>
      </w:r>
      <w:r w:rsidRPr="009118AB">
        <w:rPr>
          <w:iCs/>
        </w:rPr>
        <w:t xml:space="preserve"> getrennt besteuert wird].</w:t>
      </w:r>
    </w:p>
    <w:p w14:paraId="101F0EB4" w14:textId="77777777" w:rsidR="007568EB" w:rsidRPr="009118AB" w:rsidRDefault="007568EB" w:rsidP="007568EB">
      <w:pPr>
        <w:autoSpaceDE w:val="0"/>
        <w:autoSpaceDN w:val="0"/>
        <w:adjustRightInd w:val="0"/>
        <w:jc w:val="both"/>
        <w:rPr>
          <w:iCs/>
        </w:rPr>
      </w:pPr>
    </w:p>
    <w:p w14:paraId="1283DA79" w14:textId="1D41A38D" w:rsidR="007568EB" w:rsidRPr="009118AB" w:rsidRDefault="007568EB" w:rsidP="007568EB">
      <w:pPr>
        <w:autoSpaceDE w:val="0"/>
        <w:autoSpaceDN w:val="0"/>
        <w:adjustRightInd w:val="0"/>
        <w:jc w:val="both"/>
        <w:rPr>
          <w:iCs/>
        </w:rPr>
      </w:pPr>
      <w:r w:rsidRPr="009118AB">
        <w:rPr>
          <w:iCs/>
        </w:rPr>
        <w:tab/>
      </w:r>
      <w:r w:rsidR="00D67EB8" w:rsidRPr="009118AB">
        <w:rPr>
          <w:iCs/>
        </w:rPr>
        <w:t>§ </w:t>
      </w:r>
      <w:r w:rsidRPr="009118AB">
        <w:rPr>
          <w:iCs/>
        </w:rPr>
        <w:t>2</w:t>
      </w:r>
      <w:r w:rsidR="00D67EB8" w:rsidRPr="009118AB">
        <w:rPr>
          <w:iCs/>
        </w:rPr>
        <w:t> - </w:t>
      </w:r>
      <w:r w:rsidRPr="009118AB">
        <w:rPr>
          <w:iCs/>
        </w:rPr>
        <w:t>Zinsen auf Schulden, die gemacht wurden, um Einkünfte aus Kapitalvermögen und beweglichen Gütern zu erwerben oder zu behalten, sind nicht abzugsfähig.</w:t>
      </w:r>
    </w:p>
    <w:p w14:paraId="67610795" w14:textId="77777777" w:rsidR="007568EB" w:rsidRPr="009118AB" w:rsidRDefault="007568EB" w:rsidP="007568EB">
      <w:pPr>
        <w:autoSpaceDE w:val="0"/>
        <w:autoSpaceDN w:val="0"/>
        <w:adjustRightInd w:val="0"/>
        <w:jc w:val="both"/>
        <w:rPr>
          <w:iCs/>
        </w:rPr>
      </w:pPr>
    </w:p>
    <w:p w14:paraId="106CBEBE" w14:textId="6AE3966D" w:rsidR="007568EB" w:rsidRPr="009118AB" w:rsidRDefault="007568EB" w:rsidP="007568EB">
      <w:pPr>
        <w:autoSpaceDE w:val="0"/>
        <w:autoSpaceDN w:val="0"/>
        <w:adjustRightInd w:val="0"/>
        <w:jc w:val="both"/>
        <w:rPr>
          <w:iCs/>
        </w:rPr>
      </w:pPr>
      <w:r w:rsidRPr="009118AB">
        <w:rPr>
          <w:iCs/>
        </w:rPr>
        <w:tab/>
      </w:r>
      <w:r w:rsidR="00D67EB8" w:rsidRPr="009118AB">
        <w:rPr>
          <w:iCs/>
        </w:rPr>
        <w:t>§ </w:t>
      </w:r>
      <w:r w:rsidRPr="009118AB">
        <w:rPr>
          <w:iCs/>
        </w:rPr>
        <w:t>3</w:t>
      </w:r>
      <w:r w:rsidR="00D67EB8" w:rsidRPr="009118AB">
        <w:rPr>
          <w:iCs/>
        </w:rPr>
        <w:t> - </w:t>
      </w:r>
      <w:r w:rsidRPr="009118AB">
        <w:rPr>
          <w:iCs/>
        </w:rPr>
        <w:t xml:space="preserve">Unbeschadet der Bestimmungen von </w:t>
      </w:r>
      <w:r w:rsidR="00D67EB8" w:rsidRPr="009118AB">
        <w:rPr>
          <w:iCs/>
        </w:rPr>
        <w:t>§ </w:t>
      </w:r>
      <w:r w:rsidRPr="009118AB">
        <w:rPr>
          <w:iCs/>
        </w:rPr>
        <w:t xml:space="preserve">2 [versteht man unter </w:t>
      </w:r>
      <w:r w:rsidR="00820BC4" w:rsidRPr="009118AB">
        <w:rPr>
          <w:iCs/>
        </w:rPr>
        <w:t>[</w:t>
      </w:r>
      <w:r w:rsidR="00820BC4" w:rsidRPr="009118AB">
        <w:t xml:space="preserve">Nettoeinkommen aus der in Artikel 17 </w:t>
      </w:r>
      <w:r w:rsidR="00D67EB8" w:rsidRPr="009118AB">
        <w:t>§ </w:t>
      </w:r>
      <w:r w:rsidR="00820BC4" w:rsidRPr="009118AB">
        <w:t xml:space="preserve">1 </w:t>
      </w:r>
      <w:r w:rsidR="00D67EB8" w:rsidRPr="009118AB">
        <w:t>Nr. </w:t>
      </w:r>
      <w:r w:rsidR="00820BC4" w:rsidRPr="009118AB">
        <w:t xml:space="preserve">3 erwähnten Vermietung, Verpachtung, Nutzung und Überlassung von beweglichen Gütern </w:t>
      </w:r>
      <w:r w:rsidR="00807179" w:rsidRPr="009118AB">
        <w:t>[und aus der Abtretung von oder der Vergabe einer Lizenz für Urheberrechte und verwandte Schutzrechte und aus den durch das Gesetz geregelten gesetzlichen Lizenzen und Zwangslizenzen erwähnt in Artikel 17 § 1 Nr. 5]</w:t>
      </w:r>
      <w:r w:rsidR="00820BC4" w:rsidRPr="009118AB">
        <w:rPr>
          <w:iCs/>
        </w:rPr>
        <w:t>]</w:t>
      </w:r>
      <w:r w:rsidRPr="009118AB">
        <w:rPr>
          <w:iCs/>
        </w:rPr>
        <w:t xml:space="preserve"> den Bruttobetrag abzüglich der Kosten, die gemacht wurden, um diese Einkünfte zu erwerben oder zu behalten]; in Ermangelung beweiskräftiger Angaben werden diese Kosten pauschal gemäß den vom König festgelegten Prozentsätzen berechnet.</w:t>
      </w:r>
    </w:p>
    <w:p w14:paraId="36DE29CF" w14:textId="77777777" w:rsidR="007568EB" w:rsidRPr="009118AB" w:rsidRDefault="007568EB" w:rsidP="007568EB">
      <w:pPr>
        <w:autoSpaceDE w:val="0"/>
        <w:autoSpaceDN w:val="0"/>
        <w:adjustRightInd w:val="0"/>
        <w:jc w:val="both"/>
        <w:rPr>
          <w:iCs/>
        </w:rPr>
      </w:pPr>
    </w:p>
    <w:p w14:paraId="03F6B92D" w14:textId="0ACCC1EB" w:rsidR="007568EB" w:rsidRPr="009118AB" w:rsidRDefault="007568EB" w:rsidP="007568EB">
      <w:pPr>
        <w:autoSpaceDE w:val="0"/>
        <w:autoSpaceDN w:val="0"/>
        <w:adjustRightInd w:val="0"/>
        <w:jc w:val="both"/>
        <w:rPr>
          <w:i/>
          <w:iCs/>
        </w:rPr>
      </w:pPr>
      <w:r w:rsidRPr="009118AB">
        <w:rPr>
          <w:i/>
          <w:iCs/>
        </w:rPr>
        <w:t>[</w:t>
      </w:r>
      <w:r w:rsidR="00D67EB8" w:rsidRPr="009118AB">
        <w:rPr>
          <w:i/>
          <w:iCs/>
        </w:rPr>
        <w:t>Art. </w:t>
      </w:r>
      <w:r w:rsidRPr="009118AB">
        <w:rPr>
          <w:i/>
          <w:iCs/>
        </w:rPr>
        <w:t xml:space="preserve">22 </w:t>
      </w:r>
      <w:r w:rsidR="00D67EB8" w:rsidRPr="009118AB">
        <w:rPr>
          <w:i/>
          <w:iCs/>
        </w:rPr>
        <w:t>§ </w:t>
      </w:r>
      <w:r w:rsidRPr="009118AB">
        <w:rPr>
          <w:i/>
          <w:iCs/>
        </w:rPr>
        <w:t xml:space="preserve">1 </w:t>
      </w:r>
      <w:r w:rsidR="00D67EB8" w:rsidRPr="009118AB">
        <w:rPr>
          <w:i/>
          <w:iCs/>
        </w:rPr>
        <w:t>Abs. </w:t>
      </w:r>
      <w:r w:rsidRPr="009118AB">
        <w:rPr>
          <w:i/>
          <w:iCs/>
        </w:rPr>
        <w:t xml:space="preserve">1 abgeändert durch </w:t>
      </w:r>
      <w:r w:rsidR="00D67EB8" w:rsidRPr="009118AB">
        <w:rPr>
          <w:i/>
          <w:iCs/>
        </w:rPr>
        <w:t>Art. </w:t>
      </w:r>
      <w:r w:rsidRPr="009118AB">
        <w:rPr>
          <w:i/>
          <w:iCs/>
        </w:rPr>
        <w:t>9 des G. vom 17. Mai 2004 (III) (B.S. vom 27. Mai 2004)</w:t>
      </w:r>
      <w:r w:rsidR="00D67EB8" w:rsidRPr="009118AB">
        <w:rPr>
          <w:i/>
          <w:iCs/>
        </w:rPr>
        <w:t> - </w:t>
      </w:r>
      <w:r w:rsidRPr="009118AB">
        <w:rPr>
          <w:i/>
          <w:iCs/>
        </w:rPr>
        <w:t>anwendbar auf gezahlte oder zuerkannte Zinsen, aufgelaufen ab dem 1. Juli 2005</w:t>
      </w:r>
      <w:r w:rsidR="00FD68E8" w:rsidRPr="009118AB">
        <w:rPr>
          <w:i/>
          <w:iCs/>
        </w:rPr>
        <w:t> -,</w:t>
      </w:r>
      <w:r w:rsidRPr="009118AB">
        <w:rPr>
          <w:i/>
          <w:iCs/>
        </w:rPr>
        <w:t xml:space="preserve"> </w:t>
      </w:r>
      <w:r w:rsidR="00D67EB8" w:rsidRPr="009118AB">
        <w:rPr>
          <w:i/>
          <w:iCs/>
        </w:rPr>
        <w:t>Art. </w:t>
      </w:r>
      <w:r w:rsidRPr="009118AB">
        <w:rPr>
          <w:i/>
          <w:iCs/>
        </w:rPr>
        <w:t xml:space="preserve">25 </w:t>
      </w:r>
      <w:r w:rsidR="00D67EB8" w:rsidRPr="009118AB">
        <w:rPr>
          <w:i/>
          <w:iCs/>
        </w:rPr>
        <w:t>Nr. </w:t>
      </w:r>
      <w:r w:rsidRPr="009118AB">
        <w:rPr>
          <w:i/>
          <w:iCs/>
        </w:rPr>
        <w:t>1 des G. vom 28. Dezember 2011 (B.S. vom 30. Dezemb</w:t>
      </w:r>
      <w:r w:rsidR="005E3D7F" w:rsidRPr="009118AB">
        <w:rPr>
          <w:i/>
          <w:iCs/>
        </w:rPr>
        <w:t>er 2011)</w:t>
      </w:r>
      <w:r w:rsidR="00D67EB8" w:rsidRPr="009118AB">
        <w:rPr>
          <w:i/>
          <w:iCs/>
        </w:rPr>
        <w:t> - </w:t>
      </w:r>
      <w:r w:rsidR="005E3D7F" w:rsidRPr="009118AB">
        <w:rPr>
          <w:i/>
          <w:iCs/>
        </w:rPr>
        <w:t>a</w:t>
      </w:r>
      <w:r w:rsidRPr="009118AB">
        <w:rPr>
          <w:i/>
          <w:iCs/>
        </w:rPr>
        <w:t>nwendbar auf die ab dem 1. Januar 2012 zuerkannten oder ausgeschütteten Einkünfte</w:t>
      </w:r>
      <w:r w:rsidR="00FD68E8" w:rsidRPr="009118AB">
        <w:rPr>
          <w:i/>
          <w:iCs/>
        </w:rPr>
        <w:t> -,</w:t>
      </w:r>
      <w:r w:rsidRPr="009118AB">
        <w:rPr>
          <w:i/>
          <w:iCs/>
        </w:rPr>
        <w:t xml:space="preserve"> </w:t>
      </w:r>
      <w:r w:rsidR="00D67EB8" w:rsidRPr="009118AB">
        <w:rPr>
          <w:i/>
          <w:iCs/>
        </w:rPr>
        <w:t>Art. </w:t>
      </w:r>
      <w:r w:rsidRPr="009118AB">
        <w:rPr>
          <w:i/>
          <w:iCs/>
        </w:rPr>
        <w:t xml:space="preserve">77 </w:t>
      </w:r>
      <w:r w:rsidR="00D67EB8" w:rsidRPr="009118AB">
        <w:rPr>
          <w:i/>
          <w:iCs/>
        </w:rPr>
        <w:t>Nr. </w:t>
      </w:r>
      <w:r w:rsidRPr="009118AB">
        <w:rPr>
          <w:i/>
          <w:iCs/>
        </w:rPr>
        <w:t>1 des G. vom 27. Dezember 2012 (B.S. vom 31. Dezember 2012)</w:t>
      </w:r>
      <w:r w:rsidR="00D67EB8" w:rsidRPr="009118AB">
        <w:rPr>
          <w:i/>
          <w:iCs/>
        </w:rPr>
        <w:t> - </w:t>
      </w:r>
      <w:r w:rsidRPr="009118AB">
        <w:rPr>
          <w:i/>
          <w:iCs/>
        </w:rPr>
        <w:t>anwendbar auf die ab dem 1. Januar 2013 zuerkannten oder ausgeschütteten Einkünfte</w:t>
      </w:r>
      <w:r w:rsidR="00D67EB8" w:rsidRPr="009118AB">
        <w:rPr>
          <w:i/>
          <w:iCs/>
        </w:rPr>
        <w:t> - </w:t>
      </w:r>
      <w:r w:rsidR="003F4F6F" w:rsidRPr="009118AB">
        <w:rPr>
          <w:i/>
          <w:iCs/>
        </w:rPr>
        <w:t xml:space="preserve">und </w:t>
      </w:r>
      <w:r w:rsidR="00D67EB8" w:rsidRPr="009118AB">
        <w:rPr>
          <w:i/>
          <w:iCs/>
        </w:rPr>
        <w:t>Art. </w:t>
      </w:r>
      <w:r w:rsidR="003F4F6F" w:rsidRPr="009118AB">
        <w:rPr>
          <w:i/>
          <w:iCs/>
        </w:rPr>
        <w:t>4 des G. vom 5. Juli 2022 (B.S. vom 15. Juli 2022)</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abgeändert durch </w:t>
      </w:r>
      <w:r w:rsidR="00D67EB8" w:rsidRPr="009118AB">
        <w:rPr>
          <w:i/>
          <w:iCs/>
        </w:rPr>
        <w:t>Art. </w:t>
      </w:r>
      <w:r w:rsidRPr="009118AB">
        <w:rPr>
          <w:i/>
          <w:iCs/>
        </w:rPr>
        <w:t>29 des G. vom 24. Dezember 1993</w:t>
      </w:r>
      <w:r w:rsidR="005E3D7F" w:rsidRPr="009118AB">
        <w:rPr>
          <w:i/>
          <w:iCs/>
        </w:rPr>
        <w:t xml:space="preserve"> (B.S. vom 31. Dezember 1993)</w:t>
      </w:r>
      <w:r w:rsidR="00D67EB8" w:rsidRPr="009118AB">
        <w:rPr>
          <w:i/>
          <w:iCs/>
        </w:rPr>
        <w:t> - </w:t>
      </w:r>
      <w:r w:rsidRPr="009118AB">
        <w:rPr>
          <w:i/>
          <w:iCs/>
        </w:rPr>
        <w:t>anwendbar ab dem Steuerjahr 1995</w:t>
      </w:r>
      <w:r w:rsidR="00FD68E8" w:rsidRPr="009118AB">
        <w:rPr>
          <w:i/>
          <w:iCs/>
        </w:rPr>
        <w:t> -,</w:t>
      </w:r>
      <w:r w:rsidRPr="009118AB">
        <w:rPr>
          <w:i/>
          <w:iCs/>
        </w:rPr>
        <w:t xml:space="preserve"> </w:t>
      </w:r>
      <w:r w:rsidR="00D67EB8" w:rsidRPr="009118AB">
        <w:rPr>
          <w:i/>
          <w:iCs/>
        </w:rPr>
        <w:t>Art. </w:t>
      </w:r>
      <w:r w:rsidRPr="009118AB">
        <w:rPr>
          <w:i/>
          <w:iCs/>
        </w:rPr>
        <w:t>2 des G. vom 30. März 1994 (B.S. vom 31. März 1994)</w:t>
      </w:r>
      <w:r w:rsidR="00D67EB8" w:rsidRPr="009118AB">
        <w:rPr>
          <w:i/>
          <w:iCs/>
        </w:rPr>
        <w:t> - </w:t>
      </w:r>
      <w:r w:rsidRPr="009118AB">
        <w:rPr>
          <w:i/>
          <w:iCs/>
        </w:rPr>
        <w:t>anwendbar ab dem Steuerjahr 1995</w:t>
      </w:r>
      <w:r w:rsidR="00FD68E8" w:rsidRPr="009118AB">
        <w:rPr>
          <w:i/>
          <w:iCs/>
        </w:rPr>
        <w:t> -,</w:t>
      </w:r>
      <w:r w:rsidRPr="009118AB">
        <w:rPr>
          <w:i/>
          <w:iCs/>
        </w:rPr>
        <w:t xml:space="preserve"> </w:t>
      </w:r>
      <w:r w:rsidR="00D67EB8" w:rsidRPr="009118AB">
        <w:rPr>
          <w:i/>
          <w:iCs/>
        </w:rPr>
        <w:t>Art. </w:t>
      </w:r>
      <w:r w:rsidRPr="009118AB">
        <w:rPr>
          <w:i/>
          <w:iCs/>
        </w:rPr>
        <w:t>4 des G. vom 24. Dezember 2002 (II) (B.S. vom 31. Dezember 2002)</w:t>
      </w:r>
      <w:r w:rsidR="00D67EB8" w:rsidRPr="009118AB">
        <w:rPr>
          <w:i/>
          <w:iCs/>
        </w:rPr>
        <w:t> - </w:t>
      </w:r>
      <w:r w:rsidRPr="009118AB">
        <w:rPr>
          <w:i/>
          <w:iCs/>
        </w:rPr>
        <w:t xml:space="preserve">anwendbar auf Einkünfte, die zuerkannt oder ausgeschüttet werden, oder als solche anzusehen sind ab dem 1. Januar 2002, insofern, wenn es sich um in </w:t>
      </w:r>
      <w:r w:rsidR="00D67EB8" w:rsidRPr="009118AB">
        <w:rPr>
          <w:i/>
          <w:iCs/>
        </w:rPr>
        <w:t>Art. </w:t>
      </w:r>
      <w:r w:rsidRPr="009118AB">
        <w:rPr>
          <w:i/>
          <w:iCs/>
        </w:rPr>
        <w:t>209 des Einkommensteuergesetzbuches 1992 erwähnte Verrichtungen handelt, die Liquidation nicht vor dem 25. März 2002 beendet wurde</w:t>
      </w:r>
      <w:r w:rsidR="00FD68E8" w:rsidRPr="009118AB">
        <w:rPr>
          <w:i/>
          <w:iCs/>
        </w:rPr>
        <w:t> -,</w:t>
      </w:r>
      <w:r w:rsidRPr="009118AB">
        <w:rPr>
          <w:i/>
          <w:iCs/>
        </w:rPr>
        <w:t xml:space="preserve"> </w:t>
      </w:r>
      <w:r w:rsidR="00D67EB8" w:rsidRPr="009118AB">
        <w:rPr>
          <w:i/>
          <w:iCs/>
        </w:rPr>
        <w:t>Art. </w:t>
      </w:r>
      <w:r w:rsidRPr="009118AB">
        <w:rPr>
          <w:i/>
          <w:iCs/>
        </w:rPr>
        <w:t>4 des G. vom 22. Dezember 2009 (I) (B.S. vom 31. Dezember 2009)</w:t>
      </w:r>
      <w:r w:rsidR="00D67EB8" w:rsidRPr="009118AB">
        <w:rPr>
          <w:i/>
          <w:iCs/>
        </w:rPr>
        <w:t> - </w:t>
      </w:r>
      <w:r w:rsidRPr="009118AB">
        <w:rPr>
          <w:i/>
          <w:iCs/>
        </w:rPr>
        <w:t>anwendbar ab dem Steuerjahr 2010</w:t>
      </w:r>
      <w:r w:rsidR="00FD68E8" w:rsidRPr="009118AB">
        <w:rPr>
          <w:i/>
          <w:iCs/>
        </w:rPr>
        <w:t> -,</w:t>
      </w:r>
      <w:r w:rsidRPr="009118AB">
        <w:rPr>
          <w:i/>
          <w:iCs/>
        </w:rPr>
        <w:t xml:space="preserve"> </w:t>
      </w:r>
      <w:r w:rsidR="00D67EB8" w:rsidRPr="009118AB">
        <w:rPr>
          <w:i/>
          <w:iCs/>
        </w:rPr>
        <w:t>Art. </w:t>
      </w:r>
      <w:r w:rsidRPr="009118AB">
        <w:rPr>
          <w:i/>
          <w:iCs/>
        </w:rPr>
        <w:t xml:space="preserve">25 </w:t>
      </w:r>
      <w:r w:rsidR="00D67EB8" w:rsidRPr="009118AB">
        <w:rPr>
          <w:i/>
          <w:iCs/>
        </w:rPr>
        <w:t>Nr. </w:t>
      </w:r>
      <w:r w:rsidRPr="009118AB">
        <w:rPr>
          <w:i/>
          <w:iCs/>
        </w:rPr>
        <w:t>2 des G. vom 28. Dezember 2011 (B.S. vom 30. Dezember 2011)</w:t>
      </w:r>
      <w:r w:rsidR="00D67EB8" w:rsidRPr="009118AB">
        <w:rPr>
          <w:i/>
          <w:iCs/>
        </w:rPr>
        <w:t> - </w:t>
      </w:r>
      <w:r w:rsidR="005A03F0" w:rsidRPr="009118AB">
        <w:rPr>
          <w:i/>
          <w:iCs/>
        </w:rPr>
        <w:t xml:space="preserve">anwendbar </w:t>
      </w:r>
      <w:r w:rsidRPr="009118AB">
        <w:rPr>
          <w:i/>
          <w:iCs/>
        </w:rPr>
        <w:t>auf die ab dem 1. Januar 2012 zuerkannten oder ausgeschütteten Einkünfte</w:t>
      </w:r>
      <w:r w:rsidR="00FD68E8" w:rsidRPr="009118AB">
        <w:rPr>
          <w:i/>
          <w:iCs/>
        </w:rPr>
        <w:t> -,</w:t>
      </w:r>
      <w:r w:rsidRPr="009118AB">
        <w:rPr>
          <w:i/>
          <w:iCs/>
        </w:rPr>
        <w:t xml:space="preserve"> </w:t>
      </w:r>
      <w:r w:rsidR="00D67EB8" w:rsidRPr="009118AB">
        <w:rPr>
          <w:i/>
          <w:iCs/>
        </w:rPr>
        <w:t>Art. </w:t>
      </w:r>
      <w:r w:rsidRPr="009118AB">
        <w:rPr>
          <w:i/>
          <w:iCs/>
        </w:rPr>
        <w:t xml:space="preserve">77 </w:t>
      </w:r>
      <w:r w:rsidR="00D67EB8" w:rsidRPr="009118AB">
        <w:rPr>
          <w:i/>
          <w:iCs/>
        </w:rPr>
        <w:t>Nr. </w:t>
      </w:r>
      <w:r w:rsidRPr="009118AB">
        <w:rPr>
          <w:i/>
          <w:iCs/>
        </w:rPr>
        <w:t>2</w:t>
      </w:r>
      <w:r w:rsidR="006E6B25" w:rsidRPr="009118AB">
        <w:rPr>
          <w:i/>
          <w:iCs/>
        </w:rPr>
        <w:t xml:space="preserve"> </w:t>
      </w:r>
      <w:r w:rsidRPr="009118AB">
        <w:rPr>
          <w:i/>
          <w:iCs/>
        </w:rPr>
        <w:t>des G. vom 27. Dezember 2012 (B.S. vom 31. Dezember 2012)</w:t>
      </w:r>
      <w:r w:rsidR="00D67EB8" w:rsidRPr="009118AB">
        <w:rPr>
          <w:i/>
          <w:iCs/>
        </w:rPr>
        <w:t> - </w:t>
      </w:r>
      <w:r w:rsidRPr="009118AB">
        <w:rPr>
          <w:i/>
          <w:iCs/>
        </w:rPr>
        <w:t>anwendbar auf die ab dem 1. Januar 2013 zuerkannten oder ausgeschütteten Einkünfte</w:t>
      </w:r>
      <w:r w:rsidR="00D67EB8" w:rsidRPr="009118AB">
        <w:rPr>
          <w:i/>
          <w:iCs/>
        </w:rPr>
        <w:t> - </w:t>
      </w:r>
      <w:r w:rsidR="004F28E8" w:rsidRPr="009118AB">
        <w:rPr>
          <w:i/>
          <w:iCs/>
        </w:rPr>
        <w:t xml:space="preserve">und </w:t>
      </w:r>
      <w:r w:rsidR="00D67EB8" w:rsidRPr="009118AB">
        <w:rPr>
          <w:i/>
          <w:iCs/>
        </w:rPr>
        <w:t>Art. </w:t>
      </w:r>
      <w:r w:rsidR="004F28E8" w:rsidRPr="009118AB">
        <w:rPr>
          <w:i/>
          <w:iCs/>
        </w:rPr>
        <w:t xml:space="preserve">42 </w:t>
      </w:r>
      <w:r w:rsidR="004F28E8" w:rsidRPr="009118AB">
        <w:rPr>
          <w:i/>
          <w:iCs/>
          <w:spacing w:val="-1"/>
        </w:rPr>
        <w:t>des G. vom 19. Dezember 2014 (B.S. vom 29. Dezember 2014)</w:t>
      </w:r>
      <w:r w:rsidR="00D67EB8" w:rsidRPr="009118AB">
        <w:rPr>
          <w:i/>
          <w:iCs/>
          <w:spacing w:val="-1"/>
        </w:rPr>
        <w:t> - </w:t>
      </w:r>
      <w:r w:rsidR="004F28E8" w:rsidRPr="009118AB">
        <w:rPr>
          <w:i/>
          <w:iCs/>
          <w:spacing w:val="-1"/>
        </w:rPr>
        <w:t>anwendbar auf die ab dem 1. Januar 2015 zuerkannten oder ausgeschütteten Einkünfte</w:t>
      </w:r>
      <w:r w:rsidR="003366D9" w:rsidRPr="009118AB">
        <w:rPr>
          <w:i/>
          <w:iCs/>
          <w:spacing w:val="-1"/>
        </w:rPr>
        <w:t> -;</w:t>
      </w:r>
      <w:r w:rsidRPr="009118AB">
        <w:rPr>
          <w:i/>
          <w:iCs/>
        </w:rPr>
        <w:t xml:space="preserve"> </w:t>
      </w:r>
      <w:r w:rsidR="00D67EB8" w:rsidRPr="009118AB">
        <w:rPr>
          <w:i/>
          <w:iCs/>
        </w:rPr>
        <w:t>§ </w:t>
      </w:r>
      <w:r w:rsidRPr="009118AB">
        <w:rPr>
          <w:i/>
          <w:iCs/>
        </w:rPr>
        <w:t xml:space="preserve">3 abgeändert durch </w:t>
      </w:r>
      <w:r w:rsidR="00D67EB8" w:rsidRPr="009118AB">
        <w:rPr>
          <w:i/>
          <w:iCs/>
        </w:rPr>
        <w:t>Art. </w:t>
      </w:r>
      <w:r w:rsidRPr="009118AB">
        <w:rPr>
          <w:i/>
          <w:iCs/>
        </w:rPr>
        <w:t>3 des G. vom 16. Juli 2008 (B.S. vom 30. Juli 2008)</w:t>
      </w:r>
      <w:r w:rsidR="00D67EB8" w:rsidRPr="009118AB">
        <w:rPr>
          <w:i/>
          <w:iCs/>
        </w:rPr>
        <w:t> - </w:t>
      </w:r>
      <w:r w:rsidRPr="009118AB">
        <w:rPr>
          <w:i/>
          <w:iCs/>
        </w:rPr>
        <w:t>wirksam mit 1. Januar 2008</w:t>
      </w:r>
      <w:r w:rsidR="00D67EB8" w:rsidRPr="009118AB">
        <w:rPr>
          <w:i/>
          <w:iCs/>
        </w:rPr>
        <w:t> -</w:t>
      </w:r>
      <w:r w:rsidR="00807179" w:rsidRPr="009118AB">
        <w:rPr>
          <w:i/>
          <w:iCs/>
        </w:rPr>
        <w:t>,</w:t>
      </w:r>
      <w:r w:rsidR="00820BC4" w:rsidRPr="009118AB">
        <w:rPr>
          <w:i/>
          <w:iCs/>
        </w:rPr>
        <w:t xml:space="preserve"> </w:t>
      </w:r>
      <w:r w:rsidR="00D67EB8" w:rsidRPr="009118AB">
        <w:rPr>
          <w:i/>
          <w:iCs/>
        </w:rPr>
        <w:t>Art. </w:t>
      </w:r>
      <w:r w:rsidR="00820BC4" w:rsidRPr="009118AB">
        <w:rPr>
          <w:i/>
          <w:iCs/>
        </w:rPr>
        <w:t>35 des G. vom 18. Dezember 2015 (II) (B.S. vom 28. Dezember 2015)</w:t>
      </w:r>
      <w:r w:rsidR="00807179" w:rsidRPr="009118AB">
        <w:rPr>
          <w:i/>
          <w:iCs/>
        </w:rPr>
        <w:t xml:space="preserve"> und Art. 25 des G. vom 31. Juli 2023 (II) (B.S. vom 23. August 2023)</w:t>
      </w:r>
      <w:r w:rsidRPr="009118AB">
        <w:rPr>
          <w:i/>
          <w:iCs/>
        </w:rPr>
        <w:t>]</w:t>
      </w:r>
    </w:p>
    <w:p w14:paraId="2B2AB80F" w14:textId="77777777" w:rsidR="003A2AE4" w:rsidRPr="009118AB" w:rsidRDefault="007568EB" w:rsidP="007568EB">
      <w:pPr>
        <w:tabs>
          <w:tab w:val="left" w:pos="3750"/>
        </w:tabs>
        <w:autoSpaceDE w:val="0"/>
        <w:autoSpaceDN w:val="0"/>
        <w:adjustRightInd w:val="0"/>
        <w:jc w:val="both"/>
      </w:pPr>
      <w:r w:rsidRPr="009118AB">
        <w:tab/>
      </w:r>
    </w:p>
    <w:p w14:paraId="20E3E095" w14:textId="77777777" w:rsidR="003A2AE4" w:rsidRPr="009118AB" w:rsidRDefault="003A2AE4" w:rsidP="003A2AE4">
      <w:pPr>
        <w:autoSpaceDE w:val="0"/>
        <w:autoSpaceDN w:val="0"/>
        <w:adjustRightInd w:val="0"/>
        <w:jc w:val="both"/>
      </w:pPr>
    </w:p>
    <w:p w14:paraId="612B7265" w14:textId="2E9870B8" w:rsidR="00477B8F" w:rsidRPr="009118AB" w:rsidRDefault="00477B8F" w:rsidP="003A2AE4">
      <w:pPr>
        <w:autoSpaceDE w:val="0"/>
        <w:autoSpaceDN w:val="0"/>
        <w:adjustRightInd w:val="0"/>
        <w:jc w:val="center"/>
      </w:pPr>
      <w:r w:rsidRPr="009118AB">
        <w:br w:type="page"/>
      </w:r>
      <w:r w:rsidRPr="009118AB">
        <w:rPr>
          <w:i/>
          <w:iCs/>
        </w:rPr>
        <w:lastRenderedPageBreak/>
        <w:t>Abschnitt </w:t>
      </w:r>
      <w:r w:rsidR="00AA609D" w:rsidRPr="009118AB">
        <w:rPr>
          <w:i/>
          <w:iCs/>
        </w:rPr>
        <w:t>4</w:t>
      </w:r>
      <w:r w:rsidR="00D67EB8" w:rsidRPr="009118AB">
        <w:t> - </w:t>
      </w:r>
      <w:r w:rsidRPr="009118AB">
        <w:t>Berufseinkünfte</w:t>
      </w:r>
    </w:p>
    <w:p w14:paraId="5AD0645B" w14:textId="77777777" w:rsidR="00477B8F" w:rsidRPr="009118AB" w:rsidRDefault="00477B8F" w:rsidP="00477B8F">
      <w:pPr>
        <w:autoSpaceDE w:val="0"/>
        <w:autoSpaceDN w:val="0"/>
        <w:adjustRightInd w:val="0"/>
        <w:jc w:val="center"/>
      </w:pPr>
    </w:p>
    <w:p w14:paraId="07A6E4D5" w14:textId="77777777" w:rsidR="00477B8F" w:rsidRPr="009118AB" w:rsidRDefault="00477B8F" w:rsidP="00477B8F">
      <w:pPr>
        <w:autoSpaceDE w:val="0"/>
        <w:autoSpaceDN w:val="0"/>
        <w:adjustRightInd w:val="0"/>
        <w:jc w:val="center"/>
      </w:pPr>
    </w:p>
    <w:p w14:paraId="28A576D4" w14:textId="260AFC1B" w:rsidR="00477B8F" w:rsidRPr="009118AB" w:rsidRDefault="00477B8F" w:rsidP="00477B8F">
      <w:pPr>
        <w:autoSpaceDE w:val="0"/>
        <w:autoSpaceDN w:val="0"/>
        <w:adjustRightInd w:val="0"/>
        <w:jc w:val="center"/>
      </w:pPr>
      <w:r w:rsidRPr="009118AB">
        <w:t>Unterabschnitt </w:t>
      </w:r>
      <w:r w:rsidR="00AA609D" w:rsidRPr="009118AB">
        <w:t>1</w:t>
      </w:r>
      <w:r w:rsidR="00D67EB8" w:rsidRPr="009118AB">
        <w:t> - </w:t>
      </w:r>
      <w:r w:rsidRPr="009118AB">
        <w:t>Steuerpflichtige Einkünfte</w:t>
      </w:r>
    </w:p>
    <w:p w14:paraId="6ECC6660" w14:textId="77777777" w:rsidR="00477B8F" w:rsidRPr="009118AB" w:rsidRDefault="00477B8F" w:rsidP="00477B8F">
      <w:pPr>
        <w:autoSpaceDE w:val="0"/>
        <w:autoSpaceDN w:val="0"/>
        <w:adjustRightInd w:val="0"/>
        <w:jc w:val="center"/>
      </w:pPr>
    </w:p>
    <w:p w14:paraId="32805608" w14:textId="77777777" w:rsidR="00477B8F" w:rsidRPr="009118AB" w:rsidRDefault="00477B8F" w:rsidP="00477B8F">
      <w:pPr>
        <w:autoSpaceDE w:val="0"/>
        <w:autoSpaceDN w:val="0"/>
        <w:adjustRightInd w:val="0"/>
        <w:jc w:val="center"/>
      </w:pPr>
    </w:p>
    <w:p w14:paraId="00712CC7"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Allgemeines</w:t>
      </w:r>
    </w:p>
    <w:p w14:paraId="10CF86CB" w14:textId="77777777" w:rsidR="00477B8F" w:rsidRPr="009118AB" w:rsidRDefault="00477B8F" w:rsidP="00477B8F">
      <w:pPr>
        <w:autoSpaceDE w:val="0"/>
        <w:autoSpaceDN w:val="0"/>
        <w:adjustRightInd w:val="0"/>
        <w:jc w:val="both"/>
      </w:pPr>
    </w:p>
    <w:p w14:paraId="0472CB94" w14:textId="77777777" w:rsidR="00477B8F" w:rsidRPr="009118AB" w:rsidRDefault="00477B8F" w:rsidP="00477B8F">
      <w:pPr>
        <w:autoSpaceDE w:val="0"/>
        <w:autoSpaceDN w:val="0"/>
        <w:adjustRightInd w:val="0"/>
        <w:jc w:val="both"/>
        <w:rPr>
          <w:b/>
          <w:bCs/>
        </w:rPr>
      </w:pPr>
      <w:r w:rsidRPr="009118AB">
        <w:tab/>
      </w:r>
    </w:p>
    <w:p w14:paraId="42F8A3BA" w14:textId="7D958AD4" w:rsidR="00477B8F" w:rsidRPr="009118AB" w:rsidRDefault="00477B8F" w:rsidP="00477B8F">
      <w:pPr>
        <w:autoSpaceDE w:val="0"/>
        <w:autoSpaceDN w:val="0"/>
        <w:adjustRightInd w:val="0"/>
        <w:jc w:val="both"/>
      </w:pPr>
      <w:r w:rsidRPr="009118AB">
        <w:rPr>
          <w:b/>
          <w:bCs/>
        </w:rPr>
        <w:tab/>
      </w:r>
      <w:r w:rsidR="00D67EB8" w:rsidRPr="009118AB">
        <w:rPr>
          <w:b/>
          <w:bCs/>
        </w:rPr>
        <w:t>Art. </w:t>
      </w:r>
      <w:r w:rsidRPr="009118AB">
        <w:rPr>
          <w:b/>
          <w:bCs/>
        </w:rPr>
        <w:t>23</w:t>
      </w:r>
      <w:r w:rsidR="00D67EB8" w:rsidRPr="009118AB">
        <w:t> - § </w:t>
      </w:r>
      <w:r w:rsidRPr="009118AB">
        <w:t>1</w:t>
      </w:r>
      <w:r w:rsidR="00D67EB8" w:rsidRPr="009118AB">
        <w:t> - </w:t>
      </w:r>
      <w:r w:rsidRPr="009118AB">
        <w:t xml:space="preserve">Berufseinkünfte sind Einkünfte, die direkt oder indirekt aus Tätigkeiten jeglicher Art stammen, </w:t>
      </w:r>
      <w:r w:rsidR="00797C75" w:rsidRPr="009118AB">
        <w:t xml:space="preserve">[und damit gleichgesetzte Einkünfte,] </w:t>
      </w:r>
      <w:r w:rsidRPr="009118AB">
        <w:t>und zwar:</w:t>
      </w:r>
    </w:p>
    <w:p w14:paraId="57ADE62E" w14:textId="77777777" w:rsidR="00477B8F" w:rsidRPr="009118AB" w:rsidRDefault="00477B8F" w:rsidP="00477B8F">
      <w:pPr>
        <w:autoSpaceDE w:val="0"/>
        <w:autoSpaceDN w:val="0"/>
        <w:adjustRightInd w:val="0"/>
        <w:jc w:val="both"/>
      </w:pPr>
    </w:p>
    <w:p w14:paraId="45645F82" w14:textId="77777777" w:rsidR="00477B8F" w:rsidRPr="009118AB" w:rsidRDefault="00477B8F" w:rsidP="00477B8F">
      <w:pPr>
        <w:autoSpaceDE w:val="0"/>
        <w:autoSpaceDN w:val="0"/>
        <w:adjustRightInd w:val="0"/>
        <w:jc w:val="both"/>
      </w:pPr>
      <w:r w:rsidRPr="009118AB">
        <w:tab/>
        <w:t>1. Gewinne,</w:t>
      </w:r>
    </w:p>
    <w:p w14:paraId="36B0CE2D" w14:textId="77777777" w:rsidR="00477B8F" w:rsidRPr="009118AB" w:rsidRDefault="00477B8F" w:rsidP="00477B8F">
      <w:pPr>
        <w:autoSpaceDE w:val="0"/>
        <w:autoSpaceDN w:val="0"/>
        <w:adjustRightInd w:val="0"/>
        <w:jc w:val="both"/>
      </w:pPr>
    </w:p>
    <w:p w14:paraId="37E266EB" w14:textId="77777777" w:rsidR="00477B8F" w:rsidRPr="009118AB" w:rsidRDefault="00477B8F" w:rsidP="00477B8F">
      <w:pPr>
        <w:autoSpaceDE w:val="0"/>
        <w:autoSpaceDN w:val="0"/>
        <w:adjustRightInd w:val="0"/>
        <w:jc w:val="both"/>
      </w:pPr>
      <w:r w:rsidRPr="009118AB">
        <w:tab/>
        <w:t>2. Profite,</w:t>
      </w:r>
    </w:p>
    <w:p w14:paraId="039325A8" w14:textId="77777777" w:rsidR="00477B8F" w:rsidRPr="009118AB" w:rsidRDefault="00477B8F" w:rsidP="00477B8F">
      <w:pPr>
        <w:autoSpaceDE w:val="0"/>
        <w:autoSpaceDN w:val="0"/>
        <w:adjustRightInd w:val="0"/>
        <w:jc w:val="both"/>
      </w:pPr>
    </w:p>
    <w:p w14:paraId="3F18612B" w14:textId="77777777" w:rsidR="00477B8F" w:rsidRPr="009118AB" w:rsidRDefault="00477B8F" w:rsidP="00477B8F">
      <w:pPr>
        <w:autoSpaceDE w:val="0"/>
        <w:autoSpaceDN w:val="0"/>
        <w:adjustRightInd w:val="0"/>
        <w:jc w:val="both"/>
      </w:pPr>
      <w:r w:rsidRPr="009118AB">
        <w:tab/>
        <w:t>3. Gewinne und Profite aus einer vorherigen Berufstätigkeit,</w:t>
      </w:r>
    </w:p>
    <w:p w14:paraId="25547EDF" w14:textId="77777777" w:rsidR="00477B8F" w:rsidRPr="009118AB" w:rsidRDefault="00477B8F" w:rsidP="00477B8F">
      <w:pPr>
        <w:autoSpaceDE w:val="0"/>
        <w:autoSpaceDN w:val="0"/>
        <w:adjustRightInd w:val="0"/>
        <w:jc w:val="both"/>
      </w:pPr>
    </w:p>
    <w:p w14:paraId="3593F918" w14:textId="77777777" w:rsidR="00477B8F" w:rsidRPr="009118AB" w:rsidRDefault="00477B8F" w:rsidP="00477B8F">
      <w:pPr>
        <w:autoSpaceDE w:val="0"/>
        <w:autoSpaceDN w:val="0"/>
        <w:adjustRightInd w:val="0"/>
        <w:jc w:val="both"/>
      </w:pPr>
      <w:r w:rsidRPr="009118AB">
        <w:tab/>
        <w:t>4. Entlohnungen,</w:t>
      </w:r>
    </w:p>
    <w:p w14:paraId="08C7DD85" w14:textId="77777777" w:rsidR="00477B8F" w:rsidRPr="009118AB" w:rsidRDefault="00477B8F" w:rsidP="00477B8F">
      <w:pPr>
        <w:autoSpaceDE w:val="0"/>
        <w:autoSpaceDN w:val="0"/>
        <w:adjustRightInd w:val="0"/>
        <w:jc w:val="both"/>
      </w:pPr>
    </w:p>
    <w:p w14:paraId="7689FBF3" w14:textId="77777777" w:rsidR="00477B8F" w:rsidRPr="009118AB" w:rsidRDefault="00477B8F" w:rsidP="00477B8F">
      <w:pPr>
        <w:autoSpaceDE w:val="0"/>
        <w:autoSpaceDN w:val="0"/>
        <w:adjustRightInd w:val="0"/>
        <w:jc w:val="both"/>
      </w:pPr>
      <w:r w:rsidRPr="009118AB">
        <w:tab/>
        <w:t>5. Pensionen, Renten und als solche geltende Zulagen.</w:t>
      </w:r>
    </w:p>
    <w:p w14:paraId="269381CE" w14:textId="77777777" w:rsidR="00477B8F" w:rsidRPr="009118AB" w:rsidRDefault="00477B8F" w:rsidP="00477B8F">
      <w:pPr>
        <w:autoSpaceDE w:val="0"/>
        <w:autoSpaceDN w:val="0"/>
        <w:adjustRightInd w:val="0"/>
        <w:jc w:val="both"/>
      </w:pPr>
    </w:p>
    <w:p w14:paraId="03E77E4D" w14:textId="14C2D99C"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Als Nettobetrag der Berufseinkünfte gilt der Gesamtbetrag dieser Einkünfte mit Ausnahme der steuerfreien Einkünfte und nach Ausführung folgender Operationen:</w:t>
      </w:r>
    </w:p>
    <w:p w14:paraId="62E507DE" w14:textId="77777777" w:rsidR="00477B8F" w:rsidRPr="009118AB" w:rsidRDefault="00477B8F" w:rsidP="00477B8F">
      <w:pPr>
        <w:autoSpaceDE w:val="0"/>
        <w:autoSpaceDN w:val="0"/>
        <w:adjustRightInd w:val="0"/>
        <w:jc w:val="both"/>
      </w:pPr>
    </w:p>
    <w:p w14:paraId="076BBCD3" w14:textId="77777777" w:rsidR="00477B8F" w:rsidRPr="009118AB" w:rsidRDefault="00477B8F" w:rsidP="00477B8F">
      <w:pPr>
        <w:autoSpaceDE w:val="0"/>
        <w:autoSpaceDN w:val="0"/>
        <w:adjustRightInd w:val="0"/>
        <w:jc w:val="both"/>
      </w:pPr>
      <w:r w:rsidRPr="009118AB">
        <w:tab/>
        <w:t>1. Der Bruttobetrag der Einkünfte aus jeder Berufstätigkeit wird um die Werbungskosten in Bezug auf diese Einkünfte verringert.</w:t>
      </w:r>
    </w:p>
    <w:p w14:paraId="4B3790B7" w14:textId="77777777" w:rsidR="00477B8F" w:rsidRPr="009118AB" w:rsidRDefault="00477B8F" w:rsidP="00477B8F">
      <w:pPr>
        <w:autoSpaceDE w:val="0"/>
        <w:autoSpaceDN w:val="0"/>
        <w:adjustRightInd w:val="0"/>
        <w:jc w:val="both"/>
      </w:pPr>
    </w:p>
    <w:p w14:paraId="2DB7A0D0" w14:textId="77777777" w:rsidR="00477B8F" w:rsidRPr="009118AB" w:rsidRDefault="00477B8F" w:rsidP="00477B8F">
      <w:pPr>
        <w:autoSpaceDE w:val="0"/>
        <w:autoSpaceDN w:val="0"/>
        <w:adjustRightInd w:val="0"/>
        <w:jc w:val="both"/>
      </w:pPr>
      <w:r w:rsidRPr="009118AB">
        <w:tab/>
        <w:t>2. Während des Besteuerungszeitraums aufgrund irgendeiner Berufstätigkeit erlittene berufliche Verluste werden von den Einkünften aus anderen Berufstätigkeiten abgezogen.</w:t>
      </w:r>
    </w:p>
    <w:p w14:paraId="78A1075A" w14:textId="77777777" w:rsidR="00477B8F" w:rsidRPr="009118AB" w:rsidRDefault="00477B8F" w:rsidP="00477B8F">
      <w:pPr>
        <w:autoSpaceDE w:val="0"/>
        <w:autoSpaceDN w:val="0"/>
        <w:adjustRightInd w:val="0"/>
        <w:jc w:val="both"/>
      </w:pPr>
    </w:p>
    <w:p w14:paraId="54A405F3" w14:textId="3D6CEADA" w:rsidR="00477B8F" w:rsidRPr="009118AB" w:rsidRDefault="00477B8F" w:rsidP="00477B8F">
      <w:pPr>
        <w:autoSpaceDE w:val="0"/>
        <w:autoSpaceDN w:val="0"/>
        <w:adjustRightInd w:val="0"/>
        <w:jc w:val="both"/>
      </w:pPr>
      <w:r w:rsidRPr="009118AB">
        <w:tab/>
        <w:t xml:space="preserve">3. Von den gemäß </w:t>
      </w:r>
      <w:r w:rsidR="00D67EB8" w:rsidRPr="009118AB">
        <w:t>Nr. </w:t>
      </w:r>
      <w:r w:rsidRPr="009118AB">
        <w:t xml:space="preserve">1 und 2 bestimmten Berufseinkünften werden berufliche Verluste </w:t>
      </w:r>
      <w:r w:rsidR="00D2192B" w:rsidRPr="009118AB">
        <w:t xml:space="preserve">[der vorherigen Besteuerungszeiträume oder in dem in Artikel 78 </w:t>
      </w:r>
      <w:r w:rsidR="00D67EB8" w:rsidRPr="009118AB">
        <w:t>§ </w:t>
      </w:r>
      <w:r w:rsidR="00D2192B" w:rsidRPr="009118AB">
        <w:t>2 erwähnten Fall der späteren Besteuerungszeiträume]</w:t>
      </w:r>
      <w:r w:rsidRPr="009118AB">
        <w:t xml:space="preserve"> abgezogen.</w:t>
      </w:r>
    </w:p>
    <w:p w14:paraId="338517AA" w14:textId="77777777" w:rsidR="00477B8F" w:rsidRPr="009118AB" w:rsidRDefault="00477B8F" w:rsidP="00477B8F">
      <w:pPr>
        <w:autoSpaceDE w:val="0"/>
        <w:autoSpaceDN w:val="0"/>
        <w:adjustRightInd w:val="0"/>
        <w:jc w:val="both"/>
      </w:pPr>
    </w:p>
    <w:p w14:paraId="13E9AD2D" w14:textId="77777777" w:rsidR="00477B8F" w:rsidRPr="009118AB" w:rsidRDefault="00477B8F" w:rsidP="00477B8F">
      <w:pPr>
        <w:autoSpaceDE w:val="0"/>
        <w:autoSpaceDN w:val="0"/>
        <w:adjustRightInd w:val="0"/>
        <w:jc w:val="both"/>
      </w:pPr>
      <w:r w:rsidRPr="009118AB">
        <w:tab/>
        <w:t>4. [...].</w:t>
      </w:r>
    </w:p>
    <w:p w14:paraId="06A557B7" w14:textId="77777777" w:rsidR="00477B8F" w:rsidRPr="009118AB" w:rsidRDefault="00477B8F" w:rsidP="00477B8F">
      <w:pPr>
        <w:autoSpaceDE w:val="0"/>
        <w:autoSpaceDN w:val="0"/>
        <w:adjustRightInd w:val="0"/>
        <w:jc w:val="both"/>
      </w:pPr>
    </w:p>
    <w:p w14:paraId="1022BC15" w14:textId="641CFD05" w:rsidR="00477B8F" w:rsidRPr="009118AB" w:rsidRDefault="00477B8F" w:rsidP="00477B8F">
      <w:pPr>
        <w:autoSpaceDE w:val="0"/>
        <w:autoSpaceDN w:val="0"/>
        <w:adjustRightInd w:val="0"/>
        <w:jc w:val="both"/>
      </w:pPr>
      <w:r w:rsidRPr="009118AB">
        <w:tab/>
      </w:r>
      <w:r w:rsidR="00D67EB8" w:rsidRPr="009118AB">
        <w:t>§ </w:t>
      </w:r>
      <w:r w:rsidRPr="009118AB">
        <w:t>3</w:t>
      </w:r>
      <w:r w:rsidR="00D67EB8" w:rsidRPr="009118AB">
        <w:t> - </w:t>
      </w:r>
      <w:r w:rsidRPr="009118AB">
        <w:t>Der König legt Modalitäten und Reihenfolge der Steuerbefreiungen und Abzüge fest.</w:t>
      </w:r>
    </w:p>
    <w:p w14:paraId="1F9638BD" w14:textId="77777777" w:rsidR="00477B8F" w:rsidRPr="009118AB" w:rsidRDefault="00477B8F" w:rsidP="00477B8F">
      <w:pPr>
        <w:autoSpaceDE w:val="0"/>
        <w:autoSpaceDN w:val="0"/>
        <w:adjustRightInd w:val="0"/>
        <w:jc w:val="both"/>
      </w:pPr>
    </w:p>
    <w:p w14:paraId="610B6C98" w14:textId="1E2DCEAF"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23</w:t>
      </w:r>
      <w:r w:rsidR="00797C75" w:rsidRPr="009118AB">
        <w:rPr>
          <w:i/>
          <w:iCs/>
        </w:rPr>
        <w:t xml:space="preserve"> </w:t>
      </w:r>
      <w:r w:rsidR="00D67EB8" w:rsidRPr="009118AB">
        <w:rPr>
          <w:i/>
          <w:iCs/>
        </w:rPr>
        <w:t>§ </w:t>
      </w:r>
      <w:r w:rsidR="00797C75" w:rsidRPr="009118AB">
        <w:rPr>
          <w:i/>
          <w:iCs/>
        </w:rPr>
        <w:t xml:space="preserve">1 einziger Absatz einleitende Bestimmung abgeändert durch </w:t>
      </w:r>
      <w:r w:rsidR="00D67EB8" w:rsidRPr="009118AB">
        <w:rPr>
          <w:i/>
          <w:iCs/>
        </w:rPr>
        <w:t>Art. </w:t>
      </w:r>
      <w:r w:rsidR="00797C75" w:rsidRPr="009118AB">
        <w:rPr>
          <w:i/>
          <w:iCs/>
        </w:rPr>
        <w:t>8 des G. vom 25. Dezember 2017</w:t>
      </w:r>
      <w:r w:rsidR="00AD39DE" w:rsidRPr="009118AB">
        <w:rPr>
          <w:i/>
          <w:iCs/>
        </w:rPr>
        <w:t> (I)</w:t>
      </w:r>
      <w:r w:rsidR="00797C75" w:rsidRPr="009118AB">
        <w:rPr>
          <w:i/>
          <w:iCs/>
        </w:rPr>
        <w:t xml:space="preserve"> (B.S. vom 29. Dezember 2017)</w:t>
      </w:r>
      <w:r w:rsidR="00D67EB8" w:rsidRPr="009118AB">
        <w:rPr>
          <w:i/>
          <w:iCs/>
        </w:rPr>
        <w:t> - </w:t>
      </w:r>
      <w:r w:rsidR="00797C75" w:rsidRPr="009118AB">
        <w:rPr>
          <w:i/>
          <w:iCs/>
        </w:rPr>
        <w:t xml:space="preserve">anwendbar auf die ab dem </w:t>
      </w:r>
      <w:r w:rsidR="00797C75" w:rsidRPr="009118AB">
        <w:rPr>
          <w:i/>
        </w:rPr>
        <w:t>1. Januar 2017 gezahlten oder zuerkannten Einkünfte</w:t>
      </w:r>
      <w:r w:rsidR="003366D9" w:rsidRPr="009118AB">
        <w:rPr>
          <w:i/>
        </w:rPr>
        <w:t> -;</w:t>
      </w:r>
      <w:r w:rsidRPr="009118AB">
        <w:rPr>
          <w:i/>
          <w:iCs/>
        </w:rPr>
        <w:t xml:space="preserve"> </w:t>
      </w:r>
      <w:r w:rsidR="00D67EB8" w:rsidRPr="009118AB">
        <w:rPr>
          <w:i/>
          <w:iCs/>
        </w:rPr>
        <w:t>§ </w:t>
      </w:r>
      <w:r w:rsidR="00D2192B" w:rsidRPr="009118AB">
        <w:rPr>
          <w:i/>
          <w:iCs/>
        </w:rPr>
        <w:t xml:space="preserve">2 einziger Absatz </w:t>
      </w:r>
      <w:r w:rsidR="00D67EB8" w:rsidRPr="009118AB">
        <w:rPr>
          <w:i/>
          <w:iCs/>
        </w:rPr>
        <w:t>Nr. </w:t>
      </w:r>
      <w:r w:rsidR="003D5A67" w:rsidRPr="009118AB">
        <w:rPr>
          <w:i/>
          <w:iCs/>
        </w:rPr>
        <w:t xml:space="preserve">3 abgeändert durch </w:t>
      </w:r>
      <w:r w:rsidR="00D67EB8" w:rsidRPr="009118AB">
        <w:rPr>
          <w:i/>
          <w:iCs/>
        </w:rPr>
        <w:t>Art. </w:t>
      </w:r>
      <w:r w:rsidR="003D5A67" w:rsidRPr="009118AB">
        <w:rPr>
          <w:i/>
          <w:iCs/>
        </w:rPr>
        <w:t>85</w:t>
      </w:r>
      <w:r w:rsidR="003D5A67" w:rsidRPr="009118AB">
        <w:rPr>
          <w:i/>
          <w:iCs/>
          <w:spacing w:val="-2"/>
        </w:rPr>
        <w:t xml:space="preserve"> des G. vom 11. Februar 2019 (B.S. vom 22. März 2020)</w:t>
      </w:r>
      <w:r w:rsidR="00D67EB8" w:rsidRPr="009118AB">
        <w:rPr>
          <w:i/>
          <w:iCs/>
          <w:spacing w:val="-2"/>
        </w:rPr>
        <w:t> - </w:t>
      </w:r>
      <w:r w:rsidR="003D5A67"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3D5A67" w:rsidRPr="009118AB">
        <w:rPr>
          <w:i/>
          <w:iCs/>
          <w:spacing w:val="-2"/>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4 aufgehoben durch </w:t>
      </w:r>
      <w:r w:rsidR="00D67EB8" w:rsidRPr="009118AB">
        <w:rPr>
          <w:i/>
          <w:iCs/>
        </w:rPr>
        <w:t>Art. </w:t>
      </w:r>
      <w:r w:rsidRPr="009118AB">
        <w:rPr>
          <w:i/>
          <w:iCs/>
        </w:rPr>
        <w:t>73 des</w:t>
      </w:r>
      <w:r w:rsidR="00797C75" w:rsidRPr="009118AB">
        <w:rPr>
          <w:i/>
          <w:iCs/>
        </w:rPr>
        <w:t xml:space="preserve"> G. vom 28. Dezember 1992 (B.S. </w:t>
      </w:r>
      <w:r w:rsidRPr="009118AB">
        <w:rPr>
          <w:i/>
          <w:iCs/>
        </w:rPr>
        <w:t>vom 31. Dezember 1992)</w:t>
      </w:r>
      <w:r w:rsidR="00D67EB8" w:rsidRPr="009118AB">
        <w:rPr>
          <w:i/>
          <w:iCs/>
        </w:rPr>
        <w:t> - </w:t>
      </w:r>
      <w:r w:rsidRPr="009118AB">
        <w:rPr>
          <w:i/>
          <w:iCs/>
        </w:rPr>
        <w:t xml:space="preserve">anwendbar ab dem </w:t>
      </w:r>
      <w:r w:rsidR="00797C75" w:rsidRPr="009118AB">
        <w:rPr>
          <w:i/>
          <w:iCs/>
        </w:rPr>
        <w:t>Steuerjahr </w:t>
      </w:r>
      <w:r w:rsidRPr="009118AB">
        <w:rPr>
          <w:i/>
          <w:iCs/>
        </w:rPr>
        <w:t>1993</w:t>
      </w:r>
      <w:r w:rsidR="00FD68E8" w:rsidRPr="009118AB">
        <w:rPr>
          <w:i/>
          <w:iCs/>
        </w:rPr>
        <w:t> -]</w:t>
      </w:r>
    </w:p>
    <w:p w14:paraId="0E51FD6E" w14:textId="77777777" w:rsidR="0044431B" w:rsidRPr="009118AB" w:rsidRDefault="0044431B" w:rsidP="00477B8F">
      <w:pPr>
        <w:autoSpaceDE w:val="0"/>
        <w:autoSpaceDN w:val="0"/>
        <w:adjustRightInd w:val="0"/>
        <w:jc w:val="both"/>
        <w:rPr>
          <w:i/>
          <w:iCs/>
        </w:rPr>
      </w:pPr>
    </w:p>
    <w:p w14:paraId="7A742240" w14:textId="77777777" w:rsidR="0044431B" w:rsidRPr="009118AB" w:rsidRDefault="0044431B" w:rsidP="00477B8F">
      <w:pPr>
        <w:autoSpaceDE w:val="0"/>
        <w:autoSpaceDN w:val="0"/>
        <w:adjustRightInd w:val="0"/>
        <w:jc w:val="both"/>
        <w:rPr>
          <w:i/>
          <w:iCs/>
        </w:rPr>
      </w:pPr>
    </w:p>
    <w:p w14:paraId="5452E16B" w14:textId="77777777" w:rsidR="00477B8F" w:rsidRPr="009118AB" w:rsidRDefault="00C31D59" w:rsidP="00477B8F">
      <w:pPr>
        <w:autoSpaceDE w:val="0"/>
        <w:autoSpaceDN w:val="0"/>
        <w:adjustRightInd w:val="0"/>
        <w:jc w:val="both"/>
      </w:pPr>
      <w:r w:rsidRPr="009118AB">
        <w:rPr>
          <w:i/>
          <w:iCs/>
        </w:rPr>
        <w:br w:type="page"/>
      </w:r>
      <w:r w:rsidR="00477B8F" w:rsidRPr="009118AB">
        <w:rPr>
          <w:i/>
          <w:iCs/>
        </w:rPr>
        <w:lastRenderedPageBreak/>
        <w:tab/>
        <w:t>B.</w:t>
      </w:r>
      <w:r w:rsidR="00477B8F" w:rsidRPr="009118AB">
        <w:t xml:space="preserve"> Gewinne</w:t>
      </w:r>
    </w:p>
    <w:p w14:paraId="0A9E9C91" w14:textId="77777777" w:rsidR="00477B8F" w:rsidRPr="009118AB" w:rsidRDefault="00477B8F" w:rsidP="00477B8F">
      <w:pPr>
        <w:autoSpaceDE w:val="0"/>
        <w:autoSpaceDN w:val="0"/>
        <w:adjustRightInd w:val="0"/>
        <w:jc w:val="both"/>
      </w:pPr>
    </w:p>
    <w:p w14:paraId="01E9203A" w14:textId="77777777" w:rsidR="00477B8F" w:rsidRPr="009118AB" w:rsidRDefault="00477B8F" w:rsidP="00477B8F">
      <w:pPr>
        <w:autoSpaceDE w:val="0"/>
        <w:autoSpaceDN w:val="0"/>
        <w:adjustRightInd w:val="0"/>
        <w:jc w:val="both"/>
      </w:pPr>
    </w:p>
    <w:p w14:paraId="6785F15D" w14:textId="20162644"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24</w:t>
      </w:r>
      <w:r w:rsidR="00D67EB8" w:rsidRPr="009118AB">
        <w:t> - </w:t>
      </w:r>
      <w:r w:rsidRPr="009118AB">
        <w:t>Gewinne sind Einkünfte von Industrie-, Handels- oder Landwirtschafts</w:t>
      </w:r>
      <w:r w:rsidR="005D3E01" w:rsidRPr="009118AB">
        <w:softHyphen/>
      </w:r>
      <w:r w:rsidRPr="009118AB">
        <w:t>unternehmen aus:</w:t>
      </w:r>
    </w:p>
    <w:p w14:paraId="188961A5" w14:textId="77777777" w:rsidR="00477B8F" w:rsidRPr="009118AB" w:rsidRDefault="00477B8F" w:rsidP="00477B8F">
      <w:pPr>
        <w:autoSpaceDE w:val="0"/>
        <w:autoSpaceDN w:val="0"/>
        <w:adjustRightInd w:val="0"/>
        <w:jc w:val="both"/>
      </w:pPr>
    </w:p>
    <w:p w14:paraId="6973ADC9" w14:textId="77777777" w:rsidR="00477B8F" w:rsidRPr="009118AB" w:rsidRDefault="00477B8F" w:rsidP="00DA35D8">
      <w:pPr>
        <w:autoSpaceDE w:val="0"/>
        <w:autoSpaceDN w:val="0"/>
        <w:adjustRightInd w:val="0"/>
        <w:ind w:firstLine="708"/>
        <w:jc w:val="both"/>
      </w:pPr>
      <w:r w:rsidRPr="009118AB">
        <w:t>1. allen Verrichtungen, die durch die Niederlassungen dieser Unternehmen oder durch deren Zutun durchgeführt werden,</w:t>
      </w:r>
    </w:p>
    <w:p w14:paraId="15DEF6BA" w14:textId="77777777" w:rsidR="00477B8F" w:rsidRPr="009118AB" w:rsidRDefault="00477B8F" w:rsidP="00477B8F">
      <w:pPr>
        <w:autoSpaceDE w:val="0"/>
        <w:autoSpaceDN w:val="0"/>
        <w:adjustRightInd w:val="0"/>
        <w:jc w:val="both"/>
      </w:pPr>
    </w:p>
    <w:p w14:paraId="25ABF6F8" w14:textId="604068AC" w:rsidR="00477B8F" w:rsidRPr="009118AB" w:rsidRDefault="00477B8F" w:rsidP="00DA35D8">
      <w:pPr>
        <w:autoSpaceDE w:val="0"/>
        <w:autoSpaceDN w:val="0"/>
        <w:adjustRightInd w:val="0"/>
        <w:ind w:firstLine="708"/>
        <w:jc w:val="both"/>
      </w:pPr>
      <w:r w:rsidRPr="009118AB">
        <w:t>2. Wertsteigerungen der Aktiva, die zur Ausübung der Berufstätigkeit genutzt werden, und Wertminderungen der Passiva, die aus dieser Tätigkeit hervorgehen, wenn diese Mehr- oder Minderwerte verwirklicht oder in der Buchhaltung oder dem Jahresabschluss aufgezeichnet wurden,</w:t>
      </w:r>
    </w:p>
    <w:p w14:paraId="512E40D0" w14:textId="77777777" w:rsidR="00477B8F" w:rsidRPr="009118AB" w:rsidRDefault="00477B8F" w:rsidP="00477B8F">
      <w:pPr>
        <w:autoSpaceDE w:val="0"/>
        <w:autoSpaceDN w:val="0"/>
        <w:adjustRightInd w:val="0"/>
        <w:jc w:val="both"/>
      </w:pPr>
    </w:p>
    <w:p w14:paraId="767958A8" w14:textId="77777777" w:rsidR="00477B8F" w:rsidRPr="009118AB" w:rsidRDefault="00477B8F" w:rsidP="00DA35D8">
      <w:pPr>
        <w:autoSpaceDE w:val="0"/>
        <w:autoSpaceDN w:val="0"/>
        <w:adjustRightInd w:val="0"/>
        <w:ind w:firstLine="708"/>
        <w:jc w:val="both"/>
      </w:pPr>
      <w:r w:rsidRPr="009118AB">
        <w:t>3. jedem selbst nicht aufgezeichneten oder verwirklichten Mehrwert auf Finanzanlagen und andere Wertpapiere im Portefeuille, die zur Ausübung der Berufstätigkeit genutzt werden, sofern deren Wert am Ende des Besteuerungszeitraums gestiegen und nicht höher als ihr Anschaffungs- oder Investitionswert ist,</w:t>
      </w:r>
    </w:p>
    <w:p w14:paraId="284B10DB" w14:textId="2FECD9BB" w:rsidR="00DA35D8" w:rsidRPr="009118AB" w:rsidRDefault="00DA35D8" w:rsidP="00477B8F">
      <w:pPr>
        <w:autoSpaceDE w:val="0"/>
        <w:autoSpaceDN w:val="0"/>
        <w:adjustRightInd w:val="0"/>
      </w:pPr>
    </w:p>
    <w:p w14:paraId="62D263B8" w14:textId="77777777" w:rsidR="00477B8F" w:rsidRPr="009118AB" w:rsidRDefault="00477B8F" w:rsidP="00DA35D8">
      <w:pPr>
        <w:autoSpaceDE w:val="0"/>
        <w:autoSpaceDN w:val="0"/>
        <w:adjustRightInd w:val="0"/>
        <w:ind w:firstLine="708"/>
        <w:jc w:val="both"/>
      </w:pPr>
      <w:r w:rsidRPr="009118AB">
        <w:t>4. Unterbewertungen von Aktiva oder Überbewertungen von Passiva, sofern die Unterbewertung oder Überbewertung weder einer aufgezeichneten oder nicht aufgezeichneten Steigerung beziehungsweise Minderung noch den für die Steuererhebung berücksichtigten Abschreibungen entspricht.</w:t>
      </w:r>
    </w:p>
    <w:p w14:paraId="3C487298" w14:textId="77777777" w:rsidR="00477B8F" w:rsidRPr="009118AB" w:rsidRDefault="00477B8F" w:rsidP="00477B8F">
      <w:pPr>
        <w:autoSpaceDE w:val="0"/>
        <w:autoSpaceDN w:val="0"/>
        <w:adjustRightInd w:val="0"/>
        <w:jc w:val="both"/>
      </w:pPr>
    </w:p>
    <w:p w14:paraId="42610883" w14:textId="77777777" w:rsidR="00477B8F" w:rsidRPr="009118AB" w:rsidRDefault="00477B8F" w:rsidP="00DA35D8">
      <w:pPr>
        <w:autoSpaceDE w:val="0"/>
        <w:autoSpaceDN w:val="0"/>
        <w:adjustRightInd w:val="0"/>
        <w:ind w:firstLine="708"/>
        <w:jc w:val="both"/>
      </w:pPr>
      <w:r w:rsidRPr="009118AB">
        <w:t>Vorerwähnte Aktiva umfassen alle Vermögenswerte einschließlich der Bestände und der in Ausführung befindlichen Bestellungen.</w:t>
      </w:r>
    </w:p>
    <w:p w14:paraId="1F905485" w14:textId="77777777" w:rsidR="00477B8F" w:rsidRPr="009118AB" w:rsidRDefault="00477B8F" w:rsidP="00477B8F">
      <w:pPr>
        <w:autoSpaceDE w:val="0"/>
        <w:autoSpaceDN w:val="0"/>
        <w:adjustRightInd w:val="0"/>
        <w:jc w:val="both"/>
      </w:pPr>
    </w:p>
    <w:p w14:paraId="63E4F992" w14:textId="00F3BD81" w:rsidR="0011214A" w:rsidRPr="009118AB" w:rsidRDefault="0011214A" w:rsidP="00477B8F">
      <w:pPr>
        <w:autoSpaceDE w:val="0"/>
        <w:autoSpaceDN w:val="0"/>
        <w:adjustRightInd w:val="0"/>
        <w:jc w:val="both"/>
      </w:pPr>
      <w:r w:rsidRPr="009118AB">
        <w:tab/>
        <w:t>[Vorbehaltlich der Abweichungsbestimmungen in vorliegendem Gesetzbuch, in den besonderen Gesetzesbestimmungen über Einkommensteuern und in ihren Ausführungserlassen werden die steuerpflichtigen Gewinne gemäß den belgischen Rechtsvorschriften über die Buchhaltungspflichten der Unternehmen festgelegt.]</w:t>
      </w:r>
    </w:p>
    <w:p w14:paraId="21B9BEAE" w14:textId="77777777" w:rsidR="0011214A" w:rsidRPr="009118AB" w:rsidRDefault="0011214A" w:rsidP="00477B8F">
      <w:pPr>
        <w:autoSpaceDE w:val="0"/>
        <w:autoSpaceDN w:val="0"/>
        <w:adjustRightInd w:val="0"/>
        <w:jc w:val="both"/>
      </w:pPr>
    </w:p>
    <w:p w14:paraId="7F073E5D" w14:textId="01A24E14" w:rsidR="00477B8F" w:rsidRPr="009118AB" w:rsidRDefault="00477B8F" w:rsidP="00DA35D8">
      <w:pPr>
        <w:autoSpaceDE w:val="0"/>
        <w:autoSpaceDN w:val="0"/>
        <w:adjustRightInd w:val="0"/>
        <w:ind w:firstLine="708"/>
        <w:jc w:val="both"/>
      </w:pPr>
      <w:r w:rsidRPr="009118AB">
        <w:t xml:space="preserve">Mehrwerte auf die in Artikel 66 erwähnten Fahrzeuge </w:t>
      </w:r>
      <w:r w:rsidR="00274CFE" w:rsidRPr="009118AB">
        <w:t>[werden nur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berücksichtigt]</w:t>
      </w:r>
      <w:r w:rsidRPr="009118AB">
        <w:t>.</w:t>
      </w:r>
    </w:p>
    <w:p w14:paraId="53F08400" w14:textId="77777777" w:rsidR="00477B8F" w:rsidRPr="009118AB" w:rsidRDefault="00477B8F" w:rsidP="00477B8F">
      <w:pPr>
        <w:autoSpaceDE w:val="0"/>
        <w:autoSpaceDN w:val="0"/>
        <w:adjustRightInd w:val="0"/>
        <w:jc w:val="both"/>
      </w:pPr>
    </w:p>
    <w:p w14:paraId="4D04C48C" w14:textId="77777777" w:rsidR="00477B8F" w:rsidRPr="009118AB" w:rsidRDefault="00477B8F" w:rsidP="00DA35D8">
      <w:pPr>
        <w:autoSpaceDE w:val="0"/>
        <w:autoSpaceDN w:val="0"/>
        <w:adjustRightInd w:val="0"/>
        <w:ind w:firstLine="708"/>
        <w:jc w:val="both"/>
      </w:pPr>
      <w:r w:rsidRPr="009118AB">
        <w:t>[Das ungeteilte Vermögen eines gemeinsamen Investmentfonds wird nicht als ein in Absatz 1 erwähntes Unternehmen angesehen.</w:t>
      </w:r>
    </w:p>
    <w:p w14:paraId="4AF512D0" w14:textId="77777777" w:rsidR="00477B8F" w:rsidRPr="009118AB" w:rsidRDefault="00477B8F" w:rsidP="00477B8F">
      <w:pPr>
        <w:autoSpaceDE w:val="0"/>
        <w:autoSpaceDN w:val="0"/>
        <w:adjustRightInd w:val="0"/>
        <w:jc w:val="both"/>
      </w:pPr>
    </w:p>
    <w:p w14:paraId="36DF9B3E" w14:textId="77777777" w:rsidR="00477B8F" w:rsidRPr="009118AB" w:rsidRDefault="00477B8F" w:rsidP="00DA35D8">
      <w:pPr>
        <w:autoSpaceDE w:val="0"/>
        <w:autoSpaceDN w:val="0"/>
        <w:adjustRightInd w:val="0"/>
        <w:ind w:firstLine="708"/>
        <w:jc w:val="both"/>
      </w:pPr>
      <w:r w:rsidRPr="009118AB">
        <w:t>Als verwirklicht gelten Mehrwerte, die anlässlich der Umwandlung von Wertpapieren in Anteile von gemeinsamen Investmentfonds festgestellt werden.]</w:t>
      </w:r>
    </w:p>
    <w:p w14:paraId="3B535FA8" w14:textId="77777777" w:rsidR="00477B8F" w:rsidRPr="009118AB" w:rsidRDefault="00477B8F" w:rsidP="00477B8F">
      <w:pPr>
        <w:autoSpaceDE w:val="0"/>
        <w:autoSpaceDN w:val="0"/>
        <w:adjustRightInd w:val="0"/>
        <w:jc w:val="both"/>
      </w:pPr>
    </w:p>
    <w:p w14:paraId="08898A79" w14:textId="752B52DB"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24 </w:t>
      </w:r>
      <w:r w:rsidR="0011214A" w:rsidRPr="009118AB">
        <w:rPr>
          <w:i/>
          <w:iCs/>
        </w:rPr>
        <w:t xml:space="preserve">neuer Absatz 3 eingefügt durch </w:t>
      </w:r>
      <w:r w:rsidR="00D67EB8" w:rsidRPr="009118AB">
        <w:rPr>
          <w:i/>
          <w:iCs/>
        </w:rPr>
        <w:t>Art. </w:t>
      </w:r>
      <w:r w:rsidR="0011214A" w:rsidRPr="009118AB">
        <w:rPr>
          <w:i/>
          <w:iCs/>
        </w:rPr>
        <w:t>5</w:t>
      </w:r>
      <w:r w:rsidR="0011214A" w:rsidRPr="009118AB">
        <w:rPr>
          <w:i/>
          <w:iCs/>
          <w:spacing w:val="-2"/>
        </w:rPr>
        <w:t xml:space="preserve"> des G. vom 17. März 2019 (III) (B.S. vom 10. Mai 2019)</w:t>
      </w:r>
      <w:r w:rsidR="00D67EB8" w:rsidRPr="009118AB">
        <w:rPr>
          <w:i/>
          <w:iCs/>
          <w:spacing w:val="-2"/>
        </w:rPr>
        <w:t> - </w:t>
      </w:r>
      <w:r w:rsidR="0011214A" w:rsidRPr="009118AB">
        <w:rPr>
          <w:i/>
          <w:iCs/>
          <w:spacing w:val="-2"/>
        </w:rPr>
        <w:t>in Kraft am 1. Mai 2019</w:t>
      </w:r>
      <w:r w:rsidR="003366D9" w:rsidRPr="009118AB">
        <w:rPr>
          <w:i/>
          <w:iCs/>
          <w:spacing w:val="-2"/>
        </w:rPr>
        <w:t> -;</w:t>
      </w:r>
      <w:r w:rsidR="0011214A" w:rsidRPr="009118AB">
        <w:rPr>
          <w:i/>
          <w:iCs/>
          <w:spacing w:val="-2"/>
        </w:rPr>
        <w:t xml:space="preserve"> </w:t>
      </w:r>
      <w:r w:rsidR="00D67EB8" w:rsidRPr="009118AB">
        <w:rPr>
          <w:i/>
          <w:iCs/>
        </w:rPr>
        <w:t>Abs. </w:t>
      </w:r>
      <w:r w:rsidR="002E3D21" w:rsidRPr="009118AB">
        <w:rPr>
          <w:i/>
          <w:iCs/>
        </w:rPr>
        <w:t>4 (früherer Absatz</w:t>
      </w:r>
      <w:r w:rsidR="002E3D21" w:rsidRPr="009118AB">
        <w:rPr>
          <w:rFonts w:hint="eastAsia"/>
          <w:i/>
          <w:iCs/>
        </w:rPr>
        <w:t> </w:t>
      </w:r>
      <w:r w:rsidR="002E3D21" w:rsidRPr="009118AB">
        <w:rPr>
          <w:i/>
          <w:iCs/>
        </w:rPr>
        <w:t xml:space="preserve">3) abgeändert durch </w:t>
      </w:r>
      <w:r w:rsidR="00D67EB8" w:rsidRPr="009118AB">
        <w:rPr>
          <w:i/>
          <w:iCs/>
        </w:rPr>
        <w:t>Art. </w:t>
      </w:r>
      <w:r w:rsidR="002E3D21" w:rsidRPr="009118AB">
        <w:rPr>
          <w:i/>
          <w:iCs/>
        </w:rPr>
        <w:t xml:space="preserve">5 </w:t>
      </w:r>
      <w:r w:rsidR="00D67EB8" w:rsidRPr="009118AB">
        <w:rPr>
          <w:i/>
          <w:iCs/>
        </w:rPr>
        <w:t>Nr. </w:t>
      </w:r>
      <w:r w:rsidR="002E3D21" w:rsidRPr="009118AB">
        <w:rPr>
          <w:i/>
          <w:iCs/>
        </w:rPr>
        <w:t>1 des G. vom 25. Dezember 2017 (III) (B.S. vom 29. Dezember 2017)</w:t>
      </w:r>
      <w:r w:rsidR="00D67EB8" w:rsidRPr="009118AB">
        <w:rPr>
          <w:i/>
          <w:iCs/>
        </w:rPr>
        <w:t> - </w:t>
      </w:r>
      <w:r w:rsidR="002E3D21" w:rsidRPr="009118AB">
        <w:rPr>
          <w:i/>
          <w:iCs/>
        </w:rPr>
        <w:t>in Kraft am 1. Januar 2018 und anwendbar ab dem Steuer</w:t>
      </w:r>
      <w:r w:rsidR="002E3D21" w:rsidRPr="009118AB">
        <w:rPr>
          <w:i/>
          <w:iCs/>
        </w:rPr>
        <w:softHyphen/>
        <w:t>jahr 2019, das sich auf einen Besteuerungs</w:t>
      </w:r>
      <w:r w:rsidR="002E3D21" w:rsidRPr="009118AB">
        <w:rPr>
          <w:i/>
          <w:iCs/>
        </w:rPr>
        <w:softHyphen/>
        <w:t>zeitraum bezieht, der frühestens am 1. Januar 2018 beginnt</w:t>
      </w:r>
      <w:r w:rsidR="00FD68E8" w:rsidRPr="009118AB">
        <w:rPr>
          <w:i/>
          <w:iCs/>
        </w:rPr>
        <w:t> -,</w:t>
      </w:r>
      <w:r w:rsidR="002E3D21" w:rsidRPr="009118AB">
        <w:rPr>
          <w:i/>
          <w:iCs/>
        </w:rPr>
        <w:t xml:space="preserve"> </w:t>
      </w:r>
      <w:r w:rsidR="00D67EB8" w:rsidRPr="009118AB">
        <w:rPr>
          <w:i/>
          <w:iCs/>
        </w:rPr>
        <w:t>Art. </w:t>
      </w:r>
      <w:r w:rsidR="002E3D21" w:rsidRPr="009118AB">
        <w:rPr>
          <w:i/>
          <w:iCs/>
        </w:rPr>
        <w:t xml:space="preserve">5 </w:t>
      </w:r>
      <w:r w:rsidR="00D67EB8" w:rsidRPr="009118AB">
        <w:rPr>
          <w:i/>
          <w:iCs/>
        </w:rPr>
        <w:t>Nr. </w:t>
      </w:r>
      <w:r w:rsidR="002E3D21" w:rsidRPr="009118AB">
        <w:rPr>
          <w:i/>
          <w:iCs/>
        </w:rPr>
        <w:t>2 des G. vom 25. Dezember 2017 (III) (B.S. vom 29. Dezember 2017)</w:t>
      </w:r>
      <w:r w:rsidR="00D67EB8" w:rsidRPr="009118AB">
        <w:rPr>
          <w:i/>
          <w:iCs/>
        </w:rPr>
        <w:t> - </w:t>
      </w:r>
      <w:r w:rsidR="002E3D21" w:rsidRPr="009118AB">
        <w:rPr>
          <w:i/>
          <w:iCs/>
        </w:rPr>
        <w:t xml:space="preserve">in Kraft am 1. Januar 2020 und </w:t>
      </w:r>
      <w:r w:rsidR="002E3D21" w:rsidRPr="009118AB">
        <w:rPr>
          <w:i/>
          <w:iCs/>
        </w:rPr>
        <w:lastRenderedPageBreak/>
        <w:t>anwendbar ab dem Steuerjahr 2021, das sich auf einen Besteuerungszeitraum bezieht, der frühestens am 1.</w:t>
      </w:r>
      <w:r w:rsidR="002E3D21" w:rsidRPr="009118AB">
        <w:rPr>
          <w:rFonts w:hint="eastAsia"/>
          <w:i/>
          <w:iCs/>
        </w:rPr>
        <w:t> </w:t>
      </w:r>
      <w:r w:rsidR="002E3D21" w:rsidRPr="009118AB">
        <w:rPr>
          <w:i/>
          <w:iCs/>
        </w:rPr>
        <w:t>Januar 2020 beginnt</w:t>
      </w:r>
      <w:r w:rsidR="00FD68E8" w:rsidRPr="009118AB">
        <w:rPr>
          <w:i/>
          <w:iCs/>
        </w:rPr>
        <w:t> </w:t>
      </w:r>
      <w:r w:rsidR="00FD68E8" w:rsidRPr="009118AB">
        <w:rPr>
          <w:rFonts w:hint="eastAsia"/>
          <w:i/>
          <w:iCs/>
        </w:rPr>
        <w:t>-,</w:t>
      </w:r>
      <w:r w:rsidR="002E3D21" w:rsidRPr="009118AB">
        <w:rPr>
          <w:i/>
          <w:iCs/>
        </w:rPr>
        <w:t xml:space="preserve"> selbst widerrufen durch </w:t>
      </w:r>
      <w:r w:rsidR="00D67EB8" w:rsidRPr="009118AB">
        <w:rPr>
          <w:i/>
          <w:iCs/>
        </w:rPr>
        <w:t>Art. </w:t>
      </w:r>
      <w:r w:rsidR="002E3D21" w:rsidRPr="009118AB">
        <w:rPr>
          <w:i/>
          <w:iCs/>
        </w:rPr>
        <w:t>40</w:t>
      </w:r>
      <w:r w:rsidR="002E3D21" w:rsidRPr="009118AB">
        <w:rPr>
          <w:i/>
        </w:rPr>
        <w:t xml:space="preserve"> des G. vom 2. Mai 2019 (III) (B.S. vom 1</w:t>
      </w:r>
      <w:r w:rsidR="00D13E50" w:rsidRPr="009118AB">
        <w:rPr>
          <w:i/>
        </w:rPr>
        <w:t>5</w:t>
      </w:r>
      <w:r w:rsidR="002E3D21" w:rsidRPr="009118AB">
        <w:rPr>
          <w:i/>
        </w:rPr>
        <w:t>. Mai 2019),</w:t>
      </w:r>
      <w:r w:rsidR="002E3D21" w:rsidRPr="009118AB">
        <w:rPr>
          <w:i/>
          <w:iCs/>
        </w:rPr>
        <w:t xml:space="preserve"> und durch </w:t>
      </w:r>
      <w:r w:rsidR="00D67EB8" w:rsidRPr="009118AB">
        <w:rPr>
          <w:i/>
          <w:iCs/>
        </w:rPr>
        <w:t>Art. </w:t>
      </w:r>
      <w:r w:rsidR="002E3D21" w:rsidRPr="009118AB">
        <w:rPr>
          <w:i/>
          <w:iCs/>
        </w:rPr>
        <w:t>2 des G. vom 2. Mai 2019 (III) (B.S. vom 1</w:t>
      </w:r>
      <w:r w:rsidR="002C6500" w:rsidRPr="009118AB">
        <w:rPr>
          <w:i/>
          <w:iCs/>
        </w:rPr>
        <w:t>5</w:t>
      </w:r>
      <w:r w:rsidR="002E3D21" w:rsidRPr="009118AB">
        <w:rPr>
          <w:i/>
          <w:iCs/>
        </w:rPr>
        <w:t>. Mai 2019)</w:t>
      </w:r>
      <w:r w:rsidR="00D67EB8" w:rsidRPr="009118AB">
        <w:rPr>
          <w:i/>
          <w:iCs/>
        </w:rPr>
        <w:t> - </w:t>
      </w:r>
      <w:r w:rsidR="002E3D21" w:rsidRPr="009118AB">
        <w:rPr>
          <w:i/>
          <w:iCs/>
        </w:rPr>
        <w:t>anwen</w:t>
      </w:r>
      <w:r w:rsidR="0017643F" w:rsidRPr="009118AB">
        <w:rPr>
          <w:i/>
          <w:iCs/>
        </w:rPr>
        <w:t>d</w:t>
      </w:r>
      <w:r w:rsidR="002E3D21" w:rsidRPr="009118AB">
        <w:rPr>
          <w:i/>
          <w:iCs/>
        </w:rPr>
        <w:t>bar ab dem Steuerjahr 2019, das sich auf einen Besteuerungs</w:t>
      </w:r>
      <w:r w:rsidR="002C6500" w:rsidRPr="009118AB">
        <w:rPr>
          <w:i/>
          <w:iCs/>
        </w:rPr>
        <w:softHyphen/>
      </w:r>
      <w:r w:rsidR="002E3D21" w:rsidRPr="009118AB">
        <w:rPr>
          <w:i/>
          <w:iCs/>
        </w:rPr>
        <w:t>zeitraum bezieht, der frühestens am 1. Januar 2018 beginnt</w:t>
      </w:r>
      <w:r w:rsidR="003366D9" w:rsidRPr="009118AB">
        <w:rPr>
          <w:i/>
          <w:iCs/>
        </w:rPr>
        <w:t> -;</w:t>
      </w:r>
      <w:r w:rsidR="005D3E01" w:rsidRPr="009118AB">
        <w:rPr>
          <w:i/>
        </w:rPr>
        <w:t xml:space="preserve"> </w:t>
      </w:r>
      <w:r w:rsidR="00D67EB8" w:rsidRPr="009118AB">
        <w:rPr>
          <w:i/>
          <w:iCs/>
        </w:rPr>
        <w:t>Abs. </w:t>
      </w:r>
      <w:r w:rsidR="0011214A" w:rsidRPr="009118AB">
        <w:rPr>
          <w:i/>
          <w:iCs/>
        </w:rPr>
        <w:t>5</w:t>
      </w:r>
      <w:r w:rsidRPr="009118AB">
        <w:rPr>
          <w:i/>
          <w:iCs/>
        </w:rPr>
        <w:t xml:space="preserve"> und </w:t>
      </w:r>
      <w:r w:rsidR="0011214A" w:rsidRPr="009118AB">
        <w:rPr>
          <w:i/>
          <w:iCs/>
        </w:rPr>
        <w:t>6</w:t>
      </w:r>
      <w:r w:rsidRPr="009118AB">
        <w:rPr>
          <w:i/>
          <w:iCs/>
        </w:rPr>
        <w:t xml:space="preserve"> eingefügt durch </w:t>
      </w:r>
      <w:r w:rsidR="00D67EB8" w:rsidRPr="009118AB">
        <w:rPr>
          <w:i/>
          <w:iCs/>
        </w:rPr>
        <w:t>Art. </w:t>
      </w:r>
      <w:r w:rsidR="002E3D21" w:rsidRPr="009118AB">
        <w:rPr>
          <w:i/>
          <w:iCs/>
        </w:rPr>
        <w:t>315 des G. </w:t>
      </w:r>
      <w:r w:rsidR="0014743B" w:rsidRPr="009118AB">
        <w:rPr>
          <w:i/>
          <w:iCs/>
        </w:rPr>
        <w:t xml:space="preserve">(I) </w:t>
      </w:r>
      <w:r w:rsidR="002E3D21" w:rsidRPr="009118AB">
        <w:rPr>
          <w:i/>
          <w:iCs/>
        </w:rPr>
        <w:t>vom 27. Dezember 2006 </w:t>
      </w:r>
      <w:r w:rsidRPr="009118AB">
        <w:rPr>
          <w:i/>
          <w:iCs/>
        </w:rPr>
        <w:t>(I</w:t>
      </w:r>
      <w:r w:rsidR="0014743B" w:rsidRPr="009118AB">
        <w:rPr>
          <w:i/>
          <w:iCs/>
        </w:rPr>
        <w:t>I</w:t>
      </w:r>
      <w:r w:rsidRPr="009118AB">
        <w:rPr>
          <w:i/>
          <w:iCs/>
        </w:rPr>
        <w:t>) (B.S.</w:t>
      </w:r>
      <w:r w:rsidR="0014743B" w:rsidRPr="009118AB">
        <w:rPr>
          <w:i/>
          <w:iCs/>
        </w:rPr>
        <w:t> </w:t>
      </w:r>
      <w:r w:rsidRPr="009118AB">
        <w:rPr>
          <w:i/>
          <w:iCs/>
        </w:rPr>
        <w:t>vom 28. Dezember 2006)</w:t>
      </w:r>
      <w:r w:rsidR="00D67EB8" w:rsidRPr="009118AB">
        <w:rPr>
          <w:i/>
          <w:iCs/>
        </w:rPr>
        <w:t> - </w:t>
      </w:r>
      <w:r w:rsidRPr="009118AB">
        <w:rPr>
          <w:i/>
          <w:iCs/>
        </w:rPr>
        <w:t>in Kraft ab dem 1. Januar 2007</w:t>
      </w:r>
      <w:r w:rsidR="00FD68E8" w:rsidRPr="009118AB">
        <w:rPr>
          <w:i/>
          <w:iCs/>
        </w:rPr>
        <w:t> -]</w:t>
      </w:r>
    </w:p>
    <w:p w14:paraId="1F9200A7" w14:textId="77777777" w:rsidR="00477B8F" w:rsidRPr="009118AB" w:rsidRDefault="00477B8F" w:rsidP="00477B8F">
      <w:pPr>
        <w:autoSpaceDE w:val="0"/>
        <w:autoSpaceDN w:val="0"/>
        <w:adjustRightInd w:val="0"/>
        <w:jc w:val="both"/>
      </w:pPr>
    </w:p>
    <w:p w14:paraId="76679196" w14:textId="178612C1" w:rsidR="00274CFE" w:rsidRPr="009118AB" w:rsidRDefault="00274CFE">
      <w:pPr>
        <w:rPr>
          <w:b/>
          <w:bCs/>
        </w:rPr>
      </w:pPr>
    </w:p>
    <w:p w14:paraId="78F542AF" w14:textId="6EF66183" w:rsidR="00477B8F" w:rsidRPr="009118AB" w:rsidRDefault="00477B8F" w:rsidP="00477B8F">
      <w:pPr>
        <w:autoSpaceDE w:val="0"/>
        <w:autoSpaceDN w:val="0"/>
        <w:adjustRightInd w:val="0"/>
        <w:jc w:val="both"/>
      </w:pPr>
      <w:r w:rsidRPr="009118AB">
        <w:rPr>
          <w:b/>
          <w:bCs/>
        </w:rPr>
        <w:tab/>
      </w:r>
      <w:r w:rsidR="00D67EB8" w:rsidRPr="009118AB">
        <w:rPr>
          <w:b/>
          <w:bCs/>
        </w:rPr>
        <w:t>Art. </w:t>
      </w:r>
      <w:r w:rsidRPr="009118AB">
        <w:rPr>
          <w:b/>
          <w:bCs/>
        </w:rPr>
        <w:t>25</w:t>
      </w:r>
      <w:r w:rsidR="00D67EB8" w:rsidRPr="009118AB">
        <w:t> - </w:t>
      </w:r>
      <w:r w:rsidRPr="009118AB">
        <w:t>Gewinne umfassen ebenfalls:</w:t>
      </w:r>
    </w:p>
    <w:p w14:paraId="740C2670" w14:textId="77777777" w:rsidR="00477B8F" w:rsidRPr="009118AB" w:rsidRDefault="00477B8F" w:rsidP="00477B8F">
      <w:pPr>
        <w:autoSpaceDE w:val="0"/>
        <w:autoSpaceDN w:val="0"/>
        <w:adjustRightInd w:val="0"/>
        <w:jc w:val="both"/>
      </w:pPr>
    </w:p>
    <w:p w14:paraId="112B8210" w14:textId="77777777" w:rsidR="00477B8F" w:rsidRPr="009118AB" w:rsidRDefault="00477B8F" w:rsidP="00477B8F">
      <w:pPr>
        <w:autoSpaceDE w:val="0"/>
        <w:autoSpaceDN w:val="0"/>
        <w:adjustRightInd w:val="0"/>
        <w:jc w:val="both"/>
      </w:pPr>
      <w:r w:rsidRPr="009118AB">
        <w:tab/>
        <w:t>1. die Entlohnung, die der Unternehmer für seine persönliche Arbeit in Anspruch nimmt,</w:t>
      </w:r>
    </w:p>
    <w:p w14:paraId="4D295E87" w14:textId="77777777" w:rsidR="00477B8F" w:rsidRPr="009118AB" w:rsidRDefault="00477B8F" w:rsidP="00477B8F">
      <w:pPr>
        <w:autoSpaceDE w:val="0"/>
        <w:autoSpaceDN w:val="0"/>
        <w:adjustRightInd w:val="0"/>
        <w:jc w:val="both"/>
      </w:pPr>
    </w:p>
    <w:p w14:paraId="471C3C28" w14:textId="77777777" w:rsidR="00477B8F" w:rsidRPr="009118AB" w:rsidRDefault="00477B8F" w:rsidP="00477B8F">
      <w:pPr>
        <w:autoSpaceDE w:val="0"/>
        <w:autoSpaceDN w:val="0"/>
        <w:adjustRightInd w:val="0"/>
        <w:jc w:val="both"/>
      </w:pPr>
      <w:r w:rsidRPr="009118AB">
        <w:tab/>
        <w:t>2. Vorteile jeglicher Art, die der Unternehmer aufgrund oder anlässlich der Ausübung seiner Berufstätigkeit erhält,</w:t>
      </w:r>
    </w:p>
    <w:p w14:paraId="213C9F94" w14:textId="77777777" w:rsidR="00477B8F" w:rsidRPr="009118AB" w:rsidRDefault="00477B8F" w:rsidP="00477B8F">
      <w:pPr>
        <w:autoSpaceDE w:val="0"/>
        <w:autoSpaceDN w:val="0"/>
        <w:adjustRightInd w:val="0"/>
        <w:jc w:val="both"/>
      </w:pPr>
    </w:p>
    <w:p w14:paraId="2DC2AA76" w14:textId="77777777" w:rsidR="00477B8F" w:rsidRPr="009118AB" w:rsidRDefault="00477B8F" w:rsidP="00477B8F">
      <w:pPr>
        <w:autoSpaceDE w:val="0"/>
        <w:autoSpaceDN w:val="0"/>
        <w:adjustRightInd w:val="0"/>
        <w:jc w:val="both"/>
      </w:pPr>
      <w:r w:rsidRPr="009118AB">
        <w:tab/>
        <w:t>3. Erträge aus Spekulationen des Unternehmers,</w:t>
      </w:r>
    </w:p>
    <w:p w14:paraId="20124577" w14:textId="77777777" w:rsidR="00477B8F" w:rsidRPr="009118AB" w:rsidRDefault="00477B8F" w:rsidP="00477B8F">
      <w:pPr>
        <w:autoSpaceDE w:val="0"/>
        <w:autoSpaceDN w:val="0"/>
        <w:adjustRightInd w:val="0"/>
        <w:jc w:val="both"/>
      </w:pPr>
    </w:p>
    <w:p w14:paraId="77FF9C7A" w14:textId="77777777" w:rsidR="00477B8F" w:rsidRPr="009118AB" w:rsidRDefault="00477B8F" w:rsidP="00477B8F">
      <w:pPr>
        <w:autoSpaceDE w:val="0"/>
        <w:autoSpaceDN w:val="0"/>
        <w:adjustRightInd w:val="0"/>
        <w:jc w:val="both"/>
      </w:pPr>
      <w:r w:rsidRPr="009118AB">
        <w:tab/>
        <w:t xml:space="preserve">4. Summen, die verwendet werden, um geliehene Kapitalien ganz oder teilweise zurückzuzahlen, das Unternehmen zu erweitern oder den Wert der Aktiva zu steigern, </w:t>
      </w:r>
    </w:p>
    <w:p w14:paraId="2422E1A5" w14:textId="77777777" w:rsidR="00477B8F" w:rsidRPr="009118AB" w:rsidRDefault="00477B8F" w:rsidP="00477B8F">
      <w:pPr>
        <w:autoSpaceDE w:val="0"/>
        <w:autoSpaceDN w:val="0"/>
        <w:adjustRightInd w:val="0"/>
        <w:jc w:val="both"/>
      </w:pPr>
    </w:p>
    <w:p w14:paraId="69372B04" w14:textId="77777777" w:rsidR="00477B8F" w:rsidRPr="009118AB" w:rsidRDefault="00477B8F" w:rsidP="00477B8F">
      <w:pPr>
        <w:autoSpaceDE w:val="0"/>
        <w:autoSpaceDN w:val="0"/>
        <w:adjustRightInd w:val="0"/>
        <w:jc w:val="both"/>
      </w:pPr>
      <w:r w:rsidRPr="009118AB">
        <w:tab/>
        <w:t>5. alle Rücklagen, Vorsorgefonds oder Rückstellungen, das auf das folgende Jahr übertragene Ergebnis und alle Summen, die zu ähnlichem Zweck verwendet werden,</w:t>
      </w:r>
    </w:p>
    <w:p w14:paraId="047A1B83" w14:textId="77777777" w:rsidR="00477B8F" w:rsidRPr="009118AB" w:rsidRDefault="00477B8F" w:rsidP="00477B8F">
      <w:pPr>
        <w:autoSpaceDE w:val="0"/>
        <w:autoSpaceDN w:val="0"/>
        <w:adjustRightInd w:val="0"/>
        <w:jc w:val="both"/>
      </w:pPr>
    </w:p>
    <w:p w14:paraId="5B7E2902" w14:textId="77777777" w:rsidR="00477B8F" w:rsidRPr="009118AB" w:rsidRDefault="00477B8F" w:rsidP="00477B8F">
      <w:pPr>
        <w:autoSpaceDE w:val="0"/>
        <w:autoSpaceDN w:val="0"/>
        <w:adjustRightInd w:val="0"/>
        <w:jc w:val="both"/>
      </w:pPr>
      <w:r w:rsidRPr="009118AB">
        <w:tab/>
        <w:t>6. Entschädigungen jeglicher Art, die der Unternehmer während der Betriebstätigkeit erhält:</w:t>
      </w:r>
    </w:p>
    <w:p w14:paraId="11F82951" w14:textId="77777777" w:rsidR="00477B8F" w:rsidRPr="009118AB" w:rsidRDefault="00477B8F" w:rsidP="00477B8F">
      <w:pPr>
        <w:autoSpaceDE w:val="0"/>
        <w:autoSpaceDN w:val="0"/>
        <w:adjustRightInd w:val="0"/>
        <w:jc w:val="both"/>
      </w:pPr>
    </w:p>
    <w:p w14:paraId="7855B801"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als Ausgleich für Handlungen oder anlässlich von Handlungen, die zu einer Verringerung der Berufstätigkeit oder der Unternehmensgewinne führen können</w:t>
      </w:r>
      <w:r w:rsidR="00C35B63" w:rsidRPr="009118AB">
        <w:t xml:space="preserve"> </w:t>
      </w:r>
      <w:r w:rsidRPr="009118AB">
        <w:t>[</w:t>
      </w:r>
      <w:r w:rsidR="00C35B63" w:rsidRPr="009118AB">
        <w:t>…</w:t>
      </w:r>
      <w:r w:rsidRPr="009118AB">
        <w:t>],</w:t>
      </w:r>
    </w:p>
    <w:p w14:paraId="0B80E551" w14:textId="77777777" w:rsidR="009E7102" w:rsidRPr="009118AB" w:rsidRDefault="009E7102" w:rsidP="00477B8F">
      <w:pPr>
        <w:autoSpaceDE w:val="0"/>
        <w:autoSpaceDN w:val="0"/>
        <w:adjustRightInd w:val="0"/>
        <w:jc w:val="both"/>
      </w:pPr>
    </w:p>
    <w:p w14:paraId="6AEA1E14" w14:textId="153CB870" w:rsidR="00477B8F" w:rsidRPr="009118AB" w:rsidRDefault="00477B8F" w:rsidP="00477B8F">
      <w:pPr>
        <w:autoSpaceDE w:val="0"/>
        <w:autoSpaceDN w:val="0"/>
        <w:adjustRightInd w:val="0"/>
        <w:jc w:val="both"/>
      </w:pPr>
      <w:r w:rsidRPr="009118AB">
        <w:tab/>
      </w:r>
      <w:r w:rsidRPr="009118AB">
        <w:rPr>
          <w:i/>
          <w:iCs/>
        </w:rPr>
        <w:t>b)</w:t>
      </w:r>
      <w:r w:rsidRPr="009118AB">
        <w:t xml:space="preserve"> als vollständige Entschädigung oder Teilentschädigung für e</w:t>
      </w:r>
      <w:r w:rsidR="00E056FF" w:rsidRPr="009118AB">
        <w:t>inen zeitweiligen Gewinnausfall,</w:t>
      </w:r>
    </w:p>
    <w:p w14:paraId="557C4E05" w14:textId="1CC9EB89" w:rsidR="00E056FF" w:rsidRPr="009118AB" w:rsidRDefault="00E056FF" w:rsidP="00477B8F">
      <w:pPr>
        <w:autoSpaceDE w:val="0"/>
        <w:autoSpaceDN w:val="0"/>
        <w:adjustRightInd w:val="0"/>
        <w:jc w:val="both"/>
      </w:pPr>
    </w:p>
    <w:p w14:paraId="095DB8D2" w14:textId="2663D79F" w:rsidR="00E056FF" w:rsidRPr="009118AB" w:rsidRDefault="00E056FF" w:rsidP="00477B8F">
      <w:pPr>
        <w:autoSpaceDE w:val="0"/>
        <w:autoSpaceDN w:val="0"/>
        <w:adjustRightInd w:val="0"/>
        <w:jc w:val="both"/>
      </w:pPr>
      <w:r w:rsidRPr="009118AB">
        <w:tab/>
        <w:t>[7. für das Steuerjahr 2021: einen Betrag, der der gemäß Artikel 67</w:t>
      </w:r>
      <w:r w:rsidRPr="009118AB">
        <w:rPr>
          <w:i/>
          <w:iCs/>
        </w:rPr>
        <w:t>sexies</w:t>
      </w:r>
      <w:r w:rsidRPr="009118AB">
        <w:t xml:space="preserve"> für das Steuerjahr 2020 beantragten Steuerbefreiung entspricht.]</w:t>
      </w:r>
    </w:p>
    <w:p w14:paraId="3290D44F" w14:textId="77777777" w:rsidR="00477B8F" w:rsidRPr="009118AB" w:rsidRDefault="00477B8F" w:rsidP="00477B8F">
      <w:pPr>
        <w:autoSpaceDE w:val="0"/>
        <w:autoSpaceDN w:val="0"/>
        <w:adjustRightInd w:val="0"/>
        <w:jc w:val="both"/>
      </w:pPr>
    </w:p>
    <w:p w14:paraId="792DBC07" w14:textId="376494DF"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25 einziger Absatz </w:t>
      </w:r>
      <w:r w:rsidR="00D67EB8" w:rsidRPr="009118AB">
        <w:rPr>
          <w:i/>
          <w:iCs/>
        </w:rPr>
        <w:t>Nr. </w:t>
      </w:r>
      <w:r w:rsidRPr="009118AB">
        <w:rPr>
          <w:i/>
          <w:iCs/>
        </w:rPr>
        <w:t xml:space="preserve">6 einziger Absatz Buchstabe a) </w:t>
      </w:r>
      <w:r w:rsidR="00C35B63" w:rsidRPr="009118AB">
        <w:rPr>
          <w:i/>
          <w:iCs/>
        </w:rPr>
        <w:t>abgeändert</w:t>
      </w:r>
      <w:r w:rsidRPr="009118AB">
        <w:rPr>
          <w:i/>
          <w:iCs/>
        </w:rPr>
        <w:t xml:space="preserve"> durch </w:t>
      </w:r>
      <w:r w:rsidR="00D67EB8" w:rsidRPr="009118AB">
        <w:rPr>
          <w:i/>
          <w:iCs/>
        </w:rPr>
        <w:t>Art. </w:t>
      </w:r>
      <w:r w:rsidRPr="009118AB">
        <w:rPr>
          <w:i/>
          <w:iCs/>
        </w:rPr>
        <w:t>2 des G. vom 19. Mai 1998 (B.S. vom 26. Juni 1998)</w:t>
      </w:r>
      <w:r w:rsidR="00C35B63" w:rsidRPr="009118AB">
        <w:rPr>
          <w:i/>
          <w:iCs/>
        </w:rPr>
        <w:t>,</w:t>
      </w:r>
      <w:r w:rsidRPr="009118AB">
        <w:rPr>
          <w:i/>
          <w:iCs/>
        </w:rPr>
        <w:t xml:space="preserve"> </w:t>
      </w:r>
      <w:r w:rsidR="00D67EB8" w:rsidRPr="009118AB">
        <w:rPr>
          <w:i/>
          <w:iCs/>
        </w:rPr>
        <w:t>Art. </w:t>
      </w:r>
      <w:r w:rsidRPr="009118AB">
        <w:rPr>
          <w:i/>
          <w:iCs/>
        </w:rPr>
        <w:t>370 des G. vom 27. Dezember 2004 (B.S. vom 31. Dezember 2004)</w:t>
      </w:r>
      <w:r w:rsidR="00C35B63" w:rsidRPr="009118AB">
        <w:rPr>
          <w:i/>
          <w:iCs/>
        </w:rPr>
        <w:t>,</w:t>
      </w:r>
      <w:r w:rsidR="004C2BD5" w:rsidRPr="009118AB">
        <w:rPr>
          <w:i/>
          <w:iCs/>
        </w:rPr>
        <w:t xml:space="preserve"> </w:t>
      </w:r>
      <w:r w:rsidR="00D67EB8" w:rsidRPr="009118AB">
        <w:rPr>
          <w:i/>
          <w:iCs/>
        </w:rPr>
        <w:t>Art. </w:t>
      </w:r>
      <w:r w:rsidR="004C2BD5" w:rsidRPr="009118AB">
        <w:rPr>
          <w:i/>
          <w:iCs/>
        </w:rPr>
        <w:t>32 des G. vom 14. April 2011 (B.S. vom 6. Mai 2011)</w:t>
      </w:r>
      <w:r w:rsidR="00C35B63" w:rsidRPr="009118AB">
        <w:rPr>
          <w:i/>
          <w:iCs/>
        </w:rPr>
        <w:t xml:space="preserve"> und </w:t>
      </w:r>
      <w:r w:rsidR="00D67EB8" w:rsidRPr="009118AB">
        <w:rPr>
          <w:i/>
          <w:iCs/>
        </w:rPr>
        <w:t>Art. </w:t>
      </w:r>
      <w:r w:rsidR="00C35B63" w:rsidRPr="009118AB">
        <w:rPr>
          <w:i/>
          <w:iCs/>
        </w:rPr>
        <w:t>3 des G. vom 25. Dezember 2017</w:t>
      </w:r>
      <w:r w:rsidR="00AD39DE" w:rsidRPr="009118AB">
        <w:rPr>
          <w:i/>
          <w:iCs/>
        </w:rPr>
        <w:t> (I)</w:t>
      </w:r>
      <w:r w:rsidR="00C35B63" w:rsidRPr="009118AB">
        <w:rPr>
          <w:i/>
          <w:iCs/>
        </w:rPr>
        <w:t xml:space="preserve"> (B.S. vom 29. Dezember 2017)</w:t>
      </w:r>
      <w:r w:rsidR="00E056FF" w:rsidRPr="009118AB">
        <w:rPr>
          <w:i/>
          <w:iCs/>
        </w:rPr>
        <w:t xml:space="preserve">; einziger Absatz </w:t>
      </w:r>
      <w:r w:rsidR="00D67EB8" w:rsidRPr="009118AB">
        <w:rPr>
          <w:i/>
          <w:iCs/>
        </w:rPr>
        <w:t>Nr. </w:t>
      </w:r>
      <w:r w:rsidR="00E056FF" w:rsidRPr="009118AB">
        <w:rPr>
          <w:i/>
          <w:iCs/>
        </w:rPr>
        <w:t xml:space="preserve">7 eingefügt durch </w:t>
      </w:r>
      <w:r w:rsidR="00D67EB8" w:rsidRPr="009118AB">
        <w:rPr>
          <w:i/>
          <w:iCs/>
        </w:rPr>
        <w:t>Art. </w:t>
      </w:r>
      <w:r w:rsidR="00E056FF" w:rsidRPr="009118AB">
        <w:rPr>
          <w:i/>
          <w:iCs/>
        </w:rPr>
        <w:t>2 des G. vom 23. Juni 2020 (B.S. vom 1. Juli 2020)</w:t>
      </w:r>
      <w:r w:rsidRPr="009118AB">
        <w:rPr>
          <w:i/>
          <w:iCs/>
        </w:rPr>
        <w:t>]</w:t>
      </w:r>
    </w:p>
    <w:p w14:paraId="6A9356DF" w14:textId="08B7FD53" w:rsidR="00477B8F" w:rsidRPr="009118AB" w:rsidRDefault="00477B8F" w:rsidP="00477B8F">
      <w:pPr>
        <w:autoSpaceDE w:val="0"/>
        <w:autoSpaceDN w:val="0"/>
        <w:adjustRightInd w:val="0"/>
        <w:jc w:val="both"/>
        <w:rPr>
          <w:iCs/>
        </w:rPr>
      </w:pPr>
    </w:p>
    <w:p w14:paraId="157E025E" w14:textId="1E2D7FE1" w:rsidR="00BC69ED" w:rsidRPr="009118AB" w:rsidRDefault="00BC69ED" w:rsidP="00477B8F">
      <w:pPr>
        <w:autoSpaceDE w:val="0"/>
        <w:autoSpaceDN w:val="0"/>
        <w:adjustRightInd w:val="0"/>
        <w:jc w:val="both"/>
        <w:rPr>
          <w:iCs/>
        </w:rPr>
      </w:pPr>
    </w:p>
    <w:p w14:paraId="1CB2B176" w14:textId="322321AF" w:rsidR="00BC69ED" w:rsidRPr="009118AB" w:rsidRDefault="00BC69ED" w:rsidP="00BC69ED">
      <w:pPr>
        <w:ind w:firstLine="708"/>
        <w:jc w:val="both"/>
      </w:pPr>
      <w:r w:rsidRPr="009118AB">
        <w:rPr>
          <w:iCs/>
        </w:rPr>
        <w:tab/>
        <w:t>[</w:t>
      </w:r>
      <w:r w:rsidR="00D67EB8" w:rsidRPr="009118AB">
        <w:rPr>
          <w:b/>
        </w:rPr>
        <w:t>Art. </w:t>
      </w:r>
      <w:r w:rsidRPr="009118AB">
        <w:rPr>
          <w:b/>
        </w:rPr>
        <w:t>25/1</w:t>
      </w:r>
      <w:r w:rsidR="00D67EB8" w:rsidRPr="009118AB">
        <w:t> - </w:t>
      </w:r>
      <w:r w:rsidRPr="009118AB">
        <w:t xml:space="preserve">Wenn der Betrag der Gewinne für den an das Steuerjahr 2021 gebundenen Besteuerungszeitraum das in Artikel 25 </w:t>
      </w:r>
      <w:r w:rsidR="00D67EB8" w:rsidRPr="009118AB">
        <w:t>Nr. </w:t>
      </w:r>
      <w:r w:rsidRPr="009118AB">
        <w:t>7 erwähnte Einkommen umfasst und der Betrag der Gewinne nach Abzug der Werbungskosten positiv ist, wird die Gesamtsteuer für diesen Besteuerungszeitraum um den Betrag erhöht, der sich ergibt, indem der gemäß Absatz 3 bestimmte Satz auf die gemäß Absatz 2 bestimmte Grundlage angewandt wird.</w:t>
      </w:r>
    </w:p>
    <w:p w14:paraId="0E4ECBD2" w14:textId="77777777" w:rsidR="00BC69ED" w:rsidRPr="009118AB" w:rsidRDefault="00BC69ED" w:rsidP="00BC69ED">
      <w:pPr>
        <w:jc w:val="both"/>
      </w:pPr>
    </w:p>
    <w:p w14:paraId="7FEDE37E" w14:textId="6499FBEB" w:rsidR="00BC69ED" w:rsidRPr="009118AB" w:rsidRDefault="00BC69ED" w:rsidP="00BC69ED">
      <w:pPr>
        <w:ind w:firstLine="709"/>
        <w:jc w:val="both"/>
      </w:pPr>
      <w:r w:rsidRPr="009118AB">
        <w:lastRenderedPageBreak/>
        <w:t xml:space="preserve">Die Erhöhung wird auf der Grundlage des Betrags der Gewinne nach Abzug der Werbungskosten berechnet, verringert um 10 Prozent der Plusdifferenz zwischen dem in Artikel 25 </w:t>
      </w:r>
      <w:r w:rsidR="00D67EB8" w:rsidRPr="009118AB">
        <w:t>Nr. </w:t>
      </w:r>
      <w:r w:rsidRPr="009118AB">
        <w:t xml:space="preserve">7 erwähnten Einkommen und dem Betrag der Gewinne nach Abzug der Werbungskosten. Der so bestimmte Betrag kann das in Artikel 25 </w:t>
      </w:r>
      <w:r w:rsidR="00D67EB8" w:rsidRPr="009118AB">
        <w:t>Nr. </w:t>
      </w:r>
      <w:r w:rsidRPr="009118AB">
        <w:t>7 erwähnte Einkommen nicht übersteigen.</w:t>
      </w:r>
    </w:p>
    <w:p w14:paraId="643D5F6B" w14:textId="77777777" w:rsidR="00BC69ED" w:rsidRPr="009118AB" w:rsidRDefault="00BC69ED" w:rsidP="00BC69ED">
      <w:pPr>
        <w:jc w:val="both"/>
      </w:pPr>
    </w:p>
    <w:p w14:paraId="528FA943" w14:textId="7C5661A5" w:rsidR="00BC69ED" w:rsidRPr="009118AB" w:rsidRDefault="00BC69ED" w:rsidP="00BC69ED">
      <w:pPr>
        <w:autoSpaceDE w:val="0"/>
        <w:autoSpaceDN w:val="0"/>
        <w:adjustRightInd w:val="0"/>
        <w:ind w:firstLine="708"/>
        <w:jc w:val="both"/>
        <w:rPr>
          <w:iCs/>
        </w:rPr>
      </w:pPr>
      <w:r w:rsidRPr="009118AB">
        <w:t xml:space="preserve">Der in Absatz 1 erwähnte Satz entspricht 9 Prozent, multipliziert mit einem Bruch, dessen Zähler dem in Absatz 1 erwähnten positiven Betrag und dessen Nenner dem in Artikel 25 </w:t>
      </w:r>
      <w:r w:rsidR="00D67EB8" w:rsidRPr="009118AB">
        <w:t>Nr. </w:t>
      </w:r>
      <w:r w:rsidRPr="009118AB">
        <w:t xml:space="preserve">7 erwähnten Einkommen, verringert um den in Absatz 1 erwähnten positiven Betrag, entspricht. Der Bruch kann nicht mehr als 2 betragen und beläuft sich auf 2, wenn das in Artikel 25 </w:t>
      </w:r>
      <w:r w:rsidR="00D67EB8" w:rsidRPr="009118AB">
        <w:t>Nr. </w:t>
      </w:r>
      <w:r w:rsidRPr="009118AB">
        <w:t>7 erwähnte Einkommen dem in Absatz 1 erwähnten positiven Betrag entspricht oder darunterliegt. Der so bestimmte Satz wird auf die höhere oder niedrigere zweite Dezimalstelle abgerundet, je nachdem ob die Ziffer der dritten Dezimalstelle 5 erreicht oder nicht.</w:t>
      </w:r>
      <w:r w:rsidRPr="009118AB">
        <w:rPr>
          <w:iCs/>
        </w:rPr>
        <w:t>]</w:t>
      </w:r>
    </w:p>
    <w:p w14:paraId="50DAA3D0" w14:textId="6ECB32BC" w:rsidR="00BC69ED" w:rsidRPr="009118AB" w:rsidRDefault="00BC69ED" w:rsidP="00BC69ED">
      <w:pPr>
        <w:autoSpaceDE w:val="0"/>
        <w:autoSpaceDN w:val="0"/>
        <w:adjustRightInd w:val="0"/>
        <w:ind w:firstLine="708"/>
        <w:jc w:val="both"/>
        <w:rPr>
          <w:iCs/>
        </w:rPr>
      </w:pPr>
    </w:p>
    <w:p w14:paraId="04663DC7" w14:textId="73811692" w:rsidR="00BC69ED" w:rsidRPr="009118AB" w:rsidRDefault="00BC69ED" w:rsidP="00BC69ED">
      <w:pPr>
        <w:autoSpaceDE w:val="0"/>
        <w:autoSpaceDN w:val="0"/>
        <w:adjustRightInd w:val="0"/>
        <w:jc w:val="both"/>
        <w:rPr>
          <w:i/>
          <w:iCs/>
        </w:rPr>
      </w:pPr>
      <w:r w:rsidRPr="009118AB">
        <w:rPr>
          <w:i/>
          <w:iCs/>
        </w:rPr>
        <w:t>[</w:t>
      </w:r>
      <w:r w:rsidR="00D67EB8" w:rsidRPr="009118AB">
        <w:rPr>
          <w:i/>
          <w:iCs/>
        </w:rPr>
        <w:t>Art. </w:t>
      </w:r>
      <w:r w:rsidRPr="009118AB">
        <w:rPr>
          <w:i/>
          <w:iCs/>
        </w:rPr>
        <w:t xml:space="preserve">25/1 eingefügt durch </w:t>
      </w:r>
      <w:r w:rsidR="00D67EB8" w:rsidRPr="009118AB">
        <w:rPr>
          <w:i/>
          <w:iCs/>
        </w:rPr>
        <w:t>Art. </w:t>
      </w:r>
      <w:r w:rsidRPr="009118AB">
        <w:rPr>
          <w:i/>
          <w:iCs/>
        </w:rPr>
        <w:t>3 des G. vom 23. Juni 2020 (B.S. vom 1. Juli 2020)]</w:t>
      </w:r>
    </w:p>
    <w:p w14:paraId="7B4D969F" w14:textId="77777777" w:rsidR="00BC69ED" w:rsidRPr="009118AB" w:rsidRDefault="00BC69ED" w:rsidP="00BC69ED">
      <w:pPr>
        <w:autoSpaceDE w:val="0"/>
        <w:autoSpaceDN w:val="0"/>
        <w:adjustRightInd w:val="0"/>
        <w:jc w:val="both"/>
        <w:rPr>
          <w:i/>
          <w:iCs/>
        </w:rPr>
      </w:pPr>
    </w:p>
    <w:p w14:paraId="31788C71" w14:textId="77777777" w:rsidR="00477B8F" w:rsidRPr="009118AB" w:rsidRDefault="00477B8F" w:rsidP="00477B8F">
      <w:pPr>
        <w:autoSpaceDE w:val="0"/>
        <w:autoSpaceDN w:val="0"/>
        <w:adjustRightInd w:val="0"/>
        <w:jc w:val="both"/>
        <w:rPr>
          <w:i/>
          <w:iCs/>
        </w:rPr>
      </w:pPr>
    </w:p>
    <w:p w14:paraId="78B0A64F" w14:textId="2F29DA2B" w:rsidR="00477B8F" w:rsidRPr="009118AB" w:rsidRDefault="00477B8F" w:rsidP="00477B8F">
      <w:pPr>
        <w:autoSpaceDE w:val="0"/>
        <w:autoSpaceDN w:val="0"/>
        <w:adjustRightInd w:val="0"/>
        <w:jc w:val="both"/>
      </w:pPr>
      <w:r w:rsidRPr="009118AB">
        <w:rPr>
          <w:i/>
          <w:iCs/>
        </w:rPr>
        <w:tab/>
      </w:r>
      <w:r w:rsidR="00D67EB8" w:rsidRPr="009118AB">
        <w:rPr>
          <w:b/>
          <w:bCs/>
        </w:rPr>
        <w:t>Art. </w:t>
      </w:r>
      <w:r w:rsidRPr="009118AB">
        <w:rPr>
          <w:b/>
          <w:bCs/>
        </w:rPr>
        <w:t>26</w:t>
      </w:r>
      <w:r w:rsidR="00D67EB8" w:rsidRPr="009118AB">
        <w:t> - </w:t>
      </w:r>
      <w:r w:rsidRPr="009118AB">
        <w:t xml:space="preserve">[Gewährt ein in Belgien ansässiges Unternehmen ungewöhnliche oder freiwillige Vorteile, werden diese </w:t>
      </w:r>
      <w:r w:rsidR="00B73505" w:rsidRPr="009118AB">
        <w:t>[unbeschadet der Anwendung von Artikel 49 und vorbehaltlich]</w:t>
      </w:r>
      <w:r w:rsidRPr="009118AB">
        <w:t xml:space="preserve"> der Bestimmungen von Artikel 54 zu seinen eigenen Gewinnen hinzugefügt, außer wenn die Vorteile zur Festlegung der steuerpflichtigen Einkünfte der Empfänger berücksichtigt werden.</w:t>
      </w:r>
    </w:p>
    <w:p w14:paraId="4B9325F8" w14:textId="6A9842FA" w:rsidR="002F6060" w:rsidRPr="009118AB" w:rsidRDefault="002F6060"/>
    <w:p w14:paraId="2B9833E3" w14:textId="0BB57697" w:rsidR="00477B8F" w:rsidRPr="009118AB" w:rsidRDefault="00477B8F" w:rsidP="00477B8F">
      <w:pPr>
        <w:autoSpaceDE w:val="0"/>
        <w:autoSpaceDN w:val="0"/>
        <w:adjustRightInd w:val="0"/>
        <w:jc w:val="both"/>
      </w:pPr>
      <w:r w:rsidRPr="009118AB">
        <w:tab/>
        <w:t>Ungeachtet der in Absatz 1 erwähnten Einschränkung werden den eigenen Gewinnen ungewöhnliche oder freiwillige Vorteile hinzugefügt, die das Unternehmen:</w:t>
      </w:r>
    </w:p>
    <w:p w14:paraId="090B67C8" w14:textId="77777777" w:rsidR="00477B8F" w:rsidRPr="009118AB" w:rsidRDefault="00477B8F" w:rsidP="00477B8F">
      <w:pPr>
        <w:autoSpaceDE w:val="0"/>
        <w:autoSpaceDN w:val="0"/>
        <w:adjustRightInd w:val="0"/>
        <w:jc w:val="both"/>
      </w:pPr>
    </w:p>
    <w:p w14:paraId="15990EBE" w14:textId="77777777" w:rsidR="00477B8F" w:rsidRPr="009118AB" w:rsidRDefault="00477B8F" w:rsidP="00477B8F">
      <w:pPr>
        <w:autoSpaceDE w:val="0"/>
        <w:autoSpaceDN w:val="0"/>
        <w:adjustRightInd w:val="0"/>
        <w:jc w:val="both"/>
      </w:pPr>
      <w:r w:rsidRPr="009118AB">
        <w:tab/>
        <w:t>1. einem in Artikel 227 erwähnten Steuerpflichtigen gewährt, dem gegenüber das in Belgien ansässige Unternehmen sich direkt oder indirekt in einem Verhältnis gegenseitiger Abhängigkeit befindet,</w:t>
      </w:r>
    </w:p>
    <w:p w14:paraId="2BD75382" w14:textId="77777777" w:rsidR="00477B8F" w:rsidRPr="009118AB" w:rsidRDefault="00477B8F" w:rsidP="00477B8F">
      <w:pPr>
        <w:autoSpaceDE w:val="0"/>
        <w:autoSpaceDN w:val="0"/>
        <w:adjustRightInd w:val="0"/>
        <w:jc w:val="both"/>
      </w:pPr>
    </w:p>
    <w:p w14:paraId="7EAB7CD0" w14:textId="77777777" w:rsidR="00477B8F" w:rsidRPr="009118AB" w:rsidRDefault="00477B8F" w:rsidP="00477B8F">
      <w:pPr>
        <w:autoSpaceDE w:val="0"/>
        <w:autoSpaceDN w:val="0"/>
        <w:adjustRightInd w:val="0"/>
        <w:jc w:val="both"/>
      </w:pPr>
      <w:r w:rsidRPr="009118AB">
        <w:tab/>
        <w:t>2. einem in Artikel 227 erwähnten Steuerpflichtigen oder einer ausländischen Niederlassung gewährt, die aufgrund der Rechtsvorschriften des Landes, in dem sie ansässig sind, dort keiner Einkommensteuer oder einem erheblich vorteilhafteren Besteuerungssystem unterliegen als dem, dem das in Belgien ansässige Unternehmen unterliegt,</w:t>
      </w:r>
    </w:p>
    <w:p w14:paraId="13E0288F" w14:textId="77777777" w:rsidR="00477B8F" w:rsidRPr="009118AB" w:rsidRDefault="00477B8F" w:rsidP="00477B8F">
      <w:pPr>
        <w:autoSpaceDE w:val="0"/>
        <w:autoSpaceDN w:val="0"/>
        <w:adjustRightInd w:val="0"/>
        <w:jc w:val="both"/>
      </w:pPr>
    </w:p>
    <w:p w14:paraId="1980A621" w14:textId="3B3267B4" w:rsidR="00477B8F" w:rsidRPr="009118AB" w:rsidRDefault="00477B8F" w:rsidP="00477B8F">
      <w:pPr>
        <w:autoSpaceDE w:val="0"/>
        <w:autoSpaceDN w:val="0"/>
        <w:adjustRightInd w:val="0"/>
        <w:jc w:val="both"/>
      </w:pPr>
      <w:r w:rsidRPr="009118AB">
        <w:tab/>
        <w:t xml:space="preserve">3. einem in Artikel 227 erwähnten Steuerpflichtigen gewährt, der gemeinsame Interessen mit dem in </w:t>
      </w:r>
      <w:r w:rsidR="00D67EB8" w:rsidRPr="009118AB">
        <w:t>Nr. </w:t>
      </w:r>
      <w:r w:rsidRPr="009118AB">
        <w:t xml:space="preserve">1 oder 2 erwähnten Steuerpflichtigen beziehungsweise mit der in </w:t>
      </w:r>
      <w:r w:rsidR="00D67EB8" w:rsidRPr="009118AB">
        <w:t>Nr. </w:t>
      </w:r>
      <w:r w:rsidRPr="009118AB">
        <w:t>2 erwähnten Niederlassung hat.]</w:t>
      </w:r>
    </w:p>
    <w:p w14:paraId="777211F5" w14:textId="77777777" w:rsidR="00477B8F" w:rsidRPr="009118AB" w:rsidRDefault="00477B8F" w:rsidP="00477B8F">
      <w:pPr>
        <w:autoSpaceDE w:val="0"/>
        <w:autoSpaceDN w:val="0"/>
        <w:adjustRightInd w:val="0"/>
        <w:jc w:val="both"/>
      </w:pPr>
    </w:p>
    <w:p w14:paraId="6E27D944" w14:textId="6FCCE04F" w:rsidR="00477B8F" w:rsidRPr="009118AB" w:rsidRDefault="00477B8F" w:rsidP="00125D93">
      <w:pPr>
        <w:autoSpaceDE w:val="0"/>
        <w:autoSpaceDN w:val="0"/>
        <w:adjustRightInd w:val="0"/>
        <w:jc w:val="both"/>
      </w:pPr>
      <w:r w:rsidRPr="009118AB">
        <w:rPr>
          <w:i/>
          <w:iCs/>
        </w:rPr>
        <w:t>[</w:t>
      </w:r>
      <w:r w:rsidR="00D67EB8" w:rsidRPr="009118AB">
        <w:rPr>
          <w:i/>
          <w:iCs/>
        </w:rPr>
        <w:t>Art. </w:t>
      </w:r>
      <w:r w:rsidRPr="009118AB">
        <w:rPr>
          <w:i/>
          <w:iCs/>
        </w:rPr>
        <w:t xml:space="preserve">26 ersetzt durch </w:t>
      </w:r>
      <w:r w:rsidR="00D67EB8" w:rsidRPr="009118AB">
        <w:rPr>
          <w:i/>
          <w:iCs/>
        </w:rPr>
        <w:t>Art. </w:t>
      </w:r>
      <w:r w:rsidRPr="009118AB">
        <w:rPr>
          <w:i/>
          <w:iCs/>
        </w:rPr>
        <w:t>3 des G. vom 28. Juli 1992 (B.S. vom 31. Juli 1992)</w:t>
      </w:r>
      <w:r w:rsidR="00D67EB8" w:rsidRPr="009118AB">
        <w:rPr>
          <w:i/>
          <w:iCs/>
        </w:rPr>
        <w:t> - </w:t>
      </w:r>
      <w:r w:rsidRPr="009118AB">
        <w:rPr>
          <w:i/>
          <w:iCs/>
        </w:rPr>
        <w:t>anwendbar ab dem Steuerjahr 1993</w:t>
      </w:r>
      <w:r w:rsidR="003366D9" w:rsidRPr="009118AB">
        <w:rPr>
          <w:i/>
          <w:iCs/>
        </w:rPr>
        <w:t> -;</w:t>
      </w:r>
      <w:r w:rsidR="00B73505" w:rsidRPr="009118AB">
        <w:rPr>
          <w:i/>
          <w:iCs/>
        </w:rPr>
        <w:t xml:space="preserve"> </w:t>
      </w:r>
      <w:r w:rsidR="00D67EB8" w:rsidRPr="009118AB">
        <w:rPr>
          <w:i/>
          <w:iCs/>
        </w:rPr>
        <w:t>Abs. </w:t>
      </w:r>
      <w:r w:rsidR="00B73505" w:rsidRPr="009118AB">
        <w:rPr>
          <w:i/>
          <w:iCs/>
        </w:rPr>
        <w:t xml:space="preserve">1 abgeändert </w:t>
      </w:r>
      <w:r w:rsidR="00B73505" w:rsidRPr="009118AB">
        <w:rPr>
          <w:i/>
        </w:rPr>
        <w:t xml:space="preserve">durch </w:t>
      </w:r>
      <w:r w:rsidR="00D67EB8" w:rsidRPr="009118AB">
        <w:rPr>
          <w:i/>
        </w:rPr>
        <w:t>Art. </w:t>
      </w:r>
      <w:r w:rsidR="00574E50" w:rsidRPr="009118AB">
        <w:rPr>
          <w:i/>
        </w:rPr>
        <w:t>81</w:t>
      </w:r>
      <w:r w:rsidR="00B73505" w:rsidRPr="009118AB">
        <w:rPr>
          <w:i/>
        </w:rPr>
        <w:t xml:space="preserve"> des G. vom 27. April 2007</w:t>
      </w:r>
      <w:r w:rsidR="00F60EB7" w:rsidRPr="009118AB">
        <w:rPr>
          <w:i/>
        </w:rPr>
        <w:t xml:space="preserve"> (I)</w:t>
      </w:r>
      <w:r w:rsidR="00B73505" w:rsidRPr="009118AB">
        <w:rPr>
          <w:i/>
        </w:rPr>
        <w:t xml:space="preserve"> (B.S. vom 8. Mai 2007)</w:t>
      </w:r>
      <w:r w:rsidR="00D67EB8" w:rsidRPr="009118AB">
        <w:rPr>
          <w:i/>
          <w:iCs/>
        </w:rPr>
        <w:t> - </w:t>
      </w:r>
      <w:r w:rsidR="00B73505" w:rsidRPr="009118AB">
        <w:rPr>
          <w:i/>
          <w:iCs/>
        </w:rPr>
        <w:t>anwendbar ab dem Steuerjahr 2008</w:t>
      </w:r>
      <w:r w:rsidR="00FD68E8" w:rsidRPr="009118AB">
        <w:rPr>
          <w:i/>
          <w:iCs/>
        </w:rPr>
        <w:t> -]</w:t>
      </w:r>
      <w:r w:rsidRPr="009118AB">
        <w:br w:type="page"/>
      </w:r>
      <w:r w:rsidRPr="009118AB">
        <w:lastRenderedPageBreak/>
        <w:tab/>
      </w:r>
      <w:r w:rsidRPr="009118AB">
        <w:rPr>
          <w:i/>
          <w:iCs/>
        </w:rPr>
        <w:t>C.</w:t>
      </w:r>
      <w:r w:rsidRPr="009118AB">
        <w:t> Profite</w:t>
      </w:r>
    </w:p>
    <w:p w14:paraId="09C6E9E3" w14:textId="77777777" w:rsidR="00477B8F" w:rsidRPr="009118AB" w:rsidRDefault="00477B8F" w:rsidP="00477B8F">
      <w:pPr>
        <w:autoSpaceDE w:val="0"/>
        <w:autoSpaceDN w:val="0"/>
        <w:adjustRightInd w:val="0"/>
        <w:jc w:val="both"/>
      </w:pPr>
    </w:p>
    <w:p w14:paraId="2F075766" w14:textId="77777777" w:rsidR="00477B8F" w:rsidRPr="009118AB" w:rsidRDefault="00477B8F" w:rsidP="00477B8F">
      <w:pPr>
        <w:autoSpaceDE w:val="0"/>
        <w:autoSpaceDN w:val="0"/>
        <w:adjustRightInd w:val="0"/>
        <w:jc w:val="both"/>
      </w:pPr>
    </w:p>
    <w:p w14:paraId="47B0A4CB" w14:textId="25420795" w:rsidR="00477B8F" w:rsidRPr="009118AB" w:rsidRDefault="00477B8F" w:rsidP="00477B8F">
      <w:pPr>
        <w:autoSpaceDE w:val="0"/>
        <w:autoSpaceDN w:val="0"/>
        <w:adjustRightInd w:val="0"/>
        <w:jc w:val="both"/>
      </w:pPr>
      <w:r w:rsidRPr="009118AB">
        <w:rPr>
          <w:b/>
          <w:bCs/>
        </w:rPr>
        <w:tab/>
      </w:r>
      <w:r w:rsidR="00D67EB8" w:rsidRPr="009118AB">
        <w:rPr>
          <w:b/>
          <w:bCs/>
        </w:rPr>
        <w:t>Art. </w:t>
      </w:r>
      <w:r w:rsidRPr="009118AB">
        <w:rPr>
          <w:b/>
          <w:bCs/>
        </w:rPr>
        <w:t>27</w:t>
      </w:r>
      <w:r w:rsidR="00D67EB8" w:rsidRPr="009118AB">
        <w:t> - </w:t>
      </w:r>
      <w:r w:rsidRPr="009118AB">
        <w:t>Profite sind alle Einkünfte aus einem freien Beruf, einem Amt oder einem Posten und alle Einkünfte aus einer Erwerbstätigkeit, die nicht als Gewinne oder Entlohnungen gelten.</w:t>
      </w:r>
    </w:p>
    <w:p w14:paraId="5EAED730" w14:textId="77777777" w:rsidR="00477B8F" w:rsidRPr="009118AB" w:rsidRDefault="00477B8F" w:rsidP="00477B8F">
      <w:pPr>
        <w:autoSpaceDE w:val="0"/>
        <w:autoSpaceDN w:val="0"/>
        <w:adjustRightInd w:val="0"/>
        <w:jc w:val="both"/>
      </w:pPr>
    </w:p>
    <w:p w14:paraId="7482254D" w14:textId="77777777" w:rsidR="00477B8F" w:rsidRPr="009118AB" w:rsidRDefault="00477B8F" w:rsidP="00477B8F">
      <w:pPr>
        <w:autoSpaceDE w:val="0"/>
        <w:autoSpaceDN w:val="0"/>
        <w:adjustRightInd w:val="0"/>
        <w:jc w:val="both"/>
      </w:pPr>
      <w:r w:rsidRPr="009118AB">
        <w:tab/>
        <w:t>Sie umfassen:</w:t>
      </w:r>
    </w:p>
    <w:p w14:paraId="3FDDE525" w14:textId="77777777" w:rsidR="00477B8F" w:rsidRPr="009118AB" w:rsidRDefault="00477B8F" w:rsidP="00477B8F">
      <w:pPr>
        <w:autoSpaceDE w:val="0"/>
        <w:autoSpaceDN w:val="0"/>
        <w:adjustRightInd w:val="0"/>
        <w:jc w:val="both"/>
      </w:pPr>
    </w:p>
    <w:p w14:paraId="3EACA51E" w14:textId="21821764" w:rsidR="00477B8F" w:rsidRPr="009118AB" w:rsidRDefault="00477B8F" w:rsidP="00477B8F">
      <w:pPr>
        <w:autoSpaceDE w:val="0"/>
        <w:autoSpaceDN w:val="0"/>
        <w:adjustRightInd w:val="0"/>
        <w:jc w:val="both"/>
      </w:pPr>
      <w:r w:rsidRPr="009118AB">
        <w:tab/>
        <w:t>1. Einnahmen,</w:t>
      </w:r>
    </w:p>
    <w:p w14:paraId="0047403A" w14:textId="77777777" w:rsidR="00477B8F" w:rsidRPr="009118AB" w:rsidRDefault="00477B8F" w:rsidP="00477B8F">
      <w:pPr>
        <w:autoSpaceDE w:val="0"/>
        <w:autoSpaceDN w:val="0"/>
        <w:adjustRightInd w:val="0"/>
        <w:jc w:val="both"/>
      </w:pPr>
    </w:p>
    <w:p w14:paraId="487799C2" w14:textId="77777777" w:rsidR="00477B8F" w:rsidRPr="009118AB" w:rsidRDefault="00477B8F" w:rsidP="00477B8F">
      <w:pPr>
        <w:autoSpaceDE w:val="0"/>
        <w:autoSpaceDN w:val="0"/>
        <w:adjustRightInd w:val="0"/>
        <w:jc w:val="both"/>
      </w:pPr>
      <w:r w:rsidRPr="009118AB">
        <w:tab/>
        <w:t>2. Vorteile jeglicher Art, die aufgrund oder anlässlich der Ausübung der Berufstätigkeit bezogen werden,</w:t>
      </w:r>
    </w:p>
    <w:p w14:paraId="2F527328" w14:textId="77777777" w:rsidR="00477B8F" w:rsidRPr="009118AB" w:rsidRDefault="00477B8F" w:rsidP="00477B8F">
      <w:pPr>
        <w:autoSpaceDE w:val="0"/>
        <w:autoSpaceDN w:val="0"/>
        <w:adjustRightInd w:val="0"/>
        <w:jc w:val="both"/>
      </w:pPr>
    </w:p>
    <w:p w14:paraId="091898EE" w14:textId="77777777" w:rsidR="00477B8F" w:rsidRPr="009118AB" w:rsidRDefault="00477B8F" w:rsidP="00477B8F">
      <w:pPr>
        <w:autoSpaceDE w:val="0"/>
        <w:autoSpaceDN w:val="0"/>
        <w:adjustRightInd w:val="0"/>
        <w:jc w:val="both"/>
      </w:pPr>
      <w:r w:rsidRPr="009118AB">
        <w:tab/>
        <w:t>3. alle Mehrwerte, die auf Aktiva verwirklicht werden, die zur Ausübung der Berufstätigkeit genutzt werden,</w:t>
      </w:r>
    </w:p>
    <w:p w14:paraId="0FAF9C4F" w14:textId="77777777" w:rsidR="00477B8F" w:rsidRPr="009118AB" w:rsidRDefault="00477B8F" w:rsidP="00477B8F">
      <w:pPr>
        <w:autoSpaceDE w:val="0"/>
        <w:autoSpaceDN w:val="0"/>
        <w:adjustRightInd w:val="0"/>
        <w:jc w:val="both"/>
      </w:pPr>
    </w:p>
    <w:p w14:paraId="5F0C3EDD" w14:textId="77777777" w:rsidR="00477B8F" w:rsidRPr="009118AB" w:rsidRDefault="00477B8F" w:rsidP="00477B8F">
      <w:pPr>
        <w:autoSpaceDE w:val="0"/>
        <w:autoSpaceDN w:val="0"/>
        <w:adjustRightInd w:val="0"/>
        <w:jc w:val="both"/>
      </w:pPr>
      <w:r w:rsidRPr="009118AB">
        <w:tab/>
        <w:t>4. Entschädigungen jeglicher Art, die während der Ausübung der Berufstätigkeit bezogen werden:</w:t>
      </w:r>
    </w:p>
    <w:p w14:paraId="73D49F04" w14:textId="77777777" w:rsidR="00477B8F" w:rsidRPr="009118AB" w:rsidRDefault="00477B8F" w:rsidP="00477B8F">
      <w:pPr>
        <w:autoSpaceDE w:val="0"/>
        <w:autoSpaceDN w:val="0"/>
        <w:adjustRightInd w:val="0"/>
        <w:jc w:val="both"/>
      </w:pPr>
    </w:p>
    <w:p w14:paraId="3EE54A86" w14:textId="77777777" w:rsidR="00477B8F" w:rsidRPr="009118AB" w:rsidRDefault="00477B8F" w:rsidP="00477B8F">
      <w:pPr>
        <w:autoSpaceDE w:val="0"/>
        <w:autoSpaceDN w:val="0"/>
        <w:adjustRightInd w:val="0"/>
        <w:jc w:val="both"/>
      </w:pPr>
      <w:r w:rsidRPr="009118AB">
        <w:rPr>
          <w:i/>
          <w:iCs/>
        </w:rPr>
        <w:tab/>
        <w:t>a)</w:t>
      </w:r>
      <w:r w:rsidRPr="009118AB">
        <w:t xml:space="preserve"> als Ausgleich für Handlungen oder anlässlich von Handlungen, die zu einer Verringerung der Berufstätigkeit oder der Profite aus der Berufstätigkeit führen können,</w:t>
      </w:r>
    </w:p>
    <w:p w14:paraId="7D68CA12" w14:textId="77777777" w:rsidR="00477B8F" w:rsidRPr="009118AB" w:rsidRDefault="00477B8F" w:rsidP="00477B8F">
      <w:pPr>
        <w:autoSpaceDE w:val="0"/>
        <w:autoSpaceDN w:val="0"/>
        <w:adjustRightInd w:val="0"/>
        <w:jc w:val="both"/>
      </w:pPr>
    </w:p>
    <w:p w14:paraId="381D1B1C" w14:textId="77777777" w:rsidR="00477B8F" w:rsidRPr="009118AB" w:rsidRDefault="00477B8F" w:rsidP="00477B8F">
      <w:pPr>
        <w:autoSpaceDE w:val="0"/>
        <w:autoSpaceDN w:val="0"/>
        <w:adjustRightInd w:val="0"/>
        <w:jc w:val="both"/>
      </w:pPr>
      <w:r w:rsidRPr="009118AB">
        <w:rPr>
          <w:i/>
          <w:iCs/>
        </w:rPr>
        <w:tab/>
        <w:t>b)</w:t>
      </w:r>
      <w:r w:rsidRPr="009118AB">
        <w:t xml:space="preserve"> als vollständige Entschädigung oder Teilentschädigung für einen zeitweiligen Profitausfall,</w:t>
      </w:r>
    </w:p>
    <w:p w14:paraId="4FA5E3B4" w14:textId="77777777" w:rsidR="00477B8F" w:rsidRPr="009118AB" w:rsidRDefault="00477B8F" w:rsidP="00477B8F">
      <w:pPr>
        <w:autoSpaceDE w:val="0"/>
        <w:autoSpaceDN w:val="0"/>
        <w:adjustRightInd w:val="0"/>
        <w:jc w:val="both"/>
      </w:pPr>
    </w:p>
    <w:p w14:paraId="2A1D44C3" w14:textId="77777777" w:rsidR="00477B8F" w:rsidRPr="009118AB" w:rsidRDefault="00477B8F" w:rsidP="00477B8F">
      <w:pPr>
        <w:autoSpaceDE w:val="0"/>
        <w:autoSpaceDN w:val="0"/>
        <w:adjustRightInd w:val="0"/>
        <w:jc w:val="both"/>
      </w:pPr>
      <w:r w:rsidRPr="009118AB">
        <w:tab/>
        <w:t>[5. [Entschädigungen zugunsten der Mitglieder der Abgeordnetenkammer, des Senats, [der Gemeinschafts- und Regionalparlamente] und des Europäischen Parlaments und Entschädigungen für die Ausübung besonderer Funktionen in diesen Versammlungen, mit Ausnahme von Unkostenerstattungen, die von der Abgeordnetenkammer, dem Senat, [den Gemeinschafts- und Regionalparlamenten] und dem Europäischen Parlament geleistet werden,]]</w:t>
      </w:r>
    </w:p>
    <w:p w14:paraId="3FE3B48C" w14:textId="77777777" w:rsidR="00477B8F" w:rsidRPr="009118AB" w:rsidRDefault="00477B8F" w:rsidP="00477B8F">
      <w:pPr>
        <w:autoSpaceDE w:val="0"/>
        <w:autoSpaceDN w:val="0"/>
        <w:adjustRightInd w:val="0"/>
        <w:jc w:val="both"/>
      </w:pPr>
    </w:p>
    <w:p w14:paraId="1D92322F" w14:textId="27B3687F" w:rsidR="00477B8F" w:rsidRPr="009118AB" w:rsidRDefault="00477B8F" w:rsidP="00477B8F">
      <w:pPr>
        <w:autoSpaceDE w:val="0"/>
        <w:autoSpaceDN w:val="0"/>
        <w:adjustRightInd w:val="0"/>
        <w:jc w:val="both"/>
      </w:pPr>
      <w:r w:rsidRPr="009118AB">
        <w:tab/>
        <w:t>[6. Entschädigungen zugunsten de</w:t>
      </w:r>
      <w:r w:rsidR="00BC69ED" w:rsidRPr="009118AB">
        <w:t>r Mitglieder der Provinzialräte,</w:t>
      </w:r>
      <w:r w:rsidRPr="009118AB">
        <w:t>]</w:t>
      </w:r>
    </w:p>
    <w:p w14:paraId="28BCA089" w14:textId="67677DC9" w:rsidR="00BC69ED" w:rsidRPr="009118AB" w:rsidRDefault="00BC69ED" w:rsidP="00477B8F">
      <w:pPr>
        <w:autoSpaceDE w:val="0"/>
        <w:autoSpaceDN w:val="0"/>
        <w:adjustRightInd w:val="0"/>
        <w:jc w:val="both"/>
      </w:pPr>
    </w:p>
    <w:p w14:paraId="085175F1" w14:textId="26452A69" w:rsidR="00BC69ED" w:rsidRPr="009118AB" w:rsidRDefault="00BC69ED" w:rsidP="00477B8F">
      <w:pPr>
        <w:autoSpaceDE w:val="0"/>
        <w:autoSpaceDN w:val="0"/>
        <w:adjustRightInd w:val="0"/>
        <w:jc w:val="both"/>
      </w:pPr>
      <w:r w:rsidRPr="009118AB">
        <w:tab/>
        <w:t>[7. für das Steuerjahr 2021: einen Betrag, der der gemäß Artikel 67</w:t>
      </w:r>
      <w:r w:rsidRPr="009118AB">
        <w:rPr>
          <w:i/>
          <w:iCs/>
        </w:rPr>
        <w:t>sexies</w:t>
      </w:r>
      <w:r w:rsidRPr="009118AB">
        <w:t xml:space="preserve"> für das Steuerjahr 2020 beantragten Steuerbefreiung entspricht</w:t>
      </w:r>
      <w:r w:rsidR="000277AF" w:rsidRPr="009118AB">
        <w:t>.</w:t>
      </w:r>
      <w:r w:rsidRPr="009118AB">
        <w:t>]</w:t>
      </w:r>
    </w:p>
    <w:p w14:paraId="0C9BE7F4" w14:textId="77777777" w:rsidR="00477B8F" w:rsidRPr="009118AB" w:rsidRDefault="00477B8F" w:rsidP="00477B8F">
      <w:pPr>
        <w:autoSpaceDE w:val="0"/>
        <w:autoSpaceDN w:val="0"/>
        <w:adjustRightInd w:val="0"/>
        <w:jc w:val="both"/>
      </w:pPr>
    </w:p>
    <w:p w14:paraId="541E3BEE" w14:textId="225197B1" w:rsidR="00477B8F" w:rsidRPr="009118AB" w:rsidRDefault="00477B8F" w:rsidP="00477B8F">
      <w:pPr>
        <w:autoSpaceDE w:val="0"/>
        <w:autoSpaceDN w:val="0"/>
        <w:adjustRightInd w:val="0"/>
        <w:jc w:val="both"/>
      </w:pPr>
      <w:r w:rsidRPr="009118AB">
        <w:tab/>
        <w:t xml:space="preserve">Mehrwerte auf die in Artikel 66 erwähnten Fahrzeuge </w:t>
      </w:r>
      <w:r w:rsidR="00881904" w:rsidRPr="009118AB">
        <w:t>[werden nur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berücksichtigt]</w:t>
      </w:r>
      <w:r w:rsidRPr="009118AB">
        <w:t>.</w:t>
      </w:r>
    </w:p>
    <w:p w14:paraId="26EDED75" w14:textId="77777777" w:rsidR="00477B8F" w:rsidRPr="009118AB" w:rsidRDefault="00477B8F" w:rsidP="00477B8F">
      <w:pPr>
        <w:autoSpaceDE w:val="0"/>
        <w:autoSpaceDN w:val="0"/>
        <w:adjustRightInd w:val="0"/>
        <w:jc w:val="both"/>
      </w:pPr>
    </w:p>
    <w:p w14:paraId="10BB6CBC" w14:textId="77777777" w:rsidR="00477B8F" w:rsidRPr="009118AB" w:rsidRDefault="00477B8F" w:rsidP="00477B8F">
      <w:pPr>
        <w:autoSpaceDE w:val="0"/>
        <w:autoSpaceDN w:val="0"/>
        <w:adjustRightInd w:val="0"/>
        <w:jc w:val="both"/>
      </w:pPr>
      <w:r w:rsidRPr="009118AB">
        <w:tab/>
        <w:t>[Als verwirklicht gelten Mehrwerte, die anlässlich der Umwandlung von Wertpapieren in Anteile von gemeinsamen Investmentfonds festgestellt werden.]</w:t>
      </w:r>
    </w:p>
    <w:p w14:paraId="014729DD" w14:textId="77777777" w:rsidR="00477B8F" w:rsidRPr="009118AB" w:rsidRDefault="00477B8F" w:rsidP="00477B8F">
      <w:pPr>
        <w:autoSpaceDE w:val="0"/>
        <w:autoSpaceDN w:val="0"/>
        <w:adjustRightInd w:val="0"/>
        <w:jc w:val="both"/>
        <w:rPr>
          <w:i/>
          <w:iCs/>
        </w:rPr>
      </w:pPr>
    </w:p>
    <w:p w14:paraId="221DB44A" w14:textId="4ACDBDE8" w:rsidR="00477B8F" w:rsidRPr="009118AB" w:rsidRDefault="002F6060"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27 </w:t>
      </w:r>
      <w:r w:rsidR="00D67EB8" w:rsidRPr="009118AB">
        <w:rPr>
          <w:i/>
          <w:iCs/>
        </w:rPr>
        <w:t>Abs. </w:t>
      </w:r>
      <w:r w:rsidRPr="009118AB">
        <w:rPr>
          <w:i/>
          <w:iCs/>
        </w:rPr>
        <w:t xml:space="preserve">2 </w:t>
      </w:r>
      <w:r w:rsidR="00D67EB8" w:rsidRPr="009118AB">
        <w:rPr>
          <w:i/>
          <w:iCs/>
        </w:rPr>
        <w:t>Nr. </w:t>
      </w:r>
      <w:r w:rsidRPr="009118AB">
        <w:rPr>
          <w:i/>
          <w:iCs/>
        </w:rPr>
        <w:t xml:space="preserve">5 eingefügt durch </w:t>
      </w:r>
      <w:r w:rsidR="00D67EB8" w:rsidRPr="009118AB">
        <w:rPr>
          <w:i/>
          <w:iCs/>
        </w:rPr>
        <w:t>Art. </w:t>
      </w:r>
      <w:r w:rsidRPr="009118AB">
        <w:rPr>
          <w:i/>
          <w:iCs/>
        </w:rPr>
        <w:t>1 des G. vom 7. April 1995 (B.S. vom 16. Juni 1995)</w:t>
      </w:r>
      <w:r w:rsidR="00D67EB8" w:rsidRPr="009118AB">
        <w:rPr>
          <w:i/>
          <w:iCs/>
        </w:rPr>
        <w:t> - </w:t>
      </w:r>
      <w:r w:rsidRPr="009118AB">
        <w:rPr>
          <w:i/>
          <w:iCs/>
        </w:rPr>
        <w:t>in Kraft ab dem 1. Januar 1996</w:t>
      </w:r>
      <w:r w:rsidR="00FD68E8" w:rsidRPr="009118AB">
        <w:rPr>
          <w:i/>
          <w:iCs/>
        </w:rPr>
        <w:t> -,</w:t>
      </w:r>
      <w:r w:rsidRPr="009118AB">
        <w:rPr>
          <w:i/>
          <w:iCs/>
        </w:rPr>
        <w:t xml:space="preserve"> ersetzt durch </w:t>
      </w:r>
      <w:r w:rsidR="00D67EB8" w:rsidRPr="009118AB">
        <w:rPr>
          <w:i/>
          <w:iCs/>
        </w:rPr>
        <w:t>Art. </w:t>
      </w:r>
      <w:r w:rsidRPr="009118AB">
        <w:rPr>
          <w:i/>
          <w:iCs/>
        </w:rPr>
        <w:t xml:space="preserve">2 </w:t>
      </w:r>
      <w:r w:rsidR="00D67EB8" w:rsidRPr="009118AB">
        <w:rPr>
          <w:i/>
          <w:iCs/>
        </w:rPr>
        <w:t>Nr. </w:t>
      </w:r>
      <w:r w:rsidRPr="009118AB">
        <w:rPr>
          <w:i/>
          <w:iCs/>
        </w:rPr>
        <w:t>1 des G. vom 7. März 2002 (B.S. vom 19. März 2002)</w:t>
      </w:r>
      <w:r w:rsidR="00D67EB8" w:rsidRPr="009118AB">
        <w:rPr>
          <w:i/>
          <w:iCs/>
        </w:rPr>
        <w:t> - </w:t>
      </w:r>
      <w:r w:rsidRPr="009118AB">
        <w:rPr>
          <w:i/>
          <w:iCs/>
        </w:rPr>
        <w:t>in Kraft ab dem 20. Oktober 2000</w:t>
      </w:r>
      <w:r w:rsidR="00D67EB8" w:rsidRPr="009118AB">
        <w:rPr>
          <w:i/>
          <w:iCs/>
        </w:rPr>
        <w:t> - </w:t>
      </w:r>
      <w:r w:rsidRPr="009118AB">
        <w:rPr>
          <w:i/>
          <w:iCs/>
        </w:rPr>
        <w:t xml:space="preserve">und abgeändert </w:t>
      </w:r>
      <w:r w:rsidRPr="009118AB">
        <w:rPr>
          <w:i/>
          <w:iCs/>
        </w:rPr>
        <w:lastRenderedPageBreak/>
        <w:t xml:space="preserve">durch </w:t>
      </w:r>
      <w:r w:rsidR="00D67EB8" w:rsidRPr="009118AB">
        <w:rPr>
          <w:i/>
          <w:iCs/>
        </w:rPr>
        <w:t>Art. </w:t>
      </w:r>
      <w:r w:rsidRPr="009118AB">
        <w:rPr>
          <w:i/>
          <w:iCs/>
        </w:rPr>
        <w:t xml:space="preserve">129 </w:t>
      </w:r>
      <w:r w:rsidRPr="009118AB">
        <w:rPr>
          <w:rFonts w:ascii="Times New Roman Italique" w:hAnsi="Times New Roman Italique"/>
          <w:i/>
          <w:iCs/>
          <w:spacing w:val="-2"/>
        </w:rPr>
        <w:t xml:space="preserve">des G. (III) vom 1. März 2007 (B.S. vom 14. März 2007);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6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7. März 2002 (B.S. vom 19. März 2002)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20. Oktober 2000</w:t>
      </w:r>
      <w:r w:rsidR="003366D9" w:rsidRPr="009118AB">
        <w:rPr>
          <w:rFonts w:ascii="Times New Roman Italique" w:hAnsi="Times New Roman Italique"/>
          <w:i/>
          <w:iCs/>
          <w:spacing w:val="-2"/>
        </w:rPr>
        <w:t> -;</w:t>
      </w:r>
      <w:r w:rsidRPr="009118AB">
        <w:rPr>
          <w:i/>
          <w:iCs/>
        </w:rPr>
        <w:t xml:space="preserve"> </w:t>
      </w:r>
      <w:r w:rsidR="00D67EB8" w:rsidRPr="009118AB">
        <w:rPr>
          <w:i/>
          <w:iCs/>
        </w:rPr>
        <w:t>Abs. </w:t>
      </w:r>
      <w:r w:rsidR="00BC69ED" w:rsidRPr="009118AB">
        <w:rPr>
          <w:i/>
          <w:iCs/>
        </w:rPr>
        <w:t xml:space="preserve">2 </w:t>
      </w:r>
      <w:r w:rsidR="00D67EB8" w:rsidRPr="009118AB">
        <w:rPr>
          <w:i/>
          <w:iCs/>
        </w:rPr>
        <w:t>Nr. </w:t>
      </w:r>
      <w:r w:rsidR="00BC69ED" w:rsidRPr="009118AB">
        <w:rPr>
          <w:i/>
          <w:iCs/>
        </w:rPr>
        <w:t xml:space="preserve">7 eingefügt durch </w:t>
      </w:r>
      <w:r w:rsidR="00D67EB8" w:rsidRPr="009118AB">
        <w:rPr>
          <w:i/>
          <w:iCs/>
        </w:rPr>
        <w:t>Art. </w:t>
      </w:r>
      <w:r w:rsidR="00BC69ED" w:rsidRPr="009118AB">
        <w:rPr>
          <w:i/>
          <w:iCs/>
        </w:rPr>
        <w:t xml:space="preserve">4 des G. vom 23. Juni 2020 (B.S. vom 1. Juli 2020); </w:t>
      </w:r>
      <w:r w:rsidR="00D67EB8" w:rsidRPr="009118AB">
        <w:rPr>
          <w:i/>
          <w:iCs/>
        </w:rPr>
        <w:t>Abs. </w:t>
      </w:r>
      <w:r w:rsidRPr="009118AB">
        <w:rPr>
          <w:i/>
          <w:iCs/>
        </w:rPr>
        <w:t xml:space="preserve">3 abgeändert durch </w:t>
      </w:r>
      <w:r w:rsidR="00D67EB8" w:rsidRPr="009118AB">
        <w:rPr>
          <w:i/>
          <w:iCs/>
        </w:rPr>
        <w:t>Art. </w:t>
      </w:r>
      <w:r w:rsidRPr="009118AB">
        <w:rPr>
          <w:i/>
          <w:iCs/>
        </w:rPr>
        <w:t xml:space="preserve">6 </w:t>
      </w:r>
      <w:r w:rsidR="00D67EB8" w:rsidRPr="009118AB">
        <w:rPr>
          <w:i/>
          <w:iCs/>
        </w:rPr>
        <w:t>Nr. </w:t>
      </w:r>
      <w:r w:rsidRPr="009118AB">
        <w:rPr>
          <w:i/>
          <w:iCs/>
        </w:rPr>
        <w:t>1 des G. vom 25. Dezember 2017 (III) (B.S. vom 29. Dezember</w:t>
      </w:r>
      <w:r w:rsidR="00BC69ED" w:rsidRPr="009118AB">
        <w:rPr>
          <w:i/>
          <w:iCs/>
        </w:rPr>
        <w:t> </w:t>
      </w:r>
      <w:r w:rsidRPr="009118AB">
        <w:rPr>
          <w:i/>
          <w:iCs/>
        </w:rPr>
        <w:t>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r w:rsidRPr="009118AB">
        <w:rPr>
          <w:i/>
          <w:iCs/>
        </w:rPr>
        <w:t xml:space="preserve"> </w:t>
      </w:r>
      <w:r w:rsidR="00D67EB8" w:rsidRPr="009118AB">
        <w:rPr>
          <w:i/>
          <w:iCs/>
        </w:rPr>
        <w:t>Art. </w:t>
      </w:r>
      <w:r w:rsidRPr="009118AB">
        <w:rPr>
          <w:i/>
          <w:iCs/>
        </w:rPr>
        <w:t xml:space="preserve">6 </w:t>
      </w:r>
      <w:r w:rsidR="00D67EB8" w:rsidRPr="009118AB">
        <w:rPr>
          <w:i/>
          <w:iCs/>
        </w:rPr>
        <w:t>Nr. </w:t>
      </w:r>
      <w:r w:rsidRPr="009118AB">
        <w:rPr>
          <w:i/>
          <w:iCs/>
        </w:rPr>
        <w:t xml:space="preserve">2 des G. vom 25. Dezember 2017 (III) (B.S. vom 29. </w:t>
      </w:r>
      <w:r w:rsidR="00F3662B" w:rsidRPr="009118AB">
        <w:rPr>
          <w:i/>
          <w:iCs/>
        </w:rPr>
        <w:t>Dezember 2017)</w:t>
      </w:r>
      <w:r w:rsidR="00D67EB8" w:rsidRPr="009118AB">
        <w:rPr>
          <w:i/>
          <w:iCs/>
        </w:rPr>
        <w:t> - </w:t>
      </w:r>
      <w:r w:rsidR="00F3662B" w:rsidRPr="009118AB">
        <w:rPr>
          <w:i/>
          <w:iCs/>
        </w:rPr>
        <w:t>in Kraft am 1. </w:t>
      </w:r>
      <w:r w:rsidRPr="009118AB">
        <w:rPr>
          <w:i/>
          <w:iCs/>
        </w:rPr>
        <w:t>Januar</w:t>
      </w:r>
      <w:r w:rsidR="00F3662B" w:rsidRPr="009118AB">
        <w:rPr>
          <w:i/>
          <w:iCs/>
        </w:rPr>
        <w:t> </w:t>
      </w:r>
      <w:r w:rsidRPr="009118AB">
        <w:rPr>
          <w:i/>
          <w:iCs/>
        </w:rPr>
        <w:t>2020 und anwendbar ab dem Steuerjahr 2021, das sich auf einen Besteuerungszeitraum bezieht, der frühestens am 1. Januar 2020 beginnt</w:t>
      </w:r>
      <w:r w:rsidR="00FD68E8" w:rsidRPr="009118AB">
        <w:rPr>
          <w:i/>
          <w:iCs/>
        </w:rPr>
        <w:t> -,</w:t>
      </w:r>
      <w:r w:rsidRPr="009118AB">
        <w:rPr>
          <w:i/>
          <w:iCs/>
        </w:rPr>
        <w:t xml:space="preserve"> selbst widerrufen durch </w:t>
      </w:r>
      <w:r w:rsidR="00D67EB8" w:rsidRPr="009118AB">
        <w:rPr>
          <w:i/>
          <w:iCs/>
        </w:rPr>
        <w:t>Art. </w:t>
      </w:r>
      <w:r w:rsidRPr="009118AB">
        <w:rPr>
          <w:i/>
          <w:iCs/>
        </w:rPr>
        <w:t>41 des G. vom 2. Mai 2019 (III) (B.S. vom 1</w:t>
      </w:r>
      <w:r w:rsidR="00D13E50" w:rsidRPr="009118AB">
        <w:rPr>
          <w:i/>
          <w:iCs/>
        </w:rPr>
        <w:t>5</w:t>
      </w:r>
      <w:r w:rsidRPr="009118AB">
        <w:rPr>
          <w:i/>
          <w:iCs/>
        </w:rPr>
        <w:t xml:space="preserve">. Mai 2019), und </w:t>
      </w:r>
      <w:r w:rsidR="00D13E50" w:rsidRPr="009118AB">
        <w:rPr>
          <w:i/>
          <w:iCs/>
        </w:rPr>
        <w:t xml:space="preserve">durch </w:t>
      </w:r>
      <w:r w:rsidR="00D67EB8" w:rsidRPr="009118AB">
        <w:rPr>
          <w:i/>
          <w:iCs/>
        </w:rPr>
        <w:t>Art. </w:t>
      </w:r>
      <w:r w:rsidRPr="009118AB">
        <w:rPr>
          <w:i/>
          <w:iCs/>
        </w:rPr>
        <w:t>3 des G. vom 2. Mai 2019 (III) (B.S. vom 17. Mai 2019)</w:t>
      </w:r>
      <w:r w:rsidR="00D67EB8" w:rsidRPr="009118AB">
        <w:rPr>
          <w:i/>
          <w:iCs/>
        </w:rPr>
        <w:t> - </w:t>
      </w:r>
      <w:r w:rsidRPr="009118AB">
        <w:rPr>
          <w:i/>
          <w:iCs/>
        </w:rPr>
        <w:t>anwen</w:t>
      </w:r>
      <w:r w:rsidR="0017643F" w:rsidRPr="009118AB">
        <w:rPr>
          <w:i/>
          <w:iCs/>
        </w:rPr>
        <w:t>d</w:t>
      </w:r>
      <w:r w:rsidRPr="009118AB">
        <w:rPr>
          <w:i/>
          <w:iCs/>
        </w:rPr>
        <w:t>bar ab dem Steuerjahr 2019, das sich auf einen Besteuerungszeitraum bezieht, der frühestens am 1. Januar 2018 beginnt</w:t>
      </w:r>
      <w:r w:rsidR="003366D9" w:rsidRPr="009118AB">
        <w:rPr>
          <w:i/>
          <w:iCs/>
        </w:rPr>
        <w:t> -;</w:t>
      </w:r>
      <w:r w:rsidRPr="009118AB">
        <w:rPr>
          <w:i/>
          <w:iCs/>
        </w:rPr>
        <w:t xml:space="preserve"> </w:t>
      </w:r>
      <w:r w:rsidR="00D67EB8" w:rsidRPr="009118AB">
        <w:rPr>
          <w:i/>
          <w:iCs/>
        </w:rPr>
        <w:t>Abs. </w:t>
      </w:r>
      <w:r w:rsidRPr="009118AB">
        <w:rPr>
          <w:i/>
          <w:iCs/>
        </w:rPr>
        <w:t xml:space="preserve">4 eingefügt durch </w:t>
      </w:r>
      <w:r w:rsidR="00D67EB8" w:rsidRPr="009118AB">
        <w:rPr>
          <w:i/>
          <w:iCs/>
        </w:rPr>
        <w:t>Art. </w:t>
      </w:r>
      <w:r w:rsidRPr="009118AB">
        <w:rPr>
          <w:i/>
          <w:iCs/>
        </w:rPr>
        <w:t>316 des G. (I) vom 27. Dezember 2006 (II) (B.S. vom 28. Dezember 2006)</w:t>
      </w:r>
      <w:r w:rsidR="00D67EB8" w:rsidRPr="009118AB">
        <w:rPr>
          <w:i/>
          <w:iCs/>
        </w:rPr>
        <w:t> - </w:t>
      </w:r>
      <w:r w:rsidRPr="009118AB">
        <w:rPr>
          <w:i/>
          <w:iCs/>
        </w:rPr>
        <w:t>in Kraft ab dem 1. Januar 2007</w:t>
      </w:r>
      <w:r w:rsidR="00FD68E8" w:rsidRPr="009118AB">
        <w:rPr>
          <w:i/>
          <w:iCs/>
        </w:rPr>
        <w:t> -]</w:t>
      </w:r>
    </w:p>
    <w:p w14:paraId="689A4CC7" w14:textId="77777777" w:rsidR="00A71994" w:rsidRPr="009118AB" w:rsidRDefault="00A71994" w:rsidP="00A71994">
      <w:pPr>
        <w:autoSpaceDE w:val="0"/>
        <w:autoSpaceDN w:val="0"/>
        <w:adjustRightInd w:val="0"/>
        <w:jc w:val="both"/>
        <w:rPr>
          <w:sz w:val="20"/>
          <w:szCs w:val="20"/>
        </w:rPr>
      </w:pPr>
    </w:p>
    <w:p w14:paraId="02806818" w14:textId="77777777" w:rsidR="00A71994" w:rsidRPr="009118AB" w:rsidRDefault="00A71994" w:rsidP="00A71994">
      <w:pPr>
        <w:autoSpaceDE w:val="0"/>
        <w:autoSpaceDN w:val="0"/>
        <w:adjustRightInd w:val="0"/>
        <w:jc w:val="both"/>
        <w:rPr>
          <w:sz w:val="20"/>
          <w:szCs w:val="20"/>
        </w:rPr>
      </w:pPr>
    </w:p>
    <w:p w14:paraId="512798DD" w14:textId="2C4ABA25" w:rsidR="00BC69ED" w:rsidRPr="009118AB" w:rsidRDefault="00BC69ED" w:rsidP="00BC69ED">
      <w:pPr>
        <w:ind w:firstLine="708"/>
        <w:jc w:val="both"/>
      </w:pPr>
      <w:r w:rsidRPr="009118AB">
        <w:tab/>
        <w:t>[</w:t>
      </w:r>
      <w:r w:rsidR="00D67EB8" w:rsidRPr="009118AB">
        <w:rPr>
          <w:b/>
        </w:rPr>
        <w:t>Art. </w:t>
      </w:r>
      <w:r w:rsidRPr="009118AB">
        <w:rPr>
          <w:b/>
        </w:rPr>
        <w:t>27/1</w:t>
      </w:r>
      <w:r w:rsidR="00D67EB8" w:rsidRPr="009118AB">
        <w:t> - </w:t>
      </w:r>
      <w:r w:rsidRPr="009118AB">
        <w:t xml:space="preserve">Wenn der Betrag der Profite für den an das Steuerjahr 2021 gebundenen Besteuerungszeitraum das in Artikel 27 Absatz 2 </w:t>
      </w:r>
      <w:r w:rsidR="00D67EB8" w:rsidRPr="009118AB">
        <w:t>Nr. </w:t>
      </w:r>
      <w:r w:rsidRPr="009118AB">
        <w:t>7 erwähnte Einkommen umfasst und der Betrag der Profite nach Abzug der Werbungskosten positiv ist, wird die Gesamtsteuer für diesen Besteuerungszeitraum um den Betrag erhöht, der sich ergibt, indem der gemäß Absatz 3 bestimmte Satz auf die gemäß Absatz 2 bestimmte Grundlage angewandt wird.</w:t>
      </w:r>
    </w:p>
    <w:p w14:paraId="772028C7" w14:textId="77777777" w:rsidR="00BC69ED" w:rsidRPr="009118AB" w:rsidRDefault="00BC69ED" w:rsidP="00BC69ED">
      <w:pPr>
        <w:jc w:val="both"/>
      </w:pPr>
    </w:p>
    <w:p w14:paraId="27C959F9" w14:textId="24069B8E" w:rsidR="00BC69ED" w:rsidRPr="009118AB" w:rsidRDefault="00BC69ED" w:rsidP="00BC69ED">
      <w:pPr>
        <w:ind w:firstLine="708"/>
        <w:jc w:val="both"/>
      </w:pPr>
      <w:r w:rsidRPr="009118AB">
        <w:t xml:space="preserve">Die Erhöhung wird auf der Grundlage des Betrags der Profite nach Abzug der Werbungskosten berechnet, verringert um 10 Prozent der Plusdifferenz zwischen dem in Artikel 27 Absatz 2 </w:t>
      </w:r>
      <w:r w:rsidR="00D67EB8" w:rsidRPr="009118AB">
        <w:t>Nr. </w:t>
      </w:r>
      <w:r w:rsidRPr="009118AB">
        <w:t xml:space="preserve">7 erwähnten Einkommen und dem Betrag der Profite nach Abzug der Werbungskosten. Der so bestimmte Betrag kann das in Artikel 27 Absatz 2 </w:t>
      </w:r>
      <w:r w:rsidR="00D67EB8" w:rsidRPr="009118AB">
        <w:t>Nr. </w:t>
      </w:r>
      <w:r w:rsidRPr="009118AB">
        <w:t>7 erwähnte Einkommen nicht übersteigen.</w:t>
      </w:r>
    </w:p>
    <w:p w14:paraId="728D6CB6" w14:textId="77777777" w:rsidR="00BC69ED" w:rsidRPr="009118AB" w:rsidRDefault="00BC69ED" w:rsidP="00BC69ED">
      <w:pPr>
        <w:jc w:val="both"/>
      </w:pPr>
    </w:p>
    <w:p w14:paraId="09066DFA" w14:textId="4A77C97D" w:rsidR="00BC69ED" w:rsidRPr="009118AB" w:rsidRDefault="00BC69ED" w:rsidP="00BC69ED">
      <w:pPr>
        <w:ind w:firstLine="708"/>
        <w:jc w:val="both"/>
      </w:pPr>
      <w:r w:rsidRPr="009118AB">
        <w:t xml:space="preserve">Der in Absatz 1 erwähnte Satz entspricht 9 Prozent, multipliziert mit einem Bruch, dessen Zähler dem in Absatz 1 erwähnten positiven Betrag und dessen Nenner dem in Artikel 27 Absatz 2 </w:t>
      </w:r>
      <w:r w:rsidR="00D67EB8" w:rsidRPr="009118AB">
        <w:t>Nr. </w:t>
      </w:r>
      <w:r w:rsidRPr="009118AB">
        <w:t xml:space="preserve">7 erwähnten Einkommen, verringert um den in Absatz 1 erwähnten positiven Betrag, entspricht. Der Bruch kann nicht mehr als 2 betragen und beläuft sich auf 2, wenn das in Artikel 27 Absatz 2 </w:t>
      </w:r>
      <w:r w:rsidR="00D67EB8" w:rsidRPr="009118AB">
        <w:t>Nr. </w:t>
      </w:r>
      <w:r w:rsidRPr="009118AB">
        <w:t>7 erwähnte Einkommen dem in Absatz 1 erwähnten positiven Betrag entspricht oder darunterliegt. Der so bestimmte Satz wird auf die höhere oder niedrigere zweite Dezimalstelle abgerundet, je nachdem ob die Ziffer der dritten Dezimalstelle 5 erreicht oder nicht.]</w:t>
      </w:r>
    </w:p>
    <w:p w14:paraId="15711387" w14:textId="77777777" w:rsidR="00BC69ED" w:rsidRPr="009118AB" w:rsidRDefault="00BC69ED" w:rsidP="00BC69ED">
      <w:pPr>
        <w:ind w:firstLine="708"/>
        <w:jc w:val="both"/>
      </w:pPr>
    </w:p>
    <w:p w14:paraId="7D1546AF" w14:textId="792CF2B6" w:rsidR="002F6060" w:rsidRPr="009118AB" w:rsidRDefault="00BC69ED" w:rsidP="00BC69ED">
      <w:pPr>
        <w:jc w:val="both"/>
      </w:pPr>
      <w:r w:rsidRPr="009118AB">
        <w:rPr>
          <w:i/>
        </w:rPr>
        <w:t>[</w:t>
      </w:r>
      <w:r w:rsidR="00D67EB8" w:rsidRPr="009118AB">
        <w:rPr>
          <w:i/>
        </w:rPr>
        <w:t>Art. </w:t>
      </w:r>
      <w:r w:rsidRPr="009118AB">
        <w:rPr>
          <w:i/>
        </w:rPr>
        <w:t xml:space="preserve">27/1 eingefügt durch </w:t>
      </w:r>
      <w:r w:rsidR="00D67EB8" w:rsidRPr="009118AB">
        <w:rPr>
          <w:i/>
        </w:rPr>
        <w:t>Art. </w:t>
      </w:r>
      <w:r w:rsidRPr="009118AB">
        <w:rPr>
          <w:i/>
        </w:rPr>
        <w:t>5</w:t>
      </w:r>
      <w:r w:rsidRPr="009118AB">
        <w:rPr>
          <w:i/>
          <w:iCs/>
        </w:rPr>
        <w:t xml:space="preserve"> des G. vom 23. Juni 2020 (B.S. vom 1. Juli 2020)]</w:t>
      </w:r>
      <w:r w:rsidR="002F6060" w:rsidRPr="009118AB">
        <w:br w:type="page"/>
      </w:r>
    </w:p>
    <w:p w14:paraId="2BF4A95B" w14:textId="70D38153" w:rsidR="00477B8F" w:rsidRPr="009118AB" w:rsidRDefault="00477B8F" w:rsidP="00A71994">
      <w:pPr>
        <w:autoSpaceDE w:val="0"/>
        <w:autoSpaceDN w:val="0"/>
        <w:adjustRightInd w:val="0"/>
        <w:jc w:val="both"/>
      </w:pPr>
      <w:r w:rsidRPr="009118AB">
        <w:lastRenderedPageBreak/>
        <w:tab/>
      </w:r>
      <w:r w:rsidRPr="009118AB">
        <w:rPr>
          <w:i/>
          <w:iCs/>
        </w:rPr>
        <w:t xml:space="preserve">D. </w:t>
      </w:r>
      <w:r w:rsidRPr="009118AB">
        <w:t>Gewinne und Profite aus einer vorherigen Berufstätigkeit</w:t>
      </w:r>
    </w:p>
    <w:p w14:paraId="6411D382" w14:textId="77777777" w:rsidR="00477B8F" w:rsidRPr="009118AB" w:rsidRDefault="00477B8F" w:rsidP="00CC0127">
      <w:pPr>
        <w:autoSpaceDE w:val="0"/>
        <w:autoSpaceDN w:val="0"/>
        <w:adjustRightInd w:val="0"/>
        <w:jc w:val="both"/>
      </w:pPr>
    </w:p>
    <w:p w14:paraId="1AEC1F0F" w14:textId="77777777" w:rsidR="00477B8F" w:rsidRPr="009118AB" w:rsidRDefault="00477B8F" w:rsidP="00CC0127">
      <w:pPr>
        <w:autoSpaceDE w:val="0"/>
        <w:autoSpaceDN w:val="0"/>
        <w:adjustRightInd w:val="0"/>
        <w:jc w:val="both"/>
      </w:pPr>
    </w:p>
    <w:p w14:paraId="6F704D73" w14:textId="61DC8CAF" w:rsidR="00477B8F" w:rsidRPr="009118AB" w:rsidRDefault="00477B8F" w:rsidP="00CC0127">
      <w:pPr>
        <w:autoSpaceDE w:val="0"/>
        <w:autoSpaceDN w:val="0"/>
        <w:adjustRightInd w:val="0"/>
        <w:jc w:val="both"/>
      </w:pPr>
      <w:r w:rsidRPr="009118AB">
        <w:tab/>
      </w:r>
      <w:r w:rsidR="00D67EB8" w:rsidRPr="009118AB">
        <w:rPr>
          <w:b/>
          <w:bCs/>
        </w:rPr>
        <w:t>Art. </w:t>
      </w:r>
      <w:r w:rsidRPr="009118AB">
        <w:rPr>
          <w:b/>
          <w:bCs/>
        </w:rPr>
        <w:t>28</w:t>
      </w:r>
      <w:r w:rsidR="00D67EB8" w:rsidRPr="009118AB">
        <w:t> - </w:t>
      </w:r>
      <w:r w:rsidRPr="009118AB">
        <w:t>Gewinne und Profite aus einer vorherigen Berufstätigkeit, die der Empfänger oder die Person, deren Rechtsnachfolger der Empfänger ist, ausgeübt hat, sind:</w:t>
      </w:r>
    </w:p>
    <w:p w14:paraId="42582E29" w14:textId="77777777" w:rsidR="00477B8F" w:rsidRPr="009118AB" w:rsidRDefault="00477B8F" w:rsidP="00CC0127">
      <w:pPr>
        <w:autoSpaceDE w:val="0"/>
        <w:autoSpaceDN w:val="0"/>
        <w:adjustRightInd w:val="0"/>
        <w:jc w:val="both"/>
      </w:pPr>
    </w:p>
    <w:p w14:paraId="4BEFBEA0" w14:textId="77777777" w:rsidR="00477B8F" w:rsidRPr="009118AB" w:rsidRDefault="00477B8F" w:rsidP="00CC0127">
      <w:pPr>
        <w:autoSpaceDE w:val="0"/>
        <w:autoSpaceDN w:val="0"/>
        <w:adjustRightInd w:val="0"/>
        <w:jc w:val="both"/>
      </w:pPr>
      <w:r w:rsidRPr="009118AB">
        <w:tab/>
        <w:t>1. Einkünfte, die aufgrund oder anlässlich der vollständigen und definitiven Einstellung des Unternehmens oder der Wahrnehmung eines freien Berufs, eines Amtes, eines Postens oder einer Erwerbstätigkeit bezogen oder festgestellt werden und aus Mehrwerten auf Aktiva stammen, die für die Berufstätigkeit genutzt wurden,</w:t>
      </w:r>
    </w:p>
    <w:p w14:paraId="4770D0E6" w14:textId="77777777" w:rsidR="00477B8F" w:rsidRPr="009118AB" w:rsidRDefault="00477B8F" w:rsidP="00CC0127">
      <w:pPr>
        <w:autoSpaceDE w:val="0"/>
        <w:autoSpaceDN w:val="0"/>
        <w:adjustRightInd w:val="0"/>
        <w:jc w:val="both"/>
      </w:pPr>
    </w:p>
    <w:p w14:paraId="4E0ADA0D" w14:textId="77777777" w:rsidR="00477B8F" w:rsidRPr="009118AB" w:rsidRDefault="00477B8F" w:rsidP="00CC0127">
      <w:pPr>
        <w:autoSpaceDE w:val="0"/>
        <w:autoSpaceDN w:val="0"/>
        <w:adjustRightInd w:val="0"/>
        <w:jc w:val="both"/>
      </w:pPr>
      <w:r w:rsidRPr="009118AB">
        <w:tab/>
        <w:t>2. Einkünfte, die nach der Einstellung bezogen oder festgestellt werden und aus der vorherigen Berufstätigkeit stammen,</w:t>
      </w:r>
    </w:p>
    <w:p w14:paraId="115BFE0A" w14:textId="77777777" w:rsidR="00477B8F" w:rsidRPr="009118AB" w:rsidRDefault="00477B8F" w:rsidP="00CC0127">
      <w:pPr>
        <w:autoSpaceDE w:val="0"/>
        <w:autoSpaceDN w:val="0"/>
        <w:adjustRightInd w:val="0"/>
        <w:jc w:val="both"/>
      </w:pPr>
    </w:p>
    <w:p w14:paraId="112D8CE5" w14:textId="77777777" w:rsidR="00477B8F" w:rsidRPr="009118AB" w:rsidRDefault="00477B8F" w:rsidP="00CC0127">
      <w:pPr>
        <w:autoSpaceDE w:val="0"/>
        <w:autoSpaceDN w:val="0"/>
        <w:adjustRightInd w:val="0"/>
        <w:jc w:val="both"/>
      </w:pPr>
      <w:r w:rsidRPr="009118AB">
        <w:tab/>
        <w:t>3. Entschädigungen jeglicher Art, die nach der Einstellung bezogen werden:</w:t>
      </w:r>
    </w:p>
    <w:p w14:paraId="1B82D6B4" w14:textId="77777777" w:rsidR="00477B8F" w:rsidRPr="009118AB" w:rsidRDefault="00477B8F" w:rsidP="00CC0127">
      <w:pPr>
        <w:autoSpaceDE w:val="0"/>
        <w:autoSpaceDN w:val="0"/>
        <w:adjustRightInd w:val="0"/>
        <w:jc w:val="both"/>
      </w:pPr>
    </w:p>
    <w:p w14:paraId="057382FF" w14:textId="77777777" w:rsidR="00477B8F" w:rsidRPr="009118AB" w:rsidRDefault="00477B8F" w:rsidP="00CC0127">
      <w:pPr>
        <w:autoSpaceDE w:val="0"/>
        <w:autoSpaceDN w:val="0"/>
        <w:adjustRightInd w:val="0"/>
        <w:jc w:val="both"/>
      </w:pPr>
      <w:r w:rsidRPr="009118AB">
        <w:tab/>
      </w:r>
      <w:r w:rsidRPr="009118AB">
        <w:rPr>
          <w:i/>
          <w:iCs/>
        </w:rPr>
        <w:t>a)</w:t>
      </w:r>
      <w:r w:rsidRPr="009118AB">
        <w:t xml:space="preserve"> als Ausgleich für Handlungen oder anlässlich von Handlungen, die zu einer Verringerung der Tätigkeit, der Gewinne oder der Profite geführt haben können</w:t>
      </w:r>
      <w:r w:rsidR="00C35B63" w:rsidRPr="009118AB">
        <w:t xml:space="preserve"> </w:t>
      </w:r>
      <w:r w:rsidRPr="009118AB">
        <w:t>[</w:t>
      </w:r>
      <w:r w:rsidR="00C35B63" w:rsidRPr="009118AB">
        <w:t>…</w:t>
      </w:r>
      <w:r w:rsidRPr="009118AB">
        <w:t>],</w:t>
      </w:r>
    </w:p>
    <w:p w14:paraId="3B752EAE" w14:textId="77777777" w:rsidR="00477B8F" w:rsidRPr="009118AB" w:rsidRDefault="00477B8F" w:rsidP="00CC0127">
      <w:pPr>
        <w:autoSpaceDE w:val="0"/>
        <w:autoSpaceDN w:val="0"/>
        <w:adjustRightInd w:val="0"/>
        <w:jc w:val="both"/>
      </w:pPr>
    </w:p>
    <w:p w14:paraId="198C8BFA" w14:textId="77777777" w:rsidR="00477B8F" w:rsidRPr="009118AB" w:rsidRDefault="00477B8F" w:rsidP="00CC0127">
      <w:pPr>
        <w:autoSpaceDE w:val="0"/>
        <w:autoSpaceDN w:val="0"/>
        <w:adjustRightInd w:val="0"/>
        <w:jc w:val="both"/>
      </w:pPr>
      <w:r w:rsidRPr="009118AB">
        <w:tab/>
      </w:r>
      <w:r w:rsidRPr="009118AB">
        <w:rPr>
          <w:i/>
          <w:iCs/>
        </w:rPr>
        <w:t>b)</w:t>
      </w:r>
      <w:r w:rsidRPr="009118AB">
        <w:t xml:space="preserve"> oder als vollständige Entschädigung oder Teilentschädigung für einen zeitweiligen Gewinn- oder Profitausfall.</w:t>
      </w:r>
    </w:p>
    <w:p w14:paraId="3FE2A33A" w14:textId="77777777" w:rsidR="00477B8F" w:rsidRPr="009118AB" w:rsidRDefault="00477B8F" w:rsidP="00CC0127">
      <w:pPr>
        <w:autoSpaceDE w:val="0"/>
        <w:autoSpaceDN w:val="0"/>
        <w:adjustRightInd w:val="0"/>
        <w:jc w:val="both"/>
      </w:pPr>
    </w:p>
    <w:p w14:paraId="749CC4C1" w14:textId="77777777" w:rsidR="00477B8F" w:rsidRPr="009118AB" w:rsidRDefault="00477B8F" w:rsidP="00CC0127">
      <w:pPr>
        <w:autoSpaceDE w:val="0"/>
        <w:autoSpaceDN w:val="0"/>
        <w:adjustRightInd w:val="0"/>
        <w:jc w:val="both"/>
      </w:pPr>
      <w:r w:rsidRPr="009118AB">
        <w:tab/>
        <w:t>Vorliegender Artikel ist ebenfalls anwendbar im Falle einer vollständigen und definitiven Einstellung eines oder mehrerer Teilbetriebe beziehungsweise eines oder mehrerer Teile einer Tätigkeit während der Ausübung der Berufstätigkeit.</w:t>
      </w:r>
    </w:p>
    <w:p w14:paraId="3D351467" w14:textId="77777777" w:rsidR="00477B8F" w:rsidRPr="009118AB" w:rsidRDefault="00477B8F" w:rsidP="00CC0127">
      <w:pPr>
        <w:autoSpaceDE w:val="0"/>
        <w:autoSpaceDN w:val="0"/>
        <w:adjustRightInd w:val="0"/>
        <w:jc w:val="both"/>
      </w:pPr>
    </w:p>
    <w:p w14:paraId="385C89A9" w14:textId="44B72F34" w:rsidR="00477B8F" w:rsidRPr="009118AB" w:rsidRDefault="00477B8F" w:rsidP="00CC0127">
      <w:pPr>
        <w:autoSpaceDE w:val="0"/>
        <w:autoSpaceDN w:val="0"/>
        <w:adjustRightInd w:val="0"/>
        <w:jc w:val="both"/>
        <w:rPr>
          <w:i/>
          <w:iCs/>
        </w:rPr>
      </w:pPr>
      <w:r w:rsidRPr="009118AB">
        <w:rPr>
          <w:i/>
          <w:iCs/>
        </w:rPr>
        <w:t>[</w:t>
      </w:r>
      <w:r w:rsidR="00D67EB8" w:rsidRPr="009118AB">
        <w:rPr>
          <w:i/>
          <w:iCs/>
        </w:rPr>
        <w:t>Art. </w:t>
      </w:r>
      <w:r w:rsidRPr="009118AB">
        <w:rPr>
          <w:i/>
          <w:iCs/>
        </w:rPr>
        <w:t xml:space="preserve">28 </w:t>
      </w:r>
      <w:r w:rsidR="00D67EB8" w:rsidRPr="009118AB">
        <w:rPr>
          <w:i/>
          <w:iCs/>
        </w:rPr>
        <w:t>Abs. </w:t>
      </w:r>
      <w:r w:rsidRPr="009118AB">
        <w:rPr>
          <w:i/>
          <w:iCs/>
        </w:rPr>
        <w:t xml:space="preserve">1 </w:t>
      </w:r>
      <w:r w:rsidR="00D67EB8" w:rsidRPr="009118AB">
        <w:rPr>
          <w:i/>
          <w:iCs/>
        </w:rPr>
        <w:t>Nr. </w:t>
      </w:r>
      <w:r w:rsidRPr="009118AB">
        <w:rPr>
          <w:i/>
          <w:iCs/>
        </w:rPr>
        <w:t xml:space="preserve">3 einziger Absatz Buchstabe a) </w:t>
      </w:r>
      <w:r w:rsidR="00C35B63" w:rsidRPr="009118AB">
        <w:rPr>
          <w:i/>
          <w:iCs/>
        </w:rPr>
        <w:t>abgeänder</w:t>
      </w:r>
      <w:r w:rsidRPr="009118AB">
        <w:rPr>
          <w:i/>
          <w:iCs/>
        </w:rPr>
        <w:t xml:space="preserve">t durch </w:t>
      </w:r>
      <w:r w:rsidR="00D67EB8" w:rsidRPr="009118AB">
        <w:rPr>
          <w:i/>
          <w:iCs/>
        </w:rPr>
        <w:t>Art. </w:t>
      </w:r>
      <w:r w:rsidRPr="009118AB">
        <w:rPr>
          <w:i/>
          <w:iCs/>
        </w:rPr>
        <w:t>3 des G. vom 19. Mai 1998 (B.S. vom 26.</w:t>
      </w:r>
      <w:r w:rsidR="00C35B63" w:rsidRPr="009118AB">
        <w:rPr>
          <w:i/>
          <w:iCs/>
        </w:rPr>
        <w:t> Juni 1998),</w:t>
      </w:r>
      <w:r w:rsidRPr="009118AB">
        <w:rPr>
          <w:i/>
          <w:iCs/>
        </w:rPr>
        <w:t xml:space="preserve"> </w:t>
      </w:r>
      <w:r w:rsidR="00D67EB8" w:rsidRPr="009118AB">
        <w:rPr>
          <w:i/>
          <w:iCs/>
        </w:rPr>
        <w:t>Art. </w:t>
      </w:r>
      <w:r w:rsidRPr="009118AB">
        <w:rPr>
          <w:i/>
          <w:iCs/>
        </w:rPr>
        <w:t>371 des G. vom 27. Dezember 2004 (B.S. vom 31. Dezember 2004)</w:t>
      </w:r>
      <w:r w:rsidR="00C35B63" w:rsidRPr="009118AB">
        <w:rPr>
          <w:i/>
          <w:iCs/>
        </w:rPr>
        <w:t>,</w:t>
      </w:r>
      <w:r w:rsidR="004C2BD5" w:rsidRPr="009118AB">
        <w:rPr>
          <w:i/>
          <w:iCs/>
        </w:rPr>
        <w:t xml:space="preserve"> </w:t>
      </w:r>
      <w:r w:rsidR="00D67EB8" w:rsidRPr="009118AB">
        <w:rPr>
          <w:i/>
          <w:iCs/>
        </w:rPr>
        <w:t>Art. </w:t>
      </w:r>
      <w:r w:rsidR="004C2BD5" w:rsidRPr="009118AB">
        <w:rPr>
          <w:i/>
          <w:iCs/>
        </w:rPr>
        <w:t>33 des G. vom 14. April 2011 (B.S. vom 6. Mai 2011)</w:t>
      </w:r>
      <w:r w:rsidR="00C35B63" w:rsidRPr="009118AB">
        <w:rPr>
          <w:i/>
          <w:iCs/>
        </w:rPr>
        <w:t xml:space="preserve"> und </w:t>
      </w:r>
      <w:r w:rsidR="00D67EB8" w:rsidRPr="009118AB">
        <w:rPr>
          <w:i/>
          <w:iCs/>
        </w:rPr>
        <w:t>Art. </w:t>
      </w:r>
      <w:r w:rsidR="00C35B63" w:rsidRPr="009118AB">
        <w:rPr>
          <w:i/>
          <w:iCs/>
        </w:rPr>
        <w:t>4 des G. vom 25. Dezember 2017</w:t>
      </w:r>
      <w:r w:rsidR="00AD39DE" w:rsidRPr="009118AB">
        <w:rPr>
          <w:i/>
          <w:iCs/>
        </w:rPr>
        <w:t> (I)</w:t>
      </w:r>
      <w:r w:rsidR="00C35B63" w:rsidRPr="009118AB">
        <w:rPr>
          <w:i/>
          <w:iCs/>
        </w:rPr>
        <w:t xml:space="preserve"> (B.S. vom 29. Dezember 2017)</w:t>
      </w:r>
      <w:r w:rsidRPr="009118AB">
        <w:rPr>
          <w:i/>
          <w:iCs/>
        </w:rPr>
        <w:t>]</w:t>
      </w:r>
    </w:p>
    <w:p w14:paraId="5119F4DB" w14:textId="77777777" w:rsidR="00CC0127" w:rsidRPr="009118AB" w:rsidRDefault="00CC0127" w:rsidP="00CC0127">
      <w:pPr>
        <w:autoSpaceDE w:val="0"/>
        <w:autoSpaceDN w:val="0"/>
        <w:adjustRightInd w:val="0"/>
        <w:jc w:val="both"/>
      </w:pPr>
    </w:p>
    <w:p w14:paraId="6BD354F1" w14:textId="77777777" w:rsidR="001E243B" w:rsidRPr="009118AB" w:rsidRDefault="001E243B" w:rsidP="00CC0127">
      <w:pPr>
        <w:autoSpaceDE w:val="0"/>
        <w:autoSpaceDN w:val="0"/>
        <w:adjustRightInd w:val="0"/>
        <w:ind w:firstLine="708"/>
        <w:jc w:val="both"/>
        <w:rPr>
          <w:i/>
          <w:iCs/>
        </w:rPr>
      </w:pPr>
    </w:p>
    <w:p w14:paraId="256E8429" w14:textId="464425A7" w:rsidR="00477B8F" w:rsidRPr="009118AB" w:rsidRDefault="007A5A4F" w:rsidP="00CC0127">
      <w:pPr>
        <w:autoSpaceDE w:val="0"/>
        <w:autoSpaceDN w:val="0"/>
        <w:adjustRightInd w:val="0"/>
        <w:ind w:firstLine="708"/>
        <w:jc w:val="both"/>
      </w:pPr>
      <w:r w:rsidRPr="009118AB">
        <w:rPr>
          <w:i/>
          <w:iCs/>
        </w:rPr>
        <w:br w:type="page"/>
      </w:r>
      <w:r w:rsidR="00477B8F" w:rsidRPr="009118AB">
        <w:rPr>
          <w:i/>
          <w:iCs/>
        </w:rPr>
        <w:lastRenderedPageBreak/>
        <w:t>E.</w:t>
      </w:r>
      <w:r w:rsidR="00477B8F" w:rsidRPr="009118AB">
        <w:t xml:space="preserve"> </w:t>
      </w:r>
      <w:r w:rsidR="0011214A" w:rsidRPr="009118AB">
        <w:t>[</w:t>
      </w:r>
      <w:r w:rsidR="00477B8F" w:rsidRPr="009118AB">
        <w:t>Gesellschaften oder Vereinigungen ohne Rechtspersönlichkeit</w:t>
      </w:r>
      <w:r w:rsidR="0011214A" w:rsidRPr="009118AB">
        <w:t>]</w:t>
      </w:r>
    </w:p>
    <w:p w14:paraId="1BD0CDDF" w14:textId="77777777" w:rsidR="00477B8F" w:rsidRPr="009118AB" w:rsidRDefault="00477B8F" w:rsidP="00CC0127">
      <w:pPr>
        <w:autoSpaceDE w:val="0"/>
        <w:autoSpaceDN w:val="0"/>
        <w:adjustRightInd w:val="0"/>
        <w:jc w:val="both"/>
      </w:pPr>
    </w:p>
    <w:p w14:paraId="3F65642A" w14:textId="2E9F708C" w:rsidR="0011214A" w:rsidRPr="009118AB" w:rsidRDefault="0011214A" w:rsidP="00CC0127">
      <w:pPr>
        <w:autoSpaceDE w:val="0"/>
        <w:autoSpaceDN w:val="0"/>
        <w:adjustRightInd w:val="0"/>
        <w:jc w:val="both"/>
        <w:rPr>
          <w:i/>
          <w:iCs/>
          <w:spacing w:val="-2"/>
        </w:rPr>
      </w:pPr>
      <w:r w:rsidRPr="009118AB">
        <w:rPr>
          <w:i/>
        </w:rPr>
        <w:t xml:space="preserve">[Überschrift von Unterteilung E ersetzt durch </w:t>
      </w:r>
      <w:r w:rsidR="00D67EB8" w:rsidRPr="009118AB">
        <w:rPr>
          <w:i/>
        </w:rPr>
        <w:t>Art. </w:t>
      </w:r>
      <w:r w:rsidRPr="009118AB">
        <w:rPr>
          <w:i/>
        </w:rPr>
        <w:t>6</w:t>
      </w:r>
      <w:r w:rsidRPr="009118AB">
        <w:rPr>
          <w:i/>
          <w:iCs/>
          <w:spacing w:val="-2"/>
        </w:rPr>
        <w:t xml:space="preserve"> des G. vom 17. März 2019 (III) (B.S. vom 10. Mai 2019)</w:t>
      </w:r>
      <w:r w:rsidR="00D67EB8" w:rsidRPr="009118AB">
        <w:rPr>
          <w:i/>
          <w:iCs/>
          <w:spacing w:val="-2"/>
        </w:rPr>
        <w:t> - </w:t>
      </w:r>
      <w:r w:rsidRPr="009118AB">
        <w:rPr>
          <w:i/>
          <w:iCs/>
          <w:spacing w:val="-2"/>
        </w:rPr>
        <w:t>in Kraft am 1. Mai 2019</w:t>
      </w:r>
      <w:r w:rsidR="00FD68E8" w:rsidRPr="009118AB">
        <w:rPr>
          <w:i/>
          <w:iCs/>
          <w:spacing w:val="-2"/>
        </w:rPr>
        <w:t> -]</w:t>
      </w:r>
    </w:p>
    <w:p w14:paraId="61D5FCE3" w14:textId="77777777" w:rsidR="0011214A" w:rsidRPr="009118AB" w:rsidRDefault="0011214A" w:rsidP="00CC0127">
      <w:pPr>
        <w:autoSpaceDE w:val="0"/>
        <w:autoSpaceDN w:val="0"/>
        <w:adjustRightInd w:val="0"/>
        <w:jc w:val="both"/>
        <w:rPr>
          <w:i/>
        </w:rPr>
      </w:pPr>
    </w:p>
    <w:p w14:paraId="3476A799" w14:textId="77777777" w:rsidR="00477B8F" w:rsidRPr="009118AB" w:rsidRDefault="00477B8F" w:rsidP="00CC0127">
      <w:pPr>
        <w:autoSpaceDE w:val="0"/>
        <w:autoSpaceDN w:val="0"/>
        <w:adjustRightInd w:val="0"/>
        <w:jc w:val="both"/>
      </w:pPr>
    </w:p>
    <w:p w14:paraId="47086C47" w14:textId="7049864E" w:rsidR="00477B8F" w:rsidRPr="009118AB" w:rsidRDefault="00477B8F" w:rsidP="00CC0127">
      <w:pPr>
        <w:autoSpaceDE w:val="0"/>
        <w:autoSpaceDN w:val="0"/>
        <w:adjustRightInd w:val="0"/>
        <w:jc w:val="both"/>
      </w:pPr>
      <w:r w:rsidRPr="009118AB">
        <w:tab/>
      </w:r>
      <w:r w:rsidR="00D67EB8" w:rsidRPr="009118AB">
        <w:rPr>
          <w:b/>
          <w:bCs/>
        </w:rPr>
        <w:t>Art. </w:t>
      </w:r>
      <w:r w:rsidRPr="009118AB">
        <w:rPr>
          <w:b/>
          <w:bCs/>
        </w:rPr>
        <w:t>29</w:t>
      </w:r>
      <w:r w:rsidR="00D67EB8" w:rsidRPr="009118AB">
        <w:t> - § </w:t>
      </w:r>
      <w:r w:rsidRPr="009118AB">
        <w:t>1</w:t>
      </w:r>
      <w:r w:rsidR="00D67EB8" w:rsidRPr="009118AB">
        <w:t> - </w:t>
      </w:r>
      <w:r w:rsidR="0011214A" w:rsidRPr="009118AB">
        <w:t xml:space="preserve">[In anderen als den in Artikel 2 </w:t>
      </w:r>
      <w:r w:rsidR="00D67EB8" w:rsidRPr="009118AB">
        <w:t>§ </w:t>
      </w:r>
      <w:r w:rsidR="0011214A" w:rsidRPr="009118AB">
        <w:t xml:space="preserve">1 </w:t>
      </w:r>
      <w:r w:rsidR="00D67EB8" w:rsidRPr="009118AB">
        <w:t>Nr. </w:t>
      </w:r>
      <w:r w:rsidR="0011214A" w:rsidRPr="009118AB">
        <w:t>5 Buchstabe </w:t>
      </w:r>
      <w:r w:rsidR="0011214A" w:rsidRPr="009118AB">
        <w:rPr>
          <w:i/>
          <w:iCs/>
        </w:rPr>
        <w:t>a)</w:t>
      </w:r>
      <w:r w:rsidR="0011214A" w:rsidRPr="009118AB">
        <w:t xml:space="preserve"> Absatz 1 zweiter Gedankenstrich erwähnten Gesellschaften oder Vereinigungen ohne Rechtspersönlichkeit]</w:t>
      </w:r>
      <w:r w:rsidRPr="009118AB">
        <w:t>, in denen Gewinne oder Profite erzielt werden, gelten Entnahmen der Gesellschafter oder Mitglieder und deren Anteil an ausgeschütteten oder nicht ausgeschütteten Gewinnen oder Profiten als Gewinne oder Profite dieser Gesellschafter oder Mitglieder.</w:t>
      </w:r>
    </w:p>
    <w:p w14:paraId="292EB583" w14:textId="77777777" w:rsidR="00477B8F" w:rsidRPr="009118AB" w:rsidRDefault="00477B8F" w:rsidP="00CC0127">
      <w:pPr>
        <w:autoSpaceDE w:val="0"/>
        <w:autoSpaceDN w:val="0"/>
        <w:adjustRightInd w:val="0"/>
        <w:jc w:val="both"/>
      </w:pPr>
    </w:p>
    <w:p w14:paraId="7FF634A2" w14:textId="076ED6A4" w:rsidR="00477B8F" w:rsidRPr="009118AB" w:rsidRDefault="00477B8F" w:rsidP="00CC0127">
      <w:pPr>
        <w:autoSpaceDE w:val="0"/>
        <w:autoSpaceDN w:val="0"/>
        <w:adjustRightInd w:val="0"/>
        <w:jc w:val="both"/>
      </w:pPr>
      <w:r w:rsidRPr="009118AB">
        <w:tab/>
      </w:r>
      <w:r w:rsidR="00D67EB8" w:rsidRPr="009118AB">
        <w:t>§ </w:t>
      </w:r>
      <w:r w:rsidRPr="009118AB">
        <w:t>2</w:t>
      </w:r>
      <w:r w:rsidR="00D67EB8" w:rsidRPr="009118AB">
        <w:t> - </w:t>
      </w:r>
      <w:r w:rsidRPr="009118AB">
        <w:t xml:space="preserve">Für die Anwendung von </w:t>
      </w:r>
      <w:r w:rsidR="00D67EB8" w:rsidRPr="009118AB">
        <w:t>§ </w:t>
      </w:r>
      <w:r w:rsidRPr="009118AB">
        <w:t>1 gelten als Vereinigungen ohne Rechtspersönlichkeit:</w:t>
      </w:r>
    </w:p>
    <w:p w14:paraId="234E2716" w14:textId="77777777" w:rsidR="00477B8F" w:rsidRPr="009118AB" w:rsidRDefault="00477B8F" w:rsidP="00CC0127">
      <w:pPr>
        <w:autoSpaceDE w:val="0"/>
        <w:autoSpaceDN w:val="0"/>
        <w:adjustRightInd w:val="0"/>
        <w:jc w:val="both"/>
      </w:pPr>
    </w:p>
    <w:p w14:paraId="083E30C4" w14:textId="6087674F" w:rsidR="00477B8F" w:rsidRPr="009118AB" w:rsidRDefault="00477B8F" w:rsidP="00CC0127">
      <w:pPr>
        <w:autoSpaceDE w:val="0"/>
        <w:autoSpaceDN w:val="0"/>
        <w:adjustRightInd w:val="0"/>
        <w:jc w:val="both"/>
      </w:pPr>
      <w:r w:rsidRPr="009118AB">
        <w:tab/>
        <w:t>1. </w:t>
      </w:r>
      <w:r w:rsidR="0011214A" w:rsidRPr="009118AB">
        <w:t>[…]</w:t>
      </w:r>
    </w:p>
    <w:p w14:paraId="54E18467" w14:textId="77777777" w:rsidR="00477B8F" w:rsidRPr="009118AB" w:rsidRDefault="00477B8F" w:rsidP="00CC0127">
      <w:pPr>
        <w:autoSpaceDE w:val="0"/>
        <w:autoSpaceDN w:val="0"/>
        <w:adjustRightInd w:val="0"/>
        <w:jc w:val="both"/>
      </w:pPr>
    </w:p>
    <w:p w14:paraId="6AA13BE8" w14:textId="637A9C02" w:rsidR="00477B8F" w:rsidRPr="009118AB" w:rsidRDefault="00477B8F" w:rsidP="00CC0127">
      <w:pPr>
        <w:autoSpaceDE w:val="0"/>
        <w:autoSpaceDN w:val="0"/>
        <w:adjustRightInd w:val="0"/>
        <w:jc w:val="both"/>
      </w:pPr>
      <w:r w:rsidRPr="009118AB">
        <w:tab/>
        <w:t>2. </w:t>
      </w:r>
      <w:r w:rsidR="0011214A" w:rsidRPr="009118AB">
        <w:t>[Gesellschaften, die zugelassen sind als Landwirtschaftsunternehmen wie in Artikel 8:2 des Gesetzbuches der Gesellschaften und Vereinigungen erwähnt und die die Rechtsform einer offenen Handelsgesellschaft oder einer Kommanditgesellschaft haben,]</w:t>
      </w:r>
      <w:r w:rsidRPr="009118AB">
        <w:t xml:space="preserve"> mit Ausnahme derjenigen, die sich für eine Veranlagung auf Grundlage der Gesellschaftssteuer entschieden haben; der König legt die Bedingungen fest, denen die Entscheidung und deren Beibehaltung unterliegen,</w:t>
      </w:r>
    </w:p>
    <w:p w14:paraId="468420FA" w14:textId="77777777" w:rsidR="00477B8F" w:rsidRPr="009118AB" w:rsidRDefault="00477B8F" w:rsidP="00CC0127">
      <w:pPr>
        <w:autoSpaceDE w:val="0"/>
        <w:autoSpaceDN w:val="0"/>
        <w:adjustRightInd w:val="0"/>
        <w:jc w:val="both"/>
      </w:pPr>
    </w:p>
    <w:p w14:paraId="55F1EDA9" w14:textId="77777777" w:rsidR="00477B8F" w:rsidRPr="009118AB" w:rsidRDefault="00477B8F" w:rsidP="00CC0127">
      <w:pPr>
        <w:autoSpaceDE w:val="0"/>
        <w:autoSpaceDN w:val="0"/>
        <w:adjustRightInd w:val="0"/>
        <w:jc w:val="both"/>
      </w:pPr>
      <w:r w:rsidRPr="009118AB">
        <w:tab/>
        <w:t>3. europäische wirtschaftliche Interessenvereinigungen,</w:t>
      </w:r>
    </w:p>
    <w:p w14:paraId="3D375A3D" w14:textId="77777777" w:rsidR="00477B8F" w:rsidRPr="009118AB" w:rsidRDefault="00477B8F" w:rsidP="00CC0127">
      <w:pPr>
        <w:autoSpaceDE w:val="0"/>
        <w:autoSpaceDN w:val="0"/>
        <w:adjustRightInd w:val="0"/>
        <w:jc w:val="both"/>
      </w:pPr>
    </w:p>
    <w:p w14:paraId="0F8DBAF1" w14:textId="2C7AEFB5" w:rsidR="00477B8F" w:rsidRPr="009118AB" w:rsidRDefault="00477B8F" w:rsidP="00CC0127">
      <w:pPr>
        <w:autoSpaceDE w:val="0"/>
        <w:autoSpaceDN w:val="0"/>
        <w:adjustRightInd w:val="0"/>
        <w:jc w:val="both"/>
      </w:pPr>
      <w:r w:rsidRPr="009118AB">
        <w:tab/>
        <w:t>4. </w:t>
      </w:r>
      <w:r w:rsidR="0011214A" w:rsidRPr="009118AB">
        <w:t>[offene Handelsgesellschaften, die aus der Umwandlung einer wirtschaftlichen Interessenvereinigung in Anwendung von Artikel 41 des Gesetzbuches der Gesellschaften und Vereinigungen hervorgegangen sind, unter der Bedingung, dass der Zweck der Tätigkeiten der offenen Handelsgesellschaft ausschließlich darin besteht, die wirtschaftliche Tätigkeit ihrer Gesellschafter zu erleichtern oder zu entwickeln und die Ergebnisse dieser Tätigkeit zu verbessern oder zu steigern; darüber hinaus muss die Tätigkeit der offenen Handelsgesellschaft mit der Tätigkeit ihrer Gesellschafter im Zusammenhang stehen und ihr gegenüber von untergeordneter Bedeutung sein,]</w:t>
      </w:r>
    </w:p>
    <w:p w14:paraId="4B496ECA" w14:textId="77777777" w:rsidR="00477B8F" w:rsidRPr="009118AB" w:rsidRDefault="00477B8F" w:rsidP="00CC0127">
      <w:pPr>
        <w:autoSpaceDE w:val="0"/>
        <w:autoSpaceDN w:val="0"/>
        <w:adjustRightInd w:val="0"/>
        <w:jc w:val="both"/>
      </w:pPr>
    </w:p>
    <w:p w14:paraId="5B2C20E9" w14:textId="64B3CCC9" w:rsidR="00477B8F" w:rsidRPr="009118AB" w:rsidRDefault="00477B8F" w:rsidP="00CC0127">
      <w:pPr>
        <w:autoSpaceDE w:val="0"/>
        <w:autoSpaceDN w:val="0"/>
        <w:adjustRightInd w:val="0"/>
        <w:jc w:val="both"/>
      </w:pPr>
      <w:r w:rsidRPr="009118AB">
        <w:tab/>
        <w:t>[5. Miteigentümervereinigungen, die aufgrund von Artikel </w:t>
      </w:r>
      <w:r w:rsidR="00C651C6" w:rsidRPr="009118AB">
        <w:t>[3.86]</w:t>
      </w:r>
      <w:r w:rsidRPr="009118AB">
        <w:t xml:space="preserve"> </w:t>
      </w:r>
      <w:r w:rsidR="00D67EB8" w:rsidRPr="009118AB">
        <w:t>§ </w:t>
      </w:r>
      <w:r w:rsidRPr="009118AB">
        <w:t>1 des Zivilgesetzbuches Rechtspersönlichkeit besitzen.]</w:t>
      </w:r>
    </w:p>
    <w:p w14:paraId="46F76934" w14:textId="77777777" w:rsidR="00477B8F" w:rsidRPr="009118AB" w:rsidRDefault="00477B8F" w:rsidP="00CC0127">
      <w:pPr>
        <w:autoSpaceDE w:val="0"/>
        <w:autoSpaceDN w:val="0"/>
        <w:adjustRightInd w:val="0"/>
        <w:jc w:val="both"/>
      </w:pPr>
    </w:p>
    <w:p w14:paraId="1C8BD293" w14:textId="5D83704B" w:rsidR="00477B8F" w:rsidRPr="009118AB" w:rsidRDefault="00477B8F" w:rsidP="00CC0127">
      <w:pPr>
        <w:autoSpaceDE w:val="0"/>
        <w:autoSpaceDN w:val="0"/>
        <w:adjustRightInd w:val="0"/>
        <w:jc w:val="both"/>
      </w:pPr>
      <w:r w:rsidRPr="009118AB">
        <w:rPr>
          <w:i/>
          <w:iCs/>
        </w:rPr>
        <w:t>[</w:t>
      </w:r>
      <w:r w:rsidR="00D67EB8" w:rsidRPr="009118AB">
        <w:rPr>
          <w:i/>
          <w:iCs/>
        </w:rPr>
        <w:t>Art. </w:t>
      </w:r>
      <w:r w:rsidRPr="009118AB">
        <w:rPr>
          <w:i/>
          <w:iCs/>
        </w:rPr>
        <w:t xml:space="preserve">29 </w:t>
      </w:r>
      <w:r w:rsidR="00D67EB8" w:rsidRPr="009118AB">
        <w:rPr>
          <w:i/>
          <w:iCs/>
        </w:rPr>
        <w:t>§ </w:t>
      </w:r>
      <w:r w:rsidR="0011214A" w:rsidRPr="009118AB">
        <w:rPr>
          <w:i/>
          <w:iCs/>
        </w:rPr>
        <w:t xml:space="preserve">1 abgeändert durch </w:t>
      </w:r>
      <w:r w:rsidR="00D67EB8" w:rsidRPr="009118AB">
        <w:rPr>
          <w:i/>
          <w:iCs/>
        </w:rPr>
        <w:t>Art. </w:t>
      </w:r>
      <w:r w:rsidR="0011214A" w:rsidRPr="009118AB">
        <w:rPr>
          <w:i/>
          <w:iCs/>
        </w:rPr>
        <w:t xml:space="preserve">7 </w:t>
      </w:r>
      <w:r w:rsidR="00D67EB8" w:rsidRPr="009118AB">
        <w:rPr>
          <w:i/>
          <w:iCs/>
        </w:rPr>
        <w:t>Nr. </w:t>
      </w:r>
      <w:r w:rsidR="0011214A" w:rsidRPr="009118AB">
        <w:rPr>
          <w:i/>
          <w:iCs/>
        </w:rPr>
        <w:t>1</w:t>
      </w:r>
      <w:r w:rsidR="0011214A" w:rsidRPr="009118AB">
        <w:rPr>
          <w:i/>
          <w:iCs/>
          <w:spacing w:val="-2"/>
        </w:rPr>
        <w:t xml:space="preserve"> des G. vom 17. März 2019 (III) (B.S. vom 10. Mai 2019)</w:t>
      </w:r>
      <w:r w:rsidR="00D67EB8" w:rsidRPr="009118AB">
        <w:rPr>
          <w:i/>
          <w:iCs/>
          <w:spacing w:val="-2"/>
        </w:rPr>
        <w:t> - </w:t>
      </w:r>
      <w:r w:rsidR="0011214A" w:rsidRPr="009118AB">
        <w:rPr>
          <w:i/>
          <w:iCs/>
          <w:spacing w:val="-2"/>
        </w:rPr>
        <w:t>in Kraft am 1. Mai 2019</w:t>
      </w:r>
      <w:r w:rsidR="003366D9" w:rsidRPr="009118AB">
        <w:rPr>
          <w:i/>
          <w:iCs/>
          <w:spacing w:val="-2"/>
        </w:rPr>
        <w:t> -;</w:t>
      </w:r>
      <w:r w:rsidR="0011214A" w:rsidRPr="009118AB">
        <w:rPr>
          <w:i/>
          <w:iCs/>
        </w:rPr>
        <w:t xml:space="preserve"> </w:t>
      </w:r>
      <w:r w:rsidR="00D67EB8" w:rsidRPr="009118AB">
        <w:rPr>
          <w:i/>
          <w:iCs/>
        </w:rPr>
        <w:t>§ </w:t>
      </w:r>
      <w:r w:rsidR="0011214A" w:rsidRPr="009118AB">
        <w:rPr>
          <w:i/>
          <w:iCs/>
        </w:rPr>
        <w:t xml:space="preserve">2 einziger Absatz </w:t>
      </w:r>
      <w:r w:rsidR="00D67EB8" w:rsidRPr="009118AB">
        <w:rPr>
          <w:i/>
          <w:iCs/>
        </w:rPr>
        <w:t>Nr. </w:t>
      </w:r>
      <w:r w:rsidR="0011214A" w:rsidRPr="009118AB">
        <w:rPr>
          <w:i/>
          <w:iCs/>
        </w:rPr>
        <w:t xml:space="preserve">1 aufgehoben durch </w:t>
      </w:r>
      <w:r w:rsidR="00D67EB8" w:rsidRPr="009118AB">
        <w:rPr>
          <w:i/>
          <w:iCs/>
        </w:rPr>
        <w:t>Art. </w:t>
      </w:r>
      <w:r w:rsidR="0011214A" w:rsidRPr="009118AB">
        <w:rPr>
          <w:i/>
          <w:iCs/>
        </w:rPr>
        <w:t xml:space="preserve">7 </w:t>
      </w:r>
      <w:r w:rsidR="00D67EB8" w:rsidRPr="009118AB">
        <w:rPr>
          <w:i/>
          <w:iCs/>
        </w:rPr>
        <w:t>Nr. </w:t>
      </w:r>
      <w:r w:rsidR="0011214A" w:rsidRPr="009118AB">
        <w:rPr>
          <w:i/>
          <w:iCs/>
        </w:rPr>
        <w:t>2</w:t>
      </w:r>
      <w:r w:rsidR="0011214A" w:rsidRPr="009118AB">
        <w:rPr>
          <w:i/>
          <w:iCs/>
          <w:spacing w:val="-2"/>
        </w:rPr>
        <w:t xml:space="preserve"> des G. vom 17. März 2019 (III) (B.S. vom 10. Mai 2019)</w:t>
      </w:r>
      <w:r w:rsidR="00D67EB8" w:rsidRPr="009118AB">
        <w:rPr>
          <w:i/>
          <w:iCs/>
          <w:spacing w:val="-2"/>
        </w:rPr>
        <w:t> - </w:t>
      </w:r>
      <w:r w:rsidR="0011214A" w:rsidRPr="009118AB">
        <w:rPr>
          <w:i/>
          <w:iCs/>
          <w:spacing w:val="-2"/>
        </w:rPr>
        <w:t>in Kraft am 1. Mai 2019</w:t>
      </w:r>
      <w:r w:rsidR="003366D9" w:rsidRPr="009118AB">
        <w:rPr>
          <w:i/>
          <w:iCs/>
          <w:spacing w:val="-2"/>
        </w:rPr>
        <w:t> -;</w:t>
      </w:r>
      <w:r w:rsidR="0011214A" w:rsidRPr="009118AB">
        <w:rPr>
          <w:i/>
          <w:iCs/>
        </w:rPr>
        <w:t xml:space="preserve"> </w:t>
      </w:r>
      <w:r w:rsidR="00D67EB8" w:rsidRPr="009118AB">
        <w:rPr>
          <w:i/>
          <w:iCs/>
        </w:rPr>
        <w:t>§ </w:t>
      </w:r>
      <w:r w:rsidR="0011214A" w:rsidRPr="009118AB">
        <w:rPr>
          <w:i/>
          <w:iCs/>
        </w:rPr>
        <w:t xml:space="preserve">2 einziger Absatz </w:t>
      </w:r>
      <w:r w:rsidR="00D67EB8" w:rsidRPr="009118AB">
        <w:rPr>
          <w:i/>
          <w:iCs/>
        </w:rPr>
        <w:t>Nr. </w:t>
      </w:r>
      <w:r w:rsidR="0011214A" w:rsidRPr="009118AB">
        <w:rPr>
          <w:i/>
          <w:iCs/>
        </w:rPr>
        <w:t xml:space="preserve">2 abgeändert durch </w:t>
      </w:r>
      <w:r w:rsidR="00D67EB8" w:rsidRPr="009118AB">
        <w:rPr>
          <w:i/>
          <w:iCs/>
        </w:rPr>
        <w:t>Art. </w:t>
      </w:r>
      <w:r w:rsidR="0011214A" w:rsidRPr="009118AB">
        <w:rPr>
          <w:i/>
          <w:iCs/>
        </w:rPr>
        <w:t xml:space="preserve">7 </w:t>
      </w:r>
      <w:r w:rsidR="00D67EB8" w:rsidRPr="009118AB">
        <w:rPr>
          <w:i/>
          <w:iCs/>
        </w:rPr>
        <w:t>Nr. </w:t>
      </w:r>
      <w:r w:rsidR="0011214A" w:rsidRPr="009118AB">
        <w:rPr>
          <w:i/>
          <w:iCs/>
        </w:rPr>
        <w:t>3</w:t>
      </w:r>
      <w:r w:rsidR="0011214A" w:rsidRPr="009118AB">
        <w:rPr>
          <w:i/>
          <w:iCs/>
          <w:spacing w:val="-2"/>
        </w:rPr>
        <w:t xml:space="preserve"> des G. vom 17. März 2019 (III) (B.S. vom 10. Mai 2019)</w:t>
      </w:r>
      <w:r w:rsidR="00D67EB8" w:rsidRPr="009118AB">
        <w:rPr>
          <w:i/>
          <w:iCs/>
          <w:spacing w:val="-2"/>
        </w:rPr>
        <w:t> - </w:t>
      </w:r>
      <w:r w:rsidR="0011214A" w:rsidRPr="009118AB">
        <w:rPr>
          <w:i/>
          <w:iCs/>
          <w:spacing w:val="-2"/>
        </w:rPr>
        <w:t>in Kraft am 1. Mai 2019</w:t>
      </w:r>
      <w:r w:rsidR="003366D9" w:rsidRPr="009118AB">
        <w:rPr>
          <w:i/>
          <w:iCs/>
          <w:spacing w:val="-2"/>
        </w:rPr>
        <w:t> -;</w:t>
      </w:r>
      <w:r w:rsidR="0011214A" w:rsidRPr="009118AB">
        <w:rPr>
          <w:i/>
          <w:iCs/>
          <w:spacing w:val="-2"/>
        </w:rPr>
        <w:t xml:space="preserve"> </w:t>
      </w:r>
      <w:r w:rsidR="00D67EB8" w:rsidRPr="009118AB">
        <w:rPr>
          <w:i/>
          <w:iCs/>
          <w:spacing w:val="-2"/>
        </w:rPr>
        <w:t>§ </w:t>
      </w:r>
      <w:r w:rsidR="0011214A" w:rsidRPr="009118AB">
        <w:rPr>
          <w:i/>
          <w:iCs/>
          <w:spacing w:val="-2"/>
        </w:rPr>
        <w:t xml:space="preserve">2 einziger Absatz </w:t>
      </w:r>
      <w:r w:rsidR="00D67EB8" w:rsidRPr="009118AB">
        <w:rPr>
          <w:i/>
          <w:iCs/>
          <w:spacing w:val="-2"/>
        </w:rPr>
        <w:t>Nr. </w:t>
      </w:r>
      <w:r w:rsidR="0011214A" w:rsidRPr="009118AB">
        <w:rPr>
          <w:i/>
          <w:iCs/>
          <w:spacing w:val="-2"/>
        </w:rPr>
        <w:t xml:space="preserve">4 ersetzt durch </w:t>
      </w:r>
      <w:r w:rsidR="00D67EB8" w:rsidRPr="009118AB">
        <w:rPr>
          <w:i/>
          <w:iCs/>
          <w:spacing w:val="-2"/>
        </w:rPr>
        <w:t>Art. </w:t>
      </w:r>
      <w:r w:rsidR="0011214A" w:rsidRPr="009118AB">
        <w:rPr>
          <w:i/>
          <w:iCs/>
          <w:spacing w:val="-2"/>
        </w:rPr>
        <w:t xml:space="preserve">7 </w:t>
      </w:r>
      <w:r w:rsidR="00D67EB8" w:rsidRPr="009118AB">
        <w:rPr>
          <w:i/>
          <w:iCs/>
          <w:spacing w:val="-2"/>
        </w:rPr>
        <w:t>Nr. </w:t>
      </w:r>
      <w:r w:rsidR="0011214A" w:rsidRPr="009118AB">
        <w:rPr>
          <w:i/>
          <w:iCs/>
          <w:spacing w:val="-2"/>
        </w:rPr>
        <w:t>4 des G. vom 17. März 2019 (III) (B.S. vom 10. Mai 2019)</w:t>
      </w:r>
      <w:r w:rsidR="00D67EB8" w:rsidRPr="009118AB">
        <w:rPr>
          <w:i/>
          <w:iCs/>
          <w:spacing w:val="-2"/>
        </w:rPr>
        <w:t> - </w:t>
      </w:r>
      <w:r w:rsidR="0011214A" w:rsidRPr="009118AB">
        <w:rPr>
          <w:i/>
          <w:iCs/>
          <w:spacing w:val="-2"/>
        </w:rPr>
        <w:t>in Kraft am 1. Mai 2019</w:t>
      </w:r>
      <w:r w:rsidR="003366D9" w:rsidRPr="009118AB">
        <w:rPr>
          <w:i/>
          <w:iCs/>
          <w:spacing w:val="-2"/>
        </w:rPr>
        <w:t> -;</w:t>
      </w:r>
      <w:r w:rsidR="0011214A" w:rsidRPr="009118AB">
        <w:rPr>
          <w:i/>
          <w:iCs/>
          <w:spacing w:val="-2"/>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5 eingefügt durch </w:t>
      </w:r>
      <w:r w:rsidR="00D67EB8" w:rsidRPr="009118AB">
        <w:rPr>
          <w:i/>
          <w:iCs/>
        </w:rPr>
        <w:t>Art. </w:t>
      </w:r>
      <w:r w:rsidRPr="009118AB">
        <w:rPr>
          <w:i/>
          <w:iCs/>
        </w:rPr>
        <w:t>5 des G. vom 22. Dezember 1998 (B.S.</w:t>
      </w:r>
      <w:r w:rsidR="00656540" w:rsidRPr="009118AB">
        <w:rPr>
          <w:i/>
          <w:iCs/>
        </w:rPr>
        <w:t> </w:t>
      </w:r>
      <w:r w:rsidRPr="009118AB">
        <w:rPr>
          <w:i/>
          <w:iCs/>
        </w:rPr>
        <w:t>vom 15. Januar 1999)</w:t>
      </w:r>
      <w:r w:rsidR="00D67EB8" w:rsidRPr="009118AB">
        <w:rPr>
          <w:i/>
          <w:iCs/>
        </w:rPr>
        <w:t> - </w:t>
      </w:r>
      <w:r w:rsidRPr="009118AB">
        <w:rPr>
          <w:i/>
          <w:iCs/>
        </w:rPr>
        <w:t>anwendbar auf die Miteigentümervereinigungen, die ab dem 1. August 1995 Rechtspersönlichkeit besitzen</w:t>
      </w:r>
      <w:r w:rsidR="00D67EB8" w:rsidRPr="009118AB">
        <w:rPr>
          <w:i/>
          <w:iCs/>
        </w:rPr>
        <w:t> - </w:t>
      </w:r>
      <w:r w:rsidR="00C651C6" w:rsidRPr="009118AB">
        <w:rPr>
          <w:i/>
          <w:iCs/>
        </w:rPr>
        <w:t xml:space="preserve">und abgeändert durch </w:t>
      </w:r>
      <w:r w:rsidR="00D67EB8" w:rsidRPr="009118AB">
        <w:rPr>
          <w:i/>
          <w:iCs/>
        </w:rPr>
        <w:t>Art. </w:t>
      </w:r>
      <w:r w:rsidR="00C651C6" w:rsidRPr="009118AB">
        <w:rPr>
          <w:i/>
          <w:iCs/>
        </w:rPr>
        <w:t>16 des G. vom 4. Februar 2020 (B.S. vom 17. März 2020)</w:t>
      </w:r>
      <w:r w:rsidR="00D67EB8" w:rsidRPr="009118AB">
        <w:rPr>
          <w:i/>
          <w:iCs/>
        </w:rPr>
        <w:t> - </w:t>
      </w:r>
      <w:r w:rsidR="00C651C6" w:rsidRPr="009118AB">
        <w:rPr>
          <w:i/>
          <w:iCs/>
        </w:rPr>
        <w:t>in Kraft am 1. September 2021</w:t>
      </w:r>
      <w:r w:rsidR="00FD68E8" w:rsidRPr="009118AB">
        <w:rPr>
          <w:i/>
          <w:iCs/>
        </w:rPr>
        <w:t> -]</w:t>
      </w:r>
    </w:p>
    <w:p w14:paraId="3B1A0D58" w14:textId="77777777" w:rsidR="001E243B" w:rsidRPr="009118AB" w:rsidRDefault="001E243B" w:rsidP="00CC0127">
      <w:pPr>
        <w:autoSpaceDE w:val="0"/>
        <w:autoSpaceDN w:val="0"/>
        <w:adjustRightInd w:val="0"/>
        <w:jc w:val="both"/>
      </w:pPr>
    </w:p>
    <w:p w14:paraId="717ECECB" w14:textId="77777777" w:rsidR="001E243B" w:rsidRPr="009118AB" w:rsidRDefault="001E243B" w:rsidP="00CC0127">
      <w:pPr>
        <w:autoSpaceDE w:val="0"/>
        <w:autoSpaceDN w:val="0"/>
        <w:adjustRightInd w:val="0"/>
        <w:jc w:val="both"/>
      </w:pPr>
    </w:p>
    <w:p w14:paraId="28D03C2E" w14:textId="77777777" w:rsidR="007A5A4F" w:rsidRPr="009118AB" w:rsidRDefault="00477B8F" w:rsidP="00CC0127">
      <w:pPr>
        <w:autoSpaceDE w:val="0"/>
        <w:autoSpaceDN w:val="0"/>
        <w:adjustRightInd w:val="0"/>
        <w:jc w:val="both"/>
      </w:pPr>
      <w:r w:rsidRPr="009118AB">
        <w:tab/>
      </w:r>
    </w:p>
    <w:p w14:paraId="57A1830E" w14:textId="77777777" w:rsidR="00477B8F" w:rsidRPr="009118AB" w:rsidRDefault="007A5A4F" w:rsidP="00CC0127">
      <w:pPr>
        <w:autoSpaceDE w:val="0"/>
        <w:autoSpaceDN w:val="0"/>
        <w:adjustRightInd w:val="0"/>
        <w:jc w:val="both"/>
      </w:pPr>
      <w:r w:rsidRPr="009118AB">
        <w:br w:type="page"/>
      </w:r>
      <w:r w:rsidRPr="009118AB">
        <w:lastRenderedPageBreak/>
        <w:tab/>
      </w:r>
      <w:r w:rsidR="00477B8F" w:rsidRPr="009118AB">
        <w:rPr>
          <w:i/>
          <w:iCs/>
        </w:rPr>
        <w:t>F.</w:t>
      </w:r>
      <w:r w:rsidR="00477B8F" w:rsidRPr="009118AB">
        <w:t xml:space="preserve"> Entlohnungen</w:t>
      </w:r>
    </w:p>
    <w:p w14:paraId="6A2DA1D3" w14:textId="77777777" w:rsidR="00477B8F" w:rsidRPr="009118AB" w:rsidRDefault="00477B8F" w:rsidP="00CC0127">
      <w:pPr>
        <w:autoSpaceDE w:val="0"/>
        <w:autoSpaceDN w:val="0"/>
        <w:adjustRightInd w:val="0"/>
        <w:jc w:val="both"/>
      </w:pPr>
    </w:p>
    <w:p w14:paraId="73A61183" w14:textId="77777777" w:rsidR="00477B8F" w:rsidRPr="009118AB" w:rsidRDefault="00477B8F" w:rsidP="00CC0127">
      <w:pPr>
        <w:autoSpaceDE w:val="0"/>
        <w:autoSpaceDN w:val="0"/>
        <w:adjustRightInd w:val="0"/>
        <w:jc w:val="both"/>
      </w:pPr>
    </w:p>
    <w:p w14:paraId="44FAC414" w14:textId="225D6F6D" w:rsidR="00477B8F" w:rsidRPr="009118AB" w:rsidRDefault="00477B8F" w:rsidP="00CC0127">
      <w:pPr>
        <w:autoSpaceDE w:val="0"/>
        <w:autoSpaceDN w:val="0"/>
        <w:adjustRightInd w:val="0"/>
        <w:jc w:val="both"/>
      </w:pPr>
      <w:r w:rsidRPr="009118AB">
        <w:tab/>
      </w:r>
      <w:r w:rsidR="00D67EB8" w:rsidRPr="009118AB">
        <w:rPr>
          <w:b/>
          <w:bCs/>
        </w:rPr>
        <w:t>Art. </w:t>
      </w:r>
      <w:r w:rsidRPr="009118AB">
        <w:rPr>
          <w:b/>
          <w:bCs/>
        </w:rPr>
        <w:t>30</w:t>
      </w:r>
      <w:r w:rsidR="00D67EB8" w:rsidRPr="009118AB">
        <w:t> - </w:t>
      </w:r>
      <w:r w:rsidRPr="009118AB">
        <w:t>[Entlohnungen umfassen ungeachtet des Schuldners, der Bezeichnung und der Weise, wie sie festgelegt und bewilligt werden:</w:t>
      </w:r>
    </w:p>
    <w:p w14:paraId="634105E9" w14:textId="77777777" w:rsidR="00477B8F" w:rsidRPr="009118AB" w:rsidRDefault="00477B8F" w:rsidP="00CC0127">
      <w:pPr>
        <w:autoSpaceDE w:val="0"/>
        <w:autoSpaceDN w:val="0"/>
        <w:adjustRightInd w:val="0"/>
        <w:jc w:val="both"/>
      </w:pPr>
    </w:p>
    <w:p w14:paraId="508CA2E5" w14:textId="77777777" w:rsidR="00477B8F" w:rsidRPr="009118AB" w:rsidRDefault="00477B8F" w:rsidP="00CC0127">
      <w:pPr>
        <w:autoSpaceDE w:val="0"/>
        <w:autoSpaceDN w:val="0"/>
        <w:adjustRightInd w:val="0"/>
        <w:jc w:val="both"/>
      </w:pPr>
      <w:r w:rsidRPr="009118AB">
        <w:tab/>
        <w:t>1. Entlohnungen von Arbeitnehmern,</w:t>
      </w:r>
    </w:p>
    <w:p w14:paraId="3E521092" w14:textId="77777777" w:rsidR="00477B8F" w:rsidRPr="009118AB" w:rsidRDefault="00477B8F" w:rsidP="00CC0127">
      <w:pPr>
        <w:autoSpaceDE w:val="0"/>
        <w:autoSpaceDN w:val="0"/>
        <w:adjustRightInd w:val="0"/>
        <w:jc w:val="both"/>
      </w:pPr>
    </w:p>
    <w:p w14:paraId="6D5281A9" w14:textId="77777777" w:rsidR="00477B8F" w:rsidRPr="009118AB" w:rsidRDefault="00477B8F" w:rsidP="00CC0127">
      <w:pPr>
        <w:autoSpaceDE w:val="0"/>
        <w:autoSpaceDN w:val="0"/>
        <w:adjustRightInd w:val="0"/>
        <w:jc w:val="both"/>
      </w:pPr>
      <w:r w:rsidRPr="009118AB">
        <w:tab/>
        <w:t>2. Entlohnungen von Unternehmensleitern,]</w:t>
      </w:r>
    </w:p>
    <w:p w14:paraId="11451B52" w14:textId="77777777" w:rsidR="00477B8F" w:rsidRPr="009118AB" w:rsidRDefault="00477B8F" w:rsidP="00CC0127">
      <w:pPr>
        <w:autoSpaceDE w:val="0"/>
        <w:autoSpaceDN w:val="0"/>
        <w:adjustRightInd w:val="0"/>
        <w:jc w:val="both"/>
      </w:pPr>
    </w:p>
    <w:p w14:paraId="2335D40F" w14:textId="77777777" w:rsidR="00477B8F" w:rsidRPr="009118AB" w:rsidRDefault="00477B8F" w:rsidP="00CC0127">
      <w:pPr>
        <w:autoSpaceDE w:val="0"/>
        <w:autoSpaceDN w:val="0"/>
        <w:adjustRightInd w:val="0"/>
        <w:jc w:val="both"/>
      </w:pPr>
      <w:r w:rsidRPr="009118AB">
        <w:tab/>
        <w:t>[3. Entlohnungen von mithelfenden Ehepartnern.]</w:t>
      </w:r>
    </w:p>
    <w:p w14:paraId="631510EC" w14:textId="77777777" w:rsidR="00477B8F" w:rsidRPr="009118AB" w:rsidRDefault="00477B8F" w:rsidP="00CC0127">
      <w:pPr>
        <w:autoSpaceDE w:val="0"/>
        <w:autoSpaceDN w:val="0"/>
        <w:adjustRightInd w:val="0"/>
        <w:jc w:val="both"/>
      </w:pPr>
    </w:p>
    <w:p w14:paraId="3A3726E5" w14:textId="0C260848" w:rsidR="00477B8F" w:rsidRPr="009118AB" w:rsidRDefault="00477B8F" w:rsidP="00CC0127">
      <w:pPr>
        <w:autoSpaceDE w:val="0"/>
        <w:autoSpaceDN w:val="0"/>
        <w:adjustRightInd w:val="0"/>
        <w:jc w:val="both"/>
      </w:pPr>
      <w:r w:rsidRPr="009118AB">
        <w:rPr>
          <w:i/>
          <w:iCs/>
        </w:rPr>
        <w:t>[</w:t>
      </w:r>
      <w:r w:rsidR="00D67EB8" w:rsidRPr="009118AB">
        <w:rPr>
          <w:i/>
          <w:iCs/>
        </w:rPr>
        <w:t>Art. </w:t>
      </w:r>
      <w:r w:rsidRPr="009118AB">
        <w:rPr>
          <w:i/>
          <w:iCs/>
        </w:rPr>
        <w:t xml:space="preserve">30 ersetzt durch </w:t>
      </w:r>
      <w:r w:rsidR="00D67EB8" w:rsidRPr="009118AB">
        <w:rPr>
          <w:i/>
          <w:iCs/>
        </w:rPr>
        <w:t>Art. </w:t>
      </w:r>
      <w:r w:rsidRPr="009118AB">
        <w:rPr>
          <w:i/>
          <w:iCs/>
        </w:rPr>
        <w:t>4 des K.E. vom 20. Dezember 1996 (B.S. vom 31. Dezember 1996)</w:t>
      </w:r>
      <w:r w:rsidR="00D67EB8" w:rsidRPr="009118AB">
        <w:rPr>
          <w:i/>
          <w:iCs/>
        </w:rPr>
        <w:t> - </w:t>
      </w:r>
      <w:r w:rsidRPr="009118AB">
        <w:rPr>
          <w:i/>
          <w:iCs/>
        </w:rPr>
        <w:t>in Kraft ab dem Steuerjahr 1998</w:t>
      </w:r>
      <w:r w:rsidR="003366D9" w:rsidRPr="009118AB">
        <w:rPr>
          <w:i/>
          <w:iCs/>
        </w:rPr>
        <w:t> -;</w:t>
      </w:r>
      <w:r w:rsidRPr="009118AB">
        <w:rPr>
          <w:i/>
          <w:iCs/>
        </w:rPr>
        <w:t xml:space="preserve"> einziger Absatz </w:t>
      </w:r>
      <w:r w:rsidR="00D67EB8" w:rsidRPr="009118AB">
        <w:rPr>
          <w:i/>
          <w:iCs/>
        </w:rPr>
        <w:t>Nr. </w:t>
      </w:r>
      <w:r w:rsidRPr="009118AB">
        <w:rPr>
          <w:i/>
          <w:iCs/>
        </w:rPr>
        <w:t xml:space="preserve">3 eingefügt durch </w:t>
      </w:r>
      <w:r w:rsidR="00D67EB8" w:rsidRPr="009118AB">
        <w:rPr>
          <w:i/>
          <w:iCs/>
        </w:rPr>
        <w:t>Art. </w:t>
      </w:r>
      <w:r w:rsidRPr="009118AB">
        <w:rPr>
          <w:i/>
          <w:iCs/>
        </w:rPr>
        <w:t xml:space="preserve">15 des G. (I) </w:t>
      </w:r>
      <w:r w:rsidRPr="009118AB">
        <w:rPr>
          <w:i/>
          <w:iCs/>
          <w:spacing w:val="-2"/>
        </w:rPr>
        <w:t>vom 24. Dezember 2002</w:t>
      </w:r>
      <w:r w:rsidR="00D86BCC" w:rsidRPr="009118AB">
        <w:rPr>
          <w:i/>
          <w:iCs/>
          <w:spacing w:val="-2"/>
        </w:rPr>
        <w:t xml:space="preserve"> (I) </w:t>
      </w:r>
      <w:r w:rsidRPr="009118AB">
        <w:rPr>
          <w:i/>
          <w:iCs/>
          <w:spacing w:val="-2"/>
        </w:rPr>
        <w:t>(B.S. vom 31. Dezember 2002)</w:t>
      </w:r>
      <w:r w:rsidR="00D67EB8" w:rsidRPr="009118AB">
        <w:rPr>
          <w:i/>
          <w:iCs/>
          <w:spacing w:val="-2"/>
        </w:rPr>
        <w:t> - </w:t>
      </w:r>
      <w:r w:rsidRPr="009118AB">
        <w:rPr>
          <w:i/>
          <w:iCs/>
          <w:spacing w:val="-2"/>
        </w:rPr>
        <w:t>in Kraft ab dem Steuerjahr 2004</w:t>
      </w:r>
      <w:r w:rsidR="00FD68E8" w:rsidRPr="009118AB">
        <w:rPr>
          <w:i/>
          <w:iCs/>
          <w:spacing w:val="-2"/>
        </w:rPr>
        <w:t> -]</w:t>
      </w:r>
    </w:p>
    <w:p w14:paraId="70DBEE03" w14:textId="77777777" w:rsidR="00477B8F" w:rsidRPr="009118AB" w:rsidRDefault="00477B8F" w:rsidP="00CC0127">
      <w:pPr>
        <w:autoSpaceDE w:val="0"/>
        <w:autoSpaceDN w:val="0"/>
        <w:adjustRightInd w:val="0"/>
        <w:jc w:val="both"/>
      </w:pPr>
    </w:p>
    <w:p w14:paraId="4046EC97" w14:textId="77777777" w:rsidR="00477B8F" w:rsidRPr="009118AB" w:rsidRDefault="00477B8F" w:rsidP="00CC0127">
      <w:pPr>
        <w:autoSpaceDE w:val="0"/>
        <w:autoSpaceDN w:val="0"/>
        <w:adjustRightInd w:val="0"/>
        <w:jc w:val="both"/>
      </w:pPr>
    </w:p>
    <w:p w14:paraId="7BEF2E4D" w14:textId="673E71E3" w:rsidR="00477B8F" w:rsidRPr="009118AB" w:rsidRDefault="00477B8F" w:rsidP="00CC0127">
      <w:pPr>
        <w:autoSpaceDE w:val="0"/>
        <w:autoSpaceDN w:val="0"/>
        <w:adjustRightInd w:val="0"/>
        <w:jc w:val="both"/>
      </w:pPr>
      <w:r w:rsidRPr="009118AB">
        <w:tab/>
      </w:r>
      <w:r w:rsidR="00D67EB8" w:rsidRPr="009118AB">
        <w:rPr>
          <w:b/>
          <w:bCs/>
        </w:rPr>
        <w:t>Art. </w:t>
      </w:r>
      <w:r w:rsidRPr="009118AB">
        <w:rPr>
          <w:b/>
          <w:bCs/>
        </w:rPr>
        <w:t>31</w:t>
      </w:r>
      <w:r w:rsidR="00D67EB8" w:rsidRPr="009118AB">
        <w:t> - </w:t>
      </w:r>
      <w:r w:rsidR="0001730E" w:rsidRPr="009118AB">
        <w:t xml:space="preserve">[Unter Vorbehalt von Artikel 90 Absatz 1 </w:t>
      </w:r>
      <w:r w:rsidR="00D67EB8" w:rsidRPr="009118AB">
        <w:t>Nr. </w:t>
      </w:r>
      <w:r w:rsidR="0001730E" w:rsidRPr="009118AB">
        <w:t>1</w:t>
      </w:r>
      <w:r w:rsidR="0001730E" w:rsidRPr="009118AB">
        <w:rPr>
          <w:i/>
          <w:iCs/>
        </w:rPr>
        <w:t>ter</w:t>
      </w:r>
      <w:r w:rsidR="0001730E" w:rsidRPr="009118AB">
        <w:t xml:space="preserve"> sind Entlohnungen von Arbeitnehmern]</w:t>
      </w:r>
      <w:r w:rsidRPr="009118AB">
        <w:t xml:space="preserve"> alle Entgelte, die für den Arbeitnehmer den Ertrag seiner Arbeit im Dienst eines Arbeitgebers darstellen.</w:t>
      </w:r>
    </w:p>
    <w:p w14:paraId="21D02AD3" w14:textId="77777777" w:rsidR="00477B8F" w:rsidRPr="009118AB" w:rsidRDefault="00477B8F" w:rsidP="00CC0127">
      <w:pPr>
        <w:autoSpaceDE w:val="0"/>
        <w:autoSpaceDN w:val="0"/>
        <w:adjustRightInd w:val="0"/>
        <w:jc w:val="both"/>
      </w:pPr>
    </w:p>
    <w:p w14:paraId="4A079507" w14:textId="77777777" w:rsidR="00477B8F" w:rsidRPr="009118AB" w:rsidRDefault="00477B8F" w:rsidP="00CC0127">
      <w:pPr>
        <w:autoSpaceDE w:val="0"/>
        <w:autoSpaceDN w:val="0"/>
        <w:adjustRightInd w:val="0"/>
        <w:jc w:val="both"/>
      </w:pPr>
      <w:r w:rsidRPr="009118AB">
        <w:tab/>
        <w:t>Sie umfassen insbesondere:</w:t>
      </w:r>
    </w:p>
    <w:p w14:paraId="1FED061C" w14:textId="77777777" w:rsidR="00477B8F" w:rsidRPr="009118AB" w:rsidRDefault="00477B8F" w:rsidP="00CC0127">
      <w:pPr>
        <w:autoSpaceDE w:val="0"/>
        <w:autoSpaceDN w:val="0"/>
        <w:adjustRightInd w:val="0"/>
        <w:jc w:val="both"/>
      </w:pPr>
    </w:p>
    <w:p w14:paraId="63102E78" w14:textId="77777777" w:rsidR="00477B8F" w:rsidRPr="009118AB" w:rsidRDefault="00477B8F" w:rsidP="00CC0127">
      <w:pPr>
        <w:autoSpaceDE w:val="0"/>
        <w:autoSpaceDN w:val="0"/>
        <w:adjustRightInd w:val="0"/>
        <w:jc w:val="both"/>
      </w:pPr>
      <w:r w:rsidRPr="009118AB">
        <w:tab/>
        <w:t>1. Gehälter, Löhne, Provisionen, Zuwendungen, Prämien, Entschädigungen und alle anderen ähnlichen Entgelte, einschließlich der Trinkgelder und anderer, selbst zufälliger Zulagen, die aufgrund oder anlässlich der Ausübung der Berufstätigkeit aus anderen Gründen bezogen werden als zur Erstattung eigener Ausgaben des Arbeitgebers,</w:t>
      </w:r>
    </w:p>
    <w:p w14:paraId="7ED3AAAD" w14:textId="77777777" w:rsidR="00477B8F" w:rsidRPr="009118AB" w:rsidRDefault="00477B8F" w:rsidP="00CC0127">
      <w:pPr>
        <w:autoSpaceDE w:val="0"/>
        <w:autoSpaceDN w:val="0"/>
        <w:adjustRightInd w:val="0"/>
        <w:jc w:val="both"/>
      </w:pPr>
    </w:p>
    <w:p w14:paraId="19479D12" w14:textId="77777777" w:rsidR="00477B8F" w:rsidRPr="009118AB" w:rsidRDefault="00477B8F" w:rsidP="00CC0127">
      <w:pPr>
        <w:autoSpaceDE w:val="0"/>
        <w:autoSpaceDN w:val="0"/>
        <w:adjustRightInd w:val="0"/>
        <w:jc w:val="both"/>
      </w:pPr>
      <w:r w:rsidRPr="009118AB">
        <w:tab/>
        <w:t>2. Vorteile jeglicher Art, die aufgrund oder anlässlich der Ausübung der Berufstätigkeit bezogen werden,</w:t>
      </w:r>
    </w:p>
    <w:p w14:paraId="6B617681" w14:textId="77777777" w:rsidR="00477B8F" w:rsidRPr="009118AB" w:rsidRDefault="00477B8F" w:rsidP="00CC0127">
      <w:pPr>
        <w:autoSpaceDE w:val="0"/>
        <w:autoSpaceDN w:val="0"/>
        <w:adjustRightInd w:val="0"/>
        <w:jc w:val="both"/>
      </w:pPr>
    </w:p>
    <w:p w14:paraId="150C3132" w14:textId="77777777" w:rsidR="00477B8F" w:rsidRPr="009118AB" w:rsidRDefault="00477B8F" w:rsidP="00CC0127">
      <w:pPr>
        <w:autoSpaceDE w:val="0"/>
        <w:autoSpaceDN w:val="0"/>
        <w:adjustRightInd w:val="0"/>
        <w:jc w:val="both"/>
      </w:pPr>
      <w:r w:rsidRPr="009118AB">
        <w:tab/>
        <w:t>3. Entschädigungen, die aufgrund oder anlässlich der Einstellung der Arbeit oder der Beendigung eines Arbeitsvertrags bezogen werden,</w:t>
      </w:r>
    </w:p>
    <w:p w14:paraId="0FC8083C" w14:textId="77777777" w:rsidR="00477B8F" w:rsidRPr="009118AB" w:rsidRDefault="00477B8F" w:rsidP="00CC0127">
      <w:pPr>
        <w:autoSpaceDE w:val="0"/>
        <w:autoSpaceDN w:val="0"/>
        <w:adjustRightInd w:val="0"/>
        <w:jc w:val="both"/>
      </w:pPr>
    </w:p>
    <w:p w14:paraId="07F09AB3" w14:textId="39A31B17" w:rsidR="00477B8F" w:rsidRPr="009118AB" w:rsidRDefault="00477B8F" w:rsidP="00CC0127">
      <w:pPr>
        <w:autoSpaceDE w:val="0"/>
        <w:autoSpaceDN w:val="0"/>
        <w:adjustRightInd w:val="0"/>
        <w:jc w:val="both"/>
      </w:pPr>
      <w:r w:rsidRPr="009118AB">
        <w:tab/>
        <w:t xml:space="preserve">4. [Entschädigungen, die als vollständige Entschädigung oder Teilentschädigung für einen zeitweiligen Lohnausfall bezogen werden, einschließlich der Entschädigungen, die in Ausführung einer Solidaritätsvereinbarung, die in den Artikeln 10 und 11 des Gesetzes vom 28. April 2003 über ergänzende Pensionen und das Besteuerungssystem für diese Pensionen und für bestimmte Zusatzleistungen im Bereich der sozialen Sicherheit erwähnt ist, zuerkannt werden, und der Entschädigungen, die durch die in Artikel 52 </w:t>
      </w:r>
      <w:r w:rsidR="00D67EB8" w:rsidRPr="009118AB">
        <w:t>Nr. </w:t>
      </w:r>
      <w:r w:rsidRPr="009118AB">
        <w:t>3 Buchstabe </w:t>
      </w:r>
      <w:r w:rsidRPr="009118AB">
        <w:rPr>
          <w:i/>
          <w:iCs/>
        </w:rPr>
        <w:t>b)</w:t>
      </w:r>
      <w:r w:rsidRPr="009118AB">
        <w:t xml:space="preserve"> vierter Gedankenstrich erwähnten Beiträge und Prämien gebildet werden,]</w:t>
      </w:r>
    </w:p>
    <w:p w14:paraId="346B81A5" w14:textId="77777777" w:rsidR="00477B8F" w:rsidRPr="009118AB" w:rsidRDefault="00477B8F" w:rsidP="00CC0127">
      <w:pPr>
        <w:autoSpaceDE w:val="0"/>
        <w:autoSpaceDN w:val="0"/>
        <w:adjustRightInd w:val="0"/>
        <w:jc w:val="both"/>
      </w:pPr>
    </w:p>
    <w:p w14:paraId="1B596EC3" w14:textId="77777777" w:rsidR="00477B8F" w:rsidRPr="009118AB" w:rsidRDefault="00477B8F" w:rsidP="00CC0127">
      <w:pPr>
        <w:autoSpaceDE w:val="0"/>
        <w:autoSpaceDN w:val="0"/>
        <w:adjustRightInd w:val="0"/>
        <w:jc w:val="both"/>
      </w:pPr>
      <w:r w:rsidRPr="009118AB">
        <w:tab/>
        <w:t>5. Entlohnungen eines Arbeitnehmers, selbst wenn sie seinen Rechtsnachfolgern gezahlt oder zuerkannt werden.</w:t>
      </w:r>
    </w:p>
    <w:p w14:paraId="50FADDD2" w14:textId="77777777" w:rsidR="00477B8F" w:rsidRPr="009118AB" w:rsidRDefault="00477B8F" w:rsidP="00CC0127">
      <w:pPr>
        <w:autoSpaceDE w:val="0"/>
        <w:autoSpaceDN w:val="0"/>
        <w:adjustRightInd w:val="0"/>
        <w:jc w:val="both"/>
      </w:pPr>
    </w:p>
    <w:p w14:paraId="431C96DB" w14:textId="77777777" w:rsidR="00477B8F" w:rsidRPr="009118AB" w:rsidRDefault="00477B8F" w:rsidP="00CC0127">
      <w:pPr>
        <w:autoSpaceDE w:val="0"/>
        <w:autoSpaceDN w:val="0"/>
        <w:adjustRightInd w:val="0"/>
        <w:jc w:val="both"/>
      </w:pPr>
      <w:r w:rsidRPr="009118AB">
        <w:tab/>
        <w:t>[...]</w:t>
      </w:r>
    </w:p>
    <w:p w14:paraId="3AD43A08" w14:textId="77777777" w:rsidR="00656540" w:rsidRPr="009118AB" w:rsidRDefault="00656540" w:rsidP="00CC0127">
      <w:pPr>
        <w:autoSpaceDE w:val="0"/>
        <w:autoSpaceDN w:val="0"/>
        <w:adjustRightInd w:val="0"/>
        <w:jc w:val="both"/>
      </w:pPr>
    </w:p>
    <w:p w14:paraId="7AC32303" w14:textId="77777777" w:rsidR="00477B8F" w:rsidRPr="009118AB" w:rsidRDefault="00477B8F" w:rsidP="00CC0127">
      <w:pPr>
        <w:autoSpaceDE w:val="0"/>
        <w:autoSpaceDN w:val="0"/>
        <w:adjustRightInd w:val="0"/>
        <w:jc w:val="both"/>
      </w:pPr>
      <w:r w:rsidRPr="009118AB">
        <w:tab/>
        <w:t>[</w:t>
      </w:r>
      <w:r w:rsidR="00E655A3" w:rsidRPr="009118AB">
        <w:t>..</w:t>
      </w:r>
      <w:r w:rsidRPr="009118AB">
        <w:t>.]</w:t>
      </w:r>
    </w:p>
    <w:p w14:paraId="2B232FB0" w14:textId="77777777" w:rsidR="00477B8F" w:rsidRPr="009118AB" w:rsidRDefault="00477B8F" w:rsidP="00CC0127">
      <w:pPr>
        <w:autoSpaceDE w:val="0"/>
        <w:autoSpaceDN w:val="0"/>
        <w:adjustRightInd w:val="0"/>
        <w:jc w:val="both"/>
      </w:pPr>
    </w:p>
    <w:p w14:paraId="7FE947AE" w14:textId="77777777" w:rsidR="00477B8F" w:rsidRPr="009118AB" w:rsidRDefault="00477B8F" w:rsidP="00CC0127">
      <w:pPr>
        <w:autoSpaceDE w:val="0"/>
        <w:autoSpaceDN w:val="0"/>
        <w:adjustRightInd w:val="0"/>
        <w:jc w:val="both"/>
        <w:rPr>
          <w:spacing w:val="-2"/>
        </w:rPr>
      </w:pPr>
      <w:r w:rsidRPr="009118AB">
        <w:rPr>
          <w:spacing w:val="-2"/>
        </w:rPr>
        <w:lastRenderedPageBreak/>
        <w:tab/>
        <w:t>Der König legt Mindestbeträge für Entlohnungen fest, die zu Lasten von vollständig, haupt</w:t>
      </w:r>
      <w:r w:rsidR="00C5407D" w:rsidRPr="009118AB">
        <w:rPr>
          <w:spacing w:val="-2"/>
        </w:rPr>
        <w:softHyphen/>
      </w:r>
      <w:r w:rsidRPr="009118AB">
        <w:rPr>
          <w:spacing w:val="-2"/>
        </w:rPr>
        <w:t>sächlich oder zusätzlich mit Trinkgeldern entlohnten Arbeitnehmern steuerpflichtig sind.</w:t>
      </w:r>
    </w:p>
    <w:p w14:paraId="336FC8C3" w14:textId="77777777" w:rsidR="00477B8F" w:rsidRPr="009118AB" w:rsidRDefault="00477B8F" w:rsidP="00CC0127">
      <w:pPr>
        <w:autoSpaceDE w:val="0"/>
        <w:autoSpaceDN w:val="0"/>
        <w:adjustRightInd w:val="0"/>
        <w:jc w:val="both"/>
      </w:pPr>
    </w:p>
    <w:p w14:paraId="62759FB4" w14:textId="709D0E34" w:rsidR="00477B8F" w:rsidRPr="009118AB" w:rsidRDefault="00477B8F" w:rsidP="00CC0127">
      <w:pPr>
        <w:autoSpaceDE w:val="0"/>
        <w:autoSpaceDN w:val="0"/>
        <w:adjustRightInd w:val="0"/>
        <w:jc w:val="both"/>
      </w:pPr>
      <w:r w:rsidRPr="009118AB">
        <w:tab/>
        <w:t xml:space="preserve">[Als Entlohnungen sind ebenfalls Gehälter und Entschädigungen </w:t>
      </w:r>
      <w:r w:rsidR="00F94F5C">
        <w:t>[</w:t>
      </w:r>
      <w:r w:rsidR="00F94F5C" w:rsidRPr="004A76D6">
        <w:t>der Provinzabgeordneten</w:t>
      </w:r>
      <w:r w:rsidR="00F94F5C">
        <w:t>]</w:t>
      </w:r>
      <w:r w:rsidRPr="009118AB">
        <w:t xml:space="preserve"> steuerpflichtig, mit Ausnahme von Unkostenerstattungen, die in Zusammenhang mit der Ausübung der Funktion stehen.]</w:t>
      </w:r>
    </w:p>
    <w:p w14:paraId="557CA570" w14:textId="77777777" w:rsidR="00477B8F" w:rsidRPr="009118AB" w:rsidRDefault="00477B8F" w:rsidP="00CC0127">
      <w:pPr>
        <w:autoSpaceDE w:val="0"/>
        <w:autoSpaceDN w:val="0"/>
        <w:adjustRightInd w:val="0"/>
        <w:jc w:val="both"/>
      </w:pPr>
    </w:p>
    <w:p w14:paraId="29E3ACDB" w14:textId="4E0066A1" w:rsidR="00477B8F" w:rsidRPr="009118AB" w:rsidRDefault="00477B8F" w:rsidP="00CC0127">
      <w:pPr>
        <w:autoSpaceDE w:val="0"/>
        <w:autoSpaceDN w:val="0"/>
        <w:adjustRightInd w:val="0"/>
        <w:jc w:val="both"/>
      </w:pPr>
      <w:r w:rsidRPr="009118AB">
        <w:rPr>
          <w:i/>
          <w:iCs/>
        </w:rPr>
        <w:t>[</w:t>
      </w:r>
      <w:r w:rsidR="00D67EB8" w:rsidRPr="009118AB">
        <w:rPr>
          <w:i/>
          <w:iCs/>
        </w:rPr>
        <w:t>Art. </w:t>
      </w:r>
      <w:r w:rsidRPr="009118AB">
        <w:rPr>
          <w:i/>
          <w:iCs/>
        </w:rPr>
        <w:t xml:space="preserve">31 </w:t>
      </w:r>
      <w:r w:rsidR="00D67EB8" w:rsidRPr="009118AB">
        <w:rPr>
          <w:i/>
          <w:iCs/>
        </w:rPr>
        <w:t>Abs. </w:t>
      </w:r>
      <w:r w:rsidR="0001730E" w:rsidRPr="009118AB">
        <w:rPr>
          <w:i/>
          <w:iCs/>
        </w:rPr>
        <w:t xml:space="preserve">1 abgeändert durch </w:t>
      </w:r>
      <w:r w:rsidR="00D67EB8" w:rsidRPr="009118AB">
        <w:rPr>
          <w:i/>
          <w:iCs/>
        </w:rPr>
        <w:t>Art. </w:t>
      </w:r>
      <w:r w:rsidR="0001730E" w:rsidRPr="009118AB">
        <w:rPr>
          <w:i/>
          <w:iCs/>
        </w:rPr>
        <w:t>2 des G. vom 26. April 2022 (B.S. vom 6. Mai 2022)</w:t>
      </w:r>
      <w:r w:rsidR="00D67EB8" w:rsidRPr="009118AB">
        <w:rPr>
          <w:i/>
          <w:iCs/>
        </w:rPr>
        <w:t> - </w:t>
      </w:r>
      <w:r w:rsidR="0001730E" w:rsidRPr="009118AB">
        <w:rPr>
          <w:i/>
          <w:iCs/>
        </w:rPr>
        <w:t>anwendbar auf die ab dem 1. Januar 2022 bezogenen Einkünfte</w:t>
      </w:r>
      <w:r w:rsidR="003366D9" w:rsidRPr="009118AB">
        <w:rPr>
          <w:i/>
          <w:iCs/>
        </w:rPr>
        <w:t> -;</w:t>
      </w:r>
      <w:r w:rsidR="0001730E" w:rsidRPr="009118AB">
        <w:rPr>
          <w:i/>
          <w:iCs/>
        </w:rPr>
        <w:t xml:space="preserve"> </w:t>
      </w:r>
      <w:r w:rsidR="00D67EB8" w:rsidRPr="009118AB">
        <w:rPr>
          <w:i/>
          <w:iCs/>
        </w:rPr>
        <w:t>Abs. </w:t>
      </w:r>
      <w:r w:rsidRPr="009118AB">
        <w:rPr>
          <w:i/>
          <w:iCs/>
        </w:rPr>
        <w:t xml:space="preserve">2 </w:t>
      </w:r>
      <w:r w:rsidR="00D67EB8" w:rsidRPr="009118AB">
        <w:rPr>
          <w:i/>
          <w:iCs/>
        </w:rPr>
        <w:t>Nr. </w:t>
      </w:r>
      <w:r w:rsidRPr="009118AB">
        <w:rPr>
          <w:i/>
          <w:iCs/>
        </w:rPr>
        <w:t xml:space="preserve">4 ersetzt durch </w:t>
      </w:r>
      <w:r w:rsidR="00D67EB8" w:rsidRPr="009118AB">
        <w:rPr>
          <w:i/>
          <w:iCs/>
        </w:rPr>
        <w:t>Art. </w:t>
      </w:r>
      <w:r w:rsidRPr="009118AB">
        <w:rPr>
          <w:i/>
          <w:iCs/>
        </w:rPr>
        <w:t>74 des G. vom 28. April 2003 (B.S. vom 15. Mai 2003)</w:t>
      </w:r>
      <w:r w:rsidR="00D67EB8" w:rsidRPr="009118AB">
        <w:rPr>
          <w:i/>
          <w:iCs/>
        </w:rPr>
        <w:t> - </w:t>
      </w:r>
      <w:r w:rsidRPr="009118AB">
        <w:rPr>
          <w:i/>
          <w:iCs/>
        </w:rPr>
        <w:t xml:space="preserve">anwendbar auf Leibrenten, Renten, Entschädigungen, andere als in </w:t>
      </w:r>
      <w:r w:rsidR="00D67EB8" w:rsidRPr="009118AB">
        <w:rPr>
          <w:i/>
          <w:iCs/>
        </w:rPr>
        <w:t>Art. </w:t>
      </w:r>
      <w:r w:rsidRPr="009118AB">
        <w:rPr>
          <w:i/>
          <w:iCs/>
        </w:rPr>
        <w:t xml:space="preserve">23 </w:t>
      </w:r>
      <w:r w:rsidR="00D67EB8" w:rsidRPr="009118AB">
        <w:rPr>
          <w:i/>
          <w:iCs/>
        </w:rPr>
        <w:t>§ </w:t>
      </w:r>
      <w:r w:rsidRPr="009118AB">
        <w:rPr>
          <w:i/>
          <w:iCs/>
        </w:rPr>
        <w:t xml:space="preserve">3 Buchstabe A </w:t>
      </w:r>
      <w:r w:rsidR="00D67EB8" w:rsidRPr="009118AB">
        <w:rPr>
          <w:i/>
          <w:iCs/>
        </w:rPr>
        <w:t>Nr. </w:t>
      </w:r>
      <w:r w:rsidRPr="009118AB">
        <w:rPr>
          <w:i/>
          <w:iCs/>
        </w:rPr>
        <w:t>6 erwähnte Kapitalien, Rückkaufswerte von Lebensversicherungsverträgen, Pensionen und ergänzende Pensionen, die ab dem 1. Januar 2004 ausgezahlt werden</w:t>
      </w:r>
      <w:r w:rsidR="003366D9" w:rsidRPr="009118AB">
        <w:rPr>
          <w:i/>
          <w:iCs/>
        </w:rPr>
        <w:t> -;</w:t>
      </w:r>
      <w:r w:rsidRPr="009118AB">
        <w:rPr>
          <w:i/>
          <w:iCs/>
        </w:rPr>
        <w:t xml:space="preserve"> früherer Absatz 3 eingefügt durch </w:t>
      </w:r>
      <w:r w:rsidR="00D67EB8" w:rsidRPr="009118AB">
        <w:rPr>
          <w:i/>
          <w:iCs/>
        </w:rPr>
        <w:t>Art. </w:t>
      </w:r>
      <w:r w:rsidRPr="009118AB">
        <w:rPr>
          <w:i/>
          <w:iCs/>
        </w:rPr>
        <w:t xml:space="preserve">3 des G. vom 30. März 1994 (B.S. vom 31. März 1994) und aufgehoben durch </w:t>
      </w:r>
      <w:r w:rsidR="00D67EB8" w:rsidRPr="009118AB">
        <w:rPr>
          <w:i/>
          <w:iCs/>
        </w:rPr>
        <w:t>Art. </w:t>
      </w:r>
      <w:r w:rsidRPr="009118AB">
        <w:rPr>
          <w:i/>
          <w:iCs/>
        </w:rPr>
        <w:t>91 des G. vom 21. Dezember 1994 (B.S. vom 23. Dezember 1994)</w:t>
      </w:r>
      <w:r w:rsidR="00D67EB8" w:rsidRPr="009118AB">
        <w:rPr>
          <w:i/>
          <w:iCs/>
        </w:rPr>
        <w:t> - </w:t>
      </w:r>
      <w:r w:rsidRPr="009118AB">
        <w:rPr>
          <w:i/>
          <w:iCs/>
        </w:rPr>
        <w:t>anwendbar ab dem Steuerjahr 1995</w:t>
      </w:r>
      <w:r w:rsidR="003366D9" w:rsidRPr="009118AB">
        <w:rPr>
          <w:i/>
          <w:iCs/>
        </w:rPr>
        <w:t> -;</w:t>
      </w:r>
      <w:r w:rsidRPr="009118AB">
        <w:rPr>
          <w:i/>
          <w:iCs/>
        </w:rPr>
        <w:t xml:space="preserve"> </w:t>
      </w:r>
      <w:r w:rsidR="00E655A3" w:rsidRPr="009118AB">
        <w:rPr>
          <w:i/>
          <w:iCs/>
        </w:rPr>
        <w:t>früherer Absatz 4</w:t>
      </w:r>
      <w:r w:rsidRPr="009118AB">
        <w:rPr>
          <w:i/>
          <w:iCs/>
        </w:rPr>
        <w:t xml:space="preserve"> </w:t>
      </w:r>
      <w:r w:rsidR="00E655A3" w:rsidRPr="009118AB">
        <w:rPr>
          <w:i/>
          <w:iCs/>
        </w:rPr>
        <w:t xml:space="preserve">aufgehoben durch </w:t>
      </w:r>
      <w:r w:rsidR="00D67EB8" w:rsidRPr="009118AB">
        <w:rPr>
          <w:i/>
          <w:iCs/>
        </w:rPr>
        <w:t>Art. </w:t>
      </w:r>
      <w:r w:rsidR="00E655A3" w:rsidRPr="009118AB">
        <w:rPr>
          <w:i/>
          <w:iCs/>
        </w:rPr>
        <w:t>14</w:t>
      </w:r>
      <w:r w:rsidR="00E655A3" w:rsidRPr="009118AB">
        <w:rPr>
          <w:i/>
        </w:rPr>
        <w:t xml:space="preserve"> des G. vom 8. Mai 2014 (B.S. vom 28. Mai 2014)</w:t>
      </w:r>
      <w:r w:rsidR="00D67EB8" w:rsidRPr="009118AB">
        <w:rPr>
          <w:i/>
        </w:rPr>
        <w:t> - </w:t>
      </w:r>
      <w:r w:rsidR="00E655A3" w:rsidRPr="009118AB">
        <w:rPr>
          <w:i/>
          <w:iCs/>
        </w:rPr>
        <w:t>anwendbar ab dem Steuerjahr 2015</w:t>
      </w:r>
      <w:r w:rsidR="003366D9" w:rsidRPr="009118AB">
        <w:rPr>
          <w:i/>
          <w:iCs/>
        </w:rPr>
        <w:t> -;</w:t>
      </w:r>
      <w:r w:rsidRPr="009118AB">
        <w:rPr>
          <w:i/>
          <w:iCs/>
        </w:rPr>
        <w:t xml:space="preserve"> </w:t>
      </w:r>
      <w:r w:rsidR="00D67EB8" w:rsidRPr="009118AB">
        <w:rPr>
          <w:i/>
          <w:iCs/>
        </w:rPr>
        <w:t>Abs. </w:t>
      </w:r>
      <w:r w:rsidR="00E655A3" w:rsidRPr="009118AB">
        <w:rPr>
          <w:i/>
          <w:iCs/>
        </w:rPr>
        <w:t>4</w:t>
      </w:r>
      <w:r w:rsidRPr="009118AB">
        <w:rPr>
          <w:i/>
          <w:iCs/>
        </w:rPr>
        <w:t xml:space="preserve"> </w:t>
      </w:r>
      <w:r w:rsidR="00C5407D" w:rsidRPr="009118AB">
        <w:rPr>
          <w:i/>
          <w:iCs/>
        </w:rPr>
        <w:t xml:space="preserve">(früherer Absatz 5) </w:t>
      </w:r>
      <w:r w:rsidRPr="009118AB">
        <w:rPr>
          <w:i/>
          <w:iCs/>
        </w:rPr>
        <w:t xml:space="preserve">eingefügt durch </w:t>
      </w:r>
      <w:r w:rsidR="00D67EB8" w:rsidRPr="009118AB">
        <w:rPr>
          <w:i/>
          <w:iCs/>
        </w:rPr>
        <w:t>Art. </w:t>
      </w:r>
      <w:r w:rsidRPr="009118AB">
        <w:rPr>
          <w:i/>
          <w:iCs/>
        </w:rPr>
        <w:t>6 des G. vom 4. Mai 1999 (III) (B.S. vom 28. Juli 1999)</w:t>
      </w:r>
      <w:r w:rsidR="00D67EB8" w:rsidRPr="009118AB">
        <w:rPr>
          <w:i/>
          <w:iCs/>
        </w:rPr>
        <w:t> - </w:t>
      </w:r>
      <w:r w:rsidRPr="009118AB">
        <w:rPr>
          <w:i/>
          <w:iCs/>
        </w:rPr>
        <w:t>in Kraft ab dem 8. Oktober 2000</w:t>
      </w:r>
      <w:r w:rsidR="00FD68E8" w:rsidRPr="009118AB">
        <w:rPr>
          <w:i/>
          <w:iCs/>
        </w:rPr>
        <w:t> -</w:t>
      </w:r>
      <w:r w:rsidR="00F94F5C">
        <w:rPr>
          <w:i/>
          <w:iCs/>
        </w:rPr>
        <w:t xml:space="preserve"> und abgeändert durch Art. 30</w:t>
      </w:r>
      <w:r w:rsidR="00F94F5C" w:rsidRPr="00F94F5C">
        <w:rPr>
          <w:i/>
          <w:iCs/>
        </w:rPr>
        <w:t xml:space="preserve"> des G. vom 22. Dezember 2023</w:t>
      </w:r>
      <w:r w:rsidR="00552005">
        <w:rPr>
          <w:i/>
          <w:iCs/>
        </w:rPr>
        <w:t> (I)</w:t>
      </w:r>
      <w:r w:rsidR="00F94F5C" w:rsidRPr="00F94F5C">
        <w:rPr>
          <w:i/>
          <w:iCs/>
        </w:rPr>
        <w:t xml:space="preserve"> (B.S. vom 29. Dezember 2023</w:t>
      </w:r>
      <w:r w:rsidR="0006356F">
        <w:rPr>
          <w:i/>
          <w:iCs/>
        </w:rPr>
        <w:t>)</w:t>
      </w:r>
      <w:r w:rsidR="00FD68E8" w:rsidRPr="009118AB">
        <w:rPr>
          <w:i/>
          <w:iCs/>
        </w:rPr>
        <w:t>]</w:t>
      </w:r>
    </w:p>
    <w:p w14:paraId="1E6B0801" w14:textId="77777777" w:rsidR="00477B8F" w:rsidRPr="009118AB" w:rsidRDefault="00477B8F" w:rsidP="00CC0127">
      <w:pPr>
        <w:autoSpaceDE w:val="0"/>
        <w:autoSpaceDN w:val="0"/>
        <w:adjustRightInd w:val="0"/>
        <w:jc w:val="both"/>
      </w:pPr>
    </w:p>
    <w:p w14:paraId="0B1EDBEB" w14:textId="77777777" w:rsidR="00477B8F" w:rsidRPr="009118AB" w:rsidRDefault="00477B8F" w:rsidP="00CC0127">
      <w:pPr>
        <w:autoSpaceDE w:val="0"/>
        <w:autoSpaceDN w:val="0"/>
        <w:adjustRightInd w:val="0"/>
        <w:jc w:val="both"/>
      </w:pPr>
    </w:p>
    <w:p w14:paraId="39E779C6" w14:textId="6358B0CD" w:rsidR="00D5040F" w:rsidRPr="009118AB" w:rsidRDefault="00477B8F" w:rsidP="00FE058D">
      <w:pPr>
        <w:autoSpaceDE w:val="0"/>
        <w:autoSpaceDN w:val="0"/>
        <w:adjustRightInd w:val="0"/>
        <w:ind w:firstLine="709"/>
        <w:jc w:val="both"/>
      </w:pPr>
      <w:r w:rsidRPr="009118AB">
        <w:t>[</w:t>
      </w:r>
      <w:r w:rsidR="00D67EB8" w:rsidRPr="009118AB">
        <w:rPr>
          <w:b/>
          <w:bCs/>
        </w:rPr>
        <w:t>Art. </w:t>
      </w:r>
      <w:r w:rsidRPr="009118AB">
        <w:rPr>
          <w:b/>
          <w:bCs/>
        </w:rPr>
        <w:t>31</w:t>
      </w:r>
      <w:r w:rsidRPr="009118AB">
        <w:rPr>
          <w:b/>
          <w:bCs/>
          <w:i/>
          <w:iCs/>
        </w:rPr>
        <w:t>bis</w:t>
      </w:r>
      <w:r w:rsidR="00D67EB8" w:rsidRPr="009118AB">
        <w:t> - </w:t>
      </w:r>
      <w:r w:rsidR="00D5040F" w:rsidRPr="009118AB">
        <w:t xml:space="preserve">[In Artikel 31 Absatz 2 </w:t>
      </w:r>
      <w:r w:rsidR="00D67EB8" w:rsidRPr="009118AB">
        <w:t>Nr. </w:t>
      </w:r>
      <w:r w:rsidR="00D5040F" w:rsidRPr="009118AB">
        <w:t>4 erwähnte Entschädigungen umfassen ebenfalls:</w:t>
      </w:r>
    </w:p>
    <w:p w14:paraId="00376BA3" w14:textId="77777777" w:rsidR="00D5040F" w:rsidRPr="009118AB" w:rsidRDefault="00D5040F" w:rsidP="00FE058D">
      <w:pPr>
        <w:autoSpaceDE w:val="0"/>
        <w:autoSpaceDN w:val="0"/>
        <w:adjustRightInd w:val="0"/>
        <w:ind w:firstLine="709"/>
        <w:jc w:val="both"/>
      </w:pPr>
    </w:p>
    <w:p w14:paraId="6929035C" w14:textId="77777777" w:rsidR="00D5040F" w:rsidRPr="009118AB" w:rsidRDefault="00D5040F" w:rsidP="00FE058D">
      <w:pPr>
        <w:autoSpaceDE w:val="0"/>
        <w:autoSpaceDN w:val="0"/>
        <w:adjustRightInd w:val="0"/>
        <w:ind w:firstLine="709"/>
        <w:jc w:val="both"/>
      </w:pPr>
      <w:r w:rsidRPr="009118AB">
        <w:t>1. [[Arbeitslosengeld mit Betriebszuschlag] und Zusatzentschädigungen, die der Arbeitnehmer in einem Inaktivi</w:t>
      </w:r>
      <w:r w:rsidRPr="009118AB">
        <w:softHyphen/>
        <w:t>tätszeitraum, einem Zeitraum der Wiederaufnahme der Arbeit bei einem anderen Arbeitgeber oder der Wiederaufnahme der Arbeit als Selbständiger bezieht. Vorerwähnte Zusatzentschädi</w:t>
      </w:r>
      <w:r w:rsidRPr="009118AB">
        <w:softHyphen/>
        <w:t>gungen sind, sofern die Verpflichtung des ehemaligen Arbeitgebers, diese Entschädigungen nach Wiederaufnahme der Arbeit weiterhin zu zahlen, tatsächlich in einem kollektiven Arbeitsabkom</w:t>
      </w:r>
      <w:r w:rsidRPr="009118AB">
        <w:softHyphen/>
        <w:t>men oder einem individuellen Abkommen vermerkt ist, das die Zahlung der Zusatzentschädigung vorsieht:]</w:t>
      </w:r>
    </w:p>
    <w:p w14:paraId="6572D4A3" w14:textId="77777777" w:rsidR="00D5040F" w:rsidRPr="009118AB" w:rsidRDefault="00D5040F" w:rsidP="00FE058D">
      <w:pPr>
        <w:autoSpaceDE w:val="0"/>
        <w:autoSpaceDN w:val="0"/>
        <w:adjustRightInd w:val="0"/>
        <w:ind w:firstLine="709"/>
        <w:jc w:val="both"/>
      </w:pPr>
    </w:p>
    <w:p w14:paraId="01544EE1" w14:textId="77777777" w:rsidR="00D5040F" w:rsidRPr="009118AB" w:rsidRDefault="00D5040F" w:rsidP="00FE058D">
      <w:pPr>
        <w:autoSpaceDE w:val="0"/>
        <w:autoSpaceDN w:val="0"/>
        <w:adjustRightInd w:val="0"/>
        <w:ind w:firstLine="709"/>
        <w:jc w:val="both"/>
      </w:pPr>
      <w:r w:rsidRPr="009118AB">
        <w:t>- Zusatzentschädigungen, die ein ehemaliger Arbeitnehmer, der das Alter von fünfzig Jahren erreicht hat, zusätzlich zu [Arbeitslosengeld mit Betriebszuschlag] bezieht,</w:t>
      </w:r>
    </w:p>
    <w:p w14:paraId="1A62C32A" w14:textId="77777777" w:rsidR="00D5040F" w:rsidRPr="009118AB" w:rsidRDefault="00D5040F" w:rsidP="00FE058D">
      <w:pPr>
        <w:autoSpaceDE w:val="0"/>
        <w:autoSpaceDN w:val="0"/>
        <w:adjustRightInd w:val="0"/>
        <w:ind w:firstLine="709"/>
        <w:jc w:val="both"/>
      </w:pPr>
    </w:p>
    <w:p w14:paraId="59E5E94A" w14:textId="77777777" w:rsidR="00D5040F" w:rsidRPr="009118AB" w:rsidRDefault="00D5040F" w:rsidP="00FE058D">
      <w:pPr>
        <w:autoSpaceDE w:val="0"/>
        <w:autoSpaceDN w:val="0"/>
        <w:adjustRightInd w:val="0"/>
        <w:ind w:firstLine="709"/>
        <w:jc w:val="both"/>
      </w:pPr>
      <w:r w:rsidRPr="009118AB">
        <w:t>- [Zusatzentschädigungen, die ein ehemaliger Arbeitnehmer, der das Alter von fünfzig Jahren erreicht hat und als Vollarbeitsloser Arbeitslosengeld erhält oder erhalten könnte, wenn er die Arbeit nicht wieder aufgenommen hätte, direkt oder indirekt bezieht, sofern das diesbe</w:t>
      </w:r>
      <w:r w:rsidRPr="009118AB">
        <w:softHyphen/>
        <w:t>zügliche Abkommen kein sektorielles kollektives Arbeitsabkommen ist, das vor dem 30. Septem</w:t>
      </w:r>
      <w:r w:rsidRPr="009118AB">
        <w:softHyphen/>
        <w:t>ber 2005 abgeschlossen wurde, oder kein Sektorenabkommen ist, das ein solches Abkommen ohne Unterbrechung verlängert,]</w:t>
      </w:r>
    </w:p>
    <w:p w14:paraId="6433A8B7" w14:textId="77777777" w:rsidR="00D5040F" w:rsidRPr="009118AB" w:rsidRDefault="00D5040F" w:rsidP="00FE058D">
      <w:pPr>
        <w:autoSpaceDE w:val="0"/>
        <w:autoSpaceDN w:val="0"/>
        <w:adjustRightInd w:val="0"/>
        <w:ind w:firstLine="709"/>
        <w:jc w:val="both"/>
      </w:pPr>
    </w:p>
    <w:p w14:paraId="2CDC5B22" w14:textId="10053A23" w:rsidR="00D5040F" w:rsidRPr="009118AB" w:rsidRDefault="00D5040F" w:rsidP="00FE058D">
      <w:pPr>
        <w:autoSpaceDE w:val="0"/>
        <w:autoSpaceDN w:val="0"/>
        <w:adjustRightInd w:val="0"/>
        <w:ind w:firstLine="709"/>
        <w:jc w:val="both"/>
      </w:pPr>
      <w:r w:rsidRPr="009118AB">
        <w:t xml:space="preserve">2. in </w:t>
      </w:r>
      <w:r w:rsidR="00D67EB8" w:rsidRPr="009118AB">
        <w:t>Nr. </w:t>
      </w:r>
      <w:r w:rsidRPr="009118AB">
        <w:t>1 erwähnte Zusatzentschädigungen, sofern die Verpflichtung des ehemaligen Arbeitgebers, diese Entschädigungen nach Wiederaufnahme der Arbeit weiterhin zu zahlen, nicht in einem kollektiven Arbeitsabkommen oder einem individuellen Abkommen vermerkt ist, das die Zahlung der Zusatzentschädigung vorsieht.</w:t>
      </w:r>
    </w:p>
    <w:p w14:paraId="1CA0FB59" w14:textId="77777777" w:rsidR="00D5040F" w:rsidRPr="009118AB" w:rsidRDefault="00D5040F" w:rsidP="00FE058D">
      <w:pPr>
        <w:autoSpaceDE w:val="0"/>
        <w:autoSpaceDN w:val="0"/>
        <w:adjustRightInd w:val="0"/>
        <w:ind w:firstLine="709"/>
        <w:jc w:val="both"/>
      </w:pPr>
    </w:p>
    <w:p w14:paraId="66D7508F" w14:textId="77777777" w:rsidR="00D5040F" w:rsidRPr="009118AB" w:rsidRDefault="00D5040F" w:rsidP="00FE058D">
      <w:pPr>
        <w:autoSpaceDE w:val="0"/>
        <w:autoSpaceDN w:val="0"/>
        <w:adjustRightInd w:val="0"/>
        <w:ind w:firstLine="709"/>
        <w:jc w:val="both"/>
      </w:pPr>
      <w:r w:rsidRPr="009118AB">
        <w:t>[...]]]</w:t>
      </w:r>
    </w:p>
    <w:p w14:paraId="6D3A65DF" w14:textId="77777777" w:rsidR="00D5040F" w:rsidRPr="009118AB" w:rsidRDefault="00D5040F" w:rsidP="00FE058D">
      <w:pPr>
        <w:autoSpaceDE w:val="0"/>
        <w:autoSpaceDN w:val="0"/>
        <w:adjustRightInd w:val="0"/>
        <w:ind w:firstLine="709"/>
        <w:jc w:val="both"/>
      </w:pPr>
    </w:p>
    <w:p w14:paraId="746319BD" w14:textId="526C52C6" w:rsidR="00D5040F" w:rsidRPr="009118AB" w:rsidRDefault="00D5040F" w:rsidP="00FE058D">
      <w:pPr>
        <w:autoSpaceDE w:val="0"/>
        <w:autoSpaceDN w:val="0"/>
        <w:adjustRightInd w:val="0"/>
        <w:ind w:firstLine="709"/>
        <w:jc w:val="both"/>
      </w:pPr>
      <w:r w:rsidRPr="009118AB">
        <w:lastRenderedPageBreak/>
        <w:t>[[Arbeitslosengeld mit Betriebszuschlag setzt] sich wie folgt zusammen:</w:t>
      </w:r>
    </w:p>
    <w:p w14:paraId="18DF6013" w14:textId="77777777" w:rsidR="00D5040F" w:rsidRPr="009118AB" w:rsidRDefault="00D5040F" w:rsidP="00FE058D">
      <w:pPr>
        <w:autoSpaceDE w:val="0"/>
        <w:autoSpaceDN w:val="0"/>
        <w:adjustRightInd w:val="0"/>
        <w:ind w:firstLine="709"/>
        <w:jc w:val="both"/>
      </w:pPr>
    </w:p>
    <w:p w14:paraId="4C75687B" w14:textId="77777777" w:rsidR="00D5040F" w:rsidRPr="009118AB" w:rsidRDefault="00D5040F" w:rsidP="00FE058D">
      <w:pPr>
        <w:autoSpaceDE w:val="0"/>
        <w:autoSpaceDN w:val="0"/>
        <w:adjustRightInd w:val="0"/>
        <w:ind w:firstLine="709"/>
        <w:jc w:val="both"/>
      </w:pPr>
      <w:r w:rsidRPr="009118AB">
        <w:t>1. Arbeitslosengeld,</w:t>
      </w:r>
    </w:p>
    <w:p w14:paraId="4F361DA2" w14:textId="77777777" w:rsidR="00D5040F" w:rsidRPr="009118AB" w:rsidRDefault="00D5040F" w:rsidP="00FE058D">
      <w:pPr>
        <w:autoSpaceDE w:val="0"/>
        <w:autoSpaceDN w:val="0"/>
        <w:adjustRightInd w:val="0"/>
        <w:ind w:firstLine="709"/>
        <w:jc w:val="both"/>
      </w:pPr>
    </w:p>
    <w:p w14:paraId="6A1BBFB8" w14:textId="46DEF8BE" w:rsidR="00D5040F" w:rsidRPr="009118AB" w:rsidRDefault="00D5040F" w:rsidP="00FE058D">
      <w:pPr>
        <w:autoSpaceDE w:val="0"/>
        <w:autoSpaceDN w:val="0"/>
        <w:adjustRightInd w:val="0"/>
        <w:ind w:firstLine="709"/>
        <w:jc w:val="both"/>
      </w:pPr>
      <w:r w:rsidRPr="009118AB">
        <w:t xml:space="preserve">2. [dem Betriebszuschlag] erwähnt in Artikel 4 </w:t>
      </w:r>
      <w:r w:rsidR="00D67EB8" w:rsidRPr="009118AB">
        <w:t>§ </w:t>
      </w:r>
      <w:r w:rsidRPr="009118AB">
        <w:t xml:space="preserve">3 zweiter Gedankenstrich des kollektiven Arbeitsabkommens </w:t>
      </w:r>
      <w:r w:rsidR="00D67EB8" w:rsidRPr="009118AB">
        <w:t>Nr. </w:t>
      </w:r>
      <w:r w:rsidRPr="009118AB">
        <w:t>17 vom 19. Dezember 1974 zur Einführung einer Zusatz</w:t>
      </w:r>
      <w:r w:rsidRPr="009118AB">
        <w:softHyphen/>
        <w:t xml:space="preserve">entschädigungsregelung für bestimmte ältere Arbeitnehmer im Falle einer Kündigung und [dem Betriebszuschlag] erwähnt in einem kollektiven Arbeitsabkommen, das gemäß den Bestimmungen des Gesetzes vom 5. Dezember 1968 über die kollektiven Arbeitsabkommen und die paritätischen Kommissionen abgeschlossen wurde und Vorteile vorsieht, die mindestens denen entsprechen, die in vorerwähntem kollektiven Arbeitsabkommen </w:t>
      </w:r>
      <w:r w:rsidR="00D67EB8" w:rsidRPr="009118AB">
        <w:t>Nr. </w:t>
      </w:r>
      <w:r w:rsidRPr="009118AB">
        <w:t>17 vorgesehen sind.]</w:t>
      </w:r>
    </w:p>
    <w:p w14:paraId="4596D6F3" w14:textId="77777777" w:rsidR="00D5040F" w:rsidRPr="009118AB" w:rsidRDefault="00D5040F" w:rsidP="00D5040F">
      <w:pPr>
        <w:autoSpaceDE w:val="0"/>
        <w:autoSpaceDN w:val="0"/>
        <w:adjustRightInd w:val="0"/>
        <w:jc w:val="both"/>
      </w:pPr>
    </w:p>
    <w:p w14:paraId="46C111B4" w14:textId="609A3518" w:rsidR="00D5040F" w:rsidRPr="009118AB" w:rsidRDefault="00FE058D" w:rsidP="00D5040F">
      <w:pPr>
        <w:autoSpaceDE w:val="0"/>
        <w:autoSpaceDN w:val="0"/>
        <w:adjustRightInd w:val="0"/>
        <w:jc w:val="both"/>
        <w:rPr>
          <w:i/>
          <w:iCs/>
        </w:rPr>
      </w:pPr>
      <w:r w:rsidRPr="009118AB">
        <w:rPr>
          <w:i/>
          <w:iCs/>
        </w:rPr>
        <w:t>[</w:t>
      </w:r>
      <w:r w:rsidR="00D67EB8" w:rsidRPr="009118AB">
        <w:rPr>
          <w:i/>
          <w:iCs/>
        </w:rPr>
        <w:t>Art. </w:t>
      </w:r>
      <w:r w:rsidR="00D5040F" w:rsidRPr="009118AB">
        <w:rPr>
          <w:i/>
          <w:iCs/>
        </w:rPr>
        <w:t>31bis eingefügt dur</w:t>
      </w:r>
      <w:r w:rsidRPr="009118AB">
        <w:rPr>
          <w:i/>
          <w:iCs/>
        </w:rPr>
        <w:t xml:space="preserve">ch </w:t>
      </w:r>
      <w:r w:rsidR="00D67EB8" w:rsidRPr="009118AB">
        <w:rPr>
          <w:i/>
          <w:iCs/>
        </w:rPr>
        <w:t>Art. </w:t>
      </w:r>
      <w:r w:rsidR="00D5040F" w:rsidRPr="009118AB">
        <w:rPr>
          <w:i/>
          <w:iCs/>
        </w:rPr>
        <w:t>94 des G. vom 23. Dezember 2005 (B.S. vom 30. Dezember 2005)</w:t>
      </w:r>
      <w:r w:rsidR="00D67EB8" w:rsidRPr="009118AB">
        <w:rPr>
          <w:i/>
          <w:iCs/>
        </w:rPr>
        <w:t> - </w:t>
      </w:r>
      <w:r w:rsidR="00D5040F" w:rsidRPr="009118AB">
        <w:rPr>
          <w:i/>
          <w:iCs/>
        </w:rPr>
        <w:t>anwendbar auf die ab dem 1. Januar 2006 gezahlten oder zuerkannten Entschädigungen</w:t>
      </w:r>
      <w:r w:rsidR="00D67EB8" w:rsidRPr="009118AB">
        <w:rPr>
          <w:i/>
          <w:iCs/>
        </w:rPr>
        <w:t> - </w:t>
      </w:r>
      <w:r w:rsidR="00D5040F" w:rsidRPr="009118AB">
        <w:rPr>
          <w:i/>
          <w:iCs/>
        </w:rPr>
        <w:t>un</w:t>
      </w:r>
      <w:r w:rsidRPr="009118AB">
        <w:rPr>
          <w:i/>
          <w:iCs/>
        </w:rPr>
        <w:t xml:space="preserve">d ersetzt durch </w:t>
      </w:r>
      <w:r w:rsidR="00D67EB8" w:rsidRPr="009118AB">
        <w:rPr>
          <w:i/>
          <w:iCs/>
        </w:rPr>
        <w:t>Art. </w:t>
      </w:r>
      <w:r w:rsidR="00D5040F" w:rsidRPr="009118AB">
        <w:rPr>
          <w:i/>
          <w:iCs/>
        </w:rPr>
        <w:t>276 des G. </w:t>
      </w:r>
      <w:r w:rsidRPr="009118AB">
        <w:rPr>
          <w:i/>
          <w:iCs/>
        </w:rPr>
        <w:t xml:space="preserve">(I) vom 27. Dezember 2006 (II) (B.S. </w:t>
      </w:r>
      <w:r w:rsidR="00D5040F" w:rsidRPr="009118AB">
        <w:rPr>
          <w:i/>
          <w:iCs/>
        </w:rPr>
        <w:t>vom 28. Dezember 2006)</w:t>
      </w:r>
      <w:r w:rsidR="00D67EB8" w:rsidRPr="009118AB">
        <w:rPr>
          <w:i/>
          <w:iCs/>
        </w:rPr>
        <w:t> - </w:t>
      </w:r>
      <w:r w:rsidR="00D5040F" w:rsidRPr="009118AB">
        <w:rPr>
          <w:i/>
          <w:iCs/>
        </w:rPr>
        <w:t>anwendbar auf die ab dem 1. Januar 2006 gezahlten oder zuerkannte</w:t>
      </w:r>
      <w:r w:rsidRPr="009118AB">
        <w:rPr>
          <w:i/>
          <w:iCs/>
        </w:rPr>
        <w:t>n Zusatzentschädigungen</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00D5040F" w:rsidRPr="009118AB">
        <w:rPr>
          <w:i/>
          <w:iCs/>
        </w:rPr>
        <w:t>1 einziger Absatz einleitende Besti</w:t>
      </w:r>
      <w:r w:rsidRPr="009118AB">
        <w:rPr>
          <w:i/>
          <w:iCs/>
        </w:rPr>
        <w:t xml:space="preserve">mmung ersetzt durch </w:t>
      </w:r>
      <w:r w:rsidR="00D67EB8" w:rsidRPr="009118AB">
        <w:rPr>
          <w:i/>
          <w:iCs/>
        </w:rPr>
        <w:t>Art. </w:t>
      </w:r>
      <w:r w:rsidRPr="009118AB">
        <w:rPr>
          <w:i/>
          <w:iCs/>
        </w:rPr>
        <w:t xml:space="preserve">33 </w:t>
      </w:r>
      <w:r w:rsidR="00D67EB8" w:rsidRPr="009118AB">
        <w:rPr>
          <w:i/>
          <w:iCs/>
        </w:rPr>
        <w:t>Nr. </w:t>
      </w:r>
      <w:r w:rsidR="00D5040F" w:rsidRPr="009118AB">
        <w:rPr>
          <w:i/>
          <w:iCs/>
        </w:rPr>
        <w:t>1 des G. vom 17. Mai 2007 (B.S. vom 19. Juni 2007)</w:t>
      </w:r>
      <w:r w:rsidR="00D67EB8" w:rsidRPr="009118AB">
        <w:rPr>
          <w:i/>
          <w:iCs/>
        </w:rPr>
        <w:t> - </w:t>
      </w:r>
      <w:r w:rsidR="00D5040F" w:rsidRPr="009118AB">
        <w:rPr>
          <w:i/>
          <w:iCs/>
        </w:rPr>
        <w:t xml:space="preserve">anwendbar </w:t>
      </w:r>
      <w:r w:rsidR="00D5040F" w:rsidRPr="009118AB">
        <w:rPr>
          <w:i/>
        </w:rPr>
        <w:t xml:space="preserve">auf die ab dem </w:t>
      </w:r>
      <w:r w:rsidR="00D5040F" w:rsidRPr="009118AB">
        <w:rPr>
          <w:i/>
          <w:iCs/>
        </w:rPr>
        <w:t>1. Januar 2007 gezahlten oder zuerkannten Zusatzentschädigungen</w:t>
      </w:r>
      <w:r w:rsidR="00D67EB8" w:rsidRPr="009118AB">
        <w:rPr>
          <w:i/>
          <w:iCs/>
        </w:rPr>
        <w:t> - </w:t>
      </w:r>
      <w:r w:rsidR="00D5040F" w:rsidRPr="009118AB">
        <w:rPr>
          <w:i/>
          <w:iCs/>
        </w:rPr>
        <w:t xml:space="preserve">und abgeändert durch </w:t>
      </w:r>
      <w:r w:rsidR="00D67EB8" w:rsidRPr="009118AB">
        <w:rPr>
          <w:i/>
          <w:iCs/>
        </w:rPr>
        <w:t>Art. </w:t>
      </w:r>
      <w:r w:rsidR="00D5040F" w:rsidRPr="009118AB">
        <w:rPr>
          <w:i/>
          <w:iCs/>
        </w:rPr>
        <w:t xml:space="preserve">8 </w:t>
      </w:r>
      <w:r w:rsidR="00D67EB8" w:rsidRPr="009118AB">
        <w:rPr>
          <w:i/>
          <w:iCs/>
        </w:rPr>
        <w:t>Nr. </w:t>
      </w:r>
      <w:r w:rsidR="00D5040F" w:rsidRPr="009118AB">
        <w:rPr>
          <w:i/>
          <w:iCs/>
        </w:rPr>
        <w:t>1 des G. vom 17. Juni 2013 (B.S. vom 28. Juni 2013)</w:t>
      </w:r>
      <w:r w:rsidR="00D67EB8" w:rsidRPr="009118AB">
        <w:rPr>
          <w:i/>
          <w:iCs/>
        </w:rPr>
        <w:t> - </w:t>
      </w:r>
      <w:r w:rsidR="00D5040F" w:rsidRPr="009118AB">
        <w:rPr>
          <w:i/>
          <w:iCs/>
        </w:rPr>
        <w:t>wirksam mit 1.</w:t>
      </w:r>
      <w:r w:rsidRPr="009118AB">
        <w:rPr>
          <w:rFonts w:hint="eastAsia"/>
          <w:i/>
          <w:iCs/>
        </w:rPr>
        <w:t> </w:t>
      </w:r>
      <w:r w:rsidR="00D5040F" w:rsidRPr="009118AB">
        <w:rPr>
          <w:i/>
          <w:iCs/>
        </w:rPr>
        <w:t>Januar 2013</w:t>
      </w:r>
      <w:r w:rsidR="003366D9" w:rsidRPr="009118AB">
        <w:rPr>
          <w:i/>
          <w:iCs/>
        </w:rPr>
        <w:t> -;</w:t>
      </w:r>
      <w:r w:rsidR="00D5040F" w:rsidRPr="009118AB">
        <w:rPr>
          <w:i/>
          <w:iCs/>
        </w:rPr>
        <w:t xml:space="preserve"> </w:t>
      </w:r>
      <w:r w:rsidR="00D67EB8" w:rsidRPr="009118AB">
        <w:rPr>
          <w:i/>
          <w:iCs/>
        </w:rPr>
        <w:t>Abs. </w:t>
      </w:r>
      <w:r w:rsidRPr="009118AB">
        <w:rPr>
          <w:i/>
          <w:iCs/>
        </w:rPr>
        <w:t xml:space="preserve">1 </w:t>
      </w:r>
      <w:r w:rsidR="00D67EB8" w:rsidRPr="009118AB">
        <w:rPr>
          <w:i/>
          <w:iCs/>
        </w:rPr>
        <w:t>Nr. </w:t>
      </w:r>
      <w:r w:rsidR="00D5040F" w:rsidRPr="009118AB">
        <w:rPr>
          <w:i/>
          <w:iCs/>
        </w:rPr>
        <w:t xml:space="preserve">1 einziger Absatz erster Gedankenstrich abgeändert durch </w:t>
      </w:r>
      <w:r w:rsidR="00D67EB8" w:rsidRPr="009118AB">
        <w:rPr>
          <w:i/>
          <w:iCs/>
        </w:rPr>
        <w:t>Art. </w:t>
      </w:r>
      <w:r w:rsidR="00D5040F" w:rsidRPr="009118AB">
        <w:rPr>
          <w:i/>
          <w:iCs/>
        </w:rPr>
        <w:t xml:space="preserve">8 </w:t>
      </w:r>
      <w:r w:rsidR="00D67EB8" w:rsidRPr="009118AB">
        <w:rPr>
          <w:i/>
          <w:iCs/>
        </w:rPr>
        <w:t>Nr. </w:t>
      </w:r>
      <w:r w:rsidR="00D5040F" w:rsidRPr="009118AB">
        <w:rPr>
          <w:i/>
          <w:iCs/>
        </w:rPr>
        <w:t>2 des G. vom 17. Juni 2013 (B.S. vom 28. Juni 2013)</w:t>
      </w:r>
      <w:r w:rsidR="00D67EB8" w:rsidRPr="009118AB">
        <w:rPr>
          <w:i/>
          <w:iCs/>
        </w:rPr>
        <w:t> - </w:t>
      </w:r>
      <w:r w:rsidR="00D5040F" w:rsidRPr="009118AB">
        <w:rPr>
          <w:i/>
          <w:iCs/>
        </w:rPr>
        <w:t>wirksam mit 1.</w:t>
      </w:r>
      <w:r w:rsidRPr="009118AB">
        <w:rPr>
          <w:rFonts w:hint="eastAsia"/>
          <w:i/>
          <w:iCs/>
        </w:rPr>
        <w:t> </w:t>
      </w:r>
      <w:r w:rsidR="00D5040F" w:rsidRPr="009118AB">
        <w:rPr>
          <w:i/>
          <w:iCs/>
        </w:rPr>
        <w:t>Januar 2013</w:t>
      </w:r>
      <w:r w:rsidR="003366D9" w:rsidRPr="009118AB">
        <w:rPr>
          <w:i/>
          <w:iCs/>
        </w:rPr>
        <w:t> -;</w:t>
      </w:r>
      <w:r w:rsidR="00D5040F" w:rsidRPr="009118AB">
        <w:rPr>
          <w:i/>
          <w:iCs/>
        </w:rPr>
        <w:t xml:space="preserve"> </w:t>
      </w:r>
      <w:r w:rsidR="00D67EB8" w:rsidRPr="009118AB">
        <w:rPr>
          <w:i/>
          <w:iCs/>
        </w:rPr>
        <w:t>Abs. </w:t>
      </w:r>
      <w:r w:rsidRPr="009118AB">
        <w:rPr>
          <w:i/>
          <w:iCs/>
        </w:rPr>
        <w:t xml:space="preserve">1 </w:t>
      </w:r>
      <w:r w:rsidR="00D67EB8" w:rsidRPr="009118AB">
        <w:rPr>
          <w:i/>
          <w:iCs/>
        </w:rPr>
        <w:t>Nr. </w:t>
      </w:r>
      <w:r w:rsidR="00D5040F" w:rsidRPr="009118AB">
        <w:rPr>
          <w:i/>
          <w:iCs/>
        </w:rPr>
        <w:t xml:space="preserve">1 einziger Absatz zweiter Gedankenstrich ersetzt durch </w:t>
      </w:r>
      <w:r w:rsidR="00D67EB8" w:rsidRPr="009118AB">
        <w:rPr>
          <w:i/>
          <w:iCs/>
        </w:rPr>
        <w:t>Art. </w:t>
      </w:r>
      <w:r w:rsidR="00D5040F" w:rsidRPr="009118AB">
        <w:rPr>
          <w:i/>
          <w:iCs/>
        </w:rPr>
        <w:t xml:space="preserve">33 </w:t>
      </w:r>
      <w:r w:rsidR="00D67EB8" w:rsidRPr="009118AB">
        <w:rPr>
          <w:i/>
          <w:iCs/>
        </w:rPr>
        <w:t>Nr. </w:t>
      </w:r>
      <w:r w:rsidR="00AD1D88" w:rsidRPr="009118AB">
        <w:rPr>
          <w:i/>
          <w:iCs/>
        </w:rPr>
        <w:t xml:space="preserve">2 des G. vom 17. Mai 2007 (B.S. </w:t>
      </w:r>
      <w:r w:rsidR="00D5040F" w:rsidRPr="009118AB">
        <w:rPr>
          <w:i/>
          <w:iCs/>
        </w:rPr>
        <w:t>vom 19. Juni 2007)</w:t>
      </w:r>
      <w:r w:rsidR="00D67EB8" w:rsidRPr="009118AB">
        <w:rPr>
          <w:i/>
          <w:iCs/>
        </w:rPr>
        <w:t> - </w:t>
      </w:r>
      <w:r w:rsidR="00D5040F" w:rsidRPr="009118AB">
        <w:rPr>
          <w:i/>
          <w:iCs/>
        </w:rPr>
        <w:t>anwendbar auf die ab dem 1. Januar 2007 gezahlten oder zuerkannten Zusatzentschädigungen</w:t>
      </w:r>
      <w:r w:rsidR="003366D9" w:rsidRPr="009118AB">
        <w:rPr>
          <w:i/>
          <w:iCs/>
        </w:rPr>
        <w:t> -;</w:t>
      </w:r>
      <w:r w:rsidR="00D5040F" w:rsidRPr="009118AB">
        <w:rPr>
          <w:i/>
          <w:iCs/>
        </w:rPr>
        <w:t xml:space="preserve"> früherer Absatz 2 aufgehoben durch </w:t>
      </w:r>
      <w:r w:rsidR="00D67EB8" w:rsidRPr="009118AB">
        <w:rPr>
          <w:i/>
          <w:iCs/>
        </w:rPr>
        <w:t>Art. </w:t>
      </w:r>
      <w:r w:rsidR="00D5040F" w:rsidRPr="009118AB">
        <w:rPr>
          <w:i/>
          <w:iCs/>
        </w:rPr>
        <w:t>102 des G. (I) vom 26. Dezember 2015</w:t>
      </w:r>
      <w:r w:rsidR="00856C91" w:rsidRPr="009118AB">
        <w:rPr>
          <w:i/>
          <w:iCs/>
        </w:rPr>
        <w:t> (I)</w:t>
      </w:r>
      <w:r w:rsidR="00D5040F" w:rsidRPr="009118AB">
        <w:rPr>
          <w:i/>
          <w:iCs/>
        </w:rPr>
        <w:t xml:space="preserve"> (B.S. vom 30. Dezember 2015)</w:t>
      </w:r>
      <w:r w:rsidR="00D67EB8" w:rsidRPr="009118AB">
        <w:rPr>
          <w:i/>
          <w:iCs/>
        </w:rPr>
        <w:t> - </w:t>
      </w:r>
      <w:r w:rsidR="004C4FD1" w:rsidRPr="009118AB">
        <w:rPr>
          <w:i/>
          <w:iCs/>
        </w:rPr>
        <w:t>in Kraft ab dem Steuerjahr 2017</w:t>
      </w:r>
      <w:r w:rsidR="003366D9" w:rsidRPr="009118AB">
        <w:rPr>
          <w:i/>
          <w:iCs/>
        </w:rPr>
        <w:t> -;</w:t>
      </w:r>
      <w:r w:rsidR="00D5040F" w:rsidRPr="009118AB">
        <w:rPr>
          <w:i/>
          <w:iCs/>
        </w:rPr>
        <w:t xml:space="preserve"> </w:t>
      </w:r>
      <w:r w:rsidR="00D67EB8" w:rsidRPr="009118AB">
        <w:rPr>
          <w:i/>
          <w:iCs/>
        </w:rPr>
        <w:t>Abs. </w:t>
      </w:r>
      <w:r w:rsidR="00D5040F" w:rsidRPr="009118AB">
        <w:rPr>
          <w:i/>
          <w:iCs/>
        </w:rPr>
        <w:t xml:space="preserve">2 </w:t>
      </w:r>
      <w:r w:rsidR="00203225" w:rsidRPr="009118AB">
        <w:rPr>
          <w:i/>
          <w:iCs/>
        </w:rPr>
        <w:t xml:space="preserve">(früherer Absatz 3 </w:t>
      </w:r>
      <w:r w:rsidR="00D5040F" w:rsidRPr="009118AB">
        <w:rPr>
          <w:i/>
          <w:iCs/>
        </w:rPr>
        <w:t>eingefüg</w:t>
      </w:r>
      <w:r w:rsidR="00AD1D88" w:rsidRPr="009118AB">
        <w:rPr>
          <w:i/>
          <w:iCs/>
        </w:rPr>
        <w:t xml:space="preserve">t durch </w:t>
      </w:r>
      <w:r w:rsidR="00D67EB8" w:rsidRPr="009118AB">
        <w:rPr>
          <w:i/>
          <w:iCs/>
        </w:rPr>
        <w:t>Art. </w:t>
      </w:r>
      <w:r w:rsidR="00AD1D88" w:rsidRPr="009118AB">
        <w:rPr>
          <w:i/>
          <w:iCs/>
        </w:rPr>
        <w:t xml:space="preserve">33 </w:t>
      </w:r>
      <w:r w:rsidR="00D67EB8" w:rsidRPr="009118AB">
        <w:rPr>
          <w:i/>
          <w:iCs/>
        </w:rPr>
        <w:t>Nr. </w:t>
      </w:r>
      <w:r w:rsidR="00D5040F" w:rsidRPr="009118AB">
        <w:rPr>
          <w:i/>
          <w:iCs/>
        </w:rPr>
        <w:t>3 des G. vom 17. Mai 2007 (B.S. vom 19. Juni 2007)</w:t>
      </w:r>
      <w:r w:rsidR="00D67EB8" w:rsidRPr="009118AB">
        <w:rPr>
          <w:i/>
          <w:iCs/>
        </w:rPr>
        <w:t> - </w:t>
      </w:r>
      <w:r w:rsidR="00D5040F" w:rsidRPr="009118AB">
        <w:rPr>
          <w:i/>
          <w:iCs/>
        </w:rPr>
        <w:t>anwendbar auf die ab dem 1. Januar 2007 gezahlten oder zuerkannten Zusatzentschädigungen</w:t>
      </w:r>
      <w:r w:rsidR="003366D9" w:rsidRPr="009118AB">
        <w:rPr>
          <w:i/>
          <w:iCs/>
        </w:rPr>
        <w:t> -;</w:t>
      </w:r>
      <w:r w:rsidR="00D5040F" w:rsidRPr="009118AB">
        <w:rPr>
          <w:i/>
          <w:iCs/>
        </w:rPr>
        <w:t xml:space="preserve"> </w:t>
      </w:r>
      <w:r w:rsidR="00D67EB8" w:rsidRPr="009118AB">
        <w:rPr>
          <w:i/>
          <w:iCs/>
        </w:rPr>
        <w:t>Abs. </w:t>
      </w:r>
      <w:r w:rsidR="00D5040F" w:rsidRPr="009118AB">
        <w:rPr>
          <w:i/>
          <w:iCs/>
        </w:rPr>
        <w:t xml:space="preserve">2 einleitende Bestimmung abgeändert durch </w:t>
      </w:r>
      <w:r w:rsidR="00D67EB8" w:rsidRPr="009118AB">
        <w:rPr>
          <w:i/>
          <w:iCs/>
        </w:rPr>
        <w:t>Art. </w:t>
      </w:r>
      <w:r w:rsidR="00D5040F" w:rsidRPr="009118AB">
        <w:rPr>
          <w:i/>
          <w:iCs/>
        </w:rPr>
        <w:t xml:space="preserve">8 </w:t>
      </w:r>
      <w:r w:rsidR="00D67EB8" w:rsidRPr="009118AB">
        <w:rPr>
          <w:i/>
          <w:iCs/>
        </w:rPr>
        <w:t>Nr. </w:t>
      </w:r>
      <w:r w:rsidR="00D5040F" w:rsidRPr="009118AB">
        <w:rPr>
          <w:i/>
          <w:iCs/>
        </w:rPr>
        <w:t>3 des G. vom 17. Juni 2013 (B.S. vom 28. Juni 2013)</w:t>
      </w:r>
      <w:r w:rsidR="00D67EB8" w:rsidRPr="009118AB">
        <w:rPr>
          <w:i/>
          <w:iCs/>
        </w:rPr>
        <w:t> - </w:t>
      </w:r>
      <w:r w:rsidR="00D5040F" w:rsidRPr="009118AB">
        <w:rPr>
          <w:i/>
          <w:iCs/>
        </w:rPr>
        <w:t>wirksam mit 1. Januar 2013</w:t>
      </w:r>
      <w:r w:rsidR="003366D9" w:rsidRPr="009118AB">
        <w:rPr>
          <w:i/>
          <w:iCs/>
        </w:rPr>
        <w:t> -;</w:t>
      </w:r>
      <w:r w:rsidR="00D5040F" w:rsidRPr="009118AB">
        <w:rPr>
          <w:i/>
          <w:iCs/>
        </w:rPr>
        <w:t xml:space="preserve"> </w:t>
      </w:r>
      <w:r w:rsidR="00D67EB8" w:rsidRPr="009118AB">
        <w:rPr>
          <w:i/>
          <w:iCs/>
        </w:rPr>
        <w:t>Abs. </w:t>
      </w:r>
      <w:r w:rsidR="00D5040F" w:rsidRPr="009118AB">
        <w:rPr>
          <w:i/>
          <w:iCs/>
        </w:rPr>
        <w:t xml:space="preserve">2 </w:t>
      </w:r>
      <w:r w:rsidR="00D67EB8" w:rsidRPr="009118AB">
        <w:rPr>
          <w:i/>
          <w:iCs/>
        </w:rPr>
        <w:t>Nr. </w:t>
      </w:r>
      <w:r w:rsidR="00D5040F" w:rsidRPr="009118AB">
        <w:rPr>
          <w:i/>
          <w:iCs/>
        </w:rPr>
        <w:t xml:space="preserve">2 abgeändert durch </w:t>
      </w:r>
      <w:r w:rsidR="00D67EB8" w:rsidRPr="009118AB">
        <w:rPr>
          <w:i/>
          <w:iCs/>
        </w:rPr>
        <w:t>Art. </w:t>
      </w:r>
      <w:r w:rsidR="00D5040F" w:rsidRPr="009118AB">
        <w:rPr>
          <w:i/>
          <w:iCs/>
        </w:rPr>
        <w:t xml:space="preserve">8 </w:t>
      </w:r>
      <w:r w:rsidR="00D67EB8" w:rsidRPr="009118AB">
        <w:rPr>
          <w:i/>
          <w:iCs/>
        </w:rPr>
        <w:t>Nr. </w:t>
      </w:r>
      <w:r w:rsidR="00D5040F" w:rsidRPr="009118AB">
        <w:rPr>
          <w:i/>
          <w:iCs/>
        </w:rPr>
        <w:t>4 des G. vom 17. Juni 2013 (B.S. vom 28. Juni 2013)</w:t>
      </w:r>
      <w:r w:rsidR="00D67EB8" w:rsidRPr="009118AB">
        <w:rPr>
          <w:i/>
          <w:iCs/>
        </w:rPr>
        <w:t> - </w:t>
      </w:r>
      <w:r w:rsidR="00D5040F" w:rsidRPr="009118AB">
        <w:rPr>
          <w:i/>
          <w:iCs/>
        </w:rPr>
        <w:t>wirksam mit 1. Januar 2013</w:t>
      </w:r>
      <w:r w:rsidR="00FD68E8" w:rsidRPr="009118AB">
        <w:rPr>
          <w:i/>
          <w:iCs/>
        </w:rPr>
        <w:t> -]</w:t>
      </w:r>
    </w:p>
    <w:p w14:paraId="77D0EFAB" w14:textId="0A7085E6" w:rsidR="00D5040F" w:rsidRPr="009118AB" w:rsidRDefault="00D5040F" w:rsidP="002001C3">
      <w:pPr>
        <w:autoSpaceDE w:val="0"/>
        <w:autoSpaceDN w:val="0"/>
        <w:adjustRightInd w:val="0"/>
        <w:jc w:val="both"/>
      </w:pPr>
    </w:p>
    <w:p w14:paraId="19CD7A3C" w14:textId="7AD713AE" w:rsidR="00814518" w:rsidRPr="009118AB" w:rsidRDefault="00814518" w:rsidP="002001C3">
      <w:pPr>
        <w:autoSpaceDE w:val="0"/>
        <w:autoSpaceDN w:val="0"/>
        <w:adjustRightInd w:val="0"/>
        <w:jc w:val="both"/>
      </w:pPr>
    </w:p>
    <w:p w14:paraId="281AE9C8" w14:textId="591C3B60" w:rsidR="00814518" w:rsidRPr="009118AB" w:rsidRDefault="00814518" w:rsidP="001057B6">
      <w:pPr>
        <w:ind w:firstLine="708"/>
        <w:jc w:val="both"/>
      </w:pPr>
      <w:r w:rsidRPr="009118AB">
        <w:tab/>
        <w:t>[</w:t>
      </w:r>
      <w:r w:rsidR="00D67EB8" w:rsidRPr="009118AB">
        <w:rPr>
          <w:b/>
        </w:rPr>
        <w:t>Art. </w:t>
      </w:r>
      <w:r w:rsidRPr="009118AB">
        <w:rPr>
          <w:b/>
        </w:rPr>
        <w:t>31</w:t>
      </w:r>
      <w:r w:rsidRPr="009118AB">
        <w:rPr>
          <w:b/>
          <w:i/>
          <w:iCs/>
        </w:rPr>
        <w:t>ter</w:t>
      </w:r>
      <w:r w:rsidR="00D67EB8" w:rsidRPr="009118AB">
        <w:t> - </w:t>
      </w:r>
      <w:r w:rsidR="001057B6" w:rsidRPr="009118AB">
        <w:t>[...]</w:t>
      </w:r>
      <w:r w:rsidRPr="009118AB">
        <w:t>]</w:t>
      </w:r>
    </w:p>
    <w:p w14:paraId="19F0308A" w14:textId="2E82D3B5" w:rsidR="00814518" w:rsidRPr="009118AB" w:rsidRDefault="00814518" w:rsidP="00814518">
      <w:pPr>
        <w:autoSpaceDE w:val="0"/>
        <w:autoSpaceDN w:val="0"/>
        <w:adjustRightInd w:val="0"/>
        <w:jc w:val="both"/>
      </w:pPr>
    </w:p>
    <w:p w14:paraId="6C009BB8" w14:textId="505A2C9B" w:rsidR="00814518" w:rsidRPr="009118AB" w:rsidRDefault="00814518" w:rsidP="00814518">
      <w:pPr>
        <w:autoSpaceDE w:val="0"/>
        <w:autoSpaceDN w:val="0"/>
        <w:adjustRightInd w:val="0"/>
        <w:jc w:val="both"/>
        <w:rPr>
          <w:i/>
        </w:rPr>
      </w:pPr>
      <w:r w:rsidRPr="009118AB">
        <w:rPr>
          <w:i/>
        </w:rPr>
        <w:t>[</w:t>
      </w:r>
      <w:r w:rsidR="00D67EB8" w:rsidRPr="009118AB">
        <w:rPr>
          <w:i/>
        </w:rPr>
        <w:t>Art. </w:t>
      </w:r>
      <w:r w:rsidRPr="009118AB">
        <w:rPr>
          <w:i/>
        </w:rPr>
        <w:t xml:space="preserve">31ter eingefügt durch </w:t>
      </w:r>
      <w:r w:rsidR="00D67EB8" w:rsidRPr="009118AB">
        <w:rPr>
          <w:i/>
        </w:rPr>
        <w:t>Art. </w:t>
      </w:r>
      <w:r w:rsidRPr="009118AB">
        <w:rPr>
          <w:i/>
        </w:rPr>
        <w:t>22 des G. vom 7. April 2019 (I) (B.S. vom 19. April 2019)</w:t>
      </w:r>
      <w:r w:rsidR="001057B6" w:rsidRPr="009118AB">
        <w:rPr>
          <w:i/>
        </w:rPr>
        <w:t xml:space="preserve"> und aufgehoben durch Art. 6</w:t>
      </w:r>
      <w:r w:rsidR="001057B6" w:rsidRPr="009118AB">
        <w:rPr>
          <w:i/>
          <w:iCs/>
        </w:rPr>
        <w:t xml:space="preserve"> des G. vom 31. Juli 2023 (II) (B.S. vom 23. August 2023)</w:t>
      </w:r>
      <w:r w:rsidRPr="009118AB">
        <w:rPr>
          <w:i/>
        </w:rPr>
        <w:t>]</w:t>
      </w:r>
    </w:p>
    <w:p w14:paraId="4C9B1783" w14:textId="77777777" w:rsidR="00814518" w:rsidRPr="009118AB" w:rsidRDefault="00814518" w:rsidP="00814518">
      <w:pPr>
        <w:autoSpaceDE w:val="0"/>
        <w:autoSpaceDN w:val="0"/>
        <w:adjustRightInd w:val="0"/>
        <w:jc w:val="both"/>
        <w:rPr>
          <w:i/>
        </w:rPr>
      </w:pPr>
    </w:p>
    <w:p w14:paraId="258765B0" w14:textId="77777777" w:rsidR="00D5040F" w:rsidRPr="009118AB" w:rsidRDefault="00D5040F" w:rsidP="002001C3">
      <w:pPr>
        <w:autoSpaceDE w:val="0"/>
        <w:autoSpaceDN w:val="0"/>
        <w:adjustRightInd w:val="0"/>
        <w:jc w:val="both"/>
      </w:pPr>
    </w:p>
    <w:p w14:paraId="5654E06F" w14:textId="7E3881B1" w:rsidR="00477B8F" w:rsidRPr="009118AB" w:rsidRDefault="00477B8F" w:rsidP="002001C3">
      <w:pPr>
        <w:autoSpaceDE w:val="0"/>
        <w:autoSpaceDN w:val="0"/>
        <w:adjustRightInd w:val="0"/>
        <w:jc w:val="both"/>
      </w:pPr>
      <w:r w:rsidRPr="009118AB">
        <w:tab/>
      </w:r>
      <w:r w:rsidR="00D67EB8" w:rsidRPr="009118AB">
        <w:rPr>
          <w:b/>
          <w:bCs/>
        </w:rPr>
        <w:t>Art. </w:t>
      </w:r>
      <w:r w:rsidRPr="009118AB">
        <w:rPr>
          <w:b/>
          <w:bCs/>
        </w:rPr>
        <w:t>32</w:t>
      </w:r>
      <w:r w:rsidR="00D67EB8" w:rsidRPr="009118AB">
        <w:t> - </w:t>
      </w:r>
      <w:r w:rsidRPr="009118AB">
        <w:t>[[Entlohnungen von Unternehmensleitern sind alle Entgelte, die natürlichen Personen gewährt oder zuerkannt werden:</w:t>
      </w:r>
    </w:p>
    <w:p w14:paraId="1132F7D1" w14:textId="77777777" w:rsidR="00477B8F" w:rsidRPr="009118AB" w:rsidRDefault="00477B8F" w:rsidP="002001C3">
      <w:pPr>
        <w:autoSpaceDE w:val="0"/>
        <w:autoSpaceDN w:val="0"/>
        <w:adjustRightInd w:val="0"/>
        <w:jc w:val="both"/>
      </w:pPr>
    </w:p>
    <w:p w14:paraId="6B59B935" w14:textId="77777777" w:rsidR="00477B8F" w:rsidRPr="009118AB" w:rsidRDefault="00477B8F" w:rsidP="002001C3">
      <w:pPr>
        <w:autoSpaceDE w:val="0"/>
        <w:autoSpaceDN w:val="0"/>
        <w:adjustRightInd w:val="0"/>
        <w:jc w:val="both"/>
      </w:pPr>
      <w:r w:rsidRPr="009118AB">
        <w:tab/>
        <w:t>1. die das Mandat eines Verwalters, Geschäftsführers, Liquidators oder ähnliche Funktionen ausüben,</w:t>
      </w:r>
    </w:p>
    <w:p w14:paraId="6C230D81" w14:textId="77777777" w:rsidR="00477B8F" w:rsidRPr="009118AB" w:rsidRDefault="00477B8F" w:rsidP="002001C3">
      <w:pPr>
        <w:autoSpaceDE w:val="0"/>
        <w:autoSpaceDN w:val="0"/>
        <w:adjustRightInd w:val="0"/>
        <w:jc w:val="both"/>
      </w:pPr>
    </w:p>
    <w:p w14:paraId="17C9F365" w14:textId="77777777" w:rsidR="009E7102" w:rsidRPr="009118AB" w:rsidRDefault="00477B8F" w:rsidP="002001C3">
      <w:pPr>
        <w:autoSpaceDE w:val="0"/>
        <w:autoSpaceDN w:val="0"/>
        <w:adjustRightInd w:val="0"/>
        <w:jc w:val="both"/>
      </w:pPr>
      <w:r w:rsidRPr="009118AB">
        <w:tab/>
        <w:t>2. die in der Gesellschaft außerhalb eines Arbeitsvertrags eine leitende Funktion oder eine leitende Tätigkeit der täglichen Geschäftsführung ausüben, die kommerzieller, finanzieller oder technischer Art ist.]</w:t>
      </w:r>
    </w:p>
    <w:p w14:paraId="398B21F7" w14:textId="77777777" w:rsidR="003D57B7" w:rsidRPr="009118AB" w:rsidRDefault="003D57B7" w:rsidP="002001C3">
      <w:pPr>
        <w:autoSpaceDE w:val="0"/>
        <w:autoSpaceDN w:val="0"/>
        <w:adjustRightInd w:val="0"/>
        <w:jc w:val="both"/>
      </w:pPr>
    </w:p>
    <w:p w14:paraId="29A2C405" w14:textId="77777777" w:rsidR="00477B8F" w:rsidRPr="009118AB" w:rsidRDefault="00477B8F" w:rsidP="002001C3">
      <w:pPr>
        <w:autoSpaceDE w:val="0"/>
        <w:autoSpaceDN w:val="0"/>
        <w:adjustRightInd w:val="0"/>
        <w:jc w:val="both"/>
      </w:pPr>
      <w:r w:rsidRPr="009118AB">
        <w:tab/>
        <w:t>Sie umfassen insbesondere:</w:t>
      </w:r>
    </w:p>
    <w:p w14:paraId="6446ABA3" w14:textId="77777777" w:rsidR="00477B8F" w:rsidRPr="009118AB" w:rsidRDefault="00477B8F" w:rsidP="002001C3">
      <w:pPr>
        <w:autoSpaceDE w:val="0"/>
        <w:autoSpaceDN w:val="0"/>
        <w:adjustRightInd w:val="0"/>
        <w:jc w:val="both"/>
      </w:pPr>
    </w:p>
    <w:p w14:paraId="0633726C" w14:textId="77777777" w:rsidR="00477B8F" w:rsidRPr="009118AB" w:rsidRDefault="00477B8F" w:rsidP="002001C3">
      <w:pPr>
        <w:autoSpaceDE w:val="0"/>
        <w:autoSpaceDN w:val="0"/>
        <w:adjustRightInd w:val="0"/>
        <w:jc w:val="both"/>
      </w:pPr>
      <w:r w:rsidRPr="009118AB">
        <w:tab/>
        <w:t>1. festgesetzte oder veränderliche Tantiemen, Anwesenheitsgelder, Bezüge und alle anderen von Gesellschaften bewilligten Summen mit Ausnahme von Dividenden oder Erstattungen gesellschaftseigener Kosten,</w:t>
      </w:r>
    </w:p>
    <w:p w14:paraId="7EB9436A" w14:textId="77777777" w:rsidR="00477B8F" w:rsidRPr="009118AB" w:rsidRDefault="00477B8F" w:rsidP="002001C3">
      <w:pPr>
        <w:autoSpaceDE w:val="0"/>
        <w:autoSpaceDN w:val="0"/>
        <w:adjustRightInd w:val="0"/>
        <w:jc w:val="both"/>
      </w:pPr>
    </w:p>
    <w:p w14:paraId="245C43D4" w14:textId="607174AA" w:rsidR="00477B8F" w:rsidRPr="009118AB" w:rsidRDefault="00477B8F" w:rsidP="002001C3">
      <w:pPr>
        <w:autoSpaceDE w:val="0"/>
        <w:autoSpaceDN w:val="0"/>
        <w:adjustRightInd w:val="0"/>
        <w:jc w:val="both"/>
      </w:pPr>
      <w:r w:rsidRPr="009118AB">
        <w:tab/>
        <w:t xml:space="preserve">2. Vorteile, Entschädigungen und Entlohnungen, die im Wesen denjenigen entsprechen, die in Artikel 31 Absatz 2 </w:t>
      </w:r>
      <w:r w:rsidR="00D67EB8" w:rsidRPr="009118AB">
        <w:t>Nr. </w:t>
      </w:r>
      <w:r w:rsidRPr="009118AB">
        <w:t>2 bis 5 erwähnt sind,</w:t>
      </w:r>
    </w:p>
    <w:p w14:paraId="02A2DB7C" w14:textId="77777777" w:rsidR="00477B8F" w:rsidRPr="009118AB" w:rsidRDefault="00477B8F" w:rsidP="002001C3">
      <w:pPr>
        <w:autoSpaceDE w:val="0"/>
        <w:autoSpaceDN w:val="0"/>
        <w:adjustRightInd w:val="0"/>
        <w:jc w:val="both"/>
      </w:pPr>
    </w:p>
    <w:p w14:paraId="3CCAD1C1" w14:textId="308A1536" w:rsidR="00477B8F" w:rsidRPr="009118AB" w:rsidRDefault="00477B8F" w:rsidP="002001C3">
      <w:pPr>
        <w:autoSpaceDE w:val="0"/>
        <w:autoSpaceDN w:val="0"/>
        <w:adjustRightInd w:val="0"/>
        <w:jc w:val="both"/>
      </w:pPr>
      <w:r w:rsidRPr="009118AB">
        <w:tab/>
        <w:t xml:space="preserve">3. in Abweichung von Artikel 7 Mietpreis und Mietvorteile eines bebauten unbeweglichen Gutes, das von den in Absatz 1 </w:t>
      </w:r>
      <w:r w:rsidR="00D67EB8" w:rsidRPr="009118AB">
        <w:t>Nr. </w:t>
      </w:r>
      <w:r w:rsidRPr="009118AB">
        <w:t>1 erwähnten Personen an die Gesellschaft vermietet wird, in der sie ein Mandat oder ähnliche Funktionen ausüben, sofern Mietpreis und Mietvorteile höher sind als fünf Drittel des entsprechend dem Koeffizienten in Artikel 13 neu bewerteten Katastereinkommens. Von diesen Entlohnungen werden Kosten in Bezug auf das vermietete unbewegliche Gut nicht abgezogen.]</w:t>
      </w:r>
    </w:p>
    <w:p w14:paraId="4BDDAB50" w14:textId="77777777" w:rsidR="00477B8F" w:rsidRPr="009118AB" w:rsidRDefault="00477B8F" w:rsidP="002001C3">
      <w:pPr>
        <w:autoSpaceDE w:val="0"/>
        <w:autoSpaceDN w:val="0"/>
        <w:adjustRightInd w:val="0"/>
        <w:jc w:val="both"/>
      </w:pPr>
    </w:p>
    <w:p w14:paraId="1201F083" w14:textId="386E8B34" w:rsidR="00477B8F" w:rsidRPr="009118AB" w:rsidRDefault="00477B8F" w:rsidP="002001C3">
      <w:pPr>
        <w:autoSpaceDE w:val="0"/>
        <w:autoSpaceDN w:val="0"/>
        <w:adjustRightInd w:val="0"/>
        <w:jc w:val="both"/>
      </w:pPr>
      <w:r w:rsidRPr="009118AB">
        <w:tab/>
        <w:t xml:space="preserve">[Absatz 1 ist nicht anwendbar auf natürliche Personen, die unentgeltlich das Mandat eines Verwalters, Geschäftsführers, Liquidators oder ähnliche Funktionen in Vereinigungen ohne Gewinnerzielungsabsicht oder in anderen in Artikel 220 </w:t>
      </w:r>
      <w:r w:rsidR="00D67EB8" w:rsidRPr="009118AB">
        <w:t>Nr. </w:t>
      </w:r>
      <w:r w:rsidRPr="009118AB">
        <w:t xml:space="preserve">3 erwähnten juristischen Personen ausüben, sofern die Einkünfte aus unbeweglichen Gütern, die sie von derselben Vereinigung oder juristischen Person beziehen, bei der in Absatz 2 </w:t>
      </w:r>
      <w:r w:rsidR="00D67EB8" w:rsidRPr="009118AB">
        <w:t>Nr. </w:t>
      </w:r>
      <w:r w:rsidRPr="009118AB">
        <w:t>3 erwähnten Requalifizierung als Entlohnung nicht berücksichtigt werden.]</w:t>
      </w:r>
    </w:p>
    <w:p w14:paraId="6F7479E6" w14:textId="77777777" w:rsidR="009E7102" w:rsidRPr="009118AB" w:rsidRDefault="009E7102" w:rsidP="002001C3">
      <w:pPr>
        <w:autoSpaceDE w:val="0"/>
        <w:autoSpaceDN w:val="0"/>
        <w:adjustRightInd w:val="0"/>
        <w:jc w:val="both"/>
      </w:pPr>
    </w:p>
    <w:p w14:paraId="6275621E" w14:textId="2264CEDE" w:rsidR="00477B8F" w:rsidRPr="009118AB" w:rsidRDefault="00477B8F" w:rsidP="002001C3">
      <w:pPr>
        <w:autoSpaceDE w:val="0"/>
        <w:autoSpaceDN w:val="0"/>
        <w:adjustRightInd w:val="0"/>
        <w:jc w:val="both"/>
      </w:pPr>
      <w:r w:rsidRPr="009118AB">
        <w:tab/>
        <w:t xml:space="preserve">[Absatz 1 ist ebenfalls nicht anwendbar auf natürliche Personen, die besoldete Funktionen in einer Gesellschaft ausüben, in der sie auch unentgeltlich das Mandat eines Verwalters, Geschäftsführers, Liquidators oder ähnliche Funktionen ausüben, sofern die Einkünfte aus unbeweglichen Gütern, die sie von derselben Gesellschaft beziehen, bei der in Absatz 2 </w:t>
      </w:r>
      <w:r w:rsidR="00D67EB8" w:rsidRPr="009118AB">
        <w:t>Nr. </w:t>
      </w:r>
      <w:r w:rsidRPr="009118AB">
        <w:t>3 erwähnten Requalifizierung als Entlohnung nicht berücksichtigt werden.]</w:t>
      </w:r>
    </w:p>
    <w:p w14:paraId="72BDB253" w14:textId="726EFD0E" w:rsidR="00814518" w:rsidRPr="009118AB" w:rsidRDefault="00814518" w:rsidP="002001C3">
      <w:pPr>
        <w:autoSpaceDE w:val="0"/>
        <w:autoSpaceDN w:val="0"/>
        <w:adjustRightInd w:val="0"/>
        <w:jc w:val="both"/>
      </w:pPr>
    </w:p>
    <w:p w14:paraId="26EEF94C" w14:textId="0FF68980" w:rsidR="00814518" w:rsidRPr="009118AB" w:rsidRDefault="00814518" w:rsidP="002001C3">
      <w:pPr>
        <w:autoSpaceDE w:val="0"/>
        <w:autoSpaceDN w:val="0"/>
        <w:adjustRightInd w:val="0"/>
        <w:jc w:val="both"/>
      </w:pPr>
      <w:r w:rsidRPr="009118AB">
        <w:tab/>
        <w:t>[</w:t>
      </w:r>
      <w:r w:rsidR="001057B6" w:rsidRPr="009118AB">
        <w:t>..</w:t>
      </w:r>
      <w:r w:rsidRPr="009118AB">
        <w:t>.]</w:t>
      </w:r>
    </w:p>
    <w:p w14:paraId="4C41F296" w14:textId="77777777" w:rsidR="00477B8F" w:rsidRPr="009118AB" w:rsidRDefault="00477B8F" w:rsidP="002001C3">
      <w:pPr>
        <w:autoSpaceDE w:val="0"/>
        <w:autoSpaceDN w:val="0"/>
        <w:adjustRightInd w:val="0"/>
        <w:jc w:val="both"/>
      </w:pPr>
    </w:p>
    <w:p w14:paraId="19044E98" w14:textId="57A93242" w:rsidR="00477B8F" w:rsidRPr="00DD5892" w:rsidRDefault="00477B8F" w:rsidP="002001C3">
      <w:pPr>
        <w:autoSpaceDE w:val="0"/>
        <w:autoSpaceDN w:val="0"/>
        <w:adjustRightInd w:val="0"/>
        <w:jc w:val="both"/>
      </w:pPr>
      <w:r w:rsidRPr="002D049B">
        <w:rPr>
          <w:i/>
          <w:iCs/>
        </w:rPr>
        <w:t>[</w:t>
      </w:r>
      <w:r w:rsidR="00D67EB8" w:rsidRPr="002D049B">
        <w:rPr>
          <w:i/>
          <w:iCs/>
        </w:rPr>
        <w:t>Art. </w:t>
      </w:r>
      <w:r w:rsidRPr="002D049B">
        <w:rPr>
          <w:i/>
          <w:iCs/>
        </w:rPr>
        <w:t xml:space="preserve">32 ersetzt durch </w:t>
      </w:r>
      <w:r w:rsidR="00D67EB8" w:rsidRPr="002D049B">
        <w:rPr>
          <w:i/>
          <w:iCs/>
        </w:rPr>
        <w:t>Art. </w:t>
      </w:r>
      <w:r w:rsidRPr="002D049B">
        <w:rPr>
          <w:i/>
          <w:iCs/>
        </w:rPr>
        <w:t>5 des K.E. vom 20. Dezember 1996 (B.S. vom 31. Dezemb</w:t>
      </w:r>
      <w:r w:rsidR="005E3D7F" w:rsidRPr="002D049B">
        <w:rPr>
          <w:i/>
          <w:iCs/>
        </w:rPr>
        <w:t>er 1996)</w:t>
      </w:r>
      <w:r w:rsidR="00D67EB8" w:rsidRPr="002D049B">
        <w:rPr>
          <w:i/>
          <w:iCs/>
        </w:rPr>
        <w:t> - </w:t>
      </w:r>
      <w:r w:rsidRPr="002D049B">
        <w:rPr>
          <w:i/>
          <w:iCs/>
        </w:rPr>
        <w:t>in Kraft ab dem Steuerjahr</w:t>
      </w:r>
      <w:r w:rsidR="002D049B">
        <w:rPr>
          <w:i/>
          <w:iCs/>
        </w:rPr>
        <w:t> </w:t>
      </w:r>
      <w:r w:rsidRPr="002D049B">
        <w:rPr>
          <w:i/>
          <w:iCs/>
        </w:rPr>
        <w:t>1998</w:t>
      </w:r>
      <w:r w:rsidR="003366D9" w:rsidRPr="002D049B">
        <w:rPr>
          <w:i/>
          <w:iCs/>
        </w:rPr>
        <w:t> -;</w:t>
      </w:r>
      <w:r w:rsidRPr="002D049B">
        <w:rPr>
          <w:i/>
          <w:iCs/>
        </w:rPr>
        <w:t xml:space="preserve"> </w:t>
      </w:r>
      <w:r w:rsidR="00D67EB8" w:rsidRPr="002D049B">
        <w:rPr>
          <w:i/>
          <w:iCs/>
        </w:rPr>
        <w:t>Abs. </w:t>
      </w:r>
      <w:r w:rsidRPr="002D049B">
        <w:rPr>
          <w:i/>
          <w:iCs/>
        </w:rPr>
        <w:t xml:space="preserve">1 ersetzt durch </w:t>
      </w:r>
      <w:r w:rsidR="00D67EB8" w:rsidRPr="002D049B">
        <w:rPr>
          <w:i/>
          <w:iCs/>
        </w:rPr>
        <w:t>Art. </w:t>
      </w:r>
      <w:r w:rsidRPr="002D049B">
        <w:rPr>
          <w:i/>
          <w:iCs/>
        </w:rPr>
        <w:t>2 Buchstabe A des G. vom 4. Mai 1999 (II) (B.S. vom 12. Juni 1999)</w:t>
      </w:r>
      <w:r w:rsidR="00D67EB8" w:rsidRPr="002D049B">
        <w:rPr>
          <w:i/>
          <w:iCs/>
        </w:rPr>
        <w:t> - </w:t>
      </w:r>
      <w:r w:rsidRPr="002D049B">
        <w:rPr>
          <w:i/>
          <w:iCs/>
        </w:rPr>
        <w:t>in Kraft ab dem Steuerjahr</w:t>
      </w:r>
      <w:r w:rsidR="00605A6B" w:rsidRPr="002D049B">
        <w:rPr>
          <w:i/>
          <w:iCs/>
        </w:rPr>
        <w:t> </w:t>
      </w:r>
      <w:r w:rsidRPr="002D049B">
        <w:rPr>
          <w:i/>
          <w:iCs/>
        </w:rPr>
        <w:t>1998</w:t>
      </w:r>
      <w:r w:rsidR="003366D9" w:rsidRPr="002D049B">
        <w:rPr>
          <w:i/>
          <w:iCs/>
        </w:rPr>
        <w:t> -</w:t>
      </w:r>
      <w:r w:rsidR="002D049B" w:rsidRPr="002D049B">
        <w:rPr>
          <w:i/>
          <w:iCs/>
        </w:rPr>
        <w:t>, selbst bedingt für nichtig erklärt durch Entscheid Nr. 30/2001 des Schiedshofs vom 1. März 2001 (B.S. vom 24. März 2001)</w:t>
      </w:r>
      <w:r w:rsidR="003366D9" w:rsidRPr="002D049B">
        <w:rPr>
          <w:i/>
          <w:iCs/>
        </w:rPr>
        <w:t>;</w:t>
      </w:r>
      <w:r w:rsidRPr="002D049B">
        <w:rPr>
          <w:i/>
          <w:iCs/>
        </w:rPr>
        <w:t xml:space="preserve"> </w:t>
      </w:r>
      <w:r w:rsidR="00D67EB8" w:rsidRPr="002D049B">
        <w:rPr>
          <w:i/>
          <w:iCs/>
        </w:rPr>
        <w:t>Abs. </w:t>
      </w:r>
      <w:r w:rsidRPr="002D049B">
        <w:rPr>
          <w:i/>
          <w:iCs/>
        </w:rPr>
        <w:t xml:space="preserve">3 eingefügt durch </w:t>
      </w:r>
      <w:r w:rsidR="00D67EB8" w:rsidRPr="002D049B">
        <w:rPr>
          <w:i/>
          <w:iCs/>
        </w:rPr>
        <w:t>Art. </w:t>
      </w:r>
      <w:r w:rsidRPr="002D049B">
        <w:rPr>
          <w:i/>
          <w:iCs/>
        </w:rPr>
        <w:t xml:space="preserve">2 Buchstabe B des G. vom 4. Mai 1999 (II) (B.S. </w:t>
      </w:r>
      <w:r w:rsidRPr="002D049B">
        <w:rPr>
          <w:rFonts w:ascii="Times New Roman Italique" w:hAnsi="Times New Roman Italique"/>
          <w:i/>
          <w:iCs/>
          <w:spacing w:val="-2"/>
        </w:rPr>
        <w:t>vom 12. Juni 1999)</w:t>
      </w:r>
      <w:r w:rsidR="00D67EB8" w:rsidRPr="002D049B">
        <w:rPr>
          <w:rFonts w:ascii="Times New Roman Italique" w:hAnsi="Times New Roman Italique"/>
          <w:i/>
          <w:iCs/>
          <w:spacing w:val="-2"/>
        </w:rPr>
        <w:t> - </w:t>
      </w:r>
      <w:r w:rsidRPr="002D049B">
        <w:rPr>
          <w:rFonts w:ascii="Times New Roman Italique" w:hAnsi="Times New Roman Italique"/>
          <w:i/>
          <w:iCs/>
          <w:spacing w:val="-2"/>
        </w:rPr>
        <w:t>in Kraft ab dem Steuerjahr</w:t>
      </w:r>
      <w:r w:rsidR="002D049B">
        <w:rPr>
          <w:rFonts w:ascii="Times New Roman Italique" w:hAnsi="Times New Roman Italique" w:hint="eastAsia"/>
          <w:i/>
          <w:iCs/>
          <w:spacing w:val="-2"/>
        </w:rPr>
        <w:t> </w:t>
      </w:r>
      <w:r w:rsidRPr="002D049B">
        <w:rPr>
          <w:rFonts w:ascii="Times New Roman Italique" w:hAnsi="Times New Roman Italique"/>
          <w:i/>
          <w:iCs/>
          <w:spacing w:val="-2"/>
        </w:rPr>
        <w:t>1998</w:t>
      </w:r>
      <w:r w:rsidR="003366D9" w:rsidRPr="002D049B">
        <w:rPr>
          <w:rFonts w:ascii="Times New Roman Italique" w:hAnsi="Times New Roman Italique"/>
          <w:i/>
          <w:iCs/>
          <w:spacing w:val="-2"/>
        </w:rPr>
        <w:t> -;</w:t>
      </w:r>
      <w:r w:rsidRPr="002D049B">
        <w:rPr>
          <w:rFonts w:ascii="Times New Roman Italique" w:hAnsi="Times New Roman Italique"/>
          <w:i/>
          <w:iCs/>
          <w:spacing w:val="-2"/>
        </w:rPr>
        <w:t xml:space="preserve"> </w:t>
      </w:r>
      <w:r w:rsidR="00D67EB8" w:rsidRPr="002D049B">
        <w:rPr>
          <w:rFonts w:ascii="Times New Roman Italique" w:hAnsi="Times New Roman Italique"/>
          <w:i/>
          <w:iCs/>
          <w:spacing w:val="-2"/>
        </w:rPr>
        <w:t>Abs. </w:t>
      </w:r>
      <w:r w:rsidRPr="002D049B">
        <w:rPr>
          <w:rFonts w:ascii="Times New Roman Italique" w:hAnsi="Times New Roman Italique"/>
          <w:i/>
          <w:iCs/>
          <w:spacing w:val="-2"/>
        </w:rPr>
        <w:t xml:space="preserve">4 eingefügt durch </w:t>
      </w:r>
      <w:r w:rsidR="00D67EB8" w:rsidRPr="002D049B">
        <w:rPr>
          <w:rFonts w:ascii="Times New Roman Italique" w:hAnsi="Times New Roman Italique"/>
          <w:i/>
          <w:iCs/>
          <w:spacing w:val="-2"/>
        </w:rPr>
        <w:t>Art. </w:t>
      </w:r>
      <w:r w:rsidRPr="002D049B">
        <w:rPr>
          <w:rFonts w:ascii="Times New Roman Italique" w:hAnsi="Times New Roman Italique"/>
          <w:i/>
          <w:iCs/>
          <w:spacing w:val="-2"/>
        </w:rPr>
        <w:t>163 des G. vom 27. Dezember 2005 (II) (B.S. vom 30. Dezember 2005)</w:t>
      </w:r>
      <w:r w:rsidR="00D67EB8" w:rsidRPr="002D049B">
        <w:rPr>
          <w:rFonts w:ascii="Times New Roman Italique" w:hAnsi="Times New Roman Italique"/>
          <w:i/>
          <w:iCs/>
          <w:spacing w:val="-2"/>
        </w:rPr>
        <w:t> - </w:t>
      </w:r>
      <w:r w:rsidRPr="002D049B">
        <w:rPr>
          <w:rFonts w:ascii="Times New Roman Italique" w:hAnsi="Times New Roman Italique"/>
          <w:i/>
          <w:iCs/>
          <w:spacing w:val="-2"/>
        </w:rPr>
        <w:t>in Kraft ab dem Steuerjahr 2006</w:t>
      </w:r>
      <w:r w:rsidR="003366D9" w:rsidRPr="002D049B">
        <w:rPr>
          <w:rFonts w:ascii="Times New Roman Italique" w:hAnsi="Times New Roman Italique"/>
          <w:i/>
          <w:iCs/>
          <w:spacing w:val="-2"/>
        </w:rPr>
        <w:t> -;</w:t>
      </w:r>
      <w:r w:rsidR="008C06F1" w:rsidRPr="002D049B">
        <w:rPr>
          <w:rFonts w:ascii="Times New Roman Italique" w:hAnsi="Times New Roman Italique"/>
          <w:i/>
          <w:iCs/>
          <w:spacing w:val="-2"/>
        </w:rPr>
        <w:t xml:space="preserve"> </w:t>
      </w:r>
      <w:r w:rsidR="00D67EB8" w:rsidRPr="002D049B">
        <w:rPr>
          <w:rFonts w:ascii="Times New Roman Italique" w:hAnsi="Times New Roman Italique"/>
          <w:i/>
          <w:iCs/>
          <w:spacing w:val="-2"/>
        </w:rPr>
        <w:t>Abs. </w:t>
      </w:r>
      <w:r w:rsidR="00814518" w:rsidRPr="002D049B">
        <w:rPr>
          <w:rFonts w:ascii="Times New Roman Italique" w:hAnsi="Times New Roman Italique"/>
          <w:i/>
          <w:iCs/>
          <w:spacing w:val="-2"/>
        </w:rPr>
        <w:t xml:space="preserve">5 eingefügt durch </w:t>
      </w:r>
      <w:r w:rsidR="00D67EB8" w:rsidRPr="002D049B">
        <w:rPr>
          <w:rFonts w:ascii="Times New Roman Italique" w:hAnsi="Times New Roman Italique"/>
          <w:i/>
          <w:iCs/>
          <w:spacing w:val="-2"/>
        </w:rPr>
        <w:t>Art. </w:t>
      </w:r>
      <w:r w:rsidR="00814518" w:rsidRPr="002D049B">
        <w:rPr>
          <w:rFonts w:ascii="Times New Roman Italique" w:hAnsi="Times New Roman Italique"/>
          <w:i/>
          <w:iCs/>
          <w:spacing w:val="-2"/>
        </w:rPr>
        <w:t>23</w:t>
      </w:r>
      <w:r w:rsidR="00814518" w:rsidRPr="002D049B">
        <w:rPr>
          <w:rFonts w:ascii="Times New Roman Italique" w:hAnsi="Times New Roman Italique"/>
          <w:i/>
          <w:spacing w:val="-2"/>
        </w:rPr>
        <w:t xml:space="preserve"> des G. vom 7. April 2019 (I) (B.S. vom 19. April 2019)</w:t>
      </w:r>
      <w:r w:rsidR="001057B6" w:rsidRPr="002D049B">
        <w:rPr>
          <w:rFonts w:ascii="Times New Roman Italique" w:hAnsi="Times New Roman Italique"/>
          <w:i/>
          <w:spacing w:val="-2"/>
        </w:rPr>
        <w:t xml:space="preserve"> und</w:t>
      </w:r>
      <w:r w:rsidR="001057B6" w:rsidRPr="002D049B">
        <w:rPr>
          <w:i/>
        </w:rPr>
        <w:t xml:space="preserve"> aufgehoben durch Art. 7</w:t>
      </w:r>
      <w:r w:rsidR="001057B6" w:rsidRPr="002D049B">
        <w:rPr>
          <w:i/>
          <w:iCs/>
        </w:rPr>
        <w:t xml:space="preserve"> des G. vom 31. Juli 2023 (II) (B.S. vom 23. August 2023)</w:t>
      </w:r>
      <w:r w:rsidRPr="00DD5892">
        <w:rPr>
          <w:i/>
          <w:iCs/>
        </w:rPr>
        <w:t>]</w:t>
      </w:r>
    </w:p>
    <w:p w14:paraId="4E7B0BD5" w14:textId="77777777" w:rsidR="002D049B" w:rsidRPr="00DD5892" w:rsidRDefault="002D049B" w:rsidP="002001C3">
      <w:pPr>
        <w:autoSpaceDE w:val="0"/>
        <w:autoSpaceDN w:val="0"/>
        <w:adjustRightInd w:val="0"/>
        <w:jc w:val="both"/>
      </w:pPr>
    </w:p>
    <w:p w14:paraId="2E4DB2C7" w14:textId="4B6DFD36" w:rsidR="00DB31A1" w:rsidRPr="00605A6B" w:rsidRDefault="00DB31A1" w:rsidP="00702201">
      <w:pPr>
        <w:jc w:val="both"/>
      </w:pPr>
    </w:p>
    <w:p w14:paraId="58453851" w14:textId="661427F4" w:rsidR="00AD25AD" w:rsidRPr="009118AB" w:rsidRDefault="00AD25AD" w:rsidP="00AD25AD">
      <w:pPr>
        <w:jc w:val="both"/>
        <w:rPr>
          <w:rFonts w:eastAsia="Calibri"/>
          <w:lang w:eastAsia="en-US"/>
        </w:rPr>
      </w:pPr>
      <w:r w:rsidRPr="009118AB">
        <w:tab/>
        <w:t>[</w:t>
      </w:r>
      <w:r w:rsidR="00D67EB8" w:rsidRPr="009118AB">
        <w:rPr>
          <w:rFonts w:eastAsia="Calibri"/>
          <w:b/>
          <w:bCs/>
          <w:szCs w:val="22"/>
          <w:lang w:eastAsia="en-US"/>
        </w:rPr>
        <w:t>Art. </w:t>
      </w:r>
      <w:r w:rsidRPr="009118AB">
        <w:rPr>
          <w:rFonts w:eastAsia="Calibri"/>
          <w:b/>
          <w:bCs/>
          <w:szCs w:val="22"/>
          <w:lang w:eastAsia="en-US"/>
        </w:rPr>
        <w:t>32/1</w:t>
      </w:r>
      <w:r w:rsidR="00D67EB8" w:rsidRPr="009118AB">
        <w:rPr>
          <w:rFonts w:eastAsia="Calibri"/>
          <w:szCs w:val="22"/>
          <w:lang w:eastAsia="en-US"/>
        </w:rPr>
        <w:t> - § </w:t>
      </w:r>
      <w:r w:rsidRPr="009118AB">
        <w:rPr>
          <w:rFonts w:eastAsia="Calibri"/>
          <w:szCs w:val="22"/>
          <w:lang w:eastAsia="en-US"/>
        </w:rPr>
        <w:t xml:space="preserve">1 ­ In Bezug auf Steuerpflichtige-Impatriates, die in Artikel 30 </w:t>
      </w:r>
      <w:r w:rsidR="00D67EB8" w:rsidRPr="009118AB">
        <w:rPr>
          <w:rFonts w:eastAsia="Calibri"/>
          <w:szCs w:val="22"/>
          <w:lang w:eastAsia="en-US"/>
        </w:rPr>
        <w:t>Nr. </w:t>
      </w:r>
      <w:r w:rsidRPr="009118AB">
        <w:rPr>
          <w:rFonts w:eastAsia="Calibri"/>
          <w:szCs w:val="22"/>
          <w:lang w:eastAsia="en-US"/>
        </w:rPr>
        <w:t>1 oder 2 erwähnte Entlohnungen beziehen, gilt die Übernahme bestimmter Kosten durch den Arbeitgeber oder die Gesellschaft als eine Erstattung eigener Ausgaben des Arbeitgebers unter den Bedingungen und in den Grenzen, die in vorliegendem Artikel vorgesehen sind.</w:t>
      </w:r>
    </w:p>
    <w:p w14:paraId="728E5111" w14:textId="77777777" w:rsidR="00AD25AD" w:rsidRPr="009118AB" w:rsidRDefault="00AD25AD" w:rsidP="00AD25AD">
      <w:pPr>
        <w:jc w:val="both"/>
        <w:rPr>
          <w:rFonts w:eastAsia="Calibri"/>
          <w:lang w:eastAsia="en-US"/>
        </w:rPr>
      </w:pPr>
    </w:p>
    <w:p w14:paraId="58C8EA9E" w14:textId="77777777" w:rsidR="00AD25AD" w:rsidRPr="009118AB" w:rsidRDefault="00AD25AD" w:rsidP="00AD25AD">
      <w:pPr>
        <w:jc w:val="both"/>
        <w:rPr>
          <w:rFonts w:eastAsia="Calibri"/>
          <w:lang w:eastAsia="en-US"/>
        </w:rPr>
      </w:pPr>
      <w:r w:rsidRPr="009118AB">
        <w:rPr>
          <w:rFonts w:eastAsia="Calibri"/>
          <w:szCs w:val="22"/>
          <w:lang w:eastAsia="en-US"/>
        </w:rPr>
        <w:lastRenderedPageBreak/>
        <w:tab/>
        <w:t>Für die Anwendung des vorliegenden Artikels versteht man unter "eigenen Ausgaben des Arbeitgebers" im Falle eines Lohnempfängers die eigenen Ausgaben des Arbeitgebers und im Falle eines Unternehmensleiters die eigenen Ausgaben der Gesellschaft, in der ein Mandat oder ähnliche Funktionen ausgeübt werden.</w:t>
      </w:r>
    </w:p>
    <w:p w14:paraId="2EDD898A" w14:textId="77777777" w:rsidR="00AD25AD" w:rsidRPr="009118AB" w:rsidRDefault="00AD25AD" w:rsidP="00AD25AD">
      <w:pPr>
        <w:jc w:val="both"/>
        <w:rPr>
          <w:rFonts w:eastAsia="Calibri"/>
          <w:lang w:eastAsia="en-US"/>
        </w:rPr>
      </w:pPr>
    </w:p>
    <w:p w14:paraId="03F23A52" w14:textId="4AD21C1A" w:rsidR="00AD25AD" w:rsidRPr="009118AB" w:rsidRDefault="00AD25AD" w:rsidP="00AD25AD">
      <w:pPr>
        <w:jc w:val="both"/>
        <w:rPr>
          <w:rFonts w:eastAsia="Calibri"/>
          <w:lang w:eastAsia="en-US"/>
        </w:rPr>
      </w:pPr>
      <w:r w:rsidRPr="009118AB">
        <w:rPr>
          <w:rFonts w:eastAsia="Calibri"/>
          <w:szCs w:val="22"/>
          <w:lang w:eastAsia="en-US"/>
        </w:rPr>
        <w:tab/>
        <w:t xml:space="preserve">Für die Anwendung des vorliegenden Artikels versteht man unter "Unternehmensleiter" eine natürliche Person, die ein Mandat oder ähnliche Funktionen wie in Artikel 32 Absatz 1 </w:t>
      </w:r>
      <w:r w:rsidR="00D67EB8" w:rsidRPr="009118AB">
        <w:rPr>
          <w:rFonts w:eastAsia="Calibri"/>
          <w:szCs w:val="22"/>
          <w:lang w:eastAsia="en-US"/>
        </w:rPr>
        <w:t>Nr. </w:t>
      </w:r>
      <w:r w:rsidRPr="009118AB">
        <w:rPr>
          <w:rFonts w:eastAsia="Calibri"/>
          <w:szCs w:val="22"/>
          <w:lang w:eastAsia="en-US"/>
        </w:rPr>
        <w:t xml:space="preserve">1 erwähnt ausübt und mit der täglichen Geschäftsführung des Unternehmens beauftragt ist, oder eine natürliche Person, die im Unternehmen eine Funktion oder Tätigkeit wie in Artikel 32 Absatz 1 </w:t>
      </w:r>
      <w:r w:rsidR="00D67EB8" w:rsidRPr="009118AB">
        <w:rPr>
          <w:rFonts w:eastAsia="Calibri"/>
          <w:szCs w:val="22"/>
          <w:lang w:eastAsia="en-US"/>
        </w:rPr>
        <w:t>Nr. </w:t>
      </w:r>
      <w:r w:rsidRPr="009118AB">
        <w:rPr>
          <w:rFonts w:eastAsia="Calibri"/>
          <w:szCs w:val="22"/>
          <w:lang w:eastAsia="en-US"/>
        </w:rPr>
        <w:t>2 erwähnt ausübt, mit Ausnahme jedoch der natürlichen Person, die ein solches Mandat, eine solche Funktion oder eine solche Tätigkeit in ihrem eigenen Unternehmen ausübt, dessen Gründerin oder Mitgründerin sie ist oder von dem sie Aktien oder Anteile besitzt, die 30 Prozent oder mehr des Kapitals dieser Gesellschaft vertreten.</w:t>
      </w:r>
    </w:p>
    <w:p w14:paraId="7EB3FE54" w14:textId="77777777" w:rsidR="00AD25AD" w:rsidRPr="009118AB" w:rsidRDefault="00AD25AD" w:rsidP="00AD25AD">
      <w:pPr>
        <w:jc w:val="both"/>
        <w:rPr>
          <w:rFonts w:eastAsia="Calibri"/>
          <w:lang w:eastAsia="en-US"/>
        </w:rPr>
      </w:pPr>
    </w:p>
    <w:p w14:paraId="5A30D29A" w14:textId="45E9B826"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2</w:t>
      </w:r>
      <w:r w:rsidR="00D67EB8" w:rsidRPr="009118AB">
        <w:rPr>
          <w:rFonts w:eastAsia="Calibri"/>
          <w:szCs w:val="22"/>
          <w:lang w:eastAsia="en-US"/>
        </w:rPr>
        <w:t> - </w:t>
      </w:r>
      <w:r w:rsidRPr="009118AB">
        <w:rPr>
          <w:rFonts w:eastAsia="Calibri"/>
          <w:szCs w:val="22"/>
          <w:lang w:eastAsia="en-US"/>
        </w:rPr>
        <w:t>Für die Anwendung des vorliegenden Artikels versteht man unter "Steuerpflichtigem-Impatriate":</w:t>
      </w:r>
    </w:p>
    <w:p w14:paraId="1E0C41FA" w14:textId="77777777" w:rsidR="00AD25AD" w:rsidRPr="009118AB" w:rsidRDefault="00AD25AD" w:rsidP="00AD25AD">
      <w:pPr>
        <w:jc w:val="both"/>
        <w:rPr>
          <w:rFonts w:eastAsia="Calibri"/>
          <w:lang w:eastAsia="en-US"/>
        </w:rPr>
      </w:pPr>
    </w:p>
    <w:p w14:paraId="574BDA1A" w14:textId="101FCDE9" w:rsidR="00AD25AD" w:rsidRPr="009118AB" w:rsidRDefault="00AD25AD" w:rsidP="00AD25AD">
      <w:pPr>
        <w:jc w:val="both"/>
        <w:rPr>
          <w:rFonts w:eastAsia="Calibri"/>
          <w:lang w:eastAsia="en-US"/>
        </w:rPr>
      </w:pPr>
      <w:r w:rsidRPr="009118AB">
        <w:rPr>
          <w:rFonts w:eastAsia="Calibri"/>
          <w:szCs w:val="22"/>
          <w:lang w:eastAsia="en-US"/>
        </w:rPr>
        <w:tab/>
        <w:t xml:space="preserve">1. einen Lohnempfänger oder Unternehmensleiter, </w:t>
      </w:r>
      <w:r w:rsidR="003531A9" w:rsidRPr="009118AB">
        <w:rPr>
          <w:rFonts w:eastAsia="Calibri"/>
          <w:szCs w:val="22"/>
          <w:lang w:eastAsia="en-US"/>
        </w:rPr>
        <w:t>[</w:t>
      </w:r>
      <w:r w:rsidR="003531A9" w:rsidRPr="009118AB">
        <w:t>den ein Unternehmen oder eine Niederlassung eines Unternehmens, das/die in der Zentralen Datenbank der Unternehmen eingetragen ist, direkt im Ausland anwirbt, damit er in diesem Unternehmen beziehungsweise dieser Niederlassung</w:t>
      </w:r>
      <w:r w:rsidR="003531A9" w:rsidRPr="009118AB">
        <w:rPr>
          <w:rFonts w:eastAsia="Calibri"/>
          <w:szCs w:val="22"/>
          <w:lang w:eastAsia="en-US"/>
        </w:rPr>
        <w:t>]</w:t>
      </w:r>
      <w:r w:rsidRPr="009118AB">
        <w:rPr>
          <w:rFonts w:eastAsia="Calibri"/>
          <w:szCs w:val="22"/>
          <w:lang w:eastAsia="en-US"/>
        </w:rPr>
        <w:t xml:space="preserve"> eine in Belgien steuerpflichtige entlohnte Tätigkeit ausübt,</w:t>
      </w:r>
    </w:p>
    <w:p w14:paraId="13FAFFD3" w14:textId="77777777" w:rsidR="00AD25AD" w:rsidRPr="009118AB" w:rsidRDefault="00AD25AD" w:rsidP="00AD25AD">
      <w:pPr>
        <w:jc w:val="both"/>
        <w:rPr>
          <w:rFonts w:eastAsia="Calibri"/>
          <w:lang w:eastAsia="en-US"/>
        </w:rPr>
      </w:pPr>
    </w:p>
    <w:p w14:paraId="1F34F61B" w14:textId="0131C90D" w:rsidR="00AD25AD" w:rsidRPr="009118AB" w:rsidRDefault="00AD25AD" w:rsidP="00AD25AD">
      <w:pPr>
        <w:jc w:val="both"/>
        <w:rPr>
          <w:rFonts w:eastAsia="Calibri"/>
          <w:lang w:eastAsia="en-US"/>
        </w:rPr>
      </w:pPr>
      <w:r w:rsidRPr="009118AB">
        <w:rPr>
          <w:rFonts w:eastAsia="Calibri"/>
          <w:szCs w:val="22"/>
          <w:lang w:eastAsia="en-US"/>
        </w:rPr>
        <w:tab/>
        <w:t xml:space="preserve">2. einen Lohnempfänger oder Unternehmensleiter, den ein ausländisches Unternehmen, das Teil einer multinationalen Gruppe ist, </w:t>
      </w:r>
      <w:r w:rsidR="003531A9" w:rsidRPr="009118AB">
        <w:rPr>
          <w:rFonts w:eastAsia="Calibri"/>
          <w:szCs w:val="22"/>
          <w:lang w:eastAsia="en-US"/>
        </w:rPr>
        <w:t>[</w:t>
      </w:r>
      <w:r w:rsidR="003531A9" w:rsidRPr="009118AB">
        <w:t>einem oder mehreren Unternehmen oder einer oder mehreren Niederlassungen eines Unternehmens, die in der Zentralen Datenbank der Unternehmen eingetragen sind,</w:t>
      </w:r>
      <w:r w:rsidR="003531A9" w:rsidRPr="009118AB">
        <w:rPr>
          <w:rFonts w:eastAsia="Calibri"/>
          <w:szCs w:val="22"/>
          <w:lang w:eastAsia="en-US"/>
        </w:rPr>
        <w:t>]</w:t>
      </w:r>
      <w:r w:rsidRPr="009118AB">
        <w:rPr>
          <w:rFonts w:eastAsia="Calibri"/>
          <w:szCs w:val="22"/>
          <w:lang w:eastAsia="en-US"/>
        </w:rPr>
        <w:t xml:space="preserve"> zur Verfügung stellt, damit er eine in Belgien steuerpflichtige entlohnte Tätigkeit ausübt.</w:t>
      </w:r>
    </w:p>
    <w:p w14:paraId="4DD222FA" w14:textId="77777777" w:rsidR="00AD25AD" w:rsidRPr="009118AB" w:rsidRDefault="00AD25AD" w:rsidP="00AD25AD">
      <w:pPr>
        <w:jc w:val="both"/>
        <w:rPr>
          <w:rFonts w:eastAsia="Calibri"/>
          <w:lang w:eastAsia="en-US"/>
        </w:rPr>
      </w:pPr>
    </w:p>
    <w:p w14:paraId="1194C15E" w14:textId="2B7DF3CC" w:rsidR="00AD25AD" w:rsidRPr="009118AB" w:rsidRDefault="00AD25AD" w:rsidP="00AD25AD">
      <w:pPr>
        <w:jc w:val="both"/>
        <w:rPr>
          <w:rFonts w:eastAsia="Calibri"/>
          <w:lang w:eastAsia="en-US"/>
        </w:rPr>
      </w:pPr>
      <w:r w:rsidRPr="009118AB">
        <w:rPr>
          <w:rFonts w:eastAsia="Calibri"/>
          <w:szCs w:val="22"/>
          <w:lang w:eastAsia="en-US"/>
        </w:rPr>
        <w:tab/>
        <w:t>Für die Anwendung des vorliegenden Artikels versteht man unter "multinationaler Gruppe" eine Gruppe, die zwei oder mehr Unternehmen umfasst, deren steuerliche Ansässigkeit in unterschiedlichen Staaten beziehungsweise Steuerhoheitsgebieten</w:t>
      </w:r>
      <w:r w:rsidR="00D67EB8" w:rsidRPr="009118AB">
        <w:rPr>
          <w:rFonts w:eastAsia="Calibri"/>
          <w:szCs w:val="22"/>
          <w:lang w:eastAsia="en-US"/>
        </w:rPr>
        <w:t> - </w:t>
      </w:r>
      <w:r w:rsidRPr="009118AB">
        <w:rPr>
          <w:rFonts w:eastAsia="Calibri"/>
          <w:szCs w:val="22"/>
          <w:lang w:eastAsia="en-US"/>
        </w:rPr>
        <w:t>nachfolgend "Staat(en)" genannt</w:t>
      </w:r>
      <w:r w:rsidR="00D67EB8" w:rsidRPr="009118AB">
        <w:rPr>
          <w:rFonts w:eastAsia="Calibri"/>
          <w:szCs w:val="22"/>
          <w:lang w:eastAsia="en-US"/>
        </w:rPr>
        <w:t> - </w:t>
      </w:r>
      <w:r w:rsidRPr="009118AB">
        <w:rPr>
          <w:rFonts w:eastAsia="Calibri"/>
          <w:szCs w:val="22"/>
          <w:lang w:eastAsia="en-US"/>
        </w:rPr>
        <w:t>liegt, oder die ein Unternehmen umfasst, das in einem Staat steuerlich ansässig ist und in einem anderen Staat mit der durch eine belgische oder ausländische Niederlassung ausgeübten Geschäftstätigkeit steuerpflichtig ist.</w:t>
      </w:r>
    </w:p>
    <w:p w14:paraId="12CADFE2" w14:textId="77777777" w:rsidR="00AD25AD" w:rsidRPr="009118AB" w:rsidRDefault="00AD25AD" w:rsidP="00AD25AD">
      <w:pPr>
        <w:jc w:val="both"/>
        <w:rPr>
          <w:rFonts w:eastAsia="Calibri"/>
          <w:lang w:eastAsia="en-US"/>
        </w:rPr>
      </w:pPr>
    </w:p>
    <w:p w14:paraId="0BFBA571" w14:textId="588ED214"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3</w:t>
      </w:r>
      <w:r w:rsidR="00D67EB8" w:rsidRPr="009118AB">
        <w:rPr>
          <w:rFonts w:eastAsia="Calibri"/>
          <w:szCs w:val="22"/>
          <w:lang w:eastAsia="en-US"/>
        </w:rPr>
        <w:t> - </w:t>
      </w:r>
      <w:r w:rsidRPr="009118AB">
        <w:rPr>
          <w:rFonts w:eastAsia="Calibri"/>
          <w:szCs w:val="22"/>
          <w:lang w:eastAsia="en-US"/>
        </w:rPr>
        <w:t xml:space="preserve">Folgende kumulative Bedingungen müssen außerdem seitens des in </w:t>
      </w:r>
      <w:r w:rsidR="00D67EB8" w:rsidRPr="009118AB">
        <w:rPr>
          <w:rFonts w:eastAsia="Calibri"/>
          <w:szCs w:val="22"/>
          <w:lang w:eastAsia="en-US"/>
        </w:rPr>
        <w:t>§ </w:t>
      </w:r>
      <w:r w:rsidRPr="009118AB">
        <w:rPr>
          <w:rFonts w:eastAsia="Calibri"/>
          <w:szCs w:val="22"/>
          <w:lang w:eastAsia="en-US"/>
        </w:rPr>
        <w:t>2 erwähnten Steuerpflichtigen erfüllt sein:</w:t>
      </w:r>
    </w:p>
    <w:p w14:paraId="50068657" w14:textId="77777777" w:rsidR="00AD25AD" w:rsidRPr="009118AB" w:rsidRDefault="00AD25AD" w:rsidP="00AD25AD">
      <w:pPr>
        <w:jc w:val="both"/>
        <w:rPr>
          <w:rFonts w:eastAsia="Calibri"/>
          <w:lang w:eastAsia="en-US"/>
        </w:rPr>
      </w:pPr>
    </w:p>
    <w:p w14:paraId="255C8A7A" w14:textId="77777777" w:rsidR="00AD25AD" w:rsidRPr="009118AB" w:rsidRDefault="00AD25AD" w:rsidP="00AD25AD">
      <w:pPr>
        <w:jc w:val="both"/>
        <w:rPr>
          <w:rFonts w:eastAsia="Calibri"/>
          <w:lang w:eastAsia="en-US"/>
        </w:rPr>
      </w:pPr>
      <w:r w:rsidRPr="009118AB">
        <w:rPr>
          <w:rFonts w:eastAsia="Calibri"/>
          <w:szCs w:val="22"/>
          <w:lang w:eastAsia="en-US"/>
        </w:rPr>
        <w:tab/>
        <w:t>1. Im Laufe der sechzig Monate vor seinem Arbeitsantritt in Belgien war er nicht Einwohner des Königreichs, hat er nicht in einer Entfernung von weniger als 150 Kilometern von der Grenze gewohnt und unterlag er nicht der Steuer der Gebietsfremden für Berufseinkünfte in Belgien.</w:t>
      </w:r>
    </w:p>
    <w:p w14:paraId="6A39401C" w14:textId="77777777" w:rsidR="00AD25AD" w:rsidRPr="009118AB" w:rsidRDefault="00AD25AD" w:rsidP="00AD25AD">
      <w:pPr>
        <w:jc w:val="both"/>
        <w:rPr>
          <w:rFonts w:eastAsia="Calibri"/>
          <w:lang w:eastAsia="en-US"/>
        </w:rPr>
      </w:pPr>
    </w:p>
    <w:p w14:paraId="315D718D" w14:textId="7D749F90" w:rsidR="00AD25AD" w:rsidRPr="009118AB" w:rsidRDefault="00AD25AD" w:rsidP="00AD25AD">
      <w:pPr>
        <w:jc w:val="both"/>
        <w:rPr>
          <w:rFonts w:eastAsia="Calibri"/>
          <w:lang w:eastAsia="en-US"/>
        </w:rPr>
      </w:pPr>
      <w:r w:rsidRPr="009118AB">
        <w:rPr>
          <w:rFonts w:eastAsia="Calibri"/>
          <w:szCs w:val="22"/>
          <w:lang w:eastAsia="en-US"/>
        </w:rPr>
        <w:tab/>
        <w:t>2. </w:t>
      </w:r>
      <w:r w:rsidR="003531A9" w:rsidRPr="009118AB">
        <w:rPr>
          <w:rFonts w:eastAsia="Calibri"/>
          <w:szCs w:val="22"/>
          <w:lang w:eastAsia="en-US"/>
        </w:rPr>
        <w:t>[</w:t>
      </w:r>
      <w:r w:rsidR="003531A9" w:rsidRPr="009118AB">
        <w:t>Er bezieht von dem Arbeitgeber oder der Gesellschaft erwähnt in § 2 Absatz 1 Nr. 1 oder 2 eine in Belgien steuerpflichtige Entlohnung von mehr als 75.000 EUR pro Kalenderjahr für Leistungen, die der Steuerpflichtige-Impatriate für den Arbeitgeber oder die Gesellschaft erwähnt in § 2 Absatz 1 Nr. 1 oder 2 erbringt und die auf die Ergebnisse dieses Arbeitgebers oder dieser Gesellschaft angerechnet werden, mit Ausnahme der Einkünfte, die für die in den Artikeln 155 und 156 erwähnte Ermäßigung für Einkünfte ausländischer Herkunft in Betracht kommen.</w:t>
      </w:r>
      <w:r w:rsidR="003531A9" w:rsidRPr="009118AB">
        <w:rPr>
          <w:rFonts w:eastAsia="Calibri"/>
          <w:szCs w:val="22"/>
          <w:lang w:eastAsia="en-US"/>
        </w:rPr>
        <w:t>]</w:t>
      </w:r>
    </w:p>
    <w:p w14:paraId="68D9FFF8" w14:textId="77777777" w:rsidR="00AD25AD" w:rsidRPr="009118AB" w:rsidRDefault="00AD25AD" w:rsidP="00AD25AD">
      <w:pPr>
        <w:jc w:val="both"/>
        <w:rPr>
          <w:rFonts w:eastAsia="Calibri"/>
          <w:lang w:eastAsia="en-US"/>
        </w:rPr>
      </w:pPr>
    </w:p>
    <w:p w14:paraId="0E3DAD74" w14:textId="3FACBF6D" w:rsidR="00AD25AD" w:rsidRPr="009118AB" w:rsidRDefault="00AD25AD" w:rsidP="00AD25AD">
      <w:pPr>
        <w:jc w:val="both"/>
        <w:rPr>
          <w:rFonts w:eastAsia="Calibri"/>
          <w:lang w:eastAsia="en-US"/>
        </w:rPr>
      </w:pPr>
      <w:r w:rsidRPr="009118AB">
        <w:rPr>
          <w:rFonts w:eastAsia="Calibri"/>
          <w:szCs w:val="22"/>
          <w:lang w:eastAsia="en-US"/>
        </w:rPr>
        <w:tab/>
        <w:t xml:space="preserve">3. Er erhält das Einverständnis der Verwaltung im Rahmen des in </w:t>
      </w:r>
      <w:r w:rsidR="00D67EB8" w:rsidRPr="009118AB">
        <w:rPr>
          <w:rFonts w:eastAsia="Calibri"/>
          <w:szCs w:val="22"/>
          <w:lang w:eastAsia="en-US"/>
        </w:rPr>
        <w:t>§ </w:t>
      </w:r>
      <w:r w:rsidRPr="009118AB">
        <w:rPr>
          <w:rFonts w:eastAsia="Calibri"/>
          <w:szCs w:val="22"/>
          <w:lang w:eastAsia="en-US"/>
        </w:rPr>
        <w:t>8 vorgesehenen Verfahrens.</w:t>
      </w:r>
    </w:p>
    <w:p w14:paraId="6F34053E" w14:textId="77777777" w:rsidR="00AD25AD" w:rsidRPr="009118AB" w:rsidRDefault="00AD25AD" w:rsidP="00AD25AD">
      <w:pPr>
        <w:jc w:val="both"/>
        <w:rPr>
          <w:rFonts w:eastAsia="Calibri"/>
          <w:lang w:eastAsia="en-US"/>
        </w:rPr>
      </w:pPr>
    </w:p>
    <w:p w14:paraId="39BA0E04" w14:textId="358C850F" w:rsidR="00AD25AD" w:rsidRPr="009118AB" w:rsidRDefault="00AD25AD" w:rsidP="00AD25AD">
      <w:pPr>
        <w:jc w:val="both"/>
        <w:rPr>
          <w:rFonts w:eastAsia="Calibri"/>
          <w:lang w:eastAsia="en-US"/>
        </w:rPr>
      </w:pPr>
      <w:r w:rsidRPr="009118AB">
        <w:rPr>
          <w:rFonts w:eastAsia="Calibri"/>
          <w:szCs w:val="22"/>
          <w:lang w:eastAsia="en-US"/>
        </w:rPr>
        <w:tab/>
        <w:t xml:space="preserve">Die in Absatz 1 </w:t>
      </w:r>
      <w:r w:rsidR="00D67EB8" w:rsidRPr="009118AB">
        <w:rPr>
          <w:rFonts w:eastAsia="Calibri"/>
          <w:szCs w:val="22"/>
          <w:lang w:eastAsia="en-US"/>
        </w:rPr>
        <w:t>Nr. </w:t>
      </w:r>
      <w:r w:rsidRPr="009118AB">
        <w:rPr>
          <w:rFonts w:eastAsia="Calibri"/>
          <w:szCs w:val="22"/>
          <w:lang w:eastAsia="en-US"/>
        </w:rPr>
        <w:t xml:space="preserve">2 erwähnte Entlohnung umfasst die Bruttoentlohnung vor Abzug der Sozialversicherungsbeiträge, mit Ausnahme der Entlassungsentschädigungen, der Entschädigungen für einen zeitweiligen Lohnausfall und der in Anwendung von Artikel 38 steuerfreien Entlohnungen und </w:t>
      </w:r>
      <w:r w:rsidR="003F4F6F" w:rsidRPr="009118AB">
        <w:rPr>
          <w:rFonts w:eastAsia="Calibri"/>
          <w:szCs w:val="22"/>
          <w:lang w:eastAsia="en-US"/>
        </w:rPr>
        <w:t>[</w:t>
      </w:r>
      <w:r w:rsidR="003F4F6F" w:rsidRPr="009118AB">
        <w:rPr>
          <w:rFonts w:eastAsia="Calibri"/>
          <w:kern w:val="2"/>
          <w:szCs w:val="22"/>
          <w:lang w:eastAsia="en-US"/>
          <w14:ligatures w14:val="standardContextual"/>
        </w:rPr>
        <w:t>mit Ausnahme der in den Paragraphen 5 und 6 erwähnten Erstattungen</w:t>
      </w:r>
      <w:r w:rsidR="003F4F6F" w:rsidRPr="009118AB">
        <w:rPr>
          <w:rFonts w:eastAsia="Calibri"/>
          <w:szCs w:val="22"/>
          <w:lang w:eastAsia="en-US"/>
        </w:rPr>
        <w:t>]</w:t>
      </w:r>
      <w:r w:rsidRPr="009118AB">
        <w:rPr>
          <w:rFonts w:eastAsia="Calibri"/>
          <w:szCs w:val="22"/>
          <w:lang w:eastAsia="en-US"/>
        </w:rPr>
        <w:t>.</w:t>
      </w:r>
    </w:p>
    <w:p w14:paraId="31B877E9" w14:textId="77777777" w:rsidR="00AD25AD" w:rsidRPr="009118AB" w:rsidRDefault="00AD25AD" w:rsidP="00AD25AD">
      <w:pPr>
        <w:jc w:val="both"/>
        <w:rPr>
          <w:rFonts w:eastAsia="Calibri"/>
          <w:lang w:eastAsia="en-US"/>
        </w:rPr>
      </w:pPr>
    </w:p>
    <w:p w14:paraId="0CDCF1ED" w14:textId="51B002DD" w:rsidR="00AD25AD" w:rsidRPr="009118AB" w:rsidRDefault="00AD25AD" w:rsidP="00AD25AD">
      <w:pPr>
        <w:jc w:val="both"/>
        <w:rPr>
          <w:rFonts w:eastAsia="Calibri"/>
          <w:lang w:eastAsia="en-US"/>
        </w:rPr>
      </w:pPr>
      <w:r w:rsidRPr="009118AB">
        <w:rPr>
          <w:rFonts w:eastAsia="Calibri"/>
          <w:szCs w:val="22"/>
          <w:lang w:eastAsia="en-US"/>
        </w:rPr>
        <w:tab/>
        <w:t xml:space="preserve">Für das Jahr der Ankunft in Belgien und für das Jahr des Weggangs aus Belgien oder das Jahr, in dem vorliegende Regelung gemäß </w:t>
      </w:r>
      <w:r w:rsidR="00D67EB8" w:rsidRPr="009118AB">
        <w:rPr>
          <w:rFonts w:eastAsia="Calibri"/>
          <w:szCs w:val="22"/>
          <w:lang w:eastAsia="en-US"/>
        </w:rPr>
        <w:t>§ </w:t>
      </w:r>
      <w:r w:rsidRPr="009118AB">
        <w:rPr>
          <w:rFonts w:eastAsia="Calibri"/>
          <w:szCs w:val="22"/>
          <w:lang w:eastAsia="en-US"/>
        </w:rPr>
        <w:t xml:space="preserve">7 ausläuft, wird der in Absatz 1 </w:t>
      </w:r>
      <w:r w:rsidR="00D67EB8" w:rsidRPr="009118AB">
        <w:rPr>
          <w:rFonts w:eastAsia="Calibri"/>
          <w:szCs w:val="22"/>
          <w:lang w:eastAsia="en-US"/>
        </w:rPr>
        <w:t>Nr. </w:t>
      </w:r>
      <w:r w:rsidRPr="009118AB">
        <w:rPr>
          <w:rFonts w:eastAsia="Calibri"/>
          <w:szCs w:val="22"/>
          <w:lang w:eastAsia="en-US"/>
        </w:rPr>
        <w:t>2 erwähnte Betrag im Verhältnis zu der Anzahl Tage, an denen das Arbeitsverhältnis in Belgien in diesem Jahr bestand und die Bedingungen des vorliegenden Artikels erfüllt waren, berechnet.</w:t>
      </w:r>
    </w:p>
    <w:p w14:paraId="1339C121" w14:textId="77777777" w:rsidR="00AD25AD" w:rsidRPr="009118AB" w:rsidRDefault="00AD25AD" w:rsidP="00AD25AD">
      <w:pPr>
        <w:jc w:val="both"/>
        <w:rPr>
          <w:rFonts w:eastAsia="Calibri"/>
          <w:lang w:eastAsia="en-US"/>
        </w:rPr>
      </w:pPr>
    </w:p>
    <w:p w14:paraId="29B2D306" w14:textId="5E8BDFD1" w:rsidR="00AD25AD" w:rsidRPr="009118AB" w:rsidRDefault="00AD25AD" w:rsidP="00AD25AD">
      <w:pPr>
        <w:jc w:val="both"/>
        <w:rPr>
          <w:rFonts w:eastAsia="Calibri"/>
          <w:lang w:eastAsia="en-US"/>
        </w:rPr>
      </w:pPr>
      <w:r w:rsidRPr="009118AB">
        <w:rPr>
          <w:rFonts w:eastAsia="Calibri"/>
          <w:szCs w:val="22"/>
          <w:lang w:eastAsia="en-US"/>
        </w:rPr>
        <w:tab/>
        <w:t xml:space="preserve">Falls der Steuerpflichtige-Impatriate seine Tätigkeit unterbrechen muss und seine Entlohnung nicht weitergezahlt wird, wird der in Absatz 1 </w:t>
      </w:r>
      <w:r w:rsidR="00D67EB8" w:rsidRPr="009118AB">
        <w:rPr>
          <w:rFonts w:eastAsia="Calibri"/>
          <w:szCs w:val="22"/>
          <w:lang w:eastAsia="en-US"/>
        </w:rPr>
        <w:t>Nr. </w:t>
      </w:r>
      <w:r w:rsidRPr="009118AB">
        <w:rPr>
          <w:rFonts w:eastAsia="Calibri"/>
          <w:szCs w:val="22"/>
          <w:lang w:eastAsia="en-US"/>
        </w:rPr>
        <w:t>2 erwähnte Betrag im Verhältnis zu der Anzahl Tage, an denen der Steuerpflichtige-Impatriate seine Berufstätigkeit tatsächlich ausüben konnte, berechnet.</w:t>
      </w:r>
    </w:p>
    <w:p w14:paraId="4C566452" w14:textId="77777777" w:rsidR="00AD25AD" w:rsidRPr="009118AB" w:rsidRDefault="00AD25AD" w:rsidP="00AD25AD">
      <w:pPr>
        <w:jc w:val="both"/>
        <w:rPr>
          <w:rFonts w:eastAsia="Calibri"/>
          <w:lang w:eastAsia="en-US"/>
        </w:rPr>
      </w:pPr>
    </w:p>
    <w:p w14:paraId="29538125" w14:textId="6E1CE466" w:rsidR="00AD25AD" w:rsidRPr="009118AB" w:rsidRDefault="00AD25AD" w:rsidP="00AD25AD">
      <w:pPr>
        <w:jc w:val="both"/>
        <w:rPr>
          <w:rFonts w:eastAsia="Calibri"/>
          <w:lang w:eastAsia="en-US"/>
        </w:rPr>
      </w:pPr>
      <w:r w:rsidRPr="009118AB">
        <w:rPr>
          <w:rFonts w:eastAsia="Calibri"/>
          <w:szCs w:val="22"/>
          <w:lang w:eastAsia="en-US"/>
        </w:rPr>
        <w:tab/>
        <w:t xml:space="preserve">Unbeschadet der Anwendung von </w:t>
      </w:r>
      <w:r w:rsidR="00D67EB8" w:rsidRPr="009118AB">
        <w:rPr>
          <w:rFonts w:eastAsia="Calibri"/>
          <w:szCs w:val="22"/>
          <w:lang w:eastAsia="en-US"/>
        </w:rPr>
        <w:t>§ </w:t>
      </w:r>
      <w:r w:rsidRPr="009118AB">
        <w:rPr>
          <w:rFonts w:eastAsia="Calibri"/>
          <w:szCs w:val="22"/>
          <w:lang w:eastAsia="en-US"/>
        </w:rPr>
        <w:t xml:space="preserve">4 wird die Einhaltung der in Absatz 1 </w:t>
      </w:r>
      <w:r w:rsidR="00D67EB8" w:rsidRPr="009118AB">
        <w:rPr>
          <w:rFonts w:eastAsia="Calibri"/>
          <w:szCs w:val="22"/>
          <w:lang w:eastAsia="en-US"/>
        </w:rPr>
        <w:t>Nr. </w:t>
      </w:r>
      <w:r w:rsidRPr="009118AB">
        <w:rPr>
          <w:rFonts w:eastAsia="Calibri"/>
          <w:szCs w:val="22"/>
          <w:lang w:eastAsia="en-US"/>
        </w:rPr>
        <w:t xml:space="preserve">2 erwähnten Bedingung zu dem Zeitpunkt beurteilt, zu dem der in </w:t>
      </w:r>
      <w:r w:rsidR="00D67EB8" w:rsidRPr="009118AB">
        <w:rPr>
          <w:rFonts w:eastAsia="Calibri"/>
          <w:szCs w:val="22"/>
          <w:lang w:eastAsia="en-US"/>
        </w:rPr>
        <w:t>§ </w:t>
      </w:r>
      <w:r w:rsidRPr="009118AB">
        <w:rPr>
          <w:rFonts w:eastAsia="Calibri"/>
          <w:szCs w:val="22"/>
          <w:lang w:eastAsia="en-US"/>
        </w:rPr>
        <w:t>8 erwähnte Antrag eingereicht wird.</w:t>
      </w:r>
    </w:p>
    <w:p w14:paraId="038E3CBD" w14:textId="77777777" w:rsidR="00AD25AD" w:rsidRPr="009118AB" w:rsidRDefault="00AD25AD" w:rsidP="00AD25AD">
      <w:pPr>
        <w:jc w:val="both"/>
        <w:rPr>
          <w:rFonts w:eastAsia="Calibri"/>
          <w:lang w:eastAsia="en-US"/>
        </w:rPr>
      </w:pPr>
    </w:p>
    <w:p w14:paraId="02BCDF67" w14:textId="091A02A0" w:rsidR="00AD25AD" w:rsidRPr="009118AB" w:rsidRDefault="00AD25AD" w:rsidP="00AD25AD">
      <w:pPr>
        <w:jc w:val="both"/>
        <w:rPr>
          <w:rFonts w:eastAsia="Calibri"/>
          <w:lang w:eastAsia="en-US"/>
        </w:rPr>
      </w:pPr>
      <w:r w:rsidRPr="009118AB">
        <w:rPr>
          <w:rFonts w:eastAsia="Calibri"/>
          <w:szCs w:val="22"/>
          <w:lang w:eastAsia="en-US"/>
        </w:rPr>
        <w:tab/>
        <w:t xml:space="preserve">Der König kann den in Absatz 1 </w:t>
      </w:r>
      <w:r w:rsidR="00D67EB8" w:rsidRPr="009118AB">
        <w:rPr>
          <w:rFonts w:eastAsia="Calibri"/>
          <w:szCs w:val="22"/>
          <w:lang w:eastAsia="en-US"/>
        </w:rPr>
        <w:t>Nr. </w:t>
      </w:r>
      <w:r w:rsidRPr="009118AB">
        <w:rPr>
          <w:rFonts w:eastAsia="Calibri"/>
          <w:szCs w:val="22"/>
          <w:lang w:eastAsia="en-US"/>
        </w:rPr>
        <w:t xml:space="preserve">2 erwähnten Betrag alle drei Jahre und zum ersten Mal für das Einkommensjahr 2024 an die Erhöhung des abgeflachten Gesundheitsindexes erwähnt in Artikel 2 </w:t>
      </w:r>
      <w:r w:rsidR="00D67EB8" w:rsidRPr="009118AB">
        <w:rPr>
          <w:rFonts w:eastAsia="Calibri"/>
          <w:szCs w:val="22"/>
          <w:lang w:eastAsia="en-US"/>
        </w:rPr>
        <w:t>§ </w:t>
      </w:r>
      <w:r w:rsidRPr="009118AB">
        <w:rPr>
          <w:rFonts w:eastAsia="Calibri"/>
          <w:szCs w:val="22"/>
          <w:lang w:eastAsia="en-US"/>
        </w:rPr>
        <w:t xml:space="preserve">2 des Königlichen Erlasses vom 24. Dezember 1993 zur Ausführung des Gesetzes vom 6. Januar 1989 zur Wahrung der Konkurrenzfähigkeit des Landes, bestätigt durch das Gesetz vom 30. März 1994 zur Festlegung sozialer Bestimmungen, anpassen. Dazu wird der in Absatz 1 </w:t>
      </w:r>
      <w:r w:rsidR="00D67EB8" w:rsidRPr="009118AB">
        <w:rPr>
          <w:rFonts w:eastAsia="Calibri"/>
          <w:szCs w:val="22"/>
          <w:lang w:eastAsia="en-US"/>
        </w:rPr>
        <w:t>Nr. </w:t>
      </w:r>
      <w:r w:rsidRPr="009118AB">
        <w:rPr>
          <w:rFonts w:eastAsia="Calibri"/>
          <w:szCs w:val="22"/>
          <w:lang w:eastAsia="en-US"/>
        </w:rPr>
        <w:t>2 erwähnte Betrag mit der Zahl des abgeflachten Gesundheitsindexes des Monats September des Jahres vor dem Jahr, in dem der neue Betrag zum ersten Mal anwendbar sein wird, multipliziert und durch die Zahl des abgeflachten Gesundheitsindexes des Monats September 2020 (107,85) geteilt. Der so erhaltene Betrag wird auf den höheren oder niedrigeren Hunderter abgerundet, je nachdem ob die Ziffer der Zehner 5 erreicht oder nicht.</w:t>
      </w:r>
    </w:p>
    <w:p w14:paraId="22D32380" w14:textId="77777777" w:rsidR="00AD25AD" w:rsidRPr="009118AB" w:rsidRDefault="00AD25AD" w:rsidP="00AD25AD">
      <w:pPr>
        <w:jc w:val="both"/>
        <w:rPr>
          <w:rFonts w:eastAsia="Calibri"/>
          <w:lang w:eastAsia="en-US"/>
        </w:rPr>
      </w:pPr>
    </w:p>
    <w:p w14:paraId="19059802" w14:textId="52C6539C" w:rsidR="00AD25AD" w:rsidRPr="009118AB" w:rsidRDefault="00AD25AD" w:rsidP="00AD25AD">
      <w:pPr>
        <w:jc w:val="both"/>
        <w:rPr>
          <w:rFonts w:eastAsia="Calibri"/>
          <w:lang w:eastAsia="en-US"/>
        </w:rPr>
      </w:pPr>
      <w:r w:rsidRPr="009118AB">
        <w:rPr>
          <w:rFonts w:eastAsia="Calibri"/>
          <w:szCs w:val="22"/>
          <w:lang w:eastAsia="en-US"/>
        </w:rPr>
        <w:tab/>
      </w:r>
      <w:r w:rsidR="003F2030">
        <w:rPr>
          <w:rFonts w:eastAsia="Calibri"/>
          <w:szCs w:val="22"/>
          <w:lang w:eastAsia="en-US"/>
        </w:rPr>
        <w:t>[…]</w:t>
      </w:r>
    </w:p>
    <w:p w14:paraId="06A5392E" w14:textId="77777777" w:rsidR="00AD25AD" w:rsidRPr="009118AB" w:rsidRDefault="00AD25AD" w:rsidP="00AD25AD">
      <w:pPr>
        <w:jc w:val="both"/>
        <w:rPr>
          <w:rFonts w:eastAsia="Calibri"/>
          <w:lang w:eastAsia="en-US"/>
        </w:rPr>
      </w:pPr>
    </w:p>
    <w:p w14:paraId="0B8F52E2" w14:textId="747CEEB7"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4</w:t>
      </w:r>
      <w:r w:rsidR="00D67EB8" w:rsidRPr="009118AB">
        <w:rPr>
          <w:rFonts w:eastAsia="Calibri"/>
          <w:szCs w:val="22"/>
          <w:lang w:eastAsia="en-US"/>
        </w:rPr>
        <w:t> - </w:t>
      </w:r>
      <w:r w:rsidRPr="009118AB">
        <w:rPr>
          <w:rFonts w:eastAsia="Calibri"/>
          <w:szCs w:val="22"/>
          <w:lang w:eastAsia="en-US"/>
        </w:rPr>
        <w:t xml:space="preserve">Sind die in </w:t>
      </w:r>
      <w:r w:rsidR="00D67EB8" w:rsidRPr="009118AB">
        <w:rPr>
          <w:rFonts w:eastAsia="Calibri"/>
          <w:szCs w:val="22"/>
          <w:lang w:eastAsia="en-US"/>
        </w:rPr>
        <w:t>§ </w:t>
      </w:r>
      <w:r w:rsidRPr="009118AB">
        <w:rPr>
          <w:rFonts w:eastAsia="Calibri"/>
          <w:szCs w:val="22"/>
          <w:lang w:eastAsia="en-US"/>
        </w:rPr>
        <w:t xml:space="preserve">2 oder </w:t>
      </w:r>
      <w:r w:rsidR="00D67EB8" w:rsidRPr="009118AB">
        <w:rPr>
          <w:rFonts w:eastAsia="Calibri"/>
          <w:szCs w:val="22"/>
          <w:lang w:eastAsia="en-US"/>
        </w:rPr>
        <w:t>§ </w:t>
      </w:r>
      <w:r w:rsidRPr="009118AB">
        <w:rPr>
          <w:rFonts w:eastAsia="Calibri"/>
          <w:szCs w:val="22"/>
          <w:lang w:eastAsia="en-US"/>
        </w:rPr>
        <w:t xml:space="preserve">3 Absatz 1 </w:t>
      </w:r>
      <w:r w:rsidR="00D67EB8" w:rsidRPr="009118AB">
        <w:rPr>
          <w:rFonts w:eastAsia="Calibri"/>
          <w:szCs w:val="22"/>
          <w:lang w:eastAsia="en-US"/>
        </w:rPr>
        <w:t>Nr. </w:t>
      </w:r>
      <w:r w:rsidRPr="009118AB">
        <w:rPr>
          <w:rFonts w:eastAsia="Calibri"/>
          <w:szCs w:val="22"/>
          <w:lang w:eastAsia="en-US"/>
        </w:rPr>
        <w:t xml:space="preserve">2 erwähnten Bedingungen im Laufe des in </w:t>
      </w:r>
      <w:r w:rsidR="00D67EB8" w:rsidRPr="009118AB">
        <w:rPr>
          <w:rFonts w:eastAsia="Calibri"/>
          <w:szCs w:val="22"/>
          <w:lang w:eastAsia="en-US"/>
        </w:rPr>
        <w:t>§ </w:t>
      </w:r>
      <w:r w:rsidRPr="009118AB">
        <w:rPr>
          <w:rFonts w:eastAsia="Calibri"/>
          <w:szCs w:val="22"/>
          <w:lang w:eastAsia="en-US"/>
        </w:rPr>
        <w:t>7 erwähnten Zeitraums nicht mehr erfüllt, endet die Anwendung der vorliegenden Regelung.</w:t>
      </w:r>
    </w:p>
    <w:p w14:paraId="146B7249" w14:textId="77777777" w:rsidR="00AD25AD" w:rsidRPr="009118AB" w:rsidRDefault="00AD25AD" w:rsidP="00AD25AD">
      <w:pPr>
        <w:jc w:val="both"/>
        <w:rPr>
          <w:rFonts w:eastAsia="Calibri"/>
          <w:lang w:eastAsia="en-US"/>
        </w:rPr>
      </w:pPr>
    </w:p>
    <w:p w14:paraId="790C0740" w14:textId="51FAF5A9"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5</w:t>
      </w:r>
      <w:r w:rsidR="00D67EB8" w:rsidRPr="009118AB">
        <w:rPr>
          <w:rFonts w:eastAsia="Calibri"/>
          <w:szCs w:val="22"/>
          <w:lang w:eastAsia="en-US"/>
        </w:rPr>
        <w:t> - </w:t>
      </w:r>
      <w:r w:rsidRPr="009118AB">
        <w:rPr>
          <w:rFonts w:eastAsia="Calibri"/>
          <w:szCs w:val="22"/>
          <w:lang w:eastAsia="en-US"/>
        </w:rPr>
        <w:t>Die Übernahme</w:t>
      </w:r>
      <w:r w:rsidR="00D67EB8" w:rsidRPr="009118AB">
        <w:rPr>
          <w:rFonts w:eastAsia="Calibri"/>
          <w:szCs w:val="22"/>
          <w:lang w:eastAsia="en-US"/>
        </w:rPr>
        <w:t> - </w:t>
      </w:r>
      <w:r w:rsidRPr="009118AB">
        <w:rPr>
          <w:rFonts w:eastAsia="Calibri"/>
          <w:szCs w:val="22"/>
          <w:lang w:eastAsia="en-US"/>
        </w:rPr>
        <w:t>zusätzlich zur Entlohnung</w:t>
      </w:r>
      <w:r w:rsidR="00D67EB8" w:rsidRPr="009118AB">
        <w:rPr>
          <w:rFonts w:eastAsia="Calibri"/>
          <w:szCs w:val="22"/>
          <w:lang w:eastAsia="en-US"/>
        </w:rPr>
        <w:t> - </w:t>
      </w:r>
      <w:r w:rsidRPr="009118AB">
        <w:rPr>
          <w:rFonts w:eastAsia="Calibri"/>
          <w:szCs w:val="22"/>
          <w:lang w:eastAsia="en-US"/>
        </w:rPr>
        <w:t xml:space="preserve">wiederkehrender Ausgaben, die sich direkt aus der Zurverfügungstellung oder Beschäftigung in Belgien ergeben, durch den Arbeitgeber </w:t>
      </w:r>
      <w:r w:rsidR="00031E24">
        <w:rPr>
          <w:rFonts w:eastAsia="Calibri"/>
          <w:szCs w:val="22"/>
          <w:lang w:eastAsia="en-US"/>
        </w:rPr>
        <w:t xml:space="preserve">[…] </w:t>
      </w:r>
      <w:r w:rsidR="00D67EB8" w:rsidRPr="009118AB">
        <w:rPr>
          <w:rFonts w:eastAsia="Calibri"/>
          <w:szCs w:val="22"/>
          <w:lang w:eastAsia="en-US"/>
        </w:rPr>
        <w:t>- </w:t>
      </w:r>
      <w:r w:rsidRPr="009118AB">
        <w:rPr>
          <w:rFonts w:eastAsia="Calibri"/>
          <w:szCs w:val="22"/>
          <w:lang w:eastAsia="en-US"/>
        </w:rPr>
        <w:t>entweder direkt oder in Form spezifischer Erstattungen</w:t>
      </w:r>
      <w:r w:rsidR="00D67EB8" w:rsidRPr="009118AB">
        <w:rPr>
          <w:rFonts w:eastAsia="Calibri"/>
          <w:szCs w:val="22"/>
          <w:lang w:eastAsia="en-US"/>
        </w:rPr>
        <w:t> - </w:t>
      </w:r>
      <w:r w:rsidRPr="009118AB">
        <w:rPr>
          <w:rFonts w:eastAsia="Calibri"/>
          <w:szCs w:val="22"/>
          <w:lang w:eastAsia="en-US"/>
        </w:rPr>
        <w:t xml:space="preserve">gilt als eine Erstattung eigener Ausgaben des Arbeitgebers bis zu einem Betrag von 30 Prozent der in </w:t>
      </w:r>
      <w:r w:rsidR="00D67EB8" w:rsidRPr="009118AB">
        <w:rPr>
          <w:rFonts w:eastAsia="Calibri"/>
          <w:szCs w:val="22"/>
          <w:lang w:eastAsia="en-US"/>
        </w:rPr>
        <w:t>§ </w:t>
      </w:r>
      <w:r w:rsidRPr="009118AB">
        <w:rPr>
          <w:rFonts w:eastAsia="Calibri"/>
          <w:szCs w:val="22"/>
          <w:lang w:eastAsia="en-US"/>
        </w:rPr>
        <w:t>3 Absatz 2 beschriebenen Entlohnung.</w:t>
      </w:r>
    </w:p>
    <w:p w14:paraId="5D7F0CF2" w14:textId="77777777" w:rsidR="00AD25AD" w:rsidRPr="009118AB" w:rsidRDefault="00AD25AD" w:rsidP="00AD25AD">
      <w:pPr>
        <w:jc w:val="both"/>
        <w:rPr>
          <w:rFonts w:eastAsia="Calibri"/>
          <w:lang w:eastAsia="en-US"/>
        </w:rPr>
      </w:pPr>
    </w:p>
    <w:p w14:paraId="6E2092ED" w14:textId="77777777" w:rsidR="00AD25AD" w:rsidRPr="009118AB" w:rsidRDefault="00AD25AD" w:rsidP="00AD25AD">
      <w:pPr>
        <w:jc w:val="both"/>
        <w:rPr>
          <w:rFonts w:eastAsia="Calibri"/>
          <w:lang w:eastAsia="en-US"/>
        </w:rPr>
      </w:pPr>
      <w:r w:rsidRPr="009118AB">
        <w:rPr>
          <w:rFonts w:eastAsia="Calibri"/>
          <w:szCs w:val="22"/>
          <w:lang w:eastAsia="en-US"/>
        </w:rPr>
        <w:tab/>
        <w:t>Der in Absatz 1 erwähnte Betrag, der als eigene Ausgaben des Arbeitgebers zulässig ist, ist auf 90.000 EUR pro Jahr begrenzt.</w:t>
      </w:r>
    </w:p>
    <w:p w14:paraId="72B18754" w14:textId="77777777" w:rsidR="00AD25AD" w:rsidRPr="009118AB" w:rsidRDefault="00AD25AD" w:rsidP="00AD25AD">
      <w:pPr>
        <w:jc w:val="both"/>
        <w:rPr>
          <w:rFonts w:eastAsia="Calibri"/>
          <w:lang w:eastAsia="en-US"/>
        </w:rPr>
      </w:pPr>
    </w:p>
    <w:p w14:paraId="1FA19DD3" w14:textId="6B1A4E5F" w:rsidR="00AD25AD" w:rsidRPr="009118AB" w:rsidRDefault="00AD25AD" w:rsidP="00AD25AD">
      <w:pPr>
        <w:jc w:val="both"/>
        <w:rPr>
          <w:rFonts w:eastAsia="Calibri"/>
          <w:lang w:eastAsia="en-US"/>
        </w:rPr>
      </w:pPr>
      <w:r w:rsidRPr="009118AB">
        <w:rPr>
          <w:rFonts w:eastAsia="Calibri"/>
          <w:szCs w:val="22"/>
          <w:lang w:eastAsia="en-US"/>
        </w:rPr>
        <w:lastRenderedPageBreak/>
        <w:tab/>
        <w:t xml:space="preserve">Der König kann den in Absatz 2 erwähnten Betrag alle drei Jahre und zum ersten Mal für das Einkommensjahr 2024 gemäß den in </w:t>
      </w:r>
      <w:r w:rsidR="00D67EB8" w:rsidRPr="009118AB">
        <w:rPr>
          <w:rFonts w:eastAsia="Calibri"/>
          <w:szCs w:val="22"/>
          <w:lang w:eastAsia="en-US"/>
        </w:rPr>
        <w:t>§ </w:t>
      </w:r>
      <w:r w:rsidRPr="009118AB">
        <w:rPr>
          <w:rFonts w:eastAsia="Calibri"/>
          <w:szCs w:val="22"/>
          <w:lang w:eastAsia="en-US"/>
        </w:rPr>
        <w:t>3 Absatz 6 festgelegten Regeln an die Erhöhung des abgeflachten Gesundheitsindexes anpassen.</w:t>
      </w:r>
    </w:p>
    <w:p w14:paraId="16306851" w14:textId="77777777" w:rsidR="00AD25AD" w:rsidRPr="009118AB" w:rsidRDefault="00AD25AD" w:rsidP="00AD25AD">
      <w:pPr>
        <w:jc w:val="both"/>
        <w:rPr>
          <w:rFonts w:eastAsia="Calibri"/>
          <w:lang w:eastAsia="en-US"/>
        </w:rPr>
      </w:pPr>
    </w:p>
    <w:p w14:paraId="5A1EBBE6" w14:textId="332CB3EC" w:rsidR="00AD25AD" w:rsidRPr="009118AB" w:rsidRDefault="00AD25AD" w:rsidP="00AD25AD">
      <w:pPr>
        <w:jc w:val="both"/>
        <w:rPr>
          <w:rFonts w:eastAsia="Calibri"/>
          <w:lang w:eastAsia="en-US"/>
        </w:rPr>
      </w:pPr>
      <w:r w:rsidRPr="009118AB">
        <w:rPr>
          <w:rFonts w:eastAsia="Calibri"/>
          <w:szCs w:val="22"/>
          <w:lang w:eastAsia="en-US"/>
        </w:rPr>
        <w:tab/>
        <w:t xml:space="preserve">Für das Jahr der Ankunft in Belgien und für das Jahr des Weggangs aus Belgien oder das Jahr, in dem vorliegende Regelung gemäß </w:t>
      </w:r>
      <w:r w:rsidR="00D67EB8" w:rsidRPr="009118AB">
        <w:rPr>
          <w:rFonts w:eastAsia="Calibri"/>
          <w:szCs w:val="22"/>
          <w:lang w:eastAsia="en-US"/>
        </w:rPr>
        <w:t>§ </w:t>
      </w:r>
      <w:r w:rsidRPr="009118AB">
        <w:rPr>
          <w:rFonts w:eastAsia="Calibri"/>
          <w:szCs w:val="22"/>
          <w:lang w:eastAsia="en-US"/>
        </w:rPr>
        <w:t>7 ausläuft, wird der in Absatz 2 erwähnte Höchstbetrag im Verhältnis zu der Anzahl Tage, an denen das Arbeitsverhältnis in Belgien in diesem Jahr bestand und die Bedingungen des vorliegenden Artikels erfüllt waren, berechnet.</w:t>
      </w:r>
    </w:p>
    <w:p w14:paraId="681B438A" w14:textId="77777777" w:rsidR="00AD25AD" w:rsidRPr="009118AB" w:rsidRDefault="00AD25AD" w:rsidP="00AD25AD">
      <w:pPr>
        <w:jc w:val="both"/>
        <w:rPr>
          <w:rFonts w:eastAsia="Calibri"/>
          <w:lang w:eastAsia="en-US"/>
        </w:rPr>
      </w:pPr>
    </w:p>
    <w:p w14:paraId="78FAEEEE" w14:textId="77777777" w:rsidR="00AD25AD" w:rsidRPr="009118AB" w:rsidRDefault="00AD25AD" w:rsidP="00AD25AD">
      <w:pPr>
        <w:jc w:val="both"/>
        <w:rPr>
          <w:rFonts w:eastAsia="Calibri"/>
          <w:lang w:eastAsia="en-US"/>
        </w:rPr>
      </w:pPr>
      <w:r w:rsidRPr="009118AB">
        <w:rPr>
          <w:rFonts w:eastAsia="Calibri"/>
          <w:szCs w:val="22"/>
          <w:lang w:eastAsia="en-US"/>
        </w:rPr>
        <w:tab/>
        <w:t>Falls der Steuerpflichtige-Impatriate seine Tätigkeit unterbrechen muss und seine Entlohnung nicht weitergezahlt wird, die in Absatz 1 erwähnten Kosten aufgrund einer vertraglichen Verpflichtung jedoch weiterhin vom Arbeitgeber oder von der Gesellschaft übernommen werden, wird die Entlohnung, auf deren Grundlage die Höchstgrenze von 30 Prozent berechnet wird, bestimmt, als ob die Tätigkeit nicht unterbrochen worden wäre.</w:t>
      </w:r>
    </w:p>
    <w:p w14:paraId="4DAD0C95" w14:textId="77777777" w:rsidR="00AD25AD" w:rsidRPr="009118AB" w:rsidRDefault="00AD25AD" w:rsidP="00AD25AD">
      <w:pPr>
        <w:jc w:val="both"/>
        <w:rPr>
          <w:rFonts w:eastAsia="Calibri"/>
          <w:lang w:eastAsia="en-US"/>
        </w:rPr>
      </w:pPr>
    </w:p>
    <w:p w14:paraId="02C88E2B" w14:textId="02AB9C72"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6</w:t>
      </w:r>
      <w:r w:rsidR="00D67EB8" w:rsidRPr="009118AB">
        <w:rPr>
          <w:rFonts w:eastAsia="Calibri"/>
          <w:szCs w:val="22"/>
          <w:lang w:eastAsia="en-US"/>
        </w:rPr>
        <w:t> - </w:t>
      </w:r>
      <w:r w:rsidRPr="009118AB">
        <w:rPr>
          <w:rFonts w:eastAsia="Calibri"/>
          <w:szCs w:val="22"/>
          <w:lang w:eastAsia="en-US"/>
        </w:rPr>
        <w:t>Als Erstattungen eigener Ausgaben des Arbeitgebers gelten auch die Kosten, die vom Arbeitgeber oder von der Gesellschaft entweder direkt oder in Form spezifischer Erstattungen getragen werden, in dem Maße, wie diese Kosten bestimmt sind zur Deckung von:</w:t>
      </w:r>
    </w:p>
    <w:p w14:paraId="6302B986" w14:textId="77777777" w:rsidR="00AD25AD" w:rsidRPr="009118AB" w:rsidRDefault="00AD25AD" w:rsidP="00AD25AD">
      <w:pPr>
        <w:jc w:val="both"/>
        <w:rPr>
          <w:rFonts w:eastAsia="Calibri"/>
          <w:lang w:eastAsia="en-US"/>
        </w:rPr>
      </w:pPr>
    </w:p>
    <w:p w14:paraId="7A942278" w14:textId="77777777" w:rsidR="00AD25AD" w:rsidRPr="009118AB" w:rsidRDefault="00AD25AD" w:rsidP="00AD25AD">
      <w:pPr>
        <w:jc w:val="both"/>
        <w:rPr>
          <w:rFonts w:eastAsia="Calibri"/>
          <w:lang w:eastAsia="en-US"/>
        </w:rPr>
      </w:pPr>
      <w:r w:rsidRPr="009118AB">
        <w:rPr>
          <w:rFonts w:eastAsia="Calibri"/>
          <w:szCs w:val="22"/>
          <w:lang w:eastAsia="en-US"/>
        </w:rPr>
        <w:tab/>
        <w:t>1. Kosten, die durch den Umzug des Steuerpflichtigen-Impatriates nach Belgien entstehen,</w:t>
      </w:r>
    </w:p>
    <w:p w14:paraId="1FFB4FCE" w14:textId="77777777" w:rsidR="00AD25AD" w:rsidRPr="009118AB" w:rsidRDefault="00AD25AD" w:rsidP="00AD25AD">
      <w:pPr>
        <w:jc w:val="both"/>
        <w:rPr>
          <w:rFonts w:eastAsia="Calibri"/>
          <w:lang w:eastAsia="en-US"/>
        </w:rPr>
      </w:pPr>
    </w:p>
    <w:p w14:paraId="07314F35" w14:textId="77777777" w:rsidR="00AD25AD" w:rsidRPr="009118AB" w:rsidRDefault="00AD25AD" w:rsidP="00AD25AD">
      <w:pPr>
        <w:jc w:val="both"/>
        <w:rPr>
          <w:rFonts w:eastAsia="Calibri"/>
          <w:lang w:eastAsia="en-US"/>
        </w:rPr>
      </w:pPr>
      <w:r w:rsidRPr="009118AB">
        <w:rPr>
          <w:rFonts w:eastAsia="Calibri"/>
          <w:szCs w:val="22"/>
          <w:lang w:eastAsia="en-US"/>
        </w:rPr>
        <w:tab/>
        <w:t>2. Kosten im Zusammenhang mit der Einrichtung der Wohnung in Belgien, die in den ersten sechs Monaten nach der Ankunft in Belgien getätigt werden,</w:t>
      </w:r>
    </w:p>
    <w:p w14:paraId="09B84EAB" w14:textId="77777777" w:rsidR="00AD25AD" w:rsidRPr="009118AB" w:rsidRDefault="00AD25AD" w:rsidP="00AD25AD">
      <w:pPr>
        <w:jc w:val="both"/>
        <w:rPr>
          <w:rFonts w:eastAsia="Calibri"/>
          <w:lang w:eastAsia="en-US"/>
        </w:rPr>
      </w:pPr>
    </w:p>
    <w:p w14:paraId="7EAEA240" w14:textId="77777777" w:rsidR="00AD25AD" w:rsidRPr="009118AB" w:rsidRDefault="00AD25AD" w:rsidP="00AD25AD">
      <w:pPr>
        <w:jc w:val="both"/>
        <w:rPr>
          <w:rFonts w:eastAsia="Calibri"/>
          <w:lang w:eastAsia="en-US"/>
        </w:rPr>
      </w:pPr>
      <w:r w:rsidRPr="009118AB">
        <w:rPr>
          <w:rFonts w:eastAsia="Calibri"/>
          <w:szCs w:val="22"/>
          <w:lang w:eastAsia="en-US"/>
        </w:rPr>
        <w:tab/>
        <w:t>3. Schulgeld für die Kinder des Steuerpflichtigen-Impatriates oder seines Partners, die mit ihren Eltern oder einem Elternteil umziehen, wenn sie aufgrund der belgischen Rechtsvorschriften im schulpflichtigen Alter sind und in diesem Zusammenhang in Belgien an einer privaten oder internationalen Schule dem Vorschul-, Primarschul- oder Sekundarschul</w:t>
      </w:r>
      <w:r w:rsidRPr="009118AB">
        <w:rPr>
          <w:rFonts w:eastAsia="Calibri"/>
          <w:szCs w:val="22"/>
          <w:lang w:eastAsia="en-US"/>
        </w:rPr>
        <w:softHyphen/>
        <w:t>unterricht folgen.</w:t>
      </w:r>
    </w:p>
    <w:p w14:paraId="0C9370EE" w14:textId="77777777" w:rsidR="00AD25AD" w:rsidRPr="009118AB" w:rsidRDefault="00AD25AD" w:rsidP="00AD25AD">
      <w:pPr>
        <w:jc w:val="both"/>
        <w:rPr>
          <w:rFonts w:eastAsia="Calibri"/>
          <w:lang w:eastAsia="en-US"/>
        </w:rPr>
      </w:pPr>
    </w:p>
    <w:p w14:paraId="0F6021B9" w14:textId="24810B81" w:rsidR="00AD25AD" w:rsidRPr="009118AB" w:rsidRDefault="00AD25AD" w:rsidP="00AD25AD">
      <w:pPr>
        <w:jc w:val="both"/>
        <w:rPr>
          <w:rFonts w:eastAsia="Calibri"/>
          <w:lang w:eastAsia="en-US"/>
        </w:rPr>
      </w:pPr>
      <w:r w:rsidRPr="009118AB">
        <w:rPr>
          <w:rFonts w:eastAsia="Calibri"/>
          <w:szCs w:val="22"/>
          <w:lang w:eastAsia="en-US"/>
        </w:rPr>
        <w:tab/>
        <w:t xml:space="preserve">In Absatz 1 </w:t>
      </w:r>
      <w:r w:rsidR="00D67EB8" w:rsidRPr="009118AB">
        <w:rPr>
          <w:rFonts w:eastAsia="Calibri"/>
          <w:szCs w:val="22"/>
          <w:lang w:eastAsia="en-US"/>
        </w:rPr>
        <w:t>Nr. </w:t>
      </w:r>
      <w:r w:rsidRPr="009118AB">
        <w:rPr>
          <w:rFonts w:eastAsia="Calibri"/>
          <w:szCs w:val="22"/>
          <w:lang w:eastAsia="en-US"/>
        </w:rPr>
        <w:t>1 erwähnte Kosten umfassen nur die Kosten einer Reise im Hinblick auf die Suche nach einer neuen Unterkunft in Belgien, die Reisekosten des Steuerpflichtigen-Impatriates selbst, seines Partners und der Kinder, die zu seinem Haushalt gehören, sowie die Kosten für das Abbauen, Verpacken, Einladen, Befördern, Ausladen, Auspacken und Aufbauen von Mobiliar, das dem Steuerpflichtigen-Impatriate gehört. Gegebenenfalls sind auch die Hotelkosten des Steuerpflichtigen-Impatriates, seines Partners und der Kinder, die zu seinem Haushalt gehören, während der ersten drei Monate nach dem Arbeitsantritt in Belgien gemeint.</w:t>
      </w:r>
    </w:p>
    <w:p w14:paraId="75FA5FB7" w14:textId="77777777" w:rsidR="00AD25AD" w:rsidRPr="009118AB" w:rsidRDefault="00AD25AD" w:rsidP="00AD25AD">
      <w:pPr>
        <w:jc w:val="both"/>
        <w:rPr>
          <w:rFonts w:eastAsia="Calibri"/>
          <w:lang w:eastAsia="en-US"/>
        </w:rPr>
      </w:pPr>
    </w:p>
    <w:p w14:paraId="2136E173" w14:textId="5B835109" w:rsidR="00AD25AD" w:rsidRPr="009118AB" w:rsidRDefault="00AD25AD" w:rsidP="00AD25AD">
      <w:pPr>
        <w:jc w:val="both"/>
        <w:rPr>
          <w:rFonts w:eastAsia="Calibri"/>
          <w:lang w:eastAsia="en-US"/>
        </w:rPr>
      </w:pPr>
      <w:r w:rsidRPr="009118AB">
        <w:rPr>
          <w:rFonts w:eastAsia="Calibri"/>
          <w:szCs w:val="22"/>
          <w:lang w:eastAsia="en-US"/>
        </w:rPr>
        <w:tab/>
        <w:t xml:space="preserve">In Absatz 1 </w:t>
      </w:r>
      <w:r w:rsidR="00D67EB8" w:rsidRPr="009118AB">
        <w:rPr>
          <w:rFonts w:eastAsia="Calibri"/>
          <w:szCs w:val="22"/>
          <w:lang w:eastAsia="en-US"/>
        </w:rPr>
        <w:t>Nr. </w:t>
      </w:r>
      <w:r w:rsidRPr="009118AB">
        <w:rPr>
          <w:rFonts w:eastAsia="Calibri"/>
          <w:szCs w:val="22"/>
          <w:lang w:eastAsia="en-US"/>
        </w:rPr>
        <w:t>2 erwähnte Kosten umfassen nur die Kosten für den Kauf von Material, das dazu bestimmt ist, in der Wohnung in Belgien zu bleiben, und für den Kauf von elektrischen Haushaltsgeräten gemäß den in Belgien geltenden Normen.</w:t>
      </w:r>
    </w:p>
    <w:p w14:paraId="5173B6E4" w14:textId="77777777" w:rsidR="00AD25AD" w:rsidRPr="009118AB" w:rsidRDefault="00AD25AD" w:rsidP="00AD25AD">
      <w:pPr>
        <w:jc w:val="both"/>
        <w:rPr>
          <w:rFonts w:eastAsia="Calibri"/>
          <w:lang w:eastAsia="en-US"/>
        </w:rPr>
      </w:pPr>
    </w:p>
    <w:p w14:paraId="5F3C38EB" w14:textId="536FB423" w:rsidR="00AD25AD" w:rsidRPr="009118AB" w:rsidRDefault="00AD25AD" w:rsidP="00AD25AD">
      <w:pPr>
        <w:jc w:val="both"/>
        <w:rPr>
          <w:rFonts w:eastAsia="Calibri"/>
          <w:lang w:eastAsia="en-US"/>
        </w:rPr>
      </w:pPr>
      <w:r w:rsidRPr="009118AB">
        <w:rPr>
          <w:rFonts w:eastAsia="Calibri"/>
          <w:szCs w:val="22"/>
          <w:lang w:eastAsia="en-US"/>
        </w:rPr>
        <w:tab/>
        <w:t xml:space="preserve">Die Kosten, die als eigene Ausgaben des Arbeitgebers wie in Absatz 1 </w:t>
      </w:r>
      <w:r w:rsidR="00D67EB8" w:rsidRPr="009118AB">
        <w:rPr>
          <w:rFonts w:eastAsia="Calibri"/>
          <w:szCs w:val="22"/>
          <w:lang w:eastAsia="en-US"/>
        </w:rPr>
        <w:t>Nr. </w:t>
      </w:r>
      <w:r w:rsidRPr="009118AB">
        <w:rPr>
          <w:rFonts w:eastAsia="Calibri"/>
          <w:szCs w:val="22"/>
          <w:lang w:eastAsia="en-US"/>
        </w:rPr>
        <w:t xml:space="preserve">2 erwähnt zulässig sind, sind auf den Betrag von 1.500 EUR begrenzt. Der König kann diesen Betrag alle drei Jahre und zum ersten Mal für das Einkommensjahr 2024 gemäß den in </w:t>
      </w:r>
      <w:r w:rsidR="00D67EB8" w:rsidRPr="009118AB">
        <w:rPr>
          <w:rFonts w:eastAsia="Calibri"/>
          <w:szCs w:val="22"/>
          <w:lang w:eastAsia="en-US"/>
        </w:rPr>
        <w:t>§ </w:t>
      </w:r>
      <w:r w:rsidRPr="009118AB">
        <w:rPr>
          <w:rFonts w:eastAsia="Calibri"/>
          <w:szCs w:val="22"/>
          <w:lang w:eastAsia="en-US"/>
        </w:rPr>
        <w:t>3 Absatz 6 festgelegten Regeln an die Erhöhung des abgeflachten Gesundheitsindexes anpassen.</w:t>
      </w:r>
    </w:p>
    <w:p w14:paraId="24608563" w14:textId="77777777" w:rsidR="00AD25AD" w:rsidRPr="009118AB" w:rsidRDefault="00AD25AD" w:rsidP="00AD25AD">
      <w:pPr>
        <w:jc w:val="both"/>
        <w:rPr>
          <w:rFonts w:eastAsia="Calibri"/>
          <w:lang w:eastAsia="en-US"/>
        </w:rPr>
      </w:pPr>
    </w:p>
    <w:p w14:paraId="25E9DDAA" w14:textId="77777777" w:rsidR="00AD25AD" w:rsidRPr="009118AB" w:rsidRDefault="00AD25AD" w:rsidP="00AD25AD">
      <w:pPr>
        <w:jc w:val="both"/>
        <w:rPr>
          <w:rFonts w:eastAsia="Calibri"/>
          <w:lang w:eastAsia="en-US"/>
        </w:rPr>
      </w:pPr>
      <w:r w:rsidRPr="009118AB">
        <w:rPr>
          <w:rFonts w:eastAsia="Calibri"/>
          <w:szCs w:val="22"/>
          <w:lang w:eastAsia="en-US"/>
        </w:rPr>
        <w:lastRenderedPageBreak/>
        <w:tab/>
        <w:t>Es obliegt dem Steuerpflichtigen, Echtheit und Betrag dieser Ausgaben durch Belege nachzuweisen oder, wenn das nicht möglich ist, durch alle anderen vom allgemeinen Recht zugelassenen Beweismittel außer dem Eid.</w:t>
      </w:r>
    </w:p>
    <w:p w14:paraId="17E98D2A" w14:textId="77777777" w:rsidR="00AD25AD" w:rsidRPr="009118AB" w:rsidRDefault="00AD25AD" w:rsidP="00AD25AD">
      <w:pPr>
        <w:jc w:val="both"/>
        <w:rPr>
          <w:rFonts w:eastAsia="Calibri"/>
          <w:lang w:eastAsia="en-US"/>
        </w:rPr>
      </w:pPr>
    </w:p>
    <w:p w14:paraId="75D945E4" w14:textId="15CFE8B9"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7</w:t>
      </w:r>
      <w:r w:rsidR="00D67EB8" w:rsidRPr="009118AB">
        <w:rPr>
          <w:rFonts w:eastAsia="Calibri"/>
          <w:szCs w:val="22"/>
          <w:lang w:eastAsia="en-US"/>
        </w:rPr>
        <w:t> - </w:t>
      </w:r>
      <w:r w:rsidRPr="009118AB">
        <w:rPr>
          <w:rFonts w:eastAsia="Calibri"/>
          <w:szCs w:val="22"/>
          <w:lang w:eastAsia="en-US"/>
        </w:rPr>
        <w:t>Die Paragraphen 5 und 6 sind während der Dauer der Beschäftigung des Steuerpflichtigen in Belgien anwendbar, mit einem Maximum von fünf Jahren.</w:t>
      </w:r>
    </w:p>
    <w:p w14:paraId="2B5B4087" w14:textId="77777777" w:rsidR="00AD25AD" w:rsidRPr="009118AB" w:rsidRDefault="00AD25AD" w:rsidP="00AD25AD">
      <w:pPr>
        <w:jc w:val="both"/>
        <w:rPr>
          <w:rFonts w:eastAsia="Calibri"/>
          <w:lang w:eastAsia="en-US"/>
        </w:rPr>
      </w:pPr>
    </w:p>
    <w:p w14:paraId="66C748E4" w14:textId="77777777" w:rsidR="00AD25AD" w:rsidRPr="009118AB" w:rsidRDefault="00AD25AD" w:rsidP="00AD25AD">
      <w:pPr>
        <w:jc w:val="both"/>
        <w:rPr>
          <w:rFonts w:eastAsia="Calibri"/>
          <w:lang w:eastAsia="en-US"/>
        </w:rPr>
      </w:pPr>
      <w:r w:rsidRPr="009118AB">
        <w:rPr>
          <w:rFonts w:eastAsia="Calibri"/>
          <w:szCs w:val="22"/>
          <w:lang w:eastAsia="en-US"/>
        </w:rPr>
        <w:tab/>
        <w:t>Geht die Beschäftigung des Steuerpflichtigen in Belgien über die in Absatz 1 erwähnte Dauer hinaus, wird die Anwendung der Paragraphen 5 und 6 um drei Jahre verlängert, sofern:</w:t>
      </w:r>
    </w:p>
    <w:p w14:paraId="06444878" w14:textId="77777777" w:rsidR="00AD25AD" w:rsidRPr="009118AB" w:rsidRDefault="00AD25AD" w:rsidP="00AD25AD">
      <w:pPr>
        <w:jc w:val="both"/>
        <w:rPr>
          <w:rFonts w:eastAsia="Calibri"/>
          <w:lang w:eastAsia="en-US"/>
        </w:rPr>
      </w:pPr>
    </w:p>
    <w:p w14:paraId="049CDDD1" w14:textId="3C5C5D6F" w:rsidR="00AD25AD" w:rsidRPr="009118AB" w:rsidRDefault="00AD25AD" w:rsidP="00AD25AD">
      <w:pPr>
        <w:jc w:val="both"/>
        <w:rPr>
          <w:rFonts w:eastAsia="Calibri"/>
          <w:lang w:eastAsia="en-US"/>
        </w:rPr>
      </w:pPr>
      <w:r w:rsidRPr="009118AB">
        <w:rPr>
          <w:rFonts w:eastAsia="Calibri"/>
          <w:szCs w:val="22"/>
          <w:lang w:eastAsia="en-US"/>
        </w:rPr>
        <w:tab/>
        <w:t xml:space="preserve">1. die in </w:t>
      </w:r>
      <w:r w:rsidR="00D67EB8" w:rsidRPr="009118AB">
        <w:rPr>
          <w:rFonts w:eastAsia="Calibri"/>
          <w:szCs w:val="22"/>
          <w:lang w:eastAsia="en-US"/>
        </w:rPr>
        <w:t>§ </w:t>
      </w:r>
      <w:r w:rsidRPr="009118AB">
        <w:rPr>
          <w:rFonts w:eastAsia="Calibri"/>
          <w:szCs w:val="22"/>
          <w:lang w:eastAsia="en-US"/>
        </w:rPr>
        <w:t>2 erwähnten Bedingungen in Bezug auf den Arbeitgeber oder die Gesellschaft weiterhin erfüllt sind</w:t>
      </w:r>
    </w:p>
    <w:p w14:paraId="10F65393" w14:textId="77777777" w:rsidR="00AD25AD" w:rsidRPr="009118AB" w:rsidRDefault="00AD25AD" w:rsidP="00AD25AD">
      <w:pPr>
        <w:jc w:val="both"/>
        <w:rPr>
          <w:rFonts w:eastAsia="Calibri"/>
          <w:lang w:eastAsia="en-US"/>
        </w:rPr>
      </w:pPr>
    </w:p>
    <w:p w14:paraId="54F0EE2A" w14:textId="77777777" w:rsidR="00AD25AD" w:rsidRPr="009118AB" w:rsidRDefault="00AD25AD" w:rsidP="00AD25AD">
      <w:pPr>
        <w:jc w:val="both"/>
        <w:rPr>
          <w:rFonts w:eastAsia="Calibri"/>
          <w:lang w:eastAsia="en-US"/>
        </w:rPr>
      </w:pPr>
      <w:r w:rsidRPr="009118AB">
        <w:rPr>
          <w:rFonts w:eastAsia="Calibri"/>
          <w:szCs w:val="22"/>
          <w:lang w:eastAsia="en-US"/>
        </w:rPr>
        <w:tab/>
        <w:t>und</w:t>
      </w:r>
    </w:p>
    <w:p w14:paraId="39EDB134" w14:textId="77777777" w:rsidR="00AD25AD" w:rsidRPr="009118AB" w:rsidRDefault="00AD25AD" w:rsidP="00AD25AD">
      <w:pPr>
        <w:jc w:val="both"/>
        <w:rPr>
          <w:rFonts w:eastAsia="Calibri"/>
          <w:lang w:eastAsia="en-US"/>
        </w:rPr>
      </w:pPr>
    </w:p>
    <w:p w14:paraId="6EB3D99A" w14:textId="4D08F1CF" w:rsidR="00AD25AD" w:rsidRPr="009118AB" w:rsidRDefault="00AD25AD" w:rsidP="00AD25AD">
      <w:pPr>
        <w:jc w:val="both"/>
        <w:rPr>
          <w:rFonts w:eastAsia="Calibri"/>
          <w:lang w:eastAsia="en-US"/>
        </w:rPr>
      </w:pPr>
      <w:r w:rsidRPr="009118AB">
        <w:rPr>
          <w:rFonts w:eastAsia="Calibri"/>
          <w:szCs w:val="22"/>
          <w:lang w:eastAsia="en-US"/>
        </w:rPr>
        <w:tab/>
        <w:t xml:space="preserve">2. die in </w:t>
      </w:r>
      <w:r w:rsidR="00D67EB8" w:rsidRPr="009118AB">
        <w:rPr>
          <w:rFonts w:eastAsia="Calibri"/>
          <w:szCs w:val="22"/>
          <w:lang w:eastAsia="en-US"/>
        </w:rPr>
        <w:t>§ </w:t>
      </w:r>
      <w:r w:rsidRPr="009118AB">
        <w:rPr>
          <w:rFonts w:eastAsia="Calibri"/>
          <w:szCs w:val="22"/>
          <w:lang w:eastAsia="en-US"/>
        </w:rPr>
        <w:t xml:space="preserve">3 Absatz 1 </w:t>
      </w:r>
      <w:r w:rsidR="00D67EB8" w:rsidRPr="009118AB">
        <w:rPr>
          <w:rFonts w:eastAsia="Calibri"/>
          <w:szCs w:val="22"/>
          <w:lang w:eastAsia="en-US"/>
        </w:rPr>
        <w:t>Nr. </w:t>
      </w:r>
      <w:r w:rsidRPr="009118AB">
        <w:rPr>
          <w:rFonts w:eastAsia="Calibri"/>
          <w:szCs w:val="22"/>
          <w:lang w:eastAsia="en-US"/>
        </w:rPr>
        <w:t>2 erwähnte Schwelle weiterhin erreicht wird.</w:t>
      </w:r>
    </w:p>
    <w:p w14:paraId="04AFCE41" w14:textId="77777777" w:rsidR="00AD25AD" w:rsidRPr="009118AB" w:rsidRDefault="00AD25AD" w:rsidP="00AD25AD">
      <w:pPr>
        <w:jc w:val="both"/>
        <w:rPr>
          <w:rFonts w:eastAsia="Calibri"/>
          <w:lang w:eastAsia="en-US"/>
        </w:rPr>
      </w:pPr>
    </w:p>
    <w:p w14:paraId="678836E7" w14:textId="2F66661F"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8</w:t>
      </w:r>
      <w:r w:rsidR="00D67EB8" w:rsidRPr="009118AB">
        <w:rPr>
          <w:rFonts w:eastAsia="Calibri"/>
          <w:szCs w:val="22"/>
          <w:lang w:eastAsia="en-US"/>
        </w:rPr>
        <w:t> - </w:t>
      </w:r>
      <w:r w:rsidRPr="009118AB">
        <w:rPr>
          <w:rFonts w:eastAsia="Calibri"/>
          <w:szCs w:val="22"/>
          <w:lang w:eastAsia="en-US"/>
        </w:rPr>
        <w:t xml:space="preserve">Der Arbeitgeber oder die Gesellschaft muss bei dem vom Generalverwalter der Generalverwaltung Steuerwesen angegebenen Dienst auf elektronischem Wege einen Antrag einreichen, um die in vorliegendem Artikel erwähnte Regelung in Anspruch nehmen zu können. Der Antrag muss </w:t>
      </w:r>
      <w:r w:rsidR="00DB3894" w:rsidRPr="009118AB">
        <w:rPr>
          <w:rFonts w:eastAsia="Calibri"/>
          <w:szCs w:val="22"/>
          <w:lang w:eastAsia="en-US"/>
        </w:rPr>
        <w:t>[</w:t>
      </w:r>
      <w:r w:rsidR="00DB3894" w:rsidRPr="009118AB">
        <w:rPr>
          <w:rFonts w:eastAsia="Calibri"/>
          <w:kern w:val="2"/>
          <w:szCs w:val="22"/>
          <w:lang w:eastAsia="en-US"/>
          <w14:ligatures w14:val="standardContextual"/>
        </w:rPr>
        <w:t>zur Vermeidung des Verfalls</w:t>
      </w:r>
      <w:r w:rsidR="00DB3894" w:rsidRPr="009118AB">
        <w:rPr>
          <w:rFonts w:eastAsia="Calibri"/>
          <w:szCs w:val="22"/>
          <w:lang w:eastAsia="en-US"/>
        </w:rPr>
        <w:t xml:space="preserve">] </w:t>
      </w:r>
      <w:r w:rsidRPr="009118AB">
        <w:rPr>
          <w:rFonts w:eastAsia="Calibri"/>
          <w:szCs w:val="22"/>
          <w:lang w:eastAsia="en-US"/>
        </w:rPr>
        <w:t>innerhalb einer Frist von drei Monaten ab dem Arbeitsantritt des Steuerpflichtigen in Belgien eingereicht werden. Der König bestimmt Form und Inhalt des Formulars, das zu diesem Zweck ausgefüllt werden muss.</w:t>
      </w:r>
    </w:p>
    <w:p w14:paraId="6FAF2AF6" w14:textId="77777777" w:rsidR="00AD25AD" w:rsidRPr="009118AB" w:rsidRDefault="00AD25AD" w:rsidP="00AD25AD">
      <w:pPr>
        <w:jc w:val="both"/>
        <w:rPr>
          <w:rFonts w:eastAsia="Calibri"/>
          <w:lang w:eastAsia="en-US"/>
        </w:rPr>
      </w:pPr>
    </w:p>
    <w:p w14:paraId="2E10008D" w14:textId="7301BD6F" w:rsidR="00AD25AD" w:rsidRPr="009118AB" w:rsidRDefault="00AD25AD" w:rsidP="00AD25AD">
      <w:pPr>
        <w:jc w:val="both"/>
        <w:rPr>
          <w:rFonts w:eastAsia="Calibri"/>
          <w:lang w:eastAsia="en-US"/>
        </w:rPr>
      </w:pPr>
      <w:r w:rsidRPr="009118AB">
        <w:rPr>
          <w:rFonts w:eastAsia="Calibri"/>
          <w:szCs w:val="22"/>
          <w:lang w:eastAsia="en-US"/>
        </w:rPr>
        <w:tab/>
        <w:t xml:space="preserve">Der Antrag für die in </w:t>
      </w:r>
      <w:r w:rsidR="00D67EB8" w:rsidRPr="009118AB">
        <w:rPr>
          <w:rFonts w:eastAsia="Calibri"/>
          <w:szCs w:val="22"/>
          <w:lang w:eastAsia="en-US"/>
        </w:rPr>
        <w:t>§ </w:t>
      </w:r>
      <w:r w:rsidRPr="009118AB">
        <w:rPr>
          <w:rFonts w:eastAsia="Calibri"/>
          <w:szCs w:val="22"/>
          <w:lang w:eastAsia="en-US"/>
        </w:rPr>
        <w:t xml:space="preserve">7 Absatz 2 erwähnte Verlängerung der Regelung </w:t>
      </w:r>
      <w:r w:rsidR="00DB3894" w:rsidRPr="009118AB">
        <w:rPr>
          <w:rFonts w:eastAsia="Calibri"/>
          <w:szCs w:val="22"/>
          <w:lang w:eastAsia="en-US"/>
        </w:rPr>
        <w:t>[</w:t>
      </w:r>
      <w:r w:rsidR="00DB3894" w:rsidRPr="009118AB">
        <w:rPr>
          <w:rFonts w:eastAsia="Calibri"/>
          <w:kern w:val="2"/>
          <w:szCs w:val="22"/>
          <w:lang w:eastAsia="en-US"/>
          <w14:ligatures w14:val="standardContextual"/>
        </w:rPr>
        <w:t>wird zur Vermeidung des Verfalls durch den Arbeitgeber oder die Gesellschaft auf elektronischem Wege bei dem vom Generalverwalter der Generalverwaltung Steuerwesen angegebenen Dienst gestellt, und zwar spätestens drei Monate nach Ablauf des ersten Zeitraums von fünf Jahren, der am Tag des Arbeitsantritts des Steuerpflichtigen in Belgien beginnt</w:t>
      </w:r>
      <w:r w:rsidR="00DB3894" w:rsidRPr="009118AB">
        <w:rPr>
          <w:rFonts w:eastAsia="Calibri"/>
          <w:szCs w:val="22"/>
          <w:lang w:eastAsia="en-US"/>
        </w:rPr>
        <w:t>]</w:t>
      </w:r>
      <w:r w:rsidRPr="009118AB">
        <w:rPr>
          <w:rFonts w:eastAsia="Calibri"/>
          <w:szCs w:val="22"/>
          <w:lang w:eastAsia="en-US"/>
        </w:rPr>
        <w:t>. Der König bestimmt Form und Inhalt des Formulars, das zu diesem Zweck ausgefüllt werden muss.</w:t>
      </w:r>
    </w:p>
    <w:p w14:paraId="36F1EB54" w14:textId="77777777" w:rsidR="00AD25AD" w:rsidRPr="009118AB" w:rsidRDefault="00AD25AD" w:rsidP="00AD25AD">
      <w:pPr>
        <w:jc w:val="both"/>
        <w:rPr>
          <w:rFonts w:eastAsia="Calibri"/>
          <w:lang w:eastAsia="en-US"/>
        </w:rPr>
      </w:pPr>
    </w:p>
    <w:p w14:paraId="79DDC1A4" w14:textId="77777777" w:rsidR="00AD25AD" w:rsidRPr="009118AB" w:rsidRDefault="00AD25AD" w:rsidP="00AD25AD">
      <w:pPr>
        <w:jc w:val="both"/>
        <w:rPr>
          <w:rFonts w:eastAsia="Calibri"/>
          <w:lang w:eastAsia="en-US"/>
        </w:rPr>
      </w:pPr>
      <w:r w:rsidRPr="009118AB">
        <w:rPr>
          <w:rFonts w:eastAsia="Calibri"/>
          <w:szCs w:val="22"/>
          <w:lang w:eastAsia="en-US"/>
        </w:rPr>
        <w:tab/>
        <w:t>Dem in Absatz 1 und 2 erwähnten Antrag muss eine vom betreffenden Lohnempfänger oder Unternehmensleiter unterzeichnete Bescheinigung beigefügt werden, in der bestätigt wird, dass er mit dem Antrag auf Anwendung der Regelung einverstanden ist.</w:t>
      </w:r>
    </w:p>
    <w:p w14:paraId="4B5A9F66" w14:textId="77777777" w:rsidR="00AD25AD" w:rsidRPr="009118AB" w:rsidRDefault="00AD25AD" w:rsidP="00AD25AD">
      <w:pPr>
        <w:jc w:val="both"/>
        <w:rPr>
          <w:rFonts w:eastAsia="Calibri"/>
          <w:lang w:eastAsia="en-US"/>
        </w:rPr>
      </w:pPr>
    </w:p>
    <w:p w14:paraId="6EA1D867" w14:textId="77777777" w:rsidR="00AD25AD" w:rsidRPr="009118AB" w:rsidRDefault="00AD25AD" w:rsidP="00AD25AD">
      <w:pPr>
        <w:jc w:val="both"/>
        <w:rPr>
          <w:rFonts w:eastAsia="Calibri"/>
          <w:lang w:eastAsia="en-US"/>
        </w:rPr>
      </w:pPr>
      <w:r w:rsidRPr="009118AB">
        <w:rPr>
          <w:rFonts w:eastAsia="Calibri"/>
          <w:szCs w:val="22"/>
          <w:lang w:eastAsia="en-US"/>
        </w:rPr>
        <w:tab/>
        <w:t>Die Verwaltung befindet innerhalb einer Frist von drei Monaten ab Erhalt des Antrags. Der Steuerpflichtige und der Arbeitgeber oder die Gesellschaft werden schriftlich über die Entscheidung der Verwaltung informiert.</w:t>
      </w:r>
    </w:p>
    <w:p w14:paraId="51F7EB24" w14:textId="77777777" w:rsidR="00AD25AD" w:rsidRPr="009118AB" w:rsidRDefault="00AD25AD" w:rsidP="00AD25AD">
      <w:pPr>
        <w:jc w:val="both"/>
        <w:rPr>
          <w:rFonts w:eastAsia="Calibri"/>
          <w:lang w:eastAsia="en-US"/>
        </w:rPr>
      </w:pPr>
    </w:p>
    <w:p w14:paraId="2F04AA82" w14:textId="77777777" w:rsidR="00AD25AD" w:rsidRPr="009118AB" w:rsidRDefault="00AD25AD" w:rsidP="00AD25AD">
      <w:pPr>
        <w:jc w:val="both"/>
        <w:rPr>
          <w:rFonts w:eastAsia="Calibri"/>
          <w:lang w:eastAsia="en-US"/>
        </w:rPr>
      </w:pPr>
      <w:r w:rsidRPr="009118AB">
        <w:rPr>
          <w:rFonts w:eastAsia="Calibri"/>
          <w:szCs w:val="22"/>
          <w:lang w:eastAsia="en-US"/>
        </w:rPr>
        <w:tab/>
        <w:t>Bei einer positiven Antwort ist die in vorliegendem Artikel vorgesehene Regelung auf Entlohnungen anwendbar, die der Steuerpflichtige-Impatriate seit seinem Arbeitsantritt in Belgien bezieht.</w:t>
      </w:r>
    </w:p>
    <w:p w14:paraId="610DFC51" w14:textId="77777777" w:rsidR="00AD25AD" w:rsidRPr="009118AB" w:rsidRDefault="00AD25AD" w:rsidP="00AD25AD">
      <w:pPr>
        <w:jc w:val="both"/>
        <w:rPr>
          <w:rFonts w:eastAsia="Calibri"/>
          <w:lang w:eastAsia="en-US"/>
        </w:rPr>
      </w:pPr>
    </w:p>
    <w:p w14:paraId="70958704" w14:textId="71EEC7A7"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9</w:t>
      </w:r>
      <w:r w:rsidR="00D67EB8" w:rsidRPr="009118AB">
        <w:rPr>
          <w:rFonts w:eastAsia="Calibri"/>
          <w:szCs w:val="22"/>
          <w:lang w:eastAsia="en-US"/>
        </w:rPr>
        <w:t> - </w:t>
      </w:r>
      <w:r w:rsidRPr="009118AB">
        <w:rPr>
          <w:rFonts w:eastAsia="Calibri"/>
          <w:szCs w:val="22"/>
          <w:lang w:eastAsia="en-US"/>
        </w:rPr>
        <w:t xml:space="preserve">Im Falle eines Wechsels des Arbeitgebers oder der Gesellschaft während des in </w:t>
      </w:r>
      <w:r w:rsidR="00D67EB8" w:rsidRPr="009118AB">
        <w:rPr>
          <w:rFonts w:eastAsia="Calibri"/>
          <w:szCs w:val="22"/>
          <w:lang w:eastAsia="en-US"/>
        </w:rPr>
        <w:t>§ </w:t>
      </w:r>
      <w:r w:rsidRPr="009118AB">
        <w:rPr>
          <w:rFonts w:eastAsia="Calibri"/>
          <w:szCs w:val="22"/>
          <w:lang w:eastAsia="en-US"/>
        </w:rPr>
        <w:t xml:space="preserve">7 erwähnten Zeitraums kann vom neuen Arbeitgeber oder von der neuen Gesellschaft auf die in </w:t>
      </w:r>
      <w:r w:rsidR="00D67EB8" w:rsidRPr="009118AB">
        <w:rPr>
          <w:rFonts w:eastAsia="Calibri"/>
          <w:szCs w:val="22"/>
          <w:lang w:eastAsia="en-US"/>
        </w:rPr>
        <w:t>§ </w:t>
      </w:r>
      <w:r w:rsidRPr="009118AB">
        <w:rPr>
          <w:rFonts w:eastAsia="Calibri"/>
          <w:szCs w:val="22"/>
          <w:lang w:eastAsia="en-US"/>
        </w:rPr>
        <w:t>8 angegebene Weise ein neuer Antrag auf Anwendung der vorliegenden Regelung eingereicht werden.</w:t>
      </w:r>
    </w:p>
    <w:p w14:paraId="33698B41" w14:textId="77777777" w:rsidR="00AD25AD" w:rsidRPr="009118AB" w:rsidRDefault="00AD25AD" w:rsidP="00AD25AD">
      <w:pPr>
        <w:jc w:val="both"/>
        <w:rPr>
          <w:rFonts w:eastAsia="Calibri"/>
          <w:lang w:eastAsia="en-US"/>
        </w:rPr>
      </w:pPr>
    </w:p>
    <w:p w14:paraId="07D67339" w14:textId="77777777" w:rsidR="008414C3" w:rsidRDefault="008414C3">
      <w:pPr>
        <w:rPr>
          <w:rFonts w:eastAsia="Calibri"/>
          <w:szCs w:val="22"/>
          <w:lang w:eastAsia="en-US"/>
        </w:rPr>
      </w:pPr>
      <w:r>
        <w:rPr>
          <w:rFonts w:eastAsia="Calibri"/>
          <w:szCs w:val="22"/>
          <w:lang w:eastAsia="en-US"/>
        </w:rPr>
        <w:br w:type="page"/>
      </w:r>
    </w:p>
    <w:p w14:paraId="73101E8B" w14:textId="283B591D" w:rsidR="00AD25AD" w:rsidRPr="009118AB" w:rsidRDefault="00AD25AD" w:rsidP="00AD25AD">
      <w:pPr>
        <w:jc w:val="both"/>
        <w:rPr>
          <w:rFonts w:eastAsia="Calibri"/>
          <w:lang w:eastAsia="en-US"/>
        </w:rPr>
      </w:pPr>
      <w:r w:rsidRPr="009118AB">
        <w:rPr>
          <w:rFonts w:eastAsia="Calibri"/>
          <w:szCs w:val="22"/>
          <w:lang w:eastAsia="en-US"/>
        </w:rPr>
        <w:lastRenderedPageBreak/>
        <w:tab/>
        <w:t>In diesem Fall kann vorliegende Regelung dem Steuerpflichtigen-Impatriate erneut gewährt werden, sofern:</w:t>
      </w:r>
    </w:p>
    <w:p w14:paraId="4C70A3D8" w14:textId="77777777" w:rsidR="00AD25AD" w:rsidRPr="009118AB" w:rsidRDefault="00AD25AD" w:rsidP="00AD25AD">
      <w:pPr>
        <w:jc w:val="both"/>
        <w:rPr>
          <w:rFonts w:eastAsia="Calibri"/>
          <w:lang w:eastAsia="en-US"/>
        </w:rPr>
      </w:pPr>
    </w:p>
    <w:p w14:paraId="184A7E4C" w14:textId="1D1D362B" w:rsidR="00AD25AD" w:rsidRPr="009118AB" w:rsidRDefault="00AD25AD" w:rsidP="00AD25AD">
      <w:pPr>
        <w:jc w:val="both"/>
        <w:rPr>
          <w:rFonts w:eastAsia="Calibri"/>
          <w:lang w:eastAsia="en-US"/>
        </w:rPr>
      </w:pPr>
      <w:r w:rsidRPr="009118AB">
        <w:rPr>
          <w:rFonts w:eastAsia="Calibri"/>
          <w:szCs w:val="22"/>
          <w:lang w:eastAsia="en-US"/>
        </w:rPr>
        <w:tab/>
        <w:t xml:space="preserve">1. die in </w:t>
      </w:r>
      <w:r w:rsidR="00D67EB8" w:rsidRPr="009118AB">
        <w:rPr>
          <w:rFonts w:eastAsia="Calibri"/>
          <w:szCs w:val="22"/>
          <w:lang w:eastAsia="en-US"/>
        </w:rPr>
        <w:t>§ </w:t>
      </w:r>
      <w:r w:rsidRPr="009118AB">
        <w:rPr>
          <w:rFonts w:eastAsia="Calibri"/>
          <w:szCs w:val="22"/>
          <w:lang w:eastAsia="en-US"/>
        </w:rPr>
        <w:t>2 erwähnten Bedingungen in Bezug auf den Arbeitgeber oder die Gesellschaft weiterhin erfüllt sind</w:t>
      </w:r>
    </w:p>
    <w:p w14:paraId="7CDBE181" w14:textId="77777777" w:rsidR="00AD25AD" w:rsidRPr="009118AB" w:rsidRDefault="00AD25AD" w:rsidP="00AD25AD">
      <w:pPr>
        <w:jc w:val="both"/>
        <w:rPr>
          <w:rFonts w:eastAsia="Calibri"/>
          <w:lang w:eastAsia="en-US"/>
        </w:rPr>
      </w:pPr>
    </w:p>
    <w:p w14:paraId="1A66FF09" w14:textId="77777777" w:rsidR="00AD25AD" w:rsidRPr="009118AB" w:rsidRDefault="00AD25AD" w:rsidP="00AD25AD">
      <w:pPr>
        <w:jc w:val="both"/>
        <w:rPr>
          <w:rFonts w:eastAsia="Calibri"/>
          <w:lang w:eastAsia="en-US"/>
        </w:rPr>
      </w:pPr>
      <w:r w:rsidRPr="009118AB">
        <w:rPr>
          <w:rFonts w:eastAsia="Calibri"/>
          <w:szCs w:val="22"/>
          <w:lang w:eastAsia="en-US"/>
        </w:rPr>
        <w:tab/>
        <w:t>und</w:t>
      </w:r>
    </w:p>
    <w:p w14:paraId="7C52C8C5" w14:textId="77777777" w:rsidR="00AD25AD" w:rsidRPr="009118AB" w:rsidRDefault="00AD25AD" w:rsidP="00AD25AD">
      <w:pPr>
        <w:jc w:val="both"/>
        <w:rPr>
          <w:rFonts w:eastAsia="Calibri"/>
          <w:lang w:eastAsia="en-US"/>
        </w:rPr>
      </w:pPr>
    </w:p>
    <w:p w14:paraId="0EED18DE" w14:textId="04429ECA" w:rsidR="00AD25AD" w:rsidRPr="009118AB" w:rsidRDefault="00AD25AD" w:rsidP="00AD25AD">
      <w:pPr>
        <w:jc w:val="both"/>
        <w:rPr>
          <w:rFonts w:eastAsia="Calibri"/>
          <w:lang w:eastAsia="en-US"/>
        </w:rPr>
      </w:pPr>
      <w:r w:rsidRPr="009118AB">
        <w:rPr>
          <w:rFonts w:eastAsia="Calibri"/>
          <w:szCs w:val="22"/>
          <w:lang w:eastAsia="en-US"/>
        </w:rPr>
        <w:tab/>
        <w:t xml:space="preserve">2. die in </w:t>
      </w:r>
      <w:r w:rsidR="00D67EB8" w:rsidRPr="009118AB">
        <w:rPr>
          <w:rFonts w:eastAsia="Calibri"/>
          <w:szCs w:val="22"/>
          <w:lang w:eastAsia="en-US"/>
        </w:rPr>
        <w:t>§ </w:t>
      </w:r>
      <w:r w:rsidRPr="009118AB">
        <w:rPr>
          <w:rFonts w:eastAsia="Calibri"/>
          <w:szCs w:val="22"/>
          <w:lang w:eastAsia="en-US"/>
        </w:rPr>
        <w:t xml:space="preserve">3 Absatz 1 </w:t>
      </w:r>
      <w:r w:rsidR="00D67EB8" w:rsidRPr="009118AB">
        <w:rPr>
          <w:rFonts w:eastAsia="Calibri"/>
          <w:szCs w:val="22"/>
          <w:lang w:eastAsia="en-US"/>
        </w:rPr>
        <w:t>Nr. </w:t>
      </w:r>
      <w:r w:rsidRPr="009118AB">
        <w:rPr>
          <w:rFonts w:eastAsia="Calibri"/>
          <w:szCs w:val="22"/>
          <w:lang w:eastAsia="en-US"/>
        </w:rPr>
        <w:t>2 erwähnte Schwelle weiterhin erreicht wird</w:t>
      </w:r>
    </w:p>
    <w:p w14:paraId="38DFB452" w14:textId="77777777" w:rsidR="00AD25AD" w:rsidRPr="009118AB" w:rsidRDefault="00AD25AD" w:rsidP="00AD25AD">
      <w:pPr>
        <w:jc w:val="both"/>
        <w:rPr>
          <w:rFonts w:eastAsia="Calibri"/>
          <w:lang w:eastAsia="en-US"/>
        </w:rPr>
      </w:pPr>
    </w:p>
    <w:p w14:paraId="7915860D" w14:textId="77777777" w:rsidR="00AD25AD" w:rsidRPr="009118AB" w:rsidRDefault="00AD25AD" w:rsidP="00AD25AD">
      <w:pPr>
        <w:jc w:val="both"/>
        <w:rPr>
          <w:rFonts w:eastAsia="Calibri"/>
          <w:lang w:eastAsia="en-US"/>
        </w:rPr>
      </w:pPr>
      <w:r w:rsidRPr="009118AB">
        <w:rPr>
          <w:rFonts w:eastAsia="Calibri"/>
          <w:szCs w:val="22"/>
          <w:lang w:eastAsia="en-US"/>
        </w:rPr>
        <w:tab/>
        <w:t>und</w:t>
      </w:r>
    </w:p>
    <w:p w14:paraId="49C49FE0" w14:textId="77777777" w:rsidR="00AD25AD" w:rsidRPr="009118AB" w:rsidRDefault="00AD25AD" w:rsidP="00AD25AD">
      <w:pPr>
        <w:jc w:val="both"/>
        <w:rPr>
          <w:rFonts w:eastAsia="Calibri"/>
          <w:lang w:eastAsia="en-US"/>
        </w:rPr>
      </w:pPr>
    </w:p>
    <w:p w14:paraId="173637A8" w14:textId="44869468" w:rsidR="00AD25AD" w:rsidRPr="009118AB" w:rsidRDefault="00AD25AD" w:rsidP="00AD25AD">
      <w:pPr>
        <w:jc w:val="both"/>
        <w:rPr>
          <w:rFonts w:eastAsia="Calibri"/>
          <w:lang w:eastAsia="en-US"/>
        </w:rPr>
      </w:pPr>
      <w:r w:rsidRPr="009118AB">
        <w:rPr>
          <w:rFonts w:eastAsia="Calibri"/>
          <w:szCs w:val="22"/>
          <w:lang w:eastAsia="en-US"/>
        </w:rPr>
        <w:tab/>
        <w:t xml:space="preserve">3. gemäß </w:t>
      </w:r>
      <w:r w:rsidR="00D67EB8" w:rsidRPr="009118AB">
        <w:rPr>
          <w:rFonts w:eastAsia="Calibri"/>
          <w:szCs w:val="22"/>
          <w:lang w:eastAsia="en-US"/>
        </w:rPr>
        <w:t>§ </w:t>
      </w:r>
      <w:r w:rsidRPr="009118AB">
        <w:rPr>
          <w:rFonts w:eastAsia="Calibri"/>
          <w:szCs w:val="22"/>
          <w:lang w:eastAsia="en-US"/>
        </w:rPr>
        <w:t>7 die Gesamtdauer der Anwendung der vorliegenden Regelung auf den Steuerpflichtigen nicht mehr als fünf Jahre, gegebenenfalls verlängert um drei Jahre, ab der ersten Beschäftigung in Belgien beträgt.</w:t>
      </w:r>
    </w:p>
    <w:p w14:paraId="1601F55C" w14:textId="77777777" w:rsidR="00AD25AD" w:rsidRPr="009118AB" w:rsidRDefault="00AD25AD" w:rsidP="00AD25AD">
      <w:pPr>
        <w:jc w:val="both"/>
        <w:rPr>
          <w:rFonts w:eastAsia="Calibri"/>
          <w:lang w:eastAsia="en-US"/>
        </w:rPr>
      </w:pPr>
    </w:p>
    <w:p w14:paraId="642E8F47" w14:textId="74B9BD23" w:rsidR="00AD25AD" w:rsidRDefault="00AD25AD" w:rsidP="00AD25AD">
      <w:pPr>
        <w:jc w:val="both"/>
        <w:rPr>
          <w:rFonts w:eastAsia="Calibri"/>
          <w:szCs w:val="22"/>
          <w:lang w:eastAsia="en-US"/>
        </w:rPr>
      </w:pPr>
      <w:r w:rsidRPr="009118AB">
        <w:rPr>
          <w:rFonts w:eastAsia="Calibri"/>
          <w:szCs w:val="22"/>
          <w:lang w:eastAsia="en-US"/>
        </w:rPr>
        <w:tab/>
        <w:t xml:space="preserve">In dem in vorliegendem Paragraphen erwähnten Fall müssen die in </w:t>
      </w:r>
      <w:r w:rsidR="00D67EB8" w:rsidRPr="009118AB">
        <w:rPr>
          <w:rFonts w:eastAsia="Calibri"/>
          <w:szCs w:val="22"/>
          <w:lang w:eastAsia="en-US"/>
        </w:rPr>
        <w:t>§ </w:t>
      </w:r>
      <w:r w:rsidRPr="009118AB">
        <w:rPr>
          <w:rFonts w:eastAsia="Calibri"/>
          <w:szCs w:val="22"/>
          <w:lang w:eastAsia="en-US"/>
        </w:rPr>
        <w:t xml:space="preserve">3 Absatz 1 </w:t>
      </w:r>
      <w:r w:rsidR="00D67EB8" w:rsidRPr="009118AB">
        <w:rPr>
          <w:rFonts w:eastAsia="Calibri"/>
          <w:szCs w:val="22"/>
          <w:lang w:eastAsia="en-US"/>
        </w:rPr>
        <w:t>Nr. </w:t>
      </w:r>
      <w:r w:rsidRPr="009118AB">
        <w:rPr>
          <w:rFonts w:eastAsia="Calibri"/>
          <w:szCs w:val="22"/>
          <w:lang w:eastAsia="en-US"/>
        </w:rPr>
        <w:t xml:space="preserve">2 erwähnte Bedingung in Bezug auf die Schwelle und der in </w:t>
      </w:r>
      <w:r w:rsidR="00D67EB8" w:rsidRPr="009118AB">
        <w:rPr>
          <w:rFonts w:eastAsia="Calibri"/>
          <w:szCs w:val="22"/>
          <w:lang w:eastAsia="en-US"/>
        </w:rPr>
        <w:t>§ </w:t>
      </w:r>
      <w:r w:rsidRPr="009118AB">
        <w:rPr>
          <w:rFonts w:eastAsia="Calibri"/>
          <w:szCs w:val="22"/>
          <w:lang w:eastAsia="en-US"/>
        </w:rPr>
        <w:t>5 Absatz 2 erwähnte Höchstbetrag im Verhältnis zu der Beschäftigung des Steuerpflichtigen bei den jeweiligen Arbeitgebern oder den jeweiligen Gesellschaften im Laufe des Jahres beurteilt werden.]</w:t>
      </w:r>
    </w:p>
    <w:p w14:paraId="628B77C5" w14:textId="77777777" w:rsidR="00A65139" w:rsidRDefault="00A65139" w:rsidP="00AD25AD">
      <w:pPr>
        <w:jc w:val="both"/>
        <w:rPr>
          <w:rFonts w:eastAsia="Calibri"/>
          <w:szCs w:val="22"/>
          <w:lang w:eastAsia="en-US"/>
        </w:rPr>
      </w:pPr>
    </w:p>
    <w:p w14:paraId="1CA41F0A" w14:textId="2A23CF9A" w:rsidR="00A65139" w:rsidRPr="009541B3" w:rsidRDefault="00A65139" w:rsidP="00A65139">
      <w:pPr>
        <w:ind w:firstLine="708"/>
        <w:jc w:val="both"/>
      </w:pPr>
      <w:r>
        <w:rPr>
          <w:rFonts w:eastAsia="Calibri"/>
          <w:szCs w:val="22"/>
          <w:lang w:eastAsia="en-US"/>
        </w:rPr>
        <w:t>[</w:t>
      </w:r>
      <w:r w:rsidRPr="009541B3">
        <w:t>§ 10 - Der Arbeitgeber oder die Gesellschaft vermerkt auf der in Artikel 57 erwähnten Karte folgende Angaben:</w:t>
      </w:r>
    </w:p>
    <w:p w14:paraId="5F4775A8" w14:textId="77777777" w:rsidR="00A65139" w:rsidRPr="009541B3" w:rsidRDefault="00A65139" w:rsidP="00A65139">
      <w:pPr>
        <w:jc w:val="both"/>
      </w:pPr>
    </w:p>
    <w:p w14:paraId="5379A29E" w14:textId="77777777" w:rsidR="00A65139" w:rsidRPr="009541B3" w:rsidRDefault="00A65139" w:rsidP="00A65139">
      <w:pPr>
        <w:ind w:firstLine="708"/>
        <w:jc w:val="both"/>
      </w:pPr>
      <w:r w:rsidRPr="009541B3">
        <w:t>1. Betrag der Entlohnung wie in § 3 Absatz 2 bestimmt, die dem Steuerpflichtigen-Impatriate für diesen Besteuerungszeitraum gezahlt oder zuerkannt wurde,</w:t>
      </w:r>
    </w:p>
    <w:p w14:paraId="7C607983" w14:textId="77777777" w:rsidR="00A65139" w:rsidRPr="009541B3" w:rsidRDefault="00A65139" w:rsidP="00A65139">
      <w:pPr>
        <w:jc w:val="both"/>
      </w:pPr>
    </w:p>
    <w:p w14:paraId="1C2288EF" w14:textId="77777777" w:rsidR="00A65139" w:rsidRPr="009541B3" w:rsidRDefault="00A65139" w:rsidP="00A65139">
      <w:pPr>
        <w:ind w:firstLine="708"/>
        <w:jc w:val="both"/>
      </w:pPr>
      <w:r w:rsidRPr="009541B3">
        <w:t>2. Betrag, der in Anwendung von § 5 als eine Erstattung eigener Ausgaben des Arbeitgebers gilt,</w:t>
      </w:r>
    </w:p>
    <w:p w14:paraId="73EBF37D" w14:textId="77777777" w:rsidR="00A65139" w:rsidRPr="009541B3" w:rsidRDefault="00A65139" w:rsidP="00A65139">
      <w:pPr>
        <w:jc w:val="both"/>
      </w:pPr>
    </w:p>
    <w:p w14:paraId="67C1C23B" w14:textId="3DE90B3B" w:rsidR="00A65139" w:rsidRPr="009118AB" w:rsidRDefault="00A65139" w:rsidP="009C0C58">
      <w:pPr>
        <w:ind w:firstLine="708"/>
        <w:jc w:val="both"/>
        <w:rPr>
          <w:rFonts w:eastAsia="Calibri"/>
          <w:szCs w:val="22"/>
          <w:lang w:eastAsia="en-US"/>
        </w:rPr>
      </w:pPr>
      <w:r w:rsidRPr="009541B3">
        <w:t>3. Betrag, der in Anwendung von § 6 als eine Erstattung eigener Ausgaben des Arbeitgebers gilt.</w:t>
      </w:r>
      <w:r>
        <w:rPr>
          <w:rFonts w:eastAsia="Calibri"/>
          <w:szCs w:val="22"/>
          <w:lang w:eastAsia="en-US"/>
        </w:rPr>
        <w:t>]</w:t>
      </w:r>
    </w:p>
    <w:p w14:paraId="0933604F" w14:textId="13026A07" w:rsidR="00AD25AD" w:rsidRPr="009118AB" w:rsidRDefault="00AD25AD" w:rsidP="00AD25AD">
      <w:pPr>
        <w:jc w:val="both"/>
        <w:rPr>
          <w:rFonts w:eastAsia="Calibri"/>
          <w:szCs w:val="22"/>
          <w:lang w:eastAsia="en-US"/>
        </w:rPr>
      </w:pPr>
    </w:p>
    <w:p w14:paraId="5EAA5247" w14:textId="67A8E516" w:rsidR="00AD25AD" w:rsidRPr="009118AB" w:rsidRDefault="00AD25AD" w:rsidP="00AD25AD">
      <w:pPr>
        <w:jc w:val="both"/>
        <w:rPr>
          <w:rFonts w:eastAsia="Calibri"/>
          <w:i/>
          <w:iCs/>
          <w:lang w:eastAsia="en-US"/>
        </w:rPr>
      </w:pPr>
      <w:r w:rsidRPr="009118AB">
        <w:rPr>
          <w:rFonts w:eastAsia="Calibri"/>
          <w:i/>
          <w:iCs/>
          <w:szCs w:val="22"/>
          <w:lang w:eastAsia="en-US"/>
        </w:rPr>
        <w:t>[</w:t>
      </w:r>
      <w:r w:rsidR="00D67EB8" w:rsidRPr="009118AB">
        <w:rPr>
          <w:rFonts w:eastAsia="Calibri"/>
          <w:i/>
          <w:iCs/>
          <w:szCs w:val="22"/>
          <w:lang w:eastAsia="en-US"/>
        </w:rPr>
        <w:t>Art. </w:t>
      </w:r>
      <w:r w:rsidRPr="009118AB">
        <w:rPr>
          <w:rFonts w:eastAsia="Calibri"/>
          <w:i/>
          <w:iCs/>
          <w:szCs w:val="22"/>
          <w:lang w:eastAsia="en-US"/>
        </w:rPr>
        <w:t xml:space="preserve">32/1 eingefügt durch </w:t>
      </w:r>
      <w:r w:rsidR="00D67EB8" w:rsidRPr="009118AB">
        <w:rPr>
          <w:rFonts w:eastAsia="Calibri"/>
          <w:i/>
          <w:iCs/>
          <w:szCs w:val="22"/>
          <w:lang w:eastAsia="en-US"/>
        </w:rPr>
        <w:t>Art. </w:t>
      </w:r>
      <w:r w:rsidRPr="009118AB">
        <w:rPr>
          <w:rFonts w:eastAsia="Calibri"/>
          <w:i/>
          <w:iCs/>
          <w:szCs w:val="22"/>
          <w:lang w:eastAsia="en-US"/>
        </w:rPr>
        <w:t>13</w:t>
      </w:r>
      <w:r w:rsidRPr="009118AB">
        <w:rPr>
          <w:i/>
        </w:rPr>
        <w:t xml:space="preserve"> des G. vom 27. Dezember 2021 (B.S. vom 31. Dezember 2021</w:t>
      </w:r>
      <w:r w:rsidR="00F36ACE" w:rsidRPr="009118AB">
        <w:rPr>
          <w:i/>
        </w:rPr>
        <w:t>)</w:t>
      </w:r>
      <w:r w:rsidR="00D67EB8" w:rsidRPr="009118AB">
        <w:rPr>
          <w:i/>
        </w:rPr>
        <w:t> - </w:t>
      </w:r>
      <w:r w:rsidRPr="009118AB">
        <w:rPr>
          <w:i/>
        </w:rPr>
        <w:t>in Kraft am 1. Januar 2022 und anwendbar auf die in Betracht kommenden Steuerpflichtigen-Impatriates und Forscher-Impatriates, deren Arbeitsantritt in Belgien ab dem 1. Januar 2022 erfolgt</w:t>
      </w:r>
      <w:r w:rsidR="003366D9" w:rsidRPr="009118AB">
        <w:rPr>
          <w:i/>
        </w:rPr>
        <w:t> -;</w:t>
      </w:r>
      <w:r w:rsidR="00DB3894" w:rsidRPr="009118AB">
        <w:rPr>
          <w:i/>
        </w:rPr>
        <w:t xml:space="preserve"> </w:t>
      </w:r>
      <w:r w:rsidR="003531A9" w:rsidRPr="009118AB">
        <w:rPr>
          <w:i/>
        </w:rPr>
        <w:t>§ 2 Abs. 1 Nr. 1 abgeändert durch Art. 3 Nr. 1</w:t>
      </w:r>
      <w:r w:rsidR="003531A9" w:rsidRPr="009118AB">
        <w:rPr>
          <w:i/>
          <w:iCs/>
        </w:rPr>
        <w:t xml:space="preserve"> des G. vom 21. Dezember 2022 (II) (B.S. vom 29. Dezember 2022) - wirksam mit 1. Januar 2022 -; </w:t>
      </w:r>
      <w:r w:rsidR="003531A9" w:rsidRPr="009118AB">
        <w:rPr>
          <w:i/>
        </w:rPr>
        <w:t>§ 2 Abs. 1 Nr. 2 abgeändert durch Art. 3 Nr. 2</w:t>
      </w:r>
      <w:r w:rsidR="003531A9" w:rsidRPr="009118AB">
        <w:rPr>
          <w:i/>
          <w:iCs/>
        </w:rPr>
        <w:t xml:space="preserve"> des G. vom 21. Dezember 2022 (II) (B.S. vom 29. Dezember 2022) - wirksam mit 1. Januar 2022 -; </w:t>
      </w:r>
      <w:r w:rsidR="003531A9" w:rsidRPr="009118AB">
        <w:rPr>
          <w:i/>
        </w:rPr>
        <w:t xml:space="preserve">§ 3 Abs. 1 Nr. 2 </w:t>
      </w:r>
      <w:r w:rsidR="00A55B9A" w:rsidRPr="009118AB">
        <w:rPr>
          <w:i/>
        </w:rPr>
        <w:t>ersetzt</w:t>
      </w:r>
      <w:r w:rsidR="003531A9" w:rsidRPr="009118AB">
        <w:rPr>
          <w:i/>
        </w:rPr>
        <w:t xml:space="preserve"> durch Art. 3 Nr. 3</w:t>
      </w:r>
      <w:r w:rsidR="003531A9" w:rsidRPr="009118AB">
        <w:rPr>
          <w:i/>
          <w:iCs/>
        </w:rPr>
        <w:t xml:space="preserve"> des G. vom 21. Dezember 2022 (II) (B.S. vom 29. Dezember 2022) - wirksam mit 1. Januar 2022 -; </w:t>
      </w:r>
      <w:r w:rsidR="00D67EB8" w:rsidRPr="009118AB">
        <w:rPr>
          <w:i/>
        </w:rPr>
        <w:t>§ </w:t>
      </w:r>
      <w:r w:rsidR="00DB3894" w:rsidRPr="009118AB">
        <w:rPr>
          <w:i/>
        </w:rPr>
        <w:t xml:space="preserve">3 </w:t>
      </w:r>
      <w:r w:rsidR="00D67EB8" w:rsidRPr="009118AB">
        <w:rPr>
          <w:i/>
        </w:rPr>
        <w:t>Abs. </w:t>
      </w:r>
      <w:r w:rsidR="00DB3894" w:rsidRPr="009118AB">
        <w:rPr>
          <w:i/>
        </w:rPr>
        <w:t xml:space="preserve">2 abgeändert durch </w:t>
      </w:r>
      <w:r w:rsidR="00D67EB8" w:rsidRPr="009118AB">
        <w:rPr>
          <w:i/>
        </w:rPr>
        <w:t>Art. </w:t>
      </w:r>
      <w:r w:rsidR="00DB3894" w:rsidRPr="009118AB">
        <w:rPr>
          <w:i/>
        </w:rPr>
        <w:t xml:space="preserve">5 </w:t>
      </w:r>
      <w:r w:rsidR="00D67EB8" w:rsidRPr="009118AB">
        <w:rPr>
          <w:i/>
        </w:rPr>
        <w:t>Nr. </w:t>
      </w:r>
      <w:r w:rsidR="00DB3894" w:rsidRPr="009118AB">
        <w:rPr>
          <w:i/>
        </w:rPr>
        <w:t>3</w:t>
      </w:r>
      <w:r w:rsidR="00DB3894" w:rsidRPr="009118AB">
        <w:rPr>
          <w:i/>
          <w:iCs/>
        </w:rPr>
        <w:t xml:space="preserve"> des G. vom 5. Juli 2022 (B.S. vom 15. Juli 2022)</w:t>
      </w:r>
      <w:r w:rsidR="00D67EB8" w:rsidRPr="009118AB">
        <w:rPr>
          <w:i/>
          <w:iCs/>
        </w:rPr>
        <w:t> - </w:t>
      </w:r>
      <w:r w:rsidR="00DB3894" w:rsidRPr="009118AB">
        <w:rPr>
          <w:i/>
          <w:iCs/>
        </w:rPr>
        <w:t>wirksam mit 1. Januar 2022</w:t>
      </w:r>
      <w:r w:rsidR="003366D9" w:rsidRPr="009118AB">
        <w:rPr>
          <w:i/>
          <w:iCs/>
        </w:rPr>
        <w:t> -;</w:t>
      </w:r>
      <w:r w:rsidR="00A65139">
        <w:rPr>
          <w:i/>
          <w:iCs/>
        </w:rPr>
        <w:t xml:space="preserve"> § 3 Abs. 7 aufgehoben </w:t>
      </w:r>
      <w:r w:rsidR="00A65139" w:rsidRPr="003E131B">
        <w:rPr>
          <w:i/>
          <w:iCs/>
          <w:spacing w:val="-2"/>
        </w:rPr>
        <w:t>durch Art. 4</w:t>
      </w:r>
      <w:r w:rsidR="00B75CB3">
        <w:rPr>
          <w:i/>
          <w:iCs/>
          <w:spacing w:val="-2"/>
        </w:rPr>
        <w:t>5</w:t>
      </w:r>
      <w:r w:rsidR="00A65139" w:rsidRPr="003E131B">
        <w:rPr>
          <w:i/>
          <w:iCs/>
          <w:spacing w:val="-2"/>
        </w:rPr>
        <w:t xml:space="preserve"> Nr. 1 des G. vom 28. Dezember 2023 (B.S. vom 29. Dezember</w:t>
      </w:r>
      <w:r w:rsidR="00A65139" w:rsidRPr="003E131B">
        <w:rPr>
          <w:i/>
          <w:iCs/>
          <w:spacing w:val="-2"/>
          <w:sz w:val="22"/>
          <w:szCs w:val="22"/>
        </w:rPr>
        <w:t> 2023</w:t>
      </w:r>
      <w:r w:rsidR="00A65139" w:rsidRPr="00B75CB3">
        <w:rPr>
          <w:i/>
          <w:iCs/>
          <w:spacing w:val="-2"/>
          <w:sz w:val="22"/>
          <w:szCs w:val="22"/>
        </w:rPr>
        <w:t>) - </w:t>
      </w:r>
      <w:r w:rsidR="00A65139" w:rsidRPr="00B75CB3">
        <w:rPr>
          <w:i/>
          <w:iCs/>
        </w:rPr>
        <w:t>wirksam mit 1. Januar 2023 und anwendbar auf die ab diesem Datum gezahlten oder zuerkannten Entlohnungen -;</w:t>
      </w:r>
      <w:r w:rsidR="00DB3894" w:rsidRPr="009118AB">
        <w:rPr>
          <w:i/>
          <w:iCs/>
        </w:rPr>
        <w:t xml:space="preserve"> </w:t>
      </w:r>
      <w:r w:rsidR="00D67EB8" w:rsidRPr="009118AB">
        <w:rPr>
          <w:i/>
          <w:iCs/>
        </w:rPr>
        <w:t>§ </w:t>
      </w:r>
      <w:r w:rsidR="00DB3894" w:rsidRPr="009118AB">
        <w:rPr>
          <w:i/>
          <w:iCs/>
        </w:rPr>
        <w:t xml:space="preserve">8 </w:t>
      </w:r>
      <w:r w:rsidR="00D67EB8" w:rsidRPr="009118AB">
        <w:rPr>
          <w:i/>
          <w:iCs/>
        </w:rPr>
        <w:t>Abs. </w:t>
      </w:r>
      <w:r w:rsidR="00DB3894" w:rsidRPr="009118AB">
        <w:rPr>
          <w:i/>
          <w:iCs/>
        </w:rPr>
        <w:t xml:space="preserve">1 abgeändert durch </w:t>
      </w:r>
      <w:r w:rsidR="00D67EB8" w:rsidRPr="009118AB">
        <w:rPr>
          <w:i/>
          <w:iCs/>
        </w:rPr>
        <w:t>Art. </w:t>
      </w:r>
      <w:r w:rsidR="00DB3894" w:rsidRPr="009118AB">
        <w:rPr>
          <w:i/>
          <w:iCs/>
        </w:rPr>
        <w:t xml:space="preserve">5 </w:t>
      </w:r>
      <w:r w:rsidR="00D67EB8" w:rsidRPr="009118AB">
        <w:rPr>
          <w:i/>
          <w:iCs/>
        </w:rPr>
        <w:t>Nr. </w:t>
      </w:r>
      <w:r w:rsidR="00DB3894" w:rsidRPr="009118AB">
        <w:rPr>
          <w:i/>
          <w:iCs/>
        </w:rPr>
        <w:t>4 des G. vom 5. Juli 2022 (B.S. vom 15. Juli 2022)</w:t>
      </w:r>
      <w:r w:rsidR="00D67EB8" w:rsidRPr="009118AB">
        <w:rPr>
          <w:i/>
          <w:iCs/>
        </w:rPr>
        <w:t> - </w:t>
      </w:r>
      <w:r w:rsidR="00DB3894" w:rsidRPr="009118AB">
        <w:rPr>
          <w:i/>
          <w:iCs/>
        </w:rPr>
        <w:t>wirksam mit 1. Januar 2022</w:t>
      </w:r>
      <w:r w:rsidR="003366D9" w:rsidRPr="009118AB">
        <w:rPr>
          <w:i/>
          <w:iCs/>
        </w:rPr>
        <w:t> -;</w:t>
      </w:r>
      <w:r w:rsidR="00DB3894" w:rsidRPr="009118AB">
        <w:rPr>
          <w:i/>
          <w:iCs/>
        </w:rPr>
        <w:t xml:space="preserve"> </w:t>
      </w:r>
      <w:r w:rsidR="00D67EB8" w:rsidRPr="009118AB">
        <w:rPr>
          <w:i/>
          <w:iCs/>
        </w:rPr>
        <w:t>§ </w:t>
      </w:r>
      <w:r w:rsidR="00DB3894" w:rsidRPr="009118AB">
        <w:rPr>
          <w:i/>
          <w:iCs/>
        </w:rPr>
        <w:t xml:space="preserve">8 </w:t>
      </w:r>
      <w:r w:rsidR="00D67EB8" w:rsidRPr="009118AB">
        <w:rPr>
          <w:i/>
          <w:iCs/>
        </w:rPr>
        <w:t>Abs. </w:t>
      </w:r>
      <w:r w:rsidR="00DB3894" w:rsidRPr="009118AB">
        <w:rPr>
          <w:i/>
          <w:iCs/>
        </w:rPr>
        <w:t xml:space="preserve">2 abgeändert durch </w:t>
      </w:r>
      <w:r w:rsidR="00D67EB8" w:rsidRPr="009118AB">
        <w:rPr>
          <w:i/>
          <w:iCs/>
        </w:rPr>
        <w:t>Art. </w:t>
      </w:r>
      <w:r w:rsidR="00DB3894" w:rsidRPr="009118AB">
        <w:rPr>
          <w:i/>
          <w:iCs/>
        </w:rPr>
        <w:t xml:space="preserve">5 </w:t>
      </w:r>
      <w:r w:rsidR="00D67EB8" w:rsidRPr="009118AB">
        <w:rPr>
          <w:i/>
          <w:iCs/>
        </w:rPr>
        <w:t>Nr. </w:t>
      </w:r>
      <w:r w:rsidR="00DB3894" w:rsidRPr="009118AB">
        <w:rPr>
          <w:i/>
          <w:iCs/>
        </w:rPr>
        <w:t>5 des G. vom 5. Juli 2022 (B.S. vom 15. Juli 2022)</w:t>
      </w:r>
      <w:r w:rsidR="00D67EB8" w:rsidRPr="009118AB">
        <w:rPr>
          <w:i/>
          <w:iCs/>
        </w:rPr>
        <w:t> - </w:t>
      </w:r>
      <w:r w:rsidR="00DB3894" w:rsidRPr="009118AB">
        <w:rPr>
          <w:i/>
          <w:iCs/>
        </w:rPr>
        <w:t>wirksam mit 1. Januar 2022</w:t>
      </w:r>
      <w:r w:rsidR="00FD68E8" w:rsidRPr="009118AB">
        <w:rPr>
          <w:i/>
          <w:iCs/>
        </w:rPr>
        <w:t> -</w:t>
      </w:r>
      <w:r w:rsidR="00B75CB3">
        <w:rPr>
          <w:i/>
          <w:iCs/>
        </w:rPr>
        <w:t xml:space="preserve">; § 10 eingefügt </w:t>
      </w:r>
      <w:r w:rsidR="00B75CB3" w:rsidRPr="003E131B">
        <w:rPr>
          <w:i/>
          <w:iCs/>
          <w:spacing w:val="-2"/>
        </w:rPr>
        <w:t>durch Art. 4</w:t>
      </w:r>
      <w:r w:rsidR="00B75CB3">
        <w:rPr>
          <w:i/>
          <w:iCs/>
          <w:spacing w:val="-2"/>
        </w:rPr>
        <w:t>5</w:t>
      </w:r>
      <w:r w:rsidR="00B75CB3" w:rsidRPr="003E131B">
        <w:rPr>
          <w:i/>
          <w:iCs/>
          <w:spacing w:val="-2"/>
        </w:rPr>
        <w:t xml:space="preserve"> Nr. </w:t>
      </w:r>
      <w:r w:rsidR="00B75CB3">
        <w:rPr>
          <w:i/>
          <w:iCs/>
          <w:spacing w:val="-2"/>
        </w:rPr>
        <w:t>2</w:t>
      </w:r>
      <w:r w:rsidR="00B75CB3" w:rsidRPr="003E131B">
        <w:rPr>
          <w:i/>
          <w:iCs/>
          <w:spacing w:val="-2"/>
        </w:rPr>
        <w:t xml:space="preserve"> des G. vom 28. Dezember 2023 (B.S. vom 29. Dezember</w:t>
      </w:r>
      <w:r w:rsidR="00B75CB3" w:rsidRPr="003E131B">
        <w:rPr>
          <w:i/>
          <w:iCs/>
          <w:spacing w:val="-2"/>
          <w:sz w:val="22"/>
          <w:szCs w:val="22"/>
        </w:rPr>
        <w:t> 2023</w:t>
      </w:r>
      <w:r w:rsidR="00B75CB3" w:rsidRPr="00B75CB3">
        <w:rPr>
          <w:i/>
          <w:iCs/>
          <w:spacing w:val="-2"/>
          <w:sz w:val="22"/>
          <w:szCs w:val="22"/>
        </w:rPr>
        <w:t>) - </w:t>
      </w:r>
      <w:r w:rsidR="00B75CB3" w:rsidRPr="00B75CB3">
        <w:rPr>
          <w:i/>
          <w:iCs/>
        </w:rPr>
        <w:t>wirksam mit 1. Januar 2023 und anwendbar auf die ab diesem Datum gezahlten oder zuerkannten Entlohnungen -</w:t>
      </w:r>
      <w:r w:rsidR="00FD68E8" w:rsidRPr="009118AB">
        <w:rPr>
          <w:i/>
          <w:iCs/>
        </w:rPr>
        <w:t>]</w:t>
      </w:r>
    </w:p>
    <w:p w14:paraId="6073CF14" w14:textId="37FFD55D" w:rsidR="00AD25AD" w:rsidRDefault="00AD25AD" w:rsidP="00AD25AD">
      <w:pPr>
        <w:jc w:val="both"/>
        <w:rPr>
          <w:rFonts w:eastAsia="Calibri"/>
          <w:lang w:eastAsia="en-US"/>
        </w:rPr>
      </w:pPr>
    </w:p>
    <w:p w14:paraId="53CC2780" w14:textId="77777777" w:rsidR="00274E13" w:rsidRDefault="00274E13" w:rsidP="00AD25AD">
      <w:pPr>
        <w:jc w:val="both"/>
        <w:rPr>
          <w:rFonts w:eastAsia="Calibri"/>
          <w:lang w:eastAsia="en-US"/>
        </w:rPr>
      </w:pPr>
    </w:p>
    <w:p w14:paraId="67D38145" w14:textId="15DB3E5B" w:rsidR="00274E13" w:rsidRDefault="00274E13" w:rsidP="00274E13">
      <w:pPr>
        <w:jc w:val="both"/>
        <w:rPr>
          <w:rFonts w:eastAsia="Calibri"/>
          <w:iCs/>
          <w:sz w:val="20"/>
          <w:szCs w:val="20"/>
          <w:lang w:eastAsia="en-US"/>
        </w:rPr>
      </w:pPr>
      <w:r w:rsidRPr="00274E13">
        <w:rPr>
          <w:rFonts w:eastAsia="Calibri"/>
          <w:sz w:val="20"/>
          <w:szCs w:val="20"/>
          <w:lang w:eastAsia="en-US"/>
        </w:rPr>
        <w:t>Ab einem gemäß Art. 222 des G. vom 12. Mai 2024 (B.S. vom 30. Mai 2024) vom König festzulegenden Datum und spätestens am 1. Januar 2028 lautet Art. </w:t>
      </w:r>
      <w:r>
        <w:rPr>
          <w:rFonts w:eastAsia="Calibri"/>
          <w:sz w:val="20"/>
          <w:szCs w:val="20"/>
          <w:lang w:eastAsia="en-US"/>
        </w:rPr>
        <w:t>32/1</w:t>
      </w:r>
      <w:r w:rsidRPr="00274E13">
        <w:rPr>
          <w:rFonts w:eastAsia="Calibri"/>
          <w:sz w:val="20"/>
          <w:szCs w:val="20"/>
          <w:lang w:eastAsia="en-US"/>
        </w:rPr>
        <w:t xml:space="preserve"> </w:t>
      </w:r>
      <w:r w:rsidRPr="00274E13">
        <w:rPr>
          <w:rFonts w:eastAsia="Calibri"/>
          <w:iCs/>
          <w:sz w:val="20"/>
          <w:szCs w:val="20"/>
          <w:lang w:eastAsia="en-US"/>
        </w:rPr>
        <w:t>wie folgt:</w:t>
      </w:r>
    </w:p>
    <w:p w14:paraId="26DB88DD" w14:textId="77777777" w:rsidR="00274E13" w:rsidRDefault="00274E13" w:rsidP="00274E13">
      <w:pPr>
        <w:jc w:val="both"/>
        <w:rPr>
          <w:rFonts w:eastAsia="Calibri"/>
          <w:iCs/>
          <w:sz w:val="20"/>
          <w:szCs w:val="20"/>
          <w:lang w:eastAsia="en-US"/>
        </w:rPr>
      </w:pPr>
    </w:p>
    <w:p w14:paraId="488C0B2C" w14:textId="37A637F6" w:rsidR="00274E13" w:rsidRPr="00274E13" w:rsidRDefault="00274E13" w:rsidP="00274E13">
      <w:pPr>
        <w:jc w:val="both"/>
        <w:rPr>
          <w:rFonts w:eastAsia="Calibri"/>
          <w:iCs/>
          <w:sz w:val="20"/>
          <w:szCs w:val="20"/>
          <w:lang w:eastAsia="en-US"/>
        </w:rPr>
      </w:pPr>
      <w:r>
        <w:rPr>
          <w:rFonts w:eastAsia="Calibri"/>
          <w:iCs/>
          <w:sz w:val="20"/>
          <w:szCs w:val="20"/>
          <w:lang w:eastAsia="en-US"/>
        </w:rPr>
        <w:t>"</w:t>
      </w:r>
      <w:r w:rsidRPr="00274E13">
        <w:rPr>
          <w:rFonts w:eastAsia="Calibri"/>
          <w:iCs/>
          <w:sz w:val="20"/>
          <w:szCs w:val="20"/>
          <w:lang w:eastAsia="en-US"/>
        </w:rPr>
        <w:t>[Art. 32/1 - § 1 ­ In Bezug auf Steuerpflichtige-Impatriates, die in Artikel 30 Nr. 1 oder 2 erwähnte Entlohnungen beziehen, gilt die Übernahme bestimmter Kosten durch den Arbeitgeber oder die Gesellschaft als eine Erstattung eigener Ausgaben des Arbeitgebers unter den Bedingungen und in den Grenzen, die in vorliegendem Artikel vorgesehen sind.</w:t>
      </w:r>
    </w:p>
    <w:p w14:paraId="3F956EA7" w14:textId="77777777" w:rsidR="00274E13" w:rsidRPr="00274E13" w:rsidRDefault="00274E13" w:rsidP="00274E13">
      <w:pPr>
        <w:jc w:val="both"/>
        <w:rPr>
          <w:rFonts w:eastAsia="Calibri"/>
          <w:iCs/>
          <w:sz w:val="20"/>
          <w:szCs w:val="20"/>
          <w:lang w:eastAsia="en-US"/>
        </w:rPr>
      </w:pPr>
    </w:p>
    <w:p w14:paraId="62C2C413" w14:textId="1519E0A8"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Für die Anwendung des vorliegenden Artikels versteht man unter "eigenen Ausgaben des Arbeitgebers" im Falle eines Lohnempfängers die eigenen Ausgaben des Arbeitgebers und im Falle eines Unternehmensleiters die eigenen Ausgaben der Gesellschaft, in der ein Mandat oder ähnliche Funktionen ausgeübt werden.</w:t>
      </w:r>
    </w:p>
    <w:p w14:paraId="64E8EAB6" w14:textId="77777777" w:rsidR="00274E13" w:rsidRPr="00274E13" w:rsidRDefault="00274E13" w:rsidP="00274E13">
      <w:pPr>
        <w:jc w:val="both"/>
        <w:rPr>
          <w:rFonts w:eastAsia="Calibri"/>
          <w:iCs/>
          <w:sz w:val="20"/>
          <w:szCs w:val="20"/>
          <w:lang w:eastAsia="en-US"/>
        </w:rPr>
      </w:pPr>
    </w:p>
    <w:p w14:paraId="568131D7" w14:textId="1CCC4B4D"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Für die Anwendung des vorliegenden Artikels versteht man unter "Unternehmensleiter" eine natürliche Person, die ein Mandat oder ähnliche Funktionen wie in Artikel 32 Absatz 1 Nr. 1 erwähnt ausübt und mit der täglichen Geschäftsführung des Unternehmens beauftragt ist, oder eine natürliche Person, die im Unternehmen eine Funktion oder Tätigkeit wie in Artikel 32 Absatz 1 Nr. 2 erwähnt ausübt, mit Ausnahme jedoch der natürlichen Person, die ein solches Mandat, eine solche Funktion oder eine solche Tätigkeit in ihrem eigenen Unternehmen ausübt, dessen Gründerin oder Mitgründerin sie ist oder von dem sie Aktien oder Anteile besitzt, die 30 Prozent oder mehr des Kapitals dieser Gesellschaft vertreten.</w:t>
      </w:r>
    </w:p>
    <w:p w14:paraId="3561EA42" w14:textId="77777777" w:rsidR="00274E13" w:rsidRPr="00274E13" w:rsidRDefault="00274E13" w:rsidP="00274E13">
      <w:pPr>
        <w:jc w:val="both"/>
        <w:rPr>
          <w:rFonts w:eastAsia="Calibri"/>
          <w:iCs/>
          <w:sz w:val="20"/>
          <w:szCs w:val="20"/>
          <w:lang w:eastAsia="en-US"/>
        </w:rPr>
      </w:pPr>
    </w:p>
    <w:p w14:paraId="0864C810" w14:textId="64717A46"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2 - Für die Anwendung des vorliegenden Artikels versteht man unter "Steuerpflichtigem-Impatriate":</w:t>
      </w:r>
    </w:p>
    <w:p w14:paraId="1D5BB860" w14:textId="77777777" w:rsidR="00274E13" w:rsidRPr="00274E13" w:rsidRDefault="00274E13" w:rsidP="00274E13">
      <w:pPr>
        <w:jc w:val="both"/>
        <w:rPr>
          <w:rFonts w:eastAsia="Calibri"/>
          <w:iCs/>
          <w:sz w:val="20"/>
          <w:szCs w:val="20"/>
          <w:lang w:eastAsia="en-US"/>
        </w:rPr>
      </w:pPr>
    </w:p>
    <w:p w14:paraId="62BCF4F1" w14:textId="706CBD32"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1. einen Lohnempfänger oder Unternehmensleiter, [den ein Unternehmen oder eine Niederlassung eines Unternehmens, das/die in der Zentralen Datenbank der Unternehmen eingetragen ist, direkt im Ausland anwirbt, damit er in diesem Unternehmen beziehungsweise dieser Niederlassung] eine in Belgien steuerpflichtige entlohnte Tätigkeit ausübt,</w:t>
      </w:r>
    </w:p>
    <w:p w14:paraId="060DB8FE" w14:textId="77777777" w:rsidR="00274E13" w:rsidRPr="00274E13" w:rsidRDefault="00274E13" w:rsidP="00274E13">
      <w:pPr>
        <w:jc w:val="both"/>
        <w:rPr>
          <w:rFonts w:eastAsia="Calibri"/>
          <w:iCs/>
          <w:sz w:val="20"/>
          <w:szCs w:val="20"/>
          <w:lang w:eastAsia="en-US"/>
        </w:rPr>
      </w:pPr>
    </w:p>
    <w:p w14:paraId="577E89EA" w14:textId="16A32B57"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2. einen Lohnempfänger oder Unternehmensleiter, den ein ausländisches Unternehmen, das Teil einer multinationalen Gruppe ist, [einem oder mehreren Unternehmen oder einer oder mehreren Niederlassungen eines Unternehmens, die in der Zentralen Datenbank der Unternehmen eingetragen sind,] zur Verfügung stellt, damit er eine in Belgien steuerpflichtige entlohnte Tätigkeit ausübt.</w:t>
      </w:r>
    </w:p>
    <w:p w14:paraId="2C7DC534" w14:textId="77777777" w:rsidR="00274E13" w:rsidRPr="00274E13" w:rsidRDefault="00274E13" w:rsidP="00274E13">
      <w:pPr>
        <w:jc w:val="both"/>
        <w:rPr>
          <w:rFonts w:eastAsia="Calibri"/>
          <w:iCs/>
          <w:sz w:val="20"/>
          <w:szCs w:val="20"/>
          <w:lang w:eastAsia="en-US"/>
        </w:rPr>
      </w:pPr>
    </w:p>
    <w:p w14:paraId="700324A5" w14:textId="70C769D3"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Für die Anwendung des vorliegenden Artikels versteht man unter "multinationaler Gruppe" eine Gruppe, die zwei oder mehr Unternehmen umfasst, deren steuerliche Ansässigkeit in unterschiedlichen Staaten beziehungsweise Steuerhoheitsgebieten - nachfolgend "Staat(en)" genannt - liegt, oder die ein Unternehmen umfasst, das in einem Staat steuerlich ansässig ist und in einem anderen Staat mit der durch eine belgische oder ausländische Niederlassung ausgeübten Geschäftstätigkeit steuerpflichtig ist.</w:t>
      </w:r>
    </w:p>
    <w:p w14:paraId="43A1B618" w14:textId="77777777" w:rsidR="00274E13" w:rsidRPr="00274E13" w:rsidRDefault="00274E13" w:rsidP="00274E13">
      <w:pPr>
        <w:jc w:val="both"/>
        <w:rPr>
          <w:rFonts w:eastAsia="Calibri"/>
          <w:iCs/>
          <w:sz w:val="20"/>
          <w:szCs w:val="20"/>
          <w:lang w:eastAsia="en-US"/>
        </w:rPr>
      </w:pPr>
    </w:p>
    <w:p w14:paraId="2DD37CC7" w14:textId="2D33B2C6"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3 - Folgende kumulative Bedingungen müssen außerdem seitens des in § 2 erwähnten Steuerpflichtigen erfüllt sein:</w:t>
      </w:r>
    </w:p>
    <w:p w14:paraId="2566B1C4" w14:textId="77777777" w:rsidR="00274E13" w:rsidRPr="00274E13" w:rsidRDefault="00274E13" w:rsidP="00274E13">
      <w:pPr>
        <w:jc w:val="both"/>
        <w:rPr>
          <w:rFonts w:eastAsia="Calibri"/>
          <w:iCs/>
          <w:sz w:val="20"/>
          <w:szCs w:val="20"/>
          <w:lang w:eastAsia="en-US"/>
        </w:rPr>
      </w:pPr>
    </w:p>
    <w:p w14:paraId="6FBE6D03" w14:textId="335E17CB"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1. Im Laufe der sechzig Monate vor seinem Arbeitsantritt in Belgien war er nicht Einwohner des Königreichs, hat er nicht in einer Entfernung von weniger als 150 Kilometern von der Grenze gewohnt und unterlag er nicht der Steuer der Gebietsfremden für Berufseinkünfte in Belgien.</w:t>
      </w:r>
    </w:p>
    <w:p w14:paraId="776910DC" w14:textId="77777777" w:rsidR="00274E13" w:rsidRPr="00274E13" w:rsidRDefault="00274E13" w:rsidP="00274E13">
      <w:pPr>
        <w:jc w:val="both"/>
        <w:rPr>
          <w:rFonts w:eastAsia="Calibri"/>
          <w:iCs/>
          <w:sz w:val="20"/>
          <w:szCs w:val="20"/>
          <w:lang w:eastAsia="en-US"/>
        </w:rPr>
      </w:pPr>
    </w:p>
    <w:p w14:paraId="14B8C308" w14:textId="3BC393A0"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2. [Er bezieht von dem Arbeitgeber oder der Gesellschaft erwähnt in § 2 Absatz 1 Nr. 1 oder 2 eine in Belgien steuerpflichtige Entlohnung von mehr als 75.000 EUR pro Kalenderjahr für Leistungen, die der Steuerpflichtige-Impatriate für den Arbeitgeber oder die Gesellschaft erwähnt in § 2 Absatz 1 Nr. 1 oder 2 erbringt und die auf die Ergebnisse dieses Arbeitgebers oder dieser Gesellschaft angerechnet werden, mit Ausnahme der Einkünfte, die für die in den Artikeln 155 und 156 erwähnte Ermäßigung für Einkünfte ausländischer Herkunft in Betracht kommen.]</w:t>
      </w:r>
    </w:p>
    <w:p w14:paraId="0F1ECE2B" w14:textId="77777777" w:rsidR="00274E13" w:rsidRPr="00274E13" w:rsidRDefault="00274E13" w:rsidP="00274E13">
      <w:pPr>
        <w:jc w:val="both"/>
        <w:rPr>
          <w:rFonts w:eastAsia="Calibri"/>
          <w:iCs/>
          <w:sz w:val="20"/>
          <w:szCs w:val="20"/>
          <w:lang w:eastAsia="en-US"/>
        </w:rPr>
      </w:pPr>
    </w:p>
    <w:p w14:paraId="2BD80D4E" w14:textId="59032289"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3. Er erhält das Einverständnis der Verwaltung im Rahmen des in § 8 vorgesehenen Verfahrens.</w:t>
      </w:r>
    </w:p>
    <w:p w14:paraId="1A834055" w14:textId="77777777" w:rsidR="00274E13" w:rsidRPr="00274E13" w:rsidRDefault="00274E13" w:rsidP="00274E13">
      <w:pPr>
        <w:jc w:val="both"/>
        <w:rPr>
          <w:rFonts w:eastAsia="Calibri"/>
          <w:iCs/>
          <w:sz w:val="20"/>
          <w:szCs w:val="20"/>
          <w:lang w:eastAsia="en-US"/>
        </w:rPr>
      </w:pPr>
    </w:p>
    <w:p w14:paraId="3847ABEF" w14:textId="6850D18F"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Die in Absatz 1 Nr. 2 erwähnte Entlohnung umfasst die Bruttoentlohnung vor Abzug der Sozialversicherungsbeiträge, mit Ausnahme der Entlassungsentschädigungen, der Entschädigungen für einen zeitweiligen Lohnausfall und der in Anwendung von Artikel 38 steuerfreien Entlohnungen und [mit Ausnahme der in den Paragraphen 5 und 6 erwähnten Erstattungen].</w:t>
      </w:r>
    </w:p>
    <w:p w14:paraId="309BCC5D" w14:textId="77777777" w:rsidR="00274E13" w:rsidRPr="00274E13" w:rsidRDefault="00274E13" w:rsidP="00274E13">
      <w:pPr>
        <w:jc w:val="both"/>
        <w:rPr>
          <w:rFonts w:eastAsia="Calibri"/>
          <w:iCs/>
          <w:sz w:val="20"/>
          <w:szCs w:val="20"/>
          <w:lang w:eastAsia="en-US"/>
        </w:rPr>
      </w:pPr>
    </w:p>
    <w:p w14:paraId="63FBCBC6" w14:textId="7F845B73"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lastRenderedPageBreak/>
        <w:t>Für das Jahr der Ankunft in Belgien und für das Jahr des Weggangs aus Belgien oder das Jahr, in dem vorliegende Regelung gemäß § 7 ausläuft, wird der in Absatz 1 Nr. 2 erwähnte Betrag im Verhältnis zu der Anzahl Tage, an denen das Arbeitsverhältnis in Belgien in diesem Jahr bestand und die Bedingungen des vorliegenden Artikels erfüllt waren, berechnet.</w:t>
      </w:r>
    </w:p>
    <w:p w14:paraId="4DC5496A" w14:textId="77777777" w:rsidR="00274E13" w:rsidRPr="00274E13" w:rsidRDefault="00274E13" w:rsidP="00274E13">
      <w:pPr>
        <w:jc w:val="both"/>
        <w:rPr>
          <w:rFonts w:eastAsia="Calibri"/>
          <w:iCs/>
          <w:sz w:val="20"/>
          <w:szCs w:val="20"/>
          <w:lang w:eastAsia="en-US"/>
        </w:rPr>
      </w:pPr>
    </w:p>
    <w:p w14:paraId="249E4339" w14:textId="13B53853"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Falls der Steuerpflichtige-Impatriate seine Tätigkeit unterbrechen muss und seine Entlohnung nicht weitergezahlt wird, wird der in Absatz 1 Nr. 2 erwähnte Betrag im Verhältnis zu der Anzahl Tage, an denen der Steuerpflichtige-Impatriate seine Berufstätigkeit tatsächlich ausüben konnte, berechnet.</w:t>
      </w:r>
    </w:p>
    <w:p w14:paraId="6685A1C5" w14:textId="77777777" w:rsidR="00274E13" w:rsidRPr="00274E13" w:rsidRDefault="00274E13" w:rsidP="00274E13">
      <w:pPr>
        <w:jc w:val="both"/>
        <w:rPr>
          <w:rFonts w:eastAsia="Calibri"/>
          <w:iCs/>
          <w:sz w:val="20"/>
          <w:szCs w:val="20"/>
          <w:lang w:eastAsia="en-US"/>
        </w:rPr>
      </w:pPr>
    </w:p>
    <w:p w14:paraId="2F9BE805" w14:textId="2A3E9136"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Unbeschadet der Anwendung von § 4 wird die Einhaltung der in Absatz 1 Nr. 2 erwähnten Bedingung zu dem Zeitpunkt beurteilt, zu dem der in § 8 erwähnte Antrag eingereicht wird.</w:t>
      </w:r>
    </w:p>
    <w:p w14:paraId="0B20DF69" w14:textId="77777777" w:rsidR="00274E13" w:rsidRPr="00274E13" w:rsidRDefault="00274E13" w:rsidP="00274E13">
      <w:pPr>
        <w:jc w:val="both"/>
        <w:rPr>
          <w:rFonts w:eastAsia="Calibri"/>
          <w:iCs/>
          <w:sz w:val="20"/>
          <w:szCs w:val="20"/>
          <w:lang w:eastAsia="en-US"/>
        </w:rPr>
      </w:pPr>
    </w:p>
    <w:p w14:paraId="07277F96" w14:textId="3D557BEA"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Der König kann den in Absatz 1 Nr. 2 erwähnten Betrag alle drei Jahre und zum ersten Mal für das Einkommensjahr 2024 an die Erhöhung des abgeflachten Gesundheitsindexes erwähnt in Artikel 2 § 2 des Königlichen Erlasses vom 24. Dezember 1993 zur Ausführung des Gesetzes vom 6. Januar 1989 zur Wahrung der Konkurrenzfähigkeit des Landes, bestätigt durch das Gesetz vom 30. März 1994 zur Festlegung sozialer Bestimmungen, anpassen. Dazu wird der in Absatz 1 Nr. 2 erwähnte Betrag mit der Zahl des abgeflachten Gesundheitsindexes des Monats September des Jahres vor dem Jahr, in dem der neue Betrag zum ersten Mal anwendbar sein wird, multipliziert und durch die Zahl des abgeflachten Gesundheitsindexes des Monats September 2020 (107,85) geteilt. Der so erhaltene Betrag wird auf den höheren oder niedrigeren Hunderter abgerundet, je nachdem ob die Ziffer der Zehner 5 erreicht oder nicht.</w:t>
      </w:r>
    </w:p>
    <w:p w14:paraId="11565910" w14:textId="77777777" w:rsidR="00274E13" w:rsidRPr="00274E13" w:rsidRDefault="00274E13" w:rsidP="00274E13">
      <w:pPr>
        <w:jc w:val="both"/>
        <w:rPr>
          <w:rFonts w:eastAsia="Calibri"/>
          <w:iCs/>
          <w:sz w:val="20"/>
          <w:szCs w:val="20"/>
          <w:lang w:eastAsia="en-US"/>
        </w:rPr>
      </w:pPr>
    </w:p>
    <w:p w14:paraId="38A37DCD" w14:textId="137F9BCC"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w:t>
      </w:r>
    </w:p>
    <w:p w14:paraId="731DE3C8" w14:textId="77777777" w:rsidR="00274E13" w:rsidRPr="00274E13" w:rsidRDefault="00274E13" w:rsidP="00274E13">
      <w:pPr>
        <w:jc w:val="both"/>
        <w:rPr>
          <w:rFonts w:eastAsia="Calibri"/>
          <w:iCs/>
          <w:sz w:val="20"/>
          <w:szCs w:val="20"/>
          <w:lang w:eastAsia="en-US"/>
        </w:rPr>
      </w:pPr>
    </w:p>
    <w:p w14:paraId="5CB86657" w14:textId="2188A825"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4 - Sind die in § 2 oder § 3 Absatz 1 Nr. 2 erwähnten Bedingungen im Laufe des in § 7 erwähnten Zeitraums nicht mehr erfüllt, endet die Anwendung der vorliegenden Regelung.</w:t>
      </w:r>
    </w:p>
    <w:p w14:paraId="293B0D05" w14:textId="77777777" w:rsidR="00274E13" w:rsidRPr="00274E13" w:rsidRDefault="00274E13" w:rsidP="00274E13">
      <w:pPr>
        <w:jc w:val="both"/>
        <w:rPr>
          <w:rFonts w:eastAsia="Calibri"/>
          <w:iCs/>
          <w:sz w:val="20"/>
          <w:szCs w:val="20"/>
          <w:lang w:eastAsia="en-US"/>
        </w:rPr>
      </w:pPr>
    </w:p>
    <w:p w14:paraId="596F447E" w14:textId="12A74E6A"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5 - Die Übernahme - zusätzlich zur Entlohnung - wiederkehrender Ausgaben, die sich direkt aus der Zurverfügungstellung oder Beschäftigung in Belgien ergeben, durch den Arbeitgeber […] - entweder direkt oder in Form spezifischer Erstattungen - gilt als eine Erstattung eigener Ausgaben des Arbeitgebers bis zu einem Betrag von 30 Prozent der in § 3 Absatz 2 beschriebenen Entlohnung.</w:t>
      </w:r>
    </w:p>
    <w:p w14:paraId="1CA38126" w14:textId="77777777" w:rsidR="00274E13" w:rsidRPr="00274E13" w:rsidRDefault="00274E13" w:rsidP="00274E13">
      <w:pPr>
        <w:jc w:val="both"/>
        <w:rPr>
          <w:rFonts w:eastAsia="Calibri"/>
          <w:iCs/>
          <w:sz w:val="20"/>
          <w:szCs w:val="20"/>
          <w:lang w:eastAsia="en-US"/>
        </w:rPr>
      </w:pPr>
    </w:p>
    <w:p w14:paraId="479E4D72" w14:textId="3777EA1C"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Der in Absatz 1 erwähnte Betrag, der als eigene Ausgaben des Arbeitgebers zulässig ist, ist auf 90.000 EUR pro Jahr begrenzt.</w:t>
      </w:r>
    </w:p>
    <w:p w14:paraId="1F0DE290" w14:textId="77777777" w:rsidR="00274E13" w:rsidRPr="00274E13" w:rsidRDefault="00274E13" w:rsidP="00274E13">
      <w:pPr>
        <w:jc w:val="both"/>
        <w:rPr>
          <w:rFonts w:eastAsia="Calibri"/>
          <w:iCs/>
          <w:sz w:val="20"/>
          <w:szCs w:val="20"/>
          <w:lang w:eastAsia="en-US"/>
        </w:rPr>
      </w:pPr>
    </w:p>
    <w:p w14:paraId="72B9611C" w14:textId="0E5D1775"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Der König kann den in Absatz 2 erwähnten Betrag alle drei Jahre und zum ersten Mal für das Einkommensjahr 2024 gemäß den in § 3 Absatz 6 festgelegten Regeln an die Erhöhung des abgeflachten Gesundheitsindexes anpassen.</w:t>
      </w:r>
    </w:p>
    <w:p w14:paraId="4CCF7538" w14:textId="77777777" w:rsidR="00274E13" w:rsidRPr="00274E13" w:rsidRDefault="00274E13" w:rsidP="00274E13">
      <w:pPr>
        <w:jc w:val="both"/>
        <w:rPr>
          <w:rFonts w:eastAsia="Calibri"/>
          <w:iCs/>
          <w:sz w:val="20"/>
          <w:szCs w:val="20"/>
          <w:lang w:eastAsia="en-US"/>
        </w:rPr>
      </w:pPr>
    </w:p>
    <w:p w14:paraId="4DD0BD89" w14:textId="24598A78"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Für das Jahr der Ankunft in Belgien und für das Jahr des Weggangs aus Belgien oder das Jahr, in dem vorliegende Regelung gemäß § 7 ausläuft, wird der in Absatz 2 erwähnte Höchstbetrag im Verhältnis zu der Anzahl Tage, an denen das Arbeitsverhältnis in Belgien in diesem Jahr bestand und die Bedingungen des vorliegenden Artikels erfüllt waren, berechnet.</w:t>
      </w:r>
    </w:p>
    <w:p w14:paraId="5C040297" w14:textId="77777777" w:rsidR="00274E13" w:rsidRPr="00274E13" w:rsidRDefault="00274E13" w:rsidP="00274E13">
      <w:pPr>
        <w:jc w:val="both"/>
        <w:rPr>
          <w:rFonts w:eastAsia="Calibri"/>
          <w:iCs/>
          <w:sz w:val="20"/>
          <w:szCs w:val="20"/>
          <w:lang w:eastAsia="en-US"/>
        </w:rPr>
      </w:pPr>
    </w:p>
    <w:p w14:paraId="20E4422F" w14:textId="1A21E275"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Falls der Steuerpflichtige-Impatriate seine Tätigkeit unterbrechen muss und seine Entlohnung nicht weitergezahlt wird, die in Absatz 1 erwähnten Kosten aufgrund einer vertraglichen Verpflichtung jedoch weiterhin vom Arbeitgeber oder von der Gesellschaft übernommen werden, wird die Entlohnung, auf deren Grundlage die Höchstgrenze von 30 Prozent berechnet wird, bestimmt, als ob die Tätigkeit nicht unterbrochen worden wäre.</w:t>
      </w:r>
    </w:p>
    <w:p w14:paraId="6FCBCB0E" w14:textId="77777777" w:rsidR="00274E13" w:rsidRPr="00274E13" w:rsidRDefault="00274E13" w:rsidP="00274E13">
      <w:pPr>
        <w:jc w:val="both"/>
        <w:rPr>
          <w:rFonts w:eastAsia="Calibri"/>
          <w:iCs/>
          <w:sz w:val="20"/>
          <w:szCs w:val="20"/>
          <w:lang w:eastAsia="en-US"/>
        </w:rPr>
      </w:pPr>
    </w:p>
    <w:p w14:paraId="7839CAF3" w14:textId="20F95336"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6 - Als Erstattungen eigener Ausgaben des Arbeitgebers gelten auch die Kosten, die vom Arbeitgeber oder von der Gesellschaft entweder direkt oder in Form spezifischer Erstattungen getragen werden, in dem Maße, wie diese Kosten bestimmt sind zur Deckung von:</w:t>
      </w:r>
    </w:p>
    <w:p w14:paraId="5C2BB7A6" w14:textId="77777777" w:rsidR="00274E13" w:rsidRPr="00274E13" w:rsidRDefault="00274E13" w:rsidP="00274E13">
      <w:pPr>
        <w:jc w:val="both"/>
        <w:rPr>
          <w:rFonts w:eastAsia="Calibri"/>
          <w:iCs/>
          <w:sz w:val="20"/>
          <w:szCs w:val="20"/>
          <w:lang w:eastAsia="en-US"/>
        </w:rPr>
      </w:pPr>
    </w:p>
    <w:p w14:paraId="14314063" w14:textId="17F9F4A5"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1. Kosten, die durch den Umzug des Steuerpflichtigen-Impatriates nach Belgien entstehen,</w:t>
      </w:r>
    </w:p>
    <w:p w14:paraId="407FCAB7" w14:textId="77777777" w:rsidR="00274E13" w:rsidRPr="00274E13" w:rsidRDefault="00274E13" w:rsidP="00274E13">
      <w:pPr>
        <w:jc w:val="both"/>
        <w:rPr>
          <w:rFonts w:eastAsia="Calibri"/>
          <w:iCs/>
          <w:sz w:val="20"/>
          <w:szCs w:val="20"/>
          <w:lang w:eastAsia="en-US"/>
        </w:rPr>
      </w:pPr>
    </w:p>
    <w:p w14:paraId="0190A387" w14:textId="6B2B0FFE"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2. Kosten im Zusammenhang mit der Einrichtung der Wohnung in Belgien, die in den ersten sechs Monaten nach der Ankunft in Belgien getätigt werden,</w:t>
      </w:r>
    </w:p>
    <w:p w14:paraId="24DE2BBD" w14:textId="77777777" w:rsidR="00274E13" w:rsidRPr="00274E13" w:rsidRDefault="00274E13" w:rsidP="00274E13">
      <w:pPr>
        <w:jc w:val="both"/>
        <w:rPr>
          <w:rFonts w:eastAsia="Calibri"/>
          <w:iCs/>
          <w:sz w:val="20"/>
          <w:szCs w:val="20"/>
          <w:lang w:eastAsia="en-US"/>
        </w:rPr>
      </w:pPr>
    </w:p>
    <w:p w14:paraId="7A40C641" w14:textId="6E1169FF"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xml:space="preserve">3. Schulgeld für die Kinder des Steuerpflichtigen-Impatriates oder seines Partners, die mit ihren Eltern oder einem Elternteil umziehen, wenn sie aufgrund der belgischen Rechtsvorschriften im schulpflichtigen Alter sind und in </w:t>
      </w:r>
      <w:r w:rsidRPr="00274E13">
        <w:rPr>
          <w:rFonts w:eastAsia="Calibri"/>
          <w:iCs/>
          <w:sz w:val="20"/>
          <w:szCs w:val="20"/>
          <w:lang w:eastAsia="en-US"/>
        </w:rPr>
        <w:lastRenderedPageBreak/>
        <w:t>diesem Zusammenhang in Belgien an einer privaten oder internationalen Schule dem Vorschul-, Primarschul- oder Sekundarschul</w:t>
      </w:r>
      <w:r w:rsidRPr="00274E13">
        <w:rPr>
          <w:rFonts w:eastAsia="Calibri"/>
          <w:iCs/>
          <w:sz w:val="20"/>
          <w:szCs w:val="20"/>
          <w:lang w:eastAsia="en-US"/>
        </w:rPr>
        <w:softHyphen/>
        <w:t>unterricht folgen.</w:t>
      </w:r>
    </w:p>
    <w:p w14:paraId="220293BA" w14:textId="77777777" w:rsidR="00274E13" w:rsidRPr="00274E13" w:rsidRDefault="00274E13" w:rsidP="00274E13">
      <w:pPr>
        <w:jc w:val="both"/>
        <w:rPr>
          <w:rFonts w:eastAsia="Calibri"/>
          <w:iCs/>
          <w:sz w:val="20"/>
          <w:szCs w:val="20"/>
          <w:lang w:eastAsia="en-US"/>
        </w:rPr>
      </w:pPr>
    </w:p>
    <w:p w14:paraId="57EA1C36" w14:textId="2D1C5D0A"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In Absatz 1 Nr. 1 erwähnte Kosten umfassen nur die Kosten einer Reise im Hinblick auf die Suche nach einer neuen Unterkunft in Belgien, die Reisekosten des Steuerpflichtigen-Impatriates selbst, seines Partners und der Kinder, die zu seinem Haushalt gehören, sowie die Kosten für das Abbauen, Verpacken, Einladen, Befördern, Ausladen, Auspacken und Aufbauen von Mobiliar, das dem Steuerpflichtigen-Impatriate gehört. Gegebenenfalls sind auch die Hotelkosten des Steuerpflichtigen-Impatriates, seines Partners und der Kinder, die zu seinem Haushalt gehören, während der ersten drei Monate nach dem Arbeitsantritt in Belgien gemeint.</w:t>
      </w:r>
    </w:p>
    <w:p w14:paraId="4B49350F" w14:textId="77777777" w:rsidR="00274E13" w:rsidRPr="00274E13" w:rsidRDefault="00274E13" w:rsidP="00274E13">
      <w:pPr>
        <w:jc w:val="both"/>
        <w:rPr>
          <w:rFonts w:eastAsia="Calibri"/>
          <w:iCs/>
          <w:sz w:val="20"/>
          <w:szCs w:val="20"/>
          <w:lang w:eastAsia="en-US"/>
        </w:rPr>
      </w:pPr>
    </w:p>
    <w:p w14:paraId="52855A70" w14:textId="342A16C9"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In Absatz 1 Nr. 2 erwähnte Kosten umfassen nur die Kosten für den Kauf von Material, das dazu bestimmt ist, in der Wohnung in Belgien zu bleiben, und für den Kauf von elektrischen Haushaltsgeräten gemäß den in Belgien geltenden Normen.</w:t>
      </w:r>
    </w:p>
    <w:p w14:paraId="60EB5A4B" w14:textId="77777777" w:rsidR="00274E13" w:rsidRPr="00274E13" w:rsidRDefault="00274E13" w:rsidP="00274E13">
      <w:pPr>
        <w:jc w:val="both"/>
        <w:rPr>
          <w:rFonts w:eastAsia="Calibri"/>
          <w:iCs/>
          <w:sz w:val="20"/>
          <w:szCs w:val="20"/>
          <w:lang w:eastAsia="en-US"/>
        </w:rPr>
      </w:pPr>
    </w:p>
    <w:p w14:paraId="3FF3E6C2" w14:textId="4DB8E1CE"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Die Kosten, die als eigene Ausgaben des Arbeitgebers wie in Absatz 1 Nr. 2 erwähnt zulässig sind, sind auf den Betrag von 1.500 EUR begrenzt. Der König kann diesen Betrag alle drei Jahre und zum ersten Mal für das Einkommensjahr 2024 gemäß den in § 3 Absatz 6 festgelegten Regeln an die Erhöhung des abgeflachten Gesundheitsindexes anpassen.</w:t>
      </w:r>
    </w:p>
    <w:p w14:paraId="0AE86F74" w14:textId="77777777" w:rsidR="00274E13" w:rsidRPr="00274E13" w:rsidRDefault="00274E13" w:rsidP="00274E13">
      <w:pPr>
        <w:jc w:val="both"/>
        <w:rPr>
          <w:rFonts w:eastAsia="Calibri"/>
          <w:iCs/>
          <w:sz w:val="20"/>
          <w:szCs w:val="20"/>
          <w:lang w:eastAsia="en-US"/>
        </w:rPr>
      </w:pPr>
    </w:p>
    <w:p w14:paraId="120879DA" w14:textId="48BB6BEF"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Es obliegt dem Steuerpflichtigen, Echtheit und Betrag dieser Ausgaben durch Belege nachzuweisen oder, wenn das nicht möglich ist, durch alle anderen vom allgemeinen Recht zugelassenen Beweismittel außer dem Eid.</w:t>
      </w:r>
    </w:p>
    <w:p w14:paraId="6A376953" w14:textId="77777777" w:rsidR="00274E13" w:rsidRPr="00274E13" w:rsidRDefault="00274E13" w:rsidP="00274E13">
      <w:pPr>
        <w:jc w:val="both"/>
        <w:rPr>
          <w:rFonts w:eastAsia="Calibri"/>
          <w:iCs/>
          <w:sz w:val="20"/>
          <w:szCs w:val="20"/>
          <w:lang w:eastAsia="en-US"/>
        </w:rPr>
      </w:pPr>
    </w:p>
    <w:p w14:paraId="6AD079C7" w14:textId="59289055"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7 - Die Paragraphen 5 und 6 sind während der Dauer der Beschäftigung des Steuerpflichtigen in Belgien anwendbar, mit einem Maximum von fünf Jahren.</w:t>
      </w:r>
    </w:p>
    <w:p w14:paraId="5ADCC552" w14:textId="77777777" w:rsidR="00274E13" w:rsidRPr="00274E13" w:rsidRDefault="00274E13" w:rsidP="00274E13">
      <w:pPr>
        <w:jc w:val="both"/>
        <w:rPr>
          <w:rFonts w:eastAsia="Calibri"/>
          <w:iCs/>
          <w:sz w:val="20"/>
          <w:szCs w:val="20"/>
          <w:lang w:eastAsia="en-US"/>
        </w:rPr>
      </w:pPr>
    </w:p>
    <w:p w14:paraId="628AC8B5" w14:textId="0435E4EC"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Geht die Beschäftigung des Steuerpflichtigen in Belgien über die in Absatz 1 erwähnte Dauer hinaus, wird die Anwendung der Paragraphen 5 und 6 um drei Jahre verlängert, sofern:</w:t>
      </w:r>
    </w:p>
    <w:p w14:paraId="0142B381" w14:textId="77777777" w:rsidR="00274E13" w:rsidRPr="00274E13" w:rsidRDefault="00274E13" w:rsidP="00274E13">
      <w:pPr>
        <w:jc w:val="both"/>
        <w:rPr>
          <w:rFonts w:eastAsia="Calibri"/>
          <w:iCs/>
          <w:sz w:val="20"/>
          <w:szCs w:val="20"/>
          <w:lang w:eastAsia="en-US"/>
        </w:rPr>
      </w:pPr>
    </w:p>
    <w:p w14:paraId="76ED16FB" w14:textId="229BF59F"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1. die in § 2 erwähnten Bedingungen in Bezug auf den Arbeitgeber oder die Gesellschaft weiterhin erfüllt sind</w:t>
      </w:r>
    </w:p>
    <w:p w14:paraId="00978117" w14:textId="77777777" w:rsidR="00274E13" w:rsidRPr="00274E13" w:rsidRDefault="00274E13" w:rsidP="00274E13">
      <w:pPr>
        <w:jc w:val="both"/>
        <w:rPr>
          <w:rFonts w:eastAsia="Calibri"/>
          <w:iCs/>
          <w:sz w:val="20"/>
          <w:szCs w:val="20"/>
          <w:lang w:eastAsia="en-US"/>
        </w:rPr>
      </w:pPr>
    </w:p>
    <w:p w14:paraId="4F400F92" w14:textId="542A9DF7"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und</w:t>
      </w:r>
    </w:p>
    <w:p w14:paraId="67A22110" w14:textId="77777777" w:rsidR="00274E13" w:rsidRPr="00274E13" w:rsidRDefault="00274E13" w:rsidP="00274E13">
      <w:pPr>
        <w:jc w:val="both"/>
        <w:rPr>
          <w:rFonts w:eastAsia="Calibri"/>
          <w:iCs/>
          <w:sz w:val="20"/>
          <w:szCs w:val="20"/>
          <w:lang w:eastAsia="en-US"/>
        </w:rPr>
      </w:pPr>
    </w:p>
    <w:p w14:paraId="51DB63FD" w14:textId="01FAF855"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2. die in § 3 Absatz 1 Nr. 2 erwähnte Schwelle weiterhin erreicht wird.</w:t>
      </w:r>
    </w:p>
    <w:p w14:paraId="6897C071" w14:textId="77777777" w:rsidR="00274E13" w:rsidRPr="00274E13" w:rsidRDefault="00274E13" w:rsidP="00274E13">
      <w:pPr>
        <w:jc w:val="both"/>
        <w:rPr>
          <w:rFonts w:eastAsia="Calibri"/>
          <w:iCs/>
          <w:sz w:val="20"/>
          <w:szCs w:val="20"/>
          <w:lang w:eastAsia="en-US"/>
        </w:rPr>
      </w:pPr>
    </w:p>
    <w:p w14:paraId="61D61524" w14:textId="77777777"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8 - </w:t>
      </w:r>
      <w:r>
        <w:rPr>
          <w:rFonts w:eastAsia="Calibri"/>
          <w:iCs/>
          <w:sz w:val="20"/>
          <w:szCs w:val="20"/>
          <w:lang w:eastAsia="en-US"/>
        </w:rPr>
        <w:t>[</w:t>
      </w:r>
      <w:r w:rsidRPr="00274E13">
        <w:rPr>
          <w:rFonts w:eastAsia="Calibri"/>
          <w:iCs/>
          <w:sz w:val="20"/>
          <w:szCs w:val="20"/>
          <w:lang w:eastAsia="en-US"/>
        </w:rPr>
        <w:t>Der Arbeitgeber oder die Gesellschaft muss dem vom Generalverwalter der Generalverwaltung Steuerwesen angegebenen Dienst einen Antrag übermitteln, um die in vorliegendem Artikel erwähnte Regelung in Anspruch nehmen zu können. Der Antrag muss zur Vermeidung des Verfalls innerhalb einer Frist von drei Monaten ab dem Arbeitsantritt des Steuerpflichtigen in Belgien übermittelt werden. Der König bestimmt Form und Inhalt des Formulars, das zu diesem Zweck ausgefüllt werden muss.</w:t>
      </w:r>
    </w:p>
    <w:p w14:paraId="6CF5E60F" w14:textId="77777777" w:rsidR="00274E13" w:rsidRPr="00274E13" w:rsidRDefault="00274E13" w:rsidP="00274E13">
      <w:pPr>
        <w:jc w:val="both"/>
        <w:rPr>
          <w:rFonts w:eastAsia="Calibri"/>
          <w:iCs/>
          <w:sz w:val="20"/>
          <w:szCs w:val="20"/>
          <w:lang w:eastAsia="en-US"/>
        </w:rPr>
      </w:pPr>
    </w:p>
    <w:p w14:paraId="51F1B0C2" w14:textId="7DAB217B"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Der Antrag für die in § 7 Absatz 2 erwähnte Verlängerung der Regelung wird zur Vermeidung des Verfalls durch den Arbeitgeber oder die Gesellschaft dem vom Generalverwalter der Generalverwaltung Steuerwesen angegebenen Dienst übermittelt, und zwar spätestens drei Monate nach Ablauf des ersten Zeitraums von fünf Jahren, der am Tag des Arbeitsantritts des Steuerpflichtigen in Belgien beginnt. Der König bestimmt Form und Inhalt des Formulars, das zu diesem Zweck ausgefüllt werden muss.</w:t>
      </w:r>
      <w:r>
        <w:rPr>
          <w:rFonts w:eastAsia="Calibri"/>
          <w:iCs/>
          <w:sz w:val="20"/>
          <w:szCs w:val="20"/>
          <w:lang w:eastAsia="en-US"/>
        </w:rPr>
        <w:t>]</w:t>
      </w:r>
    </w:p>
    <w:p w14:paraId="4016F57E" w14:textId="77777777" w:rsidR="00274E13" w:rsidRPr="00274E13" w:rsidRDefault="00274E13" w:rsidP="00274E13">
      <w:pPr>
        <w:jc w:val="both"/>
        <w:rPr>
          <w:rFonts w:eastAsia="Calibri"/>
          <w:iCs/>
          <w:sz w:val="20"/>
          <w:szCs w:val="20"/>
          <w:lang w:eastAsia="en-US"/>
        </w:rPr>
      </w:pPr>
    </w:p>
    <w:p w14:paraId="4BD4B5A5" w14:textId="29306106"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Dem in Absatz 1 und 2 erwähnten Antrag muss eine vom betreffenden Lohnempfänger oder Unternehmensleiter unterzeichnete Bescheinigung beigefügt werden, in der bestätigt wird, dass er mit dem Antrag auf Anwendung der Regelung einverstanden ist.</w:t>
      </w:r>
    </w:p>
    <w:p w14:paraId="3A4950BC" w14:textId="77777777" w:rsidR="00274E13" w:rsidRPr="00274E13" w:rsidRDefault="00274E13" w:rsidP="00274E13">
      <w:pPr>
        <w:jc w:val="both"/>
        <w:rPr>
          <w:rFonts w:eastAsia="Calibri"/>
          <w:iCs/>
          <w:sz w:val="20"/>
          <w:szCs w:val="20"/>
          <w:lang w:eastAsia="en-US"/>
        </w:rPr>
      </w:pPr>
    </w:p>
    <w:p w14:paraId="29AB1550" w14:textId="4006E80A"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Die Verwaltung befindet innerhalb einer Frist von drei Monaten ab Erhalt des Antrags. Der Steuerpflichtige und der Arbeitgeber oder die Gesellschaft werden schriftlich über die Entscheidung der Verwaltung informiert.</w:t>
      </w:r>
    </w:p>
    <w:p w14:paraId="235D6FD0" w14:textId="77777777" w:rsidR="00274E13" w:rsidRPr="00274E13" w:rsidRDefault="00274E13" w:rsidP="00274E13">
      <w:pPr>
        <w:jc w:val="both"/>
        <w:rPr>
          <w:rFonts w:eastAsia="Calibri"/>
          <w:iCs/>
          <w:sz w:val="20"/>
          <w:szCs w:val="20"/>
          <w:lang w:eastAsia="en-US"/>
        </w:rPr>
      </w:pPr>
    </w:p>
    <w:p w14:paraId="5297388E" w14:textId="64009EB3"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Bei einer positiven Antwort ist die in vorliegendem Artikel vorgesehene Regelung auf Entlohnungen anwendbar, die der Steuerpflichtige-Impatriate seit seinem Arbeitsantritt in Belgien bezieht.</w:t>
      </w:r>
    </w:p>
    <w:p w14:paraId="0E61900F" w14:textId="77777777" w:rsidR="00274E13" w:rsidRPr="00274E13" w:rsidRDefault="00274E13" w:rsidP="00274E13">
      <w:pPr>
        <w:jc w:val="both"/>
        <w:rPr>
          <w:rFonts w:eastAsia="Calibri"/>
          <w:iCs/>
          <w:sz w:val="20"/>
          <w:szCs w:val="20"/>
          <w:lang w:eastAsia="en-US"/>
        </w:rPr>
      </w:pPr>
    </w:p>
    <w:p w14:paraId="4FE03536" w14:textId="06D5156B"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9 - Im Falle eines Wechsels des Arbeitgebers oder der Gesellschaft während des in § 7 erwähnten Zeitraums kann vom neuen Arbeitgeber oder von der neuen Gesellschaft auf die in § 8 angegebene Weise ein neuer Antrag auf Anwendung der vorliegenden Regelung eingereicht werden.</w:t>
      </w:r>
    </w:p>
    <w:p w14:paraId="6766476F" w14:textId="77777777" w:rsidR="00274E13" w:rsidRPr="00274E13" w:rsidRDefault="00274E13" w:rsidP="00274E13">
      <w:pPr>
        <w:jc w:val="both"/>
        <w:rPr>
          <w:rFonts w:eastAsia="Calibri"/>
          <w:iCs/>
          <w:sz w:val="20"/>
          <w:szCs w:val="20"/>
          <w:lang w:eastAsia="en-US"/>
        </w:rPr>
      </w:pPr>
    </w:p>
    <w:p w14:paraId="59CF5FF7" w14:textId="37A35BED"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lastRenderedPageBreak/>
        <w:t>In diesem Fall kann vorliegende Regelung dem Steuerpflichtigen-Impatriate erneut gewährt werden, sofern:</w:t>
      </w:r>
    </w:p>
    <w:p w14:paraId="03A15D20" w14:textId="77777777" w:rsidR="00274E13" w:rsidRPr="00274E13" w:rsidRDefault="00274E13" w:rsidP="00274E13">
      <w:pPr>
        <w:jc w:val="both"/>
        <w:rPr>
          <w:rFonts w:eastAsia="Calibri"/>
          <w:iCs/>
          <w:sz w:val="20"/>
          <w:szCs w:val="20"/>
          <w:lang w:eastAsia="en-US"/>
        </w:rPr>
      </w:pPr>
    </w:p>
    <w:p w14:paraId="607E58A9" w14:textId="110A5377"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1. die in § 2 erwähnten Bedingungen in Bezug auf den Arbeitgeber oder die Gesellschaft weiterhin erfüllt sind</w:t>
      </w:r>
    </w:p>
    <w:p w14:paraId="6A1C2289" w14:textId="77777777" w:rsidR="00274E13" w:rsidRPr="00274E13" w:rsidRDefault="00274E13" w:rsidP="00274E13">
      <w:pPr>
        <w:jc w:val="both"/>
        <w:rPr>
          <w:rFonts w:eastAsia="Calibri"/>
          <w:iCs/>
          <w:sz w:val="20"/>
          <w:szCs w:val="20"/>
          <w:lang w:eastAsia="en-US"/>
        </w:rPr>
      </w:pPr>
    </w:p>
    <w:p w14:paraId="5465C520" w14:textId="5430B0D4"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und</w:t>
      </w:r>
    </w:p>
    <w:p w14:paraId="5F4830EB" w14:textId="77777777" w:rsidR="00274E13" w:rsidRPr="00274E13" w:rsidRDefault="00274E13" w:rsidP="00274E13">
      <w:pPr>
        <w:jc w:val="both"/>
        <w:rPr>
          <w:rFonts w:eastAsia="Calibri"/>
          <w:iCs/>
          <w:sz w:val="20"/>
          <w:szCs w:val="20"/>
          <w:lang w:eastAsia="en-US"/>
        </w:rPr>
      </w:pPr>
    </w:p>
    <w:p w14:paraId="6F898E78" w14:textId="6AFCA27C"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2. die in § 3 Absatz 1 Nr. 2 erwähnte Schwelle weiterhin erreicht wird</w:t>
      </w:r>
    </w:p>
    <w:p w14:paraId="0B2B8F67" w14:textId="77777777" w:rsidR="00274E13" w:rsidRPr="00274E13" w:rsidRDefault="00274E13" w:rsidP="00274E13">
      <w:pPr>
        <w:jc w:val="both"/>
        <w:rPr>
          <w:rFonts w:eastAsia="Calibri"/>
          <w:iCs/>
          <w:sz w:val="20"/>
          <w:szCs w:val="20"/>
          <w:lang w:eastAsia="en-US"/>
        </w:rPr>
      </w:pPr>
    </w:p>
    <w:p w14:paraId="212914FF" w14:textId="78F25758"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und</w:t>
      </w:r>
    </w:p>
    <w:p w14:paraId="4017456A" w14:textId="77777777" w:rsidR="00274E13" w:rsidRPr="00274E13" w:rsidRDefault="00274E13" w:rsidP="00274E13">
      <w:pPr>
        <w:jc w:val="both"/>
        <w:rPr>
          <w:rFonts w:eastAsia="Calibri"/>
          <w:iCs/>
          <w:sz w:val="20"/>
          <w:szCs w:val="20"/>
          <w:lang w:eastAsia="en-US"/>
        </w:rPr>
      </w:pPr>
    </w:p>
    <w:p w14:paraId="57CED7FC" w14:textId="040DC52E"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3. gemäß § 7 die Gesamtdauer der Anwendung der vorliegenden Regelung auf den Steuerpflichtigen nicht mehr als fünf Jahre, gegebenenfalls verlängert um drei Jahre, ab der ersten Beschäftigung in Belgien beträgt.</w:t>
      </w:r>
    </w:p>
    <w:p w14:paraId="3540CEA4" w14:textId="77777777" w:rsidR="00274E13" w:rsidRPr="00274E13" w:rsidRDefault="00274E13" w:rsidP="00274E13">
      <w:pPr>
        <w:jc w:val="both"/>
        <w:rPr>
          <w:rFonts w:eastAsia="Calibri"/>
          <w:iCs/>
          <w:sz w:val="20"/>
          <w:szCs w:val="20"/>
          <w:lang w:eastAsia="en-US"/>
        </w:rPr>
      </w:pPr>
    </w:p>
    <w:p w14:paraId="1244393B" w14:textId="1F523314"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In dem in vorliegendem Paragraphen erwähnten Fall müssen die in § 3 Absatz 1 Nr. 2 erwähnte Bedingung in Bezug auf die Schwelle und der in § 5 Absatz 2 erwähnte Höchstbetrag im Verhältnis zu der Beschäftigung des Steuerpflichtigen bei den jeweiligen Arbeitgebern oder den jeweiligen Gesellschaften im Laufe des Jahres beurteilt werden.]</w:t>
      </w:r>
    </w:p>
    <w:p w14:paraId="5E544321" w14:textId="77777777" w:rsidR="00274E13" w:rsidRPr="00274E13" w:rsidRDefault="00274E13" w:rsidP="00274E13">
      <w:pPr>
        <w:jc w:val="both"/>
        <w:rPr>
          <w:rFonts w:eastAsia="Calibri"/>
          <w:iCs/>
          <w:sz w:val="20"/>
          <w:szCs w:val="20"/>
          <w:lang w:eastAsia="en-US"/>
        </w:rPr>
      </w:pPr>
    </w:p>
    <w:p w14:paraId="61A039C1" w14:textId="77777777"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 10 - Der Arbeitgeber oder die Gesellschaft vermerkt auf der in Artikel 57 erwähnten Karte folgende Angaben:</w:t>
      </w:r>
    </w:p>
    <w:p w14:paraId="5AD4891D" w14:textId="77777777" w:rsidR="00274E13" w:rsidRPr="00274E13" w:rsidRDefault="00274E13" w:rsidP="00274E13">
      <w:pPr>
        <w:jc w:val="both"/>
        <w:rPr>
          <w:rFonts w:eastAsia="Calibri"/>
          <w:iCs/>
          <w:sz w:val="20"/>
          <w:szCs w:val="20"/>
          <w:lang w:eastAsia="en-US"/>
        </w:rPr>
      </w:pPr>
    </w:p>
    <w:p w14:paraId="269CFBDF" w14:textId="77777777"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1. Betrag der Entlohnung wie in § 3 Absatz 2 bestimmt, die dem Steuerpflichtigen-Impatriate für diesen Besteuerungszeitraum gezahlt oder zuerkannt wurde,</w:t>
      </w:r>
    </w:p>
    <w:p w14:paraId="6F7767C9" w14:textId="77777777" w:rsidR="00274E13" w:rsidRPr="00274E13" w:rsidRDefault="00274E13" w:rsidP="00274E13">
      <w:pPr>
        <w:jc w:val="both"/>
        <w:rPr>
          <w:rFonts w:eastAsia="Calibri"/>
          <w:iCs/>
          <w:sz w:val="20"/>
          <w:szCs w:val="20"/>
          <w:lang w:eastAsia="en-US"/>
        </w:rPr>
      </w:pPr>
    </w:p>
    <w:p w14:paraId="52D578B0" w14:textId="77777777"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2. Betrag, der in Anwendung von § 5 als eine Erstattung eigener Ausgaben des Arbeitgebers gilt,</w:t>
      </w:r>
    </w:p>
    <w:p w14:paraId="6283DCB7" w14:textId="77777777" w:rsidR="00274E13" w:rsidRPr="00274E13" w:rsidRDefault="00274E13" w:rsidP="00274E13">
      <w:pPr>
        <w:jc w:val="both"/>
        <w:rPr>
          <w:rFonts w:eastAsia="Calibri"/>
          <w:iCs/>
          <w:sz w:val="20"/>
          <w:szCs w:val="20"/>
          <w:lang w:eastAsia="en-US"/>
        </w:rPr>
      </w:pPr>
    </w:p>
    <w:p w14:paraId="77B73E15" w14:textId="77777777" w:rsidR="00274E13" w:rsidRPr="00274E13" w:rsidRDefault="00274E13" w:rsidP="00274E13">
      <w:pPr>
        <w:jc w:val="both"/>
        <w:rPr>
          <w:rFonts w:eastAsia="Calibri"/>
          <w:iCs/>
          <w:sz w:val="20"/>
          <w:szCs w:val="20"/>
          <w:lang w:eastAsia="en-US"/>
        </w:rPr>
      </w:pPr>
      <w:r w:rsidRPr="00274E13">
        <w:rPr>
          <w:rFonts w:eastAsia="Calibri"/>
          <w:iCs/>
          <w:sz w:val="20"/>
          <w:szCs w:val="20"/>
          <w:lang w:eastAsia="en-US"/>
        </w:rPr>
        <w:t>3. Betrag, der in Anwendung von § 6 als eine Erstattung eigener Ausgaben des Arbeitgebers gilt.]</w:t>
      </w:r>
    </w:p>
    <w:p w14:paraId="4BD59128" w14:textId="77777777" w:rsidR="00274E13" w:rsidRPr="00274E13" w:rsidRDefault="00274E13" w:rsidP="00274E13">
      <w:pPr>
        <w:jc w:val="both"/>
        <w:rPr>
          <w:rFonts w:eastAsia="Calibri"/>
          <w:iCs/>
          <w:sz w:val="20"/>
          <w:szCs w:val="20"/>
          <w:lang w:eastAsia="en-US"/>
        </w:rPr>
      </w:pPr>
    </w:p>
    <w:p w14:paraId="5B2E8A2A" w14:textId="6CEFF529" w:rsidR="00274E13" w:rsidRPr="00274E13" w:rsidRDefault="00274E13" w:rsidP="00274E13">
      <w:pPr>
        <w:jc w:val="both"/>
        <w:rPr>
          <w:rFonts w:eastAsia="Calibri"/>
          <w:sz w:val="20"/>
          <w:szCs w:val="20"/>
          <w:lang w:eastAsia="en-US"/>
        </w:rPr>
      </w:pPr>
      <w:r w:rsidRPr="00274E13">
        <w:rPr>
          <w:rFonts w:eastAsia="Calibri"/>
          <w:i/>
          <w:iCs/>
          <w:sz w:val="20"/>
          <w:szCs w:val="20"/>
          <w:lang w:eastAsia="en-US"/>
        </w:rPr>
        <w:t xml:space="preserve">[Art. 32/1 eingefügt durch Art. 13 des G. vom 27. Dezember 2021 (B.S. vom 31. Dezember 2021) - in Kraft am 1. Januar 2022 und anwendbar auf die in Betracht kommenden Steuerpflichtigen-Impatriates und Forscher-Impatriates, deren Arbeitsantritt in Belgien ab dem 1. Januar 2022 erfolgt -; § 2 Abs. 1 Nr. 1 abgeändert durch Art. 3 Nr. 1 des G. vom 21. Dezember 2022 (II) (B.S. vom 29. Dezember 2022) - wirksam mit 1. Januar 2022 -; § 2 Abs. 1 Nr. 2 abgeändert durch Art. 3 Nr. 2 des G. vom 21. Dezember 2022 (II) (B.S. vom 29. Dezember 2022) - wirksam mit 1. Januar 2022 -; § 3 Abs. 1 Nr. 2 ersetzt durch Art. 3 Nr. 3 des G. vom 21. Dezember 2022 (II) (B.S. vom 29. Dezember 2022) - wirksam mit 1. Januar 2022 -; § 3 Abs. 2 abgeändert durch Art. 5 Nr. 3 des G. vom 5. Juli 2022 (B.S. vom 15. Juli 2022) - wirksam mit 1. Januar 2022 -; § 3 Abs. 7 aufgehoben durch Art. 45 Nr. 1 des G. vom 28. Dezember 2023 (B.S. vom 29. Dezember 2023) - wirksam mit 1. Januar 2023 und anwendbar auf die ab diesem Datum gezahlten oder zuerkannten Entlohnungen -; § 8 Abs. 1 </w:t>
      </w:r>
      <w:r>
        <w:rPr>
          <w:rFonts w:eastAsia="Calibri"/>
          <w:i/>
          <w:iCs/>
          <w:sz w:val="20"/>
          <w:szCs w:val="20"/>
          <w:lang w:eastAsia="en-US"/>
        </w:rPr>
        <w:t>und</w:t>
      </w:r>
      <w:r w:rsidRPr="00274E13">
        <w:rPr>
          <w:rFonts w:eastAsia="Calibri"/>
          <w:i/>
          <w:iCs/>
          <w:sz w:val="20"/>
          <w:szCs w:val="20"/>
          <w:lang w:eastAsia="en-US"/>
        </w:rPr>
        <w:t xml:space="preserve"> 2 </w:t>
      </w:r>
      <w:r>
        <w:rPr>
          <w:rFonts w:eastAsia="Calibri"/>
          <w:i/>
          <w:iCs/>
          <w:sz w:val="20"/>
          <w:szCs w:val="20"/>
          <w:lang w:eastAsia="en-US"/>
        </w:rPr>
        <w:t>ersetzt durch Art. 3</w:t>
      </w:r>
      <w:r w:rsidRPr="00274E13">
        <w:rPr>
          <w:rFonts w:eastAsia="Calibri"/>
          <w:i/>
          <w:iCs/>
          <w:sz w:val="20"/>
          <w:szCs w:val="20"/>
          <w:lang w:eastAsia="en-US"/>
        </w:rPr>
        <w:t xml:space="preserve"> des G. vom 12. Mai 2024 (B.S. vom 30. Mai 2024) - </w:t>
      </w:r>
      <w:r w:rsidR="00A54224">
        <w:rPr>
          <w:rFonts w:eastAsia="Calibri"/>
          <w:i/>
          <w:iCs/>
          <w:sz w:val="20"/>
          <w:szCs w:val="20"/>
          <w:lang w:eastAsia="en-US"/>
        </w:rPr>
        <w:t xml:space="preserve">in Kraft für alle oder bestimmte Kategorien von Inhabern einer Unternehmensnummer sowie für natürliche Personen an dem jeweils vom König festzulegenden Datum und spätestens am </w:t>
      </w:r>
      <w:r w:rsidR="00CC23FF">
        <w:rPr>
          <w:rFonts w:eastAsia="Calibri"/>
          <w:i/>
          <w:iCs/>
          <w:sz w:val="20"/>
          <w:szCs w:val="20"/>
          <w:lang w:eastAsia="en-US"/>
        </w:rPr>
        <w:t>1. Januar 2028 </w:t>
      </w:r>
      <w:r w:rsidRPr="00274E13">
        <w:rPr>
          <w:rFonts w:eastAsia="Calibri"/>
          <w:i/>
          <w:iCs/>
          <w:sz w:val="20"/>
          <w:szCs w:val="20"/>
          <w:lang w:eastAsia="en-US"/>
        </w:rPr>
        <w:t>-; § 10 eingefügt durch Art. 45 Nr. 2 des G. vom 28. Dezember 2023 (B.S. vom 29. Dezember 2023) - wirksam mit 1. Januar 2023 und anwendbar auf die ab diesem Datum gezahlten oder zuerkannten Entlohnungen -]</w:t>
      </w:r>
      <w:r>
        <w:rPr>
          <w:rFonts w:eastAsia="Calibri"/>
          <w:sz w:val="20"/>
          <w:szCs w:val="20"/>
          <w:lang w:eastAsia="en-US"/>
        </w:rPr>
        <w:t>"</w:t>
      </w:r>
    </w:p>
    <w:p w14:paraId="5707CF16" w14:textId="237756E9" w:rsidR="00274E13" w:rsidRPr="00274E13" w:rsidRDefault="00274E13" w:rsidP="00274E13">
      <w:pPr>
        <w:jc w:val="both"/>
        <w:rPr>
          <w:rFonts w:eastAsia="Calibri"/>
          <w:iCs/>
          <w:lang w:eastAsia="en-US"/>
        </w:rPr>
      </w:pPr>
    </w:p>
    <w:p w14:paraId="5689252E" w14:textId="77777777" w:rsidR="00274E13" w:rsidRPr="00274E13" w:rsidRDefault="00274E13" w:rsidP="00AD25AD">
      <w:pPr>
        <w:jc w:val="both"/>
        <w:rPr>
          <w:rFonts w:eastAsia="Calibri"/>
          <w:lang w:eastAsia="en-US"/>
        </w:rPr>
      </w:pPr>
    </w:p>
    <w:p w14:paraId="55DC0D3A" w14:textId="7C39C915" w:rsidR="00AD25AD" w:rsidRPr="009118AB" w:rsidRDefault="00AD25AD" w:rsidP="00AD25AD">
      <w:pPr>
        <w:jc w:val="both"/>
        <w:rPr>
          <w:rFonts w:eastAsia="Calibri"/>
          <w:lang w:eastAsia="en-US"/>
        </w:rPr>
      </w:pPr>
      <w:r w:rsidRPr="009118AB">
        <w:rPr>
          <w:rFonts w:eastAsia="Calibri"/>
          <w:szCs w:val="22"/>
          <w:lang w:eastAsia="en-US"/>
        </w:rPr>
        <w:tab/>
        <w:t>[</w:t>
      </w:r>
      <w:r w:rsidR="00D67EB8" w:rsidRPr="009118AB">
        <w:rPr>
          <w:rFonts w:eastAsia="Calibri"/>
          <w:b/>
          <w:bCs/>
          <w:szCs w:val="22"/>
          <w:lang w:eastAsia="en-US"/>
        </w:rPr>
        <w:t>Art. </w:t>
      </w:r>
      <w:r w:rsidRPr="009118AB">
        <w:rPr>
          <w:rFonts w:eastAsia="Calibri"/>
          <w:b/>
          <w:bCs/>
          <w:szCs w:val="22"/>
          <w:lang w:eastAsia="en-US"/>
        </w:rPr>
        <w:t>32/2</w:t>
      </w:r>
      <w:r w:rsidR="00D67EB8" w:rsidRPr="009118AB">
        <w:rPr>
          <w:rFonts w:eastAsia="Calibri"/>
          <w:szCs w:val="22"/>
          <w:lang w:eastAsia="en-US"/>
        </w:rPr>
        <w:t> - § </w:t>
      </w:r>
      <w:r w:rsidRPr="009118AB">
        <w:rPr>
          <w:rFonts w:eastAsia="Calibri"/>
          <w:szCs w:val="22"/>
          <w:lang w:eastAsia="en-US"/>
        </w:rPr>
        <w:t xml:space="preserve">1 ­ In Bezug auf Forscher-Impatriates, die in Artikel 30 </w:t>
      </w:r>
      <w:r w:rsidR="00D67EB8" w:rsidRPr="009118AB">
        <w:rPr>
          <w:rFonts w:eastAsia="Calibri"/>
          <w:szCs w:val="22"/>
          <w:lang w:eastAsia="en-US"/>
        </w:rPr>
        <w:t>Nr. </w:t>
      </w:r>
      <w:r w:rsidRPr="009118AB">
        <w:rPr>
          <w:rFonts w:eastAsia="Calibri"/>
          <w:szCs w:val="22"/>
          <w:lang w:eastAsia="en-US"/>
        </w:rPr>
        <w:t>1 erwähnte Entlohnungen beziehen, gilt die Übernahme bestimmter Kosten durch den Arbeitgeber als eine Erstattung eigener Ausgaben des Arbeitgebers unter den Bedingungen und in den Grenzen, die in vorliegendem Artikel vorgesehen sind.</w:t>
      </w:r>
    </w:p>
    <w:p w14:paraId="75F4578A" w14:textId="77777777" w:rsidR="00AD25AD" w:rsidRPr="009118AB" w:rsidRDefault="00AD25AD" w:rsidP="00AD25AD">
      <w:pPr>
        <w:jc w:val="both"/>
        <w:rPr>
          <w:rFonts w:eastAsia="Calibri"/>
          <w:lang w:eastAsia="en-US"/>
        </w:rPr>
      </w:pPr>
    </w:p>
    <w:p w14:paraId="39CF316F" w14:textId="003D7FCE"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2</w:t>
      </w:r>
      <w:r w:rsidR="00D67EB8" w:rsidRPr="009118AB">
        <w:rPr>
          <w:rFonts w:eastAsia="Calibri"/>
          <w:szCs w:val="22"/>
          <w:lang w:eastAsia="en-US"/>
        </w:rPr>
        <w:t> - </w:t>
      </w:r>
      <w:r w:rsidRPr="009118AB">
        <w:rPr>
          <w:rFonts w:eastAsia="Calibri"/>
          <w:szCs w:val="22"/>
          <w:lang w:eastAsia="en-US"/>
        </w:rPr>
        <w:t>Für die Anwendung des vorliegenden Artikels versteht man unter "Forscher-Impatriate":</w:t>
      </w:r>
    </w:p>
    <w:p w14:paraId="5CA8432B" w14:textId="77777777" w:rsidR="00AD25AD" w:rsidRPr="009118AB" w:rsidRDefault="00AD25AD" w:rsidP="00AD25AD">
      <w:pPr>
        <w:jc w:val="both"/>
        <w:rPr>
          <w:rFonts w:eastAsia="Calibri"/>
          <w:lang w:eastAsia="en-US"/>
        </w:rPr>
      </w:pPr>
    </w:p>
    <w:p w14:paraId="3E25AC47" w14:textId="5354E189" w:rsidR="00AD25AD" w:rsidRPr="009118AB" w:rsidRDefault="00AD25AD" w:rsidP="00AD25AD">
      <w:pPr>
        <w:jc w:val="both"/>
        <w:rPr>
          <w:rFonts w:eastAsia="Calibri"/>
          <w:lang w:eastAsia="en-US"/>
        </w:rPr>
      </w:pPr>
      <w:r w:rsidRPr="009118AB">
        <w:rPr>
          <w:rFonts w:eastAsia="Calibri"/>
          <w:szCs w:val="22"/>
          <w:lang w:eastAsia="en-US"/>
        </w:rPr>
        <w:tab/>
        <w:t xml:space="preserve">1. einen Forscher, </w:t>
      </w:r>
      <w:r w:rsidR="003531A9" w:rsidRPr="009118AB">
        <w:rPr>
          <w:rFonts w:eastAsia="Calibri"/>
          <w:szCs w:val="22"/>
          <w:lang w:eastAsia="en-US"/>
        </w:rPr>
        <w:t>[</w:t>
      </w:r>
      <w:r w:rsidR="003531A9" w:rsidRPr="009118AB">
        <w:t>den ein Unternehmen oder eine Niederlassung eines Unternehmens, das/die in der Zentralen Datenbank der Unternehmen eingetragen ist, direkt im Ausland anwirbt, damit er in diesem Unternehmen beziehungsweise dieser Niederlassung</w:t>
      </w:r>
      <w:r w:rsidR="003531A9" w:rsidRPr="009118AB">
        <w:rPr>
          <w:rFonts w:eastAsia="Calibri"/>
          <w:szCs w:val="22"/>
          <w:lang w:eastAsia="en-US"/>
        </w:rPr>
        <w:t>]</w:t>
      </w:r>
      <w:r w:rsidRPr="009118AB">
        <w:rPr>
          <w:rFonts w:eastAsia="Calibri"/>
          <w:szCs w:val="22"/>
          <w:lang w:eastAsia="en-US"/>
        </w:rPr>
        <w:t xml:space="preserve"> eine in Belgien steuerpflichtige entlohnte Tätigkeit ausübt,</w:t>
      </w:r>
    </w:p>
    <w:p w14:paraId="464EE999" w14:textId="77777777" w:rsidR="00AD25AD" w:rsidRPr="009118AB" w:rsidRDefault="00AD25AD" w:rsidP="00AD25AD">
      <w:pPr>
        <w:jc w:val="both"/>
        <w:rPr>
          <w:rFonts w:eastAsia="Calibri"/>
          <w:lang w:eastAsia="en-US"/>
        </w:rPr>
      </w:pPr>
    </w:p>
    <w:p w14:paraId="5C646933" w14:textId="4616ECEE" w:rsidR="00AD25AD" w:rsidRPr="009118AB" w:rsidRDefault="00AD25AD" w:rsidP="00AD25AD">
      <w:pPr>
        <w:jc w:val="both"/>
        <w:rPr>
          <w:rFonts w:eastAsia="Calibri"/>
          <w:lang w:eastAsia="en-US"/>
        </w:rPr>
      </w:pPr>
      <w:r w:rsidRPr="009118AB">
        <w:rPr>
          <w:rFonts w:eastAsia="Calibri"/>
          <w:szCs w:val="22"/>
          <w:lang w:eastAsia="en-US"/>
        </w:rPr>
        <w:lastRenderedPageBreak/>
        <w:tab/>
        <w:t xml:space="preserve">2. einen Forscher, den ein ausländisches Unternehmen, das Teil einer multinationalen Gruppe ist, einer oder mehreren inländischen Gesellschaften, </w:t>
      </w:r>
      <w:r w:rsidR="003531A9" w:rsidRPr="009118AB">
        <w:rPr>
          <w:rFonts w:eastAsia="Calibri"/>
          <w:szCs w:val="22"/>
          <w:lang w:eastAsia="en-US"/>
        </w:rPr>
        <w:t>[</w:t>
      </w:r>
      <w:r w:rsidR="003531A9" w:rsidRPr="009118AB">
        <w:t>einem oder mehreren Unternehmen oder einer oder mehreren Niederlassungen eines Unternehmens, die in der Zentralen Datenbank der Unternehmen eingetragen sind,</w:t>
      </w:r>
      <w:r w:rsidR="003531A9" w:rsidRPr="009118AB">
        <w:rPr>
          <w:rFonts w:eastAsia="Calibri"/>
          <w:szCs w:val="22"/>
          <w:lang w:eastAsia="en-US"/>
        </w:rPr>
        <w:t>]</w:t>
      </w:r>
      <w:r w:rsidRPr="009118AB">
        <w:rPr>
          <w:rFonts w:eastAsia="Calibri"/>
          <w:szCs w:val="22"/>
          <w:lang w:eastAsia="en-US"/>
        </w:rPr>
        <w:t xml:space="preserve"> zur Verfügung stellt, damit er eine in Belgien steuerpflichtige entlohnte Tätigkeit ausübt.</w:t>
      </w:r>
    </w:p>
    <w:p w14:paraId="1324A278" w14:textId="77777777" w:rsidR="00AD25AD" w:rsidRPr="009118AB" w:rsidRDefault="00AD25AD" w:rsidP="00AD25AD">
      <w:pPr>
        <w:jc w:val="both"/>
        <w:rPr>
          <w:rFonts w:eastAsia="Calibri"/>
          <w:lang w:eastAsia="en-US"/>
        </w:rPr>
      </w:pPr>
    </w:p>
    <w:p w14:paraId="7F79A05E" w14:textId="5BEA49B3" w:rsidR="00AD25AD" w:rsidRPr="009118AB" w:rsidRDefault="00AD25AD" w:rsidP="00AD25AD">
      <w:pPr>
        <w:jc w:val="both"/>
        <w:rPr>
          <w:rFonts w:eastAsia="Calibri"/>
          <w:lang w:eastAsia="en-US"/>
        </w:rPr>
      </w:pPr>
      <w:r w:rsidRPr="009118AB">
        <w:rPr>
          <w:rFonts w:eastAsia="Calibri"/>
          <w:szCs w:val="22"/>
          <w:lang w:eastAsia="en-US"/>
        </w:rPr>
        <w:tab/>
        <w:t>Für die Anwendung des vorliegenden Artikels versteht man unter "multinationaler Gruppe" eine Gruppe, die zwei oder mehr Unternehmen umfasst, deren steuerliche Ansässigkeit in unterschiedlichen Staaten beziehungsweise Steuerhoheitsgebieten</w:t>
      </w:r>
      <w:r w:rsidR="00D67EB8" w:rsidRPr="009118AB">
        <w:rPr>
          <w:rFonts w:eastAsia="Calibri"/>
          <w:szCs w:val="22"/>
          <w:lang w:eastAsia="en-US"/>
        </w:rPr>
        <w:t> - </w:t>
      </w:r>
      <w:r w:rsidRPr="009118AB">
        <w:rPr>
          <w:rFonts w:eastAsia="Calibri"/>
          <w:szCs w:val="22"/>
          <w:lang w:eastAsia="en-US"/>
        </w:rPr>
        <w:t>nachfolgend "Staat(en)" genannt</w:t>
      </w:r>
      <w:r w:rsidR="00D67EB8" w:rsidRPr="009118AB">
        <w:rPr>
          <w:rFonts w:eastAsia="Calibri"/>
          <w:szCs w:val="22"/>
          <w:lang w:eastAsia="en-US"/>
        </w:rPr>
        <w:t> - </w:t>
      </w:r>
      <w:r w:rsidRPr="009118AB">
        <w:rPr>
          <w:rFonts w:eastAsia="Calibri"/>
          <w:szCs w:val="22"/>
          <w:lang w:eastAsia="en-US"/>
        </w:rPr>
        <w:t>liegt, oder die ein Unternehmen umfasst, das in einem Staat steuerlich ansässig ist und in einem anderen Staat mit der durch eine belgische oder ausländische Niederlassung ausgeübten Geschäftstätigkeit steuerpflichtig ist.</w:t>
      </w:r>
    </w:p>
    <w:p w14:paraId="780A40FD" w14:textId="77777777" w:rsidR="00AD25AD" w:rsidRPr="009118AB" w:rsidRDefault="00AD25AD" w:rsidP="00AD25AD">
      <w:pPr>
        <w:jc w:val="both"/>
        <w:rPr>
          <w:rFonts w:eastAsia="Calibri"/>
          <w:lang w:eastAsia="en-US"/>
        </w:rPr>
      </w:pPr>
    </w:p>
    <w:p w14:paraId="3C6C1A14" w14:textId="77777777" w:rsidR="00AD25AD" w:rsidRPr="009118AB" w:rsidRDefault="00AD25AD" w:rsidP="00AD25AD">
      <w:pPr>
        <w:jc w:val="both"/>
        <w:rPr>
          <w:rFonts w:eastAsia="Calibri"/>
          <w:lang w:eastAsia="en-US"/>
        </w:rPr>
      </w:pPr>
      <w:r w:rsidRPr="009118AB">
        <w:rPr>
          <w:rFonts w:eastAsia="Calibri"/>
          <w:szCs w:val="22"/>
          <w:lang w:eastAsia="en-US"/>
        </w:rPr>
        <w:tab/>
        <w:t>Für die Anwendung des vorliegenden Artikels versteht man unter "Forscher" einen Lohnempfänger, der:</w:t>
      </w:r>
    </w:p>
    <w:p w14:paraId="1A3147F6" w14:textId="77777777" w:rsidR="00AD25AD" w:rsidRPr="009118AB" w:rsidRDefault="00AD25AD" w:rsidP="00AD25AD">
      <w:pPr>
        <w:jc w:val="both"/>
        <w:rPr>
          <w:rFonts w:eastAsia="Calibri"/>
          <w:lang w:eastAsia="en-US"/>
        </w:rPr>
      </w:pPr>
    </w:p>
    <w:p w14:paraId="6FA261E9" w14:textId="23DE0623" w:rsidR="00AD25AD" w:rsidRPr="009118AB" w:rsidRDefault="00AD25AD" w:rsidP="00AD25AD">
      <w:pPr>
        <w:jc w:val="both"/>
        <w:rPr>
          <w:rFonts w:eastAsia="Calibri"/>
          <w:lang w:eastAsia="en-US"/>
        </w:rPr>
      </w:pPr>
      <w:r w:rsidRPr="009118AB">
        <w:rPr>
          <w:rFonts w:eastAsia="Calibri"/>
          <w:szCs w:val="22"/>
          <w:lang w:eastAsia="en-US"/>
        </w:rPr>
        <w:tab/>
        <w:t xml:space="preserve">1. allein oder im Team ausschließlich oder hauptsächlich Tätigkeiten im Bereich der wissenschaftlichen Forschung, der Grundlagenforschung, der industriellen Forschung oder der technischen Forschung </w:t>
      </w:r>
      <w:r w:rsidR="003531A9" w:rsidRPr="009118AB">
        <w:rPr>
          <w:rFonts w:eastAsia="Calibri"/>
          <w:szCs w:val="22"/>
          <w:lang w:eastAsia="en-US"/>
        </w:rPr>
        <w:t>[</w:t>
      </w:r>
      <w:r w:rsidR="003531A9" w:rsidRPr="009118AB">
        <w:t>ausübt in einem Labor oder einem Teilbetrieb wie in Artikel 12:11 des Gesetzbuches der Gesellschaften und Vereinigungen erwähnt eines Unternehmens wie in Absatz 1 Nr. 1 und 2 des vorliegenden Paragraphen erwähnt, das hauptsächlich</w:t>
      </w:r>
      <w:r w:rsidR="003531A9" w:rsidRPr="009118AB">
        <w:rPr>
          <w:rFonts w:eastAsia="Calibri"/>
          <w:szCs w:val="22"/>
          <w:lang w:eastAsia="en-US"/>
        </w:rPr>
        <w:t>]</w:t>
      </w:r>
      <w:r w:rsidRPr="009118AB">
        <w:rPr>
          <w:rFonts w:eastAsia="Calibri"/>
          <w:szCs w:val="22"/>
          <w:lang w:eastAsia="en-US"/>
        </w:rPr>
        <w:t xml:space="preserve"> ein oder mehrere Forschungs- und Entwicklungsprogramme umsetzt,</w:t>
      </w:r>
    </w:p>
    <w:p w14:paraId="439314AA" w14:textId="77777777" w:rsidR="00AD25AD" w:rsidRPr="009118AB" w:rsidRDefault="00AD25AD" w:rsidP="00AD25AD">
      <w:pPr>
        <w:jc w:val="both"/>
        <w:rPr>
          <w:rFonts w:eastAsia="Calibri"/>
          <w:lang w:eastAsia="en-US"/>
        </w:rPr>
      </w:pPr>
    </w:p>
    <w:p w14:paraId="7C8CA2AF" w14:textId="77777777" w:rsidR="00AD25AD" w:rsidRPr="009118AB" w:rsidRDefault="00AD25AD" w:rsidP="00AD25AD">
      <w:pPr>
        <w:jc w:val="both"/>
        <w:rPr>
          <w:rFonts w:eastAsia="Calibri"/>
          <w:lang w:eastAsia="en-US"/>
        </w:rPr>
      </w:pPr>
      <w:r w:rsidRPr="009118AB">
        <w:rPr>
          <w:rFonts w:eastAsia="Calibri"/>
          <w:szCs w:val="22"/>
          <w:lang w:eastAsia="en-US"/>
        </w:rPr>
        <w:tab/>
        <w:t>und der</w:t>
      </w:r>
    </w:p>
    <w:p w14:paraId="3A4A071D" w14:textId="77777777" w:rsidR="00AD25AD" w:rsidRPr="009118AB" w:rsidRDefault="00AD25AD" w:rsidP="00AD25AD">
      <w:pPr>
        <w:jc w:val="both"/>
        <w:rPr>
          <w:rFonts w:eastAsia="Calibri"/>
          <w:lang w:eastAsia="en-US"/>
        </w:rPr>
      </w:pPr>
    </w:p>
    <w:p w14:paraId="44FFC0F9" w14:textId="77777777" w:rsidR="00AD25AD" w:rsidRPr="009118AB" w:rsidRDefault="00AD25AD" w:rsidP="00AD25AD">
      <w:pPr>
        <w:jc w:val="both"/>
        <w:rPr>
          <w:rFonts w:eastAsia="Calibri"/>
          <w:lang w:eastAsia="en-US"/>
        </w:rPr>
      </w:pPr>
      <w:r w:rsidRPr="009118AB">
        <w:rPr>
          <w:rFonts w:eastAsia="Calibri"/>
          <w:szCs w:val="22"/>
          <w:lang w:eastAsia="en-US"/>
        </w:rPr>
        <w:tab/>
        <w:t>2. ein in Absatz 5 erwähntes Diplom besitzt oder eine einschlägige Berufserfahrung von mindestens zehn Jahren nachweisen kann.</w:t>
      </w:r>
    </w:p>
    <w:p w14:paraId="229AD757" w14:textId="77777777" w:rsidR="00AD25AD" w:rsidRPr="009118AB" w:rsidRDefault="00AD25AD" w:rsidP="00AD25AD">
      <w:pPr>
        <w:jc w:val="both"/>
        <w:rPr>
          <w:rFonts w:eastAsia="Calibri"/>
          <w:lang w:eastAsia="en-US"/>
        </w:rPr>
      </w:pPr>
    </w:p>
    <w:p w14:paraId="2943F801" w14:textId="77777777" w:rsidR="00AD25AD" w:rsidRPr="009118AB" w:rsidRDefault="00AD25AD" w:rsidP="00AD25AD">
      <w:pPr>
        <w:jc w:val="both"/>
        <w:rPr>
          <w:rFonts w:eastAsia="Calibri"/>
          <w:lang w:eastAsia="en-US"/>
        </w:rPr>
      </w:pPr>
      <w:r w:rsidRPr="009118AB">
        <w:rPr>
          <w:rFonts w:eastAsia="Calibri"/>
          <w:szCs w:val="22"/>
          <w:lang w:eastAsia="en-US"/>
        </w:rPr>
        <w:tab/>
        <w:t>In diesem Fall versteht man unter einer ausschließlichen oder hauptsächlichen Tätigkeit eine Beschäftigung von mindestens 80 Prozent der Arbeitszeit.</w:t>
      </w:r>
    </w:p>
    <w:p w14:paraId="2F8DF836" w14:textId="77777777" w:rsidR="00AD25AD" w:rsidRPr="009118AB" w:rsidRDefault="00AD25AD" w:rsidP="00AD25AD">
      <w:pPr>
        <w:jc w:val="both"/>
        <w:rPr>
          <w:rFonts w:eastAsia="Calibri"/>
          <w:lang w:eastAsia="en-US"/>
        </w:rPr>
      </w:pPr>
    </w:p>
    <w:p w14:paraId="7477EBC8" w14:textId="4A7999D7" w:rsidR="00AD25AD" w:rsidRPr="009118AB" w:rsidRDefault="00AD25AD" w:rsidP="00AD25AD">
      <w:pPr>
        <w:jc w:val="both"/>
        <w:rPr>
          <w:rFonts w:eastAsia="Calibri"/>
          <w:lang w:eastAsia="en-US"/>
        </w:rPr>
      </w:pPr>
      <w:r w:rsidRPr="009118AB">
        <w:rPr>
          <w:rFonts w:eastAsia="Calibri"/>
          <w:szCs w:val="22"/>
          <w:lang w:eastAsia="en-US"/>
        </w:rPr>
        <w:tab/>
        <w:t xml:space="preserve">Das in Absatz 3 </w:t>
      </w:r>
      <w:r w:rsidR="00D67EB8" w:rsidRPr="009118AB">
        <w:rPr>
          <w:rFonts w:eastAsia="Calibri"/>
          <w:szCs w:val="22"/>
          <w:lang w:eastAsia="en-US"/>
        </w:rPr>
        <w:t>Nr. </w:t>
      </w:r>
      <w:r w:rsidRPr="009118AB">
        <w:rPr>
          <w:rFonts w:eastAsia="Calibri"/>
          <w:szCs w:val="22"/>
          <w:lang w:eastAsia="en-US"/>
        </w:rPr>
        <w:t xml:space="preserve">2 erwähnte Diplom ist ein Diplom eines Doktors oder ein Masterdiplom in den Studienbereichen exakte oder angewandte </w:t>
      </w:r>
      <w:r w:rsidR="00DB3894" w:rsidRPr="009118AB">
        <w:rPr>
          <w:rFonts w:eastAsia="Calibri"/>
          <w:szCs w:val="22"/>
          <w:lang w:eastAsia="en-US"/>
        </w:rPr>
        <w:t>[</w:t>
      </w:r>
      <w:r w:rsidR="00DB3894" w:rsidRPr="009118AB">
        <w:rPr>
          <w:rFonts w:eastAsia="Calibri"/>
          <w:kern w:val="2"/>
          <w:szCs w:val="22"/>
          <w:lang w:eastAsia="en-US"/>
          <w14:ligatures w14:val="standardContextual"/>
        </w:rPr>
        <w:t>technische</w:t>
      </w:r>
      <w:r w:rsidR="00DB3894" w:rsidRPr="009118AB">
        <w:rPr>
          <w:rFonts w:eastAsia="Calibri"/>
          <w:szCs w:val="22"/>
          <w:lang w:eastAsia="en-US"/>
        </w:rPr>
        <w:t xml:space="preserve">] </w:t>
      </w:r>
      <w:r w:rsidRPr="009118AB">
        <w:rPr>
          <w:rFonts w:eastAsia="Calibri"/>
          <w:szCs w:val="22"/>
          <w:lang w:eastAsia="en-US"/>
        </w:rPr>
        <w:t>Wissenschaften, zivile Ingenieurwissenschaften, Medizinwissenschaften, Veterinärmedizin, pharmazeutische Wissenschaften, Architektur oder Agrarwissenschaften.</w:t>
      </w:r>
    </w:p>
    <w:p w14:paraId="379D5264" w14:textId="77777777" w:rsidR="00AD25AD" w:rsidRPr="009118AB" w:rsidRDefault="00AD25AD" w:rsidP="00AD25AD">
      <w:pPr>
        <w:jc w:val="both"/>
        <w:rPr>
          <w:rFonts w:eastAsia="Calibri"/>
          <w:lang w:eastAsia="en-US"/>
        </w:rPr>
      </w:pPr>
    </w:p>
    <w:p w14:paraId="296E8E30" w14:textId="7850A84A"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3</w:t>
      </w:r>
      <w:r w:rsidR="00D67EB8" w:rsidRPr="009118AB">
        <w:rPr>
          <w:rFonts w:eastAsia="Calibri"/>
          <w:szCs w:val="22"/>
          <w:lang w:eastAsia="en-US"/>
        </w:rPr>
        <w:t> - </w:t>
      </w:r>
      <w:r w:rsidRPr="009118AB">
        <w:rPr>
          <w:rFonts w:eastAsia="Calibri"/>
          <w:szCs w:val="22"/>
          <w:lang w:eastAsia="en-US"/>
        </w:rPr>
        <w:t xml:space="preserve">Folgende kumulative Bedingungen müssen außerdem seitens des in </w:t>
      </w:r>
      <w:r w:rsidR="00D67EB8" w:rsidRPr="009118AB">
        <w:rPr>
          <w:rFonts w:eastAsia="Calibri"/>
          <w:szCs w:val="22"/>
          <w:lang w:eastAsia="en-US"/>
        </w:rPr>
        <w:t>§ </w:t>
      </w:r>
      <w:r w:rsidRPr="009118AB">
        <w:rPr>
          <w:rFonts w:eastAsia="Calibri"/>
          <w:szCs w:val="22"/>
          <w:lang w:eastAsia="en-US"/>
        </w:rPr>
        <w:t>2 erwähnten Forscher-Impatriates erfüllt sein:</w:t>
      </w:r>
    </w:p>
    <w:p w14:paraId="11518256" w14:textId="77777777" w:rsidR="00AD25AD" w:rsidRPr="009118AB" w:rsidRDefault="00AD25AD" w:rsidP="00AD25AD">
      <w:pPr>
        <w:jc w:val="both"/>
        <w:rPr>
          <w:rFonts w:eastAsia="Calibri"/>
          <w:lang w:eastAsia="en-US"/>
        </w:rPr>
      </w:pPr>
    </w:p>
    <w:p w14:paraId="7F01C7DF" w14:textId="77777777" w:rsidR="00AD25AD" w:rsidRPr="009118AB" w:rsidRDefault="00AD25AD" w:rsidP="00AD25AD">
      <w:pPr>
        <w:jc w:val="both"/>
        <w:rPr>
          <w:rFonts w:eastAsia="Calibri"/>
          <w:lang w:eastAsia="en-US"/>
        </w:rPr>
      </w:pPr>
      <w:r w:rsidRPr="009118AB">
        <w:rPr>
          <w:rFonts w:eastAsia="Calibri"/>
          <w:szCs w:val="22"/>
          <w:lang w:eastAsia="en-US"/>
        </w:rPr>
        <w:tab/>
        <w:t>1. Im Laufe der sechzig Monate vor seinem Arbeitsantritt in Belgien war er nicht Einwohner des Königreichs, hat er nicht in einer Entfernung von weniger als 150 Kilometern von der Grenze gewohnt und unterlag er nicht der Steuer der Gebietsfremden für Berufseinkünfte in Belgien.</w:t>
      </w:r>
    </w:p>
    <w:p w14:paraId="025DC3C8" w14:textId="77777777" w:rsidR="00AD25AD" w:rsidRPr="009118AB" w:rsidRDefault="00AD25AD" w:rsidP="00AD25AD">
      <w:pPr>
        <w:jc w:val="both"/>
        <w:rPr>
          <w:rFonts w:eastAsia="Calibri"/>
          <w:lang w:eastAsia="en-US"/>
        </w:rPr>
      </w:pPr>
    </w:p>
    <w:p w14:paraId="622C763E" w14:textId="09D3ABE1" w:rsidR="00AD25AD" w:rsidRPr="009118AB" w:rsidRDefault="00AD25AD" w:rsidP="00AD25AD">
      <w:pPr>
        <w:jc w:val="both"/>
        <w:rPr>
          <w:rFonts w:eastAsia="Calibri"/>
          <w:lang w:eastAsia="en-US"/>
        </w:rPr>
      </w:pPr>
      <w:r w:rsidRPr="009118AB">
        <w:rPr>
          <w:rFonts w:eastAsia="Calibri"/>
          <w:szCs w:val="22"/>
          <w:lang w:eastAsia="en-US"/>
        </w:rPr>
        <w:tab/>
        <w:t xml:space="preserve">2. Er erhält das Einverständnis der Verwaltung im Rahmen des in </w:t>
      </w:r>
      <w:r w:rsidR="00D67EB8" w:rsidRPr="009118AB">
        <w:rPr>
          <w:rFonts w:eastAsia="Calibri"/>
          <w:szCs w:val="22"/>
          <w:lang w:eastAsia="en-US"/>
        </w:rPr>
        <w:t>§ </w:t>
      </w:r>
      <w:r w:rsidRPr="009118AB">
        <w:rPr>
          <w:rFonts w:eastAsia="Calibri"/>
          <w:szCs w:val="22"/>
          <w:lang w:eastAsia="en-US"/>
        </w:rPr>
        <w:t>8 vorgesehenen Verfahrens.</w:t>
      </w:r>
    </w:p>
    <w:p w14:paraId="5EC11745" w14:textId="77777777" w:rsidR="00AD25AD" w:rsidRPr="009118AB" w:rsidRDefault="00AD25AD" w:rsidP="00AD25AD">
      <w:pPr>
        <w:jc w:val="both"/>
        <w:rPr>
          <w:rFonts w:eastAsia="Calibri"/>
          <w:lang w:eastAsia="en-US"/>
        </w:rPr>
      </w:pPr>
    </w:p>
    <w:p w14:paraId="30A68E61" w14:textId="5F24803C" w:rsidR="00AD25AD" w:rsidRPr="009118AB" w:rsidRDefault="00AD25AD" w:rsidP="00AD25AD">
      <w:pPr>
        <w:jc w:val="both"/>
        <w:rPr>
          <w:rFonts w:eastAsia="Calibri"/>
          <w:lang w:eastAsia="en-US"/>
        </w:rPr>
      </w:pPr>
      <w:r w:rsidRPr="009118AB">
        <w:rPr>
          <w:rFonts w:eastAsia="Calibri"/>
          <w:szCs w:val="22"/>
          <w:lang w:eastAsia="en-US"/>
        </w:rPr>
        <w:tab/>
      </w:r>
      <w:r w:rsidR="00E55F7A">
        <w:rPr>
          <w:rFonts w:eastAsia="Calibri"/>
          <w:szCs w:val="22"/>
          <w:lang w:eastAsia="en-US"/>
        </w:rPr>
        <w:t>[…]</w:t>
      </w:r>
    </w:p>
    <w:p w14:paraId="00B0F0B1" w14:textId="77777777" w:rsidR="00AD25AD" w:rsidRPr="009118AB" w:rsidRDefault="00AD25AD" w:rsidP="00AD25AD">
      <w:pPr>
        <w:jc w:val="both"/>
        <w:rPr>
          <w:rFonts w:eastAsia="Calibri"/>
          <w:lang w:eastAsia="en-US"/>
        </w:rPr>
      </w:pPr>
    </w:p>
    <w:p w14:paraId="1F0E546D" w14:textId="5EED1F76" w:rsidR="00AD25AD" w:rsidRPr="009118AB" w:rsidRDefault="00AD25AD" w:rsidP="00AD25AD">
      <w:pPr>
        <w:jc w:val="both"/>
        <w:rPr>
          <w:rFonts w:eastAsia="Calibri"/>
          <w:lang w:eastAsia="en-US"/>
        </w:rPr>
      </w:pPr>
      <w:r w:rsidRPr="009118AB">
        <w:rPr>
          <w:rFonts w:eastAsia="Calibri"/>
          <w:szCs w:val="22"/>
          <w:lang w:eastAsia="en-US"/>
        </w:rPr>
        <w:lastRenderedPageBreak/>
        <w:tab/>
      </w:r>
      <w:r w:rsidR="00D67EB8" w:rsidRPr="009118AB">
        <w:rPr>
          <w:rFonts w:eastAsia="Calibri"/>
          <w:szCs w:val="22"/>
          <w:lang w:eastAsia="en-US"/>
        </w:rPr>
        <w:t>§ </w:t>
      </w:r>
      <w:r w:rsidRPr="009118AB">
        <w:rPr>
          <w:rFonts w:eastAsia="Calibri"/>
          <w:szCs w:val="22"/>
          <w:lang w:eastAsia="en-US"/>
        </w:rPr>
        <w:t>4</w:t>
      </w:r>
      <w:r w:rsidR="00D67EB8" w:rsidRPr="009118AB">
        <w:rPr>
          <w:rFonts w:eastAsia="Calibri"/>
          <w:szCs w:val="22"/>
          <w:lang w:eastAsia="en-US"/>
        </w:rPr>
        <w:t> - </w:t>
      </w:r>
      <w:r w:rsidRPr="009118AB">
        <w:rPr>
          <w:rFonts w:eastAsia="Calibri"/>
          <w:szCs w:val="22"/>
          <w:lang w:eastAsia="en-US"/>
        </w:rPr>
        <w:t xml:space="preserve">Sind die in </w:t>
      </w:r>
      <w:r w:rsidR="00D67EB8" w:rsidRPr="009118AB">
        <w:rPr>
          <w:rFonts w:eastAsia="Calibri"/>
          <w:szCs w:val="22"/>
          <w:lang w:eastAsia="en-US"/>
        </w:rPr>
        <w:t>§ </w:t>
      </w:r>
      <w:r w:rsidRPr="009118AB">
        <w:rPr>
          <w:rFonts w:eastAsia="Calibri"/>
          <w:szCs w:val="22"/>
          <w:lang w:eastAsia="en-US"/>
        </w:rPr>
        <w:t xml:space="preserve">2 erwähnten Bedingungen im Laufe des in </w:t>
      </w:r>
      <w:r w:rsidR="00D67EB8" w:rsidRPr="009118AB">
        <w:rPr>
          <w:rFonts w:eastAsia="Calibri"/>
          <w:szCs w:val="22"/>
          <w:lang w:eastAsia="en-US"/>
        </w:rPr>
        <w:t>§ </w:t>
      </w:r>
      <w:r w:rsidRPr="009118AB">
        <w:rPr>
          <w:rFonts w:eastAsia="Calibri"/>
          <w:szCs w:val="22"/>
          <w:lang w:eastAsia="en-US"/>
        </w:rPr>
        <w:t>7 erwähnten Zeitraums nicht mehr erfüllt, endet die Anwendung der vorliegenden Regelung.</w:t>
      </w:r>
    </w:p>
    <w:p w14:paraId="03C98DD4" w14:textId="77777777" w:rsidR="00AD25AD" w:rsidRPr="009118AB" w:rsidRDefault="00AD25AD" w:rsidP="00AD25AD">
      <w:pPr>
        <w:jc w:val="both"/>
        <w:rPr>
          <w:rFonts w:eastAsia="Calibri"/>
          <w:lang w:eastAsia="en-US"/>
        </w:rPr>
      </w:pPr>
    </w:p>
    <w:p w14:paraId="6652ADC8" w14:textId="4754AC60"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5</w:t>
      </w:r>
      <w:r w:rsidR="00D67EB8" w:rsidRPr="009118AB">
        <w:rPr>
          <w:rFonts w:eastAsia="Calibri"/>
          <w:szCs w:val="22"/>
          <w:lang w:eastAsia="en-US"/>
        </w:rPr>
        <w:t> - </w:t>
      </w:r>
      <w:r w:rsidRPr="009118AB">
        <w:rPr>
          <w:rFonts w:eastAsia="Calibri"/>
          <w:szCs w:val="22"/>
          <w:lang w:eastAsia="en-US"/>
        </w:rPr>
        <w:t>Die Übernahme</w:t>
      </w:r>
      <w:r w:rsidR="00D67EB8" w:rsidRPr="009118AB">
        <w:rPr>
          <w:rFonts w:eastAsia="Calibri"/>
          <w:szCs w:val="22"/>
          <w:lang w:eastAsia="en-US"/>
        </w:rPr>
        <w:t> - </w:t>
      </w:r>
      <w:r w:rsidRPr="009118AB">
        <w:rPr>
          <w:rFonts w:eastAsia="Calibri"/>
          <w:szCs w:val="22"/>
          <w:lang w:eastAsia="en-US"/>
        </w:rPr>
        <w:t>zusätzlich zur Entlohnung</w:t>
      </w:r>
      <w:r w:rsidR="00D67EB8" w:rsidRPr="009118AB">
        <w:rPr>
          <w:rFonts w:eastAsia="Calibri"/>
          <w:szCs w:val="22"/>
          <w:lang w:eastAsia="en-US"/>
        </w:rPr>
        <w:t> - </w:t>
      </w:r>
      <w:r w:rsidRPr="009118AB">
        <w:rPr>
          <w:rFonts w:eastAsia="Calibri"/>
          <w:szCs w:val="22"/>
          <w:lang w:eastAsia="en-US"/>
        </w:rPr>
        <w:t>wiederkehrender Ausgaben, die sich direkt aus der Zurverfügungstellung oder Beschäftigung in Belgien ergeben, durch den Arbeitgeber</w:t>
      </w:r>
      <w:r w:rsidR="00D67EB8" w:rsidRPr="009118AB">
        <w:rPr>
          <w:rFonts w:eastAsia="Calibri"/>
          <w:szCs w:val="22"/>
          <w:lang w:eastAsia="en-US"/>
        </w:rPr>
        <w:t> - </w:t>
      </w:r>
      <w:r w:rsidRPr="009118AB">
        <w:rPr>
          <w:rFonts w:eastAsia="Calibri"/>
          <w:szCs w:val="22"/>
          <w:lang w:eastAsia="en-US"/>
        </w:rPr>
        <w:t>entweder direkt oder in Form spezifischer Erstattungen</w:t>
      </w:r>
      <w:r w:rsidR="00D67EB8" w:rsidRPr="009118AB">
        <w:rPr>
          <w:rFonts w:eastAsia="Calibri"/>
          <w:szCs w:val="22"/>
          <w:lang w:eastAsia="en-US"/>
        </w:rPr>
        <w:t> - </w:t>
      </w:r>
      <w:r w:rsidRPr="009118AB">
        <w:rPr>
          <w:rFonts w:eastAsia="Calibri"/>
          <w:szCs w:val="22"/>
          <w:lang w:eastAsia="en-US"/>
        </w:rPr>
        <w:t>gilt als eine Erstattung eigener Ausgaben des Arbeitgebers bis zu einem Betrag von 30 Prozent der Entlohnung.</w:t>
      </w:r>
    </w:p>
    <w:p w14:paraId="0CE1B6DA" w14:textId="77777777" w:rsidR="00AD25AD" w:rsidRPr="009118AB" w:rsidRDefault="00AD25AD" w:rsidP="00AD25AD">
      <w:pPr>
        <w:jc w:val="both"/>
        <w:rPr>
          <w:rFonts w:eastAsia="Calibri"/>
          <w:lang w:eastAsia="en-US"/>
        </w:rPr>
      </w:pPr>
    </w:p>
    <w:p w14:paraId="4A307541" w14:textId="43EFF6A1" w:rsidR="00AD25AD" w:rsidRPr="009118AB" w:rsidRDefault="00AD25AD" w:rsidP="00AD25AD">
      <w:pPr>
        <w:jc w:val="both"/>
        <w:rPr>
          <w:rFonts w:eastAsia="Calibri"/>
          <w:lang w:eastAsia="en-US"/>
        </w:rPr>
      </w:pPr>
      <w:r w:rsidRPr="009118AB">
        <w:rPr>
          <w:rFonts w:eastAsia="Calibri"/>
          <w:szCs w:val="22"/>
          <w:lang w:eastAsia="en-US"/>
        </w:rPr>
        <w:tab/>
        <w:t xml:space="preserve">Für die Anwendung des vorliegenden Paragraphen versteht man unter "Entlohnung" die </w:t>
      </w:r>
      <w:r w:rsidR="00D9207E">
        <w:rPr>
          <w:rFonts w:eastAsia="Calibri"/>
          <w:szCs w:val="22"/>
          <w:lang w:eastAsia="en-US"/>
        </w:rPr>
        <w:t>[…]</w:t>
      </w:r>
      <w:r w:rsidRPr="009118AB">
        <w:rPr>
          <w:rFonts w:eastAsia="Calibri"/>
          <w:szCs w:val="22"/>
          <w:lang w:eastAsia="en-US"/>
        </w:rPr>
        <w:t xml:space="preserve"> Bruttoentlohnung </w:t>
      </w:r>
      <w:r w:rsidR="00DB3894" w:rsidRPr="009118AB">
        <w:rPr>
          <w:rFonts w:eastAsia="Calibri"/>
          <w:szCs w:val="22"/>
          <w:lang w:eastAsia="en-US"/>
        </w:rPr>
        <w:t>[</w:t>
      </w:r>
      <w:r w:rsidR="003531A9" w:rsidRPr="009118AB">
        <w:t xml:space="preserve">für Leistungen, die der Forscher-Impatriate für den Arbeitgeber </w:t>
      </w:r>
      <w:r w:rsidR="00D9207E">
        <w:t>[…]</w:t>
      </w:r>
      <w:r w:rsidR="003531A9" w:rsidRPr="009118AB">
        <w:t xml:space="preserve"> erwähnt in § 2 Absatz 1 Nr. 1 oder 2 erbringt und die auf die Ergebnisse dieses Arbeitgebers </w:t>
      </w:r>
      <w:r w:rsidR="00D9207E">
        <w:t>[…]</w:t>
      </w:r>
      <w:r w:rsidR="003531A9" w:rsidRPr="009118AB">
        <w:t xml:space="preserve"> angerechnet werden, mit Ausnahme der Einkünfte, die für die in den Artikeln 155 und 156 erwähnte Ermäßigung für Einkünfte ausländischer Herkunft in Betracht kommen,</w:t>
      </w:r>
      <w:r w:rsidR="00DB3894" w:rsidRPr="009118AB">
        <w:rPr>
          <w:rFonts w:eastAsia="Calibri"/>
          <w:szCs w:val="22"/>
          <w:lang w:eastAsia="en-US"/>
        </w:rPr>
        <w:t xml:space="preserve">] </w:t>
      </w:r>
      <w:r w:rsidRPr="009118AB">
        <w:rPr>
          <w:rFonts w:eastAsia="Calibri"/>
          <w:szCs w:val="22"/>
          <w:lang w:eastAsia="en-US"/>
        </w:rPr>
        <w:t xml:space="preserve">vor Abzug der Sozialversicherungsbeiträge, mit Ausnahme der Entlassungsentschädigungen, der Entschädigungen für einen zeitweiligen Lohnausfall und der in Anwendung von Artikel 38 steuerfreien Entlohnungen und mit Ausnahme </w:t>
      </w:r>
      <w:r w:rsidR="00DB3894" w:rsidRPr="009118AB">
        <w:rPr>
          <w:rFonts w:eastAsia="Calibri"/>
          <w:szCs w:val="22"/>
          <w:lang w:eastAsia="en-US"/>
        </w:rPr>
        <w:t>[</w:t>
      </w:r>
      <w:r w:rsidR="00DB3894" w:rsidRPr="009118AB">
        <w:rPr>
          <w:rFonts w:eastAsia="Calibri"/>
          <w:kern w:val="2"/>
          <w:szCs w:val="22"/>
          <w:lang w:eastAsia="en-US"/>
          <w14:ligatures w14:val="standardContextual"/>
        </w:rPr>
        <w:t xml:space="preserve">der in vorliegendem Paragraphen und in </w:t>
      </w:r>
      <w:r w:rsidR="00D67EB8" w:rsidRPr="009118AB">
        <w:rPr>
          <w:rFonts w:eastAsia="Calibri"/>
          <w:kern w:val="2"/>
          <w:szCs w:val="22"/>
          <w:lang w:eastAsia="en-US"/>
          <w14:ligatures w14:val="standardContextual"/>
        </w:rPr>
        <w:t>§ </w:t>
      </w:r>
      <w:r w:rsidR="00DB3894" w:rsidRPr="009118AB">
        <w:rPr>
          <w:rFonts w:eastAsia="Calibri"/>
          <w:kern w:val="2"/>
          <w:szCs w:val="22"/>
          <w:lang w:eastAsia="en-US"/>
          <w14:ligatures w14:val="standardContextual"/>
        </w:rPr>
        <w:t>6 erwähnten Erstattungen</w:t>
      </w:r>
      <w:r w:rsidR="00DB3894" w:rsidRPr="009118AB">
        <w:rPr>
          <w:rFonts w:eastAsia="Calibri"/>
          <w:szCs w:val="22"/>
          <w:lang w:eastAsia="en-US"/>
        </w:rPr>
        <w:t>]</w:t>
      </w:r>
      <w:r w:rsidRPr="009118AB">
        <w:rPr>
          <w:rFonts w:eastAsia="Calibri"/>
          <w:szCs w:val="22"/>
          <w:lang w:eastAsia="en-US"/>
        </w:rPr>
        <w:t>.</w:t>
      </w:r>
    </w:p>
    <w:p w14:paraId="400F10F6" w14:textId="77777777" w:rsidR="00AD25AD" w:rsidRPr="009118AB" w:rsidRDefault="00AD25AD" w:rsidP="00AD25AD">
      <w:pPr>
        <w:jc w:val="both"/>
        <w:rPr>
          <w:rFonts w:eastAsia="Calibri"/>
          <w:lang w:eastAsia="en-US"/>
        </w:rPr>
      </w:pPr>
    </w:p>
    <w:p w14:paraId="1D0A78BF" w14:textId="321D8A91" w:rsidR="00AD25AD" w:rsidRPr="009118AB" w:rsidRDefault="00AD25AD" w:rsidP="00AD25AD">
      <w:pPr>
        <w:jc w:val="both"/>
        <w:rPr>
          <w:rFonts w:eastAsia="Calibri"/>
          <w:lang w:eastAsia="en-US"/>
        </w:rPr>
      </w:pPr>
      <w:r w:rsidRPr="009118AB">
        <w:rPr>
          <w:rFonts w:eastAsia="Calibri"/>
          <w:szCs w:val="22"/>
          <w:lang w:eastAsia="en-US"/>
        </w:rPr>
        <w:tab/>
        <w:t xml:space="preserve">Der in Absatz 1 erwähnte Betrag, der als eigene Ausgaben des Arbeitgebers zulässig ist, ist auf 90.000 EUR pro Jahr begrenzt. Der König kann diesen Betrag alle drei Jahre und zum ersten Mal für das Einkommensjahr 2024 gemäß den in Artikel 32/1 </w:t>
      </w:r>
      <w:r w:rsidR="00D67EB8" w:rsidRPr="009118AB">
        <w:rPr>
          <w:rFonts w:eastAsia="Calibri"/>
          <w:szCs w:val="22"/>
          <w:lang w:eastAsia="en-US"/>
        </w:rPr>
        <w:t>§ </w:t>
      </w:r>
      <w:r w:rsidRPr="009118AB">
        <w:rPr>
          <w:rFonts w:eastAsia="Calibri"/>
          <w:szCs w:val="22"/>
          <w:lang w:eastAsia="en-US"/>
        </w:rPr>
        <w:t>3 Absatz 6 festgelegten Regeln an die Erhöhung des abgeflachten Gesundheitsindexes anpassen.</w:t>
      </w:r>
    </w:p>
    <w:p w14:paraId="35C706E3" w14:textId="77777777" w:rsidR="00AD25AD" w:rsidRPr="009118AB" w:rsidRDefault="00AD25AD" w:rsidP="00AD25AD">
      <w:pPr>
        <w:jc w:val="both"/>
        <w:rPr>
          <w:rFonts w:eastAsia="Calibri"/>
          <w:lang w:eastAsia="en-US"/>
        </w:rPr>
      </w:pPr>
    </w:p>
    <w:p w14:paraId="2F600197" w14:textId="34DBAD39" w:rsidR="00AD25AD" w:rsidRPr="009118AB" w:rsidRDefault="00AD25AD" w:rsidP="00AD25AD">
      <w:pPr>
        <w:jc w:val="both"/>
        <w:rPr>
          <w:rFonts w:eastAsia="Calibri"/>
          <w:lang w:eastAsia="en-US"/>
        </w:rPr>
      </w:pPr>
      <w:r w:rsidRPr="009118AB">
        <w:rPr>
          <w:rFonts w:eastAsia="Calibri"/>
          <w:szCs w:val="22"/>
          <w:lang w:eastAsia="en-US"/>
        </w:rPr>
        <w:tab/>
        <w:t xml:space="preserve">Für das Jahr der Ankunft in Belgien und für das Jahr des Weggangs aus Belgien oder das Jahr, in dem vorliegende Regelung gemäß </w:t>
      </w:r>
      <w:r w:rsidR="00D67EB8" w:rsidRPr="009118AB">
        <w:rPr>
          <w:rFonts w:eastAsia="Calibri"/>
          <w:szCs w:val="22"/>
          <w:lang w:eastAsia="en-US"/>
        </w:rPr>
        <w:t>§ </w:t>
      </w:r>
      <w:r w:rsidRPr="009118AB">
        <w:rPr>
          <w:rFonts w:eastAsia="Calibri"/>
          <w:szCs w:val="22"/>
          <w:lang w:eastAsia="en-US"/>
        </w:rPr>
        <w:t>7 ausläuft, wird der in Absatz 3 erwähnte Höchstbetrag im Verhältnis zu der Anzahl Tage, an denen das Arbeitsverhältnis in Belgien in diesem Jahr bestand und die Bedingungen des vorliegenden Artikels erfüllt waren, berechnet.</w:t>
      </w:r>
    </w:p>
    <w:p w14:paraId="1129D081" w14:textId="77777777" w:rsidR="00AD25AD" w:rsidRPr="009118AB" w:rsidRDefault="00AD25AD" w:rsidP="00AD25AD">
      <w:pPr>
        <w:jc w:val="both"/>
        <w:rPr>
          <w:rFonts w:eastAsia="Calibri"/>
          <w:lang w:eastAsia="en-US"/>
        </w:rPr>
      </w:pPr>
    </w:p>
    <w:p w14:paraId="5F95BBED" w14:textId="77777777" w:rsidR="00DB3894" w:rsidRPr="009118AB" w:rsidRDefault="00AD25AD" w:rsidP="00AD25AD">
      <w:pPr>
        <w:jc w:val="both"/>
        <w:rPr>
          <w:rFonts w:eastAsia="Calibri"/>
          <w:szCs w:val="22"/>
          <w:lang w:eastAsia="en-US"/>
        </w:rPr>
      </w:pPr>
      <w:r w:rsidRPr="009118AB">
        <w:rPr>
          <w:rFonts w:eastAsia="Calibri"/>
          <w:szCs w:val="22"/>
          <w:lang w:eastAsia="en-US"/>
        </w:rPr>
        <w:tab/>
        <w:t>Falls der Forscher-Impatriate seine Tätigkeit unterbrechen muss und seine Entlohnung nicht weitergezahlt wird, die in Absatz 1 erwähnten Kosten aufgrund einer vertraglichen Verpflichtung jedoch weiterhin vom Arbeitgeber übernommen werden, wird die Entlohnung, auf deren Grundlage die Höchstgrenze von 30 Prozent berechnet wird, bestimmt, als ob die Tätigkeit nicht unterbrochen worden wäre.</w:t>
      </w:r>
    </w:p>
    <w:p w14:paraId="4A2A66FA" w14:textId="77777777" w:rsidR="00DB3894" w:rsidRPr="009118AB" w:rsidRDefault="00DB3894" w:rsidP="00AD25AD">
      <w:pPr>
        <w:jc w:val="both"/>
        <w:rPr>
          <w:rFonts w:eastAsia="Calibri"/>
          <w:szCs w:val="22"/>
          <w:lang w:eastAsia="en-US"/>
        </w:rPr>
      </w:pPr>
    </w:p>
    <w:p w14:paraId="3F996E9D" w14:textId="54EDF2DD"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6</w:t>
      </w:r>
      <w:r w:rsidR="00D67EB8" w:rsidRPr="009118AB">
        <w:rPr>
          <w:rFonts w:eastAsia="Calibri"/>
          <w:szCs w:val="22"/>
          <w:lang w:eastAsia="en-US"/>
        </w:rPr>
        <w:t> - </w:t>
      </w:r>
      <w:r w:rsidRPr="009118AB">
        <w:rPr>
          <w:rFonts w:eastAsia="Calibri"/>
          <w:szCs w:val="22"/>
          <w:lang w:eastAsia="en-US"/>
        </w:rPr>
        <w:t>Als Erstattungen eigener Ausgaben des Arbeitgebers gelten auch die Kosten, die vom Arbeitgeber entweder direkt oder in Form spezifischer Erstattungen getragen werden, in dem Maße, wie diese Kosten bestimmt sind zur Deckung von:</w:t>
      </w:r>
    </w:p>
    <w:p w14:paraId="7C354197" w14:textId="77777777" w:rsidR="00AD25AD" w:rsidRPr="009118AB" w:rsidRDefault="00AD25AD" w:rsidP="00AD25AD">
      <w:pPr>
        <w:jc w:val="both"/>
        <w:rPr>
          <w:rFonts w:eastAsia="Calibri"/>
          <w:lang w:eastAsia="en-US"/>
        </w:rPr>
      </w:pPr>
    </w:p>
    <w:p w14:paraId="222245C7" w14:textId="77777777" w:rsidR="00AD25AD" w:rsidRPr="009118AB" w:rsidRDefault="00AD25AD" w:rsidP="00AD25AD">
      <w:pPr>
        <w:jc w:val="both"/>
        <w:rPr>
          <w:rFonts w:eastAsia="Calibri"/>
          <w:lang w:eastAsia="en-US"/>
        </w:rPr>
      </w:pPr>
      <w:r w:rsidRPr="009118AB">
        <w:rPr>
          <w:rFonts w:eastAsia="Calibri"/>
          <w:szCs w:val="22"/>
          <w:lang w:eastAsia="en-US"/>
        </w:rPr>
        <w:tab/>
        <w:t>1. Kosten, die durch den Umzug des Forscher-Impatriates nach Belgien entstehen,</w:t>
      </w:r>
    </w:p>
    <w:p w14:paraId="17DBA9F4" w14:textId="77777777" w:rsidR="00AD25AD" w:rsidRPr="009118AB" w:rsidRDefault="00AD25AD" w:rsidP="00AD25AD">
      <w:pPr>
        <w:jc w:val="both"/>
        <w:rPr>
          <w:rFonts w:eastAsia="Calibri"/>
          <w:lang w:eastAsia="en-US"/>
        </w:rPr>
      </w:pPr>
    </w:p>
    <w:p w14:paraId="6113B421" w14:textId="77777777" w:rsidR="00AD25AD" w:rsidRPr="009118AB" w:rsidRDefault="00AD25AD" w:rsidP="00AD25AD">
      <w:pPr>
        <w:jc w:val="both"/>
        <w:rPr>
          <w:rFonts w:eastAsia="Calibri"/>
          <w:lang w:eastAsia="en-US"/>
        </w:rPr>
      </w:pPr>
      <w:r w:rsidRPr="009118AB">
        <w:rPr>
          <w:rFonts w:eastAsia="Calibri"/>
          <w:szCs w:val="22"/>
          <w:lang w:eastAsia="en-US"/>
        </w:rPr>
        <w:tab/>
        <w:t>2. Kosten im Zusammenhang mit der Einrichtung der Wohnung in Belgien, die in den ersten sechs Monaten nach der Ankunft in Belgien getätigt werden,</w:t>
      </w:r>
    </w:p>
    <w:p w14:paraId="4BF2428F" w14:textId="77777777" w:rsidR="00AD25AD" w:rsidRPr="009118AB" w:rsidRDefault="00AD25AD" w:rsidP="00AD25AD">
      <w:pPr>
        <w:jc w:val="both"/>
        <w:rPr>
          <w:rFonts w:eastAsia="Calibri"/>
          <w:lang w:eastAsia="en-US"/>
        </w:rPr>
      </w:pPr>
    </w:p>
    <w:p w14:paraId="27F0495C" w14:textId="77777777" w:rsidR="00AD25AD" w:rsidRPr="009118AB" w:rsidRDefault="00AD25AD" w:rsidP="00AD25AD">
      <w:pPr>
        <w:jc w:val="both"/>
        <w:rPr>
          <w:rFonts w:eastAsia="Calibri"/>
          <w:lang w:eastAsia="en-US"/>
        </w:rPr>
      </w:pPr>
      <w:r w:rsidRPr="009118AB">
        <w:rPr>
          <w:rFonts w:eastAsia="Calibri"/>
          <w:szCs w:val="22"/>
          <w:lang w:eastAsia="en-US"/>
        </w:rPr>
        <w:tab/>
        <w:t>3. Schulgeld für die Kinder des Forscher-Impatriates oder seines Partners, die mit ihren Eltern oder einem Elternteil umziehen, wenn sie aufgrund der belgischen Rechtsvorschriften im schulpflichtigen Alter sind und in diesem Zusammenhang in Belgien an einer privaten oder internationalen Schule dem Vorschul-, Primarschul- oder Sekundarschulunterricht folgen.</w:t>
      </w:r>
    </w:p>
    <w:p w14:paraId="483B06FE" w14:textId="77777777" w:rsidR="00AD25AD" w:rsidRPr="009118AB" w:rsidRDefault="00AD25AD" w:rsidP="00AD25AD">
      <w:pPr>
        <w:jc w:val="both"/>
        <w:rPr>
          <w:rFonts w:eastAsia="Calibri"/>
          <w:lang w:eastAsia="en-US"/>
        </w:rPr>
      </w:pPr>
    </w:p>
    <w:p w14:paraId="1B881D6F" w14:textId="146CE218" w:rsidR="00AD25AD" w:rsidRPr="009118AB" w:rsidRDefault="00AD25AD" w:rsidP="00AD25AD">
      <w:pPr>
        <w:jc w:val="both"/>
        <w:rPr>
          <w:rFonts w:eastAsia="Calibri"/>
          <w:lang w:eastAsia="en-US"/>
        </w:rPr>
      </w:pPr>
      <w:r w:rsidRPr="009118AB">
        <w:rPr>
          <w:rFonts w:eastAsia="Calibri"/>
          <w:szCs w:val="22"/>
          <w:lang w:eastAsia="en-US"/>
        </w:rPr>
        <w:tab/>
        <w:t xml:space="preserve">In Absatz 1 </w:t>
      </w:r>
      <w:r w:rsidR="00D67EB8" w:rsidRPr="009118AB">
        <w:rPr>
          <w:rFonts w:eastAsia="Calibri"/>
          <w:szCs w:val="22"/>
          <w:lang w:eastAsia="en-US"/>
        </w:rPr>
        <w:t>Nr. </w:t>
      </w:r>
      <w:r w:rsidRPr="009118AB">
        <w:rPr>
          <w:rFonts w:eastAsia="Calibri"/>
          <w:szCs w:val="22"/>
          <w:lang w:eastAsia="en-US"/>
        </w:rPr>
        <w:t xml:space="preserve">1 erwähnte Kosten umfassen nur die Kosten einer Reise im Hinblick auf die Suche nach einer neuen Unterkunft in Belgien, die Reisekosten des Forscher-Impatriates </w:t>
      </w:r>
      <w:r w:rsidRPr="009118AB">
        <w:rPr>
          <w:rFonts w:eastAsia="Calibri"/>
          <w:szCs w:val="22"/>
          <w:lang w:eastAsia="en-US"/>
        </w:rPr>
        <w:lastRenderedPageBreak/>
        <w:t>selbst, seines Partners und der Kinder, die zu seinem Haushalt gehören, sowie die Kosten für das Abbauen, Verpacken, Einladen, Befördern, Ausladen, Auspacken und Aufbauen von Mobiliar, das dem Forscher-Impatriate gehört. Gegebenenfalls sind auch die Hotelkosten des Forscher-Impatriates, seines Partners und der Kinder, die zu seinem Haushalt gehören, während der ersten drei Monate nach dem Arbeitsantritt in Belgien gemeint.</w:t>
      </w:r>
    </w:p>
    <w:p w14:paraId="4FDDF906" w14:textId="77777777" w:rsidR="00AD25AD" w:rsidRPr="009118AB" w:rsidRDefault="00AD25AD" w:rsidP="00AD25AD">
      <w:pPr>
        <w:jc w:val="both"/>
        <w:rPr>
          <w:rFonts w:eastAsia="Calibri"/>
          <w:lang w:eastAsia="en-US"/>
        </w:rPr>
      </w:pPr>
    </w:p>
    <w:p w14:paraId="11A742E2" w14:textId="6693B2D7" w:rsidR="00AD25AD" w:rsidRPr="009118AB" w:rsidRDefault="00AD25AD" w:rsidP="00AD25AD">
      <w:pPr>
        <w:jc w:val="both"/>
        <w:rPr>
          <w:rFonts w:eastAsia="Calibri"/>
          <w:lang w:eastAsia="en-US"/>
        </w:rPr>
      </w:pPr>
      <w:r w:rsidRPr="009118AB">
        <w:rPr>
          <w:rFonts w:eastAsia="Calibri"/>
          <w:szCs w:val="22"/>
          <w:lang w:eastAsia="en-US"/>
        </w:rPr>
        <w:tab/>
        <w:t xml:space="preserve">In Absatz 1 </w:t>
      </w:r>
      <w:r w:rsidR="00D67EB8" w:rsidRPr="009118AB">
        <w:rPr>
          <w:rFonts w:eastAsia="Calibri"/>
          <w:szCs w:val="22"/>
          <w:lang w:eastAsia="en-US"/>
        </w:rPr>
        <w:t>Nr. </w:t>
      </w:r>
      <w:r w:rsidRPr="009118AB">
        <w:rPr>
          <w:rFonts w:eastAsia="Calibri"/>
          <w:szCs w:val="22"/>
          <w:lang w:eastAsia="en-US"/>
        </w:rPr>
        <w:t>2 erwähnte Kosten umfassen nur die Kosten für den Kauf von Material, das dazu bestimmt ist, in der Wohnung in Belgien zu bleiben, und für den Kauf von elektrischen Haushaltsgeräten gemäß den in Belgien geltenden Normen.</w:t>
      </w:r>
    </w:p>
    <w:p w14:paraId="58BD9A90" w14:textId="77777777" w:rsidR="00AD25AD" w:rsidRPr="009118AB" w:rsidRDefault="00AD25AD" w:rsidP="00AD25AD">
      <w:pPr>
        <w:jc w:val="both"/>
        <w:rPr>
          <w:rFonts w:eastAsia="Calibri"/>
          <w:lang w:eastAsia="en-US"/>
        </w:rPr>
      </w:pPr>
    </w:p>
    <w:p w14:paraId="7CDF6492" w14:textId="337537D5" w:rsidR="00AD25AD" w:rsidRPr="009118AB" w:rsidRDefault="00AD25AD" w:rsidP="00AD25AD">
      <w:pPr>
        <w:jc w:val="both"/>
        <w:rPr>
          <w:rFonts w:eastAsia="Calibri"/>
          <w:lang w:eastAsia="en-US"/>
        </w:rPr>
      </w:pPr>
      <w:r w:rsidRPr="009118AB">
        <w:rPr>
          <w:rFonts w:eastAsia="Calibri"/>
          <w:szCs w:val="22"/>
          <w:lang w:eastAsia="en-US"/>
        </w:rPr>
        <w:tab/>
        <w:t xml:space="preserve">Die Kosten, die als eigene Ausgaben des Arbeitgebers wie in Absatz 1 </w:t>
      </w:r>
      <w:r w:rsidR="00D67EB8" w:rsidRPr="009118AB">
        <w:rPr>
          <w:rFonts w:eastAsia="Calibri"/>
          <w:szCs w:val="22"/>
          <w:lang w:eastAsia="en-US"/>
        </w:rPr>
        <w:t>Nr. </w:t>
      </w:r>
      <w:r w:rsidRPr="009118AB">
        <w:rPr>
          <w:rFonts w:eastAsia="Calibri"/>
          <w:szCs w:val="22"/>
          <w:lang w:eastAsia="en-US"/>
        </w:rPr>
        <w:t xml:space="preserve">2 erwähnt zulässig sind, sind auf den Betrag von 1.500 EUR begrenzt. Der König kann diesen Betrag alle drei Jahre und zum ersten Mal für das Einkommensjahr 2024 gemäß den in Artikel 32/1 </w:t>
      </w:r>
      <w:r w:rsidR="00D67EB8" w:rsidRPr="009118AB">
        <w:rPr>
          <w:rFonts w:eastAsia="Calibri"/>
          <w:szCs w:val="22"/>
          <w:lang w:eastAsia="en-US"/>
        </w:rPr>
        <w:t>§ </w:t>
      </w:r>
      <w:r w:rsidRPr="009118AB">
        <w:rPr>
          <w:rFonts w:eastAsia="Calibri"/>
          <w:szCs w:val="22"/>
          <w:lang w:eastAsia="en-US"/>
        </w:rPr>
        <w:t>3 Absatz 6 festgelegten Regeln an die Erhöhung des abgeflachten Gesundheitsindexes anpassen.</w:t>
      </w:r>
    </w:p>
    <w:p w14:paraId="21222236" w14:textId="77777777" w:rsidR="00AD25AD" w:rsidRPr="009118AB" w:rsidRDefault="00AD25AD" w:rsidP="00AD25AD">
      <w:pPr>
        <w:jc w:val="both"/>
        <w:rPr>
          <w:rFonts w:eastAsia="Calibri"/>
          <w:lang w:eastAsia="en-US"/>
        </w:rPr>
      </w:pPr>
    </w:p>
    <w:p w14:paraId="35873E1F" w14:textId="77777777" w:rsidR="00AD25AD" w:rsidRPr="009118AB" w:rsidRDefault="00AD25AD" w:rsidP="00AD25AD">
      <w:pPr>
        <w:jc w:val="both"/>
        <w:rPr>
          <w:rFonts w:eastAsia="Calibri"/>
          <w:lang w:eastAsia="en-US"/>
        </w:rPr>
      </w:pPr>
      <w:r w:rsidRPr="009118AB">
        <w:rPr>
          <w:rFonts w:eastAsia="Calibri"/>
          <w:szCs w:val="22"/>
          <w:lang w:eastAsia="en-US"/>
        </w:rPr>
        <w:tab/>
        <w:t>Es obliegt dem Forscher-Impatriate, Echtheit und Betrag dieser Ausgaben durch Belege nachzuweisen oder, wenn das nicht möglich ist, durch alle anderen vom allgemeinen Recht zugelassenen Beweismittel außer dem Eid.</w:t>
      </w:r>
    </w:p>
    <w:p w14:paraId="2066F033" w14:textId="77777777" w:rsidR="00AD25AD" w:rsidRPr="009118AB" w:rsidRDefault="00AD25AD" w:rsidP="00AD25AD">
      <w:pPr>
        <w:jc w:val="both"/>
        <w:rPr>
          <w:rFonts w:eastAsia="Calibri"/>
          <w:lang w:eastAsia="en-US"/>
        </w:rPr>
      </w:pPr>
    </w:p>
    <w:p w14:paraId="28198C33" w14:textId="35204229"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7</w:t>
      </w:r>
      <w:r w:rsidR="00D67EB8" w:rsidRPr="009118AB">
        <w:rPr>
          <w:rFonts w:eastAsia="Calibri"/>
          <w:szCs w:val="22"/>
          <w:lang w:eastAsia="en-US"/>
        </w:rPr>
        <w:t> - </w:t>
      </w:r>
      <w:r w:rsidRPr="009118AB">
        <w:rPr>
          <w:rFonts w:eastAsia="Calibri"/>
          <w:szCs w:val="22"/>
          <w:lang w:eastAsia="en-US"/>
        </w:rPr>
        <w:t>Die Paragraphen 5 und 6 sind während der Dauer der Beschäftigung des Forscher-Impatriates in Belgien anwendbar, mit einem Maximum von fünf Jahren.</w:t>
      </w:r>
    </w:p>
    <w:p w14:paraId="772458CA" w14:textId="77777777" w:rsidR="00AD25AD" w:rsidRPr="009118AB" w:rsidRDefault="00AD25AD" w:rsidP="00AD25AD">
      <w:pPr>
        <w:jc w:val="both"/>
        <w:rPr>
          <w:rFonts w:eastAsia="Calibri"/>
          <w:lang w:eastAsia="en-US"/>
        </w:rPr>
      </w:pPr>
    </w:p>
    <w:p w14:paraId="486F3C89" w14:textId="45E0BFF0" w:rsidR="00AD25AD" w:rsidRPr="009118AB" w:rsidRDefault="00AD25AD" w:rsidP="00AD25AD">
      <w:pPr>
        <w:jc w:val="both"/>
        <w:rPr>
          <w:rFonts w:eastAsia="Calibri"/>
          <w:lang w:eastAsia="en-US"/>
        </w:rPr>
      </w:pPr>
      <w:r w:rsidRPr="009118AB">
        <w:rPr>
          <w:rFonts w:eastAsia="Calibri"/>
          <w:szCs w:val="22"/>
          <w:lang w:eastAsia="en-US"/>
        </w:rPr>
        <w:tab/>
        <w:t xml:space="preserve">Geht die Beschäftigung des Forschers in Belgien über die in Absatz 1 erwähnte Dauer hinaus, wird die Anwendung der Paragraphen 5 und 6 um drei Jahre verlängert, sofern die in </w:t>
      </w:r>
      <w:r w:rsidR="00D67EB8" w:rsidRPr="009118AB">
        <w:rPr>
          <w:rFonts w:eastAsia="Calibri"/>
          <w:szCs w:val="22"/>
          <w:lang w:eastAsia="en-US"/>
        </w:rPr>
        <w:t>§ </w:t>
      </w:r>
      <w:r w:rsidRPr="009118AB">
        <w:rPr>
          <w:rFonts w:eastAsia="Calibri"/>
          <w:szCs w:val="22"/>
          <w:lang w:eastAsia="en-US"/>
        </w:rPr>
        <w:t>2 erwähnten Bedingungen in Bezug auf den Arbeitgeber weiterhin erfüllt sind.</w:t>
      </w:r>
    </w:p>
    <w:p w14:paraId="6E72370C" w14:textId="77777777" w:rsidR="00AD25AD" w:rsidRPr="009118AB" w:rsidRDefault="00AD25AD" w:rsidP="00AD25AD">
      <w:pPr>
        <w:jc w:val="both"/>
        <w:rPr>
          <w:rFonts w:eastAsia="Calibri"/>
          <w:lang w:eastAsia="en-US"/>
        </w:rPr>
      </w:pPr>
    </w:p>
    <w:p w14:paraId="2EB6BB0D" w14:textId="07E25532"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8</w:t>
      </w:r>
      <w:r w:rsidR="00D67EB8" w:rsidRPr="009118AB">
        <w:rPr>
          <w:rFonts w:eastAsia="Calibri"/>
          <w:szCs w:val="22"/>
          <w:lang w:eastAsia="en-US"/>
        </w:rPr>
        <w:t> - </w:t>
      </w:r>
      <w:r w:rsidRPr="009118AB">
        <w:rPr>
          <w:rFonts w:eastAsia="Calibri"/>
          <w:szCs w:val="22"/>
          <w:lang w:eastAsia="en-US"/>
        </w:rPr>
        <w:t xml:space="preserve">Der Arbeitgeber muss bei dem vom Generalverwalter der Generalverwaltung Steuerwesen angegebenen Dienst auf elektronischem Wege einen Antrag einreichen, um die in vorliegendem Artikel erwähnte Regelung in Anspruch nehmen zu können. Der Antrag muss </w:t>
      </w:r>
      <w:r w:rsidR="00DB3894" w:rsidRPr="009118AB">
        <w:rPr>
          <w:rFonts w:eastAsia="Calibri"/>
          <w:szCs w:val="22"/>
          <w:lang w:eastAsia="en-US"/>
        </w:rPr>
        <w:t>[</w:t>
      </w:r>
      <w:r w:rsidR="00DB3894" w:rsidRPr="009118AB">
        <w:rPr>
          <w:rFonts w:eastAsia="Calibri"/>
          <w:kern w:val="2"/>
          <w:szCs w:val="22"/>
          <w:lang w:eastAsia="en-US"/>
          <w14:ligatures w14:val="standardContextual"/>
        </w:rPr>
        <w:t>zur Vermeidung des Verfalls</w:t>
      </w:r>
      <w:r w:rsidR="00DB3894" w:rsidRPr="009118AB">
        <w:rPr>
          <w:rFonts w:eastAsia="Calibri"/>
          <w:szCs w:val="22"/>
          <w:lang w:eastAsia="en-US"/>
        </w:rPr>
        <w:t xml:space="preserve">] </w:t>
      </w:r>
      <w:r w:rsidRPr="009118AB">
        <w:rPr>
          <w:rFonts w:eastAsia="Calibri"/>
          <w:szCs w:val="22"/>
          <w:lang w:eastAsia="en-US"/>
        </w:rPr>
        <w:t>innerhalb einer Frist von drei Monaten ab dem Arbeitsantritt des Forscher-Impatriates in Belgien eingereicht werden. Der König bestimmt Form und Inhalt des Formulars, das zu diesem Zweck ausgefüllt werden muss.</w:t>
      </w:r>
    </w:p>
    <w:p w14:paraId="3332A695" w14:textId="77777777" w:rsidR="00AD25AD" w:rsidRPr="009118AB" w:rsidRDefault="00AD25AD" w:rsidP="00AD25AD">
      <w:pPr>
        <w:jc w:val="both"/>
        <w:rPr>
          <w:rFonts w:eastAsia="Calibri"/>
          <w:lang w:eastAsia="en-US"/>
        </w:rPr>
      </w:pPr>
    </w:p>
    <w:p w14:paraId="392D7932" w14:textId="4494F414" w:rsidR="00AD25AD" w:rsidRPr="009118AB" w:rsidRDefault="00AD25AD" w:rsidP="00AD25AD">
      <w:pPr>
        <w:jc w:val="both"/>
        <w:rPr>
          <w:rFonts w:eastAsia="Calibri"/>
          <w:lang w:eastAsia="en-US"/>
        </w:rPr>
      </w:pPr>
      <w:r w:rsidRPr="009118AB">
        <w:rPr>
          <w:rFonts w:eastAsia="Calibri"/>
          <w:szCs w:val="22"/>
          <w:lang w:eastAsia="en-US"/>
        </w:rPr>
        <w:tab/>
        <w:t xml:space="preserve">Der Antrag für die in </w:t>
      </w:r>
      <w:r w:rsidR="00D67EB8" w:rsidRPr="009118AB">
        <w:rPr>
          <w:rFonts w:eastAsia="Calibri"/>
          <w:szCs w:val="22"/>
          <w:lang w:eastAsia="en-US"/>
        </w:rPr>
        <w:t>§ </w:t>
      </w:r>
      <w:r w:rsidRPr="009118AB">
        <w:rPr>
          <w:rFonts w:eastAsia="Calibri"/>
          <w:szCs w:val="22"/>
          <w:lang w:eastAsia="en-US"/>
        </w:rPr>
        <w:t xml:space="preserve">7 Absatz 2 erwähnte Verlängerung der Regelung </w:t>
      </w:r>
      <w:r w:rsidR="00DB3894" w:rsidRPr="009118AB">
        <w:rPr>
          <w:rFonts w:eastAsia="Calibri"/>
          <w:szCs w:val="22"/>
          <w:lang w:eastAsia="en-US"/>
        </w:rPr>
        <w:t>[</w:t>
      </w:r>
      <w:r w:rsidR="00DB3894" w:rsidRPr="009118AB">
        <w:rPr>
          <w:rFonts w:eastAsia="Calibri"/>
          <w:kern w:val="2"/>
          <w:szCs w:val="22"/>
          <w:lang w:eastAsia="en-US"/>
          <w14:ligatures w14:val="standardContextual"/>
        </w:rPr>
        <w:t>wird zur Vermeidung des Verfalls durch den Arbeitgeber auf elektronischem Wege bei dem vom Generalverwalter der Generalverwaltung Steuerwesen angegebenen Dienst gestellt, und zwar spätestens drei Monate nach Ablauf des ersten Zeitraums von fünf Jahren, der am Tag des Arbeitsantritts des Steuerpflichtigen in Belgien beginnt</w:t>
      </w:r>
      <w:r w:rsidR="00DB3894" w:rsidRPr="009118AB">
        <w:rPr>
          <w:rFonts w:eastAsia="Calibri"/>
          <w:szCs w:val="22"/>
          <w:lang w:eastAsia="en-US"/>
        </w:rPr>
        <w:t>]</w:t>
      </w:r>
      <w:r w:rsidR="00571B34" w:rsidRPr="009118AB">
        <w:rPr>
          <w:rFonts w:eastAsia="Calibri"/>
          <w:szCs w:val="22"/>
          <w:lang w:eastAsia="en-US"/>
        </w:rPr>
        <w:t>. Der König bestimmt Form und Inhalt des Formulars, das zu diesem Zweck ausgefüllt</w:t>
      </w:r>
      <w:r w:rsidRPr="009118AB">
        <w:rPr>
          <w:rFonts w:eastAsia="Calibri"/>
          <w:szCs w:val="22"/>
          <w:lang w:eastAsia="en-US"/>
        </w:rPr>
        <w:t xml:space="preserve"> werden muss.</w:t>
      </w:r>
    </w:p>
    <w:p w14:paraId="208F4F8E" w14:textId="77777777" w:rsidR="00AD25AD" w:rsidRPr="009118AB" w:rsidRDefault="00AD25AD" w:rsidP="00AD25AD">
      <w:pPr>
        <w:jc w:val="both"/>
        <w:rPr>
          <w:rFonts w:eastAsia="Calibri"/>
          <w:lang w:eastAsia="en-US"/>
        </w:rPr>
      </w:pPr>
    </w:p>
    <w:p w14:paraId="34EBACA4" w14:textId="77777777" w:rsidR="00AD25AD" w:rsidRPr="009118AB" w:rsidRDefault="00AD25AD" w:rsidP="00AD25AD">
      <w:pPr>
        <w:jc w:val="both"/>
        <w:rPr>
          <w:rFonts w:eastAsia="Calibri"/>
          <w:lang w:eastAsia="en-US"/>
        </w:rPr>
      </w:pPr>
      <w:r w:rsidRPr="009118AB">
        <w:rPr>
          <w:rFonts w:eastAsia="Calibri"/>
          <w:szCs w:val="22"/>
          <w:lang w:eastAsia="en-US"/>
        </w:rPr>
        <w:tab/>
        <w:t>Dem in Absatz 1 und 2 erwähnten Antrag muss eine vom betreffenden Forscher unterzeichnete Bescheinigung beigefügt werden, in der bestätigt wird, dass er mit dem Antrag auf Anwendung der Regelung einverstanden ist.</w:t>
      </w:r>
    </w:p>
    <w:p w14:paraId="504ACFF1" w14:textId="77777777" w:rsidR="00AD25AD" w:rsidRPr="009118AB" w:rsidRDefault="00AD25AD" w:rsidP="00AD25AD">
      <w:pPr>
        <w:jc w:val="both"/>
        <w:rPr>
          <w:rFonts w:eastAsia="Calibri"/>
          <w:lang w:eastAsia="en-US"/>
        </w:rPr>
      </w:pPr>
    </w:p>
    <w:p w14:paraId="61182B83" w14:textId="77777777" w:rsidR="00AD25AD" w:rsidRPr="009118AB" w:rsidRDefault="00AD25AD" w:rsidP="00AD25AD">
      <w:pPr>
        <w:jc w:val="both"/>
        <w:rPr>
          <w:rFonts w:eastAsia="Calibri"/>
          <w:lang w:eastAsia="en-US"/>
        </w:rPr>
      </w:pPr>
      <w:r w:rsidRPr="009118AB">
        <w:rPr>
          <w:rFonts w:eastAsia="Calibri"/>
          <w:szCs w:val="22"/>
          <w:lang w:eastAsia="en-US"/>
        </w:rPr>
        <w:tab/>
        <w:t>Die Verwaltung befindet innerhalb einer Frist von drei Monaten ab Erhalt des Antrags. Der Forscher und der Arbeitgeber werden schriftlich über die Entscheidung der Verwaltung informiert.</w:t>
      </w:r>
    </w:p>
    <w:p w14:paraId="774A2E0F" w14:textId="77777777" w:rsidR="00AD25AD" w:rsidRPr="009118AB" w:rsidRDefault="00AD25AD" w:rsidP="00AD25AD">
      <w:pPr>
        <w:jc w:val="both"/>
        <w:rPr>
          <w:rFonts w:eastAsia="Calibri"/>
          <w:lang w:eastAsia="en-US"/>
        </w:rPr>
      </w:pPr>
    </w:p>
    <w:p w14:paraId="73D5DDBF" w14:textId="77777777" w:rsidR="00AD25AD" w:rsidRPr="009118AB" w:rsidRDefault="00AD25AD" w:rsidP="00AD25AD">
      <w:pPr>
        <w:jc w:val="both"/>
        <w:rPr>
          <w:rFonts w:eastAsia="Calibri"/>
          <w:lang w:eastAsia="en-US"/>
        </w:rPr>
      </w:pPr>
      <w:r w:rsidRPr="009118AB">
        <w:rPr>
          <w:rFonts w:eastAsia="Calibri"/>
          <w:szCs w:val="22"/>
          <w:lang w:eastAsia="en-US"/>
        </w:rPr>
        <w:lastRenderedPageBreak/>
        <w:tab/>
        <w:t>Bei einer positiven Antwort ist die in vorliegendem Artikel vorgesehene Regelung auf Entlohnungen anwendbar, die der Forscher-Impatriate seit seinem Arbeitsantritt in Belgien bezieht.</w:t>
      </w:r>
    </w:p>
    <w:p w14:paraId="6EA8E298" w14:textId="77777777" w:rsidR="00AD25AD" w:rsidRPr="009118AB" w:rsidRDefault="00AD25AD" w:rsidP="00AD25AD">
      <w:pPr>
        <w:jc w:val="both"/>
        <w:rPr>
          <w:rFonts w:eastAsia="Calibri"/>
          <w:lang w:eastAsia="en-US"/>
        </w:rPr>
      </w:pPr>
    </w:p>
    <w:p w14:paraId="6009C4F2" w14:textId="2730D87E" w:rsidR="00AD25AD" w:rsidRPr="009118AB" w:rsidRDefault="00AD25AD" w:rsidP="00AD25AD">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9</w:t>
      </w:r>
      <w:r w:rsidR="00D67EB8" w:rsidRPr="009118AB">
        <w:rPr>
          <w:rFonts w:eastAsia="Calibri"/>
          <w:szCs w:val="22"/>
          <w:lang w:eastAsia="en-US"/>
        </w:rPr>
        <w:t> - </w:t>
      </w:r>
      <w:r w:rsidRPr="009118AB">
        <w:rPr>
          <w:rFonts w:eastAsia="Calibri"/>
          <w:szCs w:val="22"/>
          <w:lang w:eastAsia="en-US"/>
        </w:rPr>
        <w:t xml:space="preserve">Im Falle eines Wechsels des Arbeitgebers während des in </w:t>
      </w:r>
      <w:r w:rsidR="00D67EB8" w:rsidRPr="009118AB">
        <w:rPr>
          <w:rFonts w:eastAsia="Calibri"/>
          <w:szCs w:val="22"/>
          <w:lang w:eastAsia="en-US"/>
        </w:rPr>
        <w:t>§ </w:t>
      </w:r>
      <w:r w:rsidRPr="009118AB">
        <w:rPr>
          <w:rFonts w:eastAsia="Calibri"/>
          <w:szCs w:val="22"/>
          <w:lang w:eastAsia="en-US"/>
        </w:rPr>
        <w:t xml:space="preserve">7 erwähnten Zeitraums kann vom neuen Arbeitgeber auf die in </w:t>
      </w:r>
      <w:r w:rsidR="00D67EB8" w:rsidRPr="009118AB">
        <w:rPr>
          <w:rFonts w:eastAsia="Calibri"/>
          <w:szCs w:val="22"/>
          <w:lang w:eastAsia="en-US"/>
        </w:rPr>
        <w:t>§ </w:t>
      </w:r>
      <w:r w:rsidRPr="009118AB">
        <w:rPr>
          <w:rFonts w:eastAsia="Calibri"/>
          <w:szCs w:val="22"/>
          <w:lang w:eastAsia="en-US"/>
        </w:rPr>
        <w:t>8 angegebene Weise ein neuer Antrag auf Anwendung der vorliegenden Regelung eingereicht werden.</w:t>
      </w:r>
    </w:p>
    <w:p w14:paraId="71D56F1F" w14:textId="77777777" w:rsidR="00AD25AD" w:rsidRPr="009118AB" w:rsidRDefault="00AD25AD" w:rsidP="00AD25AD">
      <w:pPr>
        <w:jc w:val="both"/>
        <w:rPr>
          <w:rFonts w:eastAsia="Calibri"/>
          <w:lang w:eastAsia="en-US"/>
        </w:rPr>
      </w:pPr>
    </w:p>
    <w:p w14:paraId="2414F817" w14:textId="77777777" w:rsidR="00AD25AD" w:rsidRPr="009118AB" w:rsidRDefault="00AD25AD" w:rsidP="00AD25AD">
      <w:pPr>
        <w:jc w:val="both"/>
        <w:rPr>
          <w:rFonts w:eastAsia="Calibri"/>
          <w:lang w:eastAsia="en-US"/>
        </w:rPr>
      </w:pPr>
      <w:r w:rsidRPr="009118AB">
        <w:rPr>
          <w:rFonts w:eastAsia="Calibri"/>
          <w:szCs w:val="22"/>
          <w:lang w:eastAsia="en-US"/>
        </w:rPr>
        <w:tab/>
        <w:t>In diesem Fall kann vorliegende Regelung dem Forscher erneut gewährt werden, sofern:</w:t>
      </w:r>
    </w:p>
    <w:p w14:paraId="537E5FB3" w14:textId="77777777" w:rsidR="00AD25AD" w:rsidRPr="009118AB" w:rsidRDefault="00AD25AD" w:rsidP="00AD25AD">
      <w:pPr>
        <w:jc w:val="both"/>
        <w:rPr>
          <w:rFonts w:eastAsia="Calibri"/>
          <w:lang w:eastAsia="en-US"/>
        </w:rPr>
      </w:pPr>
    </w:p>
    <w:p w14:paraId="322A2B99" w14:textId="196CA1E7" w:rsidR="00AD25AD" w:rsidRPr="009118AB" w:rsidRDefault="00AD25AD" w:rsidP="00AD25AD">
      <w:pPr>
        <w:jc w:val="both"/>
        <w:rPr>
          <w:rFonts w:eastAsia="Calibri"/>
          <w:lang w:eastAsia="en-US"/>
        </w:rPr>
      </w:pPr>
      <w:r w:rsidRPr="009118AB">
        <w:rPr>
          <w:rFonts w:eastAsia="Calibri"/>
          <w:szCs w:val="22"/>
          <w:lang w:eastAsia="en-US"/>
        </w:rPr>
        <w:tab/>
        <w:t xml:space="preserve">1. die in </w:t>
      </w:r>
      <w:r w:rsidR="00D67EB8" w:rsidRPr="009118AB">
        <w:rPr>
          <w:rFonts w:eastAsia="Calibri"/>
          <w:szCs w:val="22"/>
          <w:lang w:eastAsia="en-US"/>
        </w:rPr>
        <w:t>§ </w:t>
      </w:r>
      <w:r w:rsidRPr="009118AB">
        <w:rPr>
          <w:rFonts w:eastAsia="Calibri"/>
          <w:szCs w:val="22"/>
          <w:lang w:eastAsia="en-US"/>
        </w:rPr>
        <w:t>2 erwähnten Bedingungen in Bezug auf den Arbeitgeber weiterhin erfüllt sind</w:t>
      </w:r>
    </w:p>
    <w:p w14:paraId="16D750B2" w14:textId="77777777" w:rsidR="00AD25AD" w:rsidRPr="009118AB" w:rsidRDefault="00AD25AD" w:rsidP="00AD25AD">
      <w:pPr>
        <w:jc w:val="both"/>
        <w:rPr>
          <w:rFonts w:eastAsia="Calibri"/>
          <w:lang w:eastAsia="en-US"/>
        </w:rPr>
      </w:pPr>
    </w:p>
    <w:p w14:paraId="5D3F7469" w14:textId="77777777" w:rsidR="00AD25AD" w:rsidRPr="009118AB" w:rsidRDefault="00AD25AD" w:rsidP="00AD25AD">
      <w:pPr>
        <w:jc w:val="both"/>
        <w:rPr>
          <w:rFonts w:eastAsia="Calibri"/>
          <w:lang w:eastAsia="en-US"/>
        </w:rPr>
      </w:pPr>
      <w:r w:rsidRPr="009118AB">
        <w:rPr>
          <w:rFonts w:eastAsia="Calibri"/>
          <w:szCs w:val="22"/>
          <w:lang w:eastAsia="en-US"/>
        </w:rPr>
        <w:tab/>
        <w:t>und</w:t>
      </w:r>
    </w:p>
    <w:p w14:paraId="6661BF60" w14:textId="77777777" w:rsidR="00AD25AD" w:rsidRPr="009118AB" w:rsidRDefault="00AD25AD" w:rsidP="00AD25AD">
      <w:pPr>
        <w:jc w:val="both"/>
        <w:rPr>
          <w:rFonts w:eastAsia="Calibri"/>
          <w:lang w:eastAsia="en-US"/>
        </w:rPr>
      </w:pPr>
    </w:p>
    <w:p w14:paraId="4EF7C0E8" w14:textId="4CE3A30C" w:rsidR="00AD25AD" w:rsidRPr="009118AB" w:rsidRDefault="00AD25AD" w:rsidP="00AD25AD">
      <w:pPr>
        <w:jc w:val="both"/>
        <w:rPr>
          <w:rFonts w:eastAsia="Calibri"/>
          <w:lang w:eastAsia="en-US"/>
        </w:rPr>
      </w:pPr>
      <w:r w:rsidRPr="009118AB">
        <w:rPr>
          <w:rFonts w:eastAsia="Calibri"/>
          <w:szCs w:val="22"/>
          <w:lang w:eastAsia="en-US"/>
        </w:rPr>
        <w:tab/>
        <w:t xml:space="preserve">2. gemäß </w:t>
      </w:r>
      <w:r w:rsidR="00D67EB8" w:rsidRPr="009118AB">
        <w:rPr>
          <w:rFonts w:eastAsia="Calibri"/>
          <w:szCs w:val="22"/>
          <w:lang w:eastAsia="en-US"/>
        </w:rPr>
        <w:t>§ </w:t>
      </w:r>
      <w:r w:rsidRPr="009118AB">
        <w:rPr>
          <w:rFonts w:eastAsia="Calibri"/>
          <w:szCs w:val="22"/>
          <w:lang w:eastAsia="en-US"/>
        </w:rPr>
        <w:t>7 die Gesamtdauer der Anwendung der vorliegenden Regelung auf den Forscher-Impatriate nicht mehr als fünf Jahre, gegebenenfalls verlängert um drei Jahre, ab der ersten Beschäftigung in Belgien beträgt.</w:t>
      </w:r>
    </w:p>
    <w:p w14:paraId="11B067DD" w14:textId="77777777" w:rsidR="00AD25AD" w:rsidRPr="009118AB" w:rsidRDefault="00AD25AD" w:rsidP="00AD25AD">
      <w:pPr>
        <w:jc w:val="both"/>
        <w:rPr>
          <w:rFonts w:eastAsia="Calibri"/>
          <w:lang w:eastAsia="en-US"/>
        </w:rPr>
      </w:pPr>
    </w:p>
    <w:p w14:paraId="2A23ECFF" w14:textId="290B28F5" w:rsidR="00AD25AD" w:rsidRDefault="00AD25AD" w:rsidP="00AD25AD">
      <w:pPr>
        <w:autoSpaceDE w:val="0"/>
        <w:autoSpaceDN w:val="0"/>
        <w:adjustRightInd w:val="0"/>
        <w:jc w:val="both"/>
        <w:rPr>
          <w:rFonts w:eastAsia="Calibri"/>
          <w:szCs w:val="22"/>
          <w:lang w:eastAsia="en-US"/>
        </w:rPr>
      </w:pPr>
      <w:r w:rsidRPr="009118AB">
        <w:rPr>
          <w:rFonts w:eastAsia="Calibri"/>
          <w:szCs w:val="22"/>
          <w:lang w:eastAsia="en-US"/>
        </w:rPr>
        <w:tab/>
        <w:t xml:space="preserve">In dem in vorliegendem Paragraphen erwähnten Fall muss der in </w:t>
      </w:r>
      <w:r w:rsidR="00D67EB8" w:rsidRPr="009118AB">
        <w:rPr>
          <w:rFonts w:eastAsia="Calibri"/>
          <w:szCs w:val="22"/>
          <w:lang w:eastAsia="en-US"/>
        </w:rPr>
        <w:t>§ </w:t>
      </w:r>
      <w:r w:rsidRPr="009118AB">
        <w:rPr>
          <w:rFonts w:eastAsia="Calibri"/>
          <w:szCs w:val="22"/>
          <w:lang w:eastAsia="en-US"/>
        </w:rPr>
        <w:t>5 Absatz 3 erwähnte Höchstbetrag im Verhältnis zu der Beschäftigung des Forschers bei den jeweiligen Arbeitgebern im Laufe des Jahres beurteilt werden.]</w:t>
      </w:r>
    </w:p>
    <w:p w14:paraId="3E81609A" w14:textId="77777777" w:rsidR="00C63F43" w:rsidRDefault="00C63F43" w:rsidP="00AD25AD">
      <w:pPr>
        <w:autoSpaceDE w:val="0"/>
        <w:autoSpaceDN w:val="0"/>
        <w:adjustRightInd w:val="0"/>
        <w:jc w:val="both"/>
        <w:rPr>
          <w:rFonts w:eastAsia="Calibri"/>
          <w:szCs w:val="22"/>
          <w:lang w:eastAsia="en-US"/>
        </w:rPr>
      </w:pPr>
    </w:p>
    <w:p w14:paraId="27C2A273" w14:textId="213A4DCD" w:rsidR="00C63F43" w:rsidRPr="009541B3" w:rsidRDefault="00C63F43" w:rsidP="00C63F43">
      <w:pPr>
        <w:ind w:firstLine="708"/>
        <w:jc w:val="both"/>
      </w:pPr>
      <w:r>
        <w:rPr>
          <w:rFonts w:eastAsia="Calibri"/>
          <w:szCs w:val="22"/>
          <w:lang w:eastAsia="en-US"/>
        </w:rPr>
        <w:tab/>
        <w:t>[</w:t>
      </w:r>
      <w:r w:rsidRPr="009541B3">
        <w:t>§ 10 - Der Arbeitgeber vermerkt auf der in Artikel 57 erwähnten Karte folgende Angaben:</w:t>
      </w:r>
    </w:p>
    <w:p w14:paraId="70DED5EA" w14:textId="77777777" w:rsidR="00C63F43" w:rsidRPr="009541B3" w:rsidRDefault="00C63F43" w:rsidP="00C63F43">
      <w:pPr>
        <w:jc w:val="both"/>
      </w:pPr>
    </w:p>
    <w:p w14:paraId="2FC15E6E" w14:textId="77777777" w:rsidR="00C63F43" w:rsidRPr="009541B3" w:rsidRDefault="00C63F43" w:rsidP="00C63F43">
      <w:pPr>
        <w:ind w:firstLine="708"/>
        <w:jc w:val="both"/>
      </w:pPr>
      <w:r w:rsidRPr="009541B3">
        <w:t>1. Betrag der Entlohnung wie in § 5 Absatz 2 erwähnt, die dem Forscher-Impatriate gezahlt oder zuerkannt wurde,</w:t>
      </w:r>
    </w:p>
    <w:p w14:paraId="28507582" w14:textId="77777777" w:rsidR="00C63F43" w:rsidRPr="009541B3" w:rsidRDefault="00C63F43" w:rsidP="00C63F43">
      <w:pPr>
        <w:jc w:val="both"/>
      </w:pPr>
    </w:p>
    <w:p w14:paraId="31B8C402" w14:textId="77777777" w:rsidR="00C63F43" w:rsidRPr="009541B3" w:rsidRDefault="00C63F43" w:rsidP="00C63F43">
      <w:pPr>
        <w:ind w:firstLine="708"/>
        <w:jc w:val="both"/>
      </w:pPr>
      <w:r w:rsidRPr="009541B3">
        <w:t>2. Betrag, der in Anwendung von § 5 als eine Erstattung eigener Ausgaben des Arbeitgebers gilt,</w:t>
      </w:r>
    </w:p>
    <w:p w14:paraId="18445B05" w14:textId="77777777" w:rsidR="00C63F43" w:rsidRPr="009541B3" w:rsidRDefault="00C63F43" w:rsidP="00C63F43">
      <w:pPr>
        <w:jc w:val="both"/>
      </w:pPr>
    </w:p>
    <w:p w14:paraId="0236BC94" w14:textId="4A82CF86" w:rsidR="00C63F43" w:rsidRPr="009118AB" w:rsidRDefault="00C63F43" w:rsidP="00C63F43">
      <w:pPr>
        <w:autoSpaceDE w:val="0"/>
        <w:autoSpaceDN w:val="0"/>
        <w:adjustRightInd w:val="0"/>
        <w:ind w:firstLine="708"/>
        <w:jc w:val="both"/>
        <w:rPr>
          <w:rFonts w:eastAsia="Calibri"/>
          <w:szCs w:val="22"/>
          <w:lang w:eastAsia="en-US"/>
        </w:rPr>
      </w:pPr>
      <w:r w:rsidRPr="009541B3">
        <w:t>3. Betrag, der in Anwendung von § 6 als eine Erstattung eigener Ausgaben des Arbeitgebers gilt.</w:t>
      </w:r>
      <w:r>
        <w:t>]</w:t>
      </w:r>
    </w:p>
    <w:p w14:paraId="57D10AE7" w14:textId="099C1DF5" w:rsidR="00AD25AD" w:rsidRPr="009118AB" w:rsidRDefault="00AD25AD" w:rsidP="00AD25AD">
      <w:pPr>
        <w:autoSpaceDE w:val="0"/>
        <w:autoSpaceDN w:val="0"/>
        <w:adjustRightInd w:val="0"/>
        <w:jc w:val="both"/>
        <w:rPr>
          <w:rFonts w:eastAsia="Calibri"/>
          <w:szCs w:val="22"/>
          <w:lang w:eastAsia="en-US"/>
        </w:rPr>
      </w:pPr>
    </w:p>
    <w:p w14:paraId="4535F1E8" w14:textId="654A2015" w:rsidR="00AD25AD" w:rsidRPr="009118AB" w:rsidRDefault="00AD25AD" w:rsidP="00AD25AD">
      <w:pPr>
        <w:autoSpaceDE w:val="0"/>
        <w:autoSpaceDN w:val="0"/>
        <w:adjustRightInd w:val="0"/>
        <w:jc w:val="both"/>
        <w:rPr>
          <w:i/>
        </w:rPr>
      </w:pPr>
      <w:r w:rsidRPr="009118AB">
        <w:rPr>
          <w:rFonts w:eastAsia="Calibri"/>
          <w:i/>
          <w:iCs/>
          <w:szCs w:val="22"/>
          <w:lang w:eastAsia="en-US"/>
        </w:rPr>
        <w:t>[</w:t>
      </w:r>
      <w:r w:rsidR="00D67EB8" w:rsidRPr="009118AB">
        <w:rPr>
          <w:rFonts w:eastAsia="Calibri"/>
          <w:i/>
          <w:iCs/>
          <w:szCs w:val="22"/>
          <w:lang w:eastAsia="en-US"/>
        </w:rPr>
        <w:t>Art. </w:t>
      </w:r>
      <w:r w:rsidRPr="009118AB">
        <w:rPr>
          <w:rFonts w:eastAsia="Calibri"/>
          <w:i/>
          <w:iCs/>
          <w:szCs w:val="22"/>
          <w:lang w:eastAsia="en-US"/>
        </w:rPr>
        <w:t xml:space="preserve">32/2 eingefügt durch </w:t>
      </w:r>
      <w:r w:rsidR="00D67EB8" w:rsidRPr="009118AB">
        <w:rPr>
          <w:rFonts w:eastAsia="Calibri"/>
          <w:i/>
          <w:iCs/>
          <w:szCs w:val="22"/>
          <w:lang w:eastAsia="en-US"/>
        </w:rPr>
        <w:t>Art. </w:t>
      </w:r>
      <w:r w:rsidRPr="009118AB">
        <w:rPr>
          <w:rFonts w:eastAsia="Calibri"/>
          <w:i/>
          <w:iCs/>
          <w:szCs w:val="22"/>
          <w:lang w:eastAsia="en-US"/>
        </w:rPr>
        <w:t>14</w:t>
      </w:r>
      <w:r w:rsidRPr="009118AB">
        <w:rPr>
          <w:i/>
        </w:rPr>
        <w:t xml:space="preserve"> des G. vom 27. Dezember 2021 (B.S. vom 31. Dezember 2021)</w:t>
      </w:r>
      <w:r w:rsidR="00D67EB8" w:rsidRPr="009118AB">
        <w:rPr>
          <w:i/>
        </w:rPr>
        <w:t> - </w:t>
      </w:r>
      <w:r w:rsidRPr="009118AB">
        <w:rPr>
          <w:i/>
        </w:rPr>
        <w:t>in Kraft am 1. Januar 2022 und anwendbar auf die in Betracht kommenden Steuerpflichtigen-Impatriates und Forscher-Impatriates, deren Arbeitsantritt in Belgien ab dem 1. Januar 2022 erfolgt</w:t>
      </w:r>
      <w:r w:rsidR="003366D9" w:rsidRPr="009118AB">
        <w:rPr>
          <w:i/>
        </w:rPr>
        <w:t> -;</w:t>
      </w:r>
      <w:r w:rsidR="00DB3894" w:rsidRPr="009118AB">
        <w:rPr>
          <w:i/>
        </w:rPr>
        <w:t xml:space="preserve"> </w:t>
      </w:r>
      <w:r w:rsidR="003531A9" w:rsidRPr="009118AB">
        <w:rPr>
          <w:i/>
        </w:rPr>
        <w:t>§ 2 Abs. 1 Nr. 1 abgeändert durch Art. 4 Nr. 1</w:t>
      </w:r>
      <w:r w:rsidR="003531A9" w:rsidRPr="009118AB">
        <w:rPr>
          <w:i/>
          <w:iCs/>
        </w:rPr>
        <w:t xml:space="preserve"> des G. vom 21. Dezember 2022 (II) (B.S. vom 29. Dezember 2022) - wirksam mit 1. Januar 2022 -; </w:t>
      </w:r>
      <w:r w:rsidR="003531A9" w:rsidRPr="009118AB">
        <w:rPr>
          <w:i/>
        </w:rPr>
        <w:t>§ 2 Abs. 1 Nr. 2 abgeändert durch Art. 4 Nr. 2</w:t>
      </w:r>
      <w:r w:rsidR="003531A9" w:rsidRPr="009118AB">
        <w:rPr>
          <w:i/>
          <w:iCs/>
        </w:rPr>
        <w:t xml:space="preserve"> des G. vom 21. Dezember 2022 (II) (B.S. vom 29. Dezember 2022) - wirksam mit 1. Januar 2022 -; </w:t>
      </w:r>
      <w:r w:rsidR="003531A9" w:rsidRPr="009118AB">
        <w:rPr>
          <w:i/>
        </w:rPr>
        <w:t>§ 2 Abs. 3 Nr. 1 abgeändert durch Art. 4 Nr. 3</w:t>
      </w:r>
      <w:r w:rsidR="003531A9" w:rsidRPr="009118AB">
        <w:rPr>
          <w:i/>
          <w:iCs/>
        </w:rPr>
        <w:t xml:space="preserve"> des G. vom 21. Dezember 2022 (II) (B.S. vom 29. Dezember 2022) - wirksam mit 1. Januar 2022 -;</w:t>
      </w:r>
      <w:r w:rsidR="00D67EB8" w:rsidRPr="009118AB">
        <w:rPr>
          <w:i/>
        </w:rPr>
        <w:t>§ </w:t>
      </w:r>
      <w:r w:rsidR="00DB3894" w:rsidRPr="009118AB">
        <w:rPr>
          <w:i/>
        </w:rPr>
        <w:t xml:space="preserve">2 </w:t>
      </w:r>
      <w:r w:rsidR="00D67EB8" w:rsidRPr="009118AB">
        <w:rPr>
          <w:i/>
        </w:rPr>
        <w:t>Abs. </w:t>
      </w:r>
      <w:r w:rsidR="00DB3894" w:rsidRPr="009118AB">
        <w:rPr>
          <w:i/>
        </w:rPr>
        <w:t xml:space="preserve">5 abgeändert durch </w:t>
      </w:r>
      <w:r w:rsidR="00D67EB8" w:rsidRPr="009118AB">
        <w:rPr>
          <w:i/>
        </w:rPr>
        <w:t>Art. </w:t>
      </w:r>
      <w:r w:rsidR="00DB3894" w:rsidRPr="009118AB">
        <w:rPr>
          <w:i/>
        </w:rPr>
        <w:t xml:space="preserve">6 </w:t>
      </w:r>
      <w:r w:rsidR="00D67EB8" w:rsidRPr="009118AB">
        <w:rPr>
          <w:i/>
        </w:rPr>
        <w:t>Nr. </w:t>
      </w:r>
      <w:r w:rsidR="00DB3894" w:rsidRPr="009118AB">
        <w:rPr>
          <w:i/>
        </w:rPr>
        <w:t>1</w:t>
      </w:r>
      <w:r w:rsidR="00DB3894" w:rsidRPr="009118AB">
        <w:rPr>
          <w:i/>
          <w:iCs/>
        </w:rPr>
        <w:t xml:space="preserve"> des G. vom 5. Juli 2022 (B.S. vom 15. Juli 2022)</w:t>
      </w:r>
      <w:r w:rsidR="00D67EB8" w:rsidRPr="009118AB">
        <w:rPr>
          <w:i/>
          <w:iCs/>
        </w:rPr>
        <w:t> - </w:t>
      </w:r>
      <w:r w:rsidR="00DB3894" w:rsidRPr="009118AB">
        <w:rPr>
          <w:i/>
          <w:iCs/>
        </w:rPr>
        <w:t>wirksam mit 1. Januar 2022</w:t>
      </w:r>
      <w:r w:rsidR="003366D9" w:rsidRPr="009118AB">
        <w:rPr>
          <w:i/>
          <w:iCs/>
        </w:rPr>
        <w:t> -;</w:t>
      </w:r>
      <w:r w:rsidR="00DB3894" w:rsidRPr="009118AB">
        <w:rPr>
          <w:i/>
          <w:iCs/>
        </w:rPr>
        <w:t xml:space="preserve"> </w:t>
      </w:r>
      <w:r w:rsidR="009370D2">
        <w:rPr>
          <w:i/>
          <w:iCs/>
        </w:rPr>
        <w:t xml:space="preserve">§ 3 Abs. 2 aufgehoben </w:t>
      </w:r>
      <w:r w:rsidR="009370D2" w:rsidRPr="003E131B">
        <w:rPr>
          <w:i/>
          <w:iCs/>
          <w:spacing w:val="-2"/>
        </w:rPr>
        <w:t>durch Art. 4</w:t>
      </w:r>
      <w:r w:rsidR="009370D2">
        <w:rPr>
          <w:i/>
          <w:iCs/>
          <w:spacing w:val="-2"/>
        </w:rPr>
        <w:t>6</w:t>
      </w:r>
      <w:r w:rsidR="009370D2" w:rsidRPr="003E131B">
        <w:rPr>
          <w:i/>
          <w:iCs/>
          <w:spacing w:val="-2"/>
        </w:rPr>
        <w:t xml:space="preserve"> Nr. 1 des G. vom 28. Dezember 2023 (B.S. vom 29. Dezember</w:t>
      </w:r>
      <w:r w:rsidR="009370D2" w:rsidRPr="003E131B">
        <w:rPr>
          <w:i/>
          <w:iCs/>
          <w:spacing w:val="-2"/>
          <w:sz w:val="22"/>
          <w:szCs w:val="22"/>
        </w:rPr>
        <w:t> 2023</w:t>
      </w:r>
      <w:r w:rsidR="009370D2" w:rsidRPr="00B75CB3">
        <w:rPr>
          <w:i/>
          <w:iCs/>
          <w:spacing w:val="-2"/>
          <w:sz w:val="22"/>
          <w:szCs w:val="22"/>
        </w:rPr>
        <w:t>) - </w:t>
      </w:r>
      <w:r w:rsidR="009370D2" w:rsidRPr="00B75CB3">
        <w:rPr>
          <w:i/>
          <w:iCs/>
        </w:rPr>
        <w:t>wirksam mit 1. Januar 2023 und anwendbar auf die ab diesem Datum gezahlten oder zuerkannten Entlohnungen -;</w:t>
      </w:r>
      <w:r w:rsidR="009370D2">
        <w:rPr>
          <w:i/>
          <w:iCs/>
        </w:rPr>
        <w:t xml:space="preserve"> </w:t>
      </w:r>
      <w:r w:rsidR="00D67EB8" w:rsidRPr="009118AB">
        <w:rPr>
          <w:i/>
          <w:iCs/>
        </w:rPr>
        <w:t>§ </w:t>
      </w:r>
      <w:r w:rsidR="00DB3894" w:rsidRPr="009118AB">
        <w:rPr>
          <w:i/>
          <w:iCs/>
        </w:rPr>
        <w:t xml:space="preserve">5 </w:t>
      </w:r>
      <w:r w:rsidR="00D67EB8" w:rsidRPr="009118AB">
        <w:rPr>
          <w:i/>
          <w:iCs/>
        </w:rPr>
        <w:t>Abs. </w:t>
      </w:r>
      <w:r w:rsidR="00DB3894" w:rsidRPr="009118AB">
        <w:rPr>
          <w:i/>
          <w:iCs/>
        </w:rPr>
        <w:t xml:space="preserve">2 abgeändert durch </w:t>
      </w:r>
      <w:r w:rsidR="00D67EB8" w:rsidRPr="009118AB">
        <w:rPr>
          <w:i/>
          <w:iCs/>
        </w:rPr>
        <w:t>Art. </w:t>
      </w:r>
      <w:r w:rsidR="00DB3894" w:rsidRPr="009118AB">
        <w:rPr>
          <w:i/>
          <w:iCs/>
        </w:rPr>
        <w:t xml:space="preserve">6 </w:t>
      </w:r>
      <w:r w:rsidR="00D67EB8" w:rsidRPr="009118AB">
        <w:rPr>
          <w:i/>
          <w:iCs/>
        </w:rPr>
        <w:t>Nr. </w:t>
      </w:r>
      <w:r w:rsidR="00DB3894" w:rsidRPr="009118AB">
        <w:rPr>
          <w:i/>
          <w:iCs/>
        </w:rPr>
        <w:t>3 und 4 des G. vom 5. Juli 2022 (B.S. vom 15. Juli 2022)</w:t>
      </w:r>
      <w:r w:rsidR="00D67EB8" w:rsidRPr="009118AB">
        <w:rPr>
          <w:i/>
          <w:iCs/>
        </w:rPr>
        <w:t> - </w:t>
      </w:r>
      <w:r w:rsidR="00DB3894" w:rsidRPr="009118AB">
        <w:rPr>
          <w:i/>
          <w:iCs/>
        </w:rPr>
        <w:t>wirksam mit 1. Januar 2022</w:t>
      </w:r>
      <w:r w:rsidR="003366D9" w:rsidRPr="009118AB">
        <w:rPr>
          <w:i/>
          <w:iCs/>
        </w:rPr>
        <w:t> -</w:t>
      </w:r>
      <w:r w:rsidR="005C44D4">
        <w:rPr>
          <w:i/>
          <w:iCs/>
        </w:rPr>
        <w:t xml:space="preserve">, </w:t>
      </w:r>
      <w:r w:rsidR="00D25A5A" w:rsidRPr="009118AB">
        <w:rPr>
          <w:i/>
        </w:rPr>
        <w:t>Art. 4 Nr. 4</w:t>
      </w:r>
      <w:r w:rsidR="00D25A5A" w:rsidRPr="009118AB">
        <w:rPr>
          <w:i/>
          <w:iCs/>
        </w:rPr>
        <w:t xml:space="preserve"> des G. vom 21. Dezember 2022 (II) (B.S. vom 29. Dezember 2022) - wirksam mit 1. Januar 2022 -</w:t>
      </w:r>
      <w:r w:rsidR="009370D2">
        <w:rPr>
          <w:i/>
          <w:iCs/>
        </w:rPr>
        <w:t xml:space="preserve"> und </w:t>
      </w:r>
      <w:r w:rsidR="009370D2" w:rsidRPr="003E131B">
        <w:rPr>
          <w:i/>
          <w:iCs/>
          <w:spacing w:val="-2"/>
        </w:rPr>
        <w:t>Art. 4</w:t>
      </w:r>
      <w:r w:rsidR="009370D2">
        <w:rPr>
          <w:i/>
          <w:iCs/>
          <w:spacing w:val="-2"/>
        </w:rPr>
        <w:t>6</w:t>
      </w:r>
      <w:r w:rsidR="009370D2" w:rsidRPr="003E131B">
        <w:rPr>
          <w:i/>
          <w:iCs/>
          <w:spacing w:val="-2"/>
        </w:rPr>
        <w:t xml:space="preserve"> Nr. </w:t>
      </w:r>
      <w:r w:rsidR="009370D2">
        <w:rPr>
          <w:i/>
          <w:iCs/>
          <w:spacing w:val="-2"/>
        </w:rPr>
        <w:t>2</w:t>
      </w:r>
      <w:r w:rsidR="009370D2" w:rsidRPr="003E131B">
        <w:rPr>
          <w:i/>
          <w:iCs/>
          <w:spacing w:val="-2"/>
        </w:rPr>
        <w:t xml:space="preserve"> des G. vom 28. Dezember 2023 (B.S. vom 29. Dezember</w:t>
      </w:r>
      <w:r w:rsidR="009370D2" w:rsidRPr="003E131B">
        <w:rPr>
          <w:i/>
          <w:iCs/>
          <w:spacing w:val="-2"/>
          <w:sz w:val="22"/>
          <w:szCs w:val="22"/>
        </w:rPr>
        <w:t> 2023</w:t>
      </w:r>
      <w:r w:rsidR="009370D2" w:rsidRPr="00B75CB3">
        <w:rPr>
          <w:i/>
          <w:iCs/>
          <w:spacing w:val="-2"/>
          <w:sz w:val="22"/>
          <w:szCs w:val="22"/>
        </w:rPr>
        <w:t>) - </w:t>
      </w:r>
      <w:r w:rsidR="009370D2" w:rsidRPr="00B75CB3">
        <w:rPr>
          <w:i/>
          <w:iCs/>
        </w:rPr>
        <w:t xml:space="preserve">wirksam mit 1. Januar 2023 und anwendbar </w:t>
      </w:r>
      <w:r w:rsidR="009370D2" w:rsidRPr="00B75CB3">
        <w:rPr>
          <w:i/>
          <w:iCs/>
        </w:rPr>
        <w:lastRenderedPageBreak/>
        <w:t>auf die ab diesem Datum gezahlten oder zuerkannten Entlohnungen -;</w:t>
      </w:r>
      <w:r w:rsidR="00DB3894" w:rsidRPr="009118AB">
        <w:rPr>
          <w:i/>
          <w:iCs/>
        </w:rPr>
        <w:t xml:space="preserve"> </w:t>
      </w:r>
      <w:r w:rsidR="00D67EB8" w:rsidRPr="009118AB">
        <w:rPr>
          <w:i/>
          <w:iCs/>
        </w:rPr>
        <w:t>§ </w:t>
      </w:r>
      <w:r w:rsidR="00DB3894" w:rsidRPr="009118AB">
        <w:rPr>
          <w:i/>
          <w:iCs/>
        </w:rPr>
        <w:t xml:space="preserve">8 </w:t>
      </w:r>
      <w:r w:rsidR="00D67EB8" w:rsidRPr="009118AB">
        <w:rPr>
          <w:i/>
          <w:iCs/>
        </w:rPr>
        <w:t>Abs. </w:t>
      </w:r>
      <w:r w:rsidR="00DB3894" w:rsidRPr="009118AB">
        <w:rPr>
          <w:i/>
          <w:iCs/>
        </w:rPr>
        <w:t xml:space="preserve">1 abgeändert durch </w:t>
      </w:r>
      <w:r w:rsidR="00D67EB8" w:rsidRPr="009118AB">
        <w:rPr>
          <w:i/>
          <w:iCs/>
        </w:rPr>
        <w:t>Art. </w:t>
      </w:r>
      <w:r w:rsidR="00DB3894" w:rsidRPr="009118AB">
        <w:rPr>
          <w:i/>
          <w:iCs/>
        </w:rPr>
        <w:t xml:space="preserve">6 </w:t>
      </w:r>
      <w:r w:rsidR="00D67EB8" w:rsidRPr="009118AB">
        <w:rPr>
          <w:i/>
          <w:iCs/>
        </w:rPr>
        <w:t>Nr. </w:t>
      </w:r>
      <w:r w:rsidR="00DB3894" w:rsidRPr="009118AB">
        <w:rPr>
          <w:i/>
          <w:iCs/>
        </w:rPr>
        <w:t>5 des G. vom 5. Juli 2022 (B.S. vom 15. Juli 2022)</w:t>
      </w:r>
      <w:r w:rsidR="00D67EB8" w:rsidRPr="009118AB">
        <w:rPr>
          <w:i/>
          <w:iCs/>
        </w:rPr>
        <w:t> - </w:t>
      </w:r>
      <w:r w:rsidR="00DB3894" w:rsidRPr="009118AB">
        <w:rPr>
          <w:i/>
          <w:iCs/>
        </w:rPr>
        <w:t>wirksam mit 1. Januar 2022</w:t>
      </w:r>
      <w:r w:rsidR="003366D9" w:rsidRPr="009118AB">
        <w:rPr>
          <w:i/>
          <w:iCs/>
        </w:rPr>
        <w:t> -;</w:t>
      </w:r>
      <w:r w:rsidR="00DB3894" w:rsidRPr="009118AB">
        <w:rPr>
          <w:i/>
          <w:iCs/>
        </w:rPr>
        <w:t xml:space="preserve"> </w:t>
      </w:r>
      <w:r w:rsidR="00D67EB8" w:rsidRPr="009118AB">
        <w:rPr>
          <w:i/>
          <w:iCs/>
        </w:rPr>
        <w:t>§ </w:t>
      </w:r>
      <w:r w:rsidR="00DB3894" w:rsidRPr="009118AB">
        <w:rPr>
          <w:i/>
          <w:iCs/>
        </w:rPr>
        <w:t xml:space="preserve">8 </w:t>
      </w:r>
      <w:r w:rsidR="00D67EB8" w:rsidRPr="009118AB">
        <w:rPr>
          <w:i/>
          <w:iCs/>
        </w:rPr>
        <w:t>Abs. </w:t>
      </w:r>
      <w:r w:rsidR="00DB3894" w:rsidRPr="009118AB">
        <w:rPr>
          <w:i/>
          <w:iCs/>
        </w:rPr>
        <w:t xml:space="preserve">2 abgeändert durch </w:t>
      </w:r>
      <w:r w:rsidR="00D67EB8" w:rsidRPr="009118AB">
        <w:rPr>
          <w:i/>
          <w:iCs/>
        </w:rPr>
        <w:t>Art. </w:t>
      </w:r>
      <w:r w:rsidR="00DB3894" w:rsidRPr="009118AB">
        <w:rPr>
          <w:i/>
          <w:iCs/>
        </w:rPr>
        <w:t xml:space="preserve">6 </w:t>
      </w:r>
      <w:r w:rsidR="00D67EB8" w:rsidRPr="009118AB">
        <w:rPr>
          <w:i/>
          <w:iCs/>
        </w:rPr>
        <w:t>Nr. </w:t>
      </w:r>
      <w:r w:rsidR="00DB3894" w:rsidRPr="009118AB">
        <w:rPr>
          <w:i/>
          <w:iCs/>
        </w:rPr>
        <w:t>6 des G. vom 5. Juli 2022 (B.S. vom 15. Juli 2022)</w:t>
      </w:r>
      <w:r w:rsidR="00D67EB8" w:rsidRPr="009118AB">
        <w:rPr>
          <w:i/>
          <w:iCs/>
        </w:rPr>
        <w:t> - </w:t>
      </w:r>
      <w:r w:rsidR="00DB3894" w:rsidRPr="009118AB">
        <w:rPr>
          <w:i/>
          <w:iCs/>
        </w:rPr>
        <w:t>wirksam mit 1. Januar 2022</w:t>
      </w:r>
      <w:r w:rsidR="00FD68E8" w:rsidRPr="009118AB">
        <w:rPr>
          <w:i/>
          <w:iCs/>
        </w:rPr>
        <w:t> -</w:t>
      </w:r>
      <w:r w:rsidR="009370D2">
        <w:rPr>
          <w:i/>
          <w:iCs/>
        </w:rPr>
        <w:t xml:space="preserve">; § 10 eingefügt </w:t>
      </w:r>
      <w:r w:rsidR="009370D2" w:rsidRPr="003E131B">
        <w:rPr>
          <w:i/>
          <w:iCs/>
          <w:spacing w:val="-2"/>
        </w:rPr>
        <w:t>durch Art. 4</w:t>
      </w:r>
      <w:r w:rsidR="009370D2">
        <w:rPr>
          <w:i/>
          <w:iCs/>
          <w:spacing w:val="-2"/>
        </w:rPr>
        <w:t>6</w:t>
      </w:r>
      <w:r w:rsidR="009370D2" w:rsidRPr="003E131B">
        <w:rPr>
          <w:i/>
          <w:iCs/>
          <w:spacing w:val="-2"/>
        </w:rPr>
        <w:t xml:space="preserve"> Nr.</w:t>
      </w:r>
      <w:r w:rsidR="009370D2">
        <w:rPr>
          <w:i/>
          <w:iCs/>
          <w:spacing w:val="-2"/>
        </w:rPr>
        <w:t> 3</w:t>
      </w:r>
      <w:r w:rsidR="009370D2" w:rsidRPr="003E131B">
        <w:rPr>
          <w:i/>
          <w:iCs/>
          <w:spacing w:val="-2"/>
        </w:rPr>
        <w:t xml:space="preserve"> des G. vom 28. Dezember 2023 (B.S. vom 29. Dezember</w:t>
      </w:r>
      <w:r w:rsidR="009370D2" w:rsidRPr="003E131B">
        <w:rPr>
          <w:i/>
          <w:iCs/>
          <w:spacing w:val="-2"/>
          <w:sz w:val="22"/>
          <w:szCs w:val="22"/>
        </w:rPr>
        <w:t> 2023</w:t>
      </w:r>
      <w:r w:rsidR="009370D2" w:rsidRPr="00B75CB3">
        <w:rPr>
          <w:i/>
          <w:iCs/>
          <w:spacing w:val="-2"/>
          <w:sz w:val="22"/>
          <w:szCs w:val="22"/>
        </w:rPr>
        <w:t>) - </w:t>
      </w:r>
      <w:r w:rsidR="009370D2" w:rsidRPr="00B75CB3">
        <w:rPr>
          <w:i/>
          <w:iCs/>
        </w:rPr>
        <w:t>wirksam mit 1. Januar 2023 und anwendbar auf die ab diesem Datum gezahlten oder zuerkannten Entlohnungen -</w:t>
      </w:r>
      <w:r w:rsidR="00FD68E8" w:rsidRPr="009118AB">
        <w:rPr>
          <w:i/>
          <w:iCs/>
        </w:rPr>
        <w:t>]</w:t>
      </w:r>
    </w:p>
    <w:p w14:paraId="612F8821" w14:textId="77777777" w:rsidR="00AD25AD" w:rsidRDefault="00AD25AD" w:rsidP="00AD25AD">
      <w:pPr>
        <w:autoSpaceDE w:val="0"/>
        <w:autoSpaceDN w:val="0"/>
        <w:adjustRightInd w:val="0"/>
        <w:jc w:val="both"/>
      </w:pPr>
    </w:p>
    <w:p w14:paraId="3FD3DB72" w14:textId="77777777" w:rsidR="00274E13" w:rsidRDefault="00274E13" w:rsidP="00AD25AD">
      <w:pPr>
        <w:autoSpaceDE w:val="0"/>
        <w:autoSpaceDN w:val="0"/>
        <w:adjustRightInd w:val="0"/>
        <w:jc w:val="both"/>
      </w:pPr>
    </w:p>
    <w:p w14:paraId="56837A04" w14:textId="3E482C90" w:rsidR="00274E13" w:rsidRPr="00274E13" w:rsidRDefault="00274E13" w:rsidP="00274E13">
      <w:pPr>
        <w:autoSpaceDE w:val="0"/>
        <w:autoSpaceDN w:val="0"/>
        <w:adjustRightInd w:val="0"/>
        <w:jc w:val="both"/>
        <w:rPr>
          <w:iCs/>
          <w:sz w:val="20"/>
          <w:szCs w:val="20"/>
        </w:rPr>
      </w:pPr>
      <w:r w:rsidRPr="00274E13">
        <w:rPr>
          <w:sz w:val="20"/>
          <w:szCs w:val="20"/>
        </w:rPr>
        <w:t>Ab einem gemäß Art. 222 des G. vom 12. Mai 2024 (B.S. vom 30. Mai 2024) vom König festzulegenden Datum und spätestens am 1. Januar 2028 lautet Art. </w:t>
      </w:r>
      <w:r>
        <w:rPr>
          <w:sz w:val="20"/>
          <w:szCs w:val="20"/>
        </w:rPr>
        <w:t>32/</w:t>
      </w:r>
      <w:r w:rsidRPr="00274E13">
        <w:rPr>
          <w:sz w:val="20"/>
          <w:szCs w:val="20"/>
        </w:rPr>
        <w:t xml:space="preserve">2 </w:t>
      </w:r>
      <w:r w:rsidRPr="00274E13">
        <w:rPr>
          <w:iCs/>
          <w:sz w:val="20"/>
          <w:szCs w:val="20"/>
        </w:rPr>
        <w:t>wie folgt:</w:t>
      </w:r>
    </w:p>
    <w:p w14:paraId="4FDE27A6" w14:textId="77777777" w:rsidR="00274E13" w:rsidRDefault="00274E13" w:rsidP="00AD25AD">
      <w:pPr>
        <w:autoSpaceDE w:val="0"/>
        <w:autoSpaceDN w:val="0"/>
        <w:adjustRightInd w:val="0"/>
        <w:jc w:val="both"/>
        <w:rPr>
          <w:sz w:val="20"/>
          <w:szCs w:val="20"/>
        </w:rPr>
      </w:pPr>
    </w:p>
    <w:p w14:paraId="7545D661" w14:textId="3FCBFC1F" w:rsidR="00274E13" w:rsidRPr="00274E13" w:rsidRDefault="00274E13" w:rsidP="00274E13">
      <w:pPr>
        <w:autoSpaceDE w:val="0"/>
        <w:autoSpaceDN w:val="0"/>
        <w:adjustRightInd w:val="0"/>
        <w:jc w:val="both"/>
        <w:rPr>
          <w:sz w:val="20"/>
          <w:szCs w:val="20"/>
        </w:rPr>
      </w:pPr>
      <w:r>
        <w:rPr>
          <w:sz w:val="20"/>
          <w:szCs w:val="20"/>
        </w:rPr>
        <w:t>"</w:t>
      </w:r>
      <w:r w:rsidRPr="00274E13">
        <w:rPr>
          <w:sz w:val="20"/>
          <w:szCs w:val="20"/>
        </w:rPr>
        <w:t>[Art. 32/2 - § 1 ­ In Bezug auf Forscher-Impatriates, die in Artikel 30 Nr. 1 erwähnte Entlohnungen beziehen, gilt die Übernahme bestimmter Kosten durch den Arbeitgeber als eine Erstattung eigener Ausgaben des Arbeitgebers unter den Bedingungen und in den Grenzen, die in vorliegendem Artikel vorgesehen sind.</w:t>
      </w:r>
    </w:p>
    <w:p w14:paraId="133E4A97" w14:textId="77777777" w:rsidR="00274E13" w:rsidRPr="00274E13" w:rsidRDefault="00274E13" w:rsidP="00274E13">
      <w:pPr>
        <w:autoSpaceDE w:val="0"/>
        <w:autoSpaceDN w:val="0"/>
        <w:adjustRightInd w:val="0"/>
        <w:jc w:val="both"/>
        <w:rPr>
          <w:sz w:val="20"/>
          <w:szCs w:val="20"/>
        </w:rPr>
      </w:pPr>
    </w:p>
    <w:p w14:paraId="57C0465D" w14:textId="2FC22472" w:rsidR="00274E13" w:rsidRPr="00274E13" w:rsidRDefault="00274E13" w:rsidP="00274E13">
      <w:pPr>
        <w:autoSpaceDE w:val="0"/>
        <w:autoSpaceDN w:val="0"/>
        <w:adjustRightInd w:val="0"/>
        <w:jc w:val="both"/>
        <w:rPr>
          <w:sz w:val="20"/>
          <w:szCs w:val="20"/>
        </w:rPr>
      </w:pPr>
      <w:r w:rsidRPr="00274E13">
        <w:rPr>
          <w:sz w:val="20"/>
          <w:szCs w:val="20"/>
        </w:rPr>
        <w:t>§ 2 - Für die Anwendung des vorliegenden Artikels versteht man unter "Forscher-Impatriate":</w:t>
      </w:r>
    </w:p>
    <w:p w14:paraId="065850E1" w14:textId="77777777" w:rsidR="00274E13" w:rsidRPr="00274E13" w:rsidRDefault="00274E13" w:rsidP="00274E13">
      <w:pPr>
        <w:autoSpaceDE w:val="0"/>
        <w:autoSpaceDN w:val="0"/>
        <w:adjustRightInd w:val="0"/>
        <w:jc w:val="both"/>
        <w:rPr>
          <w:sz w:val="20"/>
          <w:szCs w:val="20"/>
        </w:rPr>
      </w:pPr>
    </w:p>
    <w:p w14:paraId="05237B38" w14:textId="45FCE5CE" w:rsidR="00274E13" w:rsidRPr="00274E13" w:rsidRDefault="00274E13" w:rsidP="00274E13">
      <w:pPr>
        <w:autoSpaceDE w:val="0"/>
        <w:autoSpaceDN w:val="0"/>
        <w:adjustRightInd w:val="0"/>
        <w:jc w:val="both"/>
        <w:rPr>
          <w:sz w:val="20"/>
          <w:szCs w:val="20"/>
        </w:rPr>
      </w:pPr>
      <w:r w:rsidRPr="00274E13">
        <w:rPr>
          <w:sz w:val="20"/>
          <w:szCs w:val="20"/>
        </w:rPr>
        <w:t>1. einen Forscher, [den ein Unternehmen oder eine Niederlassung eines Unternehmens, das/die in der Zentralen Datenbank der Unternehmen eingetragen ist, direkt im Ausland anwirbt, damit er in diesem Unternehmen beziehungsweise dieser Niederlassung] eine in Belgien steuerpflichtige entlohnte Tätigkeit ausübt,</w:t>
      </w:r>
    </w:p>
    <w:p w14:paraId="3D3ABEA7" w14:textId="77777777" w:rsidR="00274E13" w:rsidRPr="00274E13" w:rsidRDefault="00274E13" w:rsidP="00274E13">
      <w:pPr>
        <w:autoSpaceDE w:val="0"/>
        <w:autoSpaceDN w:val="0"/>
        <w:adjustRightInd w:val="0"/>
        <w:jc w:val="both"/>
        <w:rPr>
          <w:sz w:val="20"/>
          <w:szCs w:val="20"/>
        </w:rPr>
      </w:pPr>
    </w:p>
    <w:p w14:paraId="11B0E610" w14:textId="1208F91D" w:rsidR="00274E13" w:rsidRPr="00274E13" w:rsidRDefault="00274E13" w:rsidP="00274E13">
      <w:pPr>
        <w:autoSpaceDE w:val="0"/>
        <w:autoSpaceDN w:val="0"/>
        <w:adjustRightInd w:val="0"/>
        <w:jc w:val="both"/>
        <w:rPr>
          <w:sz w:val="20"/>
          <w:szCs w:val="20"/>
        </w:rPr>
      </w:pPr>
      <w:r w:rsidRPr="00274E13">
        <w:rPr>
          <w:sz w:val="20"/>
          <w:szCs w:val="20"/>
        </w:rPr>
        <w:t>2. einen Forscher, den ein ausländisches Unternehmen, das Teil einer multinationalen Gruppe ist, einer oder mehreren inländischen Gesellschaften, [einem oder mehreren Unternehmen oder einer oder mehreren Niederlassungen eines Unternehmens, die in der Zentralen Datenbank der Unternehmen eingetragen sind,] zur Verfügung stellt, damit er eine in Belgien steuerpflichtige entlohnte Tätigkeit ausübt.</w:t>
      </w:r>
    </w:p>
    <w:p w14:paraId="4A769BAD" w14:textId="77777777" w:rsidR="00274E13" w:rsidRPr="00274E13" w:rsidRDefault="00274E13" w:rsidP="00274E13">
      <w:pPr>
        <w:autoSpaceDE w:val="0"/>
        <w:autoSpaceDN w:val="0"/>
        <w:adjustRightInd w:val="0"/>
        <w:jc w:val="both"/>
        <w:rPr>
          <w:sz w:val="20"/>
          <w:szCs w:val="20"/>
        </w:rPr>
      </w:pPr>
    </w:p>
    <w:p w14:paraId="433F079A" w14:textId="7D4988E0" w:rsidR="00274E13" w:rsidRPr="00274E13" w:rsidRDefault="00274E13" w:rsidP="00274E13">
      <w:pPr>
        <w:autoSpaceDE w:val="0"/>
        <w:autoSpaceDN w:val="0"/>
        <w:adjustRightInd w:val="0"/>
        <w:jc w:val="both"/>
        <w:rPr>
          <w:sz w:val="20"/>
          <w:szCs w:val="20"/>
        </w:rPr>
      </w:pPr>
      <w:r w:rsidRPr="00274E13">
        <w:rPr>
          <w:sz w:val="20"/>
          <w:szCs w:val="20"/>
        </w:rPr>
        <w:t>Für die Anwendung des vorliegenden Artikels versteht man unter "multinationaler Gruppe" eine Gruppe, die zwei oder mehr Unternehmen umfasst, deren steuerliche Ansässigkeit in unterschiedlichen Staaten beziehungsweise Steuerhoheitsgebieten - nachfolgend "Staat(en)" genannt - liegt, oder die ein Unternehmen umfasst, das in einem Staat steuerlich ansässig ist und in einem anderen Staat mit der durch eine belgische oder ausländische Niederlassung ausgeübten Geschäftstätigkeit steuerpflichtig ist.</w:t>
      </w:r>
    </w:p>
    <w:p w14:paraId="64136AEC" w14:textId="77777777" w:rsidR="00274E13" w:rsidRPr="00274E13" w:rsidRDefault="00274E13" w:rsidP="00274E13">
      <w:pPr>
        <w:autoSpaceDE w:val="0"/>
        <w:autoSpaceDN w:val="0"/>
        <w:adjustRightInd w:val="0"/>
        <w:jc w:val="both"/>
        <w:rPr>
          <w:sz w:val="20"/>
          <w:szCs w:val="20"/>
        </w:rPr>
      </w:pPr>
    </w:p>
    <w:p w14:paraId="57F9C09E" w14:textId="0914F430" w:rsidR="00274E13" w:rsidRPr="00274E13" w:rsidRDefault="00274E13" w:rsidP="00274E13">
      <w:pPr>
        <w:autoSpaceDE w:val="0"/>
        <w:autoSpaceDN w:val="0"/>
        <w:adjustRightInd w:val="0"/>
        <w:jc w:val="both"/>
        <w:rPr>
          <w:sz w:val="20"/>
          <w:szCs w:val="20"/>
        </w:rPr>
      </w:pPr>
      <w:r w:rsidRPr="00274E13">
        <w:rPr>
          <w:sz w:val="20"/>
          <w:szCs w:val="20"/>
        </w:rPr>
        <w:t>Für die Anwendung des vorliegenden Artikels versteht man unter "Forscher" einen Lohnempfänger, der:</w:t>
      </w:r>
    </w:p>
    <w:p w14:paraId="235F41EB" w14:textId="77777777" w:rsidR="00274E13" w:rsidRPr="00274E13" w:rsidRDefault="00274E13" w:rsidP="00274E13">
      <w:pPr>
        <w:autoSpaceDE w:val="0"/>
        <w:autoSpaceDN w:val="0"/>
        <w:adjustRightInd w:val="0"/>
        <w:jc w:val="both"/>
        <w:rPr>
          <w:sz w:val="20"/>
          <w:szCs w:val="20"/>
        </w:rPr>
      </w:pPr>
    </w:p>
    <w:p w14:paraId="1870AA04" w14:textId="03E87DD4" w:rsidR="00274E13" w:rsidRPr="00274E13" w:rsidRDefault="00274E13" w:rsidP="00274E13">
      <w:pPr>
        <w:autoSpaceDE w:val="0"/>
        <w:autoSpaceDN w:val="0"/>
        <w:adjustRightInd w:val="0"/>
        <w:jc w:val="both"/>
        <w:rPr>
          <w:sz w:val="20"/>
          <w:szCs w:val="20"/>
        </w:rPr>
      </w:pPr>
      <w:r w:rsidRPr="00274E13">
        <w:rPr>
          <w:sz w:val="20"/>
          <w:szCs w:val="20"/>
        </w:rPr>
        <w:t>1. allein oder im Team ausschließlich oder hauptsächlich Tätigkeiten im Bereich der wissenschaftlichen Forschung, der Grundlagenforschung, der industriellen Forschung oder der technischen Forschung [ausübt in einem Labor oder einem Teilbetrieb wie in Artikel 12:11 des Gesetzbuches der Gesellschaften und Vereinigungen erwähnt eines Unternehmens wie in Absatz 1 Nr. 1 und 2 des vorliegenden Paragraphen erwähnt, das hauptsächlich] ein oder mehrere Forschungs- und Entwicklungsprogramme umsetzt,</w:t>
      </w:r>
    </w:p>
    <w:p w14:paraId="35372688" w14:textId="77777777" w:rsidR="00274E13" w:rsidRPr="00274E13" w:rsidRDefault="00274E13" w:rsidP="00274E13">
      <w:pPr>
        <w:autoSpaceDE w:val="0"/>
        <w:autoSpaceDN w:val="0"/>
        <w:adjustRightInd w:val="0"/>
        <w:jc w:val="both"/>
        <w:rPr>
          <w:sz w:val="20"/>
          <w:szCs w:val="20"/>
        </w:rPr>
      </w:pPr>
    </w:p>
    <w:p w14:paraId="1FCE0966" w14:textId="092FDDD3" w:rsidR="00274E13" w:rsidRPr="00274E13" w:rsidRDefault="00274E13" w:rsidP="00274E13">
      <w:pPr>
        <w:autoSpaceDE w:val="0"/>
        <w:autoSpaceDN w:val="0"/>
        <w:adjustRightInd w:val="0"/>
        <w:jc w:val="both"/>
        <w:rPr>
          <w:sz w:val="20"/>
          <w:szCs w:val="20"/>
        </w:rPr>
      </w:pPr>
      <w:r w:rsidRPr="00274E13">
        <w:rPr>
          <w:sz w:val="20"/>
          <w:szCs w:val="20"/>
        </w:rPr>
        <w:t>und der</w:t>
      </w:r>
    </w:p>
    <w:p w14:paraId="3E4B474D" w14:textId="77777777" w:rsidR="00274E13" w:rsidRPr="00274E13" w:rsidRDefault="00274E13" w:rsidP="00274E13">
      <w:pPr>
        <w:autoSpaceDE w:val="0"/>
        <w:autoSpaceDN w:val="0"/>
        <w:adjustRightInd w:val="0"/>
        <w:jc w:val="both"/>
        <w:rPr>
          <w:sz w:val="20"/>
          <w:szCs w:val="20"/>
        </w:rPr>
      </w:pPr>
    </w:p>
    <w:p w14:paraId="68FB261E" w14:textId="0C5D96C9" w:rsidR="00274E13" w:rsidRPr="00274E13" w:rsidRDefault="00274E13" w:rsidP="00274E13">
      <w:pPr>
        <w:autoSpaceDE w:val="0"/>
        <w:autoSpaceDN w:val="0"/>
        <w:adjustRightInd w:val="0"/>
        <w:jc w:val="both"/>
        <w:rPr>
          <w:sz w:val="20"/>
          <w:szCs w:val="20"/>
        </w:rPr>
      </w:pPr>
      <w:r w:rsidRPr="00274E13">
        <w:rPr>
          <w:sz w:val="20"/>
          <w:szCs w:val="20"/>
        </w:rPr>
        <w:t>2. ein in Absatz 5 erwähntes Diplom besitzt oder eine einschlägige Berufserfahrung von mindestens zehn Jahren nachweisen kann.</w:t>
      </w:r>
    </w:p>
    <w:p w14:paraId="05F2423D" w14:textId="77777777" w:rsidR="00274E13" w:rsidRPr="00274E13" w:rsidRDefault="00274E13" w:rsidP="00274E13">
      <w:pPr>
        <w:autoSpaceDE w:val="0"/>
        <w:autoSpaceDN w:val="0"/>
        <w:adjustRightInd w:val="0"/>
        <w:jc w:val="both"/>
        <w:rPr>
          <w:sz w:val="20"/>
          <w:szCs w:val="20"/>
        </w:rPr>
      </w:pPr>
    </w:p>
    <w:p w14:paraId="39E3E2DF" w14:textId="7D6E5A28" w:rsidR="00274E13" w:rsidRPr="00274E13" w:rsidRDefault="00274E13" w:rsidP="00274E13">
      <w:pPr>
        <w:autoSpaceDE w:val="0"/>
        <w:autoSpaceDN w:val="0"/>
        <w:adjustRightInd w:val="0"/>
        <w:jc w:val="both"/>
        <w:rPr>
          <w:sz w:val="20"/>
          <w:szCs w:val="20"/>
        </w:rPr>
      </w:pPr>
      <w:r w:rsidRPr="00274E13">
        <w:rPr>
          <w:sz w:val="20"/>
          <w:szCs w:val="20"/>
        </w:rPr>
        <w:t>In diesem Fall versteht man unter einer ausschließlichen oder hauptsächlichen Tätigkeit eine Beschäftigung von mindestens 80 Prozent der Arbeitszeit.</w:t>
      </w:r>
    </w:p>
    <w:p w14:paraId="76834E24" w14:textId="77777777" w:rsidR="00274E13" w:rsidRPr="00274E13" w:rsidRDefault="00274E13" w:rsidP="00274E13">
      <w:pPr>
        <w:autoSpaceDE w:val="0"/>
        <w:autoSpaceDN w:val="0"/>
        <w:adjustRightInd w:val="0"/>
        <w:jc w:val="both"/>
        <w:rPr>
          <w:sz w:val="20"/>
          <w:szCs w:val="20"/>
        </w:rPr>
      </w:pPr>
    </w:p>
    <w:p w14:paraId="26599FB5" w14:textId="0D85B921" w:rsidR="00274E13" w:rsidRPr="00274E13" w:rsidRDefault="00274E13" w:rsidP="00274E13">
      <w:pPr>
        <w:autoSpaceDE w:val="0"/>
        <w:autoSpaceDN w:val="0"/>
        <w:adjustRightInd w:val="0"/>
        <w:jc w:val="both"/>
        <w:rPr>
          <w:sz w:val="20"/>
          <w:szCs w:val="20"/>
        </w:rPr>
      </w:pPr>
      <w:r w:rsidRPr="00274E13">
        <w:rPr>
          <w:sz w:val="20"/>
          <w:szCs w:val="20"/>
        </w:rPr>
        <w:t>Das in Absatz 3 Nr. 2 erwähnte Diplom ist ein Diplom eines Doktors oder ein Masterdiplom in den Studienbereichen exakte oder angewandte [technische] Wissenschaften, zivile Ingenieurwissenschaften, Medizinwissenschaften, Veterinärmedizin, pharmazeutische Wissenschaften, Architektur oder Agrarwissenschaften.</w:t>
      </w:r>
    </w:p>
    <w:p w14:paraId="5750BA7E" w14:textId="77777777" w:rsidR="00274E13" w:rsidRPr="00274E13" w:rsidRDefault="00274E13" w:rsidP="00274E13">
      <w:pPr>
        <w:autoSpaceDE w:val="0"/>
        <w:autoSpaceDN w:val="0"/>
        <w:adjustRightInd w:val="0"/>
        <w:jc w:val="both"/>
        <w:rPr>
          <w:sz w:val="20"/>
          <w:szCs w:val="20"/>
        </w:rPr>
      </w:pPr>
    </w:p>
    <w:p w14:paraId="4F0F6883" w14:textId="5E1BDF8F" w:rsidR="00274E13" w:rsidRPr="00274E13" w:rsidRDefault="00274E13" w:rsidP="00274E13">
      <w:pPr>
        <w:autoSpaceDE w:val="0"/>
        <w:autoSpaceDN w:val="0"/>
        <w:adjustRightInd w:val="0"/>
        <w:jc w:val="both"/>
        <w:rPr>
          <w:sz w:val="20"/>
          <w:szCs w:val="20"/>
        </w:rPr>
      </w:pPr>
      <w:r w:rsidRPr="00274E13">
        <w:rPr>
          <w:sz w:val="20"/>
          <w:szCs w:val="20"/>
        </w:rPr>
        <w:t>§ 3 - Folgende kumulative Bedingungen müssen außerdem seitens des in § 2 erwähnten Forscher-Impatriates erfüllt sein:</w:t>
      </w:r>
    </w:p>
    <w:p w14:paraId="1D294348" w14:textId="77777777" w:rsidR="00274E13" w:rsidRPr="00274E13" w:rsidRDefault="00274E13" w:rsidP="00274E13">
      <w:pPr>
        <w:autoSpaceDE w:val="0"/>
        <w:autoSpaceDN w:val="0"/>
        <w:adjustRightInd w:val="0"/>
        <w:jc w:val="both"/>
        <w:rPr>
          <w:sz w:val="20"/>
          <w:szCs w:val="20"/>
        </w:rPr>
      </w:pPr>
    </w:p>
    <w:p w14:paraId="5306E4E4" w14:textId="6E5C501B" w:rsidR="00274E13" w:rsidRPr="00274E13" w:rsidRDefault="00274E13" w:rsidP="00274E13">
      <w:pPr>
        <w:autoSpaceDE w:val="0"/>
        <w:autoSpaceDN w:val="0"/>
        <w:adjustRightInd w:val="0"/>
        <w:jc w:val="both"/>
        <w:rPr>
          <w:sz w:val="20"/>
          <w:szCs w:val="20"/>
        </w:rPr>
      </w:pPr>
      <w:r w:rsidRPr="00274E13">
        <w:rPr>
          <w:sz w:val="20"/>
          <w:szCs w:val="20"/>
        </w:rPr>
        <w:t>1. Im Laufe der sechzig Monate vor seinem Arbeitsantritt in Belgien war er nicht Einwohner des Königreichs, hat er nicht in einer Entfernung von weniger als 150 Kilometern von der Grenze gewohnt und unterlag er nicht der Steuer der Gebietsfremden für Berufseinkünfte in Belgien.</w:t>
      </w:r>
    </w:p>
    <w:p w14:paraId="4A87E076" w14:textId="77777777" w:rsidR="00274E13" w:rsidRPr="00274E13" w:rsidRDefault="00274E13" w:rsidP="00274E13">
      <w:pPr>
        <w:autoSpaceDE w:val="0"/>
        <w:autoSpaceDN w:val="0"/>
        <w:adjustRightInd w:val="0"/>
        <w:jc w:val="both"/>
        <w:rPr>
          <w:sz w:val="20"/>
          <w:szCs w:val="20"/>
        </w:rPr>
      </w:pPr>
    </w:p>
    <w:p w14:paraId="59BADC58" w14:textId="667A0FDF" w:rsidR="00274E13" w:rsidRPr="00274E13" w:rsidRDefault="00274E13" w:rsidP="00274E13">
      <w:pPr>
        <w:autoSpaceDE w:val="0"/>
        <w:autoSpaceDN w:val="0"/>
        <w:adjustRightInd w:val="0"/>
        <w:jc w:val="both"/>
        <w:rPr>
          <w:sz w:val="20"/>
          <w:szCs w:val="20"/>
        </w:rPr>
      </w:pPr>
      <w:r w:rsidRPr="00274E13">
        <w:rPr>
          <w:sz w:val="20"/>
          <w:szCs w:val="20"/>
        </w:rPr>
        <w:t>2. Er erhält das Einverständnis der Verwaltung im Rahmen des in § 8 vorgesehenen Verfahrens.</w:t>
      </w:r>
    </w:p>
    <w:p w14:paraId="70A3EEC3" w14:textId="77777777" w:rsidR="00274E13" w:rsidRPr="00274E13" w:rsidRDefault="00274E13" w:rsidP="00274E13">
      <w:pPr>
        <w:autoSpaceDE w:val="0"/>
        <w:autoSpaceDN w:val="0"/>
        <w:adjustRightInd w:val="0"/>
        <w:jc w:val="both"/>
        <w:rPr>
          <w:sz w:val="20"/>
          <w:szCs w:val="20"/>
        </w:rPr>
      </w:pPr>
    </w:p>
    <w:p w14:paraId="5C0BA407" w14:textId="73BFC5C9" w:rsidR="00274E13" w:rsidRPr="00274E13" w:rsidRDefault="00274E13" w:rsidP="00274E13">
      <w:pPr>
        <w:autoSpaceDE w:val="0"/>
        <w:autoSpaceDN w:val="0"/>
        <w:adjustRightInd w:val="0"/>
        <w:jc w:val="both"/>
        <w:rPr>
          <w:sz w:val="20"/>
          <w:szCs w:val="20"/>
        </w:rPr>
      </w:pPr>
      <w:r w:rsidRPr="00274E13">
        <w:rPr>
          <w:sz w:val="20"/>
          <w:szCs w:val="20"/>
        </w:rPr>
        <w:t>[…]</w:t>
      </w:r>
    </w:p>
    <w:p w14:paraId="45A07DAE" w14:textId="77777777" w:rsidR="00274E13" w:rsidRPr="00274E13" w:rsidRDefault="00274E13" w:rsidP="00274E13">
      <w:pPr>
        <w:autoSpaceDE w:val="0"/>
        <w:autoSpaceDN w:val="0"/>
        <w:adjustRightInd w:val="0"/>
        <w:jc w:val="both"/>
        <w:rPr>
          <w:sz w:val="20"/>
          <w:szCs w:val="20"/>
        </w:rPr>
      </w:pPr>
    </w:p>
    <w:p w14:paraId="39024D95" w14:textId="1F139FD1" w:rsidR="00274E13" w:rsidRPr="00274E13" w:rsidRDefault="00274E13" w:rsidP="00274E13">
      <w:pPr>
        <w:autoSpaceDE w:val="0"/>
        <w:autoSpaceDN w:val="0"/>
        <w:adjustRightInd w:val="0"/>
        <w:jc w:val="both"/>
        <w:rPr>
          <w:sz w:val="20"/>
          <w:szCs w:val="20"/>
        </w:rPr>
      </w:pPr>
      <w:r w:rsidRPr="00274E13">
        <w:rPr>
          <w:sz w:val="20"/>
          <w:szCs w:val="20"/>
        </w:rPr>
        <w:t>§ 4 - Sind die in § 2 erwähnten Bedingungen im Laufe des in § 7 erwähnten Zeitraums nicht mehr erfüllt, endet die Anwendung der vorliegenden Regelung.</w:t>
      </w:r>
    </w:p>
    <w:p w14:paraId="28673103" w14:textId="77777777" w:rsidR="00274E13" w:rsidRPr="00274E13" w:rsidRDefault="00274E13" w:rsidP="00274E13">
      <w:pPr>
        <w:autoSpaceDE w:val="0"/>
        <w:autoSpaceDN w:val="0"/>
        <w:adjustRightInd w:val="0"/>
        <w:jc w:val="both"/>
        <w:rPr>
          <w:sz w:val="20"/>
          <w:szCs w:val="20"/>
        </w:rPr>
      </w:pPr>
    </w:p>
    <w:p w14:paraId="19CFF870" w14:textId="4EE6C8B3" w:rsidR="00274E13" w:rsidRPr="00274E13" w:rsidRDefault="00274E13" w:rsidP="00274E13">
      <w:pPr>
        <w:autoSpaceDE w:val="0"/>
        <w:autoSpaceDN w:val="0"/>
        <w:adjustRightInd w:val="0"/>
        <w:jc w:val="both"/>
        <w:rPr>
          <w:sz w:val="20"/>
          <w:szCs w:val="20"/>
        </w:rPr>
      </w:pPr>
      <w:r w:rsidRPr="00274E13">
        <w:rPr>
          <w:sz w:val="20"/>
          <w:szCs w:val="20"/>
        </w:rPr>
        <w:t>§ 5 - Die Übernahme - zusätzlich zur Entlohnung - wiederkehrender Ausgaben, die sich direkt aus der Zurverfügungstellung oder Beschäftigung in Belgien ergeben, durch den Arbeitgeber - entweder direkt oder in Form spezifischer Erstattungen - gilt als eine Erstattung eigener Ausgaben des Arbeitgebers bis zu einem Betrag von 30 Prozent der Entlohnung.</w:t>
      </w:r>
    </w:p>
    <w:p w14:paraId="5A7AAAF1" w14:textId="77777777" w:rsidR="00274E13" w:rsidRPr="00274E13" w:rsidRDefault="00274E13" w:rsidP="00274E13">
      <w:pPr>
        <w:autoSpaceDE w:val="0"/>
        <w:autoSpaceDN w:val="0"/>
        <w:adjustRightInd w:val="0"/>
        <w:jc w:val="both"/>
        <w:rPr>
          <w:sz w:val="20"/>
          <w:szCs w:val="20"/>
        </w:rPr>
      </w:pPr>
    </w:p>
    <w:p w14:paraId="2EFCB99E" w14:textId="06AE6894" w:rsidR="00274E13" w:rsidRPr="00274E13" w:rsidRDefault="00274E13" w:rsidP="00274E13">
      <w:pPr>
        <w:autoSpaceDE w:val="0"/>
        <w:autoSpaceDN w:val="0"/>
        <w:adjustRightInd w:val="0"/>
        <w:jc w:val="both"/>
        <w:rPr>
          <w:sz w:val="20"/>
          <w:szCs w:val="20"/>
        </w:rPr>
      </w:pPr>
      <w:r w:rsidRPr="00274E13">
        <w:rPr>
          <w:sz w:val="20"/>
          <w:szCs w:val="20"/>
        </w:rPr>
        <w:t>Für die Anwendung des vorliegenden Paragraphen versteht man unter "Entlohnung" die […] Bruttoentlohnung [für Leistungen, die der Forscher-Impatriate für den Arbeitgeber […] erwähnt in § 2 Absatz 1 Nr. 1 oder 2 erbringt und die auf die Ergebnisse dieses Arbeitgebers […] angerechnet werden, mit Ausnahme der Einkünfte, die für die in den Artikeln 155 und 156 erwähnte Ermäßigung für Einkünfte ausländischer Herkunft in Betracht kommen,] vor Abzug der Sozialversicherungsbeiträge, mit Ausnahme der Entlassungsentschädigungen, der Entschädigungen für einen zeitweiligen Lohnausfall und der in Anwendung von Artikel 38 steuerfreien Entlohnungen und mit Ausnahme [der in vorliegendem Paragraphen und in § 6 erwähnten Erstattungen].</w:t>
      </w:r>
    </w:p>
    <w:p w14:paraId="3069A29D" w14:textId="77777777" w:rsidR="00274E13" w:rsidRPr="00274E13" w:rsidRDefault="00274E13" w:rsidP="00274E13">
      <w:pPr>
        <w:autoSpaceDE w:val="0"/>
        <w:autoSpaceDN w:val="0"/>
        <w:adjustRightInd w:val="0"/>
        <w:jc w:val="both"/>
        <w:rPr>
          <w:sz w:val="20"/>
          <w:szCs w:val="20"/>
        </w:rPr>
      </w:pPr>
    </w:p>
    <w:p w14:paraId="5F902E0F" w14:textId="6BEE984E" w:rsidR="00274E13" w:rsidRPr="00274E13" w:rsidRDefault="00274E13" w:rsidP="00274E13">
      <w:pPr>
        <w:autoSpaceDE w:val="0"/>
        <w:autoSpaceDN w:val="0"/>
        <w:adjustRightInd w:val="0"/>
        <w:jc w:val="both"/>
        <w:rPr>
          <w:sz w:val="20"/>
          <w:szCs w:val="20"/>
        </w:rPr>
      </w:pPr>
      <w:r w:rsidRPr="00274E13">
        <w:rPr>
          <w:sz w:val="20"/>
          <w:szCs w:val="20"/>
        </w:rPr>
        <w:t>Der in Absatz 1 erwähnte Betrag, der als eigene Ausgaben des Arbeitgebers zulässig ist, ist auf 90.000 EUR pro Jahr begrenzt. Der König kann diesen Betrag alle drei Jahre und zum ersten Mal für das Einkommensjahr 2024 gemäß den in Artikel 32/1 § 3 Absatz 6 festgelegten Regeln an die Erhöhung des abgeflachten Gesundheitsindexes anpassen.</w:t>
      </w:r>
    </w:p>
    <w:p w14:paraId="3943EB2A" w14:textId="77777777" w:rsidR="00274E13" w:rsidRPr="00274E13" w:rsidRDefault="00274E13" w:rsidP="00274E13">
      <w:pPr>
        <w:autoSpaceDE w:val="0"/>
        <w:autoSpaceDN w:val="0"/>
        <w:adjustRightInd w:val="0"/>
        <w:jc w:val="both"/>
        <w:rPr>
          <w:sz w:val="20"/>
          <w:szCs w:val="20"/>
        </w:rPr>
      </w:pPr>
    </w:p>
    <w:p w14:paraId="7DA16B71" w14:textId="3B55DE6C" w:rsidR="00274E13" w:rsidRPr="00274E13" w:rsidRDefault="00274E13" w:rsidP="00274E13">
      <w:pPr>
        <w:autoSpaceDE w:val="0"/>
        <w:autoSpaceDN w:val="0"/>
        <w:adjustRightInd w:val="0"/>
        <w:jc w:val="both"/>
        <w:rPr>
          <w:sz w:val="20"/>
          <w:szCs w:val="20"/>
        </w:rPr>
      </w:pPr>
      <w:r w:rsidRPr="00274E13">
        <w:rPr>
          <w:sz w:val="20"/>
          <w:szCs w:val="20"/>
        </w:rPr>
        <w:t>Für das Jahr der Ankunft in Belgien und für das Jahr des Weggangs aus Belgien oder das Jahr, in dem vorliegende Regelung gemäß § 7 ausläuft, wird der in Absatz 3 erwähnte Höchstbetrag im Verhältnis zu der Anzahl Tage, an denen das Arbeitsverhältnis in Belgien in diesem Jahr bestand und die Bedingungen des vorliegenden Artikels erfüllt waren, berechnet.</w:t>
      </w:r>
    </w:p>
    <w:p w14:paraId="34A3CF4E" w14:textId="77777777" w:rsidR="00274E13" w:rsidRPr="00274E13" w:rsidRDefault="00274E13" w:rsidP="00274E13">
      <w:pPr>
        <w:autoSpaceDE w:val="0"/>
        <w:autoSpaceDN w:val="0"/>
        <w:adjustRightInd w:val="0"/>
        <w:jc w:val="both"/>
        <w:rPr>
          <w:sz w:val="20"/>
          <w:szCs w:val="20"/>
        </w:rPr>
      </w:pPr>
    </w:p>
    <w:p w14:paraId="0B54A38E" w14:textId="6842B943" w:rsidR="00274E13" w:rsidRPr="00274E13" w:rsidRDefault="00274E13" w:rsidP="00274E13">
      <w:pPr>
        <w:autoSpaceDE w:val="0"/>
        <w:autoSpaceDN w:val="0"/>
        <w:adjustRightInd w:val="0"/>
        <w:jc w:val="both"/>
        <w:rPr>
          <w:sz w:val="20"/>
          <w:szCs w:val="20"/>
        </w:rPr>
      </w:pPr>
      <w:r w:rsidRPr="00274E13">
        <w:rPr>
          <w:sz w:val="20"/>
          <w:szCs w:val="20"/>
        </w:rPr>
        <w:t>Falls der Forscher-Impatriate seine Tätigkeit unterbrechen muss und seine Entlohnung nicht weitergezahlt wird, die in Absatz 1 erwähnten Kosten aufgrund einer vertraglichen Verpflichtung jedoch weiterhin vom Arbeitgeber übernommen werden, wird die Entlohnung, auf deren Grundlage die Höchstgrenze von 30 Prozent berechnet wird, bestimmt, als ob die Tätigkeit nicht unterbrochen worden wäre.</w:t>
      </w:r>
    </w:p>
    <w:p w14:paraId="49132540" w14:textId="77777777" w:rsidR="00274E13" w:rsidRPr="00274E13" w:rsidRDefault="00274E13" w:rsidP="00274E13">
      <w:pPr>
        <w:autoSpaceDE w:val="0"/>
        <w:autoSpaceDN w:val="0"/>
        <w:adjustRightInd w:val="0"/>
        <w:jc w:val="both"/>
        <w:rPr>
          <w:sz w:val="20"/>
          <w:szCs w:val="20"/>
        </w:rPr>
      </w:pPr>
    </w:p>
    <w:p w14:paraId="7E88D798" w14:textId="62CA2BFC" w:rsidR="00274E13" w:rsidRPr="00274E13" w:rsidRDefault="00274E13" w:rsidP="00274E13">
      <w:pPr>
        <w:autoSpaceDE w:val="0"/>
        <w:autoSpaceDN w:val="0"/>
        <w:adjustRightInd w:val="0"/>
        <w:jc w:val="both"/>
        <w:rPr>
          <w:sz w:val="20"/>
          <w:szCs w:val="20"/>
        </w:rPr>
      </w:pPr>
      <w:r w:rsidRPr="00274E13">
        <w:rPr>
          <w:sz w:val="20"/>
          <w:szCs w:val="20"/>
        </w:rPr>
        <w:t>§ 6 - Als Erstattungen eigener Ausgaben des Arbeitgebers gelten auch die Kosten, die vom Arbeitgeber entweder direkt oder in Form spezifischer Erstattungen getragen werden, in dem Maße, wie diese Kosten bestimmt sind zur Deckung von:</w:t>
      </w:r>
    </w:p>
    <w:p w14:paraId="62C3F022" w14:textId="77777777" w:rsidR="00274E13" w:rsidRPr="00274E13" w:rsidRDefault="00274E13" w:rsidP="00274E13">
      <w:pPr>
        <w:autoSpaceDE w:val="0"/>
        <w:autoSpaceDN w:val="0"/>
        <w:adjustRightInd w:val="0"/>
        <w:jc w:val="both"/>
        <w:rPr>
          <w:sz w:val="20"/>
          <w:szCs w:val="20"/>
        </w:rPr>
      </w:pPr>
    </w:p>
    <w:p w14:paraId="11E02364" w14:textId="01064AED" w:rsidR="00274E13" w:rsidRPr="00274E13" w:rsidRDefault="00274E13" w:rsidP="00274E13">
      <w:pPr>
        <w:autoSpaceDE w:val="0"/>
        <w:autoSpaceDN w:val="0"/>
        <w:adjustRightInd w:val="0"/>
        <w:jc w:val="both"/>
        <w:rPr>
          <w:sz w:val="20"/>
          <w:szCs w:val="20"/>
        </w:rPr>
      </w:pPr>
      <w:r w:rsidRPr="00274E13">
        <w:rPr>
          <w:sz w:val="20"/>
          <w:szCs w:val="20"/>
        </w:rPr>
        <w:t>1. Kosten, die durch den Umzug des Forscher-Impatriates nach Belgien entstehen,</w:t>
      </w:r>
    </w:p>
    <w:p w14:paraId="5EBA8167" w14:textId="77777777" w:rsidR="00274E13" w:rsidRPr="00274E13" w:rsidRDefault="00274E13" w:rsidP="00274E13">
      <w:pPr>
        <w:autoSpaceDE w:val="0"/>
        <w:autoSpaceDN w:val="0"/>
        <w:adjustRightInd w:val="0"/>
        <w:jc w:val="both"/>
        <w:rPr>
          <w:sz w:val="20"/>
          <w:szCs w:val="20"/>
        </w:rPr>
      </w:pPr>
    </w:p>
    <w:p w14:paraId="34033099" w14:textId="69751A8C" w:rsidR="00274E13" w:rsidRPr="00274E13" w:rsidRDefault="00274E13" w:rsidP="00274E13">
      <w:pPr>
        <w:autoSpaceDE w:val="0"/>
        <w:autoSpaceDN w:val="0"/>
        <w:adjustRightInd w:val="0"/>
        <w:jc w:val="both"/>
        <w:rPr>
          <w:sz w:val="20"/>
          <w:szCs w:val="20"/>
        </w:rPr>
      </w:pPr>
      <w:r w:rsidRPr="00274E13">
        <w:rPr>
          <w:sz w:val="20"/>
          <w:szCs w:val="20"/>
        </w:rPr>
        <w:t>2. Kosten im Zusammenhang mit der Einrichtung der Wohnung in Belgien, die in den ersten sechs Monaten nach der Ankunft in Belgien getätigt werden,</w:t>
      </w:r>
    </w:p>
    <w:p w14:paraId="796C31CC" w14:textId="77777777" w:rsidR="00274E13" w:rsidRPr="00274E13" w:rsidRDefault="00274E13" w:rsidP="00274E13">
      <w:pPr>
        <w:autoSpaceDE w:val="0"/>
        <w:autoSpaceDN w:val="0"/>
        <w:adjustRightInd w:val="0"/>
        <w:jc w:val="both"/>
        <w:rPr>
          <w:sz w:val="20"/>
          <w:szCs w:val="20"/>
        </w:rPr>
      </w:pPr>
    </w:p>
    <w:p w14:paraId="46BF659B" w14:textId="4C884C65" w:rsidR="00274E13" w:rsidRPr="00274E13" w:rsidRDefault="00274E13" w:rsidP="00274E13">
      <w:pPr>
        <w:autoSpaceDE w:val="0"/>
        <w:autoSpaceDN w:val="0"/>
        <w:adjustRightInd w:val="0"/>
        <w:jc w:val="both"/>
        <w:rPr>
          <w:sz w:val="20"/>
          <w:szCs w:val="20"/>
        </w:rPr>
      </w:pPr>
      <w:r w:rsidRPr="00274E13">
        <w:rPr>
          <w:sz w:val="20"/>
          <w:szCs w:val="20"/>
        </w:rPr>
        <w:t>3. Schulgeld für die Kinder des Forscher-Impatriates oder seines Partners, die mit ihren Eltern oder einem Elternteil umziehen, wenn sie aufgrund der belgischen Rechtsvorschriften im schulpflichtigen Alter sind und in diesem Zusammenhang in Belgien an einer privaten oder internationalen Schule dem Vorschul-, Primarschul- oder Sekundarschulunterricht folgen.</w:t>
      </w:r>
    </w:p>
    <w:p w14:paraId="37A9C6F2" w14:textId="77777777" w:rsidR="00274E13" w:rsidRPr="00274E13" w:rsidRDefault="00274E13" w:rsidP="00274E13">
      <w:pPr>
        <w:autoSpaceDE w:val="0"/>
        <w:autoSpaceDN w:val="0"/>
        <w:adjustRightInd w:val="0"/>
        <w:jc w:val="both"/>
        <w:rPr>
          <w:sz w:val="20"/>
          <w:szCs w:val="20"/>
        </w:rPr>
      </w:pPr>
    </w:p>
    <w:p w14:paraId="07421160" w14:textId="23E79456" w:rsidR="00274E13" w:rsidRPr="00274E13" w:rsidRDefault="00274E13" w:rsidP="00274E13">
      <w:pPr>
        <w:autoSpaceDE w:val="0"/>
        <w:autoSpaceDN w:val="0"/>
        <w:adjustRightInd w:val="0"/>
        <w:jc w:val="both"/>
        <w:rPr>
          <w:sz w:val="20"/>
          <w:szCs w:val="20"/>
        </w:rPr>
      </w:pPr>
      <w:r w:rsidRPr="00274E13">
        <w:rPr>
          <w:sz w:val="20"/>
          <w:szCs w:val="20"/>
        </w:rPr>
        <w:t>In Absatz 1 Nr. 1 erwähnte Kosten umfassen nur die Kosten einer Reise im Hinblick auf die Suche nach einer neuen Unterkunft in Belgien, die Reisekosten des Forscher-Impatriates selbst, seines Partners und der Kinder, die zu seinem Haushalt gehören, sowie die Kosten für das Abbauen, Verpacken, Einladen, Befördern, Ausladen, Auspacken und Aufbauen von Mobiliar, das dem Forscher-Impatriate gehört. Gegebenenfalls sind auch die Hotelkosten des Forscher-Impatriates, seines Partners und der Kinder, die zu seinem Haushalt gehören, während der ersten drei Monate nach dem Arbeitsantritt in Belgien gemeint.</w:t>
      </w:r>
    </w:p>
    <w:p w14:paraId="0CA15317" w14:textId="77777777" w:rsidR="00274E13" w:rsidRPr="00274E13" w:rsidRDefault="00274E13" w:rsidP="00274E13">
      <w:pPr>
        <w:autoSpaceDE w:val="0"/>
        <w:autoSpaceDN w:val="0"/>
        <w:adjustRightInd w:val="0"/>
        <w:jc w:val="both"/>
        <w:rPr>
          <w:sz w:val="20"/>
          <w:szCs w:val="20"/>
        </w:rPr>
      </w:pPr>
    </w:p>
    <w:p w14:paraId="23FD4A36" w14:textId="06327253" w:rsidR="00274E13" w:rsidRPr="00274E13" w:rsidRDefault="00274E13" w:rsidP="00274E13">
      <w:pPr>
        <w:autoSpaceDE w:val="0"/>
        <w:autoSpaceDN w:val="0"/>
        <w:adjustRightInd w:val="0"/>
        <w:jc w:val="both"/>
        <w:rPr>
          <w:sz w:val="20"/>
          <w:szCs w:val="20"/>
        </w:rPr>
      </w:pPr>
      <w:r w:rsidRPr="00274E13">
        <w:rPr>
          <w:sz w:val="20"/>
          <w:szCs w:val="20"/>
        </w:rPr>
        <w:t>In Absatz 1 Nr. 2 erwähnte Kosten umfassen nur die Kosten für den Kauf von Material, das dazu bestimmt ist, in der Wohnung in Belgien zu bleiben, und für den Kauf von elektrischen Haushaltsgeräten gemäß den in Belgien geltenden Normen.</w:t>
      </w:r>
    </w:p>
    <w:p w14:paraId="4714BD94" w14:textId="77777777" w:rsidR="00274E13" w:rsidRPr="00274E13" w:rsidRDefault="00274E13" w:rsidP="00274E13">
      <w:pPr>
        <w:autoSpaceDE w:val="0"/>
        <w:autoSpaceDN w:val="0"/>
        <w:adjustRightInd w:val="0"/>
        <w:jc w:val="both"/>
        <w:rPr>
          <w:sz w:val="20"/>
          <w:szCs w:val="20"/>
        </w:rPr>
      </w:pPr>
    </w:p>
    <w:p w14:paraId="01B9A6F1" w14:textId="58588DC7" w:rsidR="00274E13" w:rsidRPr="00274E13" w:rsidRDefault="00274E13" w:rsidP="00274E13">
      <w:pPr>
        <w:autoSpaceDE w:val="0"/>
        <w:autoSpaceDN w:val="0"/>
        <w:adjustRightInd w:val="0"/>
        <w:jc w:val="both"/>
        <w:rPr>
          <w:sz w:val="20"/>
          <w:szCs w:val="20"/>
        </w:rPr>
      </w:pPr>
      <w:r w:rsidRPr="00274E13">
        <w:rPr>
          <w:sz w:val="20"/>
          <w:szCs w:val="20"/>
        </w:rPr>
        <w:t>Die Kosten, die als eigene Ausgaben des Arbeitgebers wie in Absatz 1 Nr. 2 erwähnt zulässig sind, sind auf den Betrag von 1.500 EUR begrenzt. Der König kann diesen Betrag alle drei Jahre und zum ersten Mal für das Einkommensjahr 2024 gemäß den in Artikel 32/1 § 3 Absatz 6 festgelegten Regeln an die Erhöhung des abgeflachten Gesundheitsindexes anpassen.</w:t>
      </w:r>
    </w:p>
    <w:p w14:paraId="4A462CAA" w14:textId="77777777" w:rsidR="00274E13" w:rsidRPr="00274E13" w:rsidRDefault="00274E13" w:rsidP="00274E13">
      <w:pPr>
        <w:autoSpaceDE w:val="0"/>
        <w:autoSpaceDN w:val="0"/>
        <w:adjustRightInd w:val="0"/>
        <w:jc w:val="both"/>
        <w:rPr>
          <w:sz w:val="20"/>
          <w:szCs w:val="20"/>
        </w:rPr>
      </w:pPr>
    </w:p>
    <w:p w14:paraId="012C49AF" w14:textId="5843EAE6" w:rsidR="00274E13" w:rsidRPr="00274E13" w:rsidRDefault="00274E13" w:rsidP="00274E13">
      <w:pPr>
        <w:autoSpaceDE w:val="0"/>
        <w:autoSpaceDN w:val="0"/>
        <w:adjustRightInd w:val="0"/>
        <w:jc w:val="both"/>
        <w:rPr>
          <w:sz w:val="20"/>
          <w:szCs w:val="20"/>
        </w:rPr>
      </w:pPr>
      <w:r w:rsidRPr="00274E13">
        <w:rPr>
          <w:sz w:val="20"/>
          <w:szCs w:val="20"/>
        </w:rPr>
        <w:t>Es obliegt dem Forscher-Impatriate, Echtheit und Betrag dieser Ausgaben durch Belege nachzuweisen oder, wenn das nicht möglich ist, durch alle anderen vom allgemeinen Recht zugelassenen Beweismittel außer dem Eid.</w:t>
      </w:r>
    </w:p>
    <w:p w14:paraId="1B13737A" w14:textId="77777777" w:rsidR="00274E13" w:rsidRPr="00274E13" w:rsidRDefault="00274E13" w:rsidP="00274E13">
      <w:pPr>
        <w:autoSpaceDE w:val="0"/>
        <w:autoSpaceDN w:val="0"/>
        <w:adjustRightInd w:val="0"/>
        <w:jc w:val="both"/>
        <w:rPr>
          <w:sz w:val="20"/>
          <w:szCs w:val="20"/>
        </w:rPr>
      </w:pPr>
    </w:p>
    <w:p w14:paraId="5441CBF0" w14:textId="40977111" w:rsidR="00274E13" w:rsidRPr="00274E13" w:rsidRDefault="00274E13" w:rsidP="00274E13">
      <w:pPr>
        <w:autoSpaceDE w:val="0"/>
        <w:autoSpaceDN w:val="0"/>
        <w:adjustRightInd w:val="0"/>
        <w:jc w:val="both"/>
        <w:rPr>
          <w:sz w:val="20"/>
          <w:szCs w:val="20"/>
        </w:rPr>
      </w:pPr>
      <w:r w:rsidRPr="00274E13">
        <w:rPr>
          <w:sz w:val="20"/>
          <w:szCs w:val="20"/>
        </w:rPr>
        <w:t>§ 7 - Die Paragraphen 5 und 6 sind während der Dauer der Beschäftigung des Forscher-Impatriates in Belgien anwendbar, mit einem Maximum von fünf Jahren.</w:t>
      </w:r>
    </w:p>
    <w:p w14:paraId="7B399980" w14:textId="77777777" w:rsidR="00274E13" w:rsidRPr="00274E13" w:rsidRDefault="00274E13" w:rsidP="00274E13">
      <w:pPr>
        <w:autoSpaceDE w:val="0"/>
        <w:autoSpaceDN w:val="0"/>
        <w:adjustRightInd w:val="0"/>
        <w:jc w:val="both"/>
        <w:rPr>
          <w:sz w:val="20"/>
          <w:szCs w:val="20"/>
        </w:rPr>
      </w:pPr>
    </w:p>
    <w:p w14:paraId="6BC2CDD1" w14:textId="0CD96827" w:rsidR="00274E13" w:rsidRPr="00274E13" w:rsidRDefault="00274E13" w:rsidP="00274E13">
      <w:pPr>
        <w:autoSpaceDE w:val="0"/>
        <w:autoSpaceDN w:val="0"/>
        <w:adjustRightInd w:val="0"/>
        <w:jc w:val="both"/>
        <w:rPr>
          <w:sz w:val="20"/>
          <w:szCs w:val="20"/>
        </w:rPr>
      </w:pPr>
      <w:r w:rsidRPr="00274E13">
        <w:rPr>
          <w:sz w:val="20"/>
          <w:szCs w:val="20"/>
        </w:rPr>
        <w:t>Geht die Beschäftigung des Forschers in Belgien über die in Absatz 1 erwähnte Dauer hinaus, wird die Anwendung der Paragraphen 5 und 6 um drei Jahre verlängert, sofern die in § 2 erwähnten Bedingungen in Bezug auf den Arbeitgeber weiterhin erfüllt sind.</w:t>
      </w:r>
    </w:p>
    <w:p w14:paraId="2B5EB0C1" w14:textId="77777777" w:rsidR="00274E13" w:rsidRPr="00274E13" w:rsidRDefault="00274E13" w:rsidP="00274E13">
      <w:pPr>
        <w:autoSpaceDE w:val="0"/>
        <w:autoSpaceDN w:val="0"/>
        <w:adjustRightInd w:val="0"/>
        <w:jc w:val="both"/>
        <w:rPr>
          <w:sz w:val="20"/>
          <w:szCs w:val="20"/>
        </w:rPr>
      </w:pPr>
    </w:p>
    <w:p w14:paraId="7C437125" w14:textId="77777777" w:rsidR="00495E89" w:rsidRPr="00495E89" w:rsidRDefault="00274E13" w:rsidP="00495E89">
      <w:pPr>
        <w:autoSpaceDE w:val="0"/>
        <w:autoSpaceDN w:val="0"/>
        <w:adjustRightInd w:val="0"/>
        <w:jc w:val="both"/>
        <w:rPr>
          <w:sz w:val="20"/>
          <w:szCs w:val="20"/>
        </w:rPr>
      </w:pPr>
      <w:r w:rsidRPr="00274E13">
        <w:rPr>
          <w:sz w:val="20"/>
          <w:szCs w:val="20"/>
        </w:rPr>
        <w:t>§ 8 - </w:t>
      </w:r>
      <w:r w:rsidR="00495E89">
        <w:rPr>
          <w:sz w:val="20"/>
          <w:szCs w:val="20"/>
        </w:rPr>
        <w:t>[</w:t>
      </w:r>
      <w:r w:rsidR="00495E89" w:rsidRPr="00495E89">
        <w:rPr>
          <w:sz w:val="20"/>
          <w:szCs w:val="20"/>
        </w:rPr>
        <w:t>Der Arbeitgeber muss dem vom Generalverwalter der Generalverwaltung Steuerwesen angegebenen Dienst einen Antrag übermitteln, um die in vorliegendem Artikel erwähnte Regelung in Anspruch nehmen zu können. Der Antrag muss zur Vermeidung des Verfalls innerhalb einer Frist von drei Monaten ab dem Arbeitsantritt des Forscher-Impatriates in Belgien übermittelt werden. Der König bestimmt Form und Inhalt des Formulars, das zu diesem Zweck ausgefüllt werden muss.</w:t>
      </w:r>
    </w:p>
    <w:p w14:paraId="425895CC" w14:textId="77777777" w:rsidR="00495E89" w:rsidRPr="00495E89" w:rsidRDefault="00495E89" w:rsidP="00495E89">
      <w:pPr>
        <w:autoSpaceDE w:val="0"/>
        <w:autoSpaceDN w:val="0"/>
        <w:adjustRightInd w:val="0"/>
        <w:jc w:val="both"/>
        <w:rPr>
          <w:sz w:val="20"/>
          <w:szCs w:val="20"/>
        </w:rPr>
      </w:pPr>
    </w:p>
    <w:p w14:paraId="1B441DC4" w14:textId="3C59D19D" w:rsidR="00274E13" w:rsidRPr="00274E13" w:rsidRDefault="00495E89" w:rsidP="00495E89">
      <w:pPr>
        <w:autoSpaceDE w:val="0"/>
        <w:autoSpaceDN w:val="0"/>
        <w:adjustRightInd w:val="0"/>
        <w:jc w:val="both"/>
        <w:rPr>
          <w:sz w:val="20"/>
          <w:szCs w:val="20"/>
        </w:rPr>
      </w:pPr>
      <w:r w:rsidRPr="00495E89">
        <w:rPr>
          <w:sz w:val="20"/>
          <w:szCs w:val="20"/>
        </w:rPr>
        <w:t>Der Antrag für die in § 7 Absatz 2 erwähnte Verlängerung der Regelung wird zur Vermeidung des Verfalls durch den Arbeitgeber dem vom Generalverwalter der Generalverwaltung Steuerwesen angegebenen Dienst übermittelt, und zwar spätestens drei Monate nach Ablauf des ersten Zeitraums von fünf Jahren, der am Tag des Arbeitsantritts des Steuerpflichtigen in Belgien beginnt. Der König bestimmt Form und Inhalt des Formulars, das zu diesem Zweck ausgefüllt werden muss.</w:t>
      </w:r>
      <w:r>
        <w:rPr>
          <w:sz w:val="20"/>
          <w:szCs w:val="20"/>
        </w:rPr>
        <w:t>]</w:t>
      </w:r>
    </w:p>
    <w:p w14:paraId="1F369A08" w14:textId="77777777" w:rsidR="00274E13" w:rsidRPr="00274E13" w:rsidRDefault="00274E13" w:rsidP="00274E13">
      <w:pPr>
        <w:autoSpaceDE w:val="0"/>
        <w:autoSpaceDN w:val="0"/>
        <w:adjustRightInd w:val="0"/>
        <w:jc w:val="both"/>
        <w:rPr>
          <w:sz w:val="20"/>
          <w:szCs w:val="20"/>
        </w:rPr>
      </w:pPr>
    </w:p>
    <w:p w14:paraId="0CBFF6BB" w14:textId="5CCB3B11" w:rsidR="00274E13" w:rsidRPr="00274E13" w:rsidRDefault="00274E13" w:rsidP="00274E13">
      <w:pPr>
        <w:autoSpaceDE w:val="0"/>
        <w:autoSpaceDN w:val="0"/>
        <w:adjustRightInd w:val="0"/>
        <w:jc w:val="both"/>
        <w:rPr>
          <w:sz w:val="20"/>
          <w:szCs w:val="20"/>
        </w:rPr>
      </w:pPr>
      <w:r w:rsidRPr="00274E13">
        <w:rPr>
          <w:sz w:val="20"/>
          <w:szCs w:val="20"/>
        </w:rPr>
        <w:t>Dem in Absatz 1 und 2 erwähnten Antrag muss eine vom betreffenden Forscher unterzeichnete Bescheinigung beigefügt werden, in der bestätigt wird, dass er mit dem Antrag auf Anwendung der Regelung einverstanden ist.</w:t>
      </w:r>
    </w:p>
    <w:p w14:paraId="3B6924E6" w14:textId="77777777" w:rsidR="00274E13" w:rsidRPr="00274E13" w:rsidRDefault="00274E13" w:rsidP="00274E13">
      <w:pPr>
        <w:autoSpaceDE w:val="0"/>
        <w:autoSpaceDN w:val="0"/>
        <w:adjustRightInd w:val="0"/>
        <w:jc w:val="both"/>
        <w:rPr>
          <w:sz w:val="20"/>
          <w:szCs w:val="20"/>
        </w:rPr>
      </w:pPr>
    </w:p>
    <w:p w14:paraId="4BB9518A" w14:textId="7BA5DC81" w:rsidR="00274E13" w:rsidRPr="00274E13" w:rsidRDefault="00274E13" w:rsidP="00274E13">
      <w:pPr>
        <w:autoSpaceDE w:val="0"/>
        <w:autoSpaceDN w:val="0"/>
        <w:adjustRightInd w:val="0"/>
        <w:jc w:val="both"/>
        <w:rPr>
          <w:sz w:val="20"/>
          <w:szCs w:val="20"/>
        </w:rPr>
      </w:pPr>
      <w:r w:rsidRPr="00274E13">
        <w:rPr>
          <w:sz w:val="20"/>
          <w:szCs w:val="20"/>
        </w:rPr>
        <w:t>Die Verwaltung befindet innerhalb einer Frist von drei Monaten ab Erhalt des Antrags. Der Forscher und der Arbeitgeber werden schriftlich über die Entscheidung der Verwaltung informiert.</w:t>
      </w:r>
    </w:p>
    <w:p w14:paraId="1F79E7A3" w14:textId="77777777" w:rsidR="00274E13" w:rsidRPr="00274E13" w:rsidRDefault="00274E13" w:rsidP="00274E13">
      <w:pPr>
        <w:autoSpaceDE w:val="0"/>
        <w:autoSpaceDN w:val="0"/>
        <w:adjustRightInd w:val="0"/>
        <w:jc w:val="both"/>
        <w:rPr>
          <w:sz w:val="20"/>
          <w:szCs w:val="20"/>
        </w:rPr>
      </w:pPr>
    </w:p>
    <w:p w14:paraId="22B81D27" w14:textId="25093F32" w:rsidR="00274E13" w:rsidRPr="00274E13" w:rsidRDefault="00274E13" w:rsidP="00274E13">
      <w:pPr>
        <w:autoSpaceDE w:val="0"/>
        <w:autoSpaceDN w:val="0"/>
        <w:adjustRightInd w:val="0"/>
        <w:jc w:val="both"/>
        <w:rPr>
          <w:sz w:val="20"/>
          <w:szCs w:val="20"/>
        </w:rPr>
      </w:pPr>
      <w:r w:rsidRPr="00274E13">
        <w:rPr>
          <w:sz w:val="20"/>
          <w:szCs w:val="20"/>
        </w:rPr>
        <w:t>Bei einer positiven Antwort ist die in vorliegendem Artikel vorgesehene Regelung auf Entlohnungen anwendbar, die der Forscher-Impatriate seit seinem Arbeitsantritt in Belgien bezieht.</w:t>
      </w:r>
    </w:p>
    <w:p w14:paraId="0C4318D8" w14:textId="77777777" w:rsidR="00274E13" w:rsidRPr="00274E13" w:rsidRDefault="00274E13" w:rsidP="00274E13">
      <w:pPr>
        <w:autoSpaceDE w:val="0"/>
        <w:autoSpaceDN w:val="0"/>
        <w:adjustRightInd w:val="0"/>
        <w:jc w:val="both"/>
        <w:rPr>
          <w:sz w:val="20"/>
          <w:szCs w:val="20"/>
        </w:rPr>
      </w:pPr>
    </w:p>
    <w:p w14:paraId="051CC860" w14:textId="6ECA1E3A" w:rsidR="00274E13" w:rsidRPr="00274E13" w:rsidRDefault="00274E13" w:rsidP="00274E13">
      <w:pPr>
        <w:autoSpaceDE w:val="0"/>
        <w:autoSpaceDN w:val="0"/>
        <w:adjustRightInd w:val="0"/>
        <w:jc w:val="both"/>
        <w:rPr>
          <w:sz w:val="20"/>
          <w:szCs w:val="20"/>
        </w:rPr>
      </w:pPr>
      <w:r w:rsidRPr="00274E13">
        <w:rPr>
          <w:sz w:val="20"/>
          <w:szCs w:val="20"/>
        </w:rPr>
        <w:t>§ 9 - Im Falle eines Wechsels des Arbeitgebers während des in § 7 erwähnten Zeitraums kann vom neuen Arbeitgeber auf die in § 8 angegebene Weise ein neuer Antrag auf Anwendung der vorliegenden Regelung eingereicht werden.</w:t>
      </w:r>
    </w:p>
    <w:p w14:paraId="3C3FBD4D" w14:textId="77777777" w:rsidR="00274E13" w:rsidRPr="00274E13" w:rsidRDefault="00274E13" w:rsidP="00274E13">
      <w:pPr>
        <w:autoSpaceDE w:val="0"/>
        <w:autoSpaceDN w:val="0"/>
        <w:adjustRightInd w:val="0"/>
        <w:jc w:val="both"/>
        <w:rPr>
          <w:sz w:val="20"/>
          <w:szCs w:val="20"/>
        </w:rPr>
      </w:pPr>
    </w:p>
    <w:p w14:paraId="744E162D" w14:textId="5AF698B2" w:rsidR="00274E13" w:rsidRPr="00274E13" w:rsidRDefault="00274E13" w:rsidP="00274E13">
      <w:pPr>
        <w:autoSpaceDE w:val="0"/>
        <w:autoSpaceDN w:val="0"/>
        <w:adjustRightInd w:val="0"/>
        <w:jc w:val="both"/>
        <w:rPr>
          <w:sz w:val="20"/>
          <w:szCs w:val="20"/>
        </w:rPr>
      </w:pPr>
      <w:r w:rsidRPr="00274E13">
        <w:rPr>
          <w:sz w:val="20"/>
          <w:szCs w:val="20"/>
        </w:rPr>
        <w:t>In diesem Fall kann vorliegende Regelung dem Forscher erneut gewährt werden, sofern:</w:t>
      </w:r>
    </w:p>
    <w:p w14:paraId="72B5A911" w14:textId="77777777" w:rsidR="00274E13" w:rsidRPr="00274E13" w:rsidRDefault="00274E13" w:rsidP="00274E13">
      <w:pPr>
        <w:autoSpaceDE w:val="0"/>
        <w:autoSpaceDN w:val="0"/>
        <w:adjustRightInd w:val="0"/>
        <w:jc w:val="both"/>
        <w:rPr>
          <w:sz w:val="20"/>
          <w:szCs w:val="20"/>
        </w:rPr>
      </w:pPr>
    </w:p>
    <w:p w14:paraId="3E23E098" w14:textId="414CC7CB" w:rsidR="00274E13" w:rsidRPr="00274E13" w:rsidRDefault="00274E13" w:rsidP="00274E13">
      <w:pPr>
        <w:autoSpaceDE w:val="0"/>
        <w:autoSpaceDN w:val="0"/>
        <w:adjustRightInd w:val="0"/>
        <w:jc w:val="both"/>
        <w:rPr>
          <w:sz w:val="20"/>
          <w:szCs w:val="20"/>
        </w:rPr>
      </w:pPr>
      <w:r w:rsidRPr="00274E13">
        <w:rPr>
          <w:sz w:val="20"/>
          <w:szCs w:val="20"/>
        </w:rPr>
        <w:t>1. die in § 2 erwähnten Bedingungen in Bezug auf den Arbeitgeber weiterhin erfüllt sind</w:t>
      </w:r>
    </w:p>
    <w:p w14:paraId="5515A79A" w14:textId="77777777" w:rsidR="00495E89" w:rsidRDefault="00495E89" w:rsidP="00274E13">
      <w:pPr>
        <w:autoSpaceDE w:val="0"/>
        <w:autoSpaceDN w:val="0"/>
        <w:adjustRightInd w:val="0"/>
        <w:jc w:val="both"/>
        <w:rPr>
          <w:sz w:val="20"/>
          <w:szCs w:val="20"/>
        </w:rPr>
      </w:pPr>
    </w:p>
    <w:p w14:paraId="2806E766" w14:textId="3ACB9543" w:rsidR="00274E13" w:rsidRPr="00274E13" w:rsidRDefault="00274E13" w:rsidP="00274E13">
      <w:pPr>
        <w:autoSpaceDE w:val="0"/>
        <w:autoSpaceDN w:val="0"/>
        <w:adjustRightInd w:val="0"/>
        <w:jc w:val="both"/>
        <w:rPr>
          <w:sz w:val="20"/>
          <w:szCs w:val="20"/>
        </w:rPr>
      </w:pPr>
      <w:r w:rsidRPr="00274E13">
        <w:rPr>
          <w:sz w:val="20"/>
          <w:szCs w:val="20"/>
        </w:rPr>
        <w:t>und</w:t>
      </w:r>
    </w:p>
    <w:p w14:paraId="2BE7F6F8" w14:textId="77777777" w:rsidR="00274E13" w:rsidRPr="00274E13" w:rsidRDefault="00274E13" w:rsidP="00274E13">
      <w:pPr>
        <w:autoSpaceDE w:val="0"/>
        <w:autoSpaceDN w:val="0"/>
        <w:adjustRightInd w:val="0"/>
        <w:jc w:val="both"/>
        <w:rPr>
          <w:sz w:val="20"/>
          <w:szCs w:val="20"/>
        </w:rPr>
      </w:pPr>
    </w:p>
    <w:p w14:paraId="7CFA4EEF" w14:textId="56276148" w:rsidR="00274E13" w:rsidRPr="00274E13" w:rsidRDefault="00274E13" w:rsidP="00274E13">
      <w:pPr>
        <w:autoSpaceDE w:val="0"/>
        <w:autoSpaceDN w:val="0"/>
        <w:adjustRightInd w:val="0"/>
        <w:jc w:val="both"/>
        <w:rPr>
          <w:sz w:val="20"/>
          <w:szCs w:val="20"/>
        </w:rPr>
      </w:pPr>
      <w:r w:rsidRPr="00274E13">
        <w:rPr>
          <w:sz w:val="20"/>
          <w:szCs w:val="20"/>
        </w:rPr>
        <w:t>2. gemäß § 7 die Gesamtdauer der Anwendung der vorliegenden Regelung auf den Forscher-Impatriate nicht mehr als fünf Jahre, gegebenenfalls verlängert um drei Jahre, ab der ersten Beschäftigung in Belgien beträgt.</w:t>
      </w:r>
    </w:p>
    <w:p w14:paraId="29B33048" w14:textId="77777777" w:rsidR="00274E13" w:rsidRPr="00274E13" w:rsidRDefault="00274E13" w:rsidP="00274E13">
      <w:pPr>
        <w:autoSpaceDE w:val="0"/>
        <w:autoSpaceDN w:val="0"/>
        <w:adjustRightInd w:val="0"/>
        <w:jc w:val="both"/>
        <w:rPr>
          <w:sz w:val="20"/>
          <w:szCs w:val="20"/>
        </w:rPr>
      </w:pPr>
    </w:p>
    <w:p w14:paraId="5A50095B" w14:textId="56CB73D4" w:rsidR="00274E13" w:rsidRPr="00274E13" w:rsidRDefault="00274E13" w:rsidP="00274E13">
      <w:pPr>
        <w:autoSpaceDE w:val="0"/>
        <w:autoSpaceDN w:val="0"/>
        <w:adjustRightInd w:val="0"/>
        <w:jc w:val="both"/>
        <w:rPr>
          <w:sz w:val="20"/>
          <w:szCs w:val="20"/>
        </w:rPr>
      </w:pPr>
      <w:r w:rsidRPr="00274E13">
        <w:rPr>
          <w:sz w:val="20"/>
          <w:szCs w:val="20"/>
        </w:rPr>
        <w:t>In dem in vorliegendem Paragraphen erwähnten Fall muss der in § 5 Absatz 3 erwähnte Höchstbetrag im Verhältnis zu der Beschäftigung des Forschers bei den jeweiligen Arbeitgebern im Laufe des Jahres beurteilt werden.]</w:t>
      </w:r>
    </w:p>
    <w:p w14:paraId="4B83C1AC" w14:textId="77777777" w:rsidR="00274E13" w:rsidRPr="00274E13" w:rsidRDefault="00274E13" w:rsidP="00274E13">
      <w:pPr>
        <w:autoSpaceDE w:val="0"/>
        <w:autoSpaceDN w:val="0"/>
        <w:adjustRightInd w:val="0"/>
        <w:jc w:val="both"/>
        <w:rPr>
          <w:sz w:val="20"/>
          <w:szCs w:val="20"/>
        </w:rPr>
      </w:pPr>
    </w:p>
    <w:p w14:paraId="18A9C69E" w14:textId="2E92F4F0" w:rsidR="00274E13" w:rsidRPr="00274E13" w:rsidRDefault="00274E13" w:rsidP="00274E13">
      <w:pPr>
        <w:autoSpaceDE w:val="0"/>
        <w:autoSpaceDN w:val="0"/>
        <w:adjustRightInd w:val="0"/>
        <w:jc w:val="both"/>
        <w:rPr>
          <w:sz w:val="20"/>
          <w:szCs w:val="20"/>
        </w:rPr>
      </w:pPr>
      <w:r w:rsidRPr="00274E13">
        <w:rPr>
          <w:sz w:val="20"/>
          <w:szCs w:val="20"/>
        </w:rPr>
        <w:t>[§ 10 - Der Arbeitgeber vermerkt auf der in Artikel 57 erwähnten Karte folgende Angaben:</w:t>
      </w:r>
    </w:p>
    <w:p w14:paraId="44355ACA" w14:textId="77777777" w:rsidR="00274E13" w:rsidRPr="00274E13" w:rsidRDefault="00274E13" w:rsidP="00274E13">
      <w:pPr>
        <w:autoSpaceDE w:val="0"/>
        <w:autoSpaceDN w:val="0"/>
        <w:adjustRightInd w:val="0"/>
        <w:jc w:val="both"/>
        <w:rPr>
          <w:sz w:val="20"/>
          <w:szCs w:val="20"/>
        </w:rPr>
      </w:pPr>
    </w:p>
    <w:p w14:paraId="4DE8C47C" w14:textId="77777777" w:rsidR="00274E13" w:rsidRPr="00274E13" w:rsidRDefault="00274E13" w:rsidP="00274E13">
      <w:pPr>
        <w:autoSpaceDE w:val="0"/>
        <w:autoSpaceDN w:val="0"/>
        <w:adjustRightInd w:val="0"/>
        <w:jc w:val="both"/>
        <w:rPr>
          <w:sz w:val="20"/>
          <w:szCs w:val="20"/>
        </w:rPr>
      </w:pPr>
      <w:r w:rsidRPr="00274E13">
        <w:rPr>
          <w:sz w:val="20"/>
          <w:szCs w:val="20"/>
        </w:rPr>
        <w:t>1. Betrag der Entlohnung wie in § 5 Absatz 2 erwähnt, die dem Forscher-Impatriate gezahlt oder zuerkannt wurde,</w:t>
      </w:r>
    </w:p>
    <w:p w14:paraId="75C69F5C" w14:textId="77777777" w:rsidR="00274E13" w:rsidRPr="00274E13" w:rsidRDefault="00274E13" w:rsidP="00274E13">
      <w:pPr>
        <w:autoSpaceDE w:val="0"/>
        <w:autoSpaceDN w:val="0"/>
        <w:adjustRightInd w:val="0"/>
        <w:jc w:val="both"/>
        <w:rPr>
          <w:sz w:val="20"/>
          <w:szCs w:val="20"/>
        </w:rPr>
      </w:pPr>
    </w:p>
    <w:p w14:paraId="5FDC9637" w14:textId="77777777" w:rsidR="00274E13" w:rsidRPr="00274E13" w:rsidRDefault="00274E13" w:rsidP="00274E13">
      <w:pPr>
        <w:autoSpaceDE w:val="0"/>
        <w:autoSpaceDN w:val="0"/>
        <w:adjustRightInd w:val="0"/>
        <w:jc w:val="both"/>
        <w:rPr>
          <w:sz w:val="20"/>
          <w:szCs w:val="20"/>
        </w:rPr>
      </w:pPr>
      <w:r w:rsidRPr="00274E13">
        <w:rPr>
          <w:sz w:val="20"/>
          <w:szCs w:val="20"/>
        </w:rPr>
        <w:t>2. Betrag, der in Anwendung von § 5 als eine Erstattung eigener Ausgaben des Arbeitgebers gilt,</w:t>
      </w:r>
    </w:p>
    <w:p w14:paraId="2C7B9752" w14:textId="77777777" w:rsidR="00274E13" w:rsidRPr="00274E13" w:rsidRDefault="00274E13" w:rsidP="00274E13">
      <w:pPr>
        <w:autoSpaceDE w:val="0"/>
        <w:autoSpaceDN w:val="0"/>
        <w:adjustRightInd w:val="0"/>
        <w:jc w:val="both"/>
        <w:rPr>
          <w:sz w:val="20"/>
          <w:szCs w:val="20"/>
        </w:rPr>
      </w:pPr>
    </w:p>
    <w:p w14:paraId="1C68E860" w14:textId="77777777" w:rsidR="00274E13" w:rsidRPr="00274E13" w:rsidRDefault="00274E13" w:rsidP="00274E13">
      <w:pPr>
        <w:autoSpaceDE w:val="0"/>
        <w:autoSpaceDN w:val="0"/>
        <w:adjustRightInd w:val="0"/>
        <w:jc w:val="both"/>
        <w:rPr>
          <w:sz w:val="20"/>
          <w:szCs w:val="20"/>
        </w:rPr>
      </w:pPr>
      <w:r w:rsidRPr="00274E13">
        <w:rPr>
          <w:sz w:val="20"/>
          <w:szCs w:val="20"/>
        </w:rPr>
        <w:lastRenderedPageBreak/>
        <w:t>3. Betrag, der in Anwendung von § 6 als eine Erstattung eigener Ausgaben des Arbeitgebers gilt.]</w:t>
      </w:r>
    </w:p>
    <w:p w14:paraId="7FA77E91" w14:textId="77777777" w:rsidR="00274E13" w:rsidRPr="00274E13" w:rsidRDefault="00274E13" w:rsidP="00274E13">
      <w:pPr>
        <w:autoSpaceDE w:val="0"/>
        <w:autoSpaceDN w:val="0"/>
        <w:adjustRightInd w:val="0"/>
        <w:jc w:val="both"/>
        <w:rPr>
          <w:sz w:val="20"/>
          <w:szCs w:val="20"/>
        </w:rPr>
      </w:pPr>
    </w:p>
    <w:p w14:paraId="57AF7CC2" w14:textId="4127DD25" w:rsidR="00274E13" w:rsidRPr="00274E13" w:rsidRDefault="00274E13" w:rsidP="00274E13">
      <w:pPr>
        <w:autoSpaceDE w:val="0"/>
        <w:autoSpaceDN w:val="0"/>
        <w:adjustRightInd w:val="0"/>
        <w:jc w:val="both"/>
        <w:rPr>
          <w:sz w:val="20"/>
          <w:szCs w:val="20"/>
        </w:rPr>
      </w:pPr>
      <w:r w:rsidRPr="00274E13">
        <w:rPr>
          <w:i/>
          <w:iCs/>
          <w:sz w:val="20"/>
          <w:szCs w:val="20"/>
        </w:rPr>
        <w:t>[Art. 32/2 eingefügt durch Art. 14</w:t>
      </w:r>
      <w:r w:rsidRPr="00274E13">
        <w:rPr>
          <w:i/>
          <w:sz w:val="20"/>
          <w:szCs w:val="20"/>
        </w:rPr>
        <w:t xml:space="preserve"> des G. vom 27. Dezember 2021 (B.S. vom 31. Dezember 2021) - in Kraft am 1. Januar 2022 und anwendbar auf die in Betracht kommenden Steuerpflichtigen-Impatriates und Forscher-Impatriates, deren Arbeitsantritt in Belgien ab dem 1. Januar 2022 erfolgt -; § 2 Abs. 1 Nr. 1 abgeändert durch Art. 4 Nr. 1</w:t>
      </w:r>
      <w:r w:rsidRPr="00274E13">
        <w:rPr>
          <w:i/>
          <w:iCs/>
          <w:sz w:val="20"/>
          <w:szCs w:val="20"/>
        </w:rPr>
        <w:t xml:space="preserve"> des G. vom 21. Dezember 2022 (II) (B.S. vom 29. Dezember 2022) - wirksam mit 1. Januar 2022 -; </w:t>
      </w:r>
      <w:r w:rsidRPr="00274E13">
        <w:rPr>
          <w:i/>
          <w:sz w:val="20"/>
          <w:szCs w:val="20"/>
        </w:rPr>
        <w:t>§ 2 Abs. 1 Nr. 2 abgeändert durch Art. 4 Nr. 2</w:t>
      </w:r>
      <w:r w:rsidRPr="00274E13">
        <w:rPr>
          <w:i/>
          <w:iCs/>
          <w:sz w:val="20"/>
          <w:szCs w:val="20"/>
        </w:rPr>
        <w:t xml:space="preserve"> des G. vom 21. Dezember 2022 (II) (B.S. vom 29. Dezember 2022) - wirksam mit 1. Januar 2022 -; </w:t>
      </w:r>
      <w:r w:rsidRPr="00274E13">
        <w:rPr>
          <w:i/>
          <w:sz w:val="20"/>
          <w:szCs w:val="20"/>
        </w:rPr>
        <w:t>§ 2 Abs. 3 Nr. 1 abgeändert durch Art. 4 Nr. 3</w:t>
      </w:r>
      <w:r w:rsidRPr="00274E13">
        <w:rPr>
          <w:i/>
          <w:iCs/>
          <w:sz w:val="20"/>
          <w:szCs w:val="20"/>
        </w:rPr>
        <w:t xml:space="preserve"> des G. vom 21. Dezember 2022 (II) (B.S. vom 29. Dezember 2022) - wirksam mit 1. Januar 2022 -;</w:t>
      </w:r>
      <w:r w:rsidRPr="00274E13">
        <w:rPr>
          <w:i/>
          <w:sz w:val="20"/>
          <w:szCs w:val="20"/>
        </w:rPr>
        <w:t>§ 2 Abs. 5 abgeändert durch Art. 6 Nr. 1</w:t>
      </w:r>
      <w:r w:rsidRPr="00274E13">
        <w:rPr>
          <w:i/>
          <w:iCs/>
          <w:sz w:val="20"/>
          <w:szCs w:val="20"/>
        </w:rPr>
        <w:t xml:space="preserve"> des G. vom 5. Juli 2022 (B.S. vom 15. Juli 2022) - wirksam mit 1. Januar 2022 -; § 3 Abs. 2 aufgehoben durch Art. 46 Nr. 1 des G. vom 28. Dezember 2023 (B.S. vom 29. Dezember 2023) - wirksam mit 1. Januar 2023 und anwendbar auf die ab diesem Datum gezahlten oder zuerkannten Entlohnungen -; § 5 Abs. 2 abgeändert durch Art. 6 Nr. 3 und 4 des G. vom 5. Juli 2022 (B.S. vom 15. Juli 2022) - wirksam mit 1. Januar 2022 -, </w:t>
      </w:r>
      <w:r w:rsidRPr="00274E13">
        <w:rPr>
          <w:i/>
          <w:sz w:val="20"/>
          <w:szCs w:val="20"/>
        </w:rPr>
        <w:t>Art. 4 Nr. 4</w:t>
      </w:r>
      <w:r w:rsidRPr="00274E13">
        <w:rPr>
          <w:i/>
          <w:iCs/>
          <w:sz w:val="20"/>
          <w:szCs w:val="20"/>
        </w:rPr>
        <w:t xml:space="preserve"> des G. vom 21. Dezember 2022 (II) (B.S. vom 29. Dezember 2022) - wirksam mit 1. Januar 2022 - und Art. 46 Nr. 2 des G. vom 28. Dezember 2023 (B.S. vom 29. Dezember 2023) - wirksam mit 1. Januar 2023 und anwendbar auf die ab diesem Datum gezahlten oder zuerkannten Entlohnungen -; § 8 Abs. 1 </w:t>
      </w:r>
      <w:r w:rsidR="00495E89">
        <w:rPr>
          <w:i/>
          <w:iCs/>
          <w:sz w:val="20"/>
          <w:szCs w:val="20"/>
        </w:rPr>
        <w:t xml:space="preserve">und </w:t>
      </w:r>
      <w:r w:rsidRPr="00274E13">
        <w:rPr>
          <w:i/>
          <w:iCs/>
          <w:sz w:val="20"/>
          <w:szCs w:val="20"/>
        </w:rPr>
        <w:t xml:space="preserve">2 </w:t>
      </w:r>
      <w:r w:rsidR="00495E89">
        <w:rPr>
          <w:i/>
          <w:iCs/>
          <w:sz w:val="20"/>
          <w:szCs w:val="20"/>
        </w:rPr>
        <w:t>ersetzt durch Art. 4</w:t>
      </w:r>
      <w:r w:rsidR="00495E89" w:rsidRPr="00495E89">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00495E89" w:rsidRPr="00495E89">
        <w:rPr>
          <w:i/>
          <w:iCs/>
          <w:sz w:val="20"/>
          <w:szCs w:val="20"/>
        </w:rPr>
        <w:t>-</w:t>
      </w:r>
      <w:r w:rsidRPr="00274E13">
        <w:rPr>
          <w:i/>
          <w:iCs/>
          <w:sz w:val="20"/>
          <w:szCs w:val="20"/>
        </w:rPr>
        <w:t>; § 10 eingefügt durch Art. 46 Nr. 3 des G. vom 28. Dezember 2023 (B.S. vom 29. Dezember 2023) - wirksam mit 1. Januar 2023 und anwendbar auf die ab diesem Datum gezahlten oder zuerkannten Entlohnungen -]</w:t>
      </w:r>
      <w:r w:rsidR="00495E89">
        <w:rPr>
          <w:sz w:val="20"/>
          <w:szCs w:val="20"/>
        </w:rPr>
        <w:t>"</w:t>
      </w:r>
    </w:p>
    <w:p w14:paraId="12EA500E" w14:textId="0251F087" w:rsidR="00274E13" w:rsidRPr="00495E89" w:rsidRDefault="00274E13" w:rsidP="00AD25AD">
      <w:pPr>
        <w:autoSpaceDE w:val="0"/>
        <w:autoSpaceDN w:val="0"/>
        <w:adjustRightInd w:val="0"/>
        <w:jc w:val="both"/>
      </w:pPr>
    </w:p>
    <w:p w14:paraId="404900E3" w14:textId="77777777" w:rsidR="00477B8F" w:rsidRPr="009118AB" w:rsidRDefault="00477B8F" w:rsidP="002001C3">
      <w:pPr>
        <w:autoSpaceDE w:val="0"/>
        <w:autoSpaceDN w:val="0"/>
        <w:adjustRightInd w:val="0"/>
        <w:jc w:val="both"/>
      </w:pPr>
    </w:p>
    <w:p w14:paraId="4BB3D743" w14:textId="0EE0DF76" w:rsidR="009E7102" w:rsidRPr="009118AB" w:rsidRDefault="00477B8F" w:rsidP="002001C3">
      <w:pPr>
        <w:autoSpaceDE w:val="0"/>
        <w:autoSpaceDN w:val="0"/>
        <w:adjustRightInd w:val="0"/>
        <w:jc w:val="both"/>
      </w:pPr>
      <w:r w:rsidRPr="009118AB">
        <w:tab/>
      </w:r>
      <w:r w:rsidR="00D67EB8" w:rsidRPr="009118AB">
        <w:rPr>
          <w:b/>
          <w:bCs/>
        </w:rPr>
        <w:t>Art. </w:t>
      </w:r>
      <w:r w:rsidRPr="009118AB">
        <w:rPr>
          <w:b/>
          <w:bCs/>
        </w:rPr>
        <w:t>33</w:t>
      </w:r>
      <w:r w:rsidR="00D67EB8" w:rsidRPr="009118AB">
        <w:t> - </w:t>
      </w:r>
      <w:r w:rsidRPr="009118AB">
        <w:t>[Entlohnungen von mithelfenden Ehepartnern sind alle Zuweisungen eines Teils der Gewinne und Profite an den mithelfenden Ehepartner, der während des Besteuerungszeitraums keine Berufstätigkeit ausgeübt hat, die eigene Ansprüche auf Leistungen im Rahmen einer Pflichtregelung in Bezug auf Pensionen, Familienbeihilfen und Kranken</w:t>
      </w:r>
      <w:r w:rsidRPr="009118AB">
        <w:noBreakHyphen/>
        <w:t xml:space="preserve"> und Invalidenversicherung begründet, die mindestens gleichwertig sind mit denen des Sozialstatuts der Selbständigen, und der keine Leistung im Rahmen der Regelung der sozialen Sicherheit bezogen hat, die solche eigenen Ansprüche begründet. </w:t>
      </w:r>
    </w:p>
    <w:p w14:paraId="4D55F42A" w14:textId="77777777" w:rsidR="003D57B7" w:rsidRPr="009118AB" w:rsidRDefault="003D57B7" w:rsidP="002001C3">
      <w:pPr>
        <w:autoSpaceDE w:val="0"/>
        <w:autoSpaceDN w:val="0"/>
        <w:adjustRightInd w:val="0"/>
        <w:jc w:val="both"/>
      </w:pPr>
    </w:p>
    <w:p w14:paraId="7584CC64" w14:textId="77777777" w:rsidR="00477B8F" w:rsidRPr="009118AB" w:rsidRDefault="00477B8F" w:rsidP="002001C3">
      <w:pPr>
        <w:autoSpaceDE w:val="0"/>
        <w:autoSpaceDN w:val="0"/>
        <w:adjustRightInd w:val="0"/>
        <w:jc w:val="both"/>
      </w:pPr>
      <w:r w:rsidRPr="009118AB">
        <w:tab/>
        <w:t>Diese Entlohnungen müssen der normalen Entlohnung für Leistungen des mithelfenden Ehepartners entsprechen, wobei sie 30 Prozent des Nettobetrags der Einkünfte aus der Berufstätigkeit, die mit Hilfe des Ehepartners ausgeübt wird, jedoch nur übersteigen dürfen, wenn die Leistungen des mithelfenden Ehepartners offensichtlich Anspruch auf einen höheren Anteil begründen.]</w:t>
      </w:r>
    </w:p>
    <w:p w14:paraId="6E330468" w14:textId="77777777" w:rsidR="000548FC" w:rsidRPr="009118AB" w:rsidRDefault="000548FC" w:rsidP="002001C3">
      <w:pPr>
        <w:autoSpaceDE w:val="0"/>
        <w:autoSpaceDN w:val="0"/>
        <w:adjustRightInd w:val="0"/>
        <w:jc w:val="both"/>
      </w:pPr>
    </w:p>
    <w:p w14:paraId="5B3402A4" w14:textId="730D4DD4" w:rsidR="000548FC" w:rsidRPr="009118AB" w:rsidRDefault="000548FC" w:rsidP="002001C3">
      <w:pPr>
        <w:autoSpaceDE w:val="0"/>
        <w:autoSpaceDN w:val="0"/>
        <w:adjustRightInd w:val="0"/>
        <w:jc w:val="both"/>
      </w:pPr>
      <w:r w:rsidRPr="009118AB">
        <w:tab/>
        <w:t>[</w:t>
      </w:r>
      <w:r w:rsidRPr="009118AB">
        <w:rPr>
          <w:lang w:eastAsia="fr-BE"/>
        </w:rPr>
        <w:t>Als Entlohnungen von mithelfenden Ehepartnern sind ebenfalls Entschädigungen jeglicher Art steuerpflichtig, die als vollständige Entschädigung oder Teilentschädigung für einen zeitweiligen Ausfall der vorerwähnten Entlohnungen bezogen werden.</w:t>
      </w:r>
      <w:r w:rsidRPr="009118AB">
        <w:t>]</w:t>
      </w:r>
    </w:p>
    <w:p w14:paraId="02A21011" w14:textId="77777777" w:rsidR="00477B8F" w:rsidRPr="009118AB" w:rsidRDefault="00477B8F" w:rsidP="002001C3">
      <w:pPr>
        <w:autoSpaceDE w:val="0"/>
        <w:autoSpaceDN w:val="0"/>
        <w:adjustRightInd w:val="0"/>
        <w:jc w:val="both"/>
      </w:pPr>
    </w:p>
    <w:p w14:paraId="1E4F19D8" w14:textId="40A6CBC3" w:rsidR="00477B8F" w:rsidRPr="009118AB" w:rsidRDefault="00477B8F" w:rsidP="002001C3">
      <w:pPr>
        <w:autoSpaceDE w:val="0"/>
        <w:autoSpaceDN w:val="0"/>
        <w:adjustRightInd w:val="0"/>
        <w:jc w:val="both"/>
      </w:pPr>
      <w:r w:rsidRPr="009118AB">
        <w:rPr>
          <w:i/>
          <w:iCs/>
        </w:rPr>
        <w:t>[</w:t>
      </w:r>
      <w:r w:rsidR="00D67EB8" w:rsidRPr="009118AB">
        <w:rPr>
          <w:i/>
          <w:iCs/>
        </w:rPr>
        <w:t>Art. </w:t>
      </w:r>
      <w:r w:rsidRPr="009118AB">
        <w:rPr>
          <w:i/>
          <w:iCs/>
        </w:rPr>
        <w:t xml:space="preserve">33 aufgehoben durch </w:t>
      </w:r>
      <w:r w:rsidR="00D67EB8" w:rsidRPr="009118AB">
        <w:rPr>
          <w:i/>
          <w:iCs/>
        </w:rPr>
        <w:t>Art. </w:t>
      </w:r>
      <w:r w:rsidRPr="009118AB">
        <w:rPr>
          <w:i/>
          <w:iCs/>
        </w:rPr>
        <w:t>6 des K.E. vom 20. Dezember 1996 (B.S. vom 31. Dezember 1996)</w:t>
      </w:r>
      <w:r w:rsidR="00D67EB8" w:rsidRPr="009118AB">
        <w:rPr>
          <w:i/>
          <w:iCs/>
        </w:rPr>
        <w:t> - </w:t>
      </w:r>
      <w:r w:rsidRPr="009118AB">
        <w:rPr>
          <w:i/>
          <w:iCs/>
        </w:rPr>
        <w:t>in Kraft ab dem Steuerjahr 1998</w:t>
      </w:r>
      <w:r w:rsidR="00D67EB8" w:rsidRPr="009118AB">
        <w:rPr>
          <w:i/>
          <w:iCs/>
        </w:rPr>
        <w:t> - </w:t>
      </w:r>
      <w:r w:rsidRPr="009118AB">
        <w:rPr>
          <w:i/>
          <w:iCs/>
        </w:rPr>
        <w:t xml:space="preserve">und wieder aufgenommen durch </w:t>
      </w:r>
      <w:r w:rsidR="00D67EB8" w:rsidRPr="009118AB">
        <w:rPr>
          <w:i/>
          <w:iCs/>
        </w:rPr>
        <w:t>Art. </w:t>
      </w:r>
      <w:r w:rsidRPr="009118AB">
        <w:rPr>
          <w:i/>
          <w:iCs/>
        </w:rPr>
        <w:t>16 des G. (I) vom 24. Dezember 2002</w:t>
      </w:r>
      <w:r w:rsidR="00D86BCC" w:rsidRPr="009118AB">
        <w:rPr>
          <w:i/>
          <w:iCs/>
        </w:rPr>
        <w:t xml:space="preserve"> (I)</w:t>
      </w:r>
      <w:r w:rsidRPr="009118AB">
        <w:rPr>
          <w:i/>
          <w:iCs/>
        </w:rPr>
        <w:t xml:space="preserve"> (B.S. vom 31. Dezember 2002)</w:t>
      </w:r>
      <w:r w:rsidR="00D67EB8" w:rsidRPr="009118AB">
        <w:rPr>
          <w:i/>
          <w:iCs/>
        </w:rPr>
        <w:t> - </w:t>
      </w:r>
      <w:r w:rsidRPr="009118AB">
        <w:rPr>
          <w:i/>
          <w:iCs/>
        </w:rPr>
        <w:t>in Kraft ab dem Steuerjahr 2004</w:t>
      </w:r>
      <w:r w:rsidR="003366D9" w:rsidRPr="009118AB">
        <w:rPr>
          <w:i/>
          <w:iCs/>
        </w:rPr>
        <w:t> -;</w:t>
      </w:r>
      <w:r w:rsidR="000548FC" w:rsidRPr="009118AB">
        <w:rPr>
          <w:i/>
          <w:iCs/>
        </w:rPr>
        <w:t xml:space="preserve"> </w:t>
      </w:r>
      <w:r w:rsidR="00D67EB8" w:rsidRPr="009118AB">
        <w:rPr>
          <w:i/>
          <w:iCs/>
        </w:rPr>
        <w:t>Abs. </w:t>
      </w:r>
      <w:r w:rsidR="000548FC" w:rsidRPr="009118AB">
        <w:rPr>
          <w:i/>
          <w:iCs/>
        </w:rPr>
        <w:t xml:space="preserve">3 eingefügt durch </w:t>
      </w:r>
      <w:r w:rsidR="00D67EB8" w:rsidRPr="009118AB">
        <w:rPr>
          <w:i/>
          <w:iCs/>
        </w:rPr>
        <w:t>Art. </w:t>
      </w:r>
      <w:r w:rsidR="000548FC" w:rsidRPr="009118AB">
        <w:rPr>
          <w:i/>
          <w:iCs/>
        </w:rPr>
        <w:t>2 des G. vom 21. Januar 2022 (B.S. vom 28. Januar 2022)</w:t>
      </w:r>
      <w:r w:rsidR="00D67EB8" w:rsidRPr="009118AB">
        <w:rPr>
          <w:i/>
          <w:iCs/>
        </w:rPr>
        <w:t> - </w:t>
      </w:r>
      <w:r w:rsidR="000548FC" w:rsidRPr="009118AB">
        <w:rPr>
          <w:i/>
          <w:iCs/>
        </w:rPr>
        <w:t>anwendbar auf die ab dem 1. Januar 2022 gezahlten oder zuerkannten Einkünfte</w:t>
      </w:r>
      <w:r w:rsidR="00FD68E8" w:rsidRPr="009118AB">
        <w:rPr>
          <w:i/>
          <w:iCs/>
        </w:rPr>
        <w:t> -]</w:t>
      </w:r>
    </w:p>
    <w:p w14:paraId="5B9F39C1" w14:textId="77777777" w:rsidR="00477B8F" w:rsidRPr="009118AB" w:rsidRDefault="00477B8F" w:rsidP="002001C3">
      <w:pPr>
        <w:autoSpaceDE w:val="0"/>
        <w:autoSpaceDN w:val="0"/>
        <w:adjustRightInd w:val="0"/>
        <w:jc w:val="both"/>
      </w:pPr>
    </w:p>
    <w:p w14:paraId="06777A22" w14:textId="77777777" w:rsidR="00477B8F" w:rsidRPr="009118AB" w:rsidRDefault="00477B8F" w:rsidP="002001C3">
      <w:pPr>
        <w:autoSpaceDE w:val="0"/>
        <w:autoSpaceDN w:val="0"/>
        <w:adjustRightInd w:val="0"/>
        <w:jc w:val="both"/>
      </w:pPr>
    </w:p>
    <w:p w14:paraId="6F3E3252" w14:textId="77777777" w:rsidR="008414C3" w:rsidRDefault="008414C3">
      <w:r>
        <w:br w:type="page"/>
      </w:r>
    </w:p>
    <w:p w14:paraId="309515BC" w14:textId="0C8F445C" w:rsidR="00477B8F" w:rsidRPr="009118AB" w:rsidRDefault="00477B8F" w:rsidP="002001C3">
      <w:pPr>
        <w:autoSpaceDE w:val="0"/>
        <w:autoSpaceDN w:val="0"/>
        <w:adjustRightInd w:val="0"/>
        <w:jc w:val="both"/>
      </w:pPr>
      <w:r w:rsidRPr="009118AB">
        <w:lastRenderedPageBreak/>
        <w:tab/>
        <w:t>[</w:t>
      </w:r>
      <w:r w:rsidR="00D67EB8" w:rsidRPr="009118AB">
        <w:rPr>
          <w:b/>
          <w:bCs/>
        </w:rPr>
        <w:t>Art. </w:t>
      </w:r>
      <w:r w:rsidRPr="009118AB">
        <w:rPr>
          <w:b/>
          <w:bCs/>
        </w:rPr>
        <w:t>33</w:t>
      </w:r>
      <w:r w:rsidRPr="009118AB">
        <w:rPr>
          <w:b/>
          <w:bCs/>
          <w:i/>
          <w:iCs/>
        </w:rPr>
        <w:t>bis</w:t>
      </w:r>
      <w:r w:rsidR="00D67EB8" w:rsidRPr="009118AB">
        <w:t> - </w:t>
      </w:r>
      <w:r w:rsidRPr="009118AB">
        <w:t xml:space="preserve">Für die Zuweisung der in Artikel 30 </w:t>
      </w:r>
      <w:r w:rsidR="00D67EB8" w:rsidRPr="009118AB">
        <w:t>Nr. </w:t>
      </w:r>
      <w:r w:rsidRPr="009118AB">
        <w:t xml:space="preserve">3 erwähnten Entlohnungen werden Berufseinkünfte, die getrennt besteuert werden, </w:t>
      </w:r>
      <w:r w:rsidR="00BC69ED" w:rsidRPr="009118AB">
        <w:t xml:space="preserve">[und die in den Artikeln 25 </w:t>
      </w:r>
      <w:r w:rsidR="00D67EB8" w:rsidRPr="009118AB">
        <w:t>Nr. </w:t>
      </w:r>
      <w:r w:rsidR="00BC69ED" w:rsidRPr="009118AB">
        <w:t xml:space="preserve">7 und 27 Absatz 2 </w:t>
      </w:r>
      <w:r w:rsidR="00D67EB8" w:rsidRPr="009118AB">
        <w:t>Nr. </w:t>
      </w:r>
      <w:r w:rsidR="00BC69ED" w:rsidRPr="009118AB">
        <w:t xml:space="preserve">7 erwähnten Einkünfte] </w:t>
      </w:r>
      <w:r w:rsidRPr="009118AB">
        <w:t>nicht berücksichtigt.]</w:t>
      </w:r>
    </w:p>
    <w:p w14:paraId="626FADA7" w14:textId="77777777" w:rsidR="00477B8F" w:rsidRPr="009118AB" w:rsidRDefault="00477B8F" w:rsidP="002001C3">
      <w:pPr>
        <w:autoSpaceDE w:val="0"/>
        <w:autoSpaceDN w:val="0"/>
        <w:adjustRightInd w:val="0"/>
        <w:jc w:val="both"/>
      </w:pPr>
    </w:p>
    <w:p w14:paraId="7165D022" w14:textId="1A66A1D5" w:rsidR="00477B8F" w:rsidRPr="009118AB" w:rsidRDefault="00477B8F" w:rsidP="002001C3">
      <w:pPr>
        <w:autoSpaceDE w:val="0"/>
        <w:autoSpaceDN w:val="0"/>
        <w:adjustRightInd w:val="0"/>
        <w:jc w:val="both"/>
      </w:pPr>
      <w:r w:rsidRPr="009118AB">
        <w:rPr>
          <w:i/>
          <w:iCs/>
        </w:rPr>
        <w:t>[</w:t>
      </w:r>
      <w:r w:rsidR="00D67EB8" w:rsidRPr="009118AB">
        <w:rPr>
          <w:i/>
          <w:iCs/>
        </w:rPr>
        <w:t>Art. </w:t>
      </w:r>
      <w:r w:rsidRPr="009118AB">
        <w:rPr>
          <w:i/>
          <w:iCs/>
        </w:rPr>
        <w:t xml:space="preserve">33bis eingefügt durch </w:t>
      </w:r>
      <w:r w:rsidR="00D67EB8" w:rsidRPr="009118AB">
        <w:rPr>
          <w:i/>
          <w:iCs/>
        </w:rPr>
        <w:t>Art. </w:t>
      </w:r>
      <w:r w:rsidRPr="009118AB">
        <w:rPr>
          <w:i/>
          <w:iCs/>
        </w:rPr>
        <w:t>17 des G. (I) vom 24. Dezember 2002</w:t>
      </w:r>
      <w:r w:rsidR="006D4DC8" w:rsidRPr="009118AB">
        <w:rPr>
          <w:i/>
          <w:iCs/>
        </w:rPr>
        <w:t xml:space="preserve"> (I)</w:t>
      </w:r>
      <w:r w:rsidRPr="009118AB">
        <w:rPr>
          <w:i/>
          <w:iCs/>
        </w:rPr>
        <w:t xml:space="preserve"> (B.S. vom 31. Dezember 2002)</w:t>
      </w:r>
      <w:r w:rsidR="00D67EB8" w:rsidRPr="009118AB">
        <w:rPr>
          <w:i/>
          <w:iCs/>
        </w:rPr>
        <w:t> - </w:t>
      </w:r>
      <w:r w:rsidRPr="009118AB">
        <w:rPr>
          <w:i/>
          <w:iCs/>
        </w:rPr>
        <w:t>in Kraft ab dem Steuerjahr 2004</w:t>
      </w:r>
      <w:r w:rsidR="00D67EB8" w:rsidRPr="009118AB">
        <w:rPr>
          <w:i/>
          <w:iCs/>
        </w:rPr>
        <w:t> - </w:t>
      </w:r>
      <w:r w:rsidR="00BC69ED" w:rsidRPr="009118AB">
        <w:rPr>
          <w:i/>
          <w:iCs/>
        </w:rPr>
        <w:t xml:space="preserve">und abgeändert durch </w:t>
      </w:r>
      <w:r w:rsidR="00D67EB8" w:rsidRPr="009118AB">
        <w:rPr>
          <w:i/>
          <w:iCs/>
        </w:rPr>
        <w:t>Art. </w:t>
      </w:r>
      <w:r w:rsidR="00BC69ED" w:rsidRPr="009118AB">
        <w:rPr>
          <w:i/>
          <w:iCs/>
        </w:rPr>
        <w:t>6 des G. vom 23. Juni 2020 (B.S. vom 1. Juli 2020)</w:t>
      </w:r>
      <w:r w:rsidRPr="009118AB">
        <w:rPr>
          <w:i/>
          <w:iCs/>
        </w:rPr>
        <w:t>]</w:t>
      </w:r>
    </w:p>
    <w:p w14:paraId="69EE9AD7" w14:textId="77777777" w:rsidR="001E243B" w:rsidRPr="009118AB" w:rsidRDefault="001E243B" w:rsidP="002001C3">
      <w:pPr>
        <w:autoSpaceDE w:val="0"/>
        <w:autoSpaceDN w:val="0"/>
        <w:adjustRightInd w:val="0"/>
        <w:jc w:val="both"/>
      </w:pPr>
    </w:p>
    <w:p w14:paraId="01B718EE" w14:textId="77777777" w:rsidR="001E243B" w:rsidRPr="009118AB" w:rsidRDefault="001E243B" w:rsidP="002001C3">
      <w:pPr>
        <w:autoSpaceDE w:val="0"/>
        <w:autoSpaceDN w:val="0"/>
        <w:adjustRightInd w:val="0"/>
        <w:jc w:val="both"/>
      </w:pPr>
      <w:bookmarkStart w:id="1" w:name="_Hlk201649032"/>
    </w:p>
    <w:bookmarkEnd w:id="1"/>
    <w:p w14:paraId="0D826588" w14:textId="7F3FA66C" w:rsidR="00CB1997" w:rsidRPr="00DD5892" w:rsidRDefault="00CB1997" w:rsidP="00CB1997">
      <w:pPr>
        <w:autoSpaceDE w:val="0"/>
        <w:autoSpaceDN w:val="0"/>
        <w:adjustRightInd w:val="0"/>
        <w:jc w:val="both"/>
      </w:pPr>
      <w:r w:rsidRPr="00DD5892">
        <w:tab/>
        <w:t>(...)</w:t>
      </w:r>
    </w:p>
    <w:p w14:paraId="1A0EE16C" w14:textId="77777777" w:rsidR="00CB1997" w:rsidRPr="00DD5892" w:rsidRDefault="00CB1997" w:rsidP="00CB1997">
      <w:pPr>
        <w:autoSpaceDE w:val="0"/>
        <w:autoSpaceDN w:val="0"/>
        <w:adjustRightInd w:val="0"/>
        <w:jc w:val="both"/>
      </w:pPr>
    </w:p>
    <w:p w14:paraId="47EAB3DE" w14:textId="77777777" w:rsidR="00CB1997" w:rsidRPr="00DD5892" w:rsidRDefault="00CB1997" w:rsidP="00CB1997">
      <w:pPr>
        <w:autoSpaceDE w:val="0"/>
        <w:autoSpaceDN w:val="0"/>
        <w:adjustRightInd w:val="0"/>
        <w:jc w:val="both"/>
      </w:pPr>
      <w:r w:rsidRPr="00CB1997">
        <w:rPr>
          <w:i/>
          <w:iCs/>
        </w:rPr>
        <w:t>[Früherer Artikel 33ter eingefügt durch Art. 23 des G. vom 30. März 2018 (B.S. vom 7. Mai 2018) - in Kraft am 1. Januar 2018 -, selbst für nichtig erklärt durch Entscheid Nr. 11/2020 des Verfassungsgerichtshofes vom 23. Januar 2020 (B.S. vom 24. Februar 2020)]</w:t>
      </w:r>
    </w:p>
    <w:p w14:paraId="12031801" w14:textId="77777777" w:rsidR="00CB1997" w:rsidRPr="00DD5892" w:rsidRDefault="00CB1997" w:rsidP="00CB1997">
      <w:pPr>
        <w:autoSpaceDE w:val="0"/>
        <w:autoSpaceDN w:val="0"/>
        <w:adjustRightInd w:val="0"/>
        <w:jc w:val="both"/>
      </w:pPr>
    </w:p>
    <w:p w14:paraId="75E2A34B" w14:textId="77777777" w:rsidR="008F1D7A" w:rsidRPr="00DD5892" w:rsidRDefault="008F1D7A" w:rsidP="008F1D7A">
      <w:pPr>
        <w:autoSpaceDE w:val="0"/>
        <w:autoSpaceDN w:val="0"/>
        <w:adjustRightInd w:val="0"/>
        <w:jc w:val="both"/>
        <w:rPr>
          <w:iCs/>
        </w:rPr>
      </w:pPr>
    </w:p>
    <w:p w14:paraId="3E3B14B7" w14:textId="77777777" w:rsidR="007251C3" w:rsidRPr="00DD5892" w:rsidRDefault="007251C3" w:rsidP="00D43899">
      <w:pPr>
        <w:autoSpaceDE w:val="0"/>
        <w:autoSpaceDN w:val="0"/>
        <w:adjustRightInd w:val="0"/>
        <w:jc w:val="both"/>
        <w:rPr>
          <w:i/>
        </w:rPr>
      </w:pPr>
    </w:p>
    <w:p w14:paraId="0AE85B79" w14:textId="77777777" w:rsidR="00CB1997" w:rsidRPr="00DD5892" w:rsidRDefault="00CB1997">
      <w:pPr>
        <w:rPr>
          <w:i/>
        </w:rPr>
      </w:pPr>
      <w:r w:rsidRPr="00DD5892">
        <w:rPr>
          <w:i/>
        </w:rPr>
        <w:br w:type="page"/>
      </w:r>
    </w:p>
    <w:p w14:paraId="19A72359" w14:textId="47E08202" w:rsidR="00477B8F" w:rsidRPr="009118AB" w:rsidRDefault="008D0861" w:rsidP="002001C3">
      <w:pPr>
        <w:autoSpaceDE w:val="0"/>
        <w:autoSpaceDN w:val="0"/>
        <w:adjustRightInd w:val="0"/>
        <w:jc w:val="both"/>
      </w:pPr>
      <w:r w:rsidRPr="00DD5892">
        <w:rPr>
          <w:i/>
        </w:rPr>
        <w:lastRenderedPageBreak/>
        <w:t xml:space="preserve"> </w:t>
      </w:r>
      <w:r w:rsidR="00477B8F" w:rsidRPr="00DD5892">
        <w:tab/>
      </w:r>
      <w:r w:rsidR="00477B8F" w:rsidRPr="009118AB">
        <w:rPr>
          <w:i/>
          <w:iCs/>
        </w:rPr>
        <w:t>G.</w:t>
      </w:r>
      <w:r w:rsidR="00477B8F" w:rsidRPr="009118AB">
        <w:t xml:space="preserve"> Pensionen, Renten und als solche geltende Zulagen</w:t>
      </w:r>
    </w:p>
    <w:p w14:paraId="3C03C767" w14:textId="77777777" w:rsidR="00477B8F" w:rsidRPr="009118AB" w:rsidRDefault="00477B8F" w:rsidP="002001C3">
      <w:pPr>
        <w:autoSpaceDE w:val="0"/>
        <w:autoSpaceDN w:val="0"/>
        <w:adjustRightInd w:val="0"/>
        <w:jc w:val="both"/>
      </w:pPr>
    </w:p>
    <w:p w14:paraId="78058B7D" w14:textId="77777777" w:rsidR="00477B8F" w:rsidRPr="009118AB" w:rsidRDefault="00477B8F" w:rsidP="002001C3">
      <w:pPr>
        <w:autoSpaceDE w:val="0"/>
        <w:autoSpaceDN w:val="0"/>
        <w:adjustRightInd w:val="0"/>
        <w:jc w:val="both"/>
      </w:pPr>
    </w:p>
    <w:p w14:paraId="07C528C9" w14:textId="0CF849CE" w:rsidR="005E7014" w:rsidRPr="009118AB" w:rsidRDefault="00477B8F" w:rsidP="005E7014">
      <w:pPr>
        <w:autoSpaceDE w:val="0"/>
        <w:autoSpaceDN w:val="0"/>
        <w:adjustRightInd w:val="0"/>
        <w:jc w:val="both"/>
      </w:pPr>
      <w:r w:rsidRPr="009118AB">
        <w:tab/>
      </w:r>
      <w:r w:rsidR="00D67EB8" w:rsidRPr="009118AB">
        <w:rPr>
          <w:b/>
          <w:bCs/>
        </w:rPr>
        <w:t>Art. </w:t>
      </w:r>
      <w:r w:rsidRPr="009118AB">
        <w:rPr>
          <w:b/>
          <w:bCs/>
        </w:rPr>
        <w:t>34</w:t>
      </w:r>
      <w:r w:rsidR="00D67EB8" w:rsidRPr="009118AB">
        <w:t> - § </w:t>
      </w:r>
      <w:r w:rsidR="005E7014" w:rsidRPr="009118AB">
        <w:t>1</w:t>
      </w:r>
      <w:r w:rsidR="00D67EB8" w:rsidRPr="009118AB">
        <w:t> - </w:t>
      </w:r>
      <w:r w:rsidR="005E7014" w:rsidRPr="009118AB">
        <w:t>Pensionen, Renten und als solche geltende Zulagen umfassen ungeachtet des Schuldners, des Empfängers, der Bezeichnung und der Weise, wie sie festgelegt und bewilligt werden:</w:t>
      </w:r>
    </w:p>
    <w:p w14:paraId="31BA4990" w14:textId="77777777" w:rsidR="005E7014" w:rsidRPr="009118AB" w:rsidRDefault="005E7014" w:rsidP="005E7014">
      <w:pPr>
        <w:autoSpaceDE w:val="0"/>
        <w:autoSpaceDN w:val="0"/>
        <w:adjustRightInd w:val="0"/>
        <w:jc w:val="both"/>
      </w:pPr>
    </w:p>
    <w:p w14:paraId="52A4E909" w14:textId="77777777" w:rsidR="005E7014" w:rsidRPr="009118AB" w:rsidRDefault="005E7014" w:rsidP="00602F29">
      <w:pPr>
        <w:autoSpaceDE w:val="0"/>
        <w:autoSpaceDN w:val="0"/>
        <w:adjustRightInd w:val="0"/>
        <w:ind w:firstLine="709"/>
        <w:jc w:val="both"/>
      </w:pPr>
      <w:r w:rsidRPr="009118AB">
        <w:t>1. [Pensionen und Leib- oder Zeitrenten sowie als solche geltende Zulagen, die [im Rahmen einer gesetzlichen Sozialschutzregelung zuerkannt werden oder] direkt oder indirekt mit einer Berufstätigkeit in Zusammenhang stehen,]</w:t>
      </w:r>
    </w:p>
    <w:p w14:paraId="1B8CE24D" w14:textId="77777777" w:rsidR="005E7014" w:rsidRPr="009118AB" w:rsidRDefault="005E7014" w:rsidP="005E7014">
      <w:pPr>
        <w:autoSpaceDE w:val="0"/>
        <w:autoSpaceDN w:val="0"/>
        <w:adjustRightInd w:val="0"/>
        <w:jc w:val="both"/>
      </w:pPr>
    </w:p>
    <w:p w14:paraId="06D26A42" w14:textId="77777777" w:rsidR="005E7014" w:rsidRPr="009118AB" w:rsidRDefault="005E7014" w:rsidP="00602F29">
      <w:pPr>
        <w:autoSpaceDE w:val="0"/>
        <w:autoSpaceDN w:val="0"/>
        <w:adjustRightInd w:val="0"/>
        <w:ind w:firstLine="709"/>
        <w:jc w:val="both"/>
      </w:pPr>
      <w:r w:rsidRPr="009118AB">
        <w:t>[1</w:t>
      </w:r>
      <w:r w:rsidRPr="009118AB">
        <w:rPr>
          <w:i/>
          <w:iCs/>
        </w:rPr>
        <w:t>bis</w:t>
      </w:r>
      <w:r w:rsidRPr="009118AB">
        <w:t>. Pensionen und Leib- oder Zeitrenten sowie als solche geltende Zulagen zur vollständigen Entschädigung oder Teilentschädigung für einen dauerhaften Gewinn-, Lohn- oder Profitausfall,]</w:t>
      </w:r>
    </w:p>
    <w:p w14:paraId="514327FD" w14:textId="77777777" w:rsidR="005E7014" w:rsidRPr="009118AB" w:rsidRDefault="005E7014" w:rsidP="005E7014">
      <w:pPr>
        <w:autoSpaceDE w:val="0"/>
        <w:autoSpaceDN w:val="0"/>
        <w:adjustRightInd w:val="0"/>
        <w:jc w:val="both"/>
      </w:pPr>
    </w:p>
    <w:p w14:paraId="1861EFBA" w14:textId="77777777" w:rsidR="005E7014" w:rsidRPr="009118AB" w:rsidRDefault="005E7014" w:rsidP="00602F29">
      <w:pPr>
        <w:autoSpaceDE w:val="0"/>
        <w:autoSpaceDN w:val="0"/>
        <w:adjustRightInd w:val="0"/>
        <w:ind w:firstLine="709"/>
        <w:jc w:val="both"/>
      </w:pPr>
      <w:r w:rsidRPr="009118AB">
        <w:t>2. [Kapitalien, Rückkaufswerte von Lebensversicherungsverträgen, Pensionen, ergänzende Pensionen und Renten, die ganz oder teilweise gebildet werden durch:</w:t>
      </w:r>
    </w:p>
    <w:p w14:paraId="00366BBF" w14:textId="77777777" w:rsidR="005E7014" w:rsidRPr="009118AB" w:rsidRDefault="005E7014" w:rsidP="005E7014">
      <w:pPr>
        <w:autoSpaceDE w:val="0"/>
        <w:autoSpaceDN w:val="0"/>
        <w:adjustRightInd w:val="0"/>
        <w:jc w:val="both"/>
      </w:pPr>
    </w:p>
    <w:p w14:paraId="42D02234" w14:textId="77777777" w:rsidR="005E7014" w:rsidRPr="009118AB" w:rsidRDefault="005E7014" w:rsidP="00602F29">
      <w:pPr>
        <w:autoSpaceDE w:val="0"/>
        <w:autoSpaceDN w:val="0"/>
        <w:adjustRightInd w:val="0"/>
        <w:ind w:firstLine="709"/>
        <w:jc w:val="both"/>
      </w:pPr>
      <w:r w:rsidRPr="009118AB">
        <w:rPr>
          <w:i/>
          <w:iCs/>
        </w:rPr>
        <w:t>a)</w:t>
      </w:r>
      <w:r w:rsidRPr="009118AB">
        <w:t xml:space="preserve"> persönliche Beiträge zur Alters- und Todesfallzusatzversicherung für die Bildung einer Rente oder eines Kapitals zu Lebzeiten oder im Todesfall oder durch Arbeitgeberbeiträge. In Bezug auf die in Artikel 32 Absatz 1 erwähnten außerhalb eines Arbeitsvertrags beschäftigten Unternehmensleiter ist für die Anwendung vorliegender Bestimmung der Begriff "Arbeitgeberbeiträge" durch den Begriff "Unternehmensbeiträge" zu ersetzen,</w:t>
      </w:r>
    </w:p>
    <w:p w14:paraId="45BCF7FD" w14:textId="77777777" w:rsidR="005E7014" w:rsidRPr="009118AB" w:rsidRDefault="005E7014" w:rsidP="005E7014">
      <w:pPr>
        <w:autoSpaceDE w:val="0"/>
        <w:autoSpaceDN w:val="0"/>
        <w:adjustRightInd w:val="0"/>
        <w:jc w:val="both"/>
      </w:pPr>
    </w:p>
    <w:p w14:paraId="7D8277A1" w14:textId="6F1FD677" w:rsidR="005E7014" w:rsidRPr="009118AB" w:rsidRDefault="005E7014" w:rsidP="00602F29">
      <w:pPr>
        <w:autoSpaceDE w:val="0"/>
        <w:autoSpaceDN w:val="0"/>
        <w:adjustRightInd w:val="0"/>
        <w:ind w:firstLine="709"/>
        <w:jc w:val="both"/>
      </w:pPr>
      <w:r w:rsidRPr="009118AB">
        <w:rPr>
          <w:i/>
          <w:iCs/>
        </w:rPr>
        <w:t>b)</w:t>
      </w:r>
      <w:r w:rsidRPr="009118AB">
        <w:t xml:space="preserve"> Beiträge und Prämien für die Bildung einer ergänzenden Pension wie im Gesetz vom 28. April 2003 über ergänzende Pensionen und das Besteuerungssystem für diese Pensionen und für bestimmte Zusatzleistungen im Bereich der sozialen Sicherheit erwähnt, einschließlich der ergänzenden Pensionen, die in Ausführung einer in den Artikeln 10 und 11 des vorerwähnten Gesetzes erwähnten Solidaritätsvereinbarung zuerkannt werden, und der Pensionen, die durch die in Artikel 38 </w:t>
      </w:r>
      <w:r w:rsidR="00D67EB8" w:rsidRPr="009118AB">
        <w:t>§ </w:t>
      </w:r>
      <w:r w:rsidRPr="009118AB">
        <w:t xml:space="preserve">1 Absatz 1 </w:t>
      </w:r>
      <w:r w:rsidR="00D67EB8" w:rsidRPr="009118AB">
        <w:t>Nr. </w:t>
      </w:r>
      <w:r w:rsidRPr="009118AB">
        <w:t>18 und 19 erwähnten Beiträge und Prämien gebildet werden,</w:t>
      </w:r>
    </w:p>
    <w:p w14:paraId="113449B6" w14:textId="77777777" w:rsidR="005E7014" w:rsidRPr="009118AB" w:rsidRDefault="005E7014" w:rsidP="005E7014">
      <w:pPr>
        <w:autoSpaceDE w:val="0"/>
        <w:autoSpaceDN w:val="0"/>
        <w:adjustRightInd w:val="0"/>
        <w:jc w:val="both"/>
      </w:pPr>
    </w:p>
    <w:p w14:paraId="1DFC8617" w14:textId="77777777" w:rsidR="005E7014" w:rsidRPr="009118AB" w:rsidRDefault="005E7014" w:rsidP="00602F29">
      <w:pPr>
        <w:autoSpaceDE w:val="0"/>
        <w:autoSpaceDN w:val="0"/>
        <w:adjustRightInd w:val="0"/>
        <w:ind w:firstLine="709"/>
        <w:jc w:val="both"/>
        <w:rPr>
          <w:spacing w:val="-2"/>
        </w:rPr>
      </w:pPr>
      <w:r w:rsidRPr="009118AB">
        <w:rPr>
          <w:i/>
          <w:iCs/>
          <w:spacing w:val="-2"/>
        </w:rPr>
        <w:t xml:space="preserve">c) </w:t>
      </w:r>
      <w:r w:rsidRPr="009118AB">
        <w:rPr>
          <w:spacing w:val="-2"/>
        </w:rPr>
        <w:t>Beiträge und Prämien für die Bildung einer ergänzenden Pension wie erwähnt in dem in Buchstabe </w:t>
      </w:r>
      <w:r w:rsidRPr="009118AB">
        <w:rPr>
          <w:i/>
          <w:iCs/>
          <w:spacing w:val="-2"/>
        </w:rPr>
        <w:t>b)</w:t>
      </w:r>
      <w:r w:rsidRPr="009118AB">
        <w:rPr>
          <w:spacing w:val="-2"/>
        </w:rPr>
        <w:t xml:space="preserve"> genannten Gesetz, wenn diese Beiträge im Rahmen einer individuellen Weiter</w:t>
      </w:r>
      <w:r w:rsidR="00602F29" w:rsidRPr="009118AB">
        <w:rPr>
          <w:spacing w:val="-2"/>
        </w:rPr>
        <w:softHyphen/>
      </w:r>
      <w:r w:rsidRPr="009118AB">
        <w:rPr>
          <w:spacing w:val="-2"/>
        </w:rPr>
        <w:t>führung einer in Artikel 33 desselben Gesetzes erwähnten Pensionsvereinbarung gezahlt werden,</w:t>
      </w:r>
    </w:p>
    <w:p w14:paraId="7BB0D1F4" w14:textId="77777777" w:rsidR="005E7014" w:rsidRPr="009118AB" w:rsidRDefault="005E7014" w:rsidP="005E7014">
      <w:pPr>
        <w:autoSpaceDE w:val="0"/>
        <w:autoSpaceDN w:val="0"/>
        <w:adjustRightInd w:val="0"/>
        <w:jc w:val="both"/>
      </w:pPr>
    </w:p>
    <w:p w14:paraId="49738749" w14:textId="77777777" w:rsidR="005E7014" w:rsidRPr="009118AB" w:rsidRDefault="005E7014" w:rsidP="00602F29">
      <w:pPr>
        <w:autoSpaceDE w:val="0"/>
        <w:autoSpaceDN w:val="0"/>
        <w:adjustRightInd w:val="0"/>
        <w:ind w:firstLine="709"/>
        <w:jc w:val="both"/>
      </w:pPr>
      <w:r w:rsidRPr="009118AB">
        <w:t>[</w:t>
      </w:r>
      <w:r w:rsidRPr="009118AB">
        <w:rPr>
          <w:i/>
        </w:rPr>
        <w:t>c</w:t>
      </w:r>
      <w:r w:rsidRPr="009118AB">
        <w:t>/1</w:t>
      </w:r>
      <w:r w:rsidRPr="009118AB">
        <w:rPr>
          <w:i/>
        </w:rPr>
        <w:t>)</w:t>
      </w:r>
      <w:r w:rsidRPr="009118AB">
        <w:t> Beiträge und Prämien für eine freie ergänzende Pension für Lohnempfänger wie in Titel 2 des Gesetzes vom 6. Dezember 2018 zur Einführung einer freien ergänzenden Altersversorgung für Lohnempfänger und zur Festlegung verschiedener Bestimmungen im Bereich ergänzende Altersversorgung erwähnt,]</w:t>
      </w:r>
    </w:p>
    <w:p w14:paraId="7019C8EB" w14:textId="77777777" w:rsidR="005E7014" w:rsidRPr="009118AB" w:rsidRDefault="005E7014" w:rsidP="005E7014">
      <w:pPr>
        <w:autoSpaceDE w:val="0"/>
        <w:autoSpaceDN w:val="0"/>
        <w:adjustRightInd w:val="0"/>
        <w:jc w:val="both"/>
      </w:pPr>
    </w:p>
    <w:p w14:paraId="283DD190" w14:textId="09628C6A" w:rsidR="005E7014" w:rsidRPr="009118AB" w:rsidRDefault="005E7014" w:rsidP="00602F29">
      <w:pPr>
        <w:autoSpaceDE w:val="0"/>
        <w:autoSpaceDN w:val="0"/>
        <w:adjustRightInd w:val="0"/>
        <w:ind w:firstLine="709"/>
        <w:jc w:val="both"/>
      </w:pPr>
      <w:r w:rsidRPr="009118AB">
        <w:rPr>
          <w:i/>
          <w:iCs/>
        </w:rPr>
        <w:t>d)</w:t>
      </w:r>
      <w:r w:rsidRPr="009118AB">
        <w:t xml:space="preserve"> [Beiträge, die [in Artikel 145</w:t>
      </w:r>
      <w:r w:rsidRPr="009118AB">
        <w:rPr>
          <w:vertAlign w:val="superscript"/>
        </w:rPr>
        <w:t>1</w:t>
      </w:r>
      <w:r w:rsidRPr="009118AB">
        <w:t xml:space="preserve"> </w:t>
      </w:r>
      <w:r w:rsidR="00D67EB8" w:rsidRPr="009118AB">
        <w:t>Nr. </w:t>
      </w:r>
      <w:r w:rsidRPr="009118AB">
        <w:t>2] erwähnt sind,]</w:t>
      </w:r>
    </w:p>
    <w:p w14:paraId="669D5442" w14:textId="77777777" w:rsidR="005E7014" w:rsidRPr="009118AB" w:rsidRDefault="005E7014" w:rsidP="005E7014">
      <w:pPr>
        <w:autoSpaceDE w:val="0"/>
        <w:autoSpaceDN w:val="0"/>
        <w:adjustRightInd w:val="0"/>
        <w:jc w:val="both"/>
      </w:pPr>
    </w:p>
    <w:p w14:paraId="3CB644BD" w14:textId="77777777" w:rsidR="005E7014" w:rsidRPr="009118AB" w:rsidRDefault="005E7014" w:rsidP="00602F29">
      <w:pPr>
        <w:autoSpaceDE w:val="0"/>
        <w:autoSpaceDN w:val="0"/>
        <w:adjustRightInd w:val="0"/>
        <w:ind w:firstLine="709"/>
        <w:jc w:val="both"/>
      </w:pPr>
      <w:r w:rsidRPr="009118AB">
        <w:t>[</w:t>
      </w:r>
      <w:r w:rsidRPr="009118AB">
        <w:rPr>
          <w:i/>
        </w:rPr>
        <w:t>e)</w:t>
      </w:r>
      <w:r w:rsidRPr="009118AB">
        <w:t> Beiträge, für die eine regionale Steuerermäßigung oder regionale Steuergutschrift gewährt wurde.]</w:t>
      </w:r>
    </w:p>
    <w:p w14:paraId="3777DB8E" w14:textId="77777777" w:rsidR="005E7014" w:rsidRPr="009118AB" w:rsidRDefault="005E7014" w:rsidP="005E7014">
      <w:pPr>
        <w:autoSpaceDE w:val="0"/>
        <w:autoSpaceDN w:val="0"/>
        <w:adjustRightInd w:val="0"/>
        <w:jc w:val="both"/>
      </w:pPr>
    </w:p>
    <w:p w14:paraId="0C2EA8B6" w14:textId="77777777" w:rsidR="005E7014" w:rsidRPr="009118AB" w:rsidRDefault="005E7014" w:rsidP="00602F29">
      <w:pPr>
        <w:autoSpaceDE w:val="0"/>
        <w:autoSpaceDN w:val="0"/>
        <w:adjustRightInd w:val="0"/>
        <w:ind w:firstLine="709"/>
        <w:jc w:val="both"/>
      </w:pPr>
      <w:r w:rsidRPr="009118AB">
        <w:t xml:space="preserve">Als ergänzende Pension wie im Gesetz vom 28. April 2003 über ergänzende Pensionen und das Besteuerungssystem für diese Pensionen und für bestimmte Zusatzleistungen im Bereich der sozialen Sicherheit erwähnt gilt die Ruhestands- und/oder Hinterbliebenenpension bei Tod des Angeschlossenen vor oder nach der Versetzung in den Ruhestand oder der ihr </w:t>
      </w:r>
      <w:r w:rsidRPr="009118AB">
        <w:lastRenderedPageBreak/>
        <w:t>entsprechende Kapitalwert, die auf der Grundlage von obligatorischen Zahlungen, die in einer Pensionsregelung oder einem Pensionsabkommen festgelegt sind, zusätzlich zu einer aufgrund einer gesetzlichen Regelung der sozialen Sicherheit festgelegten Pension bewilligt werden,]</w:t>
      </w:r>
    </w:p>
    <w:p w14:paraId="750B0496" w14:textId="77777777" w:rsidR="005E7014" w:rsidRPr="009118AB" w:rsidRDefault="005E7014" w:rsidP="005E7014">
      <w:pPr>
        <w:autoSpaceDE w:val="0"/>
        <w:autoSpaceDN w:val="0"/>
        <w:adjustRightInd w:val="0"/>
        <w:jc w:val="both"/>
      </w:pPr>
    </w:p>
    <w:p w14:paraId="42BBF0B8" w14:textId="77777777" w:rsidR="005E7014" w:rsidRPr="009118AB" w:rsidRDefault="005E7014" w:rsidP="00602F29">
      <w:pPr>
        <w:autoSpaceDE w:val="0"/>
        <w:autoSpaceDN w:val="0"/>
        <w:adjustRightInd w:val="0"/>
        <w:ind w:firstLine="709"/>
        <w:jc w:val="both"/>
      </w:pPr>
      <w:r w:rsidRPr="009118AB">
        <w:t>[2</w:t>
      </w:r>
      <w:r w:rsidRPr="009118AB">
        <w:rPr>
          <w:i/>
          <w:iCs/>
        </w:rPr>
        <w:t>bis</w:t>
      </w:r>
      <w:r w:rsidRPr="009118AB">
        <w:t>. ergänzende Pensionen der Selbständigen wie in Titel II Kapitel 1 Abschnitt 4 des Programmgesetzes vom 24. Dezember 2002 erwähnt,]</w:t>
      </w:r>
    </w:p>
    <w:p w14:paraId="3F0E90FF" w14:textId="77777777" w:rsidR="005E7014" w:rsidRPr="009118AB" w:rsidRDefault="005E7014" w:rsidP="005E7014">
      <w:pPr>
        <w:autoSpaceDE w:val="0"/>
        <w:autoSpaceDN w:val="0"/>
        <w:adjustRightInd w:val="0"/>
        <w:jc w:val="both"/>
      </w:pPr>
    </w:p>
    <w:p w14:paraId="2CDD4B6C" w14:textId="77777777" w:rsidR="005E7014" w:rsidRPr="009118AB" w:rsidRDefault="005E7014" w:rsidP="00602F29">
      <w:pPr>
        <w:autoSpaceDE w:val="0"/>
        <w:autoSpaceDN w:val="0"/>
        <w:adjustRightInd w:val="0"/>
        <w:ind w:firstLine="709"/>
        <w:jc w:val="both"/>
      </w:pPr>
      <w:r w:rsidRPr="009118AB">
        <w:t>[2</w:t>
      </w:r>
      <w:r w:rsidRPr="009118AB">
        <w:rPr>
          <w:i/>
        </w:rPr>
        <w:t>ter</w:t>
      </w:r>
      <w:r w:rsidRPr="009118AB">
        <w:t>. ergänzende Pensionen der Selbständigen wie in Titel II des Gesetzes vom 18. Februar 2018 zur Festlegung verschiedener Bestimmungen im Bereich ergänzende Altersversorgung und zur Einführung einer ergänzenden Altersversorgung für als natürliche Person tätige Selbständige, mithelfende Ehepartner und selbständige Helfer erwähnt,]</w:t>
      </w:r>
    </w:p>
    <w:p w14:paraId="40A33E55" w14:textId="77777777" w:rsidR="005E7014" w:rsidRPr="009118AB" w:rsidRDefault="005E7014" w:rsidP="005E7014">
      <w:pPr>
        <w:autoSpaceDE w:val="0"/>
        <w:autoSpaceDN w:val="0"/>
        <w:adjustRightInd w:val="0"/>
        <w:jc w:val="both"/>
      </w:pPr>
    </w:p>
    <w:p w14:paraId="519B2363" w14:textId="77777777" w:rsidR="005E7014" w:rsidRPr="009118AB" w:rsidRDefault="005E7014" w:rsidP="00602F29">
      <w:pPr>
        <w:autoSpaceDE w:val="0"/>
        <w:autoSpaceDN w:val="0"/>
        <w:adjustRightInd w:val="0"/>
        <w:ind w:firstLine="709"/>
        <w:jc w:val="both"/>
      </w:pPr>
      <w:r w:rsidRPr="009118AB">
        <w:t>3. Einkünfte aus Pensionssparen gemäß [Artikel 145</w:t>
      </w:r>
      <w:r w:rsidRPr="009118AB">
        <w:rPr>
          <w:vertAlign w:val="superscript"/>
        </w:rPr>
        <w:t>8</w:t>
      </w:r>
      <w:r w:rsidRPr="009118AB">
        <w:t>].</w:t>
      </w:r>
    </w:p>
    <w:p w14:paraId="47A96501" w14:textId="77777777" w:rsidR="005E7014" w:rsidRPr="009118AB" w:rsidRDefault="005E7014" w:rsidP="005E7014">
      <w:pPr>
        <w:autoSpaceDE w:val="0"/>
        <w:autoSpaceDN w:val="0"/>
        <w:adjustRightInd w:val="0"/>
        <w:jc w:val="both"/>
      </w:pPr>
    </w:p>
    <w:p w14:paraId="4894C19D" w14:textId="66BC9ABB" w:rsidR="005E7014" w:rsidRPr="009118AB" w:rsidRDefault="00D67EB8" w:rsidP="00602F29">
      <w:pPr>
        <w:autoSpaceDE w:val="0"/>
        <w:autoSpaceDN w:val="0"/>
        <w:adjustRightInd w:val="0"/>
        <w:ind w:firstLine="709"/>
        <w:jc w:val="both"/>
      </w:pPr>
      <w:r w:rsidRPr="009118AB">
        <w:t>§ </w:t>
      </w:r>
      <w:r w:rsidR="005E7014" w:rsidRPr="009118AB">
        <w:t>2</w:t>
      </w:r>
      <w:r w:rsidRPr="009118AB">
        <w:t> - </w:t>
      </w:r>
      <w:r w:rsidR="005E7014" w:rsidRPr="009118AB">
        <w:t>Einkünfte aus Pensionssparen umfassen:</w:t>
      </w:r>
    </w:p>
    <w:p w14:paraId="0DD46D3E" w14:textId="77777777" w:rsidR="005E7014" w:rsidRPr="009118AB" w:rsidRDefault="005E7014" w:rsidP="005E7014">
      <w:pPr>
        <w:autoSpaceDE w:val="0"/>
        <w:autoSpaceDN w:val="0"/>
        <w:adjustRightInd w:val="0"/>
        <w:jc w:val="both"/>
      </w:pPr>
    </w:p>
    <w:p w14:paraId="296FA8C2" w14:textId="77777777" w:rsidR="005E7014" w:rsidRPr="009118AB" w:rsidRDefault="005E7014" w:rsidP="00602F29">
      <w:pPr>
        <w:autoSpaceDE w:val="0"/>
        <w:autoSpaceDN w:val="0"/>
        <w:adjustRightInd w:val="0"/>
        <w:ind w:firstLine="709"/>
        <w:jc w:val="both"/>
      </w:pPr>
      <w:r w:rsidRPr="009118AB">
        <w:t>1. Sparguthaben auf einem kollektiven oder individuellen Sparkonto,</w:t>
      </w:r>
    </w:p>
    <w:p w14:paraId="3BA9EE06" w14:textId="77777777" w:rsidR="005E7014" w:rsidRPr="009118AB" w:rsidRDefault="005E7014" w:rsidP="005E7014">
      <w:pPr>
        <w:autoSpaceDE w:val="0"/>
        <w:autoSpaceDN w:val="0"/>
        <w:adjustRightInd w:val="0"/>
        <w:jc w:val="both"/>
      </w:pPr>
    </w:p>
    <w:p w14:paraId="011D23F7" w14:textId="77777777" w:rsidR="005E7014" w:rsidRPr="009118AB" w:rsidRDefault="005E7014" w:rsidP="00602F29">
      <w:pPr>
        <w:autoSpaceDE w:val="0"/>
        <w:autoSpaceDN w:val="0"/>
        <w:adjustRightInd w:val="0"/>
        <w:ind w:firstLine="709"/>
        <w:jc w:val="both"/>
      </w:pPr>
      <w:r w:rsidRPr="009118AB">
        <w:t>2. Pensionen, Renten, Kapitalien und Rückkaufswerte einer Sparversicherung,</w:t>
      </w:r>
    </w:p>
    <w:p w14:paraId="55F96EA8" w14:textId="77777777" w:rsidR="005E7014" w:rsidRPr="009118AB" w:rsidRDefault="005E7014" w:rsidP="005E7014">
      <w:pPr>
        <w:autoSpaceDE w:val="0"/>
        <w:autoSpaceDN w:val="0"/>
        <w:adjustRightInd w:val="0"/>
        <w:jc w:val="both"/>
      </w:pPr>
    </w:p>
    <w:p w14:paraId="5D16F826" w14:textId="77777777" w:rsidR="005E7014" w:rsidRPr="009118AB" w:rsidRDefault="005E7014" w:rsidP="00602F29">
      <w:pPr>
        <w:autoSpaceDE w:val="0"/>
        <w:autoSpaceDN w:val="0"/>
        <w:adjustRightInd w:val="0"/>
        <w:ind w:firstLine="709"/>
        <w:jc w:val="both"/>
      </w:pPr>
      <w:r w:rsidRPr="009118AB">
        <w:t>3. folgende Übertragungen:</w:t>
      </w:r>
    </w:p>
    <w:p w14:paraId="553ABC4B" w14:textId="77777777" w:rsidR="005E7014" w:rsidRPr="009118AB" w:rsidRDefault="005E7014" w:rsidP="005E7014">
      <w:pPr>
        <w:autoSpaceDE w:val="0"/>
        <w:autoSpaceDN w:val="0"/>
        <w:adjustRightInd w:val="0"/>
        <w:jc w:val="both"/>
      </w:pPr>
    </w:p>
    <w:p w14:paraId="49567811" w14:textId="77777777" w:rsidR="005E7014" w:rsidRPr="009118AB" w:rsidRDefault="005E7014" w:rsidP="00602F29">
      <w:pPr>
        <w:autoSpaceDE w:val="0"/>
        <w:autoSpaceDN w:val="0"/>
        <w:adjustRightInd w:val="0"/>
        <w:ind w:firstLine="709"/>
        <w:jc w:val="both"/>
      </w:pPr>
      <w:r w:rsidRPr="009118AB">
        <w:t>- Teilübertragungen der Guthaben von Sparkonten oder technischer Rückstellungen von Sparversicherungen,</w:t>
      </w:r>
    </w:p>
    <w:p w14:paraId="1548F075" w14:textId="77777777" w:rsidR="005E7014" w:rsidRPr="009118AB" w:rsidRDefault="005E7014" w:rsidP="005E7014">
      <w:pPr>
        <w:autoSpaceDE w:val="0"/>
        <w:autoSpaceDN w:val="0"/>
        <w:adjustRightInd w:val="0"/>
        <w:jc w:val="both"/>
      </w:pPr>
    </w:p>
    <w:p w14:paraId="2A3D6889" w14:textId="77777777" w:rsidR="005E7014" w:rsidRPr="009118AB" w:rsidRDefault="005E7014" w:rsidP="00602F29">
      <w:pPr>
        <w:autoSpaceDE w:val="0"/>
        <w:autoSpaceDN w:val="0"/>
        <w:adjustRightInd w:val="0"/>
        <w:ind w:firstLine="709"/>
        <w:jc w:val="both"/>
      </w:pPr>
      <w:r w:rsidRPr="009118AB">
        <w:t>- vollständige Übertragungen der Guthaben eines individuellen oder kollektiven Sparkontos auf eine Sparversicherung,</w:t>
      </w:r>
    </w:p>
    <w:p w14:paraId="10E013CF" w14:textId="77777777" w:rsidR="005E7014" w:rsidRPr="009118AB" w:rsidRDefault="005E7014" w:rsidP="005E7014">
      <w:pPr>
        <w:autoSpaceDE w:val="0"/>
        <w:autoSpaceDN w:val="0"/>
        <w:adjustRightInd w:val="0"/>
        <w:jc w:val="both"/>
      </w:pPr>
    </w:p>
    <w:p w14:paraId="7F649CF9" w14:textId="77777777" w:rsidR="005E7014" w:rsidRPr="009118AB" w:rsidRDefault="005E7014" w:rsidP="00602F29">
      <w:pPr>
        <w:autoSpaceDE w:val="0"/>
        <w:autoSpaceDN w:val="0"/>
        <w:adjustRightInd w:val="0"/>
        <w:ind w:firstLine="709"/>
        <w:jc w:val="both"/>
      </w:pPr>
      <w:r w:rsidRPr="009118AB">
        <w:t>- vollständige Übertragungen technischer Rückstellungen in Bezug auf eine Sparversicherung auf ein individuelles oder kollektives Sparkonto,</w:t>
      </w:r>
    </w:p>
    <w:p w14:paraId="51E7062D" w14:textId="77777777" w:rsidR="005E7014" w:rsidRPr="009118AB" w:rsidRDefault="005E7014" w:rsidP="005E7014">
      <w:pPr>
        <w:autoSpaceDE w:val="0"/>
        <w:autoSpaceDN w:val="0"/>
        <w:adjustRightInd w:val="0"/>
        <w:jc w:val="both"/>
      </w:pPr>
    </w:p>
    <w:p w14:paraId="26E4C0CB" w14:textId="77777777" w:rsidR="005E7014" w:rsidRPr="009118AB" w:rsidRDefault="005E7014" w:rsidP="00602F29">
      <w:pPr>
        <w:autoSpaceDE w:val="0"/>
        <w:autoSpaceDN w:val="0"/>
        <w:adjustRightInd w:val="0"/>
        <w:ind w:firstLine="709"/>
        <w:jc w:val="both"/>
      </w:pPr>
      <w:r w:rsidRPr="009118AB">
        <w:t>[- Übertragungen, die nicht in den vorhergehenden Gedankenstrichen erwähnt sind, wenn sie auf ein individuelles oder kollektives Sparkonto oder eine Sparversicherung erfolgen, das/die den Bedingungen nicht entspricht, die in den Artikeln 145</w:t>
      </w:r>
      <w:r w:rsidRPr="009118AB">
        <w:rPr>
          <w:vertAlign w:val="superscript"/>
        </w:rPr>
        <w:t>8</w:t>
      </w:r>
      <w:r w:rsidRPr="009118AB">
        <w:t xml:space="preserve"> bis 145</w:t>
      </w:r>
      <w:r w:rsidRPr="009118AB">
        <w:rPr>
          <w:vertAlign w:val="superscript"/>
        </w:rPr>
        <w:t>16</w:t>
      </w:r>
      <w:r w:rsidRPr="009118AB">
        <w:t xml:space="preserve"> und in den Erlassen zur Ausführung dieser Bestimmungen erwähnt sind.]</w:t>
      </w:r>
    </w:p>
    <w:p w14:paraId="30C4FA6C" w14:textId="77777777" w:rsidR="005E7014" w:rsidRPr="009118AB" w:rsidRDefault="005E7014" w:rsidP="005E7014">
      <w:pPr>
        <w:autoSpaceDE w:val="0"/>
        <w:autoSpaceDN w:val="0"/>
        <w:adjustRightInd w:val="0"/>
        <w:jc w:val="both"/>
      </w:pPr>
    </w:p>
    <w:p w14:paraId="0FC7D070" w14:textId="294B704F" w:rsidR="005E7014" w:rsidRPr="009118AB" w:rsidRDefault="005E7014" w:rsidP="00602F29">
      <w:pPr>
        <w:autoSpaceDE w:val="0"/>
        <w:autoSpaceDN w:val="0"/>
        <w:adjustRightInd w:val="0"/>
        <w:ind w:firstLine="709"/>
        <w:jc w:val="both"/>
      </w:pPr>
      <w:r w:rsidRPr="009118AB">
        <w:t>[Der König kann in Artikel 145</w:t>
      </w:r>
      <w:r w:rsidRPr="009118AB">
        <w:rPr>
          <w:vertAlign w:val="superscript"/>
        </w:rPr>
        <w:t>15</w:t>
      </w:r>
      <w:r w:rsidRPr="009118AB">
        <w:t xml:space="preserve"> erwähnte Institute, die in Belgien oder einem anderen Mitgliedstaat des Europäischen Wirtschaftsraums ansässig sind und gemäß dem Gesetz vom 25. April 2014 über den Status und die Kontrolle der Kreditinstitute ermächtigt sind, durch Errichtung einer Zweigniederlassung ihre Tätigkeiten auf belgischem Staatsgebiet auszuüben, verpflichten, die Steuerverwaltung von Einkünften aus Pensionssparen wie in Absatz 1 </w:t>
      </w:r>
      <w:r w:rsidR="00D67EB8" w:rsidRPr="009118AB">
        <w:t>Nr. </w:t>
      </w:r>
      <w:r w:rsidRPr="009118AB">
        <w:t xml:space="preserve">1 und 2 erwähnt und Übertragungen wie in Absatz 1 </w:t>
      </w:r>
      <w:r w:rsidR="00D67EB8" w:rsidRPr="009118AB">
        <w:t>Nr. </w:t>
      </w:r>
      <w:r w:rsidRPr="009118AB">
        <w:t>3 erwähnt in Kenntnis zu setzen.]</w:t>
      </w:r>
    </w:p>
    <w:p w14:paraId="7F940BEF" w14:textId="77777777" w:rsidR="005E7014" w:rsidRPr="009118AB" w:rsidRDefault="005E7014" w:rsidP="005E7014">
      <w:pPr>
        <w:autoSpaceDE w:val="0"/>
        <w:autoSpaceDN w:val="0"/>
        <w:adjustRightInd w:val="0"/>
        <w:jc w:val="both"/>
      </w:pPr>
    </w:p>
    <w:p w14:paraId="6D9AD951" w14:textId="5AEC87AF" w:rsidR="005E7014" w:rsidRPr="009118AB" w:rsidRDefault="00D67EB8" w:rsidP="00602F29">
      <w:pPr>
        <w:autoSpaceDE w:val="0"/>
        <w:autoSpaceDN w:val="0"/>
        <w:adjustRightInd w:val="0"/>
        <w:ind w:firstLine="709"/>
        <w:jc w:val="both"/>
      </w:pPr>
      <w:r w:rsidRPr="009118AB">
        <w:t>§ </w:t>
      </w:r>
      <w:r w:rsidR="005E7014" w:rsidRPr="009118AB">
        <w:t>3</w:t>
      </w:r>
      <w:r w:rsidRPr="009118AB">
        <w:t> - </w:t>
      </w:r>
      <w:r w:rsidR="005E7014" w:rsidRPr="009118AB">
        <w:t xml:space="preserve">[Der steuerpflichtige Betrag der in </w:t>
      </w:r>
      <w:r w:rsidRPr="009118AB">
        <w:t>§ </w:t>
      </w:r>
      <w:r w:rsidR="005E7014" w:rsidRPr="009118AB">
        <w:t xml:space="preserve">2 </w:t>
      </w:r>
      <w:r w:rsidRPr="009118AB">
        <w:t>Nr. </w:t>
      </w:r>
      <w:r w:rsidR="005E7014" w:rsidRPr="009118AB">
        <w:t>1 erwähnten Sparguthaben entspricht dem Betrag der Kapitalisierung zu einem Zinssatz von 4,75 Prozent pro Jahr des Gesamtbetrags der Nettosummen auf dem Sparkonto, die für die Steuerermäßigung berücksichtigt werden.]</w:t>
      </w:r>
    </w:p>
    <w:p w14:paraId="688FDE40" w14:textId="77777777" w:rsidR="005E7014" w:rsidRPr="009118AB" w:rsidRDefault="005E7014" w:rsidP="005E7014">
      <w:pPr>
        <w:autoSpaceDE w:val="0"/>
        <w:autoSpaceDN w:val="0"/>
        <w:adjustRightInd w:val="0"/>
        <w:jc w:val="both"/>
      </w:pPr>
    </w:p>
    <w:p w14:paraId="724E37C1" w14:textId="75D0C000" w:rsidR="005E7014" w:rsidRPr="009118AB" w:rsidRDefault="005E7014" w:rsidP="00602F29">
      <w:pPr>
        <w:autoSpaceDE w:val="0"/>
        <w:autoSpaceDN w:val="0"/>
        <w:adjustRightInd w:val="0"/>
        <w:ind w:firstLine="709"/>
        <w:jc w:val="both"/>
      </w:pPr>
      <w:r w:rsidRPr="009118AB">
        <w:t xml:space="preserve">Der König kann diesen Zinssatz je nach Änderung des technischen Zinssatzes von 4,75 Prozent, der in Artikel 28 </w:t>
      </w:r>
      <w:r w:rsidR="00D67EB8" w:rsidRPr="009118AB">
        <w:t>Nr. </w:t>
      </w:r>
      <w:r w:rsidRPr="009118AB">
        <w:t>1 Buchstabe </w:t>
      </w:r>
      <w:r w:rsidRPr="009118AB">
        <w:rPr>
          <w:i/>
          <w:iCs/>
        </w:rPr>
        <w:t>a)</w:t>
      </w:r>
      <w:r w:rsidRPr="009118AB">
        <w:t xml:space="preserve"> des Königlichen Erlasses vom 5. Juli 1985 über die Lebensversicherungstätigkeit vorgesehen ist, anpassen.</w:t>
      </w:r>
    </w:p>
    <w:p w14:paraId="3DBDE6A4" w14:textId="77777777" w:rsidR="00602F29" w:rsidRPr="009118AB" w:rsidRDefault="00602F29" w:rsidP="005E7014">
      <w:pPr>
        <w:autoSpaceDE w:val="0"/>
        <w:autoSpaceDN w:val="0"/>
        <w:adjustRightInd w:val="0"/>
        <w:jc w:val="both"/>
      </w:pPr>
    </w:p>
    <w:p w14:paraId="3946016A" w14:textId="016A9B38" w:rsidR="005E7014" w:rsidRPr="009118AB" w:rsidRDefault="005E7014" w:rsidP="00602F29">
      <w:pPr>
        <w:autoSpaceDE w:val="0"/>
        <w:autoSpaceDN w:val="0"/>
        <w:adjustRightInd w:val="0"/>
        <w:ind w:firstLine="709"/>
        <w:jc w:val="both"/>
      </w:pPr>
      <w:r w:rsidRPr="009118AB">
        <w:t>[</w:t>
      </w:r>
      <w:r w:rsidR="00D67EB8" w:rsidRPr="009118AB">
        <w:t>§ </w:t>
      </w:r>
      <w:r w:rsidRPr="009118AB">
        <w:t>4</w:t>
      </w:r>
      <w:r w:rsidR="00D67EB8" w:rsidRPr="009118AB">
        <w:t> - </w:t>
      </w:r>
      <w:r w:rsidRPr="009118AB">
        <w:t>Kapitalien, die aus einem individuellen Lebensversicherungsvertrag oder einem Sparversicherungsvertrag hervorgehen, der für die Wiederherstellung einer oder als Sicherheit für eine Anleihe gedient hat, die der Versicherte für ein unbewegliches Gut aufgenommen hat, und die infolge seines Todes ausgezahlt werden, sind steuerpflichtig:</w:t>
      </w:r>
    </w:p>
    <w:p w14:paraId="4DB0FF32" w14:textId="77777777" w:rsidR="005E7014" w:rsidRPr="009118AB" w:rsidRDefault="005E7014" w:rsidP="005E7014">
      <w:pPr>
        <w:autoSpaceDE w:val="0"/>
        <w:autoSpaceDN w:val="0"/>
        <w:adjustRightInd w:val="0"/>
        <w:jc w:val="both"/>
      </w:pPr>
    </w:p>
    <w:p w14:paraId="1A3B0A24" w14:textId="77777777" w:rsidR="005E7014" w:rsidRPr="009118AB" w:rsidRDefault="005E7014" w:rsidP="00602F29">
      <w:pPr>
        <w:autoSpaceDE w:val="0"/>
        <w:autoSpaceDN w:val="0"/>
        <w:adjustRightInd w:val="0"/>
        <w:ind w:firstLine="709"/>
        <w:jc w:val="both"/>
      </w:pPr>
      <w:r w:rsidRPr="009118AB">
        <w:t>1. bis zu dem Betrag, der für die Wiederherstellung dieser oder als Sicherheit für diese Anleihe dient:</w:t>
      </w:r>
    </w:p>
    <w:p w14:paraId="6600CCE9" w14:textId="77777777" w:rsidR="005E7014" w:rsidRPr="009118AB" w:rsidRDefault="005E7014" w:rsidP="005E7014">
      <w:pPr>
        <w:autoSpaceDE w:val="0"/>
        <w:autoSpaceDN w:val="0"/>
        <w:adjustRightInd w:val="0"/>
        <w:jc w:val="both"/>
      </w:pPr>
    </w:p>
    <w:p w14:paraId="47C1EB93" w14:textId="77777777" w:rsidR="005E7014" w:rsidRPr="009118AB" w:rsidRDefault="005E7014" w:rsidP="00602F29">
      <w:pPr>
        <w:autoSpaceDE w:val="0"/>
        <w:autoSpaceDN w:val="0"/>
        <w:adjustRightInd w:val="0"/>
        <w:ind w:firstLine="709"/>
        <w:jc w:val="both"/>
      </w:pPr>
      <w:r w:rsidRPr="009118AB">
        <w:t>- bei den Personen, die infolge des Todes des Versicherten das Volleigentum oder den Nießbrauch des unbeweglichen Gutes erhalten, für das die Anleihe aufgenommen wurde und dessen Volleigentümer der Versicherte zum Zeitpunkt seines Todes war,</w:t>
      </w:r>
    </w:p>
    <w:p w14:paraId="75773393" w14:textId="77777777" w:rsidR="005E7014" w:rsidRPr="009118AB" w:rsidRDefault="005E7014" w:rsidP="005E7014">
      <w:pPr>
        <w:autoSpaceDE w:val="0"/>
        <w:autoSpaceDN w:val="0"/>
        <w:adjustRightInd w:val="0"/>
        <w:jc w:val="both"/>
      </w:pPr>
    </w:p>
    <w:p w14:paraId="7902920C" w14:textId="77777777" w:rsidR="005E7014" w:rsidRPr="009118AB" w:rsidRDefault="005E7014" w:rsidP="00602F29">
      <w:pPr>
        <w:autoSpaceDE w:val="0"/>
        <w:autoSpaceDN w:val="0"/>
        <w:adjustRightInd w:val="0"/>
        <w:ind w:firstLine="709"/>
        <w:jc w:val="both"/>
      </w:pPr>
      <w:r w:rsidRPr="009118AB">
        <w:t>- in allen anderen Fällen bei den Erben des Versicherten,</w:t>
      </w:r>
    </w:p>
    <w:p w14:paraId="72A9DC1B" w14:textId="77777777" w:rsidR="005E7014" w:rsidRPr="009118AB" w:rsidRDefault="005E7014" w:rsidP="005E7014">
      <w:pPr>
        <w:autoSpaceDE w:val="0"/>
        <w:autoSpaceDN w:val="0"/>
        <w:adjustRightInd w:val="0"/>
        <w:jc w:val="both"/>
      </w:pPr>
    </w:p>
    <w:p w14:paraId="796DDA7C" w14:textId="77777777" w:rsidR="005E7014" w:rsidRPr="009118AB" w:rsidRDefault="005E7014" w:rsidP="00602F29">
      <w:pPr>
        <w:autoSpaceDE w:val="0"/>
        <w:autoSpaceDN w:val="0"/>
        <w:adjustRightInd w:val="0"/>
        <w:ind w:firstLine="709"/>
        <w:jc w:val="both"/>
      </w:pPr>
      <w:r w:rsidRPr="009118AB">
        <w:t>2. für den möglichen Restbetrag bei dem im Vertrag angegebenen Begünstigten.]</w:t>
      </w:r>
    </w:p>
    <w:p w14:paraId="0663CFCB" w14:textId="77777777" w:rsidR="005E7014" w:rsidRPr="009118AB" w:rsidRDefault="005E7014" w:rsidP="005E7014">
      <w:pPr>
        <w:autoSpaceDE w:val="0"/>
        <w:autoSpaceDN w:val="0"/>
        <w:adjustRightInd w:val="0"/>
        <w:jc w:val="both"/>
      </w:pPr>
    </w:p>
    <w:p w14:paraId="3E276541" w14:textId="0882220E" w:rsidR="005E7014" w:rsidRPr="009118AB" w:rsidRDefault="005E7014" w:rsidP="00602F29">
      <w:pPr>
        <w:autoSpaceDE w:val="0"/>
        <w:autoSpaceDN w:val="0"/>
        <w:adjustRightInd w:val="0"/>
        <w:ind w:firstLine="709"/>
        <w:jc w:val="both"/>
      </w:pPr>
      <w:r w:rsidRPr="009118AB">
        <w:t>[</w:t>
      </w:r>
      <w:r w:rsidR="00D67EB8" w:rsidRPr="009118AB">
        <w:t>§ </w:t>
      </w:r>
      <w:r w:rsidRPr="009118AB">
        <w:t>5</w:t>
      </w:r>
      <w:r w:rsidR="00D67EB8" w:rsidRPr="009118AB">
        <w:t> - </w:t>
      </w:r>
      <w:r w:rsidRPr="009118AB">
        <w:t xml:space="preserve">In </w:t>
      </w:r>
      <w:r w:rsidR="00D67EB8" w:rsidRPr="009118AB">
        <w:t>§ </w:t>
      </w:r>
      <w:r w:rsidRPr="009118AB">
        <w:t xml:space="preserve">1 </w:t>
      </w:r>
      <w:r w:rsidR="00D67EB8" w:rsidRPr="009118AB">
        <w:t>Nr. </w:t>
      </w:r>
      <w:r w:rsidRPr="009118AB">
        <w:t xml:space="preserve">2 erwähnte Rückkaufswerte von Lebensversicherungsverträgen, die durch persönliche Beiträge zur Alters- und Todesfallzusatzversicherung für die Bildung einer Rente oder eines Kapitals zu Lebzeiten oder im Todesfall oder durch Beiträge, die [in </w:t>
      </w:r>
      <w:r w:rsidR="00D67EB8" w:rsidRPr="009118AB">
        <w:t>§ </w:t>
      </w:r>
      <w:r w:rsidRPr="009118AB">
        <w:t xml:space="preserve">1 </w:t>
      </w:r>
      <w:r w:rsidR="00D67EB8" w:rsidRPr="009118AB">
        <w:t>Nr. </w:t>
      </w:r>
      <w:r w:rsidRPr="009118AB">
        <w:t>2 Absatz 1 Buchstabe </w:t>
      </w:r>
      <w:r w:rsidRPr="009118AB">
        <w:rPr>
          <w:i/>
        </w:rPr>
        <w:t>d)</w:t>
      </w:r>
      <w:r w:rsidRPr="009118AB">
        <w:t xml:space="preserve"> und </w:t>
      </w:r>
      <w:r w:rsidRPr="009118AB">
        <w:rPr>
          <w:i/>
        </w:rPr>
        <w:t>e)</w:t>
      </w:r>
      <w:r w:rsidRPr="009118AB">
        <w:t xml:space="preserve">] erwähnt sind, gebildet werden, und in </w:t>
      </w:r>
      <w:r w:rsidR="00D67EB8" w:rsidRPr="009118AB">
        <w:t>§ </w:t>
      </w:r>
      <w:r w:rsidRPr="009118AB">
        <w:t xml:space="preserve">2 </w:t>
      </w:r>
      <w:r w:rsidR="00D67EB8" w:rsidRPr="009118AB">
        <w:t>Nr. </w:t>
      </w:r>
      <w:r w:rsidRPr="009118AB">
        <w:t>2 erwähnte Rückkaufswerte einer Sparversicherung umfassen ebenfalls:</w:t>
      </w:r>
    </w:p>
    <w:p w14:paraId="08644589" w14:textId="77777777" w:rsidR="005E7014" w:rsidRPr="009118AB" w:rsidRDefault="005E7014" w:rsidP="005E7014">
      <w:pPr>
        <w:autoSpaceDE w:val="0"/>
        <w:autoSpaceDN w:val="0"/>
        <w:adjustRightInd w:val="0"/>
        <w:jc w:val="both"/>
      </w:pPr>
    </w:p>
    <w:p w14:paraId="09CC40DC" w14:textId="18844729" w:rsidR="005E7014" w:rsidRPr="009118AB" w:rsidRDefault="005E7014" w:rsidP="00602F29">
      <w:pPr>
        <w:autoSpaceDE w:val="0"/>
        <w:autoSpaceDN w:val="0"/>
        <w:adjustRightInd w:val="0"/>
        <w:ind w:firstLine="709"/>
        <w:jc w:val="both"/>
      </w:pPr>
      <w:r w:rsidRPr="009118AB">
        <w:t>1. </w:t>
      </w:r>
      <w:r w:rsidR="003357C9" w:rsidRPr="009118AB">
        <w:t xml:space="preserve">[Rückkaufswerte erwähnt in Artikel 6 </w:t>
      </w:r>
      <w:r w:rsidR="00D67EB8" w:rsidRPr="009118AB">
        <w:t>§ </w:t>
      </w:r>
      <w:r w:rsidR="003357C9" w:rsidRPr="009118AB">
        <w:t>2 des Königlichen Erlasses vom 14. November 2008 zur Ausführung der Krisenmaßnahmen, die im Gesetz vom 22. Februar 1998 zur Festlegung des Grundlagenstatuts der Belgischen Nationalbank vorgesehen sind, hinsichtlich der Schaffung des Sicherungsfonds für Finanzdienstleistungen]</w:t>
      </w:r>
      <w:r w:rsidRPr="009118AB">
        <w:t>, die vom Sonderschutzfonds für Einlagen und Lebensversicherungen, der durch vorerwähnten Königlichen Erlass vom 14. November 2008 geschaffen wurde, oder von einem Fonds gleicher Art mit Sitz in einem anderen Mitgliedstaat des Europäischen Wirtschaftsraums ausgezahlt werden,</w:t>
      </w:r>
    </w:p>
    <w:p w14:paraId="7BE0F236" w14:textId="77777777" w:rsidR="005E7014" w:rsidRPr="009118AB" w:rsidRDefault="005E7014" w:rsidP="005E7014">
      <w:pPr>
        <w:autoSpaceDE w:val="0"/>
        <w:autoSpaceDN w:val="0"/>
        <w:adjustRightInd w:val="0"/>
        <w:jc w:val="both"/>
      </w:pPr>
    </w:p>
    <w:p w14:paraId="7FB90DF4" w14:textId="77777777" w:rsidR="005E7014" w:rsidRPr="009118AB" w:rsidRDefault="005E7014" w:rsidP="00602F29">
      <w:pPr>
        <w:autoSpaceDE w:val="0"/>
        <w:autoSpaceDN w:val="0"/>
        <w:adjustRightInd w:val="0"/>
        <w:ind w:firstLine="709"/>
        <w:jc w:val="both"/>
      </w:pPr>
      <w:r w:rsidRPr="009118AB">
        <w:t>2. Summen, die einem Versicherungsnehmer von einem Liquidator oder Konkursver</w:t>
      </w:r>
      <w:r w:rsidRPr="009118AB">
        <w:softHyphen/>
        <w:t>walter ausgezahlt werden, wenn die Säumigkeit des Versicherungsunternehmens festgestellt wird, das heißt:</w:t>
      </w:r>
    </w:p>
    <w:p w14:paraId="79595215" w14:textId="77777777" w:rsidR="005E7014" w:rsidRPr="009118AB" w:rsidRDefault="005E7014" w:rsidP="005E7014">
      <w:pPr>
        <w:autoSpaceDE w:val="0"/>
        <w:autoSpaceDN w:val="0"/>
        <w:adjustRightInd w:val="0"/>
        <w:jc w:val="both"/>
      </w:pPr>
    </w:p>
    <w:p w14:paraId="72AEE6FD" w14:textId="77777777" w:rsidR="005E7014" w:rsidRPr="009118AB" w:rsidRDefault="005E7014" w:rsidP="00602F29">
      <w:pPr>
        <w:autoSpaceDE w:val="0"/>
        <w:autoSpaceDN w:val="0"/>
        <w:adjustRightInd w:val="0"/>
        <w:ind w:firstLine="709"/>
        <w:jc w:val="both"/>
      </w:pPr>
      <w:r w:rsidRPr="009118AB">
        <w:rPr>
          <w:i/>
        </w:rPr>
        <w:t>a)</w:t>
      </w:r>
      <w:r w:rsidRPr="009118AB">
        <w:t> entweder wenn der Konkurs über das Versicherungsunternehmen eröffnet wird</w:t>
      </w:r>
    </w:p>
    <w:p w14:paraId="3AE05F63" w14:textId="77777777" w:rsidR="005E7014" w:rsidRPr="009118AB" w:rsidRDefault="005E7014" w:rsidP="005E7014">
      <w:pPr>
        <w:autoSpaceDE w:val="0"/>
        <w:autoSpaceDN w:val="0"/>
        <w:adjustRightInd w:val="0"/>
        <w:jc w:val="both"/>
      </w:pPr>
    </w:p>
    <w:p w14:paraId="4CB82CF6" w14:textId="4B498DCE" w:rsidR="005E7014" w:rsidRPr="009118AB" w:rsidRDefault="005E7014" w:rsidP="00602F29">
      <w:pPr>
        <w:autoSpaceDE w:val="0"/>
        <w:autoSpaceDN w:val="0"/>
        <w:adjustRightInd w:val="0"/>
        <w:ind w:firstLine="709"/>
        <w:jc w:val="both"/>
      </w:pPr>
      <w:r w:rsidRPr="009118AB">
        <w:rPr>
          <w:i/>
        </w:rPr>
        <w:t>b)</w:t>
      </w:r>
      <w:r w:rsidRPr="009118AB">
        <w:t xml:space="preserve"> oder wenn die für vorbeugende Aufsicht zuständige Behörde dem </w:t>
      </w:r>
      <w:r w:rsidR="003357C9" w:rsidRPr="009118AB">
        <w:t>[Sicherungsfonds]</w:t>
      </w:r>
      <w:r w:rsidRPr="009118AB">
        <w:t xml:space="preserve"> oder einem Fonds gleicher Art ihre Feststellung notifiziert hat, dass die Finanzlage des Versicherungsunternehmens dieses Unternehmen veranlasst hat, die Erstattung eines einforderbaren Guthabens zu verweigern, und sie es ihm nicht mehr ermöglicht, ein solches Guthaben unverzüglich oder in absehbarer Zeit zu erstatten.]</w:t>
      </w:r>
    </w:p>
    <w:p w14:paraId="50A1A498" w14:textId="77777777" w:rsidR="005E7014" w:rsidRPr="009118AB" w:rsidRDefault="005E7014" w:rsidP="005E7014">
      <w:pPr>
        <w:autoSpaceDE w:val="0"/>
        <w:autoSpaceDN w:val="0"/>
        <w:adjustRightInd w:val="0"/>
        <w:jc w:val="both"/>
      </w:pPr>
    </w:p>
    <w:p w14:paraId="64344324" w14:textId="34EC84B0" w:rsidR="005E7014" w:rsidRPr="009118AB" w:rsidRDefault="005E7014" w:rsidP="005E7014">
      <w:pPr>
        <w:autoSpaceDE w:val="0"/>
        <w:autoSpaceDN w:val="0"/>
        <w:adjustRightInd w:val="0"/>
        <w:jc w:val="both"/>
      </w:pPr>
      <w:r w:rsidRPr="009118AB">
        <w:rPr>
          <w:i/>
          <w:iCs/>
        </w:rPr>
        <w:t>[</w:t>
      </w:r>
      <w:r w:rsidR="00D67EB8" w:rsidRPr="009118AB">
        <w:rPr>
          <w:i/>
          <w:iCs/>
        </w:rPr>
        <w:t>Art. </w:t>
      </w:r>
      <w:r w:rsidRPr="009118AB">
        <w:rPr>
          <w:i/>
          <w:iCs/>
        </w:rPr>
        <w:t xml:space="preserve">34 </w:t>
      </w:r>
      <w:r w:rsidR="00D67EB8" w:rsidRPr="009118AB">
        <w:rPr>
          <w:i/>
          <w:iCs/>
        </w:rPr>
        <w:t>§ </w:t>
      </w:r>
      <w:r w:rsidRPr="009118AB">
        <w:rPr>
          <w:i/>
          <w:iCs/>
        </w:rPr>
        <w:t xml:space="preserve">1 einziger Absatz </w:t>
      </w:r>
      <w:r w:rsidR="00D67EB8" w:rsidRPr="009118AB">
        <w:rPr>
          <w:i/>
          <w:iCs/>
        </w:rPr>
        <w:t>Nr. </w:t>
      </w:r>
      <w:r w:rsidRPr="009118AB">
        <w:rPr>
          <w:i/>
          <w:iCs/>
        </w:rPr>
        <w:t xml:space="preserve">1 ersetzt durch </w:t>
      </w:r>
      <w:r w:rsidR="00D67EB8" w:rsidRPr="009118AB">
        <w:rPr>
          <w:i/>
          <w:iCs/>
        </w:rPr>
        <w:t>Art. </w:t>
      </w:r>
      <w:r w:rsidRPr="009118AB">
        <w:rPr>
          <w:i/>
          <w:iCs/>
        </w:rPr>
        <w:t>2 Buchstabe A des G. vom 19. Juli 2000 (B.S. vom 4. August 2000)</w:t>
      </w:r>
      <w:r w:rsidR="00D67EB8" w:rsidRPr="009118AB">
        <w:rPr>
          <w:i/>
          <w:iCs/>
        </w:rPr>
        <w:t> - </w:t>
      </w:r>
      <w:r w:rsidRPr="009118AB">
        <w:rPr>
          <w:i/>
          <w:iCs/>
        </w:rPr>
        <w:t>in Kraft ab dem Steuerjahr 1999</w:t>
      </w:r>
      <w:r w:rsidR="00D67EB8" w:rsidRPr="009118AB">
        <w:rPr>
          <w:i/>
          <w:iCs/>
        </w:rPr>
        <w:t> - </w:t>
      </w:r>
      <w:r w:rsidRPr="009118AB">
        <w:rPr>
          <w:i/>
          <w:iCs/>
        </w:rPr>
        <w:t xml:space="preserve">und abgeändert durch </w:t>
      </w:r>
      <w:r w:rsidR="00D67EB8" w:rsidRPr="009118AB">
        <w:rPr>
          <w:i/>
          <w:iCs/>
        </w:rPr>
        <w:t>Art. </w:t>
      </w:r>
      <w:r w:rsidRPr="009118AB">
        <w:rPr>
          <w:i/>
          <w:iCs/>
        </w:rPr>
        <w:t>9 des G. vom 25. Dezember 2017 (I) (B.S. vom 29. Dezember 2017)</w:t>
      </w:r>
      <w:r w:rsidR="00D67EB8" w:rsidRPr="009118AB">
        <w:rPr>
          <w:i/>
          <w:iCs/>
        </w:rPr>
        <w:t> - </w:t>
      </w:r>
      <w:r w:rsidRPr="009118AB">
        <w:rPr>
          <w:i/>
          <w:iCs/>
        </w:rPr>
        <w:t xml:space="preserve">anwendbar auf die ab dem </w:t>
      </w:r>
      <w:r w:rsidRPr="009118AB">
        <w:rPr>
          <w:i/>
        </w:rPr>
        <w:t>1. Januar 2017 gezahlten oder zuerkannten Einkünfte</w:t>
      </w:r>
      <w:r w:rsidR="003366D9" w:rsidRPr="009118AB">
        <w:rPr>
          <w:i/>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1bis eingefügt durch </w:t>
      </w:r>
      <w:r w:rsidR="00D67EB8" w:rsidRPr="009118AB">
        <w:rPr>
          <w:i/>
          <w:iCs/>
        </w:rPr>
        <w:t>Art. </w:t>
      </w:r>
      <w:r w:rsidRPr="009118AB">
        <w:rPr>
          <w:i/>
          <w:iCs/>
        </w:rPr>
        <w:t>2 Buchstabe B des G. vom 19. Juli 2000 (B.S. vom 4. August 2000)</w:t>
      </w:r>
      <w:r w:rsidR="00D67EB8" w:rsidRPr="009118AB">
        <w:rPr>
          <w:i/>
          <w:iCs/>
        </w:rPr>
        <w:t> - </w:t>
      </w:r>
      <w:r w:rsidRPr="009118AB">
        <w:rPr>
          <w:i/>
          <w:iCs/>
        </w:rPr>
        <w:t>in Kraft ab dem Steuerjahr 1999</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2 ersetzt durch </w:t>
      </w:r>
      <w:r w:rsidR="00D67EB8" w:rsidRPr="009118AB">
        <w:rPr>
          <w:i/>
          <w:iCs/>
        </w:rPr>
        <w:t>Art. </w:t>
      </w:r>
      <w:r w:rsidRPr="009118AB">
        <w:rPr>
          <w:i/>
          <w:iCs/>
        </w:rPr>
        <w:t xml:space="preserve">75 </w:t>
      </w:r>
      <w:r w:rsidR="00D67EB8" w:rsidRPr="009118AB">
        <w:rPr>
          <w:i/>
          <w:iCs/>
        </w:rPr>
        <w:t>Nr. </w:t>
      </w:r>
      <w:r w:rsidRPr="009118AB">
        <w:rPr>
          <w:i/>
          <w:iCs/>
        </w:rPr>
        <w:t xml:space="preserve">1 des G. vom </w:t>
      </w:r>
      <w:r w:rsidRPr="009118AB">
        <w:rPr>
          <w:i/>
          <w:iCs/>
        </w:rPr>
        <w:lastRenderedPageBreak/>
        <w:t>28. April 2003 (B.S. vom 15. Mai 2003)</w:t>
      </w:r>
      <w:r w:rsidR="00D67EB8" w:rsidRPr="009118AB">
        <w:rPr>
          <w:i/>
          <w:iCs/>
        </w:rPr>
        <w:t> - </w:t>
      </w:r>
      <w:r w:rsidRPr="009118AB">
        <w:rPr>
          <w:i/>
          <w:iCs/>
        </w:rPr>
        <w:t xml:space="preserve">anwendbar auf Leibrenten, Renten, Entschädigungen, andere als in </w:t>
      </w:r>
      <w:r w:rsidR="00D67EB8" w:rsidRPr="009118AB">
        <w:rPr>
          <w:i/>
          <w:iCs/>
        </w:rPr>
        <w:t>Art. </w:t>
      </w:r>
      <w:r w:rsidRPr="009118AB">
        <w:rPr>
          <w:i/>
          <w:iCs/>
        </w:rPr>
        <w:t xml:space="preserve">23 </w:t>
      </w:r>
      <w:r w:rsidR="00D67EB8" w:rsidRPr="009118AB">
        <w:rPr>
          <w:i/>
          <w:iCs/>
        </w:rPr>
        <w:t>§ </w:t>
      </w:r>
      <w:r w:rsidRPr="009118AB">
        <w:rPr>
          <w:i/>
          <w:iCs/>
        </w:rPr>
        <w:t xml:space="preserve">3 Buchstabe A </w:t>
      </w:r>
      <w:r w:rsidR="00D67EB8" w:rsidRPr="009118AB">
        <w:rPr>
          <w:i/>
          <w:iCs/>
        </w:rPr>
        <w:t>Nr. </w:t>
      </w:r>
      <w:r w:rsidRPr="009118AB">
        <w:rPr>
          <w:i/>
          <w:iCs/>
        </w:rPr>
        <w:t>6 erwähnte Kapitalien, Rückkaufswerte von Lebensversicherungsverträgen, Pensionen und ergänzende Pensionen, die ab dem 1. Januar 2004 ausgezahlt werden</w:t>
      </w:r>
      <w:r w:rsidR="003366D9" w:rsidRPr="009118AB">
        <w:rPr>
          <w:i/>
          <w:iCs/>
        </w:rPr>
        <w:t> -;</w:t>
      </w:r>
      <w:r w:rsidRPr="009118AB">
        <w:rPr>
          <w:i/>
          <w:iCs/>
        </w:rPr>
        <w:t xml:space="preserve"> </w:t>
      </w:r>
      <w:r w:rsidR="00D67EB8" w:rsidRPr="009118AB">
        <w:rPr>
          <w:i/>
          <w:iCs/>
        </w:rPr>
        <w:t>§ </w:t>
      </w:r>
      <w:r w:rsidR="005C6443" w:rsidRPr="009118AB">
        <w:rPr>
          <w:i/>
          <w:iCs/>
        </w:rPr>
        <w:t xml:space="preserve">1 einziger Absatz </w:t>
      </w:r>
      <w:r w:rsidR="00D67EB8" w:rsidRPr="009118AB">
        <w:rPr>
          <w:i/>
          <w:iCs/>
        </w:rPr>
        <w:t>Nr. </w:t>
      </w:r>
      <w:r w:rsidR="005C6443" w:rsidRPr="009118AB">
        <w:rPr>
          <w:i/>
          <w:iCs/>
        </w:rPr>
        <w:t xml:space="preserve">2 </w:t>
      </w:r>
      <w:r w:rsidR="00D67EB8" w:rsidRPr="009118AB">
        <w:rPr>
          <w:i/>
          <w:iCs/>
        </w:rPr>
        <w:t>Abs. </w:t>
      </w:r>
      <w:r w:rsidR="005C6443" w:rsidRPr="009118AB">
        <w:rPr>
          <w:i/>
          <w:iCs/>
        </w:rPr>
        <w:t xml:space="preserve">1 Buchstabe c/1 eingefügt durch </w:t>
      </w:r>
      <w:r w:rsidR="00D67EB8" w:rsidRPr="009118AB">
        <w:rPr>
          <w:i/>
          <w:iCs/>
        </w:rPr>
        <w:t>Art. </w:t>
      </w:r>
      <w:r w:rsidR="005C6443" w:rsidRPr="009118AB">
        <w:rPr>
          <w:i/>
          <w:iCs/>
        </w:rPr>
        <w:t>45 des G. vom 6. Dezember 2018 (B.S. vom 27. Dezember 2018)</w:t>
      </w:r>
      <w:r w:rsidR="00D67EB8" w:rsidRPr="009118AB">
        <w:rPr>
          <w:i/>
          <w:iCs/>
        </w:rPr>
        <w:t> - </w:t>
      </w:r>
      <w:r w:rsidR="005C6443" w:rsidRPr="009118AB">
        <w:rPr>
          <w:i/>
          <w:iCs/>
        </w:rPr>
        <w:t>in Kraft a</w:t>
      </w:r>
      <w:r w:rsidR="009D6F3E" w:rsidRPr="009118AB">
        <w:rPr>
          <w:i/>
          <w:iCs/>
        </w:rPr>
        <w:t>b</w:t>
      </w:r>
      <w:r w:rsidR="005C6443" w:rsidRPr="009118AB">
        <w:rPr>
          <w:i/>
          <w:iCs/>
        </w:rPr>
        <w:t xml:space="preserve"> dem Steuerjahr 2020</w:t>
      </w:r>
      <w:r w:rsidR="003366D9" w:rsidRPr="009118AB">
        <w:rPr>
          <w:i/>
          <w:iCs/>
        </w:rPr>
        <w:t> -;</w:t>
      </w:r>
      <w:r w:rsidR="005C6443"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2 </w:t>
      </w:r>
      <w:r w:rsidR="00D67EB8" w:rsidRPr="009118AB">
        <w:rPr>
          <w:i/>
          <w:iCs/>
        </w:rPr>
        <w:t>Abs. </w:t>
      </w:r>
      <w:r w:rsidRPr="009118AB">
        <w:rPr>
          <w:i/>
          <w:iCs/>
        </w:rPr>
        <w:t xml:space="preserve">1 Buchstabe d) ersetzt durch </w:t>
      </w:r>
      <w:r w:rsidR="00D67EB8" w:rsidRPr="009118AB">
        <w:rPr>
          <w:i/>
          <w:iCs/>
        </w:rPr>
        <w:t>Art. </w:t>
      </w:r>
      <w:r w:rsidRPr="009118AB">
        <w:rPr>
          <w:i/>
          <w:iCs/>
        </w:rPr>
        <w:t xml:space="preserve">391 des G. vom 27. Dezember 2004 (B.S. vom 31. Dezember 2004) und abgeändert durch </w:t>
      </w:r>
      <w:r w:rsidR="00D67EB8" w:rsidRPr="009118AB">
        <w:rPr>
          <w:i/>
          <w:iCs/>
        </w:rPr>
        <w:t>Art. </w:t>
      </w:r>
      <w:r w:rsidRPr="009118AB">
        <w:rPr>
          <w:i/>
          <w:iCs/>
        </w:rPr>
        <w:t xml:space="preserve">15 </w:t>
      </w:r>
      <w:r w:rsidR="00D67EB8" w:rsidRPr="009118AB">
        <w:rPr>
          <w:i/>
          <w:iCs/>
        </w:rPr>
        <w:t>Nr. </w:t>
      </w:r>
      <w:r w:rsidRPr="009118AB">
        <w:rPr>
          <w:i/>
          <w:iCs/>
        </w:rPr>
        <w:t>1</w:t>
      </w:r>
      <w:r w:rsidRPr="009118AB">
        <w:rPr>
          <w:i/>
        </w:rPr>
        <w:t xml:space="preserve"> des G. vom 8. Mai 2014 (B.S. vom 28. Mai 2014)</w:t>
      </w:r>
      <w:r w:rsidR="00D67EB8" w:rsidRPr="009118AB">
        <w:rPr>
          <w:i/>
        </w:rPr>
        <w:t> - </w:t>
      </w:r>
      <w:r w:rsidRPr="009118AB">
        <w:rPr>
          <w:i/>
          <w:iCs/>
        </w:rPr>
        <w:t>anwendbar ab dem Steuerjahr 2015</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2 </w:t>
      </w:r>
      <w:r w:rsidR="00D67EB8" w:rsidRPr="009118AB">
        <w:rPr>
          <w:i/>
          <w:iCs/>
        </w:rPr>
        <w:t>Abs. </w:t>
      </w:r>
      <w:r w:rsidRPr="009118AB">
        <w:rPr>
          <w:i/>
          <w:iCs/>
        </w:rPr>
        <w:t xml:space="preserve">1 Buchstabe e) eingefügt durch </w:t>
      </w:r>
      <w:r w:rsidR="00D67EB8" w:rsidRPr="009118AB">
        <w:rPr>
          <w:i/>
          <w:iCs/>
        </w:rPr>
        <w:t>Art. </w:t>
      </w:r>
      <w:r w:rsidRPr="009118AB">
        <w:rPr>
          <w:i/>
          <w:iCs/>
        </w:rPr>
        <w:t xml:space="preserve">15 </w:t>
      </w:r>
      <w:r w:rsidR="00D67EB8" w:rsidRPr="009118AB">
        <w:rPr>
          <w:i/>
          <w:iCs/>
        </w:rPr>
        <w:t>Nr. </w:t>
      </w:r>
      <w:r w:rsidRPr="009118AB">
        <w:rPr>
          <w:i/>
          <w:iCs/>
        </w:rPr>
        <w:t>2</w:t>
      </w:r>
      <w:r w:rsidRPr="009118AB">
        <w:rPr>
          <w:i/>
        </w:rPr>
        <w:t xml:space="preserve"> des G. vom 8. Mai 2014 (B.S. vom 28. Mai 2014)</w:t>
      </w:r>
      <w:r w:rsidR="00D67EB8" w:rsidRPr="009118AB">
        <w:rPr>
          <w:i/>
        </w:rPr>
        <w:t> - </w:t>
      </w:r>
      <w:r w:rsidRPr="009118AB">
        <w:rPr>
          <w:i/>
          <w:iCs/>
        </w:rPr>
        <w:t>anwendbar ab dem Steuerjahr 2015</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2bis eingefügt durch </w:t>
      </w:r>
      <w:r w:rsidR="00D67EB8" w:rsidRPr="009118AB">
        <w:rPr>
          <w:i/>
          <w:iCs/>
        </w:rPr>
        <w:t>Art. </w:t>
      </w:r>
      <w:r w:rsidRPr="009118AB">
        <w:rPr>
          <w:i/>
          <w:iCs/>
        </w:rPr>
        <w:t xml:space="preserve">75 </w:t>
      </w:r>
      <w:r w:rsidR="00D67EB8" w:rsidRPr="009118AB">
        <w:rPr>
          <w:i/>
          <w:iCs/>
        </w:rPr>
        <w:t>Nr. </w:t>
      </w:r>
      <w:r w:rsidRPr="009118AB">
        <w:rPr>
          <w:i/>
          <w:iCs/>
        </w:rPr>
        <w:t>2 des G. vom 28. April 2003 (B.S. vom 15. Mai 2003)</w:t>
      </w:r>
      <w:r w:rsidR="00D67EB8" w:rsidRPr="009118AB">
        <w:rPr>
          <w:i/>
          <w:iCs/>
        </w:rPr>
        <w:t> - </w:t>
      </w:r>
      <w:r w:rsidRPr="009118AB">
        <w:rPr>
          <w:i/>
          <w:iCs/>
        </w:rPr>
        <w:t>anwendbar ab dem Steuerjahr 2005</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2ter eingefügt durch </w:t>
      </w:r>
      <w:r w:rsidR="00D67EB8" w:rsidRPr="009118AB">
        <w:rPr>
          <w:i/>
          <w:iCs/>
        </w:rPr>
        <w:t>Art. </w:t>
      </w:r>
      <w:r w:rsidRPr="009118AB">
        <w:rPr>
          <w:i/>
          <w:iCs/>
        </w:rPr>
        <w:t>53 des G. vom 18. Februar 2018 (B.S. vom 30. März 2018)</w:t>
      </w:r>
      <w:r w:rsidR="00D67EB8" w:rsidRPr="009118AB">
        <w:rPr>
          <w:i/>
          <w:iCs/>
        </w:rPr>
        <w:t> - </w:t>
      </w:r>
      <w:r w:rsidRPr="009118AB">
        <w:rPr>
          <w:i/>
          <w:iCs/>
        </w:rPr>
        <w:t>anwendbar ab dem Steuerjahr 2019</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3 abgeändert durch </w:t>
      </w:r>
      <w:r w:rsidR="00D67EB8" w:rsidRPr="009118AB">
        <w:rPr>
          <w:i/>
          <w:iCs/>
        </w:rPr>
        <w:t>Art. </w:t>
      </w:r>
      <w:r w:rsidRPr="009118AB">
        <w:rPr>
          <w:i/>
          <w:iCs/>
        </w:rPr>
        <w:t xml:space="preserve">75 </w:t>
      </w:r>
      <w:r w:rsidR="00D67EB8" w:rsidRPr="009118AB">
        <w:rPr>
          <w:i/>
          <w:iCs/>
        </w:rPr>
        <w:t>Nr. </w:t>
      </w:r>
      <w:r w:rsidRPr="009118AB">
        <w:rPr>
          <w:i/>
          <w:iCs/>
        </w:rPr>
        <w:t>2 des G. vom 28. Dezember 1992 (B.S. vom 31. Dezember 1992)</w:t>
      </w:r>
      <w:r w:rsidR="00D67EB8" w:rsidRPr="009118AB">
        <w:rPr>
          <w:i/>
          <w:iCs/>
        </w:rPr>
        <w:t> - </w:t>
      </w:r>
      <w:r w:rsidRPr="009118AB">
        <w:rPr>
          <w:i/>
          <w:iCs/>
        </w:rPr>
        <w:t>in Kraft ab dem Steuerjahr 1993</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w:t>
      </w:r>
      <w:r w:rsidR="00D67EB8" w:rsidRPr="009118AB">
        <w:rPr>
          <w:i/>
          <w:iCs/>
        </w:rPr>
        <w:t>Nr. </w:t>
      </w:r>
      <w:r w:rsidRPr="009118AB">
        <w:rPr>
          <w:i/>
          <w:iCs/>
        </w:rPr>
        <w:t xml:space="preserve">3 vierter Gedankenstrich eingefügt durch </w:t>
      </w:r>
      <w:r w:rsidR="00D67EB8" w:rsidRPr="009118AB">
        <w:rPr>
          <w:i/>
          <w:iCs/>
        </w:rPr>
        <w:t>Art. </w:t>
      </w:r>
      <w:r w:rsidRPr="009118AB">
        <w:rPr>
          <w:i/>
          <w:iCs/>
        </w:rPr>
        <w:t xml:space="preserve">2 </w:t>
      </w:r>
      <w:r w:rsidR="00D67EB8" w:rsidRPr="009118AB">
        <w:rPr>
          <w:i/>
          <w:iCs/>
        </w:rPr>
        <w:t>Nr. </w:t>
      </w:r>
      <w:r w:rsidRPr="009118AB">
        <w:rPr>
          <w:i/>
          <w:iCs/>
        </w:rPr>
        <w:t>1 des G. vom 18. Dezember 2015 (II) (B.S. vom 28. Dezember 2015)</w:t>
      </w:r>
      <w:r w:rsidR="00D67EB8" w:rsidRPr="009118AB">
        <w:rPr>
          <w:i/>
          <w:iCs/>
        </w:rPr>
        <w:t> - </w:t>
      </w:r>
      <w:r w:rsidRPr="009118AB">
        <w:rPr>
          <w:i/>
          <w:iCs/>
        </w:rPr>
        <w:t>in Kraft ab dem Steuerjahr 2017</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2 eingefügt durch </w:t>
      </w:r>
      <w:r w:rsidR="00D67EB8" w:rsidRPr="009118AB">
        <w:rPr>
          <w:i/>
          <w:iCs/>
        </w:rPr>
        <w:t>Art. </w:t>
      </w:r>
      <w:r w:rsidRPr="009118AB">
        <w:rPr>
          <w:i/>
          <w:iCs/>
        </w:rPr>
        <w:t xml:space="preserve">2 </w:t>
      </w:r>
      <w:r w:rsidR="00D67EB8" w:rsidRPr="009118AB">
        <w:rPr>
          <w:i/>
          <w:iCs/>
        </w:rPr>
        <w:t>Nr. </w:t>
      </w:r>
      <w:r w:rsidRPr="009118AB">
        <w:rPr>
          <w:i/>
          <w:iCs/>
        </w:rPr>
        <w:t>2 des G. vom 18. Dezember 2015 (II) (B.S. vom 28. Dezember 2015)</w:t>
      </w:r>
      <w:r w:rsidR="00D67EB8" w:rsidRPr="009118AB">
        <w:rPr>
          <w:i/>
          <w:iCs/>
        </w:rPr>
        <w:t> - </w:t>
      </w:r>
      <w:r w:rsidRPr="009118AB">
        <w:rPr>
          <w:i/>
          <w:iCs/>
        </w:rPr>
        <w:t>in Kraft ab dem Steuerjahr 2017</w:t>
      </w:r>
      <w:r w:rsidR="003366D9" w:rsidRPr="009118AB">
        <w:rPr>
          <w:i/>
          <w:iCs/>
        </w:rPr>
        <w:t> -;</w:t>
      </w:r>
      <w:r w:rsidRPr="009118AB">
        <w:rPr>
          <w:i/>
          <w:iCs/>
        </w:rPr>
        <w:t xml:space="preserve"> </w:t>
      </w:r>
      <w:r w:rsidR="00D67EB8" w:rsidRPr="009118AB">
        <w:rPr>
          <w:i/>
          <w:iCs/>
        </w:rPr>
        <w:t>§ </w:t>
      </w:r>
      <w:r w:rsidRPr="009118AB">
        <w:rPr>
          <w:i/>
          <w:iCs/>
        </w:rPr>
        <w:t xml:space="preserve">3 </w:t>
      </w:r>
      <w:r w:rsidR="00D67EB8" w:rsidRPr="009118AB">
        <w:rPr>
          <w:i/>
          <w:iCs/>
        </w:rPr>
        <w:t>Abs. </w:t>
      </w:r>
      <w:r w:rsidRPr="009118AB">
        <w:rPr>
          <w:i/>
          <w:iCs/>
        </w:rPr>
        <w:t xml:space="preserve">1 ersetzt durch </w:t>
      </w:r>
      <w:r w:rsidR="00D67EB8" w:rsidRPr="009118AB">
        <w:rPr>
          <w:i/>
          <w:iCs/>
        </w:rPr>
        <w:t>Art. </w:t>
      </w:r>
      <w:r w:rsidRPr="009118AB">
        <w:rPr>
          <w:i/>
          <w:iCs/>
        </w:rPr>
        <w:t xml:space="preserve">75 </w:t>
      </w:r>
      <w:r w:rsidR="00D67EB8" w:rsidRPr="009118AB">
        <w:rPr>
          <w:i/>
          <w:iCs/>
        </w:rPr>
        <w:t>Nr. </w:t>
      </w:r>
      <w:r w:rsidRPr="009118AB">
        <w:rPr>
          <w:i/>
          <w:iCs/>
        </w:rPr>
        <w:t>3 des G. vom 28. Dezember 1992 (B.S. vom 31. Dezember 1992)</w:t>
      </w:r>
      <w:r w:rsidR="00D67EB8" w:rsidRPr="009118AB">
        <w:rPr>
          <w:i/>
          <w:iCs/>
        </w:rPr>
        <w:t> - </w:t>
      </w:r>
      <w:r w:rsidRPr="009118AB">
        <w:rPr>
          <w:i/>
          <w:iCs/>
        </w:rPr>
        <w:t>in Kraft ab dem Steuerjahr 1993</w:t>
      </w:r>
      <w:r w:rsidR="003366D9" w:rsidRPr="009118AB">
        <w:rPr>
          <w:i/>
          <w:iCs/>
        </w:rPr>
        <w:t> -;</w:t>
      </w:r>
      <w:r w:rsidRPr="009118AB">
        <w:rPr>
          <w:i/>
          <w:iCs/>
        </w:rPr>
        <w:t xml:space="preserve"> </w:t>
      </w:r>
      <w:r w:rsidR="00D67EB8" w:rsidRPr="009118AB">
        <w:rPr>
          <w:i/>
          <w:iCs/>
        </w:rPr>
        <w:t>§ </w:t>
      </w:r>
      <w:r w:rsidRPr="009118AB">
        <w:rPr>
          <w:i/>
          <w:iCs/>
        </w:rPr>
        <w:t xml:space="preserve">4 eingefügt durch </w:t>
      </w:r>
      <w:r w:rsidR="00D67EB8" w:rsidRPr="009118AB">
        <w:rPr>
          <w:i/>
          <w:iCs/>
        </w:rPr>
        <w:t>Art. </w:t>
      </w:r>
      <w:r w:rsidRPr="009118AB">
        <w:rPr>
          <w:i/>
          <w:iCs/>
        </w:rPr>
        <w:t>113 des G. (I) vom 22. Dezember 2008 (II) (B.S. vom 29. Dezember 2008)</w:t>
      </w:r>
      <w:r w:rsidR="00D67EB8" w:rsidRPr="009118AB">
        <w:rPr>
          <w:i/>
          <w:iCs/>
        </w:rPr>
        <w:t> - </w:t>
      </w:r>
      <w:r w:rsidRPr="009118AB">
        <w:rPr>
          <w:i/>
          <w:iCs/>
        </w:rPr>
        <w:t>anwendbar ab dem Steuerjahr 2009</w:t>
      </w:r>
      <w:r w:rsidR="003366D9" w:rsidRPr="009118AB">
        <w:rPr>
          <w:i/>
          <w:iCs/>
        </w:rPr>
        <w:t> -;</w:t>
      </w:r>
      <w:r w:rsidRPr="009118AB">
        <w:rPr>
          <w:i/>
        </w:rPr>
        <w:t xml:space="preserve"> </w:t>
      </w:r>
      <w:r w:rsidR="00D67EB8" w:rsidRPr="009118AB">
        <w:rPr>
          <w:i/>
        </w:rPr>
        <w:t>§ </w:t>
      </w:r>
      <w:r w:rsidRPr="009118AB">
        <w:rPr>
          <w:i/>
        </w:rPr>
        <w:t xml:space="preserve">5 eingefügt durch </w:t>
      </w:r>
      <w:r w:rsidR="00D67EB8" w:rsidRPr="009118AB">
        <w:rPr>
          <w:i/>
        </w:rPr>
        <w:t>Art. </w:t>
      </w:r>
      <w:r w:rsidRPr="009118AB">
        <w:rPr>
          <w:i/>
        </w:rPr>
        <w:t>5</w:t>
      </w:r>
      <w:r w:rsidRPr="009118AB">
        <w:rPr>
          <w:i/>
          <w:iCs/>
        </w:rPr>
        <w:t xml:space="preserve"> des G. vom 28. Juli 2011 (B.S. vom 11. August 2011)</w:t>
      </w:r>
      <w:r w:rsidR="00D67EB8" w:rsidRPr="009118AB">
        <w:rPr>
          <w:i/>
          <w:iCs/>
        </w:rPr>
        <w:t> - </w:t>
      </w:r>
      <w:r w:rsidRPr="009118AB">
        <w:rPr>
          <w:i/>
          <w:iCs/>
        </w:rPr>
        <w:t>wirksam mit 1. Januar 2011</w:t>
      </w:r>
      <w:r w:rsidR="003366D9" w:rsidRPr="009118AB">
        <w:rPr>
          <w:i/>
          <w:iCs/>
        </w:rPr>
        <w:t> -;</w:t>
      </w:r>
      <w:r w:rsidRPr="009118AB">
        <w:rPr>
          <w:i/>
          <w:iCs/>
        </w:rPr>
        <w:t xml:space="preserve"> </w:t>
      </w:r>
      <w:r w:rsidR="00D67EB8" w:rsidRPr="009118AB">
        <w:rPr>
          <w:i/>
          <w:iCs/>
        </w:rPr>
        <w:t>§ </w:t>
      </w:r>
      <w:r w:rsidRPr="009118AB">
        <w:rPr>
          <w:i/>
          <w:iCs/>
        </w:rPr>
        <w:t xml:space="preserve">5 einziger Absatz einleitende Bestimmung abgeändert durch </w:t>
      </w:r>
      <w:r w:rsidR="00D67EB8" w:rsidRPr="009118AB">
        <w:rPr>
          <w:i/>
          <w:iCs/>
        </w:rPr>
        <w:t>Art. </w:t>
      </w:r>
      <w:r w:rsidRPr="009118AB">
        <w:rPr>
          <w:i/>
          <w:iCs/>
        </w:rPr>
        <w:t xml:space="preserve">15 </w:t>
      </w:r>
      <w:r w:rsidR="00D67EB8" w:rsidRPr="009118AB">
        <w:rPr>
          <w:i/>
          <w:iCs/>
        </w:rPr>
        <w:t>Nr. </w:t>
      </w:r>
      <w:r w:rsidRPr="009118AB">
        <w:rPr>
          <w:i/>
          <w:iCs/>
        </w:rPr>
        <w:t>3</w:t>
      </w:r>
      <w:r w:rsidRPr="009118AB">
        <w:rPr>
          <w:i/>
        </w:rPr>
        <w:t xml:space="preserve"> des G. vom 8. Mai 2014 (B.S. vom 28. Mai 2014)</w:t>
      </w:r>
      <w:r w:rsidR="00D67EB8" w:rsidRPr="009118AB">
        <w:rPr>
          <w:i/>
        </w:rPr>
        <w:t> - </w:t>
      </w:r>
      <w:r w:rsidRPr="009118AB">
        <w:rPr>
          <w:i/>
          <w:iCs/>
        </w:rPr>
        <w:t>anwendbar ab dem Steuerjahr 2015</w:t>
      </w:r>
      <w:r w:rsidR="003366D9" w:rsidRPr="009118AB">
        <w:rPr>
          <w:i/>
          <w:iCs/>
        </w:rPr>
        <w:t> -;</w:t>
      </w:r>
      <w:r w:rsidR="003357C9" w:rsidRPr="009118AB">
        <w:rPr>
          <w:i/>
          <w:iCs/>
        </w:rPr>
        <w:t xml:space="preserve"> </w:t>
      </w:r>
      <w:r w:rsidR="00D67EB8" w:rsidRPr="009118AB">
        <w:rPr>
          <w:i/>
          <w:iCs/>
        </w:rPr>
        <w:t>§ </w:t>
      </w:r>
      <w:r w:rsidR="003357C9" w:rsidRPr="009118AB">
        <w:rPr>
          <w:i/>
          <w:iCs/>
        </w:rPr>
        <w:t xml:space="preserve">5 einziger Absatz </w:t>
      </w:r>
      <w:r w:rsidR="00D67EB8" w:rsidRPr="009118AB">
        <w:rPr>
          <w:i/>
          <w:iCs/>
        </w:rPr>
        <w:t>Nr. </w:t>
      </w:r>
      <w:r w:rsidR="003357C9" w:rsidRPr="009118AB">
        <w:rPr>
          <w:i/>
          <w:iCs/>
        </w:rPr>
        <w:t xml:space="preserve">1 abgeändert durch </w:t>
      </w:r>
      <w:r w:rsidR="00D67EB8" w:rsidRPr="009118AB">
        <w:rPr>
          <w:i/>
          <w:iCs/>
        </w:rPr>
        <w:t>Art. </w:t>
      </w:r>
      <w:r w:rsidR="003357C9" w:rsidRPr="009118AB">
        <w:rPr>
          <w:i/>
          <w:iCs/>
        </w:rPr>
        <w:t>6 Buchstabe a)</w:t>
      </w:r>
      <w:r w:rsidR="003357C9" w:rsidRPr="009118AB">
        <w:rPr>
          <w:i/>
        </w:rPr>
        <w:t xml:space="preserve"> des G. vom 2. Mai 2019 (III) (B.S. vom 1</w:t>
      </w:r>
      <w:r w:rsidR="00357FD8" w:rsidRPr="009118AB">
        <w:rPr>
          <w:i/>
        </w:rPr>
        <w:t>5</w:t>
      </w:r>
      <w:r w:rsidR="003357C9" w:rsidRPr="009118AB">
        <w:rPr>
          <w:i/>
        </w:rPr>
        <w:t xml:space="preserve">. Mai 2019); </w:t>
      </w:r>
      <w:r w:rsidR="00D67EB8" w:rsidRPr="009118AB">
        <w:rPr>
          <w:i/>
        </w:rPr>
        <w:t>§ </w:t>
      </w:r>
      <w:r w:rsidR="003357C9" w:rsidRPr="009118AB">
        <w:rPr>
          <w:i/>
        </w:rPr>
        <w:t xml:space="preserve">5 einziger Absatz </w:t>
      </w:r>
      <w:r w:rsidR="00D67EB8" w:rsidRPr="009118AB">
        <w:rPr>
          <w:i/>
        </w:rPr>
        <w:t>Nr. </w:t>
      </w:r>
      <w:r w:rsidR="003357C9" w:rsidRPr="009118AB">
        <w:rPr>
          <w:i/>
        </w:rPr>
        <w:t xml:space="preserve">2 einziger Absatz Buchstabe b) abgeändert durch </w:t>
      </w:r>
      <w:r w:rsidR="00D67EB8" w:rsidRPr="009118AB">
        <w:rPr>
          <w:i/>
        </w:rPr>
        <w:t>Art. </w:t>
      </w:r>
      <w:r w:rsidR="003357C9" w:rsidRPr="009118AB">
        <w:rPr>
          <w:i/>
        </w:rPr>
        <w:t>6 Buchstabe b) des G. vom 2. Mai 2019 (III) (B.S. vom 1</w:t>
      </w:r>
      <w:r w:rsidR="00357FD8" w:rsidRPr="009118AB">
        <w:rPr>
          <w:i/>
        </w:rPr>
        <w:t>5</w:t>
      </w:r>
      <w:r w:rsidR="003357C9" w:rsidRPr="009118AB">
        <w:rPr>
          <w:i/>
        </w:rPr>
        <w:t>. Mai 2019)</w:t>
      </w:r>
      <w:r w:rsidRPr="009118AB">
        <w:rPr>
          <w:i/>
          <w:iCs/>
        </w:rPr>
        <w:t>]</w:t>
      </w:r>
    </w:p>
    <w:p w14:paraId="4400B9CF" w14:textId="77777777" w:rsidR="005E7014" w:rsidRPr="009118AB" w:rsidRDefault="005E7014" w:rsidP="00477B8F">
      <w:pPr>
        <w:autoSpaceDE w:val="0"/>
        <w:autoSpaceDN w:val="0"/>
        <w:adjustRightInd w:val="0"/>
        <w:jc w:val="both"/>
      </w:pPr>
    </w:p>
    <w:p w14:paraId="6AE50C18" w14:textId="77777777" w:rsidR="005C6443" w:rsidRPr="009118AB" w:rsidRDefault="005C6443" w:rsidP="00477B8F">
      <w:pPr>
        <w:autoSpaceDE w:val="0"/>
        <w:autoSpaceDN w:val="0"/>
        <w:adjustRightInd w:val="0"/>
        <w:jc w:val="both"/>
      </w:pPr>
    </w:p>
    <w:p w14:paraId="700DE303" w14:textId="341B136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35</w:t>
      </w:r>
      <w:r w:rsidR="00D67EB8" w:rsidRPr="009118AB">
        <w:t> - </w:t>
      </w:r>
      <w:r w:rsidRPr="009118AB">
        <w:t>[Pensionen, Renten und als solche geltende Zulagen, die beiden Ehepartnern zusammen gezahlt oder zuerkannt werden, gelten im Verhältnis zu den individuellen Ansprüchen, über die jeder von ihnen in Bezug auf diese Pensionen verfügt, als Einkünfte jedes Ehepartners.</w:t>
      </w:r>
    </w:p>
    <w:p w14:paraId="5FCAD250" w14:textId="77777777" w:rsidR="00477B8F" w:rsidRPr="009118AB" w:rsidRDefault="00477B8F" w:rsidP="00477B8F">
      <w:pPr>
        <w:autoSpaceDE w:val="0"/>
        <w:autoSpaceDN w:val="0"/>
        <w:adjustRightInd w:val="0"/>
        <w:jc w:val="both"/>
      </w:pPr>
    </w:p>
    <w:p w14:paraId="02F33A62" w14:textId="77777777" w:rsidR="00477B8F" w:rsidRPr="009118AB" w:rsidRDefault="00477B8F" w:rsidP="00477B8F">
      <w:pPr>
        <w:autoSpaceDE w:val="0"/>
        <w:autoSpaceDN w:val="0"/>
        <w:adjustRightInd w:val="0"/>
        <w:jc w:val="both"/>
      </w:pPr>
      <w:r w:rsidRPr="009118AB">
        <w:tab/>
        <w:t>Das in Absatz 1 erwähnte Verhältnis wird von der Einrichtung festgelegt, die die Zuerkennung der Pensionsansprüche gewährleistet.]</w:t>
      </w:r>
    </w:p>
    <w:p w14:paraId="4813639E" w14:textId="77777777" w:rsidR="00477B8F" w:rsidRPr="009118AB" w:rsidRDefault="00477B8F" w:rsidP="00477B8F">
      <w:pPr>
        <w:autoSpaceDE w:val="0"/>
        <w:autoSpaceDN w:val="0"/>
        <w:adjustRightInd w:val="0"/>
        <w:jc w:val="both"/>
      </w:pPr>
    </w:p>
    <w:p w14:paraId="2AE19013" w14:textId="10A2B7E8"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35 ersetzt durch </w:t>
      </w:r>
      <w:r w:rsidR="00D67EB8" w:rsidRPr="009118AB">
        <w:rPr>
          <w:i/>
          <w:iCs/>
        </w:rPr>
        <w:t>Art. </w:t>
      </w:r>
      <w:r w:rsidRPr="009118AB">
        <w:rPr>
          <w:i/>
          <w:iCs/>
        </w:rPr>
        <w:t>47 des G. vom 9. Juli 2004 (B.S. vom 15. Juli 2004)</w:t>
      </w:r>
      <w:r w:rsidR="00D67EB8" w:rsidRPr="009118AB">
        <w:rPr>
          <w:i/>
          <w:iCs/>
        </w:rPr>
        <w:t> - </w:t>
      </w:r>
      <w:r w:rsidRPr="009118AB">
        <w:rPr>
          <w:i/>
          <w:iCs/>
        </w:rPr>
        <w:t>anwendbar auf Pensionen, die ab dem 1. Januar 2004 gezahlt oder zuerkannt werden</w:t>
      </w:r>
      <w:r w:rsidR="00FD68E8" w:rsidRPr="009118AB">
        <w:rPr>
          <w:i/>
          <w:iCs/>
        </w:rPr>
        <w:t> -]</w:t>
      </w:r>
    </w:p>
    <w:p w14:paraId="2A60F40F" w14:textId="77777777" w:rsidR="001E243B" w:rsidRPr="009118AB" w:rsidRDefault="001E243B" w:rsidP="00477B8F">
      <w:pPr>
        <w:autoSpaceDE w:val="0"/>
        <w:autoSpaceDN w:val="0"/>
        <w:adjustRightInd w:val="0"/>
        <w:jc w:val="both"/>
      </w:pPr>
    </w:p>
    <w:p w14:paraId="647F9E0B" w14:textId="77777777" w:rsidR="001E243B" w:rsidRPr="009118AB" w:rsidRDefault="001E243B" w:rsidP="00477B8F">
      <w:pPr>
        <w:autoSpaceDE w:val="0"/>
        <w:autoSpaceDN w:val="0"/>
        <w:adjustRightInd w:val="0"/>
        <w:jc w:val="both"/>
      </w:pPr>
    </w:p>
    <w:p w14:paraId="0EDEE77D" w14:textId="77777777" w:rsidR="00477B8F" w:rsidRPr="009118AB" w:rsidRDefault="00D774FF" w:rsidP="00477B8F">
      <w:pPr>
        <w:autoSpaceDE w:val="0"/>
        <w:autoSpaceDN w:val="0"/>
        <w:adjustRightInd w:val="0"/>
        <w:jc w:val="both"/>
      </w:pPr>
      <w:r w:rsidRPr="009118AB">
        <w:br w:type="page"/>
      </w:r>
      <w:r w:rsidR="00477B8F" w:rsidRPr="009118AB">
        <w:lastRenderedPageBreak/>
        <w:tab/>
      </w:r>
      <w:r w:rsidR="00477B8F" w:rsidRPr="009118AB">
        <w:rPr>
          <w:i/>
          <w:iCs/>
        </w:rPr>
        <w:t xml:space="preserve">H. </w:t>
      </w:r>
      <w:r w:rsidR="00477B8F" w:rsidRPr="009118AB">
        <w:t>Veranschlagung der anders als in bar erhaltenen Einkünfte</w:t>
      </w:r>
    </w:p>
    <w:p w14:paraId="18635192" w14:textId="77777777" w:rsidR="00477B8F" w:rsidRPr="009118AB" w:rsidRDefault="00477B8F" w:rsidP="00477B8F">
      <w:pPr>
        <w:autoSpaceDE w:val="0"/>
        <w:autoSpaceDN w:val="0"/>
        <w:adjustRightInd w:val="0"/>
        <w:jc w:val="both"/>
      </w:pPr>
    </w:p>
    <w:p w14:paraId="353D197E" w14:textId="77777777" w:rsidR="00477B8F" w:rsidRPr="009118AB" w:rsidRDefault="00477B8F" w:rsidP="00477B8F">
      <w:pPr>
        <w:autoSpaceDE w:val="0"/>
        <w:autoSpaceDN w:val="0"/>
        <w:adjustRightInd w:val="0"/>
        <w:jc w:val="both"/>
      </w:pPr>
    </w:p>
    <w:p w14:paraId="0407CD3F" w14:textId="3001EC44" w:rsidR="007863CD" w:rsidRPr="009118AB" w:rsidRDefault="00477B8F" w:rsidP="007863CD">
      <w:pPr>
        <w:autoSpaceDE w:val="0"/>
        <w:autoSpaceDN w:val="0"/>
        <w:adjustRightInd w:val="0"/>
        <w:jc w:val="both"/>
        <w:rPr>
          <w:bCs/>
        </w:rPr>
      </w:pPr>
      <w:r w:rsidRPr="009118AB">
        <w:tab/>
      </w:r>
      <w:r w:rsidR="00D67EB8" w:rsidRPr="009118AB">
        <w:rPr>
          <w:b/>
          <w:bCs/>
        </w:rPr>
        <w:t>Art. </w:t>
      </w:r>
      <w:r w:rsidRPr="009118AB">
        <w:rPr>
          <w:b/>
          <w:bCs/>
        </w:rPr>
        <w:t>36</w:t>
      </w:r>
      <w:r w:rsidR="00D67EB8" w:rsidRPr="009118AB">
        <w:t> - </w:t>
      </w:r>
      <w:r w:rsidR="007863CD" w:rsidRPr="009118AB">
        <w:rPr>
          <w:bCs/>
        </w:rPr>
        <w:t>[</w:t>
      </w:r>
      <w:r w:rsidR="00D67EB8" w:rsidRPr="009118AB">
        <w:rPr>
          <w:bCs/>
        </w:rPr>
        <w:t>§ </w:t>
      </w:r>
      <w:r w:rsidR="007863CD" w:rsidRPr="009118AB">
        <w:rPr>
          <w:bCs/>
        </w:rPr>
        <w:t>1</w:t>
      </w:r>
      <w:r w:rsidR="00D67EB8" w:rsidRPr="009118AB">
        <w:rPr>
          <w:bCs/>
        </w:rPr>
        <w:t> - </w:t>
      </w:r>
      <w:r w:rsidR="007863CD" w:rsidRPr="009118AB">
        <w:rPr>
          <w:bCs/>
        </w:rPr>
        <w:t>Anders als in bar erhaltene Vorteile jeglicher Art werden entsprechend dem Realwert veranschlagt, den sie beim Empfänger haben.</w:t>
      </w:r>
    </w:p>
    <w:p w14:paraId="3A598E87" w14:textId="77777777" w:rsidR="007863CD" w:rsidRPr="009118AB" w:rsidRDefault="007863CD" w:rsidP="007863CD">
      <w:pPr>
        <w:autoSpaceDE w:val="0"/>
        <w:autoSpaceDN w:val="0"/>
        <w:adjustRightInd w:val="0"/>
        <w:jc w:val="both"/>
        <w:rPr>
          <w:bCs/>
        </w:rPr>
      </w:pPr>
    </w:p>
    <w:p w14:paraId="18BDA411" w14:textId="77777777" w:rsidR="007863CD" w:rsidRPr="009118AB" w:rsidRDefault="007863CD" w:rsidP="00ED73E6">
      <w:pPr>
        <w:autoSpaceDE w:val="0"/>
        <w:autoSpaceDN w:val="0"/>
        <w:adjustRightInd w:val="0"/>
        <w:ind w:firstLine="709"/>
        <w:jc w:val="both"/>
        <w:rPr>
          <w:bCs/>
        </w:rPr>
      </w:pPr>
      <w:r w:rsidRPr="009118AB">
        <w:rPr>
          <w:bCs/>
        </w:rPr>
        <w:t>Der König kann in Fällen, die Er bestimmt, Regeln für eine Pauschalveranschlagung dieser Vorteile festlegen.</w:t>
      </w:r>
    </w:p>
    <w:p w14:paraId="3E4BDD8B" w14:textId="77777777" w:rsidR="007863CD" w:rsidRPr="009118AB" w:rsidRDefault="007863CD" w:rsidP="007863CD">
      <w:pPr>
        <w:autoSpaceDE w:val="0"/>
        <w:autoSpaceDN w:val="0"/>
        <w:adjustRightInd w:val="0"/>
        <w:jc w:val="both"/>
        <w:rPr>
          <w:bCs/>
        </w:rPr>
      </w:pPr>
    </w:p>
    <w:p w14:paraId="7F7EEE44" w14:textId="0CD4CA07" w:rsidR="007863CD" w:rsidRPr="009118AB" w:rsidRDefault="00D67EB8" w:rsidP="00ED73E6">
      <w:pPr>
        <w:autoSpaceDE w:val="0"/>
        <w:autoSpaceDN w:val="0"/>
        <w:adjustRightInd w:val="0"/>
        <w:ind w:firstLine="709"/>
        <w:jc w:val="both"/>
        <w:rPr>
          <w:bCs/>
        </w:rPr>
      </w:pPr>
      <w:r w:rsidRPr="009118AB">
        <w:rPr>
          <w:bCs/>
        </w:rPr>
        <w:t>§ </w:t>
      </w:r>
      <w:r w:rsidR="007863CD" w:rsidRPr="009118AB">
        <w:rPr>
          <w:bCs/>
        </w:rPr>
        <w:t>2</w:t>
      </w:r>
      <w:r w:rsidRPr="009118AB">
        <w:rPr>
          <w:bCs/>
        </w:rPr>
        <w:t> - </w:t>
      </w:r>
      <w:r w:rsidR="007863CD" w:rsidRPr="009118AB">
        <w:rPr>
          <w:bCs/>
        </w:rPr>
        <w:t>Ein Vorteil jeglicher Art, der aus der Nutzung zu persönlichen Zwecken eines kostenlos zur Verfügung gestellten Fahrzeugs wie in Artikel 65 erwähnt hervorgeht, wird berechnet, indem ein CO</w:t>
      </w:r>
      <w:r w:rsidR="007863CD" w:rsidRPr="009118AB">
        <w:rPr>
          <w:bCs/>
          <w:vertAlign w:val="subscript"/>
        </w:rPr>
        <w:t>2</w:t>
      </w:r>
      <w:r w:rsidR="007863CD" w:rsidRPr="009118AB">
        <w:rPr>
          <w:bCs/>
        </w:rPr>
        <w:t>-Prozentsatz auf 6/7 des Katalogwertes des kostenlos zur Verfügung gestellten Fahrzeugs angewandt wird.</w:t>
      </w:r>
    </w:p>
    <w:p w14:paraId="43879F90" w14:textId="77777777" w:rsidR="007863CD" w:rsidRPr="009118AB" w:rsidRDefault="007863CD" w:rsidP="007863CD">
      <w:pPr>
        <w:autoSpaceDE w:val="0"/>
        <w:autoSpaceDN w:val="0"/>
        <w:adjustRightInd w:val="0"/>
        <w:jc w:val="both"/>
        <w:rPr>
          <w:bCs/>
        </w:rPr>
      </w:pPr>
    </w:p>
    <w:p w14:paraId="450130B4" w14:textId="77777777" w:rsidR="007863CD" w:rsidRPr="009118AB" w:rsidRDefault="007863CD" w:rsidP="00ED73E6">
      <w:pPr>
        <w:autoSpaceDE w:val="0"/>
        <w:autoSpaceDN w:val="0"/>
        <w:adjustRightInd w:val="0"/>
        <w:ind w:firstLine="709"/>
        <w:jc w:val="both"/>
      </w:pPr>
      <w:r w:rsidRPr="009118AB">
        <w:rPr>
          <w:bCs/>
        </w:rPr>
        <w:t>[</w:t>
      </w:r>
      <w:r w:rsidRPr="009118AB">
        <w:t>Unter Katalogwert ist der Katalogpreis des Fahrzeugs im Neuzustand beim Verkauf an eine Privatperson, einschließlich Optionen und tatsächlich gezahlter Mehrwertsteuer, zu verstehen, wobei Ermäßigungen, Verringerungen, Rabatte oder Rückvergütungen nicht berücksichtigt werden.]</w:t>
      </w:r>
    </w:p>
    <w:p w14:paraId="59B6379D" w14:textId="77777777" w:rsidR="007863CD" w:rsidRPr="009118AB" w:rsidRDefault="007863CD" w:rsidP="007863CD">
      <w:pPr>
        <w:autoSpaceDE w:val="0"/>
        <w:autoSpaceDN w:val="0"/>
        <w:adjustRightInd w:val="0"/>
        <w:jc w:val="both"/>
      </w:pPr>
    </w:p>
    <w:p w14:paraId="3E807427" w14:textId="77777777" w:rsidR="007863CD" w:rsidRPr="009118AB" w:rsidRDefault="007863CD" w:rsidP="00ED73E6">
      <w:pPr>
        <w:autoSpaceDE w:val="0"/>
        <w:autoSpaceDN w:val="0"/>
        <w:adjustRightInd w:val="0"/>
        <w:ind w:firstLine="709"/>
        <w:jc w:val="both"/>
      </w:pPr>
      <w:r w:rsidRPr="009118AB">
        <w:t>[Zur Berücksichtigung des Zeitraums, der seit dem Datum der Erstzulassung des Fahrzeugs vergangen ist, wird der Katalogwert mit einem Prozentsatz multipliziert, der in nachstehender Tabelle festgelegt ist:</w:t>
      </w:r>
    </w:p>
    <w:p w14:paraId="60F4C825" w14:textId="77777777" w:rsidR="007863CD" w:rsidRPr="009118AB" w:rsidRDefault="007863CD" w:rsidP="007863CD">
      <w:pPr>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8"/>
        <w:gridCol w:w="4534"/>
      </w:tblGrid>
      <w:tr w:rsidR="007863CD" w:rsidRPr="009118AB" w14:paraId="1BA70421" w14:textId="77777777" w:rsidTr="00E12E75">
        <w:tc>
          <w:tcPr>
            <w:tcW w:w="4498" w:type="dxa"/>
          </w:tcPr>
          <w:p w14:paraId="29AF1453" w14:textId="77777777" w:rsidR="007863CD" w:rsidRPr="009118AB" w:rsidRDefault="007863CD" w:rsidP="007863CD">
            <w:pPr>
              <w:autoSpaceDE w:val="0"/>
              <w:autoSpaceDN w:val="0"/>
              <w:adjustRightInd w:val="0"/>
              <w:jc w:val="both"/>
            </w:pPr>
            <w:r w:rsidRPr="009118AB">
              <w:t>Seit der Erstzulassung des Fahrzeugs vergangener Zeitraum (ein angebrochener Monat zählt als ganzer Monat)</w:t>
            </w:r>
          </w:p>
        </w:tc>
        <w:tc>
          <w:tcPr>
            <w:tcW w:w="4606" w:type="dxa"/>
          </w:tcPr>
          <w:p w14:paraId="3CAB88AC" w14:textId="77777777" w:rsidR="007863CD" w:rsidRPr="009118AB" w:rsidRDefault="007863CD" w:rsidP="007863CD">
            <w:pPr>
              <w:autoSpaceDE w:val="0"/>
              <w:autoSpaceDN w:val="0"/>
              <w:adjustRightInd w:val="0"/>
              <w:jc w:val="both"/>
            </w:pPr>
            <w:r w:rsidRPr="009118AB">
              <w:t>Bei der Berechnung des Vorteils zu berücksichtigender Prozentsatz des Katalogwertes</w:t>
            </w:r>
          </w:p>
        </w:tc>
      </w:tr>
      <w:tr w:rsidR="007863CD" w:rsidRPr="009118AB" w14:paraId="66A8B1F0" w14:textId="77777777" w:rsidTr="00E12E75">
        <w:tc>
          <w:tcPr>
            <w:tcW w:w="4498" w:type="dxa"/>
          </w:tcPr>
          <w:p w14:paraId="71563110" w14:textId="77777777" w:rsidR="007863CD" w:rsidRPr="009118AB" w:rsidRDefault="007863CD" w:rsidP="007863CD">
            <w:pPr>
              <w:autoSpaceDE w:val="0"/>
              <w:autoSpaceDN w:val="0"/>
              <w:adjustRightInd w:val="0"/>
              <w:jc w:val="both"/>
            </w:pPr>
            <w:r w:rsidRPr="009118AB">
              <w:t>0 bis 12 Monate</w:t>
            </w:r>
          </w:p>
        </w:tc>
        <w:tc>
          <w:tcPr>
            <w:tcW w:w="4606" w:type="dxa"/>
          </w:tcPr>
          <w:p w14:paraId="12A5332B" w14:textId="77777777" w:rsidR="007863CD" w:rsidRPr="009118AB" w:rsidRDefault="007863CD" w:rsidP="007863CD">
            <w:pPr>
              <w:autoSpaceDE w:val="0"/>
              <w:autoSpaceDN w:val="0"/>
              <w:adjustRightInd w:val="0"/>
              <w:jc w:val="both"/>
            </w:pPr>
            <w:r w:rsidRPr="009118AB">
              <w:t>100 %</w:t>
            </w:r>
          </w:p>
        </w:tc>
      </w:tr>
      <w:tr w:rsidR="007863CD" w:rsidRPr="009118AB" w14:paraId="23C78FFB" w14:textId="77777777" w:rsidTr="00E12E75">
        <w:tc>
          <w:tcPr>
            <w:tcW w:w="4498" w:type="dxa"/>
          </w:tcPr>
          <w:p w14:paraId="70BF42AA" w14:textId="77777777" w:rsidR="007863CD" w:rsidRPr="009118AB" w:rsidRDefault="007863CD" w:rsidP="007863CD">
            <w:pPr>
              <w:autoSpaceDE w:val="0"/>
              <w:autoSpaceDN w:val="0"/>
              <w:adjustRightInd w:val="0"/>
              <w:jc w:val="both"/>
            </w:pPr>
            <w:r w:rsidRPr="009118AB">
              <w:t>13 bis 24 Monate</w:t>
            </w:r>
          </w:p>
        </w:tc>
        <w:tc>
          <w:tcPr>
            <w:tcW w:w="4606" w:type="dxa"/>
          </w:tcPr>
          <w:p w14:paraId="746D64F9" w14:textId="77777777" w:rsidR="007863CD" w:rsidRPr="009118AB" w:rsidRDefault="007863CD" w:rsidP="007863CD">
            <w:pPr>
              <w:autoSpaceDE w:val="0"/>
              <w:autoSpaceDN w:val="0"/>
              <w:adjustRightInd w:val="0"/>
              <w:jc w:val="both"/>
            </w:pPr>
            <w:r w:rsidRPr="009118AB">
              <w:t>94 %</w:t>
            </w:r>
          </w:p>
        </w:tc>
      </w:tr>
      <w:tr w:rsidR="007863CD" w:rsidRPr="009118AB" w14:paraId="05026CD5" w14:textId="77777777" w:rsidTr="00E12E75">
        <w:tc>
          <w:tcPr>
            <w:tcW w:w="4498" w:type="dxa"/>
          </w:tcPr>
          <w:p w14:paraId="39EB5CD6" w14:textId="77777777" w:rsidR="007863CD" w:rsidRPr="009118AB" w:rsidRDefault="007863CD" w:rsidP="007863CD">
            <w:pPr>
              <w:autoSpaceDE w:val="0"/>
              <w:autoSpaceDN w:val="0"/>
              <w:adjustRightInd w:val="0"/>
              <w:jc w:val="both"/>
            </w:pPr>
            <w:r w:rsidRPr="009118AB">
              <w:t>25 bis 36 Monate</w:t>
            </w:r>
          </w:p>
        </w:tc>
        <w:tc>
          <w:tcPr>
            <w:tcW w:w="4606" w:type="dxa"/>
          </w:tcPr>
          <w:p w14:paraId="1555509E" w14:textId="77777777" w:rsidR="007863CD" w:rsidRPr="009118AB" w:rsidRDefault="007863CD" w:rsidP="007863CD">
            <w:pPr>
              <w:autoSpaceDE w:val="0"/>
              <w:autoSpaceDN w:val="0"/>
              <w:adjustRightInd w:val="0"/>
              <w:jc w:val="both"/>
            </w:pPr>
            <w:r w:rsidRPr="009118AB">
              <w:t>88 %</w:t>
            </w:r>
          </w:p>
        </w:tc>
      </w:tr>
      <w:tr w:rsidR="007863CD" w:rsidRPr="009118AB" w14:paraId="2DEF8507" w14:textId="77777777" w:rsidTr="00E12E75">
        <w:tc>
          <w:tcPr>
            <w:tcW w:w="4498" w:type="dxa"/>
          </w:tcPr>
          <w:p w14:paraId="4915DA08" w14:textId="77777777" w:rsidR="007863CD" w:rsidRPr="009118AB" w:rsidRDefault="007863CD" w:rsidP="007863CD">
            <w:pPr>
              <w:autoSpaceDE w:val="0"/>
              <w:autoSpaceDN w:val="0"/>
              <w:adjustRightInd w:val="0"/>
              <w:jc w:val="both"/>
            </w:pPr>
            <w:r w:rsidRPr="009118AB">
              <w:t>37 bis 48 Monate</w:t>
            </w:r>
          </w:p>
        </w:tc>
        <w:tc>
          <w:tcPr>
            <w:tcW w:w="4606" w:type="dxa"/>
          </w:tcPr>
          <w:p w14:paraId="665A36A7" w14:textId="77777777" w:rsidR="007863CD" w:rsidRPr="009118AB" w:rsidRDefault="007863CD" w:rsidP="007863CD">
            <w:pPr>
              <w:autoSpaceDE w:val="0"/>
              <w:autoSpaceDN w:val="0"/>
              <w:adjustRightInd w:val="0"/>
              <w:jc w:val="both"/>
            </w:pPr>
            <w:r w:rsidRPr="009118AB">
              <w:t>82 %</w:t>
            </w:r>
          </w:p>
        </w:tc>
      </w:tr>
      <w:tr w:rsidR="007863CD" w:rsidRPr="009118AB" w14:paraId="52C585C7" w14:textId="77777777" w:rsidTr="00E12E75">
        <w:tc>
          <w:tcPr>
            <w:tcW w:w="4498" w:type="dxa"/>
          </w:tcPr>
          <w:p w14:paraId="58CF27A5" w14:textId="77777777" w:rsidR="007863CD" w:rsidRPr="009118AB" w:rsidRDefault="007863CD" w:rsidP="007863CD">
            <w:pPr>
              <w:autoSpaceDE w:val="0"/>
              <w:autoSpaceDN w:val="0"/>
              <w:adjustRightInd w:val="0"/>
              <w:jc w:val="both"/>
            </w:pPr>
            <w:r w:rsidRPr="009118AB">
              <w:t>49 bis 60 Monate</w:t>
            </w:r>
          </w:p>
        </w:tc>
        <w:tc>
          <w:tcPr>
            <w:tcW w:w="4606" w:type="dxa"/>
          </w:tcPr>
          <w:p w14:paraId="1E30D76F" w14:textId="77777777" w:rsidR="007863CD" w:rsidRPr="009118AB" w:rsidRDefault="007863CD" w:rsidP="007863CD">
            <w:pPr>
              <w:autoSpaceDE w:val="0"/>
              <w:autoSpaceDN w:val="0"/>
              <w:adjustRightInd w:val="0"/>
              <w:jc w:val="both"/>
            </w:pPr>
            <w:r w:rsidRPr="009118AB">
              <w:t>76 %</w:t>
            </w:r>
          </w:p>
        </w:tc>
      </w:tr>
      <w:tr w:rsidR="007863CD" w:rsidRPr="009118AB" w14:paraId="64975074" w14:textId="77777777" w:rsidTr="00E12E75">
        <w:tc>
          <w:tcPr>
            <w:tcW w:w="4498" w:type="dxa"/>
          </w:tcPr>
          <w:p w14:paraId="7EAA15EE" w14:textId="77777777" w:rsidR="007863CD" w:rsidRPr="009118AB" w:rsidRDefault="007863CD" w:rsidP="007863CD">
            <w:pPr>
              <w:autoSpaceDE w:val="0"/>
              <w:autoSpaceDN w:val="0"/>
              <w:adjustRightInd w:val="0"/>
              <w:jc w:val="both"/>
            </w:pPr>
            <w:r w:rsidRPr="009118AB">
              <w:t>61 Monate oder mehr</w:t>
            </w:r>
          </w:p>
        </w:tc>
        <w:tc>
          <w:tcPr>
            <w:tcW w:w="4606" w:type="dxa"/>
          </w:tcPr>
          <w:p w14:paraId="5E184837" w14:textId="77777777" w:rsidR="007863CD" w:rsidRPr="009118AB" w:rsidRDefault="007863CD" w:rsidP="007863CD">
            <w:pPr>
              <w:autoSpaceDE w:val="0"/>
              <w:autoSpaceDN w:val="0"/>
              <w:adjustRightInd w:val="0"/>
              <w:jc w:val="both"/>
            </w:pPr>
            <w:r w:rsidRPr="009118AB">
              <w:t>70 %]</w:t>
            </w:r>
          </w:p>
        </w:tc>
      </w:tr>
    </w:tbl>
    <w:p w14:paraId="1BF65041" w14:textId="77777777" w:rsidR="007863CD" w:rsidRPr="009118AB" w:rsidRDefault="007863CD" w:rsidP="007863CD">
      <w:pPr>
        <w:autoSpaceDE w:val="0"/>
        <w:autoSpaceDN w:val="0"/>
        <w:adjustRightInd w:val="0"/>
        <w:jc w:val="both"/>
        <w:rPr>
          <w:bCs/>
        </w:rPr>
      </w:pPr>
    </w:p>
    <w:p w14:paraId="5371867C" w14:textId="77777777" w:rsidR="007863CD" w:rsidRPr="009118AB" w:rsidRDefault="007863CD" w:rsidP="00ED73E6">
      <w:pPr>
        <w:autoSpaceDE w:val="0"/>
        <w:autoSpaceDN w:val="0"/>
        <w:adjustRightInd w:val="0"/>
        <w:ind w:firstLine="709"/>
        <w:jc w:val="both"/>
        <w:rPr>
          <w:bCs/>
        </w:rPr>
      </w:pPr>
      <w:r w:rsidRPr="009118AB">
        <w:rPr>
          <w:bCs/>
        </w:rPr>
        <w:t>Der CO</w:t>
      </w:r>
      <w:r w:rsidRPr="009118AB">
        <w:rPr>
          <w:bCs/>
          <w:vertAlign w:val="subscript"/>
        </w:rPr>
        <w:t>2</w:t>
      </w:r>
      <w:r w:rsidRPr="009118AB">
        <w:rPr>
          <w:bCs/>
        </w:rPr>
        <w:t>-Basisprozentsatz beträgt 5,5 Prozent für eine CO</w:t>
      </w:r>
      <w:r w:rsidRPr="009118AB">
        <w:rPr>
          <w:bCs/>
          <w:vertAlign w:val="subscript"/>
        </w:rPr>
        <w:t>2</w:t>
      </w:r>
      <w:r w:rsidRPr="009118AB">
        <w:rPr>
          <w:bCs/>
        </w:rPr>
        <w:t>-Bezugsemission von 115 g/km für Fahrzeuge mit Benzin-, LPG- oder Erdgasmotor und für eine CO</w:t>
      </w:r>
      <w:r w:rsidRPr="009118AB">
        <w:rPr>
          <w:bCs/>
          <w:vertAlign w:val="subscript"/>
        </w:rPr>
        <w:t>2</w:t>
      </w:r>
      <w:r w:rsidRPr="009118AB">
        <w:rPr>
          <w:bCs/>
        </w:rPr>
        <w:t>-Bezugsemission von 95 g/km für Fahrzeuge mit Dieselmotor.</w:t>
      </w:r>
    </w:p>
    <w:p w14:paraId="454117B7" w14:textId="77777777" w:rsidR="007863CD" w:rsidRPr="009118AB" w:rsidRDefault="007863CD" w:rsidP="007863CD">
      <w:pPr>
        <w:autoSpaceDE w:val="0"/>
        <w:autoSpaceDN w:val="0"/>
        <w:adjustRightInd w:val="0"/>
        <w:jc w:val="both"/>
        <w:rPr>
          <w:bCs/>
        </w:rPr>
      </w:pPr>
    </w:p>
    <w:p w14:paraId="6D37AB0F" w14:textId="0A5C8CC0" w:rsidR="007863CD" w:rsidRPr="009118AB" w:rsidRDefault="007863CD" w:rsidP="00ED73E6">
      <w:pPr>
        <w:autoSpaceDE w:val="0"/>
        <w:autoSpaceDN w:val="0"/>
        <w:adjustRightInd w:val="0"/>
        <w:ind w:firstLine="709"/>
        <w:jc w:val="both"/>
        <w:rPr>
          <w:bCs/>
        </w:rPr>
      </w:pPr>
      <w:r w:rsidRPr="009118AB">
        <w:rPr>
          <w:bCs/>
        </w:rPr>
        <w:t>[</w:t>
      </w:r>
      <w:r w:rsidR="005427D5" w:rsidRPr="009118AB">
        <w:rPr>
          <w:spacing w:val="-2"/>
        </w:rPr>
        <w:t>Der König bestimmt jedes Jahr gemäß Modalitäten, die Er festlegt, die CO</w:t>
      </w:r>
      <w:r w:rsidR="005427D5" w:rsidRPr="009118AB">
        <w:rPr>
          <w:spacing w:val="-2"/>
          <w:vertAlign w:val="subscript"/>
        </w:rPr>
        <w:t>2</w:t>
      </w:r>
      <w:r w:rsidR="005427D5" w:rsidRPr="009118AB">
        <w:rPr>
          <w:spacing w:val="-2"/>
        </w:rPr>
        <w:t>-Bezugs</w:t>
      </w:r>
      <w:r w:rsidR="005427D5" w:rsidRPr="009118AB">
        <w:rPr>
          <w:spacing w:val="-2"/>
        </w:rPr>
        <w:softHyphen/>
        <w:t>emission entsprechend der durchschnittlichen CO</w:t>
      </w:r>
      <w:r w:rsidR="005427D5" w:rsidRPr="009118AB">
        <w:rPr>
          <w:spacing w:val="-2"/>
          <w:vertAlign w:val="subscript"/>
        </w:rPr>
        <w:t>2</w:t>
      </w:r>
      <w:r w:rsidR="005427D5" w:rsidRPr="009118AB">
        <w:rPr>
          <w:spacing w:val="-2"/>
        </w:rPr>
        <w:t>-Emission in einem Zeitraum von zwölf aufeinander folgenden Monaten, der am 30. September des Jahres vor dem Besteuerungszeitraum endet, im Verhältnis zur durchschnittlichen CO</w:t>
      </w:r>
      <w:r w:rsidR="005427D5" w:rsidRPr="009118AB">
        <w:rPr>
          <w:spacing w:val="-2"/>
          <w:vertAlign w:val="subscript"/>
        </w:rPr>
        <w:t>2</w:t>
      </w:r>
      <w:r w:rsidR="005427D5" w:rsidRPr="009118AB">
        <w:rPr>
          <w:spacing w:val="-2"/>
        </w:rPr>
        <w:t>-Emission des Bezugsjahres 2011. Die durchschnittliche CO</w:t>
      </w:r>
      <w:r w:rsidR="005427D5" w:rsidRPr="009118AB">
        <w:rPr>
          <w:spacing w:val="-2"/>
          <w:vertAlign w:val="subscript"/>
        </w:rPr>
        <w:t>2</w:t>
      </w:r>
      <w:r w:rsidR="005427D5" w:rsidRPr="009118AB">
        <w:rPr>
          <w:spacing w:val="-2"/>
        </w:rPr>
        <w:t>-Emission wird auf der Grundlage der CO</w:t>
      </w:r>
      <w:r w:rsidR="005427D5" w:rsidRPr="009118AB">
        <w:rPr>
          <w:spacing w:val="-2"/>
          <w:vertAlign w:val="subscript"/>
        </w:rPr>
        <w:t>2</w:t>
      </w:r>
      <w:r w:rsidR="005427D5" w:rsidRPr="009118AB">
        <w:rPr>
          <w:spacing w:val="-2"/>
        </w:rPr>
        <w:t>-Emission der in Artikel 65 erwähnten Fahrzeuge, die neu zugelassen wurden, berechnet. Die CO</w:t>
      </w:r>
      <w:r w:rsidR="005427D5" w:rsidRPr="009118AB">
        <w:rPr>
          <w:spacing w:val="-2"/>
          <w:vertAlign w:val="subscript"/>
        </w:rPr>
        <w:t>2</w:t>
      </w:r>
      <w:r w:rsidR="005427D5" w:rsidRPr="009118AB">
        <w:rPr>
          <w:spacing w:val="-2"/>
        </w:rPr>
        <w:t>-Bezugsemission darf die CO</w:t>
      </w:r>
      <w:r w:rsidR="005427D5" w:rsidRPr="009118AB">
        <w:rPr>
          <w:spacing w:val="-2"/>
          <w:vertAlign w:val="subscript"/>
        </w:rPr>
        <w:t>2</w:t>
      </w:r>
      <w:r w:rsidR="005427D5" w:rsidRPr="009118AB">
        <w:rPr>
          <w:spacing w:val="-2"/>
        </w:rPr>
        <w:t>-Bezugsemission des vorhergehenden Besteuerungs</w:t>
      </w:r>
      <w:r w:rsidR="005427D5" w:rsidRPr="009118AB">
        <w:rPr>
          <w:spacing w:val="-2"/>
        </w:rPr>
        <w:softHyphen/>
        <w:t>zeitraums nie übersteigen.</w:t>
      </w:r>
      <w:r w:rsidRPr="009118AB">
        <w:t>]</w:t>
      </w:r>
    </w:p>
    <w:p w14:paraId="0BAA47A7" w14:textId="77777777" w:rsidR="007863CD" w:rsidRPr="009118AB" w:rsidRDefault="007863CD" w:rsidP="007863CD">
      <w:pPr>
        <w:autoSpaceDE w:val="0"/>
        <w:autoSpaceDN w:val="0"/>
        <w:adjustRightInd w:val="0"/>
        <w:jc w:val="both"/>
        <w:rPr>
          <w:bCs/>
        </w:rPr>
      </w:pPr>
    </w:p>
    <w:p w14:paraId="1E8B860C" w14:textId="77777777" w:rsidR="007863CD" w:rsidRPr="009118AB" w:rsidRDefault="007863CD" w:rsidP="00ED73E6">
      <w:pPr>
        <w:autoSpaceDE w:val="0"/>
        <w:autoSpaceDN w:val="0"/>
        <w:adjustRightInd w:val="0"/>
        <w:ind w:firstLine="709"/>
        <w:jc w:val="both"/>
        <w:rPr>
          <w:bCs/>
        </w:rPr>
      </w:pPr>
      <w:r w:rsidRPr="009118AB">
        <w:rPr>
          <w:bCs/>
        </w:rPr>
        <w:t>Liegt die Emission des betreffenden Fahrzeugs über vorerwähnter Bezugsemission, wird der Basisprozentsatz um 0,1 Prozent pro Gramm CO</w:t>
      </w:r>
      <w:r w:rsidRPr="009118AB">
        <w:rPr>
          <w:bCs/>
          <w:vertAlign w:val="subscript"/>
        </w:rPr>
        <w:t>2</w:t>
      </w:r>
      <w:r w:rsidRPr="009118AB">
        <w:rPr>
          <w:bCs/>
        </w:rPr>
        <w:t xml:space="preserve"> erhöht, wobei der Höchstsatz bei 18 Prozent liegt.</w:t>
      </w:r>
    </w:p>
    <w:p w14:paraId="69A22C8F" w14:textId="77777777" w:rsidR="007863CD" w:rsidRPr="009118AB" w:rsidRDefault="007863CD" w:rsidP="007863CD">
      <w:pPr>
        <w:autoSpaceDE w:val="0"/>
        <w:autoSpaceDN w:val="0"/>
        <w:adjustRightInd w:val="0"/>
        <w:jc w:val="both"/>
        <w:rPr>
          <w:bCs/>
        </w:rPr>
      </w:pPr>
    </w:p>
    <w:p w14:paraId="0D945E9E" w14:textId="77777777" w:rsidR="007863CD" w:rsidRPr="009118AB" w:rsidRDefault="007863CD" w:rsidP="00ED73E6">
      <w:pPr>
        <w:autoSpaceDE w:val="0"/>
        <w:autoSpaceDN w:val="0"/>
        <w:adjustRightInd w:val="0"/>
        <w:ind w:firstLine="709"/>
        <w:jc w:val="both"/>
        <w:rPr>
          <w:bCs/>
        </w:rPr>
      </w:pPr>
      <w:r w:rsidRPr="009118AB">
        <w:rPr>
          <w:bCs/>
        </w:rPr>
        <w:lastRenderedPageBreak/>
        <w:t>Liegt die Emission des betreffenden Fahrzeugs unter vorerwähnter Bezugsemission, wird der Basisprozentsatz um 0,1 Prozent pro Gramm CO</w:t>
      </w:r>
      <w:r w:rsidRPr="009118AB">
        <w:rPr>
          <w:bCs/>
          <w:vertAlign w:val="subscript"/>
        </w:rPr>
        <w:t>2</w:t>
      </w:r>
      <w:r w:rsidRPr="009118AB">
        <w:rPr>
          <w:bCs/>
        </w:rPr>
        <w:t xml:space="preserve"> verringert, wobei der Mindestsatz bei 4 Prozent liegt.</w:t>
      </w:r>
    </w:p>
    <w:p w14:paraId="0FFE7FC2" w14:textId="77777777" w:rsidR="007863CD" w:rsidRPr="009118AB" w:rsidRDefault="007863CD" w:rsidP="007863CD">
      <w:pPr>
        <w:autoSpaceDE w:val="0"/>
        <w:autoSpaceDN w:val="0"/>
        <w:adjustRightInd w:val="0"/>
        <w:jc w:val="both"/>
        <w:rPr>
          <w:bCs/>
        </w:rPr>
      </w:pPr>
    </w:p>
    <w:p w14:paraId="3177FD56" w14:textId="77777777" w:rsidR="007863CD" w:rsidRPr="009118AB" w:rsidRDefault="007863CD" w:rsidP="00ED73E6">
      <w:pPr>
        <w:autoSpaceDE w:val="0"/>
        <w:autoSpaceDN w:val="0"/>
        <w:adjustRightInd w:val="0"/>
        <w:ind w:firstLine="709"/>
        <w:jc w:val="both"/>
        <w:rPr>
          <w:bCs/>
        </w:rPr>
      </w:pPr>
      <w:r w:rsidRPr="009118AB">
        <w:rPr>
          <w:bCs/>
        </w:rPr>
        <w:t>Fahrzeuge, für die bei der Direktion für Fahrzeugzulassungen keine Angaben über die CO</w:t>
      </w:r>
      <w:r w:rsidRPr="009118AB">
        <w:rPr>
          <w:bCs/>
          <w:vertAlign w:val="subscript"/>
        </w:rPr>
        <w:t>2</w:t>
      </w:r>
      <w:r w:rsidRPr="009118AB">
        <w:rPr>
          <w:bCs/>
        </w:rPr>
        <w:t>-Emission verfügbar sind, werden, wenn sie mit einem Benzin-, LPG- oder Erdgasmotor angetrieben werden, Fahrzeugen mit einem CO</w:t>
      </w:r>
      <w:r w:rsidRPr="009118AB">
        <w:rPr>
          <w:bCs/>
          <w:vertAlign w:val="subscript"/>
        </w:rPr>
        <w:t>2</w:t>
      </w:r>
      <w:r w:rsidRPr="009118AB">
        <w:rPr>
          <w:bCs/>
        </w:rPr>
        <w:t>-Emissionsgehalt von 205 g/km gleichgesetzt und, wenn sie mit einem Dieselmotor angetrieben werden, Fahrzeugen mit einem CO</w:t>
      </w:r>
      <w:r w:rsidRPr="009118AB">
        <w:rPr>
          <w:bCs/>
          <w:vertAlign w:val="subscript"/>
        </w:rPr>
        <w:t>2</w:t>
      </w:r>
      <w:r w:rsidRPr="009118AB">
        <w:rPr>
          <w:bCs/>
        </w:rPr>
        <w:t>-Emissionsgehalt von 195 g/km gleichgesetzt.</w:t>
      </w:r>
    </w:p>
    <w:p w14:paraId="633E8722" w14:textId="77777777" w:rsidR="007863CD" w:rsidRPr="009118AB" w:rsidRDefault="007863CD" w:rsidP="007863CD">
      <w:pPr>
        <w:autoSpaceDE w:val="0"/>
        <w:autoSpaceDN w:val="0"/>
        <w:adjustRightInd w:val="0"/>
        <w:jc w:val="both"/>
        <w:rPr>
          <w:bCs/>
        </w:rPr>
      </w:pPr>
    </w:p>
    <w:p w14:paraId="70D31AB6" w14:textId="3307FD76" w:rsidR="007863CD" w:rsidRPr="009118AB" w:rsidRDefault="007863CD" w:rsidP="00ED73E6">
      <w:pPr>
        <w:autoSpaceDE w:val="0"/>
        <w:autoSpaceDN w:val="0"/>
        <w:adjustRightInd w:val="0"/>
        <w:ind w:firstLine="709"/>
        <w:jc w:val="both"/>
        <w:rPr>
          <w:bCs/>
        </w:rPr>
      </w:pPr>
      <w:r w:rsidRPr="009118AB">
        <w:rPr>
          <w:bCs/>
        </w:rPr>
        <w:t>[Ist ein ab dem 1. Januar 2018 gekauftes</w:t>
      </w:r>
      <w:r w:rsidR="00D13E50" w:rsidRPr="009118AB">
        <w:rPr>
          <w:bCs/>
        </w:rPr>
        <w:t>, geleastes oder gemietetes</w:t>
      </w:r>
      <w:r w:rsidRPr="009118AB">
        <w:rPr>
          <w:bCs/>
        </w:rPr>
        <w:t xml:space="preserve"> aufladbares Hybridfahrzeug mit einer elektrischen Batterie mit einer Energiekapazität von weniger als 0,5 kWh pro 100 kg Fahrzeuggewicht ausgestattet oder beträgt seine CO</w:t>
      </w:r>
      <w:r w:rsidRPr="009118AB">
        <w:rPr>
          <w:bCs/>
          <w:vertAlign w:val="subscript"/>
        </w:rPr>
        <w:t>2</w:t>
      </w:r>
      <w:r w:rsidRPr="009118AB">
        <w:rPr>
          <w:bCs/>
        </w:rPr>
        <w:t>-Emission mehr als 50 g/km, entspricht die zu berücksichtigende Emission des betreffenden Fahrzeugs der Emission des entsprechen</w:t>
      </w:r>
      <w:r w:rsidRPr="009118AB">
        <w:rPr>
          <w:bCs/>
        </w:rPr>
        <w:softHyphen/>
        <w:t>den Fahrzeugs mit einem Motor, der ausschließlich denselben Treibstoff verwendet. Gibt es kein entsprechendes Fahrzeug mit einem Motor, der ausschließlich denselben Treibstoff verwendet, wird der Emissionswert mit 2,5 multipliziert.</w:t>
      </w:r>
      <w:r w:rsidR="00FC15F7" w:rsidRPr="009118AB">
        <w:rPr>
          <w:bCs/>
        </w:rPr>
        <w:t xml:space="preserve">] </w:t>
      </w:r>
      <w:r w:rsidR="008B6D76" w:rsidRPr="009118AB">
        <w:rPr>
          <w:bCs/>
        </w:rPr>
        <w:t>[</w:t>
      </w:r>
      <w:r w:rsidR="008B6D76" w:rsidRPr="009118AB">
        <w:t>Für die Berechnung der Energiekapazität wird das erhaltene Ergebnis auf das höhere oder niedrigere Zehntel abgerundet, je nachdem ob die Ziffer der Hundertstel 5 erreicht oder nicht.]</w:t>
      </w:r>
    </w:p>
    <w:p w14:paraId="6DB49F84" w14:textId="77777777" w:rsidR="007863CD" w:rsidRPr="009118AB" w:rsidRDefault="007863CD" w:rsidP="007863CD">
      <w:pPr>
        <w:autoSpaceDE w:val="0"/>
        <w:autoSpaceDN w:val="0"/>
        <w:adjustRightInd w:val="0"/>
        <w:jc w:val="both"/>
        <w:rPr>
          <w:bCs/>
        </w:rPr>
      </w:pPr>
    </w:p>
    <w:p w14:paraId="45587E45" w14:textId="3D356DC6" w:rsidR="007863CD" w:rsidRPr="009118AB" w:rsidRDefault="008B6D76" w:rsidP="00ED73E6">
      <w:pPr>
        <w:autoSpaceDE w:val="0"/>
        <w:autoSpaceDN w:val="0"/>
        <w:adjustRightInd w:val="0"/>
        <w:ind w:firstLine="709"/>
        <w:jc w:val="both"/>
        <w:rPr>
          <w:bCs/>
        </w:rPr>
      </w:pPr>
      <w:r w:rsidRPr="009118AB">
        <w:rPr>
          <w:bCs/>
        </w:rPr>
        <w:t>[</w:t>
      </w:r>
      <w:r w:rsidR="007863CD" w:rsidRPr="009118AB">
        <w:rPr>
          <w:bCs/>
        </w:rPr>
        <w:t>Unter aufladbarem Hybridfahrzeug versteht man ein Fahrzeug wie in Artikel 65 erwähnt, das sowohl mit einem Kraftstoffmotor als auch mit einer elektrischen Batterie ausgestattet ist, die mittels Anschluss an eine externe Energiequelle außerhalb des Fahrzeugs aufgeladen werden kann.</w:t>
      </w:r>
    </w:p>
    <w:p w14:paraId="6EF0E585" w14:textId="77777777" w:rsidR="007863CD" w:rsidRPr="009118AB" w:rsidRDefault="007863CD" w:rsidP="007863CD">
      <w:pPr>
        <w:autoSpaceDE w:val="0"/>
        <w:autoSpaceDN w:val="0"/>
        <w:adjustRightInd w:val="0"/>
        <w:jc w:val="both"/>
        <w:rPr>
          <w:bCs/>
        </w:rPr>
      </w:pPr>
    </w:p>
    <w:p w14:paraId="2AA211F5" w14:textId="77777777" w:rsidR="007863CD" w:rsidRPr="009118AB" w:rsidRDefault="007863CD" w:rsidP="00ED73E6">
      <w:pPr>
        <w:autoSpaceDE w:val="0"/>
        <w:autoSpaceDN w:val="0"/>
        <w:adjustRightInd w:val="0"/>
        <w:ind w:firstLine="709"/>
        <w:jc w:val="both"/>
        <w:rPr>
          <w:bCs/>
        </w:rPr>
      </w:pPr>
      <w:r w:rsidRPr="009118AB">
        <w:rPr>
          <w:bCs/>
        </w:rPr>
        <w:t>Der König kann bestimmen, was unter entsprechendem Fahrzeug zu verstehen ist. Der König kann durch einen im Ministerrat beratenen Erlass die in Absatz 9 erwähnte Mindestenergiekapazität auf höchstens 2,1 kWh pro 100 kg Fahrzeuggewicht erhöhen.]</w:t>
      </w:r>
    </w:p>
    <w:p w14:paraId="2697BA8C" w14:textId="77777777" w:rsidR="007863CD" w:rsidRPr="009118AB" w:rsidRDefault="007863CD" w:rsidP="007863CD">
      <w:pPr>
        <w:autoSpaceDE w:val="0"/>
        <w:autoSpaceDN w:val="0"/>
        <w:adjustRightInd w:val="0"/>
        <w:jc w:val="both"/>
        <w:rPr>
          <w:bCs/>
        </w:rPr>
      </w:pPr>
    </w:p>
    <w:p w14:paraId="25DC5ED5" w14:textId="77777777" w:rsidR="007863CD" w:rsidRPr="009118AB" w:rsidRDefault="007863CD" w:rsidP="00ED73E6">
      <w:pPr>
        <w:autoSpaceDE w:val="0"/>
        <w:autoSpaceDN w:val="0"/>
        <w:adjustRightInd w:val="0"/>
        <w:ind w:firstLine="709"/>
        <w:jc w:val="both"/>
        <w:rPr>
          <w:bCs/>
        </w:rPr>
      </w:pPr>
      <w:r w:rsidRPr="009118AB">
        <w:rPr>
          <w:bCs/>
        </w:rPr>
        <w:t>Der Vorteil darf nie weniger als 820 EUR pro Jahr betragen.</w:t>
      </w:r>
    </w:p>
    <w:p w14:paraId="122EE048" w14:textId="77777777" w:rsidR="007863CD" w:rsidRPr="009118AB" w:rsidRDefault="007863CD" w:rsidP="007863CD">
      <w:pPr>
        <w:autoSpaceDE w:val="0"/>
        <w:autoSpaceDN w:val="0"/>
        <w:adjustRightInd w:val="0"/>
        <w:jc w:val="both"/>
        <w:rPr>
          <w:bCs/>
        </w:rPr>
      </w:pPr>
    </w:p>
    <w:p w14:paraId="2B5EE7E6" w14:textId="77777777" w:rsidR="007863CD" w:rsidRPr="009118AB" w:rsidRDefault="007863CD" w:rsidP="00ED73E6">
      <w:pPr>
        <w:autoSpaceDE w:val="0"/>
        <w:autoSpaceDN w:val="0"/>
        <w:adjustRightInd w:val="0"/>
        <w:ind w:firstLine="709"/>
        <w:jc w:val="both"/>
        <w:rPr>
          <w:bCs/>
        </w:rPr>
      </w:pPr>
      <w:r w:rsidRPr="009118AB">
        <w:rPr>
          <w:bCs/>
        </w:rPr>
        <w:t>Wird der Vorteil nicht kostenlos bewilligt, ist der zu berücksichtigende Vorteil der gemäß den vorhergehenden Absätzen bestimmte Vorteil, verringert um die Beteiligung des Empfängers dieses Vorteils.]</w:t>
      </w:r>
    </w:p>
    <w:p w14:paraId="72F32FCE" w14:textId="77777777" w:rsidR="007863CD" w:rsidRPr="009118AB" w:rsidRDefault="007863CD" w:rsidP="007863CD">
      <w:pPr>
        <w:autoSpaceDE w:val="0"/>
        <w:autoSpaceDN w:val="0"/>
        <w:adjustRightInd w:val="0"/>
        <w:jc w:val="both"/>
        <w:rPr>
          <w:bCs/>
        </w:rPr>
      </w:pPr>
    </w:p>
    <w:p w14:paraId="767DD616" w14:textId="5054FD2D" w:rsidR="007863CD" w:rsidRPr="009118AB" w:rsidRDefault="007863CD" w:rsidP="007863CD">
      <w:pPr>
        <w:autoSpaceDE w:val="0"/>
        <w:autoSpaceDN w:val="0"/>
        <w:adjustRightInd w:val="0"/>
        <w:jc w:val="both"/>
        <w:rPr>
          <w:bCs/>
        </w:rPr>
      </w:pPr>
      <w:r w:rsidRPr="009118AB">
        <w:rPr>
          <w:bCs/>
          <w:i/>
        </w:rPr>
        <w:t>[</w:t>
      </w:r>
      <w:r w:rsidR="00D67EB8" w:rsidRPr="009118AB">
        <w:rPr>
          <w:bCs/>
          <w:i/>
        </w:rPr>
        <w:t>Art. </w:t>
      </w:r>
      <w:r w:rsidRPr="009118AB">
        <w:rPr>
          <w:bCs/>
          <w:i/>
        </w:rPr>
        <w:t xml:space="preserve">36 ersetzt durch </w:t>
      </w:r>
      <w:r w:rsidR="00D67EB8" w:rsidRPr="009118AB">
        <w:rPr>
          <w:bCs/>
          <w:i/>
        </w:rPr>
        <w:t>Art. </w:t>
      </w:r>
      <w:r w:rsidRPr="009118AB">
        <w:rPr>
          <w:bCs/>
          <w:i/>
        </w:rPr>
        <w:t>39</w:t>
      </w:r>
      <w:r w:rsidRPr="009118AB">
        <w:rPr>
          <w:i/>
        </w:rPr>
        <w:t xml:space="preserve"> </w:t>
      </w:r>
      <w:r w:rsidRPr="009118AB">
        <w:rPr>
          <w:bCs/>
          <w:i/>
        </w:rPr>
        <w:t>des G. vom 28. Dezember 2011 (B.S. vom 30. Dezember 2011)</w:t>
      </w:r>
      <w:r w:rsidR="00D67EB8" w:rsidRPr="009118AB">
        <w:rPr>
          <w:bCs/>
          <w:i/>
        </w:rPr>
        <w:t> - </w:t>
      </w:r>
      <w:r w:rsidRPr="009118AB">
        <w:rPr>
          <w:bCs/>
          <w:i/>
        </w:rPr>
        <w:t>anwendbar auf die ab dem 1. Januar 2012 zuerkannten Vorteile jeglicher Art</w:t>
      </w:r>
      <w:r w:rsidR="003366D9" w:rsidRPr="009118AB">
        <w:rPr>
          <w:bCs/>
          <w:i/>
        </w:rPr>
        <w:t> -;</w:t>
      </w:r>
      <w:r w:rsidRPr="009118AB">
        <w:rPr>
          <w:bCs/>
          <w:i/>
        </w:rPr>
        <w:t xml:space="preserve"> </w:t>
      </w:r>
      <w:r w:rsidR="00D67EB8" w:rsidRPr="009118AB">
        <w:rPr>
          <w:bCs/>
          <w:i/>
        </w:rPr>
        <w:t>§ </w:t>
      </w:r>
      <w:r w:rsidRPr="009118AB">
        <w:rPr>
          <w:bCs/>
          <w:i/>
        </w:rPr>
        <w:t xml:space="preserve">2 </w:t>
      </w:r>
      <w:r w:rsidR="00D67EB8" w:rsidRPr="009118AB">
        <w:rPr>
          <w:bCs/>
          <w:i/>
        </w:rPr>
        <w:t>Abs. </w:t>
      </w:r>
      <w:r w:rsidRPr="009118AB">
        <w:rPr>
          <w:bCs/>
          <w:i/>
        </w:rPr>
        <w:t xml:space="preserve">2 ersetzt durch </w:t>
      </w:r>
      <w:r w:rsidR="00D67EB8" w:rsidRPr="009118AB">
        <w:rPr>
          <w:bCs/>
          <w:i/>
        </w:rPr>
        <w:t>Art. </w:t>
      </w:r>
      <w:r w:rsidRPr="009118AB">
        <w:rPr>
          <w:bCs/>
          <w:i/>
        </w:rPr>
        <w:t xml:space="preserve">143 </w:t>
      </w:r>
      <w:r w:rsidR="00D67EB8" w:rsidRPr="009118AB">
        <w:rPr>
          <w:bCs/>
          <w:i/>
        </w:rPr>
        <w:t>Nr. </w:t>
      </w:r>
      <w:r w:rsidRPr="009118AB">
        <w:rPr>
          <w:bCs/>
          <w:i/>
        </w:rPr>
        <w:t>1</w:t>
      </w:r>
      <w:r w:rsidRPr="009118AB">
        <w:rPr>
          <w:i/>
        </w:rPr>
        <w:t xml:space="preserve"> des G. (I) vom 29. März 2012 (B.S. vom 6. April 2012)</w:t>
      </w:r>
      <w:r w:rsidR="00D67EB8" w:rsidRPr="009118AB">
        <w:rPr>
          <w:i/>
        </w:rPr>
        <w:t> - </w:t>
      </w:r>
      <w:r w:rsidRPr="009118AB">
        <w:rPr>
          <w:i/>
        </w:rPr>
        <w:t>in Kraft ab dem Steuerjahr 2013, wobei Artikel 143 in Bezug auf den Berufssteuervorabzug nur auf die ab dem 1. Mai 2012 zuerkannten Vorteile jeglicher Art anwendbar ist</w:t>
      </w:r>
      <w:r w:rsidR="003366D9" w:rsidRPr="009118AB">
        <w:rPr>
          <w:i/>
        </w:rPr>
        <w:t> -;</w:t>
      </w:r>
      <w:r w:rsidRPr="009118AB">
        <w:rPr>
          <w:i/>
        </w:rPr>
        <w:t xml:space="preserve"> </w:t>
      </w:r>
      <w:r w:rsidR="00D67EB8" w:rsidRPr="009118AB">
        <w:rPr>
          <w:i/>
        </w:rPr>
        <w:t>§ </w:t>
      </w:r>
      <w:r w:rsidRPr="009118AB">
        <w:rPr>
          <w:i/>
        </w:rPr>
        <w:t xml:space="preserve">2 neuer Absatz 3 eingefügt durch </w:t>
      </w:r>
      <w:r w:rsidR="00D67EB8" w:rsidRPr="009118AB">
        <w:rPr>
          <w:i/>
        </w:rPr>
        <w:t>Art. </w:t>
      </w:r>
      <w:r w:rsidRPr="009118AB">
        <w:rPr>
          <w:i/>
        </w:rPr>
        <w:t xml:space="preserve">143 </w:t>
      </w:r>
      <w:r w:rsidR="00D67EB8" w:rsidRPr="009118AB">
        <w:rPr>
          <w:i/>
        </w:rPr>
        <w:t>Nr. </w:t>
      </w:r>
      <w:r w:rsidRPr="009118AB">
        <w:rPr>
          <w:i/>
        </w:rPr>
        <w:t>2 des G.</w:t>
      </w:r>
      <w:r w:rsidR="00ED73E6" w:rsidRPr="009118AB">
        <w:rPr>
          <w:i/>
        </w:rPr>
        <w:t> </w:t>
      </w:r>
      <w:r w:rsidRPr="009118AB">
        <w:rPr>
          <w:i/>
        </w:rPr>
        <w:t>(I) vom 29. März 2012 (B.S. vom 6. April 2012)</w:t>
      </w:r>
      <w:r w:rsidR="00D67EB8" w:rsidRPr="009118AB">
        <w:rPr>
          <w:i/>
        </w:rPr>
        <w:t> - </w:t>
      </w:r>
      <w:r w:rsidRPr="009118AB">
        <w:rPr>
          <w:i/>
        </w:rPr>
        <w:t>in Kraft ab dem Steuerjahr 2013, wobei Artikel 143 in Bezug auf den Berufssteuervorabzug nur auf die ab dem 1. Mai 2012 zuerkannten Vorteile jeglicher Art anwendbar ist</w:t>
      </w:r>
      <w:r w:rsidR="003366D9" w:rsidRPr="009118AB">
        <w:rPr>
          <w:i/>
        </w:rPr>
        <w:t> -;</w:t>
      </w:r>
      <w:r w:rsidRPr="009118AB">
        <w:rPr>
          <w:i/>
        </w:rPr>
        <w:t xml:space="preserve"> </w:t>
      </w:r>
      <w:r w:rsidR="00D67EB8" w:rsidRPr="009118AB">
        <w:rPr>
          <w:i/>
        </w:rPr>
        <w:t>§ </w:t>
      </w:r>
      <w:r w:rsidRPr="009118AB">
        <w:rPr>
          <w:i/>
        </w:rPr>
        <w:t xml:space="preserve">2 </w:t>
      </w:r>
      <w:r w:rsidR="00D67EB8" w:rsidRPr="009118AB">
        <w:rPr>
          <w:i/>
        </w:rPr>
        <w:t>Abs. </w:t>
      </w:r>
      <w:r w:rsidRPr="009118AB">
        <w:rPr>
          <w:i/>
        </w:rPr>
        <w:t xml:space="preserve">5 ersetzt durch </w:t>
      </w:r>
      <w:r w:rsidR="00D67EB8" w:rsidRPr="009118AB">
        <w:rPr>
          <w:i/>
        </w:rPr>
        <w:t>Art. </w:t>
      </w:r>
      <w:r w:rsidR="005427D5" w:rsidRPr="009118AB">
        <w:rPr>
          <w:i/>
        </w:rPr>
        <w:t>2 des G. vom 8. Dezember 2020 (B.S. vom 23. April 2021, Err. vom 28. April 2021)</w:t>
      </w:r>
      <w:r w:rsidR="00D67EB8" w:rsidRPr="009118AB">
        <w:rPr>
          <w:i/>
        </w:rPr>
        <w:t> - </w:t>
      </w:r>
      <w:r w:rsidR="005427D5" w:rsidRPr="009118AB">
        <w:rPr>
          <w:i/>
        </w:rPr>
        <w:t xml:space="preserve">in Kraft ab dem </w:t>
      </w:r>
      <w:r w:rsidR="000808AF" w:rsidRPr="009118AB">
        <w:rPr>
          <w:i/>
        </w:rPr>
        <w:t>Einkommensjahr, das frühestens am 1. Januar 2021 beginnt</w:t>
      </w:r>
      <w:r w:rsidR="003366D9" w:rsidRPr="009118AB">
        <w:rPr>
          <w:i/>
        </w:rPr>
        <w:t> -;</w:t>
      </w:r>
      <w:r w:rsidRPr="009118AB">
        <w:rPr>
          <w:i/>
          <w:iCs/>
        </w:rPr>
        <w:t xml:space="preserve"> </w:t>
      </w:r>
      <w:r w:rsidR="00D67EB8" w:rsidRPr="009118AB">
        <w:rPr>
          <w:i/>
          <w:iCs/>
        </w:rPr>
        <w:t>§ </w:t>
      </w:r>
      <w:r w:rsidR="008B6D76" w:rsidRPr="009118AB">
        <w:rPr>
          <w:i/>
          <w:iCs/>
        </w:rPr>
        <w:t xml:space="preserve">2 neuer Absatz 9 eingefügt durch </w:t>
      </w:r>
      <w:r w:rsidR="00D67EB8" w:rsidRPr="009118AB">
        <w:rPr>
          <w:i/>
          <w:iCs/>
        </w:rPr>
        <w:t>Art. </w:t>
      </w:r>
      <w:r w:rsidR="008B6D76" w:rsidRPr="009118AB">
        <w:rPr>
          <w:i/>
          <w:iCs/>
        </w:rPr>
        <w:t>7 des G. vom 25. Dezember 2017 (III) (B.S. vom 29. Dezember 2017)</w:t>
      </w:r>
      <w:r w:rsidR="00D67EB8" w:rsidRPr="009118AB">
        <w:rPr>
          <w:i/>
          <w:iCs/>
        </w:rPr>
        <w:t> - </w:t>
      </w:r>
      <w:r w:rsidR="008B6D76" w:rsidRPr="009118AB">
        <w:rPr>
          <w:i/>
          <w:iCs/>
        </w:rPr>
        <w:t>in Kraft am 1. Januar 2020 und anwendbar ab dem Steuerjahr 2021, das sich auf einen Besteuerungszeitraum bezieht, der frühestens am 1. Januar 2020 beginnt</w:t>
      </w:r>
      <w:r w:rsidR="00FD68E8" w:rsidRPr="009118AB">
        <w:rPr>
          <w:i/>
          <w:iCs/>
        </w:rPr>
        <w:t> -,</w:t>
      </w:r>
      <w:r w:rsidR="008B6D76" w:rsidRPr="009118AB">
        <w:rPr>
          <w:i/>
          <w:iCs/>
        </w:rPr>
        <w:t xml:space="preserve"> selbst abgeändert durch </w:t>
      </w:r>
      <w:r w:rsidR="00D67EB8" w:rsidRPr="009118AB">
        <w:rPr>
          <w:i/>
          <w:iCs/>
        </w:rPr>
        <w:t>Art. </w:t>
      </w:r>
      <w:r w:rsidR="008B6D76" w:rsidRPr="009118AB">
        <w:rPr>
          <w:i/>
          <w:iCs/>
        </w:rPr>
        <w:t xml:space="preserve">42 </w:t>
      </w:r>
      <w:r w:rsidR="008B6D76" w:rsidRPr="009118AB">
        <w:rPr>
          <w:i/>
        </w:rPr>
        <w:t xml:space="preserve">des G. vom 2. Mai 2019 (B.S. vom 15. Mai 2019) und abgeändert durch </w:t>
      </w:r>
      <w:r w:rsidR="00D67EB8" w:rsidRPr="009118AB">
        <w:rPr>
          <w:i/>
        </w:rPr>
        <w:t>Art. </w:t>
      </w:r>
      <w:r w:rsidR="008B6D76" w:rsidRPr="009118AB">
        <w:rPr>
          <w:i/>
        </w:rPr>
        <w:t xml:space="preserve">24 des G. vom 27. Juni 2021 </w:t>
      </w:r>
      <w:r w:rsidR="008B6D76" w:rsidRPr="009118AB">
        <w:rPr>
          <w:i/>
        </w:rPr>
        <w:lastRenderedPageBreak/>
        <w:t>(B.S. vom 30. Juni 2021)</w:t>
      </w:r>
      <w:r w:rsidR="00D67EB8" w:rsidRPr="009118AB">
        <w:rPr>
          <w:i/>
        </w:rPr>
        <w:t> - </w:t>
      </w:r>
      <w:r w:rsidR="008B6D76" w:rsidRPr="009118AB">
        <w:rPr>
          <w:i/>
        </w:rPr>
        <w:t>wirksam mit 1. Januar 2020 und</w:t>
      </w:r>
      <w:r w:rsidR="000C0C82" w:rsidRPr="009118AB">
        <w:rPr>
          <w:i/>
        </w:rPr>
        <w:t xml:space="preserve"> anwendbar</w:t>
      </w:r>
      <w:r w:rsidR="008B6D76" w:rsidRPr="009118AB">
        <w:rPr>
          <w:i/>
        </w:rPr>
        <w:t xml:space="preserve"> ab dem Steuerjahr 2021</w:t>
      </w:r>
      <w:r w:rsidR="003366D9" w:rsidRPr="009118AB">
        <w:rPr>
          <w:i/>
        </w:rPr>
        <w:t> -;</w:t>
      </w:r>
      <w:r w:rsidR="008B6D76" w:rsidRPr="009118AB">
        <w:rPr>
          <w:i/>
        </w:rPr>
        <w:t xml:space="preserve"> </w:t>
      </w:r>
      <w:r w:rsidR="00D67EB8" w:rsidRPr="009118AB">
        <w:rPr>
          <w:i/>
          <w:iCs/>
        </w:rPr>
        <w:t>§ </w:t>
      </w:r>
      <w:r w:rsidRPr="009118AB">
        <w:rPr>
          <w:i/>
          <w:iCs/>
        </w:rPr>
        <w:t>2 neue Absätze</w:t>
      </w:r>
      <w:r w:rsidR="00ED73E6" w:rsidRPr="009118AB">
        <w:rPr>
          <w:i/>
          <w:iCs/>
        </w:rPr>
        <w:t> </w:t>
      </w:r>
      <w:r w:rsidR="008B6D76" w:rsidRPr="009118AB">
        <w:rPr>
          <w:i/>
          <w:iCs/>
        </w:rPr>
        <w:t>10 und</w:t>
      </w:r>
      <w:r w:rsidRPr="009118AB">
        <w:rPr>
          <w:i/>
          <w:iCs/>
        </w:rPr>
        <w:t xml:space="preserve"> 11 eingefügt durch </w:t>
      </w:r>
      <w:r w:rsidR="00D67EB8" w:rsidRPr="009118AB">
        <w:rPr>
          <w:i/>
          <w:iCs/>
        </w:rPr>
        <w:t>Art. </w:t>
      </w:r>
      <w:r w:rsidRPr="009118AB">
        <w:rPr>
          <w:i/>
          <w:iCs/>
        </w:rPr>
        <w:t>7 des G. vom 25. Dezember</w:t>
      </w:r>
      <w:r w:rsidR="00ED73E6" w:rsidRPr="009118AB">
        <w:rPr>
          <w:i/>
          <w:iCs/>
        </w:rPr>
        <w:t> </w:t>
      </w:r>
      <w:r w:rsidRPr="009118AB">
        <w:rPr>
          <w:i/>
          <w:iCs/>
        </w:rPr>
        <w:t>2017</w:t>
      </w:r>
      <w:r w:rsidR="00ED73E6" w:rsidRPr="009118AB">
        <w:rPr>
          <w:i/>
          <w:iCs/>
        </w:rPr>
        <w:t> </w:t>
      </w:r>
      <w:r w:rsidRPr="009118AB">
        <w:rPr>
          <w:i/>
          <w:iCs/>
        </w:rPr>
        <w:t>(III) (B.S. vom 29.</w:t>
      </w:r>
      <w:r w:rsidR="00ED73E6" w:rsidRPr="009118AB">
        <w:rPr>
          <w:i/>
          <w:iCs/>
        </w:rPr>
        <w:t> </w:t>
      </w:r>
      <w:r w:rsidRPr="009118AB">
        <w:rPr>
          <w:i/>
          <w:iCs/>
        </w:rPr>
        <w:t>Dezember</w:t>
      </w:r>
      <w:r w:rsidR="00ED73E6" w:rsidRPr="009118AB">
        <w:rPr>
          <w:i/>
          <w:iCs/>
        </w:rPr>
        <w:t> </w:t>
      </w:r>
      <w:r w:rsidRPr="009118AB">
        <w:rPr>
          <w:i/>
          <w:iCs/>
        </w:rPr>
        <w:t>2017)</w:t>
      </w:r>
      <w:r w:rsidR="00D67EB8" w:rsidRPr="009118AB">
        <w:rPr>
          <w:i/>
          <w:iCs/>
        </w:rPr>
        <w:t> - </w:t>
      </w:r>
      <w:r w:rsidRPr="009118AB">
        <w:rPr>
          <w:i/>
          <w:iCs/>
        </w:rPr>
        <w:t>in Kraft am 1.</w:t>
      </w:r>
      <w:r w:rsidR="00ED73E6" w:rsidRPr="009118AB">
        <w:rPr>
          <w:i/>
          <w:iCs/>
        </w:rPr>
        <w:t> </w:t>
      </w:r>
      <w:r w:rsidRPr="009118AB">
        <w:rPr>
          <w:i/>
          <w:iCs/>
        </w:rPr>
        <w:t>Januar</w:t>
      </w:r>
      <w:r w:rsidR="00ED73E6" w:rsidRPr="009118AB">
        <w:rPr>
          <w:i/>
          <w:iCs/>
        </w:rPr>
        <w:t> </w:t>
      </w:r>
      <w:r w:rsidRPr="009118AB">
        <w:rPr>
          <w:i/>
          <w:iCs/>
        </w:rPr>
        <w:t>2020 und anwendbar ab dem Steuerjahr</w:t>
      </w:r>
      <w:r w:rsidR="00ED73E6" w:rsidRPr="009118AB">
        <w:rPr>
          <w:i/>
          <w:iCs/>
        </w:rPr>
        <w:t> </w:t>
      </w:r>
      <w:r w:rsidRPr="009118AB">
        <w:rPr>
          <w:i/>
          <w:iCs/>
        </w:rPr>
        <w:t>2021, das sich auf einen Besteuerungszeitraum bezieht, der frühestens am 1.</w:t>
      </w:r>
      <w:r w:rsidR="00ED73E6" w:rsidRPr="009118AB">
        <w:rPr>
          <w:i/>
          <w:iCs/>
        </w:rPr>
        <w:t> </w:t>
      </w:r>
      <w:r w:rsidRPr="009118AB">
        <w:rPr>
          <w:i/>
          <w:iCs/>
        </w:rPr>
        <w:t>Januar</w:t>
      </w:r>
      <w:r w:rsidR="00ED73E6" w:rsidRPr="009118AB">
        <w:rPr>
          <w:i/>
          <w:iCs/>
        </w:rPr>
        <w:t> </w:t>
      </w:r>
      <w:r w:rsidRPr="009118AB">
        <w:rPr>
          <w:i/>
          <w:iCs/>
        </w:rPr>
        <w:t>2020 beginnt</w:t>
      </w:r>
      <w:r w:rsidR="00FD68E8" w:rsidRPr="009118AB">
        <w:rPr>
          <w:i/>
          <w:iCs/>
        </w:rPr>
        <w:t> -,</w:t>
      </w:r>
      <w:r w:rsidR="00D13E50" w:rsidRPr="009118AB">
        <w:rPr>
          <w:i/>
          <w:iCs/>
        </w:rPr>
        <w:t xml:space="preserve"> selbst abgeändert durch </w:t>
      </w:r>
      <w:r w:rsidR="00D67EB8" w:rsidRPr="009118AB">
        <w:rPr>
          <w:i/>
          <w:iCs/>
        </w:rPr>
        <w:t>Art. </w:t>
      </w:r>
      <w:r w:rsidR="00D13E50" w:rsidRPr="009118AB">
        <w:rPr>
          <w:i/>
          <w:iCs/>
        </w:rPr>
        <w:t xml:space="preserve">42 </w:t>
      </w:r>
      <w:r w:rsidR="00D13E50" w:rsidRPr="009118AB">
        <w:rPr>
          <w:i/>
        </w:rPr>
        <w:t>des G. vom 2. Mai 2019 (B.S. vom 15. Mai 2019)</w:t>
      </w:r>
      <w:r w:rsidRPr="009118AB">
        <w:rPr>
          <w:bCs/>
          <w:i/>
        </w:rPr>
        <w:t>]</w:t>
      </w:r>
    </w:p>
    <w:p w14:paraId="548B0BB1" w14:textId="77777777" w:rsidR="007863CD" w:rsidRPr="009118AB" w:rsidRDefault="007863CD" w:rsidP="007863CD">
      <w:pPr>
        <w:autoSpaceDE w:val="0"/>
        <w:autoSpaceDN w:val="0"/>
        <w:adjustRightInd w:val="0"/>
        <w:jc w:val="both"/>
      </w:pPr>
    </w:p>
    <w:p w14:paraId="754C6F52" w14:textId="77777777" w:rsidR="001E243B" w:rsidRPr="009118AB" w:rsidRDefault="001E243B" w:rsidP="0033238A">
      <w:pPr>
        <w:autoSpaceDE w:val="0"/>
        <w:autoSpaceDN w:val="0"/>
        <w:adjustRightInd w:val="0"/>
        <w:jc w:val="both"/>
      </w:pPr>
    </w:p>
    <w:p w14:paraId="10579DD2" w14:textId="77777777" w:rsidR="00477B8F" w:rsidRPr="009118AB" w:rsidRDefault="00D774FF" w:rsidP="0033238A">
      <w:pPr>
        <w:autoSpaceDE w:val="0"/>
        <w:autoSpaceDN w:val="0"/>
        <w:adjustRightInd w:val="0"/>
        <w:jc w:val="both"/>
      </w:pPr>
      <w:r w:rsidRPr="009118AB">
        <w:br w:type="page"/>
      </w:r>
      <w:r w:rsidR="00477B8F" w:rsidRPr="009118AB">
        <w:lastRenderedPageBreak/>
        <w:tab/>
      </w:r>
      <w:r w:rsidR="00477B8F" w:rsidRPr="009118AB">
        <w:rPr>
          <w:i/>
          <w:iCs/>
        </w:rPr>
        <w:t>I.</w:t>
      </w:r>
      <w:r w:rsidR="00477B8F" w:rsidRPr="009118AB">
        <w:t xml:space="preserve"> Berufsbezogene Einkünfte aus unbeweglichen und beweglichen Gütern </w:t>
      </w:r>
    </w:p>
    <w:p w14:paraId="0C4E2CAD" w14:textId="77777777" w:rsidR="00477B8F" w:rsidRPr="009118AB" w:rsidRDefault="00477B8F" w:rsidP="00477B8F">
      <w:pPr>
        <w:autoSpaceDE w:val="0"/>
        <w:autoSpaceDN w:val="0"/>
        <w:adjustRightInd w:val="0"/>
        <w:jc w:val="both"/>
      </w:pPr>
    </w:p>
    <w:p w14:paraId="2E14A2D8" w14:textId="77777777" w:rsidR="00477B8F" w:rsidRPr="009118AB" w:rsidRDefault="00477B8F" w:rsidP="00477B8F">
      <w:pPr>
        <w:autoSpaceDE w:val="0"/>
        <w:autoSpaceDN w:val="0"/>
        <w:adjustRightInd w:val="0"/>
        <w:jc w:val="both"/>
      </w:pPr>
    </w:p>
    <w:p w14:paraId="68B80292" w14:textId="1984FAB2" w:rsidR="003011A8" w:rsidRPr="009118AB" w:rsidRDefault="00477B8F" w:rsidP="003011A8">
      <w:pPr>
        <w:autoSpaceDE w:val="0"/>
        <w:autoSpaceDN w:val="0"/>
        <w:adjustRightInd w:val="0"/>
        <w:jc w:val="both"/>
        <w:rPr>
          <w:bCs/>
        </w:rPr>
      </w:pPr>
      <w:r w:rsidRPr="009118AB">
        <w:tab/>
      </w:r>
      <w:r w:rsidR="00D67EB8" w:rsidRPr="009118AB">
        <w:rPr>
          <w:b/>
          <w:bCs/>
        </w:rPr>
        <w:t>Art. </w:t>
      </w:r>
      <w:r w:rsidRPr="009118AB">
        <w:rPr>
          <w:b/>
          <w:bCs/>
        </w:rPr>
        <w:t>37</w:t>
      </w:r>
      <w:r w:rsidR="00D67EB8" w:rsidRPr="009118AB">
        <w:t> - </w:t>
      </w:r>
      <w:r w:rsidR="003011A8" w:rsidRPr="009118AB">
        <w:rPr>
          <w:bCs/>
        </w:rPr>
        <w:t xml:space="preserve">Unbeschadet der Anwendung der Steuervorabzüge gelten Einkünfte aus unbeweglichen Gütern und aus Kapitalvermögen und beweglichen Gütern als Berufseinkünfte, wenn diese Güter und Kapitalvermögen zur Ausübung der Berufstätigkeit des Empfängers vorerwähnter Einkünfte genutzt werden. </w:t>
      </w:r>
    </w:p>
    <w:p w14:paraId="76478D87" w14:textId="77777777" w:rsidR="003011A8" w:rsidRPr="009118AB" w:rsidRDefault="003011A8" w:rsidP="003011A8">
      <w:pPr>
        <w:autoSpaceDE w:val="0"/>
        <w:autoSpaceDN w:val="0"/>
        <w:adjustRightInd w:val="0"/>
        <w:jc w:val="both"/>
        <w:rPr>
          <w:bCs/>
        </w:rPr>
      </w:pPr>
    </w:p>
    <w:p w14:paraId="284B57EF" w14:textId="77777777" w:rsidR="00AB7300" w:rsidRPr="009118AB" w:rsidRDefault="003011A8" w:rsidP="00AB7300">
      <w:pPr>
        <w:ind w:firstLine="708"/>
        <w:jc w:val="both"/>
      </w:pPr>
      <w:r w:rsidRPr="009118AB">
        <w:rPr>
          <w:bCs/>
        </w:rPr>
        <w:tab/>
        <w:t>[</w:t>
      </w:r>
      <w:r w:rsidR="00AB7300" w:rsidRPr="009118AB">
        <w:t>In Abweichung davon behalten in Artikel 17 § 1 Nr. 5 erwähnte Einkünfte die Eigenschaft von Einkünften aus beweglichen Gütern, außer wenn und in dem Maße, wie:</w:t>
      </w:r>
    </w:p>
    <w:p w14:paraId="6D793B19" w14:textId="77777777" w:rsidR="00AB7300" w:rsidRPr="009118AB" w:rsidRDefault="00AB7300" w:rsidP="00AB7300">
      <w:pPr>
        <w:jc w:val="both"/>
      </w:pPr>
    </w:p>
    <w:p w14:paraId="5EDD0EAA" w14:textId="77777777" w:rsidR="00AB7300" w:rsidRPr="009118AB" w:rsidRDefault="00AB7300" w:rsidP="00AB7300">
      <w:pPr>
        <w:ind w:firstLine="708"/>
        <w:jc w:val="both"/>
      </w:pPr>
      <w:r w:rsidRPr="009118AB">
        <w:t>- das Verhältnis zwischen den Gesamtvergütungen für die Abtretungen der oder die Vergaben von Lizenzen für Urheberrechte und verwandte Schutzrechte und den Gesamtvergütungen, die auch die Vergütungen für die erbrachten Leistungen umfassen, 30 Prozent übersteigt,</w:t>
      </w:r>
    </w:p>
    <w:p w14:paraId="61886ED7" w14:textId="77777777" w:rsidR="00AB7300" w:rsidRPr="009118AB" w:rsidRDefault="00AB7300" w:rsidP="00AB7300">
      <w:pPr>
        <w:jc w:val="both"/>
      </w:pPr>
    </w:p>
    <w:p w14:paraId="4A111B33" w14:textId="77777777" w:rsidR="00AB7300" w:rsidRPr="009118AB" w:rsidRDefault="00AB7300" w:rsidP="00AB7300">
      <w:pPr>
        <w:ind w:firstLine="708"/>
        <w:jc w:val="both"/>
      </w:pPr>
      <w:r w:rsidRPr="009118AB">
        <w:t>- sie 37.500 EUR übersteigen,</w:t>
      </w:r>
    </w:p>
    <w:p w14:paraId="0D4D5F5A" w14:textId="77777777" w:rsidR="00AB7300" w:rsidRPr="009118AB" w:rsidRDefault="00AB7300" w:rsidP="00AB7300">
      <w:pPr>
        <w:jc w:val="both"/>
      </w:pPr>
    </w:p>
    <w:p w14:paraId="320D62DD" w14:textId="6C4FC1C8" w:rsidR="003011A8" w:rsidRPr="009118AB" w:rsidRDefault="00AB7300" w:rsidP="00AB7300">
      <w:pPr>
        <w:autoSpaceDE w:val="0"/>
        <w:autoSpaceDN w:val="0"/>
        <w:adjustRightInd w:val="0"/>
        <w:ind w:firstLine="708"/>
        <w:jc w:val="both"/>
        <w:rPr>
          <w:bCs/>
        </w:rPr>
      </w:pPr>
      <w:r w:rsidRPr="009118AB">
        <w:t>und sofern der vor Anwendung der in den vorhergehenden Gedankenstrichen vorgesehenen Begrenzungen festgelegte Durchschnitt der Einkünfte aus Urheberrechten und verwandten Schutzrechten, die in den vier vorhergehenden Besteuerungszeiträumen bezogen worden sind, gegebenenfalls unter Ausschluss des Zeitraums, in dem die Tätigkeit aufgenommen wurde, die absolute Höchstgrenze von 37.500 EUR nicht übersteigt.</w:t>
      </w:r>
      <w:r w:rsidR="003011A8" w:rsidRPr="009118AB">
        <w:rPr>
          <w:bCs/>
        </w:rPr>
        <w:t>]</w:t>
      </w:r>
    </w:p>
    <w:p w14:paraId="2271892D" w14:textId="77777777" w:rsidR="00AB7300" w:rsidRPr="009118AB" w:rsidRDefault="00AB7300" w:rsidP="00AB7300">
      <w:pPr>
        <w:autoSpaceDE w:val="0"/>
        <w:autoSpaceDN w:val="0"/>
        <w:adjustRightInd w:val="0"/>
        <w:ind w:firstLine="708"/>
        <w:jc w:val="both"/>
        <w:rPr>
          <w:bCs/>
        </w:rPr>
      </w:pPr>
    </w:p>
    <w:p w14:paraId="54ECD8A1" w14:textId="77777777" w:rsidR="00AB7300" w:rsidRPr="009118AB" w:rsidRDefault="00AB7300" w:rsidP="00AB7300">
      <w:pPr>
        <w:ind w:firstLine="708"/>
        <w:jc w:val="both"/>
      </w:pPr>
      <w:r w:rsidRPr="009118AB">
        <w:rPr>
          <w:bCs/>
        </w:rPr>
        <w:t>[</w:t>
      </w:r>
      <w:r w:rsidRPr="009118AB">
        <w:t>Absatz 2 erster Gedankenstrich</w:t>
      </w:r>
    </w:p>
    <w:p w14:paraId="1D3F8284" w14:textId="77777777" w:rsidR="00AB7300" w:rsidRPr="009118AB" w:rsidRDefault="00AB7300" w:rsidP="00AB7300">
      <w:pPr>
        <w:jc w:val="both"/>
      </w:pPr>
    </w:p>
    <w:p w14:paraId="287EB641" w14:textId="77777777" w:rsidR="00AB7300" w:rsidRPr="009118AB" w:rsidRDefault="00AB7300" w:rsidP="00AB7300">
      <w:pPr>
        <w:ind w:firstLine="708"/>
        <w:jc w:val="both"/>
      </w:pPr>
      <w:r w:rsidRPr="009118AB">
        <w:t>- ist nur anwendbar, wenn die Abtretung von oder die Vergabe einer Lizenz für Urheberrechte und verwandte Schutzrechte mit einer erbrachten Leistung einhergeht,</w:t>
      </w:r>
    </w:p>
    <w:p w14:paraId="2022AD36" w14:textId="77777777" w:rsidR="00AB7300" w:rsidRPr="009118AB" w:rsidRDefault="00AB7300" w:rsidP="00AB7300">
      <w:pPr>
        <w:jc w:val="both"/>
      </w:pPr>
    </w:p>
    <w:p w14:paraId="688E2B59" w14:textId="6D5BC309" w:rsidR="00AB7300" w:rsidRPr="009118AB" w:rsidRDefault="00AB7300" w:rsidP="00AB7300">
      <w:pPr>
        <w:autoSpaceDE w:val="0"/>
        <w:autoSpaceDN w:val="0"/>
        <w:adjustRightInd w:val="0"/>
        <w:ind w:firstLine="708"/>
        <w:jc w:val="both"/>
        <w:rPr>
          <w:bCs/>
        </w:rPr>
      </w:pPr>
      <w:r w:rsidRPr="009118AB">
        <w:t>- ist nicht anwendbar, wenn die Vergütungen für die Abtretung von oder die Vergabe einer Lizenz für Urheberrechte und verwandte Schutzrechte später bezogen werden, unabhängig von der ursprünglichen Vergütung, die auch eine Vergütung für die erbrachte Leistung umfasst, unbeschadet der Anwendung von Absatz 2 zweiter Gedankenstrich und der Bedingung in Bezug auf den Vergleich der Einkünfte des Zeitraums mit dem Durchschnitt der in den vier vorhergehenden Besteuerungszeiträumen bezogenen Einkünfte gemäß Absatz 2.</w:t>
      </w:r>
      <w:r w:rsidRPr="009118AB">
        <w:rPr>
          <w:bCs/>
        </w:rPr>
        <w:t>]</w:t>
      </w:r>
    </w:p>
    <w:p w14:paraId="469684A3" w14:textId="77777777" w:rsidR="003011A8" w:rsidRPr="009118AB" w:rsidRDefault="003011A8" w:rsidP="003011A8">
      <w:pPr>
        <w:autoSpaceDE w:val="0"/>
        <w:autoSpaceDN w:val="0"/>
        <w:adjustRightInd w:val="0"/>
        <w:jc w:val="both"/>
        <w:rPr>
          <w:bCs/>
        </w:rPr>
      </w:pPr>
    </w:p>
    <w:p w14:paraId="176B3E94" w14:textId="3E351EB6" w:rsidR="003011A8" w:rsidRPr="009118AB" w:rsidRDefault="003011A8" w:rsidP="003011A8">
      <w:pPr>
        <w:autoSpaceDE w:val="0"/>
        <w:autoSpaceDN w:val="0"/>
        <w:adjustRightInd w:val="0"/>
        <w:jc w:val="both"/>
        <w:rPr>
          <w:bCs/>
        </w:rPr>
      </w:pPr>
      <w:r w:rsidRPr="009118AB">
        <w:rPr>
          <w:bCs/>
        </w:rPr>
        <w:tab/>
        <w:t>Nettoeinkünfte aus diesen Kapitalvermögen und beweglichen Gütern umfassen den tatsächlichen oder fiktiven Mobiliensteuervorabzug</w:t>
      </w:r>
      <w:r w:rsidR="00DB3894" w:rsidRPr="009118AB">
        <w:rPr>
          <w:bCs/>
        </w:rPr>
        <w:t xml:space="preserve"> </w:t>
      </w:r>
      <w:r w:rsidRPr="009118AB">
        <w:rPr>
          <w:bCs/>
        </w:rPr>
        <w:t>[</w:t>
      </w:r>
      <w:r w:rsidR="00DB3894" w:rsidRPr="009118AB">
        <w:rPr>
          <w:rFonts w:eastAsia="Calibri"/>
          <w:kern w:val="2"/>
          <w:szCs w:val="22"/>
          <w:lang w:eastAsia="en-US"/>
          <w14:ligatures w14:val="standardContextual"/>
        </w:rPr>
        <w:t>und den Pauschalanteil ausländischer Steuer</w:t>
      </w:r>
      <w:r w:rsidRPr="009118AB">
        <w:rPr>
          <w:bCs/>
        </w:rPr>
        <w:t>] […].</w:t>
      </w:r>
    </w:p>
    <w:p w14:paraId="084C73AF" w14:textId="77777777" w:rsidR="003011A8" w:rsidRPr="009118AB" w:rsidRDefault="003011A8" w:rsidP="003011A8">
      <w:pPr>
        <w:autoSpaceDE w:val="0"/>
        <w:autoSpaceDN w:val="0"/>
        <w:adjustRightInd w:val="0"/>
        <w:jc w:val="both"/>
        <w:rPr>
          <w:bCs/>
        </w:rPr>
      </w:pPr>
    </w:p>
    <w:p w14:paraId="77FEB1B9" w14:textId="55B2EB98" w:rsidR="003011A8" w:rsidRPr="009118AB" w:rsidRDefault="00D774FF" w:rsidP="003011A8">
      <w:pPr>
        <w:autoSpaceDE w:val="0"/>
        <w:autoSpaceDN w:val="0"/>
        <w:adjustRightInd w:val="0"/>
        <w:jc w:val="both"/>
        <w:rPr>
          <w:bCs/>
          <w:iCs/>
        </w:rPr>
      </w:pPr>
      <w:r w:rsidRPr="009118AB">
        <w:rPr>
          <w:bCs/>
          <w:i/>
          <w:iCs/>
        </w:rPr>
        <w:t>[</w:t>
      </w:r>
      <w:r w:rsidR="00D67EB8" w:rsidRPr="009118AB">
        <w:rPr>
          <w:bCs/>
          <w:i/>
          <w:iCs/>
        </w:rPr>
        <w:t>Art. </w:t>
      </w:r>
      <w:r w:rsidRPr="009118AB">
        <w:rPr>
          <w:bCs/>
          <w:i/>
          <w:iCs/>
        </w:rPr>
        <w:t xml:space="preserve">37 neuer Absatz 2 eingefügt durch </w:t>
      </w:r>
      <w:r w:rsidR="00D67EB8" w:rsidRPr="009118AB">
        <w:rPr>
          <w:bCs/>
          <w:i/>
          <w:iCs/>
        </w:rPr>
        <w:t>Art. </w:t>
      </w:r>
      <w:r w:rsidR="003011A8" w:rsidRPr="009118AB">
        <w:rPr>
          <w:bCs/>
          <w:i/>
          <w:iCs/>
        </w:rPr>
        <w:t>4 des G. vom 16. Juli 2008 (B.S. vom 30. Juli 2008)</w:t>
      </w:r>
      <w:r w:rsidR="00D67EB8" w:rsidRPr="009118AB">
        <w:rPr>
          <w:bCs/>
          <w:i/>
          <w:iCs/>
        </w:rPr>
        <w:t> - </w:t>
      </w:r>
      <w:r w:rsidRPr="009118AB">
        <w:rPr>
          <w:bCs/>
          <w:i/>
          <w:iCs/>
        </w:rPr>
        <w:t>wirksam mit 1. Januar 2008</w:t>
      </w:r>
      <w:r w:rsidR="003366D9" w:rsidRPr="009118AB">
        <w:rPr>
          <w:bCs/>
          <w:i/>
          <w:iCs/>
        </w:rPr>
        <w:t> -</w:t>
      </w:r>
      <w:r w:rsidR="00AB7300" w:rsidRPr="009118AB">
        <w:rPr>
          <w:bCs/>
          <w:i/>
          <w:iCs/>
        </w:rPr>
        <w:t xml:space="preserve"> und ersetzt durch Art. 101 Nr. 1 des G. vom 26. Dezember 2022</w:t>
      </w:r>
      <w:r w:rsidR="00236038" w:rsidRPr="009118AB">
        <w:rPr>
          <w:i/>
          <w:iCs/>
        </w:rPr>
        <w:t> (I)</w:t>
      </w:r>
      <w:r w:rsidR="00AB7300" w:rsidRPr="009118AB">
        <w:rPr>
          <w:bCs/>
          <w:i/>
          <w:iCs/>
        </w:rPr>
        <w:t xml:space="preserve"> (B.S. vom 30. Dezember 2022) - in Kraft am 1. Januar 2023 und anwendbar auf die ab dem 1. Januar 2023 gezahlten oder zuerkannten Einkünfte -</w:t>
      </w:r>
      <w:r w:rsidR="003366D9" w:rsidRPr="009118AB">
        <w:rPr>
          <w:bCs/>
          <w:i/>
          <w:iCs/>
        </w:rPr>
        <w:t>;</w:t>
      </w:r>
      <w:r w:rsidRPr="009118AB">
        <w:rPr>
          <w:bCs/>
          <w:i/>
          <w:iCs/>
        </w:rPr>
        <w:t xml:space="preserve"> </w:t>
      </w:r>
      <w:r w:rsidR="00AB7300" w:rsidRPr="009118AB">
        <w:rPr>
          <w:bCs/>
          <w:i/>
          <w:iCs/>
        </w:rPr>
        <w:t>neuer Absatz 3 eingefügt durch Art. 101 Nr. 2 des G. vom 26. Dezember 2022</w:t>
      </w:r>
      <w:r w:rsidR="00236038" w:rsidRPr="009118AB">
        <w:rPr>
          <w:i/>
          <w:iCs/>
        </w:rPr>
        <w:t> (I)</w:t>
      </w:r>
      <w:r w:rsidR="00AB7300" w:rsidRPr="009118AB">
        <w:rPr>
          <w:bCs/>
          <w:i/>
          <w:iCs/>
        </w:rPr>
        <w:t xml:space="preserve"> (B.S. vom 30. Dezember 2022) - in Kraft am 1. Januar 2023 und anwendbar auf die ab dem 1. Januar 2023 gezahlten oder zuerkannten Einkünfte -; </w:t>
      </w:r>
      <w:r w:rsidR="00D67EB8" w:rsidRPr="009118AB">
        <w:rPr>
          <w:bCs/>
          <w:i/>
          <w:iCs/>
        </w:rPr>
        <w:t>Abs. </w:t>
      </w:r>
      <w:r w:rsidR="00AB7300" w:rsidRPr="009118AB">
        <w:rPr>
          <w:bCs/>
          <w:i/>
          <w:iCs/>
        </w:rPr>
        <w:t>4</w:t>
      </w:r>
      <w:r w:rsidRPr="009118AB">
        <w:rPr>
          <w:bCs/>
          <w:i/>
          <w:iCs/>
        </w:rPr>
        <w:t xml:space="preserve"> (früherer Absatz </w:t>
      </w:r>
      <w:r w:rsidR="003011A8" w:rsidRPr="009118AB">
        <w:rPr>
          <w:bCs/>
          <w:i/>
          <w:iCs/>
        </w:rPr>
        <w:t xml:space="preserve">2) abgeändert durch </w:t>
      </w:r>
      <w:r w:rsidR="00D67EB8" w:rsidRPr="009118AB">
        <w:rPr>
          <w:bCs/>
          <w:i/>
          <w:iCs/>
        </w:rPr>
        <w:t>Art. </w:t>
      </w:r>
      <w:r w:rsidRPr="009118AB">
        <w:rPr>
          <w:bCs/>
          <w:i/>
          <w:iCs/>
        </w:rPr>
        <w:t>10 des G. vom 17. Mai 2004 </w:t>
      </w:r>
      <w:r w:rsidR="003011A8" w:rsidRPr="009118AB">
        <w:rPr>
          <w:bCs/>
          <w:i/>
          <w:iCs/>
        </w:rPr>
        <w:t>(III) (B.S. vom 27. Mai 2004)</w:t>
      </w:r>
      <w:r w:rsidR="00D67EB8" w:rsidRPr="009118AB">
        <w:rPr>
          <w:bCs/>
          <w:i/>
          <w:iCs/>
        </w:rPr>
        <w:t> - </w:t>
      </w:r>
      <w:r w:rsidR="003011A8" w:rsidRPr="009118AB">
        <w:rPr>
          <w:bCs/>
          <w:i/>
          <w:iCs/>
        </w:rPr>
        <w:t>anwendbar auf gezahlte oder zuerkannte Zinsen, aufgelaufen ab dem 1. Juli 2005</w:t>
      </w:r>
      <w:r w:rsidR="00FD68E8" w:rsidRPr="009118AB">
        <w:rPr>
          <w:bCs/>
          <w:i/>
          <w:iCs/>
        </w:rPr>
        <w:t> -,</w:t>
      </w:r>
      <w:r w:rsidR="003011A8" w:rsidRPr="009118AB">
        <w:rPr>
          <w:bCs/>
          <w:i/>
          <w:iCs/>
        </w:rPr>
        <w:t xml:space="preserve"> </w:t>
      </w:r>
      <w:r w:rsidR="00D67EB8" w:rsidRPr="009118AB">
        <w:rPr>
          <w:bCs/>
          <w:i/>
          <w:iCs/>
        </w:rPr>
        <w:t>Art. </w:t>
      </w:r>
      <w:r w:rsidR="003011A8" w:rsidRPr="009118AB">
        <w:rPr>
          <w:bCs/>
          <w:i/>
          <w:iCs/>
        </w:rPr>
        <w:t>26 des G. vom 28. Dezember 2011 (B.S. vom 30. Dezember 2011)</w:t>
      </w:r>
      <w:r w:rsidR="00D67EB8" w:rsidRPr="009118AB">
        <w:rPr>
          <w:bCs/>
          <w:i/>
          <w:iCs/>
        </w:rPr>
        <w:t> - </w:t>
      </w:r>
      <w:r w:rsidR="003011A8" w:rsidRPr="009118AB">
        <w:rPr>
          <w:bCs/>
          <w:i/>
          <w:iCs/>
        </w:rPr>
        <w:t xml:space="preserve">anwendbar auf die ab dem 1. Januar 2012 </w:t>
      </w:r>
      <w:r w:rsidR="003011A8" w:rsidRPr="009118AB">
        <w:rPr>
          <w:bCs/>
          <w:i/>
          <w:iCs/>
        </w:rPr>
        <w:lastRenderedPageBreak/>
        <w:t>zuerkannten oder ausgeschütteten Einkünfte</w:t>
      </w:r>
      <w:r w:rsidR="00FD68E8" w:rsidRPr="009118AB">
        <w:rPr>
          <w:bCs/>
          <w:i/>
          <w:iCs/>
        </w:rPr>
        <w:t> -,</w:t>
      </w:r>
      <w:r w:rsidR="003011A8" w:rsidRPr="009118AB">
        <w:rPr>
          <w:bCs/>
          <w:i/>
          <w:iCs/>
        </w:rPr>
        <w:t xml:space="preserve"> </w:t>
      </w:r>
      <w:r w:rsidR="00D67EB8" w:rsidRPr="009118AB">
        <w:rPr>
          <w:bCs/>
          <w:i/>
          <w:iCs/>
        </w:rPr>
        <w:t>Art. </w:t>
      </w:r>
      <w:r w:rsidR="003011A8" w:rsidRPr="009118AB">
        <w:rPr>
          <w:bCs/>
          <w:i/>
          <w:iCs/>
        </w:rPr>
        <w:t>78 des G. vom 27. Dezember 2012 (B.S. vom 31. Dezember 2012)</w:t>
      </w:r>
      <w:r w:rsidR="00D67EB8" w:rsidRPr="009118AB">
        <w:rPr>
          <w:bCs/>
          <w:i/>
          <w:iCs/>
        </w:rPr>
        <w:t> - </w:t>
      </w:r>
      <w:r w:rsidR="003011A8" w:rsidRPr="009118AB">
        <w:rPr>
          <w:bCs/>
          <w:i/>
          <w:iCs/>
        </w:rPr>
        <w:t>anwendbar auf die ab dem 1. Januar 2013 zuerkannten oder ausgeschütteten Einkünfte</w:t>
      </w:r>
      <w:r w:rsidR="00D67EB8" w:rsidRPr="009118AB">
        <w:rPr>
          <w:bCs/>
          <w:i/>
          <w:iCs/>
        </w:rPr>
        <w:t> - </w:t>
      </w:r>
      <w:r w:rsidR="00DB3894" w:rsidRPr="009118AB">
        <w:rPr>
          <w:bCs/>
          <w:i/>
          <w:iCs/>
        </w:rPr>
        <w:t xml:space="preserve">und </w:t>
      </w:r>
      <w:r w:rsidR="00D67EB8" w:rsidRPr="009118AB">
        <w:rPr>
          <w:bCs/>
          <w:i/>
          <w:iCs/>
        </w:rPr>
        <w:t>Art. </w:t>
      </w:r>
      <w:r w:rsidR="00DB3894" w:rsidRPr="009118AB">
        <w:rPr>
          <w:bCs/>
          <w:i/>
          <w:iCs/>
        </w:rPr>
        <w:t>7</w:t>
      </w:r>
      <w:r w:rsidR="00DB3894" w:rsidRPr="009118AB">
        <w:rPr>
          <w:i/>
          <w:iCs/>
        </w:rPr>
        <w:t xml:space="preserve"> des G. vom 5. Juli 2022 (B.S. vom 15. Juli 2022)</w:t>
      </w:r>
      <w:r w:rsidR="003011A8" w:rsidRPr="009118AB">
        <w:rPr>
          <w:bCs/>
          <w:i/>
          <w:iCs/>
        </w:rPr>
        <w:t>]</w:t>
      </w:r>
    </w:p>
    <w:p w14:paraId="00F50C68" w14:textId="77777777" w:rsidR="001E243B" w:rsidRPr="009118AB" w:rsidRDefault="001E243B" w:rsidP="003011A8">
      <w:pPr>
        <w:autoSpaceDE w:val="0"/>
        <w:autoSpaceDN w:val="0"/>
        <w:adjustRightInd w:val="0"/>
        <w:jc w:val="both"/>
      </w:pPr>
    </w:p>
    <w:p w14:paraId="53E9B18B" w14:textId="77777777" w:rsidR="001E243B" w:rsidRPr="009118AB" w:rsidRDefault="001E243B" w:rsidP="003011A8">
      <w:pPr>
        <w:autoSpaceDE w:val="0"/>
        <w:autoSpaceDN w:val="0"/>
        <w:adjustRightInd w:val="0"/>
        <w:jc w:val="both"/>
      </w:pPr>
    </w:p>
    <w:p w14:paraId="474D1171" w14:textId="77777777" w:rsidR="00477B8F" w:rsidRPr="009118AB" w:rsidRDefault="001E243B" w:rsidP="003011A8">
      <w:pPr>
        <w:autoSpaceDE w:val="0"/>
        <w:autoSpaceDN w:val="0"/>
        <w:adjustRightInd w:val="0"/>
        <w:jc w:val="both"/>
        <w:rPr>
          <w:iCs/>
          <w:sz w:val="20"/>
          <w:szCs w:val="20"/>
        </w:rPr>
      </w:pPr>
      <w:r w:rsidRPr="009118AB">
        <w:br w:type="page"/>
      </w:r>
      <w:r w:rsidR="00AA609D" w:rsidRPr="009118AB">
        <w:lastRenderedPageBreak/>
        <w:tab/>
      </w:r>
      <w:r w:rsidR="00477B8F" w:rsidRPr="009118AB">
        <w:t>[</w:t>
      </w:r>
      <w:r w:rsidR="00477B8F" w:rsidRPr="009118AB">
        <w:rPr>
          <w:i/>
          <w:iCs/>
        </w:rPr>
        <w:t>J</w:t>
      </w:r>
      <w:r w:rsidR="00477B8F" w:rsidRPr="009118AB">
        <w:t>. Berufsbezogene verschiedene Einkünfte</w:t>
      </w:r>
    </w:p>
    <w:p w14:paraId="72A2E939" w14:textId="77777777" w:rsidR="00477B8F" w:rsidRPr="009118AB" w:rsidRDefault="00477B8F" w:rsidP="00477B8F">
      <w:pPr>
        <w:autoSpaceDE w:val="0"/>
        <w:autoSpaceDN w:val="0"/>
        <w:adjustRightInd w:val="0"/>
        <w:jc w:val="center"/>
      </w:pPr>
    </w:p>
    <w:p w14:paraId="6EDA335A" w14:textId="44362863" w:rsidR="00477B8F" w:rsidRPr="009118AB" w:rsidRDefault="003032A4" w:rsidP="00477B8F">
      <w:pPr>
        <w:autoSpaceDE w:val="0"/>
        <w:autoSpaceDN w:val="0"/>
        <w:adjustRightInd w:val="0"/>
        <w:jc w:val="both"/>
      </w:pPr>
      <w:r w:rsidRPr="009118AB">
        <w:rPr>
          <w:i/>
          <w:iCs/>
        </w:rPr>
        <w:t xml:space="preserve">[Unterteilung J mit </w:t>
      </w:r>
      <w:r w:rsidR="00D67EB8" w:rsidRPr="009118AB">
        <w:rPr>
          <w:i/>
          <w:iCs/>
        </w:rPr>
        <w:t>Art. </w:t>
      </w:r>
      <w:r w:rsidRPr="009118AB">
        <w:rPr>
          <w:i/>
          <w:iCs/>
        </w:rPr>
        <w:t xml:space="preserve">37bis eingefügt durch </w:t>
      </w:r>
      <w:r w:rsidR="00D67EB8" w:rsidRPr="009118AB">
        <w:rPr>
          <w:i/>
          <w:iCs/>
        </w:rPr>
        <w:t>Art. </w:t>
      </w:r>
      <w:r w:rsidR="00477B8F" w:rsidRPr="009118AB">
        <w:rPr>
          <w:i/>
          <w:iCs/>
        </w:rPr>
        <w:t>36 des G. vom 15. Dezember 2004 (B.S.</w:t>
      </w:r>
      <w:r w:rsidRPr="009118AB">
        <w:rPr>
          <w:i/>
          <w:iCs/>
        </w:rPr>
        <w:t xml:space="preserve"> </w:t>
      </w:r>
      <w:r w:rsidR="00477B8F" w:rsidRPr="009118AB">
        <w:rPr>
          <w:i/>
          <w:iCs/>
        </w:rPr>
        <w:t>vom 1. Februar 2005)</w:t>
      </w:r>
      <w:r w:rsidR="00D67EB8" w:rsidRPr="009118AB">
        <w:rPr>
          <w:i/>
          <w:iCs/>
        </w:rPr>
        <w:t> - </w:t>
      </w:r>
      <w:r w:rsidR="00477B8F"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FD68E8" w:rsidRPr="009118AB">
        <w:rPr>
          <w:i/>
          <w:iCs/>
        </w:rPr>
        <w:t> -]</w:t>
      </w:r>
    </w:p>
    <w:p w14:paraId="43F10971" w14:textId="77777777" w:rsidR="00477B8F" w:rsidRPr="009118AB" w:rsidRDefault="00477B8F" w:rsidP="00477B8F">
      <w:pPr>
        <w:autoSpaceDE w:val="0"/>
        <w:autoSpaceDN w:val="0"/>
        <w:adjustRightInd w:val="0"/>
        <w:jc w:val="both"/>
      </w:pPr>
    </w:p>
    <w:p w14:paraId="110416BC" w14:textId="77777777" w:rsidR="00477B8F" w:rsidRPr="009118AB" w:rsidRDefault="00477B8F" w:rsidP="00477B8F">
      <w:pPr>
        <w:autoSpaceDE w:val="0"/>
        <w:autoSpaceDN w:val="0"/>
        <w:adjustRightInd w:val="0"/>
        <w:jc w:val="both"/>
      </w:pPr>
    </w:p>
    <w:p w14:paraId="64E8E63D" w14:textId="1CC351FE"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37</w:t>
      </w:r>
      <w:r w:rsidRPr="009118AB">
        <w:rPr>
          <w:b/>
          <w:bCs/>
          <w:i/>
          <w:iCs/>
        </w:rPr>
        <w:t>bis</w:t>
      </w:r>
      <w:r w:rsidR="00D67EB8" w:rsidRPr="009118AB">
        <w:t> - </w:t>
      </w:r>
      <w:r w:rsidR="00EF0AF1" w:rsidRPr="009118AB">
        <w:t>[</w:t>
      </w:r>
      <w:r w:rsidR="00D67EB8" w:rsidRPr="009118AB">
        <w:t>§ </w:t>
      </w:r>
      <w:r w:rsidR="00EF0AF1" w:rsidRPr="009118AB">
        <w:t>1]</w:t>
      </w:r>
      <w:r w:rsidR="00D67EB8" w:rsidRPr="009118AB">
        <w:t> - </w:t>
      </w:r>
      <w:r w:rsidRPr="009118AB">
        <w:t>Unbeschadet der Anwendung des Mobiliensteuervorabzugs gelten Entschädigungen für fehlende Kupons oder für fehlende Lose in Bezug auf Finanzinstrumente, die Gegenstand einer Vereinbarung über die Leistung von dinglichen Sicherheiten oder eines Verleihs sind, als Berufseinkünfte, wenn die Finanzinstrumente, die Gegenstand der Vereinbarung sind, zur Ausübung der Berufstätigkeit des Empfängers vorerwähnter Einkünfte genutzt werden.</w:t>
      </w:r>
    </w:p>
    <w:p w14:paraId="55D597FD" w14:textId="77777777" w:rsidR="00477B8F" w:rsidRPr="009118AB" w:rsidRDefault="00477B8F" w:rsidP="00477B8F">
      <w:pPr>
        <w:autoSpaceDE w:val="0"/>
        <w:autoSpaceDN w:val="0"/>
        <w:adjustRightInd w:val="0"/>
        <w:jc w:val="both"/>
      </w:pPr>
    </w:p>
    <w:p w14:paraId="7E3498FA" w14:textId="77777777" w:rsidR="00477B8F" w:rsidRPr="009118AB" w:rsidRDefault="00477B8F" w:rsidP="00477B8F">
      <w:pPr>
        <w:autoSpaceDE w:val="0"/>
        <w:autoSpaceDN w:val="0"/>
        <w:adjustRightInd w:val="0"/>
        <w:jc w:val="both"/>
      </w:pPr>
      <w:r w:rsidRPr="009118AB">
        <w:tab/>
        <w:t>Nettoeinkünfte aus diesen Entschädigungen werden gemäß Artikel 98 Absatz 2 bestimmt.]</w:t>
      </w:r>
    </w:p>
    <w:p w14:paraId="42DDA761" w14:textId="77777777" w:rsidR="00EF0AF1" w:rsidRPr="009118AB" w:rsidRDefault="00EF0AF1" w:rsidP="00477B8F">
      <w:pPr>
        <w:autoSpaceDE w:val="0"/>
        <w:autoSpaceDN w:val="0"/>
        <w:adjustRightInd w:val="0"/>
        <w:jc w:val="both"/>
      </w:pPr>
    </w:p>
    <w:p w14:paraId="2F636E51" w14:textId="3C2A0DA1" w:rsidR="008A5CAC" w:rsidRPr="009118AB" w:rsidRDefault="00EF0AF1" w:rsidP="008A5CAC">
      <w:pPr>
        <w:ind w:firstLine="708"/>
        <w:jc w:val="both"/>
        <w:rPr>
          <w:rFonts w:eastAsia="Calibri"/>
          <w:lang w:eastAsia="en-US"/>
        </w:rPr>
      </w:pPr>
      <w:r w:rsidRPr="009118AB">
        <w:tab/>
        <w:t>[</w:t>
      </w:r>
      <w:r w:rsidR="00D67EB8" w:rsidRPr="009118AB">
        <w:t>§ </w:t>
      </w:r>
      <w:r w:rsidRPr="009118AB">
        <w:t>2</w:t>
      </w:r>
      <w:r w:rsidR="00D67EB8" w:rsidRPr="009118AB">
        <w:t> - </w:t>
      </w:r>
      <w:r w:rsidR="0001730E" w:rsidRPr="009118AB">
        <w:rPr>
          <w:rFonts w:eastAsia="Calibri"/>
          <w:szCs w:val="22"/>
          <w:lang w:eastAsia="en-US"/>
        </w:rPr>
        <w:t>[</w:t>
      </w:r>
      <w:r w:rsidR="0001730E" w:rsidRPr="009118AB">
        <w:t xml:space="preserve">Alle in Artikel 90 Absatz 1 </w:t>
      </w:r>
      <w:r w:rsidR="00D67EB8" w:rsidRPr="009118AB">
        <w:t>Nr. </w:t>
      </w:r>
      <w:r w:rsidR="0001730E" w:rsidRPr="009118AB">
        <w:t>1</w:t>
      </w:r>
      <w:r w:rsidR="0001730E" w:rsidRPr="009118AB">
        <w:rPr>
          <w:i/>
          <w:iCs/>
        </w:rPr>
        <w:t>ter</w:t>
      </w:r>
      <w:r w:rsidR="0001730E" w:rsidRPr="009118AB">
        <w:t xml:space="preserve"> erwähnten Vergütungen für Leistungen, die in einem bestimmten Kalenderjahr erbracht werden, gelten als Berufseinkünfte, wenn für dieses Kalenderjahr eine der Grenzen erwähnt in Artikel 17 </w:t>
      </w:r>
      <w:r w:rsidR="00D67EB8" w:rsidRPr="009118AB">
        <w:t>§ </w:t>
      </w:r>
      <w:r w:rsidR="0001730E" w:rsidRPr="009118AB">
        <w:t>1 Absatz 3 und 4 des Königlichen Erlasses vom 28. November 1969 zur Ausführung des Gesetzes vom 27. Juni 1969 zur Revision des Erlassgesetzes vom 28. Dezember 1944 über die soziale Sicherheit der Arbeitnehmer oder die Jahresgrenze von hundertneunzig Stunden erwähnt in Artikel 17</w:t>
      </w:r>
      <w:r w:rsidR="0001730E" w:rsidRPr="009118AB">
        <w:rPr>
          <w:i/>
          <w:iCs/>
        </w:rPr>
        <w:t>bis</w:t>
      </w:r>
      <w:r w:rsidR="0001730E" w:rsidRPr="009118AB">
        <w:t xml:space="preserve"> </w:t>
      </w:r>
      <w:r w:rsidR="00D67EB8" w:rsidRPr="009118AB">
        <w:t>§ </w:t>
      </w:r>
      <w:r w:rsidR="0001730E" w:rsidRPr="009118AB">
        <w:t>2 desselben Erlasses überschritten wird.</w:t>
      </w:r>
      <w:r w:rsidR="0001730E" w:rsidRPr="009118AB">
        <w:rPr>
          <w:rFonts w:eastAsia="Calibri"/>
          <w:szCs w:val="22"/>
          <w:lang w:eastAsia="en-US"/>
        </w:rPr>
        <w:t>]</w:t>
      </w:r>
    </w:p>
    <w:p w14:paraId="148BEB8D" w14:textId="77777777" w:rsidR="008A5CAC" w:rsidRPr="009118AB" w:rsidRDefault="008A5CAC" w:rsidP="008A5CAC">
      <w:pPr>
        <w:jc w:val="both"/>
        <w:rPr>
          <w:rFonts w:eastAsia="Calibri"/>
          <w:lang w:eastAsia="en-US"/>
        </w:rPr>
      </w:pPr>
    </w:p>
    <w:p w14:paraId="56D836B2" w14:textId="0BEB5023" w:rsidR="008A5CAC" w:rsidRPr="009118AB" w:rsidRDefault="008A5CAC" w:rsidP="008A5CAC">
      <w:pPr>
        <w:ind w:firstLine="708"/>
        <w:jc w:val="both"/>
        <w:rPr>
          <w:rFonts w:eastAsia="Calibri"/>
          <w:lang w:eastAsia="en-US"/>
        </w:rPr>
      </w:pPr>
      <w:r w:rsidRPr="009118AB">
        <w:rPr>
          <w:rFonts w:eastAsia="Calibri"/>
          <w:szCs w:val="22"/>
          <w:lang w:eastAsia="en-US"/>
        </w:rPr>
        <w:t xml:space="preserve">In Artikel 90 Absatz 1 </w:t>
      </w:r>
      <w:r w:rsidR="00D67EB8" w:rsidRPr="009118AB">
        <w:rPr>
          <w:rFonts w:eastAsia="Calibri"/>
          <w:szCs w:val="22"/>
          <w:lang w:eastAsia="en-US"/>
        </w:rPr>
        <w:t>Nr. </w:t>
      </w:r>
      <w:r w:rsidRPr="009118AB">
        <w:rPr>
          <w:rFonts w:eastAsia="Calibri"/>
          <w:szCs w:val="22"/>
          <w:lang w:eastAsia="en-US"/>
        </w:rPr>
        <w:t>1</w:t>
      </w:r>
      <w:r w:rsidRPr="009118AB">
        <w:rPr>
          <w:rFonts w:eastAsia="Calibri"/>
          <w:i/>
          <w:iCs/>
          <w:szCs w:val="22"/>
          <w:lang w:eastAsia="en-US"/>
        </w:rPr>
        <w:t>bis</w:t>
      </w:r>
      <w:r w:rsidRPr="009118AB">
        <w:rPr>
          <w:rFonts w:eastAsia="Calibri"/>
          <w:szCs w:val="22"/>
          <w:lang w:eastAsia="en-US"/>
        </w:rPr>
        <w:t xml:space="preserve"> und 1</w:t>
      </w:r>
      <w:r w:rsidRPr="009118AB">
        <w:rPr>
          <w:rFonts w:eastAsia="Calibri"/>
          <w:i/>
          <w:iCs/>
          <w:szCs w:val="22"/>
          <w:lang w:eastAsia="en-US"/>
        </w:rPr>
        <w:t>ter</w:t>
      </w:r>
      <w:r w:rsidRPr="009118AB">
        <w:rPr>
          <w:rFonts w:eastAsia="Calibri"/>
          <w:szCs w:val="22"/>
          <w:lang w:eastAsia="en-US"/>
        </w:rPr>
        <w:t xml:space="preserve"> erwähnte Einkünfte gelten außer bei Beweis des Gegenteils als Berufseinkünfte, wenn der Bruttobetrag dieser Einkünfte einschließlich des Bruttobetrags der Einkünfte, die in Anwendung von Absatz 1 als Berufseinkünfte gelten, für das Kalenderjahr oder das vorhergehende Kalenderjahr 3.830 EUR übersteigt.</w:t>
      </w:r>
    </w:p>
    <w:p w14:paraId="3FB72687" w14:textId="77777777" w:rsidR="008A5CAC" w:rsidRPr="009118AB" w:rsidRDefault="008A5CAC" w:rsidP="008A5CAC">
      <w:pPr>
        <w:jc w:val="both"/>
        <w:rPr>
          <w:rFonts w:eastAsia="Calibri"/>
          <w:lang w:eastAsia="en-US"/>
        </w:rPr>
      </w:pPr>
    </w:p>
    <w:p w14:paraId="7D0ECBEC" w14:textId="40223D83" w:rsidR="00EF0AF1" w:rsidRPr="009118AB" w:rsidRDefault="0001730E" w:rsidP="008A5CAC">
      <w:pPr>
        <w:ind w:firstLine="708"/>
        <w:jc w:val="both"/>
      </w:pPr>
      <w:r w:rsidRPr="009118AB">
        <w:rPr>
          <w:rFonts w:eastAsia="Calibri"/>
          <w:szCs w:val="22"/>
          <w:lang w:eastAsia="en-US"/>
        </w:rPr>
        <w:t>[...]</w:t>
      </w:r>
      <w:r w:rsidR="0019661C" w:rsidRPr="009118AB">
        <w:t>]</w:t>
      </w:r>
    </w:p>
    <w:p w14:paraId="3BB21D29" w14:textId="77777777" w:rsidR="00EF0AF1" w:rsidRPr="009118AB" w:rsidRDefault="00EF0AF1" w:rsidP="00477B8F">
      <w:pPr>
        <w:autoSpaceDE w:val="0"/>
        <w:autoSpaceDN w:val="0"/>
        <w:adjustRightInd w:val="0"/>
        <w:jc w:val="both"/>
        <w:rPr>
          <w:i/>
        </w:rPr>
      </w:pPr>
    </w:p>
    <w:p w14:paraId="3B15949F" w14:textId="70140498" w:rsidR="00EF0AF1" w:rsidRPr="009118AB" w:rsidRDefault="00EF0AF1" w:rsidP="00477B8F">
      <w:pPr>
        <w:autoSpaceDE w:val="0"/>
        <w:autoSpaceDN w:val="0"/>
        <w:adjustRightInd w:val="0"/>
        <w:jc w:val="both"/>
        <w:rPr>
          <w:i/>
        </w:rPr>
      </w:pPr>
      <w:r w:rsidRPr="009118AB">
        <w:rPr>
          <w:i/>
        </w:rPr>
        <w:t>[</w:t>
      </w:r>
      <w:r w:rsidR="00D67EB8" w:rsidRPr="009118AB">
        <w:rPr>
          <w:i/>
        </w:rPr>
        <w:t>Art. </w:t>
      </w:r>
      <w:r w:rsidRPr="009118AB">
        <w:rPr>
          <w:i/>
        </w:rPr>
        <w:t xml:space="preserve">37bis </w:t>
      </w:r>
      <w:r w:rsidR="00D67EB8" w:rsidRPr="009118AB">
        <w:rPr>
          <w:i/>
        </w:rPr>
        <w:t>§ </w:t>
      </w:r>
      <w:r w:rsidRPr="009118AB">
        <w:rPr>
          <w:i/>
        </w:rPr>
        <w:t xml:space="preserve">1 (frühere Absätze 1 und 2) nummeriert durch </w:t>
      </w:r>
      <w:r w:rsidR="00D67EB8" w:rsidRPr="009118AB">
        <w:rPr>
          <w:i/>
        </w:rPr>
        <w:t>Art. </w:t>
      </w:r>
      <w:r w:rsidRPr="009118AB">
        <w:rPr>
          <w:i/>
        </w:rPr>
        <w:t xml:space="preserve">35 </w:t>
      </w:r>
      <w:r w:rsidR="00D67EB8" w:rsidRPr="009118AB">
        <w:rPr>
          <w:i/>
        </w:rPr>
        <w:t>Nr. </w:t>
      </w:r>
      <w:r w:rsidRPr="009118AB">
        <w:rPr>
          <w:i/>
        </w:rPr>
        <w:t>1 des G. vom 1. Juli 2016 (B.S. vom 4. Juli 2016)</w:t>
      </w:r>
      <w:r w:rsidR="00D67EB8" w:rsidRPr="009118AB">
        <w:rPr>
          <w:i/>
        </w:rPr>
        <w:t> - </w:t>
      </w:r>
      <w:r w:rsidRPr="009118AB">
        <w:rPr>
          <w:i/>
        </w:rPr>
        <w:t>anwendbar auf die ab dem 1. Juli 2016 gezahlten oder zuerkannten Einkünfte</w:t>
      </w:r>
      <w:r w:rsidR="003366D9" w:rsidRPr="009118AB">
        <w:rPr>
          <w:i/>
        </w:rPr>
        <w:t> -;</w:t>
      </w:r>
      <w:r w:rsidRPr="009118AB">
        <w:rPr>
          <w:i/>
        </w:rPr>
        <w:t xml:space="preserve"> </w:t>
      </w:r>
      <w:r w:rsidR="00D67EB8" w:rsidRPr="009118AB">
        <w:rPr>
          <w:i/>
        </w:rPr>
        <w:t>§ </w:t>
      </w:r>
      <w:r w:rsidRPr="009118AB">
        <w:rPr>
          <w:i/>
        </w:rPr>
        <w:t xml:space="preserve">2 eingefügt durch </w:t>
      </w:r>
      <w:r w:rsidR="00D67EB8" w:rsidRPr="009118AB">
        <w:rPr>
          <w:i/>
        </w:rPr>
        <w:t>Art. </w:t>
      </w:r>
      <w:r w:rsidRPr="009118AB">
        <w:rPr>
          <w:i/>
        </w:rPr>
        <w:t xml:space="preserve">35 </w:t>
      </w:r>
      <w:r w:rsidR="00D67EB8" w:rsidRPr="009118AB">
        <w:rPr>
          <w:i/>
        </w:rPr>
        <w:t>Nr. </w:t>
      </w:r>
      <w:r w:rsidRPr="009118AB">
        <w:rPr>
          <w:i/>
        </w:rPr>
        <w:t>2 des G. vom 1. Juli 2016 (B.S. vom 4. Juli 2016)</w:t>
      </w:r>
      <w:r w:rsidR="00D67EB8" w:rsidRPr="009118AB">
        <w:rPr>
          <w:i/>
        </w:rPr>
        <w:t> - </w:t>
      </w:r>
      <w:r w:rsidRPr="009118AB">
        <w:rPr>
          <w:i/>
        </w:rPr>
        <w:t>anwendbar auf die ab dem 1. Juli 2016 gezahlten oder zuerkannten Einkünfte</w:t>
      </w:r>
      <w:r w:rsidR="00FD68E8" w:rsidRPr="009118AB">
        <w:rPr>
          <w:i/>
        </w:rPr>
        <w:t> -,</w:t>
      </w:r>
      <w:r w:rsidR="007D7AEE" w:rsidRPr="009118AB">
        <w:rPr>
          <w:i/>
        </w:rPr>
        <w:t xml:space="preserve"> </w:t>
      </w:r>
      <w:r w:rsidR="0019661C" w:rsidRPr="009118AB">
        <w:rPr>
          <w:i/>
        </w:rPr>
        <w:t xml:space="preserve">ersetzt durch </w:t>
      </w:r>
      <w:r w:rsidR="00D67EB8" w:rsidRPr="009118AB">
        <w:rPr>
          <w:i/>
        </w:rPr>
        <w:t>Art. </w:t>
      </w:r>
      <w:r w:rsidR="0019661C" w:rsidRPr="009118AB">
        <w:rPr>
          <w:i/>
        </w:rPr>
        <w:t>45 des G. vom 18.</w:t>
      </w:r>
      <w:r w:rsidR="0019661C" w:rsidRPr="009118AB">
        <w:rPr>
          <w:rFonts w:hint="eastAsia"/>
          <w:i/>
        </w:rPr>
        <w:t> </w:t>
      </w:r>
      <w:r w:rsidR="0019661C" w:rsidRPr="009118AB">
        <w:rPr>
          <w:i/>
        </w:rPr>
        <w:t>Juli</w:t>
      </w:r>
      <w:r w:rsidR="0019661C" w:rsidRPr="009118AB">
        <w:rPr>
          <w:rFonts w:hint="eastAsia"/>
          <w:i/>
        </w:rPr>
        <w:t> </w:t>
      </w:r>
      <w:r w:rsidR="0019661C" w:rsidRPr="009118AB">
        <w:rPr>
          <w:i/>
        </w:rPr>
        <w:t>2018 (B.S. vom 26.</w:t>
      </w:r>
      <w:r w:rsidR="0019661C" w:rsidRPr="009118AB">
        <w:rPr>
          <w:rFonts w:hint="eastAsia"/>
          <w:i/>
        </w:rPr>
        <w:t> </w:t>
      </w:r>
      <w:r w:rsidR="0019661C" w:rsidRPr="009118AB">
        <w:rPr>
          <w:i/>
        </w:rPr>
        <w:t>Juli</w:t>
      </w:r>
      <w:r w:rsidR="0019661C" w:rsidRPr="009118AB">
        <w:rPr>
          <w:rFonts w:hint="eastAsia"/>
          <w:i/>
        </w:rPr>
        <w:t> </w:t>
      </w:r>
      <w:r w:rsidR="0019661C" w:rsidRPr="009118AB">
        <w:rPr>
          <w:i/>
        </w:rPr>
        <w:t>2018)</w:t>
      </w:r>
      <w:r w:rsidR="00D67EB8" w:rsidRPr="009118AB">
        <w:rPr>
          <w:i/>
        </w:rPr>
        <w:t> - </w:t>
      </w:r>
      <w:r w:rsidR="0019661C" w:rsidRPr="009118AB">
        <w:rPr>
          <w:i/>
        </w:rPr>
        <w:t>anwendbar auf die ab dem 1. Januar 2018 erzielten oder bezogenen Einkünfte</w:t>
      </w:r>
      <w:r w:rsidR="00FD68E8" w:rsidRPr="009118AB">
        <w:rPr>
          <w:i/>
        </w:rPr>
        <w:t> -,</w:t>
      </w:r>
      <w:r w:rsidR="007D7AEE" w:rsidRPr="009118AB">
        <w:rPr>
          <w:i/>
        </w:rPr>
        <w:t xml:space="preserve"> </w:t>
      </w:r>
      <w:r w:rsidR="00840623" w:rsidRPr="009118AB">
        <w:rPr>
          <w:i/>
        </w:rPr>
        <w:t xml:space="preserve">selbst bedingt </w:t>
      </w:r>
      <w:r w:rsidR="007D7AEE" w:rsidRPr="009118AB">
        <w:rPr>
          <w:i/>
        </w:rPr>
        <w:t>für nichtig erklärt durch</w:t>
      </w:r>
      <w:r w:rsidR="00F11C09" w:rsidRPr="009118AB">
        <w:rPr>
          <w:i/>
        </w:rPr>
        <w:t xml:space="preserve"> Entscheid </w:t>
      </w:r>
      <w:r w:rsidR="00D67EB8" w:rsidRPr="009118AB">
        <w:rPr>
          <w:i/>
        </w:rPr>
        <w:t>Nr. </w:t>
      </w:r>
      <w:r w:rsidR="00F11C09" w:rsidRPr="009118AB">
        <w:rPr>
          <w:i/>
        </w:rPr>
        <w:t>53/2020 des Verfassungsgerichtshofes vom 23. April 2020 (B.S. vom 20. Mai 2020)</w:t>
      </w:r>
      <w:r w:rsidR="007D7AEE" w:rsidRPr="009118AB">
        <w:rPr>
          <w:i/>
        </w:rPr>
        <w:t xml:space="preserve">, und </w:t>
      </w:r>
      <w:r w:rsidR="00A12402" w:rsidRPr="009118AB">
        <w:rPr>
          <w:i/>
        </w:rPr>
        <w:t>erneut</w:t>
      </w:r>
      <w:r w:rsidR="007D7AEE" w:rsidRPr="009118AB">
        <w:rPr>
          <w:i/>
        </w:rPr>
        <w:t xml:space="preserve"> </w:t>
      </w:r>
      <w:r w:rsidR="00840623" w:rsidRPr="009118AB">
        <w:rPr>
          <w:i/>
        </w:rPr>
        <w:t>ersetz</w:t>
      </w:r>
      <w:r w:rsidR="007D7AEE" w:rsidRPr="009118AB">
        <w:rPr>
          <w:i/>
        </w:rPr>
        <w:t xml:space="preserve">t durch </w:t>
      </w:r>
      <w:r w:rsidR="00D67EB8" w:rsidRPr="009118AB">
        <w:rPr>
          <w:i/>
        </w:rPr>
        <w:t>Art. </w:t>
      </w:r>
      <w:r w:rsidR="007D7AEE" w:rsidRPr="009118AB">
        <w:rPr>
          <w:i/>
        </w:rPr>
        <w:t>60 des G. vom 24. Dezember 2020 (B.S. vom 31. Dezember 2020)</w:t>
      </w:r>
      <w:r w:rsidR="00D67EB8" w:rsidRPr="009118AB">
        <w:rPr>
          <w:i/>
          <w:iCs/>
        </w:rPr>
        <w:t> - </w:t>
      </w:r>
      <w:r w:rsidR="000555F6" w:rsidRPr="009118AB">
        <w:rPr>
          <w:i/>
          <w:iCs/>
        </w:rPr>
        <w:t>in Kraft am 1. Januar 2021 und anwendbar auf die ab dem 1. Januar 2021 erzielten oder bezogenen Einkünfte</w:t>
      </w:r>
      <w:r w:rsidR="003366D9" w:rsidRPr="009118AB">
        <w:rPr>
          <w:i/>
          <w:iCs/>
        </w:rPr>
        <w:t> -;</w:t>
      </w:r>
      <w:r w:rsidR="0001730E" w:rsidRPr="009118AB">
        <w:rPr>
          <w:i/>
          <w:iCs/>
        </w:rPr>
        <w:t xml:space="preserve"> </w:t>
      </w:r>
      <w:r w:rsidR="00D67EB8" w:rsidRPr="009118AB">
        <w:rPr>
          <w:i/>
          <w:iCs/>
        </w:rPr>
        <w:t>§ </w:t>
      </w:r>
      <w:r w:rsidR="0001730E" w:rsidRPr="009118AB">
        <w:rPr>
          <w:i/>
          <w:iCs/>
        </w:rPr>
        <w:t xml:space="preserve">2 </w:t>
      </w:r>
      <w:r w:rsidR="00D67EB8" w:rsidRPr="009118AB">
        <w:rPr>
          <w:i/>
          <w:iCs/>
        </w:rPr>
        <w:t>Abs. </w:t>
      </w:r>
      <w:r w:rsidR="0001730E" w:rsidRPr="009118AB">
        <w:rPr>
          <w:i/>
          <w:iCs/>
        </w:rPr>
        <w:t xml:space="preserve">1 ersetzt durch </w:t>
      </w:r>
      <w:r w:rsidR="00D67EB8" w:rsidRPr="009118AB">
        <w:rPr>
          <w:i/>
          <w:iCs/>
        </w:rPr>
        <w:t>Art. </w:t>
      </w:r>
      <w:r w:rsidR="0001730E" w:rsidRPr="009118AB">
        <w:rPr>
          <w:i/>
          <w:iCs/>
        </w:rPr>
        <w:t xml:space="preserve">3 </w:t>
      </w:r>
      <w:r w:rsidR="00D67EB8" w:rsidRPr="009118AB">
        <w:rPr>
          <w:i/>
          <w:iCs/>
        </w:rPr>
        <w:t>Nr. </w:t>
      </w:r>
      <w:r w:rsidR="0001730E" w:rsidRPr="009118AB">
        <w:rPr>
          <w:i/>
          <w:iCs/>
        </w:rPr>
        <w:t>1 des G. vom 26. April 2022 (B.S. vom 6. Mai 2022)</w:t>
      </w:r>
      <w:r w:rsidR="00D67EB8" w:rsidRPr="009118AB">
        <w:rPr>
          <w:i/>
          <w:iCs/>
        </w:rPr>
        <w:t> - </w:t>
      </w:r>
      <w:r w:rsidR="0001730E" w:rsidRPr="009118AB">
        <w:rPr>
          <w:i/>
          <w:iCs/>
        </w:rPr>
        <w:t>anwendbar auf die ab dem 1. Januar 2022 bezogenen Einkünfte</w:t>
      </w:r>
      <w:r w:rsidR="003366D9" w:rsidRPr="009118AB">
        <w:rPr>
          <w:i/>
          <w:iCs/>
        </w:rPr>
        <w:t> -;</w:t>
      </w:r>
      <w:r w:rsidR="0001730E" w:rsidRPr="009118AB">
        <w:rPr>
          <w:i/>
          <w:iCs/>
        </w:rPr>
        <w:t xml:space="preserve"> </w:t>
      </w:r>
      <w:r w:rsidR="00D67EB8" w:rsidRPr="009118AB">
        <w:rPr>
          <w:i/>
          <w:iCs/>
        </w:rPr>
        <w:t>§ </w:t>
      </w:r>
      <w:r w:rsidR="0001730E" w:rsidRPr="009118AB">
        <w:rPr>
          <w:i/>
          <w:iCs/>
        </w:rPr>
        <w:t xml:space="preserve">2 </w:t>
      </w:r>
      <w:r w:rsidR="00D67EB8" w:rsidRPr="009118AB">
        <w:rPr>
          <w:i/>
          <w:iCs/>
        </w:rPr>
        <w:t>Abs. </w:t>
      </w:r>
      <w:r w:rsidR="0001730E" w:rsidRPr="009118AB">
        <w:rPr>
          <w:i/>
          <w:iCs/>
        </w:rPr>
        <w:t xml:space="preserve">3 aufgehoben durch </w:t>
      </w:r>
      <w:r w:rsidR="00D67EB8" w:rsidRPr="009118AB">
        <w:rPr>
          <w:i/>
          <w:iCs/>
        </w:rPr>
        <w:t>Art. </w:t>
      </w:r>
      <w:r w:rsidR="0001730E" w:rsidRPr="009118AB">
        <w:rPr>
          <w:i/>
          <w:iCs/>
        </w:rPr>
        <w:t xml:space="preserve">3 </w:t>
      </w:r>
      <w:r w:rsidR="00D67EB8" w:rsidRPr="009118AB">
        <w:rPr>
          <w:i/>
          <w:iCs/>
        </w:rPr>
        <w:t>Nr. </w:t>
      </w:r>
      <w:r w:rsidR="0001730E" w:rsidRPr="009118AB">
        <w:rPr>
          <w:i/>
          <w:iCs/>
        </w:rPr>
        <w:t>2 des G. vom 26. April 2022 (B.S. vom 6. Mai 2022)</w:t>
      </w:r>
      <w:r w:rsidR="00D67EB8" w:rsidRPr="009118AB">
        <w:rPr>
          <w:i/>
          <w:iCs/>
        </w:rPr>
        <w:t> - </w:t>
      </w:r>
      <w:r w:rsidR="0001730E" w:rsidRPr="009118AB">
        <w:rPr>
          <w:i/>
          <w:iCs/>
        </w:rPr>
        <w:t>anwendbar auf die ab dem 1. Januar 2022 bezogenen Einkünfte</w:t>
      </w:r>
      <w:r w:rsidR="00FD68E8" w:rsidRPr="009118AB">
        <w:rPr>
          <w:i/>
          <w:iCs/>
        </w:rPr>
        <w:t> -]</w:t>
      </w:r>
    </w:p>
    <w:p w14:paraId="45F372BA" w14:textId="77777777" w:rsidR="001E243B" w:rsidRPr="009118AB" w:rsidRDefault="001E243B" w:rsidP="00477B8F">
      <w:pPr>
        <w:autoSpaceDE w:val="0"/>
        <w:autoSpaceDN w:val="0"/>
        <w:adjustRightInd w:val="0"/>
        <w:jc w:val="center"/>
        <w:rPr>
          <w:i/>
        </w:rPr>
      </w:pPr>
    </w:p>
    <w:p w14:paraId="278510AE" w14:textId="77777777" w:rsidR="001E243B" w:rsidRPr="009118AB" w:rsidRDefault="001E243B" w:rsidP="00477B8F">
      <w:pPr>
        <w:autoSpaceDE w:val="0"/>
        <w:autoSpaceDN w:val="0"/>
        <w:adjustRightInd w:val="0"/>
        <w:jc w:val="center"/>
      </w:pPr>
    </w:p>
    <w:p w14:paraId="36DDA526" w14:textId="1450EB00" w:rsidR="00477B8F" w:rsidRPr="009118AB" w:rsidRDefault="00C31D59" w:rsidP="00477B8F">
      <w:pPr>
        <w:autoSpaceDE w:val="0"/>
        <w:autoSpaceDN w:val="0"/>
        <w:adjustRightInd w:val="0"/>
        <w:jc w:val="center"/>
      </w:pPr>
      <w:r w:rsidRPr="009118AB">
        <w:br w:type="page"/>
      </w:r>
      <w:r w:rsidR="00477B8F" w:rsidRPr="009118AB">
        <w:lastRenderedPageBreak/>
        <w:t>Unterabschnitt </w:t>
      </w:r>
      <w:r w:rsidR="00AA609D" w:rsidRPr="009118AB">
        <w:t>2</w:t>
      </w:r>
      <w:r w:rsidR="00D67EB8" w:rsidRPr="009118AB">
        <w:t> - </w:t>
      </w:r>
      <w:r w:rsidR="00477B8F" w:rsidRPr="009118AB">
        <w:t>Steuerfreie Einkünfte</w:t>
      </w:r>
    </w:p>
    <w:p w14:paraId="701576A6" w14:textId="77777777" w:rsidR="00477B8F" w:rsidRPr="009118AB" w:rsidRDefault="00477B8F" w:rsidP="00477B8F">
      <w:pPr>
        <w:autoSpaceDE w:val="0"/>
        <w:autoSpaceDN w:val="0"/>
        <w:adjustRightInd w:val="0"/>
        <w:jc w:val="both"/>
      </w:pPr>
    </w:p>
    <w:p w14:paraId="0275A1F7" w14:textId="77777777" w:rsidR="00477B8F" w:rsidRPr="009118AB" w:rsidRDefault="00477B8F" w:rsidP="00477B8F">
      <w:pPr>
        <w:autoSpaceDE w:val="0"/>
        <w:autoSpaceDN w:val="0"/>
        <w:adjustRightInd w:val="0"/>
        <w:jc w:val="both"/>
      </w:pPr>
    </w:p>
    <w:p w14:paraId="75D32452"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Soziale und kulturelle Steuerbefreiungen</w:t>
      </w:r>
    </w:p>
    <w:p w14:paraId="40254258" w14:textId="77777777" w:rsidR="00477B8F" w:rsidRPr="009118AB" w:rsidRDefault="00477B8F" w:rsidP="00477B8F">
      <w:pPr>
        <w:autoSpaceDE w:val="0"/>
        <w:autoSpaceDN w:val="0"/>
        <w:adjustRightInd w:val="0"/>
        <w:jc w:val="both"/>
      </w:pPr>
    </w:p>
    <w:p w14:paraId="706F11BE" w14:textId="77777777" w:rsidR="00477B8F" w:rsidRPr="009118AB" w:rsidRDefault="00477B8F" w:rsidP="00477B8F">
      <w:pPr>
        <w:autoSpaceDE w:val="0"/>
        <w:autoSpaceDN w:val="0"/>
        <w:adjustRightInd w:val="0"/>
        <w:jc w:val="both"/>
      </w:pPr>
    </w:p>
    <w:p w14:paraId="662762A0" w14:textId="1B59FCE1" w:rsidR="00696305" w:rsidRPr="00B51DF1" w:rsidRDefault="00141221" w:rsidP="00B51DF1">
      <w:pPr>
        <w:autoSpaceDE w:val="0"/>
        <w:autoSpaceDN w:val="0"/>
        <w:adjustRightInd w:val="0"/>
        <w:jc w:val="both"/>
      </w:pPr>
      <w:r w:rsidRPr="009118AB">
        <w:rPr>
          <w:bCs/>
        </w:rPr>
        <w:tab/>
      </w:r>
      <w:r w:rsidR="00D67EB8" w:rsidRPr="009118AB">
        <w:rPr>
          <w:b/>
          <w:bCs/>
        </w:rPr>
        <w:t>Art. </w:t>
      </w:r>
      <w:r w:rsidR="0003392D" w:rsidRPr="009118AB">
        <w:rPr>
          <w:b/>
          <w:bCs/>
        </w:rPr>
        <w:t>38</w:t>
      </w:r>
      <w:r w:rsidR="00D67EB8" w:rsidRPr="009118AB">
        <w:t> - </w:t>
      </w:r>
      <w:r w:rsidR="00696305" w:rsidRPr="00B51DF1">
        <w:t>[§ 1] - Steuerfrei sind:</w:t>
      </w:r>
    </w:p>
    <w:p w14:paraId="0FFF734A" w14:textId="77777777" w:rsidR="00696305" w:rsidRPr="00B51DF1" w:rsidRDefault="00696305" w:rsidP="00B51DF1">
      <w:pPr>
        <w:autoSpaceDE w:val="0"/>
        <w:autoSpaceDN w:val="0"/>
        <w:adjustRightInd w:val="0"/>
        <w:ind w:firstLine="709"/>
        <w:jc w:val="both"/>
      </w:pPr>
    </w:p>
    <w:p w14:paraId="55F68538" w14:textId="77777777" w:rsidR="00696305" w:rsidRPr="00B51DF1" w:rsidRDefault="00696305" w:rsidP="00B51DF1">
      <w:pPr>
        <w:autoSpaceDE w:val="0"/>
        <w:autoSpaceDN w:val="0"/>
        <w:adjustRightInd w:val="0"/>
        <w:ind w:firstLine="709"/>
        <w:jc w:val="both"/>
      </w:pPr>
      <w:r w:rsidRPr="00B51DF1">
        <w:t>1. [gesetzliche Kinderzulagen, Geburtsbeihilfen und Adoptionsprämien,]</w:t>
      </w:r>
    </w:p>
    <w:p w14:paraId="6D619D0B" w14:textId="77777777" w:rsidR="00696305" w:rsidRPr="00B51DF1" w:rsidRDefault="00696305" w:rsidP="00B51DF1">
      <w:pPr>
        <w:autoSpaceDE w:val="0"/>
        <w:autoSpaceDN w:val="0"/>
        <w:adjustRightInd w:val="0"/>
        <w:ind w:firstLine="709"/>
        <w:jc w:val="both"/>
      </w:pPr>
    </w:p>
    <w:p w14:paraId="54D297D2" w14:textId="77777777" w:rsidR="00696305" w:rsidRPr="00B51DF1" w:rsidRDefault="00696305" w:rsidP="00B51DF1">
      <w:pPr>
        <w:autoSpaceDE w:val="0"/>
        <w:autoSpaceDN w:val="0"/>
        <w:adjustRightInd w:val="0"/>
        <w:ind w:firstLine="709"/>
        <w:jc w:val="both"/>
      </w:pPr>
      <w:r w:rsidRPr="00B51DF1">
        <w:t>2. Pensionen oder Renten, die militärischen und zivilen Opfern beider Weltkriege oder ihren Rechtsnachfolgern zu Lasten der Staatskasse bewilligt werden, ausschließlich militärischer Dienstalterspensionen,</w:t>
      </w:r>
    </w:p>
    <w:p w14:paraId="2E1731A0" w14:textId="77777777" w:rsidR="00696305" w:rsidRPr="00B51DF1" w:rsidRDefault="00696305" w:rsidP="00B51DF1">
      <w:pPr>
        <w:autoSpaceDE w:val="0"/>
        <w:autoSpaceDN w:val="0"/>
        <w:adjustRightInd w:val="0"/>
        <w:ind w:firstLine="709"/>
        <w:jc w:val="both"/>
      </w:pPr>
    </w:p>
    <w:p w14:paraId="4AD794E6" w14:textId="77777777" w:rsidR="00696305" w:rsidRPr="00B51DF1" w:rsidRDefault="00696305" w:rsidP="00B51DF1">
      <w:pPr>
        <w:autoSpaceDE w:val="0"/>
        <w:autoSpaceDN w:val="0"/>
        <w:adjustRightInd w:val="0"/>
        <w:ind w:firstLine="709"/>
        <w:jc w:val="both"/>
      </w:pPr>
      <w:r w:rsidRPr="00B51DF1">
        <w:t>[2/1. Pensionen, Renten und andere periodische oder nicht periodische Leistungen, die Opfern des Krieges 1940-1945 oder ihren Rechtsnachfolgern von ausländischen Behörden oder aufgrund einer ausländischen Sozialversicherungsregelung gewährt werden,]</w:t>
      </w:r>
    </w:p>
    <w:p w14:paraId="4B782A39" w14:textId="77777777" w:rsidR="00696305" w:rsidRPr="00B51DF1" w:rsidRDefault="00696305" w:rsidP="00B51DF1">
      <w:pPr>
        <w:autoSpaceDE w:val="0"/>
        <w:autoSpaceDN w:val="0"/>
        <w:adjustRightInd w:val="0"/>
        <w:ind w:firstLine="709"/>
        <w:jc w:val="both"/>
      </w:pPr>
      <w:r w:rsidRPr="00B51DF1">
        <w:tab/>
      </w:r>
    </w:p>
    <w:p w14:paraId="5BF8B169" w14:textId="77777777" w:rsidR="00696305" w:rsidRPr="00B51DF1" w:rsidRDefault="00696305" w:rsidP="00B51DF1">
      <w:pPr>
        <w:autoSpaceDE w:val="0"/>
        <w:autoSpaceDN w:val="0"/>
        <w:adjustRightInd w:val="0"/>
        <w:ind w:firstLine="709"/>
        <w:jc w:val="both"/>
      </w:pPr>
      <w:r w:rsidRPr="00B51DF1">
        <w:t>3. Dotationen, die auf der Grundlage des Gesetzes vom 21. Juni 1960 Militärpersonen zuerkannt werden, die während des Krieges 1940</w:t>
      </w:r>
      <w:r w:rsidRPr="00B51DF1">
        <w:noBreakHyphen/>
        <w:t>1945 in den belgischen Streitkräften in Großbritannien gedient haben,</w:t>
      </w:r>
    </w:p>
    <w:p w14:paraId="6EBAE7C7" w14:textId="77777777" w:rsidR="00696305" w:rsidRPr="00B51DF1" w:rsidRDefault="00696305" w:rsidP="00B51DF1">
      <w:pPr>
        <w:autoSpaceDE w:val="0"/>
        <w:autoSpaceDN w:val="0"/>
        <w:adjustRightInd w:val="0"/>
        <w:ind w:firstLine="709"/>
        <w:jc w:val="both"/>
      </w:pPr>
    </w:p>
    <w:p w14:paraId="135AA6F2" w14:textId="77777777" w:rsidR="00696305" w:rsidRPr="00B51DF1" w:rsidRDefault="00696305" w:rsidP="00B51DF1">
      <w:pPr>
        <w:autoSpaceDE w:val="0"/>
        <w:autoSpaceDN w:val="0"/>
        <w:adjustRightInd w:val="0"/>
        <w:ind w:firstLine="709"/>
        <w:jc w:val="both"/>
      </w:pPr>
      <w:r w:rsidRPr="00B51DF1">
        <w:t>4. Beihilfen, die Behinderten in Ausführung der diesbezüglichen Rechtsvorschriften zu Lasten der Staatskasse gewährt werden,</w:t>
      </w:r>
    </w:p>
    <w:p w14:paraId="17C349E3" w14:textId="77777777" w:rsidR="00696305" w:rsidRPr="00B51DF1" w:rsidRDefault="00696305" w:rsidP="00B51DF1">
      <w:pPr>
        <w:autoSpaceDE w:val="0"/>
        <w:autoSpaceDN w:val="0"/>
        <w:adjustRightInd w:val="0"/>
        <w:ind w:firstLine="709"/>
        <w:jc w:val="both"/>
      </w:pPr>
    </w:p>
    <w:p w14:paraId="39F6573E" w14:textId="77777777" w:rsidR="00696305" w:rsidRPr="00B51DF1" w:rsidRDefault="00696305" w:rsidP="00B51DF1">
      <w:pPr>
        <w:autoSpaceDE w:val="0"/>
        <w:autoSpaceDN w:val="0"/>
        <w:adjustRightInd w:val="0"/>
        <w:ind w:firstLine="709"/>
        <w:jc w:val="both"/>
      </w:pPr>
      <w:r w:rsidRPr="00B51DF1">
        <w:t>5. Zulagen für Gesundheitspflege und Bestattungskosten, die in Ausführung der Rechtsvorschriften über Kranken</w:t>
      </w:r>
      <w:r w:rsidRPr="00B51DF1">
        <w:noBreakHyphen/>
        <w:t xml:space="preserve"> und Invalidenversicherung, über Schadenersatz für Arbeits- und Wegeunfälle oder über Schadenersatz für Berufskrankheiten bewilligt werden,</w:t>
      </w:r>
    </w:p>
    <w:p w14:paraId="3A7DADD4" w14:textId="77777777" w:rsidR="00696305" w:rsidRPr="00B51DF1" w:rsidRDefault="00696305" w:rsidP="00B51DF1">
      <w:pPr>
        <w:autoSpaceDE w:val="0"/>
        <w:autoSpaceDN w:val="0"/>
        <w:adjustRightInd w:val="0"/>
        <w:ind w:firstLine="709"/>
        <w:jc w:val="both"/>
      </w:pPr>
    </w:p>
    <w:p w14:paraId="028282B9" w14:textId="77777777" w:rsidR="00696305" w:rsidRPr="00B51DF1" w:rsidRDefault="00696305" w:rsidP="00B51DF1">
      <w:pPr>
        <w:autoSpaceDE w:val="0"/>
        <w:autoSpaceDN w:val="0"/>
        <w:adjustRightInd w:val="0"/>
        <w:ind w:firstLine="709"/>
        <w:jc w:val="both"/>
      </w:pPr>
      <w:r w:rsidRPr="00B51DF1">
        <w:t>6. Zulagen für Gesundheitspflege und Bestattungskosten, die im Rahmen der freien Krankenkassenversicherung durch Krankenkassen und Krankenkassenlandesverbände bewilligt werden, die gemäß dem Gesetz vom 6. August 1990 gebilligt sind,</w:t>
      </w:r>
    </w:p>
    <w:p w14:paraId="63DDAB7A" w14:textId="77777777" w:rsidR="00696305" w:rsidRPr="00B51DF1" w:rsidRDefault="00696305" w:rsidP="00B51DF1">
      <w:pPr>
        <w:autoSpaceDE w:val="0"/>
        <w:autoSpaceDN w:val="0"/>
        <w:adjustRightInd w:val="0"/>
        <w:ind w:firstLine="709"/>
        <w:jc w:val="both"/>
      </w:pPr>
    </w:p>
    <w:p w14:paraId="4A0850F9" w14:textId="77777777" w:rsidR="00696305" w:rsidRPr="00B51DF1" w:rsidRDefault="00696305" w:rsidP="00B51DF1">
      <w:pPr>
        <w:autoSpaceDE w:val="0"/>
        <w:autoSpaceDN w:val="0"/>
        <w:adjustRightInd w:val="0"/>
        <w:ind w:firstLine="709"/>
        <w:jc w:val="both"/>
      </w:pPr>
      <w:r w:rsidRPr="00B51DF1">
        <w:t>7. Entschädigungen für Bestattungskosten, die der Staat, die Gemeinschaften und die Regionen den Rechtsnachfolgern ihrer Personalmitglieder oder ehemaligen Personalmitglieder bewilligen,</w:t>
      </w:r>
    </w:p>
    <w:p w14:paraId="3C172F48" w14:textId="77777777" w:rsidR="00696305" w:rsidRPr="00B51DF1" w:rsidRDefault="00696305" w:rsidP="00B51DF1">
      <w:pPr>
        <w:autoSpaceDE w:val="0"/>
        <w:autoSpaceDN w:val="0"/>
        <w:adjustRightInd w:val="0"/>
        <w:ind w:firstLine="709"/>
        <w:jc w:val="both"/>
      </w:pPr>
    </w:p>
    <w:p w14:paraId="607DBA4A" w14:textId="77777777" w:rsidR="00696305" w:rsidRPr="00B51DF1" w:rsidRDefault="00696305" w:rsidP="00B51DF1">
      <w:pPr>
        <w:autoSpaceDE w:val="0"/>
        <w:autoSpaceDN w:val="0"/>
        <w:adjustRightInd w:val="0"/>
        <w:ind w:firstLine="709"/>
        <w:jc w:val="both"/>
      </w:pPr>
      <w:r w:rsidRPr="00B51DF1">
        <w:t>8. Zulagen, die in Ausführung eines Einzelversicherungsvertrags gegen Unfälle mit Personenschaden bezogen werden,</w:t>
      </w:r>
    </w:p>
    <w:p w14:paraId="5260A09E" w14:textId="77777777" w:rsidR="00696305" w:rsidRPr="00B51DF1" w:rsidRDefault="00696305" w:rsidP="00B51DF1">
      <w:pPr>
        <w:autoSpaceDE w:val="0"/>
        <w:autoSpaceDN w:val="0"/>
        <w:adjustRightInd w:val="0"/>
        <w:ind w:firstLine="709"/>
        <w:jc w:val="both"/>
      </w:pPr>
    </w:p>
    <w:p w14:paraId="5FFEB147" w14:textId="77777777" w:rsidR="00696305" w:rsidRPr="00B51DF1" w:rsidRDefault="00696305" w:rsidP="00B51DF1">
      <w:pPr>
        <w:autoSpaceDE w:val="0"/>
        <w:autoSpaceDN w:val="0"/>
        <w:adjustRightInd w:val="0"/>
        <w:ind w:firstLine="709"/>
        <w:jc w:val="both"/>
      </w:pPr>
      <w:r w:rsidRPr="00B51DF1">
        <w:t>9. [für Arbeitnehmer, deren Werbungskosten gemäß Artikel 51 pauschal festgelegt werden, Entschädigungen, die der Arbeitgeber als Erstattung oder Zahlung der Kosten der Fahrt zwischen Wohnsitz und Arbeitsplatz bewilligt, sofern die Arbeitnehmer für diese Fahrt eines der folgenden Beförderungsmittel nutzen:</w:t>
      </w:r>
    </w:p>
    <w:p w14:paraId="48E3CF81" w14:textId="77777777" w:rsidR="00696305" w:rsidRPr="00B51DF1" w:rsidRDefault="00696305" w:rsidP="00B51DF1">
      <w:pPr>
        <w:autoSpaceDE w:val="0"/>
        <w:autoSpaceDN w:val="0"/>
        <w:adjustRightInd w:val="0"/>
        <w:ind w:firstLine="709"/>
        <w:jc w:val="both"/>
      </w:pPr>
    </w:p>
    <w:p w14:paraId="669C521D" w14:textId="77777777" w:rsidR="00696305" w:rsidRPr="00B51DF1" w:rsidRDefault="00696305" w:rsidP="00B51DF1">
      <w:pPr>
        <w:autoSpaceDE w:val="0"/>
        <w:autoSpaceDN w:val="0"/>
        <w:adjustRightInd w:val="0"/>
        <w:ind w:firstLine="709"/>
        <w:jc w:val="both"/>
      </w:pPr>
      <w:r w:rsidRPr="00B51DF1">
        <w:rPr>
          <w:i/>
          <w:iCs/>
        </w:rPr>
        <w:t>a)</w:t>
      </w:r>
      <w:r w:rsidRPr="00B51DF1">
        <w:t xml:space="preserve"> öffentliche Verkehrsmittel: bis zum Gesamtbetrag der Entschädigung,</w:t>
      </w:r>
    </w:p>
    <w:p w14:paraId="160722F7" w14:textId="77777777" w:rsidR="00696305" w:rsidRPr="00B51DF1" w:rsidRDefault="00696305" w:rsidP="00B51DF1">
      <w:pPr>
        <w:autoSpaceDE w:val="0"/>
        <w:autoSpaceDN w:val="0"/>
        <w:adjustRightInd w:val="0"/>
        <w:ind w:firstLine="709"/>
        <w:jc w:val="both"/>
        <w:rPr>
          <w:i/>
          <w:iCs/>
        </w:rPr>
      </w:pPr>
    </w:p>
    <w:p w14:paraId="2AD51DF2" w14:textId="77777777" w:rsidR="00696305" w:rsidRPr="00B51DF1" w:rsidRDefault="00696305" w:rsidP="00B51DF1">
      <w:pPr>
        <w:autoSpaceDE w:val="0"/>
        <w:autoSpaceDN w:val="0"/>
        <w:adjustRightInd w:val="0"/>
        <w:ind w:firstLine="709"/>
        <w:jc w:val="both"/>
      </w:pPr>
      <w:r w:rsidRPr="00B51DF1">
        <w:rPr>
          <w:i/>
          <w:iCs/>
        </w:rPr>
        <w:t>b)</w:t>
      </w:r>
      <w:r w:rsidRPr="00B51DF1">
        <w:t xml:space="preserve"> gemeinschaftliche Beförderung von Personalmitgliedern, die vom Arbeitgeber oder von einer Gruppe von Arbeitgebern organisiert wird: bis zu einem Betrag, der auf den Preis eines Zugabonnements erster Klasse für diese Strecke begrenzt ist,</w:t>
      </w:r>
    </w:p>
    <w:p w14:paraId="4CEA99F1" w14:textId="77777777" w:rsidR="00696305" w:rsidRPr="00B51DF1" w:rsidRDefault="00696305" w:rsidP="00B51DF1">
      <w:pPr>
        <w:autoSpaceDE w:val="0"/>
        <w:autoSpaceDN w:val="0"/>
        <w:adjustRightInd w:val="0"/>
        <w:ind w:firstLine="709"/>
        <w:jc w:val="both"/>
      </w:pPr>
    </w:p>
    <w:p w14:paraId="5F2081E6" w14:textId="77777777" w:rsidR="00696305" w:rsidRPr="00B51DF1" w:rsidRDefault="00696305" w:rsidP="00B51DF1">
      <w:pPr>
        <w:autoSpaceDE w:val="0"/>
        <w:autoSpaceDN w:val="0"/>
        <w:adjustRightInd w:val="0"/>
        <w:ind w:firstLine="709"/>
        <w:jc w:val="both"/>
      </w:pPr>
      <w:r w:rsidRPr="00B51DF1">
        <w:rPr>
          <w:i/>
          <w:iCs/>
        </w:rPr>
        <w:t>c)</w:t>
      </w:r>
      <w:r w:rsidRPr="00B51DF1">
        <w:t xml:space="preserve"> andere Transportmittel als die in Buchstabe </w:t>
      </w:r>
      <w:r w:rsidRPr="00B51DF1">
        <w:rPr>
          <w:i/>
          <w:iCs/>
        </w:rPr>
        <w:t>a)</w:t>
      </w:r>
      <w:r w:rsidRPr="00B51DF1">
        <w:t xml:space="preserve"> oder </w:t>
      </w:r>
      <w:r w:rsidRPr="00B51DF1">
        <w:rPr>
          <w:i/>
          <w:iCs/>
        </w:rPr>
        <w:t>b)</w:t>
      </w:r>
      <w:r w:rsidRPr="00B51DF1">
        <w:t xml:space="preserve"> erwähnten: [bis zu einem Höchstbetrag von 250 EUR pro Jahr],]</w:t>
      </w:r>
    </w:p>
    <w:p w14:paraId="7D243C1A" w14:textId="77777777" w:rsidR="00696305" w:rsidRPr="00B51DF1" w:rsidRDefault="00696305" w:rsidP="00B51DF1">
      <w:pPr>
        <w:autoSpaceDE w:val="0"/>
        <w:autoSpaceDN w:val="0"/>
        <w:adjustRightInd w:val="0"/>
        <w:ind w:firstLine="709"/>
        <w:jc w:val="both"/>
      </w:pPr>
    </w:p>
    <w:p w14:paraId="7222B2B2" w14:textId="77777777" w:rsidR="00696305" w:rsidRPr="00B51DF1" w:rsidRDefault="00696305" w:rsidP="00B51DF1">
      <w:pPr>
        <w:autoSpaceDE w:val="0"/>
        <w:autoSpaceDN w:val="0"/>
        <w:adjustRightInd w:val="0"/>
        <w:ind w:firstLine="709"/>
        <w:jc w:val="both"/>
      </w:pPr>
      <w:r w:rsidRPr="00B51DF1">
        <w:t>10. Renten, die Invaliden in Friedenszeiten oder ihren Rechtsnachfolgern bewilligt werden, soweit sie den Betrag überschreiten, der der Ruhestands- oder Hinterbliebenenpension entspricht, auf die die Betreffenden normalerweise Anspruch hätten erheben können,</w:t>
      </w:r>
    </w:p>
    <w:p w14:paraId="382E3D3E" w14:textId="77777777" w:rsidR="00696305" w:rsidRPr="00B51DF1" w:rsidRDefault="00696305" w:rsidP="00B51DF1">
      <w:pPr>
        <w:autoSpaceDE w:val="0"/>
        <w:autoSpaceDN w:val="0"/>
        <w:adjustRightInd w:val="0"/>
        <w:ind w:firstLine="709"/>
        <w:jc w:val="both"/>
      </w:pPr>
    </w:p>
    <w:p w14:paraId="60F0409F" w14:textId="77777777" w:rsidR="00696305" w:rsidRPr="00B51DF1" w:rsidRDefault="00696305" w:rsidP="00B51DF1">
      <w:pPr>
        <w:autoSpaceDE w:val="0"/>
        <w:autoSpaceDN w:val="0"/>
        <w:adjustRightInd w:val="0"/>
        <w:ind w:firstLine="709"/>
        <w:jc w:val="both"/>
      </w:pPr>
      <w:r w:rsidRPr="00B51DF1">
        <w:t>11. [folgende Sozialvorteile zugunsten von Personen, die [in Artikel 30 Nr. 1 und 2 erwähnte] Entlohnungen beziehen oder bezogen haben, und zugunsten ihrer Rechtsnachfolger:]</w:t>
      </w:r>
    </w:p>
    <w:p w14:paraId="7BEC1070" w14:textId="77777777" w:rsidR="00696305" w:rsidRPr="00B51DF1" w:rsidRDefault="00696305" w:rsidP="00B51DF1">
      <w:pPr>
        <w:autoSpaceDE w:val="0"/>
        <w:autoSpaceDN w:val="0"/>
        <w:adjustRightInd w:val="0"/>
        <w:ind w:firstLine="709"/>
        <w:jc w:val="both"/>
      </w:pPr>
    </w:p>
    <w:p w14:paraId="2A3FA27B" w14:textId="77777777" w:rsidR="00696305" w:rsidRPr="00B51DF1" w:rsidRDefault="00696305" w:rsidP="00B51DF1">
      <w:pPr>
        <w:autoSpaceDE w:val="0"/>
        <w:autoSpaceDN w:val="0"/>
        <w:adjustRightInd w:val="0"/>
        <w:ind w:firstLine="709"/>
        <w:jc w:val="both"/>
      </w:pPr>
      <w:r w:rsidRPr="00B51DF1">
        <w:rPr>
          <w:i/>
          <w:iCs/>
        </w:rPr>
        <w:t>a)</w:t>
      </w:r>
      <w:r w:rsidRPr="00B51DF1">
        <w:t xml:space="preserve"> Vorteile, bei denen der von jedem Empfänger tatsächlich erhaltene Betrag aufgrund der Weise, wie sie bewilligt werden, nicht festgelegt werden kann,</w:t>
      </w:r>
    </w:p>
    <w:p w14:paraId="66492405" w14:textId="77777777" w:rsidR="00696305" w:rsidRPr="00B51DF1" w:rsidRDefault="00696305" w:rsidP="00B51DF1">
      <w:pPr>
        <w:autoSpaceDE w:val="0"/>
        <w:autoSpaceDN w:val="0"/>
        <w:adjustRightInd w:val="0"/>
        <w:ind w:firstLine="709"/>
        <w:jc w:val="both"/>
      </w:pPr>
    </w:p>
    <w:p w14:paraId="1EF7BDC4" w14:textId="77777777" w:rsidR="00696305" w:rsidRPr="00B51DF1" w:rsidRDefault="00696305" w:rsidP="00B51DF1">
      <w:pPr>
        <w:autoSpaceDE w:val="0"/>
        <w:autoSpaceDN w:val="0"/>
        <w:adjustRightInd w:val="0"/>
        <w:ind w:firstLine="709"/>
        <w:jc w:val="both"/>
      </w:pPr>
      <w:r w:rsidRPr="00B51DF1">
        <w:rPr>
          <w:i/>
          <w:iCs/>
        </w:rPr>
        <w:t>b)</w:t>
      </w:r>
      <w:r w:rsidRPr="00B51DF1">
        <w:t xml:space="preserve"> Vorteile, die keine wirkliche Entlohnung darstellen, obwohl sie individualisierbar sind,</w:t>
      </w:r>
    </w:p>
    <w:p w14:paraId="2137DBE6" w14:textId="77777777" w:rsidR="00696305" w:rsidRPr="00B51DF1" w:rsidRDefault="00696305" w:rsidP="00B51DF1">
      <w:pPr>
        <w:autoSpaceDE w:val="0"/>
        <w:autoSpaceDN w:val="0"/>
        <w:adjustRightInd w:val="0"/>
        <w:ind w:firstLine="709"/>
        <w:jc w:val="both"/>
      </w:pPr>
    </w:p>
    <w:p w14:paraId="76FBDC45" w14:textId="77777777" w:rsidR="00696305" w:rsidRPr="00B51DF1" w:rsidRDefault="00696305" w:rsidP="00B51DF1">
      <w:pPr>
        <w:autoSpaceDE w:val="0"/>
        <w:autoSpaceDN w:val="0"/>
        <w:adjustRightInd w:val="0"/>
        <w:ind w:firstLine="709"/>
        <w:jc w:val="both"/>
      </w:pPr>
      <w:r w:rsidRPr="00B51DF1">
        <w:rPr>
          <w:i/>
          <w:iCs/>
        </w:rPr>
        <w:t>c)</w:t>
      </w:r>
      <w:r w:rsidRPr="00B51DF1">
        <w:t xml:space="preserve"> geringe Vorteile oder Gelegenheitsgeschenke anlässlich oder aufgrund von Ereignissen, die nicht in direktem Zusammenhang mit der Berufstätigkeit stehen,</w:t>
      </w:r>
    </w:p>
    <w:p w14:paraId="373E3B7A" w14:textId="77777777" w:rsidR="00696305" w:rsidRPr="00B51DF1" w:rsidRDefault="00696305" w:rsidP="00B51DF1">
      <w:pPr>
        <w:autoSpaceDE w:val="0"/>
        <w:autoSpaceDN w:val="0"/>
        <w:adjustRightInd w:val="0"/>
        <w:ind w:firstLine="709"/>
        <w:jc w:val="both"/>
      </w:pPr>
    </w:p>
    <w:p w14:paraId="697C8D43" w14:textId="77777777" w:rsidR="00696305" w:rsidRPr="00B51DF1" w:rsidRDefault="00696305" w:rsidP="00B51DF1">
      <w:pPr>
        <w:autoSpaceDE w:val="0"/>
        <w:autoSpaceDN w:val="0"/>
        <w:adjustRightInd w:val="0"/>
        <w:ind w:firstLine="709"/>
        <w:jc w:val="both"/>
      </w:pPr>
      <w:r w:rsidRPr="00B51DF1">
        <w:t>[12. [Zulagen für freiwillige Feuerwehrleute, Zulagen für freiwillige Krankenwagen</w:t>
      </w:r>
      <w:r w:rsidRPr="00B51DF1">
        <w:softHyphen/>
        <w:t>fahrer [...] und Zulagen für freiwillige Mitarbeiter beim Zivilschutz bis zu 3.750 EUR,]]</w:t>
      </w:r>
    </w:p>
    <w:p w14:paraId="6A442A4A" w14:textId="77777777" w:rsidR="00696305" w:rsidRPr="00B51DF1" w:rsidRDefault="00696305" w:rsidP="00B51DF1">
      <w:pPr>
        <w:autoSpaceDE w:val="0"/>
        <w:autoSpaceDN w:val="0"/>
        <w:adjustRightInd w:val="0"/>
        <w:ind w:firstLine="709"/>
        <w:jc w:val="both"/>
      </w:pPr>
    </w:p>
    <w:p w14:paraId="541748C0" w14:textId="77777777" w:rsidR="00696305" w:rsidRPr="00B51DF1" w:rsidRDefault="00696305" w:rsidP="00B51DF1">
      <w:pPr>
        <w:autoSpaceDE w:val="0"/>
        <w:autoSpaceDN w:val="0"/>
        <w:adjustRightInd w:val="0"/>
        <w:ind w:firstLine="709"/>
        <w:jc w:val="both"/>
      </w:pPr>
      <w:r w:rsidRPr="00B51DF1">
        <w:t>[13. [Einkünfte, die für Leistungen bezogen werden, die im Rahmen eines LBA</w:t>
      </w:r>
      <w:r w:rsidRPr="00B51DF1">
        <w:noBreakHyphen/>
        <w:t>Arbeitsvertrags, wie in Artikel 3 des Gesetzes vom 7. April 1999 über den LBA</w:t>
      </w:r>
      <w:r w:rsidRPr="00B51DF1">
        <w:noBreakHyphen/>
        <w:t>Arbeitsvertrag definiert, erbracht werden, bis zu [6 EUR] pro geleistete Stunde,]]</w:t>
      </w:r>
    </w:p>
    <w:p w14:paraId="1C4ECEDC" w14:textId="77777777" w:rsidR="00696305" w:rsidRPr="00B51DF1" w:rsidRDefault="00696305" w:rsidP="00B51DF1">
      <w:pPr>
        <w:autoSpaceDE w:val="0"/>
        <w:autoSpaceDN w:val="0"/>
        <w:adjustRightInd w:val="0"/>
        <w:ind w:firstLine="709"/>
        <w:jc w:val="both"/>
      </w:pPr>
    </w:p>
    <w:p w14:paraId="166290FC" w14:textId="77777777" w:rsidR="00696305" w:rsidRPr="00B51DF1" w:rsidRDefault="00696305" w:rsidP="00B51DF1">
      <w:pPr>
        <w:autoSpaceDE w:val="0"/>
        <w:autoSpaceDN w:val="0"/>
        <w:adjustRightInd w:val="0"/>
        <w:ind w:firstLine="709"/>
        <w:jc w:val="both"/>
      </w:pPr>
      <w:r w:rsidRPr="00B51DF1">
        <w:t xml:space="preserve">[14. [[für Arbeitnehmer oder Unternehmensleiter, deren Werbungskosten gemäß Artikel 51 pauschal festgelegt werden:] </w:t>
      </w:r>
    </w:p>
    <w:p w14:paraId="5E60DCD3" w14:textId="77777777" w:rsidR="00696305" w:rsidRPr="00B51DF1" w:rsidRDefault="00696305" w:rsidP="00B51DF1">
      <w:pPr>
        <w:autoSpaceDE w:val="0"/>
        <w:autoSpaceDN w:val="0"/>
        <w:adjustRightInd w:val="0"/>
        <w:ind w:firstLine="709"/>
        <w:jc w:val="both"/>
      </w:pPr>
    </w:p>
    <w:p w14:paraId="45047D38" w14:textId="5881B512" w:rsidR="00696305" w:rsidRPr="00B51DF1" w:rsidRDefault="00696305" w:rsidP="00B51DF1">
      <w:pPr>
        <w:autoSpaceDE w:val="0"/>
        <w:autoSpaceDN w:val="0"/>
        <w:adjustRightInd w:val="0"/>
        <w:ind w:firstLine="709"/>
        <w:jc w:val="both"/>
      </w:pPr>
      <w:r w:rsidRPr="00B51DF1">
        <w:rPr>
          <w:i/>
        </w:rPr>
        <w:t>a)</w:t>
      </w:r>
      <w:r w:rsidRPr="00B51DF1">
        <w:t xml:space="preserve"> [[bis zu höchstens</w:t>
      </w:r>
      <w:r w:rsidR="001009A1">
        <w:t xml:space="preserve"> [</w:t>
      </w:r>
      <w:r w:rsidRPr="00B51DF1">
        <w:t>1.</w:t>
      </w:r>
      <w:r w:rsidR="001009A1">
        <w:t>79</w:t>
      </w:r>
      <w:r w:rsidRPr="00B51DF1">
        <w:t>5 EUR</w:t>
      </w:r>
      <w:r w:rsidR="001009A1">
        <w:t>]</w:t>
      </w:r>
      <w:r w:rsidRPr="00B51DF1">
        <w:t xml:space="preserve"> pro Besteuerungszeitraum] Kilometerentschädigungen bis zu einem Höchstbetrag von [0,177 EUR] pro Kilometer, die für die Fahrt zwischen Wohnsitz und Arbeitsplatz bewilligt werden, die tatsächlich mit einem Rad, einem motorisierten Rad oder einem Speed Pedelec gemacht wird, so wie sie in der Allgemeinen Straßenverkehrsordnung definiert sind, wobei motorisierte Räder und Speed Pedelecs nur in Betracht kommen, wenn sie elektrisch angetrieben werden,]</w:t>
      </w:r>
    </w:p>
    <w:p w14:paraId="58449CC4" w14:textId="77777777" w:rsidR="00696305" w:rsidRPr="00B51DF1" w:rsidRDefault="00696305" w:rsidP="00B51DF1">
      <w:pPr>
        <w:autoSpaceDE w:val="0"/>
        <w:autoSpaceDN w:val="0"/>
        <w:adjustRightInd w:val="0"/>
        <w:ind w:firstLine="709"/>
        <w:jc w:val="both"/>
      </w:pPr>
    </w:p>
    <w:p w14:paraId="5B3EF9B9" w14:textId="77777777" w:rsidR="00696305" w:rsidRPr="00B51DF1" w:rsidRDefault="00696305" w:rsidP="00B51DF1">
      <w:pPr>
        <w:autoSpaceDE w:val="0"/>
        <w:autoSpaceDN w:val="0"/>
        <w:adjustRightInd w:val="0"/>
        <w:ind w:firstLine="709"/>
        <w:jc w:val="both"/>
      </w:pPr>
      <w:r w:rsidRPr="00B51DF1">
        <w:rPr>
          <w:i/>
        </w:rPr>
        <w:t>b)</w:t>
      </w:r>
      <w:r w:rsidRPr="00B51DF1">
        <w:t xml:space="preserve"> Vorteile aus der Zurverfügungstellung [eines in Buchstabe </w:t>
      </w:r>
      <w:r w:rsidRPr="00B51DF1">
        <w:rPr>
          <w:i/>
        </w:rPr>
        <w:t>a)</w:t>
      </w:r>
      <w:r w:rsidRPr="00B51DF1">
        <w:t xml:space="preserve"> erwähnten Rads oder Speed Pedelecs] und von Zubehör - Kosten für Wartung und Unterstellung einbegriffen -, das tatsächlich für die Fahrt zwischen Wohnsitz und Arbeitsplatz genutzt wird,]]</w:t>
      </w:r>
    </w:p>
    <w:p w14:paraId="19FF04FA" w14:textId="77777777" w:rsidR="00696305" w:rsidRPr="00B51DF1" w:rsidRDefault="00696305" w:rsidP="00B51DF1">
      <w:pPr>
        <w:autoSpaceDE w:val="0"/>
        <w:autoSpaceDN w:val="0"/>
        <w:adjustRightInd w:val="0"/>
        <w:ind w:firstLine="709"/>
        <w:jc w:val="both"/>
      </w:pPr>
    </w:p>
    <w:p w14:paraId="676EAB55" w14:textId="77777777" w:rsidR="00696305" w:rsidRPr="00B51DF1" w:rsidRDefault="00696305" w:rsidP="00B51DF1">
      <w:pPr>
        <w:autoSpaceDE w:val="0"/>
        <w:autoSpaceDN w:val="0"/>
        <w:adjustRightInd w:val="0"/>
        <w:ind w:firstLine="709"/>
        <w:jc w:val="both"/>
      </w:pPr>
      <w:r w:rsidRPr="00B51DF1">
        <w:t>[15. [Kapitalbeteiligungen oder Gewinnprämien], die gemäß den Bestimmungen des Gesetzes vom 22. Mai 2001 [über die Beteiligung der Arbeitnehmer am Kapital der Gesellschaften und zur Einführung einer Gewinnprämie für die Arbeitnehmer] zuerkannt werden, Beteiligungen im Rahmen eines Investitionssparplans einbegriffen, [die der Steuer auf die Beteiligung der Arbeitnehmer am Kapital der Gesellschaft und auf die Gewinnprämie für die Arbeitnehmer unterliegen],]</w:t>
      </w:r>
    </w:p>
    <w:p w14:paraId="1BAFC4C8" w14:textId="77777777" w:rsidR="00696305" w:rsidRPr="00B51DF1" w:rsidRDefault="00696305" w:rsidP="00B51DF1">
      <w:pPr>
        <w:autoSpaceDE w:val="0"/>
        <w:autoSpaceDN w:val="0"/>
        <w:adjustRightInd w:val="0"/>
        <w:ind w:firstLine="709"/>
        <w:jc w:val="both"/>
      </w:pPr>
    </w:p>
    <w:p w14:paraId="411CEB85" w14:textId="77777777" w:rsidR="00696305" w:rsidRPr="00B51DF1" w:rsidRDefault="00696305" w:rsidP="00B51DF1">
      <w:pPr>
        <w:autoSpaceDE w:val="0"/>
        <w:autoSpaceDN w:val="0"/>
        <w:adjustRightInd w:val="0"/>
        <w:ind w:firstLine="709"/>
        <w:jc w:val="both"/>
      </w:pPr>
      <w:r w:rsidRPr="00B51DF1">
        <w:t>[16. Vorteile, die für den Empfänger entstehen aus der direkten Zahlung durch das Landesinstitut für Kranken</w:t>
      </w:r>
      <w:r w:rsidRPr="00B51DF1">
        <w:noBreakHyphen/>
        <w:t xml:space="preserve"> und Invalidenversicherung von Beiträgen oder Prämien an eine </w:t>
      </w:r>
      <w:r w:rsidRPr="00B51DF1">
        <w:lastRenderedPageBreak/>
        <w:t>Pensionseinrichtung für Verträge in Ausführung der Regelung für Sozialvorteile, die in Artikel 54 des Gesetzes vom 14. Juli 1994 über die Gesundheitspflege</w:t>
      </w:r>
      <w:r w:rsidRPr="00B51DF1">
        <w:noBreakHyphen/>
        <w:t xml:space="preserve"> und Entschädigungspflichtversicherung vorgesehen ist,]</w:t>
      </w:r>
    </w:p>
    <w:p w14:paraId="0D84365F" w14:textId="77777777" w:rsidR="00696305" w:rsidRPr="00B51DF1" w:rsidRDefault="00696305" w:rsidP="00B51DF1">
      <w:pPr>
        <w:autoSpaceDE w:val="0"/>
        <w:autoSpaceDN w:val="0"/>
        <w:adjustRightInd w:val="0"/>
        <w:ind w:firstLine="709"/>
        <w:jc w:val="both"/>
      </w:pPr>
    </w:p>
    <w:p w14:paraId="242680F4" w14:textId="77777777" w:rsidR="00696305" w:rsidRPr="00B51DF1" w:rsidRDefault="00696305" w:rsidP="00B51DF1">
      <w:pPr>
        <w:autoSpaceDE w:val="0"/>
        <w:autoSpaceDN w:val="0"/>
        <w:adjustRightInd w:val="0"/>
        <w:ind w:firstLine="709"/>
        <w:jc w:val="both"/>
      </w:pPr>
      <w:r w:rsidRPr="00B51DF1">
        <w:t>[17. [bis zu höchstens 550 EUR pro Besteuerungszeitraum Beteiligungen des Arbeit</w:t>
      </w:r>
      <w:r w:rsidRPr="00B51DF1">
        <w:softHyphen/>
        <w:t>gebers am Kaufpreis, den ein Arbeitnehmer für den Kauf im Neuzustand eines PC mit oder ohne Peripheriegeräte, Internetanschluss und Internetabonnement zahlt, unter der Bedingung, dass die steuerpflichtigen Bruttoentlohnungen dieses Arbeitnehmers 21.600 EUR nicht über</w:t>
      </w:r>
      <w:r w:rsidRPr="00B51DF1">
        <w:softHyphen/>
        <w:t>steigen, und ohne dass dieser Arbeitgeber zu irgendeinem Zeitpunkt selbst Eigentümer der vor</w:t>
      </w:r>
      <w:r w:rsidRPr="00B51DF1">
        <w:softHyphen/>
        <w:t>er</w:t>
      </w:r>
      <w:r w:rsidRPr="00B51DF1">
        <w:softHyphen/>
        <w:t>wähnten Ausrüstung sein darf. In Bezug auf den Kauf eines PC oder von Peripherie</w:t>
      </w:r>
      <w:r w:rsidRPr="00B51DF1">
        <w:softHyphen/>
        <w:t>geräten wird diese Steuerbefreiung nur einmal pro Zeitraum von drei Besteuerungszeiträumen bewilligt,]]</w:t>
      </w:r>
    </w:p>
    <w:p w14:paraId="742DCB15" w14:textId="77777777" w:rsidR="00696305" w:rsidRPr="00B51DF1" w:rsidRDefault="00696305" w:rsidP="00B51DF1">
      <w:pPr>
        <w:autoSpaceDE w:val="0"/>
        <w:autoSpaceDN w:val="0"/>
        <w:adjustRightInd w:val="0"/>
        <w:ind w:firstLine="709"/>
        <w:jc w:val="both"/>
      </w:pPr>
    </w:p>
    <w:p w14:paraId="1BD4D88C" w14:textId="77777777" w:rsidR="00696305" w:rsidRPr="00B51DF1" w:rsidRDefault="00696305" w:rsidP="00B51DF1">
      <w:pPr>
        <w:autoSpaceDE w:val="0"/>
        <w:autoSpaceDN w:val="0"/>
        <w:adjustRightInd w:val="0"/>
        <w:ind w:firstLine="709"/>
        <w:jc w:val="both"/>
      </w:pPr>
      <w:r w:rsidRPr="00B51DF1">
        <w:t>[18. Vorteile, die sich für Arbeitnehmer, die in Artikel 30 Nr. 1 erwähnte Entlohnungen beziehen, aus der Zahlung der in Artikel 52 Nr. 3 Buchstabe </w:t>
      </w:r>
      <w:r w:rsidRPr="00B51DF1">
        <w:rPr>
          <w:i/>
          <w:iCs/>
        </w:rPr>
        <w:t>b)</w:t>
      </w:r>
      <w:r w:rsidRPr="00B51DF1">
        <w:t xml:space="preserve"> erwähnten Arbeitgeberbeiträge und -prämien ergeben, sofern, wenn es sich um eine individuelle Vereinbarung handelt, [beim Arbeitgeber] auch eine kollektive Vereinbarung besteht, die den Arbeitnehmern oder einer spezifischen Kategorie von Arbeitnehmern auf gleiche und nicht diskriminierende Weise zugänglich ist,]</w:t>
      </w:r>
    </w:p>
    <w:p w14:paraId="4F842656" w14:textId="77777777" w:rsidR="00696305" w:rsidRPr="00B51DF1" w:rsidRDefault="00696305" w:rsidP="00B51DF1">
      <w:pPr>
        <w:autoSpaceDE w:val="0"/>
        <w:autoSpaceDN w:val="0"/>
        <w:adjustRightInd w:val="0"/>
        <w:ind w:firstLine="709"/>
        <w:jc w:val="both"/>
      </w:pPr>
    </w:p>
    <w:p w14:paraId="1BBF82EB" w14:textId="77777777" w:rsidR="00696305" w:rsidRPr="00B51DF1" w:rsidRDefault="00696305" w:rsidP="00B51DF1">
      <w:pPr>
        <w:autoSpaceDE w:val="0"/>
        <w:autoSpaceDN w:val="0"/>
        <w:adjustRightInd w:val="0"/>
        <w:ind w:firstLine="709"/>
        <w:jc w:val="both"/>
      </w:pPr>
      <w:r w:rsidRPr="00B51DF1">
        <w:t>[19. [Vorteile, die sich für Unternehmensleiter, die in Artikel 30 Nr. 2 erwähnte Entlohnungen beziehen, aus der vom Unternehmen oder von der in Artikel 220 oder 227 Nr. 3 erwähnten juristischen Person zu tätigenden Zahlung von Beiträgen und Prämien erwähnt in Artikel 52 Nr. 3 Buchstabe </w:t>
      </w:r>
      <w:r w:rsidRPr="00B51DF1">
        <w:rPr>
          <w:i/>
          <w:iCs/>
        </w:rPr>
        <w:t>b)</w:t>
      </w:r>
      <w:r w:rsidRPr="00B51DF1">
        <w:t xml:space="preserve"> ergeben, die sich auf Entlohnungen beziehen, die regelmäßig und mindestens einmal monatlich gezahlt oder zuerkannt werden vor Ende des Besteuerungszeitraums, in dem die dazu berechtigende entlohnte Tätigkeit ausgeübt wurde, und unter der Bedingung, dass diese Entlohnungen auf die Ergebnisse dieses Zeitraums angerechnet werden,]]</w:t>
      </w:r>
    </w:p>
    <w:p w14:paraId="1D0E2466" w14:textId="77777777" w:rsidR="00696305" w:rsidRPr="00B51DF1" w:rsidRDefault="00696305" w:rsidP="00B51DF1">
      <w:pPr>
        <w:autoSpaceDE w:val="0"/>
        <w:autoSpaceDN w:val="0"/>
        <w:adjustRightInd w:val="0"/>
        <w:ind w:firstLine="709"/>
        <w:jc w:val="both"/>
      </w:pPr>
    </w:p>
    <w:p w14:paraId="42972B48" w14:textId="77777777" w:rsidR="00696305" w:rsidRPr="00B51DF1" w:rsidRDefault="00696305" w:rsidP="00B51DF1">
      <w:pPr>
        <w:autoSpaceDE w:val="0"/>
        <w:autoSpaceDN w:val="0"/>
        <w:adjustRightInd w:val="0"/>
        <w:ind w:firstLine="709"/>
        <w:jc w:val="both"/>
      </w:pPr>
      <w:r w:rsidRPr="00B51DF1">
        <w:t>[20. Vorteile, die sich für Empfänger der in Artikel 30 Nr. 1 und 2 erwähnten Entlohnungen aus der Übernahme durch den Schuldner dieser Entlohnungen der Beiträge oder Prämien in Bezug auf die in § 2 erwähnten kollektiven oder individuellen Vereinbarungen ergeben, und Leistungen, die in Ausführung dieser Vereinbarungen erbracht werden, sofern diese Vereinbarungen nicht die Entschädigung eines Einkommensausfalls zum Ziel haben,]</w:t>
      </w:r>
    </w:p>
    <w:p w14:paraId="3C6434E9" w14:textId="77777777" w:rsidR="00696305" w:rsidRPr="00B51DF1" w:rsidRDefault="00696305" w:rsidP="00B51DF1">
      <w:pPr>
        <w:autoSpaceDE w:val="0"/>
        <w:autoSpaceDN w:val="0"/>
        <w:adjustRightInd w:val="0"/>
        <w:ind w:firstLine="709"/>
        <w:jc w:val="both"/>
      </w:pPr>
    </w:p>
    <w:p w14:paraId="6B4E9A9F" w14:textId="17C21EE8" w:rsidR="00696305" w:rsidRPr="00B51DF1" w:rsidRDefault="00696305" w:rsidP="00B51DF1">
      <w:pPr>
        <w:autoSpaceDE w:val="0"/>
        <w:autoSpaceDN w:val="0"/>
        <w:adjustRightInd w:val="0"/>
        <w:ind w:firstLine="709"/>
        <w:jc w:val="both"/>
      </w:pPr>
      <w:r w:rsidRPr="00B51DF1">
        <w:t xml:space="preserve">[21. [Pauschalentschädigungen in Bezug auf höchstens </w:t>
      </w:r>
      <w:r w:rsidR="00334024" w:rsidRPr="00B51DF1">
        <w:t>[acht]</w:t>
      </w:r>
      <w:r w:rsidRPr="00B51DF1">
        <w:t xml:space="preserve"> während des Besteuerungszeitraums übernommene Vormundschaften, die von Vormunden bezogen werden, die vom Vormundschaftsdienst des Föderalen Öffentlichen Dienstes Justiz bestellt wurden, um die Vertretung von unbegleiteten minderjährigen Ausländern zu gewährleisten,]]</w:t>
      </w:r>
    </w:p>
    <w:p w14:paraId="418EA6A5" w14:textId="77777777" w:rsidR="00696305" w:rsidRPr="00B51DF1" w:rsidRDefault="00696305" w:rsidP="00B51DF1">
      <w:pPr>
        <w:autoSpaceDE w:val="0"/>
        <w:autoSpaceDN w:val="0"/>
        <w:adjustRightInd w:val="0"/>
        <w:ind w:firstLine="709"/>
        <w:jc w:val="both"/>
      </w:pPr>
    </w:p>
    <w:p w14:paraId="189BDC8A" w14:textId="77777777" w:rsidR="00696305" w:rsidRPr="00B51DF1" w:rsidRDefault="00696305" w:rsidP="00B51DF1">
      <w:pPr>
        <w:autoSpaceDE w:val="0"/>
        <w:autoSpaceDN w:val="0"/>
        <w:adjustRightInd w:val="0"/>
        <w:ind w:firstLine="709"/>
        <w:jc w:val="both"/>
      </w:pPr>
      <w:r w:rsidRPr="00B51DF1">
        <w:t>[22. Beteiligungen des Entschädigungsfonds für Asbestopfer,]</w:t>
      </w:r>
    </w:p>
    <w:p w14:paraId="2E685062" w14:textId="77777777" w:rsidR="00696305" w:rsidRPr="00B51DF1" w:rsidRDefault="00696305" w:rsidP="00B51DF1">
      <w:pPr>
        <w:autoSpaceDE w:val="0"/>
        <w:autoSpaceDN w:val="0"/>
        <w:adjustRightInd w:val="0"/>
        <w:ind w:firstLine="709"/>
        <w:jc w:val="both"/>
      </w:pPr>
    </w:p>
    <w:p w14:paraId="72E0868E" w14:textId="77777777" w:rsidR="00696305" w:rsidRPr="00B51DF1" w:rsidRDefault="00696305" w:rsidP="00B51DF1">
      <w:pPr>
        <w:autoSpaceDE w:val="0"/>
        <w:autoSpaceDN w:val="0"/>
        <w:adjustRightInd w:val="0"/>
        <w:ind w:firstLine="709"/>
        <w:jc w:val="both"/>
      </w:pPr>
      <w:r w:rsidRPr="00B51DF1">
        <w:t>[23. pauschale Kostenvergütungen, die aufgrund der Erbringung künstlerischer Leistungen [...] für Rechnung eines Auftraggebers bewilligt werden, [für höchstens 30 Tage pro Kalenderjahr, an denen solche Leistungen erbracht werden,] [sowie Erstattungen der tatsächlichen Kosten für die Fahrten im Rahmen dieser Leistungen, sofern] die in § 4 festgelegten Bedingungen eingehalten werden,]</w:t>
      </w:r>
    </w:p>
    <w:p w14:paraId="2A96F650" w14:textId="77777777" w:rsidR="00696305" w:rsidRPr="00B51DF1" w:rsidRDefault="00696305" w:rsidP="00B51DF1">
      <w:pPr>
        <w:autoSpaceDE w:val="0"/>
        <w:autoSpaceDN w:val="0"/>
        <w:adjustRightInd w:val="0"/>
        <w:ind w:firstLine="709"/>
        <w:jc w:val="both"/>
      </w:pPr>
    </w:p>
    <w:p w14:paraId="7C74374C" w14:textId="77777777" w:rsidR="00696305" w:rsidRPr="00B51DF1" w:rsidRDefault="00696305" w:rsidP="00B51DF1">
      <w:pPr>
        <w:autoSpaceDE w:val="0"/>
        <w:autoSpaceDN w:val="0"/>
        <w:adjustRightInd w:val="0"/>
        <w:ind w:firstLine="709"/>
        <w:jc w:val="both"/>
        <w:rPr>
          <w:bCs/>
        </w:rPr>
      </w:pPr>
      <w:r w:rsidRPr="00B51DF1">
        <w:t>[24. [bis zu einem Höchstbetrag von [2.756 EUR] pro Kalenderjahr einmalige ergebnis</w:t>
      </w:r>
      <w:r w:rsidRPr="00B51DF1">
        <w:softHyphen/>
        <w:t xml:space="preserve">gebundene Vorteile, die in Anwendung von Kapitel II des Gesetzes vom 21. Dezember 2007 </w:t>
      </w:r>
      <w:r w:rsidRPr="00B51DF1">
        <w:rPr>
          <w:bCs/>
        </w:rPr>
        <w:lastRenderedPageBreak/>
        <w:t>über die Ausführung des überberuflichen Abkommens 2007-2008 und von Titel XIII einziges Kapitel "</w:t>
      </w:r>
      <w:r w:rsidRPr="00B51DF1">
        <w:t>Einführung eines Systems einmaliger ergebnisgebundener Vorteile für autonome öffentliche Unternehmen"</w:t>
      </w:r>
      <w:r w:rsidRPr="00B51DF1">
        <w:rPr>
          <w:bCs/>
        </w:rPr>
        <w:t xml:space="preserve"> des Gesetzes vom 24. Juli 2008 zur Festlegung verschiedener Be</w:t>
      </w:r>
      <w:r w:rsidRPr="00B51DF1">
        <w:rPr>
          <w:bCs/>
        </w:rPr>
        <w:softHyphen/>
        <w:t>stimmungen (I) gezahlt oder zuerkannt werden und [</w:t>
      </w:r>
      <w:r w:rsidRPr="00B51DF1">
        <w:t>dem Sonderbeitrag und dem Solidaritätsbeitrag, die in Artikel 38 § 3</w:t>
      </w:r>
      <w:r w:rsidRPr="00B51DF1">
        <w:rPr>
          <w:i/>
        </w:rPr>
        <w:t>novies</w:t>
      </w:r>
      <w:r w:rsidRPr="00B51DF1">
        <w:t xml:space="preserve"> des Gesetzes vom 29. Juni 1981 zur Festlegung der allgemeinen Grundsätze der sozialen Sicherheit für Lohnempfänger vorgesehen sind,]</w:t>
      </w:r>
      <w:r w:rsidRPr="00B51DF1">
        <w:rPr>
          <w:bCs/>
        </w:rPr>
        <w:t xml:space="preserve"> tatsächlich unterliegen,]]</w:t>
      </w:r>
    </w:p>
    <w:p w14:paraId="117A4F74" w14:textId="77777777" w:rsidR="00696305" w:rsidRPr="00B51DF1" w:rsidRDefault="00696305" w:rsidP="00B51DF1">
      <w:pPr>
        <w:autoSpaceDE w:val="0"/>
        <w:autoSpaceDN w:val="0"/>
        <w:adjustRightInd w:val="0"/>
        <w:ind w:firstLine="709"/>
        <w:jc w:val="both"/>
        <w:rPr>
          <w:bCs/>
        </w:rPr>
      </w:pPr>
    </w:p>
    <w:p w14:paraId="1C46DDE6" w14:textId="77777777" w:rsidR="00696305" w:rsidRPr="00B51DF1" w:rsidRDefault="00696305" w:rsidP="00B51DF1">
      <w:pPr>
        <w:autoSpaceDE w:val="0"/>
        <w:autoSpaceDN w:val="0"/>
        <w:adjustRightInd w:val="0"/>
        <w:ind w:firstLine="709"/>
        <w:jc w:val="both"/>
      </w:pPr>
      <w:r w:rsidRPr="00B51DF1">
        <w:rPr>
          <w:bCs/>
        </w:rPr>
        <w:t xml:space="preserve">[25. </w:t>
      </w:r>
      <w:r w:rsidRPr="00B51DF1">
        <w:t>Vorteile, die aus der Beteiligung des Arbeitgebers oder Unternehmens an [elektronischen Mahlzeitschecks], Sport</w:t>
      </w:r>
      <w:r w:rsidRPr="00B51DF1">
        <w:noBreakHyphen/>
        <w:t>/Kulturschecks oder Öko-Schecks, die den in Artikel 38/1 erwähnten Bedingungen entsprechen, bestehen,]</w:t>
      </w:r>
    </w:p>
    <w:p w14:paraId="65BB8257" w14:textId="77777777" w:rsidR="00696305" w:rsidRPr="00B51DF1" w:rsidRDefault="00696305" w:rsidP="00B51DF1">
      <w:pPr>
        <w:autoSpaceDE w:val="0"/>
        <w:autoSpaceDN w:val="0"/>
        <w:adjustRightInd w:val="0"/>
        <w:ind w:firstLine="709"/>
        <w:jc w:val="both"/>
      </w:pPr>
    </w:p>
    <w:p w14:paraId="65842FE0" w14:textId="77777777" w:rsidR="00696305" w:rsidRPr="00B51DF1" w:rsidRDefault="00696305" w:rsidP="00B51DF1">
      <w:pPr>
        <w:autoSpaceDE w:val="0"/>
        <w:autoSpaceDN w:val="0"/>
        <w:adjustRightInd w:val="0"/>
        <w:ind w:firstLine="709"/>
        <w:jc w:val="both"/>
      </w:pPr>
      <w:r w:rsidRPr="00B51DF1">
        <w:t>[26. Kündigungszulagen erwähnt in den Artikeln 38 bis 43 des Gesetzes vom 12. April 2011 zur Abänderung des Gesetzes vom 1. Februar 2011 zur Verlängerung von Krisen</w:t>
      </w:r>
      <w:r w:rsidRPr="00B51DF1">
        <w:softHyphen/>
        <w:t>maßnahmen und zur Ausführung des überberuflichen Abkommens und zur Ausführung des Kompromisses der Regierung in Bezug auf den Entwurf des überberuflichen Abkommens,]</w:t>
      </w:r>
    </w:p>
    <w:p w14:paraId="1B2D9046" w14:textId="77777777" w:rsidR="00696305" w:rsidRPr="00B51DF1" w:rsidRDefault="00696305" w:rsidP="00B51DF1">
      <w:pPr>
        <w:autoSpaceDE w:val="0"/>
        <w:autoSpaceDN w:val="0"/>
        <w:adjustRightInd w:val="0"/>
        <w:ind w:firstLine="709"/>
        <w:jc w:val="both"/>
      </w:pPr>
    </w:p>
    <w:p w14:paraId="3E04967C" w14:textId="77777777" w:rsidR="00696305" w:rsidRPr="00B51DF1" w:rsidRDefault="00696305" w:rsidP="00B51DF1">
      <w:pPr>
        <w:autoSpaceDE w:val="0"/>
        <w:autoSpaceDN w:val="0"/>
        <w:adjustRightInd w:val="0"/>
        <w:ind w:firstLine="709"/>
        <w:jc w:val="both"/>
      </w:pPr>
      <w:r w:rsidRPr="00B51DF1">
        <w:t>[27. ["Entlassungsausgleichsentschädigungen" wie in Artikel 7 § 1 Absatz 3 Buch</w:t>
      </w:r>
      <w:r w:rsidRPr="00B51DF1">
        <w:softHyphen/>
        <w:t>stabe </w:t>
      </w:r>
      <w:r w:rsidRPr="00B51DF1">
        <w:rPr>
          <w:i/>
        </w:rPr>
        <w:t>zf)</w:t>
      </w:r>
      <w:r w:rsidRPr="00B51DF1">
        <w:t xml:space="preserve"> des Erlassgesetzes vom 28. Dezember 1944 über die soziale Sicherheit der Arbeitnehmer erwähnt,]]</w:t>
      </w:r>
    </w:p>
    <w:p w14:paraId="510DF0B5" w14:textId="77777777" w:rsidR="00696305" w:rsidRPr="00B51DF1" w:rsidRDefault="00696305" w:rsidP="00B51DF1">
      <w:pPr>
        <w:autoSpaceDE w:val="0"/>
        <w:autoSpaceDN w:val="0"/>
        <w:adjustRightInd w:val="0"/>
        <w:ind w:firstLine="709"/>
        <w:jc w:val="both"/>
      </w:pPr>
    </w:p>
    <w:p w14:paraId="1ED82B8B" w14:textId="77777777" w:rsidR="00696305" w:rsidRPr="00B51DF1" w:rsidRDefault="00696305" w:rsidP="00B51DF1">
      <w:pPr>
        <w:autoSpaceDE w:val="0"/>
        <w:autoSpaceDN w:val="0"/>
        <w:adjustRightInd w:val="0"/>
        <w:ind w:firstLine="709"/>
        <w:jc w:val="both"/>
      </w:pPr>
      <w:r w:rsidRPr="00B51DF1">
        <w:t>[28. [Kapital- und Zinszuschüsse, die Landwirten im Rahmen von Beihilfen für die Landwirtschaft von den zuständigen regionalen Einrichtungen unter Beachtung der europä</w:t>
      </w:r>
      <w:r w:rsidRPr="00B51DF1">
        <w:softHyphen/>
        <w:t>ischen Vorschriften im Bereich der staatlichen Beihilfen gezahlt werden im Hinblick auf Niederlassung, Existenzgründung und/oder Erwerb oder Bildung von immateriellen Anlagen und Sachanlagen,]]</w:t>
      </w:r>
    </w:p>
    <w:p w14:paraId="660B3A87" w14:textId="77777777" w:rsidR="00696305" w:rsidRPr="00B51DF1" w:rsidRDefault="00696305" w:rsidP="00B51DF1">
      <w:pPr>
        <w:autoSpaceDE w:val="0"/>
        <w:autoSpaceDN w:val="0"/>
        <w:adjustRightInd w:val="0"/>
        <w:ind w:firstLine="709"/>
        <w:jc w:val="both"/>
      </w:pPr>
    </w:p>
    <w:p w14:paraId="57D12E60" w14:textId="77777777" w:rsidR="00696305" w:rsidRPr="00B51DF1" w:rsidRDefault="00696305" w:rsidP="00B51DF1">
      <w:pPr>
        <w:autoSpaceDE w:val="0"/>
        <w:autoSpaceDN w:val="0"/>
        <w:adjustRightInd w:val="0"/>
        <w:ind w:firstLine="709"/>
        <w:jc w:val="both"/>
      </w:pPr>
      <w:r w:rsidRPr="00B51DF1">
        <w:t>[29. [Entlohnungen, die in Ausführung eines Flexi-Job-Arbeitsvertrags wie in Artikel 3 Nr. 4 des Gesetzes vom 16. November 2015 zur Festlegung verschiedener Bestimmungen im Bereich Soziales erwähnt [für Leistungen von Arbeitnehmern, die in Artikel 2 § 1 Absatz 1 bis 5 des vorerwähnten Gesetzes erwähnt sind,] gezahlt oder zuerkannt werden, vorausgesetzt, sie unterliegen tatsächlich einem Sonderbeitrag von [28 Prozent] wie in Artikel 38 § 3</w:t>
      </w:r>
      <w:r w:rsidRPr="00B51DF1">
        <w:rPr>
          <w:i/>
        </w:rPr>
        <w:t>sexdecies</w:t>
      </w:r>
      <w:r w:rsidRPr="00B51DF1">
        <w:t xml:space="preserve"> des Gesetzes vom 29. Juni 1981 zur Festlegung der allgemeinen Grundsätze der sozialen Sicherheit für Lohnempfänger vorgesehen.]] [Ist der Arbeitnehmer kein Pensionierter wie in Artikel 3 Nr. 7 des vorerwähnten Gesetzes vom 16. November 2015 erwähnt, ist vorliegende Steuerbefreiung jedoch nur auf 12.000 EUR pro Besteuerungszeitraum anwendbar,]</w:t>
      </w:r>
    </w:p>
    <w:p w14:paraId="0EECF0D8" w14:textId="77777777" w:rsidR="00696305" w:rsidRPr="00B51DF1" w:rsidRDefault="00696305" w:rsidP="00B51DF1">
      <w:pPr>
        <w:autoSpaceDE w:val="0"/>
        <w:autoSpaceDN w:val="0"/>
        <w:adjustRightInd w:val="0"/>
        <w:ind w:firstLine="709"/>
        <w:jc w:val="both"/>
      </w:pPr>
    </w:p>
    <w:p w14:paraId="32E04B63" w14:textId="77777777" w:rsidR="00696305" w:rsidRPr="00B51DF1" w:rsidRDefault="00696305" w:rsidP="00B51DF1">
      <w:pPr>
        <w:autoSpaceDE w:val="0"/>
        <w:autoSpaceDN w:val="0"/>
        <w:adjustRightInd w:val="0"/>
        <w:ind w:firstLine="709"/>
        <w:jc w:val="both"/>
      </w:pPr>
      <w:r w:rsidRPr="00B51DF1">
        <w:t>[30. Entlohnungen in Bezug auf dreihundert Überstunden - wie in Artikel 3 Nr. 5 des Gesetzes vom 16. November 2015 zur Festlegung verschiedener Bestimmungen im Bereich Soziales erwähnt - für Arbeitnehmer, die von Arbeitgebern beschäftigt werden, die das Registrierkassensystem nicht benutzen, das im Königlichen Erlass vom 30. Dezember 2009 zur Bestimmung der Definition eines Registrierkassensystems im Horeca-Sektor und der Bedingungen, die ein solches System erfüllen muss, erwähnt ist, und Entlohnungen in Bezug auf dreihundertsechzig Überstunden für Arbeitnehmer, die von Arbeitgebern beschäftigt werden, die in jedem Betriebsstandort eine solche Registrierkasse benutzen und diese Registrierkasse gemäß vorerwähntem Erlass bei der Steuerverwaltung angegeben haben,]</w:t>
      </w:r>
    </w:p>
    <w:p w14:paraId="61B8E24A" w14:textId="77777777" w:rsidR="00696305" w:rsidRPr="00B51DF1" w:rsidRDefault="00696305" w:rsidP="00B51DF1">
      <w:pPr>
        <w:autoSpaceDE w:val="0"/>
        <w:autoSpaceDN w:val="0"/>
        <w:adjustRightInd w:val="0"/>
        <w:ind w:firstLine="709"/>
        <w:jc w:val="both"/>
      </w:pPr>
    </w:p>
    <w:p w14:paraId="0CCE1C1C" w14:textId="77777777" w:rsidR="00696305" w:rsidRPr="00B51DF1" w:rsidRDefault="00696305" w:rsidP="00B51DF1">
      <w:pPr>
        <w:autoSpaceDE w:val="0"/>
        <w:autoSpaceDN w:val="0"/>
        <w:adjustRightInd w:val="0"/>
        <w:ind w:firstLine="709"/>
        <w:jc w:val="both"/>
      </w:pPr>
      <w:r w:rsidRPr="00B51DF1">
        <w:t>[31. in Artikel 31</w:t>
      </w:r>
      <w:r w:rsidRPr="00B51DF1">
        <w:rPr>
          <w:i/>
        </w:rPr>
        <w:t>bis</w:t>
      </w:r>
      <w:r w:rsidRPr="00B51DF1">
        <w:t xml:space="preserve"> Absatz 1 Nr. 1 erster Gedankenstrich erwähnte Zusatzent</w:t>
      </w:r>
      <w:r w:rsidRPr="00B51DF1">
        <w:softHyphen/>
        <w:t xml:space="preserve">schädigungen und in Absatz 2 Nr. 2 desselben Artikels erwähnte Betriebszuschläge, wenn sie </w:t>
      </w:r>
      <w:r w:rsidRPr="00B51DF1">
        <w:lastRenderedPageBreak/>
        <w:t>für einen Zeitraum der Wiederaufnahme der Arbeit bei einem anderen Arbeitgeber oder der Wiederaufnahme der Arbeit als Selbständiger bezogen werden,]</w:t>
      </w:r>
    </w:p>
    <w:p w14:paraId="5A190EE0" w14:textId="77777777" w:rsidR="00696305" w:rsidRPr="00B51DF1" w:rsidRDefault="00696305" w:rsidP="00B51DF1">
      <w:pPr>
        <w:autoSpaceDE w:val="0"/>
        <w:autoSpaceDN w:val="0"/>
        <w:adjustRightInd w:val="0"/>
        <w:ind w:firstLine="709"/>
        <w:jc w:val="both"/>
      </w:pPr>
    </w:p>
    <w:p w14:paraId="0E5C83C4" w14:textId="77777777" w:rsidR="00696305" w:rsidRPr="00B51DF1" w:rsidRDefault="00696305" w:rsidP="00B51DF1">
      <w:pPr>
        <w:autoSpaceDE w:val="0"/>
        <w:autoSpaceDN w:val="0"/>
        <w:adjustRightInd w:val="0"/>
        <w:ind w:firstLine="709"/>
        <w:jc w:val="both"/>
      </w:pPr>
      <w:r w:rsidRPr="00B51DF1">
        <w:t>[32. [Ausgleichszuschläge] wie in Artikel 33</w:t>
      </w:r>
      <w:r w:rsidRPr="00B51DF1">
        <w:rPr>
          <w:i/>
        </w:rPr>
        <w:t>bis</w:t>
      </w:r>
      <w:r w:rsidRPr="00B51DF1">
        <w:t xml:space="preserve"> § 4 des Gesetzes vom 24. Dezem</w:t>
      </w:r>
      <w:r w:rsidRPr="00B51DF1">
        <w:softHyphen/>
        <w:t>ber 1999 zur Förderung der Beschäftigung erwähnt,]</w:t>
      </w:r>
    </w:p>
    <w:p w14:paraId="0E37A842" w14:textId="77777777" w:rsidR="00696305" w:rsidRPr="00B51DF1" w:rsidRDefault="00696305" w:rsidP="00B51DF1">
      <w:pPr>
        <w:autoSpaceDE w:val="0"/>
        <w:autoSpaceDN w:val="0"/>
        <w:adjustRightInd w:val="0"/>
        <w:ind w:firstLine="709"/>
        <w:jc w:val="both"/>
      </w:pPr>
    </w:p>
    <w:p w14:paraId="083EAC58" w14:textId="77777777" w:rsidR="00696305" w:rsidRPr="00B51DF1" w:rsidRDefault="00696305" w:rsidP="00B51DF1">
      <w:pPr>
        <w:autoSpaceDE w:val="0"/>
        <w:autoSpaceDN w:val="0"/>
        <w:adjustRightInd w:val="0"/>
        <w:ind w:firstLine="709"/>
        <w:jc w:val="both"/>
      </w:pPr>
      <w:r w:rsidRPr="00B51DF1">
        <w:t>[33. [Teile der Mobilitätsbudgets, die gemäß Artikel 8 § 2 Nr. 2 und § 3 des Gesetzes vom 17. März 2019 über die Einführung eines Mobilitätsbudgets Arbeitnehmern zur Verfügung gestellt werden,]]</w:t>
      </w:r>
    </w:p>
    <w:p w14:paraId="67666091" w14:textId="77777777" w:rsidR="00696305" w:rsidRPr="00B51DF1" w:rsidRDefault="00696305" w:rsidP="00B51DF1">
      <w:pPr>
        <w:autoSpaceDE w:val="0"/>
        <w:autoSpaceDN w:val="0"/>
        <w:adjustRightInd w:val="0"/>
        <w:ind w:firstLine="709"/>
        <w:jc w:val="both"/>
      </w:pPr>
    </w:p>
    <w:p w14:paraId="5D938825" w14:textId="77777777" w:rsidR="00696305" w:rsidRPr="00B51DF1" w:rsidRDefault="00696305" w:rsidP="00B51DF1">
      <w:pPr>
        <w:autoSpaceDE w:val="0"/>
        <w:autoSpaceDN w:val="0"/>
        <w:adjustRightInd w:val="0"/>
        <w:ind w:firstLine="709"/>
        <w:jc w:val="both"/>
      </w:pPr>
      <w:r w:rsidRPr="00B51DF1">
        <w:t>[34. bis zu [höchstens 420 EUR] Ausbildungsprämien, die von einer Region oder von der Deutschsprachigen Gemeinschaft gewährt werden und die in § 7 erwähnten Bedingungen erfüllen,]</w:t>
      </w:r>
    </w:p>
    <w:p w14:paraId="7FDADBBD" w14:textId="77777777" w:rsidR="00696305" w:rsidRPr="00B51DF1" w:rsidRDefault="00696305" w:rsidP="00B51DF1">
      <w:pPr>
        <w:autoSpaceDE w:val="0"/>
        <w:autoSpaceDN w:val="0"/>
        <w:adjustRightInd w:val="0"/>
        <w:ind w:firstLine="709"/>
        <w:jc w:val="both"/>
      </w:pPr>
    </w:p>
    <w:p w14:paraId="0A2CDBDF" w14:textId="77777777" w:rsidR="00696305" w:rsidRPr="00B51DF1" w:rsidRDefault="00696305" w:rsidP="00B51DF1">
      <w:pPr>
        <w:autoSpaceDE w:val="0"/>
        <w:autoSpaceDN w:val="0"/>
        <w:adjustRightInd w:val="0"/>
        <w:ind w:firstLine="709"/>
        <w:jc w:val="both"/>
      </w:pPr>
      <w:r w:rsidRPr="00B51DF1">
        <w:t>[35. [...]]</w:t>
      </w:r>
    </w:p>
    <w:p w14:paraId="75FBB760" w14:textId="77777777" w:rsidR="00696305" w:rsidRPr="00B51DF1" w:rsidRDefault="00696305" w:rsidP="00B51DF1">
      <w:pPr>
        <w:autoSpaceDE w:val="0"/>
        <w:autoSpaceDN w:val="0"/>
        <w:adjustRightInd w:val="0"/>
        <w:ind w:firstLine="709"/>
        <w:jc w:val="both"/>
      </w:pPr>
    </w:p>
    <w:p w14:paraId="54B6D503" w14:textId="77777777" w:rsidR="00696305" w:rsidRPr="00B51DF1" w:rsidRDefault="00696305" w:rsidP="00B51DF1">
      <w:pPr>
        <w:autoSpaceDE w:val="0"/>
        <w:autoSpaceDN w:val="0"/>
        <w:adjustRightInd w:val="0"/>
        <w:ind w:firstLine="709"/>
        <w:jc w:val="both"/>
      </w:pPr>
      <w:r w:rsidRPr="00B51DF1">
        <w:t>[36. [Jobboni wie in den Artikeln 3 und 5 des Dekrets der Flämischen Region vom 20. Mai 2022 "tot regeling van de toekenning van een jobbonus" (Regelung der Gewährung eines Jobbonus) erwähnt.]]</w:t>
      </w:r>
    </w:p>
    <w:p w14:paraId="0516A6BD" w14:textId="77777777" w:rsidR="00696305" w:rsidRPr="00B51DF1" w:rsidRDefault="00696305" w:rsidP="00B51DF1">
      <w:pPr>
        <w:autoSpaceDE w:val="0"/>
        <w:autoSpaceDN w:val="0"/>
        <w:adjustRightInd w:val="0"/>
        <w:ind w:firstLine="709"/>
        <w:jc w:val="both"/>
      </w:pPr>
    </w:p>
    <w:p w14:paraId="5107618C" w14:textId="35D716AF" w:rsidR="00696305" w:rsidRPr="00B51DF1" w:rsidRDefault="00696305" w:rsidP="00B51DF1">
      <w:pPr>
        <w:autoSpaceDE w:val="0"/>
        <w:autoSpaceDN w:val="0"/>
        <w:adjustRightInd w:val="0"/>
        <w:ind w:firstLine="709"/>
        <w:jc w:val="both"/>
      </w:pPr>
      <w:r w:rsidRPr="00B51DF1">
        <w:t>[Wenn die in Absatz 1 Nr. 24 erwähnten Vorteile sowohl in Artikel 31 als auch in Artikel 32 erwähnte Entlohnungen umfassen, wird der Höchstbetrag der Steuerbefreiung auf jede dieser Entlohnungen proportional angerechnet.]</w:t>
      </w:r>
    </w:p>
    <w:p w14:paraId="23361D3D" w14:textId="77777777" w:rsidR="00696305" w:rsidRPr="00B51DF1" w:rsidRDefault="00696305" w:rsidP="00B51DF1">
      <w:pPr>
        <w:autoSpaceDE w:val="0"/>
        <w:autoSpaceDN w:val="0"/>
        <w:adjustRightInd w:val="0"/>
        <w:ind w:firstLine="709"/>
        <w:jc w:val="both"/>
      </w:pPr>
    </w:p>
    <w:p w14:paraId="6E0C7DC8" w14:textId="77777777" w:rsidR="00696305" w:rsidRPr="00B51DF1" w:rsidRDefault="00696305" w:rsidP="00B51DF1">
      <w:pPr>
        <w:autoSpaceDE w:val="0"/>
        <w:autoSpaceDN w:val="0"/>
        <w:adjustRightInd w:val="0"/>
        <w:ind w:firstLine="709"/>
        <w:jc w:val="both"/>
      </w:pPr>
      <w:r w:rsidRPr="00B51DF1">
        <w:t>[Die in Absatz 1 Nr. 9 erwähnte Steuerbefreiung kann für dieselbe Fahrt oder einen Teil davon nicht gleichzeitig mit der in Absatz 1 Nr. 14 erwähnten Steuerbefreiung angewandt werden.]</w:t>
      </w:r>
    </w:p>
    <w:p w14:paraId="70424C94" w14:textId="77777777" w:rsidR="00696305" w:rsidRPr="00B51DF1" w:rsidRDefault="00696305" w:rsidP="00B51DF1">
      <w:pPr>
        <w:autoSpaceDE w:val="0"/>
        <w:autoSpaceDN w:val="0"/>
        <w:adjustRightInd w:val="0"/>
        <w:ind w:firstLine="709"/>
        <w:jc w:val="both"/>
      </w:pPr>
    </w:p>
    <w:p w14:paraId="3A80AB66" w14:textId="7C1A8FE8" w:rsidR="00696305" w:rsidRPr="00B51DF1" w:rsidRDefault="00696305" w:rsidP="00B51DF1">
      <w:pPr>
        <w:autoSpaceDE w:val="0"/>
        <w:autoSpaceDN w:val="0"/>
        <w:adjustRightInd w:val="0"/>
        <w:ind w:firstLine="709"/>
        <w:jc w:val="both"/>
      </w:pPr>
      <w:r w:rsidRPr="00B51DF1">
        <w:t>[Die in Absatz 1 Nr. 12 erwähnten Zulagen für Freiwillige</w:t>
      </w:r>
      <w:r w:rsidR="00B332BD" w:rsidRPr="00B51DF1">
        <w:t xml:space="preserve">[, die in Absatz 1 Nr. 21 erwähnten Entschädigungen von Vormunden] </w:t>
      </w:r>
      <w:r w:rsidRPr="00B51DF1">
        <w:t>[, die in Absatz 1 Nr. 23 erwähnten Vergütungen aufgrund der Erbringung künstlerischer Leistungen] und die in Absatz 1 Nr. 29 erwähnten Entlohnungen, die in Ausführung eines Flexi-Job-Arbeitsvertrags gezahlt oder zuerkannt werden, werden auf dem Berechnungsblatt vermerkt, das dem Steuerbescheid des Empfängers in Bezug auf die Steuer der natürlichen Personen beigefügt ist.]</w:t>
      </w:r>
    </w:p>
    <w:p w14:paraId="753C359A" w14:textId="77777777" w:rsidR="00696305" w:rsidRPr="00B51DF1" w:rsidRDefault="00696305" w:rsidP="00B51DF1">
      <w:pPr>
        <w:autoSpaceDE w:val="0"/>
        <w:autoSpaceDN w:val="0"/>
        <w:adjustRightInd w:val="0"/>
        <w:ind w:firstLine="709"/>
        <w:jc w:val="both"/>
      </w:pPr>
    </w:p>
    <w:p w14:paraId="21E15513" w14:textId="77777777" w:rsidR="00696305" w:rsidRPr="00B51DF1" w:rsidRDefault="00696305" w:rsidP="00B51DF1">
      <w:pPr>
        <w:autoSpaceDE w:val="0"/>
        <w:autoSpaceDN w:val="0"/>
        <w:adjustRightInd w:val="0"/>
        <w:ind w:firstLine="709"/>
        <w:jc w:val="both"/>
      </w:pPr>
      <w:r w:rsidRPr="00B51DF1">
        <w:t>[Die in Absatz 1 Nr. 9 Buchstabe </w:t>
      </w:r>
      <w:r w:rsidRPr="00B51DF1">
        <w:rPr>
          <w:i/>
          <w:iCs/>
        </w:rPr>
        <w:t>a)</w:t>
      </w:r>
      <w:r w:rsidRPr="00B51DF1">
        <w:t xml:space="preserve"> und </w:t>
      </w:r>
      <w:r w:rsidRPr="00B51DF1">
        <w:rPr>
          <w:i/>
          <w:iCs/>
        </w:rPr>
        <w:t>b)</w:t>
      </w:r>
      <w:r w:rsidRPr="00B51DF1">
        <w:t xml:space="preserve"> und Nr. 14 erwähnten Steuerbefreiungen sind nicht anwendbar, wenn der Steuerpflichtige von demselben Arbeitgeber gleichzeitig ein Mobilitätsbudget in Anwendung des Gesetzes vom 17. März 2019 über die Einführung eines Mobilitätsbudgets erhält, außer in dem in Artikel 10 § 3 desselben Gesetzes erwähnten Fall.]</w:t>
      </w:r>
    </w:p>
    <w:p w14:paraId="5C8984C1" w14:textId="77777777" w:rsidR="00696305" w:rsidRPr="00B51DF1" w:rsidRDefault="00696305" w:rsidP="00B51DF1">
      <w:pPr>
        <w:autoSpaceDE w:val="0"/>
        <w:autoSpaceDN w:val="0"/>
        <w:adjustRightInd w:val="0"/>
        <w:ind w:firstLine="709"/>
        <w:jc w:val="both"/>
      </w:pPr>
    </w:p>
    <w:p w14:paraId="22B6CB90" w14:textId="77777777" w:rsidR="00696305" w:rsidRPr="00B51DF1" w:rsidRDefault="00696305" w:rsidP="00B51DF1">
      <w:pPr>
        <w:autoSpaceDE w:val="0"/>
        <w:autoSpaceDN w:val="0"/>
        <w:adjustRightInd w:val="0"/>
        <w:ind w:firstLine="709"/>
        <w:jc w:val="both"/>
      </w:pPr>
      <w:r w:rsidRPr="00B51DF1">
        <w:t>[Der König ändert gegebenenfalls den in Absatz 1 Nr. 14 Buchstabe </w:t>
      </w:r>
      <w:r w:rsidRPr="00B51DF1">
        <w:rPr>
          <w:i/>
          <w:iCs/>
        </w:rPr>
        <w:t>a)</w:t>
      </w:r>
      <w:r w:rsidRPr="00B51DF1">
        <w:t xml:space="preserve"> erwähnten Betrag der Kilometerentschädigung, sodass er sich nach Anwendung von Artikel 178 für die 2024 bewilligten Entschädigungen auf 0,35 EUR beläuft. Unbeschadet der Anwendung von Artikel 178 ist der so geänderte Betrag auf die ab dem 1. Januar 2024 bewilligten Entschädigungen anwendbar.]</w:t>
      </w:r>
    </w:p>
    <w:p w14:paraId="59AC18EB" w14:textId="77777777" w:rsidR="00696305" w:rsidRPr="00B51DF1" w:rsidRDefault="00696305" w:rsidP="00B51DF1">
      <w:pPr>
        <w:autoSpaceDE w:val="0"/>
        <w:autoSpaceDN w:val="0"/>
        <w:adjustRightInd w:val="0"/>
        <w:ind w:firstLine="709"/>
        <w:jc w:val="both"/>
      </w:pPr>
    </w:p>
    <w:p w14:paraId="77987B4A" w14:textId="77777777" w:rsidR="001009A1" w:rsidRDefault="001009A1">
      <w:r>
        <w:br w:type="page"/>
      </w:r>
    </w:p>
    <w:p w14:paraId="3A44E5C2" w14:textId="0B9F414A" w:rsidR="00696305" w:rsidRPr="00B51DF1" w:rsidRDefault="00696305" w:rsidP="00B51DF1">
      <w:pPr>
        <w:autoSpaceDE w:val="0"/>
        <w:autoSpaceDN w:val="0"/>
        <w:adjustRightInd w:val="0"/>
        <w:ind w:firstLine="709"/>
        <w:jc w:val="both"/>
      </w:pPr>
      <w:r w:rsidRPr="00B51DF1">
        <w:lastRenderedPageBreak/>
        <w:t>[§ 2 - [Die in § 1 Absatz 1 Nr. 20 erwähnte Steuerbefreiung ist auch auf Beiträge und Prämien anwendbar, für die der Arbeitgeber oder das Unternehmen aufkommt zugunsten von Arbeitnehmern oder Unternehmensleitern:</w:t>
      </w:r>
    </w:p>
    <w:p w14:paraId="002F1D05" w14:textId="77777777" w:rsidR="00696305" w:rsidRPr="00B51DF1" w:rsidRDefault="00696305" w:rsidP="00B51DF1">
      <w:pPr>
        <w:autoSpaceDE w:val="0"/>
        <w:autoSpaceDN w:val="0"/>
        <w:adjustRightInd w:val="0"/>
        <w:ind w:firstLine="709"/>
        <w:jc w:val="both"/>
      </w:pPr>
    </w:p>
    <w:p w14:paraId="2A78FE9E" w14:textId="3E94F5D7" w:rsidR="00696305" w:rsidRPr="00B51DF1" w:rsidRDefault="00696305" w:rsidP="00B51DF1">
      <w:pPr>
        <w:autoSpaceDE w:val="0"/>
        <w:autoSpaceDN w:val="0"/>
        <w:adjustRightInd w:val="0"/>
        <w:ind w:firstLine="709"/>
        <w:jc w:val="both"/>
      </w:pPr>
      <w:r w:rsidRPr="00B51DF1">
        <w:t>- in Laufbahnunterbrechung oder mit Zeitkredit,</w:t>
      </w:r>
    </w:p>
    <w:p w14:paraId="7ECCB6E8" w14:textId="77777777" w:rsidR="00696305" w:rsidRPr="00B51DF1" w:rsidRDefault="00696305" w:rsidP="00B51DF1">
      <w:pPr>
        <w:autoSpaceDE w:val="0"/>
        <w:autoSpaceDN w:val="0"/>
        <w:adjustRightInd w:val="0"/>
        <w:ind w:firstLine="709"/>
        <w:jc w:val="both"/>
      </w:pPr>
    </w:p>
    <w:p w14:paraId="0E91E3C3" w14:textId="73A81D95" w:rsidR="00696305" w:rsidRPr="00B51DF1" w:rsidRDefault="00696305" w:rsidP="00B51DF1">
      <w:pPr>
        <w:autoSpaceDE w:val="0"/>
        <w:autoSpaceDN w:val="0"/>
        <w:adjustRightInd w:val="0"/>
        <w:ind w:firstLine="709"/>
        <w:jc w:val="both"/>
      </w:pPr>
      <w:r w:rsidRPr="00B51DF1">
        <w:t>- die der Regelung der Arbeitslosigkeit mit Betriebszuschlag beigetreten oder pensioniert sind,</w:t>
      </w:r>
    </w:p>
    <w:p w14:paraId="0DDB5E86" w14:textId="77777777" w:rsidR="00696305" w:rsidRPr="00B51DF1" w:rsidRDefault="00696305" w:rsidP="00B51DF1">
      <w:pPr>
        <w:autoSpaceDE w:val="0"/>
        <w:autoSpaceDN w:val="0"/>
        <w:adjustRightInd w:val="0"/>
        <w:ind w:firstLine="709"/>
        <w:jc w:val="both"/>
      </w:pPr>
    </w:p>
    <w:p w14:paraId="33C5F460" w14:textId="77777777" w:rsidR="00696305" w:rsidRPr="00B51DF1" w:rsidRDefault="00696305" w:rsidP="00B51DF1">
      <w:pPr>
        <w:autoSpaceDE w:val="0"/>
        <w:autoSpaceDN w:val="0"/>
        <w:adjustRightInd w:val="0"/>
        <w:ind w:firstLine="709"/>
        <w:jc w:val="both"/>
      </w:pPr>
      <w:r w:rsidRPr="00B51DF1">
        <w:t>- die den Arbeitgeber oder das Unternehmen gewechselt haben.]</w:t>
      </w:r>
    </w:p>
    <w:p w14:paraId="4C3CDB78" w14:textId="77777777" w:rsidR="00696305" w:rsidRPr="00B51DF1" w:rsidRDefault="00696305" w:rsidP="00B51DF1">
      <w:pPr>
        <w:autoSpaceDE w:val="0"/>
        <w:autoSpaceDN w:val="0"/>
        <w:adjustRightInd w:val="0"/>
        <w:ind w:firstLine="709"/>
        <w:jc w:val="both"/>
      </w:pPr>
    </w:p>
    <w:p w14:paraId="55BC6734" w14:textId="77777777" w:rsidR="00696305" w:rsidRPr="00B51DF1" w:rsidRDefault="00696305" w:rsidP="00B51DF1">
      <w:pPr>
        <w:autoSpaceDE w:val="0"/>
        <w:autoSpaceDN w:val="0"/>
        <w:adjustRightInd w:val="0"/>
        <w:ind w:firstLine="709"/>
        <w:jc w:val="both"/>
      </w:pPr>
      <w:r w:rsidRPr="00B51DF1">
        <w:t>In § 1 Absatz 1 Nr. 20 erwähnte kollektive oder individuelle Vereinbarungen sind:</w:t>
      </w:r>
    </w:p>
    <w:p w14:paraId="37D02336" w14:textId="77777777" w:rsidR="00696305" w:rsidRPr="00B51DF1" w:rsidRDefault="00696305" w:rsidP="00B51DF1">
      <w:pPr>
        <w:autoSpaceDE w:val="0"/>
        <w:autoSpaceDN w:val="0"/>
        <w:adjustRightInd w:val="0"/>
        <w:ind w:firstLine="709"/>
        <w:jc w:val="both"/>
      </w:pPr>
    </w:p>
    <w:p w14:paraId="46E3A8FB" w14:textId="77777777" w:rsidR="00696305" w:rsidRPr="00B51DF1" w:rsidRDefault="00696305" w:rsidP="00B51DF1">
      <w:pPr>
        <w:autoSpaceDE w:val="0"/>
        <w:autoSpaceDN w:val="0"/>
        <w:adjustRightInd w:val="0"/>
        <w:ind w:firstLine="709"/>
        <w:jc w:val="both"/>
      </w:pPr>
      <w:r w:rsidRPr="00B51DF1">
        <w:t>1. Vereinbarungen, die ausschließlich die Erstattung von Arztkosten in Zusammenhang mit Krankenhausaufenthalten, Tageskrankenhausaufenthalten, schweren Krankheiten und Hauspalliativpflege des Arbeitnehmers oder Unternehmensleiters und gegebenenfalls aller unter demselben Dach wohnenden Familienmitglieder zum Ziel haben,</w:t>
      </w:r>
    </w:p>
    <w:p w14:paraId="26D68146" w14:textId="77777777" w:rsidR="00696305" w:rsidRPr="00B51DF1" w:rsidRDefault="00696305" w:rsidP="00B51DF1">
      <w:pPr>
        <w:autoSpaceDE w:val="0"/>
        <w:autoSpaceDN w:val="0"/>
        <w:adjustRightInd w:val="0"/>
        <w:ind w:firstLine="709"/>
        <w:jc w:val="both"/>
      </w:pPr>
    </w:p>
    <w:p w14:paraId="0E2A16FA" w14:textId="77777777" w:rsidR="00696305" w:rsidRPr="00B51DF1" w:rsidRDefault="00696305" w:rsidP="00B51DF1">
      <w:pPr>
        <w:autoSpaceDE w:val="0"/>
        <w:autoSpaceDN w:val="0"/>
        <w:adjustRightInd w:val="0"/>
        <w:ind w:firstLine="709"/>
        <w:jc w:val="both"/>
      </w:pPr>
      <w:r w:rsidRPr="00B51DF1">
        <w:t>2. Vereinbarungen, die ausschließlich die Erstattung von spezifischen Kosten, die durch die Abhängigkeit des Arbeitnehmers oder Unternehmensleiters verursacht werden, zum Ziel haben,</w:t>
      </w:r>
    </w:p>
    <w:p w14:paraId="7FC01F4D" w14:textId="77777777" w:rsidR="00696305" w:rsidRPr="00B51DF1" w:rsidRDefault="00696305" w:rsidP="00B51DF1">
      <w:pPr>
        <w:autoSpaceDE w:val="0"/>
        <w:autoSpaceDN w:val="0"/>
        <w:adjustRightInd w:val="0"/>
        <w:ind w:firstLine="709"/>
        <w:jc w:val="both"/>
      </w:pPr>
    </w:p>
    <w:p w14:paraId="087DCCCE" w14:textId="77777777" w:rsidR="00696305" w:rsidRPr="00B51DF1" w:rsidRDefault="00696305" w:rsidP="00B51DF1">
      <w:pPr>
        <w:autoSpaceDE w:val="0"/>
        <w:autoSpaceDN w:val="0"/>
        <w:adjustRightInd w:val="0"/>
        <w:ind w:firstLine="709"/>
        <w:jc w:val="both"/>
      </w:pPr>
      <w:r w:rsidRPr="00B51DF1">
        <w:t>3. Vereinbarungen, die die Zahlung einer Rente nur für den Fall vorsehen, dass der Arbeitnehmer oder Unternehmensleiter Opfer einer schweren Krankheit ist,</w:t>
      </w:r>
    </w:p>
    <w:p w14:paraId="5D26A9D1" w14:textId="77777777" w:rsidR="00696305" w:rsidRPr="00B51DF1" w:rsidRDefault="00696305" w:rsidP="00B51DF1">
      <w:pPr>
        <w:autoSpaceDE w:val="0"/>
        <w:autoSpaceDN w:val="0"/>
        <w:adjustRightInd w:val="0"/>
        <w:ind w:firstLine="709"/>
        <w:jc w:val="both"/>
      </w:pPr>
    </w:p>
    <w:p w14:paraId="2F4D8C7F" w14:textId="77777777" w:rsidR="00696305" w:rsidRPr="00B51DF1" w:rsidRDefault="00696305" w:rsidP="00B51DF1">
      <w:pPr>
        <w:autoSpaceDE w:val="0"/>
        <w:autoSpaceDN w:val="0"/>
        <w:adjustRightInd w:val="0"/>
        <w:ind w:firstLine="709"/>
        <w:jc w:val="both"/>
      </w:pPr>
      <w:r w:rsidRPr="00B51DF1">
        <w:t>4. Personenversicherungen oder ähnliche Vereinbarungen, die nicht den vorhergehenden und den in § 1 Absatz 1 Nr. 18 und 19 erwähnten Vereinbarungen entsprechen, sofern diese Versicherungen oder Vereinbarungen gleichzeitig folgende Bedingungen erfüllen:</w:t>
      </w:r>
    </w:p>
    <w:p w14:paraId="4D13A83F" w14:textId="77777777" w:rsidR="00696305" w:rsidRPr="00B51DF1" w:rsidRDefault="00696305" w:rsidP="00B51DF1">
      <w:pPr>
        <w:autoSpaceDE w:val="0"/>
        <w:autoSpaceDN w:val="0"/>
        <w:adjustRightInd w:val="0"/>
        <w:ind w:firstLine="709"/>
        <w:jc w:val="both"/>
      </w:pPr>
    </w:p>
    <w:p w14:paraId="062A5700" w14:textId="77777777" w:rsidR="00696305" w:rsidRPr="00B51DF1" w:rsidRDefault="00696305" w:rsidP="00B51DF1">
      <w:pPr>
        <w:autoSpaceDE w:val="0"/>
        <w:autoSpaceDN w:val="0"/>
        <w:adjustRightInd w:val="0"/>
        <w:ind w:firstLine="709"/>
        <w:jc w:val="both"/>
      </w:pPr>
      <w:r w:rsidRPr="00B51DF1">
        <w:rPr>
          <w:i/>
          <w:iCs/>
        </w:rPr>
        <w:t>a)</w:t>
      </w:r>
      <w:r w:rsidRPr="00B51DF1">
        <w:t xml:space="preserve"> Die Versicherungsverträge oder Vereinbarungen können als eine Ergänzung der Vorteile betrachtet werden, die im Rahmen der Rechtsvorschriften im Bereich der sozialen Sicherheit zuerkannt werden.</w:t>
      </w:r>
    </w:p>
    <w:p w14:paraId="215853DF" w14:textId="77777777" w:rsidR="00696305" w:rsidRPr="00B51DF1" w:rsidRDefault="00696305" w:rsidP="00B51DF1">
      <w:pPr>
        <w:autoSpaceDE w:val="0"/>
        <w:autoSpaceDN w:val="0"/>
        <w:adjustRightInd w:val="0"/>
        <w:ind w:firstLine="709"/>
        <w:jc w:val="both"/>
      </w:pPr>
    </w:p>
    <w:p w14:paraId="549666AE" w14:textId="77777777" w:rsidR="00696305" w:rsidRPr="00B51DF1" w:rsidRDefault="00696305" w:rsidP="00B51DF1">
      <w:pPr>
        <w:autoSpaceDE w:val="0"/>
        <w:autoSpaceDN w:val="0"/>
        <w:adjustRightInd w:val="0"/>
        <w:ind w:firstLine="709"/>
        <w:jc w:val="both"/>
      </w:pPr>
      <w:r w:rsidRPr="00B51DF1">
        <w:rPr>
          <w:i/>
          <w:iCs/>
        </w:rPr>
        <w:t>b)</w:t>
      </w:r>
      <w:r w:rsidRPr="00B51DF1">
        <w:t xml:space="preserve"> Die Verträge und Vereinbarungen dürfen Zahlungen nur während des Dienstverhältnisses der vorerwähnten Personen vorsehen. Zeiträume, in denen das Dienstverhältnis ausgesetzt ist, werden auch berücksichtigt.</w:t>
      </w:r>
    </w:p>
    <w:p w14:paraId="28EE04CB" w14:textId="77777777" w:rsidR="00696305" w:rsidRPr="00B51DF1" w:rsidRDefault="00696305" w:rsidP="00B51DF1">
      <w:pPr>
        <w:autoSpaceDE w:val="0"/>
        <w:autoSpaceDN w:val="0"/>
        <w:adjustRightInd w:val="0"/>
        <w:ind w:firstLine="709"/>
        <w:jc w:val="both"/>
      </w:pPr>
    </w:p>
    <w:p w14:paraId="4E3AA295" w14:textId="77777777" w:rsidR="00696305" w:rsidRPr="00B51DF1" w:rsidRDefault="00696305" w:rsidP="00B51DF1">
      <w:pPr>
        <w:autoSpaceDE w:val="0"/>
        <w:autoSpaceDN w:val="0"/>
        <w:adjustRightInd w:val="0"/>
        <w:ind w:firstLine="709"/>
        <w:jc w:val="both"/>
      </w:pPr>
      <w:r w:rsidRPr="00B51DF1">
        <w:t>Für die in Artikel 30 Nr. 1 erwähnten Arbeitnehmer und die in Artikel 30 Nr. 2 erwähnten Unternehmensleiter, die gemäß den Bestimmungen von Artikel 195 § 1 Absatz 2 nicht regelmäßig entlohnt werden, wird eine im vorhergehenden Absatz erwähnte individuelle Vereinbarung nur dann für die Steuerbefreiung als Vorteil jeglicher Art berücksichtigt, wenn im Unternehmen auch eine kollektive Vereinbarung besteht, die den vorerwähnten Arbeitnehmern und Unternehmensleitern oder einer spezifischen Kategorie von Arbeitnehmern und Unternehmensleitern auf gleiche und nicht diskriminierende Weise zugänglich ist.</w:t>
      </w:r>
    </w:p>
    <w:p w14:paraId="3A7C08DE" w14:textId="77777777" w:rsidR="00696305" w:rsidRPr="00B51DF1" w:rsidRDefault="00696305" w:rsidP="00B51DF1">
      <w:pPr>
        <w:autoSpaceDE w:val="0"/>
        <w:autoSpaceDN w:val="0"/>
        <w:adjustRightInd w:val="0"/>
        <w:ind w:firstLine="709"/>
        <w:jc w:val="both"/>
      </w:pPr>
    </w:p>
    <w:p w14:paraId="436D0537" w14:textId="77777777" w:rsidR="00696305" w:rsidRPr="00B51DF1" w:rsidRDefault="00696305" w:rsidP="00B51DF1">
      <w:pPr>
        <w:autoSpaceDE w:val="0"/>
        <w:autoSpaceDN w:val="0"/>
        <w:adjustRightInd w:val="0"/>
        <w:ind w:firstLine="709"/>
        <w:jc w:val="both"/>
      </w:pPr>
      <w:r w:rsidRPr="00B51DF1">
        <w:t xml:space="preserve">Für die Anwendung von § 1 Absatz 1 Nr. 20 haben folgende Begriffe nachstehende Bedeutung: </w:t>
      </w:r>
    </w:p>
    <w:p w14:paraId="486DDD48" w14:textId="77777777" w:rsidR="00696305" w:rsidRPr="00B51DF1" w:rsidRDefault="00696305" w:rsidP="00B51DF1">
      <w:pPr>
        <w:autoSpaceDE w:val="0"/>
        <w:autoSpaceDN w:val="0"/>
        <w:adjustRightInd w:val="0"/>
        <w:ind w:firstLine="709"/>
        <w:jc w:val="both"/>
      </w:pPr>
    </w:p>
    <w:p w14:paraId="39CEE5E1" w14:textId="77777777" w:rsidR="00696305" w:rsidRPr="00B51DF1" w:rsidRDefault="00696305" w:rsidP="00B51DF1">
      <w:pPr>
        <w:autoSpaceDE w:val="0"/>
        <w:autoSpaceDN w:val="0"/>
        <w:adjustRightInd w:val="0"/>
        <w:ind w:firstLine="709"/>
        <w:jc w:val="both"/>
      </w:pPr>
      <w:r w:rsidRPr="00B51DF1">
        <w:t>- Krankenhausaufenthalt: jeder medizinisch notwendige Aufenthalt mit mindestens einer Übernachtung in einer gesetzlich als Krankenhauseinrichtung angesehenen Einrichtung,</w:t>
      </w:r>
    </w:p>
    <w:p w14:paraId="5155B098" w14:textId="77777777" w:rsidR="00696305" w:rsidRPr="00B51DF1" w:rsidRDefault="00696305" w:rsidP="00B51DF1">
      <w:pPr>
        <w:autoSpaceDE w:val="0"/>
        <w:autoSpaceDN w:val="0"/>
        <w:adjustRightInd w:val="0"/>
        <w:ind w:firstLine="709"/>
        <w:jc w:val="both"/>
      </w:pPr>
    </w:p>
    <w:p w14:paraId="5F649879" w14:textId="77777777" w:rsidR="00696305" w:rsidRPr="00B51DF1" w:rsidRDefault="00696305" w:rsidP="00B51DF1">
      <w:pPr>
        <w:autoSpaceDE w:val="0"/>
        <w:autoSpaceDN w:val="0"/>
        <w:adjustRightInd w:val="0"/>
        <w:ind w:firstLine="709"/>
        <w:jc w:val="both"/>
      </w:pPr>
      <w:r w:rsidRPr="00B51DF1">
        <w:t>- Tageskrankenhausaufenthalt: der medizinisch notwendige Aufenthalt ohne Übernachtung in einer gesetzlich als Krankenhauseinrichtung angesehenen Einrichtung,</w:t>
      </w:r>
    </w:p>
    <w:p w14:paraId="313A5152" w14:textId="77777777" w:rsidR="00696305" w:rsidRPr="00B51DF1" w:rsidRDefault="00696305" w:rsidP="00B51DF1">
      <w:pPr>
        <w:autoSpaceDE w:val="0"/>
        <w:autoSpaceDN w:val="0"/>
        <w:adjustRightInd w:val="0"/>
        <w:ind w:firstLine="709"/>
        <w:jc w:val="both"/>
      </w:pPr>
    </w:p>
    <w:p w14:paraId="254E77D4" w14:textId="77777777" w:rsidR="00696305" w:rsidRPr="00B51DF1" w:rsidRDefault="00696305" w:rsidP="00B51DF1">
      <w:pPr>
        <w:autoSpaceDE w:val="0"/>
        <w:autoSpaceDN w:val="0"/>
        <w:adjustRightInd w:val="0"/>
        <w:ind w:firstLine="709"/>
        <w:jc w:val="both"/>
      </w:pPr>
      <w:r w:rsidRPr="00B51DF1">
        <w:t>- schwere Krankheit: Krankheiten, die als solche vom Minister, zu dessen Zuständigkeitsbereich die Sozialen Angelegenheiten gehören, anerkannt sind,</w:t>
      </w:r>
    </w:p>
    <w:p w14:paraId="4E57CCF7" w14:textId="77777777" w:rsidR="00696305" w:rsidRPr="00B51DF1" w:rsidRDefault="00696305" w:rsidP="00B51DF1">
      <w:pPr>
        <w:autoSpaceDE w:val="0"/>
        <w:autoSpaceDN w:val="0"/>
        <w:adjustRightInd w:val="0"/>
        <w:ind w:firstLine="709"/>
        <w:jc w:val="both"/>
      </w:pPr>
    </w:p>
    <w:p w14:paraId="195F0E7A" w14:textId="77777777" w:rsidR="00696305" w:rsidRPr="00B51DF1" w:rsidRDefault="00696305" w:rsidP="00B51DF1">
      <w:pPr>
        <w:autoSpaceDE w:val="0"/>
        <w:autoSpaceDN w:val="0"/>
        <w:adjustRightInd w:val="0"/>
        <w:ind w:firstLine="709"/>
        <w:jc w:val="both"/>
      </w:pPr>
      <w:r w:rsidRPr="00B51DF1">
        <w:t>- Hauspalliativpflege: Pflege in der Wohnung von Patienten im Endstadium, die auf die physischen und psychischen Bedürfnisse des Patienten ausgerichtet ist und zum Erhalt einer bestimmten Lebensqualität beiträgt,</w:t>
      </w:r>
    </w:p>
    <w:p w14:paraId="6EBB23A0" w14:textId="77777777" w:rsidR="00696305" w:rsidRPr="00B51DF1" w:rsidRDefault="00696305" w:rsidP="00B51DF1">
      <w:pPr>
        <w:autoSpaceDE w:val="0"/>
        <w:autoSpaceDN w:val="0"/>
        <w:adjustRightInd w:val="0"/>
        <w:ind w:firstLine="709"/>
        <w:jc w:val="both"/>
      </w:pPr>
    </w:p>
    <w:p w14:paraId="1C52B201" w14:textId="77777777" w:rsidR="00696305" w:rsidRPr="00B51DF1" w:rsidRDefault="00696305" w:rsidP="00B51DF1">
      <w:pPr>
        <w:autoSpaceDE w:val="0"/>
        <w:autoSpaceDN w:val="0"/>
        <w:adjustRightInd w:val="0"/>
        <w:ind w:firstLine="709"/>
        <w:jc w:val="both"/>
      </w:pPr>
      <w:r w:rsidRPr="00B51DF1">
        <w:t>- Abhängigkeit: der medizinisch festgestellte Bedarf an Hilfe, um die gewöhnlichen und instrumentellen Aktivitäten des täglichen Lebens auszuführen.]</w:t>
      </w:r>
    </w:p>
    <w:p w14:paraId="2B839406" w14:textId="77777777" w:rsidR="00696305" w:rsidRPr="00B51DF1" w:rsidRDefault="00696305" w:rsidP="00B51DF1">
      <w:pPr>
        <w:autoSpaceDE w:val="0"/>
        <w:autoSpaceDN w:val="0"/>
        <w:adjustRightInd w:val="0"/>
        <w:ind w:firstLine="709"/>
        <w:jc w:val="both"/>
      </w:pPr>
    </w:p>
    <w:p w14:paraId="71D284D7" w14:textId="77777777" w:rsidR="00696305" w:rsidRPr="00B51DF1" w:rsidRDefault="00696305" w:rsidP="00B51DF1">
      <w:pPr>
        <w:autoSpaceDE w:val="0"/>
        <w:autoSpaceDN w:val="0"/>
        <w:adjustRightInd w:val="0"/>
        <w:ind w:firstLine="709"/>
        <w:jc w:val="both"/>
      </w:pPr>
      <w:r w:rsidRPr="00B51DF1">
        <w:t>[§ 3 - Sind in § 1 Absatz 1 Nr. 18 bis 20 erwähnte Vorteile und Leistungen Gegenstand von Vereinbarungen im Rahmen einer Solidaritätsvereinbarung, die in den Artikeln 10 und 11 des Gesetzes vom 28. April 2003 über ergänzende Pensionen und das Besteuerungs</w:t>
      </w:r>
      <w:r w:rsidRPr="00B51DF1">
        <w:softHyphen/>
        <w:t>system für diese Pensionen und für bestimmte Zusatzleistungen im Bereich der sozialen Sicherheit erwähnt ist, oder im Rahmen eines Plans mit zwei oder mehreren Verein</w:t>
      </w:r>
      <w:r w:rsidRPr="00B51DF1">
        <w:softHyphen/>
        <w:t>barungen, sind die in § 1 Absatz 1 Nr. 18 bis 20 erwähnten Steuerbefreiungen nur anwendbar, sofern diese Solidaritätsvereinbarung oder dieser Plan [von dem Versicherungsunternehmen, der Vorsorgeeinrichtung oder der Einrichtung der betrieblichen Altersversorgung] auf differenzierte Weise verwaltet wird, so dass die Anwendung eines spezifischen Systems im Bereich der Einkommensteuer [und der verschiedenen Gebühren und Steuern] für jeden Steuerpflichtigen beziehungsweise -schuldner jederzeit gewährleistet werden kann sowohl in Bezug auf die Behandlung der Beiträge oder Prämien als auch der Leistungen.]</w:t>
      </w:r>
    </w:p>
    <w:p w14:paraId="343F2411" w14:textId="77777777" w:rsidR="00696305" w:rsidRPr="00B51DF1" w:rsidRDefault="00696305" w:rsidP="00B51DF1">
      <w:pPr>
        <w:autoSpaceDE w:val="0"/>
        <w:autoSpaceDN w:val="0"/>
        <w:adjustRightInd w:val="0"/>
        <w:ind w:firstLine="709"/>
        <w:jc w:val="both"/>
      </w:pPr>
    </w:p>
    <w:p w14:paraId="755772AB" w14:textId="77777777" w:rsidR="00696305" w:rsidRPr="00B51DF1" w:rsidRDefault="00696305" w:rsidP="00B51DF1">
      <w:pPr>
        <w:autoSpaceDE w:val="0"/>
        <w:autoSpaceDN w:val="0"/>
        <w:adjustRightInd w:val="0"/>
        <w:ind w:firstLine="709"/>
        <w:jc w:val="both"/>
      </w:pPr>
      <w:r w:rsidRPr="00B51DF1">
        <w:t>[§ 4 - Für die Anwendung von § 1 Absatz 1 Nr. 23 [und des vorliegenden Paragraphen] gilt als:</w:t>
      </w:r>
    </w:p>
    <w:p w14:paraId="36D709CD" w14:textId="77777777" w:rsidR="00696305" w:rsidRPr="00B51DF1" w:rsidRDefault="00696305" w:rsidP="00B51DF1">
      <w:pPr>
        <w:autoSpaceDE w:val="0"/>
        <w:autoSpaceDN w:val="0"/>
        <w:adjustRightInd w:val="0"/>
        <w:ind w:firstLine="709"/>
        <w:jc w:val="both"/>
      </w:pPr>
    </w:p>
    <w:p w14:paraId="729FC4BA" w14:textId="77777777" w:rsidR="00696305" w:rsidRPr="00B51DF1" w:rsidRDefault="00696305" w:rsidP="00B51DF1">
      <w:pPr>
        <w:autoSpaceDE w:val="0"/>
        <w:autoSpaceDN w:val="0"/>
        <w:adjustRightInd w:val="0"/>
        <w:ind w:firstLine="709"/>
        <w:jc w:val="both"/>
      </w:pPr>
      <w:r w:rsidRPr="00B51DF1">
        <w:t>- ["künstlerische Leistung": die Leistung, die einen notwendigen künstlerischen Beitrag liefert zu einer künstlerischen Schaffung oder Darbietung in den Bereichen der Künste, das heißt der bildenden und audiovisuellen Künste, der Musik, der Literatur, des Schauspiels, des Theaters, der Choreografie und des Comics, mit Ausnahme von künstlerisch-technischen und künstlerisch-unterstützenden Leistungen. Ein künstlerischer Beitrag gilt als notwendig, wenn ohne diesen Beitrag nicht dasselbe künstlerische Ergebnis erzielt würde,]</w:t>
      </w:r>
    </w:p>
    <w:p w14:paraId="764B09CE" w14:textId="77777777" w:rsidR="00696305" w:rsidRPr="00B51DF1" w:rsidRDefault="00696305" w:rsidP="00B51DF1">
      <w:pPr>
        <w:autoSpaceDE w:val="0"/>
        <w:autoSpaceDN w:val="0"/>
        <w:adjustRightInd w:val="0"/>
        <w:ind w:firstLine="709"/>
        <w:jc w:val="both"/>
      </w:pPr>
    </w:p>
    <w:p w14:paraId="37C415F4" w14:textId="77777777" w:rsidR="00696305" w:rsidRPr="00B51DF1" w:rsidRDefault="00696305" w:rsidP="00B51DF1">
      <w:pPr>
        <w:autoSpaceDE w:val="0"/>
        <w:autoSpaceDN w:val="0"/>
        <w:adjustRightInd w:val="0"/>
        <w:ind w:firstLine="709"/>
        <w:jc w:val="both"/>
      </w:pPr>
      <w:r w:rsidRPr="00B51DF1">
        <w:t>- "Auftraggeber": derjenige, der [einen Ausführenden] beauftragt, [...] eine künstlerische Leistung zu erbringen [...]. Als Auftraggeber gilt auch derjenige, bei dem [der Ausführende] einen Ausführenden zur Verfügung gestellt wird,</w:t>
      </w:r>
    </w:p>
    <w:p w14:paraId="788AFDB1" w14:textId="77777777" w:rsidR="00696305" w:rsidRPr="00B51DF1" w:rsidRDefault="00696305" w:rsidP="00B51DF1">
      <w:pPr>
        <w:autoSpaceDE w:val="0"/>
        <w:autoSpaceDN w:val="0"/>
        <w:adjustRightInd w:val="0"/>
        <w:ind w:firstLine="709"/>
        <w:jc w:val="both"/>
      </w:pPr>
    </w:p>
    <w:p w14:paraId="07335728" w14:textId="77777777" w:rsidR="00696305" w:rsidRPr="00B51DF1" w:rsidRDefault="00696305" w:rsidP="00B51DF1">
      <w:pPr>
        <w:autoSpaceDE w:val="0"/>
        <w:autoSpaceDN w:val="0"/>
        <w:adjustRightInd w:val="0"/>
        <w:ind w:firstLine="709"/>
        <w:jc w:val="both"/>
      </w:pPr>
      <w:r w:rsidRPr="00B51DF1">
        <w:t>[- "Ausführender": die Person, die künstlerische Leistungen erbringt,</w:t>
      </w:r>
    </w:p>
    <w:p w14:paraId="57A343B7" w14:textId="77777777" w:rsidR="00696305" w:rsidRPr="00B51DF1" w:rsidRDefault="00696305" w:rsidP="00B51DF1">
      <w:pPr>
        <w:autoSpaceDE w:val="0"/>
        <w:autoSpaceDN w:val="0"/>
        <w:adjustRightInd w:val="0"/>
        <w:ind w:firstLine="709"/>
        <w:jc w:val="both"/>
      </w:pPr>
    </w:p>
    <w:p w14:paraId="2D69A770" w14:textId="77777777" w:rsidR="00696305" w:rsidRPr="00B51DF1" w:rsidRDefault="00696305" w:rsidP="00B51DF1">
      <w:pPr>
        <w:autoSpaceDE w:val="0"/>
        <w:autoSpaceDN w:val="0"/>
        <w:adjustRightInd w:val="0"/>
        <w:ind w:firstLine="709"/>
        <w:jc w:val="both"/>
      </w:pPr>
      <w:r w:rsidRPr="00B51DF1">
        <w:t>- "gesicherte elektronische Anwendung": die gesicherte elektronische Anwendung im Rahmen der Amateurkunstvergütung, die vom Landesamt für soziale Sicherheit zur Verfügung gestellt wird, wie in Artikel 9 des Gesetzes vom 13. Dezember 2022 zur Schaffung der Kommission für Kunstarbeit und zur Verbesserung des Sozialschutzes der Kunstschaffenden erwähnt.]</w:t>
      </w:r>
    </w:p>
    <w:p w14:paraId="49493300" w14:textId="77777777" w:rsidR="00696305" w:rsidRPr="00B51DF1" w:rsidRDefault="00696305" w:rsidP="00B51DF1">
      <w:pPr>
        <w:autoSpaceDE w:val="0"/>
        <w:autoSpaceDN w:val="0"/>
        <w:adjustRightInd w:val="0"/>
        <w:ind w:firstLine="709"/>
        <w:jc w:val="both"/>
      </w:pPr>
    </w:p>
    <w:p w14:paraId="18367380" w14:textId="77777777" w:rsidR="00696305" w:rsidRPr="00B51DF1" w:rsidRDefault="00696305" w:rsidP="00B51DF1">
      <w:pPr>
        <w:autoSpaceDE w:val="0"/>
        <w:autoSpaceDN w:val="0"/>
        <w:adjustRightInd w:val="0"/>
        <w:ind w:firstLine="709"/>
        <w:jc w:val="both"/>
      </w:pPr>
      <w:r w:rsidRPr="00B51DF1">
        <w:lastRenderedPageBreak/>
        <w:t>Der Erhalt der in § 1 Absatz 1 Nr. 23 erwähnten Steuerbefreiung unterliegt folgenden Bedingungen:</w:t>
      </w:r>
    </w:p>
    <w:p w14:paraId="7BF9A992" w14:textId="77777777" w:rsidR="00696305" w:rsidRPr="00B51DF1" w:rsidRDefault="00696305" w:rsidP="00B51DF1">
      <w:pPr>
        <w:autoSpaceDE w:val="0"/>
        <w:autoSpaceDN w:val="0"/>
        <w:adjustRightInd w:val="0"/>
        <w:ind w:firstLine="709"/>
        <w:jc w:val="both"/>
      </w:pPr>
      <w:r w:rsidRPr="00B51DF1">
        <w:tab/>
      </w:r>
    </w:p>
    <w:p w14:paraId="33EB4F75" w14:textId="77777777" w:rsidR="00696305" w:rsidRPr="00B51DF1" w:rsidRDefault="00696305" w:rsidP="00B51DF1">
      <w:pPr>
        <w:autoSpaceDE w:val="0"/>
        <w:autoSpaceDN w:val="0"/>
        <w:adjustRightInd w:val="0"/>
        <w:ind w:firstLine="709"/>
        <w:jc w:val="both"/>
      </w:pPr>
      <w:r w:rsidRPr="00B51DF1">
        <w:t>1. [</w:t>
      </w:r>
      <w:r w:rsidRPr="00B51DF1">
        <w:rPr>
          <w:i/>
          <w:iCs/>
        </w:rPr>
        <w:t>a)</w:t>
      </w:r>
      <w:r w:rsidRPr="00B51DF1">
        <w:t> Der Steuerpflichtige ist vor der Leistung über die gesicherte elektronische Anwendung gültig als Ausführender registriert.</w:t>
      </w:r>
    </w:p>
    <w:p w14:paraId="65541A70" w14:textId="77777777" w:rsidR="00696305" w:rsidRPr="00B51DF1" w:rsidRDefault="00696305" w:rsidP="00B51DF1">
      <w:pPr>
        <w:autoSpaceDE w:val="0"/>
        <w:autoSpaceDN w:val="0"/>
        <w:adjustRightInd w:val="0"/>
        <w:ind w:firstLine="709"/>
        <w:jc w:val="both"/>
      </w:pPr>
    </w:p>
    <w:p w14:paraId="668719D8" w14:textId="77777777" w:rsidR="00696305" w:rsidRPr="00B51DF1" w:rsidRDefault="00696305" w:rsidP="00B51DF1">
      <w:pPr>
        <w:autoSpaceDE w:val="0"/>
        <w:autoSpaceDN w:val="0"/>
        <w:adjustRightInd w:val="0"/>
        <w:ind w:firstLine="709"/>
        <w:jc w:val="both"/>
      </w:pPr>
      <w:r w:rsidRPr="00B51DF1">
        <w:rPr>
          <w:i/>
          <w:iCs/>
        </w:rPr>
        <w:t>b)</w:t>
      </w:r>
      <w:r w:rsidRPr="00B51DF1">
        <w:t> Der Auftraggeber ist vor der Leistung über die gesicherte elektronische Anwendung gültig als Auftraggeber registriert.</w:t>
      </w:r>
    </w:p>
    <w:p w14:paraId="67F76788" w14:textId="77777777" w:rsidR="00696305" w:rsidRPr="00B51DF1" w:rsidRDefault="00696305" w:rsidP="00B51DF1">
      <w:pPr>
        <w:autoSpaceDE w:val="0"/>
        <w:autoSpaceDN w:val="0"/>
        <w:adjustRightInd w:val="0"/>
        <w:ind w:firstLine="709"/>
        <w:jc w:val="both"/>
      </w:pPr>
    </w:p>
    <w:p w14:paraId="194BB41C" w14:textId="77777777" w:rsidR="00696305" w:rsidRPr="00B51DF1" w:rsidRDefault="00696305" w:rsidP="00B51DF1">
      <w:pPr>
        <w:autoSpaceDE w:val="0"/>
        <w:autoSpaceDN w:val="0"/>
        <w:adjustRightInd w:val="0"/>
        <w:ind w:firstLine="709"/>
        <w:jc w:val="both"/>
      </w:pPr>
      <w:r w:rsidRPr="00B51DF1">
        <w:rPr>
          <w:i/>
          <w:iCs/>
        </w:rPr>
        <w:t>c)</w:t>
      </w:r>
      <w:r w:rsidRPr="00B51DF1">
        <w:t> Die Leistung ist spätestens zu dem Zeitpunkt, zu dem sie begonnen wird, vom Auftraggeber über die gesicherte elektronische Anwendung gemeldet worden.</w:t>
      </w:r>
    </w:p>
    <w:p w14:paraId="084958A3" w14:textId="77777777" w:rsidR="00696305" w:rsidRPr="00B51DF1" w:rsidRDefault="00696305" w:rsidP="00B51DF1">
      <w:pPr>
        <w:autoSpaceDE w:val="0"/>
        <w:autoSpaceDN w:val="0"/>
        <w:adjustRightInd w:val="0"/>
        <w:ind w:firstLine="709"/>
        <w:jc w:val="both"/>
      </w:pPr>
    </w:p>
    <w:p w14:paraId="00DA1D1E" w14:textId="77777777" w:rsidR="00696305" w:rsidRPr="00B51DF1" w:rsidRDefault="00696305" w:rsidP="00B51DF1">
      <w:pPr>
        <w:autoSpaceDE w:val="0"/>
        <w:autoSpaceDN w:val="0"/>
        <w:adjustRightInd w:val="0"/>
        <w:ind w:firstLine="709"/>
        <w:jc w:val="both"/>
      </w:pPr>
      <w:r w:rsidRPr="00B51DF1">
        <w:rPr>
          <w:i/>
          <w:iCs/>
        </w:rPr>
        <w:t>d)</w:t>
      </w:r>
      <w:r w:rsidRPr="00B51DF1">
        <w:t> Die erbrachte Leistung entspricht voll und ganz der Art Leistung, die zuvor gemeldet worden ist.]</w:t>
      </w:r>
    </w:p>
    <w:p w14:paraId="4A9BA858" w14:textId="77777777" w:rsidR="00696305" w:rsidRPr="00B51DF1" w:rsidRDefault="00696305" w:rsidP="00B51DF1">
      <w:pPr>
        <w:autoSpaceDE w:val="0"/>
        <w:autoSpaceDN w:val="0"/>
        <w:adjustRightInd w:val="0"/>
        <w:ind w:firstLine="709"/>
        <w:jc w:val="both"/>
      </w:pPr>
    </w:p>
    <w:p w14:paraId="50960465" w14:textId="77777777" w:rsidR="00696305" w:rsidRPr="00B51DF1" w:rsidRDefault="00696305" w:rsidP="00B51DF1">
      <w:pPr>
        <w:autoSpaceDE w:val="0"/>
        <w:autoSpaceDN w:val="0"/>
        <w:adjustRightInd w:val="0"/>
        <w:ind w:firstLine="709"/>
        <w:jc w:val="both"/>
      </w:pPr>
      <w:r w:rsidRPr="00B51DF1">
        <w:t>2. Die pauschale Kostenvergütung [darf pro Auftraggeber nicht über 70 EUR pro Tag liegen, gegebenenfalls erhöht um eine Erstattung der tatsächlichen Fahrtkosten, die nicht über 20 EUR pro Tag liegen darf]. Zahlt der Auftraggeber einen höheren Betrag, wird die gesamte Vergütung[, einschließlich der Erstattung der tatsächlichen Fahrtkosten,] für die Steuerbefreiung nicht berücksichtigt.</w:t>
      </w:r>
    </w:p>
    <w:p w14:paraId="2633867C" w14:textId="77777777" w:rsidR="00696305" w:rsidRPr="00B51DF1" w:rsidRDefault="00696305" w:rsidP="00B51DF1">
      <w:pPr>
        <w:autoSpaceDE w:val="0"/>
        <w:autoSpaceDN w:val="0"/>
        <w:adjustRightInd w:val="0"/>
        <w:ind w:firstLine="709"/>
        <w:jc w:val="both"/>
      </w:pPr>
    </w:p>
    <w:p w14:paraId="21BB1D30" w14:textId="77777777" w:rsidR="00696305" w:rsidRPr="00B51DF1" w:rsidRDefault="00696305" w:rsidP="00B51DF1">
      <w:pPr>
        <w:autoSpaceDE w:val="0"/>
        <w:autoSpaceDN w:val="0"/>
        <w:adjustRightInd w:val="0"/>
        <w:ind w:firstLine="709"/>
        <w:jc w:val="both"/>
      </w:pPr>
      <w:r w:rsidRPr="00B51DF1">
        <w:t>3. Zum Zeitpunkt der Erbringung einer künstlerischen Leistung [...] darf der Steuerpflichtige nicht durch Arbeitsvertrag, Werkvertrag oder statutarische Anstellung an denselben Auftraggeber gebunden sein, es sei denn, der Steuerpflichtige und der Auftraggeber weisen nach, dass die Leistungen der verschiedenen Aktivitäten unterschiedlicher Art sind.]</w:t>
      </w:r>
    </w:p>
    <w:p w14:paraId="225B819F" w14:textId="77777777" w:rsidR="00696305" w:rsidRPr="00B51DF1" w:rsidRDefault="00696305" w:rsidP="00B51DF1">
      <w:pPr>
        <w:autoSpaceDE w:val="0"/>
        <w:autoSpaceDN w:val="0"/>
        <w:adjustRightInd w:val="0"/>
        <w:ind w:firstLine="709"/>
        <w:jc w:val="both"/>
      </w:pPr>
    </w:p>
    <w:p w14:paraId="2B8879AB" w14:textId="77777777" w:rsidR="00696305" w:rsidRPr="00B51DF1" w:rsidRDefault="00696305" w:rsidP="00B51DF1">
      <w:pPr>
        <w:autoSpaceDE w:val="0"/>
        <w:autoSpaceDN w:val="0"/>
        <w:adjustRightInd w:val="0"/>
        <w:ind w:firstLine="709"/>
        <w:jc w:val="both"/>
      </w:pPr>
      <w:r w:rsidRPr="00B51DF1">
        <w:t>[Für die Anwendung von Absatz 2 Nr. 2 werden die tatsächlichen Fahrtkosten für die Benutzung des Privatfahrzeugs und die Benutzung des Fahrrads gemäß den Regeln festgelegt, die für Fahrten zu dienstlichen Zwecken von Personalmitgliedern des föderalen öffentlichen Dienstes gelten.]</w:t>
      </w:r>
    </w:p>
    <w:p w14:paraId="2DB064D9" w14:textId="77777777" w:rsidR="00696305" w:rsidRPr="00B51DF1" w:rsidRDefault="00696305" w:rsidP="00B51DF1">
      <w:pPr>
        <w:autoSpaceDE w:val="0"/>
        <w:autoSpaceDN w:val="0"/>
        <w:adjustRightInd w:val="0"/>
        <w:ind w:firstLine="709"/>
        <w:jc w:val="both"/>
      </w:pPr>
    </w:p>
    <w:p w14:paraId="6319967F" w14:textId="77777777" w:rsidR="00696305" w:rsidRPr="00B51DF1" w:rsidRDefault="00696305" w:rsidP="00B51DF1">
      <w:pPr>
        <w:autoSpaceDE w:val="0"/>
        <w:autoSpaceDN w:val="0"/>
        <w:adjustRightInd w:val="0"/>
        <w:ind w:firstLine="709"/>
        <w:jc w:val="both"/>
      </w:pPr>
      <w:r w:rsidRPr="00B51DF1">
        <w:t xml:space="preserve">[§ 5 - [Im Falle der Veräußerung einer der in § 1 Absatz 1 Nr. 28 erwähnten Anlagen </w:t>
      </w:r>
      <w:r w:rsidRPr="00B51DF1">
        <w:br/>
        <w:t>- außer einer Veräußerung anlässlich eines Schadensfalls, einer Enteignung, einer Eigentumsrequirierung oder eines anderen ähnlichen Ereignisses -, die in den ersten drei Jahren der Investition erfolgt, wird die Steuerbefreiung in Bezug auf diese Anlage ab dem Besteuerungszeitraum, in dem die Veräußerung stattfand, nicht mehr gewährt und gilt der Betrag der vorher steuerfreien Gewinne als Gewinn dieses Besteuerungszeitraums.]]</w:t>
      </w:r>
    </w:p>
    <w:p w14:paraId="67AF72C8" w14:textId="77777777" w:rsidR="00696305" w:rsidRPr="00B51DF1" w:rsidRDefault="00696305" w:rsidP="00B51DF1">
      <w:pPr>
        <w:autoSpaceDE w:val="0"/>
        <w:autoSpaceDN w:val="0"/>
        <w:adjustRightInd w:val="0"/>
        <w:ind w:firstLine="709"/>
        <w:jc w:val="both"/>
      </w:pPr>
    </w:p>
    <w:p w14:paraId="50D34B08" w14:textId="77777777" w:rsidR="00696305" w:rsidRPr="00B51DF1" w:rsidRDefault="00696305" w:rsidP="00B51DF1">
      <w:pPr>
        <w:autoSpaceDE w:val="0"/>
        <w:autoSpaceDN w:val="0"/>
        <w:adjustRightInd w:val="0"/>
        <w:ind w:firstLine="709"/>
        <w:jc w:val="both"/>
      </w:pPr>
      <w:r w:rsidRPr="00B51DF1">
        <w:t>[§ 5/1 - Der König kann durch einen im Ministerrat beratenen Erlass die in § 1 Absatz 1 Nr. 29 erwähnte Steuerbefreiung auf Entlohnungen für Leistungen anwendbar machen, die von Arbeitnehmern erbracht werden, die in Anwendung von Artikel 2 § 1 Absatz 6 bis 8 und § 2 des Gesetzes vom 16. November 2015 zur Festlegung verschiedener Bestimmungen im Bereich Soziales in den Anwendungsbereich der in Kapitel 2 desselben Gesetzes erwähnten Flexi-Job-Regelung fallen.</w:t>
      </w:r>
    </w:p>
    <w:p w14:paraId="54F24CB8" w14:textId="77777777" w:rsidR="00696305" w:rsidRPr="00B51DF1" w:rsidRDefault="00696305" w:rsidP="00B51DF1">
      <w:pPr>
        <w:autoSpaceDE w:val="0"/>
        <w:autoSpaceDN w:val="0"/>
        <w:adjustRightInd w:val="0"/>
        <w:ind w:firstLine="709"/>
        <w:jc w:val="both"/>
      </w:pPr>
    </w:p>
    <w:p w14:paraId="6E760E60" w14:textId="1383CD3A" w:rsidR="00696305" w:rsidRPr="00B51DF1" w:rsidRDefault="00696305" w:rsidP="00B51DF1">
      <w:pPr>
        <w:autoSpaceDE w:val="0"/>
        <w:autoSpaceDN w:val="0"/>
        <w:adjustRightInd w:val="0"/>
        <w:ind w:firstLine="709"/>
        <w:jc w:val="both"/>
      </w:pPr>
      <w:r w:rsidRPr="00B51DF1">
        <w:t xml:space="preserve">Der König reicht bei der Abgeordnetenkammer, wenn sie versammelt ist, unverzüglich und sonst, sobald die nächste Sitzungsperiode eröffnet ist, einen Gesetzentwurf ein zur Bestätigung der Erlasse zur Ausführung von Absatz 1. Es wird davon ausgegangen, dass diese Erlasse nicht wirksam geworden sind, wenn sie nicht binnen zwölf Monaten nach dem Datum ihrer Veröffentlichung im </w:t>
      </w:r>
      <w:r w:rsidRPr="00B51DF1">
        <w:rPr>
          <w:i/>
          <w:iCs/>
        </w:rPr>
        <w:t>Belgischen Staatsblatt</w:t>
      </w:r>
      <w:r w:rsidRPr="00B51DF1">
        <w:t xml:space="preserve"> durch Gesetz bestätigt worden sind.]</w:t>
      </w:r>
    </w:p>
    <w:p w14:paraId="4212696B" w14:textId="77777777" w:rsidR="00696305" w:rsidRPr="00B51DF1" w:rsidRDefault="00696305" w:rsidP="00B51DF1">
      <w:pPr>
        <w:autoSpaceDE w:val="0"/>
        <w:autoSpaceDN w:val="0"/>
        <w:adjustRightInd w:val="0"/>
        <w:ind w:firstLine="709"/>
        <w:jc w:val="both"/>
      </w:pPr>
    </w:p>
    <w:p w14:paraId="5763011E" w14:textId="77777777" w:rsidR="00696305" w:rsidRPr="00B51DF1" w:rsidRDefault="00696305" w:rsidP="00B51DF1">
      <w:pPr>
        <w:autoSpaceDE w:val="0"/>
        <w:autoSpaceDN w:val="0"/>
        <w:adjustRightInd w:val="0"/>
        <w:ind w:firstLine="709"/>
        <w:jc w:val="both"/>
      </w:pPr>
      <w:r w:rsidRPr="00B51DF1">
        <w:t>[§ 6 - Zur Festlegung des in § 1 Absatz 1 Nr. 31 erwähnten Zeitraums der Wiederaufnahme der Arbeit wird die Gesamtdauer der Arbeitswiederaufnahmen in einem Monat in einer Anzahl geleisteter Tage, umgewandelt in eine wöchentliche Arbeitsregelung von sechs Tagen beziehungsweise sechsundzwanzig Tage für einen vollständigen Monat, ausgedrückt. Jeder Arbeitstag wird berücksichtigt, ungeachtet der Anzahl effektiv geleisteter Stunden, und der ganze Zeitraum, für den ein Arbeitsvertrag oder eine Tätigkeit als hauptberuflicher Selbständiger besteht, gilt als Zeitraum der Wiederaufnahme der Arbeit, ungeachtet der Anzahl effektiv geleisteter Tage.]</w:t>
      </w:r>
    </w:p>
    <w:p w14:paraId="0C2EAE2C" w14:textId="77777777" w:rsidR="00696305" w:rsidRPr="00B51DF1" w:rsidRDefault="00696305" w:rsidP="00B51DF1">
      <w:pPr>
        <w:autoSpaceDE w:val="0"/>
        <w:autoSpaceDN w:val="0"/>
        <w:adjustRightInd w:val="0"/>
        <w:ind w:firstLine="709"/>
        <w:jc w:val="both"/>
      </w:pPr>
    </w:p>
    <w:p w14:paraId="75DC9264" w14:textId="77777777" w:rsidR="00696305" w:rsidRPr="00B51DF1" w:rsidRDefault="00696305" w:rsidP="00B51DF1">
      <w:pPr>
        <w:autoSpaceDE w:val="0"/>
        <w:autoSpaceDN w:val="0"/>
        <w:adjustRightInd w:val="0"/>
        <w:ind w:firstLine="709"/>
        <w:jc w:val="both"/>
      </w:pPr>
      <w:r w:rsidRPr="00B51DF1">
        <w:t>[§ 7 - Damit die Prämien für die in § 1 Absatz 1 Nr. 34 erwähnte Steuerbefreiung in Betracht kommen, müssen sie anlässlich des erfolgreichen Abschlusses einer Ausbildung im Hinblick auf eine Beschäftigung in einem Mangelberuf, wie von dem zuständigen Amt für Arbeitsbeschaffung bestimmt, Personen zuerkannt werden, die zu Beginn der Ausbildung entschädigte Arbeitslose waren.</w:t>
      </w:r>
    </w:p>
    <w:p w14:paraId="29E90050" w14:textId="77777777" w:rsidR="00696305" w:rsidRPr="00B51DF1" w:rsidRDefault="00696305" w:rsidP="00B51DF1">
      <w:pPr>
        <w:autoSpaceDE w:val="0"/>
        <w:autoSpaceDN w:val="0"/>
        <w:adjustRightInd w:val="0"/>
        <w:ind w:firstLine="709"/>
        <w:jc w:val="both"/>
      </w:pPr>
    </w:p>
    <w:p w14:paraId="6ABDCBCF" w14:textId="77777777" w:rsidR="00696305" w:rsidRPr="00B51DF1" w:rsidRDefault="00696305" w:rsidP="00B51DF1">
      <w:pPr>
        <w:autoSpaceDE w:val="0"/>
        <w:autoSpaceDN w:val="0"/>
        <w:adjustRightInd w:val="0"/>
        <w:ind w:firstLine="709"/>
        <w:jc w:val="both"/>
      </w:pPr>
      <w:r w:rsidRPr="00B51DF1">
        <w:t>Für die Anwendung von Absatz 1 kann eine Ausbildung auch als erfolgreich abgeschlossen betrachtet werden, wenn im Falle einer Ausbildung in Modulen ein oder mehrere Module bestanden wurden oder wenn die Ausbildung unterbrochen und die Arbeit in einem Mangelberuf tatsächlich aufgenommen wurde.]</w:t>
      </w:r>
    </w:p>
    <w:p w14:paraId="0E40C0BC" w14:textId="77777777" w:rsidR="00696305" w:rsidRPr="00B51DF1" w:rsidRDefault="00696305" w:rsidP="00B51DF1">
      <w:pPr>
        <w:autoSpaceDE w:val="0"/>
        <w:autoSpaceDN w:val="0"/>
        <w:adjustRightInd w:val="0"/>
        <w:ind w:firstLine="709"/>
        <w:jc w:val="both"/>
      </w:pPr>
    </w:p>
    <w:p w14:paraId="652E9B6D" w14:textId="47A607F7" w:rsidR="00696305" w:rsidRPr="00B51DF1" w:rsidRDefault="00696305" w:rsidP="0092745D">
      <w:pPr>
        <w:autoSpaceDE w:val="0"/>
        <w:autoSpaceDN w:val="0"/>
        <w:adjustRightInd w:val="0"/>
        <w:jc w:val="both"/>
        <w:rPr>
          <w:iCs/>
        </w:rPr>
      </w:pPr>
      <w:r w:rsidRPr="00B51DF1">
        <w:rPr>
          <w:i/>
          <w:iCs/>
        </w:rPr>
        <w:t xml:space="preserve">[Art. 38 § 1 nummeriert durch Art. 76 Nr. 1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 1 Abs. 1 Nr. 1 ersetzt durch Art. 7 des G. vom 6. Juli 1994 (B.S. vom 16. Juli 1994) - anwendbar ab dem Steuerjahr 1994 -; § 1 Abs. 1 Nr. 2/1 eingefügt durch Art. 10 des G. vom 25. Dezember 2017 (I) (B.S. vom 29. Dezember 2017) - anwendbar auf die ab dem </w:t>
      </w:r>
      <w:r w:rsidRPr="0092745D">
        <w:rPr>
          <w:rFonts w:ascii="Times New Roman Italique" w:hAnsi="Times New Roman Italique"/>
          <w:i/>
          <w:iCs/>
          <w:spacing w:val="-2"/>
        </w:rPr>
        <w:t>1. Januar 2016 gezahlten oder zuerkannten Einkünfte -; § 1 Abs. 1 Nr. 9 ersetzt durch Art. 6 des G. vom 10. August 2001 (B.S. vom 20. September 2001) - in Kraft ab dem Steuerjahr 2002 -; § 1 Abs. 1 Nr. 9 einziger Absatz Buchstabe c) abgeändert durch Art. 184 des G. vom</w:t>
      </w:r>
      <w:r w:rsidRPr="00B51DF1">
        <w:rPr>
          <w:i/>
          <w:iCs/>
        </w:rPr>
        <w:t xml:space="preserve"> 22. Dezember 2008 (I) (B.S. vom 29. Dezember 2008) - anwendbar ab dem Steuerjahr 2010 -; § 1 Abs. 1 Nr. 11 einziger Absatz einleitende Bestimmung ersetzt durch Art. 7 des K.E. vom 20. Dezember 1996 (B.S. vom 31. Dezember 1996) - in Kraft ab dem Steuerjahr 1998 - und abgeändert durch Art. 5 Nr. 1 des G. vom 22. Dezember 2009 (I) (B.S. vom 31. Dezember 2009) - anwendbar auf die ab dem 1. Januar 2009 erhaltenen Vorteile -; § 1 Abs. 1 Nr. 12 eingefügt durch Art. 1 des G. vom 6. August 1993 (III) (B.S. vom 31. August 1993) - anwendbar ab dem Steuerjahr 1993 -, ersetzt durch Art. 2 Nr. 1 des G. vom 1. März 2019 (B.S. vom 18. März 2019) - wirksam mit 1. Januar 2019 - und abgeändert durch Art. 40 Nr. 1 des G. vom 20. November 2022 (B.S. vom 30. November 2022) - in Kraft am 1. Januar 2023 -; § 1 Abs. 1 Nr. 13 eingefügt durch Art. 92 des G. vom 21. Dezember 1994 (B.S. vom 23. Dezember 1994) - in Kraft ab dem Steuerjahr</w:t>
      </w:r>
      <w:r w:rsidRPr="00B51DF1">
        <w:rPr>
          <w:rFonts w:hint="eastAsia"/>
          <w:i/>
          <w:iCs/>
        </w:rPr>
        <w:t> </w:t>
      </w:r>
      <w:r w:rsidRPr="00B51DF1">
        <w:rPr>
          <w:i/>
          <w:iCs/>
        </w:rPr>
        <w:t>1995 </w:t>
      </w:r>
      <w:r w:rsidRPr="00B51DF1">
        <w:rPr>
          <w:rFonts w:hint="eastAsia"/>
          <w:i/>
          <w:iCs/>
        </w:rPr>
        <w:t>-</w:t>
      </w:r>
      <w:r w:rsidRPr="00B51DF1">
        <w:rPr>
          <w:i/>
          <w:iCs/>
        </w:rPr>
        <w:t xml:space="preserve">, ersetzt durch Art. 29 des G. vom 7. April 1999 (B.S. vom 20. April 1999) - in Kraft ab dem 1. Januar 2000 - und abgeändert durch Art. 1 des K.E. vom 13. Juli 2001 (B.S. vom 11. August 2001) - in Kraft ab dem Steuerjahr 2002 -, Art. 281 des G. vom 22. Dezember 2003 (B.S. vom 31. Dezember 2003) - anwendbar auf die ab dem 1. März 2003 erhaltenen Entschädigungen - und Art. 5 des G. vom 21. Dezember 2022 (II) (B.S. vom 29. Dezember 2022) - in Kraft am 1. Januar 2023 -; § 1 Abs. 1 Nr. 14 eingefügt durch Art. 2 Nr. 2 des G. vom 8. August 1997 (II) (B.S. vom 5. November 1997) - in Kraft ab dem Steuerjahr 1998 - und ersetzt durch Art. 25 des G. vom 27. März 2009 (B.S. vom 7. April 2009) - anwendbar ab dem Steuerjahr 2010 -; § 1 </w:t>
      </w:r>
      <w:r w:rsidRPr="00B51DF1">
        <w:rPr>
          <w:i/>
          <w:iCs/>
        </w:rPr>
        <w:lastRenderedPageBreak/>
        <w:t>Abs. 1 Nr. 14 einleitende Bestimmung eingefügt durch Art. 12 Nr. 1 des G. vom 22. Dezember 2023 (I) (B.S. vom 29. Dezember 2023) - in Kraft am 31. Dezember 2023 und anwendbar ab dem Besteuerungszeitraum, der ab dem 1. Januar 2024 beginnt -; § 1 Abs. 1 Nr. 14 Buchstabe a) ersetzt durch Art. 2 Nr. 1 des G. vom 22. Oktober 2017 (B.S. vom 18. Dezember 2017) - anwendbar ab dem Steuerjahr 2018 - und abgeändert durch Art. 12 Nr. 2 und 3 des G. vom 22. Dezember 2023 (I) (B.S. vom 29. Dezember 2023) - in Kraft am 31. Dezember 2023 und anwendbar ab dem Besteuerungszeitraum, der ab dem 1. Januar 2024 beginnt -</w:t>
      </w:r>
      <w:r w:rsidR="001009A1">
        <w:rPr>
          <w:i/>
          <w:iCs/>
        </w:rPr>
        <w:t xml:space="preserve"> und Art. </w:t>
      </w:r>
      <w:r w:rsidR="00101B52">
        <w:rPr>
          <w:i/>
          <w:iCs/>
        </w:rPr>
        <w:t>23</w:t>
      </w:r>
      <w:r w:rsidR="001009A1" w:rsidRPr="001009A1">
        <w:rPr>
          <w:i/>
          <w:iCs/>
        </w:rPr>
        <w:t xml:space="preserve"> des G. vom 12. Mai 2024 (B.S. vom 29. Mai 2024) -</w:t>
      </w:r>
      <w:r w:rsidR="001009A1">
        <w:rPr>
          <w:i/>
          <w:iCs/>
        </w:rPr>
        <w:t> </w:t>
      </w:r>
      <w:r w:rsidR="001009A1" w:rsidRPr="001009A1">
        <w:rPr>
          <w:i/>
          <w:iCs/>
        </w:rPr>
        <w:t>wirksam mit 1. Januar 2024 und anwendbar ab dem Besteuerungszeitraum, der ab dem 1. Januar 2024 beginnt</w:t>
      </w:r>
      <w:r w:rsidR="001009A1">
        <w:rPr>
          <w:i/>
          <w:iCs/>
        </w:rPr>
        <w:t> -</w:t>
      </w:r>
      <w:r w:rsidRPr="00B51DF1">
        <w:rPr>
          <w:i/>
          <w:iCs/>
        </w:rPr>
        <w:t>; § 1 Abs. 1 Nr. 14 Buchstabe b) abgeändert durch Art. 2 Nr. 2 des G. vom 22. Oktober 2017 (B.S. vom 18. Dezember 2017) - anwendbar ab dem Steuerjahr 2018 -; § 1 Abs. 1 Nr. 15 eingefügt durch Art. 25 des G. vom 22. Mai 2001 (B.S. vom 9. Juni 2001) - in Kraft ab dem Steuerjahr 2002 - und abgeändert durch Art. 83 Nr. 1 bis 3 des G. vom 25. Dezember 2017 (IV) (B.S. vom 29. Dezember 2017); § 1 Abs. 1 Nr. 16 eingefügt durch Art. 73 des G. (I) vom 24. Dezember 2002 (I) (B.S. vom 31. Dezember 2002) - in Kraft ab dem Steuerjahr 2005 -; § 1 Abs. 1 Nr. 17 eingefügt durch Art. 396 des G. (I) vom 24. Dezember 2002 (I) (B.S. vom 31. Dezember 2002) - in Kraft ab dem 24. Dezember 2002 - und ersetzt durch Art. 40 des G. vom 6. Mai 2009 (B.S. vom 19. Mai 2009) - wirksam mit 1. Januar 2009 -; § 1 Abs. 1 Nr. 18 eingefügt durch Art. 76 Nr. 1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und abgeändert durch Art. 164 Nr. 1 des G. vom 27. Dezember 2005 (II) (B.S. vom 30. Dezember 2005) - anwendbar auf die ab dem 1. Januar 2006 gezahlten Prämien und Beiträge -; § 1 Abs. 1 Nr. 19 eingefügt durch Art. 76 Nr. 1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und ersetzt durch Art. 164 Nr. 2 des G. vom 27. Dezember 2005 (II) (B.S. vom 30. Dezember 2005) - anwendbar auf die ab dem 1. Januar 2006 gezahlten Prämien und Beiträge -; § 1 Abs. 1 Nr. 20 eingefügt durch Art. 76 Nr. 1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 1 Abs. 1 Nr. 21 eingefügt durch Art. 362 des G. vom 27. Dezember 2004 (B.S. vom 31. Dezember 2004) - in Kraft ab dem Steuerjahr 2005 -</w:t>
      </w:r>
      <w:r w:rsidR="000026C7" w:rsidRPr="00B51DF1">
        <w:rPr>
          <w:i/>
          <w:iCs/>
        </w:rPr>
        <w:t>,</w:t>
      </w:r>
      <w:r w:rsidRPr="00B51DF1">
        <w:rPr>
          <w:i/>
          <w:iCs/>
        </w:rPr>
        <w:t xml:space="preserve"> ersetzt durch Art. 2 des G. vom 28. Juni 2013 (B.S. vom 1. Juli 2013) - anwendbar ab dem Steuerjahr 2014 -</w:t>
      </w:r>
      <w:r w:rsidR="000026C7" w:rsidRPr="00B51DF1">
        <w:rPr>
          <w:i/>
          <w:iCs/>
        </w:rPr>
        <w:t xml:space="preserve"> </w:t>
      </w:r>
      <w:r w:rsidR="0038433A" w:rsidRPr="00B51DF1">
        <w:rPr>
          <w:i/>
          <w:iCs/>
        </w:rPr>
        <w:t>und abgeändert durch Art. 47 Nr. 1 des G. vom 28. Dezember 2023 (B.S. vom 29. Dezember 2023) - anwendbar auf die ab dem 1. Januar 2023 gezahlten oder zuerkannten Einkünfte -</w:t>
      </w:r>
      <w:r w:rsidR="000026C7" w:rsidRPr="00B51DF1">
        <w:rPr>
          <w:rFonts w:ascii="Times New Roman Italique" w:hAnsi="Times New Roman Italique"/>
          <w:i/>
          <w:spacing w:val="-2"/>
        </w:rPr>
        <w:t>;</w:t>
      </w:r>
      <w:r w:rsidRPr="00B51DF1">
        <w:rPr>
          <w:i/>
          <w:iCs/>
        </w:rPr>
        <w:t xml:space="preserve"> § 1 Abs. 1 Nr. 22 eingefügt durch Art. 131 des G. (I) vom 27. Dezember 2006 (I) (B.S. vom 28. Dezember 2006) - in Kraft ab dem 1. April 2007 -; § 1 Abs. 1 Nr. 23 eingefügt durch Art. 2 Nr. 1 des G. vom 25. April 2007 (III) (B.S. vom 10. Mai 2007) - anwendbar auf die ab dem 1. Januar 2007 bewilligten pauschalen Kostenvergütungen – und abgeändert durch Art. 2 Nr. 1 Buchstabe a) bis c) des G. vom 31. Juli 2023 (I) (B.S. vom 23. August 2023) - in Kraft am 1. Januar 2024 und anwendbar auf Vergütungen, die für Leistungen gezahlt oder zuerkannt werden, die ab diesem Datum erbracht werden -; § 1 Abs. 1 Nr. 24 eingefügt durch Art. 17 des G. vom 21. Dezember 2007 (B.S. vom 31. Dezember 2007) - anwendbar </w:t>
      </w:r>
      <w:r w:rsidRPr="00B51DF1">
        <w:rPr>
          <w:bCs/>
          <w:i/>
        </w:rPr>
        <w:t xml:space="preserve">auf </w:t>
      </w:r>
      <w:r w:rsidRPr="00B51DF1">
        <w:rPr>
          <w:i/>
        </w:rPr>
        <w:t>Vorteile, die</w:t>
      </w:r>
      <w:r w:rsidRPr="00B51DF1">
        <w:rPr>
          <w:bCs/>
          <w:i/>
        </w:rPr>
        <w:t xml:space="preserve"> </w:t>
      </w:r>
      <w:r w:rsidRPr="00B51DF1">
        <w:rPr>
          <w:i/>
        </w:rPr>
        <w:t xml:space="preserve">auf der Grundlage des vorliegenden Kapitels ab dem 1. Januar 2008 </w:t>
      </w:r>
      <w:r w:rsidRPr="00B51DF1">
        <w:rPr>
          <w:bCs/>
          <w:i/>
        </w:rPr>
        <w:t>gezahlt oder zuerkannt werden</w:t>
      </w:r>
      <w:r w:rsidRPr="00B51DF1">
        <w:rPr>
          <w:i/>
        </w:rPr>
        <w:t xml:space="preserve"> gemäß dem Verfahren, den Modalitäten und den Bedingungen, die durch kollektives Arbeitsabkommen festgelegt werden, das im Nationalen Arbeitsrat abgeschlossen </w:t>
      </w:r>
      <w:r w:rsidRPr="00B51DF1">
        <w:rPr>
          <w:i/>
        </w:rPr>
        <w:lastRenderedPageBreak/>
        <w:t>wird</w:t>
      </w:r>
      <w:r w:rsidRPr="00B51DF1">
        <w:rPr>
          <w:bCs/>
          <w:i/>
        </w:rPr>
        <w:t xml:space="preserve"> -, ersetzt durch Art. 132 </w:t>
      </w:r>
      <w:r w:rsidRPr="00B51DF1">
        <w:rPr>
          <w:i/>
          <w:iCs/>
        </w:rPr>
        <w:t>des G. (I) vom 22. Dezember 2008 (II) (B.S. vom 29. Dezember 2008) - anwendbar auf die ab dem 1. Januar 2008 gezahlten oder zuerkannten Vorteile - und abgeändert durch Art. 38</w:t>
      </w:r>
      <w:r w:rsidRPr="00B51DF1">
        <w:rPr>
          <w:i/>
        </w:rPr>
        <w:t xml:space="preserve"> des G. vom 30. Juli 2013 (B.S. vom 1. August 2013) - anwendbar auf die ab dem 1. Januar 2013 gezahlten oder zuerkannten Vorteile -, Art. 2 des G. vom 6. Dezember 2015 (B.S. vom 17. Dezember 2015) - anwendbar auf die ab dem 1. Januar 2016 gezahlten oder zuerkannten Vorteile - und Art. 9</w:t>
      </w:r>
      <w:r w:rsidRPr="00B51DF1">
        <w:rPr>
          <w:i/>
          <w:iCs/>
        </w:rPr>
        <w:t xml:space="preserve"> des G. vom 28. April 2019 (B.S. vom 6. Mai 2019) - anwendbar ab dem Steuerjahr 2020 -; § 1 Abs. 1 Nr. 25 eingefügt durch Art. 5 Nr. 2 des G. vom 22. Dezember 2009 (I) (B.S. vom 31. Dezember 2009) - anwendbar auf die ab dem 1. Januar 2009 erhaltenen Vorteile - und abgeändert durch Art. 2 des G. vom </w:t>
      </w:r>
      <w:r w:rsidRPr="00B51DF1">
        <w:rPr>
          <w:i/>
        </w:rPr>
        <w:t>25. Dezember 2017 (II) (B.S. vom 29. Dezember 2017); § 1 Abs. 1 Nr. 26 eingefügt durch Art. 2 Buchstabe A Nr. 1 des G. vom 19. Juni 2011 (B.S. vom 28. Juni 2011) - anwendbar auf Kündigungszulagen, Entlohnungen und Entschädigungen, die ab dem 1. Januar 2012 bezogen werden, sofern die Kündigung frühestens am 1. Januar 2012 vom Arbeitgeber notifiziert wird -; § 1 Abs. 1 Nr. 27 eingefügt durch Art. 2 Buchstabe A Nr. 2 des G. vom 19. Juni 2011 (B.S. vom 28. Juni 2011) - anwendbar</w:t>
      </w:r>
      <w:r w:rsidRPr="00B51DF1">
        <w:rPr>
          <w:i/>
          <w:iCs/>
        </w:rPr>
        <w:t xml:space="preserve"> auf Kündigungszulagen, Entlohnungen und Entschädigungen, die ab dem 1. Januar 2012 bezogen werden, sofern die Kündigung frühestens am 1. Januar 2012 vom Arbeitgeber notifiziert wird -, aufgehoben durch Art. 100 Nr. 1 des G. vom 26. Dezember 2013 (I) (B.S. vom 31. Dezember 2013) und wieder aufgenommen durch Art. 100 Nr. 3 des G. vom 26. Dezember 2013 (I) (B.S. vom 31. Dezember 2013) - in Kraft ab </w:t>
      </w:r>
      <w:r w:rsidRPr="00B51DF1">
        <w:rPr>
          <w:i/>
        </w:rPr>
        <w:t xml:space="preserve">dem 1. Januar 2014 -; § 1 Abs. 1 Nr. 28 eingefügt durch Art. 51 Nr. 1 des G. vom 19. Dezember 2014 (B.S. vom 29. Dezember 2014) - anwendbar auf </w:t>
      </w:r>
      <w:r w:rsidRPr="0092745D">
        <w:rPr>
          <w:rFonts w:ascii="Times New Roman Italique" w:hAnsi="Times New Roman Italique"/>
          <w:i/>
          <w:spacing w:val="-2"/>
        </w:rPr>
        <w:t>die ab 2015 gezahlten Kapital- und Zinszuschüsse - und ersetzt durch Art. 69 des G. vom 18. Dezember 2015 (II) (B.S. vom 28. Dezember 2015) - anwendbar ab dem Steuerjahr 2016 -; § 1 Abs. 1 Nr. 29 eingefügt durch Art. 29 des G. vom 16. November 2015 (B.S. vom</w:t>
      </w:r>
      <w:r w:rsidRPr="00B51DF1">
        <w:rPr>
          <w:i/>
        </w:rPr>
        <w:t xml:space="preserve"> 26. November 2015) - anwendbar ab dem Steuerjahr 2016 -, ersetzt durch Art. 108 des G. vom 18. Dezember 2016 (I) (B.S. vom 20. Dezember 2016) - anwendbar auf die in Ausführung eines Flexi-Job-Arbeitsvertrags ab dem 1. Oktober 2016 gezahlten oder zuerkannten Entlohnungen - und abgeändert durch Art. 7 Nr. 1 und 2</w:t>
      </w:r>
      <w:r w:rsidRPr="00B51DF1">
        <w:rPr>
          <w:i/>
          <w:iCs/>
        </w:rPr>
        <w:t xml:space="preserve"> des G. vom 22. Dezember 2023 (II) (B.S. vom 29. Dezember 2023) - anwendbar auf die ab dem 1. Januar 2024 zuerkannten Entlohnungen - und Art. 7 Nr. 3 des G. vom 22. Dezember 2023 (II) (B.S. vom 29. Dezember 2023) - anwendbar ab dem Steuerjahr 2025 -</w:t>
      </w:r>
      <w:r w:rsidRPr="00B51DF1">
        <w:rPr>
          <w:i/>
        </w:rPr>
        <w:t>; § 1 Abs. 1 Nr. 30 eingefügt durch Art. 29 des G. vom 16. November 2015 (B.S. vom 26. November 2015) - anwendbar ab dem Steuerjahr 2016 -; § 1 Abs. 1 Nr. 31 eingefügt durch Art. 103 Nr. 1 des G. (I) vom 26. Dezember 2015 (I) (B.S. vom 30. Dezember 2015) - anwendbar auf Betriebszuschläge und Zusatzentschädigungen, die ab dem 1. Januar 2016 gezahlt oder zuerkannt werden, sofern sie sich nicht auf Zeiträume beziehen, die vor diesem Datum liegen -; § 1 Abs. 1 Nr. 32 eingefügt durch Art. 19 des G. vom 26. März 2018 (B.S. vom 30. März 2018) - in Kraft am 1. Juli 2018 und anwendbar auf alle ab dem 1. Juli 2018 abgeschlossenen Arbeitsverträge - und abgeändert durch Art. 9 des G. vom 23. März 2019 (B.S. vom 5. April 2019) - anwendbar auf die ab dem 1. Januar 2019 gezahlten oder zuerkannten Zuschläge -; § 1 Abs. 1 Nr. 33 eingefügt durch Art. 24 Buchstabe a) des G. vom 17. März 2019 (IV) (B.S. vom 29. März 2019) - in Kraft am 1. März 2019 - und ersetzt durch Art. 8</w:t>
      </w:r>
      <w:r w:rsidRPr="00B51DF1">
        <w:rPr>
          <w:i/>
          <w:iCs/>
        </w:rPr>
        <w:t xml:space="preserve"> des G. vom 5. Juli 2022 (B.S. vom 15. Juli 2022) - wirksam mit 1. Januar 2022 -;</w:t>
      </w:r>
      <w:r w:rsidRPr="00B51DF1">
        <w:rPr>
          <w:i/>
        </w:rPr>
        <w:t xml:space="preserve"> § 1 Abs. 1 Nr. 34 eingefügt durch Art. 2 Nr. 1 des G. vom 23. März 2019 (B.S. vom 5. April 2019) - in Kraft am 5. April 2019 und anwendbar auf die ab dem 1. Januar 2019 gezahlten oder zuerkannten Prämien - und abgeändert durch Art. 2 des G. vom 17. März 2022 (B.S. vom 25. März 2022) - in Kraft am 25. März 2022 und anwendbar ab dem Steuerjahr 2023 -; § 1 Abs. 1 Nr. 35 eingefügt durch Art. 24 des G. vom 7. April 2019 (I) (B.S. vom 19. April 2019) und aufgehoben durch Art. 8</w:t>
      </w:r>
      <w:r w:rsidRPr="00B51DF1">
        <w:rPr>
          <w:i/>
          <w:iCs/>
        </w:rPr>
        <w:t xml:space="preserve"> des G. vom 31. Juli 2023 (II) (B.S. vom 23. August 2023)</w:t>
      </w:r>
      <w:r w:rsidRPr="00B51DF1">
        <w:rPr>
          <w:i/>
        </w:rPr>
        <w:t xml:space="preserve">; § 1 Abs. 1 Nr. 36 eingefügt durch Art. 29 des K.E. vom 4. Juni 2020 (B.S. vom 11. Juni 2020) - wirksam mit 11. März 2020 -, aufgehoben </w:t>
      </w:r>
      <w:r w:rsidRPr="00B51DF1">
        <w:rPr>
          <w:i/>
        </w:rPr>
        <w:lastRenderedPageBreak/>
        <w:t>durch Art. 14 des G. vom 27. Juni 2021 (B.S. vom 30. Juni 2021) - wirksam mit 11. März 2020 - und wieder aufgenommen durch Art. 40 Nr. 2</w:t>
      </w:r>
      <w:r w:rsidRPr="00B51DF1">
        <w:rPr>
          <w:i/>
          <w:iCs/>
        </w:rPr>
        <w:t xml:space="preserve"> des G. vom 20. November 2022 (B.S. vom 30. November 2022) - anwendbar auf Jobboni, die ab dem Besteuerungszeitraum gezahlt oder zuerkannt werden, der frühestens an das Steuerjahr 2023 gebunden ist -</w:t>
      </w:r>
      <w:r w:rsidRPr="00B51DF1">
        <w:rPr>
          <w:i/>
        </w:rPr>
        <w:t>; § 1 neuer Absatz 2 eingefügt durch Art. 77 des G. vom 11. Februar 2019 (B.S. vom 22. März 2020) - wirksam mit 1. Januar 2019 und anwendbar ab dem Steuerjahr 2020 -; § 1 Abs. 3 (früherer Absatz 2) eingefügt durch Art. 2 Nr. 3 des G. vom 8. August 1997 (II) (B.S. vom 5. November 1997) - in Kraft ab dem Steuerjahr 1998 -; § 1 Abs. 4 eingefügt durch Art. 81 des G. vom 25. Dezember 2017 (IV) (B.S. vom 29. Dezember 2017) - anwendbar auf die ab dem 1. Januar 2018 gezahlten oder zuerkannten Entlohnungen -, ersetzt durch Art. 2 Nr. 2 des G. vom 1. März 2019 (B.S. vom 18. März 2019) - wirksam mit 1. Januar 2019 - und abgeändert durch Art. 2 Nr. 2</w:t>
      </w:r>
      <w:r w:rsidRPr="00B51DF1">
        <w:rPr>
          <w:i/>
          <w:iCs/>
        </w:rPr>
        <w:t xml:space="preserve"> des G. vom 31. Juli 2023 (I) (B.S. vom 23. August 2023) - in Kraft am 1. Januar 2024 und anwendbar auf Vergütungen, die für Leistungen gezahlt oder zuerkannt werden, die ab diesem Datum erbracht werden -</w:t>
      </w:r>
      <w:r w:rsidR="000026C7" w:rsidRPr="00B51DF1">
        <w:rPr>
          <w:i/>
          <w:iCs/>
        </w:rPr>
        <w:t xml:space="preserve"> </w:t>
      </w:r>
      <w:r w:rsidR="000026C7" w:rsidRPr="00B51DF1">
        <w:rPr>
          <w:rFonts w:ascii="Times New Roman Italique" w:hAnsi="Times New Roman Italique"/>
          <w:i/>
          <w:iCs/>
          <w:spacing w:val="-2"/>
        </w:rPr>
        <w:t xml:space="preserve">und </w:t>
      </w:r>
      <w:r w:rsidR="000026C7" w:rsidRPr="00B51DF1">
        <w:rPr>
          <w:i/>
          <w:iCs/>
        </w:rPr>
        <w:t>Art. 47 Nr. 2 des G. vom 28. Dezember 2023 (B.S. vom 29. Dezember 2023) - in Kraft am 1. Januar 2024 -</w:t>
      </w:r>
      <w:r w:rsidR="000026C7" w:rsidRPr="00B51DF1">
        <w:rPr>
          <w:rFonts w:ascii="Times New Roman Italique" w:hAnsi="Times New Roman Italique"/>
          <w:i/>
          <w:spacing w:val="-2"/>
        </w:rPr>
        <w:t>;</w:t>
      </w:r>
      <w:r w:rsidRPr="00B51DF1">
        <w:rPr>
          <w:i/>
        </w:rPr>
        <w:t xml:space="preserve"> § 1 Abs. 5 eingefügt durch Art. 25 des G. vom 30. März 2018 (B.S. vom 7. Mai 2018) - in Kraft am 1. Januar 2018 -, selbst für nichtig erklärt durch </w:t>
      </w:r>
      <w:r w:rsidRPr="00B51DF1">
        <w:rPr>
          <w:i/>
          <w:iCs/>
        </w:rPr>
        <w:t>Entscheid Nr. 11/2020 des Verfassungsgerichtshofes vom 23. Januar 2020 (B.S. vom 24. Februar 2020),</w:t>
      </w:r>
      <w:r w:rsidRPr="00B51DF1">
        <w:rPr>
          <w:i/>
        </w:rPr>
        <w:t xml:space="preserve"> und erneut eingefügt durch Art. 27</w:t>
      </w:r>
      <w:r w:rsidRPr="00B51DF1">
        <w:rPr>
          <w:i/>
          <w:iCs/>
        </w:rPr>
        <w:t xml:space="preserve"> des G. vom 21. Januar 2022 (B.S. vom 28. Januar 2022) - wirksam mit 1. Januar 2022 -;</w:t>
      </w:r>
      <w:r w:rsidRPr="00B51DF1">
        <w:rPr>
          <w:i/>
        </w:rPr>
        <w:t xml:space="preserve"> § 1 Abs. 6 eingefügt durch Art. 12 Nr. 4</w:t>
      </w:r>
      <w:r w:rsidRPr="00B51DF1">
        <w:rPr>
          <w:i/>
          <w:iCs/>
        </w:rPr>
        <w:t xml:space="preserve"> des G. vom 22. Dezember 2023 (I) (B.S. vom 29. Dezember 2023) - in Kraft am 31. Dezember 2023 und anwendbar ab dem Besteuerungszeitraum, der ab dem 1. Januar 2024 beginnt -</w:t>
      </w:r>
      <w:r w:rsidRPr="00B51DF1">
        <w:rPr>
          <w:i/>
        </w:rPr>
        <w:t xml:space="preserve">; </w:t>
      </w:r>
      <w:r w:rsidRPr="00B51DF1">
        <w:rPr>
          <w:i/>
          <w:iCs/>
        </w:rPr>
        <w:t>§ 2 eingefügt durch Art. 76 Nr. 2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 2 Abs. 1 ersetzt durch Art. 9 Nr. 1 des G. vom 17. Juni 2013 (B.S. vom 28. Juni 2013) - wirksam mit 1. Januar 2013 -; § 3 eingefügt durch Art. 76 Nr. 3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und abgeändert durch Art. 347 des G. (I) vom 27. Dezember 2006 (II) (B.S. vom 28. Dezember 2006) - anwendbar ab dem Steuerjahr</w:t>
      </w:r>
      <w:r w:rsidR="0092745D">
        <w:rPr>
          <w:i/>
          <w:iCs/>
        </w:rPr>
        <w:t> </w:t>
      </w:r>
      <w:r w:rsidRPr="00B51DF1">
        <w:rPr>
          <w:i/>
          <w:iCs/>
        </w:rPr>
        <w:t xml:space="preserve">2007 - und Art. 5 Nr. 3 des G. vom 22. Dezember 2009 (I) (B.S. vom 31. Dezember 2009); § 4 eingefügt durch Art. 2 Nr. 2 des G. vom 25. April 2007 (III) (B.S. vom 10. Mai 2007) - anwendbar auf die ab dem 1. Januar 2007 bewilligten pauschalen Kostenvergütungen -; § 4 Abs. 1 einleitende Bestimmung abgeändert durch Art. 2 Nr. 3 des G. vom 31. Juli 2023 (I) (B.S. vom 23. August 2023) - in Kraft am 1. Januar 2024 und anwendbar auf Vergütungen, die für Leistungen gezahlt oder zuerkannt werden, die ab diesem Datum erbracht werden -; § 4 Abs. 1 erster Gedankenstrich ersetzt durch Art. 2 Nr. 4 des G. vom 31. Juli 2023 (I) (B.S. vom 23. August 2023) - in Kraft am 1. Januar 2024 und anwendbar auf Vergütungen, die für Leistungen gezahlt oder zuerkannt werden, die ab diesem Datum erbracht werden -; § 4 Abs. 1 zweiter Gedankenstrich abgeändert durch Art. 2 Nr. 5 Buchstabe a) bis c) des G. vom 31. Juli 2023 (I) (B.S. vom 23. August 2023) - in Kraft am 1. Januar 2024 und anwendbar auf Vergütungen, die für Leistungen gezahlt oder zuerkannt werden, die ab diesem Datum erbracht werden -; § 4 Abs. 1 dritter und vierter Gedankenstrich eingefügt durch Art. 2 Nr. 6 des G. vom 31. Juli 2023 (I) (B.S. vom 23. August 2023) - in Kraft am 1. Januar 2024 und anwendbar auf Vergütungen, die für Leistungen gezahlt oder zuerkannt werden, die ab diesem Datum erbracht werden -; § 4 Abs. 2 Nr. 1 ersetzt durch Art. 2 Nr. 7 des G. vom 31. Juli 2023 (I) (B.S. vom 23. August 2023) - in Kraft am 1. Januar 2024 und anwendbar auf Vergütungen, die für Leistungen gezahlt oder zuerkannt werden, die ab diesem Datum erbracht </w:t>
      </w:r>
      <w:r w:rsidRPr="00B51DF1">
        <w:rPr>
          <w:i/>
          <w:iCs/>
        </w:rPr>
        <w:lastRenderedPageBreak/>
        <w:t>werden -; § 4 Abs. 2 Nr. 2 abgeändert durch Art. 2 Nr. 8 Buchstabe a) und b) des G. vom 31. Juli 2023 (I) (B.S. vom 23. August 2023) - in Kraft am 1. Januar 2024 und anwendbar auf Vergütungen, die für Leistungen gezahlt oder zuerkannt werden, die ab diesem Datum erbracht werden -; § 4 Abs. 2 Nr. 3 abgeändert durch Art. 2 Nr. 9 des G. vom 31. Juli 2023 (I) (B.S. vom 23. August 2023) - in Kraft am 1. Januar 2024 und anwendbar auf Vergütungen, die für Leistungen gezahlt oder zuerkannt werden, die ab diesem Datum erbracht werden -; § 4 Abs. 3 eingefügt durch Art. 2 Nr. 10 des G. vom 31. Juli 2023 (I) (B.S. vom 23. August 2023) - in Kraft am 1. Januar 2024 und anwendbar auf Vergütungen, die für Leistungen gezahlt oder zuerkannt werden, die ab diesem Datum erbracht werden -; § 5 eingefügt durch Art. 2 Buchstabe A Nr. 3 des G. vom 19. Juni 2011 (B.S. vom 28. Juni 2011) - anwendbar auf Kündi</w:t>
      </w:r>
      <w:r w:rsidRPr="00B51DF1">
        <w:rPr>
          <w:i/>
          <w:iCs/>
        </w:rPr>
        <w:softHyphen/>
        <w:t>gungszulagen, Entlohnungen und Entschädigungen, die ab dem 1. Januar 2012 bezogen werden, sofern die Kündigung frühestens am 1. Januar 2012 vom Arbeitgeber notifiziert wird -, aufgehoben durch Art. 100 Nr. 2 des G. vom 26. Dezember 2013 (I) (B.S. vom 31. Dezember 2013) - in Kraft ab dem 1. Januar 2014 - und wieder aufgenommen durch Art. 51 Nr. 2 des G. vom 19. Dezember 2014 (B.S. vom 29. Dezember 2014) - anwendbar auf die ab 2015 gezahlten Kapital- und Zinszuschüsse -; § 5/1 eingefügt durch Art. 7 Nr. 4 des G. vom 22. Dezember 2023 (B.S. vom 29. Dezember 2023); § 6 eingefügt durch Art. 103 Nr. 2</w:t>
      </w:r>
      <w:r w:rsidRPr="00B51DF1">
        <w:rPr>
          <w:i/>
        </w:rPr>
        <w:t xml:space="preserve"> des G. (I) vom 26. Dezember 2015 (I) (B.S. vom 30. Dezember 2015) - anwendbar auf Betriebs</w:t>
      </w:r>
      <w:r w:rsidRPr="00B51DF1">
        <w:rPr>
          <w:i/>
        </w:rPr>
        <w:softHyphen/>
        <w:t>zuschläge und Zusatzentschädigungen, die ab dem 1. Januar 2016 gezahlt oder zuerkannt werden, sofern sie sich nicht auf Zeiträume beziehen, die vor diesem Datum liegen</w:t>
      </w:r>
      <w:r w:rsidRPr="00B51DF1">
        <w:rPr>
          <w:i/>
          <w:iCs/>
        </w:rPr>
        <w:t> -; § 7 eingefügt durch Art. 2 Nr. 2</w:t>
      </w:r>
      <w:r w:rsidRPr="00B51DF1">
        <w:rPr>
          <w:i/>
        </w:rPr>
        <w:t xml:space="preserve"> des G. vom 23. März 2019 (B.S. vom 5. April 2019) - in Kraft am 5. April 2019 und anwendbar auf die ab dem 1. Januar 2019 gezahlten oder zuerkannten Prämien -]</w:t>
      </w:r>
    </w:p>
    <w:p w14:paraId="3DF85741" w14:textId="480D881A" w:rsidR="00696305" w:rsidRPr="00B51DF1" w:rsidRDefault="00696305" w:rsidP="00B51DF1">
      <w:pPr>
        <w:autoSpaceDE w:val="0"/>
        <w:autoSpaceDN w:val="0"/>
        <w:adjustRightInd w:val="0"/>
        <w:ind w:firstLine="709"/>
        <w:jc w:val="both"/>
      </w:pPr>
    </w:p>
    <w:p w14:paraId="12D16F3F" w14:textId="77777777" w:rsidR="00891823" w:rsidRPr="00B51DF1" w:rsidRDefault="00891823" w:rsidP="00B51DF1">
      <w:pPr>
        <w:autoSpaceDE w:val="0"/>
        <w:autoSpaceDN w:val="0"/>
        <w:adjustRightInd w:val="0"/>
        <w:ind w:firstLine="709"/>
        <w:jc w:val="both"/>
      </w:pPr>
    </w:p>
    <w:p w14:paraId="07A5781E" w14:textId="3FA6F5FA" w:rsidR="0045589A" w:rsidRPr="009118AB" w:rsidRDefault="0045589A" w:rsidP="0045589A">
      <w:pPr>
        <w:autoSpaceDE w:val="0"/>
        <w:autoSpaceDN w:val="0"/>
        <w:adjustRightInd w:val="0"/>
        <w:jc w:val="both"/>
      </w:pPr>
      <w:r w:rsidRPr="009118AB">
        <w:tab/>
        <w:t>[</w:t>
      </w:r>
      <w:r w:rsidR="00D67EB8" w:rsidRPr="009118AB">
        <w:rPr>
          <w:b/>
        </w:rPr>
        <w:t>Art. </w:t>
      </w:r>
      <w:r w:rsidRPr="009118AB">
        <w:rPr>
          <w:b/>
        </w:rPr>
        <w:t>38/1</w:t>
      </w:r>
      <w:r w:rsidR="00D67EB8" w:rsidRPr="009118AB">
        <w:t> - § </w:t>
      </w:r>
      <w:r w:rsidRPr="009118AB">
        <w:t>1</w:t>
      </w:r>
      <w:r w:rsidR="00D67EB8" w:rsidRPr="009118AB">
        <w:t> - </w:t>
      </w:r>
      <w:r w:rsidRPr="009118AB">
        <w:t xml:space="preserve">Folgende Vorteile stellen einen in Artikel 38 </w:t>
      </w:r>
      <w:r w:rsidR="00D67EB8" w:rsidRPr="009118AB">
        <w:t>§ </w:t>
      </w:r>
      <w:r w:rsidRPr="009118AB">
        <w:t xml:space="preserve">1 Absatz 1 </w:t>
      </w:r>
      <w:r w:rsidR="00D67EB8" w:rsidRPr="009118AB">
        <w:t>Nr. </w:t>
      </w:r>
      <w:r w:rsidRPr="009118AB">
        <w:t>25 erwähnten Vorteil dar, sofern sie nicht als Ersatz der Entlohnung, von Prämien, Vorteilen jeglicher Art oder anderen Zulagen bewilligt werden:</w:t>
      </w:r>
    </w:p>
    <w:p w14:paraId="71FDBB29" w14:textId="77777777" w:rsidR="0045589A" w:rsidRPr="009118AB" w:rsidRDefault="0045589A" w:rsidP="0045589A">
      <w:pPr>
        <w:autoSpaceDE w:val="0"/>
        <w:autoSpaceDN w:val="0"/>
        <w:adjustRightInd w:val="0"/>
        <w:jc w:val="both"/>
      </w:pPr>
    </w:p>
    <w:p w14:paraId="2E0210CD" w14:textId="49D08B7C" w:rsidR="0045589A" w:rsidRPr="009118AB" w:rsidRDefault="00C81589" w:rsidP="0045589A">
      <w:pPr>
        <w:autoSpaceDE w:val="0"/>
        <w:autoSpaceDN w:val="0"/>
        <w:adjustRightInd w:val="0"/>
        <w:jc w:val="both"/>
      </w:pPr>
      <w:r w:rsidRPr="009118AB">
        <w:tab/>
      </w:r>
      <w:r w:rsidR="0045589A" w:rsidRPr="009118AB">
        <w:t xml:space="preserve">1. Beteiligung des Arbeitgebers oder Unternehmens an </w:t>
      </w:r>
      <w:r w:rsidR="006D018E" w:rsidRPr="009118AB">
        <w:t>[elektronischen Mahlzeitschecks]</w:t>
      </w:r>
      <w:r w:rsidR="0045589A" w:rsidRPr="009118AB">
        <w:t xml:space="preserve">, die den in </w:t>
      </w:r>
      <w:r w:rsidR="00D67EB8" w:rsidRPr="009118AB">
        <w:t>§ </w:t>
      </w:r>
      <w:r w:rsidR="0045589A" w:rsidRPr="009118AB">
        <w:t>2 vorgesehenen Bedingungen entsprechen,</w:t>
      </w:r>
    </w:p>
    <w:p w14:paraId="204B5A85" w14:textId="77777777" w:rsidR="0045589A" w:rsidRPr="009118AB" w:rsidRDefault="0045589A" w:rsidP="0045589A">
      <w:pPr>
        <w:autoSpaceDE w:val="0"/>
        <w:autoSpaceDN w:val="0"/>
        <w:adjustRightInd w:val="0"/>
        <w:jc w:val="both"/>
      </w:pPr>
    </w:p>
    <w:p w14:paraId="05DC7630" w14:textId="43240E4A" w:rsidR="0045589A" w:rsidRPr="009118AB" w:rsidRDefault="00C81589" w:rsidP="0045589A">
      <w:pPr>
        <w:autoSpaceDE w:val="0"/>
        <w:autoSpaceDN w:val="0"/>
        <w:adjustRightInd w:val="0"/>
        <w:jc w:val="both"/>
      </w:pPr>
      <w:r w:rsidRPr="009118AB">
        <w:tab/>
      </w:r>
      <w:r w:rsidR="0045589A" w:rsidRPr="009118AB">
        <w:t xml:space="preserve">2. Beteiligung des Arbeitgebers oder Unternehmens an Sport-/Kulturschecks, die den in </w:t>
      </w:r>
      <w:r w:rsidR="00D67EB8" w:rsidRPr="009118AB">
        <w:t>§ </w:t>
      </w:r>
      <w:r w:rsidR="0045589A" w:rsidRPr="009118AB">
        <w:t>3 vorgesehenen Bedingungen entsprechen,</w:t>
      </w:r>
    </w:p>
    <w:p w14:paraId="75AEC90E" w14:textId="77777777" w:rsidR="0045589A" w:rsidRPr="009118AB" w:rsidRDefault="0045589A" w:rsidP="0045589A">
      <w:pPr>
        <w:autoSpaceDE w:val="0"/>
        <w:autoSpaceDN w:val="0"/>
        <w:adjustRightInd w:val="0"/>
        <w:jc w:val="both"/>
      </w:pPr>
    </w:p>
    <w:p w14:paraId="4D641213" w14:textId="466ACC89" w:rsidR="0045589A" w:rsidRPr="009118AB" w:rsidRDefault="00C81589" w:rsidP="0045589A">
      <w:pPr>
        <w:autoSpaceDE w:val="0"/>
        <w:autoSpaceDN w:val="0"/>
        <w:adjustRightInd w:val="0"/>
        <w:jc w:val="both"/>
      </w:pPr>
      <w:r w:rsidRPr="009118AB">
        <w:tab/>
      </w:r>
      <w:r w:rsidR="0045589A" w:rsidRPr="009118AB">
        <w:t xml:space="preserve">3. Beteiligung des Arbeitgebers oder Unternehmens an Öko-Schecks, die den in </w:t>
      </w:r>
      <w:r w:rsidR="00D67EB8" w:rsidRPr="009118AB">
        <w:t>§ </w:t>
      </w:r>
      <w:r w:rsidR="0045589A" w:rsidRPr="009118AB">
        <w:t>4 vorgesehenen Bedingungen entsprechen.</w:t>
      </w:r>
    </w:p>
    <w:p w14:paraId="131643A3" w14:textId="77777777" w:rsidR="0045589A" w:rsidRPr="009118AB" w:rsidRDefault="0045589A" w:rsidP="0045589A">
      <w:pPr>
        <w:autoSpaceDE w:val="0"/>
        <w:autoSpaceDN w:val="0"/>
        <w:adjustRightInd w:val="0"/>
        <w:jc w:val="both"/>
      </w:pPr>
    </w:p>
    <w:p w14:paraId="582D8ACC" w14:textId="7AA254D8" w:rsidR="0045589A" w:rsidRPr="009118AB" w:rsidRDefault="00C81589" w:rsidP="0045589A">
      <w:pPr>
        <w:autoSpaceDE w:val="0"/>
        <w:autoSpaceDN w:val="0"/>
        <w:adjustRightInd w:val="0"/>
        <w:jc w:val="both"/>
      </w:pPr>
      <w:r w:rsidRPr="009118AB">
        <w:tab/>
      </w:r>
      <w:r w:rsidR="00D67EB8" w:rsidRPr="009118AB">
        <w:t>§ </w:t>
      </w:r>
      <w:r w:rsidR="0045589A" w:rsidRPr="009118AB">
        <w:t>2</w:t>
      </w:r>
      <w:r w:rsidR="00D67EB8" w:rsidRPr="009118AB">
        <w:t> - </w:t>
      </w:r>
      <w:r w:rsidR="0045589A" w:rsidRPr="009118AB">
        <w:t xml:space="preserve">Damit die Beteiligung des Arbeitgebers oder Unternehmens an Mahlzeitschecks als ein in Artikel 38 </w:t>
      </w:r>
      <w:r w:rsidR="00D67EB8" w:rsidRPr="009118AB">
        <w:t>§ </w:t>
      </w:r>
      <w:r w:rsidR="0045589A" w:rsidRPr="009118AB">
        <w:t xml:space="preserve">1 Absatz 1 </w:t>
      </w:r>
      <w:r w:rsidR="00D67EB8" w:rsidRPr="009118AB">
        <w:t>Nr. </w:t>
      </w:r>
      <w:r w:rsidR="0045589A" w:rsidRPr="009118AB">
        <w:t xml:space="preserve">25 erwähnter Vorteil gelten kann, müssen die </w:t>
      </w:r>
      <w:r w:rsidR="006D018E" w:rsidRPr="009118AB">
        <w:t xml:space="preserve">[elektronischen Mahlzeitschecks] </w:t>
      </w:r>
      <w:r w:rsidR="0045589A" w:rsidRPr="009118AB">
        <w:t>gleichzeitig folgenden Bedingungen entsprechen:</w:t>
      </w:r>
    </w:p>
    <w:p w14:paraId="663291FE" w14:textId="77777777" w:rsidR="0045589A" w:rsidRPr="009118AB" w:rsidRDefault="0045589A" w:rsidP="0045589A">
      <w:pPr>
        <w:autoSpaceDE w:val="0"/>
        <w:autoSpaceDN w:val="0"/>
        <w:adjustRightInd w:val="0"/>
        <w:jc w:val="both"/>
      </w:pPr>
    </w:p>
    <w:p w14:paraId="3D17ADF7" w14:textId="77777777" w:rsidR="0045589A" w:rsidRPr="009118AB" w:rsidRDefault="00C81589" w:rsidP="0045589A">
      <w:pPr>
        <w:autoSpaceDE w:val="0"/>
        <w:autoSpaceDN w:val="0"/>
        <w:adjustRightInd w:val="0"/>
        <w:jc w:val="both"/>
      </w:pPr>
      <w:r w:rsidRPr="009118AB">
        <w:tab/>
      </w:r>
      <w:r w:rsidR="0045589A" w:rsidRPr="009118AB">
        <w:t xml:space="preserve">1. Die Bewilligung von </w:t>
      </w:r>
      <w:r w:rsidR="006D018E" w:rsidRPr="009118AB">
        <w:t xml:space="preserve">[elektronischen Mahlzeitschecks] </w:t>
      </w:r>
      <w:r w:rsidR="0045589A" w:rsidRPr="009118AB">
        <w:t>muss in einem auf Sektoren</w:t>
      </w:r>
      <w:r w:rsidR="0045589A" w:rsidRPr="009118AB">
        <w:noBreakHyphen/>
        <w:t xml:space="preserve"> oder Unter</w:t>
      </w:r>
      <w:r w:rsidR="0045589A" w:rsidRPr="009118AB">
        <w:softHyphen/>
        <w:t>nehmensebene geschlossenen kollektiven Arbeitsabkommen oder, wenn der Abschluss eines kollektiven Abkommens nicht möglich ist, in einem schriftlichen individuellen Abkommen vorgesehen sein, wobei in Unternehmen, in denen Arbeitnehmer beschäftigt werden, auf Unternehmensleiter dieselbe Regelung angewandt werden muss wie auf Arbeitnehmer.</w:t>
      </w:r>
    </w:p>
    <w:p w14:paraId="5079BDC3" w14:textId="77777777" w:rsidR="0045589A" w:rsidRPr="009118AB" w:rsidRDefault="0045589A" w:rsidP="0045589A">
      <w:pPr>
        <w:autoSpaceDE w:val="0"/>
        <w:autoSpaceDN w:val="0"/>
        <w:adjustRightInd w:val="0"/>
        <w:jc w:val="both"/>
      </w:pPr>
    </w:p>
    <w:p w14:paraId="6971C44B" w14:textId="77777777" w:rsidR="0045589A" w:rsidRPr="009118AB" w:rsidRDefault="00C81589" w:rsidP="0045589A">
      <w:pPr>
        <w:autoSpaceDE w:val="0"/>
        <w:autoSpaceDN w:val="0"/>
        <w:adjustRightInd w:val="0"/>
        <w:jc w:val="both"/>
      </w:pPr>
      <w:r w:rsidRPr="009118AB">
        <w:tab/>
      </w:r>
      <w:r w:rsidR="0045589A" w:rsidRPr="009118AB">
        <w:t xml:space="preserve">2. Die Anzahl bewilligter </w:t>
      </w:r>
      <w:r w:rsidR="006D018E" w:rsidRPr="009118AB">
        <w:t xml:space="preserve">[elektronischer Mahlzeitschecks] </w:t>
      </w:r>
      <w:r w:rsidR="0045589A" w:rsidRPr="009118AB">
        <w:t>muss der Anzahl effektiver Arbeitstage des Arbeitnehmers oder Unternehmensleiters entsprechen.</w:t>
      </w:r>
    </w:p>
    <w:p w14:paraId="4C846503" w14:textId="77777777" w:rsidR="0045589A" w:rsidRPr="009118AB" w:rsidRDefault="0045589A" w:rsidP="0045589A">
      <w:pPr>
        <w:autoSpaceDE w:val="0"/>
        <w:autoSpaceDN w:val="0"/>
        <w:adjustRightInd w:val="0"/>
        <w:jc w:val="both"/>
      </w:pPr>
    </w:p>
    <w:p w14:paraId="0E23EFEC" w14:textId="77777777" w:rsidR="0045589A" w:rsidRPr="009118AB" w:rsidRDefault="00C81589" w:rsidP="0045589A">
      <w:pPr>
        <w:autoSpaceDE w:val="0"/>
        <w:autoSpaceDN w:val="0"/>
        <w:adjustRightInd w:val="0"/>
        <w:jc w:val="both"/>
      </w:pPr>
      <w:r w:rsidRPr="009118AB">
        <w:tab/>
      </w:r>
      <w:r w:rsidR="0045589A" w:rsidRPr="009118AB">
        <w:t xml:space="preserve">3. </w:t>
      </w:r>
      <w:r w:rsidR="006D018E" w:rsidRPr="009118AB">
        <w:t xml:space="preserve">[Elektronische Mahlzeitschecks] </w:t>
      </w:r>
      <w:r w:rsidR="0045589A" w:rsidRPr="009118AB">
        <w:t>werden auf den Namen des Arbeitnehmers oder Unternehmens</w:t>
      </w:r>
      <w:r w:rsidR="0045589A" w:rsidRPr="009118AB">
        <w:softHyphen/>
        <w:t>leiters ausgestellt.</w:t>
      </w:r>
    </w:p>
    <w:p w14:paraId="13B7DD52" w14:textId="77777777" w:rsidR="0045589A" w:rsidRPr="009118AB" w:rsidRDefault="0045589A" w:rsidP="0045589A">
      <w:pPr>
        <w:autoSpaceDE w:val="0"/>
        <w:autoSpaceDN w:val="0"/>
        <w:adjustRightInd w:val="0"/>
        <w:jc w:val="both"/>
      </w:pPr>
    </w:p>
    <w:p w14:paraId="0FB24931" w14:textId="77777777" w:rsidR="0045589A" w:rsidRPr="009118AB" w:rsidRDefault="00C81589" w:rsidP="0045589A">
      <w:pPr>
        <w:autoSpaceDE w:val="0"/>
        <w:autoSpaceDN w:val="0"/>
        <w:adjustRightInd w:val="0"/>
        <w:jc w:val="both"/>
      </w:pPr>
      <w:r w:rsidRPr="009118AB">
        <w:tab/>
      </w:r>
      <w:r w:rsidR="0045589A" w:rsidRPr="009118AB">
        <w:t xml:space="preserve">4. Auf </w:t>
      </w:r>
      <w:r w:rsidR="006D018E" w:rsidRPr="009118AB">
        <w:t xml:space="preserve">[elektronischen Mahlzeitschecks] </w:t>
      </w:r>
      <w:r w:rsidR="0045589A" w:rsidRPr="009118AB">
        <w:t xml:space="preserve">ist deutlich angegeben, dass ihre Gültigkeit auf </w:t>
      </w:r>
      <w:r w:rsidR="00D4566A" w:rsidRPr="009118AB">
        <w:t xml:space="preserve">[zwölf </w:t>
      </w:r>
      <w:r w:rsidR="0045589A" w:rsidRPr="009118AB">
        <w:t>Monate</w:t>
      </w:r>
      <w:r w:rsidR="00D4566A" w:rsidRPr="009118AB">
        <w:t>]</w:t>
      </w:r>
      <w:r w:rsidR="0045589A" w:rsidRPr="009118AB">
        <w:t xml:space="preserve"> begrenzt ist und dass sie nur zur Bezahlung einer Mahlzeit oder zum Kauf verzehrfertiger Lebensmittel verwendet werden dürfen.</w:t>
      </w:r>
    </w:p>
    <w:p w14:paraId="45AE8B55" w14:textId="77777777" w:rsidR="0045589A" w:rsidRPr="009118AB" w:rsidRDefault="0045589A" w:rsidP="0045589A">
      <w:pPr>
        <w:autoSpaceDE w:val="0"/>
        <w:autoSpaceDN w:val="0"/>
        <w:adjustRightInd w:val="0"/>
        <w:jc w:val="both"/>
      </w:pPr>
    </w:p>
    <w:p w14:paraId="54240E00" w14:textId="07EE3B0F" w:rsidR="0045589A" w:rsidRPr="009118AB" w:rsidRDefault="00C81589" w:rsidP="0045589A">
      <w:pPr>
        <w:autoSpaceDE w:val="0"/>
        <w:autoSpaceDN w:val="0"/>
        <w:adjustRightInd w:val="0"/>
        <w:jc w:val="both"/>
      </w:pPr>
      <w:r w:rsidRPr="009118AB">
        <w:tab/>
      </w:r>
      <w:r w:rsidR="0045589A" w:rsidRPr="009118AB">
        <w:t>5.</w:t>
      </w:r>
      <w:r w:rsidR="00696305">
        <w:t> </w:t>
      </w:r>
      <w:r w:rsidR="0045589A" w:rsidRPr="009118AB">
        <w:t xml:space="preserve">Die Beteiligung des Arbeitgebers oder Unternehmens am Betrag eines </w:t>
      </w:r>
      <w:r w:rsidR="006D018E" w:rsidRPr="009118AB">
        <w:t xml:space="preserve">[elektronischen Mahlzeitschecks] </w:t>
      </w:r>
      <w:r w:rsidR="0045589A" w:rsidRPr="009118AB">
        <w:t xml:space="preserve">darf höchstens </w:t>
      </w:r>
      <w:r w:rsidR="00A47CA9" w:rsidRPr="009118AB">
        <w:t>[6</w:t>
      </w:r>
      <w:r w:rsidR="0045589A" w:rsidRPr="009118AB">
        <w:t>,91 EUR</w:t>
      </w:r>
      <w:r w:rsidR="00A47CA9" w:rsidRPr="009118AB">
        <w:t>]</w:t>
      </w:r>
      <w:r w:rsidR="0045589A" w:rsidRPr="009118AB">
        <w:t xml:space="preserve"> pro </w:t>
      </w:r>
      <w:r w:rsidR="006D018E" w:rsidRPr="009118AB">
        <w:t xml:space="preserve">[elektronischen Mahlzeitscheck] </w:t>
      </w:r>
      <w:r w:rsidR="0045589A" w:rsidRPr="009118AB">
        <w:t>betragen.</w:t>
      </w:r>
    </w:p>
    <w:p w14:paraId="0639F2D7" w14:textId="77777777" w:rsidR="0045589A" w:rsidRPr="009118AB" w:rsidRDefault="0045589A" w:rsidP="0045589A">
      <w:pPr>
        <w:autoSpaceDE w:val="0"/>
        <w:autoSpaceDN w:val="0"/>
        <w:adjustRightInd w:val="0"/>
        <w:jc w:val="both"/>
      </w:pPr>
    </w:p>
    <w:p w14:paraId="34FAAD5B" w14:textId="77777777" w:rsidR="0074097E" w:rsidRPr="009118AB" w:rsidRDefault="00C81589" w:rsidP="0074097E">
      <w:pPr>
        <w:autoSpaceDE w:val="0"/>
        <w:autoSpaceDN w:val="0"/>
        <w:adjustRightInd w:val="0"/>
        <w:jc w:val="both"/>
      </w:pPr>
      <w:r w:rsidRPr="009118AB">
        <w:tab/>
      </w:r>
      <w:r w:rsidR="0045589A" w:rsidRPr="009118AB">
        <w:t>6. Die Beteiligung des Arbeitnehmers oder Unternehmensleiters beträgt mindestens 1,09 EUR.</w:t>
      </w:r>
    </w:p>
    <w:p w14:paraId="5DA07569" w14:textId="77777777" w:rsidR="00D25A5A" w:rsidRPr="009118AB" w:rsidRDefault="00D25A5A" w:rsidP="0074097E">
      <w:pPr>
        <w:autoSpaceDE w:val="0"/>
        <w:autoSpaceDN w:val="0"/>
        <w:adjustRightInd w:val="0"/>
        <w:jc w:val="both"/>
      </w:pPr>
    </w:p>
    <w:p w14:paraId="771DF292" w14:textId="77884EF7" w:rsidR="00D25A5A" w:rsidRPr="009118AB" w:rsidRDefault="00D25A5A" w:rsidP="0074097E">
      <w:pPr>
        <w:autoSpaceDE w:val="0"/>
        <w:autoSpaceDN w:val="0"/>
        <w:adjustRightInd w:val="0"/>
        <w:jc w:val="both"/>
      </w:pPr>
      <w:r w:rsidRPr="009118AB">
        <w:tab/>
        <w:t>[Unbeschadet von Absatz 1 Nr. 4 kann der Arbeitnehmer oder Unternehmensleiter, der einen elektronischen Mahlzeitscheck erhalten hat, innerhalb von drei Monaten nach dem Ablaufdatum des elektronischen Mahlzeitschecks beim Aussteller einen einmaligen Antrag auf Reaktivierung des Schecks einreichen. Der reaktivierte elektronische Mahlzeitscheck hat eine Gültigkeitsdauer von drei Monaten.]</w:t>
      </w:r>
    </w:p>
    <w:p w14:paraId="7332C982" w14:textId="0FD942DE" w:rsidR="00BC3C7C" w:rsidRPr="009118AB" w:rsidRDefault="00BC3C7C" w:rsidP="0074097E">
      <w:pPr>
        <w:autoSpaceDE w:val="0"/>
        <w:autoSpaceDN w:val="0"/>
        <w:adjustRightInd w:val="0"/>
        <w:jc w:val="both"/>
      </w:pPr>
    </w:p>
    <w:p w14:paraId="7ED06AFB" w14:textId="595C703C" w:rsidR="0045589A" w:rsidRPr="009118AB" w:rsidRDefault="00C81589" w:rsidP="0045589A">
      <w:pPr>
        <w:autoSpaceDE w:val="0"/>
        <w:autoSpaceDN w:val="0"/>
        <w:adjustRightInd w:val="0"/>
        <w:jc w:val="both"/>
      </w:pPr>
      <w:r w:rsidRPr="009118AB">
        <w:tab/>
      </w:r>
      <w:r w:rsidR="00D67EB8" w:rsidRPr="009118AB">
        <w:t>§ </w:t>
      </w:r>
      <w:r w:rsidR="0045589A" w:rsidRPr="009118AB">
        <w:t>3</w:t>
      </w:r>
      <w:r w:rsidR="00D67EB8" w:rsidRPr="009118AB">
        <w:t> - </w:t>
      </w:r>
      <w:r w:rsidR="0045589A" w:rsidRPr="009118AB">
        <w:t>Damit die Beteiligung des Arbeitgebers oder Unternehmens an Sport</w:t>
      </w:r>
      <w:r w:rsidR="0045589A" w:rsidRPr="009118AB">
        <w:noBreakHyphen/>
        <w:t>/Kultur</w:t>
      </w:r>
      <w:r w:rsidR="0045589A" w:rsidRPr="009118AB">
        <w:softHyphen/>
        <w:t xml:space="preserve">schecks als ein in Artikel 38 </w:t>
      </w:r>
      <w:r w:rsidR="00D67EB8" w:rsidRPr="009118AB">
        <w:t>§ </w:t>
      </w:r>
      <w:r w:rsidR="0045589A" w:rsidRPr="009118AB">
        <w:t xml:space="preserve">1 Absatz 1 </w:t>
      </w:r>
      <w:r w:rsidR="00D67EB8" w:rsidRPr="009118AB">
        <w:t>Nr. </w:t>
      </w:r>
      <w:r w:rsidR="0045589A" w:rsidRPr="009118AB">
        <w:t>25 erwähnter Vorteil gelten kann, müssen die Sport-/Kulturschecks gleichzeitig folgenden Bedingungen entsprechen:</w:t>
      </w:r>
    </w:p>
    <w:p w14:paraId="1CA524DC" w14:textId="77777777" w:rsidR="0045589A" w:rsidRPr="009118AB" w:rsidRDefault="0045589A" w:rsidP="0045589A">
      <w:pPr>
        <w:autoSpaceDE w:val="0"/>
        <w:autoSpaceDN w:val="0"/>
        <w:adjustRightInd w:val="0"/>
        <w:jc w:val="both"/>
      </w:pPr>
    </w:p>
    <w:p w14:paraId="0683C133" w14:textId="77777777" w:rsidR="0045589A" w:rsidRPr="009118AB" w:rsidRDefault="00C81589" w:rsidP="0045589A">
      <w:pPr>
        <w:autoSpaceDE w:val="0"/>
        <w:autoSpaceDN w:val="0"/>
        <w:adjustRightInd w:val="0"/>
        <w:jc w:val="both"/>
      </w:pPr>
      <w:r w:rsidRPr="009118AB">
        <w:tab/>
      </w:r>
      <w:r w:rsidR="0045589A" w:rsidRPr="009118AB">
        <w:t>1. Die Bewilligung von Sport</w:t>
      </w:r>
      <w:r w:rsidR="0045589A" w:rsidRPr="009118AB">
        <w:noBreakHyphen/>
        <w:t>/Kulturschecks muss in einem auf Sektoren</w:t>
      </w:r>
      <w:r w:rsidR="0045589A" w:rsidRPr="009118AB">
        <w:noBreakHyphen/>
        <w:t xml:space="preserve"> oder Unternehmensebene geschlossenen kollektiven Arbeitsabkommen oder, wenn der Abschluss eines kollektiven Abkommens nicht möglich ist, in einem schriftlichen individuellen Ab</w:t>
      </w:r>
      <w:r w:rsidR="0045589A" w:rsidRPr="009118AB">
        <w:softHyphen/>
        <w:t>kommen vorgesehen sein, wobei in Unternehmen, in denen Arbeitnehmer beschäftigt werden, auf Unternehmensleiter dieselbe Regelung angewandt werden muss wie auf Arbeitnehmer.</w:t>
      </w:r>
    </w:p>
    <w:p w14:paraId="07977AA0" w14:textId="77777777" w:rsidR="0045589A" w:rsidRPr="009118AB" w:rsidRDefault="0045589A" w:rsidP="0045589A">
      <w:pPr>
        <w:autoSpaceDE w:val="0"/>
        <w:autoSpaceDN w:val="0"/>
        <w:adjustRightInd w:val="0"/>
        <w:jc w:val="both"/>
      </w:pPr>
    </w:p>
    <w:p w14:paraId="59480F56" w14:textId="77777777" w:rsidR="0045589A" w:rsidRPr="009118AB" w:rsidRDefault="00C81589" w:rsidP="0045589A">
      <w:pPr>
        <w:autoSpaceDE w:val="0"/>
        <w:autoSpaceDN w:val="0"/>
        <w:adjustRightInd w:val="0"/>
        <w:jc w:val="both"/>
      </w:pPr>
      <w:r w:rsidRPr="009118AB">
        <w:tab/>
      </w:r>
      <w:r w:rsidR="0045589A" w:rsidRPr="009118AB">
        <w:t>2. Sport</w:t>
      </w:r>
      <w:r w:rsidR="0045589A" w:rsidRPr="009118AB">
        <w:noBreakHyphen/>
        <w:t>/Kulturschecks werden auf den Namen des Arbeitnehmers oder Unter</w:t>
      </w:r>
      <w:r w:rsidR="0045589A" w:rsidRPr="009118AB">
        <w:softHyphen/>
        <w:t>nehmensleiters ausgestellt.</w:t>
      </w:r>
    </w:p>
    <w:p w14:paraId="3C812D76" w14:textId="77777777" w:rsidR="0045589A" w:rsidRPr="009118AB" w:rsidRDefault="0045589A" w:rsidP="0045589A">
      <w:pPr>
        <w:autoSpaceDE w:val="0"/>
        <w:autoSpaceDN w:val="0"/>
        <w:adjustRightInd w:val="0"/>
        <w:jc w:val="both"/>
      </w:pPr>
    </w:p>
    <w:p w14:paraId="42B9CBD4" w14:textId="1E3FADC4" w:rsidR="0045589A" w:rsidRPr="009118AB" w:rsidRDefault="00C81589" w:rsidP="0045589A">
      <w:pPr>
        <w:autoSpaceDE w:val="0"/>
        <w:autoSpaceDN w:val="0"/>
        <w:adjustRightInd w:val="0"/>
        <w:jc w:val="both"/>
      </w:pPr>
      <w:r w:rsidRPr="009118AB">
        <w:tab/>
      </w:r>
      <w:r w:rsidR="0045589A" w:rsidRPr="009118AB">
        <w:t>3. Auf Sport</w:t>
      </w:r>
      <w:r w:rsidR="0045589A" w:rsidRPr="009118AB">
        <w:noBreakHyphen/>
        <w:t xml:space="preserve">/Kulturschecks ist deutlich angegeben, </w:t>
      </w:r>
      <w:r w:rsidR="00AA2534">
        <w:t>[</w:t>
      </w:r>
      <w:r w:rsidR="00AA2534" w:rsidRPr="00FF610B">
        <w:t>dass ihre Gültigkeit auf fünfzehn Monate ab dem Datum, an dem sie einem Arbeitnehmer oder Unternehmensleiter zur Verfügung gestellt werden, begrenzt ist</w:t>
      </w:r>
      <w:r w:rsidR="00AA2534">
        <w:t>]</w:t>
      </w:r>
      <w:r w:rsidR="0045589A" w:rsidRPr="009118AB">
        <w:t>.</w:t>
      </w:r>
    </w:p>
    <w:p w14:paraId="6CCD5430" w14:textId="77777777" w:rsidR="0045589A" w:rsidRPr="009118AB" w:rsidRDefault="0045589A" w:rsidP="0045589A">
      <w:pPr>
        <w:autoSpaceDE w:val="0"/>
        <w:autoSpaceDN w:val="0"/>
        <w:adjustRightInd w:val="0"/>
        <w:jc w:val="both"/>
      </w:pPr>
    </w:p>
    <w:p w14:paraId="1C239CEA" w14:textId="77777777" w:rsidR="0045589A" w:rsidRPr="009118AB" w:rsidRDefault="00C81589" w:rsidP="0045589A">
      <w:pPr>
        <w:autoSpaceDE w:val="0"/>
        <w:autoSpaceDN w:val="0"/>
        <w:adjustRightInd w:val="0"/>
        <w:jc w:val="both"/>
      </w:pPr>
      <w:r w:rsidRPr="009118AB">
        <w:tab/>
      </w:r>
      <w:r w:rsidR="0045589A" w:rsidRPr="009118AB">
        <w:t>4. Der Gesamtbetrag der vom Arbeitgeber oder Unternehmen bewilligten Sport</w:t>
      </w:r>
      <w:r w:rsidR="0045589A" w:rsidRPr="009118AB">
        <w:noBreakHyphen/>
        <w:t>/Kulturschecks darf pro Arbeitnehmer oder Unternehmensleiter 100 EUR pro Jahr nicht übersteigen.</w:t>
      </w:r>
    </w:p>
    <w:p w14:paraId="1D479101" w14:textId="77777777" w:rsidR="0045589A" w:rsidRPr="009118AB" w:rsidRDefault="0045589A" w:rsidP="0045589A">
      <w:pPr>
        <w:autoSpaceDE w:val="0"/>
        <w:autoSpaceDN w:val="0"/>
        <w:adjustRightInd w:val="0"/>
        <w:jc w:val="both"/>
      </w:pPr>
    </w:p>
    <w:p w14:paraId="5D929E97" w14:textId="77777777" w:rsidR="0045589A" w:rsidRDefault="00C81589" w:rsidP="0045589A">
      <w:pPr>
        <w:autoSpaceDE w:val="0"/>
        <w:autoSpaceDN w:val="0"/>
        <w:adjustRightInd w:val="0"/>
        <w:jc w:val="both"/>
      </w:pPr>
      <w:r w:rsidRPr="009118AB">
        <w:tab/>
      </w:r>
      <w:r w:rsidR="0045589A" w:rsidRPr="009118AB">
        <w:t>5. Sport</w:t>
      </w:r>
      <w:r w:rsidR="0045589A" w:rsidRPr="009118AB">
        <w:noBreakHyphen/>
        <w:t>/Kulturschecks können weder ganz noch teilweise in Geld umgetauscht werden.</w:t>
      </w:r>
    </w:p>
    <w:p w14:paraId="11067F07" w14:textId="77777777" w:rsidR="00AA2534" w:rsidRDefault="00AA2534" w:rsidP="0045589A">
      <w:pPr>
        <w:autoSpaceDE w:val="0"/>
        <w:autoSpaceDN w:val="0"/>
        <w:adjustRightInd w:val="0"/>
        <w:jc w:val="both"/>
      </w:pPr>
    </w:p>
    <w:p w14:paraId="668E0FC9" w14:textId="5432C43C" w:rsidR="00AA2534" w:rsidRPr="009118AB" w:rsidRDefault="00AA2534" w:rsidP="0045589A">
      <w:pPr>
        <w:autoSpaceDE w:val="0"/>
        <w:autoSpaceDN w:val="0"/>
        <w:adjustRightInd w:val="0"/>
        <w:jc w:val="both"/>
      </w:pPr>
      <w:r>
        <w:tab/>
        <w:t>[</w:t>
      </w:r>
      <w:r w:rsidRPr="00FF610B">
        <w:t>Unbeschadet von Absatz 1 Nr. 3 kann der Arbeitnehmer oder Unternehmensleiter, der einen Sport-/Kulturscheck erhalten hat, innerhalb von drei Monaten nach dem Ablaufdatum des Sport-/Kulturschecks beim Aussteller einen einmaligen Antrag auf Reaktivierung des Schecks einreichen. Der reaktivierte Sport-/Kulturscheck hat eine Gültigkeitsdauer von drei Monaten.</w:t>
      </w:r>
      <w:r>
        <w:t>]</w:t>
      </w:r>
    </w:p>
    <w:p w14:paraId="5CDAEEC8" w14:textId="77777777" w:rsidR="0045589A" w:rsidRPr="009118AB" w:rsidRDefault="0045589A" w:rsidP="0045589A">
      <w:pPr>
        <w:autoSpaceDE w:val="0"/>
        <w:autoSpaceDN w:val="0"/>
        <w:adjustRightInd w:val="0"/>
        <w:jc w:val="both"/>
      </w:pPr>
    </w:p>
    <w:p w14:paraId="56074606" w14:textId="31BCA4FA" w:rsidR="0045589A" w:rsidRPr="009118AB" w:rsidRDefault="00C81589" w:rsidP="0045589A">
      <w:pPr>
        <w:autoSpaceDE w:val="0"/>
        <w:autoSpaceDN w:val="0"/>
        <w:adjustRightInd w:val="0"/>
        <w:jc w:val="both"/>
      </w:pPr>
      <w:r w:rsidRPr="009118AB">
        <w:lastRenderedPageBreak/>
        <w:tab/>
      </w:r>
      <w:r w:rsidR="00D67EB8" w:rsidRPr="009118AB">
        <w:t>§ </w:t>
      </w:r>
      <w:r w:rsidR="0045589A" w:rsidRPr="009118AB">
        <w:t>4</w:t>
      </w:r>
      <w:r w:rsidR="00D67EB8" w:rsidRPr="009118AB">
        <w:t> - </w:t>
      </w:r>
      <w:r w:rsidR="0045589A" w:rsidRPr="009118AB">
        <w:t xml:space="preserve">Damit die Beteiligung des Arbeitgebers oder Unternehmens an Öko-Schecks als ein in Artikel 38 </w:t>
      </w:r>
      <w:r w:rsidR="00D67EB8" w:rsidRPr="009118AB">
        <w:t>§ </w:t>
      </w:r>
      <w:r w:rsidR="0045589A" w:rsidRPr="009118AB">
        <w:t xml:space="preserve">1 Absatz 1 </w:t>
      </w:r>
      <w:r w:rsidR="00D67EB8" w:rsidRPr="009118AB">
        <w:t>Nr. </w:t>
      </w:r>
      <w:r w:rsidR="0045589A" w:rsidRPr="009118AB">
        <w:t>25 erwähnter Vorteil gelten kann, müssen die Öko-Schecks gleichzeitig folgenden Bedingungen entsprechen:</w:t>
      </w:r>
    </w:p>
    <w:p w14:paraId="70162613" w14:textId="77777777" w:rsidR="0045589A" w:rsidRPr="009118AB" w:rsidRDefault="0045589A" w:rsidP="0045589A">
      <w:pPr>
        <w:autoSpaceDE w:val="0"/>
        <w:autoSpaceDN w:val="0"/>
        <w:adjustRightInd w:val="0"/>
        <w:jc w:val="both"/>
      </w:pPr>
    </w:p>
    <w:p w14:paraId="1CBF9533" w14:textId="77777777" w:rsidR="0045589A" w:rsidRPr="009118AB" w:rsidRDefault="00C81589" w:rsidP="0045589A">
      <w:pPr>
        <w:autoSpaceDE w:val="0"/>
        <w:autoSpaceDN w:val="0"/>
        <w:adjustRightInd w:val="0"/>
        <w:jc w:val="both"/>
      </w:pPr>
      <w:r w:rsidRPr="009118AB">
        <w:tab/>
      </w:r>
      <w:r w:rsidR="0045589A" w:rsidRPr="009118AB">
        <w:t>1. Die Bewilligung von Öko-Schecks muss in einem auf Sektoren</w:t>
      </w:r>
      <w:r w:rsidR="0045589A" w:rsidRPr="009118AB">
        <w:noBreakHyphen/>
        <w:t xml:space="preserve"> oder Unter</w:t>
      </w:r>
      <w:r w:rsidR="0045589A" w:rsidRPr="009118AB">
        <w:softHyphen/>
        <w:t>nehmensebene geschlossenen kollektiven Arbeitsabkommen oder, wenn der Abschluss eines kollektiven Abkommens nicht möglich ist, in einem schriftlichen individuellen Abkommen vorgesehen sein, wobei in Unternehmen, in denen Arbeitnehmer beschäftigt werden, auf Unternehmensleiter dieselbe Regelung angewandt werden muss wie auf Arbeitnehmer.</w:t>
      </w:r>
    </w:p>
    <w:p w14:paraId="7CCB8763" w14:textId="77777777" w:rsidR="0045589A" w:rsidRPr="009118AB" w:rsidRDefault="0045589A" w:rsidP="0045589A">
      <w:pPr>
        <w:autoSpaceDE w:val="0"/>
        <w:autoSpaceDN w:val="0"/>
        <w:adjustRightInd w:val="0"/>
        <w:jc w:val="both"/>
      </w:pPr>
    </w:p>
    <w:p w14:paraId="2715D435" w14:textId="77777777" w:rsidR="0045589A" w:rsidRPr="009118AB" w:rsidRDefault="00C81589" w:rsidP="0045589A">
      <w:pPr>
        <w:autoSpaceDE w:val="0"/>
        <w:autoSpaceDN w:val="0"/>
        <w:adjustRightInd w:val="0"/>
        <w:jc w:val="both"/>
      </w:pPr>
      <w:r w:rsidRPr="009118AB">
        <w:tab/>
      </w:r>
      <w:r w:rsidR="0045589A" w:rsidRPr="009118AB">
        <w:t>2. Im kollektiven Arbeitsabkommen oder im individuellen Abkommen sind der höchste Nennwert eines Öko-Schecks mit einem Höchstbetrag von 10 EUR pro Öko-Scheck und die Häufigkeit der Bewilligung von Öko-Schecks während eines Kalenderjahres angegeben.</w:t>
      </w:r>
    </w:p>
    <w:p w14:paraId="0B7AB6D2" w14:textId="77777777" w:rsidR="0045589A" w:rsidRPr="009118AB" w:rsidRDefault="0045589A" w:rsidP="0045589A">
      <w:pPr>
        <w:autoSpaceDE w:val="0"/>
        <w:autoSpaceDN w:val="0"/>
        <w:adjustRightInd w:val="0"/>
        <w:jc w:val="both"/>
      </w:pPr>
    </w:p>
    <w:p w14:paraId="7DC4474A" w14:textId="77777777" w:rsidR="0045589A" w:rsidRPr="009118AB" w:rsidRDefault="00C81589" w:rsidP="0045589A">
      <w:pPr>
        <w:autoSpaceDE w:val="0"/>
        <w:autoSpaceDN w:val="0"/>
        <w:adjustRightInd w:val="0"/>
        <w:jc w:val="both"/>
      </w:pPr>
      <w:r w:rsidRPr="009118AB">
        <w:tab/>
      </w:r>
      <w:r w:rsidR="0045589A" w:rsidRPr="009118AB">
        <w:t>3. Öko-Schecks werden auf den Namen des Arbeitnehmers oder Unternehmensleiters ausgestellt.</w:t>
      </w:r>
    </w:p>
    <w:p w14:paraId="6DEFDA24" w14:textId="77777777" w:rsidR="0045589A" w:rsidRPr="009118AB" w:rsidRDefault="0045589A" w:rsidP="0045589A">
      <w:pPr>
        <w:autoSpaceDE w:val="0"/>
        <w:autoSpaceDN w:val="0"/>
        <w:adjustRightInd w:val="0"/>
        <w:jc w:val="both"/>
      </w:pPr>
    </w:p>
    <w:p w14:paraId="25908573" w14:textId="77777777" w:rsidR="0045589A" w:rsidRPr="009118AB" w:rsidRDefault="00C81589" w:rsidP="0045589A">
      <w:pPr>
        <w:autoSpaceDE w:val="0"/>
        <w:autoSpaceDN w:val="0"/>
        <w:adjustRightInd w:val="0"/>
        <w:jc w:val="both"/>
      </w:pPr>
      <w:r w:rsidRPr="009118AB">
        <w:tab/>
      </w:r>
      <w:r w:rsidR="0045589A" w:rsidRPr="009118AB">
        <w:t>4. Auf Öko-Schecks ist deutlich angegeben, dass ihre Gültigkeit auf vierundzwanzig Monate ab dem Datum, an dem sie einem Arbeitnehmer oder Unternehmensleiter zur Verfügung gestellt werden, begrenzt ist und dass sie nur zum Kauf ökologischer Produkte und Dienstleistungen verwendet werden dürfen, die in einem innerhalb des Nationalen Arbeitsrates geschlossenen kollektiven Arbeitsabkommen erwähnt sind.</w:t>
      </w:r>
    </w:p>
    <w:p w14:paraId="345C55AF" w14:textId="77777777" w:rsidR="0045589A" w:rsidRPr="009118AB" w:rsidRDefault="0045589A" w:rsidP="0045589A">
      <w:pPr>
        <w:autoSpaceDE w:val="0"/>
        <w:autoSpaceDN w:val="0"/>
        <w:adjustRightInd w:val="0"/>
        <w:jc w:val="both"/>
      </w:pPr>
    </w:p>
    <w:p w14:paraId="554FEA4C" w14:textId="77777777" w:rsidR="0045589A" w:rsidRPr="009118AB" w:rsidRDefault="00C81589" w:rsidP="0045589A">
      <w:pPr>
        <w:autoSpaceDE w:val="0"/>
        <w:autoSpaceDN w:val="0"/>
        <w:adjustRightInd w:val="0"/>
        <w:jc w:val="both"/>
      </w:pPr>
      <w:r w:rsidRPr="009118AB">
        <w:tab/>
      </w:r>
      <w:r w:rsidR="0045589A" w:rsidRPr="009118AB">
        <w:t>5. Öko-Schecks können weder ganz noch teilweise in Geld umgetauscht werden.</w:t>
      </w:r>
    </w:p>
    <w:p w14:paraId="75DC49A3" w14:textId="77777777" w:rsidR="0045589A" w:rsidRPr="009118AB" w:rsidRDefault="0045589A" w:rsidP="0045589A">
      <w:pPr>
        <w:autoSpaceDE w:val="0"/>
        <w:autoSpaceDN w:val="0"/>
        <w:adjustRightInd w:val="0"/>
        <w:jc w:val="both"/>
      </w:pPr>
    </w:p>
    <w:p w14:paraId="1F01DEDD" w14:textId="77777777" w:rsidR="0045589A" w:rsidRPr="009118AB" w:rsidRDefault="00C81589" w:rsidP="0045589A">
      <w:pPr>
        <w:autoSpaceDE w:val="0"/>
        <w:autoSpaceDN w:val="0"/>
        <w:adjustRightInd w:val="0"/>
        <w:jc w:val="both"/>
      </w:pPr>
      <w:r w:rsidRPr="009118AB">
        <w:tab/>
      </w:r>
      <w:r w:rsidR="0045589A" w:rsidRPr="009118AB">
        <w:t xml:space="preserve">6. Der Gesamtbetrag der vom Arbeitgeber oder Unternehmen bewilligten Öko-Schecks darf pro Arbeitnehmer oder Unternehmensleiter </w:t>
      </w:r>
      <w:r w:rsidR="00DF211E" w:rsidRPr="009118AB">
        <w:t>[</w:t>
      </w:r>
      <w:r w:rsidR="0045589A" w:rsidRPr="009118AB">
        <w:t>25</w:t>
      </w:r>
      <w:r w:rsidR="00DF211E" w:rsidRPr="009118AB">
        <w:t>0</w:t>
      </w:r>
      <w:r w:rsidR="0045589A" w:rsidRPr="009118AB">
        <w:t> EUR</w:t>
      </w:r>
      <w:r w:rsidR="00DF211E" w:rsidRPr="009118AB">
        <w:t>]</w:t>
      </w:r>
      <w:r w:rsidR="0045589A" w:rsidRPr="009118AB">
        <w:t xml:space="preserve"> pro Jahr nicht übersteigen.</w:t>
      </w:r>
    </w:p>
    <w:p w14:paraId="32861BCA" w14:textId="77777777" w:rsidR="00D25A5A" w:rsidRPr="009118AB" w:rsidRDefault="00D25A5A" w:rsidP="0045589A">
      <w:pPr>
        <w:autoSpaceDE w:val="0"/>
        <w:autoSpaceDN w:val="0"/>
        <w:adjustRightInd w:val="0"/>
        <w:jc w:val="both"/>
      </w:pPr>
    </w:p>
    <w:p w14:paraId="2FEA9108" w14:textId="4FC7EBF5" w:rsidR="00D25A5A" w:rsidRPr="009118AB" w:rsidRDefault="00D25A5A" w:rsidP="0045589A">
      <w:pPr>
        <w:autoSpaceDE w:val="0"/>
        <w:autoSpaceDN w:val="0"/>
        <w:adjustRightInd w:val="0"/>
        <w:jc w:val="both"/>
      </w:pPr>
      <w:r w:rsidRPr="009118AB">
        <w:tab/>
        <w:t>[Unbeschadet von Absatz 1 Nr. 4 kann der Arbeitnehmer oder Unternehmensleiter, der einen Öko-Scheck erhalten hat, innerhalb von drei Monaten nach dem Ablaufdatum des Öko-Schecks beim Aussteller einen einmaligen Antrag auf Reaktivierung des Schecks einreichen. Der reaktivierte Öko-Scheck hat eine Gültigkeitsdauer von drei Monaten.]</w:t>
      </w:r>
    </w:p>
    <w:p w14:paraId="25CF8673" w14:textId="77777777" w:rsidR="0045589A" w:rsidRPr="009118AB" w:rsidRDefault="0045589A" w:rsidP="0045589A">
      <w:pPr>
        <w:autoSpaceDE w:val="0"/>
        <w:autoSpaceDN w:val="0"/>
        <w:adjustRightInd w:val="0"/>
        <w:jc w:val="both"/>
      </w:pPr>
    </w:p>
    <w:p w14:paraId="2565AC2A" w14:textId="62D3F173" w:rsidR="0045589A" w:rsidRPr="009118AB" w:rsidRDefault="00C81589" w:rsidP="0045589A">
      <w:pPr>
        <w:autoSpaceDE w:val="0"/>
        <w:autoSpaceDN w:val="0"/>
        <w:adjustRightInd w:val="0"/>
        <w:jc w:val="both"/>
      </w:pPr>
      <w:r w:rsidRPr="009118AB">
        <w:tab/>
      </w:r>
      <w:r w:rsidR="00D67EB8" w:rsidRPr="009118AB">
        <w:t>§ </w:t>
      </w:r>
      <w:r w:rsidR="0045589A" w:rsidRPr="009118AB">
        <w:t>5</w:t>
      </w:r>
      <w:r w:rsidR="00D67EB8" w:rsidRPr="009118AB">
        <w:t> - </w:t>
      </w:r>
      <w:r w:rsidR="0045589A" w:rsidRPr="009118AB">
        <w:t>Der König bestimmt die Modalitäten der Anwendung des vorliegenden Artikels.]</w:t>
      </w:r>
    </w:p>
    <w:p w14:paraId="488A9E8D" w14:textId="77777777" w:rsidR="0045589A" w:rsidRPr="009118AB" w:rsidRDefault="0045589A" w:rsidP="0045589A">
      <w:pPr>
        <w:autoSpaceDE w:val="0"/>
        <w:autoSpaceDN w:val="0"/>
        <w:adjustRightInd w:val="0"/>
        <w:jc w:val="both"/>
        <w:rPr>
          <w:i/>
          <w:iCs/>
        </w:rPr>
      </w:pPr>
    </w:p>
    <w:p w14:paraId="08F15228" w14:textId="1B28EDCC" w:rsidR="0045589A" w:rsidRPr="009118AB" w:rsidRDefault="0045589A" w:rsidP="00D7183A">
      <w:pPr>
        <w:autoSpaceDE w:val="0"/>
        <w:autoSpaceDN w:val="0"/>
        <w:adjustRightInd w:val="0"/>
        <w:jc w:val="both"/>
        <w:rPr>
          <w:i/>
          <w:iCs/>
        </w:rPr>
      </w:pPr>
      <w:r w:rsidRPr="009118AB">
        <w:rPr>
          <w:i/>
          <w:iCs/>
        </w:rPr>
        <w:t>[</w:t>
      </w:r>
      <w:r w:rsidR="00D67EB8" w:rsidRPr="009118AB">
        <w:rPr>
          <w:i/>
          <w:iCs/>
        </w:rPr>
        <w:t>Art. </w:t>
      </w:r>
      <w:r w:rsidRPr="009118AB">
        <w:rPr>
          <w:i/>
          <w:iCs/>
        </w:rPr>
        <w:t xml:space="preserve">38/1 eingefügt durch </w:t>
      </w:r>
      <w:r w:rsidR="00D67EB8" w:rsidRPr="009118AB">
        <w:rPr>
          <w:i/>
          <w:iCs/>
        </w:rPr>
        <w:t>Art. </w:t>
      </w:r>
      <w:r w:rsidRPr="009118AB">
        <w:rPr>
          <w:i/>
          <w:iCs/>
        </w:rPr>
        <w:t>6 Buchstabe</w:t>
      </w:r>
      <w:r w:rsidR="00182717" w:rsidRPr="009118AB">
        <w:rPr>
          <w:i/>
          <w:iCs/>
        </w:rPr>
        <w:t> </w:t>
      </w:r>
      <w:r w:rsidRPr="009118AB">
        <w:rPr>
          <w:i/>
          <w:iCs/>
        </w:rPr>
        <w:t xml:space="preserve">A des </w:t>
      </w:r>
      <w:r w:rsidR="00DC1F9F" w:rsidRPr="009118AB">
        <w:rPr>
          <w:i/>
          <w:iCs/>
        </w:rPr>
        <w:t>G. vom 22. Dezember 2009</w:t>
      </w:r>
      <w:r w:rsidR="00182717" w:rsidRPr="009118AB">
        <w:rPr>
          <w:i/>
          <w:iCs/>
        </w:rPr>
        <w:t> </w:t>
      </w:r>
      <w:r w:rsidR="00DC1F9F" w:rsidRPr="009118AB">
        <w:rPr>
          <w:i/>
          <w:iCs/>
        </w:rPr>
        <w:t>(I)</w:t>
      </w:r>
      <w:r w:rsidRPr="009118AB">
        <w:rPr>
          <w:i/>
          <w:iCs/>
        </w:rPr>
        <w:t xml:space="preserve"> (B.S. vom 31. Dezember 2009)</w:t>
      </w:r>
      <w:r w:rsidR="00D67EB8" w:rsidRPr="009118AB">
        <w:rPr>
          <w:i/>
          <w:iCs/>
        </w:rPr>
        <w:t> - </w:t>
      </w:r>
      <w:r w:rsidRPr="009118AB">
        <w:rPr>
          <w:i/>
          <w:iCs/>
        </w:rPr>
        <w:t>anwendbar ab dem Steuerjahr 2010</w:t>
      </w:r>
      <w:r w:rsidR="003366D9" w:rsidRPr="009118AB">
        <w:rPr>
          <w:i/>
          <w:iCs/>
        </w:rPr>
        <w:t> -;</w:t>
      </w:r>
      <w:r w:rsidR="006D018E" w:rsidRPr="009118AB">
        <w:rPr>
          <w:i/>
          <w:iCs/>
        </w:rPr>
        <w:t xml:space="preserve"> </w:t>
      </w:r>
      <w:r w:rsidR="00D67EB8" w:rsidRPr="009118AB">
        <w:rPr>
          <w:i/>
          <w:iCs/>
        </w:rPr>
        <w:t>§ </w:t>
      </w:r>
      <w:r w:rsidR="006D018E" w:rsidRPr="009118AB">
        <w:rPr>
          <w:i/>
          <w:iCs/>
        </w:rPr>
        <w:t xml:space="preserve">1 einziger Absatz </w:t>
      </w:r>
      <w:r w:rsidR="00D67EB8" w:rsidRPr="009118AB">
        <w:rPr>
          <w:i/>
          <w:iCs/>
        </w:rPr>
        <w:t>Nr. </w:t>
      </w:r>
      <w:r w:rsidR="006D018E" w:rsidRPr="009118AB">
        <w:rPr>
          <w:rFonts w:hint="eastAsia"/>
          <w:i/>
          <w:iCs/>
        </w:rPr>
        <w:t>1</w:t>
      </w:r>
      <w:r w:rsidR="006D018E" w:rsidRPr="009118AB">
        <w:rPr>
          <w:i/>
          <w:iCs/>
        </w:rPr>
        <w:t xml:space="preserve"> abgeändert durch </w:t>
      </w:r>
      <w:r w:rsidR="00D67EB8" w:rsidRPr="009118AB">
        <w:rPr>
          <w:i/>
          <w:iCs/>
        </w:rPr>
        <w:t>Art. </w:t>
      </w:r>
      <w:r w:rsidR="006D018E" w:rsidRPr="009118AB">
        <w:rPr>
          <w:i/>
          <w:iCs/>
        </w:rPr>
        <w:t xml:space="preserve">3 </w:t>
      </w:r>
      <w:r w:rsidR="00D67EB8" w:rsidRPr="009118AB">
        <w:rPr>
          <w:i/>
          <w:iCs/>
        </w:rPr>
        <w:t>Nr. </w:t>
      </w:r>
      <w:r w:rsidR="006D018E" w:rsidRPr="009118AB">
        <w:rPr>
          <w:rFonts w:hint="eastAsia"/>
          <w:i/>
          <w:iCs/>
        </w:rPr>
        <w:t>1</w:t>
      </w:r>
      <w:r w:rsidR="006D018E" w:rsidRPr="009118AB">
        <w:rPr>
          <w:i/>
          <w:iCs/>
        </w:rPr>
        <w:t xml:space="preserve"> des G. vom 25. Dezember 2017 (II) (B.S. vom 29. Dezember 2017); </w:t>
      </w:r>
      <w:r w:rsidR="00D67EB8" w:rsidRPr="009118AB">
        <w:rPr>
          <w:i/>
          <w:iCs/>
        </w:rPr>
        <w:t>§ </w:t>
      </w:r>
      <w:r w:rsidR="008B4D3F" w:rsidRPr="009118AB">
        <w:rPr>
          <w:i/>
          <w:iCs/>
        </w:rPr>
        <w:t xml:space="preserve">2 </w:t>
      </w:r>
      <w:r w:rsidR="00D25A5A" w:rsidRPr="009118AB">
        <w:rPr>
          <w:i/>
          <w:iCs/>
        </w:rPr>
        <w:t xml:space="preserve">Abs. 1 (früherer </w:t>
      </w:r>
      <w:r w:rsidR="008B4D3F" w:rsidRPr="009118AB">
        <w:rPr>
          <w:i/>
          <w:iCs/>
        </w:rPr>
        <w:t>einziger Absatz</w:t>
      </w:r>
      <w:r w:rsidR="00D25A5A" w:rsidRPr="009118AB">
        <w:rPr>
          <w:i/>
          <w:iCs/>
        </w:rPr>
        <w:t>)</w:t>
      </w:r>
      <w:r w:rsidR="008B4D3F" w:rsidRPr="009118AB">
        <w:rPr>
          <w:i/>
          <w:iCs/>
        </w:rPr>
        <w:t xml:space="preserve"> einleitende Bestimmung abgeändert durch </w:t>
      </w:r>
      <w:r w:rsidR="00D67EB8" w:rsidRPr="009118AB">
        <w:rPr>
          <w:i/>
          <w:iCs/>
        </w:rPr>
        <w:t>Art. </w:t>
      </w:r>
      <w:r w:rsidR="008B4D3F" w:rsidRPr="009118AB">
        <w:rPr>
          <w:i/>
          <w:iCs/>
        </w:rPr>
        <w:t xml:space="preserve">3 </w:t>
      </w:r>
      <w:r w:rsidR="00D67EB8" w:rsidRPr="009118AB">
        <w:rPr>
          <w:i/>
          <w:iCs/>
        </w:rPr>
        <w:t>Nr. </w:t>
      </w:r>
      <w:r w:rsidR="008B4D3F" w:rsidRPr="009118AB">
        <w:rPr>
          <w:i/>
          <w:iCs/>
        </w:rPr>
        <w:t xml:space="preserve">2 des G. vom 25. Dezember 2017 (II) (B.S. vom 29. Dezember 2017); </w:t>
      </w:r>
      <w:r w:rsidR="00D67EB8" w:rsidRPr="009118AB">
        <w:rPr>
          <w:i/>
          <w:iCs/>
        </w:rPr>
        <w:t>§ </w:t>
      </w:r>
      <w:r w:rsidR="006D018E" w:rsidRPr="009118AB">
        <w:rPr>
          <w:i/>
          <w:iCs/>
        </w:rPr>
        <w:t xml:space="preserve">2 </w:t>
      </w:r>
      <w:r w:rsidR="00D25A5A" w:rsidRPr="009118AB">
        <w:rPr>
          <w:i/>
          <w:iCs/>
        </w:rPr>
        <w:t>Abs. 1</w:t>
      </w:r>
      <w:r w:rsidR="006D018E" w:rsidRPr="009118AB">
        <w:rPr>
          <w:i/>
          <w:iCs/>
        </w:rPr>
        <w:t xml:space="preserve"> </w:t>
      </w:r>
      <w:r w:rsidR="00D67EB8" w:rsidRPr="009118AB">
        <w:rPr>
          <w:i/>
          <w:iCs/>
        </w:rPr>
        <w:t>Nr. </w:t>
      </w:r>
      <w:r w:rsidR="006D018E" w:rsidRPr="009118AB">
        <w:rPr>
          <w:i/>
          <w:iCs/>
        </w:rPr>
        <w:t xml:space="preserve">1 bis 3 abgeändert durch </w:t>
      </w:r>
      <w:r w:rsidR="00D67EB8" w:rsidRPr="009118AB">
        <w:rPr>
          <w:i/>
          <w:iCs/>
        </w:rPr>
        <w:t>Art. </w:t>
      </w:r>
      <w:r w:rsidR="006D018E" w:rsidRPr="009118AB">
        <w:rPr>
          <w:i/>
          <w:iCs/>
        </w:rPr>
        <w:t xml:space="preserve">3 </w:t>
      </w:r>
      <w:r w:rsidR="00D67EB8" w:rsidRPr="009118AB">
        <w:rPr>
          <w:i/>
          <w:iCs/>
        </w:rPr>
        <w:t>Nr. </w:t>
      </w:r>
      <w:r w:rsidR="006D018E" w:rsidRPr="009118AB">
        <w:rPr>
          <w:i/>
          <w:iCs/>
        </w:rPr>
        <w:t>2 des G. vom 25. Dezember 2017 (II) (B.S. vom 29. Dezember 2017);</w:t>
      </w:r>
      <w:r w:rsidR="00DF211E" w:rsidRPr="009118AB">
        <w:rPr>
          <w:i/>
          <w:iCs/>
        </w:rPr>
        <w:t xml:space="preserve"> </w:t>
      </w:r>
      <w:r w:rsidR="00D67EB8" w:rsidRPr="009118AB">
        <w:rPr>
          <w:i/>
          <w:iCs/>
        </w:rPr>
        <w:t>§ </w:t>
      </w:r>
      <w:r w:rsidR="00D4566A" w:rsidRPr="009118AB">
        <w:rPr>
          <w:i/>
          <w:iCs/>
        </w:rPr>
        <w:t xml:space="preserve">2 </w:t>
      </w:r>
      <w:r w:rsidR="00F06899" w:rsidRPr="009118AB">
        <w:rPr>
          <w:i/>
          <w:iCs/>
        </w:rPr>
        <w:t>Abs. 1</w:t>
      </w:r>
      <w:r w:rsidR="00D4566A" w:rsidRPr="009118AB">
        <w:rPr>
          <w:i/>
          <w:iCs/>
        </w:rPr>
        <w:t xml:space="preserve"> </w:t>
      </w:r>
      <w:r w:rsidR="00D67EB8" w:rsidRPr="009118AB">
        <w:rPr>
          <w:i/>
          <w:iCs/>
        </w:rPr>
        <w:t>Nr. </w:t>
      </w:r>
      <w:r w:rsidR="00D4566A" w:rsidRPr="009118AB">
        <w:rPr>
          <w:i/>
          <w:iCs/>
        </w:rPr>
        <w:t xml:space="preserve">4 abgeändert durch </w:t>
      </w:r>
      <w:r w:rsidR="00D67EB8" w:rsidRPr="009118AB">
        <w:rPr>
          <w:i/>
          <w:iCs/>
        </w:rPr>
        <w:t>Art. </w:t>
      </w:r>
      <w:r w:rsidR="00D4566A" w:rsidRPr="009118AB">
        <w:rPr>
          <w:i/>
          <w:iCs/>
        </w:rPr>
        <w:t>2 des G. vom 14. April 2013 (B.S. vom 1. August 2013)</w:t>
      </w:r>
      <w:r w:rsidR="006D018E" w:rsidRPr="009118AB">
        <w:rPr>
          <w:i/>
          <w:iCs/>
        </w:rPr>
        <w:t xml:space="preserve"> und </w:t>
      </w:r>
      <w:r w:rsidR="00D67EB8" w:rsidRPr="009118AB">
        <w:rPr>
          <w:i/>
          <w:iCs/>
        </w:rPr>
        <w:t>Art. </w:t>
      </w:r>
      <w:r w:rsidR="006D018E" w:rsidRPr="009118AB">
        <w:rPr>
          <w:rFonts w:hint="eastAsia"/>
          <w:i/>
          <w:iCs/>
        </w:rPr>
        <w:t>3</w:t>
      </w:r>
      <w:r w:rsidR="006D018E" w:rsidRPr="009118AB">
        <w:rPr>
          <w:i/>
          <w:iCs/>
        </w:rPr>
        <w:t xml:space="preserve"> </w:t>
      </w:r>
      <w:r w:rsidR="00D67EB8" w:rsidRPr="009118AB">
        <w:rPr>
          <w:i/>
          <w:iCs/>
        </w:rPr>
        <w:t>Nr. </w:t>
      </w:r>
      <w:r w:rsidR="006D018E" w:rsidRPr="009118AB">
        <w:rPr>
          <w:rFonts w:hint="eastAsia"/>
          <w:i/>
          <w:iCs/>
        </w:rPr>
        <w:t>2</w:t>
      </w:r>
      <w:r w:rsidR="006D018E" w:rsidRPr="009118AB">
        <w:rPr>
          <w:i/>
          <w:iCs/>
        </w:rPr>
        <w:t xml:space="preserve"> des G. vom 25. Dezember 2017 (II) (B.S. vom 29. Dezember 2017)</w:t>
      </w:r>
      <w:r w:rsidR="00D4566A" w:rsidRPr="009118AB">
        <w:rPr>
          <w:i/>
          <w:iCs/>
        </w:rPr>
        <w:t xml:space="preserve">; </w:t>
      </w:r>
      <w:r w:rsidR="00D67EB8" w:rsidRPr="009118AB">
        <w:rPr>
          <w:i/>
          <w:iCs/>
        </w:rPr>
        <w:t>§ </w:t>
      </w:r>
      <w:r w:rsidR="00A47CA9" w:rsidRPr="009118AB">
        <w:rPr>
          <w:i/>
          <w:iCs/>
        </w:rPr>
        <w:t xml:space="preserve">2 </w:t>
      </w:r>
      <w:r w:rsidR="00182717" w:rsidRPr="009118AB">
        <w:rPr>
          <w:i/>
          <w:iCs/>
        </w:rPr>
        <w:t>Abs. 1</w:t>
      </w:r>
      <w:r w:rsidR="00A47CA9" w:rsidRPr="009118AB">
        <w:rPr>
          <w:i/>
          <w:iCs/>
        </w:rPr>
        <w:t xml:space="preserve"> </w:t>
      </w:r>
      <w:r w:rsidR="00D67EB8" w:rsidRPr="009118AB">
        <w:rPr>
          <w:i/>
          <w:iCs/>
        </w:rPr>
        <w:t>Nr. </w:t>
      </w:r>
      <w:r w:rsidR="00A47CA9" w:rsidRPr="009118AB">
        <w:rPr>
          <w:i/>
          <w:iCs/>
        </w:rPr>
        <w:t xml:space="preserve">5 abgeändert durch </w:t>
      </w:r>
      <w:r w:rsidR="00D67EB8" w:rsidRPr="009118AB">
        <w:rPr>
          <w:i/>
          <w:iCs/>
        </w:rPr>
        <w:t>Art. </w:t>
      </w:r>
      <w:r w:rsidR="00A47CA9" w:rsidRPr="009118AB">
        <w:rPr>
          <w:i/>
          <w:iCs/>
        </w:rPr>
        <w:t>3 des G. vom 6. Dezember 2015 (B.S. vom 17. Dezember 2015)</w:t>
      </w:r>
      <w:r w:rsidR="00D67EB8" w:rsidRPr="009118AB">
        <w:rPr>
          <w:i/>
          <w:iCs/>
        </w:rPr>
        <w:t> - </w:t>
      </w:r>
      <w:r w:rsidR="00A47CA9" w:rsidRPr="009118AB">
        <w:rPr>
          <w:i/>
          <w:iCs/>
        </w:rPr>
        <w:t xml:space="preserve">anwendbar </w:t>
      </w:r>
      <w:r w:rsidR="00D7183A" w:rsidRPr="009118AB">
        <w:rPr>
          <w:i/>
          <w:iCs/>
        </w:rPr>
        <w:t>auf die ab dem 1. Januar 2016 bewilligten Mahlzeitschecks</w:t>
      </w:r>
      <w:r w:rsidR="00D67EB8" w:rsidRPr="009118AB">
        <w:rPr>
          <w:i/>
          <w:iCs/>
        </w:rPr>
        <w:t> - </w:t>
      </w:r>
      <w:r w:rsidR="006D018E" w:rsidRPr="009118AB">
        <w:rPr>
          <w:i/>
          <w:iCs/>
        </w:rPr>
        <w:t xml:space="preserve">und </w:t>
      </w:r>
      <w:r w:rsidR="00D67EB8" w:rsidRPr="009118AB">
        <w:rPr>
          <w:i/>
          <w:iCs/>
        </w:rPr>
        <w:t>Art. </w:t>
      </w:r>
      <w:r w:rsidR="006D018E" w:rsidRPr="009118AB">
        <w:rPr>
          <w:rFonts w:hint="eastAsia"/>
          <w:i/>
          <w:iCs/>
        </w:rPr>
        <w:t>3</w:t>
      </w:r>
      <w:r w:rsidR="006D018E" w:rsidRPr="009118AB">
        <w:rPr>
          <w:i/>
          <w:iCs/>
        </w:rPr>
        <w:t xml:space="preserve"> </w:t>
      </w:r>
      <w:r w:rsidR="00D67EB8" w:rsidRPr="009118AB">
        <w:rPr>
          <w:i/>
          <w:iCs/>
        </w:rPr>
        <w:t>Nr. </w:t>
      </w:r>
      <w:r w:rsidR="006D018E" w:rsidRPr="009118AB">
        <w:rPr>
          <w:rFonts w:hint="eastAsia"/>
          <w:i/>
          <w:iCs/>
        </w:rPr>
        <w:t>2</w:t>
      </w:r>
      <w:r w:rsidR="006D018E" w:rsidRPr="009118AB">
        <w:rPr>
          <w:i/>
          <w:iCs/>
        </w:rPr>
        <w:t xml:space="preserve"> des G. vom 25. Dezember 2017 (II) (B.S. vom 29. Dezember 2017)</w:t>
      </w:r>
      <w:r w:rsidR="00D7183A" w:rsidRPr="009118AB">
        <w:rPr>
          <w:i/>
          <w:iCs/>
        </w:rPr>
        <w:t xml:space="preserve">; </w:t>
      </w:r>
      <w:r w:rsidR="00182717" w:rsidRPr="009118AB">
        <w:rPr>
          <w:i/>
          <w:iCs/>
        </w:rPr>
        <w:t xml:space="preserve">§ 2 Abs. 2 eingefügt durch Art. 6 Nr. 1 des G. vom 21. Dezember 2022 (II) (B.S. vom 29. Dezember 2022) - wirksam mit 1. Dezember 2022 -; </w:t>
      </w:r>
      <w:r w:rsidR="00AA2534">
        <w:rPr>
          <w:i/>
          <w:iCs/>
        </w:rPr>
        <w:t>§ 3 Abs. 1 Nr. 3 abgeändert durch Art. 8 Nr. 1 des G. vom 29. März 2024 (B.S. vom 16. Mai 2024) - anwendbar auf die ab dem 1. Juli 2024 ausge</w:t>
      </w:r>
      <w:r w:rsidR="00A2201B">
        <w:rPr>
          <w:i/>
          <w:iCs/>
        </w:rPr>
        <w:t>stellt</w:t>
      </w:r>
      <w:r w:rsidR="00AA2534">
        <w:rPr>
          <w:i/>
          <w:iCs/>
        </w:rPr>
        <w:t>en Sche</w:t>
      </w:r>
      <w:r w:rsidR="00E36CB6">
        <w:rPr>
          <w:i/>
          <w:iCs/>
        </w:rPr>
        <w:t>c</w:t>
      </w:r>
      <w:r w:rsidR="00AA2534">
        <w:rPr>
          <w:i/>
          <w:iCs/>
        </w:rPr>
        <w:t xml:space="preserve">ks -; § 3 Abs. 2 </w:t>
      </w:r>
      <w:r w:rsidR="00AA2534">
        <w:rPr>
          <w:i/>
          <w:iCs/>
        </w:rPr>
        <w:lastRenderedPageBreak/>
        <w:t xml:space="preserve">eingefügt durch Art. 8 Nr. 2 des G. vom 29. März 2024 (B.S. vom 16. Mai 2024) - in Kraft ab dem 1. Juli 2024 -; </w:t>
      </w:r>
      <w:r w:rsidR="00D67EB8" w:rsidRPr="009118AB">
        <w:rPr>
          <w:i/>
          <w:iCs/>
        </w:rPr>
        <w:t>§ </w:t>
      </w:r>
      <w:r w:rsidR="00DF211E" w:rsidRPr="009118AB">
        <w:rPr>
          <w:i/>
          <w:iCs/>
        </w:rPr>
        <w:t xml:space="preserve">4 </w:t>
      </w:r>
      <w:r w:rsidR="00182717" w:rsidRPr="009118AB">
        <w:rPr>
          <w:i/>
          <w:iCs/>
        </w:rPr>
        <w:t xml:space="preserve">Abs. 1 (früherer </w:t>
      </w:r>
      <w:r w:rsidR="00DF211E" w:rsidRPr="009118AB">
        <w:rPr>
          <w:i/>
          <w:iCs/>
        </w:rPr>
        <w:t>einziger Absatz</w:t>
      </w:r>
      <w:r w:rsidR="00182717" w:rsidRPr="009118AB">
        <w:rPr>
          <w:i/>
          <w:iCs/>
        </w:rPr>
        <w:t>)</w:t>
      </w:r>
      <w:r w:rsidR="00DF211E" w:rsidRPr="009118AB">
        <w:rPr>
          <w:i/>
          <w:iCs/>
        </w:rPr>
        <w:t xml:space="preserve"> </w:t>
      </w:r>
      <w:r w:rsidR="00D67EB8" w:rsidRPr="009118AB">
        <w:rPr>
          <w:i/>
          <w:iCs/>
        </w:rPr>
        <w:t>Nr. </w:t>
      </w:r>
      <w:r w:rsidR="00DF211E" w:rsidRPr="009118AB">
        <w:rPr>
          <w:i/>
          <w:iCs/>
        </w:rPr>
        <w:t xml:space="preserve">6 abgeändert durch </w:t>
      </w:r>
      <w:r w:rsidR="00D67EB8" w:rsidRPr="009118AB">
        <w:rPr>
          <w:i/>
          <w:iCs/>
        </w:rPr>
        <w:t>Art. </w:t>
      </w:r>
      <w:r w:rsidR="00DF211E" w:rsidRPr="009118AB">
        <w:rPr>
          <w:i/>
          <w:iCs/>
        </w:rPr>
        <w:t>6 Buchstabe</w:t>
      </w:r>
      <w:r w:rsidR="00182717" w:rsidRPr="009118AB">
        <w:rPr>
          <w:i/>
          <w:iCs/>
        </w:rPr>
        <w:t> </w:t>
      </w:r>
      <w:r w:rsidR="00DF211E" w:rsidRPr="009118AB">
        <w:rPr>
          <w:i/>
          <w:iCs/>
        </w:rPr>
        <w:t xml:space="preserve">B des </w:t>
      </w:r>
      <w:r w:rsidR="00DC1F9F" w:rsidRPr="009118AB">
        <w:rPr>
          <w:i/>
          <w:iCs/>
        </w:rPr>
        <w:t>G.</w:t>
      </w:r>
      <w:r w:rsidR="00D7183A" w:rsidRPr="009118AB">
        <w:rPr>
          <w:i/>
          <w:iCs/>
        </w:rPr>
        <w:t xml:space="preserve"> vom 22. Dezember 2009 </w:t>
      </w:r>
      <w:r w:rsidR="00DC1F9F" w:rsidRPr="009118AB">
        <w:rPr>
          <w:i/>
          <w:iCs/>
        </w:rPr>
        <w:t>(I)</w:t>
      </w:r>
      <w:r w:rsidR="00DF211E" w:rsidRPr="009118AB">
        <w:rPr>
          <w:i/>
          <w:iCs/>
        </w:rPr>
        <w:t xml:space="preserve"> (B.S. vom 31. Dezember 2009)</w:t>
      </w:r>
      <w:r w:rsidR="00D67EB8" w:rsidRPr="009118AB">
        <w:rPr>
          <w:i/>
          <w:iCs/>
        </w:rPr>
        <w:t> - </w:t>
      </w:r>
      <w:r w:rsidR="00DF211E" w:rsidRPr="009118AB">
        <w:rPr>
          <w:i/>
          <w:iCs/>
        </w:rPr>
        <w:t>anwendbar ab dem Steuerjahr 2011</w:t>
      </w:r>
      <w:r w:rsidR="00FD68E8" w:rsidRPr="009118AB">
        <w:rPr>
          <w:i/>
          <w:iCs/>
        </w:rPr>
        <w:t> -</w:t>
      </w:r>
      <w:r w:rsidR="00182717" w:rsidRPr="009118AB">
        <w:rPr>
          <w:i/>
          <w:iCs/>
        </w:rPr>
        <w:t>; § 4 Abs. 2 eingefügt durch Art. 6 Nr. 2 des G. vom 21. Dezember 2022 (II) (B.S. vom 29. Dezember 2022) - wirksam mit 1. Dezember 2022 -</w:t>
      </w:r>
      <w:r w:rsidR="00FD68E8" w:rsidRPr="009118AB">
        <w:rPr>
          <w:i/>
          <w:iCs/>
        </w:rPr>
        <w:t>]</w:t>
      </w:r>
    </w:p>
    <w:p w14:paraId="2CE96E39" w14:textId="77777777" w:rsidR="001E243B" w:rsidRPr="009118AB" w:rsidRDefault="001E243B" w:rsidP="0045589A">
      <w:pPr>
        <w:autoSpaceDE w:val="0"/>
        <w:autoSpaceDN w:val="0"/>
        <w:adjustRightInd w:val="0"/>
        <w:jc w:val="both"/>
        <w:rPr>
          <w:i/>
          <w:iCs/>
        </w:rPr>
      </w:pPr>
    </w:p>
    <w:p w14:paraId="12364233" w14:textId="77777777" w:rsidR="00D7183A" w:rsidRPr="009118AB" w:rsidRDefault="00D7183A" w:rsidP="0045589A">
      <w:pPr>
        <w:autoSpaceDE w:val="0"/>
        <w:autoSpaceDN w:val="0"/>
        <w:adjustRightInd w:val="0"/>
        <w:jc w:val="both"/>
        <w:rPr>
          <w:i/>
          <w:iCs/>
        </w:rPr>
      </w:pPr>
    </w:p>
    <w:p w14:paraId="46964890" w14:textId="76100D63" w:rsidR="00060039" w:rsidRPr="009118AB" w:rsidRDefault="00477B8F" w:rsidP="00060039">
      <w:pPr>
        <w:autoSpaceDE w:val="0"/>
        <w:autoSpaceDN w:val="0"/>
        <w:adjustRightInd w:val="0"/>
        <w:jc w:val="both"/>
      </w:pPr>
      <w:r w:rsidRPr="009118AB">
        <w:tab/>
      </w:r>
    </w:p>
    <w:p w14:paraId="0E6A9255" w14:textId="77777777" w:rsidR="00477B8F" w:rsidRPr="009118AB" w:rsidRDefault="00060039" w:rsidP="00060039">
      <w:pPr>
        <w:autoSpaceDE w:val="0"/>
        <w:autoSpaceDN w:val="0"/>
        <w:adjustRightInd w:val="0"/>
        <w:jc w:val="both"/>
      </w:pPr>
      <w:r w:rsidRPr="009118AB">
        <w:br w:type="page"/>
      </w:r>
      <w:r w:rsidRPr="009118AB">
        <w:lastRenderedPageBreak/>
        <w:tab/>
      </w:r>
      <w:r w:rsidR="00477B8F" w:rsidRPr="009118AB">
        <w:rPr>
          <w:i/>
          <w:iCs/>
        </w:rPr>
        <w:t>B.</w:t>
      </w:r>
      <w:r w:rsidR="00477B8F" w:rsidRPr="009118AB">
        <w:t xml:space="preserve"> Steuerfreie Pensionen, Renten, Kapitalien, Sparguthaben und Rückkaufswerte</w:t>
      </w:r>
    </w:p>
    <w:p w14:paraId="297C8E70" w14:textId="77777777" w:rsidR="00477B8F" w:rsidRPr="009118AB" w:rsidRDefault="00477B8F" w:rsidP="00CB66B4">
      <w:pPr>
        <w:autoSpaceDE w:val="0"/>
        <w:autoSpaceDN w:val="0"/>
        <w:adjustRightInd w:val="0"/>
        <w:jc w:val="both"/>
      </w:pPr>
    </w:p>
    <w:p w14:paraId="2A712413" w14:textId="77777777" w:rsidR="00477B8F" w:rsidRPr="009118AB" w:rsidRDefault="00477B8F" w:rsidP="00CB66B4">
      <w:pPr>
        <w:autoSpaceDE w:val="0"/>
        <w:autoSpaceDN w:val="0"/>
        <w:adjustRightInd w:val="0"/>
        <w:jc w:val="both"/>
      </w:pPr>
    </w:p>
    <w:p w14:paraId="5181A805" w14:textId="22A91F84" w:rsidR="00FF78E3" w:rsidRPr="009118AB" w:rsidRDefault="00477B8F" w:rsidP="000661E7">
      <w:pPr>
        <w:autoSpaceDE w:val="0"/>
        <w:autoSpaceDN w:val="0"/>
        <w:adjustRightInd w:val="0"/>
        <w:jc w:val="both"/>
      </w:pPr>
      <w:r w:rsidRPr="009118AB">
        <w:tab/>
      </w:r>
      <w:r w:rsidR="00D67EB8" w:rsidRPr="009118AB">
        <w:rPr>
          <w:b/>
          <w:bCs/>
        </w:rPr>
        <w:t>Art. </w:t>
      </w:r>
      <w:r w:rsidRPr="009118AB">
        <w:rPr>
          <w:b/>
          <w:bCs/>
        </w:rPr>
        <w:t>39</w:t>
      </w:r>
      <w:r w:rsidR="00D67EB8" w:rsidRPr="009118AB">
        <w:t> - </w:t>
      </w:r>
      <w:r w:rsidR="00FF78E3" w:rsidRPr="009118AB">
        <w:t>[</w:t>
      </w:r>
      <w:r w:rsidR="00D67EB8" w:rsidRPr="009118AB">
        <w:t>§ </w:t>
      </w:r>
      <w:r w:rsidR="00FF78E3" w:rsidRPr="009118AB">
        <w:t>1</w:t>
      </w:r>
      <w:r w:rsidR="00D67EB8" w:rsidRPr="009118AB">
        <w:t> - </w:t>
      </w:r>
      <w:r w:rsidR="00FF78E3" w:rsidRPr="009118AB">
        <w:t xml:space="preserve">In Artikel 34 </w:t>
      </w:r>
      <w:r w:rsidR="00D67EB8" w:rsidRPr="009118AB">
        <w:t>§ </w:t>
      </w:r>
      <w:r w:rsidR="00FF78E3" w:rsidRPr="009118AB">
        <w:t xml:space="preserve">1 </w:t>
      </w:r>
      <w:r w:rsidR="00D67EB8" w:rsidRPr="009118AB">
        <w:t>Nr. </w:t>
      </w:r>
      <w:r w:rsidR="00FF78E3" w:rsidRPr="009118AB">
        <w:t>1 erwähnte Pensionen, Leib- oder Zeitrenten und als solche geltende Zulagen, die in Anwendung der Rechtsvorschriften über Arbeitsunfälle oder Berufskrankheiten im Falle einer bleibenden Unfähigkeit zuerkannt werden, sind in dem Maße steuerfrei, als sie keine Entschädigung für einen dauerhaften Gewinn-, Lohn- oder Profitausfall darstellen.</w:t>
      </w:r>
    </w:p>
    <w:p w14:paraId="7617ADB7" w14:textId="77777777" w:rsidR="00FF78E3" w:rsidRPr="009118AB" w:rsidRDefault="00FF78E3" w:rsidP="00FF78E3">
      <w:pPr>
        <w:tabs>
          <w:tab w:val="left" w:pos="0"/>
        </w:tabs>
        <w:autoSpaceDE w:val="0"/>
        <w:autoSpaceDN w:val="0"/>
        <w:adjustRightInd w:val="0"/>
        <w:jc w:val="both"/>
      </w:pPr>
    </w:p>
    <w:p w14:paraId="057046E3" w14:textId="77777777" w:rsidR="00FF78E3" w:rsidRPr="009118AB" w:rsidRDefault="00FF78E3" w:rsidP="000661E7">
      <w:pPr>
        <w:tabs>
          <w:tab w:val="left" w:pos="0"/>
        </w:tabs>
        <w:autoSpaceDE w:val="0"/>
        <w:autoSpaceDN w:val="0"/>
        <w:adjustRightInd w:val="0"/>
        <w:ind w:firstLine="709"/>
        <w:jc w:val="both"/>
      </w:pPr>
      <w:r w:rsidRPr="009118AB">
        <w:t>In vorhergehendem Absatz erwähnte Pensionen, Renten und als solche geltende Zulagen, die entweder aufgrund eines Arbeitsunfalls beziehungsweise einer Berufskrankheit, die zu einem Invaliditätsgrad unter 20 Prozent geführt haben, oder zusätzlich zu einer Ruhestands- oder Hinterbliebenenpension bewilligt werden, gelten insbesondere nicht als Entschädigung für einen solchen Ausfall.</w:t>
      </w:r>
    </w:p>
    <w:p w14:paraId="3F5C1A41" w14:textId="77777777" w:rsidR="00FF78E3" w:rsidRPr="009118AB" w:rsidRDefault="00FF78E3" w:rsidP="000661E7">
      <w:pPr>
        <w:tabs>
          <w:tab w:val="left" w:pos="0"/>
        </w:tabs>
        <w:autoSpaceDE w:val="0"/>
        <w:autoSpaceDN w:val="0"/>
        <w:adjustRightInd w:val="0"/>
        <w:ind w:firstLine="709"/>
        <w:jc w:val="both"/>
      </w:pPr>
    </w:p>
    <w:p w14:paraId="4B67F466" w14:textId="77777777" w:rsidR="00FF78E3" w:rsidRPr="009118AB" w:rsidRDefault="00FF78E3" w:rsidP="000661E7">
      <w:pPr>
        <w:tabs>
          <w:tab w:val="left" w:pos="0"/>
        </w:tabs>
        <w:autoSpaceDE w:val="0"/>
        <w:autoSpaceDN w:val="0"/>
        <w:adjustRightInd w:val="0"/>
        <w:ind w:firstLine="709"/>
        <w:jc w:val="both"/>
      </w:pPr>
      <w:r w:rsidRPr="009118AB">
        <w:t>In Fällen, die nicht in Absatz 2 erwähnt sind, gelten in Absatz 1 erwähnte Pensionen, Renten und als solche geltende Zulagen außer bei Beweis des Gegenteils nicht als Entschädigung für einen dauerhaften Gewinn-, Lohn- oder Profitausfall, und zwar im Verhältnis zum Anteil der vollständigen Entschädigung multipliziert mit einem Bruch, dessen Zähler 20 Prozent beträgt und dessen Nenner dem in Prozent ausgedrückten Invaliditätsgrad entspricht.]</w:t>
      </w:r>
    </w:p>
    <w:p w14:paraId="6E17BD27" w14:textId="77777777" w:rsidR="00FF78E3" w:rsidRPr="009118AB" w:rsidRDefault="00FF78E3" w:rsidP="000661E7">
      <w:pPr>
        <w:tabs>
          <w:tab w:val="left" w:pos="0"/>
        </w:tabs>
        <w:autoSpaceDE w:val="0"/>
        <w:autoSpaceDN w:val="0"/>
        <w:adjustRightInd w:val="0"/>
        <w:ind w:firstLine="709"/>
        <w:jc w:val="both"/>
      </w:pPr>
    </w:p>
    <w:p w14:paraId="1FC061AE" w14:textId="7E3F77F4" w:rsidR="00FF78E3" w:rsidRPr="009118AB" w:rsidRDefault="00FF78E3" w:rsidP="000661E7">
      <w:pPr>
        <w:tabs>
          <w:tab w:val="left" w:pos="0"/>
        </w:tabs>
        <w:autoSpaceDE w:val="0"/>
        <w:autoSpaceDN w:val="0"/>
        <w:adjustRightInd w:val="0"/>
        <w:ind w:firstLine="709"/>
        <w:jc w:val="both"/>
      </w:pPr>
      <w:r w:rsidRPr="009118AB">
        <w:t>[</w:t>
      </w:r>
      <w:r w:rsidR="00D67EB8" w:rsidRPr="009118AB">
        <w:t>§ </w:t>
      </w:r>
      <w:r w:rsidRPr="009118AB">
        <w:t>2]</w:t>
      </w:r>
      <w:r w:rsidR="00D67EB8" w:rsidRPr="009118AB">
        <w:t> - </w:t>
      </w:r>
      <w:r w:rsidRPr="009118AB">
        <w:t>Pensionen, [ergänzende Pensionen,] Renten, Kapitalien, Sparguthaben und Rückkaufswerte sind steuerfrei:</w:t>
      </w:r>
    </w:p>
    <w:p w14:paraId="327001E4" w14:textId="77777777" w:rsidR="00FF78E3" w:rsidRPr="009118AB" w:rsidRDefault="00FF78E3" w:rsidP="000661E7">
      <w:pPr>
        <w:tabs>
          <w:tab w:val="left" w:pos="0"/>
        </w:tabs>
        <w:autoSpaceDE w:val="0"/>
        <w:autoSpaceDN w:val="0"/>
        <w:adjustRightInd w:val="0"/>
        <w:ind w:firstLine="709"/>
        <w:jc w:val="both"/>
      </w:pPr>
    </w:p>
    <w:p w14:paraId="0E054BB7" w14:textId="77777777" w:rsidR="00FF78E3" w:rsidRPr="009118AB" w:rsidRDefault="00FF78E3" w:rsidP="000661E7">
      <w:pPr>
        <w:tabs>
          <w:tab w:val="left" w:pos="0"/>
        </w:tabs>
        <w:autoSpaceDE w:val="0"/>
        <w:autoSpaceDN w:val="0"/>
        <w:adjustRightInd w:val="0"/>
        <w:ind w:firstLine="709"/>
        <w:jc w:val="both"/>
      </w:pPr>
      <w:r w:rsidRPr="009118AB">
        <w:t>1. sofern und in dem Maße, wie sie gemäß dem Verfahren der Eigenkapitalisierung, die der Lebensversicherung eigen ist, und durch Beiträge, die vor dem 1. Januar 1950 gezahlt wurden, gebildet sind,</w:t>
      </w:r>
    </w:p>
    <w:p w14:paraId="7C3674AF" w14:textId="77777777" w:rsidR="00FF78E3" w:rsidRPr="009118AB" w:rsidRDefault="00FF78E3" w:rsidP="000661E7">
      <w:pPr>
        <w:tabs>
          <w:tab w:val="left" w:pos="0"/>
        </w:tabs>
        <w:autoSpaceDE w:val="0"/>
        <w:autoSpaceDN w:val="0"/>
        <w:adjustRightInd w:val="0"/>
        <w:ind w:firstLine="709"/>
        <w:jc w:val="both"/>
      </w:pPr>
    </w:p>
    <w:p w14:paraId="5027492C" w14:textId="77777777" w:rsidR="00FF78E3" w:rsidRPr="009118AB" w:rsidRDefault="00FF78E3" w:rsidP="000661E7">
      <w:pPr>
        <w:tabs>
          <w:tab w:val="left" w:pos="0"/>
        </w:tabs>
        <w:autoSpaceDE w:val="0"/>
        <w:autoSpaceDN w:val="0"/>
        <w:adjustRightInd w:val="0"/>
        <w:ind w:firstLine="709"/>
        <w:jc w:val="both"/>
      </w:pPr>
      <w:r w:rsidRPr="009118AB">
        <w:t>2. [sofern sie aus einem individuellen Lebensversicherungsvertrag hervorgehen, der zugunsten des Steuerpflichtigen oder der Person, deren Rechtsnachfolger er ist, abgeschlossen wurde, und:</w:t>
      </w:r>
    </w:p>
    <w:p w14:paraId="0E2EF088" w14:textId="77777777" w:rsidR="00FF78E3" w:rsidRPr="009118AB" w:rsidRDefault="00FF78E3" w:rsidP="000661E7">
      <w:pPr>
        <w:tabs>
          <w:tab w:val="left" w:pos="0"/>
        </w:tabs>
        <w:autoSpaceDE w:val="0"/>
        <w:autoSpaceDN w:val="0"/>
        <w:adjustRightInd w:val="0"/>
        <w:ind w:firstLine="709"/>
        <w:jc w:val="both"/>
      </w:pPr>
    </w:p>
    <w:p w14:paraId="39CE5930" w14:textId="2D070D42" w:rsidR="00FF78E3" w:rsidRPr="009118AB" w:rsidRDefault="00FF78E3" w:rsidP="000661E7">
      <w:pPr>
        <w:tabs>
          <w:tab w:val="left" w:pos="0"/>
        </w:tabs>
        <w:autoSpaceDE w:val="0"/>
        <w:autoSpaceDN w:val="0"/>
        <w:adjustRightInd w:val="0"/>
        <w:ind w:firstLine="709"/>
        <w:jc w:val="both"/>
      </w:pPr>
      <w:r w:rsidRPr="009118AB">
        <w:rPr>
          <w:i/>
          <w:iCs/>
        </w:rPr>
        <w:t>a)</w:t>
      </w:r>
      <w:r w:rsidRPr="009118AB">
        <w:t xml:space="preserve"> [keine Steuerbefreiung aufgrund von Bestimmungen, die vor dem Steuerjahr 1993 anwendbar waren, durchgeführt wurde, die in Artikel 145</w:t>
      </w:r>
      <w:r w:rsidRPr="009118AB">
        <w:rPr>
          <w:vertAlign w:val="superscript"/>
        </w:rPr>
        <w:t>1</w:t>
      </w:r>
      <w:r w:rsidRPr="009118AB">
        <w:t xml:space="preserve"> </w:t>
      </w:r>
      <w:r w:rsidR="00D67EB8" w:rsidRPr="009118AB">
        <w:t>Nr. </w:t>
      </w:r>
      <w:r w:rsidRPr="009118AB">
        <w:t>2 erwähnte Steuerermäßigung nicht gewährt wurde und keine regionale Steuerermäßigung oder regionale Steuergutschrift gewährt wurde,]</w:t>
      </w:r>
    </w:p>
    <w:p w14:paraId="3C4060BA" w14:textId="77777777" w:rsidR="00FF78E3" w:rsidRPr="009118AB" w:rsidRDefault="00FF78E3" w:rsidP="000661E7">
      <w:pPr>
        <w:tabs>
          <w:tab w:val="left" w:pos="0"/>
        </w:tabs>
        <w:autoSpaceDE w:val="0"/>
        <w:autoSpaceDN w:val="0"/>
        <w:adjustRightInd w:val="0"/>
        <w:ind w:firstLine="709"/>
        <w:jc w:val="both"/>
      </w:pPr>
    </w:p>
    <w:p w14:paraId="0CCB94B1" w14:textId="77777777" w:rsidR="00FF78E3" w:rsidRPr="009118AB" w:rsidRDefault="00FF78E3" w:rsidP="000661E7">
      <w:pPr>
        <w:tabs>
          <w:tab w:val="left" w:pos="0"/>
        </w:tabs>
        <w:autoSpaceDE w:val="0"/>
        <w:autoSpaceDN w:val="0"/>
        <w:adjustRightInd w:val="0"/>
        <w:ind w:firstLine="709"/>
        <w:jc w:val="both"/>
      </w:pPr>
      <w:r w:rsidRPr="009118AB">
        <w:rPr>
          <w:i/>
          <w:iCs/>
        </w:rPr>
        <w:t>b)</w:t>
      </w:r>
      <w:r w:rsidRPr="009118AB">
        <w:t xml:space="preserve"> die Steuerbefreiung aufgrund von Artikel 15 Absatz 1 des Gesetzes vom 13. Juli 1959 verweigert wurde,</w:t>
      </w:r>
    </w:p>
    <w:p w14:paraId="79140AF6" w14:textId="77777777" w:rsidR="00FF78E3" w:rsidRPr="009118AB" w:rsidRDefault="00FF78E3" w:rsidP="000661E7">
      <w:pPr>
        <w:tabs>
          <w:tab w:val="left" w:pos="0"/>
        </w:tabs>
        <w:autoSpaceDE w:val="0"/>
        <w:autoSpaceDN w:val="0"/>
        <w:adjustRightInd w:val="0"/>
        <w:ind w:firstLine="709"/>
        <w:jc w:val="both"/>
      </w:pPr>
    </w:p>
    <w:p w14:paraId="10F57635" w14:textId="77777777" w:rsidR="00FF78E3" w:rsidRPr="009118AB" w:rsidRDefault="00FF78E3" w:rsidP="000661E7">
      <w:pPr>
        <w:tabs>
          <w:tab w:val="left" w:pos="0"/>
        </w:tabs>
        <w:autoSpaceDE w:val="0"/>
        <w:autoSpaceDN w:val="0"/>
        <w:adjustRightInd w:val="0"/>
        <w:ind w:firstLine="709"/>
        <w:jc w:val="both"/>
      </w:pPr>
      <w:r w:rsidRPr="009118AB">
        <w:rPr>
          <w:i/>
          <w:iCs/>
        </w:rPr>
        <w:t>c)</w:t>
      </w:r>
      <w:r w:rsidRPr="009118AB">
        <w:t xml:space="preserve"> von der Steuerbefreiung gemäß Artikel 15 Absatz 2 des vorerwähnten Gesetzes oder gemäß Artikel 508 abgesehen wurde,</w:t>
      </w:r>
    </w:p>
    <w:p w14:paraId="33C48607" w14:textId="77777777" w:rsidR="00FF78E3" w:rsidRPr="009118AB" w:rsidRDefault="00FF78E3" w:rsidP="000661E7">
      <w:pPr>
        <w:tabs>
          <w:tab w:val="left" w:pos="0"/>
        </w:tabs>
        <w:autoSpaceDE w:val="0"/>
        <w:autoSpaceDN w:val="0"/>
        <w:adjustRightInd w:val="0"/>
        <w:ind w:firstLine="709"/>
        <w:jc w:val="both"/>
        <w:rPr>
          <w:i/>
          <w:iCs/>
        </w:rPr>
      </w:pPr>
    </w:p>
    <w:p w14:paraId="15568BEB" w14:textId="313986BD" w:rsidR="00FF78E3" w:rsidRPr="009118AB" w:rsidRDefault="00FF78E3" w:rsidP="000661E7">
      <w:pPr>
        <w:tabs>
          <w:tab w:val="left" w:pos="0"/>
        </w:tabs>
        <w:autoSpaceDE w:val="0"/>
        <w:autoSpaceDN w:val="0"/>
        <w:adjustRightInd w:val="0"/>
        <w:ind w:firstLine="709"/>
        <w:jc w:val="both"/>
      </w:pPr>
      <w:r w:rsidRPr="009118AB">
        <w:rPr>
          <w:i/>
          <w:iCs/>
        </w:rPr>
        <w:t>d)</w:t>
      </w:r>
      <w:r w:rsidRPr="009118AB">
        <w:t xml:space="preserve"> [sie nicht ganz oder teilweise gebildet sind durch Arbeitgeberbeiträge oder Unternehmensbeiträge, durch Beiträge oder Prämien, die in Artikel 38 </w:t>
      </w:r>
      <w:r w:rsidR="00D67EB8" w:rsidRPr="009118AB">
        <w:t>§ </w:t>
      </w:r>
      <w:r w:rsidRPr="009118AB">
        <w:t xml:space="preserve">1 Absatz 1 </w:t>
      </w:r>
      <w:r w:rsidR="00D67EB8" w:rsidRPr="009118AB">
        <w:t>Nr. </w:t>
      </w:r>
      <w:r w:rsidRPr="009118AB">
        <w:t xml:space="preserve">16 erwähnt sind, durch Beiträge, die gemäß Artikel 52 </w:t>
      </w:r>
      <w:r w:rsidR="00D67EB8" w:rsidRPr="009118AB">
        <w:t>Nr. </w:t>
      </w:r>
      <w:r w:rsidRPr="009118AB">
        <w:t>7</w:t>
      </w:r>
      <w:r w:rsidRPr="009118AB">
        <w:rPr>
          <w:i/>
          <w:iCs/>
        </w:rPr>
        <w:t>bis</w:t>
      </w:r>
      <w:r w:rsidRPr="009118AB">
        <w:t xml:space="preserve"> als Werbungskosten in Betracht kommen konnten, oder durch Beiträge, die für die Anwendung von </w:t>
      </w:r>
      <w:r w:rsidR="00B81FCA" w:rsidRPr="009118AB">
        <w:t>[</w:t>
      </w:r>
      <w:r w:rsidRPr="009118AB">
        <w:t>Artikel 145</w:t>
      </w:r>
      <w:r w:rsidRPr="009118AB">
        <w:rPr>
          <w:vertAlign w:val="superscript"/>
        </w:rPr>
        <w:t>1</w:t>
      </w:r>
      <w:r w:rsidRPr="009118AB">
        <w:t xml:space="preserve"> </w:t>
      </w:r>
      <w:r w:rsidR="00D67EB8" w:rsidRPr="009118AB">
        <w:t>Nr. </w:t>
      </w:r>
      <w:r w:rsidRPr="009118AB">
        <w:t>1</w:t>
      </w:r>
      <w:r w:rsidR="00B81FCA" w:rsidRPr="009118AB">
        <w:t xml:space="preserve"> oder 1</w:t>
      </w:r>
      <w:r w:rsidR="00B81FCA" w:rsidRPr="009118AB">
        <w:rPr>
          <w:i/>
        </w:rPr>
        <w:t>bis</w:t>
      </w:r>
      <w:r w:rsidR="00B81FCA" w:rsidRPr="009118AB">
        <w:t>]</w:t>
      </w:r>
      <w:r w:rsidRPr="009118AB">
        <w:t xml:space="preserve"> in Betracht kommen konnten,]]</w:t>
      </w:r>
    </w:p>
    <w:p w14:paraId="344273E3" w14:textId="77777777" w:rsidR="00FF78E3" w:rsidRPr="009118AB" w:rsidRDefault="00FF78E3" w:rsidP="000661E7">
      <w:pPr>
        <w:tabs>
          <w:tab w:val="left" w:pos="0"/>
        </w:tabs>
        <w:autoSpaceDE w:val="0"/>
        <w:autoSpaceDN w:val="0"/>
        <w:adjustRightInd w:val="0"/>
        <w:ind w:firstLine="709"/>
        <w:jc w:val="both"/>
      </w:pPr>
    </w:p>
    <w:p w14:paraId="7464AA2C" w14:textId="020543AC" w:rsidR="00FF78E3" w:rsidRPr="009118AB" w:rsidRDefault="00FF78E3" w:rsidP="000661E7">
      <w:pPr>
        <w:tabs>
          <w:tab w:val="left" w:pos="0"/>
        </w:tabs>
        <w:autoSpaceDE w:val="0"/>
        <w:autoSpaceDN w:val="0"/>
        <w:adjustRightInd w:val="0"/>
        <w:ind w:firstLine="709"/>
        <w:jc w:val="both"/>
      </w:pPr>
      <w:r w:rsidRPr="009118AB">
        <w:lastRenderedPageBreak/>
        <w:t>3. [sofern sie aus einem Sparkonto oder Sparversicherungsvertrag, für den die in Artikel 145</w:t>
      </w:r>
      <w:r w:rsidRPr="009118AB">
        <w:rPr>
          <w:vertAlign w:val="superscript"/>
        </w:rPr>
        <w:t>1</w:t>
      </w:r>
      <w:r w:rsidRPr="009118AB">
        <w:t xml:space="preserve"> </w:t>
      </w:r>
      <w:r w:rsidR="00D67EB8" w:rsidRPr="009118AB">
        <w:t>Nr. </w:t>
      </w:r>
      <w:r w:rsidRPr="009118AB">
        <w:t>5 erwähnte Ermäßigung nicht gewährt wurde, hervorgehen,]</w:t>
      </w:r>
    </w:p>
    <w:p w14:paraId="54E14A9A" w14:textId="77777777" w:rsidR="00FF78E3" w:rsidRPr="009118AB" w:rsidRDefault="00FF78E3" w:rsidP="000661E7">
      <w:pPr>
        <w:tabs>
          <w:tab w:val="left" w:pos="0"/>
        </w:tabs>
        <w:autoSpaceDE w:val="0"/>
        <w:autoSpaceDN w:val="0"/>
        <w:adjustRightInd w:val="0"/>
        <w:ind w:firstLine="709"/>
        <w:jc w:val="both"/>
      </w:pPr>
    </w:p>
    <w:p w14:paraId="61F7D015" w14:textId="29FDBCFB" w:rsidR="00FF78E3" w:rsidRPr="009118AB" w:rsidRDefault="00FF78E3" w:rsidP="000661E7">
      <w:pPr>
        <w:tabs>
          <w:tab w:val="left" w:pos="0"/>
        </w:tabs>
        <w:autoSpaceDE w:val="0"/>
        <w:autoSpaceDN w:val="0"/>
        <w:adjustRightInd w:val="0"/>
        <w:ind w:firstLine="709"/>
        <w:jc w:val="both"/>
      </w:pPr>
      <w:r w:rsidRPr="009118AB">
        <w:t xml:space="preserve">[4. sofern und in dem Maße, </w:t>
      </w:r>
      <w:r w:rsidR="00251671" w:rsidRPr="009118AB">
        <w:t xml:space="preserve">[wie sie einer Steuer auf langfristiges Sparen unterlagen wie erwähnt in Buch II Titel VIII des Gesetzbuches der verschiedenen Gebühren und Steuern, die in Artikel 185 </w:t>
      </w:r>
      <w:r w:rsidR="00D67EB8" w:rsidRPr="009118AB">
        <w:t>§ </w:t>
      </w:r>
      <w:r w:rsidR="00251671" w:rsidRPr="009118AB">
        <w:t>4 desselben Gesetzbuches erwähnte vorzeitige Einnahme der Steuer ausgenommen, oder wie erwähnt in Artikel 119 des Gesetzes vom 28. Dezember 1992]</w:t>
      </w:r>
      <w:r w:rsidRPr="009118AB">
        <w:t>.]</w:t>
      </w:r>
    </w:p>
    <w:p w14:paraId="7F657D9B" w14:textId="77777777" w:rsidR="003C1FCF" w:rsidRPr="009118AB" w:rsidRDefault="003C1FCF" w:rsidP="000661E7">
      <w:pPr>
        <w:tabs>
          <w:tab w:val="left" w:pos="0"/>
        </w:tabs>
        <w:autoSpaceDE w:val="0"/>
        <w:autoSpaceDN w:val="0"/>
        <w:adjustRightInd w:val="0"/>
        <w:ind w:firstLine="709"/>
        <w:jc w:val="both"/>
      </w:pPr>
    </w:p>
    <w:p w14:paraId="22E0A728" w14:textId="77777777" w:rsidR="002B18C3" w:rsidRPr="006676F3" w:rsidRDefault="003C1FCF" w:rsidP="002B18C3">
      <w:pPr>
        <w:ind w:firstLine="709"/>
        <w:jc w:val="both"/>
        <w:rPr>
          <w:lang w:eastAsia="fr-BE"/>
        </w:rPr>
      </w:pPr>
      <w:r w:rsidRPr="009118AB">
        <w:t>[</w:t>
      </w:r>
      <w:r w:rsidR="002B18C3" w:rsidRPr="006676F3">
        <w:rPr>
          <w:lang w:eastAsia="fr-BE"/>
        </w:rPr>
        <w:t>In Absatz 1 Nr. 2 erwähnte Einkünfte umfassen keine Einkünfte aus Pensionen, ergänzenden Pensionen, Kapitalien, Renten und Rückkaufswerten, die im Rahmen einer ausländischen oder nicht ausländischen Pensionsregelung gebildet sind, unabhängig davon, ob der Angeschlossene der Pensionsregelung individuell oder nicht individuell beigetreten ist und ob die Bildung der Pension, des Kapitals oder der Rente zum endgültigen und ausschließlichen Nutzen des Angeschlossenen erfolgt oder nicht.</w:t>
      </w:r>
    </w:p>
    <w:p w14:paraId="1F7973B6" w14:textId="77777777" w:rsidR="002B18C3" w:rsidRPr="006676F3" w:rsidRDefault="002B18C3" w:rsidP="002B18C3">
      <w:pPr>
        <w:jc w:val="both"/>
        <w:rPr>
          <w:lang w:eastAsia="fr-BE"/>
        </w:rPr>
      </w:pPr>
    </w:p>
    <w:p w14:paraId="10843767" w14:textId="55038A80" w:rsidR="003C1FCF" w:rsidRPr="009118AB" w:rsidRDefault="002B18C3" w:rsidP="002B18C3">
      <w:pPr>
        <w:ind w:firstLine="709"/>
        <w:jc w:val="both"/>
      </w:pPr>
      <w:r w:rsidRPr="006676F3">
        <w:rPr>
          <w:lang w:eastAsia="fr-BE"/>
        </w:rPr>
        <w:t>Für die Anwendung des vorliegenden Artikels versteht man unter Pensionsregelung eine kollektive Pensionsvereinbarung eines Arbeitgebers, für die in einer Pensionseinrichtung oder einem internen Pensionsfonds für oder von Arbeitgebern zugunsten von mindestens zwei angeschlossenen Arbeitnehmern beziehungsweise ehemaligen Arbeitnehmern oder ihren Rechtsnachfolgern Gelder gesammelt und verwaltet werden, um eine Pension, ein Kapital oder eine Rente auszuzahlen, und die einer Regelung unterliegt, die gemeinsam für alle angeschlossenen Arbeitnehmer und gegebenenfalls ihre Rechtsnachfolger gilt, unabhängig davon, ob sie in verschiedene Kategorien eingeteilt sind oder nicht.</w:t>
      </w:r>
      <w:r w:rsidR="003C1FCF" w:rsidRPr="009118AB">
        <w:t>]</w:t>
      </w:r>
    </w:p>
    <w:p w14:paraId="7AF6A32C" w14:textId="77777777" w:rsidR="00FF78E3" w:rsidRDefault="00FF78E3" w:rsidP="00FF78E3">
      <w:pPr>
        <w:autoSpaceDE w:val="0"/>
        <w:autoSpaceDN w:val="0"/>
        <w:adjustRightInd w:val="0"/>
        <w:jc w:val="both"/>
      </w:pPr>
    </w:p>
    <w:p w14:paraId="5BCE0133" w14:textId="6F8C135D" w:rsidR="00AE78CD" w:rsidRPr="008F5F2E" w:rsidRDefault="00A2201B" w:rsidP="00AE78CD">
      <w:pPr>
        <w:ind w:firstLine="708"/>
        <w:jc w:val="both"/>
      </w:pPr>
      <w:r>
        <w:tab/>
        <w:t>[</w:t>
      </w:r>
      <w:r w:rsidR="00AE78CD">
        <w:t>§ 3 - Der Pensionsbonus, der in Anwendung von Titel 3 Kapitel 1 des Gesetzes vom 25. April 2024 zur Reform der Pensionen, von Artikel 3/2 des Gesetzes vom 23. Dezember 2005 über den Solidaritätspakt zwischen den Generationen oder von Artikel 7</w:t>
      </w:r>
      <w:r w:rsidR="00AE78CD">
        <w:rPr>
          <w:i/>
          <w:iCs/>
        </w:rPr>
        <w:t>ter</w:t>
      </w:r>
      <w:r w:rsidR="00AE78CD">
        <w:t xml:space="preserve"> des vorerwähnten Gesetzes vom 23. Dezember 2005 gezahlt oder zuerkannt wird, ist steuerfrei.</w:t>
      </w:r>
    </w:p>
    <w:p w14:paraId="0910D693" w14:textId="77777777" w:rsidR="00AE78CD" w:rsidRPr="00E322CC" w:rsidRDefault="00AE78CD" w:rsidP="00AE78CD">
      <w:pPr>
        <w:jc w:val="both"/>
      </w:pPr>
    </w:p>
    <w:p w14:paraId="30E9DFC3" w14:textId="6BCFBAAA" w:rsidR="00A2201B" w:rsidRDefault="00AE78CD" w:rsidP="00AE78CD">
      <w:pPr>
        <w:autoSpaceDE w:val="0"/>
        <w:autoSpaceDN w:val="0"/>
        <w:adjustRightInd w:val="0"/>
        <w:ind w:firstLine="708"/>
        <w:jc w:val="both"/>
      </w:pPr>
      <w:r>
        <w:t>Der in Absatz 1 erwähnte Pensionsbonus wird auf dem Berechnungsblatt vermerkt, das dem Steuerbescheid des Empfängers in Bezug auf die Steuer der natürlichen Personen beigefügt ist.]</w:t>
      </w:r>
    </w:p>
    <w:p w14:paraId="718AA7CA" w14:textId="77777777" w:rsidR="00AE78CD" w:rsidRPr="009118AB" w:rsidRDefault="00AE78CD" w:rsidP="00AE78CD">
      <w:pPr>
        <w:autoSpaceDE w:val="0"/>
        <w:autoSpaceDN w:val="0"/>
        <w:adjustRightInd w:val="0"/>
        <w:ind w:firstLine="708"/>
        <w:jc w:val="both"/>
      </w:pPr>
    </w:p>
    <w:p w14:paraId="62DEBE40" w14:textId="66F12EF0" w:rsidR="00FF78E3" w:rsidRPr="009118AB" w:rsidRDefault="00FF78E3" w:rsidP="00FF78E3">
      <w:pPr>
        <w:autoSpaceDE w:val="0"/>
        <w:autoSpaceDN w:val="0"/>
        <w:adjustRightInd w:val="0"/>
        <w:jc w:val="both"/>
        <w:rPr>
          <w:i/>
          <w:iCs/>
        </w:rPr>
      </w:pPr>
      <w:r w:rsidRPr="009118AB">
        <w:rPr>
          <w:i/>
          <w:iCs/>
        </w:rPr>
        <w:t>[</w:t>
      </w:r>
      <w:r w:rsidR="00D67EB8" w:rsidRPr="009118AB">
        <w:rPr>
          <w:i/>
          <w:iCs/>
        </w:rPr>
        <w:t>Art. </w:t>
      </w:r>
      <w:r w:rsidRPr="009118AB">
        <w:rPr>
          <w:i/>
          <w:iCs/>
        </w:rPr>
        <w:t xml:space="preserve">39 </w:t>
      </w:r>
      <w:r w:rsidR="00D67EB8" w:rsidRPr="009118AB">
        <w:rPr>
          <w:i/>
          <w:iCs/>
        </w:rPr>
        <w:t>§ </w:t>
      </w:r>
      <w:r w:rsidRPr="009118AB">
        <w:rPr>
          <w:i/>
          <w:iCs/>
        </w:rPr>
        <w:t xml:space="preserve">1 eingefügt durch </w:t>
      </w:r>
      <w:r w:rsidR="00D67EB8" w:rsidRPr="009118AB">
        <w:rPr>
          <w:i/>
          <w:iCs/>
        </w:rPr>
        <w:t>Art. </w:t>
      </w:r>
      <w:r w:rsidRPr="009118AB">
        <w:rPr>
          <w:i/>
          <w:iCs/>
        </w:rPr>
        <w:t>3 des G. vom 19. Juli 2000 (B.S. vom 4. August 200</w:t>
      </w:r>
      <w:r w:rsidR="00251671" w:rsidRPr="009118AB">
        <w:rPr>
          <w:i/>
          <w:iCs/>
        </w:rPr>
        <w:t>0)</w:t>
      </w:r>
      <w:r w:rsidR="00D67EB8" w:rsidRPr="009118AB">
        <w:rPr>
          <w:i/>
          <w:iCs/>
        </w:rPr>
        <w:t> - </w:t>
      </w:r>
      <w:r w:rsidR="00251671" w:rsidRPr="009118AB">
        <w:rPr>
          <w:i/>
          <w:iCs/>
        </w:rPr>
        <w:t>in Kraft ab dem Steuerjahr </w:t>
      </w:r>
      <w:r w:rsidRPr="009118AB">
        <w:rPr>
          <w:i/>
          <w:iCs/>
        </w:rPr>
        <w:t>1999</w:t>
      </w:r>
      <w:r w:rsidR="003366D9" w:rsidRPr="009118AB">
        <w:rPr>
          <w:i/>
          <w:iCs/>
        </w:rPr>
        <w:t> -;</w:t>
      </w:r>
      <w:r w:rsidRPr="009118AB">
        <w:rPr>
          <w:i/>
          <w:iCs/>
        </w:rPr>
        <w:t xml:space="preserve"> </w:t>
      </w:r>
      <w:r w:rsidR="00D67EB8" w:rsidRPr="009118AB">
        <w:rPr>
          <w:i/>
          <w:iCs/>
        </w:rPr>
        <w:t>§ </w:t>
      </w:r>
      <w:r w:rsidRPr="009118AB">
        <w:rPr>
          <w:i/>
          <w:iCs/>
        </w:rPr>
        <w:t xml:space="preserve">2 nummeriert durch </w:t>
      </w:r>
      <w:r w:rsidR="00D67EB8" w:rsidRPr="009118AB">
        <w:rPr>
          <w:i/>
          <w:iCs/>
        </w:rPr>
        <w:t>Art. </w:t>
      </w:r>
      <w:r w:rsidRPr="009118AB">
        <w:rPr>
          <w:i/>
          <w:iCs/>
        </w:rPr>
        <w:t>3 des G. vom 19. Juli 2000 (B.S.</w:t>
      </w:r>
      <w:r w:rsidR="00251671" w:rsidRPr="009118AB">
        <w:rPr>
          <w:i/>
          <w:iCs/>
        </w:rPr>
        <w:t xml:space="preserve"> </w:t>
      </w:r>
      <w:r w:rsidRPr="009118AB">
        <w:rPr>
          <w:i/>
          <w:iCs/>
        </w:rPr>
        <w:t>vom 4. August 200</w:t>
      </w:r>
      <w:r w:rsidR="00251671" w:rsidRPr="009118AB">
        <w:rPr>
          <w:i/>
          <w:iCs/>
        </w:rPr>
        <w:t>0)</w:t>
      </w:r>
      <w:r w:rsidR="00D67EB8" w:rsidRPr="009118AB">
        <w:rPr>
          <w:i/>
          <w:iCs/>
        </w:rPr>
        <w:t> - </w:t>
      </w:r>
      <w:r w:rsidR="00251671" w:rsidRPr="009118AB">
        <w:rPr>
          <w:i/>
          <w:iCs/>
        </w:rPr>
        <w:t>in Kraft ab dem Steuerjahr </w:t>
      </w:r>
      <w:r w:rsidRPr="009118AB">
        <w:rPr>
          <w:i/>
          <w:iCs/>
        </w:rPr>
        <w:t>1999</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003C1FCF" w:rsidRPr="009118AB">
        <w:rPr>
          <w:i/>
          <w:iCs/>
        </w:rPr>
        <w:t>1 (früherer einziger Absatz)</w:t>
      </w:r>
      <w:r w:rsidRPr="009118AB">
        <w:rPr>
          <w:i/>
          <w:iCs/>
        </w:rPr>
        <w:t xml:space="preserve"> einleitende Bestimmung abgeändert durch </w:t>
      </w:r>
      <w:r w:rsidR="00D67EB8" w:rsidRPr="009118AB">
        <w:rPr>
          <w:i/>
          <w:iCs/>
        </w:rPr>
        <w:t>Art. </w:t>
      </w:r>
      <w:r w:rsidRPr="009118AB">
        <w:rPr>
          <w:i/>
          <w:iCs/>
        </w:rPr>
        <w:t xml:space="preserve">77 </w:t>
      </w:r>
      <w:r w:rsidR="00D67EB8" w:rsidRPr="009118AB">
        <w:rPr>
          <w:i/>
          <w:iCs/>
        </w:rPr>
        <w:t>Nr. </w:t>
      </w:r>
      <w:r w:rsidRPr="009118AB">
        <w:rPr>
          <w:i/>
          <w:iCs/>
        </w:rPr>
        <w:t>1 des G. vom 28. April 2003 (B.S. vom 15. Mai 2003)</w:t>
      </w:r>
      <w:r w:rsidR="00D67EB8" w:rsidRPr="009118AB">
        <w:rPr>
          <w:i/>
          <w:iCs/>
        </w:rPr>
        <w:t> - </w:t>
      </w:r>
      <w:r w:rsidRPr="009118AB">
        <w:rPr>
          <w:i/>
          <w:iCs/>
        </w:rPr>
        <w:t xml:space="preserve">anwendbar auf Leibrenten, Renten, Entschädigungen, andere als in </w:t>
      </w:r>
      <w:r w:rsidR="00D67EB8" w:rsidRPr="009118AB">
        <w:rPr>
          <w:i/>
          <w:iCs/>
        </w:rPr>
        <w:t>Art. </w:t>
      </w:r>
      <w:r w:rsidRPr="009118AB">
        <w:rPr>
          <w:i/>
          <w:iCs/>
        </w:rPr>
        <w:t xml:space="preserve">23 </w:t>
      </w:r>
      <w:r w:rsidR="00D67EB8" w:rsidRPr="009118AB">
        <w:rPr>
          <w:i/>
          <w:iCs/>
        </w:rPr>
        <w:t>§ </w:t>
      </w:r>
      <w:r w:rsidR="000661E7" w:rsidRPr="009118AB">
        <w:rPr>
          <w:i/>
          <w:iCs/>
        </w:rPr>
        <w:t xml:space="preserve">3 Buchstabe A </w:t>
      </w:r>
      <w:r w:rsidR="00D67EB8" w:rsidRPr="009118AB">
        <w:rPr>
          <w:i/>
          <w:iCs/>
        </w:rPr>
        <w:t>Nr. </w:t>
      </w:r>
      <w:r w:rsidRPr="009118AB">
        <w:rPr>
          <w:i/>
          <w:iCs/>
        </w:rPr>
        <w:t>6 erwähnte Kapitalien, Rückkaufswerte von Lebensversicherungs</w:t>
      </w:r>
      <w:r w:rsidR="000661E7" w:rsidRPr="009118AB">
        <w:rPr>
          <w:i/>
          <w:iCs/>
        </w:rPr>
        <w:softHyphen/>
      </w:r>
      <w:r w:rsidRPr="009118AB">
        <w:rPr>
          <w:i/>
          <w:iCs/>
        </w:rPr>
        <w:t>verträgen, Pensionen und ergänzende Pensionen, die ab dem 1. Januar 2004 ausgezahlt werden</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003C1FCF" w:rsidRPr="009118AB">
        <w:rPr>
          <w:i/>
          <w:iCs/>
        </w:rPr>
        <w:t>1</w:t>
      </w:r>
      <w:r w:rsidRPr="009118AB">
        <w:rPr>
          <w:i/>
          <w:iCs/>
        </w:rPr>
        <w:t xml:space="preserve"> </w:t>
      </w:r>
      <w:r w:rsidR="00D67EB8" w:rsidRPr="009118AB">
        <w:rPr>
          <w:i/>
          <w:iCs/>
        </w:rPr>
        <w:t>Nr. </w:t>
      </w:r>
      <w:r w:rsidRPr="009118AB">
        <w:rPr>
          <w:i/>
          <w:iCs/>
        </w:rPr>
        <w:t xml:space="preserve">2 ersetzt durch </w:t>
      </w:r>
      <w:r w:rsidR="00D67EB8" w:rsidRPr="009118AB">
        <w:rPr>
          <w:i/>
          <w:iCs/>
        </w:rPr>
        <w:t>Art. </w:t>
      </w:r>
      <w:r w:rsidRPr="009118AB">
        <w:rPr>
          <w:i/>
          <w:iCs/>
        </w:rPr>
        <w:t xml:space="preserve">77 </w:t>
      </w:r>
      <w:r w:rsidR="00D67EB8" w:rsidRPr="009118AB">
        <w:rPr>
          <w:i/>
          <w:iCs/>
        </w:rPr>
        <w:t>Nr. </w:t>
      </w:r>
      <w:r w:rsidRPr="009118AB">
        <w:rPr>
          <w:i/>
          <w:iCs/>
        </w:rPr>
        <w:t>2 des G. vom 28. April 2003 (B.S. vom 15. Mai 2003)</w:t>
      </w:r>
      <w:r w:rsidR="00D67EB8" w:rsidRPr="009118AB">
        <w:rPr>
          <w:i/>
          <w:iCs/>
        </w:rPr>
        <w:t> - </w:t>
      </w:r>
      <w:r w:rsidR="003C1FCF" w:rsidRPr="009118AB">
        <w:rPr>
          <w:i/>
          <w:iCs/>
        </w:rPr>
        <w:t>a</w:t>
      </w:r>
      <w:r w:rsidRPr="009118AB">
        <w:rPr>
          <w:i/>
          <w:iCs/>
        </w:rPr>
        <w:t>nwendbar auf Leibrenten, Renten, Ents</w:t>
      </w:r>
      <w:r w:rsidR="00251671" w:rsidRPr="009118AB">
        <w:rPr>
          <w:i/>
          <w:iCs/>
        </w:rPr>
        <w:t xml:space="preserve">chädigungen, andere als in </w:t>
      </w:r>
      <w:r w:rsidR="00D67EB8" w:rsidRPr="009118AB">
        <w:rPr>
          <w:i/>
          <w:iCs/>
        </w:rPr>
        <w:t>Art. </w:t>
      </w:r>
      <w:r w:rsidR="00251671" w:rsidRPr="009118AB">
        <w:rPr>
          <w:i/>
          <w:iCs/>
        </w:rPr>
        <w:t xml:space="preserve">23 </w:t>
      </w:r>
      <w:r w:rsidR="00D67EB8" w:rsidRPr="009118AB">
        <w:rPr>
          <w:i/>
          <w:iCs/>
        </w:rPr>
        <w:t>§ </w:t>
      </w:r>
      <w:r w:rsidR="00251671" w:rsidRPr="009118AB">
        <w:rPr>
          <w:i/>
          <w:iCs/>
        </w:rPr>
        <w:t xml:space="preserve">3 Buchstabe A </w:t>
      </w:r>
      <w:r w:rsidR="00D67EB8" w:rsidRPr="009118AB">
        <w:rPr>
          <w:i/>
          <w:iCs/>
        </w:rPr>
        <w:t>Nr. </w:t>
      </w:r>
      <w:r w:rsidRPr="009118AB">
        <w:rPr>
          <w:i/>
          <w:iCs/>
        </w:rPr>
        <w:t>6 erwähnte Kapitalien, Rückkaufswerte von Lebensversicherungsverträgen, Pensionen und ergänzende Pensionen, die ab dem 1. Jan</w:t>
      </w:r>
      <w:r w:rsidR="00251671" w:rsidRPr="009118AB">
        <w:rPr>
          <w:i/>
          <w:iCs/>
        </w:rPr>
        <w:t>uar 2004 ausgezahlt werden</w:t>
      </w:r>
      <w:r w:rsidR="003366D9" w:rsidRPr="009118AB">
        <w:rPr>
          <w:i/>
          <w:iCs/>
        </w:rPr>
        <w:t> -;</w:t>
      </w:r>
      <w:r w:rsidR="00251671" w:rsidRPr="009118AB">
        <w:rPr>
          <w:i/>
          <w:iCs/>
        </w:rPr>
        <w:t xml:space="preserve"> </w:t>
      </w:r>
      <w:r w:rsidR="00D67EB8" w:rsidRPr="009118AB">
        <w:rPr>
          <w:i/>
          <w:iCs/>
        </w:rPr>
        <w:t>§ </w:t>
      </w:r>
      <w:r w:rsidR="00251671" w:rsidRPr="009118AB">
        <w:rPr>
          <w:i/>
          <w:iCs/>
        </w:rPr>
        <w:t xml:space="preserve">2 </w:t>
      </w:r>
      <w:r w:rsidR="00D67EB8" w:rsidRPr="009118AB">
        <w:rPr>
          <w:i/>
          <w:iCs/>
        </w:rPr>
        <w:t>Abs. </w:t>
      </w:r>
      <w:r w:rsidR="003C1FCF" w:rsidRPr="009118AB">
        <w:rPr>
          <w:i/>
          <w:iCs/>
        </w:rPr>
        <w:t>1</w:t>
      </w:r>
      <w:r w:rsidR="00251671" w:rsidRPr="009118AB">
        <w:rPr>
          <w:i/>
          <w:iCs/>
        </w:rPr>
        <w:t xml:space="preserve"> </w:t>
      </w:r>
      <w:r w:rsidR="00D67EB8" w:rsidRPr="009118AB">
        <w:rPr>
          <w:i/>
          <w:iCs/>
        </w:rPr>
        <w:t>Nr. </w:t>
      </w:r>
      <w:r w:rsidRPr="009118AB">
        <w:rPr>
          <w:i/>
          <w:iCs/>
        </w:rPr>
        <w:t>2 einziger Absatz Buchstabe</w:t>
      </w:r>
      <w:r w:rsidR="00251671" w:rsidRPr="009118AB">
        <w:rPr>
          <w:i/>
          <w:iCs/>
        </w:rPr>
        <w:t> </w:t>
      </w:r>
      <w:r w:rsidRPr="009118AB">
        <w:rPr>
          <w:i/>
          <w:iCs/>
        </w:rPr>
        <w:t xml:space="preserve">a) ersetzt durch </w:t>
      </w:r>
      <w:r w:rsidR="00D67EB8" w:rsidRPr="009118AB">
        <w:rPr>
          <w:i/>
          <w:iCs/>
        </w:rPr>
        <w:t>Art. </w:t>
      </w:r>
      <w:r w:rsidRPr="009118AB">
        <w:rPr>
          <w:i/>
          <w:iCs/>
        </w:rPr>
        <w:t>16</w:t>
      </w:r>
      <w:r w:rsidRPr="009118AB">
        <w:rPr>
          <w:i/>
        </w:rPr>
        <w:t xml:space="preserve"> des G. vom 8. Mai 2014 (B.S. vom 28. Mai 2014)</w:t>
      </w:r>
      <w:r w:rsidR="00D67EB8" w:rsidRPr="009118AB">
        <w:rPr>
          <w:i/>
        </w:rPr>
        <w:t> - </w:t>
      </w:r>
      <w:r w:rsidRPr="009118AB">
        <w:rPr>
          <w:i/>
          <w:iCs/>
        </w:rPr>
        <w:t>anwendbar ab dem Steuerjahr 2015</w:t>
      </w:r>
      <w:r w:rsidR="003366D9" w:rsidRPr="009118AB">
        <w:rPr>
          <w:i/>
          <w:iCs/>
        </w:rPr>
        <w:t> -;</w:t>
      </w:r>
      <w:r w:rsidR="00251671" w:rsidRPr="009118AB">
        <w:rPr>
          <w:i/>
          <w:iCs/>
        </w:rPr>
        <w:t xml:space="preserve"> </w:t>
      </w:r>
      <w:r w:rsidR="00D67EB8" w:rsidRPr="009118AB">
        <w:rPr>
          <w:i/>
          <w:iCs/>
        </w:rPr>
        <w:t>§ </w:t>
      </w:r>
      <w:r w:rsidR="00251671" w:rsidRPr="009118AB">
        <w:rPr>
          <w:i/>
          <w:iCs/>
        </w:rPr>
        <w:t xml:space="preserve">2 </w:t>
      </w:r>
      <w:r w:rsidR="00D67EB8" w:rsidRPr="009118AB">
        <w:rPr>
          <w:i/>
          <w:iCs/>
        </w:rPr>
        <w:t>Abs. </w:t>
      </w:r>
      <w:r w:rsidR="003C1FCF" w:rsidRPr="009118AB">
        <w:rPr>
          <w:i/>
          <w:iCs/>
        </w:rPr>
        <w:t>1</w:t>
      </w:r>
      <w:r w:rsidR="00251671" w:rsidRPr="009118AB">
        <w:rPr>
          <w:i/>
          <w:iCs/>
        </w:rPr>
        <w:t xml:space="preserve"> </w:t>
      </w:r>
      <w:r w:rsidR="00D67EB8" w:rsidRPr="009118AB">
        <w:rPr>
          <w:i/>
          <w:iCs/>
        </w:rPr>
        <w:t>Nr. </w:t>
      </w:r>
      <w:r w:rsidR="00251671" w:rsidRPr="009118AB">
        <w:rPr>
          <w:i/>
          <w:iCs/>
        </w:rPr>
        <w:t xml:space="preserve">2 einziger Absatz Buchstabe d) ersetzt </w:t>
      </w:r>
      <w:r w:rsidR="00D67EB8" w:rsidRPr="009118AB">
        <w:rPr>
          <w:i/>
          <w:iCs/>
        </w:rPr>
        <w:t>Art. </w:t>
      </w:r>
      <w:r w:rsidRPr="009118AB">
        <w:rPr>
          <w:i/>
          <w:iCs/>
        </w:rPr>
        <w:t>1</w:t>
      </w:r>
      <w:r w:rsidR="00251671" w:rsidRPr="009118AB">
        <w:rPr>
          <w:i/>
          <w:iCs/>
        </w:rPr>
        <w:t>65 des G. vom 27. Dezember 2005 </w:t>
      </w:r>
      <w:r w:rsidRPr="009118AB">
        <w:rPr>
          <w:i/>
          <w:iCs/>
        </w:rPr>
        <w:t>(II) (B.S. vom 30. Dezember 2005)</w:t>
      </w:r>
      <w:r w:rsidR="00D67EB8" w:rsidRPr="009118AB">
        <w:rPr>
          <w:i/>
          <w:iCs/>
        </w:rPr>
        <w:t> - </w:t>
      </w:r>
      <w:r w:rsidRPr="009118AB">
        <w:rPr>
          <w:i/>
          <w:iCs/>
        </w:rPr>
        <w:t>anwendbar auf Leibrenten und Pensionen, ergänzende Pensionen, Renten, Kapitalien, Sparguthaben und Rückkaufswerte, die ab dem 1. Januar 2006 ausgezahlt werden</w:t>
      </w:r>
      <w:r w:rsidR="00D67EB8" w:rsidRPr="009118AB">
        <w:rPr>
          <w:i/>
          <w:iCs/>
        </w:rPr>
        <w:t> - </w:t>
      </w:r>
      <w:r w:rsidR="00B81FCA" w:rsidRPr="009118AB">
        <w:rPr>
          <w:i/>
          <w:iCs/>
        </w:rPr>
        <w:t xml:space="preserve">und </w:t>
      </w:r>
      <w:r w:rsidR="003B78A6" w:rsidRPr="009118AB">
        <w:rPr>
          <w:i/>
          <w:iCs/>
        </w:rPr>
        <w:t xml:space="preserve">abgeändert durch </w:t>
      </w:r>
      <w:r w:rsidR="00D67EB8" w:rsidRPr="009118AB">
        <w:rPr>
          <w:i/>
          <w:iCs/>
        </w:rPr>
        <w:t>Art. </w:t>
      </w:r>
      <w:r w:rsidR="00B81FCA" w:rsidRPr="009118AB">
        <w:rPr>
          <w:i/>
          <w:iCs/>
        </w:rPr>
        <w:t xml:space="preserve">54 des G. vom 18. Februar 2018 (B.S. vom </w:t>
      </w:r>
      <w:r w:rsidR="00B81FCA" w:rsidRPr="009118AB">
        <w:rPr>
          <w:i/>
          <w:iCs/>
        </w:rPr>
        <w:lastRenderedPageBreak/>
        <w:t>30. März 2018)</w:t>
      </w:r>
      <w:r w:rsidR="00D67EB8" w:rsidRPr="009118AB">
        <w:rPr>
          <w:i/>
          <w:iCs/>
        </w:rPr>
        <w:t> - </w:t>
      </w:r>
      <w:r w:rsidR="00B81FCA" w:rsidRPr="009118AB">
        <w:rPr>
          <w:i/>
          <w:iCs/>
        </w:rPr>
        <w:t>anwendbar ab dem Steuerjahr 2019</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003C1FCF" w:rsidRPr="009118AB">
        <w:rPr>
          <w:i/>
          <w:iCs/>
        </w:rPr>
        <w:t>1</w:t>
      </w:r>
      <w:r w:rsidRPr="009118AB">
        <w:rPr>
          <w:i/>
          <w:iCs/>
        </w:rPr>
        <w:t xml:space="preserve"> </w:t>
      </w:r>
      <w:r w:rsidR="00D67EB8" w:rsidRPr="009118AB">
        <w:rPr>
          <w:i/>
          <w:iCs/>
        </w:rPr>
        <w:t>Nr. </w:t>
      </w:r>
      <w:r w:rsidRPr="009118AB">
        <w:rPr>
          <w:i/>
          <w:iCs/>
        </w:rPr>
        <w:t xml:space="preserve">3 ersetzt durch </w:t>
      </w:r>
      <w:r w:rsidR="00D67EB8" w:rsidRPr="009118AB">
        <w:rPr>
          <w:i/>
          <w:iCs/>
        </w:rPr>
        <w:t>Art. </w:t>
      </w:r>
      <w:r w:rsidRPr="009118AB">
        <w:rPr>
          <w:i/>
          <w:iCs/>
        </w:rPr>
        <w:t xml:space="preserve">76 </w:t>
      </w:r>
      <w:r w:rsidR="00D67EB8" w:rsidRPr="009118AB">
        <w:rPr>
          <w:i/>
          <w:iCs/>
        </w:rPr>
        <w:t>Nr. </w:t>
      </w:r>
      <w:r w:rsidRPr="009118AB">
        <w:rPr>
          <w:i/>
          <w:iCs/>
        </w:rPr>
        <w:t>2 des G. vom 28. Dezember 1992 (B.S. vom 31. Dezember 1992</w:t>
      </w:r>
      <w:r w:rsidR="005D17B9" w:rsidRPr="009118AB">
        <w:rPr>
          <w:i/>
          <w:iCs/>
        </w:rPr>
        <w:t>)</w:t>
      </w:r>
      <w:r w:rsidR="00D67EB8" w:rsidRPr="009118AB">
        <w:rPr>
          <w:i/>
          <w:iCs/>
        </w:rPr>
        <w:t> - </w:t>
      </w:r>
      <w:r w:rsidR="005D17B9" w:rsidRPr="009118AB">
        <w:rPr>
          <w:i/>
          <w:iCs/>
        </w:rPr>
        <w:t>anwendbar ab dem Steuerjahr </w:t>
      </w:r>
      <w:r w:rsidRPr="009118AB">
        <w:rPr>
          <w:i/>
          <w:iCs/>
        </w:rPr>
        <w:t>1993</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003C1FCF" w:rsidRPr="009118AB">
        <w:rPr>
          <w:i/>
          <w:iCs/>
        </w:rPr>
        <w:t>1</w:t>
      </w:r>
      <w:r w:rsidRPr="009118AB">
        <w:rPr>
          <w:i/>
          <w:iCs/>
        </w:rPr>
        <w:t xml:space="preserve"> </w:t>
      </w:r>
      <w:r w:rsidR="00D67EB8" w:rsidRPr="009118AB">
        <w:rPr>
          <w:i/>
          <w:iCs/>
        </w:rPr>
        <w:t>Nr. </w:t>
      </w:r>
      <w:r w:rsidRPr="009118AB">
        <w:rPr>
          <w:i/>
          <w:iCs/>
        </w:rPr>
        <w:t xml:space="preserve">4 eingefügt durch </w:t>
      </w:r>
      <w:r w:rsidR="00D67EB8" w:rsidRPr="009118AB">
        <w:rPr>
          <w:i/>
          <w:iCs/>
        </w:rPr>
        <w:t>Art. </w:t>
      </w:r>
      <w:r w:rsidRPr="009118AB">
        <w:rPr>
          <w:i/>
          <w:iCs/>
        </w:rPr>
        <w:t xml:space="preserve">76 </w:t>
      </w:r>
      <w:r w:rsidR="00D67EB8" w:rsidRPr="009118AB">
        <w:rPr>
          <w:i/>
          <w:iCs/>
        </w:rPr>
        <w:t>Nr. </w:t>
      </w:r>
      <w:r w:rsidRPr="009118AB">
        <w:rPr>
          <w:i/>
          <w:iCs/>
        </w:rPr>
        <w:t>3 des</w:t>
      </w:r>
      <w:r w:rsidR="005D17B9" w:rsidRPr="009118AB">
        <w:rPr>
          <w:i/>
          <w:iCs/>
        </w:rPr>
        <w:t xml:space="preserve"> G. vom 28. Dezember 1992 (B.S. </w:t>
      </w:r>
      <w:r w:rsidRPr="009118AB">
        <w:rPr>
          <w:i/>
          <w:iCs/>
        </w:rPr>
        <w:t>vom 31. Dezember 1992</w:t>
      </w:r>
      <w:r w:rsidR="005D17B9" w:rsidRPr="009118AB">
        <w:rPr>
          <w:i/>
          <w:iCs/>
        </w:rPr>
        <w:t>)</w:t>
      </w:r>
      <w:r w:rsidR="00D67EB8" w:rsidRPr="009118AB">
        <w:rPr>
          <w:i/>
          <w:iCs/>
        </w:rPr>
        <w:t> - </w:t>
      </w:r>
      <w:r w:rsidR="005D17B9" w:rsidRPr="009118AB">
        <w:rPr>
          <w:i/>
          <w:iCs/>
        </w:rPr>
        <w:t>anwendbar ab dem Steuerjahr </w:t>
      </w:r>
      <w:r w:rsidRPr="009118AB">
        <w:rPr>
          <w:i/>
          <w:iCs/>
        </w:rPr>
        <w:t>1993</w:t>
      </w:r>
      <w:r w:rsidR="00D67EB8" w:rsidRPr="009118AB">
        <w:rPr>
          <w:i/>
          <w:iCs/>
        </w:rPr>
        <w:t> - </w:t>
      </w:r>
      <w:r w:rsidR="005D17B9" w:rsidRPr="009118AB">
        <w:rPr>
          <w:i/>
          <w:iCs/>
        </w:rPr>
        <w:t xml:space="preserve">und abgeändert durch </w:t>
      </w:r>
      <w:r w:rsidR="00D67EB8" w:rsidRPr="009118AB">
        <w:rPr>
          <w:i/>
          <w:iCs/>
        </w:rPr>
        <w:t>Art. </w:t>
      </w:r>
      <w:r w:rsidRPr="009118AB">
        <w:rPr>
          <w:i/>
          <w:iCs/>
        </w:rPr>
        <w:t>7 des G. vom 22. Dezember 2009</w:t>
      </w:r>
      <w:r w:rsidR="00251671" w:rsidRPr="009118AB">
        <w:rPr>
          <w:i/>
          <w:iCs/>
        </w:rPr>
        <w:t> </w:t>
      </w:r>
      <w:r w:rsidRPr="009118AB">
        <w:rPr>
          <w:i/>
          <w:iCs/>
        </w:rPr>
        <w:t>(I) (B.S. vom 31. Dezember 2009)</w:t>
      </w:r>
      <w:r w:rsidR="00251671" w:rsidRPr="009118AB">
        <w:rPr>
          <w:i/>
          <w:iCs/>
        </w:rPr>
        <w:t xml:space="preserve"> und </w:t>
      </w:r>
      <w:r w:rsidR="00D67EB8" w:rsidRPr="009118AB">
        <w:rPr>
          <w:i/>
          <w:iCs/>
        </w:rPr>
        <w:t>Art. </w:t>
      </w:r>
      <w:r w:rsidR="00251671" w:rsidRPr="009118AB">
        <w:rPr>
          <w:i/>
          <w:iCs/>
        </w:rPr>
        <w:t>107 des G. vom 19. Dezember 2014 (B.S. vom 29. Dezember 2014)</w:t>
      </w:r>
      <w:r w:rsidR="00D67EB8" w:rsidRPr="009118AB">
        <w:rPr>
          <w:i/>
          <w:iCs/>
        </w:rPr>
        <w:t> - </w:t>
      </w:r>
      <w:r w:rsidR="00251671" w:rsidRPr="009118AB">
        <w:rPr>
          <w:i/>
          <w:iCs/>
        </w:rPr>
        <w:t>anwendbar ab dem Steuerjahr 2016</w:t>
      </w:r>
      <w:r w:rsidR="003366D9" w:rsidRPr="009118AB">
        <w:rPr>
          <w:i/>
          <w:iCs/>
        </w:rPr>
        <w:t> -;</w:t>
      </w:r>
      <w:r w:rsidR="003C1FCF" w:rsidRPr="009118AB">
        <w:rPr>
          <w:i/>
          <w:iCs/>
        </w:rPr>
        <w:t xml:space="preserve"> </w:t>
      </w:r>
      <w:r w:rsidR="00D67EB8" w:rsidRPr="009118AB">
        <w:rPr>
          <w:i/>
          <w:iCs/>
        </w:rPr>
        <w:t>§ </w:t>
      </w:r>
      <w:r w:rsidR="002B24CE" w:rsidRPr="009118AB">
        <w:rPr>
          <w:i/>
          <w:iCs/>
        </w:rPr>
        <w:t xml:space="preserve">2 </w:t>
      </w:r>
      <w:r w:rsidR="00D67EB8" w:rsidRPr="009118AB">
        <w:rPr>
          <w:i/>
          <w:iCs/>
        </w:rPr>
        <w:t>Abs. </w:t>
      </w:r>
      <w:r w:rsidR="003C1FCF" w:rsidRPr="009118AB">
        <w:rPr>
          <w:i/>
          <w:iCs/>
        </w:rPr>
        <w:t xml:space="preserve">2 und 3 eingefügt durch </w:t>
      </w:r>
      <w:r w:rsidR="00D67EB8" w:rsidRPr="009118AB">
        <w:rPr>
          <w:i/>
          <w:iCs/>
        </w:rPr>
        <w:t>Art. </w:t>
      </w:r>
      <w:r w:rsidR="003C1FCF" w:rsidRPr="009118AB">
        <w:rPr>
          <w:i/>
          <w:iCs/>
        </w:rPr>
        <w:t>28 des G. vom 21. Januar 2022 (B.S. vom 28. Januar 2022</w:t>
      </w:r>
      <w:r w:rsidR="00EA1D34">
        <w:rPr>
          <w:i/>
          <w:iCs/>
        </w:rPr>
        <w:t>)</w:t>
      </w:r>
      <w:r w:rsidR="00D1767D">
        <w:rPr>
          <w:i/>
          <w:iCs/>
        </w:rPr>
        <w:t>; § 3 eingefügt durch Art. 41 des G. vom 25. April 2024 (B.S. vom 16. Mai 2024)</w:t>
      </w:r>
      <w:r w:rsidR="00FD68E8" w:rsidRPr="009118AB">
        <w:rPr>
          <w:i/>
          <w:iCs/>
        </w:rPr>
        <w:t>]</w:t>
      </w:r>
    </w:p>
    <w:p w14:paraId="1635936A" w14:textId="77777777" w:rsidR="00FF78E3" w:rsidRPr="009118AB" w:rsidRDefault="00FF78E3" w:rsidP="00CB66B4">
      <w:pPr>
        <w:autoSpaceDE w:val="0"/>
        <w:autoSpaceDN w:val="0"/>
        <w:adjustRightInd w:val="0"/>
        <w:jc w:val="both"/>
      </w:pPr>
    </w:p>
    <w:p w14:paraId="20650E25" w14:textId="77777777" w:rsidR="00477B8F" w:rsidRPr="009118AB" w:rsidRDefault="00477B8F" w:rsidP="00CB66B4">
      <w:pPr>
        <w:autoSpaceDE w:val="0"/>
        <w:autoSpaceDN w:val="0"/>
        <w:adjustRightInd w:val="0"/>
        <w:jc w:val="both"/>
      </w:pPr>
    </w:p>
    <w:p w14:paraId="5FDC639A" w14:textId="0E8D6DAF" w:rsidR="00477B8F" w:rsidRPr="009118AB" w:rsidRDefault="00477B8F" w:rsidP="00CB66B4">
      <w:pPr>
        <w:autoSpaceDE w:val="0"/>
        <w:autoSpaceDN w:val="0"/>
        <w:adjustRightInd w:val="0"/>
        <w:jc w:val="both"/>
      </w:pPr>
      <w:r w:rsidRPr="009118AB">
        <w:tab/>
      </w:r>
      <w:r w:rsidR="00D67EB8" w:rsidRPr="009118AB">
        <w:rPr>
          <w:b/>
          <w:bCs/>
        </w:rPr>
        <w:t>Art. </w:t>
      </w:r>
      <w:r w:rsidRPr="009118AB">
        <w:rPr>
          <w:b/>
          <w:bCs/>
        </w:rPr>
        <w:t>40</w:t>
      </w:r>
      <w:r w:rsidR="00D67EB8" w:rsidRPr="009118AB">
        <w:t> - </w:t>
      </w:r>
      <w:r w:rsidRPr="009118AB">
        <w:t xml:space="preserve">[[Gewinnbeteiligungen in Bezug auf Lebensversicherungsverträge, auf ergänzende Pensionsvereinbarungen für Arbeitnehmer oder Unternehmensleiter, die in Artikel 32 Absatz 1 </w:t>
      </w:r>
      <w:r w:rsidR="00D67EB8" w:rsidRPr="009118AB">
        <w:t>Nr. </w:t>
      </w:r>
      <w:r w:rsidRPr="009118AB">
        <w:t>1 erwähnt und im Rahmen eines Arbeitsvertrags beschäftigt sind, oder auf ergänzende Pensionsabkommen für Selbständige sind steuerfrei, sofern sie gleichzeitig mit den aus diesen Verträgen, Vereinbarungen oder Abkommen hervorgehenden Pensionen, ergänzenden Pensionen, Renten, Kapitalien oder Rückkaufswerten ausgezahlt werden.]</w:t>
      </w:r>
    </w:p>
    <w:p w14:paraId="24E5F3B2" w14:textId="77777777" w:rsidR="009F1BA0" w:rsidRPr="009118AB" w:rsidRDefault="009F1BA0" w:rsidP="00CB66B4">
      <w:pPr>
        <w:autoSpaceDE w:val="0"/>
        <w:autoSpaceDN w:val="0"/>
        <w:adjustRightInd w:val="0"/>
        <w:jc w:val="both"/>
      </w:pPr>
    </w:p>
    <w:p w14:paraId="24C2CAF5" w14:textId="77777777" w:rsidR="00477B8F" w:rsidRPr="009118AB" w:rsidRDefault="00477B8F" w:rsidP="00CB66B4">
      <w:pPr>
        <w:autoSpaceDE w:val="0"/>
        <w:autoSpaceDN w:val="0"/>
        <w:adjustRightInd w:val="0"/>
        <w:jc w:val="both"/>
      </w:pPr>
      <w:r w:rsidRPr="009118AB">
        <w:tab/>
        <w:t xml:space="preserve">Als Gewinnbeteiligungen gelten die </w:t>
      </w:r>
      <w:r w:rsidR="009F1A1F" w:rsidRPr="009118AB">
        <w:t>[in Artikel 183</w:t>
      </w:r>
      <w:r w:rsidR="009F1A1F" w:rsidRPr="009118AB">
        <w:rPr>
          <w:i/>
          <w:iCs/>
        </w:rPr>
        <w:t>bis</w:t>
      </w:r>
      <w:r w:rsidR="009F1A1F" w:rsidRPr="009118AB">
        <w:t xml:space="preserve"> des Gesetzbuches der verschie</w:t>
      </w:r>
      <w:r w:rsidR="009F1A1F" w:rsidRPr="009118AB">
        <w:softHyphen/>
        <w:t xml:space="preserve">denen Gebühren und Steuern] </w:t>
      </w:r>
      <w:r w:rsidRPr="009118AB">
        <w:t>definierten Beteiligungen, selbst wenn sie aufgrund von Artikel 183</w:t>
      </w:r>
      <w:r w:rsidRPr="009118AB">
        <w:rPr>
          <w:i/>
          <w:iCs/>
        </w:rPr>
        <w:t>quinquies</w:t>
      </w:r>
      <w:r w:rsidRPr="009118AB">
        <w:t xml:space="preserve"> desselben Gesetzbuches steuerfrei sind.]</w:t>
      </w:r>
    </w:p>
    <w:p w14:paraId="5FF0E3EE" w14:textId="77777777" w:rsidR="00477B8F" w:rsidRPr="009118AB" w:rsidRDefault="00477B8F" w:rsidP="00CB66B4">
      <w:pPr>
        <w:autoSpaceDE w:val="0"/>
        <w:autoSpaceDN w:val="0"/>
        <w:adjustRightInd w:val="0"/>
        <w:jc w:val="both"/>
      </w:pPr>
    </w:p>
    <w:p w14:paraId="376513E1" w14:textId="70146098" w:rsidR="001E243B" w:rsidRPr="009118AB" w:rsidRDefault="00477B8F" w:rsidP="00CB66B4">
      <w:pPr>
        <w:autoSpaceDE w:val="0"/>
        <w:autoSpaceDN w:val="0"/>
        <w:adjustRightInd w:val="0"/>
        <w:jc w:val="both"/>
      </w:pPr>
      <w:r w:rsidRPr="009118AB">
        <w:rPr>
          <w:i/>
          <w:iCs/>
        </w:rPr>
        <w:t>[</w:t>
      </w:r>
      <w:r w:rsidR="00D67EB8" w:rsidRPr="009118AB">
        <w:rPr>
          <w:i/>
          <w:iCs/>
        </w:rPr>
        <w:t>Art. </w:t>
      </w:r>
      <w:r w:rsidRPr="009118AB">
        <w:rPr>
          <w:i/>
          <w:iCs/>
        </w:rPr>
        <w:t xml:space="preserve">40 ersetzt durch </w:t>
      </w:r>
      <w:r w:rsidR="00D67EB8" w:rsidRPr="009118AB">
        <w:rPr>
          <w:i/>
          <w:iCs/>
        </w:rPr>
        <w:t>Art. </w:t>
      </w:r>
      <w:r w:rsidRPr="009118AB">
        <w:rPr>
          <w:i/>
          <w:iCs/>
        </w:rPr>
        <w:t>78 des G. vom 28. April 2003 (B.S. vom 15. Mai 2003)</w:t>
      </w:r>
      <w:r w:rsidR="00D67EB8" w:rsidRPr="009118AB">
        <w:rPr>
          <w:i/>
          <w:iCs/>
        </w:rPr>
        <w:t> - </w:t>
      </w:r>
      <w:r w:rsidRPr="009118AB">
        <w:rPr>
          <w:i/>
          <w:iCs/>
        </w:rPr>
        <w:t xml:space="preserve">anwendbar auf Leibrenten, Renten, Entschädigungen, andere als in </w:t>
      </w:r>
      <w:r w:rsidR="00D67EB8" w:rsidRPr="009118AB">
        <w:rPr>
          <w:i/>
          <w:iCs/>
        </w:rPr>
        <w:t>Art. </w:t>
      </w:r>
      <w:r w:rsidRPr="009118AB">
        <w:rPr>
          <w:i/>
          <w:iCs/>
        </w:rPr>
        <w:t xml:space="preserve">23 </w:t>
      </w:r>
      <w:r w:rsidR="00D67EB8" w:rsidRPr="009118AB">
        <w:rPr>
          <w:i/>
          <w:iCs/>
        </w:rPr>
        <w:t>§ </w:t>
      </w:r>
      <w:r w:rsidRPr="009118AB">
        <w:rPr>
          <w:i/>
          <w:iCs/>
        </w:rPr>
        <w:t xml:space="preserve">3 Buchstabe A </w:t>
      </w:r>
      <w:r w:rsidR="00D67EB8" w:rsidRPr="009118AB">
        <w:rPr>
          <w:i/>
          <w:iCs/>
        </w:rPr>
        <w:t>Nr. </w:t>
      </w:r>
      <w:r w:rsidRPr="009118AB">
        <w:rPr>
          <w:i/>
          <w:iCs/>
        </w:rPr>
        <w:t>6 erwähnte Kapitalien, Rückkaufswerte von Lebensversicherungsverträgen, Pensionen und ergänzende Pensionen, die ab dem 1. Januar 2004 ausgezahlt werden</w:t>
      </w:r>
      <w:r w:rsidR="003366D9" w:rsidRPr="009118AB">
        <w:rPr>
          <w:i/>
          <w:iCs/>
        </w:rPr>
        <w:t> -;</w:t>
      </w:r>
      <w:r w:rsidRPr="009118AB">
        <w:rPr>
          <w:i/>
          <w:iCs/>
        </w:rPr>
        <w:t xml:space="preserve"> </w:t>
      </w:r>
      <w:r w:rsidR="00D67EB8" w:rsidRPr="009118AB">
        <w:rPr>
          <w:i/>
          <w:iCs/>
        </w:rPr>
        <w:t>Abs. </w:t>
      </w:r>
      <w:r w:rsidRPr="009118AB">
        <w:rPr>
          <w:i/>
          <w:iCs/>
        </w:rPr>
        <w:t xml:space="preserve">1 ersetzt durch </w:t>
      </w:r>
      <w:r w:rsidR="00D67EB8" w:rsidRPr="009118AB">
        <w:rPr>
          <w:i/>
          <w:iCs/>
        </w:rPr>
        <w:t>Art. </w:t>
      </w:r>
      <w:r w:rsidRPr="009118AB">
        <w:rPr>
          <w:i/>
          <w:iCs/>
        </w:rPr>
        <w:t>166 des G. vom 27. Dezember 2005 (II) (B.S. vom 30. Dezember 2005)</w:t>
      </w:r>
      <w:r w:rsidR="00D67EB8" w:rsidRPr="009118AB">
        <w:rPr>
          <w:i/>
          <w:iCs/>
        </w:rPr>
        <w:t> - </w:t>
      </w:r>
      <w:r w:rsidRPr="009118AB">
        <w:rPr>
          <w:i/>
          <w:iCs/>
        </w:rPr>
        <w:t>in Kraft ab dem Steuerjahr</w:t>
      </w:r>
      <w:r w:rsidR="00B81FCA" w:rsidRPr="009118AB">
        <w:rPr>
          <w:i/>
          <w:iCs/>
        </w:rPr>
        <w:t> </w:t>
      </w:r>
      <w:r w:rsidRPr="009118AB">
        <w:rPr>
          <w:i/>
          <w:iCs/>
        </w:rPr>
        <w:t>2006</w:t>
      </w:r>
      <w:r w:rsidR="003366D9" w:rsidRPr="009118AB">
        <w:rPr>
          <w:i/>
          <w:iCs/>
        </w:rPr>
        <w:t> -;</w:t>
      </w:r>
      <w:r w:rsidR="00B81FCA" w:rsidRPr="009118AB">
        <w:rPr>
          <w:i/>
          <w:iCs/>
        </w:rPr>
        <w:t xml:space="preserve"> </w:t>
      </w:r>
      <w:r w:rsidR="00D67EB8" w:rsidRPr="009118AB">
        <w:rPr>
          <w:i/>
          <w:iCs/>
        </w:rPr>
        <w:t>Abs. </w:t>
      </w:r>
      <w:r w:rsidR="00B81FCA" w:rsidRPr="009118AB">
        <w:rPr>
          <w:i/>
          <w:iCs/>
        </w:rPr>
        <w:t xml:space="preserve">2 abgeändert durch </w:t>
      </w:r>
      <w:r w:rsidR="00D67EB8" w:rsidRPr="009118AB">
        <w:rPr>
          <w:i/>
          <w:iCs/>
        </w:rPr>
        <w:t>Art. </w:t>
      </w:r>
      <w:r w:rsidR="009F1A1F" w:rsidRPr="009118AB">
        <w:rPr>
          <w:i/>
          <w:iCs/>
        </w:rPr>
        <w:t xml:space="preserve">8 des </w:t>
      </w:r>
      <w:r w:rsidR="00DC1F9F" w:rsidRPr="009118AB">
        <w:rPr>
          <w:i/>
          <w:iCs/>
        </w:rPr>
        <w:t>G. vom 22. Dezember 2009 (I)</w:t>
      </w:r>
      <w:r w:rsidR="009F1A1F" w:rsidRPr="009118AB">
        <w:rPr>
          <w:i/>
          <w:iCs/>
        </w:rPr>
        <w:t xml:space="preserve"> (B.S. vom 31. Dezember 2009)</w:t>
      </w:r>
      <w:r w:rsidRPr="009118AB">
        <w:rPr>
          <w:i/>
          <w:iCs/>
        </w:rPr>
        <w:t>]</w:t>
      </w:r>
    </w:p>
    <w:p w14:paraId="1A20483C" w14:textId="77777777" w:rsidR="00DF1146" w:rsidRPr="009118AB" w:rsidRDefault="00DF1146" w:rsidP="00CB66B4">
      <w:pPr>
        <w:autoSpaceDE w:val="0"/>
        <w:autoSpaceDN w:val="0"/>
        <w:adjustRightInd w:val="0"/>
        <w:jc w:val="both"/>
      </w:pPr>
    </w:p>
    <w:p w14:paraId="3C76F051" w14:textId="77777777" w:rsidR="00DF1146" w:rsidRPr="009118AB" w:rsidRDefault="00DF1146">
      <w:r w:rsidRPr="009118AB">
        <w:br w:type="page"/>
      </w:r>
    </w:p>
    <w:p w14:paraId="3BB8603A" w14:textId="637FE4BC" w:rsidR="00477B8F" w:rsidRPr="009118AB" w:rsidRDefault="00477B8F" w:rsidP="00CB66B4">
      <w:pPr>
        <w:autoSpaceDE w:val="0"/>
        <w:autoSpaceDN w:val="0"/>
        <w:adjustRightInd w:val="0"/>
        <w:jc w:val="both"/>
      </w:pPr>
      <w:r w:rsidRPr="009118AB">
        <w:lastRenderedPageBreak/>
        <w:tab/>
      </w:r>
      <w:r w:rsidRPr="009118AB">
        <w:rPr>
          <w:i/>
          <w:iCs/>
        </w:rPr>
        <w:t xml:space="preserve">C. </w:t>
      </w:r>
      <w:r w:rsidRPr="009118AB">
        <w:t>Mehrwerte</w:t>
      </w:r>
    </w:p>
    <w:p w14:paraId="2B506178" w14:textId="1E6BD1A6" w:rsidR="00477B8F" w:rsidRPr="009118AB" w:rsidRDefault="00477B8F" w:rsidP="00CB66B4">
      <w:pPr>
        <w:autoSpaceDE w:val="0"/>
        <w:autoSpaceDN w:val="0"/>
        <w:adjustRightInd w:val="0"/>
        <w:jc w:val="both"/>
      </w:pPr>
    </w:p>
    <w:p w14:paraId="29569982" w14:textId="77777777" w:rsidR="005A03F0" w:rsidRPr="009118AB" w:rsidRDefault="005A03F0" w:rsidP="00CB66B4">
      <w:pPr>
        <w:autoSpaceDE w:val="0"/>
        <w:autoSpaceDN w:val="0"/>
        <w:adjustRightInd w:val="0"/>
        <w:jc w:val="both"/>
      </w:pPr>
    </w:p>
    <w:p w14:paraId="41156498" w14:textId="17B74866" w:rsidR="00477B8F" w:rsidRPr="009118AB" w:rsidRDefault="00477B8F" w:rsidP="00CB66B4">
      <w:pPr>
        <w:autoSpaceDE w:val="0"/>
        <w:autoSpaceDN w:val="0"/>
        <w:adjustRightInd w:val="0"/>
        <w:jc w:val="both"/>
      </w:pPr>
      <w:r w:rsidRPr="009118AB">
        <w:tab/>
      </w:r>
      <w:r w:rsidR="00D67EB8" w:rsidRPr="009118AB">
        <w:rPr>
          <w:b/>
          <w:bCs/>
        </w:rPr>
        <w:t>Art. </w:t>
      </w:r>
      <w:r w:rsidRPr="009118AB">
        <w:rPr>
          <w:b/>
          <w:bCs/>
        </w:rPr>
        <w:t>41</w:t>
      </w:r>
      <w:r w:rsidR="00D67EB8" w:rsidRPr="009118AB">
        <w:t> - </w:t>
      </w:r>
      <w:r w:rsidRPr="009118AB">
        <w:t xml:space="preserve">Für die Anwendung der Artikel 24 Absatz 1 </w:t>
      </w:r>
      <w:r w:rsidR="00D67EB8" w:rsidRPr="009118AB">
        <w:t>Nr. </w:t>
      </w:r>
      <w:r w:rsidRPr="009118AB">
        <w:t xml:space="preserve">2, 27 Absatz 2 </w:t>
      </w:r>
      <w:r w:rsidR="00D67EB8" w:rsidRPr="009118AB">
        <w:t>Nr. </w:t>
      </w:r>
      <w:r w:rsidRPr="009118AB">
        <w:t>3 und 28 gelten als zur Ausübung der Berufstätigkeit genutzt:</w:t>
      </w:r>
    </w:p>
    <w:p w14:paraId="6CC0E09A" w14:textId="77777777" w:rsidR="00477B8F" w:rsidRPr="009118AB" w:rsidRDefault="00477B8F" w:rsidP="00CB66B4">
      <w:pPr>
        <w:autoSpaceDE w:val="0"/>
        <w:autoSpaceDN w:val="0"/>
        <w:adjustRightInd w:val="0"/>
        <w:jc w:val="both"/>
      </w:pPr>
    </w:p>
    <w:p w14:paraId="3E75556D" w14:textId="77777777" w:rsidR="00477B8F" w:rsidRPr="009118AB" w:rsidRDefault="00477B8F" w:rsidP="00CB66B4">
      <w:pPr>
        <w:autoSpaceDE w:val="0"/>
        <w:autoSpaceDN w:val="0"/>
        <w:adjustRightInd w:val="0"/>
        <w:jc w:val="both"/>
      </w:pPr>
      <w:r w:rsidRPr="009118AB">
        <w:tab/>
        <w:t>1. Anlagen, die im Rahmen dieser Berufstätigkeit erworben oder gebildet werden und unter den Aktiva ausgewiesen sind,</w:t>
      </w:r>
    </w:p>
    <w:p w14:paraId="365B1C93" w14:textId="77777777" w:rsidR="00477B8F" w:rsidRPr="009118AB" w:rsidRDefault="00477B8F" w:rsidP="00CB66B4">
      <w:pPr>
        <w:autoSpaceDE w:val="0"/>
        <w:autoSpaceDN w:val="0"/>
        <w:adjustRightInd w:val="0"/>
        <w:jc w:val="both"/>
      </w:pPr>
    </w:p>
    <w:p w14:paraId="60641568" w14:textId="77777777" w:rsidR="00477B8F" w:rsidRPr="009118AB" w:rsidRDefault="00477B8F" w:rsidP="00CB66B4">
      <w:pPr>
        <w:autoSpaceDE w:val="0"/>
        <w:autoSpaceDN w:val="0"/>
        <w:adjustRightInd w:val="0"/>
        <w:jc w:val="both"/>
      </w:pPr>
      <w:r w:rsidRPr="009118AB">
        <w:tab/>
        <w:t>2. Anlagen oder Teile davon, aufgrund deren Abschreibungen oder Wertminderungen steuerlich zugelassen werden,</w:t>
      </w:r>
    </w:p>
    <w:p w14:paraId="7A962718" w14:textId="77777777" w:rsidR="00477B8F" w:rsidRPr="009118AB" w:rsidRDefault="00477B8F" w:rsidP="00CB66B4">
      <w:pPr>
        <w:autoSpaceDE w:val="0"/>
        <w:autoSpaceDN w:val="0"/>
        <w:adjustRightInd w:val="0"/>
        <w:jc w:val="both"/>
      </w:pPr>
    </w:p>
    <w:p w14:paraId="6D66CEA2" w14:textId="77777777" w:rsidR="00477B8F" w:rsidRPr="009118AB" w:rsidRDefault="00477B8F" w:rsidP="00CB66B4">
      <w:pPr>
        <w:autoSpaceDE w:val="0"/>
        <w:autoSpaceDN w:val="0"/>
        <w:adjustRightInd w:val="0"/>
        <w:jc w:val="both"/>
      </w:pPr>
      <w:r w:rsidRPr="009118AB">
        <w:tab/>
        <w:t>3. immaterielle Anlagen, die während der Ausübung der Berufstätigkeit gebildet werden und unter den Aktiva ausgewiesen sind oder nicht.</w:t>
      </w:r>
    </w:p>
    <w:p w14:paraId="1C121411" w14:textId="77777777" w:rsidR="00477B8F" w:rsidRPr="009118AB" w:rsidRDefault="00477B8F" w:rsidP="00CB66B4">
      <w:pPr>
        <w:autoSpaceDE w:val="0"/>
        <w:autoSpaceDN w:val="0"/>
        <w:adjustRightInd w:val="0"/>
        <w:jc w:val="both"/>
      </w:pPr>
    </w:p>
    <w:p w14:paraId="7C988359" w14:textId="77777777" w:rsidR="00477B8F" w:rsidRPr="009118AB" w:rsidRDefault="00477B8F" w:rsidP="00CB66B4">
      <w:pPr>
        <w:autoSpaceDE w:val="0"/>
        <w:autoSpaceDN w:val="0"/>
        <w:adjustRightInd w:val="0"/>
        <w:jc w:val="both"/>
      </w:pPr>
    </w:p>
    <w:p w14:paraId="01F3EFDC" w14:textId="44F98D9A" w:rsidR="00477B8F" w:rsidRPr="009118AB" w:rsidRDefault="00477B8F" w:rsidP="00CB66B4">
      <w:pPr>
        <w:autoSpaceDE w:val="0"/>
        <w:autoSpaceDN w:val="0"/>
        <w:adjustRightInd w:val="0"/>
        <w:jc w:val="both"/>
      </w:pPr>
      <w:r w:rsidRPr="009118AB">
        <w:tab/>
      </w:r>
      <w:r w:rsidR="00D67EB8" w:rsidRPr="009118AB">
        <w:rPr>
          <w:b/>
          <w:bCs/>
        </w:rPr>
        <w:t>Art. </w:t>
      </w:r>
      <w:r w:rsidRPr="009118AB">
        <w:rPr>
          <w:b/>
          <w:bCs/>
        </w:rPr>
        <w:t>42</w:t>
      </w:r>
      <w:r w:rsidR="00D67EB8" w:rsidRPr="009118AB">
        <w:t> - </w:t>
      </w:r>
      <w:r w:rsidRPr="009118AB">
        <w:t>Bestandteile, die Gegenstand eines Veräußerungsgeschäfts sind, das einer auflösenden Bedingung unterworfen ist, gelten in Abweichung von Artikel 1183 des Zivilgesetzbuches erst ab dem Datum als zur Ausübung der Berufstätigkeit genutzt, ab dem diese Bedingung erfüllt ist.</w:t>
      </w:r>
    </w:p>
    <w:p w14:paraId="06458E96" w14:textId="77777777" w:rsidR="00477B8F" w:rsidRPr="009118AB" w:rsidRDefault="00477B8F" w:rsidP="00CB66B4">
      <w:pPr>
        <w:autoSpaceDE w:val="0"/>
        <w:autoSpaceDN w:val="0"/>
        <w:adjustRightInd w:val="0"/>
        <w:jc w:val="both"/>
      </w:pPr>
    </w:p>
    <w:p w14:paraId="357BC4CC" w14:textId="77777777" w:rsidR="00477B8F" w:rsidRPr="009118AB" w:rsidRDefault="00477B8F" w:rsidP="00CB66B4">
      <w:pPr>
        <w:autoSpaceDE w:val="0"/>
        <w:autoSpaceDN w:val="0"/>
        <w:adjustRightInd w:val="0"/>
        <w:jc w:val="both"/>
      </w:pPr>
    </w:p>
    <w:p w14:paraId="68398856" w14:textId="6371CA12" w:rsidR="00477B8F" w:rsidRPr="009118AB" w:rsidRDefault="00C31D59" w:rsidP="00CB66B4">
      <w:pPr>
        <w:autoSpaceDE w:val="0"/>
        <w:autoSpaceDN w:val="0"/>
        <w:adjustRightInd w:val="0"/>
        <w:jc w:val="both"/>
      </w:pPr>
      <w:r w:rsidRPr="009118AB">
        <w:tab/>
      </w:r>
      <w:r w:rsidR="00D67EB8" w:rsidRPr="009118AB">
        <w:rPr>
          <w:b/>
          <w:bCs/>
        </w:rPr>
        <w:t>Art. </w:t>
      </w:r>
      <w:r w:rsidR="00477B8F" w:rsidRPr="009118AB">
        <w:rPr>
          <w:b/>
          <w:bCs/>
        </w:rPr>
        <w:t>43</w:t>
      </w:r>
      <w:r w:rsidR="00D67EB8" w:rsidRPr="009118AB">
        <w:t> - </w:t>
      </w:r>
      <w:r w:rsidR="00477B8F" w:rsidRPr="009118AB">
        <w:t>Der verwirklichte Mehrwert entspricht der Plusdifferenz zwischen einerseits der erhaltenen Entschädigung oder dem Veräußerungswert des Gutes [abzüglich der Veräußerungskosten] und andererseits dem Anschaffungs- oder Investitionswert dieses Gutes abzüglich der vorher zugelassenen Wertminderungen und Abschreibungen.</w:t>
      </w:r>
    </w:p>
    <w:p w14:paraId="02302BAE" w14:textId="77777777" w:rsidR="00477B8F" w:rsidRPr="009118AB" w:rsidRDefault="00477B8F" w:rsidP="00CB66B4">
      <w:pPr>
        <w:autoSpaceDE w:val="0"/>
        <w:autoSpaceDN w:val="0"/>
        <w:adjustRightInd w:val="0"/>
        <w:jc w:val="both"/>
      </w:pPr>
    </w:p>
    <w:p w14:paraId="0D085CEC" w14:textId="1211B031" w:rsidR="00477B8F" w:rsidRPr="009118AB" w:rsidRDefault="00477B8F" w:rsidP="00CB66B4">
      <w:pPr>
        <w:autoSpaceDE w:val="0"/>
        <w:autoSpaceDN w:val="0"/>
        <w:adjustRightInd w:val="0"/>
        <w:jc w:val="both"/>
      </w:pPr>
      <w:r w:rsidRPr="009118AB">
        <w:rPr>
          <w:i/>
          <w:iCs/>
        </w:rPr>
        <w:t>[</w:t>
      </w:r>
      <w:r w:rsidR="00D67EB8" w:rsidRPr="009118AB">
        <w:rPr>
          <w:i/>
          <w:iCs/>
        </w:rPr>
        <w:t>Art. </w:t>
      </w:r>
      <w:r w:rsidRPr="009118AB">
        <w:rPr>
          <w:i/>
          <w:iCs/>
        </w:rPr>
        <w:t xml:space="preserve">43 abgeändert durch </w:t>
      </w:r>
      <w:r w:rsidR="00D67EB8" w:rsidRPr="009118AB">
        <w:rPr>
          <w:i/>
          <w:iCs/>
        </w:rPr>
        <w:t>Art. </w:t>
      </w:r>
      <w:r w:rsidRPr="009118AB">
        <w:rPr>
          <w:i/>
          <w:iCs/>
        </w:rPr>
        <w:t>2 des G. vom 22. Juni 2005 (B.S. vom 30. Juni 2005)</w:t>
      </w:r>
      <w:r w:rsidR="00D67EB8" w:rsidRPr="009118AB">
        <w:rPr>
          <w:i/>
          <w:iCs/>
        </w:rPr>
        <w:t> - </w:t>
      </w:r>
      <w:r w:rsidRPr="009118AB">
        <w:rPr>
          <w:i/>
          <w:iCs/>
        </w:rPr>
        <w:t>in Kraft ab dem Steuerjahr 2007</w:t>
      </w:r>
      <w:r w:rsidR="00FD68E8" w:rsidRPr="009118AB">
        <w:rPr>
          <w:i/>
          <w:iCs/>
        </w:rPr>
        <w:t> -]</w:t>
      </w:r>
    </w:p>
    <w:p w14:paraId="14E191BF" w14:textId="77777777" w:rsidR="00477B8F" w:rsidRPr="009118AB" w:rsidRDefault="00477B8F" w:rsidP="00CB66B4">
      <w:pPr>
        <w:autoSpaceDE w:val="0"/>
        <w:autoSpaceDN w:val="0"/>
        <w:adjustRightInd w:val="0"/>
        <w:jc w:val="both"/>
      </w:pPr>
    </w:p>
    <w:p w14:paraId="2CA105D9" w14:textId="77777777" w:rsidR="00477B8F" w:rsidRPr="009118AB" w:rsidRDefault="00477B8F" w:rsidP="00CB66B4">
      <w:pPr>
        <w:autoSpaceDE w:val="0"/>
        <w:autoSpaceDN w:val="0"/>
        <w:adjustRightInd w:val="0"/>
        <w:jc w:val="both"/>
      </w:pPr>
    </w:p>
    <w:p w14:paraId="386A2CA3" w14:textId="6749F1A9" w:rsidR="00477B8F" w:rsidRPr="009118AB" w:rsidRDefault="00477B8F" w:rsidP="00CB66B4">
      <w:pPr>
        <w:autoSpaceDE w:val="0"/>
        <w:autoSpaceDN w:val="0"/>
        <w:adjustRightInd w:val="0"/>
        <w:jc w:val="both"/>
      </w:pPr>
      <w:r w:rsidRPr="009118AB">
        <w:tab/>
      </w:r>
      <w:r w:rsidR="00D67EB8" w:rsidRPr="009118AB">
        <w:rPr>
          <w:b/>
          <w:bCs/>
        </w:rPr>
        <w:t>Art. </w:t>
      </w:r>
      <w:r w:rsidRPr="009118AB">
        <w:rPr>
          <w:b/>
          <w:bCs/>
        </w:rPr>
        <w:t>44</w:t>
      </w:r>
      <w:r w:rsidR="00D67EB8" w:rsidRPr="009118AB">
        <w:t> - § </w:t>
      </w:r>
      <w:r w:rsidRPr="009118AB">
        <w:t>1</w:t>
      </w:r>
      <w:r w:rsidR="00D67EB8" w:rsidRPr="009118AB">
        <w:t> - </w:t>
      </w:r>
      <w:r w:rsidRPr="009118AB">
        <w:t xml:space="preserve">In Abweichung von den Artikeln 24 Absatz 1 </w:t>
      </w:r>
      <w:r w:rsidR="00D67EB8" w:rsidRPr="009118AB">
        <w:t>Nr. </w:t>
      </w:r>
      <w:r w:rsidRPr="009118AB">
        <w:t xml:space="preserve">2, 27 Absatz 2 </w:t>
      </w:r>
      <w:r w:rsidR="00D67EB8" w:rsidRPr="009118AB">
        <w:t>Nr. </w:t>
      </w:r>
      <w:r w:rsidRPr="009118AB">
        <w:t xml:space="preserve">3 und 28 Absatz 1 </w:t>
      </w:r>
      <w:r w:rsidR="00D67EB8" w:rsidRPr="009118AB">
        <w:t>Nr. </w:t>
      </w:r>
      <w:r w:rsidRPr="009118AB">
        <w:t xml:space="preserve">1 und letzter Absatz und unbeschadet der Bestimmungen von Artikel 24 Absatz 1 </w:t>
      </w:r>
      <w:r w:rsidR="00D67EB8" w:rsidRPr="009118AB">
        <w:t>Nr. </w:t>
      </w:r>
      <w:r w:rsidRPr="009118AB">
        <w:t>3 sind steuerfrei:</w:t>
      </w:r>
    </w:p>
    <w:p w14:paraId="5C3F4064" w14:textId="77777777" w:rsidR="00477B8F" w:rsidRPr="009118AB" w:rsidRDefault="00477B8F" w:rsidP="00CB66B4">
      <w:pPr>
        <w:autoSpaceDE w:val="0"/>
        <w:autoSpaceDN w:val="0"/>
        <w:adjustRightInd w:val="0"/>
        <w:jc w:val="both"/>
      </w:pPr>
    </w:p>
    <w:p w14:paraId="01963651" w14:textId="77777777" w:rsidR="00477B8F" w:rsidRPr="009118AB" w:rsidRDefault="00477B8F" w:rsidP="00CB66B4">
      <w:pPr>
        <w:autoSpaceDE w:val="0"/>
        <w:autoSpaceDN w:val="0"/>
        <w:adjustRightInd w:val="0"/>
        <w:jc w:val="both"/>
      </w:pPr>
      <w:r w:rsidRPr="009118AB">
        <w:tab/>
        <w:t>1. aufgezeichnete, aber nicht verwirklichte Mehrwerte mit Ausnahme der Mehrwerte auf Bestände und auf die in Ausführung befindlichen Bestellungen,</w:t>
      </w:r>
    </w:p>
    <w:p w14:paraId="7AAE69CF" w14:textId="77777777" w:rsidR="00477B8F" w:rsidRPr="009118AB" w:rsidRDefault="00477B8F" w:rsidP="00CB66B4">
      <w:pPr>
        <w:autoSpaceDE w:val="0"/>
        <w:autoSpaceDN w:val="0"/>
        <w:adjustRightInd w:val="0"/>
        <w:jc w:val="both"/>
      </w:pPr>
    </w:p>
    <w:p w14:paraId="101E26BC" w14:textId="77777777" w:rsidR="00477B8F" w:rsidRPr="009118AB" w:rsidRDefault="00477B8F" w:rsidP="00CB66B4">
      <w:pPr>
        <w:autoSpaceDE w:val="0"/>
        <w:autoSpaceDN w:val="0"/>
        <w:adjustRightInd w:val="0"/>
        <w:jc w:val="both"/>
      </w:pPr>
      <w:r w:rsidRPr="009118AB">
        <w:tab/>
        <w:t>2. Mehrwerte, die auf immaterielle Anlagen, Sachanlagen und Finanzanlagen und andere Wertpapiere im Portefeuille verwirklicht werden, sofern die erhaltene Entschädigung oder der Veräußerungswert des Gutes den neu bewerteten Wert der veräußerten Aktiva abzüglich der vorher zugelassenen Abschreibungen und Wertminderungen nicht übersteigt.</w:t>
      </w:r>
    </w:p>
    <w:p w14:paraId="6FC0B4F7" w14:textId="77777777" w:rsidR="00CB66B4" w:rsidRPr="009118AB" w:rsidRDefault="00CB66B4" w:rsidP="00CB66B4">
      <w:pPr>
        <w:autoSpaceDE w:val="0"/>
        <w:autoSpaceDN w:val="0"/>
        <w:adjustRightInd w:val="0"/>
        <w:jc w:val="both"/>
      </w:pPr>
    </w:p>
    <w:p w14:paraId="4EEB4A30" w14:textId="22DF52FC" w:rsidR="00CB66B4" w:rsidRPr="009118AB" w:rsidRDefault="00477B8F" w:rsidP="00CB66B4">
      <w:pPr>
        <w:autoSpaceDE w:val="0"/>
        <w:autoSpaceDN w:val="0"/>
        <w:adjustRightInd w:val="0"/>
        <w:jc w:val="both"/>
      </w:pPr>
      <w:r w:rsidRPr="009118AB">
        <w:tab/>
      </w:r>
      <w:r w:rsidR="00D67EB8" w:rsidRPr="009118AB">
        <w:t>§ </w:t>
      </w:r>
      <w:r w:rsidRPr="009118AB">
        <w:t>2</w:t>
      </w:r>
      <w:r w:rsidR="00D67EB8" w:rsidRPr="009118AB">
        <w:t> - </w:t>
      </w:r>
      <w:r w:rsidRPr="009118AB">
        <w:t xml:space="preserve">Ungeachtet der Bestimmungen von </w:t>
      </w:r>
      <w:r w:rsidR="00D67EB8" w:rsidRPr="009118AB">
        <w:t>§ </w:t>
      </w:r>
      <w:r w:rsidRPr="009118AB">
        <w:t xml:space="preserve">1 </w:t>
      </w:r>
      <w:r w:rsidR="00D67EB8" w:rsidRPr="009118AB">
        <w:t>Nr. </w:t>
      </w:r>
      <w:r w:rsidRPr="009118AB">
        <w:t xml:space="preserve">2 sind Mehrwerte auf unbebaute unbewegliche Güter von Landwirtschafts- und Gartenbaubetrieben vollständig und uneingeschränkt steuerfrei unbeschadet ihrer Besteuerung als verschiedene Einkünfte gemäß </w:t>
      </w:r>
      <w:r w:rsidR="005C2510" w:rsidRPr="009118AB">
        <w:t xml:space="preserve">[Artikel 90 Absatz 1 </w:t>
      </w:r>
      <w:r w:rsidR="00D67EB8" w:rsidRPr="009118AB">
        <w:t>Nr. </w:t>
      </w:r>
      <w:r w:rsidR="005C2510" w:rsidRPr="009118AB">
        <w:t>8]</w:t>
      </w:r>
      <w:r w:rsidRPr="009118AB">
        <w:t>.</w:t>
      </w:r>
    </w:p>
    <w:p w14:paraId="3389E0FD" w14:textId="77777777" w:rsidR="001E243B" w:rsidRPr="009118AB" w:rsidRDefault="001E243B" w:rsidP="00CB66B4">
      <w:pPr>
        <w:autoSpaceDE w:val="0"/>
        <w:autoSpaceDN w:val="0"/>
        <w:adjustRightInd w:val="0"/>
        <w:jc w:val="both"/>
      </w:pPr>
    </w:p>
    <w:p w14:paraId="4B8923AD" w14:textId="6E6ED57B" w:rsidR="00477B8F" w:rsidRPr="009118AB" w:rsidRDefault="00477B8F" w:rsidP="00CB66B4">
      <w:pPr>
        <w:autoSpaceDE w:val="0"/>
        <w:autoSpaceDN w:val="0"/>
        <w:adjustRightInd w:val="0"/>
        <w:jc w:val="both"/>
      </w:pPr>
      <w:r w:rsidRPr="009118AB">
        <w:tab/>
      </w:r>
      <w:r w:rsidR="00D67EB8" w:rsidRPr="009118AB">
        <w:t>§ </w:t>
      </w:r>
      <w:r w:rsidRPr="009118AB">
        <w:t>3</w:t>
      </w:r>
      <w:r w:rsidR="00D67EB8" w:rsidRPr="009118AB">
        <w:t> - </w:t>
      </w:r>
      <w:r w:rsidRPr="009118AB">
        <w:t xml:space="preserve">Paragraph 1 </w:t>
      </w:r>
      <w:r w:rsidR="00D67EB8" w:rsidRPr="009118AB">
        <w:t>Nr. </w:t>
      </w:r>
      <w:r w:rsidRPr="009118AB">
        <w:t xml:space="preserve">1 ist nicht auf aufgezeichnete, aber nicht verwirklichte Mehrwerte anwendbar, die anlässlich der Umwandlung für denselben Steuerpflichtigen von Anteilsrechten </w:t>
      </w:r>
      <w:r w:rsidRPr="009118AB">
        <w:lastRenderedPageBreak/>
        <w:t>in einer Abteilung einer Investmentgesellschaft in Anteilsrechte in einer anderen Abteilung derselben Investmentgesellschaft festgestellt werden.</w:t>
      </w:r>
    </w:p>
    <w:p w14:paraId="672A6E8D" w14:textId="77777777" w:rsidR="005C2510" w:rsidRPr="009118AB" w:rsidRDefault="005C2510" w:rsidP="00CB66B4">
      <w:pPr>
        <w:autoSpaceDE w:val="0"/>
        <w:autoSpaceDN w:val="0"/>
        <w:adjustRightInd w:val="0"/>
        <w:jc w:val="both"/>
      </w:pPr>
    </w:p>
    <w:p w14:paraId="61DFF4BB" w14:textId="7873145E" w:rsidR="005C2510" w:rsidRPr="009118AB" w:rsidRDefault="005C2510" w:rsidP="00CB66B4">
      <w:pPr>
        <w:autoSpaceDE w:val="0"/>
        <w:autoSpaceDN w:val="0"/>
        <w:adjustRightInd w:val="0"/>
        <w:jc w:val="both"/>
        <w:rPr>
          <w:i/>
        </w:rPr>
      </w:pPr>
      <w:r w:rsidRPr="009118AB">
        <w:rPr>
          <w:i/>
        </w:rPr>
        <w:t>[</w:t>
      </w:r>
      <w:r w:rsidR="00D67EB8" w:rsidRPr="009118AB">
        <w:rPr>
          <w:i/>
        </w:rPr>
        <w:t>Art. </w:t>
      </w:r>
      <w:r w:rsidRPr="009118AB">
        <w:rPr>
          <w:i/>
        </w:rPr>
        <w:t xml:space="preserve">44 </w:t>
      </w:r>
      <w:r w:rsidR="00D67EB8" w:rsidRPr="009118AB">
        <w:rPr>
          <w:i/>
        </w:rPr>
        <w:t>§ </w:t>
      </w:r>
      <w:r w:rsidRPr="009118AB">
        <w:rPr>
          <w:i/>
        </w:rPr>
        <w:t xml:space="preserve">2 abgeändert durch </w:t>
      </w:r>
      <w:r w:rsidR="00D67EB8" w:rsidRPr="009118AB">
        <w:rPr>
          <w:i/>
        </w:rPr>
        <w:t>Art. </w:t>
      </w:r>
      <w:r w:rsidRPr="009118AB">
        <w:rPr>
          <w:i/>
        </w:rPr>
        <w:t>43 des G. vom 26. Dezember 2015 (II) (B.S. vom 30. Dezember 2015)</w:t>
      </w:r>
      <w:r w:rsidR="00D67EB8" w:rsidRPr="009118AB">
        <w:t> - </w:t>
      </w:r>
      <w:r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67BC9E25" w14:textId="77777777" w:rsidR="00477B8F" w:rsidRPr="009118AB" w:rsidRDefault="00477B8F" w:rsidP="00CB66B4">
      <w:pPr>
        <w:autoSpaceDE w:val="0"/>
        <w:autoSpaceDN w:val="0"/>
        <w:adjustRightInd w:val="0"/>
        <w:jc w:val="both"/>
      </w:pPr>
    </w:p>
    <w:p w14:paraId="4A0BE714" w14:textId="77777777" w:rsidR="00477B8F" w:rsidRPr="009118AB" w:rsidRDefault="00477B8F" w:rsidP="00CB66B4">
      <w:pPr>
        <w:autoSpaceDE w:val="0"/>
        <w:autoSpaceDN w:val="0"/>
        <w:adjustRightInd w:val="0"/>
        <w:jc w:val="both"/>
      </w:pPr>
    </w:p>
    <w:p w14:paraId="45ACCAD9" w14:textId="31133097" w:rsidR="00477B8F" w:rsidRPr="009118AB" w:rsidRDefault="00477B8F" w:rsidP="00CB66B4">
      <w:pPr>
        <w:autoSpaceDE w:val="0"/>
        <w:autoSpaceDN w:val="0"/>
        <w:adjustRightInd w:val="0"/>
        <w:jc w:val="both"/>
      </w:pPr>
      <w:r w:rsidRPr="009118AB">
        <w:tab/>
        <w:t>[</w:t>
      </w:r>
      <w:r w:rsidR="00D67EB8" w:rsidRPr="009118AB">
        <w:rPr>
          <w:b/>
          <w:bCs/>
        </w:rPr>
        <w:t>Art. </w:t>
      </w:r>
      <w:r w:rsidRPr="009118AB">
        <w:rPr>
          <w:b/>
          <w:bCs/>
        </w:rPr>
        <w:t>44</w:t>
      </w:r>
      <w:r w:rsidRPr="009118AB">
        <w:rPr>
          <w:b/>
          <w:bCs/>
          <w:i/>
          <w:iCs/>
        </w:rPr>
        <w:t>bis</w:t>
      </w:r>
      <w:r w:rsidR="00D67EB8" w:rsidRPr="009118AB">
        <w:t> - § </w:t>
      </w:r>
      <w:r w:rsidRPr="009118AB">
        <w:t>1</w:t>
      </w:r>
      <w:r w:rsidR="00D67EB8" w:rsidRPr="009118AB">
        <w:t> - </w:t>
      </w:r>
      <w:r w:rsidRPr="009118AB">
        <w:t>Mehrwerte, die unter den in Absatz 2 erwähnten Umständen auf Betriebsfahrzeuge verwirklicht werden, sind vollständig steuerfrei, wenn ein Betrag, der der erhaltenen Entschädigung oder dem Veräußerungswert entspricht, auf nachstehende Weise und binnen nachstehenden Fristen wieder angelegt wird.</w:t>
      </w:r>
    </w:p>
    <w:p w14:paraId="10EEC5D8" w14:textId="77777777" w:rsidR="00477B8F" w:rsidRPr="009118AB" w:rsidRDefault="00477B8F" w:rsidP="00CB66B4">
      <w:pPr>
        <w:autoSpaceDE w:val="0"/>
        <w:autoSpaceDN w:val="0"/>
        <w:adjustRightInd w:val="0"/>
        <w:jc w:val="both"/>
      </w:pPr>
    </w:p>
    <w:p w14:paraId="3328AF3C" w14:textId="77777777" w:rsidR="00477B8F" w:rsidRPr="009118AB" w:rsidRDefault="00477B8F" w:rsidP="00CB66B4">
      <w:pPr>
        <w:autoSpaceDE w:val="0"/>
        <w:autoSpaceDN w:val="0"/>
        <w:adjustRightInd w:val="0"/>
        <w:jc w:val="both"/>
      </w:pPr>
      <w:r w:rsidRPr="009118AB">
        <w:tab/>
        <w:t>Die Mehrwerte müssen verwirklicht werden:</w:t>
      </w:r>
    </w:p>
    <w:p w14:paraId="3AD75A61" w14:textId="77777777" w:rsidR="00477B8F" w:rsidRPr="009118AB" w:rsidRDefault="00477B8F" w:rsidP="00CB66B4">
      <w:pPr>
        <w:autoSpaceDE w:val="0"/>
        <w:autoSpaceDN w:val="0"/>
        <w:adjustRightInd w:val="0"/>
        <w:jc w:val="both"/>
      </w:pPr>
    </w:p>
    <w:p w14:paraId="72B2FCF3" w14:textId="77777777" w:rsidR="00477B8F" w:rsidRPr="009118AB" w:rsidRDefault="00477B8F" w:rsidP="00CB66B4">
      <w:pPr>
        <w:autoSpaceDE w:val="0"/>
        <w:autoSpaceDN w:val="0"/>
        <w:adjustRightInd w:val="0"/>
        <w:jc w:val="both"/>
      </w:pPr>
      <w:r w:rsidRPr="009118AB">
        <w:tab/>
        <w:t>1. anlässlich eines Schadensfalls, einer Eigentumsrequirierung oder eines anderen ähnlichen Ereignisses oder</w:t>
      </w:r>
    </w:p>
    <w:p w14:paraId="579EDB94" w14:textId="77777777" w:rsidR="00477B8F" w:rsidRPr="009118AB" w:rsidRDefault="00477B8F" w:rsidP="00CB66B4">
      <w:pPr>
        <w:autoSpaceDE w:val="0"/>
        <w:autoSpaceDN w:val="0"/>
        <w:adjustRightInd w:val="0"/>
        <w:jc w:val="both"/>
      </w:pPr>
    </w:p>
    <w:p w14:paraId="045AACCA" w14:textId="5A032F51" w:rsidR="00477B8F" w:rsidRPr="009118AB" w:rsidRDefault="00477B8F" w:rsidP="00CB66B4">
      <w:pPr>
        <w:autoSpaceDE w:val="0"/>
        <w:autoSpaceDN w:val="0"/>
        <w:adjustRightInd w:val="0"/>
        <w:jc w:val="both"/>
      </w:pPr>
      <w:r w:rsidRPr="009118AB">
        <w:tab/>
        <w:t xml:space="preserve">2. anlässlich einer nicht in </w:t>
      </w:r>
      <w:r w:rsidR="00D67EB8" w:rsidRPr="009118AB">
        <w:t>Nr. </w:t>
      </w:r>
      <w:r w:rsidRPr="009118AB">
        <w:t>1 erwähnten Veräußerung von Betriebsfahrzeugen, sofern die veräußerten Fahrzeuge seit mehr als drei Jahren vor ihrer Veräußerung die Beschaffenheit einer Anlage hatten.</w:t>
      </w:r>
    </w:p>
    <w:p w14:paraId="25A363B4" w14:textId="77777777" w:rsidR="00477B8F" w:rsidRPr="009118AB" w:rsidRDefault="00477B8F" w:rsidP="00CB66B4">
      <w:pPr>
        <w:autoSpaceDE w:val="0"/>
        <w:autoSpaceDN w:val="0"/>
        <w:adjustRightInd w:val="0"/>
        <w:jc w:val="both"/>
      </w:pPr>
    </w:p>
    <w:p w14:paraId="0834AB37" w14:textId="77777777" w:rsidR="00477B8F" w:rsidRPr="009118AB" w:rsidRDefault="00477B8F" w:rsidP="00CB66B4">
      <w:pPr>
        <w:autoSpaceDE w:val="0"/>
        <w:autoSpaceDN w:val="0"/>
        <w:adjustRightInd w:val="0"/>
        <w:jc w:val="both"/>
      </w:pPr>
      <w:r w:rsidRPr="009118AB">
        <w:tab/>
        <w:t>Als Betriebsfahrzeuge gelten:</w:t>
      </w:r>
    </w:p>
    <w:p w14:paraId="679900A5" w14:textId="77777777" w:rsidR="00477B8F" w:rsidRPr="009118AB" w:rsidRDefault="00477B8F" w:rsidP="00CB66B4">
      <w:pPr>
        <w:autoSpaceDE w:val="0"/>
        <w:autoSpaceDN w:val="0"/>
        <w:adjustRightInd w:val="0"/>
        <w:jc w:val="both"/>
      </w:pPr>
    </w:p>
    <w:p w14:paraId="73BAA576" w14:textId="77777777" w:rsidR="00477B8F" w:rsidRPr="009118AB" w:rsidRDefault="00477B8F" w:rsidP="00CB66B4">
      <w:pPr>
        <w:autoSpaceDE w:val="0"/>
        <w:autoSpaceDN w:val="0"/>
        <w:adjustRightInd w:val="0"/>
        <w:jc w:val="both"/>
      </w:pPr>
      <w:r w:rsidRPr="009118AB">
        <w:tab/>
      </w:r>
      <w:r w:rsidRPr="009118AB">
        <w:rPr>
          <w:i/>
          <w:iCs/>
        </w:rPr>
        <w:t xml:space="preserve">a) </w:t>
      </w:r>
      <w:r w:rsidRPr="009118AB">
        <w:t>Fahrzeuge, die zum gewerblichen Personenverkehr genutzt werden, insbesondere Linienbusse, Reisebusse und Personenkraftwagen, die ausschließlich für einen Taxidienst oder die Vermietung mit Fahrer genutzt werden,</w:t>
      </w:r>
    </w:p>
    <w:p w14:paraId="5A6A92CE" w14:textId="77777777" w:rsidR="00477B8F" w:rsidRPr="009118AB" w:rsidRDefault="00477B8F" w:rsidP="00CB66B4">
      <w:pPr>
        <w:autoSpaceDE w:val="0"/>
        <w:autoSpaceDN w:val="0"/>
        <w:adjustRightInd w:val="0"/>
        <w:jc w:val="both"/>
      </w:pPr>
    </w:p>
    <w:p w14:paraId="458EDB40" w14:textId="77777777" w:rsidR="00477B8F" w:rsidRPr="009118AB" w:rsidRDefault="00477B8F" w:rsidP="00CB66B4">
      <w:pPr>
        <w:autoSpaceDE w:val="0"/>
        <w:autoSpaceDN w:val="0"/>
        <w:adjustRightInd w:val="0"/>
        <w:jc w:val="both"/>
      </w:pPr>
      <w:r w:rsidRPr="009118AB">
        <w:tab/>
      </w:r>
      <w:r w:rsidRPr="009118AB">
        <w:rPr>
          <w:i/>
          <w:iCs/>
        </w:rPr>
        <w:t>b)</w:t>
      </w:r>
      <w:r w:rsidRPr="009118AB">
        <w:t xml:space="preserve"> Fahrzeuge, die zum Güterverkehr genutzt werden, insbesondere Zugmaschinen und Lastkraftwagen, und Anhänger und Sattelzüge mit einem zulässigen Höchstgewicht von mindestens vier Tonnen.</w:t>
      </w:r>
    </w:p>
    <w:p w14:paraId="147E0E1B" w14:textId="77777777" w:rsidR="00477B8F" w:rsidRPr="009118AB" w:rsidRDefault="00477B8F" w:rsidP="00CB66B4">
      <w:pPr>
        <w:autoSpaceDE w:val="0"/>
        <w:autoSpaceDN w:val="0"/>
        <w:adjustRightInd w:val="0"/>
        <w:jc w:val="both"/>
      </w:pPr>
    </w:p>
    <w:p w14:paraId="42EFCBD8" w14:textId="3A68C5B6" w:rsidR="00477B8F" w:rsidRPr="009118AB" w:rsidRDefault="00477B8F" w:rsidP="00CB66B4">
      <w:pPr>
        <w:autoSpaceDE w:val="0"/>
        <w:autoSpaceDN w:val="0"/>
        <w:adjustRightInd w:val="0"/>
        <w:jc w:val="both"/>
      </w:pPr>
      <w:r w:rsidRPr="009118AB">
        <w:tab/>
      </w:r>
      <w:r w:rsidR="00D67EB8" w:rsidRPr="009118AB">
        <w:t>§ </w:t>
      </w:r>
      <w:r w:rsidRPr="009118AB">
        <w:t>2</w:t>
      </w:r>
      <w:r w:rsidR="00D67EB8" w:rsidRPr="009118AB">
        <w:t> - </w:t>
      </w:r>
      <w:r w:rsidRPr="009118AB">
        <w:t xml:space="preserve">Die Wiederanlage muss in Betriebsfahrzeugen erfolgen, die in </w:t>
      </w:r>
      <w:r w:rsidR="00D67EB8" w:rsidRPr="009118AB">
        <w:t>§ </w:t>
      </w:r>
      <w:r w:rsidRPr="009118AB">
        <w:t xml:space="preserve">1 Absatz 3 erwähnt sind, die den vom König durch einen im Ministerrat beratenen Erlass festgelegten Umweltnormen entsprechen und die in Belgien zur Ausübung der Berufstätigkeit genutzt werden. </w:t>
      </w:r>
    </w:p>
    <w:p w14:paraId="046BF37E" w14:textId="77777777" w:rsidR="00477B8F" w:rsidRPr="009118AB" w:rsidRDefault="00477B8F" w:rsidP="00CB66B4">
      <w:pPr>
        <w:autoSpaceDE w:val="0"/>
        <w:autoSpaceDN w:val="0"/>
        <w:adjustRightInd w:val="0"/>
        <w:jc w:val="both"/>
      </w:pPr>
    </w:p>
    <w:p w14:paraId="3C68C9F8" w14:textId="1E43567B" w:rsidR="00477B8F" w:rsidRPr="009118AB" w:rsidRDefault="00477B8F" w:rsidP="00CB66B4">
      <w:pPr>
        <w:autoSpaceDE w:val="0"/>
        <w:autoSpaceDN w:val="0"/>
        <w:adjustRightInd w:val="0"/>
        <w:jc w:val="both"/>
      </w:pPr>
      <w:r w:rsidRPr="009118AB">
        <w:tab/>
      </w:r>
      <w:r w:rsidR="00D67EB8" w:rsidRPr="009118AB">
        <w:t>§ </w:t>
      </w:r>
      <w:r w:rsidRPr="009118AB">
        <w:t>3</w:t>
      </w:r>
      <w:r w:rsidR="00D67EB8" w:rsidRPr="009118AB">
        <w:t> - </w:t>
      </w:r>
      <w:r w:rsidRPr="009118AB">
        <w:t>Die Wiederanlage muss spätestens bei Einstellung der Berufstätigkeit erfolgen und innerhalb einer Frist:</w:t>
      </w:r>
    </w:p>
    <w:p w14:paraId="1B18F47B" w14:textId="77777777" w:rsidR="00477B8F" w:rsidRPr="009118AB" w:rsidRDefault="00477B8F" w:rsidP="00CB66B4">
      <w:pPr>
        <w:autoSpaceDE w:val="0"/>
        <w:autoSpaceDN w:val="0"/>
        <w:adjustRightInd w:val="0"/>
        <w:jc w:val="both"/>
      </w:pPr>
    </w:p>
    <w:p w14:paraId="2767CDCE" w14:textId="235F98EC" w:rsidR="00477B8F" w:rsidRPr="009118AB" w:rsidRDefault="00477B8F" w:rsidP="00CB66B4">
      <w:pPr>
        <w:autoSpaceDE w:val="0"/>
        <w:autoSpaceDN w:val="0"/>
        <w:adjustRightInd w:val="0"/>
        <w:jc w:val="both"/>
      </w:pPr>
      <w:r w:rsidRPr="009118AB">
        <w:tab/>
        <w:t xml:space="preserve">1. von einem Jahr nach Ende des Besteuerungszeitraums, in dem die Entschädigung bezogen wird, für die in </w:t>
      </w:r>
      <w:r w:rsidR="00D67EB8" w:rsidRPr="009118AB">
        <w:t>§ </w:t>
      </w:r>
      <w:r w:rsidRPr="009118AB">
        <w:t xml:space="preserve">1 Absatz 2 </w:t>
      </w:r>
      <w:r w:rsidR="00D67EB8" w:rsidRPr="009118AB">
        <w:t>Nr. </w:t>
      </w:r>
      <w:r w:rsidRPr="009118AB">
        <w:t>1 erwähnten Mehrwerte,</w:t>
      </w:r>
    </w:p>
    <w:p w14:paraId="544F1760" w14:textId="77777777" w:rsidR="00CB66B4" w:rsidRPr="009118AB" w:rsidRDefault="00CB66B4" w:rsidP="00CB66B4">
      <w:pPr>
        <w:autoSpaceDE w:val="0"/>
        <w:autoSpaceDN w:val="0"/>
        <w:adjustRightInd w:val="0"/>
        <w:jc w:val="both"/>
      </w:pPr>
    </w:p>
    <w:p w14:paraId="794098E9" w14:textId="62CCC674" w:rsidR="00477B8F" w:rsidRPr="009118AB" w:rsidRDefault="00477B8F" w:rsidP="00CB66B4">
      <w:pPr>
        <w:autoSpaceDE w:val="0"/>
        <w:autoSpaceDN w:val="0"/>
        <w:adjustRightInd w:val="0"/>
        <w:jc w:val="both"/>
      </w:pPr>
      <w:r w:rsidRPr="009118AB">
        <w:tab/>
        <w:t xml:space="preserve">2. von zwei Jahren ab dem ersten Tag des Kalenderjahres, in dem die in </w:t>
      </w:r>
      <w:r w:rsidR="00D67EB8" w:rsidRPr="009118AB">
        <w:t>§ </w:t>
      </w:r>
      <w:r w:rsidRPr="009118AB">
        <w:t xml:space="preserve">1 Absatz 2 </w:t>
      </w:r>
      <w:r w:rsidR="00D67EB8" w:rsidRPr="009118AB">
        <w:t>Nr. </w:t>
      </w:r>
      <w:r w:rsidRPr="009118AB">
        <w:t>2 erwähnten Mehrwerte verwirklicht wurden.</w:t>
      </w:r>
    </w:p>
    <w:p w14:paraId="3E371715" w14:textId="77777777" w:rsidR="00477B8F" w:rsidRPr="009118AB" w:rsidRDefault="00477B8F" w:rsidP="00CB66B4">
      <w:pPr>
        <w:autoSpaceDE w:val="0"/>
        <w:autoSpaceDN w:val="0"/>
        <w:adjustRightInd w:val="0"/>
        <w:jc w:val="both"/>
      </w:pPr>
    </w:p>
    <w:p w14:paraId="627D64F5" w14:textId="38B96BD5" w:rsidR="00477B8F" w:rsidRPr="009118AB" w:rsidRDefault="00477B8F" w:rsidP="00CB66B4">
      <w:pPr>
        <w:autoSpaceDE w:val="0"/>
        <w:autoSpaceDN w:val="0"/>
        <w:adjustRightInd w:val="0"/>
        <w:jc w:val="both"/>
      </w:pPr>
      <w:r w:rsidRPr="009118AB">
        <w:tab/>
      </w:r>
      <w:r w:rsidR="00D67EB8" w:rsidRPr="009118AB">
        <w:t>§ </w:t>
      </w:r>
      <w:r w:rsidRPr="009118AB">
        <w:t>4</w:t>
      </w:r>
      <w:r w:rsidR="00D67EB8" w:rsidRPr="009118AB">
        <w:t> - </w:t>
      </w:r>
      <w:r w:rsidRPr="009118AB">
        <w:t xml:space="preserve">Um die in </w:t>
      </w:r>
      <w:r w:rsidR="00D67EB8" w:rsidRPr="009118AB">
        <w:t>§ </w:t>
      </w:r>
      <w:r w:rsidRPr="009118AB">
        <w:t xml:space="preserve">1 Absatz 1 erwähnte Steuerbefreiung zu erhalten, muss der Steuerpflichtige seiner Einkommensteuererklärung ab dem Steuerjahr, das den </w:t>
      </w:r>
      <w:r w:rsidRPr="009118AB">
        <w:lastRenderedPageBreak/>
        <w:t>Besteuerungszeitraum betrifft, in dem der Mehrwert verwirklicht wird, und bis zu dem Steuerjahr, das sich auf den Besteuerungszeitraum bezieht, in dem die Wiederanlagefrist abgelaufen ist, eine Aufstellung beifügen, deren Muster vom Minister der Finanzen oder von seinem Beauftragten festgelegt wird.</w:t>
      </w:r>
    </w:p>
    <w:p w14:paraId="7F96ED28" w14:textId="77777777" w:rsidR="00477B8F" w:rsidRPr="009118AB" w:rsidRDefault="00477B8F" w:rsidP="00CB66B4">
      <w:pPr>
        <w:autoSpaceDE w:val="0"/>
        <w:autoSpaceDN w:val="0"/>
        <w:adjustRightInd w:val="0"/>
        <w:jc w:val="both"/>
      </w:pPr>
    </w:p>
    <w:p w14:paraId="5C1515C9" w14:textId="6295253B" w:rsidR="00477B8F" w:rsidRPr="009118AB" w:rsidRDefault="00477B8F" w:rsidP="00CB66B4">
      <w:pPr>
        <w:autoSpaceDE w:val="0"/>
        <w:autoSpaceDN w:val="0"/>
        <w:adjustRightInd w:val="0"/>
        <w:jc w:val="both"/>
      </w:pPr>
      <w:r w:rsidRPr="009118AB">
        <w:tab/>
      </w:r>
      <w:r w:rsidR="00D67EB8" w:rsidRPr="009118AB">
        <w:t>§ </w:t>
      </w:r>
      <w:r w:rsidRPr="009118AB">
        <w:t>5</w:t>
      </w:r>
      <w:r w:rsidR="00D67EB8" w:rsidRPr="009118AB">
        <w:t> - </w:t>
      </w:r>
      <w:r w:rsidRPr="009118AB">
        <w:t>Erfolgt keine Wiederanlage in den Formen und Fristen, die in den Paragraphen 2 und 3 vorgesehen sind, gilt der verwirklichte Mehrwert als Einkommen des Besteuerungszeitraums, in dem die Wiederanlagefrist abgelaufen ist. In diesem Fall ist Artikel 47 nicht anwendbar.]</w:t>
      </w:r>
    </w:p>
    <w:p w14:paraId="2FF19C68" w14:textId="77777777" w:rsidR="00477B8F" w:rsidRPr="009118AB" w:rsidRDefault="00477B8F" w:rsidP="00CB66B4">
      <w:pPr>
        <w:autoSpaceDE w:val="0"/>
        <w:autoSpaceDN w:val="0"/>
        <w:adjustRightInd w:val="0"/>
        <w:jc w:val="both"/>
      </w:pPr>
    </w:p>
    <w:p w14:paraId="630A1A32" w14:textId="6E7C1332" w:rsidR="00477B8F" w:rsidRPr="009118AB" w:rsidRDefault="00477B8F" w:rsidP="00CB66B4">
      <w:pPr>
        <w:autoSpaceDE w:val="0"/>
        <w:autoSpaceDN w:val="0"/>
        <w:adjustRightInd w:val="0"/>
        <w:jc w:val="both"/>
      </w:pPr>
      <w:r w:rsidRPr="009118AB">
        <w:rPr>
          <w:i/>
          <w:iCs/>
        </w:rPr>
        <w:t>[</w:t>
      </w:r>
      <w:r w:rsidR="00D67EB8" w:rsidRPr="009118AB">
        <w:rPr>
          <w:i/>
          <w:iCs/>
        </w:rPr>
        <w:t>Art. </w:t>
      </w:r>
      <w:r w:rsidRPr="009118AB">
        <w:rPr>
          <w:i/>
          <w:iCs/>
        </w:rPr>
        <w:t xml:space="preserve">44bis eingefügt durch </w:t>
      </w:r>
      <w:r w:rsidR="00D67EB8" w:rsidRPr="009118AB">
        <w:rPr>
          <w:i/>
          <w:iCs/>
        </w:rPr>
        <w:t>Art. </w:t>
      </w:r>
      <w:r w:rsidRPr="009118AB">
        <w:rPr>
          <w:i/>
          <w:iCs/>
        </w:rPr>
        <w:t>2 des G. vom 14. Januar 20</w:t>
      </w:r>
      <w:r w:rsidR="005E3D7F" w:rsidRPr="009118AB">
        <w:rPr>
          <w:i/>
          <w:iCs/>
        </w:rPr>
        <w:t>03 (B.S. vom 5. Februar 2003)</w:t>
      </w:r>
      <w:r w:rsidR="00D67EB8" w:rsidRPr="009118AB">
        <w:rPr>
          <w:i/>
          <w:iCs/>
        </w:rPr>
        <w:t> - </w:t>
      </w:r>
      <w:r w:rsidRPr="009118AB">
        <w:rPr>
          <w:i/>
          <w:iCs/>
        </w:rPr>
        <w:t>anwendbar auf Mehrwerte, die ab dem 1. Januar 2000 verwirklicht werden, und insofern sich das Datum der Verwirklichung frühestens auf den Besteuerungszeitraum bezieht, der an das Steuerjahr 2001 gebunden ist</w:t>
      </w:r>
      <w:r w:rsidR="00FD68E8" w:rsidRPr="009118AB">
        <w:rPr>
          <w:i/>
          <w:iCs/>
        </w:rPr>
        <w:t> -]</w:t>
      </w:r>
    </w:p>
    <w:p w14:paraId="159BD6E5" w14:textId="77777777" w:rsidR="00477B8F" w:rsidRPr="009118AB" w:rsidRDefault="00477B8F" w:rsidP="00CB66B4">
      <w:pPr>
        <w:autoSpaceDE w:val="0"/>
        <w:autoSpaceDN w:val="0"/>
        <w:adjustRightInd w:val="0"/>
        <w:jc w:val="both"/>
      </w:pPr>
    </w:p>
    <w:p w14:paraId="168FC3CB" w14:textId="77777777" w:rsidR="00477B8F" w:rsidRPr="009118AB" w:rsidRDefault="00477B8F" w:rsidP="00CB66B4">
      <w:pPr>
        <w:autoSpaceDE w:val="0"/>
        <w:autoSpaceDN w:val="0"/>
        <w:adjustRightInd w:val="0"/>
        <w:jc w:val="both"/>
      </w:pPr>
    </w:p>
    <w:p w14:paraId="245709DB" w14:textId="24A0EC28" w:rsidR="00477B8F" w:rsidRPr="009118AB" w:rsidRDefault="00477B8F" w:rsidP="00CB66B4">
      <w:pPr>
        <w:autoSpaceDE w:val="0"/>
        <w:autoSpaceDN w:val="0"/>
        <w:adjustRightInd w:val="0"/>
        <w:jc w:val="both"/>
      </w:pPr>
      <w:r w:rsidRPr="009118AB">
        <w:tab/>
        <w:t>[</w:t>
      </w:r>
      <w:r w:rsidR="00D67EB8" w:rsidRPr="009118AB">
        <w:rPr>
          <w:b/>
          <w:bCs/>
        </w:rPr>
        <w:t>Art. </w:t>
      </w:r>
      <w:r w:rsidRPr="009118AB">
        <w:rPr>
          <w:b/>
          <w:bCs/>
        </w:rPr>
        <w:t>44</w:t>
      </w:r>
      <w:r w:rsidRPr="009118AB">
        <w:rPr>
          <w:b/>
          <w:bCs/>
          <w:i/>
          <w:iCs/>
        </w:rPr>
        <w:t>ter</w:t>
      </w:r>
      <w:r w:rsidR="00D67EB8" w:rsidRPr="009118AB">
        <w:t> - § </w:t>
      </w:r>
      <w:r w:rsidRPr="009118AB">
        <w:t>1</w:t>
      </w:r>
      <w:r w:rsidR="00D67EB8" w:rsidRPr="009118AB">
        <w:t> - </w:t>
      </w:r>
      <w:r w:rsidRPr="009118AB">
        <w:t>Mehrwerte, die unter den in Absatz 2 erwähnten Umständen auf Binnenschiffe für die kommerzielle Schifffahrt verwirklicht werden, sind vollständig steuerfrei, wenn ein Betrag, der der erhaltenen Entschädigung oder dem Veräußerungswert entspricht, auf nachstehende Weise und binnen nachstehenden Fristen wieder angelegt wird.</w:t>
      </w:r>
    </w:p>
    <w:p w14:paraId="3A21D87F" w14:textId="77777777" w:rsidR="00587858" w:rsidRPr="009118AB" w:rsidRDefault="00587858" w:rsidP="00CB66B4">
      <w:pPr>
        <w:autoSpaceDE w:val="0"/>
        <w:autoSpaceDN w:val="0"/>
        <w:adjustRightInd w:val="0"/>
        <w:jc w:val="both"/>
      </w:pPr>
    </w:p>
    <w:p w14:paraId="3F7B53FB" w14:textId="77777777" w:rsidR="00477B8F" w:rsidRPr="009118AB" w:rsidRDefault="00C31D59" w:rsidP="00CB66B4">
      <w:pPr>
        <w:autoSpaceDE w:val="0"/>
        <w:autoSpaceDN w:val="0"/>
        <w:adjustRightInd w:val="0"/>
        <w:jc w:val="both"/>
      </w:pPr>
      <w:r w:rsidRPr="009118AB">
        <w:tab/>
      </w:r>
      <w:r w:rsidR="00477B8F" w:rsidRPr="009118AB">
        <w:t>Die Mehrwerte müssen verwirklicht werden:</w:t>
      </w:r>
    </w:p>
    <w:p w14:paraId="7951A7D6" w14:textId="77777777" w:rsidR="00477B8F" w:rsidRPr="009118AB" w:rsidRDefault="00477B8F" w:rsidP="00CB66B4">
      <w:pPr>
        <w:autoSpaceDE w:val="0"/>
        <w:autoSpaceDN w:val="0"/>
        <w:adjustRightInd w:val="0"/>
        <w:jc w:val="both"/>
      </w:pPr>
    </w:p>
    <w:p w14:paraId="4CA0ACE9" w14:textId="77777777" w:rsidR="00477B8F" w:rsidRPr="009118AB" w:rsidRDefault="00477B8F" w:rsidP="00CB66B4">
      <w:pPr>
        <w:autoSpaceDE w:val="0"/>
        <w:autoSpaceDN w:val="0"/>
        <w:adjustRightInd w:val="0"/>
        <w:jc w:val="both"/>
      </w:pPr>
      <w:r w:rsidRPr="009118AB">
        <w:tab/>
        <w:t>1. anlässlich eines Schadensfalls, einer Eigentumsrequirierung oder eines anderen ähnlichen Ereignisses oder</w:t>
      </w:r>
    </w:p>
    <w:p w14:paraId="4B163D56" w14:textId="77777777" w:rsidR="00477B8F" w:rsidRPr="009118AB" w:rsidRDefault="00477B8F" w:rsidP="00CB66B4">
      <w:pPr>
        <w:autoSpaceDE w:val="0"/>
        <w:autoSpaceDN w:val="0"/>
        <w:adjustRightInd w:val="0"/>
        <w:jc w:val="both"/>
      </w:pPr>
    </w:p>
    <w:p w14:paraId="2F3BEC27" w14:textId="48F9B8AA" w:rsidR="00477B8F" w:rsidRPr="009118AB" w:rsidRDefault="00477B8F" w:rsidP="00CB66B4">
      <w:pPr>
        <w:autoSpaceDE w:val="0"/>
        <w:autoSpaceDN w:val="0"/>
        <w:adjustRightInd w:val="0"/>
        <w:jc w:val="both"/>
      </w:pPr>
      <w:r w:rsidRPr="009118AB">
        <w:tab/>
        <w:t xml:space="preserve">2. anlässlich einer nicht in </w:t>
      </w:r>
      <w:r w:rsidR="00D67EB8" w:rsidRPr="009118AB">
        <w:t>Nr. </w:t>
      </w:r>
      <w:r w:rsidRPr="009118AB">
        <w:t>1 erwähnten Veräußerung von Binnenschiffen für die kommerzielle Schifffahrt, sofern sie seit mehr als fünf Jahren vor ihrer Veräußerung die Beschaffenheit einer Anlage hatten.</w:t>
      </w:r>
    </w:p>
    <w:p w14:paraId="28DF5AD4" w14:textId="77777777" w:rsidR="00477B8F" w:rsidRPr="009118AB" w:rsidRDefault="00477B8F" w:rsidP="00CB66B4">
      <w:pPr>
        <w:autoSpaceDE w:val="0"/>
        <w:autoSpaceDN w:val="0"/>
        <w:adjustRightInd w:val="0"/>
        <w:jc w:val="both"/>
      </w:pPr>
    </w:p>
    <w:p w14:paraId="1BAC3582" w14:textId="77777777" w:rsidR="00477B8F" w:rsidRPr="009118AB" w:rsidRDefault="00477B8F" w:rsidP="00CB66B4">
      <w:pPr>
        <w:autoSpaceDE w:val="0"/>
        <w:autoSpaceDN w:val="0"/>
        <w:adjustRightInd w:val="0"/>
        <w:jc w:val="both"/>
      </w:pPr>
      <w:r w:rsidRPr="009118AB">
        <w:tab/>
        <w:t>Als Binnenschiffe für die kommerzielle Schifffahrt gelten:</w:t>
      </w:r>
    </w:p>
    <w:p w14:paraId="388D826F" w14:textId="77777777" w:rsidR="00477B8F" w:rsidRPr="009118AB" w:rsidRDefault="00477B8F" w:rsidP="00CB66B4">
      <w:pPr>
        <w:autoSpaceDE w:val="0"/>
        <w:autoSpaceDN w:val="0"/>
        <w:adjustRightInd w:val="0"/>
        <w:jc w:val="both"/>
      </w:pPr>
    </w:p>
    <w:p w14:paraId="27D1BDBC" w14:textId="77777777" w:rsidR="00477B8F" w:rsidRPr="009118AB" w:rsidRDefault="00477B8F" w:rsidP="00CB66B4">
      <w:pPr>
        <w:autoSpaceDE w:val="0"/>
        <w:autoSpaceDN w:val="0"/>
        <w:adjustRightInd w:val="0"/>
        <w:jc w:val="both"/>
      </w:pPr>
      <w:r w:rsidRPr="009118AB">
        <w:tab/>
      </w:r>
      <w:r w:rsidRPr="009118AB">
        <w:rPr>
          <w:i/>
          <w:iCs/>
        </w:rPr>
        <w:t>a)</w:t>
      </w:r>
      <w:r w:rsidRPr="009118AB">
        <w:t xml:space="preserve"> Wasserfahrzeuge, die sowohl für eigene Rechnung als auch für Rechnung Dritter zum Güter- oder Personenverkehr genutzt werden,</w:t>
      </w:r>
    </w:p>
    <w:p w14:paraId="34688DDE" w14:textId="77777777" w:rsidR="00477B8F" w:rsidRPr="009118AB" w:rsidRDefault="00477B8F" w:rsidP="00CB66B4">
      <w:pPr>
        <w:autoSpaceDE w:val="0"/>
        <w:autoSpaceDN w:val="0"/>
        <w:adjustRightInd w:val="0"/>
        <w:jc w:val="both"/>
      </w:pPr>
    </w:p>
    <w:p w14:paraId="2A175CCF" w14:textId="77777777" w:rsidR="00477B8F" w:rsidRPr="009118AB" w:rsidRDefault="00477B8F" w:rsidP="00CB66B4">
      <w:pPr>
        <w:autoSpaceDE w:val="0"/>
        <w:autoSpaceDN w:val="0"/>
        <w:adjustRightInd w:val="0"/>
        <w:jc w:val="both"/>
      </w:pPr>
      <w:r w:rsidRPr="009118AB">
        <w:tab/>
      </w:r>
      <w:r w:rsidRPr="009118AB">
        <w:rPr>
          <w:i/>
          <w:iCs/>
        </w:rPr>
        <w:t>b)</w:t>
      </w:r>
      <w:r w:rsidRPr="009118AB">
        <w:t xml:space="preserve"> Wasserfahrzeuge, die sowohl für eigene Rechnung als auch für Rechnung Dritter zum Schub von Binnenschiffen genutzt werden.</w:t>
      </w:r>
    </w:p>
    <w:p w14:paraId="5D503EE6" w14:textId="77777777" w:rsidR="00477B8F" w:rsidRPr="009118AB" w:rsidRDefault="00477B8F" w:rsidP="00CB66B4">
      <w:pPr>
        <w:autoSpaceDE w:val="0"/>
        <w:autoSpaceDN w:val="0"/>
        <w:adjustRightInd w:val="0"/>
        <w:jc w:val="both"/>
      </w:pPr>
    </w:p>
    <w:p w14:paraId="6A89E541" w14:textId="5EE1317B" w:rsidR="00477B8F" w:rsidRPr="009118AB" w:rsidRDefault="00477B8F" w:rsidP="00CB66B4">
      <w:pPr>
        <w:autoSpaceDE w:val="0"/>
        <w:autoSpaceDN w:val="0"/>
        <w:adjustRightInd w:val="0"/>
        <w:jc w:val="both"/>
      </w:pPr>
      <w:r w:rsidRPr="009118AB">
        <w:tab/>
      </w:r>
      <w:r w:rsidR="00D67EB8" w:rsidRPr="009118AB">
        <w:t>§ </w:t>
      </w:r>
      <w:r w:rsidRPr="009118AB">
        <w:t>2</w:t>
      </w:r>
      <w:r w:rsidR="00D67EB8" w:rsidRPr="009118AB">
        <w:t> - </w:t>
      </w:r>
      <w:r w:rsidRPr="009118AB">
        <w:t>Die Wiederanlage muss in Binnenschiffe erfolgen, die:</w:t>
      </w:r>
    </w:p>
    <w:p w14:paraId="472CD770" w14:textId="77777777" w:rsidR="00477B8F" w:rsidRPr="009118AB" w:rsidRDefault="00477B8F" w:rsidP="00CB66B4">
      <w:pPr>
        <w:autoSpaceDE w:val="0"/>
        <w:autoSpaceDN w:val="0"/>
        <w:adjustRightInd w:val="0"/>
        <w:jc w:val="both"/>
      </w:pPr>
    </w:p>
    <w:p w14:paraId="1E51C1F3" w14:textId="77777777" w:rsidR="00477B8F" w:rsidRPr="009118AB" w:rsidRDefault="00477B8F" w:rsidP="00CB66B4">
      <w:pPr>
        <w:autoSpaceDE w:val="0"/>
        <w:autoSpaceDN w:val="0"/>
        <w:adjustRightInd w:val="0"/>
        <w:jc w:val="both"/>
      </w:pPr>
      <w:r w:rsidRPr="009118AB">
        <w:tab/>
        <w:t>1. den vom König durch einen im Ministerrat beratenen Erlass festgelegten Umweltnormen entsprechen,</w:t>
      </w:r>
    </w:p>
    <w:p w14:paraId="418A4E16" w14:textId="77777777" w:rsidR="00CB66B4" w:rsidRPr="009118AB" w:rsidRDefault="00CB66B4" w:rsidP="00CB66B4">
      <w:pPr>
        <w:autoSpaceDE w:val="0"/>
        <w:autoSpaceDN w:val="0"/>
        <w:adjustRightInd w:val="0"/>
        <w:jc w:val="both"/>
      </w:pPr>
    </w:p>
    <w:p w14:paraId="71E26E6B" w14:textId="77777777" w:rsidR="00477B8F" w:rsidRPr="009118AB" w:rsidRDefault="00477B8F" w:rsidP="00CB66B4">
      <w:pPr>
        <w:autoSpaceDE w:val="0"/>
        <w:autoSpaceDN w:val="0"/>
        <w:adjustRightInd w:val="0"/>
        <w:jc w:val="both"/>
      </w:pPr>
      <w:r w:rsidRPr="009118AB">
        <w:tab/>
        <w:t>2. für die kommerzielle Schifffahrt bestimmt sind,</w:t>
      </w:r>
    </w:p>
    <w:p w14:paraId="16B2E334" w14:textId="77777777" w:rsidR="00477B8F" w:rsidRPr="009118AB" w:rsidRDefault="00477B8F" w:rsidP="00CB66B4">
      <w:pPr>
        <w:autoSpaceDE w:val="0"/>
        <w:autoSpaceDN w:val="0"/>
        <w:adjustRightInd w:val="0"/>
        <w:jc w:val="both"/>
      </w:pPr>
    </w:p>
    <w:p w14:paraId="67C2FDC2" w14:textId="77777777" w:rsidR="00477B8F" w:rsidRPr="009118AB" w:rsidRDefault="00477B8F" w:rsidP="00CB66B4">
      <w:pPr>
        <w:autoSpaceDE w:val="0"/>
        <w:autoSpaceDN w:val="0"/>
        <w:adjustRightInd w:val="0"/>
        <w:jc w:val="both"/>
      </w:pPr>
      <w:r w:rsidRPr="009118AB">
        <w:tab/>
        <w:t>3. in Belgien zur Ausübung der Berufstätigkeit genutzt werden,</w:t>
      </w:r>
    </w:p>
    <w:p w14:paraId="3E8DDA56" w14:textId="77777777" w:rsidR="00C31D59" w:rsidRPr="009118AB" w:rsidRDefault="00C31D59" w:rsidP="00CB66B4">
      <w:pPr>
        <w:autoSpaceDE w:val="0"/>
        <w:autoSpaceDN w:val="0"/>
        <w:adjustRightInd w:val="0"/>
        <w:jc w:val="both"/>
      </w:pPr>
    </w:p>
    <w:p w14:paraId="62FDED6E" w14:textId="77777777" w:rsidR="00477B8F" w:rsidRPr="009118AB" w:rsidRDefault="009830D3" w:rsidP="00CB66B4">
      <w:pPr>
        <w:autoSpaceDE w:val="0"/>
        <w:autoSpaceDN w:val="0"/>
        <w:adjustRightInd w:val="0"/>
        <w:jc w:val="both"/>
      </w:pPr>
      <w:r w:rsidRPr="009118AB">
        <w:br w:type="page"/>
      </w:r>
      <w:r w:rsidR="001E243B" w:rsidRPr="009118AB">
        <w:lastRenderedPageBreak/>
        <w:tab/>
      </w:r>
      <w:r w:rsidR="00477B8F" w:rsidRPr="009118AB">
        <w:t xml:space="preserve">4. </w:t>
      </w:r>
      <w:r w:rsidR="00917C11" w:rsidRPr="009118AB">
        <w:t>[gleichzeitig mindestens zwei der fol</w:t>
      </w:r>
      <w:r w:rsidR="00917C11" w:rsidRPr="009118AB">
        <w:softHyphen/>
        <w:t>genden Bedingungen erfüllen, mit Ausnahme von Binnenschiffen mit einer Ladefähigkeit von höchstens 1.500 Tonnen, die nur die in nachstehendem Buchstaben </w:t>
      </w:r>
      <w:r w:rsidR="00917C11" w:rsidRPr="009118AB">
        <w:rPr>
          <w:i/>
        </w:rPr>
        <w:t>a)</w:t>
      </w:r>
      <w:r w:rsidR="00917C11" w:rsidRPr="009118AB">
        <w:t xml:space="preserve"> erwähnte Bedingung erfüllen müssen]:</w:t>
      </w:r>
    </w:p>
    <w:p w14:paraId="428A8D25" w14:textId="77777777" w:rsidR="00477B8F" w:rsidRPr="009118AB" w:rsidRDefault="00477B8F" w:rsidP="00CB66B4">
      <w:pPr>
        <w:autoSpaceDE w:val="0"/>
        <w:autoSpaceDN w:val="0"/>
        <w:adjustRightInd w:val="0"/>
        <w:jc w:val="both"/>
      </w:pPr>
    </w:p>
    <w:p w14:paraId="5855ABC4" w14:textId="7311E3FB" w:rsidR="00477B8F" w:rsidRPr="009118AB" w:rsidRDefault="00477B8F" w:rsidP="00CB66B4">
      <w:pPr>
        <w:autoSpaceDE w:val="0"/>
        <w:autoSpaceDN w:val="0"/>
        <w:adjustRightInd w:val="0"/>
        <w:jc w:val="both"/>
      </w:pPr>
      <w:r w:rsidRPr="009118AB">
        <w:tab/>
      </w:r>
      <w:r w:rsidRPr="009118AB">
        <w:rPr>
          <w:i/>
          <w:iCs/>
        </w:rPr>
        <w:t>a)</w:t>
      </w:r>
      <w:r w:rsidRPr="009118AB">
        <w:t xml:space="preserve"> Sie haben ein</w:t>
      </w:r>
      <w:r w:rsidR="00D67EB8" w:rsidRPr="009118AB">
        <w:t> - </w:t>
      </w:r>
      <w:r w:rsidRPr="009118AB">
        <w:t>um mindestens fünf Jahre</w:t>
      </w:r>
      <w:r w:rsidR="00D67EB8" w:rsidRPr="009118AB">
        <w:t> - </w:t>
      </w:r>
      <w:r w:rsidRPr="009118AB">
        <w:t>jüngeres Baujahr als das Wasserfahrzeug, auf das der Mehrwert sich bezieht.</w:t>
      </w:r>
    </w:p>
    <w:p w14:paraId="69AB6A8C" w14:textId="77777777" w:rsidR="00477B8F" w:rsidRPr="009118AB" w:rsidRDefault="00477B8F" w:rsidP="00CB66B4">
      <w:pPr>
        <w:autoSpaceDE w:val="0"/>
        <w:autoSpaceDN w:val="0"/>
        <w:adjustRightInd w:val="0"/>
        <w:jc w:val="both"/>
      </w:pPr>
    </w:p>
    <w:p w14:paraId="70236FB9" w14:textId="77777777" w:rsidR="00477B8F" w:rsidRPr="009118AB" w:rsidRDefault="00477B8F" w:rsidP="00CB66B4">
      <w:pPr>
        <w:autoSpaceDE w:val="0"/>
        <w:autoSpaceDN w:val="0"/>
        <w:adjustRightInd w:val="0"/>
        <w:jc w:val="both"/>
      </w:pPr>
      <w:r w:rsidRPr="009118AB">
        <w:tab/>
      </w:r>
      <w:r w:rsidRPr="009118AB">
        <w:rPr>
          <w:i/>
          <w:iCs/>
        </w:rPr>
        <w:t>b)</w:t>
      </w:r>
      <w:r w:rsidRPr="009118AB">
        <w:t xml:space="preserve"> Sie besitzen mindestens 25 Prozent mehr Ladefähigkeit oder im Falle eines Schubschiffes 25 Prozent mehr Antriebskraft als das Wasserfahrzeug, auf das der Mehrwert sich bezieht.</w:t>
      </w:r>
    </w:p>
    <w:p w14:paraId="1A81F782" w14:textId="77777777" w:rsidR="00477B8F" w:rsidRPr="009118AB" w:rsidRDefault="00477B8F" w:rsidP="00CB66B4">
      <w:pPr>
        <w:autoSpaceDE w:val="0"/>
        <w:autoSpaceDN w:val="0"/>
        <w:adjustRightInd w:val="0"/>
        <w:jc w:val="both"/>
      </w:pPr>
    </w:p>
    <w:p w14:paraId="0700EDE7" w14:textId="77777777" w:rsidR="00477B8F" w:rsidRPr="009118AB" w:rsidRDefault="00477B8F" w:rsidP="00CB66B4">
      <w:pPr>
        <w:autoSpaceDE w:val="0"/>
        <w:autoSpaceDN w:val="0"/>
        <w:adjustRightInd w:val="0"/>
        <w:jc w:val="both"/>
      </w:pPr>
      <w:r w:rsidRPr="009118AB">
        <w:tab/>
      </w:r>
      <w:r w:rsidRPr="009118AB">
        <w:rPr>
          <w:i/>
          <w:iCs/>
        </w:rPr>
        <w:t>c)</w:t>
      </w:r>
      <w:r w:rsidRPr="009118AB">
        <w:t xml:space="preserve"> Sie werden seit höchstens zwanzig Jahren genutzt.</w:t>
      </w:r>
    </w:p>
    <w:p w14:paraId="49B368D2" w14:textId="77777777" w:rsidR="00477B8F" w:rsidRPr="009118AB" w:rsidRDefault="00477B8F" w:rsidP="00CB66B4">
      <w:pPr>
        <w:autoSpaceDE w:val="0"/>
        <w:autoSpaceDN w:val="0"/>
        <w:adjustRightInd w:val="0"/>
        <w:jc w:val="both"/>
      </w:pPr>
    </w:p>
    <w:p w14:paraId="02C91915" w14:textId="66139DE3" w:rsidR="00477B8F" w:rsidRPr="009118AB" w:rsidRDefault="00477B8F" w:rsidP="00CB66B4">
      <w:pPr>
        <w:autoSpaceDE w:val="0"/>
        <w:autoSpaceDN w:val="0"/>
        <w:adjustRightInd w:val="0"/>
        <w:jc w:val="both"/>
      </w:pPr>
      <w:r w:rsidRPr="009118AB">
        <w:tab/>
      </w:r>
      <w:r w:rsidR="00D67EB8" w:rsidRPr="009118AB">
        <w:t>§ </w:t>
      </w:r>
      <w:r w:rsidRPr="009118AB">
        <w:t>3</w:t>
      </w:r>
      <w:r w:rsidR="00D67EB8" w:rsidRPr="009118AB">
        <w:t> - </w:t>
      </w:r>
      <w:r w:rsidRPr="009118AB">
        <w:t>Die Wiederanlage muss spätestens bei Einstellung der Berufstätigkeit erfolgen und innerhalb einer Frist:</w:t>
      </w:r>
    </w:p>
    <w:p w14:paraId="77D3F778" w14:textId="77777777" w:rsidR="00477B8F" w:rsidRPr="009118AB" w:rsidRDefault="00477B8F" w:rsidP="00CB66B4">
      <w:pPr>
        <w:autoSpaceDE w:val="0"/>
        <w:autoSpaceDN w:val="0"/>
        <w:adjustRightInd w:val="0"/>
        <w:jc w:val="both"/>
      </w:pPr>
    </w:p>
    <w:p w14:paraId="19C9A352" w14:textId="59B8A83A" w:rsidR="00477B8F" w:rsidRPr="009118AB" w:rsidRDefault="00477B8F" w:rsidP="00CB66B4">
      <w:pPr>
        <w:autoSpaceDE w:val="0"/>
        <w:autoSpaceDN w:val="0"/>
        <w:adjustRightInd w:val="0"/>
        <w:jc w:val="both"/>
      </w:pPr>
      <w:r w:rsidRPr="009118AB">
        <w:tab/>
        <w:t xml:space="preserve">1. von fünf Jahren nach Ende des Besteuerungszeitraums, in dem die Entschädigung bezogen wird, für die in </w:t>
      </w:r>
      <w:r w:rsidR="00D67EB8" w:rsidRPr="009118AB">
        <w:t>§ </w:t>
      </w:r>
      <w:r w:rsidRPr="009118AB">
        <w:t xml:space="preserve">1 Absatz 2 </w:t>
      </w:r>
      <w:r w:rsidR="00D67EB8" w:rsidRPr="009118AB">
        <w:t>Nr. </w:t>
      </w:r>
      <w:r w:rsidRPr="009118AB">
        <w:t>1 erwähnten Mehrwerte,</w:t>
      </w:r>
    </w:p>
    <w:p w14:paraId="678B3A68" w14:textId="77777777" w:rsidR="00477B8F" w:rsidRPr="009118AB" w:rsidRDefault="00477B8F" w:rsidP="00CB66B4">
      <w:pPr>
        <w:autoSpaceDE w:val="0"/>
        <w:autoSpaceDN w:val="0"/>
        <w:adjustRightInd w:val="0"/>
        <w:jc w:val="both"/>
      </w:pPr>
    </w:p>
    <w:p w14:paraId="634C9BC5" w14:textId="455725BA" w:rsidR="00477B8F" w:rsidRPr="009118AB" w:rsidRDefault="00477B8F" w:rsidP="00CB66B4">
      <w:pPr>
        <w:autoSpaceDE w:val="0"/>
        <w:autoSpaceDN w:val="0"/>
        <w:adjustRightInd w:val="0"/>
        <w:jc w:val="both"/>
      </w:pPr>
      <w:r w:rsidRPr="009118AB">
        <w:tab/>
        <w:t xml:space="preserve">2. von fünf Jahren ab dem ersten Tag des Besteuerungszeitraums, in dem der Mehrwert verwirklicht wird, oder ab dem ersten Tag des vorletzten Besteuerungszeitraums vor dem Besteuerungszeitraum, in dem der Mehrwert verwirklicht wird, für die in </w:t>
      </w:r>
      <w:r w:rsidR="00D67EB8" w:rsidRPr="009118AB">
        <w:t>§ </w:t>
      </w:r>
      <w:r w:rsidRPr="009118AB">
        <w:t xml:space="preserve">1 Absatz 2 </w:t>
      </w:r>
      <w:r w:rsidR="00D67EB8" w:rsidRPr="009118AB">
        <w:t>Nr. </w:t>
      </w:r>
      <w:r w:rsidRPr="009118AB">
        <w:t>2 erwähnten Mehrwerte.</w:t>
      </w:r>
    </w:p>
    <w:p w14:paraId="0D00B54D" w14:textId="77777777" w:rsidR="00477B8F" w:rsidRPr="009118AB" w:rsidRDefault="00477B8F" w:rsidP="00CB66B4">
      <w:pPr>
        <w:autoSpaceDE w:val="0"/>
        <w:autoSpaceDN w:val="0"/>
        <w:adjustRightInd w:val="0"/>
        <w:jc w:val="both"/>
      </w:pPr>
    </w:p>
    <w:p w14:paraId="6F38118D" w14:textId="3844D4C0" w:rsidR="00477B8F" w:rsidRPr="009118AB" w:rsidRDefault="00477B8F" w:rsidP="00CB66B4">
      <w:pPr>
        <w:autoSpaceDE w:val="0"/>
        <w:autoSpaceDN w:val="0"/>
        <w:adjustRightInd w:val="0"/>
        <w:jc w:val="both"/>
      </w:pPr>
      <w:r w:rsidRPr="009118AB">
        <w:tab/>
      </w:r>
      <w:r w:rsidR="00D67EB8" w:rsidRPr="009118AB">
        <w:t>§ </w:t>
      </w:r>
      <w:r w:rsidRPr="009118AB">
        <w:t>4</w:t>
      </w:r>
      <w:r w:rsidR="00D67EB8" w:rsidRPr="009118AB">
        <w:t> - </w:t>
      </w:r>
      <w:r w:rsidRPr="009118AB">
        <w:t xml:space="preserve">Um die in </w:t>
      </w:r>
      <w:r w:rsidR="00D67EB8" w:rsidRPr="009118AB">
        <w:t>§ </w:t>
      </w:r>
      <w:r w:rsidRPr="009118AB">
        <w:t>1 Absatz 1 erwähnte Steuerbefreiung zu erhalten, muss der Steuer</w:t>
      </w:r>
      <w:r w:rsidRPr="009118AB">
        <w:softHyphen/>
        <w:t>pflichtige seiner Einkommensteuererklärung ab dem Steuerjahr, das den Besteuerungszeitraum betrifft, in dem der Mehrwert verwirklicht wird, und bis zu dem Steuerjahr, das sich auf den Besteuerungszeitraum bezieht, in dem die Wiederanlagefrist abgelaufen ist, eine Aufstellung beifügen, deren Muster vom Minister der Finanzen oder von seinem Beauftragten festgelegt wird.</w:t>
      </w:r>
    </w:p>
    <w:p w14:paraId="55065278" w14:textId="77777777" w:rsidR="00477B8F" w:rsidRPr="009118AB" w:rsidRDefault="00477B8F" w:rsidP="00CB66B4">
      <w:pPr>
        <w:autoSpaceDE w:val="0"/>
        <w:autoSpaceDN w:val="0"/>
        <w:adjustRightInd w:val="0"/>
        <w:jc w:val="both"/>
      </w:pPr>
    </w:p>
    <w:p w14:paraId="6E96B65C" w14:textId="52E8F853" w:rsidR="00477B8F" w:rsidRPr="009118AB" w:rsidRDefault="00477B8F" w:rsidP="00CB66B4">
      <w:pPr>
        <w:autoSpaceDE w:val="0"/>
        <w:autoSpaceDN w:val="0"/>
        <w:adjustRightInd w:val="0"/>
        <w:jc w:val="both"/>
      </w:pPr>
      <w:r w:rsidRPr="009118AB">
        <w:tab/>
      </w:r>
      <w:r w:rsidR="00D67EB8" w:rsidRPr="009118AB">
        <w:t>§ </w:t>
      </w:r>
      <w:r w:rsidRPr="009118AB">
        <w:t>5</w:t>
      </w:r>
      <w:r w:rsidR="00D67EB8" w:rsidRPr="009118AB">
        <w:t> - </w:t>
      </w:r>
      <w:r w:rsidRPr="009118AB">
        <w:t>Erfolgt keine Wiederanlage in den Formen und Fristen, die in den Paragraphen 2 und 3 vorgesehen sind, gilt der verwirklichte Mehrwert als Einkommen des Besteuerungszeit</w:t>
      </w:r>
      <w:r w:rsidRPr="009118AB">
        <w:softHyphen/>
        <w:t xml:space="preserve">raums, in dem die Wiederanlagefrist abgelaufen ist. In diesem Fall ist Artikel 47 nicht anwendbar.] </w:t>
      </w:r>
    </w:p>
    <w:p w14:paraId="26DECF6D" w14:textId="77777777" w:rsidR="00477B8F" w:rsidRPr="009118AB" w:rsidRDefault="00477B8F" w:rsidP="00CB66B4">
      <w:pPr>
        <w:autoSpaceDE w:val="0"/>
        <w:autoSpaceDN w:val="0"/>
        <w:adjustRightInd w:val="0"/>
        <w:jc w:val="both"/>
      </w:pPr>
    </w:p>
    <w:p w14:paraId="4CC84092" w14:textId="7E9C47F7" w:rsidR="00477B8F" w:rsidRPr="009118AB" w:rsidRDefault="00477B8F" w:rsidP="00CB66B4">
      <w:pPr>
        <w:autoSpaceDE w:val="0"/>
        <w:autoSpaceDN w:val="0"/>
        <w:adjustRightInd w:val="0"/>
        <w:jc w:val="both"/>
      </w:pPr>
      <w:r w:rsidRPr="009118AB">
        <w:rPr>
          <w:i/>
          <w:iCs/>
        </w:rPr>
        <w:t>[</w:t>
      </w:r>
      <w:r w:rsidR="00D67EB8" w:rsidRPr="009118AB">
        <w:rPr>
          <w:i/>
          <w:iCs/>
        </w:rPr>
        <w:t>Art. </w:t>
      </w:r>
      <w:r w:rsidRPr="009118AB">
        <w:rPr>
          <w:i/>
          <w:iCs/>
        </w:rPr>
        <w:t xml:space="preserve">44ter eingefügt durch </w:t>
      </w:r>
      <w:r w:rsidR="00D67EB8" w:rsidRPr="009118AB">
        <w:rPr>
          <w:i/>
          <w:iCs/>
        </w:rPr>
        <w:t>Art. </w:t>
      </w:r>
      <w:r w:rsidRPr="009118AB">
        <w:rPr>
          <w:i/>
          <w:iCs/>
        </w:rPr>
        <w:t xml:space="preserve">108 des G. </w:t>
      </w:r>
      <w:r w:rsidR="00D0011C" w:rsidRPr="009118AB">
        <w:rPr>
          <w:i/>
          <w:iCs/>
        </w:rPr>
        <w:t xml:space="preserve">(IV) </w:t>
      </w:r>
      <w:r w:rsidRPr="009118AB">
        <w:rPr>
          <w:i/>
          <w:iCs/>
        </w:rPr>
        <w:t>vom 25. April 2007 (I) (B.S. vom 8. Mai 2007)</w:t>
      </w:r>
      <w:r w:rsidR="00D67EB8" w:rsidRPr="009118AB">
        <w:rPr>
          <w:i/>
          <w:iCs/>
        </w:rPr>
        <w:t> - </w:t>
      </w:r>
      <w:r w:rsidRPr="009118AB">
        <w:rPr>
          <w:i/>
          <w:iCs/>
        </w:rPr>
        <w:t>anwendbar auf Mehrwerte, die ab dem 1. Januar 2007 verwirklicht werden, und insofern sich das Datum der Verwirklichung frühestens auf den Besteuerungszeitraum bezieht, der an das Steuerjahr 2008 gebunden ist</w:t>
      </w:r>
      <w:r w:rsidR="003366D9" w:rsidRPr="009118AB">
        <w:rPr>
          <w:i/>
          <w:iCs/>
        </w:rPr>
        <w:t> -;</w:t>
      </w:r>
      <w:r w:rsidR="00917C11" w:rsidRPr="009118AB">
        <w:rPr>
          <w:i/>
          <w:iCs/>
        </w:rPr>
        <w:t xml:space="preserve"> </w:t>
      </w:r>
      <w:r w:rsidR="00D67EB8" w:rsidRPr="009118AB">
        <w:rPr>
          <w:i/>
          <w:iCs/>
        </w:rPr>
        <w:t>§ </w:t>
      </w:r>
      <w:r w:rsidR="00917C11" w:rsidRPr="009118AB">
        <w:rPr>
          <w:i/>
          <w:iCs/>
        </w:rPr>
        <w:t xml:space="preserve">2 einziger Absatz </w:t>
      </w:r>
      <w:r w:rsidR="00D67EB8" w:rsidRPr="009118AB">
        <w:rPr>
          <w:i/>
          <w:iCs/>
        </w:rPr>
        <w:t>Nr. </w:t>
      </w:r>
      <w:r w:rsidR="00917C11" w:rsidRPr="009118AB">
        <w:rPr>
          <w:i/>
          <w:iCs/>
        </w:rPr>
        <w:t xml:space="preserve">4 einziger Absatz einleitende Bestimmung ersetzt durch </w:t>
      </w:r>
      <w:r w:rsidR="00D67EB8" w:rsidRPr="009118AB">
        <w:rPr>
          <w:i/>
          <w:iCs/>
        </w:rPr>
        <w:t>Art. </w:t>
      </w:r>
      <w:r w:rsidR="00917C11" w:rsidRPr="009118AB">
        <w:rPr>
          <w:i/>
          <w:iCs/>
        </w:rPr>
        <w:t>50</w:t>
      </w:r>
      <w:r w:rsidR="00917C11" w:rsidRPr="009118AB">
        <w:rPr>
          <w:i/>
        </w:rPr>
        <w:t xml:space="preserve"> des G. vom 6. Mai 2009 (B.S. vom 19. Mai 2009)</w:t>
      </w:r>
      <w:r w:rsidR="00D67EB8" w:rsidRPr="009118AB">
        <w:rPr>
          <w:i/>
        </w:rPr>
        <w:t> - </w:t>
      </w:r>
      <w:r w:rsidR="00917C11" w:rsidRPr="009118AB">
        <w:rPr>
          <w:i/>
        </w:rPr>
        <w:t>anwendbar auf Mehrwerte, die ab dem 1. Januar 2009 verwirklicht werden, und sofern das Datum der Verwirklichung sich frühestens auf den an das Steuerjahr 2010 gebundenen Besteuerungszeitraum bezieht</w:t>
      </w:r>
      <w:r w:rsidR="00FD68E8" w:rsidRPr="009118AB">
        <w:rPr>
          <w:i/>
        </w:rPr>
        <w:t> -]</w:t>
      </w:r>
    </w:p>
    <w:p w14:paraId="3961EED1" w14:textId="77777777" w:rsidR="00CB66B4" w:rsidRPr="009118AB" w:rsidRDefault="00CB66B4" w:rsidP="00CB66B4">
      <w:pPr>
        <w:autoSpaceDE w:val="0"/>
        <w:autoSpaceDN w:val="0"/>
        <w:adjustRightInd w:val="0"/>
        <w:jc w:val="both"/>
        <w:rPr>
          <w:b/>
          <w:bCs/>
        </w:rPr>
      </w:pPr>
    </w:p>
    <w:p w14:paraId="7D13903A" w14:textId="77777777" w:rsidR="00CB66B4" w:rsidRPr="009118AB" w:rsidRDefault="00CB66B4" w:rsidP="00CB66B4">
      <w:pPr>
        <w:autoSpaceDE w:val="0"/>
        <w:autoSpaceDN w:val="0"/>
        <w:adjustRightInd w:val="0"/>
        <w:jc w:val="both"/>
        <w:rPr>
          <w:b/>
          <w:bCs/>
        </w:rPr>
      </w:pPr>
    </w:p>
    <w:p w14:paraId="72910C22" w14:textId="3E9818A3" w:rsidR="00F373D3" w:rsidRPr="009118AB" w:rsidRDefault="009830D3" w:rsidP="00F373D3">
      <w:pPr>
        <w:autoSpaceDE w:val="0"/>
        <w:autoSpaceDN w:val="0"/>
        <w:adjustRightInd w:val="0"/>
        <w:jc w:val="both"/>
      </w:pPr>
      <w:r w:rsidRPr="009118AB">
        <w:rPr>
          <w:b/>
          <w:bCs/>
        </w:rPr>
        <w:br w:type="page"/>
      </w:r>
      <w:r w:rsidR="00477B8F" w:rsidRPr="009118AB">
        <w:rPr>
          <w:b/>
          <w:bCs/>
        </w:rPr>
        <w:lastRenderedPageBreak/>
        <w:tab/>
      </w:r>
      <w:r w:rsidR="00D67EB8" w:rsidRPr="009118AB">
        <w:rPr>
          <w:b/>
          <w:bCs/>
        </w:rPr>
        <w:t>Art. </w:t>
      </w:r>
      <w:r w:rsidR="00477B8F" w:rsidRPr="009118AB">
        <w:rPr>
          <w:b/>
          <w:bCs/>
        </w:rPr>
        <w:t>45</w:t>
      </w:r>
      <w:r w:rsidR="00D67EB8" w:rsidRPr="009118AB">
        <w:t> - </w:t>
      </w:r>
      <w:r w:rsidR="00F373D3" w:rsidRPr="009118AB">
        <w:t>[</w:t>
      </w:r>
      <w:r w:rsidR="00D67EB8" w:rsidRPr="009118AB">
        <w:t>§ </w:t>
      </w:r>
      <w:r w:rsidR="00F373D3" w:rsidRPr="009118AB">
        <w:t>1]</w:t>
      </w:r>
      <w:r w:rsidR="00D67EB8" w:rsidRPr="009118AB">
        <w:t> - </w:t>
      </w:r>
      <w:r w:rsidR="00F373D3" w:rsidRPr="009118AB">
        <w:t>[Steuerfrei sind ebenfalls Mehrwerte auf Aktien oder Anteile von inländischen Gesellschaften oder von innereuropäischen Gesellschaften:</w:t>
      </w:r>
    </w:p>
    <w:p w14:paraId="418B7959" w14:textId="77777777" w:rsidR="00F373D3" w:rsidRPr="009118AB" w:rsidRDefault="00F373D3" w:rsidP="00F373D3">
      <w:pPr>
        <w:autoSpaceDE w:val="0"/>
        <w:autoSpaceDN w:val="0"/>
        <w:adjustRightInd w:val="0"/>
        <w:jc w:val="both"/>
      </w:pPr>
    </w:p>
    <w:p w14:paraId="1EBB350F" w14:textId="0C05FD69" w:rsidR="00F373D3" w:rsidRPr="009118AB" w:rsidRDefault="009F1A1F" w:rsidP="00F373D3">
      <w:pPr>
        <w:autoSpaceDE w:val="0"/>
        <w:autoSpaceDN w:val="0"/>
        <w:adjustRightInd w:val="0"/>
        <w:jc w:val="both"/>
      </w:pPr>
      <w:r w:rsidRPr="009118AB">
        <w:tab/>
      </w:r>
      <w:r w:rsidR="00F373D3" w:rsidRPr="009118AB">
        <w:t xml:space="preserve">1. wenn diese Mehrwerte verwirklicht oder festgestellt werden anlässlich einer Fusion durch Übernahme, einer Fusion durch Gründung einer neuen Gesellschaft, einer Aufspaltung durch Übernahme, einer Aufspaltung durch Gründung neuer Gesellschaften, einer gemischten Aufspaltung, eines mit der Aufspaltung gleichgesetzten Vorgangs oder anlässlich der Annahme einer anderen Rechtsform, die entweder in Anwendung der Artikel 211 </w:t>
      </w:r>
      <w:r w:rsidR="00D67EB8" w:rsidRPr="009118AB">
        <w:t>§ </w:t>
      </w:r>
      <w:r w:rsidR="00F373D3" w:rsidRPr="009118AB">
        <w:t xml:space="preserve">1 oder 214 </w:t>
      </w:r>
      <w:r w:rsidR="00D67EB8" w:rsidRPr="009118AB">
        <w:t>§ </w:t>
      </w:r>
      <w:r w:rsidR="00F373D3" w:rsidRPr="009118AB">
        <w:t>1 oder in Anwendung ähnlicher Bestimmungen in dem anderen Mitgliedstaat der Europäischen Union durchgeführt wird, sofern der Vorgang durch neue Aktien oder Anteile, die zu diesem Zweck ausgegeben werden, vergütet wird,</w:t>
      </w:r>
    </w:p>
    <w:p w14:paraId="0EEF3F3E" w14:textId="77777777" w:rsidR="00F373D3" w:rsidRPr="009118AB" w:rsidRDefault="00F373D3" w:rsidP="00F373D3">
      <w:pPr>
        <w:autoSpaceDE w:val="0"/>
        <w:autoSpaceDN w:val="0"/>
        <w:adjustRightInd w:val="0"/>
        <w:jc w:val="both"/>
      </w:pPr>
    </w:p>
    <w:p w14:paraId="0B59E93F" w14:textId="5BCA86A9" w:rsidR="00F373D3" w:rsidRPr="009118AB" w:rsidRDefault="009F1A1F" w:rsidP="00F373D3">
      <w:pPr>
        <w:autoSpaceDE w:val="0"/>
        <w:autoSpaceDN w:val="0"/>
        <w:adjustRightInd w:val="0"/>
        <w:jc w:val="both"/>
        <w:rPr>
          <w:spacing w:val="2"/>
        </w:rPr>
      </w:pPr>
      <w:r w:rsidRPr="009118AB">
        <w:rPr>
          <w:spacing w:val="2"/>
        </w:rPr>
        <w:tab/>
      </w:r>
      <w:r w:rsidR="00F373D3" w:rsidRPr="009118AB">
        <w:rPr>
          <w:spacing w:val="2"/>
        </w:rPr>
        <w:t>2. die verwirklicht werden anlässlich der Einbringung dieser Aktien oder Anteile in eine inländische Gesellschaft oder eine innereuropäische Gesellschaft im Umtausch gegen neue Aktien oder Anteile, die von der Gesellschaft ausgegeben werden, zu deren Gunsten die Einbringung erfolgt, durch die die begünstigte Gesellschaft insgesamt mehr als 50 Prozent der Stimmrechte an der Gesellschaft erwirbt, deren Aktien oder Anteile eingebracht werden, oder durch die sie</w:t>
      </w:r>
      <w:r w:rsidR="00D67EB8" w:rsidRPr="009118AB">
        <w:rPr>
          <w:spacing w:val="2"/>
        </w:rPr>
        <w:t> - </w:t>
      </w:r>
      <w:r w:rsidR="00F373D3" w:rsidRPr="009118AB">
        <w:rPr>
          <w:spacing w:val="2"/>
        </w:rPr>
        <w:t>sofern sie die Mehrheit der Stimmrechte bereits hält</w:t>
      </w:r>
      <w:r w:rsidR="00D67EB8" w:rsidRPr="009118AB">
        <w:rPr>
          <w:spacing w:val="2"/>
        </w:rPr>
        <w:t> - </w:t>
      </w:r>
      <w:r w:rsidR="00F373D3" w:rsidRPr="009118AB">
        <w:rPr>
          <w:spacing w:val="2"/>
        </w:rPr>
        <w:t>ihre Beteiligung erhöht, und dies sofern keine bare Zuzahlung von mehr als 10 Prozent des Nennwertes oder mangels Nennwert des rechnerischen Wertes der neu ausgegebenen Aktien oder Anteile erfolgt.</w:t>
      </w:r>
      <w:r w:rsidR="00052607" w:rsidRPr="009118AB">
        <w:rPr>
          <w:spacing w:val="2"/>
        </w:rPr>
        <w:t xml:space="preserve"> [</w:t>
      </w:r>
      <w:r w:rsidR="00052607" w:rsidRPr="009118AB">
        <w:t xml:space="preserve">Ist die Gesellschaft, zu deren Gunsten die Einbringung erfolgt, eine in Artikel 2 </w:t>
      </w:r>
      <w:r w:rsidR="00D67EB8" w:rsidRPr="009118AB">
        <w:t>§ </w:t>
      </w:r>
      <w:r w:rsidR="00052607" w:rsidRPr="009118AB">
        <w:t xml:space="preserve">1 </w:t>
      </w:r>
      <w:r w:rsidR="00D67EB8" w:rsidRPr="009118AB">
        <w:t>Nr. </w:t>
      </w:r>
      <w:r w:rsidR="00052607" w:rsidRPr="009118AB">
        <w:t>6 Buchstabe </w:t>
      </w:r>
      <w:r w:rsidR="00052607" w:rsidRPr="009118AB">
        <w:rPr>
          <w:i/>
          <w:iCs/>
        </w:rPr>
        <w:t>a)</w:t>
      </w:r>
      <w:r w:rsidR="00052607" w:rsidRPr="009118AB">
        <w:t xml:space="preserve"> </w:t>
      </w:r>
      <w:r w:rsidR="00D67EB8" w:rsidRPr="009118AB">
        <w:t>Nr. </w:t>
      </w:r>
      <w:r w:rsidR="00052607" w:rsidRPr="009118AB">
        <w:t>2 erwähnte Gesellschaft, ist unter dem rechnerischen Wert der Einlagewert</w:t>
      </w:r>
      <w:r w:rsidR="00D67EB8" w:rsidRPr="009118AB">
        <w:t> - </w:t>
      </w:r>
      <w:r w:rsidR="00052607" w:rsidRPr="009118AB">
        <w:t>so wie er aus dem Jahresabschluss hervorgeht</w:t>
      </w:r>
      <w:r w:rsidR="00D67EB8" w:rsidRPr="009118AB">
        <w:t> - </w:t>
      </w:r>
      <w:r w:rsidR="00052607" w:rsidRPr="009118AB">
        <w:t>aller von den Aktionären oder Gesellschaftern gewährten Geld- oder Sacheinlagen, die keine Einlagen von Dienstleistungen sind, zu verstehen, gegebenenfalls erhöht um die Rücklagen, die den Aktionären oder Gesellschaftern aufgrund einer Satzungsbestimmung nur nach Satzungsänderung ausgeschüttet werden können; dieser Gesamtwert wird durch die Anzahl Aktien oder Anteile geteilt.</w:t>
      </w:r>
      <w:r w:rsidR="00052607" w:rsidRPr="009118AB">
        <w:rPr>
          <w:spacing w:val="2"/>
        </w:rPr>
        <w:t>]</w:t>
      </w:r>
    </w:p>
    <w:p w14:paraId="1355C073" w14:textId="77777777" w:rsidR="00F373D3" w:rsidRPr="009118AB" w:rsidRDefault="00F373D3" w:rsidP="00F373D3">
      <w:pPr>
        <w:jc w:val="both"/>
      </w:pPr>
    </w:p>
    <w:p w14:paraId="5BC4B5D8" w14:textId="40296D5C" w:rsidR="00F373D3" w:rsidRPr="009118AB" w:rsidRDefault="009F1A1F" w:rsidP="00F373D3">
      <w:pPr>
        <w:jc w:val="both"/>
      </w:pPr>
      <w:r w:rsidRPr="009118AB">
        <w:tab/>
      </w:r>
      <w:r w:rsidR="00F373D3" w:rsidRPr="009118AB">
        <w:t>In diesen Fällen werden Mehr- oder Minderwerte auf Aktien oder Anteile, die durch Umtausch erhalten werden, bestimmt unter Berücksichtigung des Anschaffungs- oder Investi</w:t>
      </w:r>
      <w:r w:rsidR="00F373D3" w:rsidRPr="009118AB">
        <w:softHyphen/>
        <w:t xml:space="preserve">tionswertes der umgetauschten Aktien oder Anteile, eventuell erhöht um die besteuerten Mehrwerte oder verringert um die vor und nach dem Umtausch zugelassenen Minderwerte. Für die Anwendung </w:t>
      </w:r>
      <w:r w:rsidR="00666B27" w:rsidRPr="009118AB">
        <w:t>[</w:t>
      </w:r>
      <w:r w:rsidR="006863F6" w:rsidRPr="009118AB">
        <w:t xml:space="preserve">der Artikel 44 </w:t>
      </w:r>
      <w:r w:rsidR="00D67EB8" w:rsidRPr="009118AB">
        <w:t>§ </w:t>
      </w:r>
      <w:r w:rsidR="006863F6" w:rsidRPr="009118AB">
        <w:t xml:space="preserve">1 </w:t>
      </w:r>
      <w:r w:rsidR="00D67EB8" w:rsidRPr="009118AB">
        <w:t>Nr. </w:t>
      </w:r>
      <w:r w:rsidR="006863F6" w:rsidRPr="009118AB">
        <w:t xml:space="preserve">2 und 192 </w:t>
      </w:r>
      <w:r w:rsidR="00D67EB8" w:rsidRPr="009118AB">
        <w:t>§ </w:t>
      </w:r>
      <w:r w:rsidR="006863F6" w:rsidRPr="009118AB">
        <w:t>1 Absatz 1</w:t>
      </w:r>
      <w:r w:rsidR="00666B27" w:rsidRPr="009118AB">
        <w:t xml:space="preserve">] </w:t>
      </w:r>
      <w:r w:rsidR="00F373D3" w:rsidRPr="009118AB">
        <w:t>gelten Aktien oder Anteile, die durch Umtausch erhalten werden, als am Erwerbsdatum der umgetauschten Aktien oder Anteile erworben.</w:t>
      </w:r>
    </w:p>
    <w:p w14:paraId="248116E8" w14:textId="77777777" w:rsidR="00F373D3" w:rsidRPr="009118AB" w:rsidRDefault="00F373D3" w:rsidP="00F373D3">
      <w:pPr>
        <w:jc w:val="both"/>
      </w:pPr>
    </w:p>
    <w:p w14:paraId="07588A4B" w14:textId="77777777" w:rsidR="00F373D3" w:rsidRPr="009118AB" w:rsidRDefault="009F1A1F" w:rsidP="00F373D3">
      <w:pPr>
        <w:jc w:val="both"/>
        <w:rPr>
          <w:spacing w:val="-2"/>
        </w:rPr>
      </w:pPr>
      <w:r w:rsidRPr="009118AB">
        <w:rPr>
          <w:spacing w:val="-2"/>
        </w:rPr>
        <w:tab/>
      </w:r>
      <w:r w:rsidR="00F373D3" w:rsidRPr="009118AB">
        <w:rPr>
          <w:spacing w:val="-2"/>
        </w:rPr>
        <w:t>Im Falle einer Aufspaltung ist der Nettosteuerwert der von jeder der begünstigten Gesellschaften erhaltenen Aktien oder Anteile proportional zum Realwert der von den begünstigten Gesellschaften erhaltenen Einbringungen im Verhältnis zum Realwert der aufgespaltenen Gesellschaft. Im Falle eines mit einer Aufspaltung gleichgesetzten Vorgangs entspricht die Gesamtheit des Nettosteuerwertes der Aktien oder Anteile der aufgespaltenen Gesellschaft und der erhaltenen Aktien oder Anteile dem Nettosteuerwert, den die Aktien oder Anteile der aufgespaltenen Gesellschaft unmittelbar vor dem mit der Aufspaltung gleichgesetzten Vorgang hatten. Der Nettosteuerwert der durch Umtausch erhaltenen Aktien oder Anteile ist proportional zum Realwert der Einbringung im Verhältnis zum Gesamt</w:t>
      </w:r>
      <w:r w:rsidR="00F373D3" w:rsidRPr="009118AB">
        <w:rPr>
          <w:spacing w:val="-2"/>
        </w:rPr>
        <w:softHyphen/>
        <w:t>realwert der aufgespaltenen Gesellschaft vor dem Vorgang. Diesbezüglich wird der Vorgang in Bezug auf einen mit der Aufspaltung gleichgesetzten Vorgang für den Aktionär mit dem Umtausch von Aktien oder Anteilen im Falle einer Aufspaltung gleichgesetzt.</w:t>
      </w:r>
    </w:p>
    <w:p w14:paraId="6ABE01B6" w14:textId="77777777" w:rsidR="00F373D3" w:rsidRPr="009118AB" w:rsidRDefault="00F373D3" w:rsidP="00F373D3">
      <w:pPr>
        <w:jc w:val="both"/>
      </w:pPr>
    </w:p>
    <w:p w14:paraId="1654923D" w14:textId="77777777" w:rsidR="00F373D3" w:rsidRPr="009118AB" w:rsidRDefault="009F1A1F" w:rsidP="00F373D3">
      <w:pPr>
        <w:autoSpaceDE w:val="0"/>
        <w:autoSpaceDN w:val="0"/>
        <w:adjustRightInd w:val="0"/>
        <w:jc w:val="both"/>
      </w:pPr>
      <w:r w:rsidRPr="009118AB">
        <w:lastRenderedPageBreak/>
        <w:tab/>
      </w:r>
      <w:r w:rsidR="00F373D3" w:rsidRPr="009118AB">
        <w:t>Die in Absatz 1 vorgesehene Steuerbefreiung ist nur anwendbar, sofern der Vorgang den Bestimmungen von Artikel 183</w:t>
      </w:r>
      <w:r w:rsidR="00F373D3" w:rsidRPr="009118AB">
        <w:rPr>
          <w:i/>
        </w:rPr>
        <w:t>bis</w:t>
      </w:r>
      <w:r w:rsidR="00F373D3" w:rsidRPr="009118AB">
        <w:t xml:space="preserve"> entspricht.]</w:t>
      </w:r>
    </w:p>
    <w:p w14:paraId="457AEFF2" w14:textId="77777777" w:rsidR="00F373D3" w:rsidRPr="009118AB" w:rsidRDefault="00F373D3" w:rsidP="00F373D3">
      <w:pPr>
        <w:autoSpaceDE w:val="0"/>
        <w:autoSpaceDN w:val="0"/>
        <w:adjustRightInd w:val="0"/>
        <w:jc w:val="both"/>
      </w:pPr>
    </w:p>
    <w:p w14:paraId="18540330" w14:textId="362880BA" w:rsidR="00F373D3" w:rsidRPr="009118AB" w:rsidRDefault="009F1A1F" w:rsidP="00F373D3">
      <w:pPr>
        <w:autoSpaceDE w:val="0"/>
        <w:autoSpaceDN w:val="0"/>
        <w:adjustRightInd w:val="0"/>
        <w:jc w:val="both"/>
      </w:pPr>
      <w:r w:rsidRPr="009118AB">
        <w:tab/>
      </w:r>
      <w:r w:rsidR="00F373D3" w:rsidRPr="009118AB">
        <w:t>[</w:t>
      </w:r>
      <w:r w:rsidR="00D67EB8" w:rsidRPr="009118AB">
        <w:t>§ </w:t>
      </w:r>
      <w:r w:rsidR="00F373D3" w:rsidRPr="009118AB">
        <w:t>2</w:t>
      </w:r>
      <w:r w:rsidR="00D67EB8" w:rsidRPr="009118AB">
        <w:t> - </w:t>
      </w:r>
      <w:r w:rsidR="00F373D3" w:rsidRPr="009118AB">
        <w:t>[Steuerfrei sind ebenfalls Mehrwerte auf Anteile von gemeinsamen Investmentfonds der Europäischen Union, wenn sie anlässlich der Umwandlung solcher Fonds in Investmentgesellschaften der Europäischen Union oder einen ihrer Zweige verwirklicht oder festgestellt werden.</w:t>
      </w:r>
    </w:p>
    <w:p w14:paraId="6A0B0DF8" w14:textId="77777777" w:rsidR="00F373D3" w:rsidRPr="009118AB" w:rsidRDefault="00F373D3" w:rsidP="00F373D3">
      <w:pPr>
        <w:autoSpaceDE w:val="0"/>
        <w:autoSpaceDN w:val="0"/>
        <w:adjustRightInd w:val="0"/>
        <w:jc w:val="both"/>
      </w:pPr>
    </w:p>
    <w:p w14:paraId="4523D283" w14:textId="5BE09D4B" w:rsidR="00F373D3" w:rsidRPr="009118AB" w:rsidRDefault="009F1A1F" w:rsidP="00F373D3">
      <w:pPr>
        <w:autoSpaceDE w:val="0"/>
        <w:autoSpaceDN w:val="0"/>
        <w:adjustRightInd w:val="0"/>
        <w:jc w:val="both"/>
      </w:pPr>
      <w:r w:rsidRPr="009118AB">
        <w:tab/>
      </w:r>
      <w:r w:rsidR="00F373D3" w:rsidRPr="009118AB">
        <w:t xml:space="preserve">In diesem Fall werden Mehr- oder Minderwerte auf Aktien oder Anteile der Investmentgesellschaft, die durch Umtausch erhalten werden, bestimmt unter Berücksichtigung des Anschaffungs- oder Investitionswertes der umgetauschten Anteile von gemeinsamen Investmentfonds, eventuell erhöht um die besteuerten Mehrwerte oder verringert um die vor und nach dem Umtausch zugelassenen Minderwerte. Für die Anwendung von Artikel 44 </w:t>
      </w:r>
      <w:r w:rsidR="00D67EB8" w:rsidRPr="009118AB">
        <w:t>§ </w:t>
      </w:r>
      <w:r w:rsidR="00F373D3" w:rsidRPr="009118AB">
        <w:t xml:space="preserve">1 </w:t>
      </w:r>
      <w:r w:rsidR="00D67EB8" w:rsidRPr="009118AB">
        <w:t>Nr. </w:t>
      </w:r>
      <w:r w:rsidR="00F373D3" w:rsidRPr="009118AB">
        <w:t>2 gelten Aktien, die durch Umtausch erhalten werden, als am Erwerbsdatum der umgetauschten Anteile erworben.]]</w:t>
      </w:r>
    </w:p>
    <w:p w14:paraId="0A4FC941" w14:textId="77777777" w:rsidR="00F373D3" w:rsidRPr="009118AB" w:rsidRDefault="00F373D3" w:rsidP="00F373D3">
      <w:pPr>
        <w:autoSpaceDE w:val="0"/>
        <w:autoSpaceDN w:val="0"/>
        <w:adjustRightInd w:val="0"/>
        <w:jc w:val="both"/>
      </w:pPr>
    </w:p>
    <w:p w14:paraId="31E8780A" w14:textId="2C7C06AC" w:rsidR="00F373D3" w:rsidRPr="009118AB" w:rsidRDefault="00F373D3" w:rsidP="00F373D3">
      <w:pPr>
        <w:autoSpaceDE w:val="0"/>
        <w:autoSpaceDN w:val="0"/>
        <w:adjustRightInd w:val="0"/>
        <w:jc w:val="both"/>
        <w:rPr>
          <w:i/>
          <w:iCs/>
        </w:rPr>
      </w:pPr>
      <w:r w:rsidRPr="009118AB">
        <w:rPr>
          <w:i/>
          <w:iCs/>
        </w:rPr>
        <w:t>[</w:t>
      </w:r>
      <w:r w:rsidR="00D67EB8" w:rsidRPr="009118AB">
        <w:rPr>
          <w:i/>
          <w:iCs/>
        </w:rPr>
        <w:t>Art. </w:t>
      </w:r>
      <w:r w:rsidRPr="009118AB">
        <w:rPr>
          <w:i/>
          <w:iCs/>
        </w:rPr>
        <w:t xml:space="preserve">45 </w:t>
      </w:r>
      <w:r w:rsidR="00D67EB8" w:rsidRPr="009118AB">
        <w:rPr>
          <w:i/>
          <w:iCs/>
        </w:rPr>
        <w:t>§ </w:t>
      </w:r>
      <w:r w:rsidRPr="009118AB">
        <w:rPr>
          <w:i/>
          <w:iCs/>
        </w:rPr>
        <w:t xml:space="preserve">1 (frühere Absätze 1 und 2) nummeriert durch </w:t>
      </w:r>
      <w:r w:rsidR="00D67EB8" w:rsidRPr="009118AB">
        <w:rPr>
          <w:i/>
          <w:iCs/>
        </w:rPr>
        <w:t>Art. </w:t>
      </w:r>
      <w:r w:rsidRPr="009118AB">
        <w:rPr>
          <w:i/>
          <w:iCs/>
        </w:rPr>
        <w:t>46 des G. vom 10. März 1999 (B.S. vom 14. April 1999)</w:t>
      </w:r>
      <w:r w:rsidR="00D67EB8" w:rsidRPr="009118AB">
        <w:rPr>
          <w:i/>
          <w:iCs/>
        </w:rPr>
        <w:t> - </w:t>
      </w:r>
      <w:r w:rsidRPr="009118AB">
        <w:rPr>
          <w:i/>
          <w:iCs/>
        </w:rPr>
        <w:t>in Kraft ab dem 14. April 1999</w:t>
      </w:r>
      <w:r w:rsidR="00D67EB8" w:rsidRPr="009118AB">
        <w:rPr>
          <w:i/>
          <w:iCs/>
        </w:rPr>
        <w:t> - </w:t>
      </w:r>
      <w:r w:rsidRPr="009118AB">
        <w:rPr>
          <w:i/>
          <w:iCs/>
        </w:rPr>
        <w:t xml:space="preserve">und ersetzt durch </w:t>
      </w:r>
      <w:r w:rsidR="00D67EB8" w:rsidRPr="009118AB">
        <w:rPr>
          <w:i/>
          <w:iCs/>
        </w:rPr>
        <w:t>Art. </w:t>
      </w:r>
      <w:r w:rsidRPr="009118AB">
        <w:rPr>
          <w:i/>
          <w:iCs/>
        </w:rPr>
        <w:t>4 des G.</w:t>
      </w:r>
      <w:r w:rsidR="00911B20" w:rsidRPr="009118AB">
        <w:rPr>
          <w:i/>
          <w:iCs/>
        </w:rPr>
        <w:t> </w:t>
      </w:r>
      <w:r w:rsidRPr="009118AB">
        <w:rPr>
          <w:i/>
          <w:iCs/>
        </w:rPr>
        <w:t>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3366D9" w:rsidRPr="009118AB">
        <w:rPr>
          <w:i/>
          <w:iCs/>
        </w:rPr>
        <w:t> -;</w:t>
      </w:r>
      <w:r w:rsidRPr="009118AB">
        <w:rPr>
          <w:i/>
          <w:iCs/>
          <w:spacing w:val="-2"/>
        </w:rPr>
        <w:t xml:space="preserve"> </w:t>
      </w:r>
      <w:r w:rsidR="00D67EB8" w:rsidRPr="009118AB">
        <w:rPr>
          <w:i/>
          <w:iCs/>
          <w:spacing w:val="-2"/>
        </w:rPr>
        <w:t>§ </w:t>
      </w:r>
      <w:r w:rsidR="00052607" w:rsidRPr="009118AB">
        <w:rPr>
          <w:i/>
          <w:iCs/>
          <w:spacing w:val="-2"/>
        </w:rPr>
        <w:t xml:space="preserve">1 </w:t>
      </w:r>
      <w:r w:rsidR="00D67EB8" w:rsidRPr="009118AB">
        <w:rPr>
          <w:i/>
          <w:iCs/>
          <w:spacing w:val="-2"/>
        </w:rPr>
        <w:t>Abs. </w:t>
      </w:r>
      <w:r w:rsidR="00052607" w:rsidRPr="009118AB">
        <w:rPr>
          <w:i/>
          <w:iCs/>
          <w:spacing w:val="-2"/>
        </w:rPr>
        <w:t xml:space="preserve">1 </w:t>
      </w:r>
      <w:r w:rsidR="00D67EB8" w:rsidRPr="009118AB">
        <w:rPr>
          <w:i/>
          <w:iCs/>
          <w:spacing w:val="-2"/>
        </w:rPr>
        <w:t>Nr. </w:t>
      </w:r>
      <w:r w:rsidR="00052607" w:rsidRPr="009118AB">
        <w:rPr>
          <w:i/>
          <w:iCs/>
          <w:spacing w:val="-2"/>
        </w:rPr>
        <w:t xml:space="preserve">2 ergänzt durch </w:t>
      </w:r>
      <w:r w:rsidR="00D67EB8" w:rsidRPr="009118AB">
        <w:rPr>
          <w:i/>
          <w:iCs/>
          <w:spacing w:val="-2"/>
        </w:rPr>
        <w:t>Art. </w:t>
      </w:r>
      <w:r w:rsidR="00052607" w:rsidRPr="009118AB">
        <w:rPr>
          <w:i/>
          <w:iCs/>
          <w:spacing w:val="-2"/>
        </w:rPr>
        <w:t>8 des G. vom 17. März 2019 (III) (B.S. vom 10. Mai 2019)</w:t>
      </w:r>
      <w:r w:rsidR="00D67EB8" w:rsidRPr="009118AB">
        <w:rPr>
          <w:i/>
          <w:iCs/>
          <w:spacing w:val="-2"/>
        </w:rPr>
        <w:t> - </w:t>
      </w:r>
      <w:r w:rsidR="00052607" w:rsidRPr="009118AB">
        <w:rPr>
          <w:i/>
          <w:iCs/>
          <w:spacing w:val="-2"/>
        </w:rPr>
        <w:t>in Kraft am 1. Mai 2019</w:t>
      </w:r>
      <w:r w:rsidR="003366D9" w:rsidRPr="009118AB">
        <w:rPr>
          <w:i/>
          <w:iCs/>
          <w:spacing w:val="-2"/>
        </w:rPr>
        <w:t> -;</w:t>
      </w:r>
      <w:r w:rsidR="00052607" w:rsidRPr="009118AB">
        <w:rPr>
          <w:i/>
          <w:iCs/>
          <w:spacing w:val="-2"/>
        </w:rPr>
        <w:t xml:space="preserve"> </w:t>
      </w:r>
      <w:r w:rsidR="00D67EB8" w:rsidRPr="009118AB">
        <w:rPr>
          <w:i/>
          <w:iCs/>
          <w:spacing w:val="-2"/>
        </w:rPr>
        <w:t>§ </w:t>
      </w:r>
      <w:r w:rsidR="00A83F15" w:rsidRPr="009118AB">
        <w:rPr>
          <w:i/>
          <w:iCs/>
          <w:spacing w:val="-2"/>
        </w:rPr>
        <w:t xml:space="preserve">1 </w:t>
      </w:r>
      <w:r w:rsidR="00D67EB8" w:rsidRPr="009118AB">
        <w:rPr>
          <w:i/>
          <w:iCs/>
          <w:spacing w:val="-2"/>
        </w:rPr>
        <w:t>Abs. </w:t>
      </w:r>
      <w:r w:rsidR="00A83F15" w:rsidRPr="009118AB">
        <w:rPr>
          <w:i/>
          <w:iCs/>
          <w:spacing w:val="-2"/>
        </w:rPr>
        <w:t xml:space="preserve">2 abgeändert durch </w:t>
      </w:r>
      <w:r w:rsidR="00D67EB8" w:rsidRPr="009118AB">
        <w:rPr>
          <w:i/>
          <w:iCs/>
          <w:spacing w:val="-2"/>
        </w:rPr>
        <w:t>Art. </w:t>
      </w:r>
      <w:r w:rsidR="00A83F15" w:rsidRPr="009118AB">
        <w:rPr>
          <w:i/>
          <w:iCs/>
          <w:spacing w:val="-2"/>
        </w:rPr>
        <w:t xml:space="preserve">144 </w:t>
      </w:r>
      <w:r w:rsidR="00A83F15" w:rsidRPr="009118AB">
        <w:rPr>
          <w:i/>
        </w:rPr>
        <w:t>des G. (I) vom 29. März 2012 (B.S. vom 6. April 2012)</w:t>
      </w:r>
      <w:r w:rsidR="00D67EB8" w:rsidRPr="009118AB">
        <w:rPr>
          <w:i/>
        </w:rPr>
        <w:t> - </w:t>
      </w:r>
      <w:r w:rsidR="009B474E" w:rsidRPr="009118AB">
        <w:rPr>
          <w:i/>
        </w:rPr>
        <w:t xml:space="preserve">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w:t>
      </w:r>
      <w:r w:rsidR="009B474E" w:rsidRPr="009118AB">
        <w:rPr>
          <w:i/>
          <w:iCs/>
        </w:rPr>
        <w:t>gebunden ist</w:t>
      </w:r>
      <w:r w:rsidR="00D67EB8" w:rsidRPr="009118AB">
        <w:rPr>
          <w:i/>
          <w:iCs/>
        </w:rPr>
        <w:t> - </w:t>
      </w:r>
      <w:r w:rsidR="006863F6" w:rsidRPr="009118AB">
        <w:rPr>
          <w:i/>
          <w:iCs/>
        </w:rPr>
        <w:t xml:space="preserve">und </w:t>
      </w:r>
      <w:r w:rsidR="00D67EB8" w:rsidRPr="009118AB">
        <w:rPr>
          <w:i/>
          <w:iCs/>
        </w:rPr>
        <w:t>Art. </w:t>
      </w:r>
      <w:r w:rsidR="006863F6" w:rsidRPr="009118AB">
        <w:rPr>
          <w:i/>
          <w:iCs/>
        </w:rPr>
        <w:t>41 des G. vom 13. Dezember 2012 (B.S. vom 20. Dezember 2012)</w:t>
      </w:r>
      <w:r w:rsidR="00D67EB8" w:rsidRPr="009118AB">
        <w:rPr>
          <w:i/>
          <w:iCs/>
        </w:rPr>
        <w:t> - </w:t>
      </w:r>
      <w:r w:rsidR="006863F6" w:rsidRPr="009118AB">
        <w:rPr>
          <w:i/>
          <w:iCs/>
        </w:rPr>
        <w:t>anwendbar ab dem Steuerjahr 2013 wie auch auf Mehrwerte, die ab dem 28. November 2011 verwirklicht werden, und auf Vorgänge oder Übertragungen, die ab dem 28. November 2011 erfolgen, und zwar in einem Besteue</w:t>
      </w:r>
      <w:r w:rsidR="006863F6" w:rsidRPr="009118AB">
        <w:rPr>
          <w:i/>
          <w:iCs/>
        </w:rPr>
        <w:softHyphen/>
        <w:t>rungszeitraum, der frühestens am 6. April 2012 endet und an das Steuerjahr 2012 gebunden ist</w:t>
      </w:r>
      <w:r w:rsidR="003366D9" w:rsidRPr="009118AB">
        <w:rPr>
          <w:i/>
          <w:iCs/>
        </w:rPr>
        <w:t> -;</w:t>
      </w:r>
      <w:r w:rsidR="00A83F15" w:rsidRPr="009118AB">
        <w:rPr>
          <w:i/>
          <w:iCs/>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46 des G.</w:t>
      </w:r>
      <w:r w:rsidR="00911B20" w:rsidRPr="009118AB">
        <w:rPr>
          <w:i/>
          <w:iCs/>
        </w:rPr>
        <w:t> </w:t>
      </w:r>
      <w:r w:rsidRPr="009118AB">
        <w:rPr>
          <w:i/>
          <w:iCs/>
        </w:rPr>
        <w:t>vom 10. März 1999 (B.S. vom 14. April 1999)</w:t>
      </w:r>
      <w:r w:rsidR="00D67EB8" w:rsidRPr="009118AB">
        <w:rPr>
          <w:i/>
          <w:iCs/>
        </w:rPr>
        <w:t> - </w:t>
      </w:r>
      <w:r w:rsidRPr="009118AB">
        <w:rPr>
          <w:i/>
          <w:iCs/>
        </w:rPr>
        <w:t>in Kraft ab dem 14. April 1999</w:t>
      </w:r>
      <w:r w:rsidR="00FD68E8" w:rsidRPr="009118AB">
        <w:rPr>
          <w:i/>
          <w:iCs/>
        </w:rPr>
        <w:t> -,</w:t>
      </w:r>
      <w:r w:rsidRPr="009118AB">
        <w:rPr>
          <w:i/>
          <w:iCs/>
        </w:rPr>
        <w:t xml:space="preserve"> aufgehoben durch </w:t>
      </w:r>
      <w:r w:rsidR="00D67EB8" w:rsidRPr="009118AB">
        <w:rPr>
          <w:i/>
          <w:iCs/>
        </w:rPr>
        <w:t>Art. </w:t>
      </w:r>
      <w:r w:rsidRPr="009118AB">
        <w:rPr>
          <w:i/>
          <w:iCs/>
        </w:rPr>
        <w:t>37 des G. vom 15. Dezember 2004 (B.S</w:t>
      </w:r>
      <w:r w:rsidR="006863F6" w:rsidRPr="009118AB">
        <w:rPr>
          <w:i/>
          <w:iCs/>
        </w:rPr>
        <w:t>. </w:t>
      </w:r>
      <w:r w:rsidRPr="009118AB">
        <w:rPr>
          <w:i/>
          <w:iCs/>
        </w:rPr>
        <w:t>vom 1. Februar 2005)</w:t>
      </w:r>
      <w:r w:rsidR="00D67EB8" w:rsidRPr="009118AB">
        <w:rPr>
          <w:i/>
          <w:iCs/>
        </w:rPr>
        <w:t> - </w:t>
      </w:r>
      <w:r w:rsidRPr="009118AB">
        <w:rPr>
          <w:i/>
          <w:iCs/>
        </w:rPr>
        <w:t>anwendbar auf Aktien- oder Anteilverleihe, die ab dem 1. Februar 2005 abgeschlossen werden</w:t>
      </w:r>
      <w:r w:rsidR="00D67EB8" w:rsidRPr="009118AB">
        <w:rPr>
          <w:i/>
          <w:iCs/>
        </w:rPr>
        <w:t> - </w:t>
      </w:r>
      <w:r w:rsidRPr="009118AB">
        <w:rPr>
          <w:i/>
          <w:iCs/>
        </w:rPr>
        <w:t xml:space="preserve">und wieder aufgenommen durch </w:t>
      </w:r>
      <w:r w:rsidR="00D67EB8" w:rsidRPr="009118AB">
        <w:rPr>
          <w:i/>
          <w:iCs/>
        </w:rPr>
        <w:t>Art. </w:t>
      </w:r>
      <w:r w:rsidRPr="009118AB">
        <w:rPr>
          <w:i/>
          <w:iCs/>
        </w:rPr>
        <w:t>317 des G. (I) vom 27. Dezember 2006 (II) (B.S. vom 28. Dezember 2006)</w:t>
      </w:r>
      <w:r w:rsidR="00D67EB8" w:rsidRPr="009118AB">
        <w:rPr>
          <w:i/>
          <w:iCs/>
        </w:rPr>
        <w:t> - </w:t>
      </w:r>
      <w:r w:rsidRPr="009118AB">
        <w:rPr>
          <w:i/>
          <w:iCs/>
        </w:rPr>
        <w:t>in Kraft ab dem 1. Januar 2007</w:t>
      </w:r>
      <w:r w:rsidR="00FD68E8" w:rsidRPr="009118AB">
        <w:rPr>
          <w:i/>
          <w:iCs/>
        </w:rPr>
        <w:t> -]</w:t>
      </w:r>
    </w:p>
    <w:p w14:paraId="3E51DEAA" w14:textId="77777777" w:rsidR="0031458F" w:rsidRPr="009118AB" w:rsidRDefault="0031458F" w:rsidP="00F373D3">
      <w:pPr>
        <w:autoSpaceDE w:val="0"/>
        <w:autoSpaceDN w:val="0"/>
        <w:adjustRightInd w:val="0"/>
        <w:jc w:val="both"/>
        <w:rPr>
          <w:i/>
          <w:iCs/>
        </w:rPr>
      </w:pPr>
    </w:p>
    <w:p w14:paraId="65D80116" w14:textId="77777777" w:rsidR="0031458F" w:rsidRPr="009118AB" w:rsidRDefault="0031458F" w:rsidP="00F373D3">
      <w:pPr>
        <w:autoSpaceDE w:val="0"/>
        <w:autoSpaceDN w:val="0"/>
        <w:adjustRightInd w:val="0"/>
        <w:jc w:val="both"/>
      </w:pPr>
    </w:p>
    <w:p w14:paraId="2AAEA753" w14:textId="0B393A6A" w:rsidR="0031458F" w:rsidRPr="009118AB" w:rsidRDefault="0031458F" w:rsidP="0031458F">
      <w:pPr>
        <w:autoSpaceDE w:val="0"/>
        <w:autoSpaceDN w:val="0"/>
        <w:adjustRightInd w:val="0"/>
        <w:jc w:val="both"/>
      </w:pPr>
      <w:r w:rsidRPr="009118AB">
        <w:tab/>
      </w:r>
      <w:r w:rsidR="00D67EB8" w:rsidRPr="009118AB">
        <w:rPr>
          <w:b/>
          <w:bCs/>
        </w:rPr>
        <w:t>Art. </w:t>
      </w:r>
      <w:r w:rsidRPr="009118AB">
        <w:rPr>
          <w:b/>
          <w:bCs/>
        </w:rPr>
        <w:t>46</w:t>
      </w:r>
      <w:r w:rsidR="00D67EB8" w:rsidRPr="009118AB">
        <w:t> - § </w:t>
      </w:r>
      <w:r w:rsidRPr="009118AB">
        <w:t>1</w:t>
      </w:r>
      <w:r w:rsidR="00D67EB8" w:rsidRPr="009118AB">
        <w:t> - </w:t>
      </w:r>
      <w:r w:rsidRPr="009118AB">
        <w:t xml:space="preserve">[In Artikel 28 Absatz 1 </w:t>
      </w:r>
      <w:r w:rsidR="00D67EB8" w:rsidRPr="009118AB">
        <w:t>Nr. </w:t>
      </w:r>
      <w:r w:rsidRPr="009118AB">
        <w:t>1 definierte Einstellungsmehrwerte [einschließlich der Mehrwerte, die aufgrund oder anlässlich der vollständigen und definitiven Einstellung eines oder mehrerer Teilbetriebe beziehungs</w:t>
      </w:r>
      <w:r w:rsidRPr="009118AB">
        <w:softHyphen/>
        <w:t>weise eines oder mehrerer Teile einer Tätigkeit verwirklicht oder festgestellt werden,] sind vollständig, aber nur zeitweilig steuerfrei:</w:t>
      </w:r>
    </w:p>
    <w:p w14:paraId="0955D813" w14:textId="77777777" w:rsidR="0031458F" w:rsidRPr="009118AB" w:rsidRDefault="0031458F" w:rsidP="0031458F">
      <w:pPr>
        <w:autoSpaceDE w:val="0"/>
        <w:autoSpaceDN w:val="0"/>
        <w:adjustRightInd w:val="0"/>
        <w:jc w:val="both"/>
      </w:pPr>
    </w:p>
    <w:p w14:paraId="3D4EF7DE" w14:textId="77777777" w:rsidR="0031458F" w:rsidRPr="009118AB" w:rsidRDefault="0031458F" w:rsidP="0031458F">
      <w:pPr>
        <w:autoSpaceDE w:val="0"/>
        <w:autoSpaceDN w:val="0"/>
        <w:adjustRightInd w:val="0"/>
        <w:jc w:val="both"/>
      </w:pPr>
      <w:r w:rsidRPr="009118AB">
        <w:tab/>
        <w:t>1. wenn der Betrieb, die Berufstätigkeit oder ein oder mehrere Teilbetriebe beziehungsweise ein oder mehrere Teile einer Tätigkeit vom Ehepartner oder von einem oder mehreren Erben oder Erbberechtigten in gerader Linie der Person weitergeführt werden, die den Betrieb, die Berufstätigkeit oder den Teilbetrieb beziehungsweise einen Teil einer Tätigkeit eingestellt hat,</w:t>
      </w:r>
    </w:p>
    <w:p w14:paraId="1987C483" w14:textId="77777777" w:rsidR="0031458F" w:rsidRPr="009118AB" w:rsidRDefault="0031458F" w:rsidP="0031458F">
      <w:pPr>
        <w:autoSpaceDE w:val="0"/>
        <w:autoSpaceDN w:val="0"/>
        <w:adjustRightInd w:val="0"/>
        <w:jc w:val="both"/>
      </w:pPr>
    </w:p>
    <w:p w14:paraId="088A864C" w14:textId="7CD89F5C" w:rsidR="0031458F" w:rsidRPr="009118AB" w:rsidRDefault="0031458F" w:rsidP="0031458F">
      <w:pPr>
        <w:autoSpaceDE w:val="0"/>
        <w:autoSpaceDN w:val="0"/>
        <w:adjustRightInd w:val="0"/>
        <w:jc w:val="both"/>
      </w:pPr>
      <w:r w:rsidRPr="009118AB">
        <w:lastRenderedPageBreak/>
        <w:tab/>
        <w:t xml:space="preserve">2. wenn sie anlässlich der Einbringung eines oder mehrerer Teilbetriebe beziehungsweise eines oder mehrerer Teile einer Tätigkeit oder eines Gesamtvermögens in eine Gesellschaft gegen Erhalt von Aktien oder Anteilen, die das </w:t>
      </w:r>
      <w:r w:rsidR="00052607" w:rsidRPr="009118AB">
        <w:t>[K</w:t>
      </w:r>
      <w:r w:rsidRPr="009118AB">
        <w:t>apital</w:t>
      </w:r>
      <w:r w:rsidR="00052607" w:rsidRPr="009118AB">
        <w:t>]</w:t>
      </w:r>
      <w:r w:rsidRPr="009118AB">
        <w:t xml:space="preserve"> dieser Gesellschaft vertreten, verwirklicht oder festgestellt werden,</w:t>
      </w:r>
    </w:p>
    <w:p w14:paraId="454EC7A2" w14:textId="77777777" w:rsidR="0031458F" w:rsidRPr="009118AB" w:rsidRDefault="0031458F" w:rsidP="0031458F">
      <w:pPr>
        <w:autoSpaceDE w:val="0"/>
        <w:autoSpaceDN w:val="0"/>
        <w:adjustRightInd w:val="0"/>
        <w:jc w:val="both"/>
      </w:pPr>
    </w:p>
    <w:p w14:paraId="7A4D6A44" w14:textId="2845EE9D" w:rsidR="0031458F" w:rsidRPr="009118AB" w:rsidRDefault="0031458F" w:rsidP="0031458F">
      <w:pPr>
        <w:autoSpaceDE w:val="0"/>
        <w:autoSpaceDN w:val="0"/>
        <w:adjustRightInd w:val="0"/>
        <w:jc w:val="both"/>
      </w:pPr>
      <w:r w:rsidRPr="009118AB">
        <w:tab/>
        <w:t xml:space="preserve">3. wenn sie </w:t>
      </w:r>
      <w:r w:rsidR="00052607" w:rsidRPr="009118AB">
        <w:t>[verwirklicht oder festgestellt werden anlässlich einer Einbringung in eine Gesellschaft, die zugelassen ist als Landwirtschaftsunternehmen wie in Artikel 8:2 des Gesetzbuches der Gesellschaften und Vereinigungen erwähnt und die für den Besteuerungszeitraum, in dem die Einbringung erfolgt, als Gesellschaft ohne Rechtspersönlichkeit gilt]</w:t>
      </w:r>
      <w:r w:rsidRPr="009118AB">
        <w:t>.</w:t>
      </w:r>
    </w:p>
    <w:p w14:paraId="06F2996F" w14:textId="77777777" w:rsidR="0031458F" w:rsidRPr="009118AB" w:rsidRDefault="0031458F" w:rsidP="0031458F">
      <w:pPr>
        <w:autoSpaceDE w:val="0"/>
        <w:autoSpaceDN w:val="0"/>
        <w:adjustRightInd w:val="0"/>
        <w:jc w:val="both"/>
      </w:pPr>
    </w:p>
    <w:p w14:paraId="23F4EC00" w14:textId="4799B612" w:rsidR="0031458F" w:rsidRPr="009118AB" w:rsidRDefault="0031458F" w:rsidP="0031458F">
      <w:pPr>
        <w:autoSpaceDE w:val="0"/>
        <w:autoSpaceDN w:val="0"/>
        <w:adjustRightInd w:val="0"/>
        <w:jc w:val="both"/>
      </w:pPr>
      <w:r w:rsidRPr="009118AB">
        <w:tab/>
        <w:t xml:space="preserve">[Absatz 1 </w:t>
      </w:r>
      <w:r w:rsidR="00D67EB8" w:rsidRPr="009118AB">
        <w:t>Nr. </w:t>
      </w:r>
      <w:r w:rsidRPr="009118AB">
        <w:t>2 ist nicht anwendbar, wenn der Empfänger der Einbringung eine Investmentgesellschaft mit fixem Kapital für Immobilien oder nicht notierte Aktien[</w:t>
      </w:r>
      <w:r w:rsidR="000D5C7F" w:rsidRPr="009118AB">
        <w:rPr>
          <w:lang w:eastAsia="fr-BE"/>
        </w:rPr>
        <w:t xml:space="preserve">, eine beaufsichtigte Immobiliengesellschaft </w:t>
      </w:r>
      <w:r w:rsidR="00182717" w:rsidRPr="009118AB">
        <w:rPr>
          <w:lang w:eastAsia="fr-BE"/>
        </w:rPr>
        <w:t>[</w:t>
      </w:r>
      <w:r w:rsidR="00182717" w:rsidRPr="009118AB">
        <w:t>oder ein europäischer langfristiger Investmentfonds, die/der von der Autorität Finanzielle Dienste und Märkte zugelassen ist, oder eine beim FÖD Finanzen im Verzeichnis der spezialisierten Immobilieninvestmentfonds eingetragene Gesellschaft ist</w:t>
      </w:r>
      <w:r w:rsidR="00182717" w:rsidRPr="009118AB">
        <w:rPr>
          <w:lang w:eastAsia="fr-BE"/>
        </w:rPr>
        <w:t>]</w:t>
      </w:r>
      <w:r w:rsidRPr="009118AB">
        <w:t>.]</w:t>
      </w:r>
    </w:p>
    <w:p w14:paraId="060E8A14" w14:textId="77777777" w:rsidR="0031458F" w:rsidRPr="009118AB" w:rsidRDefault="0031458F" w:rsidP="0031458F">
      <w:pPr>
        <w:autoSpaceDE w:val="0"/>
        <w:autoSpaceDN w:val="0"/>
        <w:adjustRightInd w:val="0"/>
        <w:jc w:val="both"/>
      </w:pPr>
    </w:p>
    <w:p w14:paraId="76D3DF14" w14:textId="72C92C09" w:rsidR="0031458F" w:rsidRPr="009118AB" w:rsidRDefault="0031458F" w:rsidP="0031458F">
      <w:pPr>
        <w:jc w:val="both"/>
      </w:pPr>
      <w:r w:rsidRPr="009118AB">
        <w:tab/>
        <w:t xml:space="preserve">[Absatz 1 </w:t>
      </w:r>
      <w:r w:rsidR="00D67EB8" w:rsidRPr="009118AB">
        <w:t>Nr. </w:t>
      </w:r>
      <w:r w:rsidRPr="009118AB">
        <w:t>2 ist nur anwendbar, sofern:</w:t>
      </w:r>
    </w:p>
    <w:p w14:paraId="3921FCD9" w14:textId="77777777" w:rsidR="0031458F" w:rsidRPr="009118AB" w:rsidRDefault="0031458F" w:rsidP="0031458F">
      <w:pPr>
        <w:jc w:val="both"/>
      </w:pPr>
    </w:p>
    <w:p w14:paraId="67EDF0F7" w14:textId="77777777" w:rsidR="0031458F" w:rsidRPr="009118AB" w:rsidRDefault="0031458F" w:rsidP="0031458F">
      <w:pPr>
        <w:jc w:val="both"/>
      </w:pPr>
      <w:r w:rsidRPr="009118AB">
        <w:tab/>
        <w:t>1. die Gesellschaft, zu deren Gunsten die Einbringung erfolgt, eine inländische Gesellschaft oder eine innereuropäische Gesellschaft ist,</w:t>
      </w:r>
    </w:p>
    <w:p w14:paraId="2E420F4B" w14:textId="77777777" w:rsidR="0031458F" w:rsidRPr="009118AB" w:rsidRDefault="0031458F" w:rsidP="0031458F">
      <w:pPr>
        <w:jc w:val="both"/>
      </w:pPr>
    </w:p>
    <w:p w14:paraId="375188BD" w14:textId="511543CA" w:rsidR="0031458F" w:rsidRPr="009118AB" w:rsidRDefault="0031458F" w:rsidP="0031458F">
      <w:pPr>
        <w:jc w:val="both"/>
      </w:pPr>
      <w:r w:rsidRPr="009118AB">
        <w:tab/>
        <w:t xml:space="preserve">2. </w:t>
      </w:r>
      <w:r w:rsidR="00052607" w:rsidRPr="009118AB">
        <w:t>[…]</w:t>
      </w:r>
    </w:p>
    <w:p w14:paraId="4DF781FE" w14:textId="77777777" w:rsidR="0031458F" w:rsidRPr="009118AB" w:rsidRDefault="0031458F" w:rsidP="0031458F">
      <w:pPr>
        <w:jc w:val="both"/>
      </w:pPr>
    </w:p>
    <w:p w14:paraId="2B42C41E" w14:textId="77777777" w:rsidR="0031458F" w:rsidRPr="009118AB" w:rsidRDefault="0031458F" w:rsidP="0031458F">
      <w:pPr>
        <w:autoSpaceDE w:val="0"/>
        <w:autoSpaceDN w:val="0"/>
        <w:adjustRightInd w:val="0"/>
        <w:jc w:val="both"/>
      </w:pPr>
      <w:r w:rsidRPr="009118AB">
        <w:tab/>
        <w:t>3. der Vorgang den Bestimmungen von Artikel 183</w:t>
      </w:r>
      <w:r w:rsidRPr="009118AB">
        <w:rPr>
          <w:i/>
        </w:rPr>
        <w:t>bis</w:t>
      </w:r>
      <w:r w:rsidRPr="009118AB">
        <w:t xml:space="preserve"> entspricht.]</w:t>
      </w:r>
    </w:p>
    <w:p w14:paraId="3B6A7A61" w14:textId="77777777" w:rsidR="0031458F" w:rsidRPr="009118AB" w:rsidRDefault="0031458F" w:rsidP="0031458F">
      <w:pPr>
        <w:autoSpaceDE w:val="0"/>
        <w:autoSpaceDN w:val="0"/>
        <w:adjustRightInd w:val="0"/>
        <w:jc w:val="both"/>
      </w:pPr>
    </w:p>
    <w:p w14:paraId="7EE5C003" w14:textId="59CE1F86" w:rsidR="0031458F" w:rsidRPr="009118AB" w:rsidRDefault="0031458F" w:rsidP="0031458F">
      <w:pPr>
        <w:autoSpaceDE w:val="0"/>
        <w:autoSpaceDN w:val="0"/>
        <w:adjustRightInd w:val="0"/>
        <w:jc w:val="both"/>
      </w:pPr>
      <w:r w:rsidRPr="009118AB">
        <w:tab/>
        <w:t xml:space="preserve">[Ist der Empfänger der Einbringung eine innereuropäische Gesellschaft, gilt die in Absatz 1 erwähnte Steuerbefreiung nur für die infolge der Einbringung eingebrachten Güter, die in einer in Artikel 229 </w:t>
      </w:r>
      <w:r w:rsidR="00D67EB8" w:rsidRPr="009118AB">
        <w:t>§ </w:t>
      </w:r>
      <w:r w:rsidRPr="009118AB">
        <w:t>1 erwähnten belgischen Niederlassung genutzt und belassen werden, über die die Gesellschaft, zu deren Gunsten die Einbringung erfolgt, in Belgien verfügt, ob infolge dieser Einbringung oder nicht, und die zur Erzielung der Ergebnisse dieser Niederlassung beitragen, die in Anwendung von Artikel 233 für die Besteuerungsgrundlage berücksichtigt werden.]</w:t>
      </w:r>
    </w:p>
    <w:p w14:paraId="4F043F0E" w14:textId="77777777" w:rsidR="0031458F" w:rsidRPr="009118AB" w:rsidRDefault="0031458F" w:rsidP="0031458F">
      <w:pPr>
        <w:autoSpaceDE w:val="0"/>
        <w:autoSpaceDN w:val="0"/>
        <w:adjustRightInd w:val="0"/>
        <w:jc w:val="both"/>
      </w:pPr>
    </w:p>
    <w:p w14:paraId="70F3E19C" w14:textId="0FBC2CCB" w:rsidR="0031458F" w:rsidRPr="009118AB" w:rsidRDefault="0031458F" w:rsidP="0031458F">
      <w:pPr>
        <w:autoSpaceDE w:val="0"/>
        <w:autoSpaceDN w:val="0"/>
        <w:adjustRightInd w:val="0"/>
        <w:jc w:val="both"/>
      </w:pPr>
      <w:r w:rsidRPr="009118AB">
        <w:tab/>
        <w:t xml:space="preserve">Die Anwendung von Absatz 1 </w:t>
      </w:r>
      <w:r w:rsidR="00D67EB8" w:rsidRPr="009118AB">
        <w:t>Nr. </w:t>
      </w:r>
      <w:r w:rsidRPr="009118AB">
        <w:t xml:space="preserve">1 und 3 lässt jedoch die mögliche Besteuerung gemäß [Artikel 90 Absatz 1 </w:t>
      </w:r>
      <w:r w:rsidR="00D67EB8" w:rsidRPr="009118AB">
        <w:t>Nr. </w:t>
      </w:r>
      <w:r w:rsidRPr="009118AB">
        <w:t>8] der Mehrwerte, die auf unbebaute unbewegliche Güter von Landwirtschafts- oder Gartenbaubetrieben verwirklicht werden, unberührt.</w:t>
      </w:r>
    </w:p>
    <w:p w14:paraId="57232298" w14:textId="77777777" w:rsidR="0031458F" w:rsidRPr="009118AB" w:rsidRDefault="0031458F" w:rsidP="0031458F">
      <w:pPr>
        <w:autoSpaceDE w:val="0"/>
        <w:autoSpaceDN w:val="0"/>
        <w:adjustRightInd w:val="0"/>
        <w:jc w:val="both"/>
      </w:pPr>
    </w:p>
    <w:p w14:paraId="79F3040C" w14:textId="77777777" w:rsidR="0031458F" w:rsidRPr="009118AB" w:rsidRDefault="0031458F" w:rsidP="0031458F">
      <w:pPr>
        <w:autoSpaceDE w:val="0"/>
        <w:autoSpaceDN w:val="0"/>
        <w:adjustRightInd w:val="0"/>
        <w:jc w:val="both"/>
      </w:pPr>
      <w:r w:rsidRPr="009118AB">
        <w:tab/>
        <w:t>Finanzanlagen und andere Wertpapiere im Portefeuille bilden keinen Teilbetrieb beziehungsweise keinen Teil einer Tätigkeit; sie gelten nur als zugehörig zu einem Teilbetrieb beziehungsweise einem Teil einer Tätigkeit, wenn sie normal in diesen Teilbetrieb beziehungsweise diesen Teil einer Tätigkeit integriert sind, ohne dessen Hauptbestandteil zu bilden.]</w:t>
      </w:r>
    </w:p>
    <w:p w14:paraId="7AEF3099" w14:textId="77777777" w:rsidR="0031458F" w:rsidRPr="009118AB" w:rsidRDefault="0031458F" w:rsidP="0031458F">
      <w:pPr>
        <w:autoSpaceDE w:val="0"/>
        <w:autoSpaceDN w:val="0"/>
        <w:adjustRightInd w:val="0"/>
        <w:jc w:val="both"/>
      </w:pPr>
    </w:p>
    <w:p w14:paraId="452861AE" w14:textId="0A6D2976" w:rsidR="0031458F" w:rsidRPr="009118AB" w:rsidRDefault="0031458F" w:rsidP="0031458F">
      <w:pPr>
        <w:autoSpaceDE w:val="0"/>
        <w:autoSpaceDN w:val="0"/>
        <w:adjustRightInd w:val="0"/>
        <w:jc w:val="both"/>
      </w:pPr>
      <w:r w:rsidRPr="009118AB">
        <w:tab/>
      </w:r>
      <w:r w:rsidR="00D67EB8" w:rsidRPr="009118AB">
        <w:t>§ </w:t>
      </w:r>
      <w:r w:rsidRPr="009118AB">
        <w:t>2</w:t>
      </w:r>
      <w:r w:rsidR="00D67EB8" w:rsidRPr="009118AB">
        <w:t> - </w:t>
      </w:r>
      <w:r w:rsidRPr="009118AB">
        <w:t xml:space="preserve">Die für den neuen Steuerpflichtigen zu berücksichtigenden Abschreibungen, [Abzüge für Einkünfte aus Patenten, Abzüge für Einkünfte aus Innovationen,] </w:t>
      </w:r>
      <w:r w:rsidR="00927E18" w:rsidRPr="009118AB">
        <w:t>[</w:t>
      </w:r>
      <w:r w:rsidR="00545439" w:rsidRPr="009118AB">
        <w:t>Abzüge für Risikokapital,</w:t>
      </w:r>
      <w:r w:rsidR="00927E18" w:rsidRPr="009118AB">
        <w:t xml:space="preserve">] </w:t>
      </w:r>
      <w:r w:rsidRPr="009118AB">
        <w:t xml:space="preserve">Investitionsabzüge, [Steuergutschriften für Forschung und Entwicklung, Minder- oder Mehrwerte </w:t>
      </w:r>
      <w:r w:rsidR="00545439" w:rsidRPr="009118AB">
        <w:t>[in Bezug auf die bei ihm eingebrachten Bestandteile]]</w:t>
      </w:r>
      <w:r w:rsidRPr="009118AB">
        <w:t xml:space="preserve"> werden außer </w:t>
      </w:r>
      <w:r w:rsidRPr="009118AB">
        <w:lastRenderedPageBreak/>
        <w:t xml:space="preserve">in den Fällen, in denen [Artikel 90 Absatz 1 </w:t>
      </w:r>
      <w:r w:rsidR="00D67EB8" w:rsidRPr="009118AB">
        <w:t>Nr. </w:t>
      </w:r>
      <w:r w:rsidRPr="009118AB">
        <w:t xml:space="preserve">8] angewandt wird, bestimmt, als ob </w:t>
      </w:r>
      <w:r w:rsidR="00545439" w:rsidRPr="009118AB">
        <w:t>[diese Bestandteile]</w:t>
      </w:r>
      <w:r w:rsidRPr="009118AB">
        <w:t xml:space="preserve"> den Eigentümer nicht gewechselt hätten.</w:t>
      </w:r>
    </w:p>
    <w:p w14:paraId="3938330B" w14:textId="77777777" w:rsidR="0031458F" w:rsidRPr="009118AB" w:rsidRDefault="0031458F" w:rsidP="0031458F">
      <w:pPr>
        <w:autoSpaceDE w:val="0"/>
        <w:autoSpaceDN w:val="0"/>
        <w:adjustRightInd w:val="0"/>
        <w:jc w:val="both"/>
      </w:pPr>
    </w:p>
    <w:p w14:paraId="3C0AF6E0" w14:textId="77777777" w:rsidR="0031458F" w:rsidRPr="009118AB" w:rsidRDefault="0031458F" w:rsidP="0031458F">
      <w:pPr>
        <w:autoSpaceDE w:val="0"/>
        <w:autoSpaceDN w:val="0"/>
        <w:adjustRightInd w:val="0"/>
        <w:jc w:val="both"/>
      </w:pPr>
      <w:r w:rsidRPr="009118AB">
        <w:tab/>
        <w:t>Die Bestimmungen [der Artikel 44, 44</w:t>
      </w:r>
      <w:r w:rsidRPr="009118AB">
        <w:rPr>
          <w:i/>
          <w:iCs/>
        </w:rPr>
        <w:t>bis</w:t>
      </w:r>
      <w:r w:rsidRPr="009118AB">
        <w:t>, 44</w:t>
      </w:r>
      <w:r w:rsidRPr="009118AB">
        <w:rPr>
          <w:i/>
          <w:iCs/>
        </w:rPr>
        <w:t>ter</w:t>
      </w:r>
      <w:r w:rsidRPr="009118AB">
        <w:t>, 45, 47, 48 und 361 bis 363] bleiben anwendbar auf Mehrwerte, Wertminderungen, Rückstellungen, Unterbewertungen, Überbewertungen, Zuschüsse und Forderungen, die bei dem ehemaligen Steuerpflichtigen bestanden, sofern diese Bestandteile bei dem neuen Steuerpflichtigen wieder zu finden sind.</w:t>
      </w:r>
    </w:p>
    <w:p w14:paraId="0BADCCF7" w14:textId="77777777" w:rsidR="0031458F" w:rsidRPr="009118AB" w:rsidRDefault="0031458F" w:rsidP="0031458F">
      <w:pPr>
        <w:autoSpaceDE w:val="0"/>
        <w:autoSpaceDN w:val="0"/>
        <w:adjustRightInd w:val="0"/>
        <w:jc w:val="both"/>
      </w:pPr>
    </w:p>
    <w:p w14:paraId="259CCE30" w14:textId="77777777" w:rsidR="0031458F" w:rsidRPr="009118AB" w:rsidRDefault="0031458F" w:rsidP="0031458F">
      <w:pPr>
        <w:autoSpaceDE w:val="0"/>
        <w:autoSpaceDN w:val="0"/>
        <w:adjustRightInd w:val="0"/>
        <w:jc w:val="both"/>
      </w:pPr>
      <w:r w:rsidRPr="009118AB">
        <w:tab/>
        <w:t>In den [in den Artikeln 44</w:t>
      </w:r>
      <w:r w:rsidRPr="009118AB">
        <w:rPr>
          <w:i/>
          <w:iCs/>
        </w:rPr>
        <w:t>bis</w:t>
      </w:r>
      <w:r w:rsidRPr="009118AB">
        <w:t>, 44</w:t>
      </w:r>
      <w:r w:rsidRPr="009118AB">
        <w:rPr>
          <w:i/>
          <w:iCs/>
        </w:rPr>
        <w:t>ter</w:t>
      </w:r>
      <w:r w:rsidRPr="009118AB">
        <w:t xml:space="preserve"> und 47 erwähnten] Fällen darf die Weiterführung der Tätigkeit oder Einbringung keine Verlängerung der ursprünglich vorgesehenen Wiederanlagefrist zur Folge haben.</w:t>
      </w:r>
    </w:p>
    <w:p w14:paraId="0B9ED298" w14:textId="77777777" w:rsidR="0031458F" w:rsidRPr="009118AB" w:rsidRDefault="0031458F" w:rsidP="0031458F">
      <w:pPr>
        <w:autoSpaceDE w:val="0"/>
        <w:autoSpaceDN w:val="0"/>
        <w:adjustRightInd w:val="0"/>
        <w:jc w:val="both"/>
      </w:pPr>
    </w:p>
    <w:p w14:paraId="6701CBD0" w14:textId="4AD346F5" w:rsidR="0031458F" w:rsidRPr="009118AB" w:rsidRDefault="0031458F" w:rsidP="0031458F">
      <w:pPr>
        <w:autoSpaceDE w:val="0"/>
        <w:autoSpaceDN w:val="0"/>
        <w:adjustRightInd w:val="0"/>
        <w:jc w:val="both"/>
      </w:pPr>
      <w:r w:rsidRPr="009118AB">
        <w:tab/>
        <w:t xml:space="preserve">Für die Anwendung des vorliegenden Paragraphen auf </w:t>
      </w:r>
      <w:r w:rsidR="00052607" w:rsidRPr="009118AB">
        <w:t xml:space="preserve">[die in </w:t>
      </w:r>
      <w:r w:rsidR="00D67EB8" w:rsidRPr="009118AB">
        <w:t>§ </w:t>
      </w:r>
      <w:r w:rsidR="00052607" w:rsidRPr="009118AB">
        <w:t xml:space="preserve">1 Absatz 1 </w:t>
      </w:r>
      <w:r w:rsidR="00D67EB8" w:rsidRPr="009118AB">
        <w:t>Nr. </w:t>
      </w:r>
      <w:r w:rsidR="00052607" w:rsidRPr="009118AB">
        <w:t>3 erwähnten Gesellschaften, die zugelassen sind als Landwirtschaftsunternehmen wie in Artikel 8:2 des Gesetzbuches der Gesellschaften und Vereinigungen erwähnt,]</w:t>
      </w:r>
      <w:r w:rsidRPr="009118AB">
        <w:t xml:space="preserve"> gilt der Ausdruck "neuer Steuerpflichtiger" für die Gesamtheit der Gesellschafter solcher Gesellschaften einschließlich der zugelassenen Rechtsnachfolger verstorbener Gesellschafter.</w:t>
      </w:r>
    </w:p>
    <w:p w14:paraId="4AF4C60D" w14:textId="77777777" w:rsidR="0031458F" w:rsidRPr="009118AB" w:rsidRDefault="0031458F" w:rsidP="0031458F">
      <w:pPr>
        <w:autoSpaceDE w:val="0"/>
        <w:autoSpaceDN w:val="0"/>
        <w:adjustRightInd w:val="0"/>
        <w:jc w:val="both"/>
      </w:pPr>
    </w:p>
    <w:p w14:paraId="2B5EB23F" w14:textId="56228735" w:rsidR="0031458F" w:rsidRPr="009118AB" w:rsidRDefault="0031458F" w:rsidP="0031458F">
      <w:pPr>
        <w:autoSpaceDE w:val="0"/>
        <w:autoSpaceDN w:val="0"/>
        <w:adjustRightInd w:val="0"/>
        <w:jc w:val="both"/>
      </w:pPr>
      <w:r w:rsidRPr="009118AB">
        <w:tab/>
      </w:r>
      <w:r w:rsidR="00D67EB8" w:rsidRPr="009118AB">
        <w:t>§ </w:t>
      </w:r>
      <w:r w:rsidRPr="009118AB">
        <w:t>3</w:t>
      </w:r>
      <w:r w:rsidR="00D67EB8" w:rsidRPr="009118AB">
        <w:t> - </w:t>
      </w:r>
      <w:r w:rsidRPr="009118AB">
        <w:t xml:space="preserve">Ungeachtet der Übertragung der Besteuerung aufgrund der Anwendung von </w:t>
      </w:r>
      <w:r w:rsidR="00D67EB8" w:rsidRPr="009118AB">
        <w:t>§ </w:t>
      </w:r>
      <w:r w:rsidRPr="009118AB">
        <w:t xml:space="preserve">2 wird zur Festlegung der Mehr- oder Minderwerte auf Aktien oder Anteile, die als Vergütung einer in </w:t>
      </w:r>
      <w:r w:rsidR="00D67EB8" w:rsidRPr="009118AB">
        <w:t>§ </w:t>
      </w:r>
      <w:r w:rsidRPr="009118AB">
        <w:t xml:space="preserve">1 Absatz 1 </w:t>
      </w:r>
      <w:r w:rsidR="00D67EB8" w:rsidRPr="009118AB">
        <w:t>Nr. </w:t>
      </w:r>
      <w:r w:rsidRPr="009118AB">
        <w:t>2 und 3 definierten Einbringung bezogen werden, den Aktien oder Anteilen ein Wert beigemessen, der dem Wert entspricht, den die eingebrachten Aktiva in steuerlicher Hinsicht für den ehemaligen Steuerpflichtigen hatten.</w:t>
      </w:r>
    </w:p>
    <w:p w14:paraId="6AE8E656" w14:textId="77777777" w:rsidR="0031458F" w:rsidRPr="009118AB" w:rsidRDefault="0031458F" w:rsidP="0031458F">
      <w:pPr>
        <w:autoSpaceDE w:val="0"/>
        <w:autoSpaceDN w:val="0"/>
        <w:adjustRightInd w:val="0"/>
        <w:jc w:val="both"/>
      </w:pPr>
    </w:p>
    <w:p w14:paraId="03D96E14" w14:textId="4E95E0DD" w:rsidR="0031458F" w:rsidRPr="009118AB" w:rsidRDefault="0031458F" w:rsidP="0031458F">
      <w:pPr>
        <w:autoSpaceDE w:val="0"/>
        <w:autoSpaceDN w:val="0"/>
        <w:adjustRightInd w:val="0"/>
        <w:jc w:val="both"/>
      </w:pPr>
      <w:r w:rsidRPr="009118AB">
        <w:tab/>
        <w:t xml:space="preserve">Werden Aktien oder Anteile veräußert, gelten sie bei der Festlegung des aufgrund von Artikel 44 </w:t>
      </w:r>
      <w:r w:rsidR="00D67EB8" w:rsidRPr="009118AB">
        <w:t>§ </w:t>
      </w:r>
      <w:r w:rsidRPr="009118AB">
        <w:t xml:space="preserve">1 </w:t>
      </w:r>
      <w:r w:rsidR="00D67EB8" w:rsidRPr="009118AB">
        <w:t>Nr. </w:t>
      </w:r>
      <w:r w:rsidRPr="009118AB">
        <w:t>2 gegebenenfalls steuerfreien Mehrwertes als zur Ausübung der Berufstätigkeit genutzt ab dem Datum, an dem die eingebrachten Aktiva zu diesem Zweck genutzt werden, und wird der neu bewertete durchschnittliche Wert jeder Aktie oder jedes Anteils im Verhältnis zum neu bewerteten Gesamtwert dieser Aktiva festgelegt.</w:t>
      </w:r>
    </w:p>
    <w:p w14:paraId="47609A0E" w14:textId="77777777" w:rsidR="0031458F" w:rsidRPr="009118AB" w:rsidRDefault="0031458F" w:rsidP="0031458F">
      <w:pPr>
        <w:autoSpaceDE w:val="0"/>
        <w:autoSpaceDN w:val="0"/>
        <w:adjustRightInd w:val="0"/>
        <w:jc w:val="both"/>
      </w:pPr>
    </w:p>
    <w:p w14:paraId="6002EC0B" w14:textId="415B987E" w:rsidR="0031458F" w:rsidRPr="009118AB" w:rsidRDefault="0031458F" w:rsidP="0031458F">
      <w:pPr>
        <w:autoSpaceDE w:val="0"/>
        <w:autoSpaceDN w:val="0"/>
        <w:adjustRightInd w:val="0"/>
        <w:jc w:val="both"/>
        <w:rPr>
          <w:i/>
          <w:iCs/>
        </w:rPr>
      </w:pPr>
      <w:r w:rsidRPr="009118AB">
        <w:rPr>
          <w:i/>
          <w:iCs/>
        </w:rPr>
        <w:t>[</w:t>
      </w:r>
      <w:r w:rsidR="00D67EB8" w:rsidRPr="009118AB">
        <w:rPr>
          <w:i/>
          <w:iCs/>
        </w:rPr>
        <w:t>Art. </w:t>
      </w:r>
      <w:r w:rsidRPr="009118AB">
        <w:rPr>
          <w:i/>
          <w:iCs/>
        </w:rPr>
        <w:t xml:space="preserve">46 </w:t>
      </w:r>
      <w:r w:rsidR="00D67EB8" w:rsidRPr="009118AB">
        <w:rPr>
          <w:i/>
          <w:iCs/>
        </w:rPr>
        <w:t>§ </w:t>
      </w:r>
      <w:r w:rsidRPr="009118AB">
        <w:rPr>
          <w:i/>
          <w:iCs/>
        </w:rPr>
        <w:t xml:space="preserve">1 ersetzt durch </w:t>
      </w:r>
      <w:r w:rsidR="00D67EB8" w:rsidRPr="009118AB">
        <w:rPr>
          <w:i/>
          <w:iCs/>
        </w:rPr>
        <w:t>Art. </w:t>
      </w:r>
      <w:r w:rsidRPr="009118AB">
        <w:rPr>
          <w:i/>
          <w:iCs/>
        </w:rPr>
        <w:t>7 des G. vom 28. Juli 1992 (B.S. vom 31. Juli 1992)</w:t>
      </w:r>
      <w:r w:rsidR="00D67EB8" w:rsidRPr="009118AB">
        <w:rPr>
          <w:i/>
          <w:iCs/>
        </w:rPr>
        <w:t> - </w:t>
      </w:r>
      <w:r w:rsidRPr="009118AB">
        <w:rPr>
          <w:i/>
          <w:iCs/>
        </w:rPr>
        <w:t>anwendbar auf Einbringungen eines oder mehrerer Teilbetriebe oder eines Gesamtvermögens, die ab dem 27. März 1992 verwirklicht werden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einleitende Bestimmung abgeändert durch </w:t>
      </w:r>
      <w:r w:rsidR="00D67EB8" w:rsidRPr="009118AB">
        <w:rPr>
          <w:i/>
          <w:iCs/>
        </w:rPr>
        <w:t>Art. </w:t>
      </w:r>
      <w:r w:rsidRPr="009118AB">
        <w:rPr>
          <w:i/>
          <w:iCs/>
        </w:rPr>
        <w:t>5 Buchstabe</w:t>
      </w:r>
      <w:r w:rsidR="000D5C7F" w:rsidRPr="009118AB">
        <w:rPr>
          <w:i/>
          <w:iCs/>
        </w:rPr>
        <w:t> </w:t>
      </w:r>
      <w:r w:rsidRPr="009118AB">
        <w:rPr>
          <w:i/>
          <w:iCs/>
        </w:rPr>
        <w:t>a)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3366D9" w:rsidRPr="009118AB">
        <w:rPr>
          <w:i/>
          <w:iCs/>
        </w:rPr>
        <w:t> -;</w:t>
      </w:r>
      <w:r w:rsidRPr="009118AB">
        <w:rPr>
          <w:i/>
          <w:iCs/>
        </w:rPr>
        <w:t xml:space="preserve"> </w:t>
      </w:r>
      <w:r w:rsidR="00D67EB8" w:rsidRPr="009118AB">
        <w:rPr>
          <w:i/>
          <w:iCs/>
        </w:rPr>
        <w:t>§ </w:t>
      </w:r>
      <w:r w:rsidR="00052607" w:rsidRPr="009118AB">
        <w:rPr>
          <w:i/>
          <w:iCs/>
        </w:rPr>
        <w:t xml:space="preserve">1 </w:t>
      </w:r>
      <w:r w:rsidR="00D67EB8" w:rsidRPr="009118AB">
        <w:rPr>
          <w:i/>
          <w:iCs/>
        </w:rPr>
        <w:t>Abs. </w:t>
      </w:r>
      <w:r w:rsidR="00052607" w:rsidRPr="009118AB">
        <w:rPr>
          <w:i/>
          <w:iCs/>
        </w:rPr>
        <w:t xml:space="preserve">1 </w:t>
      </w:r>
      <w:r w:rsidR="00D67EB8" w:rsidRPr="009118AB">
        <w:rPr>
          <w:i/>
          <w:iCs/>
        </w:rPr>
        <w:t>Nr. </w:t>
      </w:r>
      <w:r w:rsidR="00052607" w:rsidRPr="009118AB">
        <w:rPr>
          <w:i/>
          <w:iCs/>
        </w:rPr>
        <w:t xml:space="preserve">2 abgeändert durch </w:t>
      </w:r>
      <w:r w:rsidR="00D67EB8" w:rsidRPr="009118AB">
        <w:rPr>
          <w:i/>
          <w:iCs/>
        </w:rPr>
        <w:t>Art. </w:t>
      </w:r>
      <w:r w:rsidR="00052607" w:rsidRPr="009118AB">
        <w:rPr>
          <w:i/>
          <w:iCs/>
        </w:rPr>
        <w:t xml:space="preserve">9 </w:t>
      </w:r>
      <w:r w:rsidR="00D67EB8" w:rsidRPr="009118AB">
        <w:rPr>
          <w:i/>
          <w:iCs/>
        </w:rPr>
        <w:t>Nr. </w:t>
      </w:r>
      <w:r w:rsidR="00052607" w:rsidRPr="009118AB">
        <w:rPr>
          <w:i/>
          <w:iCs/>
        </w:rPr>
        <w:t>1 des G. vom 17. März 2019 (III) (B.S. vom 10. Mai 2019)</w:t>
      </w:r>
      <w:r w:rsidR="00D67EB8" w:rsidRPr="009118AB">
        <w:rPr>
          <w:i/>
          <w:iCs/>
        </w:rPr>
        <w:t> - </w:t>
      </w:r>
      <w:r w:rsidR="00052607" w:rsidRPr="009118AB">
        <w:rPr>
          <w:i/>
          <w:iCs/>
        </w:rPr>
        <w:t>in Kraft am 1. Mai 2019</w:t>
      </w:r>
      <w:r w:rsidR="003366D9" w:rsidRPr="009118AB">
        <w:rPr>
          <w:i/>
          <w:iCs/>
        </w:rPr>
        <w:t> -;</w:t>
      </w:r>
      <w:r w:rsidR="00052607" w:rsidRPr="009118AB">
        <w:rPr>
          <w:i/>
          <w:iCs/>
        </w:rPr>
        <w:t xml:space="preserve"> </w:t>
      </w:r>
      <w:r w:rsidR="00D67EB8" w:rsidRPr="009118AB">
        <w:rPr>
          <w:i/>
          <w:iCs/>
        </w:rPr>
        <w:t>§ </w:t>
      </w:r>
      <w:r w:rsidR="00052607" w:rsidRPr="009118AB">
        <w:rPr>
          <w:i/>
          <w:iCs/>
        </w:rPr>
        <w:t xml:space="preserve">1 </w:t>
      </w:r>
      <w:r w:rsidR="00D67EB8" w:rsidRPr="009118AB">
        <w:rPr>
          <w:i/>
          <w:iCs/>
        </w:rPr>
        <w:t>Abs. </w:t>
      </w:r>
      <w:r w:rsidR="00052607" w:rsidRPr="009118AB">
        <w:rPr>
          <w:i/>
          <w:iCs/>
        </w:rPr>
        <w:t xml:space="preserve">1 </w:t>
      </w:r>
      <w:r w:rsidR="00D67EB8" w:rsidRPr="009118AB">
        <w:rPr>
          <w:i/>
          <w:iCs/>
        </w:rPr>
        <w:t>Nr. </w:t>
      </w:r>
      <w:r w:rsidR="00052607" w:rsidRPr="009118AB">
        <w:rPr>
          <w:i/>
          <w:iCs/>
        </w:rPr>
        <w:t xml:space="preserve">3 abgeändert durch </w:t>
      </w:r>
      <w:r w:rsidR="00D67EB8" w:rsidRPr="009118AB">
        <w:rPr>
          <w:i/>
          <w:iCs/>
        </w:rPr>
        <w:t>Art. </w:t>
      </w:r>
      <w:r w:rsidR="00052607" w:rsidRPr="009118AB">
        <w:rPr>
          <w:i/>
          <w:iCs/>
        </w:rPr>
        <w:t xml:space="preserve">9 </w:t>
      </w:r>
      <w:r w:rsidR="00D67EB8" w:rsidRPr="009118AB">
        <w:rPr>
          <w:i/>
          <w:iCs/>
        </w:rPr>
        <w:t>Nr. </w:t>
      </w:r>
      <w:r w:rsidR="00052607" w:rsidRPr="009118AB">
        <w:rPr>
          <w:i/>
          <w:iCs/>
        </w:rPr>
        <w:t>2 des G. vom 17. März 2019 (III) (B.S. vom 10. Mai 2019)</w:t>
      </w:r>
      <w:r w:rsidR="00D67EB8" w:rsidRPr="009118AB">
        <w:rPr>
          <w:i/>
          <w:iCs/>
        </w:rPr>
        <w:t> - </w:t>
      </w:r>
      <w:r w:rsidR="00052607" w:rsidRPr="009118AB">
        <w:rPr>
          <w:i/>
          <w:iCs/>
        </w:rPr>
        <w:t>in Kraft am 1. Mai 2019</w:t>
      </w:r>
      <w:r w:rsidR="003366D9" w:rsidRPr="009118AB">
        <w:rPr>
          <w:i/>
          <w:iCs/>
        </w:rPr>
        <w:t> -;</w:t>
      </w:r>
      <w:r w:rsidR="00052607" w:rsidRPr="009118AB">
        <w:rPr>
          <w:i/>
          <w:iCs/>
        </w:rPr>
        <w:t xml:space="preserve"> </w:t>
      </w:r>
      <w:r w:rsidR="00D67EB8" w:rsidRPr="009118AB">
        <w:rPr>
          <w:i/>
          <w:iCs/>
        </w:rPr>
        <w:t>§ </w:t>
      </w:r>
      <w:r w:rsidRPr="009118AB">
        <w:rPr>
          <w:i/>
          <w:iCs/>
        </w:rPr>
        <w:t xml:space="preserve">1 neuer Absatz 2 eingefügt durch </w:t>
      </w:r>
      <w:r w:rsidR="00D67EB8" w:rsidRPr="009118AB">
        <w:rPr>
          <w:i/>
          <w:iCs/>
        </w:rPr>
        <w:t>Art. </w:t>
      </w:r>
      <w:r w:rsidRPr="009118AB">
        <w:rPr>
          <w:i/>
          <w:iCs/>
        </w:rPr>
        <w:t>99 des G. vom 21. Dezember 1994 (B.S.</w:t>
      </w:r>
      <w:r w:rsidR="00182717" w:rsidRPr="009118AB">
        <w:rPr>
          <w:i/>
          <w:iCs/>
        </w:rPr>
        <w:t xml:space="preserve"> </w:t>
      </w:r>
      <w:r w:rsidRPr="009118AB">
        <w:rPr>
          <w:i/>
          <w:iCs/>
        </w:rPr>
        <w:t>vom 23. Dezember 1994)</w:t>
      </w:r>
      <w:r w:rsidR="00D67EB8" w:rsidRPr="009118AB">
        <w:rPr>
          <w:i/>
          <w:iCs/>
        </w:rPr>
        <w:t> - </w:t>
      </w:r>
      <w:r w:rsidRPr="009118AB">
        <w:rPr>
          <w:i/>
          <w:iCs/>
        </w:rPr>
        <w:t>anwendbar auf Einbringungsvorgänge, die ab dem 30. März 1996 verwirklicht werden</w:t>
      </w:r>
      <w:r w:rsidR="00FD68E8" w:rsidRPr="009118AB">
        <w:rPr>
          <w:i/>
          <w:iCs/>
        </w:rPr>
        <w:t> -,</w:t>
      </w:r>
      <w:r w:rsidRPr="009118AB">
        <w:rPr>
          <w:i/>
          <w:iCs/>
        </w:rPr>
        <w:t xml:space="preserve"> ersetzt durch </w:t>
      </w:r>
      <w:r w:rsidR="00D67EB8" w:rsidRPr="009118AB">
        <w:rPr>
          <w:i/>
          <w:iCs/>
        </w:rPr>
        <w:t>Art. </w:t>
      </w:r>
      <w:r w:rsidRPr="009118AB">
        <w:rPr>
          <w:i/>
          <w:iCs/>
        </w:rPr>
        <w:t>2 des G. vom 16. April 1997 (B.S.</w:t>
      </w:r>
      <w:r w:rsidR="00182717" w:rsidRPr="009118AB">
        <w:rPr>
          <w:i/>
          <w:iCs/>
        </w:rPr>
        <w:t xml:space="preserve"> </w:t>
      </w:r>
      <w:r w:rsidRPr="009118AB">
        <w:rPr>
          <w:i/>
          <w:iCs/>
        </w:rPr>
        <w:t xml:space="preserve">vom 23. Mai 1997) und abgeändert durch </w:t>
      </w:r>
      <w:r w:rsidR="00D67EB8" w:rsidRPr="009118AB">
        <w:rPr>
          <w:i/>
          <w:iCs/>
        </w:rPr>
        <w:t>Art. </w:t>
      </w:r>
      <w:r w:rsidRPr="009118AB">
        <w:rPr>
          <w:i/>
          <w:iCs/>
        </w:rPr>
        <w:t>375 des G. vom 27. Dezember 2004 (B.S.</w:t>
      </w:r>
      <w:r w:rsidR="00182717" w:rsidRPr="009118AB">
        <w:rPr>
          <w:i/>
          <w:iCs/>
        </w:rPr>
        <w:t xml:space="preserve"> </w:t>
      </w:r>
      <w:r w:rsidRPr="009118AB">
        <w:rPr>
          <w:i/>
          <w:iCs/>
        </w:rPr>
        <w:t xml:space="preserve">vom 31. Dezember 2004),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331 des K.E. vom 3. März 2011 (B.S. vom 9. März 2011)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April 2011</w:t>
      </w:r>
      <w:r w:rsidR="00FD68E8" w:rsidRPr="009118AB">
        <w:rPr>
          <w:rFonts w:ascii="Times New Roman Italique" w:hAnsi="Times New Roman Italique"/>
          <w:i/>
          <w:iCs/>
          <w:spacing w:val="2"/>
        </w:rPr>
        <w:t> -,</w:t>
      </w:r>
      <w:r w:rsidR="000D5C7F"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84 des G. vom 12. Mai 2014 (II) (B.S. vom 30. Juni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16. Juli 2014</w:t>
      </w:r>
      <w:r w:rsidR="00D67EB8" w:rsidRPr="009118AB">
        <w:rPr>
          <w:rFonts w:ascii="Times New Roman Italique" w:hAnsi="Times New Roman Italique"/>
          <w:i/>
          <w:iCs/>
          <w:spacing w:val="2"/>
        </w:rPr>
        <w:t> </w:t>
      </w:r>
      <w:r w:rsidR="00182717" w:rsidRPr="009118AB">
        <w:rPr>
          <w:rFonts w:ascii="Times New Roman Italique" w:hAnsi="Times New Roman Italique"/>
          <w:i/>
          <w:iCs/>
          <w:spacing w:val="2"/>
        </w:rPr>
        <w:t>-,</w:t>
      </w:r>
      <w:r w:rsidR="00182717" w:rsidRPr="009118AB">
        <w:rPr>
          <w:i/>
          <w:iCs/>
        </w:rPr>
        <w:t xml:space="preserve"> </w:t>
      </w:r>
      <w:r w:rsidR="00D67EB8" w:rsidRPr="009118AB">
        <w:rPr>
          <w:i/>
          <w:iCs/>
        </w:rPr>
        <w:t>Art. </w:t>
      </w:r>
      <w:r w:rsidR="000D5C7F" w:rsidRPr="009118AB">
        <w:rPr>
          <w:i/>
          <w:iCs/>
        </w:rPr>
        <w:t>62</w:t>
      </w:r>
      <w:r w:rsidR="000D5C7F" w:rsidRPr="009118AB">
        <w:rPr>
          <w:bCs/>
          <w:i/>
          <w:iCs/>
          <w:sz w:val="20"/>
          <w:szCs w:val="20"/>
        </w:rPr>
        <w:t xml:space="preserve"> </w:t>
      </w:r>
      <w:r w:rsidR="000D5C7F" w:rsidRPr="009118AB">
        <w:rPr>
          <w:bCs/>
          <w:i/>
          <w:iCs/>
        </w:rPr>
        <w:t>des G. vom 21. Januar 2022 (B.S. vom 28. Januar 2022)</w:t>
      </w:r>
      <w:r w:rsidR="002713C5" w:rsidRPr="009118AB">
        <w:rPr>
          <w:bCs/>
          <w:i/>
          <w:iCs/>
        </w:rPr>
        <w:t xml:space="preserve"> und Art. 7</w:t>
      </w:r>
      <w:r w:rsidR="002713C5" w:rsidRPr="009118AB">
        <w:rPr>
          <w:i/>
          <w:iCs/>
        </w:rPr>
        <w:t xml:space="preserve"> des G. vom 21. Dezember 2022 (II) (B.S. vom 29. Dezember 2022);</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3 ersetzt durch </w:t>
      </w:r>
      <w:r w:rsidR="00D67EB8" w:rsidRPr="009118AB">
        <w:rPr>
          <w:i/>
          <w:iCs/>
        </w:rPr>
        <w:t>Art. </w:t>
      </w:r>
      <w:r w:rsidRPr="009118AB">
        <w:rPr>
          <w:i/>
          <w:iCs/>
        </w:rPr>
        <w:t>5 Buchstabe</w:t>
      </w:r>
      <w:r w:rsidR="005F065E" w:rsidRPr="009118AB">
        <w:rPr>
          <w:rFonts w:hint="eastAsia"/>
          <w:i/>
          <w:iCs/>
        </w:rPr>
        <w:t> </w:t>
      </w:r>
      <w:r w:rsidRPr="009118AB">
        <w:rPr>
          <w:i/>
          <w:iCs/>
        </w:rPr>
        <w:t>b) des G. vom 11. Dezember 20</w:t>
      </w:r>
      <w:r w:rsidR="005E3D7F" w:rsidRPr="009118AB">
        <w:rPr>
          <w:i/>
          <w:iCs/>
        </w:rPr>
        <w:t>08 (B.S. vom 12.</w:t>
      </w:r>
      <w:r w:rsidR="002713C5" w:rsidRPr="009118AB">
        <w:rPr>
          <w:i/>
          <w:iCs/>
        </w:rPr>
        <w:t> </w:t>
      </w:r>
      <w:r w:rsidR="005E3D7F" w:rsidRPr="009118AB">
        <w:rPr>
          <w:i/>
          <w:iCs/>
        </w:rPr>
        <w:t>Januar 2009)</w:t>
      </w:r>
      <w:r w:rsidR="00D67EB8" w:rsidRPr="009118AB">
        <w:rPr>
          <w:i/>
          <w:iCs/>
        </w:rPr>
        <w:t> - </w:t>
      </w:r>
      <w:r w:rsidRPr="009118AB">
        <w:rPr>
          <w:i/>
          <w:iCs/>
        </w:rPr>
        <w:t>anwendbar auf Vorgänge oder Verlegungen, die ab dem 12. Januar 2009 statt</w:t>
      </w:r>
      <w:r w:rsidRPr="009118AB">
        <w:rPr>
          <w:i/>
          <w:iCs/>
        </w:rPr>
        <w:softHyphen/>
        <w:t>finden</w:t>
      </w:r>
      <w:r w:rsidR="003366D9" w:rsidRPr="009118AB">
        <w:rPr>
          <w:i/>
          <w:iCs/>
        </w:rPr>
        <w:t> -;</w:t>
      </w:r>
      <w:r w:rsidRPr="009118AB">
        <w:rPr>
          <w:i/>
          <w:iCs/>
        </w:rPr>
        <w:t xml:space="preserve"> </w:t>
      </w:r>
      <w:r w:rsidR="00D67EB8" w:rsidRPr="009118AB">
        <w:rPr>
          <w:i/>
          <w:iCs/>
        </w:rPr>
        <w:t>§ </w:t>
      </w:r>
      <w:r w:rsidR="00052607" w:rsidRPr="009118AB">
        <w:rPr>
          <w:i/>
          <w:iCs/>
        </w:rPr>
        <w:t xml:space="preserve">1 </w:t>
      </w:r>
      <w:r w:rsidR="00D67EB8" w:rsidRPr="009118AB">
        <w:rPr>
          <w:i/>
          <w:iCs/>
        </w:rPr>
        <w:t>Abs. </w:t>
      </w:r>
      <w:r w:rsidR="00052607" w:rsidRPr="009118AB">
        <w:rPr>
          <w:i/>
          <w:iCs/>
        </w:rPr>
        <w:t xml:space="preserve">3 </w:t>
      </w:r>
      <w:r w:rsidR="00D67EB8" w:rsidRPr="009118AB">
        <w:rPr>
          <w:i/>
          <w:iCs/>
        </w:rPr>
        <w:t>Nr. </w:t>
      </w:r>
      <w:r w:rsidR="00052607" w:rsidRPr="009118AB">
        <w:rPr>
          <w:i/>
          <w:iCs/>
        </w:rPr>
        <w:t xml:space="preserve">2 aufgehoben durch </w:t>
      </w:r>
      <w:r w:rsidR="00D67EB8" w:rsidRPr="009118AB">
        <w:rPr>
          <w:i/>
          <w:iCs/>
        </w:rPr>
        <w:t>Art. </w:t>
      </w:r>
      <w:r w:rsidR="00052607" w:rsidRPr="009118AB">
        <w:rPr>
          <w:i/>
          <w:iCs/>
        </w:rPr>
        <w:t xml:space="preserve">9 </w:t>
      </w:r>
      <w:r w:rsidR="00D67EB8" w:rsidRPr="009118AB">
        <w:rPr>
          <w:i/>
          <w:iCs/>
        </w:rPr>
        <w:t>Nr. </w:t>
      </w:r>
      <w:r w:rsidR="00052607" w:rsidRPr="009118AB">
        <w:rPr>
          <w:i/>
          <w:iCs/>
        </w:rPr>
        <w:t>3 des G. vom 17. März 2019 (III) (B.S. vom 10. Mai 2019)</w:t>
      </w:r>
      <w:r w:rsidR="00D67EB8" w:rsidRPr="009118AB">
        <w:rPr>
          <w:i/>
          <w:iCs/>
        </w:rPr>
        <w:t> - </w:t>
      </w:r>
      <w:r w:rsidR="00052607" w:rsidRPr="009118AB">
        <w:rPr>
          <w:i/>
          <w:iCs/>
        </w:rPr>
        <w:t>in Kraft am 1. Mai 2019</w:t>
      </w:r>
      <w:r w:rsidR="003366D9" w:rsidRPr="009118AB">
        <w:rPr>
          <w:i/>
          <w:iCs/>
        </w:rPr>
        <w:t> -;</w:t>
      </w:r>
      <w:r w:rsidR="00052607"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4 ersetzt durch </w:t>
      </w:r>
      <w:r w:rsidR="00D67EB8" w:rsidRPr="009118AB">
        <w:rPr>
          <w:i/>
          <w:iCs/>
        </w:rPr>
        <w:t>Art. </w:t>
      </w:r>
      <w:r w:rsidRPr="009118AB">
        <w:rPr>
          <w:i/>
          <w:iCs/>
        </w:rPr>
        <w:t xml:space="preserve">5 Buchstabe c) des G. vom </w:t>
      </w:r>
      <w:r w:rsidRPr="009118AB">
        <w:rPr>
          <w:i/>
          <w:iCs/>
        </w:rPr>
        <w:lastRenderedPageBreak/>
        <w:t>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5 abgeändert durch </w:t>
      </w:r>
      <w:r w:rsidR="00D67EB8" w:rsidRPr="009118AB">
        <w:rPr>
          <w:i/>
          <w:iCs/>
        </w:rPr>
        <w:t>Art. </w:t>
      </w:r>
      <w:r w:rsidRPr="009118AB">
        <w:rPr>
          <w:i/>
          <w:iCs/>
        </w:rPr>
        <w:t xml:space="preserve">44 </w:t>
      </w:r>
      <w:r w:rsidR="00D67EB8" w:rsidRPr="009118AB">
        <w:rPr>
          <w:i/>
          <w:iCs/>
        </w:rPr>
        <w:t>Nr. </w:t>
      </w:r>
      <w:r w:rsidRPr="009118AB">
        <w:rPr>
          <w:i/>
          <w:iCs/>
        </w:rPr>
        <w:t>1 des G. vom 26. Dezember 2015 (II) (B.S. vom 30. Dezember 2015)</w:t>
      </w:r>
      <w:r w:rsidR="00D67EB8" w:rsidRPr="009118AB">
        <w:rPr>
          <w:i/>
          <w:iCs/>
        </w:rPr>
        <w:t> - </w:t>
      </w:r>
      <w:r w:rsidRPr="009118AB">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abgeändert durch </w:t>
      </w:r>
      <w:r w:rsidR="00D67EB8" w:rsidRPr="009118AB">
        <w:rPr>
          <w:i/>
          <w:iCs/>
        </w:rPr>
        <w:t>Art. </w:t>
      </w:r>
      <w:r w:rsidRPr="009118AB">
        <w:rPr>
          <w:i/>
          <w:iCs/>
        </w:rPr>
        <w:t>5 Buchstabe d) des G. vom 11. Dezember 2008 (B.S. vom 12. Januar 2009)</w:t>
      </w:r>
      <w:r w:rsidR="00D67EB8" w:rsidRPr="009118AB">
        <w:rPr>
          <w:i/>
          <w:iCs/>
        </w:rPr>
        <w:t> - </w:t>
      </w:r>
      <w:r w:rsidRPr="009118AB">
        <w:rPr>
          <w:i/>
          <w:iCs/>
        </w:rPr>
        <w:t>anwendbar ab dem Steuerjahr 2007</w:t>
      </w:r>
      <w:r w:rsidR="00FD68E8" w:rsidRPr="009118AB">
        <w:rPr>
          <w:i/>
          <w:iCs/>
        </w:rPr>
        <w:t> -,</w:t>
      </w:r>
      <w:r w:rsidRPr="009118AB">
        <w:rPr>
          <w:i/>
          <w:iCs/>
        </w:rPr>
        <w:t xml:space="preserve"> </w:t>
      </w:r>
      <w:r w:rsidR="00D67EB8" w:rsidRPr="009118AB">
        <w:rPr>
          <w:i/>
          <w:iCs/>
        </w:rPr>
        <w:t>Art. </w:t>
      </w:r>
      <w:r w:rsidRPr="009118AB">
        <w:rPr>
          <w:i/>
          <w:iCs/>
        </w:rPr>
        <w:t xml:space="preserve">44 </w:t>
      </w:r>
      <w:r w:rsidR="00D67EB8" w:rsidRPr="009118AB">
        <w:rPr>
          <w:i/>
          <w:iCs/>
        </w:rPr>
        <w:t>Nr. </w:t>
      </w:r>
      <w:r w:rsidRPr="009118AB">
        <w:rPr>
          <w:i/>
          <w:iCs/>
        </w:rPr>
        <w:t>2 des G. vom 26. Dezember 2015 (II) (B.S. vom 30. Dezember 2015)</w:t>
      </w:r>
      <w:r w:rsidR="00D67EB8" w:rsidRPr="009118AB">
        <w:rPr>
          <w:i/>
          <w:iCs/>
        </w:rPr>
        <w:t> - </w:t>
      </w:r>
      <w:r w:rsidRPr="009118AB">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iCs/>
        </w:rPr>
        <w:t> -,</w:t>
      </w:r>
      <w:r w:rsidRPr="009118AB">
        <w:rPr>
          <w:i/>
          <w:iCs/>
        </w:rPr>
        <w:t xml:space="preserve"> </w:t>
      </w:r>
      <w:r w:rsidR="00D67EB8" w:rsidRPr="009118AB">
        <w:rPr>
          <w:i/>
          <w:iCs/>
        </w:rPr>
        <w:t>Art. </w:t>
      </w:r>
      <w:r w:rsidRPr="009118AB">
        <w:rPr>
          <w:i/>
          <w:iCs/>
        </w:rPr>
        <w:t>2 des G. vom 9. Februar 2017 (B.S. vom 20. Februar 2017)</w:t>
      </w:r>
      <w:r w:rsidR="00D67EB8" w:rsidRPr="009118AB">
        <w:rPr>
          <w:i/>
          <w:iCs/>
        </w:rPr>
        <w:t> - </w:t>
      </w:r>
      <w:r w:rsidRPr="009118AB">
        <w:rPr>
          <w:i/>
          <w:iCs/>
        </w:rPr>
        <w:t>wirksam mit 1. Juli 2016</w:t>
      </w:r>
      <w:r w:rsidR="00D67EB8" w:rsidRPr="009118AB">
        <w:rPr>
          <w:i/>
          <w:iCs/>
        </w:rPr>
        <w:t> - </w:t>
      </w:r>
      <w:r w:rsidR="00545439" w:rsidRPr="009118AB">
        <w:rPr>
          <w:i/>
          <w:iCs/>
        </w:rPr>
        <w:t xml:space="preserve">und </w:t>
      </w:r>
      <w:r w:rsidR="00D67EB8" w:rsidRPr="009118AB">
        <w:rPr>
          <w:i/>
          <w:iCs/>
        </w:rPr>
        <w:t>Art. </w:t>
      </w:r>
      <w:r w:rsidR="00545439" w:rsidRPr="009118AB">
        <w:rPr>
          <w:i/>
          <w:iCs/>
        </w:rPr>
        <w:t>3 des G. vom 30. Juli 2018 (I) (B.S. vom 10. August 2018)</w:t>
      </w:r>
      <w:r w:rsidR="00D67EB8" w:rsidRPr="009118AB">
        <w:rPr>
          <w:i/>
          <w:iCs/>
        </w:rPr>
        <w:t> - </w:t>
      </w:r>
      <w:r w:rsidR="00545439" w:rsidRPr="009118AB">
        <w:rPr>
          <w:i/>
          <w:iCs/>
        </w:rPr>
        <w:t xml:space="preserve">anwendbar ab dem Steuerjahr 2019, das sich auf einen Besteuerungszeitraum </w:t>
      </w:r>
      <w:r w:rsidR="00E951F6" w:rsidRPr="009118AB">
        <w:rPr>
          <w:i/>
          <w:iCs/>
        </w:rPr>
        <w:t>bezieht, der</w:t>
      </w:r>
      <w:r w:rsidR="00545439" w:rsidRPr="009118AB">
        <w:rPr>
          <w:i/>
          <w:iCs/>
        </w:rPr>
        <w:t xml:space="preserve"> frühestens am 1. Januar 2018 beginnt</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2 abgeändert durch </w:t>
      </w:r>
      <w:r w:rsidR="00D67EB8" w:rsidRPr="009118AB">
        <w:rPr>
          <w:i/>
          <w:iCs/>
        </w:rPr>
        <w:t>Art. </w:t>
      </w:r>
      <w:r w:rsidRPr="009118AB">
        <w:rPr>
          <w:i/>
          <w:iCs/>
        </w:rPr>
        <w:t xml:space="preserve">3 </w:t>
      </w:r>
      <w:r w:rsidR="00D67EB8" w:rsidRPr="009118AB">
        <w:rPr>
          <w:i/>
          <w:iCs/>
        </w:rPr>
        <w:t>Nr. </w:t>
      </w:r>
      <w:r w:rsidRPr="009118AB">
        <w:rPr>
          <w:i/>
          <w:iCs/>
        </w:rPr>
        <w:t>1 des G. vom 14. Januar 20</w:t>
      </w:r>
      <w:r w:rsidR="005E3D7F" w:rsidRPr="009118AB">
        <w:rPr>
          <w:i/>
          <w:iCs/>
        </w:rPr>
        <w:t>03 (B.S. vom 5. Februar 2003)</w:t>
      </w:r>
      <w:r w:rsidR="00D67EB8" w:rsidRPr="009118AB">
        <w:rPr>
          <w:i/>
          <w:iCs/>
        </w:rPr>
        <w:t> - </w:t>
      </w:r>
      <w:r w:rsidRPr="009118AB">
        <w:rPr>
          <w:i/>
          <w:iCs/>
        </w:rPr>
        <w:t>anwendbar auf Mehrwerte, die ab dem 1. Januar 2000 verwirklicht werden, und insofern sich das Datum der Verwirklichung frühestens auf den Besteuerungszeitraum bezieht, der an das Steuerjahr 2001 gebunden ist</w:t>
      </w:r>
      <w:r w:rsidR="00D67EB8" w:rsidRPr="009118AB">
        <w:rPr>
          <w:i/>
          <w:iCs/>
        </w:rPr>
        <w:t> - </w:t>
      </w:r>
      <w:r w:rsidRPr="009118AB">
        <w:rPr>
          <w:i/>
          <w:iCs/>
        </w:rPr>
        <w:t xml:space="preserve">und </w:t>
      </w:r>
      <w:r w:rsidR="00D67EB8" w:rsidRPr="009118AB">
        <w:rPr>
          <w:i/>
          <w:iCs/>
        </w:rPr>
        <w:t>Art. </w:t>
      </w:r>
      <w:r w:rsidRPr="009118AB">
        <w:rPr>
          <w:i/>
          <w:iCs/>
        </w:rPr>
        <w:t xml:space="preserve">109 </w:t>
      </w:r>
      <w:r w:rsidR="00D67EB8" w:rsidRPr="009118AB">
        <w:rPr>
          <w:i/>
          <w:iCs/>
        </w:rPr>
        <w:t>Nr. </w:t>
      </w:r>
      <w:r w:rsidRPr="009118AB">
        <w:rPr>
          <w:i/>
          <w:iCs/>
        </w:rPr>
        <w:t>1 des G. (IV) vom 25. April 2007 (I) (B.S. vom 8. Mai 2007)</w:t>
      </w:r>
      <w:r w:rsidR="00D67EB8" w:rsidRPr="009118AB">
        <w:rPr>
          <w:i/>
          <w:iCs/>
        </w:rPr>
        <w:t> - </w:t>
      </w:r>
      <w:r w:rsidRPr="009118AB">
        <w:rPr>
          <w:i/>
          <w:iCs/>
        </w:rPr>
        <w:t>anwendbar auf Mehrwerte, die ab dem 1. Januar 2007 verwirklicht werden, und insofern sich das Datum der Verwirklichung frühestens auf den Besteuerungszeitraum bezieht, der an das Steuerjahr 2008 gebunden ist</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3 abgeändert durch </w:t>
      </w:r>
      <w:r w:rsidR="00D67EB8" w:rsidRPr="009118AB">
        <w:rPr>
          <w:i/>
          <w:iCs/>
        </w:rPr>
        <w:t>Art. </w:t>
      </w:r>
      <w:r w:rsidRPr="009118AB">
        <w:rPr>
          <w:i/>
          <w:iCs/>
        </w:rPr>
        <w:t xml:space="preserve">3 </w:t>
      </w:r>
      <w:r w:rsidR="00D67EB8" w:rsidRPr="009118AB">
        <w:rPr>
          <w:i/>
          <w:iCs/>
        </w:rPr>
        <w:t>Nr. </w:t>
      </w:r>
      <w:r w:rsidRPr="009118AB">
        <w:rPr>
          <w:i/>
          <w:iCs/>
        </w:rPr>
        <w:t>2 des G. vom 14. Januar 2003 (B.S. vom 5. Februar 2003)</w:t>
      </w:r>
      <w:r w:rsidR="00D67EB8" w:rsidRPr="009118AB">
        <w:rPr>
          <w:i/>
          <w:iCs/>
        </w:rPr>
        <w:t> - </w:t>
      </w:r>
      <w:r w:rsidRPr="009118AB">
        <w:rPr>
          <w:i/>
          <w:iCs/>
        </w:rPr>
        <w:t>anwendbar auf Mehrwerte, die ab dem 1. Januar 2000 verwirklicht werden, und insofern sich das Datum der Verwirklichung frühestens auf den Besteuerungszeitraum bezieht, der an das Steuerjahr 2001 gebunden ist</w:t>
      </w:r>
      <w:r w:rsidR="00D67EB8" w:rsidRPr="009118AB">
        <w:rPr>
          <w:i/>
          <w:iCs/>
        </w:rPr>
        <w:t> - </w:t>
      </w:r>
      <w:r w:rsidRPr="009118AB">
        <w:rPr>
          <w:i/>
          <w:iCs/>
        </w:rPr>
        <w:t xml:space="preserve">und </w:t>
      </w:r>
      <w:r w:rsidR="00D67EB8" w:rsidRPr="009118AB">
        <w:rPr>
          <w:i/>
          <w:iCs/>
        </w:rPr>
        <w:t>Art. </w:t>
      </w:r>
      <w:r w:rsidRPr="009118AB">
        <w:rPr>
          <w:i/>
          <w:iCs/>
        </w:rPr>
        <w:t xml:space="preserve">109 </w:t>
      </w:r>
      <w:r w:rsidR="00D67EB8" w:rsidRPr="009118AB">
        <w:rPr>
          <w:i/>
          <w:iCs/>
        </w:rPr>
        <w:t>Nr. </w:t>
      </w:r>
      <w:r w:rsidRPr="009118AB">
        <w:rPr>
          <w:i/>
          <w:iCs/>
        </w:rPr>
        <w:t>2 des G. (IV) vom 25. April 2007 (I) (B.S. vom 8. Mai 2007)</w:t>
      </w:r>
      <w:r w:rsidR="00D67EB8" w:rsidRPr="009118AB">
        <w:rPr>
          <w:i/>
          <w:iCs/>
        </w:rPr>
        <w:t> - </w:t>
      </w:r>
      <w:r w:rsidRPr="009118AB">
        <w:rPr>
          <w:i/>
          <w:iCs/>
        </w:rPr>
        <w:t>anwendbar auf Mehrwerte, die ab dem 1. Januar 2007 verwirklicht werden, und insofern sich das Datum der Verwirklichung frühestens auf den Besteuerungszeitraum bezieht, der an das Steuerjahr 2008 gebunden ist</w:t>
      </w:r>
      <w:r w:rsidR="003366D9" w:rsidRPr="009118AB">
        <w:rPr>
          <w:i/>
          <w:iCs/>
        </w:rPr>
        <w:t> -;</w:t>
      </w:r>
      <w:r w:rsidR="00052607" w:rsidRPr="009118AB">
        <w:rPr>
          <w:i/>
          <w:iCs/>
        </w:rPr>
        <w:t xml:space="preserve"> </w:t>
      </w:r>
      <w:r w:rsidR="00D67EB8" w:rsidRPr="009118AB">
        <w:rPr>
          <w:i/>
          <w:iCs/>
        </w:rPr>
        <w:t>§ </w:t>
      </w:r>
      <w:r w:rsidR="00052607" w:rsidRPr="009118AB">
        <w:rPr>
          <w:i/>
          <w:iCs/>
        </w:rPr>
        <w:t xml:space="preserve">2 </w:t>
      </w:r>
      <w:r w:rsidR="00D67EB8" w:rsidRPr="009118AB">
        <w:rPr>
          <w:i/>
          <w:iCs/>
        </w:rPr>
        <w:t>Abs. </w:t>
      </w:r>
      <w:r w:rsidR="00052607" w:rsidRPr="009118AB">
        <w:rPr>
          <w:i/>
          <w:iCs/>
        </w:rPr>
        <w:t xml:space="preserve">4 abgeändert durch </w:t>
      </w:r>
      <w:r w:rsidR="00D67EB8" w:rsidRPr="009118AB">
        <w:rPr>
          <w:i/>
          <w:iCs/>
        </w:rPr>
        <w:t>Art. </w:t>
      </w:r>
      <w:r w:rsidR="00052607" w:rsidRPr="009118AB">
        <w:rPr>
          <w:i/>
          <w:iCs/>
        </w:rPr>
        <w:t xml:space="preserve">9 </w:t>
      </w:r>
      <w:r w:rsidR="00D67EB8" w:rsidRPr="009118AB">
        <w:rPr>
          <w:i/>
          <w:iCs/>
        </w:rPr>
        <w:t>Nr. </w:t>
      </w:r>
      <w:r w:rsidR="00052607" w:rsidRPr="009118AB">
        <w:rPr>
          <w:i/>
          <w:iCs/>
        </w:rPr>
        <w:t>4 des G. vom 17. März 2019 (III) (B.S. vom 10. Mai 2019)</w:t>
      </w:r>
      <w:r w:rsidR="00D67EB8" w:rsidRPr="009118AB">
        <w:rPr>
          <w:i/>
          <w:iCs/>
        </w:rPr>
        <w:t> - </w:t>
      </w:r>
      <w:r w:rsidR="00052607" w:rsidRPr="009118AB">
        <w:rPr>
          <w:i/>
          <w:iCs/>
        </w:rPr>
        <w:t>in Kraft am 1. Mai 2019</w:t>
      </w:r>
      <w:r w:rsidR="00FD68E8" w:rsidRPr="009118AB">
        <w:rPr>
          <w:i/>
          <w:iCs/>
        </w:rPr>
        <w:t> -]</w:t>
      </w:r>
    </w:p>
    <w:p w14:paraId="6B263D7B" w14:textId="77777777" w:rsidR="00F373D3" w:rsidRPr="009118AB" w:rsidRDefault="00F373D3" w:rsidP="00CB66B4">
      <w:pPr>
        <w:autoSpaceDE w:val="0"/>
        <w:autoSpaceDN w:val="0"/>
        <w:adjustRightInd w:val="0"/>
        <w:jc w:val="both"/>
        <w:rPr>
          <w:i/>
          <w:iCs/>
        </w:rPr>
      </w:pPr>
    </w:p>
    <w:p w14:paraId="35118F92" w14:textId="77777777" w:rsidR="00CB66B4" w:rsidRPr="009118AB" w:rsidRDefault="00CB66B4" w:rsidP="00CB66B4">
      <w:pPr>
        <w:autoSpaceDE w:val="0"/>
        <w:autoSpaceDN w:val="0"/>
        <w:adjustRightInd w:val="0"/>
        <w:jc w:val="both"/>
      </w:pPr>
    </w:p>
    <w:p w14:paraId="7DBD9F7D" w14:textId="144AE91E" w:rsidR="00477B8F" w:rsidRPr="009118AB" w:rsidRDefault="00477B8F" w:rsidP="00CB66B4">
      <w:pPr>
        <w:autoSpaceDE w:val="0"/>
        <w:autoSpaceDN w:val="0"/>
        <w:adjustRightInd w:val="0"/>
        <w:jc w:val="both"/>
      </w:pPr>
      <w:r w:rsidRPr="009118AB">
        <w:tab/>
      </w:r>
      <w:r w:rsidR="00D67EB8" w:rsidRPr="009118AB">
        <w:rPr>
          <w:b/>
          <w:bCs/>
        </w:rPr>
        <w:t>Art. </w:t>
      </w:r>
      <w:r w:rsidRPr="009118AB">
        <w:rPr>
          <w:b/>
          <w:bCs/>
        </w:rPr>
        <w:t>47</w:t>
      </w:r>
      <w:r w:rsidR="00D67EB8" w:rsidRPr="009118AB">
        <w:t> - § </w:t>
      </w:r>
      <w:r w:rsidRPr="009118AB">
        <w:t>1</w:t>
      </w:r>
      <w:r w:rsidR="00D67EB8" w:rsidRPr="009118AB">
        <w:t> - </w:t>
      </w:r>
      <w:r w:rsidRPr="009118AB">
        <w:t xml:space="preserve">Wird ein Betrag, der der Entschädigung oder [dem Veräußerungswert] entspricht, auf nachstehende Weise und binnen nachstehenden Fristen wieder angelegt, gelten Mehrwerte auf immaterielle Anlagen und Sachanlagen, die nicht [aufgrund der Artikel 44 </w:t>
      </w:r>
      <w:r w:rsidR="00D67EB8" w:rsidRPr="009118AB">
        <w:t>§ </w:t>
      </w:r>
      <w:r w:rsidRPr="009118AB">
        <w:t xml:space="preserve">1 </w:t>
      </w:r>
      <w:r w:rsidR="00D67EB8" w:rsidRPr="009118AB">
        <w:t>Nr. </w:t>
      </w:r>
      <w:r w:rsidRPr="009118AB">
        <w:t xml:space="preserve">2 und </w:t>
      </w:r>
      <w:r w:rsidR="00D67EB8" w:rsidRPr="009118AB">
        <w:t>§ </w:t>
      </w:r>
      <w:r w:rsidRPr="009118AB">
        <w:t>2, 44</w:t>
      </w:r>
      <w:r w:rsidRPr="009118AB">
        <w:rPr>
          <w:i/>
          <w:iCs/>
        </w:rPr>
        <w:t>bis</w:t>
      </w:r>
      <w:r w:rsidRPr="009118AB">
        <w:t xml:space="preserve"> und 44</w:t>
      </w:r>
      <w:r w:rsidRPr="009118AB">
        <w:rPr>
          <w:i/>
          <w:iCs/>
        </w:rPr>
        <w:t>ter</w:t>
      </w:r>
      <w:r w:rsidRPr="009118AB">
        <w:t>] steuerfrei sind und verwirklicht wurden</w:t>
      </w:r>
    </w:p>
    <w:p w14:paraId="6E9C7B3D" w14:textId="77777777" w:rsidR="00477B8F" w:rsidRPr="009118AB" w:rsidRDefault="00477B8F" w:rsidP="00CB66B4">
      <w:pPr>
        <w:autoSpaceDE w:val="0"/>
        <w:autoSpaceDN w:val="0"/>
        <w:adjustRightInd w:val="0"/>
        <w:jc w:val="both"/>
      </w:pPr>
    </w:p>
    <w:p w14:paraId="0430C4AE" w14:textId="77777777" w:rsidR="00477B8F" w:rsidRPr="009118AB" w:rsidRDefault="00477B8F" w:rsidP="00CB66B4">
      <w:pPr>
        <w:autoSpaceDE w:val="0"/>
        <w:autoSpaceDN w:val="0"/>
        <w:adjustRightInd w:val="0"/>
        <w:jc w:val="both"/>
      </w:pPr>
      <w:r w:rsidRPr="009118AB">
        <w:tab/>
        <w:t>1. anlässlich eines Schadensfalls, einer Enteignung, einer Eigentumsrequirierung oder eines anderen ähnlichen Ereignisses oder</w:t>
      </w:r>
    </w:p>
    <w:p w14:paraId="5DF601E1" w14:textId="77777777" w:rsidR="00477B8F" w:rsidRPr="009118AB" w:rsidRDefault="00477B8F" w:rsidP="00CB66B4">
      <w:pPr>
        <w:autoSpaceDE w:val="0"/>
        <w:autoSpaceDN w:val="0"/>
        <w:adjustRightInd w:val="0"/>
        <w:jc w:val="both"/>
      </w:pPr>
    </w:p>
    <w:p w14:paraId="41B2F732" w14:textId="1237F31A" w:rsidR="00477B8F" w:rsidRPr="009118AB" w:rsidRDefault="00477B8F" w:rsidP="00CB66B4">
      <w:pPr>
        <w:autoSpaceDE w:val="0"/>
        <w:autoSpaceDN w:val="0"/>
        <w:adjustRightInd w:val="0"/>
        <w:jc w:val="both"/>
      </w:pPr>
      <w:r w:rsidRPr="009118AB">
        <w:tab/>
        <w:t xml:space="preserve">2. [anlässlich einer nicht in </w:t>
      </w:r>
      <w:r w:rsidR="00D67EB8" w:rsidRPr="009118AB">
        <w:t>Nr. </w:t>
      </w:r>
      <w:r w:rsidRPr="009118AB">
        <w:t>1 erwähnten Veräußerung von immateriellen Anlagen, für die Abschreibungen steuerlich zugelassen wurden, oder von Sachanlagen und sofern die veräußerten Güter seit mehr als fünf Jahren vor ihrer Veräußerung die Beschaffenheit einer Anlage hatten,]</w:t>
      </w:r>
    </w:p>
    <w:p w14:paraId="09C20692" w14:textId="77777777" w:rsidR="00477B8F" w:rsidRPr="009118AB" w:rsidRDefault="00477B8F" w:rsidP="00CB66B4">
      <w:pPr>
        <w:autoSpaceDE w:val="0"/>
        <w:autoSpaceDN w:val="0"/>
        <w:adjustRightInd w:val="0"/>
        <w:jc w:val="both"/>
      </w:pPr>
    </w:p>
    <w:p w14:paraId="7382B480" w14:textId="6B5363FC" w:rsidR="00477B8F" w:rsidRPr="009118AB" w:rsidRDefault="00477B8F" w:rsidP="00CB66B4">
      <w:pPr>
        <w:autoSpaceDE w:val="0"/>
        <w:autoSpaceDN w:val="0"/>
        <w:adjustRightInd w:val="0"/>
        <w:jc w:val="both"/>
      </w:pPr>
      <w:r w:rsidRPr="009118AB">
        <w:tab/>
        <w:t xml:space="preserve">als Gewinne oder Profite des Besteuerungszeitraums, in dem die wieder angelegten Güter erworben oder gebildet werden, und jedes folgenden Besteuerungszeitraums, und zwar proportional zu den Abschreibungen in Bezug auf diese Güter, die jeweils am Ende des ersten Besteuerungszeitraums und jedes folgenden Besteuerungszeitraums zugelassen werden, und </w:t>
      </w:r>
      <w:r w:rsidRPr="009118AB">
        <w:lastRenderedPageBreak/>
        <w:t>gegebenenfalls bis zum Restbetrag zu dem Zeitpunkt, zu dem die Güter nicht mehr zur Ausübung der Berufstätigkeit genutzt werden, und spätestens bei Einstellung der Berufstätigkeit.</w:t>
      </w:r>
    </w:p>
    <w:p w14:paraId="78538BCE" w14:textId="77777777" w:rsidR="00477B8F" w:rsidRPr="009118AB" w:rsidRDefault="00477B8F" w:rsidP="00CB66B4">
      <w:pPr>
        <w:autoSpaceDE w:val="0"/>
        <w:autoSpaceDN w:val="0"/>
        <w:adjustRightInd w:val="0"/>
        <w:jc w:val="both"/>
      </w:pPr>
    </w:p>
    <w:p w14:paraId="38276109" w14:textId="77777777" w:rsidR="00477B8F" w:rsidRPr="009118AB" w:rsidRDefault="00477B8F" w:rsidP="00CB66B4">
      <w:pPr>
        <w:autoSpaceDE w:val="0"/>
        <w:autoSpaceDN w:val="0"/>
        <w:adjustRightInd w:val="0"/>
        <w:jc w:val="both"/>
      </w:pPr>
      <w:r w:rsidRPr="009118AB">
        <w:tab/>
        <w:t>[Grundstücke und Bauten, die gemäß den Rechtsvorschriften über den Jahresabschluss der Versicherungsunternehmen im Aktivposten Anlagen gebucht sind, werden Sachanlagen gleichgesetzt.]</w:t>
      </w:r>
    </w:p>
    <w:p w14:paraId="59C27235" w14:textId="77777777" w:rsidR="00477B8F" w:rsidRPr="009118AB" w:rsidRDefault="00477B8F" w:rsidP="00CB66B4">
      <w:pPr>
        <w:autoSpaceDE w:val="0"/>
        <w:autoSpaceDN w:val="0"/>
        <w:adjustRightInd w:val="0"/>
        <w:jc w:val="both"/>
      </w:pPr>
    </w:p>
    <w:p w14:paraId="13A4303A" w14:textId="118E0733" w:rsidR="00477B8F" w:rsidRPr="009118AB" w:rsidRDefault="00477B8F" w:rsidP="00CB66B4">
      <w:pPr>
        <w:autoSpaceDE w:val="0"/>
        <w:autoSpaceDN w:val="0"/>
        <w:adjustRightInd w:val="0"/>
        <w:jc w:val="both"/>
      </w:pPr>
      <w:r w:rsidRPr="009118AB">
        <w:tab/>
      </w:r>
      <w:r w:rsidR="00D67EB8" w:rsidRPr="009118AB">
        <w:t>§ </w:t>
      </w:r>
      <w:r w:rsidRPr="009118AB">
        <w:t>2</w:t>
      </w:r>
      <w:r w:rsidR="00D67EB8" w:rsidRPr="009118AB">
        <w:t> - </w:t>
      </w:r>
      <w:r w:rsidRPr="009118AB">
        <w:t xml:space="preserve">Die Wiederanlage muss in abschreibbare immaterielle Anlagen oder Sachanlagen erfolgen, die </w:t>
      </w:r>
      <w:r w:rsidR="000E467D" w:rsidRPr="009118AB">
        <w:t xml:space="preserve">[in einem Mitgliedstaat des Europäischen Wirtschaftsraums] </w:t>
      </w:r>
      <w:r w:rsidRPr="009118AB">
        <w:t>zur Ausübung der Berufstätigkeit genutzt werden.</w:t>
      </w:r>
    </w:p>
    <w:p w14:paraId="1CDAD3CD" w14:textId="77777777" w:rsidR="00477B8F" w:rsidRPr="009118AB" w:rsidRDefault="00477B8F" w:rsidP="00CB66B4">
      <w:pPr>
        <w:autoSpaceDE w:val="0"/>
        <w:autoSpaceDN w:val="0"/>
        <w:adjustRightInd w:val="0"/>
        <w:jc w:val="both"/>
      </w:pPr>
    </w:p>
    <w:p w14:paraId="11FC11D4" w14:textId="54D8DBE5" w:rsidR="00477B8F" w:rsidRPr="009118AB" w:rsidRDefault="00477B8F" w:rsidP="00CB66B4">
      <w:pPr>
        <w:autoSpaceDE w:val="0"/>
        <w:autoSpaceDN w:val="0"/>
        <w:adjustRightInd w:val="0"/>
        <w:jc w:val="both"/>
      </w:pPr>
      <w:r w:rsidRPr="009118AB">
        <w:tab/>
      </w:r>
      <w:r w:rsidR="00D67EB8" w:rsidRPr="009118AB">
        <w:t>§ </w:t>
      </w:r>
      <w:r w:rsidRPr="009118AB">
        <w:t>3</w:t>
      </w:r>
      <w:r w:rsidR="00D67EB8" w:rsidRPr="009118AB">
        <w:t> - </w:t>
      </w:r>
      <w:r w:rsidRPr="009118AB">
        <w:t>Die Wiederanlage muss spätestens bei Einstellung der Berufstätigkeit erfolgen innerhalb einer Frist:</w:t>
      </w:r>
    </w:p>
    <w:p w14:paraId="0E44A7E4" w14:textId="77777777" w:rsidR="00477B8F" w:rsidRPr="009118AB" w:rsidRDefault="00477B8F" w:rsidP="00CB66B4">
      <w:pPr>
        <w:autoSpaceDE w:val="0"/>
        <w:autoSpaceDN w:val="0"/>
        <w:adjustRightInd w:val="0"/>
        <w:jc w:val="both"/>
      </w:pPr>
    </w:p>
    <w:p w14:paraId="7AE9A04E" w14:textId="1819BC2D" w:rsidR="00477B8F" w:rsidRPr="009118AB" w:rsidRDefault="00477B8F" w:rsidP="00CB66B4">
      <w:pPr>
        <w:autoSpaceDE w:val="0"/>
        <w:autoSpaceDN w:val="0"/>
        <w:adjustRightInd w:val="0"/>
        <w:jc w:val="both"/>
      </w:pPr>
      <w:r w:rsidRPr="009118AB">
        <w:tab/>
        <w:t xml:space="preserve">1. von drei Jahren nach Ende des Besteuerungszeitraums, in dem die Entschädigung bezogen wird, für die in </w:t>
      </w:r>
      <w:r w:rsidR="00D67EB8" w:rsidRPr="009118AB">
        <w:t>§ </w:t>
      </w:r>
      <w:r w:rsidRPr="009118AB">
        <w:t xml:space="preserve">1 </w:t>
      </w:r>
      <w:r w:rsidR="00D67EB8" w:rsidRPr="009118AB">
        <w:t>Nr. </w:t>
      </w:r>
      <w:r w:rsidRPr="009118AB">
        <w:t>1 erwähnten Mehrwerte,</w:t>
      </w:r>
    </w:p>
    <w:p w14:paraId="6FB7BF4D" w14:textId="77777777" w:rsidR="00477B8F" w:rsidRPr="009118AB" w:rsidRDefault="00477B8F" w:rsidP="00CB66B4">
      <w:pPr>
        <w:autoSpaceDE w:val="0"/>
        <w:autoSpaceDN w:val="0"/>
        <w:adjustRightInd w:val="0"/>
        <w:jc w:val="both"/>
      </w:pPr>
    </w:p>
    <w:p w14:paraId="7732ED9F" w14:textId="03622092" w:rsidR="00477B8F" w:rsidRPr="009118AB" w:rsidRDefault="00477B8F" w:rsidP="00CB66B4">
      <w:pPr>
        <w:autoSpaceDE w:val="0"/>
        <w:autoSpaceDN w:val="0"/>
        <w:adjustRightInd w:val="0"/>
        <w:jc w:val="both"/>
      </w:pPr>
      <w:r w:rsidRPr="009118AB">
        <w:tab/>
        <w:t xml:space="preserve">2. von drei Jahren ab dem ersten Tag des Besteuerungszeitraums, in dem die in </w:t>
      </w:r>
      <w:r w:rsidR="00D67EB8" w:rsidRPr="009118AB">
        <w:t>§ </w:t>
      </w:r>
      <w:r w:rsidRPr="009118AB">
        <w:t xml:space="preserve">1 </w:t>
      </w:r>
      <w:r w:rsidR="00D67EB8" w:rsidRPr="009118AB">
        <w:t>Nr. </w:t>
      </w:r>
      <w:r w:rsidRPr="009118AB">
        <w:t>2 erwähnten Mehrwerte verwirklicht wurden.</w:t>
      </w:r>
    </w:p>
    <w:p w14:paraId="77D2E851" w14:textId="77777777" w:rsidR="00CB66B4" w:rsidRPr="009118AB" w:rsidRDefault="00CB66B4" w:rsidP="00CB66B4">
      <w:pPr>
        <w:autoSpaceDE w:val="0"/>
        <w:autoSpaceDN w:val="0"/>
        <w:adjustRightInd w:val="0"/>
        <w:jc w:val="both"/>
      </w:pPr>
    </w:p>
    <w:p w14:paraId="5F483C09" w14:textId="446E248A" w:rsidR="0006356F" w:rsidRDefault="00477B8F" w:rsidP="00CB66B4">
      <w:pPr>
        <w:autoSpaceDE w:val="0"/>
        <w:autoSpaceDN w:val="0"/>
        <w:adjustRightInd w:val="0"/>
        <w:jc w:val="both"/>
      </w:pPr>
      <w:r w:rsidRPr="009118AB">
        <w:tab/>
      </w:r>
      <w:r w:rsidR="00D67EB8" w:rsidRPr="009118AB">
        <w:t>§ </w:t>
      </w:r>
      <w:r w:rsidRPr="009118AB">
        <w:t>4</w:t>
      </w:r>
      <w:r w:rsidR="00D67EB8" w:rsidRPr="009118AB">
        <w:t> -</w:t>
      </w:r>
      <w:r w:rsidR="0006356F">
        <w:t xml:space="preserve"> [</w:t>
      </w:r>
      <w:r w:rsidR="0006356F" w:rsidRPr="004A76D6">
        <w:t>Erfolgt die Wiederanlage in ein bebautes unbewegliches Gut, ein Schiff oder ein Flugzeug, läuft für die in § 1 Nr. 1 erwähnten Mehrwerte die Wiederanlagefrist frühestens nach fünf Jahren ab dem ersten Tag des Besteuerungszeitraums, in dem der Mehrwert verwirklicht wurde, ab.</w:t>
      </w:r>
      <w:r w:rsidR="0006356F">
        <w:t>]</w:t>
      </w:r>
    </w:p>
    <w:p w14:paraId="4F3336D4" w14:textId="77777777" w:rsidR="0006356F" w:rsidRDefault="0006356F" w:rsidP="0006356F">
      <w:pPr>
        <w:autoSpaceDE w:val="0"/>
        <w:autoSpaceDN w:val="0"/>
        <w:adjustRightInd w:val="0"/>
        <w:ind w:firstLine="709"/>
        <w:jc w:val="both"/>
      </w:pPr>
    </w:p>
    <w:p w14:paraId="7127597E" w14:textId="75300B6C" w:rsidR="00477B8F" w:rsidRPr="009118AB" w:rsidRDefault="00477B8F" w:rsidP="0006356F">
      <w:pPr>
        <w:autoSpaceDE w:val="0"/>
        <w:autoSpaceDN w:val="0"/>
        <w:adjustRightInd w:val="0"/>
        <w:ind w:firstLine="709"/>
        <w:jc w:val="both"/>
      </w:pPr>
      <w:r w:rsidRPr="009118AB">
        <w:t xml:space="preserve">Erfolgt die Wiederanlage in ein bebautes unbewegliches Gut, ein Schiff oder ein Flugzeug, wird die Wiederanlagefrist in Abweichung von </w:t>
      </w:r>
      <w:r w:rsidR="00D67EB8" w:rsidRPr="009118AB">
        <w:t>§ </w:t>
      </w:r>
      <w:r w:rsidRPr="009118AB">
        <w:t xml:space="preserve">3 </w:t>
      </w:r>
      <w:r w:rsidR="00D67EB8" w:rsidRPr="009118AB">
        <w:t>Nr. </w:t>
      </w:r>
      <w:r w:rsidRPr="009118AB">
        <w:t>2 auf fünf Jahre erhöht; diese Frist beginnt am ersten Tag des Besteuerungszeitraums, in dem der Mehrwert verwirklicht wurde, oder am ersten Tag des vorletzten Besteuerungszeitraums vor dem, in dem der Mehrwert verwirklicht wurde.</w:t>
      </w:r>
    </w:p>
    <w:p w14:paraId="0DA13089" w14:textId="77777777" w:rsidR="00477B8F" w:rsidRPr="009118AB" w:rsidRDefault="00477B8F" w:rsidP="00CB66B4">
      <w:pPr>
        <w:autoSpaceDE w:val="0"/>
        <w:autoSpaceDN w:val="0"/>
        <w:adjustRightInd w:val="0"/>
        <w:jc w:val="both"/>
      </w:pPr>
    </w:p>
    <w:p w14:paraId="7BCFB1B0" w14:textId="22CF5784" w:rsidR="00477B8F" w:rsidRPr="009118AB" w:rsidRDefault="00477B8F" w:rsidP="00CB66B4">
      <w:pPr>
        <w:autoSpaceDE w:val="0"/>
        <w:autoSpaceDN w:val="0"/>
        <w:adjustRightInd w:val="0"/>
        <w:jc w:val="both"/>
      </w:pPr>
      <w:r w:rsidRPr="009118AB">
        <w:tab/>
        <w:t xml:space="preserve">In Abweichung von </w:t>
      </w:r>
      <w:r w:rsidR="00D67EB8" w:rsidRPr="009118AB">
        <w:t>§ </w:t>
      </w:r>
      <w:r w:rsidRPr="009118AB">
        <w:t xml:space="preserve">1 wird in den </w:t>
      </w:r>
      <w:r w:rsidR="0006356F">
        <w:t>[</w:t>
      </w:r>
      <w:r w:rsidRPr="009118AB">
        <w:t xml:space="preserve">in </w:t>
      </w:r>
      <w:r w:rsidR="0006356F">
        <w:t xml:space="preserve">den </w:t>
      </w:r>
      <w:r w:rsidRPr="009118AB">
        <w:t>Abs</w:t>
      </w:r>
      <w:r w:rsidR="0006356F">
        <w:t>ä</w:t>
      </w:r>
      <w:r w:rsidRPr="009118AB">
        <w:t>tz</w:t>
      </w:r>
      <w:r w:rsidR="0006356F">
        <w:t>en</w:t>
      </w:r>
      <w:r w:rsidRPr="009118AB">
        <w:t> 1</w:t>
      </w:r>
      <w:r w:rsidR="0006356F">
        <w:t xml:space="preserve"> und 2]</w:t>
      </w:r>
      <w:r w:rsidRPr="009118AB">
        <w:t xml:space="preserve"> erwähnten Fällen der Mehrwert proportional zu dem Betrag der zum Zeitpunkt der Verwirklichung des Mehrwertes bereits zugelassenen Abschreibungen in Bezug auf das in Wiederanlage erworbene Gut als Gewinn oder Profit des Besteuerungszeitraums betrachtet, in dem er verwirklicht wird.</w:t>
      </w:r>
    </w:p>
    <w:p w14:paraId="69E0966F" w14:textId="77777777" w:rsidR="00477B8F" w:rsidRPr="009118AB" w:rsidRDefault="00477B8F" w:rsidP="00CB66B4">
      <w:pPr>
        <w:autoSpaceDE w:val="0"/>
        <w:autoSpaceDN w:val="0"/>
        <w:adjustRightInd w:val="0"/>
        <w:jc w:val="both"/>
      </w:pPr>
    </w:p>
    <w:p w14:paraId="67F816EF" w14:textId="0C2D8716" w:rsidR="00477B8F" w:rsidRPr="009118AB" w:rsidRDefault="00477B8F" w:rsidP="00CB66B4">
      <w:pPr>
        <w:autoSpaceDE w:val="0"/>
        <w:autoSpaceDN w:val="0"/>
        <w:adjustRightInd w:val="0"/>
        <w:jc w:val="both"/>
      </w:pPr>
      <w:r w:rsidRPr="009118AB">
        <w:tab/>
      </w:r>
      <w:r w:rsidR="00D67EB8" w:rsidRPr="009118AB">
        <w:t>§ </w:t>
      </w:r>
      <w:r w:rsidRPr="009118AB">
        <w:t>5</w:t>
      </w:r>
      <w:r w:rsidR="00D67EB8" w:rsidRPr="009118AB">
        <w:t> - </w:t>
      </w:r>
      <w:r w:rsidRPr="009118AB">
        <w:t xml:space="preserve">Zur Rechtfertigung des in </w:t>
      </w:r>
      <w:r w:rsidR="00D67EB8" w:rsidRPr="009118AB">
        <w:t>§ </w:t>
      </w:r>
      <w:r w:rsidRPr="009118AB">
        <w:t>1 erwähnten Besteuerungssystems muss der Steuer</w:t>
      </w:r>
      <w:r w:rsidR="000E467D" w:rsidRPr="009118AB">
        <w:softHyphen/>
      </w:r>
      <w:r w:rsidRPr="009118AB">
        <w:t>pflichtige seiner Einkommensteuererklärung des Steuerjahres, das den Besteuerungszeitraum betrifft, in dem der Mehrwert verwirklicht wird, und jedes späteren Steuerjahres bis zur vollständigen Besteuerung des verwirklichten Mehrwertes eine Aufstellung beifügen, deren Muster vom Minister der Finanzen oder von seinem Beauftragten festgelegt wird.</w:t>
      </w:r>
    </w:p>
    <w:p w14:paraId="3394BD45" w14:textId="77777777" w:rsidR="004332D1" w:rsidRPr="009118AB" w:rsidRDefault="004332D1" w:rsidP="00CB66B4">
      <w:pPr>
        <w:autoSpaceDE w:val="0"/>
        <w:autoSpaceDN w:val="0"/>
        <w:adjustRightInd w:val="0"/>
        <w:jc w:val="both"/>
      </w:pPr>
    </w:p>
    <w:p w14:paraId="6C2DCFDD" w14:textId="378E141C" w:rsidR="00477B8F" w:rsidRPr="009118AB" w:rsidRDefault="00477B8F" w:rsidP="00CB66B4">
      <w:pPr>
        <w:autoSpaceDE w:val="0"/>
        <w:autoSpaceDN w:val="0"/>
        <w:adjustRightInd w:val="0"/>
        <w:jc w:val="both"/>
      </w:pPr>
      <w:r w:rsidRPr="009118AB">
        <w:tab/>
      </w:r>
      <w:r w:rsidR="00D67EB8" w:rsidRPr="009118AB">
        <w:t>§ </w:t>
      </w:r>
      <w:r w:rsidRPr="009118AB">
        <w:t>6</w:t>
      </w:r>
      <w:r w:rsidR="00D67EB8" w:rsidRPr="009118AB">
        <w:t> - </w:t>
      </w:r>
      <w:r w:rsidRPr="009118AB">
        <w:t>Erfolgt keine Wiederanlage in den Formen und Fristen, die in den Paragraphen 2 bis 4 vorgesehen sind, gilt der verwirklichte Mehrwert oder der noch nicht besteuerte Teil dieses Mehrwertes als Einkommen des Besteuerungszeitraums, in dem die Wiederanlagefrist abgelaufen ist.</w:t>
      </w:r>
    </w:p>
    <w:p w14:paraId="348C3C49" w14:textId="77777777" w:rsidR="006F182E" w:rsidRPr="009118AB" w:rsidRDefault="006F182E" w:rsidP="00CB66B4">
      <w:pPr>
        <w:autoSpaceDE w:val="0"/>
        <w:autoSpaceDN w:val="0"/>
        <w:adjustRightInd w:val="0"/>
        <w:jc w:val="both"/>
      </w:pPr>
    </w:p>
    <w:p w14:paraId="62D69E83" w14:textId="77777777" w:rsidR="002713C5" w:rsidRPr="009118AB" w:rsidRDefault="002713C5">
      <w:r w:rsidRPr="009118AB">
        <w:br w:type="page"/>
      </w:r>
    </w:p>
    <w:p w14:paraId="02F17EAF" w14:textId="300FA26B" w:rsidR="006F182E" w:rsidRPr="009118AB" w:rsidRDefault="006F182E" w:rsidP="006F182E">
      <w:pPr>
        <w:jc w:val="both"/>
      </w:pPr>
      <w:r w:rsidRPr="009118AB">
        <w:lastRenderedPageBreak/>
        <w:tab/>
        <w:t>[</w:t>
      </w:r>
      <w:r w:rsidR="00D67EB8" w:rsidRPr="009118AB">
        <w:t>§ </w:t>
      </w:r>
      <w:r w:rsidRPr="009118AB">
        <w:t>7</w:t>
      </w:r>
      <w:r w:rsidR="00D67EB8" w:rsidRPr="009118AB">
        <w:t> - </w:t>
      </w:r>
      <w:r w:rsidRPr="009118AB">
        <w:t xml:space="preserve">Paragraph 1 ist nicht anwendbar, wenn der Mehrwert dem in Artikel 217 Absatz 1 </w:t>
      </w:r>
      <w:r w:rsidR="00D67EB8" w:rsidRPr="009118AB">
        <w:t>Nr. </w:t>
      </w:r>
      <w:r w:rsidRPr="009118AB">
        <w:t>1 erwähnten Steuersatz unterliegt und im Rahmen von Vorgängen verwirklicht wird, die in demselben Artikel erwähnt sind und an denen eine Investmentgesellschaft mit fixem Kapital für Immobilien</w:t>
      </w:r>
      <w:r w:rsidR="004B584A" w:rsidRPr="009118AB">
        <w:t>[</w:t>
      </w:r>
      <w:r w:rsidR="004B584A" w:rsidRPr="009118AB">
        <w:rPr>
          <w:lang w:eastAsia="fr-BE"/>
        </w:rPr>
        <w:t xml:space="preserve">, eine beaufsichtigte Immobiliengesellschaft </w:t>
      </w:r>
      <w:r w:rsidR="002713C5" w:rsidRPr="009118AB">
        <w:rPr>
          <w:lang w:eastAsia="fr-BE"/>
        </w:rPr>
        <w:t>[</w:t>
      </w:r>
      <w:r w:rsidR="002713C5" w:rsidRPr="009118AB">
        <w:t>oder ein europäischer langfristiger Investmentfonds, die/der von der Autorität Finanzielle Dienste und Märkte zugelassen ist, oder eine beim FÖD Finanzen im Verzeichnis der spezialisierten Immobilieninvestmentfonds eingetragene Gesellschaft beteiligt ist</w:t>
      </w:r>
      <w:r w:rsidR="002713C5" w:rsidRPr="009118AB">
        <w:rPr>
          <w:lang w:eastAsia="fr-BE"/>
        </w:rPr>
        <w:t>]</w:t>
      </w:r>
      <w:r w:rsidRPr="009118AB">
        <w:t>.]</w:t>
      </w:r>
    </w:p>
    <w:p w14:paraId="0595C1F7" w14:textId="77777777" w:rsidR="00477B8F" w:rsidRPr="009118AB" w:rsidRDefault="00477B8F" w:rsidP="00CB66B4">
      <w:pPr>
        <w:autoSpaceDE w:val="0"/>
        <w:autoSpaceDN w:val="0"/>
        <w:adjustRightInd w:val="0"/>
        <w:jc w:val="both"/>
      </w:pPr>
    </w:p>
    <w:p w14:paraId="5D3ED1A9" w14:textId="1EFDF76D" w:rsidR="00477B8F" w:rsidRPr="009118AB" w:rsidRDefault="00477B8F" w:rsidP="00CB66B4">
      <w:pPr>
        <w:autoSpaceDE w:val="0"/>
        <w:autoSpaceDN w:val="0"/>
        <w:adjustRightInd w:val="0"/>
        <w:jc w:val="both"/>
      </w:pPr>
      <w:r w:rsidRPr="009118AB">
        <w:rPr>
          <w:i/>
          <w:iCs/>
        </w:rPr>
        <w:t>[</w:t>
      </w:r>
      <w:r w:rsidR="00D67EB8" w:rsidRPr="009118AB">
        <w:rPr>
          <w:i/>
          <w:iCs/>
        </w:rPr>
        <w:t>Art. </w:t>
      </w:r>
      <w:r w:rsidRPr="009118AB">
        <w:rPr>
          <w:i/>
          <w:iCs/>
        </w:rPr>
        <w:t xml:space="preserve">47 </w:t>
      </w:r>
      <w:r w:rsidR="00D67EB8" w:rsidRPr="009118AB">
        <w:rPr>
          <w:i/>
          <w:iCs/>
        </w:rPr>
        <w:t>§ </w:t>
      </w:r>
      <w:r w:rsidRPr="009118AB">
        <w:rPr>
          <w:i/>
          <w:iCs/>
        </w:rPr>
        <w:t xml:space="preserve">1 </w:t>
      </w:r>
      <w:r w:rsidR="00D67EB8" w:rsidRPr="009118AB">
        <w:rPr>
          <w:i/>
          <w:iCs/>
        </w:rPr>
        <w:t>Abs. </w:t>
      </w:r>
      <w:r w:rsidRPr="009118AB">
        <w:rPr>
          <w:i/>
          <w:iCs/>
        </w:rPr>
        <w:t xml:space="preserve">1 einleitende Bestimmung abgeändert durch </w:t>
      </w:r>
      <w:r w:rsidR="00D67EB8" w:rsidRPr="009118AB">
        <w:rPr>
          <w:i/>
          <w:iCs/>
        </w:rPr>
        <w:t>Art. </w:t>
      </w:r>
      <w:r w:rsidRPr="009118AB">
        <w:rPr>
          <w:i/>
          <w:iCs/>
        </w:rPr>
        <w:t xml:space="preserve">8 </w:t>
      </w:r>
      <w:r w:rsidR="00D67EB8" w:rsidRPr="009118AB">
        <w:rPr>
          <w:i/>
          <w:iCs/>
        </w:rPr>
        <w:t>Nr. </w:t>
      </w:r>
      <w:r w:rsidRPr="009118AB">
        <w:rPr>
          <w:i/>
          <w:iCs/>
        </w:rPr>
        <w:t>1 des G. vom 22. Dezember 1998 (B.S. vom 15. Januar 1999)</w:t>
      </w:r>
      <w:r w:rsidR="00D67EB8" w:rsidRPr="009118AB">
        <w:rPr>
          <w:i/>
          <w:iCs/>
        </w:rPr>
        <w:t> - </w:t>
      </w:r>
      <w:r w:rsidRPr="009118AB">
        <w:rPr>
          <w:i/>
          <w:iCs/>
        </w:rPr>
        <w:t>anwendbar ab dem Steuerjahr 1998</w:t>
      </w:r>
      <w:r w:rsidR="00FD68E8" w:rsidRPr="009118AB">
        <w:rPr>
          <w:i/>
          <w:iCs/>
        </w:rPr>
        <w:t> -,</w:t>
      </w:r>
      <w:r w:rsidRPr="009118AB">
        <w:rPr>
          <w:i/>
          <w:iCs/>
        </w:rPr>
        <w:t xml:space="preserve"> </w:t>
      </w:r>
      <w:r w:rsidR="00D67EB8" w:rsidRPr="009118AB">
        <w:rPr>
          <w:i/>
          <w:iCs/>
        </w:rPr>
        <w:t>Art. </w:t>
      </w:r>
      <w:r w:rsidRPr="009118AB">
        <w:rPr>
          <w:i/>
          <w:iCs/>
        </w:rPr>
        <w:t xml:space="preserve">4 </w:t>
      </w:r>
      <w:r w:rsidR="00D67EB8" w:rsidRPr="009118AB">
        <w:rPr>
          <w:i/>
          <w:iCs/>
        </w:rPr>
        <w:t>Nr. </w:t>
      </w:r>
      <w:r w:rsidRPr="009118AB">
        <w:rPr>
          <w:i/>
          <w:iCs/>
        </w:rPr>
        <w:t>1 des G. vom 14. Januar 2003 (B.S. vom 5. Februar 2003)</w:t>
      </w:r>
      <w:r w:rsidR="00D67EB8" w:rsidRPr="009118AB">
        <w:rPr>
          <w:i/>
          <w:iCs/>
        </w:rPr>
        <w:t> - </w:t>
      </w:r>
      <w:r w:rsidRPr="009118AB">
        <w:rPr>
          <w:i/>
          <w:iCs/>
        </w:rPr>
        <w:t>anwendbar auf Mehrwerte, die ab dem 1. Januar 2000 verwirklicht werden, und insofern sich das Datum der Verwirklichung frühestens auf den Besteuerungszeitraum bezieht, der an das Steuerjahr 2001 gebunden ist</w:t>
      </w:r>
      <w:r w:rsidR="00D67EB8" w:rsidRPr="009118AB">
        <w:rPr>
          <w:i/>
          <w:iCs/>
        </w:rPr>
        <w:t> - </w:t>
      </w:r>
      <w:r w:rsidRPr="009118AB">
        <w:rPr>
          <w:i/>
          <w:iCs/>
        </w:rPr>
        <w:t xml:space="preserve">und </w:t>
      </w:r>
      <w:r w:rsidR="00D67EB8" w:rsidRPr="009118AB">
        <w:rPr>
          <w:i/>
          <w:iCs/>
        </w:rPr>
        <w:t>Art. </w:t>
      </w:r>
      <w:r w:rsidRPr="009118AB">
        <w:rPr>
          <w:i/>
          <w:iCs/>
        </w:rPr>
        <w:t xml:space="preserve">110 des G. </w:t>
      </w:r>
      <w:r w:rsidR="00356264" w:rsidRPr="009118AB">
        <w:rPr>
          <w:i/>
          <w:iCs/>
        </w:rPr>
        <w:t xml:space="preserve">(IV) </w:t>
      </w:r>
      <w:r w:rsidRPr="009118AB">
        <w:rPr>
          <w:i/>
          <w:iCs/>
        </w:rPr>
        <w:t>vom 25. April 2007 (I) (B.S. vom 8. Mai 2007)</w:t>
      </w:r>
      <w:r w:rsidR="00D67EB8" w:rsidRPr="009118AB">
        <w:rPr>
          <w:i/>
          <w:iCs/>
        </w:rPr>
        <w:t> - </w:t>
      </w:r>
      <w:r w:rsidRPr="009118AB">
        <w:rPr>
          <w:i/>
          <w:iCs/>
        </w:rPr>
        <w:t>anwendbar auf Mehrwerte, die ab dem 1. Januar 2007 verwirklicht werden, und insofern sich das Datum der Verwirklichung frühestens auf den Besteuerungszeitraum bezieht, der an das Steuerjahr 2008 gebunden ist</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2 ersetzt durch </w:t>
      </w:r>
      <w:r w:rsidR="00D67EB8" w:rsidRPr="009118AB">
        <w:rPr>
          <w:i/>
          <w:iCs/>
        </w:rPr>
        <w:t>Art. </w:t>
      </w:r>
      <w:r w:rsidRPr="009118AB">
        <w:rPr>
          <w:i/>
          <w:iCs/>
        </w:rPr>
        <w:t xml:space="preserve">8 </w:t>
      </w:r>
      <w:r w:rsidR="00D67EB8" w:rsidRPr="009118AB">
        <w:rPr>
          <w:i/>
          <w:iCs/>
        </w:rPr>
        <w:t>Nr. </w:t>
      </w:r>
      <w:r w:rsidRPr="009118AB">
        <w:rPr>
          <w:i/>
          <w:iCs/>
        </w:rPr>
        <w:t>2 des G. vom 22. Dezember 1998 (B.S. vom 15. Januar 1999)</w:t>
      </w:r>
      <w:r w:rsidR="00D67EB8" w:rsidRPr="009118AB">
        <w:rPr>
          <w:i/>
          <w:iCs/>
        </w:rPr>
        <w:t> - </w:t>
      </w:r>
      <w:r w:rsidRPr="009118AB">
        <w:rPr>
          <w:i/>
          <w:iCs/>
        </w:rPr>
        <w:t>anwendbar ab dem Steuerjahr 1998</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ersetzt durch </w:t>
      </w:r>
      <w:r w:rsidR="00D67EB8" w:rsidRPr="009118AB">
        <w:rPr>
          <w:i/>
          <w:iCs/>
        </w:rPr>
        <w:t>Art. </w:t>
      </w:r>
      <w:r w:rsidRPr="009118AB">
        <w:rPr>
          <w:i/>
          <w:iCs/>
        </w:rPr>
        <w:t xml:space="preserve">8 </w:t>
      </w:r>
      <w:r w:rsidR="00D67EB8" w:rsidRPr="009118AB">
        <w:rPr>
          <w:i/>
          <w:iCs/>
        </w:rPr>
        <w:t>Nr. </w:t>
      </w:r>
      <w:r w:rsidRPr="009118AB">
        <w:rPr>
          <w:i/>
          <w:iCs/>
        </w:rPr>
        <w:t>3 des G. vom 22. Dezember 1998 (B.S. vom 15. Januar 1999)</w:t>
      </w:r>
      <w:r w:rsidR="00D67EB8" w:rsidRPr="009118AB">
        <w:rPr>
          <w:i/>
          <w:iCs/>
        </w:rPr>
        <w:t> - </w:t>
      </w:r>
      <w:r w:rsidRPr="009118AB">
        <w:rPr>
          <w:i/>
          <w:iCs/>
        </w:rPr>
        <w:t>erstmals anwendbar auf die Jahresabschlüsse, die am Ende des Geschäftsjahres, das nach dem 31. Dezember 1994 einsetzt, festgestellt werden</w:t>
      </w:r>
      <w:r w:rsidR="003366D9" w:rsidRPr="009118AB">
        <w:rPr>
          <w:i/>
          <w:iCs/>
        </w:rPr>
        <w:t> -;</w:t>
      </w:r>
      <w:r w:rsidR="000E467D" w:rsidRPr="009118AB">
        <w:rPr>
          <w:i/>
          <w:iCs/>
        </w:rPr>
        <w:t xml:space="preserve"> </w:t>
      </w:r>
      <w:r w:rsidR="00D67EB8" w:rsidRPr="009118AB">
        <w:rPr>
          <w:i/>
          <w:iCs/>
        </w:rPr>
        <w:t>§ </w:t>
      </w:r>
      <w:r w:rsidR="000E467D" w:rsidRPr="009118AB">
        <w:rPr>
          <w:i/>
          <w:iCs/>
        </w:rPr>
        <w:t xml:space="preserve">2 abgeändert durch </w:t>
      </w:r>
      <w:r w:rsidR="00D67EB8" w:rsidRPr="009118AB">
        <w:rPr>
          <w:i/>
          <w:iCs/>
        </w:rPr>
        <w:t>Art. </w:t>
      </w:r>
      <w:r w:rsidR="000E467D" w:rsidRPr="009118AB">
        <w:rPr>
          <w:i/>
          <w:iCs/>
        </w:rPr>
        <w:t xml:space="preserve">2 des G. vom 7. November 2011 </w:t>
      </w:r>
      <w:r w:rsidR="007B6928" w:rsidRPr="009118AB">
        <w:rPr>
          <w:i/>
          <w:iCs/>
        </w:rPr>
        <w:t xml:space="preserve">(I) </w:t>
      </w:r>
      <w:r w:rsidR="000E467D" w:rsidRPr="009118AB">
        <w:rPr>
          <w:i/>
          <w:iCs/>
        </w:rPr>
        <w:t>(B.S. vom 10. November 2011)</w:t>
      </w:r>
      <w:r w:rsidR="00D67EB8" w:rsidRPr="009118AB">
        <w:rPr>
          <w:i/>
          <w:iCs/>
        </w:rPr>
        <w:t> - </w:t>
      </w:r>
      <w:r w:rsidR="000E467D" w:rsidRPr="009118AB">
        <w:rPr>
          <w:i/>
          <w:iCs/>
        </w:rPr>
        <w:t>anwendbar auf Mehrwerte, die ab dem an das Steuerjahr 2012 gebundenen Besteuerungszeitraum verwirklicht werden</w:t>
      </w:r>
      <w:r w:rsidR="003366D9" w:rsidRPr="009118AB">
        <w:rPr>
          <w:i/>
          <w:iCs/>
        </w:rPr>
        <w:t> -;</w:t>
      </w:r>
      <w:r w:rsidR="006F182E" w:rsidRPr="009118AB">
        <w:rPr>
          <w:i/>
          <w:iCs/>
        </w:rPr>
        <w:t xml:space="preserve"> </w:t>
      </w:r>
      <w:r w:rsidR="0006356F">
        <w:rPr>
          <w:i/>
          <w:iCs/>
        </w:rPr>
        <w:t>§ 4 neuer Absatz 1 eingefügt durch Art. 31 Nr. 1</w:t>
      </w:r>
      <w:r w:rsidR="0006356F" w:rsidRPr="0006356F">
        <w:rPr>
          <w:i/>
          <w:iCs/>
        </w:rPr>
        <w:t xml:space="preserve"> des G. vom 22. Dezember 2023</w:t>
      </w:r>
      <w:r w:rsidR="00552005" w:rsidRPr="00552005">
        <w:rPr>
          <w:i/>
          <w:iCs/>
        </w:rPr>
        <w:t> (I)</w:t>
      </w:r>
      <w:r w:rsidR="0006356F" w:rsidRPr="0006356F">
        <w:rPr>
          <w:i/>
          <w:iCs/>
        </w:rPr>
        <w:t xml:space="preserve"> (B.S. vom 29. Dezember 2023)</w:t>
      </w:r>
      <w:r w:rsidR="0006356F">
        <w:rPr>
          <w:i/>
          <w:iCs/>
        </w:rPr>
        <w:t> - anwendbar a</w:t>
      </w:r>
      <w:r w:rsidR="00712CA5">
        <w:rPr>
          <w:i/>
          <w:iCs/>
        </w:rPr>
        <w:t>b</w:t>
      </w:r>
      <w:r w:rsidR="0006356F">
        <w:rPr>
          <w:i/>
          <w:iCs/>
        </w:rPr>
        <w:t xml:space="preserve"> dem Steuerjahr 2024 -; § 4 Abs. 3 abgeändert durch Art. 31 Nr. 2</w:t>
      </w:r>
      <w:r w:rsidR="0006356F" w:rsidRPr="0006356F">
        <w:rPr>
          <w:i/>
          <w:iCs/>
        </w:rPr>
        <w:t xml:space="preserve"> des G. vom 22. Dezember 2023</w:t>
      </w:r>
      <w:r w:rsidR="00552005" w:rsidRPr="00552005">
        <w:rPr>
          <w:i/>
          <w:iCs/>
        </w:rPr>
        <w:t> (I)</w:t>
      </w:r>
      <w:r w:rsidR="0006356F" w:rsidRPr="0006356F">
        <w:rPr>
          <w:i/>
          <w:iCs/>
        </w:rPr>
        <w:t xml:space="preserve"> (B.S. vom 29. Dezember 2023)</w:t>
      </w:r>
      <w:r w:rsidR="0006356F">
        <w:rPr>
          <w:i/>
          <w:iCs/>
        </w:rPr>
        <w:t> - anwendbar a</w:t>
      </w:r>
      <w:r w:rsidR="00712CA5">
        <w:rPr>
          <w:i/>
          <w:iCs/>
        </w:rPr>
        <w:t>b</w:t>
      </w:r>
      <w:r w:rsidR="0006356F">
        <w:rPr>
          <w:i/>
          <w:iCs/>
        </w:rPr>
        <w:t xml:space="preserve"> dem Steuerjahr 2024 -; </w:t>
      </w:r>
      <w:r w:rsidR="00D67EB8" w:rsidRPr="009118AB">
        <w:rPr>
          <w:i/>
          <w:iCs/>
        </w:rPr>
        <w:t>§ </w:t>
      </w:r>
      <w:r w:rsidR="006F182E" w:rsidRPr="009118AB">
        <w:rPr>
          <w:i/>
          <w:iCs/>
        </w:rPr>
        <w:t xml:space="preserve">7 eingefügt durch </w:t>
      </w:r>
      <w:r w:rsidR="00D67EB8" w:rsidRPr="009118AB">
        <w:rPr>
          <w:i/>
          <w:iCs/>
        </w:rPr>
        <w:t>Art. </w:t>
      </w:r>
      <w:r w:rsidR="006F182E" w:rsidRPr="009118AB">
        <w:rPr>
          <w:i/>
          <w:iCs/>
        </w:rPr>
        <w:t>8</w:t>
      </w:r>
      <w:r w:rsidR="006F182E" w:rsidRPr="009118AB">
        <w:rPr>
          <w:i/>
        </w:rPr>
        <w:t xml:space="preserve"> des G. (II) vom 3. August 2016 (VI) (B.S. vom 16. August 2016)</w:t>
      </w:r>
      <w:r w:rsidR="00D67EB8" w:rsidRPr="009118AB">
        <w:rPr>
          <w:i/>
        </w:rPr>
        <w:t> - </w:t>
      </w:r>
      <w:r w:rsidR="006F182E" w:rsidRPr="009118AB">
        <w:rPr>
          <w:i/>
        </w:rPr>
        <w:t>in Kraft ab dem Steuerjahr 2016 für Vorgänge und Einkünfte, die ab dem 1. Juli 2016 stattfinden beziehungsweise zuerkannt oder ausgeschüttet werden</w:t>
      </w:r>
      <w:r w:rsidR="00D67EB8" w:rsidRPr="009118AB">
        <w:rPr>
          <w:i/>
        </w:rPr>
        <w:t> -</w:t>
      </w:r>
      <w:r w:rsidR="002713C5" w:rsidRPr="009118AB">
        <w:rPr>
          <w:i/>
        </w:rPr>
        <w:t xml:space="preserve"> </w:t>
      </w:r>
      <w:r w:rsidR="004B584A" w:rsidRPr="009118AB">
        <w:rPr>
          <w:i/>
        </w:rPr>
        <w:t xml:space="preserve">und abgeändert durch </w:t>
      </w:r>
      <w:r w:rsidR="00D67EB8" w:rsidRPr="009118AB">
        <w:rPr>
          <w:i/>
        </w:rPr>
        <w:t>Art. </w:t>
      </w:r>
      <w:r w:rsidR="004B584A" w:rsidRPr="009118AB">
        <w:rPr>
          <w:i/>
        </w:rPr>
        <w:t>63</w:t>
      </w:r>
      <w:r w:rsidR="004B584A" w:rsidRPr="009118AB">
        <w:rPr>
          <w:bCs/>
          <w:i/>
          <w:iCs/>
          <w:sz w:val="20"/>
          <w:szCs w:val="20"/>
        </w:rPr>
        <w:t xml:space="preserve"> </w:t>
      </w:r>
      <w:r w:rsidR="004B584A" w:rsidRPr="009118AB">
        <w:rPr>
          <w:bCs/>
          <w:i/>
          <w:iCs/>
        </w:rPr>
        <w:t>des G. vom 21. Januar 2022 (B.S. vom 28. Januar 2022)</w:t>
      </w:r>
      <w:r w:rsidR="002713C5" w:rsidRPr="009118AB">
        <w:rPr>
          <w:bCs/>
          <w:i/>
          <w:iCs/>
        </w:rPr>
        <w:t xml:space="preserve"> und Art. 8</w:t>
      </w:r>
      <w:r w:rsidR="002713C5" w:rsidRPr="009118AB">
        <w:rPr>
          <w:i/>
          <w:iCs/>
        </w:rPr>
        <w:t xml:space="preserve"> des G. vom 21. Dezember 2022 (II) (B.S. vom 29. Dezember 2022)]</w:t>
      </w:r>
    </w:p>
    <w:p w14:paraId="4DFE2251" w14:textId="77777777" w:rsidR="001E243B" w:rsidRPr="009118AB" w:rsidRDefault="001E243B" w:rsidP="00477B8F">
      <w:pPr>
        <w:autoSpaceDE w:val="0"/>
        <w:autoSpaceDN w:val="0"/>
        <w:adjustRightInd w:val="0"/>
      </w:pPr>
    </w:p>
    <w:p w14:paraId="2977577E" w14:textId="77777777" w:rsidR="001E243B" w:rsidRPr="009118AB" w:rsidRDefault="001E243B" w:rsidP="00477B8F">
      <w:pPr>
        <w:autoSpaceDE w:val="0"/>
        <w:autoSpaceDN w:val="0"/>
        <w:adjustRightInd w:val="0"/>
      </w:pPr>
    </w:p>
    <w:p w14:paraId="62643CFC" w14:textId="77777777" w:rsidR="00477B8F" w:rsidRPr="009118AB" w:rsidRDefault="004332D1" w:rsidP="00477B8F">
      <w:pPr>
        <w:autoSpaceDE w:val="0"/>
        <w:autoSpaceDN w:val="0"/>
        <w:adjustRightInd w:val="0"/>
      </w:pPr>
      <w:r w:rsidRPr="009118AB">
        <w:br w:type="page"/>
      </w:r>
      <w:r w:rsidR="00477B8F" w:rsidRPr="009118AB">
        <w:lastRenderedPageBreak/>
        <w:tab/>
      </w:r>
      <w:r w:rsidR="00477B8F" w:rsidRPr="009118AB">
        <w:rPr>
          <w:i/>
          <w:iCs/>
        </w:rPr>
        <w:t xml:space="preserve">D. </w:t>
      </w:r>
      <w:r w:rsidR="00477B8F" w:rsidRPr="009118AB">
        <w:t>Steuerfreie Wertminderungen und Rückstellungen</w:t>
      </w:r>
    </w:p>
    <w:p w14:paraId="3A8482F0" w14:textId="77777777" w:rsidR="00477B8F" w:rsidRPr="009118AB" w:rsidRDefault="00477B8F" w:rsidP="00477B8F">
      <w:pPr>
        <w:autoSpaceDE w:val="0"/>
        <w:autoSpaceDN w:val="0"/>
        <w:adjustRightInd w:val="0"/>
      </w:pPr>
    </w:p>
    <w:p w14:paraId="08A0008A" w14:textId="77777777" w:rsidR="00477B8F" w:rsidRPr="009118AB" w:rsidRDefault="00477B8F" w:rsidP="00CB66B4">
      <w:pPr>
        <w:autoSpaceDE w:val="0"/>
        <w:autoSpaceDN w:val="0"/>
        <w:adjustRightInd w:val="0"/>
        <w:jc w:val="both"/>
      </w:pPr>
    </w:p>
    <w:p w14:paraId="7D416F51" w14:textId="4B06F3BA" w:rsidR="00477B8F" w:rsidRPr="009118AB" w:rsidRDefault="00477B8F" w:rsidP="00CB66B4">
      <w:pPr>
        <w:autoSpaceDE w:val="0"/>
        <w:autoSpaceDN w:val="0"/>
        <w:adjustRightInd w:val="0"/>
        <w:jc w:val="both"/>
      </w:pPr>
      <w:r w:rsidRPr="009118AB">
        <w:tab/>
      </w:r>
      <w:r w:rsidR="00D67EB8" w:rsidRPr="009118AB">
        <w:rPr>
          <w:b/>
          <w:bCs/>
        </w:rPr>
        <w:t>Art. </w:t>
      </w:r>
      <w:r w:rsidRPr="009118AB">
        <w:rPr>
          <w:b/>
          <w:bCs/>
        </w:rPr>
        <w:t>48</w:t>
      </w:r>
      <w:r w:rsidR="00D67EB8" w:rsidRPr="009118AB">
        <w:t> - </w:t>
      </w:r>
      <w:r w:rsidRPr="009118AB">
        <w:t>Wertminderungen und Rückstellungen für Risiken und Aufwendungen, die von Unternehmen gebucht werden, um genau beschriebenen Verlusten oder Aufwendungen zu begegnen, die aufgrund gegenwärtiger Ereignisse wahrscheinlich sind, sind in Grenzen und unter Bedingungen, die vom König festgelegt werden, steuerfrei.</w:t>
      </w:r>
    </w:p>
    <w:p w14:paraId="525877AD" w14:textId="77777777" w:rsidR="00477B8F" w:rsidRPr="009118AB" w:rsidRDefault="00477B8F" w:rsidP="00CB66B4">
      <w:pPr>
        <w:autoSpaceDE w:val="0"/>
        <w:autoSpaceDN w:val="0"/>
        <w:adjustRightInd w:val="0"/>
        <w:jc w:val="both"/>
      </w:pPr>
    </w:p>
    <w:p w14:paraId="26F40E6D" w14:textId="2FE15F97" w:rsidR="00477B8F" w:rsidRPr="009118AB" w:rsidRDefault="00477B8F" w:rsidP="00CB66B4">
      <w:pPr>
        <w:autoSpaceDE w:val="0"/>
        <w:autoSpaceDN w:val="0"/>
        <w:adjustRightInd w:val="0"/>
        <w:jc w:val="both"/>
      </w:pPr>
      <w:r w:rsidRPr="009118AB">
        <w:tab/>
        <w:t>[</w:t>
      </w:r>
      <w:r w:rsidR="006B35E9" w:rsidRPr="009541B3">
        <w:t>Wertminderungen und Rückstellungen in Bezug auf Forderungen gegenüber Vertragspartnern infolge der Feststellung einer gütlichen Einigung in Ausführung der Artikel XX.38 oder XX.65, mit Ausnahme von § 3 Absatz 2, oder XX.83/30, mit Ausnahme von § 3 Absatz 2, des Wirtschaftsgesetzbuches oder infolge der Homologierung eines Reorganisationsplans in Ausführung der Artikel XX.79 oder XX.83/15 oder XX.83/35 desselben Gesetzbuches sind steuerfrei, und zwar in den Besteuerungszeiträumen bis zur vollständigen Ausführung der gütlichen Einigung oder des Plans oder bis zur Rücknahme davon.</w:t>
      </w:r>
      <w:r w:rsidRPr="009118AB">
        <w:t>]</w:t>
      </w:r>
    </w:p>
    <w:p w14:paraId="7BDA389F" w14:textId="77777777" w:rsidR="00477B8F" w:rsidRPr="009118AB" w:rsidRDefault="00477B8F" w:rsidP="00CB66B4">
      <w:pPr>
        <w:autoSpaceDE w:val="0"/>
        <w:autoSpaceDN w:val="0"/>
        <w:adjustRightInd w:val="0"/>
        <w:jc w:val="both"/>
      </w:pPr>
    </w:p>
    <w:p w14:paraId="7DBB2178" w14:textId="3D0CF804" w:rsidR="00477B8F" w:rsidRPr="006B35E9" w:rsidRDefault="00477B8F" w:rsidP="00CB66B4">
      <w:pPr>
        <w:autoSpaceDE w:val="0"/>
        <w:autoSpaceDN w:val="0"/>
        <w:adjustRightInd w:val="0"/>
        <w:jc w:val="both"/>
        <w:rPr>
          <w:i/>
          <w:iCs/>
        </w:rPr>
      </w:pPr>
      <w:r w:rsidRPr="009118AB">
        <w:rPr>
          <w:i/>
          <w:iCs/>
        </w:rPr>
        <w:t>[</w:t>
      </w:r>
      <w:r w:rsidR="00D67EB8" w:rsidRPr="009118AB">
        <w:rPr>
          <w:i/>
          <w:iCs/>
        </w:rPr>
        <w:t>Art. </w:t>
      </w:r>
      <w:r w:rsidRPr="009118AB">
        <w:rPr>
          <w:i/>
          <w:iCs/>
        </w:rPr>
        <w:t xml:space="preserve">48 </w:t>
      </w:r>
      <w:r w:rsidR="00D67EB8" w:rsidRPr="009118AB">
        <w:rPr>
          <w:i/>
          <w:iCs/>
        </w:rPr>
        <w:t>Abs. </w:t>
      </w:r>
      <w:r w:rsidRPr="009118AB">
        <w:rPr>
          <w:i/>
          <w:iCs/>
        </w:rPr>
        <w:t xml:space="preserve">2 </w:t>
      </w:r>
      <w:r w:rsidR="0056265B">
        <w:rPr>
          <w:i/>
          <w:iCs/>
        </w:rPr>
        <w:t>ersetzt</w:t>
      </w:r>
      <w:r w:rsidR="00290BD3">
        <w:rPr>
          <w:i/>
          <w:iCs/>
        </w:rPr>
        <w:t xml:space="preserve"> </w:t>
      </w:r>
      <w:r w:rsidR="006B35E9">
        <w:rPr>
          <w:i/>
          <w:iCs/>
        </w:rPr>
        <w:t xml:space="preserve">durch </w:t>
      </w:r>
      <w:r w:rsidR="006B35E9" w:rsidRPr="006B35E9">
        <w:rPr>
          <w:i/>
          <w:iCs/>
        </w:rPr>
        <w:t>Art.</w:t>
      </w:r>
      <w:r w:rsidR="006B35E9">
        <w:rPr>
          <w:i/>
          <w:iCs/>
        </w:rPr>
        <w:t> </w:t>
      </w:r>
      <w:r w:rsidR="006B35E9" w:rsidRPr="006B35E9">
        <w:rPr>
          <w:i/>
          <w:iCs/>
        </w:rPr>
        <w:t>4</w:t>
      </w:r>
      <w:r w:rsidR="006B35E9">
        <w:rPr>
          <w:i/>
          <w:iCs/>
        </w:rPr>
        <w:t>8</w:t>
      </w:r>
      <w:r w:rsidR="006B35E9" w:rsidRPr="006B35E9">
        <w:rPr>
          <w:i/>
          <w:iCs/>
        </w:rPr>
        <w:t xml:space="preserve"> des G. vom 28.</w:t>
      </w:r>
      <w:r w:rsidR="006B35E9">
        <w:rPr>
          <w:i/>
          <w:iCs/>
        </w:rPr>
        <w:t> </w:t>
      </w:r>
      <w:r w:rsidR="006B35E9" w:rsidRPr="006B35E9">
        <w:rPr>
          <w:i/>
          <w:iCs/>
        </w:rPr>
        <w:t>Dezember</w:t>
      </w:r>
      <w:r w:rsidR="006B35E9">
        <w:rPr>
          <w:i/>
          <w:iCs/>
        </w:rPr>
        <w:t> </w:t>
      </w:r>
      <w:r w:rsidR="006B35E9" w:rsidRPr="006B35E9">
        <w:rPr>
          <w:i/>
          <w:iCs/>
        </w:rPr>
        <w:t>2023 (B.S. vom 29.</w:t>
      </w:r>
      <w:r w:rsidR="006B35E9">
        <w:rPr>
          <w:i/>
          <w:iCs/>
        </w:rPr>
        <w:t> </w:t>
      </w:r>
      <w:r w:rsidR="006B35E9" w:rsidRPr="006B35E9">
        <w:rPr>
          <w:i/>
          <w:iCs/>
        </w:rPr>
        <w:t>Dezember</w:t>
      </w:r>
      <w:r w:rsidR="006B35E9">
        <w:rPr>
          <w:i/>
          <w:iCs/>
        </w:rPr>
        <w:t> </w:t>
      </w:r>
      <w:r w:rsidR="006B35E9" w:rsidRPr="006B35E9">
        <w:rPr>
          <w:i/>
          <w:iCs/>
        </w:rPr>
        <w:t>2023) - wirksam mit 1. September 2023 und ab diesem Datum anwendbar -]</w:t>
      </w:r>
    </w:p>
    <w:p w14:paraId="0F000696" w14:textId="77777777" w:rsidR="000A1B1F" w:rsidRPr="009118AB" w:rsidRDefault="000A1B1F" w:rsidP="00477B8F">
      <w:pPr>
        <w:autoSpaceDE w:val="0"/>
        <w:autoSpaceDN w:val="0"/>
        <w:adjustRightInd w:val="0"/>
        <w:jc w:val="center"/>
      </w:pPr>
    </w:p>
    <w:p w14:paraId="0F096410" w14:textId="77777777" w:rsidR="000A1B1F" w:rsidRPr="009118AB" w:rsidRDefault="000A1B1F" w:rsidP="00477B8F">
      <w:pPr>
        <w:autoSpaceDE w:val="0"/>
        <w:autoSpaceDN w:val="0"/>
        <w:adjustRightInd w:val="0"/>
        <w:jc w:val="center"/>
      </w:pPr>
    </w:p>
    <w:p w14:paraId="76507CCC" w14:textId="77777777" w:rsidR="000A1B1F" w:rsidRPr="009118AB" w:rsidRDefault="000661E7" w:rsidP="000A1B1F">
      <w:pPr>
        <w:autoSpaceDE w:val="0"/>
        <w:autoSpaceDN w:val="0"/>
        <w:adjustRightInd w:val="0"/>
        <w:jc w:val="both"/>
      </w:pPr>
      <w:r w:rsidRPr="009118AB">
        <w:br w:type="page"/>
      </w:r>
      <w:r w:rsidR="000A1B1F" w:rsidRPr="009118AB">
        <w:lastRenderedPageBreak/>
        <w:tab/>
        <w:t>[</w:t>
      </w:r>
      <w:r w:rsidR="000A1B1F" w:rsidRPr="009118AB">
        <w:rPr>
          <w:i/>
        </w:rPr>
        <w:t>E.</w:t>
      </w:r>
      <w:r w:rsidR="000A1B1F" w:rsidRPr="009118AB">
        <w:t xml:space="preserve"> Gewinne aus der Homologierung eines Reorga</w:t>
      </w:r>
      <w:r w:rsidR="000A1B1F" w:rsidRPr="009118AB">
        <w:softHyphen/>
        <w:t>nisationsplans und der Feststellung einer gütlichen Einigung</w:t>
      </w:r>
    </w:p>
    <w:p w14:paraId="08D086CA" w14:textId="77777777" w:rsidR="000A1B1F" w:rsidRPr="009118AB" w:rsidRDefault="000A1B1F" w:rsidP="000A1B1F">
      <w:pPr>
        <w:autoSpaceDE w:val="0"/>
        <w:autoSpaceDN w:val="0"/>
        <w:adjustRightInd w:val="0"/>
        <w:jc w:val="both"/>
      </w:pPr>
    </w:p>
    <w:p w14:paraId="42CF9D6B" w14:textId="37BA0F00" w:rsidR="000A1B1F" w:rsidRPr="009118AB" w:rsidRDefault="000A1B1F" w:rsidP="000A1B1F">
      <w:pPr>
        <w:autoSpaceDE w:val="0"/>
        <w:autoSpaceDN w:val="0"/>
        <w:adjustRightInd w:val="0"/>
        <w:jc w:val="both"/>
        <w:rPr>
          <w:i/>
        </w:rPr>
      </w:pPr>
      <w:r w:rsidRPr="009118AB">
        <w:rPr>
          <w:i/>
        </w:rPr>
        <w:t xml:space="preserve">[Unterteilung E mit </w:t>
      </w:r>
      <w:r w:rsidR="00D67EB8" w:rsidRPr="009118AB">
        <w:rPr>
          <w:i/>
        </w:rPr>
        <w:t>Art. </w:t>
      </w:r>
      <w:r w:rsidRPr="009118AB">
        <w:rPr>
          <w:i/>
        </w:rPr>
        <w:t xml:space="preserve">48/1 eingefügt durch </w:t>
      </w:r>
      <w:r w:rsidR="00D67EB8" w:rsidRPr="009118AB">
        <w:rPr>
          <w:i/>
        </w:rPr>
        <w:t>Art. </w:t>
      </w:r>
      <w:r w:rsidRPr="009118AB">
        <w:rPr>
          <w:i/>
        </w:rPr>
        <w:t>83</w:t>
      </w:r>
      <w:r w:rsidRPr="009118AB">
        <w:rPr>
          <w:i/>
          <w:iCs/>
        </w:rPr>
        <w:t xml:space="preserve"> des G. vom 31. Januar 2009 (B.S. vom 9. Februar 2009)</w:t>
      </w:r>
      <w:r w:rsidR="00D67EB8" w:rsidRPr="009118AB">
        <w:rPr>
          <w:i/>
          <w:iCs/>
        </w:rPr>
        <w:t> - </w:t>
      </w:r>
      <w:r w:rsidR="002303F6" w:rsidRPr="009118AB">
        <w:rPr>
          <w:i/>
          <w:iCs/>
        </w:rPr>
        <w:t>in Kraft am 1. April 2009</w:t>
      </w:r>
      <w:r w:rsidR="00FD68E8" w:rsidRPr="009118AB">
        <w:rPr>
          <w:i/>
          <w:iCs/>
        </w:rPr>
        <w:t> -]</w:t>
      </w:r>
    </w:p>
    <w:p w14:paraId="31D6E7E4" w14:textId="77777777" w:rsidR="000A1B1F" w:rsidRPr="009118AB" w:rsidRDefault="000A1B1F" w:rsidP="000A1B1F">
      <w:pPr>
        <w:autoSpaceDE w:val="0"/>
        <w:autoSpaceDN w:val="0"/>
        <w:adjustRightInd w:val="0"/>
        <w:jc w:val="both"/>
      </w:pPr>
    </w:p>
    <w:p w14:paraId="1C8ADD63" w14:textId="77777777" w:rsidR="000A1B1F" w:rsidRPr="009118AB" w:rsidRDefault="000A1B1F" w:rsidP="000A1B1F">
      <w:pPr>
        <w:autoSpaceDE w:val="0"/>
        <w:autoSpaceDN w:val="0"/>
        <w:adjustRightInd w:val="0"/>
        <w:jc w:val="both"/>
      </w:pPr>
    </w:p>
    <w:p w14:paraId="71834AA3" w14:textId="045AEF6C" w:rsidR="00F138B5" w:rsidRPr="009541B3" w:rsidRDefault="000A1B1F" w:rsidP="00F138B5">
      <w:pPr>
        <w:ind w:firstLine="708"/>
        <w:jc w:val="both"/>
      </w:pPr>
      <w:r w:rsidRPr="009118AB">
        <w:tab/>
      </w:r>
      <w:r w:rsidR="00D67EB8" w:rsidRPr="009118AB">
        <w:rPr>
          <w:b/>
        </w:rPr>
        <w:t>Art. </w:t>
      </w:r>
      <w:r w:rsidRPr="009118AB">
        <w:rPr>
          <w:b/>
        </w:rPr>
        <w:t>48/1</w:t>
      </w:r>
      <w:r w:rsidR="00D67EB8" w:rsidRPr="009118AB">
        <w:t> - </w:t>
      </w:r>
      <w:r w:rsidR="00F138B5">
        <w:t>[</w:t>
      </w:r>
      <w:r w:rsidR="00F138B5" w:rsidRPr="009541B3">
        <w:t>Gewinne, die aus Minderwerten hervorgehen, die der Schuldner auf Passiva gebucht hat infolge der Feststellung einer gütlichen Einigung in Ausführung der Artikel XX.38 oder XX.65, mit Ausnahme von § 3 Absatz 2, oder XX.83/30, mit Ausnahme von § 3 Absatz 2, des Wirtschaftsgesetzbuches oder infolge der Homologierung eines Reorganisationsplans in Ausführung der Artikel XX.79 oder XX.83/15 oder XX.83/35 desselben Gesetzbuches, sind gemäß den vom König festgelegten Anwendungsmodalitäten steuerfrei, und zwar in den Besteuerungszeiträumen bis zur vollständigen Ausführung der gütlichen Einigung oder des Plans oder bis zur Rücknahme davon.</w:t>
      </w:r>
      <w:r w:rsidR="007871F9">
        <w:t>]</w:t>
      </w:r>
    </w:p>
    <w:p w14:paraId="54D3350B" w14:textId="77777777" w:rsidR="00F138B5" w:rsidRPr="009541B3" w:rsidRDefault="00F138B5" w:rsidP="00F138B5">
      <w:pPr>
        <w:jc w:val="both"/>
      </w:pPr>
    </w:p>
    <w:p w14:paraId="45A6BB24" w14:textId="1F553E69" w:rsidR="00F138B5" w:rsidRPr="009541B3" w:rsidRDefault="007871F9" w:rsidP="00F138B5">
      <w:pPr>
        <w:ind w:firstLine="708"/>
        <w:jc w:val="both"/>
      </w:pPr>
      <w:r>
        <w:t>[</w:t>
      </w:r>
      <w:r w:rsidR="00F138B5" w:rsidRPr="009541B3">
        <w:t>Der in Anwendung von Absatz 1 steuerfreie Betrag wird aufgenommen in die Besteuerungsgrundlage des dritten bis sechsten Besteuerungszeitraums nach dem Besteuerungszeitraum, in dem die vollständige Ausführung der gütlichen Einigung oder des Plans oder die Rücknahme davon erfolgt ist, und zwar in Höhe eines Viertels für jeden dieser Zeiträume, und spätestens des Besteuerungszeitraums, in dem die Beendigung der Tätigkeit erfolgt, für den möglichen Restbetrag.</w:t>
      </w:r>
      <w:r>
        <w:t>]</w:t>
      </w:r>
    </w:p>
    <w:p w14:paraId="28662D3F" w14:textId="77777777" w:rsidR="00F138B5" w:rsidRPr="009541B3" w:rsidRDefault="00F138B5" w:rsidP="00F138B5">
      <w:pPr>
        <w:jc w:val="both"/>
      </w:pPr>
    </w:p>
    <w:p w14:paraId="165BE45A" w14:textId="2447F878" w:rsidR="000A1B1F" w:rsidRPr="009118AB" w:rsidRDefault="007871F9" w:rsidP="00854058">
      <w:pPr>
        <w:autoSpaceDE w:val="0"/>
        <w:autoSpaceDN w:val="0"/>
        <w:adjustRightInd w:val="0"/>
        <w:ind w:firstLine="708"/>
        <w:jc w:val="both"/>
      </w:pPr>
      <w:r>
        <w:t>[</w:t>
      </w:r>
      <w:r w:rsidR="00F138B5" w:rsidRPr="009541B3">
        <w:t>Gegebenenfalls hat die vollständige Aufhebung oder Teilaufhebung eines Schuldenerlasses zur Folge, dass der Restbetrag wie gemäß Absatz 2 bestimmt in die Besteuerungsgrundlage des Zeitraums aufgenommen wird, in dem die Aufhebung erfolgt ist.</w:t>
      </w:r>
      <w:r w:rsidR="000A1B1F" w:rsidRPr="009118AB">
        <w:t>]</w:t>
      </w:r>
      <w:r w:rsidR="00F138B5">
        <w:t>]</w:t>
      </w:r>
    </w:p>
    <w:p w14:paraId="03627153" w14:textId="72A24202" w:rsidR="000A0CD5" w:rsidRPr="009118AB" w:rsidRDefault="000A0CD5" w:rsidP="000A1B1F">
      <w:pPr>
        <w:autoSpaceDE w:val="0"/>
        <w:autoSpaceDN w:val="0"/>
        <w:adjustRightInd w:val="0"/>
        <w:jc w:val="both"/>
      </w:pPr>
    </w:p>
    <w:p w14:paraId="55CB4428" w14:textId="7ABA8CE7" w:rsidR="000A0CD5" w:rsidRPr="009118AB" w:rsidRDefault="000A0CD5" w:rsidP="007871F9">
      <w:pPr>
        <w:jc w:val="both"/>
        <w:rPr>
          <w:i/>
        </w:rPr>
      </w:pPr>
      <w:bookmarkStart w:id="2" w:name="_Hlk194901061"/>
      <w:r w:rsidRPr="009118AB">
        <w:rPr>
          <w:i/>
        </w:rPr>
        <w:t>[</w:t>
      </w:r>
      <w:r w:rsidR="00D67EB8" w:rsidRPr="009118AB">
        <w:rPr>
          <w:i/>
        </w:rPr>
        <w:t>Art. </w:t>
      </w:r>
      <w:r w:rsidRPr="009118AB">
        <w:rPr>
          <w:i/>
        </w:rPr>
        <w:t>48/1</w:t>
      </w:r>
      <w:r w:rsidR="00F138B5">
        <w:rPr>
          <w:i/>
        </w:rPr>
        <w:t xml:space="preserve"> </w:t>
      </w:r>
      <w:r w:rsidR="008C38DA">
        <w:rPr>
          <w:i/>
        </w:rPr>
        <w:t xml:space="preserve">Abs. 1 </w:t>
      </w:r>
      <w:r w:rsidR="00F138B5">
        <w:rPr>
          <w:i/>
        </w:rPr>
        <w:t xml:space="preserve">ersetzt </w:t>
      </w:r>
      <w:r w:rsidR="00F138B5">
        <w:rPr>
          <w:i/>
          <w:iCs/>
        </w:rPr>
        <w:t xml:space="preserve">durch </w:t>
      </w:r>
      <w:r w:rsidR="00F138B5" w:rsidRPr="006B35E9">
        <w:rPr>
          <w:i/>
          <w:iCs/>
        </w:rPr>
        <w:t>Art.</w:t>
      </w:r>
      <w:r w:rsidR="00F138B5">
        <w:rPr>
          <w:i/>
          <w:iCs/>
        </w:rPr>
        <w:t> </w:t>
      </w:r>
      <w:r w:rsidR="00F138B5" w:rsidRPr="006B35E9">
        <w:rPr>
          <w:i/>
          <w:iCs/>
        </w:rPr>
        <w:t>4</w:t>
      </w:r>
      <w:r w:rsidR="0056265B">
        <w:rPr>
          <w:i/>
          <w:iCs/>
        </w:rPr>
        <w:t>9</w:t>
      </w:r>
      <w:r w:rsidR="00F138B5" w:rsidRPr="006B35E9">
        <w:rPr>
          <w:i/>
          <w:iCs/>
        </w:rPr>
        <w:t xml:space="preserve"> des G. vom 28.</w:t>
      </w:r>
      <w:r w:rsidR="00F138B5">
        <w:rPr>
          <w:i/>
          <w:iCs/>
        </w:rPr>
        <w:t> </w:t>
      </w:r>
      <w:r w:rsidR="00F138B5" w:rsidRPr="006B35E9">
        <w:rPr>
          <w:i/>
          <w:iCs/>
        </w:rPr>
        <w:t>Dezember</w:t>
      </w:r>
      <w:r w:rsidR="00F138B5">
        <w:rPr>
          <w:i/>
          <w:iCs/>
        </w:rPr>
        <w:t> </w:t>
      </w:r>
      <w:r w:rsidR="00F138B5" w:rsidRPr="006B35E9">
        <w:rPr>
          <w:i/>
          <w:iCs/>
        </w:rPr>
        <w:t>2023 (B.S. vom 29.</w:t>
      </w:r>
      <w:r w:rsidR="00F138B5">
        <w:rPr>
          <w:i/>
          <w:iCs/>
        </w:rPr>
        <w:t> </w:t>
      </w:r>
      <w:r w:rsidR="00F138B5" w:rsidRPr="006B35E9">
        <w:rPr>
          <w:i/>
          <w:iCs/>
        </w:rPr>
        <w:t>Dezember</w:t>
      </w:r>
      <w:r w:rsidR="00F138B5">
        <w:rPr>
          <w:i/>
          <w:iCs/>
        </w:rPr>
        <w:t> </w:t>
      </w:r>
      <w:r w:rsidR="00F138B5" w:rsidRPr="006B35E9">
        <w:rPr>
          <w:i/>
          <w:iCs/>
        </w:rPr>
        <w:t>2023) - </w:t>
      </w:r>
      <w:bookmarkStart w:id="3" w:name="_Hlk192774848"/>
      <w:bookmarkStart w:id="4" w:name="_Hlk192774446"/>
      <w:r w:rsidR="0056265B" w:rsidRPr="003B7D63">
        <w:rPr>
          <w:i/>
          <w:iCs/>
        </w:rPr>
        <w:t xml:space="preserve">wirksam mit 1. September 2023 und </w:t>
      </w:r>
      <w:r w:rsidR="00E9535F" w:rsidRPr="003B7D63">
        <w:rPr>
          <w:i/>
          <w:iCs/>
        </w:rPr>
        <w:t xml:space="preserve">anwendbar </w:t>
      </w:r>
      <w:r w:rsidR="0056265B" w:rsidRPr="003B7D63">
        <w:rPr>
          <w:i/>
          <w:iCs/>
        </w:rPr>
        <w:t>ab diesem Datum</w:t>
      </w:r>
      <w:bookmarkEnd w:id="3"/>
      <w:bookmarkEnd w:id="4"/>
      <w:r w:rsidR="008C38DA">
        <w:rPr>
          <w:i/>
          <w:iCs/>
        </w:rPr>
        <w:t xml:space="preserve"> -; Abs. 2 eingefügt durch </w:t>
      </w:r>
      <w:r w:rsidR="008C38DA" w:rsidRPr="006B35E9">
        <w:rPr>
          <w:i/>
          <w:iCs/>
        </w:rPr>
        <w:t>Art.</w:t>
      </w:r>
      <w:r w:rsidR="008C38DA">
        <w:rPr>
          <w:i/>
          <w:iCs/>
        </w:rPr>
        <w:t> </w:t>
      </w:r>
      <w:r w:rsidR="008C38DA" w:rsidRPr="006B35E9">
        <w:rPr>
          <w:i/>
          <w:iCs/>
        </w:rPr>
        <w:t>4</w:t>
      </w:r>
      <w:r w:rsidR="008C38DA">
        <w:rPr>
          <w:i/>
          <w:iCs/>
        </w:rPr>
        <w:t>9</w:t>
      </w:r>
      <w:r w:rsidR="008C38DA" w:rsidRPr="006B35E9">
        <w:rPr>
          <w:i/>
          <w:iCs/>
        </w:rPr>
        <w:t xml:space="preserve"> des G. vom 28.</w:t>
      </w:r>
      <w:r w:rsidR="008C38DA">
        <w:rPr>
          <w:i/>
          <w:iCs/>
        </w:rPr>
        <w:t> </w:t>
      </w:r>
      <w:r w:rsidR="008C38DA" w:rsidRPr="006B35E9">
        <w:rPr>
          <w:i/>
          <w:iCs/>
        </w:rPr>
        <w:t>Dezember</w:t>
      </w:r>
      <w:r w:rsidR="008C38DA">
        <w:rPr>
          <w:i/>
          <w:iCs/>
        </w:rPr>
        <w:t> </w:t>
      </w:r>
      <w:r w:rsidR="008C38DA" w:rsidRPr="006B35E9">
        <w:rPr>
          <w:i/>
          <w:iCs/>
        </w:rPr>
        <w:t>2023 (B.S. vom 29.</w:t>
      </w:r>
      <w:r w:rsidR="008C38DA">
        <w:rPr>
          <w:i/>
          <w:iCs/>
        </w:rPr>
        <w:t> </w:t>
      </w:r>
      <w:r w:rsidR="008C38DA" w:rsidRPr="006B35E9">
        <w:rPr>
          <w:i/>
          <w:iCs/>
        </w:rPr>
        <w:t>Dezember</w:t>
      </w:r>
      <w:r w:rsidR="008C38DA">
        <w:rPr>
          <w:i/>
          <w:iCs/>
        </w:rPr>
        <w:t> </w:t>
      </w:r>
      <w:r w:rsidR="008C38DA" w:rsidRPr="006B35E9">
        <w:rPr>
          <w:i/>
          <w:iCs/>
        </w:rPr>
        <w:t>2023) - </w:t>
      </w:r>
      <w:bookmarkStart w:id="5" w:name="_Hlk192774927"/>
      <w:r w:rsidR="00E9535F" w:rsidRPr="003B7D63">
        <w:rPr>
          <w:i/>
          <w:iCs/>
        </w:rPr>
        <w:t xml:space="preserve">anwendbar </w:t>
      </w:r>
      <w:r w:rsidR="0056265B" w:rsidRPr="003B7D63">
        <w:rPr>
          <w:i/>
          <w:iCs/>
        </w:rPr>
        <w:t xml:space="preserve">auf gütliche Einigungen und Reorganisationspläne, die ab dem </w:t>
      </w:r>
      <w:r w:rsidR="00E9535F">
        <w:rPr>
          <w:i/>
          <w:iCs/>
        </w:rPr>
        <w:t>8. Januar 2024</w:t>
      </w:r>
      <w:r w:rsidR="0056265B" w:rsidRPr="003B7D63">
        <w:rPr>
          <w:i/>
          <w:iCs/>
        </w:rPr>
        <w:t xml:space="preserve"> festgestellt beziehungsweise homologiert werden</w:t>
      </w:r>
      <w:bookmarkEnd w:id="5"/>
      <w:r w:rsidR="008C38DA">
        <w:rPr>
          <w:i/>
          <w:iCs/>
        </w:rPr>
        <w:t xml:space="preserve"> -; Abs. 3 eingefügt durch </w:t>
      </w:r>
      <w:r w:rsidR="008C38DA" w:rsidRPr="006B35E9">
        <w:rPr>
          <w:i/>
          <w:iCs/>
        </w:rPr>
        <w:t>Art.</w:t>
      </w:r>
      <w:r w:rsidR="008C38DA">
        <w:rPr>
          <w:i/>
          <w:iCs/>
        </w:rPr>
        <w:t> </w:t>
      </w:r>
      <w:r w:rsidR="008C38DA" w:rsidRPr="006B35E9">
        <w:rPr>
          <w:i/>
          <w:iCs/>
        </w:rPr>
        <w:t>4</w:t>
      </w:r>
      <w:r w:rsidR="008C38DA">
        <w:rPr>
          <w:i/>
          <w:iCs/>
        </w:rPr>
        <w:t>9</w:t>
      </w:r>
      <w:r w:rsidR="008C38DA" w:rsidRPr="006B35E9">
        <w:rPr>
          <w:i/>
          <w:iCs/>
        </w:rPr>
        <w:t xml:space="preserve"> des G. vom 28.</w:t>
      </w:r>
      <w:r w:rsidR="008C38DA">
        <w:rPr>
          <w:i/>
          <w:iCs/>
        </w:rPr>
        <w:t> </w:t>
      </w:r>
      <w:r w:rsidR="008C38DA" w:rsidRPr="006B35E9">
        <w:rPr>
          <w:i/>
          <w:iCs/>
        </w:rPr>
        <w:t>Dezember</w:t>
      </w:r>
      <w:r w:rsidR="008C38DA">
        <w:rPr>
          <w:i/>
          <w:iCs/>
        </w:rPr>
        <w:t> </w:t>
      </w:r>
      <w:r w:rsidR="008C38DA" w:rsidRPr="006B35E9">
        <w:rPr>
          <w:i/>
          <w:iCs/>
        </w:rPr>
        <w:t>2023 (B.S. vom 29.</w:t>
      </w:r>
      <w:r w:rsidR="008C38DA">
        <w:rPr>
          <w:i/>
          <w:iCs/>
        </w:rPr>
        <w:t> </w:t>
      </w:r>
      <w:r w:rsidR="008C38DA" w:rsidRPr="006B35E9">
        <w:rPr>
          <w:i/>
          <w:iCs/>
        </w:rPr>
        <w:t>Dezember</w:t>
      </w:r>
      <w:r w:rsidR="008C38DA">
        <w:rPr>
          <w:i/>
          <w:iCs/>
        </w:rPr>
        <w:t> </w:t>
      </w:r>
      <w:r w:rsidR="008C38DA" w:rsidRPr="006B35E9">
        <w:rPr>
          <w:i/>
          <w:iCs/>
        </w:rPr>
        <w:t>2023) - </w:t>
      </w:r>
      <w:r w:rsidR="00E9535F" w:rsidRPr="003B7D63">
        <w:rPr>
          <w:i/>
          <w:iCs/>
        </w:rPr>
        <w:t xml:space="preserve">anwendbar </w:t>
      </w:r>
      <w:r w:rsidR="0056265B" w:rsidRPr="003B7D63">
        <w:rPr>
          <w:i/>
          <w:iCs/>
        </w:rPr>
        <w:t xml:space="preserve">auf Schuldenerlasse, die ab dem </w:t>
      </w:r>
      <w:r w:rsidR="00E9535F">
        <w:rPr>
          <w:i/>
          <w:iCs/>
        </w:rPr>
        <w:t>8. Januar 2024</w:t>
      </w:r>
      <w:r w:rsidR="0056265B" w:rsidRPr="003B7D63">
        <w:rPr>
          <w:i/>
          <w:iCs/>
        </w:rPr>
        <w:t xml:space="preserve"> aufgehoben werden</w:t>
      </w:r>
      <w:r w:rsidR="0056265B">
        <w:t> </w:t>
      </w:r>
      <w:r w:rsidR="00F138B5" w:rsidRPr="006B35E9">
        <w:rPr>
          <w:i/>
          <w:iCs/>
        </w:rPr>
        <w:t>-</w:t>
      </w:r>
      <w:r w:rsidRPr="009118AB">
        <w:rPr>
          <w:i/>
          <w:iCs/>
        </w:rPr>
        <w:t>]</w:t>
      </w:r>
    </w:p>
    <w:bookmarkEnd w:id="2"/>
    <w:p w14:paraId="55C28044" w14:textId="451C180E" w:rsidR="00477B8F" w:rsidRPr="009118AB" w:rsidRDefault="00C31D59" w:rsidP="002303F6">
      <w:pPr>
        <w:autoSpaceDE w:val="0"/>
        <w:autoSpaceDN w:val="0"/>
        <w:adjustRightInd w:val="0"/>
        <w:jc w:val="center"/>
      </w:pPr>
      <w:r w:rsidRPr="009118AB">
        <w:br w:type="page"/>
      </w:r>
      <w:r w:rsidR="00477B8F" w:rsidRPr="009118AB">
        <w:lastRenderedPageBreak/>
        <w:t>Unterabschnitt </w:t>
      </w:r>
      <w:r w:rsidR="00AA609D" w:rsidRPr="009118AB">
        <w:t>3</w:t>
      </w:r>
      <w:r w:rsidR="00D67EB8" w:rsidRPr="009118AB">
        <w:t> - </w:t>
      </w:r>
      <w:r w:rsidR="00477B8F" w:rsidRPr="009118AB">
        <w:t>Festlegung des Nettoeinkommens</w:t>
      </w:r>
    </w:p>
    <w:p w14:paraId="21BFA525" w14:textId="77777777" w:rsidR="00477B8F" w:rsidRPr="009118AB" w:rsidRDefault="00477B8F" w:rsidP="00477B8F">
      <w:pPr>
        <w:autoSpaceDE w:val="0"/>
        <w:autoSpaceDN w:val="0"/>
        <w:adjustRightInd w:val="0"/>
        <w:jc w:val="center"/>
      </w:pPr>
    </w:p>
    <w:p w14:paraId="502F3A42" w14:textId="77777777" w:rsidR="00477B8F" w:rsidRPr="009118AB" w:rsidRDefault="00477B8F" w:rsidP="00477B8F">
      <w:pPr>
        <w:autoSpaceDE w:val="0"/>
        <w:autoSpaceDN w:val="0"/>
        <w:adjustRightInd w:val="0"/>
        <w:jc w:val="center"/>
      </w:pPr>
    </w:p>
    <w:p w14:paraId="3EDACA32"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Werbungskosten</w:t>
      </w:r>
    </w:p>
    <w:p w14:paraId="6A8BC04B" w14:textId="77777777" w:rsidR="00477B8F" w:rsidRPr="009118AB" w:rsidRDefault="00477B8F" w:rsidP="00477B8F">
      <w:pPr>
        <w:autoSpaceDE w:val="0"/>
        <w:autoSpaceDN w:val="0"/>
        <w:adjustRightInd w:val="0"/>
        <w:jc w:val="both"/>
      </w:pPr>
    </w:p>
    <w:p w14:paraId="0E5CFF2D" w14:textId="77777777" w:rsidR="00477B8F" w:rsidRPr="009118AB" w:rsidRDefault="00477B8F" w:rsidP="00477B8F">
      <w:pPr>
        <w:autoSpaceDE w:val="0"/>
        <w:autoSpaceDN w:val="0"/>
        <w:adjustRightInd w:val="0"/>
        <w:jc w:val="both"/>
      </w:pPr>
    </w:p>
    <w:p w14:paraId="20B6137A" w14:textId="0ED888B7"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49</w:t>
      </w:r>
      <w:r w:rsidR="00D67EB8" w:rsidRPr="009118AB">
        <w:t> - </w:t>
      </w:r>
      <w:r w:rsidRPr="009118AB">
        <w:t>Als Werbungskosten sind Kosten abzugsfähig, die der Steuerpflichtige während des Besteuerungszeitraums gemacht oder getragen hat, um steuerpflichtige Einkünfte zu erwerben oder zu behalten, und deren Echtheit und Betrag er durch Belege nachweist oder, wenn das nicht möglich ist, durch alle anderen vom allgemeinen Recht zugelassenen Beweismittel außer dem Eid.</w:t>
      </w:r>
    </w:p>
    <w:p w14:paraId="0415F6A8" w14:textId="77777777" w:rsidR="00477B8F" w:rsidRPr="009118AB" w:rsidRDefault="00477B8F" w:rsidP="00477B8F">
      <w:pPr>
        <w:autoSpaceDE w:val="0"/>
        <w:autoSpaceDN w:val="0"/>
        <w:adjustRightInd w:val="0"/>
        <w:jc w:val="both"/>
      </w:pPr>
    </w:p>
    <w:p w14:paraId="59A43B82" w14:textId="7CBCCE77" w:rsidR="00477B8F" w:rsidRPr="009118AB" w:rsidRDefault="00477B8F" w:rsidP="00477B8F">
      <w:pPr>
        <w:autoSpaceDE w:val="0"/>
        <w:autoSpaceDN w:val="0"/>
        <w:adjustRightInd w:val="0"/>
        <w:jc w:val="both"/>
      </w:pPr>
      <w:r w:rsidRPr="009118AB">
        <w:tab/>
        <w:t xml:space="preserve">Als während des Besteuerungszeitraums gemacht oder getragen gelten Kosten, die während dieses Zeitraums tatsächlich gezahlt oder getragen werden oder die die Beschaffenheit </w:t>
      </w:r>
      <w:r w:rsidR="008E4354" w:rsidRPr="009118AB">
        <w:t>sicherer</w:t>
      </w:r>
      <w:r w:rsidRPr="009118AB">
        <w:t xml:space="preserve"> und feststehender Schulden oder Verluste erhalten haben und als solche gebucht werden.</w:t>
      </w:r>
    </w:p>
    <w:p w14:paraId="0C8BD813" w14:textId="77777777" w:rsidR="00477B8F" w:rsidRPr="009118AB" w:rsidRDefault="00477B8F" w:rsidP="00477B8F">
      <w:pPr>
        <w:autoSpaceDE w:val="0"/>
        <w:autoSpaceDN w:val="0"/>
        <w:adjustRightInd w:val="0"/>
        <w:jc w:val="both"/>
      </w:pPr>
    </w:p>
    <w:p w14:paraId="6BED0F51" w14:textId="77777777" w:rsidR="00477B8F" w:rsidRPr="009118AB" w:rsidRDefault="00477B8F" w:rsidP="00477B8F">
      <w:pPr>
        <w:autoSpaceDE w:val="0"/>
        <w:autoSpaceDN w:val="0"/>
        <w:adjustRightInd w:val="0"/>
        <w:jc w:val="both"/>
      </w:pPr>
    </w:p>
    <w:p w14:paraId="00717C08" w14:textId="2D9901A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50</w:t>
      </w:r>
      <w:r w:rsidR="00D67EB8" w:rsidRPr="009118AB">
        <w:t> - § </w:t>
      </w:r>
      <w:r w:rsidRPr="009118AB">
        <w:t>1</w:t>
      </w:r>
      <w:r w:rsidR="00D67EB8" w:rsidRPr="009118AB">
        <w:t> - </w:t>
      </w:r>
      <w:r w:rsidRPr="009118AB">
        <w:t>Kosten, deren Betrag nicht nachgewiesen wird, dürfen im Einvernehmen mit der Verwaltung pauschal festgelegt werden. Wird kein Einvernehmen erzielt, taxiert die Verwaltung diese Kosten auf einen vertretbaren Betrag.</w:t>
      </w:r>
    </w:p>
    <w:p w14:paraId="1CAFFE13" w14:textId="77777777" w:rsidR="00477B8F" w:rsidRPr="009118AB" w:rsidRDefault="00477B8F" w:rsidP="00477B8F">
      <w:pPr>
        <w:autoSpaceDE w:val="0"/>
        <w:autoSpaceDN w:val="0"/>
        <w:adjustRightInd w:val="0"/>
        <w:jc w:val="both"/>
      </w:pPr>
    </w:p>
    <w:p w14:paraId="26B2D71A" w14:textId="3486D8EC"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Der König kann in Bezug auf Kategorien von Steuerpflichtigen, die Er bestimmt, durch einen im Ministerrat beratenen Erlass unter Berücksichtigung des Umsatzes, der Einnahmen oder der Entlohnungen Kriterien und Normen bestimmen, um den höchsten abzugsfähigen Betrag der Werbungskosten festzulegen, die im Allgemeinen nicht durch Belege nachgewiesen werden können, nämlich Repräsentationskosten, Ausgaben für Pflegemittel, geringe Bürokosten, Beiträge sozialer Art, Berufskleidungs-, Wäsche- und Reinigungskosten und Ausgaben für Zeitschriften ohne Rechnung.</w:t>
      </w:r>
    </w:p>
    <w:p w14:paraId="35F2C844" w14:textId="77777777" w:rsidR="00477B8F" w:rsidRPr="009118AB" w:rsidRDefault="00477B8F" w:rsidP="00477B8F">
      <w:pPr>
        <w:autoSpaceDE w:val="0"/>
        <w:autoSpaceDN w:val="0"/>
        <w:adjustRightInd w:val="0"/>
        <w:jc w:val="both"/>
      </w:pPr>
    </w:p>
    <w:p w14:paraId="3DF9A34B" w14:textId="77777777" w:rsidR="00477B8F" w:rsidRPr="009118AB" w:rsidRDefault="00477B8F" w:rsidP="00477B8F">
      <w:pPr>
        <w:autoSpaceDE w:val="0"/>
        <w:autoSpaceDN w:val="0"/>
        <w:adjustRightInd w:val="0"/>
        <w:jc w:val="both"/>
      </w:pPr>
    </w:p>
    <w:p w14:paraId="2CFA5A73" w14:textId="74789067" w:rsidR="00585974" w:rsidRPr="009118AB" w:rsidRDefault="00B47934" w:rsidP="00002E08">
      <w:pPr>
        <w:autoSpaceDE w:val="0"/>
        <w:autoSpaceDN w:val="0"/>
        <w:adjustRightInd w:val="0"/>
        <w:jc w:val="both"/>
      </w:pPr>
      <w:r w:rsidRPr="009118AB">
        <w:tab/>
      </w:r>
      <w:r w:rsidR="00D67EB8" w:rsidRPr="009118AB">
        <w:rPr>
          <w:b/>
          <w:bCs/>
        </w:rPr>
        <w:t>Art. </w:t>
      </w:r>
      <w:r w:rsidR="00002E08" w:rsidRPr="009118AB">
        <w:rPr>
          <w:b/>
          <w:bCs/>
        </w:rPr>
        <w:t>51</w:t>
      </w:r>
      <w:r w:rsidR="00D67EB8" w:rsidRPr="009118AB">
        <w:rPr>
          <w:b/>
          <w:bCs/>
        </w:rPr>
        <w:t> - </w:t>
      </w:r>
      <w:r w:rsidR="00FA3004" w:rsidRPr="009118AB">
        <w:t>[</w:t>
      </w:r>
      <w:r w:rsidR="008132B3" w:rsidRPr="009118AB">
        <w:rPr>
          <w:rFonts w:eastAsia="Calibri"/>
        </w:rPr>
        <w:t>[</w:t>
      </w:r>
      <w:r w:rsidR="008132B3" w:rsidRPr="009118AB">
        <w:t xml:space="preserve">In Bezug auf Entlohnungen, Gewinne und Profite, die </w:t>
      </w:r>
      <w:r w:rsidR="001057B6" w:rsidRPr="009118AB">
        <w:t>[keine in den Artikeln 25 Nr. 7 und 27 Absatz 2 Nr. 7 erwähnten Einkünfte und keine Entschädigungen sind,]</w:t>
      </w:r>
      <w:r w:rsidR="008132B3" w:rsidRPr="009118AB">
        <w:t xml:space="preserve"> die als vollständige Entschädigung oder Teilentschädigung für einen zeitweiligen Lohn-, Gewinn- oder Profitausfall bezogen werden, werden Werbungskosten ausschließlich der in Artikel 52 </w:t>
      </w:r>
      <w:r w:rsidR="00D67EB8" w:rsidRPr="009118AB">
        <w:t>Nr. </w:t>
      </w:r>
      <w:r w:rsidR="008132B3" w:rsidRPr="009118AB">
        <w:t>7 und 8 erwähnten Beiträge und Summen und</w:t>
      </w:r>
      <w:r w:rsidR="00D67EB8" w:rsidRPr="009118AB">
        <w:t> - </w:t>
      </w:r>
      <w:r w:rsidR="008132B3" w:rsidRPr="009118AB">
        <w:t>hinsichtlich der Gewinne</w:t>
      </w:r>
      <w:r w:rsidR="00D67EB8" w:rsidRPr="009118AB">
        <w:t> - </w:t>
      </w:r>
      <w:r w:rsidR="008132B3" w:rsidRPr="009118AB">
        <w:t xml:space="preserve">ausschließlich des Kaufpreises] </w:t>
      </w:r>
      <w:r w:rsidR="00FA3004" w:rsidRPr="009118AB">
        <w:rPr>
          <w:rFonts w:eastAsia="Calibri"/>
        </w:rPr>
        <w:t>der verkauften Waren und der Rohstoffe in Ermangelung von Beweisen pauschal auf Prozentsätze des Bruttobetrags dieser Einkünfte, die zuvor um diese Beiträge und Summen und diesen Kaufpreis verringert wurden, festgelegt.</w:t>
      </w:r>
      <w:r w:rsidR="00FA3004" w:rsidRPr="009118AB">
        <w:t>]</w:t>
      </w:r>
    </w:p>
    <w:p w14:paraId="1B6CBE54" w14:textId="77777777" w:rsidR="00585974" w:rsidRPr="009118AB" w:rsidRDefault="00585974" w:rsidP="00002E08">
      <w:pPr>
        <w:autoSpaceDE w:val="0"/>
        <w:autoSpaceDN w:val="0"/>
        <w:adjustRightInd w:val="0"/>
        <w:jc w:val="both"/>
      </w:pPr>
    </w:p>
    <w:p w14:paraId="35CE5A1C" w14:textId="77777777" w:rsidR="00002E08" w:rsidRPr="009118AB" w:rsidRDefault="00585974" w:rsidP="00002E08">
      <w:pPr>
        <w:autoSpaceDE w:val="0"/>
        <w:autoSpaceDN w:val="0"/>
        <w:adjustRightInd w:val="0"/>
        <w:jc w:val="both"/>
      </w:pPr>
      <w:r w:rsidRPr="009118AB">
        <w:tab/>
      </w:r>
      <w:r w:rsidR="00002E08" w:rsidRPr="009118AB">
        <w:t>[Diese Prozentsätze betragen:</w:t>
      </w:r>
    </w:p>
    <w:p w14:paraId="4863A37C" w14:textId="77777777" w:rsidR="00002E08" w:rsidRPr="009118AB" w:rsidRDefault="00002E08" w:rsidP="00002E08">
      <w:pPr>
        <w:autoSpaceDE w:val="0"/>
        <w:autoSpaceDN w:val="0"/>
        <w:adjustRightInd w:val="0"/>
        <w:jc w:val="both"/>
      </w:pPr>
    </w:p>
    <w:p w14:paraId="3183B88B" w14:textId="77777777" w:rsidR="00002E08" w:rsidRPr="009118AB" w:rsidRDefault="00585974" w:rsidP="00002E08">
      <w:pPr>
        <w:autoSpaceDE w:val="0"/>
        <w:autoSpaceDN w:val="0"/>
        <w:adjustRightInd w:val="0"/>
        <w:jc w:val="both"/>
      </w:pPr>
      <w:r w:rsidRPr="009118AB">
        <w:tab/>
      </w:r>
      <w:r w:rsidR="00002E08" w:rsidRPr="009118AB">
        <w:t>1. [für Entlohnungen von Arbeitnehmern: 30 Prozent,]</w:t>
      </w:r>
    </w:p>
    <w:p w14:paraId="254B86F0" w14:textId="77777777" w:rsidR="00002E08" w:rsidRPr="009118AB" w:rsidRDefault="00002E08" w:rsidP="00002E08">
      <w:pPr>
        <w:autoSpaceDE w:val="0"/>
        <w:autoSpaceDN w:val="0"/>
        <w:adjustRightInd w:val="0"/>
        <w:jc w:val="both"/>
      </w:pPr>
    </w:p>
    <w:p w14:paraId="5D8461E1" w14:textId="77777777" w:rsidR="00002E08" w:rsidRPr="009118AB" w:rsidRDefault="00585974" w:rsidP="00002E08">
      <w:pPr>
        <w:autoSpaceDE w:val="0"/>
        <w:autoSpaceDN w:val="0"/>
        <w:adjustRightInd w:val="0"/>
        <w:jc w:val="both"/>
      </w:pPr>
      <w:r w:rsidRPr="009118AB">
        <w:tab/>
      </w:r>
      <w:r w:rsidR="00002E08" w:rsidRPr="009118AB">
        <w:t>2. [für Entlohnungen von Unternehmensleitern: [3 Prozent],]</w:t>
      </w:r>
    </w:p>
    <w:p w14:paraId="3AABD386" w14:textId="77777777" w:rsidR="00002E08" w:rsidRPr="009118AB" w:rsidRDefault="00002E08" w:rsidP="00002E08">
      <w:pPr>
        <w:autoSpaceDE w:val="0"/>
        <w:autoSpaceDN w:val="0"/>
        <w:adjustRightInd w:val="0"/>
        <w:jc w:val="both"/>
      </w:pPr>
    </w:p>
    <w:p w14:paraId="6CDE8CE6" w14:textId="77777777" w:rsidR="00002E08" w:rsidRPr="009118AB" w:rsidRDefault="00585974" w:rsidP="00002E08">
      <w:pPr>
        <w:autoSpaceDE w:val="0"/>
        <w:autoSpaceDN w:val="0"/>
        <w:adjustRightInd w:val="0"/>
        <w:jc w:val="both"/>
      </w:pPr>
      <w:r w:rsidRPr="009118AB">
        <w:tab/>
      </w:r>
      <w:r w:rsidR="00002E08" w:rsidRPr="009118AB">
        <w:t>3. [für Entlohnungen von mithelfenden Ehepartnern: 5 Prozent,]</w:t>
      </w:r>
    </w:p>
    <w:p w14:paraId="30D04FDD" w14:textId="77777777" w:rsidR="00002E08" w:rsidRPr="009118AB" w:rsidRDefault="00002E08" w:rsidP="00002E08">
      <w:pPr>
        <w:autoSpaceDE w:val="0"/>
        <w:autoSpaceDN w:val="0"/>
        <w:adjustRightInd w:val="0"/>
        <w:jc w:val="both"/>
      </w:pPr>
      <w:r w:rsidRPr="009118AB">
        <w:tab/>
      </w:r>
    </w:p>
    <w:p w14:paraId="0D453458" w14:textId="77777777" w:rsidR="008132B3" w:rsidRPr="009118AB" w:rsidRDefault="008132B3">
      <w:r w:rsidRPr="009118AB">
        <w:br w:type="page"/>
      </w:r>
    </w:p>
    <w:p w14:paraId="429491F3" w14:textId="13E6833B" w:rsidR="00002E08" w:rsidRPr="009118AB" w:rsidRDefault="00585974" w:rsidP="00002E08">
      <w:pPr>
        <w:autoSpaceDE w:val="0"/>
        <w:autoSpaceDN w:val="0"/>
        <w:adjustRightInd w:val="0"/>
        <w:jc w:val="both"/>
      </w:pPr>
      <w:r w:rsidRPr="009118AB">
        <w:lastRenderedPageBreak/>
        <w:tab/>
      </w:r>
      <w:r w:rsidR="00002E08" w:rsidRPr="009118AB">
        <w:t>4. [für Profite:</w:t>
      </w:r>
    </w:p>
    <w:p w14:paraId="58AFE7C0" w14:textId="77777777" w:rsidR="00002E08" w:rsidRPr="009118AB" w:rsidRDefault="00002E08" w:rsidP="00002E08">
      <w:pPr>
        <w:autoSpaceDE w:val="0"/>
        <w:autoSpaceDN w:val="0"/>
        <w:adjustRightInd w:val="0"/>
        <w:jc w:val="both"/>
      </w:pPr>
    </w:p>
    <w:p w14:paraId="6F5A8DBC" w14:textId="77777777" w:rsidR="00002E08" w:rsidRPr="009118AB" w:rsidRDefault="00585974" w:rsidP="00002E08">
      <w:pPr>
        <w:autoSpaceDE w:val="0"/>
        <w:autoSpaceDN w:val="0"/>
        <w:adjustRightInd w:val="0"/>
        <w:jc w:val="both"/>
      </w:pPr>
      <w:r w:rsidRPr="009118AB">
        <w:rPr>
          <w:i/>
        </w:rPr>
        <w:tab/>
      </w:r>
      <w:r w:rsidR="00002E08" w:rsidRPr="009118AB">
        <w:rPr>
          <w:i/>
        </w:rPr>
        <w:t>a)</w:t>
      </w:r>
      <w:r w:rsidR="00002E08" w:rsidRPr="009118AB">
        <w:t> 28,7 Prozent des ersten Teilbetrags von 3.750 EUR,</w:t>
      </w:r>
    </w:p>
    <w:p w14:paraId="7FFC4F18" w14:textId="77777777" w:rsidR="00002E08" w:rsidRPr="009118AB" w:rsidRDefault="00002E08" w:rsidP="00002E08">
      <w:pPr>
        <w:autoSpaceDE w:val="0"/>
        <w:autoSpaceDN w:val="0"/>
        <w:adjustRightInd w:val="0"/>
        <w:jc w:val="both"/>
      </w:pPr>
    </w:p>
    <w:p w14:paraId="0D7337D8" w14:textId="77777777" w:rsidR="00002E08" w:rsidRPr="009118AB" w:rsidRDefault="00585974" w:rsidP="00002E08">
      <w:pPr>
        <w:autoSpaceDE w:val="0"/>
        <w:autoSpaceDN w:val="0"/>
        <w:adjustRightInd w:val="0"/>
        <w:jc w:val="both"/>
      </w:pPr>
      <w:r w:rsidRPr="009118AB">
        <w:rPr>
          <w:i/>
        </w:rPr>
        <w:tab/>
      </w:r>
      <w:r w:rsidR="00002E08" w:rsidRPr="009118AB">
        <w:rPr>
          <w:i/>
        </w:rPr>
        <w:t>b)</w:t>
      </w:r>
      <w:r w:rsidR="00002E08" w:rsidRPr="009118AB">
        <w:t> 10 Prozent des Teilbetrags von 3.750 EUR bis 7.450 EUR,</w:t>
      </w:r>
    </w:p>
    <w:p w14:paraId="18321125" w14:textId="77777777" w:rsidR="00002E08" w:rsidRPr="009118AB" w:rsidRDefault="00002E08" w:rsidP="00002E08">
      <w:pPr>
        <w:autoSpaceDE w:val="0"/>
        <w:autoSpaceDN w:val="0"/>
        <w:adjustRightInd w:val="0"/>
        <w:jc w:val="both"/>
      </w:pPr>
    </w:p>
    <w:p w14:paraId="53C86A58" w14:textId="77777777" w:rsidR="00002E08" w:rsidRPr="009118AB" w:rsidRDefault="00585974" w:rsidP="00002E08">
      <w:pPr>
        <w:autoSpaceDE w:val="0"/>
        <w:autoSpaceDN w:val="0"/>
        <w:adjustRightInd w:val="0"/>
        <w:jc w:val="both"/>
      </w:pPr>
      <w:r w:rsidRPr="009118AB">
        <w:rPr>
          <w:i/>
        </w:rPr>
        <w:tab/>
      </w:r>
      <w:r w:rsidR="00002E08" w:rsidRPr="009118AB">
        <w:rPr>
          <w:i/>
        </w:rPr>
        <w:t>c)</w:t>
      </w:r>
      <w:r w:rsidR="00002E08" w:rsidRPr="009118AB">
        <w:t> 5 Prozent des Teilbetrags von 7.450 EUR bis 12.400 EUR,</w:t>
      </w:r>
    </w:p>
    <w:p w14:paraId="4AA48AC2" w14:textId="77777777" w:rsidR="00002E08" w:rsidRPr="009118AB" w:rsidRDefault="00002E08" w:rsidP="00002E08">
      <w:pPr>
        <w:autoSpaceDE w:val="0"/>
        <w:autoSpaceDN w:val="0"/>
        <w:adjustRightInd w:val="0"/>
        <w:jc w:val="both"/>
      </w:pPr>
    </w:p>
    <w:p w14:paraId="256C17AF" w14:textId="77777777" w:rsidR="00002E08" w:rsidRPr="009118AB" w:rsidRDefault="00585974" w:rsidP="00002E08">
      <w:pPr>
        <w:autoSpaceDE w:val="0"/>
        <w:autoSpaceDN w:val="0"/>
        <w:adjustRightInd w:val="0"/>
        <w:jc w:val="both"/>
      </w:pPr>
      <w:r w:rsidRPr="009118AB">
        <w:rPr>
          <w:i/>
        </w:rPr>
        <w:tab/>
      </w:r>
      <w:r w:rsidR="00002E08" w:rsidRPr="009118AB">
        <w:rPr>
          <w:i/>
        </w:rPr>
        <w:t>d)</w:t>
      </w:r>
      <w:r w:rsidR="00002E08" w:rsidRPr="009118AB">
        <w:t xml:space="preserve"> 3 Prozent </w:t>
      </w:r>
      <w:r w:rsidR="00FA3004" w:rsidRPr="009118AB">
        <w:t>des Teilbetrags über 12.400 EUR,</w:t>
      </w:r>
      <w:r w:rsidR="00002E08" w:rsidRPr="009118AB">
        <w:t>]]</w:t>
      </w:r>
    </w:p>
    <w:p w14:paraId="3ED55AEF" w14:textId="77777777" w:rsidR="00FA3004" w:rsidRPr="009118AB" w:rsidRDefault="00FA3004" w:rsidP="00002E08">
      <w:pPr>
        <w:autoSpaceDE w:val="0"/>
        <w:autoSpaceDN w:val="0"/>
        <w:adjustRightInd w:val="0"/>
        <w:jc w:val="both"/>
      </w:pPr>
    </w:p>
    <w:p w14:paraId="1A0E4BCF" w14:textId="77777777" w:rsidR="00FA3004" w:rsidRPr="009118AB" w:rsidRDefault="00FA3004" w:rsidP="00002E08">
      <w:pPr>
        <w:autoSpaceDE w:val="0"/>
        <w:autoSpaceDN w:val="0"/>
        <w:adjustRightInd w:val="0"/>
        <w:jc w:val="both"/>
      </w:pPr>
      <w:r w:rsidRPr="009118AB">
        <w:tab/>
        <w:t>[</w:t>
      </w:r>
      <w:r w:rsidRPr="009118AB">
        <w:rPr>
          <w:rFonts w:eastAsia="Calibri"/>
        </w:rPr>
        <w:t>5. für Gewinne: 30 Prozent.</w:t>
      </w:r>
      <w:r w:rsidRPr="009118AB">
        <w:t>]</w:t>
      </w:r>
    </w:p>
    <w:p w14:paraId="317EF487" w14:textId="77777777" w:rsidR="00002E08" w:rsidRPr="009118AB" w:rsidRDefault="00002E08" w:rsidP="00002E08">
      <w:pPr>
        <w:autoSpaceDE w:val="0"/>
        <w:autoSpaceDN w:val="0"/>
        <w:adjustRightInd w:val="0"/>
        <w:jc w:val="both"/>
      </w:pPr>
    </w:p>
    <w:p w14:paraId="6E77BEF3" w14:textId="0F3AA927" w:rsidR="00002E08" w:rsidRPr="009118AB" w:rsidRDefault="00585974" w:rsidP="00002E08">
      <w:pPr>
        <w:autoSpaceDE w:val="0"/>
        <w:autoSpaceDN w:val="0"/>
        <w:adjustRightInd w:val="0"/>
        <w:jc w:val="both"/>
      </w:pPr>
      <w:r w:rsidRPr="009118AB">
        <w:tab/>
      </w:r>
      <w:r w:rsidR="00002E08" w:rsidRPr="009118AB">
        <w:t xml:space="preserve">[Der Pauschalbetrag darf keinesfalls [2.950 EUR] </w:t>
      </w:r>
      <w:r w:rsidR="00FA3004" w:rsidRPr="009118AB">
        <w:t>[</w:t>
      </w:r>
      <w:r w:rsidR="00FA3004" w:rsidRPr="009118AB">
        <w:rPr>
          <w:rFonts w:eastAsia="Calibri"/>
        </w:rPr>
        <w:t xml:space="preserve">für die Gesamtheit der Einkünfte einer selben in Absatz 2 </w:t>
      </w:r>
      <w:r w:rsidR="00D67EB8" w:rsidRPr="009118AB">
        <w:rPr>
          <w:rFonts w:eastAsia="Calibri"/>
        </w:rPr>
        <w:t>Nr. </w:t>
      </w:r>
      <w:r w:rsidR="00FA3004" w:rsidRPr="009118AB">
        <w:rPr>
          <w:rFonts w:eastAsia="Calibri"/>
        </w:rPr>
        <w:t>1 und 5 erwähnten Kategorie</w:t>
      </w:r>
      <w:r w:rsidR="00FA3004" w:rsidRPr="009118AB">
        <w:t>]</w:t>
      </w:r>
      <w:r w:rsidR="00002E08" w:rsidRPr="009118AB">
        <w:t xml:space="preserve">, 1.555,50 EUR für die Gesamtheit der in Absatz 2 </w:t>
      </w:r>
      <w:r w:rsidR="00D67EB8" w:rsidRPr="009118AB">
        <w:t>Nr. </w:t>
      </w:r>
      <w:r w:rsidR="00002E08" w:rsidRPr="009118AB">
        <w:t xml:space="preserve">2 erwähnten Einkünfte oder 2.592,50 EUR für die Gesamtheit der Einkünfte einer selben in Absatz 2 </w:t>
      </w:r>
      <w:r w:rsidR="00D67EB8" w:rsidRPr="009118AB">
        <w:t>Nr. </w:t>
      </w:r>
      <w:r w:rsidR="00002E08" w:rsidRPr="009118AB">
        <w:t>3 und 4 erwähnten Kategorie übersteigen.]</w:t>
      </w:r>
    </w:p>
    <w:p w14:paraId="02E55D4D" w14:textId="77777777" w:rsidR="00002E08" w:rsidRPr="009118AB" w:rsidRDefault="00002E08" w:rsidP="00002E08">
      <w:pPr>
        <w:autoSpaceDE w:val="0"/>
        <w:autoSpaceDN w:val="0"/>
        <w:adjustRightInd w:val="0"/>
        <w:jc w:val="both"/>
      </w:pPr>
    </w:p>
    <w:p w14:paraId="3439118A" w14:textId="77777777" w:rsidR="00002E08" w:rsidRPr="009118AB" w:rsidRDefault="00585974" w:rsidP="00002E08">
      <w:pPr>
        <w:autoSpaceDE w:val="0"/>
        <w:autoSpaceDN w:val="0"/>
        <w:adjustRightInd w:val="0"/>
        <w:jc w:val="both"/>
      </w:pPr>
      <w:r w:rsidRPr="009118AB">
        <w:tab/>
      </w:r>
      <w:r w:rsidR="00002E08" w:rsidRPr="009118AB">
        <w:t>In Bezug auf Entlohnungen von Arbeitnehmern wird der Pauschalbetrag zur Berücksichtigung außergewöhnlicher Kosten, die aufgrund der Entfernung zwischen Wohnsitz und Arbeitsplatz entstehen, um einen Betrag erhöht, der gemäß einer vom König festgelegten Skala bestimmt wird.</w:t>
      </w:r>
    </w:p>
    <w:p w14:paraId="0C62A851" w14:textId="77777777" w:rsidR="00FA3004" w:rsidRPr="009118AB" w:rsidRDefault="00FA3004" w:rsidP="00002E08">
      <w:pPr>
        <w:autoSpaceDE w:val="0"/>
        <w:autoSpaceDN w:val="0"/>
        <w:adjustRightInd w:val="0"/>
        <w:jc w:val="both"/>
      </w:pPr>
    </w:p>
    <w:p w14:paraId="3FDFD2FD" w14:textId="4ED581BC" w:rsidR="00FA3004" w:rsidRPr="009118AB" w:rsidRDefault="00FA3004" w:rsidP="00002E08">
      <w:pPr>
        <w:autoSpaceDE w:val="0"/>
        <w:autoSpaceDN w:val="0"/>
        <w:adjustRightInd w:val="0"/>
        <w:jc w:val="both"/>
      </w:pPr>
      <w:r w:rsidRPr="009118AB">
        <w:tab/>
        <w:t>[</w:t>
      </w:r>
      <w:r w:rsidRPr="009118AB">
        <w:rPr>
          <w:rFonts w:eastAsia="Calibri"/>
        </w:rPr>
        <w:t xml:space="preserve">In Anwendung von Artikel 342 </w:t>
      </w:r>
      <w:r w:rsidR="00D67EB8" w:rsidRPr="009118AB">
        <w:rPr>
          <w:rFonts w:eastAsia="Calibri"/>
        </w:rPr>
        <w:t>§ </w:t>
      </w:r>
      <w:r w:rsidRPr="009118AB">
        <w:rPr>
          <w:rFonts w:eastAsia="Calibri"/>
        </w:rPr>
        <w:t>1 auf der Grundlage pauschaler Veranlagungsgrund</w:t>
      </w:r>
      <w:r w:rsidRPr="009118AB">
        <w:rPr>
          <w:rFonts w:eastAsia="Calibri"/>
        </w:rPr>
        <w:softHyphen/>
        <w:t xml:space="preserve">lagen besteuerte Steuerpflichtige und ihre mithelfenden Ehepartner für den von ihnen bezogenen Teil des pauschal festgelegten Einkommens können keinen Gebrauch von den in Absatz 2 </w:t>
      </w:r>
      <w:r w:rsidR="00D67EB8" w:rsidRPr="009118AB">
        <w:rPr>
          <w:rFonts w:eastAsia="Calibri"/>
        </w:rPr>
        <w:t>Nr. </w:t>
      </w:r>
      <w:r w:rsidRPr="009118AB">
        <w:rPr>
          <w:rFonts w:eastAsia="Calibri"/>
        </w:rPr>
        <w:t>3, 4 und 5 erwähnten Pauschalen machen.</w:t>
      </w:r>
      <w:r w:rsidRPr="009118AB">
        <w:t>]</w:t>
      </w:r>
    </w:p>
    <w:p w14:paraId="08AE0A28" w14:textId="77777777" w:rsidR="00002E08" w:rsidRPr="009118AB" w:rsidRDefault="00002E08" w:rsidP="00002E08">
      <w:pPr>
        <w:autoSpaceDE w:val="0"/>
        <w:autoSpaceDN w:val="0"/>
        <w:adjustRightInd w:val="0"/>
        <w:jc w:val="both"/>
      </w:pPr>
    </w:p>
    <w:p w14:paraId="17C856A2" w14:textId="63D5AB96" w:rsidR="00002E08" w:rsidRPr="009118AB" w:rsidRDefault="00002E08" w:rsidP="00002E08">
      <w:pPr>
        <w:autoSpaceDE w:val="0"/>
        <w:autoSpaceDN w:val="0"/>
        <w:adjustRightInd w:val="0"/>
        <w:jc w:val="both"/>
      </w:pPr>
      <w:r w:rsidRPr="009118AB">
        <w:rPr>
          <w:i/>
          <w:iCs/>
        </w:rPr>
        <w:t>[</w:t>
      </w:r>
      <w:r w:rsidR="00D67EB8" w:rsidRPr="009118AB">
        <w:rPr>
          <w:i/>
          <w:iCs/>
        </w:rPr>
        <w:t>Art. </w:t>
      </w:r>
      <w:r w:rsidRPr="009118AB">
        <w:rPr>
          <w:i/>
          <w:iCs/>
        </w:rPr>
        <w:t xml:space="preserve">51 </w:t>
      </w:r>
      <w:r w:rsidR="00D67EB8" w:rsidRPr="009118AB">
        <w:rPr>
          <w:i/>
          <w:iCs/>
        </w:rPr>
        <w:t>Abs. </w:t>
      </w:r>
      <w:r w:rsidRPr="009118AB">
        <w:rPr>
          <w:i/>
          <w:iCs/>
        </w:rPr>
        <w:t xml:space="preserve">1 </w:t>
      </w:r>
      <w:r w:rsidR="007310BA" w:rsidRPr="009118AB">
        <w:rPr>
          <w:i/>
          <w:iCs/>
        </w:rPr>
        <w:t xml:space="preserve">ersetzt durch </w:t>
      </w:r>
      <w:r w:rsidR="00D67EB8" w:rsidRPr="009118AB">
        <w:rPr>
          <w:i/>
          <w:iCs/>
        </w:rPr>
        <w:t>Art. </w:t>
      </w:r>
      <w:r w:rsidR="007310BA" w:rsidRPr="009118AB">
        <w:rPr>
          <w:i/>
          <w:iCs/>
        </w:rPr>
        <w:t xml:space="preserve">56 </w:t>
      </w:r>
      <w:r w:rsidR="00D67EB8" w:rsidRPr="009118AB">
        <w:rPr>
          <w:i/>
          <w:iCs/>
        </w:rPr>
        <w:t>Nr. </w:t>
      </w:r>
      <w:r w:rsidR="007310BA" w:rsidRPr="009118AB">
        <w:rPr>
          <w:i/>
          <w:iCs/>
        </w:rPr>
        <w:t>1 des G. vom 26. März 2018 (B.S. vom 30. März 2018)</w:t>
      </w:r>
      <w:r w:rsidR="00D67EB8" w:rsidRPr="009118AB">
        <w:rPr>
          <w:i/>
          <w:iCs/>
        </w:rPr>
        <w:t> - </w:t>
      </w:r>
      <w:r w:rsidR="007310BA" w:rsidRPr="009118AB">
        <w:rPr>
          <w:i/>
          <w:iCs/>
        </w:rPr>
        <w:t>wirksam mit 1. Januar 2018 und anwendbar ab dem Steuerjahr 2019</w:t>
      </w:r>
      <w:r w:rsidR="00D67EB8" w:rsidRPr="009118AB">
        <w:rPr>
          <w:i/>
          <w:iCs/>
        </w:rPr>
        <w:t> - </w:t>
      </w:r>
      <w:r w:rsidR="008132B3" w:rsidRPr="009118AB">
        <w:rPr>
          <w:i/>
          <w:iCs/>
        </w:rPr>
        <w:t xml:space="preserve">und abgeändert durch </w:t>
      </w:r>
      <w:r w:rsidR="00D67EB8" w:rsidRPr="009118AB">
        <w:rPr>
          <w:i/>
          <w:iCs/>
        </w:rPr>
        <w:t>Art. </w:t>
      </w:r>
      <w:r w:rsidR="008132B3" w:rsidRPr="009118AB">
        <w:rPr>
          <w:i/>
          <w:iCs/>
        </w:rPr>
        <w:t>25</w:t>
      </w:r>
      <w:r w:rsidR="008132B3" w:rsidRPr="009118AB">
        <w:rPr>
          <w:i/>
        </w:rPr>
        <w:t xml:space="preserve"> des G. vom 7. April 2019 (I) (B.S. vom 19. April 2019)</w:t>
      </w:r>
      <w:r w:rsidR="001057B6" w:rsidRPr="009118AB">
        <w:rPr>
          <w:i/>
        </w:rPr>
        <w:t>,</w:t>
      </w:r>
      <w:r w:rsidR="006340E1" w:rsidRPr="009118AB">
        <w:rPr>
          <w:i/>
        </w:rPr>
        <w:t xml:space="preserve"> </w:t>
      </w:r>
      <w:r w:rsidR="00D67EB8" w:rsidRPr="009118AB">
        <w:rPr>
          <w:i/>
        </w:rPr>
        <w:t>Art. </w:t>
      </w:r>
      <w:r w:rsidR="006340E1" w:rsidRPr="009118AB">
        <w:rPr>
          <w:i/>
        </w:rPr>
        <w:t>7</w:t>
      </w:r>
      <w:r w:rsidR="006340E1" w:rsidRPr="009118AB">
        <w:rPr>
          <w:i/>
          <w:iCs/>
        </w:rPr>
        <w:t xml:space="preserve"> des G. vom 23. Juni 2020 (B.S. vom 1. Juli 2020)</w:t>
      </w:r>
      <w:r w:rsidR="001057B6" w:rsidRPr="009118AB">
        <w:rPr>
          <w:i/>
          <w:iCs/>
        </w:rPr>
        <w:t xml:space="preserve"> und Art. 9 des G. vom 31. Juli 2023 (II) (B.S. vom 23. August 2023)</w:t>
      </w:r>
      <w:r w:rsidRPr="009118AB">
        <w:rPr>
          <w:i/>
          <w:iCs/>
        </w:rPr>
        <w:t xml:space="preserve">; </w:t>
      </w:r>
      <w:r w:rsidR="00D67EB8" w:rsidRPr="009118AB">
        <w:rPr>
          <w:i/>
          <w:iCs/>
        </w:rPr>
        <w:t>Abs. </w:t>
      </w:r>
      <w:r w:rsidRPr="009118AB">
        <w:rPr>
          <w:i/>
          <w:iCs/>
        </w:rPr>
        <w:t xml:space="preserve">2 ersetzt durch </w:t>
      </w:r>
      <w:r w:rsidR="00D67EB8" w:rsidRPr="009118AB">
        <w:rPr>
          <w:i/>
          <w:iCs/>
        </w:rPr>
        <w:t>Art. </w:t>
      </w:r>
      <w:r w:rsidRPr="009118AB">
        <w:rPr>
          <w:i/>
          <w:iCs/>
        </w:rPr>
        <w:t xml:space="preserve">9 </w:t>
      </w:r>
      <w:r w:rsidR="00D67EB8" w:rsidRPr="009118AB">
        <w:rPr>
          <w:i/>
          <w:iCs/>
        </w:rPr>
        <w:t>Nr. </w:t>
      </w:r>
      <w:r w:rsidRPr="009118AB">
        <w:rPr>
          <w:i/>
          <w:iCs/>
        </w:rPr>
        <w:t>2 des G. vom 6.</w:t>
      </w:r>
      <w:r w:rsidR="007310BA" w:rsidRPr="009118AB">
        <w:rPr>
          <w:i/>
          <w:iCs/>
        </w:rPr>
        <w:t> </w:t>
      </w:r>
      <w:r w:rsidRPr="009118AB">
        <w:rPr>
          <w:i/>
          <w:iCs/>
        </w:rPr>
        <w:t>Juli</w:t>
      </w:r>
      <w:r w:rsidR="007310BA" w:rsidRPr="009118AB">
        <w:rPr>
          <w:i/>
          <w:iCs/>
        </w:rPr>
        <w:t> </w:t>
      </w:r>
      <w:r w:rsidRPr="009118AB">
        <w:rPr>
          <w:i/>
          <w:iCs/>
        </w:rPr>
        <w:t>1994 (B.S. vom 16. Juli 1994)</w:t>
      </w:r>
      <w:r w:rsidR="00D67EB8" w:rsidRPr="009118AB">
        <w:rPr>
          <w:i/>
          <w:iCs/>
        </w:rPr>
        <w:t> - </w:t>
      </w:r>
      <w:r w:rsidRPr="009118AB">
        <w:rPr>
          <w:i/>
          <w:iCs/>
        </w:rPr>
        <w:t>anwendbar ab dem Steuerjahr 1992</w:t>
      </w:r>
      <w:r w:rsidR="003366D9" w:rsidRPr="009118AB">
        <w:rPr>
          <w:i/>
          <w:iCs/>
        </w:rPr>
        <w:t> -;</w:t>
      </w:r>
      <w:r w:rsidRPr="009118AB">
        <w:rPr>
          <w:i/>
          <w:iCs/>
        </w:rPr>
        <w:t xml:space="preserve"> </w:t>
      </w:r>
      <w:r w:rsidR="00D67EB8" w:rsidRPr="009118AB">
        <w:rPr>
          <w:i/>
          <w:iCs/>
        </w:rPr>
        <w:t>Abs. </w:t>
      </w:r>
      <w:r w:rsidRPr="009118AB">
        <w:rPr>
          <w:i/>
          <w:iCs/>
        </w:rPr>
        <w:t xml:space="preserve">2 </w:t>
      </w:r>
      <w:r w:rsidR="00D67EB8" w:rsidRPr="009118AB">
        <w:rPr>
          <w:i/>
          <w:iCs/>
        </w:rPr>
        <w:t>Nr. </w:t>
      </w:r>
      <w:r w:rsidRPr="009118AB">
        <w:rPr>
          <w:i/>
          <w:iCs/>
        </w:rPr>
        <w:t xml:space="preserve">1 ersetzt durch </w:t>
      </w:r>
      <w:r w:rsidR="00D67EB8" w:rsidRPr="009118AB">
        <w:rPr>
          <w:i/>
          <w:iCs/>
        </w:rPr>
        <w:t>Art. </w:t>
      </w:r>
      <w:r w:rsidRPr="009118AB">
        <w:rPr>
          <w:i/>
          <w:iCs/>
        </w:rPr>
        <w:t xml:space="preserve">141 </w:t>
      </w:r>
      <w:r w:rsidR="00D67EB8" w:rsidRPr="009118AB">
        <w:rPr>
          <w:i/>
          <w:iCs/>
        </w:rPr>
        <w:t>Nr. </w:t>
      </w:r>
      <w:r w:rsidRPr="009118AB">
        <w:rPr>
          <w:i/>
          <w:iCs/>
        </w:rPr>
        <w:t>1</w:t>
      </w:r>
      <w:r w:rsidRPr="009118AB">
        <w:rPr>
          <w:i/>
        </w:rPr>
        <w:t xml:space="preserve"> des G. vom 26. Dezember 2015 (II) (B.S. vom 30. Dezember 2015)</w:t>
      </w:r>
      <w:r w:rsidR="00D67EB8" w:rsidRPr="009118AB">
        <w:t> - </w:t>
      </w:r>
      <w:r w:rsidRPr="009118AB">
        <w:rPr>
          <w:i/>
        </w:rPr>
        <w:t>in Kraft am 1. Januar 2018 und anwendbar auf die ab dem 1. Januar 2018 gezahlten oder zuerkannten Entlohnungen von Arbeitnehmern</w:t>
      </w:r>
      <w:r w:rsidR="003366D9" w:rsidRPr="009118AB">
        <w:rPr>
          <w:i/>
        </w:rPr>
        <w:t> -;</w:t>
      </w:r>
      <w:r w:rsidRPr="009118AB">
        <w:rPr>
          <w:i/>
          <w:iCs/>
        </w:rPr>
        <w:t xml:space="preserve"> </w:t>
      </w:r>
      <w:r w:rsidR="00D67EB8" w:rsidRPr="009118AB">
        <w:rPr>
          <w:i/>
          <w:iCs/>
        </w:rPr>
        <w:t>Abs. </w:t>
      </w:r>
      <w:r w:rsidRPr="009118AB">
        <w:rPr>
          <w:i/>
          <w:iCs/>
        </w:rPr>
        <w:t xml:space="preserve">2 </w:t>
      </w:r>
      <w:r w:rsidR="00D67EB8" w:rsidRPr="009118AB">
        <w:rPr>
          <w:i/>
          <w:iCs/>
        </w:rPr>
        <w:t>Nr. </w:t>
      </w:r>
      <w:r w:rsidRPr="009118AB">
        <w:rPr>
          <w:i/>
          <w:iCs/>
        </w:rPr>
        <w:t xml:space="preserve">3 aufgehoben durch </w:t>
      </w:r>
      <w:r w:rsidR="00D67EB8" w:rsidRPr="009118AB">
        <w:rPr>
          <w:i/>
          <w:iCs/>
        </w:rPr>
        <w:t>Art. </w:t>
      </w:r>
      <w:r w:rsidRPr="009118AB">
        <w:rPr>
          <w:i/>
          <w:iCs/>
        </w:rPr>
        <w:t xml:space="preserve">9 </w:t>
      </w:r>
      <w:r w:rsidR="00D67EB8" w:rsidRPr="009118AB">
        <w:rPr>
          <w:i/>
          <w:iCs/>
        </w:rPr>
        <w:t>Nr. </w:t>
      </w:r>
      <w:r w:rsidRPr="009118AB">
        <w:rPr>
          <w:i/>
          <w:iCs/>
        </w:rPr>
        <w:t>2 des K.E. vom 20. Dezember 1996 (B.S. vom 31. Dezember 1996)</w:t>
      </w:r>
      <w:r w:rsidR="00D67EB8" w:rsidRPr="009118AB">
        <w:rPr>
          <w:i/>
          <w:iCs/>
        </w:rPr>
        <w:t> - </w:t>
      </w:r>
      <w:r w:rsidRPr="009118AB">
        <w:rPr>
          <w:i/>
          <w:iCs/>
        </w:rPr>
        <w:t>in Kraft ab dem Steuerjahr</w:t>
      </w:r>
      <w:r w:rsidR="00943E82" w:rsidRPr="009118AB">
        <w:rPr>
          <w:i/>
          <w:iCs/>
        </w:rPr>
        <w:t> </w:t>
      </w:r>
      <w:r w:rsidRPr="009118AB">
        <w:rPr>
          <w:i/>
          <w:iCs/>
        </w:rPr>
        <w:t>1998</w:t>
      </w:r>
      <w:r w:rsidR="00D67EB8" w:rsidRPr="009118AB">
        <w:rPr>
          <w:i/>
          <w:iCs/>
        </w:rPr>
        <w:t> - </w:t>
      </w:r>
      <w:r w:rsidRPr="009118AB">
        <w:rPr>
          <w:i/>
          <w:iCs/>
        </w:rPr>
        <w:t xml:space="preserve">und wieder aufgenommen durch </w:t>
      </w:r>
      <w:r w:rsidR="00D67EB8" w:rsidRPr="009118AB">
        <w:rPr>
          <w:i/>
          <w:iCs/>
        </w:rPr>
        <w:t>Art. </w:t>
      </w:r>
      <w:r w:rsidRPr="009118AB">
        <w:rPr>
          <w:i/>
          <w:iCs/>
        </w:rPr>
        <w:t>18 des G. (I) vom 24. Dezember 2002 (I) (B.S. vom 31. Dezember 2002)</w:t>
      </w:r>
      <w:r w:rsidR="00D67EB8" w:rsidRPr="009118AB">
        <w:rPr>
          <w:i/>
          <w:iCs/>
        </w:rPr>
        <w:t> - </w:t>
      </w:r>
      <w:r w:rsidRPr="009118AB">
        <w:rPr>
          <w:i/>
          <w:iCs/>
        </w:rPr>
        <w:t>in Kraft ab dem Steuerjahr 2004</w:t>
      </w:r>
      <w:r w:rsidR="003366D9" w:rsidRPr="009118AB">
        <w:rPr>
          <w:i/>
          <w:iCs/>
        </w:rPr>
        <w:t> -;</w:t>
      </w:r>
      <w:r w:rsidRPr="009118AB">
        <w:rPr>
          <w:i/>
          <w:iCs/>
        </w:rPr>
        <w:t xml:space="preserve"> </w:t>
      </w:r>
      <w:r w:rsidR="00D67EB8" w:rsidRPr="009118AB">
        <w:rPr>
          <w:i/>
          <w:iCs/>
        </w:rPr>
        <w:t>Abs. </w:t>
      </w:r>
      <w:r w:rsidRPr="009118AB">
        <w:rPr>
          <w:i/>
          <w:iCs/>
        </w:rPr>
        <w:t xml:space="preserve">2 </w:t>
      </w:r>
      <w:r w:rsidR="00D67EB8" w:rsidRPr="009118AB">
        <w:rPr>
          <w:i/>
          <w:iCs/>
        </w:rPr>
        <w:t>Nr. </w:t>
      </w:r>
      <w:r w:rsidRPr="009118AB">
        <w:rPr>
          <w:i/>
          <w:iCs/>
        </w:rPr>
        <w:t xml:space="preserve">4 ersetzt durch </w:t>
      </w:r>
      <w:r w:rsidR="00D67EB8" w:rsidRPr="009118AB">
        <w:rPr>
          <w:i/>
          <w:iCs/>
        </w:rPr>
        <w:t>Art. </w:t>
      </w:r>
      <w:r w:rsidRPr="009118AB">
        <w:rPr>
          <w:i/>
          <w:iCs/>
        </w:rPr>
        <w:t>2 Buchstabe b) des G. vom 19. Dezember 2014 (B.S. vom 29. Dezember 2014)</w:t>
      </w:r>
      <w:r w:rsidR="00D67EB8" w:rsidRPr="009118AB">
        <w:rPr>
          <w:i/>
          <w:iCs/>
        </w:rPr>
        <w:t> - </w:t>
      </w:r>
      <w:r w:rsidRPr="009118AB">
        <w:rPr>
          <w:i/>
          <w:iCs/>
        </w:rPr>
        <w:t>anwendbar auf die ab dem 1. Januar 2015 gezahlten oder zuerkannten Entlohnungen von Arbeitnehmern und festgestellten oder vermuteten Profite</w:t>
      </w:r>
      <w:r w:rsidR="003366D9" w:rsidRPr="009118AB">
        <w:rPr>
          <w:i/>
          <w:iCs/>
        </w:rPr>
        <w:t> -;</w:t>
      </w:r>
      <w:r w:rsidR="007310BA" w:rsidRPr="009118AB">
        <w:rPr>
          <w:i/>
          <w:iCs/>
        </w:rPr>
        <w:t xml:space="preserve"> </w:t>
      </w:r>
      <w:r w:rsidR="00D67EB8" w:rsidRPr="009118AB">
        <w:rPr>
          <w:i/>
          <w:iCs/>
        </w:rPr>
        <w:t>Abs. </w:t>
      </w:r>
      <w:r w:rsidR="007310BA" w:rsidRPr="009118AB">
        <w:rPr>
          <w:i/>
          <w:iCs/>
        </w:rPr>
        <w:t xml:space="preserve">2 </w:t>
      </w:r>
      <w:r w:rsidR="00D67EB8" w:rsidRPr="009118AB">
        <w:rPr>
          <w:i/>
          <w:iCs/>
        </w:rPr>
        <w:t>Nr. </w:t>
      </w:r>
      <w:r w:rsidR="007310BA" w:rsidRPr="009118AB">
        <w:rPr>
          <w:i/>
          <w:iCs/>
        </w:rPr>
        <w:t xml:space="preserve">5 eingefügt durch </w:t>
      </w:r>
      <w:r w:rsidR="00D67EB8" w:rsidRPr="009118AB">
        <w:rPr>
          <w:i/>
          <w:iCs/>
        </w:rPr>
        <w:t>Art. </w:t>
      </w:r>
      <w:r w:rsidR="007310BA" w:rsidRPr="009118AB">
        <w:rPr>
          <w:i/>
          <w:iCs/>
        </w:rPr>
        <w:t xml:space="preserve">56 </w:t>
      </w:r>
      <w:r w:rsidR="00D67EB8" w:rsidRPr="009118AB">
        <w:rPr>
          <w:i/>
          <w:iCs/>
        </w:rPr>
        <w:t>Nr. </w:t>
      </w:r>
      <w:r w:rsidR="007310BA" w:rsidRPr="009118AB">
        <w:rPr>
          <w:i/>
          <w:iCs/>
        </w:rPr>
        <w:t>2 des G. vom 26. März 2018 (B.S. vom 30. März 2018)</w:t>
      </w:r>
      <w:r w:rsidR="00D67EB8" w:rsidRPr="009118AB">
        <w:rPr>
          <w:i/>
          <w:iCs/>
        </w:rPr>
        <w:t> - </w:t>
      </w:r>
      <w:r w:rsidR="007310BA" w:rsidRPr="009118AB">
        <w:rPr>
          <w:i/>
          <w:iCs/>
        </w:rPr>
        <w:t>wirksam mit 1. Januar 2018 und a</w:t>
      </w:r>
      <w:r w:rsidR="00A56026" w:rsidRPr="009118AB">
        <w:rPr>
          <w:i/>
          <w:iCs/>
        </w:rPr>
        <w:t>nwendbar ab dem Steuerjahr 2019</w:t>
      </w:r>
      <w:r w:rsidR="003366D9" w:rsidRPr="009118AB">
        <w:rPr>
          <w:i/>
          <w:iCs/>
        </w:rPr>
        <w:t> -;</w:t>
      </w:r>
      <w:r w:rsidRPr="009118AB">
        <w:rPr>
          <w:i/>
          <w:iCs/>
        </w:rPr>
        <w:t xml:space="preserve"> </w:t>
      </w:r>
      <w:r w:rsidR="00D67EB8" w:rsidRPr="009118AB">
        <w:rPr>
          <w:i/>
          <w:iCs/>
        </w:rPr>
        <w:t>Abs. </w:t>
      </w:r>
      <w:r w:rsidRPr="009118AB">
        <w:rPr>
          <w:i/>
          <w:iCs/>
        </w:rPr>
        <w:t xml:space="preserve">3 ersetzt durch </w:t>
      </w:r>
      <w:r w:rsidR="00D67EB8" w:rsidRPr="009118AB">
        <w:rPr>
          <w:i/>
          <w:iCs/>
        </w:rPr>
        <w:t>Art. </w:t>
      </w:r>
      <w:r w:rsidRPr="009118AB">
        <w:rPr>
          <w:i/>
          <w:iCs/>
        </w:rPr>
        <w:t xml:space="preserve">140 </w:t>
      </w:r>
      <w:r w:rsidR="00D67EB8" w:rsidRPr="009118AB">
        <w:rPr>
          <w:i/>
          <w:iCs/>
        </w:rPr>
        <w:t>Nr. </w:t>
      </w:r>
      <w:r w:rsidRPr="009118AB">
        <w:rPr>
          <w:i/>
          <w:iCs/>
        </w:rPr>
        <w:t>2</w:t>
      </w:r>
      <w:r w:rsidRPr="009118AB">
        <w:rPr>
          <w:i/>
        </w:rPr>
        <w:t xml:space="preserve"> des G. vom 26. Dezember 2015 (II) (B.S. vom 30. Dezember 2015)</w:t>
      </w:r>
      <w:r w:rsidR="00D67EB8" w:rsidRPr="009118AB">
        <w:t> - </w:t>
      </w:r>
      <w:r w:rsidRPr="009118AB">
        <w:rPr>
          <w:i/>
        </w:rPr>
        <w:t>in Kraft am 1. Januar 2016 und anwendbar auf die ab dem 1. Januar 2016 gezahlten oder zuerkannten Entlohnungen von Arbeitnehmern</w:t>
      </w:r>
      <w:r w:rsidR="00D67EB8" w:rsidRPr="009118AB">
        <w:rPr>
          <w:i/>
        </w:rPr>
        <w:t> - </w:t>
      </w:r>
      <w:r w:rsidRPr="009118AB">
        <w:rPr>
          <w:i/>
        </w:rPr>
        <w:t xml:space="preserve">und abgeändert durch </w:t>
      </w:r>
      <w:r w:rsidR="00D67EB8" w:rsidRPr="009118AB">
        <w:rPr>
          <w:i/>
        </w:rPr>
        <w:t>Art. </w:t>
      </w:r>
      <w:r w:rsidRPr="009118AB">
        <w:rPr>
          <w:i/>
        </w:rPr>
        <w:t xml:space="preserve">141 </w:t>
      </w:r>
      <w:r w:rsidR="00D67EB8" w:rsidRPr="009118AB">
        <w:rPr>
          <w:i/>
        </w:rPr>
        <w:t>Nr. </w:t>
      </w:r>
      <w:r w:rsidRPr="009118AB">
        <w:rPr>
          <w:i/>
        </w:rPr>
        <w:t>2 des G. vom 26. Dezember 2015 (II) (B.S. vom 30. Dezember 2015)</w:t>
      </w:r>
      <w:r w:rsidR="00D67EB8" w:rsidRPr="009118AB">
        <w:rPr>
          <w:i/>
        </w:rPr>
        <w:t> - </w:t>
      </w:r>
      <w:r w:rsidRPr="009118AB">
        <w:rPr>
          <w:i/>
        </w:rPr>
        <w:t>in Kraft am 1. Januar 2018 und anwendbar auf die ab dem 1. Januar 2018 gezahlten oder zuerkannten Entlohnungen von Arbeitnehmern</w:t>
      </w:r>
      <w:r w:rsidR="00D67EB8" w:rsidRPr="009118AB">
        <w:rPr>
          <w:i/>
        </w:rPr>
        <w:t> - </w:t>
      </w:r>
      <w:r w:rsidR="007310BA" w:rsidRPr="009118AB">
        <w:rPr>
          <w:i/>
        </w:rPr>
        <w:t xml:space="preserve">und </w:t>
      </w:r>
      <w:r w:rsidR="00D67EB8" w:rsidRPr="009118AB">
        <w:rPr>
          <w:i/>
        </w:rPr>
        <w:t>Art. </w:t>
      </w:r>
      <w:r w:rsidR="007310BA" w:rsidRPr="009118AB">
        <w:rPr>
          <w:i/>
        </w:rPr>
        <w:t xml:space="preserve">56 </w:t>
      </w:r>
      <w:r w:rsidR="00D67EB8" w:rsidRPr="009118AB">
        <w:rPr>
          <w:i/>
        </w:rPr>
        <w:t>Nr. </w:t>
      </w:r>
      <w:r w:rsidR="007310BA" w:rsidRPr="009118AB">
        <w:rPr>
          <w:i/>
        </w:rPr>
        <w:t xml:space="preserve">3 </w:t>
      </w:r>
      <w:r w:rsidR="007310BA" w:rsidRPr="009118AB">
        <w:rPr>
          <w:i/>
          <w:iCs/>
        </w:rPr>
        <w:t>des G. vom 26. März </w:t>
      </w:r>
      <w:r w:rsidR="005E3D7F" w:rsidRPr="009118AB">
        <w:rPr>
          <w:i/>
          <w:iCs/>
        </w:rPr>
        <w:t>2018 (B.S. vom 30. März 2018)</w:t>
      </w:r>
      <w:r w:rsidR="00D67EB8" w:rsidRPr="009118AB">
        <w:rPr>
          <w:i/>
          <w:iCs/>
        </w:rPr>
        <w:t> - </w:t>
      </w:r>
      <w:r w:rsidR="007310BA" w:rsidRPr="009118AB">
        <w:rPr>
          <w:i/>
          <w:iCs/>
        </w:rPr>
        <w:t xml:space="preserve">wirksam mit 1. Januar 2018 und </w:t>
      </w:r>
      <w:r w:rsidR="007310BA" w:rsidRPr="009118AB">
        <w:rPr>
          <w:i/>
          <w:iCs/>
        </w:rPr>
        <w:lastRenderedPageBreak/>
        <w:t>anwendbar ab dem Steuerjahr 2019</w:t>
      </w:r>
      <w:r w:rsidR="003366D9" w:rsidRPr="009118AB">
        <w:rPr>
          <w:i/>
          <w:iCs/>
        </w:rPr>
        <w:t> -;</w:t>
      </w:r>
      <w:r w:rsidR="007310BA" w:rsidRPr="009118AB">
        <w:rPr>
          <w:i/>
          <w:iCs/>
        </w:rPr>
        <w:t xml:space="preserve"> </w:t>
      </w:r>
      <w:r w:rsidR="00D67EB8" w:rsidRPr="009118AB">
        <w:rPr>
          <w:i/>
          <w:iCs/>
        </w:rPr>
        <w:t>Abs. </w:t>
      </w:r>
      <w:r w:rsidR="007310BA" w:rsidRPr="009118AB">
        <w:rPr>
          <w:i/>
          <w:iCs/>
        </w:rPr>
        <w:t xml:space="preserve">5 eingefügt durch </w:t>
      </w:r>
      <w:r w:rsidR="00D67EB8" w:rsidRPr="009118AB">
        <w:rPr>
          <w:i/>
          <w:iCs/>
        </w:rPr>
        <w:t>Art. </w:t>
      </w:r>
      <w:r w:rsidR="007310BA" w:rsidRPr="009118AB">
        <w:rPr>
          <w:i/>
          <w:iCs/>
        </w:rPr>
        <w:t xml:space="preserve">56 </w:t>
      </w:r>
      <w:r w:rsidR="00D67EB8" w:rsidRPr="009118AB">
        <w:rPr>
          <w:i/>
          <w:iCs/>
        </w:rPr>
        <w:t>Nr. </w:t>
      </w:r>
      <w:r w:rsidR="007310BA" w:rsidRPr="009118AB">
        <w:rPr>
          <w:i/>
          <w:iCs/>
        </w:rPr>
        <w:t>4 des G. vom 26. März 2018 (B.S. vom 30. März 2018)</w:t>
      </w:r>
      <w:r w:rsidR="00D67EB8" w:rsidRPr="009118AB">
        <w:rPr>
          <w:i/>
          <w:iCs/>
        </w:rPr>
        <w:t> - </w:t>
      </w:r>
      <w:r w:rsidR="007310BA" w:rsidRPr="009118AB">
        <w:rPr>
          <w:i/>
          <w:iCs/>
        </w:rPr>
        <w:t>wirksam mit 1. Januar 2018 und anwendbar ab dem Steuerjahr 2019</w:t>
      </w:r>
      <w:r w:rsidR="00FD68E8" w:rsidRPr="009118AB">
        <w:rPr>
          <w:i/>
          <w:iCs/>
        </w:rPr>
        <w:t> -]</w:t>
      </w:r>
    </w:p>
    <w:p w14:paraId="7BB03DDE" w14:textId="77777777" w:rsidR="00002E08" w:rsidRPr="009118AB" w:rsidRDefault="00002E08" w:rsidP="00477B8F">
      <w:pPr>
        <w:autoSpaceDE w:val="0"/>
        <w:autoSpaceDN w:val="0"/>
        <w:adjustRightInd w:val="0"/>
        <w:jc w:val="both"/>
        <w:rPr>
          <w:sz w:val="20"/>
          <w:szCs w:val="20"/>
        </w:rPr>
      </w:pPr>
    </w:p>
    <w:p w14:paraId="3342769E" w14:textId="77777777" w:rsidR="00B72ED7" w:rsidRPr="009118AB" w:rsidRDefault="00B72ED7" w:rsidP="00477B8F">
      <w:pPr>
        <w:autoSpaceDE w:val="0"/>
        <w:autoSpaceDN w:val="0"/>
        <w:adjustRightInd w:val="0"/>
        <w:jc w:val="both"/>
      </w:pPr>
    </w:p>
    <w:p w14:paraId="17CD66BD" w14:textId="4376279F"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52</w:t>
      </w:r>
      <w:r w:rsidR="00D67EB8" w:rsidRPr="009118AB">
        <w:t> - </w:t>
      </w:r>
      <w:r w:rsidRPr="009118AB">
        <w:t>Vorbehaltlich der Bestimmungen [der Artikel 53 bis 66</w:t>
      </w:r>
      <w:r w:rsidRPr="009118AB">
        <w:rPr>
          <w:i/>
          <w:iCs/>
        </w:rPr>
        <w:t>bis</w:t>
      </w:r>
      <w:r w:rsidRPr="009118AB">
        <w:t>] umfassen Werbungskosten insbesondere:</w:t>
      </w:r>
    </w:p>
    <w:p w14:paraId="3DEB243F" w14:textId="77777777" w:rsidR="00477B8F" w:rsidRPr="009118AB" w:rsidRDefault="00477B8F" w:rsidP="00477B8F">
      <w:pPr>
        <w:autoSpaceDE w:val="0"/>
        <w:autoSpaceDN w:val="0"/>
        <w:adjustRightInd w:val="0"/>
        <w:jc w:val="both"/>
      </w:pPr>
    </w:p>
    <w:p w14:paraId="00DA5896" w14:textId="77777777" w:rsidR="00477B8F" w:rsidRPr="009118AB" w:rsidRDefault="00477B8F" w:rsidP="00477B8F">
      <w:pPr>
        <w:autoSpaceDE w:val="0"/>
        <w:autoSpaceDN w:val="0"/>
        <w:adjustRightInd w:val="0"/>
        <w:jc w:val="both"/>
      </w:pPr>
      <w:r w:rsidRPr="009118AB">
        <w:tab/>
        <w:t>1. Mietpreis und Mietnebenkosten [und Immobiliensteuervorabzug einschließlich der Zuschlaghundertstel] von unbeweglichen Gütern oder Teilen von unbeweglichen Gütern, die zur Ausübung der Berufstätigkeit genutzt werden, und allgemeine Kosten in Bezug auf deren Unterhalt, Beheizung, Beleuchtung und so weiter,</w:t>
      </w:r>
    </w:p>
    <w:p w14:paraId="538521D9" w14:textId="77777777" w:rsidR="00477B8F" w:rsidRPr="009118AB" w:rsidRDefault="00477B8F" w:rsidP="00477B8F">
      <w:pPr>
        <w:autoSpaceDE w:val="0"/>
        <w:autoSpaceDN w:val="0"/>
        <w:adjustRightInd w:val="0"/>
        <w:jc w:val="both"/>
      </w:pPr>
    </w:p>
    <w:p w14:paraId="357053E1" w14:textId="77777777" w:rsidR="00EA0965" w:rsidRPr="009118AB" w:rsidRDefault="00477B8F" w:rsidP="00477B8F">
      <w:pPr>
        <w:autoSpaceDE w:val="0"/>
        <w:autoSpaceDN w:val="0"/>
        <w:adjustRightInd w:val="0"/>
        <w:jc w:val="both"/>
      </w:pPr>
      <w:r w:rsidRPr="009118AB">
        <w:tab/>
        <w:t>2. Zinsen auf Kapital, das von Dritten geliehen und in das Unternehmen investiert wird, und Kosten, Renten und ähnliche Gebühren in Bezug auf dieses Unternehmen,</w:t>
      </w:r>
    </w:p>
    <w:p w14:paraId="314EC012" w14:textId="77777777" w:rsidR="00EA0965" w:rsidRPr="009118AB" w:rsidRDefault="00EA0965" w:rsidP="00477B8F">
      <w:pPr>
        <w:autoSpaceDE w:val="0"/>
        <w:autoSpaceDN w:val="0"/>
        <w:adjustRightInd w:val="0"/>
        <w:jc w:val="both"/>
      </w:pPr>
    </w:p>
    <w:p w14:paraId="352B4A82" w14:textId="77777777" w:rsidR="00477B8F" w:rsidRPr="009118AB" w:rsidRDefault="00477B8F" w:rsidP="00477B8F">
      <w:pPr>
        <w:autoSpaceDE w:val="0"/>
        <w:autoSpaceDN w:val="0"/>
        <w:adjustRightInd w:val="0"/>
        <w:jc w:val="both"/>
      </w:pPr>
      <w:r w:rsidRPr="009118AB">
        <w:tab/>
        <w:t>3. [Entlohnungen von Personalmitgliedern und folgende Nebenkosten:</w:t>
      </w:r>
    </w:p>
    <w:p w14:paraId="58D61A24" w14:textId="77777777" w:rsidR="00477B8F" w:rsidRPr="009118AB" w:rsidRDefault="00477B8F" w:rsidP="00477B8F">
      <w:pPr>
        <w:autoSpaceDE w:val="0"/>
        <w:autoSpaceDN w:val="0"/>
        <w:adjustRightInd w:val="0"/>
        <w:jc w:val="both"/>
      </w:pPr>
    </w:p>
    <w:p w14:paraId="28B5CAC5"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Soziallasten, die aufgrund gesetzlicher Bestimmungen geschuldet werden,</w:t>
      </w:r>
    </w:p>
    <w:p w14:paraId="6130AC6C" w14:textId="77777777" w:rsidR="00477B8F" w:rsidRPr="009118AB" w:rsidRDefault="00477B8F" w:rsidP="00477B8F">
      <w:pPr>
        <w:autoSpaceDE w:val="0"/>
        <w:autoSpaceDN w:val="0"/>
        <w:adjustRightInd w:val="0"/>
        <w:jc w:val="both"/>
      </w:pPr>
    </w:p>
    <w:p w14:paraId="2353A8AB"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Arbeitgeberbeiträge und -prämien, die gezahlt werden in Ausführung:</w:t>
      </w:r>
    </w:p>
    <w:p w14:paraId="5B7A5E25" w14:textId="77777777" w:rsidR="00477B8F" w:rsidRPr="009118AB" w:rsidRDefault="00477B8F" w:rsidP="00477B8F">
      <w:pPr>
        <w:autoSpaceDE w:val="0"/>
        <w:autoSpaceDN w:val="0"/>
        <w:adjustRightInd w:val="0"/>
        <w:jc w:val="both"/>
      </w:pPr>
    </w:p>
    <w:p w14:paraId="007A89DC" w14:textId="77777777" w:rsidR="00477B8F" w:rsidRPr="009118AB" w:rsidRDefault="00477B8F" w:rsidP="00477B8F">
      <w:pPr>
        <w:autoSpaceDE w:val="0"/>
        <w:autoSpaceDN w:val="0"/>
        <w:adjustRightInd w:val="0"/>
        <w:jc w:val="both"/>
      </w:pPr>
      <w:r w:rsidRPr="009118AB">
        <w:tab/>
        <w:t>- einer Alters- und Todesfallzusatzversicherung für die Bildung einer Rente oder eines Kapitals zu Lebzeiten oder im Todesfall,</w:t>
      </w:r>
    </w:p>
    <w:p w14:paraId="78077D48" w14:textId="77777777" w:rsidR="00477B8F" w:rsidRPr="009118AB" w:rsidRDefault="00477B8F" w:rsidP="00477B8F">
      <w:pPr>
        <w:autoSpaceDE w:val="0"/>
        <w:autoSpaceDN w:val="0"/>
        <w:adjustRightInd w:val="0"/>
        <w:jc w:val="both"/>
      </w:pPr>
    </w:p>
    <w:p w14:paraId="525E347C" w14:textId="77777777" w:rsidR="00477B8F" w:rsidRPr="009118AB" w:rsidRDefault="00477B8F" w:rsidP="00477B8F">
      <w:pPr>
        <w:autoSpaceDE w:val="0"/>
        <w:autoSpaceDN w:val="0"/>
        <w:adjustRightInd w:val="0"/>
        <w:jc w:val="both"/>
      </w:pPr>
      <w:r w:rsidRPr="009118AB">
        <w:tab/>
        <w:t>- einer kollektiven oder individuellen ergänzenden Pensionsvereinbarung in Bezug auf eine Ruhestands- und/oder Hinterbliebenenpension für die Bildung einer Rente oder eines Kapitals zu Lebzeiten oder im Todesfall,</w:t>
      </w:r>
    </w:p>
    <w:p w14:paraId="03104BB2" w14:textId="77777777" w:rsidR="00477B8F" w:rsidRPr="009118AB" w:rsidRDefault="00477B8F" w:rsidP="00477B8F">
      <w:pPr>
        <w:autoSpaceDE w:val="0"/>
        <w:autoSpaceDN w:val="0"/>
        <w:adjustRightInd w:val="0"/>
        <w:jc w:val="both"/>
      </w:pPr>
    </w:p>
    <w:p w14:paraId="2334AC8E" w14:textId="77777777" w:rsidR="00477B8F" w:rsidRPr="009118AB" w:rsidRDefault="00477B8F" w:rsidP="00477B8F">
      <w:pPr>
        <w:autoSpaceDE w:val="0"/>
        <w:autoSpaceDN w:val="0"/>
        <w:adjustRightInd w:val="0"/>
        <w:jc w:val="both"/>
      </w:pPr>
      <w:r w:rsidRPr="009118AB">
        <w:tab/>
        <w:t>- einer Solidaritätsvereinbarung, die in den Artikeln 10 und 11 des Gesetzes vom 28. April 2003 über ergänzende Pensionen und das Besteuerungssystem für diese Pensionen und für bestimmte Zusatzleistungen im Bereich der sozialen Sicherheit erwähnt ist,</w:t>
      </w:r>
    </w:p>
    <w:p w14:paraId="36CC829B" w14:textId="77777777" w:rsidR="00477B8F" w:rsidRPr="009118AB" w:rsidRDefault="00477B8F" w:rsidP="00477B8F">
      <w:pPr>
        <w:autoSpaceDE w:val="0"/>
        <w:autoSpaceDN w:val="0"/>
        <w:adjustRightInd w:val="0"/>
        <w:jc w:val="both"/>
      </w:pPr>
    </w:p>
    <w:p w14:paraId="5EBB3592" w14:textId="77777777" w:rsidR="00477B8F" w:rsidRPr="009118AB" w:rsidRDefault="00477B8F" w:rsidP="00477B8F">
      <w:pPr>
        <w:autoSpaceDE w:val="0"/>
        <w:autoSpaceDN w:val="0"/>
        <w:adjustRightInd w:val="0"/>
        <w:jc w:val="both"/>
      </w:pPr>
      <w:r w:rsidRPr="009118AB">
        <w:tab/>
        <w:t>- einer kollektiven oder individuellen Vereinbarung, die als eine Ergänzung der gesetzlichen Entschädigungen im Todesfall oder bei Arbeitsunfähigkeit infolge eines Arbeitsunfalls oder Unfalls oder einer Berufskrankheit oder Krankheit zu betrachten ist,</w:t>
      </w:r>
    </w:p>
    <w:p w14:paraId="4F0303E5" w14:textId="77777777" w:rsidR="00477B8F" w:rsidRPr="009118AB" w:rsidRDefault="00477B8F" w:rsidP="00477B8F">
      <w:pPr>
        <w:autoSpaceDE w:val="0"/>
        <w:autoSpaceDN w:val="0"/>
        <w:adjustRightInd w:val="0"/>
        <w:jc w:val="both"/>
      </w:pPr>
    </w:p>
    <w:p w14:paraId="41B94A93" w14:textId="77777777" w:rsidR="00477B8F" w:rsidRPr="009118AB" w:rsidRDefault="00477B8F" w:rsidP="00477B8F">
      <w:pPr>
        <w:autoSpaceDE w:val="0"/>
        <w:autoSpaceDN w:val="0"/>
        <w:adjustRightInd w:val="0"/>
        <w:jc w:val="both"/>
      </w:pPr>
      <w:r w:rsidRPr="009118AB">
        <w:tab/>
      </w:r>
      <w:r w:rsidRPr="009118AB">
        <w:rPr>
          <w:i/>
          <w:iCs/>
        </w:rPr>
        <w:t>c)</w:t>
      </w:r>
      <w:r w:rsidRPr="009118AB">
        <w:t xml:space="preserve"> Beiträge zur Sozialversicherung und zur Sozialfürsorge, die nicht in Buchstabe </w:t>
      </w:r>
      <w:r w:rsidRPr="009118AB">
        <w:rPr>
          <w:i/>
          <w:iCs/>
        </w:rPr>
        <w:t>b)</w:t>
      </w:r>
      <w:r w:rsidRPr="009118AB">
        <w:t xml:space="preserve"> erwähnt sind und aufgrund vertraglicher Verpflichtungen geschuldet werden,]</w:t>
      </w:r>
    </w:p>
    <w:p w14:paraId="7C6EAFD5" w14:textId="77777777" w:rsidR="00477B8F" w:rsidRPr="009118AB" w:rsidRDefault="00477B8F" w:rsidP="00477B8F">
      <w:pPr>
        <w:autoSpaceDE w:val="0"/>
        <w:autoSpaceDN w:val="0"/>
        <w:adjustRightInd w:val="0"/>
        <w:jc w:val="both"/>
      </w:pPr>
    </w:p>
    <w:p w14:paraId="3D5C74B1" w14:textId="543B2D35" w:rsidR="004E7C72" w:rsidRPr="009118AB" w:rsidRDefault="004E7C72" w:rsidP="00477B8F">
      <w:pPr>
        <w:autoSpaceDE w:val="0"/>
        <w:autoSpaceDN w:val="0"/>
        <w:adjustRightInd w:val="0"/>
        <w:jc w:val="both"/>
      </w:pPr>
      <w:r w:rsidRPr="009118AB">
        <w:tab/>
        <w:t>[</w:t>
      </w:r>
      <w:r w:rsidRPr="009118AB">
        <w:rPr>
          <w:i/>
        </w:rPr>
        <w:t>d)</w:t>
      </w:r>
      <w:r w:rsidRPr="009118AB">
        <w:t xml:space="preserve"> den Sonderbeitrag, der aufgrund von Artikel 38 </w:t>
      </w:r>
      <w:r w:rsidR="00D67EB8" w:rsidRPr="009118AB">
        <w:t>§ </w:t>
      </w:r>
      <w:r w:rsidRPr="009118AB">
        <w:t>3</w:t>
      </w:r>
      <w:r w:rsidRPr="009118AB">
        <w:rPr>
          <w:i/>
        </w:rPr>
        <w:t>novies</w:t>
      </w:r>
      <w:r w:rsidRPr="009118AB">
        <w:t xml:space="preserve"> des Gesetzes vom 29. Juni 1981 zur Festlegung der allgemeinen Grundsätze der sozialen Sicherheit für Lohn</w:t>
      </w:r>
      <w:r w:rsidRPr="009118AB">
        <w:softHyphen/>
        <w:t>empfänger geschuldet wird,]</w:t>
      </w:r>
    </w:p>
    <w:p w14:paraId="1EF57CF3" w14:textId="77777777" w:rsidR="00102B22" w:rsidRPr="009118AB" w:rsidRDefault="00102B22" w:rsidP="00477B8F">
      <w:pPr>
        <w:autoSpaceDE w:val="0"/>
        <w:autoSpaceDN w:val="0"/>
        <w:adjustRightInd w:val="0"/>
        <w:jc w:val="both"/>
      </w:pPr>
    </w:p>
    <w:p w14:paraId="4AC7372A" w14:textId="6C6CCA07" w:rsidR="00102B22" w:rsidRPr="009118AB" w:rsidRDefault="00102B22" w:rsidP="00477B8F">
      <w:pPr>
        <w:autoSpaceDE w:val="0"/>
        <w:autoSpaceDN w:val="0"/>
        <w:adjustRightInd w:val="0"/>
        <w:jc w:val="both"/>
      </w:pPr>
      <w:r w:rsidRPr="009118AB">
        <w:tab/>
        <w:t>[</w:t>
      </w:r>
      <w:r w:rsidRPr="009118AB">
        <w:rPr>
          <w:i/>
        </w:rPr>
        <w:t>e)</w:t>
      </w:r>
      <w:r w:rsidRPr="009118AB">
        <w:t xml:space="preserve"> Sonderbeiträge, die aufgrund von Artikel 38 </w:t>
      </w:r>
      <w:r w:rsidR="00D67EB8" w:rsidRPr="009118AB">
        <w:t>§ </w:t>
      </w:r>
      <w:r w:rsidRPr="009118AB">
        <w:t>3</w:t>
      </w:r>
      <w:r w:rsidRPr="009118AB">
        <w:rPr>
          <w:i/>
        </w:rPr>
        <w:t>sexdecies</w:t>
      </w:r>
      <w:r w:rsidRPr="009118AB">
        <w:t xml:space="preserve"> Absatz 1 des Gesetzes vom 29. Juni 1981 zur Festlegung der allgemeinen Grundsätze der sozialen Sicherheit für Lohnempfänger geschuldet werden,]</w:t>
      </w:r>
    </w:p>
    <w:p w14:paraId="579C2BA2" w14:textId="77777777" w:rsidR="00BE6F2A" w:rsidRPr="009118AB" w:rsidRDefault="00BE6F2A" w:rsidP="00477B8F">
      <w:pPr>
        <w:autoSpaceDE w:val="0"/>
        <w:autoSpaceDN w:val="0"/>
        <w:adjustRightInd w:val="0"/>
        <w:jc w:val="both"/>
      </w:pPr>
    </w:p>
    <w:p w14:paraId="1D42DCD7" w14:textId="1E7C8787" w:rsidR="00BE6F2A" w:rsidRPr="009118AB" w:rsidRDefault="00BE6F2A" w:rsidP="00477B8F">
      <w:pPr>
        <w:autoSpaceDE w:val="0"/>
        <w:autoSpaceDN w:val="0"/>
        <w:adjustRightInd w:val="0"/>
        <w:jc w:val="both"/>
      </w:pPr>
      <w:r w:rsidRPr="009118AB">
        <w:tab/>
      </w:r>
      <w:r w:rsidR="006079B8" w:rsidRPr="009118AB">
        <w:rPr>
          <w:rFonts w:eastAsia="Calibri"/>
        </w:rPr>
        <w:t>[...]</w:t>
      </w:r>
    </w:p>
    <w:p w14:paraId="291EE8AB" w14:textId="77777777" w:rsidR="004E7C72" w:rsidRPr="009118AB" w:rsidRDefault="004E7C72" w:rsidP="00477B8F">
      <w:pPr>
        <w:autoSpaceDE w:val="0"/>
        <w:autoSpaceDN w:val="0"/>
        <w:adjustRightInd w:val="0"/>
        <w:jc w:val="both"/>
      </w:pPr>
    </w:p>
    <w:p w14:paraId="21D0A351" w14:textId="77777777" w:rsidR="00477B8F" w:rsidRPr="009118AB" w:rsidRDefault="00477B8F" w:rsidP="00477B8F">
      <w:pPr>
        <w:autoSpaceDE w:val="0"/>
        <w:autoSpaceDN w:val="0"/>
        <w:adjustRightInd w:val="0"/>
        <w:jc w:val="both"/>
      </w:pPr>
      <w:r w:rsidRPr="009118AB">
        <w:lastRenderedPageBreak/>
        <w:tab/>
        <w:t>4. Entlohnungen von Familienmitgliedern des Steuerpflichtigen, die mit ihm arbeiten [...],</w:t>
      </w:r>
    </w:p>
    <w:p w14:paraId="5C1620EF" w14:textId="77777777" w:rsidR="00477B8F" w:rsidRPr="009118AB" w:rsidRDefault="00477B8F" w:rsidP="00477B8F">
      <w:pPr>
        <w:autoSpaceDE w:val="0"/>
        <w:autoSpaceDN w:val="0"/>
        <w:adjustRightInd w:val="0"/>
        <w:jc w:val="both"/>
      </w:pPr>
    </w:p>
    <w:p w14:paraId="57FA47BD" w14:textId="77777777" w:rsidR="00477B8F" w:rsidRPr="009118AB" w:rsidRDefault="00477B8F" w:rsidP="00477B8F">
      <w:pPr>
        <w:autoSpaceDE w:val="0"/>
        <w:autoSpaceDN w:val="0"/>
        <w:adjustRightInd w:val="0"/>
        <w:jc w:val="both"/>
      </w:pPr>
      <w:r w:rsidRPr="009118AB">
        <w:tab/>
        <w:t>5. Pensionen, Leib- oder Zeitrenten und als solche geltende Zulagen, die ehemaligen Personalmitgliedern oder ihren Rechtsnachfolgern in Ausführung einer vertraglichen Verpflichtung zuerkannt werden,</w:t>
      </w:r>
    </w:p>
    <w:p w14:paraId="379F1279" w14:textId="77777777" w:rsidR="00477B8F" w:rsidRPr="009118AB" w:rsidRDefault="00477B8F" w:rsidP="00477B8F">
      <w:pPr>
        <w:autoSpaceDE w:val="0"/>
        <w:autoSpaceDN w:val="0"/>
        <w:adjustRightInd w:val="0"/>
        <w:jc w:val="both"/>
      </w:pPr>
    </w:p>
    <w:p w14:paraId="6C948C9D" w14:textId="77777777" w:rsidR="00477B8F" w:rsidRPr="009118AB" w:rsidRDefault="00477B8F" w:rsidP="00477B8F">
      <w:pPr>
        <w:autoSpaceDE w:val="0"/>
        <w:autoSpaceDN w:val="0"/>
        <w:adjustRightInd w:val="0"/>
        <w:jc w:val="both"/>
      </w:pPr>
      <w:r w:rsidRPr="009118AB">
        <w:tab/>
        <w:t>6. Abschreibungen in Bezug auf Gründungskosten und auf immaterielle Anlagen und Sachanlagen, deren Nutzung zeitlich begrenzt ist,</w:t>
      </w:r>
    </w:p>
    <w:p w14:paraId="19E34904" w14:textId="77777777" w:rsidR="00B72ED7" w:rsidRPr="009118AB" w:rsidRDefault="00B72ED7" w:rsidP="00477B8F">
      <w:pPr>
        <w:autoSpaceDE w:val="0"/>
        <w:autoSpaceDN w:val="0"/>
        <w:adjustRightInd w:val="0"/>
      </w:pPr>
    </w:p>
    <w:p w14:paraId="3F74DA2C" w14:textId="77777777" w:rsidR="00477B8F" w:rsidRPr="009118AB" w:rsidRDefault="00477B8F" w:rsidP="00B72ED7">
      <w:pPr>
        <w:autoSpaceDE w:val="0"/>
        <w:autoSpaceDN w:val="0"/>
        <w:adjustRightInd w:val="0"/>
        <w:jc w:val="both"/>
      </w:pPr>
      <w:r w:rsidRPr="009118AB">
        <w:tab/>
        <w:t>7. persönliche Beiträge, die in Ausführung der sozialen Rechtsvorschriften oder einer gesetzlichen oder verordnungsrechtlichen Rechtsstellung, die die Betreffenden vom Geltungsbereich der sozialen Rechtsvorschriften ausschließt, geschuldet werden,</w:t>
      </w:r>
    </w:p>
    <w:p w14:paraId="00E29AE9" w14:textId="77777777" w:rsidR="00477B8F" w:rsidRPr="009118AB" w:rsidRDefault="00477B8F" w:rsidP="00477B8F">
      <w:pPr>
        <w:autoSpaceDE w:val="0"/>
        <w:autoSpaceDN w:val="0"/>
        <w:adjustRightInd w:val="0"/>
        <w:jc w:val="both"/>
      </w:pPr>
    </w:p>
    <w:p w14:paraId="105D96B8" w14:textId="42A7AB2E" w:rsidR="00477B8F" w:rsidRPr="009118AB" w:rsidRDefault="00477B8F" w:rsidP="00477B8F">
      <w:pPr>
        <w:autoSpaceDE w:val="0"/>
        <w:autoSpaceDN w:val="0"/>
        <w:adjustRightInd w:val="0"/>
        <w:jc w:val="both"/>
      </w:pPr>
      <w:r w:rsidRPr="009118AB">
        <w:tab/>
        <w:t>[7</w:t>
      </w:r>
      <w:r w:rsidRPr="009118AB">
        <w:rPr>
          <w:i/>
          <w:iCs/>
        </w:rPr>
        <w:t>bis</w:t>
      </w:r>
      <w:r w:rsidRPr="009118AB">
        <w:t xml:space="preserve">. in </w:t>
      </w:r>
      <w:r w:rsidR="00D67EB8" w:rsidRPr="009118AB">
        <w:t>Nr. </w:t>
      </w:r>
      <w:r w:rsidRPr="009118AB">
        <w:t>7 erwähnte Beiträge umfassen insbesondere die in Artikel 45 des Programmgesetzes vom 24. Dezember 2002 erwähnten Beiträge ausschließlich der Prämien oder Beiträge, die vom Landesinstitut für Kranken</w:t>
      </w:r>
      <w:r w:rsidRPr="009118AB">
        <w:noBreakHyphen/>
        <w:t xml:space="preserve"> und Invalidenversicherung direkt an eine Pensionseinrichtung gezahlt werden für Verträge in Ausführung der Regelung für Sozialvorteile, die in Artikel 54 des Gesetzes vom 14. Juli 1994 über die Gesundheitspflege</w:t>
      </w:r>
      <w:r w:rsidRPr="009118AB">
        <w:noBreakHyphen/>
        <w:t xml:space="preserve"> und Entschädigungspflichtversicherung vorgesehen ist, und die in Anwendung von Artikel 38 Absatz 1 </w:t>
      </w:r>
      <w:r w:rsidR="00D67EB8" w:rsidRPr="009118AB">
        <w:t>Nr. </w:t>
      </w:r>
      <w:r w:rsidRPr="009118AB">
        <w:t>16 für den Empfänger steuerfrei sind,]</w:t>
      </w:r>
    </w:p>
    <w:p w14:paraId="716BBB8D" w14:textId="77777777" w:rsidR="00477B8F" w:rsidRPr="009118AB" w:rsidRDefault="00477B8F" w:rsidP="00477B8F">
      <w:pPr>
        <w:autoSpaceDE w:val="0"/>
        <w:autoSpaceDN w:val="0"/>
        <w:adjustRightInd w:val="0"/>
        <w:jc w:val="both"/>
      </w:pPr>
    </w:p>
    <w:p w14:paraId="4D070A18" w14:textId="77777777" w:rsidR="00477B8F" w:rsidRPr="009118AB" w:rsidRDefault="00477B8F" w:rsidP="00477B8F">
      <w:pPr>
        <w:autoSpaceDE w:val="0"/>
        <w:autoSpaceDN w:val="0"/>
        <w:adjustRightInd w:val="0"/>
        <w:jc w:val="both"/>
      </w:pPr>
      <w:r w:rsidRPr="009118AB">
        <w:tab/>
        <w:t>8. [Summen, die der Steuerpflichtige für sich, seinen Ehepartner und Haushaltsmitglieder zu seinen Lasten an eine durch Königlichen Erlass zugelassene Krankenkasse in Form von Beiträgen im Rahmen einer Zusatzversicherung zahlt, um eine Beteiligung an den Kosten der Gesundheitspflege zu erhalten, die in Anwendung des am 14. Juli 1994 koordinierten Gesetzes über die Gesundheitspflege</w:t>
      </w:r>
      <w:r w:rsidRPr="009118AB">
        <w:noBreakHyphen/>
        <w:t xml:space="preserve"> und Entschädigungspflichtversicherung rückzahlbar sind, aber nicht in den Geltungsbereich des Königlichen Erlasses vom 30. Juli 1964 zur Festlegung der Bedingungen, gemäß denen die Anwendung desselben koordinierten Gesetzes auf Selbständige ausgedehnt wird, fallen, und zwar bis zu dem Betrag der Beteiligung, die in Anwendung des vorerwähnten koordinierten Gesetzes gezahlt werden kann,]</w:t>
      </w:r>
    </w:p>
    <w:p w14:paraId="221B1250" w14:textId="77777777" w:rsidR="00477B8F" w:rsidRPr="009118AB" w:rsidRDefault="00477B8F" w:rsidP="00477B8F">
      <w:pPr>
        <w:autoSpaceDE w:val="0"/>
        <w:autoSpaceDN w:val="0"/>
        <w:adjustRightInd w:val="0"/>
        <w:jc w:val="both"/>
      </w:pPr>
    </w:p>
    <w:p w14:paraId="039A4781" w14:textId="2B9E7DE5" w:rsidR="00477B8F" w:rsidRPr="009118AB" w:rsidRDefault="00477B8F" w:rsidP="00477B8F">
      <w:pPr>
        <w:autoSpaceDE w:val="0"/>
        <w:autoSpaceDN w:val="0"/>
        <w:adjustRightInd w:val="0"/>
        <w:jc w:val="both"/>
        <w:rPr>
          <w:spacing w:val="-4"/>
        </w:rPr>
      </w:pPr>
      <w:r w:rsidRPr="009118AB">
        <w:rPr>
          <w:spacing w:val="-4"/>
        </w:rPr>
        <w:tab/>
        <w:t>9. [</w:t>
      </w:r>
      <w:r w:rsidR="000E3BA9" w:rsidRPr="009118AB">
        <w:rPr>
          <w:bCs/>
          <w:spacing w:val="-4"/>
        </w:rPr>
        <w:t>einmalige ergebnisgebundene Vorteile, die in Anwendung von Kapitel II des Ge</w:t>
      </w:r>
      <w:r w:rsidR="000E3BA9" w:rsidRPr="009118AB">
        <w:rPr>
          <w:bCs/>
          <w:spacing w:val="-4"/>
        </w:rPr>
        <w:softHyphen/>
        <w:t>setzes vom 21. Dezember 2007 über die Ausführung des überberuflichen Abkommens 2007-2008 und von Titel XIII einziges Kapitel "</w:t>
      </w:r>
      <w:r w:rsidR="000E3BA9" w:rsidRPr="009118AB">
        <w:rPr>
          <w:spacing w:val="-4"/>
        </w:rPr>
        <w:t>Einführung eines Systems einmaliger ergebnis</w:t>
      </w:r>
      <w:r w:rsidR="000E3BA9" w:rsidRPr="009118AB">
        <w:rPr>
          <w:spacing w:val="-4"/>
        </w:rPr>
        <w:softHyphen/>
        <w:t>gebundener Vorteile für autonome öffentliche Unternehmen"</w:t>
      </w:r>
      <w:r w:rsidR="000E3BA9" w:rsidRPr="009118AB">
        <w:rPr>
          <w:bCs/>
          <w:spacing w:val="-4"/>
        </w:rPr>
        <w:t xml:space="preserve"> des Gesetzes vom 24. Juli 2008 zur Festlegung verschiedener Bestimmungen (I) gezahlt oder zuerkannt werden und </w:t>
      </w:r>
      <w:r w:rsidR="005B2ECB" w:rsidRPr="009118AB">
        <w:rPr>
          <w:bCs/>
          <w:spacing w:val="-4"/>
        </w:rPr>
        <w:t>[</w:t>
      </w:r>
      <w:r w:rsidR="005B2ECB" w:rsidRPr="009118AB">
        <w:t xml:space="preserve">dem Sonderbeitrag und dem Solidaritätsbeitrag, die in Artikel 38 </w:t>
      </w:r>
      <w:r w:rsidR="00D67EB8" w:rsidRPr="009118AB">
        <w:t>§ </w:t>
      </w:r>
      <w:r w:rsidR="005B2ECB" w:rsidRPr="009118AB">
        <w:t>3</w:t>
      </w:r>
      <w:r w:rsidR="005B2ECB" w:rsidRPr="009118AB">
        <w:rPr>
          <w:i/>
        </w:rPr>
        <w:t>novies</w:t>
      </w:r>
      <w:r w:rsidR="005B2ECB" w:rsidRPr="009118AB">
        <w:t xml:space="preserve"> des Gesetzes vom 29. Juni 1981 zur Festlegung der allgemeinen Grundsätze der sozialen Sicherheit für Lohnempfänger vorgesehen sind,]</w:t>
      </w:r>
      <w:r w:rsidR="000E3BA9" w:rsidRPr="009118AB">
        <w:rPr>
          <w:bCs/>
          <w:spacing w:val="-4"/>
        </w:rPr>
        <w:t xml:space="preserve"> tatsächlich unterliegen,</w:t>
      </w:r>
      <w:r w:rsidRPr="009118AB">
        <w:rPr>
          <w:spacing w:val="-4"/>
        </w:rPr>
        <w:t>]</w:t>
      </w:r>
    </w:p>
    <w:p w14:paraId="50B5DB6E" w14:textId="77777777" w:rsidR="00477B8F" w:rsidRPr="009118AB" w:rsidRDefault="00477B8F" w:rsidP="00477B8F">
      <w:pPr>
        <w:autoSpaceDE w:val="0"/>
        <w:autoSpaceDN w:val="0"/>
        <w:adjustRightInd w:val="0"/>
        <w:jc w:val="both"/>
      </w:pPr>
    </w:p>
    <w:p w14:paraId="6BAFF44F" w14:textId="77777777" w:rsidR="00477B8F" w:rsidRPr="009118AB" w:rsidRDefault="00477B8F" w:rsidP="00477B8F">
      <w:pPr>
        <w:autoSpaceDE w:val="0"/>
        <w:autoSpaceDN w:val="0"/>
        <w:adjustRightInd w:val="0"/>
        <w:jc w:val="both"/>
      </w:pPr>
      <w:r w:rsidRPr="009118AB">
        <w:tab/>
        <w:t>10. Beiträge zwecks Erhalts einer Entschädigung bei Arbeitsunfähigkeit wegen Krankheit und Invalidität,</w:t>
      </w:r>
    </w:p>
    <w:p w14:paraId="583C635F" w14:textId="77777777" w:rsidR="00477B8F" w:rsidRPr="009118AB" w:rsidRDefault="00477B8F" w:rsidP="00477B8F">
      <w:pPr>
        <w:autoSpaceDE w:val="0"/>
        <w:autoSpaceDN w:val="0"/>
        <w:adjustRightInd w:val="0"/>
        <w:jc w:val="both"/>
      </w:pPr>
    </w:p>
    <w:p w14:paraId="370B9573" w14:textId="16F97F7F" w:rsidR="00477B8F" w:rsidRPr="009118AB" w:rsidRDefault="00477B8F" w:rsidP="00477B8F">
      <w:pPr>
        <w:autoSpaceDE w:val="0"/>
        <w:autoSpaceDN w:val="0"/>
        <w:adjustRightInd w:val="0"/>
        <w:jc w:val="both"/>
      </w:pPr>
      <w:r w:rsidRPr="009118AB">
        <w:tab/>
        <w:t xml:space="preserve">11. von [Unternehmensleitern] tatsächlich gezahlte Zinsen auf Schulden, die gegenüber Dritten gemacht wurden im Hinblick auf [...] den Erwerb von Aktien oder Anteilen, die einen Teil des </w:t>
      </w:r>
      <w:r w:rsidR="00363711" w:rsidRPr="009118AB">
        <w:t>[K</w:t>
      </w:r>
      <w:r w:rsidRPr="009118AB">
        <w:t>apitals</w:t>
      </w:r>
      <w:r w:rsidR="00363711" w:rsidRPr="009118AB">
        <w:t>]</w:t>
      </w:r>
      <w:r w:rsidRPr="009118AB">
        <w:t xml:space="preserve"> einer inländischen Gesellschaft vertreten, von der sie während des Besteuerungszeitraums periodisch Entlohnungen beziehen; außer in Bezug auf die in Artikel 56 erwähnten Institute gelten nicht als Dritte die Gesellschaft selbst und jedes Unternehmen, dem </w:t>
      </w:r>
      <w:r w:rsidRPr="009118AB">
        <w:lastRenderedPageBreak/>
        <w:t>gegenüber diese Gesellschaft sich direkt oder indirekt in einem Verhältnis gege</w:t>
      </w:r>
      <w:r w:rsidR="00DF1146" w:rsidRPr="009118AB">
        <w:t>nseitiger Abhängigkeit befindet,</w:t>
      </w:r>
    </w:p>
    <w:p w14:paraId="1E00924E" w14:textId="77777777" w:rsidR="00DF1146" w:rsidRPr="009118AB" w:rsidRDefault="00DF1146" w:rsidP="00477B8F">
      <w:pPr>
        <w:autoSpaceDE w:val="0"/>
        <w:autoSpaceDN w:val="0"/>
        <w:adjustRightInd w:val="0"/>
        <w:jc w:val="both"/>
      </w:pPr>
    </w:p>
    <w:p w14:paraId="7C9CF7B6" w14:textId="00BBE38A" w:rsidR="00DF1146" w:rsidRPr="009118AB" w:rsidRDefault="00DF1146" w:rsidP="00477B8F">
      <w:pPr>
        <w:autoSpaceDE w:val="0"/>
        <w:autoSpaceDN w:val="0"/>
        <w:adjustRightInd w:val="0"/>
        <w:jc w:val="both"/>
      </w:pPr>
      <w:r w:rsidRPr="009118AB">
        <w:tab/>
        <w:t xml:space="preserve">[12. Salden der Mobilitätsbudgets, die gemäß Artikel 8 </w:t>
      </w:r>
      <w:r w:rsidR="00D67EB8" w:rsidRPr="009118AB">
        <w:t>§ </w:t>
      </w:r>
      <w:r w:rsidRPr="009118AB">
        <w:t>3 des Gesetzes vom 17. März 2019 über die Einführung eines Mobilitätsbudgets Arbeitnehmern zur Verfügung gestellt werden</w:t>
      </w:r>
      <w:r w:rsidR="003B696F" w:rsidRPr="009118AB">
        <w:t>,</w:t>
      </w:r>
      <w:r w:rsidRPr="009118AB">
        <w:t>]</w:t>
      </w:r>
    </w:p>
    <w:p w14:paraId="0E831D6D" w14:textId="77777777" w:rsidR="003B696F" w:rsidRPr="009118AB" w:rsidRDefault="003B696F" w:rsidP="00477B8F">
      <w:pPr>
        <w:autoSpaceDE w:val="0"/>
        <w:autoSpaceDN w:val="0"/>
        <w:adjustRightInd w:val="0"/>
        <w:jc w:val="both"/>
      </w:pPr>
    </w:p>
    <w:p w14:paraId="1AF5F5ED" w14:textId="3B9DB4B7" w:rsidR="003B696F" w:rsidRPr="009118AB" w:rsidRDefault="003B696F" w:rsidP="00477B8F">
      <w:pPr>
        <w:autoSpaceDE w:val="0"/>
        <w:autoSpaceDN w:val="0"/>
        <w:adjustRightInd w:val="0"/>
        <w:jc w:val="both"/>
      </w:pPr>
      <w:r w:rsidRPr="009118AB">
        <w:tab/>
        <w:t>[</w:t>
      </w:r>
      <w:r w:rsidRPr="009118AB">
        <w:rPr>
          <w:lang w:eastAsia="fr-BE"/>
        </w:rPr>
        <w:t>13. Käufe von Gütern und Dienstleistungen, die unter Posten II.A "Waren, Roh-, Hilfs- und Betriebsstoffe" der Ergebnisrechnung wie in Artikel 3:90 des Königlichen Erlasses vom 29. April 2019 zur Ausführung des Gesetzbuches der Gesellschaften und Vereinigungen bestimmt zu buchen sind.]</w:t>
      </w:r>
    </w:p>
    <w:p w14:paraId="52712455" w14:textId="77777777" w:rsidR="00477B8F" w:rsidRPr="009118AB" w:rsidRDefault="00477B8F" w:rsidP="00477B8F">
      <w:pPr>
        <w:autoSpaceDE w:val="0"/>
        <w:autoSpaceDN w:val="0"/>
        <w:adjustRightInd w:val="0"/>
        <w:jc w:val="both"/>
      </w:pPr>
    </w:p>
    <w:p w14:paraId="60D0279B" w14:textId="13F7F8ED" w:rsidR="00477B8F" w:rsidRPr="009118AB" w:rsidRDefault="00477B8F" w:rsidP="008132B3">
      <w:pPr>
        <w:jc w:val="both"/>
        <w:rPr>
          <w:i/>
          <w:iCs/>
        </w:rPr>
      </w:pPr>
      <w:r w:rsidRPr="009118AB">
        <w:rPr>
          <w:i/>
          <w:iCs/>
          <w:spacing w:val="-4"/>
        </w:rPr>
        <w:t>[</w:t>
      </w:r>
      <w:r w:rsidR="00D67EB8" w:rsidRPr="009118AB">
        <w:rPr>
          <w:i/>
          <w:iCs/>
          <w:spacing w:val="-4"/>
        </w:rPr>
        <w:t>Art. </w:t>
      </w:r>
      <w:r w:rsidRPr="009118AB">
        <w:rPr>
          <w:i/>
          <w:iCs/>
          <w:spacing w:val="-4"/>
        </w:rPr>
        <w:t xml:space="preserve">52 einziger Absatz einleitende Bestimmung abgeändert durch </w:t>
      </w:r>
      <w:r w:rsidR="00D67EB8" w:rsidRPr="009118AB">
        <w:rPr>
          <w:i/>
          <w:iCs/>
          <w:spacing w:val="-4"/>
        </w:rPr>
        <w:t>Art. </w:t>
      </w:r>
      <w:r w:rsidRPr="009118AB">
        <w:rPr>
          <w:i/>
          <w:iCs/>
          <w:spacing w:val="-4"/>
        </w:rPr>
        <w:t>8 des G. vom 10. August 2001 (B.S. vom 20. September 2001)</w:t>
      </w:r>
      <w:r w:rsidR="00D67EB8" w:rsidRPr="009118AB">
        <w:rPr>
          <w:i/>
          <w:iCs/>
          <w:spacing w:val="-4"/>
        </w:rPr>
        <w:t> - </w:t>
      </w:r>
      <w:r w:rsidRPr="009118AB">
        <w:rPr>
          <w:i/>
          <w:iCs/>
          <w:spacing w:val="-4"/>
        </w:rPr>
        <w:t>in Kraft ab dem Steuerjahr 2002</w:t>
      </w:r>
      <w:r w:rsidR="003366D9" w:rsidRPr="009118AB">
        <w:rPr>
          <w:i/>
          <w:iCs/>
          <w:spacing w:val="-4"/>
        </w:rPr>
        <w:t> -;</w:t>
      </w:r>
      <w:r w:rsidRPr="009118AB">
        <w:rPr>
          <w:i/>
          <w:iCs/>
          <w:spacing w:val="-4"/>
        </w:rPr>
        <w:t xml:space="preserve"> einziger Absatz </w:t>
      </w:r>
      <w:r w:rsidR="00D67EB8" w:rsidRPr="009118AB">
        <w:rPr>
          <w:i/>
          <w:iCs/>
          <w:spacing w:val="-4"/>
        </w:rPr>
        <w:t>Nr. </w:t>
      </w:r>
      <w:r w:rsidRPr="009118AB">
        <w:rPr>
          <w:i/>
          <w:iCs/>
          <w:spacing w:val="-4"/>
        </w:rPr>
        <w:t xml:space="preserve">1 abgeändert durch </w:t>
      </w:r>
      <w:r w:rsidR="00D67EB8" w:rsidRPr="009118AB">
        <w:rPr>
          <w:i/>
          <w:iCs/>
          <w:spacing w:val="-4"/>
        </w:rPr>
        <w:t>Art. </w:t>
      </w:r>
      <w:r w:rsidRPr="009118AB">
        <w:rPr>
          <w:i/>
          <w:iCs/>
          <w:spacing w:val="-4"/>
        </w:rPr>
        <w:t>4 des G. vom 30. März 1994 (B.S. vom 31. März 1994)</w:t>
      </w:r>
      <w:r w:rsidR="00D67EB8" w:rsidRPr="009118AB">
        <w:rPr>
          <w:i/>
          <w:iCs/>
          <w:spacing w:val="-4"/>
        </w:rPr>
        <w:t> - </w:t>
      </w:r>
      <w:r w:rsidRPr="009118AB">
        <w:rPr>
          <w:i/>
          <w:iCs/>
          <w:spacing w:val="-4"/>
        </w:rPr>
        <w:t>anwendbar ab dem Steuerjahr 1995</w:t>
      </w:r>
      <w:r w:rsidR="003366D9" w:rsidRPr="009118AB">
        <w:rPr>
          <w:i/>
          <w:iCs/>
          <w:spacing w:val="-4"/>
        </w:rPr>
        <w:t> -;</w:t>
      </w:r>
      <w:r w:rsidRPr="009118AB">
        <w:rPr>
          <w:i/>
          <w:iCs/>
          <w:spacing w:val="-4"/>
        </w:rPr>
        <w:t xml:space="preserve"> einziger Absatz </w:t>
      </w:r>
      <w:r w:rsidR="00D67EB8" w:rsidRPr="009118AB">
        <w:rPr>
          <w:i/>
          <w:iCs/>
          <w:spacing w:val="-4"/>
        </w:rPr>
        <w:t>Nr. </w:t>
      </w:r>
      <w:r w:rsidRPr="009118AB">
        <w:rPr>
          <w:i/>
          <w:iCs/>
          <w:spacing w:val="-4"/>
        </w:rPr>
        <w:t xml:space="preserve">3 ersetzt durch </w:t>
      </w:r>
      <w:r w:rsidR="00D67EB8" w:rsidRPr="009118AB">
        <w:rPr>
          <w:i/>
          <w:iCs/>
          <w:spacing w:val="-4"/>
        </w:rPr>
        <w:t>Art. </w:t>
      </w:r>
      <w:r w:rsidRPr="009118AB">
        <w:rPr>
          <w:i/>
          <w:iCs/>
          <w:spacing w:val="-4"/>
        </w:rPr>
        <w:t>79 des G. vom 28. April 2003 (B.S. vom 15. Mai 2003)</w:t>
      </w:r>
      <w:r w:rsidR="00D67EB8" w:rsidRPr="009118AB">
        <w:rPr>
          <w:i/>
          <w:iCs/>
          <w:spacing w:val="-4"/>
        </w:rPr>
        <w:t> - </w:t>
      </w:r>
      <w:r w:rsidRPr="009118AB">
        <w:rPr>
          <w:i/>
          <w:iCs/>
          <w:spacing w:val="-4"/>
        </w:rPr>
        <w:t>anwendbar auf Beiträge und Prämien, die in Ausführung individueller Vereinbarungen, die ab dem 1. Januar 2004 abgeschlossen werden, gezahlt werden und auf andere als auf oben erwähnte Beiträge und Prämien, die ab dem 1. Januar 2004 gezahlt werden</w:t>
      </w:r>
      <w:r w:rsidR="003366D9" w:rsidRPr="009118AB">
        <w:rPr>
          <w:i/>
          <w:iCs/>
          <w:spacing w:val="-4"/>
        </w:rPr>
        <w:t> -;</w:t>
      </w:r>
      <w:r w:rsidR="00F12B3A" w:rsidRPr="009118AB">
        <w:rPr>
          <w:i/>
          <w:iCs/>
          <w:spacing w:val="-4"/>
        </w:rPr>
        <w:t xml:space="preserve"> einziger Absatz </w:t>
      </w:r>
      <w:r w:rsidR="00D67EB8" w:rsidRPr="009118AB">
        <w:rPr>
          <w:i/>
          <w:iCs/>
          <w:spacing w:val="-4"/>
        </w:rPr>
        <w:t>Nr. </w:t>
      </w:r>
      <w:r w:rsidR="00F12B3A" w:rsidRPr="009118AB">
        <w:rPr>
          <w:i/>
          <w:iCs/>
          <w:spacing w:val="-4"/>
        </w:rPr>
        <w:t xml:space="preserve">3 einziger Absatz Buchstabe d) eingefügt durch </w:t>
      </w:r>
      <w:r w:rsidR="00D67EB8" w:rsidRPr="009118AB">
        <w:rPr>
          <w:i/>
          <w:iCs/>
          <w:spacing w:val="-4"/>
        </w:rPr>
        <w:t>Art. </w:t>
      </w:r>
      <w:r w:rsidR="00F12B3A" w:rsidRPr="009118AB">
        <w:rPr>
          <w:i/>
          <w:iCs/>
          <w:spacing w:val="-4"/>
        </w:rPr>
        <w:t>18 des G. vom 21. Dezember 2007 (B.S. vom 31. Dezember 2007)</w:t>
      </w:r>
      <w:r w:rsidR="00D67EB8" w:rsidRPr="009118AB">
        <w:rPr>
          <w:i/>
          <w:iCs/>
          <w:spacing w:val="-4"/>
        </w:rPr>
        <w:t> - </w:t>
      </w:r>
      <w:r w:rsidR="00F12B3A" w:rsidRPr="009118AB">
        <w:rPr>
          <w:i/>
          <w:iCs/>
          <w:spacing w:val="-4"/>
        </w:rPr>
        <w:t xml:space="preserve">anwendbar </w:t>
      </w:r>
      <w:r w:rsidR="00F12B3A" w:rsidRPr="009118AB">
        <w:rPr>
          <w:bCs/>
          <w:i/>
          <w:spacing w:val="-4"/>
        </w:rPr>
        <w:t xml:space="preserve">auf </w:t>
      </w:r>
      <w:r w:rsidR="00F12B3A" w:rsidRPr="009118AB">
        <w:rPr>
          <w:i/>
          <w:spacing w:val="-4"/>
        </w:rPr>
        <w:t>Vorteile, die</w:t>
      </w:r>
      <w:r w:rsidR="00F12B3A" w:rsidRPr="009118AB">
        <w:rPr>
          <w:bCs/>
          <w:i/>
          <w:spacing w:val="-4"/>
        </w:rPr>
        <w:t xml:space="preserve"> </w:t>
      </w:r>
      <w:r w:rsidR="00F12B3A" w:rsidRPr="009118AB">
        <w:rPr>
          <w:i/>
          <w:spacing w:val="-4"/>
        </w:rPr>
        <w:t xml:space="preserve">auf der </w:t>
      </w:r>
      <w:r w:rsidR="00F12B3A" w:rsidRPr="009118AB">
        <w:rPr>
          <w:i/>
          <w:iCs/>
        </w:rPr>
        <w:t>Grundlage des vorliegenden Kapitels ab dem 1. Januar 2008 gezahlt oder zuerkannt werden gemäß dem Verfahren, den Modalitäten und den Bedingungen, die durch kollektives Arbeitsabkommen festgelegt werden, das im Nationalen Arbeitsrat abgeschlossen wird</w:t>
      </w:r>
      <w:r w:rsidR="003366D9" w:rsidRPr="009118AB">
        <w:rPr>
          <w:i/>
          <w:iCs/>
        </w:rPr>
        <w:t> -;</w:t>
      </w:r>
      <w:r w:rsidR="007E553C" w:rsidRPr="009118AB">
        <w:rPr>
          <w:i/>
          <w:iCs/>
        </w:rPr>
        <w:t xml:space="preserve"> </w:t>
      </w:r>
      <w:r w:rsidR="00102B22" w:rsidRPr="009118AB">
        <w:rPr>
          <w:i/>
          <w:iCs/>
        </w:rPr>
        <w:t xml:space="preserve">einziger Absatz </w:t>
      </w:r>
      <w:r w:rsidR="00D67EB8" w:rsidRPr="009118AB">
        <w:rPr>
          <w:i/>
          <w:iCs/>
        </w:rPr>
        <w:t>Nr. </w:t>
      </w:r>
      <w:r w:rsidR="00102B22" w:rsidRPr="009118AB">
        <w:rPr>
          <w:i/>
          <w:iCs/>
        </w:rPr>
        <w:t xml:space="preserve">3 einziger Absatz Buchstabe e) eingefügt durch </w:t>
      </w:r>
      <w:r w:rsidR="00D67EB8" w:rsidRPr="009118AB">
        <w:rPr>
          <w:i/>
          <w:iCs/>
        </w:rPr>
        <w:t>Art. </w:t>
      </w:r>
      <w:r w:rsidR="00102B22" w:rsidRPr="009118AB">
        <w:rPr>
          <w:i/>
          <w:iCs/>
        </w:rPr>
        <w:t>30 des G. vom 16. November 2015 (B.S. vom 26. November 2015)</w:t>
      </w:r>
      <w:r w:rsidR="00D67EB8" w:rsidRPr="009118AB">
        <w:rPr>
          <w:i/>
          <w:iCs/>
        </w:rPr>
        <w:t> - </w:t>
      </w:r>
      <w:r w:rsidR="003F576C" w:rsidRPr="009118AB">
        <w:rPr>
          <w:i/>
          <w:iCs/>
        </w:rPr>
        <w:t>anwendbar auf Entlohnungen</w:t>
      </w:r>
      <w:r w:rsidR="003F576C" w:rsidRPr="009118AB">
        <w:rPr>
          <w:i/>
        </w:rPr>
        <w:t>, die ab dem 1. Dezember 2015 gezahlt oder zuerkannt werden</w:t>
      </w:r>
      <w:r w:rsidR="003366D9" w:rsidRPr="009118AB">
        <w:rPr>
          <w:i/>
        </w:rPr>
        <w:t> -;</w:t>
      </w:r>
      <w:r w:rsidR="00102B22" w:rsidRPr="009118AB">
        <w:rPr>
          <w:i/>
        </w:rPr>
        <w:t xml:space="preserve"> </w:t>
      </w:r>
      <w:r w:rsidR="00BE6F2A" w:rsidRPr="009118AB">
        <w:rPr>
          <w:i/>
        </w:rPr>
        <w:t xml:space="preserve">einziger Absatz </w:t>
      </w:r>
      <w:r w:rsidR="00D67EB8" w:rsidRPr="009118AB">
        <w:rPr>
          <w:i/>
        </w:rPr>
        <w:t>Nr. </w:t>
      </w:r>
      <w:r w:rsidR="00BE6F2A" w:rsidRPr="009118AB">
        <w:rPr>
          <w:i/>
        </w:rPr>
        <w:t xml:space="preserve">3 einziger Absatz </w:t>
      </w:r>
      <w:r w:rsidR="006079B8" w:rsidRPr="009118AB">
        <w:rPr>
          <w:i/>
        </w:rPr>
        <w:t xml:space="preserve">früherer </w:t>
      </w:r>
      <w:r w:rsidR="00BE6F2A" w:rsidRPr="009118AB">
        <w:rPr>
          <w:i/>
        </w:rPr>
        <w:t xml:space="preserve">Buchstabe f) eingefügt durch </w:t>
      </w:r>
      <w:r w:rsidR="00D67EB8" w:rsidRPr="009118AB">
        <w:rPr>
          <w:i/>
        </w:rPr>
        <w:t>Art. </w:t>
      </w:r>
      <w:r w:rsidR="00BE6F2A" w:rsidRPr="009118AB">
        <w:rPr>
          <w:i/>
        </w:rPr>
        <w:t>26 des G. vom 30. März 2018 (B.S. vom 7. Mai 2018)</w:t>
      </w:r>
      <w:r w:rsidR="00D67EB8" w:rsidRPr="009118AB">
        <w:rPr>
          <w:i/>
        </w:rPr>
        <w:t> - </w:t>
      </w:r>
      <w:r w:rsidR="00BE6F2A" w:rsidRPr="009118AB">
        <w:rPr>
          <w:i/>
        </w:rPr>
        <w:t>in Kraft am 1. Januar 2018</w:t>
      </w:r>
      <w:r w:rsidR="00FD68E8" w:rsidRPr="009118AB">
        <w:rPr>
          <w:i/>
        </w:rPr>
        <w:t> -,</w:t>
      </w:r>
      <w:r w:rsidR="006079B8" w:rsidRPr="009118AB">
        <w:rPr>
          <w:i/>
        </w:rPr>
        <w:t xml:space="preserve"> selbst für nichtig erklärt durch </w:t>
      </w:r>
      <w:r w:rsidR="006079B8" w:rsidRPr="009118AB">
        <w:rPr>
          <w:i/>
          <w:iCs/>
        </w:rPr>
        <w:t xml:space="preserve">Entscheid </w:t>
      </w:r>
      <w:r w:rsidR="00D67EB8" w:rsidRPr="009118AB">
        <w:rPr>
          <w:i/>
          <w:iCs/>
        </w:rPr>
        <w:t>Nr. </w:t>
      </w:r>
      <w:r w:rsidR="006079B8" w:rsidRPr="009118AB">
        <w:rPr>
          <w:i/>
          <w:iCs/>
        </w:rPr>
        <w:t>11/2020 des Verfassungsgerichtshofes vom 23. Januar 2020 (B.S. vom 24. Februar 2020)</w:t>
      </w:r>
      <w:r w:rsidR="00BE6F2A" w:rsidRPr="009118AB">
        <w:rPr>
          <w:i/>
        </w:rPr>
        <w:t xml:space="preserve">; </w:t>
      </w:r>
      <w:r w:rsidRPr="009118AB">
        <w:rPr>
          <w:i/>
          <w:iCs/>
          <w:spacing w:val="-4"/>
        </w:rPr>
        <w:t xml:space="preserve">einziger Absatz </w:t>
      </w:r>
      <w:r w:rsidR="00D67EB8" w:rsidRPr="009118AB">
        <w:rPr>
          <w:i/>
          <w:iCs/>
          <w:spacing w:val="-4"/>
        </w:rPr>
        <w:t>Nr. </w:t>
      </w:r>
      <w:r w:rsidRPr="009118AB">
        <w:rPr>
          <w:i/>
          <w:iCs/>
          <w:spacing w:val="-4"/>
        </w:rPr>
        <w:t xml:space="preserve">4 abgeändert durch </w:t>
      </w:r>
      <w:r w:rsidR="00D67EB8" w:rsidRPr="009118AB">
        <w:rPr>
          <w:i/>
          <w:iCs/>
          <w:spacing w:val="-4"/>
        </w:rPr>
        <w:t>Art. </w:t>
      </w:r>
      <w:r w:rsidRPr="009118AB">
        <w:rPr>
          <w:i/>
          <w:iCs/>
          <w:spacing w:val="-4"/>
        </w:rPr>
        <w:t>19 des G. (I) vom 24. Dezember 2002</w:t>
      </w:r>
      <w:r w:rsidR="00D86BCC" w:rsidRPr="009118AB">
        <w:rPr>
          <w:i/>
          <w:iCs/>
          <w:spacing w:val="-4"/>
        </w:rPr>
        <w:t xml:space="preserve"> (I)</w:t>
      </w:r>
      <w:r w:rsidRPr="009118AB">
        <w:rPr>
          <w:i/>
          <w:iCs/>
          <w:spacing w:val="-4"/>
        </w:rPr>
        <w:t xml:space="preserve"> (B.S. vom 31. Dezember 2002)</w:t>
      </w:r>
      <w:r w:rsidR="00D67EB8" w:rsidRPr="009118AB">
        <w:rPr>
          <w:i/>
          <w:iCs/>
          <w:spacing w:val="-4"/>
        </w:rPr>
        <w:t> - </w:t>
      </w:r>
      <w:r w:rsidRPr="009118AB">
        <w:rPr>
          <w:i/>
          <w:iCs/>
          <w:spacing w:val="-4"/>
        </w:rPr>
        <w:t>in Kraft ab dem Steuerjahr 2004</w:t>
      </w:r>
      <w:r w:rsidR="003366D9" w:rsidRPr="009118AB">
        <w:rPr>
          <w:i/>
          <w:iCs/>
          <w:spacing w:val="-4"/>
        </w:rPr>
        <w:t> -;</w:t>
      </w:r>
      <w:r w:rsidRPr="009118AB">
        <w:rPr>
          <w:i/>
          <w:iCs/>
          <w:spacing w:val="-4"/>
        </w:rPr>
        <w:t xml:space="preserve"> einziger Absatz </w:t>
      </w:r>
      <w:r w:rsidR="00D67EB8" w:rsidRPr="009118AB">
        <w:rPr>
          <w:i/>
          <w:iCs/>
          <w:spacing w:val="-4"/>
        </w:rPr>
        <w:t>Nr. </w:t>
      </w:r>
      <w:r w:rsidRPr="009118AB">
        <w:rPr>
          <w:i/>
          <w:iCs/>
          <w:spacing w:val="-4"/>
        </w:rPr>
        <w:t xml:space="preserve">7bis eingefügt durch </w:t>
      </w:r>
      <w:r w:rsidR="00D67EB8" w:rsidRPr="009118AB">
        <w:rPr>
          <w:i/>
          <w:iCs/>
          <w:spacing w:val="-4"/>
        </w:rPr>
        <w:t>Art. </w:t>
      </w:r>
      <w:r w:rsidRPr="009118AB">
        <w:rPr>
          <w:i/>
          <w:iCs/>
          <w:spacing w:val="-4"/>
        </w:rPr>
        <w:t>75 des G. (I) vom 24. Dezember 2002</w:t>
      </w:r>
      <w:r w:rsidR="00D86BCC" w:rsidRPr="009118AB">
        <w:rPr>
          <w:i/>
          <w:iCs/>
          <w:spacing w:val="-4"/>
        </w:rPr>
        <w:t xml:space="preserve"> (I)</w:t>
      </w:r>
      <w:r w:rsidRPr="009118AB">
        <w:rPr>
          <w:i/>
          <w:iCs/>
          <w:spacing w:val="-4"/>
        </w:rPr>
        <w:t xml:space="preserve"> (B.S. vom 31. Dezember 2002)</w:t>
      </w:r>
      <w:r w:rsidR="00D67EB8" w:rsidRPr="009118AB">
        <w:rPr>
          <w:i/>
          <w:iCs/>
          <w:spacing w:val="-4"/>
        </w:rPr>
        <w:t> - </w:t>
      </w:r>
      <w:r w:rsidRPr="009118AB">
        <w:rPr>
          <w:i/>
          <w:iCs/>
          <w:spacing w:val="-4"/>
        </w:rPr>
        <w:t>in Kraft ab dem Steuerjahr 2005</w:t>
      </w:r>
      <w:r w:rsidR="003366D9" w:rsidRPr="009118AB">
        <w:rPr>
          <w:i/>
          <w:iCs/>
          <w:spacing w:val="-4"/>
        </w:rPr>
        <w:t> -;</w:t>
      </w:r>
      <w:r w:rsidRPr="009118AB">
        <w:rPr>
          <w:i/>
          <w:iCs/>
          <w:spacing w:val="-4"/>
        </w:rPr>
        <w:t xml:space="preserve"> einziger Absatz </w:t>
      </w:r>
      <w:r w:rsidR="00D67EB8" w:rsidRPr="009118AB">
        <w:rPr>
          <w:i/>
          <w:iCs/>
          <w:spacing w:val="-4"/>
        </w:rPr>
        <w:t>Nr. </w:t>
      </w:r>
      <w:r w:rsidRPr="009118AB">
        <w:rPr>
          <w:i/>
          <w:iCs/>
          <w:spacing w:val="-4"/>
        </w:rPr>
        <w:t xml:space="preserve">8 ersetzt durch </w:t>
      </w:r>
      <w:r w:rsidR="00D67EB8" w:rsidRPr="009118AB">
        <w:rPr>
          <w:i/>
          <w:iCs/>
          <w:spacing w:val="-4"/>
        </w:rPr>
        <w:t>Art. </w:t>
      </w:r>
      <w:r w:rsidRPr="009118AB">
        <w:rPr>
          <w:i/>
          <w:iCs/>
          <w:spacing w:val="-4"/>
        </w:rPr>
        <w:t xml:space="preserve">9 des G. vom 22. Dezember 1998 (B.S. vom 15. Januar 1999); einziger Absatz </w:t>
      </w:r>
      <w:r w:rsidR="00D67EB8" w:rsidRPr="009118AB">
        <w:rPr>
          <w:i/>
          <w:iCs/>
          <w:spacing w:val="-4"/>
        </w:rPr>
        <w:t>Nr. </w:t>
      </w:r>
      <w:r w:rsidRPr="009118AB">
        <w:rPr>
          <w:i/>
          <w:iCs/>
          <w:spacing w:val="-4"/>
        </w:rPr>
        <w:t xml:space="preserve">9 aufgehoben durch </w:t>
      </w:r>
      <w:r w:rsidR="00D67EB8" w:rsidRPr="009118AB">
        <w:rPr>
          <w:i/>
          <w:iCs/>
          <w:spacing w:val="-4"/>
        </w:rPr>
        <w:t>Art. </w:t>
      </w:r>
      <w:r w:rsidRPr="009118AB">
        <w:rPr>
          <w:i/>
          <w:iCs/>
          <w:spacing w:val="-4"/>
        </w:rPr>
        <w:t>78 des G. vom 28. Dezember 1992 (B.S. vom 31. Dezember 1992)</w:t>
      </w:r>
      <w:r w:rsidR="00D67EB8" w:rsidRPr="009118AB">
        <w:rPr>
          <w:i/>
          <w:iCs/>
          <w:spacing w:val="-4"/>
        </w:rPr>
        <w:t> - </w:t>
      </w:r>
      <w:r w:rsidRPr="009118AB">
        <w:rPr>
          <w:i/>
          <w:iCs/>
          <w:spacing w:val="-4"/>
        </w:rPr>
        <w:t>anwendbar ab dem Steuerjahr 1994</w:t>
      </w:r>
      <w:r w:rsidR="00FD68E8" w:rsidRPr="009118AB">
        <w:rPr>
          <w:i/>
          <w:iCs/>
          <w:spacing w:val="-4"/>
        </w:rPr>
        <w:t> -,</w:t>
      </w:r>
      <w:r w:rsidR="001C3C2D" w:rsidRPr="009118AB">
        <w:rPr>
          <w:i/>
          <w:iCs/>
          <w:spacing w:val="-4"/>
        </w:rPr>
        <w:t xml:space="preserve"> wieder aufgenommen durch </w:t>
      </w:r>
      <w:r w:rsidR="00D67EB8" w:rsidRPr="009118AB">
        <w:rPr>
          <w:i/>
          <w:iCs/>
          <w:spacing w:val="-4"/>
        </w:rPr>
        <w:t>Art. </w:t>
      </w:r>
      <w:r w:rsidR="001C3C2D" w:rsidRPr="009118AB">
        <w:rPr>
          <w:i/>
          <w:iCs/>
          <w:spacing w:val="-4"/>
        </w:rPr>
        <w:t>19 des G. vom 21. Dezember 2007 (B.S. vom 31. Dezember 2007)</w:t>
      </w:r>
      <w:r w:rsidR="00D67EB8" w:rsidRPr="009118AB">
        <w:rPr>
          <w:i/>
          <w:iCs/>
          <w:spacing w:val="-4"/>
        </w:rPr>
        <w:t> - </w:t>
      </w:r>
      <w:r w:rsidR="001C3C2D" w:rsidRPr="009118AB">
        <w:rPr>
          <w:i/>
          <w:iCs/>
          <w:spacing w:val="-4"/>
        </w:rPr>
        <w:t xml:space="preserve">anwendbar </w:t>
      </w:r>
      <w:r w:rsidR="001C3C2D" w:rsidRPr="009118AB">
        <w:rPr>
          <w:bCs/>
          <w:i/>
          <w:spacing w:val="-4"/>
        </w:rPr>
        <w:t xml:space="preserve">auf </w:t>
      </w:r>
      <w:r w:rsidR="001C3C2D" w:rsidRPr="009118AB">
        <w:rPr>
          <w:i/>
          <w:spacing w:val="-4"/>
        </w:rPr>
        <w:t>Vorteile, die</w:t>
      </w:r>
      <w:r w:rsidR="001C3C2D" w:rsidRPr="009118AB">
        <w:rPr>
          <w:bCs/>
          <w:i/>
          <w:spacing w:val="-4"/>
        </w:rPr>
        <w:t xml:space="preserve"> </w:t>
      </w:r>
      <w:r w:rsidR="001C3C2D" w:rsidRPr="009118AB">
        <w:rPr>
          <w:i/>
          <w:spacing w:val="-4"/>
        </w:rPr>
        <w:t xml:space="preserve">auf der Grundlage des vorliegenden Kapitels ab dem 1. Januar 2008 </w:t>
      </w:r>
      <w:r w:rsidR="001C3C2D" w:rsidRPr="009118AB">
        <w:rPr>
          <w:bCs/>
          <w:i/>
          <w:spacing w:val="-4"/>
        </w:rPr>
        <w:t>gezahlt oder zuerkannt werden</w:t>
      </w:r>
      <w:r w:rsidR="001C3C2D" w:rsidRPr="009118AB">
        <w:rPr>
          <w:i/>
          <w:spacing w:val="-4"/>
        </w:rPr>
        <w:t xml:space="preserve"> gemäß dem Verfahren, den Modalitäten und den Bedingungen, die durch kollektives Arbeitsabkommen festgelegt werden, das im Nationalen Arbeitsrat abgeschlossen wird</w:t>
      </w:r>
      <w:r w:rsidR="00FD68E8" w:rsidRPr="009118AB">
        <w:rPr>
          <w:bCs/>
          <w:i/>
          <w:spacing w:val="-4"/>
        </w:rPr>
        <w:t> -,</w:t>
      </w:r>
      <w:r w:rsidR="000E3BA9" w:rsidRPr="009118AB">
        <w:rPr>
          <w:bCs/>
          <w:i/>
          <w:spacing w:val="-4"/>
        </w:rPr>
        <w:t xml:space="preserve"> ersetzt durch </w:t>
      </w:r>
      <w:r w:rsidR="00D67EB8" w:rsidRPr="009118AB">
        <w:rPr>
          <w:bCs/>
          <w:i/>
          <w:spacing w:val="-4"/>
        </w:rPr>
        <w:t>Art. </w:t>
      </w:r>
      <w:r w:rsidR="000E3BA9" w:rsidRPr="009118AB">
        <w:rPr>
          <w:bCs/>
          <w:i/>
          <w:spacing w:val="-4"/>
        </w:rPr>
        <w:t>170</w:t>
      </w:r>
      <w:r w:rsidR="000E3BA9" w:rsidRPr="009118AB">
        <w:rPr>
          <w:i/>
          <w:iCs/>
          <w:spacing w:val="-4"/>
        </w:rPr>
        <w:t xml:space="preserve"> des G. (I) vom 24.</w:t>
      </w:r>
      <w:r w:rsidR="0095015A" w:rsidRPr="009118AB">
        <w:rPr>
          <w:i/>
          <w:iCs/>
          <w:spacing w:val="-4"/>
        </w:rPr>
        <w:t> </w:t>
      </w:r>
      <w:r w:rsidR="000E3BA9" w:rsidRPr="009118AB">
        <w:rPr>
          <w:i/>
          <w:iCs/>
          <w:spacing w:val="-4"/>
        </w:rPr>
        <w:t>Juli 2008 (I) (B.S. vom 7. August 2008)</w:t>
      </w:r>
      <w:r w:rsidR="00D67EB8" w:rsidRPr="009118AB">
        <w:rPr>
          <w:i/>
          <w:iCs/>
          <w:spacing w:val="-4"/>
        </w:rPr>
        <w:t> - </w:t>
      </w:r>
      <w:r w:rsidR="000E3BA9" w:rsidRPr="009118AB">
        <w:rPr>
          <w:i/>
          <w:iCs/>
          <w:spacing w:val="-4"/>
        </w:rPr>
        <w:t>anwendbar</w:t>
      </w:r>
      <w:r w:rsidR="000E3BA9" w:rsidRPr="009118AB">
        <w:rPr>
          <w:bCs/>
          <w:i/>
          <w:iCs/>
          <w:spacing w:val="-4"/>
        </w:rPr>
        <w:t xml:space="preserve"> auf </w:t>
      </w:r>
      <w:r w:rsidR="000E3BA9" w:rsidRPr="009118AB">
        <w:rPr>
          <w:i/>
          <w:iCs/>
          <w:spacing w:val="-4"/>
        </w:rPr>
        <w:t>Vorteile, die</w:t>
      </w:r>
      <w:r w:rsidR="000E3BA9" w:rsidRPr="009118AB">
        <w:rPr>
          <w:bCs/>
          <w:i/>
          <w:iCs/>
          <w:spacing w:val="-4"/>
        </w:rPr>
        <w:t xml:space="preserve"> </w:t>
      </w:r>
      <w:r w:rsidR="000E3BA9" w:rsidRPr="009118AB">
        <w:rPr>
          <w:i/>
          <w:iCs/>
          <w:spacing w:val="-4"/>
        </w:rPr>
        <w:t>auf der Grundlage des einzigen Kapitels des Titels</w:t>
      </w:r>
      <w:r w:rsidR="005F065E" w:rsidRPr="009118AB">
        <w:rPr>
          <w:i/>
          <w:iCs/>
          <w:spacing w:val="-4"/>
        </w:rPr>
        <w:t> </w:t>
      </w:r>
      <w:r w:rsidR="000E3BA9" w:rsidRPr="009118AB">
        <w:rPr>
          <w:i/>
          <w:iCs/>
          <w:spacing w:val="-4"/>
        </w:rPr>
        <w:t xml:space="preserve">XIII ab dem 1. Januar 2008 </w:t>
      </w:r>
      <w:r w:rsidR="000E3BA9" w:rsidRPr="009118AB">
        <w:rPr>
          <w:bCs/>
          <w:i/>
          <w:iCs/>
          <w:spacing w:val="-4"/>
        </w:rPr>
        <w:t>gezahlt oder zuerkannt werden</w:t>
      </w:r>
      <w:r w:rsidR="000E3BA9" w:rsidRPr="009118AB">
        <w:rPr>
          <w:i/>
          <w:iCs/>
          <w:spacing w:val="-4"/>
        </w:rPr>
        <w:t xml:space="preserve"> gemäß dem Verfahren, den Modalitäten und den Bedingungen, die in dem in Artikel 160 erwähnten im Ministerrat beratenen Königlichen Erlass festgelegt werden</w:t>
      </w:r>
      <w:r w:rsidR="00D67EB8" w:rsidRPr="009118AB">
        <w:rPr>
          <w:i/>
          <w:iCs/>
          <w:spacing w:val="-4"/>
        </w:rPr>
        <w:t> - </w:t>
      </w:r>
      <w:r w:rsidR="005B2ECB" w:rsidRPr="009118AB">
        <w:rPr>
          <w:i/>
          <w:iCs/>
          <w:spacing w:val="-4"/>
        </w:rPr>
        <w:t xml:space="preserve">und abgeändert durch </w:t>
      </w:r>
      <w:r w:rsidR="00D67EB8" w:rsidRPr="009118AB">
        <w:rPr>
          <w:i/>
          <w:iCs/>
          <w:spacing w:val="-4"/>
        </w:rPr>
        <w:t>Art. </w:t>
      </w:r>
      <w:r w:rsidR="005B2ECB" w:rsidRPr="009118AB">
        <w:rPr>
          <w:i/>
          <w:iCs/>
          <w:spacing w:val="-4"/>
        </w:rPr>
        <w:t>39</w:t>
      </w:r>
      <w:r w:rsidR="005B2ECB" w:rsidRPr="009118AB">
        <w:rPr>
          <w:i/>
        </w:rPr>
        <w:t xml:space="preserve"> des G. vom 30. Juli 2013 (B.S. vom 1. August 2013)</w:t>
      </w:r>
      <w:r w:rsidR="00D67EB8" w:rsidRPr="009118AB">
        <w:rPr>
          <w:i/>
        </w:rPr>
        <w:t> - </w:t>
      </w:r>
      <w:r w:rsidR="005B2ECB" w:rsidRPr="009118AB">
        <w:rPr>
          <w:i/>
        </w:rPr>
        <w:t xml:space="preserve">anwendbar auf die ab dem 1. Januar 2013 gezahlten oder </w:t>
      </w:r>
      <w:r w:rsidR="005B2ECB" w:rsidRPr="009118AB">
        <w:rPr>
          <w:i/>
          <w:iCs/>
        </w:rPr>
        <w:t>zuerkannten Vorteile</w:t>
      </w:r>
      <w:r w:rsidR="003366D9" w:rsidRPr="009118AB">
        <w:rPr>
          <w:i/>
          <w:iCs/>
        </w:rPr>
        <w:t> -;</w:t>
      </w:r>
      <w:r w:rsidRPr="009118AB">
        <w:rPr>
          <w:i/>
          <w:iCs/>
        </w:rPr>
        <w:t xml:space="preserve"> einziger Absatz </w:t>
      </w:r>
      <w:r w:rsidR="00D67EB8" w:rsidRPr="009118AB">
        <w:rPr>
          <w:i/>
          <w:iCs/>
        </w:rPr>
        <w:t>Nr. </w:t>
      </w:r>
      <w:r w:rsidRPr="009118AB">
        <w:rPr>
          <w:i/>
          <w:iCs/>
        </w:rPr>
        <w:t xml:space="preserve">11 abgeändert durch </w:t>
      </w:r>
      <w:r w:rsidR="00D67EB8" w:rsidRPr="009118AB">
        <w:rPr>
          <w:i/>
          <w:iCs/>
        </w:rPr>
        <w:t>Art. </w:t>
      </w:r>
      <w:r w:rsidRPr="009118AB">
        <w:rPr>
          <w:i/>
          <w:iCs/>
        </w:rPr>
        <w:t>3 des G. vom 20. Dezember 1995 (B.S. vom 23. Dezember 1995)</w:t>
      </w:r>
      <w:r w:rsidR="00D67EB8" w:rsidRPr="009118AB">
        <w:rPr>
          <w:i/>
          <w:iCs/>
        </w:rPr>
        <w:t> - </w:t>
      </w:r>
      <w:r w:rsidRPr="009118AB">
        <w:rPr>
          <w:i/>
          <w:iCs/>
        </w:rPr>
        <w:t>anwendbar auf Verbindlichkeiten, die ab dem 17. Oktober 1995 eingegangen werden</w:t>
      </w:r>
      <w:r w:rsidR="00FD68E8" w:rsidRPr="009118AB">
        <w:rPr>
          <w:i/>
          <w:iCs/>
        </w:rPr>
        <w:t> -,</w:t>
      </w:r>
      <w:r w:rsidRPr="009118AB">
        <w:rPr>
          <w:i/>
          <w:iCs/>
        </w:rPr>
        <w:t xml:space="preserve"> </w:t>
      </w:r>
      <w:r w:rsidR="00D67EB8" w:rsidRPr="009118AB">
        <w:rPr>
          <w:i/>
          <w:iCs/>
        </w:rPr>
        <w:t>Art. </w:t>
      </w:r>
      <w:r w:rsidRPr="009118AB">
        <w:rPr>
          <w:i/>
          <w:iCs/>
        </w:rPr>
        <w:t>10 des K.E. vom 20. Dezember 1996 (B.S. vom 31. Dezember 1996)</w:t>
      </w:r>
      <w:r w:rsidR="00D67EB8" w:rsidRPr="009118AB">
        <w:rPr>
          <w:i/>
          <w:iCs/>
        </w:rPr>
        <w:t> - </w:t>
      </w:r>
      <w:r w:rsidRPr="009118AB">
        <w:rPr>
          <w:i/>
          <w:iCs/>
        </w:rPr>
        <w:t>in Kraft ab dem Steuerjahr 1998</w:t>
      </w:r>
      <w:r w:rsidR="00D67EB8" w:rsidRPr="009118AB">
        <w:rPr>
          <w:i/>
          <w:iCs/>
        </w:rPr>
        <w:t> - </w:t>
      </w:r>
      <w:r w:rsidR="00363711" w:rsidRPr="009118AB">
        <w:rPr>
          <w:i/>
          <w:iCs/>
        </w:rPr>
        <w:t xml:space="preserve">und </w:t>
      </w:r>
      <w:r w:rsidR="00D67EB8" w:rsidRPr="009118AB">
        <w:rPr>
          <w:i/>
          <w:iCs/>
        </w:rPr>
        <w:t>Art. </w:t>
      </w:r>
      <w:r w:rsidR="00363711" w:rsidRPr="009118AB">
        <w:rPr>
          <w:i/>
          <w:iCs/>
        </w:rPr>
        <w:t xml:space="preserve">10 des G. vom </w:t>
      </w:r>
      <w:r w:rsidR="00363711" w:rsidRPr="009118AB">
        <w:rPr>
          <w:i/>
          <w:iCs/>
        </w:rPr>
        <w:lastRenderedPageBreak/>
        <w:t>17. März 2019 (III) (B.S. vom 10. Mai 2019)</w:t>
      </w:r>
      <w:r w:rsidR="00D67EB8" w:rsidRPr="009118AB">
        <w:rPr>
          <w:i/>
          <w:iCs/>
        </w:rPr>
        <w:t> - </w:t>
      </w:r>
      <w:r w:rsidR="00363711" w:rsidRPr="009118AB">
        <w:rPr>
          <w:i/>
          <w:iCs/>
        </w:rPr>
        <w:t>in Kraft am 1. Mai 2019 und anwendbar auf den ab dem 1. Mai 2019 getätigten</w:t>
      </w:r>
      <w:r w:rsidR="00363711" w:rsidRPr="009118AB">
        <w:rPr>
          <w:i/>
          <w:iCs/>
          <w:spacing w:val="-2"/>
        </w:rPr>
        <w:t xml:space="preserve"> Erwerb von Aktien oder Anteilen</w:t>
      </w:r>
      <w:r w:rsidR="003366D9" w:rsidRPr="009118AB">
        <w:rPr>
          <w:i/>
          <w:iCs/>
          <w:spacing w:val="-2"/>
        </w:rPr>
        <w:t> -;</w:t>
      </w:r>
      <w:r w:rsidR="00325E53" w:rsidRPr="009118AB">
        <w:rPr>
          <w:i/>
          <w:iCs/>
          <w:spacing w:val="-2"/>
        </w:rPr>
        <w:t xml:space="preserve"> einziger Absatz </w:t>
      </w:r>
      <w:r w:rsidR="00D67EB8" w:rsidRPr="009118AB">
        <w:rPr>
          <w:i/>
          <w:iCs/>
          <w:spacing w:val="-2"/>
        </w:rPr>
        <w:t>Nr. </w:t>
      </w:r>
      <w:r w:rsidR="00325E53" w:rsidRPr="009118AB">
        <w:rPr>
          <w:i/>
          <w:iCs/>
          <w:spacing w:val="-2"/>
        </w:rPr>
        <w:t xml:space="preserve">12 </w:t>
      </w:r>
      <w:r w:rsidR="00325E53" w:rsidRPr="009118AB">
        <w:rPr>
          <w:i/>
          <w:iCs/>
        </w:rPr>
        <w:t xml:space="preserve">eingefügt durch </w:t>
      </w:r>
      <w:r w:rsidR="00D67EB8" w:rsidRPr="009118AB">
        <w:rPr>
          <w:i/>
          <w:iCs/>
        </w:rPr>
        <w:t>Art. </w:t>
      </w:r>
      <w:r w:rsidR="00325E53" w:rsidRPr="009118AB">
        <w:rPr>
          <w:i/>
          <w:iCs/>
        </w:rPr>
        <w:t>25 des G. vom 17. März 2019 (IV) (B.S. vom 29. März 2019)</w:t>
      </w:r>
      <w:r w:rsidR="00D67EB8" w:rsidRPr="009118AB">
        <w:rPr>
          <w:i/>
          <w:iCs/>
        </w:rPr>
        <w:t> - </w:t>
      </w:r>
      <w:r w:rsidR="00325E53" w:rsidRPr="009118AB">
        <w:rPr>
          <w:i/>
          <w:iCs/>
        </w:rPr>
        <w:t>in Kraft am 1. März 2019</w:t>
      </w:r>
      <w:r w:rsidR="003366D9" w:rsidRPr="009118AB">
        <w:rPr>
          <w:i/>
          <w:iCs/>
        </w:rPr>
        <w:t> -;</w:t>
      </w:r>
      <w:r w:rsidR="003B696F" w:rsidRPr="009118AB">
        <w:rPr>
          <w:i/>
          <w:iCs/>
        </w:rPr>
        <w:t xml:space="preserve"> einziger Absatz </w:t>
      </w:r>
      <w:r w:rsidR="00D67EB8" w:rsidRPr="009118AB">
        <w:rPr>
          <w:i/>
          <w:iCs/>
        </w:rPr>
        <w:t>Nr. </w:t>
      </w:r>
      <w:r w:rsidR="003B696F" w:rsidRPr="009118AB">
        <w:rPr>
          <w:i/>
          <w:iCs/>
        </w:rPr>
        <w:t xml:space="preserve">13 eingefügt durch </w:t>
      </w:r>
      <w:r w:rsidR="00D67EB8" w:rsidRPr="009118AB">
        <w:rPr>
          <w:i/>
          <w:iCs/>
        </w:rPr>
        <w:t>Art. </w:t>
      </w:r>
      <w:r w:rsidR="003B696F" w:rsidRPr="009118AB">
        <w:rPr>
          <w:i/>
          <w:iCs/>
        </w:rPr>
        <w:t>29 des G. vom 21. Januar 2022 (B.S. vom 28. Januar 2022)</w:t>
      </w:r>
      <w:r w:rsidR="00D67EB8" w:rsidRPr="009118AB">
        <w:rPr>
          <w:i/>
          <w:iCs/>
        </w:rPr>
        <w:t> - </w:t>
      </w:r>
      <w:r w:rsidR="003B696F" w:rsidRPr="009118AB">
        <w:rPr>
          <w:i/>
          <w:iCs/>
        </w:rPr>
        <w:t>anwendbar ab dem Steuerjahr 2022</w:t>
      </w:r>
      <w:r w:rsidR="00FD68E8" w:rsidRPr="009118AB">
        <w:rPr>
          <w:i/>
          <w:iCs/>
        </w:rPr>
        <w:t> -]</w:t>
      </w:r>
    </w:p>
    <w:p w14:paraId="2C8C4B36" w14:textId="77777777" w:rsidR="00477B8F" w:rsidRPr="009118AB" w:rsidRDefault="00477B8F" w:rsidP="00477B8F">
      <w:pPr>
        <w:autoSpaceDE w:val="0"/>
        <w:autoSpaceDN w:val="0"/>
        <w:adjustRightInd w:val="0"/>
        <w:jc w:val="both"/>
        <w:rPr>
          <w:i/>
          <w:iCs/>
        </w:rPr>
      </w:pPr>
    </w:p>
    <w:p w14:paraId="1D2E31A8" w14:textId="1E015DCA" w:rsidR="00BE6F2A" w:rsidRPr="009118AB" w:rsidRDefault="00BE6F2A"/>
    <w:p w14:paraId="1033C81C" w14:textId="3762BC3F"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52</w:t>
      </w:r>
      <w:r w:rsidRPr="009118AB">
        <w:rPr>
          <w:b/>
          <w:bCs/>
          <w:i/>
          <w:iCs/>
        </w:rPr>
        <w:t>bis</w:t>
      </w:r>
      <w:r w:rsidR="00D67EB8" w:rsidRPr="009118AB">
        <w:rPr>
          <w:b/>
          <w:bCs/>
        </w:rPr>
        <w:t> - </w:t>
      </w:r>
      <w:r w:rsidRPr="009118AB">
        <w:t xml:space="preserve">Summen, die ein Steuerpflichtiger, der in Artikel 23 </w:t>
      </w:r>
      <w:r w:rsidR="00D67EB8" w:rsidRPr="009118AB">
        <w:t>§ </w:t>
      </w:r>
      <w:r w:rsidRPr="009118AB">
        <w:t xml:space="preserve">1 </w:t>
      </w:r>
      <w:r w:rsidR="00D67EB8" w:rsidRPr="009118AB">
        <w:t>Nr. </w:t>
      </w:r>
      <w:r w:rsidRPr="009118AB">
        <w:t>1 und 2 erwähnte Gewinne oder Profite bezieht, tatsächlich zugunsten eines Zentrums für Kleinkindbetreuung zahlt, gelten unter folgenden Bedingungen als Werbungskosten:</w:t>
      </w:r>
    </w:p>
    <w:p w14:paraId="2D9097FD" w14:textId="77777777" w:rsidR="00477B8F" w:rsidRPr="009118AB" w:rsidRDefault="00477B8F" w:rsidP="00477B8F">
      <w:pPr>
        <w:autoSpaceDE w:val="0"/>
        <w:autoSpaceDN w:val="0"/>
        <w:adjustRightInd w:val="0"/>
        <w:jc w:val="both"/>
      </w:pPr>
    </w:p>
    <w:p w14:paraId="1F239922" w14:textId="7B1E5011" w:rsidR="00477B8F" w:rsidRPr="009118AB" w:rsidRDefault="00477B8F" w:rsidP="00477B8F">
      <w:pPr>
        <w:autoSpaceDE w:val="0"/>
        <w:autoSpaceDN w:val="0"/>
        <w:adjustRightInd w:val="0"/>
        <w:jc w:val="both"/>
      </w:pPr>
      <w:r w:rsidRPr="009118AB">
        <w:tab/>
        <w:t xml:space="preserve">1. Das Betreuungszentrum ist eine von [der Regierung] der Deutschsprachigen Gemeinschaft, dem </w:t>
      </w:r>
      <w:r w:rsidR="00117C1A" w:rsidRPr="009118AB">
        <w:t>"</w:t>
      </w:r>
      <w:r w:rsidRPr="009118AB">
        <w:t>Office de la naissance et de l</w:t>
      </w:r>
      <w:r w:rsidR="00A16BB8" w:rsidRPr="009118AB">
        <w:t>'</w:t>
      </w:r>
      <w:r w:rsidRPr="009118AB">
        <w:t>enfance</w:t>
      </w:r>
      <w:r w:rsidR="00117C1A" w:rsidRPr="009118AB">
        <w:t>"</w:t>
      </w:r>
      <w:r w:rsidRPr="009118AB">
        <w:t xml:space="preserve"> oder </w:t>
      </w:r>
      <w:r w:rsidR="00117C1A" w:rsidRPr="009118AB">
        <w:t>"</w:t>
      </w:r>
      <w:r w:rsidR="000C0C82" w:rsidRPr="009118AB">
        <w:t>[Opgroeien regie]</w:t>
      </w:r>
      <w:r w:rsidR="00117C1A" w:rsidRPr="009118AB">
        <w:t>"</w:t>
      </w:r>
      <w:r w:rsidRPr="009118AB">
        <w:t xml:space="preserve"> </w:t>
      </w:r>
      <w:r w:rsidR="00B8126F" w:rsidRPr="009118AB">
        <w:t>[anerkannte, zugelassene oder bezuschusste Einrichtung]</w:t>
      </w:r>
      <w:r w:rsidRPr="009118AB">
        <w:t>.</w:t>
      </w:r>
    </w:p>
    <w:p w14:paraId="33B6671F" w14:textId="77777777" w:rsidR="00477B8F" w:rsidRPr="009118AB" w:rsidRDefault="00477B8F" w:rsidP="00477B8F">
      <w:pPr>
        <w:autoSpaceDE w:val="0"/>
        <w:autoSpaceDN w:val="0"/>
        <w:adjustRightInd w:val="0"/>
        <w:jc w:val="both"/>
      </w:pPr>
    </w:p>
    <w:p w14:paraId="779EEBD2" w14:textId="6E97D873" w:rsidR="00477B8F" w:rsidRPr="009118AB" w:rsidRDefault="00477B8F" w:rsidP="00477B8F">
      <w:pPr>
        <w:autoSpaceDE w:val="0"/>
        <w:autoSpaceDN w:val="0"/>
        <w:adjustRightInd w:val="0"/>
        <w:jc w:val="both"/>
      </w:pPr>
      <w:r w:rsidRPr="009118AB">
        <w:tab/>
        <w:t xml:space="preserve">2. Die Summen werden dem Betreuungszentrum direkt oder über die in </w:t>
      </w:r>
      <w:r w:rsidR="00D67EB8" w:rsidRPr="009118AB">
        <w:t>Nr. </w:t>
      </w:r>
      <w:r w:rsidRPr="009118AB">
        <w:t>1 erwähnte zuständige Stelle gemäß den anwendbaren Vorschriften der betreffenden Gemeinschaft gezahlt.</w:t>
      </w:r>
    </w:p>
    <w:p w14:paraId="26C9D625" w14:textId="77777777" w:rsidR="00477B8F" w:rsidRPr="009118AB" w:rsidRDefault="00477B8F" w:rsidP="00477B8F">
      <w:pPr>
        <w:autoSpaceDE w:val="0"/>
        <w:autoSpaceDN w:val="0"/>
        <w:adjustRightInd w:val="0"/>
        <w:jc w:val="both"/>
      </w:pPr>
    </w:p>
    <w:p w14:paraId="282910DA" w14:textId="77777777" w:rsidR="00477B8F" w:rsidRPr="009118AB" w:rsidRDefault="00477B8F" w:rsidP="00477B8F">
      <w:pPr>
        <w:autoSpaceDE w:val="0"/>
        <w:autoSpaceDN w:val="0"/>
        <w:adjustRightInd w:val="0"/>
        <w:jc w:val="both"/>
      </w:pPr>
      <w:r w:rsidRPr="009118AB">
        <w:tab/>
        <w:t>3. Die Summen werden vom Betreuungszentrum zur Finanzierung von Betriebskosten und Ausgaben für Infrastruktur oder Ausrüstung genutzt, die ab dem 1. Januar 2003 erforderlich sind für die Schaffung von Betreuungsplätzen für Kinder unter drei Jahren, die die von der betreffenden Gemeinschaft vorgesehenen Bedingungen erfüllen, oder die für den Erhalt der auf diese Weise geschaffenen Plätze erforderlich sind.</w:t>
      </w:r>
    </w:p>
    <w:p w14:paraId="4A7832A4" w14:textId="77777777" w:rsidR="00477B8F" w:rsidRPr="009118AB" w:rsidRDefault="00477B8F" w:rsidP="00477B8F">
      <w:pPr>
        <w:autoSpaceDE w:val="0"/>
        <w:autoSpaceDN w:val="0"/>
        <w:adjustRightInd w:val="0"/>
        <w:jc w:val="both"/>
      </w:pPr>
    </w:p>
    <w:p w14:paraId="003BA74E" w14:textId="77777777" w:rsidR="00477B8F" w:rsidRPr="009118AB" w:rsidRDefault="00477B8F" w:rsidP="00477B8F">
      <w:pPr>
        <w:autoSpaceDE w:val="0"/>
        <w:autoSpaceDN w:val="0"/>
        <w:adjustRightInd w:val="0"/>
        <w:jc w:val="both"/>
      </w:pPr>
      <w:r w:rsidRPr="009118AB">
        <w:tab/>
        <w:t>4. Die Summen dürfen nicht zur Bezahlung der normalen Beteiligung der Eltern an der Betreuung ihrer Kinder benutzt werden.</w:t>
      </w:r>
    </w:p>
    <w:p w14:paraId="0B8E1A21" w14:textId="77777777" w:rsidR="00477B8F" w:rsidRPr="009118AB" w:rsidRDefault="00477B8F" w:rsidP="00477B8F">
      <w:pPr>
        <w:autoSpaceDE w:val="0"/>
        <w:autoSpaceDN w:val="0"/>
        <w:adjustRightInd w:val="0"/>
        <w:jc w:val="both"/>
      </w:pPr>
    </w:p>
    <w:p w14:paraId="658D1FB5" w14:textId="072252A5" w:rsidR="003951A9" w:rsidRPr="009118AB" w:rsidRDefault="00477B8F" w:rsidP="00EA0965">
      <w:pPr>
        <w:autoSpaceDE w:val="0"/>
        <w:autoSpaceDN w:val="0"/>
        <w:adjustRightInd w:val="0"/>
        <w:jc w:val="both"/>
      </w:pPr>
      <w:r w:rsidRPr="009118AB">
        <w:tab/>
        <w:t xml:space="preserve">5. Summen, die als Werbungskosten gelten können, dürfen pro Besteuerungszeitraum 5.250 EUR pro Betreuungsplatz wie in </w:t>
      </w:r>
      <w:r w:rsidR="00D67EB8" w:rsidRPr="009118AB">
        <w:t>Nr. </w:t>
      </w:r>
      <w:r w:rsidRPr="009118AB">
        <w:t>3 erwähnt nicht übersteigen.</w:t>
      </w:r>
    </w:p>
    <w:p w14:paraId="7206420D" w14:textId="77777777" w:rsidR="00EA0965" w:rsidRPr="009118AB" w:rsidRDefault="00EA0965" w:rsidP="00EA0965">
      <w:pPr>
        <w:autoSpaceDE w:val="0"/>
        <w:autoSpaceDN w:val="0"/>
        <w:adjustRightInd w:val="0"/>
        <w:jc w:val="both"/>
      </w:pPr>
    </w:p>
    <w:p w14:paraId="7520DF6F" w14:textId="2479B462" w:rsidR="00477B8F" w:rsidRPr="009118AB" w:rsidRDefault="00477B8F" w:rsidP="00477B8F">
      <w:pPr>
        <w:autoSpaceDE w:val="0"/>
        <w:autoSpaceDN w:val="0"/>
        <w:adjustRightInd w:val="0"/>
        <w:jc w:val="both"/>
      </w:pPr>
      <w:r w:rsidRPr="009118AB">
        <w:tab/>
        <w:t xml:space="preserve">6. Die zuständige Stelle stellt dem Steuerpflichtigen, der die Summen gezahlt hat, jährlich einen Beleg pro Betreuungszentrum aus, in dem sie erklärt, dass die in vorliegendem Artikel aufgeführten Bedingungen eingehalten wurden, und in dem sie den Betrag, der zur Schaffung oder zum Erhalt der in </w:t>
      </w:r>
      <w:r w:rsidR="00D67EB8" w:rsidRPr="009118AB">
        <w:t>Nr. </w:t>
      </w:r>
      <w:r w:rsidRPr="009118AB">
        <w:t>3 erwähnten Betreuungsplätze verwendet wurde, und die Anzahl betreffender Plätze genau angibt.]</w:t>
      </w:r>
    </w:p>
    <w:p w14:paraId="0928A920" w14:textId="77777777" w:rsidR="00477B8F" w:rsidRPr="009118AB" w:rsidRDefault="00477B8F" w:rsidP="00477B8F">
      <w:pPr>
        <w:autoSpaceDE w:val="0"/>
        <w:autoSpaceDN w:val="0"/>
        <w:adjustRightInd w:val="0"/>
        <w:jc w:val="both"/>
      </w:pPr>
    </w:p>
    <w:p w14:paraId="77ECF794" w14:textId="31EFA5B1"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52bis eingefügt durch </w:t>
      </w:r>
      <w:r w:rsidR="00D67EB8" w:rsidRPr="009118AB">
        <w:rPr>
          <w:i/>
          <w:iCs/>
        </w:rPr>
        <w:t>Art. </w:t>
      </w:r>
      <w:r w:rsidRPr="009118AB">
        <w:rPr>
          <w:i/>
          <w:iCs/>
        </w:rPr>
        <w:t>104 des G. vom 8. April 2</w:t>
      </w:r>
      <w:r w:rsidR="005E3D7F" w:rsidRPr="009118AB">
        <w:rPr>
          <w:i/>
          <w:iCs/>
        </w:rPr>
        <w:t>003 (B.S. vom 17. April 2003)</w:t>
      </w:r>
      <w:r w:rsidR="00D67EB8" w:rsidRPr="009118AB">
        <w:rPr>
          <w:i/>
          <w:iCs/>
        </w:rPr>
        <w:t> - </w:t>
      </w:r>
      <w:r w:rsidRPr="009118AB">
        <w:rPr>
          <w:i/>
          <w:iCs/>
        </w:rPr>
        <w:t>anwendbar auf Summen, die ab dem 1. Januar 2003 effektiv gezahlt werden</w:t>
      </w:r>
      <w:r w:rsidR="003366D9" w:rsidRPr="009118AB">
        <w:rPr>
          <w:i/>
          <w:iCs/>
        </w:rPr>
        <w:t> -;</w:t>
      </w:r>
      <w:r w:rsidRPr="009118AB">
        <w:rPr>
          <w:i/>
          <w:iCs/>
        </w:rPr>
        <w:t xml:space="preserve"> einziger Absatz </w:t>
      </w:r>
      <w:r w:rsidR="00D67EB8" w:rsidRPr="009118AB">
        <w:rPr>
          <w:i/>
          <w:iCs/>
        </w:rPr>
        <w:t>Nr. </w:t>
      </w:r>
      <w:r w:rsidRPr="009118AB">
        <w:rPr>
          <w:i/>
          <w:iCs/>
        </w:rPr>
        <w:t xml:space="preserve">1 abgeändert durch </w:t>
      </w:r>
      <w:r w:rsidR="00D67EB8" w:rsidRPr="009118AB">
        <w:rPr>
          <w:i/>
          <w:iCs/>
        </w:rPr>
        <w:t>Art. </w:t>
      </w:r>
      <w:r w:rsidRPr="009118AB">
        <w:rPr>
          <w:i/>
          <w:iCs/>
        </w:rPr>
        <w:t>130 des G. vom 1. März 2007 (III) (B.S. vom 14. März 2007)</w:t>
      </w:r>
      <w:r w:rsidR="000C0C82" w:rsidRPr="009118AB">
        <w:rPr>
          <w:i/>
          <w:iCs/>
        </w:rPr>
        <w:t>,</w:t>
      </w:r>
      <w:r w:rsidR="00B8126F" w:rsidRPr="009118AB">
        <w:rPr>
          <w:i/>
          <w:iCs/>
        </w:rPr>
        <w:t xml:space="preserve"> </w:t>
      </w:r>
      <w:r w:rsidR="00D67EB8" w:rsidRPr="009118AB">
        <w:rPr>
          <w:i/>
          <w:iCs/>
        </w:rPr>
        <w:t>Art. </w:t>
      </w:r>
      <w:r w:rsidR="00B8126F" w:rsidRPr="009118AB">
        <w:rPr>
          <w:i/>
          <w:iCs/>
        </w:rPr>
        <w:t>36 des G. vom 18. Dezember 2015 (II) (B.S. vom 28. Dezember 2015)</w:t>
      </w:r>
      <w:r w:rsidR="00D67EB8" w:rsidRPr="009118AB">
        <w:rPr>
          <w:i/>
          <w:iCs/>
        </w:rPr>
        <w:t> - </w:t>
      </w:r>
      <w:r w:rsidR="00B8126F" w:rsidRPr="009118AB">
        <w:rPr>
          <w:i/>
          <w:iCs/>
        </w:rPr>
        <w:t>anwendbar ab dem 1. April 2014</w:t>
      </w:r>
      <w:r w:rsidR="00D67EB8" w:rsidRPr="009118AB">
        <w:rPr>
          <w:i/>
          <w:iCs/>
        </w:rPr>
        <w:t> - </w:t>
      </w:r>
      <w:r w:rsidR="000C0C82" w:rsidRPr="009118AB">
        <w:rPr>
          <w:i/>
          <w:iCs/>
        </w:rPr>
        <w:t xml:space="preserve">und </w:t>
      </w:r>
      <w:r w:rsidR="00D67EB8" w:rsidRPr="009118AB">
        <w:rPr>
          <w:i/>
          <w:iCs/>
        </w:rPr>
        <w:t>Art. </w:t>
      </w:r>
      <w:r w:rsidR="000C0C82" w:rsidRPr="009118AB">
        <w:rPr>
          <w:i/>
          <w:iCs/>
        </w:rPr>
        <w:t>25</w:t>
      </w:r>
      <w:r w:rsidR="000C0C82" w:rsidRPr="009118AB">
        <w:rPr>
          <w:i/>
        </w:rPr>
        <w:t xml:space="preserve"> des G. vom 27. Juni 2021 (B.S. vom 30. Juni 2021)</w:t>
      </w:r>
      <w:r w:rsidRPr="009118AB">
        <w:rPr>
          <w:i/>
          <w:iCs/>
        </w:rPr>
        <w:t>]</w:t>
      </w:r>
    </w:p>
    <w:p w14:paraId="58E2E97E" w14:textId="77777777" w:rsidR="00FF40FE" w:rsidRPr="009118AB" w:rsidRDefault="00FF40FE" w:rsidP="00477B8F">
      <w:pPr>
        <w:autoSpaceDE w:val="0"/>
        <w:autoSpaceDN w:val="0"/>
        <w:adjustRightInd w:val="0"/>
      </w:pPr>
    </w:p>
    <w:p w14:paraId="14246303" w14:textId="77777777" w:rsidR="00BE6F2A" w:rsidRPr="009118AB" w:rsidRDefault="00BE6F2A" w:rsidP="00477B8F">
      <w:pPr>
        <w:autoSpaceDE w:val="0"/>
        <w:autoSpaceDN w:val="0"/>
        <w:adjustRightInd w:val="0"/>
      </w:pPr>
    </w:p>
    <w:p w14:paraId="52F73491" w14:textId="0EA8682E" w:rsidR="00BE6F2A" w:rsidRPr="009118AB" w:rsidRDefault="00BE6F2A" w:rsidP="00BE6F2A">
      <w:pPr>
        <w:autoSpaceDE w:val="0"/>
        <w:autoSpaceDN w:val="0"/>
        <w:adjustRightInd w:val="0"/>
        <w:jc w:val="both"/>
      </w:pPr>
      <w:r w:rsidRPr="009118AB">
        <w:tab/>
        <w:t>[</w:t>
      </w:r>
      <w:r w:rsidR="006079B8" w:rsidRPr="009118AB">
        <w:rPr>
          <w:rFonts w:eastAsia="Calibri"/>
          <w:bCs/>
        </w:rPr>
        <w:t>..</w:t>
      </w:r>
      <w:r w:rsidRPr="009118AB">
        <w:rPr>
          <w:rFonts w:eastAsia="Calibri"/>
        </w:rPr>
        <w:t>.</w:t>
      </w:r>
      <w:r w:rsidRPr="009118AB">
        <w:t>]</w:t>
      </w:r>
    </w:p>
    <w:p w14:paraId="70A88DA4" w14:textId="77777777" w:rsidR="00BE6F2A" w:rsidRPr="009118AB" w:rsidRDefault="00BE6F2A" w:rsidP="00477B8F">
      <w:pPr>
        <w:autoSpaceDE w:val="0"/>
        <w:autoSpaceDN w:val="0"/>
        <w:adjustRightInd w:val="0"/>
      </w:pPr>
    </w:p>
    <w:p w14:paraId="0D4ECD29" w14:textId="693E25BB" w:rsidR="00BE6F2A" w:rsidRPr="009118AB" w:rsidRDefault="00BE6F2A" w:rsidP="00C45FEE">
      <w:pPr>
        <w:autoSpaceDE w:val="0"/>
        <w:autoSpaceDN w:val="0"/>
        <w:adjustRightInd w:val="0"/>
        <w:jc w:val="both"/>
        <w:rPr>
          <w:i/>
        </w:rPr>
      </w:pPr>
      <w:r w:rsidRPr="009118AB">
        <w:rPr>
          <w:i/>
        </w:rPr>
        <w:t>[</w:t>
      </w:r>
      <w:r w:rsidR="006079B8" w:rsidRPr="009118AB">
        <w:rPr>
          <w:i/>
        </w:rPr>
        <w:t xml:space="preserve">Früherer </w:t>
      </w:r>
      <w:r w:rsidR="005E3D7F" w:rsidRPr="009118AB">
        <w:rPr>
          <w:i/>
        </w:rPr>
        <w:t>Art</w:t>
      </w:r>
      <w:r w:rsidR="006079B8" w:rsidRPr="009118AB">
        <w:rPr>
          <w:i/>
        </w:rPr>
        <w:t>ikel</w:t>
      </w:r>
      <w:r w:rsidR="005E3D7F" w:rsidRPr="009118AB">
        <w:rPr>
          <w:i/>
        </w:rPr>
        <w:t> </w:t>
      </w:r>
      <w:r w:rsidRPr="009118AB">
        <w:rPr>
          <w:i/>
        </w:rPr>
        <w:t xml:space="preserve">52ter eingefügt durch </w:t>
      </w:r>
      <w:r w:rsidR="00D67EB8" w:rsidRPr="009118AB">
        <w:rPr>
          <w:i/>
        </w:rPr>
        <w:t>Art. </w:t>
      </w:r>
      <w:r w:rsidRPr="009118AB">
        <w:rPr>
          <w:i/>
        </w:rPr>
        <w:t>27 des G. vom 30. März 2018 (B.S. vom 7. Mai 2018)</w:t>
      </w:r>
      <w:r w:rsidR="00D67EB8" w:rsidRPr="009118AB">
        <w:rPr>
          <w:i/>
        </w:rPr>
        <w:t> - </w:t>
      </w:r>
      <w:r w:rsidRPr="009118AB">
        <w:rPr>
          <w:i/>
        </w:rPr>
        <w:t>in Kraft am 1. Januar 2018</w:t>
      </w:r>
      <w:r w:rsidR="00FD68E8" w:rsidRPr="009118AB">
        <w:rPr>
          <w:i/>
        </w:rPr>
        <w:t> -,</w:t>
      </w:r>
      <w:r w:rsidR="006079B8" w:rsidRPr="009118AB">
        <w:rPr>
          <w:i/>
        </w:rPr>
        <w:t xml:space="preserve"> selbst für nichtig erklärt durch</w:t>
      </w:r>
      <w:r w:rsidR="006079B8" w:rsidRPr="009118AB">
        <w:rPr>
          <w:i/>
          <w:iCs/>
        </w:rPr>
        <w:t xml:space="preserve"> Entscheid </w:t>
      </w:r>
      <w:r w:rsidR="00D67EB8" w:rsidRPr="009118AB">
        <w:rPr>
          <w:i/>
          <w:iCs/>
        </w:rPr>
        <w:t>Nr. </w:t>
      </w:r>
      <w:r w:rsidR="006079B8" w:rsidRPr="009118AB">
        <w:rPr>
          <w:i/>
          <w:iCs/>
        </w:rPr>
        <w:t>11/2020 des Verfassungsgerichtshofes vom 23. Januar 2020 (B.S. vom 24. Februar 2020)</w:t>
      </w:r>
      <w:r w:rsidRPr="009118AB">
        <w:rPr>
          <w:i/>
        </w:rPr>
        <w:t>]</w:t>
      </w:r>
    </w:p>
    <w:p w14:paraId="232145AF" w14:textId="77777777" w:rsidR="00FF40FE" w:rsidRPr="009118AB" w:rsidRDefault="00FF40FE" w:rsidP="00477B8F">
      <w:pPr>
        <w:autoSpaceDE w:val="0"/>
        <w:autoSpaceDN w:val="0"/>
        <w:adjustRightInd w:val="0"/>
      </w:pPr>
    </w:p>
    <w:p w14:paraId="4E7B0F5C" w14:textId="77777777" w:rsidR="00BE6F2A" w:rsidRPr="009118AB" w:rsidRDefault="00BE6F2A" w:rsidP="00477B8F">
      <w:pPr>
        <w:autoSpaceDE w:val="0"/>
        <w:autoSpaceDN w:val="0"/>
        <w:adjustRightInd w:val="0"/>
      </w:pPr>
    </w:p>
    <w:p w14:paraId="62090C85" w14:textId="6FC13D28" w:rsidR="00C715F3" w:rsidRPr="009118AB" w:rsidRDefault="00477B8F" w:rsidP="00C715F3">
      <w:pPr>
        <w:autoSpaceDE w:val="0"/>
        <w:autoSpaceDN w:val="0"/>
        <w:adjustRightInd w:val="0"/>
        <w:jc w:val="both"/>
      </w:pPr>
      <w:r w:rsidRPr="009118AB">
        <w:tab/>
      </w:r>
      <w:r w:rsidR="00D67EB8" w:rsidRPr="009118AB">
        <w:rPr>
          <w:b/>
          <w:bCs/>
        </w:rPr>
        <w:t>Art. </w:t>
      </w:r>
      <w:r w:rsidRPr="009118AB">
        <w:rPr>
          <w:b/>
          <w:bCs/>
        </w:rPr>
        <w:t>53</w:t>
      </w:r>
      <w:r w:rsidR="00D67EB8" w:rsidRPr="009118AB">
        <w:t> - </w:t>
      </w:r>
      <w:r w:rsidR="00C715F3" w:rsidRPr="009118AB">
        <w:t>Werbungskosten umfassen nicht:</w:t>
      </w:r>
    </w:p>
    <w:p w14:paraId="10322AD4" w14:textId="77777777" w:rsidR="00C715F3" w:rsidRPr="009118AB" w:rsidRDefault="00C715F3" w:rsidP="00C715F3">
      <w:pPr>
        <w:autoSpaceDE w:val="0"/>
        <w:autoSpaceDN w:val="0"/>
        <w:adjustRightInd w:val="0"/>
        <w:jc w:val="both"/>
      </w:pPr>
    </w:p>
    <w:p w14:paraId="6FA1B8B1" w14:textId="77777777" w:rsidR="00C715F3" w:rsidRPr="009118AB" w:rsidRDefault="00C715F3" w:rsidP="00977955">
      <w:pPr>
        <w:autoSpaceDE w:val="0"/>
        <w:autoSpaceDN w:val="0"/>
        <w:adjustRightInd w:val="0"/>
        <w:ind w:firstLine="709"/>
        <w:jc w:val="both"/>
      </w:pPr>
      <w:r w:rsidRPr="009118AB">
        <w:t>1. Ausgaben persönlicher Art wie Mietpreis und Mietnebenkosten von unbeweglichen Gütern oder Teilen von unbeweglichen Gütern, die zu Wohnzwecken genutzt werden, Haushaltunterhaltskosten, Kosten für Unterricht oder Erziehung und alle anderen Ausgaben, die für die Ausübung der Berufstätigkeit nicht erforderlich sind,</w:t>
      </w:r>
    </w:p>
    <w:p w14:paraId="2A37488D" w14:textId="77777777" w:rsidR="00C715F3" w:rsidRPr="009118AB" w:rsidRDefault="00C715F3" w:rsidP="00C715F3">
      <w:pPr>
        <w:autoSpaceDE w:val="0"/>
        <w:autoSpaceDN w:val="0"/>
        <w:adjustRightInd w:val="0"/>
        <w:jc w:val="both"/>
      </w:pPr>
    </w:p>
    <w:p w14:paraId="25E71294" w14:textId="77777777" w:rsidR="00C715F3" w:rsidRPr="009118AB" w:rsidRDefault="00C715F3" w:rsidP="00977955">
      <w:pPr>
        <w:autoSpaceDE w:val="0"/>
        <w:autoSpaceDN w:val="0"/>
        <w:adjustRightInd w:val="0"/>
        <w:ind w:firstLine="709"/>
        <w:jc w:val="both"/>
      </w:pPr>
      <w:r w:rsidRPr="009118AB">
        <w:t>2. [die Steuer der natürlichen Personen einschließlich der Summen, die auf diese Steuer vorausgezahlt werden, und des Mobiliensteuervorabzugs, den der Schuldner des Einkommens zur Entlastung des Empfängers trägt,]</w:t>
      </w:r>
    </w:p>
    <w:p w14:paraId="2CC08AF0" w14:textId="77777777" w:rsidR="00C715F3" w:rsidRPr="009118AB" w:rsidRDefault="00C715F3" w:rsidP="00C715F3">
      <w:pPr>
        <w:autoSpaceDE w:val="0"/>
        <w:autoSpaceDN w:val="0"/>
        <w:adjustRightInd w:val="0"/>
        <w:jc w:val="both"/>
      </w:pPr>
    </w:p>
    <w:p w14:paraId="719EE47D" w14:textId="77777777" w:rsidR="00C715F3" w:rsidRPr="009118AB" w:rsidRDefault="00C715F3" w:rsidP="00977955">
      <w:pPr>
        <w:autoSpaceDE w:val="0"/>
        <w:autoSpaceDN w:val="0"/>
        <w:adjustRightInd w:val="0"/>
        <w:ind w:firstLine="709"/>
        <w:jc w:val="both"/>
      </w:pPr>
      <w:r w:rsidRPr="009118AB">
        <w:t>3. Zuschlagsteuern und diesbezügliche Zuschlaghundertstel, die auf die Grundlage oder den Betrag der Steuer der natürlichen Personen und des Immobiliensteuervorabzugs berechnet werden und zugunsten der Regionen, Provinzen, Agglomerationen, Gemeindeföderationen und Gemeinden erhoben werden,</w:t>
      </w:r>
    </w:p>
    <w:p w14:paraId="77B07E4D" w14:textId="77777777" w:rsidR="00C715F3" w:rsidRPr="009118AB" w:rsidRDefault="00977955" w:rsidP="00C715F3">
      <w:pPr>
        <w:autoSpaceDE w:val="0"/>
        <w:autoSpaceDN w:val="0"/>
        <w:adjustRightInd w:val="0"/>
        <w:jc w:val="both"/>
      </w:pPr>
      <w:r w:rsidRPr="009118AB">
        <w:tab/>
      </w:r>
    </w:p>
    <w:p w14:paraId="48EA4995" w14:textId="77777777" w:rsidR="00C715F3" w:rsidRPr="009118AB" w:rsidRDefault="00C715F3" w:rsidP="00977955">
      <w:pPr>
        <w:autoSpaceDE w:val="0"/>
        <w:autoSpaceDN w:val="0"/>
        <w:adjustRightInd w:val="0"/>
        <w:ind w:firstLine="709"/>
        <w:jc w:val="both"/>
      </w:pPr>
      <w:r w:rsidRPr="009118AB">
        <w:t>4. [den Sonderbeitrag zur sozialen Sicherheit,]</w:t>
      </w:r>
    </w:p>
    <w:p w14:paraId="5F15AB79" w14:textId="77777777" w:rsidR="00C715F3" w:rsidRPr="009118AB" w:rsidRDefault="00C715F3" w:rsidP="00C715F3">
      <w:pPr>
        <w:autoSpaceDE w:val="0"/>
        <w:autoSpaceDN w:val="0"/>
        <w:adjustRightInd w:val="0"/>
        <w:jc w:val="both"/>
      </w:pPr>
    </w:p>
    <w:p w14:paraId="5D6032B2" w14:textId="77777777" w:rsidR="00C715F3" w:rsidRPr="009118AB" w:rsidRDefault="00C715F3" w:rsidP="00977955">
      <w:pPr>
        <w:autoSpaceDE w:val="0"/>
        <w:autoSpaceDN w:val="0"/>
        <w:adjustRightInd w:val="0"/>
        <w:ind w:firstLine="709"/>
        <w:jc w:val="both"/>
      </w:pPr>
      <w:r w:rsidRPr="009118AB">
        <w:t>5. Zuschläge, Erhöhungen, Kosten und Verzugszinsen in Bezug auf die Steuer der natürlichen Personen und die Vorabzüge [ausschließlich des um die Zuschlaghundertstel erhöhten Immobiliensteuervorabzugs in Bezug auf das Katastereinkommen von unbeweglichen Gütern oder Teilen von unbeweglichen Gütern, die zur Ausübung der Berufstätigkeit genutzt werden],</w:t>
      </w:r>
    </w:p>
    <w:p w14:paraId="4E85CC87" w14:textId="77777777" w:rsidR="00C715F3" w:rsidRPr="009118AB" w:rsidRDefault="00C715F3" w:rsidP="00C715F3">
      <w:pPr>
        <w:autoSpaceDE w:val="0"/>
        <w:autoSpaceDN w:val="0"/>
        <w:adjustRightInd w:val="0"/>
        <w:jc w:val="both"/>
      </w:pPr>
    </w:p>
    <w:p w14:paraId="7E04262A" w14:textId="2861253F" w:rsidR="00C715F3" w:rsidRPr="009118AB" w:rsidRDefault="00C715F3" w:rsidP="00977955">
      <w:pPr>
        <w:autoSpaceDE w:val="0"/>
        <w:autoSpaceDN w:val="0"/>
        <w:adjustRightInd w:val="0"/>
        <w:ind w:firstLine="709"/>
        <w:jc w:val="both"/>
      </w:pPr>
      <w:r w:rsidRPr="009118AB">
        <w:t>6. Geldbußen einschließlich der Vergleichsgeldbußen, [administrative Geldbußen, die von öffentlichen Behörden verhängt werden, selbst wenn diese Geldbußen nicht den Charakter einer strafrechtlichen Sanktion haben und ihr Betrag auf der Grundlage einer abzugsfähigen Steuer berechnet wird,] Einziehungen und Vertragsstrafen jeglicher Art, selbst wenn diese Geldbußen oder Vertragsstrafen gegen eine Person verhängt werden, die vom Steuerpflichtigen in Artikel 30 erwähnte Entlohnungen bezieht, [</w:t>
      </w:r>
      <w:r w:rsidR="007A1C09" w:rsidRPr="009118AB">
        <w:rPr>
          <w:rFonts w:eastAsia="Calibri"/>
          <w:szCs w:val="22"/>
          <w:lang w:eastAsia="en-US"/>
        </w:rPr>
        <w:t>Sozialbeitragszuschläge, steuerliche oder soziale Regularisierungsabgaben ebenso wie in Artikel 216</w:t>
      </w:r>
      <w:r w:rsidR="007A1C09" w:rsidRPr="009118AB">
        <w:rPr>
          <w:rFonts w:eastAsia="Calibri"/>
          <w:i/>
          <w:iCs/>
          <w:szCs w:val="22"/>
          <w:lang w:eastAsia="en-US"/>
        </w:rPr>
        <w:t>bis</w:t>
      </w:r>
      <w:r w:rsidR="007A1C09" w:rsidRPr="009118AB">
        <w:rPr>
          <w:rFonts w:eastAsia="Calibri"/>
          <w:szCs w:val="22"/>
          <w:lang w:eastAsia="en-US"/>
        </w:rPr>
        <w:t xml:space="preserve"> des Strafprozessgesetzbuches erwähnte Geldsummen</w:t>
      </w:r>
      <w:r w:rsidRPr="009118AB">
        <w:t>]</w:t>
      </w:r>
      <w:r w:rsidR="007A1C09" w:rsidRPr="009118AB">
        <w:t>,</w:t>
      </w:r>
    </w:p>
    <w:p w14:paraId="00391245" w14:textId="77777777" w:rsidR="00C715F3" w:rsidRPr="009118AB" w:rsidRDefault="00C715F3" w:rsidP="00C715F3">
      <w:pPr>
        <w:autoSpaceDE w:val="0"/>
        <w:autoSpaceDN w:val="0"/>
        <w:adjustRightInd w:val="0"/>
        <w:jc w:val="both"/>
      </w:pPr>
    </w:p>
    <w:p w14:paraId="287EA208" w14:textId="13E522B2" w:rsidR="00C715F3" w:rsidRPr="009118AB" w:rsidRDefault="00C715F3" w:rsidP="00977955">
      <w:pPr>
        <w:autoSpaceDE w:val="0"/>
        <w:autoSpaceDN w:val="0"/>
        <w:adjustRightInd w:val="0"/>
        <w:ind w:firstLine="709"/>
        <w:jc w:val="both"/>
      </w:pPr>
      <w:r w:rsidRPr="009118AB">
        <w:t xml:space="preserve">7. </w:t>
      </w:r>
      <w:r w:rsidR="003B696F" w:rsidRPr="009118AB">
        <w:t>[</w:t>
      </w:r>
      <w:r w:rsidR="003B696F" w:rsidRPr="009118AB">
        <w:rPr>
          <w:lang w:eastAsia="fr-BE"/>
        </w:rPr>
        <w:t xml:space="preserve">unbeschadet des Artikels 52 </w:t>
      </w:r>
      <w:r w:rsidR="00D67EB8" w:rsidRPr="009118AB">
        <w:rPr>
          <w:lang w:eastAsia="fr-BE"/>
        </w:rPr>
        <w:t>Nr. </w:t>
      </w:r>
      <w:r w:rsidR="003B696F" w:rsidRPr="009118AB">
        <w:rPr>
          <w:lang w:eastAsia="fr-BE"/>
        </w:rPr>
        <w:t>13</w:t>
      </w:r>
      <w:r w:rsidR="003B696F" w:rsidRPr="009118AB">
        <w:t xml:space="preserve">] </w:t>
      </w:r>
      <w:r w:rsidRPr="009118AB">
        <w:t>Kleidungskosten, außer wenn es sich um spezifische Berufskleidung handelt,</w:t>
      </w:r>
    </w:p>
    <w:p w14:paraId="1D1AD2E5" w14:textId="77777777" w:rsidR="00C715F3" w:rsidRPr="009118AB" w:rsidRDefault="00C715F3" w:rsidP="00C715F3">
      <w:pPr>
        <w:autoSpaceDE w:val="0"/>
        <w:autoSpaceDN w:val="0"/>
        <w:adjustRightInd w:val="0"/>
        <w:jc w:val="both"/>
      </w:pPr>
    </w:p>
    <w:p w14:paraId="29194FB8" w14:textId="77777777" w:rsidR="00C715F3" w:rsidRPr="009118AB" w:rsidRDefault="00C715F3" w:rsidP="00977955">
      <w:pPr>
        <w:autoSpaceDE w:val="0"/>
        <w:autoSpaceDN w:val="0"/>
        <w:adjustRightInd w:val="0"/>
        <w:ind w:firstLine="709"/>
        <w:jc w:val="both"/>
      </w:pPr>
      <w:r w:rsidRPr="009118AB">
        <w:rPr>
          <w:i/>
          <w:iCs/>
        </w:rPr>
        <w:t xml:space="preserve">a) </w:t>
      </w:r>
      <w:r w:rsidRPr="009118AB">
        <w:t>die durch die Rechtsvorschriften über Arbeitsschutz oder ein kollektives Arbeitsabkommen als Arbeitskleidung vorgeschrieben ist oder</w:t>
      </w:r>
    </w:p>
    <w:p w14:paraId="4B1405FB" w14:textId="77777777" w:rsidR="00C715F3" w:rsidRPr="009118AB" w:rsidRDefault="00C715F3" w:rsidP="00C715F3">
      <w:pPr>
        <w:autoSpaceDE w:val="0"/>
        <w:autoSpaceDN w:val="0"/>
        <w:adjustRightInd w:val="0"/>
        <w:jc w:val="both"/>
      </w:pPr>
    </w:p>
    <w:p w14:paraId="5A365A9B" w14:textId="77777777" w:rsidR="00C715F3" w:rsidRPr="009118AB" w:rsidRDefault="00C715F3" w:rsidP="00977955">
      <w:pPr>
        <w:autoSpaceDE w:val="0"/>
        <w:autoSpaceDN w:val="0"/>
        <w:adjustRightInd w:val="0"/>
        <w:ind w:firstLine="709"/>
        <w:jc w:val="both"/>
      </w:pPr>
      <w:r w:rsidRPr="009118AB">
        <w:rPr>
          <w:i/>
          <w:iCs/>
        </w:rPr>
        <w:t>b)</w:t>
      </w:r>
      <w:r w:rsidRPr="009118AB">
        <w:t xml:space="preserve"> die als Spezialkleidung bei der Berufsausübung getragen wird, zu diesem Zweck an</w:t>
      </w:r>
      <w:r w:rsidRPr="009118AB">
        <w:softHyphen/>
        <w:t xml:space="preserve">gepasst ist und aufgrund der Art der Berufstätigkeit verpflichtet, erforderlich oder üblich ist, </w:t>
      </w:r>
    </w:p>
    <w:p w14:paraId="723EBFC7" w14:textId="77777777" w:rsidR="00C715F3" w:rsidRPr="009118AB" w:rsidRDefault="00C715F3" w:rsidP="00C715F3">
      <w:pPr>
        <w:autoSpaceDE w:val="0"/>
        <w:autoSpaceDN w:val="0"/>
        <w:adjustRightInd w:val="0"/>
        <w:jc w:val="both"/>
      </w:pPr>
    </w:p>
    <w:p w14:paraId="6C501C78" w14:textId="77777777" w:rsidR="00C715F3" w:rsidRPr="009118AB" w:rsidRDefault="00C715F3" w:rsidP="00977955">
      <w:pPr>
        <w:autoSpaceDE w:val="0"/>
        <w:autoSpaceDN w:val="0"/>
        <w:adjustRightInd w:val="0"/>
        <w:ind w:firstLine="709"/>
        <w:jc w:val="both"/>
      </w:pPr>
      <w:r w:rsidRPr="009118AB">
        <w:t>in beiden Fällen ausschließlich der Kleidung, die im Privatleben in der Regel als Stadtkleidung, Abendkleidung, feierliche Kleidung, Reisekleidung oder Freizeitkleidung gilt oder als solche dienen kann,</w:t>
      </w:r>
    </w:p>
    <w:p w14:paraId="58610614" w14:textId="77777777" w:rsidR="00C715F3" w:rsidRPr="009118AB" w:rsidRDefault="00C715F3" w:rsidP="00C715F3">
      <w:pPr>
        <w:autoSpaceDE w:val="0"/>
        <w:autoSpaceDN w:val="0"/>
        <w:adjustRightInd w:val="0"/>
        <w:jc w:val="both"/>
      </w:pPr>
    </w:p>
    <w:p w14:paraId="1D33090E" w14:textId="7B3F5F1B" w:rsidR="00C715F3" w:rsidRPr="009118AB" w:rsidRDefault="00C715F3" w:rsidP="00977955">
      <w:pPr>
        <w:autoSpaceDE w:val="0"/>
        <w:autoSpaceDN w:val="0"/>
        <w:adjustRightInd w:val="0"/>
        <w:ind w:firstLine="709"/>
        <w:jc w:val="both"/>
      </w:pPr>
      <w:r w:rsidRPr="009118AB">
        <w:t xml:space="preserve">8. </w:t>
      </w:r>
      <w:r w:rsidR="003B696F" w:rsidRPr="009118AB">
        <w:t>[</w:t>
      </w:r>
      <w:r w:rsidR="003B696F" w:rsidRPr="009118AB">
        <w:rPr>
          <w:lang w:eastAsia="fr-BE"/>
        </w:rPr>
        <w:t xml:space="preserve">unbeschadet des Artikels 52 </w:t>
      </w:r>
      <w:r w:rsidR="00D67EB8" w:rsidRPr="009118AB">
        <w:rPr>
          <w:lang w:eastAsia="fr-BE"/>
        </w:rPr>
        <w:t>Nr. </w:t>
      </w:r>
      <w:r w:rsidR="003B696F" w:rsidRPr="009118AB">
        <w:rPr>
          <w:lang w:eastAsia="fr-BE"/>
        </w:rPr>
        <w:t>13</w:t>
      </w:r>
      <w:r w:rsidR="003B696F" w:rsidRPr="009118AB">
        <w:t xml:space="preserve">] </w:t>
      </w:r>
      <w:r w:rsidRPr="009118AB">
        <w:t>[50 Prozent des beruflichen Anteils an Empfangskosten und an Kosten für Werbegeschenke, jedoch ausschließlich der Werbeartikel, die auf sichtbare und dauerhafte Weise den Namen des schenkenden Unternehmens tragen,]</w:t>
      </w:r>
    </w:p>
    <w:p w14:paraId="49EF251E" w14:textId="77777777" w:rsidR="00C715F3" w:rsidRPr="009118AB" w:rsidRDefault="00C715F3" w:rsidP="00C715F3">
      <w:pPr>
        <w:autoSpaceDE w:val="0"/>
        <w:autoSpaceDN w:val="0"/>
        <w:adjustRightInd w:val="0"/>
        <w:jc w:val="both"/>
      </w:pPr>
    </w:p>
    <w:p w14:paraId="766FD13A" w14:textId="6375DFAB" w:rsidR="00C715F3" w:rsidRPr="009118AB" w:rsidRDefault="00C715F3" w:rsidP="00977955">
      <w:pPr>
        <w:autoSpaceDE w:val="0"/>
        <w:autoSpaceDN w:val="0"/>
        <w:adjustRightInd w:val="0"/>
        <w:ind w:firstLine="709"/>
        <w:jc w:val="both"/>
      </w:pPr>
      <w:r w:rsidRPr="009118AB">
        <w:t>[8</w:t>
      </w:r>
      <w:r w:rsidRPr="009118AB">
        <w:rPr>
          <w:i/>
          <w:iCs/>
        </w:rPr>
        <w:t>bis</w:t>
      </w:r>
      <w:r w:rsidRPr="009118AB">
        <w:t xml:space="preserve">. </w:t>
      </w:r>
      <w:r w:rsidR="003B696F" w:rsidRPr="009118AB">
        <w:t>[</w:t>
      </w:r>
      <w:r w:rsidR="003B696F" w:rsidRPr="009118AB">
        <w:rPr>
          <w:lang w:eastAsia="fr-BE"/>
        </w:rPr>
        <w:t xml:space="preserve">unbeschadet des Artikels 52 </w:t>
      </w:r>
      <w:r w:rsidR="00D67EB8" w:rsidRPr="009118AB">
        <w:rPr>
          <w:lang w:eastAsia="fr-BE"/>
        </w:rPr>
        <w:t>Nr. </w:t>
      </w:r>
      <w:r w:rsidR="003B696F" w:rsidRPr="009118AB">
        <w:rPr>
          <w:lang w:eastAsia="fr-BE"/>
        </w:rPr>
        <w:t>13</w:t>
      </w:r>
      <w:r w:rsidR="003B696F" w:rsidRPr="009118AB">
        <w:t xml:space="preserve">] </w:t>
      </w:r>
      <w:r w:rsidRPr="009118AB">
        <w:t>[31 Prozent] des beruflichen Anteils an Restaurantkosten, jedoch ausschließlich der Restaurantkosten von Vertretern des Lebensmittelsektors, deren Notwendigkeit bei der Ausübung der Berufstätigkeit im Rahmen einer möglichen oder tatsächlichen Beziehung zwischen Lieferanten und Kunden vom Steuerpflichtigen nachgewiesen wird,]</w:t>
      </w:r>
    </w:p>
    <w:p w14:paraId="3ABA9C66" w14:textId="77777777" w:rsidR="00C715F3" w:rsidRPr="009118AB" w:rsidRDefault="00C715F3" w:rsidP="00C715F3">
      <w:pPr>
        <w:autoSpaceDE w:val="0"/>
        <w:autoSpaceDN w:val="0"/>
        <w:adjustRightInd w:val="0"/>
        <w:jc w:val="both"/>
      </w:pPr>
    </w:p>
    <w:p w14:paraId="240ED87D" w14:textId="2DC94A19" w:rsidR="00C715F3" w:rsidRPr="009118AB" w:rsidRDefault="00C715F3" w:rsidP="00977955">
      <w:pPr>
        <w:autoSpaceDE w:val="0"/>
        <w:autoSpaceDN w:val="0"/>
        <w:adjustRightInd w:val="0"/>
        <w:ind w:firstLine="709"/>
        <w:jc w:val="both"/>
      </w:pPr>
      <w:r w:rsidRPr="009118AB">
        <w:t xml:space="preserve">9. </w:t>
      </w:r>
      <w:r w:rsidR="003B696F" w:rsidRPr="009118AB">
        <w:t>[</w:t>
      </w:r>
      <w:r w:rsidR="003B696F" w:rsidRPr="009118AB">
        <w:rPr>
          <w:lang w:eastAsia="fr-BE"/>
        </w:rPr>
        <w:t xml:space="preserve">unbeschadet des Artikels 52 </w:t>
      </w:r>
      <w:r w:rsidR="00D67EB8" w:rsidRPr="009118AB">
        <w:rPr>
          <w:lang w:eastAsia="fr-BE"/>
        </w:rPr>
        <w:t>Nr. </w:t>
      </w:r>
      <w:r w:rsidR="003B696F" w:rsidRPr="009118AB">
        <w:rPr>
          <w:lang w:eastAsia="fr-BE"/>
        </w:rPr>
        <w:t>13</w:t>
      </w:r>
      <w:r w:rsidR="003B696F" w:rsidRPr="009118AB">
        <w:t xml:space="preserve">] </w:t>
      </w:r>
      <w:r w:rsidRPr="009118AB">
        <w:t>Kosten jeglicher Art in Bezug auf Jagd, Fischerei, Jachten oder andere Vergnügungsschiffe und Landhäuser, außer sofern und in dem Maße, wie der Steuerpflichtige nachweist, dass sie aufgrund der Art seiner Berufstätigkeit zur Ausübung dieser Berufstätigkeit erforderlich sind oder dass sie in den steuerpflichtigen Entlohnungen der begünstigten Personalmitglieder enthalten sind,</w:t>
      </w:r>
    </w:p>
    <w:p w14:paraId="6893E84F" w14:textId="77777777" w:rsidR="00C715F3" w:rsidRPr="009118AB" w:rsidRDefault="00C715F3" w:rsidP="00C715F3">
      <w:pPr>
        <w:autoSpaceDE w:val="0"/>
        <w:autoSpaceDN w:val="0"/>
        <w:adjustRightInd w:val="0"/>
        <w:jc w:val="both"/>
      </w:pPr>
    </w:p>
    <w:p w14:paraId="0D4401AF" w14:textId="77777777" w:rsidR="00C715F3" w:rsidRPr="009118AB" w:rsidRDefault="00C715F3" w:rsidP="00977955">
      <w:pPr>
        <w:autoSpaceDE w:val="0"/>
        <w:autoSpaceDN w:val="0"/>
        <w:adjustRightInd w:val="0"/>
        <w:ind w:firstLine="709"/>
        <w:jc w:val="both"/>
      </w:pPr>
      <w:r w:rsidRPr="009118AB">
        <w:t>10. alle Kosten, soweit sie auf unvertretbare Weise die beruflichen Bedürfnisse übersteigen,</w:t>
      </w:r>
    </w:p>
    <w:p w14:paraId="05014808" w14:textId="77777777" w:rsidR="00C715F3" w:rsidRPr="009118AB" w:rsidRDefault="00C715F3" w:rsidP="00C715F3">
      <w:pPr>
        <w:autoSpaceDE w:val="0"/>
        <w:autoSpaceDN w:val="0"/>
        <w:adjustRightInd w:val="0"/>
        <w:jc w:val="both"/>
      </w:pPr>
    </w:p>
    <w:p w14:paraId="1D3509E4" w14:textId="77777777" w:rsidR="00C715F3" w:rsidRPr="009118AB" w:rsidRDefault="00C715F3" w:rsidP="00977955">
      <w:pPr>
        <w:autoSpaceDE w:val="0"/>
        <w:autoSpaceDN w:val="0"/>
        <w:adjustRightInd w:val="0"/>
        <w:ind w:firstLine="709"/>
        <w:jc w:val="both"/>
      </w:pPr>
      <w:r w:rsidRPr="009118AB">
        <w:t>11. Zuteilungen an Dritte zur Rückzahlung der in den Nummern 7 bis 10 erwähnten Kosten, sofern diese Kosten selbst nicht als Werbungskosten gelten,</w:t>
      </w:r>
    </w:p>
    <w:p w14:paraId="16C91F09" w14:textId="77777777" w:rsidR="00C715F3" w:rsidRPr="009118AB" w:rsidRDefault="00C715F3" w:rsidP="00C715F3">
      <w:pPr>
        <w:autoSpaceDE w:val="0"/>
        <w:autoSpaceDN w:val="0"/>
        <w:adjustRightInd w:val="0"/>
        <w:jc w:val="both"/>
      </w:pPr>
    </w:p>
    <w:p w14:paraId="3CB86061" w14:textId="2AF8E6F8" w:rsidR="00C715F3" w:rsidRPr="009118AB" w:rsidRDefault="00C715F3" w:rsidP="00977955">
      <w:pPr>
        <w:autoSpaceDE w:val="0"/>
        <w:autoSpaceDN w:val="0"/>
        <w:adjustRightInd w:val="0"/>
        <w:ind w:firstLine="709"/>
        <w:jc w:val="both"/>
      </w:pPr>
      <w:r w:rsidRPr="009118AB">
        <w:t xml:space="preserve">12. Entlohnungen, die der Steuerpflichtige seinem mit ihm arbeitenden Ehepartner zuerkennt [ausschließlich der in Artikel 30 </w:t>
      </w:r>
      <w:r w:rsidR="00D67EB8" w:rsidRPr="009118AB">
        <w:t>Nr. </w:t>
      </w:r>
      <w:r w:rsidRPr="009118AB">
        <w:t>3 erwähnten Entlohnungen],</w:t>
      </w:r>
    </w:p>
    <w:p w14:paraId="0856475A" w14:textId="77777777" w:rsidR="00C715F3" w:rsidRPr="009118AB" w:rsidRDefault="00C715F3" w:rsidP="00C715F3">
      <w:pPr>
        <w:autoSpaceDE w:val="0"/>
        <w:autoSpaceDN w:val="0"/>
        <w:adjustRightInd w:val="0"/>
        <w:jc w:val="both"/>
      </w:pPr>
    </w:p>
    <w:p w14:paraId="70FC0090" w14:textId="77777777" w:rsidR="00C715F3" w:rsidRPr="009118AB" w:rsidRDefault="00C715F3" w:rsidP="00977955">
      <w:pPr>
        <w:autoSpaceDE w:val="0"/>
        <w:autoSpaceDN w:val="0"/>
        <w:adjustRightInd w:val="0"/>
        <w:ind w:firstLine="709"/>
        <w:jc w:val="both"/>
      </w:pPr>
      <w:r w:rsidRPr="009118AB">
        <w:t>13. Entlohnungen von anderen Familienmitgliedern des Steuerpflichtigen, soweit sie unter Berücksichtigung von Art und Dauer der tatsächlichen Leistungen der Empfänger ein normales Gehalt oder einen normalen Lohn übersteigen,</w:t>
      </w:r>
    </w:p>
    <w:p w14:paraId="0EAE8F59" w14:textId="77777777" w:rsidR="00C715F3" w:rsidRPr="009118AB" w:rsidRDefault="00C715F3" w:rsidP="00C715F3">
      <w:pPr>
        <w:autoSpaceDE w:val="0"/>
        <w:autoSpaceDN w:val="0"/>
        <w:adjustRightInd w:val="0"/>
        <w:jc w:val="both"/>
      </w:pPr>
    </w:p>
    <w:p w14:paraId="59BE06B2" w14:textId="78B32E2D" w:rsidR="00C715F3" w:rsidRPr="009118AB" w:rsidRDefault="00C715F3" w:rsidP="00977955">
      <w:pPr>
        <w:autoSpaceDE w:val="0"/>
        <w:autoSpaceDN w:val="0"/>
        <w:adjustRightInd w:val="0"/>
        <w:ind w:firstLine="709"/>
        <w:jc w:val="both"/>
      </w:pPr>
      <w:r w:rsidRPr="009118AB">
        <w:t xml:space="preserve">14. [in Artikel 38 </w:t>
      </w:r>
      <w:r w:rsidR="00D67EB8" w:rsidRPr="009118AB">
        <w:t>§ </w:t>
      </w:r>
      <w:r w:rsidRPr="009118AB">
        <w:t xml:space="preserve">1 Absatz 1 </w:t>
      </w:r>
      <w:r w:rsidR="00D67EB8" w:rsidRPr="009118AB">
        <w:t>Nr. </w:t>
      </w:r>
      <w:r w:rsidRPr="009118AB">
        <w:t>11 und 25 erwähnte Vorteile ausschließlich der gegebenenfalls auf [2 EUR] pro [elektronischen Mahlzeitscheck] begrenzten Beteiligung des Arbeitgebers oder Unternehmens an [elektronischen Mahlzeitschecks], wenn diese Beteiligung den in Artikel 38/1 erwähnten Bedingungen entspricht,]</w:t>
      </w:r>
    </w:p>
    <w:p w14:paraId="6A13D1CC" w14:textId="77777777" w:rsidR="00C715F3" w:rsidRPr="009118AB" w:rsidRDefault="00C715F3" w:rsidP="00C715F3">
      <w:pPr>
        <w:autoSpaceDE w:val="0"/>
        <w:autoSpaceDN w:val="0"/>
        <w:adjustRightInd w:val="0"/>
        <w:jc w:val="both"/>
      </w:pPr>
    </w:p>
    <w:p w14:paraId="156477F9" w14:textId="77777777" w:rsidR="00C715F3" w:rsidRPr="009118AB" w:rsidRDefault="00C715F3" w:rsidP="00977955">
      <w:pPr>
        <w:autoSpaceDE w:val="0"/>
        <w:autoSpaceDN w:val="0"/>
        <w:adjustRightInd w:val="0"/>
        <w:ind w:firstLine="709"/>
        <w:jc w:val="both"/>
      </w:pPr>
      <w:r w:rsidRPr="009118AB">
        <w:t>15. [Verluste von Gesellschaften, die von natürlichen Personen übernommen werden, außer wenn es sich um Unternehmensleiter handelt, die diese Übernahme durch eine unwiderrufliche und bedingungslose Zahlung einer Summe zur Sicherung von Berufseinkünften tätigen, die diese Unternehmensleiter periodisch von der Gesellschaft beziehen, und wenn die derart gezahlte Summe von der Gesellschaft vollständig zum Ausgleich ihrer beruflichen Verluste genutzt wird,]</w:t>
      </w:r>
    </w:p>
    <w:p w14:paraId="4A5B3E68" w14:textId="77777777" w:rsidR="00C715F3" w:rsidRPr="009118AB" w:rsidRDefault="00C715F3" w:rsidP="00C715F3">
      <w:pPr>
        <w:autoSpaceDE w:val="0"/>
        <w:autoSpaceDN w:val="0"/>
        <w:adjustRightInd w:val="0"/>
        <w:jc w:val="both"/>
      </w:pPr>
    </w:p>
    <w:p w14:paraId="29760967" w14:textId="4609D483" w:rsidR="00C715F3" w:rsidRPr="009118AB" w:rsidRDefault="00C715F3" w:rsidP="00977955">
      <w:pPr>
        <w:autoSpaceDE w:val="0"/>
        <w:autoSpaceDN w:val="0"/>
        <w:adjustRightInd w:val="0"/>
        <w:ind w:firstLine="709"/>
        <w:jc w:val="both"/>
      </w:pPr>
      <w:r w:rsidRPr="009118AB">
        <w:t xml:space="preserve">16. in Artikel 52 </w:t>
      </w:r>
      <w:r w:rsidR="00D67EB8" w:rsidRPr="009118AB">
        <w:t>Nr. </w:t>
      </w:r>
      <w:r w:rsidRPr="009118AB">
        <w:t xml:space="preserve">11 erwähnte Zinsen ab dem Datum, an dem [der Unternehmensleiter] seine Anteile veräußert, oder ab dem Datum und in dem Maße, wie die Gesellschaft das durch diese Anteile vertretene </w:t>
      </w:r>
      <w:r w:rsidR="00363711" w:rsidRPr="009118AB">
        <w:t>[K</w:t>
      </w:r>
      <w:r w:rsidRPr="009118AB">
        <w:t>apital</w:t>
      </w:r>
      <w:r w:rsidR="00363711" w:rsidRPr="009118AB">
        <w:t>]</w:t>
      </w:r>
      <w:r w:rsidRPr="009118AB">
        <w:t xml:space="preserve"> zurückzahlt,</w:t>
      </w:r>
    </w:p>
    <w:p w14:paraId="3053844B" w14:textId="77777777" w:rsidR="00C715F3" w:rsidRPr="009118AB" w:rsidRDefault="00C715F3" w:rsidP="00C715F3">
      <w:pPr>
        <w:autoSpaceDE w:val="0"/>
        <w:autoSpaceDN w:val="0"/>
        <w:adjustRightInd w:val="0"/>
        <w:jc w:val="both"/>
      </w:pPr>
    </w:p>
    <w:p w14:paraId="0F06FCDA" w14:textId="37F4B38C" w:rsidR="00C715F3" w:rsidRPr="009118AB" w:rsidRDefault="00C715F3" w:rsidP="00977955">
      <w:pPr>
        <w:autoSpaceDE w:val="0"/>
        <w:autoSpaceDN w:val="0"/>
        <w:adjustRightInd w:val="0"/>
        <w:ind w:firstLine="709"/>
        <w:jc w:val="both"/>
      </w:pPr>
      <w:r w:rsidRPr="009118AB">
        <w:t xml:space="preserve">[17. Beiträge, die Mitglieder der Abgeordnetenkammer, des Senats, [[der Gemeinschafts- und Regionalparlamente], des Europäischen Parlaments und </w:t>
      </w:r>
      <w:r w:rsidR="0006356F">
        <w:t>[</w:t>
      </w:r>
      <w:r w:rsidR="0006356F" w:rsidRPr="004A76D6">
        <w:t>der Provinzkollegien</w:t>
      </w:r>
      <w:r w:rsidR="0006356F">
        <w:t>]</w:t>
      </w:r>
      <w:r w:rsidRPr="009118AB">
        <w:t>] ihrer Partei oder einer ihrer Komponenten zahlen,]</w:t>
      </w:r>
    </w:p>
    <w:p w14:paraId="1A1EF53D" w14:textId="77777777" w:rsidR="00C715F3" w:rsidRPr="009118AB" w:rsidRDefault="00C715F3" w:rsidP="00C715F3">
      <w:pPr>
        <w:autoSpaceDE w:val="0"/>
        <w:autoSpaceDN w:val="0"/>
        <w:adjustRightInd w:val="0"/>
        <w:jc w:val="both"/>
      </w:pPr>
    </w:p>
    <w:p w14:paraId="30B2E7EC" w14:textId="33E5EAF2" w:rsidR="00C715F3" w:rsidRPr="009118AB" w:rsidRDefault="00C715F3" w:rsidP="00977955">
      <w:pPr>
        <w:autoSpaceDE w:val="0"/>
        <w:autoSpaceDN w:val="0"/>
        <w:adjustRightInd w:val="0"/>
        <w:ind w:firstLine="709"/>
        <w:jc w:val="both"/>
      </w:pPr>
      <w:r w:rsidRPr="009118AB">
        <w:t xml:space="preserve">[18. [unbeschadet des Artikels 52 </w:t>
      </w:r>
      <w:r w:rsidR="00D67EB8" w:rsidRPr="009118AB">
        <w:t>Nr. </w:t>
      </w:r>
      <w:r w:rsidRPr="009118AB">
        <w:t xml:space="preserve">11 Zinsen auf Schulden, die von einer natürlichen Person gemacht werden im Hinblick auf Zeichnung oder Erwerb von Aktien oder Anteilen, die das </w:t>
      </w:r>
      <w:r w:rsidR="00363711" w:rsidRPr="009118AB">
        <w:t>[K</w:t>
      </w:r>
      <w:r w:rsidRPr="009118AB">
        <w:t>apital</w:t>
      </w:r>
      <w:r w:rsidR="00363711" w:rsidRPr="009118AB">
        <w:t>]</w:t>
      </w:r>
      <w:r w:rsidRPr="009118AB">
        <w:t xml:space="preserve"> einer Gesellschaft vertreten,]]</w:t>
      </w:r>
    </w:p>
    <w:p w14:paraId="5A781C81" w14:textId="77777777" w:rsidR="00C715F3" w:rsidRPr="009118AB" w:rsidRDefault="00C715F3" w:rsidP="00C715F3">
      <w:pPr>
        <w:autoSpaceDE w:val="0"/>
        <w:autoSpaceDN w:val="0"/>
        <w:adjustRightInd w:val="0"/>
        <w:jc w:val="both"/>
      </w:pPr>
    </w:p>
    <w:p w14:paraId="4CEA5D8D" w14:textId="555788AC" w:rsidR="00C715F3" w:rsidRPr="009118AB" w:rsidRDefault="00C715F3" w:rsidP="00977955">
      <w:pPr>
        <w:autoSpaceDE w:val="0"/>
        <w:autoSpaceDN w:val="0"/>
        <w:adjustRightInd w:val="0"/>
        <w:ind w:firstLine="709"/>
        <w:jc w:val="both"/>
      </w:pPr>
      <w:r w:rsidRPr="009118AB">
        <w:lastRenderedPageBreak/>
        <w:t xml:space="preserve">[19. für Steuerpflichtige, die in Artikel 30 </w:t>
      </w:r>
      <w:r w:rsidR="00D67EB8" w:rsidRPr="009118AB">
        <w:t>Nr. </w:t>
      </w:r>
      <w:r w:rsidRPr="009118AB">
        <w:t>3 erwähnte Entlohnungen zuerkennen, Werbungskosten, die den in Artikel 33 Absatz 1 erwähnten mithelfenden Ehepartnern eigen sind,</w:t>
      </w:r>
    </w:p>
    <w:p w14:paraId="5613B826" w14:textId="77777777" w:rsidR="00C715F3" w:rsidRPr="009118AB" w:rsidRDefault="00C715F3" w:rsidP="00C715F3">
      <w:pPr>
        <w:autoSpaceDE w:val="0"/>
        <w:autoSpaceDN w:val="0"/>
        <w:adjustRightInd w:val="0"/>
        <w:jc w:val="both"/>
      </w:pPr>
    </w:p>
    <w:p w14:paraId="4D8C600C" w14:textId="77777777" w:rsidR="00C715F3" w:rsidRPr="009118AB" w:rsidRDefault="00C715F3" w:rsidP="00977955">
      <w:pPr>
        <w:autoSpaceDE w:val="0"/>
        <w:autoSpaceDN w:val="0"/>
        <w:adjustRightInd w:val="0"/>
        <w:ind w:firstLine="709"/>
        <w:jc w:val="both"/>
      </w:pPr>
      <w:r w:rsidRPr="009118AB">
        <w:t>20. für mithelfende Ehepartner, die in Artikel 33 Absatz 1 erwähnt sind, Werbungskosten, die sich auf die Tätigkeiten des Ehepartners, dem sie geholfen haben, beziehen,]</w:t>
      </w:r>
    </w:p>
    <w:p w14:paraId="1D4D88D3" w14:textId="77777777" w:rsidR="00C715F3" w:rsidRPr="009118AB" w:rsidRDefault="00C715F3" w:rsidP="00C715F3">
      <w:pPr>
        <w:autoSpaceDE w:val="0"/>
        <w:autoSpaceDN w:val="0"/>
        <w:adjustRightInd w:val="0"/>
        <w:jc w:val="both"/>
      </w:pPr>
    </w:p>
    <w:p w14:paraId="4286BFAC" w14:textId="3CA05425" w:rsidR="00C715F3" w:rsidRPr="009118AB" w:rsidRDefault="00C715F3" w:rsidP="00977955">
      <w:pPr>
        <w:autoSpaceDE w:val="0"/>
        <w:autoSpaceDN w:val="0"/>
        <w:adjustRightInd w:val="0"/>
        <w:ind w:firstLine="709"/>
        <w:jc w:val="both"/>
      </w:pPr>
      <w:r w:rsidRPr="009118AB">
        <w:t xml:space="preserve">[21. in Artikel 38 </w:t>
      </w:r>
      <w:r w:rsidR="00D67EB8" w:rsidRPr="009118AB">
        <w:t>§ </w:t>
      </w:r>
      <w:r w:rsidRPr="009118AB">
        <w:t xml:space="preserve">1 Absatz 1 </w:t>
      </w:r>
      <w:r w:rsidR="00D67EB8" w:rsidRPr="009118AB">
        <w:t>Nr. </w:t>
      </w:r>
      <w:r w:rsidRPr="009118AB">
        <w:t>20 erwähnte Arbeitgeberbeiträge und -prämien,]</w:t>
      </w:r>
    </w:p>
    <w:p w14:paraId="46740C17" w14:textId="77777777" w:rsidR="00C715F3" w:rsidRPr="009118AB" w:rsidRDefault="00C715F3" w:rsidP="00C715F3">
      <w:pPr>
        <w:autoSpaceDE w:val="0"/>
        <w:autoSpaceDN w:val="0"/>
        <w:adjustRightInd w:val="0"/>
        <w:jc w:val="both"/>
      </w:pPr>
    </w:p>
    <w:p w14:paraId="6D00A9B1" w14:textId="466B71B9" w:rsidR="00C715F3" w:rsidRPr="009118AB" w:rsidRDefault="00C715F3" w:rsidP="00977955">
      <w:pPr>
        <w:autoSpaceDE w:val="0"/>
        <w:autoSpaceDN w:val="0"/>
        <w:adjustRightInd w:val="0"/>
        <w:ind w:firstLine="709"/>
        <w:jc w:val="both"/>
      </w:pPr>
      <w:r w:rsidRPr="009118AB">
        <w:t xml:space="preserve">[22. soweit sie einen Höchstbetrag von 1.525 EUR pro Jahr übersteigen, in Artikel 52 </w:t>
      </w:r>
      <w:r w:rsidR="00D67EB8" w:rsidRPr="009118AB">
        <w:t>Nr. </w:t>
      </w:r>
      <w:r w:rsidRPr="009118AB">
        <w:t>3 Buchstabe </w:t>
      </w:r>
      <w:r w:rsidRPr="009118AB">
        <w:rPr>
          <w:i/>
          <w:iCs/>
        </w:rPr>
        <w:t>b)</w:t>
      </w:r>
      <w:r w:rsidRPr="009118AB">
        <w:t xml:space="preserve"> erwähnte Arbeitgeberbeiträge und -prämien, die gezahlt werden in Ausführung von individuellen ergänzenden Pensionsvereinbarungen wie in Artikel 6 des Gesetzes vom 28. April 2003 über ergänzende Pensionen und das Besteuerungssystem für diese Pensionen und für bestimmte Zusatzleistungen im Bereich der sozialen Sicherheit erwähnt, die zugunsten von Personen, die in Artikel 30 </w:t>
      </w:r>
      <w:r w:rsidR="00D67EB8" w:rsidRPr="009118AB">
        <w:t>Nr. </w:t>
      </w:r>
      <w:r w:rsidRPr="009118AB">
        <w:t>1 erwähnte Entlohnungen beziehen, abgeschlossen werden,]</w:t>
      </w:r>
    </w:p>
    <w:p w14:paraId="4D7AD540" w14:textId="77777777" w:rsidR="00C715F3" w:rsidRPr="009118AB" w:rsidRDefault="00C715F3" w:rsidP="00C715F3">
      <w:pPr>
        <w:autoSpaceDE w:val="0"/>
        <w:autoSpaceDN w:val="0"/>
        <w:adjustRightInd w:val="0"/>
        <w:jc w:val="both"/>
      </w:pPr>
    </w:p>
    <w:p w14:paraId="7C53CC17" w14:textId="77777777" w:rsidR="00C715F3" w:rsidRPr="009118AB" w:rsidRDefault="00C715F3" w:rsidP="00977955">
      <w:pPr>
        <w:autoSpaceDE w:val="0"/>
        <w:autoSpaceDN w:val="0"/>
        <w:adjustRightInd w:val="0"/>
        <w:ind w:firstLine="709"/>
        <w:jc w:val="both"/>
      </w:pPr>
      <w:r w:rsidRPr="009118AB">
        <w:t>[23. Kapitalien, die als vollständige Entschädigung oder Teilentschädigung für einen dauerhaften Einkommensausfall bei Arbeitsunfähigkeit anzusehen sind und Personalmitgliedern oder ehemaligen Personalmitgliedern direkt vom Arbeitgeber oder ehemaligen Arbeitgeber gezahlt werden,]</w:t>
      </w:r>
    </w:p>
    <w:p w14:paraId="35C99860" w14:textId="77777777" w:rsidR="00C715F3" w:rsidRPr="009118AB" w:rsidRDefault="00C715F3" w:rsidP="00C715F3">
      <w:pPr>
        <w:autoSpaceDE w:val="0"/>
        <w:autoSpaceDN w:val="0"/>
        <w:adjustRightInd w:val="0"/>
        <w:jc w:val="both"/>
      </w:pPr>
    </w:p>
    <w:p w14:paraId="11E764D5" w14:textId="77777777" w:rsidR="00C715F3" w:rsidRPr="009118AB" w:rsidRDefault="00C715F3" w:rsidP="00977955">
      <w:pPr>
        <w:autoSpaceDE w:val="0"/>
        <w:autoSpaceDN w:val="0"/>
        <w:adjustRightInd w:val="0"/>
        <w:ind w:firstLine="709"/>
        <w:jc w:val="both"/>
      </w:pPr>
      <w:r w:rsidRPr="009118AB">
        <w:t>[24. Provisionen, Maklergebühren, kommerzielle oder andere Ermäßigungen, zufällige oder nicht zufällige Entgelte oder Honorare, Zuwendungen, Vergütungen oder Vorteile jeglicher Art, die einer Person direkt oder indirekt bewilligt werden:</w:t>
      </w:r>
    </w:p>
    <w:p w14:paraId="7513FD91" w14:textId="77777777" w:rsidR="00C715F3" w:rsidRPr="009118AB" w:rsidRDefault="00C715F3" w:rsidP="00C715F3">
      <w:pPr>
        <w:autoSpaceDE w:val="0"/>
        <w:autoSpaceDN w:val="0"/>
        <w:adjustRightInd w:val="0"/>
        <w:jc w:val="both"/>
      </w:pPr>
    </w:p>
    <w:p w14:paraId="1AF39ABD" w14:textId="77777777" w:rsidR="00C715F3" w:rsidRPr="009118AB" w:rsidRDefault="00C715F3" w:rsidP="00977955">
      <w:pPr>
        <w:autoSpaceDE w:val="0"/>
        <w:autoSpaceDN w:val="0"/>
        <w:adjustRightInd w:val="0"/>
        <w:ind w:firstLine="709"/>
        <w:jc w:val="both"/>
      </w:pPr>
      <w:r w:rsidRPr="009118AB">
        <w:rPr>
          <w:i/>
          <w:iCs/>
        </w:rPr>
        <w:t>a)</w:t>
      </w:r>
      <w:r w:rsidRPr="009118AB">
        <w:t xml:space="preserve"> im Rahmen einer in Artikel 246 des Strafgesetzbuches erwähnten öffentlichen Beste</w:t>
      </w:r>
      <w:r w:rsidRPr="009118AB">
        <w:softHyphen/>
        <w:t>chung in Belgien oder einer in Artikel 504</w:t>
      </w:r>
      <w:r w:rsidRPr="009118AB">
        <w:rPr>
          <w:i/>
          <w:iCs/>
        </w:rPr>
        <w:t>bis</w:t>
      </w:r>
      <w:r w:rsidRPr="009118AB">
        <w:t xml:space="preserve"> desselben Gesetzbuches erwähnten Privatbeste</w:t>
      </w:r>
      <w:r w:rsidRPr="009118AB">
        <w:softHyphen/>
        <w:t>chung in Belgien,</w:t>
      </w:r>
    </w:p>
    <w:p w14:paraId="0E841044" w14:textId="77777777" w:rsidR="00C715F3" w:rsidRPr="009118AB" w:rsidRDefault="00C715F3" w:rsidP="00C715F3">
      <w:pPr>
        <w:autoSpaceDE w:val="0"/>
        <w:autoSpaceDN w:val="0"/>
        <w:adjustRightInd w:val="0"/>
        <w:jc w:val="both"/>
      </w:pPr>
    </w:p>
    <w:p w14:paraId="7B70BEBE" w14:textId="77777777" w:rsidR="00C715F3" w:rsidRPr="009118AB" w:rsidRDefault="00C715F3" w:rsidP="00977955">
      <w:pPr>
        <w:autoSpaceDE w:val="0"/>
        <w:autoSpaceDN w:val="0"/>
        <w:adjustRightInd w:val="0"/>
        <w:ind w:firstLine="709"/>
        <w:jc w:val="both"/>
      </w:pPr>
      <w:r w:rsidRPr="009118AB">
        <w:rPr>
          <w:i/>
          <w:iCs/>
        </w:rPr>
        <w:t>b)</w:t>
      </w:r>
      <w:r w:rsidRPr="009118AB">
        <w:t xml:space="preserve"> im Rahmen einer in Artikel 250 desselben Gesetzbuches erwähnten öffentlichen Beste</w:t>
      </w:r>
      <w:r w:rsidRPr="009118AB">
        <w:softHyphen/>
        <w:t>chung einer Person, die in einem ausländischen Staat oder einer völkerrechtlichen Organisation ein öffentliches Amt ausübt,]</w:t>
      </w:r>
    </w:p>
    <w:p w14:paraId="2F526826" w14:textId="77777777" w:rsidR="003951A9" w:rsidRPr="009118AB" w:rsidRDefault="003951A9"/>
    <w:p w14:paraId="07724DA7" w14:textId="77777777" w:rsidR="00C715F3" w:rsidRPr="009118AB" w:rsidRDefault="00C715F3" w:rsidP="00977955">
      <w:pPr>
        <w:autoSpaceDE w:val="0"/>
        <w:autoSpaceDN w:val="0"/>
        <w:adjustRightInd w:val="0"/>
        <w:ind w:firstLine="709"/>
        <w:jc w:val="both"/>
      </w:pPr>
      <w:r w:rsidRPr="009118AB">
        <w:t>[25. den Teil der in Artikel 67</w:t>
      </w:r>
      <w:r w:rsidRPr="009118AB">
        <w:rPr>
          <w:i/>
        </w:rPr>
        <w:t>quinquies</w:t>
      </w:r>
      <w:r w:rsidRPr="009118AB">
        <w:t xml:space="preserve"> erwähnten Ausgleichsentschädigungen, der vorher definitiv von der Steuer befreit wurde und zugunsten der betreffenden Region zurückgezahlt wird</w:t>
      </w:r>
      <w:r w:rsidR="00810B92" w:rsidRPr="009118AB">
        <w:t>,</w:t>
      </w:r>
      <w:r w:rsidRPr="009118AB">
        <w:t>]</w:t>
      </w:r>
    </w:p>
    <w:p w14:paraId="4719BCF6" w14:textId="77777777" w:rsidR="00810B92" w:rsidRPr="009118AB" w:rsidRDefault="00810B92" w:rsidP="00C715F3">
      <w:pPr>
        <w:autoSpaceDE w:val="0"/>
        <w:autoSpaceDN w:val="0"/>
        <w:adjustRightInd w:val="0"/>
        <w:jc w:val="both"/>
      </w:pPr>
    </w:p>
    <w:p w14:paraId="4172F32C" w14:textId="4CEA0083" w:rsidR="00810B92" w:rsidRPr="009118AB" w:rsidRDefault="00810B92" w:rsidP="00D90CFC">
      <w:pPr>
        <w:autoSpaceDE w:val="0"/>
        <w:autoSpaceDN w:val="0"/>
        <w:adjustRightInd w:val="0"/>
        <w:ind w:firstLine="709"/>
        <w:jc w:val="both"/>
      </w:pPr>
      <w:r w:rsidRPr="009118AB">
        <w:t xml:space="preserve">[26. </w:t>
      </w:r>
      <w:r w:rsidR="00BC3C7C" w:rsidRPr="009118AB">
        <w:t>[Ausgleichsz</w:t>
      </w:r>
      <w:r w:rsidRPr="009118AB">
        <w:t>uschläge</w:t>
      </w:r>
      <w:r w:rsidR="00BC3C7C" w:rsidRPr="009118AB">
        <w:t>]</w:t>
      </w:r>
      <w:r w:rsidR="00AF35CE" w:rsidRPr="009118AB">
        <w:t xml:space="preserve"> wie in Artikel </w:t>
      </w:r>
      <w:r w:rsidRPr="009118AB">
        <w:t>33</w:t>
      </w:r>
      <w:r w:rsidRPr="009118AB">
        <w:rPr>
          <w:i/>
        </w:rPr>
        <w:t>bis</w:t>
      </w:r>
      <w:r w:rsidR="00AF35CE" w:rsidRPr="009118AB">
        <w:t xml:space="preserve"> </w:t>
      </w:r>
      <w:r w:rsidR="00D67EB8" w:rsidRPr="009118AB">
        <w:t>§ </w:t>
      </w:r>
      <w:r w:rsidR="00D90CFC" w:rsidRPr="009118AB">
        <w:t>4 des Gesetzes vom 24. Dezem</w:t>
      </w:r>
      <w:r w:rsidRPr="009118AB">
        <w:t>ber</w:t>
      </w:r>
      <w:r w:rsidR="00D90CFC" w:rsidRPr="009118AB">
        <w:t> </w:t>
      </w:r>
      <w:r w:rsidRPr="009118AB">
        <w:t>1999 zur Förderung der Beschäftigung erwähnt, die in Anwendung von Artikel</w:t>
      </w:r>
      <w:r w:rsidR="00D90CFC" w:rsidRPr="009118AB">
        <w:t> </w:t>
      </w:r>
      <w:r w:rsidRPr="009118AB">
        <w:t>275</w:t>
      </w:r>
      <w:r w:rsidRPr="009118AB">
        <w:rPr>
          <w:vertAlign w:val="superscript"/>
        </w:rPr>
        <w:t>11</w:t>
      </w:r>
      <w:r w:rsidRPr="009118AB">
        <w:t xml:space="preserve"> vom geschuldeten Berufssteuervorabzug abgezogen werden</w:t>
      </w:r>
      <w:r w:rsidR="008132B3" w:rsidRPr="009118AB">
        <w:t>,</w:t>
      </w:r>
      <w:r w:rsidRPr="009118AB">
        <w:t>]</w:t>
      </w:r>
    </w:p>
    <w:p w14:paraId="2FF83590" w14:textId="602BA603" w:rsidR="008132B3" w:rsidRPr="009118AB" w:rsidRDefault="008132B3" w:rsidP="00D90CFC">
      <w:pPr>
        <w:autoSpaceDE w:val="0"/>
        <w:autoSpaceDN w:val="0"/>
        <w:adjustRightInd w:val="0"/>
        <w:ind w:firstLine="709"/>
        <w:jc w:val="both"/>
      </w:pPr>
    </w:p>
    <w:p w14:paraId="058CA3A0" w14:textId="53685735" w:rsidR="008132B3" w:rsidRPr="009118AB" w:rsidRDefault="008132B3" w:rsidP="00D90CFC">
      <w:pPr>
        <w:autoSpaceDE w:val="0"/>
        <w:autoSpaceDN w:val="0"/>
        <w:adjustRightInd w:val="0"/>
        <w:ind w:firstLine="709"/>
        <w:jc w:val="both"/>
      </w:pPr>
      <w:r w:rsidRPr="009118AB">
        <w:t>[27. </w:t>
      </w:r>
      <w:r w:rsidR="001057B6" w:rsidRPr="009118AB">
        <w:t>[...]</w:t>
      </w:r>
      <w:r w:rsidRPr="009118AB">
        <w:t>]</w:t>
      </w:r>
    </w:p>
    <w:p w14:paraId="0906AA8F" w14:textId="5FC9DCD4" w:rsidR="00453A90" w:rsidRPr="009118AB" w:rsidRDefault="00453A90" w:rsidP="00D90CFC">
      <w:pPr>
        <w:autoSpaceDE w:val="0"/>
        <w:autoSpaceDN w:val="0"/>
        <w:adjustRightInd w:val="0"/>
        <w:ind w:firstLine="709"/>
        <w:jc w:val="both"/>
      </w:pPr>
    </w:p>
    <w:p w14:paraId="5E29A9A6" w14:textId="6FAC2832" w:rsidR="00453A90" w:rsidRPr="009118AB" w:rsidRDefault="00453A90" w:rsidP="00D90CFC">
      <w:pPr>
        <w:autoSpaceDE w:val="0"/>
        <w:autoSpaceDN w:val="0"/>
        <w:adjustRightInd w:val="0"/>
        <w:ind w:firstLine="709"/>
        <w:jc w:val="both"/>
      </w:pPr>
      <w:r w:rsidRPr="009118AB">
        <w:t>[</w:t>
      </w:r>
      <w:r w:rsidR="000C0C82" w:rsidRPr="009118AB">
        <w:t>[28</w:t>
      </w:r>
      <w:r w:rsidRPr="009118AB">
        <w:t>.</w:t>
      </w:r>
      <w:r w:rsidR="000C0C82" w:rsidRPr="009118AB">
        <w:t>]</w:t>
      </w:r>
      <w:r w:rsidRPr="009118AB">
        <w:t> Prämien für eine Rechtsschutzversicherung wie in Artikel 145</w:t>
      </w:r>
      <w:r w:rsidRPr="009118AB">
        <w:rPr>
          <w:vertAlign w:val="superscript"/>
        </w:rPr>
        <w:t>49</w:t>
      </w:r>
      <w:r w:rsidR="00AF35CE" w:rsidRPr="009118AB">
        <w:t xml:space="preserve"> </w:t>
      </w:r>
      <w:r w:rsidR="00D67EB8" w:rsidRPr="009118AB">
        <w:t>§ </w:t>
      </w:r>
      <w:r w:rsidR="00AF35CE" w:rsidRPr="009118AB">
        <w:t>1 erwähnt,</w:t>
      </w:r>
      <w:r w:rsidRPr="009118AB">
        <w:t>]</w:t>
      </w:r>
    </w:p>
    <w:p w14:paraId="0A1769FA" w14:textId="3F49531E" w:rsidR="008B7166" w:rsidRPr="009118AB" w:rsidRDefault="008B7166" w:rsidP="00D90CFC">
      <w:pPr>
        <w:autoSpaceDE w:val="0"/>
        <w:autoSpaceDN w:val="0"/>
        <w:adjustRightInd w:val="0"/>
        <w:ind w:firstLine="709"/>
        <w:jc w:val="both"/>
      </w:pPr>
    </w:p>
    <w:p w14:paraId="7B0681AF" w14:textId="320D8E4A" w:rsidR="008B7166" w:rsidRPr="009118AB" w:rsidRDefault="008B7166" w:rsidP="00D90CFC">
      <w:pPr>
        <w:autoSpaceDE w:val="0"/>
        <w:autoSpaceDN w:val="0"/>
        <w:adjustRightInd w:val="0"/>
        <w:ind w:firstLine="709"/>
        <w:jc w:val="both"/>
      </w:pPr>
      <w:r w:rsidRPr="009118AB">
        <w:t>(...)</w:t>
      </w:r>
    </w:p>
    <w:p w14:paraId="1AE59E5E" w14:textId="75F93F35" w:rsidR="00AF35CE" w:rsidRPr="009118AB" w:rsidRDefault="00AF35CE" w:rsidP="00D90CFC">
      <w:pPr>
        <w:autoSpaceDE w:val="0"/>
        <w:autoSpaceDN w:val="0"/>
        <w:adjustRightInd w:val="0"/>
        <w:ind w:firstLine="709"/>
        <w:jc w:val="both"/>
      </w:pPr>
    </w:p>
    <w:p w14:paraId="75FAC3E5" w14:textId="017F3B71" w:rsidR="00AF35CE" w:rsidRPr="009118AB" w:rsidRDefault="00AF35CE" w:rsidP="00D90CFC">
      <w:pPr>
        <w:autoSpaceDE w:val="0"/>
        <w:autoSpaceDN w:val="0"/>
        <w:adjustRightInd w:val="0"/>
        <w:ind w:firstLine="709"/>
        <w:jc w:val="both"/>
      </w:pPr>
      <w:r w:rsidRPr="009118AB">
        <w:lastRenderedPageBreak/>
        <w:t>[29. die in Artikel 201/4 des Gesetzbuches der verschiedenen Gebühren und Steuern erwähnte jährliche Steuer auf Wertpapierkonten</w:t>
      </w:r>
      <w:r w:rsidR="00FA6570" w:rsidRPr="009118AB">
        <w:t>,</w:t>
      </w:r>
      <w:r w:rsidRPr="009118AB">
        <w:t>]</w:t>
      </w:r>
    </w:p>
    <w:p w14:paraId="7B739911" w14:textId="77777777" w:rsidR="00FA6570" w:rsidRPr="009118AB" w:rsidRDefault="00FA6570" w:rsidP="00D90CFC">
      <w:pPr>
        <w:autoSpaceDE w:val="0"/>
        <w:autoSpaceDN w:val="0"/>
        <w:adjustRightInd w:val="0"/>
        <w:ind w:firstLine="709"/>
        <w:jc w:val="both"/>
      </w:pPr>
    </w:p>
    <w:p w14:paraId="29D2D870" w14:textId="00D82ECF" w:rsidR="00FA6570" w:rsidRPr="009118AB" w:rsidRDefault="00FA6570" w:rsidP="00D90CFC">
      <w:pPr>
        <w:autoSpaceDE w:val="0"/>
        <w:autoSpaceDN w:val="0"/>
        <w:adjustRightInd w:val="0"/>
        <w:ind w:firstLine="709"/>
        <w:jc w:val="both"/>
      </w:pPr>
      <w:r w:rsidRPr="009118AB">
        <w:t>[30. die in Artikel 160 des Gesetzbuches der verschiedenen Gebühren und Steuern erwähnte Steuer auf den Antritt eines Flugs mit einem Luftfahrzeug</w:t>
      </w:r>
      <w:r w:rsidR="007433D3" w:rsidRPr="009118AB">
        <w:t>,</w:t>
      </w:r>
      <w:r w:rsidRPr="009118AB">
        <w:t>]</w:t>
      </w:r>
    </w:p>
    <w:p w14:paraId="0EC5609C" w14:textId="77777777" w:rsidR="007433D3" w:rsidRPr="009118AB" w:rsidRDefault="007433D3" w:rsidP="00D90CFC">
      <w:pPr>
        <w:autoSpaceDE w:val="0"/>
        <w:autoSpaceDN w:val="0"/>
        <w:adjustRightInd w:val="0"/>
        <w:ind w:firstLine="709"/>
        <w:jc w:val="both"/>
      </w:pPr>
    </w:p>
    <w:p w14:paraId="4186F15A" w14:textId="3A8E1B2D" w:rsidR="007433D3" w:rsidRDefault="007433D3" w:rsidP="00D90CFC">
      <w:pPr>
        <w:autoSpaceDE w:val="0"/>
        <w:autoSpaceDN w:val="0"/>
        <w:adjustRightInd w:val="0"/>
        <w:ind w:firstLine="709"/>
        <w:jc w:val="both"/>
      </w:pPr>
      <w:r w:rsidRPr="009118AB">
        <w:t>[31. unbeschadet des Artikels 52 Nr. 13 Zuteilungen an Dritte zur Rückzahlung der in Nr. 30 erwähnten Steuer</w:t>
      </w:r>
      <w:r w:rsidR="00334402">
        <w:t>,</w:t>
      </w:r>
      <w:r w:rsidRPr="009118AB">
        <w:t>]</w:t>
      </w:r>
    </w:p>
    <w:p w14:paraId="4E6BD36F" w14:textId="77777777" w:rsidR="00334402" w:rsidRDefault="00334402" w:rsidP="00D90CFC">
      <w:pPr>
        <w:autoSpaceDE w:val="0"/>
        <w:autoSpaceDN w:val="0"/>
        <w:adjustRightInd w:val="0"/>
        <w:ind w:firstLine="709"/>
        <w:jc w:val="both"/>
      </w:pPr>
    </w:p>
    <w:p w14:paraId="70C606BC" w14:textId="09A7A88F" w:rsidR="00334402" w:rsidRDefault="00334402" w:rsidP="00D90CFC">
      <w:pPr>
        <w:autoSpaceDE w:val="0"/>
        <w:autoSpaceDN w:val="0"/>
        <w:adjustRightInd w:val="0"/>
        <w:ind w:firstLine="709"/>
        <w:jc w:val="both"/>
      </w:pPr>
      <w:r>
        <w:t>[</w:t>
      </w:r>
      <w:r w:rsidRPr="009541B3">
        <w:t>32. die Steuer auf Spiele und Wetten und die Steuer auf Spielautomaten erwähnt in Artikel 3 Absatz 1 Nr. 1 und 2 des Sondergesetzes vom 16. Januar 1989 bezüglich der Finanzierung der Gemeinschaften und Regionen</w:t>
      </w:r>
      <w:r w:rsidR="00BC1F21">
        <w:t>,</w:t>
      </w:r>
      <w:r>
        <w:t>]</w:t>
      </w:r>
    </w:p>
    <w:p w14:paraId="68B0695F" w14:textId="77777777" w:rsidR="006F40F7" w:rsidRDefault="006F40F7" w:rsidP="00D90CFC">
      <w:pPr>
        <w:autoSpaceDE w:val="0"/>
        <w:autoSpaceDN w:val="0"/>
        <w:adjustRightInd w:val="0"/>
        <w:ind w:firstLine="709"/>
        <w:jc w:val="both"/>
      </w:pPr>
    </w:p>
    <w:p w14:paraId="3D579D20" w14:textId="77777777" w:rsidR="006F40F7" w:rsidRPr="009541B3" w:rsidRDefault="006F40F7" w:rsidP="006F40F7">
      <w:pPr>
        <w:ind w:firstLine="708"/>
        <w:jc w:val="both"/>
      </w:pPr>
      <w:r>
        <w:t>[</w:t>
      </w:r>
      <w:r w:rsidRPr="009541B3">
        <w:t>33. den Mietpreis und die gewährten Mietvorteile sowie die aufgrund eines Erbbaurechts, eines Erbpachtrechts oder eines anderen dinglichen Gebrauchsrechts an einem unbeweglichen Gut gewährten Vergütungen und Vorteile, wenn:</w:t>
      </w:r>
    </w:p>
    <w:p w14:paraId="6533A77E" w14:textId="77777777" w:rsidR="006F40F7" w:rsidRPr="009541B3" w:rsidRDefault="006F40F7" w:rsidP="006F40F7">
      <w:pPr>
        <w:jc w:val="both"/>
      </w:pPr>
    </w:p>
    <w:p w14:paraId="09AD88EF" w14:textId="77777777" w:rsidR="006F40F7" w:rsidRPr="009541B3" w:rsidRDefault="006F40F7" w:rsidP="006F40F7">
      <w:pPr>
        <w:ind w:firstLine="708"/>
        <w:jc w:val="both"/>
      </w:pPr>
      <w:r w:rsidRPr="009541B3">
        <w:rPr>
          <w:i/>
          <w:iCs/>
        </w:rPr>
        <w:t>a)</w:t>
      </w:r>
      <w:r w:rsidRPr="009541B3">
        <w:t> der in Artikel 307 § 2/2 erwähnten Verpflichtung für diese Kosten nicht nachgekommen wurde, oder</w:t>
      </w:r>
    </w:p>
    <w:p w14:paraId="616AEB79" w14:textId="77777777" w:rsidR="006F40F7" w:rsidRPr="009541B3" w:rsidRDefault="006F40F7" w:rsidP="006F40F7">
      <w:pPr>
        <w:jc w:val="both"/>
      </w:pPr>
    </w:p>
    <w:p w14:paraId="43DD3398" w14:textId="5D7EA76F" w:rsidR="006F40F7" w:rsidRDefault="006F40F7" w:rsidP="006F40F7">
      <w:pPr>
        <w:autoSpaceDE w:val="0"/>
        <w:autoSpaceDN w:val="0"/>
        <w:adjustRightInd w:val="0"/>
        <w:ind w:firstLine="709"/>
        <w:jc w:val="both"/>
      </w:pPr>
      <w:r w:rsidRPr="009541B3">
        <w:rPr>
          <w:i/>
          <w:iCs/>
        </w:rPr>
        <w:t>b)</w:t>
      </w:r>
      <w:r w:rsidRPr="009541B3">
        <w:t> den Mietpreis und die gewährten Mietvorteile, die sich auf ein unbewegliches Gut beziehen, dessen Mietvertrag gemäß Artikel 161 Nr. 12 Buchstabe </w:t>
      </w:r>
      <w:r w:rsidRPr="009541B3">
        <w:rPr>
          <w:i/>
          <w:iCs/>
        </w:rPr>
        <w:t>a)</w:t>
      </w:r>
      <w:r w:rsidRPr="009541B3">
        <w:t xml:space="preserve"> oder </w:t>
      </w:r>
      <w:r w:rsidRPr="009541B3">
        <w:rPr>
          <w:i/>
          <w:iCs/>
        </w:rPr>
        <w:t>b)</w:t>
      </w:r>
      <w:r w:rsidRPr="009541B3">
        <w:t xml:space="preserve"> des Registrierungs-, Hypotheken- und Kanzleigebührengesetzbuches unentgeltlich registriert wurde oder gemäß diesen Bestimmungen unentgeltlich hätte registriert werden können, wenn es sich um ein in Belgien gelegenes unbewegliches Gut gehandelt hätte, es sei denn, dieses unbewegliche Gut wird vom Steuerpflichtigen ausschließlich zum Zwecke der Unterbringung eines oder mehrerer Arbeitnehmer oder Unternehmensleiter und gegebenenfalls seiner/ihrer Familie(n) aufgrund einer gesetzlichen oder vertraglichen Verpflichtung gemietet</w:t>
      </w:r>
      <w:r w:rsidR="00D36A74">
        <w:t>,</w:t>
      </w:r>
      <w:r>
        <w:t>]</w:t>
      </w:r>
    </w:p>
    <w:p w14:paraId="1F1FDA8C" w14:textId="77777777" w:rsidR="00980CC2" w:rsidRDefault="00980CC2" w:rsidP="00980CC2">
      <w:pPr>
        <w:autoSpaceDE w:val="0"/>
        <w:autoSpaceDN w:val="0"/>
        <w:adjustRightInd w:val="0"/>
        <w:jc w:val="both"/>
      </w:pPr>
    </w:p>
    <w:p w14:paraId="32DD9E1F" w14:textId="2E983AEA" w:rsidR="00980CC2" w:rsidRPr="009118AB" w:rsidRDefault="00980CC2" w:rsidP="00980CC2">
      <w:pPr>
        <w:autoSpaceDE w:val="0"/>
        <w:autoSpaceDN w:val="0"/>
        <w:adjustRightInd w:val="0"/>
        <w:jc w:val="both"/>
      </w:pPr>
      <w:r>
        <w:tab/>
        <w:t>[</w:t>
      </w:r>
      <w:r w:rsidR="00572B82">
        <w:t>34</w:t>
      </w:r>
      <w:r w:rsidR="0006742B">
        <w:t>. </w:t>
      </w:r>
      <w:r w:rsidR="0006742B" w:rsidRPr="0006742B">
        <w:t>den finanziellen Beitrag erwähnt in Artikel</w:t>
      </w:r>
      <w:r w:rsidR="0006742B">
        <w:t> </w:t>
      </w:r>
      <w:r w:rsidR="0006742B" w:rsidRPr="0006742B">
        <w:t>5a Absatz</w:t>
      </w:r>
      <w:r w:rsidR="0006742B">
        <w:t> </w:t>
      </w:r>
      <w:r w:rsidR="0006742B" w:rsidRPr="0006742B">
        <w:t>9 der Verordnung (EU) Nr.</w:t>
      </w:r>
      <w:r w:rsidR="0006742B">
        <w:t> </w:t>
      </w:r>
      <w:r w:rsidR="0006742B" w:rsidRPr="0006742B">
        <w:t>833/2014 des Rates vom 31.</w:t>
      </w:r>
      <w:r w:rsidR="0006742B">
        <w:t> </w:t>
      </w:r>
      <w:r w:rsidR="0006742B" w:rsidRPr="0006742B">
        <w:t>Juni</w:t>
      </w:r>
      <w:r w:rsidR="0006742B">
        <w:t> </w:t>
      </w:r>
      <w:r w:rsidR="0006742B" w:rsidRPr="0006742B">
        <w:t>2014 über restriktive Maßnahmen angesichts der Handlungen Russlands, die die Lage in der Ukraine destabilisieren.</w:t>
      </w:r>
      <w:r w:rsidR="0006742B">
        <w:t>]</w:t>
      </w:r>
    </w:p>
    <w:p w14:paraId="71E7B599" w14:textId="77777777" w:rsidR="00C715F3" w:rsidRPr="009118AB" w:rsidRDefault="00C715F3" w:rsidP="00C715F3">
      <w:pPr>
        <w:autoSpaceDE w:val="0"/>
        <w:autoSpaceDN w:val="0"/>
        <w:adjustRightInd w:val="0"/>
        <w:jc w:val="both"/>
      </w:pPr>
    </w:p>
    <w:p w14:paraId="56D1A851" w14:textId="60DC6C3E" w:rsidR="00C715F3" w:rsidRPr="0006742B" w:rsidRDefault="00C715F3" w:rsidP="00C715F3">
      <w:pPr>
        <w:autoSpaceDE w:val="0"/>
        <w:autoSpaceDN w:val="0"/>
        <w:adjustRightInd w:val="0"/>
        <w:jc w:val="both"/>
        <w:rPr>
          <w:i/>
          <w:iCs/>
        </w:rPr>
      </w:pPr>
      <w:r w:rsidRPr="009118AB">
        <w:rPr>
          <w:i/>
          <w:iCs/>
        </w:rPr>
        <w:t>[</w:t>
      </w:r>
      <w:r w:rsidR="00D67EB8" w:rsidRPr="009118AB">
        <w:rPr>
          <w:i/>
          <w:iCs/>
        </w:rPr>
        <w:t>Art. </w:t>
      </w:r>
      <w:r w:rsidRPr="009118AB">
        <w:rPr>
          <w:i/>
          <w:iCs/>
        </w:rPr>
        <w:t xml:space="preserve">53 einziger Absatz </w:t>
      </w:r>
      <w:r w:rsidR="00D67EB8" w:rsidRPr="009118AB">
        <w:rPr>
          <w:i/>
          <w:iCs/>
        </w:rPr>
        <w:t>Nr. </w:t>
      </w:r>
      <w:r w:rsidRPr="009118AB">
        <w:rPr>
          <w:i/>
          <w:iCs/>
        </w:rPr>
        <w:t xml:space="preserve">2 ersetzt durch </w:t>
      </w:r>
      <w:r w:rsidR="00D67EB8" w:rsidRPr="009118AB">
        <w:rPr>
          <w:i/>
          <w:iCs/>
        </w:rPr>
        <w:t>Art. </w:t>
      </w:r>
      <w:r w:rsidRPr="009118AB">
        <w:rPr>
          <w:i/>
          <w:iCs/>
        </w:rPr>
        <w:t>79 des G. vom 27. Dezember 2012 (B.S. vom 31. Dezember 2012)</w:t>
      </w:r>
      <w:r w:rsidR="00D67EB8" w:rsidRPr="009118AB">
        <w:rPr>
          <w:i/>
          <w:iCs/>
        </w:rPr>
        <w:t> - </w:t>
      </w:r>
      <w:r w:rsidRPr="009118AB">
        <w:rPr>
          <w:i/>
          <w:iCs/>
        </w:rPr>
        <w:t>anwendbar ab dem Steuerjahr 2014</w:t>
      </w:r>
      <w:r w:rsidR="003366D9" w:rsidRPr="009118AB">
        <w:rPr>
          <w:i/>
          <w:iCs/>
        </w:rPr>
        <w:t> -;</w:t>
      </w:r>
      <w:r w:rsidRPr="009118AB">
        <w:rPr>
          <w:i/>
          <w:iCs/>
        </w:rPr>
        <w:t xml:space="preserve"> einziger Absatz </w:t>
      </w:r>
      <w:r w:rsidR="00D67EB8" w:rsidRPr="009118AB">
        <w:rPr>
          <w:i/>
          <w:iCs/>
        </w:rPr>
        <w:t>Nr. </w:t>
      </w:r>
      <w:r w:rsidRPr="009118AB">
        <w:rPr>
          <w:i/>
          <w:iCs/>
        </w:rPr>
        <w:t xml:space="preserve">4 ersetzt durch </w:t>
      </w:r>
      <w:r w:rsidR="00D67EB8" w:rsidRPr="009118AB">
        <w:rPr>
          <w:i/>
          <w:iCs/>
        </w:rPr>
        <w:t>Art. </w:t>
      </w:r>
      <w:r w:rsidRPr="009118AB">
        <w:rPr>
          <w:i/>
          <w:iCs/>
        </w:rPr>
        <w:t xml:space="preserve">5 </w:t>
      </w:r>
      <w:r w:rsidR="00D67EB8" w:rsidRPr="009118AB">
        <w:rPr>
          <w:i/>
          <w:iCs/>
        </w:rPr>
        <w:t>Nr. </w:t>
      </w:r>
      <w:r w:rsidRPr="009118AB">
        <w:rPr>
          <w:i/>
          <w:iCs/>
        </w:rPr>
        <w:t>2 des G. vom 30. März 1994 (B.S. vom 31. März 1994)</w:t>
      </w:r>
      <w:r w:rsidR="00D67EB8" w:rsidRPr="009118AB">
        <w:rPr>
          <w:i/>
          <w:iCs/>
        </w:rPr>
        <w:t> - </w:t>
      </w:r>
      <w:r w:rsidRPr="009118AB">
        <w:rPr>
          <w:i/>
          <w:iCs/>
        </w:rPr>
        <w:t>anwendbar ab dem Steuerjahr 1995</w:t>
      </w:r>
      <w:r w:rsidR="003366D9" w:rsidRPr="009118AB">
        <w:rPr>
          <w:i/>
          <w:iCs/>
        </w:rPr>
        <w:t> -;</w:t>
      </w:r>
      <w:r w:rsidRPr="009118AB">
        <w:rPr>
          <w:i/>
          <w:iCs/>
        </w:rPr>
        <w:t xml:space="preserve"> einziger Absatz </w:t>
      </w:r>
      <w:r w:rsidR="00D67EB8" w:rsidRPr="009118AB">
        <w:rPr>
          <w:i/>
          <w:iCs/>
        </w:rPr>
        <w:t>Nr. </w:t>
      </w:r>
      <w:r w:rsidRPr="009118AB">
        <w:rPr>
          <w:i/>
          <w:iCs/>
        </w:rPr>
        <w:t xml:space="preserve">5 ergänzt durch </w:t>
      </w:r>
      <w:r w:rsidR="00D67EB8" w:rsidRPr="009118AB">
        <w:rPr>
          <w:i/>
          <w:iCs/>
        </w:rPr>
        <w:t>Art. </w:t>
      </w:r>
      <w:r w:rsidRPr="009118AB">
        <w:rPr>
          <w:i/>
          <w:iCs/>
        </w:rPr>
        <w:t xml:space="preserve">5 </w:t>
      </w:r>
      <w:r w:rsidR="00D67EB8" w:rsidRPr="009118AB">
        <w:rPr>
          <w:i/>
          <w:iCs/>
        </w:rPr>
        <w:t>Nr. </w:t>
      </w:r>
      <w:r w:rsidRPr="009118AB">
        <w:rPr>
          <w:i/>
          <w:iCs/>
        </w:rPr>
        <w:t>3 des G. vom 30. März 1994 (B.S. vom 31. März 1994)</w:t>
      </w:r>
      <w:r w:rsidR="00D67EB8" w:rsidRPr="009118AB">
        <w:rPr>
          <w:i/>
          <w:iCs/>
        </w:rPr>
        <w:t> - </w:t>
      </w:r>
      <w:r w:rsidRPr="009118AB">
        <w:rPr>
          <w:i/>
          <w:iCs/>
        </w:rPr>
        <w:t>anwendbar ab dem Steuerjahr 1995</w:t>
      </w:r>
      <w:r w:rsidR="003366D9" w:rsidRPr="009118AB">
        <w:rPr>
          <w:i/>
          <w:iCs/>
        </w:rPr>
        <w:t> -;</w:t>
      </w:r>
      <w:r w:rsidRPr="009118AB">
        <w:rPr>
          <w:i/>
          <w:iCs/>
        </w:rPr>
        <w:t xml:space="preserve"> </w:t>
      </w:r>
      <w:bookmarkStart w:id="6" w:name="_Hlk45895027"/>
      <w:r w:rsidR="002A4B4B" w:rsidRPr="009118AB">
        <w:rPr>
          <w:i/>
          <w:iCs/>
        </w:rPr>
        <w:t xml:space="preserve">einziger Absatz </w:t>
      </w:r>
      <w:r w:rsidR="00D67EB8" w:rsidRPr="009118AB">
        <w:rPr>
          <w:i/>
          <w:iCs/>
        </w:rPr>
        <w:t>Nr. </w:t>
      </w:r>
      <w:r w:rsidR="002A4B4B" w:rsidRPr="009118AB">
        <w:rPr>
          <w:i/>
          <w:iCs/>
        </w:rPr>
        <w:t xml:space="preserve">6 abgeändert durch </w:t>
      </w:r>
      <w:r w:rsidR="00D67EB8" w:rsidRPr="009118AB">
        <w:rPr>
          <w:i/>
          <w:iCs/>
        </w:rPr>
        <w:t>Art. </w:t>
      </w:r>
      <w:r w:rsidR="002A4B4B" w:rsidRPr="009118AB">
        <w:rPr>
          <w:i/>
          <w:iCs/>
        </w:rPr>
        <w:t>8</w:t>
      </w:r>
      <w:r w:rsidR="00E12E75" w:rsidRPr="009118AB">
        <w:rPr>
          <w:i/>
          <w:iCs/>
        </w:rPr>
        <w:t xml:space="preserve"> </w:t>
      </w:r>
      <w:r w:rsidR="00D67EB8" w:rsidRPr="009118AB">
        <w:rPr>
          <w:i/>
          <w:iCs/>
        </w:rPr>
        <w:t>Nr. </w:t>
      </w:r>
      <w:r w:rsidR="00FB42C7" w:rsidRPr="009118AB">
        <w:rPr>
          <w:i/>
          <w:iCs/>
        </w:rPr>
        <w:t xml:space="preserve">1 und 2 </w:t>
      </w:r>
      <w:r w:rsidR="00E12E75" w:rsidRPr="009118AB">
        <w:rPr>
          <w:i/>
          <w:iCs/>
        </w:rPr>
        <w:t>des G. vom 25. Dezember 2017 (III) (B.S. vom 29. Dezember 2017)</w:t>
      </w:r>
      <w:r w:rsidR="00D67EB8" w:rsidRPr="009118AB">
        <w:rPr>
          <w:i/>
          <w:iCs/>
        </w:rPr>
        <w:t> - </w:t>
      </w:r>
      <w:r w:rsidR="00E12E75" w:rsidRPr="009118AB">
        <w:rPr>
          <w:i/>
          <w:iCs/>
        </w:rPr>
        <w:t>in Kraft am 1. Januar </w:t>
      </w:r>
      <w:r w:rsidR="002A4B4B" w:rsidRPr="009118AB">
        <w:rPr>
          <w:i/>
          <w:iCs/>
        </w:rPr>
        <w:t xml:space="preserve">2020 </w:t>
      </w:r>
      <w:r w:rsidR="00E12E75" w:rsidRPr="009118AB">
        <w:rPr>
          <w:i/>
          <w:iCs/>
        </w:rPr>
        <w:t>und anwendbar ab dem Steuerjahr </w:t>
      </w:r>
      <w:r w:rsidR="002A4B4B" w:rsidRPr="009118AB">
        <w:rPr>
          <w:i/>
          <w:iCs/>
        </w:rPr>
        <w:t>2021, das sich auf einen Besteuerungszeitraum bezie</w:t>
      </w:r>
      <w:r w:rsidR="00E12E75" w:rsidRPr="009118AB">
        <w:rPr>
          <w:i/>
          <w:iCs/>
        </w:rPr>
        <w:t>ht, der frühestens am 1. Januar </w:t>
      </w:r>
      <w:r w:rsidR="002A4B4B" w:rsidRPr="009118AB">
        <w:rPr>
          <w:i/>
          <w:iCs/>
        </w:rPr>
        <w:t>2020 beginnt</w:t>
      </w:r>
      <w:r w:rsidR="00D67EB8" w:rsidRPr="009118AB">
        <w:rPr>
          <w:i/>
          <w:iCs/>
        </w:rPr>
        <w:t> - </w:t>
      </w:r>
      <w:r w:rsidR="006035B2" w:rsidRPr="009118AB">
        <w:rPr>
          <w:i/>
          <w:iCs/>
        </w:rPr>
        <w:t xml:space="preserve">und </w:t>
      </w:r>
      <w:r w:rsidR="00D67EB8" w:rsidRPr="009118AB">
        <w:rPr>
          <w:i/>
          <w:iCs/>
        </w:rPr>
        <w:t>Art. </w:t>
      </w:r>
      <w:r w:rsidR="006035B2" w:rsidRPr="009118AB">
        <w:rPr>
          <w:i/>
          <w:iCs/>
        </w:rPr>
        <w:t>23</w:t>
      </w:r>
      <w:r w:rsidR="006035B2" w:rsidRPr="009118AB">
        <w:rPr>
          <w:i/>
        </w:rPr>
        <w:t xml:space="preserve"> des G. vom 27. Dezember 2021 (B.S. vom 31. Dezember 2021)</w:t>
      </w:r>
      <w:r w:rsidR="002A4B4B" w:rsidRPr="009118AB">
        <w:rPr>
          <w:i/>
          <w:iCs/>
        </w:rPr>
        <w:t xml:space="preserve">; </w:t>
      </w:r>
      <w:bookmarkEnd w:id="6"/>
      <w:r w:rsidR="003B696F" w:rsidRPr="009118AB">
        <w:rPr>
          <w:i/>
          <w:iCs/>
        </w:rPr>
        <w:t xml:space="preserve">einziger Absatz </w:t>
      </w:r>
      <w:r w:rsidR="00D67EB8" w:rsidRPr="009118AB">
        <w:rPr>
          <w:i/>
          <w:iCs/>
        </w:rPr>
        <w:t>Nr. </w:t>
      </w:r>
      <w:r w:rsidR="003B696F" w:rsidRPr="009118AB">
        <w:rPr>
          <w:i/>
          <w:iCs/>
        </w:rPr>
        <w:t xml:space="preserve">7 </w:t>
      </w:r>
      <w:r w:rsidR="00D67EB8" w:rsidRPr="009118AB">
        <w:rPr>
          <w:i/>
          <w:iCs/>
        </w:rPr>
        <w:t>Abs. </w:t>
      </w:r>
      <w:r w:rsidR="003B696F" w:rsidRPr="009118AB">
        <w:rPr>
          <w:i/>
          <w:iCs/>
        </w:rPr>
        <w:t xml:space="preserve">1 einleitende Bestimmung abgeändert durch </w:t>
      </w:r>
      <w:r w:rsidR="00D67EB8" w:rsidRPr="009118AB">
        <w:rPr>
          <w:i/>
          <w:iCs/>
        </w:rPr>
        <w:t>Art. </w:t>
      </w:r>
      <w:r w:rsidR="003B696F" w:rsidRPr="009118AB">
        <w:rPr>
          <w:i/>
          <w:iCs/>
        </w:rPr>
        <w:t xml:space="preserve">30 </w:t>
      </w:r>
      <w:r w:rsidR="00D67EB8" w:rsidRPr="009118AB">
        <w:rPr>
          <w:i/>
          <w:iCs/>
        </w:rPr>
        <w:t>Nr. </w:t>
      </w:r>
      <w:r w:rsidR="003B696F" w:rsidRPr="009118AB">
        <w:rPr>
          <w:i/>
          <w:iCs/>
        </w:rPr>
        <w:t>1 des G. vom 21. Januar 2022 (B.S. vom 28. Januar 2022)</w:t>
      </w:r>
      <w:r w:rsidR="00D67EB8" w:rsidRPr="009118AB">
        <w:rPr>
          <w:i/>
          <w:iCs/>
        </w:rPr>
        <w:t> - </w:t>
      </w:r>
      <w:r w:rsidR="003B696F" w:rsidRPr="009118AB">
        <w:rPr>
          <w:i/>
          <w:iCs/>
        </w:rPr>
        <w:t>anwendbar ab dem Steuerjahr 2022</w:t>
      </w:r>
      <w:r w:rsidR="003366D9" w:rsidRPr="009118AB">
        <w:rPr>
          <w:i/>
          <w:iCs/>
        </w:rPr>
        <w:t> -;</w:t>
      </w:r>
      <w:r w:rsidR="003B696F" w:rsidRPr="009118AB">
        <w:rPr>
          <w:i/>
          <w:iCs/>
        </w:rPr>
        <w:t xml:space="preserve"> </w:t>
      </w:r>
      <w:r w:rsidRPr="009118AB">
        <w:rPr>
          <w:i/>
          <w:iCs/>
        </w:rPr>
        <w:t xml:space="preserve">einziger Absatz </w:t>
      </w:r>
      <w:r w:rsidR="00D67EB8" w:rsidRPr="009118AB">
        <w:rPr>
          <w:i/>
          <w:iCs/>
        </w:rPr>
        <w:t>Nr. </w:t>
      </w:r>
      <w:r w:rsidRPr="009118AB">
        <w:rPr>
          <w:i/>
          <w:iCs/>
        </w:rPr>
        <w:t xml:space="preserve">8 ersetzt durch </w:t>
      </w:r>
      <w:r w:rsidR="00D67EB8" w:rsidRPr="009118AB">
        <w:rPr>
          <w:i/>
          <w:iCs/>
        </w:rPr>
        <w:t>Art. </w:t>
      </w:r>
      <w:r w:rsidRPr="009118AB">
        <w:rPr>
          <w:i/>
          <w:iCs/>
        </w:rPr>
        <w:t>2 des G. vom 10. Mai 2004 (B.S. vom 24. Mai 2004)</w:t>
      </w:r>
      <w:r w:rsidR="00D67EB8" w:rsidRPr="009118AB">
        <w:rPr>
          <w:i/>
          <w:iCs/>
        </w:rPr>
        <w:t> - </w:t>
      </w:r>
      <w:r w:rsidRPr="009118AB">
        <w:rPr>
          <w:i/>
          <w:iCs/>
        </w:rPr>
        <w:t>anwendbar auf die ab dem 1. Januar 2004 getätigten Ausgaben</w:t>
      </w:r>
      <w:r w:rsidR="00D67EB8" w:rsidRPr="009118AB">
        <w:rPr>
          <w:i/>
          <w:iCs/>
        </w:rPr>
        <w:t> - </w:t>
      </w:r>
      <w:r w:rsidR="003B696F" w:rsidRPr="009118AB">
        <w:rPr>
          <w:i/>
          <w:iCs/>
        </w:rPr>
        <w:t xml:space="preserve">und abgeändert durch </w:t>
      </w:r>
      <w:r w:rsidR="00D67EB8" w:rsidRPr="009118AB">
        <w:rPr>
          <w:i/>
          <w:iCs/>
        </w:rPr>
        <w:t>Art. </w:t>
      </w:r>
      <w:r w:rsidR="003B696F" w:rsidRPr="009118AB">
        <w:rPr>
          <w:i/>
          <w:iCs/>
        </w:rPr>
        <w:t xml:space="preserve">30 </w:t>
      </w:r>
      <w:r w:rsidR="00D67EB8" w:rsidRPr="009118AB">
        <w:rPr>
          <w:i/>
          <w:iCs/>
        </w:rPr>
        <w:t>Nr. </w:t>
      </w:r>
      <w:r w:rsidR="003B696F" w:rsidRPr="009118AB">
        <w:rPr>
          <w:i/>
          <w:iCs/>
        </w:rPr>
        <w:t>2 des G. vom 21. Januar 2022 (B.S. vom 28. Januar 2022)</w:t>
      </w:r>
      <w:r w:rsidR="00D67EB8" w:rsidRPr="009118AB">
        <w:rPr>
          <w:i/>
          <w:iCs/>
        </w:rPr>
        <w:t> - </w:t>
      </w:r>
      <w:r w:rsidR="003B696F" w:rsidRPr="009118AB">
        <w:rPr>
          <w:i/>
          <w:iCs/>
        </w:rPr>
        <w:t>anwendbar ab dem Steuerjahr 2022</w:t>
      </w:r>
      <w:r w:rsidR="003366D9" w:rsidRPr="009118AB">
        <w:rPr>
          <w:i/>
          <w:iCs/>
        </w:rPr>
        <w:t> -;</w:t>
      </w:r>
      <w:r w:rsidRPr="009118AB">
        <w:rPr>
          <w:i/>
          <w:iCs/>
        </w:rPr>
        <w:t xml:space="preserve"> einziger Absatz </w:t>
      </w:r>
      <w:r w:rsidR="00D67EB8" w:rsidRPr="009118AB">
        <w:rPr>
          <w:i/>
          <w:iCs/>
        </w:rPr>
        <w:t>Nr. </w:t>
      </w:r>
      <w:r w:rsidRPr="009118AB">
        <w:rPr>
          <w:i/>
          <w:iCs/>
        </w:rPr>
        <w:t xml:space="preserve">8bis eingefügt durch </w:t>
      </w:r>
      <w:r w:rsidR="00D67EB8" w:rsidRPr="009118AB">
        <w:rPr>
          <w:i/>
          <w:iCs/>
        </w:rPr>
        <w:t>Art. </w:t>
      </w:r>
      <w:r w:rsidRPr="009118AB">
        <w:rPr>
          <w:i/>
          <w:iCs/>
        </w:rPr>
        <w:t>3 Buchstabe A des G. vom 10. Mai</w:t>
      </w:r>
      <w:r w:rsidR="005E3D7F" w:rsidRPr="009118AB">
        <w:rPr>
          <w:i/>
          <w:iCs/>
        </w:rPr>
        <w:t> 2004 (B.S. vom 24. Mai 2004)</w:t>
      </w:r>
      <w:r w:rsidR="00D67EB8" w:rsidRPr="009118AB">
        <w:rPr>
          <w:i/>
          <w:iCs/>
        </w:rPr>
        <w:t> - </w:t>
      </w:r>
      <w:r w:rsidRPr="009118AB">
        <w:rPr>
          <w:i/>
          <w:iCs/>
        </w:rPr>
        <w:t>anwendbar auf die ab dem 1. Januar 2004 getätigten Ausgaben</w:t>
      </w:r>
      <w:r w:rsidR="00D67EB8" w:rsidRPr="009118AB">
        <w:rPr>
          <w:i/>
          <w:iCs/>
        </w:rPr>
        <w:t> - </w:t>
      </w:r>
      <w:r w:rsidRPr="009118AB">
        <w:rPr>
          <w:i/>
          <w:iCs/>
        </w:rPr>
        <w:t xml:space="preserve">und abgeändert durch </w:t>
      </w:r>
      <w:r w:rsidR="00D67EB8" w:rsidRPr="009118AB">
        <w:rPr>
          <w:i/>
          <w:iCs/>
        </w:rPr>
        <w:t>Art. </w:t>
      </w:r>
      <w:r w:rsidRPr="009118AB">
        <w:rPr>
          <w:i/>
          <w:iCs/>
        </w:rPr>
        <w:t xml:space="preserve">3 Buchstabe B des G. vom 10. Mai 2004 (B.S. vom 24. Mai 2004), selbst </w:t>
      </w:r>
      <w:r w:rsidRPr="009118AB">
        <w:rPr>
          <w:i/>
          <w:iCs/>
        </w:rPr>
        <w:lastRenderedPageBreak/>
        <w:t xml:space="preserve">ersetzt durch </w:t>
      </w:r>
      <w:r w:rsidR="00D67EB8" w:rsidRPr="009118AB">
        <w:rPr>
          <w:i/>
          <w:iCs/>
        </w:rPr>
        <w:t>Art. </w:t>
      </w:r>
      <w:r w:rsidRPr="009118AB">
        <w:rPr>
          <w:i/>
          <w:iCs/>
        </w:rPr>
        <w:t xml:space="preserve">364 </w:t>
      </w:r>
      <w:r w:rsidR="00D67EB8" w:rsidRPr="009118AB">
        <w:rPr>
          <w:i/>
          <w:iCs/>
        </w:rPr>
        <w:t>Nr. </w:t>
      </w:r>
      <w:r w:rsidRPr="009118AB">
        <w:rPr>
          <w:i/>
          <w:iCs/>
        </w:rPr>
        <w:t>1 des G. vom 27. Dezember 2004 (B.S. vom 31. Dezember 2004)</w:t>
      </w:r>
      <w:r w:rsidR="00D67EB8" w:rsidRPr="009118AB">
        <w:rPr>
          <w:i/>
          <w:iCs/>
        </w:rPr>
        <w:t> - </w:t>
      </w:r>
      <w:r w:rsidRPr="009118AB">
        <w:rPr>
          <w:i/>
          <w:iCs/>
        </w:rPr>
        <w:t>anwendbar auf die ab dem 1. Januar 2005 getätigten Ausgaben</w:t>
      </w:r>
      <w:r w:rsidR="00FD68E8" w:rsidRPr="009118AB">
        <w:rPr>
          <w:i/>
          <w:iCs/>
        </w:rPr>
        <w:t> -,</w:t>
      </w:r>
      <w:r w:rsidR="003B696F" w:rsidRPr="009118AB">
        <w:rPr>
          <w:i/>
          <w:iCs/>
        </w:rPr>
        <w:t xml:space="preserve"> und durch </w:t>
      </w:r>
      <w:r w:rsidR="00D67EB8" w:rsidRPr="009118AB">
        <w:rPr>
          <w:i/>
          <w:iCs/>
        </w:rPr>
        <w:t>Art. </w:t>
      </w:r>
      <w:r w:rsidR="003B696F" w:rsidRPr="009118AB">
        <w:rPr>
          <w:i/>
          <w:iCs/>
        </w:rPr>
        <w:t xml:space="preserve">30 </w:t>
      </w:r>
      <w:r w:rsidR="00D67EB8" w:rsidRPr="009118AB">
        <w:rPr>
          <w:i/>
          <w:iCs/>
        </w:rPr>
        <w:t>Nr. </w:t>
      </w:r>
      <w:r w:rsidR="003B696F" w:rsidRPr="009118AB">
        <w:rPr>
          <w:i/>
          <w:iCs/>
        </w:rPr>
        <w:t>3 des G. vom 21. Januar 2022 (B.S. vom 28. Januar 2022)</w:t>
      </w:r>
      <w:r w:rsidR="00D67EB8" w:rsidRPr="009118AB">
        <w:rPr>
          <w:i/>
          <w:iCs/>
        </w:rPr>
        <w:t> - </w:t>
      </w:r>
      <w:r w:rsidR="003B696F" w:rsidRPr="009118AB">
        <w:rPr>
          <w:i/>
          <w:iCs/>
        </w:rPr>
        <w:t>anwendbar ab dem Steuerjahr 2022</w:t>
      </w:r>
      <w:r w:rsidR="003366D9" w:rsidRPr="009118AB">
        <w:rPr>
          <w:i/>
          <w:iCs/>
        </w:rPr>
        <w:t> -;</w:t>
      </w:r>
      <w:r w:rsidR="003B696F" w:rsidRPr="009118AB">
        <w:rPr>
          <w:i/>
          <w:iCs/>
        </w:rPr>
        <w:t xml:space="preserve"> einziger Absatz </w:t>
      </w:r>
      <w:r w:rsidR="00D67EB8" w:rsidRPr="009118AB">
        <w:rPr>
          <w:i/>
          <w:iCs/>
        </w:rPr>
        <w:t>Nr. </w:t>
      </w:r>
      <w:r w:rsidR="003B696F" w:rsidRPr="009118AB">
        <w:rPr>
          <w:i/>
          <w:iCs/>
        </w:rPr>
        <w:t xml:space="preserve">9 abgeändert durch </w:t>
      </w:r>
      <w:r w:rsidR="00D67EB8" w:rsidRPr="009118AB">
        <w:rPr>
          <w:i/>
          <w:iCs/>
        </w:rPr>
        <w:t>Art. </w:t>
      </w:r>
      <w:r w:rsidR="003B696F" w:rsidRPr="009118AB">
        <w:rPr>
          <w:i/>
          <w:iCs/>
        </w:rPr>
        <w:t xml:space="preserve">30 </w:t>
      </w:r>
      <w:r w:rsidR="00D67EB8" w:rsidRPr="009118AB">
        <w:rPr>
          <w:i/>
          <w:iCs/>
        </w:rPr>
        <w:t>Nr. </w:t>
      </w:r>
      <w:r w:rsidR="003B696F" w:rsidRPr="009118AB">
        <w:rPr>
          <w:i/>
          <w:iCs/>
        </w:rPr>
        <w:t>4 des G. vom 21. Januar 2022 (B.S. vom 28. Januar 2022)</w:t>
      </w:r>
      <w:r w:rsidR="00D67EB8" w:rsidRPr="009118AB">
        <w:rPr>
          <w:i/>
          <w:iCs/>
        </w:rPr>
        <w:t> - </w:t>
      </w:r>
      <w:r w:rsidR="003B696F" w:rsidRPr="009118AB">
        <w:rPr>
          <w:i/>
          <w:iCs/>
        </w:rPr>
        <w:t>anwendbar ab dem Steuerjahr 2022</w:t>
      </w:r>
      <w:r w:rsidR="003366D9" w:rsidRPr="009118AB">
        <w:rPr>
          <w:i/>
          <w:iCs/>
        </w:rPr>
        <w:t> -;</w:t>
      </w:r>
      <w:r w:rsidRPr="009118AB">
        <w:rPr>
          <w:i/>
          <w:iCs/>
        </w:rPr>
        <w:t xml:space="preserve"> einziger Absatz </w:t>
      </w:r>
      <w:r w:rsidR="00D67EB8" w:rsidRPr="009118AB">
        <w:rPr>
          <w:i/>
          <w:iCs/>
        </w:rPr>
        <w:t>Nr. </w:t>
      </w:r>
      <w:r w:rsidRPr="009118AB">
        <w:rPr>
          <w:i/>
          <w:iCs/>
        </w:rPr>
        <w:t xml:space="preserve">12 ergänzt durch </w:t>
      </w:r>
      <w:r w:rsidR="00D67EB8" w:rsidRPr="009118AB">
        <w:rPr>
          <w:i/>
          <w:iCs/>
        </w:rPr>
        <w:t>Art. </w:t>
      </w:r>
      <w:r w:rsidRPr="009118AB">
        <w:rPr>
          <w:i/>
          <w:iCs/>
        </w:rPr>
        <w:t xml:space="preserve">20 </w:t>
      </w:r>
      <w:r w:rsidR="00D67EB8" w:rsidRPr="009118AB">
        <w:rPr>
          <w:i/>
          <w:iCs/>
        </w:rPr>
        <w:t>Nr. </w:t>
      </w:r>
      <w:r w:rsidRPr="009118AB">
        <w:rPr>
          <w:i/>
          <w:iCs/>
        </w:rPr>
        <w:t>1 des G. (I) vom 24. Dezember 2002 (I) (B.S. vom 31. Dezember 2002)</w:t>
      </w:r>
      <w:r w:rsidR="00D67EB8" w:rsidRPr="009118AB">
        <w:rPr>
          <w:i/>
          <w:iCs/>
        </w:rPr>
        <w:t> - </w:t>
      </w:r>
      <w:r w:rsidR="00AF35CE" w:rsidRPr="009118AB">
        <w:rPr>
          <w:i/>
          <w:iCs/>
        </w:rPr>
        <w:t>in Kraft ab dem Steuerjahr 2004</w:t>
      </w:r>
      <w:r w:rsidR="003366D9" w:rsidRPr="009118AB">
        <w:rPr>
          <w:i/>
          <w:iCs/>
        </w:rPr>
        <w:t> -;</w:t>
      </w:r>
      <w:r w:rsidRPr="009118AB">
        <w:rPr>
          <w:i/>
          <w:iCs/>
        </w:rPr>
        <w:t xml:space="preserve"> einziger Absatz </w:t>
      </w:r>
      <w:r w:rsidR="00D67EB8" w:rsidRPr="009118AB">
        <w:rPr>
          <w:i/>
          <w:iCs/>
        </w:rPr>
        <w:t>Nr. </w:t>
      </w:r>
      <w:r w:rsidRPr="009118AB">
        <w:rPr>
          <w:i/>
          <w:iCs/>
        </w:rPr>
        <w:t xml:space="preserve">14 ersetzt durch </w:t>
      </w:r>
      <w:r w:rsidR="00D67EB8" w:rsidRPr="009118AB">
        <w:rPr>
          <w:i/>
          <w:iCs/>
        </w:rPr>
        <w:t>Art. </w:t>
      </w:r>
      <w:r w:rsidRPr="009118AB">
        <w:rPr>
          <w:i/>
          <w:iCs/>
        </w:rPr>
        <w:t>9 des G. vom 22. Dezember 2009 (I) (B.S. vom 31. Dezember 2009)</w:t>
      </w:r>
      <w:r w:rsidR="00D67EB8" w:rsidRPr="009118AB">
        <w:rPr>
          <w:i/>
          <w:iCs/>
        </w:rPr>
        <w:t> - </w:t>
      </w:r>
      <w:r w:rsidRPr="009118AB">
        <w:rPr>
          <w:i/>
          <w:iCs/>
        </w:rPr>
        <w:t>anwendbar ab dem Steuerjahr 2010 und wirksam mit 1. Februar 2009</w:t>
      </w:r>
      <w:r w:rsidR="00D67EB8" w:rsidRPr="009118AB">
        <w:rPr>
          <w:i/>
          <w:iCs/>
        </w:rPr>
        <w:t> - </w:t>
      </w:r>
      <w:r w:rsidRPr="009118AB">
        <w:rPr>
          <w:i/>
          <w:iCs/>
        </w:rPr>
        <w:t xml:space="preserve">und abgeändert durch </w:t>
      </w:r>
      <w:r w:rsidR="00D67EB8" w:rsidRPr="009118AB">
        <w:rPr>
          <w:i/>
          <w:iCs/>
        </w:rPr>
        <w:t>Art. </w:t>
      </w:r>
      <w:r w:rsidRPr="009118AB">
        <w:rPr>
          <w:i/>
          <w:iCs/>
        </w:rPr>
        <w:t>4</w:t>
      </w:r>
      <w:r w:rsidRPr="009118AB">
        <w:rPr>
          <w:i/>
        </w:rPr>
        <w:t xml:space="preserve"> des G. vom 6. Dezember 2015 (B.S. vom 17. Dezember 2015)</w:t>
      </w:r>
      <w:r w:rsidR="00D67EB8" w:rsidRPr="009118AB">
        <w:rPr>
          <w:i/>
        </w:rPr>
        <w:t> - </w:t>
      </w:r>
      <w:r w:rsidRPr="009118AB">
        <w:rPr>
          <w:i/>
        </w:rPr>
        <w:t>anwendbar auf die ab dem 1. Januar 2</w:t>
      </w:r>
      <w:r w:rsidR="00CD6B69" w:rsidRPr="009118AB">
        <w:rPr>
          <w:i/>
        </w:rPr>
        <w:t>016 bewilligten Mahlzeitschecks</w:t>
      </w:r>
      <w:r w:rsidR="00D67EB8" w:rsidRPr="009118AB">
        <w:rPr>
          <w:i/>
        </w:rPr>
        <w:t> - </w:t>
      </w:r>
      <w:r w:rsidRPr="009118AB">
        <w:rPr>
          <w:i/>
        </w:rPr>
        <w:t xml:space="preserve">und </w:t>
      </w:r>
      <w:r w:rsidR="00D67EB8" w:rsidRPr="009118AB">
        <w:rPr>
          <w:i/>
        </w:rPr>
        <w:t>Art. </w:t>
      </w:r>
      <w:r w:rsidRPr="009118AB">
        <w:rPr>
          <w:rFonts w:hint="eastAsia"/>
          <w:i/>
        </w:rPr>
        <w:t>4</w:t>
      </w:r>
      <w:r w:rsidRPr="009118AB">
        <w:rPr>
          <w:i/>
          <w:iCs/>
        </w:rPr>
        <w:t xml:space="preserve"> des G. vom 25. Dezember 2017 (II) (B.S. vom 29. Dezember 2017); einziger Absatz </w:t>
      </w:r>
      <w:r w:rsidR="00D67EB8" w:rsidRPr="009118AB">
        <w:rPr>
          <w:i/>
          <w:iCs/>
        </w:rPr>
        <w:t>Nr. </w:t>
      </w:r>
      <w:r w:rsidRPr="009118AB">
        <w:rPr>
          <w:i/>
          <w:iCs/>
        </w:rPr>
        <w:t xml:space="preserve">15 ersetzt durch </w:t>
      </w:r>
      <w:r w:rsidR="00D67EB8" w:rsidRPr="009118AB">
        <w:rPr>
          <w:i/>
          <w:iCs/>
        </w:rPr>
        <w:t>Art. </w:t>
      </w:r>
      <w:r w:rsidRPr="009118AB">
        <w:rPr>
          <w:i/>
          <w:iCs/>
        </w:rPr>
        <w:t xml:space="preserve">11 </w:t>
      </w:r>
      <w:r w:rsidR="00D67EB8" w:rsidRPr="009118AB">
        <w:rPr>
          <w:i/>
          <w:iCs/>
        </w:rPr>
        <w:t>Nr. </w:t>
      </w:r>
      <w:r w:rsidRPr="009118AB">
        <w:rPr>
          <w:i/>
          <w:iCs/>
        </w:rPr>
        <w:t>1 des K.E. vom 20. Dezember 1996 (B.S. vom 31. Dezember 1996)</w:t>
      </w:r>
      <w:r w:rsidR="00D67EB8" w:rsidRPr="009118AB">
        <w:rPr>
          <w:i/>
          <w:iCs/>
        </w:rPr>
        <w:t> - </w:t>
      </w:r>
      <w:r w:rsidRPr="009118AB">
        <w:rPr>
          <w:i/>
          <w:iCs/>
        </w:rPr>
        <w:t>anwendbar ab dem Steuerjahr 1998</w:t>
      </w:r>
      <w:r w:rsidR="003366D9" w:rsidRPr="009118AB">
        <w:rPr>
          <w:i/>
          <w:iCs/>
        </w:rPr>
        <w:t> -;</w:t>
      </w:r>
      <w:r w:rsidRPr="009118AB">
        <w:rPr>
          <w:i/>
          <w:iCs/>
        </w:rPr>
        <w:t xml:space="preserve"> einziger Absatz </w:t>
      </w:r>
      <w:r w:rsidR="00D67EB8" w:rsidRPr="009118AB">
        <w:rPr>
          <w:i/>
          <w:iCs/>
        </w:rPr>
        <w:t>Nr. </w:t>
      </w:r>
      <w:r w:rsidRPr="009118AB">
        <w:rPr>
          <w:i/>
          <w:iCs/>
        </w:rPr>
        <w:t xml:space="preserve">16 abgeändert durch </w:t>
      </w:r>
      <w:r w:rsidR="00D67EB8" w:rsidRPr="009118AB">
        <w:rPr>
          <w:i/>
          <w:iCs/>
        </w:rPr>
        <w:t>Art. </w:t>
      </w:r>
      <w:r w:rsidRPr="009118AB">
        <w:rPr>
          <w:i/>
          <w:iCs/>
        </w:rPr>
        <w:t xml:space="preserve">11 </w:t>
      </w:r>
      <w:r w:rsidR="00D67EB8" w:rsidRPr="009118AB">
        <w:rPr>
          <w:i/>
          <w:iCs/>
        </w:rPr>
        <w:t>Nr. </w:t>
      </w:r>
      <w:r w:rsidRPr="009118AB">
        <w:rPr>
          <w:i/>
          <w:iCs/>
        </w:rPr>
        <w:t>2 des K.E. vom 20. Dezember 1996 (B.S. vom 31. Dezember 1996)</w:t>
      </w:r>
      <w:r w:rsidR="00D67EB8" w:rsidRPr="009118AB">
        <w:rPr>
          <w:i/>
          <w:iCs/>
        </w:rPr>
        <w:t> - </w:t>
      </w:r>
      <w:r w:rsidRPr="009118AB">
        <w:rPr>
          <w:i/>
          <w:iCs/>
        </w:rPr>
        <w:t>anwendbar ab dem Steuerjahr 1995</w:t>
      </w:r>
      <w:r w:rsidR="00D67EB8" w:rsidRPr="009118AB">
        <w:rPr>
          <w:i/>
          <w:iCs/>
        </w:rPr>
        <w:t> - </w:t>
      </w:r>
      <w:r w:rsidR="00363711" w:rsidRPr="009118AB">
        <w:rPr>
          <w:i/>
          <w:iCs/>
        </w:rPr>
        <w:t xml:space="preserve">und </w:t>
      </w:r>
      <w:r w:rsidR="00D67EB8" w:rsidRPr="009118AB">
        <w:rPr>
          <w:i/>
          <w:iCs/>
        </w:rPr>
        <w:t>Art. </w:t>
      </w:r>
      <w:r w:rsidR="00363711" w:rsidRPr="009118AB">
        <w:rPr>
          <w:i/>
          <w:iCs/>
        </w:rPr>
        <w:t xml:space="preserve">11 </w:t>
      </w:r>
      <w:r w:rsidR="00D67EB8" w:rsidRPr="009118AB">
        <w:rPr>
          <w:i/>
          <w:iCs/>
        </w:rPr>
        <w:t>Nr. </w:t>
      </w:r>
      <w:r w:rsidR="00363711" w:rsidRPr="009118AB">
        <w:rPr>
          <w:i/>
          <w:iCs/>
        </w:rPr>
        <w:t>1</w:t>
      </w:r>
      <w:r w:rsidR="00363711" w:rsidRPr="009118AB">
        <w:rPr>
          <w:i/>
          <w:iCs/>
          <w:spacing w:val="-2"/>
        </w:rPr>
        <w:t xml:space="preserve"> des G. vom 17. März 2019 (III) (B.S. vom 10. Mai 2019)</w:t>
      </w:r>
      <w:r w:rsidR="00D67EB8" w:rsidRPr="009118AB">
        <w:rPr>
          <w:i/>
          <w:iCs/>
          <w:spacing w:val="-2"/>
        </w:rPr>
        <w:t> - </w:t>
      </w:r>
      <w:r w:rsidR="00363711" w:rsidRPr="009118AB">
        <w:rPr>
          <w:i/>
          <w:iCs/>
          <w:spacing w:val="-2"/>
        </w:rPr>
        <w:t>in Kraft am 1. Mai 2019 und anwendbar auf die ab dem 1. Mai 2019 getätigten Kapitalrückzahlungen</w:t>
      </w:r>
      <w:r w:rsidR="003366D9" w:rsidRPr="009118AB">
        <w:rPr>
          <w:i/>
          <w:iCs/>
          <w:spacing w:val="-2"/>
        </w:rPr>
        <w:t> -;</w:t>
      </w:r>
      <w:r w:rsidRPr="009118AB">
        <w:rPr>
          <w:i/>
          <w:iCs/>
        </w:rPr>
        <w:t xml:space="preserve"> einziger Absatz </w:t>
      </w:r>
      <w:r w:rsidR="00D67EB8" w:rsidRPr="009118AB">
        <w:rPr>
          <w:i/>
          <w:iCs/>
        </w:rPr>
        <w:t>Nr. </w:t>
      </w:r>
      <w:r w:rsidRPr="009118AB">
        <w:rPr>
          <w:i/>
          <w:iCs/>
        </w:rPr>
        <w:t xml:space="preserve">17 eingefügt durch </w:t>
      </w:r>
      <w:r w:rsidR="00D67EB8" w:rsidRPr="009118AB">
        <w:rPr>
          <w:i/>
          <w:iCs/>
        </w:rPr>
        <w:t>Art. </w:t>
      </w:r>
      <w:r w:rsidRPr="009118AB">
        <w:rPr>
          <w:i/>
          <w:iCs/>
        </w:rPr>
        <w:t>2 des G. vom 7. April 1995 (B.S. vom 16. Juni 1995)</w:t>
      </w:r>
      <w:r w:rsidR="00D67EB8" w:rsidRPr="009118AB">
        <w:rPr>
          <w:i/>
          <w:iCs/>
        </w:rPr>
        <w:t> - </w:t>
      </w:r>
      <w:r w:rsidRPr="009118AB">
        <w:rPr>
          <w:i/>
          <w:iCs/>
        </w:rPr>
        <w:t>in Kraft ab dem 1. Januar 1996</w:t>
      </w:r>
      <w:r w:rsidR="00D67EB8" w:rsidRPr="009118AB">
        <w:rPr>
          <w:i/>
          <w:iCs/>
        </w:rPr>
        <w:t> - </w:t>
      </w:r>
      <w:r w:rsidRPr="009118AB">
        <w:rPr>
          <w:i/>
          <w:iCs/>
        </w:rPr>
        <w:t xml:space="preserve">und abgeändert durch </w:t>
      </w:r>
      <w:r w:rsidR="00D67EB8" w:rsidRPr="009118AB">
        <w:rPr>
          <w:i/>
          <w:iCs/>
        </w:rPr>
        <w:t>Art. </w:t>
      </w:r>
      <w:r w:rsidRPr="009118AB">
        <w:rPr>
          <w:i/>
          <w:iCs/>
        </w:rPr>
        <w:t>3 des G. vom 7. März 2002 (B.S. vom 19. März 2002)</w:t>
      </w:r>
      <w:r w:rsidR="00D67EB8" w:rsidRPr="009118AB">
        <w:rPr>
          <w:i/>
          <w:iCs/>
        </w:rPr>
        <w:t> - </w:t>
      </w:r>
      <w:r w:rsidRPr="009118AB">
        <w:rPr>
          <w:i/>
          <w:iCs/>
        </w:rPr>
        <w:t>anwendbar ab dem Steuerjahr 2002</w:t>
      </w:r>
      <w:r w:rsidR="00D67EB8" w:rsidRPr="009118AB">
        <w:rPr>
          <w:i/>
          <w:iCs/>
        </w:rPr>
        <w:t> -</w:t>
      </w:r>
      <w:r w:rsidR="0006356F">
        <w:rPr>
          <w:i/>
          <w:iCs/>
        </w:rPr>
        <w:t>,</w:t>
      </w:r>
      <w:r w:rsidRPr="009118AB">
        <w:rPr>
          <w:i/>
          <w:iCs/>
        </w:rPr>
        <w:t xml:space="preserve"> </w:t>
      </w:r>
      <w:r w:rsidR="00D67EB8" w:rsidRPr="009118AB">
        <w:rPr>
          <w:i/>
          <w:iCs/>
        </w:rPr>
        <w:t>Art. </w:t>
      </w:r>
      <w:r w:rsidRPr="009118AB">
        <w:rPr>
          <w:i/>
          <w:iCs/>
        </w:rPr>
        <w:t>131 des G. (III) vom 1. März 2007 (B.S. vom 14. März 2007)</w:t>
      </w:r>
      <w:r w:rsidR="0006356F">
        <w:rPr>
          <w:i/>
          <w:iCs/>
        </w:rPr>
        <w:t xml:space="preserve"> und Art. 32</w:t>
      </w:r>
      <w:r w:rsidR="0006356F" w:rsidRPr="0006356F">
        <w:rPr>
          <w:i/>
          <w:iCs/>
        </w:rPr>
        <w:t xml:space="preserve"> des G. vom 22. Dezember 2023</w:t>
      </w:r>
      <w:r w:rsidR="00552005" w:rsidRPr="00552005">
        <w:rPr>
          <w:i/>
          <w:iCs/>
        </w:rPr>
        <w:t> (I)</w:t>
      </w:r>
      <w:r w:rsidR="0006356F" w:rsidRPr="0006356F">
        <w:rPr>
          <w:i/>
          <w:iCs/>
        </w:rPr>
        <w:t xml:space="preserve"> (B.S. vom 29. Dezember 2023)</w:t>
      </w:r>
      <w:r w:rsidRPr="009118AB">
        <w:rPr>
          <w:i/>
          <w:iCs/>
        </w:rPr>
        <w:t xml:space="preserve">; einziger Absatz </w:t>
      </w:r>
      <w:r w:rsidR="00D67EB8" w:rsidRPr="009118AB">
        <w:rPr>
          <w:i/>
          <w:iCs/>
        </w:rPr>
        <w:t>Nr. </w:t>
      </w:r>
      <w:r w:rsidRPr="009118AB">
        <w:rPr>
          <w:i/>
          <w:iCs/>
        </w:rPr>
        <w:t xml:space="preserve">18 eingefügt durch </w:t>
      </w:r>
      <w:r w:rsidR="00D67EB8" w:rsidRPr="009118AB">
        <w:rPr>
          <w:i/>
          <w:iCs/>
        </w:rPr>
        <w:t>Art. </w:t>
      </w:r>
      <w:r w:rsidRPr="009118AB">
        <w:rPr>
          <w:i/>
          <w:iCs/>
        </w:rPr>
        <w:t>4 des G. vom 20. Dezember 1995 (B.S. vom 23. Dezember 1995)</w:t>
      </w:r>
      <w:r w:rsidR="00D67EB8" w:rsidRPr="009118AB">
        <w:rPr>
          <w:i/>
          <w:iCs/>
        </w:rPr>
        <w:t> - </w:t>
      </w:r>
      <w:r w:rsidRPr="009118AB">
        <w:rPr>
          <w:i/>
          <w:iCs/>
        </w:rPr>
        <w:t>anwendbar auf Verbindlichkeiten, die ab dem 17. Oktober 1995 eingegangen werden</w:t>
      </w:r>
      <w:r w:rsidR="00FD68E8" w:rsidRPr="009118AB">
        <w:rPr>
          <w:i/>
          <w:iCs/>
        </w:rPr>
        <w:t> -,</w:t>
      </w:r>
      <w:r w:rsidRPr="009118AB">
        <w:rPr>
          <w:i/>
          <w:iCs/>
        </w:rPr>
        <w:t xml:space="preserve"> ersetzt durch </w:t>
      </w:r>
      <w:r w:rsidR="00D67EB8" w:rsidRPr="009118AB">
        <w:rPr>
          <w:i/>
          <w:iCs/>
        </w:rPr>
        <w:t>Art. </w:t>
      </w:r>
      <w:r w:rsidRPr="009118AB">
        <w:rPr>
          <w:i/>
          <w:iCs/>
        </w:rPr>
        <w:t xml:space="preserve">11 </w:t>
      </w:r>
      <w:r w:rsidR="00D67EB8" w:rsidRPr="009118AB">
        <w:rPr>
          <w:i/>
          <w:iCs/>
        </w:rPr>
        <w:t>Nr. </w:t>
      </w:r>
      <w:r w:rsidRPr="009118AB">
        <w:rPr>
          <w:i/>
          <w:iCs/>
        </w:rPr>
        <w:t xml:space="preserve">3 des K.E. vom </w:t>
      </w:r>
      <w:r w:rsidRPr="009118AB">
        <w:rPr>
          <w:rFonts w:ascii="Times New Roman Italique" w:hAnsi="Times New Roman Italique"/>
          <w:i/>
          <w:iCs/>
          <w:spacing w:val="-2"/>
        </w:rPr>
        <w:t>20. Dezember 1996 (B.S. vom 31. Dezember 1996)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1998</w:t>
      </w:r>
      <w:r w:rsidR="00D67EB8" w:rsidRPr="009118AB">
        <w:rPr>
          <w:rFonts w:ascii="Times New Roman Italique" w:hAnsi="Times New Roman Italique"/>
          <w:i/>
          <w:iCs/>
          <w:spacing w:val="-2"/>
        </w:rPr>
        <w:t> - </w:t>
      </w:r>
      <w:r w:rsidR="00363711"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363711" w:rsidRPr="009118AB">
        <w:rPr>
          <w:rFonts w:ascii="Times New Roman Italique" w:hAnsi="Times New Roman Italique"/>
          <w:i/>
          <w:iCs/>
          <w:spacing w:val="-2"/>
        </w:rPr>
        <w:t xml:space="preserve">11 </w:t>
      </w:r>
      <w:r w:rsidR="00D67EB8" w:rsidRPr="009118AB">
        <w:rPr>
          <w:rFonts w:ascii="Times New Roman Italique" w:hAnsi="Times New Roman Italique"/>
          <w:i/>
          <w:iCs/>
          <w:spacing w:val="-2"/>
        </w:rPr>
        <w:t>Nr. </w:t>
      </w:r>
      <w:r w:rsidR="00363711" w:rsidRPr="009118AB">
        <w:rPr>
          <w:rFonts w:ascii="Times New Roman Italique" w:hAnsi="Times New Roman Italique"/>
          <w:i/>
          <w:iCs/>
          <w:spacing w:val="-2"/>
        </w:rPr>
        <w:t>2 des G. vom 17. März 2019 (III) (B.S. vom 10. Mai 2019)</w:t>
      </w:r>
      <w:r w:rsidR="00D67EB8" w:rsidRPr="009118AB">
        <w:rPr>
          <w:rFonts w:ascii="Times New Roman Italique" w:hAnsi="Times New Roman Italique"/>
          <w:i/>
          <w:iCs/>
          <w:spacing w:val="-2"/>
        </w:rPr>
        <w:t> - </w:t>
      </w:r>
      <w:r w:rsidR="00363711" w:rsidRPr="009118AB">
        <w:rPr>
          <w:rFonts w:ascii="Times New Roman Italique" w:hAnsi="Times New Roman Italique"/>
          <w:i/>
          <w:iCs/>
          <w:spacing w:val="-2"/>
        </w:rPr>
        <w:t>in Kraft am 1. Mai 2019</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19 und 20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20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(I) vom 24. Dezember 2002</w:t>
      </w:r>
      <w:r w:rsidR="00977955" w:rsidRPr="009118AB">
        <w:rPr>
          <w:rFonts w:ascii="Times New Roman Italique" w:hAnsi="Times New Roman Italique"/>
          <w:i/>
          <w:iCs/>
          <w:spacing w:val="-2"/>
        </w:rPr>
        <w:t> </w:t>
      </w:r>
      <w:r w:rsidRPr="009118AB">
        <w:rPr>
          <w:rFonts w:ascii="Times New Roman Italique" w:hAnsi="Times New Roman Italique"/>
          <w:i/>
          <w:iCs/>
          <w:spacing w:val="-2"/>
        </w:rPr>
        <w:t>(I) (B.S. vom 31. Dezember 2002)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2004</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21</w:t>
      </w:r>
      <w:r w:rsidRPr="009118AB">
        <w:rPr>
          <w:i/>
          <w:iCs/>
        </w:rPr>
        <w:t xml:space="preserve"> eingefügt durch </w:t>
      </w:r>
      <w:r w:rsidR="00D67EB8" w:rsidRPr="009118AB">
        <w:rPr>
          <w:i/>
          <w:iCs/>
        </w:rPr>
        <w:t>Art. </w:t>
      </w:r>
      <w:r w:rsidRPr="009118AB">
        <w:rPr>
          <w:i/>
          <w:iCs/>
        </w:rPr>
        <w:t>80 des G. vom 28. April 2003 (B.S. vom 15. Mai 2003)</w:t>
      </w:r>
      <w:r w:rsidR="00D67EB8" w:rsidRPr="009118AB">
        <w:rPr>
          <w:i/>
          <w:iCs/>
        </w:rPr>
        <w:t> - </w:t>
      </w:r>
      <w:r w:rsidRPr="009118AB">
        <w:rPr>
          <w:i/>
          <w:iCs/>
        </w:rPr>
        <w:t>anwendbar auf Beiträge und Prämien, die in Ausführung individueller Verein</w:t>
      </w:r>
      <w:r w:rsidR="00977955" w:rsidRPr="009118AB">
        <w:rPr>
          <w:i/>
          <w:iCs/>
        </w:rPr>
        <w:softHyphen/>
      </w:r>
      <w:r w:rsidRPr="009118AB">
        <w:rPr>
          <w:i/>
          <w:iCs/>
        </w:rPr>
        <w:t>barungen, die ab dem 1. Januar 2004 abgeschlossen werden, gezahlt werden und auf andere als auf oben erwähnte Beiträge und Prämien, die ab dem 1. Januar 2004 gezahlt werden</w:t>
      </w:r>
      <w:r w:rsidR="003366D9" w:rsidRPr="009118AB">
        <w:rPr>
          <w:i/>
          <w:iCs/>
        </w:rPr>
        <w:t> -;</w:t>
      </w:r>
      <w:r w:rsidRPr="009118AB">
        <w:rPr>
          <w:i/>
          <w:iCs/>
        </w:rPr>
        <w:t xml:space="preserve"> einziger Absatz </w:t>
      </w:r>
      <w:r w:rsidR="00D67EB8" w:rsidRPr="009118AB">
        <w:rPr>
          <w:i/>
          <w:iCs/>
        </w:rPr>
        <w:t>Nr. </w:t>
      </w:r>
      <w:r w:rsidRPr="009118AB">
        <w:rPr>
          <w:i/>
          <w:iCs/>
        </w:rPr>
        <w:t xml:space="preserve">22 eingefügt durch </w:t>
      </w:r>
      <w:r w:rsidR="00D67EB8" w:rsidRPr="009118AB">
        <w:rPr>
          <w:i/>
          <w:iCs/>
        </w:rPr>
        <w:t>Art. </w:t>
      </w:r>
      <w:r w:rsidRPr="009118AB">
        <w:rPr>
          <w:i/>
          <w:iCs/>
        </w:rPr>
        <w:t>80 des G. vom 28. April 2003 (B.S. vom 15. Mai 2003)</w:t>
      </w:r>
      <w:r w:rsidR="00D67EB8" w:rsidRPr="009118AB">
        <w:rPr>
          <w:i/>
          <w:iCs/>
        </w:rPr>
        <w:t> - </w:t>
      </w:r>
      <w:r w:rsidRPr="009118AB">
        <w:rPr>
          <w:i/>
          <w:iCs/>
        </w:rPr>
        <w:t>anwendbar auf Beiträge und Prämien, die in Ausführung individueller Vereinbarungen, die ab dem 1. Januar 2004 abgeschlossen werden, gezahlt werden</w:t>
      </w:r>
      <w:r w:rsidR="003366D9" w:rsidRPr="009118AB">
        <w:rPr>
          <w:i/>
          <w:iCs/>
        </w:rPr>
        <w:t> -;</w:t>
      </w:r>
      <w:r w:rsidRPr="009118AB">
        <w:rPr>
          <w:i/>
          <w:iCs/>
        </w:rPr>
        <w:t xml:space="preserve"> einziger Absatz </w:t>
      </w:r>
      <w:r w:rsidR="00D67EB8" w:rsidRPr="009118AB">
        <w:rPr>
          <w:i/>
          <w:iCs/>
        </w:rPr>
        <w:t>Nr. </w:t>
      </w:r>
      <w:r w:rsidRPr="009118AB">
        <w:rPr>
          <w:i/>
          <w:iCs/>
        </w:rPr>
        <w:t xml:space="preserve">23 eingefügt durch </w:t>
      </w:r>
      <w:r w:rsidR="00D67EB8" w:rsidRPr="009118AB">
        <w:rPr>
          <w:i/>
          <w:iCs/>
        </w:rPr>
        <w:t>Art. </w:t>
      </w:r>
      <w:r w:rsidRPr="009118AB">
        <w:rPr>
          <w:i/>
          <w:iCs/>
        </w:rPr>
        <w:t>80 des G. vom 28. April</w:t>
      </w:r>
      <w:r w:rsidR="005E3D7F" w:rsidRPr="009118AB">
        <w:rPr>
          <w:i/>
          <w:iCs/>
        </w:rPr>
        <w:t> 2003 (B.S. vom 15. Mai 2003)</w:t>
      </w:r>
      <w:r w:rsidR="00D67EB8" w:rsidRPr="009118AB">
        <w:rPr>
          <w:i/>
          <w:iCs/>
        </w:rPr>
        <w:t> - </w:t>
      </w:r>
      <w:r w:rsidRPr="009118AB">
        <w:rPr>
          <w:i/>
          <w:iCs/>
        </w:rPr>
        <w:t xml:space="preserve">anwendbar auf Leibrenten, Renten, Entschädigungen, andere als in </w:t>
      </w:r>
      <w:r w:rsidR="00D67EB8" w:rsidRPr="009118AB">
        <w:rPr>
          <w:i/>
          <w:iCs/>
        </w:rPr>
        <w:t>Art. </w:t>
      </w:r>
      <w:r w:rsidRPr="009118AB">
        <w:rPr>
          <w:i/>
          <w:iCs/>
        </w:rPr>
        <w:t xml:space="preserve">23 </w:t>
      </w:r>
      <w:r w:rsidR="00D67EB8" w:rsidRPr="009118AB">
        <w:rPr>
          <w:i/>
          <w:iCs/>
        </w:rPr>
        <w:t>§ </w:t>
      </w:r>
      <w:r w:rsidRPr="009118AB">
        <w:rPr>
          <w:i/>
          <w:iCs/>
        </w:rPr>
        <w:t xml:space="preserve">3 Buchstabe A </w:t>
      </w:r>
      <w:r w:rsidR="00D67EB8" w:rsidRPr="009118AB">
        <w:rPr>
          <w:i/>
          <w:iCs/>
        </w:rPr>
        <w:t>Nr. </w:t>
      </w:r>
      <w:r w:rsidRPr="009118AB">
        <w:rPr>
          <w:i/>
          <w:iCs/>
        </w:rPr>
        <w:t>6 erwähnte Kapitalien, Rückkaufswerte von Lebensversicherungs</w:t>
      </w:r>
      <w:r w:rsidRPr="009118AB">
        <w:rPr>
          <w:i/>
          <w:iCs/>
        </w:rPr>
        <w:softHyphen/>
        <w:t>verträgen, Pensionen und ergänzende Pensionen, die ab dem 1. Januar 2004 ausgezahlt werden</w:t>
      </w:r>
      <w:r w:rsidR="003366D9" w:rsidRPr="009118AB">
        <w:rPr>
          <w:i/>
          <w:iCs/>
        </w:rPr>
        <w:t> -;</w:t>
      </w:r>
      <w:r w:rsidRPr="009118AB">
        <w:rPr>
          <w:i/>
          <w:iCs/>
        </w:rPr>
        <w:t xml:space="preserve"> einziger Absatz </w:t>
      </w:r>
      <w:r w:rsidR="00D67EB8" w:rsidRPr="009118AB">
        <w:rPr>
          <w:i/>
          <w:iCs/>
        </w:rPr>
        <w:t>Nr. </w:t>
      </w:r>
      <w:r w:rsidRPr="009118AB">
        <w:rPr>
          <w:i/>
          <w:iCs/>
        </w:rPr>
        <w:t xml:space="preserve">24 eingefügt durch </w:t>
      </w:r>
      <w:r w:rsidR="00D67EB8" w:rsidRPr="009118AB">
        <w:rPr>
          <w:i/>
          <w:iCs/>
        </w:rPr>
        <w:t>Art. </w:t>
      </w:r>
      <w:r w:rsidRPr="009118AB">
        <w:rPr>
          <w:i/>
          <w:iCs/>
        </w:rPr>
        <w:t>8 des G. vom 11. Mai 2007 (B.S. vom 8. Juni 2007)</w:t>
      </w:r>
      <w:r w:rsidR="00D67EB8" w:rsidRPr="009118AB">
        <w:rPr>
          <w:i/>
          <w:iCs/>
        </w:rPr>
        <w:t> - </w:t>
      </w:r>
      <w:r w:rsidRPr="009118AB">
        <w:rPr>
          <w:i/>
          <w:iCs/>
        </w:rPr>
        <w:t>in Kraft ab dem 8. Juni 2007</w:t>
      </w:r>
      <w:r w:rsidR="003366D9" w:rsidRPr="009118AB">
        <w:rPr>
          <w:i/>
          <w:iCs/>
        </w:rPr>
        <w:t> -;</w:t>
      </w:r>
      <w:r w:rsidRPr="009118AB">
        <w:rPr>
          <w:i/>
          <w:iCs/>
        </w:rPr>
        <w:t xml:space="preserve"> einziger Absatz </w:t>
      </w:r>
      <w:r w:rsidR="00D67EB8" w:rsidRPr="009118AB">
        <w:rPr>
          <w:i/>
          <w:iCs/>
        </w:rPr>
        <w:t>Nr. </w:t>
      </w:r>
      <w:r w:rsidRPr="009118AB">
        <w:rPr>
          <w:i/>
          <w:iCs/>
        </w:rPr>
        <w:t xml:space="preserve">25 eingefügt durch </w:t>
      </w:r>
      <w:r w:rsidR="00D67EB8" w:rsidRPr="009118AB">
        <w:rPr>
          <w:i/>
          <w:iCs/>
        </w:rPr>
        <w:t>Art. </w:t>
      </w:r>
      <w:r w:rsidRPr="009118AB">
        <w:rPr>
          <w:i/>
          <w:iCs/>
        </w:rPr>
        <w:t>6 des G. vom 22. Oktober 20</w:t>
      </w:r>
      <w:r w:rsidR="00CD6B69" w:rsidRPr="009118AB">
        <w:rPr>
          <w:i/>
          <w:iCs/>
        </w:rPr>
        <w:t>17 (B.S. vom 18. Dezember 2017)</w:t>
      </w:r>
      <w:r w:rsidR="00D67EB8" w:rsidRPr="009118AB">
        <w:rPr>
          <w:i/>
          <w:iCs/>
        </w:rPr>
        <w:t> - </w:t>
      </w:r>
      <w:r w:rsidRPr="009118AB">
        <w:rPr>
          <w:i/>
          <w:iCs/>
        </w:rPr>
        <w:t>anwendbar auf Rückzahlungen der ab dem 1. Januar 2018 erhaltenen Entschädigungen</w:t>
      </w:r>
      <w:r w:rsidR="003366D9" w:rsidRPr="009118AB">
        <w:rPr>
          <w:i/>
          <w:iCs/>
        </w:rPr>
        <w:t> -;</w:t>
      </w:r>
      <w:r w:rsidR="00810B92" w:rsidRPr="009118AB">
        <w:rPr>
          <w:i/>
          <w:iCs/>
        </w:rPr>
        <w:t xml:space="preserve"> einziger Absatz </w:t>
      </w:r>
      <w:r w:rsidR="00D67EB8" w:rsidRPr="009118AB">
        <w:rPr>
          <w:i/>
          <w:iCs/>
        </w:rPr>
        <w:t>Nr. </w:t>
      </w:r>
      <w:r w:rsidR="00810B92" w:rsidRPr="009118AB">
        <w:rPr>
          <w:i/>
          <w:iCs/>
        </w:rPr>
        <w:t xml:space="preserve">26 eingefügt durch </w:t>
      </w:r>
      <w:r w:rsidR="00D67EB8" w:rsidRPr="009118AB">
        <w:rPr>
          <w:i/>
          <w:iCs/>
        </w:rPr>
        <w:t>Art. </w:t>
      </w:r>
      <w:r w:rsidR="00810B92" w:rsidRPr="009118AB">
        <w:rPr>
          <w:i/>
          <w:iCs/>
        </w:rPr>
        <w:t>20 des G. vom 26.</w:t>
      </w:r>
      <w:r w:rsidR="00880039" w:rsidRPr="009118AB">
        <w:rPr>
          <w:i/>
          <w:iCs/>
        </w:rPr>
        <w:t> </w:t>
      </w:r>
      <w:r w:rsidR="00810B92" w:rsidRPr="009118AB">
        <w:rPr>
          <w:i/>
          <w:iCs/>
        </w:rPr>
        <w:t>März</w:t>
      </w:r>
      <w:r w:rsidR="00880039" w:rsidRPr="009118AB">
        <w:rPr>
          <w:i/>
          <w:iCs/>
        </w:rPr>
        <w:t> </w:t>
      </w:r>
      <w:r w:rsidR="00810B92" w:rsidRPr="009118AB">
        <w:rPr>
          <w:i/>
          <w:iCs/>
        </w:rPr>
        <w:t>2018 (B.S. vom 30.</w:t>
      </w:r>
      <w:r w:rsidR="00880039" w:rsidRPr="009118AB">
        <w:rPr>
          <w:i/>
          <w:iCs/>
        </w:rPr>
        <w:t> </w:t>
      </w:r>
      <w:r w:rsidR="00810B92" w:rsidRPr="009118AB">
        <w:rPr>
          <w:i/>
          <w:iCs/>
        </w:rPr>
        <w:t>März</w:t>
      </w:r>
      <w:r w:rsidR="00880039" w:rsidRPr="009118AB">
        <w:rPr>
          <w:i/>
          <w:iCs/>
        </w:rPr>
        <w:t> </w:t>
      </w:r>
      <w:r w:rsidR="00810B92" w:rsidRPr="009118AB">
        <w:rPr>
          <w:i/>
          <w:iCs/>
        </w:rPr>
        <w:t>2018)</w:t>
      </w:r>
      <w:r w:rsidR="00D67EB8" w:rsidRPr="009118AB">
        <w:rPr>
          <w:i/>
          <w:iCs/>
        </w:rPr>
        <w:t> - </w:t>
      </w:r>
      <w:r w:rsidR="00810B92" w:rsidRPr="009118AB">
        <w:rPr>
          <w:i/>
          <w:iCs/>
        </w:rPr>
        <w:t>in Kraft am 1.</w:t>
      </w:r>
      <w:r w:rsidR="00880039" w:rsidRPr="009118AB">
        <w:rPr>
          <w:i/>
          <w:iCs/>
        </w:rPr>
        <w:t> </w:t>
      </w:r>
      <w:r w:rsidR="00810B92" w:rsidRPr="009118AB">
        <w:rPr>
          <w:i/>
          <w:iCs/>
        </w:rPr>
        <w:t>Juli</w:t>
      </w:r>
      <w:r w:rsidR="00880039" w:rsidRPr="009118AB">
        <w:rPr>
          <w:i/>
          <w:iCs/>
        </w:rPr>
        <w:t> </w:t>
      </w:r>
      <w:r w:rsidR="00810B92" w:rsidRPr="009118AB">
        <w:rPr>
          <w:i/>
          <w:iCs/>
        </w:rPr>
        <w:t>2018 und anwendbar auf alle ab dem 1.</w:t>
      </w:r>
      <w:r w:rsidR="00880039" w:rsidRPr="009118AB">
        <w:rPr>
          <w:i/>
          <w:iCs/>
        </w:rPr>
        <w:t> </w:t>
      </w:r>
      <w:r w:rsidR="00810B92" w:rsidRPr="009118AB">
        <w:rPr>
          <w:i/>
          <w:iCs/>
        </w:rPr>
        <w:t>Juli</w:t>
      </w:r>
      <w:r w:rsidR="00880039" w:rsidRPr="009118AB">
        <w:rPr>
          <w:i/>
          <w:iCs/>
        </w:rPr>
        <w:t> </w:t>
      </w:r>
      <w:r w:rsidR="00810B92" w:rsidRPr="009118AB">
        <w:rPr>
          <w:i/>
          <w:iCs/>
        </w:rPr>
        <w:t>2018 abgeschlossenen Arbeitsverträge</w:t>
      </w:r>
      <w:r w:rsidR="00D67EB8" w:rsidRPr="009118AB">
        <w:rPr>
          <w:i/>
          <w:iCs/>
        </w:rPr>
        <w:t> - </w:t>
      </w:r>
      <w:r w:rsidR="00BC3C7C" w:rsidRPr="009118AB">
        <w:rPr>
          <w:i/>
          <w:iCs/>
        </w:rPr>
        <w:t xml:space="preserve">und abgeändert durch </w:t>
      </w:r>
      <w:r w:rsidR="00D67EB8" w:rsidRPr="009118AB">
        <w:rPr>
          <w:i/>
          <w:iCs/>
        </w:rPr>
        <w:t>Art. </w:t>
      </w:r>
      <w:r w:rsidR="00BC3C7C" w:rsidRPr="009118AB">
        <w:rPr>
          <w:i/>
          <w:iCs/>
        </w:rPr>
        <w:t>10</w:t>
      </w:r>
      <w:r w:rsidR="00BC3C7C" w:rsidRPr="009118AB">
        <w:rPr>
          <w:i/>
        </w:rPr>
        <w:t xml:space="preserve"> des G. vom </w:t>
      </w:r>
      <w:r w:rsidR="00BC3C7C" w:rsidRPr="009118AB">
        <w:rPr>
          <w:i/>
          <w:iCs/>
        </w:rPr>
        <w:t>23. März 2019 (B.S. vom 5. April 2019)</w:t>
      </w:r>
      <w:r w:rsidR="00D67EB8" w:rsidRPr="009118AB">
        <w:rPr>
          <w:i/>
          <w:iCs/>
        </w:rPr>
        <w:t> - </w:t>
      </w:r>
      <w:r w:rsidR="00BC3C7C" w:rsidRPr="009118AB">
        <w:rPr>
          <w:i/>
          <w:iCs/>
        </w:rPr>
        <w:t>anwendbar auf die ab dem 1. Januar 2019 gezahlten oder zuerkannten Zuschläge</w:t>
      </w:r>
      <w:r w:rsidR="003366D9" w:rsidRPr="009118AB">
        <w:rPr>
          <w:i/>
          <w:iCs/>
        </w:rPr>
        <w:t> -;</w:t>
      </w:r>
      <w:r w:rsidR="008132B3" w:rsidRPr="009118AB">
        <w:rPr>
          <w:i/>
          <w:iCs/>
        </w:rPr>
        <w:t xml:space="preserve"> einziger Absatz </w:t>
      </w:r>
      <w:r w:rsidR="00D67EB8" w:rsidRPr="009118AB">
        <w:rPr>
          <w:i/>
          <w:iCs/>
        </w:rPr>
        <w:t>Nr. </w:t>
      </w:r>
      <w:r w:rsidR="008132B3" w:rsidRPr="009118AB">
        <w:rPr>
          <w:i/>
          <w:iCs/>
        </w:rPr>
        <w:t xml:space="preserve">27 eingefügt durch </w:t>
      </w:r>
      <w:r w:rsidR="00D67EB8" w:rsidRPr="009118AB">
        <w:rPr>
          <w:i/>
          <w:iCs/>
        </w:rPr>
        <w:t>Art. </w:t>
      </w:r>
      <w:r w:rsidR="008132B3" w:rsidRPr="009118AB">
        <w:rPr>
          <w:i/>
          <w:iCs/>
        </w:rPr>
        <w:t>26 des G. vom 7. April 2019 (I) (B.S. vom 19. April 2019)</w:t>
      </w:r>
      <w:r w:rsidR="00D85DB4" w:rsidRPr="009118AB">
        <w:rPr>
          <w:i/>
          <w:iCs/>
        </w:rPr>
        <w:t xml:space="preserve"> und aufgehoben durch Art. 10 des G. vom 31. Juli 2023 (II) (B.S. vom 23. August 2023)</w:t>
      </w:r>
      <w:r w:rsidR="00453A90" w:rsidRPr="009118AB">
        <w:rPr>
          <w:i/>
          <w:iCs/>
        </w:rPr>
        <w:t>; einziger Absat</w:t>
      </w:r>
      <w:r w:rsidR="007B107B" w:rsidRPr="009118AB">
        <w:rPr>
          <w:i/>
          <w:iCs/>
        </w:rPr>
        <w:t>z zweite Nummer</w:t>
      </w:r>
      <w:r w:rsidR="00453A90" w:rsidRPr="009118AB">
        <w:rPr>
          <w:i/>
          <w:iCs/>
        </w:rPr>
        <w:t xml:space="preserve"> 27 eingefügt durch </w:t>
      </w:r>
      <w:r w:rsidR="00D67EB8" w:rsidRPr="009118AB">
        <w:rPr>
          <w:i/>
          <w:iCs/>
        </w:rPr>
        <w:t>Art. </w:t>
      </w:r>
      <w:r w:rsidR="00453A90" w:rsidRPr="009118AB">
        <w:rPr>
          <w:i/>
          <w:iCs/>
        </w:rPr>
        <w:t>13 des G. vom 22. April 2019</w:t>
      </w:r>
      <w:r w:rsidR="00E9160D" w:rsidRPr="009118AB">
        <w:rPr>
          <w:rFonts w:hint="eastAsia"/>
          <w:i/>
          <w:iCs/>
        </w:rPr>
        <w:t> </w:t>
      </w:r>
      <w:r w:rsidR="00E9160D" w:rsidRPr="009118AB">
        <w:rPr>
          <w:i/>
          <w:iCs/>
        </w:rPr>
        <w:t>(I)</w:t>
      </w:r>
      <w:r w:rsidR="00453A90" w:rsidRPr="009118AB">
        <w:rPr>
          <w:i/>
          <w:iCs/>
        </w:rPr>
        <w:t xml:space="preserve"> (B.S. vom </w:t>
      </w:r>
      <w:r w:rsidR="00453A90" w:rsidRPr="009118AB">
        <w:rPr>
          <w:i/>
          <w:iCs/>
        </w:rPr>
        <w:lastRenderedPageBreak/>
        <w:t>8. Mai 2019)</w:t>
      </w:r>
      <w:r w:rsidR="00D67EB8" w:rsidRPr="009118AB">
        <w:rPr>
          <w:i/>
          <w:iCs/>
        </w:rPr>
        <w:t> - </w:t>
      </w:r>
      <w:r w:rsidR="00453A90" w:rsidRPr="009118AB">
        <w:rPr>
          <w:i/>
          <w:iCs/>
        </w:rPr>
        <w:t xml:space="preserve">anwendbar ab dem Steuerjahr 2020 auf die ab dem 1. September 2019 </w:t>
      </w:r>
      <w:r w:rsidR="002C29F9" w:rsidRPr="009118AB">
        <w:rPr>
          <w:i/>
          <w:iCs/>
        </w:rPr>
        <w:t xml:space="preserve">gezahlten </w:t>
      </w:r>
      <w:r w:rsidR="00453A90" w:rsidRPr="009118AB">
        <w:rPr>
          <w:i/>
          <w:iCs/>
        </w:rPr>
        <w:t>Prämien</w:t>
      </w:r>
      <w:r w:rsidR="00D67EB8" w:rsidRPr="009118AB">
        <w:rPr>
          <w:i/>
          <w:iCs/>
        </w:rPr>
        <w:t> - </w:t>
      </w:r>
      <w:r w:rsidR="000C0C82" w:rsidRPr="009118AB">
        <w:rPr>
          <w:i/>
          <w:iCs/>
        </w:rPr>
        <w:t xml:space="preserve">und umnummeriert zu </w:t>
      </w:r>
      <w:r w:rsidR="00D67EB8" w:rsidRPr="009118AB">
        <w:rPr>
          <w:i/>
          <w:iCs/>
        </w:rPr>
        <w:t>Nr. </w:t>
      </w:r>
      <w:r w:rsidR="000C0C82" w:rsidRPr="009118AB">
        <w:rPr>
          <w:i/>
          <w:iCs/>
        </w:rPr>
        <w:t xml:space="preserve">28 durch </w:t>
      </w:r>
      <w:r w:rsidR="00D67EB8" w:rsidRPr="009118AB">
        <w:rPr>
          <w:i/>
          <w:iCs/>
        </w:rPr>
        <w:t>Art. </w:t>
      </w:r>
      <w:r w:rsidR="000C0C82" w:rsidRPr="009118AB">
        <w:rPr>
          <w:i/>
          <w:iCs/>
        </w:rPr>
        <w:t>26</w:t>
      </w:r>
      <w:r w:rsidR="000C0C82" w:rsidRPr="009118AB">
        <w:rPr>
          <w:i/>
        </w:rPr>
        <w:t xml:space="preserve"> des G. vom 27. Juni 2021 (B.S. vom 30. Juni 2021)</w:t>
      </w:r>
      <w:r w:rsidR="00CD6B69" w:rsidRPr="009118AB">
        <w:rPr>
          <w:i/>
          <w:iCs/>
        </w:rPr>
        <w:t xml:space="preserve">; einziger Absatz </w:t>
      </w:r>
      <w:r w:rsidR="00D67EB8" w:rsidRPr="009118AB">
        <w:rPr>
          <w:i/>
          <w:iCs/>
        </w:rPr>
        <w:t>Nr. </w:t>
      </w:r>
      <w:r w:rsidR="00CD6B69" w:rsidRPr="009118AB">
        <w:rPr>
          <w:i/>
          <w:iCs/>
        </w:rPr>
        <w:t xml:space="preserve">29 eingefügt durch </w:t>
      </w:r>
      <w:r w:rsidR="00D67EB8" w:rsidRPr="009118AB">
        <w:rPr>
          <w:i/>
          <w:iCs/>
        </w:rPr>
        <w:t>Art. </w:t>
      </w:r>
      <w:r w:rsidR="00CD6B69" w:rsidRPr="009118AB">
        <w:rPr>
          <w:i/>
          <w:iCs/>
        </w:rPr>
        <w:t>17 des G. vom 17. Februar 2021</w:t>
      </w:r>
      <w:r w:rsidR="007A716D" w:rsidRPr="009118AB">
        <w:rPr>
          <w:i/>
          <w:iCs/>
        </w:rPr>
        <w:t> (I)</w:t>
      </w:r>
      <w:r w:rsidR="00CD6B69" w:rsidRPr="009118AB">
        <w:rPr>
          <w:i/>
          <w:iCs/>
        </w:rPr>
        <w:t xml:space="preserve"> (B.S. vom 25. Februar 2021)</w:t>
      </w:r>
      <w:r w:rsidR="00D67EB8" w:rsidRPr="009118AB">
        <w:rPr>
          <w:i/>
          <w:iCs/>
        </w:rPr>
        <w:t> - </w:t>
      </w:r>
      <w:r w:rsidR="00CD6B69" w:rsidRPr="009118AB">
        <w:rPr>
          <w:i/>
          <w:iCs/>
        </w:rPr>
        <w:t>in Kraft am 26. Februar 2021</w:t>
      </w:r>
      <w:r w:rsidR="003366D9" w:rsidRPr="009118AB">
        <w:rPr>
          <w:i/>
          <w:iCs/>
        </w:rPr>
        <w:t> -;</w:t>
      </w:r>
      <w:r w:rsidR="006B7F62" w:rsidRPr="009118AB">
        <w:rPr>
          <w:i/>
          <w:iCs/>
        </w:rPr>
        <w:t xml:space="preserve"> einziger Absatz </w:t>
      </w:r>
      <w:r w:rsidR="00D67EB8" w:rsidRPr="009118AB">
        <w:rPr>
          <w:i/>
          <w:iCs/>
        </w:rPr>
        <w:t>Nr. </w:t>
      </w:r>
      <w:r w:rsidR="006B7F62" w:rsidRPr="009118AB">
        <w:rPr>
          <w:i/>
          <w:iCs/>
        </w:rPr>
        <w:t xml:space="preserve">30 eingefügt durch </w:t>
      </w:r>
      <w:r w:rsidR="00D67EB8" w:rsidRPr="009118AB">
        <w:rPr>
          <w:i/>
          <w:iCs/>
        </w:rPr>
        <w:t>Art. </w:t>
      </w:r>
      <w:r w:rsidR="006B7F62" w:rsidRPr="009118AB">
        <w:rPr>
          <w:i/>
          <w:iCs/>
        </w:rPr>
        <w:t>40</w:t>
      </w:r>
      <w:r w:rsidR="006B7F62"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6B7F62" w:rsidRPr="009118AB">
        <w:rPr>
          <w:rFonts w:ascii="Times New Roman Italique" w:hAnsi="Times New Roman Italique"/>
          <w:i/>
        </w:rPr>
        <w:t>in Kraft am 1. April 2022</w:t>
      </w:r>
      <w:r w:rsidR="00FD68E8" w:rsidRPr="009118AB">
        <w:rPr>
          <w:rFonts w:ascii="Times New Roman Italique" w:hAnsi="Times New Roman Italique"/>
          <w:i/>
        </w:rPr>
        <w:t> -</w:t>
      </w:r>
      <w:r w:rsidR="007433D3" w:rsidRPr="009118AB">
        <w:rPr>
          <w:rFonts w:ascii="Times New Roman Italique" w:hAnsi="Times New Roman Italique"/>
          <w:i/>
        </w:rPr>
        <w:t>; einziger Absatz Nr.</w:t>
      </w:r>
      <w:r w:rsidR="007433D3" w:rsidRPr="009118AB">
        <w:rPr>
          <w:rFonts w:ascii="Times New Roman Italique" w:hAnsi="Times New Roman Italique" w:hint="eastAsia"/>
          <w:i/>
        </w:rPr>
        <w:t> </w:t>
      </w:r>
      <w:r w:rsidR="007433D3" w:rsidRPr="009118AB">
        <w:rPr>
          <w:rFonts w:ascii="Times New Roman Italique" w:hAnsi="Times New Roman Italique"/>
          <w:i/>
        </w:rPr>
        <w:t>31 eingefügt durch Art. 41</w:t>
      </w:r>
      <w:r w:rsidR="007433D3" w:rsidRPr="009118AB">
        <w:rPr>
          <w:i/>
          <w:iCs/>
        </w:rPr>
        <w:t xml:space="preserve"> des G. vom 20. November 2022 (B.S. vom 30. November 2022) - in Kraft am 1. April 2022 -</w:t>
      </w:r>
      <w:r w:rsidR="005D6934">
        <w:rPr>
          <w:i/>
          <w:iCs/>
        </w:rPr>
        <w:t xml:space="preserve">; </w:t>
      </w:r>
      <w:r w:rsidR="005D6934" w:rsidRPr="009118AB">
        <w:rPr>
          <w:rFonts w:ascii="Times New Roman Italique" w:hAnsi="Times New Roman Italique"/>
          <w:i/>
        </w:rPr>
        <w:t xml:space="preserve">einziger </w:t>
      </w:r>
      <w:r w:rsidR="005D6934" w:rsidRPr="005D6934">
        <w:rPr>
          <w:rFonts w:ascii="Times New Roman Italique" w:hAnsi="Times New Roman Italique"/>
          <w:i/>
        </w:rPr>
        <w:t>Absatz Nr.</w:t>
      </w:r>
      <w:r w:rsidR="005D6934" w:rsidRPr="005D6934">
        <w:rPr>
          <w:rFonts w:ascii="Times New Roman Italique" w:hAnsi="Times New Roman Italique" w:hint="eastAsia"/>
          <w:i/>
        </w:rPr>
        <w:t> </w:t>
      </w:r>
      <w:r w:rsidR="005D6934" w:rsidRPr="005D6934">
        <w:rPr>
          <w:rFonts w:ascii="Times New Roman Italique" w:hAnsi="Times New Roman Italique"/>
          <w:i/>
        </w:rPr>
        <w:t>32 eingefügt durch</w:t>
      </w:r>
      <w:r w:rsidR="005D6934" w:rsidRPr="003E131B">
        <w:rPr>
          <w:i/>
          <w:iCs/>
          <w:spacing w:val="-2"/>
        </w:rPr>
        <w:t xml:space="preserve"> Art. </w:t>
      </w:r>
      <w:r w:rsidR="005D6934">
        <w:rPr>
          <w:i/>
          <w:iCs/>
          <w:spacing w:val="-2"/>
        </w:rPr>
        <w:t>50</w:t>
      </w:r>
      <w:r w:rsidR="005D6934" w:rsidRPr="003E131B">
        <w:rPr>
          <w:i/>
          <w:iCs/>
          <w:spacing w:val="-2"/>
        </w:rPr>
        <w:t xml:space="preserve"> des G. vom 28. Dezember 2023 (B.S. vom 29. Dezember</w:t>
      </w:r>
      <w:r w:rsidR="005D6934" w:rsidRPr="003E131B">
        <w:rPr>
          <w:i/>
          <w:iCs/>
          <w:spacing w:val="-2"/>
          <w:sz w:val="22"/>
          <w:szCs w:val="22"/>
        </w:rPr>
        <w:t> </w:t>
      </w:r>
      <w:r w:rsidR="005D6934" w:rsidRPr="00511165">
        <w:rPr>
          <w:i/>
          <w:iCs/>
          <w:spacing w:val="-2"/>
        </w:rPr>
        <w:t>2023) - anwendbar</w:t>
      </w:r>
      <w:r w:rsidR="005D6934" w:rsidRPr="005D6934">
        <w:rPr>
          <w:i/>
          <w:iCs/>
          <w:spacing w:val="-2"/>
          <w:sz w:val="22"/>
          <w:szCs w:val="22"/>
        </w:rPr>
        <w:t xml:space="preserve"> </w:t>
      </w:r>
      <w:r w:rsidR="005D6934" w:rsidRPr="005D6934">
        <w:rPr>
          <w:i/>
          <w:iCs/>
        </w:rPr>
        <w:t>auf die ab dem 1. Januar 2024 geschuldeten Steuern -</w:t>
      </w:r>
      <w:r w:rsidR="001B2C62">
        <w:rPr>
          <w:i/>
          <w:iCs/>
        </w:rPr>
        <w:t xml:space="preserve">; </w:t>
      </w:r>
      <w:r w:rsidR="001B2C62" w:rsidRPr="009118AB">
        <w:rPr>
          <w:rFonts w:ascii="Times New Roman Italique" w:hAnsi="Times New Roman Italique"/>
          <w:i/>
        </w:rPr>
        <w:t xml:space="preserve">einziger </w:t>
      </w:r>
      <w:r w:rsidR="001B2C62" w:rsidRPr="005D6934">
        <w:rPr>
          <w:rFonts w:ascii="Times New Roman Italique" w:hAnsi="Times New Roman Italique"/>
          <w:i/>
        </w:rPr>
        <w:t>Absatz Nr.</w:t>
      </w:r>
      <w:r w:rsidR="001B2C62" w:rsidRPr="005D6934">
        <w:rPr>
          <w:rFonts w:ascii="Times New Roman Italique" w:hAnsi="Times New Roman Italique" w:hint="eastAsia"/>
          <w:i/>
        </w:rPr>
        <w:t> </w:t>
      </w:r>
      <w:r w:rsidR="001B2C62" w:rsidRPr="005D6934">
        <w:rPr>
          <w:rFonts w:ascii="Times New Roman Italique" w:hAnsi="Times New Roman Italique"/>
          <w:i/>
        </w:rPr>
        <w:t>3</w:t>
      </w:r>
      <w:r w:rsidR="001B2C62">
        <w:rPr>
          <w:rFonts w:ascii="Times New Roman Italique" w:hAnsi="Times New Roman Italique"/>
          <w:i/>
        </w:rPr>
        <w:t>3</w:t>
      </w:r>
      <w:r w:rsidR="001B2C62" w:rsidRPr="005D6934">
        <w:rPr>
          <w:rFonts w:ascii="Times New Roman Italique" w:hAnsi="Times New Roman Italique"/>
          <w:i/>
        </w:rPr>
        <w:t xml:space="preserve"> eingefügt durch</w:t>
      </w:r>
      <w:r w:rsidR="001B2C62" w:rsidRPr="003E131B">
        <w:rPr>
          <w:i/>
          <w:iCs/>
          <w:spacing w:val="-2"/>
        </w:rPr>
        <w:t xml:space="preserve"> Art. </w:t>
      </w:r>
      <w:r w:rsidR="001B2C62">
        <w:rPr>
          <w:i/>
          <w:iCs/>
          <w:spacing w:val="-2"/>
        </w:rPr>
        <w:t>83</w:t>
      </w:r>
      <w:r w:rsidR="001B2C62" w:rsidRPr="003E131B">
        <w:rPr>
          <w:i/>
          <w:iCs/>
          <w:spacing w:val="-2"/>
        </w:rPr>
        <w:t xml:space="preserve"> des G. vom 28. Dezember 2023 (B.S. vom 29. Dezember</w:t>
      </w:r>
      <w:r w:rsidR="001B2C62" w:rsidRPr="003E131B">
        <w:rPr>
          <w:i/>
          <w:iCs/>
          <w:spacing w:val="-2"/>
          <w:sz w:val="22"/>
          <w:szCs w:val="22"/>
        </w:rPr>
        <w:t> </w:t>
      </w:r>
      <w:r w:rsidR="001B2C62" w:rsidRPr="00511165">
        <w:rPr>
          <w:i/>
          <w:iCs/>
          <w:spacing w:val="-2"/>
        </w:rPr>
        <w:t>2023) - </w:t>
      </w:r>
      <w:r w:rsidR="001B2C62">
        <w:rPr>
          <w:i/>
          <w:iCs/>
          <w:spacing w:val="-2"/>
        </w:rPr>
        <w:t xml:space="preserve">in Kraft ab </w:t>
      </w:r>
      <w:r w:rsidR="001B2C62" w:rsidRPr="001B2C62">
        <w:rPr>
          <w:i/>
          <w:iCs/>
        </w:rPr>
        <w:t>dem Steuerjahr 2024</w:t>
      </w:r>
      <w:r w:rsidR="001B2C62">
        <w:t> </w:t>
      </w:r>
      <w:r w:rsidR="001B2C62" w:rsidRPr="005D6934">
        <w:rPr>
          <w:i/>
          <w:iCs/>
        </w:rPr>
        <w:t>-</w:t>
      </w:r>
      <w:r w:rsidR="0006742B">
        <w:rPr>
          <w:i/>
          <w:iCs/>
        </w:rPr>
        <w:t xml:space="preserve">; </w:t>
      </w:r>
      <w:r w:rsidR="0006742B" w:rsidRPr="009118AB">
        <w:rPr>
          <w:rFonts w:ascii="Times New Roman Italique" w:hAnsi="Times New Roman Italique"/>
          <w:i/>
        </w:rPr>
        <w:t xml:space="preserve">einziger </w:t>
      </w:r>
      <w:r w:rsidR="0006742B" w:rsidRPr="005D6934">
        <w:rPr>
          <w:rFonts w:ascii="Times New Roman Italique" w:hAnsi="Times New Roman Italique"/>
          <w:i/>
        </w:rPr>
        <w:t>Absatz Nr.</w:t>
      </w:r>
      <w:r w:rsidR="0006742B" w:rsidRPr="005D6934">
        <w:rPr>
          <w:rFonts w:ascii="Times New Roman Italique" w:hAnsi="Times New Roman Italique" w:hint="eastAsia"/>
          <w:i/>
        </w:rPr>
        <w:t> </w:t>
      </w:r>
      <w:r w:rsidR="0006742B" w:rsidRPr="005D6934">
        <w:rPr>
          <w:rFonts w:ascii="Times New Roman Italique" w:hAnsi="Times New Roman Italique"/>
          <w:i/>
        </w:rPr>
        <w:t>3</w:t>
      </w:r>
      <w:r w:rsidR="0006742B">
        <w:rPr>
          <w:rFonts w:ascii="Times New Roman Italique" w:hAnsi="Times New Roman Italique"/>
          <w:i/>
        </w:rPr>
        <w:t>4</w:t>
      </w:r>
      <w:r w:rsidR="0006742B" w:rsidRPr="005D6934">
        <w:rPr>
          <w:rFonts w:ascii="Times New Roman Italique" w:hAnsi="Times New Roman Italique"/>
          <w:i/>
        </w:rPr>
        <w:t xml:space="preserve"> eingefügt durch</w:t>
      </w:r>
      <w:r w:rsidR="0006742B">
        <w:rPr>
          <w:rFonts w:ascii="Times New Roman Italique" w:hAnsi="Times New Roman Italique"/>
          <w:i/>
        </w:rPr>
        <w:t xml:space="preserve"> </w:t>
      </w:r>
      <w:r w:rsidR="0006742B" w:rsidRPr="0006742B">
        <w:rPr>
          <w:rFonts w:ascii="Times New Roman Italique" w:hAnsi="Times New Roman Italique"/>
          <w:i/>
          <w:iCs/>
        </w:rPr>
        <w:t>Art. 2 des G. vom 20. Dezember 2024 (B.S. vom 31. Dezember 2024) - </w:t>
      </w:r>
      <w:r w:rsidR="0006742B" w:rsidRPr="00931607">
        <w:rPr>
          <w:rFonts w:ascii="Times New Roman Italique" w:hAnsi="Times New Roman Italique"/>
          <w:i/>
          <w:iCs/>
        </w:rPr>
        <w:t>anwendbar ab dem Besteuerungszeitraum</w:t>
      </w:r>
      <w:r w:rsidR="0006742B">
        <w:rPr>
          <w:rFonts w:ascii="Times New Roman Italique" w:hAnsi="Times New Roman Italique" w:hint="eastAsia"/>
          <w:i/>
          <w:iCs/>
        </w:rPr>
        <w:t> </w:t>
      </w:r>
      <w:r w:rsidR="0006742B" w:rsidRPr="00931607">
        <w:rPr>
          <w:rFonts w:ascii="Times New Roman Italique" w:hAnsi="Times New Roman Italique"/>
          <w:i/>
          <w:iCs/>
        </w:rPr>
        <w:t>2024</w:t>
      </w:r>
      <w:r w:rsidR="0006742B">
        <w:rPr>
          <w:rFonts w:ascii="Times New Roman Italique" w:hAnsi="Times New Roman Italique" w:hint="eastAsia"/>
          <w:i/>
          <w:iCs/>
        </w:rPr>
        <w:t> </w:t>
      </w:r>
      <w:r w:rsidR="0006742B">
        <w:rPr>
          <w:rFonts w:ascii="Times New Roman Italique" w:hAnsi="Times New Roman Italique"/>
          <w:i/>
          <w:iCs/>
        </w:rPr>
        <w:t>-</w:t>
      </w:r>
      <w:r w:rsidR="00FD68E8" w:rsidRPr="0006742B">
        <w:rPr>
          <w:rFonts w:ascii="Times New Roman Italique" w:hAnsi="Times New Roman Italique"/>
          <w:i/>
        </w:rPr>
        <w:t>]</w:t>
      </w:r>
    </w:p>
    <w:p w14:paraId="443316DF" w14:textId="77777777" w:rsidR="00EA0965" w:rsidRPr="009118AB" w:rsidRDefault="00EA0965"/>
    <w:p w14:paraId="1F04FB65" w14:textId="698B847C" w:rsidR="008132B3" w:rsidRPr="009118AB" w:rsidRDefault="008132B3">
      <w:pPr>
        <w:rPr>
          <w:sz w:val="20"/>
          <w:szCs w:val="20"/>
        </w:rPr>
      </w:pPr>
    </w:p>
    <w:p w14:paraId="770154FB" w14:textId="64F3B583" w:rsidR="00181050" w:rsidRPr="009118AB" w:rsidRDefault="00181050" w:rsidP="00181050">
      <w:pPr>
        <w:autoSpaceDE w:val="0"/>
        <w:autoSpaceDN w:val="0"/>
        <w:adjustRightInd w:val="0"/>
        <w:jc w:val="both"/>
        <w:rPr>
          <w:sz w:val="20"/>
          <w:szCs w:val="20"/>
        </w:rPr>
      </w:pPr>
      <w:r w:rsidRPr="009118AB">
        <w:rPr>
          <w:sz w:val="20"/>
          <w:szCs w:val="20"/>
        </w:rPr>
        <w:t xml:space="preserve">Ab einem gemäß </w:t>
      </w:r>
      <w:r w:rsidR="00D67EB8" w:rsidRPr="009118AB">
        <w:rPr>
          <w:sz w:val="20"/>
          <w:szCs w:val="20"/>
        </w:rPr>
        <w:t>Art. </w:t>
      </w:r>
      <w:r w:rsidRPr="009118AB">
        <w:rPr>
          <w:sz w:val="20"/>
          <w:szCs w:val="20"/>
        </w:rPr>
        <w:t xml:space="preserve">365 </w:t>
      </w:r>
      <w:r w:rsidR="00D67EB8" w:rsidRPr="009118AB">
        <w:rPr>
          <w:sz w:val="20"/>
          <w:szCs w:val="20"/>
        </w:rPr>
        <w:t>Abs. </w:t>
      </w:r>
      <w:r w:rsidRPr="009118AB">
        <w:rPr>
          <w:sz w:val="20"/>
          <w:szCs w:val="20"/>
        </w:rPr>
        <w:t xml:space="preserve">2 des G. vom 27. Dezember 2004 (B.S. vom 31. Dezember 2004) vom König festzulegenden Datum lautet </w:t>
      </w:r>
      <w:r w:rsidR="00D67EB8" w:rsidRPr="009118AB">
        <w:rPr>
          <w:sz w:val="20"/>
          <w:szCs w:val="20"/>
        </w:rPr>
        <w:t>Art. </w:t>
      </w:r>
      <w:r w:rsidRPr="009118AB">
        <w:rPr>
          <w:sz w:val="20"/>
          <w:szCs w:val="20"/>
        </w:rPr>
        <w:t>53 wie folgt:</w:t>
      </w:r>
    </w:p>
    <w:p w14:paraId="09261793" w14:textId="77777777" w:rsidR="00181050" w:rsidRPr="009118AB" w:rsidRDefault="00181050" w:rsidP="00181050">
      <w:pPr>
        <w:autoSpaceDE w:val="0"/>
        <w:autoSpaceDN w:val="0"/>
        <w:adjustRightInd w:val="0"/>
        <w:jc w:val="both"/>
        <w:rPr>
          <w:sz w:val="20"/>
          <w:szCs w:val="20"/>
        </w:rPr>
      </w:pPr>
    </w:p>
    <w:p w14:paraId="15631595" w14:textId="278772C4" w:rsidR="00181050" w:rsidRPr="009118AB" w:rsidRDefault="00181050" w:rsidP="00181050">
      <w:pPr>
        <w:autoSpaceDE w:val="0"/>
        <w:autoSpaceDN w:val="0"/>
        <w:adjustRightInd w:val="0"/>
        <w:jc w:val="both"/>
        <w:rPr>
          <w:sz w:val="20"/>
          <w:szCs w:val="20"/>
        </w:rPr>
      </w:pPr>
      <w:r w:rsidRPr="009118AB">
        <w:rPr>
          <w:sz w:val="20"/>
          <w:szCs w:val="20"/>
        </w:rPr>
        <w:t>"</w:t>
      </w:r>
      <w:r w:rsidR="00D67EB8" w:rsidRPr="009118AB">
        <w:rPr>
          <w:bCs/>
          <w:sz w:val="20"/>
          <w:szCs w:val="20"/>
        </w:rPr>
        <w:t>Art. </w:t>
      </w:r>
      <w:r w:rsidRPr="009118AB">
        <w:rPr>
          <w:bCs/>
          <w:sz w:val="20"/>
          <w:szCs w:val="20"/>
        </w:rPr>
        <w:t>53</w:t>
      </w:r>
      <w:r w:rsidR="00D67EB8" w:rsidRPr="009118AB">
        <w:rPr>
          <w:sz w:val="20"/>
          <w:szCs w:val="20"/>
        </w:rPr>
        <w:t> - </w:t>
      </w:r>
      <w:r w:rsidRPr="009118AB">
        <w:rPr>
          <w:sz w:val="20"/>
          <w:szCs w:val="20"/>
        </w:rPr>
        <w:t>Werbungskosten umfassen nicht:</w:t>
      </w:r>
    </w:p>
    <w:p w14:paraId="153FAAEE" w14:textId="77777777" w:rsidR="00181050" w:rsidRPr="009118AB" w:rsidRDefault="00181050" w:rsidP="00181050">
      <w:pPr>
        <w:autoSpaceDE w:val="0"/>
        <w:autoSpaceDN w:val="0"/>
        <w:adjustRightInd w:val="0"/>
        <w:jc w:val="both"/>
        <w:rPr>
          <w:sz w:val="20"/>
          <w:szCs w:val="20"/>
        </w:rPr>
      </w:pPr>
    </w:p>
    <w:p w14:paraId="468D2FF9" w14:textId="77777777" w:rsidR="00181050" w:rsidRPr="009118AB" w:rsidRDefault="00181050" w:rsidP="00181050">
      <w:pPr>
        <w:autoSpaceDE w:val="0"/>
        <w:autoSpaceDN w:val="0"/>
        <w:adjustRightInd w:val="0"/>
        <w:jc w:val="both"/>
        <w:rPr>
          <w:sz w:val="20"/>
          <w:szCs w:val="20"/>
        </w:rPr>
      </w:pPr>
      <w:r w:rsidRPr="009118AB">
        <w:rPr>
          <w:sz w:val="20"/>
          <w:szCs w:val="20"/>
        </w:rPr>
        <w:t>1. Ausgaben persönlicher Art wie Mietpreis und Mietnebenkosten von unbeweglichen Gütern oder Teilen von unbeweglichen Gütern, die zu Wohnzwecken genutzt werden, Haushaltunterhaltskosten, Kosten für Unterricht oder Erziehung und alle anderen Ausgaben, die für die Ausübung der Berufstätigkeit nicht erforderlich sind,</w:t>
      </w:r>
    </w:p>
    <w:p w14:paraId="3176302F" w14:textId="77777777" w:rsidR="00181050" w:rsidRPr="009118AB" w:rsidRDefault="00181050" w:rsidP="00181050">
      <w:pPr>
        <w:autoSpaceDE w:val="0"/>
        <w:autoSpaceDN w:val="0"/>
        <w:adjustRightInd w:val="0"/>
        <w:jc w:val="both"/>
        <w:rPr>
          <w:sz w:val="20"/>
          <w:szCs w:val="20"/>
        </w:rPr>
      </w:pPr>
    </w:p>
    <w:p w14:paraId="1E2354EA" w14:textId="77777777" w:rsidR="00181050" w:rsidRPr="009118AB" w:rsidRDefault="00181050" w:rsidP="00181050">
      <w:pPr>
        <w:autoSpaceDE w:val="0"/>
        <w:autoSpaceDN w:val="0"/>
        <w:adjustRightInd w:val="0"/>
        <w:jc w:val="both"/>
        <w:rPr>
          <w:sz w:val="20"/>
          <w:szCs w:val="20"/>
        </w:rPr>
      </w:pPr>
      <w:r w:rsidRPr="009118AB">
        <w:rPr>
          <w:sz w:val="20"/>
          <w:szCs w:val="20"/>
        </w:rPr>
        <w:t>2. [die Steuer der natürlichen Personen einschließlich der Summen, die auf diese Steuer vorausgezahlt werden, und des Mobiliensteuervorabzugs, den der Schuldner des Einkommens zur Entlastung des Empfängers trägt,]</w:t>
      </w:r>
    </w:p>
    <w:p w14:paraId="4C7D66AE" w14:textId="77777777" w:rsidR="00181050" w:rsidRPr="009118AB" w:rsidRDefault="00181050" w:rsidP="00181050">
      <w:pPr>
        <w:autoSpaceDE w:val="0"/>
        <w:autoSpaceDN w:val="0"/>
        <w:adjustRightInd w:val="0"/>
        <w:jc w:val="both"/>
        <w:rPr>
          <w:sz w:val="20"/>
          <w:szCs w:val="20"/>
        </w:rPr>
      </w:pPr>
    </w:p>
    <w:p w14:paraId="01D8FA9B" w14:textId="77777777" w:rsidR="00181050" w:rsidRPr="009118AB" w:rsidRDefault="00181050" w:rsidP="00181050">
      <w:pPr>
        <w:autoSpaceDE w:val="0"/>
        <w:autoSpaceDN w:val="0"/>
        <w:adjustRightInd w:val="0"/>
        <w:jc w:val="both"/>
        <w:rPr>
          <w:sz w:val="20"/>
          <w:szCs w:val="20"/>
        </w:rPr>
      </w:pPr>
      <w:r w:rsidRPr="009118AB">
        <w:rPr>
          <w:sz w:val="20"/>
          <w:szCs w:val="20"/>
        </w:rPr>
        <w:t>3. Zuschlagsteuern und diesbezügliche Zuschlaghundertstel, die auf die Grundlage oder den Betrag der Steuer der natürlichen Personen und des Immobiliensteuervorabzugs berechnet werden und zugunsten der Regionen, Provinzen, Agglomerationen, Gemeindeföderationen und Gemeinden erhoben werden,</w:t>
      </w:r>
    </w:p>
    <w:p w14:paraId="7C12B42B" w14:textId="77777777" w:rsidR="00181050" w:rsidRPr="009118AB" w:rsidRDefault="00181050" w:rsidP="00181050">
      <w:pPr>
        <w:autoSpaceDE w:val="0"/>
        <w:autoSpaceDN w:val="0"/>
        <w:adjustRightInd w:val="0"/>
        <w:jc w:val="both"/>
        <w:rPr>
          <w:sz w:val="20"/>
          <w:szCs w:val="20"/>
        </w:rPr>
      </w:pPr>
    </w:p>
    <w:p w14:paraId="7496C7BD" w14:textId="77777777" w:rsidR="00181050" w:rsidRPr="009118AB" w:rsidRDefault="00181050" w:rsidP="00181050">
      <w:pPr>
        <w:autoSpaceDE w:val="0"/>
        <w:autoSpaceDN w:val="0"/>
        <w:adjustRightInd w:val="0"/>
        <w:jc w:val="both"/>
        <w:rPr>
          <w:sz w:val="20"/>
          <w:szCs w:val="20"/>
        </w:rPr>
      </w:pPr>
      <w:r w:rsidRPr="009118AB">
        <w:rPr>
          <w:sz w:val="20"/>
          <w:szCs w:val="20"/>
        </w:rPr>
        <w:t>4. [den Sonderbeitrag zur sozialen Sicherheit,]</w:t>
      </w:r>
    </w:p>
    <w:p w14:paraId="577980A4" w14:textId="77777777" w:rsidR="00181050" w:rsidRPr="009118AB" w:rsidRDefault="00181050" w:rsidP="00181050">
      <w:pPr>
        <w:autoSpaceDE w:val="0"/>
        <w:autoSpaceDN w:val="0"/>
        <w:adjustRightInd w:val="0"/>
        <w:jc w:val="both"/>
        <w:rPr>
          <w:sz w:val="20"/>
          <w:szCs w:val="20"/>
        </w:rPr>
      </w:pPr>
    </w:p>
    <w:p w14:paraId="6B48EB77" w14:textId="77777777" w:rsidR="00181050" w:rsidRPr="009118AB" w:rsidRDefault="00181050" w:rsidP="00181050">
      <w:pPr>
        <w:autoSpaceDE w:val="0"/>
        <w:autoSpaceDN w:val="0"/>
        <w:adjustRightInd w:val="0"/>
        <w:jc w:val="both"/>
        <w:rPr>
          <w:sz w:val="20"/>
          <w:szCs w:val="20"/>
        </w:rPr>
      </w:pPr>
      <w:r w:rsidRPr="009118AB">
        <w:rPr>
          <w:sz w:val="20"/>
          <w:szCs w:val="20"/>
        </w:rPr>
        <w:t>5. Zuschläge, Erhöhungen, Kosten und Verzugszinsen in Bezug auf die Steuer der natürlichen Personen und die Vorabzüge [ausschließlich des um die Zuschlaghundertstel erhöhten Immobiliensteuervorabzugs in Bezug auf das Katastereinkommen von unbeweglichen Gütern oder Teilen von unbeweglichen Gütern, die zur Ausübung der Berufstätigkeit genutzt werden],</w:t>
      </w:r>
    </w:p>
    <w:p w14:paraId="677E36E7" w14:textId="77777777" w:rsidR="00181050" w:rsidRPr="009118AB" w:rsidRDefault="00181050" w:rsidP="00181050">
      <w:pPr>
        <w:autoSpaceDE w:val="0"/>
        <w:autoSpaceDN w:val="0"/>
        <w:adjustRightInd w:val="0"/>
        <w:jc w:val="both"/>
        <w:rPr>
          <w:sz w:val="20"/>
          <w:szCs w:val="20"/>
        </w:rPr>
      </w:pPr>
    </w:p>
    <w:p w14:paraId="700D33BA" w14:textId="7F85AF7A" w:rsidR="00977955" w:rsidRPr="009118AB" w:rsidRDefault="00977955" w:rsidP="00977955">
      <w:pPr>
        <w:autoSpaceDE w:val="0"/>
        <w:autoSpaceDN w:val="0"/>
        <w:adjustRightInd w:val="0"/>
        <w:jc w:val="both"/>
        <w:rPr>
          <w:sz w:val="20"/>
          <w:szCs w:val="20"/>
        </w:rPr>
      </w:pPr>
      <w:r w:rsidRPr="009118AB">
        <w:rPr>
          <w:sz w:val="20"/>
          <w:szCs w:val="20"/>
        </w:rPr>
        <w:t>6. Geldbußen einschließlich der Vergleichsgeldbußen, [administrative Geldbußen, die von öffentlichen Behörden verhängt werden, selbst wenn diese Geldbußen nicht den Charakter einer strafrechtlichen Sanktion haben und ihr Betrag auf der Grundlage einer abzugsfähigen Steuer berechnet wird,] Einziehungen und Vertragsstrafen jeglicher Art, selbst wenn diese Geldbußen oder Vertragsstrafen gegen eine Person verhängt werden, die vom Steuerpflichtigen in Artikel 30 erwähnte Entlohnungen bezieht, [</w:t>
      </w:r>
      <w:r w:rsidR="006035B2" w:rsidRPr="009118AB">
        <w:rPr>
          <w:sz w:val="20"/>
          <w:szCs w:val="20"/>
        </w:rPr>
        <w:t>Sozialbeitragszuschläge, steuerliche oder soziale Regularisierungsabgaben ebenso wie in Artikel 216</w:t>
      </w:r>
      <w:r w:rsidR="006035B2" w:rsidRPr="009118AB">
        <w:rPr>
          <w:i/>
          <w:iCs/>
          <w:sz w:val="20"/>
          <w:szCs w:val="20"/>
        </w:rPr>
        <w:t>bis</w:t>
      </w:r>
      <w:r w:rsidR="006035B2" w:rsidRPr="009118AB">
        <w:rPr>
          <w:sz w:val="20"/>
          <w:szCs w:val="20"/>
        </w:rPr>
        <w:t xml:space="preserve"> des Strafprozessgesetzbuches erwähnte Geldsummen,</w:t>
      </w:r>
      <w:r w:rsidRPr="009118AB">
        <w:rPr>
          <w:sz w:val="20"/>
          <w:szCs w:val="20"/>
        </w:rPr>
        <w:t>]</w:t>
      </w:r>
    </w:p>
    <w:p w14:paraId="4586516B" w14:textId="77777777" w:rsidR="00181050" w:rsidRPr="009118AB" w:rsidRDefault="00181050" w:rsidP="00181050">
      <w:pPr>
        <w:autoSpaceDE w:val="0"/>
        <w:autoSpaceDN w:val="0"/>
        <w:adjustRightInd w:val="0"/>
        <w:jc w:val="both"/>
        <w:rPr>
          <w:sz w:val="20"/>
          <w:szCs w:val="20"/>
        </w:rPr>
      </w:pPr>
    </w:p>
    <w:p w14:paraId="4CEE509C" w14:textId="3A99C163" w:rsidR="00181050" w:rsidRPr="009118AB" w:rsidRDefault="00181050" w:rsidP="00181050">
      <w:pPr>
        <w:autoSpaceDE w:val="0"/>
        <w:autoSpaceDN w:val="0"/>
        <w:adjustRightInd w:val="0"/>
        <w:jc w:val="both"/>
        <w:rPr>
          <w:sz w:val="20"/>
          <w:szCs w:val="20"/>
        </w:rPr>
      </w:pPr>
      <w:r w:rsidRPr="009118AB">
        <w:rPr>
          <w:sz w:val="20"/>
          <w:szCs w:val="20"/>
        </w:rPr>
        <w:t xml:space="preserve">7. </w:t>
      </w:r>
      <w:r w:rsidR="003B696F" w:rsidRPr="009118AB">
        <w:rPr>
          <w:sz w:val="20"/>
          <w:szCs w:val="20"/>
        </w:rPr>
        <w:t xml:space="preserve">[unbeschadet des Artikels 52 </w:t>
      </w:r>
      <w:r w:rsidR="00D67EB8" w:rsidRPr="009118AB">
        <w:rPr>
          <w:sz w:val="20"/>
          <w:szCs w:val="20"/>
        </w:rPr>
        <w:t>Nr. </w:t>
      </w:r>
      <w:r w:rsidR="003B696F" w:rsidRPr="009118AB">
        <w:rPr>
          <w:sz w:val="20"/>
          <w:szCs w:val="20"/>
        </w:rPr>
        <w:t xml:space="preserve">13] </w:t>
      </w:r>
      <w:r w:rsidRPr="009118AB">
        <w:rPr>
          <w:sz w:val="20"/>
          <w:szCs w:val="20"/>
        </w:rPr>
        <w:t>Kleidungskosten, außer wenn es sich um spezifische Berufskleidung handelt,</w:t>
      </w:r>
    </w:p>
    <w:p w14:paraId="6D97493C" w14:textId="77777777" w:rsidR="00181050" w:rsidRPr="009118AB" w:rsidRDefault="00181050" w:rsidP="00181050">
      <w:pPr>
        <w:autoSpaceDE w:val="0"/>
        <w:autoSpaceDN w:val="0"/>
        <w:adjustRightInd w:val="0"/>
        <w:jc w:val="both"/>
        <w:rPr>
          <w:i/>
          <w:iCs/>
          <w:sz w:val="20"/>
          <w:szCs w:val="20"/>
        </w:rPr>
      </w:pPr>
    </w:p>
    <w:p w14:paraId="5FE17775" w14:textId="77777777" w:rsidR="00181050" w:rsidRPr="009118AB" w:rsidRDefault="00181050" w:rsidP="00181050">
      <w:pPr>
        <w:autoSpaceDE w:val="0"/>
        <w:autoSpaceDN w:val="0"/>
        <w:adjustRightInd w:val="0"/>
        <w:jc w:val="both"/>
        <w:rPr>
          <w:sz w:val="20"/>
          <w:szCs w:val="20"/>
        </w:rPr>
      </w:pPr>
      <w:r w:rsidRPr="009118AB">
        <w:rPr>
          <w:i/>
          <w:iCs/>
          <w:sz w:val="20"/>
          <w:szCs w:val="20"/>
        </w:rPr>
        <w:t xml:space="preserve">a) </w:t>
      </w:r>
      <w:r w:rsidRPr="009118AB">
        <w:rPr>
          <w:sz w:val="20"/>
          <w:szCs w:val="20"/>
        </w:rPr>
        <w:t>die durch die Rechtsvorschriften über Arbeitsschutz oder ein kollektives Arbeitsabkommen als Arbeitskleidung vorgeschrieben ist oder</w:t>
      </w:r>
    </w:p>
    <w:p w14:paraId="67B0BCA9" w14:textId="77777777" w:rsidR="00181050" w:rsidRPr="009118AB" w:rsidRDefault="00181050" w:rsidP="00181050">
      <w:pPr>
        <w:autoSpaceDE w:val="0"/>
        <w:autoSpaceDN w:val="0"/>
        <w:adjustRightInd w:val="0"/>
        <w:jc w:val="both"/>
        <w:rPr>
          <w:sz w:val="20"/>
          <w:szCs w:val="20"/>
        </w:rPr>
      </w:pPr>
    </w:p>
    <w:p w14:paraId="02429496" w14:textId="77777777" w:rsidR="00181050" w:rsidRPr="009118AB" w:rsidRDefault="00181050" w:rsidP="00181050">
      <w:pPr>
        <w:autoSpaceDE w:val="0"/>
        <w:autoSpaceDN w:val="0"/>
        <w:adjustRightInd w:val="0"/>
        <w:jc w:val="both"/>
        <w:rPr>
          <w:sz w:val="20"/>
          <w:szCs w:val="20"/>
        </w:rPr>
      </w:pPr>
      <w:r w:rsidRPr="009118AB">
        <w:rPr>
          <w:i/>
          <w:iCs/>
          <w:sz w:val="20"/>
          <w:szCs w:val="20"/>
        </w:rPr>
        <w:t>b)</w:t>
      </w:r>
      <w:r w:rsidRPr="009118AB">
        <w:rPr>
          <w:sz w:val="20"/>
          <w:szCs w:val="20"/>
        </w:rPr>
        <w:t xml:space="preserve"> die als Spezialkleidung bei der Berufsausübung getragen wird, zu diesem Zweck an</w:t>
      </w:r>
      <w:r w:rsidRPr="009118AB">
        <w:rPr>
          <w:sz w:val="20"/>
          <w:szCs w:val="20"/>
        </w:rPr>
        <w:softHyphen/>
        <w:t xml:space="preserve">gepasst ist und aufgrund der Art der Berufstätigkeit verpflichtet, erforderlich oder üblich ist, </w:t>
      </w:r>
    </w:p>
    <w:p w14:paraId="4F4AF544" w14:textId="77777777" w:rsidR="00181050" w:rsidRPr="009118AB" w:rsidRDefault="00181050" w:rsidP="00181050">
      <w:pPr>
        <w:autoSpaceDE w:val="0"/>
        <w:autoSpaceDN w:val="0"/>
        <w:adjustRightInd w:val="0"/>
        <w:jc w:val="both"/>
        <w:rPr>
          <w:sz w:val="20"/>
          <w:szCs w:val="20"/>
        </w:rPr>
      </w:pPr>
    </w:p>
    <w:p w14:paraId="09B00315" w14:textId="77777777" w:rsidR="00181050" w:rsidRPr="009118AB" w:rsidRDefault="00181050" w:rsidP="00181050">
      <w:pPr>
        <w:autoSpaceDE w:val="0"/>
        <w:autoSpaceDN w:val="0"/>
        <w:adjustRightInd w:val="0"/>
        <w:jc w:val="both"/>
        <w:rPr>
          <w:sz w:val="20"/>
          <w:szCs w:val="20"/>
        </w:rPr>
      </w:pPr>
      <w:r w:rsidRPr="009118AB">
        <w:rPr>
          <w:sz w:val="20"/>
          <w:szCs w:val="20"/>
        </w:rPr>
        <w:t>in beiden Fällen ausschließlich der Kleidung, die im Privatleben in der Regel als Stadtkleidung, Abendkleidung, feierliche Kleidung, Reisekleidung oder Freizeitkleidung gilt oder als solche dienen kann,</w:t>
      </w:r>
    </w:p>
    <w:p w14:paraId="4072EAC9" w14:textId="77777777" w:rsidR="00181050" w:rsidRPr="009118AB" w:rsidRDefault="00181050" w:rsidP="00181050">
      <w:pPr>
        <w:autoSpaceDE w:val="0"/>
        <w:autoSpaceDN w:val="0"/>
        <w:adjustRightInd w:val="0"/>
        <w:jc w:val="both"/>
        <w:rPr>
          <w:sz w:val="20"/>
          <w:szCs w:val="20"/>
        </w:rPr>
      </w:pPr>
    </w:p>
    <w:p w14:paraId="13A5F6AA" w14:textId="16CCCC94" w:rsidR="00181050" w:rsidRPr="009118AB" w:rsidRDefault="00181050" w:rsidP="00181050">
      <w:pPr>
        <w:autoSpaceDE w:val="0"/>
        <w:autoSpaceDN w:val="0"/>
        <w:adjustRightInd w:val="0"/>
        <w:jc w:val="both"/>
        <w:rPr>
          <w:sz w:val="20"/>
          <w:szCs w:val="20"/>
        </w:rPr>
      </w:pPr>
      <w:r w:rsidRPr="009118AB">
        <w:rPr>
          <w:sz w:val="20"/>
          <w:szCs w:val="20"/>
        </w:rPr>
        <w:lastRenderedPageBreak/>
        <w:t xml:space="preserve">8. </w:t>
      </w:r>
      <w:r w:rsidR="003B696F" w:rsidRPr="009118AB">
        <w:rPr>
          <w:sz w:val="20"/>
          <w:szCs w:val="20"/>
        </w:rPr>
        <w:t xml:space="preserve">[unbeschadet des Artikels 52 </w:t>
      </w:r>
      <w:r w:rsidR="00D67EB8" w:rsidRPr="009118AB">
        <w:rPr>
          <w:sz w:val="20"/>
          <w:szCs w:val="20"/>
        </w:rPr>
        <w:t>Nr. </w:t>
      </w:r>
      <w:r w:rsidR="003B696F" w:rsidRPr="009118AB">
        <w:rPr>
          <w:sz w:val="20"/>
          <w:szCs w:val="20"/>
        </w:rPr>
        <w:t xml:space="preserve">13] </w:t>
      </w:r>
      <w:r w:rsidRPr="009118AB">
        <w:rPr>
          <w:sz w:val="20"/>
          <w:szCs w:val="20"/>
        </w:rPr>
        <w:t>[50 Prozent des beruflichen Anteils an Empfangskosten und an Kosten für Werbegeschenke, jedoch ausschließlich der Werbeartikel, die auf sichtbare und dauerhafte Weise den Namen des schenkenden Unternehmens tragen,]</w:t>
      </w:r>
    </w:p>
    <w:p w14:paraId="60F4A2D6" w14:textId="77777777" w:rsidR="00181050" w:rsidRPr="009118AB" w:rsidRDefault="00181050" w:rsidP="00181050">
      <w:pPr>
        <w:autoSpaceDE w:val="0"/>
        <w:autoSpaceDN w:val="0"/>
        <w:adjustRightInd w:val="0"/>
        <w:jc w:val="both"/>
        <w:rPr>
          <w:sz w:val="20"/>
          <w:szCs w:val="20"/>
        </w:rPr>
      </w:pPr>
    </w:p>
    <w:p w14:paraId="2417C5BC" w14:textId="707C119C" w:rsidR="00181050" w:rsidRPr="009118AB" w:rsidRDefault="00181050" w:rsidP="00181050">
      <w:pPr>
        <w:autoSpaceDE w:val="0"/>
        <w:autoSpaceDN w:val="0"/>
        <w:adjustRightInd w:val="0"/>
        <w:jc w:val="both"/>
        <w:rPr>
          <w:sz w:val="20"/>
          <w:szCs w:val="20"/>
        </w:rPr>
      </w:pPr>
      <w:r w:rsidRPr="009118AB">
        <w:rPr>
          <w:sz w:val="20"/>
          <w:szCs w:val="20"/>
        </w:rPr>
        <w:t>[8</w:t>
      </w:r>
      <w:r w:rsidRPr="009118AB">
        <w:rPr>
          <w:i/>
          <w:iCs/>
          <w:sz w:val="20"/>
          <w:szCs w:val="20"/>
        </w:rPr>
        <w:t>bis</w:t>
      </w:r>
      <w:r w:rsidRPr="009118AB">
        <w:rPr>
          <w:sz w:val="20"/>
          <w:szCs w:val="20"/>
        </w:rPr>
        <w:t>.</w:t>
      </w:r>
      <w:r w:rsidR="003B696F" w:rsidRPr="009118AB">
        <w:rPr>
          <w:sz w:val="20"/>
          <w:szCs w:val="20"/>
        </w:rPr>
        <w:t xml:space="preserve"> [unbeschadet des Artikels 52 </w:t>
      </w:r>
      <w:r w:rsidR="00D67EB8" w:rsidRPr="009118AB">
        <w:rPr>
          <w:sz w:val="20"/>
          <w:szCs w:val="20"/>
        </w:rPr>
        <w:t>Nr. </w:t>
      </w:r>
      <w:r w:rsidR="003B696F" w:rsidRPr="009118AB">
        <w:rPr>
          <w:sz w:val="20"/>
          <w:szCs w:val="20"/>
        </w:rPr>
        <w:t xml:space="preserve">13] </w:t>
      </w:r>
      <w:r w:rsidRPr="009118AB">
        <w:rPr>
          <w:sz w:val="20"/>
          <w:szCs w:val="20"/>
        </w:rPr>
        <w:t>[25 Prozent] des beruflichen Anteils an Restaurantkosten, jedoch ausschließlich der Restaurantkosten von Vertretern des Lebensmittelsektors, deren Notwendigkeit bei der Ausübung der Berufstätigkeit im Rahmen einer möglichen oder tatsächlichen Beziehung zwischen Lieferanten und Kunden vom Steuerpflichtigen nachgewiesen wird,]</w:t>
      </w:r>
    </w:p>
    <w:p w14:paraId="3F09768B" w14:textId="77777777" w:rsidR="00181050" w:rsidRPr="009118AB" w:rsidRDefault="00181050" w:rsidP="00181050">
      <w:pPr>
        <w:autoSpaceDE w:val="0"/>
        <w:autoSpaceDN w:val="0"/>
        <w:adjustRightInd w:val="0"/>
        <w:jc w:val="both"/>
        <w:rPr>
          <w:sz w:val="20"/>
          <w:szCs w:val="20"/>
        </w:rPr>
      </w:pPr>
    </w:p>
    <w:p w14:paraId="691583A4" w14:textId="72968A6B" w:rsidR="00181050" w:rsidRPr="009118AB" w:rsidRDefault="00181050" w:rsidP="00181050">
      <w:pPr>
        <w:autoSpaceDE w:val="0"/>
        <w:autoSpaceDN w:val="0"/>
        <w:adjustRightInd w:val="0"/>
        <w:jc w:val="both"/>
        <w:rPr>
          <w:sz w:val="20"/>
          <w:szCs w:val="20"/>
        </w:rPr>
      </w:pPr>
      <w:r w:rsidRPr="009118AB">
        <w:rPr>
          <w:sz w:val="20"/>
          <w:szCs w:val="20"/>
        </w:rPr>
        <w:t xml:space="preserve">9. </w:t>
      </w:r>
      <w:r w:rsidR="003B696F" w:rsidRPr="009118AB">
        <w:rPr>
          <w:sz w:val="20"/>
          <w:szCs w:val="20"/>
        </w:rPr>
        <w:t xml:space="preserve">[unbeschadet des Artikels 52 </w:t>
      </w:r>
      <w:r w:rsidR="00D67EB8" w:rsidRPr="009118AB">
        <w:rPr>
          <w:sz w:val="20"/>
          <w:szCs w:val="20"/>
        </w:rPr>
        <w:t>Nr. </w:t>
      </w:r>
      <w:r w:rsidR="003B696F" w:rsidRPr="009118AB">
        <w:rPr>
          <w:sz w:val="20"/>
          <w:szCs w:val="20"/>
        </w:rPr>
        <w:t xml:space="preserve">13] </w:t>
      </w:r>
      <w:r w:rsidRPr="009118AB">
        <w:rPr>
          <w:sz w:val="20"/>
          <w:szCs w:val="20"/>
        </w:rPr>
        <w:t>Kosten jeglicher Art in Bezug auf Jagd, Fischerei, Jachten oder andere Vergnügungsschiffe und Landhäuser, außer sofern und in dem Maße, wie der Steuerpflichtige nachweist, dass sie aufgrund der Art seiner Berufstätigkeit zur Ausübung dieser Berufstätigkeit erforderlich sind oder dass sie in den steuerpflichtigen Entlohnungen der begünstigten Personalmitglieder enthalten sind,</w:t>
      </w:r>
    </w:p>
    <w:p w14:paraId="79681FEA" w14:textId="77777777" w:rsidR="00181050" w:rsidRPr="009118AB" w:rsidRDefault="00181050" w:rsidP="00181050">
      <w:pPr>
        <w:autoSpaceDE w:val="0"/>
        <w:autoSpaceDN w:val="0"/>
        <w:adjustRightInd w:val="0"/>
        <w:jc w:val="both"/>
        <w:rPr>
          <w:sz w:val="20"/>
          <w:szCs w:val="20"/>
        </w:rPr>
      </w:pPr>
    </w:p>
    <w:p w14:paraId="2A9D3F15" w14:textId="77777777" w:rsidR="00181050" w:rsidRPr="009118AB" w:rsidRDefault="00181050" w:rsidP="00181050">
      <w:pPr>
        <w:autoSpaceDE w:val="0"/>
        <w:autoSpaceDN w:val="0"/>
        <w:adjustRightInd w:val="0"/>
        <w:jc w:val="both"/>
        <w:rPr>
          <w:sz w:val="20"/>
          <w:szCs w:val="20"/>
        </w:rPr>
      </w:pPr>
      <w:r w:rsidRPr="009118AB">
        <w:rPr>
          <w:sz w:val="20"/>
          <w:szCs w:val="20"/>
        </w:rPr>
        <w:t>10. alle Kosten, soweit sie auf unvertretbare Weise die beruflichen Bedürfnisse übersteigen,</w:t>
      </w:r>
    </w:p>
    <w:p w14:paraId="6D89D1D5" w14:textId="77777777" w:rsidR="00181050" w:rsidRPr="009118AB" w:rsidRDefault="00181050" w:rsidP="00181050">
      <w:pPr>
        <w:autoSpaceDE w:val="0"/>
        <w:autoSpaceDN w:val="0"/>
        <w:adjustRightInd w:val="0"/>
        <w:jc w:val="both"/>
        <w:rPr>
          <w:sz w:val="20"/>
          <w:szCs w:val="20"/>
        </w:rPr>
      </w:pPr>
    </w:p>
    <w:p w14:paraId="5B43C3F9" w14:textId="77777777" w:rsidR="00181050" w:rsidRPr="009118AB" w:rsidRDefault="00181050" w:rsidP="00181050">
      <w:pPr>
        <w:autoSpaceDE w:val="0"/>
        <w:autoSpaceDN w:val="0"/>
        <w:adjustRightInd w:val="0"/>
        <w:jc w:val="both"/>
        <w:rPr>
          <w:sz w:val="20"/>
          <w:szCs w:val="20"/>
        </w:rPr>
      </w:pPr>
      <w:r w:rsidRPr="009118AB">
        <w:rPr>
          <w:sz w:val="20"/>
          <w:szCs w:val="20"/>
        </w:rPr>
        <w:t>11. Zuteilungen an Dritte zur Rückzahlung der in den Nummern 7 bis 10 erwähnten Kosten, sofern diese Kosten selbst nicht als Werbungskosten gelten,</w:t>
      </w:r>
    </w:p>
    <w:p w14:paraId="51C2215D" w14:textId="77777777" w:rsidR="00181050" w:rsidRPr="009118AB" w:rsidRDefault="00181050" w:rsidP="00181050">
      <w:pPr>
        <w:autoSpaceDE w:val="0"/>
        <w:autoSpaceDN w:val="0"/>
        <w:adjustRightInd w:val="0"/>
        <w:jc w:val="both"/>
        <w:rPr>
          <w:sz w:val="20"/>
          <w:szCs w:val="20"/>
        </w:rPr>
      </w:pPr>
    </w:p>
    <w:p w14:paraId="1F86DAEF" w14:textId="53E14246" w:rsidR="00181050" w:rsidRPr="009118AB" w:rsidRDefault="00181050" w:rsidP="00181050">
      <w:pPr>
        <w:autoSpaceDE w:val="0"/>
        <w:autoSpaceDN w:val="0"/>
        <w:adjustRightInd w:val="0"/>
        <w:jc w:val="both"/>
        <w:rPr>
          <w:sz w:val="20"/>
          <w:szCs w:val="20"/>
        </w:rPr>
      </w:pPr>
      <w:r w:rsidRPr="009118AB">
        <w:rPr>
          <w:sz w:val="20"/>
          <w:szCs w:val="20"/>
        </w:rPr>
        <w:t xml:space="preserve">12. Entlohnungen, die der Steuerpflichtige seinem mit ihm arbeitenden Ehepartner zuerkennt [ausschließlich der in Artikel 30 </w:t>
      </w:r>
      <w:r w:rsidR="00D67EB8" w:rsidRPr="009118AB">
        <w:rPr>
          <w:sz w:val="20"/>
          <w:szCs w:val="20"/>
        </w:rPr>
        <w:t>Nr. </w:t>
      </w:r>
      <w:r w:rsidRPr="009118AB">
        <w:rPr>
          <w:sz w:val="20"/>
          <w:szCs w:val="20"/>
        </w:rPr>
        <w:t>3 erwähnten Entlohnungen],</w:t>
      </w:r>
    </w:p>
    <w:p w14:paraId="1389B6C1" w14:textId="77777777" w:rsidR="00181050" w:rsidRPr="009118AB" w:rsidRDefault="00181050" w:rsidP="00181050">
      <w:pPr>
        <w:autoSpaceDE w:val="0"/>
        <w:autoSpaceDN w:val="0"/>
        <w:adjustRightInd w:val="0"/>
        <w:jc w:val="both"/>
        <w:rPr>
          <w:sz w:val="20"/>
          <w:szCs w:val="20"/>
        </w:rPr>
      </w:pPr>
    </w:p>
    <w:p w14:paraId="2534B8DF" w14:textId="77777777" w:rsidR="00181050" w:rsidRPr="009118AB" w:rsidRDefault="00181050" w:rsidP="00181050">
      <w:pPr>
        <w:autoSpaceDE w:val="0"/>
        <w:autoSpaceDN w:val="0"/>
        <w:adjustRightInd w:val="0"/>
        <w:jc w:val="both"/>
        <w:rPr>
          <w:sz w:val="20"/>
          <w:szCs w:val="20"/>
        </w:rPr>
      </w:pPr>
      <w:r w:rsidRPr="009118AB">
        <w:rPr>
          <w:sz w:val="20"/>
          <w:szCs w:val="20"/>
        </w:rPr>
        <w:t>13. Entlohnungen von anderen Familienmitgliedern des Steuerpflichtigen, soweit sie unter Berücksichtigung von Art und Dauer der tatsächlichen Leistungen der Empfänger ein normales Gehalt oder einen normalen Lohn übersteigen,</w:t>
      </w:r>
    </w:p>
    <w:p w14:paraId="72A503AC" w14:textId="77777777" w:rsidR="00181050" w:rsidRPr="009118AB" w:rsidRDefault="00181050" w:rsidP="00181050">
      <w:pPr>
        <w:autoSpaceDE w:val="0"/>
        <w:autoSpaceDN w:val="0"/>
        <w:adjustRightInd w:val="0"/>
        <w:jc w:val="both"/>
        <w:rPr>
          <w:sz w:val="20"/>
          <w:szCs w:val="20"/>
        </w:rPr>
      </w:pPr>
    </w:p>
    <w:p w14:paraId="3F8AD452" w14:textId="6814B6F2" w:rsidR="00181050" w:rsidRPr="009118AB" w:rsidRDefault="00181050" w:rsidP="00181050">
      <w:pPr>
        <w:autoSpaceDE w:val="0"/>
        <w:autoSpaceDN w:val="0"/>
        <w:adjustRightInd w:val="0"/>
        <w:jc w:val="both"/>
        <w:rPr>
          <w:spacing w:val="-2"/>
          <w:sz w:val="20"/>
          <w:szCs w:val="20"/>
        </w:rPr>
      </w:pPr>
      <w:r w:rsidRPr="009118AB">
        <w:rPr>
          <w:spacing w:val="-2"/>
          <w:sz w:val="20"/>
          <w:szCs w:val="20"/>
        </w:rPr>
        <w:t xml:space="preserve">14. [in Artikel 38 </w:t>
      </w:r>
      <w:r w:rsidR="00D67EB8" w:rsidRPr="009118AB">
        <w:rPr>
          <w:spacing w:val="-2"/>
          <w:sz w:val="20"/>
          <w:szCs w:val="20"/>
        </w:rPr>
        <w:t>§ </w:t>
      </w:r>
      <w:r w:rsidRPr="009118AB">
        <w:rPr>
          <w:spacing w:val="-2"/>
          <w:sz w:val="20"/>
          <w:szCs w:val="20"/>
        </w:rPr>
        <w:t xml:space="preserve">1 Absatz 1 </w:t>
      </w:r>
      <w:r w:rsidR="00D67EB8" w:rsidRPr="009118AB">
        <w:rPr>
          <w:spacing w:val="-2"/>
          <w:sz w:val="20"/>
          <w:szCs w:val="20"/>
        </w:rPr>
        <w:t>Nr. </w:t>
      </w:r>
      <w:r w:rsidRPr="009118AB">
        <w:rPr>
          <w:spacing w:val="-2"/>
          <w:sz w:val="20"/>
          <w:szCs w:val="20"/>
        </w:rPr>
        <w:t xml:space="preserve">11 und 25 erwähnte Vorteile ausschließlich der gegebenenfalls auf </w:t>
      </w:r>
      <w:r w:rsidR="003C6A41" w:rsidRPr="009118AB">
        <w:rPr>
          <w:spacing w:val="-2"/>
          <w:sz w:val="20"/>
          <w:szCs w:val="20"/>
        </w:rPr>
        <w:t>[2</w:t>
      </w:r>
      <w:r w:rsidRPr="009118AB">
        <w:rPr>
          <w:spacing w:val="-2"/>
          <w:sz w:val="20"/>
          <w:szCs w:val="20"/>
        </w:rPr>
        <w:t> EUR</w:t>
      </w:r>
      <w:r w:rsidR="003C6A41" w:rsidRPr="009118AB">
        <w:rPr>
          <w:spacing w:val="-2"/>
          <w:sz w:val="20"/>
          <w:szCs w:val="20"/>
        </w:rPr>
        <w:t>]</w:t>
      </w:r>
      <w:r w:rsidRPr="009118AB">
        <w:rPr>
          <w:spacing w:val="-2"/>
          <w:sz w:val="20"/>
          <w:szCs w:val="20"/>
        </w:rPr>
        <w:t xml:space="preserve"> pro </w:t>
      </w:r>
      <w:r w:rsidR="006D018E" w:rsidRPr="009118AB">
        <w:rPr>
          <w:spacing w:val="-2"/>
          <w:sz w:val="20"/>
          <w:szCs w:val="20"/>
        </w:rPr>
        <w:t xml:space="preserve">[elektronischen Mahlzeitscheck] </w:t>
      </w:r>
      <w:r w:rsidRPr="009118AB">
        <w:rPr>
          <w:spacing w:val="-2"/>
          <w:sz w:val="20"/>
          <w:szCs w:val="20"/>
        </w:rPr>
        <w:t xml:space="preserve">begrenzten Beteiligung des Arbeitgebers oder Unternehmens an </w:t>
      </w:r>
      <w:r w:rsidR="006D018E" w:rsidRPr="009118AB">
        <w:rPr>
          <w:spacing w:val="-2"/>
          <w:sz w:val="20"/>
          <w:szCs w:val="20"/>
        </w:rPr>
        <w:t>[elektronischen Mahlzeitschecks]</w:t>
      </w:r>
      <w:r w:rsidRPr="009118AB">
        <w:rPr>
          <w:spacing w:val="-2"/>
          <w:sz w:val="20"/>
          <w:szCs w:val="20"/>
        </w:rPr>
        <w:t>, wenn diese Beteiligung den in Artikel 38/1 erwähnten Bedingungen entspricht,]</w:t>
      </w:r>
    </w:p>
    <w:p w14:paraId="4C002AED" w14:textId="77777777" w:rsidR="00181050" w:rsidRPr="009118AB" w:rsidRDefault="00181050" w:rsidP="00181050">
      <w:pPr>
        <w:autoSpaceDE w:val="0"/>
        <w:autoSpaceDN w:val="0"/>
        <w:adjustRightInd w:val="0"/>
        <w:jc w:val="both"/>
        <w:rPr>
          <w:sz w:val="20"/>
          <w:szCs w:val="20"/>
        </w:rPr>
      </w:pPr>
    </w:p>
    <w:p w14:paraId="3D7B9778" w14:textId="77777777" w:rsidR="00181050" w:rsidRPr="009118AB" w:rsidRDefault="00181050" w:rsidP="00181050">
      <w:pPr>
        <w:autoSpaceDE w:val="0"/>
        <w:autoSpaceDN w:val="0"/>
        <w:adjustRightInd w:val="0"/>
        <w:jc w:val="both"/>
        <w:rPr>
          <w:sz w:val="20"/>
          <w:szCs w:val="20"/>
        </w:rPr>
      </w:pPr>
      <w:r w:rsidRPr="009118AB">
        <w:rPr>
          <w:sz w:val="20"/>
          <w:szCs w:val="20"/>
        </w:rPr>
        <w:t>15. [Verluste von Gesellschaften, die von natürlichen Personen übernommen werden, außer wenn es sich um Unternehmensleiter handelt, die diese Übernahme durch eine unwiderrufliche und bedingungslose Zahlung einer Summe zur Sicherung von Berufseinkünften tätigen, die diese Unternehmensleiter periodisch von der Gesellschaft beziehen, und wenn die derart gezahlte Summe von der Gesellschaft vollständig zum Ausgleich ihrer beruflichen Verluste genutzt wird,]</w:t>
      </w:r>
    </w:p>
    <w:p w14:paraId="496EBA79" w14:textId="77777777" w:rsidR="00181050" w:rsidRPr="009118AB" w:rsidRDefault="00181050" w:rsidP="00181050">
      <w:pPr>
        <w:autoSpaceDE w:val="0"/>
        <w:autoSpaceDN w:val="0"/>
        <w:adjustRightInd w:val="0"/>
        <w:jc w:val="both"/>
        <w:rPr>
          <w:sz w:val="20"/>
          <w:szCs w:val="20"/>
        </w:rPr>
      </w:pPr>
    </w:p>
    <w:p w14:paraId="37F492AB" w14:textId="7658DE76" w:rsidR="00181050" w:rsidRPr="009118AB" w:rsidRDefault="00181050" w:rsidP="00181050">
      <w:pPr>
        <w:autoSpaceDE w:val="0"/>
        <w:autoSpaceDN w:val="0"/>
        <w:adjustRightInd w:val="0"/>
        <w:jc w:val="both"/>
        <w:rPr>
          <w:sz w:val="20"/>
          <w:szCs w:val="20"/>
        </w:rPr>
      </w:pPr>
      <w:r w:rsidRPr="009118AB">
        <w:rPr>
          <w:sz w:val="20"/>
          <w:szCs w:val="20"/>
        </w:rPr>
        <w:t xml:space="preserve">16. in Artikel 52 </w:t>
      </w:r>
      <w:r w:rsidR="00D67EB8" w:rsidRPr="009118AB">
        <w:rPr>
          <w:sz w:val="20"/>
          <w:szCs w:val="20"/>
        </w:rPr>
        <w:t>Nr. </w:t>
      </w:r>
      <w:r w:rsidRPr="009118AB">
        <w:rPr>
          <w:sz w:val="20"/>
          <w:szCs w:val="20"/>
        </w:rPr>
        <w:t xml:space="preserve">11 erwähnte Zinsen ab dem Datum, an dem [der Unternehmensleiter] seine Anteile veräußert, oder ab dem Datum und in dem Maße, wie die Gesellschaft das durch diese Anteile vertretene </w:t>
      </w:r>
      <w:r w:rsidR="00363711" w:rsidRPr="009118AB">
        <w:rPr>
          <w:sz w:val="20"/>
          <w:szCs w:val="20"/>
        </w:rPr>
        <w:t>[K</w:t>
      </w:r>
      <w:r w:rsidRPr="009118AB">
        <w:rPr>
          <w:sz w:val="20"/>
          <w:szCs w:val="20"/>
        </w:rPr>
        <w:t>apital</w:t>
      </w:r>
      <w:r w:rsidR="00363711" w:rsidRPr="009118AB">
        <w:rPr>
          <w:sz w:val="20"/>
          <w:szCs w:val="20"/>
        </w:rPr>
        <w:t>]</w:t>
      </w:r>
      <w:r w:rsidRPr="009118AB">
        <w:rPr>
          <w:sz w:val="20"/>
          <w:szCs w:val="20"/>
        </w:rPr>
        <w:t xml:space="preserve"> zurückzahlt,</w:t>
      </w:r>
    </w:p>
    <w:p w14:paraId="3CAB7460" w14:textId="77777777" w:rsidR="00181050" w:rsidRPr="009118AB" w:rsidRDefault="00181050" w:rsidP="00181050">
      <w:pPr>
        <w:autoSpaceDE w:val="0"/>
        <w:autoSpaceDN w:val="0"/>
        <w:adjustRightInd w:val="0"/>
        <w:jc w:val="both"/>
        <w:rPr>
          <w:sz w:val="20"/>
          <w:szCs w:val="20"/>
        </w:rPr>
      </w:pPr>
    </w:p>
    <w:p w14:paraId="189C60F1" w14:textId="25CFD96F" w:rsidR="00181050" w:rsidRPr="009118AB" w:rsidRDefault="00181050" w:rsidP="00181050">
      <w:pPr>
        <w:autoSpaceDE w:val="0"/>
        <w:autoSpaceDN w:val="0"/>
        <w:adjustRightInd w:val="0"/>
        <w:jc w:val="both"/>
        <w:rPr>
          <w:sz w:val="20"/>
          <w:szCs w:val="20"/>
        </w:rPr>
      </w:pPr>
      <w:r w:rsidRPr="009118AB">
        <w:rPr>
          <w:sz w:val="20"/>
          <w:szCs w:val="20"/>
        </w:rPr>
        <w:t xml:space="preserve">[17. Beiträge, die Mitglieder der Abgeordnetenkammer, des Senats, [[der Gemeinschafts- und Regionalparlamente], des Europäischen Parlaments und </w:t>
      </w:r>
      <w:r w:rsidR="0006356F">
        <w:rPr>
          <w:sz w:val="20"/>
          <w:szCs w:val="20"/>
        </w:rPr>
        <w:t>[</w:t>
      </w:r>
      <w:r w:rsidR="0006356F" w:rsidRPr="0006356F">
        <w:rPr>
          <w:sz w:val="20"/>
          <w:szCs w:val="20"/>
        </w:rPr>
        <w:t>der Provinzkollegien</w:t>
      </w:r>
      <w:r w:rsidR="0006356F">
        <w:rPr>
          <w:sz w:val="20"/>
          <w:szCs w:val="20"/>
        </w:rPr>
        <w:t>]</w:t>
      </w:r>
      <w:r w:rsidRPr="009118AB">
        <w:rPr>
          <w:sz w:val="20"/>
          <w:szCs w:val="20"/>
        </w:rPr>
        <w:t>] ihrer Partei oder einer ihrer Komponenten zahlen,]</w:t>
      </w:r>
    </w:p>
    <w:p w14:paraId="423FBDC4" w14:textId="77777777" w:rsidR="00181050" w:rsidRPr="009118AB" w:rsidRDefault="00181050" w:rsidP="00181050">
      <w:pPr>
        <w:autoSpaceDE w:val="0"/>
        <w:autoSpaceDN w:val="0"/>
        <w:adjustRightInd w:val="0"/>
        <w:jc w:val="both"/>
        <w:rPr>
          <w:sz w:val="20"/>
          <w:szCs w:val="20"/>
        </w:rPr>
      </w:pPr>
    </w:p>
    <w:p w14:paraId="225FD53B" w14:textId="2C098ECE" w:rsidR="00181050" w:rsidRPr="009118AB" w:rsidRDefault="00181050" w:rsidP="00181050">
      <w:pPr>
        <w:autoSpaceDE w:val="0"/>
        <w:autoSpaceDN w:val="0"/>
        <w:adjustRightInd w:val="0"/>
        <w:jc w:val="both"/>
        <w:rPr>
          <w:sz w:val="20"/>
          <w:szCs w:val="20"/>
        </w:rPr>
      </w:pPr>
      <w:r w:rsidRPr="009118AB">
        <w:rPr>
          <w:sz w:val="20"/>
          <w:szCs w:val="20"/>
        </w:rPr>
        <w:t xml:space="preserve">[18. [unbeschadet des Artikels 52 </w:t>
      </w:r>
      <w:r w:rsidR="00D67EB8" w:rsidRPr="009118AB">
        <w:rPr>
          <w:sz w:val="20"/>
          <w:szCs w:val="20"/>
        </w:rPr>
        <w:t>Nr. </w:t>
      </w:r>
      <w:r w:rsidRPr="009118AB">
        <w:rPr>
          <w:sz w:val="20"/>
          <w:szCs w:val="20"/>
        </w:rPr>
        <w:t xml:space="preserve">11 Zinsen auf Schulden, die von einer natürlichen Person gemacht werden im Hinblick auf Zeichnung oder Erwerb von Aktien oder Anteilen, die das </w:t>
      </w:r>
      <w:r w:rsidR="00363711" w:rsidRPr="009118AB">
        <w:rPr>
          <w:sz w:val="20"/>
          <w:szCs w:val="20"/>
        </w:rPr>
        <w:t>[K</w:t>
      </w:r>
      <w:r w:rsidRPr="009118AB">
        <w:rPr>
          <w:sz w:val="20"/>
          <w:szCs w:val="20"/>
        </w:rPr>
        <w:t>apital</w:t>
      </w:r>
      <w:r w:rsidR="00363711" w:rsidRPr="009118AB">
        <w:rPr>
          <w:sz w:val="20"/>
          <w:szCs w:val="20"/>
        </w:rPr>
        <w:t>]</w:t>
      </w:r>
      <w:r w:rsidRPr="009118AB">
        <w:rPr>
          <w:sz w:val="20"/>
          <w:szCs w:val="20"/>
        </w:rPr>
        <w:t xml:space="preserve"> einer Gesellschaft vertreten,]]</w:t>
      </w:r>
    </w:p>
    <w:p w14:paraId="518407C8" w14:textId="77777777" w:rsidR="00181050" w:rsidRPr="009118AB" w:rsidRDefault="00181050" w:rsidP="00181050">
      <w:pPr>
        <w:autoSpaceDE w:val="0"/>
        <w:autoSpaceDN w:val="0"/>
        <w:adjustRightInd w:val="0"/>
        <w:jc w:val="both"/>
        <w:rPr>
          <w:sz w:val="20"/>
          <w:szCs w:val="20"/>
        </w:rPr>
      </w:pPr>
    </w:p>
    <w:p w14:paraId="512B6B35" w14:textId="060BE9EF" w:rsidR="00181050" w:rsidRPr="009118AB" w:rsidRDefault="00181050" w:rsidP="00181050">
      <w:pPr>
        <w:autoSpaceDE w:val="0"/>
        <w:autoSpaceDN w:val="0"/>
        <w:adjustRightInd w:val="0"/>
        <w:jc w:val="both"/>
        <w:rPr>
          <w:sz w:val="20"/>
          <w:szCs w:val="20"/>
        </w:rPr>
      </w:pPr>
      <w:r w:rsidRPr="009118AB">
        <w:rPr>
          <w:sz w:val="20"/>
          <w:szCs w:val="20"/>
        </w:rPr>
        <w:t xml:space="preserve">[19. für Steuerpflichtige, die in Artikel 30 </w:t>
      </w:r>
      <w:r w:rsidR="00D67EB8" w:rsidRPr="009118AB">
        <w:rPr>
          <w:sz w:val="20"/>
          <w:szCs w:val="20"/>
        </w:rPr>
        <w:t>Nr. </w:t>
      </w:r>
      <w:r w:rsidRPr="009118AB">
        <w:rPr>
          <w:sz w:val="20"/>
          <w:szCs w:val="20"/>
        </w:rPr>
        <w:t>3 erwähnte Entlohnungen zuerkennen, Werbungskosten, die den in Artikel 33 Absatz 1 erwähnten mithelfenden Ehepartnern eigen sind,</w:t>
      </w:r>
    </w:p>
    <w:p w14:paraId="09BCAB25" w14:textId="77777777" w:rsidR="00181050" w:rsidRPr="009118AB" w:rsidRDefault="00181050" w:rsidP="00181050">
      <w:pPr>
        <w:autoSpaceDE w:val="0"/>
        <w:autoSpaceDN w:val="0"/>
        <w:adjustRightInd w:val="0"/>
        <w:jc w:val="both"/>
        <w:rPr>
          <w:sz w:val="20"/>
          <w:szCs w:val="20"/>
        </w:rPr>
      </w:pPr>
    </w:p>
    <w:p w14:paraId="25FE6A95" w14:textId="77777777" w:rsidR="00181050" w:rsidRPr="009118AB" w:rsidRDefault="00181050" w:rsidP="00181050">
      <w:pPr>
        <w:autoSpaceDE w:val="0"/>
        <w:autoSpaceDN w:val="0"/>
        <w:adjustRightInd w:val="0"/>
        <w:jc w:val="both"/>
        <w:rPr>
          <w:sz w:val="20"/>
          <w:szCs w:val="20"/>
        </w:rPr>
      </w:pPr>
      <w:r w:rsidRPr="009118AB">
        <w:rPr>
          <w:sz w:val="20"/>
          <w:szCs w:val="20"/>
        </w:rPr>
        <w:t>20. für mithelfende Ehepartner, die in Artikel 33 Absatz 1 erwähnt sind, Werbungskosten, die sich auf die Tätigkeiten des Ehepartners, dem sie geholfen haben, beziehen,]</w:t>
      </w:r>
    </w:p>
    <w:p w14:paraId="2C4B9C30" w14:textId="77777777" w:rsidR="00181050" w:rsidRPr="009118AB" w:rsidRDefault="00181050" w:rsidP="00181050">
      <w:pPr>
        <w:autoSpaceDE w:val="0"/>
        <w:autoSpaceDN w:val="0"/>
        <w:adjustRightInd w:val="0"/>
        <w:jc w:val="both"/>
        <w:rPr>
          <w:sz w:val="20"/>
          <w:szCs w:val="20"/>
        </w:rPr>
      </w:pPr>
    </w:p>
    <w:p w14:paraId="6BB3B0E8" w14:textId="182BB086" w:rsidR="00181050" w:rsidRPr="009118AB" w:rsidRDefault="00181050" w:rsidP="00181050">
      <w:pPr>
        <w:autoSpaceDE w:val="0"/>
        <w:autoSpaceDN w:val="0"/>
        <w:adjustRightInd w:val="0"/>
        <w:jc w:val="both"/>
        <w:rPr>
          <w:sz w:val="20"/>
          <w:szCs w:val="20"/>
        </w:rPr>
      </w:pPr>
      <w:r w:rsidRPr="009118AB">
        <w:rPr>
          <w:sz w:val="20"/>
          <w:szCs w:val="20"/>
        </w:rPr>
        <w:t xml:space="preserve">[21. in Artikel 38 </w:t>
      </w:r>
      <w:r w:rsidR="00D67EB8" w:rsidRPr="009118AB">
        <w:rPr>
          <w:sz w:val="20"/>
          <w:szCs w:val="20"/>
        </w:rPr>
        <w:t>§ </w:t>
      </w:r>
      <w:r w:rsidRPr="009118AB">
        <w:rPr>
          <w:sz w:val="20"/>
          <w:szCs w:val="20"/>
        </w:rPr>
        <w:t xml:space="preserve">1 Absatz 1 </w:t>
      </w:r>
      <w:r w:rsidR="00D67EB8" w:rsidRPr="009118AB">
        <w:rPr>
          <w:sz w:val="20"/>
          <w:szCs w:val="20"/>
        </w:rPr>
        <w:t>Nr. </w:t>
      </w:r>
      <w:r w:rsidRPr="009118AB">
        <w:rPr>
          <w:sz w:val="20"/>
          <w:szCs w:val="20"/>
        </w:rPr>
        <w:t>20 erwähnte Arbeitgeberbeiträge und -prämien,]</w:t>
      </w:r>
    </w:p>
    <w:p w14:paraId="67969B75" w14:textId="77777777" w:rsidR="00181050" w:rsidRPr="009118AB" w:rsidRDefault="00181050" w:rsidP="00181050">
      <w:pPr>
        <w:autoSpaceDE w:val="0"/>
        <w:autoSpaceDN w:val="0"/>
        <w:adjustRightInd w:val="0"/>
        <w:jc w:val="both"/>
        <w:rPr>
          <w:sz w:val="20"/>
          <w:szCs w:val="20"/>
        </w:rPr>
      </w:pPr>
    </w:p>
    <w:p w14:paraId="17D6B5FE" w14:textId="258C0B5C" w:rsidR="00181050" w:rsidRPr="009118AB" w:rsidRDefault="00181050" w:rsidP="00181050">
      <w:pPr>
        <w:autoSpaceDE w:val="0"/>
        <w:autoSpaceDN w:val="0"/>
        <w:adjustRightInd w:val="0"/>
        <w:jc w:val="both"/>
        <w:rPr>
          <w:sz w:val="20"/>
          <w:szCs w:val="20"/>
        </w:rPr>
      </w:pPr>
      <w:r w:rsidRPr="009118AB">
        <w:rPr>
          <w:sz w:val="20"/>
          <w:szCs w:val="20"/>
        </w:rPr>
        <w:t xml:space="preserve">[22. soweit sie einen Höchstbetrag von 1.525 EUR pro Jahr übersteigen, in Artikel 52 </w:t>
      </w:r>
      <w:r w:rsidR="00D67EB8" w:rsidRPr="009118AB">
        <w:rPr>
          <w:sz w:val="20"/>
          <w:szCs w:val="20"/>
        </w:rPr>
        <w:t>Nr. </w:t>
      </w:r>
      <w:r w:rsidRPr="009118AB">
        <w:rPr>
          <w:sz w:val="20"/>
          <w:szCs w:val="20"/>
        </w:rPr>
        <w:t>3 Buchstabe </w:t>
      </w:r>
      <w:r w:rsidRPr="009118AB">
        <w:rPr>
          <w:i/>
          <w:iCs/>
          <w:sz w:val="20"/>
          <w:szCs w:val="20"/>
        </w:rPr>
        <w:t>b)</w:t>
      </w:r>
      <w:r w:rsidRPr="009118AB">
        <w:rPr>
          <w:sz w:val="20"/>
          <w:szCs w:val="20"/>
        </w:rPr>
        <w:t xml:space="preserve"> erwähnte Arbeitgeberbeiträge und -prämien, die gezahlt werden in Ausführung von individuellen ergänzenden Pensionsvereinbarungen wie in Artikel 6 des Gesetzes vom 28. April 2003 über ergänzende Pensionen und das Besteuerungssystem für diese Pensionen und für bestimmte Zusatzleistungen im Bereich der sozialen Sicherheit </w:t>
      </w:r>
      <w:r w:rsidRPr="009118AB">
        <w:rPr>
          <w:sz w:val="20"/>
          <w:szCs w:val="20"/>
        </w:rPr>
        <w:lastRenderedPageBreak/>
        <w:t xml:space="preserve">erwähnt, die zugunsten von Personen, die in Artikel 30 </w:t>
      </w:r>
      <w:r w:rsidR="00D67EB8" w:rsidRPr="009118AB">
        <w:rPr>
          <w:sz w:val="20"/>
          <w:szCs w:val="20"/>
        </w:rPr>
        <w:t>Nr. </w:t>
      </w:r>
      <w:r w:rsidRPr="009118AB">
        <w:rPr>
          <w:sz w:val="20"/>
          <w:szCs w:val="20"/>
        </w:rPr>
        <w:t>1 erwähnte Entlohnungen beziehen, abgeschlossen werden,]</w:t>
      </w:r>
    </w:p>
    <w:p w14:paraId="231086A0" w14:textId="77777777" w:rsidR="00181050" w:rsidRPr="009118AB" w:rsidRDefault="00181050" w:rsidP="00181050">
      <w:pPr>
        <w:autoSpaceDE w:val="0"/>
        <w:autoSpaceDN w:val="0"/>
        <w:adjustRightInd w:val="0"/>
        <w:jc w:val="both"/>
        <w:rPr>
          <w:sz w:val="20"/>
          <w:szCs w:val="20"/>
        </w:rPr>
      </w:pPr>
    </w:p>
    <w:p w14:paraId="4C096830" w14:textId="77777777" w:rsidR="00181050" w:rsidRPr="009118AB" w:rsidRDefault="00181050" w:rsidP="00181050">
      <w:pPr>
        <w:autoSpaceDE w:val="0"/>
        <w:autoSpaceDN w:val="0"/>
        <w:adjustRightInd w:val="0"/>
        <w:jc w:val="both"/>
        <w:rPr>
          <w:sz w:val="20"/>
          <w:szCs w:val="20"/>
        </w:rPr>
      </w:pPr>
      <w:r w:rsidRPr="009118AB">
        <w:rPr>
          <w:sz w:val="20"/>
          <w:szCs w:val="20"/>
        </w:rPr>
        <w:t>[23. Kapitalien, die als vollständige Entschädigung oder Teilentschädigung für einen dauerhaften Einkommensausfall bei Arbeitsunfähigkeit anzusehen sind und Personalmitgliedern oder ehemaligen Personalmitgliedern direkt vom Arbeitgeber oder ehemaligen Arbeitgeber gezahlt werden,]</w:t>
      </w:r>
    </w:p>
    <w:p w14:paraId="1FEEDEE5" w14:textId="77777777" w:rsidR="00181050" w:rsidRPr="009118AB" w:rsidRDefault="00181050" w:rsidP="00181050">
      <w:pPr>
        <w:autoSpaceDE w:val="0"/>
        <w:autoSpaceDN w:val="0"/>
        <w:adjustRightInd w:val="0"/>
        <w:jc w:val="both"/>
        <w:rPr>
          <w:sz w:val="20"/>
          <w:szCs w:val="20"/>
        </w:rPr>
      </w:pPr>
    </w:p>
    <w:p w14:paraId="29E9A86C" w14:textId="77777777" w:rsidR="00181050" w:rsidRPr="009118AB" w:rsidRDefault="00181050" w:rsidP="00181050">
      <w:pPr>
        <w:autoSpaceDE w:val="0"/>
        <w:autoSpaceDN w:val="0"/>
        <w:adjustRightInd w:val="0"/>
        <w:jc w:val="both"/>
        <w:rPr>
          <w:sz w:val="20"/>
          <w:szCs w:val="20"/>
        </w:rPr>
      </w:pPr>
      <w:r w:rsidRPr="009118AB">
        <w:rPr>
          <w:sz w:val="20"/>
          <w:szCs w:val="20"/>
        </w:rPr>
        <w:t>[24. Provisionen, Maklergebühren, kommerzielle oder andere Ermäßigungen, zufällige oder nicht zufällige Entgelte oder Honorare, Zuwendungen, Vergütungen oder Vorteile jeglicher Art, die einer Person direkt oder indirekt bewilligt werden:</w:t>
      </w:r>
    </w:p>
    <w:p w14:paraId="03EEF7AD" w14:textId="77777777" w:rsidR="00181050" w:rsidRPr="009118AB" w:rsidRDefault="00181050" w:rsidP="00181050">
      <w:pPr>
        <w:autoSpaceDE w:val="0"/>
        <w:autoSpaceDN w:val="0"/>
        <w:adjustRightInd w:val="0"/>
        <w:jc w:val="both"/>
        <w:rPr>
          <w:sz w:val="20"/>
          <w:szCs w:val="20"/>
        </w:rPr>
      </w:pPr>
    </w:p>
    <w:p w14:paraId="01A0636B" w14:textId="77777777" w:rsidR="00181050" w:rsidRPr="009118AB" w:rsidRDefault="00181050" w:rsidP="00181050">
      <w:pPr>
        <w:autoSpaceDE w:val="0"/>
        <w:autoSpaceDN w:val="0"/>
        <w:adjustRightInd w:val="0"/>
        <w:jc w:val="both"/>
        <w:rPr>
          <w:sz w:val="20"/>
          <w:szCs w:val="20"/>
        </w:rPr>
      </w:pPr>
      <w:r w:rsidRPr="009118AB">
        <w:rPr>
          <w:i/>
          <w:iCs/>
          <w:sz w:val="20"/>
          <w:szCs w:val="20"/>
        </w:rPr>
        <w:t>a)</w:t>
      </w:r>
      <w:r w:rsidRPr="009118AB">
        <w:rPr>
          <w:sz w:val="20"/>
          <w:szCs w:val="20"/>
        </w:rPr>
        <w:t xml:space="preserve"> im Rahmen einer in Artikel 246 des Strafgesetzbuches erwähnten öffentlichen Beste</w:t>
      </w:r>
      <w:r w:rsidRPr="009118AB">
        <w:rPr>
          <w:sz w:val="20"/>
          <w:szCs w:val="20"/>
        </w:rPr>
        <w:softHyphen/>
        <w:t>chung in Belgien oder einer in Artikel 504</w:t>
      </w:r>
      <w:r w:rsidRPr="009118AB">
        <w:rPr>
          <w:i/>
          <w:iCs/>
          <w:sz w:val="20"/>
          <w:szCs w:val="20"/>
        </w:rPr>
        <w:t>bis</w:t>
      </w:r>
      <w:r w:rsidRPr="009118AB">
        <w:rPr>
          <w:sz w:val="20"/>
          <w:szCs w:val="20"/>
        </w:rPr>
        <w:t xml:space="preserve"> desselben Gesetzbuches erwähnten Privatbeste</w:t>
      </w:r>
      <w:r w:rsidRPr="009118AB">
        <w:rPr>
          <w:sz w:val="20"/>
          <w:szCs w:val="20"/>
        </w:rPr>
        <w:softHyphen/>
        <w:t>chung in Belgien,</w:t>
      </w:r>
    </w:p>
    <w:p w14:paraId="0112C2DC" w14:textId="77777777" w:rsidR="00181050" w:rsidRPr="009118AB" w:rsidRDefault="00181050" w:rsidP="00181050">
      <w:pPr>
        <w:autoSpaceDE w:val="0"/>
        <w:autoSpaceDN w:val="0"/>
        <w:adjustRightInd w:val="0"/>
        <w:jc w:val="both"/>
        <w:rPr>
          <w:sz w:val="20"/>
          <w:szCs w:val="20"/>
        </w:rPr>
      </w:pPr>
    </w:p>
    <w:p w14:paraId="47CA343C" w14:textId="77777777" w:rsidR="00181050" w:rsidRPr="009118AB" w:rsidRDefault="00181050" w:rsidP="00181050">
      <w:pPr>
        <w:autoSpaceDE w:val="0"/>
        <w:autoSpaceDN w:val="0"/>
        <w:adjustRightInd w:val="0"/>
        <w:jc w:val="both"/>
        <w:rPr>
          <w:sz w:val="20"/>
          <w:szCs w:val="20"/>
        </w:rPr>
      </w:pPr>
      <w:r w:rsidRPr="009118AB">
        <w:rPr>
          <w:i/>
          <w:iCs/>
          <w:sz w:val="20"/>
          <w:szCs w:val="20"/>
        </w:rPr>
        <w:t>b)</w:t>
      </w:r>
      <w:r w:rsidRPr="009118AB">
        <w:rPr>
          <w:sz w:val="20"/>
          <w:szCs w:val="20"/>
        </w:rPr>
        <w:t xml:space="preserve"> im Rahmen einer in Artikel 250 desselben Gesetzbuches erwähnten öffentlichen Beste</w:t>
      </w:r>
      <w:r w:rsidRPr="009118AB">
        <w:rPr>
          <w:sz w:val="20"/>
          <w:szCs w:val="20"/>
        </w:rPr>
        <w:softHyphen/>
        <w:t>chung einer Person, die in einem ausländischen Staat oder einer völkerrechtlichen Organisation e</w:t>
      </w:r>
      <w:r w:rsidR="004A0337" w:rsidRPr="009118AB">
        <w:rPr>
          <w:sz w:val="20"/>
          <w:szCs w:val="20"/>
        </w:rPr>
        <w:t>in öffentliches Amt ausübt,</w:t>
      </w:r>
      <w:r w:rsidRPr="009118AB">
        <w:rPr>
          <w:sz w:val="20"/>
          <w:szCs w:val="20"/>
        </w:rPr>
        <w:t>]</w:t>
      </w:r>
    </w:p>
    <w:p w14:paraId="3342BD9F" w14:textId="77777777" w:rsidR="006D018E" w:rsidRPr="009118AB" w:rsidRDefault="006D018E" w:rsidP="00181050">
      <w:pPr>
        <w:autoSpaceDE w:val="0"/>
        <w:autoSpaceDN w:val="0"/>
        <w:adjustRightInd w:val="0"/>
        <w:jc w:val="both"/>
        <w:rPr>
          <w:sz w:val="20"/>
          <w:szCs w:val="20"/>
        </w:rPr>
      </w:pPr>
    </w:p>
    <w:p w14:paraId="2271437F" w14:textId="77777777" w:rsidR="00B374EA" w:rsidRPr="009118AB" w:rsidRDefault="00B374EA" w:rsidP="00181050">
      <w:pPr>
        <w:autoSpaceDE w:val="0"/>
        <w:autoSpaceDN w:val="0"/>
        <w:adjustRightInd w:val="0"/>
        <w:jc w:val="both"/>
        <w:rPr>
          <w:sz w:val="20"/>
          <w:szCs w:val="20"/>
        </w:rPr>
      </w:pPr>
      <w:r w:rsidRPr="009118AB">
        <w:rPr>
          <w:sz w:val="20"/>
          <w:szCs w:val="20"/>
        </w:rPr>
        <w:t>[25. den Teil der in Artikel 67</w:t>
      </w:r>
      <w:r w:rsidRPr="009118AB">
        <w:rPr>
          <w:i/>
          <w:sz w:val="20"/>
          <w:szCs w:val="20"/>
        </w:rPr>
        <w:t>quinquies</w:t>
      </w:r>
      <w:r w:rsidRPr="009118AB">
        <w:rPr>
          <w:sz w:val="20"/>
          <w:szCs w:val="20"/>
        </w:rPr>
        <w:t xml:space="preserve"> erwähnten Ausgleichsentschädigungen, der vorher definitiv von der Steuer befreit wurde und zugunsten der betreffenden Region zurückgezahlt wird</w:t>
      </w:r>
      <w:r w:rsidR="00810B92" w:rsidRPr="009118AB">
        <w:rPr>
          <w:sz w:val="20"/>
          <w:szCs w:val="20"/>
        </w:rPr>
        <w:t>,</w:t>
      </w:r>
      <w:r w:rsidRPr="009118AB">
        <w:rPr>
          <w:sz w:val="20"/>
          <w:szCs w:val="20"/>
        </w:rPr>
        <w:t>]</w:t>
      </w:r>
    </w:p>
    <w:p w14:paraId="6E372498" w14:textId="77777777" w:rsidR="00810B92" w:rsidRPr="009118AB" w:rsidRDefault="00810B92" w:rsidP="00181050">
      <w:pPr>
        <w:autoSpaceDE w:val="0"/>
        <w:autoSpaceDN w:val="0"/>
        <w:adjustRightInd w:val="0"/>
        <w:jc w:val="both"/>
        <w:rPr>
          <w:sz w:val="20"/>
          <w:szCs w:val="20"/>
        </w:rPr>
      </w:pPr>
    </w:p>
    <w:p w14:paraId="5483C3AB" w14:textId="5E812CDB" w:rsidR="00810B92" w:rsidRPr="009118AB" w:rsidRDefault="00810B92" w:rsidP="00810B92">
      <w:pPr>
        <w:autoSpaceDE w:val="0"/>
        <w:autoSpaceDN w:val="0"/>
        <w:adjustRightInd w:val="0"/>
        <w:jc w:val="both"/>
        <w:rPr>
          <w:sz w:val="20"/>
          <w:szCs w:val="20"/>
        </w:rPr>
      </w:pPr>
      <w:r w:rsidRPr="009118AB">
        <w:rPr>
          <w:sz w:val="20"/>
          <w:szCs w:val="20"/>
        </w:rPr>
        <w:t xml:space="preserve">[26. </w:t>
      </w:r>
      <w:r w:rsidR="00BC3C7C" w:rsidRPr="009118AB">
        <w:rPr>
          <w:sz w:val="20"/>
          <w:szCs w:val="20"/>
        </w:rPr>
        <w:t>[Ausgleichsz</w:t>
      </w:r>
      <w:r w:rsidRPr="009118AB">
        <w:rPr>
          <w:sz w:val="20"/>
          <w:szCs w:val="20"/>
        </w:rPr>
        <w:t>uschläge</w:t>
      </w:r>
      <w:r w:rsidR="00BC3C7C" w:rsidRPr="009118AB">
        <w:rPr>
          <w:sz w:val="20"/>
          <w:szCs w:val="20"/>
        </w:rPr>
        <w:t>]</w:t>
      </w:r>
      <w:r w:rsidRPr="009118AB">
        <w:rPr>
          <w:sz w:val="20"/>
          <w:szCs w:val="20"/>
        </w:rPr>
        <w:t xml:space="preserve"> wie in Artikel 33</w:t>
      </w:r>
      <w:r w:rsidRPr="009118AB">
        <w:rPr>
          <w:i/>
          <w:sz w:val="20"/>
          <w:szCs w:val="20"/>
        </w:rPr>
        <w:t>bis</w:t>
      </w:r>
      <w:r w:rsidRPr="009118AB">
        <w:rPr>
          <w:sz w:val="20"/>
          <w:szCs w:val="20"/>
        </w:rPr>
        <w:t xml:space="preserve"> </w:t>
      </w:r>
      <w:r w:rsidR="00D67EB8" w:rsidRPr="009118AB">
        <w:rPr>
          <w:sz w:val="20"/>
          <w:szCs w:val="20"/>
        </w:rPr>
        <w:t>§ </w:t>
      </w:r>
      <w:r w:rsidRPr="009118AB">
        <w:rPr>
          <w:sz w:val="20"/>
          <w:szCs w:val="20"/>
        </w:rPr>
        <w:t>4 des Gesetzes vom 24. Dezember 1999 zur Förderung der Beschäftigung erwähnt, die in Anwendung von Artikel 275</w:t>
      </w:r>
      <w:r w:rsidRPr="009118AB">
        <w:rPr>
          <w:sz w:val="20"/>
          <w:szCs w:val="20"/>
          <w:vertAlign w:val="superscript"/>
        </w:rPr>
        <w:t>11</w:t>
      </w:r>
      <w:r w:rsidRPr="009118AB">
        <w:rPr>
          <w:sz w:val="20"/>
          <w:szCs w:val="20"/>
        </w:rPr>
        <w:t xml:space="preserve"> vom geschuldeten Berufs</w:t>
      </w:r>
      <w:r w:rsidR="008132B3" w:rsidRPr="009118AB">
        <w:rPr>
          <w:sz w:val="20"/>
          <w:szCs w:val="20"/>
        </w:rPr>
        <w:t>steuervorabzug abgezogen werden,</w:t>
      </w:r>
      <w:r w:rsidRPr="009118AB">
        <w:rPr>
          <w:sz w:val="20"/>
          <w:szCs w:val="20"/>
        </w:rPr>
        <w:t>]</w:t>
      </w:r>
    </w:p>
    <w:p w14:paraId="44EC1A29" w14:textId="30B46DF6" w:rsidR="008132B3" w:rsidRPr="009118AB" w:rsidRDefault="008132B3" w:rsidP="00810B92">
      <w:pPr>
        <w:autoSpaceDE w:val="0"/>
        <w:autoSpaceDN w:val="0"/>
        <w:adjustRightInd w:val="0"/>
        <w:jc w:val="both"/>
        <w:rPr>
          <w:sz w:val="20"/>
          <w:szCs w:val="20"/>
        </w:rPr>
      </w:pPr>
    </w:p>
    <w:p w14:paraId="14EB52C2" w14:textId="2447D821" w:rsidR="008132B3" w:rsidRPr="009118AB" w:rsidRDefault="008132B3" w:rsidP="00810B92">
      <w:pPr>
        <w:autoSpaceDE w:val="0"/>
        <w:autoSpaceDN w:val="0"/>
        <w:adjustRightInd w:val="0"/>
        <w:jc w:val="both"/>
        <w:rPr>
          <w:sz w:val="20"/>
          <w:szCs w:val="20"/>
        </w:rPr>
      </w:pPr>
      <w:r w:rsidRPr="009118AB">
        <w:rPr>
          <w:sz w:val="20"/>
          <w:szCs w:val="20"/>
        </w:rPr>
        <w:t>[27. </w:t>
      </w:r>
      <w:r w:rsidR="00D85DB4" w:rsidRPr="009118AB">
        <w:rPr>
          <w:sz w:val="20"/>
          <w:szCs w:val="20"/>
        </w:rPr>
        <w:t>[...]</w:t>
      </w:r>
      <w:r w:rsidRPr="009118AB">
        <w:rPr>
          <w:sz w:val="20"/>
          <w:szCs w:val="20"/>
        </w:rPr>
        <w:t>]</w:t>
      </w:r>
    </w:p>
    <w:p w14:paraId="3E47474D" w14:textId="4F873C99" w:rsidR="002C29F9" w:rsidRPr="009118AB" w:rsidRDefault="002C29F9" w:rsidP="00810B92">
      <w:pPr>
        <w:autoSpaceDE w:val="0"/>
        <w:autoSpaceDN w:val="0"/>
        <w:adjustRightInd w:val="0"/>
        <w:jc w:val="both"/>
        <w:rPr>
          <w:sz w:val="20"/>
          <w:szCs w:val="20"/>
        </w:rPr>
      </w:pPr>
    </w:p>
    <w:p w14:paraId="122C9B71" w14:textId="2BE7CD15" w:rsidR="002C29F9" w:rsidRPr="009118AB" w:rsidRDefault="002C29F9" w:rsidP="00810B92">
      <w:pPr>
        <w:autoSpaceDE w:val="0"/>
        <w:autoSpaceDN w:val="0"/>
        <w:adjustRightInd w:val="0"/>
        <w:jc w:val="both"/>
        <w:rPr>
          <w:sz w:val="20"/>
          <w:szCs w:val="20"/>
        </w:rPr>
      </w:pPr>
      <w:r w:rsidRPr="009118AB">
        <w:rPr>
          <w:sz w:val="20"/>
          <w:szCs w:val="20"/>
        </w:rPr>
        <w:t>[</w:t>
      </w:r>
      <w:r w:rsidR="000C0C82" w:rsidRPr="009118AB">
        <w:rPr>
          <w:sz w:val="20"/>
          <w:szCs w:val="20"/>
        </w:rPr>
        <w:t>[</w:t>
      </w:r>
      <w:r w:rsidRPr="009118AB">
        <w:rPr>
          <w:sz w:val="20"/>
          <w:szCs w:val="20"/>
        </w:rPr>
        <w:t>2</w:t>
      </w:r>
      <w:r w:rsidR="000C0C82" w:rsidRPr="009118AB">
        <w:rPr>
          <w:sz w:val="20"/>
          <w:szCs w:val="20"/>
        </w:rPr>
        <w:t>8</w:t>
      </w:r>
      <w:r w:rsidRPr="009118AB">
        <w:rPr>
          <w:sz w:val="20"/>
          <w:szCs w:val="20"/>
        </w:rPr>
        <w:t>.</w:t>
      </w:r>
      <w:r w:rsidR="000C0C82" w:rsidRPr="009118AB">
        <w:rPr>
          <w:sz w:val="20"/>
          <w:szCs w:val="20"/>
        </w:rPr>
        <w:t>]</w:t>
      </w:r>
      <w:r w:rsidRPr="009118AB">
        <w:rPr>
          <w:sz w:val="20"/>
          <w:szCs w:val="20"/>
        </w:rPr>
        <w:t> Prämien für eine Rechtsschutzversicherung wie in Artikel 145</w:t>
      </w:r>
      <w:r w:rsidRPr="009118AB">
        <w:rPr>
          <w:sz w:val="20"/>
          <w:szCs w:val="20"/>
          <w:vertAlign w:val="superscript"/>
        </w:rPr>
        <w:t>49</w:t>
      </w:r>
      <w:r w:rsidR="00E13F17" w:rsidRPr="009118AB">
        <w:rPr>
          <w:sz w:val="20"/>
          <w:szCs w:val="20"/>
        </w:rPr>
        <w:t xml:space="preserve"> </w:t>
      </w:r>
      <w:r w:rsidR="00D67EB8" w:rsidRPr="009118AB">
        <w:rPr>
          <w:sz w:val="20"/>
          <w:szCs w:val="20"/>
        </w:rPr>
        <w:t>§ </w:t>
      </w:r>
      <w:r w:rsidR="00E13F17" w:rsidRPr="009118AB">
        <w:rPr>
          <w:sz w:val="20"/>
          <w:szCs w:val="20"/>
        </w:rPr>
        <w:t>1 erwähnt,</w:t>
      </w:r>
      <w:r w:rsidRPr="009118AB">
        <w:rPr>
          <w:sz w:val="20"/>
          <w:szCs w:val="20"/>
        </w:rPr>
        <w:t>]</w:t>
      </w:r>
    </w:p>
    <w:p w14:paraId="4F6EF083" w14:textId="1B4E97C6" w:rsidR="00E13F17" w:rsidRPr="009118AB" w:rsidRDefault="00E13F17" w:rsidP="00810B92">
      <w:pPr>
        <w:autoSpaceDE w:val="0"/>
        <w:autoSpaceDN w:val="0"/>
        <w:adjustRightInd w:val="0"/>
        <w:jc w:val="both"/>
        <w:rPr>
          <w:sz w:val="20"/>
          <w:szCs w:val="20"/>
        </w:rPr>
      </w:pPr>
    </w:p>
    <w:p w14:paraId="31213623" w14:textId="3635DD7D" w:rsidR="008B7166" w:rsidRPr="009118AB" w:rsidRDefault="008B7166" w:rsidP="00810B92">
      <w:pPr>
        <w:autoSpaceDE w:val="0"/>
        <w:autoSpaceDN w:val="0"/>
        <w:adjustRightInd w:val="0"/>
        <w:jc w:val="both"/>
        <w:rPr>
          <w:sz w:val="20"/>
          <w:szCs w:val="20"/>
        </w:rPr>
      </w:pPr>
      <w:r w:rsidRPr="009118AB">
        <w:rPr>
          <w:sz w:val="20"/>
          <w:szCs w:val="20"/>
        </w:rPr>
        <w:t>(...)</w:t>
      </w:r>
    </w:p>
    <w:p w14:paraId="4B7EDF86" w14:textId="77777777" w:rsidR="008B7166" w:rsidRPr="009118AB" w:rsidRDefault="008B7166" w:rsidP="00810B92">
      <w:pPr>
        <w:autoSpaceDE w:val="0"/>
        <w:autoSpaceDN w:val="0"/>
        <w:adjustRightInd w:val="0"/>
        <w:jc w:val="both"/>
        <w:rPr>
          <w:sz w:val="20"/>
          <w:szCs w:val="20"/>
        </w:rPr>
      </w:pPr>
    </w:p>
    <w:p w14:paraId="1C9ED656" w14:textId="465BE2A3" w:rsidR="00E13F17" w:rsidRPr="009118AB" w:rsidRDefault="00E13F17" w:rsidP="00810B92">
      <w:pPr>
        <w:autoSpaceDE w:val="0"/>
        <w:autoSpaceDN w:val="0"/>
        <w:adjustRightInd w:val="0"/>
        <w:jc w:val="both"/>
        <w:rPr>
          <w:sz w:val="20"/>
          <w:szCs w:val="20"/>
        </w:rPr>
      </w:pPr>
      <w:r w:rsidRPr="009118AB">
        <w:rPr>
          <w:sz w:val="20"/>
          <w:szCs w:val="20"/>
        </w:rPr>
        <w:t>[29. die in Artikel 201/4 des Gesetzbuches der verschiedenen Gebühren und Steuern erwähnte jährliche Steuer auf Wertpapierkonten</w:t>
      </w:r>
      <w:r w:rsidR="006B7F62" w:rsidRPr="009118AB">
        <w:rPr>
          <w:sz w:val="20"/>
          <w:szCs w:val="20"/>
        </w:rPr>
        <w:t>,</w:t>
      </w:r>
      <w:r w:rsidRPr="009118AB">
        <w:rPr>
          <w:sz w:val="20"/>
          <w:szCs w:val="20"/>
        </w:rPr>
        <w:t>]</w:t>
      </w:r>
    </w:p>
    <w:p w14:paraId="328C82F9" w14:textId="77777777" w:rsidR="006B7F62" w:rsidRPr="009118AB" w:rsidRDefault="006B7F62" w:rsidP="00810B92">
      <w:pPr>
        <w:autoSpaceDE w:val="0"/>
        <w:autoSpaceDN w:val="0"/>
        <w:adjustRightInd w:val="0"/>
        <w:jc w:val="both"/>
        <w:rPr>
          <w:sz w:val="20"/>
          <w:szCs w:val="20"/>
        </w:rPr>
      </w:pPr>
    </w:p>
    <w:p w14:paraId="58EDA860" w14:textId="3F002AB0" w:rsidR="006B7F62" w:rsidRPr="009118AB" w:rsidRDefault="006B7F62" w:rsidP="00810B92">
      <w:pPr>
        <w:autoSpaceDE w:val="0"/>
        <w:autoSpaceDN w:val="0"/>
        <w:adjustRightInd w:val="0"/>
        <w:jc w:val="both"/>
        <w:rPr>
          <w:sz w:val="20"/>
          <w:szCs w:val="20"/>
        </w:rPr>
      </w:pPr>
      <w:r w:rsidRPr="009118AB">
        <w:rPr>
          <w:sz w:val="20"/>
          <w:szCs w:val="20"/>
        </w:rPr>
        <w:t>[30. die in Artikel 160 des Gesetzbuches der verschiedenen Gebühren und Steuern erwähnte Steuer auf den Antritt eines Flugs mit einem Luftfahrzeug</w:t>
      </w:r>
      <w:r w:rsidR="007433D3" w:rsidRPr="009118AB">
        <w:rPr>
          <w:sz w:val="20"/>
          <w:szCs w:val="20"/>
        </w:rPr>
        <w:t>,</w:t>
      </w:r>
      <w:r w:rsidRPr="009118AB">
        <w:rPr>
          <w:sz w:val="20"/>
          <w:szCs w:val="20"/>
        </w:rPr>
        <w:t>]</w:t>
      </w:r>
    </w:p>
    <w:p w14:paraId="39001C13" w14:textId="77777777" w:rsidR="007433D3" w:rsidRPr="009118AB" w:rsidRDefault="007433D3" w:rsidP="00810B92">
      <w:pPr>
        <w:autoSpaceDE w:val="0"/>
        <w:autoSpaceDN w:val="0"/>
        <w:adjustRightInd w:val="0"/>
        <w:jc w:val="both"/>
        <w:rPr>
          <w:sz w:val="20"/>
          <w:szCs w:val="20"/>
        </w:rPr>
      </w:pPr>
    </w:p>
    <w:p w14:paraId="7DE59260" w14:textId="733B33F1" w:rsidR="007433D3" w:rsidRPr="009118AB" w:rsidRDefault="007433D3" w:rsidP="00810B92">
      <w:pPr>
        <w:autoSpaceDE w:val="0"/>
        <w:autoSpaceDN w:val="0"/>
        <w:adjustRightInd w:val="0"/>
        <w:jc w:val="both"/>
        <w:rPr>
          <w:sz w:val="20"/>
          <w:szCs w:val="20"/>
        </w:rPr>
      </w:pPr>
      <w:r w:rsidRPr="009118AB">
        <w:rPr>
          <w:sz w:val="20"/>
          <w:szCs w:val="20"/>
        </w:rPr>
        <w:t>[31. unbeschadet des Artikels 52 Nr. 13 Zuteilungen an Dritte zur Rückzahlung der in Nr. 30 erwähnten Steuer.]</w:t>
      </w:r>
    </w:p>
    <w:p w14:paraId="5DF6590D" w14:textId="77777777" w:rsidR="00B374EA" w:rsidRDefault="00B374EA" w:rsidP="00181050">
      <w:pPr>
        <w:autoSpaceDE w:val="0"/>
        <w:autoSpaceDN w:val="0"/>
        <w:adjustRightInd w:val="0"/>
        <w:jc w:val="both"/>
        <w:rPr>
          <w:sz w:val="20"/>
          <w:szCs w:val="20"/>
        </w:rPr>
      </w:pPr>
    </w:p>
    <w:p w14:paraId="3C024CCB" w14:textId="765AF49C" w:rsidR="00A92612" w:rsidRDefault="00B502DD" w:rsidP="00181050">
      <w:pPr>
        <w:autoSpaceDE w:val="0"/>
        <w:autoSpaceDN w:val="0"/>
        <w:adjustRightInd w:val="0"/>
        <w:jc w:val="both"/>
        <w:rPr>
          <w:sz w:val="20"/>
          <w:szCs w:val="20"/>
        </w:rPr>
      </w:pPr>
      <w:r>
        <w:rPr>
          <w:sz w:val="20"/>
          <w:szCs w:val="20"/>
        </w:rPr>
        <w:t>[</w:t>
      </w:r>
      <w:r w:rsidRPr="00B502DD">
        <w:rPr>
          <w:sz w:val="20"/>
          <w:szCs w:val="20"/>
        </w:rPr>
        <w:t>32. die Steuer auf Spiele und Wetten und die Steuer auf Spielautomaten erwähnt in Artikel 3 Absatz 1 Nr. 1 und 2 des Sondergesetzes vom 16. Januar 1989 bezüglich der Finanzierung der Gemeinschaften und Regionen</w:t>
      </w:r>
      <w:r w:rsidR="00276159">
        <w:rPr>
          <w:sz w:val="20"/>
          <w:szCs w:val="20"/>
        </w:rPr>
        <w:t>,</w:t>
      </w:r>
      <w:r>
        <w:rPr>
          <w:sz w:val="20"/>
          <w:szCs w:val="20"/>
        </w:rPr>
        <w:t>]</w:t>
      </w:r>
    </w:p>
    <w:p w14:paraId="7D7D93C2" w14:textId="77777777" w:rsidR="00276159" w:rsidRDefault="00276159" w:rsidP="00181050">
      <w:pPr>
        <w:autoSpaceDE w:val="0"/>
        <w:autoSpaceDN w:val="0"/>
        <w:adjustRightInd w:val="0"/>
        <w:jc w:val="both"/>
        <w:rPr>
          <w:sz w:val="20"/>
          <w:szCs w:val="20"/>
        </w:rPr>
      </w:pPr>
    </w:p>
    <w:p w14:paraId="725E996F" w14:textId="70E13DD1" w:rsidR="00276159" w:rsidRPr="00276159" w:rsidRDefault="00276159" w:rsidP="00276159">
      <w:pPr>
        <w:jc w:val="both"/>
        <w:rPr>
          <w:sz w:val="20"/>
          <w:szCs w:val="20"/>
        </w:rPr>
      </w:pPr>
      <w:r>
        <w:rPr>
          <w:sz w:val="20"/>
          <w:szCs w:val="20"/>
        </w:rPr>
        <w:t>[33</w:t>
      </w:r>
      <w:r w:rsidRPr="00276159">
        <w:rPr>
          <w:sz w:val="20"/>
          <w:szCs w:val="20"/>
        </w:rPr>
        <w:t>. den Mietpreis und die gewährten Mietvorteile sowie die aufgrund eines Erbbaurechts, eines Erbpachtrechts oder eines anderen dinglichen Gebrauchsrechts an einem unbeweglichen Gut gewährten Vergütungen und Vorteile, wenn:</w:t>
      </w:r>
    </w:p>
    <w:p w14:paraId="32312B8A" w14:textId="77777777" w:rsidR="00276159" w:rsidRPr="00276159" w:rsidRDefault="00276159" w:rsidP="00276159">
      <w:pPr>
        <w:jc w:val="both"/>
        <w:rPr>
          <w:sz w:val="20"/>
          <w:szCs w:val="20"/>
        </w:rPr>
      </w:pPr>
    </w:p>
    <w:p w14:paraId="23601C7C" w14:textId="77777777" w:rsidR="00276159" w:rsidRPr="00276159" w:rsidRDefault="00276159" w:rsidP="00276159">
      <w:pPr>
        <w:jc w:val="both"/>
        <w:rPr>
          <w:sz w:val="20"/>
          <w:szCs w:val="20"/>
        </w:rPr>
      </w:pPr>
      <w:r w:rsidRPr="00276159">
        <w:rPr>
          <w:i/>
          <w:iCs/>
          <w:sz w:val="20"/>
          <w:szCs w:val="20"/>
        </w:rPr>
        <w:t>a)</w:t>
      </w:r>
      <w:r w:rsidRPr="00276159">
        <w:rPr>
          <w:sz w:val="20"/>
          <w:szCs w:val="20"/>
        </w:rPr>
        <w:t> der in Artikel 307 § 2/2 erwähnten Verpflichtung für diese Kosten nicht nachgekommen wurde, oder</w:t>
      </w:r>
    </w:p>
    <w:p w14:paraId="3931823C" w14:textId="77777777" w:rsidR="00276159" w:rsidRPr="00276159" w:rsidRDefault="00276159" w:rsidP="00276159">
      <w:pPr>
        <w:jc w:val="both"/>
        <w:rPr>
          <w:sz w:val="20"/>
          <w:szCs w:val="20"/>
        </w:rPr>
      </w:pPr>
    </w:p>
    <w:p w14:paraId="1EA5E324" w14:textId="50C1E4B2" w:rsidR="00276159" w:rsidRDefault="00276159" w:rsidP="00276159">
      <w:pPr>
        <w:autoSpaceDE w:val="0"/>
        <w:autoSpaceDN w:val="0"/>
        <w:adjustRightInd w:val="0"/>
        <w:jc w:val="both"/>
        <w:rPr>
          <w:sz w:val="20"/>
          <w:szCs w:val="20"/>
        </w:rPr>
      </w:pPr>
      <w:r w:rsidRPr="00276159">
        <w:rPr>
          <w:i/>
          <w:iCs/>
          <w:sz w:val="20"/>
          <w:szCs w:val="20"/>
        </w:rPr>
        <w:t>b)</w:t>
      </w:r>
      <w:r w:rsidRPr="00276159">
        <w:rPr>
          <w:sz w:val="20"/>
          <w:szCs w:val="20"/>
        </w:rPr>
        <w:t> den Mietpreis und die gewährten Mietvorteile, die sich auf ein unbewegliches Gut beziehen, dessen Mietvertrag gemäß Artikel 161 Nr. 12 Buchstabe </w:t>
      </w:r>
      <w:r w:rsidRPr="00276159">
        <w:rPr>
          <w:i/>
          <w:iCs/>
          <w:sz w:val="20"/>
          <w:szCs w:val="20"/>
        </w:rPr>
        <w:t>a)</w:t>
      </w:r>
      <w:r w:rsidRPr="00276159">
        <w:rPr>
          <w:sz w:val="20"/>
          <w:szCs w:val="20"/>
        </w:rPr>
        <w:t xml:space="preserve"> oder </w:t>
      </w:r>
      <w:r w:rsidRPr="00276159">
        <w:rPr>
          <w:i/>
          <w:iCs/>
          <w:sz w:val="20"/>
          <w:szCs w:val="20"/>
        </w:rPr>
        <w:t>b)</w:t>
      </w:r>
      <w:r w:rsidRPr="00276159">
        <w:rPr>
          <w:sz w:val="20"/>
          <w:szCs w:val="20"/>
        </w:rPr>
        <w:t xml:space="preserve"> des Registrierungs-, Hypotheken- und Kanzleigebührengesetzbuches unentgeltlich registriert wurde oder gemäß diesen Bestimmungen unentgeltlich hätte registriert werden können, wenn es sich um ein in Belgien gelegenes unbewegliches Gut gehandelt hätte, es sei denn, dieses unbewegliche Gut wird vom Steuerpflichtigen ausschließlich zum Zwecke der Unterbringung eines oder mehrerer Arbeitnehmer oder Unternehmensleiter und gegebenenfalls seiner/ihrer Familie(n) aufgrund einer gesetzlichen oder vertraglichen Verpflichtung gemietet</w:t>
      </w:r>
      <w:r w:rsidR="0006742B">
        <w:rPr>
          <w:sz w:val="20"/>
          <w:szCs w:val="20"/>
        </w:rPr>
        <w:t>,</w:t>
      </w:r>
      <w:r>
        <w:rPr>
          <w:sz w:val="20"/>
          <w:szCs w:val="20"/>
        </w:rPr>
        <w:t>]</w:t>
      </w:r>
    </w:p>
    <w:p w14:paraId="001AF699" w14:textId="77777777" w:rsidR="0006742B" w:rsidRDefault="0006742B" w:rsidP="00276159">
      <w:pPr>
        <w:autoSpaceDE w:val="0"/>
        <w:autoSpaceDN w:val="0"/>
        <w:adjustRightInd w:val="0"/>
        <w:jc w:val="both"/>
        <w:rPr>
          <w:sz w:val="20"/>
          <w:szCs w:val="20"/>
        </w:rPr>
      </w:pPr>
    </w:p>
    <w:p w14:paraId="71D4DED1" w14:textId="77777777" w:rsidR="0006742B" w:rsidRDefault="0006742B">
      <w:pPr>
        <w:rPr>
          <w:sz w:val="20"/>
          <w:szCs w:val="20"/>
        </w:rPr>
      </w:pPr>
      <w:r>
        <w:rPr>
          <w:sz w:val="20"/>
          <w:szCs w:val="20"/>
        </w:rPr>
        <w:br w:type="page"/>
      </w:r>
    </w:p>
    <w:p w14:paraId="49DA7B2A" w14:textId="0402932D" w:rsidR="0006742B" w:rsidRDefault="0006742B" w:rsidP="00276159">
      <w:pPr>
        <w:autoSpaceDE w:val="0"/>
        <w:autoSpaceDN w:val="0"/>
        <w:adjustRightInd w:val="0"/>
        <w:jc w:val="both"/>
        <w:rPr>
          <w:sz w:val="20"/>
          <w:szCs w:val="20"/>
        </w:rPr>
      </w:pPr>
      <w:r>
        <w:rPr>
          <w:sz w:val="20"/>
          <w:szCs w:val="20"/>
        </w:rPr>
        <w:lastRenderedPageBreak/>
        <w:t>[</w:t>
      </w:r>
      <w:r w:rsidRPr="0006742B">
        <w:rPr>
          <w:sz w:val="20"/>
          <w:szCs w:val="20"/>
        </w:rPr>
        <w:t>34.</w:t>
      </w:r>
      <w:r>
        <w:rPr>
          <w:sz w:val="20"/>
          <w:szCs w:val="20"/>
        </w:rPr>
        <w:t> </w:t>
      </w:r>
      <w:r w:rsidRPr="0006742B">
        <w:rPr>
          <w:sz w:val="20"/>
          <w:szCs w:val="20"/>
        </w:rPr>
        <w:t>den finanziellen Beitrag erwähnt in Artikel</w:t>
      </w:r>
      <w:r>
        <w:rPr>
          <w:sz w:val="20"/>
          <w:szCs w:val="20"/>
        </w:rPr>
        <w:t> </w:t>
      </w:r>
      <w:r w:rsidRPr="0006742B">
        <w:rPr>
          <w:sz w:val="20"/>
          <w:szCs w:val="20"/>
        </w:rPr>
        <w:t>5a Absatz</w:t>
      </w:r>
      <w:r>
        <w:rPr>
          <w:sz w:val="20"/>
          <w:szCs w:val="20"/>
        </w:rPr>
        <w:t> </w:t>
      </w:r>
      <w:r w:rsidRPr="0006742B">
        <w:rPr>
          <w:sz w:val="20"/>
          <w:szCs w:val="20"/>
        </w:rPr>
        <w:t>9 der Verordnung (EU) Nr.</w:t>
      </w:r>
      <w:r>
        <w:rPr>
          <w:sz w:val="20"/>
          <w:szCs w:val="20"/>
        </w:rPr>
        <w:t> </w:t>
      </w:r>
      <w:r w:rsidRPr="0006742B">
        <w:rPr>
          <w:sz w:val="20"/>
          <w:szCs w:val="20"/>
        </w:rPr>
        <w:t>833/2014 des Rates vom 31.</w:t>
      </w:r>
      <w:r>
        <w:rPr>
          <w:sz w:val="20"/>
          <w:szCs w:val="20"/>
        </w:rPr>
        <w:t> </w:t>
      </w:r>
      <w:r w:rsidRPr="0006742B">
        <w:rPr>
          <w:sz w:val="20"/>
          <w:szCs w:val="20"/>
        </w:rPr>
        <w:t>Juni</w:t>
      </w:r>
      <w:r>
        <w:rPr>
          <w:sz w:val="20"/>
          <w:szCs w:val="20"/>
        </w:rPr>
        <w:t> </w:t>
      </w:r>
      <w:r w:rsidRPr="0006742B">
        <w:rPr>
          <w:sz w:val="20"/>
          <w:szCs w:val="20"/>
        </w:rPr>
        <w:t>2014 über restriktive Maßnahmen angesichts der Handlungen Russlands, die die Lage in der Ukraine destabilisieren.</w:t>
      </w:r>
      <w:r>
        <w:rPr>
          <w:sz w:val="20"/>
          <w:szCs w:val="20"/>
        </w:rPr>
        <w:t>]</w:t>
      </w:r>
    </w:p>
    <w:p w14:paraId="54BD4D32" w14:textId="77777777" w:rsidR="0006742B" w:rsidRPr="00276159" w:rsidRDefault="0006742B" w:rsidP="00276159">
      <w:pPr>
        <w:autoSpaceDE w:val="0"/>
        <w:autoSpaceDN w:val="0"/>
        <w:adjustRightInd w:val="0"/>
        <w:jc w:val="both"/>
        <w:rPr>
          <w:sz w:val="20"/>
          <w:szCs w:val="20"/>
        </w:rPr>
      </w:pPr>
    </w:p>
    <w:p w14:paraId="6B4ABA6B" w14:textId="77777777" w:rsidR="00A92612" w:rsidRPr="00276159" w:rsidRDefault="00A92612" w:rsidP="00181050">
      <w:pPr>
        <w:autoSpaceDE w:val="0"/>
        <w:autoSpaceDN w:val="0"/>
        <w:adjustRightInd w:val="0"/>
        <w:jc w:val="both"/>
        <w:rPr>
          <w:sz w:val="20"/>
          <w:szCs w:val="20"/>
        </w:rPr>
      </w:pPr>
    </w:p>
    <w:p w14:paraId="4EC33112" w14:textId="07273FE5" w:rsidR="00D96928" w:rsidRPr="0006742B" w:rsidRDefault="00181050" w:rsidP="00181050">
      <w:pPr>
        <w:autoSpaceDE w:val="0"/>
        <w:autoSpaceDN w:val="0"/>
        <w:adjustRightInd w:val="0"/>
        <w:jc w:val="both"/>
        <w:rPr>
          <w:sz w:val="20"/>
          <w:szCs w:val="20"/>
        </w:rPr>
      </w:pPr>
      <w:r w:rsidRPr="009118AB">
        <w:rPr>
          <w:i/>
          <w:iCs/>
          <w:sz w:val="20"/>
          <w:szCs w:val="20"/>
        </w:rPr>
        <w:t>[</w:t>
      </w:r>
      <w:r w:rsidR="00D67EB8" w:rsidRPr="009118AB">
        <w:rPr>
          <w:i/>
          <w:iCs/>
          <w:sz w:val="20"/>
          <w:szCs w:val="20"/>
        </w:rPr>
        <w:t>Art. </w:t>
      </w:r>
      <w:r w:rsidRPr="009118AB">
        <w:rPr>
          <w:i/>
          <w:iCs/>
          <w:sz w:val="20"/>
          <w:szCs w:val="20"/>
        </w:rPr>
        <w:t xml:space="preserve">53 einziger Absatz </w:t>
      </w:r>
      <w:r w:rsidR="00D67EB8" w:rsidRPr="009118AB">
        <w:rPr>
          <w:i/>
          <w:iCs/>
          <w:sz w:val="20"/>
          <w:szCs w:val="20"/>
        </w:rPr>
        <w:t>Nr. </w:t>
      </w:r>
      <w:r w:rsidRPr="009118AB">
        <w:rPr>
          <w:i/>
          <w:iCs/>
          <w:sz w:val="20"/>
          <w:szCs w:val="20"/>
        </w:rPr>
        <w:t xml:space="preserve">2 ersetzt durch </w:t>
      </w:r>
      <w:r w:rsidR="00D67EB8" w:rsidRPr="009118AB">
        <w:rPr>
          <w:i/>
          <w:iCs/>
          <w:sz w:val="20"/>
          <w:szCs w:val="20"/>
        </w:rPr>
        <w:t>Art. </w:t>
      </w:r>
      <w:r w:rsidRPr="009118AB">
        <w:rPr>
          <w:i/>
          <w:iCs/>
          <w:sz w:val="20"/>
          <w:szCs w:val="20"/>
        </w:rPr>
        <w:t>79 des G. vom 27. Dezember 2012 (B.S. vom 31. Dezember 2012)</w:t>
      </w:r>
      <w:r w:rsidR="00D67EB8" w:rsidRPr="009118AB">
        <w:rPr>
          <w:i/>
          <w:iCs/>
          <w:sz w:val="20"/>
          <w:szCs w:val="20"/>
        </w:rPr>
        <w:t> - </w:t>
      </w:r>
      <w:r w:rsidRPr="009118AB">
        <w:rPr>
          <w:i/>
          <w:iCs/>
          <w:sz w:val="20"/>
          <w:szCs w:val="20"/>
        </w:rPr>
        <w:t>anwendbar ab dem Steuerjahr 2014</w:t>
      </w:r>
      <w:r w:rsidR="003366D9" w:rsidRPr="009118AB">
        <w:rPr>
          <w:i/>
          <w:iCs/>
          <w:sz w:val="20"/>
          <w:szCs w:val="20"/>
        </w:rPr>
        <w:t> -;</w:t>
      </w:r>
      <w:r w:rsidRPr="009118AB">
        <w:rPr>
          <w:i/>
          <w:iCs/>
          <w:sz w:val="20"/>
          <w:szCs w:val="20"/>
        </w:rPr>
        <w:t xml:space="preserve"> einziger Absatz </w:t>
      </w:r>
      <w:r w:rsidR="00D67EB8" w:rsidRPr="009118AB">
        <w:rPr>
          <w:i/>
          <w:iCs/>
          <w:sz w:val="20"/>
          <w:szCs w:val="20"/>
        </w:rPr>
        <w:t>Nr. </w:t>
      </w:r>
      <w:r w:rsidRPr="009118AB">
        <w:rPr>
          <w:i/>
          <w:iCs/>
          <w:sz w:val="20"/>
          <w:szCs w:val="20"/>
        </w:rPr>
        <w:t xml:space="preserve">4 ersetzt durch </w:t>
      </w:r>
      <w:r w:rsidR="00D67EB8" w:rsidRPr="009118AB">
        <w:rPr>
          <w:i/>
          <w:iCs/>
          <w:sz w:val="20"/>
          <w:szCs w:val="20"/>
        </w:rPr>
        <w:t>Art. </w:t>
      </w:r>
      <w:r w:rsidRPr="009118AB">
        <w:rPr>
          <w:i/>
          <w:iCs/>
          <w:sz w:val="20"/>
          <w:szCs w:val="20"/>
        </w:rPr>
        <w:t xml:space="preserve">5 </w:t>
      </w:r>
      <w:r w:rsidR="00D67EB8" w:rsidRPr="009118AB">
        <w:rPr>
          <w:i/>
          <w:iCs/>
          <w:sz w:val="20"/>
          <w:szCs w:val="20"/>
        </w:rPr>
        <w:t>Nr. </w:t>
      </w:r>
      <w:r w:rsidRPr="009118AB">
        <w:rPr>
          <w:i/>
          <w:iCs/>
          <w:sz w:val="20"/>
          <w:szCs w:val="20"/>
        </w:rPr>
        <w:t>2 des G. vom 30. März 1994 (B.S. vom 31. März 1994)</w:t>
      </w:r>
      <w:r w:rsidR="00D67EB8" w:rsidRPr="009118AB">
        <w:rPr>
          <w:i/>
          <w:iCs/>
          <w:sz w:val="20"/>
          <w:szCs w:val="20"/>
        </w:rPr>
        <w:t> - </w:t>
      </w:r>
      <w:r w:rsidRPr="009118AB">
        <w:rPr>
          <w:i/>
          <w:iCs/>
          <w:sz w:val="20"/>
          <w:szCs w:val="20"/>
        </w:rPr>
        <w:t>anwendbar ab dem Steuerjahr 1995</w:t>
      </w:r>
      <w:r w:rsidR="003366D9" w:rsidRPr="009118AB">
        <w:rPr>
          <w:i/>
          <w:iCs/>
          <w:sz w:val="20"/>
          <w:szCs w:val="20"/>
        </w:rPr>
        <w:t> -;</w:t>
      </w:r>
      <w:r w:rsidRPr="009118AB">
        <w:rPr>
          <w:i/>
          <w:iCs/>
          <w:sz w:val="20"/>
          <w:szCs w:val="20"/>
        </w:rPr>
        <w:t xml:space="preserve"> einziger Absatz </w:t>
      </w:r>
      <w:r w:rsidR="00D67EB8" w:rsidRPr="009118AB">
        <w:rPr>
          <w:i/>
          <w:iCs/>
          <w:sz w:val="20"/>
          <w:szCs w:val="20"/>
        </w:rPr>
        <w:t>Nr. </w:t>
      </w:r>
      <w:r w:rsidRPr="009118AB">
        <w:rPr>
          <w:i/>
          <w:iCs/>
          <w:sz w:val="20"/>
          <w:szCs w:val="20"/>
        </w:rPr>
        <w:t xml:space="preserve">5 ergänzt durch </w:t>
      </w:r>
      <w:r w:rsidR="00D67EB8" w:rsidRPr="009118AB">
        <w:rPr>
          <w:i/>
          <w:iCs/>
          <w:sz w:val="20"/>
          <w:szCs w:val="20"/>
        </w:rPr>
        <w:t>Art. </w:t>
      </w:r>
      <w:r w:rsidRPr="009118AB">
        <w:rPr>
          <w:i/>
          <w:iCs/>
          <w:sz w:val="20"/>
          <w:szCs w:val="20"/>
        </w:rPr>
        <w:t xml:space="preserve">5 </w:t>
      </w:r>
      <w:r w:rsidR="00D67EB8" w:rsidRPr="009118AB">
        <w:rPr>
          <w:i/>
          <w:iCs/>
          <w:sz w:val="20"/>
          <w:szCs w:val="20"/>
        </w:rPr>
        <w:t>Nr. </w:t>
      </w:r>
      <w:r w:rsidRPr="009118AB">
        <w:rPr>
          <w:i/>
          <w:iCs/>
          <w:sz w:val="20"/>
          <w:szCs w:val="20"/>
        </w:rPr>
        <w:t>3 des G. vom 30. März 1994 (B.S. vom 31. März 1994)</w:t>
      </w:r>
      <w:r w:rsidR="00D67EB8" w:rsidRPr="009118AB">
        <w:rPr>
          <w:i/>
          <w:iCs/>
          <w:sz w:val="20"/>
          <w:szCs w:val="20"/>
        </w:rPr>
        <w:t> - </w:t>
      </w:r>
      <w:r w:rsidRPr="009118AB">
        <w:rPr>
          <w:i/>
          <w:iCs/>
          <w:sz w:val="20"/>
          <w:szCs w:val="20"/>
        </w:rPr>
        <w:t>anwendbar ab dem Steuerjahr</w:t>
      </w:r>
      <w:r w:rsidR="002A4B4B" w:rsidRPr="009118AB">
        <w:rPr>
          <w:i/>
          <w:iCs/>
          <w:sz w:val="20"/>
          <w:szCs w:val="20"/>
        </w:rPr>
        <w:t> </w:t>
      </w:r>
      <w:r w:rsidRPr="009118AB">
        <w:rPr>
          <w:i/>
          <w:iCs/>
          <w:sz w:val="20"/>
          <w:szCs w:val="20"/>
        </w:rPr>
        <w:t>1995</w:t>
      </w:r>
      <w:r w:rsidR="003366D9" w:rsidRPr="009118AB">
        <w:rPr>
          <w:i/>
          <w:iCs/>
          <w:sz w:val="20"/>
          <w:szCs w:val="20"/>
        </w:rPr>
        <w:t> -;</w:t>
      </w:r>
      <w:r w:rsidRPr="009118AB">
        <w:rPr>
          <w:i/>
          <w:iCs/>
          <w:sz w:val="20"/>
          <w:szCs w:val="20"/>
        </w:rPr>
        <w:t xml:space="preserve"> </w:t>
      </w:r>
      <w:r w:rsidR="00343179" w:rsidRPr="009118AB">
        <w:rPr>
          <w:i/>
          <w:iCs/>
          <w:sz w:val="20"/>
          <w:szCs w:val="20"/>
        </w:rPr>
        <w:t xml:space="preserve">einziger Absatz </w:t>
      </w:r>
      <w:r w:rsidR="00D67EB8" w:rsidRPr="009118AB">
        <w:rPr>
          <w:i/>
          <w:iCs/>
          <w:sz w:val="20"/>
          <w:szCs w:val="20"/>
        </w:rPr>
        <w:t>Nr. </w:t>
      </w:r>
      <w:r w:rsidR="00343179" w:rsidRPr="009118AB">
        <w:rPr>
          <w:i/>
          <w:iCs/>
          <w:sz w:val="20"/>
          <w:szCs w:val="20"/>
        </w:rPr>
        <w:t xml:space="preserve">6 abgeändert durch </w:t>
      </w:r>
      <w:r w:rsidR="00D67EB8" w:rsidRPr="009118AB">
        <w:rPr>
          <w:i/>
          <w:iCs/>
          <w:sz w:val="20"/>
          <w:szCs w:val="20"/>
        </w:rPr>
        <w:t>Art. </w:t>
      </w:r>
      <w:r w:rsidR="00343179" w:rsidRPr="009118AB">
        <w:rPr>
          <w:i/>
          <w:iCs/>
          <w:sz w:val="20"/>
          <w:szCs w:val="20"/>
        </w:rPr>
        <w:t xml:space="preserve">8 </w:t>
      </w:r>
      <w:r w:rsidR="00D67EB8" w:rsidRPr="009118AB">
        <w:rPr>
          <w:i/>
          <w:iCs/>
          <w:sz w:val="20"/>
          <w:szCs w:val="20"/>
        </w:rPr>
        <w:t>Nr. </w:t>
      </w:r>
      <w:r w:rsidR="00343179" w:rsidRPr="009118AB">
        <w:rPr>
          <w:i/>
          <w:iCs/>
          <w:sz w:val="20"/>
          <w:szCs w:val="20"/>
        </w:rPr>
        <w:t>1 und 2 des G. vom 25. Dezember 2017 (III) (B.S. vom 29. Dezember 2017)</w:t>
      </w:r>
      <w:r w:rsidR="00D67EB8" w:rsidRPr="009118AB">
        <w:rPr>
          <w:i/>
          <w:iCs/>
          <w:sz w:val="20"/>
          <w:szCs w:val="20"/>
        </w:rPr>
        <w:t> - </w:t>
      </w:r>
      <w:r w:rsidR="00343179" w:rsidRPr="009118AB">
        <w:rPr>
          <w:i/>
          <w:iCs/>
          <w:sz w:val="20"/>
          <w:szCs w:val="20"/>
        </w:rPr>
        <w:t>in Kraft am 1. Januar 2020 und anwendbar ab dem Steuerjahr 2021, das sich auf einen Besteuerungszeitraum bezieht, der frühestens am 1. Januar 2020 beginnt</w:t>
      </w:r>
      <w:r w:rsidR="00D67EB8" w:rsidRPr="009118AB">
        <w:rPr>
          <w:i/>
          <w:iCs/>
          <w:sz w:val="20"/>
          <w:szCs w:val="20"/>
        </w:rPr>
        <w:t> - </w:t>
      </w:r>
      <w:r w:rsidR="006035B2" w:rsidRPr="009118AB">
        <w:rPr>
          <w:i/>
          <w:iCs/>
          <w:sz w:val="20"/>
          <w:szCs w:val="20"/>
        </w:rPr>
        <w:t xml:space="preserve">und </w:t>
      </w:r>
      <w:r w:rsidR="00D67EB8" w:rsidRPr="009118AB">
        <w:rPr>
          <w:i/>
          <w:iCs/>
          <w:sz w:val="20"/>
          <w:szCs w:val="20"/>
        </w:rPr>
        <w:t>Art. </w:t>
      </w:r>
      <w:r w:rsidR="006035B2" w:rsidRPr="009118AB">
        <w:rPr>
          <w:i/>
          <w:iCs/>
          <w:sz w:val="20"/>
          <w:szCs w:val="20"/>
        </w:rPr>
        <w:t>23 des G. vom 27. Dezember 2021 (B.S. vom 31. Dezember 2021)</w:t>
      </w:r>
      <w:r w:rsidR="00343179" w:rsidRPr="009118AB">
        <w:rPr>
          <w:i/>
          <w:iCs/>
          <w:sz w:val="20"/>
          <w:szCs w:val="20"/>
        </w:rPr>
        <w:t>;</w:t>
      </w:r>
      <w:r w:rsidR="00730FFE" w:rsidRPr="009118AB">
        <w:rPr>
          <w:i/>
          <w:iCs/>
          <w:sz w:val="20"/>
          <w:szCs w:val="20"/>
        </w:rPr>
        <w:t xml:space="preserve"> einziger Absatz </w:t>
      </w:r>
      <w:r w:rsidR="00D67EB8" w:rsidRPr="009118AB">
        <w:rPr>
          <w:i/>
          <w:iCs/>
          <w:sz w:val="20"/>
          <w:szCs w:val="20"/>
        </w:rPr>
        <w:t>Nr. </w:t>
      </w:r>
      <w:r w:rsidR="00730FFE" w:rsidRPr="009118AB">
        <w:rPr>
          <w:i/>
          <w:iCs/>
          <w:sz w:val="20"/>
          <w:szCs w:val="20"/>
        </w:rPr>
        <w:t xml:space="preserve">7 </w:t>
      </w:r>
      <w:r w:rsidR="00D67EB8" w:rsidRPr="009118AB">
        <w:rPr>
          <w:i/>
          <w:iCs/>
          <w:sz w:val="20"/>
          <w:szCs w:val="20"/>
        </w:rPr>
        <w:t>Abs. </w:t>
      </w:r>
      <w:r w:rsidR="00730FFE" w:rsidRPr="009118AB">
        <w:rPr>
          <w:i/>
          <w:iCs/>
          <w:sz w:val="20"/>
          <w:szCs w:val="20"/>
        </w:rPr>
        <w:t xml:space="preserve">1 einleitende Bestimmung abgeändert durch </w:t>
      </w:r>
      <w:r w:rsidR="00D67EB8" w:rsidRPr="009118AB">
        <w:rPr>
          <w:i/>
          <w:iCs/>
          <w:sz w:val="20"/>
          <w:szCs w:val="20"/>
        </w:rPr>
        <w:t>Art. </w:t>
      </w:r>
      <w:r w:rsidR="00730FFE" w:rsidRPr="009118AB">
        <w:rPr>
          <w:i/>
          <w:iCs/>
          <w:sz w:val="20"/>
          <w:szCs w:val="20"/>
        </w:rPr>
        <w:t xml:space="preserve">30 </w:t>
      </w:r>
      <w:r w:rsidR="00D67EB8" w:rsidRPr="009118AB">
        <w:rPr>
          <w:i/>
          <w:iCs/>
          <w:sz w:val="20"/>
          <w:szCs w:val="20"/>
        </w:rPr>
        <w:t>Nr. </w:t>
      </w:r>
      <w:r w:rsidR="00730FFE" w:rsidRPr="009118AB">
        <w:rPr>
          <w:i/>
          <w:iCs/>
          <w:sz w:val="20"/>
          <w:szCs w:val="20"/>
        </w:rPr>
        <w:t>1 des G. vom 21. Januar 2022 (B.S. vom 28. Januar 2022)</w:t>
      </w:r>
      <w:r w:rsidR="00D67EB8" w:rsidRPr="009118AB">
        <w:rPr>
          <w:i/>
          <w:iCs/>
          <w:sz w:val="20"/>
          <w:szCs w:val="20"/>
        </w:rPr>
        <w:t> - </w:t>
      </w:r>
      <w:r w:rsidR="00730FFE" w:rsidRPr="009118AB">
        <w:rPr>
          <w:i/>
          <w:iCs/>
          <w:sz w:val="20"/>
          <w:szCs w:val="20"/>
        </w:rPr>
        <w:t>anwendbar ab dem Steuerjahr 2022</w:t>
      </w:r>
      <w:r w:rsidR="003366D9" w:rsidRPr="009118AB">
        <w:rPr>
          <w:i/>
          <w:iCs/>
          <w:sz w:val="20"/>
          <w:szCs w:val="20"/>
        </w:rPr>
        <w:t> -;</w:t>
      </w:r>
      <w:r w:rsidR="00343179" w:rsidRPr="009118AB">
        <w:rPr>
          <w:i/>
          <w:iCs/>
          <w:sz w:val="20"/>
          <w:szCs w:val="20"/>
        </w:rPr>
        <w:t xml:space="preserve"> </w:t>
      </w:r>
      <w:r w:rsidRPr="009118AB">
        <w:rPr>
          <w:i/>
          <w:iCs/>
          <w:sz w:val="20"/>
          <w:szCs w:val="20"/>
        </w:rPr>
        <w:t xml:space="preserve">einziger Absatz </w:t>
      </w:r>
      <w:r w:rsidR="00D67EB8" w:rsidRPr="009118AB">
        <w:rPr>
          <w:i/>
          <w:iCs/>
          <w:sz w:val="20"/>
          <w:szCs w:val="20"/>
        </w:rPr>
        <w:t>Nr. </w:t>
      </w:r>
      <w:r w:rsidRPr="009118AB">
        <w:rPr>
          <w:i/>
          <w:iCs/>
          <w:sz w:val="20"/>
          <w:szCs w:val="20"/>
        </w:rPr>
        <w:t xml:space="preserve">8 ersetzt durch </w:t>
      </w:r>
      <w:r w:rsidR="00D67EB8" w:rsidRPr="009118AB">
        <w:rPr>
          <w:i/>
          <w:iCs/>
          <w:sz w:val="20"/>
          <w:szCs w:val="20"/>
        </w:rPr>
        <w:t>Art. </w:t>
      </w:r>
      <w:r w:rsidRPr="009118AB">
        <w:rPr>
          <w:i/>
          <w:iCs/>
          <w:sz w:val="20"/>
          <w:szCs w:val="20"/>
        </w:rPr>
        <w:t>2 des G. vom 10. Mai 2004 (B.S. vom 24. Mai 2004)</w:t>
      </w:r>
      <w:r w:rsidR="00D67EB8" w:rsidRPr="009118AB">
        <w:rPr>
          <w:i/>
          <w:iCs/>
          <w:sz w:val="20"/>
          <w:szCs w:val="20"/>
        </w:rPr>
        <w:t> - </w:t>
      </w:r>
      <w:r w:rsidRPr="009118AB">
        <w:rPr>
          <w:i/>
          <w:iCs/>
          <w:sz w:val="20"/>
          <w:szCs w:val="20"/>
        </w:rPr>
        <w:t>anwendbar auf die ab dem 1. Januar 2004 getätigten Ausgaben</w:t>
      </w:r>
      <w:r w:rsidR="00D67EB8" w:rsidRPr="009118AB">
        <w:rPr>
          <w:i/>
          <w:iCs/>
          <w:sz w:val="20"/>
          <w:szCs w:val="20"/>
        </w:rPr>
        <w:t> - </w:t>
      </w:r>
      <w:r w:rsidR="00730FFE" w:rsidRPr="009118AB">
        <w:rPr>
          <w:i/>
          <w:iCs/>
          <w:sz w:val="20"/>
          <w:szCs w:val="20"/>
        </w:rPr>
        <w:t xml:space="preserve">und abgeändert durch </w:t>
      </w:r>
      <w:r w:rsidR="00D67EB8" w:rsidRPr="009118AB">
        <w:rPr>
          <w:i/>
          <w:iCs/>
          <w:sz w:val="20"/>
          <w:szCs w:val="20"/>
        </w:rPr>
        <w:t>Art. </w:t>
      </w:r>
      <w:r w:rsidR="00730FFE" w:rsidRPr="009118AB">
        <w:rPr>
          <w:i/>
          <w:iCs/>
          <w:sz w:val="20"/>
          <w:szCs w:val="20"/>
        </w:rPr>
        <w:t xml:space="preserve">30 </w:t>
      </w:r>
      <w:r w:rsidR="00D67EB8" w:rsidRPr="009118AB">
        <w:rPr>
          <w:i/>
          <w:iCs/>
          <w:sz w:val="20"/>
          <w:szCs w:val="20"/>
        </w:rPr>
        <w:t>Nr. </w:t>
      </w:r>
      <w:r w:rsidR="00730FFE" w:rsidRPr="009118AB">
        <w:rPr>
          <w:i/>
          <w:iCs/>
          <w:sz w:val="20"/>
          <w:szCs w:val="20"/>
        </w:rPr>
        <w:t>2 des G. vom 21. Januar 2022 (B.S. vom 28. Januar 2022)</w:t>
      </w:r>
      <w:r w:rsidR="00D67EB8" w:rsidRPr="009118AB">
        <w:rPr>
          <w:i/>
          <w:iCs/>
          <w:sz w:val="20"/>
          <w:szCs w:val="20"/>
        </w:rPr>
        <w:t> - </w:t>
      </w:r>
      <w:r w:rsidR="00730FFE" w:rsidRPr="009118AB">
        <w:rPr>
          <w:i/>
          <w:iCs/>
          <w:sz w:val="20"/>
          <w:szCs w:val="20"/>
        </w:rPr>
        <w:t>anwendbar ab dem Steuerjahr 2022</w:t>
      </w:r>
      <w:r w:rsidR="003366D9" w:rsidRPr="009118AB">
        <w:rPr>
          <w:i/>
          <w:iCs/>
          <w:sz w:val="20"/>
          <w:szCs w:val="20"/>
        </w:rPr>
        <w:t> -;</w:t>
      </w:r>
      <w:r w:rsidRPr="009118AB">
        <w:rPr>
          <w:i/>
          <w:iCs/>
          <w:sz w:val="20"/>
          <w:szCs w:val="20"/>
        </w:rPr>
        <w:t xml:space="preserve"> einziger Absatz </w:t>
      </w:r>
      <w:r w:rsidR="00D67EB8" w:rsidRPr="009118AB">
        <w:rPr>
          <w:i/>
          <w:iCs/>
          <w:sz w:val="20"/>
          <w:szCs w:val="20"/>
        </w:rPr>
        <w:t>Nr. </w:t>
      </w:r>
      <w:r w:rsidRPr="009118AB">
        <w:rPr>
          <w:i/>
          <w:iCs/>
          <w:sz w:val="20"/>
          <w:szCs w:val="20"/>
        </w:rPr>
        <w:t xml:space="preserve">8bis eingefügt durch </w:t>
      </w:r>
      <w:r w:rsidR="00D67EB8" w:rsidRPr="009118AB">
        <w:rPr>
          <w:i/>
          <w:iCs/>
          <w:sz w:val="20"/>
          <w:szCs w:val="20"/>
        </w:rPr>
        <w:t>Art. </w:t>
      </w:r>
      <w:r w:rsidRPr="009118AB">
        <w:rPr>
          <w:i/>
          <w:iCs/>
          <w:sz w:val="20"/>
          <w:szCs w:val="20"/>
        </w:rPr>
        <w:t>3 Buchstabe A des G. vom 10. Mai 2004 (B.S. vom 24. Mai 2004)</w:t>
      </w:r>
      <w:r w:rsidR="00D67EB8" w:rsidRPr="009118AB">
        <w:rPr>
          <w:i/>
          <w:iCs/>
          <w:sz w:val="20"/>
          <w:szCs w:val="20"/>
        </w:rPr>
        <w:t> - </w:t>
      </w:r>
      <w:r w:rsidRPr="009118AB">
        <w:rPr>
          <w:i/>
          <w:iCs/>
          <w:sz w:val="20"/>
          <w:szCs w:val="20"/>
        </w:rPr>
        <w:t>anwendbar auf die ab dem 1. Januar 2004 getätigten Ausgaben</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3 Buchstabe B des G. vom 10. Mai 2004 (B.S. vom 24. Mai 2004), selbst ersetzt durch </w:t>
      </w:r>
      <w:r w:rsidR="00D67EB8" w:rsidRPr="009118AB">
        <w:rPr>
          <w:i/>
          <w:iCs/>
          <w:sz w:val="20"/>
          <w:szCs w:val="20"/>
        </w:rPr>
        <w:t>Art. </w:t>
      </w:r>
      <w:r w:rsidRPr="009118AB">
        <w:rPr>
          <w:i/>
          <w:iCs/>
          <w:sz w:val="20"/>
          <w:szCs w:val="20"/>
        </w:rPr>
        <w:t xml:space="preserve">364 </w:t>
      </w:r>
      <w:r w:rsidR="00D67EB8" w:rsidRPr="009118AB">
        <w:rPr>
          <w:i/>
          <w:iCs/>
          <w:sz w:val="20"/>
          <w:szCs w:val="20"/>
        </w:rPr>
        <w:t>Nr. </w:t>
      </w:r>
      <w:r w:rsidRPr="009118AB">
        <w:rPr>
          <w:i/>
          <w:iCs/>
          <w:sz w:val="20"/>
          <w:szCs w:val="20"/>
        </w:rPr>
        <w:t>1 des G. vom 27. Dezember 2004 (B.S. vom 31. Dezember 2004)</w:t>
      </w:r>
      <w:r w:rsidR="00D67EB8" w:rsidRPr="009118AB">
        <w:rPr>
          <w:i/>
          <w:iCs/>
          <w:sz w:val="20"/>
          <w:szCs w:val="20"/>
        </w:rPr>
        <w:t> - </w:t>
      </w:r>
      <w:r w:rsidRPr="009118AB">
        <w:rPr>
          <w:i/>
          <w:iCs/>
          <w:sz w:val="20"/>
          <w:szCs w:val="20"/>
        </w:rPr>
        <w:t>anwendbar auf die ab dem 1. Januar 2005 getätigten Ausgaben</w:t>
      </w:r>
      <w:r w:rsidR="00FD68E8" w:rsidRPr="009118AB">
        <w:rPr>
          <w:i/>
          <w:iCs/>
          <w:sz w:val="20"/>
          <w:szCs w:val="20"/>
        </w:rPr>
        <w:t> -,</w:t>
      </w:r>
      <w:r w:rsidRPr="009118AB">
        <w:rPr>
          <w:i/>
          <w:iCs/>
          <w:sz w:val="20"/>
          <w:szCs w:val="20"/>
        </w:rPr>
        <w:t xml:space="preserve"> durch </w:t>
      </w:r>
      <w:r w:rsidR="00D67EB8" w:rsidRPr="009118AB">
        <w:rPr>
          <w:i/>
          <w:iCs/>
          <w:sz w:val="20"/>
          <w:szCs w:val="20"/>
        </w:rPr>
        <w:t>Art. </w:t>
      </w:r>
      <w:r w:rsidRPr="009118AB">
        <w:rPr>
          <w:i/>
          <w:iCs/>
          <w:sz w:val="20"/>
          <w:szCs w:val="20"/>
        </w:rPr>
        <w:t xml:space="preserve">3 Buchstabe C des G. vom 10. Mai 2004 (B.S. vom 24. Mai 2004), selbst eingefügt durch </w:t>
      </w:r>
      <w:r w:rsidR="00D67EB8" w:rsidRPr="009118AB">
        <w:rPr>
          <w:i/>
          <w:iCs/>
          <w:sz w:val="20"/>
          <w:szCs w:val="20"/>
        </w:rPr>
        <w:t>Art. </w:t>
      </w:r>
      <w:r w:rsidRPr="009118AB">
        <w:rPr>
          <w:i/>
          <w:iCs/>
          <w:sz w:val="20"/>
          <w:szCs w:val="20"/>
        </w:rPr>
        <w:t xml:space="preserve">364 </w:t>
      </w:r>
      <w:r w:rsidR="00D67EB8" w:rsidRPr="009118AB">
        <w:rPr>
          <w:i/>
          <w:iCs/>
          <w:sz w:val="20"/>
          <w:szCs w:val="20"/>
        </w:rPr>
        <w:t>Nr. </w:t>
      </w:r>
      <w:r w:rsidRPr="009118AB">
        <w:rPr>
          <w:i/>
          <w:iCs/>
          <w:sz w:val="20"/>
          <w:szCs w:val="20"/>
        </w:rPr>
        <w:t>2 des G. vom 27. Dezember 2004 (B.S. vom 31. Dezember 2004)</w:t>
      </w:r>
      <w:r w:rsidR="00D67EB8" w:rsidRPr="009118AB">
        <w:rPr>
          <w:i/>
          <w:iCs/>
          <w:sz w:val="20"/>
          <w:szCs w:val="20"/>
        </w:rPr>
        <w:t> - </w:t>
      </w:r>
      <w:r w:rsidRPr="009118AB">
        <w:rPr>
          <w:i/>
          <w:iCs/>
          <w:sz w:val="20"/>
          <w:szCs w:val="20"/>
        </w:rPr>
        <w:t>in Kraft ab einem vom König festzulegende</w:t>
      </w:r>
      <w:r w:rsidR="0092423C" w:rsidRPr="009118AB">
        <w:rPr>
          <w:i/>
          <w:iCs/>
          <w:sz w:val="20"/>
          <w:szCs w:val="20"/>
        </w:rPr>
        <w:t>n</w:t>
      </w:r>
      <w:r w:rsidRPr="009118AB">
        <w:rPr>
          <w:i/>
          <w:iCs/>
          <w:sz w:val="20"/>
          <w:szCs w:val="20"/>
        </w:rPr>
        <w:t xml:space="preserve"> Datum</w:t>
      </w:r>
      <w:r w:rsidR="00FD68E8" w:rsidRPr="009118AB">
        <w:rPr>
          <w:i/>
          <w:iCs/>
          <w:sz w:val="20"/>
          <w:szCs w:val="20"/>
        </w:rPr>
        <w:t> -,</w:t>
      </w:r>
      <w:r w:rsidR="00730FFE" w:rsidRPr="009118AB">
        <w:rPr>
          <w:i/>
          <w:iCs/>
          <w:sz w:val="20"/>
          <w:szCs w:val="20"/>
        </w:rPr>
        <w:t xml:space="preserve"> und </w:t>
      </w:r>
      <w:r w:rsidR="007C5224" w:rsidRPr="009118AB">
        <w:rPr>
          <w:i/>
          <w:iCs/>
          <w:sz w:val="20"/>
          <w:szCs w:val="20"/>
        </w:rPr>
        <w:t xml:space="preserve">durch </w:t>
      </w:r>
      <w:r w:rsidR="00D67EB8" w:rsidRPr="009118AB">
        <w:rPr>
          <w:i/>
          <w:iCs/>
          <w:sz w:val="20"/>
          <w:szCs w:val="20"/>
        </w:rPr>
        <w:t>Art. </w:t>
      </w:r>
      <w:r w:rsidR="00730FFE" w:rsidRPr="009118AB">
        <w:rPr>
          <w:i/>
          <w:iCs/>
          <w:sz w:val="20"/>
          <w:szCs w:val="20"/>
        </w:rPr>
        <w:t xml:space="preserve">30 </w:t>
      </w:r>
      <w:r w:rsidR="00D67EB8" w:rsidRPr="009118AB">
        <w:rPr>
          <w:i/>
          <w:iCs/>
          <w:sz w:val="20"/>
          <w:szCs w:val="20"/>
        </w:rPr>
        <w:t>Nr. </w:t>
      </w:r>
      <w:r w:rsidR="00730FFE" w:rsidRPr="009118AB">
        <w:rPr>
          <w:i/>
          <w:iCs/>
          <w:sz w:val="20"/>
          <w:szCs w:val="20"/>
        </w:rPr>
        <w:t>3 des G. vom 21. Januar 2022 (B.S. vom 28. Januar 2022)</w:t>
      </w:r>
      <w:r w:rsidR="00D67EB8" w:rsidRPr="009118AB">
        <w:rPr>
          <w:i/>
          <w:iCs/>
          <w:sz w:val="20"/>
          <w:szCs w:val="20"/>
        </w:rPr>
        <w:t> - </w:t>
      </w:r>
      <w:r w:rsidR="00730FFE" w:rsidRPr="009118AB">
        <w:rPr>
          <w:i/>
          <w:iCs/>
          <w:sz w:val="20"/>
          <w:szCs w:val="20"/>
        </w:rPr>
        <w:t>anwendbar ab dem Steuerjahr 2022</w:t>
      </w:r>
      <w:r w:rsidR="003366D9" w:rsidRPr="009118AB">
        <w:rPr>
          <w:i/>
          <w:iCs/>
          <w:sz w:val="20"/>
          <w:szCs w:val="20"/>
        </w:rPr>
        <w:t> -;</w:t>
      </w:r>
      <w:r w:rsidR="00730FFE" w:rsidRPr="009118AB">
        <w:rPr>
          <w:i/>
          <w:iCs/>
          <w:sz w:val="20"/>
          <w:szCs w:val="20"/>
        </w:rPr>
        <w:t xml:space="preserve"> einziger Absatz </w:t>
      </w:r>
      <w:r w:rsidR="00D67EB8" w:rsidRPr="009118AB">
        <w:rPr>
          <w:i/>
          <w:iCs/>
          <w:sz w:val="20"/>
          <w:szCs w:val="20"/>
        </w:rPr>
        <w:t>Nr. </w:t>
      </w:r>
      <w:r w:rsidR="00730FFE" w:rsidRPr="009118AB">
        <w:rPr>
          <w:i/>
          <w:iCs/>
          <w:sz w:val="20"/>
          <w:szCs w:val="20"/>
        </w:rPr>
        <w:t xml:space="preserve">9 abgeändert durch </w:t>
      </w:r>
      <w:r w:rsidR="00D67EB8" w:rsidRPr="009118AB">
        <w:rPr>
          <w:i/>
          <w:iCs/>
          <w:sz w:val="20"/>
          <w:szCs w:val="20"/>
        </w:rPr>
        <w:t>Art. </w:t>
      </w:r>
      <w:r w:rsidR="00730FFE" w:rsidRPr="009118AB">
        <w:rPr>
          <w:i/>
          <w:iCs/>
          <w:sz w:val="20"/>
          <w:szCs w:val="20"/>
        </w:rPr>
        <w:t xml:space="preserve">30 </w:t>
      </w:r>
      <w:r w:rsidR="00D67EB8" w:rsidRPr="009118AB">
        <w:rPr>
          <w:i/>
          <w:iCs/>
          <w:sz w:val="20"/>
          <w:szCs w:val="20"/>
        </w:rPr>
        <w:t>Nr. </w:t>
      </w:r>
      <w:r w:rsidR="00730FFE" w:rsidRPr="009118AB">
        <w:rPr>
          <w:i/>
          <w:iCs/>
          <w:sz w:val="20"/>
          <w:szCs w:val="20"/>
        </w:rPr>
        <w:t>4 des G. vom 21. Januar 2022 (B.S. vom 28. Januar 2022)</w:t>
      </w:r>
      <w:r w:rsidR="00D67EB8" w:rsidRPr="009118AB">
        <w:rPr>
          <w:i/>
          <w:iCs/>
          <w:sz w:val="20"/>
          <w:szCs w:val="20"/>
        </w:rPr>
        <w:t> - </w:t>
      </w:r>
      <w:r w:rsidR="00730FFE" w:rsidRPr="009118AB">
        <w:rPr>
          <w:i/>
          <w:iCs/>
          <w:sz w:val="20"/>
          <w:szCs w:val="20"/>
        </w:rPr>
        <w:t>anwendbar ab dem Steuerjahr 2022</w:t>
      </w:r>
      <w:r w:rsidR="003366D9" w:rsidRPr="009118AB">
        <w:rPr>
          <w:i/>
          <w:iCs/>
          <w:sz w:val="20"/>
          <w:szCs w:val="20"/>
        </w:rPr>
        <w:t> -;</w:t>
      </w:r>
      <w:r w:rsidRPr="009118AB">
        <w:rPr>
          <w:i/>
          <w:iCs/>
          <w:sz w:val="20"/>
          <w:szCs w:val="20"/>
        </w:rPr>
        <w:t xml:space="preserve"> einziger Absatz </w:t>
      </w:r>
      <w:r w:rsidR="00D67EB8" w:rsidRPr="009118AB">
        <w:rPr>
          <w:i/>
          <w:iCs/>
          <w:sz w:val="20"/>
          <w:szCs w:val="20"/>
        </w:rPr>
        <w:t>Nr. </w:t>
      </w:r>
      <w:r w:rsidRPr="009118AB">
        <w:rPr>
          <w:i/>
          <w:iCs/>
          <w:sz w:val="20"/>
          <w:szCs w:val="20"/>
        </w:rPr>
        <w:t xml:space="preserve">12 ergänzt durch </w:t>
      </w:r>
      <w:r w:rsidR="00D67EB8" w:rsidRPr="009118AB">
        <w:rPr>
          <w:i/>
          <w:iCs/>
          <w:sz w:val="20"/>
          <w:szCs w:val="20"/>
        </w:rPr>
        <w:t>Art. </w:t>
      </w:r>
      <w:r w:rsidRPr="009118AB">
        <w:rPr>
          <w:i/>
          <w:iCs/>
          <w:sz w:val="20"/>
          <w:szCs w:val="20"/>
        </w:rPr>
        <w:t xml:space="preserve">20 </w:t>
      </w:r>
      <w:r w:rsidR="00D67EB8" w:rsidRPr="009118AB">
        <w:rPr>
          <w:i/>
          <w:iCs/>
          <w:sz w:val="20"/>
          <w:szCs w:val="20"/>
        </w:rPr>
        <w:t>Nr. </w:t>
      </w:r>
      <w:r w:rsidRPr="009118AB">
        <w:rPr>
          <w:i/>
          <w:iCs/>
          <w:sz w:val="20"/>
          <w:szCs w:val="20"/>
        </w:rPr>
        <w:t>1 des G. (I) vom 24. Dezember 2002</w:t>
      </w:r>
      <w:r w:rsidR="00343179" w:rsidRPr="009118AB">
        <w:rPr>
          <w:i/>
          <w:iCs/>
          <w:sz w:val="20"/>
          <w:szCs w:val="20"/>
        </w:rPr>
        <w:t> </w:t>
      </w:r>
      <w:r w:rsidRPr="009118AB">
        <w:rPr>
          <w:i/>
          <w:iCs/>
          <w:sz w:val="20"/>
          <w:szCs w:val="20"/>
        </w:rPr>
        <w:t>(I) (B.S. vom 31. Dezember 2002)</w:t>
      </w:r>
      <w:r w:rsidR="00D67EB8" w:rsidRPr="009118AB">
        <w:rPr>
          <w:i/>
          <w:iCs/>
          <w:sz w:val="20"/>
          <w:szCs w:val="20"/>
        </w:rPr>
        <w:t> - </w:t>
      </w:r>
      <w:r w:rsidRPr="009118AB">
        <w:rPr>
          <w:i/>
          <w:iCs/>
          <w:sz w:val="20"/>
          <w:szCs w:val="20"/>
        </w:rPr>
        <w:t xml:space="preserve">in Kraft </w:t>
      </w:r>
      <w:r w:rsidRPr="0006356F">
        <w:rPr>
          <w:i/>
          <w:iCs/>
          <w:sz w:val="20"/>
          <w:szCs w:val="20"/>
        </w:rPr>
        <w:t>ab dem Steuerjahr 2004</w:t>
      </w:r>
      <w:r w:rsidR="003366D9" w:rsidRPr="0006356F">
        <w:rPr>
          <w:i/>
          <w:iCs/>
          <w:sz w:val="20"/>
          <w:szCs w:val="20"/>
        </w:rPr>
        <w:t> -;</w:t>
      </w:r>
      <w:r w:rsidRPr="0006356F">
        <w:rPr>
          <w:i/>
          <w:iCs/>
          <w:sz w:val="20"/>
          <w:szCs w:val="20"/>
        </w:rPr>
        <w:t xml:space="preserve"> einziger Absatz </w:t>
      </w:r>
      <w:r w:rsidR="00D67EB8" w:rsidRPr="0006356F">
        <w:rPr>
          <w:i/>
          <w:iCs/>
          <w:sz w:val="20"/>
          <w:szCs w:val="20"/>
        </w:rPr>
        <w:t>Nr. </w:t>
      </w:r>
      <w:r w:rsidRPr="0006356F">
        <w:rPr>
          <w:i/>
          <w:iCs/>
          <w:sz w:val="20"/>
          <w:szCs w:val="20"/>
        </w:rPr>
        <w:t xml:space="preserve">14 ersetzt durch </w:t>
      </w:r>
      <w:r w:rsidR="00D67EB8" w:rsidRPr="0006356F">
        <w:rPr>
          <w:i/>
          <w:iCs/>
          <w:sz w:val="20"/>
          <w:szCs w:val="20"/>
        </w:rPr>
        <w:t>Art. </w:t>
      </w:r>
      <w:r w:rsidRPr="0006356F">
        <w:rPr>
          <w:i/>
          <w:iCs/>
          <w:sz w:val="20"/>
          <w:szCs w:val="20"/>
        </w:rPr>
        <w:t>9 des G. vom 22. Dezember 2009 (I) (B.S. vom 31. Dezember 2009)</w:t>
      </w:r>
      <w:r w:rsidR="00D67EB8" w:rsidRPr="0006356F">
        <w:rPr>
          <w:i/>
          <w:iCs/>
          <w:sz w:val="20"/>
          <w:szCs w:val="20"/>
        </w:rPr>
        <w:t> - </w:t>
      </w:r>
      <w:r w:rsidRPr="0006356F">
        <w:rPr>
          <w:i/>
          <w:iCs/>
          <w:sz w:val="20"/>
          <w:szCs w:val="20"/>
        </w:rPr>
        <w:t>anwendbar ab dem Steuerjahr 2010 und wirksam mit 1. Februar 2009</w:t>
      </w:r>
      <w:r w:rsidR="00D67EB8" w:rsidRPr="0006356F">
        <w:rPr>
          <w:i/>
          <w:iCs/>
          <w:sz w:val="20"/>
          <w:szCs w:val="20"/>
        </w:rPr>
        <w:t> - </w:t>
      </w:r>
      <w:r w:rsidR="003C6A41" w:rsidRPr="0006356F">
        <w:rPr>
          <w:i/>
          <w:iCs/>
          <w:sz w:val="20"/>
          <w:szCs w:val="20"/>
        </w:rPr>
        <w:t xml:space="preserve">und abgeändert durch </w:t>
      </w:r>
      <w:r w:rsidR="00D67EB8" w:rsidRPr="0006356F">
        <w:rPr>
          <w:i/>
          <w:iCs/>
          <w:sz w:val="20"/>
          <w:szCs w:val="20"/>
        </w:rPr>
        <w:t>Art. </w:t>
      </w:r>
      <w:r w:rsidR="003C6A41" w:rsidRPr="0006356F">
        <w:rPr>
          <w:i/>
          <w:iCs/>
          <w:sz w:val="20"/>
          <w:szCs w:val="20"/>
        </w:rPr>
        <w:t>4 des G. vom 6. Dezember 2015 (B.S. vom 17. Dezember 2015)</w:t>
      </w:r>
      <w:r w:rsidR="00D67EB8" w:rsidRPr="0006356F">
        <w:rPr>
          <w:rFonts w:ascii="Times New Roman Italique" w:hAnsi="Times New Roman Italique"/>
          <w:i/>
          <w:spacing w:val="-2"/>
          <w:sz w:val="20"/>
          <w:szCs w:val="20"/>
        </w:rPr>
        <w:t> - </w:t>
      </w:r>
      <w:r w:rsidR="003C6A41" w:rsidRPr="0006356F">
        <w:rPr>
          <w:i/>
          <w:iCs/>
          <w:sz w:val="20"/>
          <w:szCs w:val="20"/>
        </w:rPr>
        <w:t>anwendbar auf die ab dem 1. Januar 2016 bewilligten Mahlzeitschecks</w:t>
      </w:r>
      <w:r w:rsidR="00D67EB8" w:rsidRPr="0006356F">
        <w:rPr>
          <w:i/>
          <w:iCs/>
          <w:sz w:val="20"/>
          <w:szCs w:val="20"/>
        </w:rPr>
        <w:t> - </w:t>
      </w:r>
      <w:r w:rsidR="006D018E" w:rsidRPr="0006356F">
        <w:rPr>
          <w:i/>
          <w:iCs/>
          <w:sz w:val="20"/>
          <w:szCs w:val="20"/>
        </w:rPr>
        <w:t xml:space="preserve">und </w:t>
      </w:r>
      <w:r w:rsidR="00D67EB8" w:rsidRPr="0006356F">
        <w:rPr>
          <w:i/>
          <w:iCs/>
          <w:sz w:val="20"/>
          <w:szCs w:val="20"/>
        </w:rPr>
        <w:t>Art. </w:t>
      </w:r>
      <w:r w:rsidR="006D018E" w:rsidRPr="0006356F">
        <w:rPr>
          <w:i/>
          <w:iCs/>
          <w:sz w:val="20"/>
          <w:szCs w:val="20"/>
        </w:rPr>
        <w:t>4 des G. vom 25. Dezember 2017 (II) (B.S. vom 29. Dezember 2017)</w:t>
      </w:r>
      <w:r w:rsidRPr="0006356F">
        <w:rPr>
          <w:i/>
          <w:iCs/>
          <w:sz w:val="20"/>
          <w:szCs w:val="20"/>
        </w:rPr>
        <w:t xml:space="preserve">; einziger Absatz </w:t>
      </w:r>
      <w:r w:rsidR="00D67EB8" w:rsidRPr="0006356F">
        <w:rPr>
          <w:i/>
          <w:iCs/>
          <w:sz w:val="20"/>
          <w:szCs w:val="20"/>
        </w:rPr>
        <w:t>Nr. </w:t>
      </w:r>
      <w:r w:rsidRPr="0006356F">
        <w:rPr>
          <w:i/>
          <w:iCs/>
          <w:sz w:val="20"/>
          <w:szCs w:val="20"/>
        </w:rPr>
        <w:t xml:space="preserve">15 ersetzt durch </w:t>
      </w:r>
      <w:r w:rsidR="00D67EB8" w:rsidRPr="0006356F">
        <w:rPr>
          <w:i/>
          <w:iCs/>
          <w:sz w:val="20"/>
          <w:szCs w:val="20"/>
        </w:rPr>
        <w:t>Art. </w:t>
      </w:r>
      <w:r w:rsidRPr="0006356F">
        <w:rPr>
          <w:i/>
          <w:iCs/>
          <w:sz w:val="20"/>
          <w:szCs w:val="20"/>
        </w:rPr>
        <w:t xml:space="preserve">11 </w:t>
      </w:r>
      <w:r w:rsidR="00D67EB8" w:rsidRPr="0006356F">
        <w:rPr>
          <w:i/>
          <w:iCs/>
          <w:sz w:val="20"/>
          <w:szCs w:val="20"/>
        </w:rPr>
        <w:t>Nr. </w:t>
      </w:r>
      <w:r w:rsidRPr="0006356F">
        <w:rPr>
          <w:i/>
          <w:iCs/>
          <w:sz w:val="20"/>
          <w:szCs w:val="20"/>
        </w:rPr>
        <w:t>1 des K.E. vom 20. Dezember 1996 (B.S.</w:t>
      </w:r>
      <w:r w:rsidRPr="0006356F">
        <w:rPr>
          <w:i/>
          <w:iCs/>
          <w:sz w:val="18"/>
          <w:szCs w:val="22"/>
        </w:rPr>
        <w:t xml:space="preserve"> </w:t>
      </w:r>
      <w:r w:rsidRPr="009118AB">
        <w:rPr>
          <w:i/>
          <w:iCs/>
          <w:sz w:val="20"/>
        </w:rPr>
        <w:t>vom 31. Dezember 1996)</w:t>
      </w:r>
      <w:r w:rsidR="00D67EB8" w:rsidRPr="009118AB">
        <w:rPr>
          <w:i/>
          <w:iCs/>
          <w:sz w:val="20"/>
        </w:rPr>
        <w:t> - </w:t>
      </w:r>
      <w:r w:rsidRPr="009118AB">
        <w:rPr>
          <w:i/>
          <w:iCs/>
          <w:sz w:val="20"/>
        </w:rPr>
        <w:t>anwendbar ab dem Steuerjahr 1998</w:t>
      </w:r>
      <w:r w:rsidR="003366D9" w:rsidRPr="009118AB">
        <w:rPr>
          <w:i/>
          <w:iCs/>
          <w:sz w:val="20"/>
        </w:rPr>
        <w:t> -;</w:t>
      </w:r>
      <w:r w:rsidRPr="009118AB">
        <w:rPr>
          <w:i/>
          <w:iCs/>
          <w:sz w:val="20"/>
        </w:rPr>
        <w:t xml:space="preserve"> einziger Absatz </w:t>
      </w:r>
      <w:r w:rsidR="00D67EB8" w:rsidRPr="009118AB">
        <w:rPr>
          <w:i/>
          <w:iCs/>
          <w:sz w:val="20"/>
        </w:rPr>
        <w:t>Nr. </w:t>
      </w:r>
      <w:r w:rsidRPr="009118AB">
        <w:rPr>
          <w:i/>
          <w:iCs/>
          <w:sz w:val="20"/>
        </w:rPr>
        <w:t xml:space="preserve">16 abgeändert durch </w:t>
      </w:r>
      <w:r w:rsidR="00D67EB8" w:rsidRPr="009118AB">
        <w:rPr>
          <w:i/>
          <w:iCs/>
          <w:sz w:val="20"/>
        </w:rPr>
        <w:t>Art. </w:t>
      </w:r>
      <w:r w:rsidRPr="009118AB">
        <w:rPr>
          <w:i/>
          <w:iCs/>
          <w:sz w:val="20"/>
        </w:rPr>
        <w:t xml:space="preserve">11 </w:t>
      </w:r>
      <w:r w:rsidR="00D67EB8" w:rsidRPr="009118AB">
        <w:rPr>
          <w:i/>
          <w:iCs/>
          <w:sz w:val="20"/>
        </w:rPr>
        <w:t>Nr. </w:t>
      </w:r>
      <w:r w:rsidRPr="009118AB">
        <w:rPr>
          <w:i/>
          <w:iCs/>
          <w:sz w:val="20"/>
        </w:rPr>
        <w:t>2 des K.E. vom 20. Dezember 1996</w:t>
      </w:r>
      <w:r w:rsidR="005E3D7F" w:rsidRPr="009118AB">
        <w:rPr>
          <w:i/>
          <w:iCs/>
          <w:sz w:val="20"/>
        </w:rPr>
        <w:t xml:space="preserve"> (B.S. vom 31. Dezember 1996)</w:t>
      </w:r>
      <w:r w:rsidR="00D67EB8" w:rsidRPr="009118AB">
        <w:rPr>
          <w:i/>
          <w:iCs/>
          <w:sz w:val="20"/>
        </w:rPr>
        <w:t> - </w:t>
      </w:r>
      <w:r w:rsidRPr="009118AB">
        <w:rPr>
          <w:i/>
          <w:iCs/>
          <w:sz w:val="20"/>
        </w:rPr>
        <w:t>anwendbar ab dem Steuerjahr 1995</w:t>
      </w:r>
      <w:r w:rsidR="00D67EB8" w:rsidRPr="009118AB">
        <w:rPr>
          <w:i/>
          <w:iCs/>
          <w:sz w:val="20"/>
        </w:rPr>
        <w:t> - </w:t>
      </w:r>
      <w:r w:rsidR="0038694D" w:rsidRPr="009118AB">
        <w:rPr>
          <w:i/>
          <w:iCs/>
          <w:sz w:val="20"/>
        </w:rPr>
        <w:t xml:space="preserve">und </w:t>
      </w:r>
      <w:r w:rsidR="00D67EB8" w:rsidRPr="009118AB">
        <w:rPr>
          <w:i/>
          <w:iCs/>
          <w:sz w:val="20"/>
        </w:rPr>
        <w:t>Art. </w:t>
      </w:r>
      <w:r w:rsidR="0038694D" w:rsidRPr="009118AB">
        <w:rPr>
          <w:i/>
          <w:iCs/>
          <w:sz w:val="20"/>
        </w:rPr>
        <w:t xml:space="preserve">11 </w:t>
      </w:r>
      <w:r w:rsidR="00D67EB8" w:rsidRPr="009118AB">
        <w:rPr>
          <w:i/>
          <w:iCs/>
          <w:sz w:val="20"/>
        </w:rPr>
        <w:t>Nr. </w:t>
      </w:r>
      <w:r w:rsidR="0038694D" w:rsidRPr="009118AB">
        <w:rPr>
          <w:i/>
          <w:iCs/>
          <w:sz w:val="20"/>
        </w:rPr>
        <w:t>1 des G. vom 17. März 2019 (III) (B.S. vom 10. Mai 2019)</w:t>
      </w:r>
      <w:r w:rsidR="00D67EB8" w:rsidRPr="009118AB">
        <w:rPr>
          <w:i/>
          <w:iCs/>
          <w:sz w:val="20"/>
        </w:rPr>
        <w:t> - </w:t>
      </w:r>
      <w:r w:rsidR="0038694D" w:rsidRPr="009118AB">
        <w:rPr>
          <w:i/>
          <w:iCs/>
          <w:sz w:val="20"/>
        </w:rPr>
        <w:t>in Kraft am 1. Mai 2019 und anwendbar ab dem 1. Mai 2019 getätigten Kapitalrückzahlungen</w:t>
      </w:r>
      <w:r w:rsidR="003366D9" w:rsidRPr="009118AB">
        <w:rPr>
          <w:i/>
          <w:iCs/>
          <w:sz w:val="20"/>
        </w:rPr>
        <w:t> -;</w:t>
      </w:r>
      <w:r w:rsidRPr="009118AB">
        <w:rPr>
          <w:i/>
          <w:iCs/>
          <w:sz w:val="20"/>
        </w:rPr>
        <w:t xml:space="preserve"> einziger Absatz </w:t>
      </w:r>
      <w:r w:rsidR="00D67EB8" w:rsidRPr="009118AB">
        <w:rPr>
          <w:i/>
          <w:iCs/>
          <w:sz w:val="20"/>
        </w:rPr>
        <w:t>Nr. </w:t>
      </w:r>
      <w:r w:rsidRPr="009118AB">
        <w:rPr>
          <w:i/>
          <w:iCs/>
          <w:sz w:val="20"/>
        </w:rPr>
        <w:t xml:space="preserve">17 eingefügt durch </w:t>
      </w:r>
      <w:r w:rsidR="00D67EB8" w:rsidRPr="009118AB">
        <w:rPr>
          <w:i/>
          <w:iCs/>
          <w:sz w:val="20"/>
        </w:rPr>
        <w:t>Art. </w:t>
      </w:r>
      <w:r w:rsidRPr="009118AB">
        <w:rPr>
          <w:i/>
          <w:iCs/>
          <w:sz w:val="20"/>
        </w:rPr>
        <w:t>2 des G. vom 7. April 1995 (B.S. vom 16. Juni 1995)</w:t>
      </w:r>
      <w:r w:rsidR="00D67EB8" w:rsidRPr="009118AB">
        <w:rPr>
          <w:i/>
          <w:iCs/>
          <w:sz w:val="20"/>
        </w:rPr>
        <w:t> - </w:t>
      </w:r>
      <w:r w:rsidRPr="009118AB">
        <w:rPr>
          <w:i/>
          <w:iCs/>
          <w:sz w:val="20"/>
        </w:rPr>
        <w:t>in Kraft ab dem 1. Januar 1996</w:t>
      </w:r>
      <w:r w:rsidR="00D67EB8" w:rsidRPr="009118AB">
        <w:rPr>
          <w:i/>
          <w:iCs/>
          <w:sz w:val="20"/>
        </w:rPr>
        <w:t> - </w:t>
      </w:r>
      <w:r w:rsidRPr="009118AB">
        <w:rPr>
          <w:i/>
          <w:iCs/>
          <w:sz w:val="20"/>
        </w:rPr>
        <w:t xml:space="preserve">und abgeändert durch </w:t>
      </w:r>
      <w:r w:rsidR="00D67EB8" w:rsidRPr="009118AB">
        <w:rPr>
          <w:i/>
          <w:iCs/>
          <w:sz w:val="20"/>
        </w:rPr>
        <w:t>Art. </w:t>
      </w:r>
      <w:r w:rsidRPr="009118AB">
        <w:rPr>
          <w:i/>
          <w:iCs/>
          <w:sz w:val="20"/>
        </w:rPr>
        <w:t>3 des G. vom 7. März 2002 (B.S. vom 19. März 2002)</w:t>
      </w:r>
      <w:r w:rsidR="00D67EB8" w:rsidRPr="009118AB">
        <w:rPr>
          <w:i/>
          <w:iCs/>
          <w:sz w:val="20"/>
        </w:rPr>
        <w:t> - </w:t>
      </w:r>
      <w:r w:rsidRPr="009118AB">
        <w:rPr>
          <w:i/>
          <w:iCs/>
          <w:sz w:val="20"/>
        </w:rPr>
        <w:t>anwendbar ab dem Steuerjahr</w:t>
      </w:r>
      <w:r w:rsidR="0038694D" w:rsidRPr="009118AB">
        <w:rPr>
          <w:i/>
          <w:iCs/>
          <w:sz w:val="20"/>
        </w:rPr>
        <w:t> </w:t>
      </w:r>
      <w:r w:rsidRPr="009118AB">
        <w:rPr>
          <w:i/>
          <w:iCs/>
          <w:sz w:val="20"/>
        </w:rPr>
        <w:t>2002</w:t>
      </w:r>
      <w:r w:rsidR="00D67EB8" w:rsidRPr="009118AB">
        <w:rPr>
          <w:i/>
          <w:iCs/>
          <w:sz w:val="20"/>
        </w:rPr>
        <w:t> -</w:t>
      </w:r>
      <w:r w:rsidR="0006356F">
        <w:rPr>
          <w:i/>
          <w:iCs/>
          <w:sz w:val="20"/>
        </w:rPr>
        <w:t>,</w:t>
      </w:r>
      <w:r w:rsidRPr="009118AB">
        <w:rPr>
          <w:i/>
          <w:iCs/>
          <w:sz w:val="20"/>
        </w:rPr>
        <w:t xml:space="preserve"> </w:t>
      </w:r>
      <w:r w:rsidR="00D67EB8" w:rsidRPr="009118AB">
        <w:rPr>
          <w:i/>
          <w:iCs/>
          <w:sz w:val="20"/>
        </w:rPr>
        <w:t>Art. </w:t>
      </w:r>
      <w:r w:rsidRPr="009118AB">
        <w:rPr>
          <w:i/>
          <w:iCs/>
          <w:sz w:val="20"/>
        </w:rPr>
        <w:t>131 des G. (III) vom 1. März 2007 (B.S. vom 14. März 2007)</w:t>
      </w:r>
      <w:r w:rsidR="0006356F">
        <w:rPr>
          <w:i/>
          <w:iCs/>
          <w:sz w:val="20"/>
        </w:rPr>
        <w:t xml:space="preserve"> und Art. 32</w:t>
      </w:r>
      <w:r w:rsidR="0006356F" w:rsidRPr="0006356F">
        <w:rPr>
          <w:i/>
          <w:iCs/>
          <w:sz w:val="20"/>
        </w:rPr>
        <w:t xml:space="preserve"> des G. vom 22. Dezember 2023</w:t>
      </w:r>
      <w:r w:rsidR="00552005" w:rsidRPr="00552005">
        <w:rPr>
          <w:i/>
          <w:iCs/>
          <w:sz w:val="20"/>
        </w:rPr>
        <w:t> (I)</w:t>
      </w:r>
      <w:r w:rsidR="0006356F" w:rsidRPr="0006356F">
        <w:rPr>
          <w:i/>
          <w:iCs/>
          <w:sz w:val="20"/>
        </w:rPr>
        <w:t xml:space="preserve"> (B.S. vom 29. Dezember 2023)</w:t>
      </w:r>
      <w:r w:rsidRPr="009118AB">
        <w:rPr>
          <w:i/>
          <w:iCs/>
          <w:sz w:val="20"/>
        </w:rPr>
        <w:t xml:space="preserve">; einziger Absatz </w:t>
      </w:r>
      <w:r w:rsidR="00D67EB8" w:rsidRPr="009118AB">
        <w:rPr>
          <w:i/>
          <w:iCs/>
          <w:sz w:val="20"/>
        </w:rPr>
        <w:t>Nr. </w:t>
      </w:r>
      <w:r w:rsidRPr="009118AB">
        <w:rPr>
          <w:i/>
          <w:iCs/>
          <w:sz w:val="20"/>
        </w:rPr>
        <w:t xml:space="preserve">18 eingefügt durch </w:t>
      </w:r>
      <w:r w:rsidR="00D67EB8" w:rsidRPr="009118AB">
        <w:rPr>
          <w:i/>
          <w:iCs/>
          <w:sz w:val="20"/>
        </w:rPr>
        <w:t>Art. </w:t>
      </w:r>
      <w:r w:rsidRPr="009118AB">
        <w:rPr>
          <w:i/>
          <w:iCs/>
          <w:sz w:val="20"/>
        </w:rPr>
        <w:t>4 des G. vom 20. Dezember 1995 (B.S. vom 23. Dezember 1995)</w:t>
      </w:r>
      <w:r w:rsidR="00D67EB8" w:rsidRPr="009118AB">
        <w:rPr>
          <w:i/>
          <w:iCs/>
          <w:sz w:val="20"/>
        </w:rPr>
        <w:t> - </w:t>
      </w:r>
      <w:r w:rsidRPr="009118AB">
        <w:rPr>
          <w:i/>
          <w:iCs/>
          <w:sz w:val="20"/>
        </w:rPr>
        <w:t>anwendbar auf Verbindlichkeiten, die ab dem 17. Oktober 1995 eingegangen werden</w:t>
      </w:r>
      <w:r w:rsidR="00FD68E8" w:rsidRPr="009118AB">
        <w:rPr>
          <w:i/>
          <w:iCs/>
          <w:sz w:val="20"/>
        </w:rPr>
        <w:t> -,</w:t>
      </w:r>
      <w:r w:rsidRPr="009118AB">
        <w:rPr>
          <w:i/>
          <w:iCs/>
          <w:sz w:val="20"/>
        </w:rPr>
        <w:t xml:space="preserve"> ersetzt durch </w:t>
      </w:r>
      <w:r w:rsidR="00D67EB8" w:rsidRPr="009118AB">
        <w:rPr>
          <w:i/>
          <w:iCs/>
          <w:sz w:val="20"/>
        </w:rPr>
        <w:t>Art. </w:t>
      </w:r>
      <w:r w:rsidRPr="009118AB">
        <w:rPr>
          <w:i/>
          <w:iCs/>
          <w:sz w:val="20"/>
        </w:rPr>
        <w:t xml:space="preserve">11 </w:t>
      </w:r>
      <w:r w:rsidR="00D67EB8" w:rsidRPr="009118AB">
        <w:rPr>
          <w:i/>
          <w:iCs/>
          <w:sz w:val="20"/>
        </w:rPr>
        <w:t>Nr. </w:t>
      </w:r>
      <w:r w:rsidRPr="009118AB">
        <w:rPr>
          <w:i/>
          <w:iCs/>
          <w:sz w:val="20"/>
        </w:rPr>
        <w:t>3 des K.E. vom 20. Dezember 1996 (B.S. vom 31. Dezember 1996)</w:t>
      </w:r>
      <w:r w:rsidR="00D67EB8" w:rsidRPr="009118AB">
        <w:rPr>
          <w:i/>
          <w:iCs/>
          <w:sz w:val="20"/>
        </w:rPr>
        <w:t> - </w:t>
      </w:r>
      <w:r w:rsidRPr="009118AB">
        <w:rPr>
          <w:i/>
          <w:iCs/>
          <w:sz w:val="20"/>
        </w:rPr>
        <w:t>in Kraft ab dem Steuerjahr 1998</w:t>
      </w:r>
      <w:r w:rsidR="00D67EB8" w:rsidRPr="009118AB">
        <w:rPr>
          <w:i/>
          <w:iCs/>
          <w:sz w:val="20"/>
        </w:rPr>
        <w:t> - </w:t>
      </w:r>
      <w:r w:rsidR="0038694D" w:rsidRPr="009118AB">
        <w:rPr>
          <w:i/>
          <w:iCs/>
          <w:sz w:val="20"/>
        </w:rPr>
        <w:t xml:space="preserve">und abgeändert durch </w:t>
      </w:r>
      <w:r w:rsidR="00D67EB8" w:rsidRPr="009118AB">
        <w:rPr>
          <w:i/>
          <w:iCs/>
          <w:sz w:val="20"/>
        </w:rPr>
        <w:t>Art. </w:t>
      </w:r>
      <w:r w:rsidR="0038694D" w:rsidRPr="009118AB">
        <w:rPr>
          <w:i/>
          <w:iCs/>
          <w:sz w:val="20"/>
        </w:rPr>
        <w:t xml:space="preserve">11 </w:t>
      </w:r>
      <w:r w:rsidR="00D67EB8" w:rsidRPr="009118AB">
        <w:rPr>
          <w:i/>
          <w:iCs/>
          <w:sz w:val="20"/>
        </w:rPr>
        <w:t>Nr. </w:t>
      </w:r>
      <w:r w:rsidR="0038694D" w:rsidRPr="009118AB">
        <w:rPr>
          <w:i/>
          <w:iCs/>
          <w:sz w:val="20"/>
        </w:rPr>
        <w:t>2 des G. vom 17. März 2019 (III) (B.S. vom 10. Mai 2019)</w:t>
      </w:r>
      <w:r w:rsidR="00D67EB8" w:rsidRPr="009118AB">
        <w:rPr>
          <w:i/>
          <w:iCs/>
          <w:sz w:val="20"/>
        </w:rPr>
        <w:t> - </w:t>
      </w:r>
      <w:r w:rsidR="0038694D" w:rsidRPr="009118AB">
        <w:rPr>
          <w:i/>
          <w:iCs/>
          <w:sz w:val="20"/>
        </w:rPr>
        <w:t>in Kraft am 1. Mai 2019</w:t>
      </w:r>
      <w:r w:rsidR="003366D9" w:rsidRPr="009118AB">
        <w:rPr>
          <w:i/>
          <w:iCs/>
          <w:sz w:val="20"/>
        </w:rPr>
        <w:t> -;</w:t>
      </w:r>
      <w:r w:rsidRPr="009118AB">
        <w:rPr>
          <w:i/>
          <w:iCs/>
          <w:sz w:val="20"/>
        </w:rPr>
        <w:t xml:space="preserve"> einziger Absatz </w:t>
      </w:r>
      <w:r w:rsidR="00D67EB8" w:rsidRPr="009118AB">
        <w:rPr>
          <w:i/>
          <w:iCs/>
          <w:sz w:val="20"/>
        </w:rPr>
        <w:t>Nr. </w:t>
      </w:r>
      <w:r w:rsidRPr="009118AB">
        <w:rPr>
          <w:i/>
          <w:iCs/>
          <w:sz w:val="20"/>
        </w:rPr>
        <w:t xml:space="preserve">19 und 20 eingefügt durch </w:t>
      </w:r>
      <w:r w:rsidR="00D67EB8" w:rsidRPr="009118AB">
        <w:rPr>
          <w:i/>
          <w:iCs/>
          <w:sz w:val="20"/>
        </w:rPr>
        <w:t>Art. </w:t>
      </w:r>
      <w:r w:rsidRPr="009118AB">
        <w:rPr>
          <w:i/>
          <w:iCs/>
          <w:sz w:val="20"/>
        </w:rPr>
        <w:t xml:space="preserve">20 </w:t>
      </w:r>
      <w:r w:rsidR="00D67EB8" w:rsidRPr="009118AB">
        <w:rPr>
          <w:i/>
          <w:iCs/>
          <w:sz w:val="20"/>
        </w:rPr>
        <w:t>Nr. </w:t>
      </w:r>
      <w:r w:rsidRPr="009118AB">
        <w:rPr>
          <w:i/>
          <w:iCs/>
          <w:sz w:val="20"/>
        </w:rPr>
        <w:t>2 d</w:t>
      </w:r>
      <w:r w:rsidR="003951A9" w:rsidRPr="009118AB">
        <w:rPr>
          <w:i/>
          <w:iCs/>
          <w:sz w:val="20"/>
        </w:rPr>
        <w:t>es G. (I) vom 24. Dezember 2002 </w:t>
      </w:r>
      <w:r w:rsidRPr="009118AB">
        <w:rPr>
          <w:i/>
          <w:iCs/>
          <w:sz w:val="20"/>
        </w:rPr>
        <w:t>(I) (B.S. vom 31. Dezember 2002)</w:t>
      </w:r>
      <w:r w:rsidR="00D67EB8" w:rsidRPr="009118AB">
        <w:rPr>
          <w:i/>
          <w:iCs/>
          <w:sz w:val="20"/>
        </w:rPr>
        <w:t> - </w:t>
      </w:r>
      <w:r w:rsidRPr="009118AB">
        <w:rPr>
          <w:i/>
          <w:iCs/>
          <w:sz w:val="20"/>
        </w:rPr>
        <w:t>in Kraft ab dem Steuerjahr 2004</w:t>
      </w:r>
      <w:r w:rsidR="003366D9" w:rsidRPr="009118AB">
        <w:rPr>
          <w:i/>
          <w:iCs/>
          <w:sz w:val="20"/>
        </w:rPr>
        <w:t> -;</w:t>
      </w:r>
      <w:r w:rsidRPr="009118AB">
        <w:rPr>
          <w:i/>
          <w:iCs/>
          <w:sz w:val="20"/>
        </w:rPr>
        <w:t xml:space="preserve"> einziger Absatz </w:t>
      </w:r>
      <w:r w:rsidR="00D67EB8" w:rsidRPr="009118AB">
        <w:rPr>
          <w:i/>
          <w:iCs/>
          <w:sz w:val="20"/>
        </w:rPr>
        <w:t>Nr. </w:t>
      </w:r>
      <w:r w:rsidRPr="009118AB">
        <w:rPr>
          <w:i/>
          <w:iCs/>
          <w:sz w:val="20"/>
        </w:rPr>
        <w:t xml:space="preserve">21 eingefügt durch </w:t>
      </w:r>
      <w:r w:rsidR="00D67EB8" w:rsidRPr="009118AB">
        <w:rPr>
          <w:i/>
          <w:iCs/>
          <w:sz w:val="20"/>
        </w:rPr>
        <w:t>Art. </w:t>
      </w:r>
      <w:r w:rsidRPr="009118AB">
        <w:rPr>
          <w:i/>
          <w:iCs/>
          <w:sz w:val="20"/>
        </w:rPr>
        <w:t>80 des G. vom 28. April 2003 (B.S. vom 15. Mai 2003)</w:t>
      </w:r>
      <w:r w:rsidR="00D67EB8" w:rsidRPr="009118AB">
        <w:rPr>
          <w:i/>
          <w:iCs/>
          <w:sz w:val="20"/>
        </w:rPr>
        <w:t> - </w:t>
      </w:r>
      <w:r w:rsidRPr="009118AB">
        <w:rPr>
          <w:i/>
          <w:iCs/>
          <w:sz w:val="20"/>
        </w:rPr>
        <w:t>anwendbar auf Beiträge und Prämien, die in Ausführung individueller Vereinbarungen, die ab dem 1. Januar</w:t>
      </w:r>
      <w:r w:rsidRPr="009118AB">
        <w:rPr>
          <w:i/>
          <w:iCs/>
          <w:sz w:val="16"/>
          <w:szCs w:val="20"/>
        </w:rPr>
        <w:t> </w:t>
      </w:r>
      <w:r w:rsidRPr="009118AB">
        <w:rPr>
          <w:i/>
          <w:iCs/>
          <w:sz w:val="20"/>
          <w:szCs w:val="20"/>
        </w:rPr>
        <w:t>2004 abgeschlossen werden, gezahlt werden und auf andere als auf oben erwähnte Beiträge und Prämien, die ab dem 1. Januar 2004 gezahlt werden</w:t>
      </w:r>
      <w:r w:rsidR="003366D9" w:rsidRPr="009118AB">
        <w:rPr>
          <w:i/>
          <w:iCs/>
          <w:sz w:val="20"/>
          <w:szCs w:val="20"/>
        </w:rPr>
        <w:t> -;</w:t>
      </w:r>
      <w:r w:rsidRPr="009118AB">
        <w:rPr>
          <w:i/>
          <w:iCs/>
          <w:sz w:val="20"/>
          <w:szCs w:val="20"/>
        </w:rPr>
        <w:t xml:space="preserve"> einziger Absatz </w:t>
      </w:r>
      <w:r w:rsidR="00D67EB8" w:rsidRPr="009118AB">
        <w:rPr>
          <w:i/>
          <w:iCs/>
          <w:sz w:val="20"/>
          <w:szCs w:val="20"/>
        </w:rPr>
        <w:t>Nr. </w:t>
      </w:r>
      <w:r w:rsidRPr="009118AB">
        <w:rPr>
          <w:i/>
          <w:iCs/>
          <w:sz w:val="20"/>
          <w:szCs w:val="20"/>
        </w:rPr>
        <w:t xml:space="preserve">22 eingefügt durch </w:t>
      </w:r>
      <w:r w:rsidR="00D67EB8" w:rsidRPr="009118AB">
        <w:rPr>
          <w:i/>
          <w:iCs/>
          <w:sz w:val="20"/>
          <w:szCs w:val="20"/>
        </w:rPr>
        <w:t>Art. </w:t>
      </w:r>
      <w:r w:rsidRPr="009118AB">
        <w:rPr>
          <w:i/>
          <w:iCs/>
          <w:sz w:val="20"/>
          <w:szCs w:val="20"/>
        </w:rPr>
        <w:t>80 des G. vom 28. April 2003 (B.S. vom 15. Mai 2003)</w:t>
      </w:r>
      <w:r w:rsidR="00D67EB8" w:rsidRPr="009118AB">
        <w:rPr>
          <w:i/>
          <w:iCs/>
          <w:sz w:val="20"/>
          <w:szCs w:val="20"/>
        </w:rPr>
        <w:t> - </w:t>
      </w:r>
      <w:r w:rsidRPr="009118AB">
        <w:rPr>
          <w:i/>
          <w:iCs/>
          <w:sz w:val="20"/>
          <w:szCs w:val="20"/>
        </w:rPr>
        <w:t>anwendbar auf Beiträge und Prämien, die in Ausführung individueller Vereinbarungen, die ab dem 1. Januar 2004 abgeschlossen werden, gezahlt werden</w:t>
      </w:r>
      <w:r w:rsidR="003366D9" w:rsidRPr="009118AB">
        <w:rPr>
          <w:i/>
          <w:iCs/>
          <w:sz w:val="20"/>
          <w:szCs w:val="20"/>
        </w:rPr>
        <w:t> -;</w:t>
      </w:r>
      <w:r w:rsidRPr="009118AB">
        <w:rPr>
          <w:i/>
          <w:iCs/>
          <w:sz w:val="20"/>
          <w:szCs w:val="20"/>
        </w:rPr>
        <w:t xml:space="preserve"> einziger Absatz </w:t>
      </w:r>
      <w:r w:rsidR="00D67EB8" w:rsidRPr="009118AB">
        <w:rPr>
          <w:i/>
          <w:iCs/>
          <w:sz w:val="20"/>
          <w:szCs w:val="20"/>
        </w:rPr>
        <w:t>Nr. </w:t>
      </w:r>
      <w:r w:rsidRPr="009118AB">
        <w:rPr>
          <w:i/>
          <w:iCs/>
          <w:sz w:val="20"/>
          <w:szCs w:val="20"/>
        </w:rPr>
        <w:t xml:space="preserve">23 eingefügt durch </w:t>
      </w:r>
      <w:r w:rsidR="00D67EB8" w:rsidRPr="009118AB">
        <w:rPr>
          <w:i/>
          <w:iCs/>
          <w:sz w:val="20"/>
          <w:szCs w:val="20"/>
        </w:rPr>
        <w:t>Art. </w:t>
      </w:r>
      <w:r w:rsidRPr="009118AB">
        <w:rPr>
          <w:i/>
          <w:iCs/>
          <w:sz w:val="20"/>
          <w:szCs w:val="20"/>
        </w:rPr>
        <w:t>80 des G. vom 28. April 2003 (B.S. vom 15. Mai 2003)</w:t>
      </w:r>
      <w:r w:rsidR="00D67EB8" w:rsidRPr="009118AB">
        <w:rPr>
          <w:i/>
          <w:iCs/>
          <w:sz w:val="20"/>
          <w:szCs w:val="20"/>
        </w:rPr>
        <w:t> - </w:t>
      </w:r>
      <w:r w:rsidRPr="009118AB">
        <w:rPr>
          <w:i/>
          <w:iCs/>
          <w:sz w:val="20"/>
          <w:szCs w:val="20"/>
        </w:rPr>
        <w:t xml:space="preserve">anwendbar auf Leibrenten, Renten, Entschädigungen, andere als in </w:t>
      </w:r>
      <w:r w:rsidR="00D67EB8" w:rsidRPr="009118AB">
        <w:rPr>
          <w:i/>
          <w:iCs/>
          <w:sz w:val="20"/>
          <w:szCs w:val="20"/>
        </w:rPr>
        <w:t>Art. </w:t>
      </w:r>
      <w:r w:rsidRPr="009118AB">
        <w:rPr>
          <w:i/>
          <w:iCs/>
          <w:sz w:val="20"/>
          <w:szCs w:val="20"/>
        </w:rPr>
        <w:t xml:space="preserve">23 </w:t>
      </w:r>
      <w:r w:rsidR="00D67EB8" w:rsidRPr="009118AB">
        <w:rPr>
          <w:i/>
          <w:iCs/>
          <w:sz w:val="20"/>
          <w:szCs w:val="20"/>
        </w:rPr>
        <w:t>§ </w:t>
      </w:r>
      <w:r w:rsidRPr="009118AB">
        <w:rPr>
          <w:i/>
          <w:iCs/>
          <w:sz w:val="20"/>
          <w:szCs w:val="20"/>
        </w:rPr>
        <w:t xml:space="preserve">3 Buchstabe A </w:t>
      </w:r>
      <w:r w:rsidR="00D67EB8" w:rsidRPr="009118AB">
        <w:rPr>
          <w:i/>
          <w:iCs/>
          <w:sz w:val="20"/>
          <w:szCs w:val="20"/>
        </w:rPr>
        <w:t>Nr. </w:t>
      </w:r>
      <w:r w:rsidRPr="009118AB">
        <w:rPr>
          <w:i/>
          <w:iCs/>
          <w:sz w:val="20"/>
          <w:szCs w:val="20"/>
        </w:rPr>
        <w:t>6 erwähnte Kapitalien, Rückkaufswerte von Lebensversicherungs</w:t>
      </w:r>
      <w:r w:rsidRPr="009118AB">
        <w:rPr>
          <w:i/>
          <w:iCs/>
          <w:sz w:val="20"/>
          <w:szCs w:val="20"/>
        </w:rPr>
        <w:softHyphen/>
        <w:t>verträgen, Pensionen und ergänzende Pensionen, die ab dem 1. Januar 2004 ausgezahlt werden</w:t>
      </w:r>
      <w:r w:rsidR="003366D9" w:rsidRPr="009118AB">
        <w:rPr>
          <w:i/>
          <w:iCs/>
          <w:sz w:val="20"/>
          <w:szCs w:val="20"/>
        </w:rPr>
        <w:t> -;</w:t>
      </w:r>
      <w:r w:rsidRPr="009118AB">
        <w:rPr>
          <w:i/>
          <w:iCs/>
          <w:sz w:val="20"/>
          <w:szCs w:val="20"/>
        </w:rPr>
        <w:t xml:space="preserve"> einziger Absatz </w:t>
      </w:r>
      <w:r w:rsidR="00D67EB8" w:rsidRPr="009118AB">
        <w:rPr>
          <w:i/>
          <w:iCs/>
          <w:sz w:val="20"/>
          <w:szCs w:val="20"/>
        </w:rPr>
        <w:t>Nr. </w:t>
      </w:r>
      <w:r w:rsidRPr="009118AB">
        <w:rPr>
          <w:i/>
          <w:iCs/>
          <w:sz w:val="20"/>
          <w:szCs w:val="20"/>
        </w:rPr>
        <w:t xml:space="preserve">24 eingefügt durch </w:t>
      </w:r>
      <w:r w:rsidR="00D67EB8" w:rsidRPr="009118AB">
        <w:rPr>
          <w:i/>
          <w:iCs/>
          <w:sz w:val="20"/>
          <w:szCs w:val="20"/>
        </w:rPr>
        <w:t>Art. </w:t>
      </w:r>
      <w:r w:rsidRPr="009118AB">
        <w:rPr>
          <w:i/>
          <w:iCs/>
          <w:sz w:val="20"/>
          <w:szCs w:val="20"/>
        </w:rPr>
        <w:t>8 des G. vom 11. Mai 2007 (B.S. vom 8. Juni 2007)</w:t>
      </w:r>
      <w:r w:rsidR="00D67EB8" w:rsidRPr="009118AB">
        <w:rPr>
          <w:i/>
          <w:iCs/>
          <w:sz w:val="20"/>
          <w:szCs w:val="20"/>
        </w:rPr>
        <w:t> - </w:t>
      </w:r>
      <w:r w:rsidRPr="009118AB">
        <w:rPr>
          <w:i/>
          <w:iCs/>
          <w:sz w:val="20"/>
          <w:szCs w:val="20"/>
        </w:rPr>
        <w:t>in Kraft ab dem 8. Juni 2007</w:t>
      </w:r>
      <w:r w:rsidR="003366D9" w:rsidRPr="009118AB">
        <w:rPr>
          <w:i/>
          <w:iCs/>
          <w:sz w:val="20"/>
          <w:szCs w:val="20"/>
        </w:rPr>
        <w:t> -;</w:t>
      </w:r>
      <w:r w:rsidR="00B374EA" w:rsidRPr="009118AB">
        <w:rPr>
          <w:i/>
          <w:iCs/>
          <w:sz w:val="20"/>
          <w:szCs w:val="20"/>
        </w:rPr>
        <w:t xml:space="preserve"> einziger Absatz </w:t>
      </w:r>
      <w:r w:rsidR="00D67EB8" w:rsidRPr="009118AB">
        <w:rPr>
          <w:i/>
          <w:iCs/>
          <w:sz w:val="20"/>
          <w:szCs w:val="20"/>
        </w:rPr>
        <w:t>Nr. </w:t>
      </w:r>
      <w:r w:rsidR="00B374EA" w:rsidRPr="009118AB">
        <w:rPr>
          <w:i/>
          <w:iCs/>
          <w:sz w:val="20"/>
          <w:szCs w:val="20"/>
        </w:rPr>
        <w:t xml:space="preserve">25 eingefügt durch </w:t>
      </w:r>
      <w:r w:rsidR="00D67EB8" w:rsidRPr="009118AB">
        <w:rPr>
          <w:i/>
          <w:iCs/>
          <w:sz w:val="20"/>
          <w:szCs w:val="20"/>
        </w:rPr>
        <w:t>Art. </w:t>
      </w:r>
      <w:r w:rsidR="00B374EA" w:rsidRPr="009118AB">
        <w:rPr>
          <w:i/>
          <w:iCs/>
          <w:sz w:val="20"/>
          <w:szCs w:val="20"/>
        </w:rPr>
        <w:t>6 des G. vom 22. Oktober 2017 (B.S. vom 18. Dezember 2017)</w:t>
      </w:r>
      <w:r w:rsidR="00D67EB8" w:rsidRPr="009118AB">
        <w:rPr>
          <w:i/>
          <w:iCs/>
          <w:sz w:val="20"/>
          <w:szCs w:val="20"/>
        </w:rPr>
        <w:t> - </w:t>
      </w:r>
      <w:r w:rsidR="00B374EA" w:rsidRPr="009118AB">
        <w:rPr>
          <w:i/>
          <w:iCs/>
          <w:sz w:val="20"/>
          <w:szCs w:val="20"/>
        </w:rPr>
        <w:t>anwendbar auf Rückzahlungen der ab dem 1. Januar 2018 erhaltenen Entschädigungen</w:t>
      </w:r>
      <w:r w:rsidR="003366D9" w:rsidRPr="009118AB">
        <w:rPr>
          <w:i/>
          <w:iCs/>
          <w:sz w:val="20"/>
          <w:szCs w:val="20"/>
        </w:rPr>
        <w:t> -;</w:t>
      </w:r>
      <w:r w:rsidR="00880039" w:rsidRPr="009118AB">
        <w:rPr>
          <w:i/>
          <w:iCs/>
          <w:sz w:val="20"/>
          <w:szCs w:val="20"/>
        </w:rPr>
        <w:t xml:space="preserve"> einziger Absatz </w:t>
      </w:r>
      <w:r w:rsidR="00D67EB8" w:rsidRPr="009118AB">
        <w:rPr>
          <w:i/>
          <w:iCs/>
          <w:sz w:val="20"/>
          <w:szCs w:val="20"/>
        </w:rPr>
        <w:t>Nr. </w:t>
      </w:r>
      <w:r w:rsidR="00880039" w:rsidRPr="009118AB">
        <w:rPr>
          <w:i/>
          <w:iCs/>
          <w:sz w:val="20"/>
          <w:szCs w:val="20"/>
        </w:rPr>
        <w:t xml:space="preserve">26 eingefügt durch </w:t>
      </w:r>
      <w:r w:rsidR="00D67EB8" w:rsidRPr="009118AB">
        <w:rPr>
          <w:i/>
          <w:iCs/>
          <w:sz w:val="20"/>
          <w:szCs w:val="20"/>
        </w:rPr>
        <w:t>Art. </w:t>
      </w:r>
      <w:r w:rsidR="00880039" w:rsidRPr="009118AB">
        <w:rPr>
          <w:i/>
          <w:iCs/>
          <w:sz w:val="20"/>
          <w:szCs w:val="20"/>
        </w:rPr>
        <w:t>20 des G. vom 26. März 2018 (B.S. vom 30. März 2018)</w:t>
      </w:r>
      <w:r w:rsidR="00D67EB8" w:rsidRPr="009118AB">
        <w:rPr>
          <w:i/>
          <w:iCs/>
          <w:sz w:val="20"/>
          <w:szCs w:val="20"/>
        </w:rPr>
        <w:t> - </w:t>
      </w:r>
      <w:r w:rsidR="00880039" w:rsidRPr="009118AB">
        <w:rPr>
          <w:i/>
          <w:iCs/>
          <w:sz w:val="20"/>
          <w:szCs w:val="20"/>
        </w:rPr>
        <w:t>in Kraft am 1. Juli 2018 und anwendbar auf alle ab dem 1. Juli 2018 abgeschlossenen Arbeitsverträge</w:t>
      </w:r>
      <w:r w:rsidR="00D67EB8" w:rsidRPr="009118AB">
        <w:rPr>
          <w:i/>
          <w:iCs/>
          <w:sz w:val="20"/>
          <w:szCs w:val="20"/>
        </w:rPr>
        <w:t> - </w:t>
      </w:r>
      <w:r w:rsidR="00BC3C7C" w:rsidRPr="009118AB">
        <w:rPr>
          <w:i/>
          <w:iCs/>
          <w:sz w:val="20"/>
          <w:szCs w:val="20"/>
        </w:rPr>
        <w:t xml:space="preserve">und abgeändert durch </w:t>
      </w:r>
      <w:r w:rsidR="00D67EB8" w:rsidRPr="009118AB">
        <w:rPr>
          <w:i/>
          <w:iCs/>
          <w:sz w:val="20"/>
          <w:szCs w:val="20"/>
        </w:rPr>
        <w:t>Art. </w:t>
      </w:r>
      <w:r w:rsidR="00BC3C7C" w:rsidRPr="009118AB">
        <w:rPr>
          <w:i/>
          <w:iCs/>
          <w:sz w:val="20"/>
          <w:szCs w:val="20"/>
        </w:rPr>
        <w:t>10 des G. vom 23. März </w:t>
      </w:r>
      <w:r w:rsidR="00E951F6" w:rsidRPr="009118AB">
        <w:rPr>
          <w:i/>
          <w:iCs/>
          <w:sz w:val="20"/>
          <w:szCs w:val="20"/>
        </w:rPr>
        <w:t>2019 (B.S. vom 5. April 2019)</w:t>
      </w:r>
      <w:r w:rsidR="00D67EB8" w:rsidRPr="009118AB">
        <w:rPr>
          <w:i/>
          <w:iCs/>
          <w:sz w:val="20"/>
          <w:szCs w:val="20"/>
        </w:rPr>
        <w:t> - </w:t>
      </w:r>
      <w:r w:rsidR="00BC3C7C" w:rsidRPr="009118AB">
        <w:rPr>
          <w:i/>
          <w:iCs/>
          <w:sz w:val="20"/>
          <w:szCs w:val="20"/>
        </w:rPr>
        <w:t xml:space="preserve">anwendbar auf die ab dem 1. Januar 2019 gezahlten oder zuerkannten </w:t>
      </w:r>
      <w:r w:rsidR="00BC3C7C" w:rsidRPr="009118AB">
        <w:rPr>
          <w:i/>
          <w:iCs/>
          <w:sz w:val="20"/>
          <w:szCs w:val="20"/>
        </w:rPr>
        <w:lastRenderedPageBreak/>
        <w:t>Zuschläge</w:t>
      </w:r>
      <w:r w:rsidR="003366D9" w:rsidRPr="009118AB">
        <w:rPr>
          <w:i/>
          <w:iCs/>
          <w:sz w:val="20"/>
          <w:szCs w:val="20"/>
        </w:rPr>
        <w:t> -;</w:t>
      </w:r>
      <w:r w:rsidR="008132B3" w:rsidRPr="009118AB">
        <w:rPr>
          <w:i/>
          <w:iCs/>
          <w:sz w:val="20"/>
          <w:szCs w:val="20"/>
        </w:rPr>
        <w:t xml:space="preserve"> einziger Absatz</w:t>
      </w:r>
      <w:r w:rsidR="002C29F9" w:rsidRPr="009118AB">
        <w:rPr>
          <w:i/>
          <w:iCs/>
          <w:sz w:val="20"/>
          <w:szCs w:val="20"/>
        </w:rPr>
        <w:t xml:space="preserve"> </w:t>
      </w:r>
      <w:r w:rsidR="00D67EB8" w:rsidRPr="009118AB">
        <w:rPr>
          <w:i/>
          <w:iCs/>
          <w:sz w:val="20"/>
          <w:szCs w:val="20"/>
        </w:rPr>
        <w:t>Nr. </w:t>
      </w:r>
      <w:r w:rsidR="008132B3" w:rsidRPr="009118AB">
        <w:rPr>
          <w:i/>
          <w:iCs/>
          <w:sz w:val="20"/>
          <w:szCs w:val="20"/>
        </w:rPr>
        <w:t xml:space="preserve">27 eingefügt durch </w:t>
      </w:r>
      <w:r w:rsidR="00D67EB8" w:rsidRPr="009118AB">
        <w:rPr>
          <w:i/>
          <w:iCs/>
          <w:sz w:val="20"/>
          <w:szCs w:val="20"/>
        </w:rPr>
        <w:t>Art. </w:t>
      </w:r>
      <w:r w:rsidR="008132B3" w:rsidRPr="009118AB">
        <w:rPr>
          <w:i/>
          <w:iCs/>
          <w:sz w:val="20"/>
          <w:szCs w:val="20"/>
        </w:rPr>
        <w:t>26 des G. vom 7. April 2019 (I) (B.S. vom 19. April 2019)</w:t>
      </w:r>
      <w:r w:rsidR="00D85DB4" w:rsidRPr="009118AB">
        <w:rPr>
          <w:i/>
          <w:iCs/>
          <w:sz w:val="20"/>
          <w:szCs w:val="20"/>
        </w:rPr>
        <w:t xml:space="preserve"> und aufgehoben durch Art. 10 des G. vom 31. Juli 2023 (II) (B.S. vom 23. August 2023)</w:t>
      </w:r>
      <w:r w:rsidR="007B107B" w:rsidRPr="009118AB">
        <w:rPr>
          <w:i/>
          <w:iCs/>
          <w:sz w:val="20"/>
          <w:szCs w:val="20"/>
        </w:rPr>
        <w:t>; einziger Absatz zweite Nummer</w:t>
      </w:r>
      <w:r w:rsidR="002C29F9" w:rsidRPr="009118AB">
        <w:rPr>
          <w:i/>
          <w:iCs/>
          <w:sz w:val="20"/>
          <w:szCs w:val="20"/>
        </w:rPr>
        <w:t xml:space="preserve"> 27 eingefügt durch </w:t>
      </w:r>
      <w:r w:rsidR="00D67EB8" w:rsidRPr="009118AB">
        <w:rPr>
          <w:i/>
          <w:iCs/>
          <w:sz w:val="20"/>
          <w:szCs w:val="20"/>
        </w:rPr>
        <w:t>Art. </w:t>
      </w:r>
      <w:r w:rsidR="002C29F9" w:rsidRPr="009118AB">
        <w:rPr>
          <w:i/>
          <w:iCs/>
          <w:sz w:val="20"/>
          <w:szCs w:val="20"/>
        </w:rPr>
        <w:t>13 des G. vom 22. April 2019</w:t>
      </w:r>
      <w:r w:rsidR="00E9160D" w:rsidRPr="009118AB">
        <w:rPr>
          <w:i/>
          <w:iCs/>
          <w:sz w:val="20"/>
          <w:szCs w:val="20"/>
        </w:rPr>
        <w:t> (I)</w:t>
      </w:r>
      <w:r w:rsidR="002C29F9" w:rsidRPr="009118AB">
        <w:rPr>
          <w:i/>
          <w:iCs/>
          <w:sz w:val="20"/>
          <w:szCs w:val="20"/>
        </w:rPr>
        <w:t xml:space="preserve"> (B.S. vom 8. Mai 2019)</w:t>
      </w:r>
      <w:r w:rsidR="00D67EB8" w:rsidRPr="009118AB">
        <w:rPr>
          <w:i/>
          <w:iCs/>
          <w:sz w:val="20"/>
          <w:szCs w:val="20"/>
        </w:rPr>
        <w:t> - </w:t>
      </w:r>
      <w:r w:rsidR="002C29F9" w:rsidRPr="009118AB">
        <w:rPr>
          <w:i/>
          <w:iCs/>
          <w:sz w:val="20"/>
          <w:szCs w:val="20"/>
        </w:rPr>
        <w:t>anwendbar ab dem Steuerjahr 2020 auf die ab dem 1. September 2019 gezahlten Prämien</w:t>
      </w:r>
      <w:r w:rsidR="00D67EB8" w:rsidRPr="009118AB">
        <w:rPr>
          <w:i/>
          <w:iCs/>
          <w:sz w:val="20"/>
          <w:szCs w:val="20"/>
        </w:rPr>
        <w:t> - </w:t>
      </w:r>
      <w:r w:rsidR="000C0C82" w:rsidRPr="009118AB">
        <w:rPr>
          <w:i/>
          <w:iCs/>
          <w:sz w:val="20"/>
          <w:szCs w:val="20"/>
        </w:rPr>
        <w:t xml:space="preserve">und umnummeriert zu </w:t>
      </w:r>
      <w:r w:rsidR="00D67EB8" w:rsidRPr="009118AB">
        <w:rPr>
          <w:i/>
          <w:iCs/>
          <w:sz w:val="20"/>
          <w:szCs w:val="20"/>
        </w:rPr>
        <w:t>Nr. </w:t>
      </w:r>
      <w:r w:rsidR="000C0C82" w:rsidRPr="009118AB">
        <w:rPr>
          <w:i/>
          <w:iCs/>
          <w:sz w:val="20"/>
          <w:szCs w:val="20"/>
        </w:rPr>
        <w:t xml:space="preserve">28 durch </w:t>
      </w:r>
      <w:r w:rsidR="00D67EB8" w:rsidRPr="009118AB">
        <w:rPr>
          <w:i/>
          <w:iCs/>
          <w:sz w:val="20"/>
          <w:szCs w:val="20"/>
        </w:rPr>
        <w:t>Art. </w:t>
      </w:r>
      <w:r w:rsidR="000C0C82" w:rsidRPr="009118AB">
        <w:rPr>
          <w:i/>
          <w:iCs/>
          <w:sz w:val="20"/>
          <w:szCs w:val="20"/>
        </w:rPr>
        <w:t>26 des G. vom 27. Juni 2021 (B.S. vom 30. Juni 2021)</w:t>
      </w:r>
      <w:r w:rsidR="00E13F17" w:rsidRPr="009118AB">
        <w:rPr>
          <w:i/>
          <w:iCs/>
          <w:sz w:val="20"/>
          <w:szCs w:val="20"/>
        </w:rPr>
        <w:t xml:space="preserve">; einziger Absatz </w:t>
      </w:r>
      <w:r w:rsidR="00D67EB8" w:rsidRPr="009118AB">
        <w:rPr>
          <w:i/>
          <w:iCs/>
          <w:sz w:val="20"/>
          <w:szCs w:val="20"/>
        </w:rPr>
        <w:t>Nr. </w:t>
      </w:r>
      <w:r w:rsidR="00E13F17" w:rsidRPr="009118AB">
        <w:rPr>
          <w:i/>
          <w:iCs/>
          <w:sz w:val="20"/>
          <w:szCs w:val="20"/>
        </w:rPr>
        <w:t xml:space="preserve">29 eingefügt durch </w:t>
      </w:r>
      <w:r w:rsidR="00D67EB8" w:rsidRPr="009118AB">
        <w:rPr>
          <w:i/>
          <w:iCs/>
          <w:sz w:val="20"/>
          <w:szCs w:val="20"/>
        </w:rPr>
        <w:t>Art. </w:t>
      </w:r>
      <w:r w:rsidR="00E13F17" w:rsidRPr="009118AB">
        <w:rPr>
          <w:i/>
          <w:iCs/>
          <w:sz w:val="20"/>
          <w:szCs w:val="20"/>
        </w:rPr>
        <w:t>17 des G. vom 17. Februar 2021</w:t>
      </w:r>
      <w:r w:rsidR="007A716D" w:rsidRPr="009118AB">
        <w:rPr>
          <w:i/>
          <w:iCs/>
          <w:sz w:val="20"/>
          <w:szCs w:val="20"/>
        </w:rPr>
        <w:t> (I)</w:t>
      </w:r>
      <w:r w:rsidR="00E13F17" w:rsidRPr="009118AB">
        <w:rPr>
          <w:i/>
          <w:iCs/>
          <w:sz w:val="20"/>
          <w:szCs w:val="20"/>
        </w:rPr>
        <w:t xml:space="preserve"> (B.S. vom 25. Februar 2021)</w:t>
      </w:r>
      <w:r w:rsidR="00D67EB8" w:rsidRPr="009118AB">
        <w:rPr>
          <w:i/>
          <w:iCs/>
          <w:sz w:val="20"/>
          <w:szCs w:val="20"/>
        </w:rPr>
        <w:t> - </w:t>
      </w:r>
      <w:r w:rsidR="00E13F17" w:rsidRPr="009118AB">
        <w:rPr>
          <w:i/>
          <w:iCs/>
          <w:sz w:val="20"/>
          <w:szCs w:val="20"/>
        </w:rPr>
        <w:t>in Kraft am 26. Februar 2021</w:t>
      </w:r>
      <w:r w:rsidR="003366D9" w:rsidRPr="009118AB">
        <w:rPr>
          <w:i/>
          <w:iCs/>
          <w:sz w:val="20"/>
          <w:szCs w:val="20"/>
        </w:rPr>
        <w:t> -;</w:t>
      </w:r>
      <w:r w:rsidR="006B7F62" w:rsidRPr="009118AB">
        <w:rPr>
          <w:i/>
          <w:iCs/>
          <w:sz w:val="20"/>
          <w:szCs w:val="20"/>
        </w:rPr>
        <w:t xml:space="preserve"> einziger Absatz </w:t>
      </w:r>
      <w:r w:rsidR="00D67EB8" w:rsidRPr="009118AB">
        <w:rPr>
          <w:i/>
          <w:iCs/>
          <w:sz w:val="20"/>
          <w:szCs w:val="20"/>
        </w:rPr>
        <w:t>Nr. </w:t>
      </w:r>
      <w:r w:rsidR="006B7F62" w:rsidRPr="009118AB">
        <w:rPr>
          <w:i/>
          <w:iCs/>
          <w:sz w:val="20"/>
          <w:szCs w:val="20"/>
        </w:rPr>
        <w:t xml:space="preserve">30 eingefügt durch </w:t>
      </w:r>
      <w:r w:rsidR="00D67EB8" w:rsidRPr="009118AB">
        <w:rPr>
          <w:i/>
          <w:iCs/>
          <w:sz w:val="20"/>
          <w:szCs w:val="20"/>
        </w:rPr>
        <w:t>Art. </w:t>
      </w:r>
      <w:r w:rsidR="006B7F62" w:rsidRPr="009118AB">
        <w:rPr>
          <w:i/>
          <w:iCs/>
          <w:sz w:val="20"/>
          <w:szCs w:val="20"/>
        </w:rPr>
        <w:t>40 des G. vom 28. März 2022 (B.S. vom 31. März 2022)</w:t>
      </w:r>
      <w:r w:rsidR="00D67EB8" w:rsidRPr="009118AB">
        <w:rPr>
          <w:i/>
          <w:iCs/>
          <w:sz w:val="20"/>
          <w:szCs w:val="20"/>
        </w:rPr>
        <w:t> - </w:t>
      </w:r>
      <w:r w:rsidR="006B7F62" w:rsidRPr="009118AB">
        <w:rPr>
          <w:i/>
          <w:iCs/>
          <w:sz w:val="20"/>
          <w:szCs w:val="20"/>
        </w:rPr>
        <w:t>in Kraft am 1. April 2022</w:t>
      </w:r>
      <w:r w:rsidR="00FD68E8" w:rsidRPr="009118AB">
        <w:rPr>
          <w:i/>
          <w:iCs/>
          <w:sz w:val="20"/>
          <w:szCs w:val="20"/>
        </w:rPr>
        <w:t> -</w:t>
      </w:r>
      <w:r w:rsidR="007433D3" w:rsidRPr="009118AB">
        <w:rPr>
          <w:i/>
          <w:iCs/>
          <w:sz w:val="20"/>
          <w:szCs w:val="20"/>
        </w:rPr>
        <w:t>; einziger Absatz Nr. 31 eingefügt durch Art. 41 des G. vom 20. November 2022 (B.S. vom 30. November 2022) - in Kraft am 1. April 2022 </w:t>
      </w:r>
      <w:r w:rsidR="007433D3" w:rsidRPr="00A92612">
        <w:rPr>
          <w:i/>
          <w:iCs/>
          <w:sz w:val="20"/>
          <w:szCs w:val="20"/>
        </w:rPr>
        <w:t>-</w:t>
      </w:r>
      <w:r w:rsidR="00A92612" w:rsidRPr="00A92612">
        <w:rPr>
          <w:i/>
          <w:iCs/>
          <w:sz w:val="20"/>
          <w:szCs w:val="20"/>
        </w:rPr>
        <w:t xml:space="preserve">; </w:t>
      </w:r>
      <w:r w:rsidR="00A92612" w:rsidRPr="00A92612">
        <w:rPr>
          <w:rFonts w:ascii="Times New Roman Italique" w:hAnsi="Times New Roman Italique"/>
          <w:i/>
          <w:sz w:val="20"/>
          <w:szCs w:val="20"/>
        </w:rPr>
        <w:t>einziger Absatz Nr.</w:t>
      </w:r>
      <w:r w:rsidR="00A92612" w:rsidRPr="00A92612">
        <w:rPr>
          <w:rFonts w:ascii="Times New Roman Italique" w:hAnsi="Times New Roman Italique" w:hint="eastAsia"/>
          <w:i/>
          <w:sz w:val="20"/>
          <w:szCs w:val="20"/>
        </w:rPr>
        <w:t> </w:t>
      </w:r>
      <w:r w:rsidR="00A92612" w:rsidRPr="00A92612">
        <w:rPr>
          <w:rFonts w:ascii="Times New Roman Italique" w:hAnsi="Times New Roman Italique"/>
          <w:i/>
          <w:sz w:val="20"/>
          <w:szCs w:val="20"/>
        </w:rPr>
        <w:t>32 eingefügt durch</w:t>
      </w:r>
      <w:r w:rsidR="00A92612" w:rsidRPr="00A92612">
        <w:rPr>
          <w:i/>
          <w:iCs/>
          <w:spacing w:val="-2"/>
          <w:sz w:val="20"/>
          <w:szCs w:val="20"/>
        </w:rPr>
        <w:t xml:space="preserve"> Art. 50 des G. vom 28. Dezember 2023 (B.S. vom 29. Dezember 2023) - anwendbar </w:t>
      </w:r>
      <w:r w:rsidR="00A92612" w:rsidRPr="00A92612">
        <w:rPr>
          <w:i/>
          <w:iCs/>
          <w:sz w:val="20"/>
          <w:szCs w:val="20"/>
        </w:rPr>
        <w:t>auf die ab dem 1. Januar 2024 geschuldeten Steuern -</w:t>
      </w:r>
      <w:r w:rsidR="00F02CF0">
        <w:rPr>
          <w:i/>
          <w:iCs/>
          <w:sz w:val="20"/>
          <w:szCs w:val="20"/>
        </w:rPr>
        <w:t xml:space="preserve">; </w:t>
      </w:r>
      <w:r w:rsidR="00F02CF0" w:rsidRPr="00F02CF0">
        <w:rPr>
          <w:rFonts w:ascii="Times New Roman Italique" w:hAnsi="Times New Roman Italique"/>
          <w:i/>
          <w:sz w:val="20"/>
          <w:szCs w:val="20"/>
        </w:rPr>
        <w:t>einziger Absatz Nr.</w:t>
      </w:r>
      <w:r w:rsidR="00F02CF0" w:rsidRPr="00F02CF0">
        <w:rPr>
          <w:rFonts w:ascii="Times New Roman Italique" w:hAnsi="Times New Roman Italique" w:hint="eastAsia"/>
          <w:i/>
          <w:sz w:val="20"/>
          <w:szCs w:val="20"/>
        </w:rPr>
        <w:t> </w:t>
      </w:r>
      <w:r w:rsidR="00F02CF0" w:rsidRPr="00F02CF0">
        <w:rPr>
          <w:rFonts w:ascii="Times New Roman Italique" w:hAnsi="Times New Roman Italique"/>
          <w:i/>
          <w:sz w:val="20"/>
          <w:szCs w:val="20"/>
        </w:rPr>
        <w:t>33 eingefügt durch</w:t>
      </w:r>
      <w:r w:rsidR="00F02CF0" w:rsidRPr="00F02CF0">
        <w:rPr>
          <w:i/>
          <w:iCs/>
          <w:spacing w:val="-2"/>
          <w:sz w:val="20"/>
          <w:szCs w:val="20"/>
        </w:rPr>
        <w:t xml:space="preserve"> Art. 83 des G. vom 28. Dezember 2023 (B.S. vom 29. Dezember 2023) - in Kraft ab </w:t>
      </w:r>
      <w:r w:rsidR="00F02CF0" w:rsidRPr="00F02CF0">
        <w:rPr>
          <w:i/>
          <w:iCs/>
          <w:sz w:val="20"/>
          <w:szCs w:val="20"/>
        </w:rPr>
        <w:t xml:space="preserve">dem </w:t>
      </w:r>
      <w:r w:rsidR="00F02CF0" w:rsidRPr="0006742B">
        <w:rPr>
          <w:i/>
          <w:iCs/>
          <w:sz w:val="20"/>
          <w:szCs w:val="20"/>
        </w:rPr>
        <w:t>Steuerjahr 2024</w:t>
      </w:r>
      <w:r w:rsidR="00F02CF0" w:rsidRPr="0006742B">
        <w:rPr>
          <w:sz w:val="20"/>
          <w:szCs w:val="20"/>
        </w:rPr>
        <w:t> </w:t>
      </w:r>
      <w:r w:rsidR="00F02CF0" w:rsidRPr="0006742B">
        <w:rPr>
          <w:i/>
          <w:iCs/>
          <w:sz w:val="20"/>
          <w:szCs w:val="20"/>
        </w:rPr>
        <w:t>-</w:t>
      </w:r>
      <w:r w:rsidR="0006742B" w:rsidRPr="0006742B">
        <w:rPr>
          <w:i/>
          <w:iCs/>
          <w:sz w:val="20"/>
          <w:szCs w:val="20"/>
        </w:rPr>
        <w:t xml:space="preserve">; </w:t>
      </w:r>
      <w:r w:rsidR="0006742B" w:rsidRPr="0006742B">
        <w:rPr>
          <w:rFonts w:ascii="Times New Roman Italique" w:hAnsi="Times New Roman Italique"/>
          <w:i/>
          <w:sz w:val="20"/>
          <w:szCs w:val="20"/>
        </w:rPr>
        <w:t>einziger Absatz Nr.</w:t>
      </w:r>
      <w:r w:rsidR="0006742B" w:rsidRPr="0006742B">
        <w:rPr>
          <w:rFonts w:ascii="Times New Roman Italique" w:hAnsi="Times New Roman Italique" w:hint="eastAsia"/>
          <w:i/>
          <w:sz w:val="20"/>
          <w:szCs w:val="20"/>
        </w:rPr>
        <w:t> </w:t>
      </w:r>
      <w:r w:rsidR="0006742B" w:rsidRPr="0006742B">
        <w:rPr>
          <w:rFonts w:ascii="Times New Roman Italique" w:hAnsi="Times New Roman Italique"/>
          <w:i/>
          <w:sz w:val="20"/>
          <w:szCs w:val="20"/>
        </w:rPr>
        <w:t xml:space="preserve">34 eingefügt durch </w:t>
      </w:r>
      <w:r w:rsidR="0006742B" w:rsidRPr="0006742B">
        <w:rPr>
          <w:rFonts w:ascii="Times New Roman Italique" w:hAnsi="Times New Roman Italique"/>
          <w:i/>
          <w:iCs/>
          <w:sz w:val="20"/>
          <w:szCs w:val="20"/>
        </w:rPr>
        <w:t>Art. 2 des G. vom 20. Dezember 2024 (B.S. vom 31. Dezember 2024) - anwendbar ab dem Besteuerungszeitraum</w:t>
      </w:r>
      <w:r w:rsidR="0006742B" w:rsidRPr="0006742B">
        <w:rPr>
          <w:rFonts w:ascii="Times New Roman Italique" w:hAnsi="Times New Roman Italique" w:hint="eastAsia"/>
          <w:i/>
          <w:iCs/>
          <w:sz w:val="20"/>
          <w:szCs w:val="20"/>
        </w:rPr>
        <w:t> </w:t>
      </w:r>
      <w:r w:rsidR="0006742B" w:rsidRPr="0006742B">
        <w:rPr>
          <w:rFonts w:ascii="Times New Roman Italique" w:hAnsi="Times New Roman Italique"/>
          <w:i/>
          <w:iCs/>
          <w:sz w:val="20"/>
          <w:szCs w:val="20"/>
        </w:rPr>
        <w:t>2024</w:t>
      </w:r>
      <w:r w:rsidR="0006742B" w:rsidRPr="0006742B">
        <w:rPr>
          <w:rFonts w:ascii="Times New Roman Italique" w:hAnsi="Times New Roman Italique" w:hint="eastAsia"/>
          <w:i/>
          <w:iCs/>
          <w:sz w:val="20"/>
          <w:szCs w:val="20"/>
        </w:rPr>
        <w:t> </w:t>
      </w:r>
      <w:r w:rsidR="0006742B" w:rsidRPr="0006742B">
        <w:rPr>
          <w:rFonts w:ascii="Times New Roman Italique" w:hAnsi="Times New Roman Italique"/>
          <w:i/>
          <w:iCs/>
          <w:sz w:val="20"/>
          <w:szCs w:val="20"/>
        </w:rPr>
        <w:t>-</w:t>
      </w:r>
      <w:r w:rsidR="00FD68E8" w:rsidRPr="0006742B">
        <w:rPr>
          <w:i/>
          <w:iCs/>
          <w:sz w:val="20"/>
          <w:szCs w:val="20"/>
        </w:rPr>
        <w:t>]</w:t>
      </w:r>
      <w:r w:rsidR="00880039" w:rsidRPr="0006742B">
        <w:rPr>
          <w:iCs/>
          <w:sz w:val="20"/>
          <w:szCs w:val="20"/>
        </w:rPr>
        <w:t>"</w:t>
      </w:r>
    </w:p>
    <w:p w14:paraId="313E6837" w14:textId="77777777" w:rsidR="00477B8F" w:rsidRPr="009118AB" w:rsidRDefault="00477B8F" w:rsidP="00477B8F">
      <w:pPr>
        <w:autoSpaceDE w:val="0"/>
        <w:autoSpaceDN w:val="0"/>
        <w:adjustRightInd w:val="0"/>
        <w:jc w:val="both"/>
      </w:pPr>
    </w:p>
    <w:p w14:paraId="4230D64E" w14:textId="7300C0ED" w:rsidR="003011A8" w:rsidRPr="009118AB" w:rsidRDefault="003011A8" w:rsidP="00477B8F">
      <w:pPr>
        <w:autoSpaceDE w:val="0"/>
        <w:autoSpaceDN w:val="0"/>
        <w:adjustRightInd w:val="0"/>
        <w:jc w:val="both"/>
      </w:pPr>
    </w:p>
    <w:p w14:paraId="78A55470" w14:textId="7F34CC0F" w:rsidR="00730FFE" w:rsidRPr="009118AB" w:rsidRDefault="00730FFE" w:rsidP="00477B8F">
      <w:pPr>
        <w:autoSpaceDE w:val="0"/>
        <w:autoSpaceDN w:val="0"/>
        <w:adjustRightInd w:val="0"/>
        <w:jc w:val="both"/>
        <w:rPr>
          <w:lang w:eastAsia="fr-BE"/>
        </w:rPr>
      </w:pPr>
      <w:r w:rsidRPr="009118AB">
        <w:tab/>
        <w:t>[</w:t>
      </w:r>
      <w:r w:rsidR="00D67EB8" w:rsidRPr="009118AB">
        <w:rPr>
          <w:b/>
          <w:bCs/>
          <w:lang w:eastAsia="fr-BE"/>
        </w:rPr>
        <w:t>Art. </w:t>
      </w:r>
      <w:r w:rsidRPr="009118AB">
        <w:rPr>
          <w:b/>
          <w:bCs/>
          <w:lang w:eastAsia="fr-BE"/>
        </w:rPr>
        <w:t>53/1</w:t>
      </w:r>
      <w:r w:rsidR="00D67EB8" w:rsidRPr="009118AB">
        <w:rPr>
          <w:lang w:eastAsia="fr-BE"/>
        </w:rPr>
        <w:t> - </w:t>
      </w:r>
      <w:r w:rsidRPr="009118AB">
        <w:rPr>
          <w:lang w:eastAsia="fr-BE"/>
        </w:rPr>
        <w:t xml:space="preserve">In Abweichung von Artikel 53 stellen in Artikel 53 </w:t>
      </w:r>
      <w:r w:rsidR="00D67EB8" w:rsidRPr="009118AB">
        <w:rPr>
          <w:lang w:eastAsia="fr-BE"/>
        </w:rPr>
        <w:t>Nr. </w:t>
      </w:r>
      <w:r w:rsidRPr="009118AB">
        <w:rPr>
          <w:lang w:eastAsia="fr-BE"/>
        </w:rPr>
        <w:t>7 bis 9 erwähnte Kosten oder Zuteilungen, die Dritten in Rechnung gestellt werden, unter der Bedingung, dass diese Kosten oder Zuteilungen ausdrücklich und separat auf der Rechnung vermerkt sind, Werbungskosten dar.]</w:t>
      </w:r>
    </w:p>
    <w:p w14:paraId="78EF5E51" w14:textId="77777777" w:rsidR="007433D3" w:rsidRPr="009118AB" w:rsidRDefault="007433D3" w:rsidP="00477B8F">
      <w:pPr>
        <w:autoSpaceDE w:val="0"/>
        <w:autoSpaceDN w:val="0"/>
        <w:adjustRightInd w:val="0"/>
        <w:jc w:val="both"/>
        <w:rPr>
          <w:lang w:eastAsia="fr-BE"/>
        </w:rPr>
      </w:pPr>
    </w:p>
    <w:p w14:paraId="7D0614D9" w14:textId="3B3A3B7A" w:rsidR="007433D3" w:rsidRPr="009118AB" w:rsidRDefault="007433D3" w:rsidP="00477B8F">
      <w:pPr>
        <w:autoSpaceDE w:val="0"/>
        <w:autoSpaceDN w:val="0"/>
        <w:adjustRightInd w:val="0"/>
        <w:jc w:val="both"/>
        <w:rPr>
          <w:lang w:eastAsia="fr-BE"/>
        </w:rPr>
      </w:pPr>
      <w:r w:rsidRPr="009118AB">
        <w:rPr>
          <w:lang w:eastAsia="fr-BE"/>
        </w:rPr>
        <w:tab/>
        <w:t>[</w:t>
      </w:r>
      <w:r w:rsidRPr="009118AB">
        <w:t>In Abweichung von Artikel 53 stellt die in Artikel 53 Nr. 30 erwähnte Steuer, die Dritten in Rechnung gestellt wird, Werbungskosten dar unter der Bedingung, dass diese Steuer ausdrücklich und separat auf der Rechnung vermerkt ist.</w:t>
      </w:r>
      <w:r w:rsidRPr="009118AB">
        <w:rPr>
          <w:lang w:eastAsia="fr-BE"/>
        </w:rPr>
        <w:t>]</w:t>
      </w:r>
    </w:p>
    <w:p w14:paraId="1B724B5D" w14:textId="77777777" w:rsidR="00730FFE" w:rsidRPr="009118AB" w:rsidRDefault="00730FFE" w:rsidP="00477B8F">
      <w:pPr>
        <w:autoSpaceDE w:val="0"/>
        <w:autoSpaceDN w:val="0"/>
        <w:adjustRightInd w:val="0"/>
        <w:jc w:val="both"/>
        <w:rPr>
          <w:lang w:eastAsia="fr-BE"/>
        </w:rPr>
      </w:pPr>
    </w:p>
    <w:p w14:paraId="78BC82FF" w14:textId="73D839AE" w:rsidR="00730FFE" w:rsidRPr="009118AB" w:rsidRDefault="00730FFE" w:rsidP="00730FFE">
      <w:pPr>
        <w:autoSpaceDE w:val="0"/>
        <w:autoSpaceDN w:val="0"/>
        <w:adjustRightInd w:val="0"/>
        <w:jc w:val="both"/>
        <w:rPr>
          <w:i/>
          <w:iCs/>
        </w:rPr>
      </w:pPr>
      <w:r w:rsidRPr="009118AB">
        <w:rPr>
          <w:i/>
          <w:iCs/>
          <w:lang w:eastAsia="fr-BE"/>
        </w:rPr>
        <w:t>[</w:t>
      </w:r>
      <w:r w:rsidR="00D67EB8" w:rsidRPr="009118AB">
        <w:rPr>
          <w:i/>
          <w:iCs/>
          <w:lang w:eastAsia="fr-BE"/>
        </w:rPr>
        <w:t>Art. </w:t>
      </w:r>
      <w:r w:rsidRPr="009118AB">
        <w:rPr>
          <w:i/>
          <w:iCs/>
          <w:lang w:eastAsia="fr-BE"/>
        </w:rPr>
        <w:t xml:space="preserve">53/1 eingefügt durch </w:t>
      </w:r>
      <w:r w:rsidR="00D67EB8" w:rsidRPr="009118AB">
        <w:rPr>
          <w:i/>
          <w:iCs/>
          <w:lang w:eastAsia="fr-BE"/>
        </w:rPr>
        <w:t>Art. </w:t>
      </w:r>
      <w:r w:rsidRPr="009118AB">
        <w:rPr>
          <w:i/>
          <w:iCs/>
          <w:lang w:eastAsia="fr-BE"/>
        </w:rPr>
        <w:t>31</w:t>
      </w:r>
      <w:r w:rsidRPr="009118AB">
        <w:rPr>
          <w:i/>
          <w:iCs/>
        </w:rPr>
        <w:t xml:space="preserve"> des G. vom 21. Januar 2022 (B.S. vom 28. Januar 2022)</w:t>
      </w:r>
      <w:r w:rsidR="00D67EB8" w:rsidRPr="009118AB">
        <w:rPr>
          <w:i/>
          <w:iCs/>
        </w:rPr>
        <w:t> - </w:t>
      </w:r>
      <w:r w:rsidRPr="009118AB">
        <w:rPr>
          <w:i/>
          <w:iCs/>
        </w:rPr>
        <w:t>anwendbar ab dem Steuerjahr 2022</w:t>
      </w:r>
      <w:r w:rsidR="00FD68E8" w:rsidRPr="009118AB">
        <w:rPr>
          <w:i/>
          <w:iCs/>
        </w:rPr>
        <w:t> -</w:t>
      </w:r>
      <w:r w:rsidR="007433D3" w:rsidRPr="009118AB">
        <w:rPr>
          <w:i/>
          <w:iCs/>
        </w:rPr>
        <w:t>; Abs. 2 eingefügt durch Art. 42 des G. vom 20. November 2022 (B.S. vom 30. November 2022) - in Kraft am 1. April 2022 -</w:t>
      </w:r>
      <w:r w:rsidR="00FD68E8" w:rsidRPr="009118AB">
        <w:rPr>
          <w:i/>
          <w:iCs/>
        </w:rPr>
        <w:t>]</w:t>
      </w:r>
    </w:p>
    <w:p w14:paraId="4D2B8954" w14:textId="77777777" w:rsidR="00730FFE" w:rsidRPr="009118AB" w:rsidRDefault="00730FFE" w:rsidP="00477B8F">
      <w:pPr>
        <w:autoSpaceDE w:val="0"/>
        <w:autoSpaceDN w:val="0"/>
        <w:adjustRightInd w:val="0"/>
        <w:jc w:val="both"/>
      </w:pPr>
    </w:p>
    <w:p w14:paraId="5FF01380" w14:textId="77777777" w:rsidR="00730FFE" w:rsidRPr="009118AB" w:rsidRDefault="00730FFE" w:rsidP="00477B8F">
      <w:pPr>
        <w:autoSpaceDE w:val="0"/>
        <w:autoSpaceDN w:val="0"/>
        <w:adjustRightInd w:val="0"/>
        <w:jc w:val="both"/>
      </w:pPr>
    </w:p>
    <w:p w14:paraId="4E95A6DB" w14:textId="22EDC92A" w:rsidR="0027186E" w:rsidRPr="00FF1F87" w:rsidRDefault="00477B8F" w:rsidP="0027186E">
      <w:pPr>
        <w:ind w:firstLine="708"/>
        <w:jc w:val="both"/>
      </w:pPr>
      <w:r w:rsidRPr="009118AB">
        <w:tab/>
      </w:r>
      <w:r w:rsidR="00D67EB8" w:rsidRPr="009118AB">
        <w:rPr>
          <w:b/>
          <w:bCs/>
        </w:rPr>
        <w:t>Art. </w:t>
      </w:r>
      <w:r w:rsidRPr="009118AB">
        <w:rPr>
          <w:b/>
          <w:bCs/>
        </w:rPr>
        <w:t>54</w:t>
      </w:r>
      <w:r w:rsidR="00D67EB8" w:rsidRPr="009118AB">
        <w:t> - </w:t>
      </w:r>
      <w:r w:rsidR="0027186E">
        <w:t>[</w:t>
      </w:r>
      <w:r w:rsidR="0027186E" w:rsidRPr="00FF1F87">
        <w:t>§ 1 ­ Zinsen, in Artikel 90 Absatz 1 Nr. 11 erwähnte Entschädigungen, die als Ausgleich für diese Zinsen gezahlt werden, Vergütungen für die Einräumung der Nutzung von Erfindungspatenten, Herstellungsverfahren und anderen ähnlichen Rechten oder Entlohnungen für Leistungen oder Dienstleistungen gelten nicht als Werbungskosten, wenn sie direkt oder indirekt einem in Artikel 227 erwähnten Steuerpflichtigen oder einer ausländischen Niederlassung gezahlt oder zuerkannt werden, denen gegenüber der in Belgien ansässige Steuerpflichtige sich direkt oder indirekt in einem Verhältnis gegenseitiger Abhängigkeit befindet und die aufgrund der Rechtsvorschriften des Landes, in dem sie ansässig sind, dort keiner Einkommensteuer oder für die betreffenden Einkünfte einem erheblich vorteilhafteren Besteuerungssystem unterliegen als dem, dem diese Einkünfte in Belgien unterliegen.</w:t>
      </w:r>
    </w:p>
    <w:p w14:paraId="5E2F029D" w14:textId="77777777" w:rsidR="0027186E" w:rsidRPr="00FF1F87" w:rsidRDefault="0027186E" w:rsidP="0027186E">
      <w:pPr>
        <w:jc w:val="both"/>
      </w:pPr>
    </w:p>
    <w:p w14:paraId="4C841FD2" w14:textId="77777777" w:rsidR="0027186E" w:rsidRPr="00FF1F87" w:rsidRDefault="0027186E" w:rsidP="0027186E">
      <w:pPr>
        <w:ind w:firstLine="708"/>
        <w:jc w:val="both"/>
      </w:pPr>
      <w:r w:rsidRPr="00FF1F87">
        <w:t>§ 2 - Paragraph 1 ist nicht anwendbar, wenn der Steuerpflichtige nachweist, dass das Geschäft mit einem Unternehmen getätigt wird, das einer tatsächlichen Einkommensteuer unterliegt, die mindestens der Hälfte der Einkommensteuer entspricht, die geschuldet würde, wenn dieses Unternehmen in Belgien ansässig wäre.</w:t>
      </w:r>
    </w:p>
    <w:p w14:paraId="03C58C84" w14:textId="77777777" w:rsidR="0027186E" w:rsidRPr="00FF1F87" w:rsidRDefault="0027186E" w:rsidP="0027186E">
      <w:pPr>
        <w:jc w:val="both"/>
      </w:pPr>
    </w:p>
    <w:p w14:paraId="4684137B" w14:textId="77777777" w:rsidR="002A7A72" w:rsidRDefault="002A7A72">
      <w:r>
        <w:br w:type="page"/>
      </w:r>
    </w:p>
    <w:p w14:paraId="669A3D62" w14:textId="383E3BAC" w:rsidR="00477B8F" w:rsidRPr="009118AB" w:rsidRDefault="0027186E" w:rsidP="0027186E">
      <w:pPr>
        <w:autoSpaceDE w:val="0"/>
        <w:autoSpaceDN w:val="0"/>
        <w:adjustRightInd w:val="0"/>
        <w:ind w:firstLine="708"/>
        <w:jc w:val="both"/>
      </w:pPr>
      <w:r w:rsidRPr="00FF1F87">
        <w:lastRenderedPageBreak/>
        <w:t>§ 3 - Paragraph 1 ist nicht anwendbar, wenn der Steuerpflichtige durch jegliches Beweismittel außer dem Eid nachweist, dass die Zahlung Teil eines authentischen Geschäfts ist in dem Sinne, dass sie aus triftigen wirtschaftlichen Gründen getätigt wurde, die die wirtschaftliche Realität widerspiegeln.</w:t>
      </w:r>
      <w:r w:rsidR="00477B8F" w:rsidRPr="009118AB">
        <w:t>]</w:t>
      </w:r>
    </w:p>
    <w:p w14:paraId="4631CAA4" w14:textId="77777777" w:rsidR="00477B8F" w:rsidRPr="009118AB" w:rsidRDefault="00477B8F" w:rsidP="00477B8F">
      <w:pPr>
        <w:autoSpaceDE w:val="0"/>
        <w:autoSpaceDN w:val="0"/>
        <w:adjustRightInd w:val="0"/>
        <w:jc w:val="both"/>
      </w:pPr>
    </w:p>
    <w:p w14:paraId="7F37E0F2" w14:textId="183986A2" w:rsidR="00171BDD"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54 ersetzt durch </w:t>
      </w:r>
      <w:r w:rsidR="00D67EB8" w:rsidRPr="009118AB">
        <w:rPr>
          <w:i/>
          <w:iCs/>
        </w:rPr>
        <w:t>Art. </w:t>
      </w:r>
      <w:r w:rsidR="0027186E">
        <w:rPr>
          <w:i/>
          <w:iCs/>
        </w:rPr>
        <w:t>12</w:t>
      </w:r>
      <w:r w:rsidR="0027186E" w:rsidRPr="0027186E">
        <w:rPr>
          <w:i/>
          <w:iCs/>
        </w:rPr>
        <w:t xml:space="preserve"> des G. vom 22. Dezember 2023 (II) (B.S. vom 29. Dezember 2023) - in Kraft am 1. Januar 2024 und anwendbar auf die ab dem 1. Januar 2024 gezahlten oder zuerkannten Beträge</w:t>
      </w:r>
      <w:r w:rsidR="0027186E">
        <w:rPr>
          <w:i/>
          <w:iCs/>
        </w:rPr>
        <w:t> </w:t>
      </w:r>
      <w:r w:rsidR="0027186E" w:rsidRPr="0027186E">
        <w:rPr>
          <w:i/>
          <w:iCs/>
        </w:rPr>
        <w:t>-</w:t>
      </w:r>
      <w:r w:rsidR="00FD68E8" w:rsidRPr="009118AB">
        <w:rPr>
          <w:i/>
        </w:rPr>
        <w:t>]</w:t>
      </w:r>
    </w:p>
    <w:p w14:paraId="1DBDAF48" w14:textId="77777777" w:rsidR="00206DB0" w:rsidRPr="009118AB" w:rsidRDefault="00206DB0" w:rsidP="00477B8F">
      <w:pPr>
        <w:autoSpaceDE w:val="0"/>
        <w:autoSpaceDN w:val="0"/>
        <w:adjustRightInd w:val="0"/>
        <w:jc w:val="both"/>
      </w:pPr>
    </w:p>
    <w:p w14:paraId="10FA314E" w14:textId="77777777" w:rsidR="00206DB0" w:rsidRPr="009118AB" w:rsidRDefault="00206DB0" w:rsidP="00477B8F">
      <w:pPr>
        <w:autoSpaceDE w:val="0"/>
        <w:autoSpaceDN w:val="0"/>
        <w:adjustRightInd w:val="0"/>
        <w:jc w:val="both"/>
      </w:pPr>
    </w:p>
    <w:p w14:paraId="69423023" w14:textId="69C5526E" w:rsidR="002A4B4B" w:rsidRPr="009118AB" w:rsidRDefault="00477B8F" w:rsidP="002A4B4B">
      <w:pPr>
        <w:autoSpaceDE w:val="0"/>
        <w:autoSpaceDN w:val="0"/>
        <w:adjustRightInd w:val="0"/>
        <w:jc w:val="both"/>
      </w:pPr>
      <w:r w:rsidRPr="009118AB">
        <w:tab/>
      </w:r>
      <w:r w:rsidR="00D67EB8" w:rsidRPr="009118AB">
        <w:rPr>
          <w:b/>
          <w:bCs/>
        </w:rPr>
        <w:t>Art. </w:t>
      </w:r>
      <w:r w:rsidRPr="009118AB">
        <w:rPr>
          <w:b/>
          <w:bCs/>
        </w:rPr>
        <w:t>55</w:t>
      </w:r>
      <w:r w:rsidR="00D67EB8" w:rsidRPr="009118AB">
        <w:t> - </w:t>
      </w:r>
      <w:r w:rsidR="002A4B4B" w:rsidRPr="009118AB">
        <w:t>[Zinsen auf Schuldverschreibungen, Darlehen, Forderungen, Einlagen und andere Wertpapiere, die Anleihen darstellen, gelten nur als Werbungskosten, sofern sie nicht höher sind als ein Betrag, der:</w:t>
      </w:r>
    </w:p>
    <w:p w14:paraId="2B3D8E66" w14:textId="77777777" w:rsidR="002A4B4B" w:rsidRPr="009118AB" w:rsidRDefault="002A4B4B" w:rsidP="002A4B4B">
      <w:pPr>
        <w:autoSpaceDE w:val="0"/>
        <w:autoSpaceDN w:val="0"/>
        <w:adjustRightInd w:val="0"/>
        <w:jc w:val="both"/>
      </w:pPr>
    </w:p>
    <w:p w14:paraId="738CB72B" w14:textId="5F300F32" w:rsidR="002A4B4B" w:rsidRPr="009118AB" w:rsidRDefault="002A4B4B" w:rsidP="00343179">
      <w:pPr>
        <w:autoSpaceDE w:val="0"/>
        <w:autoSpaceDN w:val="0"/>
        <w:adjustRightInd w:val="0"/>
        <w:ind w:firstLine="709"/>
        <w:jc w:val="both"/>
      </w:pPr>
      <w:r w:rsidRPr="009118AB">
        <w:t xml:space="preserve">1. für Zinsen auf Darlehen ohne feste Laufzeit, die keine Hypothekendarlehen sind und nicht im Rahmen eines Rahmenübereinkommens über das zentrale Cash-Management einer Gruppe wie in Artikel 198 </w:t>
      </w:r>
      <w:r w:rsidR="00D67EB8" w:rsidRPr="009118AB">
        <w:t>§ </w:t>
      </w:r>
      <w:r w:rsidRPr="009118AB">
        <w:t>4 Absatz 5 erwähnt an verbundene Gesellschaften gezahlt werden: dem von der Belgischen Nationalbank veröffentlichten MFI-Zinssatz entspricht, der für Darlehen bis zu 1.000.000 EUR mit variablem Zinssatz oder mit anfänglicher Zinsbindung von bis zu einem Jahr gilt, die nichtfinanziellen Kapitalgesellschaften gewährt werden und im Monat November des Kalenderjahres vor dem Kalenderjahr, auf das sich die Zinsen beziehen, abgeschlossen werden, erhöht um 2,5 Prozent,</w:t>
      </w:r>
    </w:p>
    <w:p w14:paraId="785BDDD6" w14:textId="77777777" w:rsidR="002A4B4B" w:rsidRPr="009118AB" w:rsidRDefault="002A4B4B" w:rsidP="002A4B4B">
      <w:pPr>
        <w:autoSpaceDE w:val="0"/>
        <w:autoSpaceDN w:val="0"/>
        <w:adjustRightInd w:val="0"/>
        <w:jc w:val="both"/>
      </w:pPr>
    </w:p>
    <w:p w14:paraId="775A4643" w14:textId="0D57D518" w:rsidR="002A4B4B" w:rsidRPr="009118AB" w:rsidRDefault="002A4B4B" w:rsidP="00343179">
      <w:pPr>
        <w:autoSpaceDE w:val="0"/>
        <w:autoSpaceDN w:val="0"/>
        <w:adjustRightInd w:val="0"/>
        <w:ind w:firstLine="709"/>
        <w:jc w:val="both"/>
      </w:pPr>
      <w:r w:rsidRPr="009118AB">
        <w:t xml:space="preserve">2. für Zinsen, die nicht in </w:t>
      </w:r>
      <w:r w:rsidR="00D67EB8" w:rsidRPr="009118AB">
        <w:t>Nr. </w:t>
      </w:r>
      <w:r w:rsidRPr="009118AB">
        <w:t>1 erwähnt sind: dem am Markt geltenden Zinssatz entspricht unter Berücksichtigung der spezifischen Kriterien hinsichtlich der Beurteilung des mit dem Geschäft verbundenen Risikos und insbesondere der Finanzlage des Schuldners und der Laufzeit des Darlehens.]</w:t>
      </w:r>
    </w:p>
    <w:p w14:paraId="5D466B5A" w14:textId="77777777" w:rsidR="002A4B4B" w:rsidRPr="009118AB" w:rsidRDefault="002A4B4B" w:rsidP="002A4B4B">
      <w:pPr>
        <w:autoSpaceDE w:val="0"/>
        <w:autoSpaceDN w:val="0"/>
        <w:adjustRightInd w:val="0"/>
        <w:jc w:val="both"/>
      </w:pPr>
    </w:p>
    <w:p w14:paraId="71915500" w14:textId="16ECBAF2" w:rsidR="002A4B4B" w:rsidRPr="009118AB" w:rsidRDefault="002A4B4B" w:rsidP="00343179">
      <w:pPr>
        <w:autoSpaceDE w:val="0"/>
        <w:autoSpaceDN w:val="0"/>
        <w:adjustRightInd w:val="0"/>
        <w:ind w:firstLine="709"/>
        <w:jc w:val="both"/>
      </w:pPr>
      <w:r w:rsidRPr="009118AB">
        <w:t xml:space="preserve">[Für die Anwendung von Absatz 1 </w:t>
      </w:r>
      <w:r w:rsidR="00D67EB8" w:rsidRPr="009118AB">
        <w:t>Nr. </w:t>
      </w:r>
      <w:r w:rsidRPr="009118AB">
        <w:t>2 ist der zu berücksichtigende Zinssatz:]</w:t>
      </w:r>
    </w:p>
    <w:p w14:paraId="6F76E41F" w14:textId="77777777" w:rsidR="002A4B4B" w:rsidRPr="009118AB" w:rsidRDefault="002A4B4B" w:rsidP="002A4B4B">
      <w:pPr>
        <w:autoSpaceDE w:val="0"/>
        <w:autoSpaceDN w:val="0"/>
        <w:adjustRightInd w:val="0"/>
        <w:jc w:val="both"/>
      </w:pPr>
    </w:p>
    <w:p w14:paraId="3F1A74AB" w14:textId="77777777" w:rsidR="002A4B4B" w:rsidRPr="009118AB" w:rsidRDefault="002A4B4B" w:rsidP="00343179">
      <w:pPr>
        <w:autoSpaceDE w:val="0"/>
        <w:autoSpaceDN w:val="0"/>
        <w:adjustRightInd w:val="0"/>
        <w:ind w:firstLine="709"/>
        <w:jc w:val="both"/>
      </w:pPr>
      <w:r w:rsidRPr="009118AB">
        <w:t>1. entweder der Zinssatz des Tages, ab dem die geliehenen oder als Einlage erhaltenen Summen Einkünfte erzeugen, wobei die Verlängerung und die stillschweigende Erneuerung einer Vereinbarung über die anfangs vorgesehene Laufzeit hinaus mit dem Abschluss einer neuen Vereinbarung gleichgesetzt werden,</w:t>
      </w:r>
    </w:p>
    <w:p w14:paraId="74FAA440" w14:textId="77777777" w:rsidR="002A4B4B" w:rsidRPr="009118AB" w:rsidRDefault="002A4B4B" w:rsidP="002A4B4B">
      <w:pPr>
        <w:autoSpaceDE w:val="0"/>
        <w:autoSpaceDN w:val="0"/>
        <w:adjustRightInd w:val="0"/>
        <w:jc w:val="both"/>
      </w:pPr>
    </w:p>
    <w:p w14:paraId="4E7C2D2D" w14:textId="77777777" w:rsidR="002A4B4B" w:rsidRPr="009118AB" w:rsidRDefault="002A4B4B" w:rsidP="00343179">
      <w:pPr>
        <w:autoSpaceDE w:val="0"/>
        <w:autoSpaceDN w:val="0"/>
        <w:adjustRightInd w:val="0"/>
        <w:ind w:firstLine="709"/>
        <w:jc w:val="both"/>
      </w:pPr>
      <w:r w:rsidRPr="009118AB">
        <w:t>2. oder, wenn in der Vereinbarung ein variabler Zins oder eine Indexierungsklausel festgelegt ist, der am Fälligkeitsdatum der Einkünfte geltende Zinssatz oder die Zinssätze, die eventuell nacheinander während des Zeitraums galten, auf den die Einkünfte sich beziehen, sofern und in dem Maße, wie die Bestimmungen der Vereinbarung Auswirkung hatten.</w:t>
      </w:r>
    </w:p>
    <w:p w14:paraId="0CDDEFFE" w14:textId="77777777" w:rsidR="002A4B4B" w:rsidRPr="009118AB" w:rsidRDefault="002A4B4B" w:rsidP="002A4B4B">
      <w:pPr>
        <w:autoSpaceDE w:val="0"/>
        <w:autoSpaceDN w:val="0"/>
        <w:adjustRightInd w:val="0"/>
        <w:jc w:val="both"/>
      </w:pPr>
    </w:p>
    <w:p w14:paraId="394C922E" w14:textId="3222F6B1" w:rsidR="002A4B4B" w:rsidRPr="009118AB" w:rsidRDefault="002A4B4B" w:rsidP="00343179">
      <w:pPr>
        <w:autoSpaceDE w:val="0"/>
        <w:autoSpaceDN w:val="0"/>
        <w:adjustRightInd w:val="0"/>
        <w:jc w:val="both"/>
      </w:pPr>
      <w:r w:rsidRPr="009118AB">
        <w:rPr>
          <w:i/>
          <w:iCs/>
        </w:rPr>
        <w:t>[</w:t>
      </w:r>
      <w:r w:rsidR="00D67EB8" w:rsidRPr="009118AB">
        <w:rPr>
          <w:i/>
          <w:iCs/>
        </w:rPr>
        <w:t>Art. </w:t>
      </w:r>
      <w:r w:rsidRPr="009118AB">
        <w:rPr>
          <w:i/>
          <w:iCs/>
        </w:rPr>
        <w:t xml:space="preserve">55 </w:t>
      </w:r>
      <w:r w:rsidR="00D67EB8" w:rsidRPr="009118AB">
        <w:rPr>
          <w:i/>
          <w:iCs/>
        </w:rPr>
        <w:t>Abs. </w:t>
      </w:r>
      <w:r w:rsidRPr="009118AB">
        <w:rPr>
          <w:i/>
          <w:iCs/>
        </w:rPr>
        <w:t xml:space="preserve">1 ersetzt durch </w:t>
      </w:r>
      <w:r w:rsidR="00D67EB8" w:rsidRPr="009118AB">
        <w:rPr>
          <w:i/>
          <w:iCs/>
        </w:rPr>
        <w:t>Art. </w:t>
      </w:r>
      <w:r w:rsidRPr="009118AB">
        <w:rPr>
          <w:i/>
          <w:iCs/>
        </w:rPr>
        <w:t>9 Buchstabe a) des G. vom 25. Dezember 2017 (III) (B.S. vom 29. Dezember 2017)</w:t>
      </w:r>
      <w:r w:rsidR="00D67EB8" w:rsidRPr="009118AB">
        <w:rPr>
          <w:i/>
          <w:iCs/>
        </w:rPr>
        <w:t> - </w:t>
      </w:r>
      <w:r w:rsidRPr="009118AB">
        <w:rPr>
          <w:i/>
          <w:iCs/>
        </w:rPr>
        <w:t>in Kraft am 1. Januar 2020 und anwendbar auf Zinsen, die sich auf Zeiträume nach dem 31. Dezember 2019 beziehen</w:t>
      </w:r>
      <w:r w:rsidR="003366D9" w:rsidRPr="009118AB">
        <w:rPr>
          <w:i/>
          <w:iCs/>
        </w:rPr>
        <w:t> -;</w:t>
      </w:r>
      <w:r w:rsidRPr="009118AB">
        <w:rPr>
          <w:i/>
          <w:iCs/>
        </w:rPr>
        <w:t xml:space="preserve"> </w:t>
      </w:r>
      <w:r w:rsidR="00D67EB8" w:rsidRPr="009118AB">
        <w:rPr>
          <w:i/>
          <w:iCs/>
        </w:rPr>
        <w:t>Abs. </w:t>
      </w:r>
      <w:r w:rsidRPr="009118AB">
        <w:rPr>
          <w:i/>
          <w:iCs/>
        </w:rPr>
        <w:t xml:space="preserve">2 einleitende Bestimmung abgeändert durch </w:t>
      </w:r>
      <w:r w:rsidR="00D67EB8" w:rsidRPr="009118AB">
        <w:rPr>
          <w:i/>
          <w:iCs/>
        </w:rPr>
        <w:t>Art. </w:t>
      </w:r>
      <w:r w:rsidRPr="009118AB">
        <w:rPr>
          <w:i/>
          <w:iCs/>
        </w:rPr>
        <w:t>9 Buchstabe b) des G. vom 25. Dezember 2017 (III) (B.S. vom 29. Dezember 2017)</w:t>
      </w:r>
      <w:r w:rsidR="00D67EB8" w:rsidRPr="009118AB">
        <w:rPr>
          <w:i/>
          <w:iCs/>
        </w:rPr>
        <w:t> - </w:t>
      </w:r>
      <w:r w:rsidRPr="009118AB">
        <w:rPr>
          <w:i/>
          <w:iCs/>
        </w:rPr>
        <w:t>in Kraft am 1. Januar 2020 und anwendbar auf Zinsen, die sich auf Zeiträume nach dem 31. Dezember 2019 beziehen</w:t>
      </w:r>
      <w:r w:rsidR="00FD68E8" w:rsidRPr="009118AB">
        <w:rPr>
          <w:i/>
          <w:iCs/>
        </w:rPr>
        <w:t> -]</w:t>
      </w:r>
    </w:p>
    <w:p w14:paraId="4990BD4F" w14:textId="77777777" w:rsidR="002A4B4B" w:rsidRPr="009118AB" w:rsidRDefault="002A4B4B" w:rsidP="00477B8F">
      <w:pPr>
        <w:autoSpaceDE w:val="0"/>
        <w:autoSpaceDN w:val="0"/>
        <w:adjustRightInd w:val="0"/>
        <w:jc w:val="both"/>
      </w:pPr>
    </w:p>
    <w:p w14:paraId="50BB6E4B" w14:textId="77777777" w:rsidR="002A4B4B" w:rsidRPr="009118AB" w:rsidRDefault="002A4B4B" w:rsidP="00477B8F">
      <w:pPr>
        <w:autoSpaceDE w:val="0"/>
        <w:autoSpaceDN w:val="0"/>
        <w:adjustRightInd w:val="0"/>
        <w:jc w:val="both"/>
      </w:pPr>
    </w:p>
    <w:p w14:paraId="418310FB" w14:textId="13C91FB5"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56</w:t>
      </w:r>
      <w:r w:rsidR="00D67EB8" w:rsidRPr="009118AB">
        <w:rPr>
          <w:b/>
          <w:bCs/>
        </w:rPr>
        <w:t> - </w:t>
      </w:r>
      <w:r w:rsidR="00D67EB8" w:rsidRPr="009118AB">
        <w:t>§ </w:t>
      </w:r>
      <w:r w:rsidRPr="009118AB">
        <w:t>1</w:t>
      </w:r>
      <w:r w:rsidR="00D67EB8" w:rsidRPr="009118AB">
        <w:t> - </w:t>
      </w:r>
      <w:r w:rsidRPr="009118AB">
        <w:t xml:space="preserve">[Für die Anwendung von Artikel 55 ist keine Einschränkung anwendbar in Bezug auf Summen, die von Kreditinstituten, die dem </w:t>
      </w:r>
      <w:r w:rsidR="00E80F99" w:rsidRPr="009118AB">
        <w:t>[Gesetz vom 25. April 2014]</w:t>
      </w:r>
      <w:r w:rsidRPr="009118AB">
        <w:t xml:space="preserve"> über den </w:t>
      </w:r>
      <w:r w:rsidRPr="009118AB">
        <w:lastRenderedPageBreak/>
        <w:t>Status und die Kontrolle der Kreditinstitute unterliegen, und von der Belgischen Nationalbank und dem Rediskont</w:t>
      </w:r>
      <w:r w:rsidRPr="009118AB">
        <w:noBreakHyphen/>
        <w:t xml:space="preserve"> und Garantieinstitut gezahlt werden.]</w:t>
      </w:r>
    </w:p>
    <w:p w14:paraId="5C2F4FF0" w14:textId="77777777" w:rsidR="00477B8F" w:rsidRPr="009118AB" w:rsidRDefault="00477B8F" w:rsidP="00477B8F">
      <w:pPr>
        <w:autoSpaceDE w:val="0"/>
        <w:autoSpaceDN w:val="0"/>
        <w:adjustRightInd w:val="0"/>
        <w:jc w:val="both"/>
      </w:pPr>
    </w:p>
    <w:p w14:paraId="1E1A9377" w14:textId="06BA31F9"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Eine Einschränkung ist ebenfalls nicht anwendbar in Bezug auf Summen, die gezahlt werden:</w:t>
      </w:r>
    </w:p>
    <w:p w14:paraId="7C97F792" w14:textId="77777777" w:rsidR="00477B8F" w:rsidRPr="009118AB" w:rsidRDefault="00477B8F" w:rsidP="00477B8F">
      <w:pPr>
        <w:autoSpaceDE w:val="0"/>
        <w:autoSpaceDN w:val="0"/>
        <w:adjustRightInd w:val="0"/>
        <w:jc w:val="both"/>
      </w:pPr>
    </w:p>
    <w:p w14:paraId="6D0196D8" w14:textId="77777777" w:rsidR="00477B8F" w:rsidRPr="009118AB" w:rsidRDefault="00477B8F" w:rsidP="00477B8F">
      <w:pPr>
        <w:autoSpaceDE w:val="0"/>
        <w:autoSpaceDN w:val="0"/>
        <w:adjustRightInd w:val="0"/>
        <w:jc w:val="both"/>
      </w:pPr>
      <w:r w:rsidRPr="009118AB">
        <w:tab/>
        <w:t>1. aufgrund von öffentlich ausgegebenen Schuldverschreibungen und anderen ähnlichen Wertpapieren, die Anleihen darstellen,</w:t>
      </w:r>
    </w:p>
    <w:p w14:paraId="7104D194" w14:textId="77777777" w:rsidR="00477B8F" w:rsidRPr="009118AB" w:rsidRDefault="00477B8F" w:rsidP="00477B8F">
      <w:pPr>
        <w:autoSpaceDE w:val="0"/>
        <w:autoSpaceDN w:val="0"/>
        <w:adjustRightInd w:val="0"/>
        <w:jc w:val="both"/>
      </w:pPr>
    </w:p>
    <w:p w14:paraId="60E9175F" w14:textId="3C77AD21" w:rsidR="00477B8F" w:rsidRPr="009118AB" w:rsidRDefault="00477B8F" w:rsidP="00477B8F">
      <w:pPr>
        <w:autoSpaceDE w:val="0"/>
        <w:autoSpaceDN w:val="0"/>
        <w:adjustRightInd w:val="0"/>
        <w:jc w:val="both"/>
      </w:pPr>
      <w:r w:rsidRPr="009118AB">
        <w:tab/>
        <w:t>2. an eines der folgenden Institute:</w:t>
      </w:r>
    </w:p>
    <w:p w14:paraId="6932740C" w14:textId="77777777" w:rsidR="00477B8F" w:rsidRPr="009118AB" w:rsidRDefault="00477B8F" w:rsidP="00477B8F">
      <w:pPr>
        <w:autoSpaceDE w:val="0"/>
        <w:autoSpaceDN w:val="0"/>
        <w:adjustRightInd w:val="0"/>
        <w:jc w:val="both"/>
      </w:pPr>
    </w:p>
    <w:p w14:paraId="4F9AD6B6"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w:t>
      </w:r>
      <w:r w:rsidR="004C2BD5" w:rsidRPr="009118AB">
        <w:t xml:space="preserve">[Kreditinstitute nach belgischem Recht, die gemäß vorerwähntem </w:t>
      </w:r>
      <w:r w:rsidR="00F67309" w:rsidRPr="009118AB">
        <w:t xml:space="preserve">[Gesetz vom 25. April 2014] </w:t>
      </w:r>
      <w:r w:rsidR="004C2BD5" w:rsidRPr="009118AB">
        <w:t xml:space="preserve">zugelassen sind, Kreditinstitute, die dem Recht eines anderen Mitgliedstaates des Europäischen Wirtschaftsraums unterliegen und gemäß vorerwähntem </w:t>
      </w:r>
      <w:r w:rsidR="00E80F99" w:rsidRPr="009118AB">
        <w:t>[Gesetz vom 25. April 2014]</w:t>
      </w:r>
      <w:r w:rsidR="004C2BD5" w:rsidRPr="009118AB">
        <w:t xml:space="preserve"> ermächtigt sind, entweder durch Errichtung einer Zweigniederlassung oder im Rahmen der Dienstleistungsfreiheit ihre Tätigkeiten auf belgischem Staatsgebiet auszuüben, und andere Kreditinstitute, die dem Recht eines anderen Mitgliedstaates des Europäischen Wirtschaftsraums unterliegen und in dieser Eigenschaft in ihrem Herkunftsstaat gemäß den nationalen Bestimmungen dieses Staates zur Umsetzung der Richtlinie 2006/48/EG des Euro</w:t>
      </w:r>
      <w:r w:rsidR="004C2BD5" w:rsidRPr="009118AB">
        <w:softHyphen/>
        <w:t>päischen Parlaments und des Rates vom 14. Juni 2006 über die Aufnahme und Ausübung der Tätigkeit der Kreditinstitute zugelassen sind und die nicht auf belgischem Staatsgebiet tätig sind,]</w:t>
      </w:r>
    </w:p>
    <w:p w14:paraId="022BE29B" w14:textId="77777777" w:rsidR="00477B8F" w:rsidRPr="009118AB" w:rsidRDefault="00477B8F" w:rsidP="00477B8F">
      <w:pPr>
        <w:autoSpaceDE w:val="0"/>
        <w:autoSpaceDN w:val="0"/>
        <w:adjustRightInd w:val="0"/>
        <w:jc w:val="both"/>
      </w:pPr>
    </w:p>
    <w:p w14:paraId="68A109A8"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w:t>
      </w:r>
      <w:r w:rsidR="004C2BD5" w:rsidRPr="009118AB">
        <w:t>die Belgische Nationalbank,</w:t>
      </w:r>
      <w:r w:rsidRPr="009118AB">
        <w:t>]</w:t>
      </w:r>
    </w:p>
    <w:p w14:paraId="04FC5877" w14:textId="77777777" w:rsidR="00477B8F" w:rsidRPr="009118AB" w:rsidRDefault="00477B8F" w:rsidP="00477B8F">
      <w:pPr>
        <w:autoSpaceDE w:val="0"/>
        <w:autoSpaceDN w:val="0"/>
        <w:adjustRightInd w:val="0"/>
        <w:jc w:val="both"/>
      </w:pPr>
    </w:p>
    <w:p w14:paraId="5FDA7CF5" w14:textId="77777777" w:rsidR="00171BDD" w:rsidRPr="009118AB" w:rsidRDefault="00477B8F" w:rsidP="00477B8F">
      <w:pPr>
        <w:autoSpaceDE w:val="0"/>
        <w:autoSpaceDN w:val="0"/>
        <w:adjustRightInd w:val="0"/>
        <w:jc w:val="both"/>
      </w:pPr>
      <w:r w:rsidRPr="009118AB">
        <w:tab/>
      </w:r>
      <w:r w:rsidRPr="009118AB">
        <w:rPr>
          <w:i/>
          <w:iCs/>
        </w:rPr>
        <w:t>c)</w:t>
      </w:r>
      <w:r w:rsidRPr="009118AB">
        <w:t xml:space="preserve"> </w:t>
      </w:r>
      <w:r w:rsidR="004C2BD5" w:rsidRPr="009118AB">
        <w:t>[das Rediskont</w:t>
      </w:r>
      <w:r w:rsidR="004C2BD5" w:rsidRPr="009118AB">
        <w:noBreakHyphen/>
        <w:t xml:space="preserve"> und Garantieinstitut,]</w:t>
      </w:r>
    </w:p>
    <w:p w14:paraId="5BF8B7E4" w14:textId="77777777" w:rsidR="00231CCB" w:rsidRPr="009118AB" w:rsidRDefault="00231CCB" w:rsidP="00477B8F">
      <w:pPr>
        <w:autoSpaceDE w:val="0"/>
        <w:autoSpaceDN w:val="0"/>
        <w:adjustRightInd w:val="0"/>
        <w:jc w:val="both"/>
      </w:pPr>
    </w:p>
    <w:p w14:paraId="6FB38D74" w14:textId="4BED90EE" w:rsidR="00477B8F" w:rsidRPr="009118AB" w:rsidRDefault="00477B8F" w:rsidP="00477B8F">
      <w:pPr>
        <w:autoSpaceDE w:val="0"/>
        <w:autoSpaceDN w:val="0"/>
        <w:adjustRightInd w:val="0"/>
        <w:jc w:val="both"/>
      </w:pPr>
      <w:r w:rsidRPr="009118AB">
        <w:tab/>
      </w:r>
      <w:r w:rsidRPr="009118AB">
        <w:rPr>
          <w:i/>
          <w:iCs/>
        </w:rPr>
        <w:t>d)</w:t>
      </w:r>
      <w:r w:rsidRPr="009118AB">
        <w:t xml:space="preserve"> [Unternehmen für Hypothekendarlehen, die dem Königlichen Erlass </w:t>
      </w:r>
      <w:r w:rsidR="00D67EB8" w:rsidRPr="009118AB">
        <w:t>Nr. </w:t>
      </w:r>
      <w:r w:rsidRPr="009118AB">
        <w:t>225 vom 7. Januar 1936 zur Regelung der Hypothekendarlehen und zur Einführung der Kontrolle der Unternehmen für Hypothekendarlehen unterliegen, und Hypothekenunternehmen, die dem Gesetz vom 4. August 1992 über den Hypothekarkredit unterliegen,]</w:t>
      </w:r>
      <w:r w:rsidR="004C2BD5" w:rsidRPr="009118AB">
        <w:t xml:space="preserve"> [oder Unternehmen, die dem Recht eines anderen Mitgliedstaates des Europäischen Wirtschaftsraums und in einem anderen Mitgliedstaat des Europäischen Wirtschaftsraums geltenden gleichartigen Rechtsvorschriften unterliegen,]</w:t>
      </w:r>
    </w:p>
    <w:p w14:paraId="56467CFF" w14:textId="77777777" w:rsidR="00477B8F" w:rsidRPr="009118AB" w:rsidRDefault="00477B8F" w:rsidP="00477B8F">
      <w:pPr>
        <w:autoSpaceDE w:val="0"/>
        <w:autoSpaceDN w:val="0"/>
        <w:adjustRightInd w:val="0"/>
        <w:jc w:val="both"/>
      </w:pPr>
    </w:p>
    <w:p w14:paraId="6936252A" w14:textId="77777777" w:rsidR="00477B8F" w:rsidRPr="009118AB" w:rsidRDefault="00477B8F" w:rsidP="00477B8F">
      <w:pPr>
        <w:autoSpaceDE w:val="0"/>
        <w:autoSpaceDN w:val="0"/>
        <w:adjustRightInd w:val="0"/>
        <w:jc w:val="both"/>
      </w:pPr>
      <w:r w:rsidRPr="009118AB">
        <w:tab/>
      </w:r>
      <w:r w:rsidRPr="009118AB">
        <w:rPr>
          <w:i/>
          <w:iCs/>
        </w:rPr>
        <w:t>e)</w:t>
      </w:r>
      <w:r w:rsidRPr="009118AB">
        <w:t xml:space="preserve"> </w:t>
      </w:r>
      <w:r w:rsidR="004C2BD5" w:rsidRPr="009118AB">
        <w:t>[Gesellschaften, deren ausschließlicher oder hauptsächlicher Zweck die Finan</w:t>
      </w:r>
      <w:r w:rsidR="004C2BD5" w:rsidRPr="009118AB">
        <w:softHyphen/>
        <w:t>zierung von Teilzahlungsverkäufen ist und die gemäß dem Gesetz vom 12. Juni 1991 über den Verbraucherkredit zugelassen sind, und gleichartige Unternehmen, die dem Recht eines anderen Mitgliedstaates des Europäischen Wirtschaftsraums unterliegen und in dieser Eigen</w:t>
      </w:r>
      <w:r w:rsidR="004C2BD5" w:rsidRPr="009118AB">
        <w:softHyphen/>
        <w:t>schaft in ihrem Herkunftsstaat gemäß den nationalen Bestimmungen dieses Staates zur Um</w:t>
      </w:r>
      <w:r w:rsidR="004C2BD5" w:rsidRPr="009118AB">
        <w:softHyphen/>
        <w:t>setzung der Richtlinie 2008/48/EG des Europäischen Parlaments und des Rates vom 23. Ap</w:t>
      </w:r>
      <w:r w:rsidR="004C2BD5" w:rsidRPr="009118AB">
        <w:softHyphen/>
        <w:t>ril 2008 über Verbraucherkreditverträge und zur Aufhebung der Richtlinie 87/102/EWG des Rates zugelassen sind,]</w:t>
      </w:r>
    </w:p>
    <w:p w14:paraId="5D3CB6FD" w14:textId="77777777" w:rsidR="00477B8F" w:rsidRPr="009118AB" w:rsidRDefault="00477B8F" w:rsidP="00477B8F">
      <w:pPr>
        <w:autoSpaceDE w:val="0"/>
        <w:autoSpaceDN w:val="0"/>
        <w:adjustRightInd w:val="0"/>
        <w:jc w:val="both"/>
      </w:pPr>
    </w:p>
    <w:p w14:paraId="7D44F5FA" w14:textId="77777777" w:rsidR="00477B8F" w:rsidRPr="009118AB" w:rsidRDefault="00477B8F" w:rsidP="00477B8F">
      <w:pPr>
        <w:autoSpaceDE w:val="0"/>
        <w:autoSpaceDN w:val="0"/>
        <w:adjustRightInd w:val="0"/>
        <w:jc w:val="both"/>
      </w:pPr>
      <w:r w:rsidRPr="009118AB">
        <w:tab/>
      </w:r>
      <w:r w:rsidRPr="009118AB">
        <w:rPr>
          <w:i/>
          <w:iCs/>
        </w:rPr>
        <w:t>f)</w:t>
      </w:r>
      <w:r w:rsidR="00CD4A79" w:rsidRPr="009118AB">
        <w:t xml:space="preserve"> [die Europäische Investitionsbank,</w:t>
      </w:r>
      <w:r w:rsidR="007B609B" w:rsidRPr="009118AB">
        <w:t>]</w:t>
      </w:r>
    </w:p>
    <w:p w14:paraId="599D7181" w14:textId="77777777" w:rsidR="00FF40FE" w:rsidRPr="009118AB" w:rsidRDefault="00FF40FE" w:rsidP="00477B8F">
      <w:pPr>
        <w:autoSpaceDE w:val="0"/>
        <w:autoSpaceDN w:val="0"/>
        <w:adjustRightInd w:val="0"/>
        <w:jc w:val="both"/>
      </w:pPr>
    </w:p>
    <w:p w14:paraId="08183B1B" w14:textId="77777777" w:rsidR="00477B8F" w:rsidRPr="009118AB" w:rsidRDefault="00477B8F" w:rsidP="00477B8F">
      <w:pPr>
        <w:autoSpaceDE w:val="0"/>
        <w:autoSpaceDN w:val="0"/>
        <w:adjustRightInd w:val="0"/>
        <w:jc w:val="both"/>
      </w:pPr>
      <w:r w:rsidRPr="009118AB">
        <w:tab/>
      </w:r>
      <w:r w:rsidRPr="009118AB">
        <w:rPr>
          <w:i/>
          <w:iCs/>
        </w:rPr>
        <w:t>g)</w:t>
      </w:r>
      <w:r w:rsidR="007B609B" w:rsidRPr="009118AB">
        <w:t xml:space="preserve"> [...]</w:t>
      </w:r>
    </w:p>
    <w:p w14:paraId="24A03B19" w14:textId="77777777" w:rsidR="003F5D2D" w:rsidRPr="009118AB" w:rsidRDefault="003F5D2D" w:rsidP="00477B8F">
      <w:pPr>
        <w:autoSpaceDE w:val="0"/>
        <w:autoSpaceDN w:val="0"/>
        <w:adjustRightInd w:val="0"/>
        <w:jc w:val="both"/>
      </w:pPr>
    </w:p>
    <w:p w14:paraId="32080214" w14:textId="68F26F96" w:rsidR="00477B8F" w:rsidRPr="009118AB" w:rsidRDefault="00477B8F" w:rsidP="00477B8F">
      <w:pPr>
        <w:autoSpaceDE w:val="0"/>
        <w:autoSpaceDN w:val="0"/>
        <w:adjustRightInd w:val="0"/>
        <w:jc w:val="both"/>
      </w:pPr>
      <w:r w:rsidRPr="009118AB">
        <w:lastRenderedPageBreak/>
        <w:tab/>
      </w:r>
      <w:r w:rsidRPr="009118AB">
        <w:rPr>
          <w:i/>
          <w:iCs/>
        </w:rPr>
        <w:t>h)</w:t>
      </w:r>
      <w:r w:rsidRPr="009118AB">
        <w:t xml:space="preserve"> </w:t>
      </w:r>
      <w:r w:rsidR="004C2BD5" w:rsidRPr="009118AB">
        <w:t xml:space="preserve">[Versicherungsunternehmen nach belgischem Recht, die gemäß </w:t>
      </w:r>
      <w:r w:rsidR="003357C9" w:rsidRPr="009118AB">
        <w:t>[dem Gesetz vom 13. März 2016 über den Status und die Kontrolle der Versicherungs- oder Rückversicherungs</w:t>
      </w:r>
      <w:r w:rsidR="003357C9" w:rsidRPr="009118AB">
        <w:softHyphen/>
        <w:t>unternehmen]</w:t>
      </w:r>
      <w:r w:rsidR="004C2BD5" w:rsidRPr="009118AB">
        <w:t xml:space="preserve"> zugelassen sind, Ver</w:t>
      </w:r>
      <w:r w:rsidR="004C2BD5" w:rsidRPr="009118AB">
        <w:softHyphen/>
        <w:t xml:space="preserve">sicherungsunternehmen, die dem Recht eines anderen Mitgliedstaates des Europäischen Wirtschaftsraums unterliegen und gemäß </w:t>
      </w:r>
      <w:r w:rsidR="003357C9" w:rsidRPr="009118AB">
        <w:t>[vorerwähntem Gesetz vom 13. März 2016]</w:t>
      </w:r>
      <w:r w:rsidR="004C2BD5" w:rsidRPr="009118AB">
        <w:t xml:space="preserve"> ermächtigt sind, entweder durch Errichtung einer Zweigniederlassung oder im Rahmen der Dienstleistungsfreiheit ihre Tätigkeiten auf belgischem Staatsgebiet auszuüben, und andere Versicherungsunternehmen, die dem Recht eines anderen Mitgliedstaates des Europäischen Wirtschaftsraums unterliegen und in dieser Eigenschaft in ihrem Herkunftsstaat gemäß den nationalen Bestimmungen dieses Staates zur Umsetzung der europäischen Richtlinien im Bereich der Zulassung von Versicherungs</w:t>
      </w:r>
      <w:r w:rsidR="003357C9" w:rsidRPr="009118AB">
        <w:softHyphen/>
      </w:r>
      <w:r w:rsidR="004C2BD5" w:rsidRPr="009118AB">
        <w:t>unternehmen zugelassen sind und die nicht auf belgischem Staatsgebiet tätig sind,]</w:t>
      </w:r>
    </w:p>
    <w:p w14:paraId="7844847E" w14:textId="77777777" w:rsidR="00477B8F" w:rsidRPr="009118AB" w:rsidRDefault="00477B8F" w:rsidP="00477B8F">
      <w:pPr>
        <w:autoSpaceDE w:val="0"/>
        <w:autoSpaceDN w:val="0"/>
        <w:adjustRightInd w:val="0"/>
        <w:jc w:val="both"/>
      </w:pPr>
    </w:p>
    <w:p w14:paraId="779BBDB2" w14:textId="77777777" w:rsidR="00477B8F" w:rsidRPr="009118AB" w:rsidRDefault="00477B8F" w:rsidP="00477B8F">
      <w:pPr>
        <w:autoSpaceDE w:val="0"/>
        <w:autoSpaceDN w:val="0"/>
        <w:adjustRightInd w:val="0"/>
        <w:jc w:val="both"/>
      </w:pPr>
      <w:r w:rsidRPr="009118AB">
        <w:tab/>
      </w:r>
      <w:r w:rsidRPr="009118AB">
        <w:rPr>
          <w:i/>
          <w:iCs/>
        </w:rPr>
        <w:t>i)</w:t>
      </w:r>
      <w:r w:rsidRPr="009118AB">
        <w:t xml:space="preserve"> </w:t>
      </w:r>
      <w:r w:rsidR="004C2BD5" w:rsidRPr="009118AB">
        <w:t>[die Föderale Beteiligungs</w:t>
      </w:r>
      <w:r w:rsidR="004C2BD5" w:rsidRPr="009118AB">
        <w:noBreakHyphen/>
        <w:t xml:space="preserve"> und Investitionsgesellschaft und die regionalen Investitionsgesellschaften, die unter das Gesetz vom 2. April 1962 fallen, und die Investitionsgesellschaften, die unter das flämische Dekret vom 7. Mai 2004 fallen, das die Investitionsgesellschaften der flämischen Behörde betrifft,]</w:t>
      </w:r>
    </w:p>
    <w:p w14:paraId="2CC95378" w14:textId="77777777" w:rsidR="00477B8F" w:rsidRPr="009118AB" w:rsidRDefault="00477B8F" w:rsidP="00477B8F">
      <w:pPr>
        <w:autoSpaceDE w:val="0"/>
        <w:autoSpaceDN w:val="0"/>
        <w:adjustRightInd w:val="0"/>
        <w:jc w:val="both"/>
      </w:pPr>
    </w:p>
    <w:p w14:paraId="4293FB89" w14:textId="77777777" w:rsidR="00477B8F" w:rsidRPr="009118AB" w:rsidRDefault="00477B8F" w:rsidP="00477B8F">
      <w:pPr>
        <w:autoSpaceDE w:val="0"/>
        <w:autoSpaceDN w:val="0"/>
        <w:adjustRightInd w:val="0"/>
        <w:jc w:val="both"/>
      </w:pPr>
      <w:r w:rsidRPr="009118AB">
        <w:tab/>
      </w:r>
      <w:r w:rsidRPr="009118AB">
        <w:rPr>
          <w:i/>
          <w:iCs/>
        </w:rPr>
        <w:t>j)</w:t>
      </w:r>
      <w:r w:rsidR="007B609B" w:rsidRPr="009118AB">
        <w:t xml:space="preserve"> [...]</w:t>
      </w:r>
    </w:p>
    <w:p w14:paraId="4225818C" w14:textId="77777777" w:rsidR="00477B8F" w:rsidRPr="009118AB" w:rsidRDefault="00477B8F" w:rsidP="00477B8F">
      <w:pPr>
        <w:autoSpaceDE w:val="0"/>
        <w:autoSpaceDN w:val="0"/>
        <w:adjustRightInd w:val="0"/>
        <w:jc w:val="both"/>
      </w:pPr>
    </w:p>
    <w:p w14:paraId="33E7BC57" w14:textId="77777777" w:rsidR="004C2BD5" w:rsidRPr="009118AB" w:rsidRDefault="00477B8F" w:rsidP="00477B8F">
      <w:pPr>
        <w:autoSpaceDE w:val="0"/>
        <w:autoSpaceDN w:val="0"/>
        <w:adjustRightInd w:val="0"/>
        <w:jc w:val="both"/>
      </w:pPr>
      <w:r w:rsidRPr="009118AB">
        <w:tab/>
      </w:r>
      <w:r w:rsidRPr="009118AB">
        <w:rPr>
          <w:i/>
          <w:iCs/>
        </w:rPr>
        <w:t>k)</w:t>
      </w:r>
      <w:r w:rsidRPr="009118AB">
        <w:t xml:space="preserve"> </w:t>
      </w:r>
      <w:r w:rsidR="004C2BD5" w:rsidRPr="009118AB">
        <w:t>[…]</w:t>
      </w:r>
      <w:r w:rsidRPr="009118AB">
        <w:t>.</w:t>
      </w:r>
    </w:p>
    <w:p w14:paraId="5C311F55" w14:textId="77777777" w:rsidR="002A4B4B" w:rsidRPr="009118AB" w:rsidRDefault="002A4B4B" w:rsidP="00477B8F">
      <w:pPr>
        <w:autoSpaceDE w:val="0"/>
        <w:autoSpaceDN w:val="0"/>
        <w:adjustRightInd w:val="0"/>
        <w:jc w:val="both"/>
      </w:pPr>
    </w:p>
    <w:p w14:paraId="638BF5E4" w14:textId="363C71B9" w:rsidR="004C2BD5" w:rsidRPr="009118AB" w:rsidRDefault="004C2BD5" w:rsidP="00477B8F">
      <w:pPr>
        <w:autoSpaceDE w:val="0"/>
        <w:autoSpaceDN w:val="0"/>
        <w:adjustRightInd w:val="0"/>
        <w:jc w:val="both"/>
      </w:pPr>
      <w:r w:rsidRPr="009118AB">
        <w:tab/>
        <w:t>[</w:t>
      </w:r>
      <w:r w:rsidR="00D67EB8" w:rsidRPr="009118AB">
        <w:t>§ </w:t>
      </w:r>
      <w:r w:rsidRPr="009118AB">
        <w:t>3</w:t>
      </w:r>
      <w:r w:rsidR="00D67EB8" w:rsidRPr="009118AB">
        <w:t> - </w:t>
      </w:r>
      <w:r w:rsidRPr="009118AB">
        <w:t xml:space="preserve">Paragraph 2 </w:t>
      </w:r>
      <w:r w:rsidR="00D67EB8" w:rsidRPr="009118AB">
        <w:t>Nr. </w:t>
      </w:r>
      <w:r w:rsidRPr="009118AB">
        <w:t xml:space="preserve">2 ist nicht auf Summen anwendbar, die an ein Institut gezahlt werden, mit dem der Schuldner der Summen im Sinne von </w:t>
      </w:r>
      <w:r w:rsidR="0038694D" w:rsidRPr="009118AB">
        <w:t>[Artikel 1:20 des Gesetzbuches der Gesellschaften und Vereinigungen]</w:t>
      </w:r>
      <w:r w:rsidRPr="009118AB">
        <w:t xml:space="preserve"> oder einer in einem anderen Mitgliedstaat des Europäischen Wirtschaftsraums geltenden gleichartigen Bestimmung direkt oder indirekt verbunden ist.]</w:t>
      </w:r>
    </w:p>
    <w:p w14:paraId="0B6508E5" w14:textId="77777777" w:rsidR="00477B8F" w:rsidRPr="009118AB" w:rsidRDefault="00477B8F" w:rsidP="00477B8F">
      <w:pPr>
        <w:autoSpaceDE w:val="0"/>
        <w:autoSpaceDN w:val="0"/>
        <w:adjustRightInd w:val="0"/>
        <w:jc w:val="both"/>
      </w:pPr>
    </w:p>
    <w:p w14:paraId="3E12DD3B" w14:textId="052A79DA"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56 </w:t>
      </w:r>
      <w:r w:rsidR="00D67EB8" w:rsidRPr="009118AB">
        <w:rPr>
          <w:i/>
          <w:iCs/>
        </w:rPr>
        <w:t>§ </w:t>
      </w:r>
      <w:r w:rsidRPr="009118AB">
        <w:rPr>
          <w:i/>
          <w:iCs/>
        </w:rPr>
        <w:t xml:space="preserve">1 ersetzt durch </w:t>
      </w:r>
      <w:r w:rsidR="00D67EB8" w:rsidRPr="009118AB">
        <w:rPr>
          <w:i/>
          <w:iCs/>
        </w:rPr>
        <w:t>Art. </w:t>
      </w:r>
      <w:r w:rsidRPr="009118AB">
        <w:rPr>
          <w:i/>
          <w:iCs/>
        </w:rPr>
        <w:t xml:space="preserve">10 </w:t>
      </w:r>
      <w:r w:rsidR="00D67EB8" w:rsidRPr="009118AB">
        <w:rPr>
          <w:i/>
          <w:iCs/>
        </w:rPr>
        <w:t>Nr. </w:t>
      </w:r>
      <w:r w:rsidRPr="009118AB">
        <w:rPr>
          <w:i/>
          <w:iCs/>
        </w:rPr>
        <w:t>1 des G. vom 22. Dezember 1998 (B.S. vom 15. Januar 1999)</w:t>
      </w:r>
      <w:r w:rsidR="00D67EB8" w:rsidRPr="009118AB">
        <w:rPr>
          <w:i/>
          <w:iCs/>
        </w:rPr>
        <w:t> - </w:t>
      </w:r>
      <w:r w:rsidRPr="009118AB">
        <w:rPr>
          <w:i/>
          <w:iCs/>
        </w:rPr>
        <w:t>in Kraft ab dem 19. April 1993, was die Banken betrifft, und in Kraft ab dem 1. Januar 1995, was die Gemeindesparkassen betrifft</w:t>
      </w:r>
      <w:r w:rsidR="00D67EB8" w:rsidRPr="009118AB">
        <w:rPr>
          <w:i/>
          <w:iCs/>
        </w:rPr>
        <w:t> - </w:t>
      </w:r>
      <w:r w:rsidR="00756E57" w:rsidRPr="009118AB">
        <w:rPr>
          <w:i/>
          <w:iCs/>
        </w:rPr>
        <w:t xml:space="preserve">und abgeändert durch </w:t>
      </w:r>
      <w:r w:rsidR="00D67EB8" w:rsidRPr="009118AB">
        <w:rPr>
          <w:i/>
          <w:iCs/>
        </w:rPr>
        <w:t>Art. </w:t>
      </w:r>
      <w:r w:rsidR="00756E57" w:rsidRPr="009118AB">
        <w:rPr>
          <w:i/>
          <w:iCs/>
        </w:rPr>
        <w:t>17 Buchstabe a) des G. vom 18. Dezember 2015 (II) (B.S. vom 28. Dezember 2015)</w:t>
      </w:r>
      <w:r w:rsidRPr="009118AB">
        <w:rPr>
          <w:i/>
          <w:iCs/>
        </w:rPr>
        <w:t xml:space="preserve">; </w:t>
      </w:r>
      <w:r w:rsidR="00D67EB8" w:rsidRPr="009118AB">
        <w:rPr>
          <w:i/>
          <w:iCs/>
        </w:rPr>
        <w:t>§ </w:t>
      </w:r>
      <w:r w:rsidR="00DA282B" w:rsidRPr="009118AB">
        <w:rPr>
          <w:i/>
          <w:iCs/>
        </w:rPr>
        <w:t xml:space="preserve">2 einziger Absatz </w:t>
      </w:r>
      <w:r w:rsidR="00D67EB8" w:rsidRPr="009118AB">
        <w:rPr>
          <w:i/>
          <w:iCs/>
        </w:rPr>
        <w:t>Nr. </w:t>
      </w:r>
      <w:r w:rsidR="00DA282B" w:rsidRPr="009118AB">
        <w:rPr>
          <w:i/>
          <w:iCs/>
        </w:rPr>
        <w:t xml:space="preserve">2 einziger Absatz Buchstabe a) ersetzt durch </w:t>
      </w:r>
      <w:r w:rsidR="00D67EB8" w:rsidRPr="009118AB">
        <w:rPr>
          <w:i/>
          <w:iCs/>
        </w:rPr>
        <w:t>Art. </w:t>
      </w:r>
      <w:r w:rsidR="00DA282B" w:rsidRPr="009118AB">
        <w:rPr>
          <w:i/>
          <w:iCs/>
        </w:rPr>
        <w:t xml:space="preserve">34 </w:t>
      </w:r>
      <w:r w:rsidR="00D67EB8" w:rsidRPr="009118AB">
        <w:rPr>
          <w:i/>
          <w:iCs/>
        </w:rPr>
        <w:t>Nr. </w:t>
      </w:r>
      <w:r w:rsidR="00DA282B" w:rsidRPr="009118AB">
        <w:rPr>
          <w:i/>
          <w:iCs/>
        </w:rPr>
        <w:t>1 des G. vom 14. April 2011 (B.S. vom 6. Mai 2011)</w:t>
      </w:r>
      <w:r w:rsidR="00D67EB8" w:rsidRPr="009118AB">
        <w:rPr>
          <w:i/>
          <w:iCs/>
        </w:rPr>
        <w:t> - </w:t>
      </w:r>
      <w:r w:rsidR="00DA282B" w:rsidRPr="009118AB">
        <w:rPr>
          <w:i/>
          <w:iCs/>
        </w:rPr>
        <w:t>anwendbar auf die ab dem 1. Januar 2011 gezahlten oder zuerkannten Zinsen</w:t>
      </w:r>
      <w:r w:rsidR="00D67EB8" w:rsidRPr="009118AB">
        <w:rPr>
          <w:i/>
          <w:iCs/>
        </w:rPr>
        <w:t> - </w:t>
      </w:r>
      <w:r w:rsidR="00756E57" w:rsidRPr="009118AB">
        <w:rPr>
          <w:i/>
          <w:iCs/>
        </w:rPr>
        <w:t xml:space="preserve">und abgeändert durch </w:t>
      </w:r>
      <w:r w:rsidR="00D67EB8" w:rsidRPr="009118AB">
        <w:rPr>
          <w:i/>
          <w:iCs/>
        </w:rPr>
        <w:t>Art. </w:t>
      </w:r>
      <w:r w:rsidR="00756E57" w:rsidRPr="009118AB">
        <w:rPr>
          <w:i/>
          <w:iCs/>
        </w:rPr>
        <w:t>17 Buchstabe b) des G. vom 18. Dezember 2015 (II) (B.S. vom 28. Dezember 2015)</w:t>
      </w:r>
      <w:r w:rsidR="00DA282B"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2 einziger Absatz Buchstabe b) ersetzt durch </w:t>
      </w:r>
      <w:r w:rsidR="00D67EB8" w:rsidRPr="009118AB">
        <w:rPr>
          <w:i/>
          <w:iCs/>
        </w:rPr>
        <w:t>Art. </w:t>
      </w:r>
      <w:r w:rsidR="00DA282B" w:rsidRPr="009118AB">
        <w:rPr>
          <w:i/>
          <w:iCs/>
        </w:rPr>
        <w:t xml:space="preserve">34 </w:t>
      </w:r>
      <w:r w:rsidR="00D67EB8" w:rsidRPr="009118AB">
        <w:rPr>
          <w:i/>
          <w:iCs/>
        </w:rPr>
        <w:t>Nr. </w:t>
      </w:r>
      <w:r w:rsidR="00DA282B" w:rsidRPr="009118AB">
        <w:rPr>
          <w:i/>
          <w:iCs/>
        </w:rPr>
        <w:t>2 des G. vom 14. April 2011 (B.S. vom 6. Mai 2011)</w:t>
      </w:r>
      <w:r w:rsidR="00D67EB8" w:rsidRPr="009118AB">
        <w:rPr>
          <w:i/>
          <w:iCs/>
        </w:rPr>
        <w:t> - </w:t>
      </w:r>
      <w:r w:rsidR="00DA282B" w:rsidRPr="009118AB">
        <w:rPr>
          <w:i/>
          <w:iCs/>
        </w:rPr>
        <w:t>anwendbar auf die ab dem 1. Januar 2011 gezahlten oder zuerkannten Zinsen</w:t>
      </w:r>
      <w:r w:rsidR="003366D9" w:rsidRPr="009118AB">
        <w:rPr>
          <w:i/>
          <w:iCs/>
        </w:rPr>
        <w:t> -;</w:t>
      </w:r>
      <w:r w:rsidR="00DA282B" w:rsidRPr="009118AB">
        <w:rPr>
          <w:i/>
          <w:iCs/>
        </w:rPr>
        <w:t xml:space="preserve"> </w:t>
      </w:r>
      <w:r w:rsidR="00D67EB8" w:rsidRPr="009118AB">
        <w:rPr>
          <w:i/>
          <w:iCs/>
        </w:rPr>
        <w:t>§ </w:t>
      </w:r>
      <w:r w:rsidR="00DA282B" w:rsidRPr="009118AB">
        <w:rPr>
          <w:i/>
          <w:iCs/>
        </w:rPr>
        <w:t xml:space="preserve">2 einziger Absatz </w:t>
      </w:r>
      <w:r w:rsidR="00D67EB8" w:rsidRPr="009118AB">
        <w:rPr>
          <w:i/>
          <w:iCs/>
        </w:rPr>
        <w:t>Nr. </w:t>
      </w:r>
      <w:r w:rsidR="00DA282B" w:rsidRPr="009118AB">
        <w:rPr>
          <w:i/>
          <w:iCs/>
        </w:rPr>
        <w:t xml:space="preserve">2 einziger Absatz Buchstabe c) ersetzt durch </w:t>
      </w:r>
      <w:r w:rsidR="00D67EB8" w:rsidRPr="009118AB">
        <w:rPr>
          <w:i/>
          <w:iCs/>
        </w:rPr>
        <w:t>Art. </w:t>
      </w:r>
      <w:r w:rsidR="00DA282B" w:rsidRPr="009118AB">
        <w:rPr>
          <w:i/>
          <w:iCs/>
        </w:rPr>
        <w:t xml:space="preserve">34 </w:t>
      </w:r>
      <w:r w:rsidR="00D67EB8" w:rsidRPr="009118AB">
        <w:rPr>
          <w:i/>
          <w:iCs/>
        </w:rPr>
        <w:t>Nr. </w:t>
      </w:r>
      <w:r w:rsidR="00DA282B" w:rsidRPr="009118AB">
        <w:rPr>
          <w:i/>
          <w:iCs/>
        </w:rPr>
        <w:t>3 des G. vom 14. Apri</w:t>
      </w:r>
      <w:r w:rsidR="005E3D7F" w:rsidRPr="009118AB">
        <w:rPr>
          <w:i/>
          <w:iCs/>
        </w:rPr>
        <w:t>l 2011 (B.S. vom 6. Mai 2011)</w:t>
      </w:r>
      <w:r w:rsidR="00D67EB8" w:rsidRPr="009118AB">
        <w:rPr>
          <w:i/>
          <w:iCs/>
        </w:rPr>
        <w:t> - </w:t>
      </w:r>
      <w:r w:rsidR="00DA282B" w:rsidRPr="009118AB">
        <w:rPr>
          <w:i/>
          <w:iCs/>
        </w:rPr>
        <w:t>anwendbar auf die ab dem 1. Januar 2011 gezahlten oder zuerkannten Zinsen</w:t>
      </w:r>
      <w:r w:rsidR="003366D9" w:rsidRPr="009118AB">
        <w:rPr>
          <w:i/>
          <w:iCs/>
        </w:rPr>
        <w:t> -;</w:t>
      </w:r>
      <w:r w:rsidR="00DA282B"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2 einziger Absatz Buchstabe d) ersetzt durch </w:t>
      </w:r>
      <w:r w:rsidR="00D67EB8" w:rsidRPr="009118AB">
        <w:rPr>
          <w:i/>
          <w:iCs/>
        </w:rPr>
        <w:t>Art. </w:t>
      </w:r>
      <w:r w:rsidRPr="009118AB">
        <w:rPr>
          <w:i/>
          <w:iCs/>
        </w:rPr>
        <w:t xml:space="preserve">10 </w:t>
      </w:r>
      <w:r w:rsidR="00D67EB8" w:rsidRPr="009118AB">
        <w:rPr>
          <w:i/>
          <w:iCs/>
        </w:rPr>
        <w:t>Nr. </w:t>
      </w:r>
      <w:r w:rsidRPr="009118AB">
        <w:rPr>
          <w:i/>
          <w:iCs/>
        </w:rPr>
        <w:t>3 des G. vom 22. Dezember 1998 (B.S.</w:t>
      </w:r>
      <w:r w:rsidR="00231CCB" w:rsidRPr="009118AB">
        <w:rPr>
          <w:i/>
          <w:iCs/>
        </w:rPr>
        <w:t> </w:t>
      </w:r>
      <w:r w:rsidRPr="009118AB">
        <w:rPr>
          <w:i/>
          <w:iCs/>
        </w:rPr>
        <w:t>vom 15. Januar 1999)</w:t>
      </w:r>
      <w:r w:rsidR="00D67EB8" w:rsidRPr="009118AB">
        <w:rPr>
          <w:i/>
          <w:iCs/>
        </w:rPr>
        <w:t> - </w:t>
      </w:r>
      <w:r w:rsidRPr="009118AB">
        <w:rPr>
          <w:i/>
          <w:iCs/>
        </w:rPr>
        <w:t>in Kraft ab dem 1. Januar 1993</w:t>
      </w:r>
      <w:r w:rsidR="00D67EB8" w:rsidRPr="009118AB">
        <w:rPr>
          <w:i/>
          <w:iCs/>
        </w:rPr>
        <w:t> - </w:t>
      </w:r>
      <w:r w:rsidR="00DA282B" w:rsidRPr="009118AB">
        <w:rPr>
          <w:i/>
          <w:iCs/>
        </w:rPr>
        <w:t xml:space="preserve">und ergänzt durch </w:t>
      </w:r>
      <w:r w:rsidR="00D67EB8" w:rsidRPr="009118AB">
        <w:rPr>
          <w:i/>
          <w:iCs/>
        </w:rPr>
        <w:t>Art. </w:t>
      </w:r>
      <w:r w:rsidR="00DA282B" w:rsidRPr="009118AB">
        <w:rPr>
          <w:i/>
          <w:iCs/>
        </w:rPr>
        <w:t xml:space="preserve">34 </w:t>
      </w:r>
      <w:r w:rsidR="00D67EB8" w:rsidRPr="009118AB">
        <w:rPr>
          <w:i/>
          <w:iCs/>
        </w:rPr>
        <w:t>Nr. </w:t>
      </w:r>
      <w:r w:rsidR="00DA282B" w:rsidRPr="009118AB">
        <w:rPr>
          <w:i/>
          <w:iCs/>
        </w:rPr>
        <w:t>4 des G. vom 14. April 2011 (B.S. vom 6. Mai 2011)</w:t>
      </w:r>
      <w:r w:rsidR="00D67EB8" w:rsidRPr="009118AB">
        <w:rPr>
          <w:i/>
          <w:iCs/>
        </w:rPr>
        <w:t> - </w:t>
      </w:r>
      <w:r w:rsidR="00DA282B" w:rsidRPr="009118AB">
        <w:rPr>
          <w:i/>
          <w:iCs/>
        </w:rPr>
        <w:t xml:space="preserve">anwendbar auf die ab </w:t>
      </w:r>
      <w:r w:rsidR="00DA282B" w:rsidRPr="009118AB">
        <w:rPr>
          <w:rFonts w:ascii="Times New Roman Italique" w:hAnsi="Times New Roman Italique"/>
          <w:i/>
          <w:iCs/>
          <w:spacing w:val="-2"/>
        </w:rPr>
        <w:t>dem 1. Januar 2011 gezahlten oder zuerkannten Zinsen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DA282B" w:rsidRPr="009118AB">
        <w:rPr>
          <w:rFonts w:ascii="Times New Roman Italique" w:hAnsi="Times New Roman Italique"/>
          <w:i/>
          <w:iCs/>
          <w:spacing w:val="-2"/>
        </w:rPr>
        <w:t xml:space="preserve">2 einziger Absatz </w:t>
      </w:r>
      <w:r w:rsidR="00D67EB8" w:rsidRPr="009118AB">
        <w:rPr>
          <w:rFonts w:ascii="Times New Roman Italique" w:hAnsi="Times New Roman Italique"/>
          <w:i/>
          <w:iCs/>
          <w:spacing w:val="-2"/>
        </w:rPr>
        <w:t>Nr. </w:t>
      </w:r>
      <w:r w:rsidR="00DA282B" w:rsidRPr="009118AB">
        <w:rPr>
          <w:rFonts w:ascii="Times New Roman Italique" w:hAnsi="Times New Roman Italique"/>
          <w:i/>
          <w:iCs/>
          <w:spacing w:val="-2"/>
        </w:rPr>
        <w:t>2 einziger Absatz Buchstabe</w:t>
      </w:r>
      <w:r w:rsidR="00785C35" w:rsidRPr="009118AB">
        <w:rPr>
          <w:rFonts w:ascii="Times New Roman Italique" w:hAnsi="Times New Roman Italique"/>
          <w:i/>
          <w:iCs/>
          <w:spacing w:val="-2"/>
        </w:rPr>
        <w:t> </w:t>
      </w:r>
      <w:r w:rsidR="00DA282B" w:rsidRPr="009118AB">
        <w:rPr>
          <w:rFonts w:ascii="Times New Roman Italique" w:hAnsi="Times New Roman Italique"/>
          <w:i/>
          <w:iCs/>
          <w:spacing w:val="-2"/>
        </w:rPr>
        <w:t xml:space="preserve">e) ersetzt durch </w:t>
      </w:r>
      <w:r w:rsidR="00D67EB8" w:rsidRPr="009118AB">
        <w:rPr>
          <w:rFonts w:ascii="Times New Roman Italique" w:hAnsi="Times New Roman Italique"/>
          <w:i/>
          <w:iCs/>
          <w:spacing w:val="-2"/>
        </w:rPr>
        <w:t>Art. </w:t>
      </w:r>
      <w:r w:rsidR="00DA282B" w:rsidRPr="009118AB">
        <w:rPr>
          <w:rFonts w:ascii="Times New Roman Italique" w:hAnsi="Times New Roman Italique"/>
          <w:i/>
          <w:iCs/>
          <w:spacing w:val="-2"/>
        </w:rPr>
        <w:t xml:space="preserve">34 </w:t>
      </w:r>
      <w:r w:rsidR="00D67EB8" w:rsidRPr="009118AB">
        <w:rPr>
          <w:rFonts w:ascii="Times New Roman Italique" w:hAnsi="Times New Roman Italique"/>
          <w:i/>
          <w:iCs/>
          <w:spacing w:val="-2"/>
        </w:rPr>
        <w:t>Nr. </w:t>
      </w:r>
      <w:r w:rsidR="00DA282B" w:rsidRPr="009118AB">
        <w:rPr>
          <w:rFonts w:ascii="Times New Roman Italique" w:hAnsi="Times New Roman Italique"/>
          <w:i/>
          <w:iCs/>
          <w:spacing w:val="-2"/>
        </w:rPr>
        <w:t>5 des G. vom 14. April 2011 (B.S. vom 6. Mai 2011)</w:t>
      </w:r>
      <w:r w:rsidR="00D67EB8" w:rsidRPr="009118AB">
        <w:rPr>
          <w:rFonts w:ascii="Times New Roman Italique" w:hAnsi="Times New Roman Italique"/>
          <w:i/>
          <w:iCs/>
          <w:spacing w:val="-2"/>
        </w:rPr>
        <w:t> - </w:t>
      </w:r>
      <w:r w:rsidR="00DA282B" w:rsidRPr="009118AB">
        <w:rPr>
          <w:rFonts w:ascii="Times New Roman Italique" w:hAnsi="Times New Roman Italique"/>
          <w:i/>
          <w:iCs/>
          <w:spacing w:val="-2"/>
        </w:rPr>
        <w:t>anwendbar auf die ab dem 1. Januar 2011 gezahlten oder zuerkannten Zinsen</w:t>
      </w:r>
      <w:r w:rsidR="003366D9" w:rsidRPr="009118AB">
        <w:rPr>
          <w:rFonts w:ascii="Times New Roman Italique" w:hAnsi="Times New Roman Italique"/>
          <w:i/>
          <w:iCs/>
          <w:spacing w:val="-2"/>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2 einziger Absatz Buchstabe f) aufgehoben durch </w:t>
      </w:r>
      <w:r w:rsidR="00D67EB8" w:rsidRPr="009118AB">
        <w:rPr>
          <w:i/>
          <w:iCs/>
        </w:rPr>
        <w:t>Art. </w:t>
      </w:r>
      <w:r w:rsidRPr="009118AB">
        <w:rPr>
          <w:i/>
          <w:iCs/>
        </w:rPr>
        <w:t xml:space="preserve">10 </w:t>
      </w:r>
      <w:r w:rsidR="00D67EB8" w:rsidRPr="009118AB">
        <w:rPr>
          <w:i/>
          <w:iCs/>
        </w:rPr>
        <w:t>Nr. </w:t>
      </w:r>
      <w:r w:rsidRPr="009118AB">
        <w:rPr>
          <w:i/>
          <w:iCs/>
        </w:rPr>
        <w:t>4 des G. vom 22. Dezember 1998 (B.S. vom 15. Januar 1999)</w:t>
      </w:r>
      <w:r w:rsidR="00D67EB8" w:rsidRPr="009118AB">
        <w:rPr>
          <w:i/>
          <w:iCs/>
        </w:rPr>
        <w:t> - </w:t>
      </w:r>
      <w:r w:rsidRPr="009118AB">
        <w:rPr>
          <w:i/>
          <w:iCs/>
        </w:rPr>
        <w:t>anwendbar ab dem Steuerjahr 1998</w:t>
      </w:r>
      <w:r w:rsidR="00D67EB8" w:rsidRPr="009118AB">
        <w:rPr>
          <w:i/>
          <w:iCs/>
        </w:rPr>
        <w:t> - </w:t>
      </w:r>
      <w:r w:rsidR="00CD4A79" w:rsidRPr="009118AB">
        <w:rPr>
          <w:i/>
          <w:iCs/>
        </w:rPr>
        <w:t xml:space="preserve">und wieder aufgenommen durch </w:t>
      </w:r>
      <w:r w:rsidR="00D67EB8" w:rsidRPr="009118AB">
        <w:rPr>
          <w:i/>
          <w:iCs/>
        </w:rPr>
        <w:t>Art. </w:t>
      </w:r>
      <w:r w:rsidR="00357FD8" w:rsidRPr="009118AB">
        <w:rPr>
          <w:i/>
          <w:iCs/>
        </w:rPr>
        <w:t>4 des G. vom 21. Dezember 2013 </w:t>
      </w:r>
      <w:r w:rsidR="00CD4A79" w:rsidRPr="009118AB">
        <w:rPr>
          <w:i/>
          <w:iCs/>
        </w:rPr>
        <w:t>(II) (B.S. vom 31. Dezember 2013)</w:t>
      </w:r>
      <w:r w:rsidR="00D67EB8" w:rsidRPr="009118AB">
        <w:rPr>
          <w:i/>
          <w:iCs/>
        </w:rPr>
        <w:t> - </w:t>
      </w:r>
      <w:r w:rsidR="009F7860" w:rsidRPr="009118AB">
        <w:rPr>
          <w:i/>
          <w:iCs/>
        </w:rPr>
        <w:t>anwendbar auf die ab dem 1. Januar 2014 gezahlten oder zuerkannten Summen</w:t>
      </w:r>
      <w:r w:rsidR="003366D9" w:rsidRPr="009118AB">
        <w:rPr>
          <w:i/>
          <w:iCs/>
        </w:rPr>
        <w:t> -;</w:t>
      </w:r>
      <w:r w:rsidRPr="009118AB">
        <w:rPr>
          <w:i/>
          <w:iCs/>
        </w:rPr>
        <w:t xml:space="preserve"> </w:t>
      </w:r>
      <w:r w:rsidR="00D67EB8" w:rsidRPr="009118AB">
        <w:rPr>
          <w:i/>
          <w:iCs/>
        </w:rPr>
        <w:t>§ </w:t>
      </w:r>
      <w:r w:rsidR="00CD4A79" w:rsidRPr="009118AB">
        <w:rPr>
          <w:i/>
          <w:iCs/>
        </w:rPr>
        <w:t xml:space="preserve">2 einziger Absatz </w:t>
      </w:r>
      <w:r w:rsidR="00D67EB8" w:rsidRPr="009118AB">
        <w:rPr>
          <w:i/>
          <w:iCs/>
        </w:rPr>
        <w:t>Nr. </w:t>
      </w:r>
      <w:r w:rsidR="00CD4A79" w:rsidRPr="009118AB">
        <w:rPr>
          <w:i/>
          <w:iCs/>
        </w:rPr>
        <w:t>2 einziger Absatz Buchstabe</w:t>
      </w:r>
      <w:r w:rsidR="00C83EA3" w:rsidRPr="009118AB">
        <w:rPr>
          <w:i/>
          <w:iCs/>
        </w:rPr>
        <w:t xml:space="preserve"> </w:t>
      </w:r>
      <w:r w:rsidR="00CD4A79" w:rsidRPr="009118AB">
        <w:rPr>
          <w:i/>
          <w:iCs/>
        </w:rPr>
        <w:t xml:space="preserve">g) aufgehoben durch </w:t>
      </w:r>
      <w:r w:rsidR="00D67EB8" w:rsidRPr="009118AB">
        <w:rPr>
          <w:i/>
          <w:iCs/>
        </w:rPr>
        <w:t>Art. </w:t>
      </w:r>
      <w:r w:rsidR="00CD4A79" w:rsidRPr="009118AB">
        <w:rPr>
          <w:i/>
          <w:iCs/>
        </w:rPr>
        <w:t xml:space="preserve">10 </w:t>
      </w:r>
      <w:r w:rsidR="00D67EB8" w:rsidRPr="009118AB">
        <w:rPr>
          <w:i/>
          <w:iCs/>
        </w:rPr>
        <w:t>Nr. </w:t>
      </w:r>
      <w:r w:rsidR="00CD4A79" w:rsidRPr="009118AB">
        <w:rPr>
          <w:i/>
          <w:iCs/>
        </w:rPr>
        <w:t xml:space="preserve">4 des G. vom 22. Dezember 1998 (B.S. vom </w:t>
      </w:r>
      <w:r w:rsidR="00CD4A79" w:rsidRPr="009118AB">
        <w:rPr>
          <w:i/>
          <w:iCs/>
        </w:rPr>
        <w:lastRenderedPageBreak/>
        <w:t>15. Januar 1999)</w:t>
      </w:r>
      <w:r w:rsidR="00D67EB8" w:rsidRPr="009118AB">
        <w:rPr>
          <w:i/>
          <w:iCs/>
        </w:rPr>
        <w:t> - </w:t>
      </w:r>
      <w:r w:rsidR="00CD4A79" w:rsidRPr="009118AB">
        <w:rPr>
          <w:i/>
          <w:iCs/>
        </w:rPr>
        <w:t>anwendbar ab dem Steuerjahr 1998</w:t>
      </w:r>
      <w:r w:rsidR="003366D9" w:rsidRPr="009118AB">
        <w:rPr>
          <w:i/>
          <w:iCs/>
        </w:rPr>
        <w:t> -;</w:t>
      </w:r>
      <w:r w:rsidR="00CD4A79" w:rsidRPr="009118AB">
        <w:rPr>
          <w:i/>
          <w:iCs/>
        </w:rPr>
        <w:t xml:space="preserve"> </w:t>
      </w:r>
      <w:r w:rsidR="00D67EB8" w:rsidRPr="009118AB">
        <w:rPr>
          <w:i/>
          <w:iCs/>
        </w:rPr>
        <w:t>§ </w:t>
      </w:r>
      <w:r w:rsidR="00DA282B" w:rsidRPr="009118AB">
        <w:rPr>
          <w:i/>
          <w:iCs/>
        </w:rPr>
        <w:t xml:space="preserve">2 einziger Absatz </w:t>
      </w:r>
      <w:r w:rsidR="00D67EB8" w:rsidRPr="009118AB">
        <w:rPr>
          <w:i/>
          <w:iCs/>
        </w:rPr>
        <w:t>Nr. </w:t>
      </w:r>
      <w:r w:rsidR="00DA282B" w:rsidRPr="009118AB">
        <w:rPr>
          <w:i/>
          <w:iCs/>
        </w:rPr>
        <w:t xml:space="preserve">2 einziger Absatz Buchstabe h) ersetzt durch </w:t>
      </w:r>
      <w:r w:rsidR="00D67EB8" w:rsidRPr="009118AB">
        <w:rPr>
          <w:i/>
          <w:iCs/>
        </w:rPr>
        <w:t>Art. </w:t>
      </w:r>
      <w:r w:rsidR="00DA282B" w:rsidRPr="009118AB">
        <w:rPr>
          <w:i/>
          <w:iCs/>
        </w:rPr>
        <w:t xml:space="preserve">34 </w:t>
      </w:r>
      <w:r w:rsidR="00D67EB8" w:rsidRPr="009118AB">
        <w:rPr>
          <w:i/>
          <w:iCs/>
        </w:rPr>
        <w:t>Nr. </w:t>
      </w:r>
      <w:r w:rsidR="00DA282B" w:rsidRPr="009118AB">
        <w:rPr>
          <w:i/>
          <w:iCs/>
        </w:rPr>
        <w:t>6 des G. vom 14. April 2011 (B.S. vom 6. Mai 2011)</w:t>
      </w:r>
      <w:r w:rsidR="00D67EB8" w:rsidRPr="009118AB">
        <w:rPr>
          <w:i/>
          <w:iCs/>
        </w:rPr>
        <w:t> - </w:t>
      </w:r>
      <w:r w:rsidR="00DA282B" w:rsidRPr="009118AB">
        <w:rPr>
          <w:i/>
          <w:iCs/>
        </w:rPr>
        <w:t>anwendbar auf die ab dem 1. Januar 2011 gezahlten oder zuerkannten Zinsen</w:t>
      </w:r>
      <w:r w:rsidR="00D67EB8" w:rsidRPr="009118AB">
        <w:rPr>
          <w:i/>
          <w:iCs/>
        </w:rPr>
        <w:t> - </w:t>
      </w:r>
      <w:r w:rsidR="003357C9" w:rsidRPr="009118AB">
        <w:rPr>
          <w:i/>
          <w:iCs/>
        </w:rPr>
        <w:t xml:space="preserve">und abgeändert durch </w:t>
      </w:r>
      <w:r w:rsidR="00D67EB8" w:rsidRPr="009118AB">
        <w:rPr>
          <w:i/>
          <w:iCs/>
        </w:rPr>
        <w:t>Art. </w:t>
      </w:r>
      <w:r w:rsidR="003357C9" w:rsidRPr="009118AB">
        <w:rPr>
          <w:i/>
          <w:iCs/>
        </w:rPr>
        <w:t>7</w:t>
      </w:r>
      <w:r w:rsidR="003357C9" w:rsidRPr="009118AB">
        <w:rPr>
          <w:i/>
        </w:rPr>
        <w:t xml:space="preserve"> des G. vom 2. Mai 2019 (III) (B.S. vom 1</w:t>
      </w:r>
      <w:r w:rsidR="00357FD8" w:rsidRPr="009118AB">
        <w:rPr>
          <w:i/>
        </w:rPr>
        <w:t>5</w:t>
      </w:r>
      <w:r w:rsidR="003357C9" w:rsidRPr="009118AB">
        <w:rPr>
          <w:i/>
        </w:rPr>
        <w:t>. Mai 2019)</w:t>
      </w:r>
      <w:r w:rsidR="00DA282B" w:rsidRPr="009118AB">
        <w:rPr>
          <w:i/>
          <w:iCs/>
        </w:rPr>
        <w:t xml:space="preserve">; </w:t>
      </w:r>
      <w:r w:rsidR="00D67EB8" w:rsidRPr="009118AB">
        <w:rPr>
          <w:i/>
          <w:iCs/>
        </w:rPr>
        <w:t>§ </w:t>
      </w:r>
      <w:r w:rsidR="000E4045" w:rsidRPr="009118AB">
        <w:rPr>
          <w:i/>
          <w:iCs/>
        </w:rPr>
        <w:t xml:space="preserve">2 einziger Absatz </w:t>
      </w:r>
      <w:r w:rsidR="00D67EB8" w:rsidRPr="009118AB">
        <w:rPr>
          <w:i/>
          <w:iCs/>
        </w:rPr>
        <w:t>Nr. </w:t>
      </w:r>
      <w:r w:rsidR="000E4045" w:rsidRPr="009118AB">
        <w:rPr>
          <w:i/>
          <w:iCs/>
        </w:rPr>
        <w:t>2 einziger Absatz Buchstabe</w:t>
      </w:r>
      <w:r w:rsidR="00357FD8" w:rsidRPr="009118AB">
        <w:rPr>
          <w:i/>
          <w:iCs/>
        </w:rPr>
        <w:t> </w:t>
      </w:r>
      <w:r w:rsidR="000E4045" w:rsidRPr="009118AB">
        <w:rPr>
          <w:i/>
          <w:iCs/>
        </w:rPr>
        <w:t xml:space="preserve">i) ersetzt durch </w:t>
      </w:r>
      <w:r w:rsidR="00D67EB8" w:rsidRPr="009118AB">
        <w:rPr>
          <w:i/>
          <w:iCs/>
        </w:rPr>
        <w:t>Art. </w:t>
      </w:r>
      <w:r w:rsidR="000E4045" w:rsidRPr="009118AB">
        <w:rPr>
          <w:i/>
          <w:iCs/>
        </w:rPr>
        <w:t xml:space="preserve">34 </w:t>
      </w:r>
      <w:r w:rsidR="00D67EB8" w:rsidRPr="009118AB">
        <w:rPr>
          <w:i/>
          <w:iCs/>
        </w:rPr>
        <w:t>Nr. </w:t>
      </w:r>
      <w:r w:rsidR="000E4045" w:rsidRPr="009118AB">
        <w:rPr>
          <w:i/>
          <w:iCs/>
        </w:rPr>
        <w:t>7 des G. vom 14. Apri</w:t>
      </w:r>
      <w:r w:rsidR="005E3D7F" w:rsidRPr="009118AB">
        <w:rPr>
          <w:i/>
          <w:iCs/>
        </w:rPr>
        <w:t>l 2011 (B.S. vom 6. Mai 2011)</w:t>
      </w:r>
      <w:r w:rsidR="00D67EB8" w:rsidRPr="009118AB">
        <w:rPr>
          <w:i/>
          <w:iCs/>
        </w:rPr>
        <w:t> - </w:t>
      </w:r>
      <w:r w:rsidR="000E4045" w:rsidRPr="009118AB">
        <w:rPr>
          <w:i/>
          <w:iCs/>
        </w:rPr>
        <w:t>anwendbar auf die ab dem 1. Januar 2011 gezahlten oder zuerkannten Zinsen</w:t>
      </w:r>
      <w:r w:rsidR="003366D9" w:rsidRPr="009118AB">
        <w:rPr>
          <w:i/>
          <w:iCs/>
        </w:rPr>
        <w:t> -;</w:t>
      </w:r>
      <w:r w:rsidR="000E4045"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2 einziger Absatz Buchstabe j) aufgehoben durch </w:t>
      </w:r>
      <w:r w:rsidR="00D67EB8" w:rsidRPr="009118AB">
        <w:rPr>
          <w:i/>
          <w:iCs/>
        </w:rPr>
        <w:t>Art. </w:t>
      </w:r>
      <w:r w:rsidRPr="009118AB">
        <w:rPr>
          <w:i/>
          <w:iCs/>
        </w:rPr>
        <w:t xml:space="preserve">10 </w:t>
      </w:r>
      <w:r w:rsidR="00D67EB8" w:rsidRPr="009118AB">
        <w:rPr>
          <w:i/>
          <w:iCs/>
        </w:rPr>
        <w:t>Nr. </w:t>
      </w:r>
      <w:r w:rsidRPr="009118AB">
        <w:rPr>
          <w:i/>
          <w:iCs/>
        </w:rPr>
        <w:t>5 des G. vom 22. Dezember 1998 (B.S. vom 15. Januar 1999)</w:t>
      </w:r>
      <w:r w:rsidR="00D67EB8" w:rsidRPr="009118AB">
        <w:rPr>
          <w:i/>
          <w:iCs/>
        </w:rPr>
        <w:t> - </w:t>
      </w:r>
      <w:r w:rsidRPr="009118AB">
        <w:rPr>
          <w:i/>
          <w:iCs/>
        </w:rPr>
        <w:t>anwendbar ab dem Steuerjahr 1998</w:t>
      </w:r>
      <w:r w:rsidR="003366D9" w:rsidRPr="009118AB">
        <w:rPr>
          <w:i/>
          <w:iCs/>
        </w:rPr>
        <w:t> -;</w:t>
      </w:r>
      <w:r w:rsidR="00DA282B" w:rsidRPr="009118AB">
        <w:rPr>
          <w:i/>
          <w:iCs/>
        </w:rPr>
        <w:t xml:space="preserve"> </w:t>
      </w:r>
      <w:r w:rsidR="00D67EB8" w:rsidRPr="009118AB">
        <w:rPr>
          <w:i/>
          <w:iCs/>
        </w:rPr>
        <w:t>§ </w:t>
      </w:r>
      <w:r w:rsidR="00DA282B" w:rsidRPr="009118AB">
        <w:rPr>
          <w:i/>
          <w:iCs/>
        </w:rPr>
        <w:t xml:space="preserve">2 einziger Absatz </w:t>
      </w:r>
      <w:r w:rsidR="00D67EB8" w:rsidRPr="009118AB">
        <w:rPr>
          <w:i/>
          <w:iCs/>
        </w:rPr>
        <w:t>Nr. </w:t>
      </w:r>
      <w:r w:rsidR="00DA282B" w:rsidRPr="009118AB">
        <w:rPr>
          <w:i/>
          <w:iCs/>
        </w:rPr>
        <w:t xml:space="preserve">2 einziger Absatz Buchstabe k) aufgehoben durch </w:t>
      </w:r>
      <w:r w:rsidR="00D67EB8" w:rsidRPr="009118AB">
        <w:rPr>
          <w:i/>
          <w:iCs/>
        </w:rPr>
        <w:t>Art. </w:t>
      </w:r>
      <w:r w:rsidR="00DA282B" w:rsidRPr="009118AB">
        <w:rPr>
          <w:i/>
          <w:iCs/>
        </w:rPr>
        <w:t xml:space="preserve">34 </w:t>
      </w:r>
      <w:r w:rsidR="00D67EB8" w:rsidRPr="009118AB">
        <w:rPr>
          <w:i/>
          <w:iCs/>
        </w:rPr>
        <w:t>Nr. </w:t>
      </w:r>
      <w:r w:rsidR="00DA282B" w:rsidRPr="009118AB">
        <w:rPr>
          <w:i/>
          <w:iCs/>
        </w:rPr>
        <w:t>8 des G. vom 14. April 2011 (B.S. vom 6. Mai 2011)</w:t>
      </w:r>
      <w:r w:rsidR="00D67EB8" w:rsidRPr="009118AB">
        <w:rPr>
          <w:i/>
          <w:iCs/>
        </w:rPr>
        <w:t> - </w:t>
      </w:r>
      <w:r w:rsidR="00DA282B" w:rsidRPr="009118AB">
        <w:rPr>
          <w:i/>
          <w:iCs/>
        </w:rPr>
        <w:t>anwendbar auf die ab dem 1. Januar 2011 gezahlten oder zuerkannten Zinsen</w:t>
      </w:r>
      <w:r w:rsidR="003366D9" w:rsidRPr="009118AB">
        <w:rPr>
          <w:i/>
          <w:iCs/>
        </w:rPr>
        <w:t> -;</w:t>
      </w:r>
      <w:r w:rsidR="00DA282B" w:rsidRPr="009118AB">
        <w:rPr>
          <w:i/>
          <w:iCs/>
        </w:rPr>
        <w:t xml:space="preserve"> </w:t>
      </w:r>
      <w:r w:rsidR="00D67EB8" w:rsidRPr="009118AB">
        <w:rPr>
          <w:i/>
          <w:iCs/>
        </w:rPr>
        <w:t>§ </w:t>
      </w:r>
      <w:r w:rsidR="00DA282B" w:rsidRPr="009118AB">
        <w:rPr>
          <w:i/>
          <w:iCs/>
        </w:rPr>
        <w:t xml:space="preserve">3 eingefügt durch </w:t>
      </w:r>
      <w:r w:rsidR="00D67EB8" w:rsidRPr="009118AB">
        <w:rPr>
          <w:i/>
          <w:iCs/>
        </w:rPr>
        <w:t>Art. </w:t>
      </w:r>
      <w:r w:rsidR="00DA282B" w:rsidRPr="009118AB">
        <w:rPr>
          <w:i/>
          <w:iCs/>
        </w:rPr>
        <w:t xml:space="preserve">34 </w:t>
      </w:r>
      <w:r w:rsidR="00D67EB8" w:rsidRPr="009118AB">
        <w:rPr>
          <w:i/>
          <w:iCs/>
        </w:rPr>
        <w:t>Nr. </w:t>
      </w:r>
      <w:r w:rsidR="00DA282B" w:rsidRPr="009118AB">
        <w:rPr>
          <w:i/>
          <w:iCs/>
        </w:rPr>
        <w:t>9 des G. vom 14. April 2011 (B.S. vom 6. Mai 2011)</w:t>
      </w:r>
      <w:r w:rsidR="00D67EB8" w:rsidRPr="009118AB">
        <w:rPr>
          <w:i/>
          <w:iCs/>
        </w:rPr>
        <w:t> - </w:t>
      </w:r>
      <w:r w:rsidR="00DA282B" w:rsidRPr="009118AB">
        <w:rPr>
          <w:i/>
          <w:iCs/>
        </w:rPr>
        <w:t>anwendbar auf die ab dem 1. Januar 2011 gezahlten oder zuerkannten Zinsen</w:t>
      </w:r>
      <w:r w:rsidR="00D67EB8" w:rsidRPr="009118AB">
        <w:rPr>
          <w:i/>
          <w:iCs/>
        </w:rPr>
        <w:t> - </w:t>
      </w:r>
      <w:r w:rsidR="0038694D" w:rsidRPr="009118AB">
        <w:rPr>
          <w:i/>
          <w:iCs/>
        </w:rPr>
        <w:t xml:space="preserve">und abgeändert durch </w:t>
      </w:r>
      <w:r w:rsidR="00D67EB8" w:rsidRPr="009118AB">
        <w:rPr>
          <w:i/>
          <w:iCs/>
        </w:rPr>
        <w:t>Art. </w:t>
      </w:r>
      <w:r w:rsidR="0038694D" w:rsidRPr="009118AB">
        <w:rPr>
          <w:i/>
          <w:iCs/>
        </w:rPr>
        <w:t>12</w:t>
      </w:r>
      <w:r w:rsidR="0038694D" w:rsidRPr="009118AB">
        <w:rPr>
          <w:i/>
          <w:iCs/>
          <w:spacing w:val="-2"/>
        </w:rPr>
        <w:t xml:space="preserve"> des G. vom 17. März 2019 (III) (B.S. vom 10. Mai 2019)</w:t>
      </w:r>
      <w:r w:rsidR="00D67EB8" w:rsidRPr="009118AB">
        <w:rPr>
          <w:i/>
          <w:iCs/>
          <w:spacing w:val="-2"/>
        </w:rPr>
        <w:t> - </w:t>
      </w:r>
      <w:r w:rsidR="0038694D" w:rsidRPr="009118AB">
        <w:rPr>
          <w:i/>
          <w:iCs/>
          <w:spacing w:val="-2"/>
        </w:rPr>
        <w:t>in Kraft am 1. Mai 2019</w:t>
      </w:r>
      <w:r w:rsidR="00FD68E8" w:rsidRPr="009118AB">
        <w:rPr>
          <w:i/>
          <w:iCs/>
          <w:spacing w:val="-2"/>
        </w:rPr>
        <w:t> -]</w:t>
      </w:r>
    </w:p>
    <w:p w14:paraId="74BE086E" w14:textId="77777777" w:rsidR="00477B8F" w:rsidRPr="009118AB" w:rsidRDefault="00477B8F" w:rsidP="00477B8F">
      <w:pPr>
        <w:autoSpaceDE w:val="0"/>
        <w:autoSpaceDN w:val="0"/>
        <w:adjustRightInd w:val="0"/>
        <w:jc w:val="both"/>
        <w:rPr>
          <w:i/>
          <w:iCs/>
        </w:rPr>
      </w:pPr>
    </w:p>
    <w:p w14:paraId="395668A9" w14:textId="77777777" w:rsidR="00477B8F" w:rsidRPr="009118AB" w:rsidRDefault="00477B8F" w:rsidP="00477B8F">
      <w:pPr>
        <w:autoSpaceDE w:val="0"/>
        <w:autoSpaceDN w:val="0"/>
        <w:adjustRightInd w:val="0"/>
        <w:jc w:val="both"/>
        <w:rPr>
          <w:i/>
          <w:iCs/>
        </w:rPr>
      </w:pPr>
    </w:p>
    <w:p w14:paraId="42F9E93F" w14:textId="3CDE8A74"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57</w:t>
      </w:r>
      <w:r w:rsidR="00D67EB8" w:rsidRPr="009118AB">
        <w:t> - </w:t>
      </w:r>
      <w:r w:rsidR="00183157" w:rsidRPr="009118AB">
        <w:t>[Nachstehende Kosten gelten nur als Werbungskosten]</w:t>
      </w:r>
      <w:r w:rsidRPr="009118AB">
        <w:t xml:space="preserve">, wenn sie durch Individualkarten </w:t>
      </w:r>
      <w:r w:rsidR="002713C5" w:rsidRPr="009118AB">
        <w:t>[...]</w:t>
      </w:r>
      <w:r w:rsidRPr="009118AB">
        <w:t xml:space="preserve"> nachgewiesen werden, die in den vom König festgelegten Formen und Fristen erstellt werden:</w:t>
      </w:r>
    </w:p>
    <w:p w14:paraId="0875E52A" w14:textId="77777777" w:rsidR="00477B8F" w:rsidRPr="009118AB" w:rsidRDefault="00477B8F" w:rsidP="00477B8F">
      <w:pPr>
        <w:autoSpaceDE w:val="0"/>
        <w:autoSpaceDN w:val="0"/>
        <w:adjustRightInd w:val="0"/>
        <w:jc w:val="both"/>
      </w:pPr>
    </w:p>
    <w:p w14:paraId="2DE5367B" w14:textId="6C3234D2" w:rsidR="00477B8F" w:rsidRPr="009118AB" w:rsidRDefault="00477B8F" w:rsidP="00477B8F">
      <w:pPr>
        <w:autoSpaceDE w:val="0"/>
        <w:autoSpaceDN w:val="0"/>
        <w:adjustRightInd w:val="0"/>
        <w:jc w:val="both"/>
      </w:pPr>
      <w:r w:rsidRPr="009118AB">
        <w:tab/>
        <w:t xml:space="preserve">1. Provisionen, Maklergebühren, kommerzielle oder andere Ermäßigungen, zufällige oder nicht zufällige Entgelte oder Honorare, Zuwendungen, Vergütungen oder Vorteile jeglicher Art, die für die Empfänger [in Belgien beziehungsweise nicht in Belgien steuerpflichtige] Berufseinkünfte darstellen[, ausschließlich der in Artikel 30 </w:t>
      </w:r>
      <w:r w:rsidR="00D67EB8" w:rsidRPr="009118AB">
        <w:t>Nr. </w:t>
      </w:r>
      <w:r w:rsidRPr="009118AB">
        <w:t>3 erwähnten Entlohnungen],</w:t>
      </w:r>
    </w:p>
    <w:p w14:paraId="4D67C554" w14:textId="77777777" w:rsidR="00477B8F" w:rsidRPr="009118AB" w:rsidRDefault="00477B8F" w:rsidP="00477B8F">
      <w:pPr>
        <w:autoSpaceDE w:val="0"/>
        <w:autoSpaceDN w:val="0"/>
        <w:adjustRightInd w:val="0"/>
        <w:jc w:val="both"/>
      </w:pPr>
    </w:p>
    <w:p w14:paraId="210A0DA5" w14:textId="77777777" w:rsidR="00477B8F" w:rsidRPr="009118AB" w:rsidRDefault="00477B8F" w:rsidP="00477B8F">
      <w:pPr>
        <w:autoSpaceDE w:val="0"/>
        <w:autoSpaceDN w:val="0"/>
        <w:adjustRightInd w:val="0"/>
        <w:jc w:val="both"/>
      </w:pPr>
      <w:r w:rsidRPr="009118AB">
        <w:tab/>
        <w:t>2. Entlohnungen, Pensionen, Renten oder als solche geltende Zulagen, die Personalmitgliedern, ehemaligen Personalmitgliedern oder ihren Rechtsnachfolgern gezahlt werden, ausschließlich der für die Empfänger steuerfreien Sozialvorteile,</w:t>
      </w:r>
    </w:p>
    <w:p w14:paraId="19BA3C86" w14:textId="77777777" w:rsidR="003F5D2D" w:rsidRPr="009118AB" w:rsidRDefault="003F5D2D" w:rsidP="00477B8F">
      <w:pPr>
        <w:autoSpaceDE w:val="0"/>
        <w:autoSpaceDN w:val="0"/>
        <w:adjustRightInd w:val="0"/>
      </w:pPr>
    </w:p>
    <w:p w14:paraId="18B0A265" w14:textId="38B6703C" w:rsidR="00477B8F" w:rsidRPr="009118AB" w:rsidRDefault="00477B8F" w:rsidP="00231CCB">
      <w:pPr>
        <w:autoSpaceDE w:val="0"/>
        <w:autoSpaceDN w:val="0"/>
        <w:adjustRightInd w:val="0"/>
        <w:jc w:val="both"/>
      </w:pPr>
      <w:r w:rsidRPr="009118AB">
        <w:tab/>
        <w:t>3. Pauschalentschädigungen, die Personalmitgliedern als Erstattung von tatsächlichen Kosten bewilligt werden, die dem Arbeitgeber obliegen</w:t>
      </w:r>
      <w:r w:rsidR="00730FFE" w:rsidRPr="009118AB">
        <w:t>,</w:t>
      </w:r>
    </w:p>
    <w:p w14:paraId="746B723C" w14:textId="77777777" w:rsidR="00730FFE" w:rsidRPr="009118AB" w:rsidRDefault="00730FFE" w:rsidP="00231CCB">
      <w:pPr>
        <w:autoSpaceDE w:val="0"/>
        <w:autoSpaceDN w:val="0"/>
        <w:adjustRightInd w:val="0"/>
        <w:jc w:val="both"/>
      </w:pPr>
    </w:p>
    <w:p w14:paraId="7C6A7A98" w14:textId="7614CBF4" w:rsidR="00730FFE" w:rsidRPr="009118AB" w:rsidRDefault="00730FFE" w:rsidP="00231CCB">
      <w:pPr>
        <w:autoSpaceDE w:val="0"/>
        <w:autoSpaceDN w:val="0"/>
        <w:adjustRightInd w:val="0"/>
        <w:jc w:val="both"/>
      </w:pPr>
      <w:r w:rsidRPr="009118AB">
        <w:tab/>
        <w:t>[</w:t>
      </w:r>
      <w:r w:rsidRPr="009118AB">
        <w:rPr>
          <w:lang w:eastAsia="fr-BE"/>
        </w:rPr>
        <w:t xml:space="preserve">4. Einkünfte erwähnt in Artikel 17 </w:t>
      </w:r>
      <w:r w:rsidR="00D67EB8" w:rsidRPr="009118AB">
        <w:rPr>
          <w:lang w:eastAsia="fr-BE"/>
        </w:rPr>
        <w:t>§ </w:t>
      </w:r>
      <w:r w:rsidRPr="009118AB">
        <w:rPr>
          <w:lang w:eastAsia="fr-BE"/>
        </w:rPr>
        <w:t xml:space="preserve">1 Absatz 1 </w:t>
      </w:r>
      <w:r w:rsidR="00D67EB8" w:rsidRPr="009118AB">
        <w:rPr>
          <w:lang w:eastAsia="fr-BE"/>
        </w:rPr>
        <w:t>Nr. </w:t>
      </w:r>
      <w:r w:rsidRPr="009118AB">
        <w:rPr>
          <w:lang w:eastAsia="fr-BE"/>
        </w:rPr>
        <w:t xml:space="preserve">3, was Urheberrechte und ähnliche Rechte betrifft, und </w:t>
      </w:r>
      <w:r w:rsidR="00D67EB8" w:rsidRPr="009118AB">
        <w:rPr>
          <w:lang w:eastAsia="fr-BE"/>
        </w:rPr>
        <w:t>Nr. </w:t>
      </w:r>
      <w:r w:rsidRPr="009118AB">
        <w:rPr>
          <w:lang w:eastAsia="fr-BE"/>
        </w:rPr>
        <w:t>5.]</w:t>
      </w:r>
    </w:p>
    <w:p w14:paraId="4D568CF6" w14:textId="0C6A9CA7" w:rsidR="000C0C82" w:rsidRPr="009118AB" w:rsidRDefault="000C0C82" w:rsidP="00231CCB">
      <w:pPr>
        <w:autoSpaceDE w:val="0"/>
        <w:autoSpaceDN w:val="0"/>
        <w:adjustRightInd w:val="0"/>
        <w:jc w:val="both"/>
      </w:pPr>
    </w:p>
    <w:p w14:paraId="710870A2" w14:textId="5B00403E" w:rsidR="000C0C82" w:rsidRPr="009118AB" w:rsidRDefault="000C0C82" w:rsidP="00231CCB">
      <w:pPr>
        <w:autoSpaceDE w:val="0"/>
        <w:autoSpaceDN w:val="0"/>
        <w:adjustRightInd w:val="0"/>
        <w:jc w:val="both"/>
      </w:pPr>
      <w:r w:rsidRPr="009118AB">
        <w:tab/>
        <w:t xml:space="preserve">[Variable Entschädigungen, die Personalmitgliedern als Erstattung von tatsächlichen Kosten bewilligt werden, die dem Arbeitgeber obliegen, müssen durch Individualkarten </w:t>
      </w:r>
      <w:r w:rsidR="002713C5" w:rsidRPr="009118AB">
        <w:t>[...]</w:t>
      </w:r>
      <w:r w:rsidRPr="009118AB">
        <w:t xml:space="preserve"> nachgewiesen werden, die in der vom König festgelegten Form und Frist vorgelegt werden.]</w:t>
      </w:r>
    </w:p>
    <w:p w14:paraId="213C897E" w14:textId="77777777" w:rsidR="00CE4232" w:rsidRPr="009118AB" w:rsidRDefault="00CE4232" w:rsidP="00231CCB">
      <w:pPr>
        <w:autoSpaceDE w:val="0"/>
        <w:autoSpaceDN w:val="0"/>
        <w:adjustRightInd w:val="0"/>
        <w:jc w:val="both"/>
      </w:pPr>
    </w:p>
    <w:p w14:paraId="489D4D92" w14:textId="5A14C1FE" w:rsidR="00CE4232" w:rsidRPr="009118AB" w:rsidRDefault="00CE4232" w:rsidP="00CE4232">
      <w:pPr>
        <w:ind w:right="-57"/>
        <w:jc w:val="both"/>
        <w:rPr>
          <w:lang w:eastAsia="fr-BE"/>
        </w:rPr>
      </w:pPr>
      <w:r w:rsidRPr="009118AB">
        <w:tab/>
        <w:t>[</w:t>
      </w:r>
      <w:r w:rsidRPr="009118AB">
        <w:rPr>
          <w:lang w:eastAsia="fr-BE"/>
        </w:rPr>
        <w:t xml:space="preserve">Absatz 1 </w:t>
      </w:r>
      <w:r w:rsidR="00D67EB8" w:rsidRPr="009118AB">
        <w:rPr>
          <w:lang w:eastAsia="fr-BE"/>
        </w:rPr>
        <w:t>Nr. </w:t>
      </w:r>
      <w:r w:rsidRPr="009118AB">
        <w:rPr>
          <w:lang w:eastAsia="fr-BE"/>
        </w:rPr>
        <w:t xml:space="preserve">1 ist nicht anwendbar, wenn die dort erwähnten Kosten im Zusammenhang mit Lieferungen von Gütern oder Dienstleistungen stehen, die von einem Steuerpflichtigen bewirkt werden, der im Gebiet der Gemeinschaft im Sinne von Artikel 1 </w:t>
      </w:r>
      <w:r w:rsidR="00D67EB8" w:rsidRPr="009118AB">
        <w:rPr>
          <w:lang w:eastAsia="fr-BE"/>
        </w:rPr>
        <w:t>§ </w:t>
      </w:r>
      <w:r w:rsidRPr="009118AB">
        <w:rPr>
          <w:lang w:eastAsia="fr-BE"/>
        </w:rPr>
        <w:t xml:space="preserve">2 </w:t>
      </w:r>
      <w:r w:rsidR="00D67EB8" w:rsidRPr="009118AB">
        <w:rPr>
          <w:lang w:eastAsia="fr-BE"/>
        </w:rPr>
        <w:t>Nr. </w:t>
      </w:r>
      <w:r w:rsidRPr="009118AB">
        <w:rPr>
          <w:lang w:eastAsia="fr-BE"/>
        </w:rPr>
        <w:t>2 des Mehrwertsteuergesetzbuches oder in Norwegen, Island oder Liechtenstein ansässig ist, und für die gemäß dem Mehrwertsteuergesetzbuch, der Richtlinie 2006/112/EG des Rates vom 28. November 2006 über das gemeinsame Mehrwertsteuersystem oder jeder anderen auf den Steuerpflichtigen anwendbaren Gesetzes- oder Verordnungsbestimmung eine Rechnung oder ein gleichwertiges Dokument ausgestellt worden ist.</w:t>
      </w:r>
    </w:p>
    <w:p w14:paraId="55B5A7BD" w14:textId="77777777" w:rsidR="00CE4232" w:rsidRPr="009118AB" w:rsidRDefault="00CE4232" w:rsidP="00CE4232">
      <w:pPr>
        <w:ind w:right="-57"/>
        <w:jc w:val="both"/>
        <w:rPr>
          <w:lang w:eastAsia="fr-BE"/>
        </w:rPr>
      </w:pPr>
    </w:p>
    <w:p w14:paraId="34F0E55D" w14:textId="2B3696D1" w:rsidR="00CE4232" w:rsidRPr="009118AB" w:rsidRDefault="00CE4232" w:rsidP="00CE4232">
      <w:pPr>
        <w:ind w:right="-57"/>
        <w:jc w:val="both"/>
        <w:rPr>
          <w:lang w:eastAsia="fr-BE"/>
        </w:rPr>
      </w:pPr>
      <w:r w:rsidRPr="009118AB">
        <w:rPr>
          <w:lang w:eastAsia="fr-BE"/>
        </w:rPr>
        <w:lastRenderedPageBreak/>
        <w:tab/>
        <w:t xml:space="preserve">In Abweichung von Absatz 1 </w:t>
      </w:r>
      <w:r w:rsidR="00D67EB8" w:rsidRPr="009118AB">
        <w:rPr>
          <w:lang w:eastAsia="fr-BE"/>
        </w:rPr>
        <w:t>Nr. </w:t>
      </w:r>
      <w:r w:rsidRPr="009118AB">
        <w:rPr>
          <w:lang w:eastAsia="fr-BE"/>
        </w:rPr>
        <w:t xml:space="preserve">1 kann der König einen Schwellenwert festlegen, unter dem die dort erwähnten Werbungskosten pro Jahr und pro Lieferer von Gütern oder Dienstleistenden nicht durch die Ausstellung einer Individualkarte </w:t>
      </w:r>
      <w:r w:rsidR="002713C5" w:rsidRPr="009118AB">
        <w:rPr>
          <w:lang w:eastAsia="fr-BE"/>
        </w:rPr>
        <w:t>[...]</w:t>
      </w:r>
      <w:r w:rsidRPr="009118AB">
        <w:rPr>
          <w:lang w:eastAsia="fr-BE"/>
        </w:rPr>
        <w:t xml:space="preserve"> nachgewiesen werden müssen. Der Schwellenwert darf nicht über 1.000 EUR liegen.</w:t>
      </w:r>
    </w:p>
    <w:p w14:paraId="189BE340" w14:textId="77777777" w:rsidR="00CE4232" w:rsidRPr="009118AB" w:rsidRDefault="00CE4232" w:rsidP="00CE4232">
      <w:pPr>
        <w:ind w:right="-57"/>
        <w:jc w:val="both"/>
        <w:rPr>
          <w:lang w:eastAsia="fr-BE"/>
        </w:rPr>
      </w:pPr>
    </w:p>
    <w:p w14:paraId="282BDCFA" w14:textId="563B0D92" w:rsidR="00CE4232" w:rsidRPr="009118AB" w:rsidRDefault="00CE4232" w:rsidP="00CE4232">
      <w:pPr>
        <w:autoSpaceDE w:val="0"/>
        <w:autoSpaceDN w:val="0"/>
        <w:adjustRightInd w:val="0"/>
        <w:jc w:val="both"/>
      </w:pPr>
      <w:r w:rsidRPr="009118AB">
        <w:rPr>
          <w:lang w:eastAsia="fr-BE"/>
        </w:rPr>
        <w:tab/>
        <w:t>Jede Datenverarbeitung, die direkt oder indirekt mit der Einhaltung der Absätze 1 bis 4 zusammenhängt, ist eine Verarbeitung, die für die Wahrnehmung einer Aufgabe erforderlich ist, die im öffentlichen Interesse liegt, im Sinne von Artikel 6 der Verordnung (EU) 2016/679 vom 27. April 2016 zum Schutz natürlicher Personen bei der Verarbeitung personenbezogener Daten, zum freien Datenverkehr und zur Aufhebung der Richtlinie 95/46/EG. Der Zweck dieser Datenverarbeitung ist mit den Zwecken vereinbar, die die in vorliegendem Gesetzbuch beschriebenen steuerlichen Befugnisse verfolgen. Dieses Gesetzbuch bildet die Rechtsgrundlage im Sinne von Artikel 6 Absatz 3 der vorerwähnten Verordnung für die Verarbeitung von Daten bei der Ausübung der darin beschriebenen steuerlichen Befugnisse. Die Ausübung dieser steuerlichen Befugnisse stellt im Zusammenhang mit der Datenverarbeitung einen wichtigen Grund des öffentlichen Interesses dar.</w:t>
      </w:r>
      <w:r w:rsidRPr="009118AB">
        <w:t>]</w:t>
      </w:r>
    </w:p>
    <w:p w14:paraId="4B52BBA1" w14:textId="77777777" w:rsidR="00477B8F" w:rsidRPr="009118AB" w:rsidRDefault="00477B8F" w:rsidP="00477B8F">
      <w:pPr>
        <w:autoSpaceDE w:val="0"/>
        <w:autoSpaceDN w:val="0"/>
        <w:adjustRightInd w:val="0"/>
        <w:jc w:val="both"/>
      </w:pPr>
    </w:p>
    <w:p w14:paraId="3FF4FF82" w14:textId="1E074806"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57 </w:t>
      </w:r>
      <w:r w:rsidR="00D67EB8" w:rsidRPr="009118AB">
        <w:rPr>
          <w:i/>
          <w:iCs/>
        </w:rPr>
        <w:t>Abs. </w:t>
      </w:r>
      <w:r w:rsidR="000C0C82" w:rsidRPr="009118AB">
        <w:rPr>
          <w:i/>
          <w:iCs/>
        </w:rPr>
        <w:t xml:space="preserve">1 (früherer </w:t>
      </w:r>
      <w:r w:rsidR="00183157" w:rsidRPr="009118AB">
        <w:rPr>
          <w:i/>
          <w:iCs/>
        </w:rPr>
        <w:t>einziger Absatz</w:t>
      </w:r>
      <w:r w:rsidR="000C0C82" w:rsidRPr="009118AB">
        <w:rPr>
          <w:i/>
          <w:iCs/>
        </w:rPr>
        <w:t>)</w:t>
      </w:r>
      <w:r w:rsidR="00183157" w:rsidRPr="009118AB">
        <w:rPr>
          <w:i/>
          <w:iCs/>
        </w:rPr>
        <w:t xml:space="preserve"> einleitende Bestimmung abgeändert durch </w:t>
      </w:r>
      <w:r w:rsidR="00D67EB8" w:rsidRPr="009118AB">
        <w:rPr>
          <w:i/>
          <w:iCs/>
        </w:rPr>
        <w:t>Art. </w:t>
      </w:r>
      <w:r w:rsidR="00A33591" w:rsidRPr="009118AB">
        <w:rPr>
          <w:i/>
          <w:iCs/>
        </w:rPr>
        <w:t>3</w:t>
      </w:r>
      <w:r w:rsidR="00183157" w:rsidRPr="009118AB">
        <w:rPr>
          <w:i/>
          <w:iCs/>
        </w:rPr>
        <w:t>7 des G. vom 18. Dezember 2015 (II) (B.S. vom 28. Dezember 2015)</w:t>
      </w:r>
      <w:r w:rsidR="002713C5" w:rsidRPr="009118AB">
        <w:rPr>
          <w:i/>
          <w:iCs/>
        </w:rPr>
        <w:t xml:space="preserve"> und Art. 9 Nr. 1 des G. vom 21. Dezember 2022 (II) (B.S. vom 29. Dezember 2022) - in Kraft am 1. Januar 2023 -</w:t>
      </w:r>
      <w:r w:rsidR="00183157" w:rsidRPr="009118AB">
        <w:rPr>
          <w:i/>
          <w:iCs/>
        </w:rPr>
        <w:t xml:space="preserve">; </w:t>
      </w:r>
      <w:r w:rsidR="00D67EB8" w:rsidRPr="009118AB">
        <w:rPr>
          <w:i/>
          <w:iCs/>
        </w:rPr>
        <w:t>Abs. </w:t>
      </w:r>
      <w:r w:rsidR="000C0C82" w:rsidRPr="009118AB">
        <w:rPr>
          <w:i/>
          <w:iCs/>
        </w:rPr>
        <w:t>1</w:t>
      </w:r>
      <w:r w:rsidRPr="009118AB">
        <w:rPr>
          <w:i/>
          <w:iCs/>
        </w:rPr>
        <w:t xml:space="preserve"> </w:t>
      </w:r>
      <w:r w:rsidR="00D67EB8" w:rsidRPr="009118AB">
        <w:rPr>
          <w:i/>
          <w:iCs/>
        </w:rPr>
        <w:t>Nr. </w:t>
      </w:r>
      <w:r w:rsidRPr="009118AB">
        <w:rPr>
          <w:i/>
          <w:iCs/>
        </w:rPr>
        <w:t xml:space="preserve">1 abgeändert durch </w:t>
      </w:r>
      <w:r w:rsidR="00D67EB8" w:rsidRPr="009118AB">
        <w:rPr>
          <w:i/>
          <w:iCs/>
        </w:rPr>
        <w:t>Art. </w:t>
      </w:r>
      <w:r w:rsidRPr="009118AB">
        <w:rPr>
          <w:i/>
          <w:iCs/>
        </w:rPr>
        <w:t>21 des G. (I) vom 24. Dezember 2002</w:t>
      </w:r>
      <w:r w:rsidR="002713C5" w:rsidRPr="009118AB">
        <w:rPr>
          <w:i/>
          <w:iCs/>
        </w:rPr>
        <w:t> </w:t>
      </w:r>
      <w:r w:rsidR="00D86BCC" w:rsidRPr="009118AB">
        <w:rPr>
          <w:i/>
          <w:iCs/>
        </w:rPr>
        <w:t>(I)</w:t>
      </w:r>
      <w:r w:rsidRPr="009118AB">
        <w:rPr>
          <w:i/>
          <w:iCs/>
        </w:rPr>
        <w:t xml:space="preserve"> (B.S. vom 31. Dezember 2002)</w:t>
      </w:r>
      <w:r w:rsidR="00D67EB8" w:rsidRPr="009118AB">
        <w:rPr>
          <w:i/>
          <w:iCs/>
        </w:rPr>
        <w:t> - </w:t>
      </w:r>
      <w:r w:rsidRPr="009118AB">
        <w:rPr>
          <w:i/>
          <w:iCs/>
        </w:rPr>
        <w:t>in Kraft ab dem Steuerjahr 2004</w:t>
      </w:r>
      <w:r w:rsidR="00D67EB8" w:rsidRPr="009118AB">
        <w:rPr>
          <w:i/>
          <w:iCs/>
        </w:rPr>
        <w:t> - </w:t>
      </w:r>
      <w:r w:rsidRPr="009118AB">
        <w:rPr>
          <w:i/>
          <w:iCs/>
        </w:rPr>
        <w:t xml:space="preserve">und </w:t>
      </w:r>
      <w:r w:rsidR="00D67EB8" w:rsidRPr="009118AB">
        <w:rPr>
          <w:i/>
          <w:iCs/>
        </w:rPr>
        <w:t>Art. </w:t>
      </w:r>
      <w:r w:rsidRPr="009118AB">
        <w:rPr>
          <w:i/>
          <w:iCs/>
        </w:rPr>
        <w:t>42 des G. vom 20. Juli 2006</w:t>
      </w:r>
      <w:r w:rsidR="002713C5" w:rsidRPr="009118AB">
        <w:rPr>
          <w:i/>
          <w:iCs/>
        </w:rPr>
        <w:t> </w:t>
      </w:r>
      <w:r w:rsidRPr="009118AB">
        <w:rPr>
          <w:i/>
          <w:iCs/>
        </w:rPr>
        <w:t>(II)</w:t>
      </w:r>
      <w:r w:rsidR="005E3D7F" w:rsidRPr="009118AB">
        <w:rPr>
          <w:i/>
          <w:iCs/>
        </w:rPr>
        <w:t xml:space="preserve"> (B.S. vom 28. Juli 2006)</w:t>
      </w:r>
      <w:r w:rsidR="00D67EB8" w:rsidRPr="009118AB">
        <w:rPr>
          <w:i/>
          <w:iCs/>
        </w:rPr>
        <w:t> - </w:t>
      </w:r>
      <w:r w:rsidRPr="009118AB">
        <w:rPr>
          <w:i/>
          <w:iCs/>
        </w:rPr>
        <w:t>anwendbar auf die ab dem 1. Januar 2006 gezahlten oder zuerkannten Provisionen, Maklergebühren, kommerziellen oder anderen Ermäßigungen, zufälligen oder nicht zufälligen Entgelte oder Honorare, Zuwendungen, Vergütungen oder Vorteile jeglicher Art</w:t>
      </w:r>
      <w:r w:rsidR="003366D9" w:rsidRPr="009118AB">
        <w:rPr>
          <w:i/>
          <w:iCs/>
        </w:rPr>
        <w:t> -;</w:t>
      </w:r>
      <w:r w:rsidR="00730FFE" w:rsidRPr="009118AB">
        <w:rPr>
          <w:i/>
          <w:iCs/>
        </w:rPr>
        <w:t xml:space="preserve"> </w:t>
      </w:r>
      <w:r w:rsidR="00D67EB8" w:rsidRPr="009118AB">
        <w:rPr>
          <w:i/>
          <w:iCs/>
        </w:rPr>
        <w:t>Abs. </w:t>
      </w:r>
      <w:r w:rsidR="00730FFE" w:rsidRPr="009118AB">
        <w:rPr>
          <w:i/>
          <w:iCs/>
        </w:rPr>
        <w:t xml:space="preserve">1 </w:t>
      </w:r>
      <w:r w:rsidR="00D67EB8" w:rsidRPr="009118AB">
        <w:rPr>
          <w:i/>
          <w:iCs/>
        </w:rPr>
        <w:t>Nr. </w:t>
      </w:r>
      <w:r w:rsidR="00730FFE" w:rsidRPr="009118AB">
        <w:rPr>
          <w:i/>
          <w:iCs/>
        </w:rPr>
        <w:t xml:space="preserve">4 eingefügt durch </w:t>
      </w:r>
      <w:r w:rsidR="00D67EB8" w:rsidRPr="009118AB">
        <w:rPr>
          <w:i/>
          <w:iCs/>
        </w:rPr>
        <w:t>Art. </w:t>
      </w:r>
      <w:r w:rsidR="00730FFE" w:rsidRPr="009118AB">
        <w:rPr>
          <w:i/>
          <w:iCs/>
        </w:rPr>
        <w:t>32 des G. vom 21.</w:t>
      </w:r>
      <w:r w:rsidR="002713C5" w:rsidRPr="009118AB">
        <w:rPr>
          <w:i/>
          <w:iCs/>
        </w:rPr>
        <w:t> </w:t>
      </w:r>
      <w:r w:rsidR="00730FFE" w:rsidRPr="009118AB">
        <w:rPr>
          <w:i/>
          <w:iCs/>
        </w:rPr>
        <w:t>Januar</w:t>
      </w:r>
      <w:r w:rsidR="002713C5" w:rsidRPr="009118AB">
        <w:rPr>
          <w:i/>
          <w:iCs/>
        </w:rPr>
        <w:t> </w:t>
      </w:r>
      <w:r w:rsidR="00730FFE" w:rsidRPr="009118AB">
        <w:rPr>
          <w:i/>
          <w:iCs/>
        </w:rPr>
        <w:t>2022 (B.S. vom 28.</w:t>
      </w:r>
      <w:r w:rsidR="002713C5" w:rsidRPr="009118AB">
        <w:rPr>
          <w:i/>
          <w:iCs/>
        </w:rPr>
        <w:t> </w:t>
      </w:r>
      <w:r w:rsidR="00730FFE" w:rsidRPr="009118AB">
        <w:rPr>
          <w:i/>
          <w:iCs/>
        </w:rPr>
        <w:t>Januar</w:t>
      </w:r>
      <w:r w:rsidR="002713C5" w:rsidRPr="009118AB">
        <w:rPr>
          <w:i/>
          <w:iCs/>
        </w:rPr>
        <w:t> </w:t>
      </w:r>
      <w:r w:rsidR="00730FFE" w:rsidRPr="009118AB">
        <w:rPr>
          <w:i/>
          <w:iCs/>
        </w:rPr>
        <w:t>2022)</w:t>
      </w:r>
      <w:r w:rsidR="00D67EB8" w:rsidRPr="009118AB">
        <w:rPr>
          <w:i/>
          <w:iCs/>
        </w:rPr>
        <w:t> - </w:t>
      </w:r>
      <w:r w:rsidR="00730FFE" w:rsidRPr="009118AB">
        <w:rPr>
          <w:i/>
          <w:iCs/>
          <w:lang w:eastAsia="fr-BE"/>
        </w:rPr>
        <w:t>anwendbar auf Einkünfte, die ab dem 1. Januar 2021 während eines Besteuerungszeitraums gezahlt oder zuerkannt werden, der frühestens an das Steuerjahr 2022 gebunden ist</w:t>
      </w:r>
      <w:r w:rsidR="003366D9" w:rsidRPr="009118AB">
        <w:rPr>
          <w:i/>
          <w:iCs/>
          <w:lang w:eastAsia="fr-BE"/>
        </w:rPr>
        <w:t> -;</w:t>
      </w:r>
      <w:r w:rsidR="000C0C82" w:rsidRPr="009118AB">
        <w:rPr>
          <w:i/>
          <w:iCs/>
        </w:rPr>
        <w:t xml:space="preserve"> </w:t>
      </w:r>
      <w:r w:rsidR="00D67EB8" w:rsidRPr="009118AB">
        <w:rPr>
          <w:i/>
          <w:iCs/>
        </w:rPr>
        <w:t>Abs. </w:t>
      </w:r>
      <w:r w:rsidR="000C0C82" w:rsidRPr="009118AB">
        <w:rPr>
          <w:i/>
          <w:iCs/>
        </w:rPr>
        <w:t xml:space="preserve">2 eingefügt durch </w:t>
      </w:r>
      <w:r w:rsidR="00D67EB8" w:rsidRPr="009118AB">
        <w:rPr>
          <w:i/>
          <w:iCs/>
        </w:rPr>
        <w:t>Art. </w:t>
      </w:r>
      <w:r w:rsidR="000C0C82" w:rsidRPr="009118AB">
        <w:rPr>
          <w:i/>
          <w:iCs/>
        </w:rPr>
        <w:t>27</w:t>
      </w:r>
      <w:r w:rsidR="000C0C82" w:rsidRPr="009118AB">
        <w:rPr>
          <w:i/>
        </w:rPr>
        <w:t xml:space="preserve"> des G. vom 27. Juni 2021 (B.S. vom 30. Juni 2021)</w:t>
      </w:r>
      <w:r w:rsidR="00D67EB8" w:rsidRPr="009118AB">
        <w:rPr>
          <w:i/>
        </w:rPr>
        <w:t> - </w:t>
      </w:r>
      <w:r w:rsidR="000C0C82" w:rsidRPr="009118AB">
        <w:rPr>
          <w:i/>
        </w:rPr>
        <w:t>anwendbar auf die ab dem 1. Januar 2022 getätigten Erstattungen</w:t>
      </w:r>
      <w:r w:rsidR="003366D9" w:rsidRPr="009118AB">
        <w:rPr>
          <w:i/>
        </w:rPr>
        <w:t> -</w:t>
      </w:r>
      <w:r w:rsidR="002713C5" w:rsidRPr="009118AB">
        <w:rPr>
          <w:i/>
        </w:rPr>
        <w:t xml:space="preserve"> und abgeändert durch Art. 9 Nr. 2</w:t>
      </w:r>
      <w:r w:rsidR="002713C5" w:rsidRPr="009118AB">
        <w:rPr>
          <w:i/>
          <w:iCs/>
        </w:rPr>
        <w:t xml:space="preserve"> des G. vom 21. Dezember 2022 (II) (B.S. vom 29. Dezember 2022) - in Kraft am 1. Januar 2023 -</w:t>
      </w:r>
      <w:r w:rsidR="003366D9" w:rsidRPr="009118AB">
        <w:rPr>
          <w:i/>
        </w:rPr>
        <w:t>;</w:t>
      </w:r>
      <w:r w:rsidR="00CE4232" w:rsidRPr="009118AB">
        <w:rPr>
          <w:i/>
        </w:rPr>
        <w:t xml:space="preserve"> </w:t>
      </w:r>
      <w:r w:rsidR="00D67EB8" w:rsidRPr="009118AB">
        <w:rPr>
          <w:i/>
        </w:rPr>
        <w:t>Abs. </w:t>
      </w:r>
      <w:r w:rsidR="00CE4232" w:rsidRPr="009118AB">
        <w:rPr>
          <w:i/>
        </w:rPr>
        <w:t xml:space="preserve">3 eingefügt durch </w:t>
      </w:r>
      <w:r w:rsidR="00D67EB8" w:rsidRPr="009118AB">
        <w:rPr>
          <w:i/>
        </w:rPr>
        <w:t>Art. </w:t>
      </w:r>
      <w:r w:rsidR="00CE4232" w:rsidRPr="009118AB">
        <w:rPr>
          <w:i/>
        </w:rPr>
        <w:t>125</w:t>
      </w:r>
      <w:r w:rsidR="00CE4232" w:rsidRPr="009118AB">
        <w:rPr>
          <w:bCs/>
          <w:i/>
          <w:iCs/>
          <w:sz w:val="20"/>
          <w:szCs w:val="20"/>
        </w:rPr>
        <w:t xml:space="preserve"> </w:t>
      </w:r>
      <w:r w:rsidR="00CE4232" w:rsidRPr="009118AB">
        <w:rPr>
          <w:bCs/>
          <w:i/>
          <w:iCs/>
        </w:rPr>
        <w:t>des G. vom 21. Januar 2022 (B.S. vom 28. Januar 2022)</w:t>
      </w:r>
      <w:r w:rsidR="00D67EB8" w:rsidRPr="009118AB">
        <w:rPr>
          <w:bCs/>
          <w:i/>
          <w:iCs/>
        </w:rPr>
        <w:t> - </w:t>
      </w:r>
      <w:r w:rsidR="00E27E4C" w:rsidRPr="009118AB">
        <w:rPr>
          <w:i/>
          <w:iCs/>
          <w:lang w:eastAsia="fr-BE"/>
        </w:rPr>
        <w:t>anwendbar auf die ab dem 1. Januar 2021 zuerkannten Provisionen, Maklergebühren, kommerziellen oder anderen Ermäßigungen, zufälligen oder nicht zufälligen Entgelte oder Honorare, Zuwendungen, Vergütungen oder Vorteile jeglicher Art</w:t>
      </w:r>
      <w:r w:rsidR="00FD68E8" w:rsidRPr="009118AB">
        <w:rPr>
          <w:i/>
          <w:iCs/>
          <w:lang w:eastAsia="fr-BE"/>
        </w:rPr>
        <w:t> -</w:t>
      </w:r>
      <w:r w:rsidR="002713C5" w:rsidRPr="009118AB">
        <w:rPr>
          <w:i/>
          <w:iCs/>
          <w:lang w:eastAsia="fr-BE"/>
        </w:rPr>
        <w:t xml:space="preserve">; </w:t>
      </w:r>
      <w:r w:rsidR="002713C5" w:rsidRPr="009118AB">
        <w:rPr>
          <w:i/>
        </w:rPr>
        <w:t>Abs. </w:t>
      </w:r>
      <w:r w:rsidR="004F7754" w:rsidRPr="009118AB">
        <w:rPr>
          <w:i/>
        </w:rPr>
        <w:t>4</w:t>
      </w:r>
      <w:r w:rsidR="002713C5" w:rsidRPr="009118AB">
        <w:rPr>
          <w:i/>
        </w:rPr>
        <w:t xml:space="preserve"> eingefügt durch Art. 125</w:t>
      </w:r>
      <w:r w:rsidR="002713C5" w:rsidRPr="009118AB">
        <w:rPr>
          <w:bCs/>
          <w:i/>
          <w:iCs/>
          <w:sz w:val="20"/>
          <w:szCs w:val="20"/>
        </w:rPr>
        <w:t xml:space="preserve"> </w:t>
      </w:r>
      <w:r w:rsidR="002713C5" w:rsidRPr="009118AB">
        <w:rPr>
          <w:bCs/>
          <w:i/>
          <w:iCs/>
        </w:rPr>
        <w:t>des G. vom 21. Januar 2022 (B.S. vom 28. Januar 2022) - </w:t>
      </w:r>
      <w:r w:rsidR="002713C5" w:rsidRPr="009118AB">
        <w:rPr>
          <w:i/>
          <w:iCs/>
          <w:lang w:eastAsia="fr-BE"/>
        </w:rPr>
        <w:t>anwendbar auf die ab dem 1. Januar 2021 zuerkannten Provisionen, Maklergebühren, kommerziellen oder anderen Ermäßigungen, zufälligen oder nicht zufälligen Entgelte oder Honorare, Zuwendungen, Vergütungen oder Vorteile jeglicher Art -</w:t>
      </w:r>
      <w:r w:rsidR="004F7754" w:rsidRPr="009118AB">
        <w:rPr>
          <w:i/>
          <w:iCs/>
          <w:lang w:eastAsia="fr-BE"/>
        </w:rPr>
        <w:t xml:space="preserve"> und abgeändert durch Art. 9 Nr. 3</w:t>
      </w:r>
      <w:r w:rsidR="004F7754" w:rsidRPr="009118AB">
        <w:rPr>
          <w:i/>
          <w:iCs/>
        </w:rPr>
        <w:t xml:space="preserve"> des G. vom 21. Dezember 2022 (II) (B.S. vom 29. Dezember 2022) - in Kraft am 1. Januar 2023 -</w:t>
      </w:r>
      <w:r w:rsidR="002713C5" w:rsidRPr="009118AB">
        <w:rPr>
          <w:i/>
          <w:iCs/>
          <w:lang w:eastAsia="fr-BE"/>
        </w:rPr>
        <w:t xml:space="preserve">; </w:t>
      </w:r>
      <w:r w:rsidR="002713C5" w:rsidRPr="009118AB">
        <w:rPr>
          <w:i/>
        </w:rPr>
        <w:t>Abs. </w:t>
      </w:r>
      <w:r w:rsidR="004F7754" w:rsidRPr="009118AB">
        <w:rPr>
          <w:i/>
        </w:rPr>
        <w:t>5</w:t>
      </w:r>
      <w:r w:rsidR="002713C5" w:rsidRPr="009118AB">
        <w:rPr>
          <w:i/>
        </w:rPr>
        <w:t xml:space="preserve"> eingefügt durch Art. 125</w:t>
      </w:r>
      <w:r w:rsidR="002713C5" w:rsidRPr="009118AB">
        <w:rPr>
          <w:bCs/>
          <w:i/>
          <w:iCs/>
          <w:sz w:val="20"/>
          <w:szCs w:val="20"/>
        </w:rPr>
        <w:t xml:space="preserve"> </w:t>
      </w:r>
      <w:r w:rsidR="002713C5" w:rsidRPr="009118AB">
        <w:rPr>
          <w:bCs/>
          <w:i/>
          <w:iCs/>
        </w:rPr>
        <w:t>des G. vom 21. Januar 2022 (B.S. vom 28. Januar 2022) - </w:t>
      </w:r>
      <w:r w:rsidR="002713C5" w:rsidRPr="009118AB">
        <w:rPr>
          <w:i/>
          <w:iCs/>
          <w:lang w:eastAsia="fr-BE"/>
        </w:rPr>
        <w:t>anwendbar auf die ab dem 1. Januar 2021 zuerkannten Provisionen, Maklergebühren, kommerziellen oder anderen Ermäßigungen, zufälligen oder nicht zufälligen Entgelte oder Honorare, Zuwendungen, Vergütungen oder Vorteile jeglicher Art -</w:t>
      </w:r>
      <w:r w:rsidR="00FD68E8" w:rsidRPr="009118AB">
        <w:rPr>
          <w:i/>
          <w:iCs/>
          <w:lang w:eastAsia="fr-BE"/>
        </w:rPr>
        <w:t>]</w:t>
      </w:r>
    </w:p>
    <w:p w14:paraId="34FAE6E8" w14:textId="4588AAB0" w:rsidR="00477B8F" w:rsidRPr="009118AB" w:rsidRDefault="00477B8F" w:rsidP="00477B8F">
      <w:pPr>
        <w:autoSpaceDE w:val="0"/>
        <w:autoSpaceDN w:val="0"/>
        <w:adjustRightInd w:val="0"/>
        <w:jc w:val="both"/>
      </w:pPr>
    </w:p>
    <w:p w14:paraId="20848FF0" w14:textId="77777777" w:rsidR="006B7F62" w:rsidRPr="009118AB" w:rsidRDefault="006B7F62" w:rsidP="00477B8F">
      <w:pPr>
        <w:autoSpaceDE w:val="0"/>
        <w:autoSpaceDN w:val="0"/>
        <w:adjustRightInd w:val="0"/>
        <w:jc w:val="both"/>
      </w:pPr>
    </w:p>
    <w:p w14:paraId="290740E9" w14:textId="77777777" w:rsidR="002A7A72" w:rsidRDefault="002A7A72">
      <w:r>
        <w:br w:type="page"/>
      </w:r>
    </w:p>
    <w:p w14:paraId="7CB82642" w14:textId="53EC3DAF" w:rsidR="00477B8F" w:rsidRPr="009118AB" w:rsidRDefault="00477B8F" w:rsidP="00477B8F">
      <w:pPr>
        <w:autoSpaceDE w:val="0"/>
        <w:autoSpaceDN w:val="0"/>
        <w:adjustRightInd w:val="0"/>
        <w:jc w:val="both"/>
      </w:pPr>
      <w:r w:rsidRPr="009118AB">
        <w:lastRenderedPageBreak/>
        <w:tab/>
      </w:r>
      <w:r w:rsidR="00D67EB8" w:rsidRPr="009118AB">
        <w:rPr>
          <w:b/>
          <w:bCs/>
        </w:rPr>
        <w:t>Art. </w:t>
      </w:r>
      <w:r w:rsidRPr="009118AB">
        <w:rPr>
          <w:b/>
          <w:bCs/>
        </w:rPr>
        <w:t>58</w:t>
      </w:r>
      <w:r w:rsidR="00D67EB8" w:rsidRPr="009118AB">
        <w:t> - </w:t>
      </w:r>
      <w:r w:rsidR="003F5D2D" w:rsidRPr="009118AB">
        <w:t>[…]</w:t>
      </w:r>
    </w:p>
    <w:p w14:paraId="3FA09D80" w14:textId="77777777" w:rsidR="00477B8F" w:rsidRPr="009118AB" w:rsidRDefault="00477B8F" w:rsidP="00477B8F">
      <w:pPr>
        <w:autoSpaceDE w:val="0"/>
        <w:autoSpaceDN w:val="0"/>
        <w:adjustRightInd w:val="0"/>
        <w:jc w:val="both"/>
      </w:pPr>
    </w:p>
    <w:p w14:paraId="0FC70428" w14:textId="11F2B9A2"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58 </w:t>
      </w:r>
      <w:r w:rsidR="003F5D2D" w:rsidRPr="009118AB">
        <w:rPr>
          <w:i/>
          <w:iCs/>
        </w:rPr>
        <w:t xml:space="preserve">aufgehoben durch </w:t>
      </w:r>
      <w:r w:rsidR="00D67EB8" w:rsidRPr="009118AB">
        <w:rPr>
          <w:i/>
          <w:iCs/>
        </w:rPr>
        <w:t>Art. </w:t>
      </w:r>
      <w:r w:rsidR="003F5D2D" w:rsidRPr="009118AB">
        <w:rPr>
          <w:i/>
          <w:iCs/>
        </w:rPr>
        <w:t>9 des G. vom 11. Mai 2007 (B.S. vom 8. Juni 2007)</w:t>
      </w:r>
      <w:r w:rsidR="00D67EB8" w:rsidRPr="009118AB">
        <w:rPr>
          <w:i/>
          <w:iCs/>
        </w:rPr>
        <w:t> - </w:t>
      </w:r>
      <w:r w:rsidR="003F5D2D" w:rsidRPr="009118AB">
        <w:rPr>
          <w:i/>
          <w:iCs/>
        </w:rPr>
        <w:t>in Kraft ab dem 8. Juni 2007</w:t>
      </w:r>
      <w:r w:rsidR="00FD68E8" w:rsidRPr="009118AB">
        <w:rPr>
          <w:i/>
          <w:iCs/>
        </w:rPr>
        <w:t> -]</w:t>
      </w:r>
    </w:p>
    <w:p w14:paraId="60F71F09" w14:textId="77777777" w:rsidR="00477B8F" w:rsidRPr="009118AB" w:rsidRDefault="00477B8F" w:rsidP="00477B8F">
      <w:pPr>
        <w:autoSpaceDE w:val="0"/>
        <w:autoSpaceDN w:val="0"/>
        <w:adjustRightInd w:val="0"/>
        <w:jc w:val="both"/>
      </w:pPr>
    </w:p>
    <w:p w14:paraId="0E25D2B1" w14:textId="4CBD7D08" w:rsidR="00BC3C7C" w:rsidRPr="009118AB" w:rsidRDefault="00BC3C7C"/>
    <w:p w14:paraId="44DA669D" w14:textId="52CFB08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59</w:t>
      </w:r>
      <w:r w:rsidR="00D67EB8" w:rsidRPr="009118AB">
        <w:t> - </w:t>
      </w:r>
      <w:r w:rsidRPr="009118AB">
        <w:t>[</w:t>
      </w:r>
      <w:r w:rsidR="00D67EB8" w:rsidRPr="009118AB">
        <w:t>§ </w:t>
      </w:r>
      <w:r w:rsidRPr="009118AB">
        <w:t>1</w:t>
      </w:r>
      <w:r w:rsidR="00D67EB8" w:rsidRPr="009118AB">
        <w:t> - </w:t>
      </w:r>
      <w:r w:rsidRPr="009118AB">
        <w:t xml:space="preserve">In Artikel 52 </w:t>
      </w:r>
      <w:r w:rsidR="00D67EB8" w:rsidRPr="009118AB">
        <w:t>Nr. </w:t>
      </w:r>
      <w:r w:rsidRPr="009118AB">
        <w:t>3 Buchstabe </w:t>
      </w:r>
      <w:r w:rsidRPr="009118AB">
        <w:rPr>
          <w:i/>
          <w:iCs/>
        </w:rPr>
        <w:t>b)</w:t>
      </w:r>
      <w:r w:rsidRPr="009118AB">
        <w:t xml:space="preserve"> erwähnte Arbeitgeberbeiträge und -prämien können nur unter folgenden Bedingungen und in folgenden Grenzen als Werbungskosten abgezogen werden:</w:t>
      </w:r>
    </w:p>
    <w:p w14:paraId="099F66C9" w14:textId="77777777" w:rsidR="00477B8F" w:rsidRPr="009118AB" w:rsidRDefault="00477B8F" w:rsidP="00477B8F">
      <w:pPr>
        <w:autoSpaceDE w:val="0"/>
        <w:autoSpaceDN w:val="0"/>
        <w:adjustRightInd w:val="0"/>
        <w:jc w:val="both"/>
      </w:pPr>
    </w:p>
    <w:p w14:paraId="4336E704" w14:textId="77777777" w:rsidR="00477B8F" w:rsidRPr="009118AB" w:rsidRDefault="00477B8F" w:rsidP="00477B8F">
      <w:pPr>
        <w:autoSpaceDE w:val="0"/>
        <w:autoSpaceDN w:val="0"/>
        <w:adjustRightInd w:val="0"/>
        <w:jc w:val="both"/>
      </w:pPr>
      <w:r w:rsidRPr="009118AB">
        <w:tab/>
        <w:t>1. Sie müssen definitiv [an ein Versicherungsunternehmen, eine Vorsorgeeinrichtung oder eine Einrichtung der betrieblichen Altersversorgung, die in einem Mitgliedstaat des Europäischen Wirtschaftsraums ansässig sind], gezahlt werden.</w:t>
      </w:r>
    </w:p>
    <w:p w14:paraId="2C494E8F" w14:textId="77777777" w:rsidR="00477B8F" w:rsidRPr="009118AB" w:rsidRDefault="00477B8F" w:rsidP="00477B8F">
      <w:pPr>
        <w:autoSpaceDE w:val="0"/>
        <w:autoSpaceDN w:val="0"/>
        <w:adjustRightInd w:val="0"/>
        <w:jc w:val="both"/>
      </w:pPr>
    </w:p>
    <w:p w14:paraId="13579014" w14:textId="77777777" w:rsidR="00477B8F" w:rsidRPr="009118AB" w:rsidRDefault="00477B8F" w:rsidP="00477B8F">
      <w:pPr>
        <w:autoSpaceDE w:val="0"/>
        <w:autoSpaceDN w:val="0"/>
        <w:adjustRightInd w:val="0"/>
        <w:jc w:val="both"/>
      </w:pPr>
      <w:r w:rsidRPr="009118AB">
        <w:tab/>
        <w:t>2. In Jahresrenten ausgedrückte gesetzliche und außergesetzliche Leistungen bei Versetzung in den Ruhestand dürfen 80 Prozent der letzten normalen Bruttojahresentlohnung nicht übersteigen und müssen auf der Grundlage einer normalen Berufstätigkeitsdauer berechnet werden.</w:t>
      </w:r>
    </w:p>
    <w:p w14:paraId="213F17B9" w14:textId="77777777" w:rsidR="00477B8F" w:rsidRPr="009118AB" w:rsidRDefault="00477B8F" w:rsidP="00477B8F">
      <w:pPr>
        <w:autoSpaceDE w:val="0"/>
        <w:autoSpaceDN w:val="0"/>
        <w:adjustRightInd w:val="0"/>
        <w:jc w:val="both"/>
      </w:pPr>
    </w:p>
    <w:p w14:paraId="0C7DE07D" w14:textId="77777777" w:rsidR="00477B8F" w:rsidRPr="009118AB" w:rsidRDefault="00477B8F" w:rsidP="00477B8F">
      <w:pPr>
        <w:autoSpaceDE w:val="0"/>
        <w:autoSpaceDN w:val="0"/>
        <w:adjustRightInd w:val="0"/>
        <w:jc w:val="both"/>
      </w:pPr>
      <w:r w:rsidRPr="009118AB">
        <w:tab/>
        <w:t>[Für Verträge, die keine Festleistungsvereinbarungen sind, werden die diesbezüglichen außergesetzlichen Leistungen festgelegt, indem die Merkmale des Vertrags, die erworbenen Reserven, die sich auf den Vertrag beziehen, und folgende Parameter berücksichtigt werden:</w:t>
      </w:r>
    </w:p>
    <w:p w14:paraId="5419CB70" w14:textId="77777777" w:rsidR="00477B8F" w:rsidRPr="009118AB" w:rsidRDefault="00477B8F" w:rsidP="00477B8F">
      <w:pPr>
        <w:autoSpaceDE w:val="0"/>
        <w:autoSpaceDN w:val="0"/>
        <w:adjustRightInd w:val="0"/>
        <w:jc w:val="both"/>
      </w:pPr>
    </w:p>
    <w:p w14:paraId="7C9E7215" w14:textId="77777777" w:rsidR="00477B8F" w:rsidRPr="009118AB" w:rsidRDefault="00477B8F" w:rsidP="00477B8F">
      <w:pPr>
        <w:autoSpaceDE w:val="0"/>
        <w:autoSpaceDN w:val="0"/>
        <w:adjustRightInd w:val="0"/>
        <w:jc w:val="both"/>
      </w:pPr>
      <w:r w:rsidRPr="009118AB">
        <w:tab/>
        <w:t>- Erhöhungsprozentsatz der Entlohnungen, Indexierung einbegriffen,</w:t>
      </w:r>
    </w:p>
    <w:p w14:paraId="658B8D22" w14:textId="77777777" w:rsidR="00477B8F" w:rsidRPr="009118AB" w:rsidRDefault="00477B8F" w:rsidP="00477B8F">
      <w:pPr>
        <w:autoSpaceDE w:val="0"/>
        <w:autoSpaceDN w:val="0"/>
        <w:adjustRightInd w:val="0"/>
        <w:jc w:val="both"/>
      </w:pPr>
    </w:p>
    <w:p w14:paraId="35B234C8" w14:textId="77777777" w:rsidR="00477B8F" w:rsidRPr="009118AB" w:rsidRDefault="00477B8F" w:rsidP="00477B8F">
      <w:pPr>
        <w:autoSpaceDE w:val="0"/>
        <w:autoSpaceDN w:val="0"/>
        <w:adjustRightInd w:val="0"/>
        <w:jc w:val="both"/>
      </w:pPr>
      <w:r w:rsidRPr="009118AB">
        <w:tab/>
        <w:t>- Kapitalisierungssatz, der auf die erworbenen Reserven angewandt werden muss,</w:t>
      </w:r>
    </w:p>
    <w:p w14:paraId="109FB7EC" w14:textId="77777777" w:rsidR="00477B8F" w:rsidRPr="009118AB" w:rsidRDefault="00477B8F" w:rsidP="00477B8F">
      <w:pPr>
        <w:autoSpaceDE w:val="0"/>
        <w:autoSpaceDN w:val="0"/>
        <w:adjustRightInd w:val="0"/>
        <w:jc w:val="both"/>
      </w:pPr>
    </w:p>
    <w:p w14:paraId="5A5F955A" w14:textId="77777777" w:rsidR="00477B8F" w:rsidRPr="009118AB" w:rsidRDefault="00477B8F" w:rsidP="00477B8F">
      <w:pPr>
        <w:autoSpaceDE w:val="0"/>
        <w:autoSpaceDN w:val="0"/>
        <w:adjustRightInd w:val="0"/>
        <w:jc w:val="both"/>
      </w:pPr>
      <w:r w:rsidRPr="009118AB">
        <w:tab/>
        <w:t>- Prozentsatz der Gewinnbeteiligungen.]</w:t>
      </w:r>
    </w:p>
    <w:p w14:paraId="1FF17583" w14:textId="77777777" w:rsidR="00231CCB" w:rsidRPr="009118AB" w:rsidRDefault="00231CCB" w:rsidP="00477B8F">
      <w:pPr>
        <w:autoSpaceDE w:val="0"/>
        <w:autoSpaceDN w:val="0"/>
        <w:adjustRightInd w:val="0"/>
      </w:pPr>
    </w:p>
    <w:p w14:paraId="0D35F7F0" w14:textId="77777777" w:rsidR="00477B8F" w:rsidRPr="009118AB" w:rsidRDefault="00477B8F" w:rsidP="00231CCB">
      <w:pPr>
        <w:autoSpaceDE w:val="0"/>
        <w:autoSpaceDN w:val="0"/>
        <w:adjustRightInd w:val="0"/>
        <w:jc w:val="both"/>
      </w:pPr>
      <w:r w:rsidRPr="009118AB">
        <w:tab/>
        <w:t>3. In Jahresrenten ausgedrückte gesetzliche und ergänzende Leistungen bei Arbeitsunfähigkeit dürfen die normale Bruttojahresentlohnung nicht übersteigen.</w:t>
      </w:r>
    </w:p>
    <w:p w14:paraId="6A756164" w14:textId="77777777" w:rsidR="00477B8F" w:rsidRPr="009118AB" w:rsidRDefault="00477B8F" w:rsidP="00477B8F">
      <w:pPr>
        <w:autoSpaceDE w:val="0"/>
        <w:autoSpaceDN w:val="0"/>
        <w:adjustRightInd w:val="0"/>
        <w:jc w:val="both"/>
      </w:pPr>
    </w:p>
    <w:p w14:paraId="342623CD" w14:textId="77777777" w:rsidR="00477B8F" w:rsidRPr="009118AB" w:rsidRDefault="00477B8F" w:rsidP="00477B8F">
      <w:pPr>
        <w:autoSpaceDE w:val="0"/>
        <w:autoSpaceDN w:val="0"/>
        <w:adjustRightInd w:val="0"/>
        <w:jc w:val="both"/>
      </w:pPr>
      <w:r w:rsidRPr="009118AB">
        <w:tab/>
        <w:t>4. Der Arbeitgeber muss in den vom König festgelegten Formen und Fristen Belege vorlegen.</w:t>
      </w:r>
    </w:p>
    <w:p w14:paraId="36384D95" w14:textId="77777777" w:rsidR="00D96928" w:rsidRPr="009118AB" w:rsidRDefault="00D96928" w:rsidP="00676759">
      <w:pPr>
        <w:jc w:val="both"/>
      </w:pPr>
    </w:p>
    <w:p w14:paraId="29052C5D" w14:textId="77777777" w:rsidR="005804C6" w:rsidRPr="009118AB" w:rsidRDefault="005804C6" w:rsidP="00676759">
      <w:pPr>
        <w:jc w:val="both"/>
      </w:pPr>
      <w:r w:rsidRPr="009118AB">
        <w:tab/>
        <w:t>[5. Die in Anwendung des Königlichen Erlasses vom 25. April 2007 zur Ausführung von Artikel 306 des Programmgesetzes (I) vom 27. Dezember 2006 verlangten Informationen müssen erteilt worden sein.]</w:t>
      </w:r>
    </w:p>
    <w:p w14:paraId="4683C074" w14:textId="77777777" w:rsidR="005804C6" w:rsidRPr="009118AB" w:rsidRDefault="005804C6" w:rsidP="00676759">
      <w:pPr>
        <w:jc w:val="both"/>
      </w:pPr>
    </w:p>
    <w:p w14:paraId="477B05B8" w14:textId="6A7DDD70" w:rsidR="00676759" w:rsidRPr="009118AB" w:rsidRDefault="00676759" w:rsidP="00676759">
      <w:pPr>
        <w:jc w:val="both"/>
      </w:pPr>
      <w:r w:rsidRPr="009118AB">
        <w:tab/>
        <w:t xml:space="preserve">[Um die Einhaltung der in Absatz 1 </w:t>
      </w:r>
      <w:r w:rsidR="00D67EB8" w:rsidRPr="009118AB">
        <w:t>Nr. </w:t>
      </w:r>
      <w:r w:rsidRPr="009118AB">
        <w:t>2 und 3 erwähnten Grenzen zu überprüfen, müssen die dort erwähnten Leistungen, die in Kapitalform ausgezahlt werden, in Renten um</w:t>
      </w:r>
      <w:r w:rsidRPr="009118AB">
        <w:softHyphen/>
        <w:t>gewandelt werden anhand der Angaben in der vom König festgelegten Tabelle, in der</w:t>
      </w:r>
      <w:r w:rsidR="00D67EB8" w:rsidRPr="009118AB">
        <w:t> - </w:t>
      </w:r>
      <w:r w:rsidRPr="009118AB">
        <w:t>ohne eine Übertragbarkeit oder die Indexierung aufgeschobener Renten innerhalb der Grenze von 2 Prozent pro Jahr ab Einsetzen dieser Renten zu berücksichtigen</w:t>
      </w:r>
      <w:r w:rsidR="00D67EB8" w:rsidRPr="009118AB">
        <w:t> - </w:t>
      </w:r>
      <w:r w:rsidRPr="009118AB">
        <w:t>für verschiedene Alter bei Einsetzen der Rente das Kapital angegeben ist, das für die Zahlung in Zwölfteln und bei Fälligkeit einer Jahresrente von 1 EUR als notwendig gilt. Bei Bedarf dürfen die Angaben der Tabelle angepasst werden, damit die Übertragbarkeit oder die Indexierung aufgeschobener Renten innerhalb der Grenze von 2 Prozent pro Jahr ab Einsetzen dieser Renten berücksichtigt wird.</w:t>
      </w:r>
    </w:p>
    <w:p w14:paraId="55974D0B" w14:textId="77777777" w:rsidR="00676759" w:rsidRPr="009118AB" w:rsidRDefault="00676759" w:rsidP="00676759">
      <w:pPr>
        <w:jc w:val="both"/>
      </w:pPr>
    </w:p>
    <w:p w14:paraId="287379BC" w14:textId="77777777" w:rsidR="00676759" w:rsidRPr="009118AB" w:rsidRDefault="00676759" w:rsidP="00676759">
      <w:pPr>
        <w:autoSpaceDE w:val="0"/>
        <w:autoSpaceDN w:val="0"/>
        <w:adjustRightInd w:val="0"/>
        <w:jc w:val="both"/>
      </w:pPr>
      <w:r w:rsidRPr="009118AB">
        <w:lastRenderedPageBreak/>
        <w:tab/>
        <w:t>Leistungen, die bereits geleisteten Dienstjahren entsprechen, können in der Form eines oder mehrerer Beiträge oder einer oder mehrerer Prämien finanziert werden. Außerhalb des Unternehmens geleistete Dienstjahre werden nur bis zu höchstens zehn tatsächlich geleisteten Jahren berücksichtigt. Leistungen, die sich auf höchstens fünf Jahre einer Berufstätigkeit beziehen, die bis zum normalen Ruhestandsalter noch auszuüben ist, können ebenfalls in der Form eines oder mehrerer Beiträge oder einer oder mehrerer Prämien finanziert werden.]</w:t>
      </w:r>
    </w:p>
    <w:p w14:paraId="7111F9DC" w14:textId="77777777" w:rsidR="00477B8F" w:rsidRPr="009118AB" w:rsidRDefault="00477B8F" w:rsidP="00477B8F">
      <w:pPr>
        <w:autoSpaceDE w:val="0"/>
        <w:autoSpaceDN w:val="0"/>
        <w:adjustRightInd w:val="0"/>
        <w:jc w:val="both"/>
      </w:pPr>
    </w:p>
    <w:p w14:paraId="59AB6196" w14:textId="47904458"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Eine Indexierung der in </w:t>
      </w:r>
      <w:r w:rsidR="00AE7788" w:rsidRPr="009118AB">
        <w:t>[</w:t>
      </w:r>
      <w:r w:rsidR="00D67EB8" w:rsidRPr="009118AB">
        <w:t>§ </w:t>
      </w:r>
      <w:r w:rsidRPr="009118AB">
        <w:t>1</w:t>
      </w:r>
      <w:r w:rsidR="00AE7788" w:rsidRPr="009118AB">
        <w:t xml:space="preserve"> Absatz 1]</w:t>
      </w:r>
      <w:r w:rsidRPr="009118AB">
        <w:t xml:space="preserve"> </w:t>
      </w:r>
      <w:r w:rsidR="00D67EB8" w:rsidRPr="009118AB">
        <w:t>Nr. </w:t>
      </w:r>
      <w:r w:rsidRPr="009118AB">
        <w:t>2 und 3 erwähnten Renten ist erlaubt.</w:t>
      </w:r>
    </w:p>
    <w:p w14:paraId="1ECB8A4A" w14:textId="77777777" w:rsidR="00477B8F" w:rsidRPr="009118AB" w:rsidRDefault="00477B8F" w:rsidP="00477B8F">
      <w:pPr>
        <w:autoSpaceDE w:val="0"/>
        <w:autoSpaceDN w:val="0"/>
        <w:adjustRightInd w:val="0"/>
        <w:jc w:val="both"/>
      </w:pPr>
    </w:p>
    <w:p w14:paraId="018507B6" w14:textId="3EAD08AA" w:rsidR="00477B8F" w:rsidRPr="009118AB" w:rsidRDefault="00477B8F" w:rsidP="00477B8F">
      <w:pPr>
        <w:autoSpaceDE w:val="0"/>
        <w:autoSpaceDN w:val="0"/>
        <w:adjustRightInd w:val="0"/>
        <w:jc w:val="both"/>
      </w:pPr>
      <w:r w:rsidRPr="009118AB">
        <w:tab/>
      </w:r>
      <w:r w:rsidR="00D67EB8" w:rsidRPr="009118AB">
        <w:t>§ </w:t>
      </w:r>
      <w:r w:rsidRPr="009118AB">
        <w:t>3</w:t>
      </w:r>
      <w:r w:rsidR="00D67EB8" w:rsidRPr="009118AB">
        <w:t> - </w:t>
      </w:r>
      <w:r w:rsidRPr="009118AB">
        <w:t xml:space="preserve">Die in </w:t>
      </w:r>
      <w:r w:rsidR="00AE7788" w:rsidRPr="009118AB">
        <w:t>[</w:t>
      </w:r>
      <w:r w:rsidR="00D67EB8" w:rsidRPr="009118AB">
        <w:t>§ </w:t>
      </w:r>
      <w:r w:rsidR="00AE7788" w:rsidRPr="009118AB">
        <w:t>1 Absatz 1]</w:t>
      </w:r>
      <w:r w:rsidRPr="009118AB">
        <w:t xml:space="preserve"> </w:t>
      </w:r>
      <w:r w:rsidR="00D67EB8" w:rsidRPr="009118AB">
        <w:t>Nr. </w:t>
      </w:r>
      <w:r w:rsidRPr="009118AB">
        <w:t xml:space="preserve">2 und 3 erwähnten Grenzen sind einerseits anwendbar auf Beiträge und Prämien in Bezug auf Alters- und Todesfallzusatzversicherungen und ergänzende Pensionsvereinbarungen, andererseits auf Beiträge und Prämien in Bezug auf Vereinbarungen, die als eine Ergänzung der gesetzlichen Entschädigungen im Todesfall oder bei Arbeitsunfähigkeit infolge eines Arbeitsunfalls oder Unfalls oder einer Berufskrankheit oder Krankheit zu betrachten sind. Für die Berechnung dieser Grenzen werden die in Artikel 52 </w:t>
      </w:r>
      <w:r w:rsidR="00D67EB8" w:rsidRPr="009118AB">
        <w:t>Nr. </w:t>
      </w:r>
      <w:r w:rsidRPr="009118AB">
        <w:t>3 Buchstabe </w:t>
      </w:r>
      <w:r w:rsidRPr="009118AB">
        <w:rPr>
          <w:i/>
          <w:iCs/>
        </w:rPr>
        <w:t>b)</w:t>
      </w:r>
      <w:r w:rsidRPr="009118AB">
        <w:t xml:space="preserve"> dritter Gedankenstrich erwähnten Beiträge und Prämien, die in Ausführung einer Solidaritätsvereinbarung gezahlt werden, entsprechend ihrer Art auf diese Kategorien verteilt.</w:t>
      </w:r>
    </w:p>
    <w:p w14:paraId="678587E3" w14:textId="77777777" w:rsidR="00477B8F" w:rsidRPr="009118AB" w:rsidRDefault="00477B8F" w:rsidP="00477B8F">
      <w:pPr>
        <w:autoSpaceDE w:val="0"/>
        <w:autoSpaceDN w:val="0"/>
        <w:adjustRightInd w:val="0"/>
        <w:jc w:val="both"/>
      </w:pPr>
    </w:p>
    <w:p w14:paraId="08BB0735" w14:textId="16D45ADC" w:rsidR="00477B8F" w:rsidRPr="009118AB" w:rsidRDefault="00477B8F" w:rsidP="00477B8F">
      <w:pPr>
        <w:autoSpaceDE w:val="0"/>
        <w:autoSpaceDN w:val="0"/>
        <w:adjustRightInd w:val="0"/>
        <w:jc w:val="both"/>
      </w:pPr>
      <w:r w:rsidRPr="009118AB">
        <w:tab/>
      </w:r>
      <w:r w:rsidR="00D67EB8" w:rsidRPr="009118AB">
        <w:t>§ </w:t>
      </w:r>
      <w:r w:rsidRPr="009118AB">
        <w:t>4</w:t>
      </w:r>
      <w:r w:rsidR="00D67EB8" w:rsidRPr="009118AB">
        <w:t> - </w:t>
      </w:r>
      <w:r w:rsidRPr="009118AB">
        <w:t xml:space="preserve">Hinsichtlich der Arbeitgeberbeiträge und -prämien in Bezug auf Alters- und Todesfallzusatzversicherungen und ergänzende Pensionsvereinbarungen ist die in </w:t>
      </w:r>
      <w:r w:rsidR="00AE7788" w:rsidRPr="009118AB">
        <w:t>[</w:t>
      </w:r>
      <w:r w:rsidR="00D67EB8" w:rsidRPr="009118AB">
        <w:t>§ </w:t>
      </w:r>
      <w:r w:rsidR="00AE7788" w:rsidRPr="009118AB">
        <w:t>1 Absatz 1]</w:t>
      </w:r>
      <w:r w:rsidRPr="009118AB">
        <w:t xml:space="preserve"> </w:t>
      </w:r>
      <w:r w:rsidR="00D67EB8" w:rsidRPr="009118AB">
        <w:t>Nr. </w:t>
      </w:r>
      <w:r w:rsidRPr="009118AB">
        <w:t>2 erwähnte Grenze von 80 Prozent zu beurteilen unter Berücksichtigung des Gesamtbetrags der gesetzlichen Pensionen und der in Jahresrenten ausgedrückten außergesetzlichen Pensionen. Leistungen, die aus Pensionssparen und aus individuellen Lebensversicherungsverträgen hervorgehen, die nicht in Ausführung einer individuellen ergänzenden Pensionsvereinbarung in Bezug auf eine Ruhestands- und/oder Hinterbliebenenpension geschlossen werden, werden nicht berücksichtigt.</w:t>
      </w:r>
    </w:p>
    <w:p w14:paraId="0A101EE0" w14:textId="77777777" w:rsidR="00477B8F" w:rsidRPr="009118AB" w:rsidRDefault="00477B8F" w:rsidP="00477B8F">
      <w:pPr>
        <w:autoSpaceDE w:val="0"/>
        <w:autoSpaceDN w:val="0"/>
        <w:adjustRightInd w:val="0"/>
        <w:jc w:val="both"/>
      </w:pPr>
    </w:p>
    <w:p w14:paraId="277D27B5" w14:textId="0C7E2F39" w:rsidR="00477B8F" w:rsidRPr="009118AB" w:rsidRDefault="00477B8F" w:rsidP="00477B8F">
      <w:pPr>
        <w:autoSpaceDE w:val="0"/>
        <w:autoSpaceDN w:val="0"/>
        <w:adjustRightInd w:val="0"/>
        <w:jc w:val="both"/>
      </w:pPr>
      <w:r w:rsidRPr="009118AB">
        <w:tab/>
        <w:t>Außergesetzliche Pensionen umfassen insbesondere Pensionen:</w:t>
      </w:r>
    </w:p>
    <w:p w14:paraId="0769044D" w14:textId="77777777" w:rsidR="00477B8F" w:rsidRPr="009118AB" w:rsidRDefault="00477B8F" w:rsidP="00477B8F">
      <w:pPr>
        <w:autoSpaceDE w:val="0"/>
        <w:autoSpaceDN w:val="0"/>
        <w:adjustRightInd w:val="0"/>
        <w:jc w:val="both"/>
      </w:pPr>
    </w:p>
    <w:p w14:paraId="62D6C4A1" w14:textId="34C7A919" w:rsidR="00477B8F" w:rsidRPr="009118AB" w:rsidRDefault="00477B8F" w:rsidP="00477B8F">
      <w:pPr>
        <w:autoSpaceDE w:val="0"/>
        <w:autoSpaceDN w:val="0"/>
        <w:adjustRightInd w:val="0"/>
        <w:jc w:val="both"/>
      </w:pPr>
      <w:r w:rsidRPr="009118AB">
        <w:tab/>
        <w:t xml:space="preserve">- die durch persönliche Beiträge, die in Artikel 52 </w:t>
      </w:r>
      <w:r w:rsidR="00D67EB8" w:rsidRPr="009118AB">
        <w:t>Nr. </w:t>
      </w:r>
      <w:r w:rsidRPr="009118AB">
        <w:t>7</w:t>
      </w:r>
      <w:r w:rsidRPr="009118AB">
        <w:rPr>
          <w:i/>
          <w:iCs/>
        </w:rPr>
        <w:t>bis</w:t>
      </w:r>
      <w:r w:rsidR="00B81FCA" w:rsidRPr="009118AB">
        <w:rPr>
          <w:iCs/>
        </w:rPr>
        <w:t>[</w:t>
      </w:r>
      <w:r w:rsidR="00B81FCA" w:rsidRPr="009118AB">
        <w:t>, in Artikel 145</w:t>
      </w:r>
      <w:r w:rsidR="00B81FCA" w:rsidRPr="009118AB">
        <w:rPr>
          <w:vertAlign w:val="superscript"/>
        </w:rPr>
        <w:t>3</w:t>
      </w:r>
      <w:r w:rsidR="00B81FCA" w:rsidRPr="009118AB">
        <w:t xml:space="preserve"> oder in Artikel 145</w:t>
      </w:r>
      <w:r w:rsidR="00B81FCA" w:rsidRPr="009118AB">
        <w:rPr>
          <w:vertAlign w:val="superscript"/>
        </w:rPr>
        <w:t>3/1</w:t>
      </w:r>
      <w:r w:rsidR="00B81FCA" w:rsidRPr="009118AB">
        <w:t xml:space="preserve">] </w:t>
      </w:r>
      <w:r w:rsidRPr="009118AB">
        <w:t>erwähnt sind, gebildet werden,</w:t>
      </w:r>
    </w:p>
    <w:p w14:paraId="64423957" w14:textId="77777777" w:rsidR="00477B8F" w:rsidRPr="009118AB" w:rsidRDefault="00477B8F" w:rsidP="00477B8F">
      <w:pPr>
        <w:autoSpaceDE w:val="0"/>
        <w:autoSpaceDN w:val="0"/>
        <w:adjustRightInd w:val="0"/>
        <w:jc w:val="both"/>
      </w:pPr>
    </w:p>
    <w:p w14:paraId="5B9EAB2D" w14:textId="77777777" w:rsidR="00477B8F" w:rsidRPr="009118AB" w:rsidRDefault="00477B8F" w:rsidP="00477B8F">
      <w:pPr>
        <w:autoSpaceDE w:val="0"/>
        <w:autoSpaceDN w:val="0"/>
        <w:adjustRightInd w:val="0"/>
        <w:jc w:val="both"/>
      </w:pPr>
      <w:r w:rsidRPr="009118AB">
        <w:tab/>
        <w:t>- die durch Arbeitgeberbeiträge gebildet werden,</w:t>
      </w:r>
    </w:p>
    <w:p w14:paraId="7119BEC0" w14:textId="77777777" w:rsidR="00477B8F" w:rsidRPr="009118AB" w:rsidRDefault="00477B8F" w:rsidP="00477B8F">
      <w:pPr>
        <w:autoSpaceDE w:val="0"/>
        <w:autoSpaceDN w:val="0"/>
        <w:adjustRightInd w:val="0"/>
        <w:jc w:val="both"/>
      </w:pPr>
    </w:p>
    <w:p w14:paraId="03B7D10D" w14:textId="77777777" w:rsidR="00477B8F" w:rsidRPr="009118AB" w:rsidRDefault="00477B8F" w:rsidP="00477B8F">
      <w:pPr>
        <w:autoSpaceDE w:val="0"/>
        <w:autoSpaceDN w:val="0"/>
        <w:adjustRightInd w:val="0"/>
        <w:jc w:val="both"/>
      </w:pPr>
      <w:r w:rsidRPr="009118AB">
        <w:tab/>
        <w:t>- die durch den Arbeitgeber in Ausführung einer vertraglichen Verpflichtung zuerkannt werden.</w:t>
      </w:r>
    </w:p>
    <w:p w14:paraId="3DDB9898" w14:textId="77777777" w:rsidR="00477B8F" w:rsidRPr="009118AB" w:rsidRDefault="00477B8F" w:rsidP="00477B8F">
      <w:pPr>
        <w:autoSpaceDE w:val="0"/>
        <w:autoSpaceDN w:val="0"/>
        <w:adjustRightInd w:val="0"/>
        <w:jc w:val="both"/>
      </w:pPr>
    </w:p>
    <w:p w14:paraId="24318A44" w14:textId="77777777" w:rsidR="003357C9" w:rsidRPr="009118AB" w:rsidRDefault="00477B8F" w:rsidP="003357C9">
      <w:pPr>
        <w:autoSpaceDE w:val="0"/>
        <w:autoSpaceDN w:val="0"/>
        <w:adjustRightInd w:val="0"/>
        <w:jc w:val="both"/>
      </w:pPr>
      <w:r w:rsidRPr="009118AB">
        <w:tab/>
        <w:t>Hinsichtlich der Arbeitgeberbeiträge und -prämien in Bezug auf Vereinbarungen, die als eine Ergänzung der gesetzlichen Entschädigungen im Todesfall oder bei Arbeitsunfähigkeit infolge eines Arbeitsunfalls oder Unfalls oder einer Berufskrankheit oder Krankheit zu betrachten sind, ist die Grenze in Bezug auf die normale Bruttojahresentlohnung zu beurteilen unter Berücksichtigung des Gesamtbetrags der gesetzlichen Leistungen bei Arbeitsunfähigkeit und der in Jahresrenten ausgedrückten außergesetzlichen Leistungen bei Arbeitsunfähigkeit.</w:t>
      </w:r>
    </w:p>
    <w:p w14:paraId="6C80E48D" w14:textId="1B920582" w:rsidR="008132B3" w:rsidRPr="009118AB" w:rsidRDefault="008132B3" w:rsidP="003357C9">
      <w:pPr>
        <w:autoSpaceDE w:val="0"/>
        <w:autoSpaceDN w:val="0"/>
        <w:adjustRightInd w:val="0"/>
        <w:jc w:val="both"/>
      </w:pPr>
    </w:p>
    <w:p w14:paraId="3AF68232" w14:textId="1C726B08" w:rsidR="00477B8F" w:rsidRPr="009118AB" w:rsidRDefault="00477B8F" w:rsidP="00477B8F">
      <w:pPr>
        <w:autoSpaceDE w:val="0"/>
        <w:autoSpaceDN w:val="0"/>
        <w:adjustRightInd w:val="0"/>
        <w:jc w:val="both"/>
      </w:pPr>
      <w:r w:rsidRPr="009118AB">
        <w:tab/>
        <w:t>Außergesetzliche Leistungen bei Arbeitsunfähigkeit umfassen insbesondere:</w:t>
      </w:r>
    </w:p>
    <w:p w14:paraId="1DED92E8" w14:textId="77777777" w:rsidR="00477B8F" w:rsidRPr="009118AB" w:rsidRDefault="00477B8F" w:rsidP="00477B8F">
      <w:pPr>
        <w:autoSpaceDE w:val="0"/>
        <w:autoSpaceDN w:val="0"/>
        <w:adjustRightInd w:val="0"/>
        <w:jc w:val="both"/>
      </w:pPr>
    </w:p>
    <w:p w14:paraId="3E29807C" w14:textId="748BB101" w:rsidR="00477B8F" w:rsidRPr="009118AB" w:rsidRDefault="00477B8F" w:rsidP="00477B8F">
      <w:pPr>
        <w:autoSpaceDE w:val="0"/>
        <w:autoSpaceDN w:val="0"/>
        <w:adjustRightInd w:val="0"/>
        <w:jc w:val="both"/>
      </w:pPr>
      <w:r w:rsidRPr="009118AB">
        <w:tab/>
        <w:t>-</w:t>
      </w:r>
      <w:r w:rsidR="00730FFE" w:rsidRPr="009118AB">
        <w:t> </w:t>
      </w:r>
      <w:r w:rsidRPr="009118AB">
        <w:t>Leistungen bei Arbeitsunfähigkeit, die durch Arbeitgeberbeiträge gebildet werden,</w:t>
      </w:r>
    </w:p>
    <w:p w14:paraId="5932E359" w14:textId="77777777" w:rsidR="00231CCB" w:rsidRPr="009118AB" w:rsidRDefault="00231CCB" w:rsidP="00477B8F">
      <w:pPr>
        <w:autoSpaceDE w:val="0"/>
        <w:autoSpaceDN w:val="0"/>
        <w:adjustRightInd w:val="0"/>
      </w:pPr>
    </w:p>
    <w:p w14:paraId="1048A00E" w14:textId="0A0CEE8B" w:rsidR="00477B8F" w:rsidRPr="009118AB" w:rsidRDefault="00477B8F" w:rsidP="00231CCB">
      <w:pPr>
        <w:autoSpaceDE w:val="0"/>
        <w:autoSpaceDN w:val="0"/>
        <w:adjustRightInd w:val="0"/>
        <w:jc w:val="both"/>
      </w:pPr>
      <w:r w:rsidRPr="009118AB">
        <w:lastRenderedPageBreak/>
        <w:tab/>
        <w:t>-</w:t>
      </w:r>
      <w:r w:rsidR="00730FFE" w:rsidRPr="009118AB">
        <w:t> </w:t>
      </w:r>
      <w:r w:rsidRPr="009118AB">
        <w:t>Leistungen, die durch den Arbeitgeber in Ausführung einer vertraglichen Verpflichtung zuerkannt werden.</w:t>
      </w:r>
    </w:p>
    <w:p w14:paraId="4D3100F1" w14:textId="77777777" w:rsidR="004D1675" w:rsidRPr="009118AB" w:rsidRDefault="004D1675" w:rsidP="00477B8F">
      <w:pPr>
        <w:autoSpaceDE w:val="0"/>
        <w:autoSpaceDN w:val="0"/>
        <w:adjustRightInd w:val="0"/>
        <w:jc w:val="both"/>
      </w:pPr>
    </w:p>
    <w:p w14:paraId="6BFDFECE" w14:textId="1A89EC02" w:rsidR="00477B8F" w:rsidRPr="009118AB" w:rsidRDefault="00477B8F" w:rsidP="00477B8F">
      <w:pPr>
        <w:autoSpaceDE w:val="0"/>
        <w:autoSpaceDN w:val="0"/>
        <w:adjustRightInd w:val="0"/>
        <w:jc w:val="both"/>
      </w:pPr>
      <w:r w:rsidRPr="009118AB">
        <w:tab/>
      </w:r>
      <w:r w:rsidR="00D67EB8" w:rsidRPr="009118AB">
        <w:t>§ </w:t>
      </w:r>
      <w:r w:rsidRPr="009118AB">
        <w:t>5</w:t>
      </w:r>
      <w:r w:rsidR="00D67EB8" w:rsidRPr="009118AB">
        <w:t> - </w:t>
      </w:r>
      <w:r w:rsidRPr="009118AB">
        <w:t>[Der König legt durch einen im Ministerrat beratenen Erlass fest:</w:t>
      </w:r>
    </w:p>
    <w:p w14:paraId="0A251C33" w14:textId="77777777" w:rsidR="00477B8F" w:rsidRPr="009118AB" w:rsidRDefault="00477B8F" w:rsidP="00477B8F">
      <w:pPr>
        <w:autoSpaceDE w:val="0"/>
        <w:autoSpaceDN w:val="0"/>
        <w:adjustRightInd w:val="0"/>
        <w:jc w:val="both"/>
      </w:pPr>
    </w:p>
    <w:p w14:paraId="4CB791A4" w14:textId="30B8D97C" w:rsidR="00477B8F" w:rsidRPr="009118AB" w:rsidRDefault="00477B8F" w:rsidP="00477B8F">
      <w:pPr>
        <w:autoSpaceDE w:val="0"/>
        <w:autoSpaceDN w:val="0"/>
        <w:adjustRightInd w:val="0"/>
        <w:jc w:val="both"/>
      </w:pPr>
      <w:r w:rsidRPr="009118AB">
        <w:tab/>
        <w:t xml:space="preserve">1. was unter normaler Bruttojahresentlohnung, letzter normaler Bruttojahresentlohnung und normaler Berufstätigkeitsdauer im Sinne von </w:t>
      </w:r>
      <w:r w:rsidR="00AE7788" w:rsidRPr="009118AB">
        <w:t>[</w:t>
      </w:r>
      <w:r w:rsidR="00D67EB8" w:rsidRPr="009118AB">
        <w:t>§ </w:t>
      </w:r>
      <w:r w:rsidR="00AE7788" w:rsidRPr="009118AB">
        <w:t>1 Absatz 1]</w:t>
      </w:r>
      <w:r w:rsidRPr="009118AB">
        <w:t xml:space="preserve"> </w:t>
      </w:r>
      <w:r w:rsidR="00D67EB8" w:rsidRPr="009118AB">
        <w:t>Nr. </w:t>
      </w:r>
      <w:r w:rsidRPr="009118AB">
        <w:t>2 und 3 zu verstehen ist,</w:t>
      </w:r>
    </w:p>
    <w:p w14:paraId="395B1480" w14:textId="77777777" w:rsidR="00477B8F" w:rsidRPr="009118AB" w:rsidRDefault="00477B8F" w:rsidP="00477B8F">
      <w:pPr>
        <w:autoSpaceDE w:val="0"/>
        <w:autoSpaceDN w:val="0"/>
        <w:adjustRightInd w:val="0"/>
        <w:jc w:val="both"/>
      </w:pPr>
    </w:p>
    <w:p w14:paraId="762E36C2" w14:textId="3FAFB3DD" w:rsidR="00477B8F" w:rsidRPr="009118AB" w:rsidRDefault="00477B8F" w:rsidP="00477B8F">
      <w:pPr>
        <w:autoSpaceDE w:val="0"/>
        <w:autoSpaceDN w:val="0"/>
        <w:adjustRightInd w:val="0"/>
        <w:jc w:val="both"/>
      </w:pPr>
      <w:r w:rsidRPr="009118AB">
        <w:tab/>
        <w:t xml:space="preserve">2. die verschiedenen in </w:t>
      </w:r>
      <w:r w:rsidR="00AE7788" w:rsidRPr="009118AB">
        <w:t>[</w:t>
      </w:r>
      <w:r w:rsidR="00D67EB8" w:rsidRPr="009118AB">
        <w:t>§ </w:t>
      </w:r>
      <w:r w:rsidR="00AE7788" w:rsidRPr="009118AB">
        <w:t>1 Absatz 1]</w:t>
      </w:r>
      <w:r w:rsidRPr="009118AB">
        <w:t xml:space="preserve"> </w:t>
      </w:r>
      <w:r w:rsidR="00D67EB8" w:rsidRPr="009118AB">
        <w:t>Nr. </w:t>
      </w:r>
      <w:r w:rsidRPr="009118AB">
        <w:t>2 erwähnten Sätze.</w:t>
      </w:r>
      <w:r w:rsidR="00AF2D3B" w:rsidRPr="009118AB">
        <w:t>]</w:t>
      </w:r>
    </w:p>
    <w:p w14:paraId="65F79C85" w14:textId="77777777" w:rsidR="00477B8F" w:rsidRPr="009118AB" w:rsidRDefault="00477B8F" w:rsidP="00477B8F">
      <w:pPr>
        <w:autoSpaceDE w:val="0"/>
        <w:autoSpaceDN w:val="0"/>
        <w:adjustRightInd w:val="0"/>
        <w:jc w:val="both"/>
      </w:pPr>
    </w:p>
    <w:p w14:paraId="673C97D2" w14:textId="25113583" w:rsidR="00477B8F" w:rsidRPr="009118AB" w:rsidRDefault="00477B8F" w:rsidP="00477B8F">
      <w:pPr>
        <w:autoSpaceDE w:val="0"/>
        <w:autoSpaceDN w:val="0"/>
        <w:adjustRightInd w:val="0"/>
        <w:jc w:val="both"/>
      </w:pPr>
      <w:r w:rsidRPr="009118AB">
        <w:tab/>
      </w:r>
      <w:r w:rsidR="00AF2D3B" w:rsidRPr="009118AB">
        <w:t>[</w:t>
      </w:r>
      <w:r w:rsidR="00016024" w:rsidRPr="009118AB">
        <w:t xml:space="preserve">Der König reicht bei der Abgeordnetenkammer, wenn sie versammelt ist, unverzüglich und sonst, sobald die nächste Sitzungsperiode eröffnet ist, einen Gesetzentwurf ein zur Bestätigung der Erlasse zur Ausführung von Absatz 1 </w:t>
      </w:r>
      <w:r w:rsidR="00D67EB8" w:rsidRPr="009118AB">
        <w:t>Nr. </w:t>
      </w:r>
      <w:r w:rsidR="00016024" w:rsidRPr="009118AB">
        <w:t xml:space="preserve">2. Es wird davon ausgegangen, dass diese Erlasse nicht wirksam geworden sind, wenn sie nicht binnen zwölf Monaten nach dem Datum ihrer Veröffentlichung im </w:t>
      </w:r>
      <w:r w:rsidR="00016024" w:rsidRPr="009118AB">
        <w:rPr>
          <w:i/>
          <w:iCs/>
        </w:rPr>
        <w:t>Belgischen Staatsblatt</w:t>
      </w:r>
      <w:r w:rsidR="00016024" w:rsidRPr="009118AB">
        <w:t xml:space="preserve"> durch Gesetz bestätigt worden sind.</w:t>
      </w:r>
      <w:r w:rsidRPr="009118AB">
        <w:t>]</w:t>
      </w:r>
    </w:p>
    <w:p w14:paraId="1A9936A6" w14:textId="77777777" w:rsidR="00477B8F" w:rsidRPr="009118AB" w:rsidRDefault="00477B8F" w:rsidP="00477B8F">
      <w:pPr>
        <w:autoSpaceDE w:val="0"/>
        <w:autoSpaceDN w:val="0"/>
        <w:adjustRightInd w:val="0"/>
        <w:jc w:val="both"/>
      </w:pPr>
    </w:p>
    <w:p w14:paraId="02D22C3D" w14:textId="77777777" w:rsidR="00477B8F" w:rsidRPr="009118AB" w:rsidRDefault="00477B8F" w:rsidP="00477B8F">
      <w:pPr>
        <w:autoSpaceDE w:val="0"/>
        <w:autoSpaceDN w:val="0"/>
        <w:adjustRightInd w:val="0"/>
        <w:jc w:val="both"/>
        <w:rPr>
          <w:spacing w:val="-2"/>
        </w:rPr>
      </w:pPr>
      <w:r w:rsidRPr="009118AB">
        <w:rPr>
          <w:spacing w:val="-2"/>
        </w:rPr>
        <w:tab/>
        <w:t>[Er legt Bedingungen und Weise fest, wie vorliegende Bestimmung angewandt wird.]]</w:t>
      </w:r>
    </w:p>
    <w:p w14:paraId="53F7E0E6" w14:textId="77777777" w:rsidR="00477B8F" w:rsidRPr="009118AB" w:rsidRDefault="00477B8F" w:rsidP="00477B8F">
      <w:pPr>
        <w:autoSpaceDE w:val="0"/>
        <w:autoSpaceDN w:val="0"/>
        <w:adjustRightInd w:val="0"/>
        <w:jc w:val="both"/>
      </w:pPr>
    </w:p>
    <w:p w14:paraId="0EF55C82" w14:textId="1990715C" w:rsidR="00477B8F" w:rsidRPr="009118AB" w:rsidRDefault="00477B8F" w:rsidP="00477B8F">
      <w:pPr>
        <w:autoSpaceDE w:val="0"/>
        <w:autoSpaceDN w:val="0"/>
        <w:adjustRightInd w:val="0"/>
        <w:jc w:val="both"/>
      </w:pPr>
      <w:r w:rsidRPr="009118AB">
        <w:tab/>
        <w:t>[</w:t>
      </w:r>
      <w:r w:rsidR="00D67EB8" w:rsidRPr="009118AB">
        <w:t>§ </w:t>
      </w:r>
      <w:r w:rsidRPr="009118AB">
        <w:t>6</w:t>
      </w:r>
      <w:r w:rsidR="00D67EB8" w:rsidRPr="009118AB">
        <w:t> - </w:t>
      </w:r>
      <w:r w:rsidRPr="009118AB">
        <w:t>Leistungsvorschüsse, Verpfändungen von Pensionsansprüchen als Sicherheit für eine Anleihe und die Verwendung des Rückkaufswertes zur Wiederherstellung einer Hypo</w:t>
      </w:r>
      <w:r w:rsidR="00676759" w:rsidRPr="009118AB">
        <w:softHyphen/>
      </w:r>
      <w:r w:rsidRPr="009118AB">
        <w:t>the</w:t>
      </w:r>
      <w:r w:rsidR="00676759" w:rsidRPr="009118AB">
        <w:softHyphen/>
      </w:r>
      <w:r w:rsidRPr="009118AB">
        <w:t>ken</w:t>
      </w:r>
      <w:r w:rsidR="00676759" w:rsidRPr="009118AB">
        <w:softHyphen/>
      </w:r>
      <w:r w:rsidRPr="009118AB">
        <w:t xml:space="preserve">anleihe beeinträchtigen den aufgrund von </w:t>
      </w:r>
      <w:r w:rsidR="00AE7788" w:rsidRPr="009118AB">
        <w:t>[</w:t>
      </w:r>
      <w:r w:rsidR="00D67EB8" w:rsidRPr="009118AB">
        <w:t>§ </w:t>
      </w:r>
      <w:r w:rsidR="00AE7788" w:rsidRPr="009118AB">
        <w:t>1 Absatz 1]</w:t>
      </w:r>
      <w:r w:rsidRPr="009118AB">
        <w:t xml:space="preserve"> </w:t>
      </w:r>
      <w:r w:rsidR="00D67EB8" w:rsidRPr="009118AB">
        <w:t>Nr. </w:t>
      </w:r>
      <w:r w:rsidRPr="009118AB">
        <w:t>1 erforderlichen definitiven Charakter der Zahlung der Beiträge und Prämien nicht, wenn sie bewilligt werden, um es einem Arbeitnehmer zu ermöglichen, in einem Mitgliedstaat des Europäischen Wirtschafts</w:t>
      </w:r>
      <w:r w:rsidR="00676759" w:rsidRPr="009118AB">
        <w:softHyphen/>
      </w:r>
      <w:r w:rsidRPr="009118AB">
        <w:t>raums gelegene unbewegliche Güter, die in Belgien oder einem anderen Mitgliedstaat des Euro</w:t>
      </w:r>
      <w:r w:rsidR="00676759" w:rsidRPr="009118AB">
        <w:softHyphen/>
      </w:r>
      <w:r w:rsidRPr="009118AB">
        <w:t>päischen Wirtschaftsraums steuerpflichtige Einkünfte erzeugen, zu erwerben, zu bauen, zu verbessern, instandzusetzen oder umzubauen, und sofern die Vorschüsse und Anleihen zurück</w:t>
      </w:r>
      <w:r w:rsidR="00676759" w:rsidRPr="009118AB">
        <w:softHyphen/>
      </w:r>
      <w:r w:rsidRPr="009118AB">
        <w:t>gezahlt werden, sobald vorerwähnte Güter nicht mehr Teil des Vermögens des Arbeitnehmers sind.</w:t>
      </w:r>
    </w:p>
    <w:p w14:paraId="5F720357" w14:textId="0E9A75B3" w:rsidR="00E13F17" w:rsidRPr="009118AB" w:rsidRDefault="00E13F17"/>
    <w:p w14:paraId="75EAA1F8" w14:textId="0DA0733F" w:rsidR="00477B8F" w:rsidRPr="009118AB" w:rsidRDefault="00477B8F" w:rsidP="00477B8F">
      <w:pPr>
        <w:autoSpaceDE w:val="0"/>
        <w:autoSpaceDN w:val="0"/>
        <w:adjustRightInd w:val="0"/>
        <w:jc w:val="both"/>
      </w:pPr>
      <w:r w:rsidRPr="009118AB">
        <w:tab/>
        <w:t>Die in Absatz 1 erwähnte Einschränkung muss in den Regelungen der Versicherungs</w:t>
      </w:r>
      <w:r w:rsidR="00541329" w:rsidRPr="009118AB">
        <w:softHyphen/>
      </w:r>
      <w:r w:rsidRPr="009118AB">
        <w:t>geschäfte auf Gruppenbasis, den Versicherungsverträgen, den Pensionsregelungen, den ergänzenden Pensionsvereinbarungen erwähnt im Gesetz vom 28. April 2003 über ergänzende Pensionen und das Besteuerungssystem für diese Pensionen und für bestimmte Zusatz</w:t>
      </w:r>
      <w:r w:rsidR="00541329" w:rsidRPr="009118AB">
        <w:softHyphen/>
      </w:r>
      <w:r w:rsidRPr="009118AB">
        <w:t>leistungen im Bereich der sozialen Sicherheit und in den ergänzenden Pensionsabkommen für Selbständige erwähnt im Programmgesetz (I) vom 24. Dezember 2002 eingetragen sein.]</w:t>
      </w:r>
    </w:p>
    <w:p w14:paraId="45549085" w14:textId="77777777" w:rsidR="00477B8F" w:rsidRPr="009118AB" w:rsidRDefault="00477B8F" w:rsidP="00477B8F">
      <w:pPr>
        <w:autoSpaceDE w:val="0"/>
        <w:autoSpaceDN w:val="0"/>
        <w:adjustRightInd w:val="0"/>
        <w:jc w:val="both"/>
      </w:pPr>
    </w:p>
    <w:p w14:paraId="583907AC" w14:textId="1F7D50A1"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59 ersetzt durch </w:t>
      </w:r>
      <w:r w:rsidR="00D67EB8" w:rsidRPr="009118AB">
        <w:rPr>
          <w:i/>
          <w:iCs/>
        </w:rPr>
        <w:t>Art. </w:t>
      </w:r>
      <w:r w:rsidRPr="009118AB">
        <w:rPr>
          <w:i/>
          <w:iCs/>
        </w:rPr>
        <w:t>81 des G. vom 28. April 2003 (B.S. vom 15. Mai 2003)</w:t>
      </w:r>
      <w:r w:rsidR="00D67EB8" w:rsidRPr="009118AB">
        <w:rPr>
          <w:i/>
          <w:iCs/>
        </w:rPr>
        <w:t> - </w:t>
      </w:r>
      <w:r w:rsidRPr="009118AB">
        <w:rPr>
          <w:i/>
          <w:iCs/>
        </w:rPr>
        <w:t>anwendbar auf Beiträge und Prämien, die in Ausführung individueller Vereinbarungen, die ab dem 1. Januar 2004 abgeschlossen werden, gezahlt werden und auf andere als auf oben erwähnte Beiträge und Prämien, die ab dem 1. Januar 2004 gezahlt werden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00676759" w:rsidRPr="009118AB">
        <w:rPr>
          <w:i/>
          <w:iCs/>
        </w:rPr>
        <w:t>1</w:t>
      </w:r>
      <w:r w:rsidRPr="009118AB">
        <w:rPr>
          <w:i/>
          <w:iCs/>
        </w:rPr>
        <w:t xml:space="preserve"> </w:t>
      </w:r>
      <w:r w:rsidR="00D67EB8" w:rsidRPr="009118AB">
        <w:rPr>
          <w:i/>
          <w:iCs/>
        </w:rPr>
        <w:t>Nr. </w:t>
      </w:r>
      <w:r w:rsidRPr="009118AB">
        <w:rPr>
          <w:i/>
          <w:iCs/>
        </w:rPr>
        <w:t xml:space="preserve">1 abgeändert durch </w:t>
      </w:r>
      <w:r w:rsidR="00D67EB8" w:rsidRPr="009118AB">
        <w:rPr>
          <w:i/>
          <w:iCs/>
        </w:rPr>
        <w:t>Art. </w:t>
      </w:r>
      <w:r w:rsidRPr="009118AB">
        <w:rPr>
          <w:i/>
          <w:iCs/>
        </w:rPr>
        <w:t xml:space="preserve">348 Buchstabe A Buchstabe a) des G. </w:t>
      </w:r>
      <w:r w:rsidR="00231CCB" w:rsidRPr="009118AB">
        <w:rPr>
          <w:i/>
          <w:iCs/>
        </w:rPr>
        <w:t xml:space="preserve">(I) </w:t>
      </w:r>
      <w:r w:rsidRPr="009118AB">
        <w:rPr>
          <w:i/>
          <w:iCs/>
        </w:rPr>
        <w:t>vom 27. Dezember 2006</w:t>
      </w:r>
      <w:r w:rsidR="006C19F6" w:rsidRPr="009118AB">
        <w:rPr>
          <w:i/>
          <w:iCs/>
        </w:rPr>
        <w:t> </w:t>
      </w:r>
      <w:r w:rsidRPr="009118AB">
        <w:rPr>
          <w:i/>
          <w:iCs/>
        </w:rPr>
        <w:t>(</w:t>
      </w:r>
      <w:r w:rsidR="0014743B" w:rsidRPr="009118AB">
        <w:rPr>
          <w:i/>
          <w:iCs/>
        </w:rPr>
        <w:t>I</w:t>
      </w:r>
      <w:r w:rsidRPr="009118AB">
        <w:rPr>
          <w:i/>
          <w:iCs/>
        </w:rPr>
        <w:t>I) (B.S. vom 28. Dezember 2006)</w:t>
      </w:r>
      <w:r w:rsidR="00D67EB8" w:rsidRPr="009118AB">
        <w:rPr>
          <w:i/>
          <w:iCs/>
        </w:rPr>
        <w:t> - </w:t>
      </w:r>
      <w:r w:rsidRPr="009118AB">
        <w:rPr>
          <w:i/>
          <w:iCs/>
        </w:rPr>
        <w:t>anwendbar ab dem Steuerjahr 2007</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004A0559" w:rsidRPr="009118AB">
        <w:rPr>
          <w:i/>
          <w:iCs/>
        </w:rPr>
        <w:t>1</w:t>
      </w:r>
      <w:r w:rsidRPr="009118AB">
        <w:rPr>
          <w:i/>
          <w:iCs/>
        </w:rPr>
        <w:t xml:space="preserve"> </w:t>
      </w:r>
      <w:r w:rsidR="00D67EB8" w:rsidRPr="009118AB">
        <w:rPr>
          <w:i/>
          <w:iCs/>
        </w:rPr>
        <w:t>Nr. </w:t>
      </w:r>
      <w:r w:rsidRPr="009118AB">
        <w:rPr>
          <w:i/>
          <w:iCs/>
        </w:rPr>
        <w:t xml:space="preserve">2 </w:t>
      </w:r>
      <w:r w:rsidR="00D67EB8" w:rsidRPr="009118AB">
        <w:rPr>
          <w:i/>
          <w:iCs/>
        </w:rPr>
        <w:t>Abs. </w:t>
      </w:r>
      <w:r w:rsidRPr="009118AB">
        <w:rPr>
          <w:i/>
          <w:iCs/>
        </w:rPr>
        <w:t xml:space="preserve">2 eingefügt durch </w:t>
      </w:r>
      <w:r w:rsidR="00D67EB8" w:rsidRPr="009118AB">
        <w:rPr>
          <w:i/>
          <w:iCs/>
        </w:rPr>
        <w:t>Art. </w:t>
      </w:r>
      <w:r w:rsidRPr="009118AB">
        <w:rPr>
          <w:i/>
          <w:iCs/>
        </w:rPr>
        <w:t>348 Buchstabe B Buchstabe a) des G.</w:t>
      </w:r>
      <w:r w:rsidR="00231CCB" w:rsidRPr="009118AB">
        <w:rPr>
          <w:i/>
          <w:iCs/>
        </w:rPr>
        <w:t xml:space="preserve"> (I) </w:t>
      </w:r>
      <w:r w:rsidRPr="009118AB">
        <w:rPr>
          <w:i/>
          <w:iCs/>
        </w:rPr>
        <w:t>vom 27. Dezember 2006 (</w:t>
      </w:r>
      <w:r w:rsidR="0014743B" w:rsidRPr="009118AB">
        <w:rPr>
          <w:i/>
          <w:iCs/>
        </w:rPr>
        <w:t>I</w:t>
      </w:r>
      <w:r w:rsidRPr="009118AB">
        <w:rPr>
          <w:i/>
          <w:iCs/>
        </w:rPr>
        <w:t>I) (B.S. vom 28. Dezember 2006)</w:t>
      </w:r>
      <w:r w:rsidR="00D67EB8" w:rsidRPr="009118AB">
        <w:rPr>
          <w:i/>
          <w:iCs/>
        </w:rPr>
        <w:t> - </w:t>
      </w:r>
      <w:r w:rsidRPr="009118AB">
        <w:rPr>
          <w:i/>
          <w:iCs/>
        </w:rPr>
        <w:t>in Kraft ab dem 1. Januar 2007</w:t>
      </w:r>
      <w:r w:rsidR="003366D9" w:rsidRPr="009118AB">
        <w:rPr>
          <w:i/>
          <w:iCs/>
        </w:rPr>
        <w:t> -;</w:t>
      </w:r>
      <w:r w:rsidR="004A0559" w:rsidRPr="009118AB">
        <w:rPr>
          <w:i/>
          <w:iCs/>
        </w:rPr>
        <w:t xml:space="preserve"> </w:t>
      </w:r>
      <w:r w:rsidR="00D67EB8" w:rsidRPr="009118AB">
        <w:rPr>
          <w:i/>
          <w:iCs/>
        </w:rPr>
        <w:t>§ </w:t>
      </w:r>
      <w:r w:rsidR="005804C6" w:rsidRPr="009118AB">
        <w:rPr>
          <w:i/>
          <w:iCs/>
        </w:rPr>
        <w:t xml:space="preserve">1 </w:t>
      </w:r>
      <w:r w:rsidR="00D67EB8" w:rsidRPr="009118AB">
        <w:rPr>
          <w:i/>
          <w:iCs/>
        </w:rPr>
        <w:t>Abs. </w:t>
      </w:r>
      <w:r w:rsidR="005804C6" w:rsidRPr="009118AB">
        <w:rPr>
          <w:i/>
          <w:iCs/>
        </w:rPr>
        <w:t xml:space="preserve">1 </w:t>
      </w:r>
      <w:r w:rsidR="00D67EB8" w:rsidRPr="009118AB">
        <w:rPr>
          <w:i/>
          <w:iCs/>
        </w:rPr>
        <w:t>Nr. </w:t>
      </w:r>
      <w:r w:rsidR="005804C6" w:rsidRPr="009118AB">
        <w:rPr>
          <w:i/>
          <w:iCs/>
        </w:rPr>
        <w:t xml:space="preserve">5 eingefügt durch </w:t>
      </w:r>
      <w:r w:rsidR="00D67EB8" w:rsidRPr="009118AB">
        <w:rPr>
          <w:i/>
          <w:iCs/>
        </w:rPr>
        <w:t>Art. </w:t>
      </w:r>
      <w:r w:rsidR="005804C6" w:rsidRPr="009118AB">
        <w:rPr>
          <w:i/>
          <w:iCs/>
        </w:rPr>
        <w:t>62 des G. vom 22. Juni 2012 (B.S. vom 28. Juni 2012)</w:t>
      </w:r>
      <w:r w:rsidR="00D67EB8" w:rsidRPr="009118AB">
        <w:rPr>
          <w:i/>
          <w:iCs/>
        </w:rPr>
        <w:t> - </w:t>
      </w:r>
      <w:r w:rsidR="005804C6" w:rsidRPr="009118AB">
        <w:rPr>
          <w:i/>
          <w:iCs/>
        </w:rPr>
        <w:t>anwendbar auf die ab dem 1. Januar 2013 gezahlten Prämien und Beiträge</w:t>
      </w:r>
      <w:r w:rsidR="003366D9" w:rsidRPr="009118AB">
        <w:rPr>
          <w:i/>
          <w:iCs/>
        </w:rPr>
        <w:t> -;</w:t>
      </w:r>
      <w:r w:rsidR="005804C6" w:rsidRPr="009118AB">
        <w:rPr>
          <w:i/>
          <w:iCs/>
        </w:rPr>
        <w:t xml:space="preserve"> </w:t>
      </w:r>
      <w:r w:rsidR="00D67EB8" w:rsidRPr="009118AB">
        <w:rPr>
          <w:i/>
          <w:iCs/>
        </w:rPr>
        <w:t>§ </w:t>
      </w:r>
      <w:r w:rsidR="004A0559" w:rsidRPr="009118AB">
        <w:rPr>
          <w:i/>
          <w:iCs/>
        </w:rPr>
        <w:t xml:space="preserve">1 </w:t>
      </w:r>
      <w:r w:rsidR="00D67EB8" w:rsidRPr="009118AB">
        <w:rPr>
          <w:i/>
          <w:iCs/>
        </w:rPr>
        <w:t>Abs. </w:t>
      </w:r>
      <w:r w:rsidR="008C0191" w:rsidRPr="009118AB">
        <w:rPr>
          <w:i/>
          <w:iCs/>
        </w:rPr>
        <w:t>2</w:t>
      </w:r>
      <w:r w:rsidR="004A0559" w:rsidRPr="009118AB">
        <w:rPr>
          <w:i/>
          <w:iCs/>
        </w:rPr>
        <w:t xml:space="preserve"> und </w:t>
      </w:r>
      <w:r w:rsidR="008C0191" w:rsidRPr="009118AB">
        <w:rPr>
          <w:i/>
          <w:iCs/>
        </w:rPr>
        <w:t>3</w:t>
      </w:r>
      <w:r w:rsidR="004A0559" w:rsidRPr="009118AB">
        <w:rPr>
          <w:i/>
          <w:iCs/>
        </w:rPr>
        <w:t xml:space="preserve"> eingefügt durch </w:t>
      </w:r>
      <w:r w:rsidR="00D67EB8" w:rsidRPr="009118AB">
        <w:rPr>
          <w:i/>
          <w:iCs/>
        </w:rPr>
        <w:t>Art. </w:t>
      </w:r>
      <w:r w:rsidR="004A0559" w:rsidRPr="009118AB">
        <w:rPr>
          <w:i/>
          <w:iCs/>
        </w:rPr>
        <w:t xml:space="preserve">10 des </w:t>
      </w:r>
      <w:r w:rsidR="00DC1F9F" w:rsidRPr="009118AB">
        <w:rPr>
          <w:i/>
          <w:iCs/>
        </w:rPr>
        <w:t>G. vom 22. Dezember 2009 (I)</w:t>
      </w:r>
      <w:r w:rsidR="004A0559" w:rsidRPr="009118AB">
        <w:rPr>
          <w:i/>
          <w:iCs/>
        </w:rPr>
        <w:t xml:space="preserve"> (B.S. vom 31. Dezember 2009)</w:t>
      </w:r>
      <w:r w:rsidR="00D67EB8" w:rsidRPr="009118AB">
        <w:rPr>
          <w:i/>
          <w:iCs/>
        </w:rPr>
        <w:t> - </w:t>
      </w:r>
      <w:r w:rsidR="004A0559" w:rsidRPr="009118AB">
        <w:rPr>
          <w:i/>
          <w:iCs/>
        </w:rPr>
        <w:t>anwendbar ab dem Steuerjahr 2010</w:t>
      </w:r>
      <w:r w:rsidR="003366D9" w:rsidRPr="009118AB">
        <w:rPr>
          <w:i/>
          <w:iCs/>
        </w:rPr>
        <w:t> -;</w:t>
      </w:r>
      <w:r w:rsidRPr="009118AB">
        <w:rPr>
          <w:i/>
          <w:iCs/>
        </w:rPr>
        <w:t xml:space="preserve"> </w:t>
      </w:r>
      <w:r w:rsidR="00D67EB8" w:rsidRPr="009118AB">
        <w:rPr>
          <w:i/>
          <w:iCs/>
        </w:rPr>
        <w:t>§ </w:t>
      </w:r>
      <w:r w:rsidR="00522B80" w:rsidRPr="009118AB">
        <w:rPr>
          <w:i/>
          <w:iCs/>
        </w:rPr>
        <w:t xml:space="preserve">2 abgeändert durch </w:t>
      </w:r>
      <w:r w:rsidR="00D67EB8" w:rsidRPr="009118AB">
        <w:rPr>
          <w:i/>
          <w:iCs/>
        </w:rPr>
        <w:t>Art. </w:t>
      </w:r>
      <w:r w:rsidR="00522B80" w:rsidRPr="009118AB">
        <w:rPr>
          <w:i/>
          <w:iCs/>
        </w:rPr>
        <w:t xml:space="preserve">35 </w:t>
      </w:r>
      <w:r w:rsidR="001E7C5F" w:rsidRPr="009118AB">
        <w:rPr>
          <w:i/>
          <w:iCs/>
        </w:rPr>
        <w:t>des G. vom 14. April 2011 (</w:t>
      </w:r>
      <w:r w:rsidR="00522B80" w:rsidRPr="009118AB">
        <w:rPr>
          <w:i/>
          <w:iCs/>
        </w:rPr>
        <w:t>B.S. vom 6. Mai 2011)</w:t>
      </w:r>
      <w:r w:rsidR="00D67EB8" w:rsidRPr="009118AB">
        <w:rPr>
          <w:i/>
          <w:iCs/>
        </w:rPr>
        <w:t> - </w:t>
      </w:r>
      <w:r w:rsidR="00522B80" w:rsidRPr="009118AB">
        <w:rPr>
          <w:i/>
          <w:iCs/>
        </w:rPr>
        <w:t>anwendbar</w:t>
      </w:r>
      <w:r w:rsidR="001E7C5F" w:rsidRPr="009118AB">
        <w:rPr>
          <w:i/>
          <w:iCs/>
        </w:rPr>
        <w:t xml:space="preserve"> ab dem Steuerjahr 2010</w:t>
      </w:r>
      <w:r w:rsidR="003366D9" w:rsidRPr="009118AB">
        <w:rPr>
          <w:i/>
          <w:iCs/>
        </w:rPr>
        <w:t> -;</w:t>
      </w:r>
      <w:r w:rsidR="001E7C5F" w:rsidRPr="009118AB">
        <w:rPr>
          <w:i/>
          <w:iCs/>
        </w:rPr>
        <w:t xml:space="preserve"> </w:t>
      </w:r>
      <w:r w:rsidR="00D67EB8" w:rsidRPr="009118AB">
        <w:rPr>
          <w:i/>
          <w:iCs/>
        </w:rPr>
        <w:t>§ </w:t>
      </w:r>
      <w:r w:rsidR="001E7C5F" w:rsidRPr="009118AB">
        <w:rPr>
          <w:i/>
          <w:iCs/>
        </w:rPr>
        <w:t xml:space="preserve">3 abgeändert durch </w:t>
      </w:r>
      <w:r w:rsidR="00D67EB8" w:rsidRPr="009118AB">
        <w:rPr>
          <w:i/>
          <w:iCs/>
        </w:rPr>
        <w:t>Art. </w:t>
      </w:r>
      <w:r w:rsidR="00803DD9" w:rsidRPr="009118AB">
        <w:rPr>
          <w:i/>
          <w:iCs/>
        </w:rPr>
        <w:t>3 des G. vom 13. Dezember 2012 (B.S. vom 20. Dezember 2012)</w:t>
      </w:r>
      <w:r w:rsidR="00D67EB8" w:rsidRPr="009118AB">
        <w:rPr>
          <w:i/>
          <w:iCs/>
        </w:rPr>
        <w:t> - </w:t>
      </w:r>
      <w:r w:rsidR="00803DD9" w:rsidRPr="009118AB">
        <w:rPr>
          <w:i/>
          <w:iCs/>
        </w:rPr>
        <w:t>in Kraft ab dem Steuerjahr 2010</w:t>
      </w:r>
      <w:r w:rsidR="003366D9" w:rsidRPr="009118AB">
        <w:rPr>
          <w:i/>
          <w:iCs/>
        </w:rPr>
        <w:t> -;</w:t>
      </w:r>
      <w:r w:rsidR="001E7C5F" w:rsidRPr="009118AB">
        <w:rPr>
          <w:i/>
          <w:iCs/>
        </w:rPr>
        <w:t xml:space="preserve"> </w:t>
      </w:r>
      <w:r w:rsidR="00D67EB8" w:rsidRPr="009118AB">
        <w:rPr>
          <w:i/>
          <w:iCs/>
        </w:rPr>
        <w:t>§ </w:t>
      </w:r>
      <w:r w:rsidR="001E7C5F" w:rsidRPr="009118AB">
        <w:rPr>
          <w:i/>
          <w:iCs/>
        </w:rPr>
        <w:t xml:space="preserve">4 </w:t>
      </w:r>
      <w:r w:rsidR="00D67EB8" w:rsidRPr="009118AB">
        <w:rPr>
          <w:i/>
          <w:iCs/>
        </w:rPr>
        <w:lastRenderedPageBreak/>
        <w:t>Abs. </w:t>
      </w:r>
      <w:r w:rsidR="001E7C5F" w:rsidRPr="009118AB">
        <w:rPr>
          <w:i/>
          <w:iCs/>
        </w:rPr>
        <w:t xml:space="preserve">1 abgeändert durch </w:t>
      </w:r>
      <w:r w:rsidR="00D67EB8" w:rsidRPr="009118AB">
        <w:rPr>
          <w:i/>
          <w:iCs/>
        </w:rPr>
        <w:t>Art. </w:t>
      </w:r>
      <w:r w:rsidR="00803DD9" w:rsidRPr="009118AB">
        <w:rPr>
          <w:i/>
          <w:iCs/>
        </w:rPr>
        <w:t>3 des G. vom 13. Dezember 2012 (B.S. vom 20. Dezember 2012)</w:t>
      </w:r>
      <w:r w:rsidR="00D67EB8" w:rsidRPr="009118AB">
        <w:rPr>
          <w:i/>
          <w:iCs/>
        </w:rPr>
        <w:t> - </w:t>
      </w:r>
      <w:r w:rsidR="00803DD9" w:rsidRPr="009118AB">
        <w:rPr>
          <w:rFonts w:ascii="Times New Roman Italique" w:hAnsi="Times New Roman Italique"/>
          <w:i/>
          <w:iCs/>
          <w:spacing w:val="-2"/>
        </w:rPr>
        <w:t>in Kraft ab dem Steuerjahr 2010</w:t>
      </w:r>
      <w:r w:rsidR="003366D9" w:rsidRPr="009118AB">
        <w:rPr>
          <w:rFonts w:ascii="Times New Roman Italique" w:hAnsi="Times New Roman Italique"/>
          <w:i/>
          <w:iCs/>
          <w:spacing w:val="-2"/>
        </w:rPr>
        <w:t> -;</w:t>
      </w:r>
      <w:r w:rsidR="001E7C5F"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4D1675" w:rsidRPr="009118AB">
        <w:rPr>
          <w:rFonts w:ascii="Times New Roman Italique" w:hAnsi="Times New Roman Italique"/>
          <w:i/>
          <w:iCs/>
          <w:spacing w:val="-2"/>
        </w:rPr>
        <w:t xml:space="preserve">4 </w:t>
      </w:r>
      <w:r w:rsidR="00D67EB8" w:rsidRPr="009118AB">
        <w:rPr>
          <w:rFonts w:ascii="Times New Roman Italique" w:hAnsi="Times New Roman Italique"/>
          <w:i/>
          <w:iCs/>
          <w:spacing w:val="-2"/>
        </w:rPr>
        <w:t>Abs. </w:t>
      </w:r>
      <w:r w:rsidR="004D1675" w:rsidRPr="009118AB">
        <w:rPr>
          <w:rFonts w:ascii="Times New Roman Italique" w:hAnsi="Times New Roman Italique" w:hint="eastAsia"/>
          <w:i/>
          <w:iCs/>
          <w:spacing w:val="-2"/>
        </w:rPr>
        <w:t>2</w:t>
      </w:r>
      <w:r w:rsidR="004D1675" w:rsidRPr="009118AB">
        <w:rPr>
          <w:rFonts w:ascii="Times New Roman Italique" w:hAnsi="Times New Roman Italique"/>
          <w:i/>
          <w:iCs/>
          <w:spacing w:val="-2"/>
        </w:rPr>
        <w:t xml:space="preserve"> erster Gedankenstrich </w:t>
      </w:r>
      <w:r w:rsidR="004D1675" w:rsidRPr="00916AEA">
        <w:rPr>
          <w:rFonts w:ascii="Times New Roman Italique" w:hAnsi="Times New Roman Italique"/>
          <w:i/>
          <w:iCs/>
          <w:spacing w:val="-2"/>
        </w:rPr>
        <w:t xml:space="preserve">abgeändert durch </w:t>
      </w:r>
      <w:r w:rsidR="00D67EB8" w:rsidRPr="00916AEA">
        <w:rPr>
          <w:rFonts w:ascii="Times New Roman Italique" w:hAnsi="Times New Roman Italique"/>
          <w:i/>
          <w:iCs/>
          <w:spacing w:val="-2"/>
        </w:rPr>
        <w:t>Art. </w:t>
      </w:r>
      <w:r w:rsidR="004D1675" w:rsidRPr="00916AEA">
        <w:rPr>
          <w:rFonts w:ascii="Times New Roman Italique" w:hAnsi="Times New Roman Italique"/>
          <w:i/>
          <w:iCs/>
          <w:spacing w:val="-2"/>
        </w:rPr>
        <w:t>55 des G. vom 18. Februar 2018 (B.S. vom 30. März 2018)</w:t>
      </w:r>
      <w:r w:rsidR="00D67EB8" w:rsidRPr="00916AEA">
        <w:rPr>
          <w:rFonts w:ascii="Times New Roman Italique" w:hAnsi="Times New Roman Italique"/>
          <w:i/>
          <w:iCs/>
          <w:spacing w:val="-2"/>
        </w:rPr>
        <w:t> - </w:t>
      </w:r>
      <w:r w:rsidR="004D1675" w:rsidRPr="00916AEA">
        <w:rPr>
          <w:rFonts w:ascii="Times New Roman Italique" w:hAnsi="Times New Roman Italique"/>
          <w:i/>
          <w:iCs/>
          <w:spacing w:val="-2"/>
        </w:rPr>
        <w:t>anwendbar ab dem Steuerjahr 2019</w:t>
      </w:r>
      <w:r w:rsidR="003366D9" w:rsidRPr="00916AEA">
        <w:rPr>
          <w:rFonts w:ascii="Times New Roman Italique" w:hAnsi="Times New Roman Italique"/>
          <w:i/>
          <w:iCs/>
          <w:spacing w:val="-2"/>
        </w:rPr>
        <w:t> -;</w:t>
      </w:r>
      <w:r w:rsidR="004D1675" w:rsidRPr="00916AEA">
        <w:rPr>
          <w:i/>
          <w:iCs/>
          <w:spacing w:val="-2"/>
        </w:rPr>
        <w:t xml:space="preserve"> </w:t>
      </w:r>
      <w:r w:rsidR="00D67EB8" w:rsidRPr="00916AEA">
        <w:rPr>
          <w:i/>
          <w:iCs/>
          <w:spacing w:val="-2"/>
        </w:rPr>
        <w:t>§ </w:t>
      </w:r>
      <w:r w:rsidRPr="00916AEA">
        <w:rPr>
          <w:i/>
          <w:iCs/>
          <w:spacing w:val="-2"/>
        </w:rPr>
        <w:t xml:space="preserve">5 </w:t>
      </w:r>
      <w:r w:rsidR="00D67EB8" w:rsidRPr="00916AEA">
        <w:rPr>
          <w:i/>
          <w:iCs/>
          <w:spacing w:val="-2"/>
        </w:rPr>
        <w:t>Abs. </w:t>
      </w:r>
      <w:r w:rsidRPr="00916AEA">
        <w:rPr>
          <w:i/>
          <w:iCs/>
          <w:spacing w:val="-2"/>
        </w:rPr>
        <w:t xml:space="preserve">1 ersetzt durch </w:t>
      </w:r>
      <w:r w:rsidR="00D67EB8" w:rsidRPr="00916AEA">
        <w:rPr>
          <w:i/>
          <w:iCs/>
          <w:spacing w:val="-2"/>
        </w:rPr>
        <w:t>Art. </w:t>
      </w:r>
      <w:r w:rsidRPr="00916AEA">
        <w:rPr>
          <w:i/>
          <w:iCs/>
          <w:spacing w:val="-2"/>
        </w:rPr>
        <w:t>348 Buchstabe</w:t>
      </w:r>
      <w:r w:rsidR="00231CCB" w:rsidRPr="00916AEA">
        <w:rPr>
          <w:i/>
          <w:iCs/>
          <w:spacing w:val="-2"/>
        </w:rPr>
        <w:t> </w:t>
      </w:r>
      <w:r w:rsidRPr="00916AEA">
        <w:rPr>
          <w:i/>
          <w:iCs/>
          <w:spacing w:val="-2"/>
        </w:rPr>
        <w:t>B Buchstabe b) des G.</w:t>
      </w:r>
      <w:r w:rsidR="00730FFE" w:rsidRPr="00916AEA">
        <w:rPr>
          <w:i/>
          <w:iCs/>
          <w:spacing w:val="-2"/>
        </w:rPr>
        <w:t> </w:t>
      </w:r>
      <w:r w:rsidR="00AF2D3B" w:rsidRPr="00916AEA">
        <w:rPr>
          <w:i/>
          <w:iCs/>
          <w:spacing w:val="-2"/>
        </w:rPr>
        <w:t xml:space="preserve">(I) </w:t>
      </w:r>
      <w:r w:rsidR="003951A9" w:rsidRPr="00916AEA">
        <w:rPr>
          <w:i/>
          <w:iCs/>
          <w:spacing w:val="-2"/>
        </w:rPr>
        <w:t>vom 27. Dezember 2006 </w:t>
      </w:r>
      <w:r w:rsidRPr="00916AEA">
        <w:rPr>
          <w:i/>
          <w:iCs/>
          <w:spacing w:val="-2"/>
        </w:rPr>
        <w:t>(</w:t>
      </w:r>
      <w:r w:rsidR="0014743B" w:rsidRPr="00916AEA">
        <w:rPr>
          <w:i/>
          <w:iCs/>
          <w:spacing w:val="-2"/>
        </w:rPr>
        <w:t>I</w:t>
      </w:r>
      <w:r w:rsidRPr="00916AEA">
        <w:rPr>
          <w:i/>
          <w:iCs/>
          <w:spacing w:val="-2"/>
        </w:rPr>
        <w:t>I) (B.S. vom 28. Dezember 2006)</w:t>
      </w:r>
      <w:r w:rsidR="00D67EB8" w:rsidRPr="00916AEA">
        <w:rPr>
          <w:i/>
          <w:iCs/>
          <w:spacing w:val="-2"/>
        </w:rPr>
        <w:t> - </w:t>
      </w:r>
      <w:r w:rsidRPr="00916AEA">
        <w:rPr>
          <w:i/>
          <w:iCs/>
          <w:spacing w:val="-2"/>
        </w:rPr>
        <w:t>in Kraft ab dem 1. Januar 2007</w:t>
      </w:r>
      <w:r w:rsidR="003366D9" w:rsidRPr="00916AEA">
        <w:rPr>
          <w:i/>
          <w:iCs/>
          <w:spacing w:val="-2"/>
        </w:rPr>
        <w:t> -;</w:t>
      </w:r>
      <w:r w:rsidR="00231CCB" w:rsidRPr="009118AB">
        <w:rPr>
          <w:i/>
          <w:iCs/>
        </w:rPr>
        <w:t xml:space="preserve"> </w:t>
      </w:r>
      <w:r w:rsidR="00D67EB8" w:rsidRPr="009118AB">
        <w:rPr>
          <w:i/>
          <w:iCs/>
        </w:rPr>
        <w:t>§ </w:t>
      </w:r>
      <w:r w:rsidR="001E7C5F" w:rsidRPr="009118AB">
        <w:rPr>
          <w:i/>
          <w:iCs/>
        </w:rPr>
        <w:t xml:space="preserve">5 </w:t>
      </w:r>
      <w:r w:rsidR="00D67EB8" w:rsidRPr="009118AB">
        <w:rPr>
          <w:i/>
          <w:iCs/>
        </w:rPr>
        <w:t>Abs. </w:t>
      </w:r>
      <w:r w:rsidR="001E7C5F" w:rsidRPr="009118AB">
        <w:rPr>
          <w:i/>
          <w:iCs/>
        </w:rPr>
        <w:t xml:space="preserve">1 </w:t>
      </w:r>
      <w:r w:rsidR="00D67EB8" w:rsidRPr="009118AB">
        <w:rPr>
          <w:i/>
          <w:iCs/>
        </w:rPr>
        <w:t>Nr. </w:t>
      </w:r>
      <w:r w:rsidR="001E7C5F" w:rsidRPr="009118AB">
        <w:rPr>
          <w:i/>
          <w:iCs/>
        </w:rPr>
        <w:t xml:space="preserve">1 und 2 abgeändert durch </w:t>
      </w:r>
      <w:r w:rsidR="00D67EB8" w:rsidRPr="009118AB">
        <w:rPr>
          <w:i/>
          <w:iCs/>
        </w:rPr>
        <w:t>Art. </w:t>
      </w:r>
      <w:r w:rsidR="00803DD9" w:rsidRPr="009118AB">
        <w:rPr>
          <w:i/>
          <w:iCs/>
        </w:rPr>
        <w:t>3 des G. vom 13. Dezember 2012 (B.S. vom 20. Dezember 2012)</w:t>
      </w:r>
      <w:r w:rsidR="00D67EB8" w:rsidRPr="009118AB">
        <w:rPr>
          <w:i/>
          <w:iCs/>
        </w:rPr>
        <w:t> - </w:t>
      </w:r>
      <w:r w:rsidR="00803DD9" w:rsidRPr="009118AB">
        <w:rPr>
          <w:i/>
          <w:iCs/>
        </w:rPr>
        <w:t>in Kraft ab dem Steuerjahr 2010</w:t>
      </w:r>
      <w:r w:rsidR="003366D9" w:rsidRPr="009118AB">
        <w:rPr>
          <w:i/>
          <w:iCs/>
        </w:rPr>
        <w:t> -;</w:t>
      </w:r>
      <w:r w:rsidR="001E7C5F" w:rsidRPr="009118AB">
        <w:rPr>
          <w:i/>
          <w:iCs/>
        </w:rPr>
        <w:t xml:space="preserve"> </w:t>
      </w:r>
      <w:r w:rsidR="00D67EB8" w:rsidRPr="009118AB">
        <w:rPr>
          <w:i/>
          <w:iCs/>
        </w:rPr>
        <w:t>§ </w:t>
      </w:r>
      <w:r w:rsidR="00231CCB" w:rsidRPr="009118AB">
        <w:rPr>
          <w:i/>
          <w:iCs/>
        </w:rPr>
        <w:t xml:space="preserve">5 </w:t>
      </w:r>
      <w:r w:rsidR="001E7C5F" w:rsidRPr="009118AB">
        <w:rPr>
          <w:i/>
          <w:iCs/>
        </w:rPr>
        <w:t xml:space="preserve">neuer </w:t>
      </w:r>
      <w:r w:rsidR="00231CCB" w:rsidRPr="009118AB">
        <w:rPr>
          <w:i/>
          <w:iCs/>
        </w:rPr>
        <w:t>Abs</w:t>
      </w:r>
      <w:r w:rsidR="001E7C5F" w:rsidRPr="009118AB">
        <w:rPr>
          <w:i/>
          <w:iCs/>
        </w:rPr>
        <w:t>atz</w:t>
      </w:r>
      <w:r w:rsidR="00016024" w:rsidRPr="009118AB">
        <w:rPr>
          <w:rFonts w:hint="eastAsia"/>
          <w:i/>
          <w:iCs/>
        </w:rPr>
        <w:t> </w:t>
      </w:r>
      <w:r w:rsidR="00231CCB" w:rsidRPr="009118AB">
        <w:rPr>
          <w:i/>
          <w:iCs/>
        </w:rPr>
        <w:t xml:space="preserve">2 </w:t>
      </w:r>
      <w:r w:rsidR="001E7C5F" w:rsidRPr="009118AB">
        <w:rPr>
          <w:i/>
          <w:iCs/>
        </w:rPr>
        <w:t>eingefüg</w:t>
      </w:r>
      <w:r w:rsidR="00231CCB" w:rsidRPr="009118AB">
        <w:rPr>
          <w:i/>
          <w:iCs/>
        </w:rPr>
        <w:t xml:space="preserve">t durch </w:t>
      </w:r>
      <w:r w:rsidR="00D67EB8" w:rsidRPr="009118AB">
        <w:rPr>
          <w:i/>
          <w:iCs/>
        </w:rPr>
        <w:t>Art. </w:t>
      </w:r>
      <w:r w:rsidR="00231CCB" w:rsidRPr="009118AB">
        <w:rPr>
          <w:i/>
          <w:iCs/>
        </w:rPr>
        <w:t>348 Buchstabe B Buchstabe b) des G.</w:t>
      </w:r>
      <w:r w:rsidR="00AF2D3B" w:rsidRPr="009118AB">
        <w:rPr>
          <w:i/>
          <w:iCs/>
        </w:rPr>
        <w:t xml:space="preserve"> (I) </w:t>
      </w:r>
      <w:r w:rsidR="005F065E" w:rsidRPr="009118AB">
        <w:rPr>
          <w:i/>
          <w:iCs/>
        </w:rPr>
        <w:t>vom 27. Dezember 2006</w:t>
      </w:r>
      <w:r w:rsidR="005F065E" w:rsidRPr="009118AB">
        <w:rPr>
          <w:rFonts w:hint="eastAsia"/>
          <w:i/>
          <w:iCs/>
        </w:rPr>
        <w:t> </w:t>
      </w:r>
      <w:r w:rsidR="00231CCB" w:rsidRPr="009118AB">
        <w:rPr>
          <w:i/>
          <w:iCs/>
        </w:rPr>
        <w:t>(</w:t>
      </w:r>
      <w:r w:rsidR="0014743B" w:rsidRPr="009118AB">
        <w:rPr>
          <w:i/>
          <w:iCs/>
        </w:rPr>
        <w:t>I</w:t>
      </w:r>
      <w:r w:rsidR="00231CCB" w:rsidRPr="009118AB">
        <w:rPr>
          <w:i/>
          <w:iCs/>
        </w:rPr>
        <w:t>I) (B.S. vom 28. Dezember 2006)</w:t>
      </w:r>
      <w:r w:rsidR="00D67EB8" w:rsidRPr="009118AB">
        <w:rPr>
          <w:i/>
          <w:iCs/>
        </w:rPr>
        <w:t> - </w:t>
      </w:r>
      <w:r w:rsidR="00231CCB" w:rsidRPr="009118AB">
        <w:rPr>
          <w:i/>
          <w:iCs/>
        </w:rPr>
        <w:t>in Kraft ab dem 1. Januar 2007</w:t>
      </w:r>
      <w:r w:rsidR="00D67EB8" w:rsidRPr="009118AB">
        <w:rPr>
          <w:i/>
          <w:iCs/>
        </w:rPr>
        <w:t> - </w:t>
      </w:r>
      <w:r w:rsidR="00016024" w:rsidRPr="009118AB">
        <w:rPr>
          <w:i/>
          <w:iCs/>
        </w:rPr>
        <w:t xml:space="preserve">und ersetzt durch </w:t>
      </w:r>
      <w:r w:rsidR="00D67EB8" w:rsidRPr="009118AB">
        <w:rPr>
          <w:i/>
          <w:iCs/>
        </w:rPr>
        <w:t>Art. </w:t>
      </w:r>
      <w:r w:rsidR="00016024" w:rsidRPr="009118AB">
        <w:rPr>
          <w:i/>
          <w:iCs/>
        </w:rPr>
        <w:t>27 des G. vo</w:t>
      </w:r>
      <w:r w:rsidR="009B37FC" w:rsidRPr="009118AB">
        <w:rPr>
          <w:i/>
          <w:iCs/>
        </w:rPr>
        <w:t>m 2. Mai 2019 (III) (B.S. vom 15</w:t>
      </w:r>
      <w:r w:rsidR="00016024" w:rsidRPr="009118AB">
        <w:rPr>
          <w:i/>
          <w:iCs/>
        </w:rPr>
        <w:t>. Mai 2019)</w:t>
      </w:r>
      <w:r w:rsidR="00D67EB8" w:rsidRPr="009118AB">
        <w:rPr>
          <w:i/>
          <w:iCs/>
        </w:rPr>
        <w:t> - </w:t>
      </w:r>
      <w:r w:rsidR="00016024" w:rsidRPr="009118AB">
        <w:rPr>
          <w:i/>
          <w:iCs/>
        </w:rPr>
        <w:t>anwendbar auf die ab dem 1. Januar 2019 ergangenen Erlasse</w:t>
      </w:r>
      <w:r w:rsidR="003366D9" w:rsidRPr="009118AB">
        <w:rPr>
          <w:i/>
          <w:iCs/>
        </w:rPr>
        <w:t> -;</w:t>
      </w:r>
      <w:r w:rsidRPr="009118AB">
        <w:rPr>
          <w:i/>
          <w:iCs/>
        </w:rPr>
        <w:t xml:space="preserve"> </w:t>
      </w:r>
      <w:r w:rsidR="00D67EB8" w:rsidRPr="009118AB">
        <w:rPr>
          <w:i/>
          <w:iCs/>
        </w:rPr>
        <w:t>§ </w:t>
      </w:r>
      <w:r w:rsidRPr="009118AB">
        <w:rPr>
          <w:i/>
          <w:iCs/>
        </w:rPr>
        <w:t xml:space="preserve">5 </w:t>
      </w:r>
      <w:r w:rsidR="00D67EB8" w:rsidRPr="009118AB">
        <w:rPr>
          <w:i/>
          <w:iCs/>
        </w:rPr>
        <w:t>Abs. </w:t>
      </w:r>
      <w:r w:rsidRPr="009118AB">
        <w:rPr>
          <w:i/>
          <w:iCs/>
        </w:rPr>
        <w:t xml:space="preserve">3 ersetzt durch </w:t>
      </w:r>
      <w:r w:rsidR="00D67EB8" w:rsidRPr="009118AB">
        <w:rPr>
          <w:i/>
          <w:iCs/>
        </w:rPr>
        <w:t>Art. </w:t>
      </w:r>
      <w:r w:rsidRPr="009118AB">
        <w:rPr>
          <w:i/>
          <w:iCs/>
        </w:rPr>
        <w:t xml:space="preserve">348 Buchstabe A Buchstabe b) des G. </w:t>
      </w:r>
      <w:r w:rsidR="00AF2D3B" w:rsidRPr="009118AB">
        <w:rPr>
          <w:i/>
          <w:iCs/>
        </w:rPr>
        <w:t xml:space="preserve">(I) </w:t>
      </w:r>
      <w:r w:rsidRPr="009118AB">
        <w:rPr>
          <w:i/>
          <w:iCs/>
        </w:rPr>
        <w:t>vom 27. Dezember 2006</w:t>
      </w:r>
      <w:r w:rsidR="006C19F6" w:rsidRPr="009118AB">
        <w:rPr>
          <w:i/>
          <w:iCs/>
        </w:rPr>
        <w:t> </w:t>
      </w:r>
      <w:r w:rsidRPr="009118AB">
        <w:rPr>
          <w:i/>
          <w:iCs/>
        </w:rPr>
        <w:t>(</w:t>
      </w:r>
      <w:r w:rsidR="0014743B" w:rsidRPr="009118AB">
        <w:rPr>
          <w:i/>
          <w:iCs/>
        </w:rPr>
        <w:t>I</w:t>
      </w:r>
      <w:r w:rsidRPr="009118AB">
        <w:rPr>
          <w:i/>
          <w:iCs/>
        </w:rPr>
        <w:t>I) (B.S. vom 28. Dezember 2006)</w:t>
      </w:r>
      <w:r w:rsidR="00D67EB8" w:rsidRPr="009118AB">
        <w:rPr>
          <w:i/>
          <w:iCs/>
        </w:rPr>
        <w:t> - </w:t>
      </w:r>
      <w:r w:rsidRPr="009118AB">
        <w:rPr>
          <w:i/>
          <w:iCs/>
        </w:rPr>
        <w:t>anwendbar ab dem Steuerjahr 2007</w:t>
      </w:r>
      <w:r w:rsidR="003366D9" w:rsidRPr="009118AB">
        <w:rPr>
          <w:i/>
          <w:iCs/>
        </w:rPr>
        <w:t> -;</w:t>
      </w:r>
      <w:r w:rsidRPr="009118AB">
        <w:rPr>
          <w:i/>
          <w:iCs/>
        </w:rPr>
        <w:t xml:space="preserve"> </w:t>
      </w:r>
      <w:r w:rsidR="00D67EB8" w:rsidRPr="009118AB">
        <w:rPr>
          <w:i/>
          <w:iCs/>
        </w:rPr>
        <w:t>§ </w:t>
      </w:r>
      <w:r w:rsidRPr="009118AB">
        <w:rPr>
          <w:i/>
          <w:iCs/>
        </w:rPr>
        <w:t xml:space="preserve">6 eingefügt durch </w:t>
      </w:r>
      <w:r w:rsidR="00D67EB8" w:rsidRPr="009118AB">
        <w:rPr>
          <w:i/>
          <w:iCs/>
        </w:rPr>
        <w:t>Art. </w:t>
      </w:r>
      <w:r w:rsidRPr="009118AB">
        <w:rPr>
          <w:i/>
          <w:iCs/>
        </w:rPr>
        <w:t>348 Buchstabe A Buchstabe</w:t>
      </w:r>
      <w:r w:rsidR="00FF40FE" w:rsidRPr="009118AB">
        <w:rPr>
          <w:i/>
          <w:iCs/>
        </w:rPr>
        <w:t> </w:t>
      </w:r>
      <w:r w:rsidRPr="009118AB">
        <w:rPr>
          <w:i/>
          <w:iCs/>
        </w:rPr>
        <w:t>c) des G.</w:t>
      </w:r>
      <w:r w:rsidR="00AF2D3B" w:rsidRPr="009118AB">
        <w:rPr>
          <w:i/>
          <w:iCs/>
        </w:rPr>
        <w:t xml:space="preserve"> (I) </w:t>
      </w:r>
      <w:r w:rsidRPr="009118AB">
        <w:rPr>
          <w:i/>
          <w:iCs/>
        </w:rPr>
        <w:t>vom</w:t>
      </w:r>
      <w:r w:rsidR="00171BDD" w:rsidRPr="009118AB">
        <w:rPr>
          <w:i/>
          <w:iCs/>
        </w:rPr>
        <w:t> </w:t>
      </w:r>
      <w:r w:rsidRPr="009118AB">
        <w:rPr>
          <w:i/>
          <w:iCs/>
        </w:rPr>
        <w:t>27. Dezember 2006</w:t>
      </w:r>
      <w:r w:rsidR="0006356F">
        <w:rPr>
          <w:i/>
          <w:iCs/>
        </w:rPr>
        <w:t> </w:t>
      </w:r>
      <w:r w:rsidRPr="009118AB">
        <w:rPr>
          <w:i/>
          <w:iCs/>
        </w:rPr>
        <w:t>(</w:t>
      </w:r>
      <w:r w:rsidR="0014743B" w:rsidRPr="009118AB">
        <w:rPr>
          <w:i/>
          <w:iCs/>
        </w:rPr>
        <w:t>I</w:t>
      </w:r>
      <w:r w:rsidRPr="009118AB">
        <w:rPr>
          <w:i/>
          <w:iCs/>
        </w:rPr>
        <w:t>I)</w:t>
      </w:r>
      <w:r w:rsidR="00016024" w:rsidRPr="009118AB">
        <w:rPr>
          <w:i/>
          <w:iCs/>
        </w:rPr>
        <w:t xml:space="preserve"> (B.S. vom 28. Dezember 2006)</w:t>
      </w:r>
      <w:r w:rsidR="00D67EB8" w:rsidRPr="009118AB">
        <w:rPr>
          <w:i/>
          <w:iCs/>
        </w:rPr>
        <w:t> </w:t>
      </w:r>
      <w:r w:rsidR="00D67EB8" w:rsidRPr="009118AB">
        <w:rPr>
          <w:rFonts w:hint="eastAsia"/>
          <w:i/>
          <w:iCs/>
        </w:rPr>
        <w:t>-</w:t>
      </w:r>
      <w:r w:rsidR="00D67EB8" w:rsidRPr="009118AB">
        <w:rPr>
          <w:i/>
          <w:iCs/>
        </w:rPr>
        <w:t> </w:t>
      </w:r>
      <w:r w:rsidRPr="009118AB">
        <w:rPr>
          <w:i/>
          <w:iCs/>
        </w:rPr>
        <w:t>anwendbar ab dem Steuerjahr 2007</w:t>
      </w:r>
      <w:r w:rsidR="003366D9" w:rsidRPr="009118AB">
        <w:rPr>
          <w:i/>
          <w:iCs/>
        </w:rPr>
        <w:t> </w:t>
      </w:r>
      <w:r w:rsidR="003366D9" w:rsidRPr="009118AB">
        <w:rPr>
          <w:rFonts w:hint="eastAsia"/>
          <w:i/>
          <w:iCs/>
        </w:rPr>
        <w:t>-;</w:t>
      </w:r>
      <w:r w:rsidR="001E7C5F" w:rsidRPr="009118AB">
        <w:rPr>
          <w:i/>
          <w:iCs/>
        </w:rPr>
        <w:t xml:space="preserve"> </w:t>
      </w:r>
      <w:r w:rsidR="00D67EB8" w:rsidRPr="009118AB">
        <w:rPr>
          <w:i/>
          <w:iCs/>
        </w:rPr>
        <w:t>§ </w:t>
      </w:r>
      <w:r w:rsidR="001E7C5F" w:rsidRPr="009118AB">
        <w:rPr>
          <w:i/>
          <w:iCs/>
        </w:rPr>
        <w:t xml:space="preserve">6 </w:t>
      </w:r>
      <w:r w:rsidR="00D67EB8" w:rsidRPr="009118AB">
        <w:rPr>
          <w:i/>
          <w:iCs/>
        </w:rPr>
        <w:t>Abs. </w:t>
      </w:r>
      <w:r w:rsidR="001E7C5F" w:rsidRPr="009118AB">
        <w:rPr>
          <w:i/>
          <w:iCs/>
        </w:rPr>
        <w:t xml:space="preserve">1 abgeändert durch </w:t>
      </w:r>
      <w:r w:rsidR="00D67EB8" w:rsidRPr="009118AB">
        <w:rPr>
          <w:i/>
          <w:iCs/>
        </w:rPr>
        <w:t>Art. </w:t>
      </w:r>
      <w:r w:rsidR="001E7C5F" w:rsidRPr="009118AB">
        <w:rPr>
          <w:i/>
          <w:iCs/>
        </w:rPr>
        <w:t>35 des G. vom 14. April 2011 (B.S. vom 6. Mai 2011)</w:t>
      </w:r>
      <w:r w:rsidR="00D67EB8" w:rsidRPr="009118AB">
        <w:rPr>
          <w:i/>
          <w:iCs/>
        </w:rPr>
        <w:t> - </w:t>
      </w:r>
      <w:r w:rsidR="00522B80" w:rsidRPr="009118AB">
        <w:rPr>
          <w:i/>
          <w:iCs/>
        </w:rPr>
        <w:t xml:space="preserve">anwendbar </w:t>
      </w:r>
      <w:r w:rsidR="001E7C5F" w:rsidRPr="009118AB">
        <w:rPr>
          <w:i/>
          <w:iCs/>
        </w:rPr>
        <w:t>ab dem Steuerjahr 2010</w:t>
      </w:r>
      <w:r w:rsidR="00FD68E8" w:rsidRPr="009118AB">
        <w:rPr>
          <w:i/>
          <w:iCs/>
        </w:rPr>
        <w:t> -]</w:t>
      </w:r>
    </w:p>
    <w:p w14:paraId="1EE824A8" w14:textId="77777777" w:rsidR="00477B8F" w:rsidRPr="009118AB" w:rsidRDefault="00477B8F" w:rsidP="00477B8F">
      <w:pPr>
        <w:autoSpaceDE w:val="0"/>
        <w:autoSpaceDN w:val="0"/>
        <w:adjustRightInd w:val="0"/>
        <w:jc w:val="both"/>
        <w:rPr>
          <w:i/>
          <w:iCs/>
        </w:rPr>
      </w:pPr>
    </w:p>
    <w:p w14:paraId="4AD30C55" w14:textId="77777777" w:rsidR="00477B8F" w:rsidRPr="009118AB" w:rsidRDefault="00477B8F" w:rsidP="00477B8F">
      <w:pPr>
        <w:autoSpaceDE w:val="0"/>
        <w:autoSpaceDN w:val="0"/>
        <w:adjustRightInd w:val="0"/>
        <w:jc w:val="both"/>
      </w:pPr>
    </w:p>
    <w:p w14:paraId="1D8D07C6" w14:textId="65E0752D" w:rsidR="005804C6" w:rsidRPr="009118AB" w:rsidRDefault="00D67EB8" w:rsidP="005804C6">
      <w:pPr>
        <w:ind w:firstLine="708"/>
        <w:jc w:val="both"/>
      </w:pPr>
      <w:r w:rsidRPr="009118AB">
        <w:rPr>
          <w:b/>
          <w:bCs/>
        </w:rPr>
        <w:t>Art. </w:t>
      </w:r>
      <w:r w:rsidR="00477B8F" w:rsidRPr="009118AB">
        <w:rPr>
          <w:b/>
          <w:bCs/>
        </w:rPr>
        <w:t>60</w:t>
      </w:r>
      <w:r w:rsidRPr="009118AB">
        <w:t> - </w:t>
      </w:r>
      <w:r w:rsidR="005804C6" w:rsidRPr="009118AB">
        <w:t>[Pensionen, Renten oder als solche geltende Zulagen gelten unter folgenden Bedingungen und in folgenden Grenzen als Werbungskosten:</w:t>
      </w:r>
    </w:p>
    <w:p w14:paraId="46700A2D" w14:textId="77777777" w:rsidR="005804C6" w:rsidRPr="009118AB" w:rsidRDefault="005804C6" w:rsidP="005804C6">
      <w:pPr>
        <w:jc w:val="both"/>
      </w:pPr>
    </w:p>
    <w:p w14:paraId="5343329E" w14:textId="77777777" w:rsidR="005804C6" w:rsidRPr="009118AB" w:rsidRDefault="005804C6" w:rsidP="005804C6">
      <w:pPr>
        <w:ind w:firstLine="708"/>
        <w:jc w:val="both"/>
      </w:pPr>
      <w:r w:rsidRPr="009118AB">
        <w:t>1. Sie werden Personen, die früher Entlohnungen bezogen, auf die die Rechtsvorschriften über die soziale Sicherheit der Arbeitnehmer oder Selbständigen angewandt wurden, oder Rechtsnachfolgern dieser Personen zuerkannt.</w:t>
      </w:r>
    </w:p>
    <w:p w14:paraId="53F9C22C" w14:textId="77777777" w:rsidR="005804C6" w:rsidRPr="009118AB" w:rsidRDefault="005804C6" w:rsidP="005804C6">
      <w:pPr>
        <w:jc w:val="both"/>
      </w:pPr>
    </w:p>
    <w:p w14:paraId="2F9AE59B" w14:textId="77777777" w:rsidR="005804C6" w:rsidRPr="009118AB" w:rsidRDefault="005804C6" w:rsidP="005804C6">
      <w:pPr>
        <w:ind w:firstLine="708"/>
        <w:jc w:val="both"/>
      </w:pPr>
      <w:r w:rsidRPr="009118AB">
        <w:t>2. Sie sind nicht höher als die Summen, die durch Zahlung der in Artikel 59 erwähnten Beiträge bezogen würden.</w:t>
      </w:r>
    </w:p>
    <w:p w14:paraId="64673A0E" w14:textId="77777777" w:rsidR="005804C6" w:rsidRPr="009118AB" w:rsidRDefault="005804C6" w:rsidP="005804C6">
      <w:pPr>
        <w:jc w:val="both"/>
      </w:pPr>
    </w:p>
    <w:p w14:paraId="672B279D" w14:textId="77777777" w:rsidR="00477B8F" w:rsidRPr="009118AB" w:rsidRDefault="005804C6" w:rsidP="005804C6">
      <w:pPr>
        <w:autoSpaceDE w:val="0"/>
        <w:autoSpaceDN w:val="0"/>
        <w:adjustRightInd w:val="0"/>
        <w:ind w:firstLine="708"/>
        <w:jc w:val="both"/>
      </w:pPr>
      <w:r w:rsidRPr="009118AB">
        <w:t>3. Die in Anwendung des Königlichen Erlasses vom 25. April 2007 zur Ausführung von Artikel 306 des Programmgesetzes (I) vom 27. Dezember 2006 verlangten Informationen müssen erteilt worden sein.]</w:t>
      </w:r>
    </w:p>
    <w:p w14:paraId="7D9BADE3" w14:textId="77777777" w:rsidR="005804C6" w:rsidRPr="009118AB" w:rsidRDefault="005804C6" w:rsidP="005804C6">
      <w:pPr>
        <w:autoSpaceDE w:val="0"/>
        <w:autoSpaceDN w:val="0"/>
        <w:adjustRightInd w:val="0"/>
        <w:ind w:firstLine="708"/>
        <w:jc w:val="both"/>
      </w:pPr>
    </w:p>
    <w:p w14:paraId="586AE755" w14:textId="2CFD5399" w:rsidR="005804C6" w:rsidRPr="009118AB" w:rsidRDefault="005804C6" w:rsidP="005804C6">
      <w:pPr>
        <w:autoSpaceDE w:val="0"/>
        <w:autoSpaceDN w:val="0"/>
        <w:adjustRightInd w:val="0"/>
        <w:jc w:val="both"/>
        <w:rPr>
          <w:i/>
        </w:rPr>
      </w:pPr>
      <w:r w:rsidRPr="009118AB">
        <w:rPr>
          <w:i/>
        </w:rPr>
        <w:t>[</w:t>
      </w:r>
      <w:r w:rsidR="00D67EB8" w:rsidRPr="009118AB">
        <w:rPr>
          <w:i/>
        </w:rPr>
        <w:t>Art. </w:t>
      </w:r>
      <w:r w:rsidRPr="009118AB">
        <w:rPr>
          <w:i/>
        </w:rPr>
        <w:t xml:space="preserve">60 ersetzt durch </w:t>
      </w:r>
      <w:r w:rsidR="00D67EB8" w:rsidRPr="009118AB">
        <w:rPr>
          <w:i/>
        </w:rPr>
        <w:t>Art. </w:t>
      </w:r>
      <w:r w:rsidRPr="009118AB">
        <w:rPr>
          <w:i/>
        </w:rPr>
        <w:t>63</w:t>
      </w:r>
      <w:r w:rsidRPr="009118AB">
        <w:rPr>
          <w:i/>
          <w:iCs/>
        </w:rPr>
        <w:t xml:space="preserve"> des G. vom 22. Juni 2012 (B.S. vom 28. Juni 2012)</w:t>
      </w:r>
      <w:r w:rsidR="00D67EB8" w:rsidRPr="009118AB">
        <w:rPr>
          <w:i/>
          <w:iCs/>
        </w:rPr>
        <w:t> - </w:t>
      </w:r>
      <w:r w:rsidRPr="009118AB">
        <w:rPr>
          <w:i/>
          <w:iCs/>
        </w:rPr>
        <w:t>anwendbar auf die ab dem 1. Januar 2013 gezahlten oder zuerkannten Pensionen, Renten und Zulagen</w:t>
      </w:r>
      <w:r w:rsidR="00FD68E8" w:rsidRPr="009118AB">
        <w:rPr>
          <w:i/>
          <w:iCs/>
        </w:rPr>
        <w:t> -]</w:t>
      </w:r>
    </w:p>
    <w:p w14:paraId="18398A1D" w14:textId="77777777" w:rsidR="00477B8F" w:rsidRPr="009118AB" w:rsidRDefault="00477B8F" w:rsidP="00477B8F">
      <w:pPr>
        <w:autoSpaceDE w:val="0"/>
        <w:autoSpaceDN w:val="0"/>
        <w:adjustRightInd w:val="0"/>
        <w:jc w:val="both"/>
      </w:pPr>
    </w:p>
    <w:p w14:paraId="72743307" w14:textId="77777777" w:rsidR="00477B8F" w:rsidRPr="009118AB" w:rsidRDefault="00477B8F" w:rsidP="00477B8F">
      <w:pPr>
        <w:autoSpaceDE w:val="0"/>
        <w:autoSpaceDN w:val="0"/>
        <w:adjustRightInd w:val="0"/>
        <w:jc w:val="both"/>
      </w:pPr>
    </w:p>
    <w:p w14:paraId="6ED69218" w14:textId="48624600"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61</w:t>
      </w:r>
      <w:r w:rsidR="00D67EB8" w:rsidRPr="009118AB">
        <w:t> - </w:t>
      </w:r>
      <w:r w:rsidRPr="009118AB">
        <w:t>Abschreibungen gelten als Werbungskosten in dem Maße, wie sie auf dem Anschaffungs- oder Investitionswert beruhen, wie sie notwendig sind und wie sie einer tatsächlich während des Besteuerungszeitraums erfolgten Wertminderung entsprechen.</w:t>
      </w:r>
    </w:p>
    <w:p w14:paraId="38AF9AFB" w14:textId="77777777" w:rsidR="00477B8F" w:rsidRPr="009118AB" w:rsidRDefault="00477B8F" w:rsidP="00477B8F">
      <w:pPr>
        <w:autoSpaceDE w:val="0"/>
        <w:autoSpaceDN w:val="0"/>
        <w:adjustRightInd w:val="0"/>
        <w:jc w:val="both"/>
      </w:pPr>
    </w:p>
    <w:p w14:paraId="43D95731" w14:textId="77777777" w:rsidR="00477B8F" w:rsidRPr="009118AB" w:rsidRDefault="00477B8F" w:rsidP="00477B8F">
      <w:pPr>
        <w:autoSpaceDE w:val="0"/>
        <w:autoSpaceDN w:val="0"/>
        <w:adjustRightInd w:val="0"/>
        <w:jc w:val="both"/>
      </w:pPr>
      <w:r w:rsidRPr="009118AB">
        <w:tab/>
        <w:t>Unter Anschaffungs- oder Investitionswert versteht man je nach Fall den Erwerbspreis, den Herstellungspreis, den Einbringungswert oder, wenn es sich um Nutzungsrechte an Sachanlagen, über die das Unternehmen aufgrund von Leasingverträgen oder von Erbpachtverträgen, Erbbauverträgen oder gleichartigen Rechten an unbeweglichen Gütern verfügt, den Teil der im Vertrag vorgesehenen gestaffelten Gebühren, der dem wiederherzustellenden Kapital gemäß dem Wert des Gutes entspricht, auf das sich der Vertrag bezieht, wobei diese Begriffe die Bedeutung haben, die ihnen durch die Rechtsvorschriften über die Buchhaltung und den Jahresabschluss der Unternehmen gegeben wird.</w:t>
      </w:r>
    </w:p>
    <w:p w14:paraId="03F2BBA3" w14:textId="77777777" w:rsidR="00477B8F" w:rsidRPr="009118AB" w:rsidRDefault="00477B8F" w:rsidP="00477B8F">
      <w:pPr>
        <w:autoSpaceDE w:val="0"/>
        <w:autoSpaceDN w:val="0"/>
        <w:adjustRightInd w:val="0"/>
        <w:jc w:val="both"/>
      </w:pPr>
    </w:p>
    <w:p w14:paraId="1214FE9C" w14:textId="77777777" w:rsidR="00477B8F" w:rsidRPr="009118AB" w:rsidRDefault="00477B8F" w:rsidP="00477B8F">
      <w:pPr>
        <w:autoSpaceDE w:val="0"/>
        <w:autoSpaceDN w:val="0"/>
        <w:adjustRightInd w:val="0"/>
        <w:jc w:val="both"/>
      </w:pPr>
    </w:p>
    <w:p w14:paraId="4A786875" w14:textId="717DB073" w:rsidR="00477B8F" w:rsidRPr="009118AB" w:rsidRDefault="00477B8F" w:rsidP="00477B8F">
      <w:pPr>
        <w:autoSpaceDE w:val="0"/>
        <w:autoSpaceDN w:val="0"/>
        <w:adjustRightInd w:val="0"/>
        <w:jc w:val="both"/>
      </w:pPr>
      <w:r w:rsidRPr="009118AB">
        <w:lastRenderedPageBreak/>
        <w:tab/>
      </w:r>
      <w:r w:rsidR="00D67EB8" w:rsidRPr="009118AB">
        <w:rPr>
          <w:b/>
          <w:bCs/>
        </w:rPr>
        <w:t>Art. </w:t>
      </w:r>
      <w:r w:rsidRPr="009118AB">
        <w:rPr>
          <w:b/>
          <w:bCs/>
        </w:rPr>
        <w:t>62</w:t>
      </w:r>
      <w:r w:rsidR="00D67EB8" w:rsidRPr="009118AB">
        <w:t> - </w:t>
      </w:r>
      <w:r w:rsidRPr="009118AB">
        <w:t>Der Anteil des Anschaffungs- oder Investitionswertes, der dem Gesamtbetrag der Nebenkosten in Bezug auf den Kaufpreis oder der Herstellungsgemeinkosten entspricht, und die Gründungskosten dürfen abgeschrieben werden, entweder vollständig während des Besteuerungszeitraums, in dem diese Kosten gemacht werden, oder in festen Jahresraten, die ohne Unterbrechung auf eine vom Steuerpflichtigen bestimmte Anzahl Jahre verteilt werden.</w:t>
      </w:r>
    </w:p>
    <w:p w14:paraId="084C3CC7" w14:textId="77777777" w:rsidR="00477B8F" w:rsidRPr="009118AB" w:rsidRDefault="00477B8F" w:rsidP="00477B8F">
      <w:pPr>
        <w:autoSpaceDE w:val="0"/>
        <w:autoSpaceDN w:val="0"/>
        <w:adjustRightInd w:val="0"/>
        <w:jc w:val="both"/>
      </w:pPr>
    </w:p>
    <w:p w14:paraId="6FC463D3" w14:textId="77777777" w:rsidR="00477B8F" w:rsidRPr="009118AB" w:rsidRDefault="00477B8F" w:rsidP="00477B8F">
      <w:pPr>
        <w:autoSpaceDE w:val="0"/>
        <w:autoSpaceDN w:val="0"/>
        <w:adjustRightInd w:val="0"/>
        <w:jc w:val="both"/>
      </w:pPr>
    </w:p>
    <w:p w14:paraId="211E1D30" w14:textId="286C8F7C" w:rsidR="006F52B8" w:rsidRPr="009118AB" w:rsidRDefault="00477B8F" w:rsidP="00895142">
      <w:pPr>
        <w:autoSpaceDE w:val="0"/>
        <w:autoSpaceDN w:val="0"/>
        <w:adjustRightInd w:val="0"/>
        <w:jc w:val="both"/>
      </w:pPr>
      <w:r w:rsidRPr="009118AB">
        <w:tab/>
      </w:r>
      <w:r w:rsidR="00D67EB8" w:rsidRPr="009118AB">
        <w:rPr>
          <w:b/>
          <w:bCs/>
        </w:rPr>
        <w:t>Art. </w:t>
      </w:r>
      <w:r w:rsidRPr="009118AB">
        <w:rPr>
          <w:b/>
          <w:bCs/>
        </w:rPr>
        <w:t>63</w:t>
      </w:r>
      <w:r w:rsidR="00D67EB8" w:rsidRPr="009118AB">
        <w:t> - </w:t>
      </w:r>
      <w:r w:rsidRPr="009118AB">
        <w:t>Mit Ausnahme der Investitionen in audiovisuelle Werke werden immaterielle Anlagen in festen Jahresraten abgeschrieben, deren Anzahl nicht unter drei liegen darf, wenn es sich um Investitionen in Forschung und Entwicklung handelt, und nicht unter fünf in anderen Fällen.</w:t>
      </w:r>
    </w:p>
    <w:p w14:paraId="3D0EC274" w14:textId="685ADE6F" w:rsidR="00BC3C7C" w:rsidRPr="009118AB" w:rsidRDefault="00BC3C7C" w:rsidP="00895142">
      <w:pPr>
        <w:autoSpaceDE w:val="0"/>
        <w:autoSpaceDN w:val="0"/>
        <w:adjustRightInd w:val="0"/>
        <w:jc w:val="both"/>
      </w:pPr>
    </w:p>
    <w:p w14:paraId="01144396" w14:textId="77777777" w:rsidR="00B447E8" w:rsidRPr="009118AB" w:rsidRDefault="00B447E8" w:rsidP="00895142">
      <w:pPr>
        <w:autoSpaceDE w:val="0"/>
        <w:autoSpaceDN w:val="0"/>
        <w:adjustRightInd w:val="0"/>
        <w:jc w:val="both"/>
      </w:pPr>
    </w:p>
    <w:p w14:paraId="1B527D5A" w14:textId="30A3B6D5" w:rsidR="006F52B8" w:rsidRPr="009118AB" w:rsidRDefault="00257681" w:rsidP="00895142">
      <w:pPr>
        <w:autoSpaceDE w:val="0"/>
        <w:autoSpaceDN w:val="0"/>
        <w:adjustRightInd w:val="0"/>
        <w:jc w:val="both"/>
      </w:pPr>
      <w:r w:rsidRPr="009118AB">
        <w:tab/>
      </w:r>
      <w:r w:rsidR="006F52B8" w:rsidRPr="009118AB">
        <w:t>[</w:t>
      </w:r>
      <w:r w:rsidR="00D67EB8" w:rsidRPr="009118AB">
        <w:rPr>
          <w:b/>
        </w:rPr>
        <w:t>Art. </w:t>
      </w:r>
      <w:r w:rsidR="006F52B8" w:rsidRPr="009118AB">
        <w:rPr>
          <w:b/>
        </w:rPr>
        <w:t>63/1</w:t>
      </w:r>
      <w:r w:rsidR="00D67EB8" w:rsidRPr="009118AB">
        <w:t> - </w:t>
      </w:r>
      <w:r w:rsidR="006F52B8" w:rsidRPr="009118AB">
        <w:t>Ladestationen für Elektrofahrzeuge dürfen in zwei festen Jahresraten abgeschrieben werden, was die in den Jahren 2010 bis 2012 getätigten Investitionen betrifft.]</w:t>
      </w:r>
    </w:p>
    <w:p w14:paraId="469FA10A" w14:textId="77777777" w:rsidR="006F52B8" w:rsidRPr="009118AB" w:rsidRDefault="006F52B8" w:rsidP="00895142">
      <w:pPr>
        <w:autoSpaceDE w:val="0"/>
        <w:autoSpaceDN w:val="0"/>
        <w:adjustRightInd w:val="0"/>
        <w:jc w:val="both"/>
      </w:pPr>
    </w:p>
    <w:p w14:paraId="74F1D113" w14:textId="09E81889" w:rsidR="006F52B8" w:rsidRPr="009118AB" w:rsidRDefault="006F52B8" w:rsidP="00895142">
      <w:pPr>
        <w:autoSpaceDE w:val="0"/>
        <w:autoSpaceDN w:val="0"/>
        <w:adjustRightInd w:val="0"/>
        <w:jc w:val="both"/>
        <w:rPr>
          <w:spacing w:val="2"/>
        </w:rPr>
      </w:pPr>
      <w:r w:rsidRPr="009118AB">
        <w:rPr>
          <w:i/>
          <w:spacing w:val="2"/>
        </w:rPr>
        <w:t>[</w:t>
      </w:r>
      <w:r w:rsidR="00D67EB8" w:rsidRPr="009118AB">
        <w:rPr>
          <w:i/>
          <w:spacing w:val="2"/>
        </w:rPr>
        <w:t>Art. </w:t>
      </w:r>
      <w:r w:rsidRPr="009118AB">
        <w:rPr>
          <w:i/>
          <w:spacing w:val="2"/>
        </w:rPr>
        <w:t xml:space="preserve">63/1 eingefügt durch </w:t>
      </w:r>
      <w:r w:rsidR="00D67EB8" w:rsidRPr="009118AB">
        <w:rPr>
          <w:i/>
          <w:spacing w:val="2"/>
        </w:rPr>
        <w:t>Art. </w:t>
      </w:r>
      <w:r w:rsidRPr="009118AB">
        <w:rPr>
          <w:i/>
          <w:spacing w:val="2"/>
        </w:rPr>
        <w:t>116 des G. vom 23. Dezember 2009 (B.S. vom 30. Dezember 2009)</w:t>
      </w:r>
      <w:r w:rsidR="00D67EB8" w:rsidRPr="009118AB">
        <w:rPr>
          <w:i/>
          <w:spacing w:val="2"/>
        </w:rPr>
        <w:t> - </w:t>
      </w:r>
      <w:r w:rsidRPr="009118AB">
        <w:rPr>
          <w:i/>
          <w:spacing w:val="2"/>
        </w:rPr>
        <w:t xml:space="preserve">anwendbar </w:t>
      </w:r>
      <w:r w:rsidR="00257681" w:rsidRPr="009118AB">
        <w:rPr>
          <w:i/>
          <w:spacing w:val="2"/>
        </w:rPr>
        <w:t>auf die in den Jahren 2010 bis 2012 getätigten Investi</w:t>
      </w:r>
      <w:r w:rsidR="00257681" w:rsidRPr="009118AB">
        <w:rPr>
          <w:i/>
          <w:spacing w:val="2"/>
        </w:rPr>
        <w:softHyphen/>
        <w:t>tionen</w:t>
      </w:r>
      <w:r w:rsidR="00FD68E8" w:rsidRPr="009118AB">
        <w:rPr>
          <w:i/>
          <w:spacing w:val="2"/>
        </w:rPr>
        <w:t> -]</w:t>
      </w:r>
    </w:p>
    <w:p w14:paraId="7BEEBAF0" w14:textId="77777777" w:rsidR="006F52B8" w:rsidRPr="009118AB" w:rsidRDefault="006F52B8" w:rsidP="00895142">
      <w:pPr>
        <w:autoSpaceDE w:val="0"/>
        <w:autoSpaceDN w:val="0"/>
        <w:adjustRightInd w:val="0"/>
        <w:jc w:val="both"/>
      </w:pPr>
    </w:p>
    <w:p w14:paraId="10867EE7" w14:textId="77777777" w:rsidR="00895142" w:rsidRPr="009118AB" w:rsidRDefault="00895142" w:rsidP="00895142">
      <w:pPr>
        <w:autoSpaceDE w:val="0"/>
        <w:autoSpaceDN w:val="0"/>
        <w:adjustRightInd w:val="0"/>
        <w:jc w:val="both"/>
      </w:pPr>
    </w:p>
    <w:p w14:paraId="12BF252F" w14:textId="73B8260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64</w:t>
      </w:r>
      <w:r w:rsidR="00D67EB8" w:rsidRPr="009118AB">
        <w:t> - </w:t>
      </w:r>
      <w:r w:rsidRPr="009118AB">
        <w:t>[Der König kann durch einen im Ministerrat beratenen Erlass unter Bedingungen, in Grenzen und gemäß Modalitäten, die Er festlegt, ein System der degressiven Abschreibung vorsehen, für das optiert werden kann.]</w:t>
      </w:r>
    </w:p>
    <w:p w14:paraId="4A023791" w14:textId="77777777" w:rsidR="00477B8F" w:rsidRPr="009118AB" w:rsidRDefault="00477B8F" w:rsidP="00477B8F">
      <w:pPr>
        <w:autoSpaceDE w:val="0"/>
        <w:autoSpaceDN w:val="0"/>
        <w:adjustRightInd w:val="0"/>
        <w:jc w:val="both"/>
      </w:pPr>
    </w:p>
    <w:p w14:paraId="521A980E" w14:textId="77777777" w:rsidR="00477B8F" w:rsidRPr="009118AB" w:rsidRDefault="00477B8F" w:rsidP="00477B8F">
      <w:pPr>
        <w:autoSpaceDE w:val="0"/>
        <w:autoSpaceDN w:val="0"/>
        <w:adjustRightInd w:val="0"/>
        <w:jc w:val="both"/>
        <w:rPr>
          <w:spacing w:val="-4"/>
        </w:rPr>
      </w:pPr>
      <w:r w:rsidRPr="009118AB">
        <w:rPr>
          <w:spacing w:val="-4"/>
        </w:rPr>
        <w:tab/>
        <w:t>[Der König bestimmt die Anlagen, auf die eine degressive Abschreibung anwendbar ist.]</w:t>
      </w:r>
    </w:p>
    <w:p w14:paraId="61483DE1" w14:textId="77777777" w:rsidR="00AF2D3B" w:rsidRPr="009118AB" w:rsidRDefault="00AF2D3B" w:rsidP="00477B8F">
      <w:pPr>
        <w:autoSpaceDE w:val="0"/>
        <w:autoSpaceDN w:val="0"/>
        <w:adjustRightInd w:val="0"/>
      </w:pPr>
    </w:p>
    <w:p w14:paraId="2B7AD70D" w14:textId="77777777" w:rsidR="00477B8F" w:rsidRPr="009118AB" w:rsidRDefault="00477B8F" w:rsidP="00AF2D3B">
      <w:pPr>
        <w:autoSpaceDE w:val="0"/>
        <w:autoSpaceDN w:val="0"/>
        <w:adjustRightInd w:val="0"/>
        <w:jc w:val="both"/>
      </w:pPr>
      <w:r w:rsidRPr="009118AB">
        <w:tab/>
        <w:t xml:space="preserve">[Der Betrag der Jahresrate der degressiven Abschreibung darf keinesfalls 40 Prozent des Anschaffungs- oder Investitionswertes übersteigen.] </w:t>
      </w:r>
    </w:p>
    <w:p w14:paraId="2298E04C" w14:textId="77777777" w:rsidR="00477B8F" w:rsidRPr="009118AB" w:rsidRDefault="00477B8F" w:rsidP="00477B8F">
      <w:pPr>
        <w:autoSpaceDE w:val="0"/>
        <w:autoSpaceDN w:val="0"/>
        <w:adjustRightInd w:val="0"/>
        <w:jc w:val="both"/>
      </w:pPr>
    </w:p>
    <w:p w14:paraId="5DE17D87" w14:textId="6D64CEFD"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64 </w:t>
      </w:r>
      <w:r w:rsidR="00D67EB8" w:rsidRPr="009118AB">
        <w:rPr>
          <w:i/>
          <w:iCs/>
        </w:rPr>
        <w:t>Abs. </w:t>
      </w:r>
      <w:r w:rsidRPr="009118AB">
        <w:rPr>
          <w:i/>
          <w:iCs/>
        </w:rPr>
        <w:t xml:space="preserve">1 ersetzt durch </w:t>
      </w:r>
      <w:r w:rsidR="00D67EB8" w:rsidRPr="009118AB">
        <w:rPr>
          <w:i/>
          <w:iCs/>
        </w:rPr>
        <w:t>Art. </w:t>
      </w:r>
      <w:r w:rsidRPr="009118AB">
        <w:rPr>
          <w:i/>
          <w:iCs/>
        </w:rPr>
        <w:t xml:space="preserve">12 </w:t>
      </w:r>
      <w:r w:rsidR="00D67EB8" w:rsidRPr="009118AB">
        <w:rPr>
          <w:i/>
          <w:iCs/>
        </w:rPr>
        <w:t>Nr. </w:t>
      </w:r>
      <w:r w:rsidRPr="009118AB">
        <w:rPr>
          <w:i/>
          <w:iCs/>
        </w:rPr>
        <w:t>1 des G. vom 6. Juli </w:t>
      </w:r>
      <w:r w:rsidR="005E3D7F" w:rsidRPr="009118AB">
        <w:rPr>
          <w:i/>
          <w:iCs/>
        </w:rPr>
        <w:t>1994 (B.S. vom 16. Juli 1994)</w:t>
      </w:r>
      <w:r w:rsidR="00D67EB8" w:rsidRPr="009118AB">
        <w:rPr>
          <w:i/>
          <w:iCs/>
        </w:rPr>
        <w:t> - </w:t>
      </w:r>
      <w:r w:rsidRPr="009118AB">
        <w:rPr>
          <w:i/>
          <w:iCs/>
        </w:rPr>
        <w:t>anwendbar ab dem Steuerjahr 1992</w:t>
      </w:r>
      <w:r w:rsidR="003366D9" w:rsidRPr="009118AB">
        <w:rPr>
          <w:i/>
          <w:iCs/>
        </w:rPr>
        <w:t> -;</w:t>
      </w:r>
      <w:r w:rsidRPr="009118AB">
        <w:rPr>
          <w:i/>
          <w:iCs/>
        </w:rPr>
        <w:t xml:space="preserve"> neuer Absatz 2 eingefügt durch </w:t>
      </w:r>
      <w:r w:rsidR="00D67EB8" w:rsidRPr="009118AB">
        <w:rPr>
          <w:i/>
          <w:iCs/>
        </w:rPr>
        <w:t>Art. </w:t>
      </w:r>
      <w:r w:rsidRPr="009118AB">
        <w:rPr>
          <w:i/>
          <w:iCs/>
        </w:rPr>
        <w:t xml:space="preserve">12 </w:t>
      </w:r>
      <w:r w:rsidR="00D67EB8" w:rsidRPr="009118AB">
        <w:rPr>
          <w:i/>
          <w:iCs/>
        </w:rPr>
        <w:t>Nr. </w:t>
      </w:r>
      <w:r w:rsidRPr="009118AB">
        <w:rPr>
          <w:i/>
          <w:iCs/>
        </w:rPr>
        <w:t>2 des G.</w:t>
      </w:r>
      <w:r w:rsidR="00AF2D3B" w:rsidRPr="009118AB">
        <w:rPr>
          <w:i/>
          <w:iCs/>
        </w:rPr>
        <w:t> </w:t>
      </w:r>
      <w:r w:rsidRPr="009118AB">
        <w:rPr>
          <w:i/>
          <w:iCs/>
        </w:rPr>
        <w:t>vom 6. Juli 1994 (B.S. vom 16. Juli 1994)</w:t>
      </w:r>
      <w:r w:rsidR="00D67EB8" w:rsidRPr="009118AB">
        <w:rPr>
          <w:i/>
          <w:iCs/>
        </w:rPr>
        <w:t> - </w:t>
      </w:r>
      <w:r w:rsidRPr="009118AB">
        <w:rPr>
          <w:i/>
          <w:iCs/>
        </w:rPr>
        <w:t>anwendbar ab dem Steuerjahr 1992</w:t>
      </w:r>
      <w:r w:rsidR="003366D9" w:rsidRPr="009118AB">
        <w:rPr>
          <w:i/>
          <w:iCs/>
        </w:rPr>
        <w:t> -;</w:t>
      </w:r>
      <w:r w:rsidRPr="009118AB">
        <w:rPr>
          <w:i/>
          <w:iCs/>
        </w:rPr>
        <w:t xml:space="preserve"> </w:t>
      </w:r>
      <w:r w:rsidR="00D67EB8" w:rsidRPr="009118AB">
        <w:rPr>
          <w:i/>
          <w:iCs/>
        </w:rPr>
        <w:t>Abs. </w:t>
      </w:r>
      <w:r w:rsidRPr="009118AB">
        <w:rPr>
          <w:i/>
          <w:iCs/>
        </w:rPr>
        <w:t xml:space="preserve">3 (früherer Absatz 2) eingefügt durch </w:t>
      </w:r>
      <w:r w:rsidR="00D67EB8" w:rsidRPr="009118AB">
        <w:rPr>
          <w:i/>
          <w:iCs/>
        </w:rPr>
        <w:t>Art. </w:t>
      </w:r>
      <w:r w:rsidRPr="009118AB">
        <w:rPr>
          <w:i/>
          <w:iCs/>
        </w:rPr>
        <w:t>2 des G. vom 28. Dezember 1992 (B.S. vom 31. Dezember 1992)</w:t>
      </w:r>
      <w:r w:rsidR="00D67EB8" w:rsidRPr="009118AB">
        <w:rPr>
          <w:i/>
          <w:iCs/>
        </w:rPr>
        <w:t> - </w:t>
      </w:r>
      <w:r w:rsidRPr="009118AB">
        <w:rPr>
          <w:i/>
          <w:iCs/>
        </w:rPr>
        <w:t>anwendbar auf ab dem 1. Januar 1992 gebildete Anlagen</w:t>
      </w:r>
      <w:r w:rsidR="00FD68E8" w:rsidRPr="009118AB">
        <w:rPr>
          <w:i/>
          <w:iCs/>
        </w:rPr>
        <w:t> -]</w:t>
      </w:r>
    </w:p>
    <w:p w14:paraId="2E998D8B" w14:textId="77777777" w:rsidR="00477B8F" w:rsidRPr="009118AB" w:rsidRDefault="00477B8F" w:rsidP="00477B8F">
      <w:pPr>
        <w:autoSpaceDE w:val="0"/>
        <w:autoSpaceDN w:val="0"/>
        <w:adjustRightInd w:val="0"/>
        <w:jc w:val="both"/>
      </w:pPr>
    </w:p>
    <w:p w14:paraId="53D7DDBE" w14:textId="77777777" w:rsidR="00477B8F" w:rsidRPr="009118AB" w:rsidRDefault="00477B8F" w:rsidP="00477B8F">
      <w:pPr>
        <w:autoSpaceDE w:val="0"/>
        <w:autoSpaceDN w:val="0"/>
        <w:adjustRightInd w:val="0"/>
        <w:jc w:val="both"/>
      </w:pPr>
    </w:p>
    <w:p w14:paraId="44672A2F" w14:textId="7F936671" w:rsidR="00687992" w:rsidRPr="009118AB" w:rsidRDefault="00477B8F" w:rsidP="00687992">
      <w:pPr>
        <w:autoSpaceDE w:val="0"/>
        <w:autoSpaceDN w:val="0"/>
        <w:adjustRightInd w:val="0"/>
        <w:jc w:val="both"/>
      </w:pPr>
      <w:r w:rsidRPr="009118AB">
        <w:tab/>
        <w:t>[</w:t>
      </w:r>
      <w:r w:rsidR="00D67EB8" w:rsidRPr="009118AB">
        <w:rPr>
          <w:b/>
          <w:bCs/>
        </w:rPr>
        <w:t>Art. </w:t>
      </w:r>
      <w:r w:rsidRPr="009118AB">
        <w:rPr>
          <w:b/>
          <w:bCs/>
        </w:rPr>
        <w:t>64</w:t>
      </w:r>
      <w:r w:rsidRPr="009118AB">
        <w:rPr>
          <w:b/>
          <w:bCs/>
          <w:i/>
          <w:iCs/>
        </w:rPr>
        <w:t>bis</w:t>
      </w:r>
      <w:r w:rsidR="00D67EB8" w:rsidRPr="009118AB">
        <w:t> - </w:t>
      </w:r>
      <w:r w:rsidRPr="009118AB">
        <w:t>In Entwicklungsgebieten der Kategorie 1, die in Artikel 11 des Gesetzes vom 30. Dezember 1970 über den Wirtschaftsaufschwung erwähnt sind, kann die Erlaubnis erteilt werden, in Abweichung von den Artikeln 61 Absatz 1 und 64 während höchstens drei</w:t>
      </w:r>
      <w:r w:rsidR="00DF055D" w:rsidRPr="009118AB">
        <w:t>er</w:t>
      </w:r>
      <w:r w:rsidRPr="009118AB">
        <w:t xml:space="preserve"> aufeinander folgender Besteuerungszeiträume, die im Unterstützungsvertrag vereinbart sind, eine jährliche Abschreibung vorzunehmen, die zweimal der Jahresrate der normalen linearen Abschreibung entspricht, für Investitionen in Sachanlagen, die aus Bauten, Anlagen, Maschinen und Betriebsausstattung bestehen und die gemäß den im Rahmen dieses Gesetzes geförderten Verrichtungen erworben oder gebildet wurden.</w:t>
      </w:r>
    </w:p>
    <w:p w14:paraId="51E0935A" w14:textId="77777777" w:rsidR="00C55AE0" w:rsidRPr="009118AB" w:rsidRDefault="00C55AE0" w:rsidP="00687992">
      <w:pPr>
        <w:autoSpaceDE w:val="0"/>
        <w:autoSpaceDN w:val="0"/>
        <w:adjustRightInd w:val="0"/>
        <w:jc w:val="both"/>
      </w:pPr>
    </w:p>
    <w:p w14:paraId="61B40F8A" w14:textId="77777777" w:rsidR="002A7A72" w:rsidRDefault="002A7A72">
      <w:r>
        <w:br w:type="page"/>
      </w:r>
    </w:p>
    <w:p w14:paraId="33D9D654" w14:textId="1651F86C" w:rsidR="00477B8F" w:rsidRPr="009118AB" w:rsidRDefault="00477B8F" w:rsidP="00477B8F">
      <w:pPr>
        <w:autoSpaceDE w:val="0"/>
        <w:autoSpaceDN w:val="0"/>
        <w:adjustRightInd w:val="0"/>
        <w:jc w:val="both"/>
      </w:pPr>
      <w:r w:rsidRPr="009118AB">
        <w:lastRenderedPageBreak/>
        <w:tab/>
        <w:t>Dieselbe Erlaubnis kann unter folgenden Bedingungen auch für Investitionen in Sachanlagen selber Art, die gemäß einer im Rahmen des Gesetzes vom 4. August 1978 zur wirtschaftlichen Neuorientierung geförderten Verrichtung erworben oder gebildet wurden, erteilt werden:</w:t>
      </w:r>
    </w:p>
    <w:p w14:paraId="470016AD" w14:textId="77777777" w:rsidR="00477B8F" w:rsidRPr="009118AB" w:rsidRDefault="00477B8F" w:rsidP="00477B8F">
      <w:pPr>
        <w:autoSpaceDE w:val="0"/>
        <w:autoSpaceDN w:val="0"/>
        <w:adjustRightInd w:val="0"/>
        <w:jc w:val="both"/>
      </w:pPr>
    </w:p>
    <w:p w14:paraId="6972D398" w14:textId="77777777" w:rsidR="00477B8F" w:rsidRPr="009118AB" w:rsidRDefault="00477B8F" w:rsidP="00477B8F">
      <w:pPr>
        <w:autoSpaceDE w:val="0"/>
        <w:autoSpaceDN w:val="0"/>
        <w:adjustRightInd w:val="0"/>
        <w:jc w:val="both"/>
      </w:pPr>
      <w:r w:rsidRPr="009118AB">
        <w:tab/>
        <w:t xml:space="preserve">1. Die Erlaubnis kann nur Unternehmen, </w:t>
      </w:r>
      <w:r w:rsidR="00183157" w:rsidRPr="009118AB">
        <w:t>[die den Bestimmungen von Buch III Titel 3 Kapitel 2 des Wirtschaftsgesetzbuches unterliegen]</w:t>
      </w:r>
      <w:r w:rsidRPr="009118AB">
        <w:t>, erteilt werden, sofern sie alle in diesem Gesetz aufgeführten Bestimmungen erfüllen.</w:t>
      </w:r>
    </w:p>
    <w:p w14:paraId="752C6BDF" w14:textId="77777777" w:rsidR="00477B8F" w:rsidRPr="009118AB" w:rsidRDefault="00477B8F" w:rsidP="00477B8F">
      <w:pPr>
        <w:autoSpaceDE w:val="0"/>
        <w:autoSpaceDN w:val="0"/>
        <w:adjustRightInd w:val="0"/>
        <w:jc w:val="both"/>
      </w:pPr>
    </w:p>
    <w:p w14:paraId="44333B4E" w14:textId="77777777" w:rsidR="00477B8F" w:rsidRPr="009118AB" w:rsidRDefault="00477B8F" w:rsidP="00477B8F">
      <w:pPr>
        <w:autoSpaceDE w:val="0"/>
        <w:autoSpaceDN w:val="0"/>
        <w:adjustRightInd w:val="0"/>
        <w:jc w:val="both"/>
      </w:pPr>
      <w:r w:rsidRPr="009118AB">
        <w:tab/>
        <w:t>2. Die Erlaubnis kann nur für die betreffenden Anlagen erteilt werden, für die eine Investitionshilfe, ein Zinszuschuss oder eine Kapitalprämie für eine Dauer von drei Jahren oder mehr bewilligt wurde und die noch nicht in der einen oder anderen Form Gegenstand einer beschleunigten Abschreibung sind.</w:t>
      </w:r>
    </w:p>
    <w:p w14:paraId="7C76EB63" w14:textId="77777777" w:rsidR="00477B8F" w:rsidRPr="009118AB" w:rsidRDefault="00477B8F" w:rsidP="00477B8F">
      <w:pPr>
        <w:autoSpaceDE w:val="0"/>
        <w:autoSpaceDN w:val="0"/>
        <w:adjustRightInd w:val="0"/>
        <w:jc w:val="both"/>
      </w:pPr>
    </w:p>
    <w:p w14:paraId="79311CD0" w14:textId="77777777" w:rsidR="00477B8F" w:rsidRPr="009118AB" w:rsidRDefault="00477B8F" w:rsidP="00477B8F">
      <w:pPr>
        <w:autoSpaceDE w:val="0"/>
        <w:autoSpaceDN w:val="0"/>
        <w:adjustRightInd w:val="0"/>
        <w:jc w:val="both"/>
      </w:pPr>
      <w:r w:rsidRPr="009118AB">
        <w:tab/>
        <w:t>[Diese Erlaubnis wird von der zuständigen Regionalregierung oder von dem durch diese Regionalregierung benannten Regierungsmitglied erteilt.]</w:t>
      </w:r>
    </w:p>
    <w:p w14:paraId="6C2B4E79" w14:textId="77777777" w:rsidR="00477B8F" w:rsidRPr="009118AB" w:rsidRDefault="00477B8F" w:rsidP="00477B8F">
      <w:pPr>
        <w:autoSpaceDE w:val="0"/>
        <w:autoSpaceDN w:val="0"/>
        <w:adjustRightInd w:val="0"/>
        <w:jc w:val="both"/>
      </w:pPr>
    </w:p>
    <w:p w14:paraId="546E5BFC" w14:textId="77777777" w:rsidR="00477B8F" w:rsidRPr="009118AB" w:rsidRDefault="00477B8F" w:rsidP="00477B8F">
      <w:pPr>
        <w:autoSpaceDE w:val="0"/>
        <w:autoSpaceDN w:val="0"/>
        <w:adjustRightInd w:val="0"/>
        <w:jc w:val="both"/>
      </w:pPr>
      <w:r w:rsidRPr="009118AB">
        <w:tab/>
        <w:t xml:space="preserve">Sie ist Gegenstand eines Beschlusses, durch den die Besteuerungszeiträume, für die die normale lineare Abschreibung verdoppelt werden kann, und die betreffenden Anlagen bestimmt werden. Der Beschluss wird der </w:t>
      </w:r>
      <w:r w:rsidR="0064683B" w:rsidRPr="009118AB">
        <w:t xml:space="preserve">[mit der Festlegung der Einkommensteuern beauftragten Verwaltung] </w:t>
      </w:r>
      <w:r w:rsidRPr="009118AB">
        <w:t>notifiziert, die seine Ausführung gewährleistet.]</w:t>
      </w:r>
    </w:p>
    <w:p w14:paraId="28CBBF45" w14:textId="77777777" w:rsidR="00477B8F" w:rsidRPr="009118AB" w:rsidRDefault="00477B8F" w:rsidP="00477B8F">
      <w:pPr>
        <w:autoSpaceDE w:val="0"/>
        <w:autoSpaceDN w:val="0"/>
        <w:adjustRightInd w:val="0"/>
        <w:jc w:val="both"/>
      </w:pPr>
    </w:p>
    <w:p w14:paraId="2B75830C" w14:textId="0AA80B65"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64bis eingefügt durch </w:t>
      </w:r>
      <w:r w:rsidR="00D67EB8" w:rsidRPr="009118AB">
        <w:rPr>
          <w:i/>
          <w:iCs/>
        </w:rPr>
        <w:t>Art. </w:t>
      </w:r>
      <w:r w:rsidRPr="009118AB">
        <w:rPr>
          <w:i/>
          <w:iCs/>
        </w:rPr>
        <w:t xml:space="preserve">3 des G. vom 22. Juli 1993 (B.S. vom 26. Juli 1993); </w:t>
      </w:r>
      <w:r w:rsidR="00D67EB8" w:rsidRPr="009118AB">
        <w:rPr>
          <w:i/>
          <w:iCs/>
        </w:rPr>
        <w:t>Abs. </w:t>
      </w:r>
      <w:r w:rsidR="00183157" w:rsidRPr="009118AB">
        <w:rPr>
          <w:i/>
          <w:iCs/>
        </w:rPr>
        <w:t xml:space="preserve">2 </w:t>
      </w:r>
      <w:r w:rsidR="00D67EB8" w:rsidRPr="009118AB">
        <w:rPr>
          <w:i/>
          <w:iCs/>
        </w:rPr>
        <w:t>Nr. </w:t>
      </w:r>
      <w:r w:rsidR="00183157" w:rsidRPr="009118AB">
        <w:rPr>
          <w:i/>
          <w:iCs/>
        </w:rPr>
        <w:t xml:space="preserve">1 abgeändert durch </w:t>
      </w:r>
      <w:r w:rsidR="00D67EB8" w:rsidRPr="009118AB">
        <w:rPr>
          <w:i/>
          <w:iCs/>
        </w:rPr>
        <w:t>Art. </w:t>
      </w:r>
      <w:r w:rsidR="001D0593" w:rsidRPr="009118AB">
        <w:rPr>
          <w:i/>
          <w:iCs/>
        </w:rPr>
        <w:t xml:space="preserve">38 des G. vom 18. Dezember 2015 (II) (B.S. vom 28. Dezember 2015); </w:t>
      </w:r>
      <w:r w:rsidR="00D67EB8" w:rsidRPr="009118AB">
        <w:rPr>
          <w:i/>
          <w:iCs/>
        </w:rPr>
        <w:t>Abs. </w:t>
      </w:r>
      <w:r w:rsidR="00F91653" w:rsidRPr="009118AB">
        <w:rPr>
          <w:i/>
          <w:iCs/>
        </w:rPr>
        <w:t xml:space="preserve">3 ersetzt durch </w:t>
      </w:r>
      <w:r w:rsidR="00D67EB8" w:rsidRPr="009118AB">
        <w:rPr>
          <w:i/>
          <w:iCs/>
        </w:rPr>
        <w:t>Art. </w:t>
      </w:r>
      <w:r w:rsidR="00F91653" w:rsidRPr="009118AB">
        <w:rPr>
          <w:i/>
          <w:iCs/>
        </w:rPr>
        <w:t>132 des G. </w:t>
      </w:r>
      <w:r w:rsidR="00AF2D3B" w:rsidRPr="009118AB">
        <w:rPr>
          <w:i/>
          <w:iCs/>
        </w:rPr>
        <w:t xml:space="preserve">(III) </w:t>
      </w:r>
      <w:r w:rsidRPr="009118AB">
        <w:rPr>
          <w:i/>
          <w:iCs/>
        </w:rPr>
        <w:t>vom 1. März 2007 (B.S. vom 14. März 2007)</w:t>
      </w:r>
      <w:r w:rsidR="0064683B" w:rsidRPr="009118AB">
        <w:rPr>
          <w:i/>
          <w:iCs/>
        </w:rPr>
        <w:t xml:space="preserve">; </w:t>
      </w:r>
      <w:r w:rsidR="00D67EB8" w:rsidRPr="009118AB">
        <w:rPr>
          <w:i/>
          <w:iCs/>
        </w:rPr>
        <w:t>Abs. </w:t>
      </w:r>
      <w:r w:rsidR="0064683B" w:rsidRPr="009118AB">
        <w:rPr>
          <w:i/>
          <w:iCs/>
        </w:rPr>
        <w:t xml:space="preserve">4 abgeändert durch </w:t>
      </w:r>
      <w:r w:rsidR="00D67EB8" w:rsidRPr="009118AB">
        <w:rPr>
          <w:i/>
          <w:iCs/>
        </w:rPr>
        <w:t>Art. </w:t>
      </w:r>
      <w:r w:rsidR="00F91653" w:rsidRPr="009118AB">
        <w:rPr>
          <w:i/>
          <w:iCs/>
        </w:rPr>
        <w:t>2 des G. vom 25. April 2014 </w:t>
      </w:r>
      <w:r w:rsidR="0064683B" w:rsidRPr="009118AB">
        <w:rPr>
          <w:i/>
          <w:iCs/>
        </w:rPr>
        <w:t>(I) (B.S. vom 16. Mai 2014)</w:t>
      </w:r>
      <w:r w:rsidR="00D67EB8" w:rsidRPr="009118AB">
        <w:rPr>
          <w:i/>
          <w:iCs/>
        </w:rPr>
        <w:t> - </w:t>
      </w:r>
      <w:r w:rsidR="00B60E13" w:rsidRPr="009118AB">
        <w:rPr>
          <w:i/>
          <w:iCs/>
        </w:rPr>
        <w:t>in Kraft am 16. Mai 2014</w:t>
      </w:r>
      <w:r w:rsidR="00FD68E8" w:rsidRPr="009118AB">
        <w:rPr>
          <w:i/>
          <w:iCs/>
        </w:rPr>
        <w:t> -]</w:t>
      </w:r>
    </w:p>
    <w:p w14:paraId="56313A0D" w14:textId="77777777" w:rsidR="00AF2D3B" w:rsidRPr="009118AB" w:rsidRDefault="00AF2D3B" w:rsidP="00477B8F">
      <w:pPr>
        <w:autoSpaceDE w:val="0"/>
        <w:autoSpaceDN w:val="0"/>
        <w:adjustRightInd w:val="0"/>
        <w:jc w:val="both"/>
      </w:pPr>
    </w:p>
    <w:p w14:paraId="398CE4A2" w14:textId="77777777" w:rsidR="002A4B4B" w:rsidRPr="009118AB" w:rsidRDefault="002A4B4B" w:rsidP="00A35084">
      <w:pPr>
        <w:autoSpaceDE w:val="0"/>
        <w:autoSpaceDN w:val="0"/>
        <w:adjustRightInd w:val="0"/>
        <w:jc w:val="both"/>
      </w:pPr>
    </w:p>
    <w:p w14:paraId="63867129" w14:textId="77777777" w:rsidR="00ED6329" w:rsidRPr="009118AB" w:rsidRDefault="00ED6329" w:rsidP="00ED6329">
      <w:pPr>
        <w:autoSpaceDE w:val="0"/>
        <w:autoSpaceDN w:val="0"/>
        <w:adjustRightInd w:val="0"/>
        <w:jc w:val="both"/>
      </w:pPr>
      <w:r w:rsidRPr="009118AB">
        <w:tab/>
        <w:t>[</w:t>
      </w:r>
      <w:r w:rsidRPr="009118AB">
        <w:rPr>
          <w:b/>
        </w:rPr>
        <w:t>Art. 64</w:t>
      </w:r>
      <w:r w:rsidRPr="009118AB">
        <w:rPr>
          <w:b/>
          <w:i/>
        </w:rPr>
        <w:t>ter</w:t>
      </w:r>
      <w:r w:rsidRPr="009118AB">
        <w:t> - In Höhe von 120 Prozent sind abzugsfähig:</w:t>
      </w:r>
    </w:p>
    <w:p w14:paraId="37B01CBE" w14:textId="77777777" w:rsidR="00ED6329" w:rsidRPr="009118AB" w:rsidRDefault="00ED6329" w:rsidP="00ED6329">
      <w:pPr>
        <w:autoSpaceDE w:val="0"/>
        <w:autoSpaceDN w:val="0"/>
        <w:adjustRightInd w:val="0"/>
        <w:jc w:val="both"/>
      </w:pPr>
    </w:p>
    <w:p w14:paraId="7A4B7F9C" w14:textId="77777777" w:rsidR="00ED6329" w:rsidRPr="009118AB" w:rsidRDefault="00ED6329" w:rsidP="00ED6329">
      <w:pPr>
        <w:autoSpaceDE w:val="0"/>
        <w:autoSpaceDN w:val="0"/>
        <w:adjustRightInd w:val="0"/>
        <w:ind w:firstLine="709"/>
        <w:jc w:val="both"/>
      </w:pPr>
      <w:r w:rsidRPr="009118AB">
        <w:t xml:space="preserve">1. </w:t>
      </w:r>
      <w:r>
        <w:t>[Kosten mit Ausnahme derjenigen, die aus Abschreibungen bestehen, die verbunden sind mit Rechnungsstellungsprogrammen für die Ausstellung, die Übermittlung und den Empfang elektronischer Rechnungen in einem strukturierten Format, das ihre automatische und elektronische Verarbeitung im Rahmen der durch das Gesetz vom 6. Februar 2024 zur Abänderung des Mehrwertsteuergesetzbuches und des Einkommensteuergesetzbuches 1992 in Bezug auf die Einführung der Verpflichtung zur elektronischen Rechnungsstellung auferlegten Verpflichtungen ermöglicht,]</w:t>
      </w:r>
    </w:p>
    <w:p w14:paraId="3D6B74AA" w14:textId="77777777" w:rsidR="00ED6329" w:rsidRPr="009118AB" w:rsidRDefault="00ED6329" w:rsidP="00ED6329">
      <w:pPr>
        <w:autoSpaceDE w:val="0"/>
        <w:autoSpaceDN w:val="0"/>
        <w:adjustRightInd w:val="0"/>
        <w:jc w:val="both"/>
      </w:pPr>
    </w:p>
    <w:p w14:paraId="5E67744C" w14:textId="77777777" w:rsidR="00ED6329" w:rsidRPr="009118AB" w:rsidRDefault="00ED6329" w:rsidP="00ED6329">
      <w:pPr>
        <w:autoSpaceDE w:val="0"/>
        <w:autoSpaceDN w:val="0"/>
        <w:adjustRightInd w:val="0"/>
        <w:ind w:firstLine="709"/>
        <w:jc w:val="both"/>
      </w:pPr>
      <w:r w:rsidRPr="009118AB">
        <w:t>2. folgende Kosten, die im Bereich Absicherung gemacht oder getragen werden:</w:t>
      </w:r>
    </w:p>
    <w:p w14:paraId="41E57FF2" w14:textId="77777777" w:rsidR="00ED6329" w:rsidRPr="009118AB" w:rsidRDefault="00ED6329" w:rsidP="00ED6329">
      <w:pPr>
        <w:autoSpaceDE w:val="0"/>
        <w:autoSpaceDN w:val="0"/>
        <w:adjustRightInd w:val="0"/>
        <w:jc w:val="both"/>
      </w:pPr>
    </w:p>
    <w:p w14:paraId="1C6A35D1" w14:textId="77777777" w:rsidR="00ED6329" w:rsidRPr="009118AB" w:rsidRDefault="00ED6329" w:rsidP="00ED6329">
      <w:pPr>
        <w:autoSpaceDE w:val="0"/>
        <w:autoSpaceDN w:val="0"/>
        <w:adjustRightInd w:val="0"/>
        <w:ind w:firstLine="709"/>
        <w:jc w:val="both"/>
      </w:pPr>
      <w:r w:rsidRPr="009118AB">
        <w:rPr>
          <w:i/>
        </w:rPr>
        <w:t>a)</w:t>
      </w:r>
      <w:r w:rsidRPr="009118AB">
        <w:t xml:space="preserve"> Abonnementkosten für den Anschluss an eine genehmigte Alarmzentrale für die Verwaltung von Alarmmeldungen aus Systemen, die in unbeweglichen Gütern installiert sind, um gegen Personen oder Güter gerichtete Straftaten zu verhüten oder zu bekämpfen,</w:t>
      </w:r>
    </w:p>
    <w:p w14:paraId="319F50AB" w14:textId="77777777" w:rsidR="00ED6329" w:rsidRPr="009118AB" w:rsidRDefault="00ED6329" w:rsidP="00ED6329">
      <w:pPr>
        <w:autoSpaceDE w:val="0"/>
        <w:autoSpaceDN w:val="0"/>
        <w:adjustRightInd w:val="0"/>
        <w:jc w:val="both"/>
      </w:pPr>
    </w:p>
    <w:p w14:paraId="47E67D5F" w14:textId="77777777" w:rsidR="00ED6329" w:rsidRPr="009118AB" w:rsidRDefault="00ED6329" w:rsidP="00ED6329">
      <w:pPr>
        <w:autoSpaceDE w:val="0"/>
        <w:autoSpaceDN w:val="0"/>
        <w:adjustRightInd w:val="0"/>
        <w:ind w:firstLine="709"/>
        <w:jc w:val="both"/>
      </w:pPr>
      <w:r w:rsidRPr="009118AB">
        <w:rPr>
          <w:i/>
        </w:rPr>
        <w:t>b)</w:t>
      </w:r>
      <w:r w:rsidRPr="009118AB">
        <w:t xml:space="preserve"> Kosten im Falle des Rückgriffs auf ein genehmigtes Wachunternehmen für die Durchführung geschützter Transporte wie in Artikel 8 § 1 Nr. 2 des Königlichen Erlasses vom 7. April 2003 zur Regelung bestimmter Überwachungs- und Schutzmethoden für Werttrans</w:t>
      </w:r>
      <w:r w:rsidRPr="009118AB">
        <w:softHyphen/>
        <w:t>porte und bezüglich der technischen Spezifitäten der Werttransportfahrzeuge erwähnt,</w:t>
      </w:r>
    </w:p>
    <w:p w14:paraId="706489C3" w14:textId="77777777" w:rsidR="00ED6329" w:rsidRPr="009118AB" w:rsidRDefault="00ED6329" w:rsidP="00ED6329">
      <w:pPr>
        <w:autoSpaceDE w:val="0"/>
        <w:autoSpaceDN w:val="0"/>
        <w:adjustRightInd w:val="0"/>
        <w:jc w:val="both"/>
      </w:pPr>
    </w:p>
    <w:p w14:paraId="5C05FF64" w14:textId="77777777" w:rsidR="00ED6329" w:rsidRPr="009118AB" w:rsidRDefault="00ED6329" w:rsidP="00ED6329">
      <w:pPr>
        <w:autoSpaceDE w:val="0"/>
        <w:autoSpaceDN w:val="0"/>
        <w:adjustRightInd w:val="0"/>
        <w:ind w:firstLine="709"/>
        <w:jc w:val="both"/>
      </w:pPr>
      <w:r w:rsidRPr="009118AB">
        <w:rPr>
          <w:i/>
        </w:rPr>
        <w:lastRenderedPageBreak/>
        <w:t>c)</w:t>
      </w:r>
      <w:r w:rsidRPr="009118AB">
        <w:t xml:space="preserve"> Kosten im Falle des gemeinsamen Rückgriffs durch eine Gruppe von Unternehmen auf ein genehmigtes Wachunternehmen für die Ausführung von Bewachungsaufträgen in Bezug auf Bewachung und Schutz von beweglichen und unbeweglichen Gütern,</w:t>
      </w:r>
    </w:p>
    <w:p w14:paraId="6D237B6A" w14:textId="77777777" w:rsidR="00ED6329" w:rsidRPr="009118AB" w:rsidRDefault="00ED6329" w:rsidP="00ED6329">
      <w:pPr>
        <w:autoSpaceDE w:val="0"/>
        <w:autoSpaceDN w:val="0"/>
        <w:adjustRightInd w:val="0"/>
        <w:jc w:val="both"/>
      </w:pPr>
    </w:p>
    <w:p w14:paraId="0542746B" w14:textId="77777777" w:rsidR="00ED6329" w:rsidRPr="009118AB" w:rsidRDefault="00ED6329" w:rsidP="00ED6329">
      <w:pPr>
        <w:autoSpaceDE w:val="0"/>
        <w:autoSpaceDN w:val="0"/>
        <w:adjustRightInd w:val="0"/>
        <w:ind w:firstLine="709"/>
        <w:jc w:val="both"/>
      </w:pPr>
      <w:r w:rsidRPr="009118AB">
        <w:t>[3. Kosten, die spezifisch gemacht oder getragen werden, um die Nutzung [des in Artikel 38 § 1 Absatz 1 Nr. 14 Buchstabe </w:t>
      </w:r>
      <w:r w:rsidRPr="009118AB">
        <w:rPr>
          <w:i/>
        </w:rPr>
        <w:t>a)</w:t>
      </w:r>
      <w:r w:rsidRPr="009118AB">
        <w:t xml:space="preserve"> erwähnten Rads oder Speed Pedelecs] durch Personalmitglieder für die Fahrt zwischen ihrem Wohnsitz und ihrem Arbeitsplatz zu fördern, in dem Maße, wie diese Kosten gemacht oder getragen werden im Hinblick auf:</w:t>
      </w:r>
    </w:p>
    <w:p w14:paraId="6178D75B" w14:textId="77777777" w:rsidR="00ED6329" w:rsidRPr="009118AB" w:rsidRDefault="00ED6329" w:rsidP="00ED6329">
      <w:pPr>
        <w:autoSpaceDE w:val="0"/>
        <w:autoSpaceDN w:val="0"/>
        <w:adjustRightInd w:val="0"/>
        <w:jc w:val="both"/>
      </w:pPr>
    </w:p>
    <w:p w14:paraId="73EA9785" w14:textId="77777777" w:rsidR="00ED6329" w:rsidRPr="009118AB" w:rsidRDefault="00ED6329" w:rsidP="00ED6329">
      <w:pPr>
        <w:autoSpaceDE w:val="0"/>
        <w:autoSpaceDN w:val="0"/>
        <w:adjustRightInd w:val="0"/>
        <w:ind w:firstLine="709"/>
        <w:jc w:val="both"/>
      </w:pPr>
      <w:r w:rsidRPr="009118AB">
        <w:rPr>
          <w:i/>
        </w:rPr>
        <w:t>a)</w:t>
      </w:r>
      <w:r w:rsidRPr="009118AB">
        <w:t xml:space="preserve"> Erwerb, Bau oder Umbau eines unbeweglichen Gutes, das für die Unterstellung [der in Artikel 38 § 1 Absatz 1 Nr. 14 Buchstabe </w:t>
      </w:r>
      <w:r w:rsidRPr="009118AB">
        <w:rPr>
          <w:i/>
        </w:rPr>
        <w:t>a)</w:t>
      </w:r>
      <w:r w:rsidRPr="009118AB">
        <w:t xml:space="preserve"> erwähnten Räder oder Speed Pedelecs] während der Arbeitsstunden der Personalmitglieder oder die Zurverfügungstellung eines Umkleideraums oder von Sanitäranlagen mit oder ohne Duschen an diese Personalmitglieder bestimmt ist,</w:t>
      </w:r>
    </w:p>
    <w:p w14:paraId="09C3C4E0" w14:textId="77777777" w:rsidR="00ED6329" w:rsidRPr="009118AB" w:rsidRDefault="00ED6329" w:rsidP="00ED6329">
      <w:pPr>
        <w:autoSpaceDE w:val="0"/>
        <w:autoSpaceDN w:val="0"/>
        <w:adjustRightInd w:val="0"/>
        <w:jc w:val="both"/>
      </w:pPr>
    </w:p>
    <w:p w14:paraId="36648D15" w14:textId="77777777" w:rsidR="00ED6329" w:rsidRPr="009118AB" w:rsidRDefault="00ED6329" w:rsidP="00ED6329">
      <w:pPr>
        <w:autoSpaceDE w:val="0"/>
        <w:autoSpaceDN w:val="0"/>
        <w:adjustRightInd w:val="0"/>
        <w:ind w:firstLine="709"/>
        <w:jc w:val="both"/>
      </w:pPr>
      <w:r w:rsidRPr="009118AB">
        <w:rPr>
          <w:i/>
        </w:rPr>
        <w:t>b)</w:t>
      </w:r>
      <w:r w:rsidRPr="009118AB">
        <w:t xml:space="preserve"> Erwerb, Wartung und Reparatur [der in Artikel 38 § 1 Absatz 1 Nr. 14 Buchstabe </w:t>
      </w:r>
      <w:r w:rsidRPr="009118AB">
        <w:rPr>
          <w:i/>
        </w:rPr>
        <w:t>a)</w:t>
      </w:r>
      <w:r w:rsidRPr="009118AB">
        <w:t xml:space="preserve"> erwähnten Räder oder Speed Pedelecs und ihres Zubehörs], die Personalmitgliedern zur Verfügung gestellt werden.]</w:t>
      </w:r>
    </w:p>
    <w:p w14:paraId="4A8531F3" w14:textId="77777777" w:rsidR="00ED6329" w:rsidRPr="009118AB" w:rsidRDefault="00ED6329" w:rsidP="00ED6329">
      <w:pPr>
        <w:autoSpaceDE w:val="0"/>
        <w:autoSpaceDN w:val="0"/>
        <w:adjustRightInd w:val="0"/>
        <w:jc w:val="both"/>
      </w:pPr>
    </w:p>
    <w:p w14:paraId="72DA1084" w14:textId="77777777" w:rsidR="00ED6329" w:rsidRPr="009118AB" w:rsidRDefault="00ED6329" w:rsidP="00ED6329">
      <w:pPr>
        <w:autoSpaceDE w:val="0"/>
        <w:autoSpaceDN w:val="0"/>
        <w:adjustRightInd w:val="0"/>
        <w:ind w:firstLine="709"/>
        <w:jc w:val="both"/>
      </w:pPr>
      <w:r w:rsidRPr="009118AB">
        <w:t>[…]</w:t>
      </w:r>
    </w:p>
    <w:p w14:paraId="32B87E9B" w14:textId="77777777" w:rsidR="00ED6329" w:rsidRPr="009118AB" w:rsidRDefault="00ED6329" w:rsidP="00ED6329">
      <w:pPr>
        <w:autoSpaceDE w:val="0"/>
        <w:autoSpaceDN w:val="0"/>
        <w:adjustRightInd w:val="0"/>
        <w:jc w:val="both"/>
      </w:pPr>
    </w:p>
    <w:p w14:paraId="6ADDD473" w14:textId="77777777" w:rsidR="00ED6329" w:rsidRPr="009118AB" w:rsidRDefault="00ED6329" w:rsidP="00ED6329">
      <w:pPr>
        <w:autoSpaceDE w:val="0"/>
        <w:autoSpaceDN w:val="0"/>
        <w:adjustRightInd w:val="0"/>
        <w:ind w:firstLine="709"/>
        <w:jc w:val="both"/>
      </w:pPr>
      <w:r w:rsidRPr="009118AB">
        <w:t>[Bestehen die in Absatz 1 Nr. […] 3 erwähnten Kosten aus Abschreibungen der in Absatz 1 Nr. 3 erwähnten Sachanlagen […], wird der pro Besteuerungszeitraum abzugsfähige Betrag durch eine Erhöhung um 20 Prozent des normalen Betrags der Abschreibungen dieses Zeitraums erhalten. Die in Absatz 1 Nr. 3 Buchstabe </w:t>
      </w:r>
      <w:r w:rsidRPr="009118AB">
        <w:rPr>
          <w:i/>
        </w:rPr>
        <w:t>b)</w:t>
      </w:r>
      <w:r w:rsidRPr="009118AB">
        <w:t xml:space="preserve"> erwähnten [Räder oder Speed Pedelecs wie in Artikel 38 § 1 Absatz 1 Nr. 14 Buchstabe </w:t>
      </w:r>
      <w:r w:rsidRPr="009118AB">
        <w:rPr>
          <w:i/>
        </w:rPr>
        <w:t>a)</w:t>
      </w:r>
      <w:r w:rsidRPr="009118AB">
        <w:t xml:space="preserve"> erwähnt] werden in festen Jahresraten, deren Anzahl nicht unter drei liegen darf, abgeschrieben.]</w:t>
      </w:r>
    </w:p>
    <w:p w14:paraId="5B2C3F4E" w14:textId="77777777" w:rsidR="00ED6329" w:rsidRPr="009118AB" w:rsidRDefault="00ED6329" w:rsidP="00ED6329">
      <w:pPr>
        <w:autoSpaceDE w:val="0"/>
        <w:autoSpaceDN w:val="0"/>
        <w:adjustRightInd w:val="0"/>
        <w:jc w:val="both"/>
      </w:pPr>
    </w:p>
    <w:p w14:paraId="4B85732B" w14:textId="77777777" w:rsidR="00ED6329" w:rsidRPr="009118AB" w:rsidRDefault="00ED6329" w:rsidP="00ED6329">
      <w:pPr>
        <w:autoSpaceDE w:val="0"/>
        <w:autoSpaceDN w:val="0"/>
        <w:adjustRightInd w:val="0"/>
        <w:ind w:firstLine="709"/>
        <w:jc w:val="both"/>
      </w:pPr>
      <w:r w:rsidRPr="009118AB">
        <w:t>[…]</w:t>
      </w:r>
    </w:p>
    <w:p w14:paraId="59A01EAC" w14:textId="77777777" w:rsidR="00ED6329" w:rsidRPr="009118AB" w:rsidRDefault="00ED6329" w:rsidP="00ED6329">
      <w:pPr>
        <w:autoSpaceDE w:val="0"/>
        <w:autoSpaceDN w:val="0"/>
        <w:adjustRightInd w:val="0"/>
        <w:jc w:val="both"/>
      </w:pPr>
    </w:p>
    <w:p w14:paraId="6EC59575" w14:textId="77777777" w:rsidR="00ED6329" w:rsidRPr="009118AB" w:rsidRDefault="00ED6329" w:rsidP="00ED6329">
      <w:pPr>
        <w:autoSpaceDE w:val="0"/>
        <w:autoSpaceDN w:val="0"/>
        <w:adjustRightInd w:val="0"/>
        <w:ind w:firstLine="709"/>
        <w:jc w:val="both"/>
      </w:pPr>
      <w:r w:rsidRPr="009118AB">
        <w:t>Abschreibungen, die gemäß Absatz 3 über den Anschaffungs- oder Investitionswert [der in Absatz 1 Nr. 3 erwähnten Sachanlagen […]] hinaus berücksichtigt werden, werden nicht für die Bestimmung der späteren Mehr- oder Minderwerte in Bezug auf [diese Sachanlagen […]] berücksichtigt.]</w:t>
      </w:r>
    </w:p>
    <w:p w14:paraId="2D0395B4" w14:textId="77777777" w:rsidR="00ED6329" w:rsidRPr="009118AB" w:rsidRDefault="00ED6329" w:rsidP="00ED6329">
      <w:pPr>
        <w:autoSpaceDE w:val="0"/>
        <w:autoSpaceDN w:val="0"/>
        <w:adjustRightInd w:val="0"/>
        <w:jc w:val="both"/>
      </w:pPr>
    </w:p>
    <w:p w14:paraId="7D92D8F4" w14:textId="77777777" w:rsidR="00ED6329" w:rsidRPr="009118AB" w:rsidRDefault="00ED6329" w:rsidP="00ED6329">
      <w:pPr>
        <w:autoSpaceDE w:val="0"/>
        <w:autoSpaceDN w:val="0"/>
        <w:adjustRightInd w:val="0"/>
        <w:jc w:val="both"/>
      </w:pPr>
      <w:r w:rsidRPr="009118AB">
        <w:rPr>
          <w:i/>
        </w:rPr>
        <w:t>[Art. 64ter eingefügt durch Art. 54 des G. vom 8.</w:t>
      </w:r>
      <w:r>
        <w:rPr>
          <w:i/>
        </w:rPr>
        <w:t> </w:t>
      </w:r>
      <w:r w:rsidRPr="009118AB">
        <w:rPr>
          <w:i/>
        </w:rPr>
        <w:t>Juni</w:t>
      </w:r>
      <w:r>
        <w:rPr>
          <w:i/>
        </w:rPr>
        <w:t> </w:t>
      </w:r>
      <w:r w:rsidRPr="009118AB">
        <w:rPr>
          <w:i/>
        </w:rPr>
        <w:t>2008 (B.S. vom 16. Juni 2008) - anwendbar auf die ab dem 1.</w:t>
      </w:r>
      <w:r>
        <w:rPr>
          <w:i/>
        </w:rPr>
        <w:t> </w:t>
      </w:r>
      <w:r w:rsidRPr="009118AB">
        <w:rPr>
          <w:i/>
        </w:rPr>
        <w:t>Januar 2009 gemachten oder getragenen Kosten -; Abs. 1 Nr. 1 aufgehoben durch Art. 10 Nr. 1</w:t>
      </w:r>
      <w:r w:rsidRPr="009118AB">
        <w:rPr>
          <w:i/>
          <w:iCs/>
        </w:rPr>
        <w:t xml:space="preserve"> des G. vom 25. Dezember 2017 (III) (B.S. vom 29. Dezember 2017) - in Kraft am 1. Januar 2020 und anwendbar ab dem Steuerjahr 2021, das sich auf einen Besteuerungszeitraum bezieht, der frühestens am 1. Januar 2020 beginnt -</w:t>
      </w:r>
      <w:r>
        <w:rPr>
          <w:i/>
          <w:iCs/>
        </w:rPr>
        <w:t xml:space="preserve"> und wieder aufgenommen </w:t>
      </w:r>
      <w:bookmarkStart w:id="7" w:name="_Hlk197957266"/>
      <w:r>
        <w:rPr>
          <w:i/>
          <w:iCs/>
        </w:rPr>
        <w:t xml:space="preserve">durch Art. 4 Nr. 1 des G. vom 6. Februar 2024 (B.S. vom 20. Februar 2024) - in Kraft </w:t>
      </w:r>
      <w:r w:rsidRPr="00601505">
        <w:rPr>
          <w:i/>
          <w:iCs/>
        </w:rPr>
        <w:t>am 1. Januar 2024 und anwendbar ab dem Steuerjahr 2025, das sich auf einen Besteuerungszeitraum bezieht, der frühestens am 1. Januar 2024 beginnt -</w:t>
      </w:r>
      <w:bookmarkEnd w:id="7"/>
      <w:r w:rsidRPr="00601505">
        <w:rPr>
          <w:i/>
          <w:iCs/>
        </w:rPr>
        <w:t>;</w:t>
      </w:r>
      <w:r w:rsidRPr="009118AB">
        <w:rPr>
          <w:i/>
        </w:rPr>
        <w:t xml:space="preserve"> Abs. 1 Nr. 3 eingefügt durch Art. 26 Nr. 1</w:t>
      </w:r>
      <w:r w:rsidRPr="009118AB">
        <w:rPr>
          <w:i/>
          <w:iCs/>
        </w:rPr>
        <w:t xml:space="preserve"> des G. vom 27. März 2009 (B.S. vom 7. April 2009) - anwendbar auf die ab dem 1. Januar 2009 gemachten oder getragenen Kosten -; Abs. 1 Nr. 3 einziger Absatz einleitende Bestimmung abgeändert durch Art. 3 Buchstabe a) des G. vom 22. Oktober 2017 (B.S. vom 18. Dezember 2017) - anwendbar ab dem Steuerjahr 2018 -; Abs. 1 Nr. 3 einziger Absatz Buchstabe a) abgeändert durch Art. 3 Buchstabe b) des G. vom 22. Oktober 2017 (B.S. vom 18. Dezember 2017) - anwendbar ab dem Steuerjahr 2018 -; Abs. 1 Nr. 3 einziger Absatz Buchstabe b) abgeändert durch Art. 3 </w:t>
      </w:r>
      <w:r w:rsidRPr="009118AB">
        <w:rPr>
          <w:i/>
          <w:iCs/>
        </w:rPr>
        <w:lastRenderedPageBreak/>
        <w:t>Buchstabe b) des G. vom 22. Oktober 2017 (B.S. vom 18. Dezember 2017) - anwendbar ab dem Steuerjahr 2018 -; früherer Absatz 2 aufgehoben durch Art. 10 Nr. 2 des G. vom 25. Dezember 2017 (III) (B.S. vom 29. Dezember 2017) - in Kraft am 1. Januar 2020 und anwendbar ab dem Steuerjahr 2021, das sich auf einen Besteuerungszeitraum bezieht, der frühestens am 1. Januar 2020 beginnt -; Abs. 2 ersetzt durch Art. 26 Nr. 2 des G. vom 27. März 2009 (B.S. vom 7. April 2009) - anwendbar auf die ab dem 1. Januar 2009 gemachten oder getragenen Kosten - und abgeändert durch Art. 3 Buchstabe c) des G. vom 22. Oktober 2017 (B.S. vom 18. Dezember 2017) - anwendbar ab dem Steuerjahr 2018 - und Art. 10 Nr. 3 des G. vom 25. Dezember 2017 (III) (B.S. vom 29. Dezember 2017) - in Kraft am 1. Januar 2020 und anwendbar ab dem Steuerjahr 2021, das sich auf einen Besteuerungszeitraum bezieht, der frühestens am 1. Januar 2020 beginnt -; früherer Absatz 3 aufgehoben durch Art. 10 Nr. 4 des G. vom 25. Dezember 2017 (III) (B.S. vom 29. Dezember 2017) - in Kraft am 1. Januar 2020 und anwendbar ab dem Steuerjahr 2021, das sich auf einen Besteuerungszeitraum bezieht, der frühestens am 1. Januar 2020 beginnt -; Abs. 3 abgeändert durch Art. 26 Nr. 3 des G. vom 27. März 2009 (B.S. vom 7. April 2009) - anwendbar auf die ab dem 1. Januar 2009 gemachten oder getragenen Kosten - und Art. 10 Nr. 5 des G. vom 25. Dezember 2017 (III) (B.S. vom 29. Dezember 2017) - in Kraft am 1. Januar 2020 und anwendbar ab dem Steuerjahr 2021, das sich auf einen Besteuerungszeitraum bezieht, der frühestens am 1. Januar 2020 beginnt -]</w:t>
      </w:r>
    </w:p>
    <w:p w14:paraId="0599FC2F" w14:textId="77777777" w:rsidR="00ED6329" w:rsidRDefault="00ED6329" w:rsidP="00ED6329">
      <w:pPr>
        <w:autoSpaceDE w:val="0"/>
        <w:autoSpaceDN w:val="0"/>
        <w:adjustRightInd w:val="0"/>
        <w:jc w:val="both"/>
      </w:pPr>
    </w:p>
    <w:p w14:paraId="7F6C4E25" w14:textId="77777777" w:rsidR="00ED6329" w:rsidRDefault="00ED6329" w:rsidP="00ED6329">
      <w:pPr>
        <w:autoSpaceDE w:val="0"/>
        <w:autoSpaceDN w:val="0"/>
        <w:adjustRightInd w:val="0"/>
        <w:jc w:val="both"/>
      </w:pPr>
    </w:p>
    <w:p w14:paraId="78BB2FB9" w14:textId="741016FD" w:rsidR="00531C1E" w:rsidRDefault="00531C1E" w:rsidP="00ED6329">
      <w:pPr>
        <w:autoSpaceDE w:val="0"/>
        <w:autoSpaceDN w:val="0"/>
        <w:adjustRightInd w:val="0"/>
        <w:jc w:val="both"/>
        <w:rPr>
          <w:sz w:val="20"/>
          <w:szCs w:val="20"/>
        </w:rPr>
      </w:pPr>
      <w:r>
        <w:rPr>
          <w:sz w:val="20"/>
          <w:szCs w:val="20"/>
        </w:rPr>
        <w:t>Ab dem Steuerjahr 2026 (gemäß Art. 21 Abs. 1 des G. vom 12. Mai 2024 (B.S. vom 29. Mai 2024)) lautet Art. 64</w:t>
      </w:r>
      <w:r w:rsidRPr="00DB693B">
        <w:rPr>
          <w:i/>
          <w:iCs/>
          <w:sz w:val="20"/>
          <w:szCs w:val="20"/>
        </w:rPr>
        <w:t>ter</w:t>
      </w:r>
      <w:r>
        <w:rPr>
          <w:sz w:val="20"/>
          <w:szCs w:val="20"/>
        </w:rPr>
        <w:t xml:space="preserve"> wie folgt:</w:t>
      </w:r>
    </w:p>
    <w:p w14:paraId="7BFA6AA7" w14:textId="77777777" w:rsidR="00531C1E" w:rsidRDefault="00531C1E" w:rsidP="00ED6329">
      <w:pPr>
        <w:autoSpaceDE w:val="0"/>
        <w:autoSpaceDN w:val="0"/>
        <w:adjustRightInd w:val="0"/>
        <w:jc w:val="both"/>
        <w:rPr>
          <w:sz w:val="20"/>
          <w:szCs w:val="20"/>
        </w:rPr>
      </w:pPr>
    </w:p>
    <w:p w14:paraId="2DF39881" w14:textId="76F32F14" w:rsidR="00531C1E" w:rsidRPr="00531C1E" w:rsidRDefault="00531C1E" w:rsidP="00531C1E">
      <w:pPr>
        <w:autoSpaceDE w:val="0"/>
        <w:autoSpaceDN w:val="0"/>
        <w:adjustRightInd w:val="0"/>
        <w:jc w:val="both"/>
        <w:rPr>
          <w:sz w:val="20"/>
          <w:szCs w:val="20"/>
        </w:rPr>
      </w:pPr>
      <w:r>
        <w:rPr>
          <w:sz w:val="20"/>
          <w:szCs w:val="20"/>
        </w:rPr>
        <w:t>"</w:t>
      </w:r>
      <w:r w:rsidRPr="00531C1E">
        <w:rPr>
          <w:sz w:val="20"/>
          <w:szCs w:val="20"/>
        </w:rPr>
        <w:t>[</w:t>
      </w:r>
      <w:r w:rsidRPr="00531C1E">
        <w:rPr>
          <w:bCs/>
          <w:sz w:val="20"/>
          <w:szCs w:val="20"/>
        </w:rPr>
        <w:t>Art. 64</w:t>
      </w:r>
      <w:r w:rsidRPr="00531C1E">
        <w:rPr>
          <w:bCs/>
          <w:i/>
          <w:sz w:val="20"/>
          <w:szCs w:val="20"/>
        </w:rPr>
        <w:t>ter</w:t>
      </w:r>
      <w:r w:rsidRPr="00531C1E">
        <w:rPr>
          <w:sz w:val="20"/>
          <w:szCs w:val="20"/>
        </w:rPr>
        <w:t> - In Höhe von 120 Prozent sind abzugsfähig:</w:t>
      </w:r>
    </w:p>
    <w:p w14:paraId="752E5A1D" w14:textId="77777777" w:rsidR="00531C1E" w:rsidRPr="00531C1E" w:rsidRDefault="00531C1E" w:rsidP="00531C1E">
      <w:pPr>
        <w:autoSpaceDE w:val="0"/>
        <w:autoSpaceDN w:val="0"/>
        <w:adjustRightInd w:val="0"/>
        <w:jc w:val="both"/>
        <w:rPr>
          <w:sz w:val="20"/>
          <w:szCs w:val="20"/>
        </w:rPr>
      </w:pPr>
    </w:p>
    <w:p w14:paraId="0E43EECB" w14:textId="77777777" w:rsidR="00531C1E" w:rsidRPr="00531C1E" w:rsidRDefault="00531C1E" w:rsidP="00531C1E">
      <w:pPr>
        <w:autoSpaceDE w:val="0"/>
        <w:autoSpaceDN w:val="0"/>
        <w:adjustRightInd w:val="0"/>
        <w:jc w:val="both"/>
        <w:rPr>
          <w:sz w:val="20"/>
          <w:szCs w:val="20"/>
        </w:rPr>
      </w:pPr>
      <w:r w:rsidRPr="00531C1E">
        <w:rPr>
          <w:sz w:val="20"/>
          <w:szCs w:val="20"/>
        </w:rPr>
        <w:t>1. [Kosten mit Ausnahme derjenigen, die aus Abschreibungen bestehen, die verbunden sind mit Rechnungsstellungsprogrammen für die Ausstellung, die Übermittlung und den Empfang elektronischer Rechnungen in einem strukturierten Format, das ihre automatische und elektronische Verarbeitung im Rahmen der durch das Gesetz vom 6. Februar 2024 zur Abänderung des Mehrwertsteuergesetzbuches und des Einkommensteuergesetzbuches 1992 in Bezug auf die Einführung der Verpflichtung zur elektronischen Rechnungsstellung auferlegten Verpflichtungen ermöglicht,]</w:t>
      </w:r>
    </w:p>
    <w:p w14:paraId="5F2C96B8" w14:textId="77777777" w:rsidR="00531C1E" w:rsidRPr="00531C1E" w:rsidRDefault="00531C1E" w:rsidP="00531C1E">
      <w:pPr>
        <w:autoSpaceDE w:val="0"/>
        <w:autoSpaceDN w:val="0"/>
        <w:adjustRightInd w:val="0"/>
        <w:jc w:val="both"/>
        <w:rPr>
          <w:sz w:val="20"/>
          <w:szCs w:val="20"/>
        </w:rPr>
      </w:pPr>
    </w:p>
    <w:p w14:paraId="4C9EFACB" w14:textId="77777777" w:rsidR="00531C1E" w:rsidRPr="00531C1E" w:rsidRDefault="00531C1E" w:rsidP="00531C1E">
      <w:pPr>
        <w:autoSpaceDE w:val="0"/>
        <w:autoSpaceDN w:val="0"/>
        <w:adjustRightInd w:val="0"/>
        <w:jc w:val="both"/>
        <w:rPr>
          <w:sz w:val="20"/>
          <w:szCs w:val="20"/>
        </w:rPr>
      </w:pPr>
      <w:r w:rsidRPr="00531C1E">
        <w:rPr>
          <w:sz w:val="20"/>
          <w:szCs w:val="20"/>
        </w:rPr>
        <w:t>2. folgende Kosten, die im Bereich Absicherung gemacht oder getragen werden:</w:t>
      </w:r>
    </w:p>
    <w:p w14:paraId="0A081172" w14:textId="77777777" w:rsidR="00531C1E" w:rsidRPr="00531C1E" w:rsidRDefault="00531C1E" w:rsidP="00531C1E">
      <w:pPr>
        <w:autoSpaceDE w:val="0"/>
        <w:autoSpaceDN w:val="0"/>
        <w:adjustRightInd w:val="0"/>
        <w:jc w:val="both"/>
        <w:rPr>
          <w:sz w:val="20"/>
          <w:szCs w:val="20"/>
        </w:rPr>
      </w:pPr>
    </w:p>
    <w:p w14:paraId="7291F1C4" w14:textId="77777777" w:rsidR="00531C1E" w:rsidRPr="00531C1E" w:rsidRDefault="00531C1E" w:rsidP="00531C1E">
      <w:pPr>
        <w:autoSpaceDE w:val="0"/>
        <w:autoSpaceDN w:val="0"/>
        <w:adjustRightInd w:val="0"/>
        <w:jc w:val="both"/>
        <w:rPr>
          <w:sz w:val="20"/>
          <w:szCs w:val="20"/>
        </w:rPr>
      </w:pPr>
      <w:r w:rsidRPr="00531C1E">
        <w:rPr>
          <w:i/>
          <w:sz w:val="20"/>
          <w:szCs w:val="20"/>
        </w:rPr>
        <w:t>a)</w:t>
      </w:r>
      <w:r w:rsidRPr="00531C1E">
        <w:rPr>
          <w:sz w:val="20"/>
          <w:szCs w:val="20"/>
        </w:rPr>
        <w:t xml:space="preserve"> Abonnementkosten für den Anschluss an eine genehmigte Alarmzentrale für die Verwaltung von Alarmmeldungen aus Systemen, die in unbeweglichen Gütern installiert sind, um gegen Personen oder Güter gerichtete Straftaten zu verhüten oder zu bekämpfen,</w:t>
      </w:r>
    </w:p>
    <w:p w14:paraId="63F4E49C" w14:textId="77777777" w:rsidR="00531C1E" w:rsidRPr="00531C1E" w:rsidRDefault="00531C1E" w:rsidP="00531C1E">
      <w:pPr>
        <w:autoSpaceDE w:val="0"/>
        <w:autoSpaceDN w:val="0"/>
        <w:adjustRightInd w:val="0"/>
        <w:jc w:val="both"/>
        <w:rPr>
          <w:sz w:val="20"/>
          <w:szCs w:val="20"/>
        </w:rPr>
      </w:pPr>
    </w:p>
    <w:p w14:paraId="44F330FA" w14:textId="77777777" w:rsidR="00531C1E" w:rsidRPr="00531C1E" w:rsidRDefault="00531C1E" w:rsidP="00531C1E">
      <w:pPr>
        <w:autoSpaceDE w:val="0"/>
        <w:autoSpaceDN w:val="0"/>
        <w:adjustRightInd w:val="0"/>
        <w:jc w:val="both"/>
        <w:rPr>
          <w:sz w:val="20"/>
          <w:szCs w:val="20"/>
        </w:rPr>
      </w:pPr>
      <w:r w:rsidRPr="00531C1E">
        <w:rPr>
          <w:i/>
          <w:sz w:val="20"/>
          <w:szCs w:val="20"/>
        </w:rPr>
        <w:t>b)</w:t>
      </w:r>
      <w:r w:rsidRPr="00531C1E">
        <w:rPr>
          <w:sz w:val="20"/>
          <w:szCs w:val="20"/>
        </w:rPr>
        <w:t xml:space="preserve"> Kosten im Falle des Rückgriffs auf ein genehmigtes Wachunternehmen für die Durchführung geschützter Transporte wie in Artikel 8 § 1 Nr. 2 des Königlichen Erlasses vom 7. April 2003 zur Regelung bestimmter Überwachungs- und Schutzmethoden für Werttrans</w:t>
      </w:r>
      <w:r w:rsidRPr="00531C1E">
        <w:rPr>
          <w:sz w:val="20"/>
          <w:szCs w:val="20"/>
        </w:rPr>
        <w:softHyphen/>
        <w:t>porte und bezüglich der technischen Spezifitäten der Werttransportfahrzeuge erwähnt,</w:t>
      </w:r>
    </w:p>
    <w:p w14:paraId="40AACDC6" w14:textId="77777777" w:rsidR="00531C1E" w:rsidRPr="00531C1E" w:rsidRDefault="00531C1E" w:rsidP="00531C1E">
      <w:pPr>
        <w:autoSpaceDE w:val="0"/>
        <w:autoSpaceDN w:val="0"/>
        <w:adjustRightInd w:val="0"/>
        <w:jc w:val="both"/>
        <w:rPr>
          <w:sz w:val="20"/>
          <w:szCs w:val="20"/>
        </w:rPr>
      </w:pPr>
    </w:p>
    <w:p w14:paraId="73A4EE6E" w14:textId="77777777" w:rsidR="00531C1E" w:rsidRPr="00531C1E" w:rsidRDefault="00531C1E" w:rsidP="00531C1E">
      <w:pPr>
        <w:autoSpaceDE w:val="0"/>
        <w:autoSpaceDN w:val="0"/>
        <w:adjustRightInd w:val="0"/>
        <w:jc w:val="both"/>
        <w:rPr>
          <w:sz w:val="20"/>
          <w:szCs w:val="20"/>
        </w:rPr>
      </w:pPr>
      <w:r w:rsidRPr="00531C1E">
        <w:rPr>
          <w:i/>
          <w:sz w:val="20"/>
          <w:szCs w:val="20"/>
        </w:rPr>
        <w:t>c)</w:t>
      </w:r>
      <w:r w:rsidRPr="00531C1E">
        <w:rPr>
          <w:sz w:val="20"/>
          <w:szCs w:val="20"/>
        </w:rPr>
        <w:t xml:space="preserve"> Kosten im Falle des gemeinsamen Rückgriffs durch eine Gruppe von Unternehmen auf ein genehmigtes Wachunternehmen für die Ausführung von Bewachungsaufträgen in Bezug auf Bewachung und Schutz von beweglichen und unbeweglichen Gütern,</w:t>
      </w:r>
    </w:p>
    <w:p w14:paraId="195BF96F" w14:textId="77777777" w:rsidR="00531C1E" w:rsidRPr="00531C1E" w:rsidRDefault="00531C1E" w:rsidP="00531C1E">
      <w:pPr>
        <w:autoSpaceDE w:val="0"/>
        <w:autoSpaceDN w:val="0"/>
        <w:adjustRightInd w:val="0"/>
        <w:jc w:val="both"/>
        <w:rPr>
          <w:sz w:val="20"/>
          <w:szCs w:val="20"/>
        </w:rPr>
      </w:pPr>
    </w:p>
    <w:p w14:paraId="6B2A2BBE" w14:textId="1A4B33B3" w:rsidR="00531C1E" w:rsidRPr="00531C1E" w:rsidRDefault="00531C1E" w:rsidP="00531C1E">
      <w:pPr>
        <w:autoSpaceDE w:val="0"/>
        <w:autoSpaceDN w:val="0"/>
        <w:adjustRightInd w:val="0"/>
        <w:jc w:val="both"/>
        <w:rPr>
          <w:sz w:val="20"/>
          <w:szCs w:val="20"/>
        </w:rPr>
      </w:pPr>
      <w:r w:rsidRPr="00531C1E">
        <w:rPr>
          <w:sz w:val="20"/>
          <w:szCs w:val="20"/>
        </w:rPr>
        <w:t xml:space="preserve">[3. </w:t>
      </w:r>
      <w:r>
        <w:rPr>
          <w:sz w:val="20"/>
          <w:szCs w:val="20"/>
        </w:rPr>
        <w:t>[…]</w:t>
      </w:r>
      <w:r w:rsidRPr="00531C1E">
        <w:rPr>
          <w:sz w:val="20"/>
          <w:szCs w:val="20"/>
        </w:rPr>
        <w:t>]</w:t>
      </w:r>
    </w:p>
    <w:p w14:paraId="4BDCFD7A" w14:textId="77777777" w:rsidR="00531C1E" w:rsidRPr="00531C1E" w:rsidRDefault="00531C1E" w:rsidP="00531C1E">
      <w:pPr>
        <w:autoSpaceDE w:val="0"/>
        <w:autoSpaceDN w:val="0"/>
        <w:adjustRightInd w:val="0"/>
        <w:jc w:val="both"/>
        <w:rPr>
          <w:sz w:val="20"/>
          <w:szCs w:val="20"/>
        </w:rPr>
      </w:pPr>
    </w:p>
    <w:p w14:paraId="77F5090F" w14:textId="77777777" w:rsidR="00531C1E" w:rsidRPr="00531C1E" w:rsidRDefault="00531C1E" w:rsidP="00531C1E">
      <w:pPr>
        <w:autoSpaceDE w:val="0"/>
        <w:autoSpaceDN w:val="0"/>
        <w:adjustRightInd w:val="0"/>
        <w:jc w:val="both"/>
        <w:rPr>
          <w:sz w:val="20"/>
          <w:szCs w:val="20"/>
        </w:rPr>
      </w:pPr>
      <w:r w:rsidRPr="00531C1E">
        <w:rPr>
          <w:sz w:val="20"/>
          <w:szCs w:val="20"/>
        </w:rPr>
        <w:t>[…]</w:t>
      </w:r>
    </w:p>
    <w:p w14:paraId="0E697931" w14:textId="77777777" w:rsidR="00531C1E" w:rsidRPr="00531C1E" w:rsidRDefault="00531C1E" w:rsidP="00531C1E">
      <w:pPr>
        <w:autoSpaceDE w:val="0"/>
        <w:autoSpaceDN w:val="0"/>
        <w:adjustRightInd w:val="0"/>
        <w:jc w:val="both"/>
        <w:rPr>
          <w:sz w:val="20"/>
          <w:szCs w:val="20"/>
        </w:rPr>
      </w:pPr>
    </w:p>
    <w:p w14:paraId="7F5B0046" w14:textId="3CF7E165" w:rsidR="00531C1E" w:rsidRPr="00531C1E" w:rsidRDefault="00531C1E" w:rsidP="00531C1E">
      <w:pPr>
        <w:autoSpaceDE w:val="0"/>
        <w:autoSpaceDN w:val="0"/>
        <w:adjustRightInd w:val="0"/>
        <w:jc w:val="both"/>
        <w:rPr>
          <w:sz w:val="20"/>
          <w:szCs w:val="20"/>
        </w:rPr>
      </w:pPr>
      <w:r w:rsidRPr="00531C1E">
        <w:rPr>
          <w:sz w:val="20"/>
          <w:szCs w:val="20"/>
        </w:rPr>
        <w:t>[</w:t>
      </w:r>
      <w:r>
        <w:rPr>
          <w:sz w:val="20"/>
          <w:szCs w:val="20"/>
        </w:rPr>
        <w:t>…</w:t>
      </w:r>
      <w:r w:rsidRPr="00531C1E">
        <w:rPr>
          <w:sz w:val="20"/>
          <w:szCs w:val="20"/>
        </w:rPr>
        <w:t>]</w:t>
      </w:r>
    </w:p>
    <w:p w14:paraId="61267577" w14:textId="77777777" w:rsidR="00531C1E" w:rsidRPr="00531C1E" w:rsidRDefault="00531C1E" w:rsidP="00531C1E">
      <w:pPr>
        <w:autoSpaceDE w:val="0"/>
        <w:autoSpaceDN w:val="0"/>
        <w:adjustRightInd w:val="0"/>
        <w:jc w:val="both"/>
        <w:rPr>
          <w:sz w:val="20"/>
          <w:szCs w:val="20"/>
        </w:rPr>
      </w:pPr>
    </w:p>
    <w:p w14:paraId="1B752FC6" w14:textId="77777777" w:rsidR="00531C1E" w:rsidRPr="00531C1E" w:rsidRDefault="00531C1E" w:rsidP="00531C1E">
      <w:pPr>
        <w:autoSpaceDE w:val="0"/>
        <w:autoSpaceDN w:val="0"/>
        <w:adjustRightInd w:val="0"/>
        <w:jc w:val="both"/>
        <w:rPr>
          <w:sz w:val="20"/>
          <w:szCs w:val="20"/>
        </w:rPr>
      </w:pPr>
      <w:r w:rsidRPr="00531C1E">
        <w:rPr>
          <w:sz w:val="20"/>
          <w:szCs w:val="20"/>
        </w:rPr>
        <w:t>[…]</w:t>
      </w:r>
    </w:p>
    <w:p w14:paraId="79B674BA" w14:textId="77777777" w:rsidR="00531C1E" w:rsidRPr="00531C1E" w:rsidRDefault="00531C1E" w:rsidP="00531C1E">
      <w:pPr>
        <w:autoSpaceDE w:val="0"/>
        <w:autoSpaceDN w:val="0"/>
        <w:adjustRightInd w:val="0"/>
        <w:jc w:val="both"/>
        <w:rPr>
          <w:sz w:val="20"/>
          <w:szCs w:val="20"/>
        </w:rPr>
      </w:pPr>
    </w:p>
    <w:p w14:paraId="67A8ED71" w14:textId="057D7067" w:rsidR="00531C1E" w:rsidRPr="00531C1E" w:rsidRDefault="00531C1E" w:rsidP="00531C1E">
      <w:pPr>
        <w:autoSpaceDE w:val="0"/>
        <w:autoSpaceDN w:val="0"/>
        <w:adjustRightInd w:val="0"/>
        <w:jc w:val="both"/>
        <w:rPr>
          <w:sz w:val="20"/>
          <w:szCs w:val="20"/>
        </w:rPr>
      </w:pPr>
      <w:r>
        <w:rPr>
          <w:sz w:val="20"/>
          <w:szCs w:val="20"/>
        </w:rPr>
        <w:lastRenderedPageBreak/>
        <w:t>[…]</w:t>
      </w:r>
      <w:r w:rsidRPr="00531C1E">
        <w:rPr>
          <w:sz w:val="20"/>
          <w:szCs w:val="20"/>
        </w:rPr>
        <w:t>]</w:t>
      </w:r>
    </w:p>
    <w:p w14:paraId="56A9FB37" w14:textId="77777777" w:rsidR="00531C1E" w:rsidRPr="00531C1E" w:rsidRDefault="00531C1E" w:rsidP="00531C1E">
      <w:pPr>
        <w:autoSpaceDE w:val="0"/>
        <w:autoSpaceDN w:val="0"/>
        <w:adjustRightInd w:val="0"/>
        <w:jc w:val="both"/>
        <w:rPr>
          <w:sz w:val="20"/>
          <w:szCs w:val="20"/>
        </w:rPr>
      </w:pPr>
    </w:p>
    <w:p w14:paraId="52174DC9" w14:textId="021E3F0A" w:rsidR="00531C1E" w:rsidRPr="00531C1E" w:rsidRDefault="00531C1E" w:rsidP="00531C1E">
      <w:pPr>
        <w:autoSpaceDE w:val="0"/>
        <w:autoSpaceDN w:val="0"/>
        <w:adjustRightInd w:val="0"/>
        <w:jc w:val="both"/>
        <w:rPr>
          <w:sz w:val="20"/>
          <w:szCs w:val="20"/>
        </w:rPr>
      </w:pPr>
      <w:r w:rsidRPr="00531C1E">
        <w:rPr>
          <w:i/>
          <w:sz w:val="20"/>
          <w:szCs w:val="20"/>
        </w:rPr>
        <w:t xml:space="preserve">[Art. 64ter eingefügt durch Art. 54 des G. vom 8. Juni 2008 (B.S. vom 16. Juni 2008) - anwendbar auf die ab dem 1. Januar 2009 gemachten oder getragenen Kosten -; </w:t>
      </w:r>
      <w:r w:rsidR="0038624E">
        <w:rPr>
          <w:i/>
          <w:sz w:val="20"/>
          <w:szCs w:val="20"/>
        </w:rPr>
        <w:t xml:space="preserve">einziger Absatz (früherer </w:t>
      </w:r>
      <w:r w:rsidRPr="00531C1E">
        <w:rPr>
          <w:i/>
          <w:sz w:val="20"/>
          <w:szCs w:val="20"/>
        </w:rPr>
        <w:t>Abs</w:t>
      </w:r>
      <w:r w:rsidR="0038624E">
        <w:rPr>
          <w:i/>
          <w:sz w:val="20"/>
          <w:szCs w:val="20"/>
        </w:rPr>
        <w:t>atz</w:t>
      </w:r>
      <w:r w:rsidRPr="00531C1E">
        <w:rPr>
          <w:i/>
          <w:sz w:val="20"/>
          <w:szCs w:val="20"/>
        </w:rPr>
        <w:t> 1</w:t>
      </w:r>
      <w:r w:rsidR="0038624E">
        <w:rPr>
          <w:i/>
          <w:sz w:val="20"/>
          <w:szCs w:val="20"/>
        </w:rPr>
        <w:t>)</w:t>
      </w:r>
      <w:r w:rsidRPr="00531C1E">
        <w:rPr>
          <w:i/>
          <w:sz w:val="20"/>
          <w:szCs w:val="20"/>
        </w:rPr>
        <w:t xml:space="preserve"> Nr. 1 aufgehoben durch Art. 10 Nr. 1</w:t>
      </w:r>
      <w:r w:rsidRPr="00531C1E">
        <w:rPr>
          <w:i/>
          <w:iCs/>
          <w:sz w:val="20"/>
          <w:szCs w:val="20"/>
        </w:rPr>
        <w:t xml:space="preserve"> des G. vom 25. Dezember 2017 (III) (B.S. vom 29. Dezember 2017) - in Kraft am 1. Januar 2020 und anwendbar ab dem Steuerjahr 2021, das sich auf einen Besteuerungszeitraum bezieht, der frühestens am 1. Januar 2020 beginnt - und wieder aufgenommen durch Art. 4 Nr. 1 des G. vom 6. Februar 2024 (B.S. vom 20. Februar 2024) - in Kraft am 1. Januar 2024 und anwendbar ab dem Steuerjahr 2025, das sich auf einen Besteuerungszeitraum bezieht, der frühestens am 1. Januar 2024 beginnt -;</w:t>
      </w:r>
      <w:r w:rsidRPr="00531C1E">
        <w:rPr>
          <w:i/>
          <w:sz w:val="20"/>
          <w:szCs w:val="20"/>
        </w:rPr>
        <w:t xml:space="preserve"> </w:t>
      </w:r>
      <w:r w:rsidR="0038624E">
        <w:rPr>
          <w:i/>
          <w:sz w:val="20"/>
          <w:szCs w:val="20"/>
        </w:rPr>
        <w:t>einziger Absatz</w:t>
      </w:r>
      <w:r w:rsidRPr="00531C1E">
        <w:rPr>
          <w:i/>
          <w:sz w:val="20"/>
          <w:szCs w:val="20"/>
        </w:rPr>
        <w:t xml:space="preserve"> Nr. 3 eingefügt durch Art. 26 Nr. 1</w:t>
      </w:r>
      <w:r w:rsidRPr="00531C1E">
        <w:rPr>
          <w:i/>
          <w:iCs/>
          <w:sz w:val="20"/>
          <w:szCs w:val="20"/>
        </w:rPr>
        <w:t xml:space="preserve"> des G. vom 27. März 2009 (B.S. vom 7. April 2009) - anwendbar auf die ab dem 1. Januar 2009 gemachten oder getragenen Kosten -</w:t>
      </w:r>
      <w:r>
        <w:rPr>
          <w:i/>
          <w:iCs/>
          <w:sz w:val="20"/>
          <w:szCs w:val="20"/>
        </w:rPr>
        <w:t xml:space="preserve"> und aufgehoben durch Art. 2 des G. vom 12. Mai 2024 (B.S. vom 29. Mai 2024) - in Kraft am 1. Januar 2025 und </w:t>
      </w:r>
      <w:r w:rsidRPr="00531C1E">
        <w:rPr>
          <w:i/>
          <w:iCs/>
          <w:sz w:val="20"/>
          <w:szCs w:val="20"/>
        </w:rPr>
        <w:t>anwendbar ab dem Steuerjahr 2026, das sich auf einen Besteuerungszeitraum bezieht, der frühestens am 1. Januar 2025 beginnt</w:t>
      </w:r>
      <w:r>
        <w:rPr>
          <w:i/>
          <w:iCs/>
          <w:sz w:val="20"/>
          <w:szCs w:val="20"/>
        </w:rPr>
        <w:t> -</w:t>
      </w:r>
      <w:r w:rsidRPr="00531C1E">
        <w:rPr>
          <w:i/>
          <w:iCs/>
          <w:sz w:val="20"/>
          <w:szCs w:val="20"/>
        </w:rPr>
        <w:t xml:space="preserve">; früherer Absatz 2 aufgehoben durch Art. 10 Nr. 2 des G. vom 25. Dezember 2017 (III) (B.S. vom 29. Dezember 2017) - in Kraft am 1. Januar 2020 und anwendbar ab dem Steuerjahr 2021, das sich auf einen Besteuerungszeitraum bezieht, der frühestens am 1. Januar 2020 beginnt -; </w:t>
      </w:r>
      <w:r>
        <w:rPr>
          <w:i/>
          <w:iCs/>
          <w:sz w:val="20"/>
          <w:szCs w:val="20"/>
        </w:rPr>
        <w:t xml:space="preserve">früherer </w:t>
      </w:r>
      <w:r w:rsidRPr="00531C1E">
        <w:rPr>
          <w:i/>
          <w:iCs/>
          <w:sz w:val="20"/>
          <w:szCs w:val="20"/>
        </w:rPr>
        <w:t>Ab</w:t>
      </w:r>
      <w:r>
        <w:rPr>
          <w:i/>
          <w:iCs/>
          <w:sz w:val="20"/>
          <w:szCs w:val="20"/>
        </w:rPr>
        <w:t>satz</w:t>
      </w:r>
      <w:r w:rsidRPr="00531C1E">
        <w:rPr>
          <w:i/>
          <w:iCs/>
          <w:sz w:val="20"/>
          <w:szCs w:val="20"/>
        </w:rPr>
        <w:t> </w:t>
      </w:r>
      <w:r>
        <w:rPr>
          <w:i/>
          <w:iCs/>
          <w:sz w:val="20"/>
          <w:szCs w:val="20"/>
        </w:rPr>
        <w:t>3</w:t>
      </w:r>
      <w:r w:rsidRPr="00531C1E">
        <w:rPr>
          <w:i/>
          <w:iCs/>
          <w:sz w:val="20"/>
          <w:szCs w:val="20"/>
        </w:rPr>
        <w:t xml:space="preserve"> </w:t>
      </w:r>
      <w:r>
        <w:rPr>
          <w:i/>
          <w:iCs/>
          <w:sz w:val="20"/>
          <w:szCs w:val="20"/>
        </w:rPr>
        <w:t>aufgehoben durch Art. </w:t>
      </w:r>
      <w:r w:rsidRPr="00531C1E">
        <w:rPr>
          <w:i/>
          <w:iCs/>
          <w:sz w:val="20"/>
          <w:szCs w:val="20"/>
        </w:rPr>
        <w:t>2 des G. vom 12. Mai 2024 (B.S. vom 29. Mai 2024) - in Kraft am 1. Januar 2025 und anwendbar ab dem Steuerjahr 2026, das sich auf einen Besteuerungszeitraum bezieht, der frühestens am 1. Januar 2025 beginnt -; früherer Absatz </w:t>
      </w:r>
      <w:r w:rsidR="00DB693B">
        <w:rPr>
          <w:i/>
          <w:iCs/>
          <w:sz w:val="20"/>
          <w:szCs w:val="20"/>
        </w:rPr>
        <w:t>4</w:t>
      </w:r>
      <w:r w:rsidRPr="00531C1E">
        <w:rPr>
          <w:i/>
          <w:iCs/>
          <w:sz w:val="20"/>
          <w:szCs w:val="20"/>
        </w:rPr>
        <w:t xml:space="preserve"> aufgehoben durch Art. 10 Nr. 4 des G. vom 25. Dezember 2017 (III) (B.S. vom 29. Dezember 2017) - in Kraft am 1. Januar 2020 und anwendbar ab dem Steuerjahr 2021, das sich auf einen Besteuerungszeitraum bezieht, der frühestens am 1. Januar 2020 beginnt -; </w:t>
      </w:r>
      <w:r w:rsidR="00DB693B">
        <w:rPr>
          <w:i/>
          <w:iCs/>
          <w:sz w:val="20"/>
          <w:szCs w:val="20"/>
        </w:rPr>
        <w:t xml:space="preserve">früherer </w:t>
      </w:r>
      <w:r w:rsidRPr="00531C1E">
        <w:rPr>
          <w:i/>
          <w:iCs/>
          <w:sz w:val="20"/>
          <w:szCs w:val="20"/>
        </w:rPr>
        <w:t>Abs</w:t>
      </w:r>
      <w:r w:rsidR="00DB693B">
        <w:rPr>
          <w:i/>
          <w:iCs/>
          <w:sz w:val="20"/>
          <w:szCs w:val="20"/>
        </w:rPr>
        <w:t>atz</w:t>
      </w:r>
      <w:r w:rsidRPr="00531C1E">
        <w:rPr>
          <w:i/>
          <w:iCs/>
          <w:sz w:val="20"/>
          <w:szCs w:val="20"/>
        </w:rPr>
        <w:t> </w:t>
      </w:r>
      <w:r w:rsidR="00DB693B">
        <w:rPr>
          <w:i/>
          <w:iCs/>
          <w:sz w:val="20"/>
          <w:szCs w:val="20"/>
        </w:rPr>
        <w:t>5</w:t>
      </w:r>
      <w:r w:rsidRPr="00531C1E">
        <w:rPr>
          <w:i/>
          <w:iCs/>
          <w:sz w:val="20"/>
          <w:szCs w:val="20"/>
        </w:rPr>
        <w:t xml:space="preserve"> </w:t>
      </w:r>
      <w:r w:rsidR="00DB693B">
        <w:rPr>
          <w:i/>
          <w:iCs/>
          <w:sz w:val="20"/>
          <w:szCs w:val="20"/>
        </w:rPr>
        <w:t>aufgehoben durch Art. </w:t>
      </w:r>
      <w:r w:rsidR="00DB693B" w:rsidRPr="00DB693B">
        <w:rPr>
          <w:i/>
          <w:iCs/>
          <w:sz w:val="20"/>
          <w:szCs w:val="20"/>
        </w:rPr>
        <w:t>2 des G. vom 12. Mai 2024 (B.S. vom 29. Mai 2024) - in Kraft am 1. Januar 2025 und anwendbar ab dem Steuerjahr 2026, das sich auf einen Besteuerungszeitraum bezieht, der frühestens am 1. Januar 2025 beginnt -</w:t>
      </w:r>
      <w:r w:rsidRPr="00531C1E">
        <w:rPr>
          <w:i/>
          <w:iCs/>
          <w:sz w:val="20"/>
          <w:szCs w:val="20"/>
        </w:rPr>
        <w:t>]</w:t>
      </w:r>
      <w:r w:rsidR="00DB693B">
        <w:rPr>
          <w:sz w:val="20"/>
          <w:szCs w:val="20"/>
        </w:rPr>
        <w:t>"</w:t>
      </w:r>
    </w:p>
    <w:p w14:paraId="02515FFC" w14:textId="63100BEF" w:rsidR="00531C1E" w:rsidRDefault="00531C1E" w:rsidP="00ED6329">
      <w:pPr>
        <w:autoSpaceDE w:val="0"/>
        <w:autoSpaceDN w:val="0"/>
        <w:adjustRightInd w:val="0"/>
        <w:jc w:val="both"/>
        <w:rPr>
          <w:sz w:val="20"/>
          <w:szCs w:val="20"/>
        </w:rPr>
      </w:pPr>
    </w:p>
    <w:p w14:paraId="4E00141A" w14:textId="77777777" w:rsidR="00531C1E" w:rsidRDefault="00531C1E" w:rsidP="00ED6329">
      <w:pPr>
        <w:autoSpaceDE w:val="0"/>
        <w:autoSpaceDN w:val="0"/>
        <w:adjustRightInd w:val="0"/>
        <w:jc w:val="both"/>
        <w:rPr>
          <w:sz w:val="20"/>
          <w:szCs w:val="20"/>
        </w:rPr>
      </w:pPr>
    </w:p>
    <w:p w14:paraId="624C097B" w14:textId="42E7B463" w:rsidR="00ED6329" w:rsidRPr="009118AB" w:rsidRDefault="00ED6329" w:rsidP="00ED6329">
      <w:pPr>
        <w:autoSpaceDE w:val="0"/>
        <w:autoSpaceDN w:val="0"/>
        <w:adjustRightInd w:val="0"/>
        <w:jc w:val="both"/>
        <w:rPr>
          <w:sz w:val="20"/>
          <w:szCs w:val="20"/>
        </w:rPr>
      </w:pPr>
      <w:r w:rsidRPr="009118AB">
        <w:rPr>
          <w:sz w:val="20"/>
          <w:szCs w:val="20"/>
        </w:rPr>
        <w:t>Ab dem 1. Januar 202</w:t>
      </w:r>
      <w:r>
        <w:rPr>
          <w:sz w:val="20"/>
          <w:szCs w:val="20"/>
        </w:rPr>
        <w:t>8</w:t>
      </w:r>
      <w:r w:rsidRPr="009118AB">
        <w:rPr>
          <w:sz w:val="20"/>
          <w:szCs w:val="20"/>
        </w:rPr>
        <w:t xml:space="preserve"> (gemäß Art. </w:t>
      </w:r>
      <w:r>
        <w:rPr>
          <w:sz w:val="20"/>
          <w:szCs w:val="20"/>
        </w:rPr>
        <w:t>6</w:t>
      </w:r>
      <w:r w:rsidRPr="009118AB">
        <w:rPr>
          <w:sz w:val="20"/>
          <w:szCs w:val="20"/>
        </w:rPr>
        <w:t xml:space="preserve"> Abs. </w:t>
      </w:r>
      <w:r>
        <w:rPr>
          <w:sz w:val="20"/>
          <w:szCs w:val="20"/>
        </w:rPr>
        <w:t>4</w:t>
      </w:r>
      <w:r w:rsidRPr="009118AB">
        <w:rPr>
          <w:sz w:val="20"/>
          <w:szCs w:val="20"/>
        </w:rPr>
        <w:t xml:space="preserve"> des G. vom </w:t>
      </w:r>
      <w:r>
        <w:rPr>
          <w:sz w:val="20"/>
          <w:szCs w:val="20"/>
        </w:rPr>
        <w:t>6</w:t>
      </w:r>
      <w:r w:rsidRPr="009118AB">
        <w:rPr>
          <w:sz w:val="20"/>
          <w:szCs w:val="20"/>
        </w:rPr>
        <w:t>. </w:t>
      </w:r>
      <w:r>
        <w:rPr>
          <w:sz w:val="20"/>
          <w:szCs w:val="20"/>
        </w:rPr>
        <w:t>Februar 2024</w:t>
      </w:r>
      <w:r w:rsidRPr="009118AB">
        <w:rPr>
          <w:sz w:val="20"/>
          <w:szCs w:val="20"/>
        </w:rPr>
        <w:t xml:space="preserve"> (B.S. vom </w:t>
      </w:r>
      <w:r>
        <w:rPr>
          <w:sz w:val="20"/>
          <w:szCs w:val="20"/>
        </w:rPr>
        <w:t>20. Februar 2024</w:t>
      </w:r>
      <w:r w:rsidRPr="009118AB">
        <w:rPr>
          <w:sz w:val="20"/>
          <w:szCs w:val="20"/>
        </w:rPr>
        <w:t>)) lautet Art. 6</w:t>
      </w:r>
      <w:r>
        <w:rPr>
          <w:sz w:val="20"/>
          <w:szCs w:val="20"/>
        </w:rPr>
        <w:t>4</w:t>
      </w:r>
      <w:r w:rsidRPr="00E676A0">
        <w:rPr>
          <w:i/>
          <w:iCs/>
          <w:sz w:val="20"/>
          <w:szCs w:val="20"/>
        </w:rPr>
        <w:t>ter</w:t>
      </w:r>
      <w:r w:rsidRPr="009118AB">
        <w:rPr>
          <w:sz w:val="20"/>
          <w:szCs w:val="20"/>
        </w:rPr>
        <w:t xml:space="preserve"> wie folgt:</w:t>
      </w:r>
    </w:p>
    <w:p w14:paraId="1A14A1E8" w14:textId="77777777" w:rsidR="00ED6329" w:rsidRDefault="00ED6329" w:rsidP="00ED6329">
      <w:pPr>
        <w:autoSpaceDE w:val="0"/>
        <w:autoSpaceDN w:val="0"/>
        <w:adjustRightInd w:val="0"/>
        <w:jc w:val="both"/>
      </w:pPr>
    </w:p>
    <w:p w14:paraId="2493FC2D" w14:textId="77777777" w:rsidR="00ED6329" w:rsidRPr="00A34641" w:rsidRDefault="00ED6329" w:rsidP="00ED6329">
      <w:pPr>
        <w:autoSpaceDE w:val="0"/>
        <w:autoSpaceDN w:val="0"/>
        <w:adjustRightInd w:val="0"/>
        <w:jc w:val="both"/>
        <w:rPr>
          <w:sz w:val="20"/>
          <w:szCs w:val="20"/>
        </w:rPr>
      </w:pPr>
      <w:r>
        <w:rPr>
          <w:sz w:val="20"/>
          <w:szCs w:val="20"/>
        </w:rPr>
        <w:t>"</w:t>
      </w:r>
      <w:r w:rsidRPr="00A34641">
        <w:rPr>
          <w:sz w:val="20"/>
          <w:szCs w:val="20"/>
        </w:rPr>
        <w:t>[</w:t>
      </w:r>
      <w:r w:rsidRPr="00470FEC">
        <w:rPr>
          <w:bCs/>
          <w:sz w:val="20"/>
          <w:szCs w:val="20"/>
        </w:rPr>
        <w:t>Art. 64</w:t>
      </w:r>
      <w:r w:rsidRPr="00470FEC">
        <w:rPr>
          <w:bCs/>
          <w:i/>
          <w:sz w:val="20"/>
          <w:szCs w:val="20"/>
        </w:rPr>
        <w:t>ter</w:t>
      </w:r>
      <w:r w:rsidRPr="00470FEC">
        <w:rPr>
          <w:bCs/>
          <w:sz w:val="20"/>
          <w:szCs w:val="20"/>
        </w:rPr>
        <w:t> -</w:t>
      </w:r>
      <w:r w:rsidRPr="00A34641">
        <w:rPr>
          <w:sz w:val="20"/>
          <w:szCs w:val="20"/>
        </w:rPr>
        <w:t> In Höhe von 120 Prozent sind abzugsfähig:</w:t>
      </w:r>
    </w:p>
    <w:p w14:paraId="5C3E1B58" w14:textId="77777777" w:rsidR="00ED6329" w:rsidRPr="00A34641" w:rsidRDefault="00ED6329" w:rsidP="00ED6329">
      <w:pPr>
        <w:autoSpaceDE w:val="0"/>
        <w:autoSpaceDN w:val="0"/>
        <w:adjustRightInd w:val="0"/>
        <w:jc w:val="both"/>
        <w:rPr>
          <w:sz w:val="20"/>
          <w:szCs w:val="20"/>
        </w:rPr>
      </w:pPr>
    </w:p>
    <w:p w14:paraId="55ABE65E" w14:textId="77777777" w:rsidR="00ED6329" w:rsidRPr="00A34641" w:rsidRDefault="00ED6329" w:rsidP="00ED6329">
      <w:pPr>
        <w:autoSpaceDE w:val="0"/>
        <w:autoSpaceDN w:val="0"/>
        <w:adjustRightInd w:val="0"/>
        <w:jc w:val="both"/>
        <w:rPr>
          <w:sz w:val="20"/>
          <w:szCs w:val="20"/>
        </w:rPr>
      </w:pPr>
      <w:r w:rsidRPr="00A34641">
        <w:rPr>
          <w:sz w:val="20"/>
          <w:szCs w:val="20"/>
        </w:rPr>
        <w:t>1. [</w:t>
      </w:r>
      <w:r>
        <w:rPr>
          <w:sz w:val="20"/>
          <w:szCs w:val="20"/>
        </w:rPr>
        <w:t>…</w:t>
      </w:r>
      <w:r w:rsidRPr="00A34641">
        <w:rPr>
          <w:sz w:val="20"/>
          <w:szCs w:val="20"/>
        </w:rPr>
        <w:t>]</w:t>
      </w:r>
    </w:p>
    <w:p w14:paraId="3EB19777" w14:textId="77777777" w:rsidR="00ED6329" w:rsidRPr="00A34641" w:rsidRDefault="00ED6329" w:rsidP="00ED6329">
      <w:pPr>
        <w:autoSpaceDE w:val="0"/>
        <w:autoSpaceDN w:val="0"/>
        <w:adjustRightInd w:val="0"/>
        <w:jc w:val="both"/>
        <w:rPr>
          <w:sz w:val="20"/>
          <w:szCs w:val="20"/>
        </w:rPr>
      </w:pPr>
    </w:p>
    <w:p w14:paraId="3E0C789D" w14:textId="5871DCCE" w:rsidR="00ED6329" w:rsidRPr="00A34641" w:rsidRDefault="00ED6329" w:rsidP="00ED6329">
      <w:pPr>
        <w:autoSpaceDE w:val="0"/>
        <w:autoSpaceDN w:val="0"/>
        <w:adjustRightInd w:val="0"/>
        <w:jc w:val="both"/>
        <w:rPr>
          <w:sz w:val="20"/>
          <w:szCs w:val="20"/>
        </w:rPr>
      </w:pPr>
      <w:r w:rsidRPr="00A34641">
        <w:rPr>
          <w:sz w:val="20"/>
          <w:szCs w:val="20"/>
        </w:rPr>
        <w:t>2. folgende Kosten, die im Bereich Absicherung gemacht oder getragen werden:</w:t>
      </w:r>
    </w:p>
    <w:p w14:paraId="7F7BE457" w14:textId="77777777" w:rsidR="00ED6329" w:rsidRPr="00A34641" w:rsidRDefault="00ED6329" w:rsidP="00ED6329">
      <w:pPr>
        <w:autoSpaceDE w:val="0"/>
        <w:autoSpaceDN w:val="0"/>
        <w:adjustRightInd w:val="0"/>
        <w:jc w:val="both"/>
        <w:rPr>
          <w:sz w:val="20"/>
          <w:szCs w:val="20"/>
        </w:rPr>
      </w:pPr>
    </w:p>
    <w:p w14:paraId="4EF3DE7B" w14:textId="77777777" w:rsidR="00ED6329" w:rsidRPr="00A34641" w:rsidRDefault="00ED6329" w:rsidP="00ED6329">
      <w:pPr>
        <w:autoSpaceDE w:val="0"/>
        <w:autoSpaceDN w:val="0"/>
        <w:adjustRightInd w:val="0"/>
        <w:jc w:val="both"/>
        <w:rPr>
          <w:sz w:val="20"/>
          <w:szCs w:val="20"/>
        </w:rPr>
      </w:pPr>
      <w:r w:rsidRPr="00A34641">
        <w:rPr>
          <w:i/>
          <w:sz w:val="20"/>
          <w:szCs w:val="20"/>
        </w:rPr>
        <w:t>a)</w:t>
      </w:r>
      <w:r w:rsidRPr="00A34641">
        <w:rPr>
          <w:sz w:val="20"/>
          <w:szCs w:val="20"/>
        </w:rPr>
        <w:t xml:space="preserve"> Abonnementkosten für den Anschluss an eine genehmigte Alarmzentrale für die Verwaltung von Alarmmeldungen aus Systemen, die in unbeweglichen Gütern installiert sind, um gegen Personen oder Güter gerichtete Straftaten zu verhüten oder zu bekämpfen,</w:t>
      </w:r>
    </w:p>
    <w:p w14:paraId="7CAAFEB4" w14:textId="77777777" w:rsidR="00ED6329" w:rsidRPr="00A34641" w:rsidRDefault="00ED6329" w:rsidP="00ED6329">
      <w:pPr>
        <w:autoSpaceDE w:val="0"/>
        <w:autoSpaceDN w:val="0"/>
        <w:adjustRightInd w:val="0"/>
        <w:jc w:val="both"/>
        <w:rPr>
          <w:sz w:val="20"/>
          <w:szCs w:val="20"/>
        </w:rPr>
      </w:pPr>
    </w:p>
    <w:p w14:paraId="46FA406B" w14:textId="77777777" w:rsidR="00ED6329" w:rsidRPr="00A34641" w:rsidRDefault="00ED6329" w:rsidP="00ED6329">
      <w:pPr>
        <w:autoSpaceDE w:val="0"/>
        <w:autoSpaceDN w:val="0"/>
        <w:adjustRightInd w:val="0"/>
        <w:jc w:val="both"/>
        <w:rPr>
          <w:sz w:val="20"/>
          <w:szCs w:val="20"/>
        </w:rPr>
      </w:pPr>
      <w:r w:rsidRPr="00A34641">
        <w:rPr>
          <w:i/>
          <w:sz w:val="20"/>
          <w:szCs w:val="20"/>
        </w:rPr>
        <w:t>b)</w:t>
      </w:r>
      <w:r w:rsidRPr="00A34641">
        <w:rPr>
          <w:sz w:val="20"/>
          <w:szCs w:val="20"/>
        </w:rPr>
        <w:t xml:space="preserve"> Kosten im Falle des Rückgriffs auf ein genehmigtes Wachunternehmen für die Durchführung geschützter Transporte wie in Artikel 8 § 1 Nr. 2 des Königlichen Erlasses vom 7. April 2003 zur Regelung bestimmter Überwachungs- und Schutzmethoden für Werttrans</w:t>
      </w:r>
      <w:r w:rsidRPr="00A34641">
        <w:rPr>
          <w:sz w:val="20"/>
          <w:szCs w:val="20"/>
        </w:rPr>
        <w:softHyphen/>
        <w:t>porte und bezüglich der technischen Spezifitäten der Werttransportfahrzeuge erwähnt,</w:t>
      </w:r>
    </w:p>
    <w:p w14:paraId="09861A9F" w14:textId="77777777" w:rsidR="00ED6329" w:rsidRPr="00A34641" w:rsidRDefault="00ED6329" w:rsidP="00ED6329">
      <w:pPr>
        <w:autoSpaceDE w:val="0"/>
        <w:autoSpaceDN w:val="0"/>
        <w:adjustRightInd w:val="0"/>
        <w:jc w:val="both"/>
        <w:rPr>
          <w:sz w:val="20"/>
          <w:szCs w:val="20"/>
        </w:rPr>
      </w:pPr>
    </w:p>
    <w:p w14:paraId="78B7FFC1" w14:textId="77777777" w:rsidR="00ED6329" w:rsidRPr="00A34641" w:rsidRDefault="00ED6329" w:rsidP="00ED6329">
      <w:pPr>
        <w:autoSpaceDE w:val="0"/>
        <w:autoSpaceDN w:val="0"/>
        <w:adjustRightInd w:val="0"/>
        <w:jc w:val="both"/>
        <w:rPr>
          <w:sz w:val="20"/>
          <w:szCs w:val="20"/>
        </w:rPr>
      </w:pPr>
      <w:r w:rsidRPr="00A34641">
        <w:rPr>
          <w:i/>
          <w:sz w:val="20"/>
          <w:szCs w:val="20"/>
        </w:rPr>
        <w:t>c)</w:t>
      </w:r>
      <w:r w:rsidRPr="00A34641">
        <w:rPr>
          <w:sz w:val="20"/>
          <w:szCs w:val="20"/>
        </w:rPr>
        <w:t xml:space="preserve"> Kosten im Falle des gemeinsamen Rückgriffs durch eine Gruppe von Unternehmen auf ein genehmigtes Wachunternehmen für die Ausführung von Bewachungsaufträgen in Bezug auf Bewachung und Schutz von beweglichen und unbeweglichen Gütern,</w:t>
      </w:r>
    </w:p>
    <w:p w14:paraId="45DB7F95" w14:textId="77777777" w:rsidR="00ED6329" w:rsidRPr="00A34641" w:rsidRDefault="00ED6329" w:rsidP="00ED6329">
      <w:pPr>
        <w:autoSpaceDE w:val="0"/>
        <w:autoSpaceDN w:val="0"/>
        <w:adjustRightInd w:val="0"/>
        <w:jc w:val="both"/>
        <w:rPr>
          <w:sz w:val="20"/>
          <w:szCs w:val="20"/>
        </w:rPr>
      </w:pPr>
    </w:p>
    <w:p w14:paraId="63AB1402" w14:textId="45D65EA4" w:rsidR="00ED6329" w:rsidRPr="00A34641" w:rsidRDefault="00ED6329" w:rsidP="00DB693B">
      <w:pPr>
        <w:autoSpaceDE w:val="0"/>
        <w:autoSpaceDN w:val="0"/>
        <w:adjustRightInd w:val="0"/>
        <w:jc w:val="both"/>
        <w:rPr>
          <w:sz w:val="20"/>
          <w:szCs w:val="20"/>
        </w:rPr>
      </w:pPr>
      <w:r w:rsidRPr="00A34641">
        <w:rPr>
          <w:sz w:val="20"/>
          <w:szCs w:val="20"/>
        </w:rPr>
        <w:t xml:space="preserve">[3. </w:t>
      </w:r>
      <w:r w:rsidR="00DB693B">
        <w:rPr>
          <w:sz w:val="20"/>
          <w:szCs w:val="20"/>
        </w:rPr>
        <w:t>[…]</w:t>
      </w:r>
      <w:r w:rsidRPr="00A34641">
        <w:rPr>
          <w:sz w:val="20"/>
          <w:szCs w:val="20"/>
        </w:rPr>
        <w:t>]</w:t>
      </w:r>
    </w:p>
    <w:p w14:paraId="352B79A1" w14:textId="77777777" w:rsidR="00ED6329" w:rsidRPr="00A34641" w:rsidRDefault="00ED6329" w:rsidP="00ED6329">
      <w:pPr>
        <w:autoSpaceDE w:val="0"/>
        <w:autoSpaceDN w:val="0"/>
        <w:adjustRightInd w:val="0"/>
        <w:jc w:val="both"/>
        <w:rPr>
          <w:sz w:val="20"/>
          <w:szCs w:val="20"/>
        </w:rPr>
      </w:pPr>
    </w:p>
    <w:p w14:paraId="5FE5D45A" w14:textId="77777777" w:rsidR="00ED6329" w:rsidRPr="00A34641" w:rsidRDefault="00ED6329" w:rsidP="00ED6329">
      <w:pPr>
        <w:autoSpaceDE w:val="0"/>
        <w:autoSpaceDN w:val="0"/>
        <w:adjustRightInd w:val="0"/>
        <w:jc w:val="both"/>
        <w:rPr>
          <w:sz w:val="20"/>
          <w:szCs w:val="20"/>
        </w:rPr>
      </w:pPr>
      <w:r w:rsidRPr="00A34641">
        <w:rPr>
          <w:sz w:val="20"/>
          <w:szCs w:val="20"/>
        </w:rPr>
        <w:t>[…]</w:t>
      </w:r>
    </w:p>
    <w:p w14:paraId="0F1069C0" w14:textId="77777777" w:rsidR="00ED6329" w:rsidRPr="00A34641" w:rsidRDefault="00ED6329" w:rsidP="00ED6329">
      <w:pPr>
        <w:autoSpaceDE w:val="0"/>
        <w:autoSpaceDN w:val="0"/>
        <w:adjustRightInd w:val="0"/>
        <w:jc w:val="both"/>
        <w:rPr>
          <w:sz w:val="20"/>
          <w:szCs w:val="20"/>
        </w:rPr>
      </w:pPr>
    </w:p>
    <w:p w14:paraId="03B59131" w14:textId="7098A066" w:rsidR="00ED6329" w:rsidRPr="00A34641" w:rsidRDefault="00ED6329" w:rsidP="00ED6329">
      <w:pPr>
        <w:autoSpaceDE w:val="0"/>
        <w:autoSpaceDN w:val="0"/>
        <w:adjustRightInd w:val="0"/>
        <w:jc w:val="both"/>
        <w:rPr>
          <w:sz w:val="20"/>
          <w:szCs w:val="20"/>
        </w:rPr>
      </w:pPr>
      <w:r w:rsidRPr="00A34641">
        <w:rPr>
          <w:sz w:val="20"/>
          <w:szCs w:val="20"/>
        </w:rPr>
        <w:t>[</w:t>
      </w:r>
      <w:r w:rsidR="00DB693B">
        <w:rPr>
          <w:sz w:val="20"/>
          <w:szCs w:val="20"/>
        </w:rPr>
        <w:t>…</w:t>
      </w:r>
      <w:r w:rsidRPr="00A34641">
        <w:rPr>
          <w:sz w:val="20"/>
          <w:szCs w:val="20"/>
        </w:rPr>
        <w:t>]</w:t>
      </w:r>
    </w:p>
    <w:p w14:paraId="678FBF3E" w14:textId="77777777" w:rsidR="00ED6329" w:rsidRPr="00A34641" w:rsidRDefault="00ED6329" w:rsidP="00ED6329">
      <w:pPr>
        <w:autoSpaceDE w:val="0"/>
        <w:autoSpaceDN w:val="0"/>
        <w:adjustRightInd w:val="0"/>
        <w:jc w:val="both"/>
        <w:rPr>
          <w:sz w:val="20"/>
          <w:szCs w:val="20"/>
        </w:rPr>
      </w:pPr>
    </w:p>
    <w:p w14:paraId="10A8A171" w14:textId="77777777" w:rsidR="00ED6329" w:rsidRPr="00A34641" w:rsidRDefault="00ED6329" w:rsidP="00ED6329">
      <w:pPr>
        <w:autoSpaceDE w:val="0"/>
        <w:autoSpaceDN w:val="0"/>
        <w:adjustRightInd w:val="0"/>
        <w:jc w:val="both"/>
        <w:rPr>
          <w:sz w:val="20"/>
          <w:szCs w:val="20"/>
        </w:rPr>
      </w:pPr>
      <w:r w:rsidRPr="00A34641">
        <w:rPr>
          <w:sz w:val="20"/>
          <w:szCs w:val="20"/>
        </w:rPr>
        <w:t>[…]</w:t>
      </w:r>
    </w:p>
    <w:p w14:paraId="30461F74" w14:textId="77777777" w:rsidR="00ED6329" w:rsidRPr="00A34641" w:rsidRDefault="00ED6329" w:rsidP="00ED6329">
      <w:pPr>
        <w:autoSpaceDE w:val="0"/>
        <w:autoSpaceDN w:val="0"/>
        <w:adjustRightInd w:val="0"/>
        <w:jc w:val="both"/>
        <w:rPr>
          <w:sz w:val="20"/>
          <w:szCs w:val="20"/>
        </w:rPr>
      </w:pPr>
    </w:p>
    <w:p w14:paraId="0D316FD9" w14:textId="26AC28F3" w:rsidR="00ED6329" w:rsidRPr="00A34641" w:rsidRDefault="00DB693B" w:rsidP="00ED6329">
      <w:pPr>
        <w:autoSpaceDE w:val="0"/>
        <w:autoSpaceDN w:val="0"/>
        <w:adjustRightInd w:val="0"/>
        <w:jc w:val="both"/>
        <w:rPr>
          <w:sz w:val="20"/>
          <w:szCs w:val="20"/>
        </w:rPr>
      </w:pPr>
      <w:r>
        <w:rPr>
          <w:sz w:val="20"/>
          <w:szCs w:val="20"/>
        </w:rPr>
        <w:t>[…]</w:t>
      </w:r>
      <w:r w:rsidR="00ED6329" w:rsidRPr="00A34641">
        <w:rPr>
          <w:sz w:val="20"/>
          <w:szCs w:val="20"/>
        </w:rPr>
        <w:t>]</w:t>
      </w:r>
    </w:p>
    <w:p w14:paraId="3C9C8EFB" w14:textId="77777777" w:rsidR="00ED6329" w:rsidRPr="00A34641" w:rsidRDefault="00ED6329" w:rsidP="00ED6329">
      <w:pPr>
        <w:autoSpaceDE w:val="0"/>
        <w:autoSpaceDN w:val="0"/>
        <w:adjustRightInd w:val="0"/>
        <w:jc w:val="both"/>
        <w:rPr>
          <w:sz w:val="20"/>
          <w:szCs w:val="20"/>
        </w:rPr>
      </w:pPr>
    </w:p>
    <w:p w14:paraId="5D260108" w14:textId="4B540F0D" w:rsidR="00ED6329" w:rsidRPr="00A34641" w:rsidRDefault="00ED6329" w:rsidP="00ED6329">
      <w:pPr>
        <w:autoSpaceDE w:val="0"/>
        <w:autoSpaceDN w:val="0"/>
        <w:adjustRightInd w:val="0"/>
        <w:jc w:val="both"/>
        <w:rPr>
          <w:sz w:val="20"/>
          <w:szCs w:val="20"/>
        </w:rPr>
      </w:pPr>
      <w:r w:rsidRPr="00A34641">
        <w:rPr>
          <w:i/>
          <w:sz w:val="20"/>
          <w:szCs w:val="20"/>
        </w:rPr>
        <w:t>[Art. 64ter eingefügt durch Art. 54 des G. vom 8. Juni 2008 (B.S. vom 16. Juni 2008) - anwendbar auf die ab dem 1.</w:t>
      </w:r>
      <w:r>
        <w:rPr>
          <w:i/>
          <w:sz w:val="20"/>
          <w:szCs w:val="20"/>
        </w:rPr>
        <w:t> </w:t>
      </w:r>
      <w:r w:rsidRPr="00A34641">
        <w:rPr>
          <w:i/>
          <w:sz w:val="20"/>
          <w:szCs w:val="20"/>
        </w:rPr>
        <w:t xml:space="preserve">Januar 2009 gemachten oder getragenen Kosten -; </w:t>
      </w:r>
      <w:bookmarkStart w:id="8" w:name="_Hlk197957285"/>
      <w:r w:rsidR="0038624E">
        <w:rPr>
          <w:i/>
          <w:sz w:val="20"/>
          <w:szCs w:val="20"/>
        </w:rPr>
        <w:t xml:space="preserve">einziger Absatz (früherer </w:t>
      </w:r>
      <w:r w:rsidRPr="00A34641">
        <w:rPr>
          <w:i/>
          <w:sz w:val="20"/>
          <w:szCs w:val="20"/>
        </w:rPr>
        <w:t>Abs</w:t>
      </w:r>
      <w:r w:rsidR="0038624E">
        <w:rPr>
          <w:i/>
          <w:sz w:val="20"/>
          <w:szCs w:val="20"/>
        </w:rPr>
        <w:t>atz</w:t>
      </w:r>
      <w:r w:rsidRPr="00A34641">
        <w:rPr>
          <w:i/>
          <w:sz w:val="20"/>
          <w:szCs w:val="20"/>
        </w:rPr>
        <w:t> 1</w:t>
      </w:r>
      <w:r w:rsidR="0038624E">
        <w:rPr>
          <w:i/>
          <w:sz w:val="20"/>
          <w:szCs w:val="20"/>
        </w:rPr>
        <w:t>)</w:t>
      </w:r>
      <w:r w:rsidRPr="00A34641">
        <w:rPr>
          <w:i/>
          <w:sz w:val="20"/>
          <w:szCs w:val="20"/>
        </w:rPr>
        <w:t xml:space="preserve"> Nr. 1 aufgehoben durch </w:t>
      </w:r>
      <w:r w:rsidRPr="00A34641">
        <w:rPr>
          <w:i/>
          <w:iCs/>
          <w:sz w:val="20"/>
          <w:szCs w:val="20"/>
        </w:rPr>
        <w:t>Art. 4 Nr. </w:t>
      </w:r>
      <w:r>
        <w:rPr>
          <w:i/>
          <w:iCs/>
          <w:sz w:val="20"/>
          <w:szCs w:val="20"/>
        </w:rPr>
        <w:t>2</w:t>
      </w:r>
      <w:r w:rsidRPr="00A34641">
        <w:rPr>
          <w:i/>
          <w:iCs/>
          <w:sz w:val="20"/>
          <w:szCs w:val="20"/>
        </w:rPr>
        <w:t xml:space="preserve"> des G. vom 6. Februar 2024 (B.S. vom 20. Februar 2024) - in Kraft am </w:t>
      </w:r>
      <w:r w:rsidRPr="006476C0">
        <w:rPr>
          <w:i/>
          <w:iCs/>
          <w:sz w:val="20"/>
          <w:szCs w:val="20"/>
        </w:rPr>
        <w:t xml:space="preserve">1. Januar 2028 und </w:t>
      </w:r>
      <w:r w:rsidRPr="006476C0">
        <w:rPr>
          <w:i/>
          <w:iCs/>
          <w:sz w:val="20"/>
          <w:szCs w:val="20"/>
        </w:rPr>
        <w:lastRenderedPageBreak/>
        <w:t>anwendbar ab dem Steuerjahr 2029, das sich auf einen Besteuerungszeitraum bezieht, der frühestens am 1. Januar 2028 beginnt -</w:t>
      </w:r>
      <w:r w:rsidRPr="00A34641">
        <w:rPr>
          <w:i/>
          <w:iCs/>
          <w:sz w:val="20"/>
          <w:szCs w:val="20"/>
        </w:rPr>
        <w:t>;</w:t>
      </w:r>
      <w:r w:rsidRPr="00A34641">
        <w:rPr>
          <w:i/>
          <w:sz w:val="20"/>
          <w:szCs w:val="20"/>
        </w:rPr>
        <w:t xml:space="preserve"> </w:t>
      </w:r>
      <w:bookmarkEnd w:id="8"/>
      <w:r w:rsidR="0038624E">
        <w:rPr>
          <w:i/>
          <w:sz w:val="20"/>
          <w:szCs w:val="20"/>
        </w:rPr>
        <w:t>einziger Absatz</w:t>
      </w:r>
      <w:r w:rsidRPr="00A34641">
        <w:rPr>
          <w:i/>
          <w:sz w:val="20"/>
          <w:szCs w:val="20"/>
        </w:rPr>
        <w:t xml:space="preserve"> Nr. 3 eingefügt durch Art. 26 Nr. 1</w:t>
      </w:r>
      <w:r w:rsidRPr="00A34641">
        <w:rPr>
          <w:i/>
          <w:iCs/>
          <w:sz w:val="20"/>
          <w:szCs w:val="20"/>
        </w:rPr>
        <w:t xml:space="preserve"> des G. vom 27. März 2009 (B.S. vom 7. April 2009) - anwendbar auf die ab dem 1. Januar 2009 gemachten oder getragenen Kosten -</w:t>
      </w:r>
      <w:r w:rsidR="00DB693B">
        <w:rPr>
          <w:i/>
          <w:iCs/>
          <w:sz w:val="20"/>
          <w:szCs w:val="20"/>
        </w:rPr>
        <w:t xml:space="preserve"> und aufgehoben durch Art. </w:t>
      </w:r>
      <w:r w:rsidR="00DB693B" w:rsidRPr="00DB693B">
        <w:rPr>
          <w:i/>
          <w:iCs/>
          <w:sz w:val="20"/>
          <w:szCs w:val="20"/>
        </w:rPr>
        <w:t>2 des G. vom 12. Mai 2024 (B.S. vom 29. Mai 2024) - in Kraft am 1. Januar 2025 und anwendbar ab dem Steuerjahr 2026, das sich auf einen Besteuerungszeitraum bezieht, der frühestens am 1. Januar 2025 beginnt -</w:t>
      </w:r>
      <w:r w:rsidRPr="00A34641">
        <w:rPr>
          <w:i/>
          <w:iCs/>
          <w:sz w:val="20"/>
          <w:szCs w:val="20"/>
        </w:rPr>
        <w:t xml:space="preserve">; früherer Absatz 2 aufgehoben durch Art. 10 Nr. 2 des G. vom 25. Dezember 2017 (III) (B.S. vom 29. Dezember 2017) - in Kraft am 1. Januar 2020 und anwendbar ab dem Steuerjahr 2021, das sich auf einen Besteuerungszeitraum bezieht, der frühestens am 1. Januar 2020 beginnt -; </w:t>
      </w:r>
      <w:r w:rsidR="00DB693B">
        <w:rPr>
          <w:i/>
          <w:iCs/>
          <w:sz w:val="20"/>
          <w:szCs w:val="20"/>
        </w:rPr>
        <w:t xml:space="preserve">früherer </w:t>
      </w:r>
      <w:r w:rsidR="00DB693B" w:rsidRPr="00531C1E">
        <w:rPr>
          <w:i/>
          <w:iCs/>
          <w:sz w:val="20"/>
          <w:szCs w:val="20"/>
        </w:rPr>
        <w:t>Ab</w:t>
      </w:r>
      <w:r w:rsidR="00DB693B">
        <w:rPr>
          <w:i/>
          <w:iCs/>
          <w:sz w:val="20"/>
          <w:szCs w:val="20"/>
        </w:rPr>
        <w:t>satz</w:t>
      </w:r>
      <w:r w:rsidR="00DB693B" w:rsidRPr="00531C1E">
        <w:rPr>
          <w:i/>
          <w:iCs/>
          <w:sz w:val="20"/>
          <w:szCs w:val="20"/>
        </w:rPr>
        <w:t> </w:t>
      </w:r>
      <w:r w:rsidR="00DB693B">
        <w:rPr>
          <w:i/>
          <w:iCs/>
          <w:sz w:val="20"/>
          <w:szCs w:val="20"/>
        </w:rPr>
        <w:t>3</w:t>
      </w:r>
      <w:r w:rsidR="00DB693B" w:rsidRPr="00531C1E">
        <w:rPr>
          <w:i/>
          <w:iCs/>
          <w:sz w:val="20"/>
          <w:szCs w:val="20"/>
        </w:rPr>
        <w:t xml:space="preserve"> </w:t>
      </w:r>
      <w:r w:rsidR="00DB693B">
        <w:rPr>
          <w:i/>
          <w:iCs/>
          <w:sz w:val="20"/>
          <w:szCs w:val="20"/>
        </w:rPr>
        <w:t>aufgehoben durch Art. </w:t>
      </w:r>
      <w:r w:rsidR="00DB693B" w:rsidRPr="00531C1E">
        <w:rPr>
          <w:i/>
          <w:iCs/>
          <w:sz w:val="20"/>
          <w:szCs w:val="20"/>
        </w:rPr>
        <w:t>2 des G. vom 12. Mai 2024 (B.S. vom 29. Mai 2024) - in Kraft am 1. Januar 2025 und anwendbar ab dem Steuerjahr 2026, das sich auf einen Besteuerungszeitraum bezieht, der frühestens am 1. Januar 2025 beginnt -; früherer Absatz </w:t>
      </w:r>
      <w:r w:rsidR="00DB693B">
        <w:rPr>
          <w:i/>
          <w:iCs/>
          <w:sz w:val="20"/>
          <w:szCs w:val="20"/>
        </w:rPr>
        <w:t>4</w:t>
      </w:r>
      <w:r w:rsidR="00DB693B" w:rsidRPr="00531C1E">
        <w:rPr>
          <w:i/>
          <w:iCs/>
          <w:sz w:val="20"/>
          <w:szCs w:val="20"/>
        </w:rPr>
        <w:t xml:space="preserve"> aufgehoben durch Art. 10 Nr. 4 des G. vom 25. Dezember 2017 (III) (B.S. vom 29. Dezember 2017) - in Kraft am 1. Januar 2020 und anwendbar ab dem Steuerjahr 2021, das sich auf einen Besteuerungszeitraum bezieht, der frühestens am 1. Januar 2020 beginnt -; </w:t>
      </w:r>
      <w:r w:rsidR="00DB693B">
        <w:rPr>
          <w:i/>
          <w:iCs/>
          <w:sz w:val="20"/>
          <w:szCs w:val="20"/>
        </w:rPr>
        <w:t xml:space="preserve">früherer </w:t>
      </w:r>
      <w:r w:rsidR="00DB693B" w:rsidRPr="00531C1E">
        <w:rPr>
          <w:i/>
          <w:iCs/>
          <w:sz w:val="20"/>
          <w:szCs w:val="20"/>
        </w:rPr>
        <w:t>Abs</w:t>
      </w:r>
      <w:r w:rsidR="00DB693B">
        <w:rPr>
          <w:i/>
          <w:iCs/>
          <w:sz w:val="20"/>
          <w:szCs w:val="20"/>
        </w:rPr>
        <w:t>atz</w:t>
      </w:r>
      <w:r w:rsidR="00DB693B" w:rsidRPr="00531C1E">
        <w:rPr>
          <w:i/>
          <w:iCs/>
          <w:sz w:val="20"/>
          <w:szCs w:val="20"/>
        </w:rPr>
        <w:t> </w:t>
      </w:r>
      <w:r w:rsidR="00DB693B">
        <w:rPr>
          <w:i/>
          <w:iCs/>
          <w:sz w:val="20"/>
          <w:szCs w:val="20"/>
        </w:rPr>
        <w:t>5</w:t>
      </w:r>
      <w:r w:rsidR="00DB693B" w:rsidRPr="00531C1E">
        <w:rPr>
          <w:i/>
          <w:iCs/>
          <w:sz w:val="20"/>
          <w:szCs w:val="20"/>
        </w:rPr>
        <w:t xml:space="preserve"> </w:t>
      </w:r>
      <w:r w:rsidR="00DB693B">
        <w:rPr>
          <w:i/>
          <w:iCs/>
          <w:sz w:val="20"/>
          <w:szCs w:val="20"/>
        </w:rPr>
        <w:t>aufgehoben durch Art. </w:t>
      </w:r>
      <w:r w:rsidR="00DB693B" w:rsidRPr="00DB693B">
        <w:rPr>
          <w:i/>
          <w:iCs/>
          <w:sz w:val="20"/>
          <w:szCs w:val="20"/>
        </w:rPr>
        <w:t>2 des G. vom 12. Mai 2024 (B.S. vom 29. Mai 2024) - in Kraft am 1. Januar 2025 und anwendbar ab dem Steuerjahr 2026, das sich auf einen Besteuerungszeitraum bezieht, der frühestens am 1. Januar 2025 beginnt -</w:t>
      </w:r>
      <w:r w:rsidRPr="00A34641">
        <w:rPr>
          <w:i/>
          <w:iCs/>
          <w:sz w:val="20"/>
          <w:szCs w:val="20"/>
        </w:rPr>
        <w:t>]</w:t>
      </w:r>
      <w:r w:rsidRPr="00F83291">
        <w:rPr>
          <w:sz w:val="20"/>
          <w:szCs w:val="20"/>
        </w:rPr>
        <w:t>"</w:t>
      </w:r>
    </w:p>
    <w:p w14:paraId="02065F20" w14:textId="0FE14497" w:rsidR="00E12E75" w:rsidRPr="009118AB" w:rsidRDefault="00E12E75" w:rsidP="00E12E75">
      <w:pPr>
        <w:autoSpaceDE w:val="0"/>
        <w:autoSpaceDN w:val="0"/>
        <w:adjustRightInd w:val="0"/>
        <w:jc w:val="both"/>
      </w:pPr>
    </w:p>
    <w:p w14:paraId="50111658" w14:textId="3A92FE5E" w:rsidR="00913FEB" w:rsidRPr="009118AB" w:rsidRDefault="00913FEB" w:rsidP="00E12E75">
      <w:pPr>
        <w:autoSpaceDE w:val="0"/>
        <w:autoSpaceDN w:val="0"/>
        <w:adjustRightInd w:val="0"/>
        <w:jc w:val="both"/>
      </w:pPr>
    </w:p>
    <w:p w14:paraId="4B2FF636" w14:textId="26416EE9" w:rsidR="00913FEB" w:rsidRPr="009118AB" w:rsidRDefault="00913FEB" w:rsidP="00913FEB">
      <w:pPr>
        <w:jc w:val="both"/>
        <w:rPr>
          <w:rFonts w:eastAsia="Calibri"/>
          <w:lang w:eastAsia="en-US"/>
        </w:rPr>
      </w:pPr>
      <w:r w:rsidRPr="009118AB">
        <w:tab/>
        <w:t>[</w:t>
      </w:r>
      <w:r w:rsidR="00D67EB8" w:rsidRPr="009118AB">
        <w:rPr>
          <w:rFonts w:eastAsia="Calibri"/>
          <w:b/>
          <w:bCs/>
          <w:szCs w:val="22"/>
          <w:lang w:eastAsia="en-US"/>
        </w:rPr>
        <w:t>Art. </w:t>
      </w:r>
      <w:r w:rsidRPr="009118AB">
        <w:rPr>
          <w:rFonts w:eastAsia="Calibri"/>
          <w:b/>
          <w:bCs/>
          <w:szCs w:val="22"/>
          <w:lang w:eastAsia="en-US"/>
        </w:rPr>
        <w:t>64</w:t>
      </w:r>
      <w:r w:rsidRPr="009118AB">
        <w:rPr>
          <w:rFonts w:eastAsia="Calibri"/>
          <w:b/>
          <w:bCs/>
          <w:i/>
          <w:iCs/>
          <w:szCs w:val="22"/>
          <w:lang w:eastAsia="en-US"/>
        </w:rPr>
        <w:t>quater</w:t>
      </w:r>
      <w:r w:rsidR="00D67EB8" w:rsidRPr="009118AB">
        <w:rPr>
          <w:rFonts w:eastAsia="Calibri"/>
          <w:szCs w:val="22"/>
          <w:lang w:eastAsia="en-US"/>
        </w:rPr>
        <w:t> - </w:t>
      </w:r>
      <w:r w:rsidRPr="009118AB">
        <w:rPr>
          <w:rFonts w:eastAsia="Calibri"/>
          <w:szCs w:val="22"/>
          <w:lang w:eastAsia="en-US"/>
        </w:rPr>
        <w:t xml:space="preserve">Abschreibungen in Bezug auf öffentlich zugängliche </w:t>
      </w:r>
      <w:r w:rsidR="00BF6CDC" w:rsidRPr="009118AB">
        <w:rPr>
          <w:rFonts w:eastAsia="Calibri"/>
          <w:szCs w:val="22"/>
          <w:lang w:eastAsia="en-US"/>
        </w:rPr>
        <w:t xml:space="preserve">[feste] </w:t>
      </w:r>
      <w:r w:rsidRPr="009118AB">
        <w:rPr>
          <w:rFonts w:eastAsia="Calibri"/>
          <w:szCs w:val="22"/>
          <w:lang w:eastAsia="en-US"/>
        </w:rPr>
        <w:t>Ladestationen für Elektrofahrzeuge, die in Neuzustand erworben oder errichtet wurden, sind abzugsfähig:</w:t>
      </w:r>
    </w:p>
    <w:p w14:paraId="0A05621E" w14:textId="77777777" w:rsidR="00913FEB" w:rsidRPr="009118AB" w:rsidRDefault="00913FEB" w:rsidP="00913FEB">
      <w:pPr>
        <w:jc w:val="both"/>
        <w:rPr>
          <w:rFonts w:eastAsia="Calibri"/>
          <w:lang w:eastAsia="en-US"/>
        </w:rPr>
      </w:pPr>
    </w:p>
    <w:p w14:paraId="0B91CCFA" w14:textId="3ED4FCC4" w:rsidR="00913FEB" w:rsidRPr="009118AB" w:rsidRDefault="00913FEB" w:rsidP="00913FEB">
      <w:pPr>
        <w:jc w:val="both"/>
        <w:rPr>
          <w:rFonts w:eastAsia="Calibri"/>
          <w:lang w:eastAsia="en-US"/>
        </w:rPr>
      </w:pPr>
      <w:r w:rsidRPr="009118AB">
        <w:rPr>
          <w:rFonts w:eastAsia="Calibri"/>
          <w:szCs w:val="22"/>
          <w:lang w:eastAsia="en-US"/>
        </w:rPr>
        <w:tab/>
        <w:t xml:space="preserve">- in Höhe von 200 Prozent für Abschreibungen in Bezug auf Investitionen, die im Zeitraum vom 1. September 2021 </w:t>
      </w:r>
      <w:r w:rsidR="00F93A9B" w:rsidRPr="009118AB">
        <w:rPr>
          <w:rFonts w:eastAsia="Calibri"/>
          <w:szCs w:val="22"/>
          <w:lang w:eastAsia="en-US"/>
        </w:rPr>
        <w:t>[</w:t>
      </w:r>
      <w:r w:rsidRPr="009118AB">
        <w:rPr>
          <w:rFonts w:eastAsia="Calibri"/>
          <w:szCs w:val="22"/>
          <w:lang w:eastAsia="en-US"/>
        </w:rPr>
        <w:t>bis zum 31. </w:t>
      </w:r>
      <w:r w:rsidR="00F93A9B" w:rsidRPr="009118AB">
        <w:rPr>
          <w:rFonts w:eastAsia="Calibri"/>
          <w:szCs w:val="22"/>
          <w:lang w:eastAsia="en-US"/>
        </w:rPr>
        <w:t>März</w:t>
      </w:r>
      <w:r w:rsidRPr="009118AB">
        <w:rPr>
          <w:rFonts w:eastAsia="Calibri"/>
          <w:szCs w:val="22"/>
          <w:lang w:eastAsia="en-US"/>
        </w:rPr>
        <w:t> 202</w:t>
      </w:r>
      <w:r w:rsidR="00F93A9B" w:rsidRPr="009118AB">
        <w:rPr>
          <w:rFonts w:eastAsia="Calibri"/>
          <w:szCs w:val="22"/>
          <w:lang w:eastAsia="en-US"/>
        </w:rPr>
        <w:t>3]</w:t>
      </w:r>
      <w:r w:rsidRPr="009118AB">
        <w:rPr>
          <w:rFonts w:eastAsia="Calibri"/>
          <w:szCs w:val="22"/>
          <w:lang w:eastAsia="en-US"/>
        </w:rPr>
        <w:t xml:space="preserve"> einschließlich getätigt werden,</w:t>
      </w:r>
    </w:p>
    <w:p w14:paraId="73714F82" w14:textId="77777777" w:rsidR="00913FEB" w:rsidRPr="009118AB" w:rsidRDefault="00913FEB" w:rsidP="00913FEB">
      <w:pPr>
        <w:jc w:val="both"/>
        <w:rPr>
          <w:rFonts w:eastAsia="Calibri"/>
          <w:lang w:eastAsia="en-US"/>
        </w:rPr>
      </w:pPr>
    </w:p>
    <w:p w14:paraId="5D04335F" w14:textId="6ADEDE0C" w:rsidR="00913FEB" w:rsidRPr="009118AB" w:rsidRDefault="00913FEB" w:rsidP="00913FEB">
      <w:pPr>
        <w:jc w:val="both"/>
        <w:rPr>
          <w:rFonts w:eastAsia="Calibri"/>
          <w:lang w:eastAsia="en-US"/>
        </w:rPr>
      </w:pPr>
      <w:r w:rsidRPr="009118AB">
        <w:rPr>
          <w:rFonts w:eastAsia="Calibri"/>
          <w:szCs w:val="22"/>
          <w:lang w:eastAsia="en-US"/>
        </w:rPr>
        <w:tab/>
        <w:t xml:space="preserve">- in Höhe von 150 Prozent für Abschreibungen in Bezug auf Investitionen, die im Zeitraum </w:t>
      </w:r>
      <w:r w:rsidR="00F93A9B" w:rsidRPr="009118AB">
        <w:rPr>
          <w:rFonts w:eastAsia="Calibri"/>
          <w:szCs w:val="22"/>
          <w:lang w:eastAsia="en-US"/>
        </w:rPr>
        <w:t>[</w:t>
      </w:r>
      <w:r w:rsidRPr="009118AB">
        <w:rPr>
          <w:rFonts w:eastAsia="Calibri"/>
          <w:szCs w:val="22"/>
          <w:lang w:eastAsia="en-US"/>
        </w:rPr>
        <w:t>vom 1. </w:t>
      </w:r>
      <w:r w:rsidR="00F93A9B" w:rsidRPr="009118AB">
        <w:rPr>
          <w:rFonts w:eastAsia="Calibri"/>
          <w:szCs w:val="22"/>
          <w:lang w:eastAsia="en-US"/>
        </w:rPr>
        <w:t>April</w:t>
      </w:r>
      <w:r w:rsidRPr="009118AB">
        <w:rPr>
          <w:rFonts w:eastAsia="Calibri"/>
          <w:szCs w:val="22"/>
          <w:lang w:eastAsia="en-US"/>
        </w:rPr>
        <w:t> 2023</w:t>
      </w:r>
      <w:r w:rsidR="00F93A9B" w:rsidRPr="009118AB">
        <w:rPr>
          <w:rFonts w:eastAsia="Calibri"/>
          <w:szCs w:val="22"/>
          <w:lang w:eastAsia="en-US"/>
        </w:rPr>
        <w:t>]</w:t>
      </w:r>
      <w:r w:rsidRPr="009118AB">
        <w:rPr>
          <w:rFonts w:eastAsia="Calibri"/>
          <w:szCs w:val="22"/>
          <w:lang w:eastAsia="en-US"/>
        </w:rPr>
        <w:t xml:space="preserve"> bis zum 31. August 2024 einschließlich getätigt werden.</w:t>
      </w:r>
    </w:p>
    <w:p w14:paraId="0533BB2D" w14:textId="77777777" w:rsidR="00913FEB" w:rsidRPr="009118AB" w:rsidRDefault="00913FEB" w:rsidP="00913FEB">
      <w:pPr>
        <w:jc w:val="both"/>
        <w:rPr>
          <w:rFonts w:eastAsia="Calibri"/>
          <w:lang w:eastAsia="en-US"/>
        </w:rPr>
      </w:pPr>
    </w:p>
    <w:p w14:paraId="2CA063E6" w14:textId="32B67C9E" w:rsidR="00913FEB" w:rsidRPr="009118AB" w:rsidRDefault="00913FEB" w:rsidP="00BF6CDC">
      <w:pPr>
        <w:ind w:firstLine="709"/>
        <w:jc w:val="both"/>
        <w:rPr>
          <w:rFonts w:eastAsia="Calibri"/>
          <w:lang w:eastAsia="en-US"/>
        </w:rPr>
      </w:pPr>
      <w:r w:rsidRPr="009118AB">
        <w:rPr>
          <w:rFonts w:eastAsia="Calibri"/>
          <w:szCs w:val="22"/>
          <w:lang w:eastAsia="en-US"/>
        </w:rPr>
        <w:t>Der in Absatz 1 erwähnte erhöhte Abzug ist wie folgt anwendbar:</w:t>
      </w:r>
    </w:p>
    <w:p w14:paraId="20252B06" w14:textId="77777777" w:rsidR="00913FEB" w:rsidRPr="009118AB" w:rsidRDefault="00913FEB" w:rsidP="00913FEB">
      <w:pPr>
        <w:jc w:val="both"/>
        <w:rPr>
          <w:rFonts w:eastAsia="Calibri"/>
          <w:lang w:eastAsia="en-US"/>
        </w:rPr>
      </w:pPr>
    </w:p>
    <w:p w14:paraId="4CF04F0F" w14:textId="77777777" w:rsidR="00913FEB" w:rsidRPr="009118AB" w:rsidRDefault="00913FEB" w:rsidP="00913FEB">
      <w:pPr>
        <w:jc w:val="both"/>
        <w:rPr>
          <w:rFonts w:eastAsia="Calibri"/>
          <w:lang w:eastAsia="en-US"/>
        </w:rPr>
      </w:pPr>
      <w:r w:rsidRPr="009118AB">
        <w:rPr>
          <w:rFonts w:eastAsia="Calibri"/>
          <w:szCs w:val="22"/>
          <w:lang w:eastAsia="en-US"/>
        </w:rPr>
        <w:tab/>
        <w:t>- nur dann, wenn die Ladestation linear über mindestens fünf Besteuerungszeiträume abgeschrieben wird,</w:t>
      </w:r>
    </w:p>
    <w:p w14:paraId="3A15D009" w14:textId="77777777" w:rsidR="00913FEB" w:rsidRPr="009118AB" w:rsidRDefault="00913FEB" w:rsidP="00913FEB">
      <w:pPr>
        <w:jc w:val="both"/>
        <w:rPr>
          <w:rFonts w:eastAsia="Calibri"/>
          <w:lang w:eastAsia="en-US"/>
        </w:rPr>
      </w:pPr>
    </w:p>
    <w:p w14:paraId="71DABE16" w14:textId="536104D3" w:rsidR="00913FEB" w:rsidRPr="009118AB" w:rsidRDefault="00913FEB" w:rsidP="00913FEB">
      <w:pPr>
        <w:jc w:val="both"/>
        <w:rPr>
          <w:rFonts w:eastAsia="Calibri"/>
          <w:lang w:eastAsia="en-US"/>
        </w:rPr>
      </w:pPr>
      <w:r w:rsidRPr="009118AB">
        <w:rPr>
          <w:rFonts w:eastAsia="Calibri"/>
          <w:szCs w:val="22"/>
          <w:lang w:eastAsia="en-US"/>
        </w:rPr>
        <w:tab/>
        <w:t xml:space="preserve">- nur dann, wenn für die Ausgaben in Bezug auf die Ladestation </w:t>
      </w:r>
      <w:r w:rsidR="00F93A9B" w:rsidRPr="009118AB">
        <w:rPr>
          <w:rFonts w:eastAsia="Calibri"/>
          <w:szCs w:val="22"/>
          <w:lang w:eastAsia="en-US"/>
        </w:rPr>
        <w:t>[</w:t>
      </w:r>
      <w:r w:rsidR="00F93A9B" w:rsidRPr="009118AB">
        <w:rPr>
          <w:rFonts w:eastAsia="Calibri"/>
          <w:kern w:val="2"/>
          <w:szCs w:val="22"/>
          <w:lang w:eastAsia="en-US"/>
          <w14:ligatures w14:val="standardContextual"/>
        </w:rPr>
        <w:t>der in Artikel 69 erwähnte Investitionsabzug</w:t>
      </w:r>
      <w:r w:rsidR="00F93A9B" w:rsidRPr="009118AB">
        <w:rPr>
          <w:rFonts w:eastAsia="Calibri"/>
          <w:szCs w:val="22"/>
          <w:lang w:eastAsia="en-US"/>
        </w:rPr>
        <w:t>]</w:t>
      </w:r>
      <w:r w:rsidRPr="009118AB">
        <w:rPr>
          <w:rFonts w:eastAsia="Calibri"/>
          <w:szCs w:val="22"/>
          <w:lang w:eastAsia="en-US"/>
        </w:rPr>
        <w:t xml:space="preserve"> nicht in Anspruch genommen wird,</w:t>
      </w:r>
    </w:p>
    <w:p w14:paraId="6FBB4382" w14:textId="77777777" w:rsidR="00913FEB" w:rsidRPr="009118AB" w:rsidRDefault="00913FEB" w:rsidP="00913FEB">
      <w:pPr>
        <w:jc w:val="both"/>
        <w:rPr>
          <w:rFonts w:eastAsia="Calibri"/>
          <w:lang w:eastAsia="en-US"/>
        </w:rPr>
      </w:pPr>
    </w:p>
    <w:p w14:paraId="7E19B341" w14:textId="77777777" w:rsidR="00913FEB" w:rsidRPr="009118AB" w:rsidRDefault="00913FEB" w:rsidP="00913FEB">
      <w:pPr>
        <w:jc w:val="both"/>
        <w:rPr>
          <w:rFonts w:eastAsia="Calibri"/>
          <w:lang w:eastAsia="en-US"/>
        </w:rPr>
      </w:pPr>
      <w:r w:rsidRPr="009118AB">
        <w:rPr>
          <w:rFonts w:eastAsia="Calibri"/>
          <w:szCs w:val="22"/>
          <w:lang w:eastAsia="en-US"/>
        </w:rPr>
        <w:tab/>
        <w:t>- frühestens ab dem Steuerjahr, das sich auf den Besteuerungszeitraum bezieht, in dem die Ladestation betriebsbereit und öffentlich zugänglich ist,</w:t>
      </w:r>
    </w:p>
    <w:p w14:paraId="3AFECD82" w14:textId="77777777" w:rsidR="00913FEB" w:rsidRPr="009118AB" w:rsidRDefault="00913FEB" w:rsidP="00913FEB">
      <w:pPr>
        <w:jc w:val="both"/>
        <w:rPr>
          <w:rFonts w:eastAsia="Calibri"/>
          <w:lang w:eastAsia="en-US"/>
        </w:rPr>
      </w:pPr>
    </w:p>
    <w:p w14:paraId="5C1EC8AB" w14:textId="7326C786" w:rsidR="00913FEB" w:rsidRPr="009118AB" w:rsidRDefault="00913FEB" w:rsidP="00913FEB">
      <w:pPr>
        <w:jc w:val="both"/>
        <w:rPr>
          <w:rFonts w:eastAsia="Calibri"/>
          <w:szCs w:val="22"/>
          <w:lang w:eastAsia="en-US"/>
        </w:rPr>
      </w:pPr>
      <w:r w:rsidRPr="009118AB">
        <w:rPr>
          <w:rFonts w:eastAsia="Calibri"/>
          <w:szCs w:val="22"/>
          <w:lang w:eastAsia="en-US"/>
        </w:rPr>
        <w:tab/>
        <w:t xml:space="preserve">- was die nachfolgenden Steuerjahre betrifft, nur für diejenigen, die sich auf einen Besteuerungszeitraum beziehen, in dem während des gesamten Zeitraums die in Absatz 3 </w:t>
      </w:r>
      <w:r w:rsidR="004F7754" w:rsidRPr="009118AB">
        <w:rPr>
          <w:rFonts w:eastAsia="Calibri"/>
          <w:szCs w:val="22"/>
          <w:lang w:eastAsia="en-US"/>
        </w:rPr>
        <w:t>[...]</w:t>
      </w:r>
      <w:r w:rsidRPr="009118AB">
        <w:rPr>
          <w:rFonts w:eastAsia="Calibri"/>
          <w:szCs w:val="22"/>
          <w:lang w:eastAsia="en-US"/>
        </w:rPr>
        <w:t xml:space="preserve"> erwähnte Bedingung erfüllt ist, wobei Unzugänglichkeiten, die unabhängig vom Willen des Steuerpflichtigen sind, nicht berücksichtigt werden</w:t>
      </w:r>
      <w:r w:rsidR="00BF6CDC" w:rsidRPr="009118AB">
        <w:rPr>
          <w:rFonts w:eastAsia="Calibri"/>
          <w:szCs w:val="22"/>
          <w:lang w:eastAsia="en-US"/>
        </w:rPr>
        <w:t>,</w:t>
      </w:r>
    </w:p>
    <w:p w14:paraId="0CA7C5C4" w14:textId="77777777" w:rsidR="00BF6CDC" w:rsidRPr="009118AB" w:rsidRDefault="00BF6CDC" w:rsidP="00913FEB">
      <w:pPr>
        <w:jc w:val="both"/>
        <w:rPr>
          <w:rFonts w:eastAsia="Calibri"/>
          <w:szCs w:val="22"/>
          <w:lang w:eastAsia="en-US"/>
        </w:rPr>
      </w:pPr>
    </w:p>
    <w:p w14:paraId="01096795" w14:textId="1003BCB2" w:rsidR="00BF6CDC" w:rsidRPr="009118AB" w:rsidRDefault="00BF6CDC" w:rsidP="00913FEB">
      <w:pPr>
        <w:jc w:val="both"/>
        <w:rPr>
          <w:rFonts w:eastAsia="Calibri"/>
          <w:lang w:eastAsia="en-US"/>
        </w:rPr>
      </w:pPr>
      <w:r w:rsidRPr="009118AB">
        <w:rPr>
          <w:rFonts w:eastAsia="Calibri"/>
          <w:szCs w:val="22"/>
          <w:lang w:eastAsia="en-US"/>
        </w:rPr>
        <w:tab/>
        <w:t>[</w:t>
      </w:r>
      <w:r w:rsidRPr="009118AB">
        <w:rPr>
          <w:lang w:eastAsia="fr-BE"/>
        </w:rPr>
        <w:t>- </w:t>
      </w:r>
      <w:r w:rsidR="00F93A9B" w:rsidRPr="009118AB">
        <w:rPr>
          <w:lang w:eastAsia="fr-BE"/>
        </w:rPr>
        <w:t>[...]</w:t>
      </w:r>
      <w:r w:rsidR="001A4CEB" w:rsidRPr="009118AB">
        <w:rPr>
          <w:lang w:eastAsia="fr-BE"/>
        </w:rPr>
        <w:t>.</w:t>
      </w:r>
      <w:r w:rsidRPr="009118AB">
        <w:rPr>
          <w:rFonts w:eastAsia="Calibri"/>
          <w:szCs w:val="22"/>
          <w:lang w:eastAsia="en-US"/>
        </w:rPr>
        <w:t>]</w:t>
      </w:r>
    </w:p>
    <w:p w14:paraId="24053D29" w14:textId="77777777" w:rsidR="00913FEB" w:rsidRPr="009118AB" w:rsidRDefault="00913FEB" w:rsidP="00913FEB">
      <w:pPr>
        <w:jc w:val="both"/>
        <w:rPr>
          <w:rFonts w:eastAsia="Calibri"/>
          <w:lang w:eastAsia="en-US"/>
        </w:rPr>
      </w:pPr>
    </w:p>
    <w:p w14:paraId="2F41ECC9" w14:textId="515F7439" w:rsidR="00913FEB" w:rsidRPr="009118AB" w:rsidRDefault="00913FEB" w:rsidP="00BF6CDC">
      <w:pPr>
        <w:jc w:val="both"/>
        <w:rPr>
          <w:rFonts w:eastAsia="Calibri"/>
          <w:lang w:eastAsia="en-US"/>
        </w:rPr>
      </w:pPr>
      <w:r w:rsidRPr="009118AB">
        <w:rPr>
          <w:rFonts w:eastAsia="Calibri"/>
          <w:szCs w:val="22"/>
          <w:lang w:eastAsia="en-US"/>
        </w:rPr>
        <w:tab/>
      </w:r>
      <w:r w:rsidR="00BF6CDC" w:rsidRPr="009118AB">
        <w:rPr>
          <w:rFonts w:eastAsia="Calibri"/>
          <w:szCs w:val="22"/>
          <w:lang w:eastAsia="en-US"/>
        </w:rPr>
        <w:t>[</w:t>
      </w:r>
      <w:r w:rsidR="00BF6CDC" w:rsidRPr="009118AB">
        <w:rPr>
          <w:lang w:eastAsia="fr-BE"/>
        </w:rPr>
        <w:t>Für die Anwendung des vorliegenden Artikels gilt eine Ladestation als öffentlich zugänglich, wenn sie mindestens während der üblichen Öffnungszeiten oder Schließzeiten des Unternehmens für jeden Dritten frei zugänglich ist.]</w:t>
      </w:r>
    </w:p>
    <w:p w14:paraId="0F25B157" w14:textId="77777777" w:rsidR="00913FEB" w:rsidRPr="009118AB" w:rsidRDefault="00913FEB" w:rsidP="00913FEB">
      <w:pPr>
        <w:jc w:val="both"/>
        <w:rPr>
          <w:rFonts w:eastAsia="Calibri"/>
          <w:lang w:eastAsia="en-US"/>
        </w:rPr>
      </w:pPr>
    </w:p>
    <w:p w14:paraId="341113AC" w14:textId="61D677E4" w:rsidR="00913FEB" w:rsidRPr="009118AB" w:rsidRDefault="00913FEB" w:rsidP="00913FEB">
      <w:pPr>
        <w:jc w:val="both"/>
        <w:rPr>
          <w:rFonts w:eastAsia="Calibri"/>
          <w:lang w:eastAsia="en-US"/>
        </w:rPr>
      </w:pPr>
      <w:r w:rsidRPr="009118AB">
        <w:rPr>
          <w:rFonts w:eastAsia="Calibri"/>
          <w:szCs w:val="22"/>
          <w:lang w:eastAsia="en-US"/>
        </w:rPr>
        <w:tab/>
        <w:t>Nur Ladestationen, die über ein standardisiertes Protokoll digital mit einem Managementsystem</w:t>
      </w:r>
      <w:r w:rsidR="00D67EB8" w:rsidRPr="009118AB">
        <w:rPr>
          <w:rFonts w:eastAsia="Calibri"/>
          <w:szCs w:val="22"/>
          <w:lang w:eastAsia="en-US"/>
        </w:rPr>
        <w:t> - </w:t>
      </w:r>
      <w:r w:rsidRPr="009118AB">
        <w:rPr>
          <w:rFonts w:eastAsia="Calibri"/>
          <w:szCs w:val="22"/>
          <w:lang w:eastAsia="en-US"/>
        </w:rPr>
        <w:t>spätestens am 1. Januar 2023 auch mit einem Managementsystem Dritter</w:t>
      </w:r>
      <w:r w:rsidR="00D67EB8" w:rsidRPr="009118AB">
        <w:rPr>
          <w:rFonts w:eastAsia="Calibri"/>
          <w:szCs w:val="22"/>
          <w:lang w:eastAsia="en-US"/>
        </w:rPr>
        <w:t> - </w:t>
      </w:r>
      <w:r w:rsidRPr="009118AB">
        <w:rPr>
          <w:rFonts w:eastAsia="Calibri"/>
          <w:szCs w:val="22"/>
          <w:lang w:eastAsia="en-US"/>
        </w:rPr>
        <w:t>verbunden werden können, das über Ladezeit und Ladekapazität der Ladestation Auskunft geben kann</w:t>
      </w:r>
      <w:r w:rsidR="00BF6CDC" w:rsidRPr="009118AB">
        <w:rPr>
          <w:rFonts w:eastAsia="Calibri"/>
          <w:szCs w:val="22"/>
          <w:lang w:eastAsia="en-US"/>
        </w:rPr>
        <w:t xml:space="preserve"> [</w:t>
      </w:r>
      <w:r w:rsidR="00BF6CDC" w:rsidRPr="009118AB">
        <w:rPr>
          <w:lang w:eastAsia="fr-BE"/>
        </w:rPr>
        <w:t xml:space="preserve">und das Meldungen über die tatsächliche Ladekapazität und </w:t>
      </w:r>
      <w:r w:rsidR="00BF6CDC" w:rsidRPr="009118AB">
        <w:rPr>
          <w:lang w:eastAsia="fr-BE"/>
        </w:rPr>
        <w:lastRenderedPageBreak/>
        <w:t>Statusmeldungen zurücksenden kann</w:t>
      </w:r>
      <w:r w:rsidR="00BF6CDC" w:rsidRPr="009118AB">
        <w:rPr>
          <w:rFonts w:eastAsia="Calibri"/>
          <w:szCs w:val="22"/>
          <w:lang w:eastAsia="en-US"/>
        </w:rPr>
        <w:t>]</w:t>
      </w:r>
      <w:r w:rsidRPr="009118AB">
        <w:rPr>
          <w:rFonts w:eastAsia="Calibri"/>
          <w:szCs w:val="22"/>
          <w:lang w:eastAsia="en-US"/>
        </w:rPr>
        <w:t>, wobei diese Verbindung den Nutzern frei zur Verfügung gestellt wird, kommen für diesen erhöhten Abzug in Betracht. Das weiter oben erwähnte standardisierte Protokoll muss entweder vom Typ OCPP sein oder ein eigenes Protokoll, dessen Beschreibung in den technischen Dokumenten der Ladestation enthalten ist, oder einem anderen internationalen Standard entsprechen, der für diese Verbindung entwickelt wird. Die Verbindungsart ist in den technischen Spezifikationen der Ladestation angegeben.</w:t>
      </w:r>
    </w:p>
    <w:p w14:paraId="0E2C88C0" w14:textId="77777777" w:rsidR="00913FEB" w:rsidRPr="009118AB" w:rsidRDefault="00913FEB" w:rsidP="00913FEB">
      <w:pPr>
        <w:jc w:val="both"/>
        <w:rPr>
          <w:rFonts w:eastAsia="Calibri"/>
          <w:lang w:eastAsia="en-US"/>
        </w:rPr>
      </w:pPr>
    </w:p>
    <w:p w14:paraId="5D86EA5E" w14:textId="77777777" w:rsidR="00913FEB" w:rsidRPr="009118AB" w:rsidRDefault="00913FEB" w:rsidP="00913FEB">
      <w:pPr>
        <w:jc w:val="both"/>
        <w:rPr>
          <w:rFonts w:eastAsia="Calibri"/>
          <w:lang w:eastAsia="en-US"/>
        </w:rPr>
      </w:pPr>
      <w:r w:rsidRPr="009118AB">
        <w:rPr>
          <w:rFonts w:eastAsia="Calibri"/>
          <w:szCs w:val="22"/>
          <w:lang w:eastAsia="en-US"/>
        </w:rPr>
        <w:tab/>
        <w:t>Der pro Besteuerungszeitraum abzugsfähige Betrag wird erhalten, indem der normale Betrag der Abschreibungen dieses Zeitraums je nach Fall um 100 Prozent oder 50 Prozent erhöht wird.</w:t>
      </w:r>
    </w:p>
    <w:p w14:paraId="1BD9EFF8" w14:textId="77777777" w:rsidR="00913FEB" w:rsidRPr="009118AB" w:rsidRDefault="00913FEB" w:rsidP="00913FEB">
      <w:pPr>
        <w:jc w:val="both"/>
        <w:rPr>
          <w:rFonts w:eastAsia="Calibri"/>
          <w:lang w:eastAsia="en-US"/>
        </w:rPr>
      </w:pPr>
    </w:p>
    <w:p w14:paraId="12D7AC14" w14:textId="4903CD9E" w:rsidR="00913FEB" w:rsidRPr="009118AB" w:rsidRDefault="00913FEB" w:rsidP="00913FEB">
      <w:pPr>
        <w:jc w:val="both"/>
        <w:rPr>
          <w:rFonts w:eastAsia="Calibri"/>
          <w:lang w:eastAsia="en-US"/>
        </w:rPr>
      </w:pPr>
      <w:r w:rsidRPr="009118AB">
        <w:rPr>
          <w:rFonts w:eastAsia="Calibri"/>
          <w:szCs w:val="22"/>
          <w:lang w:eastAsia="en-US"/>
        </w:rPr>
        <w:tab/>
      </w:r>
      <w:r w:rsidR="00BF6CDC" w:rsidRPr="009118AB">
        <w:rPr>
          <w:rFonts w:eastAsia="Calibri"/>
          <w:szCs w:val="22"/>
          <w:lang w:eastAsia="en-US"/>
        </w:rPr>
        <w:t>[...]</w:t>
      </w:r>
    </w:p>
    <w:p w14:paraId="76F12A78" w14:textId="77777777" w:rsidR="00913FEB" w:rsidRPr="009118AB" w:rsidRDefault="00913FEB" w:rsidP="00913FEB">
      <w:pPr>
        <w:jc w:val="both"/>
        <w:rPr>
          <w:rFonts w:eastAsia="Calibri"/>
          <w:lang w:eastAsia="en-US"/>
        </w:rPr>
      </w:pPr>
    </w:p>
    <w:p w14:paraId="3435322B" w14:textId="75650833" w:rsidR="00913FEB" w:rsidRPr="009118AB" w:rsidRDefault="00913FEB" w:rsidP="00913FEB">
      <w:pPr>
        <w:autoSpaceDE w:val="0"/>
        <w:autoSpaceDN w:val="0"/>
        <w:adjustRightInd w:val="0"/>
        <w:jc w:val="both"/>
        <w:rPr>
          <w:rFonts w:eastAsia="Calibri"/>
          <w:szCs w:val="22"/>
          <w:lang w:eastAsia="en-US"/>
        </w:rPr>
      </w:pPr>
      <w:r w:rsidRPr="009118AB">
        <w:rPr>
          <w:rFonts w:eastAsia="Calibri"/>
          <w:szCs w:val="22"/>
          <w:lang w:eastAsia="en-US"/>
        </w:rPr>
        <w:tab/>
        <w:t>Abschreibungen, die gemäß Absatz 5 über den Anschaffungs- oder Investitionswert der in Absatz 1 erwähnten Ladestationen hinaus berücksichtigt werden, werden bei der Bestimmung der späteren Mehr- oder Minderwerte in Bezug auf diese Ladestationen nicht berücksichtigt.]</w:t>
      </w:r>
    </w:p>
    <w:p w14:paraId="3FF88E9A" w14:textId="3D83905F" w:rsidR="00913FEB" w:rsidRPr="009118AB" w:rsidRDefault="00913FEB" w:rsidP="00913FEB">
      <w:pPr>
        <w:autoSpaceDE w:val="0"/>
        <w:autoSpaceDN w:val="0"/>
        <w:adjustRightInd w:val="0"/>
        <w:jc w:val="both"/>
        <w:rPr>
          <w:rFonts w:eastAsia="Calibri"/>
          <w:szCs w:val="22"/>
          <w:lang w:eastAsia="en-US"/>
        </w:rPr>
      </w:pPr>
    </w:p>
    <w:p w14:paraId="7B4671F6" w14:textId="4CC4118E" w:rsidR="00913FEB" w:rsidRPr="009118AB" w:rsidRDefault="00913FEB" w:rsidP="00913FEB">
      <w:pPr>
        <w:autoSpaceDE w:val="0"/>
        <w:autoSpaceDN w:val="0"/>
        <w:adjustRightInd w:val="0"/>
        <w:jc w:val="both"/>
        <w:rPr>
          <w:rFonts w:eastAsia="Calibri"/>
          <w:i/>
          <w:iCs/>
          <w:szCs w:val="22"/>
          <w:lang w:eastAsia="en-US"/>
        </w:rPr>
      </w:pPr>
      <w:r w:rsidRPr="009118AB">
        <w:rPr>
          <w:rFonts w:eastAsia="Calibri"/>
          <w:i/>
          <w:iCs/>
          <w:szCs w:val="22"/>
          <w:lang w:eastAsia="en-US"/>
        </w:rPr>
        <w:t>[</w:t>
      </w:r>
      <w:r w:rsidR="00D67EB8" w:rsidRPr="009118AB">
        <w:rPr>
          <w:rFonts w:eastAsia="Calibri"/>
          <w:i/>
          <w:iCs/>
          <w:szCs w:val="22"/>
          <w:lang w:eastAsia="en-US"/>
        </w:rPr>
        <w:t>Art. </w:t>
      </w:r>
      <w:r w:rsidRPr="009118AB">
        <w:rPr>
          <w:rFonts w:eastAsia="Calibri"/>
          <w:i/>
          <w:iCs/>
          <w:szCs w:val="22"/>
          <w:lang w:eastAsia="en-US"/>
        </w:rPr>
        <w:t xml:space="preserve">64quater eingefügt durch </w:t>
      </w:r>
      <w:r w:rsidR="00D67EB8" w:rsidRPr="009118AB">
        <w:rPr>
          <w:rFonts w:eastAsia="Calibri"/>
          <w:i/>
          <w:iCs/>
          <w:szCs w:val="22"/>
          <w:lang w:eastAsia="en-US"/>
        </w:rPr>
        <w:t>Art. </w:t>
      </w:r>
      <w:r w:rsidRPr="009118AB">
        <w:rPr>
          <w:rFonts w:eastAsia="Calibri"/>
          <w:i/>
          <w:iCs/>
          <w:szCs w:val="22"/>
          <w:lang w:eastAsia="en-US"/>
        </w:rPr>
        <w:t>13 des G. vom 25. November 2021 (B.S. vom 3. Dezember 2021)</w:t>
      </w:r>
      <w:r w:rsidR="00D67EB8" w:rsidRPr="009118AB">
        <w:rPr>
          <w:rFonts w:eastAsia="Calibri"/>
          <w:i/>
          <w:iCs/>
          <w:szCs w:val="22"/>
          <w:lang w:eastAsia="en-US"/>
        </w:rPr>
        <w:t> - </w:t>
      </w:r>
      <w:r w:rsidRPr="009118AB">
        <w:rPr>
          <w:rFonts w:eastAsia="Calibri"/>
          <w:i/>
          <w:iCs/>
          <w:szCs w:val="22"/>
          <w:lang w:eastAsia="en-US"/>
        </w:rPr>
        <w:t>wirksam mit 1. September 2021</w:t>
      </w:r>
      <w:r w:rsidR="003366D9" w:rsidRPr="009118AB">
        <w:rPr>
          <w:rFonts w:eastAsia="Calibri"/>
          <w:i/>
          <w:iCs/>
          <w:szCs w:val="22"/>
          <w:lang w:eastAsia="en-US"/>
        </w:rPr>
        <w:t> -;</w:t>
      </w:r>
      <w:r w:rsidR="00BF6CDC" w:rsidRPr="009118AB">
        <w:rPr>
          <w:rFonts w:eastAsia="Calibri"/>
          <w:i/>
          <w:iCs/>
          <w:szCs w:val="22"/>
          <w:lang w:eastAsia="en-US"/>
        </w:rPr>
        <w:t xml:space="preserve"> </w:t>
      </w:r>
      <w:r w:rsidR="00D67EB8" w:rsidRPr="009118AB">
        <w:rPr>
          <w:rFonts w:eastAsia="Calibri"/>
          <w:i/>
          <w:iCs/>
          <w:szCs w:val="22"/>
          <w:lang w:eastAsia="en-US"/>
        </w:rPr>
        <w:t>Abs. </w:t>
      </w:r>
      <w:r w:rsidR="00BF6CDC" w:rsidRPr="009118AB">
        <w:rPr>
          <w:rFonts w:eastAsia="Calibri"/>
          <w:i/>
          <w:iCs/>
          <w:szCs w:val="22"/>
          <w:lang w:eastAsia="en-US"/>
        </w:rPr>
        <w:t>1</w:t>
      </w:r>
      <w:r w:rsidR="007C5224" w:rsidRPr="009118AB">
        <w:rPr>
          <w:rFonts w:eastAsia="Calibri"/>
          <w:i/>
          <w:iCs/>
          <w:szCs w:val="22"/>
          <w:lang w:eastAsia="en-US"/>
        </w:rPr>
        <w:t xml:space="preserve"> einleitende Bestimmung </w:t>
      </w:r>
      <w:r w:rsidR="00BF6CDC" w:rsidRPr="009118AB">
        <w:rPr>
          <w:rFonts w:eastAsia="Calibri"/>
          <w:i/>
          <w:iCs/>
          <w:szCs w:val="22"/>
          <w:lang w:eastAsia="en-US"/>
        </w:rPr>
        <w:t xml:space="preserve">abgeändert durch </w:t>
      </w:r>
      <w:r w:rsidR="00D67EB8" w:rsidRPr="009118AB">
        <w:rPr>
          <w:rFonts w:eastAsia="Calibri"/>
          <w:i/>
          <w:iCs/>
          <w:szCs w:val="22"/>
          <w:lang w:eastAsia="en-US"/>
        </w:rPr>
        <w:t>Art. </w:t>
      </w:r>
      <w:r w:rsidR="00BF6CDC" w:rsidRPr="009118AB">
        <w:rPr>
          <w:rFonts w:eastAsia="Calibri"/>
          <w:i/>
          <w:iCs/>
          <w:szCs w:val="22"/>
          <w:lang w:eastAsia="en-US"/>
        </w:rPr>
        <w:t xml:space="preserve">33 </w:t>
      </w:r>
      <w:r w:rsidR="00D67EB8" w:rsidRPr="009118AB">
        <w:rPr>
          <w:rFonts w:eastAsia="Calibri"/>
          <w:i/>
          <w:iCs/>
          <w:szCs w:val="22"/>
          <w:lang w:eastAsia="en-US"/>
        </w:rPr>
        <w:t>Nr. </w:t>
      </w:r>
      <w:r w:rsidR="00BF6CDC" w:rsidRPr="009118AB">
        <w:rPr>
          <w:rFonts w:eastAsia="Calibri"/>
          <w:i/>
          <w:iCs/>
          <w:szCs w:val="22"/>
          <w:lang w:eastAsia="en-US"/>
        </w:rPr>
        <w:t>1</w:t>
      </w:r>
      <w:r w:rsidR="00BF6CDC" w:rsidRPr="009118AB">
        <w:rPr>
          <w:i/>
          <w:iCs/>
        </w:rPr>
        <w:t xml:space="preserve"> des G. vom 21. Januar 2022 (B.S. vom 28. Januar 2022)</w:t>
      </w:r>
      <w:r w:rsidR="00D67EB8" w:rsidRPr="009118AB">
        <w:rPr>
          <w:rFonts w:eastAsia="Calibri"/>
          <w:i/>
          <w:iCs/>
          <w:szCs w:val="22"/>
          <w:lang w:eastAsia="en-US"/>
        </w:rPr>
        <w:t> - </w:t>
      </w:r>
      <w:r w:rsidR="00BF6CDC" w:rsidRPr="009118AB">
        <w:rPr>
          <w:rFonts w:eastAsia="Calibri"/>
          <w:i/>
          <w:iCs/>
          <w:szCs w:val="22"/>
          <w:lang w:eastAsia="en-US"/>
        </w:rPr>
        <w:t>wirksam mit 1. September 2021</w:t>
      </w:r>
      <w:r w:rsidR="003366D9" w:rsidRPr="009118AB">
        <w:rPr>
          <w:rFonts w:eastAsia="Calibri"/>
          <w:i/>
          <w:iCs/>
          <w:szCs w:val="22"/>
          <w:lang w:eastAsia="en-US"/>
        </w:rPr>
        <w:t> -;</w:t>
      </w:r>
      <w:r w:rsidR="00BF6CDC" w:rsidRPr="009118AB">
        <w:rPr>
          <w:rFonts w:eastAsia="Calibri"/>
          <w:i/>
          <w:iCs/>
          <w:szCs w:val="22"/>
          <w:lang w:eastAsia="en-US"/>
        </w:rPr>
        <w:t xml:space="preserve"> </w:t>
      </w:r>
      <w:r w:rsidR="00D67EB8" w:rsidRPr="009118AB">
        <w:rPr>
          <w:rFonts w:eastAsia="Calibri"/>
          <w:i/>
          <w:iCs/>
          <w:szCs w:val="22"/>
          <w:lang w:eastAsia="en-US"/>
        </w:rPr>
        <w:t>Abs. </w:t>
      </w:r>
      <w:r w:rsidR="00F93A9B" w:rsidRPr="009118AB">
        <w:rPr>
          <w:rFonts w:eastAsia="Calibri"/>
          <w:i/>
          <w:iCs/>
          <w:szCs w:val="22"/>
          <w:lang w:eastAsia="en-US"/>
        </w:rPr>
        <w:t xml:space="preserve">1 erster Gedankenstrich abgeändert durch </w:t>
      </w:r>
      <w:r w:rsidR="00D67EB8" w:rsidRPr="009118AB">
        <w:rPr>
          <w:rFonts w:eastAsia="Calibri"/>
          <w:i/>
          <w:iCs/>
          <w:szCs w:val="22"/>
          <w:lang w:eastAsia="en-US"/>
        </w:rPr>
        <w:t>Art. </w:t>
      </w:r>
      <w:r w:rsidR="00F93A9B" w:rsidRPr="009118AB">
        <w:rPr>
          <w:rFonts w:eastAsia="Calibri"/>
          <w:i/>
          <w:iCs/>
          <w:szCs w:val="22"/>
          <w:lang w:eastAsia="en-US"/>
        </w:rPr>
        <w:t xml:space="preserve">9 </w:t>
      </w:r>
      <w:r w:rsidR="00D67EB8" w:rsidRPr="009118AB">
        <w:rPr>
          <w:rFonts w:eastAsia="Calibri"/>
          <w:i/>
          <w:iCs/>
          <w:szCs w:val="22"/>
          <w:lang w:eastAsia="en-US"/>
        </w:rPr>
        <w:t>Nr. </w:t>
      </w:r>
      <w:r w:rsidR="00F93A9B" w:rsidRPr="009118AB">
        <w:rPr>
          <w:rFonts w:eastAsia="Calibri"/>
          <w:i/>
          <w:iCs/>
          <w:szCs w:val="22"/>
          <w:lang w:eastAsia="en-US"/>
        </w:rPr>
        <w:t>1</w:t>
      </w:r>
      <w:r w:rsidR="00F93A9B" w:rsidRPr="009118AB">
        <w:rPr>
          <w:i/>
          <w:iCs/>
        </w:rPr>
        <w:t xml:space="preserve"> des G. vom 5. Juli 2022 (B.S. vom 15. Juli 2022)</w:t>
      </w:r>
      <w:r w:rsidR="00D67EB8" w:rsidRPr="009118AB">
        <w:rPr>
          <w:i/>
          <w:iCs/>
        </w:rPr>
        <w:t> - </w:t>
      </w:r>
      <w:r w:rsidR="00F93A9B" w:rsidRPr="009118AB">
        <w:rPr>
          <w:i/>
          <w:iCs/>
        </w:rPr>
        <w:t>wirksam mit 1. September 2021</w:t>
      </w:r>
      <w:r w:rsidR="003366D9" w:rsidRPr="009118AB">
        <w:rPr>
          <w:i/>
          <w:iCs/>
        </w:rPr>
        <w:t> -;</w:t>
      </w:r>
      <w:r w:rsidR="00F93A9B" w:rsidRPr="009118AB">
        <w:rPr>
          <w:rFonts w:eastAsia="Calibri"/>
          <w:i/>
          <w:iCs/>
          <w:szCs w:val="22"/>
          <w:lang w:eastAsia="en-US"/>
        </w:rPr>
        <w:t xml:space="preserve"> </w:t>
      </w:r>
      <w:r w:rsidR="00D67EB8" w:rsidRPr="009118AB">
        <w:rPr>
          <w:rFonts w:eastAsia="Calibri"/>
          <w:i/>
          <w:iCs/>
          <w:szCs w:val="22"/>
          <w:lang w:eastAsia="en-US"/>
        </w:rPr>
        <w:t>Abs. </w:t>
      </w:r>
      <w:r w:rsidR="00F93A9B" w:rsidRPr="009118AB">
        <w:rPr>
          <w:rFonts w:eastAsia="Calibri"/>
          <w:i/>
          <w:iCs/>
          <w:szCs w:val="22"/>
          <w:lang w:eastAsia="en-US"/>
        </w:rPr>
        <w:t xml:space="preserve">1 zweiter Gedankenstrich abgeändert durch </w:t>
      </w:r>
      <w:r w:rsidR="00D67EB8" w:rsidRPr="009118AB">
        <w:rPr>
          <w:rFonts w:eastAsia="Calibri"/>
          <w:i/>
          <w:iCs/>
          <w:szCs w:val="22"/>
          <w:lang w:eastAsia="en-US"/>
        </w:rPr>
        <w:t>Art. </w:t>
      </w:r>
      <w:r w:rsidR="00F93A9B" w:rsidRPr="009118AB">
        <w:rPr>
          <w:rFonts w:eastAsia="Calibri"/>
          <w:i/>
          <w:iCs/>
          <w:szCs w:val="22"/>
          <w:lang w:eastAsia="en-US"/>
        </w:rPr>
        <w:t xml:space="preserve">9 </w:t>
      </w:r>
      <w:r w:rsidR="00D67EB8" w:rsidRPr="009118AB">
        <w:rPr>
          <w:rFonts w:eastAsia="Calibri"/>
          <w:i/>
          <w:iCs/>
          <w:szCs w:val="22"/>
          <w:lang w:eastAsia="en-US"/>
        </w:rPr>
        <w:t>Nr. </w:t>
      </w:r>
      <w:r w:rsidR="00F93A9B" w:rsidRPr="009118AB">
        <w:rPr>
          <w:rFonts w:eastAsia="Calibri"/>
          <w:i/>
          <w:iCs/>
          <w:szCs w:val="22"/>
          <w:lang w:eastAsia="en-US"/>
        </w:rPr>
        <w:t>2</w:t>
      </w:r>
      <w:r w:rsidR="00F93A9B" w:rsidRPr="009118AB">
        <w:rPr>
          <w:i/>
          <w:iCs/>
        </w:rPr>
        <w:t xml:space="preserve"> des G. vom 5. Juli 2022 (B.S. vom 15. Juli 2022)</w:t>
      </w:r>
      <w:r w:rsidR="00D67EB8" w:rsidRPr="009118AB">
        <w:rPr>
          <w:i/>
          <w:iCs/>
        </w:rPr>
        <w:t> - </w:t>
      </w:r>
      <w:r w:rsidR="00F93A9B" w:rsidRPr="009118AB">
        <w:rPr>
          <w:i/>
          <w:iCs/>
        </w:rPr>
        <w:t>wirksam mit 1. September 2021</w:t>
      </w:r>
      <w:r w:rsidR="003366D9" w:rsidRPr="009118AB">
        <w:rPr>
          <w:i/>
          <w:iCs/>
        </w:rPr>
        <w:t> -;</w:t>
      </w:r>
      <w:r w:rsidR="00F93A9B" w:rsidRPr="009118AB">
        <w:rPr>
          <w:rFonts w:eastAsia="Calibri"/>
          <w:i/>
          <w:iCs/>
          <w:szCs w:val="22"/>
          <w:lang w:eastAsia="en-US"/>
        </w:rPr>
        <w:t xml:space="preserve"> </w:t>
      </w:r>
      <w:r w:rsidR="00D67EB8" w:rsidRPr="009118AB">
        <w:rPr>
          <w:rFonts w:eastAsia="Calibri"/>
          <w:i/>
          <w:iCs/>
          <w:szCs w:val="22"/>
          <w:lang w:eastAsia="en-US"/>
        </w:rPr>
        <w:t>Abs. </w:t>
      </w:r>
      <w:r w:rsidR="00F93A9B" w:rsidRPr="009118AB">
        <w:rPr>
          <w:rFonts w:eastAsia="Calibri"/>
          <w:i/>
          <w:iCs/>
          <w:szCs w:val="22"/>
          <w:lang w:eastAsia="en-US"/>
        </w:rPr>
        <w:t xml:space="preserve">2 zweiter Gedankenstrich abgeändert durch </w:t>
      </w:r>
      <w:r w:rsidR="00D67EB8" w:rsidRPr="009118AB">
        <w:rPr>
          <w:rFonts w:eastAsia="Calibri"/>
          <w:i/>
          <w:iCs/>
          <w:szCs w:val="22"/>
          <w:lang w:eastAsia="en-US"/>
        </w:rPr>
        <w:t>Art. </w:t>
      </w:r>
      <w:r w:rsidR="00F93A9B" w:rsidRPr="009118AB">
        <w:rPr>
          <w:rFonts w:eastAsia="Calibri"/>
          <w:i/>
          <w:iCs/>
          <w:szCs w:val="22"/>
          <w:lang w:eastAsia="en-US"/>
        </w:rPr>
        <w:t xml:space="preserve">9 </w:t>
      </w:r>
      <w:r w:rsidR="00D67EB8" w:rsidRPr="009118AB">
        <w:rPr>
          <w:rFonts w:eastAsia="Calibri"/>
          <w:i/>
          <w:iCs/>
          <w:szCs w:val="22"/>
          <w:lang w:eastAsia="en-US"/>
        </w:rPr>
        <w:t>Nr. </w:t>
      </w:r>
      <w:r w:rsidR="00F93A9B" w:rsidRPr="009118AB">
        <w:rPr>
          <w:rFonts w:eastAsia="Calibri"/>
          <w:i/>
          <w:iCs/>
          <w:szCs w:val="22"/>
          <w:lang w:eastAsia="en-US"/>
        </w:rPr>
        <w:t>3</w:t>
      </w:r>
      <w:r w:rsidR="00F93A9B" w:rsidRPr="009118AB">
        <w:rPr>
          <w:i/>
          <w:iCs/>
        </w:rPr>
        <w:t xml:space="preserve"> des G. vom 5. Juli 2022 (B.S. vom 15. Juli 2022)</w:t>
      </w:r>
      <w:r w:rsidR="00D67EB8" w:rsidRPr="009118AB">
        <w:rPr>
          <w:i/>
          <w:iCs/>
        </w:rPr>
        <w:t> - </w:t>
      </w:r>
      <w:r w:rsidR="00F93A9B" w:rsidRPr="009118AB">
        <w:rPr>
          <w:i/>
          <w:iCs/>
        </w:rPr>
        <w:t>wirksam mit 1. September 2021</w:t>
      </w:r>
      <w:r w:rsidR="003366D9" w:rsidRPr="009118AB">
        <w:rPr>
          <w:i/>
          <w:iCs/>
        </w:rPr>
        <w:t> -;</w:t>
      </w:r>
      <w:r w:rsidR="00F93A9B" w:rsidRPr="009118AB">
        <w:rPr>
          <w:rFonts w:eastAsia="Calibri"/>
          <w:i/>
          <w:iCs/>
          <w:szCs w:val="22"/>
          <w:lang w:eastAsia="en-US"/>
        </w:rPr>
        <w:t xml:space="preserve"> </w:t>
      </w:r>
      <w:r w:rsidR="004F7754" w:rsidRPr="009118AB">
        <w:rPr>
          <w:rFonts w:eastAsia="Calibri"/>
          <w:i/>
          <w:iCs/>
          <w:szCs w:val="22"/>
          <w:lang w:eastAsia="en-US"/>
        </w:rPr>
        <w:t>Abs. 2 vierter Gedankenstrich abgeändert durch Art. 10</w:t>
      </w:r>
      <w:r w:rsidR="008B6513" w:rsidRPr="009118AB">
        <w:rPr>
          <w:rFonts w:eastAsia="Calibri"/>
          <w:i/>
          <w:iCs/>
          <w:szCs w:val="22"/>
          <w:lang w:eastAsia="en-US"/>
        </w:rPr>
        <w:t xml:space="preserve"> des G. vom 21. Dezember 2022 (II) (B.S. vom 29. Dezember 2022); </w:t>
      </w:r>
      <w:r w:rsidR="00D67EB8" w:rsidRPr="009118AB">
        <w:rPr>
          <w:rFonts w:eastAsia="Calibri"/>
          <w:i/>
          <w:iCs/>
          <w:szCs w:val="22"/>
          <w:lang w:eastAsia="en-US"/>
        </w:rPr>
        <w:t>Abs. </w:t>
      </w:r>
      <w:r w:rsidR="00BF6CDC" w:rsidRPr="009118AB">
        <w:rPr>
          <w:rFonts w:eastAsia="Calibri"/>
          <w:i/>
          <w:iCs/>
          <w:szCs w:val="22"/>
          <w:lang w:eastAsia="en-US"/>
        </w:rPr>
        <w:t xml:space="preserve">2 fünfter Gedankenstrich eingefügt durch </w:t>
      </w:r>
      <w:r w:rsidR="00D67EB8" w:rsidRPr="009118AB">
        <w:rPr>
          <w:rFonts w:eastAsia="Calibri"/>
          <w:i/>
          <w:iCs/>
          <w:szCs w:val="22"/>
          <w:lang w:eastAsia="en-US"/>
        </w:rPr>
        <w:t>Art. </w:t>
      </w:r>
      <w:r w:rsidR="00BF6CDC" w:rsidRPr="009118AB">
        <w:rPr>
          <w:rFonts w:eastAsia="Calibri"/>
          <w:i/>
          <w:iCs/>
          <w:szCs w:val="22"/>
          <w:lang w:eastAsia="en-US"/>
        </w:rPr>
        <w:t xml:space="preserve">33 </w:t>
      </w:r>
      <w:r w:rsidR="00D67EB8" w:rsidRPr="009118AB">
        <w:rPr>
          <w:rFonts w:eastAsia="Calibri"/>
          <w:i/>
          <w:iCs/>
          <w:szCs w:val="22"/>
          <w:lang w:eastAsia="en-US"/>
        </w:rPr>
        <w:t>Nr. </w:t>
      </w:r>
      <w:r w:rsidR="00BF6CDC" w:rsidRPr="009118AB">
        <w:rPr>
          <w:rFonts w:eastAsia="Calibri"/>
          <w:i/>
          <w:iCs/>
          <w:szCs w:val="22"/>
          <w:lang w:eastAsia="en-US"/>
        </w:rPr>
        <w:t>2</w:t>
      </w:r>
      <w:r w:rsidR="00BF6CDC" w:rsidRPr="009118AB">
        <w:rPr>
          <w:i/>
          <w:iCs/>
        </w:rPr>
        <w:t xml:space="preserve"> des G. vom 21. Januar 2022 (B.S. vom 28. Januar 2022)</w:t>
      </w:r>
      <w:r w:rsidR="00D67EB8" w:rsidRPr="009118AB">
        <w:rPr>
          <w:rFonts w:eastAsia="Calibri"/>
          <w:i/>
          <w:iCs/>
          <w:szCs w:val="22"/>
          <w:lang w:eastAsia="en-US"/>
        </w:rPr>
        <w:t> - </w:t>
      </w:r>
      <w:r w:rsidR="00BF6CDC" w:rsidRPr="009118AB">
        <w:rPr>
          <w:rFonts w:eastAsia="Calibri"/>
          <w:i/>
          <w:iCs/>
          <w:szCs w:val="22"/>
          <w:lang w:eastAsia="en-US"/>
        </w:rPr>
        <w:t>wirksam mit 1. September 2021</w:t>
      </w:r>
      <w:r w:rsidR="00D67EB8" w:rsidRPr="009118AB">
        <w:rPr>
          <w:rFonts w:eastAsia="Calibri"/>
          <w:i/>
          <w:iCs/>
          <w:szCs w:val="22"/>
          <w:lang w:eastAsia="en-US"/>
        </w:rPr>
        <w:t> - </w:t>
      </w:r>
      <w:r w:rsidR="00F93A9B" w:rsidRPr="009118AB">
        <w:rPr>
          <w:rFonts w:eastAsia="Calibri"/>
          <w:i/>
          <w:iCs/>
          <w:szCs w:val="22"/>
          <w:lang w:eastAsia="en-US"/>
        </w:rPr>
        <w:t xml:space="preserve">und aufgehoben durch </w:t>
      </w:r>
      <w:r w:rsidR="00D67EB8" w:rsidRPr="009118AB">
        <w:rPr>
          <w:rFonts w:eastAsia="Calibri"/>
          <w:i/>
          <w:iCs/>
          <w:szCs w:val="22"/>
          <w:lang w:eastAsia="en-US"/>
        </w:rPr>
        <w:t>Art. </w:t>
      </w:r>
      <w:r w:rsidR="00F93A9B" w:rsidRPr="009118AB">
        <w:rPr>
          <w:rFonts w:eastAsia="Calibri"/>
          <w:i/>
          <w:iCs/>
          <w:szCs w:val="22"/>
          <w:lang w:eastAsia="en-US"/>
        </w:rPr>
        <w:t xml:space="preserve">9 </w:t>
      </w:r>
      <w:r w:rsidR="00D67EB8" w:rsidRPr="009118AB">
        <w:rPr>
          <w:rFonts w:eastAsia="Calibri"/>
          <w:i/>
          <w:iCs/>
          <w:szCs w:val="22"/>
          <w:lang w:eastAsia="en-US"/>
        </w:rPr>
        <w:t>Nr. </w:t>
      </w:r>
      <w:r w:rsidR="00F93A9B" w:rsidRPr="009118AB">
        <w:rPr>
          <w:rFonts w:eastAsia="Calibri"/>
          <w:i/>
          <w:iCs/>
          <w:szCs w:val="22"/>
          <w:lang w:eastAsia="en-US"/>
        </w:rPr>
        <w:t xml:space="preserve">4 </w:t>
      </w:r>
      <w:r w:rsidR="00F93A9B" w:rsidRPr="009118AB">
        <w:rPr>
          <w:i/>
          <w:iCs/>
        </w:rPr>
        <w:t>des G. vom 5. Juli 2022 (B.S. vom 15. Juli 2022)</w:t>
      </w:r>
      <w:r w:rsidR="00D67EB8" w:rsidRPr="009118AB">
        <w:rPr>
          <w:i/>
          <w:iCs/>
        </w:rPr>
        <w:t> - </w:t>
      </w:r>
      <w:r w:rsidR="00F93A9B" w:rsidRPr="009118AB">
        <w:rPr>
          <w:i/>
          <w:iCs/>
        </w:rPr>
        <w:t>wirksam mit 1. September 2021</w:t>
      </w:r>
      <w:r w:rsidR="003366D9" w:rsidRPr="009118AB">
        <w:rPr>
          <w:i/>
          <w:iCs/>
        </w:rPr>
        <w:t> -;</w:t>
      </w:r>
      <w:r w:rsidR="00BF6CDC" w:rsidRPr="009118AB">
        <w:rPr>
          <w:rFonts w:eastAsia="Calibri"/>
          <w:i/>
          <w:iCs/>
          <w:szCs w:val="22"/>
          <w:lang w:eastAsia="en-US"/>
        </w:rPr>
        <w:t xml:space="preserve"> </w:t>
      </w:r>
      <w:r w:rsidR="00D67EB8" w:rsidRPr="009118AB">
        <w:rPr>
          <w:rFonts w:eastAsia="Calibri"/>
          <w:i/>
          <w:iCs/>
          <w:szCs w:val="22"/>
          <w:lang w:eastAsia="en-US"/>
        </w:rPr>
        <w:t>Abs. </w:t>
      </w:r>
      <w:r w:rsidR="00BF6CDC" w:rsidRPr="009118AB">
        <w:rPr>
          <w:rFonts w:eastAsia="Calibri"/>
          <w:i/>
          <w:iCs/>
          <w:szCs w:val="22"/>
          <w:lang w:eastAsia="en-US"/>
        </w:rPr>
        <w:t xml:space="preserve">3 ersetzt durch </w:t>
      </w:r>
      <w:r w:rsidR="00D67EB8" w:rsidRPr="009118AB">
        <w:rPr>
          <w:rFonts w:eastAsia="Calibri"/>
          <w:i/>
          <w:iCs/>
          <w:szCs w:val="22"/>
          <w:lang w:eastAsia="en-US"/>
        </w:rPr>
        <w:t>Art. </w:t>
      </w:r>
      <w:r w:rsidR="00BF6CDC" w:rsidRPr="009118AB">
        <w:rPr>
          <w:rFonts w:eastAsia="Calibri"/>
          <w:i/>
          <w:iCs/>
          <w:szCs w:val="22"/>
          <w:lang w:eastAsia="en-US"/>
        </w:rPr>
        <w:t xml:space="preserve">33 </w:t>
      </w:r>
      <w:r w:rsidR="00D67EB8" w:rsidRPr="009118AB">
        <w:rPr>
          <w:rFonts w:eastAsia="Calibri"/>
          <w:i/>
          <w:iCs/>
          <w:szCs w:val="22"/>
          <w:lang w:eastAsia="en-US"/>
        </w:rPr>
        <w:t>Nr. </w:t>
      </w:r>
      <w:r w:rsidR="00BF6CDC" w:rsidRPr="009118AB">
        <w:rPr>
          <w:rFonts w:eastAsia="Calibri"/>
          <w:i/>
          <w:iCs/>
          <w:szCs w:val="22"/>
          <w:lang w:eastAsia="en-US"/>
        </w:rPr>
        <w:t>3</w:t>
      </w:r>
      <w:r w:rsidR="00BF6CDC" w:rsidRPr="009118AB">
        <w:rPr>
          <w:i/>
          <w:iCs/>
        </w:rPr>
        <w:t xml:space="preserve"> des G. vom 21. Januar 2022 (B.S. vom 28. Januar 2022)</w:t>
      </w:r>
      <w:r w:rsidR="00D67EB8" w:rsidRPr="009118AB">
        <w:rPr>
          <w:rFonts w:eastAsia="Calibri"/>
          <w:i/>
          <w:iCs/>
          <w:szCs w:val="22"/>
          <w:lang w:eastAsia="en-US"/>
        </w:rPr>
        <w:t> - </w:t>
      </w:r>
      <w:r w:rsidR="00BF6CDC" w:rsidRPr="009118AB">
        <w:rPr>
          <w:rFonts w:eastAsia="Calibri"/>
          <w:i/>
          <w:iCs/>
          <w:szCs w:val="22"/>
          <w:lang w:eastAsia="en-US"/>
        </w:rPr>
        <w:t>wirksam mit 1. September 2021</w:t>
      </w:r>
      <w:r w:rsidR="003366D9" w:rsidRPr="009118AB">
        <w:rPr>
          <w:rFonts w:eastAsia="Calibri"/>
          <w:i/>
          <w:iCs/>
          <w:szCs w:val="22"/>
          <w:lang w:eastAsia="en-US"/>
        </w:rPr>
        <w:t> -;</w:t>
      </w:r>
      <w:r w:rsidR="00BF6CDC" w:rsidRPr="009118AB">
        <w:rPr>
          <w:rFonts w:eastAsia="Calibri"/>
          <w:i/>
          <w:iCs/>
          <w:szCs w:val="22"/>
          <w:lang w:eastAsia="en-US"/>
        </w:rPr>
        <w:t xml:space="preserve"> </w:t>
      </w:r>
      <w:r w:rsidR="00D67EB8" w:rsidRPr="009118AB">
        <w:rPr>
          <w:rFonts w:eastAsia="Calibri"/>
          <w:i/>
          <w:iCs/>
          <w:szCs w:val="22"/>
          <w:lang w:eastAsia="en-US"/>
        </w:rPr>
        <w:t>Abs. </w:t>
      </w:r>
      <w:r w:rsidR="00BF6CDC" w:rsidRPr="009118AB">
        <w:rPr>
          <w:rFonts w:eastAsia="Calibri"/>
          <w:i/>
          <w:iCs/>
          <w:szCs w:val="22"/>
          <w:lang w:eastAsia="en-US"/>
        </w:rPr>
        <w:t xml:space="preserve">4 abgeändert durch </w:t>
      </w:r>
      <w:r w:rsidR="00D67EB8" w:rsidRPr="009118AB">
        <w:rPr>
          <w:rFonts w:eastAsia="Calibri"/>
          <w:i/>
          <w:iCs/>
          <w:szCs w:val="22"/>
          <w:lang w:eastAsia="en-US"/>
        </w:rPr>
        <w:t>Art. </w:t>
      </w:r>
      <w:r w:rsidR="00BF6CDC" w:rsidRPr="009118AB">
        <w:rPr>
          <w:rFonts w:eastAsia="Calibri"/>
          <w:i/>
          <w:iCs/>
          <w:szCs w:val="22"/>
          <w:lang w:eastAsia="en-US"/>
        </w:rPr>
        <w:t xml:space="preserve">33 </w:t>
      </w:r>
      <w:r w:rsidR="00D67EB8" w:rsidRPr="009118AB">
        <w:rPr>
          <w:rFonts w:eastAsia="Calibri"/>
          <w:i/>
          <w:iCs/>
          <w:szCs w:val="22"/>
          <w:lang w:eastAsia="en-US"/>
        </w:rPr>
        <w:t>Nr. </w:t>
      </w:r>
      <w:r w:rsidR="00BF6CDC" w:rsidRPr="009118AB">
        <w:rPr>
          <w:rFonts w:eastAsia="Calibri"/>
          <w:i/>
          <w:iCs/>
          <w:szCs w:val="22"/>
          <w:lang w:eastAsia="en-US"/>
        </w:rPr>
        <w:t>4</w:t>
      </w:r>
      <w:r w:rsidR="00BF6CDC" w:rsidRPr="009118AB">
        <w:rPr>
          <w:i/>
          <w:iCs/>
        </w:rPr>
        <w:t xml:space="preserve"> des G. vom 21. Januar 2022 (B.S. vom 28. Januar 2022)</w:t>
      </w:r>
      <w:r w:rsidR="00D67EB8" w:rsidRPr="009118AB">
        <w:rPr>
          <w:rFonts w:eastAsia="Calibri"/>
          <w:i/>
          <w:iCs/>
          <w:szCs w:val="22"/>
          <w:lang w:eastAsia="en-US"/>
        </w:rPr>
        <w:t> - </w:t>
      </w:r>
      <w:r w:rsidR="00BF6CDC" w:rsidRPr="009118AB">
        <w:rPr>
          <w:rFonts w:eastAsia="Calibri"/>
          <w:i/>
          <w:iCs/>
          <w:szCs w:val="22"/>
          <w:lang w:eastAsia="en-US"/>
        </w:rPr>
        <w:t>wirksam mit 1. September 2021</w:t>
      </w:r>
      <w:r w:rsidR="003366D9" w:rsidRPr="009118AB">
        <w:rPr>
          <w:rFonts w:eastAsia="Calibri"/>
          <w:i/>
          <w:iCs/>
          <w:szCs w:val="22"/>
          <w:lang w:eastAsia="en-US"/>
        </w:rPr>
        <w:t> -;</w:t>
      </w:r>
      <w:r w:rsidR="00BF6CDC" w:rsidRPr="009118AB">
        <w:rPr>
          <w:rFonts w:eastAsia="Calibri"/>
          <w:i/>
          <w:iCs/>
          <w:szCs w:val="22"/>
          <w:lang w:eastAsia="en-US"/>
        </w:rPr>
        <w:t xml:space="preserve"> früherer Absatz 6 aufgehoben durch </w:t>
      </w:r>
      <w:r w:rsidR="00D67EB8" w:rsidRPr="009118AB">
        <w:rPr>
          <w:rFonts w:eastAsia="Calibri"/>
          <w:i/>
          <w:iCs/>
          <w:szCs w:val="22"/>
          <w:lang w:eastAsia="en-US"/>
        </w:rPr>
        <w:t>Art. </w:t>
      </w:r>
      <w:r w:rsidR="00BF6CDC" w:rsidRPr="009118AB">
        <w:rPr>
          <w:rFonts w:eastAsia="Calibri"/>
          <w:i/>
          <w:iCs/>
          <w:szCs w:val="22"/>
          <w:lang w:eastAsia="en-US"/>
        </w:rPr>
        <w:t xml:space="preserve">33 </w:t>
      </w:r>
      <w:r w:rsidR="00D67EB8" w:rsidRPr="009118AB">
        <w:rPr>
          <w:rFonts w:eastAsia="Calibri"/>
          <w:i/>
          <w:iCs/>
          <w:szCs w:val="22"/>
          <w:lang w:eastAsia="en-US"/>
        </w:rPr>
        <w:t>Nr. </w:t>
      </w:r>
      <w:r w:rsidR="00BF6CDC" w:rsidRPr="009118AB">
        <w:rPr>
          <w:rFonts w:eastAsia="Calibri"/>
          <w:i/>
          <w:iCs/>
          <w:szCs w:val="22"/>
          <w:lang w:eastAsia="en-US"/>
        </w:rPr>
        <w:t>5</w:t>
      </w:r>
      <w:r w:rsidR="00BF6CDC" w:rsidRPr="009118AB">
        <w:rPr>
          <w:i/>
          <w:iCs/>
        </w:rPr>
        <w:t xml:space="preserve"> des G. vom 21. Januar 2022 (B.S. vom 28. Januar 2022)</w:t>
      </w:r>
      <w:r w:rsidR="00D67EB8" w:rsidRPr="009118AB">
        <w:rPr>
          <w:rFonts w:eastAsia="Calibri"/>
          <w:i/>
          <w:iCs/>
          <w:szCs w:val="22"/>
          <w:lang w:eastAsia="en-US"/>
        </w:rPr>
        <w:t> - </w:t>
      </w:r>
      <w:r w:rsidR="00BF6CDC" w:rsidRPr="009118AB">
        <w:rPr>
          <w:rFonts w:eastAsia="Calibri"/>
          <w:i/>
          <w:iCs/>
          <w:szCs w:val="22"/>
          <w:lang w:eastAsia="en-US"/>
        </w:rPr>
        <w:t>wirksam mit 1. September 2021</w:t>
      </w:r>
      <w:r w:rsidR="00FD68E8" w:rsidRPr="009118AB">
        <w:rPr>
          <w:rFonts w:eastAsia="Calibri"/>
          <w:i/>
          <w:iCs/>
          <w:szCs w:val="22"/>
          <w:lang w:eastAsia="en-US"/>
        </w:rPr>
        <w:t> -]</w:t>
      </w:r>
    </w:p>
    <w:p w14:paraId="497BFBA8" w14:textId="77777777" w:rsidR="00E6338B" w:rsidRPr="009118AB" w:rsidRDefault="00E6338B" w:rsidP="00E12E75">
      <w:pPr>
        <w:autoSpaceDE w:val="0"/>
        <w:autoSpaceDN w:val="0"/>
        <w:adjustRightInd w:val="0"/>
        <w:jc w:val="both"/>
      </w:pPr>
    </w:p>
    <w:p w14:paraId="69D565C0" w14:textId="16098110" w:rsidR="006F0986" w:rsidRPr="009118AB" w:rsidRDefault="006F0986"/>
    <w:p w14:paraId="34723C3E" w14:textId="1BF985A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65</w:t>
      </w:r>
      <w:r w:rsidR="00D67EB8" w:rsidRPr="009118AB">
        <w:t> - </w:t>
      </w:r>
      <w:r w:rsidRPr="009118AB">
        <w:t xml:space="preserve">In Bezug auf andere Personenkraftwagen, Kombiwagen und Kleinbusse als die, die ausschließlich zum gewerblichen Personenverkehr genutzt werden, wie diese Fahrzeuge in den Vorschriften über die Zulassung von Motorfahrzeugen beschrieben sind, [einschließlich der in Artikel 4 </w:t>
      </w:r>
      <w:r w:rsidR="00D67EB8" w:rsidRPr="009118AB">
        <w:t>§ </w:t>
      </w:r>
      <w:r w:rsidRPr="009118AB">
        <w:t>3 des Gesetzbuches der der Einkommensteuer gleichgesetzten Steuern erwähnten Lieferwagen] werden in Artikel 62 erwähnte Nebenkosten auf dieselbe Weise abgeschrieben wie der Anschaffungs- oder Investitionswert dieser Fahrzeuge.</w:t>
      </w:r>
    </w:p>
    <w:p w14:paraId="1D7DE9B2" w14:textId="77777777" w:rsidR="00477B8F" w:rsidRPr="009118AB" w:rsidRDefault="00477B8F" w:rsidP="00477B8F">
      <w:pPr>
        <w:autoSpaceDE w:val="0"/>
        <w:autoSpaceDN w:val="0"/>
        <w:adjustRightInd w:val="0"/>
        <w:jc w:val="both"/>
      </w:pPr>
    </w:p>
    <w:p w14:paraId="027B1CF9" w14:textId="65C606D3"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65 abgeändert durch </w:t>
      </w:r>
      <w:r w:rsidR="00D67EB8" w:rsidRPr="009118AB">
        <w:rPr>
          <w:i/>
          <w:iCs/>
        </w:rPr>
        <w:t>Art. </w:t>
      </w:r>
      <w:r w:rsidRPr="009118AB">
        <w:rPr>
          <w:i/>
          <w:iCs/>
        </w:rPr>
        <w:t xml:space="preserve">104 </w:t>
      </w:r>
      <w:r w:rsidR="00D67EB8" w:rsidRPr="009118AB">
        <w:rPr>
          <w:i/>
          <w:iCs/>
        </w:rPr>
        <w:t>Nr. </w:t>
      </w:r>
      <w:r w:rsidRPr="009118AB">
        <w:rPr>
          <w:i/>
          <w:iCs/>
        </w:rPr>
        <w:t>2 des G. vom 27. Dezember 2005 (I) (B.S. vom 30. Dezember 2005)</w:t>
      </w:r>
      <w:r w:rsidR="00D67EB8" w:rsidRPr="009118AB">
        <w:rPr>
          <w:i/>
          <w:iCs/>
        </w:rPr>
        <w:t> - </w:t>
      </w:r>
      <w:r w:rsidRPr="009118AB">
        <w:rPr>
          <w:i/>
          <w:iCs/>
        </w:rPr>
        <w:t>in Kraft ab dem Steuerjahr 2007</w:t>
      </w:r>
      <w:r w:rsidR="00FD68E8" w:rsidRPr="009118AB">
        <w:rPr>
          <w:i/>
          <w:iCs/>
        </w:rPr>
        <w:t> -]</w:t>
      </w:r>
    </w:p>
    <w:p w14:paraId="48131EA0" w14:textId="77777777" w:rsidR="00477B8F" w:rsidRPr="009118AB" w:rsidRDefault="00477B8F" w:rsidP="00477B8F">
      <w:pPr>
        <w:autoSpaceDE w:val="0"/>
        <w:autoSpaceDN w:val="0"/>
        <w:adjustRightInd w:val="0"/>
        <w:jc w:val="both"/>
      </w:pPr>
    </w:p>
    <w:p w14:paraId="208AB360" w14:textId="77777777" w:rsidR="00477B8F" w:rsidRPr="009118AB" w:rsidRDefault="00477B8F" w:rsidP="00477B8F">
      <w:pPr>
        <w:autoSpaceDE w:val="0"/>
        <w:autoSpaceDN w:val="0"/>
        <w:adjustRightInd w:val="0"/>
        <w:jc w:val="both"/>
      </w:pPr>
    </w:p>
    <w:p w14:paraId="3E6DB4A0" w14:textId="2E972096" w:rsidR="00644219" w:rsidRPr="00A11645" w:rsidRDefault="00D67EB8" w:rsidP="00A11645">
      <w:pPr>
        <w:ind w:firstLine="709"/>
        <w:jc w:val="both"/>
      </w:pPr>
      <w:bookmarkStart w:id="9" w:name="_Hlk128062604"/>
      <w:r w:rsidRPr="009118AB">
        <w:rPr>
          <w:b/>
          <w:bCs/>
        </w:rPr>
        <w:lastRenderedPageBreak/>
        <w:t>Art. </w:t>
      </w:r>
      <w:r w:rsidR="00477B8F" w:rsidRPr="009118AB">
        <w:rPr>
          <w:b/>
          <w:bCs/>
        </w:rPr>
        <w:t>66</w:t>
      </w:r>
      <w:r w:rsidRPr="009118AB">
        <w:t> - </w:t>
      </w:r>
      <w:bookmarkEnd w:id="9"/>
      <w:r w:rsidR="00644219" w:rsidRPr="00A11645">
        <w:rPr>
          <w:iCs/>
        </w:rPr>
        <w:t>[</w:t>
      </w:r>
      <w:r w:rsidRPr="00A11645">
        <w:rPr>
          <w:iCs/>
        </w:rPr>
        <w:t>§ </w:t>
      </w:r>
      <w:r w:rsidR="00644219" w:rsidRPr="00A11645">
        <w:rPr>
          <w:iCs/>
        </w:rPr>
        <w:t>1</w:t>
      </w:r>
      <w:r w:rsidRPr="00A11645">
        <w:rPr>
          <w:iCs/>
        </w:rPr>
        <w:t> - </w:t>
      </w:r>
      <w:r w:rsidR="00644219" w:rsidRPr="00A11645">
        <w:rPr>
          <w:iCs/>
        </w:rPr>
        <w:t>[</w:t>
      </w:r>
      <w:r w:rsidR="00644219" w:rsidRPr="00A11645">
        <w:t>Werbungskosten in Bezug auf die Nutzung der in Artikel 65 erwähnten Fahrzeuge sind nur in folgenden Grenzen abzugsfähig:</w:t>
      </w:r>
    </w:p>
    <w:p w14:paraId="11B73C76" w14:textId="77777777" w:rsidR="00644219" w:rsidRPr="00A11645" w:rsidRDefault="00644219" w:rsidP="00A11645">
      <w:pPr>
        <w:autoSpaceDE w:val="0"/>
        <w:autoSpaceDN w:val="0"/>
        <w:adjustRightInd w:val="0"/>
        <w:ind w:firstLine="709"/>
        <w:jc w:val="both"/>
      </w:pPr>
    </w:p>
    <w:p w14:paraId="3D9748A5" w14:textId="77777777" w:rsidR="00644219" w:rsidRPr="00A11645" w:rsidRDefault="00644219" w:rsidP="00A11645">
      <w:pPr>
        <w:autoSpaceDE w:val="0"/>
        <w:autoSpaceDN w:val="0"/>
        <w:adjustRightInd w:val="0"/>
        <w:ind w:firstLine="709"/>
        <w:jc w:val="both"/>
      </w:pPr>
      <w:r w:rsidRPr="00A11645">
        <w:t>1. bis zu 40 Prozent, wenn ihre CO</w:t>
      </w:r>
      <w:r w:rsidRPr="00A11645">
        <w:rPr>
          <w:vertAlign w:val="subscript"/>
        </w:rPr>
        <w:t>2</w:t>
      </w:r>
      <w:r w:rsidRPr="00A11645">
        <w:t>-Emission 200 g/km oder mehr beträgt [oder wenn bei der Direktion für Fahrzeugzulassungen keine Angaben über die CO</w:t>
      </w:r>
      <w:r w:rsidRPr="00A11645">
        <w:rPr>
          <w:vertAlign w:val="subscript"/>
        </w:rPr>
        <w:t>2</w:t>
      </w:r>
      <w:r w:rsidRPr="00A11645">
        <w:t>-Emission verfügbar sind],</w:t>
      </w:r>
    </w:p>
    <w:p w14:paraId="6FCAAA3F" w14:textId="77777777" w:rsidR="00644219" w:rsidRPr="00A11645" w:rsidRDefault="00644219" w:rsidP="00A11645">
      <w:pPr>
        <w:autoSpaceDE w:val="0"/>
        <w:autoSpaceDN w:val="0"/>
        <w:adjustRightInd w:val="0"/>
        <w:ind w:firstLine="709"/>
        <w:jc w:val="both"/>
      </w:pPr>
    </w:p>
    <w:p w14:paraId="4CF21797" w14:textId="3D79E3E4" w:rsidR="00644219" w:rsidRPr="00A11645" w:rsidRDefault="00644219" w:rsidP="00A11645">
      <w:pPr>
        <w:autoSpaceDE w:val="0"/>
        <w:autoSpaceDN w:val="0"/>
        <w:adjustRightInd w:val="0"/>
        <w:ind w:firstLine="709"/>
        <w:jc w:val="both"/>
      </w:pPr>
      <w:r w:rsidRPr="00A11645">
        <w:t>2. in den anderen Fällen bis zu einem Satz, der durch folgende Formel bestimmt wird: 120 Prozent</w:t>
      </w:r>
      <w:r w:rsidR="00D67EB8" w:rsidRPr="00A11645">
        <w:t> - </w:t>
      </w:r>
      <w:r w:rsidRPr="00A11645">
        <w:t>(0,5 Prozent * Koeffizient * g CO</w:t>
      </w:r>
      <w:r w:rsidRPr="00A11645">
        <w:rPr>
          <w:vertAlign w:val="subscript"/>
        </w:rPr>
        <w:t>2</w:t>
      </w:r>
      <w:r w:rsidRPr="00A11645">
        <w:t>/km), wobei der Koeffizient [für ausschließlich dieselbetriebene Fahrzeuge auf 1 und für andere Fahrzeuge auf 0,95] festgelegt wird. Ist das Fahrzeug mit einem Erdgasmotor ausgestattet und beträgt seine Steuerleistung weniger als 12 Steuer-PS, wird der Koeffizient auf 0,90 herabgesetzt. [Der Satz wird auf das höhere oder niedrigere Zehntel abgerundet, je nachdem ob die Ziffer der Hundertstel 5 erreicht oder nicht.]</w:t>
      </w:r>
    </w:p>
    <w:p w14:paraId="7E7FDA7D" w14:textId="77777777" w:rsidR="00644219" w:rsidRPr="00A11645" w:rsidRDefault="00644219" w:rsidP="00A11645">
      <w:pPr>
        <w:autoSpaceDE w:val="0"/>
        <w:autoSpaceDN w:val="0"/>
        <w:adjustRightInd w:val="0"/>
        <w:ind w:firstLine="709"/>
        <w:jc w:val="both"/>
      </w:pPr>
    </w:p>
    <w:p w14:paraId="09EDD710" w14:textId="4A9E3637" w:rsidR="00644219" w:rsidRPr="00A11645" w:rsidRDefault="00644219" w:rsidP="00A11645">
      <w:pPr>
        <w:autoSpaceDE w:val="0"/>
        <w:autoSpaceDN w:val="0"/>
        <w:adjustRightInd w:val="0"/>
        <w:ind w:firstLine="709"/>
        <w:jc w:val="both"/>
      </w:pPr>
      <w:r w:rsidRPr="00A11645">
        <w:t xml:space="preserve">[Für Fahrzeuge, die vor dem 1. Juli 2023 gekauft, geleast oder gemietet werden, kann der gemäß Absatz 1 </w:t>
      </w:r>
      <w:r w:rsidR="00D67EB8" w:rsidRPr="00A11645">
        <w:t>Nr. </w:t>
      </w:r>
      <w:r w:rsidRPr="00A11645">
        <w:t>2 bestimmte Satz nicht unter 50 Prozent und nicht über 100 Prozent liegen; er beträgt mindestens 75 Prozent für gemachte oder getragene Werbungskosten in Bezug auf die Nutzung von Fahrzeugen, die vor dem 1. Januar 2018 gekauft worden sind.]</w:t>
      </w:r>
    </w:p>
    <w:p w14:paraId="046038CA" w14:textId="719E9E70" w:rsidR="00644219" w:rsidRPr="00A11645" w:rsidRDefault="00644219" w:rsidP="00A11645">
      <w:pPr>
        <w:autoSpaceDE w:val="0"/>
        <w:autoSpaceDN w:val="0"/>
        <w:adjustRightInd w:val="0"/>
        <w:ind w:firstLine="709"/>
        <w:jc w:val="both"/>
      </w:pPr>
    </w:p>
    <w:p w14:paraId="6D311E7A" w14:textId="7981D51C" w:rsidR="00644219" w:rsidRPr="00A11645" w:rsidRDefault="00644219" w:rsidP="00A11645">
      <w:pPr>
        <w:autoSpaceDE w:val="0"/>
        <w:autoSpaceDN w:val="0"/>
        <w:adjustRightInd w:val="0"/>
        <w:ind w:firstLine="709"/>
        <w:jc w:val="both"/>
      </w:pPr>
      <w:r w:rsidRPr="00A11645">
        <w:t xml:space="preserve">[Für Fahrzeuge, die ab dem 1. Juli 2023 und bis zum 31. Dezember 2025 einschließlich gekauft, geleast oder gemietet werden, wird die in Absatz 1 </w:t>
      </w:r>
      <w:r w:rsidR="00D67EB8" w:rsidRPr="00A11645">
        <w:t>Nr. </w:t>
      </w:r>
      <w:r w:rsidRPr="00A11645">
        <w:t xml:space="preserve">2 erwähnte Formel in Abweichung von Absatz 1 auch für die in Absatz 1 </w:t>
      </w:r>
      <w:r w:rsidR="00D67EB8" w:rsidRPr="00A11645">
        <w:t>Nr. </w:t>
      </w:r>
      <w:r w:rsidRPr="00A11645">
        <w:t xml:space="preserve">1 erwähnten Fahrzeuge angewandt und kann der gemäß Absatz 1 </w:t>
      </w:r>
      <w:r w:rsidR="00D67EB8" w:rsidRPr="00A11645">
        <w:t>Nr. </w:t>
      </w:r>
      <w:r w:rsidRPr="00A11645">
        <w:t>2 bestimmte Satz nicht über 75 Prozent liegen, es sei denn, es handelt sich um ein Fahrzeug, das kein CO</w:t>
      </w:r>
      <w:r w:rsidRPr="00A11645">
        <w:rPr>
          <w:vertAlign w:val="subscript"/>
        </w:rPr>
        <w:t>2</w:t>
      </w:r>
      <w:r w:rsidRPr="00A11645">
        <w:t xml:space="preserve"> ausstößt. Für Fahrzeuge, für die bei der Direktion für Fahrzeugzulassungen keine Angaben über die CO</w:t>
      </w:r>
      <w:r w:rsidRPr="00A11645">
        <w:rPr>
          <w:vertAlign w:val="subscript"/>
        </w:rPr>
        <w:t>2</w:t>
      </w:r>
      <w:r w:rsidRPr="00A11645">
        <w:t>-Emission verfügbar sind, beträgt der Satz 0 Prozent.]</w:t>
      </w:r>
    </w:p>
    <w:p w14:paraId="00877F13" w14:textId="77777777" w:rsidR="00644219" w:rsidRPr="00A11645" w:rsidRDefault="00644219" w:rsidP="00A11645">
      <w:pPr>
        <w:autoSpaceDE w:val="0"/>
        <w:autoSpaceDN w:val="0"/>
        <w:adjustRightInd w:val="0"/>
        <w:ind w:firstLine="709"/>
        <w:jc w:val="both"/>
      </w:pPr>
    </w:p>
    <w:p w14:paraId="7A6F44CB" w14:textId="44EBC9E5" w:rsidR="00644219" w:rsidRPr="00A11645" w:rsidRDefault="00644219" w:rsidP="00A11645">
      <w:pPr>
        <w:autoSpaceDE w:val="0"/>
        <w:autoSpaceDN w:val="0"/>
        <w:adjustRightInd w:val="0"/>
        <w:ind w:firstLine="709"/>
        <w:jc w:val="both"/>
      </w:pPr>
      <w:r w:rsidRPr="00A11645">
        <w:t xml:space="preserve">Ist das in Artikel 65 erwähnte Fahrzeug ein aufladbares Hybridfahrzeug wie in Artikel 36 </w:t>
      </w:r>
      <w:r w:rsidR="00D67EB8" w:rsidRPr="00A11645">
        <w:t>§ </w:t>
      </w:r>
      <w:r w:rsidRPr="00A11645">
        <w:t>2 Absatz 10 erwähnt, das mit einer elektrischen Batterie mit einer Energiekapa</w:t>
      </w:r>
      <w:r w:rsidRPr="00A11645">
        <w:softHyphen/>
        <w:t>zität von weniger als 0,5 kWh pro 100 kg Fahrzeuggewicht ausgestattet ist oder dessen CO</w:t>
      </w:r>
      <w:r w:rsidRPr="00A11645">
        <w:rPr>
          <w:vertAlign w:val="subscript"/>
        </w:rPr>
        <w:t>2</w:t>
      </w:r>
      <w:r w:rsidRPr="00A11645">
        <w:t>-Emission mehr als 50 g/km beträgt, entspricht die in Absatz 1 erwähnte zu berücksichtigende CO</w:t>
      </w:r>
      <w:r w:rsidRPr="00A11645">
        <w:rPr>
          <w:vertAlign w:val="subscript"/>
        </w:rPr>
        <w:t>2</w:t>
      </w:r>
      <w:r w:rsidRPr="00A11645">
        <w:t>-Emission der CO</w:t>
      </w:r>
      <w:r w:rsidRPr="00A11645">
        <w:rPr>
          <w:vertAlign w:val="subscript"/>
        </w:rPr>
        <w:t>2</w:t>
      </w:r>
      <w:r w:rsidRPr="00A11645">
        <w:t>-Emission des entsprechenden Fahrzeugs mit einem Motor, der ausschließlich denselben Treibstoff verwendet. Gibt es kein entsprechendes Fahrzeug mit einem Motor, der ausschließlich denselben Treibstoff verwendet, wird der Emissionswert mit 2,5 multipliziert. [Für die Berechnung der Energiekapazität wird das erhaltene Ergebnis auf das höhere oder niedrigere Zehntel abgerundet, je nachdem ob die Ziffer der Hundertstel 5 erreicht oder nicht.]</w:t>
      </w:r>
    </w:p>
    <w:p w14:paraId="19AF0E6B" w14:textId="77777777" w:rsidR="00644219" w:rsidRPr="00A11645" w:rsidRDefault="00644219" w:rsidP="00A11645">
      <w:pPr>
        <w:autoSpaceDE w:val="0"/>
        <w:autoSpaceDN w:val="0"/>
        <w:adjustRightInd w:val="0"/>
        <w:ind w:firstLine="709"/>
        <w:jc w:val="both"/>
      </w:pPr>
    </w:p>
    <w:p w14:paraId="6BC8DD49" w14:textId="251DDD4D" w:rsidR="00644219" w:rsidRPr="00A11645" w:rsidRDefault="00644219" w:rsidP="00A11645">
      <w:pPr>
        <w:autoSpaceDE w:val="0"/>
        <w:autoSpaceDN w:val="0"/>
        <w:adjustRightInd w:val="0"/>
        <w:ind w:firstLine="709"/>
        <w:jc w:val="both"/>
      </w:pPr>
      <w:r w:rsidRPr="00A11645">
        <w:t xml:space="preserve">[Der gemäß Absatz 1 </w:t>
      </w:r>
      <w:r w:rsidR="00D67EB8" w:rsidRPr="00A11645">
        <w:t>Nr. </w:t>
      </w:r>
      <w:r w:rsidRPr="00A11645">
        <w:t xml:space="preserve">2 bestimmte Satz kann nicht über 50 Prozent liegen, was Benzin- oder Dieselkosten in Bezug auf die Nutzung eines ab dem 1. Januar 2023 gekauften, geleasten oder gemieteten aufladbaren Hybridfahrzeugs wie in Artikel 36 </w:t>
      </w:r>
      <w:r w:rsidR="00D67EB8" w:rsidRPr="00A11645">
        <w:t>§ </w:t>
      </w:r>
      <w:r w:rsidRPr="00A11645">
        <w:t>2 Absatz 10 erwähnt betrifft.]</w:t>
      </w:r>
    </w:p>
    <w:p w14:paraId="13DE1F20" w14:textId="77777777" w:rsidR="00644219" w:rsidRPr="00A11645" w:rsidRDefault="00644219" w:rsidP="00A11645">
      <w:pPr>
        <w:autoSpaceDE w:val="0"/>
        <w:autoSpaceDN w:val="0"/>
        <w:adjustRightInd w:val="0"/>
        <w:ind w:firstLine="709"/>
        <w:jc w:val="both"/>
      </w:pPr>
    </w:p>
    <w:p w14:paraId="4B5CCDCA" w14:textId="77777777" w:rsidR="00644219" w:rsidRPr="00A11645" w:rsidRDefault="00644219" w:rsidP="00A11645">
      <w:pPr>
        <w:autoSpaceDE w:val="0"/>
        <w:autoSpaceDN w:val="0"/>
        <w:adjustRightInd w:val="0"/>
        <w:ind w:firstLine="709"/>
        <w:jc w:val="both"/>
      </w:pPr>
      <w:r w:rsidRPr="00A11645">
        <w:t>In Abweichung von Absatz 1 sind Minderwerte in Bezug auf die in demselben Absatz erwähnten Fahrzeuge als Werbungskosten nur bis zu dem in Prozent ausgedrückten Verhält</w:t>
      </w:r>
      <w:r w:rsidRPr="00A11645">
        <w:softHyphen/>
        <w:t>nis zwischen der Summe der vor dem Verkauf steuerlich zugelassenen Abschreibungen, die für jeden Besteuerungszeitraum auf 100 Prozent begrenzt wird, und der Summe der für die entsprechenden Besteuerungszeiträume gebuchten Abschreibungen abzugsfähig.</w:t>
      </w:r>
    </w:p>
    <w:p w14:paraId="424F9CF1" w14:textId="77777777" w:rsidR="00644219" w:rsidRPr="00A11645" w:rsidRDefault="00644219" w:rsidP="00A11645">
      <w:pPr>
        <w:autoSpaceDE w:val="0"/>
        <w:autoSpaceDN w:val="0"/>
        <w:adjustRightInd w:val="0"/>
        <w:ind w:firstLine="709"/>
        <w:jc w:val="both"/>
      </w:pPr>
    </w:p>
    <w:p w14:paraId="0344AC3C" w14:textId="77777777" w:rsidR="00644219" w:rsidRPr="00A11645" w:rsidRDefault="00644219" w:rsidP="00A11645">
      <w:pPr>
        <w:autoSpaceDE w:val="0"/>
        <w:autoSpaceDN w:val="0"/>
        <w:adjustRightInd w:val="0"/>
        <w:ind w:firstLine="709"/>
        <w:jc w:val="both"/>
      </w:pPr>
      <w:r w:rsidRPr="00A11645">
        <w:lastRenderedPageBreak/>
        <w:t>Der König kann bestimmen, was unter entsprechendem Fahrzeug zu verstehen ist.</w:t>
      </w:r>
    </w:p>
    <w:p w14:paraId="7C9035BC" w14:textId="77777777" w:rsidR="00644219" w:rsidRPr="00A11645" w:rsidRDefault="00644219" w:rsidP="00A11645">
      <w:pPr>
        <w:autoSpaceDE w:val="0"/>
        <w:autoSpaceDN w:val="0"/>
        <w:adjustRightInd w:val="0"/>
        <w:ind w:firstLine="709"/>
        <w:jc w:val="both"/>
      </w:pPr>
    </w:p>
    <w:p w14:paraId="436A797D" w14:textId="2A9A06AE" w:rsidR="00644219" w:rsidRPr="00A11645" w:rsidRDefault="00644219" w:rsidP="00A11645">
      <w:pPr>
        <w:autoSpaceDE w:val="0"/>
        <w:autoSpaceDN w:val="0"/>
        <w:adjustRightInd w:val="0"/>
        <w:ind w:firstLine="709"/>
        <w:jc w:val="both"/>
      </w:pPr>
      <w:r w:rsidRPr="00A11645">
        <w:t>Der König kann durch einen im Ministerrat beratenen Erlass den in Absatz 1 erwähn</w:t>
      </w:r>
      <w:r w:rsidRPr="00A11645">
        <w:softHyphen/>
        <w:t>ten Koeffizienten, der auf Fahrzeuge mit einem Erdgasmotor und einer Steuerleistung von weniger als 12 Steuer-PS anwendbar ist, auf mindestens 0,75 herabsetzen und die in [Absatz 4] erwähnte Mindestenergiekapazität auf höchstens 2,1 kWh pro 100 kg Fahrzeuggewicht erhöhen.</w:t>
      </w:r>
    </w:p>
    <w:p w14:paraId="66C39B7B" w14:textId="77777777" w:rsidR="00644219" w:rsidRPr="00A11645" w:rsidRDefault="00644219" w:rsidP="00A11645">
      <w:pPr>
        <w:autoSpaceDE w:val="0"/>
        <w:autoSpaceDN w:val="0"/>
        <w:adjustRightInd w:val="0"/>
        <w:ind w:firstLine="709"/>
        <w:jc w:val="both"/>
      </w:pPr>
    </w:p>
    <w:p w14:paraId="7930AD2C" w14:textId="55F7D54C" w:rsidR="00644219" w:rsidRPr="00A11645" w:rsidRDefault="00644219" w:rsidP="00A11645">
      <w:pPr>
        <w:autoSpaceDE w:val="0"/>
        <w:autoSpaceDN w:val="0"/>
        <w:adjustRightInd w:val="0"/>
        <w:ind w:firstLine="709"/>
        <w:jc w:val="both"/>
        <w:rPr>
          <w:iCs/>
        </w:rPr>
      </w:pPr>
      <w:r w:rsidRPr="00A11645">
        <w:t>[Absatz 4] ist nicht anwendbar auf Hybridfahrzeuge, die vor dem 1. Januar 2018 gekauft worden sind.</w:t>
      </w:r>
      <w:r w:rsidRPr="00A11645">
        <w:rPr>
          <w:iCs/>
        </w:rPr>
        <w:t>]</w:t>
      </w:r>
    </w:p>
    <w:p w14:paraId="5B707BFA" w14:textId="77777777" w:rsidR="00644219" w:rsidRPr="00A11645" w:rsidRDefault="00644219" w:rsidP="00A11645">
      <w:pPr>
        <w:autoSpaceDE w:val="0"/>
        <w:autoSpaceDN w:val="0"/>
        <w:adjustRightInd w:val="0"/>
        <w:ind w:firstLine="709"/>
        <w:jc w:val="both"/>
        <w:rPr>
          <w:iCs/>
        </w:rPr>
      </w:pPr>
    </w:p>
    <w:p w14:paraId="0550FD91" w14:textId="155C3271" w:rsidR="00644219" w:rsidRPr="00A11645" w:rsidRDefault="00D67EB8" w:rsidP="00A11645">
      <w:pPr>
        <w:autoSpaceDE w:val="0"/>
        <w:autoSpaceDN w:val="0"/>
        <w:adjustRightInd w:val="0"/>
        <w:ind w:firstLine="709"/>
        <w:jc w:val="both"/>
        <w:rPr>
          <w:iCs/>
        </w:rPr>
      </w:pPr>
      <w:r w:rsidRPr="00A11645">
        <w:rPr>
          <w:iCs/>
        </w:rPr>
        <w:t>§ </w:t>
      </w:r>
      <w:r w:rsidR="00644219" w:rsidRPr="00A11645">
        <w:rPr>
          <w:iCs/>
        </w:rPr>
        <w:t>2</w:t>
      </w:r>
      <w:r w:rsidRPr="00A11645">
        <w:rPr>
          <w:iCs/>
        </w:rPr>
        <w:t> - </w:t>
      </w:r>
      <w:r w:rsidR="00644219" w:rsidRPr="00A11645">
        <w:rPr>
          <w:iCs/>
        </w:rPr>
        <w:t>[Paragraph 1 ist nicht anwendbar:</w:t>
      </w:r>
    </w:p>
    <w:p w14:paraId="0F1C4BB1" w14:textId="77777777" w:rsidR="00644219" w:rsidRPr="00A11645" w:rsidRDefault="00644219" w:rsidP="00A11645">
      <w:pPr>
        <w:autoSpaceDE w:val="0"/>
        <w:autoSpaceDN w:val="0"/>
        <w:adjustRightInd w:val="0"/>
        <w:ind w:firstLine="709"/>
        <w:jc w:val="both"/>
        <w:rPr>
          <w:iCs/>
        </w:rPr>
      </w:pPr>
    </w:p>
    <w:p w14:paraId="4B9078A0" w14:textId="77777777" w:rsidR="00644219" w:rsidRPr="00A11645" w:rsidRDefault="00644219" w:rsidP="00A11645">
      <w:pPr>
        <w:autoSpaceDE w:val="0"/>
        <w:autoSpaceDN w:val="0"/>
        <w:adjustRightInd w:val="0"/>
        <w:ind w:firstLine="709"/>
        <w:jc w:val="both"/>
        <w:rPr>
          <w:iCs/>
        </w:rPr>
      </w:pPr>
      <w:r w:rsidRPr="00A11645">
        <w:rPr>
          <w:iCs/>
        </w:rPr>
        <w:t>1. auf Fahrzeuge, die ausschließlich für einen Taxidienst oder die Vermietung mit Fahrer genutzt werden und aus diesem Grund nicht der Verkehrssteuer auf Kraftfahrzeuge unterliegen,</w:t>
      </w:r>
    </w:p>
    <w:p w14:paraId="00707C3A" w14:textId="77777777" w:rsidR="00644219" w:rsidRPr="00A11645" w:rsidRDefault="00644219" w:rsidP="00A11645">
      <w:pPr>
        <w:autoSpaceDE w:val="0"/>
        <w:autoSpaceDN w:val="0"/>
        <w:adjustRightInd w:val="0"/>
        <w:ind w:firstLine="709"/>
        <w:jc w:val="both"/>
        <w:rPr>
          <w:iCs/>
        </w:rPr>
      </w:pPr>
    </w:p>
    <w:p w14:paraId="765A7856" w14:textId="77777777" w:rsidR="00644219" w:rsidRPr="00A11645" w:rsidRDefault="00644219" w:rsidP="00A11645">
      <w:pPr>
        <w:autoSpaceDE w:val="0"/>
        <w:autoSpaceDN w:val="0"/>
        <w:adjustRightInd w:val="0"/>
        <w:ind w:firstLine="709"/>
        <w:jc w:val="both"/>
        <w:rPr>
          <w:iCs/>
        </w:rPr>
      </w:pPr>
      <w:r w:rsidRPr="00A11645">
        <w:rPr>
          <w:iCs/>
        </w:rPr>
        <w:t>2. auf Fahrzeuge, die ausschließlich für den praktischen Unterricht in zugelassenen Fahrschulen genutzt werden und zu diesem Zweck eigens ausgerüstet sind,</w:t>
      </w:r>
    </w:p>
    <w:p w14:paraId="07C76F16" w14:textId="77777777" w:rsidR="00644219" w:rsidRPr="00A11645" w:rsidRDefault="00644219" w:rsidP="00A11645">
      <w:pPr>
        <w:autoSpaceDE w:val="0"/>
        <w:autoSpaceDN w:val="0"/>
        <w:adjustRightInd w:val="0"/>
        <w:ind w:firstLine="709"/>
        <w:jc w:val="both"/>
        <w:rPr>
          <w:iCs/>
        </w:rPr>
      </w:pPr>
    </w:p>
    <w:p w14:paraId="08FD56F8" w14:textId="77777777" w:rsidR="00644219" w:rsidRPr="00A11645" w:rsidRDefault="00644219" w:rsidP="00A11645">
      <w:pPr>
        <w:autoSpaceDE w:val="0"/>
        <w:autoSpaceDN w:val="0"/>
        <w:adjustRightInd w:val="0"/>
        <w:ind w:firstLine="709"/>
        <w:jc w:val="both"/>
        <w:rPr>
          <w:iCs/>
        </w:rPr>
      </w:pPr>
      <w:r w:rsidRPr="00A11645">
        <w:rPr>
          <w:iCs/>
        </w:rPr>
        <w:t>3. auf Fahrzeuge, die ausschließlich an Dritte vermietet werden,]</w:t>
      </w:r>
    </w:p>
    <w:p w14:paraId="79FE0F81" w14:textId="77777777" w:rsidR="00644219" w:rsidRPr="00A11645" w:rsidRDefault="00644219" w:rsidP="00A11645">
      <w:pPr>
        <w:autoSpaceDE w:val="0"/>
        <w:autoSpaceDN w:val="0"/>
        <w:adjustRightInd w:val="0"/>
        <w:ind w:firstLine="709"/>
        <w:jc w:val="both"/>
        <w:rPr>
          <w:iCs/>
        </w:rPr>
      </w:pPr>
    </w:p>
    <w:p w14:paraId="22A5B689" w14:textId="77777777" w:rsidR="00644219" w:rsidRPr="00A11645" w:rsidRDefault="00644219" w:rsidP="00A11645">
      <w:pPr>
        <w:autoSpaceDE w:val="0"/>
        <w:autoSpaceDN w:val="0"/>
        <w:adjustRightInd w:val="0"/>
        <w:ind w:firstLine="709"/>
        <w:jc w:val="both"/>
        <w:rPr>
          <w:iCs/>
        </w:rPr>
      </w:pPr>
      <w:r w:rsidRPr="00A11645">
        <w:rPr>
          <w:iCs/>
        </w:rPr>
        <w:t>[</w:t>
      </w:r>
      <w:r w:rsidRPr="00A11645">
        <w:t>4. auf Kosten, die auf Dritte abgewälzt werden, vorausgesetzt, diese Kosten sind ausdrücklich und separat auf der Rechnung vermerkt,</w:t>
      </w:r>
      <w:r w:rsidRPr="00A11645">
        <w:rPr>
          <w:iCs/>
        </w:rPr>
        <w:t>]</w:t>
      </w:r>
    </w:p>
    <w:p w14:paraId="4A58642F" w14:textId="77777777" w:rsidR="00644219" w:rsidRPr="00A11645" w:rsidRDefault="00644219" w:rsidP="00A11645">
      <w:pPr>
        <w:autoSpaceDE w:val="0"/>
        <w:autoSpaceDN w:val="0"/>
        <w:adjustRightInd w:val="0"/>
        <w:ind w:firstLine="709"/>
        <w:jc w:val="both"/>
        <w:rPr>
          <w:iCs/>
        </w:rPr>
      </w:pPr>
    </w:p>
    <w:p w14:paraId="3C0844AD" w14:textId="77777777" w:rsidR="00644219" w:rsidRPr="00A11645" w:rsidRDefault="00644219" w:rsidP="00A11645">
      <w:pPr>
        <w:autoSpaceDE w:val="0"/>
        <w:autoSpaceDN w:val="0"/>
        <w:adjustRightInd w:val="0"/>
        <w:ind w:firstLine="709"/>
        <w:jc w:val="both"/>
        <w:rPr>
          <w:iCs/>
        </w:rPr>
      </w:pPr>
      <w:r w:rsidRPr="00A11645">
        <w:rPr>
          <w:iCs/>
        </w:rPr>
        <w:t>[</w:t>
      </w:r>
      <w:r w:rsidRPr="00A11645">
        <w:t>5. auf Kosten in Bezug auf Ladestationen für Elektrofahrzeuge.]</w:t>
      </w:r>
    </w:p>
    <w:p w14:paraId="243F8661" w14:textId="77777777" w:rsidR="00644219" w:rsidRPr="00A11645" w:rsidRDefault="00644219" w:rsidP="00A11645">
      <w:pPr>
        <w:autoSpaceDE w:val="0"/>
        <w:autoSpaceDN w:val="0"/>
        <w:adjustRightInd w:val="0"/>
        <w:ind w:firstLine="709"/>
        <w:jc w:val="both"/>
        <w:rPr>
          <w:iCs/>
        </w:rPr>
      </w:pPr>
    </w:p>
    <w:p w14:paraId="3412EF70" w14:textId="7F9D0472" w:rsidR="00644219" w:rsidRPr="00A11645" w:rsidRDefault="00D67EB8" w:rsidP="00A11645">
      <w:pPr>
        <w:autoSpaceDE w:val="0"/>
        <w:autoSpaceDN w:val="0"/>
        <w:adjustRightInd w:val="0"/>
        <w:ind w:firstLine="709"/>
        <w:jc w:val="both"/>
      </w:pPr>
      <w:r w:rsidRPr="00A11645">
        <w:rPr>
          <w:iCs/>
        </w:rPr>
        <w:t>§ </w:t>
      </w:r>
      <w:r w:rsidR="00644219" w:rsidRPr="00A11645">
        <w:rPr>
          <w:iCs/>
        </w:rPr>
        <w:t>3</w:t>
      </w:r>
      <w:r w:rsidRPr="00A11645">
        <w:rPr>
          <w:iCs/>
        </w:rPr>
        <w:t> - </w:t>
      </w:r>
      <w:r w:rsidR="00644219" w:rsidRPr="00A11645">
        <w:rPr>
          <w:iCs/>
        </w:rPr>
        <w:t>[</w:t>
      </w:r>
      <w:r w:rsidR="00644219" w:rsidRPr="00A11645">
        <w:t xml:space="preserve">In </w:t>
      </w:r>
      <w:r w:rsidRPr="00A11645">
        <w:t>§ </w:t>
      </w:r>
      <w:r w:rsidR="00644219" w:rsidRPr="00A11645">
        <w:t>1 erwähnte Werbungskosten umfassen:</w:t>
      </w:r>
    </w:p>
    <w:p w14:paraId="55785801" w14:textId="77777777" w:rsidR="00644219" w:rsidRPr="00A11645" w:rsidRDefault="00644219" w:rsidP="00A11645">
      <w:pPr>
        <w:autoSpaceDE w:val="0"/>
        <w:autoSpaceDN w:val="0"/>
        <w:adjustRightInd w:val="0"/>
        <w:ind w:firstLine="709"/>
        <w:jc w:val="both"/>
      </w:pPr>
    </w:p>
    <w:p w14:paraId="04D500AC" w14:textId="00174E29" w:rsidR="00644219" w:rsidRPr="00A11645" w:rsidRDefault="00644219" w:rsidP="00A11645">
      <w:pPr>
        <w:autoSpaceDE w:val="0"/>
        <w:autoSpaceDN w:val="0"/>
        <w:adjustRightInd w:val="0"/>
        <w:ind w:firstLine="709"/>
        <w:jc w:val="both"/>
      </w:pPr>
      <w:r w:rsidRPr="00A11645">
        <w:t xml:space="preserve">1. Kosten in Bezug auf die in </w:t>
      </w:r>
      <w:r w:rsidR="00D67EB8" w:rsidRPr="00A11645">
        <w:t>§ </w:t>
      </w:r>
      <w:r w:rsidRPr="00A11645">
        <w:t xml:space="preserve">2 </w:t>
      </w:r>
      <w:r w:rsidR="00D67EB8" w:rsidRPr="00A11645">
        <w:t>Nr. </w:t>
      </w:r>
      <w:r w:rsidRPr="00A11645">
        <w:t>1 und 3 erwähnten einem Dritten gehörenden Fahrzeuge, die vom Endnutzer dieser Fahrzeuge gemacht werden,</w:t>
      </w:r>
    </w:p>
    <w:p w14:paraId="7A8785F2" w14:textId="77777777" w:rsidR="00644219" w:rsidRPr="00A11645" w:rsidRDefault="00644219" w:rsidP="00A11645">
      <w:pPr>
        <w:autoSpaceDE w:val="0"/>
        <w:autoSpaceDN w:val="0"/>
        <w:adjustRightInd w:val="0"/>
        <w:ind w:firstLine="709"/>
        <w:jc w:val="both"/>
      </w:pPr>
    </w:p>
    <w:p w14:paraId="3C2A8F59" w14:textId="77777777" w:rsidR="00644219" w:rsidRPr="00A11645" w:rsidRDefault="00644219" w:rsidP="00A11645">
      <w:pPr>
        <w:autoSpaceDE w:val="0"/>
        <w:autoSpaceDN w:val="0"/>
        <w:adjustRightInd w:val="0"/>
        <w:ind w:firstLine="709"/>
        <w:jc w:val="both"/>
      </w:pPr>
      <w:r w:rsidRPr="00A11645">
        <w:t>2. den Betrag der in vorliegendem Artikel erwähnten Kosten, die Dritten zurückgezahlt werden,</w:t>
      </w:r>
    </w:p>
    <w:p w14:paraId="47CA1BAE" w14:textId="77777777" w:rsidR="00644219" w:rsidRPr="00A11645" w:rsidRDefault="00644219" w:rsidP="00A11645">
      <w:pPr>
        <w:autoSpaceDE w:val="0"/>
        <w:autoSpaceDN w:val="0"/>
        <w:adjustRightInd w:val="0"/>
        <w:ind w:firstLine="709"/>
        <w:jc w:val="both"/>
      </w:pPr>
    </w:p>
    <w:p w14:paraId="2F94AD97" w14:textId="77777777" w:rsidR="00644219" w:rsidRPr="00A11645" w:rsidRDefault="00644219" w:rsidP="00A11645">
      <w:pPr>
        <w:autoSpaceDE w:val="0"/>
        <w:autoSpaceDN w:val="0"/>
        <w:adjustRightInd w:val="0"/>
        <w:ind w:firstLine="709"/>
        <w:jc w:val="both"/>
        <w:rPr>
          <w:iCs/>
        </w:rPr>
      </w:pPr>
      <w:r w:rsidRPr="00A11645">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A11645">
        <w:rPr>
          <w:iCs/>
        </w:rPr>
        <w:t>]</w:t>
      </w:r>
    </w:p>
    <w:p w14:paraId="75D4495A" w14:textId="77777777" w:rsidR="00644219" w:rsidRPr="00A11645" w:rsidRDefault="00644219" w:rsidP="00A11645">
      <w:pPr>
        <w:autoSpaceDE w:val="0"/>
        <w:autoSpaceDN w:val="0"/>
        <w:adjustRightInd w:val="0"/>
        <w:ind w:firstLine="709"/>
        <w:jc w:val="both"/>
        <w:rPr>
          <w:iCs/>
        </w:rPr>
      </w:pPr>
    </w:p>
    <w:p w14:paraId="6C0EF72E" w14:textId="03390915" w:rsidR="00644219" w:rsidRPr="00A11645" w:rsidRDefault="00D67EB8" w:rsidP="00A11645">
      <w:pPr>
        <w:autoSpaceDE w:val="0"/>
        <w:autoSpaceDN w:val="0"/>
        <w:adjustRightInd w:val="0"/>
        <w:ind w:firstLine="709"/>
        <w:jc w:val="both"/>
        <w:rPr>
          <w:iCs/>
        </w:rPr>
      </w:pPr>
      <w:r w:rsidRPr="00A11645">
        <w:rPr>
          <w:iCs/>
        </w:rPr>
        <w:t>§ </w:t>
      </w:r>
      <w:r w:rsidR="00644219" w:rsidRPr="00A11645">
        <w:rPr>
          <w:iCs/>
        </w:rPr>
        <w:t>4</w:t>
      </w:r>
      <w:r w:rsidRPr="00A11645">
        <w:rPr>
          <w:iCs/>
        </w:rPr>
        <w:t> - </w:t>
      </w:r>
      <w:r w:rsidR="00644219" w:rsidRPr="00A11645">
        <w:rPr>
          <w:iCs/>
        </w:rPr>
        <w:t xml:space="preserve">In Abweichung von </w:t>
      </w:r>
      <w:r w:rsidRPr="00A11645">
        <w:rPr>
          <w:iCs/>
        </w:rPr>
        <w:t>§ </w:t>
      </w:r>
      <w:r w:rsidR="00644219" w:rsidRPr="00A11645">
        <w:rPr>
          <w:iCs/>
        </w:rPr>
        <w:t xml:space="preserve">1 werden Werbungskosten in Bezug auf die Fahrt zwischen Wohnsitz und Arbeitsplatz mit einem in vorliegender Bestimmung erwähnten Fahrzeug pauschal auf [0,15 EUR] pro gefahrenen Kilometer festgelegt. Vorliegende Abweichung ist nicht anwendbar auf Fahrzeuge, die gemäß Artikel 5 </w:t>
      </w:r>
      <w:r w:rsidRPr="00A11645">
        <w:rPr>
          <w:iCs/>
        </w:rPr>
        <w:t>§ </w:t>
      </w:r>
      <w:r w:rsidR="00644219" w:rsidRPr="00A11645">
        <w:rPr>
          <w:iCs/>
        </w:rPr>
        <w:t xml:space="preserve">1 </w:t>
      </w:r>
      <w:r w:rsidRPr="00A11645">
        <w:rPr>
          <w:iCs/>
        </w:rPr>
        <w:t>Nr. </w:t>
      </w:r>
      <w:r w:rsidR="00644219" w:rsidRPr="00A11645">
        <w:rPr>
          <w:iCs/>
        </w:rPr>
        <w:t>3 des Gesetzbuches der der Einkommensteuer gleichgesetzten Steuern nicht der Verkehrssteuer unterliegen.</w:t>
      </w:r>
    </w:p>
    <w:p w14:paraId="152D98B9" w14:textId="77777777" w:rsidR="00644219" w:rsidRPr="00A11645" w:rsidRDefault="00644219" w:rsidP="00A11645">
      <w:pPr>
        <w:autoSpaceDE w:val="0"/>
        <w:autoSpaceDN w:val="0"/>
        <w:adjustRightInd w:val="0"/>
        <w:ind w:firstLine="709"/>
        <w:jc w:val="both"/>
        <w:rPr>
          <w:iCs/>
        </w:rPr>
      </w:pPr>
    </w:p>
    <w:p w14:paraId="1148B22C" w14:textId="2444E5AF" w:rsidR="00644219" w:rsidRPr="00A11645" w:rsidRDefault="00D67EB8" w:rsidP="00A11645">
      <w:pPr>
        <w:autoSpaceDE w:val="0"/>
        <w:autoSpaceDN w:val="0"/>
        <w:adjustRightInd w:val="0"/>
        <w:ind w:firstLine="709"/>
        <w:jc w:val="both"/>
        <w:rPr>
          <w:iCs/>
        </w:rPr>
      </w:pPr>
      <w:r w:rsidRPr="00A11645">
        <w:rPr>
          <w:iCs/>
        </w:rPr>
        <w:t>§ </w:t>
      </w:r>
      <w:r w:rsidR="00644219" w:rsidRPr="00A11645">
        <w:rPr>
          <w:iCs/>
        </w:rPr>
        <w:t>5</w:t>
      </w:r>
      <w:r w:rsidRPr="00A11645">
        <w:rPr>
          <w:iCs/>
        </w:rPr>
        <w:t> - </w:t>
      </w:r>
      <w:r w:rsidR="00644219" w:rsidRPr="00A11645">
        <w:rPr>
          <w:iCs/>
        </w:rPr>
        <w:t xml:space="preserve">Der in </w:t>
      </w:r>
      <w:r w:rsidRPr="00A11645">
        <w:rPr>
          <w:iCs/>
        </w:rPr>
        <w:t>§ </w:t>
      </w:r>
      <w:r w:rsidR="00644219" w:rsidRPr="00A11645">
        <w:rPr>
          <w:iCs/>
        </w:rPr>
        <w:t>4 festgelegte Pauschalbetrag darf dem Steuerpflichtigen ausschließlich bewilligt werden, wenn das betreffende Fahrzeug:</w:t>
      </w:r>
    </w:p>
    <w:p w14:paraId="2CE807F8" w14:textId="77777777" w:rsidR="00644219" w:rsidRPr="00A11645" w:rsidRDefault="00644219" w:rsidP="00A11645">
      <w:pPr>
        <w:autoSpaceDE w:val="0"/>
        <w:autoSpaceDN w:val="0"/>
        <w:adjustRightInd w:val="0"/>
        <w:ind w:firstLine="709"/>
        <w:jc w:val="both"/>
        <w:rPr>
          <w:iCs/>
        </w:rPr>
      </w:pPr>
    </w:p>
    <w:p w14:paraId="5C868198" w14:textId="77777777" w:rsidR="00644219" w:rsidRPr="00A11645" w:rsidRDefault="00644219" w:rsidP="00A11645">
      <w:pPr>
        <w:autoSpaceDE w:val="0"/>
        <w:autoSpaceDN w:val="0"/>
        <w:adjustRightInd w:val="0"/>
        <w:ind w:firstLine="709"/>
        <w:jc w:val="both"/>
        <w:rPr>
          <w:iCs/>
        </w:rPr>
      </w:pPr>
      <w:r w:rsidRPr="00A11645">
        <w:rPr>
          <w:iCs/>
        </w:rPr>
        <w:t>1. entweder sein Eigentum ist</w:t>
      </w:r>
    </w:p>
    <w:p w14:paraId="2F268F84" w14:textId="77777777" w:rsidR="00644219" w:rsidRPr="00A11645" w:rsidRDefault="00644219" w:rsidP="00A11645">
      <w:pPr>
        <w:autoSpaceDE w:val="0"/>
        <w:autoSpaceDN w:val="0"/>
        <w:adjustRightInd w:val="0"/>
        <w:ind w:firstLine="709"/>
        <w:jc w:val="both"/>
        <w:rPr>
          <w:iCs/>
        </w:rPr>
      </w:pPr>
    </w:p>
    <w:p w14:paraId="755C98FC" w14:textId="77777777" w:rsidR="00644219" w:rsidRPr="00A11645" w:rsidRDefault="00644219" w:rsidP="00A11645">
      <w:pPr>
        <w:autoSpaceDE w:val="0"/>
        <w:autoSpaceDN w:val="0"/>
        <w:adjustRightInd w:val="0"/>
        <w:ind w:firstLine="709"/>
        <w:jc w:val="both"/>
        <w:rPr>
          <w:iCs/>
        </w:rPr>
      </w:pPr>
      <w:r w:rsidRPr="00A11645">
        <w:rPr>
          <w:iCs/>
        </w:rPr>
        <w:t>2. oder bei der Direktion für Fahrzeugzulassungen auf seinen Namen zugelassen ist</w:t>
      </w:r>
    </w:p>
    <w:p w14:paraId="7C65FA2C" w14:textId="77777777" w:rsidR="00644219" w:rsidRPr="00A11645" w:rsidRDefault="00644219" w:rsidP="00A11645">
      <w:pPr>
        <w:autoSpaceDE w:val="0"/>
        <w:autoSpaceDN w:val="0"/>
        <w:adjustRightInd w:val="0"/>
        <w:ind w:firstLine="709"/>
        <w:jc w:val="both"/>
        <w:rPr>
          <w:iCs/>
        </w:rPr>
      </w:pPr>
    </w:p>
    <w:p w14:paraId="6F3B6949" w14:textId="77777777" w:rsidR="00644219" w:rsidRPr="00A11645" w:rsidRDefault="00644219" w:rsidP="00A11645">
      <w:pPr>
        <w:autoSpaceDE w:val="0"/>
        <w:autoSpaceDN w:val="0"/>
        <w:adjustRightInd w:val="0"/>
        <w:ind w:firstLine="709"/>
        <w:jc w:val="both"/>
        <w:rPr>
          <w:iCs/>
        </w:rPr>
      </w:pPr>
      <w:r w:rsidRPr="00A11645">
        <w:rPr>
          <w:iCs/>
        </w:rPr>
        <w:t>3. oder ihm aufgrund eines Miet- oder Leasingvertrags ständig oder gewöhnlich zur Verfügung steht</w:t>
      </w:r>
    </w:p>
    <w:p w14:paraId="554306BC" w14:textId="77777777" w:rsidR="00644219" w:rsidRPr="00A11645" w:rsidRDefault="00644219" w:rsidP="00A11645">
      <w:pPr>
        <w:autoSpaceDE w:val="0"/>
        <w:autoSpaceDN w:val="0"/>
        <w:adjustRightInd w:val="0"/>
        <w:ind w:firstLine="709"/>
        <w:jc w:val="both"/>
        <w:rPr>
          <w:iCs/>
        </w:rPr>
      </w:pPr>
    </w:p>
    <w:p w14:paraId="076645D3" w14:textId="77777777" w:rsidR="00644219" w:rsidRPr="00A11645" w:rsidRDefault="00644219" w:rsidP="00A11645">
      <w:pPr>
        <w:autoSpaceDE w:val="0"/>
        <w:autoSpaceDN w:val="0"/>
        <w:adjustRightInd w:val="0"/>
        <w:ind w:firstLine="709"/>
        <w:jc w:val="both"/>
        <w:rPr>
          <w:iCs/>
        </w:rPr>
      </w:pPr>
      <w:r w:rsidRPr="00A11645">
        <w:rPr>
          <w:iCs/>
        </w:rPr>
        <w:t>4. oder seinem Arbeitgeber oder seiner Gesellschaft gehört und der möglicherweise aus der Nutzung dieses Fahrzeugs entstehende Vorteil zu seinen Lasten besteuert wird.</w:t>
      </w:r>
    </w:p>
    <w:p w14:paraId="799155DD" w14:textId="77777777" w:rsidR="00644219" w:rsidRPr="00A11645" w:rsidRDefault="00644219" w:rsidP="00A11645">
      <w:pPr>
        <w:autoSpaceDE w:val="0"/>
        <w:autoSpaceDN w:val="0"/>
        <w:adjustRightInd w:val="0"/>
        <w:ind w:firstLine="709"/>
        <w:jc w:val="both"/>
        <w:rPr>
          <w:iCs/>
        </w:rPr>
      </w:pPr>
    </w:p>
    <w:p w14:paraId="5797F18D" w14:textId="1BC38A1B" w:rsidR="00644219" w:rsidRPr="00A11645" w:rsidRDefault="00644219" w:rsidP="00A11645">
      <w:pPr>
        <w:autoSpaceDE w:val="0"/>
        <w:autoSpaceDN w:val="0"/>
        <w:adjustRightInd w:val="0"/>
        <w:ind w:firstLine="709"/>
        <w:jc w:val="both"/>
        <w:rPr>
          <w:iCs/>
        </w:rPr>
      </w:pPr>
      <w:r w:rsidRPr="00A11645">
        <w:rPr>
          <w:iCs/>
        </w:rPr>
        <w:t xml:space="preserve">In den in Absatz 1 </w:t>
      </w:r>
      <w:r w:rsidR="00D67EB8" w:rsidRPr="00A11645">
        <w:rPr>
          <w:iCs/>
        </w:rPr>
        <w:t>Nr. </w:t>
      </w:r>
      <w:r w:rsidRPr="00A11645">
        <w:rPr>
          <w:iCs/>
        </w:rPr>
        <w:t xml:space="preserve">1 bis 3 erwähnten Fällen darf der Pauschalbetrag dem Ehepartner oder einem Kind des Steuerpflichtigen bewilligt werden, wenn dieser Ehepartner oder dieses Kind das Fahrzeug für die in </w:t>
      </w:r>
      <w:r w:rsidR="00D67EB8" w:rsidRPr="00A11645">
        <w:rPr>
          <w:iCs/>
        </w:rPr>
        <w:t>§ </w:t>
      </w:r>
      <w:r w:rsidRPr="00A11645">
        <w:rPr>
          <w:iCs/>
        </w:rPr>
        <w:t>4 erwähnte Fahrt nutzt, wobei der Pauschalbetrag für gemeinsam gemachte Fahrten aber nur einem einzigen Steuerpflichtigen bewilligt werden darf.]</w:t>
      </w:r>
    </w:p>
    <w:p w14:paraId="7B1A8835" w14:textId="77777777" w:rsidR="00644219" w:rsidRPr="00A11645" w:rsidRDefault="00644219" w:rsidP="00A11645">
      <w:pPr>
        <w:autoSpaceDE w:val="0"/>
        <w:autoSpaceDN w:val="0"/>
        <w:adjustRightInd w:val="0"/>
        <w:ind w:firstLine="709"/>
        <w:jc w:val="both"/>
        <w:rPr>
          <w:iCs/>
        </w:rPr>
      </w:pPr>
    </w:p>
    <w:p w14:paraId="43E85F3A" w14:textId="0F4638C9" w:rsidR="00644219" w:rsidRPr="00A11645" w:rsidRDefault="00644219" w:rsidP="00A11645">
      <w:pPr>
        <w:autoSpaceDE w:val="0"/>
        <w:autoSpaceDN w:val="0"/>
        <w:adjustRightInd w:val="0"/>
        <w:ind w:firstLine="709"/>
        <w:jc w:val="both"/>
        <w:rPr>
          <w:iCs/>
        </w:rPr>
      </w:pPr>
      <w:r w:rsidRPr="00A11645">
        <w:rPr>
          <w:iCs/>
        </w:rPr>
        <w:t xml:space="preserve">[In den in Absatz 1 </w:t>
      </w:r>
      <w:r w:rsidR="00D67EB8" w:rsidRPr="00A11645">
        <w:rPr>
          <w:iCs/>
        </w:rPr>
        <w:t>Nr. </w:t>
      </w:r>
      <w:r w:rsidRPr="00A11645">
        <w:rPr>
          <w:iCs/>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A11645">
        <w:rPr>
          <w:iCs/>
        </w:rPr>
        <w:t>§ </w:t>
      </w:r>
      <w:r w:rsidRPr="00A11645">
        <w:rPr>
          <w:iCs/>
        </w:rPr>
        <w:t>2 letzter Absatz erwähnte Beteiligung.]</w:t>
      </w:r>
    </w:p>
    <w:p w14:paraId="449A0538" w14:textId="77777777" w:rsidR="00644219" w:rsidRPr="00A11645" w:rsidRDefault="00644219" w:rsidP="00A11645">
      <w:pPr>
        <w:autoSpaceDE w:val="0"/>
        <w:autoSpaceDN w:val="0"/>
        <w:adjustRightInd w:val="0"/>
        <w:ind w:firstLine="709"/>
        <w:jc w:val="both"/>
        <w:rPr>
          <w:iCs/>
        </w:rPr>
      </w:pPr>
    </w:p>
    <w:p w14:paraId="63C70451" w14:textId="51B19133" w:rsidR="00644219" w:rsidRPr="00A11645" w:rsidRDefault="00644219" w:rsidP="00A11645">
      <w:pPr>
        <w:autoSpaceDE w:val="0"/>
        <w:autoSpaceDN w:val="0"/>
        <w:adjustRightInd w:val="0"/>
        <w:ind w:firstLine="709"/>
        <w:jc w:val="both"/>
        <w:rPr>
          <w:iCs/>
        </w:rPr>
      </w:pPr>
      <w:r w:rsidRPr="00A11645">
        <w:rPr>
          <w:iCs/>
        </w:rPr>
        <w:t>[</w:t>
      </w:r>
      <w:r w:rsidR="006079B8" w:rsidRPr="00A11645">
        <w:rPr>
          <w:iCs/>
        </w:rPr>
        <w:t>..</w:t>
      </w:r>
      <w:r w:rsidRPr="00A11645">
        <w:rPr>
          <w:iCs/>
        </w:rPr>
        <w:t>.]</w:t>
      </w:r>
    </w:p>
    <w:p w14:paraId="64FD827F" w14:textId="77777777" w:rsidR="00644219" w:rsidRPr="00A11645" w:rsidRDefault="00644219" w:rsidP="00A11645">
      <w:pPr>
        <w:autoSpaceDE w:val="0"/>
        <w:autoSpaceDN w:val="0"/>
        <w:adjustRightInd w:val="0"/>
        <w:ind w:firstLine="709"/>
        <w:jc w:val="both"/>
        <w:rPr>
          <w:iCs/>
        </w:rPr>
      </w:pPr>
    </w:p>
    <w:p w14:paraId="15E147F4" w14:textId="3B1704EA" w:rsidR="00787E39" w:rsidRDefault="00644219" w:rsidP="00A11645">
      <w:pPr>
        <w:autoSpaceDE w:val="0"/>
        <w:autoSpaceDN w:val="0"/>
        <w:adjustRightInd w:val="0"/>
        <w:jc w:val="both"/>
      </w:pPr>
      <w:r w:rsidRPr="00A11645">
        <w:rPr>
          <w:rFonts w:ascii="Times New Roman Italique" w:hAnsi="Times New Roman Italique"/>
          <w:i/>
          <w:iCs/>
          <w:spacing w:val="2"/>
        </w:rPr>
        <w:t>[</w:t>
      </w:r>
      <w:r w:rsidR="00D67EB8" w:rsidRPr="00A11645">
        <w:rPr>
          <w:rFonts w:ascii="Times New Roman Italique" w:hAnsi="Times New Roman Italique"/>
          <w:i/>
          <w:iCs/>
          <w:spacing w:val="2"/>
        </w:rPr>
        <w:t>Art. </w:t>
      </w:r>
      <w:r w:rsidRPr="00A11645">
        <w:rPr>
          <w:rFonts w:ascii="Times New Roman Italique" w:hAnsi="Times New Roman Italique"/>
          <w:i/>
          <w:iCs/>
          <w:spacing w:val="2"/>
        </w:rPr>
        <w:t xml:space="preserve">66 ersetzt durch </w:t>
      </w:r>
      <w:r w:rsidR="00D67EB8" w:rsidRPr="00A11645">
        <w:rPr>
          <w:rFonts w:ascii="Times New Roman Italique" w:hAnsi="Times New Roman Italique"/>
          <w:i/>
          <w:iCs/>
          <w:spacing w:val="2"/>
        </w:rPr>
        <w:t>Art. </w:t>
      </w:r>
      <w:r w:rsidRPr="00A11645">
        <w:rPr>
          <w:rFonts w:ascii="Times New Roman Italique" w:hAnsi="Times New Roman Italique"/>
          <w:i/>
          <w:iCs/>
          <w:spacing w:val="2"/>
        </w:rPr>
        <w:t>13 des G. vom 6. Juli 1994 (B.S. vom 16. Juli 1994)</w:t>
      </w:r>
      <w:r w:rsidR="00D67EB8" w:rsidRPr="00A11645">
        <w:rPr>
          <w:rFonts w:ascii="Times New Roman Italique" w:hAnsi="Times New Roman Italique"/>
          <w:i/>
          <w:iCs/>
          <w:spacing w:val="2"/>
        </w:rPr>
        <w:t> - </w:t>
      </w:r>
      <w:r w:rsidRPr="00A11645">
        <w:rPr>
          <w:rFonts w:ascii="Times New Roman Italique" w:hAnsi="Times New Roman Italique"/>
          <w:i/>
          <w:iCs/>
          <w:spacing w:val="2"/>
        </w:rPr>
        <w:t>anwendbar ab dem Steuerjahr 1993</w:t>
      </w:r>
      <w:r w:rsidR="003366D9" w:rsidRPr="00A11645">
        <w:rPr>
          <w:rFonts w:ascii="Times New Roman Italique" w:hAnsi="Times New Roman Italique"/>
          <w:i/>
          <w:iCs/>
          <w:spacing w:val="2"/>
        </w:rPr>
        <w:t> </w:t>
      </w:r>
      <w:r w:rsidR="003366D9" w:rsidRPr="00A11645">
        <w:rPr>
          <w:rFonts w:ascii="Times New Roman Italique" w:hAnsi="Times New Roman Italique" w:hint="eastAsia"/>
          <w:i/>
          <w:iCs/>
          <w:spacing w:val="2"/>
        </w:rPr>
        <w:t>-;</w:t>
      </w:r>
      <w:r w:rsidRPr="00A11645">
        <w:rPr>
          <w:rFonts w:ascii="Times New Roman Italique" w:hAnsi="Times New Roman Italique"/>
          <w:i/>
          <w:iCs/>
          <w:spacing w:val="2"/>
        </w:rPr>
        <w:t xml:space="preserve"> </w:t>
      </w:r>
      <w:r w:rsidR="00D67EB8" w:rsidRPr="00A11645">
        <w:rPr>
          <w:rFonts w:ascii="Times New Roman Italique" w:hAnsi="Times New Roman Italique"/>
          <w:i/>
          <w:iCs/>
          <w:spacing w:val="2"/>
        </w:rPr>
        <w:t>§ </w:t>
      </w:r>
      <w:r w:rsidRPr="00A11645">
        <w:rPr>
          <w:rFonts w:ascii="Times New Roman Italique" w:hAnsi="Times New Roman Italique"/>
          <w:i/>
          <w:iCs/>
          <w:spacing w:val="2"/>
        </w:rPr>
        <w:t xml:space="preserve">1 ersetzt durch </w:t>
      </w:r>
      <w:r w:rsidR="00D67EB8" w:rsidRPr="00A11645">
        <w:rPr>
          <w:rFonts w:ascii="Times New Roman Italique" w:hAnsi="Times New Roman Italique"/>
          <w:i/>
          <w:iCs/>
          <w:spacing w:val="2"/>
        </w:rPr>
        <w:t>Art. </w:t>
      </w:r>
      <w:r w:rsidRPr="00A11645">
        <w:rPr>
          <w:rFonts w:ascii="Times New Roman Italique" w:hAnsi="Times New Roman Italique"/>
          <w:i/>
          <w:iCs/>
          <w:spacing w:val="2"/>
        </w:rPr>
        <w:t xml:space="preserve">11 </w:t>
      </w:r>
      <w:r w:rsidR="00D67EB8" w:rsidRPr="00A11645">
        <w:rPr>
          <w:rFonts w:ascii="Times New Roman Italique" w:hAnsi="Times New Roman Italique"/>
          <w:i/>
          <w:iCs/>
          <w:spacing w:val="2"/>
        </w:rPr>
        <w:t>Nr. </w:t>
      </w:r>
      <w:r w:rsidRPr="00A11645">
        <w:rPr>
          <w:rFonts w:ascii="Times New Roman Italique" w:hAnsi="Times New Roman Italique"/>
          <w:i/>
          <w:iCs/>
          <w:spacing w:val="2"/>
        </w:rPr>
        <w:t>2 des G. vom 25. Dezember 2017 (III) (B.S. vom 29. Dezember 2017)</w:t>
      </w:r>
      <w:r w:rsidR="00D67EB8" w:rsidRPr="00A11645">
        <w:rPr>
          <w:rFonts w:ascii="Times New Roman Italique" w:hAnsi="Times New Roman Italique"/>
          <w:i/>
          <w:iCs/>
          <w:spacing w:val="2"/>
        </w:rPr>
        <w:t> - </w:t>
      </w:r>
      <w:r w:rsidRPr="00A11645">
        <w:rPr>
          <w:rFonts w:ascii="Times New Roman Italique" w:hAnsi="Times New Roman Italique"/>
          <w:i/>
          <w:iCs/>
          <w:spacing w:val="2"/>
        </w:rPr>
        <w:t>in Kraft am 1. Januar 2020 und anwendbar ab dem Steuerjahr 2021, das sich auf einen Besteuerungszeitraum</w:t>
      </w:r>
      <w:r w:rsidRPr="00A11645">
        <w:rPr>
          <w:i/>
          <w:iCs/>
          <w:spacing w:val="2"/>
        </w:rPr>
        <w:t xml:space="preserve"> bezieht, der frühestens am 1. Januar 2020 beginnt</w:t>
      </w:r>
      <w:r w:rsidR="00FD68E8" w:rsidRPr="00A11645">
        <w:rPr>
          <w:i/>
          <w:iCs/>
          <w:spacing w:val="2"/>
        </w:rPr>
        <w:t> -,</w:t>
      </w:r>
      <w:r w:rsidRPr="00A11645">
        <w:rPr>
          <w:i/>
          <w:iCs/>
          <w:spacing w:val="2"/>
        </w:rPr>
        <w:t xml:space="preserve"> selbst abgeändert durch </w:t>
      </w:r>
      <w:r w:rsidR="00D67EB8" w:rsidRPr="00A11645">
        <w:rPr>
          <w:i/>
          <w:iCs/>
          <w:spacing w:val="2"/>
        </w:rPr>
        <w:t>Art. </w:t>
      </w:r>
      <w:r w:rsidRPr="00A11645">
        <w:rPr>
          <w:i/>
          <w:iCs/>
          <w:spacing w:val="2"/>
        </w:rPr>
        <w:t xml:space="preserve">43 </w:t>
      </w:r>
      <w:r w:rsidR="00D67EB8" w:rsidRPr="00A11645">
        <w:rPr>
          <w:i/>
          <w:iCs/>
          <w:spacing w:val="2"/>
        </w:rPr>
        <w:t>Nr. </w:t>
      </w:r>
      <w:r w:rsidRPr="00A11645">
        <w:rPr>
          <w:i/>
          <w:iCs/>
          <w:spacing w:val="2"/>
        </w:rPr>
        <w:t>2</w:t>
      </w:r>
      <w:r w:rsidRPr="00A11645">
        <w:rPr>
          <w:i/>
          <w:spacing w:val="2"/>
        </w:rPr>
        <w:t xml:space="preserve"> des G. vom 2. Mai 2019 (III) (B.S. vom 15. Mai 2019)</w:t>
      </w:r>
      <w:r w:rsidRPr="00A11645">
        <w:rPr>
          <w:i/>
          <w:iCs/>
          <w:spacing w:val="2"/>
        </w:rPr>
        <w:t xml:space="preserve">; </w:t>
      </w:r>
      <w:r w:rsidR="00D67EB8" w:rsidRPr="00A11645">
        <w:rPr>
          <w:i/>
          <w:iCs/>
          <w:spacing w:val="2"/>
        </w:rPr>
        <w:t>§ </w:t>
      </w:r>
      <w:r w:rsidRPr="00A11645">
        <w:rPr>
          <w:i/>
          <w:iCs/>
          <w:spacing w:val="2"/>
        </w:rPr>
        <w:t xml:space="preserve">1 </w:t>
      </w:r>
      <w:r w:rsidR="00D67EB8" w:rsidRPr="00A11645">
        <w:rPr>
          <w:i/>
          <w:iCs/>
          <w:spacing w:val="2"/>
        </w:rPr>
        <w:t>Abs. </w:t>
      </w:r>
      <w:r w:rsidRPr="00A11645">
        <w:rPr>
          <w:i/>
          <w:iCs/>
          <w:spacing w:val="2"/>
        </w:rPr>
        <w:t xml:space="preserve">1 </w:t>
      </w:r>
      <w:r w:rsidR="00D67EB8" w:rsidRPr="00A11645">
        <w:rPr>
          <w:i/>
          <w:iCs/>
          <w:spacing w:val="2"/>
        </w:rPr>
        <w:t>Nr. </w:t>
      </w:r>
      <w:r w:rsidRPr="00A11645">
        <w:rPr>
          <w:i/>
          <w:iCs/>
          <w:spacing w:val="2"/>
        </w:rPr>
        <w:t xml:space="preserve">1 abgeändert durch </w:t>
      </w:r>
      <w:r w:rsidR="00D67EB8" w:rsidRPr="00A11645">
        <w:rPr>
          <w:i/>
          <w:iCs/>
          <w:spacing w:val="2"/>
        </w:rPr>
        <w:t>Art. </w:t>
      </w:r>
      <w:r w:rsidRPr="00A11645">
        <w:rPr>
          <w:i/>
          <w:iCs/>
          <w:spacing w:val="2"/>
        </w:rPr>
        <w:t xml:space="preserve">2 </w:t>
      </w:r>
      <w:r w:rsidR="00D67EB8" w:rsidRPr="00A11645">
        <w:rPr>
          <w:i/>
          <w:iCs/>
          <w:spacing w:val="2"/>
        </w:rPr>
        <w:t>Nr. </w:t>
      </w:r>
      <w:r w:rsidRPr="00A11645">
        <w:rPr>
          <w:i/>
          <w:iCs/>
          <w:spacing w:val="2"/>
        </w:rPr>
        <w:t xml:space="preserve">1 des </w:t>
      </w:r>
      <w:r w:rsidRPr="00A11645">
        <w:rPr>
          <w:rFonts w:ascii="Times New Roman Italique" w:hAnsi="Times New Roman Italique"/>
          <w:i/>
          <w:iCs/>
          <w:spacing w:val="-2"/>
        </w:rPr>
        <w:t>G. vom 25. November 2021 (B.S. vom 3. Dezember 2021)</w:t>
      </w:r>
      <w:r w:rsidR="00D67EB8" w:rsidRPr="00A11645">
        <w:rPr>
          <w:rFonts w:ascii="Times New Roman Italique" w:hAnsi="Times New Roman Italique"/>
          <w:i/>
          <w:iCs/>
          <w:spacing w:val="-2"/>
        </w:rPr>
        <w:t> - </w:t>
      </w:r>
      <w:r w:rsidRPr="00A11645">
        <w:rPr>
          <w:rFonts w:ascii="Times New Roman Italique" w:hAnsi="Times New Roman Italique"/>
          <w:i/>
          <w:iCs/>
          <w:spacing w:val="-2"/>
        </w:rPr>
        <w:t>wirksam mit 1. Januar 2020 und anwendbar ab dem Steuerjahr 2021, das sich auf einen Besteuerungszeitraum bezieht, der frühestens am 1. Januar 2020 beginnt</w:t>
      </w:r>
      <w:r w:rsidR="003366D9" w:rsidRPr="00A11645">
        <w:rPr>
          <w:rFonts w:ascii="Times New Roman Italique" w:hAnsi="Times New Roman Italique"/>
          <w:i/>
          <w:iCs/>
          <w:spacing w:val="-2"/>
        </w:rPr>
        <w:t> -;</w:t>
      </w:r>
      <w:r w:rsidRPr="00A11645">
        <w:rPr>
          <w:rFonts w:ascii="Times New Roman Italique" w:hAnsi="Times New Roman Italique"/>
          <w:i/>
          <w:iCs/>
          <w:spacing w:val="-2"/>
        </w:rPr>
        <w:t> </w:t>
      </w:r>
      <w:r w:rsidR="00D67EB8" w:rsidRPr="00A11645">
        <w:rPr>
          <w:rFonts w:ascii="Times New Roman Italique" w:hAnsi="Times New Roman Italique"/>
          <w:i/>
          <w:iCs/>
          <w:spacing w:val="-2"/>
        </w:rPr>
        <w:t>§ </w:t>
      </w:r>
      <w:r w:rsidRPr="00A11645">
        <w:rPr>
          <w:rFonts w:ascii="Times New Roman Italique" w:hAnsi="Times New Roman Italique"/>
          <w:i/>
          <w:iCs/>
          <w:spacing w:val="-2"/>
        </w:rPr>
        <w:t xml:space="preserve">1 </w:t>
      </w:r>
      <w:r w:rsidR="00D67EB8" w:rsidRPr="00A11645">
        <w:rPr>
          <w:rFonts w:ascii="Times New Roman Italique" w:hAnsi="Times New Roman Italique"/>
          <w:i/>
          <w:iCs/>
          <w:spacing w:val="-2"/>
        </w:rPr>
        <w:t>Abs. </w:t>
      </w:r>
      <w:r w:rsidRPr="00A11645">
        <w:rPr>
          <w:rFonts w:ascii="Times New Roman Italique" w:hAnsi="Times New Roman Italique"/>
          <w:i/>
          <w:iCs/>
          <w:spacing w:val="-2"/>
        </w:rPr>
        <w:t xml:space="preserve">1 </w:t>
      </w:r>
      <w:r w:rsidR="00D67EB8" w:rsidRPr="00A11645">
        <w:rPr>
          <w:rFonts w:ascii="Times New Roman Italique" w:hAnsi="Times New Roman Italique"/>
          <w:i/>
          <w:iCs/>
          <w:spacing w:val="-2"/>
        </w:rPr>
        <w:t>Nr. </w:t>
      </w:r>
      <w:r w:rsidRPr="00A11645">
        <w:rPr>
          <w:rFonts w:ascii="Times New Roman Italique" w:hAnsi="Times New Roman Italique"/>
          <w:i/>
          <w:iCs/>
          <w:spacing w:val="-2"/>
        </w:rPr>
        <w:t xml:space="preserve">2 abgeändert durch </w:t>
      </w:r>
      <w:r w:rsidR="00D67EB8" w:rsidRPr="00A11645">
        <w:rPr>
          <w:rFonts w:ascii="Times New Roman Italique" w:hAnsi="Times New Roman Italique"/>
          <w:i/>
          <w:iCs/>
          <w:spacing w:val="-2"/>
        </w:rPr>
        <w:t>Art. </w:t>
      </w:r>
      <w:r w:rsidRPr="00A11645">
        <w:rPr>
          <w:rFonts w:ascii="Times New Roman Italique" w:hAnsi="Times New Roman Italique"/>
          <w:i/>
          <w:iCs/>
          <w:spacing w:val="-2"/>
        </w:rPr>
        <w:t xml:space="preserve">28 </w:t>
      </w:r>
      <w:r w:rsidR="00D67EB8" w:rsidRPr="00A11645">
        <w:rPr>
          <w:rFonts w:ascii="Times New Roman Italique" w:hAnsi="Times New Roman Italique"/>
          <w:i/>
          <w:iCs/>
          <w:spacing w:val="-2"/>
        </w:rPr>
        <w:t>Nr. </w:t>
      </w:r>
      <w:r w:rsidRPr="00A11645">
        <w:rPr>
          <w:rFonts w:ascii="Times New Roman Italique" w:hAnsi="Times New Roman Italique"/>
          <w:i/>
          <w:iCs/>
          <w:spacing w:val="-2"/>
        </w:rPr>
        <w:t>1</w:t>
      </w:r>
      <w:r w:rsidRPr="00A11645">
        <w:rPr>
          <w:rFonts w:ascii="Times New Roman Italique" w:hAnsi="Times New Roman Italique"/>
          <w:i/>
          <w:spacing w:val="-2"/>
        </w:rPr>
        <w:t xml:space="preserve"> des G. vom 27. Juni 2021 (B.S. vom 30. Juni 2021)</w:t>
      </w:r>
      <w:r w:rsidR="00D67EB8" w:rsidRPr="00A11645">
        <w:rPr>
          <w:rFonts w:ascii="Times New Roman Italique" w:hAnsi="Times New Roman Italique"/>
          <w:i/>
          <w:spacing w:val="-2"/>
        </w:rPr>
        <w:t> - </w:t>
      </w:r>
      <w:r w:rsidRPr="00A11645">
        <w:rPr>
          <w:rFonts w:ascii="Times New Roman Italique" w:hAnsi="Times New Roman Italique"/>
          <w:i/>
          <w:spacing w:val="-2"/>
        </w:rPr>
        <w:t>wirksam mit</w:t>
      </w:r>
      <w:r w:rsidRPr="00A11645">
        <w:rPr>
          <w:i/>
        </w:rPr>
        <w:t xml:space="preserve"> 1. Januar 2020 und anwendbar ab dem Steuerjahr 2021</w:t>
      </w:r>
      <w:r w:rsidR="00D67EB8" w:rsidRPr="00A11645">
        <w:rPr>
          <w:i/>
        </w:rPr>
        <w:t> - </w:t>
      </w:r>
      <w:r w:rsidRPr="00A11645">
        <w:rPr>
          <w:i/>
        </w:rPr>
        <w:t xml:space="preserve">und </w:t>
      </w:r>
      <w:r w:rsidR="00D67EB8" w:rsidRPr="00A11645">
        <w:rPr>
          <w:i/>
        </w:rPr>
        <w:t>Art. </w:t>
      </w:r>
      <w:r w:rsidRPr="00A11645">
        <w:rPr>
          <w:i/>
        </w:rPr>
        <w:t xml:space="preserve">3 </w:t>
      </w:r>
      <w:r w:rsidR="00D67EB8" w:rsidRPr="00A11645">
        <w:rPr>
          <w:i/>
        </w:rPr>
        <w:t>Nr. </w:t>
      </w:r>
      <w:r w:rsidRPr="00A11645">
        <w:rPr>
          <w:i/>
        </w:rPr>
        <w:t>1</w:t>
      </w:r>
      <w:r w:rsidRPr="00A11645">
        <w:rPr>
          <w:i/>
          <w:iCs/>
        </w:rPr>
        <w:t xml:space="preserve"> des G. vom 25. November 2021 (B.S. vom 3. Dezember 2021)</w:t>
      </w:r>
      <w:r w:rsidR="00D67EB8" w:rsidRPr="00A11645">
        <w:rPr>
          <w:i/>
          <w:iCs/>
        </w:rPr>
        <w:t> - </w:t>
      </w:r>
      <w:r w:rsidRPr="00A11645">
        <w:rPr>
          <w:i/>
          <w:iCs/>
        </w:rPr>
        <w:t>in Kraft am 1. Januar 2025 und anwendbar ab dem Steuerjahr 2026, das sich auf einen Besteuerungszeitraum bezieht, der frühestens am 1. Januar 2025 beginnt</w:t>
      </w:r>
      <w:r w:rsidR="003366D9" w:rsidRPr="00A11645">
        <w:rPr>
          <w:i/>
          <w:iCs/>
        </w:rPr>
        <w:t> -;</w:t>
      </w:r>
      <w:r w:rsidRPr="00A11645">
        <w:rPr>
          <w:i/>
          <w:iCs/>
        </w:rPr>
        <w:t xml:space="preserve"> </w:t>
      </w:r>
      <w:r w:rsidR="00D67EB8" w:rsidRPr="00A11645">
        <w:rPr>
          <w:i/>
          <w:iCs/>
        </w:rPr>
        <w:t>§ </w:t>
      </w:r>
      <w:r w:rsidRPr="00A11645">
        <w:rPr>
          <w:i/>
          <w:iCs/>
        </w:rPr>
        <w:t xml:space="preserve">1 </w:t>
      </w:r>
      <w:r w:rsidR="00D67EB8" w:rsidRPr="00A11645">
        <w:rPr>
          <w:i/>
          <w:iCs/>
        </w:rPr>
        <w:t>Abs. </w:t>
      </w:r>
      <w:r w:rsidRPr="00A11645">
        <w:rPr>
          <w:i/>
          <w:iCs/>
        </w:rPr>
        <w:t xml:space="preserve">2 ersetzt durch </w:t>
      </w:r>
      <w:r w:rsidR="00D67EB8" w:rsidRPr="00A11645">
        <w:rPr>
          <w:i/>
          <w:iCs/>
        </w:rPr>
        <w:t>Art. </w:t>
      </w:r>
      <w:r w:rsidR="00390A33" w:rsidRPr="00A11645">
        <w:rPr>
          <w:i/>
          <w:iCs/>
        </w:rPr>
        <w:t xml:space="preserve">3 </w:t>
      </w:r>
      <w:r w:rsidR="00D67EB8" w:rsidRPr="00A11645">
        <w:rPr>
          <w:i/>
          <w:iCs/>
        </w:rPr>
        <w:t>Nr. </w:t>
      </w:r>
      <w:r w:rsidR="00390A33" w:rsidRPr="00A11645">
        <w:rPr>
          <w:i/>
          <w:iCs/>
        </w:rPr>
        <w:t>2 des G. vom 25. November 2021 (B.S. vom 3. Dezember 2021)</w:t>
      </w:r>
      <w:r w:rsidR="00D67EB8" w:rsidRPr="00A11645">
        <w:rPr>
          <w:i/>
          <w:iCs/>
        </w:rPr>
        <w:t> - </w:t>
      </w:r>
      <w:r w:rsidR="00390A33" w:rsidRPr="00A11645">
        <w:rPr>
          <w:i/>
          <w:iCs/>
        </w:rPr>
        <w:t>in Kraft am 1. Januar 2025 und anwendbar ab dem Steuerjahr 2026, das sich auf einen Besteuerungszeitraum bezieht, der frühestens am 1. Januar 2025 beginnt</w:t>
      </w:r>
      <w:r w:rsidR="003366D9" w:rsidRPr="00A11645">
        <w:rPr>
          <w:i/>
          <w:iCs/>
        </w:rPr>
        <w:t> -;</w:t>
      </w:r>
      <w:r w:rsidRPr="00A11645">
        <w:rPr>
          <w:i/>
        </w:rPr>
        <w:t xml:space="preserve"> </w:t>
      </w:r>
      <w:r w:rsidR="00D67EB8" w:rsidRPr="00A11645">
        <w:rPr>
          <w:i/>
        </w:rPr>
        <w:t>§ </w:t>
      </w:r>
      <w:r w:rsidR="00390A33" w:rsidRPr="00A11645">
        <w:rPr>
          <w:i/>
        </w:rPr>
        <w:t xml:space="preserve">1 neuer Absatz 3 eingefügt durch </w:t>
      </w:r>
      <w:r w:rsidR="00D67EB8" w:rsidRPr="00A11645">
        <w:rPr>
          <w:i/>
        </w:rPr>
        <w:t>Art. </w:t>
      </w:r>
      <w:r w:rsidR="00390A33" w:rsidRPr="00A11645">
        <w:rPr>
          <w:i/>
        </w:rPr>
        <w:t xml:space="preserve">3 </w:t>
      </w:r>
      <w:r w:rsidR="00D67EB8" w:rsidRPr="00A11645">
        <w:rPr>
          <w:i/>
        </w:rPr>
        <w:t>Nr. </w:t>
      </w:r>
      <w:r w:rsidR="00390A33" w:rsidRPr="00A11645">
        <w:rPr>
          <w:i/>
        </w:rPr>
        <w:t>3</w:t>
      </w:r>
      <w:r w:rsidR="00390A33" w:rsidRPr="00A11645">
        <w:rPr>
          <w:i/>
          <w:iCs/>
        </w:rPr>
        <w:t xml:space="preserve"> des G. vom 25. November 2021 (B.S. vom 3. Dezember 2021)</w:t>
      </w:r>
      <w:r w:rsidR="00D67EB8" w:rsidRPr="00A11645">
        <w:rPr>
          <w:i/>
          <w:iCs/>
        </w:rPr>
        <w:t> - </w:t>
      </w:r>
      <w:r w:rsidR="00390A33" w:rsidRPr="00A11645">
        <w:rPr>
          <w:i/>
          <w:iCs/>
        </w:rPr>
        <w:t>in Kraft am 1. Januar 2025 und anwendbar ab dem Steuerjahr 2026, das sich auf einen Besteuerungszeitraum bezieht, der frühestens am 1. Januar 2025 beginnt</w:t>
      </w:r>
      <w:r w:rsidR="003366D9" w:rsidRPr="00A11645">
        <w:rPr>
          <w:i/>
          <w:iCs/>
        </w:rPr>
        <w:t> -;</w:t>
      </w:r>
      <w:r w:rsidR="00390A33" w:rsidRPr="00A11645">
        <w:rPr>
          <w:i/>
          <w:iCs/>
        </w:rPr>
        <w:t xml:space="preserve"> </w:t>
      </w:r>
      <w:r w:rsidR="00D67EB8" w:rsidRPr="00A11645">
        <w:rPr>
          <w:i/>
        </w:rPr>
        <w:t>§ </w:t>
      </w:r>
      <w:r w:rsidRPr="00A11645">
        <w:rPr>
          <w:i/>
        </w:rPr>
        <w:t xml:space="preserve">1 </w:t>
      </w:r>
      <w:r w:rsidR="00D67EB8" w:rsidRPr="00A11645">
        <w:rPr>
          <w:i/>
        </w:rPr>
        <w:t>Abs. </w:t>
      </w:r>
      <w:r w:rsidR="00390A33" w:rsidRPr="00A11645">
        <w:rPr>
          <w:i/>
        </w:rPr>
        <w:t>4 (früherer Absatz 3)</w:t>
      </w:r>
      <w:r w:rsidRPr="00A11645">
        <w:rPr>
          <w:i/>
        </w:rPr>
        <w:t xml:space="preserve"> abgeändert durch </w:t>
      </w:r>
      <w:r w:rsidR="00D67EB8" w:rsidRPr="00A11645">
        <w:rPr>
          <w:i/>
        </w:rPr>
        <w:t>Art. </w:t>
      </w:r>
      <w:r w:rsidRPr="00A11645">
        <w:rPr>
          <w:i/>
        </w:rPr>
        <w:t xml:space="preserve">28 </w:t>
      </w:r>
      <w:r w:rsidR="00D67EB8" w:rsidRPr="00A11645">
        <w:rPr>
          <w:i/>
        </w:rPr>
        <w:t>Nr. </w:t>
      </w:r>
      <w:r w:rsidRPr="00A11645">
        <w:rPr>
          <w:i/>
        </w:rPr>
        <w:t>3 des G. vom 27. Juni 2021 (B.S. vom 30. Juni 2021)</w:t>
      </w:r>
      <w:r w:rsidR="00D67EB8" w:rsidRPr="00A11645">
        <w:rPr>
          <w:i/>
        </w:rPr>
        <w:t> - </w:t>
      </w:r>
      <w:r w:rsidRPr="00A11645">
        <w:rPr>
          <w:i/>
        </w:rPr>
        <w:t>wirksam mit 1. Januar 2020 und anwendbar ab dem Steuerjahr 2021</w:t>
      </w:r>
      <w:r w:rsidR="003366D9" w:rsidRPr="00A11645">
        <w:rPr>
          <w:i/>
        </w:rPr>
        <w:t> -;</w:t>
      </w:r>
      <w:r w:rsidRPr="00A11645">
        <w:rPr>
          <w:i/>
        </w:rPr>
        <w:t xml:space="preserve"> </w:t>
      </w:r>
      <w:r w:rsidR="00D67EB8" w:rsidRPr="00A11645">
        <w:rPr>
          <w:i/>
        </w:rPr>
        <w:t>§ </w:t>
      </w:r>
      <w:r w:rsidRPr="00A11645">
        <w:rPr>
          <w:i/>
        </w:rPr>
        <w:t>1 neuer Absatz </w:t>
      </w:r>
      <w:r w:rsidR="00390A33" w:rsidRPr="00A11645">
        <w:rPr>
          <w:i/>
        </w:rPr>
        <w:t>5</w:t>
      </w:r>
      <w:r w:rsidRPr="00A11645">
        <w:rPr>
          <w:i/>
        </w:rPr>
        <w:t xml:space="preserve"> eingefügt durch </w:t>
      </w:r>
      <w:r w:rsidR="00D67EB8" w:rsidRPr="00A11645">
        <w:rPr>
          <w:i/>
        </w:rPr>
        <w:t>Art. </w:t>
      </w:r>
      <w:r w:rsidRPr="00A11645">
        <w:rPr>
          <w:i/>
        </w:rPr>
        <w:t xml:space="preserve">2 </w:t>
      </w:r>
      <w:r w:rsidR="00D67EB8" w:rsidRPr="00A11645">
        <w:rPr>
          <w:i/>
        </w:rPr>
        <w:t>Nr. </w:t>
      </w:r>
      <w:r w:rsidRPr="00A11645">
        <w:rPr>
          <w:i/>
        </w:rPr>
        <w:t>2</w:t>
      </w:r>
      <w:r w:rsidRPr="00A11645">
        <w:rPr>
          <w:i/>
          <w:iCs/>
        </w:rPr>
        <w:t xml:space="preserve"> des G. vom 25. November 2021 (B.S. vom 3. Dezember 2021)</w:t>
      </w:r>
      <w:r w:rsidR="00D67EB8" w:rsidRPr="00A11645">
        <w:rPr>
          <w:i/>
          <w:iCs/>
        </w:rPr>
        <w:t> - </w:t>
      </w:r>
      <w:r w:rsidRPr="00A11645">
        <w:rPr>
          <w:i/>
          <w:iCs/>
        </w:rPr>
        <w:t>in Kraft am 1. Januar 2023 und anwendbar ab dem Steuerjahr 2024, das sich auf einen Besteuerungszeitraum bezieht, der frühestens am 1. Januar 2023 beginnt</w:t>
      </w:r>
      <w:r w:rsidR="003366D9" w:rsidRPr="00A11645">
        <w:rPr>
          <w:i/>
          <w:iCs/>
        </w:rPr>
        <w:t> -;</w:t>
      </w:r>
      <w:r w:rsidR="00390A33" w:rsidRPr="00A11645">
        <w:rPr>
          <w:i/>
          <w:iCs/>
        </w:rPr>
        <w:t xml:space="preserve"> </w:t>
      </w:r>
      <w:r w:rsidR="00D67EB8" w:rsidRPr="00A11645">
        <w:rPr>
          <w:i/>
          <w:iCs/>
        </w:rPr>
        <w:t>§ </w:t>
      </w:r>
      <w:r w:rsidR="00390A33" w:rsidRPr="00A11645">
        <w:rPr>
          <w:i/>
          <w:iCs/>
        </w:rPr>
        <w:t xml:space="preserve">1 </w:t>
      </w:r>
      <w:r w:rsidR="00D67EB8" w:rsidRPr="00A11645">
        <w:rPr>
          <w:i/>
          <w:iCs/>
        </w:rPr>
        <w:t>Abs. </w:t>
      </w:r>
      <w:r w:rsidR="00390A33" w:rsidRPr="00A11645">
        <w:rPr>
          <w:i/>
          <w:iCs/>
        </w:rPr>
        <w:t xml:space="preserve">8 abgeändert durch </w:t>
      </w:r>
      <w:r w:rsidR="00D67EB8" w:rsidRPr="00A11645">
        <w:rPr>
          <w:i/>
          <w:iCs/>
        </w:rPr>
        <w:t>Art. </w:t>
      </w:r>
      <w:r w:rsidR="00390A33" w:rsidRPr="00A11645">
        <w:rPr>
          <w:i/>
          <w:iCs/>
        </w:rPr>
        <w:t xml:space="preserve">3 </w:t>
      </w:r>
      <w:r w:rsidR="00D67EB8" w:rsidRPr="00A11645">
        <w:rPr>
          <w:i/>
          <w:iCs/>
        </w:rPr>
        <w:t>Nr. </w:t>
      </w:r>
      <w:r w:rsidR="00390A33" w:rsidRPr="00A11645">
        <w:rPr>
          <w:i/>
          <w:iCs/>
        </w:rPr>
        <w:t>4 des G. vom 25. November 2021 (B.S. vom 3. Dezember 2021)</w:t>
      </w:r>
      <w:r w:rsidR="00D67EB8" w:rsidRPr="00A11645">
        <w:rPr>
          <w:i/>
          <w:iCs/>
        </w:rPr>
        <w:t> - </w:t>
      </w:r>
      <w:r w:rsidR="00390A33" w:rsidRPr="00A11645">
        <w:rPr>
          <w:i/>
          <w:iCs/>
        </w:rPr>
        <w:t>in Kraft am 1. Januar 2025 und anwendbar ab dem Steuerjahr 2026, das sich auf einen Besteuerungszeitraum bezieht, der frühestens am 1. Januar 2025 beginnt</w:t>
      </w:r>
      <w:r w:rsidR="003366D9" w:rsidRPr="00A11645">
        <w:rPr>
          <w:i/>
          <w:iCs/>
        </w:rPr>
        <w:t> -;</w:t>
      </w:r>
      <w:r w:rsidR="00390A33" w:rsidRPr="00A11645">
        <w:rPr>
          <w:i/>
          <w:iCs/>
        </w:rPr>
        <w:t xml:space="preserve"> </w:t>
      </w:r>
      <w:r w:rsidR="00D67EB8" w:rsidRPr="00A11645">
        <w:rPr>
          <w:i/>
          <w:iCs/>
        </w:rPr>
        <w:t>§ </w:t>
      </w:r>
      <w:r w:rsidR="00390A33" w:rsidRPr="00A11645">
        <w:rPr>
          <w:i/>
          <w:iCs/>
        </w:rPr>
        <w:t xml:space="preserve">1 </w:t>
      </w:r>
      <w:r w:rsidR="00D67EB8" w:rsidRPr="00A11645">
        <w:rPr>
          <w:i/>
          <w:iCs/>
        </w:rPr>
        <w:t>Abs. </w:t>
      </w:r>
      <w:r w:rsidR="00390A33" w:rsidRPr="00A11645">
        <w:rPr>
          <w:i/>
          <w:iCs/>
        </w:rPr>
        <w:t xml:space="preserve">9 abgeändert durch </w:t>
      </w:r>
      <w:r w:rsidR="00D67EB8" w:rsidRPr="00A11645">
        <w:rPr>
          <w:i/>
          <w:iCs/>
        </w:rPr>
        <w:t>Art. </w:t>
      </w:r>
      <w:r w:rsidR="00390A33" w:rsidRPr="00A11645">
        <w:rPr>
          <w:i/>
          <w:iCs/>
        </w:rPr>
        <w:t xml:space="preserve">3 </w:t>
      </w:r>
      <w:r w:rsidR="00D67EB8" w:rsidRPr="00A11645">
        <w:rPr>
          <w:i/>
          <w:iCs/>
        </w:rPr>
        <w:t>Nr. </w:t>
      </w:r>
      <w:r w:rsidR="00390A33" w:rsidRPr="00A11645">
        <w:rPr>
          <w:i/>
          <w:iCs/>
        </w:rPr>
        <w:t>4 des G. vom 25. November 2021 (B.S. vom 3. Dezember 2021)</w:t>
      </w:r>
      <w:r w:rsidR="00D67EB8" w:rsidRPr="00A11645">
        <w:rPr>
          <w:i/>
          <w:iCs/>
        </w:rPr>
        <w:t> - </w:t>
      </w:r>
      <w:r w:rsidR="00390A33" w:rsidRPr="00A11645">
        <w:rPr>
          <w:i/>
          <w:iCs/>
        </w:rPr>
        <w:t xml:space="preserve">in Kraft am 1. Januar 2025 und anwendbar ab dem Steuerjahr 2026, das </w:t>
      </w:r>
      <w:r w:rsidR="00390A33" w:rsidRPr="00A11645">
        <w:rPr>
          <w:i/>
          <w:iCs/>
        </w:rPr>
        <w:lastRenderedPageBreak/>
        <w:t>sich auf einen Besteuerungszeitraum bezieht, der frühestens am 1. Januar 2025 beginnt</w:t>
      </w:r>
      <w:r w:rsidR="003366D9" w:rsidRPr="00A11645">
        <w:rPr>
          <w:i/>
          <w:iCs/>
        </w:rPr>
        <w:t> -;</w:t>
      </w:r>
      <w:r w:rsidRPr="00A11645">
        <w:rPr>
          <w:i/>
          <w:iCs/>
        </w:rPr>
        <w:t xml:space="preserve"> </w:t>
      </w:r>
      <w:r w:rsidR="00D67EB8" w:rsidRPr="00A11645">
        <w:rPr>
          <w:i/>
          <w:iCs/>
        </w:rPr>
        <w:t>§ </w:t>
      </w:r>
      <w:r w:rsidRPr="00A11645">
        <w:rPr>
          <w:i/>
          <w:iCs/>
        </w:rPr>
        <w:t xml:space="preserve">2 ersetzt durch </w:t>
      </w:r>
      <w:r w:rsidR="00D67EB8" w:rsidRPr="00A11645">
        <w:rPr>
          <w:i/>
          <w:iCs/>
        </w:rPr>
        <w:t>Art. </w:t>
      </w:r>
      <w:r w:rsidRPr="00A11645">
        <w:rPr>
          <w:i/>
          <w:iCs/>
        </w:rPr>
        <w:t xml:space="preserve">105 </w:t>
      </w:r>
      <w:r w:rsidR="00D67EB8" w:rsidRPr="00A11645">
        <w:rPr>
          <w:i/>
          <w:iCs/>
        </w:rPr>
        <w:t>Nr. </w:t>
      </w:r>
      <w:r w:rsidRPr="00A11645">
        <w:rPr>
          <w:i/>
          <w:iCs/>
        </w:rPr>
        <w:t>2 des G. vom 27. Dezember 2005 (I) (B.S. vom 30. Dezember 2005)</w:t>
      </w:r>
      <w:r w:rsidR="00D67EB8" w:rsidRPr="00A11645">
        <w:rPr>
          <w:i/>
          <w:iCs/>
        </w:rPr>
        <w:t> - </w:t>
      </w:r>
      <w:r w:rsidRPr="00A11645">
        <w:rPr>
          <w:i/>
          <w:iCs/>
        </w:rPr>
        <w:t>in Kraft ab dem Steuerjahr 2007</w:t>
      </w:r>
      <w:r w:rsidR="003366D9" w:rsidRPr="00A11645">
        <w:rPr>
          <w:i/>
          <w:iCs/>
        </w:rPr>
        <w:t> -;</w:t>
      </w:r>
      <w:r w:rsidRPr="00A11645">
        <w:rPr>
          <w:i/>
          <w:iCs/>
        </w:rPr>
        <w:t xml:space="preserve"> </w:t>
      </w:r>
      <w:r w:rsidR="00D67EB8" w:rsidRPr="00A11645">
        <w:rPr>
          <w:i/>
          <w:iCs/>
        </w:rPr>
        <w:t>§ </w:t>
      </w:r>
      <w:r w:rsidRPr="00A11645">
        <w:rPr>
          <w:i/>
          <w:iCs/>
        </w:rPr>
        <w:t xml:space="preserve">2 einziger Absatz </w:t>
      </w:r>
      <w:r w:rsidR="00D67EB8" w:rsidRPr="00A11645">
        <w:rPr>
          <w:i/>
          <w:iCs/>
        </w:rPr>
        <w:t>Nr. </w:t>
      </w:r>
      <w:r w:rsidRPr="00A11645">
        <w:rPr>
          <w:i/>
          <w:iCs/>
        </w:rPr>
        <w:t xml:space="preserve">4 eingefügt durch </w:t>
      </w:r>
      <w:r w:rsidR="00D67EB8" w:rsidRPr="00A11645">
        <w:rPr>
          <w:i/>
          <w:iCs/>
        </w:rPr>
        <w:t>Art. </w:t>
      </w:r>
      <w:r w:rsidRPr="00A11645">
        <w:rPr>
          <w:i/>
          <w:iCs/>
        </w:rPr>
        <w:t xml:space="preserve">11 </w:t>
      </w:r>
      <w:r w:rsidR="00D67EB8" w:rsidRPr="00A11645">
        <w:rPr>
          <w:i/>
          <w:iCs/>
        </w:rPr>
        <w:t>Nr. </w:t>
      </w:r>
      <w:r w:rsidRPr="00A11645">
        <w:rPr>
          <w:i/>
          <w:iCs/>
        </w:rPr>
        <w:t>3 des G. vom 25. Dezember 2017 (III) (B.S. vom 29. Dezember 201)7</w:t>
      </w:r>
      <w:r w:rsidR="00D67EB8" w:rsidRPr="00A11645">
        <w:rPr>
          <w:i/>
          <w:iCs/>
        </w:rPr>
        <w:t> - </w:t>
      </w:r>
      <w:r w:rsidRPr="00A11645">
        <w:rPr>
          <w:i/>
          <w:iCs/>
        </w:rPr>
        <w:t>in Kraft am 1. Januar 2018 und anwendbar ab dem Steuerjahr 2019, das sich auf einen Besteuerungszeitraum bezieht, der frühestens am 1. Januar 2018 beginnt</w:t>
      </w:r>
      <w:r w:rsidR="003366D9" w:rsidRPr="00A11645">
        <w:rPr>
          <w:i/>
          <w:iCs/>
        </w:rPr>
        <w:t> -;</w:t>
      </w:r>
      <w:r w:rsidRPr="00A11645">
        <w:rPr>
          <w:i/>
          <w:iCs/>
        </w:rPr>
        <w:t xml:space="preserve"> </w:t>
      </w:r>
      <w:r w:rsidR="00D67EB8" w:rsidRPr="00A11645">
        <w:rPr>
          <w:i/>
          <w:iCs/>
        </w:rPr>
        <w:t>§ </w:t>
      </w:r>
      <w:r w:rsidRPr="00A11645">
        <w:rPr>
          <w:i/>
          <w:iCs/>
        </w:rPr>
        <w:t xml:space="preserve">2 einziger Absatz </w:t>
      </w:r>
      <w:r w:rsidR="00D67EB8" w:rsidRPr="00A11645">
        <w:rPr>
          <w:rFonts w:ascii="Times New Roman Italique" w:hAnsi="Times New Roman Italique"/>
          <w:i/>
          <w:iCs/>
          <w:spacing w:val="-2"/>
        </w:rPr>
        <w:t>Nr. </w:t>
      </w:r>
      <w:r w:rsidRPr="00A11645">
        <w:rPr>
          <w:rFonts w:ascii="Times New Roman Italique" w:hAnsi="Times New Roman Italique"/>
          <w:i/>
          <w:iCs/>
          <w:spacing w:val="-2"/>
        </w:rPr>
        <w:t xml:space="preserve">5 eingefügt durch </w:t>
      </w:r>
      <w:r w:rsidR="00D67EB8" w:rsidRPr="00A11645">
        <w:rPr>
          <w:rFonts w:ascii="Times New Roman Italique" w:hAnsi="Times New Roman Italique"/>
          <w:i/>
          <w:iCs/>
          <w:spacing w:val="-2"/>
        </w:rPr>
        <w:t>Art. </w:t>
      </w:r>
      <w:r w:rsidRPr="00A11645">
        <w:rPr>
          <w:rFonts w:ascii="Times New Roman Italique" w:hAnsi="Times New Roman Italique"/>
          <w:i/>
          <w:iCs/>
          <w:spacing w:val="-2"/>
        </w:rPr>
        <w:t xml:space="preserve">2 </w:t>
      </w:r>
      <w:r w:rsidR="00D67EB8" w:rsidRPr="00A11645">
        <w:rPr>
          <w:rFonts w:ascii="Times New Roman Italique" w:hAnsi="Times New Roman Italique"/>
          <w:i/>
          <w:iCs/>
          <w:spacing w:val="-2"/>
        </w:rPr>
        <w:t>Nr. </w:t>
      </w:r>
      <w:r w:rsidRPr="00A11645">
        <w:rPr>
          <w:rFonts w:ascii="Times New Roman Italique" w:hAnsi="Times New Roman Italique"/>
          <w:i/>
          <w:iCs/>
          <w:spacing w:val="-2"/>
        </w:rPr>
        <w:t>3 des G. vom 25. November 2021 (B.S. vom 3. Dezember 2021)</w:t>
      </w:r>
      <w:r w:rsidR="00D67EB8" w:rsidRPr="00A11645">
        <w:rPr>
          <w:rFonts w:ascii="Times New Roman Italique" w:hAnsi="Times New Roman Italique"/>
          <w:i/>
          <w:iCs/>
          <w:spacing w:val="-2"/>
        </w:rPr>
        <w:t> - </w:t>
      </w:r>
      <w:r w:rsidRPr="00A11645">
        <w:rPr>
          <w:rFonts w:ascii="Times New Roman Italique" w:hAnsi="Times New Roman Italique"/>
          <w:i/>
          <w:iCs/>
          <w:spacing w:val="-2"/>
        </w:rPr>
        <w:t>in Kraft am 3. Dezember 2021 und anwendbar ab dem Steuerjahr 2022</w:t>
      </w:r>
      <w:r w:rsidR="003366D9" w:rsidRPr="00A11645">
        <w:rPr>
          <w:rFonts w:ascii="Times New Roman Italique" w:hAnsi="Times New Roman Italique"/>
          <w:i/>
          <w:iCs/>
          <w:spacing w:val="-2"/>
        </w:rPr>
        <w:t> -;</w:t>
      </w:r>
      <w:r w:rsidRPr="00A11645">
        <w:rPr>
          <w:rFonts w:ascii="Times New Roman Italique" w:hAnsi="Times New Roman Italique"/>
          <w:i/>
          <w:iCs/>
          <w:spacing w:val="-2"/>
        </w:rPr>
        <w:t xml:space="preserve"> </w:t>
      </w:r>
      <w:r w:rsidR="00D67EB8" w:rsidRPr="00A11645">
        <w:rPr>
          <w:rFonts w:ascii="Times New Roman Italique" w:hAnsi="Times New Roman Italique"/>
          <w:i/>
          <w:iCs/>
          <w:spacing w:val="-2"/>
        </w:rPr>
        <w:t>§ </w:t>
      </w:r>
      <w:r w:rsidRPr="00A11645">
        <w:rPr>
          <w:rFonts w:ascii="Times New Roman Italique" w:hAnsi="Times New Roman Italique"/>
          <w:i/>
          <w:iCs/>
          <w:spacing w:val="-2"/>
        </w:rPr>
        <w:t xml:space="preserve">3 ersetzt durch </w:t>
      </w:r>
      <w:r w:rsidR="00D67EB8" w:rsidRPr="00A11645">
        <w:rPr>
          <w:rFonts w:ascii="Times New Roman Italique" w:hAnsi="Times New Roman Italique"/>
          <w:i/>
          <w:iCs/>
          <w:spacing w:val="-2"/>
        </w:rPr>
        <w:t>Art. </w:t>
      </w:r>
      <w:r w:rsidRPr="00A11645">
        <w:rPr>
          <w:rFonts w:ascii="Times New Roman Italique" w:hAnsi="Times New Roman Italique"/>
          <w:i/>
          <w:iCs/>
          <w:spacing w:val="-2"/>
        </w:rPr>
        <w:t xml:space="preserve">2 </w:t>
      </w:r>
      <w:r w:rsidR="00D67EB8" w:rsidRPr="00A11645">
        <w:rPr>
          <w:rFonts w:ascii="Times New Roman Italique" w:hAnsi="Times New Roman Italique"/>
          <w:i/>
          <w:iCs/>
          <w:spacing w:val="-2"/>
        </w:rPr>
        <w:t>Nr. </w:t>
      </w:r>
      <w:r w:rsidRPr="00A11645">
        <w:rPr>
          <w:rFonts w:ascii="Times New Roman Italique" w:hAnsi="Times New Roman Italique"/>
          <w:i/>
          <w:iCs/>
          <w:spacing w:val="-2"/>
        </w:rPr>
        <w:t>4 des G. vom 25. November 2021 (B.S. vom</w:t>
      </w:r>
      <w:r w:rsidRPr="00A11645">
        <w:rPr>
          <w:i/>
          <w:iCs/>
        </w:rPr>
        <w:t xml:space="preserve"> 3. Dezember 2021)</w:t>
      </w:r>
      <w:r w:rsidR="00D67EB8" w:rsidRPr="00A11645">
        <w:rPr>
          <w:i/>
          <w:iCs/>
        </w:rPr>
        <w:t> - </w:t>
      </w:r>
      <w:r w:rsidRPr="00A11645">
        <w:rPr>
          <w:i/>
          <w:iCs/>
        </w:rPr>
        <w:t>in Kraft am 3. Dezember 2021 und anwendbar ab dem Steuerjahr 2022</w:t>
      </w:r>
      <w:r w:rsidR="003366D9" w:rsidRPr="00A11645">
        <w:rPr>
          <w:i/>
          <w:iCs/>
        </w:rPr>
        <w:t> -;</w:t>
      </w:r>
      <w:r w:rsidRPr="00A11645">
        <w:rPr>
          <w:i/>
          <w:iCs/>
        </w:rPr>
        <w:t xml:space="preserve"> </w:t>
      </w:r>
      <w:r w:rsidR="00D67EB8" w:rsidRPr="00A11645">
        <w:rPr>
          <w:i/>
          <w:iCs/>
        </w:rPr>
        <w:t>§ </w:t>
      </w:r>
      <w:r w:rsidRPr="00A11645">
        <w:rPr>
          <w:i/>
          <w:iCs/>
        </w:rPr>
        <w:t xml:space="preserve">4 abgeändert durch </w:t>
      </w:r>
      <w:r w:rsidR="00D67EB8" w:rsidRPr="00A11645">
        <w:rPr>
          <w:i/>
          <w:iCs/>
        </w:rPr>
        <w:t>Art. </w:t>
      </w:r>
      <w:r w:rsidRPr="00A11645">
        <w:rPr>
          <w:i/>
          <w:iCs/>
        </w:rPr>
        <w:t>1 des K.E. vom 20. Juli 2000 (II) (B.S. vom 30. August 2000)</w:t>
      </w:r>
      <w:r w:rsidR="00D67EB8" w:rsidRPr="00A11645">
        <w:rPr>
          <w:i/>
          <w:iCs/>
        </w:rPr>
        <w:t> - </w:t>
      </w:r>
      <w:r w:rsidRPr="00A11645">
        <w:rPr>
          <w:i/>
          <w:iCs/>
        </w:rPr>
        <w:t>in Kraft ab dem Steuerjahr 2002</w:t>
      </w:r>
      <w:r w:rsidR="003366D9" w:rsidRPr="00A11645">
        <w:rPr>
          <w:i/>
          <w:iCs/>
        </w:rPr>
        <w:t> -;</w:t>
      </w:r>
      <w:r w:rsidRPr="00A11645">
        <w:rPr>
          <w:i/>
          <w:iCs/>
        </w:rPr>
        <w:t xml:space="preserve"> </w:t>
      </w:r>
      <w:r w:rsidR="00D67EB8" w:rsidRPr="00A11645">
        <w:rPr>
          <w:i/>
          <w:iCs/>
        </w:rPr>
        <w:t>§ </w:t>
      </w:r>
      <w:r w:rsidRPr="00A11645">
        <w:rPr>
          <w:i/>
          <w:iCs/>
        </w:rPr>
        <w:t xml:space="preserve">5 </w:t>
      </w:r>
      <w:r w:rsidR="00D67EB8" w:rsidRPr="00A11645">
        <w:rPr>
          <w:i/>
          <w:iCs/>
        </w:rPr>
        <w:t>Abs. </w:t>
      </w:r>
      <w:r w:rsidRPr="00A11645">
        <w:rPr>
          <w:i/>
          <w:iCs/>
        </w:rPr>
        <w:t xml:space="preserve">3 eingefügt durch </w:t>
      </w:r>
      <w:r w:rsidR="00D67EB8" w:rsidRPr="00A11645">
        <w:rPr>
          <w:i/>
          <w:iCs/>
        </w:rPr>
        <w:t>Art. </w:t>
      </w:r>
      <w:r w:rsidRPr="00A11645">
        <w:rPr>
          <w:i/>
          <w:iCs/>
        </w:rPr>
        <w:t>40</w:t>
      </w:r>
      <w:r w:rsidRPr="00A11645">
        <w:rPr>
          <w:i/>
        </w:rPr>
        <w:t xml:space="preserve"> </w:t>
      </w:r>
      <w:r w:rsidRPr="00A11645">
        <w:rPr>
          <w:bCs/>
          <w:i/>
        </w:rPr>
        <w:t>des G. vom 28. Dezember 2011 (B.S. vom 30. Dezember 2011)</w:t>
      </w:r>
      <w:r w:rsidR="00D67EB8" w:rsidRPr="00A11645">
        <w:rPr>
          <w:bCs/>
          <w:i/>
        </w:rPr>
        <w:t> - </w:t>
      </w:r>
      <w:r w:rsidRPr="00A11645">
        <w:rPr>
          <w:bCs/>
          <w:i/>
        </w:rPr>
        <w:t>anwendbar auf die ab dem 1. Januar 2012 zuerkannten Vorteile jeglicher Art</w:t>
      </w:r>
      <w:r w:rsidR="003366D9" w:rsidRPr="00A11645">
        <w:rPr>
          <w:bCs/>
          <w:i/>
        </w:rPr>
        <w:t> -;</w:t>
      </w:r>
      <w:r w:rsidRPr="00A11645">
        <w:rPr>
          <w:bCs/>
          <w:i/>
        </w:rPr>
        <w:t xml:space="preserve"> </w:t>
      </w:r>
      <w:r w:rsidR="00D67EB8" w:rsidRPr="00A11645">
        <w:rPr>
          <w:bCs/>
          <w:i/>
        </w:rPr>
        <w:t>§ </w:t>
      </w:r>
      <w:r w:rsidRPr="00A11645">
        <w:rPr>
          <w:bCs/>
          <w:i/>
        </w:rPr>
        <w:t xml:space="preserve">5 </w:t>
      </w:r>
      <w:r w:rsidR="006079B8" w:rsidRPr="00A11645">
        <w:rPr>
          <w:bCs/>
          <w:i/>
        </w:rPr>
        <w:t xml:space="preserve">früherer </w:t>
      </w:r>
      <w:r w:rsidRPr="00A11645">
        <w:rPr>
          <w:bCs/>
          <w:i/>
        </w:rPr>
        <w:t>Ab</w:t>
      </w:r>
      <w:r w:rsidR="006079B8" w:rsidRPr="00A11645">
        <w:rPr>
          <w:bCs/>
          <w:i/>
        </w:rPr>
        <w:t>satz</w:t>
      </w:r>
      <w:r w:rsidRPr="00A11645">
        <w:rPr>
          <w:bCs/>
          <w:i/>
        </w:rPr>
        <w:t xml:space="preserve"> 4 eingefügt durch </w:t>
      </w:r>
      <w:r w:rsidR="00D67EB8" w:rsidRPr="00A11645">
        <w:rPr>
          <w:bCs/>
          <w:i/>
        </w:rPr>
        <w:t>Art. </w:t>
      </w:r>
      <w:r w:rsidRPr="00A11645">
        <w:rPr>
          <w:bCs/>
          <w:i/>
        </w:rPr>
        <w:t>28 des G. vom 30. März 2018 (B.S. vom 7. Mai 2018)</w:t>
      </w:r>
      <w:r w:rsidR="00D67EB8" w:rsidRPr="00A11645">
        <w:rPr>
          <w:bCs/>
          <w:i/>
        </w:rPr>
        <w:t> - </w:t>
      </w:r>
      <w:r w:rsidRPr="00A11645">
        <w:rPr>
          <w:bCs/>
          <w:i/>
        </w:rPr>
        <w:t>in Kraft am 1. Januar 2018</w:t>
      </w:r>
      <w:r w:rsidR="00FD68E8" w:rsidRPr="00A11645">
        <w:rPr>
          <w:bCs/>
          <w:i/>
        </w:rPr>
        <w:t> -,</w:t>
      </w:r>
      <w:r w:rsidR="006079B8" w:rsidRPr="00A11645">
        <w:rPr>
          <w:bCs/>
          <w:i/>
        </w:rPr>
        <w:t xml:space="preserve"> selbst für nichtig erklärt durch</w:t>
      </w:r>
      <w:r w:rsidR="006079B8" w:rsidRPr="00A11645">
        <w:rPr>
          <w:bCs/>
          <w:i/>
          <w:iCs/>
        </w:rPr>
        <w:t xml:space="preserve"> Entscheid </w:t>
      </w:r>
      <w:r w:rsidR="00D67EB8" w:rsidRPr="00A11645">
        <w:rPr>
          <w:bCs/>
          <w:i/>
          <w:iCs/>
        </w:rPr>
        <w:t>Nr. </w:t>
      </w:r>
      <w:r w:rsidR="006079B8" w:rsidRPr="00A11645">
        <w:rPr>
          <w:bCs/>
          <w:i/>
          <w:iCs/>
        </w:rPr>
        <w:t>11/2020 des Verfassungsgerichtshofes vom 23. Januar 2020 (B.S. vom 24. Februar 2020)</w:t>
      </w:r>
      <w:r w:rsidRPr="00A11645">
        <w:rPr>
          <w:i/>
          <w:iCs/>
        </w:rPr>
        <w:t>]</w:t>
      </w:r>
    </w:p>
    <w:p w14:paraId="78BBEC77" w14:textId="77777777" w:rsidR="00A11645" w:rsidRPr="00A11645" w:rsidRDefault="00A11645" w:rsidP="00A11645">
      <w:pPr>
        <w:autoSpaceDE w:val="0"/>
        <w:autoSpaceDN w:val="0"/>
        <w:adjustRightInd w:val="0"/>
        <w:jc w:val="both"/>
      </w:pPr>
    </w:p>
    <w:p w14:paraId="16F872B2" w14:textId="5454DD78" w:rsidR="00390A33" w:rsidRPr="00A11645" w:rsidRDefault="00390A33" w:rsidP="00A11645">
      <w:pPr>
        <w:autoSpaceDE w:val="0"/>
        <w:autoSpaceDN w:val="0"/>
        <w:adjustRightInd w:val="0"/>
        <w:ind w:firstLine="709"/>
        <w:jc w:val="both"/>
      </w:pPr>
    </w:p>
    <w:p w14:paraId="4D768EEE" w14:textId="3E9AC054" w:rsidR="00390A33" w:rsidRPr="009118AB" w:rsidRDefault="00390A33" w:rsidP="00390A33">
      <w:pPr>
        <w:autoSpaceDE w:val="0"/>
        <w:autoSpaceDN w:val="0"/>
        <w:adjustRightInd w:val="0"/>
        <w:jc w:val="both"/>
        <w:rPr>
          <w:sz w:val="20"/>
          <w:szCs w:val="20"/>
        </w:rPr>
      </w:pPr>
      <w:r w:rsidRPr="009118AB">
        <w:rPr>
          <w:sz w:val="20"/>
          <w:szCs w:val="20"/>
        </w:rPr>
        <w:t xml:space="preserve">Ab dem 1. Januar 2026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5 des G. vom 25. November 2021 (B.S. vom 3. Dezember 2021)) lautet </w:t>
      </w:r>
      <w:r w:rsidR="00D67EB8" w:rsidRPr="009118AB">
        <w:rPr>
          <w:sz w:val="20"/>
          <w:szCs w:val="20"/>
        </w:rPr>
        <w:t>Art. </w:t>
      </w:r>
      <w:r w:rsidRPr="009118AB">
        <w:rPr>
          <w:sz w:val="20"/>
          <w:szCs w:val="20"/>
        </w:rPr>
        <w:t>66 wie folgt:</w:t>
      </w:r>
    </w:p>
    <w:p w14:paraId="5856229E" w14:textId="77777777" w:rsidR="00390A33" w:rsidRPr="009118AB" w:rsidRDefault="00390A33" w:rsidP="00390A33">
      <w:pPr>
        <w:autoSpaceDE w:val="0"/>
        <w:autoSpaceDN w:val="0"/>
        <w:adjustRightInd w:val="0"/>
        <w:jc w:val="both"/>
        <w:rPr>
          <w:sz w:val="20"/>
          <w:szCs w:val="20"/>
        </w:rPr>
      </w:pPr>
    </w:p>
    <w:p w14:paraId="7EC021DC" w14:textId="6CF26B78" w:rsidR="00390A33" w:rsidRPr="009118AB" w:rsidRDefault="00390A33" w:rsidP="00390A33">
      <w:pPr>
        <w:autoSpaceDE w:val="0"/>
        <w:autoSpaceDN w:val="0"/>
        <w:adjustRightInd w:val="0"/>
        <w:jc w:val="both"/>
        <w:rPr>
          <w:iCs/>
          <w:sz w:val="20"/>
          <w:szCs w:val="20"/>
        </w:rPr>
      </w:pPr>
      <w:r w:rsidRPr="009118AB">
        <w:rPr>
          <w:sz w:val="20"/>
          <w:szCs w:val="20"/>
        </w:rPr>
        <w:t>"</w:t>
      </w:r>
      <w:r w:rsidR="00D67EB8" w:rsidRPr="009118AB">
        <w:rPr>
          <w:sz w:val="20"/>
          <w:szCs w:val="20"/>
        </w:rPr>
        <w:t>Art. </w:t>
      </w:r>
      <w:r w:rsidRPr="009118AB">
        <w:rPr>
          <w:sz w:val="20"/>
          <w:szCs w:val="20"/>
        </w:rPr>
        <w:t>66</w:t>
      </w:r>
      <w:r w:rsidR="00D67EB8" w:rsidRPr="009118AB">
        <w:rPr>
          <w:sz w:val="20"/>
          <w:szCs w:val="20"/>
        </w:rPr>
        <w:t> - </w:t>
      </w:r>
      <w:r w:rsidRPr="009118AB">
        <w:rPr>
          <w:iCs/>
          <w:sz w:val="20"/>
          <w:szCs w:val="20"/>
        </w:rPr>
        <w:t>[</w:t>
      </w:r>
      <w:r w:rsidR="00D67EB8" w:rsidRPr="009118AB">
        <w:rPr>
          <w:iCs/>
          <w:sz w:val="20"/>
          <w:szCs w:val="20"/>
        </w:rPr>
        <w:t>§ </w:t>
      </w:r>
      <w:r w:rsidRPr="009118AB">
        <w:rPr>
          <w:iCs/>
          <w:sz w:val="20"/>
          <w:szCs w:val="20"/>
        </w:rPr>
        <w:t>1</w:t>
      </w:r>
      <w:r w:rsidR="00D67EB8" w:rsidRPr="009118AB">
        <w:rPr>
          <w:iCs/>
          <w:sz w:val="20"/>
          <w:szCs w:val="20"/>
        </w:rPr>
        <w:t> - </w:t>
      </w:r>
      <w:r w:rsidRPr="009118AB">
        <w:rPr>
          <w:iCs/>
          <w:sz w:val="20"/>
          <w:szCs w:val="20"/>
        </w:rPr>
        <w:t>[Werbungskosten in Bezug auf die Nutzung der in Artikel 65 erwähnten Fahrzeuge sind nicht abzugsfähig, es sei denn, es handelt sich um ein Fahrzeug, das kein CO</w:t>
      </w:r>
      <w:r w:rsidRPr="009118AB">
        <w:rPr>
          <w:iCs/>
          <w:sz w:val="20"/>
          <w:szCs w:val="20"/>
          <w:vertAlign w:val="subscript"/>
        </w:rPr>
        <w:t>2</w:t>
      </w:r>
      <w:r w:rsidRPr="009118AB">
        <w:rPr>
          <w:iCs/>
          <w:sz w:val="20"/>
          <w:szCs w:val="20"/>
        </w:rPr>
        <w:t xml:space="preserve"> ausstößt.]</w:t>
      </w:r>
    </w:p>
    <w:p w14:paraId="2BDFE458" w14:textId="77777777" w:rsidR="00390A33" w:rsidRPr="009118AB" w:rsidRDefault="00390A33" w:rsidP="00390A33">
      <w:pPr>
        <w:autoSpaceDE w:val="0"/>
        <w:autoSpaceDN w:val="0"/>
        <w:adjustRightInd w:val="0"/>
        <w:jc w:val="both"/>
        <w:rPr>
          <w:iCs/>
          <w:sz w:val="20"/>
          <w:szCs w:val="20"/>
        </w:rPr>
      </w:pPr>
    </w:p>
    <w:p w14:paraId="4747BB57" w14:textId="6E10CCAE" w:rsidR="00390A33" w:rsidRPr="009118AB" w:rsidRDefault="00D67EB8" w:rsidP="00390A33">
      <w:pPr>
        <w:autoSpaceDE w:val="0"/>
        <w:autoSpaceDN w:val="0"/>
        <w:adjustRightInd w:val="0"/>
        <w:jc w:val="both"/>
        <w:rPr>
          <w:iCs/>
          <w:sz w:val="20"/>
          <w:szCs w:val="20"/>
        </w:rPr>
      </w:pPr>
      <w:r w:rsidRPr="009118AB">
        <w:rPr>
          <w:iCs/>
          <w:sz w:val="20"/>
          <w:szCs w:val="20"/>
        </w:rPr>
        <w:t>§ </w:t>
      </w:r>
      <w:r w:rsidR="00390A33" w:rsidRPr="009118AB">
        <w:rPr>
          <w:iCs/>
          <w:sz w:val="20"/>
          <w:szCs w:val="20"/>
        </w:rPr>
        <w:t>2</w:t>
      </w:r>
      <w:r w:rsidRPr="009118AB">
        <w:rPr>
          <w:iCs/>
          <w:sz w:val="20"/>
          <w:szCs w:val="20"/>
        </w:rPr>
        <w:t> - </w:t>
      </w:r>
      <w:r w:rsidR="00390A33" w:rsidRPr="009118AB">
        <w:rPr>
          <w:iCs/>
          <w:sz w:val="20"/>
          <w:szCs w:val="20"/>
        </w:rPr>
        <w:t>[[Paragraph 1 und Artikel 550 sind nicht anwendbar]:</w:t>
      </w:r>
    </w:p>
    <w:p w14:paraId="25EADB5D" w14:textId="77777777" w:rsidR="00390A33" w:rsidRPr="009118AB" w:rsidRDefault="00390A33" w:rsidP="00390A33">
      <w:pPr>
        <w:autoSpaceDE w:val="0"/>
        <w:autoSpaceDN w:val="0"/>
        <w:adjustRightInd w:val="0"/>
        <w:jc w:val="both"/>
        <w:rPr>
          <w:iCs/>
          <w:sz w:val="20"/>
          <w:szCs w:val="20"/>
        </w:rPr>
      </w:pPr>
    </w:p>
    <w:p w14:paraId="3DEE41B2" w14:textId="77777777" w:rsidR="00390A33" w:rsidRPr="009118AB" w:rsidRDefault="00390A33" w:rsidP="00390A33">
      <w:pPr>
        <w:autoSpaceDE w:val="0"/>
        <w:autoSpaceDN w:val="0"/>
        <w:adjustRightInd w:val="0"/>
        <w:jc w:val="both"/>
        <w:rPr>
          <w:iCs/>
          <w:sz w:val="20"/>
          <w:szCs w:val="20"/>
        </w:rPr>
      </w:pPr>
      <w:r w:rsidRPr="009118AB">
        <w:rPr>
          <w:iCs/>
          <w:sz w:val="20"/>
          <w:szCs w:val="20"/>
        </w:rPr>
        <w:t>1. auf Fahrzeuge, die ausschließlich für einen Taxidienst oder die Vermietung mit Fahrer genutzt werden und aus diesem Grund nicht der Verkehrssteuer auf Kraftfahrzeuge unterliegen,</w:t>
      </w:r>
    </w:p>
    <w:p w14:paraId="785B2B5E" w14:textId="77777777" w:rsidR="00390A33" w:rsidRPr="009118AB" w:rsidRDefault="00390A33" w:rsidP="00390A33">
      <w:pPr>
        <w:autoSpaceDE w:val="0"/>
        <w:autoSpaceDN w:val="0"/>
        <w:adjustRightInd w:val="0"/>
        <w:jc w:val="both"/>
        <w:rPr>
          <w:iCs/>
          <w:sz w:val="20"/>
          <w:szCs w:val="20"/>
        </w:rPr>
      </w:pPr>
    </w:p>
    <w:p w14:paraId="5C9BAFF4" w14:textId="77777777" w:rsidR="00390A33" w:rsidRPr="009118AB" w:rsidRDefault="00390A33" w:rsidP="00390A33">
      <w:pPr>
        <w:autoSpaceDE w:val="0"/>
        <w:autoSpaceDN w:val="0"/>
        <w:adjustRightInd w:val="0"/>
        <w:jc w:val="both"/>
        <w:rPr>
          <w:iCs/>
          <w:sz w:val="20"/>
          <w:szCs w:val="20"/>
        </w:rPr>
      </w:pPr>
      <w:r w:rsidRPr="009118AB">
        <w:rPr>
          <w:iCs/>
          <w:sz w:val="20"/>
          <w:szCs w:val="20"/>
        </w:rPr>
        <w:t>2. auf Fahrzeuge, die ausschließlich für den praktischen Unterricht in zugelassenen Fahrschulen genutzt werden und zu diesem Zweck eigens ausgerüstet sind,</w:t>
      </w:r>
    </w:p>
    <w:p w14:paraId="5BBA18C1" w14:textId="77777777" w:rsidR="00390A33" w:rsidRPr="009118AB" w:rsidRDefault="00390A33" w:rsidP="00390A33">
      <w:pPr>
        <w:autoSpaceDE w:val="0"/>
        <w:autoSpaceDN w:val="0"/>
        <w:adjustRightInd w:val="0"/>
        <w:jc w:val="both"/>
        <w:rPr>
          <w:iCs/>
          <w:sz w:val="20"/>
          <w:szCs w:val="20"/>
        </w:rPr>
      </w:pPr>
    </w:p>
    <w:p w14:paraId="0D547A49" w14:textId="77777777" w:rsidR="00390A33" w:rsidRPr="009118AB" w:rsidRDefault="00390A33" w:rsidP="00390A33">
      <w:pPr>
        <w:autoSpaceDE w:val="0"/>
        <w:autoSpaceDN w:val="0"/>
        <w:adjustRightInd w:val="0"/>
        <w:jc w:val="both"/>
        <w:rPr>
          <w:iCs/>
          <w:sz w:val="20"/>
          <w:szCs w:val="20"/>
        </w:rPr>
      </w:pPr>
      <w:r w:rsidRPr="009118AB">
        <w:rPr>
          <w:iCs/>
          <w:sz w:val="20"/>
          <w:szCs w:val="20"/>
        </w:rPr>
        <w:t>3. auf Fahrzeuge, die ausschließlich an Dritte vermietet werden,]</w:t>
      </w:r>
    </w:p>
    <w:p w14:paraId="7CE3F1A5" w14:textId="77777777" w:rsidR="00390A33" w:rsidRPr="009118AB" w:rsidRDefault="00390A33" w:rsidP="00390A33">
      <w:pPr>
        <w:autoSpaceDE w:val="0"/>
        <w:autoSpaceDN w:val="0"/>
        <w:adjustRightInd w:val="0"/>
        <w:jc w:val="both"/>
        <w:rPr>
          <w:iCs/>
          <w:sz w:val="20"/>
          <w:szCs w:val="20"/>
        </w:rPr>
      </w:pPr>
    </w:p>
    <w:p w14:paraId="4FBA50CF" w14:textId="77777777" w:rsidR="00390A33" w:rsidRPr="009118AB" w:rsidRDefault="00390A33" w:rsidP="00390A33">
      <w:pPr>
        <w:autoSpaceDE w:val="0"/>
        <w:autoSpaceDN w:val="0"/>
        <w:adjustRightInd w:val="0"/>
        <w:jc w:val="both"/>
        <w:rPr>
          <w:iCs/>
          <w:sz w:val="20"/>
          <w:szCs w:val="20"/>
        </w:rPr>
      </w:pPr>
      <w:r w:rsidRPr="009118AB">
        <w:rPr>
          <w:iCs/>
          <w:sz w:val="20"/>
          <w:szCs w:val="20"/>
        </w:rPr>
        <w:t>[</w:t>
      </w:r>
      <w:r w:rsidRPr="009118AB">
        <w:rPr>
          <w:sz w:val="20"/>
          <w:szCs w:val="20"/>
        </w:rPr>
        <w:t>4. auf Kosten, die auf Dritte abgewälzt werden, vorausgesetzt, diese Kosten sind ausdrücklich und separat auf der Rechnung vermerkt,</w:t>
      </w:r>
      <w:r w:rsidRPr="009118AB">
        <w:rPr>
          <w:iCs/>
          <w:sz w:val="20"/>
          <w:szCs w:val="20"/>
        </w:rPr>
        <w:t>]</w:t>
      </w:r>
    </w:p>
    <w:p w14:paraId="39BAF76E" w14:textId="77777777" w:rsidR="00390A33" w:rsidRPr="009118AB" w:rsidRDefault="00390A33" w:rsidP="00390A33">
      <w:pPr>
        <w:autoSpaceDE w:val="0"/>
        <w:autoSpaceDN w:val="0"/>
        <w:adjustRightInd w:val="0"/>
        <w:jc w:val="both"/>
        <w:rPr>
          <w:iCs/>
          <w:sz w:val="20"/>
          <w:szCs w:val="20"/>
        </w:rPr>
      </w:pPr>
    </w:p>
    <w:p w14:paraId="54B315D2" w14:textId="77777777" w:rsidR="00390A33" w:rsidRPr="009118AB" w:rsidRDefault="00390A33" w:rsidP="00390A33">
      <w:pPr>
        <w:autoSpaceDE w:val="0"/>
        <w:autoSpaceDN w:val="0"/>
        <w:adjustRightInd w:val="0"/>
        <w:jc w:val="both"/>
        <w:rPr>
          <w:iCs/>
          <w:sz w:val="20"/>
          <w:szCs w:val="20"/>
        </w:rPr>
      </w:pPr>
      <w:r w:rsidRPr="009118AB">
        <w:rPr>
          <w:iCs/>
          <w:sz w:val="20"/>
          <w:szCs w:val="20"/>
        </w:rPr>
        <w:t>[</w:t>
      </w:r>
      <w:r w:rsidRPr="009118AB">
        <w:rPr>
          <w:sz w:val="20"/>
          <w:szCs w:val="20"/>
        </w:rPr>
        <w:t>5. auf Kosten in Bezug auf Ladestationen für Elektrofahrzeuge.]</w:t>
      </w:r>
    </w:p>
    <w:p w14:paraId="7558F17A" w14:textId="77777777" w:rsidR="00390A33" w:rsidRPr="009118AB" w:rsidRDefault="00390A33" w:rsidP="00390A33">
      <w:pPr>
        <w:autoSpaceDE w:val="0"/>
        <w:autoSpaceDN w:val="0"/>
        <w:adjustRightInd w:val="0"/>
        <w:jc w:val="both"/>
        <w:rPr>
          <w:iCs/>
          <w:sz w:val="20"/>
          <w:szCs w:val="20"/>
        </w:rPr>
      </w:pPr>
    </w:p>
    <w:p w14:paraId="7034CD81" w14:textId="3EDAD86A" w:rsidR="00390A33" w:rsidRPr="009118AB" w:rsidRDefault="00D67EB8" w:rsidP="00390A33">
      <w:pPr>
        <w:autoSpaceDE w:val="0"/>
        <w:autoSpaceDN w:val="0"/>
        <w:adjustRightInd w:val="0"/>
        <w:jc w:val="both"/>
        <w:rPr>
          <w:sz w:val="20"/>
          <w:szCs w:val="20"/>
        </w:rPr>
      </w:pPr>
      <w:r w:rsidRPr="009118AB">
        <w:rPr>
          <w:iCs/>
          <w:sz w:val="20"/>
          <w:szCs w:val="20"/>
        </w:rPr>
        <w:t>§ </w:t>
      </w:r>
      <w:r w:rsidR="00390A33" w:rsidRPr="009118AB">
        <w:rPr>
          <w:iCs/>
          <w:sz w:val="20"/>
          <w:szCs w:val="20"/>
        </w:rPr>
        <w:t>3</w:t>
      </w:r>
      <w:r w:rsidRPr="009118AB">
        <w:rPr>
          <w:iCs/>
          <w:sz w:val="20"/>
          <w:szCs w:val="20"/>
        </w:rPr>
        <w:t> - </w:t>
      </w:r>
      <w:r w:rsidR="00390A33" w:rsidRPr="009118AB">
        <w:rPr>
          <w:iCs/>
          <w:sz w:val="20"/>
          <w:szCs w:val="20"/>
        </w:rPr>
        <w:t>[[</w:t>
      </w:r>
      <w:r w:rsidR="00390A33" w:rsidRPr="009118AB">
        <w:rPr>
          <w:sz w:val="20"/>
          <w:szCs w:val="20"/>
        </w:rPr>
        <w:t xml:space="preserve">In </w:t>
      </w:r>
      <w:r w:rsidRPr="009118AB">
        <w:rPr>
          <w:sz w:val="20"/>
          <w:szCs w:val="20"/>
        </w:rPr>
        <w:t>§ </w:t>
      </w:r>
      <w:r w:rsidR="00390A33" w:rsidRPr="009118AB">
        <w:rPr>
          <w:sz w:val="20"/>
          <w:szCs w:val="20"/>
        </w:rPr>
        <w:t>1 und in Artikel 550] erwähnte Werbungskosten umfassen:</w:t>
      </w:r>
    </w:p>
    <w:p w14:paraId="34BCB531" w14:textId="77777777" w:rsidR="00390A33" w:rsidRPr="009118AB" w:rsidRDefault="00390A33" w:rsidP="00390A33">
      <w:pPr>
        <w:autoSpaceDE w:val="0"/>
        <w:autoSpaceDN w:val="0"/>
        <w:adjustRightInd w:val="0"/>
        <w:jc w:val="both"/>
        <w:rPr>
          <w:sz w:val="20"/>
          <w:szCs w:val="20"/>
        </w:rPr>
      </w:pPr>
    </w:p>
    <w:p w14:paraId="467FDEDC" w14:textId="17F77275" w:rsidR="00390A33" w:rsidRPr="009118AB" w:rsidRDefault="00390A33" w:rsidP="00390A33">
      <w:pPr>
        <w:autoSpaceDE w:val="0"/>
        <w:autoSpaceDN w:val="0"/>
        <w:adjustRightInd w:val="0"/>
        <w:jc w:val="both"/>
        <w:rPr>
          <w:sz w:val="20"/>
          <w:szCs w:val="20"/>
        </w:rPr>
      </w:pPr>
      <w:r w:rsidRPr="009118AB">
        <w:rPr>
          <w:sz w:val="20"/>
          <w:szCs w:val="20"/>
        </w:rPr>
        <w:t xml:space="preserve">1. Kosten in Bezug auf die in </w:t>
      </w:r>
      <w:r w:rsidR="00D67EB8" w:rsidRPr="009118AB">
        <w:rPr>
          <w:sz w:val="20"/>
          <w:szCs w:val="20"/>
        </w:rPr>
        <w:t>§ </w:t>
      </w:r>
      <w:r w:rsidRPr="009118AB">
        <w:rPr>
          <w:sz w:val="20"/>
          <w:szCs w:val="20"/>
        </w:rPr>
        <w:t xml:space="preserve">2 </w:t>
      </w:r>
      <w:r w:rsidR="00D67EB8" w:rsidRPr="009118AB">
        <w:rPr>
          <w:sz w:val="20"/>
          <w:szCs w:val="20"/>
        </w:rPr>
        <w:t>Nr. </w:t>
      </w:r>
      <w:r w:rsidRPr="009118AB">
        <w:rPr>
          <w:sz w:val="20"/>
          <w:szCs w:val="20"/>
        </w:rPr>
        <w:t>1 und 3 erwähnten einem Dritten gehörenden Fahrzeuge, die vom Endnutzer dieser Fahrzeuge gemacht werden,</w:t>
      </w:r>
    </w:p>
    <w:p w14:paraId="32957165" w14:textId="77777777" w:rsidR="00390A33" w:rsidRPr="009118AB" w:rsidRDefault="00390A33" w:rsidP="00390A33">
      <w:pPr>
        <w:autoSpaceDE w:val="0"/>
        <w:autoSpaceDN w:val="0"/>
        <w:adjustRightInd w:val="0"/>
        <w:jc w:val="both"/>
        <w:rPr>
          <w:sz w:val="20"/>
          <w:szCs w:val="20"/>
        </w:rPr>
      </w:pPr>
    </w:p>
    <w:p w14:paraId="2A2BF082" w14:textId="77777777" w:rsidR="00390A33" w:rsidRPr="009118AB" w:rsidRDefault="00390A33" w:rsidP="00390A33">
      <w:pPr>
        <w:autoSpaceDE w:val="0"/>
        <w:autoSpaceDN w:val="0"/>
        <w:adjustRightInd w:val="0"/>
        <w:jc w:val="both"/>
        <w:rPr>
          <w:sz w:val="20"/>
          <w:szCs w:val="20"/>
        </w:rPr>
      </w:pPr>
      <w:r w:rsidRPr="009118AB">
        <w:rPr>
          <w:sz w:val="20"/>
          <w:szCs w:val="20"/>
        </w:rPr>
        <w:t>2. den Betrag der in vorliegendem Artikel erwähnten Kosten, die Dritten zurückgezahlt werden,</w:t>
      </w:r>
    </w:p>
    <w:p w14:paraId="72B66345" w14:textId="77777777" w:rsidR="00390A33" w:rsidRPr="009118AB" w:rsidRDefault="00390A33" w:rsidP="00390A33">
      <w:pPr>
        <w:autoSpaceDE w:val="0"/>
        <w:autoSpaceDN w:val="0"/>
        <w:adjustRightInd w:val="0"/>
        <w:jc w:val="both"/>
        <w:rPr>
          <w:sz w:val="20"/>
          <w:szCs w:val="20"/>
        </w:rPr>
      </w:pPr>
    </w:p>
    <w:p w14:paraId="5A0B492C" w14:textId="77777777" w:rsidR="00390A33" w:rsidRPr="009118AB" w:rsidRDefault="00390A33" w:rsidP="00390A33">
      <w:pPr>
        <w:autoSpaceDE w:val="0"/>
        <w:autoSpaceDN w:val="0"/>
        <w:adjustRightInd w:val="0"/>
        <w:jc w:val="both"/>
        <w:rPr>
          <w:iCs/>
          <w:sz w:val="20"/>
          <w:szCs w:val="20"/>
        </w:rPr>
      </w:pPr>
      <w:r w:rsidRPr="009118AB">
        <w:rPr>
          <w:sz w:val="20"/>
          <w:szCs w:val="20"/>
        </w:rPr>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118AB">
        <w:rPr>
          <w:iCs/>
          <w:sz w:val="20"/>
          <w:szCs w:val="20"/>
        </w:rPr>
        <w:t>]</w:t>
      </w:r>
    </w:p>
    <w:p w14:paraId="7E03079B" w14:textId="77777777" w:rsidR="00390A33" w:rsidRPr="009118AB" w:rsidRDefault="00390A33" w:rsidP="00390A33">
      <w:pPr>
        <w:autoSpaceDE w:val="0"/>
        <w:autoSpaceDN w:val="0"/>
        <w:adjustRightInd w:val="0"/>
        <w:jc w:val="both"/>
        <w:rPr>
          <w:iCs/>
          <w:sz w:val="20"/>
          <w:szCs w:val="20"/>
        </w:rPr>
      </w:pPr>
    </w:p>
    <w:p w14:paraId="5547B15B" w14:textId="4D4D9A07" w:rsidR="00390A33" w:rsidRPr="009118AB" w:rsidRDefault="00D67EB8" w:rsidP="00390A33">
      <w:pPr>
        <w:autoSpaceDE w:val="0"/>
        <w:autoSpaceDN w:val="0"/>
        <w:adjustRightInd w:val="0"/>
        <w:jc w:val="both"/>
        <w:rPr>
          <w:iCs/>
          <w:sz w:val="20"/>
          <w:szCs w:val="20"/>
        </w:rPr>
      </w:pPr>
      <w:r w:rsidRPr="009118AB">
        <w:rPr>
          <w:iCs/>
          <w:sz w:val="20"/>
          <w:szCs w:val="20"/>
        </w:rPr>
        <w:t>§ </w:t>
      </w:r>
      <w:r w:rsidR="00390A33" w:rsidRPr="009118AB">
        <w:rPr>
          <w:iCs/>
          <w:sz w:val="20"/>
          <w:szCs w:val="20"/>
        </w:rPr>
        <w:t>4</w:t>
      </w:r>
      <w:r w:rsidRPr="009118AB">
        <w:rPr>
          <w:iCs/>
          <w:sz w:val="20"/>
          <w:szCs w:val="20"/>
        </w:rPr>
        <w:t> - </w:t>
      </w:r>
      <w:r w:rsidR="00390A33" w:rsidRPr="009118AB">
        <w:rPr>
          <w:iCs/>
          <w:sz w:val="20"/>
          <w:szCs w:val="20"/>
        </w:rPr>
        <w:t xml:space="preserve">[In Abweichung von </w:t>
      </w:r>
      <w:r w:rsidRPr="009118AB">
        <w:rPr>
          <w:iCs/>
          <w:sz w:val="20"/>
          <w:szCs w:val="20"/>
        </w:rPr>
        <w:t>§ </w:t>
      </w:r>
      <w:r w:rsidR="00390A33" w:rsidRPr="009118AB">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118AB">
        <w:rPr>
          <w:iCs/>
          <w:sz w:val="20"/>
          <w:szCs w:val="20"/>
        </w:rPr>
        <w:t>§ </w:t>
      </w:r>
      <w:r w:rsidR="00390A33" w:rsidRPr="009118AB">
        <w:rPr>
          <w:iCs/>
          <w:sz w:val="20"/>
          <w:szCs w:val="20"/>
        </w:rPr>
        <w:t xml:space="preserve">1 </w:t>
      </w:r>
      <w:r w:rsidRPr="009118AB">
        <w:rPr>
          <w:iCs/>
          <w:sz w:val="20"/>
          <w:szCs w:val="20"/>
        </w:rPr>
        <w:t>Nr. </w:t>
      </w:r>
      <w:r w:rsidR="00390A33" w:rsidRPr="009118AB">
        <w:rPr>
          <w:iCs/>
          <w:sz w:val="20"/>
          <w:szCs w:val="20"/>
        </w:rPr>
        <w:t xml:space="preserve">3 des Gesetzbuches der den Einkommensteuern gleichgesetzten Steuern nicht der Verkehrssteuer unterliegen, noch auf Fahrzeuge, deren Werbungskosten gemäß </w:t>
      </w:r>
      <w:r w:rsidRPr="009118AB">
        <w:rPr>
          <w:iCs/>
          <w:sz w:val="20"/>
          <w:szCs w:val="20"/>
        </w:rPr>
        <w:t>§ </w:t>
      </w:r>
      <w:r w:rsidR="00390A33" w:rsidRPr="009118AB">
        <w:rPr>
          <w:iCs/>
          <w:sz w:val="20"/>
          <w:szCs w:val="20"/>
        </w:rPr>
        <w:t>1 nicht abzugsfähig sind.]</w:t>
      </w:r>
    </w:p>
    <w:p w14:paraId="3A6BC733" w14:textId="77777777" w:rsidR="00390A33" w:rsidRPr="009118AB" w:rsidRDefault="00390A33" w:rsidP="00390A33">
      <w:pPr>
        <w:autoSpaceDE w:val="0"/>
        <w:autoSpaceDN w:val="0"/>
        <w:adjustRightInd w:val="0"/>
        <w:jc w:val="both"/>
        <w:rPr>
          <w:iCs/>
          <w:sz w:val="20"/>
          <w:szCs w:val="20"/>
        </w:rPr>
      </w:pPr>
    </w:p>
    <w:p w14:paraId="53C5D2E2" w14:textId="62423564" w:rsidR="00390A33" w:rsidRPr="009118AB" w:rsidRDefault="00D67EB8" w:rsidP="00390A33">
      <w:pPr>
        <w:autoSpaceDE w:val="0"/>
        <w:autoSpaceDN w:val="0"/>
        <w:adjustRightInd w:val="0"/>
        <w:jc w:val="both"/>
        <w:rPr>
          <w:iCs/>
          <w:sz w:val="20"/>
          <w:szCs w:val="20"/>
        </w:rPr>
      </w:pPr>
      <w:r w:rsidRPr="009118AB">
        <w:rPr>
          <w:iCs/>
          <w:sz w:val="20"/>
          <w:szCs w:val="20"/>
        </w:rPr>
        <w:lastRenderedPageBreak/>
        <w:t>§ </w:t>
      </w:r>
      <w:r w:rsidR="00390A33" w:rsidRPr="009118AB">
        <w:rPr>
          <w:iCs/>
          <w:sz w:val="20"/>
          <w:szCs w:val="20"/>
        </w:rPr>
        <w:t>5</w:t>
      </w:r>
      <w:r w:rsidRPr="009118AB">
        <w:rPr>
          <w:iCs/>
          <w:sz w:val="20"/>
          <w:szCs w:val="20"/>
        </w:rPr>
        <w:t> - </w:t>
      </w:r>
      <w:r w:rsidR="00390A33" w:rsidRPr="009118AB">
        <w:rPr>
          <w:iCs/>
          <w:sz w:val="20"/>
          <w:szCs w:val="20"/>
        </w:rPr>
        <w:t xml:space="preserve">Der in </w:t>
      </w:r>
      <w:r w:rsidRPr="009118AB">
        <w:rPr>
          <w:iCs/>
          <w:sz w:val="20"/>
          <w:szCs w:val="20"/>
        </w:rPr>
        <w:t>§ </w:t>
      </w:r>
      <w:r w:rsidR="00390A33" w:rsidRPr="009118AB">
        <w:rPr>
          <w:iCs/>
          <w:sz w:val="20"/>
          <w:szCs w:val="20"/>
        </w:rPr>
        <w:t>4 festgelegte Pauschalbetrag darf dem Steuerpflichtigen ausschließlich bewilligt werden, wenn das betreffende Fahrzeug:</w:t>
      </w:r>
    </w:p>
    <w:p w14:paraId="6737FC65" w14:textId="77777777" w:rsidR="00390A33" w:rsidRPr="009118AB" w:rsidRDefault="00390A33" w:rsidP="00390A33">
      <w:pPr>
        <w:autoSpaceDE w:val="0"/>
        <w:autoSpaceDN w:val="0"/>
        <w:adjustRightInd w:val="0"/>
        <w:jc w:val="both"/>
        <w:rPr>
          <w:iCs/>
          <w:sz w:val="20"/>
          <w:szCs w:val="20"/>
        </w:rPr>
      </w:pPr>
    </w:p>
    <w:p w14:paraId="69DA95CA" w14:textId="77777777" w:rsidR="00390A33" w:rsidRPr="009118AB" w:rsidRDefault="00390A33" w:rsidP="00390A33">
      <w:pPr>
        <w:autoSpaceDE w:val="0"/>
        <w:autoSpaceDN w:val="0"/>
        <w:adjustRightInd w:val="0"/>
        <w:jc w:val="both"/>
        <w:rPr>
          <w:iCs/>
          <w:sz w:val="20"/>
          <w:szCs w:val="20"/>
        </w:rPr>
      </w:pPr>
      <w:r w:rsidRPr="009118AB">
        <w:rPr>
          <w:iCs/>
          <w:sz w:val="20"/>
          <w:szCs w:val="20"/>
        </w:rPr>
        <w:t>1. entweder sein Eigentum ist</w:t>
      </w:r>
    </w:p>
    <w:p w14:paraId="01B16431" w14:textId="77777777" w:rsidR="00390A33" w:rsidRPr="009118AB" w:rsidRDefault="00390A33" w:rsidP="00390A33">
      <w:pPr>
        <w:autoSpaceDE w:val="0"/>
        <w:autoSpaceDN w:val="0"/>
        <w:adjustRightInd w:val="0"/>
        <w:jc w:val="both"/>
        <w:rPr>
          <w:iCs/>
          <w:sz w:val="20"/>
          <w:szCs w:val="20"/>
        </w:rPr>
      </w:pPr>
    </w:p>
    <w:p w14:paraId="0D5D5E4E" w14:textId="77777777" w:rsidR="00390A33" w:rsidRPr="009118AB" w:rsidRDefault="00390A33" w:rsidP="00390A33">
      <w:pPr>
        <w:autoSpaceDE w:val="0"/>
        <w:autoSpaceDN w:val="0"/>
        <w:adjustRightInd w:val="0"/>
        <w:jc w:val="both"/>
        <w:rPr>
          <w:iCs/>
          <w:sz w:val="20"/>
          <w:szCs w:val="20"/>
        </w:rPr>
      </w:pPr>
      <w:r w:rsidRPr="009118AB">
        <w:rPr>
          <w:iCs/>
          <w:sz w:val="20"/>
          <w:szCs w:val="20"/>
        </w:rPr>
        <w:t>2. oder bei der Direktion für Fahrzeugzulassungen auf seinen Namen zugelassen ist</w:t>
      </w:r>
    </w:p>
    <w:p w14:paraId="51F79A26" w14:textId="77777777" w:rsidR="00390A33" w:rsidRPr="009118AB" w:rsidRDefault="00390A33" w:rsidP="00390A33">
      <w:pPr>
        <w:autoSpaceDE w:val="0"/>
        <w:autoSpaceDN w:val="0"/>
        <w:adjustRightInd w:val="0"/>
        <w:jc w:val="both"/>
        <w:rPr>
          <w:iCs/>
          <w:sz w:val="20"/>
          <w:szCs w:val="20"/>
        </w:rPr>
      </w:pPr>
    </w:p>
    <w:p w14:paraId="22E17D0C" w14:textId="77777777" w:rsidR="00390A33" w:rsidRPr="009118AB" w:rsidRDefault="00390A33" w:rsidP="00390A33">
      <w:pPr>
        <w:autoSpaceDE w:val="0"/>
        <w:autoSpaceDN w:val="0"/>
        <w:adjustRightInd w:val="0"/>
        <w:jc w:val="both"/>
        <w:rPr>
          <w:iCs/>
          <w:sz w:val="20"/>
          <w:szCs w:val="20"/>
        </w:rPr>
      </w:pPr>
      <w:r w:rsidRPr="009118AB">
        <w:rPr>
          <w:iCs/>
          <w:sz w:val="20"/>
          <w:szCs w:val="20"/>
        </w:rPr>
        <w:t>3. oder ihm aufgrund eines Miet- oder Leasingvertrags ständig oder gewöhnlich zur Verfügung steht</w:t>
      </w:r>
    </w:p>
    <w:p w14:paraId="3F86F5A6" w14:textId="77777777" w:rsidR="00390A33" w:rsidRPr="009118AB" w:rsidRDefault="00390A33" w:rsidP="00390A33">
      <w:pPr>
        <w:autoSpaceDE w:val="0"/>
        <w:autoSpaceDN w:val="0"/>
        <w:adjustRightInd w:val="0"/>
        <w:jc w:val="both"/>
        <w:rPr>
          <w:iCs/>
          <w:sz w:val="20"/>
          <w:szCs w:val="20"/>
        </w:rPr>
      </w:pPr>
    </w:p>
    <w:p w14:paraId="378AB54D" w14:textId="77777777" w:rsidR="00390A33" w:rsidRPr="009118AB" w:rsidRDefault="00390A33" w:rsidP="00390A33">
      <w:pPr>
        <w:autoSpaceDE w:val="0"/>
        <w:autoSpaceDN w:val="0"/>
        <w:adjustRightInd w:val="0"/>
        <w:jc w:val="both"/>
        <w:rPr>
          <w:iCs/>
          <w:sz w:val="20"/>
          <w:szCs w:val="20"/>
        </w:rPr>
      </w:pPr>
      <w:r w:rsidRPr="009118AB">
        <w:rPr>
          <w:iCs/>
          <w:sz w:val="20"/>
          <w:szCs w:val="20"/>
        </w:rPr>
        <w:t>4. oder seinem Arbeitgeber oder seiner Gesellschaft gehört und der möglicherweise aus der Nutzung dieses Fahrzeugs entstehende Vorteil zu seinen Lasten besteuert wird.</w:t>
      </w:r>
    </w:p>
    <w:p w14:paraId="5F5A1633" w14:textId="77777777" w:rsidR="00390A33" w:rsidRPr="009118AB" w:rsidRDefault="00390A33" w:rsidP="00390A33">
      <w:pPr>
        <w:autoSpaceDE w:val="0"/>
        <w:autoSpaceDN w:val="0"/>
        <w:adjustRightInd w:val="0"/>
        <w:jc w:val="both"/>
        <w:rPr>
          <w:iCs/>
          <w:sz w:val="20"/>
          <w:szCs w:val="20"/>
        </w:rPr>
      </w:pPr>
    </w:p>
    <w:p w14:paraId="1E128A75" w14:textId="74E47D32" w:rsidR="00390A33" w:rsidRPr="009118AB" w:rsidRDefault="00390A33" w:rsidP="00390A33">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118AB">
        <w:rPr>
          <w:iCs/>
          <w:sz w:val="20"/>
          <w:szCs w:val="20"/>
        </w:rPr>
        <w:t>§ </w:t>
      </w:r>
      <w:r w:rsidRPr="009118AB">
        <w:rPr>
          <w:iCs/>
          <w:sz w:val="20"/>
          <w:szCs w:val="20"/>
        </w:rPr>
        <w:t>4 erwähnte Fahrt nutzt, wobei der Pauschalbetrag für gemeinsam gemachte Fahrten aber nur einem einzigen Steuerpflichtigen bewilligt werden darf.]</w:t>
      </w:r>
    </w:p>
    <w:p w14:paraId="48565B82" w14:textId="77777777" w:rsidR="00390A33" w:rsidRPr="009118AB" w:rsidRDefault="00390A33" w:rsidP="00390A33">
      <w:pPr>
        <w:autoSpaceDE w:val="0"/>
        <w:autoSpaceDN w:val="0"/>
        <w:adjustRightInd w:val="0"/>
        <w:jc w:val="both"/>
        <w:rPr>
          <w:iCs/>
          <w:sz w:val="20"/>
          <w:szCs w:val="20"/>
        </w:rPr>
      </w:pPr>
    </w:p>
    <w:p w14:paraId="34015C20" w14:textId="34691012" w:rsidR="00390A33" w:rsidRPr="009118AB" w:rsidRDefault="00390A33" w:rsidP="00390A33">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118AB">
        <w:rPr>
          <w:iCs/>
          <w:sz w:val="20"/>
          <w:szCs w:val="20"/>
        </w:rPr>
        <w:t>§ </w:t>
      </w:r>
      <w:r w:rsidRPr="009118AB">
        <w:rPr>
          <w:iCs/>
          <w:sz w:val="20"/>
          <w:szCs w:val="20"/>
        </w:rPr>
        <w:t>2 letzter Absatz erwähnte Beteiligung.]</w:t>
      </w:r>
    </w:p>
    <w:p w14:paraId="3337FF8F" w14:textId="77777777" w:rsidR="00390A33" w:rsidRPr="009118AB" w:rsidRDefault="00390A33" w:rsidP="00390A33">
      <w:pPr>
        <w:autoSpaceDE w:val="0"/>
        <w:autoSpaceDN w:val="0"/>
        <w:adjustRightInd w:val="0"/>
        <w:jc w:val="both"/>
        <w:rPr>
          <w:iCs/>
          <w:sz w:val="20"/>
          <w:szCs w:val="20"/>
        </w:rPr>
      </w:pPr>
    </w:p>
    <w:p w14:paraId="0653D2D1" w14:textId="0BD00957" w:rsidR="00390A33" w:rsidRPr="009118AB" w:rsidRDefault="00390A33" w:rsidP="00390A33">
      <w:pPr>
        <w:autoSpaceDE w:val="0"/>
        <w:autoSpaceDN w:val="0"/>
        <w:adjustRightInd w:val="0"/>
        <w:jc w:val="both"/>
        <w:rPr>
          <w:iCs/>
          <w:sz w:val="20"/>
          <w:szCs w:val="20"/>
        </w:rPr>
      </w:pPr>
      <w:r w:rsidRPr="009118AB">
        <w:rPr>
          <w:iCs/>
          <w:sz w:val="20"/>
          <w:szCs w:val="20"/>
        </w:rPr>
        <w:t>[</w:t>
      </w:r>
      <w:r w:rsidR="006079B8" w:rsidRPr="009118AB">
        <w:rPr>
          <w:iCs/>
          <w:sz w:val="20"/>
          <w:szCs w:val="20"/>
        </w:rPr>
        <w:t>..</w:t>
      </w:r>
      <w:r w:rsidRPr="009118AB">
        <w:rPr>
          <w:iCs/>
          <w:sz w:val="20"/>
          <w:szCs w:val="20"/>
        </w:rPr>
        <w:t>.]</w:t>
      </w:r>
    </w:p>
    <w:p w14:paraId="58CB4270" w14:textId="77777777" w:rsidR="00390A33" w:rsidRPr="009118AB" w:rsidRDefault="00390A33" w:rsidP="00390A33">
      <w:pPr>
        <w:autoSpaceDE w:val="0"/>
        <w:autoSpaceDN w:val="0"/>
        <w:adjustRightInd w:val="0"/>
        <w:jc w:val="both"/>
        <w:rPr>
          <w:iCs/>
          <w:sz w:val="20"/>
          <w:szCs w:val="20"/>
        </w:rPr>
      </w:pPr>
    </w:p>
    <w:p w14:paraId="08C0AA78" w14:textId="2948DEB0" w:rsidR="00390A33" w:rsidRPr="009118AB" w:rsidRDefault="00390A33" w:rsidP="00390A33">
      <w:pPr>
        <w:autoSpaceDE w:val="0"/>
        <w:autoSpaceDN w:val="0"/>
        <w:adjustRightInd w:val="0"/>
        <w:jc w:val="both"/>
        <w:rPr>
          <w:sz w:val="20"/>
          <w:szCs w:val="20"/>
        </w:rPr>
      </w:pPr>
      <w:r w:rsidRPr="009118AB">
        <w:rPr>
          <w:rFonts w:ascii="Times New Roman Italique" w:hAnsi="Times New Roman Italique"/>
          <w:i/>
          <w:iCs/>
          <w:spacing w:val="2"/>
          <w:sz w:val="20"/>
          <w:szCs w:val="20"/>
        </w:rPr>
        <w:t>[</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66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13 des G. vom 6. Juli 1994 (B.S. vom 16. Juli 1994)</w:t>
      </w:r>
      <w:r w:rsidR="00D67EB8" w:rsidRPr="009118AB">
        <w:rPr>
          <w:rFonts w:ascii="Times New Roman Italique" w:hAnsi="Times New Roman Italique"/>
          <w:i/>
          <w:iCs/>
          <w:spacing w:val="2"/>
          <w:sz w:val="20"/>
          <w:szCs w:val="20"/>
        </w:rPr>
        <w:t> - </w:t>
      </w:r>
      <w:r w:rsidRPr="009118AB">
        <w:rPr>
          <w:rFonts w:ascii="Times New Roman Italique" w:hAnsi="Times New Roman Italique"/>
          <w:i/>
          <w:iCs/>
          <w:spacing w:val="2"/>
          <w:sz w:val="20"/>
          <w:szCs w:val="20"/>
        </w:rPr>
        <w:t>anwendbar ab dem Steuerjahr 1993</w:t>
      </w:r>
      <w:r w:rsidR="003366D9" w:rsidRPr="009118AB">
        <w:rPr>
          <w:rFonts w:ascii="Times New Roman Italique" w:hAnsi="Times New Roman Italique"/>
          <w:i/>
          <w:iCs/>
          <w:spacing w:val="2"/>
          <w:sz w:val="20"/>
          <w:szCs w:val="20"/>
        </w:rPr>
        <w:t> </w:t>
      </w:r>
      <w:r w:rsidR="003366D9" w:rsidRPr="009118AB">
        <w:rPr>
          <w:rFonts w:ascii="Times New Roman Italique" w:hAnsi="Times New Roman Italique" w:hint="eastAsia"/>
          <w:i/>
          <w:iCs/>
          <w:spacing w:val="2"/>
          <w:sz w:val="20"/>
          <w:szCs w:val="20"/>
        </w:rPr>
        <w:t>-;</w:t>
      </w:r>
      <w:r w:rsidRPr="009118AB">
        <w:rPr>
          <w:rFonts w:ascii="Times New Roman Italique" w:hAnsi="Times New Roman Italique"/>
          <w:i/>
          <w:iCs/>
          <w:spacing w:val="2"/>
          <w:sz w:val="20"/>
          <w:szCs w:val="20"/>
        </w:rPr>
        <w:t xml:space="preserve"> </w:t>
      </w:r>
      <w:r w:rsidR="00D67EB8" w:rsidRPr="009118AB">
        <w:rPr>
          <w:rFonts w:ascii="Times New Roman Italique" w:hAnsi="Times New Roman Italique"/>
          <w:i/>
          <w:iCs/>
          <w:spacing w:val="2"/>
          <w:sz w:val="20"/>
          <w:szCs w:val="20"/>
        </w:rPr>
        <w:t>§ </w:t>
      </w:r>
      <w:r w:rsidRPr="009118AB">
        <w:rPr>
          <w:rFonts w:ascii="Times New Roman Italique" w:hAnsi="Times New Roman Italique"/>
          <w:i/>
          <w:iCs/>
          <w:spacing w:val="2"/>
          <w:sz w:val="20"/>
          <w:szCs w:val="20"/>
        </w:rPr>
        <w:t xml:space="preserve">1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3 </w:t>
      </w:r>
      <w:r w:rsidR="00D67EB8" w:rsidRPr="009118AB">
        <w:rPr>
          <w:rFonts w:ascii="Times New Roman Italique" w:hAnsi="Times New Roman Italique"/>
          <w:i/>
          <w:iCs/>
          <w:spacing w:val="2"/>
          <w:sz w:val="20"/>
          <w:szCs w:val="20"/>
        </w:rPr>
        <w:t>Nr. </w:t>
      </w:r>
      <w:r w:rsidRPr="009118AB">
        <w:rPr>
          <w:rFonts w:ascii="Times New Roman Italique" w:hAnsi="Times New Roman Italique"/>
          <w:i/>
          <w:iCs/>
          <w:spacing w:val="2"/>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ersetzt durch </w:t>
      </w:r>
      <w:r w:rsidR="00D67EB8" w:rsidRPr="009118AB">
        <w:rPr>
          <w:i/>
          <w:iCs/>
          <w:sz w:val="20"/>
          <w:szCs w:val="20"/>
        </w:rPr>
        <w:t>Art. </w:t>
      </w:r>
      <w:r w:rsidRPr="009118AB">
        <w:rPr>
          <w:i/>
          <w:iCs/>
          <w:sz w:val="20"/>
          <w:szCs w:val="20"/>
        </w:rPr>
        <w:t xml:space="preserve">105 </w:t>
      </w:r>
      <w:r w:rsidR="00D67EB8" w:rsidRPr="009118AB">
        <w:rPr>
          <w:i/>
          <w:iCs/>
          <w:sz w:val="20"/>
          <w:szCs w:val="20"/>
        </w:rPr>
        <w:t>Nr. </w:t>
      </w:r>
      <w:r w:rsidRPr="009118AB">
        <w:rPr>
          <w:i/>
          <w:iCs/>
          <w:sz w:val="20"/>
          <w:szCs w:val="20"/>
        </w:rPr>
        <w:t>2 des G. vom 27. Dezember 2005 (I) (B.S. vom 30. Dezember 2005)</w:t>
      </w:r>
      <w:r w:rsidR="00D67EB8" w:rsidRPr="009118AB">
        <w:rPr>
          <w:i/>
          <w:iCs/>
          <w:sz w:val="20"/>
          <w:szCs w:val="20"/>
        </w:rPr>
        <w:t> - </w:t>
      </w:r>
      <w:r w:rsidRPr="009118AB">
        <w:rPr>
          <w:i/>
          <w:iCs/>
          <w:sz w:val="20"/>
          <w:szCs w:val="20"/>
        </w:rPr>
        <w:t>in Kraft ab dem Steuerjahr 2007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einleitende Bestimmung ersetzt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6</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4 eingefügt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3 des G. vom 25. Dezember 2017 (III) (B.S. vom 29. Dezember 201)7</w:t>
      </w:r>
      <w:r w:rsidR="00D67EB8" w:rsidRPr="009118AB">
        <w:rPr>
          <w:i/>
          <w:iCs/>
          <w:sz w:val="20"/>
          <w:szCs w:val="20"/>
        </w:rPr>
        <w:t> - </w:t>
      </w:r>
      <w:r w:rsidRPr="009118AB">
        <w:rPr>
          <w:i/>
          <w:iCs/>
          <w:sz w:val="20"/>
          <w:szCs w:val="20"/>
        </w:rPr>
        <w:t>in Kraft am 1. Januar 2018 und anwendbar ab dem Steuerjahr 2019, das sich auf einen Besteuerungszeitraum bezieht, der frühestens am 1. Januar 2018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3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ersetzt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4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einziger Absatz einleitende Bestimmung abgeändert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7</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4 </w:t>
      </w:r>
      <w:r w:rsidR="00491A4D" w:rsidRPr="009118AB">
        <w:rPr>
          <w:i/>
          <w:iCs/>
          <w:sz w:val="20"/>
          <w:szCs w:val="20"/>
        </w:rPr>
        <w:t xml:space="preserve">ersetzt durch </w:t>
      </w:r>
      <w:r w:rsidR="00D67EB8" w:rsidRPr="009118AB">
        <w:rPr>
          <w:i/>
          <w:iCs/>
          <w:sz w:val="20"/>
          <w:szCs w:val="20"/>
        </w:rPr>
        <w:t>Art. </w:t>
      </w:r>
      <w:r w:rsidR="00491A4D" w:rsidRPr="009118AB">
        <w:rPr>
          <w:i/>
          <w:iCs/>
          <w:sz w:val="20"/>
          <w:szCs w:val="20"/>
        </w:rPr>
        <w:t xml:space="preserve">3 </w:t>
      </w:r>
      <w:r w:rsidR="00D67EB8" w:rsidRPr="009118AB">
        <w:rPr>
          <w:i/>
          <w:iCs/>
          <w:sz w:val="20"/>
          <w:szCs w:val="20"/>
        </w:rPr>
        <w:t>Nr. </w:t>
      </w:r>
      <w:r w:rsidR="00491A4D" w:rsidRPr="009118AB">
        <w:rPr>
          <w:i/>
          <w:iCs/>
          <w:sz w:val="20"/>
          <w:szCs w:val="20"/>
        </w:rPr>
        <w:t>8</w:t>
      </w:r>
      <w:r w:rsidR="00491A4D" w:rsidRPr="009118AB">
        <w:rPr>
          <w:i/>
          <w:iCs/>
        </w:rPr>
        <w:t xml:space="preserve"> </w:t>
      </w:r>
      <w:r w:rsidR="00491A4D" w:rsidRPr="009118AB">
        <w:rPr>
          <w:i/>
          <w:iCs/>
          <w:sz w:val="20"/>
          <w:szCs w:val="20"/>
        </w:rPr>
        <w:t>des G. vom 25. November 2021 (B.S. vom 3. Dezember 2021)</w:t>
      </w:r>
      <w:r w:rsidR="00D67EB8" w:rsidRPr="009118AB">
        <w:rPr>
          <w:i/>
          <w:iCs/>
          <w:sz w:val="20"/>
          <w:szCs w:val="20"/>
        </w:rPr>
        <w:t> - </w:t>
      </w:r>
      <w:r w:rsidR="00491A4D"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5 </w:t>
      </w:r>
      <w:r w:rsidR="00D67EB8" w:rsidRPr="009118AB">
        <w:rPr>
          <w:i/>
          <w:iCs/>
          <w:sz w:val="20"/>
          <w:szCs w:val="20"/>
        </w:rPr>
        <w:t>Abs. </w:t>
      </w:r>
      <w:r w:rsidRPr="009118AB">
        <w:rPr>
          <w:i/>
          <w:iCs/>
          <w:sz w:val="20"/>
          <w:szCs w:val="20"/>
        </w:rPr>
        <w:t xml:space="preserve">3 eingefügt durch </w:t>
      </w:r>
      <w:r w:rsidR="00D67EB8" w:rsidRPr="009118AB">
        <w:rPr>
          <w:i/>
          <w:iCs/>
          <w:sz w:val="20"/>
          <w:szCs w:val="20"/>
        </w:rPr>
        <w:t>Art. </w:t>
      </w:r>
      <w:r w:rsidRPr="009118AB">
        <w:rPr>
          <w:i/>
          <w:iCs/>
          <w:sz w:val="20"/>
          <w:szCs w:val="20"/>
        </w:rPr>
        <w:t>40</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bCs/>
          <w:i/>
          <w:sz w:val="20"/>
          <w:szCs w:val="20"/>
        </w:rPr>
        <w:t>anwendbar auf die ab dem 1. Januar 2012 zuerkannten Vorteile jeglicher Art</w:t>
      </w:r>
      <w:r w:rsidR="003366D9" w:rsidRPr="009118AB">
        <w:rPr>
          <w:bCs/>
          <w:i/>
          <w:sz w:val="20"/>
          <w:szCs w:val="20"/>
        </w:rPr>
        <w:t> -;</w:t>
      </w:r>
      <w:r w:rsidRPr="009118AB">
        <w:rPr>
          <w:bCs/>
          <w:i/>
          <w:sz w:val="20"/>
          <w:szCs w:val="20"/>
        </w:rPr>
        <w:t xml:space="preserve"> </w:t>
      </w:r>
      <w:r w:rsidR="00D67EB8" w:rsidRPr="009118AB">
        <w:rPr>
          <w:bCs/>
          <w:i/>
          <w:sz w:val="20"/>
          <w:szCs w:val="20"/>
        </w:rPr>
        <w:t>§ </w:t>
      </w:r>
      <w:r w:rsidRPr="009118AB">
        <w:rPr>
          <w:bCs/>
          <w:i/>
          <w:sz w:val="20"/>
          <w:szCs w:val="20"/>
        </w:rPr>
        <w:t xml:space="preserve">5 </w:t>
      </w:r>
      <w:r w:rsidR="006246F0" w:rsidRPr="009118AB">
        <w:rPr>
          <w:bCs/>
          <w:i/>
          <w:sz w:val="20"/>
          <w:szCs w:val="20"/>
        </w:rPr>
        <w:t xml:space="preserve">früherer </w:t>
      </w:r>
      <w:r w:rsidRPr="009118AB">
        <w:rPr>
          <w:bCs/>
          <w:i/>
          <w:sz w:val="20"/>
          <w:szCs w:val="20"/>
        </w:rPr>
        <w:t>Abs</w:t>
      </w:r>
      <w:r w:rsidR="006246F0" w:rsidRPr="009118AB">
        <w:rPr>
          <w:bCs/>
          <w:i/>
          <w:sz w:val="20"/>
          <w:szCs w:val="20"/>
        </w:rPr>
        <w:t>atz</w:t>
      </w:r>
      <w:r w:rsidRPr="009118AB">
        <w:rPr>
          <w:bCs/>
          <w:i/>
          <w:sz w:val="20"/>
          <w:szCs w:val="20"/>
        </w:rPr>
        <w:t xml:space="preserve"> 4 eingefügt durch </w:t>
      </w:r>
      <w:r w:rsidR="00D67EB8" w:rsidRPr="009118AB">
        <w:rPr>
          <w:bCs/>
          <w:i/>
          <w:sz w:val="20"/>
          <w:szCs w:val="20"/>
        </w:rPr>
        <w:t>Art. </w:t>
      </w:r>
      <w:r w:rsidRPr="009118AB">
        <w:rPr>
          <w:bCs/>
          <w:i/>
          <w:sz w:val="20"/>
          <w:szCs w:val="20"/>
        </w:rPr>
        <w:t>28 des G. vom 30. März 2018 (B.S. vom 7. Mai 2018)</w:t>
      </w:r>
      <w:r w:rsidR="00D67EB8" w:rsidRPr="009118AB">
        <w:rPr>
          <w:bCs/>
          <w:i/>
          <w:sz w:val="20"/>
          <w:szCs w:val="20"/>
        </w:rPr>
        <w:t> - </w:t>
      </w:r>
      <w:r w:rsidRPr="009118AB">
        <w:rPr>
          <w:bCs/>
          <w:i/>
          <w:sz w:val="20"/>
          <w:szCs w:val="20"/>
        </w:rPr>
        <w:t>in Kraft am 1. Januar 2018</w:t>
      </w:r>
      <w:r w:rsidR="00FD68E8" w:rsidRPr="009118AB">
        <w:rPr>
          <w:bCs/>
          <w:i/>
          <w:sz w:val="20"/>
          <w:szCs w:val="20"/>
        </w:rPr>
        <w:t> -,</w:t>
      </w:r>
      <w:r w:rsidR="006246F0" w:rsidRPr="009118AB">
        <w:rPr>
          <w:bCs/>
          <w:i/>
          <w:sz w:val="20"/>
          <w:szCs w:val="20"/>
        </w:rPr>
        <w:t xml:space="preserve"> selbst für nichtig erklärt durch</w:t>
      </w:r>
      <w:r w:rsidR="006246F0" w:rsidRPr="009118AB">
        <w:rPr>
          <w:bCs/>
          <w:i/>
          <w:iCs/>
          <w:sz w:val="20"/>
          <w:szCs w:val="20"/>
        </w:rPr>
        <w:t xml:space="preserve"> Entscheid </w:t>
      </w:r>
      <w:r w:rsidR="00D67EB8" w:rsidRPr="009118AB">
        <w:rPr>
          <w:bCs/>
          <w:i/>
          <w:iCs/>
          <w:sz w:val="20"/>
          <w:szCs w:val="20"/>
        </w:rPr>
        <w:t>Nr. </w:t>
      </w:r>
      <w:r w:rsidR="006246F0" w:rsidRPr="009118AB">
        <w:rPr>
          <w:bCs/>
          <w:i/>
          <w:iCs/>
          <w:sz w:val="20"/>
          <w:szCs w:val="20"/>
        </w:rPr>
        <w:t>11/2020 des Verfassungsgerichtshofes vom 23. Januar 2020 (B.S. vom 24. Februar 2020)</w:t>
      </w:r>
      <w:r w:rsidRPr="009118AB">
        <w:rPr>
          <w:i/>
          <w:iCs/>
          <w:sz w:val="20"/>
          <w:szCs w:val="20"/>
        </w:rPr>
        <w:t>]</w:t>
      </w:r>
      <w:r w:rsidRPr="009118AB">
        <w:rPr>
          <w:sz w:val="20"/>
          <w:szCs w:val="20"/>
        </w:rPr>
        <w:t>"</w:t>
      </w:r>
    </w:p>
    <w:p w14:paraId="7E672BA1" w14:textId="056C0415" w:rsidR="00491A4D" w:rsidRPr="009118AB" w:rsidRDefault="00491A4D" w:rsidP="00390A33">
      <w:pPr>
        <w:autoSpaceDE w:val="0"/>
        <w:autoSpaceDN w:val="0"/>
        <w:adjustRightInd w:val="0"/>
        <w:jc w:val="both"/>
        <w:rPr>
          <w:sz w:val="20"/>
          <w:szCs w:val="20"/>
        </w:rPr>
      </w:pPr>
    </w:p>
    <w:p w14:paraId="1BE54C0F" w14:textId="1105C908" w:rsidR="00491A4D" w:rsidRPr="009118AB" w:rsidRDefault="00491A4D" w:rsidP="00390A33">
      <w:pPr>
        <w:autoSpaceDE w:val="0"/>
        <w:autoSpaceDN w:val="0"/>
        <w:adjustRightInd w:val="0"/>
        <w:jc w:val="both"/>
        <w:rPr>
          <w:sz w:val="20"/>
          <w:szCs w:val="20"/>
        </w:rPr>
      </w:pPr>
    </w:p>
    <w:p w14:paraId="1D10142D" w14:textId="3B557123" w:rsidR="00491A4D" w:rsidRPr="009118AB" w:rsidRDefault="00491A4D" w:rsidP="00491A4D">
      <w:pPr>
        <w:autoSpaceDE w:val="0"/>
        <w:autoSpaceDN w:val="0"/>
        <w:adjustRightInd w:val="0"/>
        <w:jc w:val="both"/>
        <w:rPr>
          <w:sz w:val="20"/>
          <w:szCs w:val="20"/>
        </w:rPr>
      </w:pPr>
      <w:r w:rsidRPr="009118AB">
        <w:rPr>
          <w:sz w:val="20"/>
          <w:szCs w:val="20"/>
        </w:rPr>
        <w:t xml:space="preserve">Ab dem 1. Januar 2027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7 des G. vom 25. November 2021 (B.S. vom 3. Dezember 2021)) lautet </w:t>
      </w:r>
      <w:r w:rsidR="00D67EB8" w:rsidRPr="009118AB">
        <w:rPr>
          <w:sz w:val="20"/>
          <w:szCs w:val="20"/>
        </w:rPr>
        <w:t>Art. </w:t>
      </w:r>
      <w:r w:rsidRPr="009118AB">
        <w:rPr>
          <w:sz w:val="20"/>
          <w:szCs w:val="20"/>
        </w:rPr>
        <w:t>66 wie folgt:</w:t>
      </w:r>
    </w:p>
    <w:p w14:paraId="0CE2C38A" w14:textId="77777777" w:rsidR="00491A4D" w:rsidRPr="009118AB" w:rsidRDefault="00491A4D" w:rsidP="00491A4D">
      <w:pPr>
        <w:autoSpaceDE w:val="0"/>
        <w:autoSpaceDN w:val="0"/>
        <w:adjustRightInd w:val="0"/>
        <w:jc w:val="both"/>
        <w:rPr>
          <w:sz w:val="20"/>
          <w:szCs w:val="20"/>
        </w:rPr>
      </w:pPr>
    </w:p>
    <w:p w14:paraId="16745B0D" w14:textId="06E6C49A" w:rsidR="00491A4D" w:rsidRPr="009118AB" w:rsidRDefault="00491A4D" w:rsidP="00491A4D">
      <w:pPr>
        <w:autoSpaceDE w:val="0"/>
        <w:autoSpaceDN w:val="0"/>
        <w:adjustRightInd w:val="0"/>
        <w:jc w:val="both"/>
        <w:rPr>
          <w:iCs/>
          <w:sz w:val="20"/>
          <w:szCs w:val="20"/>
        </w:rPr>
      </w:pPr>
      <w:r w:rsidRPr="009118AB">
        <w:rPr>
          <w:sz w:val="20"/>
          <w:szCs w:val="20"/>
        </w:rPr>
        <w:t>"</w:t>
      </w:r>
      <w:r w:rsidR="00D67EB8" w:rsidRPr="009118AB">
        <w:rPr>
          <w:sz w:val="20"/>
          <w:szCs w:val="20"/>
        </w:rPr>
        <w:t>Art. </w:t>
      </w:r>
      <w:r w:rsidRPr="009118AB">
        <w:rPr>
          <w:sz w:val="20"/>
          <w:szCs w:val="20"/>
        </w:rPr>
        <w:t>66</w:t>
      </w:r>
      <w:r w:rsidR="00D67EB8" w:rsidRPr="009118AB">
        <w:rPr>
          <w:sz w:val="20"/>
          <w:szCs w:val="20"/>
        </w:rPr>
        <w:t> - </w:t>
      </w:r>
      <w:r w:rsidRPr="009118AB">
        <w:rPr>
          <w:iCs/>
          <w:sz w:val="20"/>
          <w:szCs w:val="20"/>
        </w:rPr>
        <w:t>[</w:t>
      </w:r>
      <w:r w:rsidR="00D67EB8" w:rsidRPr="009118AB">
        <w:rPr>
          <w:iCs/>
          <w:sz w:val="20"/>
          <w:szCs w:val="20"/>
        </w:rPr>
        <w:t>§ </w:t>
      </w:r>
      <w:r w:rsidRPr="009118AB">
        <w:rPr>
          <w:iCs/>
          <w:sz w:val="20"/>
          <w:szCs w:val="20"/>
        </w:rPr>
        <w:t>1</w:t>
      </w:r>
      <w:r w:rsidR="00D67EB8" w:rsidRPr="009118AB">
        <w:rPr>
          <w:iCs/>
          <w:sz w:val="20"/>
          <w:szCs w:val="20"/>
        </w:rPr>
        <w:t> - </w:t>
      </w:r>
      <w:r w:rsidRPr="009118AB">
        <w:rPr>
          <w:iCs/>
          <w:sz w:val="20"/>
          <w:szCs w:val="20"/>
        </w:rPr>
        <w:t>[Werbungskosten in Bezug auf die Nutzung der in Artikel 65 erwähnten Fahrzeuge sind nicht abzugsfähig, es sei denn, es handelt sich um ein Fahrzeug, das kein CO</w:t>
      </w:r>
      <w:r w:rsidRPr="009118AB">
        <w:rPr>
          <w:iCs/>
          <w:sz w:val="20"/>
          <w:szCs w:val="20"/>
          <w:vertAlign w:val="subscript"/>
        </w:rPr>
        <w:t>2</w:t>
      </w:r>
      <w:r w:rsidRPr="009118AB">
        <w:rPr>
          <w:iCs/>
          <w:sz w:val="20"/>
          <w:szCs w:val="20"/>
        </w:rPr>
        <w:t xml:space="preserve"> ausstößt[; stößt das Fahrzeug kein CO</w:t>
      </w:r>
      <w:r w:rsidRPr="009118AB">
        <w:rPr>
          <w:iCs/>
          <w:sz w:val="20"/>
          <w:szCs w:val="20"/>
          <w:vertAlign w:val="subscript"/>
        </w:rPr>
        <w:t>2</w:t>
      </w:r>
      <w:r w:rsidRPr="009118AB">
        <w:rPr>
          <w:iCs/>
          <w:sz w:val="20"/>
          <w:szCs w:val="20"/>
        </w:rPr>
        <w:t xml:space="preserve"> aus, wird der abzugsfähige Satz festgesetzt auf:</w:t>
      </w:r>
    </w:p>
    <w:p w14:paraId="08D5B640" w14:textId="77777777" w:rsidR="00491A4D" w:rsidRPr="009118AB" w:rsidRDefault="00491A4D" w:rsidP="00491A4D">
      <w:pPr>
        <w:autoSpaceDE w:val="0"/>
        <w:autoSpaceDN w:val="0"/>
        <w:adjustRightInd w:val="0"/>
        <w:jc w:val="both"/>
        <w:rPr>
          <w:iCs/>
          <w:sz w:val="20"/>
          <w:szCs w:val="20"/>
        </w:rPr>
      </w:pPr>
    </w:p>
    <w:p w14:paraId="09BD7564" w14:textId="18C84C71" w:rsidR="00491A4D" w:rsidRPr="009118AB" w:rsidRDefault="00491A4D" w:rsidP="00491A4D">
      <w:pPr>
        <w:autoSpaceDE w:val="0"/>
        <w:autoSpaceDN w:val="0"/>
        <w:adjustRightInd w:val="0"/>
        <w:jc w:val="both"/>
        <w:rPr>
          <w:iCs/>
          <w:sz w:val="20"/>
          <w:szCs w:val="20"/>
        </w:rPr>
      </w:pPr>
      <w:r w:rsidRPr="009118AB">
        <w:rPr>
          <w:iCs/>
          <w:sz w:val="20"/>
          <w:szCs w:val="20"/>
        </w:rPr>
        <w:t>- 100 Prozent, wenn es sich um ein vor dem 1. Januar 2027 gekauftes, geleastes oder gemietetes Fahrzeug handelt,</w:t>
      </w:r>
    </w:p>
    <w:p w14:paraId="444D4363" w14:textId="77777777" w:rsidR="00491A4D" w:rsidRPr="009118AB" w:rsidRDefault="00491A4D" w:rsidP="00491A4D">
      <w:pPr>
        <w:autoSpaceDE w:val="0"/>
        <w:autoSpaceDN w:val="0"/>
        <w:adjustRightInd w:val="0"/>
        <w:jc w:val="both"/>
        <w:rPr>
          <w:iCs/>
          <w:sz w:val="20"/>
          <w:szCs w:val="20"/>
        </w:rPr>
      </w:pPr>
    </w:p>
    <w:p w14:paraId="727439A8" w14:textId="68D41EB9" w:rsidR="00491A4D" w:rsidRPr="009118AB" w:rsidRDefault="00491A4D" w:rsidP="00491A4D">
      <w:pPr>
        <w:autoSpaceDE w:val="0"/>
        <w:autoSpaceDN w:val="0"/>
        <w:adjustRightInd w:val="0"/>
        <w:jc w:val="both"/>
        <w:rPr>
          <w:iCs/>
          <w:sz w:val="20"/>
          <w:szCs w:val="20"/>
        </w:rPr>
      </w:pPr>
      <w:r w:rsidRPr="009118AB">
        <w:rPr>
          <w:iCs/>
          <w:sz w:val="20"/>
          <w:szCs w:val="20"/>
        </w:rPr>
        <w:t>- 95 Prozent, wenn es sich um ein 2027 gekauftes, geleastes oder gemietetes Fahrzeug handelt].]</w:t>
      </w:r>
    </w:p>
    <w:p w14:paraId="6FD4C888" w14:textId="77777777" w:rsidR="00491A4D" w:rsidRPr="009118AB" w:rsidRDefault="00491A4D" w:rsidP="00491A4D">
      <w:pPr>
        <w:autoSpaceDE w:val="0"/>
        <w:autoSpaceDN w:val="0"/>
        <w:adjustRightInd w:val="0"/>
        <w:jc w:val="both"/>
        <w:rPr>
          <w:iCs/>
          <w:sz w:val="20"/>
          <w:szCs w:val="20"/>
        </w:rPr>
      </w:pPr>
    </w:p>
    <w:p w14:paraId="487DC160" w14:textId="77777777" w:rsidR="002A7A72" w:rsidRDefault="002A7A72">
      <w:pPr>
        <w:rPr>
          <w:iCs/>
          <w:sz w:val="20"/>
          <w:szCs w:val="20"/>
        </w:rPr>
      </w:pPr>
      <w:r>
        <w:rPr>
          <w:iCs/>
          <w:sz w:val="20"/>
          <w:szCs w:val="20"/>
        </w:rPr>
        <w:br w:type="page"/>
      </w:r>
    </w:p>
    <w:p w14:paraId="511DF5D4" w14:textId="53C505D6" w:rsidR="00491A4D" w:rsidRPr="009118AB" w:rsidRDefault="00D67EB8" w:rsidP="00491A4D">
      <w:pPr>
        <w:autoSpaceDE w:val="0"/>
        <w:autoSpaceDN w:val="0"/>
        <w:adjustRightInd w:val="0"/>
        <w:jc w:val="both"/>
        <w:rPr>
          <w:iCs/>
          <w:sz w:val="20"/>
          <w:szCs w:val="20"/>
        </w:rPr>
      </w:pPr>
      <w:r w:rsidRPr="009118AB">
        <w:rPr>
          <w:iCs/>
          <w:sz w:val="20"/>
          <w:szCs w:val="20"/>
        </w:rPr>
        <w:lastRenderedPageBreak/>
        <w:t>§ </w:t>
      </w:r>
      <w:r w:rsidR="00491A4D" w:rsidRPr="009118AB">
        <w:rPr>
          <w:iCs/>
          <w:sz w:val="20"/>
          <w:szCs w:val="20"/>
        </w:rPr>
        <w:t>2</w:t>
      </w:r>
      <w:r w:rsidRPr="009118AB">
        <w:rPr>
          <w:iCs/>
          <w:sz w:val="20"/>
          <w:szCs w:val="20"/>
        </w:rPr>
        <w:t> - </w:t>
      </w:r>
      <w:r w:rsidR="00491A4D" w:rsidRPr="009118AB">
        <w:rPr>
          <w:iCs/>
          <w:sz w:val="20"/>
          <w:szCs w:val="20"/>
        </w:rPr>
        <w:t>[[Paragraph 1 und Artikel 550 sind nicht anwendbar]:</w:t>
      </w:r>
    </w:p>
    <w:p w14:paraId="056C9991" w14:textId="77777777" w:rsidR="00491A4D" w:rsidRPr="009118AB" w:rsidRDefault="00491A4D" w:rsidP="00491A4D">
      <w:pPr>
        <w:autoSpaceDE w:val="0"/>
        <w:autoSpaceDN w:val="0"/>
        <w:adjustRightInd w:val="0"/>
        <w:jc w:val="both"/>
        <w:rPr>
          <w:iCs/>
          <w:sz w:val="20"/>
          <w:szCs w:val="20"/>
        </w:rPr>
      </w:pPr>
    </w:p>
    <w:p w14:paraId="324BF118" w14:textId="77777777" w:rsidR="00491A4D" w:rsidRPr="009118AB" w:rsidRDefault="00491A4D" w:rsidP="00491A4D">
      <w:pPr>
        <w:autoSpaceDE w:val="0"/>
        <w:autoSpaceDN w:val="0"/>
        <w:adjustRightInd w:val="0"/>
        <w:jc w:val="both"/>
        <w:rPr>
          <w:iCs/>
          <w:sz w:val="20"/>
          <w:szCs w:val="20"/>
        </w:rPr>
      </w:pPr>
      <w:r w:rsidRPr="009118AB">
        <w:rPr>
          <w:iCs/>
          <w:sz w:val="20"/>
          <w:szCs w:val="20"/>
        </w:rPr>
        <w:t>1. auf Fahrzeuge, die ausschließlich für einen Taxidienst oder die Vermietung mit Fahrer genutzt werden und aus diesem Grund nicht der Verkehrssteuer auf Kraftfahrzeuge unterliegen,</w:t>
      </w:r>
    </w:p>
    <w:p w14:paraId="266D0002" w14:textId="77777777" w:rsidR="00491A4D" w:rsidRPr="009118AB" w:rsidRDefault="00491A4D" w:rsidP="00491A4D">
      <w:pPr>
        <w:autoSpaceDE w:val="0"/>
        <w:autoSpaceDN w:val="0"/>
        <w:adjustRightInd w:val="0"/>
        <w:jc w:val="both"/>
        <w:rPr>
          <w:iCs/>
          <w:sz w:val="20"/>
          <w:szCs w:val="20"/>
        </w:rPr>
      </w:pPr>
    </w:p>
    <w:p w14:paraId="3EA621D8" w14:textId="77777777" w:rsidR="00491A4D" w:rsidRPr="009118AB" w:rsidRDefault="00491A4D" w:rsidP="00491A4D">
      <w:pPr>
        <w:autoSpaceDE w:val="0"/>
        <w:autoSpaceDN w:val="0"/>
        <w:adjustRightInd w:val="0"/>
        <w:jc w:val="both"/>
        <w:rPr>
          <w:iCs/>
          <w:sz w:val="20"/>
          <w:szCs w:val="20"/>
        </w:rPr>
      </w:pPr>
      <w:r w:rsidRPr="009118AB">
        <w:rPr>
          <w:iCs/>
          <w:sz w:val="20"/>
          <w:szCs w:val="20"/>
        </w:rPr>
        <w:t>2. auf Fahrzeuge, die ausschließlich für den praktischen Unterricht in zugelassenen Fahrschulen genutzt werden und zu diesem Zweck eigens ausgerüstet sind,</w:t>
      </w:r>
    </w:p>
    <w:p w14:paraId="066D4280" w14:textId="77777777" w:rsidR="00491A4D" w:rsidRPr="009118AB" w:rsidRDefault="00491A4D" w:rsidP="00491A4D">
      <w:pPr>
        <w:autoSpaceDE w:val="0"/>
        <w:autoSpaceDN w:val="0"/>
        <w:adjustRightInd w:val="0"/>
        <w:jc w:val="both"/>
        <w:rPr>
          <w:iCs/>
          <w:sz w:val="20"/>
          <w:szCs w:val="20"/>
        </w:rPr>
      </w:pPr>
    </w:p>
    <w:p w14:paraId="289CD29D" w14:textId="77777777" w:rsidR="00491A4D" w:rsidRPr="009118AB" w:rsidRDefault="00491A4D" w:rsidP="00491A4D">
      <w:pPr>
        <w:autoSpaceDE w:val="0"/>
        <w:autoSpaceDN w:val="0"/>
        <w:adjustRightInd w:val="0"/>
        <w:jc w:val="both"/>
        <w:rPr>
          <w:iCs/>
          <w:sz w:val="20"/>
          <w:szCs w:val="20"/>
        </w:rPr>
      </w:pPr>
      <w:r w:rsidRPr="009118AB">
        <w:rPr>
          <w:iCs/>
          <w:sz w:val="20"/>
          <w:szCs w:val="20"/>
        </w:rPr>
        <w:t>3. auf Fahrzeuge, die ausschließlich an Dritte vermietet werden,]</w:t>
      </w:r>
    </w:p>
    <w:p w14:paraId="234887A9" w14:textId="77777777" w:rsidR="00491A4D" w:rsidRPr="009118AB" w:rsidRDefault="00491A4D" w:rsidP="00491A4D">
      <w:pPr>
        <w:autoSpaceDE w:val="0"/>
        <w:autoSpaceDN w:val="0"/>
        <w:adjustRightInd w:val="0"/>
        <w:jc w:val="both"/>
        <w:rPr>
          <w:iCs/>
          <w:sz w:val="20"/>
          <w:szCs w:val="20"/>
        </w:rPr>
      </w:pPr>
    </w:p>
    <w:p w14:paraId="308921D5" w14:textId="77777777" w:rsidR="00491A4D" w:rsidRPr="009118AB" w:rsidRDefault="00491A4D" w:rsidP="00491A4D">
      <w:pPr>
        <w:autoSpaceDE w:val="0"/>
        <w:autoSpaceDN w:val="0"/>
        <w:adjustRightInd w:val="0"/>
        <w:jc w:val="both"/>
        <w:rPr>
          <w:iCs/>
          <w:sz w:val="20"/>
          <w:szCs w:val="20"/>
        </w:rPr>
      </w:pPr>
      <w:r w:rsidRPr="009118AB">
        <w:rPr>
          <w:iCs/>
          <w:sz w:val="20"/>
          <w:szCs w:val="20"/>
        </w:rPr>
        <w:t>[</w:t>
      </w:r>
      <w:r w:rsidRPr="009118AB">
        <w:rPr>
          <w:sz w:val="20"/>
          <w:szCs w:val="20"/>
        </w:rPr>
        <w:t>4. auf Kosten, die auf Dritte abgewälzt werden, vorausgesetzt, diese Kosten sind ausdrücklich und separat auf der Rechnung vermerkt,</w:t>
      </w:r>
      <w:r w:rsidRPr="009118AB">
        <w:rPr>
          <w:iCs/>
          <w:sz w:val="20"/>
          <w:szCs w:val="20"/>
        </w:rPr>
        <w:t>]</w:t>
      </w:r>
    </w:p>
    <w:p w14:paraId="17E3AE24" w14:textId="77777777" w:rsidR="00491A4D" w:rsidRPr="009118AB" w:rsidRDefault="00491A4D" w:rsidP="00491A4D">
      <w:pPr>
        <w:autoSpaceDE w:val="0"/>
        <w:autoSpaceDN w:val="0"/>
        <w:adjustRightInd w:val="0"/>
        <w:jc w:val="both"/>
        <w:rPr>
          <w:iCs/>
          <w:sz w:val="20"/>
          <w:szCs w:val="20"/>
        </w:rPr>
      </w:pPr>
    </w:p>
    <w:p w14:paraId="149C52AE" w14:textId="77777777" w:rsidR="00491A4D" w:rsidRPr="009118AB" w:rsidRDefault="00491A4D" w:rsidP="00491A4D">
      <w:pPr>
        <w:autoSpaceDE w:val="0"/>
        <w:autoSpaceDN w:val="0"/>
        <w:adjustRightInd w:val="0"/>
        <w:jc w:val="both"/>
        <w:rPr>
          <w:iCs/>
          <w:sz w:val="20"/>
          <w:szCs w:val="20"/>
        </w:rPr>
      </w:pPr>
      <w:r w:rsidRPr="009118AB">
        <w:rPr>
          <w:iCs/>
          <w:sz w:val="20"/>
          <w:szCs w:val="20"/>
        </w:rPr>
        <w:t>[</w:t>
      </w:r>
      <w:r w:rsidRPr="009118AB">
        <w:rPr>
          <w:sz w:val="20"/>
          <w:szCs w:val="20"/>
        </w:rPr>
        <w:t>5. auf Kosten in Bezug auf Ladestationen für Elektrofahrzeuge.]</w:t>
      </w:r>
    </w:p>
    <w:p w14:paraId="4C1C8825" w14:textId="77777777" w:rsidR="00491A4D" w:rsidRPr="009118AB" w:rsidRDefault="00491A4D" w:rsidP="00491A4D">
      <w:pPr>
        <w:autoSpaceDE w:val="0"/>
        <w:autoSpaceDN w:val="0"/>
        <w:adjustRightInd w:val="0"/>
        <w:jc w:val="both"/>
        <w:rPr>
          <w:iCs/>
          <w:sz w:val="20"/>
          <w:szCs w:val="20"/>
        </w:rPr>
      </w:pPr>
    </w:p>
    <w:p w14:paraId="7D9FD059" w14:textId="3DC9D5AB" w:rsidR="00491A4D" w:rsidRPr="009118AB" w:rsidRDefault="00D67EB8" w:rsidP="00491A4D">
      <w:pPr>
        <w:autoSpaceDE w:val="0"/>
        <w:autoSpaceDN w:val="0"/>
        <w:adjustRightInd w:val="0"/>
        <w:jc w:val="both"/>
        <w:rPr>
          <w:sz w:val="20"/>
          <w:szCs w:val="20"/>
        </w:rPr>
      </w:pPr>
      <w:r w:rsidRPr="009118AB">
        <w:rPr>
          <w:iCs/>
          <w:sz w:val="20"/>
          <w:szCs w:val="20"/>
        </w:rPr>
        <w:t>§ </w:t>
      </w:r>
      <w:r w:rsidR="00491A4D" w:rsidRPr="009118AB">
        <w:rPr>
          <w:iCs/>
          <w:sz w:val="20"/>
          <w:szCs w:val="20"/>
        </w:rPr>
        <w:t>3</w:t>
      </w:r>
      <w:r w:rsidRPr="009118AB">
        <w:rPr>
          <w:iCs/>
          <w:sz w:val="20"/>
          <w:szCs w:val="20"/>
        </w:rPr>
        <w:t> - </w:t>
      </w:r>
      <w:r w:rsidR="00491A4D" w:rsidRPr="009118AB">
        <w:rPr>
          <w:iCs/>
          <w:sz w:val="20"/>
          <w:szCs w:val="20"/>
        </w:rPr>
        <w:t>[[</w:t>
      </w:r>
      <w:r w:rsidR="00491A4D" w:rsidRPr="009118AB">
        <w:rPr>
          <w:sz w:val="20"/>
          <w:szCs w:val="20"/>
        </w:rPr>
        <w:t xml:space="preserve">In </w:t>
      </w:r>
      <w:r w:rsidRPr="009118AB">
        <w:rPr>
          <w:sz w:val="20"/>
          <w:szCs w:val="20"/>
        </w:rPr>
        <w:t>§ </w:t>
      </w:r>
      <w:r w:rsidR="00491A4D" w:rsidRPr="009118AB">
        <w:rPr>
          <w:sz w:val="20"/>
          <w:szCs w:val="20"/>
        </w:rPr>
        <w:t>1 und in Artikel 550] erwähnte Werbungskosten umfassen:</w:t>
      </w:r>
    </w:p>
    <w:p w14:paraId="7708EF86" w14:textId="77777777" w:rsidR="00491A4D" w:rsidRPr="009118AB" w:rsidRDefault="00491A4D" w:rsidP="00491A4D">
      <w:pPr>
        <w:autoSpaceDE w:val="0"/>
        <w:autoSpaceDN w:val="0"/>
        <w:adjustRightInd w:val="0"/>
        <w:jc w:val="both"/>
        <w:rPr>
          <w:sz w:val="20"/>
          <w:szCs w:val="20"/>
        </w:rPr>
      </w:pPr>
    </w:p>
    <w:p w14:paraId="2CD9D800" w14:textId="43B7B0DA" w:rsidR="00491A4D" w:rsidRPr="009118AB" w:rsidRDefault="00491A4D" w:rsidP="00491A4D">
      <w:pPr>
        <w:autoSpaceDE w:val="0"/>
        <w:autoSpaceDN w:val="0"/>
        <w:adjustRightInd w:val="0"/>
        <w:jc w:val="both"/>
        <w:rPr>
          <w:sz w:val="20"/>
          <w:szCs w:val="20"/>
        </w:rPr>
      </w:pPr>
      <w:r w:rsidRPr="009118AB">
        <w:rPr>
          <w:sz w:val="20"/>
          <w:szCs w:val="20"/>
        </w:rPr>
        <w:t xml:space="preserve">1. Kosten in Bezug auf die in </w:t>
      </w:r>
      <w:r w:rsidR="00D67EB8" w:rsidRPr="009118AB">
        <w:rPr>
          <w:sz w:val="20"/>
          <w:szCs w:val="20"/>
        </w:rPr>
        <w:t>§ </w:t>
      </w:r>
      <w:r w:rsidRPr="009118AB">
        <w:rPr>
          <w:sz w:val="20"/>
          <w:szCs w:val="20"/>
        </w:rPr>
        <w:t xml:space="preserve">2 </w:t>
      </w:r>
      <w:r w:rsidR="00D67EB8" w:rsidRPr="009118AB">
        <w:rPr>
          <w:sz w:val="20"/>
          <w:szCs w:val="20"/>
        </w:rPr>
        <w:t>Nr. </w:t>
      </w:r>
      <w:r w:rsidRPr="009118AB">
        <w:rPr>
          <w:sz w:val="20"/>
          <w:szCs w:val="20"/>
        </w:rPr>
        <w:t>1 und 3 erwähnten einem Dritten gehörenden Fahrzeuge, die vom Endnutzer dieser Fahrzeuge gemacht werden,</w:t>
      </w:r>
    </w:p>
    <w:p w14:paraId="3C403644" w14:textId="77777777" w:rsidR="00491A4D" w:rsidRPr="009118AB" w:rsidRDefault="00491A4D" w:rsidP="00491A4D">
      <w:pPr>
        <w:autoSpaceDE w:val="0"/>
        <w:autoSpaceDN w:val="0"/>
        <w:adjustRightInd w:val="0"/>
        <w:jc w:val="both"/>
        <w:rPr>
          <w:sz w:val="20"/>
          <w:szCs w:val="20"/>
        </w:rPr>
      </w:pPr>
    </w:p>
    <w:p w14:paraId="066EA660" w14:textId="77777777" w:rsidR="00491A4D" w:rsidRPr="009118AB" w:rsidRDefault="00491A4D" w:rsidP="00491A4D">
      <w:pPr>
        <w:autoSpaceDE w:val="0"/>
        <w:autoSpaceDN w:val="0"/>
        <w:adjustRightInd w:val="0"/>
        <w:jc w:val="both"/>
        <w:rPr>
          <w:sz w:val="20"/>
          <w:szCs w:val="20"/>
        </w:rPr>
      </w:pPr>
      <w:r w:rsidRPr="009118AB">
        <w:rPr>
          <w:sz w:val="20"/>
          <w:szCs w:val="20"/>
        </w:rPr>
        <w:t>2. den Betrag der in vorliegendem Artikel erwähnten Kosten, die Dritten zurückgezahlt werden,</w:t>
      </w:r>
    </w:p>
    <w:p w14:paraId="5DF151EB" w14:textId="77777777" w:rsidR="00491A4D" w:rsidRPr="009118AB" w:rsidRDefault="00491A4D" w:rsidP="00491A4D">
      <w:pPr>
        <w:autoSpaceDE w:val="0"/>
        <w:autoSpaceDN w:val="0"/>
        <w:adjustRightInd w:val="0"/>
        <w:jc w:val="both"/>
        <w:rPr>
          <w:sz w:val="20"/>
          <w:szCs w:val="20"/>
        </w:rPr>
      </w:pPr>
    </w:p>
    <w:p w14:paraId="0DE0822F" w14:textId="77777777" w:rsidR="00491A4D" w:rsidRPr="009118AB" w:rsidRDefault="00491A4D" w:rsidP="00491A4D">
      <w:pPr>
        <w:autoSpaceDE w:val="0"/>
        <w:autoSpaceDN w:val="0"/>
        <w:adjustRightInd w:val="0"/>
        <w:jc w:val="both"/>
        <w:rPr>
          <w:iCs/>
          <w:sz w:val="20"/>
          <w:szCs w:val="20"/>
        </w:rPr>
      </w:pPr>
      <w:r w:rsidRPr="009118AB">
        <w:rPr>
          <w:sz w:val="20"/>
          <w:szCs w:val="20"/>
        </w:rPr>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118AB">
        <w:rPr>
          <w:iCs/>
          <w:sz w:val="20"/>
          <w:szCs w:val="20"/>
        </w:rPr>
        <w:t>]</w:t>
      </w:r>
    </w:p>
    <w:p w14:paraId="78EF086E" w14:textId="77777777" w:rsidR="00491A4D" w:rsidRPr="009118AB" w:rsidRDefault="00491A4D" w:rsidP="00491A4D">
      <w:pPr>
        <w:autoSpaceDE w:val="0"/>
        <w:autoSpaceDN w:val="0"/>
        <w:adjustRightInd w:val="0"/>
        <w:jc w:val="both"/>
        <w:rPr>
          <w:iCs/>
          <w:sz w:val="20"/>
          <w:szCs w:val="20"/>
        </w:rPr>
      </w:pPr>
    </w:p>
    <w:p w14:paraId="05236F7B" w14:textId="1E7365B2" w:rsidR="00491A4D" w:rsidRPr="009118AB" w:rsidRDefault="00D67EB8" w:rsidP="00491A4D">
      <w:pPr>
        <w:autoSpaceDE w:val="0"/>
        <w:autoSpaceDN w:val="0"/>
        <w:adjustRightInd w:val="0"/>
        <w:jc w:val="both"/>
        <w:rPr>
          <w:iCs/>
          <w:sz w:val="20"/>
          <w:szCs w:val="20"/>
        </w:rPr>
      </w:pPr>
      <w:r w:rsidRPr="009118AB">
        <w:rPr>
          <w:iCs/>
          <w:sz w:val="20"/>
          <w:szCs w:val="20"/>
        </w:rPr>
        <w:t>§ </w:t>
      </w:r>
      <w:r w:rsidR="00491A4D" w:rsidRPr="009118AB">
        <w:rPr>
          <w:iCs/>
          <w:sz w:val="20"/>
          <w:szCs w:val="20"/>
        </w:rPr>
        <w:t>4</w:t>
      </w:r>
      <w:r w:rsidRPr="009118AB">
        <w:rPr>
          <w:iCs/>
          <w:sz w:val="20"/>
          <w:szCs w:val="20"/>
        </w:rPr>
        <w:t> - </w:t>
      </w:r>
      <w:r w:rsidR="00491A4D" w:rsidRPr="009118AB">
        <w:rPr>
          <w:iCs/>
          <w:sz w:val="20"/>
          <w:szCs w:val="20"/>
        </w:rPr>
        <w:t xml:space="preserve">[In Abweichung von </w:t>
      </w:r>
      <w:r w:rsidRPr="009118AB">
        <w:rPr>
          <w:iCs/>
          <w:sz w:val="20"/>
          <w:szCs w:val="20"/>
        </w:rPr>
        <w:t>§ </w:t>
      </w:r>
      <w:r w:rsidR="00491A4D" w:rsidRPr="009118AB">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118AB">
        <w:rPr>
          <w:iCs/>
          <w:sz w:val="20"/>
          <w:szCs w:val="20"/>
        </w:rPr>
        <w:t>§ </w:t>
      </w:r>
      <w:r w:rsidR="00491A4D" w:rsidRPr="009118AB">
        <w:rPr>
          <w:iCs/>
          <w:sz w:val="20"/>
          <w:szCs w:val="20"/>
        </w:rPr>
        <w:t xml:space="preserve">1 </w:t>
      </w:r>
      <w:r w:rsidRPr="009118AB">
        <w:rPr>
          <w:iCs/>
          <w:sz w:val="20"/>
          <w:szCs w:val="20"/>
        </w:rPr>
        <w:t>Nr. </w:t>
      </w:r>
      <w:r w:rsidR="00491A4D" w:rsidRPr="009118AB">
        <w:rPr>
          <w:iCs/>
          <w:sz w:val="20"/>
          <w:szCs w:val="20"/>
        </w:rPr>
        <w:t xml:space="preserve">3 des Gesetzbuches der den Einkommensteuern gleichgesetzten Steuern nicht der Verkehrssteuer unterliegen, noch auf Fahrzeuge, deren Werbungskosten gemäß </w:t>
      </w:r>
      <w:r w:rsidRPr="009118AB">
        <w:rPr>
          <w:iCs/>
          <w:sz w:val="20"/>
          <w:szCs w:val="20"/>
        </w:rPr>
        <w:t>§ </w:t>
      </w:r>
      <w:r w:rsidR="00491A4D" w:rsidRPr="009118AB">
        <w:rPr>
          <w:iCs/>
          <w:sz w:val="20"/>
          <w:szCs w:val="20"/>
        </w:rPr>
        <w:t>1 nicht abzugsfähig sind.]</w:t>
      </w:r>
    </w:p>
    <w:p w14:paraId="3B787D8D" w14:textId="77777777" w:rsidR="00491A4D" w:rsidRPr="009118AB" w:rsidRDefault="00491A4D" w:rsidP="00491A4D">
      <w:pPr>
        <w:autoSpaceDE w:val="0"/>
        <w:autoSpaceDN w:val="0"/>
        <w:adjustRightInd w:val="0"/>
        <w:jc w:val="both"/>
        <w:rPr>
          <w:iCs/>
          <w:sz w:val="20"/>
          <w:szCs w:val="20"/>
        </w:rPr>
      </w:pPr>
    </w:p>
    <w:p w14:paraId="18756916" w14:textId="4AB6821C" w:rsidR="00491A4D" w:rsidRPr="009118AB" w:rsidRDefault="00D67EB8" w:rsidP="00491A4D">
      <w:pPr>
        <w:autoSpaceDE w:val="0"/>
        <w:autoSpaceDN w:val="0"/>
        <w:adjustRightInd w:val="0"/>
        <w:jc w:val="both"/>
        <w:rPr>
          <w:iCs/>
          <w:sz w:val="20"/>
          <w:szCs w:val="20"/>
        </w:rPr>
      </w:pPr>
      <w:r w:rsidRPr="009118AB">
        <w:rPr>
          <w:iCs/>
          <w:sz w:val="20"/>
          <w:szCs w:val="20"/>
        </w:rPr>
        <w:t>§ </w:t>
      </w:r>
      <w:r w:rsidR="00491A4D" w:rsidRPr="009118AB">
        <w:rPr>
          <w:iCs/>
          <w:sz w:val="20"/>
          <w:szCs w:val="20"/>
        </w:rPr>
        <w:t>5</w:t>
      </w:r>
      <w:r w:rsidRPr="009118AB">
        <w:rPr>
          <w:iCs/>
          <w:sz w:val="20"/>
          <w:szCs w:val="20"/>
        </w:rPr>
        <w:t> - </w:t>
      </w:r>
      <w:r w:rsidR="00491A4D" w:rsidRPr="009118AB">
        <w:rPr>
          <w:iCs/>
          <w:sz w:val="20"/>
          <w:szCs w:val="20"/>
        </w:rPr>
        <w:t xml:space="preserve">Der in </w:t>
      </w:r>
      <w:r w:rsidRPr="009118AB">
        <w:rPr>
          <w:iCs/>
          <w:sz w:val="20"/>
          <w:szCs w:val="20"/>
        </w:rPr>
        <w:t>§ </w:t>
      </w:r>
      <w:r w:rsidR="00491A4D" w:rsidRPr="009118AB">
        <w:rPr>
          <w:iCs/>
          <w:sz w:val="20"/>
          <w:szCs w:val="20"/>
        </w:rPr>
        <w:t>4 festgelegte Pauschalbetrag darf dem Steuerpflichtigen ausschließlich bewilligt werden, wenn das betreffende Fahrzeug:</w:t>
      </w:r>
    </w:p>
    <w:p w14:paraId="6B4D22D1" w14:textId="77777777" w:rsidR="00491A4D" w:rsidRPr="009118AB" w:rsidRDefault="00491A4D" w:rsidP="00491A4D">
      <w:pPr>
        <w:autoSpaceDE w:val="0"/>
        <w:autoSpaceDN w:val="0"/>
        <w:adjustRightInd w:val="0"/>
        <w:jc w:val="both"/>
        <w:rPr>
          <w:iCs/>
          <w:sz w:val="20"/>
          <w:szCs w:val="20"/>
        </w:rPr>
      </w:pPr>
    </w:p>
    <w:p w14:paraId="093DA41D" w14:textId="77777777" w:rsidR="00491A4D" w:rsidRPr="009118AB" w:rsidRDefault="00491A4D" w:rsidP="00491A4D">
      <w:pPr>
        <w:autoSpaceDE w:val="0"/>
        <w:autoSpaceDN w:val="0"/>
        <w:adjustRightInd w:val="0"/>
        <w:jc w:val="both"/>
        <w:rPr>
          <w:iCs/>
          <w:sz w:val="20"/>
          <w:szCs w:val="20"/>
        </w:rPr>
      </w:pPr>
      <w:r w:rsidRPr="009118AB">
        <w:rPr>
          <w:iCs/>
          <w:sz w:val="20"/>
          <w:szCs w:val="20"/>
        </w:rPr>
        <w:t>1. entweder sein Eigentum ist</w:t>
      </w:r>
    </w:p>
    <w:p w14:paraId="1CCDAD80" w14:textId="77777777" w:rsidR="00491A4D" w:rsidRPr="009118AB" w:rsidRDefault="00491A4D" w:rsidP="00491A4D">
      <w:pPr>
        <w:autoSpaceDE w:val="0"/>
        <w:autoSpaceDN w:val="0"/>
        <w:adjustRightInd w:val="0"/>
        <w:jc w:val="both"/>
        <w:rPr>
          <w:iCs/>
          <w:sz w:val="20"/>
          <w:szCs w:val="20"/>
        </w:rPr>
      </w:pPr>
    </w:p>
    <w:p w14:paraId="1985CD7C" w14:textId="77777777" w:rsidR="00491A4D" w:rsidRPr="009118AB" w:rsidRDefault="00491A4D" w:rsidP="00491A4D">
      <w:pPr>
        <w:autoSpaceDE w:val="0"/>
        <w:autoSpaceDN w:val="0"/>
        <w:adjustRightInd w:val="0"/>
        <w:jc w:val="both"/>
        <w:rPr>
          <w:iCs/>
          <w:sz w:val="20"/>
          <w:szCs w:val="20"/>
        </w:rPr>
      </w:pPr>
      <w:r w:rsidRPr="009118AB">
        <w:rPr>
          <w:iCs/>
          <w:sz w:val="20"/>
          <w:szCs w:val="20"/>
        </w:rPr>
        <w:t>2. oder bei der Direktion für Fahrzeugzulassungen auf seinen Namen zugelassen ist</w:t>
      </w:r>
    </w:p>
    <w:p w14:paraId="3D28DA8D" w14:textId="77777777" w:rsidR="00491A4D" w:rsidRPr="009118AB" w:rsidRDefault="00491A4D" w:rsidP="00491A4D">
      <w:pPr>
        <w:autoSpaceDE w:val="0"/>
        <w:autoSpaceDN w:val="0"/>
        <w:adjustRightInd w:val="0"/>
        <w:jc w:val="both"/>
        <w:rPr>
          <w:iCs/>
          <w:sz w:val="20"/>
          <w:szCs w:val="20"/>
        </w:rPr>
      </w:pPr>
    </w:p>
    <w:p w14:paraId="63551828" w14:textId="77777777" w:rsidR="00491A4D" w:rsidRPr="009118AB" w:rsidRDefault="00491A4D" w:rsidP="00491A4D">
      <w:pPr>
        <w:autoSpaceDE w:val="0"/>
        <w:autoSpaceDN w:val="0"/>
        <w:adjustRightInd w:val="0"/>
        <w:jc w:val="both"/>
        <w:rPr>
          <w:iCs/>
          <w:sz w:val="20"/>
          <w:szCs w:val="20"/>
        </w:rPr>
      </w:pPr>
      <w:r w:rsidRPr="009118AB">
        <w:rPr>
          <w:iCs/>
          <w:sz w:val="20"/>
          <w:szCs w:val="20"/>
        </w:rPr>
        <w:t>3. oder ihm aufgrund eines Miet- oder Leasingvertrags ständig oder gewöhnlich zur Verfügung steht</w:t>
      </w:r>
    </w:p>
    <w:p w14:paraId="528C9491" w14:textId="77777777" w:rsidR="00491A4D" w:rsidRPr="009118AB" w:rsidRDefault="00491A4D" w:rsidP="00491A4D">
      <w:pPr>
        <w:autoSpaceDE w:val="0"/>
        <w:autoSpaceDN w:val="0"/>
        <w:adjustRightInd w:val="0"/>
        <w:jc w:val="both"/>
        <w:rPr>
          <w:iCs/>
          <w:sz w:val="20"/>
          <w:szCs w:val="20"/>
        </w:rPr>
      </w:pPr>
    </w:p>
    <w:p w14:paraId="762C56F0" w14:textId="77777777" w:rsidR="00491A4D" w:rsidRPr="009118AB" w:rsidRDefault="00491A4D" w:rsidP="00491A4D">
      <w:pPr>
        <w:autoSpaceDE w:val="0"/>
        <w:autoSpaceDN w:val="0"/>
        <w:adjustRightInd w:val="0"/>
        <w:jc w:val="both"/>
        <w:rPr>
          <w:iCs/>
          <w:sz w:val="20"/>
          <w:szCs w:val="20"/>
        </w:rPr>
      </w:pPr>
      <w:r w:rsidRPr="009118AB">
        <w:rPr>
          <w:iCs/>
          <w:sz w:val="20"/>
          <w:szCs w:val="20"/>
        </w:rPr>
        <w:t>4. oder seinem Arbeitgeber oder seiner Gesellschaft gehört und der möglicherweise aus der Nutzung dieses Fahrzeugs entstehende Vorteil zu seinen Lasten besteuert wird.</w:t>
      </w:r>
    </w:p>
    <w:p w14:paraId="1E103458" w14:textId="77777777" w:rsidR="00491A4D" w:rsidRPr="009118AB" w:rsidRDefault="00491A4D" w:rsidP="00491A4D">
      <w:pPr>
        <w:autoSpaceDE w:val="0"/>
        <w:autoSpaceDN w:val="0"/>
        <w:adjustRightInd w:val="0"/>
        <w:jc w:val="both"/>
        <w:rPr>
          <w:iCs/>
          <w:sz w:val="20"/>
          <w:szCs w:val="20"/>
        </w:rPr>
      </w:pPr>
    </w:p>
    <w:p w14:paraId="6EB4D0E2" w14:textId="127C0F3E" w:rsidR="00491A4D" w:rsidRPr="009118AB" w:rsidRDefault="00491A4D" w:rsidP="00491A4D">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118AB">
        <w:rPr>
          <w:iCs/>
          <w:sz w:val="20"/>
          <w:szCs w:val="20"/>
        </w:rPr>
        <w:t>§ </w:t>
      </w:r>
      <w:r w:rsidRPr="009118AB">
        <w:rPr>
          <w:iCs/>
          <w:sz w:val="20"/>
          <w:szCs w:val="20"/>
        </w:rPr>
        <w:t>4 erwähnte Fahrt nutzt, wobei der Pauschalbetrag für gemeinsam gemachte Fahrten aber nur einem einzigen Steuerpflichtigen bewilligt werden darf.]</w:t>
      </w:r>
    </w:p>
    <w:p w14:paraId="29BE61CB" w14:textId="77777777" w:rsidR="00491A4D" w:rsidRPr="009118AB" w:rsidRDefault="00491A4D" w:rsidP="00491A4D">
      <w:pPr>
        <w:autoSpaceDE w:val="0"/>
        <w:autoSpaceDN w:val="0"/>
        <w:adjustRightInd w:val="0"/>
        <w:jc w:val="both"/>
        <w:rPr>
          <w:iCs/>
          <w:sz w:val="20"/>
          <w:szCs w:val="20"/>
        </w:rPr>
      </w:pPr>
    </w:p>
    <w:p w14:paraId="07BA6D9C" w14:textId="049A17C0" w:rsidR="00491A4D" w:rsidRPr="009118AB" w:rsidRDefault="00491A4D" w:rsidP="00491A4D">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118AB">
        <w:rPr>
          <w:iCs/>
          <w:sz w:val="20"/>
          <w:szCs w:val="20"/>
        </w:rPr>
        <w:t>§ </w:t>
      </w:r>
      <w:r w:rsidRPr="009118AB">
        <w:rPr>
          <w:iCs/>
          <w:sz w:val="20"/>
          <w:szCs w:val="20"/>
        </w:rPr>
        <w:t>2 letzter Absatz erwähnte Beteiligung.]</w:t>
      </w:r>
    </w:p>
    <w:p w14:paraId="160BAA61" w14:textId="77777777" w:rsidR="00491A4D" w:rsidRPr="009118AB" w:rsidRDefault="00491A4D" w:rsidP="00491A4D">
      <w:pPr>
        <w:autoSpaceDE w:val="0"/>
        <w:autoSpaceDN w:val="0"/>
        <w:adjustRightInd w:val="0"/>
        <w:jc w:val="both"/>
        <w:rPr>
          <w:iCs/>
          <w:sz w:val="20"/>
          <w:szCs w:val="20"/>
        </w:rPr>
      </w:pPr>
    </w:p>
    <w:p w14:paraId="58940143" w14:textId="21871AF7" w:rsidR="00491A4D" w:rsidRPr="009118AB" w:rsidRDefault="00491A4D" w:rsidP="00491A4D">
      <w:pPr>
        <w:autoSpaceDE w:val="0"/>
        <w:autoSpaceDN w:val="0"/>
        <w:adjustRightInd w:val="0"/>
        <w:jc w:val="both"/>
        <w:rPr>
          <w:iCs/>
          <w:sz w:val="20"/>
          <w:szCs w:val="20"/>
        </w:rPr>
      </w:pPr>
      <w:r w:rsidRPr="009118AB">
        <w:rPr>
          <w:iCs/>
          <w:sz w:val="20"/>
          <w:szCs w:val="20"/>
        </w:rPr>
        <w:t>[</w:t>
      </w:r>
      <w:r w:rsidR="006246F0" w:rsidRPr="009118AB">
        <w:rPr>
          <w:iCs/>
          <w:sz w:val="20"/>
          <w:szCs w:val="20"/>
        </w:rPr>
        <w:t>..</w:t>
      </w:r>
      <w:r w:rsidRPr="009118AB">
        <w:rPr>
          <w:iCs/>
          <w:sz w:val="20"/>
          <w:szCs w:val="20"/>
        </w:rPr>
        <w:t>.]</w:t>
      </w:r>
    </w:p>
    <w:p w14:paraId="41013FC1" w14:textId="77777777" w:rsidR="00491A4D" w:rsidRPr="009118AB" w:rsidRDefault="00491A4D" w:rsidP="00491A4D">
      <w:pPr>
        <w:autoSpaceDE w:val="0"/>
        <w:autoSpaceDN w:val="0"/>
        <w:adjustRightInd w:val="0"/>
        <w:jc w:val="both"/>
        <w:rPr>
          <w:iCs/>
          <w:sz w:val="20"/>
          <w:szCs w:val="20"/>
        </w:rPr>
      </w:pPr>
    </w:p>
    <w:p w14:paraId="67F7B5D6" w14:textId="2059255C" w:rsidR="00491A4D" w:rsidRPr="009118AB" w:rsidRDefault="00491A4D" w:rsidP="00491A4D">
      <w:pPr>
        <w:autoSpaceDE w:val="0"/>
        <w:autoSpaceDN w:val="0"/>
        <w:adjustRightInd w:val="0"/>
        <w:jc w:val="both"/>
        <w:rPr>
          <w:sz w:val="20"/>
          <w:szCs w:val="20"/>
        </w:rPr>
      </w:pPr>
      <w:r w:rsidRPr="009118AB">
        <w:rPr>
          <w:rFonts w:ascii="Times New Roman Italique" w:hAnsi="Times New Roman Italique"/>
          <w:i/>
          <w:iCs/>
          <w:spacing w:val="2"/>
          <w:sz w:val="20"/>
          <w:szCs w:val="20"/>
        </w:rPr>
        <w:t>[</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66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13 des G. vom 6. Juli 1994 (B.S. vom 16. Juli 1994)</w:t>
      </w:r>
      <w:r w:rsidR="00D67EB8" w:rsidRPr="009118AB">
        <w:rPr>
          <w:rFonts w:ascii="Times New Roman Italique" w:hAnsi="Times New Roman Italique"/>
          <w:i/>
          <w:iCs/>
          <w:spacing w:val="2"/>
          <w:sz w:val="20"/>
          <w:szCs w:val="20"/>
        </w:rPr>
        <w:t> - </w:t>
      </w:r>
      <w:r w:rsidRPr="009118AB">
        <w:rPr>
          <w:rFonts w:ascii="Times New Roman Italique" w:hAnsi="Times New Roman Italique"/>
          <w:i/>
          <w:iCs/>
          <w:spacing w:val="2"/>
          <w:sz w:val="20"/>
          <w:szCs w:val="20"/>
        </w:rPr>
        <w:t>anwendbar ab dem Steuerjahr 1993</w:t>
      </w:r>
      <w:r w:rsidR="003366D9" w:rsidRPr="009118AB">
        <w:rPr>
          <w:rFonts w:ascii="Times New Roman Italique" w:hAnsi="Times New Roman Italique"/>
          <w:i/>
          <w:iCs/>
          <w:spacing w:val="2"/>
          <w:sz w:val="20"/>
          <w:szCs w:val="20"/>
        </w:rPr>
        <w:t> </w:t>
      </w:r>
      <w:r w:rsidR="003366D9" w:rsidRPr="009118AB">
        <w:rPr>
          <w:rFonts w:ascii="Times New Roman Italique" w:hAnsi="Times New Roman Italique" w:hint="eastAsia"/>
          <w:i/>
          <w:iCs/>
          <w:spacing w:val="2"/>
          <w:sz w:val="20"/>
          <w:szCs w:val="20"/>
        </w:rPr>
        <w:t>-;</w:t>
      </w:r>
      <w:r w:rsidRPr="009118AB">
        <w:rPr>
          <w:rFonts w:ascii="Times New Roman Italique" w:hAnsi="Times New Roman Italique"/>
          <w:i/>
          <w:iCs/>
          <w:spacing w:val="2"/>
          <w:sz w:val="20"/>
          <w:szCs w:val="20"/>
        </w:rPr>
        <w:t xml:space="preserve"> </w:t>
      </w:r>
      <w:r w:rsidR="00D67EB8" w:rsidRPr="009118AB">
        <w:rPr>
          <w:rFonts w:ascii="Times New Roman Italique" w:hAnsi="Times New Roman Italique"/>
          <w:i/>
          <w:iCs/>
          <w:spacing w:val="2"/>
          <w:sz w:val="20"/>
          <w:szCs w:val="20"/>
        </w:rPr>
        <w:t>§ </w:t>
      </w:r>
      <w:r w:rsidRPr="009118AB">
        <w:rPr>
          <w:rFonts w:ascii="Times New Roman Italique" w:hAnsi="Times New Roman Italique"/>
          <w:i/>
          <w:iCs/>
          <w:spacing w:val="2"/>
          <w:sz w:val="20"/>
          <w:szCs w:val="20"/>
        </w:rPr>
        <w:t xml:space="preserve">1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3 </w:t>
      </w:r>
      <w:r w:rsidR="00D67EB8" w:rsidRPr="009118AB">
        <w:rPr>
          <w:rFonts w:ascii="Times New Roman Italique" w:hAnsi="Times New Roman Italique"/>
          <w:i/>
          <w:iCs/>
          <w:spacing w:val="2"/>
          <w:sz w:val="20"/>
          <w:szCs w:val="20"/>
        </w:rPr>
        <w:t>Nr. </w:t>
      </w:r>
      <w:r w:rsidRPr="009118AB">
        <w:rPr>
          <w:rFonts w:ascii="Times New Roman Italique" w:hAnsi="Times New Roman Italique"/>
          <w:i/>
          <w:iCs/>
          <w:spacing w:val="2"/>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einleitende </w:t>
      </w:r>
      <w:r w:rsidRPr="009118AB">
        <w:rPr>
          <w:i/>
          <w:iCs/>
          <w:sz w:val="20"/>
          <w:szCs w:val="20"/>
        </w:rPr>
        <w:lastRenderedPageBreak/>
        <w:t xml:space="preserve">Bestimmung abgeändert und erster und zweiter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ersetzt durch </w:t>
      </w:r>
      <w:r w:rsidR="00D67EB8" w:rsidRPr="009118AB">
        <w:rPr>
          <w:i/>
          <w:iCs/>
          <w:sz w:val="20"/>
          <w:szCs w:val="20"/>
        </w:rPr>
        <w:t>Art. </w:t>
      </w:r>
      <w:r w:rsidRPr="009118AB">
        <w:rPr>
          <w:i/>
          <w:iCs/>
          <w:sz w:val="20"/>
          <w:szCs w:val="20"/>
        </w:rPr>
        <w:t xml:space="preserve">105 </w:t>
      </w:r>
      <w:r w:rsidR="00D67EB8" w:rsidRPr="009118AB">
        <w:rPr>
          <w:i/>
          <w:iCs/>
          <w:sz w:val="20"/>
          <w:szCs w:val="20"/>
        </w:rPr>
        <w:t>Nr. </w:t>
      </w:r>
      <w:r w:rsidRPr="009118AB">
        <w:rPr>
          <w:i/>
          <w:iCs/>
          <w:sz w:val="20"/>
          <w:szCs w:val="20"/>
        </w:rPr>
        <w:t>2 des G. vom 27. Dezember 2005 (I) (B.S. vom 30. Dezember 2005)</w:t>
      </w:r>
      <w:r w:rsidR="00D67EB8" w:rsidRPr="009118AB">
        <w:rPr>
          <w:i/>
          <w:iCs/>
          <w:sz w:val="20"/>
          <w:szCs w:val="20"/>
        </w:rPr>
        <w:t> - </w:t>
      </w:r>
      <w:r w:rsidRPr="009118AB">
        <w:rPr>
          <w:i/>
          <w:iCs/>
          <w:sz w:val="20"/>
          <w:szCs w:val="20"/>
        </w:rPr>
        <w:t>in Kraft ab dem Steuerjahr 2007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einleitende Bestimmung ersetzt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6</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4 eingefügt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3 des G. vom 25. Dezember 2017 (III) (B.S. vom 29. Dezember 201)7</w:t>
      </w:r>
      <w:r w:rsidR="00D67EB8" w:rsidRPr="009118AB">
        <w:rPr>
          <w:i/>
          <w:iCs/>
          <w:sz w:val="20"/>
          <w:szCs w:val="20"/>
        </w:rPr>
        <w:t> - </w:t>
      </w:r>
      <w:r w:rsidRPr="009118AB">
        <w:rPr>
          <w:i/>
          <w:iCs/>
          <w:sz w:val="20"/>
          <w:szCs w:val="20"/>
        </w:rPr>
        <w:t>in Kraft am 1. Januar 2018 und anwendbar ab dem Steuerjahr 2019, das sich auf einen Besteuerungszeitraum bezieht, der frühestens am 1. Januar 2018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3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ersetzt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4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einziger Absatz einleitende Bestimmung abgeändert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7</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4 ersetzt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8</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5 </w:t>
      </w:r>
      <w:r w:rsidR="00D67EB8" w:rsidRPr="009118AB">
        <w:rPr>
          <w:i/>
          <w:iCs/>
          <w:sz w:val="20"/>
          <w:szCs w:val="20"/>
        </w:rPr>
        <w:t>Abs. </w:t>
      </w:r>
      <w:r w:rsidRPr="009118AB">
        <w:rPr>
          <w:i/>
          <w:iCs/>
          <w:sz w:val="20"/>
          <w:szCs w:val="20"/>
        </w:rPr>
        <w:t xml:space="preserve">3 eingefügt durch </w:t>
      </w:r>
      <w:r w:rsidR="00D67EB8" w:rsidRPr="009118AB">
        <w:rPr>
          <w:i/>
          <w:iCs/>
          <w:sz w:val="20"/>
          <w:szCs w:val="20"/>
        </w:rPr>
        <w:t>Art. </w:t>
      </w:r>
      <w:r w:rsidRPr="009118AB">
        <w:rPr>
          <w:i/>
          <w:iCs/>
          <w:sz w:val="20"/>
          <w:szCs w:val="20"/>
        </w:rPr>
        <w:t>40</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bCs/>
          <w:i/>
          <w:sz w:val="20"/>
          <w:szCs w:val="20"/>
        </w:rPr>
        <w:t>anwendbar auf die ab dem 1. Januar 2012 zuerkannten Vorteile jeglicher Art</w:t>
      </w:r>
      <w:r w:rsidR="003366D9" w:rsidRPr="009118AB">
        <w:rPr>
          <w:bCs/>
          <w:i/>
          <w:sz w:val="20"/>
          <w:szCs w:val="20"/>
        </w:rPr>
        <w:t> -;</w:t>
      </w:r>
      <w:r w:rsidRPr="009118AB">
        <w:rPr>
          <w:bCs/>
          <w:i/>
          <w:sz w:val="20"/>
          <w:szCs w:val="20"/>
        </w:rPr>
        <w:t xml:space="preserve"> </w:t>
      </w:r>
      <w:r w:rsidR="00D67EB8" w:rsidRPr="009118AB">
        <w:rPr>
          <w:bCs/>
          <w:i/>
          <w:sz w:val="20"/>
          <w:szCs w:val="20"/>
        </w:rPr>
        <w:t>§ </w:t>
      </w:r>
      <w:r w:rsidRPr="009118AB">
        <w:rPr>
          <w:bCs/>
          <w:i/>
          <w:sz w:val="20"/>
          <w:szCs w:val="20"/>
        </w:rPr>
        <w:t xml:space="preserve">5 </w:t>
      </w:r>
      <w:r w:rsidR="006246F0" w:rsidRPr="009118AB">
        <w:rPr>
          <w:bCs/>
          <w:i/>
          <w:sz w:val="20"/>
          <w:szCs w:val="20"/>
        </w:rPr>
        <w:t xml:space="preserve">früherer </w:t>
      </w:r>
      <w:r w:rsidRPr="009118AB">
        <w:rPr>
          <w:bCs/>
          <w:i/>
          <w:sz w:val="20"/>
          <w:szCs w:val="20"/>
        </w:rPr>
        <w:t>Abs</w:t>
      </w:r>
      <w:r w:rsidR="006246F0" w:rsidRPr="009118AB">
        <w:rPr>
          <w:bCs/>
          <w:i/>
          <w:sz w:val="20"/>
          <w:szCs w:val="20"/>
        </w:rPr>
        <w:t>atz</w:t>
      </w:r>
      <w:r w:rsidRPr="009118AB">
        <w:rPr>
          <w:bCs/>
          <w:i/>
          <w:sz w:val="20"/>
          <w:szCs w:val="20"/>
        </w:rPr>
        <w:t xml:space="preserve"> 4 eingefügt durch </w:t>
      </w:r>
      <w:r w:rsidR="00D67EB8" w:rsidRPr="009118AB">
        <w:rPr>
          <w:bCs/>
          <w:i/>
          <w:sz w:val="20"/>
          <w:szCs w:val="20"/>
        </w:rPr>
        <w:t>Art. </w:t>
      </w:r>
      <w:r w:rsidRPr="009118AB">
        <w:rPr>
          <w:bCs/>
          <w:i/>
          <w:sz w:val="20"/>
          <w:szCs w:val="20"/>
        </w:rPr>
        <w:t>28 des G. vom 30. März 2018 (B.S. vom 7. Mai 2018)</w:t>
      </w:r>
      <w:r w:rsidR="00D67EB8" w:rsidRPr="009118AB">
        <w:rPr>
          <w:bCs/>
          <w:i/>
          <w:sz w:val="20"/>
          <w:szCs w:val="20"/>
        </w:rPr>
        <w:t> - </w:t>
      </w:r>
      <w:r w:rsidRPr="009118AB">
        <w:rPr>
          <w:bCs/>
          <w:i/>
          <w:sz w:val="20"/>
          <w:szCs w:val="20"/>
        </w:rPr>
        <w:t>in Kraft am 1. Januar 2018</w:t>
      </w:r>
      <w:r w:rsidR="00FD68E8" w:rsidRPr="009118AB">
        <w:rPr>
          <w:bCs/>
          <w:i/>
          <w:sz w:val="20"/>
          <w:szCs w:val="20"/>
        </w:rPr>
        <w:t> -,</w:t>
      </w:r>
      <w:r w:rsidR="006246F0" w:rsidRPr="009118AB">
        <w:rPr>
          <w:bCs/>
          <w:i/>
          <w:sz w:val="20"/>
          <w:szCs w:val="20"/>
        </w:rPr>
        <w:t xml:space="preserve"> selbst für nichtig erklärt durch</w:t>
      </w:r>
      <w:r w:rsidR="006246F0" w:rsidRPr="009118AB">
        <w:rPr>
          <w:bCs/>
          <w:i/>
          <w:iCs/>
          <w:sz w:val="20"/>
          <w:szCs w:val="20"/>
        </w:rPr>
        <w:t xml:space="preserve"> Entscheid </w:t>
      </w:r>
      <w:r w:rsidR="00D67EB8" w:rsidRPr="009118AB">
        <w:rPr>
          <w:bCs/>
          <w:i/>
          <w:iCs/>
          <w:sz w:val="20"/>
          <w:szCs w:val="20"/>
        </w:rPr>
        <w:t>Nr. </w:t>
      </w:r>
      <w:r w:rsidR="006246F0" w:rsidRPr="009118AB">
        <w:rPr>
          <w:bCs/>
          <w:i/>
          <w:iCs/>
          <w:sz w:val="20"/>
          <w:szCs w:val="20"/>
        </w:rPr>
        <w:t>11/2020 des Verfassungsgerichtshofes vom 23. Januar 2020 (B.S. vom 24. Februar 2020)</w:t>
      </w:r>
      <w:r w:rsidRPr="009118AB">
        <w:rPr>
          <w:i/>
          <w:iCs/>
          <w:sz w:val="20"/>
          <w:szCs w:val="20"/>
        </w:rPr>
        <w:t>]</w:t>
      </w:r>
      <w:r w:rsidRPr="009118AB">
        <w:rPr>
          <w:sz w:val="20"/>
          <w:szCs w:val="20"/>
        </w:rPr>
        <w:t>"</w:t>
      </w:r>
    </w:p>
    <w:p w14:paraId="2507D412" w14:textId="77777777" w:rsidR="00491A4D" w:rsidRPr="009118AB" w:rsidRDefault="00491A4D" w:rsidP="00491A4D">
      <w:pPr>
        <w:autoSpaceDE w:val="0"/>
        <w:autoSpaceDN w:val="0"/>
        <w:adjustRightInd w:val="0"/>
        <w:jc w:val="both"/>
        <w:rPr>
          <w:sz w:val="20"/>
          <w:szCs w:val="20"/>
        </w:rPr>
      </w:pPr>
    </w:p>
    <w:p w14:paraId="25FE04EF" w14:textId="7296725B" w:rsidR="00491A4D" w:rsidRPr="009118AB" w:rsidRDefault="00491A4D" w:rsidP="00390A33">
      <w:pPr>
        <w:autoSpaceDE w:val="0"/>
        <w:autoSpaceDN w:val="0"/>
        <w:adjustRightInd w:val="0"/>
        <w:jc w:val="both"/>
        <w:rPr>
          <w:sz w:val="20"/>
          <w:szCs w:val="20"/>
        </w:rPr>
      </w:pPr>
    </w:p>
    <w:p w14:paraId="7D9EF358" w14:textId="4965D8D8" w:rsidR="00491A4D" w:rsidRPr="009118AB" w:rsidRDefault="00491A4D" w:rsidP="00491A4D">
      <w:pPr>
        <w:autoSpaceDE w:val="0"/>
        <w:autoSpaceDN w:val="0"/>
        <w:adjustRightInd w:val="0"/>
        <w:jc w:val="both"/>
        <w:rPr>
          <w:sz w:val="20"/>
          <w:szCs w:val="20"/>
        </w:rPr>
      </w:pPr>
      <w:r w:rsidRPr="009118AB">
        <w:rPr>
          <w:sz w:val="20"/>
          <w:szCs w:val="20"/>
        </w:rPr>
        <w:t xml:space="preserve">Ab dem 1. Januar 2028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8 des G. vom 25. November 2021 (B.S. vom 3. Dezember 2021)) lautet </w:t>
      </w:r>
      <w:r w:rsidR="00D67EB8" w:rsidRPr="009118AB">
        <w:rPr>
          <w:sz w:val="20"/>
          <w:szCs w:val="20"/>
        </w:rPr>
        <w:t>Art. </w:t>
      </w:r>
      <w:r w:rsidRPr="009118AB">
        <w:rPr>
          <w:sz w:val="20"/>
          <w:szCs w:val="20"/>
        </w:rPr>
        <w:t>66 wie folgt:</w:t>
      </w:r>
    </w:p>
    <w:p w14:paraId="55EA82EF" w14:textId="77777777" w:rsidR="00491A4D" w:rsidRPr="009118AB" w:rsidRDefault="00491A4D" w:rsidP="00491A4D">
      <w:pPr>
        <w:autoSpaceDE w:val="0"/>
        <w:autoSpaceDN w:val="0"/>
        <w:adjustRightInd w:val="0"/>
        <w:jc w:val="both"/>
        <w:rPr>
          <w:sz w:val="20"/>
          <w:szCs w:val="20"/>
        </w:rPr>
      </w:pPr>
    </w:p>
    <w:p w14:paraId="20ADF05B" w14:textId="58D683D1" w:rsidR="00491A4D" w:rsidRPr="009118AB" w:rsidRDefault="00491A4D" w:rsidP="00491A4D">
      <w:pPr>
        <w:autoSpaceDE w:val="0"/>
        <w:autoSpaceDN w:val="0"/>
        <w:adjustRightInd w:val="0"/>
        <w:jc w:val="both"/>
        <w:rPr>
          <w:iCs/>
          <w:sz w:val="20"/>
          <w:szCs w:val="20"/>
        </w:rPr>
      </w:pPr>
      <w:r w:rsidRPr="009118AB">
        <w:rPr>
          <w:sz w:val="20"/>
          <w:szCs w:val="20"/>
        </w:rPr>
        <w:t>"</w:t>
      </w:r>
      <w:r w:rsidR="00D67EB8" w:rsidRPr="009118AB">
        <w:rPr>
          <w:sz w:val="20"/>
          <w:szCs w:val="20"/>
        </w:rPr>
        <w:t>Art. </w:t>
      </w:r>
      <w:r w:rsidRPr="009118AB">
        <w:rPr>
          <w:sz w:val="20"/>
          <w:szCs w:val="20"/>
        </w:rPr>
        <w:t>66</w:t>
      </w:r>
      <w:r w:rsidR="00D67EB8" w:rsidRPr="009118AB">
        <w:rPr>
          <w:sz w:val="20"/>
          <w:szCs w:val="20"/>
        </w:rPr>
        <w:t> - </w:t>
      </w:r>
      <w:r w:rsidRPr="009118AB">
        <w:rPr>
          <w:iCs/>
          <w:sz w:val="20"/>
          <w:szCs w:val="20"/>
        </w:rPr>
        <w:t>[</w:t>
      </w:r>
      <w:r w:rsidR="00D67EB8" w:rsidRPr="009118AB">
        <w:rPr>
          <w:iCs/>
          <w:sz w:val="20"/>
          <w:szCs w:val="20"/>
        </w:rPr>
        <w:t>§ </w:t>
      </w:r>
      <w:r w:rsidRPr="009118AB">
        <w:rPr>
          <w:iCs/>
          <w:sz w:val="20"/>
          <w:szCs w:val="20"/>
        </w:rPr>
        <w:t>1</w:t>
      </w:r>
      <w:r w:rsidR="00D67EB8" w:rsidRPr="009118AB">
        <w:rPr>
          <w:iCs/>
          <w:sz w:val="20"/>
          <w:szCs w:val="20"/>
        </w:rPr>
        <w:t> - </w:t>
      </w:r>
      <w:r w:rsidRPr="009118AB">
        <w:rPr>
          <w:iCs/>
          <w:sz w:val="20"/>
          <w:szCs w:val="20"/>
        </w:rPr>
        <w:t>[Werbungskosten in Bezug auf die Nutzung der in Artikel 65 erwähnten Fahrzeuge sind nicht abzugsfähig, es sei denn, es handelt sich um ein Fahrzeug, das kein CO</w:t>
      </w:r>
      <w:r w:rsidRPr="009118AB">
        <w:rPr>
          <w:iCs/>
          <w:sz w:val="20"/>
          <w:szCs w:val="20"/>
          <w:vertAlign w:val="subscript"/>
        </w:rPr>
        <w:t>2</w:t>
      </w:r>
      <w:r w:rsidRPr="009118AB">
        <w:rPr>
          <w:iCs/>
          <w:sz w:val="20"/>
          <w:szCs w:val="20"/>
        </w:rPr>
        <w:t xml:space="preserve"> ausstößt[; stößt das Fahrzeug kein CO</w:t>
      </w:r>
      <w:r w:rsidRPr="009118AB">
        <w:rPr>
          <w:iCs/>
          <w:sz w:val="20"/>
          <w:szCs w:val="20"/>
          <w:vertAlign w:val="subscript"/>
        </w:rPr>
        <w:t>2</w:t>
      </w:r>
      <w:r w:rsidRPr="009118AB">
        <w:rPr>
          <w:iCs/>
          <w:sz w:val="20"/>
          <w:szCs w:val="20"/>
        </w:rPr>
        <w:t xml:space="preserve"> aus, wird der abzugsfähige Satz festgesetzt auf:</w:t>
      </w:r>
    </w:p>
    <w:p w14:paraId="4BEA8B41" w14:textId="77777777" w:rsidR="00491A4D" w:rsidRPr="009118AB" w:rsidRDefault="00491A4D" w:rsidP="00491A4D">
      <w:pPr>
        <w:autoSpaceDE w:val="0"/>
        <w:autoSpaceDN w:val="0"/>
        <w:adjustRightInd w:val="0"/>
        <w:jc w:val="both"/>
        <w:rPr>
          <w:iCs/>
          <w:sz w:val="20"/>
          <w:szCs w:val="20"/>
        </w:rPr>
      </w:pPr>
    </w:p>
    <w:p w14:paraId="7FED1F4A" w14:textId="77777777" w:rsidR="00491A4D" w:rsidRPr="009118AB" w:rsidRDefault="00491A4D" w:rsidP="00491A4D">
      <w:pPr>
        <w:autoSpaceDE w:val="0"/>
        <w:autoSpaceDN w:val="0"/>
        <w:adjustRightInd w:val="0"/>
        <w:jc w:val="both"/>
        <w:rPr>
          <w:iCs/>
          <w:sz w:val="20"/>
          <w:szCs w:val="20"/>
        </w:rPr>
      </w:pPr>
      <w:r w:rsidRPr="009118AB">
        <w:rPr>
          <w:iCs/>
          <w:sz w:val="20"/>
          <w:szCs w:val="20"/>
        </w:rPr>
        <w:t>- 100 Prozent, wenn es sich um ein vor dem 1. Januar 2027 gekauftes, geleastes oder gemietetes Fahrzeug handelt,</w:t>
      </w:r>
    </w:p>
    <w:p w14:paraId="46D6628D" w14:textId="77777777" w:rsidR="00491A4D" w:rsidRPr="009118AB" w:rsidRDefault="00491A4D" w:rsidP="00491A4D">
      <w:pPr>
        <w:autoSpaceDE w:val="0"/>
        <w:autoSpaceDN w:val="0"/>
        <w:adjustRightInd w:val="0"/>
        <w:jc w:val="both"/>
        <w:rPr>
          <w:iCs/>
          <w:sz w:val="20"/>
          <w:szCs w:val="20"/>
        </w:rPr>
      </w:pPr>
    </w:p>
    <w:p w14:paraId="298FA10D" w14:textId="2284F485" w:rsidR="00491A4D" w:rsidRPr="009118AB" w:rsidRDefault="00491A4D" w:rsidP="00491A4D">
      <w:pPr>
        <w:autoSpaceDE w:val="0"/>
        <w:autoSpaceDN w:val="0"/>
        <w:adjustRightInd w:val="0"/>
        <w:jc w:val="both"/>
        <w:rPr>
          <w:iCs/>
          <w:sz w:val="20"/>
          <w:szCs w:val="20"/>
        </w:rPr>
      </w:pPr>
      <w:r w:rsidRPr="009118AB">
        <w:rPr>
          <w:iCs/>
          <w:sz w:val="20"/>
          <w:szCs w:val="20"/>
        </w:rPr>
        <w:t>- 95 Prozent, wenn es sich um ein 2027 gekauftes, geleastes oder gemietetes Fahrzeug handelt],]</w:t>
      </w:r>
    </w:p>
    <w:p w14:paraId="61A56230" w14:textId="20B4BD68" w:rsidR="00491A4D" w:rsidRPr="009118AB" w:rsidRDefault="00491A4D" w:rsidP="00491A4D">
      <w:pPr>
        <w:autoSpaceDE w:val="0"/>
        <w:autoSpaceDN w:val="0"/>
        <w:adjustRightInd w:val="0"/>
        <w:jc w:val="both"/>
        <w:rPr>
          <w:iCs/>
          <w:sz w:val="20"/>
          <w:szCs w:val="20"/>
        </w:rPr>
      </w:pPr>
    </w:p>
    <w:p w14:paraId="50D2FCD2" w14:textId="45CC4FBF" w:rsidR="00491A4D" w:rsidRPr="009118AB" w:rsidRDefault="00491A4D" w:rsidP="00491A4D">
      <w:pPr>
        <w:autoSpaceDE w:val="0"/>
        <w:autoSpaceDN w:val="0"/>
        <w:adjustRightInd w:val="0"/>
        <w:jc w:val="both"/>
        <w:rPr>
          <w:iCs/>
          <w:sz w:val="20"/>
          <w:szCs w:val="20"/>
        </w:rPr>
      </w:pPr>
      <w:r w:rsidRPr="009118AB">
        <w:rPr>
          <w:iCs/>
          <w:sz w:val="20"/>
          <w:szCs w:val="20"/>
        </w:rPr>
        <w:t>[- 90 Prozent, wenn es sich um ein 2028 gekauftes, geleastes oder gemietetes Fahrzeug handelt.]</w:t>
      </w:r>
    </w:p>
    <w:p w14:paraId="062243CC" w14:textId="77777777" w:rsidR="00491A4D" w:rsidRPr="009118AB" w:rsidRDefault="00491A4D" w:rsidP="00491A4D">
      <w:pPr>
        <w:autoSpaceDE w:val="0"/>
        <w:autoSpaceDN w:val="0"/>
        <w:adjustRightInd w:val="0"/>
        <w:jc w:val="both"/>
        <w:rPr>
          <w:iCs/>
          <w:sz w:val="20"/>
          <w:szCs w:val="20"/>
        </w:rPr>
      </w:pPr>
    </w:p>
    <w:p w14:paraId="6B8F94F1" w14:textId="6414F260" w:rsidR="00491A4D" w:rsidRPr="009118AB" w:rsidRDefault="00D67EB8" w:rsidP="00491A4D">
      <w:pPr>
        <w:autoSpaceDE w:val="0"/>
        <w:autoSpaceDN w:val="0"/>
        <w:adjustRightInd w:val="0"/>
        <w:jc w:val="both"/>
        <w:rPr>
          <w:iCs/>
          <w:sz w:val="20"/>
          <w:szCs w:val="20"/>
        </w:rPr>
      </w:pPr>
      <w:r w:rsidRPr="009118AB">
        <w:rPr>
          <w:iCs/>
          <w:sz w:val="20"/>
          <w:szCs w:val="20"/>
        </w:rPr>
        <w:t>§ </w:t>
      </w:r>
      <w:r w:rsidR="00491A4D" w:rsidRPr="009118AB">
        <w:rPr>
          <w:iCs/>
          <w:sz w:val="20"/>
          <w:szCs w:val="20"/>
        </w:rPr>
        <w:t>2</w:t>
      </w:r>
      <w:r w:rsidRPr="009118AB">
        <w:rPr>
          <w:iCs/>
          <w:sz w:val="20"/>
          <w:szCs w:val="20"/>
        </w:rPr>
        <w:t> - </w:t>
      </w:r>
      <w:r w:rsidR="00491A4D" w:rsidRPr="009118AB">
        <w:rPr>
          <w:iCs/>
          <w:sz w:val="20"/>
          <w:szCs w:val="20"/>
        </w:rPr>
        <w:t>[[Paragraph 1 und Artikel 550 sind nicht anwendbar]:</w:t>
      </w:r>
    </w:p>
    <w:p w14:paraId="7E51C55A" w14:textId="77777777" w:rsidR="00491A4D" w:rsidRPr="009118AB" w:rsidRDefault="00491A4D" w:rsidP="00491A4D">
      <w:pPr>
        <w:autoSpaceDE w:val="0"/>
        <w:autoSpaceDN w:val="0"/>
        <w:adjustRightInd w:val="0"/>
        <w:jc w:val="both"/>
        <w:rPr>
          <w:iCs/>
          <w:sz w:val="20"/>
          <w:szCs w:val="20"/>
        </w:rPr>
      </w:pPr>
    </w:p>
    <w:p w14:paraId="220D0BCD" w14:textId="77777777" w:rsidR="00491A4D" w:rsidRPr="009118AB" w:rsidRDefault="00491A4D" w:rsidP="00491A4D">
      <w:pPr>
        <w:autoSpaceDE w:val="0"/>
        <w:autoSpaceDN w:val="0"/>
        <w:adjustRightInd w:val="0"/>
        <w:jc w:val="both"/>
        <w:rPr>
          <w:iCs/>
          <w:sz w:val="20"/>
          <w:szCs w:val="20"/>
        </w:rPr>
      </w:pPr>
      <w:r w:rsidRPr="009118AB">
        <w:rPr>
          <w:iCs/>
          <w:sz w:val="20"/>
          <w:szCs w:val="20"/>
        </w:rPr>
        <w:t>1. auf Fahrzeuge, die ausschließlich für einen Taxidienst oder die Vermietung mit Fahrer genutzt werden und aus diesem Grund nicht der Verkehrssteuer auf Kraftfahrzeuge unterliegen,</w:t>
      </w:r>
    </w:p>
    <w:p w14:paraId="698A85EC" w14:textId="77777777" w:rsidR="00491A4D" w:rsidRPr="009118AB" w:rsidRDefault="00491A4D" w:rsidP="00491A4D">
      <w:pPr>
        <w:autoSpaceDE w:val="0"/>
        <w:autoSpaceDN w:val="0"/>
        <w:adjustRightInd w:val="0"/>
        <w:jc w:val="both"/>
        <w:rPr>
          <w:iCs/>
          <w:sz w:val="20"/>
          <w:szCs w:val="20"/>
        </w:rPr>
      </w:pPr>
    </w:p>
    <w:p w14:paraId="02408F65" w14:textId="77777777" w:rsidR="00491A4D" w:rsidRPr="009118AB" w:rsidRDefault="00491A4D" w:rsidP="00491A4D">
      <w:pPr>
        <w:autoSpaceDE w:val="0"/>
        <w:autoSpaceDN w:val="0"/>
        <w:adjustRightInd w:val="0"/>
        <w:jc w:val="both"/>
        <w:rPr>
          <w:iCs/>
          <w:sz w:val="20"/>
          <w:szCs w:val="20"/>
        </w:rPr>
      </w:pPr>
      <w:r w:rsidRPr="009118AB">
        <w:rPr>
          <w:iCs/>
          <w:sz w:val="20"/>
          <w:szCs w:val="20"/>
        </w:rPr>
        <w:t>2. auf Fahrzeuge, die ausschließlich für den praktischen Unterricht in zugelassenen Fahrschulen genutzt werden und zu diesem Zweck eigens ausgerüstet sind,</w:t>
      </w:r>
    </w:p>
    <w:p w14:paraId="01C9D54F" w14:textId="77777777" w:rsidR="00491A4D" w:rsidRPr="009118AB" w:rsidRDefault="00491A4D" w:rsidP="00491A4D">
      <w:pPr>
        <w:autoSpaceDE w:val="0"/>
        <w:autoSpaceDN w:val="0"/>
        <w:adjustRightInd w:val="0"/>
        <w:jc w:val="both"/>
        <w:rPr>
          <w:iCs/>
          <w:sz w:val="20"/>
          <w:szCs w:val="20"/>
        </w:rPr>
      </w:pPr>
    </w:p>
    <w:p w14:paraId="3708F358" w14:textId="77777777" w:rsidR="00491A4D" w:rsidRPr="009118AB" w:rsidRDefault="00491A4D" w:rsidP="00491A4D">
      <w:pPr>
        <w:autoSpaceDE w:val="0"/>
        <w:autoSpaceDN w:val="0"/>
        <w:adjustRightInd w:val="0"/>
        <w:jc w:val="both"/>
        <w:rPr>
          <w:iCs/>
          <w:sz w:val="20"/>
          <w:szCs w:val="20"/>
        </w:rPr>
      </w:pPr>
      <w:r w:rsidRPr="009118AB">
        <w:rPr>
          <w:iCs/>
          <w:sz w:val="20"/>
          <w:szCs w:val="20"/>
        </w:rPr>
        <w:t>3. auf Fahrzeuge, die ausschließlich an Dritte vermietet werden,]</w:t>
      </w:r>
    </w:p>
    <w:p w14:paraId="6D6C57EB" w14:textId="77777777" w:rsidR="00491A4D" w:rsidRPr="009118AB" w:rsidRDefault="00491A4D" w:rsidP="00491A4D">
      <w:pPr>
        <w:autoSpaceDE w:val="0"/>
        <w:autoSpaceDN w:val="0"/>
        <w:adjustRightInd w:val="0"/>
        <w:jc w:val="both"/>
        <w:rPr>
          <w:iCs/>
          <w:sz w:val="20"/>
          <w:szCs w:val="20"/>
        </w:rPr>
      </w:pPr>
    </w:p>
    <w:p w14:paraId="7075CC94" w14:textId="77777777" w:rsidR="00491A4D" w:rsidRPr="009118AB" w:rsidRDefault="00491A4D" w:rsidP="00491A4D">
      <w:pPr>
        <w:autoSpaceDE w:val="0"/>
        <w:autoSpaceDN w:val="0"/>
        <w:adjustRightInd w:val="0"/>
        <w:jc w:val="both"/>
        <w:rPr>
          <w:iCs/>
          <w:sz w:val="20"/>
          <w:szCs w:val="20"/>
        </w:rPr>
      </w:pPr>
      <w:r w:rsidRPr="009118AB">
        <w:rPr>
          <w:iCs/>
          <w:sz w:val="20"/>
          <w:szCs w:val="20"/>
        </w:rPr>
        <w:t>[</w:t>
      </w:r>
      <w:r w:rsidRPr="009118AB">
        <w:rPr>
          <w:sz w:val="20"/>
          <w:szCs w:val="20"/>
        </w:rPr>
        <w:t>4. auf Kosten, die auf Dritte abgewälzt werden, vorausgesetzt, diese Kosten sind ausdrücklich und separat auf der Rechnung vermerkt,</w:t>
      </w:r>
      <w:r w:rsidRPr="009118AB">
        <w:rPr>
          <w:iCs/>
          <w:sz w:val="20"/>
          <w:szCs w:val="20"/>
        </w:rPr>
        <w:t>]</w:t>
      </w:r>
    </w:p>
    <w:p w14:paraId="72362D7E" w14:textId="77777777" w:rsidR="00491A4D" w:rsidRPr="009118AB" w:rsidRDefault="00491A4D" w:rsidP="00491A4D">
      <w:pPr>
        <w:autoSpaceDE w:val="0"/>
        <w:autoSpaceDN w:val="0"/>
        <w:adjustRightInd w:val="0"/>
        <w:jc w:val="both"/>
        <w:rPr>
          <w:iCs/>
          <w:sz w:val="20"/>
          <w:szCs w:val="20"/>
        </w:rPr>
      </w:pPr>
    </w:p>
    <w:p w14:paraId="237C31FD" w14:textId="77777777" w:rsidR="00491A4D" w:rsidRPr="009118AB" w:rsidRDefault="00491A4D" w:rsidP="00491A4D">
      <w:pPr>
        <w:autoSpaceDE w:val="0"/>
        <w:autoSpaceDN w:val="0"/>
        <w:adjustRightInd w:val="0"/>
        <w:jc w:val="both"/>
        <w:rPr>
          <w:iCs/>
          <w:sz w:val="20"/>
          <w:szCs w:val="20"/>
        </w:rPr>
      </w:pPr>
      <w:r w:rsidRPr="009118AB">
        <w:rPr>
          <w:iCs/>
          <w:sz w:val="20"/>
          <w:szCs w:val="20"/>
        </w:rPr>
        <w:t>[</w:t>
      </w:r>
      <w:r w:rsidRPr="009118AB">
        <w:rPr>
          <w:sz w:val="20"/>
          <w:szCs w:val="20"/>
        </w:rPr>
        <w:t>5. auf Kosten in Bezug auf Ladestationen für Elektrofahrzeuge.]</w:t>
      </w:r>
    </w:p>
    <w:p w14:paraId="6E966A15" w14:textId="77777777" w:rsidR="00491A4D" w:rsidRPr="009118AB" w:rsidRDefault="00491A4D" w:rsidP="00491A4D">
      <w:pPr>
        <w:autoSpaceDE w:val="0"/>
        <w:autoSpaceDN w:val="0"/>
        <w:adjustRightInd w:val="0"/>
        <w:jc w:val="both"/>
        <w:rPr>
          <w:iCs/>
          <w:sz w:val="20"/>
          <w:szCs w:val="20"/>
        </w:rPr>
      </w:pPr>
    </w:p>
    <w:p w14:paraId="1B70AA28" w14:textId="1952FDAC" w:rsidR="00491A4D" w:rsidRPr="009118AB" w:rsidRDefault="00D67EB8" w:rsidP="00491A4D">
      <w:pPr>
        <w:autoSpaceDE w:val="0"/>
        <w:autoSpaceDN w:val="0"/>
        <w:adjustRightInd w:val="0"/>
        <w:jc w:val="both"/>
        <w:rPr>
          <w:sz w:val="20"/>
          <w:szCs w:val="20"/>
        </w:rPr>
      </w:pPr>
      <w:r w:rsidRPr="009118AB">
        <w:rPr>
          <w:iCs/>
          <w:sz w:val="20"/>
          <w:szCs w:val="20"/>
        </w:rPr>
        <w:t>§ </w:t>
      </w:r>
      <w:r w:rsidR="00491A4D" w:rsidRPr="009118AB">
        <w:rPr>
          <w:iCs/>
          <w:sz w:val="20"/>
          <w:szCs w:val="20"/>
        </w:rPr>
        <w:t>3</w:t>
      </w:r>
      <w:r w:rsidRPr="009118AB">
        <w:rPr>
          <w:iCs/>
          <w:sz w:val="20"/>
          <w:szCs w:val="20"/>
        </w:rPr>
        <w:t> - </w:t>
      </w:r>
      <w:r w:rsidR="00491A4D" w:rsidRPr="009118AB">
        <w:rPr>
          <w:iCs/>
          <w:sz w:val="20"/>
          <w:szCs w:val="20"/>
        </w:rPr>
        <w:t>[[</w:t>
      </w:r>
      <w:r w:rsidR="00491A4D" w:rsidRPr="009118AB">
        <w:rPr>
          <w:sz w:val="20"/>
          <w:szCs w:val="20"/>
        </w:rPr>
        <w:t xml:space="preserve">In </w:t>
      </w:r>
      <w:r w:rsidRPr="009118AB">
        <w:rPr>
          <w:sz w:val="20"/>
          <w:szCs w:val="20"/>
        </w:rPr>
        <w:t>§ </w:t>
      </w:r>
      <w:r w:rsidR="00491A4D" w:rsidRPr="009118AB">
        <w:rPr>
          <w:sz w:val="20"/>
          <w:szCs w:val="20"/>
        </w:rPr>
        <w:t>1 und in Artikel 550] erwähnte Werbungskosten umfassen:</w:t>
      </w:r>
    </w:p>
    <w:p w14:paraId="4C3C8431" w14:textId="77777777" w:rsidR="00491A4D" w:rsidRPr="009118AB" w:rsidRDefault="00491A4D" w:rsidP="00491A4D">
      <w:pPr>
        <w:autoSpaceDE w:val="0"/>
        <w:autoSpaceDN w:val="0"/>
        <w:adjustRightInd w:val="0"/>
        <w:jc w:val="both"/>
        <w:rPr>
          <w:sz w:val="20"/>
          <w:szCs w:val="20"/>
        </w:rPr>
      </w:pPr>
    </w:p>
    <w:p w14:paraId="48A82677" w14:textId="34A6F27D" w:rsidR="00491A4D" w:rsidRPr="009118AB" w:rsidRDefault="00491A4D" w:rsidP="00491A4D">
      <w:pPr>
        <w:autoSpaceDE w:val="0"/>
        <w:autoSpaceDN w:val="0"/>
        <w:adjustRightInd w:val="0"/>
        <w:jc w:val="both"/>
        <w:rPr>
          <w:sz w:val="20"/>
          <w:szCs w:val="20"/>
        </w:rPr>
      </w:pPr>
      <w:r w:rsidRPr="009118AB">
        <w:rPr>
          <w:sz w:val="20"/>
          <w:szCs w:val="20"/>
        </w:rPr>
        <w:t xml:space="preserve">1. Kosten in Bezug auf die in </w:t>
      </w:r>
      <w:r w:rsidR="00D67EB8" w:rsidRPr="009118AB">
        <w:rPr>
          <w:sz w:val="20"/>
          <w:szCs w:val="20"/>
        </w:rPr>
        <w:t>§ </w:t>
      </w:r>
      <w:r w:rsidRPr="009118AB">
        <w:rPr>
          <w:sz w:val="20"/>
          <w:szCs w:val="20"/>
        </w:rPr>
        <w:t xml:space="preserve">2 </w:t>
      </w:r>
      <w:r w:rsidR="00D67EB8" w:rsidRPr="009118AB">
        <w:rPr>
          <w:sz w:val="20"/>
          <w:szCs w:val="20"/>
        </w:rPr>
        <w:t>Nr. </w:t>
      </w:r>
      <w:r w:rsidRPr="009118AB">
        <w:rPr>
          <w:sz w:val="20"/>
          <w:szCs w:val="20"/>
        </w:rPr>
        <w:t>1 und 3 erwähnten einem Dritten gehörenden Fahrzeuge, die vom Endnutzer dieser Fahrzeuge gemacht werden,</w:t>
      </w:r>
    </w:p>
    <w:p w14:paraId="75D874D3" w14:textId="77777777" w:rsidR="00491A4D" w:rsidRPr="009118AB" w:rsidRDefault="00491A4D" w:rsidP="00491A4D">
      <w:pPr>
        <w:autoSpaceDE w:val="0"/>
        <w:autoSpaceDN w:val="0"/>
        <w:adjustRightInd w:val="0"/>
        <w:jc w:val="both"/>
        <w:rPr>
          <w:sz w:val="20"/>
          <w:szCs w:val="20"/>
        </w:rPr>
      </w:pPr>
    </w:p>
    <w:p w14:paraId="0C06BB71" w14:textId="77777777" w:rsidR="00491A4D" w:rsidRPr="009118AB" w:rsidRDefault="00491A4D" w:rsidP="00491A4D">
      <w:pPr>
        <w:autoSpaceDE w:val="0"/>
        <w:autoSpaceDN w:val="0"/>
        <w:adjustRightInd w:val="0"/>
        <w:jc w:val="both"/>
        <w:rPr>
          <w:sz w:val="20"/>
          <w:szCs w:val="20"/>
        </w:rPr>
      </w:pPr>
      <w:r w:rsidRPr="009118AB">
        <w:rPr>
          <w:sz w:val="20"/>
          <w:szCs w:val="20"/>
        </w:rPr>
        <w:t>2. den Betrag der in vorliegendem Artikel erwähnten Kosten, die Dritten zurückgezahlt werden,</w:t>
      </w:r>
    </w:p>
    <w:p w14:paraId="79518A08" w14:textId="77777777" w:rsidR="00491A4D" w:rsidRPr="009118AB" w:rsidRDefault="00491A4D" w:rsidP="00491A4D">
      <w:pPr>
        <w:autoSpaceDE w:val="0"/>
        <w:autoSpaceDN w:val="0"/>
        <w:adjustRightInd w:val="0"/>
        <w:jc w:val="both"/>
        <w:rPr>
          <w:sz w:val="20"/>
          <w:szCs w:val="20"/>
        </w:rPr>
      </w:pPr>
    </w:p>
    <w:p w14:paraId="482946A6" w14:textId="77777777" w:rsidR="00491A4D" w:rsidRPr="009118AB" w:rsidRDefault="00491A4D" w:rsidP="00491A4D">
      <w:pPr>
        <w:autoSpaceDE w:val="0"/>
        <w:autoSpaceDN w:val="0"/>
        <w:adjustRightInd w:val="0"/>
        <w:jc w:val="both"/>
        <w:rPr>
          <w:iCs/>
          <w:sz w:val="20"/>
          <w:szCs w:val="20"/>
        </w:rPr>
      </w:pPr>
      <w:r w:rsidRPr="009118AB">
        <w:rPr>
          <w:sz w:val="20"/>
          <w:szCs w:val="20"/>
        </w:rPr>
        <w:lastRenderedPageBreak/>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118AB">
        <w:rPr>
          <w:iCs/>
          <w:sz w:val="20"/>
          <w:szCs w:val="20"/>
        </w:rPr>
        <w:t>]</w:t>
      </w:r>
    </w:p>
    <w:p w14:paraId="72881DF3" w14:textId="77777777" w:rsidR="00491A4D" w:rsidRPr="009118AB" w:rsidRDefault="00491A4D" w:rsidP="00491A4D">
      <w:pPr>
        <w:autoSpaceDE w:val="0"/>
        <w:autoSpaceDN w:val="0"/>
        <w:adjustRightInd w:val="0"/>
        <w:jc w:val="both"/>
        <w:rPr>
          <w:iCs/>
          <w:sz w:val="20"/>
          <w:szCs w:val="20"/>
        </w:rPr>
      </w:pPr>
    </w:p>
    <w:p w14:paraId="6AF1F6B3" w14:textId="17D40BE3" w:rsidR="00491A4D" w:rsidRPr="009118AB" w:rsidRDefault="00D67EB8" w:rsidP="00491A4D">
      <w:pPr>
        <w:autoSpaceDE w:val="0"/>
        <w:autoSpaceDN w:val="0"/>
        <w:adjustRightInd w:val="0"/>
        <w:jc w:val="both"/>
        <w:rPr>
          <w:iCs/>
          <w:sz w:val="20"/>
          <w:szCs w:val="20"/>
        </w:rPr>
      </w:pPr>
      <w:r w:rsidRPr="009118AB">
        <w:rPr>
          <w:iCs/>
          <w:sz w:val="20"/>
          <w:szCs w:val="20"/>
        </w:rPr>
        <w:t>§ </w:t>
      </w:r>
      <w:r w:rsidR="00491A4D" w:rsidRPr="009118AB">
        <w:rPr>
          <w:iCs/>
          <w:sz w:val="20"/>
          <w:szCs w:val="20"/>
        </w:rPr>
        <w:t>4</w:t>
      </w:r>
      <w:r w:rsidRPr="009118AB">
        <w:rPr>
          <w:iCs/>
          <w:sz w:val="20"/>
          <w:szCs w:val="20"/>
        </w:rPr>
        <w:t> - </w:t>
      </w:r>
      <w:r w:rsidR="00491A4D" w:rsidRPr="009118AB">
        <w:rPr>
          <w:iCs/>
          <w:sz w:val="20"/>
          <w:szCs w:val="20"/>
        </w:rPr>
        <w:t xml:space="preserve">[In Abweichung von </w:t>
      </w:r>
      <w:r w:rsidRPr="009118AB">
        <w:rPr>
          <w:iCs/>
          <w:sz w:val="20"/>
          <w:szCs w:val="20"/>
        </w:rPr>
        <w:t>§ </w:t>
      </w:r>
      <w:r w:rsidR="00491A4D" w:rsidRPr="009118AB">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118AB">
        <w:rPr>
          <w:iCs/>
          <w:sz w:val="20"/>
          <w:szCs w:val="20"/>
        </w:rPr>
        <w:t>§ </w:t>
      </w:r>
      <w:r w:rsidR="00491A4D" w:rsidRPr="009118AB">
        <w:rPr>
          <w:iCs/>
          <w:sz w:val="20"/>
          <w:szCs w:val="20"/>
        </w:rPr>
        <w:t xml:space="preserve">1 </w:t>
      </w:r>
      <w:r w:rsidRPr="009118AB">
        <w:rPr>
          <w:iCs/>
          <w:sz w:val="20"/>
          <w:szCs w:val="20"/>
        </w:rPr>
        <w:t>Nr. </w:t>
      </w:r>
      <w:r w:rsidR="00491A4D" w:rsidRPr="009118AB">
        <w:rPr>
          <w:iCs/>
          <w:sz w:val="20"/>
          <w:szCs w:val="20"/>
        </w:rPr>
        <w:t xml:space="preserve">3 des Gesetzbuches der den Einkommensteuern gleichgesetzten Steuern nicht der Verkehrssteuer unterliegen, noch auf Fahrzeuge, deren Werbungskosten gemäß </w:t>
      </w:r>
      <w:r w:rsidRPr="009118AB">
        <w:rPr>
          <w:iCs/>
          <w:sz w:val="20"/>
          <w:szCs w:val="20"/>
        </w:rPr>
        <w:t>§ </w:t>
      </w:r>
      <w:r w:rsidR="00491A4D" w:rsidRPr="009118AB">
        <w:rPr>
          <w:iCs/>
          <w:sz w:val="20"/>
          <w:szCs w:val="20"/>
        </w:rPr>
        <w:t>1 nicht abzugsfähig sind.]</w:t>
      </w:r>
    </w:p>
    <w:p w14:paraId="5F9221F1" w14:textId="77777777" w:rsidR="00491A4D" w:rsidRPr="009118AB" w:rsidRDefault="00491A4D" w:rsidP="00491A4D">
      <w:pPr>
        <w:autoSpaceDE w:val="0"/>
        <w:autoSpaceDN w:val="0"/>
        <w:adjustRightInd w:val="0"/>
        <w:jc w:val="both"/>
        <w:rPr>
          <w:iCs/>
          <w:sz w:val="20"/>
          <w:szCs w:val="20"/>
        </w:rPr>
      </w:pPr>
    </w:p>
    <w:p w14:paraId="042D1091" w14:textId="62F475F1" w:rsidR="00491A4D" w:rsidRPr="009118AB" w:rsidRDefault="00D67EB8" w:rsidP="00491A4D">
      <w:pPr>
        <w:autoSpaceDE w:val="0"/>
        <w:autoSpaceDN w:val="0"/>
        <w:adjustRightInd w:val="0"/>
        <w:jc w:val="both"/>
        <w:rPr>
          <w:iCs/>
          <w:sz w:val="20"/>
          <w:szCs w:val="20"/>
        </w:rPr>
      </w:pPr>
      <w:r w:rsidRPr="009118AB">
        <w:rPr>
          <w:iCs/>
          <w:sz w:val="20"/>
          <w:szCs w:val="20"/>
        </w:rPr>
        <w:t>§ </w:t>
      </w:r>
      <w:r w:rsidR="00491A4D" w:rsidRPr="009118AB">
        <w:rPr>
          <w:iCs/>
          <w:sz w:val="20"/>
          <w:szCs w:val="20"/>
        </w:rPr>
        <w:t>5</w:t>
      </w:r>
      <w:r w:rsidRPr="009118AB">
        <w:rPr>
          <w:iCs/>
          <w:sz w:val="20"/>
          <w:szCs w:val="20"/>
        </w:rPr>
        <w:t> - </w:t>
      </w:r>
      <w:r w:rsidR="00491A4D" w:rsidRPr="009118AB">
        <w:rPr>
          <w:iCs/>
          <w:sz w:val="20"/>
          <w:szCs w:val="20"/>
        </w:rPr>
        <w:t xml:space="preserve">Der in </w:t>
      </w:r>
      <w:r w:rsidRPr="009118AB">
        <w:rPr>
          <w:iCs/>
          <w:sz w:val="20"/>
          <w:szCs w:val="20"/>
        </w:rPr>
        <w:t>§ </w:t>
      </w:r>
      <w:r w:rsidR="00491A4D" w:rsidRPr="009118AB">
        <w:rPr>
          <w:iCs/>
          <w:sz w:val="20"/>
          <w:szCs w:val="20"/>
        </w:rPr>
        <w:t>4 festgelegte Pauschalbetrag darf dem Steuerpflichtigen ausschließlich bewilligt werden, wenn das betreffende Fahrzeug:</w:t>
      </w:r>
    </w:p>
    <w:p w14:paraId="4FE1415F" w14:textId="77777777" w:rsidR="00491A4D" w:rsidRPr="009118AB" w:rsidRDefault="00491A4D" w:rsidP="00491A4D">
      <w:pPr>
        <w:autoSpaceDE w:val="0"/>
        <w:autoSpaceDN w:val="0"/>
        <w:adjustRightInd w:val="0"/>
        <w:jc w:val="both"/>
        <w:rPr>
          <w:iCs/>
          <w:sz w:val="20"/>
          <w:szCs w:val="20"/>
        </w:rPr>
      </w:pPr>
    </w:p>
    <w:p w14:paraId="0F95CA48" w14:textId="77777777" w:rsidR="00491A4D" w:rsidRPr="009118AB" w:rsidRDefault="00491A4D" w:rsidP="00491A4D">
      <w:pPr>
        <w:autoSpaceDE w:val="0"/>
        <w:autoSpaceDN w:val="0"/>
        <w:adjustRightInd w:val="0"/>
        <w:jc w:val="both"/>
        <w:rPr>
          <w:iCs/>
          <w:sz w:val="20"/>
          <w:szCs w:val="20"/>
        </w:rPr>
      </w:pPr>
      <w:r w:rsidRPr="009118AB">
        <w:rPr>
          <w:iCs/>
          <w:sz w:val="20"/>
          <w:szCs w:val="20"/>
        </w:rPr>
        <w:t>1. entweder sein Eigentum ist</w:t>
      </w:r>
    </w:p>
    <w:p w14:paraId="007DEDCC" w14:textId="77777777" w:rsidR="00491A4D" w:rsidRPr="009118AB" w:rsidRDefault="00491A4D" w:rsidP="00491A4D">
      <w:pPr>
        <w:autoSpaceDE w:val="0"/>
        <w:autoSpaceDN w:val="0"/>
        <w:adjustRightInd w:val="0"/>
        <w:jc w:val="both"/>
        <w:rPr>
          <w:iCs/>
          <w:sz w:val="20"/>
          <w:szCs w:val="20"/>
        </w:rPr>
      </w:pPr>
    </w:p>
    <w:p w14:paraId="7A186314" w14:textId="77777777" w:rsidR="00491A4D" w:rsidRPr="009118AB" w:rsidRDefault="00491A4D" w:rsidP="00491A4D">
      <w:pPr>
        <w:autoSpaceDE w:val="0"/>
        <w:autoSpaceDN w:val="0"/>
        <w:adjustRightInd w:val="0"/>
        <w:jc w:val="both"/>
        <w:rPr>
          <w:iCs/>
          <w:sz w:val="20"/>
          <w:szCs w:val="20"/>
        </w:rPr>
      </w:pPr>
      <w:r w:rsidRPr="009118AB">
        <w:rPr>
          <w:iCs/>
          <w:sz w:val="20"/>
          <w:szCs w:val="20"/>
        </w:rPr>
        <w:t>2. oder bei der Direktion für Fahrzeugzulassungen auf seinen Namen zugelassen ist</w:t>
      </w:r>
    </w:p>
    <w:p w14:paraId="149DEA69" w14:textId="77777777" w:rsidR="00491A4D" w:rsidRPr="009118AB" w:rsidRDefault="00491A4D" w:rsidP="00491A4D">
      <w:pPr>
        <w:autoSpaceDE w:val="0"/>
        <w:autoSpaceDN w:val="0"/>
        <w:adjustRightInd w:val="0"/>
        <w:jc w:val="both"/>
        <w:rPr>
          <w:iCs/>
          <w:sz w:val="20"/>
          <w:szCs w:val="20"/>
        </w:rPr>
      </w:pPr>
    </w:p>
    <w:p w14:paraId="09366BA1" w14:textId="77777777" w:rsidR="00491A4D" w:rsidRPr="009118AB" w:rsidRDefault="00491A4D" w:rsidP="00491A4D">
      <w:pPr>
        <w:autoSpaceDE w:val="0"/>
        <w:autoSpaceDN w:val="0"/>
        <w:adjustRightInd w:val="0"/>
        <w:jc w:val="both"/>
        <w:rPr>
          <w:iCs/>
          <w:sz w:val="20"/>
          <w:szCs w:val="20"/>
        </w:rPr>
      </w:pPr>
      <w:r w:rsidRPr="009118AB">
        <w:rPr>
          <w:iCs/>
          <w:sz w:val="20"/>
          <w:szCs w:val="20"/>
        </w:rPr>
        <w:t>3. oder ihm aufgrund eines Miet- oder Leasingvertrags ständig oder gewöhnlich zur Verfügung steht</w:t>
      </w:r>
    </w:p>
    <w:p w14:paraId="07CBBCC9" w14:textId="77777777" w:rsidR="00491A4D" w:rsidRPr="009118AB" w:rsidRDefault="00491A4D" w:rsidP="00491A4D">
      <w:pPr>
        <w:autoSpaceDE w:val="0"/>
        <w:autoSpaceDN w:val="0"/>
        <w:adjustRightInd w:val="0"/>
        <w:jc w:val="both"/>
        <w:rPr>
          <w:iCs/>
          <w:sz w:val="20"/>
          <w:szCs w:val="20"/>
        </w:rPr>
      </w:pPr>
    </w:p>
    <w:p w14:paraId="2E160E76" w14:textId="77777777" w:rsidR="00491A4D" w:rsidRPr="009118AB" w:rsidRDefault="00491A4D" w:rsidP="00491A4D">
      <w:pPr>
        <w:autoSpaceDE w:val="0"/>
        <w:autoSpaceDN w:val="0"/>
        <w:adjustRightInd w:val="0"/>
        <w:jc w:val="both"/>
        <w:rPr>
          <w:iCs/>
          <w:sz w:val="20"/>
          <w:szCs w:val="20"/>
        </w:rPr>
      </w:pPr>
      <w:r w:rsidRPr="009118AB">
        <w:rPr>
          <w:iCs/>
          <w:sz w:val="20"/>
          <w:szCs w:val="20"/>
        </w:rPr>
        <w:t>4. oder seinem Arbeitgeber oder seiner Gesellschaft gehört und der möglicherweise aus der Nutzung dieses Fahrzeugs entstehende Vorteil zu seinen Lasten besteuert wird.</w:t>
      </w:r>
    </w:p>
    <w:p w14:paraId="1F359B7D" w14:textId="77777777" w:rsidR="00491A4D" w:rsidRPr="009118AB" w:rsidRDefault="00491A4D" w:rsidP="00491A4D">
      <w:pPr>
        <w:autoSpaceDE w:val="0"/>
        <w:autoSpaceDN w:val="0"/>
        <w:adjustRightInd w:val="0"/>
        <w:jc w:val="both"/>
        <w:rPr>
          <w:iCs/>
          <w:sz w:val="20"/>
          <w:szCs w:val="20"/>
        </w:rPr>
      </w:pPr>
    </w:p>
    <w:p w14:paraId="669ABCFC" w14:textId="6D71DB2F" w:rsidR="00491A4D" w:rsidRPr="009118AB" w:rsidRDefault="00491A4D" w:rsidP="00491A4D">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118AB">
        <w:rPr>
          <w:iCs/>
          <w:sz w:val="20"/>
          <w:szCs w:val="20"/>
        </w:rPr>
        <w:t>§ </w:t>
      </w:r>
      <w:r w:rsidRPr="009118AB">
        <w:rPr>
          <w:iCs/>
          <w:sz w:val="20"/>
          <w:szCs w:val="20"/>
        </w:rPr>
        <w:t>4 erwähnte Fahrt nutzt, wobei der Pauschalbetrag für gemeinsam gemachte Fahrten aber nur einem einzigen Steuerpflichtigen bewilligt werden darf.]</w:t>
      </w:r>
    </w:p>
    <w:p w14:paraId="595100B0" w14:textId="77777777" w:rsidR="00491A4D" w:rsidRPr="009118AB" w:rsidRDefault="00491A4D" w:rsidP="00491A4D">
      <w:pPr>
        <w:autoSpaceDE w:val="0"/>
        <w:autoSpaceDN w:val="0"/>
        <w:adjustRightInd w:val="0"/>
        <w:jc w:val="both"/>
        <w:rPr>
          <w:iCs/>
          <w:sz w:val="20"/>
          <w:szCs w:val="20"/>
        </w:rPr>
      </w:pPr>
    </w:p>
    <w:p w14:paraId="1394446B" w14:textId="4BC236CD" w:rsidR="00491A4D" w:rsidRPr="009118AB" w:rsidRDefault="00491A4D" w:rsidP="00491A4D">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118AB">
        <w:rPr>
          <w:iCs/>
          <w:sz w:val="20"/>
          <w:szCs w:val="20"/>
        </w:rPr>
        <w:t>§ </w:t>
      </w:r>
      <w:r w:rsidRPr="009118AB">
        <w:rPr>
          <w:iCs/>
          <w:sz w:val="20"/>
          <w:szCs w:val="20"/>
        </w:rPr>
        <w:t>2 letzter Absatz erwähnte Beteiligung.]</w:t>
      </w:r>
    </w:p>
    <w:p w14:paraId="3A11869A" w14:textId="77777777" w:rsidR="00491A4D" w:rsidRPr="009118AB" w:rsidRDefault="00491A4D" w:rsidP="00491A4D">
      <w:pPr>
        <w:autoSpaceDE w:val="0"/>
        <w:autoSpaceDN w:val="0"/>
        <w:adjustRightInd w:val="0"/>
        <w:jc w:val="both"/>
        <w:rPr>
          <w:iCs/>
          <w:sz w:val="20"/>
          <w:szCs w:val="20"/>
        </w:rPr>
      </w:pPr>
    </w:p>
    <w:p w14:paraId="4D659198" w14:textId="32AA3A92" w:rsidR="00491A4D" w:rsidRPr="009118AB" w:rsidRDefault="00491A4D" w:rsidP="00491A4D">
      <w:pPr>
        <w:autoSpaceDE w:val="0"/>
        <w:autoSpaceDN w:val="0"/>
        <w:adjustRightInd w:val="0"/>
        <w:jc w:val="both"/>
        <w:rPr>
          <w:iCs/>
          <w:sz w:val="20"/>
          <w:szCs w:val="20"/>
        </w:rPr>
      </w:pPr>
      <w:r w:rsidRPr="009118AB">
        <w:rPr>
          <w:iCs/>
          <w:sz w:val="20"/>
          <w:szCs w:val="20"/>
        </w:rPr>
        <w:t>[</w:t>
      </w:r>
      <w:r w:rsidR="006246F0" w:rsidRPr="009118AB">
        <w:rPr>
          <w:iCs/>
          <w:sz w:val="20"/>
          <w:szCs w:val="20"/>
        </w:rPr>
        <w:t>..</w:t>
      </w:r>
      <w:r w:rsidRPr="009118AB">
        <w:rPr>
          <w:iCs/>
          <w:sz w:val="20"/>
          <w:szCs w:val="20"/>
        </w:rPr>
        <w:t>.]</w:t>
      </w:r>
    </w:p>
    <w:p w14:paraId="4C8F5147" w14:textId="77777777" w:rsidR="00491A4D" w:rsidRPr="009118AB" w:rsidRDefault="00491A4D" w:rsidP="00491A4D">
      <w:pPr>
        <w:autoSpaceDE w:val="0"/>
        <w:autoSpaceDN w:val="0"/>
        <w:adjustRightInd w:val="0"/>
        <w:jc w:val="both"/>
        <w:rPr>
          <w:iCs/>
          <w:sz w:val="20"/>
          <w:szCs w:val="20"/>
        </w:rPr>
      </w:pPr>
    </w:p>
    <w:p w14:paraId="312E0190" w14:textId="34DE52B5" w:rsidR="00491A4D" w:rsidRPr="009118AB" w:rsidRDefault="00491A4D" w:rsidP="00491A4D">
      <w:pPr>
        <w:autoSpaceDE w:val="0"/>
        <w:autoSpaceDN w:val="0"/>
        <w:adjustRightInd w:val="0"/>
        <w:jc w:val="both"/>
        <w:rPr>
          <w:spacing w:val="-2"/>
          <w:sz w:val="20"/>
          <w:szCs w:val="20"/>
        </w:rPr>
      </w:pPr>
      <w:r w:rsidRPr="009118AB">
        <w:rPr>
          <w:rFonts w:ascii="Times New Roman Italique" w:hAnsi="Times New Roman Italique"/>
          <w:i/>
          <w:iCs/>
          <w:spacing w:val="2"/>
          <w:sz w:val="20"/>
          <w:szCs w:val="20"/>
        </w:rPr>
        <w:t>[</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66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13 des G. vom 6. Juli 1994 (B.S. vom 16. Juli 1994)</w:t>
      </w:r>
      <w:r w:rsidR="00D67EB8" w:rsidRPr="009118AB">
        <w:rPr>
          <w:rFonts w:ascii="Times New Roman Italique" w:hAnsi="Times New Roman Italique"/>
          <w:i/>
          <w:iCs/>
          <w:spacing w:val="2"/>
          <w:sz w:val="20"/>
          <w:szCs w:val="20"/>
        </w:rPr>
        <w:t> - </w:t>
      </w:r>
      <w:r w:rsidRPr="009118AB">
        <w:rPr>
          <w:rFonts w:ascii="Times New Roman Italique" w:hAnsi="Times New Roman Italique"/>
          <w:i/>
          <w:iCs/>
          <w:spacing w:val="2"/>
          <w:sz w:val="20"/>
          <w:szCs w:val="20"/>
        </w:rPr>
        <w:t>anwendbar ab dem Steuerjahr 1993</w:t>
      </w:r>
      <w:r w:rsidR="003366D9" w:rsidRPr="009118AB">
        <w:rPr>
          <w:rFonts w:ascii="Times New Roman Italique" w:hAnsi="Times New Roman Italique"/>
          <w:i/>
          <w:iCs/>
          <w:spacing w:val="2"/>
          <w:sz w:val="20"/>
          <w:szCs w:val="20"/>
        </w:rPr>
        <w:t> </w:t>
      </w:r>
      <w:r w:rsidR="003366D9" w:rsidRPr="009118AB">
        <w:rPr>
          <w:rFonts w:ascii="Times New Roman Italique" w:hAnsi="Times New Roman Italique" w:hint="eastAsia"/>
          <w:i/>
          <w:iCs/>
          <w:spacing w:val="2"/>
          <w:sz w:val="20"/>
          <w:szCs w:val="20"/>
        </w:rPr>
        <w:t>-;</w:t>
      </w:r>
      <w:r w:rsidRPr="009118AB">
        <w:rPr>
          <w:rFonts w:ascii="Times New Roman Italique" w:hAnsi="Times New Roman Italique"/>
          <w:i/>
          <w:iCs/>
          <w:spacing w:val="2"/>
          <w:sz w:val="20"/>
          <w:szCs w:val="20"/>
        </w:rPr>
        <w:t xml:space="preserve"> </w:t>
      </w:r>
      <w:r w:rsidR="00D67EB8" w:rsidRPr="009118AB">
        <w:rPr>
          <w:rFonts w:ascii="Times New Roman Italique" w:hAnsi="Times New Roman Italique"/>
          <w:i/>
          <w:iCs/>
          <w:spacing w:val="2"/>
          <w:sz w:val="20"/>
          <w:szCs w:val="20"/>
        </w:rPr>
        <w:t>§ </w:t>
      </w:r>
      <w:r w:rsidRPr="009118AB">
        <w:rPr>
          <w:rFonts w:ascii="Times New Roman Italique" w:hAnsi="Times New Roman Italique"/>
          <w:i/>
          <w:iCs/>
          <w:spacing w:val="2"/>
          <w:sz w:val="20"/>
          <w:szCs w:val="20"/>
        </w:rPr>
        <w:t xml:space="preserve">1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3 </w:t>
      </w:r>
      <w:r w:rsidR="00D67EB8" w:rsidRPr="009118AB">
        <w:rPr>
          <w:rFonts w:ascii="Times New Roman Italique" w:hAnsi="Times New Roman Italique"/>
          <w:i/>
          <w:iCs/>
          <w:spacing w:val="2"/>
          <w:sz w:val="20"/>
          <w:szCs w:val="20"/>
        </w:rPr>
        <w:t>Nr. </w:t>
      </w:r>
      <w:r w:rsidRPr="009118AB">
        <w:rPr>
          <w:rFonts w:ascii="Times New Roman Italique" w:hAnsi="Times New Roman Italique"/>
          <w:i/>
          <w:iCs/>
          <w:spacing w:val="2"/>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einleitende Bestimmung abgeändert und erster und zweiter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3366D9" w:rsidRPr="009118AB">
        <w:rPr>
          <w:i/>
          <w:iCs/>
          <w:sz w:val="20"/>
          <w:szCs w:val="20"/>
        </w:rPr>
        <w:t> -;</w:t>
      </w:r>
      <w:r w:rsidRPr="009118AB">
        <w:rPr>
          <w:i/>
          <w:iCs/>
          <w:sz w:val="20"/>
          <w:szCs w:val="20"/>
        </w:rPr>
        <w:t xml:space="preserve"> </w:t>
      </w:r>
      <w:r w:rsidR="00D67EB8" w:rsidRPr="009118AB">
        <w:rPr>
          <w:i/>
          <w:iCs/>
          <w:sz w:val="20"/>
          <w:szCs w:val="20"/>
        </w:rPr>
        <w:t>§ </w:t>
      </w:r>
      <w:r w:rsidR="00D74386" w:rsidRPr="009118AB">
        <w:rPr>
          <w:i/>
          <w:iCs/>
          <w:sz w:val="20"/>
          <w:szCs w:val="20"/>
        </w:rPr>
        <w:t xml:space="preserve">1 einziger Absatz dritter Gedankenstrich eingefügt durch </w:t>
      </w:r>
      <w:r w:rsidR="00D67EB8" w:rsidRPr="009118AB">
        <w:rPr>
          <w:i/>
          <w:iCs/>
          <w:sz w:val="20"/>
          <w:szCs w:val="20"/>
        </w:rPr>
        <w:t>Art. </w:t>
      </w:r>
      <w:r w:rsidR="00D74386" w:rsidRPr="009118AB">
        <w:rPr>
          <w:i/>
          <w:iCs/>
          <w:sz w:val="20"/>
          <w:szCs w:val="20"/>
        </w:rPr>
        <w:t xml:space="preserve">4 </w:t>
      </w:r>
      <w:r w:rsidR="00D67EB8" w:rsidRPr="009118AB">
        <w:rPr>
          <w:i/>
          <w:iCs/>
          <w:sz w:val="20"/>
          <w:szCs w:val="20"/>
        </w:rPr>
        <w:t>Nr. </w:t>
      </w:r>
      <w:r w:rsidR="00D74386" w:rsidRPr="009118AB">
        <w:rPr>
          <w:i/>
          <w:iCs/>
          <w:sz w:val="20"/>
          <w:szCs w:val="20"/>
        </w:rPr>
        <w:t>2</w:t>
      </w:r>
      <w:r w:rsidR="00D74386" w:rsidRPr="009118AB">
        <w:rPr>
          <w:i/>
          <w:iCs/>
        </w:rPr>
        <w:t xml:space="preserve"> </w:t>
      </w:r>
      <w:r w:rsidR="00D74386" w:rsidRPr="009118AB">
        <w:rPr>
          <w:i/>
          <w:iCs/>
          <w:sz w:val="20"/>
          <w:szCs w:val="20"/>
        </w:rPr>
        <w:t>des G. vom 25. November 2021 (B.S. vom 3. Dezember 2021)</w:t>
      </w:r>
      <w:r w:rsidR="00D67EB8" w:rsidRPr="009118AB">
        <w:rPr>
          <w:i/>
          <w:iCs/>
          <w:sz w:val="20"/>
          <w:szCs w:val="20"/>
        </w:rPr>
        <w:t> - </w:t>
      </w:r>
      <w:r w:rsidR="00D74386" w:rsidRPr="009118AB">
        <w:rPr>
          <w:i/>
          <w:iCs/>
          <w:sz w:val="20"/>
          <w:szCs w:val="20"/>
        </w:rPr>
        <w:t>in Kraft am 1. Januar 2028</w:t>
      </w:r>
      <w:r w:rsidR="003366D9" w:rsidRPr="009118AB">
        <w:rPr>
          <w:i/>
          <w:iCs/>
          <w:sz w:val="20"/>
          <w:szCs w:val="20"/>
        </w:rPr>
        <w:t> -;</w:t>
      </w:r>
      <w:r w:rsidR="00D74386" w:rsidRPr="009118AB">
        <w:rPr>
          <w:i/>
          <w:iCs/>
          <w:sz w:val="20"/>
          <w:szCs w:val="20"/>
        </w:rPr>
        <w:t xml:space="preserve"> </w:t>
      </w:r>
      <w:r w:rsidR="00D67EB8" w:rsidRPr="009118AB">
        <w:rPr>
          <w:i/>
          <w:iCs/>
          <w:sz w:val="20"/>
          <w:szCs w:val="20"/>
        </w:rPr>
        <w:t>§ </w:t>
      </w:r>
      <w:r w:rsidRPr="009118AB">
        <w:rPr>
          <w:i/>
          <w:iCs/>
          <w:sz w:val="20"/>
          <w:szCs w:val="20"/>
        </w:rPr>
        <w:t xml:space="preserve">2 ersetzt durch </w:t>
      </w:r>
      <w:r w:rsidR="00D67EB8" w:rsidRPr="009118AB">
        <w:rPr>
          <w:i/>
          <w:iCs/>
          <w:sz w:val="20"/>
          <w:szCs w:val="20"/>
        </w:rPr>
        <w:t>Art. </w:t>
      </w:r>
      <w:r w:rsidRPr="009118AB">
        <w:rPr>
          <w:i/>
          <w:iCs/>
          <w:sz w:val="20"/>
          <w:szCs w:val="20"/>
        </w:rPr>
        <w:t xml:space="preserve">105 </w:t>
      </w:r>
      <w:r w:rsidR="00D67EB8" w:rsidRPr="009118AB">
        <w:rPr>
          <w:i/>
          <w:iCs/>
          <w:sz w:val="20"/>
          <w:szCs w:val="20"/>
        </w:rPr>
        <w:t>Nr. </w:t>
      </w:r>
      <w:r w:rsidRPr="009118AB">
        <w:rPr>
          <w:i/>
          <w:iCs/>
          <w:sz w:val="20"/>
          <w:szCs w:val="20"/>
        </w:rPr>
        <w:t>2 des G. vom 27. Dezember 2005 (I) (B.S. vom 30. Dezember 2005)</w:t>
      </w:r>
      <w:r w:rsidR="00D67EB8" w:rsidRPr="009118AB">
        <w:rPr>
          <w:i/>
          <w:iCs/>
          <w:sz w:val="20"/>
          <w:szCs w:val="20"/>
        </w:rPr>
        <w:t> - </w:t>
      </w:r>
      <w:r w:rsidRPr="009118AB">
        <w:rPr>
          <w:i/>
          <w:iCs/>
          <w:sz w:val="20"/>
          <w:szCs w:val="20"/>
        </w:rPr>
        <w:t>in Kraft ab dem Steuerjahr 2007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einleitende Bestimmung ersetzt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6</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4 eingefügt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3 des G. vom 25. Dezember 2017 (III) (B.S. vom 29. Dezember 201)7</w:t>
      </w:r>
      <w:r w:rsidR="00D67EB8" w:rsidRPr="009118AB">
        <w:rPr>
          <w:i/>
          <w:iCs/>
          <w:sz w:val="20"/>
          <w:szCs w:val="20"/>
        </w:rPr>
        <w:t> - </w:t>
      </w:r>
      <w:r w:rsidRPr="009118AB">
        <w:rPr>
          <w:i/>
          <w:iCs/>
          <w:sz w:val="20"/>
          <w:szCs w:val="20"/>
        </w:rPr>
        <w:t>in Kraft am 1. Januar 2018 und anwendbar ab dem Steuerjahr 2019, das sich auf einen Besteuerungszeitraum bezieht, der frühestens am 1. Januar 2018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3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ersetzt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4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einziger Absatz einleitende Bestimmung abgeändert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7</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pacing w:val="-2"/>
          <w:sz w:val="20"/>
          <w:szCs w:val="20"/>
        </w:rPr>
        <w:t>§ </w:t>
      </w:r>
      <w:r w:rsidRPr="009118AB">
        <w:rPr>
          <w:i/>
          <w:iCs/>
          <w:spacing w:val="-2"/>
          <w:sz w:val="20"/>
          <w:szCs w:val="20"/>
        </w:rPr>
        <w:t xml:space="preserve">4 ersetzt durch </w:t>
      </w:r>
      <w:r w:rsidR="00D67EB8" w:rsidRPr="009118AB">
        <w:rPr>
          <w:i/>
          <w:iCs/>
          <w:spacing w:val="-2"/>
          <w:sz w:val="20"/>
          <w:szCs w:val="20"/>
        </w:rPr>
        <w:t>Art. </w:t>
      </w:r>
      <w:r w:rsidRPr="009118AB">
        <w:rPr>
          <w:i/>
          <w:iCs/>
          <w:spacing w:val="-2"/>
          <w:sz w:val="20"/>
          <w:szCs w:val="20"/>
        </w:rPr>
        <w:t xml:space="preserve">3 </w:t>
      </w:r>
      <w:r w:rsidR="00D67EB8" w:rsidRPr="009118AB">
        <w:rPr>
          <w:i/>
          <w:iCs/>
          <w:spacing w:val="-2"/>
          <w:sz w:val="20"/>
          <w:szCs w:val="20"/>
        </w:rPr>
        <w:t>Nr. </w:t>
      </w:r>
      <w:r w:rsidRPr="009118AB">
        <w:rPr>
          <w:i/>
          <w:iCs/>
          <w:spacing w:val="-2"/>
          <w:sz w:val="20"/>
          <w:szCs w:val="20"/>
        </w:rPr>
        <w:t>8</w:t>
      </w:r>
      <w:r w:rsidRPr="009118AB">
        <w:rPr>
          <w:i/>
          <w:iCs/>
          <w:spacing w:val="-2"/>
        </w:rPr>
        <w:t xml:space="preserve"> </w:t>
      </w:r>
      <w:r w:rsidRPr="009118AB">
        <w:rPr>
          <w:i/>
          <w:iCs/>
          <w:spacing w:val="-2"/>
          <w:sz w:val="20"/>
          <w:szCs w:val="20"/>
        </w:rPr>
        <w:t>des G. vom 25. November 2021 (B.S. vom 3. Dezember 2021)</w:t>
      </w:r>
      <w:r w:rsidR="00D67EB8" w:rsidRPr="009118AB">
        <w:rPr>
          <w:i/>
          <w:iCs/>
          <w:spacing w:val="-2"/>
          <w:sz w:val="20"/>
          <w:szCs w:val="20"/>
        </w:rPr>
        <w:t> - </w:t>
      </w:r>
      <w:r w:rsidRPr="009118AB">
        <w:rPr>
          <w:i/>
          <w:iCs/>
          <w:spacing w:val="-2"/>
          <w:sz w:val="20"/>
          <w:szCs w:val="20"/>
        </w:rPr>
        <w:t>in Kraft am 1. Januar 2026 und anwendbar ab dem Steuerjahr 2027, das sich auf einen Besteuerungszeitraum bezieht, der frühestens am 1. Januar 2026 beginnt</w:t>
      </w:r>
      <w:r w:rsidR="003366D9" w:rsidRPr="009118AB">
        <w:rPr>
          <w:i/>
          <w:iCs/>
          <w:spacing w:val="-2"/>
          <w:sz w:val="20"/>
          <w:szCs w:val="20"/>
        </w:rPr>
        <w:t> -;</w:t>
      </w:r>
      <w:r w:rsidRPr="009118AB">
        <w:rPr>
          <w:i/>
          <w:iCs/>
          <w:spacing w:val="-2"/>
          <w:sz w:val="20"/>
          <w:szCs w:val="20"/>
        </w:rPr>
        <w:t xml:space="preserve"> </w:t>
      </w:r>
      <w:r w:rsidR="00D67EB8" w:rsidRPr="009118AB">
        <w:rPr>
          <w:i/>
          <w:iCs/>
          <w:spacing w:val="-2"/>
          <w:sz w:val="20"/>
          <w:szCs w:val="20"/>
        </w:rPr>
        <w:t>§ </w:t>
      </w:r>
      <w:r w:rsidRPr="009118AB">
        <w:rPr>
          <w:i/>
          <w:iCs/>
          <w:spacing w:val="-2"/>
          <w:sz w:val="20"/>
          <w:szCs w:val="20"/>
        </w:rPr>
        <w:t xml:space="preserve">5 </w:t>
      </w:r>
      <w:r w:rsidR="00D67EB8" w:rsidRPr="009118AB">
        <w:rPr>
          <w:i/>
          <w:iCs/>
          <w:spacing w:val="-2"/>
          <w:sz w:val="20"/>
          <w:szCs w:val="20"/>
        </w:rPr>
        <w:t>Abs. </w:t>
      </w:r>
      <w:r w:rsidRPr="009118AB">
        <w:rPr>
          <w:i/>
          <w:iCs/>
          <w:spacing w:val="-2"/>
          <w:sz w:val="20"/>
          <w:szCs w:val="20"/>
        </w:rPr>
        <w:t xml:space="preserve">3 eingefügt durch </w:t>
      </w:r>
      <w:r w:rsidR="00D67EB8" w:rsidRPr="009118AB">
        <w:rPr>
          <w:i/>
          <w:iCs/>
          <w:spacing w:val="-2"/>
          <w:sz w:val="20"/>
          <w:szCs w:val="20"/>
        </w:rPr>
        <w:t>Art. </w:t>
      </w:r>
      <w:r w:rsidRPr="009118AB">
        <w:rPr>
          <w:i/>
          <w:iCs/>
          <w:spacing w:val="-2"/>
          <w:sz w:val="20"/>
          <w:szCs w:val="20"/>
        </w:rPr>
        <w:t>40</w:t>
      </w:r>
      <w:r w:rsidRPr="009118AB">
        <w:rPr>
          <w:i/>
          <w:spacing w:val="-2"/>
          <w:sz w:val="20"/>
          <w:szCs w:val="20"/>
        </w:rPr>
        <w:t xml:space="preserve"> </w:t>
      </w:r>
      <w:r w:rsidRPr="009118AB">
        <w:rPr>
          <w:bCs/>
          <w:i/>
          <w:spacing w:val="-2"/>
          <w:sz w:val="20"/>
          <w:szCs w:val="20"/>
        </w:rPr>
        <w:t>des G. vom 28. Dezember 2011 (B.S. vom 30. Dezember 2011)</w:t>
      </w:r>
      <w:r w:rsidR="00D67EB8" w:rsidRPr="009118AB">
        <w:rPr>
          <w:bCs/>
          <w:i/>
          <w:spacing w:val="-2"/>
          <w:sz w:val="20"/>
          <w:szCs w:val="20"/>
        </w:rPr>
        <w:t> - </w:t>
      </w:r>
      <w:r w:rsidRPr="009118AB">
        <w:rPr>
          <w:bCs/>
          <w:i/>
          <w:spacing w:val="-2"/>
          <w:sz w:val="20"/>
          <w:szCs w:val="20"/>
        </w:rPr>
        <w:t>anwendbar auf die ab dem 1. Januar 2012 zuerkannten Vorteile jeglicher Art</w:t>
      </w:r>
      <w:r w:rsidR="003366D9" w:rsidRPr="009118AB">
        <w:rPr>
          <w:bCs/>
          <w:i/>
          <w:spacing w:val="-2"/>
          <w:sz w:val="20"/>
          <w:szCs w:val="20"/>
        </w:rPr>
        <w:t> -;</w:t>
      </w:r>
      <w:r w:rsidRPr="009118AB">
        <w:rPr>
          <w:bCs/>
          <w:i/>
          <w:spacing w:val="-2"/>
          <w:sz w:val="20"/>
          <w:szCs w:val="20"/>
        </w:rPr>
        <w:t xml:space="preserve"> </w:t>
      </w:r>
      <w:r w:rsidR="00D67EB8" w:rsidRPr="009118AB">
        <w:rPr>
          <w:bCs/>
          <w:i/>
          <w:spacing w:val="-2"/>
          <w:sz w:val="20"/>
          <w:szCs w:val="20"/>
        </w:rPr>
        <w:t>§ </w:t>
      </w:r>
      <w:r w:rsidRPr="009118AB">
        <w:rPr>
          <w:bCs/>
          <w:i/>
          <w:spacing w:val="-2"/>
          <w:sz w:val="20"/>
          <w:szCs w:val="20"/>
        </w:rPr>
        <w:t xml:space="preserve">5 </w:t>
      </w:r>
      <w:r w:rsidR="006246F0" w:rsidRPr="009118AB">
        <w:rPr>
          <w:bCs/>
          <w:i/>
          <w:spacing w:val="-2"/>
          <w:sz w:val="20"/>
          <w:szCs w:val="20"/>
        </w:rPr>
        <w:t xml:space="preserve">früherer </w:t>
      </w:r>
      <w:r w:rsidRPr="009118AB">
        <w:rPr>
          <w:bCs/>
          <w:i/>
          <w:spacing w:val="-2"/>
          <w:sz w:val="20"/>
          <w:szCs w:val="20"/>
        </w:rPr>
        <w:t>Abs</w:t>
      </w:r>
      <w:r w:rsidR="006246F0" w:rsidRPr="009118AB">
        <w:rPr>
          <w:bCs/>
          <w:i/>
          <w:spacing w:val="-2"/>
          <w:sz w:val="20"/>
          <w:szCs w:val="20"/>
        </w:rPr>
        <w:t>atz</w:t>
      </w:r>
      <w:r w:rsidRPr="009118AB">
        <w:rPr>
          <w:bCs/>
          <w:i/>
          <w:spacing w:val="-2"/>
          <w:sz w:val="20"/>
          <w:szCs w:val="20"/>
        </w:rPr>
        <w:t xml:space="preserve"> 4 eingefügt durch </w:t>
      </w:r>
      <w:r w:rsidR="00D67EB8" w:rsidRPr="009118AB">
        <w:rPr>
          <w:bCs/>
          <w:i/>
          <w:spacing w:val="-2"/>
          <w:sz w:val="20"/>
          <w:szCs w:val="20"/>
        </w:rPr>
        <w:t>Art. </w:t>
      </w:r>
      <w:r w:rsidRPr="009118AB">
        <w:rPr>
          <w:bCs/>
          <w:i/>
          <w:spacing w:val="-2"/>
          <w:sz w:val="20"/>
          <w:szCs w:val="20"/>
        </w:rPr>
        <w:t>28 des G. vom 30. März 2018 (B.S. vom 7. Mai 2018)</w:t>
      </w:r>
      <w:r w:rsidR="00D67EB8" w:rsidRPr="009118AB">
        <w:rPr>
          <w:bCs/>
          <w:i/>
          <w:spacing w:val="-2"/>
          <w:sz w:val="20"/>
          <w:szCs w:val="20"/>
        </w:rPr>
        <w:t> - </w:t>
      </w:r>
      <w:r w:rsidRPr="009118AB">
        <w:rPr>
          <w:bCs/>
          <w:i/>
          <w:spacing w:val="-2"/>
          <w:sz w:val="20"/>
          <w:szCs w:val="20"/>
        </w:rPr>
        <w:t>in Kraft am 1. Januar 2018</w:t>
      </w:r>
      <w:r w:rsidR="00FD68E8" w:rsidRPr="009118AB">
        <w:rPr>
          <w:bCs/>
          <w:i/>
          <w:spacing w:val="-2"/>
          <w:sz w:val="20"/>
          <w:szCs w:val="20"/>
        </w:rPr>
        <w:t> -,</w:t>
      </w:r>
      <w:r w:rsidR="006246F0" w:rsidRPr="009118AB">
        <w:rPr>
          <w:bCs/>
          <w:i/>
          <w:spacing w:val="-2"/>
          <w:sz w:val="20"/>
          <w:szCs w:val="20"/>
        </w:rPr>
        <w:t xml:space="preserve"> </w:t>
      </w:r>
      <w:r w:rsidR="006246F0" w:rsidRPr="009118AB">
        <w:rPr>
          <w:bCs/>
          <w:i/>
          <w:spacing w:val="-2"/>
          <w:sz w:val="20"/>
          <w:szCs w:val="20"/>
        </w:rPr>
        <w:lastRenderedPageBreak/>
        <w:t>selbst für nichtig erklärt durch</w:t>
      </w:r>
      <w:r w:rsidR="006246F0" w:rsidRPr="009118AB">
        <w:rPr>
          <w:bCs/>
          <w:i/>
          <w:iCs/>
          <w:spacing w:val="-2"/>
          <w:sz w:val="20"/>
          <w:szCs w:val="20"/>
        </w:rPr>
        <w:t xml:space="preserve"> Entscheid </w:t>
      </w:r>
      <w:r w:rsidR="00D67EB8" w:rsidRPr="009118AB">
        <w:rPr>
          <w:bCs/>
          <w:i/>
          <w:iCs/>
          <w:spacing w:val="-2"/>
          <w:sz w:val="20"/>
          <w:szCs w:val="20"/>
        </w:rPr>
        <w:t>Nr. </w:t>
      </w:r>
      <w:r w:rsidR="006246F0" w:rsidRPr="009118AB">
        <w:rPr>
          <w:bCs/>
          <w:i/>
          <w:iCs/>
          <w:spacing w:val="-2"/>
          <w:sz w:val="20"/>
          <w:szCs w:val="20"/>
        </w:rPr>
        <w:t>11/2020 des Verfassungsgerichtshofes vom 23. Januar 2020 (B.S. vom 24. Februar 2020)</w:t>
      </w:r>
      <w:r w:rsidRPr="009118AB">
        <w:rPr>
          <w:i/>
          <w:iCs/>
          <w:spacing w:val="-2"/>
          <w:sz w:val="20"/>
          <w:szCs w:val="20"/>
        </w:rPr>
        <w:t>]</w:t>
      </w:r>
      <w:r w:rsidRPr="009118AB">
        <w:rPr>
          <w:spacing w:val="-2"/>
          <w:sz w:val="20"/>
          <w:szCs w:val="20"/>
        </w:rPr>
        <w:t>"</w:t>
      </w:r>
    </w:p>
    <w:p w14:paraId="10ADFBBB" w14:textId="63ECEEC7" w:rsidR="00491A4D" w:rsidRPr="009118AB" w:rsidRDefault="00491A4D" w:rsidP="00390A33">
      <w:pPr>
        <w:autoSpaceDE w:val="0"/>
        <w:autoSpaceDN w:val="0"/>
        <w:adjustRightInd w:val="0"/>
        <w:jc w:val="both"/>
        <w:rPr>
          <w:sz w:val="20"/>
          <w:szCs w:val="20"/>
        </w:rPr>
      </w:pPr>
    </w:p>
    <w:p w14:paraId="139128A7" w14:textId="42D158C6" w:rsidR="00D74386" w:rsidRPr="009118AB" w:rsidRDefault="00D74386" w:rsidP="00390A33">
      <w:pPr>
        <w:autoSpaceDE w:val="0"/>
        <w:autoSpaceDN w:val="0"/>
        <w:adjustRightInd w:val="0"/>
        <w:jc w:val="both"/>
        <w:rPr>
          <w:sz w:val="20"/>
          <w:szCs w:val="20"/>
        </w:rPr>
      </w:pPr>
    </w:p>
    <w:p w14:paraId="18AB9F0B" w14:textId="01D31597" w:rsidR="00D74386" w:rsidRPr="009118AB" w:rsidRDefault="00D74386" w:rsidP="00D74386">
      <w:pPr>
        <w:autoSpaceDE w:val="0"/>
        <w:autoSpaceDN w:val="0"/>
        <w:adjustRightInd w:val="0"/>
        <w:jc w:val="both"/>
        <w:rPr>
          <w:sz w:val="20"/>
          <w:szCs w:val="20"/>
        </w:rPr>
      </w:pPr>
      <w:r w:rsidRPr="009118AB">
        <w:rPr>
          <w:sz w:val="20"/>
          <w:szCs w:val="20"/>
        </w:rPr>
        <w:t xml:space="preserve">Ab dem 1. Januar 2029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9 des G. vom 25. November 2021 (B.S. vom 3. Dezember 2021)) lautet </w:t>
      </w:r>
      <w:r w:rsidR="00D67EB8" w:rsidRPr="009118AB">
        <w:rPr>
          <w:sz w:val="20"/>
          <w:szCs w:val="20"/>
        </w:rPr>
        <w:t>Art. </w:t>
      </w:r>
      <w:r w:rsidRPr="009118AB">
        <w:rPr>
          <w:sz w:val="20"/>
          <w:szCs w:val="20"/>
        </w:rPr>
        <w:t>66 wie folgt:</w:t>
      </w:r>
    </w:p>
    <w:p w14:paraId="0B013B1F" w14:textId="77777777" w:rsidR="00D74386" w:rsidRPr="009118AB" w:rsidRDefault="00D74386" w:rsidP="00D74386">
      <w:pPr>
        <w:autoSpaceDE w:val="0"/>
        <w:autoSpaceDN w:val="0"/>
        <w:adjustRightInd w:val="0"/>
        <w:jc w:val="both"/>
        <w:rPr>
          <w:sz w:val="20"/>
          <w:szCs w:val="20"/>
        </w:rPr>
      </w:pPr>
    </w:p>
    <w:p w14:paraId="4945CABC" w14:textId="43BA1E2B" w:rsidR="00D74386" w:rsidRPr="009118AB" w:rsidRDefault="00D74386" w:rsidP="00D74386">
      <w:pPr>
        <w:autoSpaceDE w:val="0"/>
        <w:autoSpaceDN w:val="0"/>
        <w:adjustRightInd w:val="0"/>
        <w:jc w:val="both"/>
        <w:rPr>
          <w:iCs/>
          <w:sz w:val="20"/>
          <w:szCs w:val="20"/>
        </w:rPr>
      </w:pPr>
      <w:r w:rsidRPr="009118AB">
        <w:rPr>
          <w:sz w:val="20"/>
          <w:szCs w:val="20"/>
        </w:rPr>
        <w:t>"</w:t>
      </w:r>
      <w:r w:rsidR="00D67EB8" w:rsidRPr="009118AB">
        <w:rPr>
          <w:sz w:val="20"/>
          <w:szCs w:val="20"/>
        </w:rPr>
        <w:t>Art. </w:t>
      </w:r>
      <w:r w:rsidRPr="009118AB">
        <w:rPr>
          <w:sz w:val="20"/>
          <w:szCs w:val="20"/>
        </w:rPr>
        <w:t>66</w:t>
      </w:r>
      <w:r w:rsidR="00D67EB8" w:rsidRPr="009118AB">
        <w:rPr>
          <w:sz w:val="20"/>
          <w:szCs w:val="20"/>
        </w:rPr>
        <w:t> - </w:t>
      </w:r>
      <w:r w:rsidRPr="009118AB">
        <w:rPr>
          <w:iCs/>
          <w:sz w:val="20"/>
          <w:szCs w:val="20"/>
        </w:rPr>
        <w:t>[</w:t>
      </w:r>
      <w:r w:rsidR="00D67EB8" w:rsidRPr="009118AB">
        <w:rPr>
          <w:iCs/>
          <w:sz w:val="20"/>
          <w:szCs w:val="20"/>
        </w:rPr>
        <w:t>§ </w:t>
      </w:r>
      <w:r w:rsidRPr="009118AB">
        <w:rPr>
          <w:iCs/>
          <w:sz w:val="20"/>
          <w:szCs w:val="20"/>
        </w:rPr>
        <w:t>1</w:t>
      </w:r>
      <w:r w:rsidR="00D67EB8" w:rsidRPr="009118AB">
        <w:rPr>
          <w:iCs/>
          <w:sz w:val="20"/>
          <w:szCs w:val="20"/>
        </w:rPr>
        <w:t> - </w:t>
      </w:r>
      <w:r w:rsidRPr="009118AB">
        <w:rPr>
          <w:iCs/>
          <w:sz w:val="20"/>
          <w:szCs w:val="20"/>
        </w:rPr>
        <w:t>[Werbungskosten in Bezug auf die Nutzung der in Artikel 65 erwähnten Fahrzeuge sind nicht abzugsfähig, es sei denn, es handelt sich um ein Fahrzeug, das kein CO</w:t>
      </w:r>
      <w:r w:rsidRPr="009118AB">
        <w:rPr>
          <w:iCs/>
          <w:sz w:val="20"/>
          <w:szCs w:val="20"/>
          <w:vertAlign w:val="subscript"/>
        </w:rPr>
        <w:t>2</w:t>
      </w:r>
      <w:r w:rsidRPr="009118AB">
        <w:rPr>
          <w:iCs/>
          <w:sz w:val="20"/>
          <w:szCs w:val="20"/>
        </w:rPr>
        <w:t xml:space="preserve"> ausstößt[; stößt das Fahrzeug kein CO</w:t>
      </w:r>
      <w:r w:rsidRPr="009118AB">
        <w:rPr>
          <w:iCs/>
          <w:sz w:val="20"/>
          <w:szCs w:val="20"/>
          <w:vertAlign w:val="subscript"/>
        </w:rPr>
        <w:t>2</w:t>
      </w:r>
      <w:r w:rsidRPr="009118AB">
        <w:rPr>
          <w:iCs/>
          <w:sz w:val="20"/>
          <w:szCs w:val="20"/>
        </w:rPr>
        <w:t xml:space="preserve"> aus, wird der abzugsfähige Satz festgesetzt auf:</w:t>
      </w:r>
    </w:p>
    <w:p w14:paraId="157F6A29" w14:textId="77777777" w:rsidR="00D74386" w:rsidRPr="009118AB" w:rsidRDefault="00D74386" w:rsidP="00D74386">
      <w:pPr>
        <w:autoSpaceDE w:val="0"/>
        <w:autoSpaceDN w:val="0"/>
        <w:adjustRightInd w:val="0"/>
        <w:jc w:val="both"/>
        <w:rPr>
          <w:iCs/>
          <w:sz w:val="20"/>
          <w:szCs w:val="20"/>
        </w:rPr>
      </w:pPr>
    </w:p>
    <w:p w14:paraId="541874E5" w14:textId="77777777" w:rsidR="00D74386" w:rsidRPr="009118AB" w:rsidRDefault="00D74386" w:rsidP="00D74386">
      <w:pPr>
        <w:autoSpaceDE w:val="0"/>
        <w:autoSpaceDN w:val="0"/>
        <w:adjustRightInd w:val="0"/>
        <w:jc w:val="both"/>
        <w:rPr>
          <w:iCs/>
          <w:sz w:val="20"/>
          <w:szCs w:val="20"/>
        </w:rPr>
      </w:pPr>
      <w:r w:rsidRPr="009118AB">
        <w:rPr>
          <w:iCs/>
          <w:sz w:val="20"/>
          <w:szCs w:val="20"/>
        </w:rPr>
        <w:t>- 100 Prozent, wenn es sich um ein vor dem 1. Januar 2027 gekauftes, geleastes oder gemietetes Fahrzeug handelt,</w:t>
      </w:r>
    </w:p>
    <w:p w14:paraId="49495267" w14:textId="77777777" w:rsidR="00D74386" w:rsidRPr="009118AB" w:rsidRDefault="00D74386" w:rsidP="00D74386">
      <w:pPr>
        <w:autoSpaceDE w:val="0"/>
        <w:autoSpaceDN w:val="0"/>
        <w:adjustRightInd w:val="0"/>
        <w:jc w:val="both"/>
        <w:rPr>
          <w:iCs/>
          <w:sz w:val="20"/>
          <w:szCs w:val="20"/>
        </w:rPr>
      </w:pPr>
    </w:p>
    <w:p w14:paraId="1CEB11C3" w14:textId="77777777" w:rsidR="00D74386" w:rsidRPr="009118AB" w:rsidRDefault="00D74386" w:rsidP="00D74386">
      <w:pPr>
        <w:autoSpaceDE w:val="0"/>
        <w:autoSpaceDN w:val="0"/>
        <w:adjustRightInd w:val="0"/>
        <w:jc w:val="both"/>
        <w:rPr>
          <w:iCs/>
          <w:sz w:val="20"/>
          <w:szCs w:val="20"/>
        </w:rPr>
      </w:pPr>
      <w:r w:rsidRPr="009118AB">
        <w:rPr>
          <w:iCs/>
          <w:sz w:val="20"/>
          <w:szCs w:val="20"/>
        </w:rPr>
        <w:t>- 95 Prozent, wenn es sich um ein 2027 gekauftes, geleastes oder gemietetes Fahrzeug handelt],]</w:t>
      </w:r>
    </w:p>
    <w:p w14:paraId="01151F3D" w14:textId="77777777" w:rsidR="00D74386" w:rsidRPr="009118AB" w:rsidRDefault="00D74386" w:rsidP="00D74386">
      <w:pPr>
        <w:autoSpaceDE w:val="0"/>
        <w:autoSpaceDN w:val="0"/>
        <w:adjustRightInd w:val="0"/>
        <w:jc w:val="both"/>
        <w:rPr>
          <w:iCs/>
          <w:sz w:val="20"/>
          <w:szCs w:val="20"/>
        </w:rPr>
      </w:pPr>
    </w:p>
    <w:p w14:paraId="225C1FE2" w14:textId="518DB01A" w:rsidR="00D74386" w:rsidRPr="009118AB" w:rsidRDefault="00D74386" w:rsidP="00D74386">
      <w:pPr>
        <w:autoSpaceDE w:val="0"/>
        <w:autoSpaceDN w:val="0"/>
        <w:adjustRightInd w:val="0"/>
        <w:jc w:val="both"/>
        <w:rPr>
          <w:iCs/>
          <w:sz w:val="20"/>
          <w:szCs w:val="20"/>
        </w:rPr>
      </w:pPr>
      <w:r w:rsidRPr="009118AB">
        <w:rPr>
          <w:iCs/>
          <w:sz w:val="20"/>
          <w:szCs w:val="20"/>
        </w:rPr>
        <w:t>[- 90 Prozent, wenn es sich um ein 2028 gekauftes, geleastes oder gemietetes Fahrzeug handelt,]</w:t>
      </w:r>
    </w:p>
    <w:p w14:paraId="43A9BDF8" w14:textId="61E9BBD7" w:rsidR="00D74386" w:rsidRPr="009118AB" w:rsidRDefault="00D74386" w:rsidP="00D74386">
      <w:pPr>
        <w:autoSpaceDE w:val="0"/>
        <w:autoSpaceDN w:val="0"/>
        <w:adjustRightInd w:val="0"/>
        <w:jc w:val="both"/>
        <w:rPr>
          <w:iCs/>
          <w:sz w:val="20"/>
          <w:szCs w:val="20"/>
        </w:rPr>
      </w:pPr>
    </w:p>
    <w:p w14:paraId="5ED824C2" w14:textId="49F30449" w:rsidR="00D74386" w:rsidRPr="009118AB" w:rsidRDefault="00D74386" w:rsidP="00D74386">
      <w:pPr>
        <w:autoSpaceDE w:val="0"/>
        <w:autoSpaceDN w:val="0"/>
        <w:adjustRightInd w:val="0"/>
        <w:jc w:val="both"/>
        <w:rPr>
          <w:iCs/>
          <w:sz w:val="20"/>
          <w:szCs w:val="20"/>
        </w:rPr>
      </w:pPr>
      <w:r w:rsidRPr="009118AB">
        <w:rPr>
          <w:iCs/>
          <w:sz w:val="20"/>
          <w:szCs w:val="20"/>
        </w:rPr>
        <w:t>[- 82,5 Prozent, wenn es sich um ein 2029 gekauftes, geleastes oder gemietetes Fahrzeug handelt.]</w:t>
      </w:r>
    </w:p>
    <w:p w14:paraId="433FE7D6" w14:textId="77777777" w:rsidR="00D74386" w:rsidRPr="009118AB" w:rsidRDefault="00D74386" w:rsidP="00D74386">
      <w:pPr>
        <w:autoSpaceDE w:val="0"/>
        <w:autoSpaceDN w:val="0"/>
        <w:adjustRightInd w:val="0"/>
        <w:jc w:val="both"/>
        <w:rPr>
          <w:iCs/>
          <w:sz w:val="20"/>
          <w:szCs w:val="20"/>
        </w:rPr>
      </w:pPr>
    </w:p>
    <w:p w14:paraId="05ADCDB5" w14:textId="4592ED27" w:rsidR="00D74386" w:rsidRPr="009118AB" w:rsidRDefault="00D67EB8" w:rsidP="00D74386">
      <w:pPr>
        <w:autoSpaceDE w:val="0"/>
        <w:autoSpaceDN w:val="0"/>
        <w:adjustRightInd w:val="0"/>
        <w:jc w:val="both"/>
        <w:rPr>
          <w:iCs/>
          <w:sz w:val="20"/>
          <w:szCs w:val="20"/>
        </w:rPr>
      </w:pPr>
      <w:r w:rsidRPr="009118AB">
        <w:rPr>
          <w:iCs/>
          <w:sz w:val="20"/>
          <w:szCs w:val="20"/>
        </w:rPr>
        <w:t>§ </w:t>
      </w:r>
      <w:r w:rsidR="00D74386" w:rsidRPr="009118AB">
        <w:rPr>
          <w:iCs/>
          <w:sz w:val="20"/>
          <w:szCs w:val="20"/>
        </w:rPr>
        <w:t>2</w:t>
      </w:r>
      <w:r w:rsidRPr="009118AB">
        <w:rPr>
          <w:iCs/>
          <w:sz w:val="20"/>
          <w:szCs w:val="20"/>
        </w:rPr>
        <w:t> - </w:t>
      </w:r>
      <w:r w:rsidR="00D74386" w:rsidRPr="009118AB">
        <w:rPr>
          <w:iCs/>
          <w:sz w:val="20"/>
          <w:szCs w:val="20"/>
        </w:rPr>
        <w:t>[[Paragraph 1 und Artikel 550 sind nicht anwendbar]:</w:t>
      </w:r>
    </w:p>
    <w:p w14:paraId="77B94329" w14:textId="77777777" w:rsidR="00D74386" w:rsidRPr="009118AB" w:rsidRDefault="00D74386" w:rsidP="00D74386">
      <w:pPr>
        <w:autoSpaceDE w:val="0"/>
        <w:autoSpaceDN w:val="0"/>
        <w:adjustRightInd w:val="0"/>
        <w:jc w:val="both"/>
        <w:rPr>
          <w:iCs/>
          <w:sz w:val="20"/>
          <w:szCs w:val="20"/>
        </w:rPr>
      </w:pPr>
    </w:p>
    <w:p w14:paraId="195274C2" w14:textId="77777777" w:rsidR="00D74386" w:rsidRPr="009118AB" w:rsidRDefault="00D74386" w:rsidP="00D74386">
      <w:pPr>
        <w:autoSpaceDE w:val="0"/>
        <w:autoSpaceDN w:val="0"/>
        <w:adjustRightInd w:val="0"/>
        <w:jc w:val="both"/>
        <w:rPr>
          <w:iCs/>
          <w:sz w:val="20"/>
          <w:szCs w:val="20"/>
        </w:rPr>
      </w:pPr>
      <w:r w:rsidRPr="009118AB">
        <w:rPr>
          <w:iCs/>
          <w:sz w:val="20"/>
          <w:szCs w:val="20"/>
        </w:rPr>
        <w:t>1. auf Fahrzeuge, die ausschließlich für einen Taxidienst oder die Vermietung mit Fahrer genutzt werden und aus diesem Grund nicht der Verkehrssteuer auf Kraftfahrzeuge unterliegen,</w:t>
      </w:r>
    </w:p>
    <w:p w14:paraId="0B55E982" w14:textId="77777777" w:rsidR="00D74386" w:rsidRPr="009118AB" w:rsidRDefault="00D74386" w:rsidP="00D74386">
      <w:pPr>
        <w:autoSpaceDE w:val="0"/>
        <w:autoSpaceDN w:val="0"/>
        <w:adjustRightInd w:val="0"/>
        <w:jc w:val="both"/>
        <w:rPr>
          <w:iCs/>
          <w:sz w:val="20"/>
          <w:szCs w:val="20"/>
        </w:rPr>
      </w:pPr>
    </w:p>
    <w:p w14:paraId="79EBC816" w14:textId="77777777" w:rsidR="00D74386" w:rsidRPr="009118AB" w:rsidRDefault="00D74386" w:rsidP="00D74386">
      <w:pPr>
        <w:autoSpaceDE w:val="0"/>
        <w:autoSpaceDN w:val="0"/>
        <w:adjustRightInd w:val="0"/>
        <w:jc w:val="both"/>
        <w:rPr>
          <w:iCs/>
          <w:sz w:val="20"/>
          <w:szCs w:val="20"/>
        </w:rPr>
      </w:pPr>
      <w:r w:rsidRPr="009118AB">
        <w:rPr>
          <w:iCs/>
          <w:sz w:val="20"/>
          <w:szCs w:val="20"/>
        </w:rPr>
        <w:t>2. auf Fahrzeuge, die ausschließlich für den praktischen Unterricht in zugelassenen Fahrschulen genutzt werden und zu diesem Zweck eigens ausgerüstet sind,</w:t>
      </w:r>
    </w:p>
    <w:p w14:paraId="6567E61B" w14:textId="77777777" w:rsidR="00D74386" w:rsidRPr="009118AB" w:rsidRDefault="00D74386" w:rsidP="00D74386">
      <w:pPr>
        <w:autoSpaceDE w:val="0"/>
        <w:autoSpaceDN w:val="0"/>
        <w:adjustRightInd w:val="0"/>
        <w:jc w:val="both"/>
        <w:rPr>
          <w:iCs/>
          <w:sz w:val="20"/>
          <w:szCs w:val="20"/>
        </w:rPr>
      </w:pPr>
    </w:p>
    <w:p w14:paraId="5DF38C39" w14:textId="77777777" w:rsidR="00D74386" w:rsidRPr="009118AB" w:rsidRDefault="00D74386" w:rsidP="00D74386">
      <w:pPr>
        <w:autoSpaceDE w:val="0"/>
        <w:autoSpaceDN w:val="0"/>
        <w:adjustRightInd w:val="0"/>
        <w:jc w:val="both"/>
        <w:rPr>
          <w:iCs/>
          <w:sz w:val="20"/>
          <w:szCs w:val="20"/>
        </w:rPr>
      </w:pPr>
      <w:r w:rsidRPr="009118AB">
        <w:rPr>
          <w:iCs/>
          <w:sz w:val="20"/>
          <w:szCs w:val="20"/>
        </w:rPr>
        <w:t>3. auf Fahrzeuge, die ausschließlich an Dritte vermietet werden,]</w:t>
      </w:r>
    </w:p>
    <w:p w14:paraId="63574E8E" w14:textId="77777777" w:rsidR="00D74386" w:rsidRPr="009118AB" w:rsidRDefault="00D74386" w:rsidP="00D74386">
      <w:pPr>
        <w:autoSpaceDE w:val="0"/>
        <w:autoSpaceDN w:val="0"/>
        <w:adjustRightInd w:val="0"/>
        <w:jc w:val="both"/>
        <w:rPr>
          <w:iCs/>
          <w:sz w:val="20"/>
          <w:szCs w:val="20"/>
        </w:rPr>
      </w:pPr>
    </w:p>
    <w:p w14:paraId="276D9459" w14:textId="77777777" w:rsidR="00D74386" w:rsidRPr="009118AB" w:rsidRDefault="00D74386" w:rsidP="00D74386">
      <w:pPr>
        <w:autoSpaceDE w:val="0"/>
        <w:autoSpaceDN w:val="0"/>
        <w:adjustRightInd w:val="0"/>
        <w:jc w:val="both"/>
        <w:rPr>
          <w:iCs/>
          <w:sz w:val="20"/>
          <w:szCs w:val="20"/>
        </w:rPr>
      </w:pPr>
      <w:r w:rsidRPr="009118AB">
        <w:rPr>
          <w:iCs/>
          <w:sz w:val="20"/>
          <w:szCs w:val="20"/>
        </w:rPr>
        <w:t>[</w:t>
      </w:r>
      <w:r w:rsidRPr="009118AB">
        <w:rPr>
          <w:sz w:val="20"/>
          <w:szCs w:val="20"/>
        </w:rPr>
        <w:t>4. auf Kosten, die auf Dritte abgewälzt werden, vorausgesetzt, diese Kosten sind ausdrücklich und separat auf der Rechnung vermerkt,</w:t>
      </w:r>
      <w:r w:rsidRPr="009118AB">
        <w:rPr>
          <w:iCs/>
          <w:sz w:val="20"/>
          <w:szCs w:val="20"/>
        </w:rPr>
        <w:t>]</w:t>
      </w:r>
    </w:p>
    <w:p w14:paraId="31E0F05A" w14:textId="77777777" w:rsidR="00D74386" w:rsidRPr="009118AB" w:rsidRDefault="00D74386" w:rsidP="00D74386">
      <w:pPr>
        <w:autoSpaceDE w:val="0"/>
        <w:autoSpaceDN w:val="0"/>
        <w:adjustRightInd w:val="0"/>
        <w:jc w:val="both"/>
        <w:rPr>
          <w:iCs/>
          <w:sz w:val="20"/>
          <w:szCs w:val="20"/>
        </w:rPr>
      </w:pPr>
    </w:p>
    <w:p w14:paraId="1D717441" w14:textId="77777777" w:rsidR="00D74386" w:rsidRPr="009118AB" w:rsidRDefault="00D74386" w:rsidP="00D74386">
      <w:pPr>
        <w:autoSpaceDE w:val="0"/>
        <w:autoSpaceDN w:val="0"/>
        <w:adjustRightInd w:val="0"/>
        <w:jc w:val="both"/>
        <w:rPr>
          <w:iCs/>
          <w:sz w:val="20"/>
          <w:szCs w:val="20"/>
        </w:rPr>
      </w:pPr>
      <w:r w:rsidRPr="009118AB">
        <w:rPr>
          <w:iCs/>
          <w:sz w:val="20"/>
          <w:szCs w:val="20"/>
        </w:rPr>
        <w:t>[</w:t>
      </w:r>
      <w:r w:rsidRPr="009118AB">
        <w:rPr>
          <w:sz w:val="20"/>
          <w:szCs w:val="20"/>
        </w:rPr>
        <w:t>5. auf Kosten in Bezug auf Ladestationen für Elektrofahrzeuge.]</w:t>
      </w:r>
    </w:p>
    <w:p w14:paraId="2485A700" w14:textId="77777777" w:rsidR="00D74386" w:rsidRPr="009118AB" w:rsidRDefault="00D74386" w:rsidP="00D74386">
      <w:pPr>
        <w:autoSpaceDE w:val="0"/>
        <w:autoSpaceDN w:val="0"/>
        <w:adjustRightInd w:val="0"/>
        <w:jc w:val="both"/>
        <w:rPr>
          <w:iCs/>
          <w:sz w:val="20"/>
          <w:szCs w:val="20"/>
        </w:rPr>
      </w:pPr>
    </w:p>
    <w:p w14:paraId="3664661F" w14:textId="21AD5384" w:rsidR="00D74386" w:rsidRPr="009118AB" w:rsidRDefault="00D67EB8" w:rsidP="00D74386">
      <w:pPr>
        <w:autoSpaceDE w:val="0"/>
        <w:autoSpaceDN w:val="0"/>
        <w:adjustRightInd w:val="0"/>
        <w:jc w:val="both"/>
        <w:rPr>
          <w:sz w:val="20"/>
          <w:szCs w:val="20"/>
        </w:rPr>
      </w:pPr>
      <w:r w:rsidRPr="009118AB">
        <w:rPr>
          <w:iCs/>
          <w:sz w:val="20"/>
          <w:szCs w:val="20"/>
        </w:rPr>
        <w:t>§ </w:t>
      </w:r>
      <w:r w:rsidR="00D74386" w:rsidRPr="009118AB">
        <w:rPr>
          <w:iCs/>
          <w:sz w:val="20"/>
          <w:szCs w:val="20"/>
        </w:rPr>
        <w:t>3</w:t>
      </w:r>
      <w:r w:rsidRPr="009118AB">
        <w:rPr>
          <w:iCs/>
          <w:sz w:val="20"/>
          <w:szCs w:val="20"/>
        </w:rPr>
        <w:t> - </w:t>
      </w:r>
      <w:r w:rsidR="00D74386" w:rsidRPr="009118AB">
        <w:rPr>
          <w:iCs/>
          <w:sz w:val="20"/>
          <w:szCs w:val="20"/>
        </w:rPr>
        <w:t>[[</w:t>
      </w:r>
      <w:r w:rsidR="00D74386" w:rsidRPr="009118AB">
        <w:rPr>
          <w:sz w:val="20"/>
          <w:szCs w:val="20"/>
        </w:rPr>
        <w:t xml:space="preserve">In </w:t>
      </w:r>
      <w:r w:rsidRPr="009118AB">
        <w:rPr>
          <w:sz w:val="20"/>
          <w:szCs w:val="20"/>
        </w:rPr>
        <w:t>§ </w:t>
      </w:r>
      <w:r w:rsidR="00D74386" w:rsidRPr="009118AB">
        <w:rPr>
          <w:sz w:val="20"/>
          <w:szCs w:val="20"/>
        </w:rPr>
        <w:t>1 und in Artikel 550] erwähnte Werbungskosten umfassen:</w:t>
      </w:r>
    </w:p>
    <w:p w14:paraId="44AE72CD" w14:textId="77777777" w:rsidR="00D74386" w:rsidRPr="009118AB" w:rsidRDefault="00D74386" w:rsidP="00D74386">
      <w:pPr>
        <w:autoSpaceDE w:val="0"/>
        <w:autoSpaceDN w:val="0"/>
        <w:adjustRightInd w:val="0"/>
        <w:jc w:val="both"/>
        <w:rPr>
          <w:sz w:val="20"/>
          <w:szCs w:val="20"/>
        </w:rPr>
      </w:pPr>
    </w:p>
    <w:p w14:paraId="7376FD82" w14:textId="542ED7B6" w:rsidR="00D74386" w:rsidRPr="009118AB" w:rsidRDefault="00D74386" w:rsidP="00D74386">
      <w:pPr>
        <w:autoSpaceDE w:val="0"/>
        <w:autoSpaceDN w:val="0"/>
        <w:adjustRightInd w:val="0"/>
        <w:jc w:val="both"/>
        <w:rPr>
          <w:sz w:val="20"/>
          <w:szCs w:val="20"/>
        </w:rPr>
      </w:pPr>
      <w:r w:rsidRPr="009118AB">
        <w:rPr>
          <w:sz w:val="20"/>
          <w:szCs w:val="20"/>
        </w:rPr>
        <w:t xml:space="preserve">1. Kosten in Bezug auf die in </w:t>
      </w:r>
      <w:r w:rsidR="00D67EB8" w:rsidRPr="009118AB">
        <w:rPr>
          <w:sz w:val="20"/>
          <w:szCs w:val="20"/>
        </w:rPr>
        <w:t>§ </w:t>
      </w:r>
      <w:r w:rsidRPr="009118AB">
        <w:rPr>
          <w:sz w:val="20"/>
          <w:szCs w:val="20"/>
        </w:rPr>
        <w:t xml:space="preserve">2 </w:t>
      </w:r>
      <w:r w:rsidR="00D67EB8" w:rsidRPr="009118AB">
        <w:rPr>
          <w:sz w:val="20"/>
          <w:szCs w:val="20"/>
        </w:rPr>
        <w:t>Nr. </w:t>
      </w:r>
      <w:r w:rsidRPr="009118AB">
        <w:rPr>
          <w:sz w:val="20"/>
          <w:szCs w:val="20"/>
        </w:rPr>
        <w:t>1 und 3 erwähnten einem Dritten gehörenden Fahrzeuge, die vom Endnutzer dieser Fahrzeuge gemacht werden,</w:t>
      </w:r>
    </w:p>
    <w:p w14:paraId="36E858AB" w14:textId="77777777" w:rsidR="00D74386" w:rsidRPr="009118AB" w:rsidRDefault="00D74386" w:rsidP="00D74386">
      <w:pPr>
        <w:autoSpaceDE w:val="0"/>
        <w:autoSpaceDN w:val="0"/>
        <w:adjustRightInd w:val="0"/>
        <w:jc w:val="both"/>
        <w:rPr>
          <w:sz w:val="20"/>
          <w:szCs w:val="20"/>
        </w:rPr>
      </w:pPr>
    </w:p>
    <w:p w14:paraId="0A9E5617" w14:textId="77777777" w:rsidR="00D74386" w:rsidRPr="009118AB" w:rsidRDefault="00D74386" w:rsidP="00D74386">
      <w:pPr>
        <w:autoSpaceDE w:val="0"/>
        <w:autoSpaceDN w:val="0"/>
        <w:adjustRightInd w:val="0"/>
        <w:jc w:val="both"/>
        <w:rPr>
          <w:sz w:val="20"/>
          <w:szCs w:val="20"/>
        </w:rPr>
      </w:pPr>
      <w:r w:rsidRPr="009118AB">
        <w:rPr>
          <w:sz w:val="20"/>
          <w:szCs w:val="20"/>
        </w:rPr>
        <w:t>2. den Betrag der in vorliegendem Artikel erwähnten Kosten, die Dritten zurückgezahlt werden,</w:t>
      </w:r>
    </w:p>
    <w:p w14:paraId="77596C25" w14:textId="77777777" w:rsidR="00D74386" w:rsidRPr="009118AB" w:rsidRDefault="00D74386" w:rsidP="00D74386">
      <w:pPr>
        <w:autoSpaceDE w:val="0"/>
        <w:autoSpaceDN w:val="0"/>
        <w:adjustRightInd w:val="0"/>
        <w:jc w:val="both"/>
        <w:rPr>
          <w:sz w:val="20"/>
          <w:szCs w:val="20"/>
        </w:rPr>
      </w:pPr>
    </w:p>
    <w:p w14:paraId="3C96C5B2" w14:textId="77777777" w:rsidR="00D74386" w:rsidRPr="009118AB" w:rsidRDefault="00D74386" w:rsidP="00D74386">
      <w:pPr>
        <w:autoSpaceDE w:val="0"/>
        <w:autoSpaceDN w:val="0"/>
        <w:adjustRightInd w:val="0"/>
        <w:jc w:val="both"/>
        <w:rPr>
          <w:iCs/>
          <w:sz w:val="20"/>
          <w:szCs w:val="20"/>
        </w:rPr>
      </w:pPr>
      <w:r w:rsidRPr="009118AB">
        <w:rPr>
          <w:sz w:val="20"/>
          <w:szCs w:val="20"/>
        </w:rPr>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118AB">
        <w:rPr>
          <w:iCs/>
          <w:sz w:val="20"/>
          <w:szCs w:val="20"/>
        </w:rPr>
        <w:t>]</w:t>
      </w:r>
    </w:p>
    <w:p w14:paraId="7F2B1A0C" w14:textId="77777777" w:rsidR="00D74386" w:rsidRPr="009118AB" w:rsidRDefault="00D74386" w:rsidP="00D74386">
      <w:pPr>
        <w:autoSpaceDE w:val="0"/>
        <w:autoSpaceDN w:val="0"/>
        <w:adjustRightInd w:val="0"/>
        <w:jc w:val="both"/>
        <w:rPr>
          <w:iCs/>
          <w:sz w:val="20"/>
          <w:szCs w:val="20"/>
        </w:rPr>
      </w:pPr>
    </w:p>
    <w:p w14:paraId="33933D24" w14:textId="1E972FF8" w:rsidR="00D74386" w:rsidRPr="009118AB" w:rsidRDefault="00D67EB8" w:rsidP="00D74386">
      <w:pPr>
        <w:autoSpaceDE w:val="0"/>
        <w:autoSpaceDN w:val="0"/>
        <w:adjustRightInd w:val="0"/>
        <w:jc w:val="both"/>
        <w:rPr>
          <w:iCs/>
          <w:sz w:val="20"/>
          <w:szCs w:val="20"/>
        </w:rPr>
      </w:pPr>
      <w:r w:rsidRPr="009118AB">
        <w:rPr>
          <w:iCs/>
          <w:sz w:val="20"/>
          <w:szCs w:val="20"/>
        </w:rPr>
        <w:t>§ </w:t>
      </w:r>
      <w:r w:rsidR="00D74386" w:rsidRPr="009118AB">
        <w:rPr>
          <w:iCs/>
          <w:sz w:val="20"/>
          <w:szCs w:val="20"/>
        </w:rPr>
        <w:t>4</w:t>
      </w:r>
      <w:r w:rsidRPr="009118AB">
        <w:rPr>
          <w:iCs/>
          <w:sz w:val="20"/>
          <w:szCs w:val="20"/>
        </w:rPr>
        <w:t> - </w:t>
      </w:r>
      <w:r w:rsidR="00D74386" w:rsidRPr="009118AB">
        <w:rPr>
          <w:iCs/>
          <w:sz w:val="20"/>
          <w:szCs w:val="20"/>
        </w:rPr>
        <w:t xml:space="preserve">[In Abweichung von </w:t>
      </w:r>
      <w:r w:rsidRPr="009118AB">
        <w:rPr>
          <w:iCs/>
          <w:sz w:val="20"/>
          <w:szCs w:val="20"/>
        </w:rPr>
        <w:t>§ </w:t>
      </w:r>
      <w:r w:rsidR="00D74386" w:rsidRPr="009118AB">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118AB">
        <w:rPr>
          <w:iCs/>
          <w:sz w:val="20"/>
          <w:szCs w:val="20"/>
        </w:rPr>
        <w:t>§ </w:t>
      </w:r>
      <w:r w:rsidR="00D74386" w:rsidRPr="009118AB">
        <w:rPr>
          <w:iCs/>
          <w:sz w:val="20"/>
          <w:szCs w:val="20"/>
        </w:rPr>
        <w:t xml:space="preserve">1 </w:t>
      </w:r>
      <w:r w:rsidRPr="009118AB">
        <w:rPr>
          <w:iCs/>
          <w:sz w:val="20"/>
          <w:szCs w:val="20"/>
        </w:rPr>
        <w:t>Nr. </w:t>
      </w:r>
      <w:r w:rsidR="00D74386" w:rsidRPr="009118AB">
        <w:rPr>
          <w:iCs/>
          <w:sz w:val="20"/>
          <w:szCs w:val="20"/>
        </w:rPr>
        <w:t xml:space="preserve">3 des Gesetzbuches der den Einkommensteuern gleichgesetzten Steuern nicht der Verkehrssteuer unterliegen, noch auf Fahrzeuge, deren Werbungskosten gemäß </w:t>
      </w:r>
      <w:r w:rsidRPr="009118AB">
        <w:rPr>
          <w:iCs/>
          <w:sz w:val="20"/>
          <w:szCs w:val="20"/>
        </w:rPr>
        <w:t>§ </w:t>
      </w:r>
      <w:r w:rsidR="00D74386" w:rsidRPr="009118AB">
        <w:rPr>
          <w:iCs/>
          <w:sz w:val="20"/>
          <w:szCs w:val="20"/>
        </w:rPr>
        <w:t>1 nicht abzugsfähig sind.]</w:t>
      </w:r>
    </w:p>
    <w:p w14:paraId="329D4E71" w14:textId="77777777" w:rsidR="00D74386" w:rsidRPr="009118AB" w:rsidRDefault="00D74386" w:rsidP="00D74386">
      <w:pPr>
        <w:autoSpaceDE w:val="0"/>
        <w:autoSpaceDN w:val="0"/>
        <w:adjustRightInd w:val="0"/>
        <w:jc w:val="both"/>
        <w:rPr>
          <w:iCs/>
          <w:sz w:val="20"/>
          <w:szCs w:val="20"/>
        </w:rPr>
      </w:pPr>
    </w:p>
    <w:p w14:paraId="57D72003" w14:textId="185AACDC" w:rsidR="00D74386" w:rsidRPr="009118AB" w:rsidRDefault="00D67EB8" w:rsidP="00D74386">
      <w:pPr>
        <w:autoSpaceDE w:val="0"/>
        <w:autoSpaceDN w:val="0"/>
        <w:adjustRightInd w:val="0"/>
        <w:jc w:val="both"/>
        <w:rPr>
          <w:iCs/>
          <w:sz w:val="20"/>
          <w:szCs w:val="20"/>
        </w:rPr>
      </w:pPr>
      <w:r w:rsidRPr="009118AB">
        <w:rPr>
          <w:iCs/>
          <w:sz w:val="20"/>
          <w:szCs w:val="20"/>
        </w:rPr>
        <w:t>§ </w:t>
      </w:r>
      <w:r w:rsidR="00D74386" w:rsidRPr="009118AB">
        <w:rPr>
          <w:iCs/>
          <w:sz w:val="20"/>
          <w:szCs w:val="20"/>
        </w:rPr>
        <w:t>5</w:t>
      </w:r>
      <w:r w:rsidRPr="009118AB">
        <w:rPr>
          <w:iCs/>
          <w:sz w:val="20"/>
          <w:szCs w:val="20"/>
        </w:rPr>
        <w:t> - </w:t>
      </w:r>
      <w:r w:rsidR="00D74386" w:rsidRPr="009118AB">
        <w:rPr>
          <w:iCs/>
          <w:sz w:val="20"/>
          <w:szCs w:val="20"/>
        </w:rPr>
        <w:t xml:space="preserve">Der in </w:t>
      </w:r>
      <w:r w:rsidRPr="009118AB">
        <w:rPr>
          <w:iCs/>
          <w:sz w:val="20"/>
          <w:szCs w:val="20"/>
        </w:rPr>
        <w:t>§ </w:t>
      </w:r>
      <w:r w:rsidR="00D74386" w:rsidRPr="009118AB">
        <w:rPr>
          <w:iCs/>
          <w:sz w:val="20"/>
          <w:szCs w:val="20"/>
        </w:rPr>
        <w:t>4 festgelegte Pauschalbetrag darf dem Steuerpflichtigen ausschließlich bewilligt werden, wenn das betreffende Fahrzeug:</w:t>
      </w:r>
    </w:p>
    <w:p w14:paraId="72F4008F" w14:textId="77777777" w:rsidR="00D74386" w:rsidRPr="009118AB" w:rsidRDefault="00D74386" w:rsidP="00D74386">
      <w:pPr>
        <w:autoSpaceDE w:val="0"/>
        <w:autoSpaceDN w:val="0"/>
        <w:adjustRightInd w:val="0"/>
        <w:jc w:val="both"/>
        <w:rPr>
          <w:iCs/>
          <w:sz w:val="20"/>
          <w:szCs w:val="20"/>
        </w:rPr>
      </w:pPr>
    </w:p>
    <w:p w14:paraId="15C65641" w14:textId="77777777" w:rsidR="00D74386" w:rsidRPr="009118AB" w:rsidRDefault="00D74386" w:rsidP="00D74386">
      <w:pPr>
        <w:autoSpaceDE w:val="0"/>
        <w:autoSpaceDN w:val="0"/>
        <w:adjustRightInd w:val="0"/>
        <w:jc w:val="both"/>
        <w:rPr>
          <w:iCs/>
          <w:sz w:val="20"/>
          <w:szCs w:val="20"/>
        </w:rPr>
      </w:pPr>
      <w:r w:rsidRPr="009118AB">
        <w:rPr>
          <w:iCs/>
          <w:sz w:val="20"/>
          <w:szCs w:val="20"/>
        </w:rPr>
        <w:t>1. entweder sein Eigentum ist</w:t>
      </w:r>
    </w:p>
    <w:p w14:paraId="74E7A918" w14:textId="77777777" w:rsidR="00D74386" w:rsidRPr="009118AB" w:rsidRDefault="00D74386" w:rsidP="00D74386">
      <w:pPr>
        <w:autoSpaceDE w:val="0"/>
        <w:autoSpaceDN w:val="0"/>
        <w:adjustRightInd w:val="0"/>
        <w:jc w:val="both"/>
        <w:rPr>
          <w:iCs/>
          <w:sz w:val="20"/>
          <w:szCs w:val="20"/>
        </w:rPr>
      </w:pPr>
    </w:p>
    <w:p w14:paraId="764EE15F" w14:textId="77777777" w:rsidR="00D74386" w:rsidRPr="009118AB" w:rsidRDefault="00D74386" w:rsidP="00D74386">
      <w:pPr>
        <w:autoSpaceDE w:val="0"/>
        <w:autoSpaceDN w:val="0"/>
        <w:adjustRightInd w:val="0"/>
        <w:jc w:val="both"/>
        <w:rPr>
          <w:iCs/>
          <w:sz w:val="20"/>
          <w:szCs w:val="20"/>
        </w:rPr>
      </w:pPr>
      <w:r w:rsidRPr="009118AB">
        <w:rPr>
          <w:iCs/>
          <w:sz w:val="20"/>
          <w:szCs w:val="20"/>
        </w:rPr>
        <w:t>2. oder bei der Direktion für Fahrzeugzulassungen auf seinen Namen zugelassen ist</w:t>
      </w:r>
    </w:p>
    <w:p w14:paraId="4B28E9D4" w14:textId="77777777" w:rsidR="00D74386" w:rsidRPr="009118AB" w:rsidRDefault="00D74386" w:rsidP="00D74386">
      <w:pPr>
        <w:autoSpaceDE w:val="0"/>
        <w:autoSpaceDN w:val="0"/>
        <w:adjustRightInd w:val="0"/>
        <w:jc w:val="both"/>
        <w:rPr>
          <w:iCs/>
          <w:sz w:val="20"/>
          <w:szCs w:val="20"/>
        </w:rPr>
      </w:pPr>
    </w:p>
    <w:p w14:paraId="7B9F4EA4" w14:textId="77777777" w:rsidR="00D74386" w:rsidRPr="009118AB" w:rsidRDefault="00D74386" w:rsidP="00D74386">
      <w:pPr>
        <w:autoSpaceDE w:val="0"/>
        <w:autoSpaceDN w:val="0"/>
        <w:adjustRightInd w:val="0"/>
        <w:jc w:val="both"/>
        <w:rPr>
          <w:iCs/>
          <w:sz w:val="20"/>
          <w:szCs w:val="20"/>
        </w:rPr>
      </w:pPr>
      <w:r w:rsidRPr="009118AB">
        <w:rPr>
          <w:iCs/>
          <w:sz w:val="20"/>
          <w:szCs w:val="20"/>
        </w:rPr>
        <w:t>3. oder ihm aufgrund eines Miet- oder Leasingvertrags ständig oder gewöhnlich zur Verfügung steht</w:t>
      </w:r>
    </w:p>
    <w:p w14:paraId="2998E79C" w14:textId="77777777" w:rsidR="00D74386" w:rsidRPr="009118AB" w:rsidRDefault="00D74386" w:rsidP="00D74386">
      <w:pPr>
        <w:autoSpaceDE w:val="0"/>
        <w:autoSpaceDN w:val="0"/>
        <w:adjustRightInd w:val="0"/>
        <w:jc w:val="both"/>
        <w:rPr>
          <w:iCs/>
          <w:sz w:val="20"/>
          <w:szCs w:val="20"/>
        </w:rPr>
      </w:pPr>
    </w:p>
    <w:p w14:paraId="69FA133A" w14:textId="77777777" w:rsidR="00D74386" w:rsidRPr="009118AB" w:rsidRDefault="00D74386" w:rsidP="00D74386">
      <w:pPr>
        <w:autoSpaceDE w:val="0"/>
        <w:autoSpaceDN w:val="0"/>
        <w:adjustRightInd w:val="0"/>
        <w:jc w:val="both"/>
        <w:rPr>
          <w:iCs/>
          <w:sz w:val="20"/>
          <w:szCs w:val="20"/>
        </w:rPr>
      </w:pPr>
      <w:r w:rsidRPr="009118AB">
        <w:rPr>
          <w:iCs/>
          <w:sz w:val="20"/>
          <w:szCs w:val="20"/>
        </w:rPr>
        <w:t>4. oder seinem Arbeitgeber oder seiner Gesellschaft gehört und der möglicherweise aus der Nutzung dieses Fahrzeugs entstehende Vorteil zu seinen Lasten besteuert wird.</w:t>
      </w:r>
    </w:p>
    <w:p w14:paraId="39C083D1" w14:textId="77777777" w:rsidR="00D74386" w:rsidRPr="009118AB" w:rsidRDefault="00D74386" w:rsidP="00D74386">
      <w:pPr>
        <w:autoSpaceDE w:val="0"/>
        <w:autoSpaceDN w:val="0"/>
        <w:adjustRightInd w:val="0"/>
        <w:jc w:val="both"/>
        <w:rPr>
          <w:iCs/>
          <w:sz w:val="20"/>
          <w:szCs w:val="20"/>
        </w:rPr>
      </w:pPr>
    </w:p>
    <w:p w14:paraId="298DCA69" w14:textId="428033FB" w:rsidR="00D74386" w:rsidRPr="009118AB" w:rsidRDefault="00D74386" w:rsidP="00D74386">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118AB">
        <w:rPr>
          <w:iCs/>
          <w:sz w:val="20"/>
          <w:szCs w:val="20"/>
        </w:rPr>
        <w:t>§ </w:t>
      </w:r>
      <w:r w:rsidRPr="009118AB">
        <w:rPr>
          <w:iCs/>
          <w:sz w:val="20"/>
          <w:szCs w:val="20"/>
        </w:rPr>
        <w:t>4 erwähnte Fahrt nutzt, wobei der Pauschalbetrag für gemeinsam gemachte Fahrten aber nur einem einzigen Steuerpflichtigen bewilligt werden darf.]</w:t>
      </w:r>
    </w:p>
    <w:p w14:paraId="3F9ADDAF" w14:textId="77777777" w:rsidR="00D74386" w:rsidRPr="009118AB" w:rsidRDefault="00D74386" w:rsidP="00D74386">
      <w:pPr>
        <w:autoSpaceDE w:val="0"/>
        <w:autoSpaceDN w:val="0"/>
        <w:adjustRightInd w:val="0"/>
        <w:jc w:val="both"/>
        <w:rPr>
          <w:iCs/>
          <w:sz w:val="20"/>
          <w:szCs w:val="20"/>
        </w:rPr>
      </w:pPr>
    </w:p>
    <w:p w14:paraId="33375D9D" w14:textId="6190128B" w:rsidR="00D74386" w:rsidRPr="009118AB" w:rsidRDefault="00D74386" w:rsidP="00D74386">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118AB">
        <w:rPr>
          <w:iCs/>
          <w:sz w:val="20"/>
          <w:szCs w:val="20"/>
        </w:rPr>
        <w:t>§ </w:t>
      </w:r>
      <w:r w:rsidRPr="009118AB">
        <w:rPr>
          <w:iCs/>
          <w:sz w:val="20"/>
          <w:szCs w:val="20"/>
        </w:rPr>
        <w:t>2 letzter Absatz erwähnte Beteiligung.]</w:t>
      </w:r>
    </w:p>
    <w:p w14:paraId="6E0F1E1C" w14:textId="77777777" w:rsidR="00D74386" w:rsidRPr="009118AB" w:rsidRDefault="00D74386" w:rsidP="00D74386">
      <w:pPr>
        <w:autoSpaceDE w:val="0"/>
        <w:autoSpaceDN w:val="0"/>
        <w:adjustRightInd w:val="0"/>
        <w:jc w:val="both"/>
        <w:rPr>
          <w:iCs/>
          <w:sz w:val="20"/>
          <w:szCs w:val="20"/>
        </w:rPr>
      </w:pPr>
    </w:p>
    <w:p w14:paraId="5502FC5A" w14:textId="5F5A5027" w:rsidR="00D74386" w:rsidRPr="009118AB" w:rsidRDefault="00D74386" w:rsidP="00D74386">
      <w:pPr>
        <w:autoSpaceDE w:val="0"/>
        <w:autoSpaceDN w:val="0"/>
        <w:adjustRightInd w:val="0"/>
        <w:jc w:val="both"/>
        <w:rPr>
          <w:iCs/>
          <w:sz w:val="20"/>
          <w:szCs w:val="20"/>
        </w:rPr>
      </w:pPr>
      <w:r w:rsidRPr="009118AB">
        <w:rPr>
          <w:iCs/>
          <w:sz w:val="20"/>
          <w:szCs w:val="20"/>
        </w:rPr>
        <w:t>[</w:t>
      </w:r>
      <w:r w:rsidR="006246F0" w:rsidRPr="009118AB">
        <w:rPr>
          <w:iCs/>
          <w:sz w:val="20"/>
          <w:szCs w:val="20"/>
        </w:rPr>
        <w:t>..</w:t>
      </w:r>
      <w:r w:rsidRPr="009118AB">
        <w:rPr>
          <w:iCs/>
          <w:sz w:val="20"/>
          <w:szCs w:val="20"/>
        </w:rPr>
        <w:t>.]</w:t>
      </w:r>
    </w:p>
    <w:p w14:paraId="6E97DCFD" w14:textId="77777777" w:rsidR="00D74386" w:rsidRPr="009118AB" w:rsidRDefault="00D74386" w:rsidP="00D74386">
      <w:pPr>
        <w:autoSpaceDE w:val="0"/>
        <w:autoSpaceDN w:val="0"/>
        <w:adjustRightInd w:val="0"/>
        <w:jc w:val="both"/>
        <w:rPr>
          <w:iCs/>
          <w:sz w:val="20"/>
          <w:szCs w:val="20"/>
        </w:rPr>
      </w:pPr>
    </w:p>
    <w:p w14:paraId="56FB8145" w14:textId="3B47296D" w:rsidR="00D74386" w:rsidRPr="009118AB" w:rsidRDefault="00D74386" w:rsidP="00D74386">
      <w:pPr>
        <w:autoSpaceDE w:val="0"/>
        <w:autoSpaceDN w:val="0"/>
        <w:adjustRightInd w:val="0"/>
        <w:jc w:val="both"/>
        <w:rPr>
          <w:spacing w:val="-2"/>
          <w:sz w:val="20"/>
          <w:szCs w:val="20"/>
        </w:rPr>
      </w:pPr>
      <w:r w:rsidRPr="009118AB">
        <w:rPr>
          <w:rFonts w:ascii="Times New Roman Italique" w:hAnsi="Times New Roman Italique"/>
          <w:i/>
          <w:iCs/>
          <w:spacing w:val="2"/>
          <w:sz w:val="20"/>
          <w:szCs w:val="20"/>
        </w:rPr>
        <w:t>[</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66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13 des G. vom 6. Juli 1994 (B.S. vom 16. Juli 1994)</w:t>
      </w:r>
      <w:r w:rsidR="00D67EB8" w:rsidRPr="009118AB">
        <w:rPr>
          <w:rFonts w:ascii="Times New Roman Italique" w:hAnsi="Times New Roman Italique"/>
          <w:i/>
          <w:iCs/>
          <w:spacing w:val="2"/>
          <w:sz w:val="20"/>
          <w:szCs w:val="20"/>
        </w:rPr>
        <w:t> - </w:t>
      </w:r>
      <w:r w:rsidRPr="009118AB">
        <w:rPr>
          <w:rFonts w:ascii="Times New Roman Italique" w:hAnsi="Times New Roman Italique"/>
          <w:i/>
          <w:iCs/>
          <w:spacing w:val="2"/>
          <w:sz w:val="20"/>
          <w:szCs w:val="20"/>
        </w:rPr>
        <w:t>anwendbar ab dem Steuerjahr 1993</w:t>
      </w:r>
      <w:r w:rsidR="003366D9" w:rsidRPr="009118AB">
        <w:rPr>
          <w:rFonts w:ascii="Times New Roman Italique" w:hAnsi="Times New Roman Italique"/>
          <w:i/>
          <w:iCs/>
          <w:spacing w:val="2"/>
          <w:sz w:val="20"/>
          <w:szCs w:val="20"/>
        </w:rPr>
        <w:t> </w:t>
      </w:r>
      <w:r w:rsidR="003366D9" w:rsidRPr="009118AB">
        <w:rPr>
          <w:rFonts w:ascii="Times New Roman Italique" w:hAnsi="Times New Roman Italique" w:hint="eastAsia"/>
          <w:i/>
          <w:iCs/>
          <w:spacing w:val="2"/>
          <w:sz w:val="20"/>
          <w:szCs w:val="20"/>
        </w:rPr>
        <w:t>-;</w:t>
      </w:r>
      <w:r w:rsidRPr="009118AB">
        <w:rPr>
          <w:rFonts w:ascii="Times New Roman Italique" w:hAnsi="Times New Roman Italique"/>
          <w:i/>
          <w:iCs/>
          <w:spacing w:val="2"/>
          <w:sz w:val="20"/>
          <w:szCs w:val="20"/>
        </w:rPr>
        <w:t xml:space="preserve"> </w:t>
      </w:r>
      <w:r w:rsidR="00D67EB8" w:rsidRPr="009118AB">
        <w:rPr>
          <w:rFonts w:ascii="Times New Roman Italique" w:hAnsi="Times New Roman Italique"/>
          <w:i/>
          <w:iCs/>
          <w:spacing w:val="2"/>
          <w:sz w:val="20"/>
          <w:szCs w:val="20"/>
        </w:rPr>
        <w:t>§ </w:t>
      </w:r>
      <w:r w:rsidRPr="009118AB">
        <w:rPr>
          <w:rFonts w:ascii="Times New Roman Italique" w:hAnsi="Times New Roman Italique"/>
          <w:i/>
          <w:iCs/>
          <w:spacing w:val="2"/>
          <w:sz w:val="20"/>
          <w:szCs w:val="20"/>
        </w:rPr>
        <w:t xml:space="preserve">1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3 </w:t>
      </w:r>
      <w:r w:rsidR="00D67EB8" w:rsidRPr="009118AB">
        <w:rPr>
          <w:rFonts w:ascii="Times New Roman Italique" w:hAnsi="Times New Roman Italique"/>
          <w:i/>
          <w:iCs/>
          <w:spacing w:val="2"/>
          <w:sz w:val="20"/>
          <w:szCs w:val="20"/>
        </w:rPr>
        <w:t>Nr. </w:t>
      </w:r>
      <w:r w:rsidRPr="009118AB">
        <w:rPr>
          <w:rFonts w:ascii="Times New Roman Italique" w:hAnsi="Times New Roman Italique"/>
          <w:i/>
          <w:iCs/>
          <w:spacing w:val="2"/>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einleitende Bestimmung abgeändert und erster und zweiter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dritter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vierter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2029</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ersetzt durch </w:t>
      </w:r>
      <w:r w:rsidR="00D67EB8" w:rsidRPr="009118AB">
        <w:rPr>
          <w:i/>
          <w:iCs/>
          <w:sz w:val="20"/>
          <w:szCs w:val="20"/>
        </w:rPr>
        <w:t>Art. </w:t>
      </w:r>
      <w:r w:rsidRPr="009118AB">
        <w:rPr>
          <w:i/>
          <w:iCs/>
          <w:sz w:val="20"/>
          <w:szCs w:val="20"/>
        </w:rPr>
        <w:t xml:space="preserve">105 </w:t>
      </w:r>
      <w:r w:rsidR="00D67EB8" w:rsidRPr="009118AB">
        <w:rPr>
          <w:i/>
          <w:iCs/>
          <w:sz w:val="20"/>
          <w:szCs w:val="20"/>
        </w:rPr>
        <w:t>Nr. </w:t>
      </w:r>
      <w:r w:rsidRPr="009118AB">
        <w:rPr>
          <w:i/>
          <w:iCs/>
          <w:sz w:val="20"/>
          <w:szCs w:val="20"/>
        </w:rPr>
        <w:t>2 des G. vom 27. Dezember 2005 (I) (B.S. vom 30. Dezember 2005)</w:t>
      </w:r>
      <w:r w:rsidR="00D67EB8" w:rsidRPr="009118AB">
        <w:rPr>
          <w:i/>
          <w:iCs/>
          <w:sz w:val="20"/>
          <w:szCs w:val="20"/>
        </w:rPr>
        <w:t> - </w:t>
      </w:r>
      <w:r w:rsidRPr="009118AB">
        <w:rPr>
          <w:i/>
          <w:iCs/>
          <w:sz w:val="20"/>
          <w:szCs w:val="20"/>
        </w:rPr>
        <w:t>in Kraft ab dem Steuerjahr 2007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einleitende Bestimmung ersetzt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6</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4 eingefügt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3 des G. vom 25. Dezember 2017 (III) (B.S. vom 29. Dezember 201)7</w:t>
      </w:r>
      <w:r w:rsidR="00D67EB8" w:rsidRPr="009118AB">
        <w:rPr>
          <w:i/>
          <w:iCs/>
          <w:sz w:val="20"/>
          <w:szCs w:val="20"/>
        </w:rPr>
        <w:t> - </w:t>
      </w:r>
      <w:r w:rsidRPr="009118AB">
        <w:rPr>
          <w:i/>
          <w:iCs/>
          <w:sz w:val="20"/>
          <w:szCs w:val="20"/>
        </w:rPr>
        <w:t>in Kraft am 1. Januar 2018 und anwendbar ab dem Steuerjahr 2019, das sich auf einen Besteuerungszeitraum bezieht, der frühestens am 1. Januar 2018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3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ersetzt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4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einziger Absatz einleitende Bestimmung abgeändert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7</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pacing w:val="-2"/>
          <w:sz w:val="20"/>
          <w:szCs w:val="20"/>
        </w:rPr>
        <w:t>§ </w:t>
      </w:r>
      <w:r w:rsidRPr="009118AB">
        <w:rPr>
          <w:i/>
          <w:iCs/>
          <w:spacing w:val="-2"/>
          <w:sz w:val="20"/>
          <w:szCs w:val="20"/>
        </w:rPr>
        <w:t xml:space="preserve">4 ersetzt durch </w:t>
      </w:r>
      <w:r w:rsidR="00D67EB8" w:rsidRPr="009118AB">
        <w:rPr>
          <w:i/>
          <w:iCs/>
          <w:spacing w:val="-2"/>
          <w:sz w:val="20"/>
          <w:szCs w:val="20"/>
        </w:rPr>
        <w:t>Art. </w:t>
      </w:r>
      <w:r w:rsidRPr="009118AB">
        <w:rPr>
          <w:i/>
          <w:iCs/>
          <w:spacing w:val="-2"/>
          <w:sz w:val="20"/>
          <w:szCs w:val="20"/>
        </w:rPr>
        <w:t xml:space="preserve">3 </w:t>
      </w:r>
      <w:r w:rsidR="00D67EB8" w:rsidRPr="009118AB">
        <w:rPr>
          <w:i/>
          <w:iCs/>
          <w:spacing w:val="-2"/>
          <w:sz w:val="20"/>
          <w:szCs w:val="20"/>
        </w:rPr>
        <w:t>Nr. </w:t>
      </w:r>
      <w:r w:rsidRPr="009118AB">
        <w:rPr>
          <w:i/>
          <w:iCs/>
          <w:spacing w:val="-2"/>
          <w:sz w:val="20"/>
          <w:szCs w:val="20"/>
        </w:rPr>
        <w:t>8</w:t>
      </w:r>
      <w:r w:rsidRPr="009118AB">
        <w:rPr>
          <w:i/>
          <w:iCs/>
          <w:spacing w:val="-2"/>
        </w:rPr>
        <w:t xml:space="preserve"> </w:t>
      </w:r>
      <w:r w:rsidRPr="009118AB">
        <w:rPr>
          <w:i/>
          <w:iCs/>
          <w:spacing w:val="-2"/>
          <w:sz w:val="20"/>
          <w:szCs w:val="20"/>
        </w:rPr>
        <w:t>des G. vom 25. November 2021 (B.S. vom 3. Dezember 2021)</w:t>
      </w:r>
      <w:r w:rsidR="00D67EB8" w:rsidRPr="009118AB">
        <w:rPr>
          <w:i/>
          <w:iCs/>
          <w:spacing w:val="-2"/>
          <w:sz w:val="20"/>
          <w:szCs w:val="20"/>
        </w:rPr>
        <w:t> - </w:t>
      </w:r>
      <w:r w:rsidRPr="009118AB">
        <w:rPr>
          <w:i/>
          <w:iCs/>
          <w:spacing w:val="-2"/>
          <w:sz w:val="20"/>
          <w:szCs w:val="20"/>
        </w:rPr>
        <w:t>in Kraft am 1. Januar 2026 und anwendbar ab dem Steuerjahr 2027, das sich auf einen Besteuerungszeitraum bezieht, der frühestens am 1. Januar 2026 beginnt</w:t>
      </w:r>
      <w:r w:rsidR="003366D9" w:rsidRPr="009118AB">
        <w:rPr>
          <w:i/>
          <w:iCs/>
          <w:spacing w:val="-2"/>
          <w:sz w:val="20"/>
          <w:szCs w:val="20"/>
        </w:rPr>
        <w:t> -;</w:t>
      </w:r>
      <w:r w:rsidRPr="009118AB">
        <w:rPr>
          <w:i/>
          <w:iCs/>
          <w:spacing w:val="-2"/>
          <w:sz w:val="20"/>
          <w:szCs w:val="20"/>
        </w:rPr>
        <w:t xml:space="preserve"> </w:t>
      </w:r>
      <w:r w:rsidR="00D67EB8" w:rsidRPr="009118AB">
        <w:rPr>
          <w:i/>
          <w:iCs/>
          <w:spacing w:val="-2"/>
          <w:sz w:val="20"/>
          <w:szCs w:val="20"/>
        </w:rPr>
        <w:t>§ </w:t>
      </w:r>
      <w:r w:rsidRPr="009118AB">
        <w:rPr>
          <w:i/>
          <w:iCs/>
          <w:spacing w:val="-2"/>
          <w:sz w:val="20"/>
          <w:szCs w:val="20"/>
        </w:rPr>
        <w:t xml:space="preserve">5 </w:t>
      </w:r>
      <w:r w:rsidR="00D67EB8" w:rsidRPr="009118AB">
        <w:rPr>
          <w:i/>
          <w:iCs/>
          <w:spacing w:val="-2"/>
          <w:sz w:val="20"/>
          <w:szCs w:val="20"/>
        </w:rPr>
        <w:t>Abs. </w:t>
      </w:r>
      <w:r w:rsidRPr="009118AB">
        <w:rPr>
          <w:i/>
          <w:iCs/>
          <w:spacing w:val="-2"/>
          <w:sz w:val="20"/>
          <w:szCs w:val="20"/>
        </w:rPr>
        <w:t xml:space="preserve">3 eingefügt durch </w:t>
      </w:r>
      <w:r w:rsidR="00D67EB8" w:rsidRPr="009118AB">
        <w:rPr>
          <w:i/>
          <w:iCs/>
          <w:spacing w:val="-2"/>
          <w:sz w:val="20"/>
          <w:szCs w:val="20"/>
        </w:rPr>
        <w:t>Art. </w:t>
      </w:r>
      <w:r w:rsidRPr="009118AB">
        <w:rPr>
          <w:i/>
          <w:iCs/>
          <w:spacing w:val="-2"/>
          <w:sz w:val="20"/>
          <w:szCs w:val="20"/>
        </w:rPr>
        <w:t>40</w:t>
      </w:r>
      <w:r w:rsidRPr="009118AB">
        <w:rPr>
          <w:i/>
          <w:spacing w:val="-2"/>
          <w:sz w:val="20"/>
          <w:szCs w:val="20"/>
        </w:rPr>
        <w:t xml:space="preserve"> </w:t>
      </w:r>
      <w:r w:rsidRPr="009118AB">
        <w:rPr>
          <w:bCs/>
          <w:i/>
          <w:spacing w:val="-2"/>
          <w:sz w:val="20"/>
          <w:szCs w:val="20"/>
        </w:rPr>
        <w:t>des G. vom 28. Dezember 2011 (B.S. vom 30. Dezember 2011)</w:t>
      </w:r>
      <w:r w:rsidR="00D67EB8" w:rsidRPr="009118AB">
        <w:rPr>
          <w:bCs/>
          <w:i/>
          <w:spacing w:val="-2"/>
          <w:sz w:val="20"/>
          <w:szCs w:val="20"/>
        </w:rPr>
        <w:t> - </w:t>
      </w:r>
      <w:r w:rsidRPr="009118AB">
        <w:rPr>
          <w:bCs/>
          <w:i/>
          <w:spacing w:val="-2"/>
          <w:sz w:val="20"/>
          <w:szCs w:val="20"/>
        </w:rPr>
        <w:t>anwendbar auf die ab dem 1. Januar 2012 zuerkannten Vorteile jeglicher Art</w:t>
      </w:r>
      <w:r w:rsidR="003366D9" w:rsidRPr="009118AB">
        <w:rPr>
          <w:bCs/>
          <w:i/>
          <w:spacing w:val="-2"/>
          <w:sz w:val="20"/>
          <w:szCs w:val="20"/>
        </w:rPr>
        <w:t> -;</w:t>
      </w:r>
      <w:r w:rsidRPr="009118AB">
        <w:rPr>
          <w:bCs/>
          <w:i/>
          <w:spacing w:val="-2"/>
          <w:sz w:val="20"/>
          <w:szCs w:val="20"/>
        </w:rPr>
        <w:t xml:space="preserve"> </w:t>
      </w:r>
      <w:r w:rsidR="00D67EB8" w:rsidRPr="009118AB">
        <w:rPr>
          <w:bCs/>
          <w:i/>
          <w:spacing w:val="-2"/>
          <w:sz w:val="20"/>
          <w:szCs w:val="20"/>
        </w:rPr>
        <w:t>§ </w:t>
      </w:r>
      <w:r w:rsidRPr="009118AB">
        <w:rPr>
          <w:bCs/>
          <w:i/>
          <w:spacing w:val="-2"/>
          <w:sz w:val="20"/>
          <w:szCs w:val="20"/>
        </w:rPr>
        <w:t xml:space="preserve">5 </w:t>
      </w:r>
      <w:r w:rsidR="006246F0" w:rsidRPr="009118AB">
        <w:rPr>
          <w:bCs/>
          <w:i/>
          <w:spacing w:val="-2"/>
          <w:sz w:val="20"/>
          <w:szCs w:val="20"/>
        </w:rPr>
        <w:t xml:space="preserve">früherer </w:t>
      </w:r>
      <w:r w:rsidRPr="009118AB">
        <w:rPr>
          <w:bCs/>
          <w:i/>
          <w:spacing w:val="-2"/>
          <w:sz w:val="20"/>
          <w:szCs w:val="20"/>
        </w:rPr>
        <w:t>Abs</w:t>
      </w:r>
      <w:r w:rsidR="006246F0" w:rsidRPr="009118AB">
        <w:rPr>
          <w:bCs/>
          <w:i/>
          <w:spacing w:val="-2"/>
          <w:sz w:val="20"/>
          <w:szCs w:val="20"/>
        </w:rPr>
        <w:t>atz</w:t>
      </w:r>
      <w:r w:rsidRPr="009118AB">
        <w:rPr>
          <w:bCs/>
          <w:i/>
          <w:spacing w:val="-2"/>
          <w:sz w:val="20"/>
          <w:szCs w:val="20"/>
        </w:rPr>
        <w:t xml:space="preserve"> 4 eingefügt durch </w:t>
      </w:r>
      <w:r w:rsidR="00D67EB8" w:rsidRPr="009118AB">
        <w:rPr>
          <w:bCs/>
          <w:i/>
          <w:spacing w:val="-2"/>
          <w:sz w:val="20"/>
          <w:szCs w:val="20"/>
        </w:rPr>
        <w:t>Art. </w:t>
      </w:r>
      <w:r w:rsidRPr="009118AB">
        <w:rPr>
          <w:bCs/>
          <w:i/>
          <w:spacing w:val="-2"/>
          <w:sz w:val="20"/>
          <w:szCs w:val="20"/>
        </w:rPr>
        <w:t>28 des G. vom 30. März 2018 (B.S. vom 7. Mai 2018)</w:t>
      </w:r>
      <w:r w:rsidR="00D67EB8" w:rsidRPr="009118AB">
        <w:rPr>
          <w:bCs/>
          <w:i/>
          <w:spacing w:val="-2"/>
          <w:sz w:val="20"/>
          <w:szCs w:val="20"/>
        </w:rPr>
        <w:t> - </w:t>
      </w:r>
      <w:r w:rsidRPr="009118AB">
        <w:rPr>
          <w:bCs/>
          <w:i/>
          <w:spacing w:val="-2"/>
          <w:sz w:val="20"/>
          <w:szCs w:val="20"/>
        </w:rPr>
        <w:t>in Kraft am 1. Januar 2018</w:t>
      </w:r>
      <w:r w:rsidR="00FD68E8" w:rsidRPr="009118AB">
        <w:rPr>
          <w:bCs/>
          <w:i/>
          <w:spacing w:val="-2"/>
          <w:sz w:val="20"/>
          <w:szCs w:val="20"/>
        </w:rPr>
        <w:t> -,</w:t>
      </w:r>
      <w:r w:rsidR="006246F0" w:rsidRPr="009118AB">
        <w:rPr>
          <w:bCs/>
          <w:i/>
          <w:spacing w:val="-2"/>
          <w:sz w:val="20"/>
          <w:szCs w:val="20"/>
        </w:rPr>
        <w:t xml:space="preserve"> selbst für nichtig erklärt durch</w:t>
      </w:r>
      <w:r w:rsidR="006246F0" w:rsidRPr="009118AB">
        <w:rPr>
          <w:bCs/>
          <w:i/>
          <w:iCs/>
          <w:spacing w:val="-2"/>
          <w:sz w:val="20"/>
          <w:szCs w:val="20"/>
        </w:rPr>
        <w:t xml:space="preserve"> Entscheid </w:t>
      </w:r>
      <w:r w:rsidR="00D67EB8" w:rsidRPr="009118AB">
        <w:rPr>
          <w:bCs/>
          <w:i/>
          <w:iCs/>
          <w:spacing w:val="-2"/>
          <w:sz w:val="20"/>
          <w:szCs w:val="20"/>
        </w:rPr>
        <w:t>Nr. </w:t>
      </w:r>
      <w:r w:rsidR="006246F0" w:rsidRPr="009118AB">
        <w:rPr>
          <w:bCs/>
          <w:i/>
          <w:iCs/>
          <w:spacing w:val="-2"/>
          <w:sz w:val="20"/>
          <w:szCs w:val="20"/>
        </w:rPr>
        <w:t>11/2020 des Verfassungsgerichtshofes vom 23. Januar 2020 (B.S. vom 24. Februar 2020)</w:t>
      </w:r>
      <w:r w:rsidRPr="009118AB">
        <w:rPr>
          <w:i/>
          <w:iCs/>
          <w:spacing w:val="-2"/>
          <w:sz w:val="20"/>
          <w:szCs w:val="20"/>
        </w:rPr>
        <w:t>]</w:t>
      </w:r>
      <w:r w:rsidRPr="009118AB">
        <w:rPr>
          <w:spacing w:val="-2"/>
          <w:sz w:val="20"/>
          <w:szCs w:val="20"/>
        </w:rPr>
        <w:t>"</w:t>
      </w:r>
    </w:p>
    <w:p w14:paraId="7C4E6500" w14:textId="6685AFA0" w:rsidR="00045C7B" w:rsidRPr="009118AB" w:rsidRDefault="00045C7B" w:rsidP="00D74386">
      <w:pPr>
        <w:autoSpaceDE w:val="0"/>
        <w:autoSpaceDN w:val="0"/>
        <w:adjustRightInd w:val="0"/>
        <w:jc w:val="both"/>
        <w:rPr>
          <w:spacing w:val="-2"/>
          <w:sz w:val="20"/>
          <w:szCs w:val="20"/>
        </w:rPr>
      </w:pPr>
    </w:p>
    <w:p w14:paraId="31AF8C6E" w14:textId="36AB22BE" w:rsidR="00045C7B" w:rsidRPr="009118AB" w:rsidRDefault="00045C7B" w:rsidP="00D74386">
      <w:pPr>
        <w:autoSpaceDE w:val="0"/>
        <w:autoSpaceDN w:val="0"/>
        <w:adjustRightInd w:val="0"/>
        <w:jc w:val="both"/>
        <w:rPr>
          <w:spacing w:val="-2"/>
          <w:sz w:val="20"/>
          <w:szCs w:val="20"/>
        </w:rPr>
      </w:pPr>
    </w:p>
    <w:p w14:paraId="28F9724A" w14:textId="5B169B00" w:rsidR="00491A4D" w:rsidRPr="009118AB" w:rsidRDefault="00491A4D" w:rsidP="00491A4D">
      <w:pPr>
        <w:autoSpaceDE w:val="0"/>
        <w:autoSpaceDN w:val="0"/>
        <w:adjustRightInd w:val="0"/>
        <w:jc w:val="both"/>
        <w:rPr>
          <w:sz w:val="20"/>
          <w:szCs w:val="20"/>
        </w:rPr>
      </w:pPr>
      <w:r w:rsidRPr="009118AB">
        <w:rPr>
          <w:sz w:val="20"/>
          <w:szCs w:val="20"/>
        </w:rPr>
        <w:t xml:space="preserve">Ab dem 1. Januar 2030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6</w:t>
      </w:r>
      <w:r w:rsidR="00D74386" w:rsidRPr="009118AB">
        <w:rPr>
          <w:sz w:val="20"/>
          <w:szCs w:val="20"/>
        </w:rPr>
        <w:t xml:space="preserve"> und 10</w:t>
      </w:r>
      <w:r w:rsidRPr="009118AB">
        <w:rPr>
          <w:sz w:val="20"/>
          <w:szCs w:val="20"/>
        </w:rPr>
        <w:t xml:space="preserve"> des G. vom 25. November 2021 (B.S. vom 3. Dezember 2021)) lautet </w:t>
      </w:r>
      <w:r w:rsidR="00D67EB8" w:rsidRPr="009118AB">
        <w:rPr>
          <w:sz w:val="20"/>
          <w:szCs w:val="20"/>
        </w:rPr>
        <w:t>Art. </w:t>
      </w:r>
      <w:r w:rsidRPr="009118AB">
        <w:rPr>
          <w:sz w:val="20"/>
          <w:szCs w:val="20"/>
        </w:rPr>
        <w:t>66 wie folgt:</w:t>
      </w:r>
    </w:p>
    <w:p w14:paraId="04A25794" w14:textId="77777777" w:rsidR="00491A4D" w:rsidRPr="009118AB" w:rsidRDefault="00491A4D" w:rsidP="00491A4D">
      <w:pPr>
        <w:autoSpaceDE w:val="0"/>
        <w:autoSpaceDN w:val="0"/>
        <w:adjustRightInd w:val="0"/>
        <w:jc w:val="both"/>
        <w:rPr>
          <w:sz w:val="20"/>
          <w:szCs w:val="20"/>
        </w:rPr>
      </w:pPr>
    </w:p>
    <w:p w14:paraId="1A822D7D" w14:textId="54D4F559" w:rsidR="00D74386" w:rsidRPr="009118AB" w:rsidRDefault="00491A4D" w:rsidP="00D74386">
      <w:pPr>
        <w:autoSpaceDE w:val="0"/>
        <w:autoSpaceDN w:val="0"/>
        <w:adjustRightInd w:val="0"/>
        <w:jc w:val="both"/>
        <w:rPr>
          <w:iCs/>
          <w:sz w:val="20"/>
          <w:szCs w:val="20"/>
        </w:rPr>
      </w:pPr>
      <w:r w:rsidRPr="009118AB">
        <w:rPr>
          <w:sz w:val="20"/>
          <w:szCs w:val="20"/>
        </w:rPr>
        <w:t>"</w:t>
      </w:r>
      <w:r w:rsidR="00D67EB8" w:rsidRPr="009118AB">
        <w:rPr>
          <w:sz w:val="20"/>
          <w:szCs w:val="20"/>
        </w:rPr>
        <w:t>Art. </w:t>
      </w:r>
      <w:r w:rsidR="00D74386" w:rsidRPr="009118AB">
        <w:rPr>
          <w:sz w:val="20"/>
          <w:szCs w:val="20"/>
        </w:rPr>
        <w:t>66</w:t>
      </w:r>
      <w:r w:rsidR="00D67EB8" w:rsidRPr="009118AB">
        <w:rPr>
          <w:sz w:val="20"/>
          <w:szCs w:val="20"/>
        </w:rPr>
        <w:t> - </w:t>
      </w:r>
      <w:r w:rsidR="00D74386" w:rsidRPr="009118AB">
        <w:rPr>
          <w:iCs/>
          <w:sz w:val="20"/>
          <w:szCs w:val="20"/>
        </w:rPr>
        <w:t>[</w:t>
      </w:r>
      <w:r w:rsidR="00D67EB8" w:rsidRPr="009118AB">
        <w:rPr>
          <w:iCs/>
          <w:sz w:val="20"/>
          <w:szCs w:val="20"/>
        </w:rPr>
        <w:t>§ </w:t>
      </w:r>
      <w:r w:rsidR="00D74386" w:rsidRPr="009118AB">
        <w:rPr>
          <w:iCs/>
          <w:sz w:val="20"/>
          <w:szCs w:val="20"/>
        </w:rPr>
        <w:t>1</w:t>
      </w:r>
      <w:r w:rsidR="00D67EB8" w:rsidRPr="009118AB">
        <w:rPr>
          <w:iCs/>
          <w:sz w:val="20"/>
          <w:szCs w:val="20"/>
        </w:rPr>
        <w:t> - </w:t>
      </w:r>
      <w:r w:rsidR="00D74386" w:rsidRPr="009118AB">
        <w:rPr>
          <w:iCs/>
          <w:sz w:val="20"/>
          <w:szCs w:val="20"/>
        </w:rPr>
        <w:t>[Werbungskosten in Bezug auf die Nutzung der in Artikel 65 erwähnten Fahrzeuge sind nicht abzugsfähig, es sei denn, es handelt sich um ein Fahrzeug, das kein CO</w:t>
      </w:r>
      <w:r w:rsidR="00D74386" w:rsidRPr="009118AB">
        <w:rPr>
          <w:iCs/>
          <w:sz w:val="20"/>
          <w:szCs w:val="20"/>
          <w:vertAlign w:val="subscript"/>
        </w:rPr>
        <w:t>2</w:t>
      </w:r>
      <w:r w:rsidR="00D74386" w:rsidRPr="009118AB">
        <w:rPr>
          <w:iCs/>
          <w:sz w:val="20"/>
          <w:szCs w:val="20"/>
        </w:rPr>
        <w:t xml:space="preserve"> ausstößt[; stößt das Fahrzeug kein CO</w:t>
      </w:r>
      <w:r w:rsidR="00D74386" w:rsidRPr="009118AB">
        <w:rPr>
          <w:iCs/>
          <w:sz w:val="20"/>
          <w:szCs w:val="20"/>
          <w:vertAlign w:val="subscript"/>
        </w:rPr>
        <w:t>2</w:t>
      </w:r>
      <w:r w:rsidR="00D74386" w:rsidRPr="009118AB">
        <w:rPr>
          <w:iCs/>
          <w:sz w:val="20"/>
          <w:szCs w:val="20"/>
        </w:rPr>
        <w:t xml:space="preserve"> aus, wird der abzugsfähige Satz festgesetzt auf:</w:t>
      </w:r>
    </w:p>
    <w:p w14:paraId="0F17D347" w14:textId="77777777" w:rsidR="00D74386" w:rsidRPr="009118AB" w:rsidRDefault="00D74386" w:rsidP="00D74386">
      <w:pPr>
        <w:autoSpaceDE w:val="0"/>
        <w:autoSpaceDN w:val="0"/>
        <w:adjustRightInd w:val="0"/>
        <w:jc w:val="both"/>
        <w:rPr>
          <w:iCs/>
          <w:sz w:val="20"/>
          <w:szCs w:val="20"/>
        </w:rPr>
      </w:pPr>
    </w:p>
    <w:p w14:paraId="20110D7B" w14:textId="77777777" w:rsidR="00D74386" w:rsidRPr="009118AB" w:rsidRDefault="00D74386" w:rsidP="00D74386">
      <w:pPr>
        <w:autoSpaceDE w:val="0"/>
        <w:autoSpaceDN w:val="0"/>
        <w:adjustRightInd w:val="0"/>
        <w:jc w:val="both"/>
        <w:rPr>
          <w:iCs/>
          <w:sz w:val="20"/>
          <w:szCs w:val="20"/>
        </w:rPr>
      </w:pPr>
      <w:r w:rsidRPr="009118AB">
        <w:rPr>
          <w:iCs/>
          <w:sz w:val="20"/>
          <w:szCs w:val="20"/>
        </w:rPr>
        <w:t>- 100 Prozent, wenn es sich um ein vor dem 1. Januar 2027 gekauftes, geleastes oder gemietetes Fahrzeug handelt,</w:t>
      </w:r>
    </w:p>
    <w:p w14:paraId="493EF47C" w14:textId="77777777" w:rsidR="00D74386" w:rsidRPr="009118AB" w:rsidRDefault="00D74386" w:rsidP="00D74386">
      <w:pPr>
        <w:autoSpaceDE w:val="0"/>
        <w:autoSpaceDN w:val="0"/>
        <w:adjustRightInd w:val="0"/>
        <w:jc w:val="both"/>
        <w:rPr>
          <w:iCs/>
          <w:sz w:val="20"/>
          <w:szCs w:val="20"/>
        </w:rPr>
      </w:pPr>
    </w:p>
    <w:p w14:paraId="0F3619DC" w14:textId="77777777" w:rsidR="00D74386" w:rsidRPr="009118AB" w:rsidRDefault="00D74386" w:rsidP="00D74386">
      <w:pPr>
        <w:autoSpaceDE w:val="0"/>
        <w:autoSpaceDN w:val="0"/>
        <w:adjustRightInd w:val="0"/>
        <w:jc w:val="both"/>
        <w:rPr>
          <w:iCs/>
          <w:sz w:val="20"/>
          <w:szCs w:val="20"/>
        </w:rPr>
      </w:pPr>
      <w:r w:rsidRPr="009118AB">
        <w:rPr>
          <w:iCs/>
          <w:sz w:val="20"/>
          <w:szCs w:val="20"/>
        </w:rPr>
        <w:t>- 95 Prozent, wenn es sich um ein 2027 gekauftes, geleastes oder gemietetes Fahrzeug handelt],]</w:t>
      </w:r>
    </w:p>
    <w:p w14:paraId="298AB41C" w14:textId="77777777" w:rsidR="00D74386" w:rsidRPr="009118AB" w:rsidRDefault="00D74386" w:rsidP="00D74386">
      <w:pPr>
        <w:autoSpaceDE w:val="0"/>
        <w:autoSpaceDN w:val="0"/>
        <w:adjustRightInd w:val="0"/>
        <w:jc w:val="both"/>
        <w:rPr>
          <w:iCs/>
          <w:sz w:val="20"/>
          <w:szCs w:val="20"/>
        </w:rPr>
      </w:pPr>
    </w:p>
    <w:p w14:paraId="492C6FF0" w14:textId="77777777" w:rsidR="00D74386" w:rsidRPr="009118AB" w:rsidRDefault="00D74386" w:rsidP="00D74386">
      <w:pPr>
        <w:autoSpaceDE w:val="0"/>
        <w:autoSpaceDN w:val="0"/>
        <w:adjustRightInd w:val="0"/>
        <w:jc w:val="both"/>
        <w:rPr>
          <w:iCs/>
          <w:sz w:val="20"/>
          <w:szCs w:val="20"/>
        </w:rPr>
      </w:pPr>
      <w:r w:rsidRPr="009118AB">
        <w:rPr>
          <w:iCs/>
          <w:sz w:val="20"/>
          <w:szCs w:val="20"/>
        </w:rPr>
        <w:t>[- 90 Prozent, wenn es sich um ein 2028 gekauftes, geleastes oder gemietetes Fahrzeug handelt,]</w:t>
      </w:r>
    </w:p>
    <w:p w14:paraId="48CF14E4" w14:textId="77777777" w:rsidR="00D74386" w:rsidRPr="009118AB" w:rsidRDefault="00D74386" w:rsidP="00D74386">
      <w:pPr>
        <w:autoSpaceDE w:val="0"/>
        <w:autoSpaceDN w:val="0"/>
        <w:adjustRightInd w:val="0"/>
        <w:jc w:val="both"/>
        <w:rPr>
          <w:iCs/>
          <w:sz w:val="20"/>
          <w:szCs w:val="20"/>
        </w:rPr>
      </w:pPr>
    </w:p>
    <w:p w14:paraId="4B614C57" w14:textId="1B3FAC66" w:rsidR="00D74386" w:rsidRPr="009118AB" w:rsidRDefault="00D74386" w:rsidP="00D74386">
      <w:pPr>
        <w:autoSpaceDE w:val="0"/>
        <w:autoSpaceDN w:val="0"/>
        <w:adjustRightInd w:val="0"/>
        <w:jc w:val="both"/>
        <w:rPr>
          <w:iCs/>
          <w:sz w:val="20"/>
          <w:szCs w:val="20"/>
        </w:rPr>
      </w:pPr>
      <w:r w:rsidRPr="009118AB">
        <w:rPr>
          <w:iCs/>
          <w:sz w:val="20"/>
          <w:szCs w:val="20"/>
        </w:rPr>
        <w:t>[- 82,5 Prozent, wenn es sich um ein 2029 gekauftes, geleastes oder gemietetes Fahrzeug handelt,]</w:t>
      </w:r>
    </w:p>
    <w:p w14:paraId="74C590CE" w14:textId="5A51212D" w:rsidR="00D74386" w:rsidRPr="009118AB" w:rsidRDefault="00D74386" w:rsidP="00D74386">
      <w:pPr>
        <w:autoSpaceDE w:val="0"/>
        <w:autoSpaceDN w:val="0"/>
        <w:adjustRightInd w:val="0"/>
        <w:jc w:val="both"/>
        <w:rPr>
          <w:iCs/>
          <w:sz w:val="20"/>
          <w:szCs w:val="20"/>
        </w:rPr>
      </w:pPr>
    </w:p>
    <w:p w14:paraId="75729C60" w14:textId="0CDE488D" w:rsidR="00D74386" w:rsidRPr="009118AB" w:rsidRDefault="00D74386" w:rsidP="00D74386">
      <w:pPr>
        <w:autoSpaceDE w:val="0"/>
        <w:autoSpaceDN w:val="0"/>
        <w:adjustRightInd w:val="0"/>
        <w:jc w:val="both"/>
        <w:rPr>
          <w:iCs/>
          <w:sz w:val="20"/>
          <w:szCs w:val="20"/>
        </w:rPr>
      </w:pPr>
      <w:r w:rsidRPr="009118AB">
        <w:rPr>
          <w:iCs/>
          <w:sz w:val="20"/>
          <w:szCs w:val="20"/>
        </w:rPr>
        <w:lastRenderedPageBreak/>
        <w:t>[- 75 Prozent, wenn es sich um ein 2030 gekauftes, geleastes oder gemietetes Fahrzeug handelt.]</w:t>
      </w:r>
    </w:p>
    <w:p w14:paraId="6EBA7374" w14:textId="77777777" w:rsidR="00D74386" w:rsidRPr="009118AB" w:rsidRDefault="00D74386" w:rsidP="00D74386">
      <w:pPr>
        <w:autoSpaceDE w:val="0"/>
        <w:autoSpaceDN w:val="0"/>
        <w:adjustRightInd w:val="0"/>
        <w:jc w:val="both"/>
        <w:rPr>
          <w:iCs/>
          <w:sz w:val="20"/>
          <w:szCs w:val="20"/>
        </w:rPr>
      </w:pPr>
    </w:p>
    <w:p w14:paraId="01EC1EC8" w14:textId="242DE05E" w:rsidR="00D74386" w:rsidRPr="009118AB" w:rsidRDefault="00D67EB8" w:rsidP="00D74386">
      <w:pPr>
        <w:autoSpaceDE w:val="0"/>
        <w:autoSpaceDN w:val="0"/>
        <w:adjustRightInd w:val="0"/>
        <w:jc w:val="both"/>
        <w:rPr>
          <w:iCs/>
          <w:sz w:val="20"/>
          <w:szCs w:val="20"/>
        </w:rPr>
      </w:pPr>
      <w:r w:rsidRPr="009118AB">
        <w:rPr>
          <w:iCs/>
          <w:sz w:val="20"/>
          <w:szCs w:val="20"/>
        </w:rPr>
        <w:t>§ </w:t>
      </w:r>
      <w:r w:rsidR="00D74386" w:rsidRPr="009118AB">
        <w:rPr>
          <w:iCs/>
          <w:sz w:val="20"/>
          <w:szCs w:val="20"/>
        </w:rPr>
        <w:t>2</w:t>
      </w:r>
      <w:r w:rsidRPr="009118AB">
        <w:rPr>
          <w:iCs/>
          <w:sz w:val="20"/>
          <w:szCs w:val="20"/>
        </w:rPr>
        <w:t> - </w:t>
      </w:r>
      <w:r w:rsidR="00D74386" w:rsidRPr="009118AB">
        <w:rPr>
          <w:iCs/>
          <w:sz w:val="20"/>
          <w:szCs w:val="20"/>
        </w:rPr>
        <w:t>[[Paragraph 1 und Artikel 550 sind nicht anwendbar]:</w:t>
      </w:r>
    </w:p>
    <w:p w14:paraId="5A659906" w14:textId="77777777" w:rsidR="00D74386" w:rsidRPr="009118AB" w:rsidRDefault="00D74386" w:rsidP="00D74386">
      <w:pPr>
        <w:autoSpaceDE w:val="0"/>
        <w:autoSpaceDN w:val="0"/>
        <w:adjustRightInd w:val="0"/>
        <w:jc w:val="both"/>
        <w:rPr>
          <w:iCs/>
          <w:sz w:val="20"/>
          <w:szCs w:val="20"/>
        </w:rPr>
      </w:pPr>
    </w:p>
    <w:p w14:paraId="06AC6822" w14:textId="77777777" w:rsidR="00D74386" w:rsidRPr="009118AB" w:rsidRDefault="00D74386" w:rsidP="00D74386">
      <w:pPr>
        <w:autoSpaceDE w:val="0"/>
        <w:autoSpaceDN w:val="0"/>
        <w:adjustRightInd w:val="0"/>
        <w:jc w:val="both"/>
        <w:rPr>
          <w:iCs/>
          <w:sz w:val="20"/>
          <w:szCs w:val="20"/>
        </w:rPr>
      </w:pPr>
      <w:r w:rsidRPr="009118AB">
        <w:rPr>
          <w:iCs/>
          <w:sz w:val="20"/>
          <w:szCs w:val="20"/>
        </w:rPr>
        <w:t>1. auf Fahrzeuge, die ausschließlich für einen Taxidienst oder die Vermietung mit Fahrer genutzt werden und aus diesem Grund nicht der Verkehrssteuer auf Kraftfahrzeuge unterliegen,</w:t>
      </w:r>
    </w:p>
    <w:p w14:paraId="1F238884" w14:textId="77777777" w:rsidR="00D74386" w:rsidRPr="009118AB" w:rsidRDefault="00D74386" w:rsidP="00D74386">
      <w:pPr>
        <w:autoSpaceDE w:val="0"/>
        <w:autoSpaceDN w:val="0"/>
        <w:adjustRightInd w:val="0"/>
        <w:jc w:val="both"/>
        <w:rPr>
          <w:iCs/>
          <w:sz w:val="20"/>
          <w:szCs w:val="20"/>
        </w:rPr>
      </w:pPr>
    </w:p>
    <w:p w14:paraId="3138F138" w14:textId="77777777" w:rsidR="00D74386" w:rsidRPr="009118AB" w:rsidRDefault="00D74386" w:rsidP="00D74386">
      <w:pPr>
        <w:autoSpaceDE w:val="0"/>
        <w:autoSpaceDN w:val="0"/>
        <w:adjustRightInd w:val="0"/>
        <w:jc w:val="both"/>
        <w:rPr>
          <w:iCs/>
          <w:sz w:val="20"/>
          <w:szCs w:val="20"/>
        </w:rPr>
      </w:pPr>
      <w:r w:rsidRPr="009118AB">
        <w:rPr>
          <w:iCs/>
          <w:sz w:val="20"/>
          <w:szCs w:val="20"/>
        </w:rPr>
        <w:t>2. auf Fahrzeuge, die ausschließlich für den praktischen Unterricht in zugelassenen Fahrschulen genutzt werden und zu diesem Zweck eigens ausgerüstet sind,</w:t>
      </w:r>
    </w:p>
    <w:p w14:paraId="708AACD6" w14:textId="77777777" w:rsidR="00D74386" w:rsidRPr="009118AB" w:rsidRDefault="00D74386" w:rsidP="00D74386">
      <w:pPr>
        <w:autoSpaceDE w:val="0"/>
        <w:autoSpaceDN w:val="0"/>
        <w:adjustRightInd w:val="0"/>
        <w:jc w:val="both"/>
        <w:rPr>
          <w:iCs/>
          <w:sz w:val="20"/>
          <w:szCs w:val="20"/>
        </w:rPr>
      </w:pPr>
    </w:p>
    <w:p w14:paraId="13157020" w14:textId="77777777" w:rsidR="00D74386" w:rsidRPr="009118AB" w:rsidRDefault="00D74386" w:rsidP="00D74386">
      <w:pPr>
        <w:autoSpaceDE w:val="0"/>
        <w:autoSpaceDN w:val="0"/>
        <w:adjustRightInd w:val="0"/>
        <w:jc w:val="both"/>
        <w:rPr>
          <w:iCs/>
          <w:sz w:val="20"/>
          <w:szCs w:val="20"/>
        </w:rPr>
      </w:pPr>
      <w:r w:rsidRPr="009118AB">
        <w:rPr>
          <w:iCs/>
          <w:sz w:val="20"/>
          <w:szCs w:val="20"/>
        </w:rPr>
        <w:t>3. auf Fahrzeuge, die ausschließlich an Dritte vermietet werden,]</w:t>
      </w:r>
    </w:p>
    <w:p w14:paraId="387B4222" w14:textId="77777777" w:rsidR="00D74386" w:rsidRPr="009118AB" w:rsidRDefault="00D74386" w:rsidP="00D74386">
      <w:pPr>
        <w:autoSpaceDE w:val="0"/>
        <w:autoSpaceDN w:val="0"/>
        <w:adjustRightInd w:val="0"/>
        <w:jc w:val="both"/>
        <w:rPr>
          <w:iCs/>
          <w:sz w:val="20"/>
          <w:szCs w:val="20"/>
        </w:rPr>
      </w:pPr>
    </w:p>
    <w:p w14:paraId="6BA4E944" w14:textId="77777777" w:rsidR="00D74386" w:rsidRPr="009118AB" w:rsidRDefault="00D74386" w:rsidP="00D74386">
      <w:pPr>
        <w:autoSpaceDE w:val="0"/>
        <w:autoSpaceDN w:val="0"/>
        <w:adjustRightInd w:val="0"/>
        <w:jc w:val="both"/>
        <w:rPr>
          <w:iCs/>
          <w:sz w:val="20"/>
          <w:szCs w:val="20"/>
        </w:rPr>
      </w:pPr>
      <w:r w:rsidRPr="009118AB">
        <w:rPr>
          <w:iCs/>
          <w:sz w:val="20"/>
          <w:szCs w:val="20"/>
        </w:rPr>
        <w:t>[</w:t>
      </w:r>
      <w:r w:rsidRPr="009118AB">
        <w:rPr>
          <w:sz w:val="20"/>
          <w:szCs w:val="20"/>
        </w:rPr>
        <w:t>4. auf Kosten, die auf Dritte abgewälzt werden, vorausgesetzt, diese Kosten sind ausdrücklich und separat auf der Rechnung vermerkt,</w:t>
      </w:r>
      <w:r w:rsidRPr="009118AB">
        <w:rPr>
          <w:iCs/>
          <w:sz w:val="20"/>
          <w:szCs w:val="20"/>
        </w:rPr>
        <w:t>]</w:t>
      </w:r>
    </w:p>
    <w:p w14:paraId="3095CA85" w14:textId="77777777" w:rsidR="00D74386" w:rsidRPr="009118AB" w:rsidRDefault="00D74386" w:rsidP="00D74386">
      <w:pPr>
        <w:autoSpaceDE w:val="0"/>
        <w:autoSpaceDN w:val="0"/>
        <w:adjustRightInd w:val="0"/>
        <w:jc w:val="both"/>
        <w:rPr>
          <w:iCs/>
          <w:sz w:val="20"/>
          <w:szCs w:val="20"/>
        </w:rPr>
      </w:pPr>
    </w:p>
    <w:p w14:paraId="7D870AAF" w14:textId="77777777" w:rsidR="00D74386" w:rsidRPr="009118AB" w:rsidRDefault="00D74386" w:rsidP="00D74386">
      <w:pPr>
        <w:autoSpaceDE w:val="0"/>
        <w:autoSpaceDN w:val="0"/>
        <w:adjustRightInd w:val="0"/>
        <w:jc w:val="both"/>
        <w:rPr>
          <w:iCs/>
          <w:sz w:val="20"/>
          <w:szCs w:val="20"/>
        </w:rPr>
      </w:pPr>
      <w:r w:rsidRPr="009118AB">
        <w:rPr>
          <w:iCs/>
          <w:sz w:val="20"/>
          <w:szCs w:val="20"/>
        </w:rPr>
        <w:t>[</w:t>
      </w:r>
      <w:r w:rsidRPr="009118AB">
        <w:rPr>
          <w:sz w:val="20"/>
          <w:szCs w:val="20"/>
        </w:rPr>
        <w:t>5. auf Kosten in Bezug auf Ladestationen für Elektrofahrzeuge.]</w:t>
      </w:r>
    </w:p>
    <w:p w14:paraId="40B1C885" w14:textId="77777777" w:rsidR="00D74386" w:rsidRPr="009118AB" w:rsidRDefault="00D74386" w:rsidP="00D74386">
      <w:pPr>
        <w:autoSpaceDE w:val="0"/>
        <w:autoSpaceDN w:val="0"/>
        <w:adjustRightInd w:val="0"/>
        <w:jc w:val="both"/>
        <w:rPr>
          <w:iCs/>
          <w:sz w:val="20"/>
          <w:szCs w:val="20"/>
        </w:rPr>
      </w:pPr>
    </w:p>
    <w:p w14:paraId="7F667459" w14:textId="17823893" w:rsidR="00D74386" w:rsidRPr="009118AB" w:rsidRDefault="00D67EB8" w:rsidP="00D74386">
      <w:pPr>
        <w:autoSpaceDE w:val="0"/>
        <w:autoSpaceDN w:val="0"/>
        <w:adjustRightInd w:val="0"/>
        <w:jc w:val="both"/>
        <w:rPr>
          <w:sz w:val="20"/>
          <w:szCs w:val="20"/>
        </w:rPr>
      </w:pPr>
      <w:r w:rsidRPr="009118AB">
        <w:rPr>
          <w:iCs/>
          <w:sz w:val="20"/>
          <w:szCs w:val="20"/>
        </w:rPr>
        <w:t>§ </w:t>
      </w:r>
      <w:r w:rsidR="00D74386" w:rsidRPr="009118AB">
        <w:rPr>
          <w:iCs/>
          <w:sz w:val="20"/>
          <w:szCs w:val="20"/>
        </w:rPr>
        <w:t>3</w:t>
      </w:r>
      <w:r w:rsidRPr="009118AB">
        <w:rPr>
          <w:iCs/>
          <w:sz w:val="20"/>
          <w:szCs w:val="20"/>
        </w:rPr>
        <w:t> - </w:t>
      </w:r>
      <w:r w:rsidR="00D74386" w:rsidRPr="009118AB">
        <w:rPr>
          <w:iCs/>
          <w:sz w:val="20"/>
          <w:szCs w:val="20"/>
        </w:rPr>
        <w:t>[[</w:t>
      </w:r>
      <w:r w:rsidR="00D74386" w:rsidRPr="009118AB">
        <w:rPr>
          <w:sz w:val="20"/>
          <w:szCs w:val="20"/>
        </w:rPr>
        <w:t xml:space="preserve">In </w:t>
      </w:r>
      <w:r w:rsidRPr="009118AB">
        <w:rPr>
          <w:sz w:val="20"/>
          <w:szCs w:val="20"/>
        </w:rPr>
        <w:t>§ </w:t>
      </w:r>
      <w:r w:rsidR="00D74386" w:rsidRPr="009118AB">
        <w:rPr>
          <w:sz w:val="20"/>
          <w:szCs w:val="20"/>
        </w:rPr>
        <w:t>1 und in Artikel 550] erwähnte Werbungskosten umfassen:</w:t>
      </w:r>
    </w:p>
    <w:p w14:paraId="188A78F7" w14:textId="77777777" w:rsidR="00D74386" w:rsidRPr="009118AB" w:rsidRDefault="00D74386" w:rsidP="00D74386">
      <w:pPr>
        <w:autoSpaceDE w:val="0"/>
        <w:autoSpaceDN w:val="0"/>
        <w:adjustRightInd w:val="0"/>
        <w:jc w:val="both"/>
        <w:rPr>
          <w:sz w:val="20"/>
          <w:szCs w:val="20"/>
        </w:rPr>
      </w:pPr>
    </w:p>
    <w:p w14:paraId="134F4E4F" w14:textId="2E65DF44" w:rsidR="00D74386" w:rsidRPr="009118AB" w:rsidRDefault="00D74386" w:rsidP="00D74386">
      <w:pPr>
        <w:autoSpaceDE w:val="0"/>
        <w:autoSpaceDN w:val="0"/>
        <w:adjustRightInd w:val="0"/>
        <w:jc w:val="both"/>
        <w:rPr>
          <w:sz w:val="20"/>
          <w:szCs w:val="20"/>
        </w:rPr>
      </w:pPr>
      <w:r w:rsidRPr="009118AB">
        <w:rPr>
          <w:sz w:val="20"/>
          <w:szCs w:val="20"/>
        </w:rPr>
        <w:t xml:space="preserve">1. Kosten in Bezug auf die in </w:t>
      </w:r>
      <w:r w:rsidR="00D67EB8" w:rsidRPr="009118AB">
        <w:rPr>
          <w:sz w:val="20"/>
          <w:szCs w:val="20"/>
        </w:rPr>
        <w:t>§ </w:t>
      </w:r>
      <w:r w:rsidRPr="009118AB">
        <w:rPr>
          <w:sz w:val="20"/>
          <w:szCs w:val="20"/>
        </w:rPr>
        <w:t xml:space="preserve">2 </w:t>
      </w:r>
      <w:r w:rsidR="00D67EB8" w:rsidRPr="009118AB">
        <w:rPr>
          <w:sz w:val="20"/>
          <w:szCs w:val="20"/>
        </w:rPr>
        <w:t>Nr. </w:t>
      </w:r>
      <w:r w:rsidRPr="009118AB">
        <w:rPr>
          <w:sz w:val="20"/>
          <w:szCs w:val="20"/>
        </w:rPr>
        <w:t>1 und 3 erwähnten einem Dritten gehörenden Fahrzeuge, die vom Endnutzer dieser Fahrzeuge gemacht werden,</w:t>
      </w:r>
    </w:p>
    <w:p w14:paraId="647BF77A" w14:textId="77777777" w:rsidR="00D74386" w:rsidRPr="009118AB" w:rsidRDefault="00D74386" w:rsidP="00D74386">
      <w:pPr>
        <w:autoSpaceDE w:val="0"/>
        <w:autoSpaceDN w:val="0"/>
        <w:adjustRightInd w:val="0"/>
        <w:jc w:val="both"/>
        <w:rPr>
          <w:sz w:val="20"/>
          <w:szCs w:val="20"/>
        </w:rPr>
      </w:pPr>
    </w:p>
    <w:p w14:paraId="02D1E7CE" w14:textId="77777777" w:rsidR="00D74386" w:rsidRPr="009118AB" w:rsidRDefault="00D74386" w:rsidP="00D74386">
      <w:pPr>
        <w:autoSpaceDE w:val="0"/>
        <w:autoSpaceDN w:val="0"/>
        <w:adjustRightInd w:val="0"/>
        <w:jc w:val="both"/>
        <w:rPr>
          <w:sz w:val="20"/>
          <w:szCs w:val="20"/>
        </w:rPr>
      </w:pPr>
      <w:r w:rsidRPr="009118AB">
        <w:rPr>
          <w:sz w:val="20"/>
          <w:szCs w:val="20"/>
        </w:rPr>
        <w:t>2. den Betrag der in vorliegendem Artikel erwähnten Kosten, die Dritten zurückgezahlt werden,</w:t>
      </w:r>
    </w:p>
    <w:p w14:paraId="49B66D34" w14:textId="77777777" w:rsidR="00D74386" w:rsidRPr="009118AB" w:rsidRDefault="00D74386" w:rsidP="00D74386">
      <w:pPr>
        <w:autoSpaceDE w:val="0"/>
        <w:autoSpaceDN w:val="0"/>
        <w:adjustRightInd w:val="0"/>
        <w:jc w:val="both"/>
        <w:rPr>
          <w:sz w:val="20"/>
          <w:szCs w:val="20"/>
        </w:rPr>
      </w:pPr>
    </w:p>
    <w:p w14:paraId="7688338A" w14:textId="77777777" w:rsidR="00D74386" w:rsidRPr="009118AB" w:rsidRDefault="00D74386" w:rsidP="00D74386">
      <w:pPr>
        <w:autoSpaceDE w:val="0"/>
        <w:autoSpaceDN w:val="0"/>
        <w:adjustRightInd w:val="0"/>
        <w:jc w:val="both"/>
        <w:rPr>
          <w:iCs/>
          <w:sz w:val="20"/>
          <w:szCs w:val="20"/>
        </w:rPr>
      </w:pPr>
      <w:r w:rsidRPr="009118AB">
        <w:rPr>
          <w:sz w:val="20"/>
          <w:szCs w:val="20"/>
        </w:rPr>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118AB">
        <w:rPr>
          <w:iCs/>
          <w:sz w:val="20"/>
          <w:szCs w:val="20"/>
        </w:rPr>
        <w:t>]</w:t>
      </w:r>
    </w:p>
    <w:p w14:paraId="622E2932" w14:textId="77777777" w:rsidR="00D74386" w:rsidRPr="009118AB" w:rsidRDefault="00D74386" w:rsidP="00D74386">
      <w:pPr>
        <w:autoSpaceDE w:val="0"/>
        <w:autoSpaceDN w:val="0"/>
        <w:adjustRightInd w:val="0"/>
        <w:jc w:val="both"/>
        <w:rPr>
          <w:iCs/>
          <w:sz w:val="20"/>
          <w:szCs w:val="20"/>
        </w:rPr>
      </w:pPr>
    </w:p>
    <w:p w14:paraId="1FEF4AF1" w14:textId="046F26F4" w:rsidR="00D74386" w:rsidRPr="009118AB" w:rsidRDefault="00D67EB8" w:rsidP="00D74386">
      <w:pPr>
        <w:autoSpaceDE w:val="0"/>
        <w:autoSpaceDN w:val="0"/>
        <w:adjustRightInd w:val="0"/>
        <w:jc w:val="both"/>
        <w:rPr>
          <w:iCs/>
          <w:sz w:val="20"/>
          <w:szCs w:val="20"/>
        </w:rPr>
      </w:pPr>
      <w:r w:rsidRPr="009118AB">
        <w:rPr>
          <w:iCs/>
          <w:sz w:val="20"/>
          <w:szCs w:val="20"/>
        </w:rPr>
        <w:t>§ </w:t>
      </w:r>
      <w:r w:rsidR="00D74386" w:rsidRPr="009118AB">
        <w:rPr>
          <w:iCs/>
          <w:sz w:val="20"/>
          <w:szCs w:val="20"/>
        </w:rPr>
        <w:t>4</w:t>
      </w:r>
      <w:r w:rsidRPr="009118AB">
        <w:rPr>
          <w:iCs/>
          <w:sz w:val="20"/>
          <w:szCs w:val="20"/>
        </w:rPr>
        <w:t> - </w:t>
      </w:r>
      <w:r w:rsidR="00D74386" w:rsidRPr="009118AB">
        <w:rPr>
          <w:iCs/>
          <w:sz w:val="20"/>
          <w:szCs w:val="20"/>
        </w:rPr>
        <w:t xml:space="preserve">[In Abweichung von </w:t>
      </w:r>
      <w:r w:rsidRPr="009118AB">
        <w:rPr>
          <w:iCs/>
          <w:sz w:val="20"/>
          <w:szCs w:val="20"/>
        </w:rPr>
        <w:t>§ </w:t>
      </w:r>
      <w:r w:rsidR="00D74386" w:rsidRPr="009118AB">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118AB">
        <w:rPr>
          <w:iCs/>
          <w:sz w:val="20"/>
          <w:szCs w:val="20"/>
        </w:rPr>
        <w:t>§ </w:t>
      </w:r>
      <w:r w:rsidR="00D74386" w:rsidRPr="009118AB">
        <w:rPr>
          <w:iCs/>
          <w:sz w:val="20"/>
          <w:szCs w:val="20"/>
        </w:rPr>
        <w:t xml:space="preserve">1 </w:t>
      </w:r>
      <w:r w:rsidRPr="009118AB">
        <w:rPr>
          <w:iCs/>
          <w:sz w:val="20"/>
          <w:szCs w:val="20"/>
        </w:rPr>
        <w:t>Nr. </w:t>
      </w:r>
      <w:r w:rsidR="00D74386" w:rsidRPr="009118AB">
        <w:rPr>
          <w:iCs/>
          <w:sz w:val="20"/>
          <w:szCs w:val="20"/>
        </w:rPr>
        <w:t xml:space="preserve">3 des Gesetzbuches der den Einkommensteuern gleichgesetzten Steuern nicht der Verkehrssteuer unterliegen, noch auf Fahrzeuge, deren Werbungskosten gemäß </w:t>
      </w:r>
      <w:r w:rsidRPr="009118AB">
        <w:rPr>
          <w:iCs/>
          <w:sz w:val="20"/>
          <w:szCs w:val="20"/>
        </w:rPr>
        <w:t>§ </w:t>
      </w:r>
      <w:r w:rsidR="00D74386" w:rsidRPr="009118AB">
        <w:rPr>
          <w:iCs/>
          <w:sz w:val="20"/>
          <w:szCs w:val="20"/>
        </w:rPr>
        <w:t>1 nicht abzugsfähig sind.]</w:t>
      </w:r>
    </w:p>
    <w:p w14:paraId="3A1AC8FB" w14:textId="77777777" w:rsidR="00D74386" w:rsidRPr="009118AB" w:rsidRDefault="00D74386" w:rsidP="00D74386">
      <w:pPr>
        <w:autoSpaceDE w:val="0"/>
        <w:autoSpaceDN w:val="0"/>
        <w:adjustRightInd w:val="0"/>
        <w:jc w:val="both"/>
        <w:rPr>
          <w:iCs/>
          <w:sz w:val="20"/>
          <w:szCs w:val="20"/>
        </w:rPr>
      </w:pPr>
    </w:p>
    <w:p w14:paraId="309D1F53" w14:textId="2EC6CD11" w:rsidR="00D74386" w:rsidRPr="009118AB" w:rsidRDefault="00D67EB8" w:rsidP="00D74386">
      <w:pPr>
        <w:autoSpaceDE w:val="0"/>
        <w:autoSpaceDN w:val="0"/>
        <w:adjustRightInd w:val="0"/>
        <w:jc w:val="both"/>
        <w:rPr>
          <w:iCs/>
          <w:sz w:val="20"/>
          <w:szCs w:val="20"/>
        </w:rPr>
      </w:pPr>
      <w:r w:rsidRPr="009118AB">
        <w:rPr>
          <w:iCs/>
          <w:sz w:val="20"/>
          <w:szCs w:val="20"/>
        </w:rPr>
        <w:t>§ </w:t>
      </w:r>
      <w:r w:rsidR="00D74386" w:rsidRPr="009118AB">
        <w:rPr>
          <w:iCs/>
          <w:sz w:val="20"/>
          <w:szCs w:val="20"/>
        </w:rPr>
        <w:t>5</w:t>
      </w:r>
      <w:r w:rsidRPr="009118AB">
        <w:rPr>
          <w:iCs/>
          <w:sz w:val="20"/>
          <w:szCs w:val="20"/>
        </w:rPr>
        <w:t> - </w:t>
      </w:r>
      <w:r w:rsidR="00D74386" w:rsidRPr="009118AB">
        <w:rPr>
          <w:iCs/>
          <w:sz w:val="20"/>
          <w:szCs w:val="20"/>
        </w:rPr>
        <w:t xml:space="preserve">Der in </w:t>
      </w:r>
      <w:r w:rsidRPr="009118AB">
        <w:rPr>
          <w:iCs/>
          <w:sz w:val="20"/>
          <w:szCs w:val="20"/>
        </w:rPr>
        <w:t>§ </w:t>
      </w:r>
      <w:r w:rsidR="00D74386" w:rsidRPr="009118AB">
        <w:rPr>
          <w:iCs/>
          <w:sz w:val="20"/>
          <w:szCs w:val="20"/>
        </w:rPr>
        <w:t>4 festgelegte Pauschalbetrag darf dem Steuerpflichtigen ausschließlich bewilligt werden, wenn das betreffende Fahrzeug:</w:t>
      </w:r>
    </w:p>
    <w:p w14:paraId="16C77A56" w14:textId="77777777" w:rsidR="00D74386" w:rsidRPr="009118AB" w:rsidRDefault="00D74386" w:rsidP="00D74386">
      <w:pPr>
        <w:autoSpaceDE w:val="0"/>
        <w:autoSpaceDN w:val="0"/>
        <w:adjustRightInd w:val="0"/>
        <w:jc w:val="both"/>
        <w:rPr>
          <w:iCs/>
          <w:sz w:val="20"/>
          <w:szCs w:val="20"/>
        </w:rPr>
      </w:pPr>
    </w:p>
    <w:p w14:paraId="7DACFE25" w14:textId="77777777" w:rsidR="00D74386" w:rsidRPr="009118AB" w:rsidRDefault="00D74386" w:rsidP="00D74386">
      <w:pPr>
        <w:autoSpaceDE w:val="0"/>
        <w:autoSpaceDN w:val="0"/>
        <w:adjustRightInd w:val="0"/>
        <w:jc w:val="both"/>
        <w:rPr>
          <w:iCs/>
          <w:sz w:val="20"/>
          <w:szCs w:val="20"/>
        </w:rPr>
      </w:pPr>
      <w:r w:rsidRPr="009118AB">
        <w:rPr>
          <w:iCs/>
          <w:sz w:val="20"/>
          <w:szCs w:val="20"/>
        </w:rPr>
        <w:t>1. entweder sein Eigentum ist</w:t>
      </w:r>
    </w:p>
    <w:p w14:paraId="709EC787" w14:textId="77777777" w:rsidR="00D74386" w:rsidRPr="009118AB" w:rsidRDefault="00D74386" w:rsidP="00D74386">
      <w:pPr>
        <w:autoSpaceDE w:val="0"/>
        <w:autoSpaceDN w:val="0"/>
        <w:adjustRightInd w:val="0"/>
        <w:jc w:val="both"/>
        <w:rPr>
          <w:iCs/>
          <w:sz w:val="20"/>
          <w:szCs w:val="20"/>
        </w:rPr>
      </w:pPr>
    </w:p>
    <w:p w14:paraId="16596A13" w14:textId="77777777" w:rsidR="00D74386" w:rsidRPr="009118AB" w:rsidRDefault="00D74386" w:rsidP="00D74386">
      <w:pPr>
        <w:autoSpaceDE w:val="0"/>
        <w:autoSpaceDN w:val="0"/>
        <w:adjustRightInd w:val="0"/>
        <w:jc w:val="both"/>
        <w:rPr>
          <w:iCs/>
          <w:sz w:val="20"/>
          <w:szCs w:val="20"/>
        </w:rPr>
      </w:pPr>
      <w:r w:rsidRPr="009118AB">
        <w:rPr>
          <w:iCs/>
          <w:sz w:val="20"/>
          <w:szCs w:val="20"/>
        </w:rPr>
        <w:t>2. oder bei der Direktion für Fahrzeugzulassungen auf seinen Namen zugelassen ist</w:t>
      </w:r>
    </w:p>
    <w:p w14:paraId="7F472142" w14:textId="77777777" w:rsidR="00D74386" w:rsidRPr="009118AB" w:rsidRDefault="00D74386" w:rsidP="00D74386">
      <w:pPr>
        <w:autoSpaceDE w:val="0"/>
        <w:autoSpaceDN w:val="0"/>
        <w:adjustRightInd w:val="0"/>
        <w:jc w:val="both"/>
        <w:rPr>
          <w:iCs/>
          <w:sz w:val="20"/>
          <w:szCs w:val="20"/>
        </w:rPr>
      </w:pPr>
    </w:p>
    <w:p w14:paraId="66D3D051" w14:textId="77777777" w:rsidR="00D74386" w:rsidRPr="009118AB" w:rsidRDefault="00D74386" w:rsidP="00D74386">
      <w:pPr>
        <w:autoSpaceDE w:val="0"/>
        <w:autoSpaceDN w:val="0"/>
        <w:adjustRightInd w:val="0"/>
        <w:jc w:val="both"/>
        <w:rPr>
          <w:iCs/>
          <w:sz w:val="20"/>
          <w:szCs w:val="20"/>
        </w:rPr>
      </w:pPr>
      <w:r w:rsidRPr="009118AB">
        <w:rPr>
          <w:iCs/>
          <w:sz w:val="20"/>
          <w:szCs w:val="20"/>
        </w:rPr>
        <w:t>3. oder ihm aufgrund eines Miet- oder Leasingvertrags ständig oder gewöhnlich zur Verfügung steht</w:t>
      </w:r>
    </w:p>
    <w:p w14:paraId="66EBB0A1" w14:textId="77777777" w:rsidR="00D74386" w:rsidRPr="009118AB" w:rsidRDefault="00D74386" w:rsidP="00D74386">
      <w:pPr>
        <w:autoSpaceDE w:val="0"/>
        <w:autoSpaceDN w:val="0"/>
        <w:adjustRightInd w:val="0"/>
        <w:jc w:val="both"/>
        <w:rPr>
          <w:iCs/>
          <w:sz w:val="20"/>
          <w:szCs w:val="20"/>
        </w:rPr>
      </w:pPr>
    </w:p>
    <w:p w14:paraId="7AE3FE54" w14:textId="77777777" w:rsidR="00D74386" w:rsidRPr="009118AB" w:rsidRDefault="00D74386" w:rsidP="00D74386">
      <w:pPr>
        <w:autoSpaceDE w:val="0"/>
        <w:autoSpaceDN w:val="0"/>
        <w:adjustRightInd w:val="0"/>
        <w:jc w:val="both"/>
        <w:rPr>
          <w:iCs/>
          <w:sz w:val="20"/>
          <w:szCs w:val="20"/>
        </w:rPr>
      </w:pPr>
      <w:r w:rsidRPr="009118AB">
        <w:rPr>
          <w:iCs/>
          <w:sz w:val="20"/>
          <w:szCs w:val="20"/>
        </w:rPr>
        <w:t>4. oder seinem Arbeitgeber oder seiner Gesellschaft gehört und der möglicherweise aus der Nutzung dieses Fahrzeugs entstehende Vorteil zu seinen Lasten besteuert wird.</w:t>
      </w:r>
    </w:p>
    <w:p w14:paraId="17A0E7A9" w14:textId="77777777" w:rsidR="00D74386" w:rsidRPr="009118AB" w:rsidRDefault="00D74386" w:rsidP="00D74386">
      <w:pPr>
        <w:autoSpaceDE w:val="0"/>
        <w:autoSpaceDN w:val="0"/>
        <w:adjustRightInd w:val="0"/>
        <w:jc w:val="both"/>
        <w:rPr>
          <w:iCs/>
          <w:sz w:val="20"/>
          <w:szCs w:val="20"/>
        </w:rPr>
      </w:pPr>
    </w:p>
    <w:p w14:paraId="12E3FDB6" w14:textId="30E34F54" w:rsidR="00D74386" w:rsidRPr="009118AB" w:rsidRDefault="00D74386" w:rsidP="00D74386">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118AB">
        <w:rPr>
          <w:iCs/>
          <w:sz w:val="20"/>
          <w:szCs w:val="20"/>
        </w:rPr>
        <w:t>§ </w:t>
      </w:r>
      <w:r w:rsidRPr="009118AB">
        <w:rPr>
          <w:iCs/>
          <w:sz w:val="20"/>
          <w:szCs w:val="20"/>
        </w:rPr>
        <w:t>4 erwähnte Fahrt nutzt, wobei der Pauschalbetrag für gemeinsam gemachte Fahrten aber nur einem einzigen Steuerpflichtigen bewilligt werden darf.]</w:t>
      </w:r>
    </w:p>
    <w:p w14:paraId="4F88F540" w14:textId="77777777" w:rsidR="00D74386" w:rsidRPr="009118AB" w:rsidRDefault="00D74386" w:rsidP="00D74386">
      <w:pPr>
        <w:autoSpaceDE w:val="0"/>
        <w:autoSpaceDN w:val="0"/>
        <w:adjustRightInd w:val="0"/>
        <w:jc w:val="both"/>
        <w:rPr>
          <w:iCs/>
          <w:sz w:val="20"/>
          <w:szCs w:val="20"/>
        </w:rPr>
      </w:pPr>
    </w:p>
    <w:p w14:paraId="543572B0" w14:textId="5FC12059" w:rsidR="00D74386" w:rsidRPr="009118AB" w:rsidRDefault="00D74386" w:rsidP="00D74386">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118AB">
        <w:rPr>
          <w:iCs/>
          <w:sz w:val="20"/>
          <w:szCs w:val="20"/>
        </w:rPr>
        <w:t>§ </w:t>
      </w:r>
      <w:r w:rsidRPr="009118AB">
        <w:rPr>
          <w:iCs/>
          <w:sz w:val="20"/>
          <w:szCs w:val="20"/>
        </w:rPr>
        <w:t>2 letzter Absatz erwähnte Beteiligung.]</w:t>
      </w:r>
    </w:p>
    <w:p w14:paraId="217DACFF" w14:textId="77777777" w:rsidR="00D74386" w:rsidRPr="009118AB" w:rsidRDefault="00D74386" w:rsidP="00D74386">
      <w:pPr>
        <w:autoSpaceDE w:val="0"/>
        <w:autoSpaceDN w:val="0"/>
        <w:adjustRightInd w:val="0"/>
        <w:jc w:val="both"/>
        <w:rPr>
          <w:iCs/>
          <w:sz w:val="20"/>
          <w:szCs w:val="20"/>
        </w:rPr>
      </w:pPr>
    </w:p>
    <w:p w14:paraId="6D626B0E" w14:textId="25C8E848" w:rsidR="00D74386" w:rsidRPr="009118AB" w:rsidRDefault="00D74386" w:rsidP="00D74386">
      <w:pPr>
        <w:autoSpaceDE w:val="0"/>
        <w:autoSpaceDN w:val="0"/>
        <w:adjustRightInd w:val="0"/>
        <w:jc w:val="both"/>
        <w:rPr>
          <w:iCs/>
          <w:sz w:val="20"/>
          <w:szCs w:val="20"/>
        </w:rPr>
      </w:pPr>
      <w:r w:rsidRPr="009118AB">
        <w:rPr>
          <w:iCs/>
          <w:sz w:val="20"/>
          <w:szCs w:val="20"/>
        </w:rPr>
        <w:t>[</w:t>
      </w:r>
      <w:r w:rsidR="006246F0" w:rsidRPr="009118AB">
        <w:rPr>
          <w:iCs/>
          <w:sz w:val="20"/>
          <w:szCs w:val="20"/>
        </w:rPr>
        <w:t>..</w:t>
      </w:r>
      <w:r w:rsidRPr="009118AB">
        <w:rPr>
          <w:iCs/>
          <w:sz w:val="20"/>
          <w:szCs w:val="20"/>
        </w:rPr>
        <w:t>.]</w:t>
      </w:r>
    </w:p>
    <w:p w14:paraId="20A370BA" w14:textId="73B1EFAB" w:rsidR="00491A4D" w:rsidRPr="009118AB" w:rsidRDefault="00491A4D" w:rsidP="00D74386">
      <w:pPr>
        <w:autoSpaceDE w:val="0"/>
        <w:autoSpaceDN w:val="0"/>
        <w:adjustRightInd w:val="0"/>
        <w:jc w:val="both"/>
        <w:rPr>
          <w:iCs/>
          <w:sz w:val="20"/>
          <w:szCs w:val="20"/>
        </w:rPr>
      </w:pPr>
    </w:p>
    <w:p w14:paraId="428D17DD" w14:textId="77777777" w:rsidR="002A7A72" w:rsidRDefault="002A7A72">
      <w:pPr>
        <w:rPr>
          <w:iCs/>
          <w:sz w:val="20"/>
          <w:szCs w:val="20"/>
        </w:rPr>
      </w:pPr>
      <w:r>
        <w:rPr>
          <w:iCs/>
          <w:sz w:val="20"/>
          <w:szCs w:val="20"/>
        </w:rPr>
        <w:br w:type="page"/>
      </w:r>
    </w:p>
    <w:p w14:paraId="5DA8BB17" w14:textId="1B706987" w:rsidR="00491A4D" w:rsidRPr="009118AB" w:rsidRDefault="00491A4D" w:rsidP="00491A4D">
      <w:pPr>
        <w:autoSpaceDE w:val="0"/>
        <w:autoSpaceDN w:val="0"/>
        <w:adjustRightInd w:val="0"/>
        <w:jc w:val="both"/>
        <w:rPr>
          <w:iCs/>
          <w:sz w:val="20"/>
          <w:szCs w:val="20"/>
        </w:rPr>
      </w:pPr>
      <w:r w:rsidRPr="009118AB">
        <w:rPr>
          <w:iCs/>
          <w:sz w:val="20"/>
          <w:szCs w:val="20"/>
        </w:rPr>
        <w:lastRenderedPageBreak/>
        <w:t>[</w:t>
      </w:r>
      <w:r w:rsidR="00D67EB8" w:rsidRPr="009118AB">
        <w:rPr>
          <w:iCs/>
          <w:sz w:val="20"/>
          <w:szCs w:val="20"/>
        </w:rPr>
        <w:t>§ </w:t>
      </w:r>
      <w:r w:rsidRPr="009118AB">
        <w:rPr>
          <w:iCs/>
          <w:sz w:val="20"/>
          <w:szCs w:val="20"/>
        </w:rPr>
        <w:t>6</w:t>
      </w:r>
      <w:r w:rsidR="00D67EB8" w:rsidRPr="009118AB">
        <w:rPr>
          <w:iCs/>
          <w:sz w:val="20"/>
          <w:szCs w:val="20"/>
        </w:rPr>
        <w:t> - </w:t>
      </w:r>
      <w:r w:rsidRPr="009118AB">
        <w:rPr>
          <w:iCs/>
          <w:sz w:val="20"/>
          <w:szCs w:val="20"/>
        </w:rPr>
        <w:t>Kosten in Bezug auf die ab dem 1. Januar 2030 gekauften, geleasten oder gemieteten Ladestationen für Elektrofahrzeuge sind nur bis zu 75 Prozent abzugsfähig.]</w:t>
      </w:r>
    </w:p>
    <w:p w14:paraId="66D1E69E" w14:textId="77777777" w:rsidR="00491A4D" w:rsidRPr="009118AB" w:rsidRDefault="00491A4D" w:rsidP="00491A4D">
      <w:pPr>
        <w:autoSpaceDE w:val="0"/>
        <w:autoSpaceDN w:val="0"/>
        <w:adjustRightInd w:val="0"/>
        <w:jc w:val="both"/>
        <w:rPr>
          <w:iCs/>
          <w:sz w:val="20"/>
          <w:szCs w:val="20"/>
        </w:rPr>
      </w:pPr>
    </w:p>
    <w:p w14:paraId="1D891B9C" w14:textId="2DD409D6" w:rsidR="00491A4D" w:rsidRPr="009118AB" w:rsidRDefault="00D74386" w:rsidP="00491A4D">
      <w:pPr>
        <w:autoSpaceDE w:val="0"/>
        <w:autoSpaceDN w:val="0"/>
        <w:adjustRightInd w:val="0"/>
        <w:jc w:val="both"/>
        <w:rPr>
          <w:sz w:val="20"/>
          <w:szCs w:val="20"/>
        </w:rPr>
      </w:pPr>
      <w:r w:rsidRPr="009118AB">
        <w:rPr>
          <w:rFonts w:ascii="Times New Roman Italique" w:hAnsi="Times New Roman Italique"/>
          <w:i/>
          <w:iCs/>
          <w:spacing w:val="2"/>
          <w:sz w:val="20"/>
          <w:szCs w:val="20"/>
        </w:rPr>
        <w:t>[</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66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13 des G. vom 6. Juli 1994 (B.S. vom 16. Juli 1994)</w:t>
      </w:r>
      <w:r w:rsidR="00D67EB8" w:rsidRPr="009118AB">
        <w:rPr>
          <w:rFonts w:ascii="Times New Roman Italique" w:hAnsi="Times New Roman Italique"/>
          <w:i/>
          <w:iCs/>
          <w:spacing w:val="2"/>
          <w:sz w:val="20"/>
          <w:szCs w:val="20"/>
        </w:rPr>
        <w:t> - </w:t>
      </w:r>
      <w:r w:rsidRPr="009118AB">
        <w:rPr>
          <w:rFonts w:ascii="Times New Roman Italique" w:hAnsi="Times New Roman Italique"/>
          <w:i/>
          <w:iCs/>
          <w:spacing w:val="2"/>
          <w:sz w:val="20"/>
          <w:szCs w:val="20"/>
        </w:rPr>
        <w:t>anwendbar ab dem Steuerjahr 1993</w:t>
      </w:r>
      <w:r w:rsidR="003366D9" w:rsidRPr="009118AB">
        <w:rPr>
          <w:rFonts w:ascii="Times New Roman Italique" w:hAnsi="Times New Roman Italique"/>
          <w:i/>
          <w:iCs/>
          <w:spacing w:val="2"/>
          <w:sz w:val="20"/>
          <w:szCs w:val="20"/>
        </w:rPr>
        <w:t> </w:t>
      </w:r>
      <w:r w:rsidR="003366D9" w:rsidRPr="009118AB">
        <w:rPr>
          <w:rFonts w:ascii="Times New Roman Italique" w:hAnsi="Times New Roman Italique" w:hint="eastAsia"/>
          <w:i/>
          <w:iCs/>
          <w:spacing w:val="2"/>
          <w:sz w:val="20"/>
          <w:szCs w:val="20"/>
        </w:rPr>
        <w:t>-;</w:t>
      </w:r>
      <w:r w:rsidRPr="009118AB">
        <w:rPr>
          <w:rFonts w:ascii="Times New Roman Italique" w:hAnsi="Times New Roman Italique"/>
          <w:i/>
          <w:iCs/>
          <w:spacing w:val="2"/>
          <w:sz w:val="20"/>
          <w:szCs w:val="20"/>
        </w:rPr>
        <w:t xml:space="preserve"> </w:t>
      </w:r>
      <w:r w:rsidR="00D67EB8" w:rsidRPr="009118AB">
        <w:rPr>
          <w:rFonts w:ascii="Times New Roman Italique" w:hAnsi="Times New Roman Italique"/>
          <w:i/>
          <w:iCs/>
          <w:spacing w:val="2"/>
          <w:sz w:val="20"/>
          <w:szCs w:val="20"/>
        </w:rPr>
        <w:t>§ </w:t>
      </w:r>
      <w:r w:rsidRPr="009118AB">
        <w:rPr>
          <w:rFonts w:ascii="Times New Roman Italique" w:hAnsi="Times New Roman Italique"/>
          <w:i/>
          <w:iCs/>
          <w:spacing w:val="2"/>
          <w:sz w:val="20"/>
          <w:szCs w:val="20"/>
        </w:rPr>
        <w:t xml:space="preserve">1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3 </w:t>
      </w:r>
      <w:r w:rsidR="00D67EB8" w:rsidRPr="009118AB">
        <w:rPr>
          <w:rFonts w:ascii="Times New Roman Italique" w:hAnsi="Times New Roman Italique"/>
          <w:i/>
          <w:iCs/>
          <w:spacing w:val="2"/>
          <w:sz w:val="20"/>
          <w:szCs w:val="20"/>
        </w:rPr>
        <w:t>Nr. </w:t>
      </w:r>
      <w:r w:rsidRPr="009118AB">
        <w:rPr>
          <w:rFonts w:ascii="Times New Roman Italique" w:hAnsi="Times New Roman Italique"/>
          <w:i/>
          <w:iCs/>
          <w:spacing w:val="2"/>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einleitende Bestimmung abgeändert und erster und zweiter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dritter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vierter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2029</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fünfter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4</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2030</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ersetzt durch </w:t>
      </w:r>
      <w:r w:rsidR="00D67EB8" w:rsidRPr="009118AB">
        <w:rPr>
          <w:i/>
          <w:iCs/>
          <w:sz w:val="20"/>
          <w:szCs w:val="20"/>
        </w:rPr>
        <w:t>Art. </w:t>
      </w:r>
      <w:r w:rsidRPr="009118AB">
        <w:rPr>
          <w:i/>
          <w:iCs/>
          <w:sz w:val="20"/>
          <w:szCs w:val="20"/>
        </w:rPr>
        <w:t xml:space="preserve">105 </w:t>
      </w:r>
      <w:r w:rsidR="00D67EB8" w:rsidRPr="009118AB">
        <w:rPr>
          <w:i/>
          <w:iCs/>
          <w:sz w:val="20"/>
          <w:szCs w:val="20"/>
        </w:rPr>
        <w:t>Nr. </w:t>
      </w:r>
      <w:r w:rsidRPr="009118AB">
        <w:rPr>
          <w:i/>
          <w:iCs/>
          <w:sz w:val="20"/>
          <w:szCs w:val="20"/>
        </w:rPr>
        <w:t>2 des G. vom 27. Dezember 2005 (I) (B.S. vom 30. Dezember 2005)</w:t>
      </w:r>
      <w:r w:rsidR="00D67EB8" w:rsidRPr="009118AB">
        <w:rPr>
          <w:i/>
          <w:iCs/>
          <w:sz w:val="20"/>
          <w:szCs w:val="20"/>
        </w:rPr>
        <w:t> - </w:t>
      </w:r>
      <w:r w:rsidRPr="009118AB">
        <w:rPr>
          <w:i/>
          <w:iCs/>
          <w:sz w:val="20"/>
          <w:szCs w:val="20"/>
        </w:rPr>
        <w:t>in Kraft ab dem Steuerjahr 2007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einleitende Bestimmung ersetzt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6</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4 eingefügt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3 des G. vom 25. Dezember 2017 (III) (B.S. vom 29. Dezember 201)7</w:t>
      </w:r>
      <w:r w:rsidR="00D67EB8" w:rsidRPr="009118AB">
        <w:rPr>
          <w:i/>
          <w:iCs/>
          <w:sz w:val="20"/>
          <w:szCs w:val="20"/>
        </w:rPr>
        <w:t> - </w:t>
      </w:r>
      <w:r w:rsidRPr="009118AB">
        <w:rPr>
          <w:i/>
          <w:iCs/>
          <w:sz w:val="20"/>
          <w:szCs w:val="20"/>
        </w:rPr>
        <w:t>in Kraft am 1. Januar 2018 und anwendbar ab dem Steuerjahr 2019, das sich auf einen Besteuerungszeitraum bezieht, der frühestens am 1. Januar 2018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3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ersetzt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4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einziger Absatz einleitende Bestimmung abgeändert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7</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pacing w:val="-2"/>
          <w:sz w:val="20"/>
          <w:szCs w:val="20"/>
        </w:rPr>
        <w:t>§ </w:t>
      </w:r>
      <w:r w:rsidRPr="009118AB">
        <w:rPr>
          <w:i/>
          <w:iCs/>
          <w:spacing w:val="-2"/>
          <w:sz w:val="20"/>
          <w:szCs w:val="20"/>
        </w:rPr>
        <w:t xml:space="preserve">4 ersetzt durch </w:t>
      </w:r>
      <w:r w:rsidR="00D67EB8" w:rsidRPr="009118AB">
        <w:rPr>
          <w:i/>
          <w:iCs/>
          <w:spacing w:val="-2"/>
          <w:sz w:val="20"/>
          <w:szCs w:val="20"/>
        </w:rPr>
        <w:t>Art. </w:t>
      </w:r>
      <w:r w:rsidRPr="009118AB">
        <w:rPr>
          <w:i/>
          <w:iCs/>
          <w:spacing w:val="-2"/>
          <w:sz w:val="20"/>
          <w:szCs w:val="20"/>
        </w:rPr>
        <w:t xml:space="preserve">3 </w:t>
      </w:r>
      <w:r w:rsidR="00D67EB8" w:rsidRPr="009118AB">
        <w:rPr>
          <w:i/>
          <w:iCs/>
          <w:spacing w:val="-2"/>
          <w:sz w:val="20"/>
          <w:szCs w:val="20"/>
        </w:rPr>
        <w:t>Nr. </w:t>
      </w:r>
      <w:r w:rsidRPr="009118AB">
        <w:rPr>
          <w:i/>
          <w:iCs/>
          <w:spacing w:val="-2"/>
          <w:sz w:val="20"/>
          <w:szCs w:val="20"/>
        </w:rPr>
        <w:t>8</w:t>
      </w:r>
      <w:r w:rsidRPr="009118AB">
        <w:rPr>
          <w:i/>
          <w:iCs/>
          <w:spacing w:val="-2"/>
        </w:rPr>
        <w:t xml:space="preserve"> </w:t>
      </w:r>
      <w:r w:rsidRPr="009118AB">
        <w:rPr>
          <w:i/>
          <w:iCs/>
          <w:spacing w:val="-2"/>
          <w:sz w:val="20"/>
          <w:szCs w:val="20"/>
        </w:rPr>
        <w:t>des G. vom 25. November 2021 (B.S. vom 3. Dezember 2021)</w:t>
      </w:r>
      <w:r w:rsidR="00D67EB8" w:rsidRPr="009118AB">
        <w:rPr>
          <w:i/>
          <w:iCs/>
          <w:spacing w:val="-2"/>
          <w:sz w:val="20"/>
          <w:szCs w:val="20"/>
        </w:rPr>
        <w:t> - </w:t>
      </w:r>
      <w:r w:rsidRPr="009118AB">
        <w:rPr>
          <w:i/>
          <w:iCs/>
          <w:spacing w:val="-2"/>
          <w:sz w:val="20"/>
          <w:szCs w:val="20"/>
        </w:rPr>
        <w:t>in Kraft am 1. Januar 2026 und anwendbar ab dem Steuerjahr 2027, das sich auf einen Besteuerungszeitraum bezieht, der frühestens am 1. Januar 2026 beginnt</w:t>
      </w:r>
      <w:r w:rsidR="003366D9" w:rsidRPr="009118AB">
        <w:rPr>
          <w:i/>
          <w:iCs/>
          <w:spacing w:val="-2"/>
          <w:sz w:val="20"/>
          <w:szCs w:val="20"/>
        </w:rPr>
        <w:t> -;</w:t>
      </w:r>
      <w:r w:rsidRPr="009118AB">
        <w:rPr>
          <w:i/>
          <w:iCs/>
          <w:spacing w:val="-2"/>
          <w:sz w:val="20"/>
          <w:szCs w:val="20"/>
        </w:rPr>
        <w:t xml:space="preserve"> </w:t>
      </w:r>
      <w:r w:rsidR="00D67EB8" w:rsidRPr="009118AB">
        <w:rPr>
          <w:i/>
          <w:iCs/>
          <w:spacing w:val="-2"/>
          <w:sz w:val="20"/>
          <w:szCs w:val="20"/>
        </w:rPr>
        <w:t>§ </w:t>
      </w:r>
      <w:r w:rsidRPr="009118AB">
        <w:rPr>
          <w:i/>
          <w:iCs/>
          <w:spacing w:val="-2"/>
          <w:sz w:val="20"/>
          <w:szCs w:val="20"/>
        </w:rPr>
        <w:t xml:space="preserve">5 </w:t>
      </w:r>
      <w:r w:rsidR="00D67EB8" w:rsidRPr="009118AB">
        <w:rPr>
          <w:i/>
          <w:iCs/>
          <w:spacing w:val="-2"/>
          <w:sz w:val="20"/>
          <w:szCs w:val="20"/>
        </w:rPr>
        <w:t>Abs. </w:t>
      </w:r>
      <w:r w:rsidRPr="009118AB">
        <w:rPr>
          <w:i/>
          <w:iCs/>
          <w:spacing w:val="-2"/>
          <w:sz w:val="20"/>
          <w:szCs w:val="20"/>
        </w:rPr>
        <w:t xml:space="preserve">3 eingefügt durch </w:t>
      </w:r>
      <w:r w:rsidR="00D67EB8" w:rsidRPr="009118AB">
        <w:rPr>
          <w:i/>
          <w:iCs/>
          <w:spacing w:val="-2"/>
          <w:sz w:val="20"/>
          <w:szCs w:val="20"/>
        </w:rPr>
        <w:t>Art. </w:t>
      </w:r>
      <w:r w:rsidRPr="009118AB">
        <w:rPr>
          <w:i/>
          <w:iCs/>
          <w:spacing w:val="-2"/>
          <w:sz w:val="20"/>
          <w:szCs w:val="20"/>
        </w:rPr>
        <w:t>40</w:t>
      </w:r>
      <w:r w:rsidRPr="009118AB">
        <w:rPr>
          <w:i/>
          <w:spacing w:val="-2"/>
          <w:sz w:val="20"/>
          <w:szCs w:val="20"/>
        </w:rPr>
        <w:t xml:space="preserve"> </w:t>
      </w:r>
      <w:r w:rsidRPr="009118AB">
        <w:rPr>
          <w:bCs/>
          <w:i/>
          <w:spacing w:val="-2"/>
          <w:sz w:val="20"/>
          <w:szCs w:val="20"/>
        </w:rPr>
        <w:t>des G. vom 28. Dezember 2011 (B.S. vom 30. Dezember 2011)</w:t>
      </w:r>
      <w:r w:rsidR="00D67EB8" w:rsidRPr="009118AB">
        <w:rPr>
          <w:bCs/>
          <w:i/>
          <w:spacing w:val="-2"/>
          <w:sz w:val="20"/>
          <w:szCs w:val="20"/>
        </w:rPr>
        <w:t> - </w:t>
      </w:r>
      <w:r w:rsidRPr="009118AB">
        <w:rPr>
          <w:bCs/>
          <w:i/>
          <w:spacing w:val="-2"/>
          <w:sz w:val="20"/>
          <w:szCs w:val="20"/>
        </w:rPr>
        <w:t>anwendbar auf die ab dem 1. Januar 2012 zuerkannten Vorteile jeglicher Art</w:t>
      </w:r>
      <w:r w:rsidR="003366D9" w:rsidRPr="009118AB">
        <w:rPr>
          <w:bCs/>
          <w:i/>
          <w:spacing w:val="-2"/>
          <w:sz w:val="20"/>
          <w:szCs w:val="20"/>
        </w:rPr>
        <w:t> -;</w:t>
      </w:r>
      <w:r w:rsidRPr="009118AB">
        <w:rPr>
          <w:bCs/>
          <w:i/>
          <w:spacing w:val="-2"/>
          <w:sz w:val="20"/>
          <w:szCs w:val="20"/>
        </w:rPr>
        <w:t xml:space="preserve"> </w:t>
      </w:r>
      <w:r w:rsidR="00D67EB8" w:rsidRPr="009118AB">
        <w:rPr>
          <w:bCs/>
          <w:i/>
          <w:spacing w:val="-2"/>
          <w:sz w:val="20"/>
          <w:szCs w:val="20"/>
        </w:rPr>
        <w:t>§ </w:t>
      </w:r>
      <w:r w:rsidRPr="009118AB">
        <w:rPr>
          <w:bCs/>
          <w:i/>
          <w:spacing w:val="-2"/>
          <w:sz w:val="20"/>
          <w:szCs w:val="20"/>
        </w:rPr>
        <w:t xml:space="preserve">5 </w:t>
      </w:r>
      <w:r w:rsidR="006246F0" w:rsidRPr="009118AB">
        <w:rPr>
          <w:bCs/>
          <w:i/>
          <w:spacing w:val="-2"/>
          <w:sz w:val="20"/>
          <w:szCs w:val="20"/>
        </w:rPr>
        <w:t xml:space="preserve">früherer </w:t>
      </w:r>
      <w:r w:rsidRPr="009118AB">
        <w:rPr>
          <w:bCs/>
          <w:i/>
          <w:spacing w:val="-2"/>
          <w:sz w:val="20"/>
          <w:szCs w:val="20"/>
        </w:rPr>
        <w:t>Abs</w:t>
      </w:r>
      <w:r w:rsidR="006246F0" w:rsidRPr="009118AB">
        <w:rPr>
          <w:bCs/>
          <w:i/>
          <w:spacing w:val="-2"/>
          <w:sz w:val="20"/>
          <w:szCs w:val="20"/>
        </w:rPr>
        <w:t>atz</w:t>
      </w:r>
      <w:r w:rsidRPr="009118AB">
        <w:rPr>
          <w:bCs/>
          <w:i/>
          <w:spacing w:val="-2"/>
          <w:sz w:val="20"/>
          <w:szCs w:val="20"/>
        </w:rPr>
        <w:t xml:space="preserve"> 4 eingefügt durch </w:t>
      </w:r>
      <w:r w:rsidR="00D67EB8" w:rsidRPr="009118AB">
        <w:rPr>
          <w:bCs/>
          <w:i/>
          <w:spacing w:val="-2"/>
          <w:sz w:val="20"/>
          <w:szCs w:val="20"/>
        </w:rPr>
        <w:t>Art. </w:t>
      </w:r>
      <w:r w:rsidRPr="009118AB">
        <w:rPr>
          <w:bCs/>
          <w:i/>
          <w:spacing w:val="-2"/>
          <w:sz w:val="20"/>
          <w:szCs w:val="20"/>
        </w:rPr>
        <w:t>28 des G. vom 30. März 2018 (B.S. vom 7. Mai 2018)</w:t>
      </w:r>
      <w:r w:rsidR="00D67EB8" w:rsidRPr="009118AB">
        <w:rPr>
          <w:bCs/>
          <w:i/>
          <w:spacing w:val="-2"/>
          <w:sz w:val="20"/>
          <w:szCs w:val="20"/>
        </w:rPr>
        <w:t> - </w:t>
      </w:r>
      <w:r w:rsidRPr="009118AB">
        <w:rPr>
          <w:bCs/>
          <w:i/>
          <w:spacing w:val="-2"/>
          <w:sz w:val="20"/>
          <w:szCs w:val="20"/>
        </w:rPr>
        <w:t>in Kraft am 1. Januar 2018</w:t>
      </w:r>
      <w:r w:rsidR="00FD68E8" w:rsidRPr="009118AB">
        <w:rPr>
          <w:bCs/>
          <w:i/>
          <w:spacing w:val="-2"/>
          <w:sz w:val="20"/>
          <w:szCs w:val="20"/>
        </w:rPr>
        <w:t> -,</w:t>
      </w:r>
      <w:r w:rsidR="006246F0" w:rsidRPr="009118AB">
        <w:rPr>
          <w:bCs/>
          <w:i/>
          <w:spacing w:val="-2"/>
          <w:sz w:val="20"/>
          <w:szCs w:val="20"/>
        </w:rPr>
        <w:t xml:space="preserve"> selbst für nichtig erklärt durch</w:t>
      </w:r>
      <w:r w:rsidR="006246F0" w:rsidRPr="009118AB">
        <w:rPr>
          <w:bCs/>
          <w:i/>
          <w:iCs/>
          <w:spacing w:val="-2"/>
          <w:sz w:val="20"/>
          <w:szCs w:val="20"/>
        </w:rPr>
        <w:t xml:space="preserve"> Entscheid </w:t>
      </w:r>
      <w:r w:rsidR="00D67EB8" w:rsidRPr="009118AB">
        <w:rPr>
          <w:bCs/>
          <w:i/>
          <w:iCs/>
          <w:spacing w:val="-2"/>
          <w:sz w:val="20"/>
          <w:szCs w:val="20"/>
        </w:rPr>
        <w:t>Nr. </w:t>
      </w:r>
      <w:r w:rsidR="006246F0" w:rsidRPr="009118AB">
        <w:rPr>
          <w:bCs/>
          <w:i/>
          <w:iCs/>
          <w:spacing w:val="-2"/>
          <w:sz w:val="20"/>
          <w:szCs w:val="20"/>
        </w:rPr>
        <w:t>11/2020 des Verfassungsgerichtshofes vom 23. Januar 2020 (B.S. vom 24. Februar 2020)</w:t>
      </w:r>
      <w:r w:rsidRPr="009118AB">
        <w:rPr>
          <w:bCs/>
          <w:i/>
          <w:spacing w:val="-2"/>
          <w:sz w:val="20"/>
          <w:szCs w:val="20"/>
        </w:rPr>
        <w:t xml:space="preserve">; </w:t>
      </w:r>
      <w:r w:rsidR="00D67EB8" w:rsidRPr="009118AB">
        <w:rPr>
          <w:bCs/>
          <w:i/>
          <w:sz w:val="20"/>
          <w:szCs w:val="20"/>
        </w:rPr>
        <w:t>§ </w:t>
      </w:r>
      <w:r w:rsidR="00491A4D" w:rsidRPr="009118AB">
        <w:rPr>
          <w:bCs/>
          <w:i/>
          <w:sz w:val="20"/>
          <w:szCs w:val="20"/>
        </w:rPr>
        <w:t xml:space="preserve">6 eingefügt durch </w:t>
      </w:r>
      <w:r w:rsidR="00D67EB8" w:rsidRPr="009118AB">
        <w:rPr>
          <w:bCs/>
          <w:i/>
          <w:sz w:val="20"/>
          <w:szCs w:val="20"/>
        </w:rPr>
        <w:t>Art. </w:t>
      </w:r>
      <w:r w:rsidR="00491A4D" w:rsidRPr="009118AB">
        <w:rPr>
          <w:bCs/>
          <w:i/>
          <w:sz w:val="20"/>
          <w:szCs w:val="20"/>
        </w:rPr>
        <w:t xml:space="preserve">3 </w:t>
      </w:r>
      <w:r w:rsidR="00D67EB8" w:rsidRPr="009118AB">
        <w:rPr>
          <w:bCs/>
          <w:i/>
          <w:sz w:val="20"/>
          <w:szCs w:val="20"/>
        </w:rPr>
        <w:t>Nr. </w:t>
      </w:r>
      <w:r w:rsidR="00491A4D" w:rsidRPr="009118AB">
        <w:rPr>
          <w:bCs/>
          <w:i/>
          <w:sz w:val="20"/>
          <w:szCs w:val="20"/>
        </w:rPr>
        <w:t>9</w:t>
      </w:r>
      <w:r w:rsidR="00491A4D" w:rsidRPr="009118AB">
        <w:rPr>
          <w:i/>
          <w:iCs/>
        </w:rPr>
        <w:t xml:space="preserve"> </w:t>
      </w:r>
      <w:r w:rsidR="00491A4D" w:rsidRPr="009118AB">
        <w:rPr>
          <w:i/>
          <w:iCs/>
          <w:sz w:val="20"/>
          <w:szCs w:val="20"/>
        </w:rPr>
        <w:t>des G. vom 25. November 2021 (B.S. vom 3. Dezember 2021)</w:t>
      </w:r>
      <w:r w:rsidR="00D67EB8" w:rsidRPr="009118AB">
        <w:rPr>
          <w:i/>
          <w:iCs/>
          <w:sz w:val="20"/>
          <w:szCs w:val="20"/>
        </w:rPr>
        <w:t> - </w:t>
      </w:r>
      <w:r w:rsidR="00491A4D" w:rsidRPr="009118AB">
        <w:rPr>
          <w:i/>
          <w:iCs/>
          <w:sz w:val="20"/>
          <w:szCs w:val="20"/>
        </w:rPr>
        <w:t>in Kraft am 1. Januar 2030</w:t>
      </w:r>
      <w:r w:rsidR="00FD68E8" w:rsidRPr="009118AB">
        <w:rPr>
          <w:i/>
          <w:iCs/>
          <w:sz w:val="20"/>
          <w:szCs w:val="20"/>
        </w:rPr>
        <w:t> -]</w:t>
      </w:r>
      <w:r w:rsidR="00491A4D" w:rsidRPr="009118AB">
        <w:rPr>
          <w:sz w:val="20"/>
          <w:szCs w:val="20"/>
        </w:rPr>
        <w:t>"</w:t>
      </w:r>
    </w:p>
    <w:p w14:paraId="0D163B9B" w14:textId="4A56AB21" w:rsidR="00491A4D" w:rsidRPr="009118AB" w:rsidRDefault="00491A4D" w:rsidP="00390A33">
      <w:pPr>
        <w:autoSpaceDE w:val="0"/>
        <w:autoSpaceDN w:val="0"/>
        <w:adjustRightInd w:val="0"/>
        <w:jc w:val="both"/>
        <w:rPr>
          <w:sz w:val="20"/>
          <w:szCs w:val="20"/>
        </w:rPr>
      </w:pPr>
    </w:p>
    <w:p w14:paraId="79EFEA00" w14:textId="03F0FA1D" w:rsidR="00D74386" w:rsidRPr="009118AB" w:rsidRDefault="00D74386" w:rsidP="00390A33">
      <w:pPr>
        <w:autoSpaceDE w:val="0"/>
        <w:autoSpaceDN w:val="0"/>
        <w:adjustRightInd w:val="0"/>
        <w:jc w:val="both"/>
        <w:rPr>
          <w:sz w:val="20"/>
          <w:szCs w:val="20"/>
        </w:rPr>
      </w:pPr>
    </w:p>
    <w:p w14:paraId="7FC9DF61" w14:textId="1E0362B7" w:rsidR="00D74386" w:rsidRPr="009118AB" w:rsidRDefault="00D74386" w:rsidP="00D74386">
      <w:pPr>
        <w:autoSpaceDE w:val="0"/>
        <w:autoSpaceDN w:val="0"/>
        <w:adjustRightInd w:val="0"/>
        <w:jc w:val="both"/>
        <w:rPr>
          <w:sz w:val="20"/>
          <w:szCs w:val="20"/>
        </w:rPr>
      </w:pPr>
      <w:r w:rsidRPr="009118AB">
        <w:rPr>
          <w:sz w:val="20"/>
          <w:szCs w:val="20"/>
        </w:rPr>
        <w:t xml:space="preserve">Ab dem 1. Januar 2031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11 des G. vom 25. November 2021 (B.S. vom 3. Dezember 2021)) lautet </w:t>
      </w:r>
      <w:r w:rsidR="00D67EB8" w:rsidRPr="009118AB">
        <w:rPr>
          <w:sz w:val="20"/>
          <w:szCs w:val="20"/>
        </w:rPr>
        <w:t>Art. </w:t>
      </w:r>
      <w:r w:rsidRPr="009118AB">
        <w:rPr>
          <w:sz w:val="20"/>
          <w:szCs w:val="20"/>
        </w:rPr>
        <w:t>66 wie folgt:</w:t>
      </w:r>
    </w:p>
    <w:p w14:paraId="7E8B7A9B" w14:textId="77777777" w:rsidR="00D74386" w:rsidRPr="009118AB" w:rsidRDefault="00D74386" w:rsidP="00D74386">
      <w:pPr>
        <w:autoSpaceDE w:val="0"/>
        <w:autoSpaceDN w:val="0"/>
        <w:adjustRightInd w:val="0"/>
        <w:jc w:val="both"/>
        <w:rPr>
          <w:sz w:val="20"/>
          <w:szCs w:val="20"/>
        </w:rPr>
      </w:pPr>
    </w:p>
    <w:p w14:paraId="47EB7B94" w14:textId="0594D524" w:rsidR="00D74386" w:rsidRPr="009118AB" w:rsidRDefault="00D74386" w:rsidP="00D74386">
      <w:pPr>
        <w:autoSpaceDE w:val="0"/>
        <w:autoSpaceDN w:val="0"/>
        <w:adjustRightInd w:val="0"/>
        <w:jc w:val="both"/>
        <w:rPr>
          <w:iCs/>
          <w:sz w:val="20"/>
          <w:szCs w:val="20"/>
        </w:rPr>
      </w:pPr>
      <w:r w:rsidRPr="009118AB">
        <w:rPr>
          <w:sz w:val="20"/>
          <w:szCs w:val="20"/>
        </w:rPr>
        <w:t>"</w:t>
      </w:r>
      <w:r w:rsidR="00D67EB8" w:rsidRPr="009118AB">
        <w:rPr>
          <w:sz w:val="20"/>
          <w:szCs w:val="20"/>
        </w:rPr>
        <w:t>Art. </w:t>
      </w:r>
      <w:r w:rsidRPr="009118AB">
        <w:rPr>
          <w:sz w:val="20"/>
          <w:szCs w:val="20"/>
        </w:rPr>
        <w:t>66</w:t>
      </w:r>
      <w:r w:rsidR="00D67EB8" w:rsidRPr="009118AB">
        <w:rPr>
          <w:sz w:val="20"/>
          <w:szCs w:val="20"/>
        </w:rPr>
        <w:t> - </w:t>
      </w:r>
      <w:r w:rsidRPr="009118AB">
        <w:rPr>
          <w:iCs/>
          <w:sz w:val="20"/>
          <w:szCs w:val="20"/>
        </w:rPr>
        <w:t>[</w:t>
      </w:r>
      <w:r w:rsidR="00D67EB8" w:rsidRPr="009118AB">
        <w:rPr>
          <w:iCs/>
          <w:sz w:val="20"/>
          <w:szCs w:val="20"/>
        </w:rPr>
        <w:t>§ </w:t>
      </w:r>
      <w:r w:rsidRPr="009118AB">
        <w:rPr>
          <w:iCs/>
          <w:sz w:val="20"/>
          <w:szCs w:val="20"/>
        </w:rPr>
        <w:t>1</w:t>
      </w:r>
      <w:r w:rsidR="00D67EB8" w:rsidRPr="009118AB">
        <w:rPr>
          <w:iCs/>
          <w:sz w:val="20"/>
          <w:szCs w:val="20"/>
        </w:rPr>
        <w:t> - </w:t>
      </w:r>
      <w:r w:rsidRPr="009118AB">
        <w:rPr>
          <w:iCs/>
          <w:sz w:val="20"/>
          <w:szCs w:val="20"/>
        </w:rPr>
        <w:t>[Werbungskosten in Bezug auf die Nutzung der in Artikel 65 erwähnten Fahrzeuge sind nicht abzugsfähig, es sei denn, es handelt sich um ein Fahrzeug, das kein CO</w:t>
      </w:r>
      <w:r w:rsidRPr="009118AB">
        <w:rPr>
          <w:iCs/>
          <w:sz w:val="20"/>
          <w:szCs w:val="20"/>
          <w:vertAlign w:val="subscript"/>
        </w:rPr>
        <w:t>2</w:t>
      </w:r>
      <w:r w:rsidRPr="009118AB">
        <w:rPr>
          <w:iCs/>
          <w:sz w:val="20"/>
          <w:szCs w:val="20"/>
        </w:rPr>
        <w:t xml:space="preserve"> ausstößt[; stößt das Fahrzeug kein CO</w:t>
      </w:r>
      <w:r w:rsidRPr="009118AB">
        <w:rPr>
          <w:iCs/>
          <w:sz w:val="20"/>
          <w:szCs w:val="20"/>
          <w:vertAlign w:val="subscript"/>
        </w:rPr>
        <w:t>2</w:t>
      </w:r>
      <w:r w:rsidRPr="009118AB">
        <w:rPr>
          <w:iCs/>
          <w:sz w:val="20"/>
          <w:szCs w:val="20"/>
        </w:rPr>
        <w:t xml:space="preserve"> aus, wird der abzugsfähige Satz festgesetzt auf:</w:t>
      </w:r>
    </w:p>
    <w:p w14:paraId="2FF0AC91" w14:textId="77777777" w:rsidR="00D74386" w:rsidRPr="009118AB" w:rsidRDefault="00D74386" w:rsidP="00D74386">
      <w:pPr>
        <w:autoSpaceDE w:val="0"/>
        <w:autoSpaceDN w:val="0"/>
        <w:adjustRightInd w:val="0"/>
        <w:jc w:val="both"/>
        <w:rPr>
          <w:iCs/>
          <w:sz w:val="20"/>
          <w:szCs w:val="20"/>
        </w:rPr>
      </w:pPr>
    </w:p>
    <w:p w14:paraId="3F18FB4F" w14:textId="77777777" w:rsidR="00D74386" w:rsidRPr="009118AB" w:rsidRDefault="00D74386" w:rsidP="00D74386">
      <w:pPr>
        <w:autoSpaceDE w:val="0"/>
        <w:autoSpaceDN w:val="0"/>
        <w:adjustRightInd w:val="0"/>
        <w:jc w:val="both"/>
        <w:rPr>
          <w:iCs/>
          <w:sz w:val="20"/>
          <w:szCs w:val="20"/>
        </w:rPr>
      </w:pPr>
      <w:r w:rsidRPr="009118AB">
        <w:rPr>
          <w:iCs/>
          <w:sz w:val="20"/>
          <w:szCs w:val="20"/>
        </w:rPr>
        <w:t>- 100 Prozent, wenn es sich um ein vor dem 1. Januar 2027 gekauftes, geleastes oder gemietetes Fahrzeug handelt,</w:t>
      </w:r>
    </w:p>
    <w:p w14:paraId="3C6DEE3A" w14:textId="77777777" w:rsidR="00D74386" w:rsidRPr="009118AB" w:rsidRDefault="00D74386" w:rsidP="00D74386">
      <w:pPr>
        <w:autoSpaceDE w:val="0"/>
        <w:autoSpaceDN w:val="0"/>
        <w:adjustRightInd w:val="0"/>
        <w:jc w:val="both"/>
        <w:rPr>
          <w:iCs/>
          <w:sz w:val="20"/>
          <w:szCs w:val="20"/>
        </w:rPr>
      </w:pPr>
    </w:p>
    <w:p w14:paraId="6058E975" w14:textId="77777777" w:rsidR="00D74386" w:rsidRPr="009118AB" w:rsidRDefault="00D74386" w:rsidP="00D74386">
      <w:pPr>
        <w:autoSpaceDE w:val="0"/>
        <w:autoSpaceDN w:val="0"/>
        <w:adjustRightInd w:val="0"/>
        <w:jc w:val="both"/>
        <w:rPr>
          <w:iCs/>
          <w:sz w:val="20"/>
          <w:szCs w:val="20"/>
        </w:rPr>
      </w:pPr>
      <w:r w:rsidRPr="009118AB">
        <w:rPr>
          <w:iCs/>
          <w:sz w:val="20"/>
          <w:szCs w:val="20"/>
        </w:rPr>
        <w:t>- 95 Prozent, wenn es sich um ein 2027 gekauftes, geleastes oder gemietetes Fahrzeug handelt],]</w:t>
      </w:r>
    </w:p>
    <w:p w14:paraId="4E0104CB" w14:textId="77777777" w:rsidR="00D74386" w:rsidRPr="009118AB" w:rsidRDefault="00D74386" w:rsidP="00D74386">
      <w:pPr>
        <w:autoSpaceDE w:val="0"/>
        <w:autoSpaceDN w:val="0"/>
        <w:adjustRightInd w:val="0"/>
        <w:jc w:val="both"/>
        <w:rPr>
          <w:iCs/>
          <w:sz w:val="20"/>
          <w:szCs w:val="20"/>
        </w:rPr>
      </w:pPr>
    </w:p>
    <w:p w14:paraId="1821D10A" w14:textId="77777777" w:rsidR="00D74386" w:rsidRPr="009118AB" w:rsidRDefault="00D74386" w:rsidP="00D74386">
      <w:pPr>
        <w:autoSpaceDE w:val="0"/>
        <w:autoSpaceDN w:val="0"/>
        <w:adjustRightInd w:val="0"/>
        <w:jc w:val="both"/>
        <w:rPr>
          <w:iCs/>
          <w:sz w:val="20"/>
          <w:szCs w:val="20"/>
        </w:rPr>
      </w:pPr>
      <w:r w:rsidRPr="009118AB">
        <w:rPr>
          <w:iCs/>
          <w:sz w:val="20"/>
          <w:szCs w:val="20"/>
        </w:rPr>
        <w:t>[- 90 Prozent, wenn es sich um ein 2028 gekauftes, geleastes oder gemietetes Fahrzeug handelt,]</w:t>
      </w:r>
    </w:p>
    <w:p w14:paraId="645D38AF" w14:textId="77777777" w:rsidR="00D74386" w:rsidRPr="009118AB" w:rsidRDefault="00D74386" w:rsidP="00D74386">
      <w:pPr>
        <w:autoSpaceDE w:val="0"/>
        <w:autoSpaceDN w:val="0"/>
        <w:adjustRightInd w:val="0"/>
        <w:jc w:val="both"/>
        <w:rPr>
          <w:iCs/>
          <w:sz w:val="20"/>
          <w:szCs w:val="20"/>
        </w:rPr>
      </w:pPr>
    </w:p>
    <w:p w14:paraId="6754796C" w14:textId="77777777" w:rsidR="00D74386" w:rsidRPr="009118AB" w:rsidRDefault="00D74386" w:rsidP="00D74386">
      <w:pPr>
        <w:autoSpaceDE w:val="0"/>
        <w:autoSpaceDN w:val="0"/>
        <w:adjustRightInd w:val="0"/>
        <w:jc w:val="both"/>
        <w:rPr>
          <w:iCs/>
          <w:sz w:val="20"/>
          <w:szCs w:val="20"/>
        </w:rPr>
      </w:pPr>
      <w:r w:rsidRPr="009118AB">
        <w:rPr>
          <w:iCs/>
          <w:sz w:val="20"/>
          <w:szCs w:val="20"/>
        </w:rPr>
        <w:t>[- 82,5 Prozent, wenn es sich um ein 2029 gekauftes, geleastes oder gemietetes Fahrzeug handelt,]</w:t>
      </w:r>
    </w:p>
    <w:p w14:paraId="2EC31AFF" w14:textId="77777777" w:rsidR="00D74386" w:rsidRPr="009118AB" w:rsidRDefault="00D74386" w:rsidP="00D74386">
      <w:pPr>
        <w:autoSpaceDE w:val="0"/>
        <w:autoSpaceDN w:val="0"/>
        <w:adjustRightInd w:val="0"/>
        <w:jc w:val="both"/>
        <w:rPr>
          <w:iCs/>
          <w:sz w:val="20"/>
          <w:szCs w:val="20"/>
        </w:rPr>
      </w:pPr>
    </w:p>
    <w:p w14:paraId="0DEF7EA8" w14:textId="0FFF501D" w:rsidR="00D74386" w:rsidRPr="009118AB" w:rsidRDefault="00D74386" w:rsidP="00D74386">
      <w:pPr>
        <w:autoSpaceDE w:val="0"/>
        <w:autoSpaceDN w:val="0"/>
        <w:adjustRightInd w:val="0"/>
        <w:jc w:val="both"/>
        <w:rPr>
          <w:iCs/>
          <w:sz w:val="20"/>
          <w:szCs w:val="20"/>
        </w:rPr>
      </w:pPr>
      <w:r w:rsidRPr="009118AB">
        <w:rPr>
          <w:iCs/>
          <w:sz w:val="20"/>
          <w:szCs w:val="20"/>
        </w:rPr>
        <w:t>[- 75 Prozent, wenn es sich um ein 2030 gekauftes, geleastes oder gemietetes Fahrzeug handelt,]</w:t>
      </w:r>
    </w:p>
    <w:p w14:paraId="50B1121F" w14:textId="341101D5" w:rsidR="00D74386" w:rsidRPr="009118AB" w:rsidRDefault="00D74386" w:rsidP="00D74386">
      <w:pPr>
        <w:autoSpaceDE w:val="0"/>
        <w:autoSpaceDN w:val="0"/>
        <w:adjustRightInd w:val="0"/>
        <w:jc w:val="both"/>
        <w:rPr>
          <w:iCs/>
          <w:sz w:val="20"/>
          <w:szCs w:val="20"/>
        </w:rPr>
      </w:pPr>
    </w:p>
    <w:p w14:paraId="0B8028AA" w14:textId="5A08D1A6" w:rsidR="00D74386" w:rsidRPr="009118AB" w:rsidRDefault="00D74386" w:rsidP="00D74386">
      <w:pPr>
        <w:autoSpaceDE w:val="0"/>
        <w:autoSpaceDN w:val="0"/>
        <w:adjustRightInd w:val="0"/>
        <w:jc w:val="both"/>
        <w:rPr>
          <w:iCs/>
          <w:sz w:val="20"/>
          <w:szCs w:val="20"/>
        </w:rPr>
      </w:pPr>
      <w:r w:rsidRPr="009118AB">
        <w:rPr>
          <w:iCs/>
          <w:sz w:val="20"/>
          <w:szCs w:val="20"/>
        </w:rPr>
        <w:t>[- 67,5 Prozent, wenn es sich um ein ab dem 1. Januar 2031 gekauftes, geleastes oder gemietetes Fahrzeug handelt.]</w:t>
      </w:r>
    </w:p>
    <w:p w14:paraId="37DABA97" w14:textId="77777777" w:rsidR="00D74386" w:rsidRPr="009118AB" w:rsidRDefault="00D74386" w:rsidP="00D74386">
      <w:pPr>
        <w:autoSpaceDE w:val="0"/>
        <w:autoSpaceDN w:val="0"/>
        <w:adjustRightInd w:val="0"/>
        <w:jc w:val="both"/>
        <w:rPr>
          <w:iCs/>
          <w:sz w:val="20"/>
          <w:szCs w:val="20"/>
        </w:rPr>
      </w:pPr>
    </w:p>
    <w:p w14:paraId="5D34F83D" w14:textId="4CF9BE6C" w:rsidR="00D74386" w:rsidRPr="009118AB" w:rsidRDefault="00D67EB8" w:rsidP="00D74386">
      <w:pPr>
        <w:autoSpaceDE w:val="0"/>
        <w:autoSpaceDN w:val="0"/>
        <w:adjustRightInd w:val="0"/>
        <w:jc w:val="both"/>
        <w:rPr>
          <w:iCs/>
          <w:sz w:val="20"/>
          <w:szCs w:val="20"/>
        </w:rPr>
      </w:pPr>
      <w:r w:rsidRPr="009118AB">
        <w:rPr>
          <w:iCs/>
          <w:sz w:val="20"/>
          <w:szCs w:val="20"/>
        </w:rPr>
        <w:t>§ </w:t>
      </w:r>
      <w:r w:rsidR="00D74386" w:rsidRPr="009118AB">
        <w:rPr>
          <w:iCs/>
          <w:sz w:val="20"/>
          <w:szCs w:val="20"/>
        </w:rPr>
        <w:t>2</w:t>
      </w:r>
      <w:r w:rsidRPr="009118AB">
        <w:rPr>
          <w:iCs/>
          <w:sz w:val="20"/>
          <w:szCs w:val="20"/>
        </w:rPr>
        <w:t> - </w:t>
      </w:r>
      <w:r w:rsidR="00D74386" w:rsidRPr="009118AB">
        <w:rPr>
          <w:iCs/>
          <w:sz w:val="20"/>
          <w:szCs w:val="20"/>
        </w:rPr>
        <w:t>[[Paragraph 1 und Artikel 550 sind nicht anwendbar]:</w:t>
      </w:r>
    </w:p>
    <w:p w14:paraId="54241DA4" w14:textId="77777777" w:rsidR="00D74386" w:rsidRPr="009118AB" w:rsidRDefault="00D74386" w:rsidP="00D74386">
      <w:pPr>
        <w:autoSpaceDE w:val="0"/>
        <w:autoSpaceDN w:val="0"/>
        <w:adjustRightInd w:val="0"/>
        <w:jc w:val="both"/>
        <w:rPr>
          <w:iCs/>
          <w:sz w:val="20"/>
          <w:szCs w:val="20"/>
        </w:rPr>
      </w:pPr>
    </w:p>
    <w:p w14:paraId="0892027C" w14:textId="77777777" w:rsidR="00D74386" w:rsidRPr="009118AB" w:rsidRDefault="00D74386" w:rsidP="00D74386">
      <w:pPr>
        <w:autoSpaceDE w:val="0"/>
        <w:autoSpaceDN w:val="0"/>
        <w:adjustRightInd w:val="0"/>
        <w:jc w:val="both"/>
        <w:rPr>
          <w:iCs/>
          <w:sz w:val="20"/>
          <w:szCs w:val="20"/>
        </w:rPr>
      </w:pPr>
      <w:r w:rsidRPr="009118AB">
        <w:rPr>
          <w:iCs/>
          <w:sz w:val="20"/>
          <w:szCs w:val="20"/>
        </w:rPr>
        <w:t>1. auf Fahrzeuge, die ausschließlich für einen Taxidienst oder die Vermietung mit Fahrer genutzt werden und aus diesem Grund nicht der Verkehrssteuer auf Kraftfahrzeuge unterliegen,</w:t>
      </w:r>
    </w:p>
    <w:p w14:paraId="647603B8" w14:textId="77777777" w:rsidR="00D74386" w:rsidRPr="009118AB" w:rsidRDefault="00D74386" w:rsidP="00D74386">
      <w:pPr>
        <w:autoSpaceDE w:val="0"/>
        <w:autoSpaceDN w:val="0"/>
        <w:adjustRightInd w:val="0"/>
        <w:jc w:val="both"/>
        <w:rPr>
          <w:iCs/>
          <w:sz w:val="20"/>
          <w:szCs w:val="20"/>
        </w:rPr>
      </w:pPr>
    </w:p>
    <w:p w14:paraId="1E799E49" w14:textId="77777777" w:rsidR="00D74386" w:rsidRPr="009118AB" w:rsidRDefault="00D74386" w:rsidP="00D74386">
      <w:pPr>
        <w:autoSpaceDE w:val="0"/>
        <w:autoSpaceDN w:val="0"/>
        <w:adjustRightInd w:val="0"/>
        <w:jc w:val="both"/>
        <w:rPr>
          <w:iCs/>
          <w:sz w:val="20"/>
          <w:szCs w:val="20"/>
        </w:rPr>
      </w:pPr>
      <w:r w:rsidRPr="009118AB">
        <w:rPr>
          <w:iCs/>
          <w:sz w:val="20"/>
          <w:szCs w:val="20"/>
        </w:rPr>
        <w:t>2. auf Fahrzeuge, die ausschließlich für den praktischen Unterricht in zugelassenen Fahrschulen genutzt werden und zu diesem Zweck eigens ausgerüstet sind,</w:t>
      </w:r>
    </w:p>
    <w:p w14:paraId="3ABA1456" w14:textId="77777777" w:rsidR="00D74386" w:rsidRPr="009118AB" w:rsidRDefault="00D74386" w:rsidP="00D74386">
      <w:pPr>
        <w:autoSpaceDE w:val="0"/>
        <w:autoSpaceDN w:val="0"/>
        <w:adjustRightInd w:val="0"/>
        <w:jc w:val="both"/>
        <w:rPr>
          <w:iCs/>
          <w:sz w:val="20"/>
          <w:szCs w:val="20"/>
        </w:rPr>
      </w:pPr>
    </w:p>
    <w:p w14:paraId="0FAAFB77" w14:textId="77777777" w:rsidR="00D74386" w:rsidRPr="009118AB" w:rsidRDefault="00D74386" w:rsidP="00D74386">
      <w:pPr>
        <w:autoSpaceDE w:val="0"/>
        <w:autoSpaceDN w:val="0"/>
        <w:adjustRightInd w:val="0"/>
        <w:jc w:val="both"/>
        <w:rPr>
          <w:iCs/>
          <w:sz w:val="20"/>
          <w:szCs w:val="20"/>
        </w:rPr>
      </w:pPr>
      <w:r w:rsidRPr="009118AB">
        <w:rPr>
          <w:iCs/>
          <w:sz w:val="20"/>
          <w:szCs w:val="20"/>
        </w:rPr>
        <w:t>3. auf Fahrzeuge, die ausschließlich an Dritte vermietet werden,]</w:t>
      </w:r>
    </w:p>
    <w:p w14:paraId="2D7DBE00" w14:textId="77777777" w:rsidR="00D74386" w:rsidRPr="009118AB" w:rsidRDefault="00D74386" w:rsidP="00D74386">
      <w:pPr>
        <w:autoSpaceDE w:val="0"/>
        <w:autoSpaceDN w:val="0"/>
        <w:adjustRightInd w:val="0"/>
        <w:jc w:val="both"/>
        <w:rPr>
          <w:iCs/>
          <w:sz w:val="20"/>
          <w:szCs w:val="20"/>
        </w:rPr>
      </w:pPr>
    </w:p>
    <w:p w14:paraId="4BEEE190" w14:textId="77777777" w:rsidR="00D74386" w:rsidRPr="009118AB" w:rsidRDefault="00D74386" w:rsidP="00D74386">
      <w:pPr>
        <w:autoSpaceDE w:val="0"/>
        <w:autoSpaceDN w:val="0"/>
        <w:adjustRightInd w:val="0"/>
        <w:jc w:val="both"/>
        <w:rPr>
          <w:iCs/>
          <w:sz w:val="20"/>
          <w:szCs w:val="20"/>
        </w:rPr>
      </w:pPr>
      <w:r w:rsidRPr="009118AB">
        <w:rPr>
          <w:iCs/>
          <w:sz w:val="20"/>
          <w:szCs w:val="20"/>
        </w:rPr>
        <w:t>[</w:t>
      </w:r>
      <w:r w:rsidRPr="009118AB">
        <w:rPr>
          <w:sz w:val="20"/>
          <w:szCs w:val="20"/>
        </w:rPr>
        <w:t>4. auf Kosten, die auf Dritte abgewälzt werden, vorausgesetzt, diese Kosten sind ausdrücklich und separat auf der Rechnung vermerkt,</w:t>
      </w:r>
      <w:r w:rsidRPr="009118AB">
        <w:rPr>
          <w:iCs/>
          <w:sz w:val="20"/>
          <w:szCs w:val="20"/>
        </w:rPr>
        <w:t>]</w:t>
      </w:r>
    </w:p>
    <w:p w14:paraId="265029CE" w14:textId="77777777" w:rsidR="00D74386" w:rsidRPr="009118AB" w:rsidRDefault="00D74386" w:rsidP="00D74386">
      <w:pPr>
        <w:autoSpaceDE w:val="0"/>
        <w:autoSpaceDN w:val="0"/>
        <w:adjustRightInd w:val="0"/>
        <w:jc w:val="both"/>
        <w:rPr>
          <w:iCs/>
          <w:sz w:val="20"/>
          <w:szCs w:val="20"/>
        </w:rPr>
      </w:pPr>
    </w:p>
    <w:p w14:paraId="6C608B2A" w14:textId="77777777" w:rsidR="00D74386" w:rsidRPr="009118AB" w:rsidRDefault="00D74386" w:rsidP="00D74386">
      <w:pPr>
        <w:autoSpaceDE w:val="0"/>
        <w:autoSpaceDN w:val="0"/>
        <w:adjustRightInd w:val="0"/>
        <w:jc w:val="both"/>
        <w:rPr>
          <w:iCs/>
          <w:sz w:val="20"/>
          <w:szCs w:val="20"/>
        </w:rPr>
      </w:pPr>
      <w:r w:rsidRPr="009118AB">
        <w:rPr>
          <w:iCs/>
          <w:sz w:val="20"/>
          <w:szCs w:val="20"/>
        </w:rPr>
        <w:t>[</w:t>
      </w:r>
      <w:r w:rsidRPr="009118AB">
        <w:rPr>
          <w:sz w:val="20"/>
          <w:szCs w:val="20"/>
        </w:rPr>
        <w:t>5. auf Kosten in Bezug auf Ladestationen für Elektrofahrzeuge.]</w:t>
      </w:r>
    </w:p>
    <w:p w14:paraId="4EC7C776" w14:textId="77777777" w:rsidR="00D74386" w:rsidRPr="009118AB" w:rsidRDefault="00D74386" w:rsidP="00D74386">
      <w:pPr>
        <w:autoSpaceDE w:val="0"/>
        <w:autoSpaceDN w:val="0"/>
        <w:adjustRightInd w:val="0"/>
        <w:jc w:val="both"/>
        <w:rPr>
          <w:iCs/>
          <w:sz w:val="20"/>
          <w:szCs w:val="20"/>
        </w:rPr>
      </w:pPr>
    </w:p>
    <w:p w14:paraId="613BE7C9" w14:textId="4B5D95F0" w:rsidR="00D74386" w:rsidRPr="009118AB" w:rsidRDefault="00D67EB8" w:rsidP="00D74386">
      <w:pPr>
        <w:autoSpaceDE w:val="0"/>
        <w:autoSpaceDN w:val="0"/>
        <w:adjustRightInd w:val="0"/>
        <w:jc w:val="both"/>
        <w:rPr>
          <w:sz w:val="20"/>
          <w:szCs w:val="20"/>
        </w:rPr>
      </w:pPr>
      <w:r w:rsidRPr="009118AB">
        <w:rPr>
          <w:iCs/>
          <w:sz w:val="20"/>
          <w:szCs w:val="20"/>
        </w:rPr>
        <w:t>§ </w:t>
      </w:r>
      <w:r w:rsidR="00D74386" w:rsidRPr="009118AB">
        <w:rPr>
          <w:iCs/>
          <w:sz w:val="20"/>
          <w:szCs w:val="20"/>
        </w:rPr>
        <w:t>3</w:t>
      </w:r>
      <w:r w:rsidRPr="009118AB">
        <w:rPr>
          <w:iCs/>
          <w:sz w:val="20"/>
          <w:szCs w:val="20"/>
        </w:rPr>
        <w:t> - </w:t>
      </w:r>
      <w:r w:rsidR="00D74386" w:rsidRPr="009118AB">
        <w:rPr>
          <w:iCs/>
          <w:sz w:val="20"/>
          <w:szCs w:val="20"/>
        </w:rPr>
        <w:t>[[</w:t>
      </w:r>
      <w:r w:rsidR="00D74386" w:rsidRPr="009118AB">
        <w:rPr>
          <w:sz w:val="20"/>
          <w:szCs w:val="20"/>
        </w:rPr>
        <w:t xml:space="preserve">In </w:t>
      </w:r>
      <w:r w:rsidRPr="009118AB">
        <w:rPr>
          <w:sz w:val="20"/>
          <w:szCs w:val="20"/>
        </w:rPr>
        <w:t>§ </w:t>
      </w:r>
      <w:r w:rsidR="00D74386" w:rsidRPr="009118AB">
        <w:rPr>
          <w:sz w:val="20"/>
          <w:szCs w:val="20"/>
        </w:rPr>
        <w:t>1 und in Artikel 550] erwähnte Werbungskosten umfassen:</w:t>
      </w:r>
    </w:p>
    <w:p w14:paraId="5237F5C4" w14:textId="77777777" w:rsidR="00D74386" w:rsidRPr="009118AB" w:rsidRDefault="00D74386" w:rsidP="00D74386">
      <w:pPr>
        <w:autoSpaceDE w:val="0"/>
        <w:autoSpaceDN w:val="0"/>
        <w:adjustRightInd w:val="0"/>
        <w:jc w:val="both"/>
        <w:rPr>
          <w:sz w:val="20"/>
          <w:szCs w:val="20"/>
        </w:rPr>
      </w:pPr>
    </w:p>
    <w:p w14:paraId="47DC41AF" w14:textId="5C1B5278" w:rsidR="00D74386" w:rsidRPr="009118AB" w:rsidRDefault="00D74386" w:rsidP="00D74386">
      <w:pPr>
        <w:autoSpaceDE w:val="0"/>
        <w:autoSpaceDN w:val="0"/>
        <w:adjustRightInd w:val="0"/>
        <w:jc w:val="both"/>
        <w:rPr>
          <w:sz w:val="20"/>
          <w:szCs w:val="20"/>
        </w:rPr>
      </w:pPr>
      <w:r w:rsidRPr="009118AB">
        <w:rPr>
          <w:sz w:val="20"/>
          <w:szCs w:val="20"/>
        </w:rPr>
        <w:t xml:space="preserve">1. Kosten in Bezug auf die in </w:t>
      </w:r>
      <w:r w:rsidR="00D67EB8" w:rsidRPr="009118AB">
        <w:rPr>
          <w:sz w:val="20"/>
          <w:szCs w:val="20"/>
        </w:rPr>
        <w:t>§ </w:t>
      </w:r>
      <w:r w:rsidRPr="009118AB">
        <w:rPr>
          <w:sz w:val="20"/>
          <w:szCs w:val="20"/>
        </w:rPr>
        <w:t xml:space="preserve">2 </w:t>
      </w:r>
      <w:r w:rsidR="00D67EB8" w:rsidRPr="009118AB">
        <w:rPr>
          <w:sz w:val="20"/>
          <w:szCs w:val="20"/>
        </w:rPr>
        <w:t>Nr. </w:t>
      </w:r>
      <w:r w:rsidRPr="009118AB">
        <w:rPr>
          <w:sz w:val="20"/>
          <w:szCs w:val="20"/>
        </w:rPr>
        <w:t>1 und 3 erwähnten einem Dritten gehörenden Fahrzeuge, die vom Endnutzer dieser Fahrzeuge gemacht werden,</w:t>
      </w:r>
    </w:p>
    <w:p w14:paraId="67D0BC79" w14:textId="77777777" w:rsidR="00D74386" w:rsidRPr="009118AB" w:rsidRDefault="00D74386" w:rsidP="00D74386">
      <w:pPr>
        <w:autoSpaceDE w:val="0"/>
        <w:autoSpaceDN w:val="0"/>
        <w:adjustRightInd w:val="0"/>
        <w:jc w:val="both"/>
        <w:rPr>
          <w:sz w:val="20"/>
          <w:szCs w:val="20"/>
        </w:rPr>
      </w:pPr>
    </w:p>
    <w:p w14:paraId="4DDB6F5C" w14:textId="77777777" w:rsidR="00D74386" w:rsidRPr="009118AB" w:rsidRDefault="00D74386" w:rsidP="00D74386">
      <w:pPr>
        <w:autoSpaceDE w:val="0"/>
        <w:autoSpaceDN w:val="0"/>
        <w:adjustRightInd w:val="0"/>
        <w:jc w:val="both"/>
        <w:rPr>
          <w:sz w:val="20"/>
          <w:szCs w:val="20"/>
        </w:rPr>
      </w:pPr>
      <w:r w:rsidRPr="009118AB">
        <w:rPr>
          <w:sz w:val="20"/>
          <w:szCs w:val="20"/>
        </w:rPr>
        <w:t>2. den Betrag der in vorliegendem Artikel erwähnten Kosten, die Dritten zurückgezahlt werden,</w:t>
      </w:r>
    </w:p>
    <w:p w14:paraId="764BEA7F" w14:textId="77777777" w:rsidR="00D74386" w:rsidRPr="009118AB" w:rsidRDefault="00D74386" w:rsidP="00D74386">
      <w:pPr>
        <w:autoSpaceDE w:val="0"/>
        <w:autoSpaceDN w:val="0"/>
        <w:adjustRightInd w:val="0"/>
        <w:jc w:val="both"/>
        <w:rPr>
          <w:sz w:val="20"/>
          <w:szCs w:val="20"/>
        </w:rPr>
      </w:pPr>
    </w:p>
    <w:p w14:paraId="596FEE51" w14:textId="77777777" w:rsidR="00D74386" w:rsidRPr="009118AB" w:rsidRDefault="00D74386" w:rsidP="00D74386">
      <w:pPr>
        <w:autoSpaceDE w:val="0"/>
        <w:autoSpaceDN w:val="0"/>
        <w:adjustRightInd w:val="0"/>
        <w:jc w:val="both"/>
        <w:rPr>
          <w:iCs/>
          <w:sz w:val="20"/>
          <w:szCs w:val="20"/>
        </w:rPr>
      </w:pPr>
      <w:r w:rsidRPr="009118AB">
        <w:rPr>
          <w:sz w:val="20"/>
          <w:szCs w:val="20"/>
        </w:rPr>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118AB">
        <w:rPr>
          <w:iCs/>
          <w:sz w:val="20"/>
          <w:szCs w:val="20"/>
        </w:rPr>
        <w:t>]</w:t>
      </w:r>
    </w:p>
    <w:p w14:paraId="36166DB9" w14:textId="77777777" w:rsidR="00D74386" w:rsidRPr="009118AB" w:rsidRDefault="00D74386" w:rsidP="00D74386">
      <w:pPr>
        <w:autoSpaceDE w:val="0"/>
        <w:autoSpaceDN w:val="0"/>
        <w:adjustRightInd w:val="0"/>
        <w:jc w:val="both"/>
        <w:rPr>
          <w:iCs/>
          <w:sz w:val="20"/>
          <w:szCs w:val="20"/>
        </w:rPr>
      </w:pPr>
    </w:p>
    <w:p w14:paraId="157C12F3" w14:textId="3D531A29" w:rsidR="00D74386" w:rsidRPr="009118AB" w:rsidRDefault="00D67EB8" w:rsidP="00D74386">
      <w:pPr>
        <w:autoSpaceDE w:val="0"/>
        <w:autoSpaceDN w:val="0"/>
        <w:adjustRightInd w:val="0"/>
        <w:jc w:val="both"/>
        <w:rPr>
          <w:iCs/>
          <w:sz w:val="20"/>
          <w:szCs w:val="20"/>
        </w:rPr>
      </w:pPr>
      <w:r w:rsidRPr="009118AB">
        <w:rPr>
          <w:iCs/>
          <w:sz w:val="20"/>
          <w:szCs w:val="20"/>
        </w:rPr>
        <w:t>§ </w:t>
      </w:r>
      <w:r w:rsidR="00D74386" w:rsidRPr="009118AB">
        <w:rPr>
          <w:iCs/>
          <w:sz w:val="20"/>
          <w:szCs w:val="20"/>
        </w:rPr>
        <w:t>4</w:t>
      </w:r>
      <w:r w:rsidRPr="009118AB">
        <w:rPr>
          <w:iCs/>
          <w:sz w:val="20"/>
          <w:szCs w:val="20"/>
        </w:rPr>
        <w:t> - </w:t>
      </w:r>
      <w:r w:rsidR="00D74386" w:rsidRPr="009118AB">
        <w:rPr>
          <w:iCs/>
          <w:sz w:val="20"/>
          <w:szCs w:val="20"/>
        </w:rPr>
        <w:t xml:space="preserve">[In Abweichung von </w:t>
      </w:r>
      <w:r w:rsidRPr="009118AB">
        <w:rPr>
          <w:iCs/>
          <w:sz w:val="20"/>
          <w:szCs w:val="20"/>
        </w:rPr>
        <w:t>§ </w:t>
      </w:r>
      <w:r w:rsidR="00D74386" w:rsidRPr="009118AB">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118AB">
        <w:rPr>
          <w:iCs/>
          <w:sz w:val="20"/>
          <w:szCs w:val="20"/>
        </w:rPr>
        <w:t>§ </w:t>
      </w:r>
      <w:r w:rsidR="00D74386" w:rsidRPr="009118AB">
        <w:rPr>
          <w:iCs/>
          <w:sz w:val="20"/>
          <w:szCs w:val="20"/>
        </w:rPr>
        <w:t xml:space="preserve">1 </w:t>
      </w:r>
      <w:r w:rsidRPr="009118AB">
        <w:rPr>
          <w:iCs/>
          <w:sz w:val="20"/>
          <w:szCs w:val="20"/>
        </w:rPr>
        <w:t>Nr. </w:t>
      </w:r>
      <w:r w:rsidR="00D74386" w:rsidRPr="009118AB">
        <w:rPr>
          <w:iCs/>
          <w:sz w:val="20"/>
          <w:szCs w:val="20"/>
        </w:rPr>
        <w:t xml:space="preserve">3 des Gesetzbuches der den Einkommensteuern gleichgesetzten Steuern nicht der Verkehrssteuer unterliegen, noch auf Fahrzeuge, deren Werbungskosten gemäß </w:t>
      </w:r>
      <w:r w:rsidRPr="009118AB">
        <w:rPr>
          <w:iCs/>
          <w:sz w:val="20"/>
          <w:szCs w:val="20"/>
        </w:rPr>
        <w:t>§ </w:t>
      </w:r>
      <w:r w:rsidR="00D74386" w:rsidRPr="009118AB">
        <w:rPr>
          <w:iCs/>
          <w:sz w:val="20"/>
          <w:szCs w:val="20"/>
        </w:rPr>
        <w:t>1 nicht abzugsfähig sind.]</w:t>
      </w:r>
    </w:p>
    <w:p w14:paraId="53EFA55B" w14:textId="77777777" w:rsidR="00D74386" w:rsidRPr="009118AB" w:rsidRDefault="00D74386" w:rsidP="00D74386">
      <w:pPr>
        <w:autoSpaceDE w:val="0"/>
        <w:autoSpaceDN w:val="0"/>
        <w:adjustRightInd w:val="0"/>
        <w:jc w:val="both"/>
        <w:rPr>
          <w:iCs/>
          <w:sz w:val="20"/>
          <w:szCs w:val="20"/>
        </w:rPr>
      </w:pPr>
    </w:p>
    <w:p w14:paraId="2BA76CED" w14:textId="29AA88AB" w:rsidR="00D74386" w:rsidRPr="009118AB" w:rsidRDefault="00D67EB8" w:rsidP="00D74386">
      <w:pPr>
        <w:autoSpaceDE w:val="0"/>
        <w:autoSpaceDN w:val="0"/>
        <w:adjustRightInd w:val="0"/>
        <w:jc w:val="both"/>
        <w:rPr>
          <w:iCs/>
          <w:sz w:val="20"/>
          <w:szCs w:val="20"/>
        </w:rPr>
      </w:pPr>
      <w:r w:rsidRPr="009118AB">
        <w:rPr>
          <w:iCs/>
          <w:sz w:val="20"/>
          <w:szCs w:val="20"/>
        </w:rPr>
        <w:t>§ </w:t>
      </w:r>
      <w:r w:rsidR="00D74386" w:rsidRPr="009118AB">
        <w:rPr>
          <w:iCs/>
          <w:sz w:val="20"/>
          <w:szCs w:val="20"/>
        </w:rPr>
        <w:t>5</w:t>
      </w:r>
      <w:r w:rsidRPr="009118AB">
        <w:rPr>
          <w:iCs/>
          <w:sz w:val="20"/>
          <w:szCs w:val="20"/>
        </w:rPr>
        <w:t> - </w:t>
      </w:r>
      <w:r w:rsidR="00D74386" w:rsidRPr="009118AB">
        <w:rPr>
          <w:iCs/>
          <w:sz w:val="20"/>
          <w:szCs w:val="20"/>
        </w:rPr>
        <w:t xml:space="preserve">Der in </w:t>
      </w:r>
      <w:r w:rsidRPr="009118AB">
        <w:rPr>
          <w:iCs/>
          <w:sz w:val="20"/>
          <w:szCs w:val="20"/>
        </w:rPr>
        <w:t>§ </w:t>
      </w:r>
      <w:r w:rsidR="00D74386" w:rsidRPr="009118AB">
        <w:rPr>
          <w:iCs/>
          <w:sz w:val="20"/>
          <w:szCs w:val="20"/>
        </w:rPr>
        <w:t>4 festgelegte Pauschalbetrag darf dem Steuerpflichtigen ausschließlich bewilligt werden, wenn das betreffende Fahrzeug:</w:t>
      </w:r>
    </w:p>
    <w:p w14:paraId="510A83E8" w14:textId="77777777" w:rsidR="00D74386" w:rsidRPr="009118AB" w:rsidRDefault="00D74386" w:rsidP="00D74386">
      <w:pPr>
        <w:autoSpaceDE w:val="0"/>
        <w:autoSpaceDN w:val="0"/>
        <w:adjustRightInd w:val="0"/>
        <w:jc w:val="both"/>
        <w:rPr>
          <w:iCs/>
          <w:sz w:val="20"/>
          <w:szCs w:val="20"/>
        </w:rPr>
      </w:pPr>
    </w:p>
    <w:p w14:paraId="1B7343E2" w14:textId="77777777" w:rsidR="00D74386" w:rsidRPr="009118AB" w:rsidRDefault="00D74386" w:rsidP="00D74386">
      <w:pPr>
        <w:autoSpaceDE w:val="0"/>
        <w:autoSpaceDN w:val="0"/>
        <w:adjustRightInd w:val="0"/>
        <w:jc w:val="both"/>
        <w:rPr>
          <w:iCs/>
          <w:sz w:val="20"/>
          <w:szCs w:val="20"/>
        </w:rPr>
      </w:pPr>
      <w:r w:rsidRPr="009118AB">
        <w:rPr>
          <w:iCs/>
          <w:sz w:val="20"/>
          <w:szCs w:val="20"/>
        </w:rPr>
        <w:t>1. entweder sein Eigentum ist</w:t>
      </w:r>
    </w:p>
    <w:p w14:paraId="2FFFFE75" w14:textId="77777777" w:rsidR="00D74386" w:rsidRPr="009118AB" w:rsidRDefault="00D74386" w:rsidP="00D74386">
      <w:pPr>
        <w:autoSpaceDE w:val="0"/>
        <w:autoSpaceDN w:val="0"/>
        <w:adjustRightInd w:val="0"/>
        <w:jc w:val="both"/>
        <w:rPr>
          <w:iCs/>
          <w:sz w:val="20"/>
          <w:szCs w:val="20"/>
        </w:rPr>
      </w:pPr>
    </w:p>
    <w:p w14:paraId="0AD1A1AE" w14:textId="77777777" w:rsidR="00D74386" w:rsidRPr="009118AB" w:rsidRDefault="00D74386" w:rsidP="00D74386">
      <w:pPr>
        <w:autoSpaceDE w:val="0"/>
        <w:autoSpaceDN w:val="0"/>
        <w:adjustRightInd w:val="0"/>
        <w:jc w:val="both"/>
        <w:rPr>
          <w:iCs/>
          <w:sz w:val="20"/>
          <w:szCs w:val="20"/>
        </w:rPr>
      </w:pPr>
      <w:r w:rsidRPr="009118AB">
        <w:rPr>
          <w:iCs/>
          <w:sz w:val="20"/>
          <w:szCs w:val="20"/>
        </w:rPr>
        <w:t>2. oder bei der Direktion für Fahrzeugzulassungen auf seinen Namen zugelassen ist</w:t>
      </w:r>
    </w:p>
    <w:p w14:paraId="27343527" w14:textId="77777777" w:rsidR="00D74386" w:rsidRPr="009118AB" w:rsidRDefault="00D74386" w:rsidP="00D74386">
      <w:pPr>
        <w:autoSpaceDE w:val="0"/>
        <w:autoSpaceDN w:val="0"/>
        <w:adjustRightInd w:val="0"/>
        <w:jc w:val="both"/>
        <w:rPr>
          <w:iCs/>
          <w:sz w:val="20"/>
          <w:szCs w:val="20"/>
        </w:rPr>
      </w:pPr>
    </w:p>
    <w:p w14:paraId="18E7E1B4" w14:textId="77777777" w:rsidR="00D74386" w:rsidRPr="009118AB" w:rsidRDefault="00D74386" w:rsidP="00D74386">
      <w:pPr>
        <w:autoSpaceDE w:val="0"/>
        <w:autoSpaceDN w:val="0"/>
        <w:adjustRightInd w:val="0"/>
        <w:jc w:val="both"/>
        <w:rPr>
          <w:iCs/>
          <w:sz w:val="20"/>
          <w:szCs w:val="20"/>
        </w:rPr>
      </w:pPr>
      <w:r w:rsidRPr="009118AB">
        <w:rPr>
          <w:iCs/>
          <w:sz w:val="20"/>
          <w:szCs w:val="20"/>
        </w:rPr>
        <w:t>3. oder ihm aufgrund eines Miet- oder Leasingvertrags ständig oder gewöhnlich zur Verfügung steht</w:t>
      </w:r>
    </w:p>
    <w:p w14:paraId="12CA6347" w14:textId="77777777" w:rsidR="00D74386" w:rsidRPr="009118AB" w:rsidRDefault="00D74386" w:rsidP="00D74386">
      <w:pPr>
        <w:autoSpaceDE w:val="0"/>
        <w:autoSpaceDN w:val="0"/>
        <w:adjustRightInd w:val="0"/>
        <w:jc w:val="both"/>
        <w:rPr>
          <w:iCs/>
          <w:sz w:val="20"/>
          <w:szCs w:val="20"/>
        </w:rPr>
      </w:pPr>
    </w:p>
    <w:p w14:paraId="794F46B3" w14:textId="77777777" w:rsidR="00D74386" w:rsidRPr="009118AB" w:rsidRDefault="00D74386" w:rsidP="00D74386">
      <w:pPr>
        <w:autoSpaceDE w:val="0"/>
        <w:autoSpaceDN w:val="0"/>
        <w:adjustRightInd w:val="0"/>
        <w:jc w:val="both"/>
        <w:rPr>
          <w:iCs/>
          <w:sz w:val="20"/>
          <w:szCs w:val="20"/>
        </w:rPr>
      </w:pPr>
      <w:r w:rsidRPr="009118AB">
        <w:rPr>
          <w:iCs/>
          <w:sz w:val="20"/>
          <w:szCs w:val="20"/>
        </w:rPr>
        <w:t>4. oder seinem Arbeitgeber oder seiner Gesellschaft gehört und der möglicherweise aus der Nutzung dieses Fahrzeugs entstehende Vorteil zu seinen Lasten besteuert wird.</w:t>
      </w:r>
    </w:p>
    <w:p w14:paraId="71582BCC" w14:textId="77777777" w:rsidR="00D74386" w:rsidRPr="009118AB" w:rsidRDefault="00D74386" w:rsidP="00D74386">
      <w:pPr>
        <w:autoSpaceDE w:val="0"/>
        <w:autoSpaceDN w:val="0"/>
        <w:adjustRightInd w:val="0"/>
        <w:jc w:val="both"/>
        <w:rPr>
          <w:iCs/>
          <w:sz w:val="20"/>
          <w:szCs w:val="20"/>
        </w:rPr>
      </w:pPr>
    </w:p>
    <w:p w14:paraId="5E952B2B" w14:textId="3809800E" w:rsidR="00D74386" w:rsidRPr="009118AB" w:rsidRDefault="00D74386" w:rsidP="00D74386">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118AB">
        <w:rPr>
          <w:iCs/>
          <w:sz w:val="20"/>
          <w:szCs w:val="20"/>
        </w:rPr>
        <w:t>§ </w:t>
      </w:r>
      <w:r w:rsidRPr="009118AB">
        <w:rPr>
          <w:iCs/>
          <w:sz w:val="20"/>
          <w:szCs w:val="20"/>
        </w:rPr>
        <w:t>4 erwähnte Fahrt nutzt, wobei der Pauschalbetrag für gemeinsam gemachte Fahrten aber nur einem einzigen Steuerpflichtigen bewilligt werden darf.]</w:t>
      </w:r>
    </w:p>
    <w:p w14:paraId="1BA5E66B" w14:textId="77777777" w:rsidR="00D74386" w:rsidRPr="009118AB" w:rsidRDefault="00D74386" w:rsidP="00D74386">
      <w:pPr>
        <w:autoSpaceDE w:val="0"/>
        <w:autoSpaceDN w:val="0"/>
        <w:adjustRightInd w:val="0"/>
        <w:jc w:val="both"/>
        <w:rPr>
          <w:iCs/>
          <w:sz w:val="20"/>
          <w:szCs w:val="20"/>
        </w:rPr>
      </w:pPr>
    </w:p>
    <w:p w14:paraId="46854986" w14:textId="290A1095" w:rsidR="00D74386" w:rsidRPr="009118AB" w:rsidRDefault="00D74386" w:rsidP="00D74386">
      <w:pPr>
        <w:autoSpaceDE w:val="0"/>
        <w:autoSpaceDN w:val="0"/>
        <w:adjustRightInd w:val="0"/>
        <w:jc w:val="both"/>
        <w:rPr>
          <w:iCs/>
          <w:sz w:val="20"/>
          <w:szCs w:val="20"/>
        </w:rPr>
      </w:pPr>
      <w:r w:rsidRPr="009118AB">
        <w:rPr>
          <w:iCs/>
          <w:sz w:val="20"/>
          <w:szCs w:val="20"/>
        </w:rPr>
        <w:t xml:space="preserve">[In den in Absatz 1 </w:t>
      </w:r>
      <w:r w:rsidR="00D67EB8" w:rsidRPr="009118AB">
        <w:rPr>
          <w:iCs/>
          <w:sz w:val="20"/>
          <w:szCs w:val="20"/>
        </w:rPr>
        <w:t>Nr. </w:t>
      </w:r>
      <w:r w:rsidRPr="009118AB">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118AB">
        <w:rPr>
          <w:iCs/>
          <w:sz w:val="20"/>
          <w:szCs w:val="20"/>
        </w:rPr>
        <w:t>§ </w:t>
      </w:r>
      <w:r w:rsidRPr="009118AB">
        <w:rPr>
          <w:iCs/>
          <w:sz w:val="20"/>
          <w:szCs w:val="20"/>
        </w:rPr>
        <w:t>2 letzter Absatz erwähnte Beteiligung.]</w:t>
      </w:r>
    </w:p>
    <w:p w14:paraId="02626B6E" w14:textId="77777777" w:rsidR="00D74386" w:rsidRPr="009118AB" w:rsidRDefault="00D74386" w:rsidP="00D74386">
      <w:pPr>
        <w:autoSpaceDE w:val="0"/>
        <w:autoSpaceDN w:val="0"/>
        <w:adjustRightInd w:val="0"/>
        <w:jc w:val="both"/>
        <w:rPr>
          <w:iCs/>
          <w:sz w:val="20"/>
          <w:szCs w:val="20"/>
        </w:rPr>
      </w:pPr>
    </w:p>
    <w:p w14:paraId="14C014F5" w14:textId="1CAFA513" w:rsidR="00D74386" w:rsidRPr="009118AB" w:rsidRDefault="00D74386" w:rsidP="00D74386">
      <w:pPr>
        <w:autoSpaceDE w:val="0"/>
        <w:autoSpaceDN w:val="0"/>
        <w:adjustRightInd w:val="0"/>
        <w:jc w:val="both"/>
        <w:rPr>
          <w:iCs/>
          <w:sz w:val="20"/>
          <w:szCs w:val="20"/>
        </w:rPr>
      </w:pPr>
      <w:r w:rsidRPr="009118AB">
        <w:rPr>
          <w:iCs/>
          <w:sz w:val="20"/>
          <w:szCs w:val="20"/>
        </w:rPr>
        <w:t>[</w:t>
      </w:r>
      <w:r w:rsidR="006246F0" w:rsidRPr="009118AB">
        <w:rPr>
          <w:iCs/>
          <w:sz w:val="20"/>
          <w:szCs w:val="20"/>
        </w:rPr>
        <w:t>..</w:t>
      </w:r>
      <w:r w:rsidRPr="009118AB">
        <w:rPr>
          <w:iCs/>
          <w:sz w:val="20"/>
          <w:szCs w:val="20"/>
        </w:rPr>
        <w:t>.]</w:t>
      </w:r>
    </w:p>
    <w:p w14:paraId="27F0C51D" w14:textId="77777777" w:rsidR="00D74386" w:rsidRPr="009118AB" w:rsidRDefault="00D74386" w:rsidP="00D74386">
      <w:pPr>
        <w:autoSpaceDE w:val="0"/>
        <w:autoSpaceDN w:val="0"/>
        <w:adjustRightInd w:val="0"/>
        <w:jc w:val="both"/>
        <w:rPr>
          <w:iCs/>
          <w:sz w:val="20"/>
          <w:szCs w:val="20"/>
        </w:rPr>
      </w:pPr>
    </w:p>
    <w:p w14:paraId="5AC6A64D" w14:textId="410A2796" w:rsidR="00D74386" w:rsidRPr="009118AB" w:rsidRDefault="00D74386" w:rsidP="00D74386">
      <w:pPr>
        <w:autoSpaceDE w:val="0"/>
        <w:autoSpaceDN w:val="0"/>
        <w:adjustRightInd w:val="0"/>
        <w:jc w:val="both"/>
        <w:rPr>
          <w:iCs/>
          <w:sz w:val="20"/>
          <w:szCs w:val="20"/>
        </w:rPr>
      </w:pPr>
      <w:r w:rsidRPr="009118AB">
        <w:rPr>
          <w:iCs/>
          <w:sz w:val="20"/>
          <w:szCs w:val="20"/>
        </w:rPr>
        <w:t>[</w:t>
      </w:r>
      <w:r w:rsidR="00D67EB8" w:rsidRPr="009118AB">
        <w:rPr>
          <w:iCs/>
          <w:sz w:val="20"/>
          <w:szCs w:val="20"/>
        </w:rPr>
        <w:t>§ </w:t>
      </w:r>
      <w:r w:rsidRPr="009118AB">
        <w:rPr>
          <w:iCs/>
          <w:sz w:val="20"/>
          <w:szCs w:val="20"/>
        </w:rPr>
        <w:t>6</w:t>
      </w:r>
      <w:r w:rsidR="00D67EB8" w:rsidRPr="009118AB">
        <w:rPr>
          <w:iCs/>
          <w:sz w:val="20"/>
          <w:szCs w:val="20"/>
        </w:rPr>
        <w:t> - </w:t>
      </w:r>
      <w:r w:rsidRPr="009118AB">
        <w:rPr>
          <w:iCs/>
          <w:sz w:val="20"/>
          <w:szCs w:val="20"/>
        </w:rPr>
        <w:t>Kosten in Bezug auf die ab dem 1. Januar 2030 gekauften, geleasten oder gemieteten Ladestationen für Elektrofahrzeuge sind nur bis zu 75 Prozent abzugsfähig.]</w:t>
      </w:r>
    </w:p>
    <w:p w14:paraId="11E6BDBA" w14:textId="77777777" w:rsidR="00D74386" w:rsidRPr="009118AB" w:rsidRDefault="00D74386" w:rsidP="00D74386">
      <w:pPr>
        <w:autoSpaceDE w:val="0"/>
        <w:autoSpaceDN w:val="0"/>
        <w:adjustRightInd w:val="0"/>
        <w:jc w:val="both"/>
        <w:rPr>
          <w:iCs/>
          <w:sz w:val="20"/>
          <w:szCs w:val="20"/>
        </w:rPr>
      </w:pPr>
    </w:p>
    <w:p w14:paraId="5C0955AC" w14:textId="614BA340" w:rsidR="00D74386" w:rsidRPr="009118AB" w:rsidRDefault="00D74386" w:rsidP="00D74386">
      <w:pPr>
        <w:autoSpaceDE w:val="0"/>
        <w:autoSpaceDN w:val="0"/>
        <w:adjustRightInd w:val="0"/>
        <w:jc w:val="both"/>
        <w:rPr>
          <w:sz w:val="20"/>
          <w:szCs w:val="20"/>
        </w:rPr>
      </w:pPr>
      <w:r w:rsidRPr="009118AB">
        <w:rPr>
          <w:rFonts w:ascii="Times New Roman Italique" w:hAnsi="Times New Roman Italique"/>
          <w:i/>
          <w:iCs/>
          <w:spacing w:val="2"/>
          <w:sz w:val="20"/>
          <w:szCs w:val="20"/>
        </w:rPr>
        <w:t>[</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66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13 des G. vom 6. Juli 1994 (B.S. vom 16. Juli 1994)</w:t>
      </w:r>
      <w:r w:rsidR="00D67EB8" w:rsidRPr="009118AB">
        <w:rPr>
          <w:rFonts w:ascii="Times New Roman Italique" w:hAnsi="Times New Roman Italique"/>
          <w:i/>
          <w:iCs/>
          <w:spacing w:val="2"/>
          <w:sz w:val="20"/>
          <w:szCs w:val="20"/>
        </w:rPr>
        <w:t> - </w:t>
      </w:r>
      <w:r w:rsidRPr="009118AB">
        <w:rPr>
          <w:rFonts w:ascii="Times New Roman Italique" w:hAnsi="Times New Roman Italique"/>
          <w:i/>
          <w:iCs/>
          <w:spacing w:val="2"/>
          <w:sz w:val="20"/>
          <w:szCs w:val="20"/>
        </w:rPr>
        <w:t>anwendbar ab dem Steuerjahr 1993</w:t>
      </w:r>
      <w:r w:rsidR="003366D9" w:rsidRPr="009118AB">
        <w:rPr>
          <w:rFonts w:ascii="Times New Roman Italique" w:hAnsi="Times New Roman Italique"/>
          <w:i/>
          <w:iCs/>
          <w:spacing w:val="2"/>
          <w:sz w:val="20"/>
          <w:szCs w:val="20"/>
        </w:rPr>
        <w:t> </w:t>
      </w:r>
      <w:r w:rsidR="003366D9" w:rsidRPr="009118AB">
        <w:rPr>
          <w:rFonts w:ascii="Times New Roman Italique" w:hAnsi="Times New Roman Italique" w:hint="eastAsia"/>
          <w:i/>
          <w:iCs/>
          <w:spacing w:val="2"/>
          <w:sz w:val="20"/>
          <w:szCs w:val="20"/>
        </w:rPr>
        <w:t>-;</w:t>
      </w:r>
      <w:r w:rsidRPr="009118AB">
        <w:rPr>
          <w:rFonts w:ascii="Times New Roman Italique" w:hAnsi="Times New Roman Italique"/>
          <w:i/>
          <w:iCs/>
          <w:spacing w:val="2"/>
          <w:sz w:val="20"/>
          <w:szCs w:val="20"/>
        </w:rPr>
        <w:t xml:space="preserve"> </w:t>
      </w:r>
      <w:r w:rsidR="00D67EB8" w:rsidRPr="009118AB">
        <w:rPr>
          <w:rFonts w:ascii="Times New Roman Italique" w:hAnsi="Times New Roman Italique"/>
          <w:i/>
          <w:iCs/>
          <w:spacing w:val="2"/>
          <w:sz w:val="20"/>
          <w:szCs w:val="20"/>
        </w:rPr>
        <w:t>§ </w:t>
      </w:r>
      <w:r w:rsidRPr="009118AB">
        <w:rPr>
          <w:rFonts w:ascii="Times New Roman Italique" w:hAnsi="Times New Roman Italique"/>
          <w:i/>
          <w:iCs/>
          <w:spacing w:val="2"/>
          <w:sz w:val="20"/>
          <w:szCs w:val="20"/>
        </w:rPr>
        <w:t xml:space="preserve">1 ersetzt durch </w:t>
      </w:r>
      <w:r w:rsidR="00D67EB8" w:rsidRPr="009118AB">
        <w:rPr>
          <w:rFonts w:ascii="Times New Roman Italique" w:hAnsi="Times New Roman Italique"/>
          <w:i/>
          <w:iCs/>
          <w:spacing w:val="2"/>
          <w:sz w:val="20"/>
          <w:szCs w:val="20"/>
        </w:rPr>
        <w:t>Art. </w:t>
      </w:r>
      <w:r w:rsidRPr="009118AB">
        <w:rPr>
          <w:rFonts w:ascii="Times New Roman Italique" w:hAnsi="Times New Roman Italique"/>
          <w:i/>
          <w:iCs/>
          <w:spacing w:val="2"/>
          <w:sz w:val="20"/>
          <w:szCs w:val="20"/>
        </w:rPr>
        <w:t xml:space="preserve">3 </w:t>
      </w:r>
      <w:r w:rsidR="00D67EB8" w:rsidRPr="009118AB">
        <w:rPr>
          <w:rFonts w:ascii="Times New Roman Italique" w:hAnsi="Times New Roman Italique"/>
          <w:i/>
          <w:iCs/>
          <w:spacing w:val="2"/>
          <w:sz w:val="20"/>
          <w:szCs w:val="20"/>
        </w:rPr>
        <w:t>Nr. </w:t>
      </w:r>
      <w:r w:rsidRPr="009118AB">
        <w:rPr>
          <w:rFonts w:ascii="Times New Roman Italique" w:hAnsi="Times New Roman Italique"/>
          <w:i/>
          <w:iCs/>
          <w:spacing w:val="2"/>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einleitende Bestimmung abgeändert und erster und zweiter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1</w:t>
      </w:r>
      <w:r w:rsidRPr="009118AB">
        <w:rPr>
          <w:i/>
          <w:iCs/>
        </w:rPr>
        <w:t xml:space="preserve"> </w:t>
      </w:r>
      <w:r w:rsidRPr="009118AB">
        <w:rPr>
          <w:i/>
          <w:iCs/>
          <w:sz w:val="20"/>
          <w:szCs w:val="20"/>
        </w:rPr>
        <w:t xml:space="preserve">des G. vom </w:t>
      </w:r>
      <w:r w:rsidRPr="009118AB">
        <w:rPr>
          <w:i/>
          <w:iCs/>
          <w:sz w:val="20"/>
          <w:szCs w:val="20"/>
        </w:rPr>
        <w:lastRenderedPageBreak/>
        <w:t>25. November 2021 (B.S. vom 3. Dezember 2021)</w:t>
      </w:r>
      <w:r w:rsidR="00D67EB8" w:rsidRPr="009118AB">
        <w:rPr>
          <w:i/>
          <w:iCs/>
          <w:sz w:val="20"/>
          <w:szCs w:val="20"/>
        </w:rPr>
        <w:t> - </w:t>
      </w:r>
      <w:r w:rsidRPr="009118AB">
        <w:rPr>
          <w:i/>
          <w:iCs/>
          <w:sz w:val="20"/>
          <w:szCs w:val="20"/>
        </w:rPr>
        <w:t>in Kraft am 1. Januar 2027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dritter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vierter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2029</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fünfter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4</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2030</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1 einziger Absatz sechster Gedankenstrich eingefügt durch </w:t>
      </w:r>
      <w:r w:rsidR="00D67EB8" w:rsidRPr="009118AB">
        <w:rPr>
          <w:i/>
          <w:iCs/>
          <w:sz w:val="20"/>
          <w:szCs w:val="20"/>
        </w:rPr>
        <w:t>Art. </w:t>
      </w:r>
      <w:r w:rsidRPr="009118AB">
        <w:rPr>
          <w:i/>
          <w:iCs/>
          <w:sz w:val="20"/>
          <w:szCs w:val="20"/>
        </w:rPr>
        <w:t xml:space="preserve">4 </w:t>
      </w:r>
      <w:r w:rsidR="00D67EB8" w:rsidRPr="009118AB">
        <w:rPr>
          <w:i/>
          <w:iCs/>
          <w:sz w:val="20"/>
          <w:szCs w:val="20"/>
        </w:rPr>
        <w:t>Nr. </w:t>
      </w:r>
      <w:r w:rsidRPr="009118AB">
        <w:rPr>
          <w:i/>
          <w:iCs/>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2031</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ersetzt durch </w:t>
      </w:r>
      <w:r w:rsidR="00D67EB8" w:rsidRPr="009118AB">
        <w:rPr>
          <w:i/>
          <w:iCs/>
          <w:sz w:val="20"/>
          <w:szCs w:val="20"/>
        </w:rPr>
        <w:t>Art. </w:t>
      </w:r>
      <w:r w:rsidRPr="009118AB">
        <w:rPr>
          <w:i/>
          <w:iCs/>
          <w:sz w:val="20"/>
          <w:szCs w:val="20"/>
        </w:rPr>
        <w:t xml:space="preserve">105 </w:t>
      </w:r>
      <w:r w:rsidR="00D67EB8" w:rsidRPr="009118AB">
        <w:rPr>
          <w:i/>
          <w:iCs/>
          <w:sz w:val="20"/>
          <w:szCs w:val="20"/>
        </w:rPr>
        <w:t>Nr. </w:t>
      </w:r>
      <w:r w:rsidRPr="009118AB">
        <w:rPr>
          <w:i/>
          <w:iCs/>
          <w:sz w:val="20"/>
          <w:szCs w:val="20"/>
        </w:rPr>
        <w:t>2 des G. vom 27. Dezember 2005 (I) (B.S. vom 30. Dezember 2005)</w:t>
      </w:r>
      <w:r w:rsidR="00D67EB8" w:rsidRPr="009118AB">
        <w:rPr>
          <w:i/>
          <w:iCs/>
          <w:sz w:val="20"/>
          <w:szCs w:val="20"/>
        </w:rPr>
        <w:t> - </w:t>
      </w:r>
      <w:r w:rsidRPr="009118AB">
        <w:rPr>
          <w:i/>
          <w:iCs/>
          <w:sz w:val="20"/>
          <w:szCs w:val="20"/>
        </w:rPr>
        <w:t>in Kraft ab dem Steuerjahr 2007</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einleitende Bestimmung ersetzt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6</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4 eingefügt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3 des G. vom 25. Dezember 2017 (III) (B.S. vom 29. Dezember 201)7</w:t>
      </w:r>
      <w:r w:rsidR="00D67EB8" w:rsidRPr="009118AB">
        <w:rPr>
          <w:i/>
          <w:iCs/>
          <w:sz w:val="20"/>
          <w:szCs w:val="20"/>
        </w:rPr>
        <w:t> - </w:t>
      </w:r>
      <w:r w:rsidRPr="009118AB">
        <w:rPr>
          <w:i/>
          <w:iCs/>
          <w:sz w:val="20"/>
          <w:szCs w:val="20"/>
        </w:rPr>
        <w:t>in Kraft am 1. Januar 2018 und anwendbar ab dem Steuerjahr 2019, das sich auf einen Besteuerungszeitraum bezieht, der frühestens am 1. Januar 2018 beginnt</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2 einziger Absatz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3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ersetzt durch </w:t>
      </w:r>
      <w:r w:rsidR="00D67EB8" w:rsidRPr="009118AB">
        <w:rPr>
          <w:i/>
          <w:iCs/>
          <w:sz w:val="20"/>
          <w:szCs w:val="20"/>
        </w:rPr>
        <w:t>Art. </w:t>
      </w:r>
      <w:r w:rsidRPr="009118AB">
        <w:rPr>
          <w:i/>
          <w:iCs/>
          <w:sz w:val="20"/>
          <w:szCs w:val="20"/>
        </w:rPr>
        <w:t xml:space="preserve">2 </w:t>
      </w:r>
      <w:r w:rsidR="00D67EB8" w:rsidRPr="009118AB">
        <w:rPr>
          <w:i/>
          <w:iCs/>
          <w:sz w:val="20"/>
          <w:szCs w:val="20"/>
        </w:rPr>
        <w:t>Nr. </w:t>
      </w:r>
      <w:r w:rsidRPr="009118AB">
        <w:rPr>
          <w:i/>
          <w:iCs/>
          <w:sz w:val="20"/>
          <w:szCs w:val="20"/>
        </w:rPr>
        <w:t>4 des G. vom 25. November 2021 (B.S. vom 3. Dezember 2021)</w:t>
      </w:r>
      <w:r w:rsidR="00D67EB8" w:rsidRPr="009118AB">
        <w:rPr>
          <w:i/>
          <w:iCs/>
          <w:sz w:val="20"/>
          <w:szCs w:val="20"/>
        </w:rPr>
        <w:t> - </w:t>
      </w:r>
      <w:r w:rsidRPr="009118AB">
        <w:rPr>
          <w:i/>
          <w:iCs/>
          <w:sz w:val="20"/>
          <w:szCs w:val="20"/>
        </w:rPr>
        <w:t>in Kraft am 3. Dezember 2021 und anwendbar ab dem Steuerjahr 2022</w:t>
      </w:r>
      <w:r w:rsidR="003366D9" w:rsidRPr="009118AB">
        <w:rPr>
          <w:i/>
          <w:iCs/>
          <w:sz w:val="20"/>
          <w:szCs w:val="20"/>
        </w:rPr>
        <w:t> -;</w:t>
      </w:r>
      <w:r w:rsidRPr="009118AB">
        <w:rPr>
          <w:i/>
          <w:iCs/>
          <w:sz w:val="20"/>
          <w:szCs w:val="20"/>
        </w:rPr>
        <w:t xml:space="preserve"> </w:t>
      </w:r>
      <w:r w:rsidR="00D67EB8" w:rsidRPr="009118AB">
        <w:rPr>
          <w:i/>
          <w:iCs/>
          <w:sz w:val="20"/>
          <w:szCs w:val="20"/>
        </w:rPr>
        <w:t>§ </w:t>
      </w:r>
      <w:r w:rsidRPr="009118AB">
        <w:rPr>
          <w:i/>
          <w:iCs/>
          <w:sz w:val="20"/>
          <w:szCs w:val="20"/>
        </w:rPr>
        <w:t xml:space="preserve">3 einziger Absatz einleitende Bestimmung abgeändert durch </w:t>
      </w:r>
      <w:r w:rsidR="00D67EB8" w:rsidRPr="009118AB">
        <w:rPr>
          <w:i/>
          <w:iCs/>
          <w:sz w:val="20"/>
          <w:szCs w:val="20"/>
        </w:rPr>
        <w:t>Art. </w:t>
      </w:r>
      <w:r w:rsidRPr="009118AB">
        <w:rPr>
          <w:i/>
          <w:iCs/>
          <w:sz w:val="20"/>
          <w:szCs w:val="20"/>
        </w:rPr>
        <w:t xml:space="preserve">3 </w:t>
      </w:r>
      <w:r w:rsidR="00D67EB8" w:rsidRPr="009118AB">
        <w:rPr>
          <w:i/>
          <w:iCs/>
          <w:sz w:val="20"/>
          <w:szCs w:val="20"/>
        </w:rPr>
        <w:t>Nr. </w:t>
      </w:r>
      <w:r w:rsidRPr="009118AB">
        <w:rPr>
          <w:i/>
          <w:iCs/>
          <w:sz w:val="20"/>
          <w:szCs w:val="20"/>
        </w:rPr>
        <w:t>7</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pacing w:val="-2"/>
          <w:sz w:val="20"/>
          <w:szCs w:val="20"/>
        </w:rPr>
        <w:t>§ </w:t>
      </w:r>
      <w:r w:rsidRPr="009118AB">
        <w:rPr>
          <w:i/>
          <w:iCs/>
          <w:spacing w:val="-2"/>
          <w:sz w:val="20"/>
          <w:szCs w:val="20"/>
        </w:rPr>
        <w:t xml:space="preserve">4 ersetzt durch </w:t>
      </w:r>
      <w:r w:rsidR="00D67EB8" w:rsidRPr="009118AB">
        <w:rPr>
          <w:i/>
          <w:iCs/>
          <w:spacing w:val="-2"/>
          <w:sz w:val="20"/>
          <w:szCs w:val="20"/>
        </w:rPr>
        <w:t>Art. </w:t>
      </w:r>
      <w:r w:rsidRPr="009118AB">
        <w:rPr>
          <w:i/>
          <w:iCs/>
          <w:spacing w:val="-2"/>
          <w:sz w:val="20"/>
          <w:szCs w:val="20"/>
        </w:rPr>
        <w:t xml:space="preserve">3 </w:t>
      </w:r>
      <w:r w:rsidR="00D67EB8" w:rsidRPr="009118AB">
        <w:rPr>
          <w:i/>
          <w:iCs/>
          <w:spacing w:val="-2"/>
          <w:sz w:val="20"/>
          <w:szCs w:val="20"/>
        </w:rPr>
        <w:t>Nr. </w:t>
      </w:r>
      <w:r w:rsidRPr="009118AB">
        <w:rPr>
          <w:i/>
          <w:iCs/>
          <w:spacing w:val="-2"/>
          <w:sz w:val="20"/>
          <w:szCs w:val="20"/>
        </w:rPr>
        <w:t>8</w:t>
      </w:r>
      <w:r w:rsidRPr="009118AB">
        <w:rPr>
          <w:i/>
          <w:iCs/>
          <w:spacing w:val="-2"/>
        </w:rPr>
        <w:t xml:space="preserve"> </w:t>
      </w:r>
      <w:r w:rsidRPr="009118AB">
        <w:rPr>
          <w:i/>
          <w:iCs/>
          <w:spacing w:val="-2"/>
          <w:sz w:val="20"/>
          <w:szCs w:val="20"/>
        </w:rPr>
        <w:t>des G. vom 25. November 2021 (B.S. vom 3. Dezember 2021)</w:t>
      </w:r>
      <w:r w:rsidR="00D67EB8" w:rsidRPr="009118AB">
        <w:rPr>
          <w:i/>
          <w:iCs/>
          <w:spacing w:val="-2"/>
          <w:sz w:val="20"/>
          <w:szCs w:val="20"/>
        </w:rPr>
        <w:t> - </w:t>
      </w:r>
      <w:r w:rsidRPr="009118AB">
        <w:rPr>
          <w:i/>
          <w:iCs/>
          <w:spacing w:val="-2"/>
          <w:sz w:val="20"/>
          <w:szCs w:val="20"/>
        </w:rPr>
        <w:t>in Kraft am 1. Januar 2026 und anwendbar ab dem Steuerjahr 2027, das sich auf einen Besteuerungszeitraum bezieht, der frühestens am 1. Januar 2026 beginnt</w:t>
      </w:r>
      <w:r w:rsidR="003366D9" w:rsidRPr="009118AB">
        <w:rPr>
          <w:i/>
          <w:iCs/>
          <w:spacing w:val="-2"/>
          <w:sz w:val="20"/>
          <w:szCs w:val="20"/>
        </w:rPr>
        <w:t> -;</w:t>
      </w:r>
      <w:r w:rsidRPr="009118AB">
        <w:rPr>
          <w:i/>
          <w:iCs/>
          <w:spacing w:val="-2"/>
          <w:sz w:val="20"/>
          <w:szCs w:val="20"/>
        </w:rPr>
        <w:t xml:space="preserve"> </w:t>
      </w:r>
      <w:r w:rsidR="00D67EB8" w:rsidRPr="009118AB">
        <w:rPr>
          <w:i/>
          <w:iCs/>
          <w:spacing w:val="-2"/>
          <w:sz w:val="20"/>
          <w:szCs w:val="20"/>
        </w:rPr>
        <w:t>§ </w:t>
      </w:r>
      <w:r w:rsidRPr="009118AB">
        <w:rPr>
          <w:i/>
          <w:iCs/>
          <w:spacing w:val="-2"/>
          <w:sz w:val="20"/>
          <w:szCs w:val="20"/>
        </w:rPr>
        <w:t xml:space="preserve">5 </w:t>
      </w:r>
      <w:r w:rsidR="00D67EB8" w:rsidRPr="009118AB">
        <w:rPr>
          <w:i/>
          <w:iCs/>
          <w:spacing w:val="-2"/>
          <w:sz w:val="20"/>
          <w:szCs w:val="20"/>
        </w:rPr>
        <w:t>Abs. </w:t>
      </w:r>
      <w:r w:rsidRPr="009118AB">
        <w:rPr>
          <w:i/>
          <w:iCs/>
          <w:spacing w:val="-2"/>
          <w:sz w:val="20"/>
          <w:szCs w:val="20"/>
        </w:rPr>
        <w:t xml:space="preserve">3 eingefügt durch </w:t>
      </w:r>
      <w:r w:rsidR="00D67EB8" w:rsidRPr="009118AB">
        <w:rPr>
          <w:i/>
          <w:iCs/>
          <w:spacing w:val="-2"/>
          <w:sz w:val="20"/>
          <w:szCs w:val="20"/>
        </w:rPr>
        <w:t>Art. </w:t>
      </w:r>
      <w:r w:rsidRPr="009118AB">
        <w:rPr>
          <w:i/>
          <w:iCs/>
          <w:spacing w:val="-2"/>
          <w:sz w:val="20"/>
          <w:szCs w:val="20"/>
        </w:rPr>
        <w:t>40</w:t>
      </w:r>
      <w:r w:rsidRPr="009118AB">
        <w:rPr>
          <w:i/>
          <w:spacing w:val="-2"/>
          <w:sz w:val="20"/>
          <w:szCs w:val="20"/>
        </w:rPr>
        <w:t xml:space="preserve"> </w:t>
      </w:r>
      <w:r w:rsidRPr="009118AB">
        <w:rPr>
          <w:bCs/>
          <w:i/>
          <w:spacing w:val="-2"/>
          <w:sz w:val="20"/>
          <w:szCs w:val="20"/>
        </w:rPr>
        <w:t>des G. vom 28. Dezember 2011 (B.S. vom 30. Dezember 2011)</w:t>
      </w:r>
      <w:r w:rsidR="00D67EB8" w:rsidRPr="009118AB">
        <w:rPr>
          <w:bCs/>
          <w:i/>
          <w:spacing w:val="-2"/>
          <w:sz w:val="20"/>
          <w:szCs w:val="20"/>
        </w:rPr>
        <w:t> - </w:t>
      </w:r>
      <w:r w:rsidRPr="009118AB">
        <w:rPr>
          <w:bCs/>
          <w:i/>
          <w:spacing w:val="-2"/>
          <w:sz w:val="20"/>
          <w:szCs w:val="20"/>
        </w:rPr>
        <w:t>anwendbar auf die ab dem 1. Januar 2012 zuerkannten Vorteile jeglicher Art</w:t>
      </w:r>
      <w:r w:rsidR="003366D9" w:rsidRPr="009118AB">
        <w:rPr>
          <w:bCs/>
          <w:i/>
          <w:spacing w:val="-2"/>
          <w:sz w:val="20"/>
          <w:szCs w:val="20"/>
        </w:rPr>
        <w:t> -;</w:t>
      </w:r>
      <w:r w:rsidRPr="009118AB">
        <w:rPr>
          <w:bCs/>
          <w:i/>
          <w:spacing w:val="-2"/>
          <w:sz w:val="20"/>
          <w:szCs w:val="20"/>
        </w:rPr>
        <w:t xml:space="preserve"> </w:t>
      </w:r>
      <w:r w:rsidR="00D67EB8" w:rsidRPr="009118AB">
        <w:rPr>
          <w:bCs/>
          <w:i/>
          <w:spacing w:val="-2"/>
          <w:sz w:val="20"/>
          <w:szCs w:val="20"/>
        </w:rPr>
        <w:t>§ </w:t>
      </w:r>
      <w:r w:rsidRPr="009118AB">
        <w:rPr>
          <w:bCs/>
          <w:i/>
          <w:spacing w:val="-2"/>
          <w:sz w:val="20"/>
          <w:szCs w:val="20"/>
        </w:rPr>
        <w:t xml:space="preserve">5 </w:t>
      </w:r>
      <w:r w:rsidR="006246F0" w:rsidRPr="009118AB">
        <w:rPr>
          <w:bCs/>
          <w:i/>
          <w:spacing w:val="-2"/>
          <w:sz w:val="20"/>
          <w:szCs w:val="20"/>
        </w:rPr>
        <w:t xml:space="preserve">früherer </w:t>
      </w:r>
      <w:r w:rsidRPr="009118AB">
        <w:rPr>
          <w:bCs/>
          <w:i/>
          <w:spacing w:val="-2"/>
          <w:sz w:val="20"/>
          <w:szCs w:val="20"/>
        </w:rPr>
        <w:t>Abs</w:t>
      </w:r>
      <w:r w:rsidR="006246F0" w:rsidRPr="009118AB">
        <w:rPr>
          <w:bCs/>
          <w:i/>
          <w:spacing w:val="-2"/>
          <w:sz w:val="20"/>
          <w:szCs w:val="20"/>
        </w:rPr>
        <w:t>atz</w:t>
      </w:r>
      <w:r w:rsidRPr="009118AB">
        <w:rPr>
          <w:bCs/>
          <w:i/>
          <w:spacing w:val="-2"/>
          <w:sz w:val="20"/>
          <w:szCs w:val="20"/>
        </w:rPr>
        <w:t xml:space="preserve"> 4 eingefügt durch </w:t>
      </w:r>
      <w:r w:rsidR="00D67EB8" w:rsidRPr="009118AB">
        <w:rPr>
          <w:bCs/>
          <w:i/>
          <w:spacing w:val="-2"/>
          <w:sz w:val="20"/>
          <w:szCs w:val="20"/>
        </w:rPr>
        <w:t>Art. </w:t>
      </w:r>
      <w:r w:rsidRPr="009118AB">
        <w:rPr>
          <w:bCs/>
          <w:i/>
          <w:spacing w:val="-2"/>
          <w:sz w:val="20"/>
          <w:szCs w:val="20"/>
        </w:rPr>
        <w:t>28 des G. vom 30. März 2018 (B.S. vom 7. Mai 2018)</w:t>
      </w:r>
      <w:r w:rsidR="00D67EB8" w:rsidRPr="009118AB">
        <w:rPr>
          <w:bCs/>
          <w:i/>
          <w:spacing w:val="-2"/>
          <w:sz w:val="20"/>
          <w:szCs w:val="20"/>
        </w:rPr>
        <w:t> - </w:t>
      </w:r>
      <w:r w:rsidRPr="009118AB">
        <w:rPr>
          <w:bCs/>
          <w:i/>
          <w:spacing w:val="-2"/>
          <w:sz w:val="20"/>
          <w:szCs w:val="20"/>
        </w:rPr>
        <w:t>in Kraft am 1. Januar 2018</w:t>
      </w:r>
      <w:r w:rsidR="00FD68E8" w:rsidRPr="009118AB">
        <w:rPr>
          <w:bCs/>
          <w:i/>
          <w:spacing w:val="-2"/>
          <w:sz w:val="20"/>
          <w:szCs w:val="20"/>
        </w:rPr>
        <w:t> -,</w:t>
      </w:r>
      <w:r w:rsidR="006246F0" w:rsidRPr="009118AB">
        <w:rPr>
          <w:bCs/>
          <w:i/>
          <w:spacing w:val="-2"/>
          <w:sz w:val="20"/>
          <w:szCs w:val="20"/>
        </w:rPr>
        <w:t xml:space="preserve"> selbst für nichtig erklärt durch</w:t>
      </w:r>
      <w:r w:rsidR="006246F0" w:rsidRPr="009118AB">
        <w:rPr>
          <w:bCs/>
          <w:i/>
          <w:iCs/>
          <w:spacing w:val="-2"/>
          <w:sz w:val="20"/>
          <w:szCs w:val="20"/>
        </w:rPr>
        <w:t xml:space="preserve"> Entscheid </w:t>
      </w:r>
      <w:r w:rsidR="00D67EB8" w:rsidRPr="009118AB">
        <w:rPr>
          <w:bCs/>
          <w:i/>
          <w:iCs/>
          <w:spacing w:val="-2"/>
          <w:sz w:val="20"/>
          <w:szCs w:val="20"/>
        </w:rPr>
        <w:t>Nr. </w:t>
      </w:r>
      <w:r w:rsidR="006246F0" w:rsidRPr="009118AB">
        <w:rPr>
          <w:bCs/>
          <w:i/>
          <w:iCs/>
          <w:spacing w:val="-2"/>
          <w:sz w:val="20"/>
          <w:szCs w:val="20"/>
        </w:rPr>
        <w:t>11/2020 des Verfassungsgerichtshofes vom 23. Januar 2020 (B.S. vom 24. Februar 2020)</w:t>
      </w:r>
      <w:r w:rsidRPr="009118AB">
        <w:rPr>
          <w:bCs/>
          <w:i/>
          <w:spacing w:val="-2"/>
          <w:sz w:val="20"/>
          <w:szCs w:val="20"/>
        </w:rPr>
        <w:t xml:space="preserve">; </w:t>
      </w:r>
      <w:r w:rsidR="00D67EB8" w:rsidRPr="009118AB">
        <w:rPr>
          <w:bCs/>
          <w:i/>
          <w:sz w:val="20"/>
          <w:szCs w:val="20"/>
        </w:rPr>
        <w:t>§ </w:t>
      </w:r>
      <w:r w:rsidRPr="009118AB">
        <w:rPr>
          <w:bCs/>
          <w:i/>
          <w:sz w:val="20"/>
          <w:szCs w:val="20"/>
        </w:rPr>
        <w:t xml:space="preserve">6 eingefügt durch </w:t>
      </w:r>
      <w:r w:rsidR="00D67EB8" w:rsidRPr="009118AB">
        <w:rPr>
          <w:bCs/>
          <w:i/>
          <w:sz w:val="20"/>
          <w:szCs w:val="20"/>
        </w:rPr>
        <w:t>Art. </w:t>
      </w:r>
      <w:r w:rsidRPr="009118AB">
        <w:rPr>
          <w:bCs/>
          <w:i/>
          <w:sz w:val="20"/>
          <w:szCs w:val="20"/>
        </w:rPr>
        <w:t xml:space="preserve">3 </w:t>
      </w:r>
      <w:r w:rsidR="00D67EB8" w:rsidRPr="009118AB">
        <w:rPr>
          <w:bCs/>
          <w:i/>
          <w:sz w:val="20"/>
          <w:szCs w:val="20"/>
        </w:rPr>
        <w:t>Nr. </w:t>
      </w:r>
      <w:r w:rsidRPr="009118AB">
        <w:rPr>
          <w:bCs/>
          <w:i/>
          <w:sz w:val="20"/>
          <w:szCs w:val="20"/>
        </w:rPr>
        <w:t>9</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2030</w:t>
      </w:r>
      <w:r w:rsidR="00FD68E8" w:rsidRPr="009118AB">
        <w:rPr>
          <w:i/>
          <w:iCs/>
          <w:sz w:val="20"/>
          <w:szCs w:val="20"/>
        </w:rPr>
        <w:t> -]</w:t>
      </w:r>
      <w:r w:rsidRPr="009118AB">
        <w:rPr>
          <w:sz w:val="20"/>
          <w:szCs w:val="20"/>
        </w:rPr>
        <w:t>"</w:t>
      </w:r>
    </w:p>
    <w:p w14:paraId="4EB7E49B" w14:textId="77777777" w:rsidR="00D74386" w:rsidRPr="009118AB" w:rsidRDefault="00D74386" w:rsidP="00390A33">
      <w:pPr>
        <w:autoSpaceDE w:val="0"/>
        <w:autoSpaceDN w:val="0"/>
        <w:adjustRightInd w:val="0"/>
        <w:jc w:val="both"/>
      </w:pPr>
    </w:p>
    <w:p w14:paraId="5DAF5B66" w14:textId="2B522F93" w:rsidR="00491A4D" w:rsidRPr="009118AB" w:rsidRDefault="00491A4D" w:rsidP="00390A33">
      <w:pPr>
        <w:autoSpaceDE w:val="0"/>
        <w:autoSpaceDN w:val="0"/>
        <w:adjustRightInd w:val="0"/>
        <w:jc w:val="both"/>
      </w:pPr>
    </w:p>
    <w:p w14:paraId="48A11A95" w14:textId="74931F5F" w:rsidR="004A0D5A" w:rsidRPr="009118AB" w:rsidRDefault="00477B8F" w:rsidP="004A0D5A">
      <w:pPr>
        <w:autoSpaceDE w:val="0"/>
        <w:autoSpaceDN w:val="0"/>
        <w:adjustRightInd w:val="0"/>
        <w:jc w:val="both"/>
        <w:rPr>
          <w:spacing w:val="-4"/>
        </w:rPr>
      </w:pPr>
      <w:r w:rsidRPr="009118AB">
        <w:rPr>
          <w:spacing w:val="-4"/>
        </w:rPr>
        <w:tab/>
        <w:t>[</w:t>
      </w:r>
      <w:r w:rsidR="00D67EB8" w:rsidRPr="009118AB">
        <w:rPr>
          <w:b/>
          <w:bCs/>
          <w:spacing w:val="-4"/>
        </w:rPr>
        <w:t>Art. </w:t>
      </w:r>
      <w:r w:rsidRPr="009118AB">
        <w:rPr>
          <w:b/>
          <w:bCs/>
          <w:spacing w:val="-4"/>
        </w:rPr>
        <w:t>66</w:t>
      </w:r>
      <w:r w:rsidRPr="009118AB">
        <w:rPr>
          <w:b/>
          <w:bCs/>
          <w:i/>
          <w:iCs/>
          <w:spacing w:val="-4"/>
        </w:rPr>
        <w:t>bis</w:t>
      </w:r>
      <w:r w:rsidR="00D67EB8" w:rsidRPr="009118AB">
        <w:rPr>
          <w:spacing w:val="-4"/>
        </w:rPr>
        <w:t> - </w:t>
      </w:r>
      <w:r w:rsidR="004A0D5A" w:rsidRPr="009118AB">
        <w:rPr>
          <w:spacing w:val="-4"/>
        </w:rPr>
        <w:t xml:space="preserve">[In Ermangelung von Beweisen werden Werbungskosten in Bezug auf die Fahrt zwischen Wohnsitz und Arbeitsplatz, die anders als mit einem in Artikel 66 </w:t>
      </w:r>
      <w:r w:rsidR="00D67EB8" w:rsidRPr="009118AB">
        <w:rPr>
          <w:spacing w:val="-4"/>
        </w:rPr>
        <w:t>§ </w:t>
      </w:r>
      <w:r w:rsidR="004A0D5A" w:rsidRPr="009118AB">
        <w:rPr>
          <w:spacing w:val="-4"/>
        </w:rPr>
        <w:t>5 erwähnten Fahrzeug gemacht wird, pauschal auf 0,15 EUR pro gefahrenen Kilometer festgelegt, ohne dass die berücksichtigte Entfernung zwischen Wohnsitz und Arbeitsplatz 25 Kilometer übersteigen darf.</w:t>
      </w:r>
    </w:p>
    <w:p w14:paraId="6785B326" w14:textId="77777777" w:rsidR="004A0D5A" w:rsidRPr="009118AB" w:rsidRDefault="004A0D5A" w:rsidP="004A0D5A">
      <w:pPr>
        <w:autoSpaceDE w:val="0"/>
        <w:autoSpaceDN w:val="0"/>
        <w:adjustRightInd w:val="0"/>
        <w:jc w:val="both"/>
      </w:pPr>
    </w:p>
    <w:p w14:paraId="0F369DA9" w14:textId="77777777" w:rsidR="004A0D5A" w:rsidRPr="009118AB" w:rsidRDefault="004A0D5A" w:rsidP="004A0D5A">
      <w:pPr>
        <w:autoSpaceDE w:val="0"/>
        <w:autoSpaceDN w:val="0"/>
        <w:adjustRightInd w:val="0"/>
        <w:jc w:val="both"/>
      </w:pPr>
      <w:r w:rsidRPr="009118AB">
        <w:tab/>
        <w:t>Der König kann durch einen im Ministerrat beratenen Erlass die 25-Kilometer-Grenze erhöhen.</w:t>
      </w:r>
    </w:p>
    <w:p w14:paraId="7ED1A3F1" w14:textId="3D08163F" w:rsidR="00EA2767" w:rsidRPr="009118AB" w:rsidRDefault="00EA2767"/>
    <w:p w14:paraId="067B4F5B" w14:textId="3313123A" w:rsidR="00477B8F" w:rsidRPr="009118AB" w:rsidRDefault="004A0D5A" w:rsidP="004A0D5A">
      <w:pPr>
        <w:autoSpaceDE w:val="0"/>
        <w:autoSpaceDN w:val="0"/>
        <w:adjustRightInd w:val="0"/>
        <w:jc w:val="both"/>
      </w:pPr>
      <w:r w:rsidRPr="009118AB">
        <w:tab/>
        <w:t>In Abweichung von Absatz 1 werden Werbungskosten in Bezug auf die Fahrt zwi</w:t>
      </w:r>
      <w:r w:rsidRPr="009118AB">
        <w:softHyphen/>
        <w:t xml:space="preserve">schen Wohnsitz und Arbeitsplatz, die </w:t>
      </w:r>
      <w:r w:rsidR="001A1316" w:rsidRPr="009118AB">
        <w:t xml:space="preserve">[mit einem in Artikel 38 </w:t>
      </w:r>
      <w:r w:rsidR="00D67EB8" w:rsidRPr="009118AB">
        <w:t>§ </w:t>
      </w:r>
      <w:r w:rsidR="001A1316" w:rsidRPr="009118AB">
        <w:t xml:space="preserve">1 Absatz 1 </w:t>
      </w:r>
      <w:r w:rsidR="00D67EB8" w:rsidRPr="009118AB">
        <w:t>Nr. </w:t>
      </w:r>
      <w:r w:rsidR="001A1316" w:rsidRPr="009118AB">
        <w:t>14 Buchstabe </w:t>
      </w:r>
      <w:r w:rsidR="001A1316" w:rsidRPr="009118AB">
        <w:rPr>
          <w:i/>
        </w:rPr>
        <w:t>a)</w:t>
      </w:r>
      <w:r w:rsidR="001A1316" w:rsidRPr="009118AB">
        <w:t xml:space="preserve"> erwähnten Rad oder Speed Pedelec]</w:t>
      </w:r>
      <w:r w:rsidRPr="009118AB">
        <w:t xml:space="preserve"> gemacht wird, in Ermangelung von Beweisen pauschal auf </w:t>
      </w:r>
      <w:r w:rsidR="009118AB" w:rsidRPr="009118AB">
        <w:t>[</w:t>
      </w:r>
      <w:r w:rsidRPr="009118AB">
        <w:t>0,1</w:t>
      </w:r>
      <w:r w:rsidR="009118AB" w:rsidRPr="009118AB">
        <w:t>77</w:t>
      </w:r>
      <w:r w:rsidRPr="009118AB">
        <w:t> EUR</w:t>
      </w:r>
      <w:r w:rsidR="009118AB" w:rsidRPr="009118AB">
        <w:t>]</w:t>
      </w:r>
      <w:r w:rsidRPr="009118AB">
        <w:t xml:space="preserve"> pro gefahrenen Kilometer festgelegt.</w:t>
      </w:r>
      <w:r w:rsidR="00477B8F" w:rsidRPr="009118AB">
        <w:t>]</w:t>
      </w:r>
      <w:r w:rsidRPr="009118AB">
        <w:t>]</w:t>
      </w:r>
    </w:p>
    <w:p w14:paraId="3C7231FA" w14:textId="77777777" w:rsidR="009118AB" w:rsidRPr="009118AB" w:rsidRDefault="009118AB" w:rsidP="004A0D5A">
      <w:pPr>
        <w:autoSpaceDE w:val="0"/>
        <w:autoSpaceDN w:val="0"/>
        <w:adjustRightInd w:val="0"/>
        <w:jc w:val="both"/>
      </w:pPr>
    </w:p>
    <w:p w14:paraId="48871E08" w14:textId="6BDC80E3" w:rsidR="009118AB" w:rsidRPr="009118AB" w:rsidRDefault="009118AB" w:rsidP="004A0D5A">
      <w:pPr>
        <w:autoSpaceDE w:val="0"/>
        <w:autoSpaceDN w:val="0"/>
        <w:adjustRightInd w:val="0"/>
        <w:jc w:val="both"/>
      </w:pPr>
      <w:r w:rsidRPr="009118AB">
        <w:tab/>
        <w:t xml:space="preserve"> [Der König ändert gegebenenfalls den in Absatz 3 erwähnten Betrag, sodass er sich nach Anwendung von Artikel 178 für Kosten in Bezug auf die 2024 gemachten Fahrten auf 0,35 EUR beläuft. Unbeschadet der Anwendung von Artikel 178 ist der so geänderte Betrag auf Kosten in Bezug auf die ab dem 1. Januar 2024 gemachten Fahrten anwendbar.]</w:t>
      </w:r>
    </w:p>
    <w:p w14:paraId="43A00EA1" w14:textId="77777777" w:rsidR="00477B8F" w:rsidRPr="009118AB" w:rsidRDefault="00477B8F" w:rsidP="00477B8F">
      <w:pPr>
        <w:autoSpaceDE w:val="0"/>
        <w:autoSpaceDN w:val="0"/>
        <w:adjustRightInd w:val="0"/>
        <w:jc w:val="both"/>
      </w:pPr>
    </w:p>
    <w:p w14:paraId="6E5E15A5" w14:textId="166009E6" w:rsidR="00DC317E"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66bis eingefügt durch </w:t>
      </w:r>
      <w:r w:rsidR="00D67EB8" w:rsidRPr="009118AB">
        <w:rPr>
          <w:i/>
          <w:iCs/>
        </w:rPr>
        <w:t>Art. </w:t>
      </w:r>
      <w:r w:rsidRPr="009118AB">
        <w:rPr>
          <w:i/>
          <w:iCs/>
        </w:rPr>
        <w:t>9 des G. vom 10. August 2001 (B.S. vom 20. September 2001)</w:t>
      </w:r>
      <w:r w:rsidR="00D67EB8" w:rsidRPr="009118AB">
        <w:rPr>
          <w:i/>
          <w:iCs/>
        </w:rPr>
        <w:t> - </w:t>
      </w:r>
      <w:r w:rsidRPr="009118AB">
        <w:rPr>
          <w:i/>
          <w:iCs/>
        </w:rPr>
        <w:t>in Kraft ab dem Steuerjahr 2002</w:t>
      </w:r>
      <w:r w:rsidR="00D67EB8" w:rsidRPr="009118AB">
        <w:rPr>
          <w:i/>
          <w:iCs/>
        </w:rPr>
        <w:t> - </w:t>
      </w:r>
      <w:r w:rsidR="004A0D5A" w:rsidRPr="009118AB">
        <w:rPr>
          <w:i/>
          <w:iCs/>
        </w:rPr>
        <w:t xml:space="preserve">und ersetzt durch </w:t>
      </w:r>
      <w:r w:rsidR="00D67EB8" w:rsidRPr="009118AB">
        <w:rPr>
          <w:i/>
          <w:iCs/>
        </w:rPr>
        <w:t>Art. </w:t>
      </w:r>
      <w:r w:rsidR="004A0D5A" w:rsidRPr="009118AB">
        <w:rPr>
          <w:i/>
          <w:iCs/>
        </w:rPr>
        <w:t>27 des G. vom 27. März 2009 (B.S. vom 7. April 2009)</w:t>
      </w:r>
      <w:r w:rsidR="00D67EB8" w:rsidRPr="009118AB">
        <w:rPr>
          <w:i/>
          <w:iCs/>
        </w:rPr>
        <w:t> - </w:t>
      </w:r>
      <w:r w:rsidR="004A0D5A" w:rsidRPr="009118AB">
        <w:rPr>
          <w:i/>
          <w:iCs/>
        </w:rPr>
        <w:t>anwendbar ab dem Steuerjahr 2010</w:t>
      </w:r>
      <w:r w:rsidR="003366D9" w:rsidRPr="009118AB">
        <w:rPr>
          <w:i/>
          <w:iCs/>
        </w:rPr>
        <w:t> -;</w:t>
      </w:r>
      <w:r w:rsidR="001A1316" w:rsidRPr="009118AB">
        <w:rPr>
          <w:i/>
          <w:iCs/>
        </w:rPr>
        <w:t xml:space="preserve"> </w:t>
      </w:r>
      <w:r w:rsidR="00D67EB8" w:rsidRPr="009118AB">
        <w:rPr>
          <w:i/>
          <w:iCs/>
        </w:rPr>
        <w:t>Abs. </w:t>
      </w:r>
      <w:r w:rsidR="001A1316" w:rsidRPr="009118AB">
        <w:rPr>
          <w:i/>
          <w:iCs/>
        </w:rPr>
        <w:t xml:space="preserve">3 abgeändert durch </w:t>
      </w:r>
      <w:r w:rsidR="00D67EB8" w:rsidRPr="009118AB">
        <w:rPr>
          <w:i/>
          <w:iCs/>
        </w:rPr>
        <w:t>Art. </w:t>
      </w:r>
      <w:r w:rsidR="001A1316" w:rsidRPr="009118AB">
        <w:rPr>
          <w:i/>
          <w:iCs/>
        </w:rPr>
        <w:t>4 des G. vom 22. Oktober 2017 (B.S. vom 18. Dezember 2017)</w:t>
      </w:r>
      <w:r w:rsidR="00D67EB8" w:rsidRPr="009118AB">
        <w:rPr>
          <w:i/>
          <w:iCs/>
        </w:rPr>
        <w:t> - </w:t>
      </w:r>
      <w:r w:rsidR="001A1316" w:rsidRPr="009118AB">
        <w:rPr>
          <w:i/>
          <w:iCs/>
        </w:rPr>
        <w:t>anwendbar ab dem Steuerjahr 2018</w:t>
      </w:r>
      <w:r w:rsidR="00FD68E8" w:rsidRPr="009118AB">
        <w:rPr>
          <w:i/>
          <w:iCs/>
        </w:rPr>
        <w:t> -</w:t>
      </w:r>
      <w:r w:rsidR="009118AB" w:rsidRPr="009118AB">
        <w:rPr>
          <w:i/>
          <w:iCs/>
        </w:rPr>
        <w:t xml:space="preserve"> und Art. 13 Nr. 1 des G. vom 22. Dezember 2023</w:t>
      </w:r>
      <w:r w:rsidR="00552005" w:rsidRPr="00552005">
        <w:rPr>
          <w:i/>
          <w:iCs/>
        </w:rPr>
        <w:t> (I)</w:t>
      </w:r>
      <w:r w:rsidR="009118AB" w:rsidRPr="009118AB">
        <w:rPr>
          <w:i/>
          <w:iCs/>
        </w:rPr>
        <w:t xml:space="preserve"> (B.S. vom 29. Dezember 2023) - in Kraft am 31. Dezember 2023 und anwendbar ab dem Besteuerungszeitraum, der ab dem 1. Januar 2024 beginnt -; Abs. 4 </w:t>
      </w:r>
      <w:r w:rsidR="009118AB">
        <w:rPr>
          <w:i/>
          <w:iCs/>
        </w:rPr>
        <w:t>eingefügt durch Art. 13 Nr. 2</w:t>
      </w:r>
      <w:r w:rsidR="009118AB" w:rsidRPr="009118AB">
        <w:rPr>
          <w:i/>
          <w:iCs/>
        </w:rPr>
        <w:t xml:space="preserve"> des G. vom 22. Dezember 2023</w:t>
      </w:r>
      <w:r w:rsidR="00552005" w:rsidRPr="00552005">
        <w:rPr>
          <w:i/>
          <w:iCs/>
        </w:rPr>
        <w:t> (I)</w:t>
      </w:r>
      <w:r w:rsidR="009118AB" w:rsidRPr="009118AB">
        <w:rPr>
          <w:i/>
          <w:iCs/>
        </w:rPr>
        <w:t xml:space="preserve"> (B.S. vom </w:t>
      </w:r>
      <w:r w:rsidR="009118AB" w:rsidRPr="009118AB">
        <w:rPr>
          <w:i/>
          <w:iCs/>
        </w:rPr>
        <w:lastRenderedPageBreak/>
        <w:t>29. Dezember 2023) - in Kraft am 31. Dezember 2023 und anwendbar ab dem Besteuerungszeitraum, der ab dem 1. Januar 2024 beginnt -</w:t>
      </w:r>
      <w:r w:rsidR="00FD68E8" w:rsidRPr="009118AB">
        <w:rPr>
          <w:i/>
          <w:iCs/>
        </w:rPr>
        <w:t>]</w:t>
      </w:r>
    </w:p>
    <w:p w14:paraId="2A714F02" w14:textId="77777777" w:rsidR="00DC317E" w:rsidRPr="009118AB" w:rsidRDefault="00DC317E" w:rsidP="00477B8F">
      <w:pPr>
        <w:autoSpaceDE w:val="0"/>
        <w:autoSpaceDN w:val="0"/>
        <w:adjustRightInd w:val="0"/>
        <w:jc w:val="both"/>
        <w:rPr>
          <w:i/>
          <w:iCs/>
        </w:rPr>
      </w:pPr>
    </w:p>
    <w:p w14:paraId="57F0C123" w14:textId="77777777" w:rsidR="00DC317E" w:rsidRPr="009118AB" w:rsidRDefault="00DC317E" w:rsidP="00477B8F">
      <w:pPr>
        <w:autoSpaceDE w:val="0"/>
        <w:autoSpaceDN w:val="0"/>
        <w:adjustRightInd w:val="0"/>
        <w:jc w:val="both"/>
        <w:rPr>
          <w:i/>
          <w:iCs/>
        </w:rPr>
      </w:pPr>
    </w:p>
    <w:p w14:paraId="6D13945D" w14:textId="77777777" w:rsidR="00DC317E" w:rsidRPr="009118AB" w:rsidRDefault="00DC317E">
      <w:r w:rsidRPr="009118AB">
        <w:br w:type="page"/>
      </w:r>
    </w:p>
    <w:p w14:paraId="232FA155" w14:textId="77777777" w:rsidR="00477B8F" w:rsidRPr="009118AB" w:rsidRDefault="00DC317E" w:rsidP="00477B8F">
      <w:pPr>
        <w:autoSpaceDE w:val="0"/>
        <w:autoSpaceDN w:val="0"/>
        <w:adjustRightInd w:val="0"/>
        <w:jc w:val="both"/>
      </w:pPr>
      <w:r w:rsidRPr="009118AB">
        <w:rPr>
          <w:i/>
          <w:iCs/>
        </w:rPr>
        <w:lastRenderedPageBreak/>
        <w:tab/>
      </w:r>
      <w:r w:rsidR="00477B8F" w:rsidRPr="009118AB">
        <w:rPr>
          <w:i/>
          <w:iCs/>
        </w:rPr>
        <w:t xml:space="preserve">B. </w:t>
      </w:r>
      <w:r w:rsidR="00477B8F" w:rsidRPr="009118AB">
        <w:t>Wirtschaftliche Steuerbefreiungen</w:t>
      </w:r>
    </w:p>
    <w:p w14:paraId="754D02EE" w14:textId="77777777" w:rsidR="00477B8F" w:rsidRPr="009118AB" w:rsidRDefault="00477B8F" w:rsidP="00477B8F">
      <w:pPr>
        <w:autoSpaceDE w:val="0"/>
        <w:autoSpaceDN w:val="0"/>
        <w:adjustRightInd w:val="0"/>
        <w:jc w:val="both"/>
      </w:pPr>
    </w:p>
    <w:p w14:paraId="2676687D" w14:textId="28EE27FE" w:rsidR="00477B8F" w:rsidRPr="009118AB" w:rsidRDefault="00477B8F" w:rsidP="00477B8F">
      <w:pPr>
        <w:autoSpaceDE w:val="0"/>
        <w:autoSpaceDN w:val="0"/>
        <w:adjustRightInd w:val="0"/>
        <w:jc w:val="both"/>
      </w:pPr>
    </w:p>
    <w:p w14:paraId="279338FC" w14:textId="40F964DE" w:rsidR="00477B8F" w:rsidRPr="009118AB" w:rsidRDefault="00477B8F" w:rsidP="00477B8F">
      <w:pPr>
        <w:autoSpaceDE w:val="0"/>
        <w:autoSpaceDN w:val="0"/>
        <w:adjustRightInd w:val="0"/>
        <w:jc w:val="both"/>
      </w:pPr>
      <w:r w:rsidRPr="009118AB">
        <w:tab/>
        <w:t xml:space="preserve">1. </w:t>
      </w:r>
      <w:r w:rsidR="00431102" w:rsidRPr="009118AB">
        <w:t>[Ausfuhr</w:t>
      </w:r>
      <w:r w:rsidR="00D67EB8" w:rsidRPr="009118AB">
        <w:t> - </w:t>
      </w:r>
      <w:r w:rsidR="00431102" w:rsidRPr="009118AB">
        <w:t>Umfassendes Qualitätsmanagement]</w:t>
      </w:r>
    </w:p>
    <w:p w14:paraId="55FDF084" w14:textId="77777777" w:rsidR="00477B8F" w:rsidRPr="009118AB" w:rsidRDefault="00477B8F" w:rsidP="00477B8F">
      <w:pPr>
        <w:autoSpaceDE w:val="0"/>
        <w:autoSpaceDN w:val="0"/>
        <w:adjustRightInd w:val="0"/>
        <w:jc w:val="both"/>
      </w:pPr>
    </w:p>
    <w:p w14:paraId="0A00D10C" w14:textId="7BB32CAC" w:rsidR="00477B8F" w:rsidRPr="009118AB" w:rsidRDefault="00477B8F" w:rsidP="00477B8F">
      <w:pPr>
        <w:autoSpaceDE w:val="0"/>
        <w:autoSpaceDN w:val="0"/>
        <w:adjustRightInd w:val="0"/>
        <w:jc w:val="both"/>
      </w:pPr>
      <w:r w:rsidRPr="009118AB">
        <w:rPr>
          <w:i/>
          <w:iCs/>
        </w:rPr>
        <w:t xml:space="preserve">[Überschrift von Unterteilung 1 </w:t>
      </w:r>
      <w:r w:rsidR="00431102" w:rsidRPr="009118AB">
        <w:rPr>
          <w:i/>
          <w:iCs/>
        </w:rPr>
        <w:t xml:space="preserve">ersetzt durch </w:t>
      </w:r>
      <w:r w:rsidR="00D67EB8" w:rsidRPr="009118AB">
        <w:rPr>
          <w:i/>
          <w:iCs/>
        </w:rPr>
        <w:t>Art. </w:t>
      </w:r>
      <w:r w:rsidR="00431102" w:rsidRPr="009118AB">
        <w:rPr>
          <w:i/>
          <w:iCs/>
        </w:rPr>
        <w:t>2 des G. (I) vom 24. Juli 2008 (I) (B.S. vom 7. August 2008)</w:t>
      </w:r>
      <w:r w:rsidR="00D67EB8" w:rsidRPr="009118AB">
        <w:rPr>
          <w:i/>
          <w:iCs/>
        </w:rPr>
        <w:t> - </w:t>
      </w:r>
      <w:r w:rsidR="00431102" w:rsidRPr="009118AB">
        <w:rPr>
          <w:i/>
          <w:iCs/>
        </w:rPr>
        <w:t>anwendbar ab dem Steuerjahr 2009</w:t>
      </w:r>
      <w:r w:rsidR="00FD68E8" w:rsidRPr="009118AB">
        <w:rPr>
          <w:i/>
          <w:iCs/>
        </w:rPr>
        <w:t> -]</w:t>
      </w:r>
    </w:p>
    <w:p w14:paraId="5C606BB6" w14:textId="77777777" w:rsidR="00477B8F" w:rsidRPr="009118AB" w:rsidRDefault="00477B8F" w:rsidP="00477B8F">
      <w:pPr>
        <w:autoSpaceDE w:val="0"/>
        <w:autoSpaceDN w:val="0"/>
        <w:adjustRightInd w:val="0"/>
        <w:jc w:val="both"/>
        <w:rPr>
          <w:b/>
          <w:bCs/>
        </w:rPr>
      </w:pPr>
    </w:p>
    <w:p w14:paraId="7A11015A" w14:textId="77777777" w:rsidR="00477B8F" w:rsidRPr="009118AB" w:rsidRDefault="00477B8F" w:rsidP="00477B8F">
      <w:pPr>
        <w:autoSpaceDE w:val="0"/>
        <w:autoSpaceDN w:val="0"/>
        <w:adjustRightInd w:val="0"/>
        <w:jc w:val="both"/>
      </w:pPr>
    </w:p>
    <w:p w14:paraId="796DCA89" w14:textId="1A2D35D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67</w:t>
      </w:r>
      <w:r w:rsidR="00D67EB8" w:rsidRPr="009118AB">
        <w:t> - </w:t>
      </w:r>
      <w:r w:rsidRPr="009118AB">
        <w:t>[</w:t>
      </w:r>
      <w:r w:rsidR="00D67EB8" w:rsidRPr="009118AB">
        <w:t>§ </w:t>
      </w:r>
      <w:r w:rsidRPr="009118AB">
        <w:t>1</w:t>
      </w:r>
      <w:r w:rsidR="00D67EB8" w:rsidRPr="009118AB">
        <w:t> - </w:t>
      </w:r>
      <w:r w:rsidRPr="009118AB">
        <w:t>Gewinne sind steuerfrei bis zu einer Höhe von [10.000 EUR] pro angeworbener Zusatzpersonaleinheit, die in Belgien in einem Unternehmen vollzeitig beschäftigt ist:</w:t>
      </w:r>
    </w:p>
    <w:p w14:paraId="03FFD8E4" w14:textId="77777777" w:rsidR="00477B8F" w:rsidRPr="009118AB" w:rsidRDefault="00477B8F" w:rsidP="00477B8F">
      <w:pPr>
        <w:autoSpaceDE w:val="0"/>
        <w:autoSpaceDN w:val="0"/>
        <w:adjustRightInd w:val="0"/>
        <w:jc w:val="both"/>
      </w:pPr>
    </w:p>
    <w:p w14:paraId="093064B2" w14:textId="77777777" w:rsidR="00477B8F" w:rsidRPr="009118AB" w:rsidRDefault="00477B8F" w:rsidP="00477B8F">
      <w:pPr>
        <w:autoSpaceDE w:val="0"/>
        <w:autoSpaceDN w:val="0"/>
        <w:adjustRightInd w:val="0"/>
        <w:jc w:val="both"/>
      </w:pPr>
      <w:r w:rsidRPr="009118AB">
        <w:tab/>
        <w:t>1. [...]</w:t>
      </w:r>
    </w:p>
    <w:p w14:paraId="2093A72E" w14:textId="77777777" w:rsidR="00477B8F" w:rsidRPr="009118AB" w:rsidRDefault="00477B8F" w:rsidP="00477B8F">
      <w:pPr>
        <w:autoSpaceDE w:val="0"/>
        <w:autoSpaceDN w:val="0"/>
        <w:adjustRightInd w:val="0"/>
        <w:jc w:val="both"/>
      </w:pPr>
    </w:p>
    <w:p w14:paraId="5B81511F" w14:textId="77777777" w:rsidR="00431102" w:rsidRPr="009118AB" w:rsidRDefault="00477B8F" w:rsidP="00431102">
      <w:pPr>
        <w:autoSpaceDE w:val="0"/>
        <w:autoSpaceDN w:val="0"/>
        <w:adjustRightInd w:val="0"/>
        <w:jc w:val="both"/>
      </w:pPr>
      <w:r w:rsidRPr="009118AB">
        <w:tab/>
        <w:t xml:space="preserve">2. </w:t>
      </w:r>
      <w:r w:rsidR="00431102" w:rsidRPr="009118AB">
        <w:t>[...]</w:t>
      </w:r>
    </w:p>
    <w:p w14:paraId="0B12020F" w14:textId="77777777" w:rsidR="00431102" w:rsidRPr="009118AB" w:rsidRDefault="00431102" w:rsidP="00477B8F">
      <w:pPr>
        <w:autoSpaceDE w:val="0"/>
        <w:autoSpaceDN w:val="0"/>
        <w:adjustRightInd w:val="0"/>
        <w:jc w:val="both"/>
      </w:pPr>
    </w:p>
    <w:p w14:paraId="4CE5AD39" w14:textId="77777777" w:rsidR="00477B8F" w:rsidRPr="009118AB" w:rsidRDefault="00477B8F" w:rsidP="00477B8F">
      <w:pPr>
        <w:autoSpaceDE w:val="0"/>
        <w:autoSpaceDN w:val="0"/>
        <w:adjustRightInd w:val="0"/>
        <w:jc w:val="both"/>
      </w:pPr>
      <w:r w:rsidRPr="009118AB">
        <w:tab/>
        <w:t>3. als Leiter der Abteilung Ausfuhr,</w:t>
      </w:r>
    </w:p>
    <w:p w14:paraId="22335141" w14:textId="77777777" w:rsidR="00477B8F" w:rsidRPr="009118AB" w:rsidRDefault="00477B8F" w:rsidP="00477B8F">
      <w:pPr>
        <w:autoSpaceDE w:val="0"/>
        <w:autoSpaceDN w:val="0"/>
        <w:adjustRightInd w:val="0"/>
        <w:jc w:val="both"/>
      </w:pPr>
    </w:p>
    <w:p w14:paraId="25C0F385" w14:textId="77777777" w:rsidR="00477B8F" w:rsidRPr="009118AB" w:rsidRDefault="00477B8F" w:rsidP="00477B8F">
      <w:pPr>
        <w:autoSpaceDE w:val="0"/>
        <w:autoSpaceDN w:val="0"/>
        <w:adjustRightInd w:val="0"/>
        <w:jc w:val="both"/>
      </w:pPr>
      <w:r w:rsidRPr="009118AB">
        <w:tab/>
        <w:t>4. als Leiter der Abteilung Umfassendes Qualitätsmanagement.</w:t>
      </w:r>
    </w:p>
    <w:p w14:paraId="764B050A" w14:textId="77777777" w:rsidR="00477B8F" w:rsidRPr="009118AB" w:rsidRDefault="00477B8F" w:rsidP="00477B8F">
      <w:pPr>
        <w:autoSpaceDE w:val="0"/>
        <w:autoSpaceDN w:val="0"/>
        <w:adjustRightInd w:val="0"/>
        <w:jc w:val="both"/>
      </w:pPr>
    </w:p>
    <w:p w14:paraId="370D34AA" w14:textId="19B4B2D1"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Gewinne sind ebenfalls steuerfrei bis zu einer Höhe von [10.000 EUR], wenn einem Personalmitglied, das bereits eine Vollzeitstelle als Abteilungsleiter im Unternehmen bekleidete, eine in </w:t>
      </w:r>
      <w:r w:rsidR="00D67EB8" w:rsidRPr="009118AB">
        <w:t>§ </w:t>
      </w:r>
      <w:r w:rsidRPr="009118AB">
        <w:t xml:space="preserve">1 </w:t>
      </w:r>
      <w:r w:rsidR="00D67EB8" w:rsidRPr="009118AB">
        <w:t>Nr. </w:t>
      </w:r>
      <w:r w:rsidRPr="009118AB">
        <w:t>3 und 4 erwähnte Stelle zugewiesen wird, unter der Bedingung, dass das Unternehmen spätestens dreißig Tage nach der Neuzuweisung des Personalmitglieds einen neuen Arbeitnehmer vollzeitig einstellt, um die frei gewordene Stelle zu besetzen.</w:t>
      </w:r>
    </w:p>
    <w:p w14:paraId="10AA241E" w14:textId="77777777" w:rsidR="00477B8F" w:rsidRPr="009118AB" w:rsidRDefault="00477B8F" w:rsidP="00477B8F">
      <w:pPr>
        <w:autoSpaceDE w:val="0"/>
        <w:autoSpaceDN w:val="0"/>
        <w:adjustRightInd w:val="0"/>
        <w:jc w:val="both"/>
      </w:pPr>
    </w:p>
    <w:p w14:paraId="6A385BE0" w14:textId="6B29C5A9" w:rsidR="00477B8F" w:rsidRPr="009118AB" w:rsidRDefault="00477B8F" w:rsidP="00477B8F">
      <w:pPr>
        <w:autoSpaceDE w:val="0"/>
        <w:autoSpaceDN w:val="0"/>
        <w:adjustRightInd w:val="0"/>
        <w:jc w:val="both"/>
      </w:pPr>
      <w:r w:rsidRPr="009118AB">
        <w:tab/>
      </w:r>
      <w:r w:rsidR="00D67EB8" w:rsidRPr="009118AB">
        <w:t>§ </w:t>
      </w:r>
      <w:r w:rsidRPr="009118AB">
        <w:t>3</w:t>
      </w:r>
      <w:r w:rsidR="00D67EB8" w:rsidRPr="009118AB">
        <w:t> - </w:t>
      </w:r>
      <w:r w:rsidRPr="009118AB">
        <w:t>[...]</w:t>
      </w:r>
    </w:p>
    <w:p w14:paraId="0F299D6F" w14:textId="77777777" w:rsidR="00477B8F" w:rsidRPr="009118AB" w:rsidRDefault="00477B8F" w:rsidP="00477B8F">
      <w:pPr>
        <w:autoSpaceDE w:val="0"/>
        <w:autoSpaceDN w:val="0"/>
        <w:adjustRightInd w:val="0"/>
        <w:jc w:val="both"/>
      </w:pPr>
    </w:p>
    <w:p w14:paraId="4A8964DE" w14:textId="1A4E9968" w:rsidR="00477B8F" w:rsidRPr="009118AB" w:rsidRDefault="00477B8F" w:rsidP="00477B8F">
      <w:pPr>
        <w:autoSpaceDE w:val="0"/>
        <w:autoSpaceDN w:val="0"/>
        <w:adjustRightInd w:val="0"/>
        <w:jc w:val="both"/>
      </w:pPr>
      <w:r w:rsidRPr="009118AB">
        <w:tab/>
      </w:r>
      <w:r w:rsidR="00D67EB8" w:rsidRPr="009118AB">
        <w:t>§ </w:t>
      </w:r>
      <w:r w:rsidRPr="009118AB">
        <w:t>4</w:t>
      </w:r>
      <w:r w:rsidR="00D67EB8" w:rsidRPr="009118AB">
        <w:t> - </w:t>
      </w:r>
      <w:r w:rsidRPr="009118AB">
        <w:t xml:space="preserve">Wird ein Personalmitglied nicht mehr im Rahmen einer der in </w:t>
      </w:r>
      <w:r w:rsidR="00D67EB8" w:rsidRPr="009118AB">
        <w:t>§ </w:t>
      </w:r>
      <w:r w:rsidRPr="009118AB">
        <w:t>1 vorgesehenen Aufgaben beschäftigt, wird der Gesamtbetrag der vorher steuerfreien Gewinne nach Verhältnis des steuerfreien Betrags verringert, zu dem diese Person anfangs berechtigte.</w:t>
      </w:r>
    </w:p>
    <w:p w14:paraId="13EF85AC" w14:textId="77777777" w:rsidR="00477B8F" w:rsidRPr="009118AB" w:rsidRDefault="00477B8F" w:rsidP="00477B8F">
      <w:pPr>
        <w:autoSpaceDE w:val="0"/>
        <w:autoSpaceDN w:val="0"/>
        <w:adjustRightInd w:val="0"/>
        <w:jc w:val="both"/>
      </w:pPr>
    </w:p>
    <w:p w14:paraId="66E7D5F9" w14:textId="77777777" w:rsidR="00477B8F" w:rsidRPr="009118AB" w:rsidRDefault="00477B8F" w:rsidP="00477B8F">
      <w:pPr>
        <w:autoSpaceDE w:val="0"/>
        <w:autoSpaceDN w:val="0"/>
        <w:adjustRightInd w:val="0"/>
        <w:jc w:val="both"/>
      </w:pPr>
      <w:r w:rsidRPr="009118AB">
        <w:tab/>
        <w:t>In diesem Fall werden Gewinne oder Verluste des Besteuerungszeitraums, in dem das Personal nicht mehr beschäftigt wird, um diesen Betrag erhöht beziehungsweise verringert.</w:t>
      </w:r>
    </w:p>
    <w:p w14:paraId="67089E07" w14:textId="77777777" w:rsidR="00477B8F" w:rsidRPr="009118AB" w:rsidRDefault="00477B8F" w:rsidP="00477B8F">
      <w:pPr>
        <w:autoSpaceDE w:val="0"/>
        <w:autoSpaceDN w:val="0"/>
        <w:adjustRightInd w:val="0"/>
        <w:jc w:val="both"/>
      </w:pPr>
    </w:p>
    <w:p w14:paraId="50A353F3" w14:textId="00C3CEC7" w:rsidR="00477B8F" w:rsidRPr="009118AB" w:rsidRDefault="00477B8F" w:rsidP="00477B8F">
      <w:pPr>
        <w:autoSpaceDE w:val="0"/>
        <w:autoSpaceDN w:val="0"/>
        <w:adjustRightInd w:val="0"/>
        <w:jc w:val="both"/>
      </w:pPr>
      <w:r w:rsidRPr="009118AB">
        <w:tab/>
      </w:r>
      <w:r w:rsidR="00D67EB8" w:rsidRPr="009118AB">
        <w:t>§ </w:t>
      </w:r>
      <w:r w:rsidRPr="009118AB">
        <w:t>5</w:t>
      </w:r>
      <w:r w:rsidR="00D67EB8" w:rsidRPr="009118AB">
        <w:t> - </w:t>
      </w:r>
      <w:r w:rsidRPr="009118AB">
        <w:t>[Der König regelt die Ausführung des vorliegenden Artikels.]</w:t>
      </w:r>
    </w:p>
    <w:p w14:paraId="24D87037" w14:textId="77777777" w:rsidR="00477B8F" w:rsidRPr="009118AB" w:rsidRDefault="00477B8F" w:rsidP="00477B8F">
      <w:pPr>
        <w:autoSpaceDE w:val="0"/>
        <w:autoSpaceDN w:val="0"/>
        <w:adjustRightInd w:val="0"/>
        <w:jc w:val="both"/>
      </w:pPr>
    </w:p>
    <w:p w14:paraId="1E55A6C7" w14:textId="2286D941" w:rsidR="00477B8F" w:rsidRPr="009118AB" w:rsidRDefault="00477B8F" w:rsidP="00477B8F">
      <w:pPr>
        <w:autoSpaceDE w:val="0"/>
        <w:autoSpaceDN w:val="0"/>
        <w:adjustRightInd w:val="0"/>
        <w:jc w:val="both"/>
      </w:pPr>
      <w:r w:rsidRPr="009118AB">
        <w:tab/>
      </w:r>
      <w:r w:rsidR="00D67EB8" w:rsidRPr="009118AB">
        <w:t>§ </w:t>
      </w:r>
      <w:r w:rsidRPr="009118AB">
        <w:t>6</w:t>
      </w:r>
      <w:r w:rsidR="00D67EB8" w:rsidRPr="009118AB">
        <w:t> - </w:t>
      </w:r>
      <w:r w:rsidRPr="009118AB">
        <w:t>Der König kann [die in den Paragraphen 1 und 2 erwähnten Beträge] erhöhen, wenn wirtschaftliche Umstände es rechtfertigen.]</w:t>
      </w:r>
    </w:p>
    <w:p w14:paraId="56EBEDFE" w14:textId="77777777" w:rsidR="00477B8F" w:rsidRPr="009118AB" w:rsidRDefault="00477B8F" w:rsidP="00477B8F">
      <w:pPr>
        <w:autoSpaceDE w:val="0"/>
        <w:autoSpaceDN w:val="0"/>
        <w:adjustRightInd w:val="0"/>
        <w:jc w:val="both"/>
      </w:pPr>
    </w:p>
    <w:p w14:paraId="341610FA" w14:textId="7565E4B3" w:rsidR="00477B8F" w:rsidRPr="009118AB" w:rsidRDefault="00477B8F" w:rsidP="00477B8F">
      <w:pPr>
        <w:autoSpaceDE w:val="0"/>
        <w:autoSpaceDN w:val="0"/>
        <w:adjustRightInd w:val="0"/>
        <w:jc w:val="both"/>
        <w:rPr>
          <w:spacing w:val="-2"/>
        </w:rPr>
      </w:pPr>
      <w:r w:rsidRPr="009118AB">
        <w:rPr>
          <w:i/>
          <w:iCs/>
        </w:rPr>
        <w:t>[</w:t>
      </w:r>
      <w:r w:rsidR="00D67EB8" w:rsidRPr="009118AB">
        <w:rPr>
          <w:i/>
          <w:iCs/>
        </w:rPr>
        <w:t>Art. </w:t>
      </w:r>
      <w:r w:rsidRPr="009118AB">
        <w:rPr>
          <w:i/>
          <w:iCs/>
        </w:rPr>
        <w:t xml:space="preserve">67 ersetzt durch </w:t>
      </w:r>
      <w:r w:rsidR="00D67EB8" w:rsidRPr="009118AB">
        <w:rPr>
          <w:i/>
          <w:iCs/>
        </w:rPr>
        <w:t>Art. </w:t>
      </w:r>
      <w:r w:rsidRPr="009118AB">
        <w:rPr>
          <w:i/>
          <w:iCs/>
        </w:rPr>
        <w:t>3 des G. vom 27. Oktober 199</w:t>
      </w:r>
      <w:r w:rsidR="00B3148A" w:rsidRPr="009118AB">
        <w:rPr>
          <w:i/>
          <w:iCs/>
        </w:rPr>
        <w:t>7 (B.S. vom 2. Dezember 1997)</w:t>
      </w:r>
      <w:r w:rsidR="00D67EB8" w:rsidRPr="009118AB">
        <w:rPr>
          <w:i/>
          <w:iCs/>
        </w:rPr>
        <w:t> - </w:t>
      </w:r>
      <w:r w:rsidRPr="009118AB">
        <w:rPr>
          <w:i/>
          <w:iCs/>
        </w:rPr>
        <w:t>anwendbar ab dem Steuerjahr 1997</w:t>
      </w:r>
      <w:r w:rsidR="003366D9" w:rsidRPr="009118AB">
        <w:rPr>
          <w:i/>
          <w:iCs/>
        </w:rPr>
        <w:t> -;</w:t>
      </w:r>
      <w:r w:rsidRPr="009118AB">
        <w:rPr>
          <w:i/>
          <w:iCs/>
        </w:rPr>
        <w:t xml:space="preserve"> </w:t>
      </w:r>
      <w:r w:rsidR="00D67EB8" w:rsidRPr="009118AB">
        <w:rPr>
          <w:i/>
          <w:iCs/>
        </w:rPr>
        <w:t>§ </w:t>
      </w:r>
      <w:r w:rsidRPr="009118AB">
        <w:rPr>
          <w:i/>
          <w:iCs/>
        </w:rPr>
        <w:t xml:space="preserve">1 einleitende Bestimmung abgeändert durch </w:t>
      </w:r>
      <w:r w:rsidR="00D67EB8" w:rsidRPr="009118AB">
        <w:rPr>
          <w:i/>
          <w:iCs/>
        </w:rPr>
        <w:t>Art. </w:t>
      </w:r>
      <w:r w:rsidRPr="009118AB">
        <w:rPr>
          <w:i/>
          <w:iCs/>
        </w:rPr>
        <w:t xml:space="preserve">1 </w:t>
      </w:r>
      <w:r w:rsidRPr="009118AB">
        <w:rPr>
          <w:i/>
          <w:iCs/>
          <w:spacing w:val="-2"/>
        </w:rPr>
        <w:t>des K.E. vom 20. Juli 2000 (II) (B.S. vom 30. August 2000)</w:t>
      </w:r>
      <w:r w:rsidR="00D67EB8" w:rsidRPr="009118AB">
        <w:rPr>
          <w:i/>
          <w:iCs/>
          <w:spacing w:val="-2"/>
        </w:rPr>
        <w:t> - </w:t>
      </w:r>
      <w:r w:rsidRPr="009118AB">
        <w:rPr>
          <w:i/>
          <w:iCs/>
          <w:spacing w:val="-2"/>
        </w:rPr>
        <w:t>in Kraft ab dem Steuerjahr 2002</w:t>
      </w:r>
      <w:r w:rsidR="00FD68E8" w:rsidRPr="009118AB">
        <w:rPr>
          <w:i/>
          <w:iCs/>
          <w:spacing w:val="-2"/>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w:t>
      </w:r>
      <w:r w:rsidR="00B3148A" w:rsidRPr="009118AB">
        <w:rPr>
          <w:i/>
          <w:iCs/>
        </w:rPr>
        <w:t>01 (B.S. vom 11. August 2001)</w:t>
      </w:r>
      <w:r w:rsidR="00D67EB8" w:rsidRPr="009118AB">
        <w:rPr>
          <w:i/>
          <w:iCs/>
        </w:rPr>
        <w:t> - </w:t>
      </w:r>
      <w:r w:rsidRPr="009118AB">
        <w:rPr>
          <w:i/>
          <w:iCs/>
        </w:rPr>
        <w:t>in Kraft ab dem 1. Januar 2002</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1 aufgehoben durch </w:t>
      </w:r>
      <w:r w:rsidR="00D67EB8" w:rsidRPr="009118AB">
        <w:rPr>
          <w:i/>
          <w:iCs/>
        </w:rPr>
        <w:t>Art. </w:t>
      </w:r>
      <w:r w:rsidRPr="009118AB">
        <w:rPr>
          <w:i/>
          <w:iCs/>
        </w:rPr>
        <w:t xml:space="preserve">28 </w:t>
      </w:r>
      <w:r w:rsidR="00D67EB8" w:rsidRPr="009118AB">
        <w:rPr>
          <w:i/>
          <w:iCs/>
        </w:rPr>
        <w:t>Nr. </w:t>
      </w:r>
      <w:r w:rsidRPr="009118AB">
        <w:rPr>
          <w:i/>
          <w:iCs/>
        </w:rPr>
        <w:t xml:space="preserve">1 des G. (I) vom 27. Dezember 2006 </w:t>
      </w:r>
      <w:r w:rsidR="00805DA6" w:rsidRPr="009118AB">
        <w:rPr>
          <w:i/>
          <w:iCs/>
        </w:rPr>
        <w:t xml:space="preserve">(I) </w:t>
      </w:r>
      <w:r w:rsidRPr="009118AB">
        <w:rPr>
          <w:i/>
          <w:iCs/>
        </w:rPr>
        <w:t>(B.S. vom 28. Dezember 2006)</w:t>
      </w:r>
      <w:r w:rsidR="00D67EB8" w:rsidRPr="009118AB">
        <w:rPr>
          <w:i/>
          <w:iCs/>
        </w:rPr>
        <w:t> - </w:t>
      </w:r>
      <w:r w:rsidRPr="009118AB">
        <w:rPr>
          <w:i/>
          <w:iCs/>
        </w:rPr>
        <w:t>anwendbar ab dem Steuerjahr 2008</w:t>
      </w:r>
      <w:r w:rsidR="003366D9" w:rsidRPr="009118AB">
        <w:rPr>
          <w:i/>
          <w:iCs/>
        </w:rPr>
        <w:t> -;</w:t>
      </w:r>
      <w:r w:rsidRPr="009118AB">
        <w:rPr>
          <w:i/>
          <w:iCs/>
        </w:rPr>
        <w:t xml:space="preserve"> </w:t>
      </w:r>
      <w:r w:rsidR="00D67EB8" w:rsidRPr="009118AB">
        <w:rPr>
          <w:i/>
          <w:iCs/>
        </w:rPr>
        <w:t>§ </w:t>
      </w:r>
      <w:r w:rsidR="00431102" w:rsidRPr="009118AB">
        <w:rPr>
          <w:i/>
          <w:iCs/>
        </w:rPr>
        <w:t xml:space="preserve">1 einziger Absatz </w:t>
      </w:r>
      <w:r w:rsidR="00D67EB8" w:rsidRPr="009118AB">
        <w:rPr>
          <w:i/>
          <w:iCs/>
        </w:rPr>
        <w:t>Nr. </w:t>
      </w:r>
      <w:r w:rsidR="00431102" w:rsidRPr="009118AB">
        <w:rPr>
          <w:i/>
          <w:iCs/>
        </w:rPr>
        <w:t xml:space="preserve">2 aufgehoben durch </w:t>
      </w:r>
      <w:r w:rsidR="00D67EB8" w:rsidRPr="009118AB">
        <w:rPr>
          <w:i/>
          <w:iCs/>
        </w:rPr>
        <w:t>Art. </w:t>
      </w:r>
      <w:r w:rsidR="00431102" w:rsidRPr="009118AB">
        <w:rPr>
          <w:i/>
          <w:iCs/>
        </w:rPr>
        <w:t>3 des G. (I) vom 24.</w:t>
      </w:r>
      <w:r w:rsidR="0043297C" w:rsidRPr="009118AB">
        <w:rPr>
          <w:i/>
          <w:iCs/>
        </w:rPr>
        <w:t> </w:t>
      </w:r>
      <w:r w:rsidR="00431102" w:rsidRPr="009118AB">
        <w:rPr>
          <w:i/>
          <w:iCs/>
        </w:rPr>
        <w:t>Juli 2008 (I) (B.S. vom 7. August 2008)</w:t>
      </w:r>
      <w:r w:rsidR="00D67EB8" w:rsidRPr="009118AB">
        <w:rPr>
          <w:i/>
          <w:iCs/>
        </w:rPr>
        <w:t> - </w:t>
      </w:r>
      <w:r w:rsidR="00431102" w:rsidRPr="009118AB">
        <w:rPr>
          <w:i/>
          <w:iCs/>
        </w:rPr>
        <w:t>an</w:t>
      </w:r>
      <w:r w:rsidR="0043297C" w:rsidRPr="009118AB">
        <w:rPr>
          <w:i/>
          <w:iCs/>
        </w:rPr>
        <w:t>wendbar ab dem Steuerjahr 2009</w:t>
      </w:r>
      <w:r w:rsidR="003366D9" w:rsidRPr="009118AB">
        <w:rPr>
          <w:i/>
          <w:iCs/>
        </w:rPr>
        <w:t> -;</w:t>
      </w:r>
      <w:r w:rsidR="0043297C" w:rsidRPr="009118AB">
        <w:rPr>
          <w:i/>
          <w:iCs/>
        </w:rPr>
        <w:t xml:space="preserve"> </w:t>
      </w:r>
      <w:r w:rsidR="00D67EB8" w:rsidRPr="009118AB">
        <w:rPr>
          <w:i/>
          <w:iCs/>
        </w:rPr>
        <w:t>§ </w:t>
      </w:r>
      <w:r w:rsidRPr="009118AB">
        <w:rPr>
          <w:i/>
          <w:iCs/>
        </w:rPr>
        <w:t xml:space="preserve">2 abgeändert durch </w:t>
      </w:r>
      <w:r w:rsidR="00D67EB8" w:rsidRPr="009118AB">
        <w:rPr>
          <w:i/>
          <w:iCs/>
        </w:rPr>
        <w:t>Art. </w:t>
      </w:r>
      <w:r w:rsidRPr="009118AB">
        <w:rPr>
          <w:i/>
          <w:iCs/>
        </w:rPr>
        <w:t xml:space="preserve">1 des K.E. </w:t>
      </w:r>
      <w:r w:rsidRPr="009118AB">
        <w:rPr>
          <w:i/>
          <w:iCs/>
        </w:rPr>
        <w:lastRenderedPageBreak/>
        <w:t>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3366D9" w:rsidRPr="009118AB">
        <w:rPr>
          <w:i/>
          <w:iCs/>
        </w:rPr>
        <w:t> -;</w:t>
      </w:r>
      <w:r w:rsidRPr="009118AB">
        <w:rPr>
          <w:i/>
          <w:iCs/>
        </w:rPr>
        <w:t xml:space="preserve"> </w:t>
      </w:r>
      <w:r w:rsidR="00D67EB8" w:rsidRPr="009118AB">
        <w:rPr>
          <w:i/>
          <w:iCs/>
        </w:rPr>
        <w:t>§ </w:t>
      </w:r>
      <w:r w:rsidRPr="009118AB">
        <w:rPr>
          <w:i/>
          <w:iCs/>
        </w:rPr>
        <w:t xml:space="preserve">3 aufgehoben durch </w:t>
      </w:r>
      <w:r w:rsidR="00D67EB8" w:rsidRPr="009118AB">
        <w:rPr>
          <w:i/>
          <w:iCs/>
        </w:rPr>
        <w:t>Art. </w:t>
      </w:r>
      <w:r w:rsidRPr="009118AB">
        <w:rPr>
          <w:i/>
          <w:iCs/>
        </w:rPr>
        <w:t xml:space="preserve">28 </w:t>
      </w:r>
      <w:r w:rsidR="00D67EB8" w:rsidRPr="009118AB">
        <w:rPr>
          <w:i/>
          <w:iCs/>
        </w:rPr>
        <w:t>Nr. </w:t>
      </w:r>
      <w:r w:rsidRPr="009118AB">
        <w:rPr>
          <w:i/>
          <w:iCs/>
        </w:rPr>
        <w:t xml:space="preserve">1 des G. (I) vom 27. Dezember 2006 </w:t>
      </w:r>
      <w:r w:rsidR="00805DA6" w:rsidRPr="009118AB">
        <w:rPr>
          <w:i/>
          <w:iCs/>
        </w:rPr>
        <w:t xml:space="preserve">(I) </w:t>
      </w:r>
      <w:r w:rsidRPr="009118AB">
        <w:rPr>
          <w:i/>
          <w:iCs/>
        </w:rPr>
        <w:t>(B.S. vom 28. Dezember 2006)</w:t>
      </w:r>
      <w:r w:rsidR="00D67EB8" w:rsidRPr="009118AB">
        <w:rPr>
          <w:i/>
          <w:iCs/>
        </w:rPr>
        <w:t> - </w:t>
      </w:r>
      <w:r w:rsidRPr="009118AB">
        <w:rPr>
          <w:i/>
          <w:iCs/>
        </w:rPr>
        <w:t xml:space="preserve">anwendbar ab </w:t>
      </w:r>
      <w:r w:rsidRPr="009118AB">
        <w:rPr>
          <w:i/>
          <w:iCs/>
          <w:spacing w:val="-2"/>
        </w:rPr>
        <w:t>dem Steuerjahr 2008</w:t>
      </w:r>
      <w:r w:rsidR="003366D9" w:rsidRPr="009118AB">
        <w:rPr>
          <w:i/>
          <w:iCs/>
          <w:spacing w:val="-2"/>
        </w:rPr>
        <w:t> -;</w:t>
      </w:r>
      <w:r w:rsidRPr="009118AB">
        <w:rPr>
          <w:i/>
          <w:iCs/>
          <w:spacing w:val="-2"/>
        </w:rPr>
        <w:t xml:space="preserve"> </w:t>
      </w:r>
      <w:r w:rsidR="00D67EB8" w:rsidRPr="009118AB">
        <w:rPr>
          <w:i/>
          <w:iCs/>
          <w:spacing w:val="-2"/>
        </w:rPr>
        <w:t>§ </w:t>
      </w:r>
      <w:r w:rsidRPr="009118AB">
        <w:rPr>
          <w:i/>
          <w:iCs/>
          <w:spacing w:val="-2"/>
        </w:rPr>
        <w:t xml:space="preserve">5 ersetzt durch </w:t>
      </w:r>
      <w:r w:rsidR="00D67EB8" w:rsidRPr="009118AB">
        <w:rPr>
          <w:i/>
          <w:iCs/>
          <w:spacing w:val="-2"/>
        </w:rPr>
        <w:t>Art. </w:t>
      </w:r>
      <w:r w:rsidRPr="009118AB">
        <w:rPr>
          <w:i/>
          <w:iCs/>
          <w:spacing w:val="-2"/>
        </w:rPr>
        <w:t xml:space="preserve">28 </w:t>
      </w:r>
      <w:r w:rsidR="00D67EB8" w:rsidRPr="009118AB">
        <w:rPr>
          <w:i/>
          <w:iCs/>
          <w:spacing w:val="-2"/>
        </w:rPr>
        <w:t>Nr. </w:t>
      </w:r>
      <w:r w:rsidRPr="009118AB">
        <w:rPr>
          <w:i/>
          <w:iCs/>
          <w:spacing w:val="-2"/>
        </w:rPr>
        <w:t xml:space="preserve">2 des G. (I) vom 27. Dezember 2006 </w:t>
      </w:r>
      <w:r w:rsidR="00805DA6" w:rsidRPr="009118AB">
        <w:rPr>
          <w:i/>
          <w:iCs/>
          <w:spacing w:val="-2"/>
        </w:rPr>
        <w:t xml:space="preserve">(I) </w:t>
      </w:r>
      <w:r w:rsidRPr="009118AB">
        <w:rPr>
          <w:i/>
          <w:iCs/>
          <w:spacing w:val="-2"/>
        </w:rPr>
        <w:t>(B.S. vom 28. Dezember 2006)</w:t>
      </w:r>
      <w:r w:rsidR="00D67EB8" w:rsidRPr="009118AB">
        <w:rPr>
          <w:i/>
          <w:iCs/>
          <w:spacing w:val="-2"/>
        </w:rPr>
        <w:t> - </w:t>
      </w:r>
      <w:r w:rsidRPr="009118AB">
        <w:rPr>
          <w:i/>
          <w:iCs/>
          <w:spacing w:val="-2"/>
        </w:rPr>
        <w:t>anwendbar ab dem Steuerjahr 2008</w:t>
      </w:r>
      <w:r w:rsidR="003366D9" w:rsidRPr="009118AB">
        <w:rPr>
          <w:i/>
          <w:iCs/>
          <w:spacing w:val="-2"/>
        </w:rPr>
        <w:t> -;</w:t>
      </w:r>
      <w:r w:rsidRPr="009118AB">
        <w:rPr>
          <w:i/>
          <w:iCs/>
          <w:spacing w:val="-2"/>
        </w:rPr>
        <w:t xml:space="preserve"> </w:t>
      </w:r>
      <w:r w:rsidR="00D67EB8" w:rsidRPr="009118AB">
        <w:rPr>
          <w:i/>
          <w:iCs/>
          <w:spacing w:val="-2"/>
        </w:rPr>
        <w:t>§ </w:t>
      </w:r>
      <w:r w:rsidRPr="009118AB">
        <w:rPr>
          <w:i/>
          <w:iCs/>
          <w:spacing w:val="-2"/>
        </w:rPr>
        <w:t xml:space="preserve">6 abgeändert durch </w:t>
      </w:r>
      <w:r w:rsidR="00D67EB8" w:rsidRPr="009118AB">
        <w:rPr>
          <w:i/>
          <w:iCs/>
          <w:spacing w:val="-2"/>
        </w:rPr>
        <w:t>Art. </w:t>
      </w:r>
      <w:r w:rsidRPr="009118AB">
        <w:rPr>
          <w:i/>
          <w:iCs/>
          <w:spacing w:val="-2"/>
        </w:rPr>
        <w:t xml:space="preserve">28 </w:t>
      </w:r>
      <w:r w:rsidR="00D67EB8" w:rsidRPr="009118AB">
        <w:rPr>
          <w:i/>
          <w:iCs/>
          <w:spacing w:val="-2"/>
        </w:rPr>
        <w:t>Nr. </w:t>
      </w:r>
      <w:r w:rsidRPr="009118AB">
        <w:rPr>
          <w:i/>
          <w:iCs/>
          <w:spacing w:val="-2"/>
        </w:rPr>
        <w:t>3 des G. (I) vom 27. Dezember 2006</w:t>
      </w:r>
      <w:r w:rsidR="00805DA6" w:rsidRPr="009118AB">
        <w:rPr>
          <w:i/>
          <w:iCs/>
          <w:spacing w:val="-2"/>
        </w:rPr>
        <w:t xml:space="preserve"> (I)</w:t>
      </w:r>
      <w:r w:rsidRPr="009118AB">
        <w:rPr>
          <w:i/>
          <w:iCs/>
          <w:spacing w:val="-2"/>
        </w:rPr>
        <w:t xml:space="preserve"> (B.S. vom 28. Dezember 2006)</w:t>
      </w:r>
      <w:r w:rsidR="00D67EB8" w:rsidRPr="009118AB">
        <w:rPr>
          <w:i/>
          <w:iCs/>
          <w:spacing w:val="-2"/>
        </w:rPr>
        <w:t> - </w:t>
      </w:r>
      <w:r w:rsidRPr="009118AB">
        <w:rPr>
          <w:i/>
          <w:iCs/>
          <w:spacing w:val="-2"/>
        </w:rPr>
        <w:t>anwendbar ab dem Steuerjahr 2008</w:t>
      </w:r>
      <w:r w:rsidR="00FD68E8" w:rsidRPr="009118AB">
        <w:rPr>
          <w:i/>
          <w:iCs/>
          <w:spacing w:val="-2"/>
        </w:rPr>
        <w:t> -]</w:t>
      </w:r>
    </w:p>
    <w:p w14:paraId="4D960948" w14:textId="77777777" w:rsidR="00C63632" w:rsidRPr="009118AB" w:rsidRDefault="00C63632" w:rsidP="00477B8F">
      <w:pPr>
        <w:autoSpaceDE w:val="0"/>
        <w:autoSpaceDN w:val="0"/>
        <w:adjustRightInd w:val="0"/>
        <w:jc w:val="both"/>
      </w:pPr>
    </w:p>
    <w:p w14:paraId="0FEEED6B" w14:textId="77777777" w:rsidR="00A35B03" w:rsidRPr="009118AB" w:rsidRDefault="00A35B03" w:rsidP="00477B8F">
      <w:pPr>
        <w:autoSpaceDE w:val="0"/>
        <w:autoSpaceDN w:val="0"/>
        <w:adjustRightInd w:val="0"/>
        <w:jc w:val="both"/>
      </w:pPr>
    </w:p>
    <w:p w14:paraId="5C16E8AD" w14:textId="77777777" w:rsidR="00477B8F" w:rsidRPr="009118AB" w:rsidRDefault="00477B8F" w:rsidP="00477B8F">
      <w:pPr>
        <w:autoSpaceDE w:val="0"/>
        <w:autoSpaceDN w:val="0"/>
        <w:adjustRightInd w:val="0"/>
        <w:jc w:val="both"/>
      </w:pPr>
      <w:r w:rsidRPr="009118AB">
        <w:tab/>
        <w:t>[1</w:t>
      </w:r>
      <w:r w:rsidRPr="009118AB">
        <w:rPr>
          <w:i/>
          <w:iCs/>
        </w:rPr>
        <w:t>bis</w:t>
      </w:r>
      <w:r w:rsidRPr="009118AB">
        <w:t>. Betriebspraktikum</w:t>
      </w:r>
    </w:p>
    <w:p w14:paraId="75E927A3" w14:textId="77777777" w:rsidR="00477B8F" w:rsidRPr="009118AB" w:rsidRDefault="00477B8F" w:rsidP="00477B8F">
      <w:pPr>
        <w:autoSpaceDE w:val="0"/>
        <w:autoSpaceDN w:val="0"/>
        <w:adjustRightInd w:val="0"/>
        <w:jc w:val="both"/>
      </w:pPr>
    </w:p>
    <w:p w14:paraId="0CA27C8C" w14:textId="6092DDE0" w:rsidR="00477B8F" w:rsidRPr="009118AB" w:rsidRDefault="00477B8F" w:rsidP="00477B8F">
      <w:pPr>
        <w:autoSpaceDE w:val="0"/>
        <w:autoSpaceDN w:val="0"/>
        <w:adjustRightInd w:val="0"/>
        <w:jc w:val="both"/>
        <w:rPr>
          <w:i/>
          <w:iCs/>
        </w:rPr>
      </w:pPr>
      <w:r w:rsidRPr="009118AB">
        <w:rPr>
          <w:i/>
          <w:iCs/>
        </w:rPr>
        <w:t xml:space="preserve">[Unterteilung 1bis mit </w:t>
      </w:r>
      <w:r w:rsidR="00D67EB8" w:rsidRPr="009118AB">
        <w:rPr>
          <w:i/>
          <w:iCs/>
        </w:rPr>
        <w:t>Art. </w:t>
      </w:r>
      <w:r w:rsidRPr="009118AB">
        <w:rPr>
          <w:i/>
          <w:iCs/>
        </w:rPr>
        <w:t xml:space="preserve">67bis eingefügt durch </w:t>
      </w:r>
      <w:r w:rsidR="00D67EB8" w:rsidRPr="009118AB">
        <w:rPr>
          <w:i/>
          <w:iCs/>
        </w:rPr>
        <w:t>Art. </w:t>
      </w:r>
      <w:r w:rsidRPr="009118AB">
        <w:rPr>
          <w:i/>
          <w:iCs/>
        </w:rPr>
        <w:t>92 des G. vom 23. Dezember 2005 (B.S.</w:t>
      </w:r>
      <w:r w:rsidR="0095015A" w:rsidRPr="009118AB">
        <w:rPr>
          <w:i/>
          <w:iCs/>
        </w:rPr>
        <w:t> </w:t>
      </w:r>
      <w:r w:rsidRPr="009118AB">
        <w:rPr>
          <w:i/>
          <w:iCs/>
        </w:rPr>
        <w:t>vom 30. Dezember 2005)</w:t>
      </w:r>
      <w:r w:rsidR="00D67EB8" w:rsidRPr="009118AB">
        <w:rPr>
          <w:i/>
          <w:iCs/>
        </w:rPr>
        <w:t> - </w:t>
      </w:r>
      <w:r w:rsidRPr="009118AB">
        <w:rPr>
          <w:i/>
          <w:iCs/>
        </w:rPr>
        <w:t>anwendbar auf die ab dem 1</w:t>
      </w:r>
      <w:r w:rsidR="007D784C" w:rsidRPr="009118AB">
        <w:rPr>
          <w:i/>
          <w:iCs/>
        </w:rPr>
        <w:t>. Januar 2006 getragenen Kosten</w:t>
      </w:r>
      <w:r w:rsidR="00FD68E8" w:rsidRPr="009118AB">
        <w:rPr>
          <w:i/>
          <w:iCs/>
        </w:rPr>
        <w:t> -]</w:t>
      </w:r>
    </w:p>
    <w:p w14:paraId="5090C2BA" w14:textId="77777777" w:rsidR="00477B8F" w:rsidRPr="009118AB" w:rsidRDefault="00477B8F" w:rsidP="00477B8F">
      <w:pPr>
        <w:autoSpaceDE w:val="0"/>
        <w:autoSpaceDN w:val="0"/>
        <w:adjustRightInd w:val="0"/>
        <w:jc w:val="both"/>
      </w:pPr>
    </w:p>
    <w:p w14:paraId="5C8B386E" w14:textId="77777777" w:rsidR="00477B8F" w:rsidRPr="009118AB" w:rsidRDefault="00477B8F" w:rsidP="00477B8F">
      <w:pPr>
        <w:autoSpaceDE w:val="0"/>
        <w:autoSpaceDN w:val="0"/>
        <w:adjustRightInd w:val="0"/>
        <w:jc w:val="both"/>
      </w:pPr>
    </w:p>
    <w:p w14:paraId="6400AC26" w14:textId="6F98A07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67</w:t>
      </w:r>
      <w:r w:rsidRPr="009118AB">
        <w:rPr>
          <w:b/>
          <w:bCs/>
          <w:i/>
          <w:iCs/>
        </w:rPr>
        <w:t>bis</w:t>
      </w:r>
      <w:r w:rsidR="00D67EB8" w:rsidRPr="009118AB">
        <w:t> - </w:t>
      </w:r>
      <w:r w:rsidRPr="009118AB">
        <w:t xml:space="preserve">Gewinne und Profite sind steuerfrei </w:t>
      </w:r>
      <w:r w:rsidR="00A351A7" w:rsidRPr="009118AB">
        <w:t>[in Höhe von 40 Prozent]</w:t>
      </w:r>
      <w:r w:rsidRPr="009118AB">
        <w:t xml:space="preserve"> der Entlohnungen, die aufgrund von Artikel 52 </w:t>
      </w:r>
      <w:r w:rsidR="00D67EB8" w:rsidRPr="009118AB">
        <w:t>Nr. </w:t>
      </w:r>
      <w:r w:rsidRPr="009118AB">
        <w:t>3 als Werbungskosten abgezogen werden und Arbeitnehmern gezahlt oder zuerkannt werden, für die der Arbeitgeber, der diese Werbungskosten trägt, den in Artikel 58 des Gesetzes vom 23. Dezember 2005 über den Solidaritätspakt zwischen den Generationen erwähnten Praktikumsbonus erhält.</w:t>
      </w:r>
    </w:p>
    <w:p w14:paraId="08D925FE" w14:textId="77777777" w:rsidR="00477B8F" w:rsidRPr="009118AB" w:rsidRDefault="00477B8F" w:rsidP="00477B8F">
      <w:pPr>
        <w:autoSpaceDE w:val="0"/>
        <w:autoSpaceDN w:val="0"/>
        <w:adjustRightInd w:val="0"/>
        <w:jc w:val="both"/>
      </w:pPr>
    </w:p>
    <w:p w14:paraId="0D93423D" w14:textId="77777777" w:rsidR="00477B8F" w:rsidRPr="009118AB" w:rsidRDefault="00477B8F" w:rsidP="00477B8F">
      <w:pPr>
        <w:autoSpaceDE w:val="0"/>
        <w:autoSpaceDN w:val="0"/>
        <w:adjustRightInd w:val="0"/>
        <w:jc w:val="both"/>
      </w:pPr>
      <w:r w:rsidRPr="009118AB">
        <w:tab/>
        <w:t>Der König bestimmt durch einen im Ministerrat beratenen Erlass die Modalitäten der Anwendung des vorliegenden Artikels.]</w:t>
      </w:r>
    </w:p>
    <w:p w14:paraId="6560E424" w14:textId="77777777" w:rsidR="00A351A7" w:rsidRPr="009118AB" w:rsidRDefault="00A351A7" w:rsidP="00477B8F">
      <w:pPr>
        <w:autoSpaceDE w:val="0"/>
        <w:autoSpaceDN w:val="0"/>
        <w:adjustRightInd w:val="0"/>
        <w:jc w:val="both"/>
      </w:pPr>
    </w:p>
    <w:p w14:paraId="511D2BF1" w14:textId="063D6643" w:rsidR="00A351A7" w:rsidRPr="009118AB" w:rsidRDefault="00A351A7" w:rsidP="00477B8F">
      <w:pPr>
        <w:autoSpaceDE w:val="0"/>
        <w:autoSpaceDN w:val="0"/>
        <w:adjustRightInd w:val="0"/>
        <w:jc w:val="both"/>
        <w:rPr>
          <w:i/>
        </w:rPr>
      </w:pPr>
      <w:r w:rsidRPr="009118AB">
        <w:rPr>
          <w:i/>
        </w:rPr>
        <w:t>[</w:t>
      </w:r>
      <w:r w:rsidR="00D67EB8" w:rsidRPr="009118AB">
        <w:rPr>
          <w:i/>
        </w:rPr>
        <w:t>Art. </w:t>
      </w:r>
      <w:r w:rsidRPr="009118AB">
        <w:rPr>
          <w:i/>
        </w:rPr>
        <w:t xml:space="preserve">67bis </w:t>
      </w:r>
      <w:r w:rsidR="00D67EB8" w:rsidRPr="009118AB">
        <w:rPr>
          <w:i/>
        </w:rPr>
        <w:t>Abs. </w:t>
      </w:r>
      <w:r w:rsidR="00FD081A" w:rsidRPr="009118AB">
        <w:rPr>
          <w:i/>
        </w:rPr>
        <w:t xml:space="preserve">1 </w:t>
      </w:r>
      <w:r w:rsidRPr="009118AB">
        <w:rPr>
          <w:i/>
        </w:rPr>
        <w:t xml:space="preserve">abgeändert durch </w:t>
      </w:r>
      <w:r w:rsidR="00D67EB8" w:rsidRPr="009118AB">
        <w:rPr>
          <w:i/>
        </w:rPr>
        <w:t>Art. </w:t>
      </w:r>
      <w:r w:rsidRPr="009118AB">
        <w:rPr>
          <w:i/>
        </w:rPr>
        <w:t>49 des G. (I) vom 26. Dezember 2013 (II) (B.S. vom 31. Dezember 2013)</w:t>
      </w:r>
      <w:r w:rsidR="00D67EB8" w:rsidRPr="009118AB">
        <w:rPr>
          <w:i/>
        </w:rPr>
        <w:t> - </w:t>
      </w:r>
      <w:r w:rsidR="00005AA3" w:rsidRPr="009118AB">
        <w:rPr>
          <w:i/>
        </w:rPr>
        <w:t>in Kraft ab dem 1. Januar 2014</w:t>
      </w:r>
      <w:r w:rsidR="00FD68E8" w:rsidRPr="009118AB">
        <w:rPr>
          <w:i/>
        </w:rPr>
        <w:t> -]</w:t>
      </w:r>
    </w:p>
    <w:p w14:paraId="672BA7D9" w14:textId="77777777" w:rsidR="007B56E5" w:rsidRPr="009118AB" w:rsidRDefault="007B56E5" w:rsidP="00477B8F">
      <w:pPr>
        <w:autoSpaceDE w:val="0"/>
        <w:autoSpaceDN w:val="0"/>
        <w:adjustRightInd w:val="0"/>
        <w:jc w:val="both"/>
      </w:pPr>
    </w:p>
    <w:p w14:paraId="10D30DDF" w14:textId="77777777" w:rsidR="007B56E5" w:rsidRPr="009118AB" w:rsidRDefault="007B56E5" w:rsidP="00477B8F">
      <w:pPr>
        <w:autoSpaceDE w:val="0"/>
        <w:autoSpaceDN w:val="0"/>
        <w:adjustRightInd w:val="0"/>
        <w:jc w:val="both"/>
      </w:pPr>
    </w:p>
    <w:p w14:paraId="0BC7D5EB" w14:textId="77777777" w:rsidR="007B56E5" w:rsidRPr="009118AB" w:rsidRDefault="007B56E5" w:rsidP="007B56E5">
      <w:pPr>
        <w:jc w:val="both"/>
      </w:pPr>
      <w:r w:rsidRPr="009118AB">
        <w:tab/>
        <w:t>[1</w:t>
      </w:r>
      <w:r w:rsidRPr="009118AB">
        <w:rPr>
          <w:i/>
        </w:rPr>
        <w:t>ter</w:t>
      </w:r>
      <w:r w:rsidRPr="009118AB">
        <w:t>. Zusatzpersonal</w:t>
      </w:r>
    </w:p>
    <w:p w14:paraId="0C664ACD" w14:textId="77777777" w:rsidR="007B56E5" w:rsidRPr="009118AB" w:rsidRDefault="007B56E5" w:rsidP="007B56E5">
      <w:pPr>
        <w:jc w:val="both"/>
      </w:pPr>
    </w:p>
    <w:p w14:paraId="4B505750" w14:textId="28A38FB8" w:rsidR="007B56E5" w:rsidRPr="009118AB" w:rsidRDefault="007B56E5" w:rsidP="007B56E5">
      <w:pPr>
        <w:jc w:val="both"/>
        <w:rPr>
          <w:i/>
        </w:rPr>
      </w:pPr>
      <w:r w:rsidRPr="009118AB">
        <w:rPr>
          <w:i/>
        </w:rPr>
        <w:t xml:space="preserve">[Unterteilung 1ter mit </w:t>
      </w:r>
      <w:r w:rsidR="00D67EB8" w:rsidRPr="009118AB">
        <w:rPr>
          <w:i/>
        </w:rPr>
        <w:t>Art. </w:t>
      </w:r>
      <w:r w:rsidRPr="009118AB">
        <w:rPr>
          <w:i/>
        </w:rPr>
        <w:t xml:space="preserve">67ter eingefügt durch </w:t>
      </w:r>
      <w:r w:rsidR="00D67EB8" w:rsidRPr="009118AB">
        <w:rPr>
          <w:i/>
        </w:rPr>
        <w:t>Art. </w:t>
      </w:r>
      <w:r w:rsidRPr="009118AB">
        <w:rPr>
          <w:i/>
        </w:rPr>
        <w:t>61 des G. vom 8. Juni 2008 (B.S. vom 16. Juni 2008)</w:t>
      </w:r>
      <w:r w:rsidR="00D67EB8" w:rsidRPr="009118AB">
        <w:rPr>
          <w:i/>
        </w:rPr>
        <w:t> - </w:t>
      </w:r>
      <w:r w:rsidRPr="009118AB">
        <w:rPr>
          <w:i/>
        </w:rPr>
        <w:t>wirksam mit 1. Januar 2008</w:t>
      </w:r>
      <w:r w:rsidR="00FD68E8" w:rsidRPr="009118AB">
        <w:rPr>
          <w:i/>
        </w:rPr>
        <w:t> -]</w:t>
      </w:r>
    </w:p>
    <w:p w14:paraId="643284C8" w14:textId="77777777" w:rsidR="007B56E5" w:rsidRPr="009118AB" w:rsidRDefault="007B56E5" w:rsidP="007B56E5">
      <w:pPr>
        <w:jc w:val="both"/>
        <w:rPr>
          <w:i/>
        </w:rPr>
      </w:pPr>
    </w:p>
    <w:p w14:paraId="011CDC01" w14:textId="77777777" w:rsidR="007B56E5" w:rsidRPr="009118AB" w:rsidRDefault="007B56E5" w:rsidP="007B56E5">
      <w:pPr>
        <w:jc w:val="both"/>
      </w:pPr>
    </w:p>
    <w:p w14:paraId="4B30C2B1" w14:textId="3CA08C26" w:rsidR="007B56E5" w:rsidRPr="009118AB" w:rsidRDefault="007B56E5" w:rsidP="007B56E5">
      <w:pPr>
        <w:jc w:val="both"/>
        <w:rPr>
          <w:spacing w:val="-2"/>
        </w:rPr>
      </w:pPr>
      <w:r w:rsidRPr="009118AB">
        <w:rPr>
          <w:spacing w:val="-2"/>
        </w:rPr>
        <w:tab/>
      </w:r>
      <w:r w:rsidR="00D67EB8" w:rsidRPr="009118AB">
        <w:rPr>
          <w:b/>
          <w:spacing w:val="-2"/>
        </w:rPr>
        <w:t>Art. </w:t>
      </w:r>
      <w:r w:rsidRPr="009118AB">
        <w:rPr>
          <w:b/>
          <w:spacing w:val="-2"/>
        </w:rPr>
        <w:t>67</w:t>
      </w:r>
      <w:r w:rsidRPr="009118AB">
        <w:rPr>
          <w:b/>
          <w:i/>
          <w:spacing w:val="-2"/>
        </w:rPr>
        <w:t>ter</w:t>
      </w:r>
      <w:r w:rsidR="00D67EB8" w:rsidRPr="009118AB">
        <w:rPr>
          <w:spacing w:val="-2"/>
        </w:rPr>
        <w:t> - § </w:t>
      </w:r>
      <w:r w:rsidRPr="009118AB">
        <w:rPr>
          <w:spacing w:val="-2"/>
        </w:rPr>
        <w:t>1</w:t>
      </w:r>
      <w:r w:rsidR="00D67EB8" w:rsidRPr="009118AB">
        <w:rPr>
          <w:spacing w:val="-2"/>
        </w:rPr>
        <w:t> - </w:t>
      </w:r>
      <w:r w:rsidRPr="009118AB">
        <w:rPr>
          <w:spacing w:val="-2"/>
        </w:rPr>
        <w:t>Gewinne und Profite von Steuerpflichtigen, die am 31. Dezem</w:t>
      </w:r>
      <w:r w:rsidRPr="009118AB">
        <w:rPr>
          <w:spacing w:val="-2"/>
        </w:rPr>
        <w:softHyphen/>
        <w:t xml:space="preserve">ber 1997 oder am Ende des Jahres, in dem die Ausübung ihrer Berufstätigkeit begann, wenn dieses Datum später liegt, weniger als elf Arbeitnehmer im Sinne von Artikel 30 </w:t>
      </w:r>
      <w:r w:rsidR="00D67EB8" w:rsidRPr="009118AB">
        <w:rPr>
          <w:spacing w:val="-2"/>
        </w:rPr>
        <w:t>Nr. </w:t>
      </w:r>
      <w:r w:rsidRPr="009118AB">
        <w:rPr>
          <w:spacing w:val="-2"/>
        </w:rPr>
        <w:t>1 beschäftigen, sind steuerfrei bis zu einem Betrag von 3.720 EUR pro in Belgien beschäftigte Zusatz</w:t>
      </w:r>
      <w:r w:rsidR="0095015A" w:rsidRPr="009118AB">
        <w:rPr>
          <w:spacing w:val="-2"/>
        </w:rPr>
        <w:softHyphen/>
      </w:r>
      <w:r w:rsidRPr="009118AB">
        <w:rPr>
          <w:spacing w:val="-2"/>
        </w:rPr>
        <w:t xml:space="preserve">personaleinheit, deren Bruttotageslohn oder </w:t>
      </w:r>
      <w:r w:rsidRPr="009118AB">
        <w:rPr>
          <w:spacing w:val="-2"/>
        </w:rPr>
        <w:noBreakHyphen/>
        <w:t xml:space="preserve">stundenlohn 90,32 beziehungsweise 11,88 EUR nicht übersteigt. Der König kann den Betrag des Bruttotageslohns oder </w:t>
      </w:r>
      <w:r w:rsidRPr="009118AB">
        <w:rPr>
          <w:spacing w:val="-2"/>
        </w:rPr>
        <w:noBreakHyphen/>
        <w:t>stundenlohns durch einen im Ministerrat beratenen Erlass auf 100 beziehungsweise 13 EUR erhöhen.</w:t>
      </w:r>
    </w:p>
    <w:p w14:paraId="28A9E036" w14:textId="77777777" w:rsidR="007B56E5" w:rsidRPr="009118AB" w:rsidRDefault="007B56E5" w:rsidP="007B56E5">
      <w:pPr>
        <w:jc w:val="both"/>
      </w:pPr>
    </w:p>
    <w:p w14:paraId="180B49BE" w14:textId="73EC322C" w:rsidR="007B56E5" w:rsidRPr="009118AB" w:rsidRDefault="007B56E5" w:rsidP="007B56E5">
      <w:pPr>
        <w:jc w:val="both"/>
      </w:pPr>
      <w:r w:rsidRPr="009118AB">
        <w:tab/>
      </w:r>
      <w:r w:rsidR="00D67EB8" w:rsidRPr="009118AB">
        <w:t>§ </w:t>
      </w:r>
      <w:r w:rsidRPr="009118AB">
        <w:t>2</w:t>
      </w:r>
      <w:r w:rsidR="00D67EB8" w:rsidRPr="009118AB">
        <w:t> - </w:t>
      </w:r>
      <w:r w:rsidRPr="009118AB">
        <w:t>Die Anzahl in Belgien beschäftigter Zusatzpersonaleinheiten wird festgelegt durch einen Vergleich zwischen dem durchschnittlichen Personalbestand des Steuerpflich</w:t>
      </w:r>
      <w:r w:rsidRPr="009118AB">
        <w:softHyphen/>
        <w:t>tigen im Kalenderjahr vor dem Jahr, dessen Jahreszahl das Steuerjahr bestimmt, und dem des vorhergehenden Kalenderjahres oder</w:t>
      </w:r>
      <w:r w:rsidR="00D67EB8" w:rsidRPr="009118AB">
        <w:t> - </w:t>
      </w:r>
      <w:r w:rsidRPr="009118AB">
        <w:t>für natürliche Personen, die eine andere Buchhaltung als pro Kalenderjahr führen und ihr Geschäftsjahr vor dem 31. Dezember abschließen</w:t>
      </w:r>
      <w:r w:rsidR="00D67EB8" w:rsidRPr="009118AB">
        <w:t> - </w:t>
      </w:r>
      <w:r w:rsidRPr="009118AB">
        <w:t xml:space="preserve">durch einen Vergleich zwischen dem durchschnittlichen Personalbestand des Steuerpflichtigen im </w:t>
      </w:r>
      <w:r w:rsidRPr="009118AB">
        <w:lastRenderedPageBreak/>
        <w:t>vorletzten Kalenderjahr vor dem Jahr, dessen Jahreszahl das Steuerjahr bestimmt, und dem des vorhergehenden Kalenderjahres.</w:t>
      </w:r>
    </w:p>
    <w:p w14:paraId="0418B480" w14:textId="77777777" w:rsidR="007B56E5" w:rsidRPr="009118AB" w:rsidRDefault="007B56E5" w:rsidP="007B56E5">
      <w:pPr>
        <w:jc w:val="both"/>
      </w:pPr>
    </w:p>
    <w:p w14:paraId="42D14800" w14:textId="479455FA" w:rsidR="007B56E5" w:rsidRPr="009118AB" w:rsidRDefault="007B56E5" w:rsidP="007B56E5">
      <w:pPr>
        <w:jc w:val="both"/>
      </w:pPr>
      <w:r w:rsidRPr="009118AB">
        <w:tab/>
        <w:t>Nicht berücksichtigt wird jedoch der Personalzuwachs aufgrund der Übernahme von Arbeitnehmern, die bereits vor dem 1. Januar 1998 angestellt waren durch ein Unternehmen, dem gegenüber der Steuerpflichtige sich direkt in einem Verhältnis gegenseitiger Abhängig</w:t>
      </w:r>
      <w:r w:rsidRPr="009118AB">
        <w:softHyphen/>
        <w:t xml:space="preserve">keit befindet, oder durch einen Steuerpflichtigen, dessen Berufstätigkeit er ganz oder teilweise fortsetzt infolge eines nicht in </w:t>
      </w:r>
      <w:r w:rsidR="00D67EB8" w:rsidRPr="009118AB">
        <w:t>§ </w:t>
      </w:r>
      <w:r w:rsidRPr="009118AB">
        <w:t>5 erwähnten Umstandes.</w:t>
      </w:r>
    </w:p>
    <w:p w14:paraId="71C3F5FF" w14:textId="77777777" w:rsidR="007B56E5" w:rsidRPr="009118AB" w:rsidRDefault="007B56E5" w:rsidP="007B56E5">
      <w:pPr>
        <w:jc w:val="both"/>
      </w:pPr>
    </w:p>
    <w:p w14:paraId="05C13B37" w14:textId="08AD3067" w:rsidR="007B56E5" w:rsidRPr="009118AB" w:rsidRDefault="007B56E5" w:rsidP="007B56E5">
      <w:pPr>
        <w:jc w:val="both"/>
      </w:pPr>
      <w:r w:rsidRPr="009118AB">
        <w:tab/>
      </w:r>
      <w:r w:rsidR="00D67EB8" w:rsidRPr="009118AB">
        <w:t>§ </w:t>
      </w:r>
      <w:r w:rsidRPr="009118AB">
        <w:t>3</w:t>
      </w:r>
      <w:r w:rsidR="00D67EB8" w:rsidRPr="009118AB">
        <w:t> - </w:t>
      </w:r>
      <w:r w:rsidRPr="009118AB">
        <w:t>Wird der durchschnittliche Personalbestand im Laufe des Jahres nach der Steuer</w:t>
      </w:r>
      <w:r w:rsidRPr="009118AB">
        <w:softHyphen/>
        <w:t xml:space="preserve">befreiung im Vergleich zum Jahr der Steuerbefreiung verringert, wird der Gesamtbetrag der vorher aufgrund von </w:t>
      </w:r>
      <w:r w:rsidR="00D67EB8" w:rsidRPr="009118AB">
        <w:t>§ </w:t>
      </w:r>
      <w:r w:rsidRPr="009118AB">
        <w:t>1 steuerfreien Gewinne oder Profite jedoch pro fehlende Personal</w:t>
      </w:r>
      <w:r w:rsidRPr="009118AB">
        <w:softHyphen/>
        <w:t>einheit um 3.720 EUR verringert; in diesem Fall gelten die vorher steuerfreien Gewinne oder Profite als Gewinne oder Profite des folgenden Besteuerungszeitraums.</w:t>
      </w:r>
    </w:p>
    <w:p w14:paraId="61095EF5" w14:textId="77777777" w:rsidR="007B56E5" w:rsidRPr="009118AB" w:rsidRDefault="007B56E5" w:rsidP="007B56E5">
      <w:pPr>
        <w:jc w:val="both"/>
      </w:pPr>
    </w:p>
    <w:p w14:paraId="3F8CBCC3" w14:textId="2C116803" w:rsidR="007B56E5" w:rsidRPr="009118AB" w:rsidRDefault="007B56E5" w:rsidP="007B56E5">
      <w:pPr>
        <w:jc w:val="both"/>
      </w:pPr>
      <w:r w:rsidRPr="009118AB">
        <w:tab/>
        <w:t>Absatz 1 ist nicht anwendbar, wenn und in dem Maße, wie der Betreffende beweist, dass die Zusatzbeschäftigung im darauf folgenden Jahr durch den Arbeitgeber, der sein Perso</w:t>
      </w:r>
      <w:r w:rsidRPr="009118AB">
        <w:softHyphen/>
        <w:t xml:space="preserve">nal unter den in </w:t>
      </w:r>
      <w:r w:rsidR="00D67EB8" w:rsidRPr="009118AB">
        <w:t>§ </w:t>
      </w:r>
      <w:r w:rsidRPr="009118AB">
        <w:t>2 Absatz 2 erwähnten Umständen übernommen hat, beibehalten wurde.</w:t>
      </w:r>
    </w:p>
    <w:p w14:paraId="153263ED" w14:textId="77777777" w:rsidR="007B56E5" w:rsidRPr="009118AB" w:rsidRDefault="007B56E5" w:rsidP="007B56E5">
      <w:pPr>
        <w:jc w:val="both"/>
      </w:pPr>
    </w:p>
    <w:p w14:paraId="493041D4" w14:textId="1C31E023" w:rsidR="007B56E5" w:rsidRPr="009118AB" w:rsidRDefault="007B56E5" w:rsidP="007B56E5">
      <w:pPr>
        <w:jc w:val="both"/>
      </w:pPr>
      <w:r w:rsidRPr="009118AB">
        <w:tab/>
      </w:r>
      <w:r w:rsidR="00D67EB8" w:rsidRPr="009118AB">
        <w:t>§ </w:t>
      </w:r>
      <w:r w:rsidRPr="009118AB">
        <w:t>4</w:t>
      </w:r>
      <w:r w:rsidR="00D67EB8" w:rsidRPr="009118AB">
        <w:t> - </w:t>
      </w:r>
      <w:r w:rsidRPr="009118AB">
        <w:t>Vorliegender Artikel ist nicht anwendbar, wenn der Steuerpflichtige für dieselben Zusatzpersonaleinheiten die Anwendung von Artikel 67 beantragt hat.</w:t>
      </w:r>
    </w:p>
    <w:p w14:paraId="5B5A4DD6" w14:textId="77777777" w:rsidR="007B56E5" w:rsidRPr="009118AB" w:rsidRDefault="007B56E5" w:rsidP="007B56E5">
      <w:pPr>
        <w:jc w:val="both"/>
      </w:pPr>
    </w:p>
    <w:p w14:paraId="3268F332" w14:textId="300833BC" w:rsidR="007B56E5" w:rsidRPr="009118AB" w:rsidRDefault="007B56E5" w:rsidP="007B56E5">
      <w:pPr>
        <w:autoSpaceDE w:val="0"/>
        <w:autoSpaceDN w:val="0"/>
        <w:adjustRightInd w:val="0"/>
        <w:jc w:val="both"/>
      </w:pPr>
      <w:r w:rsidRPr="009118AB">
        <w:tab/>
      </w:r>
      <w:r w:rsidR="00D67EB8" w:rsidRPr="009118AB">
        <w:t>§ </w:t>
      </w:r>
      <w:r w:rsidRPr="009118AB">
        <w:t>5</w:t>
      </w:r>
      <w:r w:rsidR="00D67EB8" w:rsidRPr="009118AB">
        <w:t> - </w:t>
      </w:r>
      <w:r w:rsidRPr="009118AB">
        <w:t>Für Steuerpflichtige, die an Vorgängen wie in den Artikeln 46 und 211 erwähnt beteiligt sind, bleiben die Bestimmungen des vorliegenden Artikels anwendbar, als ob diese Vorgänge nicht stattgefunden hätten.]</w:t>
      </w:r>
    </w:p>
    <w:p w14:paraId="7F468094" w14:textId="77777777" w:rsidR="00477B8F" w:rsidRPr="009118AB" w:rsidRDefault="00477B8F" w:rsidP="00477B8F">
      <w:pPr>
        <w:autoSpaceDE w:val="0"/>
        <w:autoSpaceDN w:val="0"/>
        <w:adjustRightInd w:val="0"/>
        <w:jc w:val="both"/>
      </w:pPr>
    </w:p>
    <w:p w14:paraId="4EBFAF8A" w14:textId="77777777" w:rsidR="00DC317E" w:rsidRPr="009118AB" w:rsidRDefault="00DC317E"/>
    <w:p w14:paraId="2ABE320D" w14:textId="77777777" w:rsidR="00C63632" w:rsidRPr="009118AB" w:rsidRDefault="00DC317E" w:rsidP="00477B8F">
      <w:pPr>
        <w:autoSpaceDE w:val="0"/>
        <w:autoSpaceDN w:val="0"/>
        <w:adjustRightInd w:val="0"/>
        <w:jc w:val="both"/>
      </w:pPr>
      <w:r w:rsidRPr="009118AB">
        <w:tab/>
      </w:r>
      <w:r w:rsidR="00C63632" w:rsidRPr="009118AB">
        <w:t>[1</w:t>
      </w:r>
      <w:r w:rsidR="00C63632" w:rsidRPr="009118AB">
        <w:rPr>
          <w:i/>
        </w:rPr>
        <w:t>quater</w:t>
      </w:r>
      <w:r w:rsidR="00C63632" w:rsidRPr="009118AB">
        <w:t>. Sozialverbindlichkeiten aufgrund des Einheitsstatuts]</w:t>
      </w:r>
    </w:p>
    <w:p w14:paraId="5D92EC4C" w14:textId="77777777" w:rsidR="00C63632" w:rsidRPr="009118AB" w:rsidRDefault="00C63632" w:rsidP="00477B8F">
      <w:pPr>
        <w:autoSpaceDE w:val="0"/>
        <w:autoSpaceDN w:val="0"/>
        <w:adjustRightInd w:val="0"/>
        <w:jc w:val="both"/>
      </w:pPr>
    </w:p>
    <w:p w14:paraId="687FF5B3" w14:textId="4EDD3C49" w:rsidR="00C63632" w:rsidRPr="009118AB" w:rsidRDefault="00C63632" w:rsidP="00C63632">
      <w:pPr>
        <w:jc w:val="both"/>
        <w:rPr>
          <w:i/>
        </w:rPr>
      </w:pPr>
      <w:r w:rsidRPr="009118AB">
        <w:rPr>
          <w:i/>
        </w:rPr>
        <w:t xml:space="preserve">[Unterteilung 1quater eingefügt durch </w:t>
      </w:r>
      <w:r w:rsidR="00D67EB8" w:rsidRPr="009118AB">
        <w:rPr>
          <w:i/>
        </w:rPr>
        <w:t>Art. </w:t>
      </w:r>
      <w:r w:rsidRPr="009118AB">
        <w:rPr>
          <w:i/>
        </w:rPr>
        <w:t>101 des G. vom 26. Dezember 2013</w:t>
      </w:r>
      <w:r w:rsidR="008D4A02" w:rsidRPr="009118AB">
        <w:rPr>
          <w:i/>
        </w:rPr>
        <w:t> (I)</w:t>
      </w:r>
      <w:r w:rsidRPr="009118AB">
        <w:rPr>
          <w:i/>
        </w:rPr>
        <w:t xml:space="preserve"> (B.S. vom 31. Dezember 2013)</w:t>
      </w:r>
      <w:r w:rsidR="00D67EB8" w:rsidRPr="009118AB">
        <w:rPr>
          <w:i/>
        </w:rPr>
        <w:t> - </w:t>
      </w:r>
      <w:r w:rsidRPr="009118AB">
        <w:rPr>
          <w:i/>
        </w:rPr>
        <w:t>in Kraft ab dem 1. Januar 2014</w:t>
      </w:r>
      <w:r w:rsidR="00FD68E8" w:rsidRPr="009118AB">
        <w:rPr>
          <w:i/>
        </w:rPr>
        <w:t> -]</w:t>
      </w:r>
    </w:p>
    <w:p w14:paraId="1001C8EB" w14:textId="77777777" w:rsidR="00C63632" w:rsidRPr="009118AB" w:rsidRDefault="00C63632" w:rsidP="00477B8F">
      <w:pPr>
        <w:autoSpaceDE w:val="0"/>
        <w:autoSpaceDN w:val="0"/>
        <w:adjustRightInd w:val="0"/>
        <w:jc w:val="both"/>
      </w:pPr>
    </w:p>
    <w:p w14:paraId="2F85A0A3" w14:textId="77777777" w:rsidR="00C63632" w:rsidRPr="009118AB" w:rsidRDefault="00C63632" w:rsidP="00477B8F">
      <w:pPr>
        <w:autoSpaceDE w:val="0"/>
        <w:autoSpaceDN w:val="0"/>
        <w:adjustRightInd w:val="0"/>
        <w:jc w:val="both"/>
      </w:pPr>
    </w:p>
    <w:p w14:paraId="347048B5" w14:textId="3F35828E" w:rsidR="00C63632" w:rsidRPr="009118AB" w:rsidRDefault="00C63632" w:rsidP="00C63632">
      <w:pPr>
        <w:ind w:firstLine="708"/>
        <w:jc w:val="both"/>
      </w:pPr>
      <w:r w:rsidRPr="009118AB">
        <w:t>[</w:t>
      </w:r>
      <w:r w:rsidR="00D67EB8" w:rsidRPr="009118AB">
        <w:rPr>
          <w:b/>
        </w:rPr>
        <w:t>Art. </w:t>
      </w:r>
      <w:r w:rsidRPr="009118AB">
        <w:rPr>
          <w:b/>
        </w:rPr>
        <w:t>67</w:t>
      </w:r>
      <w:r w:rsidRPr="009118AB">
        <w:rPr>
          <w:b/>
          <w:i/>
        </w:rPr>
        <w:t>quater</w:t>
      </w:r>
      <w:r w:rsidR="00D67EB8" w:rsidRPr="009118AB">
        <w:t> - </w:t>
      </w:r>
      <w:r w:rsidRPr="009118AB">
        <w:t>Gewinne und Profite sind steuerfrei bis zu einem bestimmten Betrag der Entlohnungen, die Arbeitnehmern zuerkannt werden, die bei dem betreffenden Steuer</w:t>
      </w:r>
      <w:r w:rsidRPr="009118AB">
        <w:softHyphen/>
        <w:t>pflichtigen mindestens fünf Dienstjahre nach dem 1. Januar 2014 aufweisen.</w:t>
      </w:r>
    </w:p>
    <w:p w14:paraId="52A22A22" w14:textId="77777777" w:rsidR="00C63632" w:rsidRPr="009118AB" w:rsidRDefault="00C63632" w:rsidP="00C63632">
      <w:pPr>
        <w:jc w:val="both"/>
      </w:pPr>
    </w:p>
    <w:p w14:paraId="32374726" w14:textId="77777777" w:rsidR="00B92397" w:rsidRPr="009118AB" w:rsidRDefault="00B92397" w:rsidP="00B92397">
      <w:pPr>
        <w:ind w:firstLine="708"/>
        <w:jc w:val="both"/>
      </w:pPr>
      <w:r w:rsidRPr="009118AB">
        <w:t>[Der Betrag der Gewinne und Profite, der für den Besteuerungszeitraum von der Steuer zu befreien ist, beläuft sich pro in Absatz 1 erwähnten Arbeitnehmer auf:</w:t>
      </w:r>
    </w:p>
    <w:p w14:paraId="0DB14CC2" w14:textId="77777777" w:rsidR="00B92397" w:rsidRPr="009118AB" w:rsidRDefault="00B92397" w:rsidP="00B92397">
      <w:pPr>
        <w:jc w:val="both"/>
      </w:pPr>
    </w:p>
    <w:p w14:paraId="65DA5AAF" w14:textId="77777777" w:rsidR="00B92397" w:rsidRPr="009118AB" w:rsidRDefault="00B92397" w:rsidP="00B92397">
      <w:pPr>
        <w:jc w:val="both"/>
      </w:pPr>
      <w:r w:rsidRPr="009118AB">
        <w:tab/>
        <w:t>- drei Wochen Entlohnung vom sechsten bis einschließlich zum zwanzigsten Dienstjahr, das dieser Arbeitnehmer nach dem 1. Januar 2014 begonnen hat,</w:t>
      </w:r>
    </w:p>
    <w:p w14:paraId="04D5CBDC" w14:textId="77777777" w:rsidR="00B92397" w:rsidRPr="009118AB" w:rsidRDefault="00B92397" w:rsidP="00B92397">
      <w:pPr>
        <w:jc w:val="both"/>
      </w:pPr>
    </w:p>
    <w:p w14:paraId="18FA7A0F" w14:textId="77777777" w:rsidR="00C63632" w:rsidRPr="009118AB" w:rsidRDefault="00B92397" w:rsidP="00B92397">
      <w:pPr>
        <w:ind w:firstLine="708"/>
        <w:jc w:val="both"/>
      </w:pPr>
      <w:r w:rsidRPr="009118AB">
        <w:tab/>
        <w:t>- eine Woche Entlohnung ab dem einundzwanzigsten Dienstjahr, das dieser Arbeit</w:t>
      </w:r>
      <w:r w:rsidRPr="009118AB">
        <w:softHyphen/>
        <w:t>nehmer nach dem 1. Januar 2014 begonnen hat.]</w:t>
      </w:r>
    </w:p>
    <w:p w14:paraId="5C2961B2" w14:textId="77777777" w:rsidR="00C63632" w:rsidRPr="009118AB" w:rsidRDefault="00C63632" w:rsidP="00C63632">
      <w:pPr>
        <w:jc w:val="both"/>
      </w:pPr>
    </w:p>
    <w:p w14:paraId="3A95D81C" w14:textId="77777777" w:rsidR="00B92397" w:rsidRPr="009118AB" w:rsidRDefault="00B92397" w:rsidP="00C63632">
      <w:pPr>
        <w:jc w:val="both"/>
      </w:pPr>
      <w:r w:rsidRPr="009118AB">
        <w:tab/>
        <w:t>[Der in Absatz 2 erwähnte Betrag der Gewinne und Profite, der von der Steuer zu befreien ist und gegebenenfalls in Anwendung von Absatz 4 begrenzt wird, wird über den Besteuerungszeitraum und die vier darauf folgenden Besteuerungszeiträume in Höhe von 20 Prozent pro Besteuerungszeitraum verteilt.]</w:t>
      </w:r>
    </w:p>
    <w:p w14:paraId="219079F9" w14:textId="77777777" w:rsidR="00B92397" w:rsidRPr="009118AB" w:rsidRDefault="00B92397" w:rsidP="00C63632">
      <w:pPr>
        <w:jc w:val="both"/>
      </w:pPr>
    </w:p>
    <w:p w14:paraId="3EA40A17" w14:textId="77777777" w:rsidR="00C63632" w:rsidRPr="009118AB" w:rsidRDefault="00C63632" w:rsidP="00C63632">
      <w:pPr>
        <w:ind w:firstLine="708"/>
        <w:jc w:val="both"/>
      </w:pPr>
      <w:r w:rsidRPr="009118AB">
        <w:t xml:space="preserve">Der König kann durch einen im Ministerrat beratenen Erlass </w:t>
      </w:r>
      <w:r w:rsidR="00B92397" w:rsidRPr="009118AB">
        <w:t>[einen Höchstbetrag der monatlichen Bruttoentlohnung pro Arbeitnehmer]</w:t>
      </w:r>
      <w:r w:rsidRPr="009118AB">
        <w:t xml:space="preserve"> in Bezug auf </w:t>
      </w:r>
      <w:r w:rsidR="001D0593" w:rsidRPr="009118AB">
        <w:t>[die in Absatz 2 erwähnte Entlohnung]</w:t>
      </w:r>
      <w:r w:rsidRPr="009118AB">
        <w:t xml:space="preserve">, auf deren Grundlage die Steuerbefreiung berechnet wird, festlegen. </w:t>
      </w:r>
      <w:r w:rsidR="00B92397" w:rsidRPr="009118AB">
        <w:t>[…]</w:t>
      </w:r>
    </w:p>
    <w:p w14:paraId="3623FCE2" w14:textId="77777777" w:rsidR="00C63632" w:rsidRPr="009118AB" w:rsidRDefault="00C63632" w:rsidP="00C63632">
      <w:pPr>
        <w:jc w:val="both"/>
      </w:pPr>
    </w:p>
    <w:p w14:paraId="1DA92C7E" w14:textId="77777777" w:rsidR="00B92397" w:rsidRPr="009118AB" w:rsidRDefault="00B92397" w:rsidP="00B92397">
      <w:pPr>
        <w:jc w:val="both"/>
      </w:pPr>
      <w:r w:rsidRPr="009118AB">
        <w:tab/>
        <w:t xml:space="preserve">[Der König reicht bei der Abgeordnetenkammer, wenn sie versammelt ist, unverzüglich und sonst, sobald die nächste Sitzungsperiode eröffnet ist, einen Gesetzentwurf ein zur Bestätigung der Erlasse zur Ausführung von Absatz 4. Es wird davon ausgegangen, dass diese Erlasse nicht wirksam geworden sind, wenn sie nicht binnen zwölf Monaten nach dem Datum ihrer Veröffentlichung im </w:t>
      </w:r>
      <w:r w:rsidRPr="009118AB">
        <w:rPr>
          <w:i/>
        </w:rPr>
        <w:t>Belgischen Staatsblatt</w:t>
      </w:r>
      <w:r w:rsidRPr="009118AB">
        <w:t xml:space="preserve"> durch Gesetz bestätigt worden sind.</w:t>
      </w:r>
    </w:p>
    <w:p w14:paraId="7E1C8EB3" w14:textId="77777777" w:rsidR="00B92397" w:rsidRPr="009118AB" w:rsidRDefault="00B92397" w:rsidP="00B92397">
      <w:pPr>
        <w:jc w:val="both"/>
      </w:pPr>
    </w:p>
    <w:p w14:paraId="289B5A52" w14:textId="77777777" w:rsidR="00B92397" w:rsidRPr="009118AB" w:rsidRDefault="00B92397" w:rsidP="00B92397">
      <w:pPr>
        <w:jc w:val="both"/>
      </w:pPr>
      <w:r w:rsidRPr="009118AB">
        <w:tab/>
        <w:t>Die zu berücksichtigende monatliche Bruttoentlohnung ist die durchschnittliche monatliche Bruttoentlohnung vor Einbehaltung der persönlichen Sozialversicherungsbeiträge, die auf der Grundlage der Gesamtzahl der Monate des Besteuerungszeitraums berechnet wird, für den die Steuerbefreiung beantragt wird.</w:t>
      </w:r>
    </w:p>
    <w:p w14:paraId="6AE4C7D7" w14:textId="77777777" w:rsidR="00B92397" w:rsidRPr="009118AB" w:rsidRDefault="00B92397" w:rsidP="00B92397">
      <w:pPr>
        <w:jc w:val="both"/>
      </w:pPr>
    </w:p>
    <w:p w14:paraId="65D36AF4" w14:textId="77777777" w:rsidR="00B92397" w:rsidRPr="009118AB" w:rsidRDefault="00B92397" w:rsidP="00B92397">
      <w:pPr>
        <w:jc w:val="both"/>
      </w:pPr>
      <w:r w:rsidRPr="009118AB">
        <w:tab/>
        <w:t>Zur Festlegung der wöchentlichen Entlohnung wird der Höchstbetrag der monatlichen Bruttoentlohnung mit drei multipliziert und durch dreizehn geteilt.]</w:t>
      </w:r>
    </w:p>
    <w:p w14:paraId="7ABB098C" w14:textId="77777777" w:rsidR="00B92397" w:rsidRPr="009118AB" w:rsidRDefault="00B92397" w:rsidP="00C63632">
      <w:pPr>
        <w:jc w:val="both"/>
      </w:pPr>
    </w:p>
    <w:p w14:paraId="746A4A2D" w14:textId="77777777" w:rsidR="00C63632" w:rsidRPr="009118AB" w:rsidRDefault="00C63632" w:rsidP="00C63632">
      <w:pPr>
        <w:ind w:firstLine="708"/>
        <w:jc w:val="both"/>
      </w:pPr>
      <w:r w:rsidRPr="009118AB">
        <w:t>Wenn der betreffende Arbeitnehmer das Unternehmen verlässt, muss der gesamte in Bezug auf diesen Arbeitnehmer bereits von der Steuer befreite Betrag in die Gewinne und Profite des Besteuerungszeitraums, in dem die Beschäftigung endet, aufgenommen werden</w:t>
      </w:r>
      <w:r w:rsidR="00B92397" w:rsidRPr="009118AB">
        <w:t xml:space="preserve"> [und kann der Betrag, der in Bezug auf diesen Arbeitnehmer infolge der in Absatz 3 erwähnten Verteilung noch von der Steuer zu befreien ist, nicht mehr von der Steuer befreit werden]</w:t>
      </w:r>
      <w:r w:rsidRPr="009118AB">
        <w:t>.</w:t>
      </w:r>
    </w:p>
    <w:p w14:paraId="2CAC862D" w14:textId="77777777" w:rsidR="00C63632" w:rsidRPr="009118AB" w:rsidRDefault="00C63632" w:rsidP="00C63632">
      <w:pPr>
        <w:jc w:val="both"/>
      </w:pPr>
    </w:p>
    <w:p w14:paraId="71A4407D" w14:textId="77777777" w:rsidR="00C63632" w:rsidRPr="009118AB" w:rsidRDefault="00C63632" w:rsidP="00C63632">
      <w:pPr>
        <w:ind w:firstLine="708"/>
        <w:jc w:val="both"/>
      </w:pPr>
      <w:r w:rsidRPr="009118AB">
        <w:t>Für Steuerpflichtige, die an Vorgängen wie in den Artikeln 46 und 211 erwähnt beteiligt sind, bleiben die Bestimmungen des vorliegenden Artikels anwendbar, als ob diese Vorgänge nicht stattgefunden hätten.</w:t>
      </w:r>
    </w:p>
    <w:p w14:paraId="454AFAF0" w14:textId="77777777" w:rsidR="00C63632" w:rsidRPr="009118AB" w:rsidRDefault="00C63632" w:rsidP="00C63632">
      <w:pPr>
        <w:jc w:val="both"/>
      </w:pPr>
    </w:p>
    <w:p w14:paraId="6889A905" w14:textId="77777777" w:rsidR="00C63632" w:rsidRPr="009118AB" w:rsidRDefault="00C63632" w:rsidP="00C63632">
      <w:pPr>
        <w:autoSpaceDE w:val="0"/>
        <w:autoSpaceDN w:val="0"/>
        <w:adjustRightInd w:val="0"/>
        <w:jc w:val="both"/>
      </w:pPr>
      <w:r w:rsidRPr="009118AB">
        <w:tab/>
        <w:t>Der König regelt die Ausführung des vorliegenden Artikels.]</w:t>
      </w:r>
    </w:p>
    <w:p w14:paraId="04260ADF" w14:textId="77777777" w:rsidR="00C63632" w:rsidRPr="009118AB" w:rsidRDefault="00C63632" w:rsidP="00C63632">
      <w:pPr>
        <w:autoSpaceDE w:val="0"/>
        <w:autoSpaceDN w:val="0"/>
        <w:adjustRightInd w:val="0"/>
        <w:jc w:val="both"/>
      </w:pPr>
    </w:p>
    <w:p w14:paraId="427BCFA0" w14:textId="010E49D6" w:rsidR="00C63632" w:rsidRPr="009118AB" w:rsidRDefault="00C63632" w:rsidP="00C63632">
      <w:pPr>
        <w:autoSpaceDE w:val="0"/>
        <w:autoSpaceDN w:val="0"/>
        <w:adjustRightInd w:val="0"/>
        <w:jc w:val="both"/>
        <w:rPr>
          <w:i/>
        </w:rPr>
      </w:pPr>
      <w:r w:rsidRPr="009118AB">
        <w:rPr>
          <w:i/>
        </w:rPr>
        <w:t>[</w:t>
      </w:r>
      <w:r w:rsidR="00D67EB8" w:rsidRPr="009118AB">
        <w:rPr>
          <w:i/>
        </w:rPr>
        <w:t>Art. </w:t>
      </w:r>
      <w:r w:rsidRPr="009118AB">
        <w:rPr>
          <w:i/>
        </w:rPr>
        <w:t xml:space="preserve">67quater eingefügt durch </w:t>
      </w:r>
      <w:r w:rsidR="00D67EB8" w:rsidRPr="009118AB">
        <w:rPr>
          <w:i/>
        </w:rPr>
        <w:t>Art. </w:t>
      </w:r>
      <w:r w:rsidR="008D4A02" w:rsidRPr="009118AB">
        <w:rPr>
          <w:i/>
        </w:rPr>
        <w:t>102 des G. vom 26. Dezember 2013 (I)</w:t>
      </w:r>
      <w:r w:rsidRPr="009118AB">
        <w:rPr>
          <w:i/>
        </w:rPr>
        <w:t xml:space="preserve"> (B.S. vom 31. Dezember 2013)</w:t>
      </w:r>
      <w:r w:rsidR="00D67EB8" w:rsidRPr="009118AB">
        <w:rPr>
          <w:i/>
        </w:rPr>
        <w:t> - </w:t>
      </w:r>
      <w:r w:rsidRPr="009118AB">
        <w:rPr>
          <w:i/>
        </w:rPr>
        <w:t>in Kraft ab dem 1. Januar 2014</w:t>
      </w:r>
      <w:r w:rsidR="003366D9" w:rsidRPr="009118AB">
        <w:rPr>
          <w:i/>
        </w:rPr>
        <w:t> -;</w:t>
      </w:r>
      <w:r w:rsidR="001D0593" w:rsidRPr="009118AB">
        <w:rPr>
          <w:i/>
        </w:rPr>
        <w:t xml:space="preserve"> </w:t>
      </w:r>
      <w:r w:rsidR="00D67EB8" w:rsidRPr="009118AB">
        <w:rPr>
          <w:i/>
        </w:rPr>
        <w:t>Abs. </w:t>
      </w:r>
      <w:r w:rsidR="00B92397" w:rsidRPr="009118AB">
        <w:rPr>
          <w:i/>
        </w:rPr>
        <w:t xml:space="preserve">2 ersetzt durch </w:t>
      </w:r>
      <w:r w:rsidR="00D67EB8" w:rsidRPr="009118AB">
        <w:rPr>
          <w:i/>
        </w:rPr>
        <w:t>Art. </w:t>
      </w:r>
      <w:r w:rsidR="00B92397" w:rsidRPr="009118AB">
        <w:rPr>
          <w:i/>
        </w:rPr>
        <w:t xml:space="preserve">2 </w:t>
      </w:r>
      <w:r w:rsidR="00D67EB8" w:rsidRPr="009118AB">
        <w:rPr>
          <w:i/>
        </w:rPr>
        <w:t>Nr. </w:t>
      </w:r>
      <w:r w:rsidR="00B92397" w:rsidRPr="009118AB">
        <w:rPr>
          <w:i/>
        </w:rPr>
        <w:t>1 des G. vom 11. Februar 2019 (B.S. vom 22. März 2019)</w:t>
      </w:r>
      <w:r w:rsidR="00D67EB8" w:rsidRPr="009118AB">
        <w:rPr>
          <w:i/>
        </w:rPr>
        <w:t> - </w:t>
      </w:r>
      <w:r w:rsidR="00B92397" w:rsidRPr="009118AB">
        <w:rPr>
          <w:i/>
        </w:rPr>
        <w:t>wirksam mit 1. Januar 2019</w:t>
      </w:r>
      <w:r w:rsidR="003366D9" w:rsidRPr="009118AB">
        <w:rPr>
          <w:i/>
        </w:rPr>
        <w:t> -;</w:t>
      </w:r>
      <w:r w:rsidR="00B92397" w:rsidRPr="009118AB">
        <w:rPr>
          <w:i/>
        </w:rPr>
        <w:t xml:space="preserve"> neuer Absatz 3 eingefügt durch </w:t>
      </w:r>
      <w:r w:rsidR="00D67EB8" w:rsidRPr="009118AB">
        <w:rPr>
          <w:i/>
        </w:rPr>
        <w:t>Art. </w:t>
      </w:r>
      <w:r w:rsidR="00B92397" w:rsidRPr="009118AB">
        <w:rPr>
          <w:i/>
        </w:rPr>
        <w:t xml:space="preserve">2 </w:t>
      </w:r>
      <w:r w:rsidR="00D67EB8" w:rsidRPr="009118AB">
        <w:rPr>
          <w:i/>
        </w:rPr>
        <w:t>Nr. </w:t>
      </w:r>
      <w:r w:rsidR="00B92397" w:rsidRPr="009118AB">
        <w:rPr>
          <w:i/>
        </w:rPr>
        <w:t>2 des G. vom 11. Februar 2019 (B.S. vom 22. März 2019)</w:t>
      </w:r>
      <w:r w:rsidR="00D67EB8" w:rsidRPr="009118AB">
        <w:rPr>
          <w:i/>
        </w:rPr>
        <w:t> - </w:t>
      </w:r>
      <w:r w:rsidR="00B92397" w:rsidRPr="009118AB">
        <w:rPr>
          <w:i/>
        </w:rPr>
        <w:t>wirksam mit 1. Januar 2019</w:t>
      </w:r>
      <w:r w:rsidR="003366D9" w:rsidRPr="009118AB">
        <w:rPr>
          <w:i/>
        </w:rPr>
        <w:t> -;</w:t>
      </w:r>
      <w:r w:rsidR="00B92397" w:rsidRPr="009118AB">
        <w:rPr>
          <w:i/>
        </w:rPr>
        <w:t xml:space="preserve"> </w:t>
      </w:r>
      <w:r w:rsidR="00D67EB8" w:rsidRPr="009118AB">
        <w:rPr>
          <w:i/>
        </w:rPr>
        <w:t>Abs. </w:t>
      </w:r>
      <w:r w:rsidR="00B92397" w:rsidRPr="009118AB">
        <w:rPr>
          <w:i/>
        </w:rPr>
        <w:t>4 (früherer Absatz </w:t>
      </w:r>
      <w:r w:rsidR="001D0593" w:rsidRPr="009118AB">
        <w:rPr>
          <w:i/>
        </w:rPr>
        <w:t>3</w:t>
      </w:r>
      <w:r w:rsidR="00B92397" w:rsidRPr="009118AB">
        <w:rPr>
          <w:i/>
        </w:rPr>
        <w:t>)</w:t>
      </w:r>
      <w:r w:rsidR="001D0593" w:rsidRPr="009118AB">
        <w:rPr>
          <w:i/>
        </w:rPr>
        <w:t xml:space="preserve"> abgeändert durch </w:t>
      </w:r>
      <w:r w:rsidR="00D67EB8" w:rsidRPr="009118AB">
        <w:rPr>
          <w:i/>
        </w:rPr>
        <w:t>Art. </w:t>
      </w:r>
      <w:r w:rsidR="001D0593" w:rsidRPr="009118AB">
        <w:rPr>
          <w:i/>
        </w:rPr>
        <w:t>39</w:t>
      </w:r>
      <w:r w:rsidR="001D0593" w:rsidRPr="009118AB">
        <w:rPr>
          <w:i/>
          <w:iCs/>
        </w:rPr>
        <w:t xml:space="preserve"> des G. vom 18. Dezember 2015 (II) (B.S. vom 28. Dezember 2015)</w:t>
      </w:r>
      <w:r w:rsidR="00B92397" w:rsidRPr="009118AB">
        <w:rPr>
          <w:i/>
          <w:iCs/>
        </w:rPr>
        <w:t xml:space="preserve"> und </w:t>
      </w:r>
      <w:r w:rsidR="00D67EB8" w:rsidRPr="009118AB">
        <w:rPr>
          <w:i/>
          <w:iCs/>
        </w:rPr>
        <w:t>Art. </w:t>
      </w:r>
      <w:r w:rsidR="00B92397" w:rsidRPr="009118AB">
        <w:rPr>
          <w:i/>
          <w:iCs/>
        </w:rPr>
        <w:t xml:space="preserve">2 </w:t>
      </w:r>
      <w:r w:rsidR="00D67EB8" w:rsidRPr="009118AB">
        <w:rPr>
          <w:i/>
          <w:iCs/>
        </w:rPr>
        <w:t>Nr. </w:t>
      </w:r>
      <w:r w:rsidR="002C3D6D" w:rsidRPr="009118AB">
        <w:rPr>
          <w:i/>
          <w:iCs/>
        </w:rPr>
        <w:t xml:space="preserve">3 </w:t>
      </w:r>
      <w:r w:rsidR="00B92397" w:rsidRPr="009118AB">
        <w:rPr>
          <w:i/>
          <w:iCs/>
        </w:rPr>
        <w:t>Buchstabe a) und b)</w:t>
      </w:r>
      <w:r w:rsidR="00B92397" w:rsidRPr="009118AB">
        <w:rPr>
          <w:i/>
        </w:rPr>
        <w:t xml:space="preserve"> des G. vom 11. Februar 2019 (B.S. vom 22. März 2019)</w:t>
      </w:r>
      <w:r w:rsidR="00D67EB8" w:rsidRPr="009118AB">
        <w:rPr>
          <w:i/>
        </w:rPr>
        <w:t> - </w:t>
      </w:r>
      <w:r w:rsidR="00B92397" w:rsidRPr="009118AB">
        <w:rPr>
          <w:i/>
        </w:rPr>
        <w:t>wirksam mit 1. Januar 2019</w:t>
      </w:r>
      <w:r w:rsidR="003366D9" w:rsidRPr="009118AB">
        <w:rPr>
          <w:i/>
        </w:rPr>
        <w:t> -;</w:t>
      </w:r>
      <w:r w:rsidR="00B92397" w:rsidRPr="009118AB">
        <w:rPr>
          <w:i/>
        </w:rPr>
        <w:t xml:space="preserve"> neue Absätze 5 bis 7 eingefügt durch </w:t>
      </w:r>
      <w:r w:rsidR="00D67EB8" w:rsidRPr="009118AB">
        <w:rPr>
          <w:i/>
        </w:rPr>
        <w:t>Art. </w:t>
      </w:r>
      <w:r w:rsidR="00B92397" w:rsidRPr="009118AB">
        <w:rPr>
          <w:i/>
        </w:rPr>
        <w:t xml:space="preserve">2 </w:t>
      </w:r>
      <w:r w:rsidR="00D67EB8" w:rsidRPr="009118AB">
        <w:rPr>
          <w:i/>
        </w:rPr>
        <w:t>Nr. </w:t>
      </w:r>
      <w:r w:rsidR="00B92397" w:rsidRPr="009118AB">
        <w:rPr>
          <w:i/>
        </w:rPr>
        <w:t>4 des G. vom 11. Februar 2019 (B.S. vom 22. März 2019)</w:t>
      </w:r>
      <w:r w:rsidR="00D67EB8" w:rsidRPr="009118AB">
        <w:rPr>
          <w:i/>
        </w:rPr>
        <w:t> - </w:t>
      </w:r>
      <w:r w:rsidR="00B92397" w:rsidRPr="009118AB">
        <w:rPr>
          <w:i/>
        </w:rPr>
        <w:t>wirksam mit 1. Januar 2019</w:t>
      </w:r>
      <w:r w:rsidR="003366D9" w:rsidRPr="009118AB">
        <w:rPr>
          <w:i/>
        </w:rPr>
        <w:t> -;</w:t>
      </w:r>
      <w:r w:rsidR="00B92397" w:rsidRPr="009118AB">
        <w:rPr>
          <w:i/>
        </w:rPr>
        <w:t xml:space="preserve"> neuer Absatz 8 abgeändert durch </w:t>
      </w:r>
      <w:r w:rsidR="00D67EB8" w:rsidRPr="009118AB">
        <w:rPr>
          <w:i/>
        </w:rPr>
        <w:t>Art. </w:t>
      </w:r>
      <w:r w:rsidR="00B92397" w:rsidRPr="009118AB">
        <w:rPr>
          <w:i/>
        </w:rPr>
        <w:t xml:space="preserve">2 </w:t>
      </w:r>
      <w:r w:rsidR="00D67EB8" w:rsidRPr="009118AB">
        <w:rPr>
          <w:i/>
        </w:rPr>
        <w:t>Nr. </w:t>
      </w:r>
      <w:r w:rsidR="00B92397" w:rsidRPr="009118AB">
        <w:rPr>
          <w:i/>
        </w:rPr>
        <w:t>5 des G. vom 11. Februar 2019 (B.S. vom 22. März 2019)</w:t>
      </w:r>
      <w:r w:rsidR="00D67EB8" w:rsidRPr="009118AB">
        <w:rPr>
          <w:i/>
        </w:rPr>
        <w:t> - </w:t>
      </w:r>
      <w:r w:rsidR="00B92397" w:rsidRPr="009118AB">
        <w:rPr>
          <w:i/>
        </w:rPr>
        <w:t>wirksam mit 1. Januar 2019</w:t>
      </w:r>
      <w:r w:rsidR="00FD68E8" w:rsidRPr="009118AB">
        <w:rPr>
          <w:i/>
        </w:rPr>
        <w:t> -]</w:t>
      </w:r>
    </w:p>
    <w:p w14:paraId="22D8F2F6" w14:textId="77777777" w:rsidR="00C63632" w:rsidRPr="009118AB" w:rsidRDefault="00C63632" w:rsidP="00477B8F">
      <w:pPr>
        <w:autoSpaceDE w:val="0"/>
        <w:autoSpaceDN w:val="0"/>
        <w:adjustRightInd w:val="0"/>
        <w:jc w:val="both"/>
      </w:pPr>
    </w:p>
    <w:p w14:paraId="77ED85EE" w14:textId="77777777" w:rsidR="00C63632" w:rsidRPr="009118AB" w:rsidRDefault="00C63632" w:rsidP="00477B8F">
      <w:pPr>
        <w:autoSpaceDE w:val="0"/>
        <w:autoSpaceDN w:val="0"/>
        <w:adjustRightInd w:val="0"/>
        <w:jc w:val="both"/>
      </w:pPr>
    </w:p>
    <w:p w14:paraId="6E37EEFF" w14:textId="77777777" w:rsidR="00B92397" w:rsidRPr="009118AB" w:rsidRDefault="00B92397">
      <w:r w:rsidRPr="009118AB">
        <w:br w:type="page"/>
      </w:r>
    </w:p>
    <w:p w14:paraId="72D8B06F" w14:textId="77777777" w:rsidR="00B374EA" w:rsidRPr="009118AB" w:rsidRDefault="00B374EA" w:rsidP="00477B8F">
      <w:pPr>
        <w:autoSpaceDE w:val="0"/>
        <w:autoSpaceDN w:val="0"/>
        <w:adjustRightInd w:val="0"/>
        <w:jc w:val="both"/>
      </w:pPr>
      <w:r w:rsidRPr="009118AB">
        <w:lastRenderedPageBreak/>
        <w:tab/>
        <w:t>[1</w:t>
      </w:r>
      <w:r w:rsidRPr="009118AB">
        <w:rPr>
          <w:i/>
        </w:rPr>
        <w:t>quinquies</w:t>
      </w:r>
      <w:r w:rsidRPr="009118AB">
        <w:t>. Ausgleichsentschädigungen]</w:t>
      </w:r>
    </w:p>
    <w:p w14:paraId="7DF57FA4" w14:textId="77777777" w:rsidR="00B374EA" w:rsidRPr="009118AB" w:rsidRDefault="00B374EA" w:rsidP="00477B8F">
      <w:pPr>
        <w:autoSpaceDE w:val="0"/>
        <w:autoSpaceDN w:val="0"/>
        <w:adjustRightInd w:val="0"/>
        <w:jc w:val="both"/>
      </w:pPr>
    </w:p>
    <w:p w14:paraId="4E2EB761" w14:textId="787F0352" w:rsidR="00B374EA" w:rsidRPr="009118AB" w:rsidRDefault="00B374EA" w:rsidP="00477B8F">
      <w:pPr>
        <w:autoSpaceDE w:val="0"/>
        <w:autoSpaceDN w:val="0"/>
        <w:adjustRightInd w:val="0"/>
        <w:jc w:val="both"/>
        <w:rPr>
          <w:rFonts w:ascii="Times New Roman Italique" w:hAnsi="Times New Roman Italique"/>
          <w:i/>
          <w:spacing w:val="2"/>
        </w:rPr>
      </w:pPr>
      <w:r w:rsidRPr="009118AB">
        <w:rPr>
          <w:i/>
        </w:rPr>
        <w:t xml:space="preserve">[Unterteilung 1quinquies eingefügt durch </w:t>
      </w:r>
      <w:r w:rsidR="00D67EB8" w:rsidRPr="009118AB">
        <w:rPr>
          <w:i/>
        </w:rPr>
        <w:t>Art. </w:t>
      </w:r>
      <w:r w:rsidRPr="009118AB">
        <w:rPr>
          <w:i/>
        </w:rPr>
        <w:t xml:space="preserve">7 des G. vom 22. Oktober 2017 (B.S. vom </w:t>
      </w:r>
      <w:r w:rsidRPr="009118AB">
        <w:rPr>
          <w:rFonts w:ascii="Times New Roman Italique" w:hAnsi="Times New Roman Italique"/>
          <w:i/>
          <w:spacing w:val="2"/>
        </w:rPr>
        <w:t>18. Dezember 2017)</w:t>
      </w:r>
      <w:r w:rsidR="00D67EB8" w:rsidRPr="009118AB">
        <w:rPr>
          <w:rFonts w:ascii="Times New Roman Italique" w:hAnsi="Times New Roman Italique"/>
          <w:i/>
          <w:spacing w:val="2"/>
        </w:rPr>
        <w:t> - </w:t>
      </w:r>
      <w:r w:rsidRPr="009118AB">
        <w:rPr>
          <w:rFonts w:ascii="Times New Roman Italique" w:hAnsi="Times New Roman Italique"/>
          <w:i/>
          <w:spacing w:val="2"/>
        </w:rPr>
        <w:t>anwendbar auf die ab dem 1. Januar 2018 erhaltenen Entschädigungen</w:t>
      </w:r>
      <w:r w:rsidR="00FD68E8" w:rsidRPr="009118AB">
        <w:rPr>
          <w:rFonts w:ascii="Times New Roman Italique" w:hAnsi="Times New Roman Italique"/>
          <w:i/>
          <w:spacing w:val="2"/>
        </w:rPr>
        <w:t> -]</w:t>
      </w:r>
    </w:p>
    <w:p w14:paraId="713DE75E" w14:textId="77777777" w:rsidR="00B374EA" w:rsidRPr="009118AB" w:rsidRDefault="00B374EA" w:rsidP="00477B8F">
      <w:pPr>
        <w:autoSpaceDE w:val="0"/>
        <w:autoSpaceDN w:val="0"/>
        <w:adjustRightInd w:val="0"/>
        <w:jc w:val="both"/>
        <w:rPr>
          <w:i/>
        </w:rPr>
      </w:pPr>
    </w:p>
    <w:p w14:paraId="6EE1E6E6" w14:textId="77777777" w:rsidR="00B374EA" w:rsidRPr="009118AB" w:rsidRDefault="00B374EA" w:rsidP="00477B8F">
      <w:pPr>
        <w:autoSpaceDE w:val="0"/>
        <w:autoSpaceDN w:val="0"/>
        <w:adjustRightInd w:val="0"/>
        <w:jc w:val="both"/>
        <w:rPr>
          <w:iCs/>
        </w:rPr>
      </w:pPr>
    </w:p>
    <w:p w14:paraId="6B63F92B" w14:textId="5F132FB7" w:rsidR="00B374EA" w:rsidRPr="009118AB" w:rsidRDefault="00B374EA" w:rsidP="00477B8F">
      <w:pPr>
        <w:autoSpaceDE w:val="0"/>
        <w:autoSpaceDN w:val="0"/>
        <w:adjustRightInd w:val="0"/>
        <w:jc w:val="both"/>
        <w:rPr>
          <w:iCs/>
        </w:rPr>
      </w:pPr>
      <w:r w:rsidRPr="009118AB">
        <w:rPr>
          <w:iCs/>
        </w:rPr>
        <w:tab/>
        <w:t>[</w:t>
      </w:r>
      <w:r w:rsidR="00D67EB8" w:rsidRPr="009118AB">
        <w:rPr>
          <w:b/>
        </w:rPr>
        <w:t>Art. </w:t>
      </w:r>
      <w:r w:rsidRPr="009118AB">
        <w:rPr>
          <w:b/>
        </w:rPr>
        <w:t>67</w:t>
      </w:r>
      <w:r w:rsidRPr="009118AB">
        <w:rPr>
          <w:b/>
          <w:i/>
        </w:rPr>
        <w:t>quinquies</w:t>
      </w:r>
      <w:r w:rsidR="00D67EB8" w:rsidRPr="009118AB">
        <w:t> - </w:t>
      </w:r>
      <w:r w:rsidRPr="009118AB">
        <w:t>Ausgleichsentschädigungen für Verdienstausfall, die Unterneh</w:t>
      </w:r>
      <w:r w:rsidRPr="009118AB">
        <w:softHyphen/>
        <w:t>men, deren Arbeit aufgrund von Arbeiten auf öffentlichem Eigentum beeinträchtigt ist, gemäß dem Gesetz vom 3. Dezember 2005 zur Einführung einer Ausgleichsentschädigung für Verdienstausfall zugunsten Selbständiger, deren Arbeit aufgrund von Arbeiten auf öffentlichem Eigentum beeinträchtigt ist, oder gemäß anderen regionalen Vorschriften von den Regionen zuerkannt werden, sind steuerfrei.</w:t>
      </w:r>
      <w:r w:rsidRPr="009118AB">
        <w:rPr>
          <w:iCs/>
        </w:rPr>
        <w:t>]</w:t>
      </w:r>
    </w:p>
    <w:p w14:paraId="755ACAF2" w14:textId="77777777" w:rsidR="00B374EA" w:rsidRPr="009118AB" w:rsidRDefault="00B374EA" w:rsidP="00477B8F">
      <w:pPr>
        <w:autoSpaceDE w:val="0"/>
        <w:autoSpaceDN w:val="0"/>
        <w:adjustRightInd w:val="0"/>
        <w:jc w:val="both"/>
      </w:pPr>
    </w:p>
    <w:p w14:paraId="3728AE82" w14:textId="52BCCB66" w:rsidR="00B374EA" w:rsidRPr="009118AB" w:rsidRDefault="00B374EA" w:rsidP="00477B8F">
      <w:pPr>
        <w:autoSpaceDE w:val="0"/>
        <w:autoSpaceDN w:val="0"/>
        <w:adjustRightInd w:val="0"/>
        <w:jc w:val="both"/>
        <w:rPr>
          <w:rFonts w:ascii="Times New Roman Italique" w:hAnsi="Times New Roman Italique"/>
          <w:i/>
          <w:spacing w:val="2"/>
        </w:rPr>
      </w:pPr>
      <w:r w:rsidRPr="009118AB">
        <w:rPr>
          <w:rFonts w:ascii="Times New Roman Italique" w:hAnsi="Times New Roman Italique"/>
          <w:i/>
          <w:spacing w:val="2"/>
        </w:rPr>
        <w:t>[</w:t>
      </w:r>
      <w:r w:rsidR="00D67EB8" w:rsidRPr="009118AB">
        <w:rPr>
          <w:rFonts w:ascii="Times New Roman Italique" w:hAnsi="Times New Roman Italique"/>
          <w:i/>
          <w:spacing w:val="2"/>
        </w:rPr>
        <w:t>Art. </w:t>
      </w:r>
      <w:r w:rsidRPr="009118AB">
        <w:rPr>
          <w:rFonts w:ascii="Times New Roman Italique" w:hAnsi="Times New Roman Italique"/>
          <w:i/>
          <w:spacing w:val="2"/>
        </w:rPr>
        <w:t xml:space="preserve">67quinquies eingefügt durch </w:t>
      </w:r>
      <w:r w:rsidR="00D67EB8" w:rsidRPr="009118AB">
        <w:rPr>
          <w:rFonts w:ascii="Times New Roman Italique" w:hAnsi="Times New Roman Italique"/>
          <w:i/>
          <w:spacing w:val="2"/>
        </w:rPr>
        <w:t>Art. </w:t>
      </w:r>
      <w:r w:rsidRPr="009118AB">
        <w:rPr>
          <w:rFonts w:ascii="Times New Roman Italique" w:hAnsi="Times New Roman Italique"/>
          <w:i/>
          <w:spacing w:val="2"/>
        </w:rPr>
        <w:t>8 des G. vom 22. Oktober 2017 (B.S. vom 18. Dezember 2017)</w:t>
      </w:r>
      <w:r w:rsidR="00D67EB8" w:rsidRPr="009118AB">
        <w:rPr>
          <w:rFonts w:ascii="Times New Roman Italique" w:hAnsi="Times New Roman Italique"/>
          <w:i/>
          <w:spacing w:val="2"/>
        </w:rPr>
        <w:t> - </w:t>
      </w:r>
      <w:r w:rsidRPr="009118AB">
        <w:rPr>
          <w:rFonts w:ascii="Times New Roman Italique" w:hAnsi="Times New Roman Italique"/>
          <w:i/>
          <w:spacing w:val="2"/>
        </w:rPr>
        <w:t>anwendbar auf die ab dem 1. Januar 2018 erhaltenen Entschädigungen</w:t>
      </w:r>
      <w:r w:rsidR="00FD68E8" w:rsidRPr="009118AB">
        <w:rPr>
          <w:rFonts w:ascii="Times New Roman Italique" w:hAnsi="Times New Roman Italique"/>
          <w:i/>
          <w:spacing w:val="2"/>
        </w:rPr>
        <w:t> -]</w:t>
      </w:r>
    </w:p>
    <w:p w14:paraId="2EBB9029" w14:textId="3B6836E4" w:rsidR="00B374EA" w:rsidRPr="009118AB" w:rsidRDefault="00B374EA" w:rsidP="00477B8F">
      <w:pPr>
        <w:autoSpaceDE w:val="0"/>
        <w:autoSpaceDN w:val="0"/>
        <w:adjustRightInd w:val="0"/>
        <w:jc w:val="both"/>
        <w:rPr>
          <w:iCs/>
        </w:rPr>
      </w:pPr>
    </w:p>
    <w:p w14:paraId="280E8B37" w14:textId="50FF9445" w:rsidR="006340E1" w:rsidRPr="009118AB" w:rsidRDefault="006340E1" w:rsidP="00477B8F">
      <w:pPr>
        <w:autoSpaceDE w:val="0"/>
        <w:autoSpaceDN w:val="0"/>
        <w:adjustRightInd w:val="0"/>
        <w:jc w:val="both"/>
        <w:rPr>
          <w:iCs/>
        </w:rPr>
      </w:pPr>
    </w:p>
    <w:p w14:paraId="77E80C5B" w14:textId="6F1B8C46" w:rsidR="006340E1" w:rsidRPr="009118AB" w:rsidRDefault="006340E1" w:rsidP="00477B8F">
      <w:pPr>
        <w:autoSpaceDE w:val="0"/>
        <w:autoSpaceDN w:val="0"/>
        <w:adjustRightInd w:val="0"/>
        <w:jc w:val="both"/>
        <w:rPr>
          <w:iCs/>
        </w:rPr>
      </w:pPr>
      <w:r w:rsidRPr="009118AB">
        <w:rPr>
          <w:iCs/>
        </w:rPr>
        <w:tab/>
        <w:t>[</w:t>
      </w:r>
      <w:r w:rsidRPr="009118AB">
        <w:t>1</w:t>
      </w:r>
      <w:r w:rsidRPr="009118AB">
        <w:rPr>
          <w:i/>
          <w:iCs/>
        </w:rPr>
        <w:t>sexies</w:t>
      </w:r>
      <w:r w:rsidRPr="009118AB">
        <w:t>. Steuerbefreiung für zukünftige Verluste</w:t>
      </w:r>
      <w:r w:rsidRPr="009118AB">
        <w:rPr>
          <w:iCs/>
        </w:rPr>
        <w:t>]</w:t>
      </w:r>
    </w:p>
    <w:p w14:paraId="0EE1415C" w14:textId="7295177F" w:rsidR="006340E1" w:rsidRPr="009118AB" w:rsidRDefault="006340E1" w:rsidP="00477B8F">
      <w:pPr>
        <w:autoSpaceDE w:val="0"/>
        <w:autoSpaceDN w:val="0"/>
        <w:adjustRightInd w:val="0"/>
        <w:jc w:val="both"/>
        <w:rPr>
          <w:iCs/>
        </w:rPr>
      </w:pPr>
    </w:p>
    <w:p w14:paraId="5CB3625D" w14:textId="42A3ED01" w:rsidR="006340E1" w:rsidRPr="009118AB" w:rsidRDefault="006340E1" w:rsidP="00477B8F">
      <w:pPr>
        <w:autoSpaceDE w:val="0"/>
        <w:autoSpaceDN w:val="0"/>
        <w:adjustRightInd w:val="0"/>
        <w:jc w:val="both"/>
        <w:rPr>
          <w:i/>
          <w:iCs/>
        </w:rPr>
      </w:pPr>
      <w:r w:rsidRPr="009118AB">
        <w:rPr>
          <w:i/>
          <w:iCs/>
        </w:rPr>
        <w:t xml:space="preserve">[Unterteilung 1sexies eingefügt durch </w:t>
      </w:r>
      <w:r w:rsidR="00D67EB8" w:rsidRPr="009118AB">
        <w:rPr>
          <w:i/>
          <w:iCs/>
        </w:rPr>
        <w:t>Art. </w:t>
      </w:r>
      <w:r w:rsidRPr="009118AB">
        <w:rPr>
          <w:i/>
          <w:iCs/>
        </w:rPr>
        <w:t>8 des G. vom 23. Juni 2020 (B.S. vom 1. Juli 2020)]</w:t>
      </w:r>
    </w:p>
    <w:p w14:paraId="27FF52CB" w14:textId="0917EF5F" w:rsidR="006340E1" w:rsidRPr="009118AB" w:rsidRDefault="006340E1" w:rsidP="00477B8F">
      <w:pPr>
        <w:autoSpaceDE w:val="0"/>
        <w:autoSpaceDN w:val="0"/>
        <w:adjustRightInd w:val="0"/>
        <w:jc w:val="both"/>
        <w:rPr>
          <w:iCs/>
        </w:rPr>
      </w:pPr>
    </w:p>
    <w:p w14:paraId="7646B6C5" w14:textId="11DEAAAA" w:rsidR="006340E1" w:rsidRPr="009118AB" w:rsidRDefault="006340E1" w:rsidP="00477B8F">
      <w:pPr>
        <w:autoSpaceDE w:val="0"/>
        <w:autoSpaceDN w:val="0"/>
        <w:adjustRightInd w:val="0"/>
        <w:jc w:val="both"/>
        <w:rPr>
          <w:iCs/>
        </w:rPr>
      </w:pPr>
    </w:p>
    <w:p w14:paraId="3D1F5B85" w14:textId="498353B0" w:rsidR="006340E1" w:rsidRPr="009118AB" w:rsidRDefault="006340E1" w:rsidP="006340E1">
      <w:pPr>
        <w:ind w:firstLine="708"/>
        <w:jc w:val="both"/>
      </w:pPr>
      <w:r w:rsidRPr="009118AB">
        <w:rPr>
          <w:iCs/>
        </w:rPr>
        <w:tab/>
        <w:t>[</w:t>
      </w:r>
      <w:r w:rsidR="00D67EB8" w:rsidRPr="009118AB">
        <w:rPr>
          <w:b/>
        </w:rPr>
        <w:t>Art. </w:t>
      </w:r>
      <w:r w:rsidRPr="009118AB">
        <w:rPr>
          <w:b/>
        </w:rPr>
        <w:t>67</w:t>
      </w:r>
      <w:r w:rsidRPr="009118AB">
        <w:rPr>
          <w:b/>
          <w:i/>
          <w:iCs/>
        </w:rPr>
        <w:t>sexies</w:t>
      </w:r>
      <w:r w:rsidR="00D67EB8" w:rsidRPr="009118AB">
        <w:t> - § </w:t>
      </w:r>
      <w:r w:rsidRPr="009118AB">
        <w:t>1</w:t>
      </w:r>
      <w:r w:rsidR="00D67EB8" w:rsidRPr="009118AB">
        <w:t> - </w:t>
      </w:r>
      <w:r w:rsidRPr="009118AB">
        <w:t>Gewinne oder Profite des an das Steuerjahr 2020 gebundenen Besteuerungszeitraums können aufgrund möglicher Verluste, die im Laufe des an das Steuerjahr 2021 gebundenen Besteuerungszeitraums erlitten werden, ganz oder teilweise von der Steuer befreit werden.</w:t>
      </w:r>
    </w:p>
    <w:p w14:paraId="7706D7C0" w14:textId="77777777" w:rsidR="006340E1" w:rsidRPr="009118AB" w:rsidRDefault="006340E1" w:rsidP="006340E1">
      <w:pPr>
        <w:jc w:val="both"/>
      </w:pPr>
    </w:p>
    <w:p w14:paraId="5C8FEA2B" w14:textId="4EC76821" w:rsidR="006340E1" w:rsidRPr="009118AB" w:rsidRDefault="006340E1" w:rsidP="006340E1">
      <w:pPr>
        <w:ind w:firstLine="708"/>
        <w:jc w:val="both"/>
      </w:pPr>
      <w:r w:rsidRPr="009118AB">
        <w:t xml:space="preserve">Der Höchstbetrag der in Absatz 1 erwähnten Steuerbefreiung entspricht dem Bruttobetrag der Gewinne oder Profite belgischer Herkunft, die in dem Besteuerungszeitraum erzielt oder bezogen wurden, mit Ausnahme der als vollständige Entschädigung oder Teilentschädigung für einen zeitweiligen Gewinn- oder Profitausfall bezogenen Entschädigungen und der in Artikel 27 Absatz 2 </w:t>
      </w:r>
      <w:r w:rsidR="00D67EB8" w:rsidRPr="009118AB">
        <w:t>Nr. </w:t>
      </w:r>
      <w:r w:rsidRPr="009118AB">
        <w:t>5 und 6 erwähnten Einkünfte, verringert um die Werbungskosten in Bezug auf diese Einkünfte.</w:t>
      </w:r>
    </w:p>
    <w:p w14:paraId="1817528F" w14:textId="77777777" w:rsidR="006340E1" w:rsidRPr="009118AB" w:rsidRDefault="006340E1" w:rsidP="006340E1">
      <w:pPr>
        <w:jc w:val="both"/>
      </w:pPr>
    </w:p>
    <w:p w14:paraId="51C6F0BE" w14:textId="65DE9178" w:rsidR="006340E1" w:rsidRPr="009118AB" w:rsidRDefault="00D67EB8" w:rsidP="006340E1">
      <w:pPr>
        <w:ind w:firstLine="708"/>
        <w:jc w:val="both"/>
      </w:pPr>
      <w:r w:rsidRPr="009118AB">
        <w:t>§ </w:t>
      </w:r>
      <w:r w:rsidR="006340E1" w:rsidRPr="009118AB">
        <w:t>2</w:t>
      </w:r>
      <w:r w:rsidRPr="009118AB">
        <w:t> - </w:t>
      </w:r>
      <w:r w:rsidR="006340E1" w:rsidRPr="009118AB">
        <w:t xml:space="preserve">Der Steuerpflichtige beantragt die in </w:t>
      </w:r>
      <w:r w:rsidRPr="009118AB">
        <w:t>§ </w:t>
      </w:r>
      <w:r w:rsidR="006340E1" w:rsidRPr="009118AB">
        <w:t>1 erwähnte Steuerbefreiung anhand eines Formulars; Form und Inhalt dieses Formulars sowie die Frist, in der es eingereicht werden muss, werden vom König festgelegt. Der Antrag enthält unter anderem eine Begründung des Betrags der beantragten Steuerbefreiung. Der Antrag ist endgültig und unwiderruflich.</w:t>
      </w:r>
    </w:p>
    <w:p w14:paraId="580E9D16" w14:textId="77777777" w:rsidR="006340E1" w:rsidRPr="009118AB" w:rsidRDefault="006340E1" w:rsidP="006340E1">
      <w:pPr>
        <w:jc w:val="both"/>
      </w:pPr>
    </w:p>
    <w:p w14:paraId="43AD3CB1" w14:textId="0856647C" w:rsidR="006340E1" w:rsidRPr="009118AB" w:rsidRDefault="00D67EB8" w:rsidP="006340E1">
      <w:pPr>
        <w:ind w:firstLine="708"/>
        <w:jc w:val="both"/>
        <w:rPr>
          <w:spacing w:val="-2"/>
        </w:rPr>
      </w:pPr>
      <w:r w:rsidRPr="009118AB">
        <w:rPr>
          <w:spacing w:val="-2"/>
        </w:rPr>
        <w:t>§ </w:t>
      </w:r>
      <w:r w:rsidR="006340E1" w:rsidRPr="009118AB">
        <w:rPr>
          <w:spacing w:val="-2"/>
        </w:rPr>
        <w:t>3</w:t>
      </w:r>
      <w:r w:rsidRPr="009118AB">
        <w:rPr>
          <w:spacing w:val="-2"/>
        </w:rPr>
        <w:t> - </w:t>
      </w:r>
      <w:r w:rsidR="006340E1" w:rsidRPr="009118AB">
        <w:rPr>
          <w:spacing w:val="-2"/>
        </w:rPr>
        <w:t>Steuerpflichtige, die die in vorliegendem Artikel erwähnte Steuerbefreiung bean</w:t>
      </w:r>
      <w:r w:rsidR="006340E1" w:rsidRPr="009118AB">
        <w:rPr>
          <w:spacing w:val="-2"/>
        </w:rPr>
        <w:softHyphen/>
        <w:t>tragen, verpflichten sich, für den an das Steuerjahr 2021 gebundenen Besteuerungs</w:t>
      </w:r>
      <w:r w:rsidR="006340E1" w:rsidRPr="009118AB">
        <w:rPr>
          <w:spacing w:val="-2"/>
        </w:rPr>
        <w:softHyphen/>
        <w:t xml:space="preserve">zeitraum die pauschalen Veranlagungsgrundlagen wie in Artikel 342 </w:t>
      </w:r>
      <w:r w:rsidRPr="009118AB">
        <w:rPr>
          <w:spacing w:val="-2"/>
        </w:rPr>
        <w:t>§ </w:t>
      </w:r>
      <w:r w:rsidR="006340E1" w:rsidRPr="009118AB">
        <w:rPr>
          <w:spacing w:val="-2"/>
        </w:rPr>
        <w:t xml:space="preserve">1 Absatz 2 erwähnt nicht in Anspruch zu nehmen. Diese Verpflichtung wird in dem in </w:t>
      </w:r>
      <w:r w:rsidRPr="009118AB">
        <w:rPr>
          <w:spacing w:val="-2"/>
        </w:rPr>
        <w:t>§ </w:t>
      </w:r>
      <w:r w:rsidR="006340E1" w:rsidRPr="009118AB">
        <w:rPr>
          <w:spacing w:val="-2"/>
        </w:rPr>
        <w:t>2 erwähnten Formular aufgenommen.</w:t>
      </w:r>
    </w:p>
    <w:p w14:paraId="67FE3B20" w14:textId="77777777" w:rsidR="006340E1" w:rsidRPr="009118AB" w:rsidRDefault="006340E1" w:rsidP="006340E1">
      <w:pPr>
        <w:jc w:val="both"/>
      </w:pPr>
    </w:p>
    <w:p w14:paraId="2646026B" w14:textId="0CBF10DC" w:rsidR="006340E1" w:rsidRPr="009118AB" w:rsidRDefault="00D67EB8" w:rsidP="006340E1">
      <w:pPr>
        <w:autoSpaceDE w:val="0"/>
        <w:autoSpaceDN w:val="0"/>
        <w:adjustRightInd w:val="0"/>
        <w:ind w:firstLine="708"/>
        <w:jc w:val="both"/>
        <w:rPr>
          <w:iCs/>
        </w:rPr>
      </w:pPr>
      <w:r w:rsidRPr="009118AB">
        <w:t>§ </w:t>
      </w:r>
      <w:r w:rsidR="006340E1" w:rsidRPr="009118AB">
        <w:t>4</w:t>
      </w:r>
      <w:r w:rsidRPr="009118AB">
        <w:t> - </w:t>
      </w:r>
      <w:r w:rsidR="006340E1" w:rsidRPr="009118AB">
        <w:t>Vorliegender Artikel ist nicht auf Unternehmen anwendbar, die am 18. März 2020 als Unternehmen in Schwierigkeiten betrachtet werden konnten.</w:t>
      </w:r>
      <w:r w:rsidR="006340E1" w:rsidRPr="009118AB">
        <w:rPr>
          <w:iCs/>
        </w:rPr>
        <w:t>]</w:t>
      </w:r>
    </w:p>
    <w:p w14:paraId="15EAE0DC" w14:textId="6EC115E3" w:rsidR="006340E1" w:rsidRPr="009118AB" w:rsidRDefault="006340E1" w:rsidP="006340E1">
      <w:pPr>
        <w:autoSpaceDE w:val="0"/>
        <w:autoSpaceDN w:val="0"/>
        <w:adjustRightInd w:val="0"/>
        <w:ind w:firstLine="708"/>
        <w:jc w:val="both"/>
        <w:rPr>
          <w:iCs/>
        </w:rPr>
      </w:pPr>
    </w:p>
    <w:p w14:paraId="007187A0" w14:textId="78A842DD" w:rsidR="006340E1" w:rsidRPr="009118AB" w:rsidRDefault="006340E1" w:rsidP="006340E1">
      <w:pPr>
        <w:autoSpaceDE w:val="0"/>
        <w:autoSpaceDN w:val="0"/>
        <w:adjustRightInd w:val="0"/>
        <w:jc w:val="both"/>
        <w:rPr>
          <w:i/>
          <w:iCs/>
        </w:rPr>
      </w:pPr>
      <w:r w:rsidRPr="009118AB">
        <w:rPr>
          <w:i/>
          <w:iCs/>
        </w:rPr>
        <w:t>[</w:t>
      </w:r>
      <w:r w:rsidR="00D67EB8" w:rsidRPr="009118AB">
        <w:rPr>
          <w:i/>
          <w:iCs/>
        </w:rPr>
        <w:t>Art. </w:t>
      </w:r>
      <w:r w:rsidRPr="009118AB">
        <w:rPr>
          <w:i/>
          <w:iCs/>
        </w:rPr>
        <w:t xml:space="preserve">67sexies eingefügt durch </w:t>
      </w:r>
      <w:r w:rsidR="00D67EB8" w:rsidRPr="009118AB">
        <w:rPr>
          <w:i/>
          <w:iCs/>
        </w:rPr>
        <w:t>Art. </w:t>
      </w:r>
      <w:r w:rsidRPr="009118AB">
        <w:rPr>
          <w:i/>
          <w:iCs/>
        </w:rPr>
        <w:t>9 des G. vom 23. Juni 2020 (B.S. vom 1. Juli 2020)]</w:t>
      </w:r>
    </w:p>
    <w:p w14:paraId="6C96540D" w14:textId="049BAAAC" w:rsidR="00B374EA" w:rsidRPr="009118AB" w:rsidRDefault="00B374EA" w:rsidP="00477B8F">
      <w:pPr>
        <w:autoSpaceDE w:val="0"/>
        <w:autoSpaceDN w:val="0"/>
        <w:adjustRightInd w:val="0"/>
        <w:jc w:val="both"/>
        <w:rPr>
          <w:i/>
        </w:rPr>
      </w:pPr>
    </w:p>
    <w:p w14:paraId="5E236AC9" w14:textId="77777777" w:rsidR="00477B8F" w:rsidRPr="009118AB" w:rsidRDefault="00477B8F" w:rsidP="00477B8F">
      <w:pPr>
        <w:autoSpaceDE w:val="0"/>
        <w:autoSpaceDN w:val="0"/>
        <w:adjustRightInd w:val="0"/>
        <w:jc w:val="both"/>
      </w:pPr>
      <w:r w:rsidRPr="009118AB">
        <w:tab/>
        <w:t>2. Investitionsabzug</w:t>
      </w:r>
    </w:p>
    <w:p w14:paraId="0FC488CC" w14:textId="77777777" w:rsidR="00477B8F" w:rsidRPr="009118AB" w:rsidRDefault="00477B8F" w:rsidP="00477B8F">
      <w:pPr>
        <w:autoSpaceDE w:val="0"/>
        <w:autoSpaceDN w:val="0"/>
        <w:adjustRightInd w:val="0"/>
        <w:jc w:val="both"/>
      </w:pPr>
    </w:p>
    <w:p w14:paraId="01C0C38B" w14:textId="77777777" w:rsidR="00477B8F" w:rsidRPr="009118AB" w:rsidRDefault="00477B8F" w:rsidP="00477B8F">
      <w:pPr>
        <w:autoSpaceDE w:val="0"/>
        <w:autoSpaceDN w:val="0"/>
        <w:adjustRightInd w:val="0"/>
        <w:jc w:val="both"/>
      </w:pPr>
    </w:p>
    <w:p w14:paraId="5B1A5F45" w14:textId="43DFFE9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68</w:t>
      </w:r>
      <w:r w:rsidR="00D67EB8" w:rsidRPr="009118AB">
        <w:t> - </w:t>
      </w:r>
      <w:r w:rsidRPr="009118AB">
        <w:t xml:space="preserve">Gewinne und Profite sind steuerfrei in Höhe eines Teils des Anschaffungs- oder Investitionswertes der in Neuzustand erworbenen oder gebildeten Sachanlagen und der neuen immateriellen Anlagen, wenn diese Anlagen in Belgien zur Ausübung der Berufstätigkeit genutzt werden. Diese Steuerbefreiung wird </w:t>
      </w:r>
      <w:r w:rsidR="00117C1A" w:rsidRPr="009118AB">
        <w:t>"</w:t>
      </w:r>
      <w:r w:rsidRPr="009118AB">
        <w:t>Investitionsabzug</w:t>
      </w:r>
      <w:r w:rsidR="00117C1A" w:rsidRPr="009118AB">
        <w:t>"</w:t>
      </w:r>
      <w:r w:rsidRPr="009118AB">
        <w:t xml:space="preserve"> genannt.</w:t>
      </w:r>
    </w:p>
    <w:p w14:paraId="1DC5C79E" w14:textId="77777777" w:rsidR="00477B8F" w:rsidRPr="009118AB" w:rsidRDefault="00477B8F" w:rsidP="00477B8F">
      <w:pPr>
        <w:autoSpaceDE w:val="0"/>
        <w:autoSpaceDN w:val="0"/>
        <w:adjustRightInd w:val="0"/>
        <w:jc w:val="both"/>
      </w:pPr>
    </w:p>
    <w:p w14:paraId="4787B1F1" w14:textId="77777777" w:rsidR="00477B8F" w:rsidRDefault="00477B8F" w:rsidP="00477B8F">
      <w:pPr>
        <w:autoSpaceDE w:val="0"/>
        <w:autoSpaceDN w:val="0"/>
        <w:adjustRightInd w:val="0"/>
        <w:jc w:val="both"/>
      </w:pPr>
    </w:p>
    <w:p w14:paraId="53290866" w14:textId="53C6CBDF" w:rsidR="00DB693B" w:rsidRDefault="00DB693B" w:rsidP="00DB693B">
      <w:pPr>
        <w:autoSpaceDE w:val="0"/>
        <w:autoSpaceDN w:val="0"/>
        <w:adjustRightInd w:val="0"/>
        <w:jc w:val="both"/>
        <w:rPr>
          <w:sz w:val="20"/>
          <w:szCs w:val="20"/>
        </w:rPr>
      </w:pPr>
      <w:r>
        <w:rPr>
          <w:sz w:val="20"/>
          <w:szCs w:val="20"/>
        </w:rPr>
        <w:t>Ab dem Steuerjahr 2026 (gemäß Art. 21 Abs. 2 des G. vom 12. Mai 2024 (B.S. vom 29. Mai 2024)) lautet Art. 68 wie folgt:</w:t>
      </w:r>
    </w:p>
    <w:p w14:paraId="683400C7" w14:textId="77777777" w:rsidR="00DB693B" w:rsidRDefault="00DB693B" w:rsidP="00DB693B">
      <w:pPr>
        <w:autoSpaceDE w:val="0"/>
        <w:autoSpaceDN w:val="0"/>
        <w:adjustRightInd w:val="0"/>
        <w:jc w:val="both"/>
        <w:rPr>
          <w:sz w:val="20"/>
          <w:szCs w:val="20"/>
        </w:rPr>
      </w:pPr>
    </w:p>
    <w:p w14:paraId="3D968996" w14:textId="5C38EF23" w:rsidR="00DB693B" w:rsidRDefault="00DB693B" w:rsidP="00DB693B">
      <w:pPr>
        <w:autoSpaceDE w:val="0"/>
        <w:autoSpaceDN w:val="0"/>
        <w:adjustRightInd w:val="0"/>
        <w:jc w:val="both"/>
        <w:rPr>
          <w:sz w:val="20"/>
          <w:szCs w:val="20"/>
        </w:rPr>
      </w:pPr>
      <w:r>
        <w:rPr>
          <w:sz w:val="20"/>
          <w:szCs w:val="20"/>
        </w:rPr>
        <w:t>"</w:t>
      </w:r>
      <w:r w:rsidRPr="00DB693B">
        <w:rPr>
          <w:sz w:val="20"/>
          <w:szCs w:val="20"/>
        </w:rPr>
        <w:t>Art. 68 - Gewinne und Profite sind steuerfrei in Höhe eines Teils des Anschaffungs- oder Investitionswertes der in Neuzustand erworbenen oder gebildeten Sachanlagen und der neuen immateriellen Anlagen, wenn diese Anlagen in Belgien zur Ausübung der Berufstätigkeit genutzt werden. Diese Steuerbefreiung wird "Investitionsabzug" genannt.</w:t>
      </w:r>
    </w:p>
    <w:p w14:paraId="6CA18C30" w14:textId="77777777" w:rsidR="00DB693B" w:rsidRDefault="00DB693B" w:rsidP="00DB693B">
      <w:pPr>
        <w:autoSpaceDE w:val="0"/>
        <w:autoSpaceDN w:val="0"/>
        <w:adjustRightInd w:val="0"/>
        <w:jc w:val="both"/>
        <w:rPr>
          <w:sz w:val="20"/>
          <w:szCs w:val="20"/>
        </w:rPr>
      </w:pPr>
    </w:p>
    <w:p w14:paraId="704268F2" w14:textId="0CC7B8D4" w:rsidR="00DB693B" w:rsidRDefault="00DB693B" w:rsidP="00DB693B">
      <w:pPr>
        <w:autoSpaceDE w:val="0"/>
        <w:autoSpaceDN w:val="0"/>
        <w:adjustRightInd w:val="0"/>
        <w:jc w:val="both"/>
        <w:rPr>
          <w:sz w:val="20"/>
          <w:szCs w:val="20"/>
        </w:rPr>
      </w:pPr>
      <w:r>
        <w:rPr>
          <w:sz w:val="20"/>
          <w:szCs w:val="20"/>
        </w:rPr>
        <w:t>[</w:t>
      </w:r>
      <w:r w:rsidRPr="00DB693B">
        <w:rPr>
          <w:sz w:val="20"/>
          <w:szCs w:val="20"/>
        </w:rPr>
        <w:t>Sind im Anschaffungs- oder Investitionswert der in Neuzustand gebildeten Anlagen jedoch Entlohnungen enthalten, für die der Arbeitgeber einen Teil oder die Gesamtheit des Berufssteuervorabzugs in Anwendung von Titel VI Kapitel 1 Abschnitt 4 Unterabschnitt 3 nicht der Staatskasse zugeführt hat, darf dieser nicht gezahlte Berufssteuervorabzug nicht in die Grundlage für die Berechnung des Investitionsabzugs einbezogen werden.</w:t>
      </w:r>
      <w:r>
        <w:rPr>
          <w:sz w:val="20"/>
          <w:szCs w:val="20"/>
        </w:rPr>
        <w:t>]</w:t>
      </w:r>
    </w:p>
    <w:p w14:paraId="7F9B1D03" w14:textId="77777777" w:rsidR="00DB693B" w:rsidRDefault="00DB693B" w:rsidP="00DB693B">
      <w:pPr>
        <w:autoSpaceDE w:val="0"/>
        <w:autoSpaceDN w:val="0"/>
        <w:adjustRightInd w:val="0"/>
        <w:jc w:val="both"/>
        <w:rPr>
          <w:sz w:val="20"/>
          <w:szCs w:val="20"/>
        </w:rPr>
      </w:pPr>
    </w:p>
    <w:p w14:paraId="484DA367" w14:textId="631686F9" w:rsidR="00DB693B" w:rsidRDefault="00DB693B" w:rsidP="00DB693B">
      <w:pPr>
        <w:autoSpaceDE w:val="0"/>
        <w:autoSpaceDN w:val="0"/>
        <w:adjustRightInd w:val="0"/>
        <w:jc w:val="both"/>
        <w:rPr>
          <w:sz w:val="20"/>
          <w:szCs w:val="20"/>
        </w:rPr>
      </w:pPr>
      <w:r>
        <w:rPr>
          <w:i/>
          <w:iCs/>
          <w:sz w:val="20"/>
          <w:szCs w:val="20"/>
        </w:rPr>
        <w:t xml:space="preserve">[Art. 68 Abs. 2 eingefügt durch Art. 3 </w:t>
      </w:r>
      <w:r w:rsidRPr="00DB693B">
        <w:rPr>
          <w:i/>
          <w:iCs/>
          <w:sz w:val="20"/>
          <w:szCs w:val="20"/>
        </w:rPr>
        <w:t>des G. vom 12. Mai 2024 (B.S. vom 29. Mai 2024) - anwendbar auf die ab dem 1. Januar 2025 erworbenen oder gebildeten Anlagen</w:t>
      </w:r>
      <w:r>
        <w:rPr>
          <w:i/>
          <w:iCs/>
          <w:sz w:val="20"/>
          <w:szCs w:val="20"/>
        </w:rPr>
        <w:t> -]</w:t>
      </w:r>
      <w:r>
        <w:rPr>
          <w:sz w:val="20"/>
          <w:szCs w:val="20"/>
        </w:rPr>
        <w:t>"</w:t>
      </w:r>
    </w:p>
    <w:p w14:paraId="5794DCFC" w14:textId="77777777" w:rsidR="00DB693B" w:rsidRPr="00DB693B" w:rsidRDefault="00DB693B" w:rsidP="00DB693B">
      <w:pPr>
        <w:autoSpaceDE w:val="0"/>
        <w:autoSpaceDN w:val="0"/>
        <w:adjustRightInd w:val="0"/>
        <w:jc w:val="both"/>
      </w:pPr>
    </w:p>
    <w:p w14:paraId="7CFA835D" w14:textId="77777777" w:rsidR="00DB693B" w:rsidRPr="00DB693B" w:rsidRDefault="00DB693B" w:rsidP="00DB693B">
      <w:pPr>
        <w:autoSpaceDE w:val="0"/>
        <w:autoSpaceDN w:val="0"/>
        <w:adjustRightInd w:val="0"/>
        <w:jc w:val="both"/>
        <w:rPr>
          <w:i/>
          <w:iCs/>
        </w:rPr>
      </w:pPr>
    </w:p>
    <w:p w14:paraId="3BC25792" w14:textId="13D9AB65" w:rsidR="006F52B8" w:rsidRPr="009118AB" w:rsidRDefault="00477B8F" w:rsidP="006F52B8">
      <w:pPr>
        <w:autoSpaceDE w:val="0"/>
        <w:autoSpaceDN w:val="0"/>
        <w:adjustRightInd w:val="0"/>
        <w:jc w:val="both"/>
      </w:pPr>
      <w:bookmarkStart w:id="10" w:name="_Hlk201926380"/>
      <w:r w:rsidRPr="009118AB">
        <w:tab/>
      </w:r>
      <w:r w:rsidR="00D67EB8" w:rsidRPr="009118AB">
        <w:rPr>
          <w:b/>
          <w:bCs/>
        </w:rPr>
        <w:t>Art. </w:t>
      </w:r>
      <w:r w:rsidRPr="009118AB">
        <w:rPr>
          <w:b/>
          <w:bCs/>
        </w:rPr>
        <w:t>69</w:t>
      </w:r>
      <w:r w:rsidR="00D67EB8" w:rsidRPr="009118AB">
        <w:t> - </w:t>
      </w:r>
      <w:r w:rsidR="006F52B8" w:rsidRPr="009118AB">
        <w:t>[</w:t>
      </w:r>
      <w:r w:rsidR="00D67EB8" w:rsidRPr="009118AB">
        <w:t>§ </w:t>
      </w:r>
      <w:r w:rsidR="006F52B8" w:rsidRPr="009118AB">
        <w:t>1]</w:t>
      </w:r>
      <w:r w:rsidR="00D67EB8" w:rsidRPr="009118AB">
        <w:t> - </w:t>
      </w:r>
      <w:r w:rsidR="006F52B8" w:rsidRPr="009118AB">
        <w:t>[Der Investitionsabzug wird auf Gewinne oder Profite des Besteuerungszeitraums angewandt, in dem die Anlagen erworben oder gebildet wurden, und wird wie folgt festgelegt:</w:t>
      </w:r>
    </w:p>
    <w:p w14:paraId="29A660E5" w14:textId="77777777" w:rsidR="006F52B8" w:rsidRPr="009118AB" w:rsidRDefault="006F52B8" w:rsidP="006F52B8">
      <w:pPr>
        <w:autoSpaceDE w:val="0"/>
        <w:autoSpaceDN w:val="0"/>
        <w:adjustRightInd w:val="0"/>
        <w:jc w:val="both"/>
      </w:pPr>
    </w:p>
    <w:p w14:paraId="6EDFF766" w14:textId="61247227" w:rsidR="006F52B8" w:rsidRPr="009118AB" w:rsidRDefault="00C571E9" w:rsidP="006F52B8">
      <w:pPr>
        <w:autoSpaceDE w:val="0"/>
        <w:autoSpaceDN w:val="0"/>
        <w:adjustRightInd w:val="0"/>
        <w:jc w:val="both"/>
      </w:pPr>
      <w:r w:rsidRPr="009118AB">
        <w:tab/>
      </w:r>
      <w:r w:rsidR="006F52B8" w:rsidRPr="009118AB">
        <w:t xml:space="preserve">1. </w:t>
      </w:r>
      <w:r w:rsidR="00D53721" w:rsidRPr="009118AB">
        <w:t>[Der Basisprozentsatz des Abzugs beträgt 8 Prozent.]</w:t>
      </w:r>
      <w:r w:rsidR="00A91D15" w:rsidRPr="009118AB">
        <w:t xml:space="preserve"> [Für Anlagen, die zwischen dem 1. Januar 2018 und dem 31. Dezember 2019 erworben oder gebildet werden, beträgt der Basisprozentsatz des Abzugs jedoch 20 Prozent.]</w:t>
      </w:r>
      <w:r w:rsidR="00CD60DD" w:rsidRPr="009118AB">
        <w:t xml:space="preserve"> [Für Anlagen, die zwischen dem 12. März 2020 und dem </w:t>
      </w:r>
      <w:r w:rsidR="002078E5" w:rsidRPr="009118AB">
        <w:t>[</w:t>
      </w:r>
      <w:r w:rsidR="00CD60DD" w:rsidRPr="009118AB">
        <w:t>31. Dezember 202</w:t>
      </w:r>
      <w:r w:rsidR="002078E5" w:rsidRPr="009118AB">
        <w:t>2]</w:t>
      </w:r>
      <w:r w:rsidR="00CD60DD" w:rsidRPr="009118AB">
        <w:t xml:space="preserve"> erworben oder gebildet werden, beträgt der Basisprozentsatz des Abzugs 25 Prozent.]</w:t>
      </w:r>
    </w:p>
    <w:p w14:paraId="2122E577" w14:textId="77777777" w:rsidR="006F52B8" w:rsidRPr="009118AB" w:rsidRDefault="006F52B8" w:rsidP="006F52B8">
      <w:pPr>
        <w:autoSpaceDE w:val="0"/>
        <w:autoSpaceDN w:val="0"/>
        <w:adjustRightInd w:val="0"/>
        <w:jc w:val="both"/>
      </w:pPr>
    </w:p>
    <w:p w14:paraId="52C9BECD" w14:textId="3DF8CAE1" w:rsidR="006F52B8" w:rsidRPr="009118AB" w:rsidRDefault="00C571E9" w:rsidP="006F52B8">
      <w:pPr>
        <w:autoSpaceDE w:val="0"/>
        <w:autoSpaceDN w:val="0"/>
        <w:adjustRightInd w:val="0"/>
        <w:jc w:val="both"/>
      </w:pPr>
      <w:r w:rsidRPr="009118AB">
        <w:tab/>
      </w:r>
      <w:r w:rsidR="006F52B8" w:rsidRPr="009118AB">
        <w:t>2. [</w:t>
      </w:r>
      <w:r w:rsidR="00D53721" w:rsidRPr="009118AB">
        <w:t xml:space="preserve">[In Abweichung von </w:t>
      </w:r>
      <w:r w:rsidR="00D67EB8" w:rsidRPr="009118AB">
        <w:t>Nr. </w:t>
      </w:r>
      <w:r w:rsidR="00D53721" w:rsidRPr="009118AB">
        <w:t>1 entspricht in den nachstehend aufgezählten Fällen der Basisprozentsatz des Abzugs der prozentualen Steigerung des Durchschnittswertes der Verbraucherpreisindexe des Königreichs des vorletzten Jahres vor dem Jahr, dessen Jahreszahl das Steuerjahr bestimmt, an das der Besteuerungszeitraum gebunden ist, in dem die Investition getätigt wird, im Verhältnis zum Durchschnittswert der Verbraucherpreis</w:t>
      </w:r>
      <w:r w:rsidR="00D53721" w:rsidRPr="009118AB">
        <w:softHyphen/>
        <w:t>indexe des vorhergehenden Jahres, abgerundet auf den größeren oder kleineren Einer, je nachdem ob der Bruch 50 Prozent erreicht oder nicht, und erhöht um 1,5 Prozentpunkte, ohne dass der so erhaltene Prozentsatz unter 3,5 Prozent oder über 10,5 Prozent liegen darf. Dieser Basisprozentsatz wird um 10 Prozentpunkte erhöht in Bezug auf:]</w:t>
      </w:r>
    </w:p>
    <w:p w14:paraId="20A99DA2" w14:textId="77777777" w:rsidR="006F52B8" w:rsidRPr="009118AB" w:rsidRDefault="006F52B8" w:rsidP="006F52B8">
      <w:pPr>
        <w:autoSpaceDE w:val="0"/>
        <w:autoSpaceDN w:val="0"/>
        <w:adjustRightInd w:val="0"/>
        <w:jc w:val="both"/>
      </w:pPr>
    </w:p>
    <w:p w14:paraId="26111D8E" w14:textId="77777777" w:rsidR="006F52B8" w:rsidRPr="009118AB" w:rsidRDefault="00C571E9" w:rsidP="006F52B8">
      <w:pPr>
        <w:autoSpaceDE w:val="0"/>
        <w:autoSpaceDN w:val="0"/>
        <w:adjustRightInd w:val="0"/>
        <w:jc w:val="both"/>
      </w:pPr>
      <w:r w:rsidRPr="009118AB">
        <w:rPr>
          <w:i/>
          <w:iCs/>
        </w:rPr>
        <w:tab/>
      </w:r>
      <w:r w:rsidR="006F52B8" w:rsidRPr="009118AB">
        <w:rPr>
          <w:i/>
          <w:iCs/>
        </w:rPr>
        <w:t>a)</w:t>
      </w:r>
      <w:r w:rsidR="006F52B8" w:rsidRPr="009118AB">
        <w:t xml:space="preserve"> Patente,</w:t>
      </w:r>
    </w:p>
    <w:p w14:paraId="79A791EC" w14:textId="77777777" w:rsidR="006F52B8" w:rsidRPr="009118AB" w:rsidRDefault="006F52B8" w:rsidP="006F52B8">
      <w:pPr>
        <w:autoSpaceDE w:val="0"/>
        <w:autoSpaceDN w:val="0"/>
        <w:adjustRightInd w:val="0"/>
        <w:jc w:val="both"/>
      </w:pPr>
    </w:p>
    <w:p w14:paraId="2C95F390" w14:textId="77777777" w:rsidR="006F52B8" w:rsidRPr="009118AB" w:rsidRDefault="00C571E9" w:rsidP="006F52B8">
      <w:pPr>
        <w:autoSpaceDE w:val="0"/>
        <w:autoSpaceDN w:val="0"/>
        <w:adjustRightInd w:val="0"/>
        <w:jc w:val="both"/>
      </w:pPr>
      <w:r w:rsidRPr="009118AB">
        <w:rPr>
          <w:i/>
          <w:iCs/>
        </w:rPr>
        <w:tab/>
      </w:r>
      <w:r w:rsidR="006F52B8" w:rsidRPr="009118AB">
        <w:rPr>
          <w:i/>
          <w:iCs/>
        </w:rPr>
        <w:t>b)</w:t>
      </w:r>
      <w:r w:rsidR="006F52B8" w:rsidRPr="009118AB">
        <w:t xml:space="preserve"> Anlagen zur Förderung der Forschung und der Entwicklung neuer Produkte und hoch entwickelter Technologien, die keine Auswirkungen auf die Umwelt haben oder negative Auswirkungen auf die Umwelt verringern sollen,</w:t>
      </w:r>
    </w:p>
    <w:p w14:paraId="0FAD934A" w14:textId="77777777" w:rsidR="006F52B8" w:rsidRPr="009118AB" w:rsidRDefault="006F52B8" w:rsidP="006F52B8">
      <w:pPr>
        <w:autoSpaceDE w:val="0"/>
        <w:autoSpaceDN w:val="0"/>
        <w:adjustRightInd w:val="0"/>
        <w:jc w:val="both"/>
      </w:pPr>
    </w:p>
    <w:p w14:paraId="10F8254C" w14:textId="77777777" w:rsidR="006F52B8" w:rsidRPr="009118AB" w:rsidRDefault="00C571E9" w:rsidP="006F52B8">
      <w:pPr>
        <w:autoSpaceDE w:val="0"/>
        <w:autoSpaceDN w:val="0"/>
        <w:adjustRightInd w:val="0"/>
        <w:jc w:val="both"/>
      </w:pPr>
      <w:r w:rsidRPr="009118AB">
        <w:rPr>
          <w:i/>
          <w:iCs/>
        </w:rPr>
        <w:lastRenderedPageBreak/>
        <w:tab/>
      </w:r>
      <w:r w:rsidR="006F52B8" w:rsidRPr="009118AB">
        <w:rPr>
          <w:i/>
          <w:iCs/>
        </w:rPr>
        <w:t>c)</w:t>
      </w:r>
      <w:r w:rsidR="006F52B8" w:rsidRPr="009118AB">
        <w:t xml:space="preserve"> Anlagen für eine rationellere Energienutzung, für eine Verbesserung der Industrieverfahren hinsichtlich des Energieverbrauchs und insbesondere für die Energierückgewinnung in der Industrie,</w:t>
      </w:r>
    </w:p>
    <w:p w14:paraId="1ABB9CEB" w14:textId="77777777" w:rsidR="006F52B8" w:rsidRPr="009118AB" w:rsidRDefault="006F52B8" w:rsidP="006F52B8">
      <w:pPr>
        <w:autoSpaceDE w:val="0"/>
        <w:autoSpaceDN w:val="0"/>
        <w:adjustRightInd w:val="0"/>
        <w:jc w:val="both"/>
      </w:pPr>
    </w:p>
    <w:p w14:paraId="2A7FA1B7" w14:textId="77777777" w:rsidR="006F52B8" w:rsidRPr="009118AB" w:rsidRDefault="00C571E9" w:rsidP="006F52B8">
      <w:pPr>
        <w:autoSpaceDE w:val="0"/>
        <w:autoSpaceDN w:val="0"/>
        <w:adjustRightInd w:val="0"/>
        <w:jc w:val="both"/>
      </w:pPr>
      <w:r w:rsidRPr="009118AB">
        <w:rPr>
          <w:i/>
          <w:iCs/>
        </w:rPr>
        <w:tab/>
      </w:r>
      <w:r w:rsidR="006F52B8" w:rsidRPr="009118AB">
        <w:rPr>
          <w:i/>
          <w:iCs/>
        </w:rPr>
        <w:t>d)</w:t>
      </w:r>
      <w:r w:rsidR="006F52B8" w:rsidRPr="009118AB">
        <w:t xml:space="preserve"> [Abluft</w:t>
      </w:r>
      <w:r w:rsidR="006F52B8" w:rsidRPr="009118AB">
        <w:noBreakHyphen/>
        <w:t xml:space="preserve"> oder Luftreinigungsanlagen, die in Raucherräumen von Horeca-Betrieben angebracht sind,]]</w:t>
      </w:r>
    </w:p>
    <w:p w14:paraId="7D6BA1C0" w14:textId="77777777" w:rsidR="006F52B8" w:rsidRPr="009118AB" w:rsidRDefault="006F52B8" w:rsidP="006F52B8">
      <w:pPr>
        <w:autoSpaceDE w:val="0"/>
        <w:autoSpaceDN w:val="0"/>
        <w:adjustRightInd w:val="0"/>
        <w:jc w:val="both"/>
      </w:pPr>
    </w:p>
    <w:p w14:paraId="25292C67" w14:textId="16B1C1C2" w:rsidR="006F52B8" w:rsidRPr="009118AB" w:rsidRDefault="00C571E9" w:rsidP="006F52B8">
      <w:pPr>
        <w:autoSpaceDE w:val="0"/>
        <w:autoSpaceDN w:val="0"/>
        <w:adjustRightInd w:val="0"/>
        <w:jc w:val="both"/>
      </w:pPr>
      <w:r w:rsidRPr="009118AB">
        <w:tab/>
      </w:r>
      <w:r w:rsidR="006F52B8" w:rsidRPr="009118AB">
        <w:t>[</w:t>
      </w:r>
      <w:r w:rsidR="006F52B8" w:rsidRPr="009118AB">
        <w:rPr>
          <w:i/>
        </w:rPr>
        <w:t>e)</w:t>
      </w:r>
      <w:r w:rsidR="006F52B8" w:rsidRPr="009118AB">
        <w:t xml:space="preserve"> </w:t>
      </w:r>
      <w:r w:rsidR="00D53721" w:rsidRPr="009118AB">
        <w:t>[</w:t>
      </w:r>
      <w:r w:rsidR="0038042C" w:rsidRPr="009118AB">
        <w:rPr>
          <w:rFonts w:eastAsia="Calibri"/>
          <w:szCs w:val="22"/>
          <w:lang w:eastAsia="en-US"/>
        </w:rPr>
        <w:t>Lastkraftwagen ohne Kohlenstoffemissionen und Tankinfrastruktur für blauen, grünen oder türkisen Wasserstoff und elektrische Ladeinfrastruktur in Bezug auf Lastkraftwagen ohne Kohlenstoffemissionen,</w:t>
      </w:r>
      <w:r w:rsidR="00D53721" w:rsidRPr="009118AB">
        <w:t>]</w:t>
      </w:r>
      <w:r w:rsidR="006F52B8" w:rsidRPr="009118AB">
        <w:t>]</w:t>
      </w:r>
    </w:p>
    <w:p w14:paraId="37992364" w14:textId="77777777" w:rsidR="00F0724E" w:rsidRPr="009118AB" w:rsidRDefault="00F0724E" w:rsidP="006F52B8">
      <w:pPr>
        <w:autoSpaceDE w:val="0"/>
        <w:autoSpaceDN w:val="0"/>
        <w:adjustRightInd w:val="0"/>
        <w:jc w:val="both"/>
      </w:pPr>
    </w:p>
    <w:p w14:paraId="08EF811B" w14:textId="77777777" w:rsidR="00F0724E" w:rsidRPr="009118AB" w:rsidRDefault="00F0724E" w:rsidP="006F52B8">
      <w:pPr>
        <w:autoSpaceDE w:val="0"/>
        <w:autoSpaceDN w:val="0"/>
        <w:adjustRightInd w:val="0"/>
        <w:jc w:val="both"/>
      </w:pPr>
      <w:r w:rsidRPr="009118AB">
        <w:tab/>
        <w:t>[</w:t>
      </w:r>
      <w:r w:rsidRPr="009118AB">
        <w:rPr>
          <w:i/>
        </w:rPr>
        <w:t>f)</w:t>
      </w:r>
      <w:r w:rsidRPr="009118AB">
        <w:t> digitale Anlagen zur Integration und zum Betrieb digitaler Zahlungs- und Rechnungsstellungssysteme und Systeme zur Sicherung der Informations- und Kommunikationstechnologie.]</w:t>
      </w:r>
    </w:p>
    <w:p w14:paraId="6738B11D" w14:textId="77777777" w:rsidR="006F52B8" w:rsidRPr="009118AB" w:rsidRDefault="006F52B8" w:rsidP="006F52B8">
      <w:pPr>
        <w:autoSpaceDE w:val="0"/>
        <w:autoSpaceDN w:val="0"/>
        <w:adjustRightInd w:val="0"/>
        <w:jc w:val="both"/>
      </w:pPr>
    </w:p>
    <w:p w14:paraId="04EF8A3E" w14:textId="5C7264B8" w:rsidR="006F52B8" w:rsidRPr="009118AB" w:rsidRDefault="00C571E9" w:rsidP="006F52B8">
      <w:pPr>
        <w:autoSpaceDE w:val="0"/>
        <w:autoSpaceDN w:val="0"/>
        <w:adjustRightInd w:val="0"/>
        <w:jc w:val="both"/>
      </w:pPr>
      <w:r w:rsidRPr="009118AB">
        <w:tab/>
      </w:r>
      <w:r w:rsidR="006F52B8" w:rsidRPr="009118AB">
        <w:t xml:space="preserve">[3. </w:t>
      </w:r>
      <w:r w:rsidR="00D53721" w:rsidRPr="009118AB">
        <w:t xml:space="preserve">[Der in </w:t>
      </w:r>
      <w:r w:rsidR="00D67EB8" w:rsidRPr="009118AB">
        <w:t>Nr. </w:t>
      </w:r>
      <w:r w:rsidR="00D53721" w:rsidRPr="009118AB">
        <w:t>2 erwähnte Basisprozentsatz]</w:t>
      </w:r>
      <w:r w:rsidR="006F52B8" w:rsidRPr="009118AB">
        <w:t xml:space="preserve"> wird um 17 Prozentpunkte erhöht in Bezug auf Sachanlagen [für die Absicherung beruflich genutzter Räume und ihres Inhalts] [...] [und der in Artikel 44</w:t>
      </w:r>
      <w:r w:rsidR="006F52B8" w:rsidRPr="009118AB">
        <w:rPr>
          <w:i/>
        </w:rPr>
        <w:t>bis</w:t>
      </w:r>
      <w:r w:rsidR="006F52B8" w:rsidRPr="009118AB">
        <w:t xml:space="preserve"> </w:t>
      </w:r>
      <w:r w:rsidR="00D67EB8" w:rsidRPr="009118AB">
        <w:t>§ </w:t>
      </w:r>
      <w:r w:rsidR="006F52B8" w:rsidRPr="009118AB">
        <w:t>1 Absatz 3 erwähnten Betriebsfahrzeuge]</w:t>
      </w:r>
      <w:r w:rsidR="00C828F1" w:rsidRPr="009118AB">
        <w:t>,</w:t>
      </w:r>
      <w:r w:rsidR="006F52B8" w:rsidRPr="009118AB">
        <w:t>]</w:t>
      </w:r>
    </w:p>
    <w:p w14:paraId="3C92364B" w14:textId="5039BB87" w:rsidR="00C828F1" w:rsidRPr="009118AB" w:rsidRDefault="00C828F1" w:rsidP="006F52B8">
      <w:pPr>
        <w:autoSpaceDE w:val="0"/>
        <w:autoSpaceDN w:val="0"/>
        <w:adjustRightInd w:val="0"/>
        <w:jc w:val="both"/>
      </w:pPr>
    </w:p>
    <w:p w14:paraId="4DE28500" w14:textId="41D7D7E3" w:rsidR="00C828F1" w:rsidRPr="009118AB" w:rsidRDefault="00C828F1" w:rsidP="00C828F1">
      <w:pPr>
        <w:jc w:val="both"/>
        <w:rPr>
          <w:rFonts w:eastAsia="Calibri"/>
          <w:lang w:eastAsia="en-US"/>
        </w:rPr>
      </w:pPr>
      <w:r w:rsidRPr="009118AB">
        <w:tab/>
        <w:t>[</w:t>
      </w:r>
      <w:r w:rsidRPr="009118AB">
        <w:rPr>
          <w:rFonts w:eastAsia="Calibri"/>
          <w:szCs w:val="22"/>
          <w:lang w:eastAsia="en-US"/>
        </w:rPr>
        <w:t xml:space="preserve">4. Der für die in </w:t>
      </w:r>
      <w:r w:rsidR="00D67EB8" w:rsidRPr="009118AB">
        <w:rPr>
          <w:rFonts w:eastAsia="Calibri"/>
          <w:szCs w:val="22"/>
          <w:lang w:eastAsia="en-US"/>
        </w:rPr>
        <w:t>Nr. </w:t>
      </w:r>
      <w:r w:rsidRPr="009118AB">
        <w:rPr>
          <w:rFonts w:eastAsia="Calibri"/>
          <w:szCs w:val="22"/>
          <w:lang w:eastAsia="en-US"/>
        </w:rPr>
        <w:t>2 Buchstabe </w:t>
      </w:r>
      <w:r w:rsidRPr="009118AB">
        <w:rPr>
          <w:rFonts w:eastAsia="Calibri"/>
          <w:i/>
          <w:iCs/>
          <w:szCs w:val="22"/>
          <w:lang w:eastAsia="en-US"/>
        </w:rPr>
        <w:t>e)</w:t>
      </w:r>
      <w:r w:rsidRPr="009118AB">
        <w:rPr>
          <w:rFonts w:eastAsia="Calibri"/>
          <w:szCs w:val="22"/>
          <w:lang w:eastAsia="en-US"/>
        </w:rPr>
        <w:t xml:space="preserve"> erwähnten Anlagen anwendbare Prozentsatz wird zusätzlich erhöht um:</w:t>
      </w:r>
    </w:p>
    <w:p w14:paraId="06152AB1" w14:textId="77777777" w:rsidR="00C828F1" w:rsidRPr="009118AB" w:rsidRDefault="00C828F1" w:rsidP="00C828F1">
      <w:pPr>
        <w:jc w:val="both"/>
        <w:rPr>
          <w:rFonts w:eastAsia="Calibri"/>
          <w:lang w:eastAsia="en-US"/>
        </w:rPr>
      </w:pPr>
    </w:p>
    <w:p w14:paraId="75138C08" w14:textId="77777777" w:rsidR="00C828F1" w:rsidRPr="009118AB" w:rsidRDefault="00C828F1" w:rsidP="00C828F1">
      <w:pPr>
        <w:jc w:val="both"/>
        <w:rPr>
          <w:rFonts w:eastAsia="Calibri"/>
          <w:lang w:eastAsia="en-US"/>
        </w:rPr>
      </w:pPr>
      <w:r w:rsidRPr="009118AB">
        <w:rPr>
          <w:rFonts w:eastAsia="Calibri"/>
          <w:szCs w:val="22"/>
          <w:lang w:eastAsia="en-US"/>
        </w:rPr>
        <w:tab/>
        <w:t>- 21,5 Prozentpunkte für 2022 oder 2023 erworbene oder gebildete Anlagen,</w:t>
      </w:r>
    </w:p>
    <w:p w14:paraId="09F016E8" w14:textId="77777777" w:rsidR="00C828F1" w:rsidRPr="009118AB" w:rsidRDefault="00C828F1" w:rsidP="00C828F1">
      <w:pPr>
        <w:jc w:val="both"/>
        <w:rPr>
          <w:rFonts w:eastAsia="Calibri"/>
          <w:lang w:eastAsia="en-US"/>
        </w:rPr>
      </w:pPr>
    </w:p>
    <w:p w14:paraId="5AAB6978" w14:textId="77777777" w:rsidR="00C828F1" w:rsidRPr="009118AB" w:rsidRDefault="00C828F1" w:rsidP="00C828F1">
      <w:pPr>
        <w:jc w:val="both"/>
        <w:rPr>
          <w:rFonts w:eastAsia="Calibri"/>
          <w:lang w:eastAsia="en-US"/>
        </w:rPr>
      </w:pPr>
      <w:r w:rsidRPr="009118AB">
        <w:rPr>
          <w:rFonts w:eastAsia="Calibri"/>
          <w:szCs w:val="22"/>
          <w:lang w:eastAsia="en-US"/>
        </w:rPr>
        <w:tab/>
        <w:t>- 16 Prozentpunkte für 2024 erworbene oder gebildete Anlagen,</w:t>
      </w:r>
    </w:p>
    <w:p w14:paraId="7CF9FA5B" w14:textId="77777777" w:rsidR="00C828F1" w:rsidRPr="009118AB" w:rsidRDefault="00C828F1" w:rsidP="00C828F1">
      <w:pPr>
        <w:jc w:val="both"/>
        <w:rPr>
          <w:rFonts w:eastAsia="Calibri"/>
          <w:lang w:eastAsia="en-US"/>
        </w:rPr>
      </w:pPr>
    </w:p>
    <w:p w14:paraId="1D066621" w14:textId="77777777" w:rsidR="00C828F1" w:rsidRPr="009118AB" w:rsidRDefault="00C828F1" w:rsidP="00C828F1">
      <w:pPr>
        <w:jc w:val="both"/>
        <w:rPr>
          <w:rFonts w:eastAsia="Calibri"/>
          <w:lang w:eastAsia="en-US"/>
        </w:rPr>
      </w:pPr>
      <w:r w:rsidRPr="009118AB">
        <w:rPr>
          <w:rFonts w:eastAsia="Calibri"/>
          <w:szCs w:val="22"/>
          <w:lang w:eastAsia="en-US"/>
        </w:rPr>
        <w:tab/>
        <w:t>- 10,5 Prozentpunkte für 2025 erworbene oder gebildete Anlagen,</w:t>
      </w:r>
    </w:p>
    <w:p w14:paraId="1988B737" w14:textId="77777777" w:rsidR="00C828F1" w:rsidRPr="009118AB" w:rsidRDefault="00C828F1" w:rsidP="00C828F1">
      <w:pPr>
        <w:jc w:val="both"/>
        <w:rPr>
          <w:rFonts w:eastAsia="Calibri"/>
          <w:lang w:eastAsia="en-US"/>
        </w:rPr>
      </w:pPr>
    </w:p>
    <w:p w14:paraId="51DC138B" w14:textId="2CE96770" w:rsidR="00C828F1" w:rsidRPr="009118AB" w:rsidRDefault="00C828F1" w:rsidP="00C828F1">
      <w:pPr>
        <w:autoSpaceDE w:val="0"/>
        <w:autoSpaceDN w:val="0"/>
        <w:adjustRightInd w:val="0"/>
        <w:jc w:val="both"/>
      </w:pPr>
      <w:r w:rsidRPr="009118AB">
        <w:rPr>
          <w:rFonts w:eastAsia="Calibri"/>
          <w:szCs w:val="22"/>
          <w:lang w:eastAsia="en-US"/>
        </w:rPr>
        <w:tab/>
        <w:t>- 5 Prozentpunkte für 2026 erworbene oder gebildete Anlagen.</w:t>
      </w:r>
      <w:r w:rsidRPr="009118AB">
        <w:t>]</w:t>
      </w:r>
    </w:p>
    <w:p w14:paraId="749724CB" w14:textId="77777777" w:rsidR="006F52B8" w:rsidRPr="009118AB" w:rsidRDefault="006F52B8" w:rsidP="006F52B8">
      <w:pPr>
        <w:autoSpaceDE w:val="0"/>
        <w:autoSpaceDN w:val="0"/>
        <w:adjustRightInd w:val="0"/>
        <w:jc w:val="both"/>
      </w:pPr>
    </w:p>
    <w:p w14:paraId="656B6965" w14:textId="77777777" w:rsidR="006F52B8" w:rsidRPr="009118AB" w:rsidRDefault="00C571E9" w:rsidP="006F52B8">
      <w:pPr>
        <w:autoSpaceDE w:val="0"/>
        <w:autoSpaceDN w:val="0"/>
        <w:adjustRightInd w:val="0"/>
        <w:jc w:val="both"/>
      </w:pPr>
      <w:r w:rsidRPr="009118AB">
        <w:tab/>
      </w:r>
      <w:r w:rsidR="006F52B8" w:rsidRPr="009118AB">
        <w:t>Der König kann durch einen im Ministerrat beratenen Erlass den Basisprozentsatz erhöhen, wenn wirtschaftliche Umstände es rechtfertigen.</w:t>
      </w:r>
    </w:p>
    <w:p w14:paraId="64B72606" w14:textId="77777777" w:rsidR="006F52B8" w:rsidRPr="009118AB" w:rsidRDefault="006F52B8" w:rsidP="006F52B8">
      <w:pPr>
        <w:autoSpaceDE w:val="0"/>
        <w:autoSpaceDN w:val="0"/>
        <w:adjustRightInd w:val="0"/>
        <w:jc w:val="both"/>
      </w:pPr>
    </w:p>
    <w:p w14:paraId="613AA851" w14:textId="797FFED6" w:rsidR="006F52B8" w:rsidRPr="009118AB" w:rsidRDefault="00C571E9" w:rsidP="006F52B8">
      <w:pPr>
        <w:autoSpaceDE w:val="0"/>
        <w:autoSpaceDN w:val="0"/>
        <w:adjustRightInd w:val="0"/>
        <w:jc w:val="both"/>
      </w:pPr>
      <w:r w:rsidRPr="009118AB">
        <w:tab/>
      </w:r>
      <w:r w:rsidR="00016024" w:rsidRPr="009118AB">
        <w:t xml:space="preserve">[Der König reicht bei der Abgeordnetenkammer, wenn sie versammelt ist, unverzüglich und sonst, sobald die nächste Sitzungsperiode eröffnet ist, einen Gesetzentwurf ein zur Bestätigung der Erlasse zur Ausführung von Absatz 2. Es wird davon ausgegangen, dass diese Erlasse nicht wirksam geworden sind, wenn sie nicht binnen zwölf Monaten nach dem Datum ihrer Veröffentlichung im </w:t>
      </w:r>
      <w:r w:rsidR="00016024" w:rsidRPr="009118AB">
        <w:rPr>
          <w:i/>
          <w:iCs/>
        </w:rPr>
        <w:t>Belgischen Staatsblatt</w:t>
      </w:r>
      <w:r w:rsidR="00016024" w:rsidRPr="009118AB">
        <w:t xml:space="preserve"> durch Gesetz bestätigt worden sind.]</w:t>
      </w:r>
      <w:r w:rsidR="006F52B8" w:rsidRPr="009118AB">
        <w:t>]</w:t>
      </w:r>
    </w:p>
    <w:p w14:paraId="22581A19" w14:textId="77777777" w:rsidR="006F52B8" w:rsidRPr="009118AB" w:rsidRDefault="006F52B8" w:rsidP="006F52B8">
      <w:pPr>
        <w:autoSpaceDE w:val="0"/>
        <w:autoSpaceDN w:val="0"/>
        <w:adjustRightInd w:val="0"/>
        <w:jc w:val="both"/>
      </w:pPr>
    </w:p>
    <w:p w14:paraId="28EDEF6D" w14:textId="677C3D87" w:rsidR="006F52B8" w:rsidRPr="009118AB" w:rsidRDefault="00C571E9" w:rsidP="006F52B8">
      <w:pPr>
        <w:autoSpaceDE w:val="0"/>
        <w:autoSpaceDN w:val="0"/>
        <w:adjustRightInd w:val="0"/>
        <w:jc w:val="both"/>
      </w:pPr>
      <w:r w:rsidRPr="009118AB">
        <w:tab/>
      </w:r>
      <w:r w:rsidR="006F52B8" w:rsidRPr="009118AB">
        <w:t xml:space="preserve">[Für die Anwendung von Absatz 1 </w:t>
      </w:r>
      <w:r w:rsidR="00D67EB8" w:rsidRPr="009118AB">
        <w:t>Nr. </w:t>
      </w:r>
      <w:r w:rsidR="006F52B8" w:rsidRPr="009118AB">
        <w:t>2 Buchstabe </w:t>
      </w:r>
      <w:r w:rsidR="006F52B8" w:rsidRPr="009118AB">
        <w:rPr>
          <w:i/>
          <w:iCs/>
        </w:rPr>
        <w:t>d)</w:t>
      </w:r>
      <w:r w:rsidR="006F52B8" w:rsidRPr="009118AB">
        <w:t xml:space="preserve"> versteht man unter Horeca-Betrieb: Ort oder Raum, der für die Öffentlichkeit zugänglich ist, ungeachtet der Zugangsbedingungen, wo die ständige Hauptaktivität darin besteht, Gerichte und/oder Getränke zuzubereiten und/oder selbst kostenlos zum eventuellen Verzehr vor Ort oder auch nicht anzubieten.]</w:t>
      </w:r>
    </w:p>
    <w:p w14:paraId="4B06E0DE" w14:textId="77777777" w:rsidR="00F0724E" w:rsidRPr="009118AB" w:rsidRDefault="00F0724E" w:rsidP="006F52B8">
      <w:pPr>
        <w:autoSpaceDE w:val="0"/>
        <w:autoSpaceDN w:val="0"/>
        <w:adjustRightInd w:val="0"/>
        <w:jc w:val="both"/>
      </w:pPr>
    </w:p>
    <w:p w14:paraId="61ED8E4C" w14:textId="1E352EBE" w:rsidR="006F52B8" w:rsidRPr="009118AB" w:rsidRDefault="00F0724E" w:rsidP="006F52B8">
      <w:pPr>
        <w:autoSpaceDE w:val="0"/>
        <w:autoSpaceDN w:val="0"/>
        <w:adjustRightInd w:val="0"/>
        <w:jc w:val="both"/>
      </w:pPr>
      <w:r w:rsidRPr="009118AB">
        <w:tab/>
        <w:t xml:space="preserve">[Der in Absatz 1 </w:t>
      </w:r>
      <w:r w:rsidR="00D67EB8" w:rsidRPr="009118AB">
        <w:t>Nr. </w:t>
      </w:r>
      <w:r w:rsidRPr="009118AB">
        <w:t>2 Buchstabe </w:t>
      </w:r>
      <w:r w:rsidRPr="009118AB">
        <w:rPr>
          <w:i/>
        </w:rPr>
        <w:t>f)</w:t>
      </w:r>
      <w:r w:rsidRPr="009118AB">
        <w:t xml:space="preserve"> erwähnte Abzug ist nur auf natürliche Personen anwendbar, die für das Steuerjahr, das sich auf den Besteuerungszeitraum bezieht, in dem die Anlagen erworben oder gebildet werden, die Kriterien von </w:t>
      </w:r>
      <w:r w:rsidR="00700AD2" w:rsidRPr="009118AB">
        <w:t>[</w:t>
      </w:r>
      <w:r w:rsidR="0038694D" w:rsidRPr="009118AB">
        <w:t>Artikel 1:24 §</w:t>
      </w:r>
      <w:r w:rsidR="00D67EB8" w:rsidRPr="009118AB">
        <w:t>§ </w:t>
      </w:r>
      <w:r w:rsidR="0038694D" w:rsidRPr="009118AB">
        <w:t>1 bis 6 des Gesetzbuches der Gesellschaften und Vereinigungen</w:t>
      </w:r>
      <w:r w:rsidR="00700AD2" w:rsidRPr="009118AB">
        <w:t>]</w:t>
      </w:r>
      <w:r w:rsidRPr="009118AB">
        <w:t xml:space="preserve"> mutatis mutandis erfüllen.]</w:t>
      </w:r>
    </w:p>
    <w:p w14:paraId="7178D7CB" w14:textId="7CD2E0CC" w:rsidR="00A91D15" w:rsidRPr="009118AB" w:rsidRDefault="00A91D15" w:rsidP="00D53721">
      <w:pPr>
        <w:autoSpaceDE w:val="0"/>
        <w:autoSpaceDN w:val="0"/>
        <w:adjustRightInd w:val="0"/>
        <w:jc w:val="both"/>
      </w:pPr>
    </w:p>
    <w:p w14:paraId="5F085BF3" w14:textId="3898C4A8" w:rsidR="00C828F1" w:rsidRPr="009118AB" w:rsidRDefault="00C828F1" w:rsidP="00C828F1">
      <w:pPr>
        <w:jc w:val="both"/>
        <w:rPr>
          <w:rFonts w:eastAsia="Calibri"/>
          <w:lang w:eastAsia="en-US"/>
        </w:rPr>
      </w:pPr>
      <w:r w:rsidRPr="009118AB">
        <w:lastRenderedPageBreak/>
        <w:tab/>
        <w:t>[</w:t>
      </w:r>
      <w:r w:rsidRPr="009118AB">
        <w:rPr>
          <w:rFonts w:eastAsia="Calibri"/>
          <w:szCs w:val="22"/>
          <w:lang w:eastAsia="en-US"/>
        </w:rPr>
        <w:t xml:space="preserve">Der in Absatz 1 </w:t>
      </w:r>
      <w:r w:rsidR="00D67EB8" w:rsidRPr="009118AB">
        <w:rPr>
          <w:rFonts w:eastAsia="Calibri"/>
          <w:szCs w:val="22"/>
          <w:lang w:eastAsia="en-US"/>
        </w:rPr>
        <w:t>Nr. </w:t>
      </w:r>
      <w:r w:rsidRPr="009118AB">
        <w:rPr>
          <w:rFonts w:eastAsia="Calibri"/>
          <w:szCs w:val="22"/>
          <w:lang w:eastAsia="en-US"/>
        </w:rPr>
        <w:t>2 Buchstabe </w:t>
      </w:r>
      <w:r w:rsidRPr="009118AB">
        <w:rPr>
          <w:rFonts w:eastAsia="Calibri"/>
          <w:i/>
          <w:iCs/>
          <w:szCs w:val="22"/>
          <w:lang w:eastAsia="en-US"/>
        </w:rPr>
        <w:t>e)</w:t>
      </w:r>
      <w:r w:rsidRPr="009118AB">
        <w:rPr>
          <w:rFonts w:eastAsia="Calibri"/>
          <w:szCs w:val="22"/>
          <w:lang w:eastAsia="en-US"/>
        </w:rPr>
        <w:t xml:space="preserve"> erwähnte Abzug wird auf 60 Millionen EUR begrenzt, das heißt den Betrag, mit dem die Beihilfehöchstintensität erwähnt in Artikel 4 Absatz 1 Buchstabe s der Verordnung (EU) </w:t>
      </w:r>
      <w:r w:rsidR="00D67EB8" w:rsidRPr="009118AB">
        <w:rPr>
          <w:rFonts w:eastAsia="Calibri"/>
          <w:szCs w:val="22"/>
          <w:lang w:eastAsia="en-US"/>
        </w:rPr>
        <w:t>Nr. </w:t>
      </w:r>
      <w:r w:rsidRPr="009118AB">
        <w:rPr>
          <w:rFonts w:eastAsia="Calibri"/>
          <w:szCs w:val="22"/>
          <w:lang w:eastAsia="en-US"/>
        </w:rPr>
        <w:t>651/2014 der Kommission vom 17. Juni 2014 zur Feststellung der Vereinbarkeit bestimmter Gruppen von Beihilfen mit dem Binnenmarkt in Anwendung der Artikel 107 und 108 des Vertrags über die Arbeitsweise der Europäischen Union erreicht wird.</w:t>
      </w:r>
    </w:p>
    <w:p w14:paraId="5EBC7189" w14:textId="77777777" w:rsidR="00C828F1" w:rsidRPr="009118AB" w:rsidRDefault="00C828F1" w:rsidP="00C828F1">
      <w:pPr>
        <w:jc w:val="both"/>
        <w:rPr>
          <w:rFonts w:eastAsia="Calibri"/>
          <w:lang w:eastAsia="en-US"/>
        </w:rPr>
      </w:pPr>
    </w:p>
    <w:p w14:paraId="7E5C830F" w14:textId="1099B96C" w:rsidR="00C828F1" w:rsidRPr="009118AB" w:rsidRDefault="00C828F1" w:rsidP="00C828F1">
      <w:pPr>
        <w:jc w:val="both"/>
        <w:rPr>
          <w:rFonts w:eastAsia="Calibri"/>
          <w:lang w:eastAsia="en-US"/>
        </w:rPr>
      </w:pPr>
      <w:r w:rsidRPr="009118AB">
        <w:rPr>
          <w:rFonts w:eastAsia="Calibri"/>
          <w:szCs w:val="22"/>
          <w:lang w:eastAsia="en-US"/>
        </w:rPr>
        <w:tab/>
        <w:t xml:space="preserve">Der Steuerpflichtige kann den in Absatz 1 </w:t>
      </w:r>
      <w:r w:rsidR="00D67EB8" w:rsidRPr="009118AB">
        <w:rPr>
          <w:rFonts w:eastAsia="Calibri"/>
          <w:szCs w:val="22"/>
          <w:lang w:eastAsia="en-US"/>
        </w:rPr>
        <w:t>Nr. </w:t>
      </w:r>
      <w:r w:rsidRPr="009118AB">
        <w:rPr>
          <w:rFonts w:eastAsia="Calibri"/>
          <w:szCs w:val="22"/>
          <w:lang w:eastAsia="en-US"/>
        </w:rPr>
        <w:t>2 Buchstabe </w:t>
      </w:r>
      <w:r w:rsidRPr="009118AB">
        <w:rPr>
          <w:rFonts w:eastAsia="Calibri"/>
          <w:i/>
          <w:iCs/>
          <w:szCs w:val="22"/>
          <w:lang w:eastAsia="en-US"/>
        </w:rPr>
        <w:t>e)</w:t>
      </w:r>
      <w:r w:rsidRPr="009118AB">
        <w:rPr>
          <w:rFonts w:eastAsia="Calibri"/>
          <w:szCs w:val="22"/>
          <w:lang w:eastAsia="en-US"/>
        </w:rPr>
        <w:t xml:space="preserve"> erwähnten Abzug nur erhalten, wenn:</w:t>
      </w:r>
    </w:p>
    <w:p w14:paraId="3E1CE50A" w14:textId="77777777" w:rsidR="00C828F1" w:rsidRPr="009118AB" w:rsidRDefault="00C828F1" w:rsidP="00C828F1">
      <w:pPr>
        <w:jc w:val="both"/>
        <w:rPr>
          <w:rFonts w:eastAsia="Calibri"/>
          <w:lang w:eastAsia="en-US"/>
        </w:rPr>
      </w:pPr>
    </w:p>
    <w:p w14:paraId="758B7D95" w14:textId="77777777" w:rsidR="00C828F1" w:rsidRPr="009118AB" w:rsidRDefault="00C828F1" w:rsidP="00C828F1">
      <w:pPr>
        <w:jc w:val="both"/>
        <w:rPr>
          <w:rFonts w:eastAsia="Calibri"/>
          <w:lang w:eastAsia="en-US"/>
        </w:rPr>
      </w:pPr>
      <w:r w:rsidRPr="009118AB">
        <w:rPr>
          <w:rFonts w:eastAsia="Calibri"/>
          <w:szCs w:val="22"/>
          <w:lang w:eastAsia="en-US"/>
        </w:rPr>
        <w:tab/>
        <w:t>- er keine ausstehenden Schulden beim Landesamt für soziale Sicherheit hat,</w:t>
      </w:r>
    </w:p>
    <w:p w14:paraId="035DABE1" w14:textId="77777777" w:rsidR="00C828F1" w:rsidRPr="009118AB" w:rsidRDefault="00C828F1" w:rsidP="00C828F1">
      <w:pPr>
        <w:jc w:val="both"/>
        <w:rPr>
          <w:rFonts w:eastAsia="Calibri"/>
          <w:lang w:eastAsia="en-US"/>
        </w:rPr>
      </w:pPr>
    </w:p>
    <w:p w14:paraId="3B9775D6" w14:textId="77777777" w:rsidR="00C828F1" w:rsidRPr="009118AB" w:rsidRDefault="00C828F1" w:rsidP="00C828F1">
      <w:pPr>
        <w:jc w:val="both"/>
        <w:rPr>
          <w:rFonts w:eastAsia="Calibri"/>
          <w:lang w:eastAsia="en-US"/>
        </w:rPr>
      </w:pPr>
      <w:r w:rsidRPr="009118AB">
        <w:rPr>
          <w:rFonts w:eastAsia="Calibri"/>
          <w:szCs w:val="22"/>
          <w:lang w:eastAsia="en-US"/>
        </w:rPr>
        <w:tab/>
        <w:t>- er am letzten Tag des Besteuerungszeitraums, in dem die Anlagen erworben oder gebildet wurden, nicht als Unternehmen in Schwierigkeiten betrachtet werden konnte,</w:t>
      </w:r>
    </w:p>
    <w:p w14:paraId="3C9054D4" w14:textId="77777777" w:rsidR="00C828F1" w:rsidRPr="009118AB" w:rsidRDefault="00C828F1" w:rsidP="00C828F1">
      <w:pPr>
        <w:jc w:val="both"/>
        <w:rPr>
          <w:rFonts w:eastAsia="Calibri"/>
          <w:lang w:eastAsia="en-US"/>
        </w:rPr>
      </w:pPr>
    </w:p>
    <w:p w14:paraId="08132ACD" w14:textId="77777777" w:rsidR="00C828F1" w:rsidRPr="009118AB" w:rsidRDefault="00C828F1" w:rsidP="00C828F1">
      <w:pPr>
        <w:jc w:val="both"/>
        <w:rPr>
          <w:rFonts w:eastAsia="Calibri"/>
          <w:lang w:eastAsia="en-US"/>
        </w:rPr>
      </w:pPr>
      <w:r w:rsidRPr="009118AB">
        <w:rPr>
          <w:rFonts w:eastAsia="Calibri"/>
          <w:szCs w:val="22"/>
          <w:lang w:eastAsia="en-US"/>
        </w:rPr>
        <w:tab/>
        <w:t>- er keiner Rückforderungsanordnung infolge eines Beschlusses der Kommission zur Feststellung der Unzulässigkeit einer von Belgien gewährten Beihilfe und ihrer Unvereinbarkeit mit dem Binnenmarkt nachkommen muss,</w:t>
      </w:r>
    </w:p>
    <w:p w14:paraId="625DAF85" w14:textId="77777777" w:rsidR="00C828F1" w:rsidRPr="009118AB" w:rsidRDefault="00C828F1" w:rsidP="00C828F1">
      <w:pPr>
        <w:jc w:val="both"/>
        <w:rPr>
          <w:rFonts w:eastAsia="Calibri"/>
          <w:lang w:eastAsia="en-US"/>
        </w:rPr>
      </w:pPr>
    </w:p>
    <w:p w14:paraId="4106E460" w14:textId="4AEC9920" w:rsidR="00C828F1" w:rsidRPr="009118AB" w:rsidRDefault="00C828F1" w:rsidP="00C828F1">
      <w:pPr>
        <w:autoSpaceDE w:val="0"/>
        <w:autoSpaceDN w:val="0"/>
        <w:adjustRightInd w:val="0"/>
        <w:jc w:val="both"/>
      </w:pPr>
      <w:r w:rsidRPr="009118AB">
        <w:rPr>
          <w:rFonts w:eastAsia="Calibri"/>
          <w:szCs w:val="22"/>
          <w:lang w:eastAsia="en-US"/>
        </w:rPr>
        <w:tab/>
        <w:t xml:space="preserve">- für diese Anlagen keine Regionalbeihilfe beantragt wurde, es sei denn, die regionale Beihilferegelung gewährleistet, dass die Kumulierung der föderalen und regionalen Beihilfe nicht dazu führt, dass die Beihilfehöchstintensität erwähnt in Artikel 36 der Verordnung (EU) </w:t>
      </w:r>
      <w:r w:rsidR="00D67EB8" w:rsidRPr="009118AB">
        <w:rPr>
          <w:rFonts w:eastAsia="Calibri"/>
          <w:szCs w:val="22"/>
          <w:lang w:eastAsia="en-US"/>
        </w:rPr>
        <w:t>Nr. </w:t>
      </w:r>
      <w:r w:rsidRPr="009118AB">
        <w:rPr>
          <w:rFonts w:eastAsia="Calibri"/>
          <w:szCs w:val="22"/>
          <w:lang w:eastAsia="en-US"/>
        </w:rPr>
        <w:t>651/2014 der Kommission vom 17. Juni 2014 zur Feststellung der Vereinbarkeit bestimmter Gruppen von Beihilfen mit dem Binnenmarkt in Anwendung der Artikel 107 und 108 des Vertrags über die Arbeitsweise der Europäischen Union und die Schwelle erwähnt in Artikel 4 Absatz 1 Buchstabe s derselben Verordnung überschritten werden.</w:t>
      </w:r>
      <w:r w:rsidRPr="009118AB">
        <w:t>]</w:t>
      </w:r>
    </w:p>
    <w:p w14:paraId="197143D7" w14:textId="77777777" w:rsidR="00C828F1" w:rsidRPr="009118AB" w:rsidRDefault="00C828F1" w:rsidP="00D53721">
      <w:pPr>
        <w:autoSpaceDE w:val="0"/>
        <w:autoSpaceDN w:val="0"/>
        <w:adjustRightInd w:val="0"/>
        <w:jc w:val="both"/>
      </w:pPr>
    </w:p>
    <w:p w14:paraId="43FB6CF3" w14:textId="74F1DA97" w:rsidR="006F52B8" w:rsidRPr="009118AB" w:rsidRDefault="00C571E9" w:rsidP="00D53721">
      <w:pPr>
        <w:autoSpaceDE w:val="0"/>
        <w:autoSpaceDN w:val="0"/>
        <w:adjustRightInd w:val="0"/>
        <w:jc w:val="both"/>
      </w:pPr>
      <w:r w:rsidRPr="009118AB">
        <w:tab/>
      </w:r>
      <w:r w:rsidR="006F52B8" w:rsidRPr="009118AB">
        <w:t>[</w:t>
      </w:r>
      <w:r w:rsidR="00D67EB8" w:rsidRPr="009118AB">
        <w:t>§ </w:t>
      </w:r>
      <w:r w:rsidR="006F52B8" w:rsidRPr="009118AB">
        <w:t>2</w:t>
      </w:r>
      <w:r w:rsidR="00D67EB8" w:rsidRPr="009118AB">
        <w:t> - </w:t>
      </w:r>
      <w:r w:rsidR="00D53721" w:rsidRPr="009118AB">
        <w:t>[..</w:t>
      </w:r>
      <w:r w:rsidR="006F52B8" w:rsidRPr="009118AB">
        <w:t>.</w:t>
      </w:r>
      <w:r w:rsidR="00D53721" w:rsidRPr="009118AB">
        <w:t>]</w:t>
      </w:r>
      <w:r w:rsidR="006F52B8" w:rsidRPr="009118AB">
        <w:t>]</w:t>
      </w:r>
    </w:p>
    <w:p w14:paraId="1F8F76D4" w14:textId="77777777" w:rsidR="006F52B8" w:rsidRPr="009118AB" w:rsidRDefault="006F52B8" w:rsidP="006F52B8">
      <w:pPr>
        <w:autoSpaceDE w:val="0"/>
        <w:autoSpaceDN w:val="0"/>
        <w:adjustRightInd w:val="0"/>
        <w:jc w:val="both"/>
      </w:pPr>
    </w:p>
    <w:p w14:paraId="5DCE609B" w14:textId="20782846" w:rsidR="006F52B8" w:rsidRPr="009118AB" w:rsidRDefault="006F52B8" w:rsidP="006F52B8">
      <w:pPr>
        <w:autoSpaceDE w:val="0"/>
        <w:autoSpaceDN w:val="0"/>
        <w:adjustRightInd w:val="0"/>
        <w:jc w:val="both"/>
        <w:rPr>
          <w:rFonts w:ascii="Times New Roman Italique" w:hAnsi="Times New Roman Italique"/>
          <w:spacing w:val="-2"/>
        </w:rPr>
      </w:pPr>
      <w:r w:rsidRPr="009118AB">
        <w:rPr>
          <w:i/>
          <w:iCs/>
        </w:rPr>
        <w:t>[</w:t>
      </w:r>
      <w:r w:rsidR="00D67EB8" w:rsidRPr="009118AB">
        <w:rPr>
          <w:i/>
          <w:iCs/>
        </w:rPr>
        <w:t>Art. </w:t>
      </w:r>
      <w:r w:rsidRPr="009118AB">
        <w:rPr>
          <w:i/>
          <w:iCs/>
        </w:rPr>
        <w:t xml:space="preserve">69 </w:t>
      </w:r>
      <w:r w:rsidR="00D67EB8" w:rsidRPr="009118AB">
        <w:rPr>
          <w:i/>
          <w:iCs/>
        </w:rPr>
        <w:t>§ </w:t>
      </w:r>
      <w:r w:rsidRPr="009118AB">
        <w:rPr>
          <w:i/>
          <w:iCs/>
        </w:rPr>
        <w:t xml:space="preserve">1 nummeriert durch </w:t>
      </w:r>
      <w:r w:rsidR="00D67EB8" w:rsidRPr="009118AB">
        <w:rPr>
          <w:i/>
          <w:iCs/>
        </w:rPr>
        <w:t>Art. </w:t>
      </w:r>
      <w:r w:rsidRPr="009118AB">
        <w:rPr>
          <w:i/>
          <w:iCs/>
        </w:rPr>
        <w:t>3 des G. vom 4. Mai 1999 (II) (B.S. vom 12. Juni 1999)</w:t>
      </w:r>
      <w:r w:rsidR="00D67EB8" w:rsidRPr="009118AB">
        <w:rPr>
          <w:i/>
          <w:iCs/>
        </w:rPr>
        <w:t> - </w:t>
      </w:r>
      <w:r w:rsidRPr="009118AB">
        <w:rPr>
          <w:i/>
          <w:iCs/>
        </w:rPr>
        <w:t>in Kraft ab dem Steuerjahr 1999</w:t>
      </w:r>
      <w:r w:rsidR="00D67EB8" w:rsidRPr="009118AB">
        <w:rPr>
          <w:i/>
          <w:iCs/>
        </w:rPr>
        <w:t> - </w:t>
      </w:r>
      <w:r w:rsidRPr="009118AB">
        <w:rPr>
          <w:i/>
          <w:iCs/>
        </w:rPr>
        <w:t xml:space="preserve">und ersetzt durch </w:t>
      </w:r>
      <w:r w:rsidR="00D67EB8" w:rsidRPr="009118AB">
        <w:rPr>
          <w:i/>
          <w:iCs/>
        </w:rPr>
        <w:t>Art. </w:t>
      </w:r>
      <w:r w:rsidRPr="009118AB">
        <w:rPr>
          <w:i/>
          <w:iCs/>
        </w:rPr>
        <w:t>11 des G. vom 28. Juli 1992 (B.S. vom 31. Juli 1992)</w:t>
      </w:r>
      <w:r w:rsidR="00D67EB8" w:rsidRPr="009118AB">
        <w:rPr>
          <w:i/>
          <w:iCs/>
        </w:rPr>
        <w:t> - </w:t>
      </w:r>
      <w:r w:rsidRPr="009118AB">
        <w:rPr>
          <w:i/>
          <w:iCs/>
        </w:rPr>
        <w:t xml:space="preserve">anwendbar ab dem Steuerjahr 1993, insofern die Anlagen ab dem </w:t>
      </w:r>
      <w:r w:rsidRPr="009118AB">
        <w:rPr>
          <w:i/>
        </w:rPr>
        <w:t>1. Januar 1992 erworben oder gebildet wurden</w:t>
      </w:r>
      <w:r w:rsidR="003366D9" w:rsidRPr="009118AB">
        <w:rPr>
          <w:i/>
        </w:rPr>
        <w:t> -;</w:t>
      </w:r>
      <w:r w:rsidRPr="009118AB">
        <w:rPr>
          <w:i/>
        </w:rPr>
        <w:t xml:space="preserve"> </w:t>
      </w:r>
      <w:r w:rsidR="00D67EB8" w:rsidRPr="009118AB">
        <w:rPr>
          <w:i/>
        </w:rPr>
        <w:t>§ </w:t>
      </w:r>
      <w:r w:rsidR="00D53721" w:rsidRPr="009118AB">
        <w:rPr>
          <w:i/>
        </w:rPr>
        <w:t xml:space="preserve">1 </w:t>
      </w:r>
      <w:r w:rsidR="00D67EB8" w:rsidRPr="009118AB">
        <w:rPr>
          <w:i/>
        </w:rPr>
        <w:t>Abs. </w:t>
      </w:r>
      <w:r w:rsidR="00D53721" w:rsidRPr="009118AB">
        <w:rPr>
          <w:i/>
        </w:rPr>
        <w:t xml:space="preserve">1 </w:t>
      </w:r>
      <w:r w:rsidR="00D67EB8" w:rsidRPr="009118AB">
        <w:rPr>
          <w:i/>
        </w:rPr>
        <w:t>Nr. </w:t>
      </w:r>
      <w:r w:rsidR="00D53721" w:rsidRPr="009118AB">
        <w:rPr>
          <w:i/>
        </w:rPr>
        <w:t>1 ersetzt durch</w:t>
      </w:r>
      <w:r w:rsidR="00CD60DD" w:rsidRPr="009118AB">
        <w:rPr>
          <w:i/>
        </w:rPr>
        <w:t xml:space="preserve"> </w:t>
      </w:r>
      <w:r w:rsidR="00D67EB8" w:rsidRPr="009118AB">
        <w:rPr>
          <w:i/>
        </w:rPr>
        <w:t>Art. </w:t>
      </w:r>
      <w:r w:rsidR="00CD60DD" w:rsidRPr="009118AB">
        <w:rPr>
          <w:i/>
        </w:rPr>
        <w:t xml:space="preserve">86 </w:t>
      </w:r>
      <w:r w:rsidR="00D67EB8" w:rsidRPr="009118AB">
        <w:rPr>
          <w:i/>
        </w:rPr>
        <w:t>Nr. </w:t>
      </w:r>
      <w:r w:rsidR="00CD60DD" w:rsidRPr="009118AB">
        <w:rPr>
          <w:i/>
        </w:rPr>
        <w:t>1 des G. (II) vom 25. Dezember 2015 (B.S. vom 30. Dezember 2015) und abgeändert durch</w:t>
      </w:r>
      <w:r w:rsidR="00D53721" w:rsidRPr="009118AB">
        <w:rPr>
          <w:i/>
        </w:rPr>
        <w:t xml:space="preserve"> </w:t>
      </w:r>
      <w:r w:rsidR="00D67EB8" w:rsidRPr="009118AB">
        <w:rPr>
          <w:i/>
        </w:rPr>
        <w:t>Art. </w:t>
      </w:r>
      <w:r w:rsidR="00A91D15" w:rsidRPr="009118AB">
        <w:rPr>
          <w:i/>
        </w:rPr>
        <w:t xml:space="preserve">12 des G. </w:t>
      </w:r>
      <w:r w:rsidR="00A91D15" w:rsidRPr="009118AB">
        <w:rPr>
          <w:rFonts w:ascii="Times New Roman Italique" w:hAnsi="Times New Roman Italique"/>
          <w:i/>
          <w:spacing w:val="-4"/>
        </w:rPr>
        <w:t>vom 25. Dezember 2017 (III) (B.S. vom 29. Dezember 2017</w:t>
      </w:r>
      <w:r w:rsidR="006D6FFE" w:rsidRPr="009118AB">
        <w:rPr>
          <w:rFonts w:ascii="Times New Roman Italique" w:hAnsi="Times New Roman Italique"/>
          <w:i/>
          <w:spacing w:val="-4"/>
        </w:rPr>
        <w:t>)</w:t>
      </w:r>
      <w:r w:rsidR="00575C60" w:rsidRPr="009118AB">
        <w:rPr>
          <w:rFonts w:ascii="Times New Roman Italique" w:hAnsi="Times New Roman Italique"/>
          <w:i/>
          <w:spacing w:val="-4"/>
        </w:rPr>
        <w:t>,</w:t>
      </w:r>
      <w:r w:rsidR="00CD60DD" w:rsidRPr="009118AB">
        <w:rPr>
          <w:rFonts w:ascii="Times New Roman Italique" w:hAnsi="Times New Roman Italique"/>
          <w:i/>
          <w:spacing w:val="-4"/>
        </w:rPr>
        <w:t xml:space="preserve"> </w:t>
      </w:r>
      <w:r w:rsidR="00D67EB8" w:rsidRPr="009118AB">
        <w:rPr>
          <w:rFonts w:ascii="Times New Roman Italique" w:hAnsi="Times New Roman Italique"/>
          <w:i/>
          <w:spacing w:val="-4"/>
        </w:rPr>
        <w:t>Art. </w:t>
      </w:r>
      <w:r w:rsidR="00CD60DD" w:rsidRPr="009118AB">
        <w:rPr>
          <w:rFonts w:ascii="Times New Roman Italique" w:hAnsi="Times New Roman Italique"/>
          <w:i/>
          <w:spacing w:val="-4"/>
        </w:rPr>
        <w:t>11 des G. vom 15.</w:t>
      </w:r>
      <w:r w:rsidR="00CD60DD" w:rsidRPr="009118AB">
        <w:rPr>
          <w:rFonts w:ascii="Times New Roman Italique" w:hAnsi="Times New Roman Italique" w:hint="eastAsia"/>
          <w:i/>
          <w:spacing w:val="-4"/>
        </w:rPr>
        <w:t> </w:t>
      </w:r>
      <w:r w:rsidR="00CD60DD" w:rsidRPr="009118AB">
        <w:rPr>
          <w:rFonts w:ascii="Times New Roman Italique" w:hAnsi="Times New Roman Italique"/>
          <w:i/>
          <w:spacing w:val="-4"/>
        </w:rPr>
        <w:t>Juli</w:t>
      </w:r>
      <w:r w:rsidR="00CD60DD" w:rsidRPr="009118AB">
        <w:rPr>
          <w:rFonts w:ascii="Times New Roman Italique" w:hAnsi="Times New Roman Italique" w:hint="eastAsia"/>
          <w:i/>
          <w:spacing w:val="-4"/>
        </w:rPr>
        <w:t> </w:t>
      </w:r>
      <w:r w:rsidR="00CD60DD" w:rsidRPr="009118AB">
        <w:rPr>
          <w:rFonts w:ascii="Times New Roman Italique" w:hAnsi="Times New Roman Italique"/>
          <w:i/>
          <w:spacing w:val="-4"/>
        </w:rPr>
        <w:t>2020 (B.S. vom 23.</w:t>
      </w:r>
      <w:r w:rsidR="00CD60DD" w:rsidRPr="009118AB">
        <w:rPr>
          <w:rFonts w:ascii="Times New Roman Italique" w:hAnsi="Times New Roman Italique" w:hint="eastAsia"/>
          <w:i/>
          <w:spacing w:val="-4"/>
        </w:rPr>
        <w:t> </w:t>
      </w:r>
      <w:r w:rsidR="00CD60DD" w:rsidRPr="009118AB">
        <w:rPr>
          <w:rFonts w:ascii="Times New Roman Italique" w:hAnsi="Times New Roman Italique"/>
          <w:i/>
          <w:spacing w:val="-4"/>
        </w:rPr>
        <w:t>Juli</w:t>
      </w:r>
      <w:r w:rsidR="00CD60DD" w:rsidRPr="009118AB">
        <w:rPr>
          <w:rFonts w:ascii="Times New Roman Italique" w:hAnsi="Times New Roman Italique" w:hint="eastAsia"/>
          <w:i/>
          <w:spacing w:val="-4"/>
        </w:rPr>
        <w:t> </w:t>
      </w:r>
      <w:r w:rsidR="00CD60DD" w:rsidRPr="009118AB">
        <w:rPr>
          <w:rFonts w:ascii="Times New Roman Italique" w:hAnsi="Times New Roman Italique"/>
          <w:i/>
          <w:spacing w:val="-4"/>
        </w:rPr>
        <w:t>2020)</w:t>
      </w:r>
      <w:r w:rsidR="00D67EB8" w:rsidRPr="009118AB">
        <w:rPr>
          <w:rFonts w:ascii="Times New Roman Italique" w:hAnsi="Times New Roman Italique"/>
          <w:i/>
          <w:spacing w:val="-4"/>
        </w:rPr>
        <w:t> </w:t>
      </w:r>
      <w:r w:rsidR="00D67EB8" w:rsidRPr="009118AB">
        <w:rPr>
          <w:rFonts w:ascii="Times New Roman Italique" w:hAnsi="Times New Roman Italique" w:hint="eastAsia"/>
          <w:i/>
          <w:spacing w:val="-4"/>
        </w:rPr>
        <w:t>-</w:t>
      </w:r>
      <w:r w:rsidR="00D67EB8" w:rsidRPr="009118AB">
        <w:rPr>
          <w:rFonts w:ascii="Times New Roman Italique" w:hAnsi="Times New Roman Italique"/>
          <w:i/>
          <w:spacing w:val="-4"/>
        </w:rPr>
        <w:t> </w:t>
      </w:r>
      <w:r w:rsidR="003721AC" w:rsidRPr="009118AB">
        <w:rPr>
          <w:rFonts w:ascii="Times New Roman Italique" w:hAnsi="Times New Roman Italique"/>
          <w:i/>
          <w:spacing w:val="-4"/>
        </w:rPr>
        <w:t xml:space="preserve">in Kraft am </w:t>
      </w:r>
      <w:r w:rsidR="007A0C0C" w:rsidRPr="009118AB">
        <w:rPr>
          <w:rFonts w:ascii="Times New Roman Italique" w:hAnsi="Times New Roman Italique"/>
          <w:i/>
          <w:spacing w:val="-4"/>
        </w:rPr>
        <w:t>23</w:t>
      </w:r>
      <w:r w:rsidR="001C3783" w:rsidRPr="009118AB">
        <w:rPr>
          <w:rFonts w:ascii="Times New Roman Italique" w:hAnsi="Times New Roman Italique"/>
          <w:i/>
          <w:spacing w:val="-4"/>
        </w:rPr>
        <w:t>.</w:t>
      </w:r>
      <w:r w:rsidR="001C3783" w:rsidRPr="009118AB">
        <w:rPr>
          <w:rFonts w:ascii="Times New Roman Italique" w:hAnsi="Times New Roman Italique" w:hint="eastAsia"/>
          <w:i/>
          <w:spacing w:val="-4"/>
        </w:rPr>
        <w:t> </w:t>
      </w:r>
      <w:r w:rsidR="001C3783" w:rsidRPr="009118AB">
        <w:rPr>
          <w:rFonts w:ascii="Times New Roman Italique" w:hAnsi="Times New Roman Italique"/>
          <w:i/>
          <w:spacing w:val="-4"/>
        </w:rPr>
        <w:t>Juli</w:t>
      </w:r>
      <w:r w:rsidR="001C3783" w:rsidRPr="009118AB">
        <w:rPr>
          <w:rFonts w:ascii="Times New Roman Italique" w:hAnsi="Times New Roman Italique" w:hint="eastAsia"/>
          <w:i/>
          <w:spacing w:val="-4"/>
        </w:rPr>
        <w:t> </w:t>
      </w:r>
      <w:r w:rsidR="001C3783" w:rsidRPr="009118AB">
        <w:rPr>
          <w:rFonts w:ascii="Times New Roman Italique" w:hAnsi="Times New Roman Italique"/>
          <w:i/>
          <w:spacing w:val="-4"/>
        </w:rPr>
        <w:t>2020</w:t>
      </w:r>
      <w:r w:rsidR="00D67EB8" w:rsidRPr="009118AB">
        <w:rPr>
          <w:rFonts w:ascii="Times New Roman Italique" w:hAnsi="Times New Roman Italique"/>
          <w:i/>
          <w:spacing w:val="-4"/>
        </w:rPr>
        <w:t> </w:t>
      </w:r>
      <w:r w:rsidR="00D67EB8" w:rsidRPr="009118AB">
        <w:rPr>
          <w:rFonts w:ascii="Times New Roman Italique" w:hAnsi="Times New Roman Italique" w:hint="eastAsia"/>
          <w:i/>
          <w:spacing w:val="-4"/>
        </w:rPr>
        <w:t>-</w:t>
      </w:r>
      <w:r w:rsidR="00D67EB8" w:rsidRPr="009118AB">
        <w:rPr>
          <w:rFonts w:ascii="Times New Roman Italique" w:hAnsi="Times New Roman Italique"/>
          <w:i/>
          <w:spacing w:val="-4"/>
        </w:rPr>
        <w:t> </w:t>
      </w:r>
      <w:r w:rsidR="00575C60" w:rsidRPr="009118AB">
        <w:rPr>
          <w:rFonts w:ascii="Times New Roman Italique" w:hAnsi="Times New Roman Italique"/>
          <w:i/>
          <w:spacing w:val="-4"/>
        </w:rPr>
        <w:t xml:space="preserve">und </w:t>
      </w:r>
      <w:r w:rsidR="00D67EB8" w:rsidRPr="009118AB">
        <w:rPr>
          <w:rFonts w:ascii="Times New Roman Italique" w:hAnsi="Times New Roman Italique"/>
          <w:i/>
          <w:spacing w:val="-4"/>
        </w:rPr>
        <w:t>Art. </w:t>
      </w:r>
      <w:r w:rsidR="00575C60" w:rsidRPr="009118AB">
        <w:rPr>
          <w:rFonts w:ascii="Times New Roman Italique" w:hAnsi="Times New Roman Italique"/>
          <w:i/>
          <w:spacing w:val="-4"/>
        </w:rPr>
        <w:t>4</w:t>
      </w:r>
      <w:r w:rsidR="00575C60" w:rsidRPr="009118AB">
        <w:rPr>
          <w:rFonts w:ascii="Times New Roman Italique" w:hAnsi="Times New Roman Italique"/>
          <w:i/>
        </w:rPr>
        <w:t xml:space="preserve"> des G. vom 20. Dezember 2020</w:t>
      </w:r>
      <w:r w:rsidR="00B43C02" w:rsidRPr="009118AB">
        <w:rPr>
          <w:rFonts w:ascii="Times New Roman Italique" w:hAnsi="Times New Roman Italique" w:hint="eastAsia"/>
          <w:i/>
        </w:rPr>
        <w:t> </w:t>
      </w:r>
      <w:r w:rsidR="00B43C02" w:rsidRPr="009118AB">
        <w:rPr>
          <w:rFonts w:ascii="Times New Roman Italique" w:hAnsi="Times New Roman Italique"/>
          <w:i/>
        </w:rPr>
        <w:t>(I)</w:t>
      </w:r>
      <w:r w:rsidR="00575C60" w:rsidRPr="009118AB">
        <w:rPr>
          <w:rFonts w:ascii="Times New Roman Italique" w:hAnsi="Times New Roman Italique"/>
          <w:i/>
        </w:rPr>
        <w:t xml:space="preserve"> (B.S. vom 30. Dezember 2020)</w:t>
      </w:r>
      <w:r w:rsidR="00D67EB8" w:rsidRPr="009118AB">
        <w:rPr>
          <w:rFonts w:ascii="Times New Roman Italique" w:hAnsi="Times New Roman Italique"/>
          <w:i/>
        </w:rPr>
        <w:t> - </w:t>
      </w:r>
      <w:r w:rsidR="00575C60" w:rsidRPr="009118AB">
        <w:rPr>
          <w:rFonts w:ascii="Times New Roman Italique" w:hAnsi="Times New Roman Italique"/>
          <w:i/>
        </w:rPr>
        <w:t>in Kraft am 1. Januar 2021</w:t>
      </w:r>
      <w:r w:rsidR="003366D9" w:rsidRPr="009118AB">
        <w:rPr>
          <w:rFonts w:ascii="Times New Roman Italique" w:hAnsi="Times New Roman Italique"/>
          <w:i/>
        </w:rPr>
        <w:t> </w:t>
      </w:r>
      <w:r w:rsidR="003366D9" w:rsidRPr="009118AB">
        <w:rPr>
          <w:rFonts w:ascii="Times New Roman Italique" w:hAnsi="Times New Roman Italique" w:hint="eastAsia"/>
          <w:i/>
        </w:rPr>
        <w:t>-;</w:t>
      </w:r>
      <w:r w:rsidR="00D53721" w:rsidRPr="009118AB">
        <w:rPr>
          <w:rFonts w:ascii="Times New Roman Italique" w:hAnsi="Times New Roman Italique"/>
          <w:i/>
          <w:spacing w:val="-4"/>
        </w:rPr>
        <w:t xml:space="preserve"> </w:t>
      </w:r>
      <w:r w:rsidR="00D67EB8" w:rsidRPr="009118AB">
        <w:rPr>
          <w:rFonts w:ascii="Times New Roman Italique" w:hAnsi="Times New Roman Italique"/>
          <w:i/>
          <w:spacing w:val="-4"/>
        </w:rPr>
        <w:t>§ </w:t>
      </w:r>
      <w:r w:rsidRPr="009118AB">
        <w:rPr>
          <w:rFonts w:ascii="Times New Roman Italique" w:hAnsi="Times New Roman Italique"/>
          <w:i/>
          <w:spacing w:val="-4"/>
        </w:rPr>
        <w:t xml:space="preserve">1 </w:t>
      </w:r>
      <w:r w:rsidR="00D67EB8" w:rsidRPr="009118AB">
        <w:rPr>
          <w:rFonts w:ascii="Times New Roman Italique" w:hAnsi="Times New Roman Italique"/>
          <w:i/>
          <w:spacing w:val="-4"/>
        </w:rPr>
        <w:t>Abs. </w:t>
      </w:r>
      <w:r w:rsidRPr="009118AB">
        <w:rPr>
          <w:rFonts w:ascii="Times New Roman Italique" w:hAnsi="Times New Roman Italique"/>
          <w:i/>
          <w:spacing w:val="-4"/>
        </w:rPr>
        <w:t xml:space="preserve">1 </w:t>
      </w:r>
      <w:r w:rsidR="00D67EB8" w:rsidRPr="009118AB">
        <w:rPr>
          <w:rFonts w:ascii="Times New Roman Italique" w:hAnsi="Times New Roman Italique"/>
          <w:i/>
          <w:spacing w:val="-4"/>
        </w:rPr>
        <w:t>Nr. </w:t>
      </w:r>
      <w:r w:rsidRPr="009118AB">
        <w:rPr>
          <w:rFonts w:ascii="Times New Roman Italique" w:hAnsi="Times New Roman Italique"/>
          <w:i/>
          <w:spacing w:val="-4"/>
        </w:rPr>
        <w:t xml:space="preserve">2 ersetzt durch </w:t>
      </w:r>
      <w:r w:rsidR="00D67EB8" w:rsidRPr="009118AB">
        <w:rPr>
          <w:rFonts w:ascii="Times New Roman Italique" w:hAnsi="Times New Roman Italique"/>
          <w:i/>
          <w:spacing w:val="-4"/>
        </w:rPr>
        <w:t>Art. </w:t>
      </w:r>
      <w:r w:rsidRPr="009118AB">
        <w:rPr>
          <w:rFonts w:ascii="Times New Roman Italique" w:hAnsi="Times New Roman Italique"/>
          <w:i/>
          <w:spacing w:val="-4"/>
        </w:rPr>
        <w:t>106 des G. vom 8. April 2003 (B.S. vom 17. April 2003)</w:t>
      </w:r>
      <w:r w:rsidR="00D67EB8" w:rsidRPr="009118AB">
        <w:rPr>
          <w:rFonts w:ascii="Times New Roman Italique" w:hAnsi="Times New Roman Italique"/>
          <w:i/>
          <w:spacing w:val="-4"/>
        </w:rPr>
        <w:t> - </w:t>
      </w:r>
      <w:r w:rsidRPr="009118AB">
        <w:rPr>
          <w:rFonts w:ascii="Times New Roman Italique" w:hAnsi="Times New Roman Italique"/>
          <w:i/>
          <w:spacing w:val="-4"/>
        </w:rPr>
        <w:t>in Kraft ab dem Steuerjahr 2004</w:t>
      </w:r>
      <w:r w:rsidR="003366D9" w:rsidRPr="009118AB">
        <w:rPr>
          <w:rFonts w:ascii="Times New Roman Italique" w:hAnsi="Times New Roman Italique"/>
          <w:i/>
          <w:spacing w:val="-4"/>
        </w:rPr>
        <w:t> -;</w:t>
      </w:r>
      <w:r w:rsidRPr="009118AB">
        <w:rPr>
          <w:i/>
        </w:rPr>
        <w:t xml:space="preserve"> </w:t>
      </w:r>
      <w:r w:rsidR="00D67EB8" w:rsidRPr="009118AB">
        <w:rPr>
          <w:i/>
        </w:rPr>
        <w:t>§ </w:t>
      </w:r>
      <w:r w:rsidR="00141914" w:rsidRPr="009118AB">
        <w:rPr>
          <w:i/>
        </w:rPr>
        <w:t xml:space="preserve">1 </w:t>
      </w:r>
      <w:r w:rsidR="00D67EB8" w:rsidRPr="009118AB">
        <w:rPr>
          <w:i/>
        </w:rPr>
        <w:t>Abs. </w:t>
      </w:r>
      <w:r w:rsidR="00141914" w:rsidRPr="009118AB">
        <w:rPr>
          <w:i/>
        </w:rPr>
        <w:t xml:space="preserve">1 </w:t>
      </w:r>
      <w:r w:rsidR="00D67EB8" w:rsidRPr="009118AB">
        <w:rPr>
          <w:i/>
        </w:rPr>
        <w:t>Nr. </w:t>
      </w:r>
      <w:r w:rsidR="00141914" w:rsidRPr="009118AB">
        <w:rPr>
          <w:i/>
        </w:rPr>
        <w:t>2 einzige</w:t>
      </w:r>
      <w:r w:rsidR="00284D5F" w:rsidRPr="009118AB">
        <w:rPr>
          <w:i/>
        </w:rPr>
        <w:t>r</w:t>
      </w:r>
      <w:r w:rsidR="00141914" w:rsidRPr="009118AB">
        <w:rPr>
          <w:i/>
        </w:rPr>
        <w:t xml:space="preserve"> Absatz einleitende Bestimmung ersetzt durch </w:t>
      </w:r>
      <w:r w:rsidR="00D67EB8" w:rsidRPr="009118AB">
        <w:rPr>
          <w:i/>
        </w:rPr>
        <w:t>Art. </w:t>
      </w:r>
      <w:r w:rsidR="00141914" w:rsidRPr="009118AB">
        <w:rPr>
          <w:i/>
        </w:rPr>
        <w:t xml:space="preserve">86 </w:t>
      </w:r>
      <w:r w:rsidR="00D67EB8" w:rsidRPr="009118AB">
        <w:rPr>
          <w:i/>
        </w:rPr>
        <w:t>Nr. </w:t>
      </w:r>
      <w:r w:rsidR="00141914" w:rsidRPr="009118AB">
        <w:rPr>
          <w:i/>
        </w:rPr>
        <w:t>2 des G. vom 26. Dezember 2015 (II) (B.S. vom 30. Dezember 2015)</w:t>
      </w:r>
      <w:r w:rsidR="00D67EB8" w:rsidRPr="009118AB">
        <w:rPr>
          <w:i/>
        </w:rPr>
        <w:t> - </w:t>
      </w:r>
      <w:r w:rsidR="00141914" w:rsidRPr="009118AB">
        <w:rPr>
          <w:i/>
        </w:rPr>
        <w:t>anwendbar auf die ab dem 1. Januar 2016 erworbenen oder gebildeten Anlagen</w:t>
      </w:r>
      <w:r w:rsidR="003366D9" w:rsidRPr="009118AB">
        <w:rPr>
          <w:i/>
        </w:rPr>
        <w:t> -;</w:t>
      </w:r>
      <w:r w:rsidR="00141914" w:rsidRPr="009118AB">
        <w:rPr>
          <w:i/>
        </w:rPr>
        <w:t xml:space="preserve"> </w:t>
      </w:r>
      <w:r w:rsidR="00D67EB8" w:rsidRPr="009118AB">
        <w:rPr>
          <w:i/>
        </w:rPr>
        <w:t>§ </w:t>
      </w:r>
      <w:r w:rsidRPr="009118AB">
        <w:rPr>
          <w:i/>
        </w:rPr>
        <w:t xml:space="preserve">1 </w:t>
      </w:r>
      <w:r w:rsidR="00D67EB8" w:rsidRPr="009118AB">
        <w:rPr>
          <w:i/>
        </w:rPr>
        <w:t>Abs. </w:t>
      </w:r>
      <w:r w:rsidRPr="009118AB">
        <w:rPr>
          <w:i/>
        </w:rPr>
        <w:t xml:space="preserve">1 </w:t>
      </w:r>
      <w:r w:rsidR="00D67EB8" w:rsidRPr="009118AB">
        <w:rPr>
          <w:i/>
        </w:rPr>
        <w:t>Nr. </w:t>
      </w:r>
      <w:r w:rsidRPr="009118AB">
        <w:rPr>
          <w:i/>
        </w:rPr>
        <w:t xml:space="preserve">2 einziger Absatz Buchstabe d) aufgehoben durch </w:t>
      </w:r>
      <w:r w:rsidR="00D67EB8" w:rsidRPr="009118AB">
        <w:rPr>
          <w:i/>
        </w:rPr>
        <w:t>Art. </w:t>
      </w:r>
      <w:r w:rsidRPr="009118AB">
        <w:rPr>
          <w:i/>
        </w:rPr>
        <w:t xml:space="preserve">372 </w:t>
      </w:r>
      <w:r w:rsidR="00D67EB8" w:rsidRPr="009118AB">
        <w:rPr>
          <w:i/>
        </w:rPr>
        <w:t>Nr. </w:t>
      </w:r>
      <w:r w:rsidRPr="009118AB">
        <w:rPr>
          <w:i/>
        </w:rPr>
        <w:t>1 des G. vom 27. Dezember 2004 (B.S. vom 31. Dezember 2004)</w:t>
      </w:r>
      <w:r w:rsidR="00D67EB8" w:rsidRPr="009118AB">
        <w:rPr>
          <w:i/>
        </w:rPr>
        <w:t> - </w:t>
      </w:r>
      <w:r w:rsidRPr="009118AB">
        <w:rPr>
          <w:i/>
        </w:rPr>
        <w:t>anwendbar auf Anlagen, die in einem an das Steuerjahr 2006 oder an ein späteres Steuerjahr gebundenen Besteuerungszeitraum erworben oder gebildet werden</w:t>
      </w:r>
      <w:r w:rsidR="00D67EB8" w:rsidRPr="009118AB">
        <w:rPr>
          <w:i/>
        </w:rPr>
        <w:t> - </w:t>
      </w:r>
      <w:r w:rsidRPr="009118AB">
        <w:rPr>
          <w:i/>
        </w:rPr>
        <w:t xml:space="preserve">und wieder aufgenommen durch </w:t>
      </w:r>
      <w:r w:rsidR="00D67EB8" w:rsidRPr="009118AB">
        <w:rPr>
          <w:i/>
        </w:rPr>
        <w:t>Art. </w:t>
      </w:r>
      <w:r w:rsidRPr="009118AB">
        <w:rPr>
          <w:i/>
        </w:rPr>
        <w:t xml:space="preserve">2 </w:t>
      </w:r>
      <w:r w:rsidR="00D67EB8" w:rsidRPr="009118AB">
        <w:rPr>
          <w:i/>
        </w:rPr>
        <w:t>Nr. </w:t>
      </w:r>
      <w:r w:rsidRPr="009118AB">
        <w:rPr>
          <w:i/>
        </w:rPr>
        <w:t>1 des G. vom 7. Dezember 2006 (B.S. vom 22. Dezember 2006)</w:t>
      </w:r>
      <w:r w:rsidR="00D67EB8" w:rsidRPr="009118AB">
        <w:rPr>
          <w:i/>
        </w:rPr>
        <w:t> - </w:t>
      </w:r>
      <w:r w:rsidRPr="009118AB">
        <w:rPr>
          <w:i/>
        </w:rPr>
        <w:t>anwendbar auf die ab dem 1. Januar 2006 getätigten Investitionen</w:t>
      </w:r>
      <w:r w:rsidR="003366D9" w:rsidRPr="009118AB">
        <w:rPr>
          <w:i/>
        </w:rPr>
        <w:t> -;</w:t>
      </w:r>
      <w:r w:rsidRPr="009118AB">
        <w:rPr>
          <w:i/>
        </w:rPr>
        <w:t xml:space="preserve"> </w:t>
      </w:r>
      <w:r w:rsidR="00D67EB8" w:rsidRPr="009118AB">
        <w:rPr>
          <w:i/>
        </w:rPr>
        <w:t>§ </w:t>
      </w:r>
      <w:r w:rsidRPr="009118AB">
        <w:rPr>
          <w:i/>
        </w:rPr>
        <w:t xml:space="preserve">1 </w:t>
      </w:r>
      <w:r w:rsidR="00D67EB8" w:rsidRPr="009118AB">
        <w:rPr>
          <w:i/>
        </w:rPr>
        <w:t>Abs. </w:t>
      </w:r>
      <w:r w:rsidRPr="009118AB">
        <w:rPr>
          <w:i/>
        </w:rPr>
        <w:t xml:space="preserve">1 </w:t>
      </w:r>
      <w:r w:rsidR="00D67EB8" w:rsidRPr="009118AB">
        <w:rPr>
          <w:i/>
        </w:rPr>
        <w:t>Nr. </w:t>
      </w:r>
      <w:r w:rsidR="00016024" w:rsidRPr="009118AB">
        <w:rPr>
          <w:i/>
        </w:rPr>
        <w:t>2 einziger Absatz Buchstabe </w:t>
      </w:r>
      <w:r w:rsidRPr="009118AB">
        <w:rPr>
          <w:i/>
        </w:rPr>
        <w:t xml:space="preserve">e) eingefügt durch </w:t>
      </w:r>
      <w:r w:rsidR="00D67EB8" w:rsidRPr="009118AB">
        <w:rPr>
          <w:i/>
        </w:rPr>
        <w:t>Art. </w:t>
      </w:r>
      <w:r w:rsidRPr="009118AB">
        <w:rPr>
          <w:i/>
        </w:rPr>
        <w:t>118 des G. vom 23. Dezember 2009 (B.S. vom 30. Dezember 2009)</w:t>
      </w:r>
      <w:r w:rsidR="00D67EB8" w:rsidRPr="009118AB">
        <w:rPr>
          <w:i/>
        </w:rPr>
        <w:t> - </w:t>
      </w:r>
      <w:r w:rsidRPr="009118AB">
        <w:rPr>
          <w:i/>
        </w:rPr>
        <w:t xml:space="preserve">anwendbar </w:t>
      </w:r>
      <w:r w:rsidR="00C571E9" w:rsidRPr="009118AB">
        <w:rPr>
          <w:i/>
        </w:rPr>
        <w:t>auf die in den Jahren 2010 bis 2012 getätigten Investi</w:t>
      </w:r>
      <w:r w:rsidR="00C571E9" w:rsidRPr="009118AB">
        <w:rPr>
          <w:i/>
        </w:rPr>
        <w:softHyphen/>
        <w:t>tionen</w:t>
      </w:r>
      <w:r w:rsidR="00FD68E8" w:rsidRPr="009118AB">
        <w:rPr>
          <w:i/>
        </w:rPr>
        <w:t> -,</w:t>
      </w:r>
      <w:r w:rsidR="00141914" w:rsidRPr="009118AB">
        <w:rPr>
          <w:i/>
        </w:rPr>
        <w:t xml:space="preserve"> aufgehoben durch </w:t>
      </w:r>
      <w:r w:rsidR="00D67EB8" w:rsidRPr="009118AB">
        <w:rPr>
          <w:i/>
        </w:rPr>
        <w:t>Art. </w:t>
      </w:r>
      <w:r w:rsidR="00141914" w:rsidRPr="009118AB">
        <w:rPr>
          <w:i/>
        </w:rPr>
        <w:t xml:space="preserve">86 </w:t>
      </w:r>
      <w:r w:rsidR="00D67EB8" w:rsidRPr="009118AB">
        <w:rPr>
          <w:i/>
        </w:rPr>
        <w:t>Nr. </w:t>
      </w:r>
      <w:r w:rsidR="00141914" w:rsidRPr="009118AB">
        <w:rPr>
          <w:i/>
        </w:rPr>
        <w:t>3 des G. vom 26. Dezember 2015 (II) (B.S. vom 30. Dezember 2015)</w:t>
      </w:r>
      <w:r w:rsidR="00D67EB8" w:rsidRPr="009118AB">
        <w:rPr>
          <w:i/>
        </w:rPr>
        <w:t> - </w:t>
      </w:r>
      <w:r w:rsidR="00141914" w:rsidRPr="009118AB">
        <w:rPr>
          <w:i/>
        </w:rPr>
        <w:t xml:space="preserve">anwendbar auf die ab dem </w:t>
      </w:r>
      <w:r w:rsidR="00141914" w:rsidRPr="009118AB">
        <w:rPr>
          <w:i/>
        </w:rPr>
        <w:lastRenderedPageBreak/>
        <w:t>1. Januar 2016 erworbenen oder gebildeten Anlagen</w:t>
      </w:r>
      <w:r w:rsidR="00D67EB8" w:rsidRPr="009118AB">
        <w:rPr>
          <w:i/>
        </w:rPr>
        <w:t> - </w:t>
      </w:r>
      <w:r w:rsidR="00C828F1" w:rsidRPr="009118AB">
        <w:rPr>
          <w:i/>
        </w:rPr>
        <w:t xml:space="preserve">und wieder aufgenommen durch </w:t>
      </w:r>
      <w:r w:rsidR="00D67EB8" w:rsidRPr="009118AB">
        <w:rPr>
          <w:i/>
        </w:rPr>
        <w:t>Art. </w:t>
      </w:r>
      <w:r w:rsidR="00C828F1" w:rsidRPr="009118AB">
        <w:rPr>
          <w:i/>
        </w:rPr>
        <w:t xml:space="preserve">21 </w:t>
      </w:r>
      <w:r w:rsidR="00D67EB8" w:rsidRPr="009118AB">
        <w:rPr>
          <w:i/>
        </w:rPr>
        <w:t>Nr. </w:t>
      </w:r>
      <w:r w:rsidR="00C828F1" w:rsidRPr="009118AB">
        <w:rPr>
          <w:i/>
        </w:rPr>
        <w:t>1</w:t>
      </w:r>
      <w:r w:rsidR="00C828F1" w:rsidRPr="009118AB">
        <w:rPr>
          <w:rFonts w:eastAsia="Calibri"/>
          <w:i/>
          <w:iCs/>
          <w:lang w:eastAsia="en-US"/>
        </w:rPr>
        <w:t xml:space="preserve"> des G. vom 25. November 2021 (B.S. vom 3. Dezember 2021)</w:t>
      </w:r>
      <w:r w:rsidR="00D67EB8" w:rsidRPr="009118AB">
        <w:rPr>
          <w:rFonts w:eastAsia="Calibri"/>
          <w:i/>
          <w:iCs/>
          <w:lang w:eastAsia="en-US"/>
        </w:rPr>
        <w:t> - </w:t>
      </w:r>
      <w:r w:rsidR="00C828F1" w:rsidRPr="009118AB">
        <w:rPr>
          <w:rFonts w:eastAsia="Calibri"/>
          <w:i/>
          <w:iCs/>
          <w:lang w:eastAsia="en-US"/>
        </w:rPr>
        <w:t>in Kraft am 1. Januar 2022</w:t>
      </w:r>
      <w:r w:rsidR="003366D9" w:rsidRPr="009118AB">
        <w:rPr>
          <w:rFonts w:eastAsia="Calibri"/>
          <w:i/>
          <w:iCs/>
          <w:lang w:eastAsia="en-US"/>
        </w:rPr>
        <w:t> -;</w:t>
      </w:r>
      <w:r w:rsidRPr="009118AB">
        <w:rPr>
          <w:i/>
        </w:rPr>
        <w:t xml:space="preserve"> </w:t>
      </w:r>
      <w:r w:rsidR="00D67EB8" w:rsidRPr="009118AB">
        <w:rPr>
          <w:i/>
          <w:iCs/>
        </w:rPr>
        <w:t>§ </w:t>
      </w:r>
      <w:r w:rsidR="00016024" w:rsidRPr="009118AB">
        <w:rPr>
          <w:i/>
          <w:iCs/>
        </w:rPr>
        <w:t xml:space="preserve">1 </w:t>
      </w:r>
      <w:r w:rsidR="00D67EB8" w:rsidRPr="009118AB">
        <w:rPr>
          <w:i/>
          <w:iCs/>
        </w:rPr>
        <w:t>Abs. </w:t>
      </w:r>
      <w:r w:rsidR="00016024" w:rsidRPr="009118AB">
        <w:rPr>
          <w:i/>
          <w:iCs/>
        </w:rPr>
        <w:t xml:space="preserve">1 </w:t>
      </w:r>
      <w:r w:rsidR="00D67EB8" w:rsidRPr="009118AB">
        <w:rPr>
          <w:i/>
          <w:iCs/>
        </w:rPr>
        <w:t>Nr. </w:t>
      </w:r>
      <w:r w:rsidR="00F0724E" w:rsidRPr="009118AB">
        <w:rPr>
          <w:i/>
          <w:iCs/>
        </w:rPr>
        <w:t>2 einziger Absatz Buchstabe</w:t>
      </w:r>
      <w:r w:rsidR="0038042C" w:rsidRPr="009118AB">
        <w:rPr>
          <w:i/>
          <w:iCs/>
        </w:rPr>
        <w:t> </w:t>
      </w:r>
      <w:r w:rsidR="00341A5E" w:rsidRPr="009118AB">
        <w:rPr>
          <w:i/>
          <w:iCs/>
        </w:rPr>
        <w:t>f</w:t>
      </w:r>
      <w:r w:rsidR="00F0724E" w:rsidRPr="009118AB">
        <w:rPr>
          <w:i/>
          <w:iCs/>
        </w:rPr>
        <w:t xml:space="preserve">) eingefügt durch </w:t>
      </w:r>
      <w:r w:rsidR="00D67EB8" w:rsidRPr="009118AB">
        <w:rPr>
          <w:i/>
          <w:iCs/>
        </w:rPr>
        <w:t>Art. </w:t>
      </w:r>
      <w:r w:rsidR="00F0724E" w:rsidRPr="009118AB">
        <w:rPr>
          <w:i/>
          <w:iCs/>
        </w:rPr>
        <w:t xml:space="preserve">73 </w:t>
      </w:r>
      <w:r w:rsidR="00D67EB8" w:rsidRPr="009118AB">
        <w:rPr>
          <w:i/>
          <w:iCs/>
        </w:rPr>
        <w:t>Nr. </w:t>
      </w:r>
      <w:r w:rsidR="00F0724E" w:rsidRPr="009118AB">
        <w:rPr>
          <w:i/>
          <w:iCs/>
        </w:rPr>
        <w:t>1 des G. vom 10. August 2015 (B.S. vom 18. August 2015)</w:t>
      </w:r>
      <w:r w:rsidR="00D67EB8" w:rsidRPr="009118AB">
        <w:rPr>
          <w:i/>
          <w:iCs/>
        </w:rPr>
        <w:t> - </w:t>
      </w:r>
      <w:r w:rsidR="00F0724E" w:rsidRPr="009118AB">
        <w:rPr>
          <w:i/>
          <w:iCs/>
        </w:rPr>
        <w:t>in Kraft ab dem Steuerjahr 2016</w:t>
      </w:r>
      <w:r w:rsidR="003366D9" w:rsidRPr="009118AB">
        <w:rPr>
          <w:i/>
          <w:iCs/>
        </w:rPr>
        <w:t> -;</w:t>
      </w:r>
      <w:r w:rsidR="00F0724E"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3 eingefügt durch </w:t>
      </w:r>
      <w:r w:rsidR="00D67EB8" w:rsidRPr="009118AB">
        <w:rPr>
          <w:i/>
          <w:iCs/>
        </w:rPr>
        <w:t>Art. </w:t>
      </w:r>
      <w:r w:rsidRPr="009118AB">
        <w:rPr>
          <w:i/>
          <w:iCs/>
        </w:rPr>
        <w:t xml:space="preserve">372 </w:t>
      </w:r>
      <w:r w:rsidR="00D67EB8" w:rsidRPr="009118AB">
        <w:rPr>
          <w:i/>
          <w:iCs/>
        </w:rPr>
        <w:t>Nr. </w:t>
      </w:r>
      <w:r w:rsidRPr="009118AB">
        <w:rPr>
          <w:i/>
          <w:iCs/>
        </w:rPr>
        <w:t>2 des G. vom 27. Dezember 2004 (B.S. vom 31. Dezember 2004)</w:t>
      </w:r>
      <w:r w:rsidR="00D67EB8" w:rsidRPr="009118AB">
        <w:rPr>
          <w:i/>
          <w:iCs/>
        </w:rPr>
        <w:t> - </w:t>
      </w:r>
      <w:r w:rsidRPr="009118AB">
        <w:rPr>
          <w:i/>
          <w:iCs/>
        </w:rPr>
        <w:t>anwendbar auf Anlagen, die in einem an das Steuerjahr 2006 oder an ein späteres Steuerjahr gebundenen Besteuerungszeitraum erworben oder gebildet werden</w:t>
      </w:r>
      <w:r w:rsidR="00D67EB8" w:rsidRPr="009118AB">
        <w:rPr>
          <w:i/>
          <w:iCs/>
        </w:rPr>
        <w:t> - </w:t>
      </w:r>
      <w:r w:rsidRPr="009118AB">
        <w:rPr>
          <w:i/>
          <w:iCs/>
        </w:rPr>
        <w:t xml:space="preserve">und abgeändert durch </w:t>
      </w:r>
      <w:r w:rsidR="00D67EB8" w:rsidRPr="009118AB">
        <w:rPr>
          <w:i/>
          <w:iCs/>
        </w:rPr>
        <w:t>Art. </w:t>
      </w:r>
      <w:r w:rsidRPr="009118AB">
        <w:rPr>
          <w:i/>
          <w:iCs/>
        </w:rPr>
        <w:t>2 des G. vom 25. April 2007</w:t>
      </w:r>
      <w:r w:rsidR="00B33FA3">
        <w:rPr>
          <w:i/>
          <w:iCs/>
        </w:rPr>
        <w:t> </w:t>
      </w:r>
      <w:r w:rsidRPr="009118AB">
        <w:rPr>
          <w:i/>
          <w:iCs/>
        </w:rPr>
        <w:t>(IV) (B.S. vom 10. Mai 2007)</w:t>
      </w:r>
      <w:r w:rsidR="00D67EB8" w:rsidRPr="009118AB">
        <w:rPr>
          <w:i/>
          <w:iCs/>
        </w:rPr>
        <w:t> - </w:t>
      </w:r>
      <w:r w:rsidRPr="009118AB">
        <w:rPr>
          <w:i/>
          <w:iCs/>
        </w:rPr>
        <w:t>wirksam für Anlagen, die während eines an das Steuerjahr 2008 oder ein späteres Steuerjahr gebundenen Besteuerungszeitraums erworben oder gebildet werden</w:t>
      </w:r>
      <w:r w:rsidR="00FD68E8" w:rsidRPr="009118AB">
        <w:rPr>
          <w:i/>
          <w:iCs/>
        </w:rPr>
        <w:t> -,</w:t>
      </w:r>
      <w:r w:rsidRPr="009118AB">
        <w:rPr>
          <w:i/>
          <w:iCs/>
        </w:rPr>
        <w:t xml:space="preserve"> </w:t>
      </w:r>
      <w:r w:rsidR="00D67EB8" w:rsidRPr="009118AB">
        <w:rPr>
          <w:i/>
          <w:iCs/>
        </w:rPr>
        <w:t>Art. </w:t>
      </w:r>
      <w:r w:rsidRPr="009118AB">
        <w:rPr>
          <w:i/>
          <w:iCs/>
        </w:rPr>
        <w:t>47</w:t>
      </w:r>
      <w:r w:rsidRPr="009118AB">
        <w:rPr>
          <w:i/>
        </w:rPr>
        <w:t xml:space="preserve"> des G. vom 6. Mai</w:t>
      </w:r>
      <w:r w:rsidR="00B3148A" w:rsidRPr="009118AB">
        <w:rPr>
          <w:i/>
        </w:rPr>
        <w:t> 2009 (B.S. vom 19. Mai 2009)</w:t>
      </w:r>
      <w:r w:rsidR="00D67EB8" w:rsidRPr="009118AB">
        <w:rPr>
          <w:i/>
        </w:rPr>
        <w:t> - </w:t>
      </w:r>
      <w:r w:rsidRPr="009118AB">
        <w:rPr>
          <w:i/>
        </w:rPr>
        <w:t>wirksam für Anlagen, die während eines an das Steuer</w:t>
      </w:r>
      <w:r w:rsidRPr="009118AB">
        <w:rPr>
          <w:i/>
        </w:rPr>
        <w:softHyphen/>
        <w:t>jahr 2009 oder ein späteres Steuerjahr gebundenen Besteuerungszeitraums erworben oder gebildet werden</w:t>
      </w:r>
      <w:r w:rsidR="00FD68E8" w:rsidRPr="009118AB">
        <w:rPr>
          <w:i/>
        </w:rPr>
        <w:t> -,</w:t>
      </w:r>
      <w:r w:rsidRPr="009118AB">
        <w:rPr>
          <w:i/>
        </w:rPr>
        <w:t xml:space="preserve"> </w:t>
      </w:r>
      <w:r w:rsidR="00D67EB8" w:rsidRPr="009118AB">
        <w:rPr>
          <w:i/>
        </w:rPr>
        <w:t>Art. </w:t>
      </w:r>
      <w:r w:rsidRPr="009118AB">
        <w:rPr>
          <w:i/>
        </w:rPr>
        <w:t>11</w:t>
      </w:r>
      <w:r w:rsidRPr="009118AB">
        <w:rPr>
          <w:i/>
          <w:iCs/>
        </w:rPr>
        <w:t xml:space="preserve"> des G. vom 22. Dezember 2009 (I) (B.S. vom 31. Dezember 2009)</w:t>
      </w:r>
      <w:r w:rsidR="00D67EB8" w:rsidRPr="009118AB">
        <w:rPr>
          <w:i/>
          <w:iCs/>
        </w:rPr>
        <w:t> - </w:t>
      </w:r>
      <w:r w:rsidRPr="009118AB">
        <w:rPr>
          <w:i/>
          <w:iCs/>
        </w:rPr>
        <w:t>anwendbar auf Anlagen, die während eines an das Steuerjahr 2010 oder ein späteres Steuerjahr gebundenen Besteuerungszeitraums erworben oder gebildet werden</w:t>
      </w:r>
      <w:r w:rsidR="00D67EB8" w:rsidRPr="009118AB">
        <w:rPr>
          <w:i/>
          <w:iCs/>
        </w:rPr>
        <w:t> - </w:t>
      </w:r>
      <w:r w:rsidR="00995426" w:rsidRPr="009118AB">
        <w:rPr>
          <w:i/>
          <w:iCs/>
        </w:rPr>
        <w:t xml:space="preserve">und </w:t>
      </w:r>
      <w:r w:rsidR="00D67EB8" w:rsidRPr="009118AB">
        <w:rPr>
          <w:i/>
          <w:iCs/>
        </w:rPr>
        <w:t>Art. </w:t>
      </w:r>
      <w:r w:rsidR="00995426" w:rsidRPr="009118AB">
        <w:rPr>
          <w:i/>
          <w:iCs/>
        </w:rPr>
        <w:t xml:space="preserve">86 </w:t>
      </w:r>
      <w:r w:rsidR="00D67EB8" w:rsidRPr="009118AB">
        <w:rPr>
          <w:i/>
          <w:iCs/>
        </w:rPr>
        <w:t>Nr. </w:t>
      </w:r>
      <w:r w:rsidR="00995426" w:rsidRPr="009118AB">
        <w:rPr>
          <w:i/>
          <w:iCs/>
        </w:rPr>
        <w:t>4</w:t>
      </w:r>
      <w:r w:rsidR="00995426" w:rsidRPr="009118AB">
        <w:rPr>
          <w:i/>
        </w:rPr>
        <w:t xml:space="preserve"> des G. vom 26. Dezember 2015 (II) (B.S. vom 30. Dezember 2015)</w:t>
      </w:r>
      <w:r w:rsidR="00D67EB8" w:rsidRPr="009118AB">
        <w:t> - </w:t>
      </w:r>
      <w:r w:rsidR="00995426" w:rsidRPr="009118AB">
        <w:rPr>
          <w:i/>
        </w:rPr>
        <w:t xml:space="preserve">anwendbar auf die ab dem 1. Januar 2016 erworbenen oder </w:t>
      </w:r>
      <w:r w:rsidR="00995426" w:rsidRPr="009118AB">
        <w:rPr>
          <w:rFonts w:ascii="Times New Roman Italique" w:hAnsi="Times New Roman Italique"/>
          <w:i/>
          <w:spacing w:val="-2"/>
        </w:rPr>
        <w:t>gebildeten Anlagen</w:t>
      </w:r>
      <w:r w:rsidR="003366D9" w:rsidRPr="009118AB">
        <w:rPr>
          <w:rFonts w:ascii="Times New Roman Italique" w:hAnsi="Times New Roman Italique"/>
          <w:i/>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C828F1"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C828F1"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00C828F1"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00C828F1" w:rsidRPr="009118AB">
        <w:rPr>
          <w:rFonts w:ascii="Times New Roman Italique" w:hAnsi="Times New Roman Italique"/>
          <w:i/>
          <w:iCs/>
          <w:spacing w:val="-2"/>
        </w:rPr>
        <w:t xml:space="preserve">69 </w:t>
      </w:r>
      <w:r w:rsidR="00D67EB8" w:rsidRPr="009118AB">
        <w:rPr>
          <w:rFonts w:ascii="Times New Roman Italique" w:hAnsi="Times New Roman Italique"/>
          <w:i/>
          <w:iCs/>
          <w:spacing w:val="-2"/>
        </w:rPr>
        <w:t>Nr. </w:t>
      </w:r>
      <w:r w:rsidR="00C828F1" w:rsidRPr="009118AB">
        <w:rPr>
          <w:rFonts w:ascii="Times New Roman Italique" w:hAnsi="Times New Roman Italique"/>
          <w:i/>
          <w:iCs/>
          <w:spacing w:val="-2"/>
        </w:rPr>
        <w:t>2</w:t>
      </w:r>
      <w:r w:rsidR="00C828F1" w:rsidRPr="009118AB">
        <w:rPr>
          <w:rFonts w:eastAsia="Calibri"/>
          <w:i/>
          <w:iCs/>
          <w:lang w:eastAsia="en-US"/>
        </w:rPr>
        <w:t xml:space="preserve"> des G. vom 25. November 2021 (B.S. vom 3. Dezember 2021)</w:t>
      </w:r>
      <w:r w:rsidR="00D67EB8" w:rsidRPr="009118AB">
        <w:rPr>
          <w:rFonts w:eastAsia="Calibri"/>
          <w:i/>
          <w:iCs/>
          <w:lang w:eastAsia="en-US"/>
        </w:rPr>
        <w:t> - </w:t>
      </w:r>
      <w:r w:rsidR="00C828F1" w:rsidRPr="009118AB">
        <w:rPr>
          <w:rFonts w:eastAsia="Calibri"/>
          <w:i/>
          <w:iCs/>
          <w:lang w:eastAsia="en-US"/>
        </w:rPr>
        <w:t>in Kraft am 1. Januar 2022</w:t>
      </w:r>
      <w:r w:rsidR="003366D9" w:rsidRPr="009118AB">
        <w:rPr>
          <w:rFonts w:eastAsia="Calibri"/>
          <w:i/>
          <w:iCs/>
          <w:lang w:eastAsia="en-US"/>
        </w:rPr>
        <w:t> -;</w:t>
      </w:r>
      <w:r w:rsidR="00C828F1" w:rsidRPr="009118AB">
        <w:rPr>
          <w:rFonts w:eastAsia="Calibri"/>
          <w:i/>
          <w:iCs/>
          <w:lang w:eastAsia="en-US"/>
        </w:rPr>
        <w:t xml:space="preserve"> </w:t>
      </w:r>
      <w:r w:rsidR="00D67EB8" w:rsidRPr="009118AB">
        <w:rPr>
          <w:rFonts w:ascii="Times New Roman Italique" w:hAnsi="Times New Roman Italique"/>
          <w:i/>
          <w:iCs/>
          <w:spacing w:val="-2"/>
        </w:rPr>
        <w:t>§ </w:t>
      </w:r>
      <w:r w:rsidR="00016024"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016024" w:rsidRPr="009118AB">
        <w:rPr>
          <w:rFonts w:ascii="Times New Roman Italique" w:hAnsi="Times New Roman Italique"/>
          <w:i/>
          <w:iCs/>
          <w:spacing w:val="-2"/>
        </w:rPr>
        <w:t xml:space="preserve">3 ersetzt durch </w:t>
      </w:r>
      <w:r w:rsidR="00D67EB8" w:rsidRPr="009118AB">
        <w:rPr>
          <w:rFonts w:ascii="Times New Roman Italique" w:hAnsi="Times New Roman Italique"/>
          <w:i/>
          <w:iCs/>
          <w:spacing w:val="-2"/>
        </w:rPr>
        <w:t>Art. </w:t>
      </w:r>
      <w:r w:rsidR="00016024" w:rsidRPr="009118AB">
        <w:rPr>
          <w:rFonts w:ascii="Times New Roman Italique" w:hAnsi="Times New Roman Italique"/>
          <w:i/>
          <w:iCs/>
          <w:spacing w:val="-2"/>
        </w:rPr>
        <w:t>28</w:t>
      </w:r>
      <w:r w:rsidR="00016024" w:rsidRPr="009118AB">
        <w:rPr>
          <w:rFonts w:ascii="Times New Roman Italique" w:hAnsi="Times New Roman Italique"/>
          <w:i/>
          <w:spacing w:val="-2"/>
        </w:rPr>
        <w:t xml:space="preserve"> des G. vom 2. Mai 2019 (III) (B.S. vom 1</w:t>
      </w:r>
      <w:r w:rsidR="009B37FC" w:rsidRPr="009118AB">
        <w:rPr>
          <w:rFonts w:ascii="Times New Roman Italique" w:hAnsi="Times New Roman Italique"/>
          <w:i/>
          <w:spacing w:val="-2"/>
        </w:rPr>
        <w:t>5</w:t>
      </w:r>
      <w:r w:rsidR="00016024" w:rsidRPr="009118AB">
        <w:rPr>
          <w:rFonts w:ascii="Times New Roman Italique" w:hAnsi="Times New Roman Italique"/>
          <w:i/>
          <w:spacing w:val="-2"/>
        </w:rPr>
        <w:t>. Mai 2019)</w:t>
      </w:r>
      <w:r w:rsidR="00D67EB8" w:rsidRPr="009118AB">
        <w:rPr>
          <w:rFonts w:ascii="Times New Roman Italique" w:hAnsi="Times New Roman Italique"/>
          <w:i/>
          <w:spacing w:val="-2"/>
        </w:rPr>
        <w:t> - </w:t>
      </w:r>
      <w:r w:rsidR="00016024" w:rsidRPr="009118AB">
        <w:rPr>
          <w:rFonts w:ascii="Times New Roman Italique" w:hAnsi="Times New Roman Italique"/>
          <w:i/>
          <w:spacing w:val="-2"/>
        </w:rPr>
        <w:t xml:space="preserve">anwendbar auf die ab dem 1. Januar 2019 </w:t>
      </w:r>
      <w:r w:rsidR="00016024" w:rsidRPr="00B33FA3">
        <w:rPr>
          <w:rFonts w:ascii="Times New Roman Italique" w:hAnsi="Times New Roman Italique"/>
          <w:i/>
        </w:rPr>
        <w:t>ergangenen Erlasse</w:t>
      </w:r>
      <w:r w:rsidR="003366D9" w:rsidRPr="00B33FA3">
        <w:rPr>
          <w:rFonts w:ascii="Times New Roman Italique" w:hAnsi="Times New Roman Italique"/>
          <w:i/>
        </w:rPr>
        <w:t> -;</w:t>
      </w:r>
      <w:r w:rsidR="00016024" w:rsidRPr="00B33FA3">
        <w:rPr>
          <w:rFonts w:ascii="Times New Roman Italique" w:hAnsi="Times New Roman Italique"/>
          <w:i/>
        </w:rPr>
        <w:t xml:space="preserve"> </w:t>
      </w:r>
      <w:r w:rsidR="00D67EB8" w:rsidRPr="00B33FA3">
        <w:rPr>
          <w:rFonts w:ascii="Times New Roman Italique" w:hAnsi="Times New Roman Italique"/>
          <w:i/>
          <w:iCs/>
        </w:rPr>
        <w:t>§ </w:t>
      </w:r>
      <w:r w:rsidRPr="00B33FA3">
        <w:rPr>
          <w:rFonts w:ascii="Times New Roman Italique" w:hAnsi="Times New Roman Italique"/>
          <w:i/>
          <w:iCs/>
        </w:rPr>
        <w:t xml:space="preserve">1 </w:t>
      </w:r>
      <w:r w:rsidR="00D67EB8" w:rsidRPr="00B33FA3">
        <w:rPr>
          <w:rFonts w:ascii="Times New Roman Italique" w:hAnsi="Times New Roman Italique"/>
          <w:i/>
          <w:iCs/>
        </w:rPr>
        <w:t>Abs. </w:t>
      </w:r>
      <w:r w:rsidRPr="00B33FA3">
        <w:rPr>
          <w:rFonts w:ascii="Times New Roman Italique" w:hAnsi="Times New Roman Italique"/>
          <w:i/>
          <w:iCs/>
        </w:rPr>
        <w:t xml:space="preserve">4 eingefügt durch </w:t>
      </w:r>
      <w:r w:rsidR="00D67EB8" w:rsidRPr="00B33FA3">
        <w:rPr>
          <w:rFonts w:ascii="Times New Roman Italique" w:hAnsi="Times New Roman Italique"/>
          <w:i/>
          <w:iCs/>
        </w:rPr>
        <w:t>Art. </w:t>
      </w:r>
      <w:r w:rsidRPr="00B33FA3">
        <w:rPr>
          <w:rFonts w:ascii="Times New Roman Italique" w:hAnsi="Times New Roman Italique"/>
          <w:i/>
          <w:iCs/>
        </w:rPr>
        <w:t xml:space="preserve">2 </w:t>
      </w:r>
      <w:r w:rsidR="00D67EB8" w:rsidRPr="00B33FA3">
        <w:rPr>
          <w:rFonts w:ascii="Times New Roman Italique" w:hAnsi="Times New Roman Italique"/>
          <w:i/>
          <w:iCs/>
        </w:rPr>
        <w:t>Nr. </w:t>
      </w:r>
      <w:r w:rsidRPr="00B33FA3">
        <w:rPr>
          <w:rFonts w:ascii="Times New Roman Italique" w:hAnsi="Times New Roman Italique"/>
          <w:i/>
          <w:iCs/>
        </w:rPr>
        <w:t>2 des G. vom 7. Dezember 2006 (B.S. vom 22. Dezember 2006)</w:t>
      </w:r>
      <w:r w:rsidR="00D67EB8" w:rsidRPr="00B33FA3">
        <w:rPr>
          <w:rFonts w:ascii="Times New Roman Italique" w:hAnsi="Times New Roman Italique"/>
          <w:i/>
          <w:iCs/>
        </w:rPr>
        <w:t> - </w:t>
      </w:r>
      <w:r w:rsidRPr="00B33FA3">
        <w:rPr>
          <w:rFonts w:ascii="Times New Roman Italique" w:hAnsi="Times New Roman Italique"/>
          <w:i/>
          <w:iCs/>
        </w:rPr>
        <w:t>anwendbar auf die ab dem 1. Januar 2006 getätigten Investitionen</w:t>
      </w:r>
      <w:r w:rsidR="003366D9" w:rsidRPr="00B33FA3">
        <w:rPr>
          <w:rFonts w:ascii="Times New Roman Italique" w:hAnsi="Times New Roman Italique"/>
          <w:i/>
          <w:iCs/>
        </w:rPr>
        <w:t> -;</w:t>
      </w:r>
      <w:r w:rsidRPr="00B33FA3">
        <w:rPr>
          <w:rFonts w:ascii="Times New Roman Italique" w:hAnsi="Times New Roman Italique"/>
          <w:i/>
          <w:iCs/>
        </w:rPr>
        <w:t> </w:t>
      </w:r>
      <w:r w:rsidR="00D67EB8" w:rsidRPr="00B33FA3">
        <w:rPr>
          <w:rFonts w:ascii="Times New Roman Italique" w:hAnsi="Times New Roman Italique"/>
          <w:i/>
          <w:iCs/>
        </w:rPr>
        <w:t>§ </w:t>
      </w:r>
      <w:r w:rsidR="00341A5E" w:rsidRPr="00B33FA3">
        <w:rPr>
          <w:rFonts w:ascii="Times New Roman Italique" w:hAnsi="Times New Roman Italique"/>
          <w:i/>
          <w:iCs/>
        </w:rPr>
        <w:t xml:space="preserve">1 </w:t>
      </w:r>
      <w:r w:rsidR="00D67EB8" w:rsidRPr="00B33FA3">
        <w:rPr>
          <w:rFonts w:ascii="Times New Roman Italique" w:hAnsi="Times New Roman Italique"/>
          <w:i/>
          <w:iCs/>
        </w:rPr>
        <w:t>Abs. </w:t>
      </w:r>
      <w:r w:rsidR="00341A5E" w:rsidRPr="00B33FA3">
        <w:rPr>
          <w:rFonts w:ascii="Times New Roman Italique" w:hAnsi="Times New Roman Italique"/>
          <w:i/>
          <w:iCs/>
        </w:rPr>
        <w:t xml:space="preserve">5 eingefügt durch </w:t>
      </w:r>
      <w:r w:rsidR="00D67EB8" w:rsidRPr="00B33FA3">
        <w:rPr>
          <w:rFonts w:ascii="Times New Roman Italique" w:hAnsi="Times New Roman Italique"/>
          <w:i/>
          <w:iCs/>
        </w:rPr>
        <w:t>Art. </w:t>
      </w:r>
      <w:r w:rsidR="00341A5E" w:rsidRPr="00B33FA3">
        <w:rPr>
          <w:rFonts w:ascii="Times New Roman Italique" w:hAnsi="Times New Roman Italique"/>
          <w:i/>
          <w:iCs/>
        </w:rPr>
        <w:t xml:space="preserve">73 </w:t>
      </w:r>
      <w:r w:rsidR="00D67EB8" w:rsidRPr="00B33FA3">
        <w:rPr>
          <w:rFonts w:ascii="Times New Roman Italique" w:hAnsi="Times New Roman Italique"/>
          <w:i/>
          <w:iCs/>
        </w:rPr>
        <w:t>Nr. </w:t>
      </w:r>
      <w:r w:rsidR="00341A5E" w:rsidRPr="00B33FA3">
        <w:rPr>
          <w:rFonts w:ascii="Times New Roman Italique" w:hAnsi="Times New Roman Italique"/>
          <w:i/>
          <w:iCs/>
        </w:rPr>
        <w:t>2 des G. vom 10. August 2015 (B.S. vom</w:t>
      </w:r>
      <w:r w:rsidR="00341A5E" w:rsidRPr="009118AB">
        <w:rPr>
          <w:rFonts w:ascii="Times New Roman Italique" w:hAnsi="Times New Roman Italique"/>
          <w:i/>
          <w:iCs/>
          <w:spacing w:val="-2"/>
        </w:rPr>
        <w:t xml:space="preserve"> 18. August 2015)</w:t>
      </w:r>
      <w:r w:rsidR="00D67EB8" w:rsidRPr="009118AB">
        <w:rPr>
          <w:rFonts w:ascii="Times New Roman Italique" w:hAnsi="Times New Roman Italique"/>
          <w:i/>
          <w:iCs/>
          <w:spacing w:val="-2"/>
        </w:rPr>
        <w:t> - </w:t>
      </w:r>
      <w:r w:rsidR="00341A5E" w:rsidRPr="009118AB">
        <w:rPr>
          <w:rFonts w:ascii="Times New Roman Italique" w:hAnsi="Times New Roman Italique"/>
          <w:i/>
          <w:iCs/>
          <w:spacing w:val="-2"/>
        </w:rPr>
        <w:t>in Kraft ab dem Steuerjahr 2016</w:t>
      </w:r>
      <w:r w:rsidR="00D67EB8" w:rsidRPr="009118AB">
        <w:rPr>
          <w:rFonts w:ascii="Times New Roman Italique" w:hAnsi="Times New Roman Italique"/>
          <w:i/>
          <w:iCs/>
          <w:spacing w:val="-2"/>
        </w:rPr>
        <w:t> - </w:t>
      </w:r>
      <w:r w:rsidR="00423363"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423363" w:rsidRPr="009118AB">
        <w:rPr>
          <w:rFonts w:ascii="Times New Roman Italique" w:hAnsi="Times New Roman Italique"/>
          <w:i/>
          <w:iCs/>
          <w:spacing w:val="-2"/>
        </w:rPr>
        <w:t>46 des G. vom 18. Dezember 2015</w:t>
      </w:r>
      <w:r w:rsidR="007D0EAE" w:rsidRPr="009118AB">
        <w:rPr>
          <w:rFonts w:ascii="Times New Roman Italique" w:hAnsi="Times New Roman Italique"/>
          <w:i/>
          <w:iCs/>
          <w:spacing w:val="-2"/>
        </w:rPr>
        <w:t> (I)</w:t>
      </w:r>
      <w:r w:rsidR="00423363" w:rsidRPr="009118AB">
        <w:rPr>
          <w:rFonts w:ascii="Times New Roman Italique" w:hAnsi="Times New Roman Italique"/>
          <w:i/>
          <w:iCs/>
          <w:spacing w:val="-2"/>
        </w:rPr>
        <w:t xml:space="preserve"> (B.S. vom 30. Dezember 2015)</w:t>
      </w:r>
      <w:r w:rsidR="00D67EB8" w:rsidRPr="009118AB">
        <w:rPr>
          <w:rFonts w:ascii="Times New Roman Italique" w:hAnsi="Times New Roman Italique"/>
          <w:i/>
          <w:iCs/>
          <w:spacing w:val="-2"/>
        </w:rPr>
        <w:t> - </w:t>
      </w:r>
      <w:r w:rsidR="00B52789" w:rsidRPr="009118AB">
        <w:rPr>
          <w:rFonts w:ascii="Times New Roman Italique" w:hAnsi="Times New Roman Italique"/>
          <w:i/>
          <w:iCs/>
          <w:spacing w:val="-2"/>
        </w:rPr>
        <w:t>anwendbar auf Besteuerungszeiträume, die ab dem 1. Januar 2016 beginnen</w:t>
      </w:r>
      <w:r w:rsidR="00D67EB8" w:rsidRPr="009118AB">
        <w:rPr>
          <w:rFonts w:ascii="Times New Roman Italique" w:hAnsi="Times New Roman Italique"/>
          <w:i/>
          <w:iCs/>
          <w:spacing w:val="-2"/>
        </w:rPr>
        <w:t> - </w:t>
      </w:r>
      <w:r w:rsidR="0038694D"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38694D" w:rsidRPr="009118AB">
        <w:rPr>
          <w:rFonts w:ascii="Times New Roman Italique" w:hAnsi="Times New Roman Italique"/>
          <w:i/>
          <w:iCs/>
          <w:spacing w:val="-2"/>
        </w:rPr>
        <w:t>13 des G. vom 17. März 2019 (III) (B.S. vom 10. Mai 2019)</w:t>
      </w:r>
      <w:r w:rsidR="00D67EB8" w:rsidRPr="009118AB">
        <w:rPr>
          <w:rFonts w:ascii="Times New Roman Italique" w:hAnsi="Times New Roman Italique"/>
          <w:i/>
          <w:iCs/>
          <w:spacing w:val="-2"/>
        </w:rPr>
        <w:t> - </w:t>
      </w:r>
      <w:r w:rsidR="0038694D" w:rsidRPr="009118AB">
        <w:rPr>
          <w:rFonts w:ascii="Times New Roman Italique" w:hAnsi="Times New Roman Italique"/>
          <w:i/>
          <w:iCs/>
          <w:spacing w:val="-2"/>
        </w:rPr>
        <w:t>in Kraft am 1. Mai 2019</w:t>
      </w:r>
      <w:r w:rsidR="003366D9" w:rsidRPr="009118AB">
        <w:rPr>
          <w:rFonts w:ascii="Times New Roman Italique" w:hAnsi="Times New Roman Italique"/>
          <w:i/>
          <w:iCs/>
          <w:spacing w:val="-2"/>
        </w:rPr>
        <w:t> -;</w:t>
      </w:r>
      <w:r w:rsidR="00341A5E"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C828F1"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C828F1" w:rsidRPr="009118AB">
        <w:rPr>
          <w:rFonts w:ascii="Times New Roman Italique" w:hAnsi="Times New Roman Italique"/>
          <w:i/>
          <w:iCs/>
          <w:spacing w:val="-2"/>
        </w:rPr>
        <w:t xml:space="preserve">6 und 7 eingefügt durch </w:t>
      </w:r>
      <w:r w:rsidR="00D67EB8" w:rsidRPr="009118AB">
        <w:rPr>
          <w:rFonts w:ascii="Times New Roman Italique" w:hAnsi="Times New Roman Italique"/>
          <w:i/>
          <w:iCs/>
          <w:spacing w:val="-2"/>
        </w:rPr>
        <w:t>Art. </w:t>
      </w:r>
      <w:r w:rsidR="00C828F1" w:rsidRPr="009118AB">
        <w:rPr>
          <w:rFonts w:ascii="Times New Roman Italique" w:hAnsi="Times New Roman Italique"/>
          <w:i/>
          <w:iCs/>
          <w:spacing w:val="-2"/>
        </w:rPr>
        <w:t xml:space="preserve">21 </w:t>
      </w:r>
      <w:r w:rsidR="00D67EB8" w:rsidRPr="009118AB">
        <w:rPr>
          <w:rFonts w:ascii="Times New Roman Italique" w:hAnsi="Times New Roman Italique"/>
          <w:i/>
          <w:iCs/>
          <w:spacing w:val="-2"/>
        </w:rPr>
        <w:t>Nr. </w:t>
      </w:r>
      <w:r w:rsidR="00C828F1" w:rsidRPr="009118AB">
        <w:rPr>
          <w:rFonts w:ascii="Times New Roman Italique" w:hAnsi="Times New Roman Italique"/>
          <w:i/>
          <w:iCs/>
          <w:spacing w:val="-2"/>
        </w:rPr>
        <w:t>3</w:t>
      </w:r>
      <w:r w:rsidR="00C828F1" w:rsidRPr="009118AB">
        <w:rPr>
          <w:rFonts w:eastAsia="Calibri"/>
          <w:i/>
          <w:iCs/>
          <w:lang w:eastAsia="en-US"/>
        </w:rPr>
        <w:t xml:space="preserve"> des G. vom 25. November 2021 (B.S. vom 3. Dezember 2021)</w:t>
      </w:r>
      <w:r w:rsidR="00D67EB8" w:rsidRPr="009118AB">
        <w:rPr>
          <w:rFonts w:eastAsia="Calibri"/>
          <w:i/>
          <w:iCs/>
          <w:lang w:eastAsia="en-US"/>
        </w:rPr>
        <w:t> - </w:t>
      </w:r>
      <w:r w:rsidR="00C828F1" w:rsidRPr="009118AB">
        <w:rPr>
          <w:rFonts w:eastAsia="Calibri"/>
          <w:i/>
          <w:iCs/>
          <w:lang w:eastAsia="en-US"/>
        </w:rPr>
        <w:t>in Kraft am 1. Januar 2022</w:t>
      </w:r>
      <w:r w:rsidR="003366D9" w:rsidRPr="009118AB">
        <w:rPr>
          <w:rFonts w:eastAsia="Calibri"/>
          <w:i/>
          <w:iCs/>
          <w:lang w:eastAsia="en-US"/>
        </w:rPr>
        <w:t> -;</w:t>
      </w:r>
      <w:r w:rsidR="00C828F1" w:rsidRPr="009118AB">
        <w:rPr>
          <w:rFonts w:eastAsia="Calibri"/>
          <w:i/>
          <w:iCs/>
          <w:lang w:eastAsia="en-US"/>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 des G. vom 4. Mai 1999 (II) (B.S. vom 12. Juni 1999)</w:t>
      </w:r>
      <w:r w:rsidR="00141914" w:rsidRPr="009118AB">
        <w:rPr>
          <w:rFonts w:ascii="Times New Roman Italique" w:hAnsi="Times New Roman Italique"/>
          <w:i/>
          <w:iCs/>
          <w:spacing w:val="-2"/>
        </w:rPr>
        <w:t xml:space="preserve"> und aufgehoben durch </w:t>
      </w:r>
      <w:r w:rsidR="00D67EB8" w:rsidRPr="009118AB">
        <w:rPr>
          <w:rFonts w:ascii="Times New Roman Italique" w:hAnsi="Times New Roman Italique"/>
          <w:i/>
          <w:iCs/>
          <w:spacing w:val="-2"/>
        </w:rPr>
        <w:t>Art. </w:t>
      </w:r>
      <w:r w:rsidR="00141914" w:rsidRPr="009118AB">
        <w:rPr>
          <w:rFonts w:ascii="Times New Roman Italique" w:hAnsi="Times New Roman Italique"/>
          <w:i/>
          <w:iCs/>
          <w:spacing w:val="-2"/>
        </w:rPr>
        <w:t>87</w:t>
      </w:r>
      <w:r w:rsidR="00141914" w:rsidRPr="009118AB">
        <w:rPr>
          <w:rFonts w:ascii="Times New Roman Italique" w:hAnsi="Times New Roman Italique"/>
          <w:i/>
          <w:spacing w:val="-2"/>
        </w:rPr>
        <w:t xml:space="preserve"> des G. vom 26. Dezember 2015 (II) (B.S. vom 30. Dezember 2015)</w:t>
      </w:r>
      <w:r w:rsidR="00D67EB8" w:rsidRPr="009118AB">
        <w:rPr>
          <w:rFonts w:ascii="Times New Roman Italique" w:hAnsi="Times New Roman Italique"/>
          <w:spacing w:val="-2"/>
        </w:rPr>
        <w:t> - </w:t>
      </w:r>
      <w:r w:rsidR="00141914" w:rsidRPr="009118AB">
        <w:rPr>
          <w:rFonts w:ascii="Times New Roman Italique" w:hAnsi="Times New Roman Italique"/>
          <w:i/>
          <w:spacing w:val="-2"/>
        </w:rPr>
        <w:t>anwendbar auf die ab dem 1. Januar 2016 erworbenen oder gebildeten Anlagen</w:t>
      </w:r>
      <w:r w:rsidR="00FD68E8" w:rsidRPr="009118AB">
        <w:rPr>
          <w:rFonts w:ascii="Times New Roman Italique" w:hAnsi="Times New Roman Italique"/>
          <w:i/>
          <w:spacing w:val="-2"/>
        </w:rPr>
        <w:t> -]</w:t>
      </w:r>
    </w:p>
    <w:bookmarkEnd w:id="10"/>
    <w:p w14:paraId="27A089C0" w14:textId="77777777" w:rsidR="0038042C" w:rsidRDefault="0038042C" w:rsidP="00477B8F">
      <w:pPr>
        <w:autoSpaceDE w:val="0"/>
        <w:autoSpaceDN w:val="0"/>
        <w:adjustRightInd w:val="0"/>
        <w:jc w:val="both"/>
      </w:pPr>
    </w:p>
    <w:p w14:paraId="7056458B" w14:textId="77777777" w:rsidR="00B33FA3" w:rsidRDefault="00B33FA3" w:rsidP="00477B8F">
      <w:pPr>
        <w:autoSpaceDE w:val="0"/>
        <w:autoSpaceDN w:val="0"/>
        <w:adjustRightInd w:val="0"/>
        <w:jc w:val="both"/>
      </w:pPr>
    </w:p>
    <w:p w14:paraId="34228331" w14:textId="227D7103" w:rsidR="00B33FA3" w:rsidRDefault="00B33FA3" w:rsidP="00B33FA3">
      <w:pPr>
        <w:jc w:val="both"/>
        <w:rPr>
          <w:sz w:val="20"/>
          <w:szCs w:val="20"/>
        </w:rPr>
      </w:pPr>
      <w:r>
        <w:rPr>
          <w:sz w:val="20"/>
          <w:szCs w:val="20"/>
        </w:rPr>
        <w:t>Ab dem Steuerjahr 2026 (gemäß Art. 21 Abs. 2 des G. vom 12. Mai 2024 (B.S. vom 29. Mai 2024)) lautet Art. 69 wie folgt:</w:t>
      </w:r>
      <w:r w:rsidRPr="00B33FA3">
        <w:t xml:space="preserve"> </w:t>
      </w:r>
    </w:p>
    <w:p w14:paraId="56B73CDF" w14:textId="77777777" w:rsidR="00B33FA3" w:rsidRDefault="00B33FA3" w:rsidP="00B33FA3">
      <w:pPr>
        <w:autoSpaceDE w:val="0"/>
        <w:autoSpaceDN w:val="0"/>
        <w:adjustRightInd w:val="0"/>
        <w:jc w:val="both"/>
        <w:rPr>
          <w:sz w:val="20"/>
          <w:szCs w:val="20"/>
        </w:rPr>
      </w:pPr>
    </w:p>
    <w:p w14:paraId="416538E3" w14:textId="77777777" w:rsidR="00B33FA3" w:rsidRPr="00B33FA3" w:rsidRDefault="00B33FA3" w:rsidP="00B33FA3">
      <w:pPr>
        <w:autoSpaceDE w:val="0"/>
        <w:autoSpaceDN w:val="0"/>
        <w:adjustRightInd w:val="0"/>
        <w:jc w:val="both"/>
        <w:rPr>
          <w:sz w:val="20"/>
          <w:szCs w:val="20"/>
        </w:rPr>
      </w:pPr>
      <w:r>
        <w:rPr>
          <w:sz w:val="20"/>
          <w:szCs w:val="20"/>
        </w:rPr>
        <w:t>"</w:t>
      </w:r>
      <w:r w:rsidRPr="00B33FA3">
        <w:rPr>
          <w:sz w:val="20"/>
          <w:szCs w:val="20"/>
        </w:rPr>
        <w:t>Art. 69 - </w:t>
      </w:r>
      <w:r>
        <w:rPr>
          <w:sz w:val="20"/>
          <w:szCs w:val="20"/>
        </w:rPr>
        <w:t>[</w:t>
      </w:r>
      <w:r w:rsidRPr="00B33FA3">
        <w:rPr>
          <w:sz w:val="20"/>
          <w:szCs w:val="20"/>
        </w:rPr>
        <w:t>Der Investitionsabzug wird auf Gewinne oder Profite des Besteuerungszeitraums angewandt, in dem die Anlagen erworben oder gebildet wurden, und umfasst folgende Abzugskategorien:</w:t>
      </w:r>
    </w:p>
    <w:p w14:paraId="63442A2A" w14:textId="77777777" w:rsidR="00B33FA3" w:rsidRPr="00B33FA3" w:rsidRDefault="00B33FA3" w:rsidP="00B33FA3">
      <w:pPr>
        <w:autoSpaceDE w:val="0"/>
        <w:autoSpaceDN w:val="0"/>
        <w:adjustRightInd w:val="0"/>
        <w:jc w:val="both"/>
        <w:rPr>
          <w:sz w:val="20"/>
          <w:szCs w:val="20"/>
        </w:rPr>
      </w:pPr>
    </w:p>
    <w:p w14:paraId="491274F5" w14:textId="77777777" w:rsidR="00B33FA3" w:rsidRPr="00B33FA3" w:rsidRDefault="00B33FA3" w:rsidP="00B33FA3">
      <w:pPr>
        <w:autoSpaceDE w:val="0"/>
        <w:autoSpaceDN w:val="0"/>
        <w:adjustRightInd w:val="0"/>
        <w:jc w:val="both"/>
        <w:rPr>
          <w:sz w:val="20"/>
          <w:szCs w:val="20"/>
        </w:rPr>
      </w:pPr>
      <w:r w:rsidRPr="00B33FA3">
        <w:rPr>
          <w:sz w:val="20"/>
          <w:szCs w:val="20"/>
        </w:rPr>
        <w:t>1. den Basisabzug von 10 Prozent,</w:t>
      </w:r>
    </w:p>
    <w:p w14:paraId="641DC3D4" w14:textId="77777777" w:rsidR="00B33FA3" w:rsidRPr="00B33FA3" w:rsidRDefault="00B33FA3" w:rsidP="00B33FA3">
      <w:pPr>
        <w:autoSpaceDE w:val="0"/>
        <w:autoSpaceDN w:val="0"/>
        <w:adjustRightInd w:val="0"/>
        <w:jc w:val="both"/>
        <w:rPr>
          <w:sz w:val="20"/>
          <w:szCs w:val="20"/>
        </w:rPr>
      </w:pPr>
    </w:p>
    <w:p w14:paraId="64EE7A46" w14:textId="77777777" w:rsidR="00B33FA3" w:rsidRPr="00B33FA3" w:rsidRDefault="00B33FA3" w:rsidP="00B33FA3">
      <w:pPr>
        <w:autoSpaceDE w:val="0"/>
        <w:autoSpaceDN w:val="0"/>
        <w:adjustRightInd w:val="0"/>
        <w:jc w:val="both"/>
        <w:rPr>
          <w:sz w:val="20"/>
          <w:szCs w:val="20"/>
        </w:rPr>
      </w:pPr>
      <w:r w:rsidRPr="00B33FA3">
        <w:rPr>
          <w:sz w:val="20"/>
          <w:szCs w:val="20"/>
        </w:rPr>
        <w:t>2. den erhöhten thematischen Abzug von 40 Prozent,</w:t>
      </w:r>
    </w:p>
    <w:p w14:paraId="2BD5BC9A" w14:textId="77777777" w:rsidR="00B33FA3" w:rsidRPr="00B33FA3" w:rsidRDefault="00B33FA3" w:rsidP="00B33FA3">
      <w:pPr>
        <w:autoSpaceDE w:val="0"/>
        <w:autoSpaceDN w:val="0"/>
        <w:adjustRightInd w:val="0"/>
        <w:jc w:val="both"/>
        <w:rPr>
          <w:sz w:val="20"/>
          <w:szCs w:val="20"/>
        </w:rPr>
      </w:pPr>
    </w:p>
    <w:p w14:paraId="41B12C5F" w14:textId="77777777" w:rsidR="00B33FA3" w:rsidRPr="00B33FA3" w:rsidRDefault="00B33FA3" w:rsidP="00B33FA3">
      <w:pPr>
        <w:autoSpaceDE w:val="0"/>
        <w:autoSpaceDN w:val="0"/>
        <w:adjustRightInd w:val="0"/>
        <w:jc w:val="both"/>
        <w:rPr>
          <w:sz w:val="20"/>
          <w:szCs w:val="20"/>
        </w:rPr>
      </w:pPr>
      <w:r w:rsidRPr="00B33FA3">
        <w:rPr>
          <w:sz w:val="20"/>
          <w:szCs w:val="20"/>
        </w:rPr>
        <w:t>3. den Technologieabzug von 13,5 Prozent.</w:t>
      </w:r>
    </w:p>
    <w:p w14:paraId="45001CD7" w14:textId="77777777" w:rsidR="00B33FA3" w:rsidRPr="00B33FA3" w:rsidRDefault="00B33FA3" w:rsidP="00B33FA3">
      <w:pPr>
        <w:autoSpaceDE w:val="0"/>
        <w:autoSpaceDN w:val="0"/>
        <w:adjustRightInd w:val="0"/>
        <w:jc w:val="both"/>
        <w:rPr>
          <w:sz w:val="20"/>
          <w:szCs w:val="20"/>
        </w:rPr>
      </w:pPr>
    </w:p>
    <w:p w14:paraId="305F4643" w14:textId="77777777" w:rsidR="00B33FA3" w:rsidRPr="00B33FA3" w:rsidRDefault="00B33FA3" w:rsidP="00B33FA3">
      <w:pPr>
        <w:autoSpaceDE w:val="0"/>
        <w:autoSpaceDN w:val="0"/>
        <w:adjustRightInd w:val="0"/>
        <w:jc w:val="both"/>
        <w:rPr>
          <w:sz w:val="20"/>
          <w:szCs w:val="20"/>
        </w:rPr>
      </w:pPr>
      <w:r w:rsidRPr="00B33FA3">
        <w:rPr>
          <w:sz w:val="20"/>
          <w:szCs w:val="20"/>
        </w:rPr>
        <w:t>Steuerpflichtige können für ein und dieselbe Anlage nur eine einzige Abzugskategorie wählen.</w:t>
      </w:r>
    </w:p>
    <w:p w14:paraId="5217503B" w14:textId="77777777" w:rsidR="00B33FA3" w:rsidRPr="00B33FA3" w:rsidRDefault="00B33FA3" w:rsidP="00B33FA3">
      <w:pPr>
        <w:autoSpaceDE w:val="0"/>
        <w:autoSpaceDN w:val="0"/>
        <w:adjustRightInd w:val="0"/>
        <w:jc w:val="both"/>
        <w:rPr>
          <w:sz w:val="20"/>
          <w:szCs w:val="20"/>
        </w:rPr>
      </w:pPr>
    </w:p>
    <w:p w14:paraId="2651E2D8" w14:textId="56ACAEEC" w:rsidR="00B33FA3" w:rsidRPr="00B33FA3" w:rsidRDefault="00B33FA3" w:rsidP="00B33FA3">
      <w:pPr>
        <w:autoSpaceDE w:val="0"/>
        <w:autoSpaceDN w:val="0"/>
        <w:adjustRightInd w:val="0"/>
        <w:jc w:val="both"/>
        <w:rPr>
          <w:sz w:val="20"/>
          <w:szCs w:val="20"/>
        </w:rPr>
      </w:pPr>
      <w:r w:rsidRPr="00B33FA3">
        <w:rPr>
          <w:sz w:val="20"/>
          <w:szCs w:val="20"/>
        </w:rPr>
        <w:t>Der in Absatz 1 Nr. 1 erwähnte Basisabzug wird um 10 Prozentpunkte erhöht, wenn es sich um digitale Anlagen handelt.]</w:t>
      </w:r>
    </w:p>
    <w:p w14:paraId="2E78346A" w14:textId="77777777" w:rsidR="00B33FA3" w:rsidRPr="00B33FA3" w:rsidRDefault="00B33FA3" w:rsidP="00B33FA3">
      <w:pPr>
        <w:autoSpaceDE w:val="0"/>
        <w:autoSpaceDN w:val="0"/>
        <w:adjustRightInd w:val="0"/>
        <w:jc w:val="both"/>
        <w:rPr>
          <w:sz w:val="20"/>
          <w:szCs w:val="20"/>
        </w:rPr>
      </w:pPr>
    </w:p>
    <w:p w14:paraId="547F85F9" w14:textId="33938B60" w:rsidR="00B33FA3" w:rsidRPr="00B33FA3" w:rsidRDefault="00B33FA3" w:rsidP="00B33FA3">
      <w:pPr>
        <w:autoSpaceDE w:val="0"/>
        <w:autoSpaceDN w:val="0"/>
        <w:adjustRightInd w:val="0"/>
        <w:jc w:val="both"/>
        <w:rPr>
          <w:iCs/>
          <w:sz w:val="20"/>
          <w:szCs w:val="20"/>
        </w:rPr>
      </w:pPr>
      <w:r w:rsidRPr="00B33FA3">
        <w:rPr>
          <w:i/>
          <w:iCs/>
          <w:sz w:val="20"/>
          <w:szCs w:val="20"/>
        </w:rPr>
        <w:t xml:space="preserve">[Art. 69 </w:t>
      </w:r>
      <w:r>
        <w:rPr>
          <w:i/>
          <w:iCs/>
          <w:sz w:val="20"/>
          <w:szCs w:val="20"/>
        </w:rPr>
        <w:t>ersetzt durch Art.4</w:t>
      </w:r>
      <w:r w:rsidRPr="00B33FA3">
        <w:rPr>
          <w:i/>
          <w:iCs/>
          <w:sz w:val="20"/>
          <w:szCs w:val="20"/>
        </w:rPr>
        <w:t xml:space="preserve"> des G. vom 12. Mai 2024 (B.S. vom 29. Mai 2024) - anwendbar auf die ab dem 1. Januar 2025 erworbenen oder gebildeten Anlagen -</w:t>
      </w:r>
      <w:r w:rsidRPr="00B33FA3">
        <w:rPr>
          <w:i/>
          <w:sz w:val="20"/>
          <w:szCs w:val="20"/>
        </w:rPr>
        <w:t>]</w:t>
      </w:r>
      <w:r>
        <w:rPr>
          <w:iCs/>
          <w:sz w:val="20"/>
          <w:szCs w:val="20"/>
        </w:rPr>
        <w:t>"</w:t>
      </w:r>
    </w:p>
    <w:p w14:paraId="5B9F7576" w14:textId="3B437587" w:rsidR="00B33FA3" w:rsidRPr="009118AB" w:rsidRDefault="00B33FA3" w:rsidP="00B33FA3">
      <w:pPr>
        <w:autoSpaceDE w:val="0"/>
        <w:autoSpaceDN w:val="0"/>
        <w:adjustRightInd w:val="0"/>
        <w:jc w:val="both"/>
      </w:pPr>
    </w:p>
    <w:p w14:paraId="20C26946" w14:textId="77777777" w:rsidR="00B33FA3" w:rsidRDefault="00B33FA3" w:rsidP="001D37BC">
      <w:pPr>
        <w:ind w:firstLine="709"/>
        <w:jc w:val="both"/>
        <w:rPr>
          <w:b/>
          <w:bCs/>
        </w:rPr>
      </w:pPr>
    </w:p>
    <w:p w14:paraId="383A4224" w14:textId="39B12481" w:rsidR="00B33FA3" w:rsidRDefault="00B33FA3" w:rsidP="00B33FA3">
      <w:pPr>
        <w:autoSpaceDE w:val="0"/>
        <w:autoSpaceDN w:val="0"/>
        <w:adjustRightInd w:val="0"/>
        <w:jc w:val="both"/>
        <w:rPr>
          <w:sz w:val="20"/>
          <w:szCs w:val="20"/>
        </w:rPr>
      </w:pPr>
      <w:r>
        <w:rPr>
          <w:sz w:val="20"/>
          <w:szCs w:val="20"/>
        </w:rPr>
        <w:t>Ab dem Steuerjahr 2026 (gemäß Art. 21 Abs. 2 des G. vom 12. Mai 2024 (B.S. vom 29. Mai 2024)) wird ein Artikel 69/1 mit folgendem Wortlaut eingefügt:</w:t>
      </w:r>
    </w:p>
    <w:p w14:paraId="2E082F07" w14:textId="77777777" w:rsidR="00B33FA3" w:rsidRDefault="00B33FA3" w:rsidP="00B33FA3">
      <w:pPr>
        <w:autoSpaceDE w:val="0"/>
        <w:autoSpaceDN w:val="0"/>
        <w:adjustRightInd w:val="0"/>
        <w:jc w:val="both"/>
        <w:rPr>
          <w:sz w:val="20"/>
          <w:szCs w:val="20"/>
        </w:rPr>
      </w:pPr>
    </w:p>
    <w:p w14:paraId="450C1EE8" w14:textId="0E4B7C8C" w:rsidR="00A00060" w:rsidRPr="00A00060" w:rsidRDefault="00B33FA3" w:rsidP="00A00060">
      <w:pPr>
        <w:jc w:val="both"/>
        <w:rPr>
          <w:sz w:val="20"/>
          <w:szCs w:val="20"/>
        </w:rPr>
      </w:pPr>
      <w:r>
        <w:rPr>
          <w:sz w:val="20"/>
          <w:szCs w:val="20"/>
        </w:rPr>
        <w:t>"</w:t>
      </w:r>
      <w:r w:rsidR="00A00060" w:rsidRPr="00B9301B">
        <w:rPr>
          <w:sz w:val="20"/>
          <w:szCs w:val="20"/>
        </w:rPr>
        <w:t>[</w:t>
      </w:r>
      <w:r w:rsidR="00A00060" w:rsidRPr="00A00060">
        <w:rPr>
          <w:sz w:val="20"/>
          <w:szCs w:val="20"/>
        </w:rPr>
        <w:t>Art. 69/1 - § 1 ­ Der in Artikel 69 Absatz 1 Nr. 2 erwähnte erhöhte thematische Abzug umfasst folgende Themenbereiche, innerhalb deren die Investitionen getätigt werden müssen:</w:t>
      </w:r>
    </w:p>
    <w:p w14:paraId="7D0A88EA" w14:textId="77777777" w:rsidR="00A00060" w:rsidRPr="00A00060" w:rsidRDefault="00A00060" w:rsidP="00A00060">
      <w:pPr>
        <w:jc w:val="both"/>
        <w:rPr>
          <w:sz w:val="20"/>
          <w:szCs w:val="20"/>
        </w:rPr>
      </w:pPr>
    </w:p>
    <w:p w14:paraId="183362A9" w14:textId="77777777" w:rsidR="00A00060" w:rsidRPr="00A00060" w:rsidRDefault="00A00060" w:rsidP="00A00060">
      <w:pPr>
        <w:jc w:val="both"/>
        <w:rPr>
          <w:sz w:val="20"/>
          <w:szCs w:val="20"/>
        </w:rPr>
      </w:pPr>
      <w:r w:rsidRPr="00A00060">
        <w:rPr>
          <w:sz w:val="20"/>
          <w:szCs w:val="20"/>
        </w:rPr>
        <w:t>1. Investitionen in eine effiziente Energienutzung und in erneuerbare Energien,</w:t>
      </w:r>
    </w:p>
    <w:p w14:paraId="065CA55F" w14:textId="77777777" w:rsidR="00A00060" w:rsidRPr="00A00060" w:rsidRDefault="00A00060" w:rsidP="00A00060">
      <w:pPr>
        <w:jc w:val="both"/>
        <w:rPr>
          <w:sz w:val="20"/>
          <w:szCs w:val="20"/>
        </w:rPr>
      </w:pPr>
    </w:p>
    <w:p w14:paraId="2B40D4ED" w14:textId="77777777" w:rsidR="00A00060" w:rsidRPr="00A00060" w:rsidRDefault="00A00060" w:rsidP="00A00060">
      <w:pPr>
        <w:jc w:val="both"/>
        <w:rPr>
          <w:sz w:val="20"/>
          <w:szCs w:val="20"/>
        </w:rPr>
      </w:pPr>
      <w:r w:rsidRPr="00A00060">
        <w:rPr>
          <w:sz w:val="20"/>
          <w:szCs w:val="20"/>
        </w:rPr>
        <w:t>2. Investitionen in Verkehr ohne Kohlenstoffemissionen,</w:t>
      </w:r>
    </w:p>
    <w:p w14:paraId="71355067" w14:textId="77777777" w:rsidR="00A00060" w:rsidRPr="00A00060" w:rsidRDefault="00A00060" w:rsidP="00A00060">
      <w:pPr>
        <w:jc w:val="both"/>
        <w:rPr>
          <w:sz w:val="20"/>
          <w:szCs w:val="20"/>
        </w:rPr>
      </w:pPr>
    </w:p>
    <w:p w14:paraId="255A6420" w14:textId="77777777" w:rsidR="00A00060" w:rsidRPr="00A00060" w:rsidRDefault="00A00060" w:rsidP="00A00060">
      <w:pPr>
        <w:jc w:val="both"/>
        <w:rPr>
          <w:sz w:val="20"/>
          <w:szCs w:val="20"/>
        </w:rPr>
      </w:pPr>
      <w:r w:rsidRPr="00A00060">
        <w:rPr>
          <w:sz w:val="20"/>
          <w:szCs w:val="20"/>
        </w:rPr>
        <w:t>3. umweltfreundliche Investitionen,</w:t>
      </w:r>
    </w:p>
    <w:p w14:paraId="17BFD7E6" w14:textId="77777777" w:rsidR="00A00060" w:rsidRPr="00A00060" w:rsidRDefault="00A00060" w:rsidP="00A00060">
      <w:pPr>
        <w:jc w:val="both"/>
        <w:rPr>
          <w:sz w:val="20"/>
          <w:szCs w:val="20"/>
        </w:rPr>
      </w:pPr>
    </w:p>
    <w:p w14:paraId="35CA55D7" w14:textId="77777777" w:rsidR="00A00060" w:rsidRPr="00A00060" w:rsidRDefault="00A00060" w:rsidP="00A00060">
      <w:pPr>
        <w:jc w:val="both"/>
        <w:rPr>
          <w:sz w:val="20"/>
          <w:szCs w:val="20"/>
        </w:rPr>
      </w:pPr>
      <w:r w:rsidRPr="00A00060">
        <w:rPr>
          <w:sz w:val="20"/>
          <w:szCs w:val="20"/>
        </w:rPr>
        <w:t>4. unterstützende digitale Investitionen.</w:t>
      </w:r>
    </w:p>
    <w:p w14:paraId="2E4BF74B" w14:textId="77777777" w:rsidR="00A00060" w:rsidRPr="00A00060" w:rsidRDefault="00A00060" w:rsidP="00A00060">
      <w:pPr>
        <w:jc w:val="both"/>
        <w:rPr>
          <w:sz w:val="20"/>
          <w:szCs w:val="20"/>
        </w:rPr>
      </w:pPr>
    </w:p>
    <w:p w14:paraId="335AB816" w14:textId="77777777" w:rsidR="00A00060" w:rsidRPr="00A00060" w:rsidRDefault="00A00060" w:rsidP="00A00060">
      <w:pPr>
        <w:jc w:val="both"/>
        <w:rPr>
          <w:sz w:val="20"/>
          <w:szCs w:val="20"/>
        </w:rPr>
      </w:pPr>
      <w:r w:rsidRPr="00A00060">
        <w:rPr>
          <w:sz w:val="20"/>
          <w:szCs w:val="20"/>
        </w:rPr>
        <w:t>Der erhöhte thematische Abzug kann nicht angewandt werden von Unternehmen in Schwierigkeiten oder von einem Unternehmen, für das infolge eines Beschlusses der Kommission zur Feststellung der Unzulässigkeit einer von Belgien gewährten Beihilfe und ihrer Unvereinbarkeit mit dem Binnenmarkt eine Rückforderungsanordnung besteht.</w:t>
      </w:r>
    </w:p>
    <w:p w14:paraId="3A54F48A" w14:textId="77777777" w:rsidR="00A00060" w:rsidRPr="00A00060" w:rsidRDefault="00A00060" w:rsidP="00A00060">
      <w:pPr>
        <w:jc w:val="both"/>
        <w:rPr>
          <w:sz w:val="20"/>
          <w:szCs w:val="20"/>
        </w:rPr>
      </w:pPr>
    </w:p>
    <w:p w14:paraId="68363616" w14:textId="77777777" w:rsidR="00A00060" w:rsidRPr="00A00060" w:rsidRDefault="00A00060" w:rsidP="00A00060">
      <w:pPr>
        <w:jc w:val="both"/>
        <w:rPr>
          <w:sz w:val="20"/>
          <w:szCs w:val="20"/>
        </w:rPr>
      </w:pPr>
      <w:r w:rsidRPr="00A00060">
        <w:rPr>
          <w:sz w:val="20"/>
          <w:szCs w:val="20"/>
        </w:rPr>
        <w:t>Darüber hinaus kann der erhöhte thematische Abzug nur auf Anlagen angewandt werden, für die keine Regionalbeihilfe beantragt wird; davon ausgenommen sind die vom König bestimmten Fälle.</w:t>
      </w:r>
    </w:p>
    <w:p w14:paraId="02C5CFAD" w14:textId="77777777" w:rsidR="00A00060" w:rsidRPr="00A00060" w:rsidRDefault="00A00060" w:rsidP="00A00060">
      <w:pPr>
        <w:jc w:val="both"/>
        <w:rPr>
          <w:sz w:val="20"/>
          <w:szCs w:val="20"/>
        </w:rPr>
      </w:pPr>
    </w:p>
    <w:p w14:paraId="79BCBF9D" w14:textId="77777777" w:rsidR="00A00060" w:rsidRPr="00A00060" w:rsidRDefault="00A00060" w:rsidP="00A00060">
      <w:pPr>
        <w:jc w:val="both"/>
        <w:rPr>
          <w:sz w:val="20"/>
          <w:szCs w:val="20"/>
        </w:rPr>
      </w:pPr>
      <w:r w:rsidRPr="00A00060">
        <w:rPr>
          <w:sz w:val="20"/>
          <w:szCs w:val="20"/>
        </w:rPr>
        <w:t>§ 2 ­ Der Abzug für Investitionen in eine effiziente Energienutzung und in erneuerbare Energien wie in § 1 Absatz 1 Nr. 1 erwähnt betrifft den Erwerb von Anlagen, die für die Erzeugung erneuerbarer Energien und eine effiziente Energienutzung bestimmt sind.</w:t>
      </w:r>
    </w:p>
    <w:p w14:paraId="590FEAD7" w14:textId="77777777" w:rsidR="00A00060" w:rsidRPr="00A00060" w:rsidRDefault="00A00060" w:rsidP="00A00060">
      <w:pPr>
        <w:jc w:val="both"/>
        <w:rPr>
          <w:sz w:val="20"/>
          <w:szCs w:val="20"/>
        </w:rPr>
      </w:pPr>
    </w:p>
    <w:p w14:paraId="52B10DCD" w14:textId="77777777" w:rsidR="00A00060" w:rsidRPr="00A00060" w:rsidRDefault="00A00060" w:rsidP="00A00060">
      <w:pPr>
        <w:jc w:val="both"/>
        <w:rPr>
          <w:sz w:val="20"/>
          <w:szCs w:val="20"/>
        </w:rPr>
      </w:pPr>
      <w:r w:rsidRPr="00A00060">
        <w:rPr>
          <w:sz w:val="20"/>
          <w:szCs w:val="20"/>
        </w:rPr>
        <w:t>Durch einen im Ministerrat beratenen Erlass und auf der Grundlage der Energiepolitik und der budgetären Auswirkungen legt der König die Liste der in Absatz 1 erwähnten Anlagen fest, ändert Er sie ab oder ersetzt Er sie; dies geschieht nach vorheriger Stellungnahme der Konzertierungsgruppe Staat-Regionen für die Energie, die durch das Zusammenarbeitsabkommen vom 18. Dezember 1991 zwischen dem Staat, der Wallonischen Region, der Flämischen Region und der Region Brüssel-Hauptstadt über die Koordinierung der Tätigkeiten im Zusammenhang mit der Energie gebildet worden ist. Diese Liste wird "Liste der Energie-Investitionen" genannt.</w:t>
      </w:r>
    </w:p>
    <w:p w14:paraId="6D6B4730" w14:textId="77777777" w:rsidR="00A00060" w:rsidRPr="00A00060" w:rsidRDefault="00A00060" w:rsidP="00A00060">
      <w:pPr>
        <w:jc w:val="both"/>
        <w:rPr>
          <w:sz w:val="20"/>
          <w:szCs w:val="20"/>
        </w:rPr>
      </w:pPr>
    </w:p>
    <w:p w14:paraId="4796F4D9" w14:textId="77777777" w:rsidR="00A00060" w:rsidRPr="00A00060" w:rsidRDefault="00A00060" w:rsidP="00A00060">
      <w:pPr>
        <w:jc w:val="both"/>
        <w:rPr>
          <w:sz w:val="20"/>
          <w:szCs w:val="20"/>
        </w:rPr>
      </w:pPr>
      <w:r w:rsidRPr="00A00060">
        <w:rPr>
          <w:sz w:val="20"/>
          <w:szCs w:val="20"/>
        </w:rPr>
        <w:t>Die in Absatz 2 erwähnte Stellungnahme wird binnen drei Monaten ab dem vom Minister der Finanzen ausgehenden Antrag auf Stellungnahme erwartet.</w:t>
      </w:r>
    </w:p>
    <w:p w14:paraId="053BFEC7" w14:textId="77777777" w:rsidR="00A00060" w:rsidRPr="00A00060" w:rsidRDefault="00A00060" w:rsidP="00A00060">
      <w:pPr>
        <w:jc w:val="both"/>
        <w:rPr>
          <w:sz w:val="20"/>
          <w:szCs w:val="20"/>
        </w:rPr>
      </w:pPr>
    </w:p>
    <w:p w14:paraId="69A9D8E1" w14:textId="77777777" w:rsidR="00A00060" w:rsidRPr="00A00060" w:rsidRDefault="00A00060" w:rsidP="00A00060">
      <w:pPr>
        <w:jc w:val="both"/>
        <w:rPr>
          <w:sz w:val="20"/>
          <w:szCs w:val="20"/>
        </w:rPr>
      </w:pPr>
      <w:r w:rsidRPr="00A00060">
        <w:rPr>
          <w:sz w:val="20"/>
          <w:szCs w:val="20"/>
        </w:rPr>
        <w:t>Wenn die in Absatz 2 erwähnte Konzertierungsgruppe binnen drei Monaten keine Stellungnahme übermittelt, richtet der Minister der Finanzen an jeden einzelnen in Belgien für Energie zuständigen Minister einen Antrag auf Stellungnahme; für diesen Antrag gilt eine Antwortfrist von einem Monat.</w:t>
      </w:r>
    </w:p>
    <w:p w14:paraId="33F21F9B" w14:textId="77777777" w:rsidR="00A00060" w:rsidRPr="00A00060" w:rsidRDefault="00A00060" w:rsidP="00A00060">
      <w:pPr>
        <w:jc w:val="both"/>
        <w:rPr>
          <w:sz w:val="20"/>
          <w:szCs w:val="20"/>
        </w:rPr>
      </w:pPr>
    </w:p>
    <w:p w14:paraId="6AB35E6A" w14:textId="77777777" w:rsidR="00A00060" w:rsidRPr="00A00060" w:rsidRDefault="00A00060" w:rsidP="00A00060">
      <w:pPr>
        <w:jc w:val="both"/>
        <w:rPr>
          <w:sz w:val="20"/>
          <w:szCs w:val="20"/>
        </w:rPr>
      </w:pPr>
      <w:r w:rsidRPr="00A00060">
        <w:rPr>
          <w:sz w:val="20"/>
          <w:szCs w:val="20"/>
        </w:rPr>
        <w:t>Wenn in dem in Absatz 4 erwähnten Fall einer oder mehrere der für Energie zuständigen Minister binnen der einmonatigen Frist nicht auf den Antrag auf Stellungnahme antworten, kann die Beratung über den Entwurf eines Erlasses zur Festlegung, Abänderung oder Ersetzung der Liste der Energie-Investitionen ohne ihre Stellungnahme erfolgen.</w:t>
      </w:r>
    </w:p>
    <w:p w14:paraId="7E39F1EE" w14:textId="77777777" w:rsidR="00A00060" w:rsidRPr="00A00060" w:rsidRDefault="00A00060" w:rsidP="00A00060">
      <w:pPr>
        <w:jc w:val="both"/>
        <w:rPr>
          <w:sz w:val="20"/>
          <w:szCs w:val="20"/>
        </w:rPr>
      </w:pPr>
    </w:p>
    <w:p w14:paraId="1003271B" w14:textId="77777777" w:rsidR="00A00060" w:rsidRPr="00A00060" w:rsidRDefault="00A00060" w:rsidP="00A00060">
      <w:pPr>
        <w:jc w:val="both"/>
        <w:rPr>
          <w:sz w:val="20"/>
          <w:szCs w:val="20"/>
        </w:rPr>
      </w:pPr>
      <w:r w:rsidRPr="00A00060">
        <w:rPr>
          <w:sz w:val="20"/>
          <w:szCs w:val="20"/>
        </w:rPr>
        <w:t>Die Liste der Energie-Investitionen, eine Abänderung dieser Liste oder eine spätere Hinzufügung zu dieser Liste ist drei Jahre gültig.</w:t>
      </w:r>
    </w:p>
    <w:p w14:paraId="64000329" w14:textId="77777777" w:rsidR="00A00060" w:rsidRPr="00A00060" w:rsidRDefault="00A00060" w:rsidP="00A00060">
      <w:pPr>
        <w:jc w:val="both"/>
        <w:rPr>
          <w:sz w:val="20"/>
          <w:szCs w:val="20"/>
        </w:rPr>
      </w:pPr>
    </w:p>
    <w:p w14:paraId="6F861941" w14:textId="77777777" w:rsidR="00A00060" w:rsidRPr="00A00060" w:rsidRDefault="00A00060" w:rsidP="00A00060">
      <w:pPr>
        <w:jc w:val="both"/>
        <w:rPr>
          <w:sz w:val="20"/>
          <w:szCs w:val="20"/>
        </w:rPr>
      </w:pPr>
      <w:r w:rsidRPr="00A00060">
        <w:rPr>
          <w:sz w:val="20"/>
          <w:szCs w:val="20"/>
        </w:rPr>
        <w:t>In Ermangelung einer rechtzeitigen Annahme einer neuen Liste verlängert der König die Gültigkeitsdauer der Liste der Energie-Investitionen ein einziges Mal um einen Zeitraum von zwei Jahren.</w:t>
      </w:r>
    </w:p>
    <w:p w14:paraId="0683B8E5" w14:textId="77777777" w:rsidR="00A00060" w:rsidRPr="00A00060" w:rsidRDefault="00A00060" w:rsidP="00A00060">
      <w:pPr>
        <w:jc w:val="both"/>
        <w:rPr>
          <w:sz w:val="20"/>
          <w:szCs w:val="20"/>
        </w:rPr>
      </w:pPr>
    </w:p>
    <w:p w14:paraId="0658DA6C" w14:textId="77777777" w:rsidR="00A00060" w:rsidRPr="00A00060" w:rsidRDefault="00A00060" w:rsidP="00A00060">
      <w:pPr>
        <w:jc w:val="both"/>
        <w:rPr>
          <w:sz w:val="20"/>
          <w:szCs w:val="20"/>
        </w:rPr>
      </w:pPr>
      <w:r w:rsidRPr="00A00060">
        <w:rPr>
          <w:sz w:val="20"/>
          <w:szCs w:val="20"/>
        </w:rPr>
        <w:t>§ 3 ­ Der Abzug für Investitionen in Verkehr ohne Kohlenstoffemissionen wie in § 1 Absatz 1 Nr. 2 erwähnt betrifft den Erwerb von Anlagen, die für Verkehrsmittel bestimmt sind, die kein CO</w:t>
      </w:r>
      <w:r w:rsidRPr="00A00060">
        <w:rPr>
          <w:sz w:val="20"/>
          <w:szCs w:val="20"/>
          <w:vertAlign w:val="subscript"/>
        </w:rPr>
        <w:t>2</w:t>
      </w:r>
      <w:r w:rsidRPr="00A00060">
        <w:rPr>
          <w:sz w:val="20"/>
          <w:szCs w:val="20"/>
        </w:rPr>
        <w:t xml:space="preserve"> ausstoßen.</w:t>
      </w:r>
    </w:p>
    <w:p w14:paraId="19C021AD" w14:textId="77777777" w:rsidR="00A00060" w:rsidRPr="00A00060" w:rsidRDefault="00A00060" w:rsidP="00A00060">
      <w:pPr>
        <w:jc w:val="both"/>
        <w:rPr>
          <w:sz w:val="20"/>
          <w:szCs w:val="20"/>
        </w:rPr>
      </w:pPr>
    </w:p>
    <w:p w14:paraId="7AD8A56A" w14:textId="77777777" w:rsidR="00A00060" w:rsidRPr="00A00060" w:rsidRDefault="00A00060" w:rsidP="00A00060">
      <w:pPr>
        <w:jc w:val="both"/>
        <w:rPr>
          <w:sz w:val="20"/>
          <w:szCs w:val="20"/>
        </w:rPr>
      </w:pPr>
      <w:r w:rsidRPr="00A00060">
        <w:rPr>
          <w:sz w:val="20"/>
          <w:szCs w:val="20"/>
        </w:rPr>
        <w:t>Durch einen im Ministerrat beratenen Erlass und auf der Grundlage der Verkehrspolitik und der budgetären Auswirkungen legt der König die Liste der in Absatz 1 erwähnten Anlagen fest, ändert Er sie ab oder ersetzt Er sie; dies geschieht nach einer vorherigen Stellungnahme, die bei dem für Mobilität zuständigen Minister beantragt wird. Diese Liste wird "Liste der Verkehrs-Investitionen" genannt.</w:t>
      </w:r>
    </w:p>
    <w:p w14:paraId="644EBCDB" w14:textId="77777777" w:rsidR="00A00060" w:rsidRPr="00A00060" w:rsidRDefault="00A00060" w:rsidP="00A00060">
      <w:pPr>
        <w:jc w:val="both"/>
        <w:rPr>
          <w:sz w:val="20"/>
          <w:szCs w:val="20"/>
        </w:rPr>
      </w:pPr>
    </w:p>
    <w:p w14:paraId="3BB00662" w14:textId="77777777" w:rsidR="00A00060" w:rsidRPr="00A00060" w:rsidRDefault="00A00060" w:rsidP="00A00060">
      <w:pPr>
        <w:jc w:val="both"/>
        <w:rPr>
          <w:sz w:val="20"/>
          <w:szCs w:val="20"/>
        </w:rPr>
      </w:pPr>
      <w:r w:rsidRPr="00A00060">
        <w:rPr>
          <w:sz w:val="20"/>
          <w:szCs w:val="20"/>
        </w:rPr>
        <w:lastRenderedPageBreak/>
        <w:t>Die in Absatz 2 erwähnte Stellungnahme wird binnen drei Monaten ab dem vom Minister der Finanzen ausgehenden Antrag auf Stellungnahme erwartet.</w:t>
      </w:r>
    </w:p>
    <w:p w14:paraId="6AF1BBDC" w14:textId="77777777" w:rsidR="00A00060" w:rsidRPr="00A00060" w:rsidRDefault="00A00060" w:rsidP="00A00060">
      <w:pPr>
        <w:jc w:val="both"/>
        <w:rPr>
          <w:sz w:val="20"/>
          <w:szCs w:val="20"/>
        </w:rPr>
      </w:pPr>
    </w:p>
    <w:p w14:paraId="56C0D417" w14:textId="77777777" w:rsidR="00A00060" w:rsidRPr="00A00060" w:rsidRDefault="00A00060" w:rsidP="00A00060">
      <w:pPr>
        <w:jc w:val="both"/>
        <w:rPr>
          <w:sz w:val="20"/>
          <w:szCs w:val="20"/>
        </w:rPr>
      </w:pPr>
      <w:r w:rsidRPr="00A00060">
        <w:rPr>
          <w:sz w:val="20"/>
          <w:szCs w:val="20"/>
        </w:rPr>
        <w:t>Wenn der für Mobilität zuständige Minister binnen drei Monaten nicht auf den Antrag auf Stellungnahme antwortet, kann die Beratung über den Entwurf eines Erlasses zur Festlegung, Abänderung oder Ersetzung der Liste der Verkehrs-Investitionen in Abweichung von Absatz 2 ohne vorherige Stellungnahme erfolgen.</w:t>
      </w:r>
    </w:p>
    <w:p w14:paraId="3E956939" w14:textId="77777777" w:rsidR="00A00060" w:rsidRPr="00A00060" w:rsidRDefault="00A00060" w:rsidP="00A00060">
      <w:pPr>
        <w:jc w:val="both"/>
        <w:rPr>
          <w:sz w:val="20"/>
          <w:szCs w:val="20"/>
        </w:rPr>
      </w:pPr>
    </w:p>
    <w:p w14:paraId="04F274A5" w14:textId="77777777" w:rsidR="00A00060" w:rsidRPr="00A00060" w:rsidRDefault="00A00060" w:rsidP="00A00060">
      <w:pPr>
        <w:jc w:val="both"/>
        <w:rPr>
          <w:sz w:val="20"/>
          <w:szCs w:val="20"/>
        </w:rPr>
      </w:pPr>
      <w:r w:rsidRPr="00A00060">
        <w:rPr>
          <w:sz w:val="20"/>
          <w:szCs w:val="20"/>
        </w:rPr>
        <w:t>Die Liste der Verkehrs-Investitionen, eine Abänderung dieser Liste oder eine spätere Hinzufügung zu dieser Liste ist drei Jahre gültig.</w:t>
      </w:r>
    </w:p>
    <w:p w14:paraId="6471959C" w14:textId="77777777" w:rsidR="00A00060" w:rsidRPr="00A00060" w:rsidRDefault="00A00060" w:rsidP="00A00060">
      <w:pPr>
        <w:jc w:val="both"/>
        <w:rPr>
          <w:sz w:val="20"/>
          <w:szCs w:val="20"/>
        </w:rPr>
      </w:pPr>
    </w:p>
    <w:p w14:paraId="7485804C" w14:textId="77777777" w:rsidR="00A00060" w:rsidRPr="00A00060" w:rsidRDefault="00A00060" w:rsidP="00A00060">
      <w:pPr>
        <w:jc w:val="both"/>
        <w:rPr>
          <w:sz w:val="20"/>
          <w:szCs w:val="20"/>
        </w:rPr>
      </w:pPr>
      <w:r w:rsidRPr="00A00060">
        <w:rPr>
          <w:sz w:val="20"/>
          <w:szCs w:val="20"/>
        </w:rPr>
        <w:t>In Ermangelung einer rechtzeitigen Annahme einer neuen Liste verlängert der König die Gültigkeitsdauer der Liste der Verkehrs-Investitionen ein einziges Mal um einen Zeitraum von zwei Jahren.</w:t>
      </w:r>
    </w:p>
    <w:p w14:paraId="4097E2C3" w14:textId="77777777" w:rsidR="00A00060" w:rsidRPr="00A00060" w:rsidRDefault="00A00060" w:rsidP="00A00060">
      <w:pPr>
        <w:jc w:val="both"/>
        <w:rPr>
          <w:sz w:val="20"/>
          <w:szCs w:val="20"/>
        </w:rPr>
      </w:pPr>
    </w:p>
    <w:p w14:paraId="1DE3361F" w14:textId="77777777" w:rsidR="00A00060" w:rsidRPr="00A00060" w:rsidRDefault="00A00060" w:rsidP="00A00060">
      <w:pPr>
        <w:jc w:val="both"/>
        <w:rPr>
          <w:sz w:val="20"/>
          <w:szCs w:val="20"/>
        </w:rPr>
      </w:pPr>
      <w:r w:rsidRPr="00A00060">
        <w:rPr>
          <w:sz w:val="20"/>
          <w:szCs w:val="20"/>
        </w:rPr>
        <w:t>§ 4 ­ Der Abzug für umweltfreundliche Investitionen wie in § 1 Absatz 1 Nr. 3 erwähnt betrifft den Erwerb von Anlagen, die vorteilhafte Auswirkungen auf die Umwelt haben, außerhalb der in den Paragraphen 2 und 3 erwähnten Sonderfälle.</w:t>
      </w:r>
    </w:p>
    <w:p w14:paraId="30A01097" w14:textId="77777777" w:rsidR="00A00060" w:rsidRPr="00A00060" w:rsidRDefault="00A00060" w:rsidP="00A00060">
      <w:pPr>
        <w:jc w:val="both"/>
        <w:rPr>
          <w:sz w:val="20"/>
          <w:szCs w:val="20"/>
        </w:rPr>
      </w:pPr>
    </w:p>
    <w:p w14:paraId="07A935B8" w14:textId="77777777" w:rsidR="00A00060" w:rsidRPr="00A00060" w:rsidRDefault="00A00060" w:rsidP="00A00060">
      <w:pPr>
        <w:jc w:val="both"/>
        <w:rPr>
          <w:sz w:val="20"/>
          <w:szCs w:val="20"/>
        </w:rPr>
      </w:pPr>
      <w:r w:rsidRPr="00A00060">
        <w:rPr>
          <w:sz w:val="20"/>
          <w:szCs w:val="20"/>
        </w:rPr>
        <w:t>Durch einen im Ministerrat beratenen Erlass und auf der Grundlage der Umweltpolitik und der budgetären Auswirkungen legt der König die Liste der in Absatz 1 erwähnten Anlagen fest, ändert Er sie ab oder ersetzt Er sie; dies geschieht nach vorheriger Stellungnahme der durch ein Zusammenarbeitsabkommen gebildeten thematischen Konzertierungsgruppen in den Zuständigkeitsbereichen Natur und Umwelt oder der gemäß Artikel 31</w:t>
      </w:r>
      <w:r w:rsidRPr="00A00060">
        <w:rPr>
          <w:i/>
          <w:iCs/>
          <w:sz w:val="20"/>
          <w:szCs w:val="20"/>
        </w:rPr>
        <w:t>bis</w:t>
      </w:r>
      <w:r w:rsidRPr="00A00060">
        <w:rPr>
          <w:sz w:val="20"/>
          <w:szCs w:val="20"/>
        </w:rPr>
        <w:t xml:space="preserve"> des ordentlichen Gesetzes vom 9. August 1980 zur Reform der Institutionen gebildeten Interministeriellen Konferenz "Umwelt". Diese Liste wird "Liste der Umwelt-Investitionen" genannt.</w:t>
      </w:r>
    </w:p>
    <w:p w14:paraId="017E848D" w14:textId="77777777" w:rsidR="00A00060" w:rsidRPr="00A00060" w:rsidRDefault="00A00060" w:rsidP="00A00060">
      <w:pPr>
        <w:jc w:val="both"/>
        <w:rPr>
          <w:sz w:val="20"/>
          <w:szCs w:val="20"/>
        </w:rPr>
      </w:pPr>
    </w:p>
    <w:p w14:paraId="6DAFCB3E" w14:textId="77777777" w:rsidR="00A00060" w:rsidRPr="00A00060" w:rsidRDefault="00A00060" w:rsidP="00A00060">
      <w:pPr>
        <w:jc w:val="both"/>
        <w:rPr>
          <w:sz w:val="20"/>
          <w:szCs w:val="20"/>
        </w:rPr>
      </w:pPr>
      <w:r w:rsidRPr="00A00060">
        <w:rPr>
          <w:sz w:val="20"/>
          <w:szCs w:val="20"/>
        </w:rPr>
        <w:t>Die in Absatz 2 erwähnte Stellungnahme wird binnen drei Monaten ab dem vom Minister der Finanzen ausgehenden Antrag auf Stellungnahme erwartet.</w:t>
      </w:r>
    </w:p>
    <w:p w14:paraId="0C15084F" w14:textId="77777777" w:rsidR="00A00060" w:rsidRPr="00A00060" w:rsidRDefault="00A00060" w:rsidP="00A00060">
      <w:pPr>
        <w:jc w:val="both"/>
        <w:rPr>
          <w:sz w:val="20"/>
          <w:szCs w:val="20"/>
        </w:rPr>
      </w:pPr>
    </w:p>
    <w:p w14:paraId="1DEC643E" w14:textId="77777777" w:rsidR="00A00060" w:rsidRPr="00A00060" w:rsidRDefault="00A00060" w:rsidP="00A00060">
      <w:pPr>
        <w:jc w:val="both"/>
        <w:rPr>
          <w:sz w:val="20"/>
          <w:szCs w:val="20"/>
        </w:rPr>
      </w:pPr>
      <w:r w:rsidRPr="00A00060">
        <w:rPr>
          <w:sz w:val="20"/>
          <w:szCs w:val="20"/>
        </w:rPr>
        <w:t>Wenn die in Absatz 2 erwähnten Konzertierungsgruppen binnen drei Monaten keine Stellungnahme übermitteln, wird erneut ein Antrag auf Stellungnahme gestellt, und zwar bei jedem einzelnen für Umwelt zuständigen Minister; für diesen Antrag gilt eine Antwortfrist von einem Monat.</w:t>
      </w:r>
    </w:p>
    <w:p w14:paraId="10CE5214" w14:textId="77777777" w:rsidR="00A00060" w:rsidRPr="00A00060" w:rsidRDefault="00A00060" w:rsidP="00A00060">
      <w:pPr>
        <w:jc w:val="both"/>
        <w:rPr>
          <w:sz w:val="20"/>
          <w:szCs w:val="20"/>
        </w:rPr>
      </w:pPr>
    </w:p>
    <w:p w14:paraId="562F7B8B" w14:textId="77777777" w:rsidR="00A00060" w:rsidRPr="00A00060" w:rsidRDefault="00A00060" w:rsidP="00A00060">
      <w:pPr>
        <w:jc w:val="both"/>
        <w:rPr>
          <w:sz w:val="20"/>
          <w:szCs w:val="20"/>
        </w:rPr>
      </w:pPr>
      <w:r w:rsidRPr="00A00060">
        <w:rPr>
          <w:sz w:val="20"/>
          <w:szCs w:val="20"/>
        </w:rPr>
        <w:t>Wenn in dem in Absatz 4 erwähnten Fall einer oder mehrere der zuständigen Minister binnen der einmonatigen Frist nicht auf den Antrag auf Stellungnahme antworten, kann die Beratung über den Entwurf eines Erlasses zur Festlegung, Abänderung oder Ersetzung der Liste der Umwelt-Investitionen ohne ihre Stellungnahme erfolgen.</w:t>
      </w:r>
    </w:p>
    <w:p w14:paraId="76A358C3" w14:textId="77777777" w:rsidR="00A00060" w:rsidRPr="00A00060" w:rsidRDefault="00A00060" w:rsidP="00A00060">
      <w:pPr>
        <w:jc w:val="both"/>
        <w:rPr>
          <w:sz w:val="20"/>
          <w:szCs w:val="20"/>
        </w:rPr>
      </w:pPr>
    </w:p>
    <w:p w14:paraId="739125CD" w14:textId="77777777" w:rsidR="00A00060" w:rsidRPr="00A00060" w:rsidRDefault="00A00060" w:rsidP="00A00060">
      <w:pPr>
        <w:jc w:val="both"/>
        <w:rPr>
          <w:sz w:val="20"/>
          <w:szCs w:val="20"/>
        </w:rPr>
      </w:pPr>
      <w:r w:rsidRPr="00A00060">
        <w:rPr>
          <w:sz w:val="20"/>
          <w:szCs w:val="20"/>
        </w:rPr>
        <w:t>Die Liste der Umwelt-Investitionen, eine Abänderung dieser Liste oder eine spätere Hinzufügung zu dieser Liste ist drei Jahre gültig.</w:t>
      </w:r>
    </w:p>
    <w:p w14:paraId="22641825" w14:textId="77777777" w:rsidR="00A00060" w:rsidRPr="00A00060" w:rsidRDefault="00A00060" w:rsidP="00A00060">
      <w:pPr>
        <w:jc w:val="both"/>
        <w:rPr>
          <w:sz w:val="20"/>
          <w:szCs w:val="20"/>
        </w:rPr>
      </w:pPr>
    </w:p>
    <w:p w14:paraId="74FF01DB" w14:textId="77777777" w:rsidR="00A00060" w:rsidRPr="00A00060" w:rsidRDefault="00A00060" w:rsidP="00A00060">
      <w:pPr>
        <w:jc w:val="both"/>
        <w:rPr>
          <w:sz w:val="20"/>
          <w:szCs w:val="20"/>
        </w:rPr>
      </w:pPr>
      <w:r w:rsidRPr="00A00060">
        <w:rPr>
          <w:sz w:val="20"/>
          <w:szCs w:val="20"/>
        </w:rPr>
        <w:t>In Ermangelung einer rechtzeitigen Annahme einer neuen Liste verlängert der König die Gültigkeitsdauer der Liste der Umwelt-Investitionen ein einziges Mal um einen Zeitraum von zwei Jahren.</w:t>
      </w:r>
    </w:p>
    <w:p w14:paraId="75F71429" w14:textId="77777777" w:rsidR="00A00060" w:rsidRPr="00A00060" w:rsidRDefault="00A00060" w:rsidP="00A00060">
      <w:pPr>
        <w:jc w:val="both"/>
        <w:rPr>
          <w:sz w:val="20"/>
          <w:szCs w:val="20"/>
        </w:rPr>
      </w:pPr>
    </w:p>
    <w:p w14:paraId="22CD4E6D" w14:textId="77777777" w:rsidR="00A00060" w:rsidRPr="00A00060" w:rsidRDefault="00A00060" w:rsidP="00A00060">
      <w:pPr>
        <w:jc w:val="both"/>
        <w:rPr>
          <w:sz w:val="20"/>
          <w:szCs w:val="20"/>
        </w:rPr>
      </w:pPr>
      <w:r w:rsidRPr="00A00060">
        <w:rPr>
          <w:sz w:val="20"/>
          <w:szCs w:val="20"/>
        </w:rPr>
        <w:t>§ 5 ­ Der Abzug für unterstützende digitale Investitionen wie in § 1 Absatz 1 Nr. 4 erwähnt betrifft den Erwerb digitaler Anlagen, die für die Unterstützung der in § 1 Absatz 1 Nr. 1 bis 3 erwähnten Investitionen bestimmt sind.</w:t>
      </w:r>
    </w:p>
    <w:p w14:paraId="394663DF" w14:textId="77777777" w:rsidR="00A00060" w:rsidRPr="00A00060" w:rsidRDefault="00A00060" w:rsidP="00A00060">
      <w:pPr>
        <w:jc w:val="both"/>
        <w:rPr>
          <w:sz w:val="20"/>
          <w:szCs w:val="20"/>
        </w:rPr>
      </w:pPr>
    </w:p>
    <w:p w14:paraId="5C72254C" w14:textId="77777777" w:rsidR="00A00060" w:rsidRPr="00A00060" w:rsidRDefault="00A00060" w:rsidP="00A00060">
      <w:pPr>
        <w:jc w:val="both"/>
        <w:rPr>
          <w:sz w:val="20"/>
          <w:szCs w:val="20"/>
        </w:rPr>
      </w:pPr>
      <w:r w:rsidRPr="00A00060">
        <w:rPr>
          <w:sz w:val="20"/>
          <w:szCs w:val="20"/>
        </w:rPr>
        <w:t>Durch einen im Ministerrat beratenen Erlass und auf der Grundlage der budgetären Auswirkungen legt der König die Liste der in Absatz 1 erwähnten Anlagen fest, ändert Er sie ab oder ersetzt Er sie; dies geschieht nach vorheriger Stellungnahme des für Digitalisierung zuständigen Ministers. Diese Liste wird "Liste der unterstützenden digitalen Investitionen" genannt.</w:t>
      </w:r>
    </w:p>
    <w:p w14:paraId="220DB2CC" w14:textId="77777777" w:rsidR="00A00060" w:rsidRPr="00A00060" w:rsidRDefault="00A00060" w:rsidP="00A00060">
      <w:pPr>
        <w:jc w:val="both"/>
        <w:rPr>
          <w:sz w:val="20"/>
          <w:szCs w:val="20"/>
        </w:rPr>
      </w:pPr>
    </w:p>
    <w:p w14:paraId="0290FBF4" w14:textId="77777777" w:rsidR="00A00060" w:rsidRPr="00A00060" w:rsidRDefault="00A00060" w:rsidP="00A00060">
      <w:pPr>
        <w:jc w:val="both"/>
        <w:rPr>
          <w:sz w:val="20"/>
          <w:szCs w:val="20"/>
        </w:rPr>
      </w:pPr>
      <w:r w:rsidRPr="00A00060">
        <w:rPr>
          <w:sz w:val="20"/>
          <w:szCs w:val="20"/>
        </w:rPr>
        <w:t>Die in Absatz 2 erwähnte Stellungnahme wird binnen drei Monaten ab dem vom Minister der Finanzen ausgehenden Antrag auf Stellungnahme erwartet.</w:t>
      </w:r>
    </w:p>
    <w:p w14:paraId="0F1E69D4" w14:textId="77777777" w:rsidR="00A00060" w:rsidRPr="00A00060" w:rsidRDefault="00A00060" w:rsidP="00A00060">
      <w:pPr>
        <w:jc w:val="both"/>
        <w:rPr>
          <w:sz w:val="20"/>
          <w:szCs w:val="20"/>
        </w:rPr>
      </w:pPr>
    </w:p>
    <w:p w14:paraId="1CCEA79D" w14:textId="77777777" w:rsidR="00A00060" w:rsidRPr="00A00060" w:rsidRDefault="00A00060" w:rsidP="00A00060">
      <w:pPr>
        <w:jc w:val="both"/>
        <w:rPr>
          <w:sz w:val="20"/>
          <w:szCs w:val="20"/>
        </w:rPr>
      </w:pPr>
      <w:r w:rsidRPr="00A00060">
        <w:rPr>
          <w:sz w:val="20"/>
          <w:szCs w:val="20"/>
        </w:rPr>
        <w:t>Wenn der für Digitalisierung zuständige Minister binnen drei Monaten nicht auf den Antrag auf Stellungnahme antwortet, kann die Beratung über den Entwurf eines Erlasses zur Festlegung, Abänderung oder Ersetzung der Liste der unterstützenden digitalen Investitionen in Abweichung von Absatz 2 ohne vorherige Stellungnahme erfolgen.</w:t>
      </w:r>
    </w:p>
    <w:p w14:paraId="3F00E1FD" w14:textId="77777777" w:rsidR="00A00060" w:rsidRPr="00A00060" w:rsidRDefault="00A00060" w:rsidP="00A00060">
      <w:pPr>
        <w:jc w:val="both"/>
        <w:rPr>
          <w:sz w:val="20"/>
          <w:szCs w:val="20"/>
        </w:rPr>
      </w:pPr>
    </w:p>
    <w:p w14:paraId="1FEA8A58" w14:textId="77777777" w:rsidR="00A00060" w:rsidRPr="00A00060" w:rsidRDefault="00A00060" w:rsidP="00A00060">
      <w:pPr>
        <w:jc w:val="both"/>
        <w:rPr>
          <w:sz w:val="20"/>
          <w:szCs w:val="20"/>
        </w:rPr>
      </w:pPr>
      <w:r w:rsidRPr="00A00060">
        <w:rPr>
          <w:sz w:val="20"/>
          <w:szCs w:val="20"/>
        </w:rPr>
        <w:t>Die Liste der unterstützenden digitalen Investitionen, eine Abänderung dieser Liste oder eine spätere Hinzufügung zu dieser Liste ist drei Jahre gültig.</w:t>
      </w:r>
    </w:p>
    <w:p w14:paraId="03CA06DF" w14:textId="77777777" w:rsidR="00A00060" w:rsidRPr="00A00060" w:rsidRDefault="00A00060" w:rsidP="00A00060">
      <w:pPr>
        <w:jc w:val="both"/>
        <w:rPr>
          <w:sz w:val="20"/>
          <w:szCs w:val="20"/>
        </w:rPr>
      </w:pPr>
    </w:p>
    <w:p w14:paraId="0742581B" w14:textId="77777777" w:rsidR="00A00060" w:rsidRDefault="00A00060" w:rsidP="00A00060">
      <w:pPr>
        <w:jc w:val="both"/>
        <w:rPr>
          <w:sz w:val="20"/>
          <w:szCs w:val="20"/>
        </w:rPr>
      </w:pPr>
      <w:r w:rsidRPr="00A00060">
        <w:rPr>
          <w:sz w:val="20"/>
          <w:szCs w:val="20"/>
        </w:rPr>
        <w:lastRenderedPageBreak/>
        <w:t>In Ermangelung einer rechtzeitigen Annahme einer neuen Liste verlängert der König die Gültigkeitsdauer der Liste der unterstützenden digitalen Investitionen ein einziges Mal um einen Zeitraum von zwei Jahren.</w:t>
      </w:r>
      <w:r>
        <w:rPr>
          <w:sz w:val="20"/>
          <w:szCs w:val="20"/>
        </w:rPr>
        <w:t>]</w:t>
      </w:r>
    </w:p>
    <w:p w14:paraId="41C186C3" w14:textId="77777777" w:rsidR="00A00060" w:rsidRDefault="00A00060" w:rsidP="00A00060">
      <w:pPr>
        <w:jc w:val="both"/>
        <w:rPr>
          <w:sz w:val="20"/>
          <w:szCs w:val="20"/>
        </w:rPr>
      </w:pPr>
    </w:p>
    <w:p w14:paraId="787655A0" w14:textId="7E211FF4" w:rsidR="00A00060" w:rsidRPr="00A00060" w:rsidRDefault="00A00060" w:rsidP="00A00060">
      <w:pPr>
        <w:jc w:val="both"/>
        <w:rPr>
          <w:sz w:val="20"/>
          <w:szCs w:val="20"/>
        </w:rPr>
      </w:pPr>
      <w:r>
        <w:rPr>
          <w:i/>
          <w:iCs/>
          <w:sz w:val="20"/>
          <w:szCs w:val="20"/>
        </w:rPr>
        <w:t>[Art. 69/1 eingefügt durch Art. 5</w:t>
      </w:r>
      <w:r w:rsidRPr="00A00060">
        <w:rPr>
          <w:i/>
          <w:iCs/>
          <w:sz w:val="20"/>
          <w:szCs w:val="20"/>
        </w:rPr>
        <w:t xml:space="preserve"> des G. vom 12. Mai 2024 (B.S. vom 29. Mai 2024) - anwendbar auf die ab dem 1. Januar 2025 erworbenen oder gebildeten Anlagen -</w:t>
      </w:r>
      <w:r>
        <w:rPr>
          <w:i/>
          <w:iCs/>
          <w:sz w:val="20"/>
          <w:szCs w:val="20"/>
        </w:rPr>
        <w:t>]</w:t>
      </w:r>
      <w:r w:rsidRPr="00A00060">
        <w:rPr>
          <w:sz w:val="20"/>
          <w:szCs w:val="20"/>
        </w:rPr>
        <w:t>"</w:t>
      </w:r>
    </w:p>
    <w:p w14:paraId="6EBFD94D" w14:textId="77777777" w:rsidR="00A00060" w:rsidRPr="00A00060" w:rsidRDefault="00A00060" w:rsidP="00A00060">
      <w:pPr>
        <w:jc w:val="both"/>
        <w:rPr>
          <w:sz w:val="20"/>
          <w:szCs w:val="20"/>
        </w:rPr>
      </w:pPr>
    </w:p>
    <w:p w14:paraId="40788EA3" w14:textId="77777777" w:rsidR="00A00060" w:rsidRDefault="00A00060" w:rsidP="00A00060">
      <w:pPr>
        <w:jc w:val="both"/>
        <w:rPr>
          <w:sz w:val="20"/>
          <w:szCs w:val="20"/>
        </w:rPr>
      </w:pPr>
    </w:p>
    <w:p w14:paraId="24ABCDDC" w14:textId="2485FE4A" w:rsidR="00A00060" w:rsidRPr="00A00060" w:rsidRDefault="00A00060" w:rsidP="00A00060">
      <w:pPr>
        <w:jc w:val="both"/>
        <w:rPr>
          <w:sz w:val="20"/>
          <w:szCs w:val="20"/>
        </w:rPr>
      </w:pPr>
      <w:r w:rsidRPr="00A00060">
        <w:rPr>
          <w:sz w:val="20"/>
          <w:szCs w:val="20"/>
        </w:rPr>
        <w:t>Ab dem Steuerjahr 2026 (gemäß Art. 21 Abs. 2 des G. vom 12. Mai 2024 (B.S. vom 29. Mai 2024)) wird ein Artikel 69/</w:t>
      </w:r>
      <w:r>
        <w:rPr>
          <w:sz w:val="20"/>
          <w:szCs w:val="20"/>
        </w:rPr>
        <w:t>2</w:t>
      </w:r>
      <w:r w:rsidRPr="00A00060">
        <w:rPr>
          <w:sz w:val="20"/>
          <w:szCs w:val="20"/>
        </w:rPr>
        <w:t xml:space="preserve"> mit folgendem Wortlaut eingefügt:</w:t>
      </w:r>
    </w:p>
    <w:p w14:paraId="6E0544FD" w14:textId="77777777" w:rsidR="00A00060" w:rsidRPr="00A00060" w:rsidRDefault="00A00060" w:rsidP="00A00060">
      <w:pPr>
        <w:jc w:val="both"/>
        <w:rPr>
          <w:sz w:val="20"/>
          <w:szCs w:val="20"/>
        </w:rPr>
      </w:pPr>
    </w:p>
    <w:p w14:paraId="6C04DD34" w14:textId="1EF8125A" w:rsidR="00A00060" w:rsidRPr="00A00060" w:rsidRDefault="00A00060" w:rsidP="00A00060">
      <w:pPr>
        <w:jc w:val="both"/>
        <w:rPr>
          <w:sz w:val="20"/>
          <w:szCs w:val="20"/>
        </w:rPr>
      </w:pPr>
      <w:r w:rsidRPr="00A00060">
        <w:rPr>
          <w:sz w:val="20"/>
          <w:szCs w:val="20"/>
        </w:rPr>
        <w:t>"[Art. 69/2 - Der in Artikel 69 Absatz 1 Nr. 3 erwähnte Technologieabzug wird gewährt für:</w:t>
      </w:r>
    </w:p>
    <w:p w14:paraId="11A6F381" w14:textId="77777777" w:rsidR="00A00060" w:rsidRPr="00A00060" w:rsidRDefault="00A00060" w:rsidP="00A00060">
      <w:pPr>
        <w:jc w:val="both"/>
        <w:rPr>
          <w:sz w:val="20"/>
          <w:szCs w:val="20"/>
        </w:rPr>
      </w:pPr>
    </w:p>
    <w:p w14:paraId="4CD846A6" w14:textId="77777777" w:rsidR="00A00060" w:rsidRPr="00A00060" w:rsidRDefault="00A00060" w:rsidP="00A00060">
      <w:pPr>
        <w:jc w:val="both"/>
        <w:rPr>
          <w:sz w:val="20"/>
          <w:szCs w:val="20"/>
        </w:rPr>
      </w:pPr>
      <w:r w:rsidRPr="00A00060">
        <w:rPr>
          <w:sz w:val="20"/>
          <w:szCs w:val="20"/>
        </w:rPr>
        <w:t>1. Patente,</w:t>
      </w:r>
    </w:p>
    <w:p w14:paraId="201B1D48" w14:textId="77777777" w:rsidR="00A00060" w:rsidRPr="00A00060" w:rsidRDefault="00A00060" w:rsidP="00A00060">
      <w:pPr>
        <w:jc w:val="both"/>
        <w:rPr>
          <w:sz w:val="20"/>
          <w:szCs w:val="20"/>
        </w:rPr>
      </w:pPr>
    </w:p>
    <w:p w14:paraId="4B3F17DD" w14:textId="3B8792FE" w:rsidR="00A00060" w:rsidRDefault="00A00060" w:rsidP="00A00060">
      <w:pPr>
        <w:jc w:val="both"/>
        <w:rPr>
          <w:sz w:val="20"/>
          <w:szCs w:val="20"/>
        </w:rPr>
      </w:pPr>
      <w:r w:rsidRPr="00A00060">
        <w:rPr>
          <w:sz w:val="20"/>
          <w:szCs w:val="20"/>
        </w:rPr>
        <w:t>2. Anlagen zur Förderung der Forschung und der Entwicklung neuer Produkte und fortschrittlicher Technologien, die keine Auswirkungen auf die Umwelt haben oder die die negativen Auswirkungen bestehender Produkte und Technologien auf die Umwelt verringern sollen.</w:t>
      </w:r>
      <w:r>
        <w:rPr>
          <w:sz w:val="20"/>
          <w:szCs w:val="20"/>
        </w:rPr>
        <w:t>]</w:t>
      </w:r>
    </w:p>
    <w:p w14:paraId="4C543C0B" w14:textId="77777777" w:rsidR="00A00060" w:rsidRDefault="00A00060" w:rsidP="00A00060">
      <w:pPr>
        <w:jc w:val="both"/>
        <w:rPr>
          <w:sz w:val="20"/>
          <w:szCs w:val="20"/>
        </w:rPr>
      </w:pPr>
    </w:p>
    <w:p w14:paraId="7B802278" w14:textId="069D49FD" w:rsidR="00A00060" w:rsidRPr="00A00060" w:rsidRDefault="00A00060" w:rsidP="00A00060">
      <w:pPr>
        <w:jc w:val="both"/>
        <w:rPr>
          <w:sz w:val="20"/>
          <w:szCs w:val="20"/>
        </w:rPr>
      </w:pPr>
      <w:r w:rsidRPr="00A00060">
        <w:rPr>
          <w:i/>
          <w:iCs/>
          <w:sz w:val="20"/>
          <w:szCs w:val="20"/>
        </w:rPr>
        <w:t>[Art. 69/</w:t>
      </w:r>
      <w:r>
        <w:rPr>
          <w:i/>
          <w:iCs/>
          <w:sz w:val="20"/>
          <w:szCs w:val="20"/>
        </w:rPr>
        <w:t>2</w:t>
      </w:r>
      <w:r w:rsidRPr="00A00060">
        <w:rPr>
          <w:i/>
          <w:iCs/>
          <w:sz w:val="20"/>
          <w:szCs w:val="20"/>
        </w:rPr>
        <w:t xml:space="preserve"> eingefügt durch Art. </w:t>
      </w:r>
      <w:r>
        <w:rPr>
          <w:i/>
          <w:iCs/>
          <w:sz w:val="20"/>
          <w:szCs w:val="20"/>
        </w:rPr>
        <w:t>6</w:t>
      </w:r>
      <w:r w:rsidRPr="00A00060">
        <w:rPr>
          <w:i/>
          <w:iCs/>
          <w:sz w:val="20"/>
          <w:szCs w:val="20"/>
        </w:rPr>
        <w:t xml:space="preserve"> des G. vom 12. Mai 2024 (B.S. vom 29. Mai 2024) - anwendbar auf die ab dem 1. Januar 2025 erworbenen oder gebildeten Anlagen -]</w:t>
      </w:r>
      <w:r w:rsidRPr="00A00060">
        <w:rPr>
          <w:sz w:val="20"/>
          <w:szCs w:val="20"/>
        </w:rPr>
        <w:t>"</w:t>
      </w:r>
    </w:p>
    <w:p w14:paraId="4E8368C7" w14:textId="77777777" w:rsidR="00A00060" w:rsidRPr="00A00060" w:rsidRDefault="00A00060" w:rsidP="00A00060">
      <w:pPr>
        <w:jc w:val="both"/>
        <w:rPr>
          <w:sz w:val="20"/>
          <w:szCs w:val="20"/>
        </w:rPr>
      </w:pPr>
    </w:p>
    <w:p w14:paraId="22577EEC" w14:textId="77777777" w:rsidR="00A00060" w:rsidRPr="00A00060" w:rsidRDefault="00A00060" w:rsidP="00A00060">
      <w:pPr>
        <w:jc w:val="both"/>
        <w:rPr>
          <w:sz w:val="20"/>
          <w:szCs w:val="20"/>
        </w:rPr>
      </w:pPr>
    </w:p>
    <w:p w14:paraId="69A423BE" w14:textId="1D2F7ED2" w:rsidR="00A00060" w:rsidRPr="00A00060" w:rsidRDefault="00A00060" w:rsidP="00A00060">
      <w:pPr>
        <w:jc w:val="both"/>
        <w:rPr>
          <w:bCs/>
          <w:sz w:val="20"/>
          <w:szCs w:val="20"/>
        </w:rPr>
      </w:pPr>
      <w:r w:rsidRPr="00A00060">
        <w:rPr>
          <w:bCs/>
          <w:sz w:val="20"/>
          <w:szCs w:val="20"/>
        </w:rPr>
        <w:t>Ab dem Steuerjahr 2026 (gemäß Art. 21 Abs. 2 des G. vom 12. Mai 2024 (B.S. vom 29. Mai 2024)) wird ein Artikel 69/</w:t>
      </w:r>
      <w:r>
        <w:rPr>
          <w:bCs/>
          <w:sz w:val="20"/>
          <w:szCs w:val="20"/>
        </w:rPr>
        <w:t>3</w:t>
      </w:r>
      <w:r w:rsidRPr="00A00060">
        <w:rPr>
          <w:bCs/>
          <w:sz w:val="20"/>
          <w:szCs w:val="20"/>
        </w:rPr>
        <w:t xml:space="preserve"> mit folgendem Wortlaut eingefügt:</w:t>
      </w:r>
    </w:p>
    <w:p w14:paraId="58FC2223" w14:textId="77777777" w:rsidR="00A00060" w:rsidRPr="00A00060" w:rsidRDefault="00A00060" w:rsidP="00A00060">
      <w:pPr>
        <w:jc w:val="both"/>
        <w:rPr>
          <w:bCs/>
          <w:sz w:val="20"/>
          <w:szCs w:val="20"/>
        </w:rPr>
      </w:pPr>
    </w:p>
    <w:p w14:paraId="7F902D76" w14:textId="081C7096" w:rsidR="00A00060" w:rsidRPr="00A00060" w:rsidRDefault="00A00060" w:rsidP="00A00060">
      <w:pPr>
        <w:jc w:val="both"/>
        <w:rPr>
          <w:sz w:val="20"/>
          <w:szCs w:val="20"/>
        </w:rPr>
      </w:pPr>
      <w:r w:rsidRPr="00A00060">
        <w:rPr>
          <w:bCs/>
          <w:sz w:val="20"/>
          <w:szCs w:val="20"/>
        </w:rPr>
        <w:t>"[</w:t>
      </w:r>
      <w:r w:rsidRPr="00A00060">
        <w:rPr>
          <w:sz w:val="20"/>
          <w:szCs w:val="20"/>
        </w:rPr>
        <w:t>Art. 69/3 - § 1 ­ Um den in Artikel 69/1 § 1 erwähnten Investitionsabzug zu erhalten, muss der Steuerpflichtige der Erklärung eine Bescheinigung der Region oder des Föderalministers, die/der durch vorliegenden Artikel bestimmt wird, beifügen.</w:t>
      </w:r>
    </w:p>
    <w:p w14:paraId="592CF197" w14:textId="77777777" w:rsidR="00A00060" w:rsidRPr="00A00060" w:rsidRDefault="00A00060" w:rsidP="00A00060">
      <w:pPr>
        <w:jc w:val="both"/>
        <w:rPr>
          <w:sz w:val="20"/>
          <w:szCs w:val="20"/>
        </w:rPr>
      </w:pPr>
    </w:p>
    <w:p w14:paraId="2C3D1316" w14:textId="77777777" w:rsidR="00A00060" w:rsidRPr="00A00060" w:rsidRDefault="00A00060" w:rsidP="00A00060">
      <w:pPr>
        <w:jc w:val="both"/>
        <w:rPr>
          <w:sz w:val="20"/>
          <w:szCs w:val="20"/>
        </w:rPr>
      </w:pPr>
      <w:r w:rsidRPr="00A00060">
        <w:rPr>
          <w:sz w:val="20"/>
          <w:szCs w:val="20"/>
        </w:rPr>
        <w:t>§ 2 ­ Die Behörde, die für die Bescheinigung der Anlagen zuständig ist, die in der in Artikel 69/1 § 2 erwähnten Liste der Energie-Investitionen und in der in Artikel 69/1 § 4 erwähnten Liste der Umwelt-Investitionen aufgenommen sind, ist die durch das Sondergesetz vom 8. August 1980 zur Reform der Institutionen als zuständig bestimmte Behörde.</w:t>
      </w:r>
    </w:p>
    <w:p w14:paraId="3E11F5AE" w14:textId="77777777" w:rsidR="00A00060" w:rsidRPr="00A00060" w:rsidRDefault="00A00060" w:rsidP="00A00060">
      <w:pPr>
        <w:jc w:val="both"/>
        <w:rPr>
          <w:sz w:val="20"/>
          <w:szCs w:val="20"/>
        </w:rPr>
      </w:pPr>
    </w:p>
    <w:p w14:paraId="520AE103" w14:textId="77777777" w:rsidR="00A00060" w:rsidRPr="00A00060" w:rsidRDefault="00A00060" w:rsidP="00A00060">
      <w:pPr>
        <w:jc w:val="both"/>
        <w:rPr>
          <w:sz w:val="20"/>
          <w:szCs w:val="20"/>
        </w:rPr>
      </w:pPr>
      <w:r w:rsidRPr="00A00060">
        <w:rPr>
          <w:sz w:val="20"/>
          <w:szCs w:val="20"/>
        </w:rPr>
        <w:t>Die Föderalbehörde ist für Anlagen zuständig, die in den in Artikel 69/1 erwähnten Listen aufgenommen sind und sich in Meeresgebieten unter der Gerichtsbarkeit Belgiens befinden.</w:t>
      </w:r>
    </w:p>
    <w:p w14:paraId="066710E7" w14:textId="77777777" w:rsidR="00A00060" w:rsidRPr="00A00060" w:rsidRDefault="00A00060" w:rsidP="00A00060">
      <w:pPr>
        <w:jc w:val="both"/>
        <w:rPr>
          <w:sz w:val="20"/>
          <w:szCs w:val="20"/>
        </w:rPr>
      </w:pPr>
    </w:p>
    <w:p w14:paraId="3B00151B" w14:textId="77777777" w:rsidR="00A00060" w:rsidRPr="00A00060" w:rsidRDefault="00A00060" w:rsidP="00A00060">
      <w:pPr>
        <w:jc w:val="both"/>
        <w:rPr>
          <w:sz w:val="20"/>
          <w:szCs w:val="20"/>
        </w:rPr>
      </w:pPr>
      <w:r w:rsidRPr="00A00060">
        <w:rPr>
          <w:sz w:val="20"/>
          <w:szCs w:val="20"/>
        </w:rPr>
        <w:t>Die Föderalbehörde ist für Anlagen zuständig, die in der in Artikel 69/1 § 3 erwähnten Liste der Verkehrs-Investitionen aufgenommen sind.</w:t>
      </w:r>
    </w:p>
    <w:p w14:paraId="0D368693" w14:textId="77777777" w:rsidR="00A00060" w:rsidRPr="00A00060" w:rsidRDefault="00A00060" w:rsidP="00A00060">
      <w:pPr>
        <w:jc w:val="both"/>
        <w:rPr>
          <w:sz w:val="20"/>
          <w:szCs w:val="20"/>
        </w:rPr>
      </w:pPr>
    </w:p>
    <w:p w14:paraId="7FD5801A" w14:textId="77777777" w:rsidR="00A00060" w:rsidRPr="00A00060" w:rsidRDefault="00A00060" w:rsidP="00A00060">
      <w:pPr>
        <w:jc w:val="both"/>
        <w:rPr>
          <w:sz w:val="20"/>
          <w:szCs w:val="20"/>
        </w:rPr>
      </w:pPr>
      <w:r w:rsidRPr="00A00060">
        <w:rPr>
          <w:sz w:val="20"/>
          <w:szCs w:val="20"/>
        </w:rPr>
        <w:t>Die Föderalbehörde ist für Anlagen zuständig, die in der in Artikel 69/1 § 5 erwähnten Liste der unterstützenden digitalen Investitionen aufgenommen sind.</w:t>
      </w:r>
    </w:p>
    <w:p w14:paraId="3CA06952" w14:textId="77777777" w:rsidR="00A00060" w:rsidRPr="00A00060" w:rsidRDefault="00A00060" w:rsidP="00A00060">
      <w:pPr>
        <w:jc w:val="both"/>
        <w:rPr>
          <w:sz w:val="20"/>
          <w:szCs w:val="20"/>
        </w:rPr>
      </w:pPr>
    </w:p>
    <w:p w14:paraId="70F53CA3" w14:textId="77777777" w:rsidR="00A00060" w:rsidRPr="00A00060" w:rsidRDefault="00A00060" w:rsidP="00A00060">
      <w:pPr>
        <w:jc w:val="both"/>
        <w:rPr>
          <w:sz w:val="20"/>
          <w:szCs w:val="20"/>
        </w:rPr>
      </w:pPr>
      <w:r w:rsidRPr="00A00060">
        <w:rPr>
          <w:sz w:val="20"/>
          <w:szCs w:val="20"/>
        </w:rPr>
        <w:t>§ 3 ­ Folgende Minister sind mit der Bescheinigung der Investitionen beauftragt, die durch § 2 der Föderalbehörde zugewiesen wird:</w:t>
      </w:r>
    </w:p>
    <w:p w14:paraId="0B242EDB" w14:textId="77777777" w:rsidR="00A00060" w:rsidRPr="00A00060" w:rsidRDefault="00A00060" w:rsidP="00A00060">
      <w:pPr>
        <w:jc w:val="both"/>
        <w:rPr>
          <w:sz w:val="20"/>
          <w:szCs w:val="20"/>
        </w:rPr>
      </w:pPr>
    </w:p>
    <w:p w14:paraId="062641EE" w14:textId="77777777" w:rsidR="00A00060" w:rsidRPr="00A00060" w:rsidRDefault="00A00060" w:rsidP="00A00060">
      <w:pPr>
        <w:jc w:val="both"/>
        <w:rPr>
          <w:sz w:val="20"/>
          <w:szCs w:val="20"/>
        </w:rPr>
      </w:pPr>
      <w:r w:rsidRPr="00A00060">
        <w:rPr>
          <w:sz w:val="20"/>
          <w:szCs w:val="20"/>
        </w:rPr>
        <w:t>- für Investitionen auf der Liste der Energie-Investitionen: der Minister der Energie,</w:t>
      </w:r>
    </w:p>
    <w:p w14:paraId="04BC0E0C" w14:textId="77777777" w:rsidR="00A00060" w:rsidRPr="00A00060" w:rsidRDefault="00A00060" w:rsidP="00A00060">
      <w:pPr>
        <w:jc w:val="both"/>
        <w:rPr>
          <w:sz w:val="20"/>
          <w:szCs w:val="20"/>
        </w:rPr>
      </w:pPr>
    </w:p>
    <w:p w14:paraId="3D7399E2" w14:textId="77777777" w:rsidR="00A00060" w:rsidRPr="00A00060" w:rsidRDefault="00A00060" w:rsidP="00A00060">
      <w:pPr>
        <w:jc w:val="both"/>
        <w:rPr>
          <w:sz w:val="20"/>
          <w:szCs w:val="20"/>
        </w:rPr>
      </w:pPr>
      <w:r w:rsidRPr="00A00060">
        <w:rPr>
          <w:sz w:val="20"/>
          <w:szCs w:val="20"/>
        </w:rPr>
        <w:t>- für Investitionen auf der Liste der Verkehrs-Investitionen: der Minister der Mobilität,</w:t>
      </w:r>
    </w:p>
    <w:p w14:paraId="16E33D6F" w14:textId="77777777" w:rsidR="00A00060" w:rsidRPr="00A00060" w:rsidRDefault="00A00060" w:rsidP="00A00060">
      <w:pPr>
        <w:jc w:val="both"/>
        <w:rPr>
          <w:sz w:val="20"/>
          <w:szCs w:val="20"/>
        </w:rPr>
      </w:pPr>
    </w:p>
    <w:p w14:paraId="26B885FF" w14:textId="77777777" w:rsidR="00A00060" w:rsidRPr="00A00060" w:rsidRDefault="00A00060" w:rsidP="00A00060">
      <w:pPr>
        <w:jc w:val="both"/>
        <w:rPr>
          <w:sz w:val="20"/>
          <w:szCs w:val="20"/>
        </w:rPr>
      </w:pPr>
      <w:r w:rsidRPr="00A00060">
        <w:rPr>
          <w:sz w:val="20"/>
          <w:szCs w:val="20"/>
        </w:rPr>
        <w:t>- für Investitionen auf der Liste der Umwelt-Investitionen: der Minister der Umwelt,</w:t>
      </w:r>
    </w:p>
    <w:p w14:paraId="0FF943BC" w14:textId="77777777" w:rsidR="00A00060" w:rsidRPr="00A00060" w:rsidRDefault="00A00060" w:rsidP="00A00060">
      <w:pPr>
        <w:jc w:val="both"/>
        <w:rPr>
          <w:sz w:val="20"/>
          <w:szCs w:val="20"/>
        </w:rPr>
      </w:pPr>
    </w:p>
    <w:p w14:paraId="68A82A55" w14:textId="77777777" w:rsidR="00A00060" w:rsidRPr="00A00060" w:rsidRDefault="00A00060" w:rsidP="00A00060">
      <w:pPr>
        <w:jc w:val="both"/>
        <w:rPr>
          <w:sz w:val="20"/>
          <w:szCs w:val="20"/>
        </w:rPr>
      </w:pPr>
      <w:r w:rsidRPr="00A00060">
        <w:rPr>
          <w:sz w:val="20"/>
          <w:szCs w:val="20"/>
        </w:rPr>
        <w:t>- für Investitionen auf der Liste der unterstützenden digitalen Investitionen: der Minister der Digitalisierung.</w:t>
      </w:r>
    </w:p>
    <w:p w14:paraId="166CF113" w14:textId="77777777" w:rsidR="00A00060" w:rsidRPr="00A00060" w:rsidRDefault="00A00060" w:rsidP="00A00060">
      <w:pPr>
        <w:jc w:val="both"/>
        <w:rPr>
          <w:sz w:val="20"/>
          <w:szCs w:val="20"/>
        </w:rPr>
      </w:pPr>
    </w:p>
    <w:p w14:paraId="6C69127B" w14:textId="77777777" w:rsidR="00A00060" w:rsidRPr="00A00060" w:rsidRDefault="00A00060" w:rsidP="00A00060">
      <w:pPr>
        <w:jc w:val="both"/>
        <w:rPr>
          <w:sz w:val="20"/>
          <w:szCs w:val="20"/>
        </w:rPr>
      </w:pPr>
      <w:r w:rsidRPr="00A00060">
        <w:rPr>
          <w:sz w:val="20"/>
          <w:szCs w:val="20"/>
        </w:rPr>
        <w:t>Der Minister oder die Stelle, der/die materiell zuständig ist für Investitionen, die durch das Sondergesetz vom 8. August 1980 zur Reform der Institutionen den Regionen zugewiesen werden, wird in einem Zusammenarbeitsabkommen bestimmt.</w:t>
      </w:r>
    </w:p>
    <w:p w14:paraId="15F6FBD0" w14:textId="77777777" w:rsidR="00A00060" w:rsidRPr="00A00060" w:rsidRDefault="00A00060" w:rsidP="00A00060">
      <w:pPr>
        <w:jc w:val="both"/>
        <w:rPr>
          <w:sz w:val="20"/>
          <w:szCs w:val="20"/>
        </w:rPr>
      </w:pPr>
    </w:p>
    <w:p w14:paraId="3F27093E" w14:textId="77777777" w:rsidR="00A00060" w:rsidRPr="00A00060" w:rsidRDefault="00A00060" w:rsidP="00A00060">
      <w:pPr>
        <w:jc w:val="both"/>
        <w:rPr>
          <w:sz w:val="20"/>
          <w:szCs w:val="20"/>
        </w:rPr>
      </w:pPr>
      <w:r w:rsidRPr="00A00060">
        <w:rPr>
          <w:sz w:val="20"/>
          <w:szCs w:val="20"/>
        </w:rPr>
        <w:lastRenderedPageBreak/>
        <w:t>Der in Artikel 69/1 erwähnte Investitionsabzug wird nicht gewährt, wenn die Investition einen ungebührlichen Schaden für die Umwelt verursacht oder nicht mit einer Investition übereinstimmt, die in der entsprechenden Liste aufgeführt ist.</w:t>
      </w:r>
    </w:p>
    <w:p w14:paraId="579A6F95" w14:textId="77777777" w:rsidR="00A00060" w:rsidRPr="00A00060" w:rsidRDefault="00A00060" w:rsidP="00A00060">
      <w:pPr>
        <w:jc w:val="both"/>
        <w:rPr>
          <w:sz w:val="20"/>
          <w:szCs w:val="20"/>
        </w:rPr>
      </w:pPr>
    </w:p>
    <w:p w14:paraId="5AB77BB9" w14:textId="77777777" w:rsidR="00A00060" w:rsidRPr="00A00060" w:rsidRDefault="00A00060" w:rsidP="00A00060">
      <w:pPr>
        <w:jc w:val="both"/>
        <w:rPr>
          <w:sz w:val="20"/>
          <w:szCs w:val="20"/>
        </w:rPr>
      </w:pPr>
      <w:r w:rsidRPr="00A00060">
        <w:rPr>
          <w:sz w:val="20"/>
          <w:szCs w:val="20"/>
        </w:rPr>
        <w:t>§ 4 ­ Von der zuständigen Behörde wird eine Bescheinigung ausgestellt, in der begründet wird, inwiefern die in den in Artikel 69/1 erwähnten Listen vermerkten Spezifikationen eingehalten wurden. In Ermangelung einer Begründung, mit der belegt wird, dass die Investition anhand dieser Spezifikationen bewertet wurde, kann die Bescheinigung der Verwaltung nicht entgegengehalten werden, es sei denn, der Steuerpflichtige weist doch noch nach, dass die Spezifikationen eingehalten wurden.</w:t>
      </w:r>
    </w:p>
    <w:p w14:paraId="4C1244D1" w14:textId="77777777" w:rsidR="00A00060" w:rsidRPr="00A00060" w:rsidRDefault="00A00060" w:rsidP="00A00060">
      <w:pPr>
        <w:jc w:val="both"/>
        <w:rPr>
          <w:sz w:val="20"/>
          <w:szCs w:val="20"/>
        </w:rPr>
      </w:pPr>
    </w:p>
    <w:p w14:paraId="73E6F33E" w14:textId="77777777" w:rsidR="00A00060" w:rsidRPr="00A00060" w:rsidRDefault="00A00060" w:rsidP="00A00060">
      <w:pPr>
        <w:jc w:val="both"/>
        <w:rPr>
          <w:sz w:val="20"/>
          <w:szCs w:val="20"/>
        </w:rPr>
      </w:pPr>
      <w:r w:rsidRPr="00A00060">
        <w:rPr>
          <w:sz w:val="20"/>
          <w:szCs w:val="20"/>
        </w:rPr>
        <w:t>Unbeschadet der üblichen Rechtsbehelfe hat die Ablehnung der Bescheinigung die Verweigerung des Investitionsabzugs zur Folge.</w:t>
      </w:r>
    </w:p>
    <w:p w14:paraId="7E0E923F" w14:textId="77777777" w:rsidR="00A00060" w:rsidRPr="00A00060" w:rsidRDefault="00A00060" w:rsidP="00A00060">
      <w:pPr>
        <w:jc w:val="both"/>
        <w:rPr>
          <w:sz w:val="20"/>
          <w:szCs w:val="20"/>
        </w:rPr>
      </w:pPr>
    </w:p>
    <w:p w14:paraId="7F4C4441" w14:textId="4220F390" w:rsidR="00B33FA3" w:rsidRDefault="00A00060" w:rsidP="00A00060">
      <w:pPr>
        <w:jc w:val="both"/>
        <w:rPr>
          <w:sz w:val="20"/>
          <w:szCs w:val="20"/>
        </w:rPr>
      </w:pPr>
      <w:r w:rsidRPr="00A00060">
        <w:rPr>
          <w:sz w:val="20"/>
          <w:szCs w:val="20"/>
        </w:rPr>
        <w:t>§ 5 ­ Die Übereinstimmung der Anlage mit den in Artikel 69/1 erwähnten Listen wird auf der Grundlage der Liste beurteilt, die zum Zeitpunkt der Einreichung des Antrags auf Bescheinigung in Kraft ist.</w:t>
      </w:r>
      <w:r>
        <w:rPr>
          <w:sz w:val="20"/>
          <w:szCs w:val="20"/>
        </w:rPr>
        <w:t>]</w:t>
      </w:r>
    </w:p>
    <w:p w14:paraId="20060125" w14:textId="77777777" w:rsidR="00A00060" w:rsidRDefault="00A00060" w:rsidP="00A00060">
      <w:pPr>
        <w:jc w:val="both"/>
        <w:rPr>
          <w:sz w:val="20"/>
          <w:szCs w:val="20"/>
        </w:rPr>
      </w:pPr>
    </w:p>
    <w:p w14:paraId="7813BC91" w14:textId="399DB598" w:rsidR="00A00060" w:rsidRDefault="00A00060" w:rsidP="00A00060">
      <w:pPr>
        <w:jc w:val="both"/>
        <w:rPr>
          <w:sz w:val="20"/>
          <w:szCs w:val="20"/>
        </w:rPr>
      </w:pPr>
      <w:r w:rsidRPr="00A00060">
        <w:rPr>
          <w:i/>
          <w:iCs/>
          <w:sz w:val="20"/>
          <w:szCs w:val="20"/>
        </w:rPr>
        <w:t>[Art. 69/</w:t>
      </w:r>
      <w:r>
        <w:rPr>
          <w:i/>
          <w:iCs/>
          <w:sz w:val="20"/>
          <w:szCs w:val="20"/>
        </w:rPr>
        <w:t>3</w:t>
      </w:r>
      <w:r w:rsidRPr="00A00060">
        <w:rPr>
          <w:i/>
          <w:iCs/>
          <w:sz w:val="20"/>
          <w:szCs w:val="20"/>
        </w:rPr>
        <w:t xml:space="preserve"> eingefügt durch Art. </w:t>
      </w:r>
      <w:r>
        <w:rPr>
          <w:i/>
          <w:iCs/>
          <w:sz w:val="20"/>
          <w:szCs w:val="20"/>
        </w:rPr>
        <w:t>7</w:t>
      </w:r>
      <w:r w:rsidRPr="00A00060">
        <w:rPr>
          <w:i/>
          <w:iCs/>
          <w:sz w:val="20"/>
          <w:szCs w:val="20"/>
        </w:rPr>
        <w:t xml:space="preserve"> des G. vom 12. Mai 2024 (B.S. vom 29. Mai 2024) - anwendbar auf die ab dem 1. Januar 2025 erworbenen oder gebildeten Anlagen -]</w:t>
      </w:r>
      <w:r w:rsidRPr="00A00060">
        <w:rPr>
          <w:sz w:val="20"/>
          <w:szCs w:val="20"/>
        </w:rPr>
        <w:t>"</w:t>
      </w:r>
    </w:p>
    <w:p w14:paraId="2A4D87F0" w14:textId="77777777" w:rsidR="00B33FA3" w:rsidRPr="00A00060" w:rsidRDefault="00B33FA3" w:rsidP="00B33FA3">
      <w:pPr>
        <w:jc w:val="both"/>
      </w:pPr>
    </w:p>
    <w:p w14:paraId="62E1BDAF" w14:textId="77777777" w:rsidR="00B33FA3" w:rsidRPr="00A00060" w:rsidRDefault="00B33FA3" w:rsidP="00B33FA3">
      <w:pPr>
        <w:jc w:val="both"/>
      </w:pPr>
    </w:p>
    <w:p w14:paraId="4DDFA76F" w14:textId="4FCCD791" w:rsidR="001D37BC" w:rsidRPr="009118AB" w:rsidRDefault="00D67EB8" w:rsidP="001D37BC">
      <w:pPr>
        <w:ind w:firstLine="709"/>
        <w:jc w:val="both"/>
      </w:pPr>
      <w:r w:rsidRPr="009118AB">
        <w:rPr>
          <w:b/>
          <w:bCs/>
        </w:rPr>
        <w:t>Art. </w:t>
      </w:r>
      <w:r w:rsidR="00477B8F" w:rsidRPr="009118AB">
        <w:rPr>
          <w:b/>
          <w:bCs/>
        </w:rPr>
        <w:t>70</w:t>
      </w:r>
      <w:r w:rsidRPr="009118AB">
        <w:t> - </w:t>
      </w:r>
      <w:r w:rsidR="003F3BE8" w:rsidRPr="009118AB">
        <w:t>[</w:t>
      </w:r>
      <w:r w:rsidR="001D37BC" w:rsidRPr="009118AB">
        <w:t>Steuerpflichtige haben die Möglichkeit, den Investitionsabzug auf den Abschreibungszeitraum der erworbenen oder gebildeten Anlagen zu verteilen, wenn der auf den Abschreibungszeitraum der Anlagen zu verteilende Investitionsabzug sich auf Anlagen zur Förderung der Forschung und der Entwicklung neuer Produkte und hoch entwickelter Technologien bezieht, die keine Auswirkungen auf die Umwelt haben oder negative Aus</w:t>
      </w:r>
      <w:r w:rsidR="001D37BC" w:rsidRPr="009118AB">
        <w:softHyphen/>
        <w:t>wirkungen auf die Umwelt verringern sollen.</w:t>
      </w:r>
    </w:p>
    <w:p w14:paraId="18273075" w14:textId="77777777" w:rsidR="001D37BC" w:rsidRPr="009118AB" w:rsidRDefault="001D37BC" w:rsidP="001D37BC">
      <w:pPr>
        <w:jc w:val="both"/>
      </w:pPr>
    </w:p>
    <w:p w14:paraId="327AB7E5" w14:textId="18541CA6" w:rsidR="001D37BC" w:rsidRPr="009118AB" w:rsidRDefault="001D37BC" w:rsidP="001D37BC">
      <w:pPr>
        <w:jc w:val="both"/>
      </w:pPr>
      <w:r w:rsidRPr="009118AB">
        <w:tab/>
        <w:t xml:space="preserve">In diesem Fall wird der Abzug einheitlich auf den in Artikel 69 </w:t>
      </w:r>
      <w:r w:rsidR="00D67EB8" w:rsidRPr="009118AB">
        <w:t>§ </w:t>
      </w:r>
      <w:r w:rsidRPr="009118AB">
        <w:t xml:space="preserve">1 Absatz 1 </w:t>
      </w:r>
      <w:r w:rsidR="00D67EB8" w:rsidRPr="009118AB">
        <w:t>Nr. </w:t>
      </w:r>
      <w:r w:rsidRPr="009118AB">
        <w:t>2 erwähnten Basisprozentsatz festgelegt, der um 17 Prozentpunkte erhöht wird, und auf die Abschreibungen berechnet, die für jeden Besteuerungszeitraum des Abschreibungszeitraums zugelassen werden.</w:t>
      </w:r>
    </w:p>
    <w:p w14:paraId="28ED994B" w14:textId="77777777" w:rsidR="001D37BC" w:rsidRPr="009118AB" w:rsidRDefault="001D37BC" w:rsidP="001D37BC">
      <w:pPr>
        <w:jc w:val="both"/>
      </w:pPr>
    </w:p>
    <w:p w14:paraId="3E1EA890" w14:textId="26A8FBAB" w:rsidR="00477B8F" w:rsidRPr="009118AB" w:rsidRDefault="001D37BC" w:rsidP="001D37BC">
      <w:pPr>
        <w:ind w:firstLine="708"/>
        <w:jc w:val="both"/>
        <w:rPr>
          <w:spacing w:val="-2"/>
        </w:rPr>
      </w:pPr>
      <w:r w:rsidRPr="009118AB">
        <w:rPr>
          <w:spacing w:val="-2"/>
        </w:rPr>
        <w:tab/>
        <w:t xml:space="preserve">In Bezug auf andere Anlagen haben Steuerpflichtige, die am ersten Tag des Besteuerungszeitraums, in dem diese Anlagen erworben oder gebildet werden, weniger als zwanzig Arbeitnehmer beschäftigen, die Möglichkeit, den Investitionsabzug auf den Abschreibungszeitraum dieser anderen erworbenen oder gebildeten Anlagen zu verteilen. In diesem Fall wird der Abzug einheitlich auf den in Artikel 69 </w:t>
      </w:r>
      <w:r w:rsidR="00D67EB8" w:rsidRPr="009118AB">
        <w:rPr>
          <w:spacing w:val="-2"/>
        </w:rPr>
        <w:t>§ </w:t>
      </w:r>
      <w:r w:rsidRPr="009118AB">
        <w:rPr>
          <w:spacing w:val="-2"/>
        </w:rPr>
        <w:t xml:space="preserve">1 Absatz 1 </w:t>
      </w:r>
      <w:r w:rsidR="00D67EB8" w:rsidRPr="009118AB">
        <w:rPr>
          <w:spacing w:val="-2"/>
        </w:rPr>
        <w:t>Nr. </w:t>
      </w:r>
      <w:r w:rsidRPr="009118AB">
        <w:rPr>
          <w:spacing w:val="-2"/>
        </w:rPr>
        <w:t>2 erwähnten Basisprozentsatz festgelegt, der um 7 Prozentpunkte erhöht wird, und auf die Abschreibungen berechnet, die für jeden Besteuerungszeitraum des Abschreibungszeitraums zugelassen werden.</w:t>
      </w:r>
      <w:r w:rsidR="00477B8F" w:rsidRPr="009118AB">
        <w:rPr>
          <w:spacing w:val="-2"/>
        </w:rPr>
        <w:t>]</w:t>
      </w:r>
    </w:p>
    <w:p w14:paraId="4EE66A12" w14:textId="77777777" w:rsidR="006340E1" w:rsidRPr="009118AB" w:rsidRDefault="006340E1" w:rsidP="00477B8F">
      <w:pPr>
        <w:autoSpaceDE w:val="0"/>
        <w:autoSpaceDN w:val="0"/>
        <w:adjustRightInd w:val="0"/>
        <w:jc w:val="both"/>
        <w:rPr>
          <w:i/>
          <w:iCs/>
          <w:spacing w:val="4"/>
        </w:rPr>
      </w:pPr>
    </w:p>
    <w:p w14:paraId="54727749" w14:textId="6F1B0109" w:rsidR="00477B8F" w:rsidRPr="009118AB" w:rsidRDefault="00477B8F" w:rsidP="00477B8F">
      <w:pPr>
        <w:autoSpaceDE w:val="0"/>
        <w:autoSpaceDN w:val="0"/>
        <w:adjustRightInd w:val="0"/>
        <w:jc w:val="both"/>
        <w:rPr>
          <w:spacing w:val="4"/>
        </w:rPr>
      </w:pPr>
      <w:r w:rsidRPr="009118AB">
        <w:rPr>
          <w:i/>
          <w:iCs/>
          <w:spacing w:val="4"/>
        </w:rPr>
        <w:t>[</w:t>
      </w:r>
      <w:r w:rsidR="00D67EB8" w:rsidRPr="009118AB">
        <w:rPr>
          <w:i/>
          <w:iCs/>
          <w:spacing w:val="4"/>
        </w:rPr>
        <w:t>Art. </w:t>
      </w:r>
      <w:r w:rsidRPr="009118AB">
        <w:rPr>
          <w:i/>
          <w:iCs/>
          <w:spacing w:val="4"/>
        </w:rPr>
        <w:t xml:space="preserve">70 </w:t>
      </w:r>
      <w:r w:rsidR="003F3BE8" w:rsidRPr="009118AB">
        <w:rPr>
          <w:i/>
          <w:iCs/>
          <w:spacing w:val="4"/>
        </w:rPr>
        <w:t xml:space="preserve">ersetzt durch </w:t>
      </w:r>
      <w:r w:rsidR="00D67EB8" w:rsidRPr="009118AB">
        <w:rPr>
          <w:i/>
          <w:iCs/>
          <w:spacing w:val="4"/>
        </w:rPr>
        <w:t>Art. </w:t>
      </w:r>
      <w:r w:rsidR="001D37BC" w:rsidRPr="009118AB">
        <w:rPr>
          <w:i/>
          <w:iCs/>
          <w:spacing w:val="4"/>
        </w:rPr>
        <w:t>13</w:t>
      </w:r>
      <w:r w:rsidR="001D37BC" w:rsidRPr="009118AB">
        <w:rPr>
          <w:i/>
          <w:iCs/>
        </w:rPr>
        <w:t xml:space="preserve"> des G. vom 25. Dezember 2017 (III) (B.S. vom 29. Dezember 2017</w:t>
      </w:r>
      <w:r w:rsidR="006D6FFE" w:rsidRPr="009118AB">
        <w:rPr>
          <w:i/>
          <w:iCs/>
        </w:rPr>
        <w:t>)</w:t>
      </w:r>
      <w:r w:rsidR="00D67EB8" w:rsidRPr="009118AB">
        <w:rPr>
          <w:i/>
          <w:iCs/>
        </w:rPr>
        <w:t> - </w:t>
      </w:r>
      <w:r w:rsidR="001D37BC" w:rsidRPr="009118AB">
        <w:rPr>
          <w:i/>
          <w:iCs/>
        </w:rPr>
        <w:t>in Kraft am 1. Januar 2018 und anwendbar ab dem Steuerjahr 2019, das sich auf einen Besteuerungszeitraum bezieht, der frühestens am 1. Januar 2018 beginnt</w:t>
      </w:r>
      <w:r w:rsidR="00FD68E8" w:rsidRPr="009118AB">
        <w:rPr>
          <w:i/>
          <w:iCs/>
        </w:rPr>
        <w:t> -]</w:t>
      </w:r>
    </w:p>
    <w:p w14:paraId="46570E80" w14:textId="77777777" w:rsidR="00477B8F" w:rsidRDefault="00477B8F" w:rsidP="00477B8F">
      <w:pPr>
        <w:autoSpaceDE w:val="0"/>
        <w:autoSpaceDN w:val="0"/>
        <w:adjustRightInd w:val="0"/>
        <w:jc w:val="both"/>
      </w:pPr>
    </w:p>
    <w:p w14:paraId="5012DC66" w14:textId="77777777" w:rsidR="00A00060" w:rsidRDefault="00A00060" w:rsidP="00477B8F">
      <w:pPr>
        <w:autoSpaceDE w:val="0"/>
        <w:autoSpaceDN w:val="0"/>
        <w:adjustRightInd w:val="0"/>
        <w:jc w:val="both"/>
      </w:pPr>
    </w:p>
    <w:p w14:paraId="5319DAC7" w14:textId="5EDAEB62" w:rsidR="00A00060" w:rsidRDefault="00A00060" w:rsidP="00A00060">
      <w:pPr>
        <w:autoSpaceDE w:val="0"/>
        <w:autoSpaceDN w:val="0"/>
        <w:adjustRightInd w:val="0"/>
        <w:jc w:val="both"/>
        <w:rPr>
          <w:sz w:val="20"/>
          <w:szCs w:val="20"/>
        </w:rPr>
      </w:pPr>
      <w:r>
        <w:rPr>
          <w:sz w:val="20"/>
          <w:szCs w:val="20"/>
        </w:rPr>
        <w:t>Ab dem Steuerjahr 2026 (gemäß Art. 21 Abs. 2 des G. vom 12. Mai 2024 (B.S. vom 29. Mai 2024)) lautet Art. 70 wie folgt:</w:t>
      </w:r>
    </w:p>
    <w:p w14:paraId="21EAECE5" w14:textId="77777777" w:rsidR="00A00060" w:rsidRDefault="00A00060" w:rsidP="00A00060">
      <w:pPr>
        <w:autoSpaceDE w:val="0"/>
        <w:autoSpaceDN w:val="0"/>
        <w:adjustRightInd w:val="0"/>
        <w:jc w:val="both"/>
        <w:rPr>
          <w:sz w:val="20"/>
          <w:szCs w:val="20"/>
        </w:rPr>
      </w:pPr>
    </w:p>
    <w:p w14:paraId="6655A46F" w14:textId="2312A9F9" w:rsidR="00A00060" w:rsidRPr="00A00060" w:rsidRDefault="00A00060" w:rsidP="00A00060">
      <w:pPr>
        <w:autoSpaceDE w:val="0"/>
        <w:autoSpaceDN w:val="0"/>
        <w:adjustRightInd w:val="0"/>
        <w:jc w:val="both"/>
        <w:rPr>
          <w:sz w:val="20"/>
          <w:szCs w:val="20"/>
        </w:rPr>
      </w:pPr>
      <w:r>
        <w:rPr>
          <w:sz w:val="20"/>
          <w:szCs w:val="20"/>
        </w:rPr>
        <w:t>"</w:t>
      </w:r>
      <w:r w:rsidRPr="00A00060">
        <w:rPr>
          <w:sz w:val="20"/>
          <w:szCs w:val="20"/>
        </w:rPr>
        <w:t xml:space="preserve">Art. 70 - [Steuerpflichtige haben die Möglichkeit, den Investitionsabzug auf den Abschreibungszeitraum der erworbenen oder gebildeten Anlagen zu verteilen, wenn der auf den Abschreibungszeitraum der Anlagen zu verteilende Investitionsabzug </w:t>
      </w:r>
      <w:r>
        <w:rPr>
          <w:sz w:val="20"/>
          <w:szCs w:val="20"/>
        </w:rPr>
        <w:t>[</w:t>
      </w:r>
      <w:r w:rsidRPr="00A00060">
        <w:rPr>
          <w:sz w:val="20"/>
          <w:szCs w:val="20"/>
        </w:rPr>
        <w:t>sich auf Anlagen bezieht, die in Artikel 69/2 Nr. 2 erwähnt sind</w:t>
      </w:r>
      <w:r>
        <w:rPr>
          <w:sz w:val="20"/>
          <w:szCs w:val="20"/>
        </w:rPr>
        <w:t>]</w:t>
      </w:r>
      <w:r w:rsidRPr="00A00060">
        <w:rPr>
          <w:sz w:val="20"/>
          <w:szCs w:val="20"/>
        </w:rPr>
        <w:t>.</w:t>
      </w:r>
    </w:p>
    <w:p w14:paraId="7E92163B" w14:textId="77777777" w:rsidR="00A00060" w:rsidRPr="00A00060" w:rsidRDefault="00A00060" w:rsidP="00A00060">
      <w:pPr>
        <w:autoSpaceDE w:val="0"/>
        <w:autoSpaceDN w:val="0"/>
        <w:adjustRightInd w:val="0"/>
        <w:jc w:val="both"/>
        <w:rPr>
          <w:sz w:val="20"/>
          <w:szCs w:val="20"/>
        </w:rPr>
      </w:pPr>
    </w:p>
    <w:p w14:paraId="456BC274" w14:textId="13439948" w:rsidR="00A00060" w:rsidRPr="00A00060" w:rsidRDefault="00A00060" w:rsidP="00A00060">
      <w:pPr>
        <w:autoSpaceDE w:val="0"/>
        <w:autoSpaceDN w:val="0"/>
        <w:adjustRightInd w:val="0"/>
        <w:jc w:val="both"/>
        <w:rPr>
          <w:sz w:val="20"/>
          <w:szCs w:val="20"/>
        </w:rPr>
      </w:pPr>
      <w:r w:rsidRPr="00A00060">
        <w:rPr>
          <w:sz w:val="20"/>
          <w:szCs w:val="20"/>
        </w:rPr>
        <w:t xml:space="preserve">In diesem Fall wird der Abzug einheitlich </w:t>
      </w:r>
      <w:r>
        <w:rPr>
          <w:sz w:val="20"/>
          <w:szCs w:val="20"/>
        </w:rPr>
        <w:t>[</w:t>
      </w:r>
      <w:r w:rsidRPr="00A00060">
        <w:rPr>
          <w:sz w:val="20"/>
          <w:szCs w:val="20"/>
        </w:rPr>
        <w:t>auf 20,5 Prozent festgelegt</w:t>
      </w:r>
      <w:r>
        <w:rPr>
          <w:sz w:val="20"/>
          <w:szCs w:val="20"/>
        </w:rPr>
        <w:t>]</w:t>
      </w:r>
      <w:r w:rsidRPr="00A00060">
        <w:rPr>
          <w:sz w:val="20"/>
          <w:szCs w:val="20"/>
        </w:rPr>
        <w:t xml:space="preserve"> und auf die Abschreibungen berechnet, die für jeden Besteuerungszeitraum des Abschreibungszeitraums zugelassen werden.</w:t>
      </w:r>
    </w:p>
    <w:p w14:paraId="520FC111" w14:textId="77777777" w:rsidR="00A00060" w:rsidRPr="00A00060" w:rsidRDefault="00A00060" w:rsidP="00A00060">
      <w:pPr>
        <w:autoSpaceDE w:val="0"/>
        <w:autoSpaceDN w:val="0"/>
        <w:adjustRightInd w:val="0"/>
        <w:jc w:val="both"/>
        <w:rPr>
          <w:sz w:val="20"/>
          <w:szCs w:val="20"/>
        </w:rPr>
      </w:pPr>
    </w:p>
    <w:p w14:paraId="416E9CB7" w14:textId="47CDB650" w:rsidR="00A00060" w:rsidRPr="00A00060" w:rsidRDefault="00A00060" w:rsidP="00A00060">
      <w:pPr>
        <w:autoSpaceDE w:val="0"/>
        <w:autoSpaceDN w:val="0"/>
        <w:adjustRightInd w:val="0"/>
        <w:jc w:val="both"/>
        <w:rPr>
          <w:sz w:val="20"/>
          <w:szCs w:val="20"/>
        </w:rPr>
      </w:pPr>
      <w:r>
        <w:rPr>
          <w:sz w:val="20"/>
          <w:szCs w:val="20"/>
        </w:rPr>
        <w:lastRenderedPageBreak/>
        <w:t>[…]</w:t>
      </w:r>
      <w:r w:rsidRPr="00A00060">
        <w:rPr>
          <w:sz w:val="20"/>
          <w:szCs w:val="20"/>
        </w:rPr>
        <w:t>]</w:t>
      </w:r>
    </w:p>
    <w:p w14:paraId="4B7EF5C4" w14:textId="77777777" w:rsidR="00A00060" w:rsidRPr="00A00060" w:rsidRDefault="00A00060" w:rsidP="00A00060">
      <w:pPr>
        <w:autoSpaceDE w:val="0"/>
        <w:autoSpaceDN w:val="0"/>
        <w:adjustRightInd w:val="0"/>
        <w:jc w:val="both"/>
        <w:rPr>
          <w:i/>
          <w:iCs/>
          <w:sz w:val="20"/>
          <w:szCs w:val="20"/>
        </w:rPr>
      </w:pPr>
    </w:p>
    <w:p w14:paraId="60A73F83" w14:textId="4E2DA7C4" w:rsidR="00A00060" w:rsidRPr="00A00060" w:rsidRDefault="00A00060" w:rsidP="00A00060">
      <w:pPr>
        <w:autoSpaceDE w:val="0"/>
        <w:autoSpaceDN w:val="0"/>
        <w:adjustRightInd w:val="0"/>
        <w:jc w:val="both"/>
        <w:rPr>
          <w:sz w:val="20"/>
          <w:szCs w:val="20"/>
        </w:rPr>
      </w:pPr>
      <w:r w:rsidRPr="00A00060">
        <w:rPr>
          <w:i/>
          <w:iCs/>
          <w:sz w:val="20"/>
          <w:szCs w:val="20"/>
        </w:rPr>
        <w:t>[Art. 70 ersetzt durch Art. 13 des G. vom 25. Dezember 2017 (III) (B.S. vom 29. Dezember 2017) - in Kraft am 1. Januar 2018 und anwendbar ab dem Steuerjahr 2019, das sich auf einen Besteuerungszeitraum bezieht, der frühestens am 1. Januar 2018 beginnt -</w:t>
      </w:r>
      <w:r>
        <w:rPr>
          <w:i/>
          <w:iCs/>
          <w:sz w:val="20"/>
          <w:szCs w:val="20"/>
        </w:rPr>
        <w:t>; Abs. 1 abgeändert durch Art.</w:t>
      </w:r>
      <w:r w:rsidR="00B9301B">
        <w:rPr>
          <w:i/>
          <w:iCs/>
          <w:sz w:val="20"/>
          <w:szCs w:val="20"/>
        </w:rPr>
        <w:t> </w:t>
      </w:r>
      <w:r>
        <w:rPr>
          <w:i/>
          <w:iCs/>
          <w:sz w:val="20"/>
          <w:szCs w:val="20"/>
        </w:rPr>
        <w:t>8 Nr. 1</w:t>
      </w:r>
      <w:r w:rsidRPr="00A00060">
        <w:rPr>
          <w:i/>
          <w:iCs/>
          <w:sz w:val="20"/>
          <w:szCs w:val="20"/>
        </w:rPr>
        <w:t xml:space="preserve"> des G. vom 12. Mai 2024 (B.S. vom 29. Mai 2024) - anwendbar auf die ab dem 1. Januar 2025 erworbenen oder gebildeten Anlagen -</w:t>
      </w:r>
      <w:r>
        <w:rPr>
          <w:i/>
          <w:iCs/>
          <w:sz w:val="20"/>
          <w:szCs w:val="20"/>
        </w:rPr>
        <w:t>; Abs. 2 abgeändert durch Art.</w:t>
      </w:r>
      <w:r w:rsidR="00B9301B">
        <w:rPr>
          <w:i/>
          <w:iCs/>
          <w:sz w:val="20"/>
          <w:szCs w:val="20"/>
        </w:rPr>
        <w:t> </w:t>
      </w:r>
      <w:r>
        <w:rPr>
          <w:i/>
          <w:iCs/>
          <w:sz w:val="20"/>
          <w:szCs w:val="20"/>
        </w:rPr>
        <w:t>8 Nr. 2</w:t>
      </w:r>
      <w:r w:rsidRPr="00A00060">
        <w:rPr>
          <w:i/>
          <w:iCs/>
          <w:sz w:val="20"/>
          <w:szCs w:val="20"/>
        </w:rPr>
        <w:t xml:space="preserve"> des G. vom 12. Mai 2024 (B.S. vom 29. Mai 2024) - anwendbar auf die ab dem 1. Januar 2025 erworbenen oder gebildeten Anlagen -</w:t>
      </w:r>
      <w:r>
        <w:rPr>
          <w:i/>
          <w:iCs/>
          <w:sz w:val="20"/>
          <w:szCs w:val="20"/>
        </w:rPr>
        <w:t>; Abs. 3 aufgehoben durch Art.</w:t>
      </w:r>
      <w:r w:rsidR="00B9301B">
        <w:rPr>
          <w:i/>
          <w:iCs/>
          <w:sz w:val="20"/>
          <w:szCs w:val="20"/>
        </w:rPr>
        <w:t> </w:t>
      </w:r>
      <w:r>
        <w:rPr>
          <w:i/>
          <w:iCs/>
          <w:sz w:val="20"/>
          <w:szCs w:val="20"/>
        </w:rPr>
        <w:t>8 Nr. 3</w:t>
      </w:r>
      <w:r w:rsidRPr="00A00060">
        <w:rPr>
          <w:i/>
          <w:iCs/>
          <w:sz w:val="20"/>
          <w:szCs w:val="20"/>
        </w:rPr>
        <w:t xml:space="preserve"> des G. vom 12. Mai 2024 (B.S. vom 29. Mai 2024) - anwendbar auf die ab dem 1. Januar 2025 erworbenen oder gebildeten Anlagen -]</w:t>
      </w:r>
      <w:r>
        <w:rPr>
          <w:sz w:val="20"/>
          <w:szCs w:val="20"/>
        </w:rPr>
        <w:t>"</w:t>
      </w:r>
    </w:p>
    <w:p w14:paraId="13491ADD" w14:textId="0B3C603B" w:rsidR="00A00060" w:rsidRPr="009118AB" w:rsidRDefault="00A00060" w:rsidP="00A00060">
      <w:pPr>
        <w:autoSpaceDE w:val="0"/>
        <w:autoSpaceDN w:val="0"/>
        <w:adjustRightInd w:val="0"/>
        <w:jc w:val="both"/>
      </w:pPr>
    </w:p>
    <w:p w14:paraId="14D41C52" w14:textId="77777777" w:rsidR="00477B8F" w:rsidRPr="009118AB" w:rsidRDefault="00477B8F" w:rsidP="00477B8F">
      <w:pPr>
        <w:autoSpaceDE w:val="0"/>
        <w:autoSpaceDN w:val="0"/>
        <w:adjustRightInd w:val="0"/>
        <w:jc w:val="both"/>
      </w:pPr>
    </w:p>
    <w:p w14:paraId="284F24C5" w14:textId="24E6D092"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71</w:t>
      </w:r>
      <w:r w:rsidR="00D67EB8" w:rsidRPr="009118AB">
        <w:t> - </w:t>
      </w:r>
      <w:r w:rsidRPr="009118AB">
        <w:t xml:space="preserve">[Wird eine Anlage abgetreten oder außer Betrieb gesetzt und liegt der Gesamtbetrag der gemäß Artikel 70 getätigten Abzüge unter dem Abzug, der gemäß Artikel 69 hätte angewandt werden können, wird ein entsprechender zusätzlicher Abzug gewährt.] </w:t>
      </w:r>
    </w:p>
    <w:p w14:paraId="7F426F22" w14:textId="77777777" w:rsidR="00477B8F" w:rsidRPr="009118AB" w:rsidRDefault="00477B8F" w:rsidP="00477B8F">
      <w:pPr>
        <w:autoSpaceDE w:val="0"/>
        <w:autoSpaceDN w:val="0"/>
        <w:adjustRightInd w:val="0"/>
        <w:jc w:val="both"/>
      </w:pPr>
    </w:p>
    <w:p w14:paraId="32AE55D3" w14:textId="5EB617FE"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71 ersetzt durch </w:t>
      </w:r>
      <w:r w:rsidR="00D67EB8" w:rsidRPr="009118AB">
        <w:rPr>
          <w:i/>
          <w:iCs/>
        </w:rPr>
        <w:t>Art. </w:t>
      </w:r>
      <w:r w:rsidRPr="009118AB">
        <w:rPr>
          <w:i/>
          <w:iCs/>
        </w:rPr>
        <w:t>14 des G. vom 6. Juli 1994 (B.S. vom 16. Juli 1994)</w:t>
      </w:r>
      <w:r w:rsidR="00D67EB8" w:rsidRPr="009118AB">
        <w:rPr>
          <w:i/>
          <w:iCs/>
        </w:rPr>
        <w:t> - </w:t>
      </w:r>
      <w:r w:rsidRPr="009118AB">
        <w:rPr>
          <w:i/>
          <w:iCs/>
        </w:rPr>
        <w:t>anwendbar ab dem Steuerjahr</w:t>
      </w:r>
      <w:r w:rsidR="00A00060">
        <w:rPr>
          <w:i/>
          <w:iCs/>
        </w:rPr>
        <w:t> </w:t>
      </w:r>
      <w:r w:rsidRPr="009118AB">
        <w:rPr>
          <w:i/>
          <w:iCs/>
        </w:rPr>
        <w:t>1992</w:t>
      </w:r>
      <w:r w:rsidR="00FD68E8" w:rsidRPr="009118AB">
        <w:rPr>
          <w:i/>
          <w:iCs/>
        </w:rPr>
        <w:t> -]</w:t>
      </w:r>
    </w:p>
    <w:p w14:paraId="651F5DD6" w14:textId="77777777" w:rsidR="00477B8F" w:rsidRDefault="00477B8F" w:rsidP="00477B8F">
      <w:pPr>
        <w:autoSpaceDE w:val="0"/>
        <w:autoSpaceDN w:val="0"/>
        <w:adjustRightInd w:val="0"/>
        <w:jc w:val="both"/>
      </w:pPr>
    </w:p>
    <w:p w14:paraId="2D13EA19" w14:textId="77777777" w:rsidR="00A00060" w:rsidRDefault="00A00060" w:rsidP="00477B8F">
      <w:pPr>
        <w:autoSpaceDE w:val="0"/>
        <w:autoSpaceDN w:val="0"/>
        <w:adjustRightInd w:val="0"/>
        <w:jc w:val="both"/>
      </w:pPr>
    </w:p>
    <w:p w14:paraId="7D3029F9" w14:textId="0F693305" w:rsidR="00A00060" w:rsidRDefault="00A00060" w:rsidP="00A00060">
      <w:pPr>
        <w:autoSpaceDE w:val="0"/>
        <w:autoSpaceDN w:val="0"/>
        <w:adjustRightInd w:val="0"/>
        <w:jc w:val="both"/>
        <w:rPr>
          <w:sz w:val="20"/>
          <w:szCs w:val="20"/>
        </w:rPr>
      </w:pPr>
      <w:r>
        <w:rPr>
          <w:sz w:val="20"/>
          <w:szCs w:val="20"/>
        </w:rPr>
        <w:t>Ab dem Steuerjahr 2026 (gemäß Art. 21 Abs. 2 des G. vom 12. Mai 2024 (B.S. vom 29. Mai 2024)) lautet Art. 71 wie folgt:</w:t>
      </w:r>
    </w:p>
    <w:p w14:paraId="3BC7319D" w14:textId="77777777" w:rsidR="00A00060" w:rsidRDefault="00A00060" w:rsidP="00A00060">
      <w:pPr>
        <w:autoSpaceDE w:val="0"/>
        <w:autoSpaceDN w:val="0"/>
        <w:adjustRightInd w:val="0"/>
        <w:jc w:val="both"/>
        <w:rPr>
          <w:sz w:val="20"/>
          <w:szCs w:val="20"/>
        </w:rPr>
      </w:pPr>
    </w:p>
    <w:p w14:paraId="14B5EEB6" w14:textId="5CC82055" w:rsidR="00A00060" w:rsidRPr="00A00060" w:rsidRDefault="00A00060" w:rsidP="00A00060">
      <w:pPr>
        <w:autoSpaceDE w:val="0"/>
        <w:autoSpaceDN w:val="0"/>
        <w:adjustRightInd w:val="0"/>
        <w:jc w:val="both"/>
        <w:rPr>
          <w:sz w:val="20"/>
          <w:szCs w:val="20"/>
        </w:rPr>
      </w:pPr>
      <w:r>
        <w:rPr>
          <w:sz w:val="20"/>
          <w:szCs w:val="20"/>
        </w:rPr>
        <w:t>"</w:t>
      </w:r>
      <w:r w:rsidRPr="00A00060">
        <w:rPr>
          <w:sz w:val="20"/>
          <w:szCs w:val="20"/>
        </w:rPr>
        <w:t xml:space="preserve">Art. 71 - [Wird eine Anlage abgetreten oder außer Betrieb gesetzt und liegt der Gesamtbetrag der gemäß Artikel 70 getätigten Abzüge unter dem Abzug, der gemäß Artikel 69 hätte angewandt werden können, </w:t>
      </w:r>
      <w:r>
        <w:rPr>
          <w:sz w:val="20"/>
          <w:szCs w:val="20"/>
        </w:rPr>
        <w:t>[</w:t>
      </w:r>
      <w:r w:rsidRPr="00A00060">
        <w:rPr>
          <w:sz w:val="20"/>
          <w:szCs w:val="20"/>
        </w:rPr>
        <w:t>so wie dieser Artikel für den Besteuerungszeitraum anwendbar war, in dem die betreffende Anlage erworben oder gebildet wurde,</w:t>
      </w:r>
      <w:r>
        <w:rPr>
          <w:sz w:val="20"/>
          <w:szCs w:val="20"/>
        </w:rPr>
        <w:t xml:space="preserve">] </w:t>
      </w:r>
      <w:r w:rsidRPr="00A00060">
        <w:rPr>
          <w:sz w:val="20"/>
          <w:szCs w:val="20"/>
        </w:rPr>
        <w:t xml:space="preserve">wird ein entsprechender zusätzlicher Abzug gewährt.] </w:t>
      </w:r>
    </w:p>
    <w:p w14:paraId="229379A3" w14:textId="77777777" w:rsidR="00A00060" w:rsidRPr="00A00060" w:rsidRDefault="00A00060" w:rsidP="00A00060">
      <w:pPr>
        <w:autoSpaceDE w:val="0"/>
        <w:autoSpaceDN w:val="0"/>
        <w:adjustRightInd w:val="0"/>
        <w:jc w:val="both"/>
        <w:rPr>
          <w:sz w:val="20"/>
          <w:szCs w:val="20"/>
        </w:rPr>
      </w:pPr>
    </w:p>
    <w:p w14:paraId="0EAE1A90" w14:textId="4614B522" w:rsidR="00A00060" w:rsidRPr="00A00060" w:rsidRDefault="00A00060" w:rsidP="00A00060">
      <w:pPr>
        <w:autoSpaceDE w:val="0"/>
        <w:autoSpaceDN w:val="0"/>
        <w:adjustRightInd w:val="0"/>
        <w:jc w:val="both"/>
        <w:rPr>
          <w:sz w:val="20"/>
          <w:szCs w:val="20"/>
        </w:rPr>
      </w:pPr>
      <w:r w:rsidRPr="00A00060">
        <w:rPr>
          <w:i/>
          <w:iCs/>
          <w:sz w:val="20"/>
          <w:szCs w:val="20"/>
        </w:rPr>
        <w:t>[Art. 71 ersetzt durch Art. 14 des G. vom 6. Juli 1994 (B.S. vom 16. Juli 1994) - anwendbar ab dem Steuerjahr</w:t>
      </w:r>
      <w:r>
        <w:rPr>
          <w:i/>
          <w:iCs/>
          <w:sz w:val="20"/>
          <w:szCs w:val="20"/>
        </w:rPr>
        <w:t> </w:t>
      </w:r>
      <w:r w:rsidRPr="00A00060">
        <w:rPr>
          <w:i/>
          <w:iCs/>
          <w:sz w:val="20"/>
          <w:szCs w:val="20"/>
        </w:rPr>
        <w:t>1992 -</w:t>
      </w:r>
      <w:r w:rsidR="002A0E3A">
        <w:rPr>
          <w:i/>
          <w:iCs/>
          <w:sz w:val="20"/>
          <w:szCs w:val="20"/>
        </w:rPr>
        <w:t xml:space="preserve"> und abgeändert durch Art. 9</w:t>
      </w:r>
      <w:r w:rsidR="002A0E3A" w:rsidRPr="002A0E3A">
        <w:rPr>
          <w:i/>
          <w:iCs/>
          <w:sz w:val="20"/>
          <w:szCs w:val="20"/>
        </w:rPr>
        <w:t xml:space="preserve"> des G. vom 12. Mai 2024 (B.S. vom 29. Mai 2024) - anwendbar auf die ab dem 1. Januar 2025 erworbenen oder gebildeten Anlagen -</w:t>
      </w:r>
      <w:r w:rsidRPr="00A00060">
        <w:rPr>
          <w:i/>
          <w:iCs/>
          <w:sz w:val="20"/>
          <w:szCs w:val="20"/>
        </w:rPr>
        <w:t>]</w:t>
      </w:r>
      <w:r>
        <w:rPr>
          <w:sz w:val="20"/>
          <w:szCs w:val="20"/>
        </w:rPr>
        <w:t>"</w:t>
      </w:r>
    </w:p>
    <w:p w14:paraId="483DD091" w14:textId="77777777" w:rsidR="00A00060" w:rsidRPr="00A00060" w:rsidRDefault="00A00060" w:rsidP="00A00060">
      <w:pPr>
        <w:autoSpaceDE w:val="0"/>
        <w:autoSpaceDN w:val="0"/>
        <w:adjustRightInd w:val="0"/>
        <w:jc w:val="both"/>
      </w:pPr>
    </w:p>
    <w:p w14:paraId="7F5FC0F1" w14:textId="77777777" w:rsidR="00477B8F" w:rsidRPr="009118AB" w:rsidRDefault="00477B8F" w:rsidP="00477B8F">
      <w:pPr>
        <w:autoSpaceDE w:val="0"/>
        <w:autoSpaceDN w:val="0"/>
        <w:adjustRightInd w:val="0"/>
        <w:jc w:val="both"/>
      </w:pPr>
    </w:p>
    <w:p w14:paraId="1779D477" w14:textId="58E7274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72</w:t>
      </w:r>
      <w:r w:rsidR="00D67EB8" w:rsidRPr="009118AB">
        <w:t> - </w:t>
      </w:r>
      <w:r w:rsidRPr="009118AB">
        <w:t>Gibt es während eines Besteuerungszeitraums keine oder unzureichende Gewinne oder Profite, auf die der Investitionsabzug angewandt werden kann, wird die für diesen Besteuerungszeitraum nicht gewährte Steuerbefreiung nacheinander auf Gewinne oder Profite der folgenden Besteuerungszeiträume übertragen.</w:t>
      </w:r>
    </w:p>
    <w:p w14:paraId="37D896E6" w14:textId="77777777" w:rsidR="006F52B8" w:rsidRPr="009118AB" w:rsidRDefault="006F52B8" w:rsidP="00510FB2">
      <w:pPr>
        <w:autoSpaceDE w:val="0"/>
        <w:autoSpaceDN w:val="0"/>
        <w:adjustRightInd w:val="0"/>
        <w:jc w:val="both"/>
        <w:rPr>
          <w:spacing w:val="-4"/>
        </w:rPr>
      </w:pPr>
    </w:p>
    <w:p w14:paraId="0B21BBD7" w14:textId="77777777" w:rsidR="00477B8F" w:rsidRPr="009118AB" w:rsidRDefault="00477B8F" w:rsidP="00510FB2">
      <w:pPr>
        <w:autoSpaceDE w:val="0"/>
        <w:autoSpaceDN w:val="0"/>
        <w:adjustRightInd w:val="0"/>
        <w:jc w:val="both"/>
        <w:rPr>
          <w:spacing w:val="-4"/>
        </w:rPr>
      </w:pPr>
      <w:r w:rsidRPr="009118AB">
        <w:rPr>
          <w:spacing w:val="-4"/>
        </w:rPr>
        <w:tab/>
        <w:t>Der Abzug der übertragenen Steuerbefreiung auf Gewinne oder Profite jedes der folgenden Besteuerungszeiträume darf jedoch pro Besteuerungszeitraum [620.000 EUR] oder, wenn der Gesamtbetrag der am Ende des vorhergehenden Besteuerungszeitraums übertragenen Steuerbefreiung [2.480.000 EUR] übersteigt, 25 Prozent dieses Gesamtbetrags nicht übersteigen.</w:t>
      </w:r>
    </w:p>
    <w:p w14:paraId="282FE91E" w14:textId="77777777" w:rsidR="00477B8F" w:rsidRPr="009118AB" w:rsidRDefault="00477B8F" w:rsidP="00477B8F">
      <w:pPr>
        <w:autoSpaceDE w:val="0"/>
        <w:autoSpaceDN w:val="0"/>
        <w:adjustRightInd w:val="0"/>
        <w:jc w:val="both"/>
      </w:pPr>
    </w:p>
    <w:p w14:paraId="510EFEB6" w14:textId="05DBC4A9"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72 </w:t>
      </w:r>
      <w:r w:rsidR="00D67EB8" w:rsidRPr="009118AB">
        <w:rPr>
          <w:i/>
          <w:iCs/>
        </w:rPr>
        <w:t>Abs. </w:t>
      </w:r>
      <w:r w:rsidRPr="009118AB">
        <w:rPr>
          <w:i/>
          <w:iCs/>
        </w:rPr>
        <w:t xml:space="preserve">2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p>
    <w:p w14:paraId="474E6BA7" w14:textId="77777777" w:rsidR="00477B8F" w:rsidRPr="009118AB" w:rsidRDefault="00477B8F" w:rsidP="00477B8F">
      <w:pPr>
        <w:autoSpaceDE w:val="0"/>
        <w:autoSpaceDN w:val="0"/>
        <w:adjustRightInd w:val="0"/>
        <w:jc w:val="both"/>
      </w:pPr>
    </w:p>
    <w:p w14:paraId="2684AFD9" w14:textId="77777777" w:rsidR="00477B8F" w:rsidRPr="009118AB" w:rsidRDefault="00477B8F" w:rsidP="00477B8F">
      <w:pPr>
        <w:autoSpaceDE w:val="0"/>
        <w:autoSpaceDN w:val="0"/>
        <w:adjustRightInd w:val="0"/>
        <w:jc w:val="both"/>
      </w:pPr>
    </w:p>
    <w:p w14:paraId="4B5AEAED" w14:textId="0BEF8D6E"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73</w:t>
      </w:r>
      <w:r w:rsidR="00D67EB8" w:rsidRPr="009118AB">
        <w:t> - </w:t>
      </w:r>
      <w:r w:rsidRPr="009118AB">
        <w:t>Der Investitionsabzug wird bei der Bestimmung der späteren Mehr- oder Minderwerte auf Anlagen, aufgrund deren er gewährt wurde, nicht berücksichtigt.</w:t>
      </w:r>
    </w:p>
    <w:p w14:paraId="79F370CB" w14:textId="77777777" w:rsidR="00477B8F" w:rsidRPr="009118AB" w:rsidRDefault="00477B8F" w:rsidP="00477B8F">
      <w:pPr>
        <w:autoSpaceDE w:val="0"/>
        <w:autoSpaceDN w:val="0"/>
        <w:adjustRightInd w:val="0"/>
        <w:jc w:val="both"/>
      </w:pPr>
    </w:p>
    <w:p w14:paraId="0B3B0EC4" w14:textId="77777777" w:rsidR="00477B8F" w:rsidRPr="009118AB" w:rsidRDefault="00477B8F" w:rsidP="00477B8F">
      <w:pPr>
        <w:autoSpaceDE w:val="0"/>
        <w:autoSpaceDN w:val="0"/>
        <w:adjustRightInd w:val="0"/>
        <w:jc w:val="both"/>
      </w:pPr>
    </w:p>
    <w:p w14:paraId="73B221C8" w14:textId="39DCFFF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74</w:t>
      </w:r>
      <w:r w:rsidR="00D67EB8" w:rsidRPr="009118AB">
        <w:t> - </w:t>
      </w:r>
      <w:r w:rsidRPr="009118AB">
        <w:t xml:space="preserve">Der Investitionsabzug wird nicht gewährt, wenn Gewinne oder Profite nach pauschalen Veranlagungsgrundlagen festgelegt werden, für deren Bestimmung pauschale </w:t>
      </w:r>
      <w:r w:rsidRPr="009118AB">
        <w:lastRenderedPageBreak/>
        <w:t xml:space="preserve">Abschreibungen berücksichtigt werden, außer in Bezug auf die [in Artikel 69 </w:t>
      </w:r>
      <w:r w:rsidR="00D67EB8" w:rsidRPr="009118AB">
        <w:t>§ </w:t>
      </w:r>
      <w:r w:rsidRPr="009118AB">
        <w:t xml:space="preserve">1 Absatz 1 </w:t>
      </w:r>
      <w:r w:rsidR="00D67EB8" w:rsidRPr="009118AB">
        <w:t>Nr. </w:t>
      </w:r>
      <w:r w:rsidRPr="009118AB">
        <w:t>2 erwähnten] Anlagen, für die die öffentlichen Behörden keine finanzielle Unterstützung zur Förderung von Energieeinsparungen gewährt haben.</w:t>
      </w:r>
    </w:p>
    <w:p w14:paraId="13C6F8C9" w14:textId="77777777" w:rsidR="00477B8F" w:rsidRPr="009118AB" w:rsidRDefault="00477B8F" w:rsidP="00477B8F">
      <w:pPr>
        <w:autoSpaceDE w:val="0"/>
        <w:autoSpaceDN w:val="0"/>
        <w:adjustRightInd w:val="0"/>
        <w:jc w:val="both"/>
      </w:pPr>
    </w:p>
    <w:p w14:paraId="5342E5B3" w14:textId="32B8C7F6"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74 abgeändert durch </w:t>
      </w:r>
      <w:r w:rsidR="00D67EB8" w:rsidRPr="009118AB">
        <w:rPr>
          <w:i/>
          <w:iCs/>
        </w:rPr>
        <w:t>Art. </w:t>
      </w:r>
      <w:r w:rsidRPr="009118AB">
        <w:rPr>
          <w:i/>
          <w:iCs/>
        </w:rPr>
        <w:t>4 des G. vom 4. Mai 1999 (II) (B.S. vom 12. Juni 1999)</w:t>
      </w:r>
      <w:r w:rsidR="00D67EB8" w:rsidRPr="009118AB">
        <w:rPr>
          <w:i/>
          <w:iCs/>
        </w:rPr>
        <w:t> - </w:t>
      </w:r>
      <w:r w:rsidRPr="009118AB">
        <w:rPr>
          <w:i/>
          <w:iCs/>
        </w:rPr>
        <w:t>in Kraft ab dem Steuerjahr 1999</w:t>
      </w:r>
      <w:r w:rsidR="00FD68E8" w:rsidRPr="009118AB">
        <w:rPr>
          <w:i/>
          <w:iCs/>
        </w:rPr>
        <w:t> -]</w:t>
      </w:r>
    </w:p>
    <w:p w14:paraId="4872E416" w14:textId="77777777" w:rsidR="00477B8F" w:rsidRDefault="00477B8F" w:rsidP="00477B8F">
      <w:pPr>
        <w:autoSpaceDE w:val="0"/>
        <w:autoSpaceDN w:val="0"/>
        <w:adjustRightInd w:val="0"/>
        <w:jc w:val="both"/>
      </w:pPr>
    </w:p>
    <w:p w14:paraId="2ED832FF" w14:textId="77777777" w:rsidR="002A0E3A" w:rsidRDefault="002A0E3A" w:rsidP="00477B8F">
      <w:pPr>
        <w:autoSpaceDE w:val="0"/>
        <w:autoSpaceDN w:val="0"/>
        <w:adjustRightInd w:val="0"/>
        <w:jc w:val="both"/>
      </w:pPr>
    </w:p>
    <w:p w14:paraId="0874DDAF" w14:textId="64E1B3AE" w:rsidR="002A0E3A" w:rsidRDefault="002A0E3A" w:rsidP="002A0E3A">
      <w:pPr>
        <w:autoSpaceDE w:val="0"/>
        <w:autoSpaceDN w:val="0"/>
        <w:adjustRightInd w:val="0"/>
        <w:jc w:val="both"/>
        <w:rPr>
          <w:sz w:val="20"/>
          <w:szCs w:val="20"/>
        </w:rPr>
      </w:pPr>
      <w:r>
        <w:rPr>
          <w:sz w:val="20"/>
          <w:szCs w:val="20"/>
        </w:rPr>
        <w:t>Ab dem Steuerjahr 2026 (gemäß Art. 21 Abs. 2 des G. vom 12. Mai 2024 (B.S. vom 29. Mai 2024)) lautet Art. 74 wie folgt:</w:t>
      </w:r>
    </w:p>
    <w:p w14:paraId="06692B57" w14:textId="77777777" w:rsidR="002A0E3A" w:rsidRDefault="002A0E3A" w:rsidP="002A0E3A">
      <w:pPr>
        <w:autoSpaceDE w:val="0"/>
        <w:autoSpaceDN w:val="0"/>
        <w:adjustRightInd w:val="0"/>
        <w:jc w:val="both"/>
        <w:rPr>
          <w:sz w:val="20"/>
          <w:szCs w:val="20"/>
        </w:rPr>
      </w:pPr>
    </w:p>
    <w:p w14:paraId="74500E58" w14:textId="45A6CE3F" w:rsidR="002A0E3A" w:rsidRPr="002A0E3A" w:rsidRDefault="002A0E3A" w:rsidP="002A0E3A">
      <w:pPr>
        <w:autoSpaceDE w:val="0"/>
        <w:autoSpaceDN w:val="0"/>
        <w:adjustRightInd w:val="0"/>
        <w:jc w:val="both"/>
        <w:rPr>
          <w:sz w:val="20"/>
          <w:szCs w:val="20"/>
        </w:rPr>
      </w:pPr>
      <w:r>
        <w:rPr>
          <w:sz w:val="20"/>
          <w:szCs w:val="20"/>
        </w:rPr>
        <w:t>"</w:t>
      </w:r>
      <w:r w:rsidRPr="002A0E3A">
        <w:rPr>
          <w:sz w:val="20"/>
          <w:szCs w:val="20"/>
        </w:rPr>
        <w:t xml:space="preserve">Art. 74 - Der Investitionsabzug wird nicht gewährt, wenn Gewinne oder Profite nach pauschalen Veranlagungsgrundlagen festgelegt werden, für deren Bestimmung pauschale Abschreibungen berücksichtigt werden, außer in Bezug auf die [in </w:t>
      </w:r>
      <w:r>
        <w:rPr>
          <w:sz w:val="20"/>
          <w:szCs w:val="20"/>
        </w:rPr>
        <w:t>[</w:t>
      </w:r>
      <w:r w:rsidRPr="002A0E3A">
        <w:rPr>
          <w:sz w:val="20"/>
          <w:szCs w:val="20"/>
        </w:rPr>
        <w:t>Artikel 69 Absatz 1 Nr. 2</w:t>
      </w:r>
      <w:r>
        <w:rPr>
          <w:sz w:val="20"/>
          <w:szCs w:val="20"/>
        </w:rPr>
        <w:t xml:space="preserve"> und 3]</w:t>
      </w:r>
      <w:r w:rsidRPr="002A0E3A">
        <w:rPr>
          <w:sz w:val="20"/>
          <w:szCs w:val="20"/>
        </w:rPr>
        <w:t xml:space="preserve"> erwähnten] Anlagen, für die die öffentlichen Behörden keine finanzielle Unterstützung zur Förderung von Energieeinsparungen gewährt haben.</w:t>
      </w:r>
    </w:p>
    <w:p w14:paraId="3E433649" w14:textId="77777777" w:rsidR="002A0E3A" w:rsidRPr="002A0E3A" w:rsidRDefault="002A0E3A" w:rsidP="002A0E3A">
      <w:pPr>
        <w:autoSpaceDE w:val="0"/>
        <w:autoSpaceDN w:val="0"/>
        <w:adjustRightInd w:val="0"/>
        <w:jc w:val="both"/>
        <w:rPr>
          <w:sz w:val="20"/>
          <w:szCs w:val="20"/>
        </w:rPr>
      </w:pPr>
    </w:p>
    <w:p w14:paraId="401A7582" w14:textId="5CCBF480" w:rsidR="002A0E3A" w:rsidRPr="002A0E3A" w:rsidRDefault="002A0E3A" w:rsidP="002A0E3A">
      <w:pPr>
        <w:autoSpaceDE w:val="0"/>
        <w:autoSpaceDN w:val="0"/>
        <w:adjustRightInd w:val="0"/>
        <w:jc w:val="both"/>
      </w:pPr>
      <w:r w:rsidRPr="002A0E3A">
        <w:rPr>
          <w:i/>
          <w:iCs/>
          <w:sz w:val="20"/>
          <w:szCs w:val="20"/>
        </w:rPr>
        <w:t>[Art. 74 abgeändert durch Art. 4 des G. vom 4. Mai 1999 (II) (B.S. vom 12. Juni 1999) - in Kraft ab dem Steuerjahr 1999 -</w:t>
      </w:r>
      <w:r>
        <w:rPr>
          <w:i/>
          <w:iCs/>
          <w:sz w:val="20"/>
          <w:szCs w:val="20"/>
        </w:rPr>
        <w:t xml:space="preserve"> und Art. 10</w:t>
      </w:r>
      <w:r w:rsidRPr="002A0E3A">
        <w:rPr>
          <w:i/>
          <w:iCs/>
          <w:sz w:val="20"/>
          <w:szCs w:val="20"/>
        </w:rPr>
        <w:t xml:space="preserve"> des G. vom 12. Mai 2024 (B.S. vom 29. Mai 2024) - anwendbar auf die ab dem 1. Januar 2025 erworbenen oder gebildeten Anlagen -]</w:t>
      </w:r>
      <w:r>
        <w:rPr>
          <w:sz w:val="20"/>
          <w:szCs w:val="20"/>
        </w:rPr>
        <w:t>"</w:t>
      </w:r>
    </w:p>
    <w:p w14:paraId="7AA4F495" w14:textId="77777777" w:rsidR="00477B8F" w:rsidRDefault="00477B8F" w:rsidP="00477B8F">
      <w:pPr>
        <w:autoSpaceDE w:val="0"/>
        <w:autoSpaceDN w:val="0"/>
        <w:adjustRightInd w:val="0"/>
        <w:jc w:val="both"/>
      </w:pPr>
    </w:p>
    <w:p w14:paraId="6801B859" w14:textId="77777777" w:rsidR="002A0E3A" w:rsidRPr="009118AB" w:rsidRDefault="002A0E3A" w:rsidP="00477B8F">
      <w:pPr>
        <w:autoSpaceDE w:val="0"/>
        <w:autoSpaceDN w:val="0"/>
        <w:adjustRightInd w:val="0"/>
        <w:jc w:val="both"/>
      </w:pPr>
    </w:p>
    <w:p w14:paraId="2547FB1B" w14:textId="429CB1E8" w:rsidR="00477B8F" w:rsidRPr="009118AB" w:rsidRDefault="00477B8F" w:rsidP="00477B8F">
      <w:pPr>
        <w:autoSpaceDE w:val="0"/>
        <w:autoSpaceDN w:val="0"/>
        <w:adjustRightInd w:val="0"/>
        <w:jc w:val="both"/>
      </w:pPr>
      <w:bookmarkStart w:id="11" w:name="_Hlk201929074"/>
      <w:r w:rsidRPr="009118AB">
        <w:tab/>
      </w:r>
      <w:r w:rsidR="00D67EB8" w:rsidRPr="009118AB">
        <w:rPr>
          <w:b/>
          <w:bCs/>
        </w:rPr>
        <w:t>Art. </w:t>
      </w:r>
      <w:r w:rsidRPr="009118AB">
        <w:rPr>
          <w:b/>
          <w:bCs/>
        </w:rPr>
        <w:t>75</w:t>
      </w:r>
      <w:r w:rsidR="00D67EB8" w:rsidRPr="009118AB">
        <w:t> - </w:t>
      </w:r>
      <w:r w:rsidRPr="009118AB">
        <w:t>Der Investitionsabzug ist ebenfalls nicht anwendbar auf:</w:t>
      </w:r>
    </w:p>
    <w:p w14:paraId="557901C4" w14:textId="77777777" w:rsidR="00477B8F" w:rsidRPr="009118AB" w:rsidRDefault="00477B8F" w:rsidP="00477B8F">
      <w:pPr>
        <w:autoSpaceDE w:val="0"/>
        <w:autoSpaceDN w:val="0"/>
        <w:adjustRightInd w:val="0"/>
        <w:jc w:val="both"/>
      </w:pPr>
    </w:p>
    <w:p w14:paraId="1E459692" w14:textId="77777777" w:rsidR="00477B8F" w:rsidRPr="009118AB" w:rsidRDefault="00477B8F" w:rsidP="00477B8F">
      <w:pPr>
        <w:autoSpaceDE w:val="0"/>
        <w:autoSpaceDN w:val="0"/>
        <w:adjustRightInd w:val="0"/>
        <w:jc w:val="both"/>
      </w:pPr>
      <w:r w:rsidRPr="009118AB">
        <w:tab/>
        <w:t>1. Anlagen, die nicht ausschließlich zur Ausübung der Berufstätigkeit genutzt werden,</w:t>
      </w:r>
    </w:p>
    <w:p w14:paraId="6EAE14C3" w14:textId="77777777" w:rsidR="00477B8F" w:rsidRPr="009118AB" w:rsidRDefault="00477B8F" w:rsidP="00477B8F">
      <w:pPr>
        <w:autoSpaceDE w:val="0"/>
        <w:autoSpaceDN w:val="0"/>
        <w:adjustRightInd w:val="0"/>
        <w:jc w:val="both"/>
      </w:pPr>
    </w:p>
    <w:p w14:paraId="275F5FBF" w14:textId="77777777" w:rsidR="00477B8F" w:rsidRPr="009118AB" w:rsidRDefault="00477B8F" w:rsidP="00477B8F">
      <w:pPr>
        <w:autoSpaceDE w:val="0"/>
        <w:autoSpaceDN w:val="0"/>
        <w:adjustRightInd w:val="0"/>
        <w:jc w:val="both"/>
      </w:pPr>
      <w:r w:rsidRPr="009118AB">
        <w:tab/>
        <w:t>2. Anlagen, die erworben oder gebildet werden, um einem Dritten das Nutzungsrecht aufgrund eines Leasingvertrags oder eines Erbpachtvertrags, Erbbauvertrags oder gleichartiger Rechte an unbeweglichen Gütern abzutreten, sofern diese Anlagen vom Unternehmen, das über diese Rechte verfügt, abgeschrieben werden können,</w:t>
      </w:r>
    </w:p>
    <w:p w14:paraId="10E8F33D" w14:textId="77777777" w:rsidR="00477B8F" w:rsidRPr="009118AB" w:rsidRDefault="00477B8F" w:rsidP="00477B8F">
      <w:pPr>
        <w:autoSpaceDE w:val="0"/>
        <w:autoSpaceDN w:val="0"/>
        <w:adjustRightInd w:val="0"/>
        <w:jc w:val="both"/>
      </w:pPr>
    </w:p>
    <w:p w14:paraId="53C81E43" w14:textId="147D2563" w:rsidR="00477B8F" w:rsidRPr="009118AB" w:rsidRDefault="00477B8F" w:rsidP="00477B8F">
      <w:pPr>
        <w:autoSpaceDE w:val="0"/>
        <w:autoSpaceDN w:val="0"/>
        <w:adjustRightInd w:val="0"/>
        <w:jc w:val="both"/>
      </w:pPr>
      <w:r w:rsidRPr="009118AB">
        <w:tab/>
        <w:t>3. [</w:t>
      </w:r>
      <w:r w:rsidR="00E077D3" w:rsidRPr="009118AB">
        <w:t xml:space="preserve">Anlagen, deren Nutzungsrecht auf eine nicht in </w:t>
      </w:r>
      <w:r w:rsidR="00D67EB8" w:rsidRPr="009118AB">
        <w:t>Nr. </w:t>
      </w:r>
      <w:r w:rsidR="00E077D3" w:rsidRPr="009118AB">
        <w:t>2 erwähnte Weise an einen anderen Steuerpflichtigen abgetreten wurde, es sei denn, diese Abtretung erfolgte zugunsten einer natürlichen Person oder einer Gesellschaft, die selbst den Bedingungen, Kriterien und Grenzen für die Anwendung des Investitionsabzugs zu demselben oder einem höheren Prozentsatz genügt, die diese Anlagen in Belgien zur Erzielung von Gewinnen oder Profiten nutzt und die das Nutzungsrecht an diesen Anlagen weder ganz noch teilweise an einen Dritten abtritt,</w:t>
      </w:r>
      <w:r w:rsidRPr="009118AB">
        <w:t>]</w:t>
      </w:r>
    </w:p>
    <w:p w14:paraId="3F3DC589" w14:textId="77777777" w:rsidR="00477B8F" w:rsidRPr="009118AB" w:rsidRDefault="00477B8F" w:rsidP="00477B8F">
      <w:pPr>
        <w:autoSpaceDE w:val="0"/>
        <w:autoSpaceDN w:val="0"/>
        <w:adjustRightInd w:val="0"/>
        <w:jc w:val="both"/>
      </w:pPr>
    </w:p>
    <w:p w14:paraId="3FCFE067" w14:textId="77777777" w:rsidR="00477B8F" w:rsidRPr="009118AB" w:rsidRDefault="00477B8F" w:rsidP="00477B8F">
      <w:pPr>
        <w:autoSpaceDE w:val="0"/>
        <w:autoSpaceDN w:val="0"/>
        <w:adjustRightInd w:val="0"/>
        <w:jc w:val="both"/>
      </w:pPr>
      <w:r w:rsidRPr="009118AB">
        <w:tab/>
        <w:t>4. nicht abschreibbare Anlagen und Anlagen, deren Abschreibung auf weniger als drei Besteuerungszeiträume verteilt ist,</w:t>
      </w:r>
    </w:p>
    <w:p w14:paraId="24E09BC6" w14:textId="77777777" w:rsidR="00477B8F" w:rsidRPr="009118AB" w:rsidRDefault="00477B8F" w:rsidP="00477B8F">
      <w:pPr>
        <w:autoSpaceDE w:val="0"/>
        <w:autoSpaceDN w:val="0"/>
        <w:adjustRightInd w:val="0"/>
        <w:jc w:val="both"/>
      </w:pPr>
    </w:p>
    <w:p w14:paraId="57C4B1ED" w14:textId="34905DA4" w:rsidR="00477B8F" w:rsidRPr="009118AB" w:rsidRDefault="00477B8F" w:rsidP="00477B8F">
      <w:pPr>
        <w:autoSpaceDE w:val="0"/>
        <w:autoSpaceDN w:val="0"/>
        <w:adjustRightInd w:val="0"/>
        <w:jc w:val="both"/>
      </w:pPr>
      <w:r w:rsidRPr="009118AB">
        <w:tab/>
        <w:t xml:space="preserve">5. Personenkraftwagen und Kombiwagen, wie sie in den Vorschriften über die Zulassung von Motorfahrzeugen beschrieben sind, [einschließlich der in Artikel 4 </w:t>
      </w:r>
      <w:r w:rsidR="00D67EB8" w:rsidRPr="009118AB">
        <w:t>§ </w:t>
      </w:r>
      <w:r w:rsidRPr="009118AB">
        <w:t>3 des Gesetzbuches der der Einkommensteuer gleichgesetzten Steuern erwähnten Lieferwagen,] außer wenn es sich handelt um:</w:t>
      </w:r>
    </w:p>
    <w:p w14:paraId="2FEAB760" w14:textId="77777777" w:rsidR="00491954" w:rsidRPr="009118AB" w:rsidRDefault="00491954" w:rsidP="00510FB2">
      <w:pPr>
        <w:autoSpaceDE w:val="0"/>
        <w:autoSpaceDN w:val="0"/>
        <w:adjustRightInd w:val="0"/>
        <w:jc w:val="both"/>
        <w:rPr>
          <w:i/>
          <w:iCs/>
        </w:rPr>
      </w:pPr>
    </w:p>
    <w:p w14:paraId="5A89B564" w14:textId="77777777" w:rsidR="00477B8F" w:rsidRPr="009118AB" w:rsidRDefault="00477B8F" w:rsidP="00510FB2">
      <w:pPr>
        <w:autoSpaceDE w:val="0"/>
        <w:autoSpaceDN w:val="0"/>
        <w:adjustRightInd w:val="0"/>
        <w:jc w:val="both"/>
      </w:pPr>
      <w:r w:rsidRPr="009118AB">
        <w:rPr>
          <w:i/>
          <w:iCs/>
        </w:rPr>
        <w:tab/>
        <w:t>a)</w:t>
      </w:r>
      <w:r w:rsidRPr="009118AB">
        <w:t xml:space="preserve"> [Fahrzeuge, die ausschließlich für einen Taxidienst oder die Vermietung mit Fahrer genutzt werden und aus diesem Grund nicht der Verkehrssteuer auf Kraftfahrzeuge unterliegen,]</w:t>
      </w:r>
    </w:p>
    <w:p w14:paraId="70009D29" w14:textId="77777777" w:rsidR="006F52B8" w:rsidRPr="009118AB" w:rsidRDefault="006F52B8" w:rsidP="00510FB2">
      <w:pPr>
        <w:autoSpaceDE w:val="0"/>
        <w:autoSpaceDN w:val="0"/>
        <w:adjustRightInd w:val="0"/>
        <w:jc w:val="both"/>
        <w:rPr>
          <w:i/>
          <w:iCs/>
        </w:rPr>
      </w:pPr>
    </w:p>
    <w:p w14:paraId="629A13F2" w14:textId="77777777" w:rsidR="00477B8F" w:rsidRPr="009118AB" w:rsidRDefault="00477B8F" w:rsidP="00510FB2">
      <w:pPr>
        <w:autoSpaceDE w:val="0"/>
        <w:autoSpaceDN w:val="0"/>
        <w:adjustRightInd w:val="0"/>
        <w:jc w:val="both"/>
      </w:pPr>
      <w:r w:rsidRPr="009118AB">
        <w:rPr>
          <w:i/>
          <w:iCs/>
        </w:rPr>
        <w:tab/>
        <w:t>b)</w:t>
      </w:r>
      <w:r w:rsidRPr="009118AB">
        <w:t xml:space="preserve"> [Fahrzeuge, die ausschließlich für den praktischen Unterricht in zugelassenen Fahrschulen genutzt werden und zu diesem Zweck eigens ausgerüstet sind,]</w:t>
      </w:r>
    </w:p>
    <w:p w14:paraId="4BFC140A" w14:textId="77777777" w:rsidR="00DC317E" w:rsidRPr="009118AB" w:rsidRDefault="00DC317E" w:rsidP="00510FB2">
      <w:pPr>
        <w:autoSpaceDE w:val="0"/>
        <w:autoSpaceDN w:val="0"/>
        <w:adjustRightInd w:val="0"/>
        <w:jc w:val="both"/>
      </w:pPr>
    </w:p>
    <w:p w14:paraId="20999768" w14:textId="77777777" w:rsidR="00477B8F" w:rsidRPr="009118AB" w:rsidRDefault="00477B8F" w:rsidP="00510FB2">
      <w:pPr>
        <w:autoSpaceDE w:val="0"/>
        <w:autoSpaceDN w:val="0"/>
        <w:adjustRightInd w:val="0"/>
        <w:jc w:val="both"/>
      </w:pPr>
      <w:r w:rsidRPr="009118AB">
        <w:tab/>
        <w:t>6. Nebenkosten in Bezug auf Kaufpreis und Herstellungsgemeinkosten, wenn diese Kosten nicht zur gleichen Zeit wie die Anlagen, auf die sie sich beziehen, abgeschrieben werden.</w:t>
      </w:r>
    </w:p>
    <w:p w14:paraId="3F52271B" w14:textId="77777777" w:rsidR="00477B8F" w:rsidRPr="009118AB" w:rsidRDefault="00477B8F" w:rsidP="00510FB2">
      <w:pPr>
        <w:autoSpaceDE w:val="0"/>
        <w:autoSpaceDN w:val="0"/>
        <w:adjustRightInd w:val="0"/>
        <w:jc w:val="both"/>
      </w:pPr>
    </w:p>
    <w:p w14:paraId="4DB304BC" w14:textId="10DDE481" w:rsidR="00477B8F" w:rsidRPr="009118AB" w:rsidRDefault="00477B8F" w:rsidP="00510FB2">
      <w:pPr>
        <w:autoSpaceDE w:val="0"/>
        <w:autoSpaceDN w:val="0"/>
        <w:adjustRightInd w:val="0"/>
        <w:jc w:val="both"/>
      </w:pPr>
      <w:r w:rsidRPr="009118AB">
        <w:rPr>
          <w:i/>
          <w:iCs/>
        </w:rPr>
        <w:t>[</w:t>
      </w:r>
      <w:r w:rsidR="00D67EB8" w:rsidRPr="009118AB">
        <w:rPr>
          <w:i/>
          <w:iCs/>
        </w:rPr>
        <w:t>Art. </w:t>
      </w:r>
      <w:r w:rsidRPr="009118AB">
        <w:rPr>
          <w:i/>
          <w:iCs/>
        </w:rPr>
        <w:t xml:space="preserve">75 einziger Absatz </w:t>
      </w:r>
      <w:r w:rsidR="00D67EB8" w:rsidRPr="009118AB">
        <w:rPr>
          <w:i/>
          <w:iCs/>
        </w:rPr>
        <w:t>Nr. </w:t>
      </w:r>
      <w:r w:rsidRPr="009118AB">
        <w:rPr>
          <w:i/>
          <w:iCs/>
        </w:rPr>
        <w:t>3 ersetzt durch</w:t>
      </w:r>
      <w:r w:rsidR="00E077D3" w:rsidRPr="009118AB">
        <w:rPr>
          <w:i/>
          <w:iCs/>
        </w:rPr>
        <w:t xml:space="preserve"> </w:t>
      </w:r>
      <w:r w:rsidR="00D67EB8" w:rsidRPr="009118AB">
        <w:rPr>
          <w:i/>
          <w:iCs/>
        </w:rPr>
        <w:t>Art. </w:t>
      </w:r>
      <w:r w:rsidR="00E077D3" w:rsidRPr="009118AB">
        <w:rPr>
          <w:i/>
          <w:iCs/>
        </w:rPr>
        <w:t>42 des G. vom 13. Dezember 2012 (B.S. vom 20. Dezember 2012)</w:t>
      </w:r>
      <w:r w:rsidR="00D67EB8" w:rsidRPr="009118AB">
        <w:rPr>
          <w:i/>
          <w:iCs/>
        </w:rPr>
        <w:t> - </w:t>
      </w:r>
      <w:r w:rsidR="00E077D3" w:rsidRPr="009118AB">
        <w:rPr>
          <w:i/>
          <w:iCs/>
        </w:rPr>
        <w:t>anwendbar ab dem Steuerjahr 2013, insofern die Anlagen ab dem 1. Januar 2012 erworben oder gebildet wurden</w:t>
      </w:r>
      <w:r w:rsidR="003366D9" w:rsidRPr="009118AB">
        <w:rPr>
          <w:i/>
          <w:iCs/>
        </w:rPr>
        <w:t> -;</w:t>
      </w:r>
      <w:r w:rsidRPr="009118AB">
        <w:rPr>
          <w:i/>
          <w:iCs/>
        </w:rPr>
        <w:t xml:space="preserve"> einziger Absatz </w:t>
      </w:r>
      <w:r w:rsidR="00D67EB8" w:rsidRPr="009118AB">
        <w:rPr>
          <w:i/>
          <w:iCs/>
        </w:rPr>
        <w:t>Nr. </w:t>
      </w:r>
      <w:r w:rsidRPr="009118AB">
        <w:rPr>
          <w:i/>
          <w:iCs/>
        </w:rPr>
        <w:t xml:space="preserve">5 einziger Absatz einleitende Bestimmung abgeändert durch </w:t>
      </w:r>
      <w:r w:rsidR="00D67EB8" w:rsidRPr="009118AB">
        <w:rPr>
          <w:i/>
          <w:iCs/>
        </w:rPr>
        <w:t>Art. </w:t>
      </w:r>
      <w:r w:rsidRPr="009118AB">
        <w:rPr>
          <w:i/>
          <w:iCs/>
        </w:rPr>
        <w:t xml:space="preserve">106 </w:t>
      </w:r>
      <w:r w:rsidR="00D67EB8" w:rsidRPr="009118AB">
        <w:rPr>
          <w:i/>
          <w:iCs/>
        </w:rPr>
        <w:t>Nr. </w:t>
      </w:r>
      <w:r w:rsidRPr="009118AB">
        <w:rPr>
          <w:i/>
          <w:iCs/>
        </w:rPr>
        <w:t>1 des G. vom 27. Dezember 2005 (I) (B.S. vom 30. Dezember 2005)</w:t>
      </w:r>
      <w:r w:rsidR="00D67EB8" w:rsidRPr="009118AB">
        <w:rPr>
          <w:i/>
          <w:iCs/>
        </w:rPr>
        <w:t> - </w:t>
      </w:r>
      <w:r w:rsidRPr="009118AB">
        <w:rPr>
          <w:i/>
          <w:iCs/>
        </w:rPr>
        <w:t>anwendbar auf die ab dem 1. Januar 2006 erworbenen Fahrzeuge</w:t>
      </w:r>
      <w:r w:rsidR="003366D9" w:rsidRPr="009118AB">
        <w:rPr>
          <w:i/>
          <w:iCs/>
        </w:rPr>
        <w:t> -;</w:t>
      </w:r>
      <w:r w:rsidRPr="009118AB">
        <w:rPr>
          <w:i/>
          <w:iCs/>
        </w:rPr>
        <w:t xml:space="preserve"> einziger Absatz </w:t>
      </w:r>
      <w:r w:rsidR="00D67EB8" w:rsidRPr="009118AB">
        <w:rPr>
          <w:i/>
          <w:iCs/>
        </w:rPr>
        <w:t>Nr. </w:t>
      </w:r>
      <w:r w:rsidRPr="009118AB">
        <w:rPr>
          <w:i/>
          <w:iCs/>
        </w:rPr>
        <w:t xml:space="preserve">5 einziger Absatz Buchstabe a) ersetzt durch </w:t>
      </w:r>
      <w:r w:rsidR="00D67EB8" w:rsidRPr="009118AB">
        <w:rPr>
          <w:i/>
          <w:iCs/>
        </w:rPr>
        <w:t>Art. </w:t>
      </w:r>
      <w:r w:rsidRPr="009118AB">
        <w:rPr>
          <w:i/>
          <w:iCs/>
        </w:rPr>
        <w:t xml:space="preserve">106 </w:t>
      </w:r>
      <w:r w:rsidR="00D67EB8" w:rsidRPr="009118AB">
        <w:rPr>
          <w:i/>
          <w:iCs/>
        </w:rPr>
        <w:t>Nr. </w:t>
      </w:r>
      <w:r w:rsidRPr="009118AB">
        <w:rPr>
          <w:i/>
          <w:iCs/>
        </w:rPr>
        <w:t>2 des G. vom 27. Dezember 2005 (I) (B.S. vom 30. Dezember 2005)</w:t>
      </w:r>
      <w:r w:rsidR="00D67EB8" w:rsidRPr="009118AB">
        <w:rPr>
          <w:i/>
          <w:iCs/>
        </w:rPr>
        <w:t> - </w:t>
      </w:r>
      <w:r w:rsidRPr="009118AB">
        <w:rPr>
          <w:i/>
          <w:iCs/>
        </w:rPr>
        <w:t>anwendbar auf die ab dem 1. Januar 2006 erworbenen Fahrzeuge</w:t>
      </w:r>
      <w:r w:rsidR="003366D9" w:rsidRPr="009118AB">
        <w:rPr>
          <w:i/>
          <w:iCs/>
        </w:rPr>
        <w:t> -;</w:t>
      </w:r>
      <w:r w:rsidRPr="009118AB">
        <w:rPr>
          <w:i/>
          <w:iCs/>
        </w:rPr>
        <w:t xml:space="preserve"> einziger Absatz </w:t>
      </w:r>
      <w:r w:rsidR="00D67EB8" w:rsidRPr="009118AB">
        <w:rPr>
          <w:i/>
          <w:iCs/>
        </w:rPr>
        <w:t>Nr. </w:t>
      </w:r>
      <w:r w:rsidRPr="009118AB">
        <w:rPr>
          <w:i/>
          <w:iCs/>
        </w:rPr>
        <w:t xml:space="preserve">5 einziger Absatz Buchstabe b) ersetzt durch </w:t>
      </w:r>
      <w:r w:rsidR="00D67EB8" w:rsidRPr="009118AB">
        <w:rPr>
          <w:i/>
          <w:iCs/>
        </w:rPr>
        <w:t>Art. </w:t>
      </w:r>
      <w:r w:rsidRPr="009118AB">
        <w:rPr>
          <w:i/>
          <w:iCs/>
        </w:rPr>
        <w:t xml:space="preserve">106 </w:t>
      </w:r>
      <w:r w:rsidR="00D67EB8" w:rsidRPr="009118AB">
        <w:rPr>
          <w:i/>
          <w:iCs/>
        </w:rPr>
        <w:t>Nr. </w:t>
      </w:r>
      <w:r w:rsidRPr="009118AB">
        <w:rPr>
          <w:i/>
          <w:iCs/>
        </w:rPr>
        <w:t>2 des G. vom 27. Dezember 2005 (I) (B.S. vom 30. Dezember 2005)</w:t>
      </w:r>
      <w:r w:rsidR="00D67EB8" w:rsidRPr="009118AB">
        <w:rPr>
          <w:i/>
          <w:iCs/>
        </w:rPr>
        <w:t> - </w:t>
      </w:r>
      <w:r w:rsidRPr="009118AB">
        <w:rPr>
          <w:i/>
          <w:iCs/>
        </w:rPr>
        <w:t>anwendbar auf die ab dem 1. Januar 2006 erworbenen Fahrzeuge</w:t>
      </w:r>
      <w:r w:rsidR="00FD68E8" w:rsidRPr="009118AB">
        <w:rPr>
          <w:i/>
          <w:iCs/>
        </w:rPr>
        <w:t> -]</w:t>
      </w:r>
      <w:bookmarkEnd w:id="11"/>
    </w:p>
    <w:p w14:paraId="67C9768A" w14:textId="77777777" w:rsidR="00477B8F" w:rsidRDefault="00477B8F" w:rsidP="00510FB2">
      <w:pPr>
        <w:autoSpaceDE w:val="0"/>
        <w:autoSpaceDN w:val="0"/>
        <w:adjustRightInd w:val="0"/>
        <w:jc w:val="both"/>
      </w:pPr>
    </w:p>
    <w:p w14:paraId="0CD58F4A" w14:textId="77777777" w:rsidR="002A0E3A" w:rsidRDefault="002A0E3A" w:rsidP="00510FB2">
      <w:pPr>
        <w:autoSpaceDE w:val="0"/>
        <w:autoSpaceDN w:val="0"/>
        <w:adjustRightInd w:val="0"/>
        <w:jc w:val="both"/>
      </w:pPr>
    </w:p>
    <w:p w14:paraId="295208C1" w14:textId="3CBAEC0D" w:rsidR="002A0E3A" w:rsidRDefault="002A0E3A" w:rsidP="002A0E3A">
      <w:pPr>
        <w:autoSpaceDE w:val="0"/>
        <w:autoSpaceDN w:val="0"/>
        <w:adjustRightInd w:val="0"/>
        <w:jc w:val="both"/>
        <w:rPr>
          <w:sz w:val="20"/>
          <w:szCs w:val="20"/>
        </w:rPr>
      </w:pPr>
      <w:r>
        <w:rPr>
          <w:sz w:val="20"/>
          <w:szCs w:val="20"/>
        </w:rPr>
        <w:t>Ab dem Steuerjahr 2026 (gemäß Art. 21 Abs. 2 des G. vom 12. Mai 2024 (B.S. vom 29. Mai 2024)) lautet Art. 75 wie folgt:</w:t>
      </w:r>
    </w:p>
    <w:p w14:paraId="4B268BA3" w14:textId="77777777" w:rsidR="002A0E3A" w:rsidRDefault="002A0E3A" w:rsidP="002A0E3A">
      <w:pPr>
        <w:autoSpaceDE w:val="0"/>
        <w:autoSpaceDN w:val="0"/>
        <w:adjustRightInd w:val="0"/>
        <w:jc w:val="both"/>
        <w:rPr>
          <w:sz w:val="20"/>
          <w:szCs w:val="20"/>
        </w:rPr>
      </w:pPr>
    </w:p>
    <w:p w14:paraId="5300F621" w14:textId="79617A04" w:rsidR="002A0E3A" w:rsidRPr="002A0E3A" w:rsidRDefault="002A0E3A" w:rsidP="002A0E3A">
      <w:pPr>
        <w:autoSpaceDE w:val="0"/>
        <w:autoSpaceDN w:val="0"/>
        <w:adjustRightInd w:val="0"/>
        <w:jc w:val="both"/>
        <w:rPr>
          <w:sz w:val="20"/>
          <w:szCs w:val="20"/>
        </w:rPr>
      </w:pPr>
      <w:r>
        <w:rPr>
          <w:sz w:val="20"/>
          <w:szCs w:val="20"/>
        </w:rPr>
        <w:t>"</w:t>
      </w:r>
      <w:r w:rsidRPr="002A0E3A">
        <w:rPr>
          <w:sz w:val="20"/>
          <w:szCs w:val="20"/>
        </w:rPr>
        <w:t>Art. 75 - Der Investitionsabzug ist ebenfalls nicht anwendbar auf:</w:t>
      </w:r>
    </w:p>
    <w:p w14:paraId="66EF21F5" w14:textId="77777777" w:rsidR="002A0E3A" w:rsidRPr="002A0E3A" w:rsidRDefault="002A0E3A" w:rsidP="002A0E3A">
      <w:pPr>
        <w:autoSpaceDE w:val="0"/>
        <w:autoSpaceDN w:val="0"/>
        <w:adjustRightInd w:val="0"/>
        <w:jc w:val="both"/>
        <w:rPr>
          <w:sz w:val="20"/>
          <w:szCs w:val="20"/>
        </w:rPr>
      </w:pPr>
    </w:p>
    <w:p w14:paraId="7EF6A943" w14:textId="2B92EC85" w:rsidR="002A0E3A" w:rsidRPr="002A0E3A" w:rsidRDefault="002A0E3A" w:rsidP="002A0E3A">
      <w:pPr>
        <w:autoSpaceDE w:val="0"/>
        <w:autoSpaceDN w:val="0"/>
        <w:adjustRightInd w:val="0"/>
        <w:jc w:val="both"/>
        <w:rPr>
          <w:sz w:val="20"/>
          <w:szCs w:val="20"/>
        </w:rPr>
      </w:pPr>
      <w:r w:rsidRPr="002A0E3A">
        <w:rPr>
          <w:sz w:val="20"/>
          <w:szCs w:val="20"/>
        </w:rPr>
        <w:t>1. Anlagen, die nicht ausschließlich zur Ausübung der Berufstätigkeit genutzt werden,</w:t>
      </w:r>
    </w:p>
    <w:p w14:paraId="57C879CE" w14:textId="77777777" w:rsidR="002A0E3A" w:rsidRPr="002A0E3A" w:rsidRDefault="002A0E3A" w:rsidP="002A0E3A">
      <w:pPr>
        <w:autoSpaceDE w:val="0"/>
        <w:autoSpaceDN w:val="0"/>
        <w:adjustRightInd w:val="0"/>
        <w:jc w:val="both"/>
        <w:rPr>
          <w:sz w:val="20"/>
          <w:szCs w:val="20"/>
        </w:rPr>
      </w:pPr>
    </w:p>
    <w:p w14:paraId="40F5C773" w14:textId="3E886C54" w:rsidR="002A0E3A" w:rsidRPr="002A0E3A" w:rsidRDefault="002A0E3A" w:rsidP="002A0E3A">
      <w:pPr>
        <w:autoSpaceDE w:val="0"/>
        <w:autoSpaceDN w:val="0"/>
        <w:adjustRightInd w:val="0"/>
        <w:jc w:val="both"/>
        <w:rPr>
          <w:sz w:val="20"/>
          <w:szCs w:val="20"/>
        </w:rPr>
      </w:pPr>
      <w:r w:rsidRPr="002A0E3A">
        <w:rPr>
          <w:sz w:val="20"/>
          <w:szCs w:val="20"/>
        </w:rPr>
        <w:t>2. Anlagen, die erworben oder gebildet werden, um einem Dritten das Nutzungsrecht aufgrund eines Leasingvertrags oder eines Erbpachtvertrags, Erbbauvertrags oder gleichartiger Rechte an unbeweglichen Gütern abzutreten, sofern diese Anlagen vom Unternehmen, das über diese Rechte verfügt, abgeschrieben werden können,</w:t>
      </w:r>
    </w:p>
    <w:p w14:paraId="2FF16B08" w14:textId="77777777" w:rsidR="002A0E3A" w:rsidRPr="002A0E3A" w:rsidRDefault="002A0E3A" w:rsidP="002A0E3A">
      <w:pPr>
        <w:autoSpaceDE w:val="0"/>
        <w:autoSpaceDN w:val="0"/>
        <w:adjustRightInd w:val="0"/>
        <w:jc w:val="both"/>
        <w:rPr>
          <w:sz w:val="20"/>
          <w:szCs w:val="20"/>
        </w:rPr>
      </w:pPr>
    </w:p>
    <w:p w14:paraId="5BA3ED18" w14:textId="12B0AD55" w:rsidR="002A0E3A" w:rsidRPr="002A0E3A" w:rsidRDefault="002A0E3A" w:rsidP="002A0E3A">
      <w:pPr>
        <w:autoSpaceDE w:val="0"/>
        <w:autoSpaceDN w:val="0"/>
        <w:adjustRightInd w:val="0"/>
        <w:jc w:val="both"/>
        <w:rPr>
          <w:sz w:val="20"/>
          <w:szCs w:val="20"/>
        </w:rPr>
      </w:pPr>
      <w:r w:rsidRPr="002A0E3A">
        <w:rPr>
          <w:sz w:val="20"/>
          <w:szCs w:val="20"/>
        </w:rPr>
        <w:t>3. [Anlagen, deren Nutzungsrecht auf eine nicht in Nr. 2 erwähnte Weise an einen anderen Steuerpflichtigen abgetreten wurde, es sei denn, diese Abtretung erfolgte zugunsten einer natürlichen Person oder einer Gesellschaft, die selbst den Bedingungen, Kriterien und Grenzen für die Anwendung des Investitionsabzugs zu demselben oder einem höheren Prozentsatz genügt, die diese Anlagen in Belgien zur Erzielung von Gewinnen oder Profiten nutzt und die das Nutzungsrecht an diesen Anlagen weder ganz noch teilweise an einen Dritten abtritt,]</w:t>
      </w:r>
    </w:p>
    <w:p w14:paraId="3ACB8DBB" w14:textId="77777777" w:rsidR="002A0E3A" w:rsidRPr="002A0E3A" w:rsidRDefault="002A0E3A" w:rsidP="002A0E3A">
      <w:pPr>
        <w:autoSpaceDE w:val="0"/>
        <w:autoSpaceDN w:val="0"/>
        <w:adjustRightInd w:val="0"/>
        <w:jc w:val="both"/>
        <w:rPr>
          <w:sz w:val="20"/>
          <w:szCs w:val="20"/>
        </w:rPr>
      </w:pPr>
    </w:p>
    <w:p w14:paraId="2E091ADF" w14:textId="1EF64F0D" w:rsidR="002A0E3A" w:rsidRPr="002A0E3A" w:rsidRDefault="002A0E3A" w:rsidP="002A0E3A">
      <w:pPr>
        <w:autoSpaceDE w:val="0"/>
        <w:autoSpaceDN w:val="0"/>
        <w:adjustRightInd w:val="0"/>
        <w:jc w:val="both"/>
        <w:rPr>
          <w:sz w:val="20"/>
          <w:szCs w:val="20"/>
        </w:rPr>
      </w:pPr>
      <w:r w:rsidRPr="002A0E3A">
        <w:rPr>
          <w:sz w:val="20"/>
          <w:szCs w:val="20"/>
        </w:rPr>
        <w:t>4. nicht abschreibbare Anlagen und Anlagen, deren Abschreibung auf weniger als drei Besteuerungszeiträume verteilt ist,</w:t>
      </w:r>
    </w:p>
    <w:p w14:paraId="2E58B1FB" w14:textId="77777777" w:rsidR="002A0E3A" w:rsidRPr="002A0E3A" w:rsidRDefault="002A0E3A" w:rsidP="002A0E3A">
      <w:pPr>
        <w:autoSpaceDE w:val="0"/>
        <w:autoSpaceDN w:val="0"/>
        <w:adjustRightInd w:val="0"/>
        <w:jc w:val="both"/>
        <w:rPr>
          <w:sz w:val="20"/>
          <w:szCs w:val="20"/>
        </w:rPr>
      </w:pPr>
    </w:p>
    <w:p w14:paraId="1BB0C347" w14:textId="6A436FE6" w:rsidR="002A0E3A" w:rsidRPr="002A0E3A" w:rsidRDefault="002A0E3A" w:rsidP="002A0E3A">
      <w:pPr>
        <w:autoSpaceDE w:val="0"/>
        <w:autoSpaceDN w:val="0"/>
        <w:adjustRightInd w:val="0"/>
        <w:jc w:val="both"/>
        <w:rPr>
          <w:sz w:val="20"/>
          <w:szCs w:val="20"/>
        </w:rPr>
      </w:pPr>
      <w:r w:rsidRPr="002A0E3A">
        <w:rPr>
          <w:sz w:val="20"/>
          <w:szCs w:val="20"/>
        </w:rPr>
        <w:t>5. Personenkraftwagen und Kombiwagen, wie sie in den Vorschriften über die Zulassung von Motorfahrzeugen beschrieben sind, [einschließlich der in Artikel 4 § 3 des Gesetzbuches der der Einkommensteuer gleichgesetzten Steuern erwähnten Lieferwagen,] außer wenn es sich handelt um:</w:t>
      </w:r>
    </w:p>
    <w:p w14:paraId="67402D25" w14:textId="77777777" w:rsidR="002A0E3A" w:rsidRPr="002A0E3A" w:rsidRDefault="002A0E3A" w:rsidP="002A0E3A">
      <w:pPr>
        <w:autoSpaceDE w:val="0"/>
        <w:autoSpaceDN w:val="0"/>
        <w:adjustRightInd w:val="0"/>
        <w:jc w:val="both"/>
        <w:rPr>
          <w:i/>
          <w:iCs/>
          <w:sz w:val="20"/>
          <w:szCs w:val="20"/>
        </w:rPr>
      </w:pPr>
    </w:p>
    <w:p w14:paraId="2410C0AE" w14:textId="3828C404" w:rsidR="002A0E3A" w:rsidRPr="002A0E3A" w:rsidRDefault="002A0E3A" w:rsidP="002A0E3A">
      <w:pPr>
        <w:autoSpaceDE w:val="0"/>
        <w:autoSpaceDN w:val="0"/>
        <w:adjustRightInd w:val="0"/>
        <w:jc w:val="both"/>
        <w:rPr>
          <w:sz w:val="20"/>
          <w:szCs w:val="20"/>
        </w:rPr>
      </w:pPr>
      <w:r w:rsidRPr="002A0E3A">
        <w:rPr>
          <w:i/>
          <w:iCs/>
          <w:sz w:val="20"/>
          <w:szCs w:val="20"/>
        </w:rPr>
        <w:t>a)</w:t>
      </w:r>
      <w:r w:rsidRPr="002A0E3A">
        <w:rPr>
          <w:sz w:val="20"/>
          <w:szCs w:val="20"/>
        </w:rPr>
        <w:t xml:space="preserve"> [Fahrzeuge, die ausschließlich für einen Taxidienst oder die Vermietung mit Fahrer genutzt werden und aus diesem Grund nicht der Verkehrssteuer auf Kraftfahrzeuge unterliegen,]</w:t>
      </w:r>
    </w:p>
    <w:p w14:paraId="31BC9DB1" w14:textId="77777777" w:rsidR="002A0E3A" w:rsidRPr="002A0E3A" w:rsidRDefault="002A0E3A" w:rsidP="002A0E3A">
      <w:pPr>
        <w:autoSpaceDE w:val="0"/>
        <w:autoSpaceDN w:val="0"/>
        <w:adjustRightInd w:val="0"/>
        <w:jc w:val="both"/>
        <w:rPr>
          <w:i/>
          <w:iCs/>
          <w:sz w:val="20"/>
          <w:szCs w:val="20"/>
        </w:rPr>
      </w:pPr>
    </w:p>
    <w:p w14:paraId="2BFA57E8" w14:textId="0EF491CB" w:rsidR="002A0E3A" w:rsidRPr="002A0E3A" w:rsidRDefault="002A0E3A" w:rsidP="002A0E3A">
      <w:pPr>
        <w:autoSpaceDE w:val="0"/>
        <w:autoSpaceDN w:val="0"/>
        <w:adjustRightInd w:val="0"/>
        <w:jc w:val="both"/>
        <w:rPr>
          <w:sz w:val="20"/>
          <w:szCs w:val="20"/>
        </w:rPr>
      </w:pPr>
      <w:r w:rsidRPr="002A0E3A">
        <w:rPr>
          <w:i/>
          <w:iCs/>
          <w:sz w:val="20"/>
          <w:szCs w:val="20"/>
        </w:rPr>
        <w:t>b)</w:t>
      </w:r>
      <w:r w:rsidRPr="002A0E3A">
        <w:rPr>
          <w:sz w:val="20"/>
          <w:szCs w:val="20"/>
        </w:rPr>
        <w:t xml:space="preserve"> [Fahrzeuge, die ausschließlich für den praktischen Unterricht in zugelassenen Fahrschulen genutzt werden und zu diesem Zweck eigens ausgerüstet sind,]</w:t>
      </w:r>
    </w:p>
    <w:p w14:paraId="3E0B397F" w14:textId="77777777" w:rsidR="002A0E3A" w:rsidRPr="002A0E3A" w:rsidRDefault="002A0E3A" w:rsidP="002A0E3A">
      <w:pPr>
        <w:autoSpaceDE w:val="0"/>
        <w:autoSpaceDN w:val="0"/>
        <w:adjustRightInd w:val="0"/>
        <w:jc w:val="both"/>
        <w:rPr>
          <w:sz w:val="20"/>
          <w:szCs w:val="20"/>
        </w:rPr>
      </w:pPr>
    </w:p>
    <w:p w14:paraId="4FA98B49" w14:textId="1B57E251" w:rsidR="002A0E3A" w:rsidRDefault="002A0E3A" w:rsidP="002A0E3A">
      <w:pPr>
        <w:autoSpaceDE w:val="0"/>
        <w:autoSpaceDN w:val="0"/>
        <w:adjustRightInd w:val="0"/>
        <w:jc w:val="both"/>
        <w:rPr>
          <w:sz w:val="20"/>
          <w:szCs w:val="20"/>
        </w:rPr>
      </w:pPr>
      <w:r w:rsidRPr="002A0E3A">
        <w:rPr>
          <w:sz w:val="20"/>
          <w:szCs w:val="20"/>
        </w:rPr>
        <w:t>6. Nebenkosten in Bezug auf Kaufpreis und Herstellungsgemeinkosten, wenn diese Kosten nicht zur gleichen Zeit wie die Anlagen, auf die sie sich beziehen, abgeschrieben werden</w:t>
      </w:r>
      <w:r>
        <w:rPr>
          <w:sz w:val="20"/>
          <w:szCs w:val="20"/>
        </w:rPr>
        <w:t>,</w:t>
      </w:r>
    </w:p>
    <w:p w14:paraId="1F45EC61" w14:textId="77777777" w:rsidR="002A0E3A" w:rsidRDefault="002A0E3A" w:rsidP="002A0E3A">
      <w:pPr>
        <w:autoSpaceDE w:val="0"/>
        <w:autoSpaceDN w:val="0"/>
        <w:adjustRightInd w:val="0"/>
        <w:jc w:val="both"/>
        <w:rPr>
          <w:sz w:val="20"/>
          <w:szCs w:val="20"/>
        </w:rPr>
      </w:pPr>
    </w:p>
    <w:p w14:paraId="42AC7868" w14:textId="7CA1684B" w:rsidR="002A0E3A" w:rsidRDefault="002A0E3A" w:rsidP="002A0E3A">
      <w:pPr>
        <w:autoSpaceDE w:val="0"/>
        <w:autoSpaceDN w:val="0"/>
        <w:adjustRightInd w:val="0"/>
        <w:jc w:val="both"/>
        <w:rPr>
          <w:sz w:val="20"/>
          <w:szCs w:val="20"/>
        </w:rPr>
      </w:pPr>
      <w:r>
        <w:rPr>
          <w:sz w:val="20"/>
          <w:szCs w:val="20"/>
        </w:rPr>
        <w:t>[</w:t>
      </w:r>
      <w:r w:rsidRPr="002A0E3A">
        <w:rPr>
          <w:sz w:val="20"/>
          <w:szCs w:val="20"/>
        </w:rPr>
        <w:t>7. - was den in Artikel 69 Absatz 1 Nr. 1 erwähnten Basisabzug betrifft - Anlagen, die auf umwelt- und klimaschädlichen Stoffen beruhen oder diese verwenden, mit Ausnahme der Anlagen, für die es keine wirtschaftlich vergleichbare Alternative ohne Kohlenstoffemissionen gibt.</w:t>
      </w:r>
      <w:r>
        <w:rPr>
          <w:sz w:val="20"/>
          <w:szCs w:val="20"/>
        </w:rPr>
        <w:t>]</w:t>
      </w:r>
    </w:p>
    <w:p w14:paraId="291257CD" w14:textId="77777777" w:rsidR="002A0E3A" w:rsidRDefault="002A0E3A" w:rsidP="002A0E3A">
      <w:pPr>
        <w:autoSpaceDE w:val="0"/>
        <w:autoSpaceDN w:val="0"/>
        <w:adjustRightInd w:val="0"/>
        <w:jc w:val="both"/>
        <w:rPr>
          <w:sz w:val="20"/>
          <w:szCs w:val="20"/>
        </w:rPr>
      </w:pPr>
    </w:p>
    <w:p w14:paraId="15F7F7F7" w14:textId="77777777" w:rsidR="002A0E3A" w:rsidRPr="002A0E3A" w:rsidRDefault="002A0E3A" w:rsidP="002A0E3A">
      <w:pPr>
        <w:autoSpaceDE w:val="0"/>
        <w:autoSpaceDN w:val="0"/>
        <w:adjustRightInd w:val="0"/>
        <w:jc w:val="both"/>
        <w:rPr>
          <w:sz w:val="20"/>
          <w:szCs w:val="20"/>
        </w:rPr>
      </w:pPr>
      <w:r>
        <w:rPr>
          <w:sz w:val="20"/>
          <w:szCs w:val="20"/>
        </w:rPr>
        <w:t>[</w:t>
      </w:r>
      <w:r w:rsidRPr="002A0E3A">
        <w:rPr>
          <w:sz w:val="20"/>
          <w:szCs w:val="20"/>
        </w:rPr>
        <w:t xml:space="preserve">Durch einen im Ministerrat beratenen Erlass legt der König fest, welche Investitionen dem in Absatz 1 Nr. 7 erwähnten Ausschluss unterliegen, ändert Er diese Investitionen oder ersetzt Er sie; dies geschieht auf der </w:t>
      </w:r>
      <w:r w:rsidRPr="002A0E3A">
        <w:rPr>
          <w:sz w:val="20"/>
          <w:szCs w:val="20"/>
        </w:rPr>
        <w:lastRenderedPageBreak/>
        <w:t>Grundlage der Erfordernisse des Marktes, des Stands der Technologie und der Rentabilität für den Anleger und in einer zu aktualisierenden Liste. Diese Liste wird "Klima- und Umwelt-Ausschlussliste" genannt.</w:t>
      </w:r>
    </w:p>
    <w:p w14:paraId="64F08922" w14:textId="77777777" w:rsidR="002A0E3A" w:rsidRPr="002A0E3A" w:rsidRDefault="002A0E3A" w:rsidP="002A0E3A">
      <w:pPr>
        <w:autoSpaceDE w:val="0"/>
        <w:autoSpaceDN w:val="0"/>
        <w:adjustRightInd w:val="0"/>
        <w:jc w:val="both"/>
        <w:rPr>
          <w:sz w:val="20"/>
          <w:szCs w:val="20"/>
        </w:rPr>
      </w:pPr>
    </w:p>
    <w:p w14:paraId="7AC9C559" w14:textId="77777777" w:rsidR="002A0E3A" w:rsidRPr="002A0E3A" w:rsidRDefault="002A0E3A" w:rsidP="002A0E3A">
      <w:pPr>
        <w:autoSpaceDE w:val="0"/>
        <w:autoSpaceDN w:val="0"/>
        <w:adjustRightInd w:val="0"/>
        <w:jc w:val="both"/>
        <w:rPr>
          <w:sz w:val="20"/>
          <w:szCs w:val="20"/>
        </w:rPr>
      </w:pPr>
      <w:r w:rsidRPr="002A0E3A">
        <w:rPr>
          <w:sz w:val="20"/>
          <w:szCs w:val="20"/>
        </w:rPr>
        <w:t>Die Klima- und Umwelt-Ausschlussliste wird nach einer vorherigen Stellungnahme festgelegt oder abgeändert, die vom Minister der Finanzen bei den durch ein Zusammenarbeitsabkommen gebildeten thematischen Konzertierungsgruppen oder, in Ermangelung solcher Gruppen, bei der gemäß Artikel 31</w:t>
      </w:r>
      <w:r w:rsidRPr="002A0E3A">
        <w:rPr>
          <w:i/>
          <w:iCs/>
          <w:sz w:val="20"/>
          <w:szCs w:val="20"/>
        </w:rPr>
        <w:t>bis</w:t>
      </w:r>
      <w:r w:rsidRPr="002A0E3A">
        <w:rPr>
          <w:sz w:val="20"/>
          <w:szCs w:val="20"/>
        </w:rPr>
        <w:t xml:space="preserve"> des ordentlichen Gesetzes vom 9. August 1980 zur Reform der Institutionen gebildeten interministeriellen Konferenz in den Zuständigkeitsbereichen Energie und Umwelt und bei dem für Mobilität zuständigen Minister beantragt wird.</w:t>
      </w:r>
    </w:p>
    <w:p w14:paraId="29A4EC08" w14:textId="77777777" w:rsidR="002A0E3A" w:rsidRPr="002A0E3A" w:rsidRDefault="002A0E3A" w:rsidP="002A0E3A">
      <w:pPr>
        <w:autoSpaceDE w:val="0"/>
        <w:autoSpaceDN w:val="0"/>
        <w:adjustRightInd w:val="0"/>
        <w:jc w:val="both"/>
        <w:rPr>
          <w:sz w:val="20"/>
          <w:szCs w:val="20"/>
        </w:rPr>
      </w:pPr>
    </w:p>
    <w:p w14:paraId="36FFBCC2" w14:textId="77777777" w:rsidR="002A0E3A" w:rsidRPr="002A0E3A" w:rsidRDefault="002A0E3A" w:rsidP="002A0E3A">
      <w:pPr>
        <w:autoSpaceDE w:val="0"/>
        <w:autoSpaceDN w:val="0"/>
        <w:adjustRightInd w:val="0"/>
        <w:jc w:val="both"/>
        <w:rPr>
          <w:sz w:val="20"/>
          <w:szCs w:val="20"/>
        </w:rPr>
      </w:pPr>
      <w:r w:rsidRPr="002A0E3A">
        <w:rPr>
          <w:sz w:val="20"/>
          <w:szCs w:val="20"/>
        </w:rPr>
        <w:t>Wenn die in Absatz 3 erwähnten Konzertierungsgruppen und der in Absatz 3 erwähnte Minister binnen drei Monaten ab dem Antrag des Ministers der Finanzen keine Stellungnahme übermitteln, wird erneut ein Antrag auf Stellungnahme gestellt, und zwar bei den verschiedenen in Belgien für Umwelt und Energie zuständigen Ministern sowie bei dem für Mobilität zuständigen Minister; für diesen Antrag gilt eine Antwortfrist von einem Monat.</w:t>
      </w:r>
    </w:p>
    <w:p w14:paraId="0BF92DC1" w14:textId="77777777" w:rsidR="002A0E3A" w:rsidRPr="002A0E3A" w:rsidRDefault="002A0E3A" w:rsidP="002A0E3A">
      <w:pPr>
        <w:autoSpaceDE w:val="0"/>
        <w:autoSpaceDN w:val="0"/>
        <w:adjustRightInd w:val="0"/>
        <w:jc w:val="both"/>
        <w:rPr>
          <w:sz w:val="20"/>
          <w:szCs w:val="20"/>
        </w:rPr>
      </w:pPr>
    </w:p>
    <w:p w14:paraId="21D5E348" w14:textId="689BC834" w:rsidR="002A0E3A" w:rsidRPr="002A0E3A" w:rsidRDefault="002A0E3A" w:rsidP="002A0E3A">
      <w:pPr>
        <w:autoSpaceDE w:val="0"/>
        <w:autoSpaceDN w:val="0"/>
        <w:adjustRightInd w:val="0"/>
        <w:jc w:val="both"/>
        <w:rPr>
          <w:sz w:val="20"/>
          <w:szCs w:val="20"/>
        </w:rPr>
      </w:pPr>
      <w:r w:rsidRPr="002A0E3A">
        <w:rPr>
          <w:sz w:val="20"/>
          <w:szCs w:val="20"/>
        </w:rPr>
        <w:t>Wenn in dem in Absatz 4 erwähnten Fall einer oder mehrere der zuständigen Minister binnen der einmonatigen Frist nicht auf den Antrag auf Stellungnahme antworten, kann der Ministerrat die Beratung über den Entwurf eines Erlasses zur Festlegung, Abänderung oder Ersetzung der Klima- und Umwelt-Ausschlussliste ohne ihre Stellungnahme vornehmen.</w:t>
      </w:r>
      <w:r>
        <w:rPr>
          <w:sz w:val="20"/>
          <w:szCs w:val="20"/>
        </w:rPr>
        <w:t>]</w:t>
      </w:r>
    </w:p>
    <w:p w14:paraId="36515AAB" w14:textId="77777777" w:rsidR="002A0E3A" w:rsidRPr="002A0E3A" w:rsidRDefault="002A0E3A" w:rsidP="002A0E3A">
      <w:pPr>
        <w:autoSpaceDE w:val="0"/>
        <w:autoSpaceDN w:val="0"/>
        <w:adjustRightInd w:val="0"/>
        <w:jc w:val="both"/>
        <w:rPr>
          <w:sz w:val="20"/>
          <w:szCs w:val="20"/>
        </w:rPr>
      </w:pPr>
    </w:p>
    <w:p w14:paraId="68D0518B" w14:textId="45843496" w:rsidR="002A0E3A" w:rsidRPr="002A0E3A" w:rsidRDefault="002A0E3A" w:rsidP="002A0E3A">
      <w:pPr>
        <w:autoSpaceDE w:val="0"/>
        <w:autoSpaceDN w:val="0"/>
        <w:adjustRightInd w:val="0"/>
        <w:jc w:val="both"/>
      </w:pPr>
      <w:r w:rsidRPr="002A0E3A">
        <w:rPr>
          <w:i/>
          <w:iCs/>
          <w:sz w:val="20"/>
          <w:szCs w:val="20"/>
        </w:rPr>
        <w:t xml:space="preserve">[Art. 75 </w:t>
      </w:r>
      <w:r>
        <w:rPr>
          <w:i/>
          <w:iCs/>
          <w:sz w:val="20"/>
          <w:szCs w:val="20"/>
        </w:rPr>
        <w:t xml:space="preserve">Abs. 1 (früherer </w:t>
      </w:r>
      <w:r w:rsidRPr="002A0E3A">
        <w:rPr>
          <w:i/>
          <w:iCs/>
          <w:sz w:val="20"/>
          <w:szCs w:val="20"/>
        </w:rPr>
        <w:t>einziger Absatz</w:t>
      </w:r>
      <w:r>
        <w:rPr>
          <w:i/>
          <w:iCs/>
          <w:sz w:val="20"/>
          <w:szCs w:val="20"/>
        </w:rPr>
        <w:t>)</w:t>
      </w:r>
      <w:r w:rsidRPr="002A0E3A">
        <w:rPr>
          <w:i/>
          <w:iCs/>
          <w:sz w:val="20"/>
          <w:szCs w:val="20"/>
        </w:rPr>
        <w:t xml:space="preserve"> Nr. 3 ersetzt durch Art. 42 des G. vom 13. Dezember 2012 (B.S. vom 20. Dezember 2012) - anwendbar ab dem Steuerjahr 2013, insofern die Anlagen ab dem 1. Januar 2012 erworben oder gebildet wurden -; Abs</w:t>
      </w:r>
      <w:r>
        <w:rPr>
          <w:i/>
          <w:iCs/>
          <w:sz w:val="20"/>
          <w:szCs w:val="20"/>
        </w:rPr>
        <w:t>. 1</w:t>
      </w:r>
      <w:r w:rsidRPr="002A0E3A">
        <w:rPr>
          <w:i/>
          <w:iCs/>
          <w:sz w:val="20"/>
          <w:szCs w:val="20"/>
        </w:rPr>
        <w:t xml:space="preserve"> Nr. 5 einziger Absatz einleitende Bestimmung abgeändert durch Art. 106 Nr. 1 des G. vom 27. Dezember 2005 (I) (B.S. vom 30. Dezember 2005) - anwendbar auf die ab dem 1. Januar 2006 erworbenen Fahrzeuge -; Abs</w:t>
      </w:r>
      <w:r>
        <w:rPr>
          <w:i/>
          <w:iCs/>
          <w:sz w:val="20"/>
          <w:szCs w:val="20"/>
        </w:rPr>
        <w:t>. 1</w:t>
      </w:r>
      <w:r w:rsidRPr="002A0E3A">
        <w:rPr>
          <w:i/>
          <w:iCs/>
          <w:sz w:val="20"/>
          <w:szCs w:val="20"/>
        </w:rPr>
        <w:t xml:space="preserve"> Nr. 5 einziger Absatz Buchstabe a) ersetzt durch Art. 106 Nr. 2 des G. vom 27. Dezember 2005 (I) (B.S. vom 30. Dezember 2005) - anwendbar auf die ab dem 1. Januar 2006 erworbenen Fahrzeuge -; Abs</w:t>
      </w:r>
      <w:r>
        <w:rPr>
          <w:i/>
          <w:iCs/>
          <w:sz w:val="20"/>
          <w:szCs w:val="20"/>
        </w:rPr>
        <w:t>. 1</w:t>
      </w:r>
      <w:r w:rsidRPr="002A0E3A">
        <w:rPr>
          <w:i/>
          <w:iCs/>
          <w:sz w:val="20"/>
          <w:szCs w:val="20"/>
        </w:rPr>
        <w:t xml:space="preserve"> Nr. 5 einziger Absatz Buchstabe b) ersetzt durch Art. 106 Nr. 2 des G. vom 27. Dezember 2005</w:t>
      </w:r>
      <w:r>
        <w:rPr>
          <w:i/>
          <w:iCs/>
          <w:sz w:val="20"/>
          <w:szCs w:val="20"/>
        </w:rPr>
        <w:t> </w:t>
      </w:r>
      <w:r w:rsidRPr="002A0E3A">
        <w:rPr>
          <w:i/>
          <w:iCs/>
          <w:sz w:val="20"/>
          <w:szCs w:val="20"/>
        </w:rPr>
        <w:t>(I) (B.S. vom 30. Dezember 2005) - anwendbar auf die ab dem 1. Januar 2006 erworbenen Fahrzeuge -</w:t>
      </w:r>
      <w:r>
        <w:rPr>
          <w:i/>
          <w:iCs/>
          <w:sz w:val="20"/>
          <w:szCs w:val="20"/>
        </w:rPr>
        <w:t>; Abs. 1 Nr. 7 eingefügt durch Art. 11 Nr. 2</w:t>
      </w:r>
      <w:r w:rsidRPr="002A0E3A">
        <w:rPr>
          <w:i/>
          <w:iCs/>
          <w:sz w:val="20"/>
          <w:szCs w:val="20"/>
        </w:rPr>
        <w:t xml:space="preserve"> des G. vom 12. Mai 2024 (B.S. vom 29. Mai 2024) - anwendbar auf die ab dem 1. Januar 2025 erworbenen oder gebildeten Anlagen -</w:t>
      </w:r>
      <w:r>
        <w:rPr>
          <w:i/>
          <w:iCs/>
          <w:sz w:val="20"/>
          <w:szCs w:val="20"/>
        </w:rPr>
        <w:t>; Abs. 2 bis 5 eingefügt durch Art. 11 Nr. 3</w:t>
      </w:r>
      <w:r w:rsidRPr="002A0E3A">
        <w:rPr>
          <w:i/>
          <w:iCs/>
          <w:sz w:val="20"/>
          <w:szCs w:val="20"/>
        </w:rPr>
        <w:t xml:space="preserve"> des G. vom 12. Mai 2024 (B.S. vom 29. Mai 2024) - anwendbar auf die ab dem 1. Januar 2025 erworbenen oder gebildeten Anlagen -]</w:t>
      </w:r>
      <w:r>
        <w:rPr>
          <w:sz w:val="20"/>
          <w:szCs w:val="20"/>
        </w:rPr>
        <w:t>"</w:t>
      </w:r>
    </w:p>
    <w:p w14:paraId="36D56898" w14:textId="77777777" w:rsidR="00477B8F" w:rsidRDefault="00477B8F" w:rsidP="00510FB2">
      <w:pPr>
        <w:autoSpaceDE w:val="0"/>
        <w:autoSpaceDN w:val="0"/>
        <w:adjustRightInd w:val="0"/>
        <w:jc w:val="both"/>
      </w:pPr>
    </w:p>
    <w:p w14:paraId="6DEE9D06" w14:textId="77777777" w:rsidR="002A0E3A" w:rsidRPr="009118AB" w:rsidRDefault="002A0E3A" w:rsidP="00510FB2">
      <w:pPr>
        <w:autoSpaceDE w:val="0"/>
        <w:autoSpaceDN w:val="0"/>
        <w:adjustRightInd w:val="0"/>
        <w:jc w:val="both"/>
      </w:pPr>
    </w:p>
    <w:p w14:paraId="341A6E9B" w14:textId="05CAC675" w:rsidR="00477B8F" w:rsidRPr="009118AB" w:rsidRDefault="00477B8F" w:rsidP="00510FB2">
      <w:pPr>
        <w:autoSpaceDE w:val="0"/>
        <w:autoSpaceDN w:val="0"/>
        <w:adjustRightInd w:val="0"/>
        <w:jc w:val="both"/>
      </w:pPr>
      <w:r w:rsidRPr="009118AB">
        <w:tab/>
      </w:r>
      <w:r w:rsidR="00D67EB8" w:rsidRPr="009118AB">
        <w:rPr>
          <w:b/>
          <w:bCs/>
        </w:rPr>
        <w:t>Art. </w:t>
      </w:r>
      <w:r w:rsidRPr="009118AB">
        <w:rPr>
          <w:b/>
          <w:bCs/>
        </w:rPr>
        <w:t>76</w:t>
      </w:r>
      <w:r w:rsidR="00D67EB8" w:rsidRPr="009118AB">
        <w:t> - </w:t>
      </w:r>
      <w:r w:rsidRPr="009118AB">
        <w:t xml:space="preserve">Die in Artikel 75 </w:t>
      </w:r>
      <w:r w:rsidR="00D67EB8" w:rsidRPr="009118AB">
        <w:t>Nr. </w:t>
      </w:r>
      <w:r w:rsidRPr="009118AB">
        <w:t>3 erwähnte Ausschließung ist nicht auf audiovisuelle Werke anwendbar, deren Vertriebsrechte ausschließlich aller anderen Rechte zeitweilig Dritten überlassen werden im Hinblick auf die Verbreitung dieser Werke im Ausland.</w:t>
      </w:r>
    </w:p>
    <w:p w14:paraId="7511EC8C" w14:textId="77777777" w:rsidR="00477B8F" w:rsidRPr="009118AB" w:rsidRDefault="00477B8F" w:rsidP="00510FB2">
      <w:pPr>
        <w:autoSpaceDE w:val="0"/>
        <w:autoSpaceDN w:val="0"/>
        <w:adjustRightInd w:val="0"/>
        <w:jc w:val="both"/>
      </w:pPr>
    </w:p>
    <w:p w14:paraId="4BACB88F" w14:textId="77777777" w:rsidR="00477B8F" w:rsidRPr="009118AB" w:rsidRDefault="00477B8F" w:rsidP="00510FB2">
      <w:pPr>
        <w:autoSpaceDE w:val="0"/>
        <w:autoSpaceDN w:val="0"/>
        <w:adjustRightInd w:val="0"/>
        <w:jc w:val="both"/>
      </w:pPr>
      <w:r w:rsidRPr="009118AB">
        <w:tab/>
        <w:t>Als audiovisuelle Werke wie in vorhergehendem Absatz erwähnt gelten die als belgisch anerkannten audiovisuellen Werke, die die in Artikel 3 des Königlichen Erlasses vom 23. Oktober 1963 zur Unterstützung der belgischen Filmindustrie festgelegten Bedingungen erfüllen, deren Rechte der Eigentümer zur Ausübung seiner Berufstätigkeit in Belgien nutzt und die folgende Kriterien erfüllen:</w:t>
      </w:r>
    </w:p>
    <w:p w14:paraId="3C312FF9" w14:textId="77777777" w:rsidR="00477B8F" w:rsidRPr="009118AB" w:rsidRDefault="00477B8F" w:rsidP="00510FB2">
      <w:pPr>
        <w:autoSpaceDE w:val="0"/>
        <w:autoSpaceDN w:val="0"/>
        <w:adjustRightInd w:val="0"/>
        <w:jc w:val="both"/>
      </w:pPr>
    </w:p>
    <w:p w14:paraId="460A3E1F" w14:textId="77777777" w:rsidR="00477B8F" w:rsidRPr="009118AB" w:rsidRDefault="00477B8F" w:rsidP="00510FB2">
      <w:pPr>
        <w:autoSpaceDE w:val="0"/>
        <w:autoSpaceDN w:val="0"/>
        <w:adjustRightInd w:val="0"/>
        <w:jc w:val="both"/>
      </w:pPr>
      <w:r w:rsidRPr="009118AB">
        <w:tab/>
        <w:t>- Es handelt sich um ein Drama, einen Spielfilm oder einen Animationsfilm oder um einen kreativen Dokumentarfilm, unter Ausschluss von Wochenschauen und Werbefilmen.</w:t>
      </w:r>
    </w:p>
    <w:p w14:paraId="11FDFCDD" w14:textId="77777777" w:rsidR="00477B8F" w:rsidRPr="009118AB" w:rsidRDefault="00477B8F" w:rsidP="00510FB2">
      <w:pPr>
        <w:autoSpaceDE w:val="0"/>
        <w:autoSpaceDN w:val="0"/>
        <w:adjustRightInd w:val="0"/>
        <w:jc w:val="both"/>
      </w:pPr>
    </w:p>
    <w:p w14:paraId="57DA5658" w14:textId="77777777" w:rsidR="00477B8F" w:rsidRPr="009118AB" w:rsidRDefault="00477B8F" w:rsidP="00510FB2">
      <w:pPr>
        <w:autoSpaceDE w:val="0"/>
        <w:autoSpaceDN w:val="0"/>
        <w:adjustRightInd w:val="0"/>
        <w:jc w:val="both"/>
      </w:pPr>
      <w:r w:rsidRPr="009118AB">
        <w:tab/>
        <w:t>- Eine einzige Vorführung oder die Gesamtheit der Vorführungsdauern einer Reihe von Episoden, die zusammen ein homogenes Werk bilden, beträgt mindestens sechzig Minuten.</w:t>
      </w:r>
    </w:p>
    <w:p w14:paraId="6E2F4050" w14:textId="77777777" w:rsidR="00491954" w:rsidRPr="009118AB" w:rsidRDefault="00491954" w:rsidP="00510FB2">
      <w:pPr>
        <w:autoSpaceDE w:val="0"/>
        <w:autoSpaceDN w:val="0"/>
        <w:adjustRightInd w:val="0"/>
        <w:jc w:val="both"/>
      </w:pPr>
    </w:p>
    <w:p w14:paraId="25C32ECE" w14:textId="77777777" w:rsidR="006D6FFE" w:rsidRPr="009118AB" w:rsidRDefault="006D6FFE" w:rsidP="003338D3">
      <w:pPr>
        <w:ind w:firstLine="708"/>
        <w:jc w:val="both"/>
        <w:rPr>
          <w:b/>
          <w:bCs/>
        </w:rPr>
      </w:pPr>
    </w:p>
    <w:p w14:paraId="277332EC" w14:textId="77777777" w:rsidR="00C828F1" w:rsidRPr="009118AB" w:rsidRDefault="00C828F1">
      <w:pPr>
        <w:rPr>
          <w:b/>
          <w:bCs/>
        </w:rPr>
      </w:pPr>
      <w:r w:rsidRPr="009118AB">
        <w:rPr>
          <w:b/>
          <w:bCs/>
        </w:rPr>
        <w:br w:type="page"/>
      </w:r>
    </w:p>
    <w:p w14:paraId="4BE7647C" w14:textId="6A706994" w:rsidR="003338D3" w:rsidRPr="009118AB" w:rsidRDefault="00D67EB8" w:rsidP="003338D3">
      <w:pPr>
        <w:ind w:firstLine="708"/>
        <w:jc w:val="both"/>
      </w:pPr>
      <w:r w:rsidRPr="009118AB">
        <w:rPr>
          <w:b/>
          <w:bCs/>
        </w:rPr>
        <w:lastRenderedPageBreak/>
        <w:t>Art. </w:t>
      </w:r>
      <w:r w:rsidR="00477B8F" w:rsidRPr="009118AB">
        <w:rPr>
          <w:b/>
          <w:bCs/>
        </w:rPr>
        <w:t>77</w:t>
      </w:r>
      <w:r w:rsidRPr="009118AB">
        <w:t> - </w:t>
      </w:r>
      <w:r w:rsidR="003338D3" w:rsidRPr="009118AB">
        <w:t>[Der König bestimmt durch einen im Ministerrat beratenen Königlichen Erlass:</w:t>
      </w:r>
    </w:p>
    <w:p w14:paraId="0706C61D" w14:textId="77777777" w:rsidR="003338D3" w:rsidRPr="009118AB" w:rsidRDefault="003338D3" w:rsidP="003338D3">
      <w:pPr>
        <w:jc w:val="both"/>
      </w:pPr>
    </w:p>
    <w:p w14:paraId="29EAEA94" w14:textId="41758919" w:rsidR="003338D3" w:rsidRPr="009118AB" w:rsidRDefault="003338D3" w:rsidP="003338D3">
      <w:pPr>
        <w:ind w:firstLine="708"/>
        <w:jc w:val="both"/>
      </w:pPr>
      <w:r w:rsidRPr="009118AB">
        <w:t xml:space="preserve">- Art der Anlagen, die für den gemäß Artikel 69 </w:t>
      </w:r>
      <w:r w:rsidR="00D67EB8" w:rsidRPr="009118AB">
        <w:t>§ </w:t>
      </w:r>
      <w:r w:rsidRPr="009118AB">
        <w:t xml:space="preserve">1 Absatz 1 </w:t>
      </w:r>
      <w:r w:rsidR="00D67EB8" w:rsidRPr="009118AB">
        <w:t>Nr. </w:t>
      </w:r>
      <w:r w:rsidRPr="009118AB">
        <w:t>2 Buchstabe </w:t>
      </w:r>
      <w:r w:rsidRPr="009118AB">
        <w:rPr>
          <w:i/>
        </w:rPr>
        <w:t>f)</w:t>
      </w:r>
      <w:r w:rsidRPr="009118AB">
        <w:t xml:space="preserve"> erhöhten Abzug berücksichtigt werden,</w:t>
      </w:r>
    </w:p>
    <w:p w14:paraId="3435F167" w14:textId="77777777" w:rsidR="003338D3" w:rsidRPr="009118AB" w:rsidRDefault="003338D3" w:rsidP="003338D3">
      <w:pPr>
        <w:jc w:val="both"/>
      </w:pPr>
    </w:p>
    <w:p w14:paraId="147ADAC1" w14:textId="47B3C9BC" w:rsidR="003338D3" w:rsidRPr="009118AB" w:rsidRDefault="003338D3" w:rsidP="003338D3">
      <w:pPr>
        <w:ind w:firstLine="708"/>
        <w:jc w:val="both"/>
      </w:pPr>
      <w:r w:rsidRPr="009118AB">
        <w:t xml:space="preserve">- Kriterien, die die im ersten Gedankenstrich erwähnten Anlagen erfüllen müssen, um zu dem gemäß Artikel 69 </w:t>
      </w:r>
      <w:r w:rsidR="00D67EB8" w:rsidRPr="009118AB">
        <w:t>§ </w:t>
      </w:r>
      <w:r w:rsidRPr="009118AB">
        <w:t xml:space="preserve">1 Absatz 1 </w:t>
      </w:r>
      <w:r w:rsidR="00D67EB8" w:rsidRPr="009118AB">
        <w:t>Nr. </w:t>
      </w:r>
      <w:r w:rsidRPr="009118AB">
        <w:t>2 Buchstabe </w:t>
      </w:r>
      <w:r w:rsidRPr="009118AB">
        <w:rPr>
          <w:i/>
        </w:rPr>
        <w:t>f)</w:t>
      </w:r>
      <w:r w:rsidRPr="009118AB">
        <w:t xml:space="preserve"> erhöhten Abzug zu berechtigen.</w:t>
      </w:r>
    </w:p>
    <w:p w14:paraId="4826EBE4" w14:textId="77777777" w:rsidR="003338D3" w:rsidRPr="009118AB" w:rsidRDefault="003338D3" w:rsidP="003338D3">
      <w:pPr>
        <w:jc w:val="both"/>
      </w:pPr>
    </w:p>
    <w:p w14:paraId="18345223" w14:textId="77777777" w:rsidR="003338D3" w:rsidRPr="009118AB" w:rsidRDefault="003338D3" w:rsidP="003338D3">
      <w:pPr>
        <w:autoSpaceDE w:val="0"/>
        <w:autoSpaceDN w:val="0"/>
        <w:adjustRightInd w:val="0"/>
        <w:jc w:val="both"/>
      </w:pPr>
      <w:r w:rsidRPr="009118AB">
        <w:tab/>
        <w:t xml:space="preserve">Der König reicht bei der Abgeordnetenkammer, wenn sie versammelt ist, unverzüglich und sonst, sobald die nächste Sitzungsperiode eröffnet ist, einen Gesetzentwurf ein zur Bestätigung der Erlasse zur Ausführung von Absatz 1 erster Gedankenstrich. Es wird davon ausgegangen, dass diese Erlasse nicht wirksam geworden sind, wenn sie nicht binnen zwölf Monaten nach dem Datum ihrer Veröffentlichung im </w:t>
      </w:r>
      <w:r w:rsidRPr="009118AB">
        <w:rPr>
          <w:i/>
        </w:rPr>
        <w:t>Belgischen Staatsblatt</w:t>
      </w:r>
      <w:r w:rsidRPr="009118AB">
        <w:t xml:space="preserve"> durch Gesetz bestätigt worden sind.]</w:t>
      </w:r>
    </w:p>
    <w:p w14:paraId="2A3FC70F" w14:textId="77777777" w:rsidR="003338D3" w:rsidRPr="009118AB" w:rsidRDefault="003338D3" w:rsidP="00510FB2">
      <w:pPr>
        <w:autoSpaceDE w:val="0"/>
        <w:autoSpaceDN w:val="0"/>
        <w:adjustRightInd w:val="0"/>
        <w:jc w:val="both"/>
      </w:pPr>
    </w:p>
    <w:p w14:paraId="6BC442B8" w14:textId="109E760B" w:rsidR="00477B8F" w:rsidRPr="009118AB" w:rsidRDefault="003338D3" w:rsidP="00510FB2">
      <w:pPr>
        <w:autoSpaceDE w:val="0"/>
        <w:autoSpaceDN w:val="0"/>
        <w:adjustRightInd w:val="0"/>
        <w:jc w:val="both"/>
      </w:pPr>
      <w:r w:rsidRPr="009118AB">
        <w:tab/>
      </w:r>
      <w:r w:rsidR="00477B8F" w:rsidRPr="009118AB">
        <w:t>Der König bestimmt die Weise, wie der Investitionsabzug angewandt wird, welche Verpflichtungen Steuerpflichtige erfüllen müssen, um zu diesem Abzug berechtigt zu sein, und welche Kriterien die [Patente und] Anl</w:t>
      </w:r>
      <w:r w:rsidR="000A31A2" w:rsidRPr="009118AB">
        <w:t xml:space="preserve">agen erfüllen müssen, um zu dem </w:t>
      </w:r>
      <w:r w:rsidR="00477B8F" w:rsidRPr="009118AB">
        <w:t>[</w:t>
      </w:r>
      <w:r w:rsidRPr="009118AB">
        <w:t xml:space="preserve">gemäß Artikel 69 </w:t>
      </w:r>
      <w:r w:rsidR="00D67EB8" w:rsidRPr="009118AB">
        <w:t>§ </w:t>
      </w:r>
      <w:r w:rsidRPr="009118AB">
        <w:t xml:space="preserve">1 Absatz 1 </w:t>
      </w:r>
      <w:r w:rsidR="00D67EB8" w:rsidRPr="009118AB">
        <w:t>Nr. </w:t>
      </w:r>
      <w:r w:rsidRPr="009118AB">
        <w:t>2 Buchstabe </w:t>
      </w:r>
      <w:r w:rsidRPr="009118AB">
        <w:rPr>
          <w:i/>
        </w:rPr>
        <w:t>a)</w:t>
      </w:r>
      <w:r w:rsidRPr="009118AB">
        <w:t xml:space="preserve"> bis </w:t>
      </w:r>
      <w:r w:rsidRPr="009118AB">
        <w:rPr>
          <w:i/>
        </w:rPr>
        <w:t>e)</w:t>
      </w:r>
      <w:r w:rsidRPr="009118AB">
        <w:t xml:space="preserve"> und </w:t>
      </w:r>
      <w:r w:rsidR="00D67EB8" w:rsidRPr="009118AB">
        <w:t>Nr. </w:t>
      </w:r>
      <w:r w:rsidRPr="009118AB">
        <w:t>3</w:t>
      </w:r>
      <w:r w:rsidR="00477B8F" w:rsidRPr="009118AB">
        <w:t>] erhöhten Abzug zu berechtigen.</w:t>
      </w:r>
    </w:p>
    <w:p w14:paraId="6340767E" w14:textId="77777777" w:rsidR="000117ED" w:rsidRPr="009118AB" w:rsidRDefault="000117ED" w:rsidP="00510FB2">
      <w:pPr>
        <w:autoSpaceDE w:val="0"/>
        <w:autoSpaceDN w:val="0"/>
        <w:adjustRightInd w:val="0"/>
        <w:jc w:val="both"/>
      </w:pPr>
    </w:p>
    <w:p w14:paraId="3B0E9E1C" w14:textId="77777777" w:rsidR="000117ED" w:rsidRPr="009118AB" w:rsidRDefault="000117ED" w:rsidP="00C72F24">
      <w:pPr>
        <w:ind w:firstLine="708"/>
        <w:jc w:val="both"/>
      </w:pPr>
      <w:r w:rsidRPr="009118AB">
        <w:tab/>
        <w:t>[</w:t>
      </w:r>
      <w:r w:rsidR="00C72F24" w:rsidRPr="009118AB">
        <w:t>..</w:t>
      </w:r>
      <w:r w:rsidRPr="009118AB">
        <w:t>.]</w:t>
      </w:r>
    </w:p>
    <w:p w14:paraId="3AD465F3" w14:textId="77777777" w:rsidR="00477B8F" w:rsidRPr="009118AB" w:rsidRDefault="00477B8F" w:rsidP="00510FB2">
      <w:pPr>
        <w:autoSpaceDE w:val="0"/>
        <w:autoSpaceDN w:val="0"/>
        <w:adjustRightInd w:val="0"/>
        <w:jc w:val="both"/>
      </w:pPr>
    </w:p>
    <w:p w14:paraId="0157E396" w14:textId="4FD07931" w:rsidR="00477B8F" w:rsidRDefault="00477B8F" w:rsidP="00510FB2">
      <w:pPr>
        <w:autoSpaceDE w:val="0"/>
        <w:autoSpaceDN w:val="0"/>
        <w:adjustRightInd w:val="0"/>
        <w:jc w:val="both"/>
        <w:rPr>
          <w:i/>
          <w:iCs/>
        </w:rPr>
      </w:pPr>
      <w:r w:rsidRPr="009118AB">
        <w:rPr>
          <w:i/>
          <w:iCs/>
        </w:rPr>
        <w:t>[</w:t>
      </w:r>
      <w:r w:rsidR="00D67EB8" w:rsidRPr="009118AB">
        <w:rPr>
          <w:i/>
          <w:iCs/>
        </w:rPr>
        <w:t>Art. </w:t>
      </w:r>
      <w:r w:rsidRPr="009118AB">
        <w:rPr>
          <w:i/>
          <w:iCs/>
        </w:rPr>
        <w:t xml:space="preserve">77 </w:t>
      </w:r>
      <w:r w:rsidR="003338D3" w:rsidRPr="009118AB">
        <w:rPr>
          <w:i/>
          <w:iCs/>
        </w:rPr>
        <w:t xml:space="preserve">neue Absätze 1 und 2 eingefügt durch </w:t>
      </w:r>
      <w:r w:rsidR="00D67EB8" w:rsidRPr="009118AB">
        <w:rPr>
          <w:i/>
          <w:iCs/>
        </w:rPr>
        <w:t>Art. </w:t>
      </w:r>
      <w:r w:rsidR="003338D3" w:rsidRPr="009118AB">
        <w:rPr>
          <w:i/>
          <w:iCs/>
        </w:rPr>
        <w:t xml:space="preserve">74 </w:t>
      </w:r>
      <w:r w:rsidR="00D67EB8" w:rsidRPr="009118AB">
        <w:rPr>
          <w:i/>
          <w:iCs/>
        </w:rPr>
        <w:t>Nr. </w:t>
      </w:r>
      <w:r w:rsidR="003338D3" w:rsidRPr="009118AB">
        <w:rPr>
          <w:i/>
          <w:iCs/>
        </w:rPr>
        <w:t>1 des G. vom 10. August 2015 (B.S. vom 18. August 2015)</w:t>
      </w:r>
      <w:r w:rsidR="00D67EB8" w:rsidRPr="009118AB">
        <w:rPr>
          <w:i/>
          <w:iCs/>
        </w:rPr>
        <w:t> - </w:t>
      </w:r>
      <w:r w:rsidR="003338D3" w:rsidRPr="009118AB">
        <w:rPr>
          <w:i/>
          <w:iCs/>
        </w:rPr>
        <w:t>in Kraft ab dem Steuerjahr 2016</w:t>
      </w:r>
      <w:r w:rsidR="003366D9" w:rsidRPr="009118AB">
        <w:rPr>
          <w:i/>
          <w:iCs/>
        </w:rPr>
        <w:t> -;</w:t>
      </w:r>
      <w:r w:rsidR="003338D3" w:rsidRPr="009118AB">
        <w:rPr>
          <w:i/>
          <w:iCs/>
        </w:rPr>
        <w:t xml:space="preserve"> neuer Absatz 3 </w:t>
      </w:r>
      <w:r w:rsidRPr="009118AB">
        <w:rPr>
          <w:i/>
          <w:iCs/>
        </w:rPr>
        <w:t xml:space="preserve">abgeändert durch </w:t>
      </w:r>
      <w:r w:rsidR="00D67EB8" w:rsidRPr="009118AB">
        <w:rPr>
          <w:i/>
          <w:iCs/>
        </w:rPr>
        <w:t>Art. </w:t>
      </w:r>
      <w:r w:rsidRPr="009118AB">
        <w:rPr>
          <w:i/>
          <w:iCs/>
        </w:rPr>
        <w:t>6 des G. vom 20. Dezember 1995 (B.S. vom 23. Dezember 1995)</w:t>
      </w:r>
      <w:r w:rsidR="00D67EB8" w:rsidRPr="009118AB">
        <w:rPr>
          <w:i/>
          <w:iCs/>
        </w:rPr>
        <w:t> - </w:t>
      </w:r>
      <w:r w:rsidRPr="009118AB">
        <w:rPr>
          <w:i/>
          <w:iCs/>
        </w:rPr>
        <w:t>in Kraft ab dem Steuerjahr 1997</w:t>
      </w:r>
      <w:r w:rsidR="00FD68E8" w:rsidRPr="009118AB">
        <w:rPr>
          <w:i/>
          <w:iCs/>
        </w:rPr>
        <w:t> -,</w:t>
      </w:r>
      <w:r w:rsidRPr="009118AB">
        <w:rPr>
          <w:i/>
          <w:iCs/>
        </w:rPr>
        <w:t xml:space="preserve"> </w:t>
      </w:r>
      <w:r w:rsidR="00D67EB8" w:rsidRPr="009118AB">
        <w:rPr>
          <w:i/>
          <w:iCs/>
        </w:rPr>
        <w:t>Art. </w:t>
      </w:r>
      <w:r w:rsidRPr="009118AB">
        <w:rPr>
          <w:i/>
          <w:iCs/>
        </w:rPr>
        <w:t>5 des G. vom 4. Mai 1999 (II) (B.S. vom 12. Juni 1999)</w:t>
      </w:r>
      <w:r w:rsidR="00D67EB8" w:rsidRPr="009118AB">
        <w:rPr>
          <w:i/>
          <w:iCs/>
        </w:rPr>
        <w:t> - </w:t>
      </w:r>
      <w:r w:rsidRPr="009118AB">
        <w:rPr>
          <w:i/>
          <w:iCs/>
        </w:rPr>
        <w:t>in Kraft ab dem Steuerjahr 1999</w:t>
      </w:r>
      <w:r w:rsidR="00FD68E8" w:rsidRPr="009118AB">
        <w:rPr>
          <w:i/>
          <w:iCs/>
        </w:rPr>
        <w:t> -,</w:t>
      </w:r>
      <w:r w:rsidRPr="009118AB">
        <w:rPr>
          <w:i/>
          <w:iCs/>
        </w:rPr>
        <w:t xml:space="preserve"> </w:t>
      </w:r>
      <w:r w:rsidR="00D67EB8" w:rsidRPr="009118AB">
        <w:rPr>
          <w:i/>
          <w:iCs/>
        </w:rPr>
        <w:t>Art. </w:t>
      </w:r>
      <w:r w:rsidRPr="009118AB">
        <w:rPr>
          <w:i/>
          <w:iCs/>
        </w:rPr>
        <w:t>3 des G. vom 25. April 2007 (IV) (B.S. vom 10. Mai 2007)</w:t>
      </w:r>
      <w:r w:rsidR="00D67EB8" w:rsidRPr="009118AB">
        <w:rPr>
          <w:i/>
          <w:iCs/>
        </w:rPr>
        <w:t> - </w:t>
      </w:r>
      <w:r w:rsidRPr="009118AB">
        <w:rPr>
          <w:i/>
          <w:iCs/>
        </w:rPr>
        <w:t>anwendbar auf Anlagen, die während eines an das Steuerjahr 2006 oder ein späteres Steuerjahr gebundenen Besteuerungszeitraums erworben oder gebildet werden</w:t>
      </w:r>
      <w:r w:rsidR="00D67EB8" w:rsidRPr="009118AB">
        <w:rPr>
          <w:i/>
          <w:iCs/>
        </w:rPr>
        <w:t> - </w:t>
      </w:r>
      <w:r w:rsidR="004012F8" w:rsidRPr="009118AB">
        <w:rPr>
          <w:i/>
          <w:iCs/>
        </w:rPr>
        <w:t xml:space="preserve">und </w:t>
      </w:r>
      <w:r w:rsidR="00D67EB8" w:rsidRPr="009118AB">
        <w:rPr>
          <w:i/>
          <w:iCs/>
        </w:rPr>
        <w:t>Art. </w:t>
      </w:r>
      <w:r w:rsidR="004012F8" w:rsidRPr="009118AB">
        <w:rPr>
          <w:i/>
          <w:iCs/>
        </w:rPr>
        <w:t xml:space="preserve">74 </w:t>
      </w:r>
      <w:r w:rsidR="00D67EB8" w:rsidRPr="009118AB">
        <w:rPr>
          <w:i/>
          <w:iCs/>
        </w:rPr>
        <w:t>Nr. </w:t>
      </w:r>
      <w:r w:rsidR="004012F8" w:rsidRPr="009118AB">
        <w:rPr>
          <w:i/>
          <w:iCs/>
        </w:rPr>
        <w:t>2 des G. vom 10. August 2015 (B.S. vom 18. August 2015)</w:t>
      </w:r>
      <w:r w:rsidR="00D67EB8" w:rsidRPr="009118AB">
        <w:rPr>
          <w:i/>
          <w:iCs/>
        </w:rPr>
        <w:t> - </w:t>
      </w:r>
      <w:r w:rsidR="004012F8" w:rsidRPr="009118AB">
        <w:rPr>
          <w:i/>
          <w:iCs/>
        </w:rPr>
        <w:t>in Kraft ab dem Steuerjahr 2016</w:t>
      </w:r>
      <w:r w:rsidR="003366D9" w:rsidRPr="009118AB">
        <w:rPr>
          <w:i/>
          <w:iCs/>
        </w:rPr>
        <w:t> -;</w:t>
      </w:r>
      <w:r w:rsidR="000117ED" w:rsidRPr="009118AB">
        <w:rPr>
          <w:i/>
          <w:iCs/>
        </w:rPr>
        <w:t xml:space="preserve"> </w:t>
      </w:r>
      <w:r w:rsidR="00D67EB8" w:rsidRPr="009118AB">
        <w:rPr>
          <w:i/>
          <w:iCs/>
        </w:rPr>
        <w:t>Abs. </w:t>
      </w:r>
      <w:r w:rsidR="000117ED" w:rsidRPr="009118AB">
        <w:rPr>
          <w:i/>
          <w:iCs/>
        </w:rPr>
        <w:t xml:space="preserve">4 und 5 eingefügt durch </w:t>
      </w:r>
      <w:r w:rsidR="00D67EB8" w:rsidRPr="009118AB">
        <w:rPr>
          <w:i/>
          <w:iCs/>
        </w:rPr>
        <w:t>Art. </w:t>
      </w:r>
      <w:r w:rsidR="000117ED" w:rsidRPr="009118AB">
        <w:rPr>
          <w:i/>
          <w:iCs/>
        </w:rPr>
        <w:t>96</w:t>
      </w:r>
      <w:r w:rsidR="000117ED" w:rsidRPr="009118AB">
        <w:rPr>
          <w:i/>
        </w:rPr>
        <w:t xml:space="preserve"> des G. vom 26. Dezember 2015 (II) (B.S. vom 30. Dezember 2015)</w:t>
      </w:r>
      <w:r w:rsidR="00D67EB8" w:rsidRPr="009118AB">
        <w:t> - </w:t>
      </w:r>
      <w:r w:rsidR="000117ED" w:rsidRPr="009118AB">
        <w:rPr>
          <w:i/>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w:t>
      </w:r>
      <w:r w:rsidR="00FD68E8" w:rsidRPr="009118AB">
        <w:rPr>
          <w:i/>
        </w:rPr>
        <w:t> -,</w:t>
      </w:r>
      <w:r w:rsidR="00C72F24" w:rsidRPr="009118AB">
        <w:rPr>
          <w:i/>
        </w:rPr>
        <w:t xml:space="preserve"> selbst widerrufen durch </w:t>
      </w:r>
      <w:r w:rsidR="00D67EB8" w:rsidRPr="009118AB">
        <w:rPr>
          <w:i/>
        </w:rPr>
        <w:t>Art. </w:t>
      </w:r>
      <w:r w:rsidR="002D252C" w:rsidRPr="009118AB">
        <w:rPr>
          <w:i/>
        </w:rPr>
        <w:t xml:space="preserve">89 des G. vom 25. Dezember 2017 (III) </w:t>
      </w:r>
      <w:r w:rsidR="00C72F24" w:rsidRPr="009118AB">
        <w:rPr>
          <w:i/>
        </w:rPr>
        <w:t>(B.S. vom 29. Dezember 2017)</w:t>
      </w:r>
      <w:r w:rsidRPr="009118AB">
        <w:rPr>
          <w:i/>
          <w:iCs/>
        </w:rPr>
        <w:t>]</w:t>
      </w:r>
    </w:p>
    <w:p w14:paraId="19508468" w14:textId="77777777" w:rsidR="002A0E3A" w:rsidRDefault="002A0E3A" w:rsidP="00510FB2">
      <w:pPr>
        <w:autoSpaceDE w:val="0"/>
        <w:autoSpaceDN w:val="0"/>
        <w:adjustRightInd w:val="0"/>
        <w:jc w:val="both"/>
      </w:pPr>
    </w:p>
    <w:p w14:paraId="78DB50BC" w14:textId="77777777" w:rsidR="002A0E3A" w:rsidRDefault="002A0E3A" w:rsidP="00510FB2">
      <w:pPr>
        <w:autoSpaceDE w:val="0"/>
        <w:autoSpaceDN w:val="0"/>
        <w:adjustRightInd w:val="0"/>
        <w:jc w:val="both"/>
      </w:pPr>
    </w:p>
    <w:p w14:paraId="03A3E251" w14:textId="76952AFB" w:rsidR="002A0E3A" w:rsidRDefault="002A0E3A" w:rsidP="002A0E3A">
      <w:pPr>
        <w:autoSpaceDE w:val="0"/>
        <w:autoSpaceDN w:val="0"/>
        <w:adjustRightInd w:val="0"/>
        <w:jc w:val="both"/>
        <w:rPr>
          <w:sz w:val="20"/>
          <w:szCs w:val="20"/>
        </w:rPr>
      </w:pPr>
      <w:r>
        <w:rPr>
          <w:sz w:val="20"/>
          <w:szCs w:val="20"/>
        </w:rPr>
        <w:t>Ab dem Steuerjahr 2026 (gemäß Art. 21 Abs. 2 des G. vom 12. Mai 2024 (B.S. vom 29. Mai 2024)) lautet Art. 77 wie folgt:</w:t>
      </w:r>
    </w:p>
    <w:p w14:paraId="412DF339" w14:textId="77777777" w:rsidR="002A0E3A" w:rsidRDefault="002A0E3A" w:rsidP="002A0E3A">
      <w:pPr>
        <w:autoSpaceDE w:val="0"/>
        <w:autoSpaceDN w:val="0"/>
        <w:adjustRightInd w:val="0"/>
        <w:jc w:val="both"/>
        <w:rPr>
          <w:sz w:val="20"/>
          <w:szCs w:val="20"/>
        </w:rPr>
      </w:pPr>
    </w:p>
    <w:p w14:paraId="250E73EB" w14:textId="5189284A" w:rsidR="002A0E3A" w:rsidRPr="002A0E3A" w:rsidRDefault="002A0E3A" w:rsidP="002A0E3A">
      <w:pPr>
        <w:autoSpaceDE w:val="0"/>
        <w:autoSpaceDN w:val="0"/>
        <w:adjustRightInd w:val="0"/>
        <w:jc w:val="both"/>
        <w:rPr>
          <w:sz w:val="20"/>
          <w:szCs w:val="20"/>
        </w:rPr>
      </w:pPr>
      <w:r>
        <w:rPr>
          <w:sz w:val="20"/>
          <w:szCs w:val="20"/>
        </w:rPr>
        <w:t>"</w:t>
      </w:r>
      <w:r w:rsidRPr="002A0E3A">
        <w:rPr>
          <w:sz w:val="20"/>
          <w:szCs w:val="20"/>
        </w:rPr>
        <w:t>Art. 77 - [Der König bestimmt durch einen im Ministerrat beratenen Königlichen Erlass:</w:t>
      </w:r>
    </w:p>
    <w:p w14:paraId="3681D789" w14:textId="77777777" w:rsidR="002A0E3A" w:rsidRPr="002A0E3A" w:rsidRDefault="002A0E3A" w:rsidP="002A0E3A">
      <w:pPr>
        <w:autoSpaceDE w:val="0"/>
        <w:autoSpaceDN w:val="0"/>
        <w:adjustRightInd w:val="0"/>
        <w:jc w:val="both"/>
        <w:rPr>
          <w:sz w:val="20"/>
          <w:szCs w:val="20"/>
        </w:rPr>
      </w:pPr>
    </w:p>
    <w:p w14:paraId="2E368274" w14:textId="6ABE9B67" w:rsidR="002A0E3A" w:rsidRPr="002A0E3A" w:rsidRDefault="002A0E3A" w:rsidP="002A0E3A">
      <w:pPr>
        <w:autoSpaceDE w:val="0"/>
        <w:autoSpaceDN w:val="0"/>
        <w:adjustRightInd w:val="0"/>
        <w:jc w:val="both"/>
        <w:rPr>
          <w:sz w:val="20"/>
          <w:szCs w:val="20"/>
        </w:rPr>
      </w:pPr>
      <w:r w:rsidRPr="002A0E3A">
        <w:rPr>
          <w:sz w:val="20"/>
          <w:szCs w:val="20"/>
        </w:rPr>
        <w:t xml:space="preserve">- Art der Anlagen, die für den </w:t>
      </w:r>
      <w:r>
        <w:rPr>
          <w:sz w:val="20"/>
          <w:szCs w:val="20"/>
        </w:rPr>
        <w:t>[</w:t>
      </w:r>
      <w:r w:rsidRPr="002A0E3A">
        <w:rPr>
          <w:sz w:val="20"/>
          <w:szCs w:val="20"/>
        </w:rPr>
        <w:t>in Artikel 69 Absatz 3 erwähnten</w:t>
      </w:r>
      <w:r>
        <w:rPr>
          <w:sz w:val="20"/>
          <w:szCs w:val="20"/>
        </w:rPr>
        <w:t>]</w:t>
      </w:r>
      <w:r w:rsidRPr="002A0E3A">
        <w:rPr>
          <w:sz w:val="20"/>
          <w:szCs w:val="20"/>
        </w:rPr>
        <w:t xml:space="preserve"> erhöhten Abzug berücksichtigt werden,</w:t>
      </w:r>
    </w:p>
    <w:p w14:paraId="7C377441" w14:textId="77777777" w:rsidR="002A0E3A" w:rsidRPr="002A0E3A" w:rsidRDefault="002A0E3A" w:rsidP="002A0E3A">
      <w:pPr>
        <w:autoSpaceDE w:val="0"/>
        <w:autoSpaceDN w:val="0"/>
        <w:adjustRightInd w:val="0"/>
        <w:jc w:val="both"/>
        <w:rPr>
          <w:sz w:val="20"/>
          <w:szCs w:val="20"/>
        </w:rPr>
      </w:pPr>
    </w:p>
    <w:p w14:paraId="7673D2D4" w14:textId="37D91828" w:rsidR="002A0E3A" w:rsidRPr="002A0E3A" w:rsidRDefault="002A0E3A" w:rsidP="002A0E3A">
      <w:pPr>
        <w:autoSpaceDE w:val="0"/>
        <w:autoSpaceDN w:val="0"/>
        <w:adjustRightInd w:val="0"/>
        <w:jc w:val="both"/>
        <w:rPr>
          <w:sz w:val="20"/>
          <w:szCs w:val="20"/>
        </w:rPr>
      </w:pPr>
      <w:r w:rsidRPr="002A0E3A">
        <w:rPr>
          <w:sz w:val="20"/>
          <w:szCs w:val="20"/>
        </w:rPr>
        <w:t xml:space="preserve">- Kriterien, die die im ersten Gedankenstrich erwähnten Anlagen erfüllen müssen, um zu dem </w:t>
      </w:r>
      <w:r w:rsidR="00E36CB6">
        <w:rPr>
          <w:sz w:val="20"/>
          <w:szCs w:val="20"/>
        </w:rPr>
        <w:t>[</w:t>
      </w:r>
      <w:r w:rsidR="00E36CB6" w:rsidRPr="002A0E3A">
        <w:rPr>
          <w:sz w:val="20"/>
          <w:szCs w:val="20"/>
        </w:rPr>
        <w:t>in Artikel 69 Absatz 3 erwähnten</w:t>
      </w:r>
      <w:r w:rsidR="00E36CB6">
        <w:rPr>
          <w:sz w:val="20"/>
          <w:szCs w:val="20"/>
        </w:rPr>
        <w:t>]</w:t>
      </w:r>
      <w:r w:rsidRPr="002A0E3A">
        <w:rPr>
          <w:sz w:val="20"/>
          <w:szCs w:val="20"/>
        </w:rPr>
        <w:t xml:space="preserve"> erhöhten Abzug zu berechtigen.</w:t>
      </w:r>
      <w:r>
        <w:rPr>
          <w:sz w:val="20"/>
          <w:szCs w:val="20"/>
        </w:rPr>
        <w:t>]</w:t>
      </w:r>
    </w:p>
    <w:p w14:paraId="546BFA89" w14:textId="77777777" w:rsidR="002A0E3A" w:rsidRDefault="002A0E3A" w:rsidP="002A0E3A">
      <w:pPr>
        <w:autoSpaceDE w:val="0"/>
        <w:autoSpaceDN w:val="0"/>
        <w:adjustRightInd w:val="0"/>
        <w:jc w:val="both"/>
        <w:rPr>
          <w:sz w:val="20"/>
          <w:szCs w:val="20"/>
        </w:rPr>
      </w:pPr>
    </w:p>
    <w:p w14:paraId="54C2A837" w14:textId="29DAB131" w:rsidR="002A0E3A" w:rsidRDefault="002A0E3A" w:rsidP="002A0E3A">
      <w:pPr>
        <w:autoSpaceDE w:val="0"/>
        <w:autoSpaceDN w:val="0"/>
        <w:adjustRightInd w:val="0"/>
        <w:jc w:val="both"/>
        <w:rPr>
          <w:sz w:val="20"/>
          <w:szCs w:val="20"/>
        </w:rPr>
      </w:pPr>
      <w:r>
        <w:rPr>
          <w:sz w:val="20"/>
          <w:szCs w:val="20"/>
        </w:rPr>
        <w:t>[</w:t>
      </w:r>
      <w:r w:rsidRPr="002A0E3A">
        <w:rPr>
          <w:sz w:val="20"/>
          <w:szCs w:val="20"/>
        </w:rPr>
        <w:t>Der König kann in den in Artikel 69/1 §§ 2 bis 5 erwähnten Listen einen Höchstbetrag für eine oder mehrere spezifische Anlagen vorsehen, die für den erhöhten thematischen Abzug berücksichtigt werden.</w:t>
      </w:r>
      <w:r>
        <w:rPr>
          <w:sz w:val="20"/>
          <w:szCs w:val="20"/>
        </w:rPr>
        <w:t>]</w:t>
      </w:r>
    </w:p>
    <w:p w14:paraId="4C188551" w14:textId="77777777" w:rsidR="002A0E3A" w:rsidRPr="002A0E3A" w:rsidRDefault="002A0E3A" w:rsidP="002A0E3A">
      <w:pPr>
        <w:autoSpaceDE w:val="0"/>
        <w:autoSpaceDN w:val="0"/>
        <w:adjustRightInd w:val="0"/>
        <w:jc w:val="both"/>
        <w:rPr>
          <w:sz w:val="20"/>
          <w:szCs w:val="20"/>
        </w:rPr>
      </w:pPr>
    </w:p>
    <w:p w14:paraId="4D774CC9" w14:textId="7766F63E" w:rsidR="002A0E3A" w:rsidRPr="002A0E3A" w:rsidRDefault="002A0E3A" w:rsidP="002A0E3A">
      <w:pPr>
        <w:autoSpaceDE w:val="0"/>
        <w:autoSpaceDN w:val="0"/>
        <w:adjustRightInd w:val="0"/>
        <w:jc w:val="both"/>
        <w:rPr>
          <w:sz w:val="20"/>
          <w:szCs w:val="20"/>
        </w:rPr>
      </w:pPr>
      <w:r>
        <w:rPr>
          <w:sz w:val="20"/>
          <w:szCs w:val="20"/>
        </w:rPr>
        <w:t>[</w:t>
      </w:r>
      <w:r w:rsidRPr="002A0E3A">
        <w:rPr>
          <w:sz w:val="20"/>
          <w:szCs w:val="20"/>
        </w:rPr>
        <w:t xml:space="preserve">Der König reicht bei der Abgeordnetenkammer, wenn sie versammelt ist, unverzüglich und sonst, sobald die nächste Sitzungsperiode eröffnet ist, einen Gesetzentwurf ein zur Bestätigung der in den Artikeln 69/1 §§ 2 bis 5 und 75 erwähnten Listen und ihrer möglichen einmaligen Verlängerung, einschließlich der in Absatz 2 erwähnten Höchstbeträge, und der Erlasse zur Ausführung von Absatz 1 erster Gedankenstrich. Die Bestätigung wird wirksam ab diesem Datum. Es wird davon ausgegangen, dass die Listen und Erlasse nie wirksam geworden sind, wenn diese Bestätigung nicht binnen zwölf Monaten nach dem Datum ihrer Veröffentlichung im </w:t>
      </w:r>
      <w:r w:rsidRPr="002A0E3A">
        <w:rPr>
          <w:i/>
          <w:iCs/>
          <w:sz w:val="20"/>
          <w:szCs w:val="20"/>
        </w:rPr>
        <w:t>Belgischen Staatsblatt</w:t>
      </w:r>
      <w:r w:rsidRPr="002A0E3A">
        <w:rPr>
          <w:sz w:val="20"/>
          <w:szCs w:val="20"/>
        </w:rPr>
        <w:t xml:space="preserve"> erfolgt ist.]</w:t>
      </w:r>
    </w:p>
    <w:p w14:paraId="74C98DE3" w14:textId="77777777" w:rsidR="002A0E3A" w:rsidRPr="002A0E3A" w:rsidRDefault="002A0E3A" w:rsidP="002A0E3A">
      <w:pPr>
        <w:autoSpaceDE w:val="0"/>
        <w:autoSpaceDN w:val="0"/>
        <w:adjustRightInd w:val="0"/>
        <w:jc w:val="both"/>
        <w:rPr>
          <w:sz w:val="20"/>
          <w:szCs w:val="20"/>
        </w:rPr>
      </w:pPr>
    </w:p>
    <w:p w14:paraId="7355399E" w14:textId="6D5D3A1C" w:rsidR="002A0E3A" w:rsidRPr="002A0E3A" w:rsidRDefault="002A0E3A" w:rsidP="002A0E3A">
      <w:pPr>
        <w:autoSpaceDE w:val="0"/>
        <w:autoSpaceDN w:val="0"/>
        <w:adjustRightInd w:val="0"/>
        <w:jc w:val="both"/>
        <w:rPr>
          <w:sz w:val="20"/>
          <w:szCs w:val="20"/>
        </w:rPr>
      </w:pPr>
      <w:r w:rsidRPr="002A0E3A">
        <w:rPr>
          <w:sz w:val="20"/>
          <w:szCs w:val="20"/>
        </w:rPr>
        <w:t xml:space="preserve">Der König bestimmt die Weise, wie der Investitionsabzug angewandt wird, welche Verpflichtungen Steuerpflichtige erfüllen müssen, um zu diesem Abzug berechtigt zu sein, und welche Kriterien die [Patente und] Anlagen erfüllen müssen, um </w:t>
      </w:r>
      <w:r>
        <w:rPr>
          <w:sz w:val="20"/>
          <w:szCs w:val="20"/>
        </w:rPr>
        <w:t>[</w:t>
      </w:r>
      <w:r w:rsidRPr="002A0E3A">
        <w:rPr>
          <w:sz w:val="20"/>
          <w:szCs w:val="20"/>
        </w:rPr>
        <w:t>zu den in Artikel 69 Absatz 1 Nr. 2 und 3 erwähnten Abzügen</w:t>
      </w:r>
      <w:r>
        <w:rPr>
          <w:sz w:val="20"/>
          <w:szCs w:val="20"/>
        </w:rPr>
        <w:t>]</w:t>
      </w:r>
      <w:r w:rsidRPr="002A0E3A">
        <w:rPr>
          <w:sz w:val="20"/>
          <w:szCs w:val="20"/>
        </w:rPr>
        <w:t xml:space="preserve"> zu berechtigen.</w:t>
      </w:r>
    </w:p>
    <w:p w14:paraId="279061DA" w14:textId="77777777" w:rsidR="002A0E3A" w:rsidRPr="002A0E3A" w:rsidRDefault="002A0E3A" w:rsidP="002A0E3A">
      <w:pPr>
        <w:autoSpaceDE w:val="0"/>
        <w:autoSpaceDN w:val="0"/>
        <w:adjustRightInd w:val="0"/>
        <w:jc w:val="both"/>
        <w:rPr>
          <w:sz w:val="20"/>
          <w:szCs w:val="20"/>
        </w:rPr>
      </w:pPr>
    </w:p>
    <w:p w14:paraId="6906C0FC" w14:textId="6EEB1E43" w:rsidR="002A0E3A" w:rsidRPr="002A0E3A" w:rsidRDefault="002A0E3A" w:rsidP="002A0E3A">
      <w:pPr>
        <w:autoSpaceDE w:val="0"/>
        <w:autoSpaceDN w:val="0"/>
        <w:adjustRightInd w:val="0"/>
        <w:jc w:val="both"/>
        <w:rPr>
          <w:sz w:val="20"/>
          <w:szCs w:val="20"/>
        </w:rPr>
      </w:pPr>
      <w:r w:rsidRPr="002A0E3A">
        <w:rPr>
          <w:sz w:val="20"/>
          <w:szCs w:val="20"/>
        </w:rPr>
        <w:t>[...]</w:t>
      </w:r>
    </w:p>
    <w:p w14:paraId="432666C1" w14:textId="77777777" w:rsidR="002A0E3A" w:rsidRDefault="002A0E3A" w:rsidP="002A0E3A">
      <w:pPr>
        <w:autoSpaceDE w:val="0"/>
        <w:autoSpaceDN w:val="0"/>
        <w:adjustRightInd w:val="0"/>
        <w:jc w:val="both"/>
        <w:rPr>
          <w:sz w:val="20"/>
          <w:szCs w:val="20"/>
        </w:rPr>
      </w:pPr>
    </w:p>
    <w:p w14:paraId="762404AF" w14:textId="6DBCBCC0" w:rsidR="002A0E3A" w:rsidRDefault="002A0E3A" w:rsidP="002A0E3A">
      <w:pPr>
        <w:autoSpaceDE w:val="0"/>
        <w:autoSpaceDN w:val="0"/>
        <w:adjustRightInd w:val="0"/>
        <w:jc w:val="both"/>
        <w:rPr>
          <w:sz w:val="20"/>
          <w:szCs w:val="20"/>
        </w:rPr>
      </w:pPr>
      <w:r>
        <w:rPr>
          <w:sz w:val="20"/>
          <w:szCs w:val="20"/>
        </w:rPr>
        <w:t>[</w:t>
      </w:r>
      <w:r w:rsidRPr="002A0E3A">
        <w:rPr>
          <w:sz w:val="20"/>
          <w:szCs w:val="20"/>
        </w:rPr>
        <w:t>Der König bestimmt das Verfahren zur Beantragung sowie Form und Inhalt der in Artikel 69/3 erwähnten Bescheinigung, die die zuständigen Minister ausstellen müssen.</w:t>
      </w:r>
      <w:r>
        <w:rPr>
          <w:sz w:val="20"/>
          <w:szCs w:val="20"/>
        </w:rPr>
        <w:t>]</w:t>
      </w:r>
    </w:p>
    <w:p w14:paraId="6D6FD3CD" w14:textId="77777777" w:rsidR="002A0E3A" w:rsidRPr="002A0E3A" w:rsidRDefault="002A0E3A" w:rsidP="002A0E3A">
      <w:pPr>
        <w:autoSpaceDE w:val="0"/>
        <w:autoSpaceDN w:val="0"/>
        <w:adjustRightInd w:val="0"/>
        <w:jc w:val="both"/>
        <w:rPr>
          <w:sz w:val="20"/>
          <w:szCs w:val="20"/>
        </w:rPr>
      </w:pPr>
    </w:p>
    <w:p w14:paraId="3340C079" w14:textId="1585F003" w:rsidR="002A0E3A" w:rsidRPr="002A0E3A" w:rsidRDefault="002A0E3A" w:rsidP="002A0E3A">
      <w:pPr>
        <w:autoSpaceDE w:val="0"/>
        <w:autoSpaceDN w:val="0"/>
        <w:adjustRightInd w:val="0"/>
        <w:jc w:val="both"/>
        <w:rPr>
          <w:sz w:val="20"/>
          <w:szCs w:val="20"/>
        </w:rPr>
      </w:pPr>
      <w:r w:rsidRPr="002A0E3A">
        <w:rPr>
          <w:i/>
          <w:iCs/>
          <w:sz w:val="20"/>
          <w:szCs w:val="20"/>
        </w:rPr>
        <w:t>[Art. 77 neue</w:t>
      </w:r>
      <w:r>
        <w:rPr>
          <w:i/>
          <w:iCs/>
          <w:sz w:val="20"/>
          <w:szCs w:val="20"/>
        </w:rPr>
        <w:t>r</w:t>
      </w:r>
      <w:r w:rsidRPr="002A0E3A">
        <w:rPr>
          <w:i/>
          <w:iCs/>
          <w:sz w:val="20"/>
          <w:szCs w:val="20"/>
        </w:rPr>
        <w:t xml:space="preserve"> Abs</w:t>
      </w:r>
      <w:r>
        <w:rPr>
          <w:i/>
          <w:iCs/>
          <w:sz w:val="20"/>
          <w:szCs w:val="20"/>
        </w:rPr>
        <w:t>a</w:t>
      </w:r>
      <w:r w:rsidRPr="002A0E3A">
        <w:rPr>
          <w:i/>
          <w:iCs/>
          <w:sz w:val="20"/>
          <w:szCs w:val="20"/>
        </w:rPr>
        <w:t>tz 1</w:t>
      </w:r>
      <w:r>
        <w:rPr>
          <w:i/>
          <w:iCs/>
          <w:sz w:val="20"/>
          <w:szCs w:val="20"/>
        </w:rPr>
        <w:t xml:space="preserve"> </w:t>
      </w:r>
      <w:r w:rsidRPr="002A0E3A">
        <w:rPr>
          <w:i/>
          <w:iCs/>
          <w:sz w:val="20"/>
          <w:szCs w:val="20"/>
        </w:rPr>
        <w:t>eingefügt durch Art. 74 Nr. 1 des G. vom 10. August 2015 (B.S. vom 18. August 2015) - in Kraft ab dem Steuerjahr 2016 -;</w:t>
      </w:r>
      <w:r>
        <w:rPr>
          <w:i/>
          <w:iCs/>
          <w:sz w:val="20"/>
          <w:szCs w:val="20"/>
        </w:rPr>
        <w:t xml:space="preserve"> Abs. 1 </w:t>
      </w:r>
      <w:r w:rsidR="00382EE3">
        <w:rPr>
          <w:i/>
          <w:iCs/>
          <w:sz w:val="20"/>
          <w:szCs w:val="20"/>
        </w:rPr>
        <w:t>ers</w:t>
      </w:r>
      <w:r>
        <w:rPr>
          <w:i/>
          <w:iCs/>
          <w:sz w:val="20"/>
          <w:szCs w:val="20"/>
        </w:rPr>
        <w:t>ter</w:t>
      </w:r>
      <w:r w:rsidR="00E36CB6">
        <w:rPr>
          <w:i/>
          <w:iCs/>
          <w:sz w:val="20"/>
          <w:szCs w:val="20"/>
        </w:rPr>
        <w:t xml:space="preserve"> und zweiter</w:t>
      </w:r>
      <w:r>
        <w:rPr>
          <w:i/>
          <w:iCs/>
          <w:sz w:val="20"/>
          <w:szCs w:val="20"/>
        </w:rPr>
        <w:t xml:space="preserve"> Gedankenstrich abgeändert durch Art. 12 Nr. 1</w:t>
      </w:r>
      <w:r w:rsidRPr="002A0E3A">
        <w:rPr>
          <w:i/>
          <w:iCs/>
          <w:sz w:val="20"/>
          <w:szCs w:val="20"/>
        </w:rPr>
        <w:t xml:space="preserve"> des G. vom 12. Mai 2024 (B.S. vom 29. Mai 2024) - anwendbar auf die ab dem 1. Januar 2025 erworbenen oder gebildeten Anlagen -</w:t>
      </w:r>
      <w:r>
        <w:rPr>
          <w:i/>
          <w:iCs/>
          <w:sz w:val="20"/>
          <w:szCs w:val="20"/>
        </w:rPr>
        <w:t>; neuer Absatz 2 eingefügt durch Art. 12 Nr. 2</w:t>
      </w:r>
      <w:r w:rsidRPr="002A0E3A">
        <w:rPr>
          <w:i/>
          <w:iCs/>
          <w:sz w:val="20"/>
          <w:szCs w:val="20"/>
        </w:rPr>
        <w:t xml:space="preserve"> des G. vom 12. Mai 2024 (B.S. vom 29. Mai 2024) - anwendbar auf die ab dem 1. Januar 2025 erworbenen oder gebildeten Anlagen -</w:t>
      </w:r>
      <w:r>
        <w:rPr>
          <w:i/>
          <w:iCs/>
          <w:sz w:val="20"/>
          <w:szCs w:val="20"/>
        </w:rPr>
        <w:t xml:space="preserve">; </w:t>
      </w:r>
      <w:r w:rsidRPr="002A0E3A">
        <w:rPr>
          <w:i/>
          <w:iCs/>
          <w:sz w:val="20"/>
          <w:szCs w:val="20"/>
        </w:rPr>
        <w:t>neue</w:t>
      </w:r>
      <w:r>
        <w:rPr>
          <w:i/>
          <w:iCs/>
          <w:sz w:val="20"/>
          <w:szCs w:val="20"/>
        </w:rPr>
        <w:t>r</w:t>
      </w:r>
      <w:r w:rsidRPr="002A0E3A">
        <w:rPr>
          <w:i/>
          <w:iCs/>
          <w:sz w:val="20"/>
          <w:szCs w:val="20"/>
        </w:rPr>
        <w:t xml:space="preserve"> Abs</w:t>
      </w:r>
      <w:r>
        <w:rPr>
          <w:i/>
          <w:iCs/>
          <w:sz w:val="20"/>
          <w:szCs w:val="20"/>
        </w:rPr>
        <w:t>a</w:t>
      </w:r>
      <w:r w:rsidRPr="002A0E3A">
        <w:rPr>
          <w:i/>
          <w:iCs/>
          <w:sz w:val="20"/>
          <w:szCs w:val="20"/>
        </w:rPr>
        <w:t>tz</w:t>
      </w:r>
      <w:r>
        <w:rPr>
          <w:i/>
          <w:iCs/>
          <w:sz w:val="20"/>
          <w:szCs w:val="20"/>
        </w:rPr>
        <w:t> 3 (früherer Absatz 2)</w:t>
      </w:r>
      <w:r w:rsidRPr="002A0E3A">
        <w:rPr>
          <w:i/>
          <w:iCs/>
          <w:sz w:val="20"/>
          <w:szCs w:val="20"/>
        </w:rPr>
        <w:t xml:space="preserve"> eingefügt durch Art. 74 Nr. 1 des G. vom 10. August 2015 (B.S. vom 18. August 2015) - in </w:t>
      </w:r>
      <w:r w:rsidRPr="002A0E3A">
        <w:rPr>
          <w:rFonts w:ascii="Times New Roman Italique" w:hAnsi="Times New Roman Italique"/>
          <w:i/>
          <w:iCs/>
          <w:spacing w:val="-2"/>
          <w:sz w:val="20"/>
          <w:szCs w:val="20"/>
        </w:rPr>
        <w:t>Kraft ab dem Steuerjahr 2016 -</w:t>
      </w:r>
      <w:r w:rsidRPr="00A70886">
        <w:rPr>
          <w:rFonts w:ascii="Times New Roman Italique" w:hAnsi="Times New Roman Italique"/>
          <w:i/>
          <w:iCs/>
          <w:spacing w:val="-2"/>
          <w:sz w:val="20"/>
          <w:szCs w:val="20"/>
        </w:rPr>
        <w:t xml:space="preserve"> und ersetzt durch Art. 12 Nr. 3 des G. vom 12. Mai 2024 (B.S. vom 29. Mai 2024) - anwendbar auf die ab dem 1. Januar 2025 erworbenen oder gebildeten Anlagen -</w:t>
      </w:r>
      <w:r w:rsidRPr="002A0E3A">
        <w:rPr>
          <w:rFonts w:ascii="Times New Roman Italique" w:hAnsi="Times New Roman Italique"/>
          <w:i/>
          <w:iCs/>
          <w:spacing w:val="-2"/>
          <w:sz w:val="20"/>
          <w:szCs w:val="20"/>
        </w:rPr>
        <w:t>; Abs</w:t>
      </w:r>
      <w:r w:rsidR="00A70886" w:rsidRPr="00A70886">
        <w:rPr>
          <w:rFonts w:ascii="Times New Roman Italique" w:hAnsi="Times New Roman Italique"/>
          <w:i/>
          <w:iCs/>
          <w:spacing w:val="-2"/>
          <w:sz w:val="20"/>
          <w:szCs w:val="20"/>
        </w:rPr>
        <w:t>.</w:t>
      </w:r>
      <w:r w:rsidRPr="002A0E3A">
        <w:rPr>
          <w:rFonts w:ascii="Times New Roman Italique" w:hAnsi="Times New Roman Italique"/>
          <w:i/>
          <w:iCs/>
          <w:spacing w:val="-2"/>
          <w:sz w:val="20"/>
          <w:szCs w:val="20"/>
        </w:rPr>
        <w:t> </w:t>
      </w:r>
      <w:r w:rsidRPr="00A70886">
        <w:rPr>
          <w:rFonts w:ascii="Times New Roman Italique" w:hAnsi="Times New Roman Italique"/>
          <w:i/>
          <w:iCs/>
          <w:spacing w:val="-2"/>
          <w:sz w:val="20"/>
          <w:szCs w:val="20"/>
        </w:rPr>
        <w:t>4</w:t>
      </w:r>
      <w:r w:rsidRPr="002A0E3A">
        <w:rPr>
          <w:rFonts w:ascii="Times New Roman Italique" w:hAnsi="Times New Roman Italique"/>
          <w:i/>
          <w:iCs/>
          <w:spacing w:val="-2"/>
          <w:sz w:val="20"/>
          <w:szCs w:val="20"/>
        </w:rPr>
        <w:t xml:space="preserve"> abgeändert durch Art. 6 des G. vom 20. Dezember 1995 (B.S. vom 23. Dezember 1995) - in Kraft ab dem Steuerjahr 1997 -, Art. 5 des G. vom 4. Mai 1999 (II) (B.S. vom 12. Juni 1999) - in Kraft ab dem Steuerjahr 1999 -, Art. 3 des G. vom 25. April 2007 (IV) (B.S. vom 10. Mai 2007) - anwendbar auf Anlagen, die während eines an</w:t>
      </w:r>
      <w:r w:rsidRPr="002A0E3A">
        <w:rPr>
          <w:i/>
          <w:iCs/>
          <w:sz w:val="20"/>
          <w:szCs w:val="20"/>
        </w:rPr>
        <w:t xml:space="preserve"> das Steuerjahr 2006 oder ein späteres Steuerjahr gebundenen Besteuerungszeitraums erworben oder gebildet werden -</w:t>
      </w:r>
      <w:r w:rsidR="00A70886">
        <w:rPr>
          <w:i/>
          <w:iCs/>
          <w:sz w:val="20"/>
          <w:szCs w:val="20"/>
        </w:rPr>
        <w:t>,</w:t>
      </w:r>
      <w:r w:rsidRPr="002A0E3A">
        <w:rPr>
          <w:i/>
          <w:iCs/>
          <w:sz w:val="20"/>
          <w:szCs w:val="20"/>
        </w:rPr>
        <w:t> Art. 74 Nr. 2 des G. vom 10. August 2015 (B.S. vom 18. August 2015) - in Kraft ab dem Steuerjahr 2016 -</w:t>
      </w:r>
      <w:r w:rsidR="00A70886">
        <w:rPr>
          <w:i/>
          <w:iCs/>
          <w:sz w:val="20"/>
          <w:szCs w:val="20"/>
        </w:rPr>
        <w:t xml:space="preserve"> und Art. 12 Nr. 4</w:t>
      </w:r>
      <w:r w:rsidR="00A70886" w:rsidRPr="00A70886">
        <w:rPr>
          <w:i/>
          <w:iCs/>
          <w:sz w:val="20"/>
          <w:szCs w:val="20"/>
        </w:rPr>
        <w:t xml:space="preserve"> des G. vom 12. Mai 2024 (B.S. vom 29. Mai 2024) - anwendbar auf die ab dem 1. Januar 2025 erworbenen oder gebildeten Anlagen -</w:t>
      </w:r>
      <w:r w:rsidRPr="002A0E3A">
        <w:rPr>
          <w:i/>
          <w:iCs/>
          <w:sz w:val="20"/>
          <w:szCs w:val="20"/>
        </w:rPr>
        <w:t xml:space="preserve">; </w:t>
      </w:r>
      <w:r w:rsidR="00A70886">
        <w:rPr>
          <w:i/>
          <w:iCs/>
          <w:sz w:val="20"/>
          <w:szCs w:val="20"/>
        </w:rPr>
        <w:t xml:space="preserve">frühere </w:t>
      </w:r>
      <w:r w:rsidRPr="002A0E3A">
        <w:rPr>
          <w:i/>
          <w:iCs/>
          <w:sz w:val="20"/>
          <w:szCs w:val="20"/>
        </w:rPr>
        <w:t>Abs</w:t>
      </w:r>
      <w:r w:rsidR="00A70886">
        <w:rPr>
          <w:i/>
          <w:iCs/>
          <w:sz w:val="20"/>
          <w:szCs w:val="20"/>
        </w:rPr>
        <w:t>ätze</w:t>
      </w:r>
      <w:r w:rsidRPr="002A0E3A">
        <w:rPr>
          <w:i/>
          <w:iCs/>
          <w:sz w:val="20"/>
          <w:szCs w:val="20"/>
        </w:rPr>
        <w:t> </w:t>
      </w:r>
      <w:r w:rsidR="00A70886">
        <w:rPr>
          <w:i/>
          <w:iCs/>
          <w:sz w:val="20"/>
          <w:szCs w:val="20"/>
        </w:rPr>
        <w:t>5</w:t>
      </w:r>
      <w:r w:rsidRPr="002A0E3A">
        <w:rPr>
          <w:i/>
          <w:iCs/>
          <w:sz w:val="20"/>
          <w:szCs w:val="20"/>
        </w:rPr>
        <w:t xml:space="preserve"> und </w:t>
      </w:r>
      <w:r w:rsidR="00A70886">
        <w:rPr>
          <w:i/>
          <w:iCs/>
          <w:sz w:val="20"/>
          <w:szCs w:val="20"/>
        </w:rPr>
        <w:t>6</w:t>
      </w:r>
      <w:r w:rsidRPr="002A0E3A">
        <w:rPr>
          <w:i/>
          <w:iCs/>
          <w:sz w:val="20"/>
          <w:szCs w:val="20"/>
        </w:rPr>
        <w:t xml:space="preserve"> eingefügt durch Art. 96</w:t>
      </w:r>
      <w:r w:rsidRPr="002A0E3A">
        <w:rPr>
          <w:i/>
          <w:sz w:val="20"/>
          <w:szCs w:val="20"/>
        </w:rPr>
        <w:t xml:space="preserve"> des G. vom 26. Dezember 2015 (II) (B.S. vom 30. Dezember 2015)</w:t>
      </w:r>
      <w:r w:rsidRPr="002A0E3A">
        <w:rPr>
          <w:sz w:val="20"/>
          <w:szCs w:val="20"/>
        </w:rPr>
        <w:t> - </w:t>
      </w:r>
      <w:r w:rsidRPr="002A0E3A">
        <w:rPr>
          <w:i/>
          <w:sz w:val="20"/>
          <w:szCs w:val="20"/>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 -, selbst widerrufen durch Art. 89 des G. vom 25. Dezember 2017 (III) (B.S. vom 29. Dezember 2017)</w:t>
      </w:r>
      <w:r w:rsidR="00A70886">
        <w:rPr>
          <w:i/>
          <w:sz w:val="20"/>
          <w:szCs w:val="20"/>
        </w:rPr>
        <w:t>; Abs. 5 eingefügt durch Art. 12 Nr. 5</w:t>
      </w:r>
      <w:r w:rsidR="00A70886" w:rsidRPr="00A70886">
        <w:rPr>
          <w:i/>
          <w:iCs/>
          <w:sz w:val="20"/>
          <w:szCs w:val="20"/>
        </w:rPr>
        <w:t xml:space="preserve"> des G. vom 12. Mai 2024 (B.S. vom 29. Mai 2024) - anwendbar auf die ab dem 1. Januar 2025 erworbenen oder gebildeten Anlagen -</w:t>
      </w:r>
      <w:r w:rsidRPr="002A0E3A">
        <w:rPr>
          <w:i/>
          <w:iCs/>
          <w:sz w:val="20"/>
          <w:szCs w:val="20"/>
        </w:rPr>
        <w:t>]</w:t>
      </w:r>
      <w:r>
        <w:rPr>
          <w:sz w:val="20"/>
          <w:szCs w:val="20"/>
        </w:rPr>
        <w:t>"</w:t>
      </w:r>
    </w:p>
    <w:p w14:paraId="130735E0" w14:textId="5624AAF0" w:rsidR="002A0E3A" w:rsidRPr="002A0E3A" w:rsidRDefault="002A0E3A" w:rsidP="002A0E3A">
      <w:pPr>
        <w:autoSpaceDE w:val="0"/>
        <w:autoSpaceDN w:val="0"/>
        <w:adjustRightInd w:val="0"/>
        <w:jc w:val="both"/>
      </w:pPr>
    </w:p>
    <w:p w14:paraId="23C2AFD6" w14:textId="77777777" w:rsidR="001E243B" w:rsidRPr="009118AB" w:rsidRDefault="001E243B" w:rsidP="00510FB2">
      <w:pPr>
        <w:autoSpaceDE w:val="0"/>
        <w:autoSpaceDN w:val="0"/>
        <w:adjustRightInd w:val="0"/>
        <w:jc w:val="both"/>
      </w:pPr>
    </w:p>
    <w:p w14:paraId="005D313F" w14:textId="77777777" w:rsidR="00477B8F" w:rsidRPr="009118AB" w:rsidRDefault="005E78D8" w:rsidP="00510FB2">
      <w:pPr>
        <w:autoSpaceDE w:val="0"/>
        <w:autoSpaceDN w:val="0"/>
        <w:adjustRightInd w:val="0"/>
        <w:jc w:val="both"/>
      </w:pPr>
      <w:r w:rsidRPr="009118AB">
        <w:br w:type="page"/>
      </w:r>
      <w:r w:rsidR="00477B8F" w:rsidRPr="009118AB">
        <w:lastRenderedPageBreak/>
        <w:tab/>
      </w:r>
      <w:r w:rsidR="00477B8F" w:rsidRPr="009118AB">
        <w:rPr>
          <w:i/>
          <w:iCs/>
        </w:rPr>
        <w:t>C.</w:t>
      </w:r>
      <w:r w:rsidR="00477B8F" w:rsidRPr="009118AB">
        <w:t xml:space="preserve"> Berufliche Verluste</w:t>
      </w:r>
    </w:p>
    <w:p w14:paraId="1236DE09" w14:textId="77777777" w:rsidR="00477B8F" w:rsidRPr="009118AB" w:rsidRDefault="00477B8F" w:rsidP="00510FB2">
      <w:pPr>
        <w:autoSpaceDE w:val="0"/>
        <w:autoSpaceDN w:val="0"/>
        <w:adjustRightInd w:val="0"/>
        <w:jc w:val="both"/>
      </w:pPr>
    </w:p>
    <w:p w14:paraId="5DF0AFD3" w14:textId="77777777" w:rsidR="00477B8F" w:rsidRPr="009118AB" w:rsidRDefault="00477B8F" w:rsidP="00510FB2">
      <w:pPr>
        <w:autoSpaceDE w:val="0"/>
        <w:autoSpaceDN w:val="0"/>
        <w:adjustRightInd w:val="0"/>
        <w:jc w:val="both"/>
      </w:pPr>
    </w:p>
    <w:p w14:paraId="75960E78" w14:textId="7D5059AD" w:rsidR="00477B8F" w:rsidRPr="009118AB" w:rsidRDefault="00477B8F" w:rsidP="00510FB2">
      <w:pPr>
        <w:autoSpaceDE w:val="0"/>
        <w:autoSpaceDN w:val="0"/>
        <w:adjustRightInd w:val="0"/>
        <w:jc w:val="both"/>
      </w:pPr>
      <w:r w:rsidRPr="009118AB">
        <w:tab/>
      </w:r>
      <w:r w:rsidR="00D67EB8" w:rsidRPr="009118AB">
        <w:rPr>
          <w:b/>
          <w:bCs/>
        </w:rPr>
        <w:t>Art. </w:t>
      </w:r>
      <w:r w:rsidRPr="009118AB">
        <w:rPr>
          <w:b/>
          <w:bCs/>
        </w:rPr>
        <w:t>78</w:t>
      </w:r>
      <w:r w:rsidR="00D67EB8" w:rsidRPr="009118AB">
        <w:t> - </w:t>
      </w:r>
      <w:r w:rsidR="003D5A67" w:rsidRPr="009118AB">
        <w:t>[</w:t>
      </w:r>
      <w:r w:rsidR="00D67EB8" w:rsidRPr="009118AB">
        <w:t>§ </w:t>
      </w:r>
      <w:r w:rsidR="003D5A67" w:rsidRPr="009118AB">
        <w:t>1]</w:t>
      </w:r>
      <w:r w:rsidR="00D67EB8" w:rsidRPr="009118AB">
        <w:t> - </w:t>
      </w:r>
      <w:r w:rsidRPr="009118AB">
        <w:t>Vorherige berufliche Verluste werden nacheinander von den Berufseinkünften jedes folgenden Besteuerungszeitraums abgezogen.</w:t>
      </w:r>
    </w:p>
    <w:p w14:paraId="18B5F553" w14:textId="77777777" w:rsidR="00477B8F" w:rsidRPr="009118AB" w:rsidRDefault="00477B8F" w:rsidP="00510FB2">
      <w:pPr>
        <w:autoSpaceDE w:val="0"/>
        <w:autoSpaceDN w:val="0"/>
        <w:adjustRightInd w:val="0"/>
        <w:jc w:val="both"/>
      </w:pPr>
    </w:p>
    <w:p w14:paraId="17914201" w14:textId="5D3FB20D" w:rsidR="003D5A67" w:rsidRPr="009118AB" w:rsidRDefault="003D5A67" w:rsidP="003D5A67">
      <w:pPr>
        <w:jc w:val="both"/>
      </w:pPr>
      <w:r w:rsidRPr="009118AB">
        <w:tab/>
        <w:t>[</w:t>
      </w:r>
      <w:r w:rsidR="00D67EB8" w:rsidRPr="009118AB">
        <w:t>§ </w:t>
      </w:r>
      <w:r w:rsidRPr="009118AB">
        <w:t>2</w:t>
      </w:r>
      <w:r w:rsidR="00D67EB8" w:rsidRPr="009118AB">
        <w:t> - </w:t>
      </w:r>
      <w:r w:rsidRPr="009118AB">
        <w:t xml:space="preserve">In Abweichung von </w:t>
      </w:r>
      <w:r w:rsidR="00D67EB8" w:rsidRPr="009118AB">
        <w:t>§ </w:t>
      </w:r>
      <w:r w:rsidRPr="009118AB">
        <w:t>1 wird der Teil der beruflichen Verluste, der Schäden an Landwirtschaftskulturen zuzurechnen ist, die durch schlechte Witterungsbedingungen verur</w:t>
      </w:r>
      <w:r w:rsidRPr="009118AB">
        <w:softHyphen/>
        <w:t>sacht und in einer Region erlitten worden sind, mit der ein Protokoll wie in Absatz 3 erwähnt geschlossen worden ist, auf Antrag eines Steuerpflichtigen hin, der die in Absatz 4 erwähnten Kriterien erfüllt, nacheinander von den Berufseinkünften der drei Besteuerungszeiträume abge</w:t>
      </w:r>
      <w:r w:rsidRPr="009118AB">
        <w:softHyphen/>
        <w:t xml:space="preserve">zogen, die dem Besteuerungszeitraum vorangehen, in dem diese Schäden definitiv festgestellt worden sind, wobei mit dem ältesten begonnen werden muss. Der Teil dieser beruflichen Verluste, der nicht von diesen Berufseinkünften abgezogen werden kann, ist gemäß </w:t>
      </w:r>
      <w:r w:rsidR="00D67EB8" w:rsidRPr="009118AB">
        <w:t>§ </w:t>
      </w:r>
      <w:r w:rsidRPr="009118AB">
        <w:t>1 abzugsfähig.</w:t>
      </w:r>
    </w:p>
    <w:p w14:paraId="3A9DD377" w14:textId="77777777" w:rsidR="003D5A67" w:rsidRPr="009118AB" w:rsidRDefault="003D5A67" w:rsidP="003D5A67">
      <w:pPr>
        <w:jc w:val="both"/>
      </w:pPr>
    </w:p>
    <w:p w14:paraId="53C6516C" w14:textId="55021A98" w:rsidR="003D5A67" w:rsidRPr="009118AB" w:rsidRDefault="003D5A67" w:rsidP="003D5A67">
      <w:pPr>
        <w:jc w:val="both"/>
      </w:pPr>
      <w:r w:rsidRPr="009118AB">
        <w:tab/>
        <w:t xml:space="preserve">Der Teil der beruflichen Verluste, der den in Absatz 1 beschriebenen Schäden zuzurechnen ist, entspricht dem Betrag der beruflichen Verluste, der nacheinander auf den Betrag des beruflichen Verlusts aus der in Artikel 23 </w:t>
      </w:r>
      <w:r w:rsidR="00D67EB8" w:rsidRPr="009118AB">
        <w:t>§ </w:t>
      </w:r>
      <w:r w:rsidRPr="009118AB">
        <w:t xml:space="preserve">1 </w:t>
      </w:r>
      <w:r w:rsidR="00D67EB8" w:rsidRPr="009118AB">
        <w:t>Nr. </w:t>
      </w:r>
      <w:r w:rsidRPr="009118AB">
        <w:t xml:space="preserve">1 erwähnten beruflichen Tätigkeit des Steuerpflichtigen und den Betrag dieser Schäden begrenzt ist, die von der Region in den Grenzen des Artikels 25 der Verordnung (EU) </w:t>
      </w:r>
      <w:r w:rsidR="00D67EB8" w:rsidRPr="009118AB">
        <w:t>Nr. </w:t>
      </w:r>
      <w:r w:rsidRPr="009118AB">
        <w:t>702/2014 der Kommission vom 25. Ju</w:t>
      </w:r>
      <w:r w:rsidRPr="009118AB">
        <w:softHyphen/>
        <w:t>ni 2004 zur Feststellung der Vereinbarkeit bestimmter Arten von Beihilfen im Agrar- und Forstsektor und in ländlichen Gebieten mit dem Binnenmarkt in Anwendung der Artikel 107 und 108 des Vertrags über die Arbeitsweise der Europäischen Union im Besteuerungszeitraum definitiv festgestellt worden sind. Der König kann nach Konsultierung der Interministeriellen Konferenz "Agrarpolitik" den Zeitpunkt näher bestimmen, zu dem die Schäden definitiv fest</w:t>
      </w:r>
      <w:r w:rsidRPr="009118AB">
        <w:softHyphen/>
        <w:t>gestellt sind.</w:t>
      </w:r>
    </w:p>
    <w:p w14:paraId="7A2E8A3A" w14:textId="77777777" w:rsidR="003D5A67" w:rsidRPr="009118AB" w:rsidRDefault="003D5A67" w:rsidP="003D5A67">
      <w:pPr>
        <w:jc w:val="both"/>
      </w:pPr>
    </w:p>
    <w:p w14:paraId="6679C5C9" w14:textId="5885A1A0" w:rsidR="003D5A67" w:rsidRPr="009118AB" w:rsidRDefault="003D5A67" w:rsidP="003D5A67">
      <w:pPr>
        <w:jc w:val="both"/>
      </w:pPr>
      <w:r w:rsidRPr="009118AB">
        <w:tab/>
        <w:t xml:space="preserve">Der in Absatz 1 beschriebene rückwirkende Verlustabzug ist nur anwendbar, wenn die in Absatz 1 erwähnten Schäden auf dem Gebiet einer Region erlitten worden sind, die auf der Grundlage von Artikel 8 des Zusammenarbeitsabkommens vom 18. Juni 2003 zwischen dem Föderalstaat, der Flämischen Region, der Wallonischen Region und der Region Brüssel-Hauptstadt in Bezug auf die Ausübung der regionalisierten Zuständigkeiten im Bereich Landwirtschaft und Fischerei ein im </w:t>
      </w:r>
      <w:r w:rsidRPr="009118AB">
        <w:rPr>
          <w:i/>
        </w:rPr>
        <w:t>Belgischen Staatsblatt</w:t>
      </w:r>
      <w:r w:rsidRPr="009118AB">
        <w:t xml:space="preserve"> veröffentlichtes Protokoll mit der Föderalbehörde geschlossen hat, das auf den Austausch von Informationen abzielt, die für die gemeinsame Einhaltung der in Artikel 8 der vorerwähnten Verordnung (EU) </w:t>
      </w:r>
      <w:r w:rsidR="00D67EB8" w:rsidRPr="009118AB">
        <w:t>Nr. </w:t>
      </w:r>
      <w:r w:rsidRPr="009118AB">
        <w:t>702/2014 erwähnten Kumulierungsregeln erforderlich sind.</w:t>
      </w:r>
    </w:p>
    <w:p w14:paraId="68A58D74" w14:textId="77777777" w:rsidR="003D5A67" w:rsidRPr="009118AB" w:rsidRDefault="003D5A67" w:rsidP="003D5A67">
      <w:pPr>
        <w:jc w:val="both"/>
      </w:pPr>
    </w:p>
    <w:p w14:paraId="32308863" w14:textId="77777777" w:rsidR="003D5A67" w:rsidRPr="009118AB" w:rsidRDefault="003D5A67" w:rsidP="003D5A67">
      <w:pPr>
        <w:jc w:val="both"/>
      </w:pPr>
      <w:r w:rsidRPr="009118AB">
        <w:tab/>
        <w:t>Vorliegender Paragraph ist nur anwendbar, wenn der Steuerpflichtige:</w:t>
      </w:r>
    </w:p>
    <w:p w14:paraId="0AED115D" w14:textId="77777777" w:rsidR="003D5A67" w:rsidRPr="009118AB" w:rsidRDefault="003D5A67" w:rsidP="003D5A67">
      <w:pPr>
        <w:jc w:val="both"/>
      </w:pPr>
    </w:p>
    <w:p w14:paraId="43BFD6A1" w14:textId="77777777" w:rsidR="003D5A67" w:rsidRPr="009118AB" w:rsidRDefault="003D5A67" w:rsidP="003D5A67">
      <w:pPr>
        <w:jc w:val="both"/>
      </w:pPr>
      <w:r w:rsidRPr="009118AB">
        <w:tab/>
        <w:t>- ein mittleres Unternehmen ist und</w:t>
      </w:r>
    </w:p>
    <w:p w14:paraId="3199C105" w14:textId="77777777" w:rsidR="003D5A67" w:rsidRPr="009118AB" w:rsidRDefault="003D5A67" w:rsidP="003D5A67">
      <w:pPr>
        <w:jc w:val="both"/>
      </w:pPr>
    </w:p>
    <w:p w14:paraId="728EB12F" w14:textId="77777777" w:rsidR="003D5A67" w:rsidRPr="009118AB" w:rsidRDefault="003D5A67" w:rsidP="003D5A67">
      <w:pPr>
        <w:jc w:val="both"/>
      </w:pPr>
      <w:r w:rsidRPr="009118AB">
        <w:tab/>
        <w:t>- ein Unternehmen betreibt, dessen Zweck die Erzeugung von in Anhang I des Vertrags über die Arbeitsweise der Europäischen Union aufgeführten landwirtschaftlichen Erzeugnissen ohne weitere Vorgänge ist, die die Beschaffenheit solcher Erzeugnisse verändern,</w:t>
      </w:r>
    </w:p>
    <w:p w14:paraId="67304624" w14:textId="77777777" w:rsidR="003D5A67" w:rsidRPr="009118AB" w:rsidRDefault="003D5A67" w:rsidP="003D5A67">
      <w:pPr>
        <w:jc w:val="both"/>
      </w:pPr>
    </w:p>
    <w:p w14:paraId="41FFCCD6" w14:textId="77777777" w:rsidR="003D5A67" w:rsidRPr="009118AB" w:rsidRDefault="003D5A67" w:rsidP="003D5A67">
      <w:pPr>
        <w:jc w:val="both"/>
      </w:pPr>
      <w:r w:rsidRPr="009118AB">
        <w:tab/>
        <w:t>- zu dem Zeitpunkt, zu dem die Schäden erlitten worden sind, kein Unternehmen in Schwierigkeiten war und</w:t>
      </w:r>
    </w:p>
    <w:p w14:paraId="0D620DF4" w14:textId="77777777" w:rsidR="003D5A67" w:rsidRPr="009118AB" w:rsidRDefault="003D5A67" w:rsidP="003D5A67">
      <w:pPr>
        <w:jc w:val="both"/>
      </w:pPr>
    </w:p>
    <w:p w14:paraId="05BE05D0" w14:textId="77777777" w:rsidR="003D5A67" w:rsidRPr="009118AB" w:rsidRDefault="003D5A67" w:rsidP="003D5A67">
      <w:pPr>
        <w:jc w:val="both"/>
      </w:pPr>
      <w:r w:rsidRPr="009118AB">
        <w:lastRenderedPageBreak/>
        <w:tab/>
        <w:t>- keiner Rückforderungsanordnung infolge eines Beschlusses der Kommission zur Feststellung der Unzulässigkeit einer von Belgien gewährten Beihilfe und ihrer Unverein</w:t>
      </w:r>
      <w:r w:rsidRPr="009118AB">
        <w:softHyphen/>
        <w:t>barkeit mit dem Binnenmarkt Folge geleistet hat.</w:t>
      </w:r>
    </w:p>
    <w:p w14:paraId="65F1AA91" w14:textId="77777777" w:rsidR="003D5A67" w:rsidRPr="009118AB" w:rsidRDefault="003D5A67" w:rsidP="003D5A67">
      <w:pPr>
        <w:jc w:val="both"/>
      </w:pPr>
    </w:p>
    <w:p w14:paraId="03296AC0" w14:textId="79E8F2DE" w:rsidR="003D5A67" w:rsidRPr="009118AB" w:rsidRDefault="003D5A67" w:rsidP="003D5A67">
      <w:pPr>
        <w:jc w:val="both"/>
      </w:pPr>
      <w:r w:rsidRPr="009118AB">
        <w:tab/>
        <w:t xml:space="preserve">Für die Anwendung des vorliegenden Paragraphen und von Artikel 206 </w:t>
      </w:r>
      <w:r w:rsidR="00D67EB8" w:rsidRPr="009118AB">
        <w:t>§ </w:t>
      </w:r>
      <w:r w:rsidRPr="009118AB">
        <w:t xml:space="preserve">4 versteht man unter schlechten Witterungsbedingungen Naturkatastrophen gleichzusetzende widrige Witterungsverhältnisse wie in Artikel 2 </w:t>
      </w:r>
      <w:r w:rsidR="00D67EB8" w:rsidRPr="009118AB">
        <w:t>Nr. </w:t>
      </w:r>
      <w:r w:rsidRPr="009118AB">
        <w:t xml:space="preserve">16 der vorerwähnten Verordnung (EU) </w:t>
      </w:r>
      <w:r w:rsidR="00D67EB8" w:rsidRPr="009118AB">
        <w:t>Nr. </w:t>
      </w:r>
      <w:r w:rsidRPr="009118AB">
        <w:t xml:space="preserve">702/2014 erwähnt, die von einer Region ausdrücklich als Naturkatastrophe anerkannt werden und für die diese Anerkennung im </w:t>
      </w:r>
      <w:r w:rsidRPr="009118AB">
        <w:rPr>
          <w:i/>
        </w:rPr>
        <w:t>Belgischen Staatsblatt</w:t>
      </w:r>
      <w:r w:rsidRPr="009118AB">
        <w:t xml:space="preserve"> veröffentlicht wird.</w:t>
      </w:r>
      <w:r w:rsidR="00236038" w:rsidRPr="009118AB">
        <w:t xml:space="preserve"> [Naturkatastrophen wie in Artikel 2 Nr. 9 derselben Verordnung bestimmt gelten für die Anwendung des vorliegenden Paragraphen und von Artikel 206 § 4 jedoch nicht als schlechte Witterungsbedingungen.]</w:t>
      </w:r>
    </w:p>
    <w:p w14:paraId="66F0F4B4" w14:textId="77777777" w:rsidR="003D5A67" w:rsidRPr="009118AB" w:rsidRDefault="003D5A67" w:rsidP="003D5A67">
      <w:pPr>
        <w:jc w:val="both"/>
      </w:pPr>
    </w:p>
    <w:p w14:paraId="44E89CFF" w14:textId="5B025636" w:rsidR="003D5A67" w:rsidRPr="009118AB" w:rsidRDefault="003D5A67" w:rsidP="003D5A67">
      <w:pPr>
        <w:jc w:val="both"/>
      </w:pPr>
      <w:r w:rsidRPr="009118AB">
        <w:tab/>
        <w:t xml:space="preserve">Berufliche Verluste, für die die Anwendung des rückwirkenden Verlustabzugs beantragt wird, werden nach Abzug der beruflichen Verluste von vorherigen Besteuerungszeiträumen in Anwendung von </w:t>
      </w:r>
      <w:r w:rsidR="00D67EB8" w:rsidRPr="009118AB">
        <w:t>§ </w:t>
      </w:r>
      <w:r w:rsidRPr="009118AB">
        <w:t>1 abgezogen.</w:t>
      </w:r>
    </w:p>
    <w:p w14:paraId="2ADBB9EE" w14:textId="77777777" w:rsidR="003D5A67" w:rsidRPr="009118AB" w:rsidRDefault="003D5A67" w:rsidP="003D5A67">
      <w:pPr>
        <w:jc w:val="both"/>
      </w:pPr>
    </w:p>
    <w:p w14:paraId="4A78AA64" w14:textId="7DFCAC0C" w:rsidR="003D5A67" w:rsidRPr="009118AB" w:rsidRDefault="003D5A67" w:rsidP="003D5A67">
      <w:pPr>
        <w:autoSpaceDE w:val="0"/>
        <w:autoSpaceDN w:val="0"/>
        <w:adjustRightInd w:val="0"/>
        <w:jc w:val="both"/>
      </w:pPr>
      <w:r w:rsidRPr="009118AB">
        <w:tab/>
      </w:r>
      <w:r w:rsidR="007D784C" w:rsidRPr="009118AB">
        <w:t>[Der Steuerpflichtige beantragt die Anwendung des rückwirkenden Verlustabzugs anhand eines Formulars, dessen Muster vom König festgelegt wird und das für festgelegte Veranlagungen wirksam wird, die sich auf die drei Besteuerungszeiträume beziehen, die dem Besteuerungszeitraum vorangehen, in dem die in Absatz 1 erwähnten Schäden definitiv festgestellt worden sind. Dieser Antrag ist endgültig und unwiderruflich. Der König bestimmt die Modalitäten für die Einreichung dieses Formulars.]</w:t>
      </w:r>
      <w:r w:rsidRPr="009118AB">
        <w:t>]</w:t>
      </w:r>
    </w:p>
    <w:p w14:paraId="122D8A62" w14:textId="77777777" w:rsidR="003D5A67" w:rsidRPr="009118AB" w:rsidRDefault="003D5A67" w:rsidP="003D5A67">
      <w:pPr>
        <w:autoSpaceDE w:val="0"/>
        <w:autoSpaceDN w:val="0"/>
        <w:adjustRightInd w:val="0"/>
        <w:jc w:val="both"/>
      </w:pPr>
    </w:p>
    <w:p w14:paraId="78229316" w14:textId="5C9A91E4" w:rsidR="003D5A67" w:rsidRPr="009118AB" w:rsidRDefault="003D5A67" w:rsidP="003D5A67">
      <w:pPr>
        <w:autoSpaceDE w:val="0"/>
        <w:autoSpaceDN w:val="0"/>
        <w:adjustRightInd w:val="0"/>
        <w:jc w:val="both"/>
        <w:rPr>
          <w:i/>
          <w:iCs/>
          <w:spacing w:val="-2"/>
        </w:rPr>
      </w:pPr>
      <w:r w:rsidRPr="009118AB">
        <w:rPr>
          <w:i/>
          <w:iCs/>
        </w:rPr>
        <w:t>[</w:t>
      </w:r>
      <w:r w:rsidR="00D67EB8" w:rsidRPr="009118AB">
        <w:rPr>
          <w:i/>
          <w:iCs/>
        </w:rPr>
        <w:t>Art. </w:t>
      </w:r>
      <w:r w:rsidRPr="009118AB">
        <w:rPr>
          <w:i/>
          <w:iCs/>
        </w:rPr>
        <w:t xml:space="preserve">78 </w:t>
      </w:r>
      <w:r w:rsidR="00D67EB8" w:rsidRPr="009118AB">
        <w:rPr>
          <w:i/>
          <w:iCs/>
        </w:rPr>
        <w:t>§ </w:t>
      </w:r>
      <w:r w:rsidRPr="009118AB">
        <w:rPr>
          <w:i/>
          <w:iCs/>
        </w:rPr>
        <w:t xml:space="preserve">1 (früherer einziger Absatz) nummeriert und </w:t>
      </w:r>
      <w:r w:rsidR="00D67EB8" w:rsidRPr="009118AB">
        <w:rPr>
          <w:i/>
          <w:iCs/>
        </w:rPr>
        <w:t>§ </w:t>
      </w:r>
      <w:r w:rsidRPr="009118AB">
        <w:rPr>
          <w:i/>
          <w:iCs/>
        </w:rPr>
        <w:t xml:space="preserve">2 eingefügt durch </w:t>
      </w:r>
      <w:r w:rsidR="00D67EB8" w:rsidRPr="009118AB">
        <w:rPr>
          <w:i/>
          <w:iCs/>
        </w:rPr>
        <w:t>Art. </w:t>
      </w:r>
      <w:r w:rsidRPr="009118AB">
        <w:rPr>
          <w:i/>
          <w:iCs/>
        </w:rPr>
        <w:t>86</w:t>
      </w:r>
      <w:r w:rsidRPr="009118AB">
        <w:rPr>
          <w:i/>
          <w:iCs/>
          <w:spacing w:val="-2"/>
        </w:rPr>
        <w:t xml:space="preserve"> des G. vom 11. Februar 2019 (B.S. vom 22. März 2020)</w:t>
      </w:r>
      <w:r w:rsidR="00D67EB8" w:rsidRPr="009118AB">
        <w:rPr>
          <w:i/>
          <w:iCs/>
          <w:spacing w:val="-2"/>
        </w:rPr>
        <w:t> - </w:t>
      </w:r>
      <w:r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7D784C" w:rsidRPr="009118AB">
        <w:rPr>
          <w:i/>
          <w:iCs/>
          <w:spacing w:val="-2"/>
        </w:rPr>
        <w:t xml:space="preserve"> </w:t>
      </w:r>
      <w:r w:rsidR="00236038" w:rsidRPr="009118AB">
        <w:rPr>
          <w:i/>
          <w:iCs/>
          <w:spacing w:val="-2"/>
        </w:rPr>
        <w:t>§ 2 Abs. 5 abgeändert durch Art.</w:t>
      </w:r>
      <w:r w:rsidR="00634A86" w:rsidRPr="009118AB">
        <w:rPr>
          <w:i/>
          <w:iCs/>
          <w:spacing w:val="-2"/>
        </w:rPr>
        <w:t xml:space="preserve"> 8 des G. vom 26. Dezember 2022 (II) (B.S. vom 13. Januar 2023) - anwendbar auf Naturkatastrophen, die sich ab dem 1. Juli 2021 ereignet haben -; </w:t>
      </w:r>
      <w:r w:rsidR="00D67EB8" w:rsidRPr="009118AB">
        <w:rPr>
          <w:i/>
          <w:iCs/>
          <w:spacing w:val="-2"/>
        </w:rPr>
        <w:t>§ </w:t>
      </w:r>
      <w:r w:rsidR="007D784C" w:rsidRPr="009118AB">
        <w:rPr>
          <w:i/>
          <w:iCs/>
          <w:spacing w:val="-2"/>
        </w:rPr>
        <w:t xml:space="preserve">2 </w:t>
      </w:r>
      <w:r w:rsidR="00D67EB8" w:rsidRPr="009118AB">
        <w:rPr>
          <w:i/>
          <w:iCs/>
          <w:spacing w:val="-2"/>
        </w:rPr>
        <w:t>Abs. </w:t>
      </w:r>
      <w:r w:rsidR="007D784C" w:rsidRPr="009118AB">
        <w:rPr>
          <w:i/>
          <w:iCs/>
          <w:spacing w:val="-2"/>
        </w:rPr>
        <w:t xml:space="preserve">7 ersetzt durch </w:t>
      </w:r>
      <w:r w:rsidR="00D67EB8" w:rsidRPr="009118AB">
        <w:rPr>
          <w:i/>
          <w:iCs/>
          <w:spacing w:val="-2"/>
        </w:rPr>
        <w:t>Art. </w:t>
      </w:r>
      <w:r w:rsidR="007D784C" w:rsidRPr="009118AB">
        <w:rPr>
          <w:i/>
          <w:iCs/>
          <w:spacing w:val="-2"/>
        </w:rPr>
        <w:t>29</w:t>
      </w:r>
      <w:r w:rsidR="007D784C" w:rsidRPr="009118AB">
        <w:rPr>
          <w:i/>
        </w:rPr>
        <w:t xml:space="preserve"> des G. vom 27. Juni 2021 (B.S. vom 30. Juni 2021)</w:t>
      </w:r>
      <w:r w:rsidR="00D67EB8" w:rsidRPr="009118AB">
        <w:rPr>
          <w:i/>
        </w:rPr>
        <w:t> - </w:t>
      </w:r>
      <w:r w:rsidR="007D784C" w:rsidRPr="009118AB">
        <w:rPr>
          <w:i/>
        </w:rPr>
        <w:t>anwendbar ab dem Steuerjahr 2022</w:t>
      </w:r>
      <w:r w:rsidR="00FD68E8" w:rsidRPr="009118AB">
        <w:rPr>
          <w:i/>
        </w:rPr>
        <w:t> -]</w:t>
      </w:r>
    </w:p>
    <w:p w14:paraId="6171A9C0" w14:textId="77777777" w:rsidR="003D5A67" w:rsidRPr="009118AB" w:rsidRDefault="003D5A67" w:rsidP="003D5A67">
      <w:pPr>
        <w:autoSpaceDE w:val="0"/>
        <w:autoSpaceDN w:val="0"/>
        <w:adjustRightInd w:val="0"/>
        <w:jc w:val="both"/>
        <w:rPr>
          <w:i/>
          <w:iCs/>
        </w:rPr>
      </w:pPr>
    </w:p>
    <w:p w14:paraId="608A2734" w14:textId="77777777" w:rsidR="00477B8F" w:rsidRPr="009118AB" w:rsidRDefault="00477B8F" w:rsidP="00510FB2">
      <w:pPr>
        <w:autoSpaceDE w:val="0"/>
        <w:autoSpaceDN w:val="0"/>
        <w:adjustRightInd w:val="0"/>
        <w:jc w:val="both"/>
      </w:pPr>
    </w:p>
    <w:p w14:paraId="2F0EEAC8" w14:textId="62AA8485" w:rsidR="00477B8F" w:rsidRPr="009118AB" w:rsidRDefault="00477B8F" w:rsidP="00510FB2">
      <w:pPr>
        <w:autoSpaceDE w:val="0"/>
        <w:autoSpaceDN w:val="0"/>
        <w:adjustRightInd w:val="0"/>
        <w:jc w:val="both"/>
      </w:pPr>
      <w:r w:rsidRPr="009118AB">
        <w:tab/>
      </w:r>
      <w:r w:rsidR="00D67EB8" w:rsidRPr="009118AB">
        <w:rPr>
          <w:b/>
          <w:bCs/>
        </w:rPr>
        <w:t>Art. </w:t>
      </w:r>
      <w:r w:rsidRPr="009118AB">
        <w:rPr>
          <w:b/>
          <w:bCs/>
        </w:rPr>
        <w:t>79</w:t>
      </w:r>
      <w:r w:rsidR="00D67EB8" w:rsidRPr="009118AB">
        <w:t> - </w:t>
      </w:r>
      <w:r w:rsidRPr="009118AB">
        <w:t>Berufliche Verluste können nicht von dem Teil der Gewinne oder Profite abgezogen werden, der aus ungewöhnlichen oder freiwilligen Vorteilen hervorgeht, die der Steuerpflichtige ungeachtet in welcher Form oder durch welches Mittel direkt oder indirekt von einem Unternehmen bezogen hat, dem gegenüber er sich direkt oder indirekt in einem Verhältnis gegenseitiger Abhängigkeit befindet.</w:t>
      </w:r>
    </w:p>
    <w:p w14:paraId="6A51BBEB" w14:textId="77777777" w:rsidR="00477B8F" w:rsidRPr="009118AB" w:rsidRDefault="00477B8F" w:rsidP="00510FB2">
      <w:pPr>
        <w:autoSpaceDE w:val="0"/>
        <w:autoSpaceDN w:val="0"/>
        <w:adjustRightInd w:val="0"/>
        <w:jc w:val="both"/>
      </w:pPr>
    </w:p>
    <w:p w14:paraId="5CA3083A" w14:textId="77777777" w:rsidR="00477B8F" w:rsidRPr="009118AB" w:rsidRDefault="00477B8F" w:rsidP="00510FB2">
      <w:pPr>
        <w:autoSpaceDE w:val="0"/>
        <w:autoSpaceDN w:val="0"/>
        <w:adjustRightInd w:val="0"/>
        <w:jc w:val="both"/>
      </w:pPr>
    </w:p>
    <w:p w14:paraId="757F7B73" w14:textId="2F148D42" w:rsidR="00477B8F" w:rsidRPr="009118AB" w:rsidRDefault="00477B8F" w:rsidP="00510FB2">
      <w:pPr>
        <w:autoSpaceDE w:val="0"/>
        <w:autoSpaceDN w:val="0"/>
        <w:adjustRightInd w:val="0"/>
        <w:jc w:val="both"/>
      </w:pPr>
      <w:r w:rsidRPr="009118AB">
        <w:tab/>
      </w:r>
      <w:r w:rsidR="00D67EB8" w:rsidRPr="009118AB">
        <w:rPr>
          <w:b/>
          <w:bCs/>
        </w:rPr>
        <w:t>Art. </w:t>
      </w:r>
      <w:r w:rsidRPr="009118AB">
        <w:rPr>
          <w:b/>
          <w:bCs/>
        </w:rPr>
        <w:t>80</w:t>
      </w:r>
      <w:r w:rsidR="00D67EB8" w:rsidRPr="009118AB">
        <w:t> - </w:t>
      </w:r>
      <w:r w:rsidRPr="009118AB">
        <w:t xml:space="preserve">Berufliche Verluste der in Artikel 29 erwähnten </w:t>
      </w:r>
      <w:r w:rsidR="0038694D" w:rsidRPr="009118AB">
        <w:t>[</w:t>
      </w:r>
      <w:r w:rsidRPr="009118AB">
        <w:t>Gesellschaften</w:t>
      </w:r>
      <w:r w:rsidR="0038694D" w:rsidRPr="009118AB">
        <w:t>]</w:t>
      </w:r>
      <w:r w:rsidRPr="009118AB">
        <w:t xml:space="preserve"> und Vereinigungen ohne Rechtspersönlichkeit ausschließlich der europäischen wirtschaftlichen Interessenvereinigungen und </w:t>
      </w:r>
      <w:r w:rsidR="0038694D" w:rsidRPr="009118AB">
        <w:t xml:space="preserve">[der in Artikel 29 </w:t>
      </w:r>
      <w:r w:rsidR="00D67EB8" w:rsidRPr="009118AB">
        <w:t>§ </w:t>
      </w:r>
      <w:r w:rsidR="0038694D" w:rsidRPr="009118AB">
        <w:t xml:space="preserve">2 </w:t>
      </w:r>
      <w:r w:rsidR="00D67EB8" w:rsidRPr="009118AB">
        <w:t>Nr. </w:t>
      </w:r>
      <w:r w:rsidR="0038694D" w:rsidRPr="009118AB">
        <w:t>4 erwähnten offenen Handelsgesellschaften]</w:t>
      </w:r>
      <w:r w:rsidRPr="009118AB">
        <w:t xml:space="preserve"> können nicht von den Berufseinkünften der Gesellschafter oder Mitglieder dieser Gesellschaften und Vereinigungen abgezogen werden, außer sofern und in dem Maße, wie diese Gesellschafter oder Mitglieder Gewinne oder Profite beziehen und die darauf anzurechnenden beruflichen Verluste aus einer Berufstätigkeit selber Art hervorgehen[, oder außer sofern diese Gesellschafter oder Mitglieder nachweisen, dass die beruflichen </w:t>
      </w:r>
      <w:r w:rsidRPr="009118AB">
        <w:lastRenderedPageBreak/>
        <w:t>Verluste aus Verrichtungen hervorgehen, die rechtmäßigen finanziellen oder wirtschaftlichen Bedürfnissen entsprechen].</w:t>
      </w:r>
    </w:p>
    <w:p w14:paraId="36AFD793" w14:textId="77777777" w:rsidR="00477B8F" w:rsidRPr="009118AB" w:rsidRDefault="00477B8F" w:rsidP="00510FB2">
      <w:pPr>
        <w:autoSpaceDE w:val="0"/>
        <w:autoSpaceDN w:val="0"/>
        <w:adjustRightInd w:val="0"/>
        <w:jc w:val="both"/>
      </w:pPr>
    </w:p>
    <w:p w14:paraId="12EDF25B" w14:textId="7672F2B2" w:rsidR="00477B8F" w:rsidRPr="009118AB" w:rsidRDefault="00477B8F" w:rsidP="00510FB2">
      <w:pPr>
        <w:autoSpaceDE w:val="0"/>
        <w:autoSpaceDN w:val="0"/>
        <w:adjustRightInd w:val="0"/>
        <w:jc w:val="both"/>
      </w:pPr>
      <w:r w:rsidRPr="009118AB">
        <w:rPr>
          <w:i/>
          <w:iCs/>
        </w:rPr>
        <w:t>[</w:t>
      </w:r>
      <w:r w:rsidR="00D67EB8" w:rsidRPr="009118AB">
        <w:rPr>
          <w:i/>
          <w:iCs/>
        </w:rPr>
        <w:t>Art. </w:t>
      </w:r>
      <w:r w:rsidRPr="009118AB">
        <w:rPr>
          <w:i/>
          <w:iCs/>
        </w:rPr>
        <w:t xml:space="preserve">80 </w:t>
      </w:r>
      <w:r w:rsidR="0038694D" w:rsidRPr="009118AB">
        <w:rPr>
          <w:i/>
          <w:iCs/>
        </w:rPr>
        <w:t>abgeändert</w:t>
      </w:r>
      <w:r w:rsidRPr="009118AB">
        <w:rPr>
          <w:i/>
          <w:iCs/>
        </w:rPr>
        <w:t xml:space="preserve"> durch </w:t>
      </w:r>
      <w:r w:rsidR="00D67EB8" w:rsidRPr="009118AB">
        <w:rPr>
          <w:i/>
          <w:iCs/>
        </w:rPr>
        <w:t>Art. </w:t>
      </w:r>
      <w:r w:rsidRPr="009118AB">
        <w:rPr>
          <w:i/>
          <w:iCs/>
        </w:rPr>
        <w:t>6 des G. vom 4. Mai 1999 (II) (B.S. vom 12. Juni 1999)</w:t>
      </w:r>
      <w:r w:rsidR="00D67EB8" w:rsidRPr="009118AB">
        <w:rPr>
          <w:i/>
          <w:iCs/>
        </w:rPr>
        <w:t> - </w:t>
      </w:r>
      <w:r w:rsidRPr="009118AB">
        <w:rPr>
          <w:i/>
          <w:iCs/>
        </w:rPr>
        <w:t>in Kraft ab dem Steuerjahr 1999</w:t>
      </w:r>
      <w:r w:rsidR="00D67EB8" w:rsidRPr="009118AB">
        <w:rPr>
          <w:i/>
          <w:iCs/>
        </w:rPr>
        <w:t> - </w:t>
      </w:r>
      <w:r w:rsidR="0038694D" w:rsidRPr="009118AB">
        <w:rPr>
          <w:i/>
          <w:iCs/>
        </w:rPr>
        <w:t xml:space="preserve">und </w:t>
      </w:r>
      <w:r w:rsidR="00D67EB8" w:rsidRPr="009118AB">
        <w:rPr>
          <w:i/>
          <w:iCs/>
        </w:rPr>
        <w:t>Art. </w:t>
      </w:r>
      <w:r w:rsidR="0038694D" w:rsidRPr="009118AB">
        <w:rPr>
          <w:i/>
          <w:iCs/>
        </w:rPr>
        <w:t xml:space="preserve">14 </w:t>
      </w:r>
      <w:r w:rsidR="00D67EB8" w:rsidRPr="009118AB">
        <w:rPr>
          <w:i/>
          <w:iCs/>
        </w:rPr>
        <w:t>Nr. </w:t>
      </w:r>
      <w:r w:rsidR="0038694D" w:rsidRPr="009118AB">
        <w:rPr>
          <w:i/>
          <w:iCs/>
        </w:rPr>
        <w:t>1 und 2</w:t>
      </w:r>
      <w:r w:rsidR="0038694D" w:rsidRPr="009118AB">
        <w:rPr>
          <w:i/>
          <w:iCs/>
          <w:spacing w:val="-2"/>
        </w:rPr>
        <w:t xml:space="preserve"> des G. vom 17. März 2019 (III) (B.S. vom 10. Mai 2019)</w:t>
      </w:r>
      <w:r w:rsidR="00D67EB8" w:rsidRPr="009118AB">
        <w:rPr>
          <w:i/>
          <w:iCs/>
          <w:spacing w:val="-2"/>
        </w:rPr>
        <w:t> - </w:t>
      </w:r>
      <w:r w:rsidR="0038694D" w:rsidRPr="009118AB">
        <w:rPr>
          <w:i/>
          <w:iCs/>
          <w:spacing w:val="-2"/>
        </w:rPr>
        <w:t>in Kraft am 1. Mai 2019</w:t>
      </w:r>
      <w:r w:rsidR="00FD68E8" w:rsidRPr="009118AB">
        <w:rPr>
          <w:i/>
          <w:iCs/>
          <w:spacing w:val="-2"/>
        </w:rPr>
        <w:t> -]</w:t>
      </w:r>
    </w:p>
    <w:p w14:paraId="4D773944" w14:textId="77777777" w:rsidR="00477B8F" w:rsidRPr="009118AB" w:rsidRDefault="004012F8" w:rsidP="00510FB2">
      <w:pPr>
        <w:autoSpaceDE w:val="0"/>
        <w:autoSpaceDN w:val="0"/>
        <w:adjustRightInd w:val="0"/>
        <w:jc w:val="both"/>
      </w:pPr>
      <w:r w:rsidRPr="009118AB">
        <w:br w:type="page"/>
      </w:r>
      <w:r w:rsidR="00477B8F" w:rsidRPr="009118AB">
        <w:lastRenderedPageBreak/>
        <w:tab/>
        <w:t>[</w:t>
      </w:r>
      <w:r w:rsidR="00477B8F" w:rsidRPr="009118AB">
        <w:rPr>
          <w:i/>
          <w:iCs/>
        </w:rPr>
        <w:t>D.</w:t>
      </w:r>
      <w:r w:rsidR="00477B8F" w:rsidRPr="009118AB">
        <w:t xml:space="preserve"> [...]</w:t>
      </w:r>
    </w:p>
    <w:p w14:paraId="71DCC5FC" w14:textId="77777777" w:rsidR="00477B8F" w:rsidRPr="009118AB" w:rsidRDefault="00477B8F" w:rsidP="00510FB2">
      <w:pPr>
        <w:autoSpaceDE w:val="0"/>
        <w:autoSpaceDN w:val="0"/>
        <w:adjustRightInd w:val="0"/>
        <w:jc w:val="both"/>
      </w:pPr>
    </w:p>
    <w:p w14:paraId="3DA43E0C" w14:textId="486E045C" w:rsidR="00477B8F" w:rsidRPr="009118AB" w:rsidRDefault="00477B8F" w:rsidP="00510FB2">
      <w:pPr>
        <w:autoSpaceDE w:val="0"/>
        <w:autoSpaceDN w:val="0"/>
        <w:adjustRightInd w:val="0"/>
        <w:jc w:val="both"/>
      </w:pPr>
      <w:r w:rsidRPr="009118AB">
        <w:rPr>
          <w:i/>
          <w:iCs/>
        </w:rPr>
        <w:t>[Unt</w:t>
      </w:r>
      <w:r w:rsidR="00491954" w:rsidRPr="009118AB">
        <w:rPr>
          <w:i/>
          <w:iCs/>
        </w:rPr>
        <w:t xml:space="preserve">erteilung D mit den Artikeln 81 </w:t>
      </w:r>
      <w:r w:rsidRPr="009118AB">
        <w:rPr>
          <w:i/>
          <w:iCs/>
        </w:rPr>
        <w:t xml:space="preserve">bis 85 aufgehoben durch </w:t>
      </w:r>
      <w:r w:rsidR="00D67EB8" w:rsidRPr="009118AB">
        <w:rPr>
          <w:i/>
          <w:iCs/>
        </w:rPr>
        <w:t>Art. </w:t>
      </w:r>
      <w:r w:rsidRPr="009118AB">
        <w:rPr>
          <w:i/>
          <w:iCs/>
        </w:rPr>
        <w:t>80 des G. vom 28. Dezember 1992 (B.S. vom 31. Dezember 1992)</w:t>
      </w:r>
      <w:r w:rsidR="00D67EB8" w:rsidRPr="009118AB">
        <w:rPr>
          <w:i/>
          <w:iCs/>
        </w:rPr>
        <w:t> - </w:t>
      </w:r>
      <w:r w:rsidRPr="009118AB">
        <w:rPr>
          <w:i/>
          <w:iCs/>
        </w:rPr>
        <w:t>anwendbar ab dem Steuerjahr 1993</w:t>
      </w:r>
      <w:r w:rsidR="00FD68E8" w:rsidRPr="009118AB">
        <w:rPr>
          <w:i/>
          <w:iCs/>
        </w:rPr>
        <w:t> -]</w:t>
      </w:r>
    </w:p>
    <w:p w14:paraId="60ED229B" w14:textId="77777777" w:rsidR="00477B8F" w:rsidRPr="009118AB" w:rsidRDefault="00477B8F" w:rsidP="00510FB2">
      <w:pPr>
        <w:autoSpaceDE w:val="0"/>
        <w:autoSpaceDN w:val="0"/>
        <w:adjustRightInd w:val="0"/>
        <w:jc w:val="both"/>
      </w:pPr>
    </w:p>
    <w:p w14:paraId="045582C2" w14:textId="77777777" w:rsidR="00477B8F" w:rsidRPr="009118AB" w:rsidRDefault="00477B8F" w:rsidP="00510FB2">
      <w:pPr>
        <w:autoSpaceDE w:val="0"/>
        <w:autoSpaceDN w:val="0"/>
        <w:adjustRightInd w:val="0"/>
        <w:jc w:val="both"/>
      </w:pPr>
    </w:p>
    <w:p w14:paraId="5F85F5E9" w14:textId="2DB3C2E6" w:rsidR="00477B8F" w:rsidRPr="009118AB" w:rsidRDefault="00477B8F" w:rsidP="00510FB2">
      <w:pPr>
        <w:autoSpaceDE w:val="0"/>
        <w:autoSpaceDN w:val="0"/>
        <w:adjustRightInd w:val="0"/>
        <w:jc w:val="both"/>
      </w:pPr>
      <w:r w:rsidRPr="009118AB">
        <w:tab/>
      </w:r>
      <w:r w:rsidR="00D67EB8" w:rsidRPr="009118AB">
        <w:rPr>
          <w:b/>
          <w:bCs/>
        </w:rPr>
        <w:t>Art. </w:t>
      </w:r>
      <w:r w:rsidRPr="009118AB">
        <w:rPr>
          <w:b/>
          <w:bCs/>
        </w:rPr>
        <w:t>81</w:t>
      </w:r>
      <w:r w:rsidR="00D67EB8" w:rsidRPr="009118AB">
        <w:rPr>
          <w:b/>
          <w:bCs/>
        </w:rPr>
        <w:t> - </w:t>
      </w:r>
      <w:r w:rsidRPr="009118AB">
        <w:rPr>
          <w:b/>
          <w:bCs/>
        </w:rPr>
        <w:t>85</w:t>
      </w:r>
      <w:r w:rsidR="00D67EB8" w:rsidRPr="009118AB">
        <w:t> - </w:t>
      </w:r>
      <w:r w:rsidRPr="009118AB">
        <w:t>[...]]</w:t>
      </w:r>
    </w:p>
    <w:p w14:paraId="3137D6A5" w14:textId="570BDABC" w:rsidR="00477B8F" w:rsidRPr="009118AB" w:rsidRDefault="00477B8F" w:rsidP="00477B8F">
      <w:pPr>
        <w:autoSpaceDE w:val="0"/>
        <w:autoSpaceDN w:val="0"/>
        <w:adjustRightInd w:val="0"/>
        <w:jc w:val="center"/>
      </w:pPr>
      <w:r w:rsidRPr="009118AB">
        <w:br w:type="page"/>
      </w:r>
      <w:r w:rsidRPr="009118AB">
        <w:lastRenderedPageBreak/>
        <w:t>Unterabschnitt </w:t>
      </w:r>
      <w:r w:rsidR="00AA609D" w:rsidRPr="009118AB">
        <w:t>4</w:t>
      </w:r>
      <w:r w:rsidR="00D67EB8" w:rsidRPr="009118AB">
        <w:t> - </w:t>
      </w:r>
      <w:r w:rsidRPr="009118AB">
        <w:t xml:space="preserve">Zuerkennung an und Anrechnung auf den Ehepartner eines Teils der Berufseinkünfte </w:t>
      </w:r>
    </w:p>
    <w:p w14:paraId="46323A1A" w14:textId="77777777" w:rsidR="00477B8F" w:rsidRPr="009118AB" w:rsidRDefault="00477B8F" w:rsidP="00477B8F">
      <w:pPr>
        <w:autoSpaceDE w:val="0"/>
        <w:autoSpaceDN w:val="0"/>
        <w:adjustRightInd w:val="0"/>
        <w:jc w:val="both"/>
      </w:pPr>
    </w:p>
    <w:p w14:paraId="0FEBE033" w14:textId="77777777" w:rsidR="00477B8F" w:rsidRPr="009118AB" w:rsidRDefault="00477B8F" w:rsidP="00477B8F">
      <w:pPr>
        <w:autoSpaceDE w:val="0"/>
        <w:autoSpaceDN w:val="0"/>
        <w:adjustRightInd w:val="0"/>
        <w:jc w:val="both"/>
      </w:pPr>
    </w:p>
    <w:p w14:paraId="6704B574" w14:textId="4EC14104"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86</w:t>
      </w:r>
      <w:r w:rsidR="00D67EB8" w:rsidRPr="009118AB">
        <w:t> - </w:t>
      </w:r>
      <w:r w:rsidRPr="009118AB">
        <w:t>[Wird eine gemeinsame Veranlagung zu Lasten von zwei Ehepartnern festgelegt, darf ein Anteil der Gewinne oder Profite aus der Berufstätigkeit eines der Ehepartner als Einkommen aus dieser Berufstätigkeit dem anderen nicht in Artikel 33 Absatz 1 erwähnten Ehepartner, der ihm tatsächlich bei der Ausübung dieser Berufstätigkeit hilft, zuerkannt werden, sofern der mithelfende Ehepartner während des Besteuerungszeitraums selbst keine Berufseinkünfte über 8.700 EUR aus einer anderen Berufstätigkeit bezogen hat.]</w:t>
      </w:r>
    </w:p>
    <w:p w14:paraId="3AB2146F" w14:textId="77777777" w:rsidR="00477B8F" w:rsidRPr="009118AB" w:rsidRDefault="00477B8F" w:rsidP="00477B8F">
      <w:pPr>
        <w:autoSpaceDE w:val="0"/>
        <w:autoSpaceDN w:val="0"/>
        <w:adjustRightInd w:val="0"/>
        <w:jc w:val="both"/>
      </w:pPr>
    </w:p>
    <w:p w14:paraId="5CC6B260" w14:textId="77777777" w:rsidR="00477B8F" w:rsidRPr="009118AB" w:rsidRDefault="00477B8F" w:rsidP="00477B8F">
      <w:pPr>
        <w:autoSpaceDE w:val="0"/>
        <w:autoSpaceDN w:val="0"/>
        <w:adjustRightInd w:val="0"/>
        <w:jc w:val="both"/>
      </w:pPr>
      <w:r w:rsidRPr="009118AB">
        <w:tab/>
        <w:t>Dieser Anteil muss der normalen Entlohnung der Leistungen des mithelfenden Ehepartners entsprechen, wobei er 30 Prozent der Einkünfte aus der Berufstätigkeit, die mit Hilfe des Ehepartners ausgeübt wird, nur übersteigen darf, wenn die Leistungen des mithelfenden Ehepartners offensichtlich Anspruch auf einen höheren Anteil begründen.</w:t>
      </w:r>
    </w:p>
    <w:p w14:paraId="4DB5F4BA" w14:textId="77777777" w:rsidR="00477B8F" w:rsidRPr="009118AB" w:rsidRDefault="00477B8F" w:rsidP="00477B8F">
      <w:pPr>
        <w:autoSpaceDE w:val="0"/>
        <w:autoSpaceDN w:val="0"/>
        <w:adjustRightInd w:val="0"/>
        <w:jc w:val="both"/>
      </w:pPr>
    </w:p>
    <w:p w14:paraId="587A53F8" w14:textId="7A6DE0F7"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86 </w:t>
      </w:r>
      <w:r w:rsidR="00D67EB8" w:rsidRPr="009118AB">
        <w:rPr>
          <w:i/>
          <w:iCs/>
        </w:rPr>
        <w:t>Abs. </w:t>
      </w:r>
      <w:r w:rsidRPr="009118AB">
        <w:rPr>
          <w:i/>
          <w:iCs/>
        </w:rPr>
        <w:t xml:space="preserve">1 ersetzt durch </w:t>
      </w:r>
      <w:r w:rsidR="00D67EB8" w:rsidRPr="009118AB">
        <w:rPr>
          <w:i/>
          <w:iCs/>
        </w:rPr>
        <w:t>Art. </w:t>
      </w:r>
      <w:r w:rsidRPr="009118AB">
        <w:rPr>
          <w:i/>
          <w:iCs/>
        </w:rPr>
        <w:t>10 des G. vom 10. August 2001 (B.S. vom 20. September 2001)</w:t>
      </w:r>
      <w:r w:rsidR="00D67EB8" w:rsidRPr="009118AB">
        <w:rPr>
          <w:i/>
          <w:iCs/>
        </w:rPr>
        <w:t> - </w:t>
      </w:r>
      <w:r w:rsidRPr="009118AB">
        <w:rPr>
          <w:i/>
          <w:iCs/>
        </w:rPr>
        <w:t>in Kraft ab dem Steuerjahr 2005</w:t>
      </w:r>
      <w:r w:rsidR="00FD68E8" w:rsidRPr="009118AB">
        <w:rPr>
          <w:i/>
          <w:iCs/>
        </w:rPr>
        <w:t> -,</w:t>
      </w:r>
      <w:r w:rsidRPr="009118AB">
        <w:rPr>
          <w:i/>
          <w:iCs/>
        </w:rPr>
        <w:t xml:space="preserve"> selbst abgeändert durch </w:t>
      </w:r>
      <w:r w:rsidR="00D67EB8" w:rsidRPr="009118AB">
        <w:rPr>
          <w:i/>
          <w:iCs/>
        </w:rPr>
        <w:t>Art. </w:t>
      </w:r>
      <w:r w:rsidRPr="009118AB">
        <w:rPr>
          <w:i/>
          <w:iCs/>
        </w:rPr>
        <w:t xml:space="preserve">34 des G. (I) vom 24. Dezember 2002 </w:t>
      </w:r>
      <w:r w:rsidR="00D86BCC" w:rsidRPr="009118AB">
        <w:rPr>
          <w:i/>
          <w:iCs/>
        </w:rPr>
        <w:t xml:space="preserve">(I) </w:t>
      </w:r>
      <w:r w:rsidRPr="009118AB">
        <w:rPr>
          <w:i/>
          <w:iCs/>
        </w:rPr>
        <w:t>(B.S. vom 31. Dezember 2002)</w:t>
      </w:r>
      <w:r w:rsidR="00D67EB8" w:rsidRPr="009118AB">
        <w:rPr>
          <w:i/>
          <w:iCs/>
        </w:rPr>
        <w:t> - </w:t>
      </w:r>
      <w:r w:rsidRPr="009118AB">
        <w:rPr>
          <w:i/>
          <w:iCs/>
        </w:rPr>
        <w:t>in Kraft ab dem Steuerjahr</w:t>
      </w:r>
      <w:r w:rsidR="00491954" w:rsidRPr="009118AB">
        <w:rPr>
          <w:i/>
          <w:iCs/>
        </w:rPr>
        <w:t> </w:t>
      </w:r>
      <w:r w:rsidRPr="009118AB">
        <w:rPr>
          <w:i/>
          <w:iCs/>
        </w:rPr>
        <w:t>2005</w:t>
      </w:r>
      <w:r w:rsidR="00FD68E8" w:rsidRPr="009118AB">
        <w:rPr>
          <w:i/>
          <w:iCs/>
        </w:rPr>
        <w:t> -]</w:t>
      </w:r>
    </w:p>
    <w:p w14:paraId="67F4271C" w14:textId="77777777" w:rsidR="00477B8F" w:rsidRPr="009118AB" w:rsidRDefault="00477B8F" w:rsidP="00477B8F">
      <w:pPr>
        <w:autoSpaceDE w:val="0"/>
        <w:autoSpaceDN w:val="0"/>
        <w:adjustRightInd w:val="0"/>
        <w:jc w:val="both"/>
      </w:pPr>
    </w:p>
    <w:p w14:paraId="1C8D4B18" w14:textId="77777777" w:rsidR="00477B8F" w:rsidRPr="009118AB" w:rsidRDefault="00477B8F" w:rsidP="00477B8F">
      <w:pPr>
        <w:autoSpaceDE w:val="0"/>
        <w:autoSpaceDN w:val="0"/>
        <w:adjustRightInd w:val="0"/>
        <w:jc w:val="both"/>
      </w:pPr>
    </w:p>
    <w:p w14:paraId="73869D19" w14:textId="5F40C2B0"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87</w:t>
      </w:r>
      <w:r w:rsidR="00D67EB8" w:rsidRPr="009118AB">
        <w:t> - </w:t>
      </w:r>
      <w:r w:rsidRPr="009118AB">
        <w:t xml:space="preserve">[Wird eine gemeinsame Veranlagung festgelegt und bezieht nur ein Ehepartner Berufseinkünfte, wird ein Anteil davon dem anderen Ehepartner angerechnet, </w:t>
      </w:r>
      <w:r w:rsidR="005E5DAE" w:rsidRPr="009118AB">
        <w:t xml:space="preserve">[außer wenn die Staatssteuer, erhöht um die Steuer in Bezug auf die in den Artikeln 17 </w:t>
      </w:r>
      <w:r w:rsidR="00D67EB8" w:rsidRPr="009118AB">
        <w:t>§ </w:t>
      </w:r>
      <w:r w:rsidR="005E5DAE" w:rsidRPr="009118AB">
        <w:t xml:space="preserve">1 </w:t>
      </w:r>
      <w:r w:rsidR="00D67EB8" w:rsidRPr="009118AB">
        <w:t>Nr. </w:t>
      </w:r>
      <w:r w:rsidR="005E5DAE" w:rsidRPr="009118AB">
        <w:t xml:space="preserve">1 bis 3 </w:t>
      </w:r>
      <w:r w:rsidR="00AC7087" w:rsidRPr="009118AB">
        <w:t xml:space="preserve">[und 90 Absatz 1 </w:t>
      </w:r>
      <w:r w:rsidR="00D67EB8" w:rsidRPr="009118AB">
        <w:t>Nr. </w:t>
      </w:r>
      <w:r w:rsidR="00AC7087" w:rsidRPr="009118AB">
        <w:t xml:space="preserve">6 und </w:t>
      </w:r>
      <w:r w:rsidR="00BB1751" w:rsidRPr="009118AB">
        <w:t>9</w:t>
      </w:r>
      <w:r w:rsidR="00AC7087" w:rsidRPr="009118AB">
        <w:t>]</w:t>
      </w:r>
      <w:r w:rsidR="005E5DAE" w:rsidRPr="009118AB">
        <w:t xml:space="preserve"> erwähnten Einkünfte und auf die aufgrund von </w:t>
      </w:r>
      <w:r w:rsidR="00AC7087" w:rsidRPr="009118AB">
        <w:t xml:space="preserve">[Artikel 90 Absatz 1 </w:t>
      </w:r>
      <w:r w:rsidR="00D67EB8" w:rsidRPr="009118AB">
        <w:t>Nr. </w:t>
      </w:r>
      <w:r w:rsidR="00AC7087" w:rsidRPr="009118AB">
        <w:t>1]</w:t>
      </w:r>
      <w:r w:rsidR="005E5DAE" w:rsidRPr="009118AB">
        <w:t xml:space="preserve"> steuerpflichtigen Mehrwerte auf Wertpapiere und Effekten, für beide Ehepartner zusammengenommen dadurch erhöht wird]</w:t>
      </w:r>
      <w:r w:rsidRPr="009118AB">
        <w:t>.]</w:t>
      </w:r>
    </w:p>
    <w:p w14:paraId="0E45CFEE" w14:textId="77777777" w:rsidR="00477B8F" w:rsidRPr="009118AB" w:rsidRDefault="00477B8F" w:rsidP="00477B8F">
      <w:pPr>
        <w:autoSpaceDE w:val="0"/>
        <w:autoSpaceDN w:val="0"/>
        <w:adjustRightInd w:val="0"/>
        <w:jc w:val="both"/>
      </w:pPr>
    </w:p>
    <w:p w14:paraId="27469D14" w14:textId="77777777" w:rsidR="00477B8F" w:rsidRPr="009118AB" w:rsidRDefault="00477B8F" w:rsidP="00477B8F">
      <w:pPr>
        <w:autoSpaceDE w:val="0"/>
        <w:autoSpaceDN w:val="0"/>
        <w:adjustRightInd w:val="0"/>
        <w:jc w:val="both"/>
      </w:pPr>
      <w:r w:rsidRPr="009118AB">
        <w:tab/>
        <w:t>Dieser Anteil entspricht 30 Prozent dieser Einkünfte, wobei er [6.700 EUR] nicht übersteigen darf.</w:t>
      </w:r>
    </w:p>
    <w:p w14:paraId="5B04C3E8" w14:textId="77777777" w:rsidR="00477B8F" w:rsidRPr="009118AB" w:rsidRDefault="00477B8F" w:rsidP="00477B8F">
      <w:pPr>
        <w:autoSpaceDE w:val="0"/>
        <w:autoSpaceDN w:val="0"/>
        <w:adjustRightInd w:val="0"/>
        <w:jc w:val="both"/>
      </w:pPr>
    </w:p>
    <w:p w14:paraId="60DC8B99" w14:textId="48F0E84C"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87 </w:t>
      </w:r>
      <w:r w:rsidR="00D67EB8" w:rsidRPr="009118AB">
        <w:rPr>
          <w:i/>
          <w:iCs/>
        </w:rPr>
        <w:t>Abs. </w:t>
      </w:r>
      <w:r w:rsidRPr="009118AB">
        <w:rPr>
          <w:i/>
          <w:iCs/>
        </w:rPr>
        <w:t xml:space="preserve">1 ersetzt durch </w:t>
      </w:r>
      <w:r w:rsidR="00D67EB8" w:rsidRPr="009118AB">
        <w:rPr>
          <w:i/>
          <w:iCs/>
        </w:rPr>
        <w:t>Art. </w:t>
      </w:r>
      <w:r w:rsidRPr="009118AB">
        <w:rPr>
          <w:i/>
          <w:iCs/>
        </w:rPr>
        <w:t>11 Buchstabe B des G. vom 10. August 2001 (B.S. vom 20. September 2001)</w:t>
      </w:r>
      <w:r w:rsidR="00D67EB8" w:rsidRPr="009118AB">
        <w:rPr>
          <w:i/>
          <w:iCs/>
        </w:rPr>
        <w:t> - </w:t>
      </w:r>
      <w:r w:rsidRPr="009118AB">
        <w:rPr>
          <w:i/>
          <w:iCs/>
        </w:rPr>
        <w:t>in Kraft ab dem Steuerjahr 2005</w:t>
      </w:r>
      <w:r w:rsidR="00D67EB8" w:rsidRPr="009118AB">
        <w:rPr>
          <w:i/>
          <w:iCs/>
        </w:rPr>
        <w:t> - </w:t>
      </w:r>
      <w:r w:rsidR="005E5DAE" w:rsidRPr="009118AB">
        <w:rPr>
          <w:i/>
          <w:iCs/>
        </w:rPr>
        <w:t xml:space="preserve">und abgeändert durch </w:t>
      </w:r>
      <w:r w:rsidR="00D67EB8" w:rsidRPr="009118AB">
        <w:rPr>
          <w:i/>
          <w:iCs/>
        </w:rPr>
        <w:t>Art. </w:t>
      </w:r>
      <w:r w:rsidR="005E5DAE" w:rsidRPr="009118AB">
        <w:rPr>
          <w:i/>
          <w:iCs/>
        </w:rPr>
        <w:t>17</w:t>
      </w:r>
      <w:r w:rsidR="005E5DAE" w:rsidRPr="009118AB">
        <w:rPr>
          <w:i/>
        </w:rPr>
        <w:t xml:space="preserve"> des G. vom 8. Mai 2014 (B.S. vom 28. Mai 2014)</w:t>
      </w:r>
      <w:r w:rsidR="00D67EB8" w:rsidRPr="009118AB">
        <w:rPr>
          <w:i/>
        </w:rPr>
        <w:t> - </w:t>
      </w:r>
      <w:r w:rsidR="005E5DAE" w:rsidRPr="009118AB">
        <w:rPr>
          <w:i/>
          <w:iCs/>
        </w:rPr>
        <w:t>anwendbar ab dem Steuerjahr 2015</w:t>
      </w:r>
      <w:r w:rsidR="00FD68E8" w:rsidRPr="009118AB">
        <w:rPr>
          <w:i/>
          <w:iCs/>
        </w:rPr>
        <w:t> -,</w:t>
      </w:r>
      <w:r w:rsidR="00AC7087" w:rsidRPr="009118AB">
        <w:rPr>
          <w:i/>
          <w:iCs/>
        </w:rPr>
        <w:t xml:space="preserve"> </w:t>
      </w:r>
      <w:r w:rsidR="00D67EB8" w:rsidRPr="009118AB">
        <w:rPr>
          <w:i/>
          <w:iCs/>
        </w:rPr>
        <w:t>Art. </w:t>
      </w:r>
      <w:r w:rsidR="00AC7087" w:rsidRPr="009118AB">
        <w:rPr>
          <w:i/>
          <w:iCs/>
        </w:rPr>
        <w:t>46</w:t>
      </w:r>
      <w:r w:rsidR="00AC7087" w:rsidRPr="009118AB">
        <w:rPr>
          <w:i/>
        </w:rPr>
        <w:t xml:space="preserve"> des </w:t>
      </w:r>
      <w:r w:rsidR="00AC7087" w:rsidRPr="009118AB">
        <w:rPr>
          <w:i/>
          <w:spacing w:val="-2"/>
        </w:rPr>
        <w:t>G. vom 26. Dezember 2015 (II) (B.S. vom 30. Dezember 2015)</w:t>
      </w:r>
      <w:r w:rsidR="00D67EB8" w:rsidRPr="009118AB">
        <w:rPr>
          <w:spacing w:val="-2"/>
        </w:rPr>
        <w:t> - </w:t>
      </w:r>
      <w:r w:rsidR="00AC7087" w:rsidRPr="009118AB">
        <w:rPr>
          <w:i/>
          <w:spacing w:val="-2"/>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spacing w:val="-2"/>
        </w:rPr>
        <w:t> - </w:t>
      </w:r>
      <w:r w:rsidR="00BB1751" w:rsidRPr="009118AB">
        <w:rPr>
          <w:i/>
          <w:spacing w:val="-2"/>
        </w:rPr>
        <w:t xml:space="preserve">und </w:t>
      </w:r>
      <w:r w:rsidR="00D67EB8" w:rsidRPr="009118AB">
        <w:rPr>
          <w:i/>
          <w:iCs/>
        </w:rPr>
        <w:t>Art. </w:t>
      </w:r>
      <w:r w:rsidR="00BB1751" w:rsidRPr="009118AB">
        <w:rPr>
          <w:i/>
          <w:iCs/>
        </w:rPr>
        <w:t>74 des G. vom 25. Dezember 2016</w:t>
      </w:r>
      <w:r w:rsidR="001022BB" w:rsidRPr="009118AB">
        <w:rPr>
          <w:i/>
          <w:iCs/>
        </w:rPr>
        <w:t> (I)</w:t>
      </w:r>
      <w:r w:rsidR="00BB1751" w:rsidRPr="009118AB">
        <w:rPr>
          <w:i/>
          <w:iCs/>
        </w:rPr>
        <w:t xml:space="preserve"> (B.S. vom 29. Dezember 2016)</w:t>
      </w:r>
      <w:r w:rsidR="00D67EB8" w:rsidRPr="009118AB">
        <w:rPr>
          <w:i/>
          <w:iCs/>
        </w:rPr>
        <w:t> - </w:t>
      </w:r>
      <w:r w:rsidR="00BB1751" w:rsidRPr="009118AB">
        <w:rPr>
          <w:i/>
          <w:iCs/>
        </w:rPr>
        <w:t>in Kraft am 1. Januar 2017 und anwendbar auf die ab dem 1. Januar 2017 verwirklichten Mehrwerte</w:t>
      </w:r>
      <w:r w:rsidR="003366D9" w:rsidRPr="009118AB">
        <w:rPr>
          <w:i/>
          <w:iCs/>
        </w:rPr>
        <w:t> -;</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p>
    <w:p w14:paraId="07E45124" w14:textId="77777777" w:rsidR="00477B8F" w:rsidRPr="009118AB" w:rsidRDefault="00477B8F" w:rsidP="00477B8F">
      <w:pPr>
        <w:autoSpaceDE w:val="0"/>
        <w:autoSpaceDN w:val="0"/>
        <w:adjustRightInd w:val="0"/>
        <w:jc w:val="both"/>
        <w:rPr>
          <w:i/>
          <w:iCs/>
        </w:rPr>
      </w:pPr>
    </w:p>
    <w:p w14:paraId="5D097C69" w14:textId="77777777" w:rsidR="00477B8F" w:rsidRPr="009118AB" w:rsidRDefault="00477B8F" w:rsidP="00477B8F">
      <w:pPr>
        <w:autoSpaceDE w:val="0"/>
        <w:autoSpaceDN w:val="0"/>
        <w:adjustRightInd w:val="0"/>
        <w:jc w:val="both"/>
      </w:pPr>
    </w:p>
    <w:p w14:paraId="4FF6BA09" w14:textId="0128A492"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88</w:t>
      </w:r>
      <w:r w:rsidR="00D67EB8" w:rsidRPr="009118AB">
        <w:t> - </w:t>
      </w:r>
      <w:r w:rsidRPr="009118AB">
        <w:t xml:space="preserve">[Wird eine gemeinsame Veranlagung festgelegt] und liegen die Berufseinkünfte eines Ehepartners unter 30 Prozent des Gesamtbetrags der Berufseinkünfte beider Ehepartner, wird ihm ein Anteil der Berufseinkünfte des anderen Ehepartners </w:t>
      </w:r>
      <w:r w:rsidRPr="009118AB">
        <w:lastRenderedPageBreak/>
        <w:t>angerechnet, so dass die Summe seiner eigenen Berufseinkünfte und des zugerechneten Anteils 30 Prozent dieses Gesamtbetrags beträgt; diese Summe darf [6.700 EUR] nicht übersteigen.</w:t>
      </w:r>
    </w:p>
    <w:p w14:paraId="474BC8B4" w14:textId="77777777" w:rsidR="00491954" w:rsidRPr="009118AB" w:rsidRDefault="00491954" w:rsidP="00477B8F">
      <w:pPr>
        <w:autoSpaceDE w:val="0"/>
        <w:autoSpaceDN w:val="0"/>
        <w:adjustRightInd w:val="0"/>
      </w:pPr>
    </w:p>
    <w:p w14:paraId="415F8EA3" w14:textId="730EC387" w:rsidR="00477B8F" w:rsidRPr="009118AB" w:rsidRDefault="00477B8F" w:rsidP="005E5DAE">
      <w:pPr>
        <w:autoSpaceDE w:val="0"/>
        <w:autoSpaceDN w:val="0"/>
        <w:adjustRightInd w:val="0"/>
        <w:jc w:val="both"/>
      </w:pPr>
      <w:r w:rsidRPr="009118AB">
        <w:tab/>
        <w:t>[</w:t>
      </w:r>
      <w:r w:rsidR="005E5DAE" w:rsidRPr="009118AB">
        <w:t xml:space="preserve">Vorliegende Bestimmung ist nicht anwendbar, wenn die Staatssteuer, erhöht um die Steuer in Bezug auf die in den Artikeln 17 </w:t>
      </w:r>
      <w:r w:rsidR="00D67EB8" w:rsidRPr="009118AB">
        <w:t>§ </w:t>
      </w:r>
      <w:r w:rsidR="005E5DAE" w:rsidRPr="009118AB">
        <w:t xml:space="preserve">1 </w:t>
      </w:r>
      <w:r w:rsidR="00D67EB8" w:rsidRPr="009118AB">
        <w:t>Nr. </w:t>
      </w:r>
      <w:r w:rsidR="005E5DAE" w:rsidRPr="009118AB">
        <w:t xml:space="preserve">1 bis 3 </w:t>
      </w:r>
      <w:r w:rsidR="00AC7087" w:rsidRPr="009118AB">
        <w:t xml:space="preserve">[und 90 Absatz 1 </w:t>
      </w:r>
      <w:r w:rsidR="00D67EB8" w:rsidRPr="009118AB">
        <w:t>Nr. </w:t>
      </w:r>
      <w:r w:rsidR="00AC7087" w:rsidRPr="009118AB">
        <w:t xml:space="preserve">6 und </w:t>
      </w:r>
      <w:r w:rsidR="00BB1751" w:rsidRPr="009118AB">
        <w:t>9</w:t>
      </w:r>
      <w:r w:rsidR="00AC7087" w:rsidRPr="009118AB">
        <w:t>]</w:t>
      </w:r>
      <w:r w:rsidR="005E5DAE" w:rsidRPr="009118AB">
        <w:t xml:space="preserve"> erwähnten Einkünfte und auf die aufgrund von </w:t>
      </w:r>
      <w:r w:rsidR="00AC7087" w:rsidRPr="009118AB">
        <w:t xml:space="preserve">[Artikel 90 Absatz 1 </w:t>
      </w:r>
      <w:r w:rsidR="00D67EB8" w:rsidRPr="009118AB">
        <w:t>Nr. </w:t>
      </w:r>
      <w:r w:rsidR="00AC7087" w:rsidRPr="009118AB">
        <w:t>1]</w:t>
      </w:r>
      <w:r w:rsidR="005E5DAE" w:rsidRPr="009118AB">
        <w:t xml:space="preserve"> steuerpflichtigen Mehrwerte auf Wertpapiere und Effekten, für beide Ehepartner zusammengenommen dadurch erhöht wird.</w:t>
      </w:r>
      <w:r w:rsidRPr="009118AB">
        <w:t>]</w:t>
      </w:r>
    </w:p>
    <w:p w14:paraId="09EFD69D" w14:textId="77777777" w:rsidR="00477B8F" w:rsidRPr="009118AB" w:rsidRDefault="00477B8F" w:rsidP="00477B8F">
      <w:pPr>
        <w:autoSpaceDE w:val="0"/>
        <w:autoSpaceDN w:val="0"/>
        <w:adjustRightInd w:val="0"/>
        <w:jc w:val="both"/>
      </w:pPr>
    </w:p>
    <w:p w14:paraId="5108FEE1" w14:textId="42B0923C"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88 </w:t>
      </w:r>
      <w:r w:rsidR="00D67EB8" w:rsidRPr="009118AB">
        <w:rPr>
          <w:i/>
          <w:iCs/>
        </w:rPr>
        <w:t>Abs. </w:t>
      </w:r>
      <w:r w:rsidRPr="009118AB">
        <w:rPr>
          <w:i/>
          <w:iCs/>
        </w:rPr>
        <w:t xml:space="preserve">1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r w:rsidRPr="009118AB">
        <w:rPr>
          <w:i/>
          <w:iCs/>
        </w:rPr>
        <w:t xml:space="preserve"> und durch </w:t>
      </w:r>
      <w:r w:rsidR="00D67EB8" w:rsidRPr="009118AB">
        <w:rPr>
          <w:i/>
          <w:iCs/>
        </w:rPr>
        <w:t>Art. </w:t>
      </w:r>
      <w:r w:rsidRPr="009118AB">
        <w:rPr>
          <w:i/>
          <w:iCs/>
        </w:rPr>
        <w:t xml:space="preserve">12 Buchstabe B </w:t>
      </w:r>
      <w:r w:rsidR="00D67EB8" w:rsidRPr="009118AB">
        <w:rPr>
          <w:i/>
          <w:iCs/>
        </w:rPr>
        <w:t>Nr. </w:t>
      </w:r>
      <w:r w:rsidRPr="009118AB">
        <w:rPr>
          <w:i/>
          <w:iCs/>
        </w:rPr>
        <w:t>1 des G. vom 10. August 2001 (B.S. vom 20. September 2001)</w:t>
      </w:r>
      <w:r w:rsidR="00D67EB8" w:rsidRPr="009118AB">
        <w:rPr>
          <w:i/>
          <w:iCs/>
        </w:rPr>
        <w:t> - </w:t>
      </w:r>
      <w:r w:rsidRPr="009118AB">
        <w:rPr>
          <w:i/>
          <w:iCs/>
        </w:rPr>
        <w:t>in Kraft ab dem Steuerjahr 2002</w:t>
      </w:r>
      <w:r w:rsidR="003366D9" w:rsidRPr="009118AB">
        <w:rPr>
          <w:i/>
          <w:iCs/>
        </w:rPr>
        <w:t> -;</w:t>
      </w:r>
      <w:r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12 Buchstabe A des G. vom 10. August 2001 (B.S. vom 20. September 2001)</w:t>
      </w:r>
      <w:r w:rsidR="00D67EB8" w:rsidRPr="009118AB">
        <w:rPr>
          <w:i/>
          <w:iCs/>
        </w:rPr>
        <w:t> - </w:t>
      </w:r>
      <w:r w:rsidRPr="009118AB">
        <w:rPr>
          <w:i/>
          <w:iCs/>
        </w:rPr>
        <w:t>in Kraft ab dem Steuerjahr 2002</w:t>
      </w:r>
      <w:r w:rsidR="00FD68E8" w:rsidRPr="009118AB">
        <w:rPr>
          <w:i/>
          <w:iCs/>
        </w:rPr>
        <w:t> -,</w:t>
      </w:r>
      <w:r w:rsidR="005E5DAE" w:rsidRPr="009118AB">
        <w:rPr>
          <w:i/>
          <w:iCs/>
        </w:rPr>
        <w:t xml:space="preserve"> ersetzt durch </w:t>
      </w:r>
      <w:r w:rsidR="00D67EB8" w:rsidRPr="009118AB">
        <w:rPr>
          <w:i/>
          <w:iCs/>
        </w:rPr>
        <w:t>Art. </w:t>
      </w:r>
      <w:r w:rsidR="005E5DAE" w:rsidRPr="009118AB">
        <w:rPr>
          <w:i/>
          <w:iCs/>
        </w:rPr>
        <w:t>18</w:t>
      </w:r>
      <w:r w:rsidR="005E5DAE" w:rsidRPr="009118AB">
        <w:rPr>
          <w:i/>
        </w:rPr>
        <w:t xml:space="preserve"> des G. vom 8. Mai 2014 (B.S. vom 28. Mai 2014)</w:t>
      </w:r>
      <w:r w:rsidR="00D67EB8" w:rsidRPr="009118AB">
        <w:rPr>
          <w:i/>
        </w:rPr>
        <w:t> - </w:t>
      </w:r>
      <w:r w:rsidR="005E5DAE" w:rsidRPr="009118AB">
        <w:rPr>
          <w:i/>
          <w:iCs/>
        </w:rPr>
        <w:t>anwendbar ab dem Steuerjahr 2015</w:t>
      </w:r>
      <w:r w:rsidR="00D67EB8" w:rsidRPr="009118AB">
        <w:rPr>
          <w:i/>
          <w:iCs/>
        </w:rPr>
        <w:t> - </w:t>
      </w:r>
      <w:r w:rsidR="00AC7087" w:rsidRPr="009118AB">
        <w:rPr>
          <w:i/>
          <w:iCs/>
        </w:rPr>
        <w:t xml:space="preserve">und abgeändert durch </w:t>
      </w:r>
      <w:r w:rsidR="00D67EB8" w:rsidRPr="009118AB">
        <w:rPr>
          <w:i/>
          <w:iCs/>
        </w:rPr>
        <w:t>Art. </w:t>
      </w:r>
      <w:r w:rsidR="00AC7087" w:rsidRPr="009118AB">
        <w:rPr>
          <w:i/>
          <w:iCs/>
        </w:rPr>
        <w:t>47</w:t>
      </w:r>
      <w:r w:rsidR="00AC7087" w:rsidRPr="009118AB">
        <w:rPr>
          <w:i/>
        </w:rPr>
        <w:t xml:space="preserve"> des G. vom 26. Dezember 2015 (II) (B.S. vom 30. Dezember 2015)</w:t>
      </w:r>
      <w:r w:rsidR="00D67EB8" w:rsidRPr="009118AB">
        <w:t> - </w:t>
      </w:r>
      <w:r w:rsidR="00AC7087"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BB1751" w:rsidRPr="009118AB">
        <w:rPr>
          <w:i/>
        </w:rPr>
        <w:t xml:space="preserve">und </w:t>
      </w:r>
      <w:r w:rsidR="00D67EB8" w:rsidRPr="009118AB">
        <w:rPr>
          <w:i/>
        </w:rPr>
        <w:t>Art. </w:t>
      </w:r>
      <w:r w:rsidR="00BB1751" w:rsidRPr="009118AB">
        <w:rPr>
          <w:i/>
        </w:rPr>
        <w:t>75 des G. vom 25. Dezember 2016</w:t>
      </w:r>
      <w:r w:rsidR="001022BB" w:rsidRPr="009118AB">
        <w:rPr>
          <w:i/>
        </w:rPr>
        <w:t> (I)</w:t>
      </w:r>
      <w:r w:rsidR="00BB1751" w:rsidRPr="009118AB">
        <w:rPr>
          <w:i/>
        </w:rPr>
        <w:t xml:space="preserve"> (B.S. vom 29. Dezember 2016)</w:t>
      </w:r>
      <w:r w:rsidR="00D67EB8" w:rsidRPr="009118AB">
        <w:rPr>
          <w:i/>
        </w:rPr>
        <w:t> - </w:t>
      </w:r>
      <w:r w:rsidR="00BB1751" w:rsidRPr="009118AB">
        <w:rPr>
          <w:i/>
        </w:rPr>
        <w:t>in Kraft am 1. Januar 2017 und anwendbar auf die ab dem 1. Januar 2017 verwirklichten Mehrwerte</w:t>
      </w:r>
      <w:r w:rsidR="00FD68E8" w:rsidRPr="009118AB">
        <w:rPr>
          <w:i/>
        </w:rPr>
        <w:t> -]</w:t>
      </w:r>
    </w:p>
    <w:p w14:paraId="6126E044" w14:textId="77777777" w:rsidR="00477B8F" w:rsidRPr="009118AB" w:rsidRDefault="00477B8F" w:rsidP="00477B8F">
      <w:pPr>
        <w:autoSpaceDE w:val="0"/>
        <w:autoSpaceDN w:val="0"/>
        <w:adjustRightInd w:val="0"/>
        <w:jc w:val="both"/>
      </w:pPr>
    </w:p>
    <w:p w14:paraId="2B768B70" w14:textId="77777777" w:rsidR="00477B8F" w:rsidRPr="009118AB" w:rsidRDefault="00477B8F" w:rsidP="00477B8F">
      <w:pPr>
        <w:autoSpaceDE w:val="0"/>
        <w:autoSpaceDN w:val="0"/>
        <w:adjustRightInd w:val="0"/>
        <w:jc w:val="both"/>
      </w:pPr>
    </w:p>
    <w:p w14:paraId="7DD00F64" w14:textId="64D6DF8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89</w:t>
      </w:r>
      <w:r w:rsidR="00D67EB8" w:rsidRPr="009118AB">
        <w:t> - </w:t>
      </w:r>
      <w:r w:rsidRPr="009118AB">
        <w:t>In Bezug auf den Anteil der Berufseinkünfte, der dem Ehepartner zuerkannt und auf ihn angerechnet wird, werden getrennt besteuerte Berufseinkünfte nicht berücksichtigt.</w:t>
      </w:r>
    </w:p>
    <w:p w14:paraId="31EB6903" w14:textId="77777777" w:rsidR="00477B8F" w:rsidRPr="009118AB" w:rsidRDefault="00477B8F" w:rsidP="00477B8F">
      <w:pPr>
        <w:autoSpaceDE w:val="0"/>
        <w:autoSpaceDN w:val="0"/>
        <w:adjustRightInd w:val="0"/>
        <w:jc w:val="both"/>
      </w:pPr>
    </w:p>
    <w:p w14:paraId="2F287155" w14:textId="77777777" w:rsidR="00477B8F" w:rsidRPr="009118AB" w:rsidRDefault="00477B8F" w:rsidP="00477B8F">
      <w:pPr>
        <w:autoSpaceDE w:val="0"/>
        <w:autoSpaceDN w:val="0"/>
        <w:adjustRightInd w:val="0"/>
        <w:jc w:val="both"/>
      </w:pPr>
      <w:r w:rsidRPr="009118AB">
        <w:tab/>
        <w:t>[Fallen Berufseinkünfte eines der Ehepartner unter zwei oder mehrere der in Artikel 23 erwähnten Kategorien und wird ein Anteil dieser Berufseinkünfte dem anderen Ehepartner zuerkannt oder auf ihn angerechnet, wird dieser Anteil proportional aus Berufseinkünften derselben Kategorien gebildet.]</w:t>
      </w:r>
    </w:p>
    <w:p w14:paraId="3D908A2B" w14:textId="77777777" w:rsidR="00477B8F" w:rsidRPr="009118AB" w:rsidRDefault="00477B8F" w:rsidP="00477B8F">
      <w:pPr>
        <w:autoSpaceDE w:val="0"/>
        <w:autoSpaceDN w:val="0"/>
        <w:adjustRightInd w:val="0"/>
        <w:jc w:val="both"/>
      </w:pPr>
    </w:p>
    <w:p w14:paraId="6D11679D" w14:textId="58DABFD2"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89 </w:t>
      </w:r>
      <w:r w:rsidR="00D67EB8" w:rsidRPr="009118AB">
        <w:rPr>
          <w:i/>
          <w:iCs/>
        </w:rPr>
        <w:t>Abs. </w:t>
      </w:r>
      <w:r w:rsidRPr="009118AB">
        <w:rPr>
          <w:i/>
          <w:iCs/>
        </w:rPr>
        <w:t xml:space="preserve">2 eingefügt durch </w:t>
      </w:r>
      <w:r w:rsidR="00D67EB8" w:rsidRPr="009118AB">
        <w:rPr>
          <w:i/>
          <w:iCs/>
        </w:rPr>
        <w:t>Art. </w:t>
      </w:r>
      <w:r w:rsidRPr="009118AB">
        <w:rPr>
          <w:i/>
          <w:iCs/>
        </w:rPr>
        <w:t>13 des G. vom 10. August 2001 (B.S. vom 20. September 2001)</w:t>
      </w:r>
      <w:r w:rsidR="00D67EB8" w:rsidRPr="009118AB">
        <w:rPr>
          <w:i/>
          <w:iCs/>
        </w:rPr>
        <w:t> - </w:t>
      </w:r>
      <w:r w:rsidRPr="009118AB">
        <w:rPr>
          <w:i/>
          <w:iCs/>
        </w:rPr>
        <w:t>in Kraft ab dem Steuerjahr 2005</w:t>
      </w:r>
      <w:r w:rsidR="00FD68E8" w:rsidRPr="009118AB">
        <w:rPr>
          <w:i/>
          <w:iCs/>
        </w:rPr>
        <w:t> -]</w:t>
      </w:r>
    </w:p>
    <w:p w14:paraId="4FC0E3A0" w14:textId="77777777" w:rsidR="001E243B" w:rsidRPr="009118AB" w:rsidRDefault="001E243B" w:rsidP="00477B8F">
      <w:pPr>
        <w:autoSpaceDE w:val="0"/>
        <w:autoSpaceDN w:val="0"/>
        <w:adjustRightInd w:val="0"/>
        <w:jc w:val="center"/>
        <w:rPr>
          <w:i/>
          <w:iCs/>
        </w:rPr>
      </w:pPr>
    </w:p>
    <w:p w14:paraId="35E9590D" w14:textId="77777777" w:rsidR="001E243B" w:rsidRPr="009118AB" w:rsidRDefault="001E243B" w:rsidP="00477B8F">
      <w:pPr>
        <w:autoSpaceDE w:val="0"/>
        <w:autoSpaceDN w:val="0"/>
        <w:adjustRightInd w:val="0"/>
        <w:jc w:val="center"/>
        <w:rPr>
          <w:i/>
          <w:iCs/>
        </w:rPr>
      </w:pPr>
    </w:p>
    <w:p w14:paraId="540A1F17" w14:textId="0B2BE694" w:rsidR="00477B8F" w:rsidRPr="009118AB" w:rsidRDefault="00C31D59" w:rsidP="00477B8F">
      <w:pPr>
        <w:autoSpaceDE w:val="0"/>
        <w:autoSpaceDN w:val="0"/>
        <w:adjustRightInd w:val="0"/>
        <w:jc w:val="center"/>
      </w:pPr>
      <w:r w:rsidRPr="009118AB">
        <w:rPr>
          <w:i/>
          <w:iCs/>
        </w:rPr>
        <w:br w:type="page"/>
      </w:r>
      <w:r w:rsidR="00477B8F" w:rsidRPr="009118AB">
        <w:rPr>
          <w:i/>
          <w:iCs/>
        </w:rPr>
        <w:lastRenderedPageBreak/>
        <w:t>Abschnitt </w:t>
      </w:r>
      <w:r w:rsidR="00AA609D" w:rsidRPr="009118AB">
        <w:rPr>
          <w:i/>
          <w:iCs/>
        </w:rPr>
        <w:t>5</w:t>
      </w:r>
      <w:r w:rsidR="00D67EB8" w:rsidRPr="009118AB">
        <w:t> - </w:t>
      </w:r>
      <w:r w:rsidR="00477B8F" w:rsidRPr="009118AB">
        <w:t>Verschiedene Einkünfte</w:t>
      </w:r>
    </w:p>
    <w:p w14:paraId="23578741" w14:textId="77777777" w:rsidR="00477B8F" w:rsidRPr="009118AB" w:rsidRDefault="00477B8F" w:rsidP="00477B8F">
      <w:pPr>
        <w:autoSpaceDE w:val="0"/>
        <w:autoSpaceDN w:val="0"/>
        <w:adjustRightInd w:val="0"/>
        <w:jc w:val="center"/>
      </w:pPr>
    </w:p>
    <w:p w14:paraId="6FEC908B" w14:textId="77777777" w:rsidR="00477B8F" w:rsidRPr="009118AB" w:rsidRDefault="00477B8F" w:rsidP="00477B8F">
      <w:pPr>
        <w:autoSpaceDE w:val="0"/>
        <w:autoSpaceDN w:val="0"/>
        <w:adjustRightInd w:val="0"/>
        <w:jc w:val="center"/>
      </w:pPr>
    </w:p>
    <w:p w14:paraId="61720CB8" w14:textId="6F6CECAA" w:rsidR="00477B8F" w:rsidRPr="009118AB" w:rsidRDefault="00477B8F" w:rsidP="00477B8F">
      <w:pPr>
        <w:autoSpaceDE w:val="0"/>
        <w:autoSpaceDN w:val="0"/>
        <w:adjustRightInd w:val="0"/>
        <w:jc w:val="center"/>
      </w:pPr>
      <w:r w:rsidRPr="009118AB">
        <w:t>Unterabschnitt </w:t>
      </w:r>
      <w:r w:rsidR="00AA609D" w:rsidRPr="009118AB">
        <w:t>1</w:t>
      </w:r>
      <w:r w:rsidR="00D67EB8" w:rsidRPr="009118AB">
        <w:t> - </w:t>
      </w:r>
      <w:r w:rsidRPr="009118AB">
        <w:t>Begriffsbestimmung</w:t>
      </w:r>
    </w:p>
    <w:p w14:paraId="6F5EE228" w14:textId="77777777" w:rsidR="00477B8F" w:rsidRPr="009118AB" w:rsidRDefault="00477B8F" w:rsidP="00477B8F">
      <w:pPr>
        <w:autoSpaceDE w:val="0"/>
        <w:autoSpaceDN w:val="0"/>
        <w:adjustRightInd w:val="0"/>
        <w:jc w:val="center"/>
      </w:pPr>
    </w:p>
    <w:p w14:paraId="26170747" w14:textId="77777777" w:rsidR="00477B8F" w:rsidRPr="009118AB" w:rsidRDefault="00477B8F" w:rsidP="00477B8F">
      <w:pPr>
        <w:autoSpaceDE w:val="0"/>
        <w:autoSpaceDN w:val="0"/>
        <w:adjustRightInd w:val="0"/>
        <w:jc w:val="center"/>
      </w:pPr>
    </w:p>
    <w:p w14:paraId="22A37FB1" w14:textId="24E67DF4" w:rsidR="00FD402C" w:rsidRPr="009118AB" w:rsidRDefault="00FD402C" w:rsidP="00FD402C">
      <w:pPr>
        <w:autoSpaceDE w:val="0"/>
        <w:autoSpaceDN w:val="0"/>
        <w:adjustRightInd w:val="0"/>
        <w:jc w:val="both"/>
      </w:pPr>
      <w:bookmarkStart w:id="12" w:name="_Hlk203135154"/>
      <w:r w:rsidRPr="009118AB">
        <w:tab/>
      </w:r>
      <w:r w:rsidR="00D67EB8" w:rsidRPr="009118AB">
        <w:rPr>
          <w:b/>
          <w:bCs/>
        </w:rPr>
        <w:t>Art. </w:t>
      </w:r>
      <w:r w:rsidRPr="009118AB">
        <w:rPr>
          <w:b/>
          <w:bCs/>
        </w:rPr>
        <w:t>90</w:t>
      </w:r>
      <w:r w:rsidR="00D67EB8" w:rsidRPr="009118AB">
        <w:t> - </w:t>
      </w:r>
      <w:r w:rsidRPr="009118AB">
        <w:t>Verschiedene Einkünfte sind:</w:t>
      </w:r>
    </w:p>
    <w:p w14:paraId="75666E62" w14:textId="77777777" w:rsidR="00FD402C" w:rsidRPr="009118AB" w:rsidRDefault="00FD402C" w:rsidP="00FD402C">
      <w:pPr>
        <w:autoSpaceDE w:val="0"/>
        <w:autoSpaceDN w:val="0"/>
        <w:adjustRightInd w:val="0"/>
        <w:jc w:val="both"/>
      </w:pPr>
    </w:p>
    <w:p w14:paraId="75A59192" w14:textId="77777777" w:rsidR="00FD402C" w:rsidRPr="009118AB" w:rsidRDefault="00FD402C" w:rsidP="00FD402C">
      <w:pPr>
        <w:autoSpaceDE w:val="0"/>
        <w:autoSpaceDN w:val="0"/>
        <w:adjustRightInd w:val="0"/>
        <w:jc w:val="both"/>
      </w:pPr>
      <w:r w:rsidRPr="009118AB">
        <w:tab/>
        <w:t>1. unbeschadet der Bestimmungen der Nummern 1</w:t>
      </w:r>
      <w:r w:rsidRPr="009118AB">
        <w:rPr>
          <w:i/>
        </w:rPr>
        <w:t>bis</w:t>
      </w:r>
      <w:r w:rsidRPr="009118AB">
        <w:t>[, 1</w:t>
      </w:r>
      <w:r w:rsidRPr="009118AB">
        <w:rPr>
          <w:i/>
        </w:rPr>
        <w:t>ter</w:t>
      </w:r>
      <w:r w:rsidRPr="009118AB">
        <w:t>,] 8 und 10 Gewinne oder Profite ungeachtet ihrer Bezeichnung, die selbst gelegentlich oder zufällig außerhalb der Ausübung einer Berufstätigkeit aus irgendwelchen Leistungen, Geschäften oder Spekulationen oder aus Dritten gegenüber erbrachten Diensten hervorgehen, ausschließlich der Verrichtungen in Bezug auf die normale Verwaltung eines aus unbeweglichen Gütern, Wertpapieren im Portefeuille und beweglichen Sachen bestehenden Privatvermögens,</w:t>
      </w:r>
    </w:p>
    <w:p w14:paraId="6BCE8480" w14:textId="77777777" w:rsidR="00FD402C" w:rsidRPr="009118AB" w:rsidRDefault="00FD402C" w:rsidP="00FD402C">
      <w:pPr>
        <w:autoSpaceDE w:val="0"/>
        <w:autoSpaceDN w:val="0"/>
        <w:adjustRightInd w:val="0"/>
        <w:jc w:val="both"/>
      </w:pPr>
    </w:p>
    <w:p w14:paraId="6CBE0315" w14:textId="518FE45F" w:rsidR="00FD402C" w:rsidRPr="009118AB" w:rsidRDefault="00FD402C" w:rsidP="00FD402C">
      <w:pPr>
        <w:jc w:val="both"/>
      </w:pPr>
      <w:r w:rsidRPr="009118AB">
        <w:tab/>
        <w:t>[1</w:t>
      </w:r>
      <w:r w:rsidRPr="009118AB">
        <w:rPr>
          <w:i/>
        </w:rPr>
        <w:t>bis</w:t>
      </w:r>
      <w:r w:rsidRPr="009118AB">
        <w:t xml:space="preserve">. Gewinne oder Profite, die außerhalb der Ausübung einer Berufstätigkeit aus Diensten hervorgehen, die keine Dienste sind, die [ausschließlich] Einkünfte erzeugen, die gemäß den Artikeln 7 oder 17 oder gemäß vorliegendem Absatz </w:t>
      </w:r>
      <w:r w:rsidR="00D67EB8" w:rsidRPr="009118AB">
        <w:t>Nr. </w:t>
      </w:r>
      <w:r w:rsidRPr="009118AB">
        <w:t xml:space="preserve">5 der Steuer unterliegen, und die der Steuerpflichtige </w:t>
      </w:r>
      <w:r w:rsidR="007D784C" w:rsidRPr="009118AB">
        <w:t xml:space="preserve">[selbst] </w:t>
      </w:r>
      <w:r w:rsidRPr="009118AB">
        <w:t>Dritten gegenüber erbringt, sofern sämtliche folgende Bedingungen erfüllt sind:</w:t>
      </w:r>
    </w:p>
    <w:p w14:paraId="50891BB6" w14:textId="77777777" w:rsidR="00FD402C" w:rsidRPr="009118AB" w:rsidRDefault="00FD402C" w:rsidP="00FD402C">
      <w:pPr>
        <w:jc w:val="both"/>
      </w:pPr>
    </w:p>
    <w:p w14:paraId="36F9024A" w14:textId="77777777" w:rsidR="00FD402C" w:rsidRPr="009118AB" w:rsidRDefault="00FD402C" w:rsidP="00FD402C">
      <w:pPr>
        <w:jc w:val="both"/>
      </w:pPr>
      <w:r w:rsidRPr="009118AB">
        <w:tab/>
      </w:r>
      <w:r w:rsidRPr="009118AB">
        <w:rPr>
          <w:i/>
        </w:rPr>
        <w:t>a)</w:t>
      </w:r>
      <w:r w:rsidRPr="009118AB">
        <w:t> Die Dienste werden ausschließlich natürlichen Personen gegenüber erbracht, die nicht im Rahmen ihrer Berufstätigkeit handeln.</w:t>
      </w:r>
    </w:p>
    <w:p w14:paraId="09D99D50" w14:textId="77777777" w:rsidR="00FD402C" w:rsidRPr="009118AB" w:rsidRDefault="00FD402C" w:rsidP="00FD402C">
      <w:pPr>
        <w:jc w:val="both"/>
      </w:pPr>
    </w:p>
    <w:p w14:paraId="7C74C406" w14:textId="77777777" w:rsidR="00FD402C" w:rsidRPr="009118AB" w:rsidRDefault="00FD402C" w:rsidP="00FD402C">
      <w:pPr>
        <w:jc w:val="both"/>
      </w:pPr>
      <w:r w:rsidRPr="009118AB">
        <w:tab/>
      </w:r>
      <w:r w:rsidRPr="009118AB">
        <w:rPr>
          <w:i/>
        </w:rPr>
        <w:t>b)</w:t>
      </w:r>
      <w:r w:rsidRPr="009118AB">
        <w:t> Die Dienste werden ausschließlich im Rahmen von Vereinbarungen erbracht, die über eine zugelassene elektronische Plattform [...] geschlossen werden.</w:t>
      </w:r>
    </w:p>
    <w:p w14:paraId="269122B3" w14:textId="77777777" w:rsidR="00FD402C" w:rsidRPr="009118AB" w:rsidRDefault="00FD402C" w:rsidP="00FD402C">
      <w:pPr>
        <w:jc w:val="both"/>
      </w:pPr>
    </w:p>
    <w:p w14:paraId="28ED0512" w14:textId="77777777" w:rsidR="00FD402C" w:rsidRPr="009118AB" w:rsidRDefault="00FD402C" w:rsidP="00FD402C">
      <w:pPr>
        <w:autoSpaceDE w:val="0"/>
        <w:autoSpaceDN w:val="0"/>
        <w:adjustRightInd w:val="0"/>
        <w:jc w:val="both"/>
      </w:pPr>
      <w:r w:rsidRPr="009118AB">
        <w:tab/>
      </w:r>
      <w:r w:rsidRPr="009118AB">
        <w:rPr>
          <w:i/>
        </w:rPr>
        <w:t>c)</w:t>
      </w:r>
      <w:r w:rsidRPr="009118AB">
        <w:t> Die Entschädigungen für die Dienste werden dem Dienstleistungserbringer ausschließlich durch oder über die in Buchstabe </w:t>
      </w:r>
      <w:r w:rsidRPr="009118AB">
        <w:rPr>
          <w:i/>
        </w:rPr>
        <w:t>b)</w:t>
      </w:r>
      <w:r w:rsidRPr="009118AB">
        <w:t xml:space="preserve"> erwähnte Plattform gezahlt oder zuerkannt,]</w:t>
      </w:r>
    </w:p>
    <w:p w14:paraId="27E8476D" w14:textId="77777777" w:rsidR="00FD402C" w:rsidRPr="009118AB" w:rsidRDefault="00FD402C" w:rsidP="00FD402C">
      <w:pPr>
        <w:autoSpaceDE w:val="0"/>
        <w:autoSpaceDN w:val="0"/>
        <w:adjustRightInd w:val="0"/>
        <w:jc w:val="both"/>
      </w:pPr>
    </w:p>
    <w:p w14:paraId="1508E9CE" w14:textId="77777777" w:rsidR="00FD402C" w:rsidRPr="009118AB" w:rsidRDefault="00FD402C" w:rsidP="00FD402C">
      <w:pPr>
        <w:autoSpaceDE w:val="0"/>
        <w:autoSpaceDN w:val="0"/>
        <w:adjustRightInd w:val="0"/>
        <w:jc w:val="both"/>
      </w:pPr>
      <w:r w:rsidRPr="009118AB">
        <w:tab/>
        <w:t>[...]</w:t>
      </w:r>
    </w:p>
    <w:p w14:paraId="1FCC67EA" w14:textId="77777777" w:rsidR="00BA0AAE" w:rsidRDefault="00BA0AAE" w:rsidP="0001730E">
      <w:pPr>
        <w:ind w:firstLine="708"/>
        <w:jc w:val="both"/>
      </w:pPr>
    </w:p>
    <w:p w14:paraId="3C5F7DBF" w14:textId="70DB1548" w:rsidR="00FD402C" w:rsidRPr="009118AB" w:rsidRDefault="00FD402C" w:rsidP="0001730E">
      <w:pPr>
        <w:ind w:firstLine="708"/>
        <w:jc w:val="both"/>
      </w:pPr>
      <w:r w:rsidRPr="009118AB">
        <w:tab/>
        <w:t>[1</w:t>
      </w:r>
      <w:r w:rsidRPr="009118AB">
        <w:rPr>
          <w:i/>
        </w:rPr>
        <w:t>ter</w:t>
      </w:r>
      <w:r w:rsidRPr="009118AB">
        <w:t>. </w:t>
      </w:r>
      <w:r w:rsidR="0001730E" w:rsidRPr="009118AB">
        <w:rPr>
          <w:rFonts w:eastAsia="Calibri"/>
          <w:szCs w:val="22"/>
          <w:lang w:eastAsia="en-US"/>
        </w:rPr>
        <w:t>[</w:t>
      </w:r>
      <w:r w:rsidR="0001730E" w:rsidRPr="009118AB">
        <w:t xml:space="preserve">Vergütungen für eine Beschäftigung wie erwähnt in Artikel 17 </w:t>
      </w:r>
      <w:r w:rsidR="00D67EB8" w:rsidRPr="009118AB">
        <w:t>§ </w:t>
      </w:r>
      <w:r w:rsidR="0001730E" w:rsidRPr="009118AB">
        <w:t xml:space="preserve">1 Absatz 1 </w:t>
      </w:r>
      <w:r w:rsidR="00D67EB8" w:rsidRPr="009118AB">
        <w:t>Nr. </w:t>
      </w:r>
      <w:r w:rsidR="0001730E" w:rsidRPr="009118AB">
        <w:t>1 und 3 bis 7 des Königlichen Erlasses vom 28. November 1969 zur Ausführung des Gesetzes vom 27. Juni 1969 zur Revision des Erlassgesetzes vom 28. Dezember 1944 über die soziale Sicherheit der Arbeitnehmer, für die in Anwendung desselben Artikels 17</w:t>
      </w:r>
      <w:r w:rsidR="004F7754" w:rsidRPr="009118AB">
        <w:t>[, so wie er durch den Königlichen Erlass vom 31. August 2022 zur Abänderung von Artikel 17 des Königlichen Erlasses vom 28. November 1969 zur Ausführung des Gesetzes vom 27. Juni 1969 zur Revision des Erlassgesetzes vom 28. Dezember 1944 über die soziale Sicherheit der Arbeitnehmer abgeändert worden ist,]</w:t>
      </w:r>
      <w:r w:rsidR="0001730E" w:rsidRPr="009118AB">
        <w:t xml:space="preserve"> keine Sozialbeiträge geschuldet sind,</w:t>
      </w:r>
      <w:r w:rsidR="0001730E" w:rsidRPr="009118AB">
        <w:rPr>
          <w:rFonts w:eastAsia="Calibri"/>
          <w:szCs w:val="22"/>
          <w:lang w:eastAsia="en-US"/>
        </w:rPr>
        <w:t>]</w:t>
      </w:r>
      <w:r w:rsidRPr="009118AB">
        <w:t>]</w:t>
      </w:r>
    </w:p>
    <w:p w14:paraId="3667CBD3" w14:textId="77777777" w:rsidR="00FD402C" w:rsidRPr="009118AB" w:rsidRDefault="00FD402C" w:rsidP="00FD402C">
      <w:pPr>
        <w:jc w:val="both"/>
      </w:pPr>
    </w:p>
    <w:p w14:paraId="47032369" w14:textId="4187C396" w:rsidR="00FD402C" w:rsidRPr="009118AB" w:rsidRDefault="00FD402C" w:rsidP="00A0531D">
      <w:pPr>
        <w:jc w:val="both"/>
      </w:pPr>
      <w:r w:rsidRPr="009118AB">
        <w:tab/>
        <w:t>[</w:t>
      </w:r>
      <w:r w:rsidR="00A0531D">
        <w:t>...</w:t>
      </w:r>
      <w:r w:rsidRPr="009118AB">
        <w:t>]</w:t>
      </w:r>
    </w:p>
    <w:p w14:paraId="5E72511A" w14:textId="77777777" w:rsidR="00FD402C" w:rsidRPr="009118AB" w:rsidRDefault="00FD402C" w:rsidP="00FD402C">
      <w:pPr>
        <w:autoSpaceDE w:val="0"/>
        <w:autoSpaceDN w:val="0"/>
        <w:adjustRightInd w:val="0"/>
        <w:jc w:val="both"/>
      </w:pPr>
    </w:p>
    <w:p w14:paraId="629E4A1B" w14:textId="77777777" w:rsidR="00FD402C" w:rsidRPr="009118AB" w:rsidRDefault="00FD402C" w:rsidP="00FD402C">
      <w:pPr>
        <w:autoSpaceDE w:val="0"/>
        <w:autoSpaceDN w:val="0"/>
        <w:adjustRightInd w:val="0"/>
        <w:jc w:val="both"/>
      </w:pPr>
      <w:r w:rsidRPr="009118AB">
        <w:tab/>
        <w:t xml:space="preserve">2. Preise und während zweier Jahre erhaltene Zuschüsse für den Teilbetrag über [2.500 EUR] und andere Zuschüsse, Renten oder Pensionen, die Wissenschaftlern, Schriftstellern oder Künstlern von belgischen oder ausländischen öffentlichen Behörden oder öffentlichen Einrichtungen ohne Gewinnerzielungsabsicht zuerkannt werden, ausschließlich der Summen, die als Entlohnungen für erbrachte Leistungen gezahlt oder zuerkannt werden und Berufseinkünfte darstellen. </w:t>
      </w:r>
    </w:p>
    <w:p w14:paraId="6D8DCAB8" w14:textId="77777777" w:rsidR="00FD402C" w:rsidRPr="009118AB" w:rsidRDefault="00FD402C" w:rsidP="00FD402C">
      <w:pPr>
        <w:autoSpaceDE w:val="0"/>
        <w:autoSpaceDN w:val="0"/>
        <w:adjustRightInd w:val="0"/>
        <w:jc w:val="both"/>
      </w:pPr>
    </w:p>
    <w:p w14:paraId="73A6D7AC" w14:textId="77777777" w:rsidR="00FD402C" w:rsidRPr="009118AB" w:rsidRDefault="00FD402C" w:rsidP="00FD402C">
      <w:pPr>
        <w:autoSpaceDE w:val="0"/>
        <w:autoSpaceDN w:val="0"/>
        <w:adjustRightInd w:val="0"/>
        <w:jc w:val="both"/>
      </w:pPr>
      <w:r w:rsidRPr="009118AB">
        <w:lastRenderedPageBreak/>
        <w:tab/>
        <w:t>Der König befreit durch einen im Ministerrat beratenen Erlass unter den von Ihm festgelegten Bedingungen Preise und Subsidien, die durch die von Ihm zugelassenen Einrichtungen zuerkannt werden, von der Steuer,</w:t>
      </w:r>
    </w:p>
    <w:p w14:paraId="5DC9A9B5" w14:textId="77777777" w:rsidR="002C63D0" w:rsidRPr="009118AB" w:rsidRDefault="002C63D0" w:rsidP="00FD402C">
      <w:pPr>
        <w:autoSpaceDE w:val="0"/>
        <w:autoSpaceDN w:val="0"/>
        <w:adjustRightInd w:val="0"/>
        <w:jc w:val="both"/>
      </w:pPr>
    </w:p>
    <w:p w14:paraId="0449786E" w14:textId="761FA949" w:rsidR="002C63D0" w:rsidRPr="009118AB" w:rsidRDefault="002C63D0" w:rsidP="00FD402C">
      <w:pPr>
        <w:autoSpaceDE w:val="0"/>
        <w:autoSpaceDN w:val="0"/>
        <w:adjustRightInd w:val="0"/>
        <w:jc w:val="both"/>
      </w:pPr>
      <w:r w:rsidRPr="009118AB">
        <w:tab/>
        <w:t>[</w:t>
      </w:r>
      <w:r w:rsidRPr="009118AB">
        <w:rPr>
          <w:lang w:eastAsia="fr-BE"/>
        </w:rPr>
        <w:t>2</w:t>
      </w:r>
      <w:r w:rsidRPr="009118AB">
        <w:rPr>
          <w:i/>
          <w:iCs/>
          <w:lang w:eastAsia="fr-BE"/>
        </w:rPr>
        <w:t>bis</w:t>
      </w:r>
      <w:r w:rsidRPr="009118AB">
        <w:rPr>
          <w:lang w:eastAsia="fr-BE"/>
        </w:rPr>
        <w:t>. Preisgelder für den ersten Teilbetrag von 30.000 EUR brutto pro Besteuerungszeitraum, die von nationalen oder internationalen Sportverbänden, von Nationalen Olympischen Komitees, von belgischen oder ausländischen öffentlichen Behörden oder von öffentlichen Einrichtungen ohne Gewinnerzielungsabsicht, die vom Internationalen Olympischen Komitee anerkannt sind, anlässlich einer sportlichen Leistung bei Olympischen Spielen, Paralympischen Spielen, Welt- oder Europameisterschaften oder anderen Kontinentalmeisterschaften vergeben werden,]</w:t>
      </w:r>
    </w:p>
    <w:p w14:paraId="62ACD1CD" w14:textId="77777777" w:rsidR="00FD402C" w:rsidRPr="009118AB" w:rsidRDefault="00FD402C" w:rsidP="00FD402C">
      <w:pPr>
        <w:autoSpaceDE w:val="0"/>
        <w:autoSpaceDN w:val="0"/>
        <w:adjustRightInd w:val="0"/>
        <w:jc w:val="both"/>
      </w:pPr>
    </w:p>
    <w:p w14:paraId="1AF98A1B" w14:textId="77777777" w:rsidR="00FD402C" w:rsidRPr="009118AB" w:rsidRDefault="00FD402C" w:rsidP="00FD402C">
      <w:pPr>
        <w:autoSpaceDE w:val="0"/>
        <w:autoSpaceDN w:val="0"/>
        <w:adjustRightInd w:val="0"/>
        <w:jc w:val="both"/>
      </w:pPr>
      <w:r w:rsidRPr="009118AB">
        <w:tab/>
        <w:t>3. [Unterhaltsleistungen, die Steuerpflichtigen regelmäßig von Personen zuerkannt werden, zu deren Haushalt sie nicht gehören, wenn sie ihnen in Ausführung [einer Verpflichtung aus dem Zivilgesetzbuch oder dem Gerichtsgesetzbuch oder in Ausführung einer vergleichbaren gesetzlichen Verpflichtung aus ausländischen Rechtsvorschriften] zuerkannt werden, und Kapitalien, die solche Unterhaltsleistungen ersetzen,]</w:t>
      </w:r>
    </w:p>
    <w:p w14:paraId="7233DF1C" w14:textId="77777777" w:rsidR="00FD402C" w:rsidRPr="009118AB" w:rsidRDefault="00FD402C" w:rsidP="00FD402C">
      <w:pPr>
        <w:autoSpaceDE w:val="0"/>
        <w:autoSpaceDN w:val="0"/>
        <w:adjustRightInd w:val="0"/>
        <w:jc w:val="both"/>
      </w:pPr>
    </w:p>
    <w:p w14:paraId="4B0322F1" w14:textId="6EDA3BC9" w:rsidR="00FD402C" w:rsidRPr="009118AB" w:rsidRDefault="00FD402C" w:rsidP="00FD402C">
      <w:pPr>
        <w:autoSpaceDE w:val="0"/>
        <w:autoSpaceDN w:val="0"/>
        <w:adjustRightInd w:val="0"/>
        <w:jc w:val="both"/>
      </w:pPr>
      <w:r w:rsidRPr="009118AB">
        <w:tab/>
        <w:t xml:space="preserve">4. in </w:t>
      </w:r>
      <w:r w:rsidR="00D67EB8" w:rsidRPr="009118AB">
        <w:t>Nr. </w:t>
      </w:r>
      <w:r w:rsidRPr="009118AB">
        <w:t>3 erwähnte Unterhaltsleistungen oder ergänzende Unterhaltsleistungen, die dem Steuerpflichtigen nach dem Besteuerungszeitraum, auf den sie sich beziehen, in Ausführung einer gerichtlichen Entscheidung gezahlt werden, mit der ihr Betrag rückwirkend festgelegt oder erhöht worden ist,</w:t>
      </w:r>
    </w:p>
    <w:p w14:paraId="5260556F" w14:textId="77777777" w:rsidR="00FD402C" w:rsidRPr="009118AB" w:rsidRDefault="00FD402C" w:rsidP="00FD402C">
      <w:pPr>
        <w:autoSpaceDE w:val="0"/>
        <w:autoSpaceDN w:val="0"/>
        <w:adjustRightInd w:val="0"/>
        <w:jc w:val="both"/>
      </w:pPr>
    </w:p>
    <w:p w14:paraId="54BA7404" w14:textId="77777777" w:rsidR="00FD402C" w:rsidRPr="009118AB" w:rsidRDefault="00FD402C" w:rsidP="00FD402C">
      <w:pPr>
        <w:ind w:firstLine="708"/>
        <w:jc w:val="both"/>
      </w:pPr>
      <w:r w:rsidRPr="009118AB">
        <w:t>5. [Einkünfte, die außerhalb der Ausübung einer Berufstätigkeit erzielt werden:</w:t>
      </w:r>
    </w:p>
    <w:p w14:paraId="10019E7D" w14:textId="77777777" w:rsidR="00FD402C" w:rsidRPr="009118AB" w:rsidRDefault="00FD402C" w:rsidP="00FD402C">
      <w:pPr>
        <w:jc w:val="both"/>
      </w:pPr>
    </w:p>
    <w:p w14:paraId="2929DD81" w14:textId="77777777" w:rsidR="00FD402C" w:rsidRPr="009118AB" w:rsidRDefault="00FD402C" w:rsidP="00FD402C">
      <w:pPr>
        <w:ind w:firstLine="708"/>
        <w:jc w:val="both"/>
      </w:pPr>
      <w:r w:rsidRPr="009118AB">
        <w:rPr>
          <w:i/>
        </w:rPr>
        <w:t>a)</w:t>
      </w:r>
      <w:r w:rsidRPr="009118AB">
        <w:t> aus der Untervermietung von möblierten oder nicht möblierten unbeweglichen Gütern oder aus der Abtretung eines Mietvertrags über möblierte oder nicht möblierte unbewegliche Güter,</w:t>
      </w:r>
    </w:p>
    <w:p w14:paraId="46236B44" w14:textId="77777777" w:rsidR="00FD402C" w:rsidRPr="009118AB" w:rsidRDefault="00FD402C" w:rsidP="00FD402C">
      <w:pPr>
        <w:jc w:val="both"/>
      </w:pPr>
    </w:p>
    <w:p w14:paraId="57D6DB88" w14:textId="77777777" w:rsidR="00FD402C" w:rsidRPr="009118AB" w:rsidRDefault="00FD402C" w:rsidP="00FD402C">
      <w:pPr>
        <w:ind w:firstLine="708"/>
        <w:jc w:val="both"/>
      </w:pPr>
      <w:r w:rsidRPr="009118AB">
        <w:rPr>
          <w:i/>
        </w:rPr>
        <w:t>b)</w:t>
      </w:r>
      <w:r w:rsidRPr="009118AB">
        <w:t> aus der zeitweiligen Überlassung des Rechts, eine ihrem Wesen nach unbewegliche Fläche, die nicht innerhalb der Umfriedung einer Sportanlage liegt, zu nutzen, um dort Plakate oder andere Werbeträger anzubringen, oder</w:t>
      </w:r>
    </w:p>
    <w:p w14:paraId="68B0C35A" w14:textId="77777777" w:rsidR="00FD402C" w:rsidRPr="009118AB" w:rsidRDefault="00FD402C" w:rsidP="00FD402C">
      <w:pPr>
        <w:jc w:val="both"/>
      </w:pPr>
    </w:p>
    <w:p w14:paraId="60433074" w14:textId="77777777" w:rsidR="00FD402C" w:rsidRPr="009118AB" w:rsidRDefault="00FD402C" w:rsidP="00FD402C">
      <w:pPr>
        <w:autoSpaceDE w:val="0"/>
        <w:autoSpaceDN w:val="0"/>
        <w:adjustRightInd w:val="0"/>
        <w:jc w:val="both"/>
      </w:pPr>
      <w:r w:rsidRPr="009118AB">
        <w:rPr>
          <w:i/>
        </w:rPr>
        <w:tab/>
        <w:t>c)</w:t>
      </w:r>
      <w:r w:rsidRPr="009118AB">
        <w:t> aus der zeitweiligen Überlassung des Rechts, eine ihrem Wesen nach unbewegliche Fläche zu nutzen, um dort Übertragungs- und Empfangseinrichtungen von Mobiltelefon</w:t>
      </w:r>
      <w:r w:rsidRPr="009118AB">
        <w:softHyphen/>
        <w:t>betreibern anzubringen,]</w:t>
      </w:r>
    </w:p>
    <w:p w14:paraId="0CA6CD67" w14:textId="77777777" w:rsidR="00FD402C" w:rsidRPr="009118AB" w:rsidRDefault="00FD402C" w:rsidP="00FD402C">
      <w:pPr>
        <w:autoSpaceDE w:val="0"/>
        <w:autoSpaceDN w:val="0"/>
        <w:adjustRightInd w:val="0"/>
        <w:jc w:val="both"/>
      </w:pPr>
    </w:p>
    <w:p w14:paraId="7622942C" w14:textId="77777777" w:rsidR="00FD402C" w:rsidRPr="009118AB" w:rsidRDefault="00FD402C" w:rsidP="00FD402C">
      <w:pPr>
        <w:autoSpaceDE w:val="0"/>
        <w:autoSpaceDN w:val="0"/>
        <w:adjustRightInd w:val="0"/>
        <w:jc w:val="both"/>
      </w:pPr>
      <w:r w:rsidRPr="009118AB">
        <w:tab/>
        <w:t>6. Lose in Bezug auf Anleihepapiere ausschließlich der Lose, die von belgischen Real- und Personensteuern oder von allen Steuern befreit wurden,</w:t>
      </w:r>
    </w:p>
    <w:p w14:paraId="279B5F30" w14:textId="77777777" w:rsidR="00FD402C" w:rsidRPr="009118AB" w:rsidRDefault="00FD402C" w:rsidP="00FD402C">
      <w:pPr>
        <w:autoSpaceDE w:val="0"/>
        <w:autoSpaceDN w:val="0"/>
        <w:adjustRightInd w:val="0"/>
      </w:pPr>
    </w:p>
    <w:p w14:paraId="0E9F6A04" w14:textId="77777777" w:rsidR="00FD402C" w:rsidRPr="009118AB" w:rsidRDefault="00FD402C" w:rsidP="00FD402C">
      <w:pPr>
        <w:autoSpaceDE w:val="0"/>
        <w:autoSpaceDN w:val="0"/>
        <w:adjustRightInd w:val="0"/>
        <w:jc w:val="both"/>
      </w:pPr>
      <w:r w:rsidRPr="009118AB">
        <w:tab/>
        <w:t>7. Erträge aus der Verpachtung des Jagd-, Fischerei- und Vogelfangrechts,</w:t>
      </w:r>
    </w:p>
    <w:p w14:paraId="29FE7A8A" w14:textId="33B8C47C" w:rsidR="00FD402C" w:rsidRPr="009118AB" w:rsidRDefault="00FD402C" w:rsidP="00FD402C"/>
    <w:p w14:paraId="22AFD8DA" w14:textId="77777777" w:rsidR="00FD402C" w:rsidRPr="009118AB" w:rsidRDefault="00FD402C" w:rsidP="00FD402C">
      <w:pPr>
        <w:autoSpaceDE w:val="0"/>
        <w:autoSpaceDN w:val="0"/>
        <w:adjustRightInd w:val="0"/>
        <w:jc w:val="both"/>
      </w:pPr>
      <w:r w:rsidRPr="009118AB">
        <w:tab/>
        <w:t>8. Mehrwerte, die anlässlich einer entgeltlichen Abtretung verwirklicht werden auf in Belgien gelegene unbebaute unbewegliche Güter oder auf dingliche Rechte an diesen unbeweglichen Gütern, die keine Erbpachtrechte, Erbbaurechte oder gleichartige Rechte an unbeweglichen Gütern sind, sofern:</w:t>
      </w:r>
    </w:p>
    <w:p w14:paraId="4F1ED911" w14:textId="77777777" w:rsidR="00FD402C" w:rsidRPr="009118AB" w:rsidRDefault="00FD402C" w:rsidP="00FD402C">
      <w:pPr>
        <w:autoSpaceDE w:val="0"/>
        <w:autoSpaceDN w:val="0"/>
        <w:adjustRightInd w:val="0"/>
        <w:jc w:val="both"/>
      </w:pPr>
    </w:p>
    <w:p w14:paraId="6D7A5204" w14:textId="77777777" w:rsidR="00FD402C" w:rsidRPr="009118AB" w:rsidRDefault="00FD402C" w:rsidP="00FD402C">
      <w:pPr>
        <w:autoSpaceDE w:val="0"/>
        <w:autoSpaceDN w:val="0"/>
        <w:adjustRightInd w:val="0"/>
        <w:jc w:val="both"/>
      </w:pPr>
      <w:r w:rsidRPr="009118AB">
        <w:rPr>
          <w:i/>
          <w:iCs/>
        </w:rPr>
        <w:tab/>
        <w:t xml:space="preserve">a) </w:t>
      </w:r>
      <w:r w:rsidRPr="009118AB">
        <w:t xml:space="preserve">die Güter entgeltlich erworben wurden und innerhalb acht Jahren nach dem Datum der öffentlichen Erwerbsurkunde oder, in Ermangelung einer öffentlichen Urkunde, nach dem </w:t>
      </w:r>
      <w:r w:rsidRPr="009118AB">
        <w:lastRenderedPageBreak/>
        <w:t>Datum, an dem eine andere Urkunde oder ein anderes Schriftstück zur Feststellung des Erwerbs der Registrierungsformalität unterworfen wurde, veräußert werden,</w:t>
      </w:r>
    </w:p>
    <w:p w14:paraId="08A9526D" w14:textId="77777777" w:rsidR="00FD402C" w:rsidRPr="009118AB" w:rsidRDefault="00FD402C" w:rsidP="00FD402C">
      <w:pPr>
        <w:autoSpaceDE w:val="0"/>
        <w:autoSpaceDN w:val="0"/>
        <w:adjustRightInd w:val="0"/>
        <w:jc w:val="both"/>
      </w:pPr>
    </w:p>
    <w:p w14:paraId="62CBD385" w14:textId="77777777" w:rsidR="00FD402C" w:rsidRPr="009118AB" w:rsidRDefault="00FD402C" w:rsidP="00FD402C">
      <w:pPr>
        <w:autoSpaceDE w:val="0"/>
        <w:autoSpaceDN w:val="0"/>
        <w:adjustRightInd w:val="0"/>
        <w:jc w:val="both"/>
      </w:pPr>
      <w:r w:rsidRPr="009118AB">
        <w:rPr>
          <w:i/>
          <w:iCs/>
        </w:rPr>
        <w:tab/>
        <w:t>b)</w:t>
      </w:r>
      <w:r w:rsidRPr="009118AB">
        <w:t xml:space="preserve"> die Güter durch Schenkung unter Lebenden erworben wurden und innerhalb dreier Jahre nach der Schenkungsurkunde und innerhalb acht Jahren nach dem Datum der öffentlichen Erwerbsurkunde über den entgeltlichen Erwerb durch den Schenker oder, in Ermangelung einer öffentlichen Urkunde, nach dem Datum, an dem eine andere Urkunde oder ein anderes Schriftstück zur Feststellung des entgeltlichen Erwerbs durch den Schenker der Registrierungsformalität unterworfen wurde, veräußert werden,</w:t>
      </w:r>
    </w:p>
    <w:p w14:paraId="407E90CC" w14:textId="77777777" w:rsidR="00FD402C" w:rsidRPr="009118AB" w:rsidRDefault="00FD402C" w:rsidP="00FD402C">
      <w:pPr>
        <w:autoSpaceDE w:val="0"/>
        <w:autoSpaceDN w:val="0"/>
        <w:adjustRightInd w:val="0"/>
        <w:jc w:val="both"/>
      </w:pPr>
    </w:p>
    <w:p w14:paraId="5285C923" w14:textId="77777777" w:rsidR="00FD402C" w:rsidRPr="009118AB" w:rsidRDefault="00FD402C" w:rsidP="00FD402C">
      <w:pPr>
        <w:autoSpaceDE w:val="0"/>
        <w:autoSpaceDN w:val="0"/>
        <w:adjustRightInd w:val="0"/>
        <w:jc w:val="both"/>
      </w:pPr>
      <w:r w:rsidRPr="009118AB">
        <w:tab/>
        <w:t>9. [Mehrwerte auf Aktien oder Anteile, die:</w:t>
      </w:r>
    </w:p>
    <w:p w14:paraId="7182142F" w14:textId="77777777" w:rsidR="00FD402C" w:rsidRPr="009118AB" w:rsidRDefault="00FD402C" w:rsidP="00FD402C">
      <w:pPr>
        <w:autoSpaceDE w:val="0"/>
        <w:autoSpaceDN w:val="0"/>
        <w:adjustRightInd w:val="0"/>
        <w:jc w:val="both"/>
      </w:pPr>
    </w:p>
    <w:p w14:paraId="264D526D" w14:textId="77777777" w:rsidR="00FD402C" w:rsidRPr="009118AB" w:rsidRDefault="00FD402C" w:rsidP="00FD402C">
      <w:pPr>
        <w:autoSpaceDE w:val="0"/>
        <w:autoSpaceDN w:val="0"/>
        <w:adjustRightInd w:val="0"/>
        <w:jc w:val="both"/>
      </w:pPr>
      <w:r w:rsidRPr="009118AB">
        <w:tab/>
        <w:t xml:space="preserve">- entweder anlässlich der entgeltlichen Übertragung dieser Aktien oder Anteile außerhalb der Ausübung einer Berufstätigkeit verwirklicht werden, Verrichtungen in Bezug auf die normale Verwaltung eines Privatvermögens ausgenommen, </w:t>
      </w:r>
    </w:p>
    <w:p w14:paraId="7F5FE31B" w14:textId="77777777" w:rsidR="00FD402C" w:rsidRPr="009118AB" w:rsidRDefault="00FD402C" w:rsidP="00FD402C">
      <w:pPr>
        <w:autoSpaceDE w:val="0"/>
        <w:autoSpaceDN w:val="0"/>
        <w:adjustRightInd w:val="0"/>
        <w:jc w:val="both"/>
      </w:pPr>
    </w:p>
    <w:p w14:paraId="1C9875E7" w14:textId="092D55E5" w:rsidR="00FD402C" w:rsidRPr="009118AB" w:rsidRDefault="00FD402C" w:rsidP="00FD402C">
      <w:pPr>
        <w:autoSpaceDE w:val="0"/>
        <w:autoSpaceDN w:val="0"/>
        <w:adjustRightInd w:val="0"/>
        <w:jc w:val="both"/>
      </w:pPr>
      <w:r w:rsidRPr="009118AB">
        <w:tab/>
        <w:t xml:space="preserve">- oder anlässlich der entgeltlichen Übertragung von Aktien oder Anteilen, die Gesellschaftsrechte an einer inländischen Gesellschaft verbriefen, auf eine in Artikel 227 </w:t>
      </w:r>
      <w:r w:rsidR="00D67EB8" w:rsidRPr="009118AB">
        <w:t>Nr. </w:t>
      </w:r>
      <w:r w:rsidRPr="009118AB">
        <w:t>2 oder 3 erwähnte juristische Person, deren […] Hauptniederlassung oder Geschäftsführungs- oder Verwaltungssitz nicht in einem Mitgliedstaat des Europäischen Wirtschaftsraums liegt, außerhalb der Ausübung einer Berufstätigkeit verwirklicht werden, sofern der Zedent oder sein Rechtsvorgänger, wenn die Aktien oder Anteile nicht entgeltlich erworben wurden, zu irgendeinem Zeitpunkt in den fünf Jahren vor der Übertragung allein oder mit seinem Ehepartner oder seinen Verwandten in absteigender Linie, in aufsteigender Linie und in der Seitenlinie bis zum zweiten Grad einschließlich und denjenigen seines Ehepartners direkt oder indirekt mehr als 25 Prozent der Rechte an der Gesellschaft, deren Aktien oder Anteile übertragen werden, besessen hat,]</w:t>
      </w:r>
    </w:p>
    <w:p w14:paraId="1FEFD265" w14:textId="77777777" w:rsidR="00FD402C" w:rsidRPr="009118AB" w:rsidRDefault="00FD402C" w:rsidP="00FD402C">
      <w:pPr>
        <w:autoSpaceDE w:val="0"/>
        <w:autoSpaceDN w:val="0"/>
        <w:adjustRightInd w:val="0"/>
        <w:jc w:val="both"/>
      </w:pPr>
    </w:p>
    <w:p w14:paraId="4E673E5D" w14:textId="38B94A5C" w:rsidR="00FD402C" w:rsidRPr="009118AB" w:rsidRDefault="00FD402C" w:rsidP="00FD402C">
      <w:pPr>
        <w:autoSpaceDE w:val="0"/>
        <w:autoSpaceDN w:val="0"/>
        <w:adjustRightInd w:val="0"/>
        <w:jc w:val="both"/>
      </w:pPr>
      <w:r w:rsidRPr="009118AB">
        <w:tab/>
        <w:t>[10. Mehrwerte, die anlässlich einer entgeltlichen Abtretung verwirklicht werden auf in Belgien gelegene bebaute unbewegliche Güter oder auf dingliche Rechte an diesen unbeweglichen Gütern, die keine Erbpachtrechte, Erbbaurechte oder gleichartige Rechte an unbeweglichen Gütern sind, sofern:</w:t>
      </w:r>
    </w:p>
    <w:p w14:paraId="69D04F2C" w14:textId="77777777" w:rsidR="00FD402C" w:rsidRPr="009118AB" w:rsidRDefault="00FD402C" w:rsidP="00FD402C">
      <w:pPr>
        <w:autoSpaceDE w:val="0"/>
        <w:autoSpaceDN w:val="0"/>
        <w:adjustRightInd w:val="0"/>
        <w:jc w:val="both"/>
      </w:pPr>
    </w:p>
    <w:p w14:paraId="777A3F92" w14:textId="77777777" w:rsidR="00FD402C" w:rsidRPr="009118AB" w:rsidRDefault="00FD402C" w:rsidP="00FD402C">
      <w:pPr>
        <w:autoSpaceDE w:val="0"/>
        <w:autoSpaceDN w:val="0"/>
        <w:adjustRightInd w:val="0"/>
        <w:jc w:val="both"/>
      </w:pPr>
      <w:r w:rsidRPr="009118AB">
        <w:rPr>
          <w:i/>
          <w:iCs/>
        </w:rPr>
        <w:tab/>
        <w:t xml:space="preserve">a) </w:t>
      </w:r>
      <w:r w:rsidRPr="009118AB">
        <w:t>es sich um bebaute unbewegliche Güter handelt, die entgeltlich erworben wurden und innerhalb fünf Jahren nach dem Erwerbsdatum veräußert werden,</w:t>
      </w:r>
    </w:p>
    <w:p w14:paraId="27E5B628" w14:textId="77777777" w:rsidR="00FD402C" w:rsidRPr="009118AB" w:rsidRDefault="00FD402C" w:rsidP="00FD402C">
      <w:pPr>
        <w:autoSpaceDE w:val="0"/>
        <w:autoSpaceDN w:val="0"/>
        <w:adjustRightInd w:val="0"/>
        <w:jc w:val="both"/>
      </w:pPr>
    </w:p>
    <w:p w14:paraId="3289E896" w14:textId="77777777" w:rsidR="00FD402C" w:rsidRPr="009118AB" w:rsidRDefault="00FD402C" w:rsidP="00FD402C">
      <w:pPr>
        <w:autoSpaceDE w:val="0"/>
        <w:autoSpaceDN w:val="0"/>
        <w:adjustRightInd w:val="0"/>
        <w:jc w:val="both"/>
      </w:pPr>
      <w:r w:rsidRPr="009118AB">
        <w:rPr>
          <w:i/>
          <w:iCs/>
        </w:rPr>
        <w:tab/>
        <w:t>b)</w:t>
      </w:r>
      <w:r w:rsidRPr="009118AB">
        <w:t xml:space="preserve"> es sich um bebaute unbewegliche Güter handelt, die durch Schenkung unter Lebenden erworben wurden und innerhalb dreier Jahre nach der Schenkungsurkunde und innerhalb fünf Jahren nach dem Datum des entgeltlichen Erwerbs durch den Schenker veräußert werden,</w:t>
      </w:r>
    </w:p>
    <w:p w14:paraId="6FAC83FA" w14:textId="77777777" w:rsidR="00FD402C" w:rsidRPr="009118AB" w:rsidRDefault="00FD402C" w:rsidP="00FD402C">
      <w:pPr>
        <w:autoSpaceDE w:val="0"/>
        <w:autoSpaceDN w:val="0"/>
        <w:adjustRightInd w:val="0"/>
        <w:jc w:val="both"/>
      </w:pPr>
    </w:p>
    <w:p w14:paraId="48500495" w14:textId="77777777" w:rsidR="00FD402C" w:rsidRPr="009118AB" w:rsidRDefault="00FD402C" w:rsidP="00FD402C">
      <w:pPr>
        <w:autoSpaceDE w:val="0"/>
        <w:autoSpaceDN w:val="0"/>
        <w:adjustRightInd w:val="0"/>
        <w:jc w:val="both"/>
      </w:pPr>
      <w:r w:rsidRPr="009118AB">
        <w:rPr>
          <w:i/>
          <w:iCs/>
        </w:rPr>
        <w:tab/>
        <w:t>c)</w:t>
      </w:r>
      <w:r w:rsidRPr="009118AB">
        <w:t xml:space="preserve"> es sich um unbebaute unbewegliche Güter handelt, die vom Steuerpflichtigen entgeltlich oder durch Schenkung unter Lebenden erworben wurden, und auf ihnen ein Gebäude von ihm errichtet wurde, sofern innerhalb fünf Jahren nach dem entgeltlichen Erwerb des Grundstücks durch den Steuerpflichtigen oder den Schenker mit dem Bau begonnen wurde und das gesamte Gut innerhalb fünf Jahren nach dem Datum der ersten Ingebrauchnahme oder Vermietung des unbeweglichen Gutes veräußert wird. </w:t>
      </w:r>
    </w:p>
    <w:p w14:paraId="40CC9E39" w14:textId="77777777" w:rsidR="00FD402C" w:rsidRPr="009118AB" w:rsidRDefault="00FD402C" w:rsidP="00FD402C">
      <w:pPr>
        <w:autoSpaceDE w:val="0"/>
        <w:autoSpaceDN w:val="0"/>
        <w:adjustRightInd w:val="0"/>
        <w:jc w:val="both"/>
      </w:pPr>
    </w:p>
    <w:p w14:paraId="626EBC9B" w14:textId="77777777" w:rsidR="00A0531D" w:rsidRDefault="00A0531D">
      <w:r>
        <w:br w:type="page"/>
      </w:r>
    </w:p>
    <w:p w14:paraId="04DEBF3C" w14:textId="10673526" w:rsidR="00FD402C" w:rsidRPr="009118AB" w:rsidRDefault="00FD402C" w:rsidP="00FD402C">
      <w:pPr>
        <w:autoSpaceDE w:val="0"/>
        <w:autoSpaceDN w:val="0"/>
        <w:adjustRightInd w:val="0"/>
        <w:jc w:val="both"/>
      </w:pPr>
      <w:r w:rsidRPr="009118AB">
        <w:lastRenderedPageBreak/>
        <w:tab/>
        <w:t>Unter Erwerbs- oder Veräußerungsdatum versteht man:</w:t>
      </w:r>
    </w:p>
    <w:p w14:paraId="705B220F" w14:textId="77777777" w:rsidR="00FD402C" w:rsidRPr="009118AB" w:rsidRDefault="00FD402C" w:rsidP="00FD402C">
      <w:pPr>
        <w:autoSpaceDE w:val="0"/>
        <w:autoSpaceDN w:val="0"/>
        <w:adjustRightInd w:val="0"/>
        <w:jc w:val="both"/>
      </w:pPr>
    </w:p>
    <w:p w14:paraId="73367B4E" w14:textId="77777777" w:rsidR="00FD402C" w:rsidRPr="009118AB" w:rsidRDefault="00FD402C" w:rsidP="00FD402C">
      <w:pPr>
        <w:autoSpaceDE w:val="0"/>
        <w:autoSpaceDN w:val="0"/>
        <w:adjustRightInd w:val="0"/>
        <w:jc w:val="both"/>
      </w:pPr>
      <w:r w:rsidRPr="009118AB">
        <w:tab/>
        <w:t>- das Datum der öffentlichen Erwerbs- oder Veräußerungsurkunde</w:t>
      </w:r>
    </w:p>
    <w:p w14:paraId="0C2541DF" w14:textId="77777777" w:rsidR="00FD402C" w:rsidRPr="009118AB" w:rsidRDefault="00FD402C" w:rsidP="00FD402C">
      <w:pPr>
        <w:autoSpaceDE w:val="0"/>
        <w:autoSpaceDN w:val="0"/>
        <w:adjustRightInd w:val="0"/>
        <w:jc w:val="both"/>
      </w:pPr>
    </w:p>
    <w:p w14:paraId="0C5CB619" w14:textId="77777777" w:rsidR="00FD402C" w:rsidRPr="009118AB" w:rsidRDefault="00FD402C" w:rsidP="00FD402C">
      <w:pPr>
        <w:autoSpaceDE w:val="0"/>
        <w:autoSpaceDN w:val="0"/>
        <w:adjustRightInd w:val="0"/>
        <w:jc w:val="both"/>
      </w:pPr>
      <w:r w:rsidRPr="009118AB">
        <w:tab/>
        <w:t>- oder, in Ermangelung einer öffentlichen Urkunde, das Datum, an dem eine andere Urkunde oder ein anderes Schriftstück zur Feststellung des Erwerbs oder der Veräußerung der Registrierungsformalität unterworfen wurde,]</w:t>
      </w:r>
    </w:p>
    <w:p w14:paraId="5BC28564" w14:textId="77777777" w:rsidR="00FD402C" w:rsidRPr="009118AB" w:rsidRDefault="00FD402C" w:rsidP="00FD402C">
      <w:pPr>
        <w:autoSpaceDE w:val="0"/>
        <w:autoSpaceDN w:val="0"/>
        <w:adjustRightInd w:val="0"/>
        <w:jc w:val="both"/>
      </w:pPr>
    </w:p>
    <w:p w14:paraId="508442E4" w14:textId="77777777" w:rsidR="00FD402C" w:rsidRPr="009118AB" w:rsidRDefault="00FD402C" w:rsidP="00FD402C">
      <w:pPr>
        <w:autoSpaceDE w:val="0"/>
        <w:autoSpaceDN w:val="0"/>
        <w:adjustRightInd w:val="0"/>
        <w:jc w:val="both"/>
      </w:pPr>
      <w:r w:rsidRPr="009118AB">
        <w:tab/>
        <w:t>[11. Entschädigungen für fehlende Kupons oder für fehlende Lose in Bezug auf Finanzinstrumente, die Gegenstand einer Vereinbarung über die Leistung von dinglichen Sicherheiten oder eines Verleihs sind,]</w:t>
      </w:r>
    </w:p>
    <w:p w14:paraId="7D06FE70" w14:textId="77777777" w:rsidR="00FD402C" w:rsidRPr="009118AB" w:rsidRDefault="00FD402C" w:rsidP="00FD402C">
      <w:pPr>
        <w:autoSpaceDE w:val="0"/>
        <w:autoSpaceDN w:val="0"/>
        <w:adjustRightInd w:val="0"/>
        <w:jc w:val="both"/>
      </w:pPr>
    </w:p>
    <w:p w14:paraId="105C182F" w14:textId="52DD07B6" w:rsidR="00FD402C" w:rsidRPr="009118AB" w:rsidRDefault="00FD402C" w:rsidP="00FD402C">
      <w:pPr>
        <w:autoSpaceDE w:val="0"/>
        <w:autoSpaceDN w:val="0"/>
        <w:adjustRightInd w:val="0"/>
        <w:jc w:val="both"/>
      </w:pPr>
      <w:r w:rsidRPr="009118AB">
        <w:tab/>
        <w:t>[12. persönliche Vergütungen aus der Verwertung einer Erfindung, die Forschern von einer Universität, einer Hochschule, [dem "Föderalen Fonds für wissen</w:t>
      </w:r>
      <w:r w:rsidRPr="009118AB">
        <w:softHyphen/>
        <w:t>schaftliche Forschung</w:t>
      </w:r>
      <w:r w:rsidR="00D67EB8" w:rsidRPr="009118AB">
        <w:t> - </w:t>
      </w:r>
      <w:r w:rsidRPr="009118AB">
        <w:t>Federaal Fonds voor Wetenschappelijk Onderzoek</w:t>
      </w:r>
      <w:r w:rsidR="00D67EB8" w:rsidRPr="009118AB">
        <w:t> - </w:t>
      </w:r>
      <w:r w:rsidRPr="009118AB">
        <w:t>Fonds fédéral de la Recherche scientifique</w:t>
      </w:r>
      <w:r w:rsidR="00D67EB8" w:rsidRPr="009118AB">
        <w:t> - </w:t>
      </w:r>
      <w:r w:rsidRPr="009118AB">
        <w:t>FFWF/FFWO/FFRS", dem "Fonds voor Wetenschappelijk Onder</w:t>
      </w:r>
      <w:r w:rsidRPr="009118AB">
        <w:softHyphen/>
        <w:t>zoek</w:t>
      </w:r>
      <w:r w:rsidRPr="009118AB">
        <w:noBreakHyphen/>
        <w:t>Vlaanderen</w:t>
      </w:r>
      <w:r w:rsidR="00D67EB8" w:rsidRPr="009118AB">
        <w:t> - </w:t>
      </w:r>
      <w:r w:rsidRPr="009118AB">
        <w:t>FWO", dem "Fonds de la Recherche scientifique</w:t>
      </w:r>
      <w:r w:rsidR="00D67EB8" w:rsidRPr="009118AB">
        <w:t> - </w:t>
      </w:r>
      <w:r w:rsidRPr="009118AB">
        <w:t>FNRS</w:t>
      </w:r>
      <w:r w:rsidR="00D67EB8" w:rsidRPr="009118AB">
        <w:t> - </w:t>
      </w:r>
      <w:r w:rsidRPr="009118AB">
        <w:t>FRS</w:t>
      </w:r>
      <w:r w:rsidRPr="009118AB">
        <w:noBreakHyphen/>
        <w:t>FNRS"] oder einer gemäß Artikel 275</w:t>
      </w:r>
      <w:r w:rsidRPr="009118AB">
        <w:rPr>
          <w:vertAlign w:val="superscript"/>
        </w:rPr>
        <w:t>3</w:t>
      </w:r>
      <w:r w:rsidRPr="009118AB">
        <w:t xml:space="preserve"> </w:t>
      </w:r>
      <w:r w:rsidR="00D67EB8" w:rsidRPr="009118AB">
        <w:t>§ </w:t>
      </w:r>
      <w:r w:rsidRPr="009118AB">
        <w:t>1 Absatz 2 zugelassenen wissenschaftlichen Einrichtung gezahlt oder zuerkannt werden aufgrund einer von dieser Universität, dieser Hochschule oder dieser wissenschaftlichen Einrichtung erlassenen Valorisierungsregelung. Als "Forscher" gelten Forscher, die in Artikel 275</w:t>
      </w:r>
      <w:r w:rsidRPr="009118AB">
        <w:rPr>
          <w:vertAlign w:val="superscript"/>
        </w:rPr>
        <w:t>3</w:t>
      </w:r>
      <w:r w:rsidRPr="009118AB">
        <w:t xml:space="preserve"> </w:t>
      </w:r>
      <w:r w:rsidR="00D67EB8" w:rsidRPr="009118AB">
        <w:t>§ </w:t>
      </w:r>
      <w:r w:rsidRPr="009118AB">
        <w:t>1 Absatz 1 und 2 erwähnt sind und</w:t>
      </w:r>
      <w:r w:rsidR="00D67EB8" w:rsidRPr="009118AB">
        <w:t> - </w:t>
      </w:r>
      <w:r w:rsidRPr="009118AB">
        <w:t>allein oder in einem Team</w:t>
      </w:r>
      <w:r w:rsidR="00D67EB8" w:rsidRPr="009118AB">
        <w:t> - </w:t>
      </w:r>
      <w:r w:rsidRPr="009118AB">
        <w:t>an einer Universität, einer Hochschule oder einer zugelassenen wissenschaft</w:t>
      </w:r>
      <w:r w:rsidRPr="009118AB">
        <w:softHyphen/>
        <w:t>lichen Einrichtung Forschung betreiben, und Professoren. Als "Erfindungen" gelten patentierbare Erfindungen, Zuchtprodukte, Zeichnungen und Modelle, Topographien von Halbleitererzeug</w:t>
      </w:r>
      <w:r w:rsidRPr="009118AB">
        <w:softHyphen/>
        <w:t>nissen, EDV-Programme und Datenbanken, die zu kommerziellen Zwecken genutzt werden können,]</w:t>
      </w:r>
    </w:p>
    <w:p w14:paraId="3818828A" w14:textId="77777777" w:rsidR="00FD402C" w:rsidRPr="009118AB" w:rsidRDefault="00FD402C" w:rsidP="00FD402C">
      <w:pPr>
        <w:autoSpaceDE w:val="0"/>
        <w:autoSpaceDN w:val="0"/>
        <w:adjustRightInd w:val="0"/>
        <w:jc w:val="both"/>
      </w:pPr>
    </w:p>
    <w:p w14:paraId="1F54BC34" w14:textId="77777777" w:rsidR="00FD402C" w:rsidRPr="009118AB" w:rsidRDefault="00FD402C" w:rsidP="00FD402C">
      <w:pPr>
        <w:ind w:firstLine="708"/>
        <w:jc w:val="both"/>
      </w:pPr>
      <w:r w:rsidRPr="009118AB">
        <w:tab/>
        <w:t>[13. […].]</w:t>
      </w:r>
    </w:p>
    <w:p w14:paraId="10C4E917" w14:textId="77777777" w:rsidR="00FD402C" w:rsidRPr="009118AB" w:rsidRDefault="00FD402C" w:rsidP="00FD402C">
      <w:pPr>
        <w:autoSpaceDE w:val="0"/>
        <w:autoSpaceDN w:val="0"/>
        <w:adjustRightInd w:val="0"/>
        <w:jc w:val="both"/>
      </w:pPr>
    </w:p>
    <w:p w14:paraId="6D2ED4CB" w14:textId="2CD47C61" w:rsidR="00FD402C" w:rsidRPr="009118AB" w:rsidRDefault="00FD402C" w:rsidP="00FD402C">
      <w:pPr>
        <w:jc w:val="both"/>
      </w:pPr>
      <w:r w:rsidRPr="009118AB">
        <w:tab/>
        <w:t xml:space="preserve">[Der König erteilt in Absatz 1 </w:t>
      </w:r>
      <w:r w:rsidR="00D67EB8" w:rsidRPr="009118AB">
        <w:t>Nr. </w:t>
      </w:r>
      <w:r w:rsidRPr="009118AB">
        <w:t>1</w:t>
      </w:r>
      <w:r w:rsidRPr="009118AB">
        <w:rPr>
          <w:i/>
        </w:rPr>
        <w:t>bis</w:t>
      </w:r>
      <w:r w:rsidRPr="009118AB">
        <w:t xml:space="preserve"> erwähnten Plattformen unter den von Ihm festgelegten Bedingungen eine Zulassung. Jede Plattform erstellt am Ende jeden Jahres für jeden Dienstleistungserbringer einen Beleg, der dem betreffenden Dienstleistungserbringer und der zuständigen Verwaltung übermittelt wird und in dem mindestens Identität des Dienstleistungserbringers [und seine Nationalregisternummer im Sinne von </w:t>
      </w:r>
      <w:r w:rsidR="003366D9" w:rsidRPr="009118AB">
        <w:t>[</w:t>
      </w:r>
      <w:r w:rsidRPr="009118AB">
        <w:t xml:space="preserve">Artikel 2 </w:t>
      </w:r>
      <w:r w:rsidR="003366D9" w:rsidRPr="009118AB">
        <w:t>§ 3]</w:t>
      </w:r>
      <w:r w:rsidRPr="009118AB">
        <w:t xml:space="preserve"> des Gesetzes vom 8. August 1983 zur Organisation eines Nationalregisters der natürlichen Personen], Beschreibung der erbrachten Dienste, Betrag der Entschädigungen und Betrag und Art der einbehaltenen Summen vermerkt sind. Der König bestimmt Inhalt des Belegs, Frist, in der er übermittelt werden muss, und Weise, wie er der zuständigen Verwaltung übermittelt wird.] [Die Benutzung der nationalen Nummer ist auf die Zwecke der Erstellung des vorerwähnten Belegs begrenzt.]</w:t>
      </w:r>
    </w:p>
    <w:p w14:paraId="38A66DDA" w14:textId="77777777" w:rsidR="00FD402C" w:rsidRPr="009118AB" w:rsidRDefault="00FD402C" w:rsidP="00FD402C">
      <w:pPr>
        <w:jc w:val="both"/>
      </w:pPr>
    </w:p>
    <w:p w14:paraId="63D112A5" w14:textId="3B1184D3" w:rsidR="00FD402C" w:rsidRPr="009118AB" w:rsidRDefault="00FD402C" w:rsidP="00FD402C">
      <w:pPr>
        <w:autoSpaceDE w:val="0"/>
        <w:autoSpaceDN w:val="0"/>
        <w:adjustRightInd w:val="0"/>
        <w:jc w:val="both"/>
      </w:pPr>
      <w:r w:rsidRPr="009118AB">
        <w:tab/>
        <w:t xml:space="preserve">[Einkünfte aus unbeweglichen Gütern, Einkünfte aus beweglichen Gütern wie in Artikel 17 </w:t>
      </w:r>
      <w:r w:rsidR="00D67EB8" w:rsidRPr="009118AB">
        <w:t>§ </w:t>
      </w:r>
      <w:r w:rsidRPr="009118AB">
        <w:t xml:space="preserve">1 </w:t>
      </w:r>
      <w:r w:rsidR="00D67EB8" w:rsidRPr="009118AB">
        <w:t>Nr. </w:t>
      </w:r>
      <w:r w:rsidRPr="009118AB">
        <w:t xml:space="preserve">3 und 5 erwähnt und Einkünfte aus der Untervermietung von unbeweglichen Gütern wie in Absatz 1 </w:t>
      </w:r>
      <w:r w:rsidR="00D67EB8" w:rsidRPr="009118AB">
        <w:t>Nr. </w:t>
      </w:r>
      <w:r w:rsidRPr="009118AB">
        <w:t xml:space="preserve">5 erwähnt gelten als Einkünfte, die in Absatz 1 </w:t>
      </w:r>
      <w:r w:rsidR="00D67EB8" w:rsidRPr="009118AB">
        <w:t>Nr. </w:t>
      </w:r>
      <w:r w:rsidRPr="009118AB">
        <w:t>1</w:t>
      </w:r>
      <w:r w:rsidRPr="009118AB">
        <w:rPr>
          <w:i/>
          <w:iCs/>
        </w:rPr>
        <w:t>bis</w:t>
      </w:r>
      <w:r w:rsidRPr="009118AB">
        <w:t xml:space="preserve"> erwähnt sind, in dem Maße, wie der Empfänger dieser Einkünfte diese Güter verwendet, um die vorerwähnten Einkünfte zu erzielen.]</w:t>
      </w:r>
    </w:p>
    <w:p w14:paraId="66C52499" w14:textId="77777777" w:rsidR="00FD402C" w:rsidRPr="009118AB" w:rsidRDefault="00FD402C" w:rsidP="00FD402C">
      <w:pPr>
        <w:autoSpaceDE w:val="0"/>
        <w:autoSpaceDN w:val="0"/>
        <w:adjustRightInd w:val="0"/>
        <w:jc w:val="both"/>
      </w:pPr>
    </w:p>
    <w:p w14:paraId="3419E78F" w14:textId="77777777" w:rsidR="00FD402C" w:rsidRPr="009118AB" w:rsidRDefault="00FD402C" w:rsidP="00FD402C">
      <w:pPr>
        <w:ind w:firstLine="708"/>
        <w:jc w:val="both"/>
      </w:pPr>
      <w:r w:rsidRPr="009118AB">
        <w:tab/>
        <w:t>[...]</w:t>
      </w:r>
    </w:p>
    <w:p w14:paraId="1672F95A" w14:textId="77777777" w:rsidR="003366D9" w:rsidRPr="009118AB" w:rsidRDefault="003366D9" w:rsidP="00FD402C">
      <w:pPr>
        <w:ind w:firstLine="708"/>
        <w:jc w:val="both"/>
      </w:pPr>
    </w:p>
    <w:p w14:paraId="21DC831F" w14:textId="026785A8" w:rsidR="003366D9" w:rsidRPr="009118AB" w:rsidRDefault="003366D9" w:rsidP="00FD402C">
      <w:pPr>
        <w:ind w:firstLine="708"/>
        <w:jc w:val="both"/>
      </w:pPr>
      <w:r w:rsidRPr="009118AB">
        <w:lastRenderedPageBreak/>
        <w:t>[</w:t>
      </w:r>
      <w:r w:rsidRPr="009118AB">
        <w:rPr>
          <w:rFonts w:eastAsia="Calibri"/>
          <w:kern w:val="2"/>
          <w:szCs w:val="22"/>
          <w:lang w:eastAsia="en-US"/>
          <w14:ligatures w14:val="standardContextual"/>
        </w:rPr>
        <w:t>Jeder Schuldner von Vergütungen wie in Absatz 1 Nr. 1</w:t>
      </w:r>
      <w:r w:rsidRPr="009118AB">
        <w:rPr>
          <w:rFonts w:eastAsia="Calibri"/>
          <w:i/>
          <w:iCs/>
          <w:kern w:val="2"/>
          <w:szCs w:val="22"/>
          <w:lang w:eastAsia="en-US"/>
          <w14:ligatures w14:val="standardContextual"/>
        </w:rPr>
        <w:t>ter</w:t>
      </w:r>
      <w:r w:rsidRPr="009118AB">
        <w:rPr>
          <w:rFonts w:eastAsia="Calibri"/>
          <w:kern w:val="2"/>
          <w:szCs w:val="22"/>
          <w:lang w:eastAsia="en-US"/>
          <w14:ligatures w14:val="standardContextual"/>
        </w:rPr>
        <w:t xml:space="preserve"> erwähnt erstellt am Ende jeden Jahres für jeden Empfänger einen Beleg, der dem betreffenden Empfänger und der zuständigen Verwaltung übermittelt wird und in dem mindestens Identität des Empfängers und seine Nationalregisternummer im Sinne von Artikel 2 § 3 des Gesetzes vom 8. August 1983 zur Organisation eines Nationalregisters der natürlichen Personen, Beschreibung der erbrachten Leistungen, Anzahl der pro Quartal geleisteten Stunden und Betrag der Vergütungen, gegebenenfalls aufgegliedert entsprechend der Art, vermerkt sind. Der König bestimmt Inhalt des Belegs, Frist, in der er übermittelt werden muss, und Weise, wie er bei der zuständigen Verwaltung eingereicht wird. Die Benutzung der nationalen Nummer ist auf die Zwecke der Erstellung des vorerwähnten Belegs begrenzt.</w:t>
      </w:r>
      <w:r w:rsidRPr="009118AB">
        <w:t>]</w:t>
      </w:r>
    </w:p>
    <w:p w14:paraId="60D53AF4" w14:textId="77777777" w:rsidR="00FD402C" w:rsidRPr="009118AB" w:rsidRDefault="00FD402C" w:rsidP="00FD402C">
      <w:pPr>
        <w:autoSpaceDE w:val="0"/>
        <w:autoSpaceDN w:val="0"/>
        <w:adjustRightInd w:val="0"/>
        <w:jc w:val="both"/>
      </w:pPr>
    </w:p>
    <w:p w14:paraId="6F4392F5" w14:textId="68317BB1" w:rsidR="00FD402C" w:rsidRPr="00DD5892" w:rsidRDefault="00FD402C" w:rsidP="00FD402C">
      <w:pPr>
        <w:jc w:val="both"/>
        <w:rPr>
          <w:i/>
        </w:rPr>
      </w:pPr>
      <w:r w:rsidRPr="00BA0AAE">
        <w:rPr>
          <w:i/>
          <w:iCs/>
        </w:rPr>
        <w:t>[</w:t>
      </w:r>
      <w:r w:rsidR="00D67EB8" w:rsidRPr="00BA0AAE">
        <w:rPr>
          <w:i/>
          <w:iCs/>
        </w:rPr>
        <w:t>Art. </w:t>
      </w:r>
      <w:r w:rsidRPr="00BA0AAE">
        <w:rPr>
          <w:i/>
          <w:iCs/>
        </w:rPr>
        <w:t xml:space="preserve">90 </w:t>
      </w:r>
      <w:r w:rsidR="00D67EB8" w:rsidRPr="00BA0AAE">
        <w:rPr>
          <w:i/>
          <w:iCs/>
        </w:rPr>
        <w:t>Abs. </w:t>
      </w:r>
      <w:r w:rsidRPr="00BA0AAE">
        <w:rPr>
          <w:i/>
          <w:iCs/>
        </w:rPr>
        <w:t xml:space="preserve">1 </w:t>
      </w:r>
      <w:r w:rsidR="00D67EB8" w:rsidRPr="00BA0AAE">
        <w:rPr>
          <w:i/>
          <w:iCs/>
        </w:rPr>
        <w:t>Nr. </w:t>
      </w:r>
      <w:r w:rsidRPr="00BA0AAE">
        <w:rPr>
          <w:i/>
          <w:iCs/>
        </w:rPr>
        <w:t xml:space="preserve">1 abgeändert durch </w:t>
      </w:r>
      <w:r w:rsidR="00D67EB8" w:rsidRPr="00BA0AAE">
        <w:rPr>
          <w:i/>
          <w:iCs/>
        </w:rPr>
        <w:t>Art. </w:t>
      </w:r>
      <w:r w:rsidRPr="00BA0AAE">
        <w:rPr>
          <w:i/>
          <w:iCs/>
        </w:rPr>
        <w:t xml:space="preserve">13 </w:t>
      </w:r>
      <w:r w:rsidR="00D67EB8" w:rsidRPr="00BA0AAE">
        <w:rPr>
          <w:i/>
          <w:iCs/>
        </w:rPr>
        <w:t>Nr. </w:t>
      </w:r>
      <w:r w:rsidRPr="00BA0AAE">
        <w:rPr>
          <w:i/>
          <w:iCs/>
        </w:rPr>
        <w:t>1 des K.E. vom 20. Dezember 1996 (B.S. vom 31. Dezember 1996)</w:t>
      </w:r>
      <w:r w:rsidR="00D67EB8" w:rsidRPr="00BA0AAE">
        <w:rPr>
          <w:i/>
          <w:iCs/>
        </w:rPr>
        <w:t> - </w:t>
      </w:r>
      <w:r w:rsidRPr="00BA0AAE">
        <w:rPr>
          <w:i/>
          <w:iCs/>
        </w:rPr>
        <w:t>in Kraft ab dem 1. Januar 1997</w:t>
      </w:r>
      <w:r w:rsidR="00FD68E8" w:rsidRPr="00BA0AAE">
        <w:rPr>
          <w:i/>
          <w:iCs/>
        </w:rPr>
        <w:t> -,</w:t>
      </w:r>
      <w:r w:rsidRPr="00BA0AAE">
        <w:rPr>
          <w:i/>
          <w:iCs/>
        </w:rPr>
        <w:t xml:space="preserve"> </w:t>
      </w:r>
      <w:r w:rsidR="00D67EB8" w:rsidRPr="00BA0AAE">
        <w:rPr>
          <w:i/>
          <w:iCs/>
        </w:rPr>
        <w:t>Art. </w:t>
      </w:r>
      <w:r w:rsidRPr="00BA0AAE">
        <w:rPr>
          <w:i/>
          <w:iCs/>
        </w:rPr>
        <w:t xml:space="preserve">6 Buchstabe a) des G. </w:t>
      </w:r>
      <w:r w:rsidRPr="00A0531D">
        <w:rPr>
          <w:i/>
          <w:iCs/>
        </w:rPr>
        <w:t>vom 11. Dezember 2008 (B.S. vom 12. Januar 2009)</w:t>
      </w:r>
      <w:r w:rsidR="00D67EB8" w:rsidRPr="00A0531D">
        <w:rPr>
          <w:i/>
          <w:iCs/>
        </w:rPr>
        <w:t> - </w:t>
      </w:r>
      <w:r w:rsidRPr="00A0531D">
        <w:rPr>
          <w:i/>
          <w:iCs/>
        </w:rPr>
        <w:t>anwendbar auf Vorgänge oder Verlegungen, die ab dem 12. Januar 2009 statt</w:t>
      </w:r>
      <w:r w:rsidRPr="00A0531D">
        <w:rPr>
          <w:i/>
          <w:iCs/>
        </w:rPr>
        <w:softHyphen/>
        <w:t>finden</w:t>
      </w:r>
      <w:r w:rsidR="00FD68E8" w:rsidRPr="00A0531D">
        <w:rPr>
          <w:i/>
          <w:iCs/>
        </w:rPr>
        <w:t> -,</w:t>
      </w:r>
      <w:r w:rsidRPr="00A0531D">
        <w:rPr>
          <w:i/>
          <w:iCs/>
        </w:rPr>
        <w:t xml:space="preserve"> </w:t>
      </w:r>
      <w:r w:rsidR="00D67EB8" w:rsidRPr="00A0531D">
        <w:rPr>
          <w:i/>
          <w:iCs/>
        </w:rPr>
        <w:t>Art. </w:t>
      </w:r>
      <w:r w:rsidRPr="00A0531D">
        <w:rPr>
          <w:i/>
          <w:iCs/>
        </w:rPr>
        <w:t xml:space="preserve">36 </w:t>
      </w:r>
      <w:r w:rsidR="00D67EB8" w:rsidRPr="00A0531D">
        <w:rPr>
          <w:i/>
          <w:iCs/>
        </w:rPr>
        <w:t>Nr. </w:t>
      </w:r>
      <w:r w:rsidRPr="00A0531D">
        <w:rPr>
          <w:i/>
          <w:iCs/>
        </w:rPr>
        <w:t>1 des G. vom 1. Juli 2016 (B.S. vom 4. Juli 2016)</w:t>
      </w:r>
      <w:r w:rsidR="00D67EB8" w:rsidRPr="00A0531D">
        <w:rPr>
          <w:i/>
          <w:iCs/>
        </w:rPr>
        <w:t> - </w:t>
      </w:r>
      <w:r w:rsidRPr="00A0531D">
        <w:rPr>
          <w:i/>
          <w:iCs/>
        </w:rPr>
        <w:t>anwendbar auf die ab dem 1. Juli 2016 gezahlten oder zuerkannten Einkünfte</w:t>
      </w:r>
      <w:r w:rsidR="00FD68E8" w:rsidRPr="00A0531D">
        <w:rPr>
          <w:i/>
          <w:iCs/>
        </w:rPr>
        <w:t> -,</w:t>
      </w:r>
      <w:r w:rsidRPr="00A0531D">
        <w:rPr>
          <w:i/>
          <w:iCs/>
        </w:rPr>
        <w:t xml:space="preserve"> </w:t>
      </w:r>
      <w:r w:rsidR="00D67EB8" w:rsidRPr="00A0531D">
        <w:rPr>
          <w:i/>
          <w:iCs/>
        </w:rPr>
        <w:t>Art. </w:t>
      </w:r>
      <w:r w:rsidRPr="00A0531D">
        <w:rPr>
          <w:i/>
          <w:iCs/>
        </w:rPr>
        <w:t xml:space="preserve">46 </w:t>
      </w:r>
      <w:r w:rsidR="00D67EB8" w:rsidRPr="00A0531D">
        <w:rPr>
          <w:i/>
          <w:iCs/>
        </w:rPr>
        <w:t>Nr. </w:t>
      </w:r>
      <w:r w:rsidRPr="00A0531D">
        <w:rPr>
          <w:i/>
          <w:iCs/>
        </w:rPr>
        <w:t>1 des G. vom 18. Juli 2018 (B.S. vom 26. Juli 2018)</w:t>
      </w:r>
      <w:r w:rsidR="00D67EB8" w:rsidRPr="00A0531D">
        <w:rPr>
          <w:i/>
          <w:iCs/>
        </w:rPr>
        <w:t> - </w:t>
      </w:r>
      <w:r w:rsidRPr="00A0531D">
        <w:rPr>
          <w:i/>
          <w:iCs/>
        </w:rPr>
        <w:t>anwendbar auf die ab dem 1. Januar 2018 erzielten oder bezogenen Einkünfte</w:t>
      </w:r>
      <w:r w:rsidR="00FD68E8" w:rsidRPr="00A0531D">
        <w:rPr>
          <w:i/>
          <w:iCs/>
        </w:rPr>
        <w:t> -,</w:t>
      </w:r>
      <w:r w:rsidRPr="00A0531D">
        <w:rPr>
          <w:i/>
          <w:iCs/>
        </w:rPr>
        <w:t xml:space="preserve"> selbst bedingt für nichtig erklärt durch </w:t>
      </w:r>
      <w:r w:rsidRPr="00A0531D">
        <w:rPr>
          <w:i/>
        </w:rPr>
        <w:t xml:space="preserve">Entscheid </w:t>
      </w:r>
      <w:r w:rsidR="00D67EB8" w:rsidRPr="00A0531D">
        <w:rPr>
          <w:i/>
        </w:rPr>
        <w:t>Nr. </w:t>
      </w:r>
      <w:r w:rsidRPr="00A0531D">
        <w:rPr>
          <w:i/>
        </w:rPr>
        <w:t xml:space="preserve">53/2020 des Verfassungsgerichtshofes vom 23. April 2020 (B.S. vom 20. Mai 2020), und durch </w:t>
      </w:r>
      <w:r w:rsidR="00D67EB8" w:rsidRPr="00A0531D">
        <w:rPr>
          <w:i/>
        </w:rPr>
        <w:t>Art. </w:t>
      </w:r>
      <w:r w:rsidRPr="00A0531D">
        <w:rPr>
          <w:i/>
        </w:rPr>
        <w:t xml:space="preserve">61 </w:t>
      </w:r>
      <w:r w:rsidR="00D67EB8" w:rsidRPr="00A0531D">
        <w:rPr>
          <w:i/>
        </w:rPr>
        <w:t>Nr. </w:t>
      </w:r>
      <w:r w:rsidRPr="00A0531D">
        <w:rPr>
          <w:i/>
        </w:rPr>
        <w:t>1</w:t>
      </w:r>
      <w:r w:rsidRPr="00A0531D">
        <w:rPr>
          <w:i/>
          <w:iCs/>
        </w:rPr>
        <w:t xml:space="preserve"> des G. vom 24. Dezember 2020 (B.S. vom 31. Dezember 2020)</w:t>
      </w:r>
      <w:r w:rsidR="00D67EB8" w:rsidRPr="00A0531D">
        <w:rPr>
          <w:i/>
          <w:iCs/>
        </w:rPr>
        <w:t> - </w:t>
      </w:r>
      <w:r w:rsidRPr="00A0531D">
        <w:rPr>
          <w:i/>
          <w:iCs/>
        </w:rPr>
        <w:t>in Kraft am 1. Januar 2021 und anwendbar auf die ab dem 1. Januar 2021 erzielten oder bezogenen Einkünfte</w:t>
      </w:r>
      <w:r w:rsidR="003366D9" w:rsidRPr="00A0531D">
        <w:rPr>
          <w:i/>
          <w:iCs/>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1bis eingefügt </w:t>
      </w:r>
      <w:r w:rsidRPr="00A0531D">
        <w:rPr>
          <w:i/>
          <w:iCs/>
          <w:spacing w:val="-2"/>
        </w:rPr>
        <w:t xml:space="preserve">durch </w:t>
      </w:r>
      <w:r w:rsidR="00D67EB8" w:rsidRPr="00A0531D">
        <w:rPr>
          <w:i/>
          <w:iCs/>
          <w:spacing w:val="-2"/>
        </w:rPr>
        <w:t>Art. </w:t>
      </w:r>
      <w:r w:rsidRPr="00A0531D">
        <w:rPr>
          <w:i/>
          <w:iCs/>
          <w:spacing w:val="-2"/>
        </w:rPr>
        <w:t xml:space="preserve">36 </w:t>
      </w:r>
      <w:r w:rsidR="00D67EB8" w:rsidRPr="00A0531D">
        <w:rPr>
          <w:i/>
          <w:iCs/>
          <w:spacing w:val="-2"/>
        </w:rPr>
        <w:t>Nr. </w:t>
      </w:r>
      <w:r w:rsidRPr="00A0531D">
        <w:rPr>
          <w:i/>
          <w:iCs/>
          <w:spacing w:val="-2"/>
        </w:rPr>
        <w:t>2 des G. vom 1. Juli 2016 (B.S. vom 4. Juli 2016)</w:t>
      </w:r>
      <w:r w:rsidR="00D67EB8" w:rsidRPr="00A0531D">
        <w:rPr>
          <w:i/>
          <w:iCs/>
          <w:spacing w:val="-2"/>
        </w:rPr>
        <w:t> - </w:t>
      </w:r>
      <w:r w:rsidRPr="00A0531D">
        <w:rPr>
          <w:i/>
          <w:iCs/>
          <w:spacing w:val="-2"/>
        </w:rPr>
        <w:t xml:space="preserve">anwendbar auf die ab dem </w:t>
      </w:r>
      <w:r w:rsidRPr="00A0531D">
        <w:rPr>
          <w:i/>
          <w:iCs/>
        </w:rPr>
        <w:t>1. Juli 2016 gezahlten oder zuerkannten Einkünfte</w:t>
      </w:r>
      <w:r w:rsidR="003366D9" w:rsidRPr="00A0531D">
        <w:rPr>
          <w:i/>
          <w:iCs/>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1bis einziger Absatz einleitende Bestimmung abgeändert durch </w:t>
      </w:r>
      <w:r w:rsidR="00D67EB8" w:rsidRPr="00A0531D">
        <w:rPr>
          <w:i/>
          <w:iCs/>
        </w:rPr>
        <w:t>Art. </w:t>
      </w:r>
      <w:r w:rsidRPr="00A0531D">
        <w:rPr>
          <w:i/>
          <w:iCs/>
        </w:rPr>
        <w:t xml:space="preserve">46 </w:t>
      </w:r>
      <w:r w:rsidR="00D67EB8" w:rsidRPr="00A0531D">
        <w:rPr>
          <w:i/>
          <w:iCs/>
        </w:rPr>
        <w:t>Nr. </w:t>
      </w:r>
      <w:r w:rsidRPr="00A0531D">
        <w:rPr>
          <w:i/>
          <w:iCs/>
        </w:rPr>
        <w:t>2 des G. vom 18. Juli 2018 (B.S. vom 26. Juli 2018)</w:t>
      </w:r>
      <w:r w:rsidR="00D67EB8" w:rsidRPr="00A0531D">
        <w:rPr>
          <w:i/>
          <w:iCs/>
        </w:rPr>
        <w:t> - </w:t>
      </w:r>
      <w:r w:rsidRPr="00A0531D">
        <w:rPr>
          <w:i/>
          <w:iCs/>
        </w:rPr>
        <w:t>anwendbar auf die ab dem 1. Januar 2018 erzielten oder bezogenen Einkünfte</w:t>
      </w:r>
      <w:r w:rsidR="00D67EB8" w:rsidRPr="00A0531D">
        <w:rPr>
          <w:i/>
          <w:iCs/>
        </w:rPr>
        <w:t> - </w:t>
      </w:r>
      <w:r w:rsidRPr="00A0531D">
        <w:rPr>
          <w:i/>
          <w:iCs/>
        </w:rPr>
        <w:t xml:space="preserve">selbst bedingt für nichtig erklärt durch </w:t>
      </w:r>
      <w:r w:rsidRPr="00A0531D">
        <w:rPr>
          <w:i/>
        </w:rPr>
        <w:t xml:space="preserve">Entscheid </w:t>
      </w:r>
      <w:r w:rsidR="00D67EB8" w:rsidRPr="00A0531D">
        <w:rPr>
          <w:i/>
        </w:rPr>
        <w:t>Nr. </w:t>
      </w:r>
      <w:r w:rsidRPr="00A0531D">
        <w:rPr>
          <w:i/>
        </w:rPr>
        <w:t xml:space="preserve">53/2020 des Verfassungsgerichtshofes vom 23. April 2020 (B.S. vom 20. Mai 2020), </w:t>
      </w:r>
      <w:r w:rsidRPr="00A0531D">
        <w:rPr>
          <w:i/>
          <w:iCs/>
        </w:rPr>
        <w:t xml:space="preserve">und durch </w:t>
      </w:r>
      <w:r w:rsidR="00D67EB8" w:rsidRPr="00A0531D">
        <w:rPr>
          <w:i/>
          <w:iCs/>
        </w:rPr>
        <w:t>Art. </w:t>
      </w:r>
      <w:r w:rsidRPr="00A0531D">
        <w:rPr>
          <w:i/>
          <w:iCs/>
        </w:rPr>
        <w:t xml:space="preserve">12 </w:t>
      </w:r>
      <w:r w:rsidR="00D67EB8" w:rsidRPr="00A0531D">
        <w:rPr>
          <w:i/>
          <w:iCs/>
        </w:rPr>
        <w:t>Nr. </w:t>
      </w:r>
      <w:r w:rsidRPr="00A0531D">
        <w:rPr>
          <w:i/>
          <w:iCs/>
        </w:rPr>
        <w:t>1 des G. vom 20. Dezember 2020 (II) (B.S. vom 30. Dezember 2020)</w:t>
      </w:r>
      <w:r w:rsidR="00D67EB8" w:rsidRPr="00A0531D">
        <w:rPr>
          <w:i/>
          <w:iCs/>
        </w:rPr>
        <w:t> - </w:t>
      </w:r>
      <w:r w:rsidRPr="00A0531D">
        <w:rPr>
          <w:i/>
          <w:iCs/>
        </w:rPr>
        <w:t>in Kraft am 1. Januar 2021 und anwendbar auf die ab dem 1. Januar 2021 gezahlten oder zuerkannten Einkünfte</w:t>
      </w:r>
      <w:r w:rsidR="00D67EB8" w:rsidRPr="00A0531D">
        <w:rPr>
          <w:i/>
          <w:iCs/>
        </w:rPr>
        <w:t> - </w:t>
      </w:r>
      <w:r w:rsidR="00132B11" w:rsidRPr="00A0531D">
        <w:rPr>
          <w:i/>
          <w:iCs/>
        </w:rPr>
        <w:t xml:space="preserve">und </w:t>
      </w:r>
      <w:r w:rsidR="00D67EB8" w:rsidRPr="00A0531D">
        <w:rPr>
          <w:i/>
          <w:iCs/>
        </w:rPr>
        <w:t>Art. </w:t>
      </w:r>
      <w:r w:rsidR="00132B11" w:rsidRPr="00A0531D">
        <w:rPr>
          <w:i/>
          <w:iCs/>
        </w:rPr>
        <w:t xml:space="preserve">30 </w:t>
      </w:r>
      <w:r w:rsidR="00D67EB8" w:rsidRPr="00A0531D">
        <w:rPr>
          <w:i/>
          <w:iCs/>
        </w:rPr>
        <w:t>Nr. </w:t>
      </w:r>
      <w:r w:rsidR="00132B11" w:rsidRPr="00A0531D">
        <w:rPr>
          <w:i/>
          <w:iCs/>
        </w:rPr>
        <w:t>1</w:t>
      </w:r>
      <w:r w:rsidR="00132B11" w:rsidRPr="00A0531D">
        <w:rPr>
          <w:i/>
        </w:rPr>
        <w:t xml:space="preserve"> des G. vom 27. Juni 2021 (B.S. vom 30. Juni 2021)</w:t>
      </w:r>
      <w:r w:rsidR="00D67EB8" w:rsidRPr="00A0531D">
        <w:rPr>
          <w:i/>
        </w:rPr>
        <w:t> - </w:t>
      </w:r>
      <w:r w:rsidR="00132B11" w:rsidRPr="00A0531D">
        <w:rPr>
          <w:i/>
        </w:rPr>
        <w:t>anwendbar auf die ab dem 1. Januar 2021 bezogenen Einkünfte</w:t>
      </w:r>
      <w:r w:rsidR="003366D9" w:rsidRPr="00A0531D">
        <w:rPr>
          <w:i/>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1bis einziger Absatz </w:t>
      </w:r>
      <w:r w:rsidRPr="00A0531D">
        <w:rPr>
          <w:rFonts w:ascii="Times New Roman Italique" w:hAnsi="Times New Roman Italique"/>
          <w:i/>
          <w:iCs/>
          <w:spacing w:val="-2"/>
        </w:rPr>
        <w:t xml:space="preserve">Buchstabe b) abgeändert durch </w:t>
      </w:r>
      <w:r w:rsidR="00D67EB8" w:rsidRPr="00A0531D">
        <w:rPr>
          <w:rFonts w:ascii="Times New Roman Italique" w:hAnsi="Times New Roman Italique"/>
          <w:i/>
          <w:iCs/>
          <w:spacing w:val="-2"/>
        </w:rPr>
        <w:t>Art. </w:t>
      </w:r>
      <w:r w:rsidRPr="00A0531D">
        <w:rPr>
          <w:rFonts w:ascii="Times New Roman Italique" w:hAnsi="Times New Roman Italique"/>
          <w:i/>
          <w:iCs/>
          <w:spacing w:val="-2"/>
        </w:rPr>
        <w:t xml:space="preserve">46 </w:t>
      </w:r>
      <w:r w:rsidR="00D67EB8" w:rsidRPr="00A0531D">
        <w:rPr>
          <w:rFonts w:ascii="Times New Roman Italique" w:hAnsi="Times New Roman Italique"/>
          <w:i/>
          <w:iCs/>
          <w:spacing w:val="-2"/>
        </w:rPr>
        <w:t>Nr. </w:t>
      </w:r>
      <w:r w:rsidRPr="00A0531D">
        <w:rPr>
          <w:rFonts w:ascii="Times New Roman Italique" w:hAnsi="Times New Roman Italique"/>
          <w:i/>
          <w:iCs/>
          <w:spacing w:val="-2"/>
        </w:rPr>
        <w:t>3 des G. vom 18. Juli 2018 (B.S. vom 26. Juli 2018)</w:t>
      </w:r>
      <w:r w:rsidR="00D67EB8" w:rsidRPr="00A0531D">
        <w:rPr>
          <w:rFonts w:ascii="Times New Roman Italique" w:hAnsi="Times New Roman Italique"/>
          <w:i/>
          <w:iCs/>
          <w:spacing w:val="-2"/>
        </w:rPr>
        <w:t> - </w:t>
      </w:r>
      <w:r w:rsidRPr="00A0531D">
        <w:rPr>
          <w:rFonts w:ascii="Times New Roman Italique" w:hAnsi="Times New Roman Italique"/>
          <w:i/>
          <w:iCs/>
          <w:spacing w:val="-2"/>
        </w:rPr>
        <w:t>anwendbar auf die ab dem 1. Januar 2018 erzielten oder bezogenen Einkünfte</w:t>
      </w:r>
      <w:r w:rsidR="00FD68E8" w:rsidRPr="00A0531D">
        <w:rPr>
          <w:rFonts w:ascii="Times New Roman Italique" w:hAnsi="Times New Roman Italique"/>
          <w:i/>
          <w:iCs/>
          <w:spacing w:val="-2"/>
        </w:rPr>
        <w:t> -,</w:t>
      </w:r>
      <w:r w:rsidRPr="00A0531D">
        <w:rPr>
          <w:rFonts w:ascii="Times New Roman Italique" w:hAnsi="Times New Roman Italique"/>
          <w:i/>
          <w:iCs/>
          <w:spacing w:val="-2"/>
        </w:rPr>
        <w:t xml:space="preserve"> selbst bedingt für nichtig erklärt durch </w:t>
      </w:r>
      <w:r w:rsidRPr="00A0531D">
        <w:rPr>
          <w:rFonts w:ascii="Times New Roman Italique" w:hAnsi="Times New Roman Italique"/>
          <w:i/>
          <w:spacing w:val="-2"/>
        </w:rPr>
        <w:t xml:space="preserve">Entscheid </w:t>
      </w:r>
      <w:r w:rsidR="00D67EB8" w:rsidRPr="00A0531D">
        <w:rPr>
          <w:rFonts w:ascii="Times New Roman Italique" w:hAnsi="Times New Roman Italique"/>
          <w:i/>
          <w:spacing w:val="-2"/>
        </w:rPr>
        <w:t>Nr. </w:t>
      </w:r>
      <w:r w:rsidRPr="00A0531D">
        <w:rPr>
          <w:rFonts w:ascii="Times New Roman Italique" w:hAnsi="Times New Roman Italique"/>
          <w:i/>
          <w:spacing w:val="-2"/>
        </w:rPr>
        <w:t>53/2020 des Verfassungsgerichtshofes</w:t>
      </w:r>
      <w:r w:rsidRPr="00A0531D">
        <w:rPr>
          <w:i/>
        </w:rPr>
        <w:t xml:space="preserve"> vom 23. April 2020 (B.S. vom 20. Mai 2020), und durch </w:t>
      </w:r>
      <w:r w:rsidR="00D67EB8" w:rsidRPr="00A0531D">
        <w:rPr>
          <w:i/>
        </w:rPr>
        <w:t>Art. </w:t>
      </w:r>
      <w:r w:rsidRPr="00A0531D">
        <w:rPr>
          <w:i/>
        </w:rPr>
        <w:t xml:space="preserve">61 </w:t>
      </w:r>
      <w:r w:rsidR="00D67EB8" w:rsidRPr="00A0531D">
        <w:rPr>
          <w:i/>
        </w:rPr>
        <w:t>Nr. </w:t>
      </w:r>
      <w:r w:rsidRPr="00A0531D">
        <w:rPr>
          <w:i/>
        </w:rPr>
        <w:t>2</w:t>
      </w:r>
      <w:r w:rsidRPr="00A0531D">
        <w:rPr>
          <w:i/>
          <w:iCs/>
        </w:rPr>
        <w:t xml:space="preserve"> des G. vom 24. Dezember 2020 (B.S. vom 31. Dezember 2020)</w:t>
      </w:r>
      <w:r w:rsidR="00D67EB8" w:rsidRPr="00A0531D">
        <w:rPr>
          <w:i/>
          <w:iCs/>
        </w:rPr>
        <w:t> - </w:t>
      </w:r>
      <w:r w:rsidRPr="00A0531D">
        <w:rPr>
          <w:i/>
          <w:iCs/>
        </w:rPr>
        <w:t>in Kraft am 1. Januar 2021 und anwendbar auf die ab dem 1. Januar 2021 erzielten oder bezogenen Einkünfte</w:t>
      </w:r>
      <w:r w:rsidR="003366D9" w:rsidRPr="00A0531D">
        <w:rPr>
          <w:i/>
          <w:iCs/>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1bis einziger Absatz früherer Buchstabe d) eingefügt durch </w:t>
      </w:r>
      <w:r w:rsidR="00D67EB8" w:rsidRPr="00A0531D">
        <w:rPr>
          <w:i/>
          <w:iCs/>
        </w:rPr>
        <w:t>Art. </w:t>
      </w:r>
      <w:r w:rsidRPr="00A0531D">
        <w:rPr>
          <w:i/>
          <w:iCs/>
        </w:rPr>
        <w:t xml:space="preserve">46 </w:t>
      </w:r>
      <w:r w:rsidR="00D67EB8" w:rsidRPr="00A0531D">
        <w:rPr>
          <w:i/>
          <w:iCs/>
        </w:rPr>
        <w:t>Nr. </w:t>
      </w:r>
      <w:r w:rsidRPr="00A0531D">
        <w:rPr>
          <w:i/>
          <w:iCs/>
        </w:rPr>
        <w:t>4 des G. vom 18. Juli 2018 (B.S. vom 26. Juli 2018)</w:t>
      </w:r>
      <w:r w:rsidR="00D67EB8" w:rsidRPr="00A0531D">
        <w:rPr>
          <w:i/>
          <w:iCs/>
        </w:rPr>
        <w:t> - </w:t>
      </w:r>
      <w:r w:rsidRPr="00A0531D">
        <w:rPr>
          <w:i/>
          <w:iCs/>
        </w:rPr>
        <w:t>anwendbar auf die ab dem 1. Januar 2018 erzielten oder bezogenen Einkünfte</w:t>
      </w:r>
      <w:r w:rsidR="00FD68E8" w:rsidRPr="00A0531D">
        <w:rPr>
          <w:i/>
          <w:iCs/>
        </w:rPr>
        <w:t> -,</w:t>
      </w:r>
      <w:r w:rsidRPr="00A0531D">
        <w:rPr>
          <w:i/>
          <w:iCs/>
        </w:rPr>
        <w:t xml:space="preserve"> selbst bedingt für nichtig erklärt durch </w:t>
      </w:r>
      <w:r w:rsidRPr="00A0531D">
        <w:rPr>
          <w:i/>
        </w:rPr>
        <w:t xml:space="preserve">Entscheid </w:t>
      </w:r>
      <w:r w:rsidR="00D67EB8" w:rsidRPr="00A0531D">
        <w:rPr>
          <w:i/>
        </w:rPr>
        <w:t>Nr. </w:t>
      </w:r>
      <w:r w:rsidRPr="00A0531D">
        <w:rPr>
          <w:i/>
        </w:rPr>
        <w:t>53/2020 des Verfassungsgerichtshofes vom 23. April 2020 (B.S. vom 20. Mai 2020)</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1ter eingefügt durch </w:t>
      </w:r>
      <w:r w:rsidR="00D67EB8" w:rsidRPr="00A0531D">
        <w:rPr>
          <w:i/>
          <w:iCs/>
        </w:rPr>
        <w:t>Art. </w:t>
      </w:r>
      <w:r w:rsidRPr="00A0531D">
        <w:rPr>
          <w:i/>
          <w:iCs/>
        </w:rPr>
        <w:t xml:space="preserve">46 </w:t>
      </w:r>
      <w:r w:rsidR="00D67EB8" w:rsidRPr="00A0531D">
        <w:rPr>
          <w:i/>
          <w:iCs/>
        </w:rPr>
        <w:t>Nr. </w:t>
      </w:r>
      <w:r w:rsidRPr="00A0531D">
        <w:rPr>
          <w:i/>
          <w:iCs/>
        </w:rPr>
        <w:t>5 des G. vom 18. Juli 2018 (B.S. vom 26. Juli 2018)</w:t>
      </w:r>
      <w:r w:rsidR="00D67EB8" w:rsidRPr="00A0531D">
        <w:rPr>
          <w:i/>
          <w:iCs/>
        </w:rPr>
        <w:t> - </w:t>
      </w:r>
      <w:r w:rsidRPr="00A0531D">
        <w:rPr>
          <w:i/>
          <w:iCs/>
        </w:rPr>
        <w:t>anwendbar auf die ab dem 1. Januar 2018 erzielten oder bezogenen Einkünfte</w:t>
      </w:r>
      <w:r w:rsidR="00FD68E8" w:rsidRPr="00A0531D">
        <w:rPr>
          <w:i/>
          <w:iCs/>
        </w:rPr>
        <w:t> -,</w:t>
      </w:r>
      <w:r w:rsidRPr="00A0531D">
        <w:rPr>
          <w:i/>
          <w:iCs/>
        </w:rPr>
        <w:t xml:space="preserve"> selbst bedingt für nichtig erklärt durch </w:t>
      </w:r>
      <w:r w:rsidRPr="00A0531D">
        <w:rPr>
          <w:i/>
        </w:rPr>
        <w:t xml:space="preserve">Entscheid </w:t>
      </w:r>
      <w:r w:rsidR="00D67EB8" w:rsidRPr="00A0531D">
        <w:rPr>
          <w:i/>
        </w:rPr>
        <w:t>Nr. </w:t>
      </w:r>
      <w:r w:rsidRPr="00A0531D">
        <w:rPr>
          <w:i/>
        </w:rPr>
        <w:t>53/2020 des Verfassungsgerichtshofes vom 23. April 2020 (B.S. vom 20. Mai 2020),</w:t>
      </w:r>
      <w:r w:rsidR="00132B11" w:rsidRPr="00A0531D">
        <w:rPr>
          <w:i/>
        </w:rPr>
        <w:t xml:space="preserve"> </w:t>
      </w:r>
      <w:r w:rsidRPr="00A0531D">
        <w:rPr>
          <w:i/>
        </w:rPr>
        <w:t xml:space="preserve">erneut eingefügt durch </w:t>
      </w:r>
      <w:r w:rsidR="00D67EB8" w:rsidRPr="00A0531D">
        <w:rPr>
          <w:i/>
        </w:rPr>
        <w:t>Art. </w:t>
      </w:r>
      <w:r w:rsidRPr="00A0531D">
        <w:rPr>
          <w:i/>
        </w:rPr>
        <w:t xml:space="preserve">61 </w:t>
      </w:r>
      <w:r w:rsidR="00D67EB8" w:rsidRPr="00A0531D">
        <w:rPr>
          <w:i/>
        </w:rPr>
        <w:t>Nr. </w:t>
      </w:r>
      <w:r w:rsidRPr="00A0531D">
        <w:rPr>
          <w:i/>
        </w:rPr>
        <w:t>3</w:t>
      </w:r>
      <w:r w:rsidRPr="00A0531D">
        <w:rPr>
          <w:i/>
          <w:iCs/>
        </w:rPr>
        <w:t xml:space="preserve"> des G. vom 24. Dezember 2020 (B.S. vom 31. Dezember 2020)</w:t>
      </w:r>
      <w:r w:rsidR="00D67EB8" w:rsidRPr="00A0531D">
        <w:rPr>
          <w:i/>
          <w:iCs/>
        </w:rPr>
        <w:t> - </w:t>
      </w:r>
      <w:r w:rsidRPr="00A0531D">
        <w:rPr>
          <w:i/>
          <w:iCs/>
        </w:rPr>
        <w:t>in Kraft am 1. Januar 2021 und anwendbar auf die ab dem 1. Januar 2021 erzielten oder bezogenen Einkünfte</w:t>
      </w:r>
      <w:r w:rsidR="00D67EB8" w:rsidRPr="00A0531D">
        <w:rPr>
          <w:i/>
          <w:iCs/>
        </w:rPr>
        <w:t> -</w:t>
      </w:r>
      <w:r w:rsidR="007F1EB7" w:rsidRPr="00A0531D">
        <w:rPr>
          <w:i/>
          <w:iCs/>
        </w:rPr>
        <w:t xml:space="preserve">, </w:t>
      </w:r>
      <w:r w:rsidR="0001730E" w:rsidRPr="00A0531D">
        <w:rPr>
          <w:i/>
          <w:iCs/>
        </w:rPr>
        <w:t xml:space="preserve">ersetzt durch </w:t>
      </w:r>
      <w:r w:rsidR="00D67EB8" w:rsidRPr="00A0531D">
        <w:rPr>
          <w:i/>
          <w:iCs/>
        </w:rPr>
        <w:t>Art. </w:t>
      </w:r>
      <w:r w:rsidR="0001730E" w:rsidRPr="00A0531D">
        <w:rPr>
          <w:i/>
          <w:iCs/>
        </w:rPr>
        <w:t>4 des G. vom 26. April 2022 (B.S. vom 6. Mai 2022)</w:t>
      </w:r>
      <w:r w:rsidR="00D67EB8" w:rsidRPr="00A0531D">
        <w:rPr>
          <w:i/>
          <w:iCs/>
        </w:rPr>
        <w:t> - </w:t>
      </w:r>
      <w:r w:rsidR="0001730E" w:rsidRPr="00A0531D">
        <w:rPr>
          <w:i/>
          <w:iCs/>
        </w:rPr>
        <w:t>anwendbar auf die ab dem 1. Januar 2022 bezogenen Einkünfte</w:t>
      </w:r>
      <w:r w:rsidR="003366D9" w:rsidRPr="00A0531D">
        <w:rPr>
          <w:i/>
          <w:iCs/>
        </w:rPr>
        <w:t> -</w:t>
      </w:r>
      <w:r w:rsidR="007F1EB7" w:rsidRPr="00A0531D">
        <w:rPr>
          <w:i/>
          <w:iCs/>
        </w:rPr>
        <w:t xml:space="preserve"> und abgeändert durch Art. 11 des G. vom 21. Dezember 2022 (II) (B.S. vom </w:t>
      </w:r>
      <w:r w:rsidR="007F1EB7" w:rsidRPr="00A0531D">
        <w:rPr>
          <w:i/>
          <w:iCs/>
        </w:rPr>
        <w:lastRenderedPageBreak/>
        <w:t>29. Dezember 2022) - wirksam mit 1. Oktober 2022 -</w:t>
      </w:r>
      <w:r w:rsidR="003366D9" w:rsidRPr="00A0531D">
        <w:rPr>
          <w:i/>
          <w:iCs/>
        </w:rPr>
        <w:t>;</w:t>
      </w:r>
      <w:r w:rsidR="00132B11" w:rsidRPr="00A0531D">
        <w:rPr>
          <w:i/>
          <w:iCs/>
        </w:rPr>
        <w:t xml:space="preserve"> </w:t>
      </w:r>
      <w:r w:rsidR="00D67EB8" w:rsidRPr="00A0531D">
        <w:rPr>
          <w:i/>
          <w:iCs/>
        </w:rPr>
        <w:t>Abs. </w:t>
      </w:r>
      <w:r w:rsidRPr="00A0531D">
        <w:rPr>
          <w:i/>
          <w:iCs/>
        </w:rPr>
        <w:t xml:space="preserve">1 </w:t>
      </w:r>
      <w:r w:rsidR="00A0531D" w:rsidRPr="00A0531D">
        <w:rPr>
          <w:i/>
          <w:iCs/>
        </w:rPr>
        <w:t xml:space="preserve">frühere </w:t>
      </w:r>
      <w:r w:rsidR="00D67EB8" w:rsidRPr="00A0531D">
        <w:rPr>
          <w:i/>
          <w:iCs/>
        </w:rPr>
        <w:t>N</w:t>
      </w:r>
      <w:r w:rsidR="00A0531D" w:rsidRPr="00A0531D">
        <w:rPr>
          <w:i/>
          <w:iCs/>
        </w:rPr>
        <w:t>umme</w:t>
      </w:r>
      <w:r w:rsidR="00D67EB8" w:rsidRPr="00A0531D">
        <w:rPr>
          <w:i/>
          <w:iCs/>
        </w:rPr>
        <w:t>r </w:t>
      </w:r>
      <w:r w:rsidRPr="00A0531D">
        <w:rPr>
          <w:i/>
          <w:iCs/>
        </w:rPr>
        <w:t xml:space="preserve">1quater eingefügt durch </w:t>
      </w:r>
      <w:r w:rsidR="00D67EB8" w:rsidRPr="00A0531D">
        <w:rPr>
          <w:i/>
          <w:iCs/>
        </w:rPr>
        <w:t>Art. </w:t>
      </w:r>
      <w:r w:rsidRPr="00A0531D">
        <w:rPr>
          <w:i/>
          <w:iCs/>
        </w:rPr>
        <w:t xml:space="preserve">46 </w:t>
      </w:r>
      <w:r w:rsidR="00D67EB8" w:rsidRPr="00A0531D">
        <w:rPr>
          <w:i/>
          <w:iCs/>
        </w:rPr>
        <w:t>Nr. </w:t>
      </w:r>
      <w:r w:rsidRPr="00A0531D">
        <w:rPr>
          <w:i/>
          <w:iCs/>
        </w:rPr>
        <w:t>5 des G. vom 18. Juli 2018 (B.S. vom 26. Juli 2018)</w:t>
      </w:r>
      <w:r w:rsidR="00D67EB8" w:rsidRPr="00A0531D">
        <w:rPr>
          <w:i/>
          <w:iCs/>
        </w:rPr>
        <w:t> - </w:t>
      </w:r>
      <w:r w:rsidRPr="00A0531D">
        <w:rPr>
          <w:i/>
          <w:iCs/>
        </w:rPr>
        <w:t xml:space="preserve">anwendbar auf die ab dem 1. Januar 2018 erzielten oder bezogenen </w:t>
      </w:r>
      <w:r w:rsidRPr="00A0531D">
        <w:rPr>
          <w:i/>
          <w:iCs/>
          <w:spacing w:val="-2"/>
        </w:rPr>
        <w:t>Einkünfte</w:t>
      </w:r>
      <w:r w:rsidR="003366D9" w:rsidRPr="00A0531D">
        <w:rPr>
          <w:i/>
          <w:iCs/>
          <w:spacing w:val="-2"/>
        </w:rPr>
        <w:t> -</w:t>
      </w:r>
      <w:r w:rsidR="00A0531D" w:rsidRPr="00A0531D">
        <w:rPr>
          <w:i/>
          <w:iCs/>
        </w:rPr>
        <w:t xml:space="preserve">, selbst bedingt für nichtig erklärt durch </w:t>
      </w:r>
      <w:r w:rsidR="00A0531D" w:rsidRPr="00A0531D">
        <w:rPr>
          <w:i/>
        </w:rPr>
        <w:t>Entscheid Nr. 53/2020 des Verfassungsgerichtshofes vom 23. April 2020 (B.S. vom 20. Mai 2020)</w:t>
      </w:r>
      <w:r w:rsidR="003366D9" w:rsidRPr="00A0531D">
        <w:rPr>
          <w:i/>
          <w:iCs/>
          <w:spacing w:val="-2"/>
        </w:rPr>
        <w:t>;</w:t>
      </w:r>
      <w:r w:rsidRPr="00A0531D">
        <w:rPr>
          <w:i/>
          <w:spacing w:val="-2"/>
        </w:rPr>
        <w:t xml:space="preserve"> </w:t>
      </w:r>
      <w:r w:rsidR="00D67EB8" w:rsidRPr="00A0531D">
        <w:rPr>
          <w:i/>
          <w:iCs/>
          <w:spacing w:val="-2"/>
        </w:rPr>
        <w:t>Abs. </w:t>
      </w:r>
      <w:r w:rsidRPr="00A0531D">
        <w:rPr>
          <w:i/>
          <w:iCs/>
          <w:spacing w:val="-2"/>
        </w:rPr>
        <w:t xml:space="preserve">1 </w:t>
      </w:r>
      <w:r w:rsidR="00D67EB8" w:rsidRPr="00A0531D">
        <w:rPr>
          <w:i/>
          <w:iCs/>
          <w:spacing w:val="-2"/>
        </w:rPr>
        <w:t>Nr. </w:t>
      </w:r>
      <w:r w:rsidRPr="00A0531D">
        <w:rPr>
          <w:i/>
          <w:iCs/>
          <w:spacing w:val="-2"/>
        </w:rPr>
        <w:t xml:space="preserve">2 </w:t>
      </w:r>
      <w:r w:rsidR="00D67EB8" w:rsidRPr="00A0531D">
        <w:rPr>
          <w:i/>
          <w:iCs/>
          <w:spacing w:val="-2"/>
        </w:rPr>
        <w:t>Abs. </w:t>
      </w:r>
      <w:r w:rsidRPr="00A0531D">
        <w:rPr>
          <w:i/>
          <w:iCs/>
          <w:spacing w:val="-2"/>
        </w:rPr>
        <w:t>1 abgeändert durch </w:t>
      </w:r>
      <w:r w:rsidR="00D67EB8" w:rsidRPr="00A0531D">
        <w:rPr>
          <w:i/>
          <w:iCs/>
          <w:spacing w:val="-2"/>
        </w:rPr>
        <w:t>Art. </w:t>
      </w:r>
      <w:r w:rsidRPr="00A0531D">
        <w:rPr>
          <w:i/>
          <w:iCs/>
          <w:spacing w:val="-2"/>
        </w:rPr>
        <w:t>1 des K.E. vom 20. Juli 2000 (II) (B.S. vom 30. August 2000)</w:t>
      </w:r>
      <w:r w:rsidR="00D67EB8" w:rsidRPr="00A0531D">
        <w:rPr>
          <w:i/>
          <w:iCs/>
          <w:spacing w:val="-2"/>
        </w:rPr>
        <w:t> - </w:t>
      </w:r>
      <w:r w:rsidRPr="00A0531D">
        <w:rPr>
          <w:i/>
          <w:iCs/>
          <w:spacing w:val="-2"/>
        </w:rPr>
        <w:t>in Kraft ab dem Steuerjahr 2002</w:t>
      </w:r>
      <w:r w:rsidR="00FD68E8" w:rsidRPr="00A0531D">
        <w:rPr>
          <w:i/>
          <w:iCs/>
          <w:spacing w:val="-2"/>
        </w:rPr>
        <w:t> -,</w:t>
      </w:r>
      <w:r w:rsidRPr="00A0531D">
        <w:rPr>
          <w:i/>
          <w:iCs/>
          <w:spacing w:val="-2"/>
        </w:rPr>
        <w:t xml:space="preserve"> selbst abgeändert durch </w:t>
      </w:r>
      <w:r w:rsidR="00D67EB8" w:rsidRPr="00A0531D">
        <w:rPr>
          <w:i/>
          <w:iCs/>
          <w:spacing w:val="-2"/>
        </w:rPr>
        <w:t>Art. </w:t>
      </w:r>
      <w:r w:rsidRPr="00A0531D">
        <w:rPr>
          <w:i/>
          <w:iCs/>
          <w:spacing w:val="-2"/>
        </w:rPr>
        <w:t xml:space="preserve">42 </w:t>
      </w:r>
      <w:r w:rsidR="00D67EB8" w:rsidRPr="00A0531D">
        <w:rPr>
          <w:i/>
          <w:iCs/>
          <w:spacing w:val="-2"/>
        </w:rPr>
        <w:t>Nr. </w:t>
      </w:r>
      <w:r w:rsidRPr="00A0531D">
        <w:rPr>
          <w:i/>
          <w:iCs/>
          <w:spacing w:val="-2"/>
        </w:rPr>
        <w:t>5 des K.E. vom 13. Juli 2001 (B.S. vom 11. August 2001)</w:t>
      </w:r>
      <w:r w:rsidR="00D67EB8" w:rsidRPr="00A0531D">
        <w:rPr>
          <w:i/>
          <w:iCs/>
          <w:spacing w:val="-2"/>
        </w:rPr>
        <w:t> - </w:t>
      </w:r>
      <w:r w:rsidRPr="00A0531D">
        <w:rPr>
          <w:i/>
          <w:iCs/>
          <w:spacing w:val="-2"/>
        </w:rPr>
        <w:t xml:space="preserve">in Kraft ab dem </w:t>
      </w:r>
      <w:r w:rsidRPr="00A0531D">
        <w:rPr>
          <w:rFonts w:ascii="Times New Roman Italique" w:hAnsi="Times New Roman Italique"/>
          <w:i/>
          <w:iCs/>
          <w:spacing w:val="-2"/>
        </w:rPr>
        <w:t>1. Januar 2002</w:t>
      </w:r>
      <w:r w:rsidR="003366D9" w:rsidRPr="00A0531D">
        <w:rPr>
          <w:rFonts w:ascii="Times New Roman Italique" w:hAnsi="Times New Roman Italique"/>
          <w:i/>
          <w:iCs/>
          <w:spacing w:val="-2"/>
        </w:rPr>
        <w:t> </w:t>
      </w:r>
      <w:r w:rsidR="003366D9" w:rsidRPr="00A0531D">
        <w:rPr>
          <w:rFonts w:ascii="Times New Roman Italique" w:hAnsi="Times New Roman Italique" w:hint="eastAsia"/>
          <w:i/>
          <w:iCs/>
          <w:spacing w:val="-2"/>
        </w:rPr>
        <w:t>-;</w:t>
      </w:r>
      <w:r w:rsidRPr="00A0531D">
        <w:rPr>
          <w:rFonts w:ascii="Times New Roman Italique" w:hAnsi="Times New Roman Italique"/>
          <w:i/>
          <w:iCs/>
          <w:spacing w:val="-2"/>
        </w:rPr>
        <w:t xml:space="preserve"> </w:t>
      </w:r>
      <w:r w:rsidR="00D67EB8" w:rsidRPr="00A0531D">
        <w:rPr>
          <w:rFonts w:ascii="Times New Roman Italique" w:hAnsi="Times New Roman Italique"/>
          <w:i/>
          <w:iCs/>
          <w:spacing w:val="-2"/>
        </w:rPr>
        <w:t>Abs. </w:t>
      </w:r>
      <w:r w:rsidR="002C63D0" w:rsidRPr="00A0531D">
        <w:rPr>
          <w:rFonts w:ascii="Times New Roman Italique" w:hAnsi="Times New Roman Italique"/>
          <w:i/>
          <w:iCs/>
          <w:spacing w:val="-2"/>
        </w:rPr>
        <w:t xml:space="preserve">1 </w:t>
      </w:r>
      <w:r w:rsidR="00D67EB8" w:rsidRPr="00A0531D">
        <w:rPr>
          <w:rFonts w:ascii="Times New Roman Italique" w:hAnsi="Times New Roman Italique"/>
          <w:i/>
          <w:iCs/>
          <w:spacing w:val="-2"/>
        </w:rPr>
        <w:t>Nr. </w:t>
      </w:r>
      <w:r w:rsidR="002C63D0" w:rsidRPr="00A0531D">
        <w:rPr>
          <w:rFonts w:ascii="Times New Roman Italique" w:hAnsi="Times New Roman Italique"/>
          <w:i/>
          <w:iCs/>
          <w:spacing w:val="-2"/>
        </w:rPr>
        <w:t xml:space="preserve">2bis eingefügt durch </w:t>
      </w:r>
      <w:r w:rsidR="00D67EB8" w:rsidRPr="00A0531D">
        <w:rPr>
          <w:rFonts w:ascii="Times New Roman Italique" w:hAnsi="Times New Roman Italique"/>
          <w:i/>
          <w:iCs/>
          <w:spacing w:val="-2"/>
        </w:rPr>
        <w:t>Art. </w:t>
      </w:r>
      <w:r w:rsidR="002C63D0" w:rsidRPr="00A0531D">
        <w:rPr>
          <w:rFonts w:ascii="Times New Roman Italique" w:hAnsi="Times New Roman Italique"/>
          <w:i/>
          <w:iCs/>
          <w:spacing w:val="-2"/>
        </w:rPr>
        <w:t>34</w:t>
      </w:r>
      <w:r w:rsidR="002C63D0" w:rsidRPr="00A0531D">
        <w:rPr>
          <w:i/>
          <w:iCs/>
        </w:rPr>
        <w:t xml:space="preserve"> des G. vom 21. Januar 2022 (B.S. vom 28. Januar 2022)</w:t>
      </w:r>
      <w:r w:rsidR="00D67EB8" w:rsidRPr="00A0531D">
        <w:rPr>
          <w:i/>
          <w:iCs/>
        </w:rPr>
        <w:t> - </w:t>
      </w:r>
      <w:r w:rsidR="002C63D0" w:rsidRPr="00A0531D">
        <w:rPr>
          <w:i/>
          <w:iCs/>
        </w:rPr>
        <w:t>in Kraft am 31. Dezember 2021 und anwendbar ab dem Steuerjahr 2022</w:t>
      </w:r>
      <w:r w:rsidR="003366D9" w:rsidRPr="00A0531D">
        <w:rPr>
          <w:i/>
          <w:iCs/>
        </w:rPr>
        <w:t> -;</w:t>
      </w:r>
      <w:r w:rsidR="002C63D0" w:rsidRPr="00A0531D">
        <w:rPr>
          <w:i/>
          <w:iCs/>
        </w:rPr>
        <w:t xml:space="preserve"> </w:t>
      </w:r>
      <w:r w:rsidR="00D67EB8" w:rsidRPr="00A0531D">
        <w:rPr>
          <w:rFonts w:ascii="Times New Roman Italique" w:hAnsi="Times New Roman Italique"/>
          <w:i/>
          <w:iCs/>
          <w:spacing w:val="-2"/>
        </w:rPr>
        <w:t>Abs. </w:t>
      </w:r>
      <w:r w:rsidRPr="00A0531D">
        <w:rPr>
          <w:rFonts w:ascii="Times New Roman Italique" w:hAnsi="Times New Roman Italique"/>
          <w:i/>
          <w:iCs/>
          <w:spacing w:val="-2"/>
        </w:rPr>
        <w:t xml:space="preserve">1 </w:t>
      </w:r>
      <w:r w:rsidR="00D67EB8" w:rsidRPr="00A0531D">
        <w:rPr>
          <w:rFonts w:ascii="Times New Roman Italique" w:hAnsi="Times New Roman Italique"/>
          <w:i/>
          <w:iCs/>
          <w:spacing w:val="-2"/>
        </w:rPr>
        <w:t>Nr. </w:t>
      </w:r>
      <w:r w:rsidRPr="00A0531D">
        <w:rPr>
          <w:rFonts w:ascii="Times New Roman Italique" w:hAnsi="Times New Roman Italique"/>
          <w:i/>
          <w:iCs/>
          <w:spacing w:val="-2"/>
        </w:rPr>
        <w:t xml:space="preserve">3 ersetzt durch </w:t>
      </w:r>
      <w:r w:rsidR="00D67EB8" w:rsidRPr="00A0531D">
        <w:rPr>
          <w:rFonts w:ascii="Times New Roman Italique" w:hAnsi="Times New Roman Italique"/>
          <w:i/>
          <w:iCs/>
          <w:spacing w:val="-2"/>
        </w:rPr>
        <w:t>Art. </w:t>
      </w:r>
      <w:r w:rsidRPr="00A0531D">
        <w:rPr>
          <w:rFonts w:ascii="Times New Roman Italique" w:hAnsi="Times New Roman Italique"/>
          <w:i/>
          <w:iCs/>
          <w:spacing w:val="-2"/>
        </w:rPr>
        <w:t>167 des G. vom 27. Dezember 2005</w:t>
      </w:r>
      <w:r w:rsidRPr="00A0531D">
        <w:rPr>
          <w:rFonts w:ascii="Times New Roman Italique" w:hAnsi="Times New Roman Italique" w:hint="eastAsia"/>
          <w:i/>
          <w:iCs/>
          <w:spacing w:val="-2"/>
        </w:rPr>
        <w:t> </w:t>
      </w:r>
      <w:r w:rsidRPr="00A0531D">
        <w:rPr>
          <w:rFonts w:ascii="Times New Roman Italique" w:hAnsi="Times New Roman Italique"/>
          <w:i/>
          <w:iCs/>
          <w:spacing w:val="-2"/>
        </w:rPr>
        <w:t>(II) (B.S. vom 30. Dezember 2005)</w:t>
      </w:r>
      <w:r w:rsidR="00D67EB8" w:rsidRPr="00A0531D">
        <w:rPr>
          <w:rFonts w:ascii="Times New Roman Italique" w:hAnsi="Times New Roman Italique"/>
          <w:i/>
          <w:iCs/>
          <w:spacing w:val="-2"/>
        </w:rPr>
        <w:t> - </w:t>
      </w:r>
      <w:r w:rsidRPr="00A0531D">
        <w:rPr>
          <w:rFonts w:ascii="Times New Roman Italique" w:hAnsi="Times New Roman Italique"/>
          <w:i/>
          <w:iCs/>
          <w:spacing w:val="-2"/>
        </w:rPr>
        <w:t>in Kraft ab dem Steuerjahr 2006</w:t>
      </w:r>
      <w:r w:rsidR="00D67EB8" w:rsidRPr="00A0531D">
        <w:rPr>
          <w:rFonts w:ascii="Times New Roman Italique" w:hAnsi="Times New Roman Italique"/>
          <w:i/>
          <w:iCs/>
          <w:spacing w:val="-2"/>
        </w:rPr>
        <w:t> - </w:t>
      </w:r>
      <w:r w:rsidRPr="00A0531D">
        <w:rPr>
          <w:rFonts w:ascii="Times New Roman Italique" w:hAnsi="Times New Roman Italique"/>
          <w:i/>
          <w:iCs/>
          <w:spacing w:val="-2"/>
        </w:rPr>
        <w:t xml:space="preserve">und abgeändert durch </w:t>
      </w:r>
      <w:r w:rsidR="00D67EB8" w:rsidRPr="00A0531D">
        <w:rPr>
          <w:rFonts w:ascii="Times New Roman Italique" w:hAnsi="Times New Roman Italique"/>
          <w:i/>
          <w:iCs/>
          <w:spacing w:val="-2"/>
        </w:rPr>
        <w:t>Art. </w:t>
      </w:r>
      <w:r w:rsidRPr="00A0531D">
        <w:rPr>
          <w:rFonts w:ascii="Times New Roman Italique" w:hAnsi="Times New Roman Italique"/>
          <w:i/>
          <w:iCs/>
          <w:spacing w:val="-2"/>
        </w:rPr>
        <w:t>4 des G. vom 13. Dezember 2012 (B.S. vom 20. Dezember 2012)</w:t>
      </w:r>
      <w:r w:rsidR="00D67EB8" w:rsidRPr="00A0531D">
        <w:rPr>
          <w:rFonts w:ascii="Times New Roman Italique" w:hAnsi="Times New Roman Italique"/>
          <w:i/>
          <w:iCs/>
          <w:spacing w:val="-2"/>
        </w:rPr>
        <w:t> - </w:t>
      </w:r>
      <w:r w:rsidRPr="00A0531D">
        <w:rPr>
          <w:rFonts w:ascii="Times New Roman Italique" w:hAnsi="Times New Roman Italique"/>
          <w:i/>
          <w:iCs/>
          <w:spacing w:val="-2"/>
        </w:rPr>
        <w:t>in Kraft ab dem Steuerjahr 2013</w:t>
      </w:r>
      <w:r w:rsidR="003366D9" w:rsidRPr="00A0531D">
        <w:rPr>
          <w:rFonts w:ascii="Times New Roman Italique" w:hAnsi="Times New Roman Italique"/>
          <w:i/>
          <w:iCs/>
          <w:spacing w:val="-2"/>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5 ersetzt durch </w:t>
      </w:r>
      <w:r w:rsidR="00D67EB8" w:rsidRPr="00A0531D">
        <w:rPr>
          <w:i/>
          <w:iCs/>
        </w:rPr>
        <w:t>Art. </w:t>
      </w:r>
      <w:r w:rsidRPr="00A0531D">
        <w:rPr>
          <w:i/>
          <w:iCs/>
        </w:rPr>
        <w:t>5 des G. vom 13. Dezember 2012 (B.S. vom 20. Dezember 2012)</w:t>
      </w:r>
      <w:r w:rsidR="00D67EB8" w:rsidRPr="00A0531D">
        <w:rPr>
          <w:i/>
          <w:iCs/>
        </w:rPr>
        <w:t> - </w:t>
      </w:r>
      <w:r w:rsidRPr="00A0531D">
        <w:rPr>
          <w:i/>
          <w:iCs/>
        </w:rPr>
        <w:t>anwendbar auf die ab dem 1. Januar 2012 bezogenen Einkünfte</w:t>
      </w:r>
      <w:r w:rsidR="003366D9" w:rsidRPr="00A0531D">
        <w:rPr>
          <w:i/>
          <w:iCs/>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9 ersetzt durch </w:t>
      </w:r>
      <w:r w:rsidR="00D67EB8" w:rsidRPr="00A0531D">
        <w:rPr>
          <w:i/>
          <w:iCs/>
        </w:rPr>
        <w:t>Art. </w:t>
      </w:r>
      <w:r w:rsidRPr="00A0531D">
        <w:rPr>
          <w:i/>
          <w:iCs/>
        </w:rPr>
        <w:t>6 Buchstabe b) des G. vom 11. Dezember 2008 (B.S. vom 12. Januar 2009)</w:t>
      </w:r>
      <w:r w:rsidR="00D67EB8" w:rsidRPr="00A0531D">
        <w:rPr>
          <w:i/>
          <w:iCs/>
        </w:rPr>
        <w:t> - </w:t>
      </w:r>
      <w:r w:rsidRPr="00A0531D">
        <w:rPr>
          <w:i/>
          <w:iCs/>
        </w:rPr>
        <w:t>anwendbar auf Vorgänge oder Verlegungen, die ab dem 12. Januar 2009 statt</w:t>
      </w:r>
      <w:r w:rsidRPr="00A0531D">
        <w:rPr>
          <w:i/>
          <w:iCs/>
        </w:rPr>
        <w:softHyphen/>
        <w:t>finden</w:t>
      </w:r>
      <w:r w:rsidR="003366D9" w:rsidRPr="00A0531D">
        <w:rPr>
          <w:i/>
          <w:iCs/>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9 einziger Absatz zweiter Gedankenstrich abgeändert durch </w:t>
      </w:r>
      <w:r w:rsidR="00D67EB8" w:rsidRPr="00A0531D">
        <w:rPr>
          <w:i/>
          <w:iCs/>
        </w:rPr>
        <w:t>Art. </w:t>
      </w:r>
      <w:r w:rsidRPr="00A0531D">
        <w:rPr>
          <w:i/>
          <w:iCs/>
        </w:rPr>
        <w:t>15 des G. vom 17. März 2019 (III) (B.S. vom 10. Mai 2019)</w:t>
      </w:r>
      <w:r w:rsidR="00D67EB8" w:rsidRPr="00A0531D">
        <w:rPr>
          <w:i/>
          <w:iCs/>
        </w:rPr>
        <w:t> - </w:t>
      </w:r>
      <w:r w:rsidRPr="00A0531D">
        <w:rPr>
          <w:i/>
          <w:iCs/>
        </w:rPr>
        <w:t>in Kraft am 1. Mai 2019</w:t>
      </w:r>
      <w:r w:rsidR="003366D9" w:rsidRPr="00A0531D">
        <w:rPr>
          <w:i/>
          <w:iCs/>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10 eingefügt durch </w:t>
      </w:r>
      <w:r w:rsidR="00D67EB8" w:rsidRPr="00A0531D">
        <w:rPr>
          <w:i/>
          <w:iCs/>
        </w:rPr>
        <w:t>Art. </w:t>
      </w:r>
      <w:r w:rsidRPr="00A0531D">
        <w:rPr>
          <w:i/>
          <w:iCs/>
        </w:rPr>
        <w:t xml:space="preserve">13 </w:t>
      </w:r>
      <w:r w:rsidR="00D67EB8" w:rsidRPr="00A0531D">
        <w:rPr>
          <w:i/>
          <w:iCs/>
        </w:rPr>
        <w:t>Nr. </w:t>
      </w:r>
      <w:r w:rsidRPr="00A0531D">
        <w:rPr>
          <w:i/>
          <w:iCs/>
        </w:rPr>
        <w:t>2 des K.E. vom 20. Dezember 1996 (B.S. vom 31. Dezember 1996)</w:t>
      </w:r>
      <w:r w:rsidR="00D67EB8" w:rsidRPr="00A0531D">
        <w:rPr>
          <w:i/>
          <w:iCs/>
        </w:rPr>
        <w:t> - </w:t>
      </w:r>
      <w:r w:rsidRPr="00A0531D">
        <w:rPr>
          <w:i/>
          <w:iCs/>
        </w:rPr>
        <w:t>in Kraft ab dem 1. Januar 1997</w:t>
      </w:r>
      <w:r w:rsidR="003366D9" w:rsidRPr="00A0531D">
        <w:rPr>
          <w:i/>
          <w:iCs/>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11 eingefügt durch </w:t>
      </w:r>
      <w:r w:rsidR="00D67EB8" w:rsidRPr="00A0531D">
        <w:rPr>
          <w:i/>
          <w:iCs/>
        </w:rPr>
        <w:t>Art. </w:t>
      </w:r>
      <w:r w:rsidRPr="00A0531D">
        <w:rPr>
          <w:i/>
          <w:iCs/>
        </w:rPr>
        <w:t>39 des G. vom 15. Dezember 2004 (B.S. vom 1. Februar 2005)</w:t>
      </w:r>
      <w:r w:rsidR="00D67EB8" w:rsidRPr="00A0531D">
        <w:rPr>
          <w:i/>
          <w:iCs/>
        </w:rPr>
        <w:t> - </w:t>
      </w:r>
      <w:r w:rsidRPr="00A0531D">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A0531D">
        <w:rPr>
          <w:i/>
          <w:iCs/>
        </w:rPr>
        <w:t> -;</w:t>
      </w:r>
      <w:r w:rsidRPr="00A0531D">
        <w:rPr>
          <w:i/>
          <w:iCs/>
        </w:rPr>
        <w:t xml:space="preserve"> </w:t>
      </w:r>
      <w:r w:rsidR="00D67EB8" w:rsidRPr="00A0531D">
        <w:rPr>
          <w:i/>
          <w:iCs/>
        </w:rPr>
        <w:t>Abs. </w:t>
      </w:r>
      <w:r w:rsidRPr="00A0531D">
        <w:rPr>
          <w:i/>
          <w:iCs/>
        </w:rPr>
        <w:t xml:space="preserve">1 </w:t>
      </w:r>
      <w:r w:rsidR="00D67EB8" w:rsidRPr="00A0531D">
        <w:rPr>
          <w:i/>
          <w:iCs/>
        </w:rPr>
        <w:t>Nr. </w:t>
      </w:r>
      <w:r w:rsidRPr="00A0531D">
        <w:rPr>
          <w:i/>
          <w:iCs/>
        </w:rPr>
        <w:t xml:space="preserve">12 eingefügt durch </w:t>
      </w:r>
      <w:r w:rsidR="00D67EB8" w:rsidRPr="00A0531D">
        <w:rPr>
          <w:i/>
          <w:iCs/>
        </w:rPr>
        <w:t>Art. </w:t>
      </w:r>
      <w:r w:rsidRPr="00A0531D">
        <w:rPr>
          <w:i/>
          <w:iCs/>
        </w:rPr>
        <w:t>132 des G. (IV) vom 25. April 2007 (I) (B.S. vom 8. Mai 2007)</w:t>
      </w:r>
      <w:r w:rsidR="00D67EB8" w:rsidRPr="00A0531D">
        <w:rPr>
          <w:i/>
          <w:iCs/>
        </w:rPr>
        <w:t> - </w:t>
      </w:r>
      <w:r w:rsidRPr="00A0531D">
        <w:rPr>
          <w:i/>
          <w:iCs/>
        </w:rPr>
        <w:t>anwendbar auf die ab dem 1. Januar 2007 gezahlten oder zuerkannten Vergütungen und Entlohnungen</w:t>
      </w:r>
      <w:r w:rsidR="00D67EB8" w:rsidRPr="00A0531D">
        <w:rPr>
          <w:i/>
          <w:iCs/>
        </w:rPr>
        <w:t> - </w:t>
      </w:r>
      <w:r w:rsidRPr="00A0531D">
        <w:rPr>
          <w:i/>
          <w:iCs/>
        </w:rPr>
        <w:t xml:space="preserve">und abgeändert durch </w:t>
      </w:r>
      <w:r w:rsidR="00D67EB8" w:rsidRPr="00A0531D">
        <w:rPr>
          <w:i/>
          <w:iCs/>
        </w:rPr>
        <w:t>Art. </w:t>
      </w:r>
      <w:r w:rsidRPr="00A0531D">
        <w:rPr>
          <w:i/>
          <w:iCs/>
        </w:rPr>
        <w:t xml:space="preserve">4 Buchstabe b) des G. (I) vom 24. Juli 2008 (I) (B.S. vom 7. August 2008); </w:t>
      </w:r>
      <w:r w:rsidR="00D67EB8" w:rsidRPr="00A0531D">
        <w:rPr>
          <w:i/>
          <w:iCs/>
        </w:rPr>
        <w:t>Abs. </w:t>
      </w:r>
      <w:r w:rsidRPr="00A0531D">
        <w:rPr>
          <w:i/>
          <w:iCs/>
        </w:rPr>
        <w:t xml:space="preserve">1 </w:t>
      </w:r>
      <w:r w:rsidR="00D67EB8" w:rsidRPr="00A0531D">
        <w:rPr>
          <w:i/>
          <w:iCs/>
        </w:rPr>
        <w:t>Nr. </w:t>
      </w:r>
      <w:r w:rsidRPr="00A0531D">
        <w:rPr>
          <w:i/>
          <w:iCs/>
        </w:rPr>
        <w:t xml:space="preserve">13 eingefügt durch </w:t>
      </w:r>
      <w:r w:rsidR="00D67EB8" w:rsidRPr="00A0531D">
        <w:rPr>
          <w:i/>
          <w:iCs/>
        </w:rPr>
        <w:t>Art. </w:t>
      </w:r>
      <w:r w:rsidRPr="00A0531D">
        <w:rPr>
          <w:i/>
          <w:iCs/>
        </w:rPr>
        <w:t xml:space="preserve">48 </w:t>
      </w:r>
      <w:r w:rsidR="00D67EB8" w:rsidRPr="00A0531D">
        <w:rPr>
          <w:i/>
          <w:iCs/>
        </w:rPr>
        <w:t>Nr. </w:t>
      </w:r>
      <w:r w:rsidRPr="00A0531D">
        <w:rPr>
          <w:i/>
          <w:iCs/>
        </w:rPr>
        <w:t>1 des G. vom 26. Dezember 2015 (II) (B.S. vom 30. Dezember 2015)</w:t>
      </w:r>
      <w:r w:rsidR="00D67EB8" w:rsidRPr="00A0531D">
        <w:rPr>
          <w:i/>
          <w:iCs/>
        </w:rPr>
        <w:t> - </w:t>
      </w:r>
      <w:r w:rsidRPr="00A0531D">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A0531D">
        <w:rPr>
          <w:i/>
          <w:iCs/>
        </w:rPr>
        <w:t> - </w:t>
      </w:r>
      <w:r w:rsidRPr="00A0531D">
        <w:rPr>
          <w:i/>
          <w:iCs/>
        </w:rPr>
        <w:t xml:space="preserve">und aufgehoben durch </w:t>
      </w:r>
      <w:r w:rsidR="00D67EB8" w:rsidRPr="00A0531D">
        <w:rPr>
          <w:i/>
          <w:iCs/>
        </w:rPr>
        <w:t>Art. </w:t>
      </w:r>
      <w:r w:rsidRPr="00A0531D">
        <w:rPr>
          <w:i/>
          <w:iCs/>
        </w:rPr>
        <w:t xml:space="preserve">76 </w:t>
      </w:r>
      <w:r w:rsidR="00D67EB8" w:rsidRPr="00A0531D">
        <w:rPr>
          <w:i/>
          <w:iCs/>
        </w:rPr>
        <w:t>Nr. </w:t>
      </w:r>
      <w:r w:rsidRPr="00A0531D">
        <w:rPr>
          <w:i/>
          <w:iCs/>
        </w:rPr>
        <w:t>1 des G. vom 25. Dezember 2016 (I) (B.S. vom 29. Dezember 2016)</w:t>
      </w:r>
      <w:r w:rsidR="00D67EB8" w:rsidRPr="00A0531D">
        <w:rPr>
          <w:i/>
          <w:iCs/>
        </w:rPr>
        <w:t> - </w:t>
      </w:r>
      <w:r w:rsidRPr="00A0531D">
        <w:rPr>
          <w:i/>
          <w:iCs/>
        </w:rPr>
        <w:t>in Kraft am 1. Januar 2017 und anwendbar auf die ab dem 1. Januar 2017 verwirklichten Mehrwerte</w:t>
      </w:r>
      <w:r w:rsidR="003366D9" w:rsidRPr="00A0531D">
        <w:rPr>
          <w:i/>
          <w:iCs/>
        </w:rPr>
        <w:t> -;</w:t>
      </w:r>
      <w:r w:rsidRPr="00A0531D">
        <w:rPr>
          <w:i/>
          <w:iCs/>
        </w:rPr>
        <w:t xml:space="preserve"> neuer Absatz 2 eingefügt durch </w:t>
      </w:r>
      <w:r w:rsidR="00D67EB8" w:rsidRPr="00A0531D">
        <w:rPr>
          <w:i/>
          <w:iCs/>
        </w:rPr>
        <w:t>Art. </w:t>
      </w:r>
      <w:r w:rsidRPr="00A0531D">
        <w:rPr>
          <w:i/>
          <w:iCs/>
        </w:rPr>
        <w:t xml:space="preserve">36 </w:t>
      </w:r>
      <w:r w:rsidR="00D67EB8" w:rsidRPr="00A0531D">
        <w:rPr>
          <w:i/>
          <w:iCs/>
        </w:rPr>
        <w:t>Nr. </w:t>
      </w:r>
      <w:r w:rsidRPr="00A0531D">
        <w:rPr>
          <w:i/>
          <w:iCs/>
        </w:rPr>
        <w:t>3 des G. vom 1. Juli 2016 (B.S. vom 4. Juli 2016)</w:t>
      </w:r>
      <w:r w:rsidR="00D67EB8" w:rsidRPr="00A0531D">
        <w:rPr>
          <w:i/>
          <w:iCs/>
        </w:rPr>
        <w:t> - </w:t>
      </w:r>
      <w:r w:rsidRPr="00A0531D">
        <w:rPr>
          <w:i/>
          <w:iCs/>
        </w:rPr>
        <w:t>anwendbar auf die ab dem 1. Juli 2016 gezahlten oder zuerkannten Einkünfte</w:t>
      </w:r>
      <w:r w:rsidR="00D67EB8" w:rsidRPr="00A0531D">
        <w:rPr>
          <w:i/>
          <w:iCs/>
        </w:rPr>
        <w:t> - </w:t>
      </w:r>
      <w:r w:rsidRPr="00A0531D">
        <w:rPr>
          <w:i/>
          <w:iCs/>
        </w:rPr>
        <w:t xml:space="preserve">und abgeändert durch </w:t>
      </w:r>
      <w:r w:rsidR="00D67EB8" w:rsidRPr="00A0531D">
        <w:rPr>
          <w:i/>
          <w:iCs/>
        </w:rPr>
        <w:t>Art. </w:t>
      </w:r>
      <w:r w:rsidRPr="00A0531D">
        <w:rPr>
          <w:i/>
          <w:iCs/>
        </w:rPr>
        <w:t xml:space="preserve">100 </w:t>
      </w:r>
      <w:r w:rsidR="00D67EB8" w:rsidRPr="00A0531D">
        <w:rPr>
          <w:i/>
          <w:iCs/>
        </w:rPr>
        <w:t>Nr. </w:t>
      </w:r>
      <w:r w:rsidRPr="00A0531D">
        <w:rPr>
          <w:i/>
          <w:iCs/>
        </w:rPr>
        <w:t>1 und 2 des G. vom 18. Dezember 2016 (I) (B.S. vom 20. Dezember 2016)</w:t>
      </w:r>
      <w:r w:rsidR="00D67EB8" w:rsidRPr="00A0531D">
        <w:rPr>
          <w:i/>
          <w:iCs/>
        </w:rPr>
        <w:t> - </w:t>
      </w:r>
      <w:r w:rsidRPr="00A0531D">
        <w:rPr>
          <w:i/>
          <w:iCs/>
        </w:rPr>
        <w:t>anwendbar auf die ab dem 1. Juli 2016 gezahlten oder zuerkannten Einkünfte -</w:t>
      </w:r>
      <w:r w:rsidR="003366D9" w:rsidRPr="00A0531D">
        <w:rPr>
          <w:i/>
          <w:iCs/>
        </w:rPr>
        <w:t xml:space="preserve"> und </w:t>
      </w:r>
      <w:r w:rsidR="007C3858" w:rsidRPr="00A0531D">
        <w:rPr>
          <w:i/>
          <w:iCs/>
        </w:rPr>
        <w:t>Art. </w:t>
      </w:r>
      <w:r w:rsidR="003366D9" w:rsidRPr="00A0531D">
        <w:rPr>
          <w:i/>
          <w:iCs/>
        </w:rPr>
        <w:t>10 Nr. 1 des G. vom 5. Juli 2022 (B.S. vom 15. Juli 2022) - anwendbar auf die ab dem 1. Januar 2022 bezogenen Einkünfte -;</w:t>
      </w:r>
      <w:r w:rsidRPr="00A0531D">
        <w:rPr>
          <w:i/>
          <w:iCs/>
        </w:rPr>
        <w:t xml:space="preserve"> neuer Absatz</w:t>
      </w:r>
      <w:r w:rsidR="007F1EB7" w:rsidRPr="00A0531D">
        <w:rPr>
          <w:i/>
          <w:iCs/>
        </w:rPr>
        <w:t> </w:t>
      </w:r>
      <w:r w:rsidRPr="00A0531D">
        <w:rPr>
          <w:i/>
          <w:iCs/>
        </w:rPr>
        <w:t xml:space="preserve">3 eingefügt durch </w:t>
      </w:r>
      <w:r w:rsidR="00D67EB8" w:rsidRPr="00A0531D">
        <w:rPr>
          <w:i/>
          <w:iCs/>
        </w:rPr>
        <w:t>Art. </w:t>
      </w:r>
      <w:r w:rsidRPr="00A0531D">
        <w:rPr>
          <w:i/>
          <w:iCs/>
        </w:rPr>
        <w:t xml:space="preserve">36 </w:t>
      </w:r>
      <w:r w:rsidR="00D67EB8" w:rsidRPr="00A0531D">
        <w:rPr>
          <w:i/>
          <w:iCs/>
        </w:rPr>
        <w:t>Nr. </w:t>
      </w:r>
      <w:r w:rsidRPr="00A0531D">
        <w:rPr>
          <w:i/>
          <w:iCs/>
        </w:rPr>
        <w:t>3 des G. vom 1. Juli 2016 (B.S. vom 4. Juli 2016)</w:t>
      </w:r>
      <w:r w:rsidR="00D67EB8" w:rsidRPr="00A0531D">
        <w:rPr>
          <w:i/>
          <w:iCs/>
        </w:rPr>
        <w:t> - </w:t>
      </w:r>
      <w:r w:rsidRPr="00A0531D">
        <w:rPr>
          <w:i/>
          <w:iCs/>
        </w:rPr>
        <w:t>anwendbar auf die ab dem 1. Juli 2016 gezahlten oder zuerkannten Einkünfte</w:t>
      </w:r>
      <w:r w:rsidR="00D67EB8" w:rsidRPr="00A0531D">
        <w:rPr>
          <w:i/>
          <w:iCs/>
        </w:rPr>
        <w:t> - </w:t>
      </w:r>
      <w:r w:rsidRPr="00A0531D">
        <w:rPr>
          <w:i/>
          <w:iCs/>
        </w:rPr>
        <w:t xml:space="preserve">und ersetzt durch </w:t>
      </w:r>
      <w:r w:rsidR="00D67EB8" w:rsidRPr="00A0531D">
        <w:rPr>
          <w:i/>
          <w:iCs/>
        </w:rPr>
        <w:t>Art. </w:t>
      </w:r>
      <w:r w:rsidRPr="00A0531D">
        <w:rPr>
          <w:i/>
          <w:iCs/>
        </w:rPr>
        <w:t xml:space="preserve">12 </w:t>
      </w:r>
      <w:r w:rsidR="00D67EB8" w:rsidRPr="00A0531D">
        <w:rPr>
          <w:i/>
          <w:iCs/>
        </w:rPr>
        <w:t>Nr. </w:t>
      </w:r>
      <w:r w:rsidRPr="00A0531D">
        <w:rPr>
          <w:i/>
          <w:iCs/>
        </w:rPr>
        <w:t>2 des G. vom 20. Dezember 2020 (II) (B.S. vom 30. Dezember 2020)</w:t>
      </w:r>
      <w:r w:rsidR="00D67EB8" w:rsidRPr="00A0531D">
        <w:rPr>
          <w:i/>
          <w:iCs/>
        </w:rPr>
        <w:t> - </w:t>
      </w:r>
      <w:r w:rsidRPr="00A0531D">
        <w:rPr>
          <w:i/>
          <w:iCs/>
        </w:rPr>
        <w:t>in Kraft am 1. Januar 2021 und anwendbar auf die ab dem 1. Januar 2021 gezahlten oder zuerkannten Einkünfte</w:t>
      </w:r>
      <w:r w:rsidR="003366D9" w:rsidRPr="00A0531D">
        <w:rPr>
          <w:i/>
          <w:iCs/>
        </w:rPr>
        <w:t> -;</w:t>
      </w:r>
      <w:r w:rsidRPr="00A0531D">
        <w:rPr>
          <w:i/>
          <w:iCs/>
        </w:rPr>
        <w:t xml:space="preserve"> </w:t>
      </w:r>
      <w:r w:rsidR="003366D9" w:rsidRPr="00A0531D">
        <w:rPr>
          <w:i/>
          <w:iCs/>
        </w:rPr>
        <w:t xml:space="preserve">frühere </w:t>
      </w:r>
      <w:r w:rsidR="00D67EB8" w:rsidRPr="00A0531D">
        <w:rPr>
          <w:i/>
          <w:iCs/>
        </w:rPr>
        <w:t>Abs</w:t>
      </w:r>
      <w:r w:rsidR="003366D9" w:rsidRPr="00A0531D">
        <w:rPr>
          <w:i/>
          <w:iCs/>
        </w:rPr>
        <w:t>ätze</w:t>
      </w:r>
      <w:r w:rsidR="00D67EB8" w:rsidRPr="00A0531D">
        <w:rPr>
          <w:i/>
          <w:iCs/>
        </w:rPr>
        <w:t> </w:t>
      </w:r>
      <w:r w:rsidRPr="00A0531D">
        <w:rPr>
          <w:i/>
          <w:iCs/>
        </w:rPr>
        <w:t xml:space="preserve">4 und 5 eingefügt durch </w:t>
      </w:r>
      <w:r w:rsidR="00D67EB8" w:rsidRPr="00A0531D">
        <w:rPr>
          <w:i/>
          <w:iCs/>
        </w:rPr>
        <w:t>Art. </w:t>
      </w:r>
      <w:r w:rsidRPr="00A0531D">
        <w:rPr>
          <w:i/>
          <w:iCs/>
        </w:rPr>
        <w:t xml:space="preserve">48 </w:t>
      </w:r>
      <w:r w:rsidR="00D67EB8" w:rsidRPr="00A0531D">
        <w:rPr>
          <w:i/>
          <w:iCs/>
        </w:rPr>
        <w:t>Nr. </w:t>
      </w:r>
      <w:r w:rsidRPr="00A0531D">
        <w:rPr>
          <w:i/>
          <w:iCs/>
        </w:rPr>
        <w:t>3 [sic, zu lesen ist: 2] des G. vom 26. Dezember 2015 (II) (B.S. vom 30. Dezember 2015)</w:t>
      </w:r>
      <w:r w:rsidR="00D67EB8" w:rsidRPr="00A0531D">
        <w:rPr>
          <w:i/>
          <w:iCs/>
        </w:rPr>
        <w:t> - </w:t>
      </w:r>
      <w:r w:rsidRPr="00A0531D">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A0531D">
        <w:rPr>
          <w:i/>
          <w:iCs/>
        </w:rPr>
        <w:t> - </w:t>
      </w:r>
      <w:r w:rsidRPr="00A0531D">
        <w:rPr>
          <w:i/>
          <w:iCs/>
        </w:rPr>
        <w:t xml:space="preserve">und aufgehoben durch </w:t>
      </w:r>
      <w:r w:rsidR="00D67EB8" w:rsidRPr="00A0531D">
        <w:rPr>
          <w:i/>
          <w:iCs/>
        </w:rPr>
        <w:t>Art. </w:t>
      </w:r>
      <w:r w:rsidRPr="00A0531D">
        <w:rPr>
          <w:i/>
          <w:iCs/>
        </w:rPr>
        <w:t xml:space="preserve">76 </w:t>
      </w:r>
      <w:r w:rsidR="00D67EB8" w:rsidRPr="00A0531D">
        <w:rPr>
          <w:i/>
          <w:iCs/>
        </w:rPr>
        <w:t>Nr. </w:t>
      </w:r>
      <w:r w:rsidRPr="00A0531D">
        <w:rPr>
          <w:i/>
          <w:iCs/>
        </w:rPr>
        <w:t xml:space="preserve">2 des </w:t>
      </w:r>
      <w:r w:rsidRPr="00A0531D">
        <w:rPr>
          <w:i/>
          <w:iCs/>
        </w:rPr>
        <w:lastRenderedPageBreak/>
        <w:t>G. vom 25. Dezember 2016 (I) (B.S. vom 29. Dezember 2016)</w:t>
      </w:r>
      <w:r w:rsidR="00D67EB8" w:rsidRPr="00A0531D">
        <w:rPr>
          <w:i/>
          <w:iCs/>
        </w:rPr>
        <w:t> - </w:t>
      </w:r>
      <w:r w:rsidRPr="00A0531D">
        <w:rPr>
          <w:i/>
          <w:iCs/>
        </w:rPr>
        <w:t>in Kraft am 1. Januar 2017 und anwendbar auf die ab dem 1. Januar 2017 verwirklichten Mehrwerte</w:t>
      </w:r>
      <w:r w:rsidR="003366D9" w:rsidRPr="00A0531D">
        <w:rPr>
          <w:i/>
          <w:iCs/>
        </w:rPr>
        <w:t> -;</w:t>
      </w:r>
      <w:r w:rsidR="00843F90" w:rsidRPr="00A0531D">
        <w:rPr>
          <w:i/>
          <w:iCs/>
        </w:rPr>
        <w:t xml:space="preserve"> </w:t>
      </w:r>
      <w:r w:rsidR="003366D9" w:rsidRPr="00A0531D">
        <w:rPr>
          <w:i/>
          <w:iCs/>
        </w:rPr>
        <w:t>neuer Absatz 4 eingefügt durch Art. 10 Nr. 2 des G. vom 5. Juli 2022 (B.S. vom 15. Juli 2022) - anwendbar auf die ab dem 1. Januar 2022 bezogenen Einkünfte -</w:t>
      </w:r>
      <w:r w:rsidRPr="00DD5892">
        <w:rPr>
          <w:i/>
        </w:rPr>
        <w:t>]</w:t>
      </w:r>
    </w:p>
    <w:bookmarkEnd w:id="12"/>
    <w:p w14:paraId="33A0EB9F" w14:textId="77777777" w:rsidR="00D668C5" w:rsidRDefault="00D668C5" w:rsidP="00477B8F">
      <w:pPr>
        <w:autoSpaceDE w:val="0"/>
        <w:autoSpaceDN w:val="0"/>
        <w:adjustRightInd w:val="0"/>
        <w:jc w:val="both"/>
      </w:pPr>
    </w:p>
    <w:p w14:paraId="2F297F19" w14:textId="77777777" w:rsidR="00B529E6" w:rsidRDefault="00B529E6" w:rsidP="00477B8F">
      <w:pPr>
        <w:autoSpaceDE w:val="0"/>
        <w:autoSpaceDN w:val="0"/>
        <w:adjustRightInd w:val="0"/>
        <w:jc w:val="both"/>
      </w:pPr>
    </w:p>
    <w:p w14:paraId="1A49622D" w14:textId="0E38F761" w:rsidR="00B529E6" w:rsidRPr="00B529E6" w:rsidRDefault="00B529E6" w:rsidP="00B529E6">
      <w:pPr>
        <w:autoSpaceDE w:val="0"/>
        <w:autoSpaceDN w:val="0"/>
        <w:adjustRightInd w:val="0"/>
        <w:jc w:val="both"/>
        <w:rPr>
          <w:iCs/>
          <w:sz w:val="20"/>
          <w:szCs w:val="20"/>
        </w:rPr>
      </w:pPr>
      <w:r w:rsidRPr="00B529E6">
        <w:rPr>
          <w:sz w:val="20"/>
          <w:szCs w:val="20"/>
        </w:rPr>
        <w:t xml:space="preserve">Ab einem gemäß Art. 222 des G. vom 12. Mai 2024 (B.S. vom 30. Mai 2024) vom König festzulegenden Datum und spätestens am 1. Januar 2028 lautet Art. 90 </w:t>
      </w:r>
      <w:r w:rsidRPr="00B529E6">
        <w:rPr>
          <w:iCs/>
          <w:sz w:val="20"/>
          <w:szCs w:val="20"/>
        </w:rPr>
        <w:t>wie folgt:</w:t>
      </w:r>
    </w:p>
    <w:p w14:paraId="52F0F4F7" w14:textId="77777777" w:rsidR="00B529E6" w:rsidRDefault="00B529E6" w:rsidP="00477B8F">
      <w:pPr>
        <w:autoSpaceDE w:val="0"/>
        <w:autoSpaceDN w:val="0"/>
        <w:adjustRightInd w:val="0"/>
        <w:jc w:val="both"/>
        <w:rPr>
          <w:sz w:val="20"/>
          <w:szCs w:val="20"/>
        </w:rPr>
      </w:pPr>
    </w:p>
    <w:p w14:paraId="22128235" w14:textId="7A415907" w:rsidR="00B529E6" w:rsidRPr="00B529E6" w:rsidRDefault="00B529E6" w:rsidP="00B529E6">
      <w:pPr>
        <w:autoSpaceDE w:val="0"/>
        <w:autoSpaceDN w:val="0"/>
        <w:adjustRightInd w:val="0"/>
        <w:jc w:val="both"/>
        <w:rPr>
          <w:sz w:val="20"/>
          <w:szCs w:val="20"/>
        </w:rPr>
      </w:pPr>
      <w:r>
        <w:rPr>
          <w:sz w:val="20"/>
          <w:szCs w:val="20"/>
        </w:rPr>
        <w:t>"</w:t>
      </w:r>
      <w:r w:rsidRPr="00B529E6">
        <w:rPr>
          <w:sz w:val="20"/>
          <w:szCs w:val="20"/>
        </w:rPr>
        <w:t>Art. 90 - Verschiedene Einkünfte sind:</w:t>
      </w:r>
    </w:p>
    <w:p w14:paraId="3B19E387" w14:textId="77777777" w:rsidR="00B529E6" w:rsidRPr="00B529E6" w:rsidRDefault="00B529E6" w:rsidP="00B529E6">
      <w:pPr>
        <w:autoSpaceDE w:val="0"/>
        <w:autoSpaceDN w:val="0"/>
        <w:adjustRightInd w:val="0"/>
        <w:jc w:val="both"/>
        <w:rPr>
          <w:sz w:val="20"/>
          <w:szCs w:val="20"/>
        </w:rPr>
      </w:pPr>
    </w:p>
    <w:p w14:paraId="6B3A7554" w14:textId="4A3004B5" w:rsidR="00B529E6" w:rsidRPr="00B529E6" w:rsidRDefault="00B529E6" w:rsidP="00B529E6">
      <w:pPr>
        <w:autoSpaceDE w:val="0"/>
        <w:autoSpaceDN w:val="0"/>
        <w:adjustRightInd w:val="0"/>
        <w:jc w:val="both"/>
        <w:rPr>
          <w:sz w:val="20"/>
          <w:szCs w:val="20"/>
        </w:rPr>
      </w:pPr>
      <w:r w:rsidRPr="00B529E6">
        <w:rPr>
          <w:sz w:val="20"/>
          <w:szCs w:val="20"/>
        </w:rPr>
        <w:t>1. unbeschadet der Bestimmungen der Nummern 1</w:t>
      </w:r>
      <w:r w:rsidRPr="00B529E6">
        <w:rPr>
          <w:i/>
          <w:sz w:val="20"/>
          <w:szCs w:val="20"/>
        </w:rPr>
        <w:t>bis</w:t>
      </w:r>
      <w:r w:rsidRPr="00B529E6">
        <w:rPr>
          <w:sz w:val="20"/>
          <w:szCs w:val="20"/>
        </w:rPr>
        <w:t>[, 1</w:t>
      </w:r>
      <w:r w:rsidRPr="00B529E6">
        <w:rPr>
          <w:i/>
          <w:sz w:val="20"/>
          <w:szCs w:val="20"/>
        </w:rPr>
        <w:t>ter</w:t>
      </w:r>
      <w:r w:rsidRPr="00B529E6">
        <w:rPr>
          <w:sz w:val="20"/>
          <w:szCs w:val="20"/>
        </w:rPr>
        <w:t>,] 8 und 10 Gewinne oder Profite ungeachtet ihrer Bezeichnung, die selbst gelegentlich oder zufällig außerhalb der Ausübung einer Berufstätigkeit aus irgendwelchen Leistungen, Geschäften oder Spekulationen oder aus Dritten gegenüber erbrachten Diensten hervorgehen, ausschließlich der Verrichtungen in Bezug auf die normale Verwaltung eines aus unbeweglichen Gütern, Wertpapieren im Portefeuille und beweglichen Sachen bestehenden Privatvermögens,</w:t>
      </w:r>
    </w:p>
    <w:p w14:paraId="3CB3F5B3" w14:textId="77777777" w:rsidR="00B529E6" w:rsidRPr="00B529E6" w:rsidRDefault="00B529E6" w:rsidP="00B529E6">
      <w:pPr>
        <w:autoSpaceDE w:val="0"/>
        <w:autoSpaceDN w:val="0"/>
        <w:adjustRightInd w:val="0"/>
        <w:jc w:val="both"/>
        <w:rPr>
          <w:sz w:val="20"/>
          <w:szCs w:val="20"/>
        </w:rPr>
      </w:pPr>
    </w:p>
    <w:p w14:paraId="5EE5BA4E" w14:textId="2F317B4E" w:rsidR="00B529E6" w:rsidRPr="00B529E6" w:rsidRDefault="00B529E6" w:rsidP="00B529E6">
      <w:pPr>
        <w:autoSpaceDE w:val="0"/>
        <w:autoSpaceDN w:val="0"/>
        <w:adjustRightInd w:val="0"/>
        <w:jc w:val="both"/>
        <w:rPr>
          <w:sz w:val="20"/>
          <w:szCs w:val="20"/>
        </w:rPr>
      </w:pPr>
      <w:r w:rsidRPr="00B529E6">
        <w:rPr>
          <w:sz w:val="20"/>
          <w:szCs w:val="20"/>
        </w:rPr>
        <w:t>[1</w:t>
      </w:r>
      <w:r w:rsidRPr="00B529E6">
        <w:rPr>
          <w:i/>
          <w:sz w:val="20"/>
          <w:szCs w:val="20"/>
        </w:rPr>
        <w:t>bis</w:t>
      </w:r>
      <w:r w:rsidRPr="00B529E6">
        <w:rPr>
          <w:sz w:val="20"/>
          <w:szCs w:val="20"/>
        </w:rPr>
        <w:t>. Gewinne oder Profite, die außerhalb der Ausübung einer Berufstätigkeit aus Diensten hervorgehen, die keine Dienste sind, die [ausschließlich] Einkünfte erzeugen, die gemäß den Artikeln 7 oder 17 oder gemäß vorliegendem Absatz Nr. 5 der Steuer unterliegen, und die der Steuerpflichtige [selbst] Dritten gegenüber erbringt, sofern sämtliche folgende Bedingungen erfüllt sind:</w:t>
      </w:r>
    </w:p>
    <w:p w14:paraId="2E2919DB" w14:textId="77777777" w:rsidR="00B529E6" w:rsidRPr="00B529E6" w:rsidRDefault="00B529E6" w:rsidP="00B529E6">
      <w:pPr>
        <w:autoSpaceDE w:val="0"/>
        <w:autoSpaceDN w:val="0"/>
        <w:adjustRightInd w:val="0"/>
        <w:jc w:val="both"/>
        <w:rPr>
          <w:sz w:val="20"/>
          <w:szCs w:val="20"/>
        </w:rPr>
      </w:pPr>
    </w:p>
    <w:p w14:paraId="79D1A007" w14:textId="18543A3A" w:rsidR="00B529E6" w:rsidRPr="00B529E6" w:rsidRDefault="00B529E6" w:rsidP="00B529E6">
      <w:pPr>
        <w:autoSpaceDE w:val="0"/>
        <w:autoSpaceDN w:val="0"/>
        <w:adjustRightInd w:val="0"/>
        <w:jc w:val="both"/>
        <w:rPr>
          <w:sz w:val="20"/>
          <w:szCs w:val="20"/>
        </w:rPr>
      </w:pPr>
      <w:r w:rsidRPr="00B529E6">
        <w:rPr>
          <w:i/>
          <w:sz w:val="20"/>
          <w:szCs w:val="20"/>
        </w:rPr>
        <w:t>a)</w:t>
      </w:r>
      <w:r w:rsidRPr="00B529E6">
        <w:rPr>
          <w:sz w:val="20"/>
          <w:szCs w:val="20"/>
        </w:rPr>
        <w:t> Die Dienste werden ausschließlich natürlichen Personen gegenüber erbracht, die nicht im Rahmen ihrer Berufstätigkeit handeln.</w:t>
      </w:r>
    </w:p>
    <w:p w14:paraId="79F51298" w14:textId="77777777" w:rsidR="00B529E6" w:rsidRPr="00B529E6" w:rsidRDefault="00B529E6" w:rsidP="00B529E6">
      <w:pPr>
        <w:autoSpaceDE w:val="0"/>
        <w:autoSpaceDN w:val="0"/>
        <w:adjustRightInd w:val="0"/>
        <w:jc w:val="both"/>
        <w:rPr>
          <w:sz w:val="20"/>
          <w:szCs w:val="20"/>
        </w:rPr>
      </w:pPr>
    </w:p>
    <w:p w14:paraId="49D73A58" w14:textId="724A8335" w:rsidR="00B529E6" w:rsidRPr="00B529E6" w:rsidRDefault="00B529E6" w:rsidP="00B529E6">
      <w:pPr>
        <w:autoSpaceDE w:val="0"/>
        <w:autoSpaceDN w:val="0"/>
        <w:adjustRightInd w:val="0"/>
        <w:jc w:val="both"/>
        <w:rPr>
          <w:sz w:val="20"/>
          <w:szCs w:val="20"/>
        </w:rPr>
      </w:pPr>
      <w:r w:rsidRPr="00B529E6">
        <w:rPr>
          <w:i/>
          <w:sz w:val="20"/>
          <w:szCs w:val="20"/>
        </w:rPr>
        <w:t>b)</w:t>
      </w:r>
      <w:r w:rsidRPr="00B529E6">
        <w:rPr>
          <w:sz w:val="20"/>
          <w:szCs w:val="20"/>
        </w:rPr>
        <w:t> Die Dienste werden ausschließlich im Rahmen von Vereinbarungen erbracht, die über eine zugelassene elektronische Plattform [...] geschlossen werden.</w:t>
      </w:r>
    </w:p>
    <w:p w14:paraId="60E615D0" w14:textId="77777777" w:rsidR="00B529E6" w:rsidRPr="00B529E6" w:rsidRDefault="00B529E6" w:rsidP="00B529E6">
      <w:pPr>
        <w:autoSpaceDE w:val="0"/>
        <w:autoSpaceDN w:val="0"/>
        <w:adjustRightInd w:val="0"/>
        <w:jc w:val="both"/>
        <w:rPr>
          <w:sz w:val="20"/>
          <w:szCs w:val="20"/>
        </w:rPr>
      </w:pPr>
    </w:p>
    <w:p w14:paraId="75DFB037" w14:textId="5DF9E675" w:rsidR="00B529E6" w:rsidRPr="00B529E6" w:rsidRDefault="00B529E6" w:rsidP="00B529E6">
      <w:pPr>
        <w:autoSpaceDE w:val="0"/>
        <w:autoSpaceDN w:val="0"/>
        <w:adjustRightInd w:val="0"/>
        <w:jc w:val="both"/>
        <w:rPr>
          <w:sz w:val="20"/>
          <w:szCs w:val="20"/>
        </w:rPr>
      </w:pPr>
      <w:r w:rsidRPr="00B529E6">
        <w:rPr>
          <w:i/>
          <w:sz w:val="20"/>
          <w:szCs w:val="20"/>
        </w:rPr>
        <w:t>c)</w:t>
      </w:r>
      <w:r w:rsidRPr="00B529E6">
        <w:rPr>
          <w:sz w:val="20"/>
          <w:szCs w:val="20"/>
        </w:rPr>
        <w:t> Die Entschädigungen für die Dienste werden dem Dienstleistungserbringer ausschließlich durch oder über die in Buchstabe </w:t>
      </w:r>
      <w:r w:rsidRPr="00B529E6">
        <w:rPr>
          <w:i/>
          <w:sz w:val="20"/>
          <w:szCs w:val="20"/>
        </w:rPr>
        <w:t>b)</w:t>
      </w:r>
      <w:r w:rsidRPr="00B529E6">
        <w:rPr>
          <w:sz w:val="20"/>
          <w:szCs w:val="20"/>
        </w:rPr>
        <w:t xml:space="preserve"> erwähnte Plattform gezahlt oder zuerkannt,]</w:t>
      </w:r>
    </w:p>
    <w:p w14:paraId="21781E26" w14:textId="77777777" w:rsidR="00B529E6" w:rsidRPr="00B529E6" w:rsidRDefault="00B529E6" w:rsidP="00B529E6">
      <w:pPr>
        <w:autoSpaceDE w:val="0"/>
        <w:autoSpaceDN w:val="0"/>
        <w:adjustRightInd w:val="0"/>
        <w:jc w:val="both"/>
        <w:rPr>
          <w:sz w:val="20"/>
          <w:szCs w:val="20"/>
        </w:rPr>
      </w:pPr>
    </w:p>
    <w:p w14:paraId="18296E80" w14:textId="570B004D" w:rsidR="00B529E6" w:rsidRPr="00B529E6" w:rsidRDefault="00B529E6" w:rsidP="00B529E6">
      <w:pPr>
        <w:autoSpaceDE w:val="0"/>
        <w:autoSpaceDN w:val="0"/>
        <w:adjustRightInd w:val="0"/>
        <w:jc w:val="both"/>
        <w:rPr>
          <w:sz w:val="20"/>
          <w:szCs w:val="20"/>
        </w:rPr>
      </w:pPr>
      <w:r w:rsidRPr="00B529E6">
        <w:rPr>
          <w:sz w:val="20"/>
          <w:szCs w:val="20"/>
        </w:rPr>
        <w:t>[...]</w:t>
      </w:r>
    </w:p>
    <w:p w14:paraId="0880DE0C" w14:textId="77777777" w:rsidR="00B529E6" w:rsidRPr="00B529E6" w:rsidRDefault="00B529E6" w:rsidP="00B529E6">
      <w:pPr>
        <w:autoSpaceDE w:val="0"/>
        <w:autoSpaceDN w:val="0"/>
        <w:adjustRightInd w:val="0"/>
        <w:jc w:val="both"/>
        <w:rPr>
          <w:sz w:val="20"/>
          <w:szCs w:val="20"/>
        </w:rPr>
      </w:pPr>
    </w:p>
    <w:p w14:paraId="52D33904" w14:textId="5C177618" w:rsidR="00B529E6" w:rsidRPr="00B529E6" w:rsidRDefault="00B529E6" w:rsidP="00B529E6">
      <w:pPr>
        <w:autoSpaceDE w:val="0"/>
        <w:autoSpaceDN w:val="0"/>
        <w:adjustRightInd w:val="0"/>
        <w:jc w:val="both"/>
        <w:rPr>
          <w:sz w:val="20"/>
          <w:szCs w:val="20"/>
        </w:rPr>
      </w:pPr>
      <w:r w:rsidRPr="00B529E6">
        <w:rPr>
          <w:sz w:val="20"/>
          <w:szCs w:val="20"/>
        </w:rPr>
        <w:t>[1</w:t>
      </w:r>
      <w:r w:rsidRPr="00B529E6">
        <w:rPr>
          <w:i/>
          <w:sz w:val="20"/>
          <w:szCs w:val="20"/>
        </w:rPr>
        <w:t>ter</w:t>
      </w:r>
      <w:r w:rsidRPr="00B529E6">
        <w:rPr>
          <w:sz w:val="20"/>
          <w:szCs w:val="20"/>
        </w:rPr>
        <w:t>. [Vergütungen für eine Beschäftigung wie erwähnt in Artikel 17 § 1 Absatz 1 Nr. 1 und 3 bis 7 des Königlichen Erlasses vom 28. November 1969 zur Ausführung des Gesetzes vom 27. Juni 1969 zur Revision des Erlassgesetzes vom 28. Dezember 1944 über die soziale Sicherheit der Arbeitnehmer, für die in Anwendung desselben Artikels 17[, so wie er durch den Königlichen Erlass vom 31. August 2022 zur Abänderung von Artikel 17 des Königlichen Erlasses vom 28. November 1969 zur Ausführung des Gesetzes vom 27. Juni 1969 zur Revision des Erlassgesetzes vom 28. Dezember 1944 über die soziale Sicherheit der Arbeitnehmer abgeändert worden ist,] keine Sozialbeiträge geschuldet sind,]]</w:t>
      </w:r>
    </w:p>
    <w:p w14:paraId="0C3F334F" w14:textId="77777777" w:rsidR="00B529E6" w:rsidRPr="00B529E6" w:rsidRDefault="00B529E6" w:rsidP="00B529E6">
      <w:pPr>
        <w:autoSpaceDE w:val="0"/>
        <w:autoSpaceDN w:val="0"/>
        <w:adjustRightInd w:val="0"/>
        <w:jc w:val="both"/>
        <w:rPr>
          <w:sz w:val="20"/>
          <w:szCs w:val="20"/>
        </w:rPr>
      </w:pPr>
    </w:p>
    <w:p w14:paraId="6FA023E8" w14:textId="0B1A54AF" w:rsidR="00B529E6" w:rsidRPr="00B529E6" w:rsidRDefault="00B529E6" w:rsidP="00B529E6">
      <w:pPr>
        <w:autoSpaceDE w:val="0"/>
        <w:autoSpaceDN w:val="0"/>
        <w:adjustRightInd w:val="0"/>
        <w:jc w:val="both"/>
        <w:rPr>
          <w:sz w:val="20"/>
          <w:szCs w:val="20"/>
        </w:rPr>
      </w:pPr>
      <w:r w:rsidRPr="00B529E6">
        <w:rPr>
          <w:sz w:val="20"/>
          <w:szCs w:val="20"/>
        </w:rPr>
        <w:t>[...]</w:t>
      </w:r>
    </w:p>
    <w:p w14:paraId="6D8E5CB0" w14:textId="77777777" w:rsidR="00B529E6" w:rsidRPr="00B529E6" w:rsidRDefault="00B529E6" w:rsidP="00B529E6">
      <w:pPr>
        <w:autoSpaceDE w:val="0"/>
        <w:autoSpaceDN w:val="0"/>
        <w:adjustRightInd w:val="0"/>
        <w:jc w:val="both"/>
        <w:rPr>
          <w:sz w:val="20"/>
          <w:szCs w:val="20"/>
        </w:rPr>
      </w:pPr>
    </w:p>
    <w:p w14:paraId="0986AAE0" w14:textId="0C2F6883" w:rsidR="00B529E6" w:rsidRPr="00B529E6" w:rsidRDefault="00B529E6" w:rsidP="00B529E6">
      <w:pPr>
        <w:autoSpaceDE w:val="0"/>
        <w:autoSpaceDN w:val="0"/>
        <w:adjustRightInd w:val="0"/>
        <w:jc w:val="both"/>
        <w:rPr>
          <w:sz w:val="20"/>
          <w:szCs w:val="20"/>
        </w:rPr>
      </w:pPr>
      <w:r w:rsidRPr="00B529E6">
        <w:rPr>
          <w:sz w:val="20"/>
          <w:szCs w:val="20"/>
        </w:rPr>
        <w:t xml:space="preserve">2. Preise und während zweier Jahre erhaltene Zuschüsse für den Teilbetrag über [2.500 EUR] und andere Zuschüsse, Renten oder Pensionen, die Wissenschaftlern, Schriftstellern oder Künstlern von belgischen oder ausländischen öffentlichen Behörden oder öffentlichen Einrichtungen ohne Gewinnerzielungsabsicht zuerkannt werden, ausschließlich der Summen, die als Entlohnungen für erbrachte Leistungen gezahlt oder zuerkannt werden und Berufseinkünfte darstellen. </w:t>
      </w:r>
    </w:p>
    <w:p w14:paraId="0E560C40" w14:textId="77777777" w:rsidR="00B529E6" w:rsidRPr="00B529E6" w:rsidRDefault="00B529E6" w:rsidP="00B529E6">
      <w:pPr>
        <w:autoSpaceDE w:val="0"/>
        <w:autoSpaceDN w:val="0"/>
        <w:adjustRightInd w:val="0"/>
        <w:jc w:val="both"/>
        <w:rPr>
          <w:sz w:val="20"/>
          <w:szCs w:val="20"/>
        </w:rPr>
      </w:pPr>
    </w:p>
    <w:p w14:paraId="1620A18F" w14:textId="11C92024" w:rsidR="00B529E6" w:rsidRPr="00B529E6" w:rsidRDefault="00B529E6" w:rsidP="00B529E6">
      <w:pPr>
        <w:autoSpaceDE w:val="0"/>
        <w:autoSpaceDN w:val="0"/>
        <w:adjustRightInd w:val="0"/>
        <w:jc w:val="both"/>
        <w:rPr>
          <w:sz w:val="20"/>
          <w:szCs w:val="20"/>
        </w:rPr>
      </w:pPr>
      <w:r w:rsidRPr="00B529E6">
        <w:rPr>
          <w:sz w:val="20"/>
          <w:szCs w:val="20"/>
        </w:rPr>
        <w:t>Der König befreit durch einen im Ministerrat beratenen Erlass unter den von Ihm festgelegten Bedingungen Preise und Subsidien, die durch die von Ihm zugelassenen Einrichtungen zuerkannt werden, von der Steuer,</w:t>
      </w:r>
    </w:p>
    <w:p w14:paraId="7CE2A82A" w14:textId="77777777" w:rsidR="00B529E6" w:rsidRPr="00B529E6" w:rsidRDefault="00B529E6" w:rsidP="00B529E6">
      <w:pPr>
        <w:autoSpaceDE w:val="0"/>
        <w:autoSpaceDN w:val="0"/>
        <w:adjustRightInd w:val="0"/>
        <w:jc w:val="both"/>
        <w:rPr>
          <w:sz w:val="20"/>
          <w:szCs w:val="20"/>
        </w:rPr>
      </w:pPr>
    </w:p>
    <w:p w14:paraId="1E5A3C76" w14:textId="6BE2C18B" w:rsidR="00B529E6" w:rsidRPr="00B529E6" w:rsidRDefault="00B529E6" w:rsidP="00B529E6">
      <w:pPr>
        <w:autoSpaceDE w:val="0"/>
        <w:autoSpaceDN w:val="0"/>
        <w:adjustRightInd w:val="0"/>
        <w:jc w:val="both"/>
        <w:rPr>
          <w:sz w:val="20"/>
          <w:szCs w:val="20"/>
        </w:rPr>
      </w:pPr>
      <w:r w:rsidRPr="00B529E6">
        <w:rPr>
          <w:sz w:val="20"/>
          <w:szCs w:val="20"/>
        </w:rPr>
        <w:t>[2</w:t>
      </w:r>
      <w:r w:rsidRPr="00B529E6">
        <w:rPr>
          <w:i/>
          <w:iCs/>
          <w:sz w:val="20"/>
          <w:szCs w:val="20"/>
        </w:rPr>
        <w:t>bis</w:t>
      </w:r>
      <w:r w:rsidRPr="00B529E6">
        <w:rPr>
          <w:sz w:val="20"/>
          <w:szCs w:val="20"/>
        </w:rPr>
        <w:t>. Preisgelder für den ersten Teilbetrag von 30.000 EUR brutto pro Besteuerungszeitraum, die von nationalen oder internationalen Sportverbänden, von Nationalen Olympischen Komitees, von belgischen oder ausländischen öffentlichen Behörden oder von öffentlichen Einrichtungen ohne Gewinnerzielungsabsicht, die vom Internationalen Olympischen Komitee anerkannt sind, anlässlich einer sportlichen Leistung bei Olympischen Spielen, Paralympischen Spielen, Welt- oder Europameisterschaften oder anderen Kontinentalmeisterschaften vergeben werden,]</w:t>
      </w:r>
    </w:p>
    <w:p w14:paraId="06CE2F3F" w14:textId="77777777" w:rsidR="00B529E6" w:rsidRPr="00B529E6" w:rsidRDefault="00B529E6" w:rsidP="00B529E6">
      <w:pPr>
        <w:autoSpaceDE w:val="0"/>
        <w:autoSpaceDN w:val="0"/>
        <w:adjustRightInd w:val="0"/>
        <w:jc w:val="both"/>
        <w:rPr>
          <w:sz w:val="20"/>
          <w:szCs w:val="20"/>
        </w:rPr>
      </w:pPr>
    </w:p>
    <w:p w14:paraId="2EF73617" w14:textId="7527E1BC" w:rsidR="00B529E6" w:rsidRPr="00B529E6" w:rsidRDefault="00B529E6" w:rsidP="00B529E6">
      <w:pPr>
        <w:autoSpaceDE w:val="0"/>
        <w:autoSpaceDN w:val="0"/>
        <w:adjustRightInd w:val="0"/>
        <w:jc w:val="both"/>
        <w:rPr>
          <w:sz w:val="20"/>
          <w:szCs w:val="20"/>
        </w:rPr>
      </w:pPr>
      <w:r w:rsidRPr="00B529E6">
        <w:rPr>
          <w:sz w:val="20"/>
          <w:szCs w:val="20"/>
        </w:rPr>
        <w:lastRenderedPageBreak/>
        <w:t>3. [Unterhaltsleistungen, die Steuerpflichtigen regelmäßig von Personen zuerkannt werden, zu deren Haushalt sie nicht gehören, wenn sie ihnen in Ausführung [einer Verpflichtung aus dem Zivilgesetzbuch oder dem Gerichtsgesetzbuch oder in Ausführung einer vergleichbaren gesetzlichen Verpflichtung aus ausländischen Rechtsvorschriften] zuerkannt werden, und Kapitalien, die solche Unterhaltsleistungen ersetzen,]</w:t>
      </w:r>
    </w:p>
    <w:p w14:paraId="5CE2DEA7" w14:textId="77777777" w:rsidR="00B529E6" w:rsidRPr="00B529E6" w:rsidRDefault="00B529E6" w:rsidP="00B529E6">
      <w:pPr>
        <w:autoSpaceDE w:val="0"/>
        <w:autoSpaceDN w:val="0"/>
        <w:adjustRightInd w:val="0"/>
        <w:jc w:val="both"/>
        <w:rPr>
          <w:sz w:val="20"/>
          <w:szCs w:val="20"/>
        </w:rPr>
      </w:pPr>
    </w:p>
    <w:p w14:paraId="0684A5C2" w14:textId="160BED66" w:rsidR="00B529E6" w:rsidRPr="00B529E6" w:rsidRDefault="00B529E6" w:rsidP="00B529E6">
      <w:pPr>
        <w:autoSpaceDE w:val="0"/>
        <w:autoSpaceDN w:val="0"/>
        <w:adjustRightInd w:val="0"/>
        <w:jc w:val="both"/>
        <w:rPr>
          <w:sz w:val="20"/>
          <w:szCs w:val="20"/>
        </w:rPr>
      </w:pPr>
      <w:r w:rsidRPr="00B529E6">
        <w:rPr>
          <w:sz w:val="20"/>
          <w:szCs w:val="20"/>
        </w:rPr>
        <w:t>4. in Nr. 3 erwähnte Unterhaltsleistungen oder ergänzende Unterhaltsleistungen, die dem Steuerpflichtigen nach dem Besteuerungszeitraum, auf den sie sich beziehen, in Ausführung einer gerichtlichen Entscheidung gezahlt werden, mit der ihr Betrag rückwirkend festgelegt oder erhöht worden ist,</w:t>
      </w:r>
    </w:p>
    <w:p w14:paraId="29D7A4F9" w14:textId="77777777" w:rsidR="00B529E6" w:rsidRPr="00B529E6" w:rsidRDefault="00B529E6" w:rsidP="00B529E6">
      <w:pPr>
        <w:autoSpaceDE w:val="0"/>
        <w:autoSpaceDN w:val="0"/>
        <w:adjustRightInd w:val="0"/>
        <w:jc w:val="both"/>
        <w:rPr>
          <w:sz w:val="20"/>
          <w:szCs w:val="20"/>
        </w:rPr>
      </w:pPr>
    </w:p>
    <w:p w14:paraId="50E09F5A" w14:textId="77777777" w:rsidR="00B529E6" w:rsidRPr="00B529E6" w:rsidRDefault="00B529E6" w:rsidP="00B529E6">
      <w:pPr>
        <w:autoSpaceDE w:val="0"/>
        <w:autoSpaceDN w:val="0"/>
        <w:adjustRightInd w:val="0"/>
        <w:jc w:val="both"/>
        <w:rPr>
          <w:sz w:val="20"/>
          <w:szCs w:val="20"/>
        </w:rPr>
      </w:pPr>
      <w:r w:rsidRPr="00B529E6">
        <w:rPr>
          <w:sz w:val="20"/>
          <w:szCs w:val="20"/>
        </w:rPr>
        <w:t>5. [Einkünfte, die außerhalb der Ausübung einer Berufstätigkeit erzielt werden:</w:t>
      </w:r>
    </w:p>
    <w:p w14:paraId="544E10B1" w14:textId="77777777" w:rsidR="00B529E6" w:rsidRPr="00B529E6" w:rsidRDefault="00B529E6" w:rsidP="00B529E6">
      <w:pPr>
        <w:autoSpaceDE w:val="0"/>
        <w:autoSpaceDN w:val="0"/>
        <w:adjustRightInd w:val="0"/>
        <w:jc w:val="both"/>
        <w:rPr>
          <w:sz w:val="20"/>
          <w:szCs w:val="20"/>
        </w:rPr>
      </w:pPr>
    </w:p>
    <w:p w14:paraId="51E33DB3" w14:textId="77777777" w:rsidR="00B529E6" w:rsidRPr="00B529E6" w:rsidRDefault="00B529E6" w:rsidP="00B529E6">
      <w:pPr>
        <w:autoSpaceDE w:val="0"/>
        <w:autoSpaceDN w:val="0"/>
        <w:adjustRightInd w:val="0"/>
        <w:jc w:val="both"/>
        <w:rPr>
          <w:sz w:val="20"/>
          <w:szCs w:val="20"/>
        </w:rPr>
      </w:pPr>
      <w:r w:rsidRPr="00B529E6">
        <w:rPr>
          <w:i/>
          <w:sz w:val="20"/>
          <w:szCs w:val="20"/>
        </w:rPr>
        <w:t>a)</w:t>
      </w:r>
      <w:r w:rsidRPr="00B529E6">
        <w:rPr>
          <w:sz w:val="20"/>
          <w:szCs w:val="20"/>
        </w:rPr>
        <w:t> aus der Untervermietung von möblierten oder nicht möblierten unbeweglichen Gütern oder aus der Abtretung eines Mietvertrags über möblierte oder nicht möblierte unbewegliche Güter,</w:t>
      </w:r>
    </w:p>
    <w:p w14:paraId="15C2EF58" w14:textId="77777777" w:rsidR="00B529E6" w:rsidRPr="00B529E6" w:rsidRDefault="00B529E6" w:rsidP="00B529E6">
      <w:pPr>
        <w:autoSpaceDE w:val="0"/>
        <w:autoSpaceDN w:val="0"/>
        <w:adjustRightInd w:val="0"/>
        <w:jc w:val="both"/>
        <w:rPr>
          <w:sz w:val="20"/>
          <w:szCs w:val="20"/>
        </w:rPr>
      </w:pPr>
    </w:p>
    <w:p w14:paraId="7264CB59" w14:textId="77777777" w:rsidR="00B529E6" w:rsidRPr="00B529E6" w:rsidRDefault="00B529E6" w:rsidP="00B529E6">
      <w:pPr>
        <w:autoSpaceDE w:val="0"/>
        <w:autoSpaceDN w:val="0"/>
        <w:adjustRightInd w:val="0"/>
        <w:jc w:val="both"/>
        <w:rPr>
          <w:sz w:val="20"/>
          <w:szCs w:val="20"/>
        </w:rPr>
      </w:pPr>
      <w:r w:rsidRPr="00B529E6">
        <w:rPr>
          <w:i/>
          <w:sz w:val="20"/>
          <w:szCs w:val="20"/>
        </w:rPr>
        <w:t>b)</w:t>
      </w:r>
      <w:r w:rsidRPr="00B529E6">
        <w:rPr>
          <w:sz w:val="20"/>
          <w:szCs w:val="20"/>
        </w:rPr>
        <w:t> aus der zeitweiligen Überlassung des Rechts, eine ihrem Wesen nach unbewegliche Fläche, die nicht innerhalb der Umfriedung einer Sportanlage liegt, zu nutzen, um dort Plakate oder andere Werbeträger anzubringen, oder</w:t>
      </w:r>
    </w:p>
    <w:p w14:paraId="1FDA0102" w14:textId="77777777" w:rsidR="00B529E6" w:rsidRPr="00B529E6" w:rsidRDefault="00B529E6" w:rsidP="00B529E6">
      <w:pPr>
        <w:autoSpaceDE w:val="0"/>
        <w:autoSpaceDN w:val="0"/>
        <w:adjustRightInd w:val="0"/>
        <w:jc w:val="both"/>
        <w:rPr>
          <w:sz w:val="20"/>
          <w:szCs w:val="20"/>
        </w:rPr>
      </w:pPr>
    </w:p>
    <w:p w14:paraId="09655DF5" w14:textId="629F1E85" w:rsidR="00B529E6" w:rsidRPr="00B529E6" w:rsidRDefault="00B529E6" w:rsidP="00B529E6">
      <w:pPr>
        <w:autoSpaceDE w:val="0"/>
        <w:autoSpaceDN w:val="0"/>
        <w:adjustRightInd w:val="0"/>
        <w:jc w:val="both"/>
        <w:rPr>
          <w:sz w:val="20"/>
          <w:szCs w:val="20"/>
        </w:rPr>
      </w:pPr>
      <w:r w:rsidRPr="00B529E6">
        <w:rPr>
          <w:i/>
          <w:sz w:val="20"/>
          <w:szCs w:val="20"/>
        </w:rPr>
        <w:t>c)</w:t>
      </w:r>
      <w:r w:rsidRPr="00B529E6">
        <w:rPr>
          <w:sz w:val="20"/>
          <w:szCs w:val="20"/>
        </w:rPr>
        <w:t> aus der zeitweiligen Überlassung des Rechts, eine ihrem Wesen nach unbewegliche Fläche zu nutzen, um dort Übertragungs- und Empfangseinrichtungen von Mobiltelefon</w:t>
      </w:r>
      <w:r w:rsidRPr="00B529E6">
        <w:rPr>
          <w:sz w:val="20"/>
          <w:szCs w:val="20"/>
        </w:rPr>
        <w:softHyphen/>
        <w:t>betreibern anzubringen,]</w:t>
      </w:r>
    </w:p>
    <w:p w14:paraId="10D22446" w14:textId="77777777" w:rsidR="00B529E6" w:rsidRPr="00B529E6" w:rsidRDefault="00B529E6" w:rsidP="00B529E6">
      <w:pPr>
        <w:autoSpaceDE w:val="0"/>
        <w:autoSpaceDN w:val="0"/>
        <w:adjustRightInd w:val="0"/>
        <w:jc w:val="both"/>
        <w:rPr>
          <w:sz w:val="20"/>
          <w:szCs w:val="20"/>
        </w:rPr>
      </w:pPr>
    </w:p>
    <w:p w14:paraId="68C6419B" w14:textId="0D62C490" w:rsidR="00B529E6" w:rsidRPr="00B529E6" w:rsidRDefault="00B529E6" w:rsidP="00B529E6">
      <w:pPr>
        <w:autoSpaceDE w:val="0"/>
        <w:autoSpaceDN w:val="0"/>
        <w:adjustRightInd w:val="0"/>
        <w:jc w:val="both"/>
        <w:rPr>
          <w:sz w:val="20"/>
          <w:szCs w:val="20"/>
        </w:rPr>
      </w:pPr>
      <w:r w:rsidRPr="00B529E6">
        <w:rPr>
          <w:sz w:val="20"/>
          <w:szCs w:val="20"/>
        </w:rPr>
        <w:t>6. Lose in Bezug auf Anleihepapiere ausschließlich der Lose, die von belgischen Real- und Personensteuern oder von allen Steuern befreit wurden,</w:t>
      </w:r>
    </w:p>
    <w:p w14:paraId="18CFCFA5" w14:textId="77777777" w:rsidR="00B529E6" w:rsidRPr="00B529E6" w:rsidRDefault="00B529E6" w:rsidP="00B529E6">
      <w:pPr>
        <w:autoSpaceDE w:val="0"/>
        <w:autoSpaceDN w:val="0"/>
        <w:adjustRightInd w:val="0"/>
        <w:jc w:val="both"/>
        <w:rPr>
          <w:sz w:val="20"/>
          <w:szCs w:val="20"/>
        </w:rPr>
      </w:pPr>
    </w:p>
    <w:p w14:paraId="775DBBD6" w14:textId="211B7F89" w:rsidR="00B529E6" w:rsidRPr="00B529E6" w:rsidRDefault="00B529E6" w:rsidP="00B529E6">
      <w:pPr>
        <w:autoSpaceDE w:val="0"/>
        <w:autoSpaceDN w:val="0"/>
        <w:adjustRightInd w:val="0"/>
        <w:jc w:val="both"/>
        <w:rPr>
          <w:sz w:val="20"/>
          <w:szCs w:val="20"/>
        </w:rPr>
      </w:pPr>
      <w:r w:rsidRPr="00B529E6">
        <w:rPr>
          <w:sz w:val="20"/>
          <w:szCs w:val="20"/>
        </w:rPr>
        <w:t>7. Erträge aus der Verpachtung des Jagd-, Fischerei- und Vogelfangrechts,</w:t>
      </w:r>
    </w:p>
    <w:p w14:paraId="61FC0B35" w14:textId="77777777" w:rsidR="00B529E6" w:rsidRPr="00B529E6" w:rsidRDefault="00B529E6" w:rsidP="00B529E6">
      <w:pPr>
        <w:autoSpaceDE w:val="0"/>
        <w:autoSpaceDN w:val="0"/>
        <w:adjustRightInd w:val="0"/>
        <w:jc w:val="both"/>
        <w:rPr>
          <w:sz w:val="20"/>
          <w:szCs w:val="20"/>
        </w:rPr>
      </w:pPr>
    </w:p>
    <w:p w14:paraId="1D46E3DF" w14:textId="36F87F97" w:rsidR="00B529E6" w:rsidRPr="00B529E6" w:rsidRDefault="00B529E6" w:rsidP="00B529E6">
      <w:pPr>
        <w:autoSpaceDE w:val="0"/>
        <w:autoSpaceDN w:val="0"/>
        <w:adjustRightInd w:val="0"/>
        <w:jc w:val="both"/>
        <w:rPr>
          <w:sz w:val="20"/>
          <w:szCs w:val="20"/>
        </w:rPr>
      </w:pPr>
      <w:r w:rsidRPr="00B529E6">
        <w:rPr>
          <w:sz w:val="20"/>
          <w:szCs w:val="20"/>
        </w:rPr>
        <w:t>8. Mehrwerte, die anlässlich einer entgeltlichen Abtretung verwirklicht werden auf in Belgien gelegene unbebaute unbewegliche Güter oder auf dingliche Rechte an diesen unbeweglichen Gütern, die keine Erbpachtrechte, Erbbaurechte oder gleichartige Rechte an unbeweglichen Gütern sind, sofern:</w:t>
      </w:r>
    </w:p>
    <w:p w14:paraId="43A09FE7" w14:textId="77777777" w:rsidR="00B529E6" w:rsidRPr="00B529E6" w:rsidRDefault="00B529E6" w:rsidP="00B529E6">
      <w:pPr>
        <w:autoSpaceDE w:val="0"/>
        <w:autoSpaceDN w:val="0"/>
        <w:adjustRightInd w:val="0"/>
        <w:jc w:val="both"/>
        <w:rPr>
          <w:sz w:val="20"/>
          <w:szCs w:val="20"/>
        </w:rPr>
      </w:pPr>
    </w:p>
    <w:p w14:paraId="04233C1C" w14:textId="76438F01" w:rsidR="00B529E6" w:rsidRPr="00B529E6" w:rsidRDefault="00B529E6" w:rsidP="00B529E6">
      <w:pPr>
        <w:autoSpaceDE w:val="0"/>
        <w:autoSpaceDN w:val="0"/>
        <w:adjustRightInd w:val="0"/>
        <w:jc w:val="both"/>
        <w:rPr>
          <w:sz w:val="20"/>
          <w:szCs w:val="20"/>
        </w:rPr>
      </w:pPr>
      <w:r w:rsidRPr="00B529E6">
        <w:rPr>
          <w:i/>
          <w:iCs/>
          <w:sz w:val="20"/>
          <w:szCs w:val="20"/>
        </w:rPr>
        <w:t xml:space="preserve">a) </w:t>
      </w:r>
      <w:r w:rsidRPr="00B529E6">
        <w:rPr>
          <w:sz w:val="20"/>
          <w:szCs w:val="20"/>
        </w:rPr>
        <w:t>die Güter entgeltlich erworben wurden und innerhalb acht Jahren nach dem Datum der öffentlichen Erwerbsurkunde oder, in Ermangelung einer öffentlichen Urkunde, nach dem Datum, an dem eine andere Urkunde oder ein anderes Schriftstück zur Feststellung des Erwerbs der Registrierungsformalität unterworfen wurde, veräußert werden,</w:t>
      </w:r>
    </w:p>
    <w:p w14:paraId="56C5B3D2" w14:textId="77777777" w:rsidR="00B529E6" w:rsidRPr="00B529E6" w:rsidRDefault="00B529E6" w:rsidP="00B529E6">
      <w:pPr>
        <w:autoSpaceDE w:val="0"/>
        <w:autoSpaceDN w:val="0"/>
        <w:adjustRightInd w:val="0"/>
        <w:jc w:val="both"/>
        <w:rPr>
          <w:sz w:val="20"/>
          <w:szCs w:val="20"/>
        </w:rPr>
      </w:pPr>
    </w:p>
    <w:p w14:paraId="79905B39" w14:textId="18D220B0" w:rsidR="00B529E6" w:rsidRPr="00B529E6" w:rsidRDefault="00B529E6" w:rsidP="00B529E6">
      <w:pPr>
        <w:autoSpaceDE w:val="0"/>
        <w:autoSpaceDN w:val="0"/>
        <w:adjustRightInd w:val="0"/>
        <w:jc w:val="both"/>
        <w:rPr>
          <w:sz w:val="20"/>
          <w:szCs w:val="20"/>
        </w:rPr>
      </w:pPr>
      <w:r w:rsidRPr="00B529E6">
        <w:rPr>
          <w:i/>
          <w:iCs/>
          <w:sz w:val="20"/>
          <w:szCs w:val="20"/>
        </w:rPr>
        <w:t>b)</w:t>
      </w:r>
      <w:r w:rsidRPr="00B529E6">
        <w:rPr>
          <w:sz w:val="20"/>
          <w:szCs w:val="20"/>
        </w:rPr>
        <w:t xml:space="preserve"> die Güter durch Schenkung unter Lebenden erworben wurden und innerhalb dreier Jahre nach der Schenkungsurkunde und innerhalb acht Jahren nach dem Datum der öffentlichen Erwerbsurkunde über den entgeltlichen Erwerb durch den Schenker oder, in Ermangelung einer öffentlichen Urkunde, nach dem Datum, an dem eine andere Urkunde oder ein anderes Schriftstück zur Feststellung des entgeltlichen Erwerbs durch den Schenker der Registrierungsformalität unterworfen wurde, veräußert werden,</w:t>
      </w:r>
    </w:p>
    <w:p w14:paraId="3208950A" w14:textId="77777777" w:rsidR="00B529E6" w:rsidRPr="00B529E6" w:rsidRDefault="00B529E6" w:rsidP="00B529E6">
      <w:pPr>
        <w:autoSpaceDE w:val="0"/>
        <w:autoSpaceDN w:val="0"/>
        <w:adjustRightInd w:val="0"/>
        <w:jc w:val="both"/>
        <w:rPr>
          <w:sz w:val="20"/>
          <w:szCs w:val="20"/>
        </w:rPr>
      </w:pPr>
    </w:p>
    <w:p w14:paraId="0E4A79E0" w14:textId="503CB536" w:rsidR="00B529E6" w:rsidRPr="00B529E6" w:rsidRDefault="00B529E6" w:rsidP="00B529E6">
      <w:pPr>
        <w:autoSpaceDE w:val="0"/>
        <w:autoSpaceDN w:val="0"/>
        <w:adjustRightInd w:val="0"/>
        <w:jc w:val="both"/>
        <w:rPr>
          <w:sz w:val="20"/>
          <w:szCs w:val="20"/>
        </w:rPr>
      </w:pPr>
      <w:r w:rsidRPr="00B529E6">
        <w:rPr>
          <w:sz w:val="20"/>
          <w:szCs w:val="20"/>
        </w:rPr>
        <w:t>9. [Mehrwerte auf Aktien oder Anteile, die:</w:t>
      </w:r>
    </w:p>
    <w:p w14:paraId="5A3246AA" w14:textId="77777777" w:rsidR="00B529E6" w:rsidRPr="00B529E6" w:rsidRDefault="00B529E6" w:rsidP="00B529E6">
      <w:pPr>
        <w:autoSpaceDE w:val="0"/>
        <w:autoSpaceDN w:val="0"/>
        <w:adjustRightInd w:val="0"/>
        <w:jc w:val="both"/>
        <w:rPr>
          <w:sz w:val="20"/>
          <w:szCs w:val="20"/>
        </w:rPr>
      </w:pPr>
    </w:p>
    <w:p w14:paraId="55CDBBC0" w14:textId="4400B813" w:rsidR="00B529E6" w:rsidRPr="00B529E6" w:rsidRDefault="00B529E6" w:rsidP="00B529E6">
      <w:pPr>
        <w:autoSpaceDE w:val="0"/>
        <w:autoSpaceDN w:val="0"/>
        <w:adjustRightInd w:val="0"/>
        <w:jc w:val="both"/>
        <w:rPr>
          <w:sz w:val="20"/>
          <w:szCs w:val="20"/>
        </w:rPr>
      </w:pPr>
      <w:r w:rsidRPr="00B529E6">
        <w:rPr>
          <w:sz w:val="20"/>
          <w:szCs w:val="20"/>
        </w:rPr>
        <w:t xml:space="preserve">- entweder anlässlich der entgeltlichen Übertragung dieser Aktien oder Anteile außerhalb der Ausübung einer Berufstätigkeit verwirklicht werden, Verrichtungen in Bezug auf die normale Verwaltung eines Privatvermögens ausgenommen, </w:t>
      </w:r>
    </w:p>
    <w:p w14:paraId="7B0D1189" w14:textId="77777777" w:rsidR="00B529E6" w:rsidRDefault="00B529E6" w:rsidP="00B529E6">
      <w:pPr>
        <w:autoSpaceDE w:val="0"/>
        <w:autoSpaceDN w:val="0"/>
        <w:adjustRightInd w:val="0"/>
        <w:jc w:val="both"/>
        <w:rPr>
          <w:sz w:val="20"/>
          <w:szCs w:val="20"/>
        </w:rPr>
      </w:pPr>
    </w:p>
    <w:p w14:paraId="71023F87" w14:textId="3F669F18" w:rsidR="00B529E6" w:rsidRPr="00B529E6" w:rsidRDefault="00B529E6" w:rsidP="00B529E6">
      <w:pPr>
        <w:autoSpaceDE w:val="0"/>
        <w:autoSpaceDN w:val="0"/>
        <w:adjustRightInd w:val="0"/>
        <w:jc w:val="both"/>
        <w:rPr>
          <w:sz w:val="20"/>
          <w:szCs w:val="20"/>
        </w:rPr>
      </w:pPr>
      <w:r w:rsidRPr="00B529E6">
        <w:rPr>
          <w:sz w:val="20"/>
          <w:szCs w:val="20"/>
        </w:rPr>
        <w:t>- oder anlässlich der entgeltlichen Übertragung von Aktien oder Anteilen, die Gesellschaftsrechte an einer inländischen Gesellschaft verbriefen, auf eine in Artikel 227 Nr. 2 oder 3 erwähnte juristische Person, deren […] Hauptniederlassung oder Geschäftsführungs- oder Verwaltungssitz nicht in einem Mitgliedstaat des Europäischen Wirtschaftsraums liegt, außerhalb der Ausübung einer Berufstätigkeit verwirklicht werden, sofern der Zedent oder sein Rechtsvorgänger, wenn die Aktien oder Anteile nicht entgeltlich erworben wurden, zu irgendeinem Zeitpunkt in den fünf Jahren vor der Übertragung allein oder mit seinem Ehepartner oder seinen Verwandten in absteigender Linie, in aufsteigender Linie und in der Seitenlinie bis zum zweiten Grad einschließlich und denjenigen seines Ehepartners direkt oder indirekt mehr als 25 Prozent der Rechte an der Gesellschaft, deren Aktien oder Anteile übertragen werden, besessen hat,]</w:t>
      </w:r>
    </w:p>
    <w:p w14:paraId="7E4C1BC5" w14:textId="77777777" w:rsidR="00B529E6" w:rsidRPr="00B529E6" w:rsidRDefault="00B529E6" w:rsidP="00B529E6">
      <w:pPr>
        <w:autoSpaceDE w:val="0"/>
        <w:autoSpaceDN w:val="0"/>
        <w:adjustRightInd w:val="0"/>
        <w:jc w:val="both"/>
        <w:rPr>
          <w:sz w:val="20"/>
          <w:szCs w:val="20"/>
        </w:rPr>
      </w:pPr>
    </w:p>
    <w:p w14:paraId="51073B25" w14:textId="77777777" w:rsidR="00B529E6" w:rsidRDefault="00B529E6">
      <w:pPr>
        <w:rPr>
          <w:sz w:val="20"/>
          <w:szCs w:val="20"/>
        </w:rPr>
      </w:pPr>
      <w:r>
        <w:rPr>
          <w:sz w:val="20"/>
          <w:szCs w:val="20"/>
        </w:rPr>
        <w:br w:type="page"/>
      </w:r>
    </w:p>
    <w:p w14:paraId="48D24CFA" w14:textId="0B8D912E" w:rsidR="00B529E6" w:rsidRPr="00B529E6" w:rsidRDefault="00B529E6" w:rsidP="00B529E6">
      <w:pPr>
        <w:autoSpaceDE w:val="0"/>
        <w:autoSpaceDN w:val="0"/>
        <w:adjustRightInd w:val="0"/>
        <w:jc w:val="both"/>
        <w:rPr>
          <w:sz w:val="20"/>
          <w:szCs w:val="20"/>
        </w:rPr>
      </w:pPr>
      <w:r w:rsidRPr="00B529E6">
        <w:rPr>
          <w:sz w:val="20"/>
          <w:szCs w:val="20"/>
        </w:rPr>
        <w:lastRenderedPageBreak/>
        <w:t>[10. Mehrwerte, die anlässlich einer entgeltlichen Abtretung verwirklicht werden auf in Belgien gelegene bebaute unbewegliche Güter oder auf dingliche Rechte an diesen unbeweglichen Gütern, die keine Erbpachtrechte, Erbbaurechte oder gleichartige Rechte an unbeweglichen Gütern sind, sofern:</w:t>
      </w:r>
    </w:p>
    <w:p w14:paraId="46DFE8C3" w14:textId="77777777" w:rsidR="00B529E6" w:rsidRPr="00B529E6" w:rsidRDefault="00B529E6" w:rsidP="00B529E6">
      <w:pPr>
        <w:autoSpaceDE w:val="0"/>
        <w:autoSpaceDN w:val="0"/>
        <w:adjustRightInd w:val="0"/>
        <w:jc w:val="both"/>
        <w:rPr>
          <w:sz w:val="20"/>
          <w:szCs w:val="20"/>
        </w:rPr>
      </w:pPr>
    </w:p>
    <w:p w14:paraId="16F167CB" w14:textId="1D74E571" w:rsidR="00B529E6" w:rsidRPr="00B529E6" w:rsidRDefault="00B529E6" w:rsidP="00B529E6">
      <w:pPr>
        <w:autoSpaceDE w:val="0"/>
        <w:autoSpaceDN w:val="0"/>
        <w:adjustRightInd w:val="0"/>
        <w:jc w:val="both"/>
        <w:rPr>
          <w:sz w:val="20"/>
          <w:szCs w:val="20"/>
        </w:rPr>
      </w:pPr>
      <w:r w:rsidRPr="00B529E6">
        <w:rPr>
          <w:i/>
          <w:iCs/>
          <w:sz w:val="20"/>
          <w:szCs w:val="20"/>
        </w:rPr>
        <w:t xml:space="preserve">a) </w:t>
      </w:r>
      <w:r w:rsidRPr="00B529E6">
        <w:rPr>
          <w:sz w:val="20"/>
          <w:szCs w:val="20"/>
        </w:rPr>
        <w:t>es sich um bebaute unbewegliche Güter handelt, die entgeltlich erworben wurden und innerhalb fünf Jahren nach dem Erwerbsdatum veräußert werden,</w:t>
      </w:r>
    </w:p>
    <w:p w14:paraId="4627A040" w14:textId="77777777" w:rsidR="00B529E6" w:rsidRPr="00B529E6" w:rsidRDefault="00B529E6" w:rsidP="00B529E6">
      <w:pPr>
        <w:autoSpaceDE w:val="0"/>
        <w:autoSpaceDN w:val="0"/>
        <w:adjustRightInd w:val="0"/>
        <w:jc w:val="both"/>
        <w:rPr>
          <w:sz w:val="20"/>
          <w:szCs w:val="20"/>
        </w:rPr>
      </w:pPr>
    </w:p>
    <w:p w14:paraId="793B985B" w14:textId="2892E237" w:rsidR="00B529E6" w:rsidRPr="00B529E6" w:rsidRDefault="00B529E6" w:rsidP="00B529E6">
      <w:pPr>
        <w:autoSpaceDE w:val="0"/>
        <w:autoSpaceDN w:val="0"/>
        <w:adjustRightInd w:val="0"/>
        <w:jc w:val="both"/>
        <w:rPr>
          <w:sz w:val="20"/>
          <w:szCs w:val="20"/>
        </w:rPr>
      </w:pPr>
      <w:r w:rsidRPr="00B529E6">
        <w:rPr>
          <w:i/>
          <w:iCs/>
          <w:sz w:val="20"/>
          <w:szCs w:val="20"/>
        </w:rPr>
        <w:t>b)</w:t>
      </w:r>
      <w:r w:rsidRPr="00B529E6">
        <w:rPr>
          <w:sz w:val="20"/>
          <w:szCs w:val="20"/>
        </w:rPr>
        <w:t xml:space="preserve"> es sich um bebaute unbewegliche Güter handelt, die durch Schenkung unter Lebenden erworben wurden und innerhalb dreier Jahre nach der Schenkungsurkunde und innerhalb fünf Jahren nach dem Datum des entgeltlichen Erwerbs durch den Schenker veräußert werden,</w:t>
      </w:r>
    </w:p>
    <w:p w14:paraId="7E50C47B" w14:textId="77777777" w:rsidR="00B529E6" w:rsidRPr="00B529E6" w:rsidRDefault="00B529E6" w:rsidP="00B529E6">
      <w:pPr>
        <w:autoSpaceDE w:val="0"/>
        <w:autoSpaceDN w:val="0"/>
        <w:adjustRightInd w:val="0"/>
        <w:jc w:val="both"/>
        <w:rPr>
          <w:sz w:val="20"/>
          <w:szCs w:val="20"/>
        </w:rPr>
      </w:pPr>
    </w:p>
    <w:p w14:paraId="7B8E9266" w14:textId="25FD1A5E" w:rsidR="00B529E6" w:rsidRPr="00B529E6" w:rsidRDefault="00B529E6" w:rsidP="00B529E6">
      <w:pPr>
        <w:autoSpaceDE w:val="0"/>
        <w:autoSpaceDN w:val="0"/>
        <w:adjustRightInd w:val="0"/>
        <w:jc w:val="both"/>
        <w:rPr>
          <w:sz w:val="20"/>
          <w:szCs w:val="20"/>
        </w:rPr>
      </w:pPr>
      <w:r w:rsidRPr="00B529E6">
        <w:rPr>
          <w:i/>
          <w:iCs/>
          <w:sz w:val="20"/>
          <w:szCs w:val="20"/>
        </w:rPr>
        <w:t>c)</w:t>
      </w:r>
      <w:r w:rsidRPr="00B529E6">
        <w:rPr>
          <w:sz w:val="20"/>
          <w:szCs w:val="20"/>
        </w:rPr>
        <w:t xml:space="preserve"> es sich um unbebaute unbewegliche Güter handelt, die vom Steuerpflichtigen entgeltlich oder durch Schenkung unter Lebenden erworben wurden, und auf ihnen ein Gebäude von ihm errichtet wurde, sofern innerhalb fünf Jahren nach dem entgeltlichen Erwerb des Grundstücks durch den Steuerpflichtigen oder den Schenker mit dem Bau begonnen wurde und das gesamte Gut innerhalb fünf Jahren nach dem Datum der ersten Ingebrauchnahme oder Vermietung des unbeweglichen Gutes veräußert wird. </w:t>
      </w:r>
    </w:p>
    <w:p w14:paraId="27934CAA" w14:textId="77777777" w:rsidR="00B529E6" w:rsidRPr="00B529E6" w:rsidRDefault="00B529E6" w:rsidP="00B529E6">
      <w:pPr>
        <w:autoSpaceDE w:val="0"/>
        <w:autoSpaceDN w:val="0"/>
        <w:adjustRightInd w:val="0"/>
        <w:jc w:val="both"/>
        <w:rPr>
          <w:sz w:val="20"/>
          <w:szCs w:val="20"/>
        </w:rPr>
      </w:pPr>
    </w:p>
    <w:p w14:paraId="2D051F30" w14:textId="08FF3CFC" w:rsidR="00B529E6" w:rsidRPr="00B529E6" w:rsidRDefault="00B529E6" w:rsidP="00B529E6">
      <w:pPr>
        <w:autoSpaceDE w:val="0"/>
        <w:autoSpaceDN w:val="0"/>
        <w:adjustRightInd w:val="0"/>
        <w:jc w:val="both"/>
        <w:rPr>
          <w:sz w:val="20"/>
          <w:szCs w:val="20"/>
        </w:rPr>
      </w:pPr>
      <w:r w:rsidRPr="00B529E6">
        <w:rPr>
          <w:sz w:val="20"/>
          <w:szCs w:val="20"/>
        </w:rPr>
        <w:t>Unter Erwerbs- oder Veräußerungsdatum versteht man:</w:t>
      </w:r>
    </w:p>
    <w:p w14:paraId="388A43F0" w14:textId="77777777" w:rsidR="00B529E6" w:rsidRPr="00B529E6" w:rsidRDefault="00B529E6" w:rsidP="00B529E6">
      <w:pPr>
        <w:autoSpaceDE w:val="0"/>
        <w:autoSpaceDN w:val="0"/>
        <w:adjustRightInd w:val="0"/>
        <w:jc w:val="both"/>
        <w:rPr>
          <w:sz w:val="20"/>
          <w:szCs w:val="20"/>
        </w:rPr>
      </w:pPr>
    </w:p>
    <w:p w14:paraId="2B5D1D50" w14:textId="42D3353C" w:rsidR="00B529E6" w:rsidRPr="00B529E6" w:rsidRDefault="00B529E6" w:rsidP="00B529E6">
      <w:pPr>
        <w:autoSpaceDE w:val="0"/>
        <w:autoSpaceDN w:val="0"/>
        <w:adjustRightInd w:val="0"/>
        <w:jc w:val="both"/>
        <w:rPr>
          <w:sz w:val="20"/>
          <w:szCs w:val="20"/>
        </w:rPr>
      </w:pPr>
      <w:r w:rsidRPr="00B529E6">
        <w:rPr>
          <w:sz w:val="20"/>
          <w:szCs w:val="20"/>
        </w:rPr>
        <w:t>- das Datum der öffentlichen Erwerbs- oder Veräußerungsurkunde</w:t>
      </w:r>
    </w:p>
    <w:p w14:paraId="2E3A58B6" w14:textId="77777777" w:rsidR="00B529E6" w:rsidRPr="00B529E6" w:rsidRDefault="00B529E6" w:rsidP="00B529E6">
      <w:pPr>
        <w:autoSpaceDE w:val="0"/>
        <w:autoSpaceDN w:val="0"/>
        <w:adjustRightInd w:val="0"/>
        <w:jc w:val="both"/>
        <w:rPr>
          <w:sz w:val="20"/>
          <w:szCs w:val="20"/>
        </w:rPr>
      </w:pPr>
    </w:p>
    <w:p w14:paraId="0F69FF02" w14:textId="3BAE26A6" w:rsidR="00B529E6" w:rsidRPr="00B529E6" w:rsidRDefault="00B529E6" w:rsidP="00B529E6">
      <w:pPr>
        <w:autoSpaceDE w:val="0"/>
        <w:autoSpaceDN w:val="0"/>
        <w:adjustRightInd w:val="0"/>
        <w:jc w:val="both"/>
        <w:rPr>
          <w:sz w:val="20"/>
          <w:szCs w:val="20"/>
        </w:rPr>
      </w:pPr>
      <w:r w:rsidRPr="00B529E6">
        <w:rPr>
          <w:sz w:val="20"/>
          <w:szCs w:val="20"/>
        </w:rPr>
        <w:t>- oder, in Ermangelung einer öffentlichen Urkunde, das Datum, an dem eine andere Urkunde oder ein anderes Schriftstück zur Feststellung des Erwerbs oder der Veräußerung der Registrierungsformalität unterworfen wurde,]</w:t>
      </w:r>
    </w:p>
    <w:p w14:paraId="7068AEBD" w14:textId="77777777" w:rsidR="00B529E6" w:rsidRPr="00B529E6" w:rsidRDefault="00B529E6" w:rsidP="00B529E6">
      <w:pPr>
        <w:autoSpaceDE w:val="0"/>
        <w:autoSpaceDN w:val="0"/>
        <w:adjustRightInd w:val="0"/>
        <w:jc w:val="both"/>
        <w:rPr>
          <w:sz w:val="20"/>
          <w:szCs w:val="20"/>
        </w:rPr>
      </w:pPr>
    </w:p>
    <w:p w14:paraId="7B047FA5" w14:textId="230D7EB4" w:rsidR="00B529E6" w:rsidRPr="00B529E6" w:rsidRDefault="00B529E6" w:rsidP="00B529E6">
      <w:pPr>
        <w:autoSpaceDE w:val="0"/>
        <w:autoSpaceDN w:val="0"/>
        <w:adjustRightInd w:val="0"/>
        <w:jc w:val="both"/>
        <w:rPr>
          <w:sz w:val="20"/>
          <w:szCs w:val="20"/>
        </w:rPr>
      </w:pPr>
      <w:r w:rsidRPr="00B529E6">
        <w:rPr>
          <w:sz w:val="20"/>
          <w:szCs w:val="20"/>
        </w:rPr>
        <w:t>[11. Entschädigungen für fehlende Kupons oder für fehlende Lose in Bezug auf Finanzinstrumente, die Gegenstand einer Vereinbarung über die Leistung von dinglichen Sicherheiten oder eines Verleihs sind,]</w:t>
      </w:r>
    </w:p>
    <w:p w14:paraId="76A1C7DC" w14:textId="77777777" w:rsidR="00B529E6" w:rsidRPr="00B529E6" w:rsidRDefault="00B529E6" w:rsidP="00B529E6">
      <w:pPr>
        <w:autoSpaceDE w:val="0"/>
        <w:autoSpaceDN w:val="0"/>
        <w:adjustRightInd w:val="0"/>
        <w:jc w:val="both"/>
        <w:rPr>
          <w:sz w:val="20"/>
          <w:szCs w:val="20"/>
        </w:rPr>
      </w:pPr>
    </w:p>
    <w:p w14:paraId="377D4AEB" w14:textId="57C29568" w:rsidR="00B529E6" w:rsidRPr="00B529E6" w:rsidRDefault="00B529E6" w:rsidP="00B529E6">
      <w:pPr>
        <w:autoSpaceDE w:val="0"/>
        <w:autoSpaceDN w:val="0"/>
        <w:adjustRightInd w:val="0"/>
        <w:jc w:val="both"/>
        <w:rPr>
          <w:sz w:val="20"/>
          <w:szCs w:val="20"/>
        </w:rPr>
      </w:pPr>
      <w:r w:rsidRPr="00B529E6">
        <w:rPr>
          <w:sz w:val="20"/>
          <w:szCs w:val="20"/>
        </w:rPr>
        <w:t>[12. persönliche Vergütungen aus der Verwertung einer Erfindung, die Forschern von einer Universität, einer Hochschule, [dem "Föderalen Fonds für wissen</w:t>
      </w:r>
      <w:r w:rsidRPr="00B529E6">
        <w:rPr>
          <w:sz w:val="20"/>
          <w:szCs w:val="20"/>
        </w:rPr>
        <w:softHyphen/>
        <w:t>schaftliche Forschung - Federaal Fonds voor Wetenschappelijk Onderzoek - Fonds fédéral de la Recherche scientifique - FFWF/FFWO/FFRS", dem "Fonds voor Wetenschappelijk Onder</w:t>
      </w:r>
      <w:r w:rsidRPr="00B529E6">
        <w:rPr>
          <w:sz w:val="20"/>
          <w:szCs w:val="20"/>
        </w:rPr>
        <w:softHyphen/>
        <w:t>zoek</w:t>
      </w:r>
      <w:r w:rsidRPr="00B529E6">
        <w:rPr>
          <w:sz w:val="20"/>
          <w:szCs w:val="20"/>
        </w:rPr>
        <w:noBreakHyphen/>
        <w:t>Vlaanderen - FWO", dem "Fonds de la Recherche scientifique - FNRS - FRS</w:t>
      </w:r>
      <w:r w:rsidRPr="00B529E6">
        <w:rPr>
          <w:sz w:val="20"/>
          <w:szCs w:val="20"/>
        </w:rPr>
        <w:noBreakHyphen/>
        <w:t>FNRS"] oder einer gemäß Artikel 275</w:t>
      </w:r>
      <w:r w:rsidRPr="00B529E6">
        <w:rPr>
          <w:sz w:val="20"/>
          <w:szCs w:val="20"/>
          <w:vertAlign w:val="superscript"/>
        </w:rPr>
        <w:t>3</w:t>
      </w:r>
      <w:r w:rsidRPr="00B529E6">
        <w:rPr>
          <w:sz w:val="20"/>
          <w:szCs w:val="20"/>
        </w:rPr>
        <w:t xml:space="preserve"> § 1 Absatz 2 zugelassenen wissenschaftlichen Einrichtung gezahlt oder zuerkannt werden aufgrund einer von dieser Universität, dieser Hochschule oder dieser wissenschaftlichen Einrichtung erlassenen Valorisierungsregelung. Als "Forscher" gelten Forscher, die in Artikel 275</w:t>
      </w:r>
      <w:r w:rsidRPr="00B529E6">
        <w:rPr>
          <w:sz w:val="20"/>
          <w:szCs w:val="20"/>
          <w:vertAlign w:val="superscript"/>
        </w:rPr>
        <w:t>3</w:t>
      </w:r>
      <w:r w:rsidRPr="00B529E6">
        <w:rPr>
          <w:sz w:val="20"/>
          <w:szCs w:val="20"/>
        </w:rPr>
        <w:t xml:space="preserve"> § 1 Absatz 1 und 2 erwähnt sind und - allein oder in einem Team - an einer Universität, einer Hochschule oder einer zugelassenen wissenschaft</w:t>
      </w:r>
      <w:r w:rsidRPr="00B529E6">
        <w:rPr>
          <w:sz w:val="20"/>
          <w:szCs w:val="20"/>
        </w:rPr>
        <w:softHyphen/>
        <w:t>lichen Einrichtung Forschung betreiben, und Professoren. Als "Erfindungen" gelten patentierbare Erfindungen, Zuchtprodukte, Zeichnungen und Modelle, Topographien von Halbleitererzeug</w:t>
      </w:r>
      <w:r w:rsidRPr="00B529E6">
        <w:rPr>
          <w:sz w:val="20"/>
          <w:szCs w:val="20"/>
        </w:rPr>
        <w:softHyphen/>
        <w:t>nissen, EDV-Programme und Datenbanken, die zu kommerziellen Zwecken genutzt werden können,]</w:t>
      </w:r>
    </w:p>
    <w:p w14:paraId="5CAFE6EC" w14:textId="77777777" w:rsidR="00B529E6" w:rsidRPr="00B529E6" w:rsidRDefault="00B529E6" w:rsidP="00B529E6">
      <w:pPr>
        <w:autoSpaceDE w:val="0"/>
        <w:autoSpaceDN w:val="0"/>
        <w:adjustRightInd w:val="0"/>
        <w:jc w:val="both"/>
        <w:rPr>
          <w:sz w:val="20"/>
          <w:szCs w:val="20"/>
        </w:rPr>
      </w:pPr>
    </w:p>
    <w:p w14:paraId="633AC57F" w14:textId="5EEAA4B3" w:rsidR="00B529E6" w:rsidRPr="00B529E6" w:rsidRDefault="00B529E6" w:rsidP="00B529E6">
      <w:pPr>
        <w:autoSpaceDE w:val="0"/>
        <w:autoSpaceDN w:val="0"/>
        <w:adjustRightInd w:val="0"/>
        <w:jc w:val="both"/>
        <w:rPr>
          <w:sz w:val="20"/>
          <w:szCs w:val="20"/>
        </w:rPr>
      </w:pPr>
      <w:r w:rsidRPr="00B529E6">
        <w:rPr>
          <w:sz w:val="20"/>
          <w:szCs w:val="20"/>
        </w:rPr>
        <w:t>[13. […].]</w:t>
      </w:r>
    </w:p>
    <w:p w14:paraId="60B78A34" w14:textId="77777777" w:rsidR="00B529E6" w:rsidRPr="00B529E6" w:rsidRDefault="00B529E6" w:rsidP="00B529E6">
      <w:pPr>
        <w:autoSpaceDE w:val="0"/>
        <w:autoSpaceDN w:val="0"/>
        <w:adjustRightInd w:val="0"/>
        <w:jc w:val="both"/>
        <w:rPr>
          <w:sz w:val="20"/>
          <w:szCs w:val="20"/>
        </w:rPr>
      </w:pPr>
    </w:p>
    <w:p w14:paraId="7C3DCA66" w14:textId="6ABD52C6" w:rsidR="00B529E6" w:rsidRPr="00B529E6" w:rsidRDefault="00B529E6" w:rsidP="00B529E6">
      <w:pPr>
        <w:autoSpaceDE w:val="0"/>
        <w:autoSpaceDN w:val="0"/>
        <w:adjustRightInd w:val="0"/>
        <w:jc w:val="both"/>
        <w:rPr>
          <w:sz w:val="20"/>
          <w:szCs w:val="20"/>
        </w:rPr>
      </w:pPr>
      <w:r w:rsidRPr="00B529E6">
        <w:rPr>
          <w:sz w:val="20"/>
          <w:szCs w:val="20"/>
        </w:rPr>
        <w:t>[Der König erteilt in Absatz 1 Nr. 1</w:t>
      </w:r>
      <w:r w:rsidRPr="00B529E6">
        <w:rPr>
          <w:i/>
          <w:sz w:val="20"/>
          <w:szCs w:val="20"/>
        </w:rPr>
        <w:t>bis</w:t>
      </w:r>
      <w:r w:rsidRPr="00B529E6">
        <w:rPr>
          <w:sz w:val="20"/>
          <w:szCs w:val="20"/>
        </w:rPr>
        <w:t xml:space="preserve"> erwähnten Plattformen unter den von Ihm festgelegten Bedingungen eine Zulassung. Jede Plattform erstellt am Ende jeden Jahres für jeden Dienstleistungserbringer einen Beleg, der dem betreffenden Dienstleistungserbringer und der zuständigen Verwaltung übermittelt wird und in dem mindestens Identität des Dienstleistungserbringers [und seine Nationalregisternummer im Sinne von [Artikel 2 § 3] des Gesetzes vom 8. August 1983 zur Organisation eines Nationalregisters der natürlichen Personen], Beschreibung der erbrachten Dienste, Betrag der Entschädigungen und Betrag und Art der einbehaltenen Summen vermerkt sind. Der König bestimmt Inhalt des Belegs, Frist, in der er übermittelt werden muss, und Weise, wie er der zuständigen Verwaltung übermittelt wird.] [Die Benutzung der nationalen Nummer ist auf die Zwecke der Erstellung des vorerwähnten Belegs begrenzt.]</w:t>
      </w:r>
    </w:p>
    <w:p w14:paraId="698A9F44" w14:textId="77777777" w:rsidR="00B529E6" w:rsidRPr="00B529E6" w:rsidRDefault="00B529E6" w:rsidP="00B529E6">
      <w:pPr>
        <w:autoSpaceDE w:val="0"/>
        <w:autoSpaceDN w:val="0"/>
        <w:adjustRightInd w:val="0"/>
        <w:jc w:val="both"/>
        <w:rPr>
          <w:sz w:val="20"/>
          <w:szCs w:val="20"/>
        </w:rPr>
      </w:pPr>
    </w:p>
    <w:p w14:paraId="060CE96B" w14:textId="59FAD39D" w:rsidR="00B529E6" w:rsidRPr="00B529E6" w:rsidRDefault="00B529E6" w:rsidP="00B529E6">
      <w:pPr>
        <w:autoSpaceDE w:val="0"/>
        <w:autoSpaceDN w:val="0"/>
        <w:adjustRightInd w:val="0"/>
        <w:jc w:val="both"/>
        <w:rPr>
          <w:sz w:val="20"/>
          <w:szCs w:val="20"/>
        </w:rPr>
      </w:pPr>
      <w:r w:rsidRPr="00B529E6">
        <w:rPr>
          <w:sz w:val="20"/>
          <w:szCs w:val="20"/>
        </w:rPr>
        <w:t>[Einkünfte aus unbeweglichen Gütern, Einkünfte aus beweglichen Gütern wie in Artikel 17 § 1 Nr. 3 und 5 erwähnt und Einkünfte aus der Untervermietung von unbeweglichen Gütern wie in Absatz 1 Nr. 5 erwähnt gelten als Einkünfte, die in Absatz 1 Nr. 1</w:t>
      </w:r>
      <w:r w:rsidRPr="00B529E6">
        <w:rPr>
          <w:i/>
          <w:iCs/>
          <w:sz w:val="20"/>
          <w:szCs w:val="20"/>
        </w:rPr>
        <w:t>bis</w:t>
      </w:r>
      <w:r w:rsidRPr="00B529E6">
        <w:rPr>
          <w:sz w:val="20"/>
          <w:szCs w:val="20"/>
        </w:rPr>
        <w:t xml:space="preserve"> erwähnt sind, in dem Maße, wie der Empfänger dieser Einkünfte diese Güter verwendet, um die vorerwähnten Einkünfte zu erzielen.]</w:t>
      </w:r>
    </w:p>
    <w:p w14:paraId="38636F0F" w14:textId="77777777" w:rsidR="00B529E6" w:rsidRPr="00B529E6" w:rsidRDefault="00B529E6" w:rsidP="00B529E6">
      <w:pPr>
        <w:autoSpaceDE w:val="0"/>
        <w:autoSpaceDN w:val="0"/>
        <w:adjustRightInd w:val="0"/>
        <w:jc w:val="both"/>
        <w:rPr>
          <w:sz w:val="20"/>
          <w:szCs w:val="20"/>
        </w:rPr>
      </w:pPr>
    </w:p>
    <w:p w14:paraId="59A86D56" w14:textId="069506E7" w:rsidR="00B529E6" w:rsidRPr="00B529E6" w:rsidRDefault="00B529E6" w:rsidP="00B529E6">
      <w:pPr>
        <w:autoSpaceDE w:val="0"/>
        <w:autoSpaceDN w:val="0"/>
        <w:adjustRightInd w:val="0"/>
        <w:jc w:val="both"/>
        <w:rPr>
          <w:sz w:val="20"/>
          <w:szCs w:val="20"/>
        </w:rPr>
      </w:pPr>
      <w:r w:rsidRPr="00B529E6">
        <w:rPr>
          <w:sz w:val="20"/>
          <w:szCs w:val="20"/>
        </w:rPr>
        <w:t>[...]</w:t>
      </w:r>
    </w:p>
    <w:p w14:paraId="2D7762BF" w14:textId="77777777" w:rsidR="00B529E6" w:rsidRPr="00B529E6" w:rsidRDefault="00B529E6" w:rsidP="00B529E6">
      <w:pPr>
        <w:autoSpaceDE w:val="0"/>
        <w:autoSpaceDN w:val="0"/>
        <w:adjustRightInd w:val="0"/>
        <w:jc w:val="both"/>
        <w:rPr>
          <w:sz w:val="20"/>
          <w:szCs w:val="20"/>
        </w:rPr>
      </w:pPr>
    </w:p>
    <w:p w14:paraId="5813FF72" w14:textId="467AF99C" w:rsidR="00B529E6" w:rsidRPr="00B529E6" w:rsidRDefault="00B529E6" w:rsidP="00B529E6">
      <w:pPr>
        <w:autoSpaceDE w:val="0"/>
        <w:autoSpaceDN w:val="0"/>
        <w:adjustRightInd w:val="0"/>
        <w:jc w:val="both"/>
        <w:rPr>
          <w:sz w:val="20"/>
          <w:szCs w:val="20"/>
        </w:rPr>
      </w:pPr>
      <w:r w:rsidRPr="00B529E6">
        <w:rPr>
          <w:sz w:val="20"/>
          <w:szCs w:val="20"/>
        </w:rPr>
        <w:lastRenderedPageBreak/>
        <w:t>[Jeder Schuldner von Vergütungen wie in Absatz 1 Nr. 1</w:t>
      </w:r>
      <w:r w:rsidRPr="00B529E6">
        <w:rPr>
          <w:i/>
          <w:iCs/>
          <w:sz w:val="20"/>
          <w:szCs w:val="20"/>
        </w:rPr>
        <w:t>ter</w:t>
      </w:r>
      <w:r w:rsidRPr="00B529E6">
        <w:rPr>
          <w:sz w:val="20"/>
          <w:szCs w:val="20"/>
        </w:rPr>
        <w:t xml:space="preserve"> erwähnt erstellt am Ende jeden Jahres für jeden Empfänger einen Beleg, der dem betreffenden Empfänger und der zuständigen Verwaltung übermittelt wird und in dem mindestens Identität des Empfängers und seine Nationalregisternummer im Sinne von Artikel 2 § 3 des Gesetzes vom 8. August 1983 zur Organisation eines Nationalregisters der natürlichen Personen, Beschreibung der erbrachten Leistungen, Anzahl der pro Quartal geleisteten Stunden und Betrag der Vergütungen, gegebenenfalls aufgegliedert entsprechend der Art, vermerkt sind. Der König bestimmt Inhalt des Belegs, Frist, in der er übermittelt werden muss, und Weise, wie er der zuständigen Verwaltung übermittelt wird. Die Benutzung der nationalen Nummer ist auf die Zwecke der Erstellung des vorerwähnten Belegs begrenzt.]</w:t>
      </w:r>
    </w:p>
    <w:p w14:paraId="123B8BE3" w14:textId="77777777" w:rsidR="00B529E6" w:rsidRPr="00B529E6" w:rsidRDefault="00B529E6" w:rsidP="00B529E6">
      <w:pPr>
        <w:autoSpaceDE w:val="0"/>
        <w:autoSpaceDN w:val="0"/>
        <w:adjustRightInd w:val="0"/>
        <w:jc w:val="both"/>
        <w:rPr>
          <w:sz w:val="20"/>
          <w:szCs w:val="20"/>
        </w:rPr>
      </w:pPr>
    </w:p>
    <w:p w14:paraId="11724448" w14:textId="268FE271" w:rsidR="00B529E6" w:rsidRPr="00B529E6" w:rsidRDefault="00B529E6" w:rsidP="00B529E6">
      <w:pPr>
        <w:autoSpaceDE w:val="0"/>
        <w:autoSpaceDN w:val="0"/>
        <w:adjustRightInd w:val="0"/>
        <w:jc w:val="both"/>
        <w:rPr>
          <w:iCs/>
          <w:sz w:val="20"/>
          <w:szCs w:val="20"/>
        </w:rPr>
      </w:pPr>
      <w:r w:rsidRPr="00B529E6">
        <w:rPr>
          <w:i/>
          <w:iCs/>
          <w:sz w:val="20"/>
          <w:szCs w:val="20"/>
        </w:rPr>
        <w:t>[Art. 90 Abs. 1 Nr. 1 abgeändert durch Art. 13 Nr. 1 des K.E. vom 20. Dezember 1996 (B.S. vom 31. Dezember 1996) - in Kraft ab dem 1. Januar 1997 -, Art. 6 Buchstabe a) des G. vom 11. Dezember 2008 (B.S. vom 12. Januar 2009) - anwendbar auf Vorgänge oder Verlegungen, die ab dem 12. Januar 2009 statt</w:t>
      </w:r>
      <w:r w:rsidRPr="00B529E6">
        <w:rPr>
          <w:i/>
          <w:iCs/>
          <w:sz w:val="20"/>
          <w:szCs w:val="20"/>
        </w:rPr>
        <w:softHyphen/>
        <w:t xml:space="preserve">finden -, Art. 36 Nr. 1 des G. vom 1. Juli 2016 (B.S. vom 4. Juli 2016) - anwendbar auf die ab dem 1. Juli 2016 gezahlten oder zuerkannten Einkünfte -, Art. 46 Nr. 1 des G. vom 18. Juli 2018 (B.S. vom 26. Juli 2018) - anwendbar auf die ab dem 1. Januar 2018 erzielten oder bezogenen Einkünfte -, selbst bedingt für nichtig erklärt durch </w:t>
      </w:r>
      <w:r w:rsidRPr="00B529E6">
        <w:rPr>
          <w:i/>
          <w:sz w:val="20"/>
          <w:szCs w:val="20"/>
        </w:rPr>
        <w:t>Entscheid Nr. 53/2020 des Verfassungsgerichtshofes vom 23. April 2020 (B.S. vom 20. Mai 2020), und durch Art. 61 Nr. 1</w:t>
      </w:r>
      <w:r w:rsidRPr="00B529E6">
        <w:rPr>
          <w:i/>
          <w:iCs/>
          <w:sz w:val="20"/>
          <w:szCs w:val="20"/>
        </w:rPr>
        <w:t xml:space="preserve"> des G. vom 24. Dezember 2020 (B.S. vom 31. Dezember 2020) - in Kraft am 1. Januar 2021 und anwendbar auf die ab dem 1. Januar 2021 erzielten oder bezogenen Einkünfte -; Abs. 1 Nr. 1bis eingefügt durch Art. 36 Nr. 2 des G. vom 1. Juli 2016 (B.S. vom 4. Juli 2016) - anwendbar auf die ab dem 1. Juli 2016 gezahlten oder zuerkannten Einkünfte -; Abs. 1 Nr. 1bis einziger Absatz einleitende Bestimmung abgeändert durch Art. 46 Nr. 2 des G. vom 18. Juli 2018 (B.S. vom 26. Juli 2018) - anwendbar auf die ab dem 1. Januar 2018 erzielten oder bezogenen Einkünfte - selbst bedingt für nichtig erklärt durch </w:t>
      </w:r>
      <w:r w:rsidRPr="00B529E6">
        <w:rPr>
          <w:i/>
          <w:sz w:val="20"/>
          <w:szCs w:val="20"/>
        </w:rPr>
        <w:t xml:space="preserve">Entscheid Nr. 53/2020 des Verfassungsgerichtshofes vom 23. April 2020 (B.S. vom 20. Mai 2020), </w:t>
      </w:r>
      <w:r w:rsidRPr="00B529E6">
        <w:rPr>
          <w:i/>
          <w:iCs/>
          <w:sz w:val="20"/>
          <w:szCs w:val="20"/>
        </w:rPr>
        <w:t>und durch Art. 12 Nr. 1 des G. vom 20. Dezember 2020 (II) (B.S. vom 30. Dezember 2020) - in Kraft am 1. Januar 2021 und anwendbar auf die ab dem 1. Januar 2021 gezahlten oder zuerkannten Einkünfte - und Art. 30 Nr. 1</w:t>
      </w:r>
      <w:r w:rsidRPr="00B529E6">
        <w:rPr>
          <w:i/>
          <w:sz w:val="20"/>
          <w:szCs w:val="20"/>
        </w:rPr>
        <w:t xml:space="preserve"> des G. vom 27. Juni 2021 (B.S. vom 30. Juni 2021) - anwendbar auf die ab dem 1. Januar 2021 bezogenen Einkünfte -;</w:t>
      </w:r>
      <w:r w:rsidRPr="00B529E6">
        <w:rPr>
          <w:i/>
          <w:iCs/>
          <w:sz w:val="20"/>
          <w:szCs w:val="20"/>
        </w:rPr>
        <w:t xml:space="preserve"> Abs. 1 Nr. 1bis einziger Absatz Buchstabe b) abgeändert durch Art. 46 Nr. 3 des G. vom 18. Juli 2018 (B.S. vom 26. Juli 2018) - anwendbar auf die ab dem 1. Januar 2018 erzielten oder bezogenen Einkünfte -, selbst bedingt für nichtig erklärt durch </w:t>
      </w:r>
      <w:r w:rsidRPr="00B529E6">
        <w:rPr>
          <w:i/>
          <w:sz w:val="20"/>
          <w:szCs w:val="20"/>
        </w:rPr>
        <w:t>Entscheid Nr. 53/2020 des Verfassungsgerichtshofes vom 23. April 2020 (B.S. vom 20. Mai 2020), und durch Art. 61 Nr. 2</w:t>
      </w:r>
      <w:r w:rsidRPr="00B529E6">
        <w:rPr>
          <w:i/>
          <w:iCs/>
          <w:sz w:val="20"/>
          <w:szCs w:val="20"/>
        </w:rPr>
        <w:t xml:space="preserve"> des G. vom 24. Dezember 2020 (B.S. vom 31. Dezember 2020) - in Kraft am 1. Januar 2021 und anwendbar auf die ab dem 1. Januar 2021 erzielten oder bezogenen Einkünfte -; Abs. 1 Nr. 1bis einziger Absatz früherer Buchstabe d) eingefügt durch Art. 46 Nr. 4 des G. vom 18. Juli 2018 (B.S. vom 26. Juli 2018) - anwendbar auf die ab dem 1. Januar 2018 erzielten oder bezogenen Einkünfte -, selbst bedingt für nichtig erklärt durch </w:t>
      </w:r>
      <w:r w:rsidRPr="00B529E6">
        <w:rPr>
          <w:i/>
          <w:sz w:val="20"/>
          <w:szCs w:val="20"/>
        </w:rPr>
        <w:t>Entscheid Nr. 53/2020 des Verfassungsgerichtshofes vom 23. April 2020 (B.S. vom 20. Mai 2020)</w:t>
      </w:r>
      <w:r w:rsidRPr="00B529E6">
        <w:rPr>
          <w:i/>
          <w:iCs/>
          <w:sz w:val="20"/>
          <w:szCs w:val="20"/>
        </w:rPr>
        <w:t xml:space="preserve">; Abs. 1 Nr. 1ter eingefügt durch Art. 46 Nr. 5 des G. vom 18. Juli 2018 (B.S. vom 26. Juli 2018) - anwendbar auf die ab dem 1. Januar 2018 erzielten oder bezogenen Einkünfte -, selbst bedingt für nichtig erklärt durch </w:t>
      </w:r>
      <w:r w:rsidRPr="00B529E6">
        <w:rPr>
          <w:i/>
          <w:sz w:val="20"/>
          <w:szCs w:val="20"/>
        </w:rPr>
        <w:t>Entscheid Nr. 53/2020 des Verfassungsgerichtshofes vom 23. April 2020 (B.S. vom 20. Mai 2020), erneut eingefügt durch Art. 61 Nr. 3</w:t>
      </w:r>
      <w:r w:rsidRPr="00B529E6">
        <w:rPr>
          <w:i/>
          <w:iCs/>
          <w:sz w:val="20"/>
          <w:szCs w:val="20"/>
        </w:rPr>
        <w:t xml:space="preserve"> des G. vom 24. Dezember 2020 (B.S. vom 31. Dezember 2020) - in Kraft am 1. Januar 2021 und anwendbar auf die ab dem 1. Januar 2021 erzielten oder bezogenen Einkünfte -, ersetzt durch Art. 4 des G. vom 26. April 2022 (B.S. vom 6. Mai 2022) - anwendbar auf die ab dem 1. Januar 2022 bezogenen Einkünfte - und abgeändert durch Art. 11 des G. vom 21. Dezember 2022 (II) (B.S. vom 29. Dezember 2022) - wirksam mit 1. Oktober 2022 -; Abs. 1 frühere Nummer 1quater eingefügt durch Art. 46 Nr. 5 des G. vom 18. Juli 2018 (B.S. vom 26. Juli 2018) - anwendbar auf die ab dem 1. Januar 2018 erzielten oder bezogenen Einkünfte -, selbst bedingt für nichtig erklärt durch </w:t>
      </w:r>
      <w:r w:rsidRPr="00B529E6">
        <w:rPr>
          <w:i/>
          <w:sz w:val="20"/>
          <w:szCs w:val="20"/>
        </w:rPr>
        <w:t>Entscheid Nr. 53/2020 des Verfassungsgerichtshofes vom 23. April 2020 (B.S. vom 20. Mai 2020)</w:t>
      </w:r>
      <w:r w:rsidRPr="00B529E6">
        <w:rPr>
          <w:i/>
          <w:iCs/>
          <w:sz w:val="20"/>
          <w:szCs w:val="20"/>
        </w:rPr>
        <w:t>;</w:t>
      </w:r>
      <w:r w:rsidRPr="00B529E6">
        <w:rPr>
          <w:i/>
          <w:sz w:val="20"/>
          <w:szCs w:val="20"/>
        </w:rPr>
        <w:t xml:space="preserve"> </w:t>
      </w:r>
      <w:r w:rsidRPr="00B529E6">
        <w:rPr>
          <w:i/>
          <w:iCs/>
          <w:sz w:val="20"/>
          <w:szCs w:val="20"/>
        </w:rPr>
        <w:t>Abs. 1 Nr. 2 Abs. 1 abgeändert durch Art. 1 des K.E. vom 20. Juli 2000 (II) (B.S. vom 30. August 2000) - in Kraft ab dem Steuerjahr 2002 -, selbst abgeändert durch Art. 42 Nr. 5 des K.E. vom 13. Juli 2001 (B.S. vom 11. August 2001) - in Kraft ab dem 1. Januar 2002 </w:t>
      </w:r>
      <w:r w:rsidRPr="00B529E6">
        <w:rPr>
          <w:rFonts w:hint="eastAsia"/>
          <w:i/>
          <w:iCs/>
          <w:sz w:val="20"/>
          <w:szCs w:val="20"/>
        </w:rPr>
        <w:t>-;</w:t>
      </w:r>
      <w:r w:rsidRPr="00B529E6">
        <w:rPr>
          <w:i/>
          <w:iCs/>
          <w:sz w:val="20"/>
          <w:szCs w:val="20"/>
        </w:rPr>
        <w:t xml:space="preserve"> Abs. 1 Nr. 2bis eingefügt durch Art. 34 des G. vom 21. Januar 2022 (B.S. vom 28. Januar 2022) - in Kraft am 31. Dezember 2021 und anwendbar ab dem Steuerjahr 2022 -; Abs. 1 Nr. 3 ersetzt durch Art. 167 des G. vom 27. Dezember 2005</w:t>
      </w:r>
      <w:r w:rsidRPr="00B529E6">
        <w:rPr>
          <w:rFonts w:hint="eastAsia"/>
          <w:i/>
          <w:iCs/>
          <w:sz w:val="20"/>
          <w:szCs w:val="20"/>
        </w:rPr>
        <w:t> </w:t>
      </w:r>
      <w:r w:rsidRPr="00B529E6">
        <w:rPr>
          <w:i/>
          <w:iCs/>
          <w:sz w:val="20"/>
          <w:szCs w:val="20"/>
        </w:rPr>
        <w:t>(II) (B.S. vom 30. Dezember 2005) - in Kraft ab dem Steuerjahr 2006 - und abgeändert durch Art. 4 des G. vom 13. Dezember 2012 (B.S. vom 20. Dezember 2012) - in Kraft ab dem Steuerjahr 2013 -; Abs. 1 Nr. 5 ersetzt durch Art. 5 des G. vom 13. Dezember 2012 (B.S. vom 20. Dezember 2012) - anwendbar auf die ab dem 1. Januar 2012 bezogenen Einkünfte -; Abs. 1 Nr. 9 ersetzt durch Art. 6 Buchstabe b) des G. vom 11. Dezember 2008 (B.S. vom 12. Januar 2009) - anwendbar auf Vorgänge oder Verlegungen, die ab dem 12. Januar 2009 statt</w:t>
      </w:r>
      <w:r w:rsidRPr="00B529E6">
        <w:rPr>
          <w:i/>
          <w:iCs/>
          <w:sz w:val="20"/>
          <w:szCs w:val="20"/>
        </w:rPr>
        <w:softHyphen/>
        <w:t xml:space="preserve">finden -; Abs. 1 Nr. 9 einziger Absatz zweiter Gedankenstrich abgeändert durch Art. 15 des G. vom 17. März 2019 (III) (B.S. vom 10. Mai 2019) - in Kraft am 1. Mai 2019 -; Abs. 1 Nr. 10 eingefügt durch Art. 13 Nr. 2 des K.E. vom 20. Dezember 1996 (B.S. vom 31. Dezember 1996) - in Kraft ab dem 1. Januar 1997 -; Abs. 1 Nr. 11 eingefügt durch Art. 39 des G. vom 15. Dezember 2004 (B.S. vom 1. Februar 2005) - anwendbar auf Entschädigungen für fehlende Kupons oder für fehlende Lose, die in Ausführung von Vereinbarungen über die Leistung von dinglichen Sicherheiten und von Verleihen mit Bezug auf Finanzinstrumente gezahlt oder zuerkannt werden, die ab dem </w:t>
      </w:r>
      <w:r w:rsidRPr="00B529E6">
        <w:rPr>
          <w:i/>
          <w:iCs/>
          <w:sz w:val="20"/>
          <w:szCs w:val="20"/>
        </w:rPr>
        <w:lastRenderedPageBreak/>
        <w:t>1. Februar 2005 abgeschlossen werden -; Abs. 1 Nr. 12 eingefügt durch Art. 132 des G. (IV) vom 25. April 2007 (I) (B.S. vom 8. Mai 2007) - anwendbar auf die ab dem 1. Januar 2007 gezahlten oder zuerkannten Vergütungen und Entlohnungen - und abgeändert durch Art. 4 Buchstabe b) des G. (I) vom 24. Juli 2008 (I) (B.S. vom 7. August 2008); Abs. 1 Nr. 13 eingefügt durch Art. 48 Nr. 1 des G. vom 26. Dezember 2015 (II) (B.S. vom 30. Dezember 2015) - 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 - und aufgehoben durch Art. 76 Nr. 1 des G. vom 25. Dezember 2016 (I) (B.S. vom 29. Dezember 2016) - in Kraft am 1. Januar 2017 und anwendbar auf die ab dem 1. Januar 2017 verwirklichten Mehrwerte -; neuer Absatz 2 eingefügt durch Art. 36 Nr. 3 des G. vom 1. Juli 2016 (B.S. vom 4. Juli 2016) - anwendbar auf die ab dem 1. Juli 2016 gezahlten oder zuerkannten Einkünfte - und abgeändert durch Art. 100 Nr. 1 und 2 des G. vom 18. Dezember 2016 (I) (B.S. vom 20. Dezember 2016) - anwendbar auf die ab dem 1. Juli 2016 gezahlten oder zuerkannten Einkünfte - und Art. 10 Nr. 1 des G. vom 5. Juli 2022 (B.S. vom 15. Juli 2022) - anwendbar auf die ab dem 1. Januar 2022 bezogenen Einkünfte -; neuer Absatz 3 eingefügt durch Art. 36 Nr. 3 des G. vom 1. Juli 2016 (B.S. vom 4. Juli 2016) - anwendbar auf die ab dem 1. Juli 2016 gezahlten oder zuerkannten Einkünfte - und ersetzt durch Art. 12 Nr. 2 des G. vom 20. Dezember 2020 (II) (B.S. vom 30. Dezember 2020) - in Kraft am 1. Januar 2021 und anwendbar auf die ab dem 1. Januar 2021 gezahlten oder zuerkannten Einkünfte -; frühere Absätze 4 und 5 eingefügt durch Art. 48 Nr. 3 [sic, zu lesen ist: 2] des G. vom 26. Dezember 2015 (II) (B.S. vom 30. Dezember 2015) - 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 - und aufgehoben durch Art. 76 Nr. 2 des G. vom 25. Dezember 2016 (I) (B.S. vom 29. Dezember 2016) - in Kraft am 1. Januar 2017 und anwendbar auf die ab dem 1. Januar 2017 verwirklichten Mehrwerte -; neuer Absatz 4 eingefügt durch Art. 10 Nr. 2 des G. vom 5. Juli 2022 (B.S. vom 15. Juli 2022) - anwendbar auf die ab dem 1. Januar 2022 bezogenen Einkünfte -</w:t>
      </w:r>
      <w:r>
        <w:rPr>
          <w:i/>
          <w:iCs/>
          <w:sz w:val="20"/>
          <w:szCs w:val="20"/>
        </w:rPr>
        <w:t xml:space="preserve"> und ersetzt durch Art. 5 Nr. 2</w:t>
      </w:r>
      <w:r w:rsidRPr="00B529E6">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B529E6">
        <w:rPr>
          <w:i/>
          <w:iCs/>
          <w:sz w:val="20"/>
          <w:szCs w:val="20"/>
        </w:rPr>
        <w:t>-</w:t>
      </w:r>
      <w:r w:rsidRPr="00B529E6">
        <w:rPr>
          <w:i/>
          <w:sz w:val="20"/>
          <w:szCs w:val="20"/>
        </w:rPr>
        <w:t>]</w:t>
      </w:r>
      <w:r>
        <w:rPr>
          <w:iCs/>
          <w:sz w:val="20"/>
          <w:szCs w:val="20"/>
        </w:rPr>
        <w:t>"</w:t>
      </w:r>
    </w:p>
    <w:p w14:paraId="29723C62" w14:textId="67B23633" w:rsidR="00B529E6" w:rsidRPr="00B529E6" w:rsidRDefault="00B529E6" w:rsidP="00477B8F">
      <w:pPr>
        <w:autoSpaceDE w:val="0"/>
        <w:autoSpaceDN w:val="0"/>
        <w:adjustRightInd w:val="0"/>
        <w:jc w:val="both"/>
        <w:rPr>
          <w:sz w:val="20"/>
          <w:szCs w:val="20"/>
        </w:rPr>
      </w:pPr>
    </w:p>
    <w:p w14:paraId="4727A22A" w14:textId="77777777" w:rsidR="00A0531D" w:rsidRPr="00DD5892" w:rsidRDefault="00A0531D" w:rsidP="00477B8F">
      <w:pPr>
        <w:autoSpaceDE w:val="0"/>
        <w:autoSpaceDN w:val="0"/>
        <w:adjustRightInd w:val="0"/>
        <w:jc w:val="both"/>
      </w:pPr>
    </w:p>
    <w:p w14:paraId="03B7E843" w14:textId="303930A1" w:rsidR="005648C4" w:rsidRDefault="005648C4" w:rsidP="005648C4">
      <w:pPr>
        <w:autoSpaceDE w:val="0"/>
        <w:autoSpaceDN w:val="0"/>
        <w:adjustRightInd w:val="0"/>
        <w:ind w:firstLine="709"/>
        <w:jc w:val="both"/>
        <w:rPr>
          <w:iCs/>
        </w:rPr>
      </w:pPr>
      <w:r>
        <w:rPr>
          <w:iCs/>
        </w:rPr>
        <w:t>[</w:t>
      </w:r>
      <w:r w:rsidRPr="007251C3">
        <w:rPr>
          <w:b/>
          <w:bCs/>
          <w:iCs/>
        </w:rPr>
        <w:t>Art. </w:t>
      </w:r>
      <w:r>
        <w:rPr>
          <w:b/>
          <w:bCs/>
          <w:iCs/>
        </w:rPr>
        <w:t>90/1</w:t>
      </w:r>
      <w:r>
        <w:rPr>
          <w:iCs/>
        </w:rPr>
        <w:t xml:space="preserve"> - [...]]</w:t>
      </w:r>
    </w:p>
    <w:p w14:paraId="4155FAA7" w14:textId="77777777" w:rsidR="005648C4" w:rsidRDefault="005648C4" w:rsidP="005648C4">
      <w:pPr>
        <w:autoSpaceDE w:val="0"/>
        <w:autoSpaceDN w:val="0"/>
        <w:adjustRightInd w:val="0"/>
        <w:jc w:val="both"/>
        <w:rPr>
          <w:iCs/>
        </w:rPr>
      </w:pPr>
    </w:p>
    <w:p w14:paraId="1A7DA7DF" w14:textId="3015F709" w:rsidR="005648C4" w:rsidRDefault="005648C4" w:rsidP="005648C4">
      <w:pPr>
        <w:autoSpaceDE w:val="0"/>
        <w:autoSpaceDN w:val="0"/>
        <w:adjustRightInd w:val="0"/>
        <w:jc w:val="both"/>
        <w:rPr>
          <w:i/>
          <w:iCs/>
        </w:rPr>
      </w:pPr>
      <w:r w:rsidRPr="005648C4">
        <w:rPr>
          <w:i/>
        </w:rPr>
        <w:t xml:space="preserve">[Art. 33ter </w:t>
      </w:r>
      <w:r w:rsidRPr="005648C4">
        <w:rPr>
          <w:rFonts w:ascii="Times New Roman Italique" w:hAnsi="Times New Roman Italique"/>
          <w:i/>
          <w:iCs/>
          <w:spacing w:val="-2"/>
        </w:rPr>
        <w:t>eingefügt durch Art. 47 des G. vom 18. Juli 2018 (B.S. vom 26. Juli 2018) - anwendbar auf die ab dem 1. Januar 2018 erzielten oder bezogenen Einkünfte -</w:t>
      </w:r>
      <w:r w:rsidRPr="005648C4">
        <w:rPr>
          <w:i/>
        </w:rPr>
        <w:t xml:space="preserve">, selbst </w:t>
      </w:r>
      <w:r w:rsidR="00BA2134">
        <w:rPr>
          <w:i/>
        </w:rPr>
        <w:t xml:space="preserve">bedingt </w:t>
      </w:r>
      <w:r w:rsidRPr="005648C4">
        <w:rPr>
          <w:i/>
        </w:rPr>
        <w:t xml:space="preserve">für nichtig erklärt durch </w:t>
      </w:r>
      <w:r w:rsidRPr="005648C4">
        <w:rPr>
          <w:i/>
          <w:iCs/>
        </w:rPr>
        <w:t xml:space="preserve">Entscheid </w:t>
      </w:r>
      <w:r w:rsidRPr="005648C4">
        <w:rPr>
          <w:i/>
        </w:rPr>
        <w:t>Nr. 53/2020 des Verfassungsgerichtshofes vom 23. April 2020 (B.S. vom 20. Mai 2020)</w:t>
      </w:r>
      <w:r w:rsidRPr="005648C4">
        <w:rPr>
          <w:i/>
          <w:iCs/>
        </w:rPr>
        <w:t>]</w:t>
      </w:r>
    </w:p>
    <w:p w14:paraId="619DC943" w14:textId="77777777" w:rsidR="005648C4" w:rsidRDefault="005648C4" w:rsidP="005648C4">
      <w:pPr>
        <w:autoSpaceDE w:val="0"/>
        <w:autoSpaceDN w:val="0"/>
        <w:adjustRightInd w:val="0"/>
        <w:jc w:val="both"/>
        <w:rPr>
          <w:i/>
          <w:iCs/>
        </w:rPr>
      </w:pPr>
    </w:p>
    <w:p w14:paraId="648CB087" w14:textId="55B2F0F4" w:rsidR="005648C4" w:rsidRDefault="005648C4"/>
    <w:p w14:paraId="29B8E58A" w14:textId="1D0BB0D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91</w:t>
      </w:r>
      <w:r w:rsidR="00D67EB8" w:rsidRPr="009118AB">
        <w:t> - </w:t>
      </w:r>
      <w:r w:rsidRPr="009118AB">
        <w:t xml:space="preserve">[In Abweichung von </w:t>
      </w:r>
      <w:r w:rsidR="00907F4C" w:rsidRPr="009118AB">
        <w:t xml:space="preserve">[Artikel 90 Absatz 1 </w:t>
      </w:r>
      <w:r w:rsidR="00D67EB8" w:rsidRPr="009118AB">
        <w:t>Nr. </w:t>
      </w:r>
      <w:r w:rsidR="00907F4C" w:rsidRPr="009118AB">
        <w:t>10]</w:t>
      </w:r>
      <w:r w:rsidRPr="009118AB">
        <w:t xml:space="preserve"> ist </w:t>
      </w:r>
      <w:r w:rsidR="00907F4C" w:rsidRPr="009118AB">
        <w:t xml:space="preserve">[Artikel 90 Absatz 1 </w:t>
      </w:r>
      <w:r w:rsidR="00D67EB8" w:rsidRPr="009118AB">
        <w:t>Nr. </w:t>
      </w:r>
      <w:r w:rsidR="00907F4C" w:rsidRPr="009118AB">
        <w:t>8]</w:t>
      </w:r>
      <w:r w:rsidRPr="009118AB">
        <w:t xml:space="preserve"> anwendbar auf Mehrwerte, die auf Grundstücke verwirklicht werden, auf denen Gebäude errichtet sind, deren Verkaufswert unter 30 Prozent des Veräußerungspreises des gesamten Gutes liegt.]</w:t>
      </w:r>
    </w:p>
    <w:p w14:paraId="354AB5D3" w14:textId="77777777" w:rsidR="00477B8F" w:rsidRPr="009118AB" w:rsidRDefault="00477B8F" w:rsidP="00477B8F">
      <w:pPr>
        <w:autoSpaceDE w:val="0"/>
        <w:autoSpaceDN w:val="0"/>
        <w:adjustRightInd w:val="0"/>
        <w:jc w:val="both"/>
      </w:pPr>
    </w:p>
    <w:p w14:paraId="0E2E3F90" w14:textId="55FFF7C8"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91 ersetzt durch </w:t>
      </w:r>
      <w:r w:rsidR="00D67EB8" w:rsidRPr="009118AB">
        <w:rPr>
          <w:i/>
          <w:iCs/>
        </w:rPr>
        <w:t>Art. </w:t>
      </w:r>
      <w:r w:rsidRPr="009118AB">
        <w:rPr>
          <w:i/>
          <w:iCs/>
        </w:rPr>
        <w:t>14 des K.E. vom 20. Dezember 1996 (B.S. vom 31. Dezember 1996)</w:t>
      </w:r>
      <w:r w:rsidR="00D67EB8" w:rsidRPr="009118AB">
        <w:rPr>
          <w:i/>
          <w:iCs/>
        </w:rPr>
        <w:t> - </w:t>
      </w:r>
      <w:r w:rsidRPr="009118AB">
        <w:rPr>
          <w:i/>
          <w:iCs/>
        </w:rPr>
        <w:t>in Kraft ab dem 1. Januar 1997</w:t>
      </w:r>
      <w:r w:rsidR="00D67EB8" w:rsidRPr="009118AB">
        <w:rPr>
          <w:i/>
          <w:iCs/>
        </w:rPr>
        <w:t> - </w:t>
      </w:r>
      <w:r w:rsidR="00907F4C" w:rsidRPr="009118AB">
        <w:rPr>
          <w:i/>
          <w:iCs/>
        </w:rPr>
        <w:t xml:space="preserve">und abgeändert durch </w:t>
      </w:r>
      <w:r w:rsidR="00D67EB8" w:rsidRPr="009118AB">
        <w:rPr>
          <w:i/>
          <w:iCs/>
        </w:rPr>
        <w:t>Art. </w:t>
      </w:r>
      <w:r w:rsidR="00907F4C" w:rsidRPr="009118AB">
        <w:rPr>
          <w:i/>
          <w:iCs/>
        </w:rPr>
        <w:t>49</w:t>
      </w:r>
      <w:r w:rsidR="00907F4C" w:rsidRPr="009118AB">
        <w:rPr>
          <w:i/>
        </w:rPr>
        <w:t xml:space="preserve"> des G. vom 26. Dezember 2015 (II) (B.S. vom 30. Dezember 2015)</w:t>
      </w:r>
      <w:r w:rsidR="00D67EB8" w:rsidRPr="009118AB">
        <w:t> - </w:t>
      </w:r>
      <w:r w:rsidR="00907F4C"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1F493DF9" w14:textId="77777777" w:rsidR="00477B8F" w:rsidRPr="009118AB" w:rsidRDefault="00477B8F" w:rsidP="00477B8F">
      <w:pPr>
        <w:autoSpaceDE w:val="0"/>
        <w:autoSpaceDN w:val="0"/>
        <w:adjustRightInd w:val="0"/>
        <w:jc w:val="both"/>
      </w:pPr>
    </w:p>
    <w:p w14:paraId="57DB37F2" w14:textId="77777777" w:rsidR="00477B8F" w:rsidRPr="009118AB" w:rsidRDefault="00477B8F" w:rsidP="00477B8F">
      <w:pPr>
        <w:autoSpaceDE w:val="0"/>
        <w:autoSpaceDN w:val="0"/>
        <w:adjustRightInd w:val="0"/>
        <w:jc w:val="both"/>
      </w:pPr>
    </w:p>
    <w:p w14:paraId="0FFE2B7D" w14:textId="5B4D4CA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92</w:t>
      </w:r>
      <w:r w:rsidR="00D67EB8" w:rsidRPr="009118AB">
        <w:t> - </w:t>
      </w:r>
      <w:r w:rsidRPr="009118AB">
        <w:t>[...]</w:t>
      </w:r>
    </w:p>
    <w:p w14:paraId="24D71575" w14:textId="77777777" w:rsidR="00477B8F" w:rsidRPr="009118AB" w:rsidRDefault="00477B8F" w:rsidP="00477B8F">
      <w:pPr>
        <w:autoSpaceDE w:val="0"/>
        <w:autoSpaceDN w:val="0"/>
        <w:adjustRightInd w:val="0"/>
        <w:jc w:val="both"/>
      </w:pPr>
    </w:p>
    <w:p w14:paraId="6A5EE213" w14:textId="2147439B"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92 aufgehoben durch </w:t>
      </w:r>
      <w:r w:rsidR="00D67EB8" w:rsidRPr="009118AB">
        <w:rPr>
          <w:i/>
          <w:iCs/>
        </w:rPr>
        <w:t>Art. </w:t>
      </w:r>
      <w:r w:rsidRPr="009118AB">
        <w:rPr>
          <w:i/>
          <w:iCs/>
        </w:rPr>
        <w:t>15 des K.E. vom 20. Dezember 1996 (B.S. vom 31. Dezember 1996)</w:t>
      </w:r>
      <w:r w:rsidR="00D67EB8" w:rsidRPr="009118AB">
        <w:rPr>
          <w:i/>
          <w:iCs/>
        </w:rPr>
        <w:t> - </w:t>
      </w:r>
      <w:r w:rsidRPr="009118AB">
        <w:rPr>
          <w:i/>
          <w:iCs/>
        </w:rPr>
        <w:t>in Kraft ab dem 1. Januar 1997</w:t>
      </w:r>
      <w:r w:rsidR="00FD68E8" w:rsidRPr="009118AB">
        <w:rPr>
          <w:i/>
          <w:iCs/>
        </w:rPr>
        <w:t> -]</w:t>
      </w:r>
    </w:p>
    <w:p w14:paraId="5513D20F" w14:textId="77777777" w:rsidR="00DD3BE1" w:rsidRPr="009118AB" w:rsidRDefault="00DD3BE1" w:rsidP="00477B8F">
      <w:pPr>
        <w:autoSpaceDE w:val="0"/>
        <w:autoSpaceDN w:val="0"/>
        <w:adjustRightInd w:val="0"/>
        <w:jc w:val="both"/>
      </w:pPr>
    </w:p>
    <w:p w14:paraId="746E7D83" w14:textId="77777777" w:rsidR="00DD3BE1" w:rsidRPr="009118AB" w:rsidRDefault="00DD3BE1" w:rsidP="00477B8F">
      <w:pPr>
        <w:autoSpaceDE w:val="0"/>
        <w:autoSpaceDN w:val="0"/>
        <w:adjustRightInd w:val="0"/>
        <w:jc w:val="both"/>
      </w:pPr>
    </w:p>
    <w:p w14:paraId="4DD1F24A" w14:textId="1CFE1518" w:rsidR="009C3F27" w:rsidRPr="009118AB" w:rsidRDefault="00477B8F" w:rsidP="009C3F27">
      <w:pPr>
        <w:autoSpaceDE w:val="0"/>
        <w:autoSpaceDN w:val="0"/>
        <w:adjustRightInd w:val="0"/>
        <w:jc w:val="both"/>
        <w:rPr>
          <w:iCs/>
        </w:rPr>
      </w:pPr>
      <w:r w:rsidRPr="009118AB">
        <w:tab/>
      </w:r>
      <w:r w:rsidR="00D67EB8" w:rsidRPr="009118AB">
        <w:rPr>
          <w:b/>
          <w:bCs/>
        </w:rPr>
        <w:t>Art. </w:t>
      </w:r>
      <w:r w:rsidRPr="009118AB">
        <w:rPr>
          <w:b/>
          <w:bCs/>
        </w:rPr>
        <w:t>93</w:t>
      </w:r>
      <w:r w:rsidR="00D67EB8" w:rsidRPr="009118AB">
        <w:t> - </w:t>
      </w:r>
      <w:r w:rsidR="00D921D0" w:rsidRPr="009118AB">
        <w:rPr>
          <w:iCs/>
        </w:rPr>
        <w:t>[</w:t>
      </w:r>
      <w:r w:rsidR="00D921D0" w:rsidRPr="009118AB">
        <w:t xml:space="preserve">In Abweichung von Artikel 90 Absatz 1 </w:t>
      </w:r>
      <w:r w:rsidR="00D67EB8" w:rsidRPr="009118AB">
        <w:t>Nr. </w:t>
      </w:r>
      <w:r w:rsidR="00D921D0" w:rsidRPr="009118AB">
        <w:t>8</w:t>
      </w:r>
      <w:r w:rsidR="00D921D0" w:rsidRPr="009118AB">
        <w:rPr>
          <w:iCs/>
        </w:rPr>
        <w:t>]</w:t>
      </w:r>
      <w:r w:rsidR="009C3F27" w:rsidRPr="009118AB">
        <w:rPr>
          <w:iCs/>
        </w:rPr>
        <w:t xml:space="preserve"> sind Mehrwerte nicht steuerpflichtig, wenn sie festgestellt werden bei:</w:t>
      </w:r>
    </w:p>
    <w:p w14:paraId="0A48E9B6" w14:textId="77777777" w:rsidR="009C3F27" w:rsidRPr="009118AB" w:rsidRDefault="009C3F27" w:rsidP="009C3F27">
      <w:pPr>
        <w:autoSpaceDE w:val="0"/>
        <w:autoSpaceDN w:val="0"/>
        <w:adjustRightInd w:val="0"/>
        <w:jc w:val="both"/>
        <w:rPr>
          <w:iCs/>
        </w:rPr>
      </w:pPr>
    </w:p>
    <w:p w14:paraId="2A3AA304" w14:textId="77777777" w:rsidR="009C3F27" w:rsidRPr="009118AB" w:rsidRDefault="009C3F27" w:rsidP="00181B44">
      <w:pPr>
        <w:autoSpaceDE w:val="0"/>
        <w:autoSpaceDN w:val="0"/>
        <w:adjustRightInd w:val="0"/>
        <w:ind w:firstLine="709"/>
        <w:jc w:val="both"/>
        <w:rPr>
          <w:iCs/>
        </w:rPr>
      </w:pPr>
      <w:r w:rsidRPr="009118AB">
        <w:rPr>
          <w:iCs/>
        </w:rPr>
        <w:t>1. Tauschgeschäften, die im Rahmen der gesetzlichen oder freiwilligen Flurbereinigung von ländlichem Grundeigentum durchgeführt werden und die der Registrierungsformalität kostenlos unterworfen sind,</w:t>
      </w:r>
    </w:p>
    <w:p w14:paraId="268C9743" w14:textId="77777777" w:rsidR="009C3F27" w:rsidRPr="009118AB" w:rsidRDefault="009C3F27" w:rsidP="00181B44">
      <w:pPr>
        <w:autoSpaceDE w:val="0"/>
        <w:autoSpaceDN w:val="0"/>
        <w:adjustRightInd w:val="0"/>
        <w:ind w:firstLine="709"/>
        <w:jc w:val="both"/>
        <w:rPr>
          <w:iCs/>
        </w:rPr>
      </w:pPr>
    </w:p>
    <w:p w14:paraId="7A93B1C3" w14:textId="77777777" w:rsidR="009C3F27" w:rsidRPr="009118AB" w:rsidRDefault="009C3F27" w:rsidP="00181B44">
      <w:pPr>
        <w:autoSpaceDE w:val="0"/>
        <w:autoSpaceDN w:val="0"/>
        <w:adjustRightInd w:val="0"/>
        <w:ind w:firstLine="709"/>
        <w:jc w:val="both"/>
        <w:rPr>
          <w:iCs/>
        </w:rPr>
      </w:pPr>
      <w:r w:rsidRPr="009118AB">
        <w:rPr>
          <w:iCs/>
        </w:rPr>
        <w:t>2. Tauschgeschäften in Bezug auf unbebautes ländliches Grundeigentum, die gemäß Artikel 72 des Registrierungs</w:t>
      </w:r>
      <w:r w:rsidRPr="009118AB">
        <w:rPr>
          <w:iCs/>
        </w:rPr>
        <w:noBreakHyphen/>
        <w:t>, Hypotheken</w:t>
      </w:r>
      <w:r w:rsidRPr="009118AB">
        <w:rPr>
          <w:iCs/>
        </w:rPr>
        <w:noBreakHyphen/>
        <w:t xml:space="preserve"> und Kanzleigebührengesetzbuches von der Proportionalgebühr befreit sind,</w:t>
      </w:r>
    </w:p>
    <w:p w14:paraId="0F179089" w14:textId="77777777" w:rsidR="009C3F27" w:rsidRPr="009118AB" w:rsidRDefault="009C3F27" w:rsidP="00181B44">
      <w:pPr>
        <w:autoSpaceDE w:val="0"/>
        <w:autoSpaceDN w:val="0"/>
        <w:adjustRightInd w:val="0"/>
        <w:ind w:firstLine="709"/>
        <w:jc w:val="both"/>
        <w:rPr>
          <w:iCs/>
        </w:rPr>
      </w:pPr>
    </w:p>
    <w:p w14:paraId="161093A4" w14:textId="77777777" w:rsidR="009C3F27" w:rsidRPr="009118AB" w:rsidRDefault="009C3F27" w:rsidP="00181B44">
      <w:pPr>
        <w:autoSpaceDE w:val="0"/>
        <w:autoSpaceDN w:val="0"/>
        <w:adjustRightInd w:val="0"/>
        <w:ind w:firstLine="709"/>
        <w:jc w:val="both"/>
        <w:rPr>
          <w:iCs/>
        </w:rPr>
      </w:pPr>
      <w:r w:rsidRPr="009118AB">
        <w:rPr>
          <w:iCs/>
        </w:rPr>
        <w:t>3. [der entgeltlichen Abtretung von Gütern, die folgenden Personen gehören:</w:t>
      </w:r>
    </w:p>
    <w:p w14:paraId="14FCB314" w14:textId="77777777" w:rsidR="009C3F27" w:rsidRPr="009118AB" w:rsidRDefault="009C3F27" w:rsidP="00181B44">
      <w:pPr>
        <w:autoSpaceDE w:val="0"/>
        <w:autoSpaceDN w:val="0"/>
        <w:adjustRightInd w:val="0"/>
        <w:ind w:firstLine="709"/>
        <w:jc w:val="both"/>
        <w:rPr>
          <w:iCs/>
        </w:rPr>
      </w:pPr>
    </w:p>
    <w:p w14:paraId="3D6EB818" w14:textId="3D854D2C" w:rsidR="009C3F27" w:rsidRPr="009118AB" w:rsidRDefault="009C3F27" w:rsidP="00181B44">
      <w:pPr>
        <w:autoSpaceDE w:val="0"/>
        <w:autoSpaceDN w:val="0"/>
        <w:adjustRightInd w:val="0"/>
        <w:ind w:firstLine="709"/>
        <w:jc w:val="both"/>
        <w:rPr>
          <w:iCs/>
        </w:rPr>
      </w:pPr>
      <w:r w:rsidRPr="009118AB">
        <w:rPr>
          <w:i/>
          <w:iCs/>
        </w:rPr>
        <w:t>a)</w:t>
      </w:r>
      <w:r w:rsidR="00D67EB8" w:rsidRPr="009118AB">
        <w:rPr>
          <w:iCs/>
        </w:rPr>
        <w:t> - </w:t>
      </w:r>
      <w:r w:rsidRPr="009118AB">
        <w:rPr>
          <w:iCs/>
        </w:rPr>
        <w:t>auch für mündig erklärten</w:t>
      </w:r>
      <w:r w:rsidR="00D67EB8" w:rsidRPr="009118AB">
        <w:rPr>
          <w:iCs/>
        </w:rPr>
        <w:t> - </w:t>
      </w:r>
      <w:r w:rsidRPr="009118AB">
        <w:rPr>
          <w:iCs/>
        </w:rPr>
        <w:t>Minderjährigen[</w:t>
      </w:r>
      <w:r w:rsidRPr="009118AB">
        <w:rPr>
          <w:iCs/>
          <w:lang w:bidi="de-DE"/>
        </w:rPr>
        <w:t>, wenn eine Gerichtsinstanz diese Abtretung erlaubt hat]</w:t>
      </w:r>
      <w:r w:rsidRPr="009118AB">
        <w:rPr>
          <w:iCs/>
        </w:rPr>
        <w:t>,</w:t>
      </w:r>
    </w:p>
    <w:p w14:paraId="5B99428A" w14:textId="77777777" w:rsidR="009C3F27" w:rsidRPr="009118AB" w:rsidRDefault="009C3F27" w:rsidP="00181B44">
      <w:pPr>
        <w:autoSpaceDE w:val="0"/>
        <w:autoSpaceDN w:val="0"/>
        <w:adjustRightInd w:val="0"/>
        <w:ind w:firstLine="709"/>
        <w:jc w:val="both"/>
        <w:rPr>
          <w:iCs/>
        </w:rPr>
      </w:pPr>
    </w:p>
    <w:p w14:paraId="219A8F76" w14:textId="77777777" w:rsidR="009C3F27" w:rsidRPr="009118AB" w:rsidRDefault="009C3F27" w:rsidP="00181B44">
      <w:pPr>
        <w:autoSpaceDE w:val="0"/>
        <w:autoSpaceDN w:val="0"/>
        <w:adjustRightInd w:val="0"/>
        <w:ind w:firstLine="709"/>
        <w:jc w:val="both"/>
        <w:rPr>
          <w:iCs/>
        </w:rPr>
      </w:pPr>
      <w:r w:rsidRPr="009118AB">
        <w:rPr>
          <w:i/>
          <w:iCs/>
        </w:rPr>
        <w:t xml:space="preserve">b) </w:t>
      </w:r>
      <w:r w:rsidRPr="009118AB">
        <w:rPr>
          <w:iCs/>
        </w:rPr>
        <w:t>[</w:t>
      </w:r>
      <w:r w:rsidRPr="009118AB">
        <w:rPr>
          <w:iCs/>
          <w:lang w:bidi="de-DE"/>
        </w:rPr>
        <w:t>Personen, denen gemäß den Bestimmungen von Teil IV Buch IV Kapitel X des Gerichtsgesetzbuches aufgrund einer Sondergenehmigung des Friedensrichters ein Betreuer zugewiesen wurde,]</w:t>
      </w:r>
      <w:r w:rsidRPr="009118AB">
        <w:rPr>
          <w:iCs/>
        </w:rPr>
        <w:t>]</w:t>
      </w:r>
    </w:p>
    <w:p w14:paraId="417E67DA" w14:textId="77777777" w:rsidR="009C3F27" w:rsidRPr="009118AB" w:rsidRDefault="009C3F27" w:rsidP="00181B44">
      <w:pPr>
        <w:autoSpaceDE w:val="0"/>
        <w:autoSpaceDN w:val="0"/>
        <w:adjustRightInd w:val="0"/>
        <w:ind w:firstLine="709"/>
        <w:jc w:val="both"/>
        <w:rPr>
          <w:iCs/>
        </w:rPr>
      </w:pPr>
    </w:p>
    <w:p w14:paraId="2962E2B3" w14:textId="77777777" w:rsidR="009C3F27" w:rsidRPr="009118AB" w:rsidRDefault="009C3F27" w:rsidP="00181B44">
      <w:pPr>
        <w:autoSpaceDE w:val="0"/>
        <w:autoSpaceDN w:val="0"/>
        <w:adjustRightInd w:val="0"/>
        <w:ind w:firstLine="709"/>
        <w:jc w:val="both"/>
        <w:rPr>
          <w:iCs/>
        </w:rPr>
      </w:pPr>
      <w:r w:rsidRPr="009118AB">
        <w:rPr>
          <w:iCs/>
        </w:rPr>
        <w:t>4. Enteignungen oder gütlichen Abtretungen von unbeweglichen Gütern zum Nutzen der Allgemeinheit, wenn diese Abtretungen gemäß Artikel 161 des Registrierungs</w:t>
      </w:r>
      <w:r w:rsidRPr="009118AB">
        <w:rPr>
          <w:iCs/>
        </w:rPr>
        <w:noBreakHyphen/>
        <w:t>, Hypotheken</w:t>
      </w:r>
      <w:r w:rsidRPr="009118AB">
        <w:rPr>
          <w:iCs/>
        </w:rPr>
        <w:noBreakHyphen/>
        <w:t xml:space="preserve"> und Kanzleigebührengesetzbuches kostenlos der Registrierungsformalität unterworfen sind. </w:t>
      </w:r>
    </w:p>
    <w:p w14:paraId="519FB1F6" w14:textId="77777777" w:rsidR="009C3F27" w:rsidRPr="009118AB" w:rsidRDefault="009C3F27" w:rsidP="009C3F27">
      <w:pPr>
        <w:autoSpaceDE w:val="0"/>
        <w:autoSpaceDN w:val="0"/>
        <w:adjustRightInd w:val="0"/>
        <w:jc w:val="both"/>
        <w:rPr>
          <w:iCs/>
        </w:rPr>
      </w:pPr>
    </w:p>
    <w:p w14:paraId="767B0866" w14:textId="0B4B9118" w:rsidR="009C3F27" w:rsidRPr="009118AB" w:rsidRDefault="009C3F27" w:rsidP="009C3F27">
      <w:pPr>
        <w:autoSpaceDE w:val="0"/>
        <w:autoSpaceDN w:val="0"/>
        <w:adjustRightInd w:val="0"/>
        <w:jc w:val="both"/>
        <w:rPr>
          <w:iCs/>
        </w:rPr>
      </w:pPr>
      <w:r w:rsidRPr="009118AB">
        <w:rPr>
          <w:i/>
          <w:iCs/>
        </w:rPr>
        <w:t>[</w:t>
      </w:r>
      <w:r w:rsidR="00D67EB8" w:rsidRPr="009118AB">
        <w:rPr>
          <w:i/>
          <w:iCs/>
        </w:rPr>
        <w:t>Art. </w:t>
      </w:r>
      <w:r w:rsidRPr="009118AB">
        <w:rPr>
          <w:i/>
          <w:iCs/>
        </w:rPr>
        <w:t xml:space="preserve">93 </w:t>
      </w:r>
      <w:r w:rsidR="00D921D0" w:rsidRPr="009118AB">
        <w:rPr>
          <w:i/>
          <w:iCs/>
        </w:rPr>
        <w:t xml:space="preserve">einziger Absatz einleitende Bestimmung abgeändert durch </w:t>
      </w:r>
      <w:r w:rsidR="00D67EB8" w:rsidRPr="009118AB">
        <w:rPr>
          <w:i/>
          <w:iCs/>
        </w:rPr>
        <w:t>Art. </w:t>
      </w:r>
      <w:r w:rsidR="00D921D0" w:rsidRPr="009118AB">
        <w:rPr>
          <w:i/>
          <w:iCs/>
        </w:rPr>
        <w:t>50</w:t>
      </w:r>
      <w:r w:rsidR="00D921D0" w:rsidRPr="009118AB">
        <w:rPr>
          <w:i/>
        </w:rPr>
        <w:t xml:space="preserve"> des G. vom 26. Dezember 2015 (II) (B.S. vom 30. Dezember 2015)</w:t>
      </w:r>
      <w:r w:rsidR="00D67EB8" w:rsidRPr="009118AB">
        <w:t> - </w:t>
      </w:r>
      <w:r w:rsidR="00D921D0"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D921D0" w:rsidRPr="009118AB">
        <w:rPr>
          <w:i/>
        </w:rPr>
        <w:t xml:space="preserve"> </w:t>
      </w:r>
      <w:r w:rsidRPr="009118AB">
        <w:rPr>
          <w:i/>
          <w:iCs/>
        </w:rPr>
        <w:t xml:space="preserve">einziger Absatz </w:t>
      </w:r>
      <w:r w:rsidR="00D67EB8" w:rsidRPr="009118AB">
        <w:rPr>
          <w:i/>
          <w:iCs/>
        </w:rPr>
        <w:t>Nr. </w:t>
      </w:r>
      <w:r w:rsidRPr="009118AB">
        <w:rPr>
          <w:i/>
          <w:iCs/>
        </w:rPr>
        <w:t xml:space="preserve">3 ersetzt durch </w:t>
      </w:r>
      <w:r w:rsidR="00D67EB8" w:rsidRPr="009118AB">
        <w:rPr>
          <w:i/>
          <w:iCs/>
        </w:rPr>
        <w:t>Art. </w:t>
      </w:r>
      <w:r w:rsidRPr="009118AB">
        <w:rPr>
          <w:i/>
          <w:iCs/>
        </w:rPr>
        <w:t xml:space="preserve">7 des G. vom 4. Mai 1999 (II) (B.S. vom 12. Juni 1999); einziger Absatz </w:t>
      </w:r>
      <w:r w:rsidR="00D67EB8" w:rsidRPr="009118AB">
        <w:rPr>
          <w:i/>
          <w:iCs/>
        </w:rPr>
        <w:t>Nr. </w:t>
      </w:r>
      <w:r w:rsidRPr="009118AB">
        <w:rPr>
          <w:i/>
          <w:iCs/>
        </w:rPr>
        <w:t xml:space="preserve">3 einziger Absatz Buchstabe a) abgeändert durch </w:t>
      </w:r>
      <w:r w:rsidR="00D67EB8" w:rsidRPr="009118AB">
        <w:rPr>
          <w:i/>
          <w:iCs/>
        </w:rPr>
        <w:t>Art. </w:t>
      </w:r>
      <w:r w:rsidRPr="009118AB">
        <w:rPr>
          <w:i/>
          <w:iCs/>
        </w:rPr>
        <w:t xml:space="preserve">211 </w:t>
      </w:r>
      <w:r w:rsidR="00D67EB8" w:rsidRPr="009118AB">
        <w:rPr>
          <w:i/>
          <w:iCs/>
        </w:rPr>
        <w:t>Nr. </w:t>
      </w:r>
      <w:r w:rsidRPr="009118AB">
        <w:rPr>
          <w:i/>
          <w:iCs/>
        </w:rPr>
        <w:t>1 des G. vom 17. März 2013 (B.S. vom 14. Juni 2013)</w:t>
      </w:r>
      <w:r w:rsidR="00D67EB8" w:rsidRPr="009118AB">
        <w:rPr>
          <w:i/>
          <w:iCs/>
        </w:rPr>
        <w:t> - </w:t>
      </w:r>
      <w:r w:rsidR="00BC1FBB" w:rsidRPr="009118AB">
        <w:rPr>
          <w:i/>
          <w:iCs/>
        </w:rPr>
        <w:t>in Kraft ab dem 1. September 2014</w:t>
      </w:r>
      <w:r w:rsidR="003366D9" w:rsidRPr="009118AB">
        <w:rPr>
          <w:i/>
          <w:iCs/>
        </w:rPr>
        <w:t> -;</w:t>
      </w:r>
      <w:r w:rsidRPr="009118AB">
        <w:rPr>
          <w:i/>
          <w:iCs/>
        </w:rPr>
        <w:t xml:space="preserve"> einziger Absatz </w:t>
      </w:r>
      <w:r w:rsidR="00D67EB8" w:rsidRPr="009118AB">
        <w:rPr>
          <w:i/>
          <w:iCs/>
        </w:rPr>
        <w:t>Nr. </w:t>
      </w:r>
      <w:r w:rsidRPr="009118AB">
        <w:rPr>
          <w:i/>
          <w:iCs/>
        </w:rPr>
        <w:t>3 einziger Absatz Buchstabe b) er</w:t>
      </w:r>
      <w:r w:rsidR="003244A2" w:rsidRPr="009118AB">
        <w:rPr>
          <w:i/>
          <w:iCs/>
        </w:rPr>
        <w:t>setz</w:t>
      </w:r>
      <w:r w:rsidRPr="009118AB">
        <w:rPr>
          <w:i/>
          <w:iCs/>
        </w:rPr>
        <w:t xml:space="preserve">t durch </w:t>
      </w:r>
      <w:r w:rsidR="00D67EB8" w:rsidRPr="009118AB">
        <w:rPr>
          <w:i/>
          <w:iCs/>
        </w:rPr>
        <w:t>Art. </w:t>
      </w:r>
      <w:r w:rsidRPr="009118AB">
        <w:rPr>
          <w:i/>
          <w:iCs/>
        </w:rPr>
        <w:t xml:space="preserve">211 </w:t>
      </w:r>
      <w:r w:rsidR="00D67EB8" w:rsidRPr="009118AB">
        <w:rPr>
          <w:i/>
          <w:iCs/>
        </w:rPr>
        <w:t>Nr. </w:t>
      </w:r>
      <w:r w:rsidRPr="009118AB">
        <w:rPr>
          <w:i/>
          <w:iCs/>
        </w:rPr>
        <w:t>2 des G. vom 17. März 2013 (B.S. vom 14. Juni 2013)</w:t>
      </w:r>
      <w:r w:rsidR="00D67EB8" w:rsidRPr="009118AB">
        <w:rPr>
          <w:i/>
          <w:iCs/>
        </w:rPr>
        <w:t> - </w:t>
      </w:r>
      <w:r w:rsidR="00BC1FBB" w:rsidRPr="009118AB">
        <w:rPr>
          <w:i/>
          <w:iCs/>
        </w:rPr>
        <w:t>in Kraft ab dem 1. September 2014</w:t>
      </w:r>
      <w:r w:rsidR="00FD68E8" w:rsidRPr="009118AB">
        <w:rPr>
          <w:i/>
          <w:iCs/>
        </w:rPr>
        <w:t> -]</w:t>
      </w:r>
    </w:p>
    <w:p w14:paraId="68FE2FAE" w14:textId="77777777" w:rsidR="009C3F27" w:rsidRPr="009118AB" w:rsidRDefault="009C3F27" w:rsidP="009C3F27">
      <w:pPr>
        <w:autoSpaceDE w:val="0"/>
        <w:autoSpaceDN w:val="0"/>
        <w:adjustRightInd w:val="0"/>
        <w:jc w:val="both"/>
      </w:pPr>
    </w:p>
    <w:p w14:paraId="7A782583" w14:textId="77777777" w:rsidR="00477B8F" w:rsidRPr="009118AB" w:rsidRDefault="00477B8F" w:rsidP="00477B8F">
      <w:pPr>
        <w:autoSpaceDE w:val="0"/>
        <w:autoSpaceDN w:val="0"/>
        <w:adjustRightInd w:val="0"/>
        <w:jc w:val="both"/>
      </w:pPr>
    </w:p>
    <w:p w14:paraId="6E4403BB" w14:textId="42F4C028" w:rsidR="009C3F27" w:rsidRPr="009118AB" w:rsidRDefault="00477B8F" w:rsidP="009C3F27">
      <w:pPr>
        <w:autoSpaceDE w:val="0"/>
        <w:autoSpaceDN w:val="0"/>
        <w:adjustRightInd w:val="0"/>
        <w:jc w:val="both"/>
        <w:rPr>
          <w:iCs/>
        </w:rPr>
      </w:pPr>
      <w:r w:rsidRPr="009118AB">
        <w:tab/>
        <w:t>[</w:t>
      </w:r>
      <w:r w:rsidR="00D67EB8" w:rsidRPr="009118AB">
        <w:rPr>
          <w:b/>
          <w:bCs/>
        </w:rPr>
        <w:t>Art. </w:t>
      </w:r>
      <w:r w:rsidRPr="009118AB">
        <w:rPr>
          <w:b/>
          <w:bCs/>
        </w:rPr>
        <w:t>93</w:t>
      </w:r>
      <w:r w:rsidRPr="009118AB">
        <w:rPr>
          <w:b/>
          <w:bCs/>
          <w:i/>
          <w:iCs/>
        </w:rPr>
        <w:t>bis</w:t>
      </w:r>
      <w:r w:rsidR="00D67EB8" w:rsidRPr="009118AB">
        <w:t> - </w:t>
      </w:r>
      <w:r w:rsidR="00D921D0" w:rsidRPr="009118AB">
        <w:rPr>
          <w:iCs/>
        </w:rPr>
        <w:t>[</w:t>
      </w:r>
      <w:r w:rsidR="00D921D0" w:rsidRPr="009118AB">
        <w:t xml:space="preserve">In Abweichung von Artikel 90 Absatz 1 </w:t>
      </w:r>
      <w:r w:rsidR="00D67EB8" w:rsidRPr="009118AB">
        <w:t>Nr. </w:t>
      </w:r>
      <w:r w:rsidR="00D921D0" w:rsidRPr="009118AB">
        <w:t>10</w:t>
      </w:r>
      <w:r w:rsidR="00D921D0" w:rsidRPr="009118AB">
        <w:rPr>
          <w:iCs/>
        </w:rPr>
        <w:t>]</w:t>
      </w:r>
      <w:r w:rsidR="009C3F27" w:rsidRPr="009118AB">
        <w:rPr>
          <w:iCs/>
        </w:rPr>
        <w:t xml:space="preserve"> sind Mehrwerte nicht steuerpflichtig, wenn sie festgestellt werden bei:</w:t>
      </w:r>
    </w:p>
    <w:p w14:paraId="42500190" w14:textId="77777777" w:rsidR="009C3F27" w:rsidRPr="009118AB" w:rsidRDefault="009C3F27" w:rsidP="009C3F27">
      <w:pPr>
        <w:autoSpaceDE w:val="0"/>
        <w:autoSpaceDN w:val="0"/>
        <w:adjustRightInd w:val="0"/>
        <w:jc w:val="both"/>
        <w:rPr>
          <w:iCs/>
        </w:rPr>
      </w:pPr>
    </w:p>
    <w:p w14:paraId="1258C90F" w14:textId="77777777" w:rsidR="009C3F27" w:rsidRPr="009118AB" w:rsidRDefault="009C3F27" w:rsidP="00D70F5C">
      <w:pPr>
        <w:autoSpaceDE w:val="0"/>
        <w:autoSpaceDN w:val="0"/>
        <w:adjustRightInd w:val="0"/>
        <w:ind w:firstLine="709"/>
        <w:jc w:val="both"/>
        <w:rPr>
          <w:iCs/>
        </w:rPr>
      </w:pPr>
      <w:r w:rsidRPr="009118AB">
        <w:rPr>
          <w:iCs/>
        </w:rPr>
        <w:t>1. [</w:t>
      </w:r>
      <w:r w:rsidR="00D70F5C" w:rsidRPr="009118AB">
        <w:t>der entgeltlichen Abtretung der Wohnung, die für einen ununterbrochenen Zeitraum von mindestens zwölf Monaten vor dem Monat der Veräußerung die eigene Wohnung des Steuerpflichtigen war. Zwischen dem Zeitraum von mindestens zwölf Monaten und dem Monat der Veräußerung kann jedoch ein Zeitraum von höchstens sechs Monaten liegen, in dem die Wohnung ungenutzt war,</w:t>
      </w:r>
      <w:r w:rsidRPr="009118AB">
        <w:rPr>
          <w:iCs/>
        </w:rPr>
        <w:t>]</w:t>
      </w:r>
    </w:p>
    <w:p w14:paraId="7325EC75" w14:textId="77777777" w:rsidR="009C3F27" w:rsidRPr="009118AB" w:rsidRDefault="009C3F27" w:rsidP="00D70F5C">
      <w:pPr>
        <w:autoSpaceDE w:val="0"/>
        <w:autoSpaceDN w:val="0"/>
        <w:adjustRightInd w:val="0"/>
        <w:ind w:firstLine="709"/>
        <w:jc w:val="both"/>
        <w:rPr>
          <w:iCs/>
        </w:rPr>
      </w:pPr>
    </w:p>
    <w:p w14:paraId="50A16438" w14:textId="77777777" w:rsidR="00B17558" w:rsidRDefault="00B17558">
      <w:pPr>
        <w:rPr>
          <w:iCs/>
        </w:rPr>
      </w:pPr>
      <w:r>
        <w:rPr>
          <w:iCs/>
        </w:rPr>
        <w:br w:type="page"/>
      </w:r>
    </w:p>
    <w:p w14:paraId="10ED448F" w14:textId="7A05EEA7" w:rsidR="009C3F27" w:rsidRPr="009118AB" w:rsidRDefault="009C3F27" w:rsidP="00D70F5C">
      <w:pPr>
        <w:autoSpaceDE w:val="0"/>
        <w:autoSpaceDN w:val="0"/>
        <w:adjustRightInd w:val="0"/>
        <w:ind w:firstLine="709"/>
        <w:jc w:val="both"/>
        <w:rPr>
          <w:iCs/>
        </w:rPr>
      </w:pPr>
      <w:r w:rsidRPr="009118AB">
        <w:rPr>
          <w:iCs/>
        </w:rPr>
        <w:lastRenderedPageBreak/>
        <w:t>2. [der entgeltlichen Abtretung von Gütern, die folgenden Personen gehören:</w:t>
      </w:r>
    </w:p>
    <w:p w14:paraId="796BE5C2" w14:textId="77777777" w:rsidR="009C3F27" w:rsidRPr="009118AB" w:rsidRDefault="009C3F27" w:rsidP="00D70F5C">
      <w:pPr>
        <w:autoSpaceDE w:val="0"/>
        <w:autoSpaceDN w:val="0"/>
        <w:adjustRightInd w:val="0"/>
        <w:ind w:firstLine="709"/>
        <w:jc w:val="both"/>
        <w:rPr>
          <w:iCs/>
        </w:rPr>
      </w:pPr>
    </w:p>
    <w:p w14:paraId="3B5A2C14" w14:textId="4FA36975" w:rsidR="009C3F27" w:rsidRPr="009118AB" w:rsidRDefault="009C3F27" w:rsidP="00D70F5C">
      <w:pPr>
        <w:autoSpaceDE w:val="0"/>
        <w:autoSpaceDN w:val="0"/>
        <w:adjustRightInd w:val="0"/>
        <w:ind w:firstLine="709"/>
        <w:jc w:val="both"/>
        <w:rPr>
          <w:iCs/>
        </w:rPr>
      </w:pPr>
      <w:r w:rsidRPr="009118AB">
        <w:rPr>
          <w:i/>
          <w:iCs/>
        </w:rPr>
        <w:t>a)</w:t>
      </w:r>
      <w:r w:rsidR="00D67EB8" w:rsidRPr="009118AB">
        <w:rPr>
          <w:iCs/>
        </w:rPr>
        <w:t> - </w:t>
      </w:r>
      <w:r w:rsidRPr="009118AB">
        <w:rPr>
          <w:iCs/>
        </w:rPr>
        <w:t>auch für mündig erklärten</w:t>
      </w:r>
      <w:r w:rsidR="00D67EB8" w:rsidRPr="009118AB">
        <w:rPr>
          <w:iCs/>
        </w:rPr>
        <w:t> - </w:t>
      </w:r>
      <w:r w:rsidRPr="009118AB">
        <w:rPr>
          <w:iCs/>
        </w:rPr>
        <w:t>Minderjährigen[</w:t>
      </w:r>
      <w:r w:rsidRPr="009118AB">
        <w:rPr>
          <w:iCs/>
          <w:lang w:bidi="de-DE"/>
        </w:rPr>
        <w:t>, wenn eine Gerichtsinstanz diese Abtretung erlaubt hat]</w:t>
      </w:r>
      <w:r w:rsidRPr="009118AB">
        <w:rPr>
          <w:iCs/>
        </w:rPr>
        <w:t>,</w:t>
      </w:r>
    </w:p>
    <w:p w14:paraId="0D59C4A0" w14:textId="77777777" w:rsidR="009C3F27" w:rsidRPr="009118AB" w:rsidRDefault="009C3F27" w:rsidP="00D70F5C">
      <w:pPr>
        <w:autoSpaceDE w:val="0"/>
        <w:autoSpaceDN w:val="0"/>
        <w:adjustRightInd w:val="0"/>
        <w:ind w:firstLine="709"/>
        <w:jc w:val="both"/>
        <w:rPr>
          <w:iCs/>
        </w:rPr>
      </w:pPr>
    </w:p>
    <w:p w14:paraId="47D8DAEF" w14:textId="77777777" w:rsidR="009C3F27" w:rsidRPr="009118AB" w:rsidRDefault="009C3F27" w:rsidP="00D70F5C">
      <w:pPr>
        <w:autoSpaceDE w:val="0"/>
        <w:autoSpaceDN w:val="0"/>
        <w:adjustRightInd w:val="0"/>
        <w:ind w:firstLine="709"/>
        <w:jc w:val="both"/>
        <w:rPr>
          <w:iCs/>
        </w:rPr>
      </w:pPr>
      <w:r w:rsidRPr="009118AB">
        <w:rPr>
          <w:i/>
          <w:iCs/>
        </w:rPr>
        <w:t>b)</w:t>
      </w:r>
      <w:r w:rsidRPr="009118AB">
        <w:rPr>
          <w:iCs/>
        </w:rPr>
        <w:t xml:space="preserve"> [</w:t>
      </w:r>
      <w:r w:rsidRPr="009118AB">
        <w:rPr>
          <w:iCs/>
          <w:lang w:bidi="de-DE"/>
        </w:rPr>
        <w:t>Personen, denen gemäß den Bestimmungen von Teil IV Buch IV Kapitel X des Gerichtsgesetzbuches aufgrund einer Sondergenehmigung des Friedensrichters ein Betreuer zugewiesen wurde,</w:t>
      </w:r>
      <w:r w:rsidRPr="009118AB">
        <w:rPr>
          <w:iCs/>
        </w:rPr>
        <w:t>]]</w:t>
      </w:r>
    </w:p>
    <w:p w14:paraId="6553CE20" w14:textId="77777777" w:rsidR="009C3F27" w:rsidRPr="009118AB" w:rsidRDefault="009C3F27" w:rsidP="00D70F5C">
      <w:pPr>
        <w:autoSpaceDE w:val="0"/>
        <w:autoSpaceDN w:val="0"/>
        <w:adjustRightInd w:val="0"/>
        <w:ind w:firstLine="709"/>
        <w:jc w:val="both"/>
        <w:rPr>
          <w:iCs/>
        </w:rPr>
      </w:pPr>
    </w:p>
    <w:p w14:paraId="5B179084" w14:textId="589BD7AB" w:rsidR="009C3F27" w:rsidRPr="009118AB" w:rsidRDefault="009C3F27" w:rsidP="00D70F5C">
      <w:pPr>
        <w:autoSpaceDE w:val="0"/>
        <w:autoSpaceDN w:val="0"/>
        <w:adjustRightInd w:val="0"/>
        <w:ind w:firstLine="709"/>
        <w:jc w:val="both"/>
        <w:rPr>
          <w:iCs/>
        </w:rPr>
      </w:pPr>
      <w:r w:rsidRPr="009118AB">
        <w:rPr>
          <w:iCs/>
        </w:rPr>
        <w:t>3. Enteignungen oder gütlichen Abtretungen von unbeweglichen Gütern zum Nutzen der Allgemeinheit, wenn diese Abtretungen gemäß Artikel 161 des Registrierungs</w:t>
      </w:r>
      <w:r w:rsidRPr="009118AB">
        <w:rPr>
          <w:iCs/>
        </w:rPr>
        <w:noBreakHyphen/>
        <w:t>, Hypotheken</w:t>
      </w:r>
      <w:r w:rsidRPr="009118AB">
        <w:rPr>
          <w:iCs/>
        </w:rPr>
        <w:noBreakHyphen/>
        <w:t xml:space="preserve"> und Kanzleigebührengesetzbuches kostenlos der Registrierungsformalität unterworfen sind.]</w:t>
      </w:r>
    </w:p>
    <w:p w14:paraId="32101190" w14:textId="77777777" w:rsidR="009C3F27" w:rsidRPr="009118AB" w:rsidRDefault="009C3F27" w:rsidP="009C3F27">
      <w:pPr>
        <w:autoSpaceDE w:val="0"/>
        <w:autoSpaceDN w:val="0"/>
        <w:adjustRightInd w:val="0"/>
        <w:jc w:val="both"/>
        <w:rPr>
          <w:iCs/>
        </w:rPr>
      </w:pPr>
    </w:p>
    <w:p w14:paraId="2D7E9396" w14:textId="33649C6E" w:rsidR="009C3F27" w:rsidRPr="009118AB" w:rsidRDefault="009C3F27" w:rsidP="009C3F27">
      <w:pPr>
        <w:autoSpaceDE w:val="0"/>
        <w:autoSpaceDN w:val="0"/>
        <w:adjustRightInd w:val="0"/>
        <w:jc w:val="both"/>
        <w:rPr>
          <w:i/>
          <w:iCs/>
        </w:rPr>
      </w:pPr>
      <w:r w:rsidRPr="009118AB">
        <w:rPr>
          <w:i/>
          <w:iCs/>
        </w:rPr>
        <w:t>[</w:t>
      </w:r>
      <w:r w:rsidR="00D67EB8" w:rsidRPr="009118AB">
        <w:rPr>
          <w:i/>
          <w:iCs/>
        </w:rPr>
        <w:t>Art. </w:t>
      </w:r>
      <w:r w:rsidRPr="009118AB">
        <w:rPr>
          <w:i/>
          <w:iCs/>
        </w:rPr>
        <w:t xml:space="preserve">93bis eingefügt durch </w:t>
      </w:r>
      <w:r w:rsidR="00D67EB8" w:rsidRPr="009118AB">
        <w:rPr>
          <w:i/>
          <w:iCs/>
        </w:rPr>
        <w:t>Art. </w:t>
      </w:r>
      <w:r w:rsidRPr="009118AB">
        <w:rPr>
          <w:i/>
          <w:iCs/>
        </w:rPr>
        <w:t>16 des K.E. vom 20. Dezember 1996 (B.S. vom 31. Dezember 1996)</w:t>
      </w:r>
      <w:r w:rsidR="00D67EB8" w:rsidRPr="009118AB">
        <w:rPr>
          <w:i/>
          <w:iCs/>
        </w:rPr>
        <w:t> - </w:t>
      </w:r>
      <w:r w:rsidRPr="009118AB">
        <w:rPr>
          <w:i/>
          <w:iCs/>
        </w:rPr>
        <w:t>in Kraft ab dem 1. Januar 1997</w:t>
      </w:r>
      <w:r w:rsidR="003366D9" w:rsidRPr="009118AB">
        <w:rPr>
          <w:i/>
          <w:iCs/>
        </w:rPr>
        <w:t> -;</w:t>
      </w:r>
      <w:r w:rsidRPr="009118AB">
        <w:rPr>
          <w:i/>
          <w:iCs/>
        </w:rPr>
        <w:t xml:space="preserve"> </w:t>
      </w:r>
      <w:r w:rsidR="00D921D0" w:rsidRPr="009118AB">
        <w:rPr>
          <w:i/>
          <w:iCs/>
        </w:rPr>
        <w:t xml:space="preserve">einziger Absatz einleitende Bestimmung abgeändert durch </w:t>
      </w:r>
      <w:r w:rsidR="00D67EB8" w:rsidRPr="009118AB">
        <w:rPr>
          <w:i/>
          <w:iCs/>
        </w:rPr>
        <w:t>Art. </w:t>
      </w:r>
      <w:r w:rsidR="00D921D0" w:rsidRPr="009118AB">
        <w:rPr>
          <w:i/>
          <w:iCs/>
        </w:rPr>
        <w:t>51 des G. vom 26. Dezember 2015 (II) (B.S. vom 30. Dezember 2015)</w:t>
      </w:r>
      <w:r w:rsidR="00D67EB8" w:rsidRPr="009118AB">
        <w:rPr>
          <w:i/>
          <w:iCs/>
        </w:rPr>
        <w:t> - </w:t>
      </w:r>
      <w:r w:rsidR="00D921D0" w:rsidRPr="009118AB">
        <w:rPr>
          <w:i/>
          <w:iCs/>
        </w:rPr>
        <w:t>anwendbar auf Mehrwerte, die auf börsennotierte Aktien oder Anteile, Optionen, Optionsscheine oder andere börsennotierte Finanzinstrumente verwirklicht werden, die entweder ab dem 1. Januar 2016 entgeltlich erworben werden oder im Falle eines Leer</w:t>
      </w:r>
      <w:r w:rsidR="00785C35" w:rsidRPr="009118AB">
        <w:rPr>
          <w:i/>
          <w:iCs/>
        </w:rPr>
        <w:softHyphen/>
      </w:r>
      <w:r w:rsidR="00D921D0" w:rsidRPr="009118AB">
        <w:rPr>
          <w:i/>
          <w:iCs/>
        </w:rPr>
        <w:t>verkaufs ab dem 1. Januar 2016 verkauft werden</w:t>
      </w:r>
      <w:r w:rsidR="003366D9" w:rsidRPr="009118AB">
        <w:rPr>
          <w:i/>
          <w:iCs/>
        </w:rPr>
        <w:t> -;</w:t>
      </w:r>
      <w:r w:rsidR="00D921D0" w:rsidRPr="009118AB">
        <w:rPr>
          <w:i/>
          <w:iCs/>
        </w:rPr>
        <w:t xml:space="preserve"> </w:t>
      </w:r>
      <w:r w:rsidRPr="009118AB">
        <w:rPr>
          <w:i/>
          <w:iCs/>
        </w:rPr>
        <w:t xml:space="preserve">einziger Absatz </w:t>
      </w:r>
      <w:r w:rsidR="00D67EB8" w:rsidRPr="009118AB">
        <w:rPr>
          <w:i/>
          <w:iCs/>
        </w:rPr>
        <w:t>Nr. </w:t>
      </w:r>
      <w:r w:rsidRPr="009118AB">
        <w:rPr>
          <w:i/>
          <w:iCs/>
        </w:rPr>
        <w:t xml:space="preserve">1 ersetzt durch </w:t>
      </w:r>
      <w:r w:rsidR="00D67EB8" w:rsidRPr="009118AB">
        <w:rPr>
          <w:i/>
          <w:iCs/>
        </w:rPr>
        <w:t>Art. </w:t>
      </w:r>
      <w:r w:rsidR="00D70F5C" w:rsidRPr="009118AB">
        <w:rPr>
          <w:i/>
          <w:iCs/>
        </w:rPr>
        <w:t>19 des G. vom 8. Mai 2014 (B.S. vom 28. Mai 2014)</w:t>
      </w:r>
      <w:r w:rsidR="00D67EB8" w:rsidRPr="009118AB">
        <w:rPr>
          <w:i/>
          <w:iCs/>
        </w:rPr>
        <w:t> - </w:t>
      </w:r>
      <w:r w:rsidR="00D70F5C" w:rsidRPr="009118AB">
        <w:rPr>
          <w:i/>
          <w:iCs/>
        </w:rPr>
        <w:t>anwendbar ab dem Steuerjahr 2015</w:t>
      </w:r>
      <w:r w:rsidR="003366D9" w:rsidRPr="009118AB">
        <w:rPr>
          <w:i/>
          <w:iCs/>
        </w:rPr>
        <w:t> -;</w:t>
      </w:r>
      <w:r w:rsidRPr="009118AB">
        <w:rPr>
          <w:i/>
          <w:iCs/>
        </w:rPr>
        <w:t xml:space="preserve"> einziger Absatz </w:t>
      </w:r>
      <w:r w:rsidR="00D67EB8" w:rsidRPr="009118AB">
        <w:rPr>
          <w:i/>
          <w:iCs/>
        </w:rPr>
        <w:t>Nr. </w:t>
      </w:r>
      <w:r w:rsidRPr="009118AB">
        <w:rPr>
          <w:i/>
          <w:iCs/>
        </w:rPr>
        <w:t xml:space="preserve">2 ersetzt durch </w:t>
      </w:r>
      <w:r w:rsidR="00D67EB8" w:rsidRPr="009118AB">
        <w:rPr>
          <w:i/>
          <w:iCs/>
        </w:rPr>
        <w:t>Art. </w:t>
      </w:r>
      <w:r w:rsidRPr="009118AB">
        <w:rPr>
          <w:i/>
          <w:iCs/>
        </w:rPr>
        <w:t xml:space="preserve">8 des G. vom 4. Mai 1999 (II) (B.S. vom 12. Juni 1999); einziger Absatz </w:t>
      </w:r>
      <w:r w:rsidR="00D67EB8" w:rsidRPr="009118AB">
        <w:rPr>
          <w:i/>
          <w:iCs/>
        </w:rPr>
        <w:t>Nr. </w:t>
      </w:r>
      <w:r w:rsidRPr="009118AB">
        <w:rPr>
          <w:i/>
          <w:iCs/>
        </w:rPr>
        <w:t xml:space="preserve">2 einziger Absatz Buchstabe a) abgeändert durch </w:t>
      </w:r>
      <w:r w:rsidR="00D67EB8" w:rsidRPr="009118AB">
        <w:rPr>
          <w:i/>
          <w:iCs/>
        </w:rPr>
        <w:t>Art. </w:t>
      </w:r>
      <w:r w:rsidRPr="009118AB">
        <w:rPr>
          <w:i/>
          <w:iCs/>
        </w:rPr>
        <w:t xml:space="preserve">212 </w:t>
      </w:r>
      <w:r w:rsidR="00D67EB8" w:rsidRPr="009118AB">
        <w:rPr>
          <w:i/>
          <w:iCs/>
        </w:rPr>
        <w:t>Nr. </w:t>
      </w:r>
      <w:r w:rsidRPr="009118AB">
        <w:rPr>
          <w:i/>
          <w:iCs/>
        </w:rPr>
        <w:t>1 des G. vom 17. März 2013 (B.S. vom 14. Juni 2013)</w:t>
      </w:r>
      <w:r w:rsidR="00D67EB8" w:rsidRPr="009118AB">
        <w:rPr>
          <w:i/>
          <w:iCs/>
        </w:rPr>
        <w:t> - </w:t>
      </w:r>
      <w:r w:rsidR="00B350BC" w:rsidRPr="009118AB">
        <w:rPr>
          <w:i/>
          <w:iCs/>
        </w:rPr>
        <w:t>in Kraft ab dem 1. September 2014</w:t>
      </w:r>
      <w:r w:rsidR="003366D9" w:rsidRPr="009118AB">
        <w:rPr>
          <w:i/>
          <w:iCs/>
        </w:rPr>
        <w:t> -;</w:t>
      </w:r>
      <w:r w:rsidRPr="009118AB">
        <w:rPr>
          <w:i/>
          <w:iCs/>
        </w:rPr>
        <w:t xml:space="preserve"> einziger Absatz </w:t>
      </w:r>
      <w:r w:rsidR="00D67EB8" w:rsidRPr="009118AB">
        <w:rPr>
          <w:i/>
          <w:iCs/>
        </w:rPr>
        <w:t>Nr. </w:t>
      </w:r>
      <w:r w:rsidRPr="009118AB">
        <w:rPr>
          <w:i/>
          <w:iCs/>
        </w:rPr>
        <w:t>2 einziger Absatz Buchstabe b) er</w:t>
      </w:r>
      <w:r w:rsidR="003244A2" w:rsidRPr="009118AB">
        <w:rPr>
          <w:i/>
          <w:iCs/>
        </w:rPr>
        <w:t>setz</w:t>
      </w:r>
      <w:r w:rsidRPr="009118AB">
        <w:rPr>
          <w:i/>
          <w:iCs/>
        </w:rPr>
        <w:t xml:space="preserve">t durch </w:t>
      </w:r>
      <w:r w:rsidR="00D67EB8" w:rsidRPr="009118AB">
        <w:rPr>
          <w:i/>
          <w:iCs/>
        </w:rPr>
        <w:t>Art. </w:t>
      </w:r>
      <w:r w:rsidRPr="009118AB">
        <w:rPr>
          <w:i/>
          <w:iCs/>
        </w:rPr>
        <w:t xml:space="preserve">212 </w:t>
      </w:r>
      <w:r w:rsidR="00D67EB8" w:rsidRPr="009118AB">
        <w:rPr>
          <w:i/>
          <w:iCs/>
        </w:rPr>
        <w:t>Nr. </w:t>
      </w:r>
      <w:r w:rsidRPr="009118AB">
        <w:rPr>
          <w:i/>
          <w:iCs/>
        </w:rPr>
        <w:t>2 des G. vom 17. März 2013 (B.S. vom 14. Juni 2013)</w:t>
      </w:r>
      <w:r w:rsidR="00D67EB8" w:rsidRPr="009118AB">
        <w:rPr>
          <w:i/>
          <w:iCs/>
        </w:rPr>
        <w:t> - </w:t>
      </w:r>
      <w:r w:rsidR="00B350BC" w:rsidRPr="009118AB">
        <w:rPr>
          <w:i/>
          <w:iCs/>
        </w:rPr>
        <w:t>in Kraft ab dem 1. September 2014</w:t>
      </w:r>
      <w:r w:rsidR="00FD68E8" w:rsidRPr="009118AB">
        <w:rPr>
          <w:i/>
          <w:iCs/>
        </w:rPr>
        <w:t> -]</w:t>
      </w:r>
    </w:p>
    <w:p w14:paraId="6BF0A5E6" w14:textId="77777777" w:rsidR="009C3F27" w:rsidRPr="009118AB" w:rsidRDefault="009C3F27" w:rsidP="009C3F27">
      <w:pPr>
        <w:autoSpaceDE w:val="0"/>
        <w:autoSpaceDN w:val="0"/>
        <w:adjustRightInd w:val="0"/>
        <w:jc w:val="both"/>
      </w:pPr>
    </w:p>
    <w:p w14:paraId="0A19628B" w14:textId="77777777" w:rsidR="009C3F27" w:rsidRPr="009118AB" w:rsidRDefault="009C3F27" w:rsidP="00477B8F">
      <w:pPr>
        <w:autoSpaceDE w:val="0"/>
        <w:autoSpaceDN w:val="0"/>
        <w:adjustRightInd w:val="0"/>
        <w:jc w:val="both"/>
        <w:rPr>
          <w:bCs/>
        </w:rPr>
      </w:pPr>
    </w:p>
    <w:p w14:paraId="0AE616E3" w14:textId="7918478C" w:rsidR="00477B8F" w:rsidRPr="009118AB" w:rsidRDefault="00D668C5" w:rsidP="00477B8F">
      <w:pPr>
        <w:autoSpaceDE w:val="0"/>
        <w:autoSpaceDN w:val="0"/>
        <w:adjustRightInd w:val="0"/>
        <w:jc w:val="both"/>
      </w:pPr>
      <w:r w:rsidRPr="009118AB">
        <w:rPr>
          <w:bCs/>
        </w:rPr>
        <w:tab/>
      </w:r>
      <w:r w:rsidR="00D67EB8" w:rsidRPr="009118AB">
        <w:rPr>
          <w:b/>
          <w:bCs/>
        </w:rPr>
        <w:t>Art. </w:t>
      </w:r>
      <w:r w:rsidRPr="009118AB">
        <w:rPr>
          <w:b/>
          <w:bCs/>
        </w:rPr>
        <w:t>94</w:t>
      </w:r>
      <w:r w:rsidR="00D67EB8" w:rsidRPr="009118AB">
        <w:t> - </w:t>
      </w:r>
      <w:r w:rsidR="00773B39" w:rsidRPr="009118AB">
        <w:t xml:space="preserve">[Haben während des zwölfmonatigen Zeitraums vor dem Erwerb von Aktien oder Anteilen durch eine in Artikel 227 </w:t>
      </w:r>
      <w:r w:rsidR="00D67EB8" w:rsidRPr="009118AB">
        <w:t>Nr. </w:t>
      </w:r>
      <w:r w:rsidR="00773B39" w:rsidRPr="009118AB">
        <w:t xml:space="preserve">2 oder 3 erwähnte juristische Person, deren </w:t>
      </w:r>
      <w:r w:rsidR="003C287B" w:rsidRPr="009118AB">
        <w:t>[…]</w:t>
      </w:r>
      <w:r w:rsidR="00773B39" w:rsidRPr="009118AB">
        <w:t xml:space="preserve"> Hauptniederlassung oder Geschäftsführungs- oder Verwaltungssitz nicht in einem Mitgliedstaat des Europäischen Wirtschaftsraums liegt oder die gemäß den steuer</w:t>
      </w:r>
      <w:r w:rsidR="00773B39" w:rsidRPr="009118AB">
        <w:softHyphen/>
        <w:t>rechtlichen Vorschriften eines Mitgliedstaates des Europäischen Wirtschaftsraums nicht als in diesem Staat ansässig angesehen wird, ohne aufgrund eines Doppelbesteuerungsabkommens mit einem dritten Staat als außerhalb des Europäischen Wirtschaftsraums ansässig angesehen zu werden, eine oder mehrere Übertragungen zwischen anderen Steuerpflichtigen stattge</w:t>
      </w:r>
      <w:r w:rsidR="00773B39" w:rsidRPr="009118AB">
        <w:softHyphen/>
        <w:t xml:space="preserve">funden, sind die in </w:t>
      </w:r>
      <w:r w:rsidR="00D921D0" w:rsidRPr="009118AB">
        <w:t xml:space="preserve">[Artikel 90 Absatz 1 </w:t>
      </w:r>
      <w:r w:rsidR="00D67EB8" w:rsidRPr="009118AB">
        <w:t>Nr. </w:t>
      </w:r>
      <w:r w:rsidR="00D921D0" w:rsidRPr="009118AB">
        <w:t xml:space="preserve">9] </w:t>
      </w:r>
      <w:r w:rsidR="00773B39" w:rsidRPr="009118AB">
        <w:t>zweiter Gedankenstrich erwähnten Mehrwerte, die bei jeder in diesem Zeitraum erfolgten Übertragung verwirklicht wurden, steuerpflichtig, wenn der erste Zedent die Bedingung in Bezug auf den Umfang der Gesellschaftsrechte an der Gesellschaft, deren Aktien oder Anteile veräußert wurden, erfüllte.]</w:t>
      </w:r>
    </w:p>
    <w:p w14:paraId="3808B245" w14:textId="77777777" w:rsidR="00773B39" w:rsidRPr="009118AB" w:rsidRDefault="00773B39" w:rsidP="00477B8F">
      <w:pPr>
        <w:autoSpaceDE w:val="0"/>
        <w:autoSpaceDN w:val="0"/>
        <w:adjustRightInd w:val="0"/>
        <w:jc w:val="both"/>
      </w:pPr>
    </w:p>
    <w:p w14:paraId="40ABD68F" w14:textId="54A766A0" w:rsidR="00773B39" w:rsidRPr="009118AB" w:rsidRDefault="00773B39" w:rsidP="00477B8F">
      <w:pPr>
        <w:autoSpaceDE w:val="0"/>
        <w:autoSpaceDN w:val="0"/>
        <w:adjustRightInd w:val="0"/>
        <w:jc w:val="both"/>
        <w:rPr>
          <w:iCs/>
        </w:rPr>
      </w:pPr>
      <w:r w:rsidRPr="009118AB">
        <w:rPr>
          <w:i/>
        </w:rPr>
        <w:t>[</w:t>
      </w:r>
      <w:r w:rsidR="00D67EB8" w:rsidRPr="009118AB">
        <w:rPr>
          <w:i/>
        </w:rPr>
        <w:t>Art. </w:t>
      </w:r>
      <w:r w:rsidRPr="009118AB">
        <w:rPr>
          <w:i/>
        </w:rPr>
        <w:t xml:space="preserve">94 ersetzt durch </w:t>
      </w:r>
      <w:r w:rsidR="00D67EB8" w:rsidRPr="009118AB">
        <w:rPr>
          <w:i/>
        </w:rPr>
        <w:t>Art. </w:t>
      </w:r>
      <w:r w:rsidRPr="009118AB">
        <w:rPr>
          <w:i/>
        </w:rPr>
        <w:t>7</w:t>
      </w:r>
      <w:r w:rsidRPr="009118AB">
        <w:rPr>
          <w:i/>
          <w:iCs/>
        </w:rPr>
        <w:t xml:space="preserve"> des G. vom 11. Dezember 2008 (</w:t>
      </w:r>
      <w:r w:rsidR="00B3148A" w:rsidRPr="009118AB">
        <w:rPr>
          <w:i/>
          <w:iCs/>
        </w:rPr>
        <w:t>B.S. vom 12.</w:t>
      </w:r>
      <w:r w:rsidR="003366D9" w:rsidRPr="009118AB">
        <w:rPr>
          <w:i/>
          <w:iCs/>
        </w:rPr>
        <w:t> </w:t>
      </w:r>
      <w:r w:rsidR="00B3148A" w:rsidRPr="009118AB">
        <w:rPr>
          <w:i/>
          <w:iCs/>
        </w:rPr>
        <w:t>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00D921D0" w:rsidRPr="009118AB">
        <w:rPr>
          <w:i/>
          <w:iCs/>
        </w:rPr>
        <w:t xml:space="preserve">und abgeändert durch </w:t>
      </w:r>
      <w:r w:rsidR="00D67EB8" w:rsidRPr="009118AB">
        <w:rPr>
          <w:i/>
          <w:iCs/>
        </w:rPr>
        <w:t>Art. </w:t>
      </w:r>
      <w:r w:rsidR="00D921D0" w:rsidRPr="009118AB">
        <w:rPr>
          <w:i/>
          <w:iCs/>
        </w:rPr>
        <w:t>52</w:t>
      </w:r>
      <w:r w:rsidR="00D921D0" w:rsidRPr="009118AB">
        <w:rPr>
          <w:i/>
        </w:rPr>
        <w:t xml:space="preserve"> des G. vom 26. Dezember 2015 (II) (B.S. vom 30. Dezember 2015)</w:t>
      </w:r>
      <w:r w:rsidR="00D67EB8" w:rsidRPr="009118AB">
        <w:t> - </w:t>
      </w:r>
      <w:r w:rsidR="00D921D0"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3C287B" w:rsidRPr="009118AB">
        <w:rPr>
          <w:i/>
        </w:rPr>
        <w:t xml:space="preserve">und </w:t>
      </w:r>
      <w:r w:rsidR="00D67EB8" w:rsidRPr="009118AB">
        <w:rPr>
          <w:i/>
        </w:rPr>
        <w:t>Art. </w:t>
      </w:r>
      <w:r w:rsidR="003C287B" w:rsidRPr="009118AB">
        <w:rPr>
          <w:i/>
        </w:rPr>
        <w:t>16</w:t>
      </w:r>
      <w:r w:rsidR="003C287B" w:rsidRPr="009118AB">
        <w:rPr>
          <w:i/>
          <w:iCs/>
          <w:spacing w:val="-2"/>
        </w:rPr>
        <w:t xml:space="preserve"> des G. vom 17. März 2019 (III) (B.S. vom 10. Mai 2019)</w:t>
      </w:r>
      <w:r w:rsidR="00D67EB8" w:rsidRPr="009118AB">
        <w:rPr>
          <w:i/>
          <w:iCs/>
          <w:spacing w:val="-2"/>
        </w:rPr>
        <w:t> - </w:t>
      </w:r>
      <w:r w:rsidR="003C287B" w:rsidRPr="009118AB">
        <w:rPr>
          <w:i/>
          <w:iCs/>
          <w:spacing w:val="-2"/>
        </w:rPr>
        <w:t>in Kraft am 1. Mai 2019</w:t>
      </w:r>
      <w:r w:rsidR="00FD68E8" w:rsidRPr="009118AB">
        <w:rPr>
          <w:i/>
          <w:iCs/>
          <w:spacing w:val="-2"/>
        </w:rPr>
        <w:t> -]</w:t>
      </w:r>
    </w:p>
    <w:p w14:paraId="1B530F75" w14:textId="77777777" w:rsidR="00773B39" w:rsidRPr="009118AB" w:rsidRDefault="00773B39" w:rsidP="00477B8F">
      <w:pPr>
        <w:autoSpaceDE w:val="0"/>
        <w:autoSpaceDN w:val="0"/>
        <w:adjustRightInd w:val="0"/>
        <w:jc w:val="both"/>
        <w:rPr>
          <w:i/>
        </w:rPr>
      </w:pPr>
    </w:p>
    <w:p w14:paraId="5C84B75F" w14:textId="77777777" w:rsidR="00477B8F" w:rsidRPr="009118AB" w:rsidRDefault="00477B8F" w:rsidP="00477B8F">
      <w:pPr>
        <w:autoSpaceDE w:val="0"/>
        <w:autoSpaceDN w:val="0"/>
        <w:adjustRightInd w:val="0"/>
        <w:jc w:val="both"/>
      </w:pPr>
    </w:p>
    <w:p w14:paraId="6A7B965E" w14:textId="73312BBF" w:rsidR="00D668C5" w:rsidRPr="009118AB" w:rsidRDefault="00477B8F" w:rsidP="00D668C5">
      <w:pPr>
        <w:autoSpaceDE w:val="0"/>
        <w:autoSpaceDN w:val="0"/>
        <w:adjustRightInd w:val="0"/>
        <w:jc w:val="both"/>
        <w:rPr>
          <w:iCs/>
          <w:spacing w:val="-2"/>
        </w:rPr>
      </w:pPr>
      <w:r w:rsidRPr="009118AB">
        <w:rPr>
          <w:spacing w:val="-2"/>
        </w:rPr>
        <w:tab/>
      </w:r>
      <w:r w:rsidR="00D67EB8" w:rsidRPr="009118AB">
        <w:rPr>
          <w:b/>
          <w:bCs/>
          <w:spacing w:val="-2"/>
        </w:rPr>
        <w:t>Art. </w:t>
      </w:r>
      <w:r w:rsidRPr="009118AB">
        <w:rPr>
          <w:b/>
          <w:bCs/>
          <w:spacing w:val="-2"/>
        </w:rPr>
        <w:t>95</w:t>
      </w:r>
      <w:r w:rsidR="00D67EB8" w:rsidRPr="009118AB">
        <w:rPr>
          <w:spacing w:val="-2"/>
        </w:rPr>
        <w:t> - </w:t>
      </w:r>
      <w:r w:rsidR="00D668C5" w:rsidRPr="009118AB">
        <w:rPr>
          <w:iCs/>
          <w:spacing w:val="-2"/>
        </w:rPr>
        <w:t xml:space="preserve">[Ungeachtet der Bestimmungen von </w:t>
      </w:r>
      <w:r w:rsidR="00750CF7" w:rsidRPr="009118AB">
        <w:rPr>
          <w:spacing w:val="-2"/>
        </w:rPr>
        <w:t xml:space="preserve">[Artikel 90 Absatz 1 </w:t>
      </w:r>
      <w:r w:rsidR="00D67EB8" w:rsidRPr="009118AB">
        <w:rPr>
          <w:spacing w:val="-2"/>
        </w:rPr>
        <w:t>Nr. </w:t>
      </w:r>
      <w:r w:rsidR="00750CF7" w:rsidRPr="009118AB">
        <w:rPr>
          <w:spacing w:val="-2"/>
        </w:rPr>
        <w:t xml:space="preserve">9] </w:t>
      </w:r>
      <w:r w:rsidR="00D668C5" w:rsidRPr="009118AB">
        <w:rPr>
          <w:iCs/>
          <w:spacing w:val="-2"/>
        </w:rPr>
        <w:t>sind Mehr</w:t>
      </w:r>
      <w:r w:rsidR="00750CF7" w:rsidRPr="009118AB">
        <w:rPr>
          <w:iCs/>
          <w:spacing w:val="-2"/>
        </w:rPr>
        <w:softHyphen/>
      </w:r>
      <w:r w:rsidR="00D668C5" w:rsidRPr="009118AB">
        <w:rPr>
          <w:iCs/>
          <w:spacing w:val="-2"/>
        </w:rPr>
        <w:t>werte auf Aktien oder Anteile von inländischen oder innereuropäischen Gesellschaften in dem Maße zeitweilig steuerfrei, wie sie anlässlich einer Fusion, einer Aufspaltung, eines mit einer Fusion oder Aufspaltung gleichgesetzten Vorgangs, einer Umwandlung von Gesellschaften oder der Einbringung dieser Aktien oder Anteile in eine inländische Gesellschaft oder eine inner</w:t>
      </w:r>
      <w:r w:rsidR="00D668C5" w:rsidRPr="009118AB">
        <w:rPr>
          <w:iCs/>
          <w:spacing w:val="-2"/>
        </w:rPr>
        <w:softHyphen/>
        <w:t>europäische Gesellschaft verwirklicht werden, unter der Bedingung:</w:t>
      </w:r>
    </w:p>
    <w:p w14:paraId="224492B4" w14:textId="77777777" w:rsidR="00D668C5" w:rsidRPr="009118AB" w:rsidRDefault="00D668C5" w:rsidP="00D668C5">
      <w:pPr>
        <w:autoSpaceDE w:val="0"/>
        <w:autoSpaceDN w:val="0"/>
        <w:adjustRightInd w:val="0"/>
        <w:jc w:val="both"/>
        <w:rPr>
          <w:iCs/>
        </w:rPr>
      </w:pPr>
    </w:p>
    <w:p w14:paraId="3BBCD537" w14:textId="77777777" w:rsidR="00D668C5" w:rsidRPr="009118AB" w:rsidRDefault="002F0502" w:rsidP="00D668C5">
      <w:pPr>
        <w:autoSpaceDE w:val="0"/>
        <w:autoSpaceDN w:val="0"/>
        <w:adjustRightInd w:val="0"/>
        <w:jc w:val="both"/>
        <w:rPr>
          <w:iCs/>
        </w:rPr>
      </w:pPr>
      <w:r w:rsidRPr="009118AB">
        <w:rPr>
          <w:iCs/>
        </w:rPr>
        <w:tab/>
      </w:r>
      <w:r w:rsidR="00D668C5" w:rsidRPr="009118AB">
        <w:rPr>
          <w:iCs/>
        </w:rPr>
        <w:t>- dass die Aktien oder Anteile gegen neue Aktien oder Anteile umgetauscht werden, die von der Gesellschaft ausgegeben werden, zu deren Gunsten die Einbringung erfolgt, gege</w:t>
      </w:r>
      <w:r w:rsidR="00D668C5" w:rsidRPr="009118AB">
        <w:rPr>
          <w:iCs/>
        </w:rPr>
        <w:softHyphen/>
        <w:t>benenfalls mit einer baren Zuzahlung, die 10 Prozent des Nennwertes oder mangels Nennwert des rechnerischen Wertes der neu ausgegebenen Aktien oder Anteile nicht überschreitet,</w:t>
      </w:r>
    </w:p>
    <w:p w14:paraId="564C5FF1" w14:textId="77777777" w:rsidR="00D668C5" w:rsidRPr="009118AB" w:rsidRDefault="00D668C5" w:rsidP="00D668C5">
      <w:pPr>
        <w:autoSpaceDE w:val="0"/>
        <w:autoSpaceDN w:val="0"/>
        <w:adjustRightInd w:val="0"/>
        <w:jc w:val="both"/>
        <w:rPr>
          <w:iCs/>
        </w:rPr>
      </w:pPr>
    </w:p>
    <w:p w14:paraId="4B098CE6" w14:textId="7C71A53E" w:rsidR="00D668C5" w:rsidRPr="009118AB" w:rsidRDefault="002F0502" w:rsidP="00D668C5">
      <w:pPr>
        <w:autoSpaceDE w:val="0"/>
        <w:autoSpaceDN w:val="0"/>
        <w:adjustRightInd w:val="0"/>
        <w:jc w:val="both"/>
        <w:rPr>
          <w:iCs/>
        </w:rPr>
      </w:pPr>
      <w:r w:rsidRPr="009118AB">
        <w:rPr>
          <w:iCs/>
        </w:rPr>
        <w:tab/>
      </w:r>
      <w:r w:rsidR="00D668C5" w:rsidRPr="009118AB">
        <w:rPr>
          <w:iCs/>
        </w:rPr>
        <w:t>- und dass die begünstigte Gesellschaft insgesamt mehr als 50 Prozent der Stimm</w:t>
      </w:r>
      <w:r w:rsidR="00D668C5" w:rsidRPr="009118AB">
        <w:rPr>
          <w:iCs/>
        </w:rPr>
        <w:softHyphen/>
        <w:t>rechte an der Gesellschaft erwirbt, deren Aktien oder Anteile eingebracht werden, oder dass sie</w:t>
      </w:r>
      <w:r w:rsidR="00D67EB8" w:rsidRPr="009118AB">
        <w:rPr>
          <w:iCs/>
        </w:rPr>
        <w:t> - </w:t>
      </w:r>
      <w:r w:rsidR="00D668C5" w:rsidRPr="009118AB">
        <w:rPr>
          <w:iCs/>
        </w:rPr>
        <w:t>sofern sie die Mehrheit der Stimmrechte bereits hält</w:t>
      </w:r>
      <w:r w:rsidR="00D67EB8" w:rsidRPr="009118AB">
        <w:rPr>
          <w:iCs/>
        </w:rPr>
        <w:t> - </w:t>
      </w:r>
      <w:r w:rsidR="00D668C5" w:rsidRPr="009118AB">
        <w:rPr>
          <w:iCs/>
        </w:rPr>
        <w:t>ihre Beteiligung erhöht</w:t>
      </w:r>
      <w:r w:rsidR="003C287B" w:rsidRPr="009118AB">
        <w:rPr>
          <w:iCs/>
        </w:rPr>
        <w:t>[</w:t>
      </w:r>
      <w:r w:rsidR="003C287B" w:rsidRPr="009118AB">
        <w:t xml:space="preserve">; ist die Gesellschaft, zu deren Gunsten die Einbringung erfolgt, eine in Artikel 2 </w:t>
      </w:r>
      <w:r w:rsidR="00D67EB8" w:rsidRPr="009118AB">
        <w:t>§ </w:t>
      </w:r>
      <w:r w:rsidR="003C287B" w:rsidRPr="009118AB">
        <w:t xml:space="preserve">1 </w:t>
      </w:r>
      <w:r w:rsidR="00D67EB8" w:rsidRPr="009118AB">
        <w:t>Nr. </w:t>
      </w:r>
      <w:r w:rsidR="003C287B" w:rsidRPr="009118AB">
        <w:t>6 Buchstabe </w:t>
      </w:r>
      <w:r w:rsidR="003C287B" w:rsidRPr="009118AB">
        <w:rPr>
          <w:i/>
          <w:iCs/>
        </w:rPr>
        <w:t>a)</w:t>
      </w:r>
      <w:r w:rsidR="003C287B" w:rsidRPr="009118AB">
        <w:t xml:space="preserve"> </w:t>
      </w:r>
      <w:r w:rsidR="00D67EB8" w:rsidRPr="009118AB">
        <w:t>Nr. </w:t>
      </w:r>
      <w:r w:rsidR="003C287B" w:rsidRPr="009118AB">
        <w:t>2 erwähnte Gesellschaft, ist unter dem rechnerischen Wert der Einlagewert</w:t>
      </w:r>
      <w:r w:rsidR="00D67EB8" w:rsidRPr="009118AB">
        <w:t> - </w:t>
      </w:r>
      <w:r w:rsidR="003C287B" w:rsidRPr="009118AB">
        <w:t>so wie er aus dem Jahresabschluss hervorgeht</w:t>
      </w:r>
      <w:r w:rsidR="00D67EB8" w:rsidRPr="009118AB">
        <w:t> - </w:t>
      </w:r>
      <w:r w:rsidR="003C287B" w:rsidRPr="009118AB">
        <w:t xml:space="preserve">aller von den Aktionären gewährten Geld- oder Sacheinlagen, die keine Einlagen von Dienstleistungen sind, zu verstehen, gegebenenfalls erhöht um die Rücklagen, die den Aktionären aufgrund einer Satzungsbestimmung nur nach Satzungsänderung ausgeschüttet werden können; dieser Gesamtwert wird </w:t>
      </w:r>
      <w:r w:rsidR="00026ABC" w:rsidRPr="009118AB">
        <w:t>durch die Anzahl Aktien geteilt</w:t>
      </w:r>
      <w:r w:rsidR="003C287B" w:rsidRPr="009118AB">
        <w:rPr>
          <w:iCs/>
        </w:rPr>
        <w:t>]</w:t>
      </w:r>
      <w:r w:rsidR="00D668C5" w:rsidRPr="009118AB">
        <w:rPr>
          <w:iCs/>
        </w:rPr>
        <w:t>.</w:t>
      </w:r>
    </w:p>
    <w:p w14:paraId="486F200E" w14:textId="77777777" w:rsidR="00D668C5" w:rsidRPr="009118AB" w:rsidRDefault="00D668C5" w:rsidP="00D668C5">
      <w:pPr>
        <w:autoSpaceDE w:val="0"/>
        <w:autoSpaceDN w:val="0"/>
        <w:adjustRightInd w:val="0"/>
        <w:jc w:val="both"/>
        <w:rPr>
          <w:iCs/>
        </w:rPr>
      </w:pPr>
    </w:p>
    <w:p w14:paraId="6A2DA462" w14:textId="77777777" w:rsidR="00D668C5" w:rsidRPr="009118AB" w:rsidRDefault="002F0502" w:rsidP="00D668C5">
      <w:pPr>
        <w:autoSpaceDE w:val="0"/>
        <w:autoSpaceDN w:val="0"/>
        <w:adjustRightInd w:val="0"/>
        <w:jc w:val="both"/>
        <w:rPr>
          <w:iCs/>
        </w:rPr>
      </w:pPr>
      <w:r w:rsidRPr="009118AB">
        <w:rPr>
          <w:iCs/>
        </w:rPr>
        <w:tab/>
      </w:r>
      <w:r w:rsidR="00D668C5" w:rsidRPr="009118AB">
        <w:rPr>
          <w:iCs/>
        </w:rPr>
        <w:t>Die Steuerbefreiung ist nur anwendbar, wenn der Vorgang den Bestimmungen von Artikel 183</w:t>
      </w:r>
      <w:r w:rsidR="00D668C5" w:rsidRPr="009118AB">
        <w:rPr>
          <w:i/>
          <w:iCs/>
        </w:rPr>
        <w:t>bis</w:t>
      </w:r>
      <w:r w:rsidR="00D668C5" w:rsidRPr="009118AB">
        <w:rPr>
          <w:iCs/>
        </w:rPr>
        <w:t xml:space="preserve"> entspricht.</w:t>
      </w:r>
    </w:p>
    <w:p w14:paraId="740821A2" w14:textId="77777777" w:rsidR="00D668C5" w:rsidRPr="009118AB" w:rsidRDefault="00D668C5" w:rsidP="00D668C5">
      <w:pPr>
        <w:autoSpaceDE w:val="0"/>
        <w:autoSpaceDN w:val="0"/>
        <w:adjustRightInd w:val="0"/>
        <w:jc w:val="both"/>
        <w:rPr>
          <w:iCs/>
        </w:rPr>
      </w:pPr>
    </w:p>
    <w:p w14:paraId="76FF427A" w14:textId="77777777" w:rsidR="00D668C5" w:rsidRPr="009118AB" w:rsidRDefault="002F0502" w:rsidP="00D668C5">
      <w:pPr>
        <w:autoSpaceDE w:val="0"/>
        <w:autoSpaceDN w:val="0"/>
        <w:adjustRightInd w:val="0"/>
        <w:jc w:val="both"/>
        <w:rPr>
          <w:iCs/>
        </w:rPr>
      </w:pPr>
      <w:r w:rsidRPr="009118AB">
        <w:rPr>
          <w:iCs/>
        </w:rPr>
        <w:tab/>
      </w:r>
      <w:r w:rsidR="00D668C5" w:rsidRPr="009118AB">
        <w:rPr>
          <w:iCs/>
        </w:rPr>
        <w:t>Die Aufrechterhaltung der Steuerbefreiung unterliegt der Bedingung, dass der Steuer</w:t>
      </w:r>
      <w:r w:rsidR="00D668C5" w:rsidRPr="009118AB">
        <w:rPr>
          <w:iCs/>
        </w:rPr>
        <w:softHyphen/>
        <w:t>pflichtige bei seinen Erklärungen zur Steuer der natürlichen Personen, die der Erklärung folgen, in der der Vorgang angegeben ist, den Nachweis erbringt, dass er weiterhin im Besitz der erhaltenen Anteile oder Aktien ist und dass sie nicht Gegenstand einer vollständigen Rückzahlung oder einer Teilrückzahlung waren.</w:t>
      </w:r>
    </w:p>
    <w:p w14:paraId="39A641A0" w14:textId="77777777" w:rsidR="00D668C5" w:rsidRPr="009118AB" w:rsidRDefault="00D668C5" w:rsidP="00D668C5">
      <w:pPr>
        <w:autoSpaceDE w:val="0"/>
        <w:autoSpaceDN w:val="0"/>
        <w:adjustRightInd w:val="0"/>
        <w:jc w:val="both"/>
        <w:rPr>
          <w:iCs/>
        </w:rPr>
      </w:pPr>
    </w:p>
    <w:p w14:paraId="3A3061FB" w14:textId="77777777" w:rsidR="00D668C5" w:rsidRPr="009118AB" w:rsidRDefault="002F0502" w:rsidP="00D668C5">
      <w:pPr>
        <w:autoSpaceDE w:val="0"/>
        <w:autoSpaceDN w:val="0"/>
        <w:adjustRightInd w:val="0"/>
        <w:jc w:val="both"/>
        <w:rPr>
          <w:iCs/>
          <w:spacing w:val="-2"/>
        </w:rPr>
      </w:pPr>
      <w:r w:rsidRPr="009118AB">
        <w:rPr>
          <w:iCs/>
          <w:spacing w:val="-2"/>
        </w:rPr>
        <w:tab/>
      </w:r>
      <w:r w:rsidR="00D668C5" w:rsidRPr="009118AB">
        <w:rPr>
          <w:iCs/>
          <w:spacing w:val="-2"/>
        </w:rPr>
        <w:t>Der verwirklichte Mehr- oder Minderwert entspricht der Differenz zwischen dem Real</w:t>
      </w:r>
      <w:r w:rsidR="00750CF7" w:rsidRPr="009118AB">
        <w:rPr>
          <w:iCs/>
          <w:spacing w:val="-2"/>
        </w:rPr>
        <w:softHyphen/>
      </w:r>
      <w:r w:rsidR="00D668C5" w:rsidRPr="009118AB">
        <w:rPr>
          <w:iCs/>
          <w:spacing w:val="-2"/>
        </w:rPr>
        <w:t>wert der erhaltenen Aktien oder Anteile und dem Anschaffungswert der ursprünglich gehalte</w:t>
      </w:r>
      <w:r w:rsidR="00750CF7" w:rsidRPr="009118AB">
        <w:rPr>
          <w:iCs/>
          <w:spacing w:val="-2"/>
        </w:rPr>
        <w:softHyphen/>
      </w:r>
      <w:r w:rsidR="00D668C5" w:rsidRPr="009118AB">
        <w:rPr>
          <w:iCs/>
          <w:spacing w:val="-2"/>
        </w:rPr>
        <w:t>nen Aktien oder Anteile. Er gilt als steuerpflichtiges Einkommen des Besteuerungs</w:t>
      </w:r>
      <w:r w:rsidR="00D668C5" w:rsidRPr="009118AB">
        <w:rPr>
          <w:iCs/>
          <w:spacing w:val="-2"/>
        </w:rPr>
        <w:softHyphen/>
        <w:t>zeitraums, in dem die Bedingung des Besitzes der betreffenden Aktien oder Anteile nicht mehr erfüllt wird.]</w:t>
      </w:r>
    </w:p>
    <w:p w14:paraId="6D2B9F44" w14:textId="77777777" w:rsidR="00D668C5" w:rsidRPr="009118AB" w:rsidRDefault="00D668C5" w:rsidP="00D668C5">
      <w:pPr>
        <w:autoSpaceDE w:val="0"/>
        <w:autoSpaceDN w:val="0"/>
        <w:adjustRightInd w:val="0"/>
        <w:jc w:val="both"/>
        <w:rPr>
          <w:iCs/>
        </w:rPr>
      </w:pPr>
    </w:p>
    <w:p w14:paraId="3D89DFAD" w14:textId="19D7AD6B" w:rsidR="00D668C5" w:rsidRPr="009118AB" w:rsidRDefault="00D668C5" w:rsidP="00D668C5">
      <w:pPr>
        <w:autoSpaceDE w:val="0"/>
        <w:autoSpaceDN w:val="0"/>
        <w:adjustRightInd w:val="0"/>
        <w:jc w:val="both"/>
        <w:rPr>
          <w:iCs/>
        </w:rPr>
      </w:pPr>
      <w:r w:rsidRPr="009118AB">
        <w:rPr>
          <w:i/>
          <w:iCs/>
        </w:rPr>
        <w:t>[</w:t>
      </w:r>
      <w:r w:rsidR="00D67EB8" w:rsidRPr="009118AB">
        <w:rPr>
          <w:i/>
          <w:iCs/>
        </w:rPr>
        <w:t>Art. </w:t>
      </w:r>
      <w:r w:rsidRPr="009118AB">
        <w:rPr>
          <w:i/>
          <w:iCs/>
        </w:rPr>
        <w:t xml:space="preserve">95 ersetzt durch </w:t>
      </w:r>
      <w:r w:rsidR="00D67EB8" w:rsidRPr="009118AB">
        <w:rPr>
          <w:i/>
          <w:iCs/>
        </w:rPr>
        <w:t>Art. </w:t>
      </w:r>
      <w:r w:rsidRPr="009118AB">
        <w:rPr>
          <w:i/>
          <w:iCs/>
        </w:rPr>
        <w:t>8 des G. vom 11. Dezember 20</w:t>
      </w:r>
      <w:r w:rsidR="00B3148A" w:rsidRPr="009118AB">
        <w:rPr>
          <w:i/>
          <w:iCs/>
        </w:rPr>
        <w:t>08 (B.S. vom 12.</w:t>
      </w:r>
      <w:r w:rsidR="003366D9" w:rsidRPr="009118AB">
        <w:rPr>
          <w:i/>
          <w:iCs/>
        </w:rPr>
        <w:t> </w:t>
      </w:r>
      <w:r w:rsidR="00B3148A" w:rsidRPr="009118AB">
        <w:rPr>
          <w:i/>
          <w:iCs/>
        </w:rPr>
        <w:t>Januar 2009)</w:t>
      </w:r>
      <w:r w:rsidR="00D67EB8" w:rsidRPr="009118AB">
        <w:rPr>
          <w:i/>
          <w:iCs/>
        </w:rPr>
        <w:t> - </w:t>
      </w:r>
      <w:r w:rsidRPr="009118AB">
        <w:rPr>
          <w:i/>
          <w:iCs/>
        </w:rPr>
        <w:t>anwendbar auf Vorgänge oder Verlegungen, die ab dem 12. Januar 2009 statt</w:t>
      </w:r>
      <w:r w:rsidRPr="009118AB">
        <w:rPr>
          <w:i/>
          <w:iCs/>
        </w:rPr>
        <w:softHyphen/>
        <w:t>finden</w:t>
      </w:r>
      <w:r w:rsidR="003366D9" w:rsidRPr="009118AB">
        <w:rPr>
          <w:i/>
          <w:iCs/>
        </w:rPr>
        <w:t> -;</w:t>
      </w:r>
      <w:r w:rsidR="00750CF7" w:rsidRPr="009118AB">
        <w:rPr>
          <w:i/>
          <w:iCs/>
        </w:rPr>
        <w:t xml:space="preserve"> </w:t>
      </w:r>
      <w:r w:rsidR="00D67EB8" w:rsidRPr="009118AB">
        <w:rPr>
          <w:i/>
          <w:iCs/>
        </w:rPr>
        <w:t>Abs. </w:t>
      </w:r>
      <w:r w:rsidR="00750CF7" w:rsidRPr="009118AB">
        <w:rPr>
          <w:i/>
          <w:iCs/>
        </w:rPr>
        <w:t xml:space="preserve">1 </w:t>
      </w:r>
      <w:r w:rsidR="006C3154" w:rsidRPr="009118AB">
        <w:rPr>
          <w:i/>
          <w:iCs/>
        </w:rPr>
        <w:t xml:space="preserve">einleitende Bestimmung </w:t>
      </w:r>
      <w:r w:rsidR="00750CF7" w:rsidRPr="009118AB">
        <w:rPr>
          <w:i/>
          <w:iCs/>
        </w:rPr>
        <w:t xml:space="preserve">abgeändert durch </w:t>
      </w:r>
      <w:r w:rsidR="00D67EB8" w:rsidRPr="009118AB">
        <w:rPr>
          <w:i/>
          <w:iCs/>
        </w:rPr>
        <w:t>Art. </w:t>
      </w:r>
      <w:r w:rsidR="00750CF7" w:rsidRPr="009118AB">
        <w:rPr>
          <w:i/>
          <w:iCs/>
        </w:rPr>
        <w:t>53</w:t>
      </w:r>
      <w:r w:rsidR="00750CF7" w:rsidRPr="009118AB">
        <w:rPr>
          <w:i/>
        </w:rPr>
        <w:t xml:space="preserve"> des G. vom 26. Dezember 2015 (II) (B.S. vom 30. Dezember 2015)</w:t>
      </w:r>
      <w:r w:rsidR="00D67EB8" w:rsidRPr="009118AB">
        <w:t> - </w:t>
      </w:r>
      <w:r w:rsidR="00750CF7"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8D7185" w:rsidRPr="009118AB">
        <w:rPr>
          <w:i/>
        </w:rPr>
        <w:t xml:space="preserve">und </w:t>
      </w:r>
      <w:r w:rsidR="00D67EB8" w:rsidRPr="009118AB">
        <w:rPr>
          <w:i/>
        </w:rPr>
        <w:t>Art. </w:t>
      </w:r>
      <w:r w:rsidR="008D7185" w:rsidRPr="009118AB">
        <w:rPr>
          <w:i/>
        </w:rPr>
        <w:t>77 des G. vom 25. Dezember 2016</w:t>
      </w:r>
      <w:r w:rsidR="001022BB" w:rsidRPr="009118AB">
        <w:rPr>
          <w:i/>
        </w:rPr>
        <w:t> (I)</w:t>
      </w:r>
      <w:r w:rsidR="008D7185" w:rsidRPr="009118AB">
        <w:rPr>
          <w:i/>
        </w:rPr>
        <w:t xml:space="preserve"> (B.S. vom 29. Dezember 2016)</w:t>
      </w:r>
      <w:r w:rsidR="00D67EB8" w:rsidRPr="009118AB">
        <w:rPr>
          <w:i/>
        </w:rPr>
        <w:t> - </w:t>
      </w:r>
      <w:r w:rsidR="008D7185" w:rsidRPr="009118AB">
        <w:rPr>
          <w:i/>
        </w:rPr>
        <w:t>in Kraft am 1. Januar 2017 und anwendbar auf die ab dem 1. Januar 2017 verwirklichten Mehrwerte</w:t>
      </w:r>
      <w:r w:rsidR="003366D9" w:rsidRPr="009118AB">
        <w:t> -;</w:t>
      </w:r>
      <w:r w:rsidR="003C287B" w:rsidRPr="009118AB">
        <w:rPr>
          <w:i/>
        </w:rPr>
        <w:t xml:space="preserve"> </w:t>
      </w:r>
      <w:r w:rsidR="00D67EB8" w:rsidRPr="009118AB">
        <w:rPr>
          <w:i/>
        </w:rPr>
        <w:t>Abs. </w:t>
      </w:r>
      <w:r w:rsidR="003C287B" w:rsidRPr="009118AB">
        <w:rPr>
          <w:i/>
        </w:rPr>
        <w:t xml:space="preserve">1 zweiter Gedankenstrich ergänzt durch </w:t>
      </w:r>
      <w:r w:rsidR="00D67EB8" w:rsidRPr="009118AB">
        <w:rPr>
          <w:i/>
        </w:rPr>
        <w:t>Art. </w:t>
      </w:r>
      <w:r w:rsidR="003C287B" w:rsidRPr="009118AB">
        <w:rPr>
          <w:i/>
        </w:rPr>
        <w:t>17</w:t>
      </w:r>
      <w:r w:rsidR="003C287B" w:rsidRPr="009118AB">
        <w:rPr>
          <w:i/>
          <w:iCs/>
          <w:spacing w:val="-2"/>
        </w:rPr>
        <w:t xml:space="preserve"> des G. vom 17. März 2019 (III) (B.S. vom 10. Mai 2019)</w:t>
      </w:r>
      <w:r w:rsidR="00D67EB8" w:rsidRPr="009118AB">
        <w:rPr>
          <w:i/>
          <w:iCs/>
          <w:spacing w:val="-2"/>
        </w:rPr>
        <w:t> - </w:t>
      </w:r>
      <w:r w:rsidR="003C287B" w:rsidRPr="009118AB">
        <w:rPr>
          <w:i/>
          <w:iCs/>
          <w:spacing w:val="-2"/>
        </w:rPr>
        <w:t>in Kraft am 1. Mai 2019</w:t>
      </w:r>
      <w:r w:rsidR="00FD68E8" w:rsidRPr="009118AB">
        <w:rPr>
          <w:i/>
          <w:iCs/>
          <w:spacing w:val="-2"/>
        </w:rPr>
        <w:t> -]</w:t>
      </w:r>
    </w:p>
    <w:p w14:paraId="6D56BFF2" w14:textId="77777777" w:rsidR="00D668C5" w:rsidRPr="009118AB" w:rsidRDefault="00D668C5" w:rsidP="00D668C5">
      <w:pPr>
        <w:autoSpaceDE w:val="0"/>
        <w:autoSpaceDN w:val="0"/>
        <w:adjustRightInd w:val="0"/>
        <w:jc w:val="both"/>
        <w:rPr>
          <w:iCs/>
        </w:rPr>
      </w:pPr>
    </w:p>
    <w:p w14:paraId="340E876C" w14:textId="77777777" w:rsidR="00D668C5" w:rsidRPr="009118AB" w:rsidRDefault="00D668C5" w:rsidP="00477B8F">
      <w:pPr>
        <w:autoSpaceDE w:val="0"/>
        <w:autoSpaceDN w:val="0"/>
        <w:adjustRightInd w:val="0"/>
        <w:jc w:val="both"/>
      </w:pPr>
    </w:p>
    <w:p w14:paraId="2C6E1247" w14:textId="43D97FDA" w:rsidR="00D668C5" w:rsidRPr="009118AB" w:rsidRDefault="00477B8F" w:rsidP="00D668C5">
      <w:pPr>
        <w:autoSpaceDE w:val="0"/>
        <w:autoSpaceDN w:val="0"/>
        <w:adjustRightInd w:val="0"/>
        <w:jc w:val="both"/>
        <w:rPr>
          <w:iCs/>
        </w:rPr>
      </w:pPr>
      <w:r w:rsidRPr="009118AB">
        <w:tab/>
      </w:r>
      <w:r w:rsidR="00D67EB8" w:rsidRPr="009118AB">
        <w:rPr>
          <w:b/>
          <w:bCs/>
        </w:rPr>
        <w:t>Art. </w:t>
      </w:r>
      <w:r w:rsidRPr="009118AB">
        <w:rPr>
          <w:b/>
          <w:bCs/>
        </w:rPr>
        <w:t>96</w:t>
      </w:r>
      <w:r w:rsidR="00D67EB8" w:rsidRPr="009118AB">
        <w:t> - </w:t>
      </w:r>
      <w:r w:rsidR="00D668C5" w:rsidRPr="009118AB">
        <w:rPr>
          <w:iCs/>
        </w:rPr>
        <w:t xml:space="preserve">[Sofern die in Artikel 95 erwähnte zeitweilige Steuerbefreiung anwendbar ist, sind </w:t>
      </w:r>
      <w:r w:rsidR="007E6742" w:rsidRPr="009118AB">
        <w:rPr>
          <w:iCs/>
        </w:rPr>
        <w:t>[</w:t>
      </w:r>
      <w:r w:rsidR="007E6742" w:rsidRPr="009118AB">
        <w:t xml:space="preserve">die Artikel 90 Absatz 1 </w:t>
      </w:r>
      <w:r w:rsidR="00D67EB8" w:rsidRPr="009118AB">
        <w:t>Nr. </w:t>
      </w:r>
      <w:r w:rsidR="007E6742" w:rsidRPr="009118AB">
        <w:t>9, 94 und 95</w:t>
      </w:r>
      <w:r w:rsidR="007E6742" w:rsidRPr="009118AB">
        <w:rPr>
          <w:iCs/>
        </w:rPr>
        <w:t>]</w:t>
      </w:r>
      <w:r w:rsidR="00D668C5" w:rsidRPr="009118AB">
        <w:rPr>
          <w:iCs/>
        </w:rPr>
        <w:t xml:space="preserve"> auf Aktien oder Anteile, die anlässlich einer Fusion, einer Aufspaltung, eines mit einer Fusion oder Aufspaltung gleichgesetzten Vorgangs oder einer Umwandlung von Gesellschaften durch Umtausch erhalten werden, anwendbar, als ob der Umtausch nicht stattgefunden hätte.</w:t>
      </w:r>
    </w:p>
    <w:p w14:paraId="15BFF1AE" w14:textId="77777777" w:rsidR="00D668C5" w:rsidRPr="009118AB" w:rsidRDefault="00D668C5" w:rsidP="00D668C5">
      <w:pPr>
        <w:autoSpaceDE w:val="0"/>
        <w:autoSpaceDN w:val="0"/>
        <w:adjustRightInd w:val="0"/>
        <w:jc w:val="both"/>
        <w:rPr>
          <w:iCs/>
        </w:rPr>
      </w:pPr>
    </w:p>
    <w:p w14:paraId="7FA7696A" w14:textId="66D9E5AE" w:rsidR="00D668C5" w:rsidRPr="009118AB" w:rsidRDefault="002F0502" w:rsidP="00D668C5">
      <w:pPr>
        <w:autoSpaceDE w:val="0"/>
        <w:autoSpaceDN w:val="0"/>
        <w:adjustRightInd w:val="0"/>
        <w:jc w:val="both"/>
        <w:rPr>
          <w:iCs/>
          <w:spacing w:val="-2"/>
        </w:rPr>
      </w:pPr>
      <w:r w:rsidRPr="009118AB">
        <w:rPr>
          <w:iCs/>
          <w:spacing w:val="-2"/>
        </w:rPr>
        <w:tab/>
      </w:r>
      <w:r w:rsidR="00D668C5" w:rsidRPr="009118AB">
        <w:rPr>
          <w:iCs/>
          <w:spacing w:val="-2"/>
        </w:rPr>
        <w:t>In diesem Fall werden Mehr- oder Minderwerte auf Aktien oder Anteile, die durch Umtausch erhalten werden, bestimmt unter Berücksichtigung des Anschaffungs- oder Investi</w:t>
      </w:r>
      <w:r w:rsidR="00D668C5" w:rsidRPr="009118AB">
        <w:rPr>
          <w:iCs/>
          <w:spacing w:val="-2"/>
        </w:rPr>
        <w:softHyphen/>
        <w:t xml:space="preserve">tionswertes der umgetauschten Aktien oder Anteile, eventuell erhöht um die besteuerten Mehrwerte oder verringert um die vor und nach dem Umtausch zugelassenen Minderwerte. Für die Anwendung von </w:t>
      </w:r>
      <w:r w:rsidR="007E6742" w:rsidRPr="009118AB">
        <w:rPr>
          <w:spacing w:val="-2"/>
        </w:rPr>
        <w:t xml:space="preserve">[Artikel 90 Absatz 1 </w:t>
      </w:r>
      <w:r w:rsidR="00D67EB8" w:rsidRPr="009118AB">
        <w:rPr>
          <w:spacing w:val="-2"/>
        </w:rPr>
        <w:t>Nr. </w:t>
      </w:r>
      <w:r w:rsidR="007E6742" w:rsidRPr="009118AB">
        <w:rPr>
          <w:spacing w:val="-2"/>
        </w:rPr>
        <w:t xml:space="preserve">9] </w:t>
      </w:r>
      <w:r w:rsidR="00D668C5" w:rsidRPr="009118AB">
        <w:rPr>
          <w:iCs/>
          <w:spacing w:val="-2"/>
        </w:rPr>
        <w:t>gelten Aktien oder Anteile, die durch Umtausch erhalten werden, als am Erwerbsdatum der umgetauschten Aktien oder Anteile erworben.</w:t>
      </w:r>
    </w:p>
    <w:p w14:paraId="5483F31B" w14:textId="77777777" w:rsidR="00D668C5" w:rsidRPr="009118AB" w:rsidRDefault="00D668C5" w:rsidP="00D668C5">
      <w:pPr>
        <w:autoSpaceDE w:val="0"/>
        <w:autoSpaceDN w:val="0"/>
        <w:adjustRightInd w:val="0"/>
        <w:jc w:val="both"/>
        <w:rPr>
          <w:iCs/>
        </w:rPr>
      </w:pPr>
    </w:p>
    <w:p w14:paraId="6512265A" w14:textId="6315C66C" w:rsidR="00D668C5" w:rsidRPr="009118AB" w:rsidRDefault="002F0502" w:rsidP="00D668C5">
      <w:pPr>
        <w:autoSpaceDE w:val="0"/>
        <w:autoSpaceDN w:val="0"/>
        <w:adjustRightInd w:val="0"/>
        <w:jc w:val="both"/>
        <w:rPr>
          <w:iCs/>
        </w:rPr>
      </w:pPr>
      <w:r w:rsidRPr="009118AB">
        <w:rPr>
          <w:iCs/>
        </w:rPr>
        <w:tab/>
      </w:r>
      <w:r w:rsidR="00D668C5" w:rsidRPr="009118AB">
        <w:rPr>
          <w:iCs/>
        </w:rPr>
        <w:t>Im Falle einer Aufspaltung ist der Nettosteuerwert der von jeder der begünstigten Gesellschaften erhaltenen Aktien oder Anteile proportional zum Realwert der von den begünstigten Gesellschaften erhaltenen Einbringungen im Verhältnis zum Realwert der aufgespaltenen Gesellschaft. Im Falle eines mit einer Aufspaltung gleichgesetzten Vorgangs entspricht die Gesamtheit des Nettosteuerwertes der Aktien oder Anteile der aufgespaltenen Gesellschaft und der erhaltenen Aktien oder Anteile dem Nettosteuerwert, den die Aktien oder Anteile der aufgespaltenen Gesellschaft unmittelbar vor der Abspaltung hatten. Der Nettosteuerwert der durch Umtausch erhaltenen Aktien oder Anteile ist proportional zum Realwert der Einbringung im Verhältnis zum Gesamtrealwert der aufgespaltenen Gesellschaft vor dem Vorgang. Diesbezüglich wird der Vorgang in Bezug auf einen mit der Aufspaltung gleichgesetzten Vorgang für den Aktionär mit dem Umtausch von Aktien oder Anteilen im Falle einer Aufspaltung gleichgesetzt.]</w:t>
      </w:r>
    </w:p>
    <w:p w14:paraId="045638D8" w14:textId="77777777" w:rsidR="00D668C5" w:rsidRPr="009118AB" w:rsidRDefault="00D668C5" w:rsidP="00D668C5">
      <w:pPr>
        <w:autoSpaceDE w:val="0"/>
        <w:autoSpaceDN w:val="0"/>
        <w:adjustRightInd w:val="0"/>
        <w:jc w:val="both"/>
        <w:rPr>
          <w:iCs/>
        </w:rPr>
      </w:pPr>
    </w:p>
    <w:p w14:paraId="7ACF6A64" w14:textId="5209376A" w:rsidR="00D668C5" w:rsidRPr="009118AB" w:rsidRDefault="00D668C5" w:rsidP="00D668C5">
      <w:pPr>
        <w:autoSpaceDE w:val="0"/>
        <w:autoSpaceDN w:val="0"/>
        <w:adjustRightInd w:val="0"/>
        <w:jc w:val="both"/>
        <w:rPr>
          <w:iCs/>
        </w:rPr>
      </w:pPr>
      <w:r w:rsidRPr="009118AB">
        <w:rPr>
          <w:i/>
          <w:iCs/>
        </w:rPr>
        <w:t>[</w:t>
      </w:r>
      <w:r w:rsidR="00D67EB8" w:rsidRPr="009118AB">
        <w:rPr>
          <w:i/>
          <w:iCs/>
        </w:rPr>
        <w:t>Art. </w:t>
      </w:r>
      <w:r w:rsidRPr="009118AB">
        <w:rPr>
          <w:i/>
          <w:iCs/>
        </w:rPr>
        <w:t xml:space="preserve">96 ersetzt durch </w:t>
      </w:r>
      <w:r w:rsidR="00D67EB8" w:rsidRPr="009118AB">
        <w:rPr>
          <w:i/>
          <w:iCs/>
        </w:rPr>
        <w:t>Art. </w:t>
      </w:r>
      <w:r w:rsidRPr="009118AB">
        <w:rPr>
          <w:i/>
          <w:iCs/>
        </w:rPr>
        <w:t>9 des G. vom 11. Dezember 20</w:t>
      </w:r>
      <w:r w:rsidR="00B3148A" w:rsidRPr="009118AB">
        <w:rPr>
          <w:i/>
          <w:iCs/>
        </w:rPr>
        <w:t>08 (B.S. vom 12.</w:t>
      </w:r>
      <w:r w:rsidR="003366D9" w:rsidRPr="009118AB">
        <w:rPr>
          <w:i/>
          <w:iCs/>
        </w:rPr>
        <w:t> </w:t>
      </w:r>
      <w:r w:rsidR="00B3148A" w:rsidRPr="009118AB">
        <w:rPr>
          <w:i/>
          <w:iCs/>
        </w:rPr>
        <w:t>Januar 2009)</w:t>
      </w:r>
      <w:r w:rsidR="00D67EB8" w:rsidRPr="009118AB">
        <w:rPr>
          <w:i/>
          <w:iCs/>
        </w:rPr>
        <w:t> - </w:t>
      </w:r>
      <w:r w:rsidRPr="009118AB">
        <w:rPr>
          <w:i/>
          <w:iCs/>
        </w:rPr>
        <w:t>anwendbar auf Vorgänge oder Verlegungen, die ab dem 12. Januar 2009 statt</w:t>
      </w:r>
      <w:r w:rsidRPr="009118AB">
        <w:rPr>
          <w:i/>
          <w:iCs/>
        </w:rPr>
        <w:softHyphen/>
        <w:t>finden</w:t>
      </w:r>
      <w:r w:rsidR="003366D9" w:rsidRPr="009118AB">
        <w:rPr>
          <w:i/>
          <w:iCs/>
        </w:rPr>
        <w:t> -;</w:t>
      </w:r>
      <w:r w:rsidR="007E6742" w:rsidRPr="009118AB">
        <w:rPr>
          <w:i/>
          <w:iCs/>
        </w:rPr>
        <w:t xml:space="preserve"> </w:t>
      </w:r>
      <w:r w:rsidR="00D67EB8" w:rsidRPr="009118AB">
        <w:rPr>
          <w:i/>
          <w:iCs/>
        </w:rPr>
        <w:t>Abs. </w:t>
      </w:r>
      <w:r w:rsidR="007E6742" w:rsidRPr="009118AB">
        <w:rPr>
          <w:i/>
          <w:iCs/>
        </w:rPr>
        <w:t xml:space="preserve">1 abgeändert durch </w:t>
      </w:r>
      <w:r w:rsidR="00D67EB8" w:rsidRPr="009118AB">
        <w:rPr>
          <w:i/>
          <w:iCs/>
        </w:rPr>
        <w:t>Art. </w:t>
      </w:r>
      <w:r w:rsidR="007E6742" w:rsidRPr="009118AB">
        <w:rPr>
          <w:i/>
          <w:iCs/>
        </w:rPr>
        <w:t xml:space="preserve">54 </w:t>
      </w:r>
      <w:r w:rsidR="00D67EB8" w:rsidRPr="009118AB">
        <w:rPr>
          <w:i/>
          <w:iCs/>
        </w:rPr>
        <w:t>Nr. </w:t>
      </w:r>
      <w:r w:rsidR="007E6742" w:rsidRPr="009118AB">
        <w:rPr>
          <w:i/>
          <w:iCs/>
        </w:rPr>
        <w:t>1</w:t>
      </w:r>
      <w:r w:rsidR="007E6742" w:rsidRPr="009118AB">
        <w:rPr>
          <w:i/>
        </w:rPr>
        <w:t xml:space="preserve"> des G. vom 26. Dezember 2015 (II) (B.S. vom 30. Dezember 2015)</w:t>
      </w:r>
      <w:r w:rsidR="00D67EB8" w:rsidRPr="009118AB">
        <w:t> - </w:t>
      </w:r>
      <w:r w:rsidR="007E6742"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8D7185" w:rsidRPr="009118AB">
        <w:rPr>
          <w:i/>
        </w:rPr>
        <w:t xml:space="preserve">und </w:t>
      </w:r>
      <w:r w:rsidR="00D67EB8" w:rsidRPr="009118AB">
        <w:rPr>
          <w:i/>
        </w:rPr>
        <w:t>Art. </w:t>
      </w:r>
      <w:r w:rsidR="008D7185" w:rsidRPr="009118AB">
        <w:rPr>
          <w:i/>
        </w:rPr>
        <w:t xml:space="preserve">78 </w:t>
      </w:r>
      <w:r w:rsidR="00D67EB8" w:rsidRPr="009118AB">
        <w:rPr>
          <w:i/>
        </w:rPr>
        <w:t>Nr. </w:t>
      </w:r>
      <w:r w:rsidR="008D7185" w:rsidRPr="009118AB">
        <w:rPr>
          <w:i/>
        </w:rPr>
        <w:t>1 des G. vom 25. Dezember 2016</w:t>
      </w:r>
      <w:r w:rsidR="001022BB" w:rsidRPr="009118AB">
        <w:rPr>
          <w:i/>
        </w:rPr>
        <w:t> (I)</w:t>
      </w:r>
      <w:r w:rsidR="008D7185" w:rsidRPr="009118AB">
        <w:rPr>
          <w:i/>
        </w:rPr>
        <w:t xml:space="preserve"> (B.S. vom 29. Dezember 2016)</w:t>
      </w:r>
      <w:r w:rsidR="00D67EB8" w:rsidRPr="009118AB">
        <w:rPr>
          <w:i/>
        </w:rPr>
        <w:t> - </w:t>
      </w:r>
      <w:r w:rsidR="008D7185" w:rsidRPr="009118AB">
        <w:rPr>
          <w:i/>
        </w:rPr>
        <w:t>in Kraft am 1. Januar 2017 und anwendbar auf die ab dem 1. Januar 2017 verwirklichten Mehrwerte</w:t>
      </w:r>
      <w:r w:rsidR="003366D9" w:rsidRPr="009118AB">
        <w:rPr>
          <w:i/>
        </w:rPr>
        <w:t> -;</w:t>
      </w:r>
      <w:r w:rsidR="007E6742" w:rsidRPr="009118AB">
        <w:rPr>
          <w:i/>
        </w:rPr>
        <w:t xml:space="preserve"> </w:t>
      </w:r>
      <w:r w:rsidR="00D67EB8" w:rsidRPr="009118AB">
        <w:rPr>
          <w:i/>
        </w:rPr>
        <w:t>Abs. </w:t>
      </w:r>
      <w:r w:rsidR="007E6742" w:rsidRPr="009118AB">
        <w:rPr>
          <w:i/>
        </w:rPr>
        <w:t xml:space="preserve">2 abgeändert durch </w:t>
      </w:r>
      <w:r w:rsidR="00D67EB8" w:rsidRPr="009118AB">
        <w:rPr>
          <w:i/>
        </w:rPr>
        <w:t>Art. </w:t>
      </w:r>
      <w:r w:rsidR="007E6742" w:rsidRPr="009118AB">
        <w:rPr>
          <w:i/>
        </w:rPr>
        <w:t xml:space="preserve">54 </w:t>
      </w:r>
      <w:r w:rsidR="00D67EB8" w:rsidRPr="009118AB">
        <w:rPr>
          <w:i/>
        </w:rPr>
        <w:t>Nr. </w:t>
      </w:r>
      <w:r w:rsidR="007E6742" w:rsidRPr="009118AB">
        <w:rPr>
          <w:i/>
        </w:rPr>
        <w:t>2 des G. vom 26. Dezember 2015 (II) (B.S. vom 30. Dezember 2015)</w:t>
      </w:r>
      <w:r w:rsidR="00D67EB8" w:rsidRPr="009118AB">
        <w:t> - </w:t>
      </w:r>
      <w:r w:rsidR="007E6742"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8D7185" w:rsidRPr="009118AB">
        <w:rPr>
          <w:i/>
        </w:rPr>
        <w:t xml:space="preserve">und </w:t>
      </w:r>
      <w:r w:rsidR="00D67EB8" w:rsidRPr="009118AB">
        <w:rPr>
          <w:i/>
        </w:rPr>
        <w:t>Art. </w:t>
      </w:r>
      <w:r w:rsidR="008D7185" w:rsidRPr="009118AB">
        <w:rPr>
          <w:i/>
        </w:rPr>
        <w:t xml:space="preserve">78 </w:t>
      </w:r>
      <w:r w:rsidR="00D67EB8" w:rsidRPr="009118AB">
        <w:rPr>
          <w:i/>
        </w:rPr>
        <w:t>Nr. </w:t>
      </w:r>
      <w:r w:rsidR="008D7185" w:rsidRPr="009118AB">
        <w:rPr>
          <w:i/>
        </w:rPr>
        <w:t>2 des G. vom 25. Dezember 2016</w:t>
      </w:r>
      <w:r w:rsidR="001022BB" w:rsidRPr="009118AB">
        <w:rPr>
          <w:i/>
        </w:rPr>
        <w:t> (I)</w:t>
      </w:r>
      <w:r w:rsidR="008D7185" w:rsidRPr="009118AB">
        <w:rPr>
          <w:i/>
        </w:rPr>
        <w:t xml:space="preserve"> (B.S. vom 29. Dezember 2016)</w:t>
      </w:r>
      <w:r w:rsidR="00D67EB8" w:rsidRPr="009118AB">
        <w:rPr>
          <w:i/>
        </w:rPr>
        <w:t> - </w:t>
      </w:r>
      <w:r w:rsidR="008D7185" w:rsidRPr="009118AB">
        <w:rPr>
          <w:i/>
        </w:rPr>
        <w:t>in Kraft am 1. Januar 2017 und anwendbar auf die ab dem 1. Januar 2017 verwirklichten Mehrwerte</w:t>
      </w:r>
      <w:r w:rsidR="00FD68E8" w:rsidRPr="009118AB">
        <w:rPr>
          <w:i/>
        </w:rPr>
        <w:t> -]</w:t>
      </w:r>
    </w:p>
    <w:p w14:paraId="023179D0" w14:textId="77777777" w:rsidR="00D668C5" w:rsidRPr="009118AB" w:rsidRDefault="00D668C5" w:rsidP="00D668C5">
      <w:pPr>
        <w:autoSpaceDE w:val="0"/>
        <w:autoSpaceDN w:val="0"/>
        <w:adjustRightInd w:val="0"/>
        <w:jc w:val="both"/>
        <w:rPr>
          <w:iCs/>
        </w:rPr>
      </w:pPr>
    </w:p>
    <w:p w14:paraId="3F1AE13A" w14:textId="77777777" w:rsidR="00D668C5" w:rsidRPr="009118AB" w:rsidRDefault="00D668C5" w:rsidP="00773B39">
      <w:pPr>
        <w:autoSpaceDE w:val="0"/>
        <w:autoSpaceDN w:val="0"/>
        <w:adjustRightInd w:val="0"/>
        <w:jc w:val="both"/>
      </w:pPr>
    </w:p>
    <w:p w14:paraId="053F3E8D" w14:textId="78AA5D0D" w:rsidR="007E6742" w:rsidRPr="009118AB" w:rsidRDefault="007E6742" w:rsidP="008D7185">
      <w:pPr>
        <w:ind w:firstLine="708"/>
        <w:jc w:val="both"/>
      </w:pPr>
      <w:r w:rsidRPr="009118AB">
        <w:tab/>
        <w:t>[</w:t>
      </w:r>
      <w:r w:rsidR="00D67EB8" w:rsidRPr="009118AB">
        <w:rPr>
          <w:b/>
        </w:rPr>
        <w:t>Art. </w:t>
      </w:r>
      <w:r w:rsidRPr="009118AB">
        <w:rPr>
          <w:b/>
        </w:rPr>
        <w:t>96/1</w:t>
      </w:r>
      <w:r w:rsidR="00D67EB8" w:rsidRPr="009118AB">
        <w:t> - </w:t>
      </w:r>
      <w:r w:rsidR="008D7185" w:rsidRPr="009118AB">
        <w:t>[..</w:t>
      </w:r>
      <w:r w:rsidRPr="009118AB">
        <w:t>.</w:t>
      </w:r>
      <w:r w:rsidR="003055AC" w:rsidRPr="009118AB">
        <w:t>]</w:t>
      </w:r>
      <w:r w:rsidR="008D7185" w:rsidRPr="009118AB">
        <w:t>]</w:t>
      </w:r>
    </w:p>
    <w:p w14:paraId="664F4E7C" w14:textId="77777777" w:rsidR="007E6742" w:rsidRPr="009118AB" w:rsidRDefault="007E6742" w:rsidP="007E6742">
      <w:pPr>
        <w:autoSpaceDE w:val="0"/>
        <w:autoSpaceDN w:val="0"/>
        <w:adjustRightInd w:val="0"/>
        <w:jc w:val="center"/>
      </w:pPr>
    </w:p>
    <w:p w14:paraId="0B82CBC8" w14:textId="7A7760EA" w:rsidR="003055AC" w:rsidRPr="009118AB" w:rsidRDefault="007E6742" w:rsidP="007E6742">
      <w:pPr>
        <w:autoSpaceDE w:val="0"/>
        <w:autoSpaceDN w:val="0"/>
        <w:adjustRightInd w:val="0"/>
        <w:jc w:val="both"/>
        <w:rPr>
          <w:i/>
        </w:rPr>
      </w:pPr>
      <w:r w:rsidRPr="009118AB">
        <w:rPr>
          <w:i/>
        </w:rPr>
        <w:t>[</w:t>
      </w:r>
      <w:r w:rsidR="00D67EB8" w:rsidRPr="009118AB">
        <w:rPr>
          <w:i/>
        </w:rPr>
        <w:t>Art. </w:t>
      </w:r>
      <w:r w:rsidRPr="009118AB">
        <w:rPr>
          <w:i/>
        </w:rPr>
        <w:t xml:space="preserve">96/1 eingefügt durch </w:t>
      </w:r>
      <w:r w:rsidR="00D67EB8" w:rsidRPr="009118AB">
        <w:rPr>
          <w:i/>
        </w:rPr>
        <w:t>Art. </w:t>
      </w:r>
      <w:r w:rsidR="003055AC" w:rsidRPr="009118AB">
        <w:rPr>
          <w:i/>
        </w:rPr>
        <w:t>55 des G. vom 26. Dezember 2015 (II) (B.S. vom 30. Dezember 2015)</w:t>
      </w:r>
      <w:r w:rsidR="00D67EB8" w:rsidRPr="009118AB">
        <w:t> - </w:t>
      </w:r>
      <w:r w:rsidR="003055AC" w:rsidRPr="009118AB">
        <w:rPr>
          <w:i/>
        </w:rPr>
        <w:t xml:space="preserve">anwendbar auf Mehrwerte, die auf börsennotierte Aktien oder Anteile, </w:t>
      </w:r>
      <w:r w:rsidR="003055AC" w:rsidRPr="009118AB">
        <w:rPr>
          <w:i/>
        </w:rPr>
        <w:lastRenderedPageBreak/>
        <w:t>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8D7185" w:rsidRPr="009118AB">
        <w:rPr>
          <w:i/>
        </w:rPr>
        <w:t xml:space="preserve">und aufgehoben durch </w:t>
      </w:r>
      <w:r w:rsidR="00D67EB8" w:rsidRPr="009118AB">
        <w:rPr>
          <w:i/>
        </w:rPr>
        <w:t>Art. </w:t>
      </w:r>
      <w:r w:rsidR="008D7185" w:rsidRPr="009118AB">
        <w:rPr>
          <w:i/>
        </w:rPr>
        <w:t>79 des G. vom 25. Dezember 2016</w:t>
      </w:r>
      <w:r w:rsidR="001022BB" w:rsidRPr="009118AB">
        <w:rPr>
          <w:i/>
        </w:rPr>
        <w:t> (I)</w:t>
      </w:r>
      <w:r w:rsidR="008D7185" w:rsidRPr="009118AB">
        <w:rPr>
          <w:i/>
        </w:rPr>
        <w:t xml:space="preserve"> (B.S. vom 29. Dezember 2016)</w:t>
      </w:r>
      <w:r w:rsidR="00D67EB8" w:rsidRPr="009118AB">
        <w:rPr>
          <w:i/>
        </w:rPr>
        <w:t> - </w:t>
      </w:r>
      <w:r w:rsidR="008D7185" w:rsidRPr="009118AB">
        <w:rPr>
          <w:i/>
        </w:rPr>
        <w:t>in Kraft am 1. Januar 2017 und anwendbar auf die ab dem 1. Januar 2017 verwirklichten Mehrwerte</w:t>
      </w:r>
      <w:r w:rsidR="00FD68E8" w:rsidRPr="009118AB">
        <w:rPr>
          <w:i/>
        </w:rPr>
        <w:t> -]</w:t>
      </w:r>
    </w:p>
    <w:p w14:paraId="33D07E3D" w14:textId="56B0239C" w:rsidR="00477B8F" w:rsidRPr="009118AB" w:rsidRDefault="00C31D59" w:rsidP="003055AC">
      <w:pPr>
        <w:autoSpaceDE w:val="0"/>
        <w:autoSpaceDN w:val="0"/>
        <w:adjustRightInd w:val="0"/>
        <w:jc w:val="center"/>
      </w:pPr>
      <w:r w:rsidRPr="009118AB">
        <w:br w:type="page"/>
      </w:r>
      <w:r w:rsidR="00477B8F" w:rsidRPr="009118AB">
        <w:lastRenderedPageBreak/>
        <w:t>Unterabschnitt </w:t>
      </w:r>
      <w:r w:rsidR="00AA609D" w:rsidRPr="009118AB">
        <w:t>2</w:t>
      </w:r>
      <w:r w:rsidR="00D67EB8" w:rsidRPr="009118AB">
        <w:t> - </w:t>
      </w:r>
      <w:r w:rsidR="00477B8F" w:rsidRPr="009118AB">
        <w:t>Festlegung des Nettoeinkommens</w:t>
      </w:r>
    </w:p>
    <w:p w14:paraId="6087C80B" w14:textId="77777777" w:rsidR="00477B8F" w:rsidRPr="009118AB" w:rsidRDefault="00477B8F" w:rsidP="00477B8F">
      <w:pPr>
        <w:autoSpaceDE w:val="0"/>
        <w:autoSpaceDN w:val="0"/>
        <w:adjustRightInd w:val="0"/>
        <w:jc w:val="both"/>
        <w:rPr>
          <w:b/>
        </w:rPr>
      </w:pPr>
    </w:p>
    <w:p w14:paraId="54123EB0" w14:textId="77777777" w:rsidR="00477B8F" w:rsidRPr="009118AB" w:rsidRDefault="00477B8F" w:rsidP="00477B8F">
      <w:pPr>
        <w:autoSpaceDE w:val="0"/>
        <w:autoSpaceDN w:val="0"/>
        <w:adjustRightInd w:val="0"/>
        <w:jc w:val="both"/>
      </w:pPr>
    </w:p>
    <w:p w14:paraId="5AFBC6F8" w14:textId="1661928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97</w:t>
      </w:r>
      <w:r w:rsidR="00D67EB8" w:rsidRPr="009118AB">
        <w:t> - </w:t>
      </w:r>
      <w:r w:rsidRPr="009118AB">
        <w:t>[</w:t>
      </w:r>
      <w:r w:rsidR="00D67EB8" w:rsidRPr="009118AB">
        <w:t>§ </w:t>
      </w:r>
      <w:r w:rsidRPr="009118AB">
        <w:t>1</w:t>
      </w:r>
      <w:r w:rsidR="00D67EB8" w:rsidRPr="009118AB">
        <w:t> - </w:t>
      </w:r>
      <w:r w:rsidRPr="009118AB">
        <w:t xml:space="preserve">Unter den in </w:t>
      </w:r>
      <w:r w:rsidR="003055AC" w:rsidRPr="009118AB">
        <w:t xml:space="preserve">[Artikel 90 Absatz 1 </w:t>
      </w:r>
      <w:r w:rsidR="00D67EB8" w:rsidRPr="009118AB">
        <w:t>Nr. </w:t>
      </w:r>
      <w:r w:rsidR="003055AC" w:rsidRPr="009118AB">
        <w:t xml:space="preserve">1] </w:t>
      </w:r>
      <w:r w:rsidRPr="009118AB">
        <w:t xml:space="preserve">erwähnten Einkünften versteht man den Nettobetrag dieser Einkünfte, das heißt ihren Bruttobetrag abzüglich der Kosten, für die der Steuerpflichtige nachweist, dass er sie während des Besteuerungszeitraums gemacht oder getragen hat, um diese Einkünfte zu erwerben oder zu behalten. </w:t>
      </w:r>
    </w:p>
    <w:p w14:paraId="080CFA8E" w14:textId="77777777" w:rsidR="00477B8F" w:rsidRPr="009118AB" w:rsidRDefault="00477B8F" w:rsidP="00477B8F">
      <w:pPr>
        <w:autoSpaceDE w:val="0"/>
        <w:autoSpaceDN w:val="0"/>
        <w:adjustRightInd w:val="0"/>
        <w:jc w:val="both"/>
      </w:pPr>
    </w:p>
    <w:p w14:paraId="74F4C09F" w14:textId="273F226C"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Sofern die in Artikel 38 </w:t>
      </w:r>
      <w:r w:rsidR="00D67EB8" w:rsidRPr="009118AB">
        <w:t>§ </w:t>
      </w:r>
      <w:r w:rsidRPr="009118AB">
        <w:t xml:space="preserve">4 festgelegten Bedingungen, die mutatis mutandis anwendbar sind, eingehalten werden, werden pauschale Kostenvergütungen, die aufgrund der Erbringung künstlerischer Leistungen </w:t>
      </w:r>
      <w:r w:rsidR="00883E15" w:rsidRPr="009118AB">
        <w:t>[...]</w:t>
      </w:r>
      <w:r w:rsidRPr="009118AB">
        <w:t xml:space="preserve"> für Rechnung eines Auftraggebers bewilligt werden, </w:t>
      </w:r>
      <w:r w:rsidR="00883E15" w:rsidRPr="009118AB">
        <w:t>[für höchstens 30 Tage pro Kalenderjahr, an denen solche Leistungen erbracht werden,]</w:t>
      </w:r>
      <w:r w:rsidRPr="009118AB">
        <w:t xml:space="preserve"> </w:t>
      </w:r>
      <w:r w:rsidR="00883E15" w:rsidRPr="009118AB">
        <w:t xml:space="preserve">[sowie die Erstattung der tatsächlichen Kosten für die Fahrten im Rahmen dieser Leistungen] </w:t>
      </w:r>
      <w:r w:rsidRPr="009118AB">
        <w:t>nicht berücksichtigt.]</w:t>
      </w:r>
    </w:p>
    <w:p w14:paraId="5B303709" w14:textId="77777777" w:rsidR="00883E15" w:rsidRPr="009118AB" w:rsidRDefault="00883E15" w:rsidP="00477B8F">
      <w:pPr>
        <w:autoSpaceDE w:val="0"/>
        <w:autoSpaceDN w:val="0"/>
        <w:adjustRightInd w:val="0"/>
        <w:jc w:val="both"/>
      </w:pPr>
    </w:p>
    <w:p w14:paraId="4472C328" w14:textId="46A2F3AC" w:rsidR="00883E15" w:rsidRPr="009118AB" w:rsidRDefault="00883E15" w:rsidP="00477B8F">
      <w:pPr>
        <w:autoSpaceDE w:val="0"/>
        <w:autoSpaceDN w:val="0"/>
        <w:adjustRightInd w:val="0"/>
        <w:jc w:val="both"/>
      </w:pPr>
      <w:r w:rsidRPr="009118AB">
        <w:tab/>
        <w:t>[In Absatz 1 erwähnte Vergütungen werden auf dem Berechnungsblatt vermerkt, das dem Steuerbescheid des Empfängers in Bezug auf die Steuer der natürlichen Personen beigefügt ist.]</w:t>
      </w:r>
    </w:p>
    <w:p w14:paraId="6C8E85F3" w14:textId="77777777" w:rsidR="00477B8F" w:rsidRPr="009118AB" w:rsidRDefault="00477B8F" w:rsidP="00477B8F">
      <w:pPr>
        <w:autoSpaceDE w:val="0"/>
        <w:autoSpaceDN w:val="0"/>
        <w:adjustRightInd w:val="0"/>
        <w:jc w:val="both"/>
      </w:pPr>
    </w:p>
    <w:p w14:paraId="32B5B496" w14:textId="1975AA64"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97 ersetzt durch </w:t>
      </w:r>
      <w:r w:rsidR="00D67EB8" w:rsidRPr="009118AB">
        <w:rPr>
          <w:i/>
          <w:iCs/>
        </w:rPr>
        <w:t>Art. </w:t>
      </w:r>
      <w:r w:rsidRPr="009118AB">
        <w:rPr>
          <w:i/>
          <w:iCs/>
        </w:rPr>
        <w:t xml:space="preserve">3 des G. vom 25. April 2007 </w:t>
      </w:r>
      <w:r w:rsidR="00B3148A" w:rsidRPr="009118AB">
        <w:rPr>
          <w:i/>
          <w:iCs/>
        </w:rPr>
        <w:t>(III) (B.S. vom 10. Mai 2007)</w:t>
      </w:r>
      <w:r w:rsidR="00D67EB8" w:rsidRPr="009118AB">
        <w:rPr>
          <w:i/>
          <w:iCs/>
        </w:rPr>
        <w:t> - </w:t>
      </w:r>
      <w:r w:rsidRPr="009118AB">
        <w:rPr>
          <w:i/>
          <w:iCs/>
        </w:rPr>
        <w:t>anwendbar auf die ab dem 1. Januar 2007 bewilligten pauschalen Kostenvergütungen</w:t>
      </w:r>
      <w:r w:rsidR="003366D9" w:rsidRPr="009118AB">
        <w:rPr>
          <w:i/>
          <w:iCs/>
        </w:rPr>
        <w:t> -;</w:t>
      </w:r>
      <w:r w:rsidR="003055AC" w:rsidRPr="009118AB">
        <w:rPr>
          <w:i/>
          <w:iCs/>
        </w:rPr>
        <w:t xml:space="preserve"> </w:t>
      </w:r>
      <w:r w:rsidR="00D67EB8" w:rsidRPr="009118AB">
        <w:rPr>
          <w:i/>
          <w:iCs/>
        </w:rPr>
        <w:t>§ </w:t>
      </w:r>
      <w:r w:rsidR="003055AC" w:rsidRPr="009118AB">
        <w:rPr>
          <w:i/>
          <w:iCs/>
        </w:rPr>
        <w:t xml:space="preserve">1 abgeändert durch </w:t>
      </w:r>
      <w:r w:rsidR="00D67EB8" w:rsidRPr="009118AB">
        <w:rPr>
          <w:i/>
          <w:iCs/>
        </w:rPr>
        <w:t>Art. </w:t>
      </w:r>
      <w:r w:rsidR="003055AC" w:rsidRPr="009118AB">
        <w:rPr>
          <w:i/>
          <w:iCs/>
        </w:rPr>
        <w:t>56</w:t>
      </w:r>
      <w:r w:rsidR="003055AC" w:rsidRPr="009118AB">
        <w:rPr>
          <w:i/>
        </w:rPr>
        <w:t xml:space="preserve"> des G. vom 26. Dezember 2015 (II) (B.S. vom 30. Dezember 2015)</w:t>
      </w:r>
      <w:r w:rsidR="00D67EB8" w:rsidRPr="009118AB">
        <w:t> - </w:t>
      </w:r>
      <w:r w:rsidR="003055AC"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r w:rsidR="00883E15" w:rsidRPr="009118AB">
        <w:rPr>
          <w:i/>
        </w:rPr>
        <w:t>; § 2 Abs. 1 abgeändert durch Art. 3 Nr. 1 bis 3</w:t>
      </w:r>
      <w:r w:rsidR="00883E15" w:rsidRPr="009118AB">
        <w:rPr>
          <w:i/>
          <w:iCs/>
        </w:rPr>
        <w:t xml:space="preserve"> des G. vom 31. Juli 2023 (I) (B.S. vom 23. August 2023) - in Kraft am 1. Januar 2024 und anwendbar auf Vergütungen, die für Leistungen gezahlt oder zuerkannt werden, die ab diesem Datum erbracht werden -; § 2 Abs. 2 eingefügt durch Art. 3 Nr. 4 des G. vom 31. Juli 2023 (I) (B.S. vom 23. August 2023) - in Kraft am 1. Januar 2024 und anwendbar auf Vergütungen, die für Leistungen gezahlt oder zuerkannt werden, die ab diesem Datum erbracht werden -</w:t>
      </w:r>
      <w:r w:rsidR="00FD68E8" w:rsidRPr="009118AB">
        <w:rPr>
          <w:i/>
        </w:rPr>
        <w:t>]</w:t>
      </w:r>
      <w:r w:rsidRPr="009118AB">
        <w:t xml:space="preserve"> </w:t>
      </w:r>
    </w:p>
    <w:p w14:paraId="7FDDBB53" w14:textId="77777777" w:rsidR="00477B8F" w:rsidRPr="009118AB" w:rsidRDefault="00477B8F" w:rsidP="00477B8F">
      <w:pPr>
        <w:autoSpaceDE w:val="0"/>
        <w:autoSpaceDN w:val="0"/>
        <w:adjustRightInd w:val="0"/>
        <w:jc w:val="both"/>
      </w:pPr>
    </w:p>
    <w:p w14:paraId="78686160" w14:textId="77777777" w:rsidR="00C203ED" w:rsidRPr="009118AB" w:rsidRDefault="00C203ED" w:rsidP="00477B8F">
      <w:pPr>
        <w:autoSpaceDE w:val="0"/>
        <w:autoSpaceDN w:val="0"/>
        <w:adjustRightInd w:val="0"/>
        <w:jc w:val="both"/>
      </w:pPr>
    </w:p>
    <w:p w14:paraId="36431EFE" w14:textId="52687749" w:rsidR="00BD6117" w:rsidRPr="009118AB" w:rsidRDefault="00C203ED" w:rsidP="00BD6117">
      <w:pPr>
        <w:jc w:val="both"/>
      </w:pPr>
      <w:r w:rsidRPr="009118AB">
        <w:tab/>
        <w:t>[</w:t>
      </w:r>
      <w:r w:rsidR="00D67EB8" w:rsidRPr="009118AB">
        <w:rPr>
          <w:b/>
        </w:rPr>
        <w:t>Art. </w:t>
      </w:r>
      <w:r w:rsidRPr="009118AB">
        <w:rPr>
          <w:b/>
        </w:rPr>
        <w:t>97/1</w:t>
      </w:r>
      <w:r w:rsidR="00D67EB8" w:rsidRPr="009118AB">
        <w:t> - </w:t>
      </w:r>
      <w:r w:rsidR="0098483B" w:rsidRPr="009118AB">
        <w:t>[</w:t>
      </w:r>
      <w:r w:rsidR="00BD6117" w:rsidRPr="009118AB">
        <w:t xml:space="preserve">Unter den in Artikel 90 Absatz 1 </w:t>
      </w:r>
      <w:r w:rsidR="00D67EB8" w:rsidRPr="009118AB">
        <w:t>Nr. </w:t>
      </w:r>
      <w:r w:rsidR="00BD6117" w:rsidRPr="009118AB">
        <w:t>1</w:t>
      </w:r>
      <w:r w:rsidR="00BD6117" w:rsidRPr="009118AB">
        <w:rPr>
          <w:i/>
          <w:iCs/>
        </w:rPr>
        <w:t>bis</w:t>
      </w:r>
      <w:r w:rsidR="00BD6117" w:rsidRPr="009118AB">
        <w:t xml:space="preserve"> erwähnten Einkünften versteht man den Nettobetrag dieser Einkünfte, das heißt ihren Bruttobetrag abzüglich 50 Prozent Pauschalkosten.</w:t>
      </w:r>
    </w:p>
    <w:p w14:paraId="4808CDF0" w14:textId="77777777" w:rsidR="00BD6117" w:rsidRPr="009118AB" w:rsidRDefault="00BD6117" w:rsidP="00BD6117">
      <w:pPr>
        <w:jc w:val="both"/>
      </w:pPr>
    </w:p>
    <w:p w14:paraId="4C535981" w14:textId="14D15DF6" w:rsidR="00C203ED" w:rsidRPr="009118AB" w:rsidRDefault="00BD6117" w:rsidP="00BD6117">
      <w:pPr>
        <w:jc w:val="both"/>
      </w:pPr>
      <w:r w:rsidRPr="009118AB">
        <w:tab/>
        <w:t>Der Bruttobetrag umfasst den Betrag, der durch oder über die Plattform tatsächlich gezahlt oder zuerkannt worden ist, erhöht um die durch oder über die Plattform einbehaltenen Summen.</w:t>
      </w:r>
      <w:r w:rsidR="0098483B" w:rsidRPr="009118AB">
        <w:t>]</w:t>
      </w:r>
      <w:r w:rsidR="00C203ED" w:rsidRPr="009118AB">
        <w:t>]</w:t>
      </w:r>
    </w:p>
    <w:p w14:paraId="349D8667" w14:textId="77777777" w:rsidR="00C203ED" w:rsidRPr="009118AB" w:rsidRDefault="00C203ED" w:rsidP="00C203ED">
      <w:pPr>
        <w:autoSpaceDE w:val="0"/>
        <w:autoSpaceDN w:val="0"/>
        <w:adjustRightInd w:val="0"/>
        <w:jc w:val="both"/>
      </w:pPr>
    </w:p>
    <w:p w14:paraId="1A39DD69" w14:textId="46917628" w:rsidR="00C203ED" w:rsidRPr="009118AB" w:rsidRDefault="00C203ED" w:rsidP="00C203ED">
      <w:pPr>
        <w:autoSpaceDE w:val="0"/>
        <w:autoSpaceDN w:val="0"/>
        <w:adjustRightInd w:val="0"/>
        <w:jc w:val="both"/>
        <w:rPr>
          <w:i/>
          <w:iCs/>
        </w:rPr>
      </w:pPr>
      <w:r w:rsidRPr="009118AB">
        <w:rPr>
          <w:i/>
        </w:rPr>
        <w:t>[</w:t>
      </w:r>
      <w:r w:rsidR="00D67EB8" w:rsidRPr="009118AB">
        <w:rPr>
          <w:i/>
        </w:rPr>
        <w:t>Art. </w:t>
      </w:r>
      <w:r w:rsidRPr="009118AB">
        <w:rPr>
          <w:i/>
        </w:rPr>
        <w:t xml:space="preserve">97/1 eingefügt durch </w:t>
      </w:r>
      <w:r w:rsidR="00D67EB8" w:rsidRPr="009118AB">
        <w:rPr>
          <w:i/>
        </w:rPr>
        <w:t>Art. </w:t>
      </w:r>
      <w:r w:rsidRPr="009118AB">
        <w:rPr>
          <w:i/>
        </w:rPr>
        <w:t>37</w:t>
      </w:r>
      <w:r w:rsidRPr="009118AB">
        <w:rPr>
          <w:i/>
          <w:iCs/>
        </w:rPr>
        <w:t xml:space="preserve"> des G. vom 1. Juli 2016 (B.S. vom 4. Juli 2016)</w:t>
      </w:r>
      <w:r w:rsidR="00D67EB8" w:rsidRPr="009118AB">
        <w:rPr>
          <w:i/>
          <w:iCs/>
        </w:rPr>
        <w:t> - </w:t>
      </w:r>
      <w:r w:rsidRPr="009118AB">
        <w:rPr>
          <w:i/>
          <w:iCs/>
        </w:rPr>
        <w:t>anwendbar auf die ab dem 1. Juli 2016 gezahlten oder zuerkannten Einkünfte</w:t>
      </w:r>
      <w:r w:rsidR="00FD68E8" w:rsidRPr="009118AB">
        <w:rPr>
          <w:i/>
          <w:iCs/>
        </w:rPr>
        <w:t> -</w:t>
      </w:r>
      <w:r w:rsidR="00BA2134">
        <w:rPr>
          <w:i/>
          <w:iCs/>
        </w:rPr>
        <w:t xml:space="preserve"> </w:t>
      </w:r>
      <w:r w:rsidR="00BD6117" w:rsidRPr="009118AB">
        <w:rPr>
          <w:i/>
          <w:iCs/>
          <w:spacing w:val="-2"/>
        </w:rPr>
        <w:t xml:space="preserve">und ersetzt durch </w:t>
      </w:r>
      <w:r w:rsidR="00D67EB8" w:rsidRPr="009118AB">
        <w:rPr>
          <w:i/>
          <w:iCs/>
          <w:spacing w:val="-2"/>
        </w:rPr>
        <w:t>Art. </w:t>
      </w:r>
      <w:r w:rsidR="00BD6117" w:rsidRPr="009118AB">
        <w:rPr>
          <w:i/>
          <w:iCs/>
          <w:spacing w:val="-2"/>
        </w:rPr>
        <w:t>13</w:t>
      </w:r>
      <w:r w:rsidR="00BD6117" w:rsidRPr="009118AB">
        <w:rPr>
          <w:i/>
          <w:iCs/>
        </w:rPr>
        <w:t xml:space="preserve"> des G. vom 20. Dezember 2020 (II) (B.S. vom 30. Dezember 2020)</w:t>
      </w:r>
      <w:r w:rsidR="00D67EB8" w:rsidRPr="009118AB">
        <w:rPr>
          <w:i/>
          <w:iCs/>
        </w:rPr>
        <w:t> - </w:t>
      </w:r>
      <w:r w:rsidR="00BD6117" w:rsidRPr="009118AB">
        <w:rPr>
          <w:i/>
          <w:iCs/>
        </w:rPr>
        <w:t>in Kraft am 1. Januar 2021</w:t>
      </w:r>
      <w:r w:rsidR="00D74DCD" w:rsidRPr="009118AB">
        <w:rPr>
          <w:i/>
          <w:iCs/>
        </w:rPr>
        <w:t xml:space="preserve"> und</w:t>
      </w:r>
      <w:r w:rsidR="00BD6117" w:rsidRPr="009118AB">
        <w:rPr>
          <w:i/>
          <w:iCs/>
        </w:rPr>
        <w:t xml:space="preserve"> anwendbar auf die ab dem 1. Januar 2021 gezahlten oder zuerkannten Einkünfte</w:t>
      </w:r>
      <w:r w:rsidR="00FD68E8" w:rsidRPr="009118AB">
        <w:rPr>
          <w:i/>
          <w:iCs/>
        </w:rPr>
        <w:t> -]</w:t>
      </w:r>
    </w:p>
    <w:p w14:paraId="38EFBD44" w14:textId="77777777" w:rsidR="00C203ED" w:rsidRPr="009118AB" w:rsidRDefault="00C203ED" w:rsidP="00C203ED">
      <w:pPr>
        <w:autoSpaceDE w:val="0"/>
        <w:autoSpaceDN w:val="0"/>
        <w:adjustRightInd w:val="0"/>
        <w:jc w:val="both"/>
        <w:rPr>
          <w:i/>
        </w:rPr>
      </w:pPr>
    </w:p>
    <w:p w14:paraId="603CB56A" w14:textId="3B292771" w:rsidR="00477B8F" w:rsidRPr="009118AB" w:rsidRDefault="00477B8F" w:rsidP="00477B8F">
      <w:pPr>
        <w:autoSpaceDE w:val="0"/>
        <w:autoSpaceDN w:val="0"/>
        <w:adjustRightInd w:val="0"/>
        <w:jc w:val="both"/>
      </w:pPr>
    </w:p>
    <w:p w14:paraId="1C078968" w14:textId="30A4ABE1" w:rsidR="00FB0346" w:rsidRPr="009118AB" w:rsidRDefault="00FB0346" w:rsidP="00FB0346">
      <w:pPr>
        <w:ind w:firstLine="708"/>
        <w:jc w:val="both"/>
        <w:rPr>
          <w:rFonts w:eastAsia="Calibri"/>
          <w:lang w:eastAsia="en-US"/>
        </w:rPr>
      </w:pPr>
      <w:r w:rsidRPr="009118AB">
        <w:lastRenderedPageBreak/>
        <w:tab/>
        <w:t>[</w:t>
      </w:r>
      <w:r w:rsidR="00D67EB8" w:rsidRPr="009118AB">
        <w:rPr>
          <w:rFonts w:eastAsia="Calibri"/>
          <w:b/>
          <w:szCs w:val="22"/>
          <w:lang w:eastAsia="en-US"/>
        </w:rPr>
        <w:t>Art. </w:t>
      </w:r>
      <w:r w:rsidRPr="009118AB">
        <w:rPr>
          <w:rFonts w:eastAsia="Calibri"/>
          <w:b/>
          <w:szCs w:val="22"/>
          <w:lang w:eastAsia="en-US"/>
        </w:rPr>
        <w:t>97/2</w:t>
      </w:r>
      <w:r w:rsidR="00D67EB8" w:rsidRPr="009118AB">
        <w:rPr>
          <w:rFonts w:eastAsia="Calibri"/>
          <w:szCs w:val="22"/>
          <w:lang w:eastAsia="en-US"/>
        </w:rPr>
        <w:t> - </w:t>
      </w:r>
      <w:r w:rsidRPr="009118AB">
        <w:rPr>
          <w:rFonts w:eastAsia="Calibri"/>
          <w:szCs w:val="22"/>
          <w:lang w:eastAsia="en-US"/>
        </w:rPr>
        <w:t xml:space="preserve">Unter den in Artikel 90 Absatz 1 </w:t>
      </w:r>
      <w:r w:rsidR="00D67EB8" w:rsidRPr="009118AB">
        <w:rPr>
          <w:rFonts w:eastAsia="Calibri"/>
          <w:szCs w:val="22"/>
          <w:lang w:eastAsia="en-US"/>
        </w:rPr>
        <w:t>Nr. </w:t>
      </w:r>
      <w:r w:rsidRPr="009118AB">
        <w:rPr>
          <w:rFonts w:eastAsia="Calibri"/>
          <w:szCs w:val="22"/>
          <w:lang w:eastAsia="en-US"/>
        </w:rPr>
        <w:t>1</w:t>
      </w:r>
      <w:r w:rsidRPr="009118AB">
        <w:rPr>
          <w:rFonts w:eastAsia="Calibri"/>
          <w:i/>
          <w:iCs/>
          <w:szCs w:val="22"/>
          <w:lang w:eastAsia="en-US"/>
        </w:rPr>
        <w:t>ter</w:t>
      </w:r>
      <w:r w:rsidRPr="009118AB">
        <w:rPr>
          <w:rFonts w:eastAsia="Calibri"/>
          <w:szCs w:val="22"/>
          <w:lang w:eastAsia="en-US"/>
        </w:rPr>
        <w:t xml:space="preserve"> erwähnten Einkünften versteht man den Nettobetrag dieser Einkünfte, das heißt ihren Bruttobetrag abzüglich 50 Prozent Pauschalkosten.</w:t>
      </w:r>
    </w:p>
    <w:p w14:paraId="682F21A9" w14:textId="77777777" w:rsidR="00FB0346" w:rsidRPr="009118AB" w:rsidRDefault="00FB0346" w:rsidP="00FB0346">
      <w:pPr>
        <w:jc w:val="both"/>
        <w:rPr>
          <w:rFonts w:eastAsia="Calibri"/>
          <w:lang w:eastAsia="en-US"/>
        </w:rPr>
      </w:pPr>
    </w:p>
    <w:p w14:paraId="34DB0054" w14:textId="2B30696A" w:rsidR="00FB0346" w:rsidRPr="009118AB" w:rsidRDefault="00FB0346" w:rsidP="00FB0346">
      <w:pPr>
        <w:autoSpaceDE w:val="0"/>
        <w:autoSpaceDN w:val="0"/>
        <w:adjustRightInd w:val="0"/>
        <w:jc w:val="both"/>
      </w:pPr>
      <w:r w:rsidRPr="009118AB">
        <w:rPr>
          <w:rFonts w:eastAsia="Calibri"/>
          <w:szCs w:val="22"/>
          <w:lang w:eastAsia="en-US"/>
        </w:rPr>
        <w:tab/>
      </w:r>
      <w:r w:rsidR="0001730E" w:rsidRPr="009118AB">
        <w:rPr>
          <w:rFonts w:eastAsia="Calibri"/>
          <w:szCs w:val="22"/>
          <w:lang w:eastAsia="en-US"/>
        </w:rPr>
        <w:t>[</w:t>
      </w:r>
      <w:r w:rsidR="0001730E" w:rsidRPr="009118AB">
        <w:t xml:space="preserve">Der Bruttobetrag der in Artikel 90 Absatz 1 </w:t>
      </w:r>
      <w:r w:rsidR="00D67EB8" w:rsidRPr="009118AB">
        <w:t>Nr. </w:t>
      </w:r>
      <w:r w:rsidR="0001730E" w:rsidRPr="009118AB">
        <w:t>1</w:t>
      </w:r>
      <w:r w:rsidR="0001730E" w:rsidRPr="009118AB">
        <w:rPr>
          <w:i/>
          <w:iCs/>
        </w:rPr>
        <w:t>ter</w:t>
      </w:r>
      <w:r w:rsidR="0001730E" w:rsidRPr="009118AB">
        <w:t xml:space="preserve"> erwähnten Einkünfte umfasst alle Vergütungen für die Beschäftigung einschließlich der Vergütungen wie in Artikel 38 erwähnt und der Entschädigungen, die als vollständige Entschädigung oder Teilentschädigung für einen zeitweiligen Einkommensausfall bezogen werden.</w:t>
      </w:r>
      <w:r w:rsidR="0001730E" w:rsidRPr="009118AB">
        <w:rPr>
          <w:rFonts w:eastAsia="Calibri"/>
          <w:szCs w:val="22"/>
          <w:lang w:eastAsia="en-US"/>
        </w:rPr>
        <w:t>]</w:t>
      </w:r>
      <w:r w:rsidRPr="009118AB">
        <w:t>]</w:t>
      </w:r>
    </w:p>
    <w:p w14:paraId="50D73768" w14:textId="6B756526" w:rsidR="00FB0346" w:rsidRPr="009118AB" w:rsidRDefault="00FB0346" w:rsidP="00FB0346">
      <w:pPr>
        <w:autoSpaceDE w:val="0"/>
        <w:autoSpaceDN w:val="0"/>
        <w:adjustRightInd w:val="0"/>
        <w:jc w:val="both"/>
      </w:pPr>
    </w:p>
    <w:p w14:paraId="11B650E1" w14:textId="6526B7E3" w:rsidR="00FB0346" w:rsidRPr="009118AB" w:rsidRDefault="00FB0346" w:rsidP="00FB0346">
      <w:pPr>
        <w:autoSpaceDE w:val="0"/>
        <w:autoSpaceDN w:val="0"/>
        <w:adjustRightInd w:val="0"/>
        <w:jc w:val="both"/>
        <w:rPr>
          <w:i/>
          <w:iCs/>
        </w:rPr>
      </w:pPr>
      <w:r w:rsidRPr="009118AB">
        <w:rPr>
          <w:i/>
        </w:rPr>
        <w:t>[</w:t>
      </w:r>
      <w:r w:rsidR="00D67EB8" w:rsidRPr="009118AB">
        <w:rPr>
          <w:i/>
        </w:rPr>
        <w:t>Art. </w:t>
      </w:r>
      <w:r w:rsidRPr="009118AB">
        <w:rPr>
          <w:i/>
        </w:rPr>
        <w:t xml:space="preserve">97/2 eingefügt durch </w:t>
      </w:r>
      <w:r w:rsidR="00D67EB8" w:rsidRPr="009118AB">
        <w:rPr>
          <w:i/>
        </w:rPr>
        <w:t>Art. </w:t>
      </w:r>
      <w:r w:rsidRPr="009118AB">
        <w:rPr>
          <w:i/>
        </w:rPr>
        <w:t>62</w:t>
      </w:r>
      <w:r w:rsidRPr="009118AB">
        <w:rPr>
          <w:i/>
          <w:iCs/>
        </w:rPr>
        <w:t xml:space="preserve"> des G. vom 24. Dezember 2020 (B.S. vom 31. Dezember 2020)</w:t>
      </w:r>
      <w:r w:rsidR="00684A7F" w:rsidRPr="009118AB">
        <w:rPr>
          <w:i/>
          <w:iCs/>
        </w:rPr>
        <w:t xml:space="preserve">; </w:t>
      </w:r>
      <w:r w:rsidR="00D67EB8" w:rsidRPr="009118AB">
        <w:rPr>
          <w:i/>
          <w:iCs/>
        </w:rPr>
        <w:t>Abs. </w:t>
      </w:r>
      <w:r w:rsidR="00684A7F" w:rsidRPr="009118AB">
        <w:rPr>
          <w:i/>
          <w:iCs/>
        </w:rPr>
        <w:t>2</w:t>
      </w:r>
      <w:r w:rsidR="00132B11" w:rsidRPr="009118AB">
        <w:rPr>
          <w:i/>
          <w:iCs/>
        </w:rPr>
        <w:t xml:space="preserve"> </w:t>
      </w:r>
      <w:r w:rsidR="0001730E" w:rsidRPr="009118AB">
        <w:rPr>
          <w:i/>
          <w:iCs/>
        </w:rPr>
        <w:t xml:space="preserve">ersetzt durch </w:t>
      </w:r>
      <w:r w:rsidR="00D67EB8" w:rsidRPr="009118AB">
        <w:rPr>
          <w:i/>
          <w:iCs/>
        </w:rPr>
        <w:t>Art. </w:t>
      </w:r>
      <w:r w:rsidR="0001730E" w:rsidRPr="009118AB">
        <w:rPr>
          <w:i/>
          <w:iCs/>
        </w:rPr>
        <w:t>5</w:t>
      </w:r>
      <w:r w:rsidR="00F36ACE" w:rsidRPr="009118AB">
        <w:rPr>
          <w:i/>
          <w:iCs/>
        </w:rPr>
        <w:t xml:space="preserve"> des G. vom 26. April 2022 (B.S. vom 6. Mai 2022)</w:t>
      </w:r>
      <w:r w:rsidR="00D67EB8" w:rsidRPr="009118AB">
        <w:rPr>
          <w:i/>
          <w:iCs/>
        </w:rPr>
        <w:t> - </w:t>
      </w:r>
      <w:r w:rsidR="00F36ACE" w:rsidRPr="009118AB">
        <w:rPr>
          <w:i/>
          <w:iCs/>
        </w:rPr>
        <w:t>anwendbar auf die ab dem 1. Januar 2022 bezogenen Einkünfte</w:t>
      </w:r>
      <w:r w:rsidR="00FD68E8" w:rsidRPr="009118AB">
        <w:rPr>
          <w:i/>
          <w:iCs/>
        </w:rPr>
        <w:t> -]</w:t>
      </w:r>
    </w:p>
    <w:p w14:paraId="40FE19DD" w14:textId="6F3312AB" w:rsidR="00FB0346" w:rsidRPr="009118AB" w:rsidRDefault="00FB0346" w:rsidP="00FB0346">
      <w:pPr>
        <w:autoSpaceDE w:val="0"/>
        <w:autoSpaceDN w:val="0"/>
        <w:adjustRightInd w:val="0"/>
        <w:jc w:val="both"/>
        <w:rPr>
          <w:i/>
          <w:iCs/>
        </w:rPr>
      </w:pPr>
    </w:p>
    <w:p w14:paraId="15600CBB" w14:textId="77777777" w:rsidR="00FB0346" w:rsidRPr="009118AB" w:rsidRDefault="00FB0346" w:rsidP="00FB0346">
      <w:pPr>
        <w:autoSpaceDE w:val="0"/>
        <w:autoSpaceDN w:val="0"/>
        <w:adjustRightInd w:val="0"/>
        <w:jc w:val="both"/>
        <w:rPr>
          <w:i/>
        </w:rPr>
      </w:pPr>
    </w:p>
    <w:p w14:paraId="140889F0" w14:textId="7EDD5690"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98</w:t>
      </w:r>
      <w:r w:rsidR="00D67EB8" w:rsidRPr="009118AB">
        <w:t> - </w:t>
      </w:r>
      <w:r w:rsidRPr="009118AB">
        <w:t xml:space="preserve">[Unter den in </w:t>
      </w:r>
      <w:r w:rsidR="003055AC" w:rsidRPr="009118AB">
        <w:t xml:space="preserve">[Artikel 90 Absatz 1 </w:t>
      </w:r>
      <w:r w:rsidR="00D67EB8" w:rsidRPr="009118AB">
        <w:t>Nr. </w:t>
      </w:r>
      <w:r w:rsidR="003055AC" w:rsidRPr="009118AB">
        <w:t xml:space="preserve">2] </w:t>
      </w:r>
      <w:r w:rsidRPr="009118AB">
        <w:t xml:space="preserve">erwähnten Einkünften versteht man den dem Empfänger tatsächlich gezahlten oder zuerkannten Betrag, gegebenenfalls erhöht um den Berufssteuervorabzug </w:t>
      </w:r>
      <w:r w:rsidR="00541329" w:rsidRPr="009118AB">
        <w:t>[…]</w:t>
      </w:r>
      <w:r w:rsidRPr="009118AB">
        <w:t>.</w:t>
      </w:r>
    </w:p>
    <w:p w14:paraId="26A07B47" w14:textId="77777777" w:rsidR="00477B8F" w:rsidRPr="009118AB" w:rsidRDefault="00477B8F" w:rsidP="00477B8F">
      <w:pPr>
        <w:autoSpaceDE w:val="0"/>
        <w:autoSpaceDN w:val="0"/>
        <w:adjustRightInd w:val="0"/>
        <w:jc w:val="both"/>
      </w:pPr>
    </w:p>
    <w:p w14:paraId="75A62A62" w14:textId="4D5E0EB9" w:rsidR="00477B8F" w:rsidRPr="009118AB" w:rsidRDefault="00477B8F" w:rsidP="00FB0346">
      <w:pPr>
        <w:autoSpaceDE w:val="0"/>
        <w:autoSpaceDN w:val="0"/>
        <w:adjustRightInd w:val="0"/>
        <w:jc w:val="both"/>
      </w:pPr>
      <w:r w:rsidRPr="009118AB">
        <w:tab/>
        <w:t xml:space="preserve">Unter den in </w:t>
      </w:r>
      <w:r w:rsidR="003055AC" w:rsidRPr="009118AB">
        <w:t xml:space="preserve">[Artikel 90 Absatz 1 </w:t>
      </w:r>
      <w:r w:rsidR="00D67EB8" w:rsidRPr="009118AB">
        <w:t>Nr. </w:t>
      </w:r>
      <w:r w:rsidR="003055AC" w:rsidRPr="009118AB">
        <w:t>5 bis 7 und 11]</w:t>
      </w:r>
      <w:r w:rsidRPr="009118AB">
        <w:t xml:space="preserve"> erwähnten Einkünften versteht man den dem Empfänger tatsächlich gezahlten oder zuerkannten Betrag, gegebenenfalls erhöht um den Mobiliensteuervorabzug.]</w:t>
      </w:r>
    </w:p>
    <w:p w14:paraId="02B4D868" w14:textId="77777777" w:rsidR="00477B8F" w:rsidRPr="009118AB" w:rsidRDefault="00477B8F" w:rsidP="00477B8F">
      <w:pPr>
        <w:autoSpaceDE w:val="0"/>
        <w:autoSpaceDN w:val="0"/>
        <w:adjustRightInd w:val="0"/>
        <w:jc w:val="both"/>
      </w:pPr>
    </w:p>
    <w:p w14:paraId="6EDEC959" w14:textId="7F3F75B2"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98 ersetzt durch </w:t>
      </w:r>
      <w:r w:rsidR="00D67EB8" w:rsidRPr="009118AB">
        <w:rPr>
          <w:i/>
          <w:iCs/>
        </w:rPr>
        <w:t>Art. </w:t>
      </w:r>
      <w:r w:rsidRPr="009118AB">
        <w:rPr>
          <w:i/>
          <w:iCs/>
        </w:rPr>
        <w:t>4 des G. vom 27. Oktober 199</w:t>
      </w:r>
      <w:r w:rsidR="00B3148A" w:rsidRPr="009118AB">
        <w:rPr>
          <w:i/>
          <w:iCs/>
        </w:rPr>
        <w:t>7 (B.S. vom 2. Dezember 1997)</w:t>
      </w:r>
      <w:r w:rsidR="00D67EB8" w:rsidRPr="009118AB">
        <w:rPr>
          <w:i/>
          <w:iCs/>
        </w:rPr>
        <w:t> - </w:t>
      </w:r>
      <w:r w:rsidRPr="009118AB">
        <w:rPr>
          <w:i/>
          <w:iCs/>
        </w:rPr>
        <w:t>anwendbar ab dem Steuerjahr 1997</w:t>
      </w:r>
      <w:r w:rsidR="003366D9" w:rsidRPr="009118AB">
        <w:rPr>
          <w:i/>
          <w:iCs/>
        </w:rPr>
        <w:t> -;</w:t>
      </w:r>
      <w:r w:rsidRPr="009118AB">
        <w:rPr>
          <w:i/>
          <w:iCs/>
        </w:rPr>
        <w:t xml:space="preserve"> </w:t>
      </w:r>
      <w:r w:rsidR="00D67EB8" w:rsidRPr="009118AB">
        <w:rPr>
          <w:i/>
          <w:iCs/>
        </w:rPr>
        <w:t>Abs. </w:t>
      </w:r>
      <w:r w:rsidR="00541329" w:rsidRPr="009118AB">
        <w:rPr>
          <w:i/>
          <w:iCs/>
        </w:rPr>
        <w:t xml:space="preserve">1 abgeändert durch </w:t>
      </w:r>
      <w:r w:rsidR="00D67EB8" w:rsidRPr="009118AB">
        <w:rPr>
          <w:i/>
          <w:iCs/>
        </w:rPr>
        <w:t>Art. </w:t>
      </w:r>
      <w:r w:rsidR="00541329" w:rsidRPr="009118AB">
        <w:rPr>
          <w:i/>
          <w:iCs/>
        </w:rPr>
        <w:t>6 des G. vom 13. Dezember 2012 (B.S. vom 20. Dezember 2012)</w:t>
      </w:r>
      <w:r w:rsidR="00D67EB8" w:rsidRPr="009118AB">
        <w:rPr>
          <w:i/>
          <w:iCs/>
        </w:rPr>
        <w:t> - </w:t>
      </w:r>
      <w:r w:rsidR="00656A0F" w:rsidRPr="009118AB">
        <w:rPr>
          <w:i/>
          <w:iCs/>
        </w:rPr>
        <w:t>in Kraft ab dem Steuerjahr 2013</w:t>
      </w:r>
      <w:r w:rsidR="00D67EB8" w:rsidRPr="009118AB">
        <w:rPr>
          <w:i/>
          <w:iCs/>
        </w:rPr>
        <w:t> - </w:t>
      </w:r>
      <w:r w:rsidR="003055AC" w:rsidRPr="009118AB">
        <w:rPr>
          <w:i/>
          <w:iCs/>
        </w:rPr>
        <w:t xml:space="preserve">und </w:t>
      </w:r>
      <w:r w:rsidR="00D67EB8" w:rsidRPr="009118AB">
        <w:rPr>
          <w:i/>
          <w:iCs/>
        </w:rPr>
        <w:t>Art. </w:t>
      </w:r>
      <w:r w:rsidR="003055AC" w:rsidRPr="009118AB">
        <w:rPr>
          <w:i/>
          <w:iCs/>
        </w:rPr>
        <w:t xml:space="preserve">57 </w:t>
      </w:r>
      <w:r w:rsidR="00D67EB8" w:rsidRPr="009118AB">
        <w:rPr>
          <w:i/>
          <w:iCs/>
        </w:rPr>
        <w:t>Nr. </w:t>
      </w:r>
      <w:r w:rsidR="003055AC" w:rsidRPr="009118AB">
        <w:rPr>
          <w:i/>
          <w:iCs/>
        </w:rPr>
        <w:t>1</w:t>
      </w:r>
      <w:r w:rsidR="003055AC" w:rsidRPr="009118AB">
        <w:rPr>
          <w:i/>
        </w:rPr>
        <w:t xml:space="preserve"> des G. vom 26. Dezember 2015 (II) (B.S. vom 30. Dezember 2015)</w:t>
      </w:r>
      <w:r w:rsidR="00D67EB8" w:rsidRPr="009118AB">
        <w:t> - </w:t>
      </w:r>
      <w:r w:rsidR="003055AC"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t> -;</w:t>
      </w:r>
      <w:r w:rsidR="00656A0F"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40 des G. vom 15. Dezember 2004 (B.S. vom 1. Februar 2005)</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D67EB8" w:rsidRPr="009118AB">
        <w:rPr>
          <w:i/>
          <w:iCs/>
        </w:rPr>
        <w:t> - </w:t>
      </w:r>
      <w:r w:rsidR="003055AC" w:rsidRPr="009118AB">
        <w:rPr>
          <w:i/>
          <w:iCs/>
        </w:rPr>
        <w:t xml:space="preserve">und </w:t>
      </w:r>
      <w:r w:rsidR="00D67EB8" w:rsidRPr="009118AB">
        <w:rPr>
          <w:i/>
          <w:iCs/>
        </w:rPr>
        <w:t>Art. </w:t>
      </w:r>
      <w:r w:rsidR="003055AC" w:rsidRPr="009118AB">
        <w:rPr>
          <w:i/>
          <w:iCs/>
        </w:rPr>
        <w:t xml:space="preserve">57 </w:t>
      </w:r>
      <w:r w:rsidR="00D67EB8" w:rsidRPr="009118AB">
        <w:rPr>
          <w:i/>
          <w:iCs/>
        </w:rPr>
        <w:t>Nr. </w:t>
      </w:r>
      <w:r w:rsidR="003055AC" w:rsidRPr="009118AB">
        <w:rPr>
          <w:i/>
          <w:iCs/>
        </w:rPr>
        <w:t>2</w:t>
      </w:r>
      <w:r w:rsidR="003055AC" w:rsidRPr="009118AB">
        <w:rPr>
          <w:i/>
        </w:rPr>
        <w:t xml:space="preserve"> des G. vom 26. Dezember 2015 (II) (B.S. vom 30. Dezember 2015)</w:t>
      </w:r>
      <w:r w:rsidR="00D67EB8" w:rsidRPr="009118AB">
        <w:t> - </w:t>
      </w:r>
      <w:r w:rsidR="003055AC"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73DF44AE" w14:textId="77777777" w:rsidR="00477B8F" w:rsidRPr="009118AB" w:rsidRDefault="00477B8F" w:rsidP="00477B8F">
      <w:pPr>
        <w:autoSpaceDE w:val="0"/>
        <w:autoSpaceDN w:val="0"/>
        <w:adjustRightInd w:val="0"/>
        <w:jc w:val="both"/>
      </w:pPr>
    </w:p>
    <w:p w14:paraId="575AC6F6" w14:textId="77777777" w:rsidR="00477B8F" w:rsidRPr="009118AB" w:rsidRDefault="00477B8F" w:rsidP="00477B8F">
      <w:pPr>
        <w:autoSpaceDE w:val="0"/>
        <w:autoSpaceDN w:val="0"/>
        <w:adjustRightInd w:val="0"/>
        <w:jc w:val="both"/>
      </w:pPr>
    </w:p>
    <w:p w14:paraId="508FC008" w14:textId="0B0297B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99</w:t>
      </w:r>
      <w:r w:rsidR="00D67EB8" w:rsidRPr="009118AB">
        <w:t> - </w:t>
      </w:r>
      <w:r w:rsidRPr="009118AB">
        <w:t xml:space="preserve">In </w:t>
      </w:r>
      <w:r w:rsidR="003055AC" w:rsidRPr="009118AB">
        <w:t xml:space="preserve">[Artikel 90 Absatz 1 </w:t>
      </w:r>
      <w:r w:rsidR="00D67EB8" w:rsidRPr="009118AB">
        <w:t>Nr. </w:t>
      </w:r>
      <w:r w:rsidR="003055AC" w:rsidRPr="009118AB">
        <w:t>3 und 4]</w:t>
      </w:r>
      <w:r w:rsidRPr="009118AB">
        <w:t xml:space="preserve"> erwähnte Unterhaltsleistungen oder Kapitalien werden bis zu 80 Prozent des dem Empfänger tatsächlich gezahlten oder zuerkannten Betrags berücksichtigt.</w:t>
      </w:r>
    </w:p>
    <w:p w14:paraId="35C6C5A1" w14:textId="77777777" w:rsidR="003055AC" w:rsidRPr="009118AB" w:rsidRDefault="003055AC" w:rsidP="00477B8F">
      <w:pPr>
        <w:autoSpaceDE w:val="0"/>
        <w:autoSpaceDN w:val="0"/>
        <w:adjustRightInd w:val="0"/>
        <w:jc w:val="both"/>
      </w:pPr>
    </w:p>
    <w:p w14:paraId="25987959" w14:textId="67D520AB" w:rsidR="003055AC" w:rsidRPr="009118AB" w:rsidRDefault="003055AC" w:rsidP="00477B8F">
      <w:pPr>
        <w:autoSpaceDE w:val="0"/>
        <w:autoSpaceDN w:val="0"/>
        <w:adjustRightInd w:val="0"/>
        <w:jc w:val="both"/>
        <w:rPr>
          <w:i/>
        </w:rPr>
      </w:pPr>
      <w:r w:rsidRPr="009118AB">
        <w:rPr>
          <w:i/>
        </w:rPr>
        <w:t>[</w:t>
      </w:r>
      <w:r w:rsidR="00D67EB8" w:rsidRPr="009118AB">
        <w:rPr>
          <w:i/>
        </w:rPr>
        <w:t>Art. </w:t>
      </w:r>
      <w:r w:rsidRPr="009118AB">
        <w:rPr>
          <w:i/>
        </w:rPr>
        <w:t xml:space="preserve">99 abgeändert durch </w:t>
      </w:r>
      <w:r w:rsidR="00D67EB8" w:rsidRPr="009118AB">
        <w:rPr>
          <w:i/>
        </w:rPr>
        <w:t>Art. </w:t>
      </w:r>
      <w:r w:rsidRPr="009118AB">
        <w:rPr>
          <w:i/>
        </w:rPr>
        <w:t>58 des G. vom 26. Dezember 2015 (II) (B.S. vom 30. Dezember 2015)</w:t>
      </w:r>
      <w:r w:rsidR="00D67EB8" w:rsidRPr="009118AB">
        <w:t> - </w:t>
      </w:r>
      <w:r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364A9A7E" w14:textId="556EB64B" w:rsidR="005648C4" w:rsidRDefault="005648C4"/>
    <w:p w14:paraId="24007693" w14:textId="77777777" w:rsidR="00BA2134" w:rsidRDefault="00BA2134"/>
    <w:p w14:paraId="6DB26393" w14:textId="347CE42E" w:rsidR="00477B8F" w:rsidRPr="009118AB" w:rsidRDefault="001E243B" w:rsidP="00477B8F">
      <w:pPr>
        <w:autoSpaceDE w:val="0"/>
        <w:autoSpaceDN w:val="0"/>
        <w:adjustRightInd w:val="0"/>
        <w:jc w:val="both"/>
      </w:pPr>
      <w:r w:rsidRPr="009118AB">
        <w:tab/>
      </w:r>
      <w:r w:rsidR="00D67EB8" w:rsidRPr="009118AB">
        <w:rPr>
          <w:b/>
          <w:bCs/>
        </w:rPr>
        <w:t>Art. </w:t>
      </w:r>
      <w:r w:rsidR="00477B8F" w:rsidRPr="009118AB">
        <w:rPr>
          <w:b/>
          <w:bCs/>
        </w:rPr>
        <w:t>100</w:t>
      </w:r>
      <w:r w:rsidR="00D67EB8" w:rsidRPr="009118AB">
        <w:t> - </w:t>
      </w:r>
      <w:r w:rsidR="00477B8F" w:rsidRPr="009118AB">
        <w:t xml:space="preserve">Unter den in </w:t>
      </w:r>
      <w:r w:rsidR="00520FB8" w:rsidRPr="009118AB">
        <w:t xml:space="preserve">[Artikel 90 Absatz 1 </w:t>
      </w:r>
      <w:r w:rsidR="00D67EB8" w:rsidRPr="009118AB">
        <w:t>Nr. </w:t>
      </w:r>
      <w:r w:rsidR="00520FB8" w:rsidRPr="009118AB">
        <w:t>5]</w:t>
      </w:r>
      <w:r w:rsidR="00477B8F" w:rsidRPr="009118AB">
        <w:t xml:space="preserve"> erwähnten Einkünften versteht man:</w:t>
      </w:r>
    </w:p>
    <w:p w14:paraId="6FA2F1B7" w14:textId="77777777" w:rsidR="00477B8F" w:rsidRPr="009118AB" w:rsidRDefault="00477B8F" w:rsidP="00477B8F">
      <w:pPr>
        <w:autoSpaceDE w:val="0"/>
        <w:autoSpaceDN w:val="0"/>
        <w:adjustRightInd w:val="0"/>
        <w:jc w:val="both"/>
      </w:pPr>
    </w:p>
    <w:p w14:paraId="591FE84C" w14:textId="77777777" w:rsidR="00477B8F" w:rsidRPr="009118AB" w:rsidRDefault="00477B8F" w:rsidP="00477B8F">
      <w:pPr>
        <w:autoSpaceDE w:val="0"/>
        <w:autoSpaceDN w:val="0"/>
        <w:adjustRightInd w:val="0"/>
        <w:jc w:val="both"/>
      </w:pPr>
      <w:r w:rsidRPr="009118AB">
        <w:tab/>
        <w:t>1. in Bezug auf Untervermietung von oder Abtretung eines Mietvertrags über unbewegliche Güter die Differenz zwischen den beiden nachstehenden Größen:</w:t>
      </w:r>
    </w:p>
    <w:p w14:paraId="381F9E53" w14:textId="77777777" w:rsidR="00491954" w:rsidRPr="009118AB" w:rsidRDefault="00491954" w:rsidP="00477B8F">
      <w:pPr>
        <w:autoSpaceDE w:val="0"/>
        <w:autoSpaceDN w:val="0"/>
        <w:adjustRightInd w:val="0"/>
        <w:jc w:val="both"/>
      </w:pPr>
    </w:p>
    <w:p w14:paraId="3009B384"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dem Gesamtbetrag, der sich zusammensetzt aus den Mietpreisen und anderen Mietvorteilen, die der Mieter oder Zedent erhält, und aus dem Mietwert der Räumlichkeiten, die er selbst bewohnt,</w:t>
      </w:r>
    </w:p>
    <w:p w14:paraId="7F388EDD" w14:textId="77777777" w:rsidR="00477B8F" w:rsidRPr="009118AB" w:rsidRDefault="00477B8F" w:rsidP="00477B8F">
      <w:pPr>
        <w:autoSpaceDE w:val="0"/>
        <w:autoSpaceDN w:val="0"/>
        <w:adjustRightInd w:val="0"/>
        <w:jc w:val="both"/>
      </w:pPr>
    </w:p>
    <w:p w14:paraId="37CDB22A"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dem Gesamtbetrag der Mietpreise und Mietnebenkosten, die der Mieter oder Zedent zahlt, und der Kosten, für die er nachweist, dass er sie während des Besteuerungs</w:t>
      </w:r>
      <w:r w:rsidR="002F0502" w:rsidRPr="009118AB">
        <w:softHyphen/>
      </w:r>
      <w:r w:rsidRPr="009118AB">
        <w:t>zeitraums gemacht oder getragen hat, um diese Einkünfte zu erwerben oder zu behalten,</w:t>
      </w:r>
    </w:p>
    <w:p w14:paraId="6938D517" w14:textId="77777777" w:rsidR="00477B8F" w:rsidRPr="009118AB" w:rsidRDefault="00477B8F" w:rsidP="00477B8F">
      <w:pPr>
        <w:autoSpaceDE w:val="0"/>
        <w:autoSpaceDN w:val="0"/>
        <w:adjustRightInd w:val="0"/>
        <w:jc w:val="both"/>
      </w:pPr>
    </w:p>
    <w:p w14:paraId="4453B968" w14:textId="70C1FEA5" w:rsidR="00477B8F" w:rsidRPr="009118AB" w:rsidRDefault="00477B8F" w:rsidP="00477B8F">
      <w:pPr>
        <w:autoSpaceDE w:val="0"/>
        <w:autoSpaceDN w:val="0"/>
        <w:adjustRightInd w:val="0"/>
        <w:jc w:val="both"/>
      </w:pPr>
      <w:r w:rsidRPr="009118AB">
        <w:tab/>
        <w:t xml:space="preserve">2. in Bezug auf die zeitweilige Überlassung des Rechts, Plakate oder andere Werbeträger anzubringen, </w:t>
      </w:r>
      <w:r w:rsidR="00656A0F" w:rsidRPr="003441F1">
        <w:t>[</w:t>
      </w:r>
      <w:r w:rsidR="003441F1" w:rsidRPr="003441F1">
        <w:t>...</w:t>
      </w:r>
      <w:r w:rsidR="00656A0F" w:rsidRPr="003441F1">
        <w:t>]</w:t>
      </w:r>
      <w:r w:rsidR="00656A0F" w:rsidRPr="009118AB">
        <w:t xml:space="preserve"> </w:t>
      </w:r>
      <w:r w:rsidRPr="009118AB">
        <w:t>die Differenz zwischen den beiden nachstehenden Größen:</w:t>
      </w:r>
    </w:p>
    <w:p w14:paraId="5AFCB3C1" w14:textId="77777777" w:rsidR="00477B8F" w:rsidRPr="009118AB" w:rsidRDefault="00477B8F" w:rsidP="00477B8F">
      <w:pPr>
        <w:autoSpaceDE w:val="0"/>
        <w:autoSpaceDN w:val="0"/>
        <w:adjustRightInd w:val="0"/>
        <w:jc w:val="both"/>
      </w:pPr>
    </w:p>
    <w:p w14:paraId="2B88DF50"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dem Gesamtbetrag der vom Zedenten erhaltenen Beträge und Vorteile,</w:t>
      </w:r>
    </w:p>
    <w:p w14:paraId="3CEBBEA1" w14:textId="77777777" w:rsidR="00477B8F" w:rsidRPr="009118AB" w:rsidRDefault="00477B8F" w:rsidP="00477B8F">
      <w:pPr>
        <w:autoSpaceDE w:val="0"/>
        <w:autoSpaceDN w:val="0"/>
        <w:adjustRightInd w:val="0"/>
        <w:jc w:val="both"/>
      </w:pPr>
    </w:p>
    <w:p w14:paraId="3AFCF3AA"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dem Gesamtbetrag der Kosten, für die der Zedent nachweist, dass er sie während des Besteuerungszeitraums gemacht oder getragen hat, um diese Einkünfte zu erwerben oder zu behalten; in Ermangelung von beweiskräftigen Angaben werden diese Kosten pauschal auf 5 Prozent der erhaltenen Beträge und Vorteile festgelegt.</w:t>
      </w:r>
    </w:p>
    <w:p w14:paraId="151C9E0C" w14:textId="77777777" w:rsidR="00477B8F" w:rsidRPr="009118AB" w:rsidRDefault="00477B8F" w:rsidP="00477B8F">
      <w:pPr>
        <w:autoSpaceDE w:val="0"/>
        <w:autoSpaceDN w:val="0"/>
        <w:adjustRightInd w:val="0"/>
        <w:jc w:val="both"/>
      </w:pPr>
    </w:p>
    <w:p w14:paraId="05E7EB4F" w14:textId="77777777" w:rsidR="00477B8F" w:rsidRPr="009118AB" w:rsidRDefault="00477B8F" w:rsidP="00477B8F">
      <w:pPr>
        <w:autoSpaceDE w:val="0"/>
        <w:autoSpaceDN w:val="0"/>
        <w:adjustRightInd w:val="0"/>
        <w:jc w:val="both"/>
      </w:pPr>
      <w:r w:rsidRPr="009118AB">
        <w:tab/>
        <w:t>In beiden Fällen werden die erhaltenen Vorteile oder die gemachten Kosten, die eine einmalige Einnahme oder Ausgabe darstellen, auf die Gesamtdauer des Mietvertrags oder der Überlassung verteilt.</w:t>
      </w:r>
    </w:p>
    <w:p w14:paraId="2D3AEAFA" w14:textId="77777777" w:rsidR="00656A0F" w:rsidRPr="009118AB" w:rsidRDefault="00656A0F" w:rsidP="00477B8F">
      <w:pPr>
        <w:autoSpaceDE w:val="0"/>
        <w:autoSpaceDN w:val="0"/>
        <w:adjustRightInd w:val="0"/>
        <w:jc w:val="both"/>
      </w:pPr>
    </w:p>
    <w:p w14:paraId="485531EA" w14:textId="0E94E6A5" w:rsidR="00656A0F" w:rsidRPr="00531C1E" w:rsidRDefault="00656A0F" w:rsidP="003918E5">
      <w:pPr>
        <w:jc w:val="both"/>
        <w:rPr>
          <w:i/>
        </w:rPr>
      </w:pPr>
      <w:r w:rsidRPr="009118AB">
        <w:rPr>
          <w:i/>
        </w:rPr>
        <w:t>[</w:t>
      </w:r>
      <w:r w:rsidR="00D67EB8" w:rsidRPr="009118AB">
        <w:rPr>
          <w:i/>
        </w:rPr>
        <w:t>Art. </w:t>
      </w:r>
      <w:r w:rsidRPr="009118AB">
        <w:rPr>
          <w:i/>
        </w:rPr>
        <w:t xml:space="preserve">100 </w:t>
      </w:r>
      <w:r w:rsidR="00D67EB8" w:rsidRPr="009118AB">
        <w:rPr>
          <w:i/>
        </w:rPr>
        <w:t>Abs. </w:t>
      </w:r>
      <w:r w:rsidR="00520FB8" w:rsidRPr="009118AB">
        <w:rPr>
          <w:i/>
        </w:rPr>
        <w:t xml:space="preserve">1 einleitende Bestimmung abgeändert durch </w:t>
      </w:r>
      <w:r w:rsidR="00D67EB8" w:rsidRPr="009118AB">
        <w:rPr>
          <w:i/>
        </w:rPr>
        <w:t>Art. </w:t>
      </w:r>
      <w:r w:rsidR="00520FB8" w:rsidRPr="009118AB">
        <w:rPr>
          <w:i/>
        </w:rPr>
        <w:t>59 des G. vom 26. Dezember 2015 (II) (B.S. vom 30. Dezember 2015)</w:t>
      </w:r>
      <w:r w:rsidR="00D67EB8" w:rsidRPr="009118AB">
        <w:t> - </w:t>
      </w:r>
      <w:r w:rsidR="00520FB8" w:rsidRPr="009118AB">
        <w:rPr>
          <w:i/>
        </w:rPr>
        <w:t xml:space="preserve">anwendbar auf Mehrwerte, die auf börsennotierte Aktien oder Anteile, Optionen, Optionsscheine oder andere börsennotierte Finanzinstrumente verwirklicht werden, die entweder ab dem 1. Januar 2016 entgeltlich </w:t>
      </w:r>
      <w:r w:rsidR="00520FB8" w:rsidRPr="003441F1">
        <w:rPr>
          <w:i/>
        </w:rPr>
        <w:t>erworben werden oder im Falle eines Leerverkaufs ab dem 1. Januar 2016 verkauft werden</w:t>
      </w:r>
      <w:r w:rsidR="003366D9" w:rsidRPr="003441F1">
        <w:rPr>
          <w:i/>
        </w:rPr>
        <w:t> -;</w:t>
      </w:r>
      <w:r w:rsidR="00520FB8" w:rsidRPr="003441F1">
        <w:rPr>
          <w:i/>
        </w:rPr>
        <w:t xml:space="preserve"> </w:t>
      </w:r>
      <w:r w:rsidR="00D67EB8" w:rsidRPr="003441F1">
        <w:rPr>
          <w:i/>
        </w:rPr>
        <w:t>Abs. </w:t>
      </w:r>
      <w:r w:rsidRPr="003441F1">
        <w:rPr>
          <w:i/>
        </w:rPr>
        <w:t xml:space="preserve">1 </w:t>
      </w:r>
      <w:r w:rsidR="00D67EB8" w:rsidRPr="003441F1">
        <w:rPr>
          <w:i/>
        </w:rPr>
        <w:t>Nr. </w:t>
      </w:r>
      <w:r w:rsidRPr="003441F1">
        <w:rPr>
          <w:i/>
        </w:rPr>
        <w:t xml:space="preserve">2 einziger Absatz einleitende Bestimmung abgeändert durch </w:t>
      </w:r>
      <w:r w:rsidR="00D67EB8" w:rsidRPr="003441F1">
        <w:rPr>
          <w:i/>
        </w:rPr>
        <w:t>Art. </w:t>
      </w:r>
      <w:r w:rsidRPr="003441F1">
        <w:rPr>
          <w:i/>
        </w:rPr>
        <w:t>7</w:t>
      </w:r>
      <w:r w:rsidRPr="003441F1">
        <w:rPr>
          <w:i/>
          <w:iCs/>
        </w:rPr>
        <w:t xml:space="preserve"> des G. vom 13. Dezember 2012 (B.S. vom 20. Dezember 2012)</w:t>
      </w:r>
      <w:r w:rsidR="00D67EB8" w:rsidRPr="003441F1">
        <w:rPr>
          <w:i/>
          <w:iCs/>
        </w:rPr>
        <w:t> - </w:t>
      </w:r>
      <w:r w:rsidRPr="003441F1">
        <w:rPr>
          <w:i/>
          <w:iCs/>
        </w:rPr>
        <w:t>anwendbar auf die ab dem 1. Januar 2012 bezogenen Einkünfte</w:t>
      </w:r>
      <w:r w:rsidR="003366D9" w:rsidRPr="003441F1">
        <w:rPr>
          <w:i/>
          <w:iCs/>
        </w:rPr>
        <w:t> -</w:t>
      </w:r>
      <w:r w:rsidR="003441F1" w:rsidRPr="003441F1">
        <w:rPr>
          <w:i/>
          <w:iCs/>
        </w:rPr>
        <w:t>,</w:t>
      </w:r>
      <w:r w:rsidR="003918E5" w:rsidRPr="003441F1">
        <w:rPr>
          <w:i/>
          <w:iCs/>
        </w:rPr>
        <w:t xml:space="preserve"> </w:t>
      </w:r>
      <w:r w:rsidR="003441F1" w:rsidRPr="003441F1">
        <w:rPr>
          <w:i/>
          <w:iCs/>
        </w:rPr>
        <w:t>selbst bedingt für nichtig erklärt dur</w:t>
      </w:r>
      <w:r w:rsidR="003918E5" w:rsidRPr="003441F1">
        <w:rPr>
          <w:i/>
        </w:rPr>
        <w:t xml:space="preserve">ch Entscheid </w:t>
      </w:r>
      <w:r w:rsidR="00D67EB8" w:rsidRPr="003441F1">
        <w:rPr>
          <w:i/>
        </w:rPr>
        <w:t>Nr. </w:t>
      </w:r>
      <w:r w:rsidR="003918E5" w:rsidRPr="003441F1">
        <w:rPr>
          <w:i/>
        </w:rPr>
        <w:t>93/2014 des Verfassungsgerichtshofes vom 19. </w:t>
      </w:r>
      <w:r w:rsidR="003918E5" w:rsidRPr="00531C1E">
        <w:rPr>
          <w:i/>
        </w:rPr>
        <w:t>Juni 2014 (B.S. vom 10. Juli 2014)]</w:t>
      </w:r>
    </w:p>
    <w:p w14:paraId="0768C796" w14:textId="77777777" w:rsidR="00477B8F" w:rsidRPr="00531C1E" w:rsidRDefault="00477B8F" w:rsidP="00477B8F">
      <w:pPr>
        <w:autoSpaceDE w:val="0"/>
        <w:autoSpaceDN w:val="0"/>
        <w:adjustRightInd w:val="0"/>
        <w:jc w:val="both"/>
      </w:pPr>
    </w:p>
    <w:p w14:paraId="024EF5E4" w14:textId="77777777" w:rsidR="003441F1" w:rsidRDefault="003441F1" w:rsidP="00477B8F">
      <w:pPr>
        <w:autoSpaceDE w:val="0"/>
        <w:autoSpaceDN w:val="0"/>
        <w:adjustRightInd w:val="0"/>
        <w:jc w:val="both"/>
      </w:pPr>
    </w:p>
    <w:p w14:paraId="5471F84B" w14:textId="016106CF"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101</w:t>
      </w:r>
      <w:r w:rsidR="00D67EB8" w:rsidRPr="009118AB">
        <w:t> - § </w:t>
      </w:r>
      <w:r w:rsidRPr="009118AB">
        <w:t>1</w:t>
      </w:r>
      <w:r w:rsidR="00D67EB8" w:rsidRPr="009118AB">
        <w:t> - </w:t>
      </w:r>
      <w:r w:rsidRPr="009118AB">
        <w:t xml:space="preserve">Unter den in </w:t>
      </w:r>
      <w:r w:rsidR="00520FB8" w:rsidRPr="009118AB">
        <w:t xml:space="preserve">[Artikel 90 Absatz 1 </w:t>
      </w:r>
      <w:r w:rsidR="00D67EB8" w:rsidRPr="009118AB">
        <w:t>Nr. </w:t>
      </w:r>
      <w:r w:rsidR="00520FB8" w:rsidRPr="009118AB">
        <w:t xml:space="preserve">8] </w:t>
      </w:r>
      <w:r w:rsidRPr="009118AB">
        <w:t>erwähnten Mehrwerten versteht man die Differenz zwischen den beiden nachstehenden Größen:</w:t>
      </w:r>
    </w:p>
    <w:p w14:paraId="334F256C" w14:textId="77777777" w:rsidR="00477B8F" w:rsidRPr="009118AB" w:rsidRDefault="00477B8F" w:rsidP="00477B8F">
      <w:pPr>
        <w:autoSpaceDE w:val="0"/>
        <w:autoSpaceDN w:val="0"/>
        <w:adjustRightInd w:val="0"/>
        <w:jc w:val="both"/>
      </w:pPr>
    </w:p>
    <w:p w14:paraId="7E5B6158" w14:textId="77777777" w:rsidR="00477B8F" w:rsidRPr="009118AB" w:rsidRDefault="00477B8F" w:rsidP="00477B8F">
      <w:pPr>
        <w:autoSpaceDE w:val="0"/>
        <w:autoSpaceDN w:val="0"/>
        <w:adjustRightInd w:val="0"/>
        <w:jc w:val="both"/>
      </w:pPr>
      <w:r w:rsidRPr="009118AB">
        <w:tab/>
        <w:t>1. dem Preis, zu dem die Abtretung des Gutes erfolgte, oder, wenn der Verkaufswert höher als dieser Preis ist, dem Verkaufswert, der als Grundlage für die Erhebung der Registrierungsgebühr gedient hat, wobei dieser Preis oder Wert gegebenenfalls um die Kosten verringert wird, für die der Steuerpflichtige nachweist, dass er sie aufgrund der Veräußerung des Gutes gemacht oder getragen hat,</w:t>
      </w:r>
    </w:p>
    <w:p w14:paraId="12B26741" w14:textId="77777777" w:rsidR="00477B8F" w:rsidRPr="009118AB" w:rsidRDefault="00477B8F" w:rsidP="00477B8F">
      <w:pPr>
        <w:autoSpaceDE w:val="0"/>
        <w:autoSpaceDN w:val="0"/>
        <w:adjustRightInd w:val="0"/>
        <w:jc w:val="both"/>
      </w:pPr>
    </w:p>
    <w:p w14:paraId="612FECDF" w14:textId="12B0AFA9" w:rsidR="00477B8F" w:rsidRPr="009118AB" w:rsidRDefault="00477B8F" w:rsidP="00477B8F">
      <w:pPr>
        <w:autoSpaceDE w:val="0"/>
        <w:autoSpaceDN w:val="0"/>
        <w:adjustRightInd w:val="0"/>
        <w:jc w:val="both"/>
      </w:pPr>
      <w:r w:rsidRPr="009118AB">
        <w:lastRenderedPageBreak/>
        <w:tab/>
        <w:t xml:space="preserve">2. dem Preis, zu dem das Gut entgeltlich vom Steuerpflichtigen oder Schenker erworben wurde, je nachdem ob das Gut unter den in </w:t>
      </w:r>
      <w:r w:rsidR="00520FB8" w:rsidRPr="009118AB">
        <w:t xml:space="preserve">[Artikel 90 Absatz 1 </w:t>
      </w:r>
      <w:r w:rsidR="00D67EB8" w:rsidRPr="009118AB">
        <w:t>Nr. </w:t>
      </w:r>
      <w:r w:rsidR="00520FB8" w:rsidRPr="009118AB">
        <w:t xml:space="preserve">8] </w:t>
      </w:r>
      <w:r w:rsidRPr="009118AB">
        <w:t>Buchstabe </w:t>
      </w:r>
      <w:r w:rsidRPr="009118AB">
        <w:rPr>
          <w:i/>
          <w:iCs/>
        </w:rPr>
        <w:t>a)</w:t>
      </w:r>
      <w:r w:rsidRPr="009118AB">
        <w:t xml:space="preserve"> oder </w:t>
      </w:r>
      <w:r w:rsidRPr="009118AB">
        <w:rPr>
          <w:i/>
          <w:iCs/>
        </w:rPr>
        <w:t>b)</w:t>
      </w:r>
      <w:r w:rsidRPr="009118AB">
        <w:t xml:space="preserve"> vorgesehenen Bedingungen veräußert wird, oder, wenn der Verkaufswert höher als dieser Preis ist, dem Verkaufswert, der als Grundlage für die Erhebung der Registrierungsgebühr gedient hat, wobei der Erwerbspreis:</w:t>
      </w:r>
    </w:p>
    <w:p w14:paraId="069F1310" w14:textId="77777777" w:rsidR="00477B8F" w:rsidRPr="009118AB" w:rsidRDefault="00477B8F" w:rsidP="00477B8F">
      <w:pPr>
        <w:autoSpaceDE w:val="0"/>
        <w:autoSpaceDN w:val="0"/>
        <w:adjustRightInd w:val="0"/>
        <w:jc w:val="both"/>
      </w:pPr>
    </w:p>
    <w:p w14:paraId="1FAAFD71"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erhöht wird um die Erwerbs- oder Übertragungskosten und um die Aufwendungen, die in Ermangelung von beweiskräftigen Angaben auf 25 Prozent des Erwerbspreises festgelegt werden, wobei der derart erhöhte Preis um 5 Prozent erhöht wird für jedes Jahr, das zwischen Erwerbsdatum und Datum der Feststellung der Veräußerung vergangen ist,</w:t>
      </w:r>
    </w:p>
    <w:p w14:paraId="7DC9AD77" w14:textId="77777777" w:rsidR="00477B8F" w:rsidRPr="009118AB" w:rsidRDefault="00477B8F" w:rsidP="00477B8F">
      <w:pPr>
        <w:autoSpaceDE w:val="0"/>
        <w:autoSpaceDN w:val="0"/>
        <w:adjustRightInd w:val="0"/>
        <w:jc w:val="both"/>
      </w:pPr>
    </w:p>
    <w:p w14:paraId="3D10B121"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gegebenenfalls verringert wird um die in Ausführung der grundlegenden Rechtsvorschriften über die Raumordnung und den Städtebau erhaltene Entschädigung.</w:t>
      </w:r>
    </w:p>
    <w:p w14:paraId="4468256A" w14:textId="77777777" w:rsidR="00E41C92" w:rsidRPr="009118AB" w:rsidRDefault="00E41C92" w:rsidP="00477B8F">
      <w:pPr>
        <w:autoSpaceDE w:val="0"/>
        <w:autoSpaceDN w:val="0"/>
        <w:adjustRightInd w:val="0"/>
      </w:pPr>
    </w:p>
    <w:p w14:paraId="6A7038F5" w14:textId="09A83787" w:rsidR="00477B8F" w:rsidRPr="009118AB" w:rsidRDefault="0039075A" w:rsidP="00E41C92">
      <w:pPr>
        <w:autoSpaceDE w:val="0"/>
        <w:autoSpaceDN w:val="0"/>
        <w:adjustRightInd w:val="0"/>
        <w:jc w:val="both"/>
      </w:pPr>
      <w:r w:rsidRPr="009118AB">
        <w:tab/>
      </w:r>
      <w:r w:rsidR="00477B8F" w:rsidRPr="009118AB">
        <w:t>[</w:t>
      </w:r>
      <w:r w:rsidR="00D67EB8" w:rsidRPr="009118AB">
        <w:t>§ </w:t>
      </w:r>
      <w:r w:rsidR="00477B8F" w:rsidRPr="009118AB">
        <w:t>2</w:t>
      </w:r>
      <w:r w:rsidR="00D67EB8" w:rsidRPr="009118AB">
        <w:t> - </w:t>
      </w:r>
      <w:r w:rsidR="00477B8F" w:rsidRPr="009118AB">
        <w:t xml:space="preserve">Unter den in </w:t>
      </w:r>
      <w:r w:rsidR="00520FB8" w:rsidRPr="009118AB">
        <w:t xml:space="preserve">[Artikel 90 Absatz 1 </w:t>
      </w:r>
      <w:r w:rsidR="00D67EB8" w:rsidRPr="009118AB">
        <w:t>Nr. </w:t>
      </w:r>
      <w:r w:rsidR="00520FB8" w:rsidRPr="009118AB">
        <w:t xml:space="preserve">10] </w:t>
      </w:r>
      <w:r w:rsidR="00477B8F" w:rsidRPr="009118AB">
        <w:t>erwähnten Mehrwerten versteht man die Differenz zwischen den beiden nachstehenden Größen:</w:t>
      </w:r>
    </w:p>
    <w:p w14:paraId="6E460CF5" w14:textId="77777777" w:rsidR="00477B8F" w:rsidRPr="009118AB" w:rsidRDefault="00477B8F" w:rsidP="00477B8F">
      <w:pPr>
        <w:autoSpaceDE w:val="0"/>
        <w:autoSpaceDN w:val="0"/>
        <w:adjustRightInd w:val="0"/>
        <w:jc w:val="both"/>
      </w:pPr>
    </w:p>
    <w:p w14:paraId="106BF9CF" w14:textId="77777777" w:rsidR="00477B8F" w:rsidRPr="009118AB" w:rsidRDefault="00477B8F" w:rsidP="00477B8F">
      <w:pPr>
        <w:autoSpaceDE w:val="0"/>
        <w:autoSpaceDN w:val="0"/>
        <w:adjustRightInd w:val="0"/>
        <w:jc w:val="both"/>
      </w:pPr>
      <w:r w:rsidRPr="009118AB">
        <w:tab/>
        <w:t>1. dem Preis, zu dem die Abtretung des Gutes erfolgte, oder, wenn der Wert, der als Grundlage für die Erhebung der Registrierungsgebühr oder der Mehrwertsteuer gedient hat, höher als dieser Preis ist, diesem Wert, wobei dieser Preis oder Wert gegebenenfalls um die Kosten verringert wird, für die der Steuerpflichtige nachweist, dass er sie aufgrund der Veräußerung des Gutes gemacht oder getragen hat,</w:t>
      </w:r>
    </w:p>
    <w:p w14:paraId="195B35C5" w14:textId="77777777" w:rsidR="0039075A" w:rsidRPr="009118AB" w:rsidRDefault="0039075A" w:rsidP="00477B8F">
      <w:pPr>
        <w:autoSpaceDE w:val="0"/>
        <w:autoSpaceDN w:val="0"/>
        <w:adjustRightInd w:val="0"/>
        <w:jc w:val="both"/>
      </w:pPr>
    </w:p>
    <w:p w14:paraId="5B2A898D" w14:textId="77777777" w:rsidR="00477B8F" w:rsidRPr="009118AB" w:rsidRDefault="00477B8F" w:rsidP="00477B8F">
      <w:pPr>
        <w:autoSpaceDE w:val="0"/>
        <w:autoSpaceDN w:val="0"/>
        <w:adjustRightInd w:val="0"/>
        <w:jc w:val="both"/>
      </w:pPr>
      <w:r w:rsidRPr="009118AB">
        <w:tab/>
        <w:t>2. dem Erwerbspreis des Gutes, der um 25 Prozent oder um die tatsächlich gemachten Erwerbs- oder Übertragungskosten erhöht wird, wenn diese 25 Prozent übersteigen, wobei unter Erwerbspreis folgender Preis zu verstehen ist:</w:t>
      </w:r>
    </w:p>
    <w:p w14:paraId="09EBCEE7" w14:textId="77777777" w:rsidR="00477B8F" w:rsidRPr="009118AB" w:rsidRDefault="00477B8F" w:rsidP="00477B8F">
      <w:pPr>
        <w:autoSpaceDE w:val="0"/>
        <w:autoSpaceDN w:val="0"/>
        <w:adjustRightInd w:val="0"/>
        <w:jc w:val="both"/>
      </w:pPr>
    </w:p>
    <w:p w14:paraId="366D1DE1" w14:textId="55F493BD" w:rsidR="00477B8F" w:rsidRPr="009118AB" w:rsidRDefault="00477B8F" w:rsidP="00477B8F">
      <w:pPr>
        <w:autoSpaceDE w:val="0"/>
        <w:autoSpaceDN w:val="0"/>
        <w:adjustRightInd w:val="0"/>
        <w:jc w:val="both"/>
      </w:pPr>
      <w:r w:rsidRPr="009118AB">
        <w:tab/>
      </w:r>
      <w:r w:rsidRPr="009118AB">
        <w:rPr>
          <w:i/>
          <w:iCs/>
        </w:rPr>
        <w:t>a)</w:t>
      </w:r>
      <w:r w:rsidRPr="009118AB">
        <w:t xml:space="preserve"> für die Anwendung von </w:t>
      </w:r>
      <w:r w:rsidR="00520FB8" w:rsidRPr="009118AB">
        <w:t xml:space="preserve">[Artikel 90 Absatz 1 </w:t>
      </w:r>
      <w:r w:rsidR="00D67EB8" w:rsidRPr="009118AB">
        <w:t>Nr. </w:t>
      </w:r>
      <w:r w:rsidR="00520FB8" w:rsidRPr="009118AB">
        <w:t xml:space="preserve">10] </w:t>
      </w:r>
      <w:r w:rsidRPr="009118AB">
        <w:t>Absatz 1 Buchstabe </w:t>
      </w:r>
      <w:r w:rsidRPr="009118AB">
        <w:rPr>
          <w:i/>
          <w:iCs/>
        </w:rPr>
        <w:t>a)</w:t>
      </w:r>
      <w:r w:rsidRPr="009118AB">
        <w:t>: der Preis, zu dem das Gut vom Steuerpflichtigen erworben wurde, oder, wenn der Wert, der als Grundlage für die Erhebung der Registrierungsgebühr oder der Mehrwertsteuer gedient hat, höher als dieser Preis ist, dieser Wert,</w:t>
      </w:r>
    </w:p>
    <w:p w14:paraId="13200FCA" w14:textId="77777777" w:rsidR="00477B8F" w:rsidRPr="009118AB" w:rsidRDefault="00477B8F" w:rsidP="00477B8F">
      <w:pPr>
        <w:autoSpaceDE w:val="0"/>
        <w:autoSpaceDN w:val="0"/>
        <w:adjustRightInd w:val="0"/>
        <w:jc w:val="both"/>
      </w:pPr>
    </w:p>
    <w:p w14:paraId="500A840F" w14:textId="51399B04" w:rsidR="00477B8F" w:rsidRPr="009118AB" w:rsidRDefault="00477B8F" w:rsidP="00477B8F">
      <w:pPr>
        <w:autoSpaceDE w:val="0"/>
        <w:autoSpaceDN w:val="0"/>
        <w:adjustRightInd w:val="0"/>
        <w:jc w:val="both"/>
      </w:pPr>
      <w:r w:rsidRPr="009118AB">
        <w:tab/>
      </w:r>
      <w:r w:rsidRPr="009118AB">
        <w:rPr>
          <w:i/>
          <w:iCs/>
        </w:rPr>
        <w:t>b)</w:t>
      </w:r>
      <w:r w:rsidRPr="009118AB">
        <w:t xml:space="preserve"> für die Anwendung von </w:t>
      </w:r>
      <w:r w:rsidR="00520FB8" w:rsidRPr="009118AB">
        <w:t xml:space="preserve">[Artikel 90 Absatz 1 </w:t>
      </w:r>
      <w:r w:rsidR="00D67EB8" w:rsidRPr="009118AB">
        <w:t>Nr. </w:t>
      </w:r>
      <w:r w:rsidR="00520FB8" w:rsidRPr="009118AB">
        <w:t xml:space="preserve">10] </w:t>
      </w:r>
      <w:r w:rsidRPr="009118AB">
        <w:t>Absatz 1 Buchstabe </w:t>
      </w:r>
      <w:r w:rsidRPr="009118AB">
        <w:rPr>
          <w:i/>
          <w:iCs/>
        </w:rPr>
        <w:t>b)</w:t>
      </w:r>
      <w:r w:rsidRPr="009118AB">
        <w:t>: der Preis, zu dem das Gut vom Schenker erworben wurde, oder, wenn der Wert, der als Grundlage für die Erhebung der Registrierungsgebühr oder der Mehrwertsteuer gedient hat, höher als dieser Preis ist, dieser Wert,</w:t>
      </w:r>
    </w:p>
    <w:p w14:paraId="3E791ED2" w14:textId="77777777" w:rsidR="00477B8F" w:rsidRPr="009118AB" w:rsidRDefault="00477B8F" w:rsidP="00477B8F">
      <w:pPr>
        <w:autoSpaceDE w:val="0"/>
        <w:autoSpaceDN w:val="0"/>
        <w:adjustRightInd w:val="0"/>
        <w:jc w:val="both"/>
      </w:pPr>
    </w:p>
    <w:p w14:paraId="47A0434B" w14:textId="60159029" w:rsidR="00477B8F" w:rsidRPr="009118AB" w:rsidRDefault="00477B8F" w:rsidP="00477B8F">
      <w:pPr>
        <w:autoSpaceDE w:val="0"/>
        <w:autoSpaceDN w:val="0"/>
        <w:adjustRightInd w:val="0"/>
        <w:jc w:val="both"/>
      </w:pPr>
      <w:r w:rsidRPr="009118AB">
        <w:tab/>
      </w:r>
      <w:r w:rsidRPr="009118AB">
        <w:rPr>
          <w:i/>
          <w:iCs/>
        </w:rPr>
        <w:t>c)</w:t>
      </w:r>
      <w:r w:rsidRPr="009118AB">
        <w:t xml:space="preserve"> für die Anwendung von </w:t>
      </w:r>
      <w:r w:rsidR="00520FB8" w:rsidRPr="009118AB">
        <w:t xml:space="preserve">[Artikel 90 Absatz 1 </w:t>
      </w:r>
      <w:r w:rsidR="00D67EB8" w:rsidRPr="009118AB">
        <w:t>Nr. </w:t>
      </w:r>
      <w:r w:rsidR="00520FB8" w:rsidRPr="009118AB">
        <w:t xml:space="preserve">10] </w:t>
      </w:r>
      <w:r w:rsidRPr="009118AB">
        <w:t>Absatz 1 Buchstabe </w:t>
      </w:r>
      <w:r w:rsidRPr="009118AB">
        <w:rPr>
          <w:i/>
          <w:iCs/>
        </w:rPr>
        <w:t>c)</w:t>
      </w:r>
      <w:r w:rsidRPr="009118AB">
        <w:t>: der Preis, zu dem das Grundstück entgeltlich vom Steuerpflichtigen oder Schenker erworben wurde, oder, wenn der Wert, der als Grundlage für die Erhebung der Registrierungsgebühr gedient hat, erhöht um den Baupreis des vom Steuerpflichtigen errichteten Gebäudes, der als Grundlage für die Erhebung der Mehrwertsteuer gedient hat, höher als dieser Preis ist, dieser Wert.</w:t>
      </w:r>
    </w:p>
    <w:p w14:paraId="6A426863" w14:textId="77777777" w:rsidR="00477B8F" w:rsidRPr="009118AB" w:rsidRDefault="00477B8F" w:rsidP="00477B8F">
      <w:pPr>
        <w:autoSpaceDE w:val="0"/>
        <w:autoSpaceDN w:val="0"/>
        <w:adjustRightInd w:val="0"/>
        <w:jc w:val="both"/>
      </w:pPr>
    </w:p>
    <w:p w14:paraId="10AB9D7F" w14:textId="77777777" w:rsidR="00477B8F" w:rsidRPr="009118AB" w:rsidRDefault="00477B8F" w:rsidP="00477B8F">
      <w:pPr>
        <w:autoSpaceDE w:val="0"/>
        <w:autoSpaceDN w:val="0"/>
        <w:adjustRightInd w:val="0"/>
        <w:jc w:val="both"/>
      </w:pPr>
      <w:r w:rsidRPr="009118AB">
        <w:tab/>
        <w:t>Der derart erhöhte Erwerbspreis wird um 5 Prozent erhöht für jedes Jahr, das zwischen Erwerbsdatum und Veräußerungsdatum vergangen ist, wobei in dem in Absatz 1 Buchstabe </w:t>
      </w:r>
      <w:r w:rsidRPr="009118AB">
        <w:rPr>
          <w:i/>
          <w:iCs/>
        </w:rPr>
        <w:t>c)</w:t>
      </w:r>
      <w:r w:rsidRPr="009118AB">
        <w:t xml:space="preserve"> erwähnten Fall die Erhöhung um 5 Prozent einerseits auf den Erwerbspreis des Grundstücks anwendbar ist für jedes Jahr zwischen Datum des entgeltlichen Erwerbs des Grundstücks und Datum der Veräußerung des gesamten Gutes und andererseits auf den Baupreis des Gebäudes </w:t>
      </w:r>
      <w:r w:rsidRPr="009118AB">
        <w:lastRenderedPageBreak/>
        <w:t>für jedes Jahr zwischen Datum der ersten Ingebrauchnahme oder Vermietung des Gebäudes und Datum der Veräußerung des gesamten Gutes.</w:t>
      </w:r>
    </w:p>
    <w:p w14:paraId="22C5CA75" w14:textId="77777777" w:rsidR="00477B8F" w:rsidRPr="009118AB" w:rsidRDefault="00477B8F" w:rsidP="00477B8F">
      <w:pPr>
        <w:autoSpaceDE w:val="0"/>
        <w:autoSpaceDN w:val="0"/>
        <w:adjustRightInd w:val="0"/>
        <w:jc w:val="both"/>
      </w:pPr>
    </w:p>
    <w:p w14:paraId="18F4C29F" w14:textId="77777777" w:rsidR="00477B8F" w:rsidRPr="009118AB" w:rsidRDefault="00477B8F" w:rsidP="00477B8F">
      <w:pPr>
        <w:autoSpaceDE w:val="0"/>
        <w:autoSpaceDN w:val="0"/>
        <w:adjustRightInd w:val="0"/>
        <w:jc w:val="both"/>
      </w:pPr>
      <w:r w:rsidRPr="009118AB">
        <w:tab/>
        <w:t>Der derart festgelegte Erwerbspreis wird dann:</w:t>
      </w:r>
    </w:p>
    <w:p w14:paraId="00DB189F" w14:textId="77777777" w:rsidR="00477B8F" w:rsidRPr="009118AB" w:rsidRDefault="00477B8F" w:rsidP="00477B8F">
      <w:pPr>
        <w:autoSpaceDE w:val="0"/>
        <w:autoSpaceDN w:val="0"/>
        <w:adjustRightInd w:val="0"/>
        <w:jc w:val="both"/>
      </w:pPr>
    </w:p>
    <w:p w14:paraId="704C2A7B"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erhöht um </w:t>
      </w:r>
      <w:r w:rsidR="007B48D1" w:rsidRPr="009118AB">
        <w:t>[die vom Eigentümer getragenen Kosten von Arbeiten, die, sofern diese Arbeiten am veräußerten Gebäude zwischen dem Erwerbsdatum, dem Datum der ersten Ingebrauchnahme oder Vermietung und dem Veräußerungsdatum durchgeführt werden, für ihn erbracht und ihm in Rechnung gestellt werden]</w:t>
      </w:r>
      <w:r w:rsidRPr="009118AB">
        <w:t>,</w:t>
      </w:r>
    </w:p>
    <w:p w14:paraId="35069CA8" w14:textId="77777777" w:rsidR="00E41C92" w:rsidRPr="009118AB" w:rsidRDefault="00E41C92" w:rsidP="00477B8F">
      <w:pPr>
        <w:autoSpaceDE w:val="0"/>
        <w:autoSpaceDN w:val="0"/>
        <w:adjustRightInd w:val="0"/>
        <w:jc w:val="both"/>
      </w:pPr>
    </w:p>
    <w:p w14:paraId="59B4B4AB"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gegebenenfalls verringert um Entschädigungen, die aufgrund von Schäden, die am veräußerten Gebäude aufgetreten sind, bezogen werden.]</w:t>
      </w:r>
    </w:p>
    <w:p w14:paraId="0483E395" w14:textId="77777777" w:rsidR="00477B8F" w:rsidRPr="009118AB" w:rsidRDefault="00477B8F" w:rsidP="00477B8F">
      <w:pPr>
        <w:autoSpaceDE w:val="0"/>
        <w:autoSpaceDN w:val="0"/>
        <w:adjustRightInd w:val="0"/>
        <w:jc w:val="both"/>
      </w:pPr>
    </w:p>
    <w:p w14:paraId="52BE8E57" w14:textId="25BAE047" w:rsidR="00477B8F" w:rsidRPr="009118AB" w:rsidRDefault="00477B8F" w:rsidP="00477B8F">
      <w:pPr>
        <w:autoSpaceDE w:val="0"/>
        <w:autoSpaceDN w:val="0"/>
        <w:adjustRightInd w:val="0"/>
        <w:jc w:val="both"/>
      </w:pPr>
      <w:r w:rsidRPr="009118AB">
        <w:tab/>
        <w:t>[</w:t>
      </w:r>
      <w:r w:rsidR="00D67EB8" w:rsidRPr="009118AB">
        <w:t>§ </w:t>
      </w:r>
      <w:r w:rsidRPr="009118AB">
        <w:t>3]</w:t>
      </w:r>
      <w:r w:rsidR="00D67EB8" w:rsidRPr="009118AB">
        <w:t> - </w:t>
      </w:r>
      <w:r w:rsidRPr="009118AB">
        <w:t>Für dingliche Rechte an unbeweglichen Gütern, mittels Zahlung einer Leib- oder Zeitrente erworbene oder abgetretene Güter und anlässlich eines Umtauschs, einer Verteilung, einer Einbringung in eine Gesellschaft, der Auflösung einer Gesellschaft oder anderer ähnlicher Ereignisse erhaltene oder abgetretene Güter bestimmt der König unter Berücksichtigung [der Bestimmungen der Paragraphen 1 und 2] die Modalitäten der Festlegung der steuerpflichtigen Mehrwerte.</w:t>
      </w:r>
    </w:p>
    <w:p w14:paraId="736776D2" w14:textId="77777777" w:rsidR="00477B8F" w:rsidRPr="009118AB" w:rsidRDefault="00477B8F" w:rsidP="00477B8F">
      <w:pPr>
        <w:autoSpaceDE w:val="0"/>
        <w:autoSpaceDN w:val="0"/>
        <w:adjustRightInd w:val="0"/>
        <w:jc w:val="both"/>
      </w:pPr>
    </w:p>
    <w:p w14:paraId="6346409C" w14:textId="70C3B9BF" w:rsidR="007B48D1" w:rsidRPr="009118AB" w:rsidRDefault="00477B8F" w:rsidP="00477B8F">
      <w:pPr>
        <w:autoSpaceDE w:val="0"/>
        <w:autoSpaceDN w:val="0"/>
        <w:adjustRightInd w:val="0"/>
        <w:jc w:val="both"/>
        <w:rPr>
          <w:iCs/>
        </w:rPr>
      </w:pPr>
      <w:r w:rsidRPr="009118AB">
        <w:rPr>
          <w:i/>
          <w:iCs/>
        </w:rPr>
        <w:t>[</w:t>
      </w:r>
      <w:r w:rsidR="00D67EB8" w:rsidRPr="009118AB">
        <w:rPr>
          <w:i/>
          <w:iCs/>
        </w:rPr>
        <w:t>Art. </w:t>
      </w:r>
      <w:r w:rsidRPr="009118AB">
        <w:rPr>
          <w:i/>
          <w:iCs/>
        </w:rPr>
        <w:t xml:space="preserve">101 </w:t>
      </w:r>
      <w:r w:rsidR="00D67EB8" w:rsidRPr="009118AB">
        <w:rPr>
          <w:i/>
          <w:iCs/>
        </w:rPr>
        <w:t>§ </w:t>
      </w:r>
      <w:r w:rsidR="000B0A8B" w:rsidRPr="009118AB">
        <w:rPr>
          <w:i/>
          <w:iCs/>
        </w:rPr>
        <w:t xml:space="preserve">1 einziger Absatz einleitende Bestimmung abgeändert durch </w:t>
      </w:r>
      <w:r w:rsidR="00D67EB8" w:rsidRPr="009118AB">
        <w:rPr>
          <w:i/>
          <w:iCs/>
        </w:rPr>
        <w:t>Art. </w:t>
      </w:r>
      <w:r w:rsidR="000B0A8B" w:rsidRPr="009118AB">
        <w:rPr>
          <w:i/>
          <w:iCs/>
        </w:rPr>
        <w:t xml:space="preserve">60 </w:t>
      </w:r>
      <w:r w:rsidR="00D67EB8" w:rsidRPr="009118AB">
        <w:rPr>
          <w:i/>
          <w:iCs/>
        </w:rPr>
        <w:t>Nr. </w:t>
      </w:r>
      <w:r w:rsidR="000B0A8B" w:rsidRPr="009118AB">
        <w:rPr>
          <w:i/>
          <w:iCs/>
        </w:rPr>
        <w:t>1</w:t>
      </w:r>
      <w:r w:rsidR="000B0A8B" w:rsidRPr="009118AB">
        <w:rPr>
          <w:i/>
        </w:rPr>
        <w:t xml:space="preserve"> des G. vom 26. Dezember 2015 (II) (B.S. vom 30. Dezember 2015)</w:t>
      </w:r>
      <w:r w:rsidR="00D67EB8" w:rsidRPr="009118AB">
        <w:t> - </w:t>
      </w:r>
      <w:r w:rsidR="000B0A8B"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0B0A8B" w:rsidRPr="009118AB">
        <w:rPr>
          <w:i/>
        </w:rPr>
        <w:t xml:space="preserve"> </w:t>
      </w:r>
      <w:r w:rsidR="00D67EB8" w:rsidRPr="009118AB">
        <w:rPr>
          <w:i/>
        </w:rPr>
        <w:t>§ </w:t>
      </w:r>
      <w:r w:rsidR="000B0A8B" w:rsidRPr="009118AB">
        <w:rPr>
          <w:i/>
        </w:rPr>
        <w:t xml:space="preserve">1 einziger Absatz </w:t>
      </w:r>
      <w:r w:rsidR="00D67EB8" w:rsidRPr="009118AB">
        <w:rPr>
          <w:i/>
        </w:rPr>
        <w:t>Nr. </w:t>
      </w:r>
      <w:r w:rsidR="000B0A8B" w:rsidRPr="009118AB">
        <w:rPr>
          <w:i/>
        </w:rPr>
        <w:t xml:space="preserve">2 </w:t>
      </w:r>
      <w:r w:rsidR="00284D5F" w:rsidRPr="009118AB">
        <w:rPr>
          <w:i/>
        </w:rPr>
        <w:t xml:space="preserve">einleitende Bestimmung </w:t>
      </w:r>
      <w:r w:rsidR="000B0A8B" w:rsidRPr="009118AB">
        <w:rPr>
          <w:i/>
        </w:rPr>
        <w:t xml:space="preserve">abgeändert durch </w:t>
      </w:r>
      <w:r w:rsidR="00D67EB8" w:rsidRPr="009118AB">
        <w:rPr>
          <w:i/>
        </w:rPr>
        <w:t>Art. </w:t>
      </w:r>
      <w:r w:rsidR="000B0A8B" w:rsidRPr="009118AB">
        <w:rPr>
          <w:i/>
        </w:rPr>
        <w:t xml:space="preserve">60 </w:t>
      </w:r>
      <w:r w:rsidR="00D67EB8" w:rsidRPr="009118AB">
        <w:rPr>
          <w:i/>
        </w:rPr>
        <w:t>Nr. </w:t>
      </w:r>
      <w:r w:rsidR="000B0A8B" w:rsidRPr="009118AB">
        <w:rPr>
          <w:i/>
        </w:rPr>
        <w:t>2 des G. vom 26. Dezember 2015 (II) (B.S. vom 30. Dezember 2015)</w:t>
      </w:r>
      <w:r w:rsidR="00D67EB8" w:rsidRPr="009118AB">
        <w:t> - </w:t>
      </w:r>
      <w:r w:rsidR="000B0A8B"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0B0A8B" w:rsidRPr="009118AB">
        <w:rPr>
          <w:i/>
        </w:rPr>
        <w:t xml:space="preserve"> </w:t>
      </w:r>
      <w:r w:rsidRPr="009118AB">
        <w:rPr>
          <w:i/>
          <w:iCs/>
        </w:rPr>
        <w:t xml:space="preserve">neuer Paragraph 2 eingefügt durch </w:t>
      </w:r>
      <w:r w:rsidR="00D67EB8" w:rsidRPr="009118AB">
        <w:rPr>
          <w:i/>
          <w:iCs/>
        </w:rPr>
        <w:t>Art. </w:t>
      </w:r>
      <w:r w:rsidRPr="009118AB">
        <w:rPr>
          <w:i/>
          <w:iCs/>
        </w:rPr>
        <w:t xml:space="preserve">17 </w:t>
      </w:r>
      <w:r w:rsidR="00D67EB8" w:rsidRPr="009118AB">
        <w:rPr>
          <w:i/>
          <w:iCs/>
        </w:rPr>
        <w:t>Nr. </w:t>
      </w:r>
      <w:r w:rsidRPr="009118AB">
        <w:rPr>
          <w:i/>
          <w:iCs/>
        </w:rPr>
        <w:t>1 des K.E. vom 20. Dezember 1996 (B.S. vom 31. Dezember 1996)</w:t>
      </w:r>
      <w:r w:rsidR="00D67EB8" w:rsidRPr="009118AB">
        <w:rPr>
          <w:i/>
          <w:iCs/>
        </w:rPr>
        <w:t> - </w:t>
      </w:r>
      <w:r w:rsidRPr="009118AB">
        <w:rPr>
          <w:i/>
          <w:iCs/>
        </w:rPr>
        <w:t>in Kraft ab dem 1. Januar 1997</w:t>
      </w:r>
      <w:r w:rsidR="003366D9" w:rsidRPr="009118AB">
        <w:rPr>
          <w:i/>
          <w:iCs/>
        </w:rPr>
        <w:t> -;</w:t>
      </w:r>
      <w:r w:rsidR="000B0A8B" w:rsidRPr="009118AB">
        <w:rPr>
          <w:i/>
          <w:iCs/>
        </w:rPr>
        <w:t xml:space="preserve"> </w:t>
      </w:r>
      <w:r w:rsidR="00D67EB8" w:rsidRPr="009118AB">
        <w:rPr>
          <w:i/>
          <w:iCs/>
        </w:rPr>
        <w:t>§ </w:t>
      </w:r>
      <w:r w:rsidR="000B0A8B" w:rsidRPr="009118AB">
        <w:rPr>
          <w:i/>
          <w:iCs/>
        </w:rPr>
        <w:t xml:space="preserve">2 </w:t>
      </w:r>
      <w:r w:rsidR="00D67EB8" w:rsidRPr="009118AB">
        <w:rPr>
          <w:i/>
          <w:iCs/>
        </w:rPr>
        <w:t>Abs. </w:t>
      </w:r>
      <w:r w:rsidR="000B0A8B" w:rsidRPr="009118AB">
        <w:rPr>
          <w:i/>
          <w:iCs/>
        </w:rPr>
        <w:t xml:space="preserve">1 einleitende Bestimmung abgeändert durch </w:t>
      </w:r>
      <w:r w:rsidR="00D67EB8" w:rsidRPr="009118AB">
        <w:rPr>
          <w:i/>
          <w:iCs/>
        </w:rPr>
        <w:t>Art. </w:t>
      </w:r>
      <w:r w:rsidR="000B0A8B" w:rsidRPr="009118AB">
        <w:rPr>
          <w:i/>
          <w:iCs/>
        </w:rPr>
        <w:t xml:space="preserve">60 </w:t>
      </w:r>
      <w:r w:rsidR="00D67EB8" w:rsidRPr="009118AB">
        <w:rPr>
          <w:i/>
          <w:iCs/>
        </w:rPr>
        <w:t>Nr. </w:t>
      </w:r>
      <w:r w:rsidR="000B0A8B" w:rsidRPr="009118AB">
        <w:rPr>
          <w:i/>
          <w:iCs/>
        </w:rPr>
        <w:t>3</w:t>
      </w:r>
      <w:r w:rsidR="000B0A8B" w:rsidRPr="009118AB">
        <w:rPr>
          <w:i/>
        </w:rPr>
        <w:t xml:space="preserve"> des G. vom 26. Dezember 2015 (II) (B.S. vom 30. Dezember 2015)</w:t>
      </w:r>
      <w:r w:rsidR="00D67EB8" w:rsidRPr="009118AB">
        <w:t> - </w:t>
      </w:r>
      <w:r w:rsidR="000B0A8B"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Pr="009118AB">
        <w:rPr>
          <w:i/>
          <w:iCs/>
        </w:rPr>
        <w:t xml:space="preserve"> </w:t>
      </w:r>
      <w:r w:rsidR="00D67EB8" w:rsidRPr="009118AB">
        <w:rPr>
          <w:i/>
          <w:iCs/>
        </w:rPr>
        <w:t>§ </w:t>
      </w:r>
      <w:r w:rsidR="00944CD4" w:rsidRPr="009118AB">
        <w:rPr>
          <w:i/>
          <w:iCs/>
        </w:rPr>
        <w:t xml:space="preserve">2 </w:t>
      </w:r>
      <w:r w:rsidR="00D67EB8" w:rsidRPr="009118AB">
        <w:rPr>
          <w:i/>
          <w:iCs/>
        </w:rPr>
        <w:t>Abs. </w:t>
      </w:r>
      <w:r w:rsidR="007C0427" w:rsidRPr="009118AB">
        <w:rPr>
          <w:i/>
          <w:iCs/>
        </w:rPr>
        <w:t>1</w:t>
      </w:r>
      <w:r w:rsidR="00944CD4" w:rsidRPr="009118AB">
        <w:rPr>
          <w:i/>
          <w:iCs/>
        </w:rPr>
        <w:t xml:space="preserve"> Buchstabe a) bis c) abgeändert durch </w:t>
      </w:r>
      <w:r w:rsidR="00D67EB8" w:rsidRPr="009118AB">
        <w:rPr>
          <w:i/>
          <w:iCs/>
        </w:rPr>
        <w:t>Art. </w:t>
      </w:r>
      <w:r w:rsidR="00944CD4" w:rsidRPr="009118AB">
        <w:rPr>
          <w:i/>
          <w:iCs/>
        </w:rPr>
        <w:t xml:space="preserve">60 </w:t>
      </w:r>
      <w:r w:rsidR="00D67EB8" w:rsidRPr="009118AB">
        <w:rPr>
          <w:i/>
          <w:iCs/>
        </w:rPr>
        <w:t>Nr. </w:t>
      </w:r>
      <w:r w:rsidR="00944CD4" w:rsidRPr="009118AB">
        <w:rPr>
          <w:i/>
          <w:iCs/>
        </w:rPr>
        <w:t>4</w:t>
      </w:r>
      <w:r w:rsidR="00944CD4" w:rsidRPr="009118AB">
        <w:rPr>
          <w:i/>
        </w:rPr>
        <w:t xml:space="preserve"> des G. vom 26. Dezember 2015 (II) (B.S. vom 30. Dezember 2015)</w:t>
      </w:r>
      <w:r w:rsidR="00D67EB8" w:rsidRPr="009118AB">
        <w:t> - </w:t>
      </w:r>
      <w:r w:rsidR="00944CD4"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944CD4" w:rsidRPr="009118AB">
        <w:rPr>
          <w:i/>
        </w:rPr>
        <w:t xml:space="preserve"> </w:t>
      </w:r>
      <w:r w:rsidR="00D67EB8" w:rsidRPr="009118AB">
        <w:rPr>
          <w:i/>
          <w:iCs/>
        </w:rPr>
        <w:t>§ </w:t>
      </w:r>
      <w:r w:rsidR="007B48D1" w:rsidRPr="009118AB">
        <w:rPr>
          <w:i/>
          <w:iCs/>
        </w:rPr>
        <w:t xml:space="preserve">2 </w:t>
      </w:r>
      <w:r w:rsidR="00D67EB8" w:rsidRPr="009118AB">
        <w:rPr>
          <w:i/>
          <w:iCs/>
        </w:rPr>
        <w:t>Abs. </w:t>
      </w:r>
      <w:r w:rsidR="00944CD4" w:rsidRPr="009118AB">
        <w:rPr>
          <w:i/>
          <w:iCs/>
        </w:rPr>
        <w:t>3</w:t>
      </w:r>
      <w:r w:rsidR="007B48D1" w:rsidRPr="009118AB">
        <w:rPr>
          <w:i/>
          <w:iCs/>
        </w:rPr>
        <w:t xml:space="preserve"> Buchstabe a) abgeändert durch </w:t>
      </w:r>
      <w:r w:rsidR="00D67EB8" w:rsidRPr="009118AB">
        <w:rPr>
          <w:i/>
          <w:iCs/>
        </w:rPr>
        <w:t>Art. </w:t>
      </w:r>
      <w:r w:rsidR="007B48D1" w:rsidRPr="009118AB">
        <w:rPr>
          <w:i/>
          <w:iCs/>
        </w:rPr>
        <w:t>78 des G. vom 14. April 2011 (B.S. vom 6. Mai 2011)</w:t>
      </w:r>
      <w:r w:rsidR="00D67EB8" w:rsidRPr="009118AB">
        <w:rPr>
          <w:i/>
          <w:iCs/>
        </w:rPr>
        <w:t> - </w:t>
      </w:r>
      <w:r w:rsidR="007B48D1" w:rsidRPr="009118AB">
        <w:rPr>
          <w:i/>
          <w:iCs/>
        </w:rPr>
        <w:t>anwendbar auf Arbeiten, die ab dem 1. Januar 2011 ausgeführt werden</w:t>
      </w:r>
      <w:r w:rsidR="003366D9" w:rsidRPr="009118AB">
        <w:rPr>
          <w:i/>
          <w:iCs/>
        </w:rPr>
        <w:t> -;</w:t>
      </w:r>
      <w:r w:rsidR="007B48D1" w:rsidRPr="009118AB">
        <w:rPr>
          <w:i/>
          <w:iCs/>
        </w:rPr>
        <w:t xml:space="preserve"> </w:t>
      </w:r>
      <w:r w:rsidRPr="009118AB">
        <w:rPr>
          <w:i/>
          <w:iCs/>
        </w:rPr>
        <w:t xml:space="preserve">früherer Paragraph 2 umnummeriert zu </w:t>
      </w:r>
      <w:r w:rsidR="00D67EB8" w:rsidRPr="009118AB">
        <w:rPr>
          <w:i/>
          <w:iCs/>
        </w:rPr>
        <w:t>§ </w:t>
      </w:r>
      <w:r w:rsidRPr="009118AB">
        <w:rPr>
          <w:i/>
          <w:iCs/>
        </w:rPr>
        <w:t xml:space="preserve">3 und abgeändert durch </w:t>
      </w:r>
      <w:r w:rsidR="00D67EB8" w:rsidRPr="009118AB">
        <w:rPr>
          <w:i/>
          <w:iCs/>
        </w:rPr>
        <w:t>Art. </w:t>
      </w:r>
      <w:r w:rsidRPr="009118AB">
        <w:rPr>
          <w:i/>
          <w:iCs/>
        </w:rPr>
        <w:t xml:space="preserve">17 </w:t>
      </w:r>
      <w:r w:rsidR="00D67EB8" w:rsidRPr="009118AB">
        <w:rPr>
          <w:i/>
          <w:iCs/>
        </w:rPr>
        <w:t>Nr. </w:t>
      </w:r>
      <w:r w:rsidRPr="009118AB">
        <w:rPr>
          <w:i/>
          <w:iCs/>
        </w:rPr>
        <w:t>2 des K.E. vom 20. Dezember 1996 (B.S. vom 31. Dezember 1996)</w:t>
      </w:r>
      <w:r w:rsidR="00D67EB8" w:rsidRPr="009118AB">
        <w:rPr>
          <w:i/>
          <w:iCs/>
        </w:rPr>
        <w:t> - </w:t>
      </w:r>
      <w:r w:rsidRPr="009118AB">
        <w:rPr>
          <w:i/>
          <w:iCs/>
        </w:rPr>
        <w:t>in Kraft ab dem 1. Januar 1997</w:t>
      </w:r>
      <w:r w:rsidR="00FD68E8" w:rsidRPr="009118AB">
        <w:rPr>
          <w:i/>
          <w:iCs/>
        </w:rPr>
        <w:t> -]</w:t>
      </w:r>
    </w:p>
    <w:p w14:paraId="19299749" w14:textId="77777777" w:rsidR="007B48D1" w:rsidRPr="009118AB" w:rsidRDefault="007B48D1" w:rsidP="00477B8F">
      <w:pPr>
        <w:autoSpaceDE w:val="0"/>
        <w:autoSpaceDN w:val="0"/>
        <w:adjustRightInd w:val="0"/>
        <w:jc w:val="both"/>
        <w:rPr>
          <w:iCs/>
        </w:rPr>
      </w:pPr>
    </w:p>
    <w:p w14:paraId="6B9D9399" w14:textId="77777777" w:rsidR="007B48D1" w:rsidRPr="009118AB" w:rsidRDefault="007B48D1" w:rsidP="00477B8F">
      <w:pPr>
        <w:autoSpaceDE w:val="0"/>
        <w:autoSpaceDN w:val="0"/>
        <w:adjustRightInd w:val="0"/>
        <w:jc w:val="both"/>
        <w:rPr>
          <w:iCs/>
        </w:rPr>
      </w:pPr>
    </w:p>
    <w:p w14:paraId="17344ABF" w14:textId="502073B2"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102</w:t>
      </w:r>
      <w:r w:rsidR="00D67EB8" w:rsidRPr="009118AB">
        <w:t> - </w:t>
      </w:r>
      <w:r w:rsidRPr="009118AB">
        <w:t xml:space="preserve">Unter den in </w:t>
      </w:r>
      <w:r w:rsidR="00944CD4" w:rsidRPr="009118AB">
        <w:t xml:space="preserve">[Artikel 90 Absatz 1 </w:t>
      </w:r>
      <w:r w:rsidR="00D67EB8" w:rsidRPr="009118AB">
        <w:t>Nr. </w:t>
      </w:r>
      <w:r w:rsidR="00944CD4" w:rsidRPr="009118AB">
        <w:t xml:space="preserve">9] </w:t>
      </w:r>
      <w:r w:rsidRPr="009118AB">
        <w:t xml:space="preserve">erwähnten Mehrwerten versteht man die Differenz zwischen dem in bar, in Wertpapieren oder in anderer Form für die übertragenen </w:t>
      </w:r>
      <w:r w:rsidRPr="009118AB">
        <w:lastRenderedPageBreak/>
        <w:t>Aktien oder Anteile erhaltenen Preis und dem Preis, zu dem der Steuerpflichtige oder sein Rechtsvorgänger diese Aktien oder Anteile entgeltlich erworben hat, wobei dieser Preis eventuell [</w:t>
      </w:r>
      <w:r w:rsidR="002F0502" w:rsidRPr="009118AB">
        <w:t xml:space="preserve">gemäß Artikel 2 </w:t>
      </w:r>
      <w:r w:rsidR="00D67EB8" w:rsidRPr="009118AB">
        <w:t>§ </w:t>
      </w:r>
      <w:r w:rsidR="002F0502" w:rsidRPr="009118AB">
        <w:t xml:space="preserve">1 </w:t>
      </w:r>
      <w:r w:rsidR="00D67EB8" w:rsidRPr="009118AB">
        <w:t>Nr. </w:t>
      </w:r>
      <w:r w:rsidR="002F0502" w:rsidRPr="009118AB">
        <w:t>7 neu bewertet wird].</w:t>
      </w:r>
    </w:p>
    <w:p w14:paraId="4C244618" w14:textId="77777777" w:rsidR="00944CD4" w:rsidRPr="009118AB" w:rsidRDefault="00944CD4" w:rsidP="00477B8F">
      <w:pPr>
        <w:autoSpaceDE w:val="0"/>
        <w:autoSpaceDN w:val="0"/>
        <w:adjustRightInd w:val="0"/>
        <w:jc w:val="both"/>
      </w:pPr>
    </w:p>
    <w:p w14:paraId="26A1F637" w14:textId="77777777" w:rsidR="00944CD4" w:rsidRPr="009118AB" w:rsidRDefault="008D7185" w:rsidP="008D7185">
      <w:pPr>
        <w:ind w:firstLine="708"/>
        <w:jc w:val="both"/>
      </w:pPr>
      <w:r w:rsidRPr="009118AB">
        <w:tab/>
        <w:t>[…]</w:t>
      </w:r>
    </w:p>
    <w:p w14:paraId="2E6F5A3F" w14:textId="77777777" w:rsidR="00477B8F" w:rsidRPr="009118AB" w:rsidRDefault="00477B8F" w:rsidP="00477B8F">
      <w:pPr>
        <w:autoSpaceDE w:val="0"/>
        <w:autoSpaceDN w:val="0"/>
        <w:adjustRightInd w:val="0"/>
        <w:jc w:val="both"/>
      </w:pPr>
    </w:p>
    <w:p w14:paraId="00E5FA8F" w14:textId="36543FA8"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102 abgeändert durch </w:t>
      </w:r>
      <w:r w:rsidR="00D67EB8" w:rsidRPr="009118AB">
        <w:rPr>
          <w:i/>
          <w:iCs/>
        </w:rPr>
        <w:t>Art. </w:t>
      </w:r>
      <w:r w:rsidRPr="009118AB">
        <w:rPr>
          <w:i/>
          <w:iCs/>
        </w:rPr>
        <w:t>15 des G. vom 10. August 2001 (B.S. vom 20. September 2001)</w:t>
      </w:r>
      <w:r w:rsidR="00D67EB8" w:rsidRPr="009118AB">
        <w:rPr>
          <w:i/>
          <w:iCs/>
        </w:rPr>
        <w:t> - </w:t>
      </w:r>
      <w:r w:rsidRPr="009118AB">
        <w:rPr>
          <w:i/>
          <w:iCs/>
        </w:rPr>
        <w:t>in Kraft ab dem Steuerjahr 2005</w:t>
      </w:r>
      <w:r w:rsidR="00FD68E8" w:rsidRPr="009118AB">
        <w:rPr>
          <w:i/>
          <w:iCs/>
        </w:rPr>
        <w:t> -,</w:t>
      </w:r>
      <w:r w:rsidR="002F0502" w:rsidRPr="009118AB">
        <w:rPr>
          <w:i/>
          <w:iCs/>
        </w:rPr>
        <w:t xml:space="preserve"> </w:t>
      </w:r>
      <w:r w:rsidR="00D67EB8" w:rsidRPr="009118AB">
        <w:rPr>
          <w:i/>
          <w:iCs/>
        </w:rPr>
        <w:t>Art. </w:t>
      </w:r>
      <w:r w:rsidR="002F0502" w:rsidRPr="009118AB">
        <w:rPr>
          <w:i/>
          <w:iCs/>
        </w:rPr>
        <w:t xml:space="preserve">12 des </w:t>
      </w:r>
      <w:r w:rsidR="00DC1F9F" w:rsidRPr="009118AB">
        <w:rPr>
          <w:i/>
          <w:iCs/>
        </w:rPr>
        <w:t>G. vom 22. Dezember 2009 (I)</w:t>
      </w:r>
      <w:r w:rsidR="002F0502" w:rsidRPr="009118AB">
        <w:rPr>
          <w:i/>
          <w:iCs/>
        </w:rPr>
        <w:t xml:space="preserve"> (B.S. vom 31. Dezember 2009)</w:t>
      </w:r>
      <w:r w:rsidR="00944CD4" w:rsidRPr="009118AB">
        <w:rPr>
          <w:i/>
          <w:iCs/>
        </w:rPr>
        <w:t xml:space="preserve"> und </w:t>
      </w:r>
      <w:r w:rsidR="00D67EB8" w:rsidRPr="009118AB">
        <w:rPr>
          <w:i/>
          <w:iCs/>
        </w:rPr>
        <w:t>Art. </w:t>
      </w:r>
      <w:r w:rsidR="00944CD4" w:rsidRPr="009118AB">
        <w:rPr>
          <w:i/>
          <w:iCs/>
        </w:rPr>
        <w:t xml:space="preserve">61 </w:t>
      </w:r>
      <w:r w:rsidR="00D67EB8" w:rsidRPr="009118AB">
        <w:rPr>
          <w:i/>
          <w:iCs/>
        </w:rPr>
        <w:t>Nr. </w:t>
      </w:r>
      <w:r w:rsidR="00944CD4" w:rsidRPr="009118AB">
        <w:rPr>
          <w:i/>
          <w:iCs/>
        </w:rPr>
        <w:t xml:space="preserve">1 </w:t>
      </w:r>
      <w:r w:rsidR="00944CD4" w:rsidRPr="009118AB">
        <w:rPr>
          <w:i/>
        </w:rPr>
        <w:t>des G. vom 26. Dezember 2015 (II) (B.S. vom 30. Dezember 2015)</w:t>
      </w:r>
      <w:r w:rsidR="00D67EB8" w:rsidRPr="009118AB">
        <w:t> - </w:t>
      </w:r>
      <w:r w:rsidR="00944CD4"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944CD4" w:rsidRPr="009118AB">
        <w:rPr>
          <w:i/>
        </w:rPr>
        <w:t xml:space="preserve"> </w:t>
      </w:r>
      <w:r w:rsidR="00EA2B96" w:rsidRPr="009118AB">
        <w:rPr>
          <w:i/>
        </w:rPr>
        <w:t xml:space="preserve">frühere </w:t>
      </w:r>
      <w:r w:rsidR="00944CD4" w:rsidRPr="009118AB">
        <w:rPr>
          <w:i/>
        </w:rPr>
        <w:t>Abs</w:t>
      </w:r>
      <w:r w:rsidR="00EA2B96" w:rsidRPr="009118AB">
        <w:rPr>
          <w:i/>
        </w:rPr>
        <w:t>ätze</w:t>
      </w:r>
      <w:r w:rsidR="00944CD4" w:rsidRPr="009118AB">
        <w:rPr>
          <w:i/>
        </w:rPr>
        <w:t xml:space="preserve"> 2 bis 4 eingefügt durch </w:t>
      </w:r>
      <w:r w:rsidR="00D67EB8" w:rsidRPr="009118AB">
        <w:rPr>
          <w:i/>
        </w:rPr>
        <w:t>Art. </w:t>
      </w:r>
      <w:r w:rsidR="00944CD4" w:rsidRPr="009118AB">
        <w:rPr>
          <w:i/>
        </w:rPr>
        <w:t xml:space="preserve">61 </w:t>
      </w:r>
      <w:r w:rsidR="00D67EB8" w:rsidRPr="009118AB">
        <w:rPr>
          <w:i/>
        </w:rPr>
        <w:t>Nr. </w:t>
      </w:r>
      <w:r w:rsidR="00944CD4" w:rsidRPr="009118AB">
        <w:rPr>
          <w:i/>
        </w:rPr>
        <w:t>2 des G. vom 26. Dezember 2015 (II) (B.S. vom 30. Dezember 2015)</w:t>
      </w:r>
      <w:r w:rsidR="00D67EB8" w:rsidRPr="009118AB">
        <w:t> - </w:t>
      </w:r>
      <w:r w:rsidR="00944CD4"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8D7185" w:rsidRPr="009118AB">
        <w:rPr>
          <w:i/>
        </w:rPr>
        <w:t xml:space="preserve">und aufgehoben durch </w:t>
      </w:r>
      <w:r w:rsidR="00D67EB8" w:rsidRPr="009118AB">
        <w:rPr>
          <w:i/>
        </w:rPr>
        <w:t>Art. </w:t>
      </w:r>
      <w:r w:rsidR="008D7185" w:rsidRPr="009118AB">
        <w:rPr>
          <w:i/>
        </w:rPr>
        <w:t>80 des G. vom 25. Dezember 2016</w:t>
      </w:r>
      <w:r w:rsidR="001022BB" w:rsidRPr="009118AB">
        <w:rPr>
          <w:i/>
        </w:rPr>
        <w:t> (I)</w:t>
      </w:r>
      <w:r w:rsidR="008D7185" w:rsidRPr="009118AB">
        <w:rPr>
          <w:i/>
        </w:rPr>
        <w:t xml:space="preserve"> (B.S. vom 29. Dezember 2016)</w:t>
      </w:r>
      <w:r w:rsidR="00D67EB8" w:rsidRPr="009118AB">
        <w:rPr>
          <w:i/>
        </w:rPr>
        <w:t> - </w:t>
      </w:r>
      <w:r w:rsidR="008D7185" w:rsidRPr="009118AB">
        <w:rPr>
          <w:i/>
        </w:rPr>
        <w:t>in Kraft am 1. Januar 2017 und anwendbar auf die ab dem 1. Januar 2017 verwirklichten Mehrwerte</w:t>
      </w:r>
      <w:r w:rsidR="00FD68E8" w:rsidRPr="009118AB">
        <w:rPr>
          <w:i/>
        </w:rPr>
        <w:t> -]</w:t>
      </w:r>
    </w:p>
    <w:p w14:paraId="11C9E0FF" w14:textId="77777777" w:rsidR="00477B8F" w:rsidRPr="009118AB" w:rsidRDefault="00477B8F" w:rsidP="00477B8F">
      <w:pPr>
        <w:autoSpaceDE w:val="0"/>
        <w:autoSpaceDN w:val="0"/>
        <w:adjustRightInd w:val="0"/>
        <w:jc w:val="both"/>
      </w:pPr>
    </w:p>
    <w:p w14:paraId="08C94E17" w14:textId="77777777" w:rsidR="00477B8F" w:rsidRPr="009118AB" w:rsidRDefault="00477B8F" w:rsidP="00477B8F">
      <w:pPr>
        <w:autoSpaceDE w:val="0"/>
        <w:autoSpaceDN w:val="0"/>
        <w:adjustRightInd w:val="0"/>
        <w:jc w:val="both"/>
      </w:pPr>
    </w:p>
    <w:p w14:paraId="2DC570DB" w14:textId="1B3206B9" w:rsidR="004C5C01" w:rsidRPr="009118AB" w:rsidRDefault="00477B8F" w:rsidP="00721FC7">
      <w:pPr>
        <w:autoSpaceDE w:val="0"/>
        <w:autoSpaceDN w:val="0"/>
        <w:adjustRightInd w:val="0"/>
        <w:jc w:val="both"/>
        <w:rPr>
          <w:iCs/>
        </w:rPr>
      </w:pPr>
      <w:r w:rsidRPr="009118AB">
        <w:tab/>
        <w:t>[</w:t>
      </w:r>
      <w:r w:rsidR="00D67EB8" w:rsidRPr="009118AB">
        <w:rPr>
          <w:b/>
          <w:bCs/>
        </w:rPr>
        <w:t>Art. </w:t>
      </w:r>
      <w:r w:rsidRPr="009118AB">
        <w:rPr>
          <w:b/>
          <w:bCs/>
        </w:rPr>
        <w:t>102</w:t>
      </w:r>
      <w:r w:rsidRPr="009118AB">
        <w:rPr>
          <w:b/>
          <w:bCs/>
          <w:i/>
          <w:iCs/>
        </w:rPr>
        <w:t>bis</w:t>
      </w:r>
      <w:r w:rsidR="00D67EB8" w:rsidRPr="009118AB">
        <w:t> - </w:t>
      </w:r>
      <w:r w:rsidR="004C5C01" w:rsidRPr="009118AB">
        <w:rPr>
          <w:iCs/>
        </w:rPr>
        <w:t xml:space="preserve">[Unter den in Artikel 90 </w:t>
      </w:r>
      <w:r w:rsidR="00D67EB8" w:rsidRPr="009118AB">
        <w:rPr>
          <w:iCs/>
        </w:rPr>
        <w:t>Nr. </w:t>
      </w:r>
      <w:r w:rsidR="004C5C01" w:rsidRPr="009118AB">
        <w:rPr>
          <w:iCs/>
        </w:rPr>
        <w:t>12 erwähnten Einkünften versteht man den dem Empfänger tatsächlich gezahlten oder zuerkannten Betrag, gegebenenfalls erhöht um den Berufssteuervorabzug und verringert um 10 Prozent der Pauschalkosten.]]</w:t>
      </w:r>
    </w:p>
    <w:p w14:paraId="0A874F00" w14:textId="77777777" w:rsidR="004C5C01" w:rsidRPr="009118AB" w:rsidRDefault="004C5C01" w:rsidP="00721FC7">
      <w:pPr>
        <w:autoSpaceDE w:val="0"/>
        <w:autoSpaceDN w:val="0"/>
        <w:adjustRightInd w:val="0"/>
        <w:jc w:val="both"/>
        <w:rPr>
          <w:iCs/>
        </w:rPr>
      </w:pPr>
    </w:p>
    <w:p w14:paraId="03EE6F22" w14:textId="76C1D63E" w:rsidR="004C5C01" w:rsidRPr="009118AB" w:rsidRDefault="004C5C01" w:rsidP="00721FC7">
      <w:pPr>
        <w:autoSpaceDE w:val="0"/>
        <w:autoSpaceDN w:val="0"/>
        <w:adjustRightInd w:val="0"/>
        <w:jc w:val="both"/>
        <w:rPr>
          <w:iCs/>
        </w:rPr>
      </w:pPr>
      <w:r w:rsidRPr="009118AB">
        <w:rPr>
          <w:i/>
          <w:iCs/>
        </w:rPr>
        <w:t>[</w:t>
      </w:r>
      <w:r w:rsidR="00D67EB8" w:rsidRPr="009118AB">
        <w:rPr>
          <w:i/>
          <w:iCs/>
        </w:rPr>
        <w:t>Art. </w:t>
      </w:r>
      <w:r w:rsidRPr="009118AB">
        <w:rPr>
          <w:i/>
          <w:iCs/>
        </w:rPr>
        <w:t xml:space="preserve">102bis eingefügt durch </w:t>
      </w:r>
      <w:r w:rsidR="00D67EB8" w:rsidRPr="009118AB">
        <w:rPr>
          <w:i/>
          <w:iCs/>
        </w:rPr>
        <w:t>Art. </w:t>
      </w:r>
      <w:r w:rsidRPr="009118AB">
        <w:rPr>
          <w:i/>
          <w:iCs/>
        </w:rPr>
        <w:t>133 des G. (IV) vom 25. April 2007 (I) (B.S. vom 8. Mai 2007)</w:t>
      </w:r>
      <w:r w:rsidR="00D67EB8" w:rsidRPr="009118AB">
        <w:rPr>
          <w:i/>
          <w:iCs/>
        </w:rPr>
        <w:t> - </w:t>
      </w:r>
      <w:r w:rsidRPr="009118AB">
        <w:rPr>
          <w:i/>
          <w:iCs/>
        </w:rPr>
        <w:t>anwendbar auf die ab dem 1. Januar 2007 gezahlten oder zuerkannten Vergütungen und Entlohnungen</w:t>
      </w:r>
      <w:r w:rsidR="00D67EB8" w:rsidRPr="009118AB">
        <w:rPr>
          <w:i/>
          <w:iCs/>
        </w:rPr>
        <w:t> - </w:t>
      </w:r>
      <w:r w:rsidRPr="009118AB">
        <w:rPr>
          <w:i/>
          <w:iCs/>
        </w:rPr>
        <w:t xml:space="preserve">und ersetzt durch </w:t>
      </w:r>
      <w:r w:rsidR="00D67EB8" w:rsidRPr="009118AB">
        <w:rPr>
          <w:i/>
          <w:iCs/>
        </w:rPr>
        <w:t>Art. </w:t>
      </w:r>
      <w:r w:rsidRPr="009118AB">
        <w:rPr>
          <w:i/>
          <w:iCs/>
        </w:rPr>
        <w:t>159 des G. (I) vom 22. Dezember 2008 (II) (B.S. vom 29. Dezember 2008)</w:t>
      </w:r>
      <w:r w:rsidR="00D67EB8" w:rsidRPr="009118AB">
        <w:rPr>
          <w:i/>
          <w:iCs/>
        </w:rPr>
        <w:t> - </w:t>
      </w:r>
      <w:r w:rsidRPr="009118AB">
        <w:rPr>
          <w:i/>
          <w:iCs/>
        </w:rPr>
        <w:t>anwendbar auf die ab dem 1. Januar 2009 gezahlten oder zuerkannten Einkünfte</w:t>
      </w:r>
      <w:r w:rsidR="00FD68E8" w:rsidRPr="009118AB">
        <w:rPr>
          <w:i/>
          <w:iCs/>
        </w:rPr>
        <w:t> -]</w:t>
      </w:r>
    </w:p>
    <w:p w14:paraId="6D2A290D" w14:textId="77777777" w:rsidR="004C5C01" w:rsidRPr="009118AB" w:rsidRDefault="004C5C01" w:rsidP="00721FC7">
      <w:pPr>
        <w:autoSpaceDE w:val="0"/>
        <w:autoSpaceDN w:val="0"/>
        <w:adjustRightInd w:val="0"/>
        <w:jc w:val="both"/>
        <w:rPr>
          <w:iCs/>
        </w:rPr>
      </w:pPr>
    </w:p>
    <w:p w14:paraId="0575DB0A" w14:textId="77777777" w:rsidR="004C5C01" w:rsidRPr="009118AB" w:rsidRDefault="004C5C01" w:rsidP="00721FC7">
      <w:pPr>
        <w:autoSpaceDE w:val="0"/>
        <w:autoSpaceDN w:val="0"/>
        <w:adjustRightInd w:val="0"/>
        <w:jc w:val="both"/>
        <w:rPr>
          <w:iCs/>
        </w:rPr>
      </w:pPr>
    </w:p>
    <w:p w14:paraId="1560BB85" w14:textId="29CEC9E5" w:rsidR="00125603" w:rsidRPr="009118AB" w:rsidRDefault="00125603" w:rsidP="00721FC7">
      <w:pPr>
        <w:autoSpaceDE w:val="0"/>
        <w:autoSpaceDN w:val="0"/>
        <w:adjustRightInd w:val="0"/>
        <w:jc w:val="both"/>
        <w:rPr>
          <w:iCs/>
        </w:rPr>
      </w:pPr>
      <w:r w:rsidRPr="009118AB">
        <w:rPr>
          <w:iCs/>
        </w:rPr>
        <w:tab/>
        <w:t>[</w:t>
      </w:r>
      <w:r w:rsidR="00D67EB8" w:rsidRPr="009118AB">
        <w:rPr>
          <w:b/>
          <w:bCs/>
        </w:rPr>
        <w:t>Art. </w:t>
      </w:r>
      <w:r w:rsidRPr="009118AB">
        <w:rPr>
          <w:b/>
          <w:bCs/>
        </w:rPr>
        <w:t>102</w:t>
      </w:r>
      <w:r w:rsidRPr="009118AB">
        <w:rPr>
          <w:b/>
          <w:bCs/>
          <w:i/>
        </w:rPr>
        <w:t>ter</w:t>
      </w:r>
      <w:r w:rsidR="00D67EB8" w:rsidRPr="009118AB">
        <w:t> - </w:t>
      </w:r>
      <w:r w:rsidR="00BD6117" w:rsidRPr="009118AB">
        <w:t>[...]</w:t>
      </w:r>
      <w:r w:rsidRPr="009118AB">
        <w:rPr>
          <w:iCs/>
        </w:rPr>
        <w:t>]</w:t>
      </w:r>
    </w:p>
    <w:p w14:paraId="3B06893A" w14:textId="77777777" w:rsidR="00125603" w:rsidRPr="009118AB" w:rsidRDefault="00125603" w:rsidP="00721FC7">
      <w:pPr>
        <w:autoSpaceDE w:val="0"/>
        <w:autoSpaceDN w:val="0"/>
        <w:adjustRightInd w:val="0"/>
        <w:jc w:val="both"/>
        <w:rPr>
          <w:iCs/>
        </w:rPr>
      </w:pPr>
    </w:p>
    <w:p w14:paraId="04CB3A7C" w14:textId="44D134DE" w:rsidR="00125603" w:rsidRPr="009118AB" w:rsidRDefault="00125603" w:rsidP="00721FC7">
      <w:pPr>
        <w:autoSpaceDE w:val="0"/>
        <w:autoSpaceDN w:val="0"/>
        <w:adjustRightInd w:val="0"/>
        <w:jc w:val="both"/>
        <w:rPr>
          <w:i/>
        </w:rPr>
      </w:pPr>
      <w:r w:rsidRPr="009118AB">
        <w:rPr>
          <w:i/>
        </w:rPr>
        <w:t>[</w:t>
      </w:r>
      <w:r w:rsidR="00D67EB8" w:rsidRPr="009118AB">
        <w:rPr>
          <w:i/>
        </w:rPr>
        <w:t>Art. </w:t>
      </w:r>
      <w:r w:rsidRPr="009118AB">
        <w:rPr>
          <w:i/>
        </w:rPr>
        <w:t xml:space="preserve">102ter eingefügt durch </w:t>
      </w:r>
      <w:r w:rsidR="00D67EB8" w:rsidRPr="009118AB">
        <w:rPr>
          <w:i/>
        </w:rPr>
        <w:t>Art. </w:t>
      </w:r>
      <w:r w:rsidRPr="009118AB">
        <w:rPr>
          <w:i/>
        </w:rPr>
        <w:t>75</w:t>
      </w:r>
      <w:r w:rsidRPr="009118AB">
        <w:rPr>
          <w:i/>
          <w:iCs/>
          <w:spacing w:val="-2"/>
        </w:rPr>
        <w:t xml:space="preserve"> des G. vom 11. Februar 2019 (B.S. vom 22. März 2020)</w:t>
      </w:r>
      <w:r w:rsidR="00D67EB8" w:rsidRPr="009118AB">
        <w:rPr>
          <w:i/>
          <w:iCs/>
          <w:spacing w:val="-2"/>
        </w:rPr>
        <w:t> - </w:t>
      </w:r>
      <w:r w:rsidRPr="009118AB">
        <w:rPr>
          <w:i/>
          <w:iCs/>
          <w:spacing w:val="-2"/>
        </w:rPr>
        <w:t xml:space="preserve">anwendbar </w:t>
      </w:r>
      <w:r w:rsidR="004009DF" w:rsidRPr="009118AB">
        <w:rPr>
          <w:i/>
          <w:iCs/>
          <w:spacing w:val="-2"/>
        </w:rPr>
        <w:t xml:space="preserve">auf die </w:t>
      </w:r>
      <w:r w:rsidRPr="009118AB">
        <w:rPr>
          <w:i/>
          <w:iCs/>
          <w:spacing w:val="-2"/>
        </w:rPr>
        <w:t>ab dem 1. Januar 2018 gezahlten oder zuerkannten Einkünfte</w:t>
      </w:r>
      <w:r w:rsidR="00D67EB8" w:rsidRPr="009118AB">
        <w:rPr>
          <w:i/>
          <w:iCs/>
          <w:spacing w:val="-2"/>
        </w:rPr>
        <w:t> - </w:t>
      </w:r>
      <w:r w:rsidR="00BD6117" w:rsidRPr="009118AB">
        <w:rPr>
          <w:i/>
          <w:iCs/>
          <w:spacing w:val="-2"/>
        </w:rPr>
        <w:t xml:space="preserve">und </w:t>
      </w:r>
      <w:r w:rsidR="006169BA" w:rsidRPr="009118AB">
        <w:rPr>
          <w:i/>
          <w:iCs/>
          <w:spacing w:val="-2"/>
        </w:rPr>
        <w:t>aufgehoben</w:t>
      </w:r>
      <w:r w:rsidR="00BD6117" w:rsidRPr="009118AB">
        <w:rPr>
          <w:i/>
          <w:iCs/>
          <w:spacing w:val="-2"/>
        </w:rPr>
        <w:t xml:space="preserve"> durch </w:t>
      </w:r>
      <w:r w:rsidR="00D67EB8" w:rsidRPr="009118AB">
        <w:rPr>
          <w:i/>
          <w:iCs/>
          <w:spacing w:val="-2"/>
        </w:rPr>
        <w:t>Art. </w:t>
      </w:r>
      <w:r w:rsidR="00BD6117" w:rsidRPr="009118AB">
        <w:rPr>
          <w:i/>
          <w:iCs/>
          <w:spacing w:val="-2"/>
        </w:rPr>
        <w:t>14</w:t>
      </w:r>
      <w:r w:rsidR="00BD6117" w:rsidRPr="009118AB">
        <w:rPr>
          <w:i/>
          <w:iCs/>
        </w:rPr>
        <w:t xml:space="preserve"> des G. vom 20. Dezember 2020 (II) (B.S. vom 30. Dezember 2020)</w:t>
      </w:r>
      <w:r w:rsidR="00D67EB8" w:rsidRPr="009118AB">
        <w:rPr>
          <w:i/>
          <w:iCs/>
        </w:rPr>
        <w:t> - </w:t>
      </w:r>
      <w:r w:rsidR="00BD6117" w:rsidRPr="009118AB">
        <w:rPr>
          <w:i/>
          <w:iCs/>
        </w:rPr>
        <w:t>in Kraft am 1. Januar 2021</w:t>
      </w:r>
      <w:r w:rsidR="00D74DCD" w:rsidRPr="009118AB">
        <w:rPr>
          <w:i/>
          <w:iCs/>
        </w:rPr>
        <w:t xml:space="preserve"> und</w:t>
      </w:r>
      <w:r w:rsidR="00BD6117" w:rsidRPr="009118AB">
        <w:rPr>
          <w:i/>
          <w:iCs/>
        </w:rPr>
        <w:t xml:space="preserve"> anwendbar auf die ab dem 1. Januar 2021 gezahlten oder zuerkannten Einkünfte</w:t>
      </w:r>
      <w:r w:rsidR="00FD68E8" w:rsidRPr="009118AB">
        <w:rPr>
          <w:i/>
          <w:iCs/>
        </w:rPr>
        <w:t> -]</w:t>
      </w:r>
    </w:p>
    <w:p w14:paraId="038F544F" w14:textId="6E3E34C8" w:rsidR="00477B8F" w:rsidRPr="009118AB" w:rsidRDefault="00C31D59" w:rsidP="004C5C01">
      <w:pPr>
        <w:autoSpaceDE w:val="0"/>
        <w:autoSpaceDN w:val="0"/>
        <w:adjustRightInd w:val="0"/>
        <w:jc w:val="center"/>
      </w:pPr>
      <w:r w:rsidRPr="009118AB">
        <w:br w:type="page"/>
      </w:r>
      <w:r w:rsidR="00477B8F" w:rsidRPr="009118AB">
        <w:lastRenderedPageBreak/>
        <w:t>Unterabschnitt </w:t>
      </w:r>
      <w:r w:rsidR="00AA609D" w:rsidRPr="009118AB">
        <w:t>3</w:t>
      </w:r>
      <w:r w:rsidR="00D67EB8" w:rsidRPr="009118AB">
        <w:t> - </w:t>
      </w:r>
      <w:r w:rsidR="00477B8F" w:rsidRPr="009118AB">
        <w:t>Abzugsfähige Verluste</w:t>
      </w:r>
    </w:p>
    <w:p w14:paraId="2CA20316" w14:textId="77777777" w:rsidR="00477B8F" w:rsidRPr="009118AB" w:rsidRDefault="00477B8F" w:rsidP="00477B8F">
      <w:pPr>
        <w:autoSpaceDE w:val="0"/>
        <w:autoSpaceDN w:val="0"/>
        <w:adjustRightInd w:val="0"/>
        <w:jc w:val="center"/>
      </w:pPr>
    </w:p>
    <w:p w14:paraId="5E5D3928" w14:textId="77777777" w:rsidR="00477B8F" w:rsidRPr="009118AB" w:rsidRDefault="00477B8F" w:rsidP="00477B8F">
      <w:pPr>
        <w:autoSpaceDE w:val="0"/>
        <w:autoSpaceDN w:val="0"/>
        <w:adjustRightInd w:val="0"/>
        <w:jc w:val="center"/>
      </w:pPr>
    </w:p>
    <w:p w14:paraId="3966AF63" w14:textId="40202D3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103</w:t>
      </w:r>
      <w:r w:rsidR="00D67EB8" w:rsidRPr="009118AB">
        <w:t> - § </w:t>
      </w:r>
      <w:r w:rsidRPr="009118AB">
        <w:t>1</w:t>
      </w:r>
      <w:r w:rsidR="00D67EB8" w:rsidRPr="009118AB">
        <w:t> - </w:t>
      </w:r>
      <w:r w:rsidRPr="009118AB">
        <w:t xml:space="preserve">Verluste, die in den fünf vorherigen Besteuerungszeiträumen in der Ausübung von Tätigkeiten erlitten wurden, die in </w:t>
      </w:r>
      <w:r w:rsidR="002C2FA4" w:rsidRPr="009118AB">
        <w:t xml:space="preserve">[Artikel 90 Absatz 1 </w:t>
      </w:r>
      <w:r w:rsidR="00D67EB8" w:rsidRPr="009118AB">
        <w:t>Nr. </w:t>
      </w:r>
      <w:r w:rsidR="002C2FA4" w:rsidRPr="009118AB">
        <w:t xml:space="preserve">1] </w:t>
      </w:r>
      <w:r w:rsidRPr="009118AB">
        <w:t>erwähnt sind, werden nur von Einkünften aus solchen Tätigkeiten abgezogen.</w:t>
      </w:r>
    </w:p>
    <w:p w14:paraId="33634C79" w14:textId="77777777" w:rsidR="00477B8F" w:rsidRPr="009118AB" w:rsidRDefault="00477B8F" w:rsidP="00477B8F">
      <w:pPr>
        <w:autoSpaceDE w:val="0"/>
        <w:autoSpaceDN w:val="0"/>
        <w:adjustRightInd w:val="0"/>
        <w:jc w:val="both"/>
      </w:pPr>
    </w:p>
    <w:p w14:paraId="037979D4" w14:textId="77777777" w:rsidR="00477B8F" w:rsidRPr="009118AB" w:rsidRDefault="00477B8F" w:rsidP="00477B8F">
      <w:pPr>
        <w:autoSpaceDE w:val="0"/>
        <w:autoSpaceDN w:val="0"/>
        <w:adjustRightInd w:val="0"/>
        <w:jc w:val="both"/>
      </w:pPr>
      <w:r w:rsidRPr="009118AB">
        <w:tab/>
        <w:t>Die Verluste werden nacheinander von den Einkünften jedes folgenden Besteuerungszeitraums abgezogen.</w:t>
      </w:r>
      <w:r w:rsidRPr="009118AB">
        <w:tab/>
      </w:r>
    </w:p>
    <w:p w14:paraId="66437282" w14:textId="77777777" w:rsidR="00477B8F" w:rsidRPr="009118AB" w:rsidRDefault="00477B8F" w:rsidP="00477B8F">
      <w:pPr>
        <w:autoSpaceDE w:val="0"/>
        <w:autoSpaceDN w:val="0"/>
        <w:adjustRightInd w:val="0"/>
        <w:jc w:val="both"/>
      </w:pPr>
    </w:p>
    <w:p w14:paraId="448CE3C8" w14:textId="5D7D8EC2"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Die Bestimmungen von </w:t>
      </w:r>
      <w:r w:rsidR="00D67EB8" w:rsidRPr="009118AB">
        <w:t>§ </w:t>
      </w:r>
      <w:r w:rsidRPr="009118AB">
        <w:t xml:space="preserve">1 sind ebenfalls anwendbar auf Verluste, die in den fünf vorherigen Besteuerungszeiträumen anlässlich der in </w:t>
      </w:r>
      <w:r w:rsidR="002C2FA4" w:rsidRPr="009118AB">
        <w:t xml:space="preserve">[Artikel 90 Absatz 1 </w:t>
      </w:r>
      <w:r w:rsidR="00D67EB8" w:rsidRPr="009118AB">
        <w:t>Nr. </w:t>
      </w:r>
      <w:r w:rsidR="002C2FA4" w:rsidRPr="009118AB">
        <w:t xml:space="preserve">8] </w:t>
      </w:r>
      <w:r w:rsidRPr="009118AB">
        <w:t>erwähnten Geschäfte erlitten wurden.</w:t>
      </w:r>
    </w:p>
    <w:p w14:paraId="6C0B417A" w14:textId="77777777" w:rsidR="00477B8F" w:rsidRPr="009118AB" w:rsidRDefault="00477B8F" w:rsidP="00477B8F">
      <w:pPr>
        <w:autoSpaceDE w:val="0"/>
        <w:autoSpaceDN w:val="0"/>
        <w:adjustRightInd w:val="0"/>
        <w:jc w:val="both"/>
      </w:pPr>
    </w:p>
    <w:p w14:paraId="06DBCCA6" w14:textId="3D16D6FD" w:rsidR="00477B8F" w:rsidRPr="009118AB" w:rsidRDefault="00477B8F" w:rsidP="00477B8F">
      <w:pPr>
        <w:autoSpaceDE w:val="0"/>
        <w:autoSpaceDN w:val="0"/>
        <w:adjustRightInd w:val="0"/>
        <w:jc w:val="both"/>
      </w:pPr>
      <w:r w:rsidRPr="009118AB">
        <w:tab/>
        <w:t>[</w:t>
      </w:r>
      <w:r w:rsidR="00D67EB8" w:rsidRPr="009118AB">
        <w:t>§ </w:t>
      </w:r>
      <w:r w:rsidRPr="009118AB">
        <w:t>3</w:t>
      </w:r>
      <w:r w:rsidR="00D67EB8" w:rsidRPr="009118AB">
        <w:t> - </w:t>
      </w:r>
      <w:r w:rsidRPr="009118AB">
        <w:t xml:space="preserve">Die Bestimmungen von </w:t>
      </w:r>
      <w:r w:rsidR="00D67EB8" w:rsidRPr="009118AB">
        <w:t>§ </w:t>
      </w:r>
      <w:r w:rsidRPr="009118AB">
        <w:t xml:space="preserve">1 sind ebenfalls anwendbar auf Verluste, die in den fünf vorherigen Besteuerungszeiträumen anlässlich der in </w:t>
      </w:r>
      <w:r w:rsidR="002C2FA4" w:rsidRPr="009118AB">
        <w:t xml:space="preserve">[Artikel 90 Absatz 1 </w:t>
      </w:r>
      <w:r w:rsidR="00D67EB8" w:rsidRPr="009118AB">
        <w:t>Nr. </w:t>
      </w:r>
      <w:r w:rsidR="002C2FA4" w:rsidRPr="009118AB">
        <w:t xml:space="preserve">10] </w:t>
      </w:r>
      <w:r w:rsidRPr="009118AB">
        <w:t>erwähnten Geschäfte erlitten wurden.]</w:t>
      </w:r>
    </w:p>
    <w:p w14:paraId="3946C25D" w14:textId="77777777" w:rsidR="00477B8F" w:rsidRPr="009118AB" w:rsidRDefault="00477B8F" w:rsidP="00477B8F">
      <w:pPr>
        <w:autoSpaceDE w:val="0"/>
        <w:autoSpaceDN w:val="0"/>
        <w:adjustRightInd w:val="0"/>
        <w:jc w:val="both"/>
      </w:pPr>
    </w:p>
    <w:p w14:paraId="6A9B3D41" w14:textId="18A1821D"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103 </w:t>
      </w:r>
      <w:r w:rsidR="00D67EB8" w:rsidRPr="009118AB">
        <w:rPr>
          <w:i/>
          <w:iCs/>
        </w:rPr>
        <w:t>§ </w:t>
      </w:r>
      <w:r w:rsidR="002C2FA4" w:rsidRPr="009118AB">
        <w:rPr>
          <w:i/>
          <w:iCs/>
        </w:rPr>
        <w:t xml:space="preserve">1 </w:t>
      </w:r>
      <w:r w:rsidR="00D67EB8" w:rsidRPr="009118AB">
        <w:rPr>
          <w:i/>
          <w:iCs/>
        </w:rPr>
        <w:t>Abs. </w:t>
      </w:r>
      <w:r w:rsidR="002C2FA4" w:rsidRPr="009118AB">
        <w:rPr>
          <w:i/>
          <w:iCs/>
        </w:rPr>
        <w:t xml:space="preserve">1 abgeändert durch </w:t>
      </w:r>
      <w:r w:rsidR="00D67EB8" w:rsidRPr="009118AB">
        <w:rPr>
          <w:i/>
          <w:iCs/>
        </w:rPr>
        <w:t>Art. </w:t>
      </w:r>
      <w:r w:rsidR="002C2FA4" w:rsidRPr="009118AB">
        <w:rPr>
          <w:i/>
          <w:iCs/>
        </w:rPr>
        <w:t xml:space="preserve">62 </w:t>
      </w:r>
      <w:r w:rsidR="00D67EB8" w:rsidRPr="009118AB">
        <w:rPr>
          <w:i/>
          <w:iCs/>
        </w:rPr>
        <w:t>Nr. </w:t>
      </w:r>
      <w:r w:rsidR="002C2FA4" w:rsidRPr="009118AB">
        <w:rPr>
          <w:i/>
          <w:iCs/>
        </w:rPr>
        <w:t>1</w:t>
      </w:r>
      <w:r w:rsidR="002C2FA4" w:rsidRPr="009118AB">
        <w:rPr>
          <w:i/>
        </w:rPr>
        <w:t xml:space="preserve"> des G. vom 26. Dezember 2015 (II) (B.S. vom 30. Dezember 2015)</w:t>
      </w:r>
      <w:r w:rsidR="00D67EB8" w:rsidRPr="009118AB">
        <w:t> - </w:t>
      </w:r>
      <w:r w:rsidR="002C2FA4"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2C2FA4" w:rsidRPr="009118AB">
        <w:rPr>
          <w:i/>
        </w:rPr>
        <w:t xml:space="preserve"> </w:t>
      </w:r>
      <w:r w:rsidR="00D67EB8" w:rsidRPr="009118AB">
        <w:rPr>
          <w:i/>
        </w:rPr>
        <w:t>§ </w:t>
      </w:r>
      <w:r w:rsidR="002C2FA4" w:rsidRPr="009118AB">
        <w:rPr>
          <w:i/>
        </w:rPr>
        <w:t xml:space="preserve">2 abgeändert durch </w:t>
      </w:r>
      <w:r w:rsidR="00D67EB8" w:rsidRPr="009118AB">
        <w:rPr>
          <w:i/>
        </w:rPr>
        <w:t>Art. </w:t>
      </w:r>
      <w:r w:rsidR="002C2FA4" w:rsidRPr="009118AB">
        <w:rPr>
          <w:i/>
        </w:rPr>
        <w:t xml:space="preserve">62 </w:t>
      </w:r>
      <w:r w:rsidR="00D67EB8" w:rsidRPr="009118AB">
        <w:rPr>
          <w:i/>
        </w:rPr>
        <w:t>Nr. </w:t>
      </w:r>
      <w:r w:rsidR="002C2FA4" w:rsidRPr="009118AB">
        <w:rPr>
          <w:i/>
        </w:rPr>
        <w:t>2 des G. vom 26. Dezember 2015 (II) (B.S. vom 30. Dezember 2015)</w:t>
      </w:r>
      <w:r w:rsidR="00D67EB8" w:rsidRPr="009118AB">
        <w:t> - </w:t>
      </w:r>
      <w:r w:rsidR="002C2FA4"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2C2FA4" w:rsidRPr="009118AB">
        <w:rPr>
          <w:i/>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18 des K.E. vom 20. Dezember 1996 (B.S. vom 31. Dezember 1996)</w:t>
      </w:r>
      <w:r w:rsidR="00D67EB8" w:rsidRPr="009118AB">
        <w:rPr>
          <w:i/>
          <w:iCs/>
        </w:rPr>
        <w:t> - </w:t>
      </w:r>
      <w:r w:rsidRPr="009118AB">
        <w:rPr>
          <w:i/>
          <w:iCs/>
        </w:rPr>
        <w:t>in Kraft ab dem 1. Januar 1997</w:t>
      </w:r>
      <w:r w:rsidR="00D67EB8" w:rsidRPr="009118AB">
        <w:rPr>
          <w:i/>
          <w:iCs/>
        </w:rPr>
        <w:t> - </w:t>
      </w:r>
      <w:r w:rsidR="002C2FA4" w:rsidRPr="009118AB">
        <w:rPr>
          <w:i/>
          <w:iCs/>
        </w:rPr>
        <w:t xml:space="preserve">und abgeändert durch </w:t>
      </w:r>
      <w:r w:rsidR="00D67EB8" w:rsidRPr="009118AB">
        <w:rPr>
          <w:i/>
          <w:iCs/>
        </w:rPr>
        <w:t>Art. </w:t>
      </w:r>
      <w:r w:rsidR="002C2FA4" w:rsidRPr="009118AB">
        <w:rPr>
          <w:i/>
          <w:iCs/>
        </w:rPr>
        <w:t xml:space="preserve">62 </w:t>
      </w:r>
      <w:r w:rsidR="00D67EB8" w:rsidRPr="009118AB">
        <w:rPr>
          <w:i/>
          <w:iCs/>
        </w:rPr>
        <w:t>Nr. </w:t>
      </w:r>
      <w:r w:rsidR="002C2FA4" w:rsidRPr="009118AB">
        <w:rPr>
          <w:i/>
          <w:iCs/>
        </w:rPr>
        <w:t>3</w:t>
      </w:r>
      <w:r w:rsidR="002C2FA4" w:rsidRPr="009118AB">
        <w:rPr>
          <w:i/>
        </w:rPr>
        <w:t xml:space="preserve"> des G. vom 26. Dezember 2015 (II) (B.S. vom 30. Dezember 2015)</w:t>
      </w:r>
      <w:r w:rsidR="00D67EB8" w:rsidRPr="009118AB">
        <w:t> - </w:t>
      </w:r>
      <w:r w:rsidR="002C2FA4"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6089CDCA" w14:textId="77777777" w:rsidR="0039075A" w:rsidRPr="009118AB" w:rsidRDefault="0039075A" w:rsidP="00DD3BE1">
      <w:pPr>
        <w:autoSpaceDE w:val="0"/>
        <w:autoSpaceDN w:val="0"/>
        <w:adjustRightInd w:val="0"/>
        <w:jc w:val="center"/>
      </w:pPr>
    </w:p>
    <w:p w14:paraId="21A89CCB" w14:textId="77777777" w:rsidR="0039075A" w:rsidRPr="009118AB" w:rsidRDefault="0039075A" w:rsidP="00DD3BE1">
      <w:pPr>
        <w:autoSpaceDE w:val="0"/>
        <w:autoSpaceDN w:val="0"/>
        <w:adjustRightInd w:val="0"/>
        <w:jc w:val="center"/>
        <w:rPr>
          <w:i/>
          <w:iCs/>
        </w:rPr>
      </w:pPr>
    </w:p>
    <w:p w14:paraId="5C93EC7D" w14:textId="69751A02" w:rsidR="00477B8F" w:rsidRPr="009118AB" w:rsidRDefault="00C31D59" w:rsidP="00DD3BE1">
      <w:pPr>
        <w:autoSpaceDE w:val="0"/>
        <w:autoSpaceDN w:val="0"/>
        <w:adjustRightInd w:val="0"/>
        <w:jc w:val="center"/>
      </w:pPr>
      <w:r w:rsidRPr="009118AB">
        <w:rPr>
          <w:i/>
          <w:iCs/>
        </w:rPr>
        <w:br w:type="page"/>
      </w:r>
      <w:r w:rsidR="00477B8F" w:rsidRPr="009118AB">
        <w:rPr>
          <w:i/>
          <w:iCs/>
        </w:rPr>
        <w:lastRenderedPageBreak/>
        <w:t>Abschnitt </w:t>
      </w:r>
      <w:r w:rsidR="00D74862" w:rsidRPr="009118AB">
        <w:rPr>
          <w:i/>
          <w:iCs/>
        </w:rPr>
        <w:t>6</w:t>
      </w:r>
      <w:r w:rsidR="00D67EB8" w:rsidRPr="009118AB">
        <w:t> - </w:t>
      </w:r>
      <w:r w:rsidR="00477B8F" w:rsidRPr="009118AB">
        <w:t>Abzugsfähige Ausgaben</w:t>
      </w:r>
    </w:p>
    <w:p w14:paraId="31E461F6" w14:textId="77777777" w:rsidR="00477B8F" w:rsidRPr="009118AB" w:rsidRDefault="00477B8F" w:rsidP="00477B8F">
      <w:pPr>
        <w:autoSpaceDE w:val="0"/>
        <w:autoSpaceDN w:val="0"/>
        <w:adjustRightInd w:val="0"/>
        <w:jc w:val="both"/>
      </w:pPr>
    </w:p>
    <w:p w14:paraId="218ED916" w14:textId="77777777" w:rsidR="00477B8F" w:rsidRPr="009118AB" w:rsidRDefault="00477B8F" w:rsidP="00477B8F">
      <w:pPr>
        <w:autoSpaceDE w:val="0"/>
        <w:autoSpaceDN w:val="0"/>
        <w:adjustRightInd w:val="0"/>
        <w:jc w:val="both"/>
      </w:pPr>
    </w:p>
    <w:p w14:paraId="002AD5BF"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Allgemeines</w:t>
      </w:r>
    </w:p>
    <w:p w14:paraId="0656AF12" w14:textId="77777777" w:rsidR="00477B8F" w:rsidRPr="009118AB" w:rsidRDefault="00477B8F" w:rsidP="00477B8F">
      <w:pPr>
        <w:autoSpaceDE w:val="0"/>
        <w:autoSpaceDN w:val="0"/>
        <w:adjustRightInd w:val="0"/>
        <w:jc w:val="both"/>
      </w:pPr>
    </w:p>
    <w:p w14:paraId="4686FF3C" w14:textId="77777777" w:rsidR="00477B8F" w:rsidRPr="009118AB" w:rsidRDefault="00477B8F" w:rsidP="00477B8F">
      <w:pPr>
        <w:autoSpaceDE w:val="0"/>
        <w:autoSpaceDN w:val="0"/>
        <w:adjustRightInd w:val="0"/>
        <w:jc w:val="both"/>
      </w:pPr>
    </w:p>
    <w:p w14:paraId="43FA83C3" w14:textId="0B5A313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104</w:t>
      </w:r>
      <w:r w:rsidR="00D67EB8" w:rsidRPr="009118AB">
        <w:t> - </w:t>
      </w:r>
      <w:r w:rsidR="00BD0118" w:rsidRPr="009118AB">
        <w:t>[Folgende Ausgaben werden von der Gesamtheit der Nettoeinkünfte abgezogen in dem Maße, wie sie während des Besteuerungszeitraums tatsächlich gezahlt wurden:]</w:t>
      </w:r>
    </w:p>
    <w:p w14:paraId="7C9DB72A" w14:textId="77777777" w:rsidR="00477B8F" w:rsidRPr="009118AB" w:rsidRDefault="00477B8F" w:rsidP="00477B8F">
      <w:pPr>
        <w:autoSpaceDE w:val="0"/>
        <w:autoSpaceDN w:val="0"/>
        <w:adjustRightInd w:val="0"/>
        <w:jc w:val="both"/>
      </w:pPr>
    </w:p>
    <w:p w14:paraId="4988B29B" w14:textId="77777777" w:rsidR="00477B8F" w:rsidRPr="009118AB" w:rsidRDefault="00477B8F" w:rsidP="00477B8F">
      <w:pPr>
        <w:autoSpaceDE w:val="0"/>
        <w:autoSpaceDN w:val="0"/>
        <w:adjustRightInd w:val="0"/>
        <w:jc w:val="both"/>
      </w:pPr>
      <w:r w:rsidRPr="009118AB">
        <w:tab/>
        <w:t xml:space="preserve">1. [80 Prozent der Unterhaltsleistungen, die der Steuerpflichtige regelmäßig an Personen zahlt, die nicht Mitglied seines Haushalts sind, wenn sie ihnen in Ausführung </w:t>
      </w:r>
      <w:r w:rsidR="0039075A" w:rsidRPr="009118AB">
        <w:t xml:space="preserve">[einer Verpflichtung aus dem Zivilgesetzbuch oder dem Gerichtsgesetzbuch oder in Ausführung einer vergleichbaren gesetzlichen Verpflichtung aus ausländischen Rechtsvorschriften] </w:t>
      </w:r>
      <w:r w:rsidRPr="009118AB">
        <w:t>gezahlt werden, und 80 Prozent der Kapitalien, die solche Unterhaltsleistungen ersetzen, [...]]</w:t>
      </w:r>
    </w:p>
    <w:p w14:paraId="1C38B0F6" w14:textId="77777777" w:rsidR="00477B8F" w:rsidRPr="009118AB" w:rsidRDefault="00477B8F" w:rsidP="00477B8F">
      <w:pPr>
        <w:autoSpaceDE w:val="0"/>
        <w:autoSpaceDN w:val="0"/>
        <w:adjustRightInd w:val="0"/>
        <w:jc w:val="both"/>
      </w:pPr>
    </w:p>
    <w:p w14:paraId="45E9A03D" w14:textId="1F46C29A" w:rsidR="00477B8F" w:rsidRPr="009118AB" w:rsidRDefault="00477B8F" w:rsidP="00477B8F">
      <w:pPr>
        <w:autoSpaceDE w:val="0"/>
        <w:autoSpaceDN w:val="0"/>
        <w:adjustRightInd w:val="0"/>
        <w:jc w:val="both"/>
      </w:pPr>
      <w:r w:rsidRPr="009118AB">
        <w:tab/>
        <w:t xml:space="preserve">2. 80 Prozent der Unterhaltsleistungen oder ergänzenden Unterhaltsleistungen, die der Steuerpflichtige unter den in </w:t>
      </w:r>
      <w:r w:rsidR="00D67EB8" w:rsidRPr="009118AB">
        <w:t>Nr. </w:t>
      </w:r>
      <w:r w:rsidRPr="009118AB">
        <w:t>1 festgelegten Bedingungen schuldet, die jedoch nach dem Besteuerungszeitraum, in dem sie geschuldet werden, in Ausführung einer gerichtlichen Entscheidung gezahlt werden, mit der deren Betrag rückwirkend festgelegt oder erhöht worden ist. [Unterhaltsleistungen, die für Kinder gezahlt werden, für die für einen früheren Besteuerungszeitraum [Artikel 132</w:t>
      </w:r>
      <w:r w:rsidRPr="009118AB">
        <w:rPr>
          <w:i/>
          <w:iCs/>
        </w:rPr>
        <w:t>bis</w:t>
      </w:r>
      <w:r w:rsidRPr="009118AB">
        <w:t xml:space="preserve"> angewandt wurde], sind jedoch nicht abzugsfähig,]</w:t>
      </w:r>
    </w:p>
    <w:p w14:paraId="2EB519F4" w14:textId="77777777" w:rsidR="00477B8F" w:rsidRPr="009118AB" w:rsidRDefault="00477B8F" w:rsidP="00477B8F">
      <w:pPr>
        <w:autoSpaceDE w:val="0"/>
        <w:autoSpaceDN w:val="0"/>
        <w:adjustRightInd w:val="0"/>
        <w:jc w:val="both"/>
      </w:pPr>
    </w:p>
    <w:p w14:paraId="74B17EA7" w14:textId="77777777" w:rsidR="00477B8F" w:rsidRPr="009118AB" w:rsidRDefault="00477B8F" w:rsidP="00084D5C">
      <w:pPr>
        <w:autoSpaceDE w:val="0"/>
        <w:autoSpaceDN w:val="0"/>
        <w:adjustRightInd w:val="0"/>
        <w:jc w:val="both"/>
      </w:pPr>
      <w:r w:rsidRPr="009118AB">
        <w:tab/>
        <w:t xml:space="preserve">3. </w:t>
      </w:r>
      <w:r w:rsidR="00084D5C" w:rsidRPr="009118AB">
        <w:t>[…</w:t>
      </w:r>
      <w:r w:rsidR="00DD0B72" w:rsidRPr="009118AB">
        <w:t>]</w:t>
      </w:r>
    </w:p>
    <w:p w14:paraId="5854C4C7" w14:textId="77777777" w:rsidR="00477B8F" w:rsidRPr="009118AB" w:rsidRDefault="00477B8F" w:rsidP="00DD3BE1">
      <w:pPr>
        <w:autoSpaceDE w:val="0"/>
        <w:autoSpaceDN w:val="0"/>
        <w:adjustRightInd w:val="0"/>
        <w:jc w:val="both"/>
      </w:pPr>
    </w:p>
    <w:p w14:paraId="470DE6BA" w14:textId="77777777" w:rsidR="00477B8F" w:rsidRPr="009118AB" w:rsidRDefault="00477B8F" w:rsidP="00DD3BE1">
      <w:pPr>
        <w:autoSpaceDE w:val="0"/>
        <w:autoSpaceDN w:val="0"/>
        <w:adjustRightInd w:val="0"/>
        <w:jc w:val="both"/>
      </w:pPr>
      <w:r w:rsidRPr="009118AB">
        <w:tab/>
        <w:t xml:space="preserve">4. </w:t>
      </w:r>
      <w:r w:rsidR="00084D5C" w:rsidRPr="009118AB">
        <w:t>[…]</w:t>
      </w:r>
    </w:p>
    <w:p w14:paraId="7B593EA4" w14:textId="77777777" w:rsidR="00DD3BE1" w:rsidRPr="009118AB" w:rsidRDefault="00DD3BE1" w:rsidP="00DD3BE1">
      <w:pPr>
        <w:autoSpaceDE w:val="0"/>
        <w:autoSpaceDN w:val="0"/>
        <w:adjustRightInd w:val="0"/>
        <w:jc w:val="both"/>
      </w:pPr>
    </w:p>
    <w:p w14:paraId="29C507F3" w14:textId="77777777" w:rsidR="00477B8F" w:rsidRPr="009118AB" w:rsidRDefault="00477B8F" w:rsidP="00DD3BE1">
      <w:pPr>
        <w:autoSpaceDE w:val="0"/>
        <w:autoSpaceDN w:val="0"/>
        <w:adjustRightInd w:val="0"/>
        <w:jc w:val="both"/>
      </w:pPr>
      <w:r w:rsidRPr="009118AB">
        <w:tab/>
        <w:t>[4</w:t>
      </w:r>
      <w:r w:rsidRPr="009118AB">
        <w:rPr>
          <w:i/>
          <w:iCs/>
        </w:rPr>
        <w:t>bis</w:t>
      </w:r>
      <w:r w:rsidRPr="009118AB">
        <w:t xml:space="preserve">. </w:t>
      </w:r>
      <w:r w:rsidR="00084D5C" w:rsidRPr="009118AB">
        <w:t>[…]</w:t>
      </w:r>
      <w:r w:rsidR="00DD0B72" w:rsidRPr="009118AB">
        <w:t>]</w:t>
      </w:r>
    </w:p>
    <w:p w14:paraId="06CEBE30" w14:textId="77777777" w:rsidR="00477B8F" w:rsidRPr="009118AB" w:rsidRDefault="00477B8F" w:rsidP="00DD3BE1">
      <w:pPr>
        <w:autoSpaceDE w:val="0"/>
        <w:autoSpaceDN w:val="0"/>
        <w:adjustRightInd w:val="0"/>
        <w:jc w:val="both"/>
      </w:pPr>
    </w:p>
    <w:p w14:paraId="4462E0CC" w14:textId="77777777" w:rsidR="00477B8F" w:rsidRPr="009118AB" w:rsidRDefault="00477B8F" w:rsidP="00DD3BE1">
      <w:pPr>
        <w:autoSpaceDE w:val="0"/>
        <w:autoSpaceDN w:val="0"/>
        <w:adjustRightInd w:val="0"/>
        <w:jc w:val="both"/>
      </w:pPr>
      <w:r w:rsidRPr="009118AB">
        <w:tab/>
        <w:t>[4</w:t>
      </w:r>
      <w:r w:rsidRPr="009118AB">
        <w:rPr>
          <w:i/>
          <w:iCs/>
        </w:rPr>
        <w:t>ter</w:t>
      </w:r>
      <w:r w:rsidRPr="009118AB">
        <w:t xml:space="preserve">. </w:t>
      </w:r>
      <w:r w:rsidR="00084D5C" w:rsidRPr="009118AB">
        <w:t>[…]</w:t>
      </w:r>
      <w:r w:rsidRPr="009118AB">
        <w:t>]</w:t>
      </w:r>
    </w:p>
    <w:p w14:paraId="2056D624" w14:textId="77777777" w:rsidR="00477B8F" w:rsidRPr="009118AB" w:rsidRDefault="00477B8F" w:rsidP="00DD3BE1">
      <w:pPr>
        <w:autoSpaceDE w:val="0"/>
        <w:autoSpaceDN w:val="0"/>
        <w:adjustRightInd w:val="0"/>
        <w:jc w:val="both"/>
      </w:pPr>
    </w:p>
    <w:p w14:paraId="3E61E95C" w14:textId="77777777" w:rsidR="00477B8F" w:rsidRPr="009118AB" w:rsidRDefault="00477B8F" w:rsidP="00084D5C">
      <w:pPr>
        <w:autoSpaceDE w:val="0"/>
        <w:autoSpaceDN w:val="0"/>
        <w:adjustRightInd w:val="0"/>
        <w:jc w:val="both"/>
      </w:pPr>
      <w:r w:rsidRPr="009118AB">
        <w:tab/>
        <w:t xml:space="preserve">5. </w:t>
      </w:r>
      <w:r w:rsidR="00084D5C" w:rsidRPr="009118AB">
        <w:t>[…</w:t>
      </w:r>
      <w:r w:rsidRPr="009118AB">
        <w:t>]</w:t>
      </w:r>
    </w:p>
    <w:p w14:paraId="4D4256CC" w14:textId="77777777" w:rsidR="00477B8F" w:rsidRPr="009118AB" w:rsidRDefault="00477B8F" w:rsidP="00DD3BE1">
      <w:pPr>
        <w:autoSpaceDE w:val="0"/>
        <w:autoSpaceDN w:val="0"/>
        <w:adjustRightInd w:val="0"/>
        <w:jc w:val="both"/>
      </w:pPr>
    </w:p>
    <w:p w14:paraId="0508AAED" w14:textId="77777777" w:rsidR="00477B8F" w:rsidRPr="009118AB" w:rsidRDefault="00477B8F" w:rsidP="00DD3BE1">
      <w:pPr>
        <w:autoSpaceDE w:val="0"/>
        <w:autoSpaceDN w:val="0"/>
        <w:adjustRightInd w:val="0"/>
        <w:jc w:val="both"/>
      </w:pPr>
      <w:r w:rsidRPr="009118AB">
        <w:tab/>
        <w:t xml:space="preserve">6. </w:t>
      </w:r>
      <w:r w:rsidR="00084D5C" w:rsidRPr="009118AB">
        <w:t>[…]</w:t>
      </w:r>
    </w:p>
    <w:p w14:paraId="3891FF45" w14:textId="77777777" w:rsidR="00477B8F" w:rsidRPr="009118AB" w:rsidRDefault="00477B8F" w:rsidP="00DD3BE1">
      <w:pPr>
        <w:autoSpaceDE w:val="0"/>
        <w:autoSpaceDN w:val="0"/>
        <w:adjustRightInd w:val="0"/>
        <w:jc w:val="both"/>
      </w:pPr>
    </w:p>
    <w:p w14:paraId="53FAC43F" w14:textId="77777777" w:rsidR="00477B8F" w:rsidRPr="009118AB" w:rsidRDefault="00477B8F" w:rsidP="00084D5C">
      <w:pPr>
        <w:autoSpaceDE w:val="0"/>
        <w:autoSpaceDN w:val="0"/>
        <w:adjustRightInd w:val="0"/>
        <w:jc w:val="both"/>
      </w:pPr>
      <w:r w:rsidRPr="009118AB">
        <w:tab/>
        <w:t>7. [</w:t>
      </w:r>
      <w:r w:rsidR="00084D5C" w:rsidRPr="009118AB">
        <w:t>…</w:t>
      </w:r>
      <w:r w:rsidRPr="009118AB">
        <w:t>]</w:t>
      </w:r>
    </w:p>
    <w:p w14:paraId="564777FB" w14:textId="77777777" w:rsidR="00477B8F" w:rsidRPr="009118AB" w:rsidRDefault="00477B8F" w:rsidP="00DD3BE1">
      <w:pPr>
        <w:autoSpaceDE w:val="0"/>
        <w:autoSpaceDN w:val="0"/>
        <w:adjustRightInd w:val="0"/>
        <w:jc w:val="both"/>
      </w:pPr>
    </w:p>
    <w:p w14:paraId="0ED2C2E3" w14:textId="77777777" w:rsidR="00477B8F" w:rsidRPr="009118AB" w:rsidRDefault="00477B8F" w:rsidP="00DD3BE1">
      <w:pPr>
        <w:autoSpaceDE w:val="0"/>
        <w:autoSpaceDN w:val="0"/>
        <w:adjustRightInd w:val="0"/>
        <w:jc w:val="both"/>
      </w:pPr>
      <w:r w:rsidRPr="009118AB">
        <w:tab/>
        <w:t xml:space="preserve">8. </w:t>
      </w:r>
      <w:r w:rsidR="00084D5C" w:rsidRPr="009118AB">
        <w:t>[…]</w:t>
      </w:r>
    </w:p>
    <w:p w14:paraId="468B24C1" w14:textId="77777777" w:rsidR="00255D31" w:rsidRPr="009118AB" w:rsidRDefault="00255D31" w:rsidP="00DD3BE1">
      <w:pPr>
        <w:autoSpaceDE w:val="0"/>
        <w:autoSpaceDN w:val="0"/>
        <w:adjustRightInd w:val="0"/>
        <w:jc w:val="both"/>
      </w:pPr>
    </w:p>
    <w:p w14:paraId="630DD2FB" w14:textId="77777777" w:rsidR="00477B8F" w:rsidRPr="009118AB" w:rsidRDefault="00477B8F" w:rsidP="00DD3BE1">
      <w:pPr>
        <w:autoSpaceDE w:val="0"/>
        <w:autoSpaceDN w:val="0"/>
        <w:adjustRightInd w:val="0"/>
        <w:jc w:val="both"/>
      </w:pPr>
      <w:r w:rsidRPr="009118AB">
        <w:tab/>
        <w:t>9. [</w:t>
      </w:r>
      <w:r w:rsidR="00BD0118" w:rsidRPr="009118AB">
        <w:t>…</w:t>
      </w:r>
      <w:r w:rsidRPr="009118AB">
        <w:t>]</w:t>
      </w:r>
    </w:p>
    <w:p w14:paraId="2463E357" w14:textId="77777777" w:rsidR="00477B8F" w:rsidRPr="009118AB" w:rsidRDefault="00477B8F" w:rsidP="00DD3BE1">
      <w:pPr>
        <w:autoSpaceDE w:val="0"/>
        <w:autoSpaceDN w:val="0"/>
        <w:adjustRightInd w:val="0"/>
        <w:jc w:val="both"/>
      </w:pPr>
    </w:p>
    <w:p w14:paraId="2715599F" w14:textId="77777777" w:rsidR="00477B8F" w:rsidRPr="009118AB" w:rsidRDefault="00084D5C" w:rsidP="00DD3BE1">
      <w:pPr>
        <w:autoSpaceDE w:val="0"/>
        <w:autoSpaceDN w:val="0"/>
        <w:adjustRightInd w:val="0"/>
        <w:jc w:val="both"/>
      </w:pPr>
      <w:r w:rsidRPr="009118AB">
        <w:tab/>
        <w:t>10. [...]</w:t>
      </w:r>
    </w:p>
    <w:p w14:paraId="791BFA81" w14:textId="77777777" w:rsidR="00477B8F" w:rsidRPr="009118AB" w:rsidRDefault="00477B8F" w:rsidP="00DD3BE1">
      <w:pPr>
        <w:autoSpaceDE w:val="0"/>
        <w:autoSpaceDN w:val="0"/>
        <w:adjustRightInd w:val="0"/>
        <w:jc w:val="both"/>
      </w:pPr>
    </w:p>
    <w:p w14:paraId="41662D96" w14:textId="77777777" w:rsidR="00477B8F" w:rsidRPr="009118AB" w:rsidRDefault="00084D5C" w:rsidP="00DD3BE1">
      <w:pPr>
        <w:autoSpaceDE w:val="0"/>
        <w:autoSpaceDN w:val="0"/>
        <w:adjustRightInd w:val="0"/>
        <w:jc w:val="both"/>
      </w:pPr>
      <w:r w:rsidRPr="009118AB">
        <w:tab/>
        <w:t>11. [...].</w:t>
      </w:r>
    </w:p>
    <w:p w14:paraId="07EF9DC0" w14:textId="77777777" w:rsidR="00477B8F" w:rsidRPr="009118AB" w:rsidRDefault="00477B8F" w:rsidP="00DD3BE1">
      <w:pPr>
        <w:autoSpaceDE w:val="0"/>
        <w:autoSpaceDN w:val="0"/>
        <w:adjustRightInd w:val="0"/>
        <w:jc w:val="both"/>
      </w:pPr>
    </w:p>
    <w:p w14:paraId="0E838274" w14:textId="77777777" w:rsidR="00477B8F" w:rsidRPr="009118AB" w:rsidRDefault="00477B8F" w:rsidP="00DD3BE1">
      <w:pPr>
        <w:autoSpaceDE w:val="0"/>
        <w:autoSpaceDN w:val="0"/>
        <w:adjustRightInd w:val="0"/>
        <w:jc w:val="both"/>
      </w:pPr>
      <w:r w:rsidRPr="009118AB">
        <w:tab/>
        <w:t>[...]</w:t>
      </w:r>
    </w:p>
    <w:p w14:paraId="66305C5A" w14:textId="77777777" w:rsidR="00477B8F" w:rsidRPr="009118AB" w:rsidRDefault="00477B8F" w:rsidP="00DD3BE1">
      <w:pPr>
        <w:autoSpaceDE w:val="0"/>
        <w:autoSpaceDN w:val="0"/>
        <w:adjustRightInd w:val="0"/>
        <w:jc w:val="both"/>
      </w:pPr>
    </w:p>
    <w:p w14:paraId="6853DC15" w14:textId="0C5675AB" w:rsidR="00477B8F" w:rsidRPr="009118AB" w:rsidRDefault="00477B8F" w:rsidP="00DD3BE1">
      <w:pPr>
        <w:autoSpaceDE w:val="0"/>
        <w:autoSpaceDN w:val="0"/>
        <w:adjustRightInd w:val="0"/>
        <w:jc w:val="both"/>
      </w:pPr>
      <w:r w:rsidRPr="009118AB">
        <w:rPr>
          <w:i/>
          <w:iCs/>
        </w:rPr>
        <w:t>[</w:t>
      </w:r>
      <w:r w:rsidR="00D67EB8" w:rsidRPr="009118AB">
        <w:rPr>
          <w:i/>
          <w:iCs/>
        </w:rPr>
        <w:t>Art. </w:t>
      </w:r>
      <w:r w:rsidRPr="009118AB">
        <w:rPr>
          <w:i/>
          <w:iCs/>
        </w:rPr>
        <w:t xml:space="preserve">104 einziger Absatz einleitende Bestimmung </w:t>
      </w:r>
      <w:r w:rsidR="00BD0118" w:rsidRPr="009118AB">
        <w:rPr>
          <w:i/>
          <w:iCs/>
        </w:rPr>
        <w:t xml:space="preserve">ersetzt durch </w:t>
      </w:r>
      <w:r w:rsidR="00D67EB8" w:rsidRPr="009118AB">
        <w:rPr>
          <w:i/>
          <w:iCs/>
        </w:rPr>
        <w:t>Art. </w:t>
      </w:r>
      <w:r w:rsidR="00BD0118" w:rsidRPr="009118AB">
        <w:rPr>
          <w:i/>
          <w:iCs/>
        </w:rPr>
        <w:t xml:space="preserve">20 </w:t>
      </w:r>
      <w:r w:rsidR="00D67EB8" w:rsidRPr="009118AB">
        <w:rPr>
          <w:i/>
          <w:iCs/>
        </w:rPr>
        <w:t>Nr. </w:t>
      </w:r>
      <w:r w:rsidR="00BD0118" w:rsidRPr="009118AB">
        <w:rPr>
          <w:i/>
          <w:iCs/>
        </w:rPr>
        <w:t>1</w:t>
      </w:r>
      <w:r w:rsidR="00BD0118" w:rsidRPr="009118AB">
        <w:rPr>
          <w:i/>
        </w:rPr>
        <w:t xml:space="preserve"> des G. vom 8. Mai 2014 (B.S. vom 28. Mai 2014)</w:t>
      </w:r>
      <w:r w:rsidR="00D67EB8" w:rsidRPr="009118AB">
        <w:rPr>
          <w:i/>
        </w:rPr>
        <w:t> - </w:t>
      </w:r>
      <w:r w:rsidR="00BD0118" w:rsidRPr="009118AB">
        <w:rPr>
          <w:i/>
          <w:iCs/>
        </w:rPr>
        <w:t>anwendbar ab dem Steuerjahr 2015</w:t>
      </w:r>
      <w:r w:rsidR="003366D9" w:rsidRPr="009118AB">
        <w:rPr>
          <w:i/>
          <w:iCs/>
        </w:rPr>
        <w:t> -;</w:t>
      </w:r>
      <w:r w:rsidRPr="009118AB">
        <w:rPr>
          <w:i/>
          <w:iCs/>
        </w:rPr>
        <w:t xml:space="preserve"> einziger Absatz </w:t>
      </w:r>
      <w:r w:rsidR="00D67EB8" w:rsidRPr="009118AB">
        <w:rPr>
          <w:i/>
          <w:iCs/>
        </w:rPr>
        <w:t>Nr. </w:t>
      </w:r>
      <w:r w:rsidRPr="009118AB">
        <w:rPr>
          <w:i/>
          <w:iCs/>
        </w:rPr>
        <w:t xml:space="preserve">1 ersetzt durch </w:t>
      </w:r>
      <w:r w:rsidR="00D67EB8" w:rsidRPr="009118AB">
        <w:rPr>
          <w:i/>
          <w:iCs/>
        </w:rPr>
        <w:t>Art. </w:t>
      </w:r>
      <w:r w:rsidRPr="009118AB">
        <w:rPr>
          <w:i/>
          <w:iCs/>
        </w:rPr>
        <w:t xml:space="preserve">169 </w:t>
      </w:r>
      <w:r w:rsidR="00D67EB8" w:rsidRPr="009118AB">
        <w:rPr>
          <w:i/>
          <w:iCs/>
        </w:rPr>
        <w:t>Nr. </w:t>
      </w:r>
      <w:r w:rsidRPr="009118AB">
        <w:rPr>
          <w:i/>
          <w:iCs/>
        </w:rPr>
        <w:t>1 des G. vom 27. Dezember 2005 (II) (B.S.</w:t>
      </w:r>
      <w:r w:rsidR="0048234C" w:rsidRPr="009118AB">
        <w:rPr>
          <w:i/>
          <w:iCs/>
        </w:rPr>
        <w:t> </w:t>
      </w:r>
      <w:r w:rsidRPr="009118AB">
        <w:rPr>
          <w:i/>
          <w:iCs/>
        </w:rPr>
        <w:t xml:space="preserve">vom </w:t>
      </w:r>
      <w:r w:rsidRPr="009118AB">
        <w:rPr>
          <w:i/>
          <w:iCs/>
        </w:rPr>
        <w:lastRenderedPageBreak/>
        <w:t>30. Dezember 2005)</w:t>
      </w:r>
      <w:r w:rsidR="00D67EB8" w:rsidRPr="009118AB">
        <w:rPr>
          <w:i/>
          <w:iCs/>
        </w:rPr>
        <w:t> - </w:t>
      </w:r>
      <w:r w:rsidRPr="009118AB">
        <w:rPr>
          <w:i/>
          <w:iCs/>
        </w:rPr>
        <w:t>in Kraft ab dem Steuerjahr 2006</w:t>
      </w:r>
      <w:r w:rsidR="00D67EB8" w:rsidRPr="009118AB">
        <w:rPr>
          <w:i/>
          <w:iCs/>
        </w:rPr>
        <w:t> - </w:t>
      </w:r>
      <w:r w:rsidRPr="009118AB">
        <w:rPr>
          <w:i/>
          <w:iCs/>
        </w:rPr>
        <w:t xml:space="preserve">und abgeändert durch </w:t>
      </w:r>
      <w:r w:rsidR="00D67EB8" w:rsidRPr="009118AB">
        <w:rPr>
          <w:i/>
          <w:iCs/>
        </w:rPr>
        <w:t>Art. </w:t>
      </w:r>
      <w:r w:rsidRPr="009118AB">
        <w:rPr>
          <w:i/>
          <w:iCs/>
        </w:rPr>
        <w:t xml:space="preserve">277 </w:t>
      </w:r>
      <w:r w:rsidR="00D67EB8" w:rsidRPr="009118AB">
        <w:rPr>
          <w:i/>
          <w:iCs/>
        </w:rPr>
        <w:t>Nr. </w:t>
      </w:r>
      <w:r w:rsidRPr="009118AB">
        <w:rPr>
          <w:i/>
          <w:iCs/>
        </w:rPr>
        <w:t xml:space="preserve">1 des G. </w:t>
      </w:r>
      <w:r w:rsidR="00611352" w:rsidRPr="009118AB">
        <w:rPr>
          <w:i/>
          <w:iCs/>
        </w:rPr>
        <w:t xml:space="preserve">(I) </w:t>
      </w:r>
      <w:r w:rsidRPr="009118AB">
        <w:rPr>
          <w:i/>
          <w:iCs/>
        </w:rPr>
        <w:t xml:space="preserve">vom 27. Dezember 2006 </w:t>
      </w:r>
      <w:r w:rsidR="0048234C" w:rsidRPr="009118AB">
        <w:rPr>
          <w:i/>
          <w:iCs/>
        </w:rPr>
        <w:t>(II)</w:t>
      </w:r>
      <w:r w:rsidRPr="009118AB">
        <w:rPr>
          <w:i/>
          <w:iCs/>
        </w:rPr>
        <w:t xml:space="preserve"> (B.S. vom 28. Dezember 2006)</w:t>
      </w:r>
      <w:r w:rsidR="00D67EB8" w:rsidRPr="009118AB">
        <w:rPr>
          <w:i/>
          <w:iCs/>
        </w:rPr>
        <w:t> - </w:t>
      </w:r>
      <w:r w:rsidRPr="009118AB">
        <w:rPr>
          <w:i/>
          <w:iCs/>
        </w:rPr>
        <w:t>anwendbar ab dem Steuerjahr 2008</w:t>
      </w:r>
      <w:r w:rsidR="00D67EB8" w:rsidRPr="009118AB">
        <w:rPr>
          <w:i/>
          <w:iCs/>
        </w:rPr>
        <w:t> - </w:t>
      </w:r>
      <w:r w:rsidR="00084D5C" w:rsidRPr="009118AB">
        <w:rPr>
          <w:i/>
          <w:iCs/>
        </w:rPr>
        <w:t xml:space="preserve">und </w:t>
      </w:r>
      <w:r w:rsidR="00D67EB8" w:rsidRPr="009118AB">
        <w:rPr>
          <w:i/>
          <w:iCs/>
        </w:rPr>
        <w:t>Art. </w:t>
      </w:r>
      <w:r w:rsidR="00084D5C" w:rsidRPr="009118AB">
        <w:rPr>
          <w:i/>
          <w:iCs/>
        </w:rPr>
        <w:t xml:space="preserve">8 </w:t>
      </w:r>
      <w:r w:rsidR="00D67EB8" w:rsidRPr="009118AB">
        <w:rPr>
          <w:i/>
          <w:iCs/>
        </w:rPr>
        <w:t>Nr. </w:t>
      </w:r>
      <w:r w:rsidR="00084D5C" w:rsidRPr="009118AB">
        <w:rPr>
          <w:i/>
          <w:iCs/>
        </w:rPr>
        <w:t>2 des G. vom 13. Dezember 2012 (B.S. vom 20. Dezember 2012)</w:t>
      </w:r>
      <w:r w:rsidR="00D67EB8" w:rsidRPr="009118AB">
        <w:rPr>
          <w:i/>
          <w:iCs/>
        </w:rPr>
        <w:t> - </w:t>
      </w:r>
      <w:r w:rsidR="00084D5C" w:rsidRPr="009118AB">
        <w:rPr>
          <w:i/>
          <w:iCs/>
        </w:rPr>
        <w:t>in Kraft ab dem Steuerjahr 2013</w:t>
      </w:r>
      <w:r w:rsidR="003366D9" w:rsidRPr="009118AB">
        <w:rPr>
          <w:i/>
          <w:iCs/>
        </w:rPr>
        <w:t> -;</w:t>
      </w:r>
      <w:r w:rsidRPr="009118AB">
        <w:rPr>
          <w:i/>
          <w:iCs/>
        </w:rPr>
        <w:t xml:space="preserve"> einziger Absatz </w:t>
      </w:r>
      <w:r w:rsidR="00D67EB8" w:rsidRPr="009118AB">
        <w:rPr>
          <w:i/>
          <w:iCs/>
        </w:rPr>
        <w:t>Nr. </w:t>
      </w:r>
      <w:r w:rsidRPr="009118AB">
        <w:rPr>
          <w:i/>
          <w:iCs/>
        </w:rPr>
        <w:t xml:space="preserve">2 abgeändert durch </w:t>
      </w:r>
      <w:r w:rsidR="00D67EB8" w:rsidRPr="009118AB">
        <w:rPr>
          <w:i/>
          <w:iCs/>
        </w:rPr>
        <w:t>Art. </w:t>
      </w:r>
      <w:r w:rsidRPr="009118AB">
        <w:rPr>
          <w:i/>
          <w:iCs/>
        </w:rPr>
        <w:t xml:space="preserve">2 </w:t>
      </w:r>
      <w:r w:rsidR="00D67EB8" w:rsidRPr="009118AB">
        <w:rPr>
          <w:i/>
          <w:iCs/>
        </w:rPr>
        <w:t>Nr. </w:t>
      </w:r>
      <w:r w:rsidRPr="009118AB">
        <w:rPr>
          <w:i/>
          <w:iCs/>
        </w:rPr>
        <w:t>2 des G. vom 4. Mai 1999 (I) (B.S. vom 4. Juni 1999)</w:t>
      </w:r>
      <w:r w:rsidR="00D67EB8" w:rsidRPr="009118AB">
        <w:rPr>
          <w:i/>
          <w:iCs/>
        </w:rPr>
        <w:t> - </w:t>
      </w:r>
      <w:r w:rsidRPr="009118AB">
        <w:rPr>
          <w:i/>
          <w:iCs/>
        </w:rPr>
        <w:t>in Kraft ab dem Steuerjahr 2000</w:t>
      </w:r>
      <w:r w:rsidR="00D67EB8" w:rsidRPr="009118AB">
        <w:rPr>
          <w:i/>
          <w:iCs/>
        </w:rPr>
        <w:t> - </w:t>
      </w:r>
      <w:r w:rsidRPr="009118AB">
        <w:rPr>
          <w:i/>
          <w:iCs/>
        </w:rPr>
        <w:t xml:space="preserve">und </w:t>
      </w:r>
      <w:r w:rsidR="00D67EB8" w:rsidRPr="009118AB">
        <w:rPr>
          <w:i/>
          <w:iCs/>
        </w:rPr>
        <w:t>Art. </w:t>
      </w:r>
      <w:r w:rsidRPr="009118AB">
        <w:rPr>
          <w:i/>
          <w:iCs/>
        </w:rPr>
        <w:t xml:space="preserve">277 </w:t>
      </w:r>
      <w:r w:rsidR="00D67EB8" w:rsidRPr="009118AB">
        <w:rPr>
          <w:i/>
          <w:iCs/>
        </w:rPr>
        <w:t>Nr. </w:t>
      </w:r>
      <w:r w:rsidRPr="009118AB">
        <w:rPr>
          <w:i/>
          <w:iCs/>
        </w:rPr>
        <w:t xml:space="preserve">2 des G. </w:t>
      </w:r>
      <w:r w:rsidR="00611352" w:rsidRPr="009118AB">
        <w:rPr>
          <w:i/>
          <w:iCs/>
        </w:rPr>
        <w:t xml:space="preserve">(I) </w:t>
      </w:r>
      <w:r w:rsidRPr="009118AB">
        <w:rPr>
          <w:i/>
          <w:iCs/>
        </w:rPr>
        <w:t>vom 27. Dezember 2006</w:t>
      </w:r>
      <w:r w:rsidR="007E553C" w:rsidRPr="009118AB">
        <w:rPr>
          <w:i/>
          <w:iCs/>
        </w:rPr>
        <w:t xml:space="preserve"> </w:t>
      </w:r>
      <w:r w:rsidR="007A6612" w:rsidRPr="009118AB">
        <w:rPr>
          <w:i/>
          <w:iCs/>
        </w:rPr>
        <w:t>(II)</w:t>
      </w:r>
      <w:r w:rsidRPr="009118AB">
        <w:rPr>
          <w:i/>
          <w:iCs/>
        </w:rPr>
        <w:t xml:space="preserve"> (B.S. vom 28. Dezember 2006)</w:t>
      </w:r>
      <w:r w:rsidR="00D67EB8" w:rsidRPr="009118AB">
        <w:rPr>
          <w:i/>
          <w:iCs/>
        </w:rPr>
        <w:t> - </w:t>
      </w:r>
      <w:r w:rsidRPr="009118AB">
        <w:rPr>
          <w:i/>
          <w:iCs/>
        </w:rPr>
        <w:t>anwendbar ab dem Steuerjahr 2008</w:t>
      </w:r>
      <w:r w:rsidR="003366D9" w:rsidRPr="009118AB">
        <w:rPr>
          <w:i/>
          <w:iCs/>
        </w:rPr>
        <w:t> -;</w:t>
      </w:r>
      <w:r w:rsidRPr="009118AB">
        <w:rPr>
          <w:i/>
          <w:iCs/>
        </w:rPr>
        <w:t xml:space="preserve"> einziger Absatz </w:t>
      </w:r>
      <w:r w:rsidR="00D67EB8" w:rsidRPr="009118AB">
        <w:rPr>
          <w:i/>
          <w:iCs/>
        </w:rPr>
        <w:t>Nr. </w:t>
      </w:r>
      <w:r w:rsidRPr="009118AB">
        <w:rPr>
          <w:i/>
          <w:iCs/>
        </w:rPr>
        <w:t xml:space="preserve">3 </w:t>
      </w:r>
      <w:r w:rsidR="00084D5C" w:rsidRPr="009118AB">
        <w:rPr>
          <w:i/>
          <w:iCs/>
        </w:rPr>
        <w:t xml:space="preserve">und </w:t>
      </w:r>
      <w:r w:rsidR="00FA5287" w:rsidRPr="009118AB">
        <w:rPr>
          <w:i/>
          <w:iCs/>
        </w:rPr>
        <w:t xml:space="preserve">4 </w:t>
      </w:r>
      <w:r w:rsidR="00084D5C" w:rsidRPr="009118AB">
        <w:rPr>
          <w:i/>
          <w:iCs/>
        </w:rPr>
        <w:t xml:space="preserve">aufgehoben durch </w:t>
      </w:r>
      <w:r w:rsidR="00D67EB8" w:rsidRPr="009118AB">
        <w:rPr>
          <w:i/>
          <w:iCs/>
        </w:rPr>
        <w:t>Art. </w:t>
      </w:r>
      <w:r w:rsidR="00084D5C" w:rsidRPr="009118AB">
        <w:rPr>
          <w:i/>
          <w:iCs/>
        </w:rPr>
        <w:t xml:space="preserve">8 </w:t>
      </w:r>
      <w:r w:rsidR="00D67EB8" w:rsidRPr="009118AB">
        <w:rPr>
          <w:i/>
          <w:iCs/>
        </w:rPr>
        <w:t>Nr. </w:t>
      </w:r>
      <w:r w:rsidR="00084D5C" w:rsidRPr="009118AB">
        <w:rPr>
          <w:i/>
          <w:iCs/>
        </w:rPr>
        <w:t>3 des G. vom 13. Dezember 2012 (B.S. vom 20. Dezember 2012)</w:t>
      </w:r>
      <w:r w:rsidR="00D67EB8" w:rsidRPr="009118AB">
        <w:rPr>
          <w:i/>
          <w:iCs/>
        </w:rPr>
        <w:t> - </w:t>
      </w:r>
      <w:r w:rsidR="00084D5C" w:rsidRPr="009118AB">
        <w:rPr>
          <w:i/>
          <w:iCs/>
        </w:rPr>
        <w:t>in Kraft ab dem Steuerjahr 2013</w:t>
      </w:r>
      <w:r w:rsidR="003366D9" w:rsidRPr="009118AB">
        <w:rPr>
          <w:i/>
          <w:iCs/>
        </w:rPr>
        <w:t> -;</w:t>
      </w:r>
      <w:r w:rsidR="00FA5287" w:rsidRPr="009118AB">
        <w:rPr>
          <w:i/>
          <w:iCs/>
        </w:rPr>
        <w:t xml:space="preserve"> </w:t>
      </w:r>
      <w:r w:rsidRPr="009118AB">
        <w:rPr>
          <w:i/>
          <w:iCs/>
        </w:rPr>
        <w:t xml:space="preserve">einziger Absatz </w:t>
      </w:r>
      <w:r w:rsidR="00D67EB8" w:rsidRPr="009118AB">
        <w:rPr>
          <w:i/>
          <w:iCs/>
        </w:rPr>
        <w:t>Nr. </w:t>
      </w:r>
      <w:r w:rsidRPr="009118AB">
        <w:rPr>
          <w:i/>
          <w:iCs/>
        </w:rPr>
        <w:t xml:space="preserve">4bis eingefügt durch </w:t>
      </w:r>
      <w:r w:rsidR="00D67EB8" w:rsidRPr="009118AB">
        <w:rPr>
          <w:i/>
          <w:iCs/>
        </w:rPr>
        <w:t>Art. </w:t>
      </w:r>
      <w:r w:rsidRPr="009118AB">
        <w:rPr>
          <w:i/>
          <w:iCs/>
        </w:rPr>
        <w:t>1 des G. vom 22. Februar 1995 (B.S. vom 31. März 1995)</w:t>
      </w:r>
      <w:r w:rsidR="00FA5287" w:rsidRPr="009118AB">
        <w:rPr>
          <w:i/>
          <w:iCs/>
        </w:rPr>
        <w:t xml:space="preserve"> und </w:t>
      </w:r>
      <w:r w:rsidR="00084D5C" w:rsidRPr="009118AB">
        <w:rPr>
          <w:i/>
          <w:iCs/>
        </w:rPr>
        <w:t>aufgehoben du</w:t>
      </w:r>
      <w:r w:rsidR="00252578" w:rsidRPr="009118AB">
        <w:rPr>
          <w:i/>
          <w:iCs/>
        </w:rPr>
        <w:t xml:space="preserve">rch </w:t>
      </w:r>
      <w:r w:rsidR="00D67EB8" w:rsidRPr="009118AB">
        <w:rPr>
          <w:i/>
          <w:iCs/>
        </w:rPr>
        <w:t>Art. </w:t>
      </w:r>
      <w:r w:rsidR="00252578" w:rsidRPr="009118AB">
        <w:rPr>
          <w:i/>
          <w:iCs/>
        </w:rPr>
        <w:t xml:space="preserve">8 </w:t>
      </w:r>
      <w:r w:rsidR="00D67EB8" w:rsidRPr="009118AB">
        <w:rPr>
          <w:i/>
          <w:iCs/>
        </w:rPr>
        <w:t>Nr. </w:t>
      </w:r>
      <w:r w:rsidR="00252578" w:rsidRPr="009118AB">
        <w:rPr>
          <w:i/>
          <w:iCs/>
        </w:rPr>
        <w:t>3 des G. vom 13. </w:t>
      </w:r>
      <w:r w:rsidR="00084D5C" w:rsidRPr="009118AB">
        <w:rPr>
          <w:i/>
          <w:iCs/>
        </w:rPr>
        <w:t>Dezember 2012 (B.S. vom 20. Dezember 2012)</w:t>
      </w:r>
      <w:r w:rsidR="00D67EB8" w:rsidRPr="009118AB">
        <w:rPr>
          <w:i/>
          <w:iCs/>
        </w:rPr>
        <w:t> - </w:t>
      </w:r>
      <w:r w:rsidR="00084D5C" w:rsidRPr="009118AB">
        <w:rPr>
          <w:i/>
          <w:iCs/>
        </w:rPr>
        <w:t>in Kraft ab dem Steuerjahr 2013</w:t>
      </w:r>
      <w:r w:rsidR="003366D9" w:rsidRPr="009118AB">
        <w:rPr>
          <w:i/>
          <w:iCs/>
        </w:rPr>
        <w:t> -;</w:t>
      </w:r>
      <w:r w:rsidRPr="009118AB">
        <w:rPr>
          <w:i/>
          <w:iCs/>
        </w:rPr>
        <w:t xml:space="preserve"> einziger Absatz </w:t>
      </w:r>
      <w:r w:rsidR="00D67EB8" w:rsidRPr="009118AB">
        <w:rPr>
          <w:i/>
          <w:iCs/>
        </w:rPr>
        <w:t>Nr. </w:t>
      </w:r>
      <w:r w:rsidRPr="009118AB">
        <w:rPr>
          <w:i/>
          <w:iCs/>
        </w:rPr>
        <w:t xml:space="preserve">4ter eingefügt durch </w:t>
      </w:r>
      <w:r w:rsidR="00D67EB8" w:rsidRPr="009118AB">
        <w:rPr>
          <w:i/>
          <w:iCs/>
        </w:rPr>
        <w:t>Art. </w:t>
      </w:r>
      <w:r w:rsidRPr="009118AB">
        <w:rPr>
          <w:i/>
          <w:iCs/>
        </w:rPr>
        <w:t>11 des G. vom 3. Dezember 1999 (B.S. vom 11. Dezember 1999)</w:t>
      </w:r>
      <w:r w:rsidR="00D67EB8" w:rsidRPr="009118AB">
        <w:rPr>
          <w:i/>
          <w:iCs/>
        </w:rPr>
        <w:t> - </w:t>
      </w:r>
      <w:r w:rsidRPr="009118AB">
        <w:rPr>
          <w:i/>
          <w:iCs/>
        </w:rPr>
        <w:t>in Kraft ab dem 11. Dezember 1999</w:t>
      </w:r>
      <w:r w:rsidR="00D67EB8" w:rsidRPr="009118AB">
        <w:rPr>
          <w:i/>
          <w:iCs/>
        </w:rPr>
        <w:t> - </w:t>
      </w:r>
      <w:r w:rsidR="00084D5C" w:rsidRPr="009118AB">
        <w:rPr>
          <w:i/>
          <w:iCs/>
        </w:rPr>
        <w:t xml:space="preserve">und aufgehoben durch </w:t>
      </w:r>
      <w:r w:rsidR="00D67EB8" w:rsidRPr="009118AB">
        <w:rPr>
          <w:i/>
          <w:iCs/>
        </w:rPr>
        <w:t>Art. </w:t>
      </w:r>
      <w:r w:rsidR="00084D5C" w:rsidRPr="009118AB">
        <w:rPr>
          <w:i/>
          <w:iCs/>
        </w:rPr>
        <w:t xml:space="preserve">8 </w:t>
      </w:r>
      <w:r w:rsidR="00D67EB8" w:rsidRPr="009118AB">
        <w:rPr>
          <w:i/>
          <w:iCs/>
        </w:rPr>
        <w:t>Nr. </w:t>
      </w:r>
      <w:r w:rsidR="00084D5C" w:rsidRPr="009118AB">
        <w:rPr>
          <w:i/>
          <w:iCs/>
        </w:rPr>
        <w:t>3 des G. vom 13. Dezember 2012 (B.S. vom 20. Dezember 2012)</w:t>
      </w:r>
      <w:r w:rsidR="00D67EB8" w:rsidRPr="009118AB">
        <w:rPr>
          <w:i/>
          <w:iCs/>
        </w:rPr>
        <w:t> - </w:t>
      </w:r>
      <w:r w:rsidR="00084D5C" w:rsidRPr="009118AB">
        <w:rPr>
          <w:i/>
          <w:iCs/>
        </w:rPr>
        <w:t>in Kraft ab dem Steuerjahr 2013</w:t>
      </w:r>
      <w:r w:rsidR="003366D9" w:rsidRPr="009118AB">
        <w:rPr>
          <w:i/>
          <w:iCs/>
        </w:rPr>
        <w:t> -;</w:t>
      </w:r>
      <w:r w:rsidRPr="009118AB">
        <w:rPr>
          <w:i/>
          <w:iCs/>
        </w:rPr>
        <w:t xml:space="preserve"> einziger Absatz </w:t>
      </w:r>
      <w:r w:rsidR="00D67EB8" w:rsidRPr="009118AB">
        <w:rPr>
          <w:i/>
          <w:iCs/>
        </w:rPr>
        <w:t>Nr. </w:t>
      </w:r>
      <w:r w:rsidRPr="009118AB">
        <w:rPr>
          <w:i/>
          <w:iCs/>
        </w:rPr>
        <w:t xml:space="preserve">5 </w:t>
      </w:r>
      <w:r w:rsidR="00084D5C" w:rsidRPr="009118AB">
        <w:rPr>
          <w:i/>
          <w:iCs/>
        </w:rPr>
        <w:t xml:space="preserve">bis 8 aufgehoben durch </w:t>
      </w:r>
      <w:r w:rsidR="00D67EB8" w:rsidRPr="009118AB">
        <w:rPr>
          <w:i/>
          <w:iCs/>
        </w:rPr>
        <w:t>Art. </w:t>
      </w:r>
      <w:r w:rsidR="00084D5C" w:rsidRPr="009118AB">
        <w:rPr>
          <w:i/>
          <w:iCs/>
        </w:rPr>
        <w:t>8 </w:t>
      </w:r>
      <w:r w:rsidR="00D67EB8" w:rsidRPr="009118AB">
        <w:rPr>
          <w:i/>
          <w:iCs/>
        </w:rPr>
        <w:t>Nr. </w:t>
      </w:r>
      <w:r w:rsidR="00084D5C" w:rsidRPr="009118AB">
        <w:rPr>
          <w:i/>
          <w:iCs/>
        </w:rPr>
        <w:t>3 des G. vom 13.</w:t>
      </w:r>
      <w:r w:rsidR="00E8274F" w:rsidRPr="009118AB">
        <w:rPr>
          <w:i/>
          <w:iCs/>
        </w:rPr>
        <w:t> </w:t>
      </w:r>
      <w:r w:rsidR="00084D5C" w:rsidRPr="009118AB">
        <w:rPr>
          <w:i/>
          <w:iCs/>
        </w:rPr>
        <w:t>Dezember 2012 (B.S. vom 20. Dezember 2012)</w:t>
      </w:r>
      <w:r w:rsidR="00D67EB8" w:rsidRPr="009118AB">
        <w:rPr>
          <w:i/>
          <w:iCs/>
        </w:rPr>
        <w:t> - </w:t>
      </w:r>
      <w:r w:rsidR="00084D5C" w:rsidRPr="009118AB">
        <w:rPr>
          <w:i/>
          <w:iCs/>
        </w:rPr>
        <w:t>in Kraft ab dem Steuerjahr 2013</w:t>
      </w:r>
      <w:r w:rsidR="003366D9" w:rsidRPr="009118AB">
        <w:rPr>
          <w:i/>
          <w:iCs/>
        </w:rPr>
        <w:t> -;</w:t>
      </w:r>
      <w:r w:rsidRPr="009118AB">
        <w:rPr>
          <w:i/>
          <w:iCs/>
        </w:rPr>
        <w:t xml:space="preserve"> einziger Absatz </w:t>
      </w:r>
      <w:r w:rsidR="00D67EB8" w:rsidRPr="009118AB">
        <w:rPr>
          <w:i/>
          <w:iCs/>
        </w:rPr>
        <w:t>Nr. </w:t>
      </w:r>
      <w:r w:rsidRPr="009118AB">
        <w:rPr>
          <w:i/>
          <w:iCs/>
        </w:rPr>
        <w:t xml:space="preserve">9 </w:t>
      </w:r>
      <w:r w:rsidR="00E8274F" w:rsidRPr="009118AB">
        <w:rPr>
          <w:i/>
          <w:iCs/>
        </w:rPr>
        <w:t xml:space="preserve">aufgehoben durch </w:t>
      </w:r>
      <w:r w:rsidR="00D67EB8" w:rsidRPr="009118AB">
        <w:rPr>
          <w:i/>
          <w:iCs/>
        </w:rPr>
        <w:t>Art. </w:t>
      </w:r>
      <w:r w:rsidR="00E8274F" w:rsidRPr="009118AB">
        <w:rPr>
          <w:i/>
          <w:iCs/>
        </w:rPr>
        <w:t xml:space="preserve">20 </w:t>
      </w:r>
      <w:r w:rsidR="00D67EB8" w:rsidRPr="009118AB">
        <w:rPr>
          <w:i/>
          <w:iCs/>
        </w:rPr>
        <w:t>Nr. </w:t>
      </w:r>
      <w:r w:rsidR="00E8274F" w:rsidRPr="009118AB">
        <w:rPr>
          <w:i/>
          <w:iCs/>
        </w:rPr>
        <w:t>2</w:t>
      </w:r>
      <w:r w:rsidR="00E8274F" w:rsidRPr="009118AB">
        <w:rPr>
          <w:i/>
        </w:rPr>
        <w:t xml:space="preserve"> des G. vom 8. Mai 2014 (B.S. vom 28. Mai 2014)</w:t>
      </w:r>
      <w:r w:rsidR="00D67EB8" w:rsidRPr="009118AB">
        <w:rPr>
          <w:i/>
        </w:rPr>
        <w:t> - </w:t>
      </w:r>
      <w:r w:rsidR="00E8274F" w:rsidRPr="009118AB">
        <w:rPr>
          <w:i/>
          <w:iCs/>
        </w:rPr>
        <w:t>anwendbar ab dem Steuerjahr 2015</w:t>
      </w:r>
      <w:r w:rsidR="003366D9" w:rsidRPr="009118AB">
        <w:rPr>
          <w:i/>
          <w:iCs/>
        </w:rPr>
        <w:t> -;</w:t>
      </w:r>
      <w:r w:rsidRPr="009118AB">
        <w:rPr>
          <w:i/>
          <w:iCs/>
        </w:rPr>
        <w:t xml:space="preserve"> einziger Absatz </w:t>
      </w:r>
      <w:r w:rsidR="00D67EB8" w:rsidRPr="009118AB">
        <w:rPr>
          <w:i/>
          <w:iCs/>
        </w:rPr>
        <w:t>Nr. </w:t>
      </w:r>
      <w:r w:rsidRPr="009118AB">
        <w:rPr>
          <w:i/>
          <w:iCs/>
        </w:rPr>
        <w:t xml:space="preserve">10 aufgehoben durch </w:t>
      </w:r>
      <w:r w:rsidR="00D67EB8" w:rsidRPr="009118AB">
        <w:rPr>
          <w:i/>
          <w:iCs/>
        </w:rPr>
        <w:t>Art. </w:t>
      </w:r>
      <w:r w:rsidRPr="009118AB">
        <w:rPr>
          <w:i/>
          <w:iCs/>
        </w:rPr>
        <w:t xml:space="preserve">81 </w:t>
      </w:r>
      <w:r w:rsidR="00D67EB8" w:rsidRPr="009118AB">
        <w:rPr>
          <w:i/>
          <w:iCs/>
        </w:rPr>
        <w:t>Nr. </w:t>
      </w:r>
      <w:r w:rsidRPr="009118AB">
        <w:rPr>
          <w:i/>
          <w:iCs/>
        </w:rPr>
        <w:t>2 des G. vom 28. Dezember 1992 (B.S.</w:t>
      </w:r>
      <w:r w:rsidR="0095015A" w:rsidRPr="009118AB">
        <w:rPr>
          <w:i/>
          <w:iCs/>
        </w:rPr>
        <w:t> </w:t>
      </w:r>
      <w:r w:rsidRPr="009118AB">
        <w:rPr>
          <w:i/>
          <w:iCs/>
        </w:rPr>
        <w:t>vom 31. Dezember 1992)</w:t>
      </w:r>
      <w:r w:rsidR="00D67EB8" w:rsidRPr="009118AB">
        <w:rPr>
          <w:i/>
          <w:iCs/>
        </w:rPr>
        <w:t> - </w:t>
      </w:r>
      <w:r w:rsidRPr="009118AB">
        <w:rPr>
          <w:i/>
          <w:iCs/>
        </w:rPr>
        <w:t>in Kraft ab dem Steuerjahr</w:t>
      </w:r>
      <w:r w:rsidR="00AD4DDE" w:rsidRPr="009118AB">
        <w:rPr>
          <w:i/>
          <w:iCs/>
        </w:rPr>
        <w:t> </w:t>
      </w:r>
      <w:r w:rsidRPr="009118AB">
        <w:rPr>
          <w:i/>
          <w:iCs/>
        </w:rPr>
        <w:t>1993</w:t>
      </w:r>
      <w:r w:rsidR="003366D9" w:rsidRPr="009118AB">
        <w:rPr>
          <w:i/>
          <w:iCs/>
        </w:rPr>
        <w:t> -;</w:t>
      </w:r>
      <w:r w:rsidRPr="009118AB">
        <w:rPr>
          <w:i/>
          <w:iCs/>
        </w:rPr>
        <w:t xml:space="preserve"> einziger Absatz </w:t>
      </w:r>
      <w:r w:rsidR="00D67EB8" w:rsidRPr="009118AB">
        <w:rPr>
          <w:i/>
          <w:iCs/>
        </w:rPr>
        <w:t>Nr. </w:t>
      </w:r>
      <w:r w:rsidRPr="009118AB">
        <w:rPr>
          <w:i/>
          <w:iCs/>
        </w:rPr>
        <w:t xml:space="preserve">11 aufgehoben durch </w:t>
      </w:r>
      <w:r w:rsidR="00D67EB8" w:rsidRPr="009118AB">
        <w:rPr>
          <w:i/>
          <w:iCs/>
        </w:rPr>
        <w:t>Art. </w:t>
      </w:r>
      <w:r w:rsidRPr="009118AB">
        <w:rPr>
          <w:i/>
          <w:iCs/>
        </w:rPr>
        <w:t xml:space="preserve">16 </w:t>
      </w:r>
      <w:r w:rsidR="00D67EB8" w:rsidRPr="009118AB">
        <w:rPr>
          <w:i/>
          <w:iCs/>
        </w:rPr>
        <w:t>Nr. </w:t>
      </w:r>
      <w:r w:rsidRPr="009118AB">
        <w:rPr>
          <w:i/>
          <w:iCs/>
        </w:rPr>
        <w:t>4 des G. vom 6. Juli 1994 (B.S. vom 16. Juli 1994)</w:t>
      </w:r>
      <w:r w:rsidR="00D67EB8" w:rsidRPr="009118AB">
        <w:rPr>
          <w:i/>
          <w:iCs/>
        </w:rPr>
        <w:t> - </w:t>
      </w:r>
      <w:r w:rsidRPr="009118AB">
        <w:rPr>
          <w:i/>
          <w:iCs/>
        </w:rPr>
        <w:t>in Kraft ab dem Steuerjahr 1995</w:t>
      </w:r>
      <w:r w:rsidR="003366D9" w:rsidRPr="009118AB">
        <w:rPr>
          <w:i/>
          <w:iCs/>
        </w:rPr>
        <w:t> -;</w:t>
      </w:r>
      <w:r w:rsidRPr="009118AB">
        <w:rPr>
          <w:i/>
          <w:iCs/>
        </w:rPr>
        <w:t xml:space="preserve"> früherer Absatz 2 aufgehoben durch </w:t>
      </w:r>
      <w:r w:rsidR="00D67EB8" w:rsidRPr="009118AB">
        <w:rPr>
          <w:i/>
          <w:iCs/>
        </w:rPr>
        <w:t>Art. </w:t>
      </w:r>
      <w:r w:rsidRPr="009118AB">
        <w:rPr>
          <w:i/>
          <w:iCs/>
        </w:rPr>
        <w:t xml:space="preserve">16 </w:t>
      </w:r>
      <w:r w:rsidR="00D67EB8" w:rsidRPr="009118AB">
        <w:rPr>
          <w:i/>
          <w:iCs/>
        </w:rPr>
        <w:t>Nr. </w:t>
      </w:r>
      <w:r w:rsidRPr="009118AB">
        <w:rPr>
          <w:i/>
          <w:iCs/>
        </w:rPr>
        <w:t>4 des G. vom 6. Juli 1994 (B.S. vom 16. Juli 1994)</w:t>
      </w:r>
      <w:r w:rsidR="00D67EB8" w:rsidRPr="009118AB">
        <w:rPr>
          <w:i/>
          <w:iCs/>
        </w:rPr>
        <w:t> - </w:t>
      </w:r>
      <w:r w:rsidRPr="009118AB">
        <w:rPr>
          <w:i/>
          <w:iCs/>
        </w:rPr>
        <w:t>in Kraft ab dem Steuerjahr</w:t>
      </w:r>
      <w:r w:rsidR="00084D5C" w:rsidRPr="009118AB">
        <w:rPr>
          <w:i/>
          <w:iCs/>
        </w:rPr>
        <w:t> </w:t>
      </w:r>
      <w:r w:rsidRPr="009118AB">
        <w:rPr>
          <w:i/>
          <w:iCs/>
        </w:rPr>
        <w:t>1995</w:t>
      </w:r>
      <w:r w:rsidR="00FD68E8" w:rsidRPr="009118AB">
        <w:rPr>
          <w:i/>
          <w:iCs/>
        </w:rPr>
        <w:t> -]</w:t>
      </w:r>
    </w:p>
    <w:p w14:paraId="742F0757" w14:textId="77777777" w:rsidR="00477B8F" w:rsidRPr="009118AB" w:rsidRDefault="00477B8F" w:rsidP="00DD3BE1">
      <w:pPr>
        <w:autoSpaceDE w:val="0"/>
        <w:autoSpaceDN w:val="0"/>
        <w:adjustRightInd w:val="0"/>
        <w:jc w:val="both"/>
      </w:pPr>
    </w:p>
    <w:p w14:paraId="4B397C28" w14:textId="77777777" w:rsidR="00477B8F" w:rsidRPr="009118AB" w:rsidRDefault="00477B8F" w:rsidP="00DD3BE1">
      <w:pPr>
        <w:autoSpaceDE w:val="0"/>
        <w:autoSpaceDN w:val="0"/>
        <w:adjustRightInd w:val="0"/>
        <w:jc w:val="both"/>
      </w:pPr>
    </w:p>
    <w:p w14:paraId="775CE591" w14:textId="0082FB3D" w:rsidR="001F488F" w:rsidRPr="009118AB" w:rsidRDefault="00477B8F" w:rsidP="001F488F">
      <w:pPr>
        <w:jc w:val="both"/>
      </w:pPr>
      <w:r w:rsidRPr="009118AB">
        <w:tab/>
      </w:r>
      <w:r w:rsidR="00D67EB8" w:rsidRPr="009118AB">
        <w:rPr>
          <w:b/>
          <w:bCs/>
        </w:rPr>
        <w:t>Art. </w:t>
      </w:r>
      <w:r w:rsidRPr="009118AB">
        <w:rPr>
          <w:b/>
          <w:bCs/>
        </w:rPr>
        <w:t>105</w:t>
      </w:r>
      <w:r w:rsidR="00D67EB8" w:rsidRPr="009118AB">
        <w:t> - </w:t>
      </w:r>
      <w:r w:rsidRPr="009118AB">
        <w:t>[</w:t>
      </w:r>
      <w:r w:rsidR="001F488F" w:rsidRPr="009118AB">
        <w:t>Wird eine gemeinsame Veranlagung festgelegt, werden die in Artikel 104 erwähnten Abzüge wie folgt angerechnet:</w:t>
      </w:r>
    </w:p>
    <w:p w14:paraId="41DFE01D" w14:textId="77777777" w:rsidR="001F488F" w:rsidRPr="009118AB" w:rsidRDefault="001F488F" w:rsidP="001F488F">
      <w:pPr>
        <w:jc w:val="both"/>
      </w:pPr>
    </w:p>
    <w:p w14:paraId="44A59CDD" w14:textId="77777777" w:rsidR="001F488F" w:rsidRPr="009118AB" w:rsidRDefault="001F488F" w:rsidP="001F488F">
      <w:pPr>
        <w:jc w:val="both"/>
      </w:pPr>
      <w:r w:rsidRPr="009118AB">
        <w:tab/>
        <w:t>1. Zuerst werden Ausgaben, die die Ehepartner gemeinsam tragen, proportional auf die Gesamtheit der Nettoeinkünfte der beiden Ehepartner angerechnet.</w:t>
      </w:r>
    </w:p>
    <w:p w14:paraId="207FAC72" w14:textId="77777777" w:rsidR="001F488F" w:rsidRPr="009118AB" w:rsidRDefault="001F488F" w:rsidP="001F488F">
      <w:pPr>
        <w:jc w:val="both"/>
      </w:pPr>
    </w:p>
    <w:p w14:paraId="5D0742F1" w14:textId="77777777" w:rsidR="00477B8F" w:rsidRPr="009118AB" w:rsidRDefault="001F488F" w:rsidP="001F488F">
      <w:pPr>
        <w:jc w:val="both"/>
      </w:pPr>
      <w:r w:rsidRPr="009118AB">
        <w:tab/>
        <w:t>2. Dann werden Ausgaben vorrangig auf die Gesamtheit der Nettoeinkünfte des Ehepartners angerechnet, der die Ausgaben persönlich trägt, und ein möglicher Restbetrag wird auf die Gesamtheit der Nettoeinkünfte des anderen Ehepartners angerechnet.</w:t>
      </w:r>
      <w:r w:rsidR="000F5628" w:rsidRPr="009118AB">
        <w:t>]</w:t>
      </w:r>
    </w:p>
    <w:p w14:paraId="7A9FF3DC" w14:textId="77777777" w:rsidR="00477B8F" w:rsidRPr="009118AB" w:rsidRDefault="00477B8F" w:rsidP="00DD3BE1">
      <w:pPr>
        <w:autoSpaceDE w:val="0"/>
        <w:autoSpaceDN w:val="0"/>
        <w:adjustRightInd w:val="0"/>
        <w:jc w:val="both"/>
      </w:pPr>
    </w:p>
    <w:p w14:paraId="655B36BB" w14:textId="76996F47" w:rsidR="00477B8F" w:rsidRPr="009118AB" w:rsidRDefault="00477B8F" w:rsidP="00DD3BE1">
      <w:pPr>
        <w:autoSpaceDE w:val="0"/>
        <w:autoSpaceDN w:val="0"/>
        <w:adjustRightInd w:val="0"/>
        <w:jc w:val="both"/>
      </w:pPr>
      <w:r w:rsidRPr="009118AB">
        <w:rPr>
          <w:i/>
          <w:iCs/>
        </w:rPr>
        <w:t>[</w:t>
      </w:r>
      <w:r w:rsidR="00D67EB8" w:rsidRPr="009118AB">
        <w:rPr>
          <w:i/>
          <w:iCs/>
        </w:rPr>
        <w:t>Art. </w:t>
      </w:r>
      <w:r w:rsidRPr="009118AB">
        <w:rPr>
          <w:i/>
          <w:iCs/>
        </w:rPr>
        <w:t xml:space="preserve">105 ersetzt durch </w:t>
      </w:r>
      <w:r w:rsidR="00D67EB8" w:rsidRPr="009118AB">
        <w:rPr>
          <w:i/>
          <w:iCs/>
        </w:rPr>
        <w:t>Art. </w:t>
      </w:r>
      <w:r w:rsidR="001F488F" w:rsidRPr="009118AB">
        <w:rPr>
          <w:i/>
          <w:iCs/>
        </w:rPr>
        <w:t>21</w:t>
      </w:r>
      <w:r w:rsidR="001F488F" w:rsidRPr="009118AB">
        <w:rPr>
          <w:i/>
        </w:rPr>
        <w:t xml:space="preserve"> des G. vom 8. Mai 2014 (B.S. vom 28. Mai 2014)</w:t>
      </w:r>
      <w:r w:rsidR="00D67EB8" w:rsidRPr="009118AB">
        <w:rPr>
          <w:i/>
        </w:rPr>
        <w:t> - </w:t>
      </w:r>
      <w:r w:rsidR="001F488F" w:rsidRPr="009118AB">
        <w:rPr>
          <w:i/>
          <w:iCs/>
        </w:rPr>
        <w:t>anwendbar ab dem Steuerjahr 2015</w:t>
      </w:r>
      <w:r w:rsidR="00FD68E8" w:rsidRPr="009118AB">
        <w:rPr>
          <w:i/>
          <w:iCs/>
        </w:rPr>
        <w:t> -]</w:t>
      </w:r>
    </w:p>
    <w:p w14:paraId="774F8EDA" w14:textId="77777777" w:rsidR="00477B8F" w:rsidRPr="009118AB" w:rsidRDefault="00477B8F" w:rsidP="00DD3BE1">
      <w:pPr>
        <w:autoSpaceDE w:val="0"/>
        <w:autoSpaceDN w:val="0"/>
        <w:adjustRightInd w:val="0"/>
        <w:jc w:val="both"/>
      </w:pPr>
    </w:p>
    <w:p w14:paraId="4228491E" w14:textId="77777777" w:rsidR="00477B8F" w:rsidRPr="009118AB" w:rsidRDefault="00477B8F" w:rsidP="00DD3BE1">
      <w:pPr>
        <w:autoSpaceDE w:val="0"/>
        <w:autoSpaceDN w:val="0"/>
        <w:adjustRightInd w:val="0"/>
        <w:jc w:val="both"/>
      </w:pPr>
    </w:p>
    <w:p w14:paraId="1E89CA8F" w14:textId="072BB4D6" w:rsidR="00477B8F" w:rsidRPr="009118AB" w:rsidRDefault="00477B8F" w:rsidP="00DD3BE1">
      <w:pPr>
        <w:autoSpaceDE w:val="0"/>
        <w:autoSpaceDN w:val="0"/>
        <w:adjustRightInd w:val="0"/>
        <w:jc w:val="both"/>
      </w:pPr>
      <w:r w:rsidRPr="009118AB">
        <w:tab/>
      </w:r>
      <w:r w:rsidR="00D67EB8" w:rsidRPr="009118AB">
        <w:rPr>
          <w:b/>
          <w:bCs/>
        </w:rPr>
        <w:t>Art. </w:t>
      </w:r>
      <w:r w:rsidRPr="009118AB">
        <w:rPr>
          <w:b/>
          <w:bCs/>
        </w:rPr>
        <w:t>106</w:t>
      </w:r>
      <w:r w:rsidR="00D67EB8" w:rsidRPr="009118AB">
        <w:t> - </w:t>
      </w:r>
      <w:r w:rsidRPr="009118AB">
        <w:t>Der König legt die Weise fest, wie die Ausgaben auf die verschiedenen Einkommenskategorien angerechnet werden.</w:t>
      </w:r>
    </w:p>
    <w:p w14:paraId="272C8E71" w14:textId="77777777" w:rsidR="00255D31" w:rsidRPr="009118AB" w:rsidRDefault="00255D31" w:rsidP="00DD3BE1">
      <w:pPr>
        <w:autoSpaceDE w:val="0"/>
        <w:autoSpaceDN w:val="0"/>
        <w:adjustRightInd w:val="0"/>
        <w:jc w:val="both"/>
      </w:pPr>
    </w:p>
    <w:p w14:paraId="73614B41" w14:textId="77777777" w:rsidR="00477B8F" w:rsidRPr="009118AB" w:rsidRDefault="00477B8F" w:rsidP="00DD3BE1">
      <w:pPr>
        <w:autoSpaceDE w:val="0"/>
        <w:autoSpaceDN w:val="0"/>
        <w:adjustRightInd w:val="0"/>
        <w:jc w:val="both"/>
      </w:pPr>
      <w:r w:rsidRPr="009118AB">
        <w:tab/>
      </w:r>
      <w:r w:rsidR="000F5628" w:rsidRPr="009118AB">
        <w:t>[</w:t>
      </w:r>
      <w:r w:rsidRPr="009118AB">
        <w:rPr>
          <w:i/>
          <w:iCs/>
        </w:rPr>
        <w:t>B.</w:t>
      </w:r>
      <w:r w:rsidRPr="009118AB">
        <w:t xml:space="preserve"> </w:t>
      </w:r>
      <w:r w:rsidR="000F5628" w:rsidRPr="009118AB">
        <w:t>[…]</w:t>
      </w:r>
    </w:p>
    <w:p w14:paraId="76910461" w14:textId="77777777" w:rsidR="00477B8F" w:rsidRPr="009118AB" w:rsidRDefault="00477B8F" w:rsidP="00DD3BE1">
      <w:pPr>
        <w:autoSpaceDE w:val="0"/>
        <w:autoSpaceDN w:val="0"/>
        <w:adjustRightInd w:val="0"/>
        <w:jc w:val="both"/>
      </w:pPr>
    </w:p>
    <w:p w14:paraId="34620289" w14:textId="2B49A7AE" w:rsidR="000F5628" w:rsidRPr="009118AB" w:rsidRDefault="000F5628" w:rsidP="00DD3BE1">
      <w:pPr>
        <w:autoSpaceDE w:val="0"/>
        <w:autoSpaceDN w:val="0"/>
        <w:adjustRightInd w:val="0"/>
        <w:jc w:val="both"/>
        <w:rPr>
          <w:i/>
        </w:rPr>
      </w:pPr>
      <w:r w:rsidRPr="009118AB">
        <w:rPr>
          <w:i/>
        </w:rPr>
        <w:t xml:space="preserve">[Unterteilung B mit den Artikeln 107 bis 111 aufgehoben durch </w:t>
      </w:r>
      <w:r w:rsidR="00D67EB8" w:rsidRPr="009118AB">
        <w:rPr>
          <w:i/>
        </w:rPr>
        <w:t>Art. </w:t>
      </w:r>
      <w:r w:rsidRPr="009118AB">
        <w:rPr>
          <w:i/>
        </w:rPr>
        <w:t>10</w:t>
      </w:r>
      <w:r w:rsidRPr="009118AB">
        <w:rPr>
          <w:i/>
          <w:iCs/>
        </w:rPr>
        <w:t xml:space="preserve"> des G. vom 13.</w:t>
      </w:r>
      <w:r w:rsidR="00793111" w:rsidRPr="009118AB">
        <w:rPr>
          <w:i/>
          <w:iCs/>
        </w:rPr>
        <w:t> </w:t>
      </w:r>
      <w:r w:rsidRPr="009118AB">
        <w:rPr>
          <w:i/>
          <w:iCs/>
        </w:rPr>
        <w:t>Dezember 2012 (B.S. vom 20. Dezember 2012)</w:t>
      </w:r>
      <w:r w:rsidR="00D67EB8" w:rsidRPr="009118AB">
        <w:rPr>
          <w:i/>
          <w:iCs/>
        </w:rPr>
        <w:t> - </w:t>
      </w:r>
      <w:r w:rsidRPr="009118AB">
        <w:rPr>
          <w:i/>
          <w:iCs/>
        </w:rPr>
        <w:t>in Kraft ab dem Steuerjahr 2013</w:t>
      </w:r>
      <w:r w:rsidR="00FD68E8" w:rsidRPr="009118AB">
        <w:rPr>
          <w:i/>
          <w:iCs/>
        </w:rPr>
        <w:t> -]</w:t>
      </w:r>
    </w:p>
    <w:p w14:paraId="2F082101" w14:textId="77777777" w:rsidR="00477B8F" w:rsidRPr="009118AB" w:rsidRDefault="00477B8F" w:rsidP="00DD3BE1">
      <w:pPr>
        <w:autoSpaceDE w:val="0"/>
        <w:autoSpaceDN w:val="0"/>
        <w:adjustRightInd w:val="0"/>
        <w:jc w:val="both"/>
      </w:pPr>
    </w:p>
    <w:p w14:paraId="65E6F808" w14:textId="77777777" w:rsidR="000F5628" w:rsidRPr="009118AB" w:rsidRDefault="000F5628" w:rsidP="00DD3BE1">
      <w:pPr>
        <w:autoSpaceDE w:val="0"/>
        <w:autoSpaceDN w:val="0"/>
        <w:adjustRightInd w:val="0"/>
        <w:jc w:val="both"/>
      </w:pPr>
    </w:p>
    <w:p w14:paraId="68C62E7C" w14:textId="2FE6C6FA" w:rsidR="00477B8F" w:rsidRPr="009118AB" w:rsidRDefault="00477B8F" w:rsidP="000F5628">
      <w:pPr>
        <w:autoSpaceDE w:val="0"/>
        <w:autoSpaceDN w:val="0"/>
        <w:adjustRightInd w:val="0"/>
        <w:jc w:val="both"/>
      </w:pPr>
      <w:r w:rsidRPr="009118AB">
        <w:tab/>
      </w:r>
      <w:r w:rsidR="00D67EB8" w:rsidRPr="009118AB">
        <w:rPr>
          <w:b/>
          <w:bCs/>
        </w:rPr>
        <w:t>Art. </w:t>
      </w:r>
      <w:r w:rsidRPr="009118AB">
        <w:rPr>
          <w:b/>
          <w:bCs/>
        </w:rPr>
        <w:t>107</w:t>
      </w:r>
      <w:r w:rsidR="00D67EB8" w:rsidRPr="009118AB">
        <w:t> - </w:t>
      </w:r>
      <w:r w:rsidR="000F5628" w:rsidRPr="009118AB">
        <w:rPr>
          <w:b/>
        </w:rPr>
        <w:t>111</w:t>
      </w:r>
      <w:r w:rsidR="00D67EB8" w:rsidRPr="009118AB">
        <w:t> - </w:t>
      </w:r>
      <w:r w:rsidR="000F5628" w:rsidRPr="009118AB">
        <w:t>[…]]</w:t>
      </w:r>
    </w:p>
    <w:p w14:paraId="15F23440" w14:textId="77777777" w:rsidR="00477B8F" w:rsidRPr="009118AB" w:rsidRDefault="00477B8F" w:rsidP="00DD3BE1">
      <w:pPr>
        <w:autoSpaceDE w:val="0"/>
        <w:autoSpaceDN w:val="0"/>
        <w:adjustRightInd w:val="0"/>
        <w:jc w:val="both"/>
      </w:pPr>
    </w:p>
    <w:p w14:paraId="07CB2FA1" w14:textId="77777777" w:rsidR="00477B8F" w:rsidRPr="009118AB" w:rsidRDefault="00477B8F" w:rsidP="00DD3BE1">
      <w:pPr>
        <w:autoSpaceDE w:val="0"/>
        <w:autoSpaceDN w:val="0"/>
        <w:adjustRightInd w:val="0"/>
        <w:jc w:val="both"/>
      </w:pPr>
      <w:r w:rsidRPr="009118AB">
        <w:lastRenderedPageBreak/>
        <w:tab/>
      </w:r>
      <w:r w:rsidR="000F5628" w:rsidRPr="009118AB">
        <w:t>[</w:t>
      </w:r>
      <w:r w:rsidRPr="009118AB">
        <w:rPr>
          <w:i/>
          <w:iCs/>
        </w:rPr>
        <w:t>C.</w:t>
      </w:r>
      <w:r w:rsidRPr="009118AB">
        <w:t xml:space="preserve"> </w:t>
      </w:r>
      <w:r w:rsidR="000F5628" w:rsidRPr="009118AB">
        <w:t>[…]</w:t>
      </w:r>
    </w:p>
    <w:p w14:paraId="18EEE5B1" w14:textId="77777777" w:rsidR="000F5628" w:rsidRPr="009118AB" w:rsidRDefault="000F5628" w:rsidP="000F5628">
      <w:pPr>
        <w:autoSpaceDE w:val="0"/>
        <w:autoSpaceDN w:val="0"/>
        <w:adjustRightInd w:val="0"/>
        <w:jc w:val="both"/>
      </w:pPr>
    </w:p>
    <w:p w14:paraId="1FEE859A" w14:textId="312A6E51" w:rsidR="000F5628" w:rsidRPr="009118AB" w:rsidRDefault="000F5628" w:rsidP="000F5628">
      <w:pPr>
        <w:autoSpaceDE w:val="0"/>
        <w:autoSpaceDN w:val="0"/>
        <w:adjustRightInd w:val="0"/>
        <w:jc w:val="both"/>
        <w:rPr>
          <w:i/>
        </w:rPr>
      </w:pPr>
      <w:r w:rsidRPr="009118AB">
        <w:rPr>
          <w:i/>
        </w:rPr>
        <w:t xml:space="preserve">[Unterteilung C mit </w:t>
      </w:r>
      <w:r w:rsidR="00D67EB8" w:rsidRPr="009118AB">
        <w:rPr>
          <w:i/>
        </w:rPr>
        <w:t>Art. </w:t>
      </w:r>
      <w:r w:rsidRPr="009118AB">
        <w:rPr>
          <w:i/>
        </w:rPr>
        <w:t xml:space="preserve">112 aufgehoben durch </w:t>
      </w:r>
      <w:r w:rsidR="00D67EB8" w:rsidRPr="009118AB">
        <w:rPr>
          <w:i/>
        </w:rPr>
        <w:t>Art. </w:t>
      </w:r>
      <w:r w:rsidRPr="009118AB">
        <w:rPr>
          <w:i/>
        </w:rPr>
        <w:t>11</w:t>
      </w:r>
      <w:r w:rsidRPr="009118AB">
        <w:rPr>
          <w:i/>
          <w:iCs/>
        </w:rPr>
        <w:t xml:space="preserve"> des G. vom 13. Dezember 2012 (B.S. vom 20. Dezember 2012)</w:t>
      </w:r>
      <w:r w:rsidR="00D67EB8" w:rsidRPr="009118AB">
        <w:rPr>
          <w:i/>
          <w:iCs/>
        </w:rPr>
        <w:t> - </w:t>
      </w:r>
      <w:r w:rsidRPr="009118AB">
        <w:rPr>
          <w:i/>
          <w:iCs/>
        </w:rPr>
        <w:t>in Kraft ab dem Steuerjahr 2013</w:t>
      </w:r>
      <w:r w:rsidR="00FD68E8" w:rsidRPr="009118AB">
        <w:rPr>
          <w:i/>
          <w:iCs/>
        </w:rPr>
        <w:t> -]</w:t>
      </w:r>
    </w:p>
    <w:p w14:paraId="1C8837AB" w14:textId="77777777" w:rsidR="00477B8F" w:rsidRPr="009118AB" w:rsidRDefault="00477B8F" w:rsidP="00DD3BE1">
      <w:pPr>
        <w:autoSpaceDE w:val="0"/>
        <w:autoSpaceDN w:val="0"/>
        <w:adjustRightInd w:val="0"/>
        <w:jc w:val="both"/>
      </w:pPr>
    </w:p>
    <w:p w14:paraId="30CC62FB" w14:textId="77777777" w:rsidR="00477B8F" w:rsidRPr="009118AB" w:rsidRDefault="00477B8F" w:rsidP="00DD3BE1">
      <w:pPr>
        <w:autoSpaceDE w:val="0"/>
        <w:autoSpaceDN w:val="0"/>
        <w:adjustRightInd w:val="0"/>
        <w:jc w:val="both"/>
      </w:pPr>
    </w:p>
    <w:p w14:paraId="2BFDF214" w14:textId="28D90763" w:rsidR="000F5628" w:rsidRPr="009118AB" w:rsidRDefault="00477B8F" w:rsidP="000F5628">
      <w:pPr>
        <w:autoSpaceDE w:val="0"/>
        <w:autoSpaceDN w:val="0"/>
        <w:adjustRightInd w:val="0"/>
        <w:jc w:val="both"/>
      </w:pPr>
      <w:r w:rsidRPr="009118AB">
        <w:tab/>
      </w:r>
      <w:r w:rsidR="00D67EB8" w:rsidRPr="009118AB">
        <w:rPr>
          <w:b/>
          <w:bCs/>
        </w:rPr>
        <w:t>Art. </w:t>
      </w:r>
      <w:r w:rsidRPr="009118AB">
        <w:rPr>
          <w:b/>
          <w:bCs/>
        </w:rPr>
        <w:t>112</w:t>
      </w:r>
      <w:r w:rsidR="00D67EB8" w:rsidRPr="009118AB">
        <w:t> - </w:t>
      </w:r>
      <w:r w:rsidR="000F5628" w:rsidRPr="009118AB">
        <w:t>[…]]</w:t>
      </w:r>
    </w:p>
    <w:p w14:paraId="483CBA43" w14:textId="77777777" w:rsidR="000F5628" w:rsidRPr="009118AB" w:rsidRDefault="000F5628" w:rsidP="000F5628">
      <w:pPr>
        <w:autoSpaceDE w:val="0"/>
        <w:autoSpaceDN w:val="0"/>
        <w:adjustRightInd w:val="0"/>
        <w:jc w:val="both"/>
      </w:pPr>
    </w:p>
    <w:p w14:paraId="5CC283BD" w14:textId="77777777" w:rsidR="000F5628" w:rsidRPr="009118AB" w:rsidRDefault="000F5628" w:rsidP="000F5628">
      <w:pPr>
        <w:autoSpaceDE w:val="0"/>
        <w:autoSpaceDN w:val="0"/>
        <w:adjustRightInd w:val="0"/>
        <w:jc w:val="both"/>
      </w:pPr>
      <w:r w:rsidRPr="009118AB">
        <w:tab/>
        <w:t>[</w:t>
      </w:r>
      <w:r w:rsidRPr="009118AB">
        <w:rPr>
          <w:i/>
          <w:iCs/>
        </w:rPr>
        <w:t>D.</w:t>
      </w:r>
      <w:r w:rsidRPr="009118AB">
        <w:t xml:space="preserve"> […]</w:t>
      </w:r>
    </w:p>
    <w:p w14:paraId="2D44DCFA" w14:textId="77777777" w:rsidR="000F5628" w:rsidRPr="009118AB" w:rsidRDefault="000F5628" w:rsidP="000F5628">
      <w:pPr>
        <w:autoSpaceDE w:val="0"/>
        <w:autoSpaceDN w:val="0"/>
        <w:adjustRightInd w:val="0"/>
        <w:jc w:val="both"/>
      </w:pPr>
    </w:p>
    <w:p w14:paraId="45DE2B33" w14:textId="251A6D97" w:rsidR="000F5628" w:rsidRPr="009118AB" w:rsidRDefault="000F5628" w:rsidP="000F5628">
      <w:pPr>
        <w:autoSpaceDE w:val="0"/>
        <w:autoSpaceDN w:val="0"/>
        <w:adjustRightInd w:val="0"/>
        <w:jc w:val="both"/>
        <w:rPr>
          <w:i/>
        </w:rPr>
      </w:pPr>
      <w:r w:rsidRPr="009118AB">
        <w:rPr>
          <w:i/>
        </w:rPr>
        <w:t xml:space="preserve">[Unterteilung D mit den Artikeln 113 und 114 aufgehoben durch </w:t>
      </w:r>
      <w:r w:rsidR="00D67EB8" w:rsidRPr="009118AB">
        <w:rPr>
          <w:i/>
        </w:rPr>
        <w:t>Art. </w:t>
      </w:r>
      <w:r w:rsidRPr="009118AB">
        <w:rPr>
          <w:i/>
        </w:rPr>
        <w:t>13</w:t>
      </w:r>
      <w:r w:rsidRPr="009118AB">
        <w:rPr>
          <w:i/>
          <w:iCs/>
        </w:rPr>
        <w:t xml:space="preserve"> des G. vom 13. Dezember 2012 (B.S. vom 20. Dezember 2012)</w:t>
      </w:r>
      <w:r w:rsidR="00D67EB8" w:rsidRPr="009118AB">
        <w:rPr>
          <w:i/>
          <w:iCs/>
        </w:rPr>
        <w:t> - </w:t>
      </w:r>
      <w:r w:rsidRPr="009118AB">
        <w:rPr>
          <w:i/>
          <w:iCs/>
        </w:rPr>
        <w:t>in Kraft ab dem Steuerjahr 2013</w:t>
      </w:r>
      <w:r w:rsidR="00FD68E8" w:rsidRPr="009118AB">
        <w:rPr>
          <w:i/>
          <w:iCs/>
        </w:rPr>
        <w:t> -]</w:t>
      </w:r>
    </w:p>
    <w:p w14:paraId="772C2F32" w14:textId="77777777" w:rsidR="000F5628" w:rsidRPr="009118AB" w:rsidRDefault="000F5628" w:rsidP="000F5628">
      <w:pPr>
        <w:autoSpaceDE w:val="0"/>
        <w:autoSpaceDN w:val="0"/>
        <w:adjustRightInd w:val="0"/>
        <w:jc w:val="both"/>
      </w:pPr>
    </w:p>
    <w:p w14:paraId="751B920A" w14:textId="77777777" w:rsidR="000F5628" w:rsidRPr="009118AB" w:rsidRDefault="000F5628" w:rsidP="000F5628">
      <w:pPr>
        <w:autoSpaceDE w:val="0"/>
        <w:autoSpaceDN w:val="0"/>
        <w:adjustRightInd w:val="0"/>
        <w:jc w:val="both"/>
      </w:pPr>
    </w:p>
    <w:p w14:paraId="3DBE73A8" w14:textId="6389AE6A" w:rsidR="000F5628" w:rsidRPr="009118AB" w:rsidRDefault="000F5628" w:rsidP="000F5628">
      <w:pPr>
        <w:autoSpaceDE w:val="0"/>
        <w:autoSpaceDN w:val="0"/>
        <w:adjustRightInd w:val="0"/>
        <w:jc w:val="both"/>
      </w:pPr>
      <w:r w:rsidRPr="009118AB">
        <w:tab/>
      </w:r>
      <w:r w:rsidR="00D67EB8" w:rsidRPr="009118AB">
        <w:rPr>
          <w:b/>
          <w:bCs/>
        </w:rPr>
        <w:t>Art. </w:t>
      </w:r>
      <w:r w:rsidRPr="009118AB">
        <w:rPr>
          <w:b/>
          <w:bCs/>
        </w:rPr>
        <w:t>113</w:t>
      </w:r>
      <w:r w:rsidR="00D67EB8" w:rsidRPr="009118AB">
        <w:t> - </w:t>
      </w:r>
      <w:r w:rsidRPr="009118AB">
        <w:rPr>
          <w:b/>
        </w:rPr>
        <w:t>114</w:t>
      </w:r>
      <w:r w:rsidR="00D67EB8" w:rsidRPr="009118AB">
        <w:t> - </w:t>
      </w:r>
      <w:r w:rsidRPr="009118AB">
        <w:t>[…]]</w:t>
      </w:r>
    </w:p>
    <w:p w14:paraId="4E67CEC5" w14:textId="77777777" w:rsidR="001E243B" w:rsidRPr="009118AB" w:rsidRDefault="001E243B" w:rsidP="000F5628">
      <w:pPr>
        <w:autoSpaceDE w:val="0"/>
        <w:autoSpaceDN w:val="0"/>
        <w:adjustRightInd w:val="0"/>
        <w:jc w:val="both"/>
      </w:pPr>
    </w:p>
    <w:p w14:paraId="7F743421" w14:textId="77777777" w:rsidR="00477B8F" w:rsidRPr="009118AB" w:rsidRDefault="00477B8F" w:rsidP="000F5628">
      <w:pPr>
        <w:autoSpaceDE w:val="0"/>
        <w:autoSpaceDN w:val="0"/>
        <w:adjustRightInd w:val="0"/>
        <w:jc w:val="both"/>
      </w:pPr>
      <w:r w:rsidRPr="009118AB">
        <w:tab/>
      </w:r>
      <w:r w:rsidR="00562E1B" w:rsidRPr="009118AB">
        <w:t>[</w:t>
      </w:r>
      <w:r w:rsidRPr="009118AB">
        <w:rPr>
          <w:i/>
          <w:iCs/>
        </w:rPr>
        <w:t>E.</w:t>
      </w:r>
      <w:r w:rsidRPr="009118AB">
        <w:t xml:space="preserve"> [</w:t>
      </w:r>
      <w:r w:rsidR="00562E1B" w:rsidRPr="009118AB">
        <w:t>…]</w:t>
      </w:r>
    </w:p>
    <w:p w14:paraId="2800CAA7" w14:textId="77777777" w:rsidR="00477B8F" w:rsidRPr="009118AB" w:rsidRDefault="00477B8F" w:rsidP="00477B8F">
      <w:pPr>
        <w:autoSpaceDE w:val="0"/>
        <w:autoSpaceDN w:val="0"/>
        <w:adjustRightInd w:val="0"/>
        <w:jc w:val="both"/>
      </w:pPr>
    </w:p>
    <w:p w14:paraId="416B3B77" w14:textId="2D016328" w:rsidR="00477B8F" w:rsidRPr="009118AB" w:rsidRDefault="00477B8F" w:rsidP="00477B8F">
      <w:pPr>
        <w:autoSpaceDE w:val="0"/>
        <w:autoSpaceDN w:val="0"/>
        <w:adjustRightInd w:val="0"/>
        <w:jc w:val="both"/>
        <w:rPr>
          <w:i/>
          <w:iCs/>
        </w:rPr>
      </w:pPr>
      <w:r w:rsidRPr="009118AB">
        <w:rPr>
          <w:i/>
          <w:iCs/>
        </w:rPr>
        <w:t xml:space="preserve">[Unterteilung E mit den Artikeln 115 und 116 </w:t>
      </w:r>
      <w:r w:rsidR="00562E1B" w:rsidRPr="009118AB">
        <w:rPr>
          <w:i/>
          <w:iCs/>
        </w:rPr>
        <w:t xml:space="preserve">aufgehoben durch </w:t>
      </w:r>
      <w:r w:rsidR="00D67EB8" w:rsidRPr="009118AB">
        <w:rPr>
          <w:i/>
          <w:iCs/>
        </w:rPr>
        <w:t>Art. </w:t>
      </w:r>
      <w:r w:rsidR="00562E1B" w:rsidRPr="009118AB">
        <w:rPr>
          <w:i/>
          <w:iCs/>
        </w:rPr>
        <w:t>22</w:t>
      </w:r>
      <w:r w:rsidR="00562E1B" w:rsidRPr="009118AB">
        <w:rPr>
          <w:i/>
        </w:rPr>
        <w:t xml:space="preserve"> des G. vom 8. Mai 2014 (B.S. vom 28. Mai 2014)</w:t>
      </w:r>
      <w:r w:rsidR="00D67EB8" w:rsidRPr="009118AB">
        <w:rPr>
          <w:i/>
        </w:rPr>
        <w:t> - </w:t>
      </w:r>
      <w:r w:rsidR="00562E1B" w:rsidRPr="009118AB">
        <w:rPr>
          <w:i/>
          <w:iCs/>
        </w:rPr>
        <w:t>anwendbar ab dem Steuerjahr 2015</w:t>
      </w:r>
      <w:r w:rsidR="00FD68E8" w:rsidRPr="009118AB">
        <w:rPr>
          <w:i/>
          <w:iCs/>
        </w:rPr>
        <w:t> -]</w:t>
      </w:r>
    </w:p>
    <w:p w14:paraId="49D5130E" w14:textId="77777777" w:rsidR="00477B8F" w:rsidRPr="009118AB" w:rsidRDefault="00477B8F" w:rsidP="00477B8F">
      <w:pPr>
        <w:autoSpaceDE w:val="0"/>
        <w:autoSpaceDN w:val="0"/>
        <w:adjustRightInd w:val="0"/>
        <w:jc w:val="both"/>
      </w:pPr>
    </w:p>
    <w:p w14:paraId="0E48DD3A" w14:textId="77777777" w:rsidR="00477B8F" w:rsidRPr="009118AB" w:rsidRDefault="00477B8F" w:rsidP="00477B8F">
      <w:pPr>
        <w:autoSpaceDE w:val="0"/>
        <w:autoSpaceDN w:val="0"/>
        <w:adjustRightInd w:val="0"/>
        <w:jc w:val="both"/>
      </w:pPr>
    </w:p>
    <w:p w14:paraId="1C5BA515" w14:textId="1682E15E" w:rsidR="00477B8F" w:rsidRPr="009118AB" w:rsidRDefault="00477B8F" w:rsidP="00562E1B">
      <w:pPr>
        <w:autoSpaceDE w:val="0"/>
        <w:autoSpaceDN w:val="0"/>
        <w:adjustRightInd w:val="0"/>
        <w:jc w:val="both"/>
      </w:pPr>
      <w:r w:rsidRPr="009118AB">
        <w:tab/>
      </w:r>
      <w:r w:rsidR="00D67EB8" w:rsidRPr="009118AB">
        <w:rPr>
          <w:b/>
          <w:bCs/>
        </w:rPr>
        <w:t>Art. </w:t>
      </w:r>
      <w:r w:rsidRPr="009118AB">
        <w:rPr>
          <w:b/>
          <w:bCs/>
        </w:rPr>
        <w:t>115</w:t>
      </w:r>
      <w:r w:rsidR="00D67EB8" w:rsidRPr="009118AB">
        <w:t> - </w:t>
      </w:r>
      <w:r w:rsidRPr="009118AB">
        <w:rPr>
          <w:b/>
          <w:bCs/>
        </w:rPr>
        <w:t>116</w:t>
      </w:r>
      <w:r w:rsidR="00D67EB8" w:rsidRPr="009118AB">
        <w:t> - </w:t>
      </w:r>
      <w:r w:rsidRPr="009118AB">
        <w:t>[</w:t>
      </w:r>
      <w:r w:rsidR="00562E1B" w:rsidRPr="009118AB">
        <w:t>..</w:t>
      </w:r>
      <w:r w:rsidRPr="009118AB">
        <w:t>.]</w:t>
      </w:r>
      <w:r w:rsidR="00562E1B" w:rsidRPr="009118AB">
        <w:t>]</w:t>
      </w:r>
    </w:p>
    <w:p w14:paraId="02D8D426" w14:textId="77777777" w:rsidR="00477B8F" w:rsidRPr="009118AB" w:rsidRDefault="00477B8F" w:rsidP="00477B8F">
      <w:pPr>
        <w:autoSpaceDE w:val="0"/>
        <w:autoSpaceDN w:val="0"/>
        <w:adjustRightInd w:val="0"/>
        <w:jc w:val="both"/>
      </w:pPr>
    </w:p>
    <w:p w14:paraId="534F6E26" w14:textId="77777777" w:rsidR="00477B8F" w:rsidRPr="009118AB" w:rsidRDefault="00477B8F" w:rsidP="00477B8F">
      <w:pPr>
        <w:autoSpaceDE w:val="0"/>
        <w:autoSpaceDN w:val="0"/>
        <w:adjustRightInd w:val="0"/>
        <w:jc w:val="both"/>
      </w:pPr>
      <w:r w:rsidRPr="009118AB">
        <w:tab/>
        <w:t>[</w:t>
      </w:r>
      <w:r w:rsidRPr="009118AB">
        <w:rPr>
          <w:i/>
          <w:iCs/>
        </w:rPr>
        <w:t>F.</w:t>
      </w:r>
      <w:r w:rsidRPr="009118AB">
        <w:t xml:space="preserve"> [...]</w:t>
      </w:r>
    </w:p>
    <w:p w14:paraId="2941986D" w14:textId="77777777" w:rsidR="00477B8F" w:rsidRPr="009118AB" w:rsidRDefault="00477B8F" w:rsidP="00477B8F">
      <w:pPr>
        <w:autoSpaceDE w:val="0"/>
        <w:autoSpaceDN w:val="0"/>
        <w:adjustRightInd w:val="0"/>
        <w:jc w:val="both"/>
      </w:pPr>
    </w:p>
    <w:p w14:paraId="5481584D" w14:textId="72600428" w:rsidR="00477B8F" w:rsidRPr="009118AB" w:rsidRDefault="00477B8F" w:rsidP="00477B8F">
      <w:pPr>
        <w:autoSpaceDE w:val="0"/>
        <w:autoSpaceDN w:val="0"/>
        <w:adjustRightInd w:val="0"/>
        <w:jc w:val="both"/>
      </w:pPr>
      <w:r w:rsidRPr="009118AB">
        <w:rPr>
          <w:i/>
          <w:iCs/>
        </w:rPr>
        <w:t xml:space="preserve">[Unterteilung F mit den Artikeln 117 bis 125 aufgehoben durch </w:t>
      </w:r>
      <w:r w:rsidR="00D67EB8" w:rsidRPr="009118AB">
        <w:rPr>
          <w:i/>
          <w:iCs/>
        </w:rPr>
        <w:t>Art. </w:t>
      </w:r>
      <w:r w:rsidRPr="009118AB">
        <w:rPr>
          <w:i/>
          <w:iCs/>
        </w:rPr>
        <w:t>85 des G. vom 28. Dezember 1992 (B.S. vom 31. Dezember 1992)</w:t>
      </w:r>
      <w:r w:rsidR="00D67EB8" w:rsidRPr="009118AB">
        <w:rPr>
          <w:i/>
          <w:iCs/>
        </w:rPr>
        <w:t> - </w:t>
      </w:r>
      <w:r w:rsidRPr="009118AB">
        <w:rPr>
          <w:i/>
          <w:iCs/>
        </w:rPr>
        <w:t>anwendbar ab dem Steuerjahr 1993</w:t>
      </w:r>
      <w:r w:rsidR="00FD68E8" w:rsidRPr="009118AB">
        <w:rPr>
          <w:i/>
          <w:iCs/>
        </w:rPr>
        <w:t> -]</w:t>
      </w:r>
    </w:p>
    <w:p w14:paraId="01255F7D" w14:textId="77777777" w:rsidR="00477B8F" w:rsidRPr="009118AB" w:rsidRDefault="00477B8F" w:rsidP="00477B8F">
      <w:pPr>
        <w:autoSpaceDE w:val="0"/>
        <w:autoSpaceDN w:val="0"/>
        <w:adjustRightInd w:val="0"/>
        <w:jc w:val="both"/>
      </w:pPr>
    </w:p>
    <w:p w14:paraId="11CCE5E7" w14:textId="77777777" w:rsidR="00477B8F" w:rsidRPr="009118AB" w:rsidRDefault="00477B8F" w:rsidP="00477B8F">
      <w:pPr>
        <w:autoSpaceDE w:val="0"/>
        <w:autoSpaceDN w:val="0"/>
        <w:adjustRightInd w:val="0"/>
        <w:jc w:val="both"/>
      </w:pPr>
    </w:p>
    <w:p w14:paraId="7C9C77D4" w14:textId="426E0AE1"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117</w:t>
      </w:r>
      <w:r w:rsidR="00D67EB8" w:rsidRPr="009118AB">
        <w:rPr>
          <w:b/>
          <w:bCs/>
        </w:rPr>
        <w:t> - </w:t>
      </w:r>
      <w:r w:rsidRPr="009118AB">
        <w:rPr>
          <w:b/>
          <w:bCs/>
        </w:rPr>
        <w:t>125</w:t>
      </w:r>
      <w:r w:rsidR="00D67EB8" w:rsidRPr="009118AB">
        <w:t> - </w:t>
      </w:r>
      <w:r w:rsidRPr="009118AB">
        <w:t>[...]]</w:t>
      </w:r>
    </w:p>
    <w:p w14:paraId="19ADEC1A" w14:textId="40B4A26E" w:rsidR="00477B8F" w:rsidRPr="009118AB" w:rsidRDefault="00477B8F" w:rsidP="00477B8F">
      <w:pPr>
        <w:autoSpaceDE w:val="0"/>
        <w:autoSpaceDN w:val="0"/>
        <w:adjustRightInd w:val="0"/>
        <w:jc w:val="center"/>
      </w:pPr>
      <w:r w:rsidRPr="009118AB">
        <w:br w:type="page"/>
      </w:r>
      <w:r w:rsidRPr="009118AB">
        <w:rPr>
          <w:i/>
          <w:iCs/>
        </w:rPr>
        <w:lastRenderedPageBreak/>
        <w:t>Abschnitt </w:t>
      </w:r>
      <w:r w:rsidR="00D74862" w:rsidRPr="009118AB">
        <w:rPr>
          <w:i/>
          <w:iCs/>
        </w:rPr>
        <w:t>7</w:t>
      </w:r>
      <w:r w:rsidR="00D67EB8" w:rsidRPr="009118AB">
        <w:t> - </w:t>
      </w:r>
      <w:r w:rsidRPr="009118AB">
        <w:t>[Gemeinsame Veranlagung von Ehepartnern und gesetzlich Zusammenwohnenden]</w:t>
      </w:r>
    </w:p>
    <w:p w14:paraId="404768DA" w14:textId="77777777" w:rsidR="00477B8F" w:rsidRPr="009118AB" w:rsidRDefault="00477B8F" w:rsidP="00477B8F">
      <w:pPr>
        <w:autoSpaceDE w:val="0"/>
        <w:autoSpaceDN w:val="0"/>
        <w:adjustRightInd w:val="0"/>
        <w:jc w:val="both"/>
      </w:pPr>
    </w:p>
    <w:p w14:paraId="0E8E5102" w14:textId="6AEFF7F2" w:rsidR="00477B8F" w:rsidRPr="009118AB" w:rsidRDefault="00477B8F" w:rsidP="00477B8F">
      <w:pPr>
        <w:autoSpaceDE w:val="0"/>
        <w:autoSpaceDN w:val="0"/>
        <w:adjustRightInd w:val="0"/>
        <w:jc w:val="both"/>
      </w:pPr>
      <w:r w:rsidRPr="009118AB">
        <w:rPr>
          <w:i/>
          <w:iCs/>
        </w:rPr>
        <w:t>[Überschrift von Abschnitt </w:t>
      </w:r>
      <w:r w:rsidR="009E593F" w:rsidRPr="009118AB">
        <w:rPr>
          <w:i/>
          <w:iCs/>
        </w:rPr>
        <w:t xml:space="preserve">7 </w:t>
      </w:r>
      <w:r w:rsidRPr="009118AB">
        <w:rPr>
          <w:i/>
          <w:iCs/>
        </w:rPr>
        <w:t xml:space="preserve">ersetzt durch </w:t>
      </w:r>
      <w:r w:rsidR="00D67EB8" w:rsidRPr="009118AB">
        <w:rPr>
          <w:i/>
          <w:iCs/>
        </w:rPr>
        <w:t>Art. </w:t>
      </w:r>
      <w:r w:rsidRPr="009118AB">
        <w:rPr>
          <w:i/>
          <w:iCs/>
        </w:rPr>
        <w:t>18 des G. vom 10. August 2001 (B.S. vom 20. September 2001)</w:t>
      </w:r>
      <w:r w:rsidR="00D67EB8" w:rsidRPr="009118AB">
        <w:rPr>
          <w:i/>
          <w:iCs/>
        </w:rPr>
        <w:t> - </w:t>
      </w:r>
      <w:r w:rsidRPr="009118AB">
        <w:rPr>
          <w:i/>
          <w:iCs/>
        </w:rPr>
        <w:t>in Kraft ab dem Steuerjahr 2005</w:t>
      </w:r>
      <w:r w:rsidR="00FD68E8" w:rsidRPr="009118AB">
        <w:rPr>
          <w:i/>
          <w:iCs/>
        </w:rPr>
        <w:t> -]</w:t>
      </w:r>
    </w:p>
    <w:p w14:paraId="04C67D17" w14:textId="77777777" w:rsidR="00477B8F" w:rsidRPr="009118AB" w:rsidRDefault="00477B8F" w:rsidP="00477B8F">
      <w:pPr>
        <w:autoSpaceDE w:val="0"/>
        <w:autoSpaceDN w:val="0"/>
        <w:adjustRightInd w:val="0"/>
        <w:jc w:val="both"/>
      </w:pPr>
    </w:p>
    <w:p w14:paraId="4DB99A25" w14:textId="77777777" w:rsidR="00477B8F" w:rsidRPr="009118AB" w:rsidRDefault="00477B8F" w:rsidP="00477B8F">
      <w:pPr>
        <w:autoSpaceDE w:val="0"/>
        <w:autoSpaceDN w:val="0"/>
        <w:adjustRightInd w:val="0"/>
        <w:jc w:val="both"/>
      </w:pPr>
    </w:p>
    <w:p w14:paraId="645B5F85" w14:textId="2585555E"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126</w:t>
      </w:r>
      <w:r w:rsidR="00D67EB8" w:rsidRPr="009118AB">
        <w:t> - </w:t>
      </w:r>
      <w:r w:rsidRPr="009118AB">
        <w:t>[</w:t>
      </w:r>
      <w:r w:rsidR="00D67EB8" w:rsidRPr="009118AB">
        <w:t>§ </w:t>
      </w:r>
      <w:r w:rsidRPr="009118AB">
        <w:t>1</w:t>
      </w:r>
      <w:r w:rsidR="00D67EB8" w:rsidRPr="009118AB">
        <w:t> - </w:t>
      </w:r>
      <w:r w:rsidRPr="009118AB">
        <w:t>[Im Falle einer Ehe oder eines gesetzlichen Zusammenwohnens wird eine gemeinsame Veranlagung auf den Namen der beiden Ehepartner festgelegt. Ungeachtet dieser gemeinsamen Veranlagung wird das steuerpflichtige Einkommen der beiden Ehepartner getrennt festgelegt.</w:t>
      </w:r>
    </w:p>
    <w:p w14:paraId="206C689B" w14:textId="77777777" w:rsidR="00477B8F" w:rsidRPr="009118AB" w:rsidRDefault="00477B8F" w:rsidP="00477B8F">
      <w:pPr>
        <w:autoSpaceDE w:val="0"/>
        <w:autoSpaceDN w:val="0"/>
        <w:adjustRightInd w:val="0"/>
        <w:jc w:val="both"/>
      </w:pPr>
    </w:p>
    <w:p w14:paraId="79F5BC60" w14:textId="414B6996"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Paragraph 1 ist in folgenden Fällen nicht anwendbar:</w:t>
      </w:r>
    </w:p>
    <w:p w14:paraId="6348A64F" w14:textId="77777777" w:rsidR="00477B8F" w:rsidRPr="009118AB" w:rsidRDefault="00477B8F" w:rsidP="00477B8F">
      <w:pPr>
        <w:autoSpaceDE w:val="0"/>
        <w:autoSpaceDN w:val="0"/>
        <w:adjustRightInd w:val="0"/>
        <w:jc w:val="both"/>
      </w:pPr>
    </w:p>
    <w:p w14:paraId="75211337" w14:textId="77777777" w:rsidR="00477B8F" w:rsidRPr="009118AB" w:rsidRDefault="00477B8F" w:rsidP="00477B8F">
      <w:pPr>
        <w:autoSpaceDE w:val="0"/>
        <w:autoSpaceDN w:val="0"/>
        <w:adjustRightInd w:val="0"/>
        <w:jc w:val="both"/>
      </w:pPr>
      <w:r w:rsidRPr="009118AB">
        <w:tab/>
        <w:t>1. für das Jahr der Eheschließung oder der Erklärung über das gesetzliche Zusammenwohnen,</w:t>
      </w:r>
    </w:p>
    <w:p w14:paraId="10EB221D" w14:textId="77777777" w:rsidR="00477B8F" w:rsidRPr="009118AB" w:rsidRDefault="00477B8F" w:rsidP="00477B8F">
      <w:pPr>
        <w:autoSpaceDE w:val="0"/>
        <w:autoSpaceDN w:val="0"/>
        <w:adjustRightInd w:val="0"/>
        <w:jc w:val="both"/>
      </w:pPr>
    </w:p>
    <w:p w14:paraId="27887333" w14:textId="77777777" w:rsidR="00477B8F" w:rsidRPr="009118AB" w:rsidRDefault="00477B8F" w:rsidP="00477B8F">
      <w:pPr>
        <w:autoSpaceDE w:val="0"/>
        <w:autoSpaceDN w:val="0"/>
        <w:adjustRightInd w:val="0"/>
        <w:jc w:val="both"/>
      </w:pPr>
      <w:r w:rsidRPr="009118AB">
        <w:tab/>
        <w:t>2. ab dem Jahr nach dem Jahr, in dem eine tatsächliche Trennung erfolgte, sofern diese Trennung im Besteuerungszeitraum nicht aufgehoben wurde,</w:t>
      </w:r>
    </w:p>
    <w:p w14:paraId="38B83C00" w14:textId="77777777" w:rsidR="00477B8F" w:rsidRPr="009118AB" w:rsidRDefault="00477B8F" w:rsidP="00477B8F">
      <w:pPr>
        <w:autoSpaceDE w:val="0"/>
        <w:autoSpaceDN w:val="0"/>
        <w:adjustRightInd w:val="0"/>
        <w:jc w:val="both"/>
      </w:pPr>
    </w:p>
    <w:p w14:paraId="0EE2A8FD" w14:textId="77777777" w:rsidR="00477B8F" w:rsidRPr="009118AB" w:rsidRDefault="00477B8F" w:rsidP="00477B8F">
      <w:pPr>
        <w:autoSpaceDE w:val="0"/>
        <w:autoSpaceDN w:val="0"/>
        <w:adjustRightInd w:val="0"/>
        <w:jc w:val="both"/>
      </w:pPr>
      <w:r w:rsidRPr="009118AB">
        <w:tab/>
        <w:t>3. für das Jahr der Auflösung der Ehe oder der Trennung von Tisch und Bett oder der Beendigung des gesetzlichen Zusammenwohnens,</w:t>
      </w:r>
    </w:p>
    <w:p w14:paraId="2879B559" w14:textId="77777777" w:rsidR="00477B8F" w:rsidRPr="009118AB" w:rsidRDefault="00477B8F" w:rsidP="00477B8F">
      <w:pPr>
        <w:autoSpaceDE w:val="0"/>
        <w:autoSpaceDN w:val="0"/>
        <w:adjustRightInd w:val="0"/>
        <w:jc w:val="both"/>
      </w:pPr>
    </w:p>
    <w:p w14:paraId="602EDD17" w14:textId="77777777" w:rsidR="00477B8F" w:rsidRPr="009118AB" w:rsidRDefault="00477B8F" w:rsidP="00477B8F">
      <w:pPr>
        <w:autoSpaceDE w:val="0"/>
        <w:autoSpaceDN w:val="0"/>
        <w:adjustRightInd w:val="0"/>
        <w:jc w:val="both"/>
      </w:pPr>
      <w:r w:rsidRPr="009118AB">
        <w:tab/>
        <w:t>4. wenn ein Ehepartner Berufseinkünfte über 6.700 EUR bezieht, die aufgrund eines Abkommens steuerfrei sind und nicht für die Berechnung der Steuer auf seine anderen Einkünfte berücksichtigt werden.</w:t>
      </w:r>
    </w:p>
    <w:p w14:paraId="00E49952" w14:textId="77777777" w:rsidR="00477B8F" w:rsidRPr="009118AB" w:rsidRDefault="00477B8F" w:rsidP="00477B8F">
      <w:pPr>
        <w:autoSpaceDE w:val="0"/>
        <w:autoSpaceDN w:val="0"/>
        <w:adjustRightInd w:val="0"/>
        <w:jc w:val="both"/>
      </w:pPr>
    </w:p>
    <w:p w14:paraId="5CDA89B9" w14:textId="77777777" w:rsidR="00477B8F" w:rsidRPr="009118AB" w:rsidRDefault="00477B8F" w:rsidP="00477B8F">
      <w:pPr>
        <w:autoSpaceDE w:val="0"/>
        <w:autoSpaceDN w:val="0"/>
        <w:adjustRightInd w:val="0"/>
        <w:jc w:val="both"/>
      </w:pPr>
      <w:r w:rsidRPr="009118AB">
        <w:tab/>
        <w:t>Paragraph 1 bleibt jedoch anwendbar für das Jahr, in dem gesetzlich Zusammenwohnende heiraten, außer wenn die Erklärung über das gesetzliche Zusammenwohnen im selben Jahr abgegeben wurde.</w:t>
      </w:r>
    </w:p>
    <w:p w14:paraId="46E25B1F" w14:textId="77777777" w:rsidR="00477B8F" w:rsidRPr="009118AB" w:rsidRDefault="00477B8F" w:rsidP="00477B8F">
      <w:pPr>
        <w:autoSpaceDE w:val="0"/>
        <w:autoSpaceDN w:val="0"/>
        <w:adjustRightInd w:val="0"/>
        <w:jc w:val="both"/>
      </w:pPr>
    </w:p>
    <w:p w14:paraId="74CE7C31" w14:textId="008286D5" w:rsidR="00477B8F" w:rsidRPr="009118AB" w:rsidRDefault="00477B8F" w:rsidP="00477B8F">
      <w:pPr>
        <w:autoSpaceDE w:val="0"/>
        <w:autoSpaceDN w:val="0"/>
        <w:adjustRightInd w:val="0"/>
        <w:jc w:val="both"/>
      </w:pPr>
      <w:r w:rsidRPr="009118AB">
        <w:tab/>
      </w:r>
      <w:r w:rsidR="00704C98" w:rsidRPr="009118AB">
        <w:t>[...]</w:t>
      </w:r>
      <w:r w:rsidRPr="009118AB">
        <w:t>]</w:t>
      </w:r>
    </w:p>
    <w:p w14:paraId="307F4C07" w14:textId="77777777" w:rsidR="00477B8F" w:rsidRPr="009118AB" w:rsidRDefault="00477B8F" w:rsidP="00477B8F">
      <w:pPr>
        <w:autoSpaceDE w:val="0"/>
        <w:autoSpaceDN w:val="0"/>
        <w:adjustRightInd w:val="0"/>
        <w:jc w:val="both"/>
      </w:pPr>
    </w:p>
    <w:p w14:paraId="1E94757F" w14:textId="7C9D497F" w:rsidR="00477B8F" w:rsidRPr="009118AB" w:rsidRDefault="00477B8F" w:rsidP="00477B8F">
      <w:pPr>
        <w:autoSpaceDE w:val="0"/>
        <w:autoSpaceDN w:val="0"/>
        <w:adjustRightInd w:val="0"/>
        <w:jc w:val="both"/>
      </w:pPr>
      <w:r w:rsidRPr="009118AB">
        <w:tab/>
      </w:r>
      <w:r w:rsidR="00D67EB8" w:rsidRPr="009118AB">
        <w:t>§ </w:t>
      </w:r>
      <w:r w:rsidRPr="009118AB">
        <w:t>3</w:t>
      </w:r>
      <w:r w:rsidR="00D67EB8" w:rsidRPr="009118AB">
        <w:t> - </w:t>
      </w:r>
      <w:r w:rsidRPr="009118AB">
        <w:t xml:space="preserve">Für das Jahr der Auflösung der Ehe oder des gesetzlichen Zusammenwohnens aufgrund eines Todesfalls kann der hinterbliebene Ehepartner [...] für eine gemäß den Bestimmungen von </w:t>
      </w:r>
      <w:r w:rsidR="00D67EB8" w:rsidRPr="009118AB">
        <w:t>§ </w:t>
      </w:r>
      <w:r w:rsidRPr="009118AB">
        <w:t>1 festgelegte Veranlagung optieren. In diesem Fall wird die Veranlagung auf den Namen des hinterbliebenen Ehepartners und des verstorbenen Ehepartners, der durch den Nachlass vertreten wird, festgelegt.</w:t>
      </w:r>
    </w:p>
    <w:p w14:paraId="406C5185" w14:textId="77777777" w:rsidR="00477B8F" w:rsidRPr="009118AB" w:rsidRDefault="00477B8F" w:rsidP="00477B8F">
      <w:pPr>
        <w:autoSpaceDE w:val="0"/>
        <w:autoSpaceDN w:val="0"/>
        <w:adjustRightInd w:val="0"/>
        <w:jc w:val="both"/>
      </w:pPr>
    </w:p>
    <w:p w14:paraId="168020A1" w14:textId="77777777" w:rsidR="0085032A" w:rsidRPr="009118AB" w:rsidRDefault="00477B8F" w:rsidP="007C1743">
      <w:pPr>
        <w:autoSpaceDE w:val="0"/>
        <w:autoSpaceDN w:val="0"/>
        <w:adjustRightInd w:val="0"/>
        <w:jc w:val="both"/>
      </w:pPr>
      <w:r w:rsidRPr="009118AB">
        <w:tab/>
        <w:t>Sind beide Ehepartner verstorben, kann die in Absatz 1 erwähnte Wahl von den Erben oder von den Gesamtvermächtnisnehmern oder -beschenkten getroffen werden. In diesem Fall wird die Veranlagung auf den Namen der beiden verstorbenen Ehepartner festgelegt, die durch den Nachlass vertreten werden.</w:t>
      </w:r>
    </w:p>
    <w:p w14:paraId="4C7074A3" w14:textId="77777777" w:rsidR="0085032A" w:rsidRPr="009118AB" w:rsidRDefault="0085032A" w:rsidP="007C1743">
      <w:pPr>
        <w:autoSpaceDE w:val="0"/>
        <w:autoSpaceDN w:val="0"/>
        <w:adjustRightInd w:val="0"/>
        <w:jc w:val="both"/>
      </w:pPr>
    </w:p>
    <w:p w14:paraId="11377B3E" w14:textId="23E89903" w:rsidR="00477B8F" w:rsidRPr="009118AB" w:rsidRDefault="00477B8F" w:rsidP="007C1743">
      <w:pPr>
        <w:autoSpaceDE w:val="0"/>
        <w:autoSpaceDN w:val="0"/>
        <w:adjustRightInd w:val="0"/>
        <w:jc w:val="both"/>
      </w:pPr>
      <w:r w:rsidRPr="009118AB">
        <w:tab/>
      </w:r>
      <w:r w:rsidR="00D67EB8" w:rsidRPr="009118AB">
        <w:t>§ </w:t>
      </w:r>
      <w:r w:rsidRPr="009118AB">
        <w:t>4</w:t>
      </w:r>
      <w:r w:rsidR="00D67EB8" w:rsidRPr="009118AB">
        <w:t> - </w:t>
      </w:r>
      <w:r w:rsidRPr="009118AB">
        <w:t>Einkünfte von Kindern werden mit denen ihrer Eltern zusammengelegt, solange die Eltern das gesetzliche Nutzungsrecht an den Einkünften ihrer Kinder haben.]</w:t>
      </w:r>
    </w:p>
    <w:p w14:paraId="4D07C25E" w14:textId="3DB86EEF" w:rsidR="00704C98" w:rsidRPr="009118AB" w:rsidRDefault="00704C98" w:rsidP="007C1743">
      <w:pPr>
        <w:autoSpaceDE w:val="0"/>
        <w:autoSpaceDN w:val="0"/>
        <w:adjustRightInd w:val="0"/>
        <w:jc w:val="both"/>
      </w:pPr>
    </w:p>
    <w:p w14:paraId="0C023357" w14:textId="77777777" w:rsidR="00704C98" w:rsidRPr="009118AB" w:rsidRDefault="00704C98">
      <w:r w:rsidRPr="009118AB">
        <w:br w:type="page"/>
      </w:r>
    </w:p>
    <w:p w14:paraId="6784980B" w14:textId="745918E3" w:rsidR="00704C98" w:rsidRPr="009118AB" w:rsidRDefault="00704C98" w:rsidP="007C1743">
      <w:pPr>
        <w:autoSpaceDE w:val="0"/>
        <w:autoSpaceDN w:val="0"/>
        <w:adjustRightInd w:val="0"/>
        <w:jc w:val="both"/>
      </w:pPr>
      <w:r w:rsidRPr="009118AB">
        <w:lastRenderedPageBreak/>
        <w:tab/>
        <w:t>[</w:t>
      </w:r>
      <w:r w:rsidR="00D67EB8" w:rsidRPr="009118AB">
        <w:rPr>
          <w:rFonts w:eastAsia="Calibri"/>
          <w:lang w:eastAsia="en-US"/>
        </w:rPr>
        <w:t>§ </w:t>
      </w:r>
      <w:r w:rsidRPr="009118AB">
        <w:rPr>
          <w:rFonts w:eastAsia="Calibri"/>
          <w:lang w:eastAsia="en-US"/>
        </w:rPr>
        <w:t>5</w:t>
      </w:r>
      <w:r w:rsidR="00D67EB8" w:rsidRPr="009118AB">
        <w:rPr>
          <w:rFonts w:eastAsia="Calibri"/>
          <w:lang w:eastAsia="en-US"/>
        </w:rPr>
        <w:t> - </w:t>
      </w:r>
      <w:r w:rsidRPr="009118AB">
        <w:rPr>
          <w:rFonts w:eastAsia="Calibri"/>
          <w:lang w:eastAsia="en-US"/>
        </w:rPr>
        <w:t>Wird eine gemeinsame Veranlagung festgelegt, bestimmt der König die Weise, wie der Teil der Steuer in Bezug auf das steuerpflichtige Einkommen jedes Ehepartners festgelegt wird.]</w:t>
      </w:r>
    </w:p>
    <w:p w14:paraId="187FADD3" w14:textId="77777777" w:rsidR="00477B8F" w:rsidRPr="009118AB" w:rsidRDefault="00477B8F" w:rsidP="00477B8F">
      <w:pPr>
        <w:autoSpaceDE w:val="0"/>
        <w:autoSpaceDN w:val="0"/>
        <w:adjustRightInd w:val="0"/>
        <w:jc w:val="both"/>
      </w:pPr>
    </w:p>
    <w:p w14:paraId="753C493F" w14:textId="33EA1E32"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126 ersetzt durch </w:t>
      </w:r>
      <w:r w:rsidR="00D67EB8" w:rsidRPr="009118AB">
        <w:rPr>
          <w:i/>
          <w:iCs/>
        </w:rPr>
        <w:t>Art. </w:t>
      </w:r>
      <w:r w:rsidRPr="009118AB">
        <w:rPr>
          <w:i/>
          <w:iCs/>
        </w:rPr>
        <w:t>19 Buchstabe A des G. vom 10. August 2001 (B.S. vom 20. September 2001)</w:t>
      </w:r>
      <w:r w:rsidR="00D67EB8" w:rsidRPr="009118AB">
        <w:rPr>
          <w:i/>
          <w:iCs/>
        </w:rPr>
        <w:t> - </w:t>
      </w:r>
      <w:r w:rsidRPr="009118AB">
        <w:rPr>
          <w:i/>
          <w:iCs/>
        </w:rPr>
        <w:t>in Kraft ab dem Steuerjahr 2002</w:t>
      </w:r>
      <w:r w:rsidR="003366D9" w:rsidRPr="009118AB">
        <w:rPr>
          <w:i/>
          <w:iCs/>
        </w:rPr>
        <w:t> -;</w:t>
      </w:r>
      <w:r w:rsidRPr="009118AB">
        <w:rPr>
          <w:i/>
          <w:iCs/>
        </w:rPr>
        <w:t xml:space="preserve"> §</w:t>
      </w:r>
      <w:r w:rsidR="00D67EB8" w:rsidRPr="009118AB">
        <w:rPr>
          <w:i/>
          <w:iCs/>
        </w:rPr>
        <w:t>§ </w:t>
      </w:r>
      <w:r w:rsidRPr="009118AB">
        <w:rPr>
          <w:i/>
          <w:iCs/>
        </w:rPr>
        <w:t xml:space="preserve">1 und 2 ersetzt durch </w:t>
      </w:r>
      <w:r w:rsidR="00D67EB8" w:rsidRPr="009118AB">
        <w:rPr>
          <w:i/>
          <w:iCs/>
        </w:rPr>
        <w:t>Art. </w:t>
      </w:r>
      <w:r w:rsidRPr="009118AB">
        <w:rPr>
          <w:i/>
          <w:iCs/>
        </w:rPr>
        <w:t>19 Buchstabe B des G. vom 10. August 2001 (B.S. vom 20. September 2001)</w:t>
      </w:r>
      <w:r w:rsidR="00D67EB8" w:rsidRPr="009118AB">
        <w:rPr>
          <w:i/>
          <w:iCs/>
        </w:rPr>
        <w:t> - </w:t>
      </w:r>
      <w:r w:rsidRPr="009118AB">
        <w:rPr>
          <w:i/>
          <w:iCs/>
        </w:rPr>
        <w:t>in Kraft ab dem Steuerjahr 2005</w:t>
      </w:r>
      <w:r w:rsidR="003366D9" w:rsidRPr="009118AB">
        <w:rPr>
          <w:i/>
          <w:iCs/>
        </w:rPr>
        <w:t> -;</w:t>
      </w:r>
      <w:r w:rsidRPr="009118AB">
        <w:rPr>
          <w:i/>
          <w:iCs/>
        </w:rPr>
        <w:t xml:space="preserve"> </w:t>
      </w:r>
      <w:r w:rsidR="00D67EB8" w:rsidRPr="009118AB">
        <w:rPr>
          <w:i/>
          <w:iCs/>
        </w:rPr>
        <w:t>§ </w:t>
      </w:r>
      <w:r w:rsidR="00704C98" w:rsidRPr="009118AB">
        <w:rPr>
          <w:i/>
          <w:iCs/>
        </w:rPr>
        <w:t xml:space="preserve">2 </w:t>
      </w:r>
      <w:r w:rsidR="00D67EB8" w:rsidRPr="009118AB">
        <w:rPr>
          <w:i/>
          <w:iCs/>
        </w:rPr>
        <w:t>Abs. </w:t>
      </w:r>
      <w:r w:rsidR="00704C98" w:rsidRPr="009118AB">
        <w:rPr>
          <w:i/>
          <w:iCs/>
        </w:rPr>
        <w:t xml:space="preserve">3 aufgehoben durch </w:t>
      </w:r>
      <w:r w:rsidR="00D67EB8" w:rsidRPr="009118AB">
        <w:rPr>
          <w:i/>
          <w:iCs/>
        </w:rPr>
        <w:t>Art. </w:t>
      </w:r>
      <w:r w:rsidR="00704C98" w:rsidRPr="009118AB">
        <w:rPr>
          <w:i/>
          <w:iCs/>
        </w:rPr>
        <w:t xml:space="preserve">28 </w:t>
      </w:r>
      <w:r w:rsidR="00D67EB8" w:rsidRPr="009118AB">
        <w:rPr>
          <w:i/>
          <w:iCs/>
        </w:rPr>
        <w:t>Nr. </w:t>
      </w:r>
      <w:r w:rsidR="00704C98" w:rsidRPr="009118AB">
        <w:rPr>
          <w:i/>
          <w:iCs/>
        </w:rPr>
        <w:t>1 des G. vom 13. April 2019 (II) (B.S. vom 30. April 2019)</w:t>
      </w:r>
      <w:r w:rsidR="00D67EB8" w:rsidRPr="009118AB">
        <w:rPr>
          <w:i/>
          <w:iCs/>
        </w:rPr>
        <w:t> - </w:t>
      </w:r>
      <w:r w:rsidR="00704C98" w:rsidRPr="009118AB">
        <w:rPr>
          <w:i/>
          <w:iCs/>
        </w:rPr>
        <w:t>in Kraft am 1. Januar 2020</w:t>
      </w:r>
      <w:r w:rsidR="003366D9" w:rsidRPr="009118AB">
        <w:rPr>
          <w:i/>
          <w:iCs/>
        </w:rPr>
        <w:t> -;</w:t>
      </w:r>
      <w:r w:rsidR="00704C98" w:rsidRPr="009118AB">
        <w:rPr>
          <w:i/>
          <w:iCs/>
        </w:rPr>
        <w:t xml:space="preserve"> </w:t>
      </w:r>
      <w:r w:rsidR="00D67EB8" w:rsidRPr="009118AB">
        <w:rPr>
          <w:i/>
          <w:iCs/>
        </w:rPr>
        <w:t>§ </w:t>
      </w:r>
      <w:r w:rsidRPr="009118AB">
        <w:rPr>
          <w:i/>
          <w:iCs/>
        </w:rPr>
        <w:t xml:space="preserve">3 </w:t>
      </w:r>
      <w:r w:rsidR="00D67EB8" w:rsidRPr="009118AB">
        <w:rPr>
          <w:i/>
          <w:iCs/>
        </w:rPr>
        <w:t>Abs. </w:t>
      </w:r>
      <w:r w:rsidRPr="009118AB">
        <w:rPr>
          <w:i/>
          <w:iCs/>
        </w:rPr>
        <w:t xml:space="preserve">1 abgeändert durch </w:t>
      </w:r>
      <w:r w:rsidR="00D67EB8" w:rsidRPr="009118AB">
        <w:rPr>
          <w:i/>
          <w:iCs/>
        </w:rPr>
        <w:t>Art. </w:t>
      </w:r>
      <w:r w:rsidRPr="009118AB">
        <w:rPr>
          <w:i/>
          <w:iCs/>
        </w:rPr>
        <w:t>19 Buchstabe C des G. vom 10. August 2001 (B.S. vom 20. September 2001)</w:t>
      </w:r>
      <w:r w:rsidR="00D67EB8" w:rsidRPr="009118AB">
        <w:rPr>
          <w:i/>
          <w:iCs/>
        </w:rPr>
        <w:t> - </w:t>
      </w:r>
      <w:r w:rsidRPr="009118AB">
        <w:rPr>
          <w:i/>
          <w:iCs/>
        </w:rPr>
        <w:t>in Kraft ab dem Steuerjahr 2005</w:t>
      </w:r>
      <w:r w:rsidR="003366D9" w:rsidRPr="009118AB">
        <w:rPr>
          <w:i/>
          <w:iCs/>
        </w:rPr>
        <w:t> -;</w:t>
      </w:r>
      <w:r w:rsidR="00704C98" w:rsidRPr="009118AB">
        <w:rPr>
          <w:i/>
          <w:iCs/>
        </w:rPr>
        <w:t xml:space="preserve"> </w:t>
      </w:r>
      <w:r w:rsidR="00D67EB8" w:rsidRPr="009118AB">
        <w:rPr>
          <w:i/>
          <w:iCs/>
        </w:rPr>
        <w:t>§ </w:t>
      </w:r>
      <w:r w:rsidR="00704C98" w:rsidRPr="009118AB">
        <w:rPr>
          <w:i/>
          <w:iCs/>
        </w:rPr>
        <w:t xml:space="preserve">5 eingefügt durch </w:t>
      </w:r>
      <w:r w:rsidR="00D67EB8" w:rsidRPr="009118AB">
        <w:rPr>
          <w:i/>
          <w:iCs/>
        </w:rPr>
        <w:t>Art. </w:t>
      </w:r>
      <w:r w:rsidR="00704C98" w:rsidRPr="009118AB">
        <w:rPr>
          <w:i/>
          <w:iCs/>
        </w:rPr>
        <w:t xml:space="preserve">28 </w:t>
      </w:r>
      <w:r w:rsidR="00D67EB8" w:rsidRPr="009118AB">
        <w:rPr>
          <w:i/>
          <w:iCs/>
        </w:rPr>
        <w:t>Nr. </w:t>
      </w:r>
      <w:r w:rsidR="00704C98" w:rsidRPr="009118AB">
        <w:rPr>
          <w:i/>
          <w:iCs/>
        </w:rPr>
        <w:t>2 des G. vom 13. April 2019 (II) (B.S. vom 30. April 2019)</w:t>
      </w:r>
      <w:r w:rsidR="00D67EB8" w:rsidRPr="009118AB">
        <w:rPr>
          <w:i/>
          <w:iCs/>
        </w:rPr>
        <w:t> - </w:t>
      </w:r>
      <w:r w:rsidR="00704C98" w:rsidRPr="009118AB">
        <w:rPr>
          <w:i/>
          <w:iCs/>
        </w:rPr>
        <w:t>in Kraft am 1. Januar 2020</w:t>
      </w:r>
      <w:r w:rsidR="00FD68E8" w:rsidRPr="009118AB">
        <w:rPr>
          <w:i/>
          <w:iCs/>
        </w:rPr>
        <w:t> -]</w:t>
      </w:r>
    </w:p>
    <w:p w14:paraId="24D2EEAC" w14:textId="77777777" w:rsidR="00477B8F" w:rsidRPr="009118AB" w:rsidRDefault="00477B8F" w:rsidP="00477B8F">
      <w:pPr>
        <w:autoSpaceDE w:val="0"/>
        <w:autoSpaceDN w:val="0"/>
        <w:adjustRightInd w:val="0"/>
        <w:jc w:val="both"/>
      </w:pPr>
    </w:p>
    <w:p w14:paraId="4B1B0ED5" w14:textId="77777777" w:rsidR="00477B8F" w:rsidRPr="009118AB" w:rsidRDefault="00477B8F" w:rsidP="00477B8F">
      <w:pPr>
        <w:autoSpaceDE w:val="0"/>
        <w:autoSpaceDN w:val="0"/>
        <w:adjustRightInd w:val="0"/>
        <w:jc w:val="both"/>
      </w:pPr>
    </w:p>
    <w:p w14:paraId="6814CCC1" w14:textId="59EFBE3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127</w:t>
      </w:r>
      <w:r w:rsidR="00D67EB8" w:rsidRPr="009118AB">
        <w:t> - </w:t>
      </w:r>
      <w:r w:rsidRPr="009118AB">
        <w:t>[Wird eine gemeinsame Veranlagung festgelegt, wird bei der Festlegung der Gesamtheit der Nettoeinkünfte jedes Steuerpflichtigen Folgendes berücksichtigt:</w:t>
      </w:r>
    </w:p>
    <w:p w14:paraId="00FFFDFB" w14:textId="77777777" w:rsidR="00477B8F" w:rsidRPr="009118AB" w:rsidRDefault="00477B8F" w:rsidP="00477B8F">
      <w:pPr>
        <w:autoSpaceDE w:val="0"/>
        <w:autoSpaceDN w:val="0"/>
        <w:adjustRightInd w:val="0"/>
        <w:jc w:val="both"/>
      </w:pPr>
    </w:p>
    <w:p w14:paraId="77BF2EF1" w14:textId="77777777" w:rsidR="00477B8F" w:rsidRPr="009118AB" w:rsidRDefault="00477B8F" w:rsidP="00477B8F">
      <w:pPr>
        <w:autoSpaceDE w:val="0"/>
        <w:autoSpaceDN w:val="0"/>
        <w:adjustRightInd w:val="0"/>
        <w:jc w:val="both"/>
      </w:pPr>
      <w:r w:rsidRPr="009118AB">
        <w:tab/>
        <w:t>1. der Anteil seiner Berufseinkünfte, wie er nach Anwendung der Artikel 86 bis 89 festgelegt ist,</w:t>
      </w:r>
    </w:p>
    <w:p w14:paraId="7C78CC8F" w14:textId="77777777" w:rsidR="00477B8F" w:rsidRPr="009118AB" w:rsidRDefault="00477B8F" w:rsidP="00477B8F">
      <w:pPr>
        <w:autoSpaceDE w:val="0"/>
        <w:autoSpaceDN w:val="0"/>
        <w:adjustRightInd w:val="0"/>
        <w:jc w:val="both"/>
      </w:pPr>
    </w:p>
    <w:p w14:paraId="414C7CD1" w14:textId="32C76331" w:rsidR="00477B8F" w:rsidRPr="009118AB" w:rsidRDefault="00477B8F" w:rsidP="00477B8F">
      <w:pPr>
        <w:autoSpaceDE w:val="0"/>
        <w:autoSpaceDN w:val="0"/>
        <w:adjustRightInd w:val="0"/>
        <w:jc w:val="both"/>
      </w:pPr>
      <w:r w:rsidRPr="009118AB">
        <w:tab/>
        <w:t xml:space="preserve">2. </w:t>
      </w:r>
      <w:r w:rsidR="00A2765C" w:rsidRPr="009118AB">
        <w:t>[</w:t>
      </w:r>
      <w:r w:rsidRPr="009118AB">
        <w:t xml:space="preserve">in </w:t>
      </w:r>
      <w:r w:rsidR="001D632C" w:rsidRPr="009118AB">
        <w:t xml:space="preserve">[Artikel 90 Absatz 1 </w:t>
      </w:r>
      <w:r w:rsidR="00D67EB8" w:rsidRPr="009118AB">
        <w:t>Nr. </w:t>
      </w:r>
      <w:r w:rsidR="001D632C" w:rsidRPr="009118AB">
        <w:t>1 bis 4 und 12]</w:t>
      </w:r>
      <w:r w:rsidR="00A2765C" w:rsidRPr="009118AB">
        <w:t>]</w:t>
      </w:r>
      <w:r w:rsidRPr="009118AB">
        <w:t xml:space="preserve"> erwähnte Einkünfte, die er erzielt oder ihm zuerkannt werden,</w:t>
      </w:r>
    </w:p>
    <w:p w14:paraId="2E5D22F0" w14:textId="77777777" w:rsidR="00477B8F" w:rsidRPr="009118AB" w:rsidRDefault="00477B8F" w:rsidP="00477B8F">
      <w:pPr>
        <w:autoSpaceDE w:val="0"/>
        <w:autoSpaceDN w:val="0"/>
        <w:adjustRightInd w:val="0"/>
        <w:jc w:val="both"/>
      </w:pPr>
    </w:p>
    <w:p w14:paraId="46120FD4" w14:textId="5BF2A076" w:rsidR="00477B8F" w:rsidRPr="009118AB" w:rsidRDefault="00477B8F" w:rsidP="00477B8F">
      <w:pPr>
        <w:autoSpaceDE w:val="0"/>
        <w:autoSpaceDN w:val="0"/>
        <w:adjustRightInd w:val="0"/>
        <w:jc w:val="both"/>
      </w:pPr>
      <w:r w:rsidRPr="009118AB">
        <w:tab/>
        <w:t xml:space="preserve">3. nicht in </w:t>
      </w:r>
      <w:r w:rsidR="00D67EB8" w:rsidRPr="009118AB">
        <w:t>Nr. </w:t>
      </w:r>
      <w:r w:rsidRPr="009118AB">
        <w:t>1 und 2 erwähnte Einkünfte, die aufgrund des Vermögensrechts Eigeneinkünfte sind,</w:t>
      </w:r>
    </w:p>
    <w:p w14:paraId="3DF60C29" w14:textId="77777777" w:rsidR="00477B8F" w:rsidRPr="009118AB" w:rsidRDefault="00477B8F" w:rsidP="00477B8F">
      <w:pPr>
        <w:autoSpaceDE w:val="0"/>
        <w:autoSpaceDN w:val="0"/>
        <w:adjustRightInd w:val="0"/>
        <w:jc w:val="both"/>
      </w:pPr>
    </w:p>
    <w:p w14:paraId="233D5A10" w14:textId="77777777" w:rsidR="00477B8F" w:rsidRPr="009118AB" w:rsidRDefault="00477B8F" w:rsidP="00477B8F">
      <w:pPr>
        <w:autoSpaceDE w:val="0"/>
        <w:autoSpaceDN w:val="0"/>
        <w:adjustRightInd w:val="0"/>
        <w:jc w:val="both"/>
      </w:pPr>
      <w:r w:rsidRPr="009118AB">
        <w:tab/>
        <w:t>4. 50 Prozent der Gesamtheit der anderen Einkünfte der beiden Steuerpflichtigen.]</w:t>
      </w:r>
    </w:p>
    <w:p w14:paraId="03B4D123" w14:textId="77777777" w:rsidR="00477B8F" w:rsidRPr="009118AB" w:rsidRDefault="00477B8F" w:rsidP="00477B8F">
      <w:pPr>
        <w:autoSpaceDE w:val="0"/>
        <w:autoSpaceDN w:val="0"/>
        <w:adjustRightInd w:val="0"/>
        <w:jc w:val="both"/>
      </w:pPr>
    </w:p>
    <w:p w14:paraId="4AC7DD78" w14:textId="73C61A8A" w:rsidR="00477B8F" w:rsidRPr="009118AB" w:rsidRDefault="00477B8F" w:rsidP="00477B8F">
      <w:pPr>
        <w:autoSpaceDE w:val="0"/>
        <w:autoSpaceDN w:val="0"/>
        <w:adjustRightInd w:val="0"/>
        <w:jc w:val="both"/>
        <w:rPr>
          <w:spacing w:val="-2"/>
        </w:rPr>
      </w:pPr>
      <w:r w:rsidRPr="009118AB">
        <w:rPr>
          <w:i/>
          <w:iCs/>
          <w:spacing w:val="-2"/>
        </w:rPr>
        <w:t>[</w:t>
      </w:r>
      <w:r w:rsidR="00D67EB8" w:rsidRPr="009118AB">
        <w:rPr>
          <w:i/>
          <w:iCs/>
          <w:spacing w:val="-2"/>
        </w:rPr>
        <w:t>Art. </w:t>
      </w:r>
      <w:r w:rsidRPr="009118AB">
        <w:rPr>
          <w:i/>
          <w:iCs/>
          <w:spacing w:val="-2"/>
        </w:rPr>
        <w:t xml:space="preserve">127 ersetzt durch </w:t>
      </w:r>
      <w:r w:rsidR="00D67EB8" w:rsidRPr="009118AB">
        <w:rPr>
          <w:i/>
          <w:iCs/>
          <w:spacing w:val="-2"/>
        </w:rPr>
        <w:t>Art. </w:t>
      </w:r>
      <w:r w:rsidRPr="009118AB">
        <w:rPr>
          <w:i/>
          <w:iCs/>
          <w:spacing w:val="-2"/>
        </w:rPr>
        <w:t>20 des G. vom 10. August 2001</w:t>
      </w:r>
      <w:r w:rsidRPr="009118AB">
        <w:rPr>
          <w:spacing w:val="-2"/>
        </w:rPr>
        <w:t xml:space="preserve"> </w:t>
      </w:r>
      <w:r w:rsidRPr="009118AB">
        <w:rPr>
          <w:i/>
          <w:iCs/>
          <w:spacing w:val="-2"/>
        </w:rPr>
        <w:t>(B.S. vom 20. September 2001)</w:t>
      </w:r>
      <w:r w:rsidR="00D67EB8" w:rsidRPr="009118AB">
        <w:rPr>
          <w:i/>
          <w:iCs/>
          <w:spacing w:val="-2"/>
        </w:rPr>
        <w:t> - </w:t>
      </w:r>
      <w:r w:rsidRPr="009118AB">
        <w:rPr>
          <w:i/>
          <w:iCs/>
          <w:spacing w:val="-2"/>
        </w:rPr>
        <w:t>in Kraft ab dem Steuerjahr 2005</w:t>
      </w:r>
      <w:r w:rsidR="003366D9" w:rsidRPr="009118AB">
        <w:rPr>
          <w:i/>
          <w:iCs/>
          <w:spacing w:val="-2"/>
        </w:rPr>
        <w:t> -;</w:t>
      </w:r>
      <w:r w:rsidR="00A2765C" w:rsidRPr="009118AB">
        <w:rPr>
          <w:i/>
          <w:iCs/>
          <w:spacing w:val="-2"/>
        </w:rPr>
        <w:t xml:space="preserve"> einziger Absatz </w:t>
      </w:r>
      <w:r w:rsidR="00D67EB8" w:rsidRPr="009118AB">
        <w:rPr>
          <w:i/>
          <w:iCs/>
          <w:spacing w:val="-2"/>
        </w:rPr>
        <w:t>Nr. </w:t>
      </w:r>
      <w:r w:rsidR="00A2765C" w:rsidRPr="009118AB">
        <w:rPr>
          <w:i/>
          <w:iCs/>
          <w:spacing w:val="-2"/>
        </w:rPr>
        <w:t xml:space="preserve">2 abgeändert durch </w:t>
      </w:r>
      <w:r w:rsidR="00D67EB8" w:rsidRPr="009118AB">
        <w:rPr>
          <w:i/>
          <w:iCs/>
          <w:spacing w:val="-2"/>
        </w:rPr>
        <w:t>Art. </w:t>
      </w:r>
      <w:r w:rsidR="00A2765C" w:rsidRPr="009118AB">
        <w:rPr>
          <w:i/>
          <w:iCs/>
          <w:spacing w:val="-2"/>
        </w:rPr>
        <w:t xml:space="preserve">16 des </w:t>
      </w:r>
      <w:r w:rsidR="00DC1F9F" w:rsidRPr="009118AB">
        <w:rPr>
          <w:i/>
          <w:iCs/>
          <w:spacing w:val="-2"/>
        </w:rPr>
        <w:t>G. vom 22. Dezember 2009 (I)</w:t>
      </w:r>
      <w:r w:rsidR="00A2765C" w:rsidRPr="009118AB">
        <w:rPr>
          <w:i/>
          <w:iCs/>
          <w:spacing w:val="-2"/>
        </w:rPr>
        <w:t xml:space="preserve"> (B.S. vom 31. Dezember 2009)</w:t>
      </w:r>
      <w:r w:rsidR="00D67EB8" w:rsidRPr="009118AB">
        <w:rPr>
          <w:i/>
          <w:iCs/>
          <w:spacing w:val="-2"/>
        </w:rPr>
        <w:t> - </w:t>
      </w:r>
      <w:r w:rsidR="00A2765C" w:rsidRPr="009118AB">
        <w:rPr>
          <w:i/>
          <w:iCs/>
          <w:spacing w:val="-2"/>
        </w:rPr>
        <w:t>wirksam ab dem Steuerjahr 2009</w:t>
      </w:r>
      <w:r w:rsidR="00D67EB8" w:rsidRPr="009118AB">
        <w:rPr>
          <w:i/>
          <w:iCs/>
          <w:spacing w:val="-2"/>
        </w:rPr>
        <w:t> - </w:t>
      </w:r>
      <w:r w:rsidR="001D632C" w:rsidRPr="009118AB">
        <w:rPr>
          <w:i/>
          <w:iCs/>
          <w:spacing w:val="-2"/>
        </w:rPr>
        <w:t xml:space="preserve">und </w:t>
      </w:r>
      <w:r w:rsidR="00D67EB8" w:rsidRPr="009118AB">
        <w:rPr>
          <w:i/>
          <w:iCs/>
          <w:spacing w:val="-2"/>
        </w:rPr>
        <w:t>Art. </w:t>
      </w:r>
      <w:r w:rsidR="001D632C" w:rsidRPr="009118AB">
        <w:rPr>
          <w:i/>
          <w:iCs/>
          <w:spacing w:val="-2"/>
        </w:rPr>
        <w:t>63</w:t>
      </w:r>
      <w:r w:rsidR="001D632C" w:rsidRPr="009118AB">
        <w:rPr>
          <w:i/>
        </w:rPr>
        <w:t xml:space="preserve"> des G. vom 26. Dezember 2015 (II) (B.S. vom 30. Dezember 2015)</w:t>
      </w:r>
      <w:r w:rsidR="00D67EB8" w:rsidRPr="009118AB">
        <w:t> - </w:t>
      </w:r>
      <w:r w:rsidR="001D632C"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r w:rsidRPr="009118AB">
        <w:rPr>
          <w:i/>
          <w:iCs/>
          <w:spacing w:val="-2"/>
        </w:rPr>
        <w:t xml:space="preserve"> </w:t>
      </w:r>
    </w:p>
    <w:p w14:paraId="70880F72" w14:textId="77777777" w:rsidR="00477B8F" w:rsidRPr="009118AB" w:rsidRDefault="00477B8F" w:rsidP="00477B8F">
      <w:pPr>
        <w:autoSpaceDE w:val="0"/>
        <w:autoSpaceDN w:val="0"/>
        <w:adjustRightInd w:val="0"/>
        <w:jc w:val="both"/>
      </w:pPr>
    </w:p>
    <w:p w14:paraId="2EC573DD" w14:textId="77777777" w:rsidR="00477B8F" w:rsidRPr="009118AB" w:rsidRDefault="00477B8F" w:rsidP="00477B8F">
      <w:pPr>
        <w:autoSpaceDE w:val="0"/>
        <w:autoSpaceDN w:val="0"/>
        <w:adjustRightInd w:val="0"/>
        <w:jc w:val="both"/>
      </w:pPr>
    </w:p>
    <w:p w14:paraId="67FAAB0B" w14:textId="5288C53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128</w:t>
      </w:r>
      <w:r w:rsidR="00D67EB8" w:rsidRPr="009118AB">
        <w:t> - </w:t>
      </w:r>
      <w:r w:rsidRPr="009118AB">
        <w:t>[...]</w:t>
      </w:r>
    </w:p>
    <w:p w14:paraId="1680A2F6" w14:textId="77777777" w:rsidR="00477B8F" w:rsidRPr="009118AB" w:rsidRDefault="00477B8F" w:rsidP="00477B8F">
      <w:pPr>
        <w:autoSpaceDE w:val="0"/>
        <w:autoSpaceDN w:val="0"/>
        <w:adjustRightInd w:val="0"/>
        <w:jc w:val="both"/>
      </w:pPr>
    </w:p>
    <w:p w14:paraId="5FF8624D" w14:textId="0467AF19"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128 aufgehoben durch </w:t>
      </w:r>
      <w:r w:rsidR="00D67EB8" w:rsidRPr="009118AB">
        <w:rPr>
          <w:i/>
          <w:iCs/>
        </w:rPr>
        <w:t>Art. </w:t>
      </w:r>
      <w:r w:rsidRPr="009118AB">
        <w:rPr>
          <w:i/>
          <w:iCs/>
        </w:rPr>
        <w:t>21 des G. vom 10. August 2001 (B.S. vom 20. September 2001)</w:t>
      </w:r>
      <w:r w:rsidR="00D67EB8" w:rsidRPr="009118AB">
        <w:rPr>
          <w:i/>
          <w:iCs/>
        </w:rPr>
        <w:t> - </w:t>
      </w:r>
      <w:r w:rsidRPr="009118AB">
        <w:rPr>
          <w:i/>
          <w:iCs/>
        </w:rPr>
        <w:t>in Kraft ab dem Steuerjahr 2005</w:t>
      </w:r>
      <w:r w:rsidR="00FD68E8" w:rsidRPr="009118AB">
        <w:rPr>
          <w:i/>
          <w:iCs/>
        </w:rPr>
        <w:t> -]</w:t>
      </w:r>
    </w:p>
    <w:p w14:paraId="56E000E2" w14:textId="77777777" w:rsidR="00477B8F" w:rsidRPr="009118AB" w:rsidRDefault="00477B8F" w:rsidP="00477B8F">
      <w:pPr>
        <w:autoSpaceDE w:val="0"/>
        <w:autoSpaceDN w:val="0"/>
        <w:adjustRightInd w:val="0"/>
        <w:jc w:val="both"/>
      </w:pPr>
    </w:p>
    <w:p w14:paraId="6A8EC0EE" w14:textId="77777777" w:rsidR="00477B8F" w:rsidRPr="009118AB" w:rsidRDefault="00477B8F" w:rsidP="00477B8F">
      <w:pPr>
        <w:autoSpaceDE w:val="0"/>
        <w:autoSpaceDN w:val="0"/>
        <w:adjustRightInd w:val="0"/>
        <w:jc w:val="both"/>
      </w:pPr>
    </w:p>
    <w:p w14:paraId="018C5AB5" w14:textId="20076525"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129</w:t>
      </w:r>
      <w:r w:rsidR="00D67EB8" w:rsidRPr="009118AB">
        <w:t> - </w:t>
      </w:r>
      <w:r w:rsidRPr="009118AB">
        <w:t xml:space="preserve">Reichen die Einkünfte eines Ehepartners nicht aus, damit die gemäß den Artikeln 23 </w:t>
      </w:r>
      <w:r w:rsidR="00D67EB8" w:rsidRPr="009118AB">
        <w:t>§ </w:t>
      </w:r>
      <w:r w:rsidRPr="009118AB">
        <w:t xml:space="preserve">2 </w:t>
      </w:r>
      <w:r w:rsidR="00D67EB8" w:rsidRPr="009118AB">
        <w:t>Nr. </w:t>
      </w:r>
      <w:r w:rsidRPr="009118AB">
        <w:t>2 und 3 und 103 abzugsfähigen Verluste davon abgezogen werden, wird der Restbetrag auf die Einkünfte des Ehepartners angerechnet unter Berücksichtigung der in vorerwähnten Artikeln vorgesehenen Grenzen.</w:t>
      </w:r>
    </w:p>
    <w:p w14:paraId="008088FB" w14:textId="77777777" w:rsidR="00477B8F" w:rsidRPr="009118AB" w:rsidRDefault="00477B8F" w:rsidP="00477B8F">
      <w:pPr>
        <w:autoSpaceDE w:val="0"/>
        <w:autoSpaceDN w:val="0"/>
        <w:adjustRightInd w:val="0"/>
        <w:jc w:val="both"/>
      </w:pPr>
    </w:p>
    <w:p w14:paraId="5E13B3A4" w14:textId="5297F043" w:rsidR="005643BC" w:rsidRPr="009118AB" w:rsidRDefault="00477B8F" w:rsidP="005643BC">
      <w:pPr>
        <w:autoSpaceDE w:val="0"/>
        <w:autoSpaceDN w:val="0"/>
        <w:adjustRightInd w:val="0"/>
        <w:jc w:val="both"/>
      </w:pPr>
      <w:r w:rsidRPr="009118AB">
        <w:tab/>
        <w:t>Der König legt die Weise fest, wie die Anrechnung erfolgt.</w:t>
      </w:r>
    </w:p>
    <w:p w14:paraId="7B07BD12" w14:textId="1F075DA7" w:rsidR="005643BC" w:rsidRPr="009118AB" w:rsidRDefault="005643BC" w:rsidP="00687992">
      <w:pPr>
        <w:autoSpaceDE w:val="0"/>
        <w:autoSpaceDN w:val="0"/>
        <w:adjustRightInd w:val="0"/>
        <w:jc w:val="center"/>
      </w:pPr>
      <w:r w:rsidRPr="009118AB">
        <w:lastRenderedPageBreak/>
        <w:t>[</w:t>
      </w:r>
      <w:r w:rsidRPr="009118AB">
        <w:rPr>
          <w:i/>
        </w:rPr>
        <w:t>Abschnitt 8</w:t>
      </w:r>
      <w:r w:rsidR="00D67EB8" w:rsidRPr="009118AB">
        <w:t> - </w:t>
      </w:r>
      <w:r w:rsidRPr="009118AB">
        <w:t>Begrenzung der Vorteile im Verhältnis zur Dauer des Besteuerungszeitraums]</w:t>
      </w:r>
    </w:p>
    <w:p w14:paraId="72ED572B" w14:textId="77777777" w:rsidR="005643BC" w:rsidRPr="009118AB" w:rsidRDefault="005643BC" w:rsidP="005643BC">
      <w:pPr>
        <w:autoSpaceDE w:val="0"/>
        <w:autoSpaceDN w:val="0"/>
        <w:adjustRightInd w:val="0"/>
        <w:jc w:val="center"/>
      </w:pPr>
    </w:p>
    <w:p w14:paraId="163601BD" w14:textId="74862667" w:rsidR="005643BC" w:rsidRPr="009118AB" w:rsidRDefault="005643BC" w:rsidP="005643BC">
      <w:pPr>
        <w:autoSpaceDE w:val="0"/>
        <w:autoSpaceDN w:val="0"/>
        <w:adjustRightInd w:val="0"/>
        <w:jc w:val="both"/>
        <w:rPr>
          <w:iCs/>
        </w:rPr>
      </w:pPr>
      <w:r w:rsidRPr="009118AB">
        <w:rPr>
          <w:i/>
        </w:rPr>
        <w:t xml:space="preserve">[Unterteilung Abschnitt 8 eingefügt durch </w:t>
      </w:r>
      <w:r w:rsidR="00D67EB8" w:rsidRPr="009118AB">
        <w:rPr>
          <w:i/>
        </w:rPr>
        <w:t>Art. </w:t>
      </w:r>
      <w:r w:rsidRPr="009118AB">
        <w:rPr>
          <w:i/>
        </w:rPr>
        <w:t>117</w:t>
      </w:r>
      <w:r w:rsidRPr="009118AB">
        <w:rPr>
          <w:i/>
          <w:iCs/>
        </w:rPr>
        <w:t xml:space="preserve"> des G. vom 25. Dezember 2017 (IV) (B.S. vom 29. Dezember 2017)</w:t>
      </w:r>
      <w:r w:rsidR="00D67EB8" w:rsidRPr="009118AB">
        <w:rPr>
          <w:i/>
          <w:iCs/>
        </w:rPr>
        <w:t> - </w:t>
      </w:r>
      <w:r w:rsidRPr="009118AB">
        <w:rPr>
          <w:i/>
          <w:iCs/>
        </w:rPr>
        <w:t>anwendbar ab dem Steuerjahr 2018</w:t>
      </w:r>
      <w:r w:rsidR="00FD68E8" w:rsidRPr="009118AB">
        <w:rPr>
          <w:i/>
          <w:iCs/>
        </w:rPr>
        <w:t> -]</w:t>
      </w:r>
    </w:p>
    <w:p w14:paraId="30ED5F8A" w14:textId="77777777" w:rsidR="005643BC" w:rsidRPr="009118AB" w:rsidRDefault="005643BC" w:rsidP="005643BC">
      <w:pPr>
        <w:autoSpaceDE w:val="0"/>
        <w:autoSpaceDN w:val="0"/>
        <w:adjustRightInd w:val="0"/>
        <w:jc w:val="both"/>
        <w:rPr>
          <w:iCs/>
        </w:rPr>
      </w:pPr>
    </w:p>
    <w:p w14:paraId="1D770D99" w14:textId="77777777" w:rsidR="005643BC" w:rsidRPr="009118AB" w:rsidRDefault="005643BC" w:rsidP="005643BC">
      <w:pPr>
        <w:autoSpaceDE w:val="0"/>
        <w:autoSpaceDN w:val="0"/>
        <w:adjustRightInd w:val="0"/>
        <w:jc w:val="both"/>
        <w:rPr>
          <w:iCs/>
        </w:rPr>
      </w:pPr>
    </w:p>
    <w:p w14:paraId="787C7B0F" w14:textId="1B2008A5" w:rsidR="00051CEE" w:rsidRPr="0092745D" w:rsidRDefault="005643BC" w:rsidP="0092745D">
      <w:pPr>
        <w:jc w:val="both"/>
        <w:rPr>
          <w:iCs/>
        </w:rPr>
      </w:pPr>
      <w:r w:rsidRPr="009118AB">
        <w:rPr>
          <w:iCs/>
        </w:rPr>
        <w:tab/>
        <w:t>[</w:t>
      </w:r>
      <w:r w:rsidR="00D67EB8" w:rsidRPr="009118AB">
        <w:rPr>
          <w:b/>
        </w:rPr>
        <w:t>Art. </w:t>
      </w:r>
      <w:r w:rsidRPr="009118AB">
        <w:rPr>
          <w:b/>
        </w:rPr>
        <w:t>129/1</w:t>
      </w:r>
      <w:r w:rsidR="00D67EB8" w:rsidRPr="009118AB">
        <w:t> - </w:t>
      </w:r>
      <w:r w:rsidR="00051CEE" w:rsidRPr="0092745D">
        <w:rPr>
          <w:iCs/>
        </w:rPr>
        <w:t>Wenn der Besteuerungszeitraum aus einem anderen Grund als dem Tod keinem vollständigen Kalenderjahr entspricht, werden die [in den Artikeln 21 Absatz 1 Nr. 5, 10 und 14], [37 Absatz 2 zweiter Gedankenstrich], [...] [38 § 1 Absatz 1 Nr. 9 Buchstabe </w:t>
      </w:r>
      <w:r w:rsidR="00051CEE" w:rsidRPr="0092745D">
        <w:rPr>
          <w:i/>
          <w:iCs/>
        </w:rPr>
        <w:t>c)</w:t>
      </w:r>
      <w:r w:rsidR="00051CEE" w:rsidRPr="0092745D">
        <w:rPr>
          <w:iCs/>
        </w:rPr>
        <w:t>, Nr. 14 Buchstabe </w:t>
      </w:r>
      <w:r w:rsidR="00051CEE" w:rsidRPr="0092745D">
        <w:rPr>
          <w:i/>
          <w:iCs/>
        </w:rPr>
        <w:t>a)</w:t>
      </w:r>
      <w:r w:rsidR="00467B60" w:rsidRPr="0092745D">
        <w:rPr>
          <w:iCs/>
        </w:rPr>
        <w:t xml:space="preserve">, Nr. 17 </w:t>
      </w:r>
      <w:r w:rsidR="00051CEE" w:rsidRPr="0092745D">
        <w:rPr>
          <w:iCs/>
        </w:rPr>
        <w:t>und Nr. </w:t>
      </w:r>
      <w:r w:rsidR="00467B60" w:rsidRPr="0092745D">
        <w:rPr>
          <w:iCs/>
        </w:rPr>
        <w:t>29</w:t>
      </w:r>
      <w:r w:rsidR="00051CEE" w:rsidRPr="0092745D">
        <w:rPr>
          <w:iCs/>
        </w:rPr>
        <w:t>], 51, 86 Absatz 1, 87 Absatz 2, 88 Absatz 1 und 126 § 2 Absatz 1 Nr. 4 erwähnten Beträge nach Anwendung von Artikel 178 ebenso wie die in Artikel 38 § 1 Absatz 1 Nr. 30 erwähnte Anzahl Stunden im Verhältnis zur Dauer des Besteuerungszeitraums, ausgedrückt in Mona</w:t>
      </w:r>
      <w:r w:rsidR="00051CEE" w:rsidRPr="0092745D">
        <w:rPr>
          <w:iCs/>
        </w:rPr>
        <w:softHyphen/>
        <w:t>ten, gegenüber zwölf Monaten proportional verringert.</w:t>
      </w:r>
    </w:p>
    <w:p w14:paraId="5A89DB9E" w14:textId="77777777" w:rsidR="00051CEE" w:rsidRPr="0092745D" w:rsidRDefault="00051CEE" w:rsidP="0092745D">
      <w:pPr>
        <w:autoSpaceDE w:val="0"/>
        <w:autoSpaceDN w:val="0"/>
        <w:adjustRightInd w:val="0"/>
        <w:ind w:firstLine="709"/>
        <w:jc w:val="both"/>
        <w:rPr>
          <w:iCs/>
        </w:rPr>
      </w:pPr>
    </w:p>
    <w:p w14:paraId="75BB2F43" w14:textId="3338633A" w:rsidR="00051CEE" w:rsidRPr="0092745D" w:rsidRDefault="00051CEE" w:rsidP="0092745D">
      <w:pPr>
        <w:autoSpaceDE w:val="0"/>
        <w:autoSpaceDN w:val="0"/>
        <w:adjustRightInd w:val="0"/>
        <w:ind w:firstLine="709"/>
        <w:jc w:val="both"/>
        <w:rPr>
          <w:iCs/>
        </w:rPr>
      </w:pPr>
      <w:r w:rsidRPr="0092745D">
        <w:rPr>
          <w:iCs/>
        </w:rPr>
        <w:t>Bei der Bestimmung der in Monaten ausgedrückten Dauer des Besteuerungszeitraums zählt jeder Kalendermonat, dessen fünfzehnter Tag Teil des Besteuerungszeitraums ist, als vollständiger Monat.</w:t>
      </w:r>
    </w:p>
    <w:p w14:paraId="291108A4" w14:textId="77777777" w:rsidR="00051CEE" w:rsidRPr="0092745D" w:rsidRDefault="00051CEE" w:rsidP="0092745D">
      <w:pPr>
        <w:autoSpaceDE w:val="0"/>
        <w:autoSpaceDN w:val="0"/>
        <w:adjustRightInd w:val="0"/>
        <w:ind w:firstLine="709"/>
        <w:jc w:val="both"/>
        <w:rPr>
          <w:iCs/>
        </w:rPr>
      </w:pPr>
    </w:p>
    <w:p w14:paraId="0D853341" w14:textId="15437A1F" w:rsidR="00051CEE" w:rsidRPr="0092745D" w:rsidRDefault="00051CEE" w:rsidP="0092745D">
      <w:pPr>
        <w:autoSpaceDE w:val="0"/>
        <w:autoSpaceDN w:val="0"/>
        <w:adjustRightInd w:val="0"/>
        <w:ind w:firstLine="709"/>
        <w:jc w:val="both"/>
        <w:rPr>
          <w:iCs/>
        </w:rPr>
      </w:pPr>
      <w:r w:rsidRPr="0092745D">
        <w:rPr>
          <w:iCs/>
        </w:rPr>
        <w:t>Die gemäß Absatz 1 verringerten Beträge werden auf das größere oder kleinere Vielfache von 10 EUR abgerundet, je nachdem ob die Ziffer der Einer 5 erreicht oder nicht.</w:t>
      </w:r>
    </w:p>
    <w:p w14:paraId="4A0BF684" w14:textId="77777777" w:rsidR="00051CEE" w:rsidRPr="0092745D" w:rsidRDefault="00051CEE" w:rsidP="0092745D">
      <w:pPr>
        <w:autoSpaceDE w:val="0"/>
        <w:autoSpaceDN w:val="0"/>
        <w:adjustRightInd w:val="0"/>
        <w:ind w:firstLine="709"/>
        <w:jc w:val="both"/>
        <w:rPr>
          <w:iCs/>
        </w:rPr>
      </w:pPr>
    </w:p>
    <w:p w14:paraId="47FCFEBE" w14:textId="58B0A6C4" w:rsidR="00051CEE" w:rsidRPr="0092745D" w:rsidRDefault="00051CEE" w:rsidP="0092745D">
      <w:pPr>
        <w:autoSpaceDE w:val="0"/>
        <w:autoSpaceDN w:val="0"/>
        <w:adjustRightInd w:val="0"/>
        <w:ind w:firstLine="709"/>
        <w:jc w:val="both"/>
        <w:rPr>
          <w:iCs/>
        </w:rPr>
      </w:pPr>
      <w:r w:rsidRPr="0092745D">
        <w:rPr>
          <w:iCs/>
        </w:rPr>
        <w:t>[In Abweichung von Absatz 3 wird der in Artikel 21 Absatz 1 Nr. 14 erwähnte, gemäß Absatz 1 verringerte Betrag auf den höheren oder niedrigeren Euro abgerundet, je nachdem ob die Ziffer der Centime 50 erreicht oder nicht.]</w:t>
      </w:r>
    </w:p>
    <w:p w14:paraId="4FC5A23A" w14:textId="77777777" w:rsidR="00051CEE" w:rsidRPr="0092745D" w:rsidRDefault="00051CEE" w:rsidP="0092745D">
      <w:pPr>
        <w:autoSpaceDE w:val="0"/>
        <w:autoSpaceDN w:val="0"/>
        <w:adjustRightInd w:val="0"/>
        <w:ind w:firstLine="709"/>
        <w:jc w:val="both"/>
        <w:rPr>
          <w:iCs/>
        </w:rPr>
      </w:pPr>
    </w:p>
    <w:p w14:paraId="6BED77CA" w14:textId="0BFA8D31" w:rsidR="00051CEE" w:rsidRPr="0092745D" w:rsidRDefault="00051CEE" w:rsidP="0092745D">
      <w:pPr>
        <w:autoSpaceDE w:val="0"/>
        <w:autoSpaceDN w:val="0"/>
        <w:adjustRightInd w:val="0"/>
        <w:ind w:firstLine="709"/>
        <w:jc w:val="both"/>
        <w:rPr>
          <w:iCs/>
        </w:rPr>
      </w:pPr>
      <w:r w:rsidRPr="0092745D">
        <w:rPr>
          <w:iCs/>
        </w:rPr>
        <w:t>Die gemäß Absatz 1 verringerte Anzahl Stunden wird auf die nächsthöhere Einheit aufgerundet.</w:t>
      </w:r>
    </w:p>
    <w:p w14:paraId="10196FBB" w14:textId="77777777" w:rsidR="00051CEE" w:rsidRPr="0092745D" w:rsidRDefault="00051CEE" w:rsidP="0092745D">
      <w:pPr>
        <w:autoSpaceDE w:val="0"/>
        <w:autoSpaceDN w:val="0"/>
        <w:adjustRightInd w:val="0"/>
        <w:ind w:firstLine="709"/>
        <w:jc w:val="both"/>
        <w:rPr>
          <w:iCs/>
        </w:rPr>
      </w:pPr>
    </w:p>
    <w:p w14:paraId="3AE0096A" w14:textId="26073811" w:rsidR="00051CEE" w:rsidRPr="0092745D" w:rsidRDefault="00051CEE" w:rsidP="0092745D">
      <w:pPr>
        <w:autoSpaceDE w:val="0"/>
        <w:autoSpaceDN w:val="0"/>
        <w:adjustRightInd w:val="0"/>
        <w:ind w:firstLine="709"/>
        <w:jc w:val="both"/>
        <w:rPr>
          <w:iCs/>
        </w:rPr>
      </w:pPr>
      <w:r w:rsidRPr="0092745D">
        <w:rPr>
          <w:iCs/>
        </w:rPr>
        <w:t xml:space="preserve">Vorliegender Artikel ist ebenfalls auf Beträge anwendbar, die in den Bestimmungen zur Ausführung der Artikel 22 § 3 und 51 Absatz 4 erwähnt sind.] </w:t>
      </w:r>
    </w:p>
    <w:p w14:paraId="3FD5EEFD" w14:textId="77777777" w:rsidR="00051CEE" w:rsidRPr="0092745D" w:rsidRDefault="00051CEE" w:rsidP="0092745D">
      <w:pPr>
        <w:autoSpaceDE w:val="0"/>
        <w:autoSpaceDN w:val="0"/>
        <w:adjustRightInd w:val="0"/>
        <w:ind w:firstLine="709"/>
        <w:jc w:val="both"/>
        <w:rPr>
          <w:iCs/>
        </w:rPr>
      </w:pPr>
    </w:p>
    <w:p w14:paraId="0D3E44B1" w14:textId="1358B5ED" w:rsidR="00051CEE" w:rsidRPr="0092745D" w:rsidRDefault="00051CEE" w:rsidP="0092745D">
      <w:pPr>
        <w:autoSpaceDE w:val="0"/>
        <w:autoSpaceDN w:val="0"/>
        <w:adjustRightInd w:val="0"/>
        <w:jc w:val="both"/>
      </w:pPr>
      <w:r w:rsidRPr="0092745D">
        <w:rPr>
          <w:i/>
          <w:iCs/>
        </w:rPr>
        <w:t xml:space="preserve">[Art. 129/1 eingefügt durch Art. 118 des G. vom 25. Dezember 2017 (IV) (B.S. vom 29. Dezember 2017) - anwendbar ab dem Steuerjahr 2018 -; Abs. 1 abgeändert durch Art. 119 </w:t>
      </w:r>
      <w:r w:rsidRPr="003441F1">
        <w:rPr>
          <w:rFonts w:ascii="Times New Roman Italique" w:hAnsi="Times New Roman Italique"/>
          <w:i/>
          <w:iCs/>
          <w:spacing w:val="-2"/>
        </w:rPr>
        <w:t>Nr. 1 des G. vom 25. Dezember 2017 (IV) (B.S. vom 29. Dezember 2017) - anwendbar auf die ab dem 1. Januar 2018 bezogenen Einkünfte -, Art. 49 des G. vom 18. Juli 2018 (B.S. vom 26. Juli 2018) - anwendbar auf die ab dem 1. Januar 2018 erzielten oder bezogenen Einkünfte -,</w:t>
      </w:r>
      <w:r w:rsidRPr="0092745D">
        <w:rPr>
          <w:i/>
          <w:iCs/>
        </w:rPr>
        <w:t xml:space="preserve"> selbst bedingt für nichtig erklärt durch Entscheid Nr. 53/2020 des Verfassungsgerichtshofes vom 23. April 2020 (B.S. vom 20. Mai 2020), und durch Art. 63 des G. vom 24. Dezember 2020 (B.S. vom 31. Dezember 2020) - in Kraft am 1. Januar 2021 und anwendbar auf die ab dem 1. Januar 2021 erzielten oder bezogenen Einkünfte -, Art. 102</w:t>
      </w:r>
      <w:r w:rsidRPr="0092745D">
        <w:rPr>
          <w:bCs/>
          <w:i/>
          <w:iCs/>
        </w:rPr>
        <w:t xml:space="preserve"> des G. vom 26. Dezember 2022</w:t>
      </w:r>
      <w:r w:rsidRPr="0092745D">
        <w:rPr>
          <w:i/>
          <w:iCs/>
        </w:rPr>
        <w:t> (I)</w:t>
      </w:r>
      <w:r w:rsidRPr="0092745D">
        <w:rPr>
          <w:bCs/>
          <w:i/>
          <w:iCs/>
        </w:rPr>
        <w:t xml:space="preserve"> (B.S. vom 30. Dezember 2022) - in Kraft am 1. Januar 2023 und anwendbar auf die ab dem 1. Januar 2023 gezahlten oder zuerkannten Einkünfte -</w:t>
      </w:r>
      <w:r w:rsidR="00467B60" w:rsidRPr="0092745D">
        <w:rPr>
          <w:bCs/>
          <w:i/>
          <w:iCs/>
        </w:rPr>
        <w:t>,</w:t>
      </w:r>
      <w:r w:rsidRPr="0092745D">
        <w:rPr>
          <w:bCs/>
          <w:i/>
          <w:iCs/>
        </w:rPr>
        <w:t xml:space="preserve"> Art. 14 des G. vom 22. Dezember 2023 (I) (B.S. vom 29. Dezember 2023) - in Kraft am 31. Dezember 2023 und anwendbar ab dem Besteuerungszeitraum, der ab dem 1. Januar 2024 beginnt -</w:t>
      </w:r>
      <w:r w:rsidR="00467B60" w:rsidRPr="0092745D">
        <w:rPr>
          <w:bCs/>
          <w:i/>
          <w:iCs/>
        </w:rPr>
        <w:t xml:space="preserve"> und Art. 8 des G. vom 22. Dezember 2023 (II) (B.S. vom 29. Dezember 2023) - anwendbar ab dem Steuerjahr 2025 -</w:t>
      </w:r>
      <w:r w:rsidRPr="0092745D">
        <w:rPr>
          <w:i/>
          <w:iCs/>
        </w:rPr>
        <w:t>; neuer Absatz 4 eingefügt durch Art. 119 Nr. 2 des G. vom 25. Dezember 2017 (IV) (B.S. vom 29. Dezember 2017) - anwendbar auf die ab dem 1. Januar 2018 bezogenen Einkünfte </w:t>
      </w:r>
      <w:r w:rsidR="0092745D" w:rsidRPr="0092745D">
        <w:rPr>
          <w:i/>
          <w:iCs/>
        </w:rPr>
        <w:t>-</w:t>
      </w:r>
      <w:r w:rsidRPr="0092745D">
        <w:rPr>
          <w:i/>
          <w:iCs/>
        </w:rPr>
        <w:t>]</w:t>
      </w:r>
    </w:p>
    <w:p w14:paraId="0259F3AA" w14:textId="28DDF98B" w:rsidR="00051CEE" w:rsidRPr="0092745D" w:rsidRDefault="00051CEE" w:rsidP="0092745D">
      <w:pPr>
        <w:autoSpaceDE w:val="0"/>
        <w:autoSpaceDN w:val="0"/>
        <w:adjustRightInd w:val="0"/>
        <w:ind w:firstLine="709"/>
        <w:jc w:val="both"/>
        <w:rPr>
          <w:iCs/>
        </w:rPr>
      </w:pPr>
    </w:p>
    <w:p w14:paraId="75A08708" w14:textId="4C029F00" w:rsidR="00477B8F" w:rsidRPr="009118AB" w:rsidRDefault="005643BC" w:rsidP="005643BC">
      <w:pPr>
        <w:autoSpaceDE w:val="0"/>
        <w:autoSpaceDN w:val="0"/>
        <w:adjustRightInd w:val="0"/>
        <w:jc w:val="center"/>
      </w:pPr>
      <w:r w:rsidRPr="009118AB">
        <w:rPr>
          <w:b/>
          <w:bCs/>
        </w:rPr>
        <w:br w:type="page"/>
      </w:r>
      <w:r w:rsidR="00121C17" w:rsidRPr="009118AB">
        <w:rPr>
          <w:b/>
          <w:bCs/>
        </w:rPr>
        <w:lastRenderedPageBreak/>
        <w:t>KAPITEL</w:t>
      </w:r>
      <w:r w:rsidR="00477B8F" w:rsidRPr="009118AB">
        <w:rPr>
          <w:b/>
          <w:bCs/>
        </w:rPr>
        <w:t> </w:t>
      </w:r>
      <w:r w:rsidR="007828ED" w:rsidRPr="009118AB">
        <w:rPr>
          <w:b/>
          <w:bCs/>
        </w:rPr>
        <w:t>3</w:t>
      </w:r>
      <w:r w:rsidR="00D67EB8" w:rsidRPr="009118AB">
        <w:t> - </w:t>
      </w:r>
      <w:r w:rsidR="00477B8F" w:rsidRPr="009118AB">
        <w:rPr>
          <w:i/>
          <w:iCs/>
        </w:rPr>
        <w:t>Steuerberechnung</w:t>
      </w:r>
    </w:p>
    <w:p w14:paraId="2A692229" w14:textId="77777777" w:rsidR="00477B8F" w:rsidRPr="009118AB" w:rsidRDefault="00477B8F" w:rsidP="00477B8F">
      <w:pPr>
        <w:autoSpaceDE w:val="0"/>
        <w:autoSpaceDN w:val="0"/>
        <w:adjustRightInd w:val="0"/>
        <w:jc w:val="center"/>
      </w:pPr>
    </w:p>
    <w:p w14:paraId="1E505A3C" w14:textId="77777777" w:rsidR="00477B8F" w:rsidRPr="009118AB" w:rsidRDefault="00477B8F" w:rsidP="00477B8F">
      <w:pPr>
        <w:autoSpaceDE w:val="0"/>
        <w:autoSpaceDN w:val="0"/>
        <w:adjustRightInd w:val="0"/>
        <w:jc w:val="center"/>
      </w:pPr>
    </w:p>
    <w:p w14:paraId="0BA27363" w14:textId="16B06812" w:rsidR="00477B8F" w:rsidRPr="009118AB" w:rsidRDefault="00AA609D" w:rsidP="00477B8F">
      <w:pPr>
        <w:autoSpaceDE w:val="0"/>
        <w:autoSpaceDN w:val="0"/>
        <w:adjustRightInd w:val="0"/>
        <w:jc w:val="center"/>
      </w:pPr>
      <w:r w:rsidRPr="009118AB">
        <w:rPr>
          <w:i/>
          <w:iCs/>
        </w:rPr>
        <w:t xml:space="preserve">Abschnitt </w:t>
      </w:r>
      <w:r w:rsidR="00D74862" w:rsidRPr="009118AB">
        <w:rPr>
          <w:i/>
          <w:iCs/>
        </w:rPr>
        <w:t>1</w:t>
      </w:r>
      <w:r w:rsidR="00D67EB8" w:rsidRPr="009118AB">
        <w:t> - </w:t>
      </w:r>
      <w:r w:rsidR="00477B8F" w:rsidRPr="009118AB">
        <w:t>Gewöhnliches Besteuerungssystem</w:t>
      </w:r>
    </w:p>
    <w:p w14:paraId="72314A4B" w14:textId="77777777" w:rsidR="00477B8F" w:rsidRPr="009118AB" w:rsidRDefault="00477B8F" w:rsidP="00477B8F">
      <w:pPr>
        <w:autoSpaceDE w:val="0"/>
        <w:autoSpaceDN w:val="0"/>
        <w:adjustRightInd w:val="0"/>
        <w:jc w:val="center"/>
      </w:pPr>
    </w:p>
    <w:p w14:paraId="67FC1B53" w14:textId="77777777" w:rsidR="00477B8F" w:rsidRPr="009118AB" w:rsidRDefault="00477B8F" w:rsidP="00477B8F">
      <w:pPr>
        <w:autoSpaceDE w:val="0"/>
        <w:autoSpaceDN w:val="0"/>
        <w:adjustRightInd w:val="0"/>
        <w:jc w:val="center"/>
      </w:pPr>
    </w:p>
    <w:p w14:paraId="4DB13790" w14:textId="6188794A" w:rsidR="00477B8F" w:rsidRPr="009118AB" w:rsidRDefault="00477B8F" w:rsidP="00477B8F">
      <w:pPr>
        <w:autoSpaceDE w:val="0"/>
        <w:autoSpaceDN w:val="0"/>
        <w:adjustRightInd w:val="0"/>
        <w:jc w:val="center"/>
      </w:pPr>
      <w:r w:rsidRPr="009118AB">
        <w:t>Unterabschnitt </w:t>
      </w:r>
      <w:r w:rsidR="00D74862" w:rsidRPr="009118AB">
        <w:t>1</w:t>
      </w:r>
      <w:r w:rsidR="00D67EB8" w:rsidRPr="009118AB">
        <w:t> - </w:t>
      </w:r>
      <w:r w:rsidRPr="009118AB">
        <w:t>Steuersätze</w:t>
      </w:r>
    </w:p>
    <w:p w14:paraId="22AD652F" w14:textId="77777777" w:rsidR="00477B8F" w:rsidRPr="009118AB" w:rsidRDefault="00477B8F" w:rsidP="00477B8F">
      <w:pPr>
        <w:autoSpaceDE w:val="0"/>
        <w:autoSpaceDN w:val="0"/>
        <w:adjustRightInd w:val="0"/>
        <w:jc w:val="both"/>
      </w:pPr>
    </w:p>
    <w:p w14:paraId="710F75B1" w14:textId="77777777" w:rsidR="00477B8F" w:rsidRPr="009118AB" w:rsidRDefault="00477B8F" w:rsidP="00477B8F">
      <w:pPr>
        <w:autoSpaceDE w:val="0"/>
        <w:autoSpaceDN w:val="0"/>
        <w:adjustRightInd w:val="0"/>
        <w:jc w:val="both"/>
      </w:pPr>
    </w:p>
    <w:p w14:paraId="7922FB49" w14:textId="2226C022" w:rsidR="00F61473" w:rsidRPr="009118AB" w:rsidRDefault="00477B8F" w:rsidP="00F61473">
      <w:pPr>
        <w:autoSpaceDE w:val="0"/>
        <w:autoSpaceDN w:val="0"/>
        <w:adjustRightInd w:val="0"/>
        <w:jc w:val="both"/>
      </w:pPr>
      <w:r w:rsidRPr="009118AB">
        <w:tab/>
      </w:r>
      <w:r w:rsidR="00D67EB8" w:rsidRPr="009118AB">
        <w:rPr>
          <w:b/>
          <w:bCs/>
        </w:rPr>
        <w:t>Art. </w:t>
      </w:r>
      <w:r w:rsidR="00F61473" w:rsidRPr="009118AB">
        <w:rPr>
          <w:b/>
          <w:bCs/>
        </w:rPr>
        <w:t>130</w:t>
      </w:r>
      <w:r w:rsidR="00D67EB8" w:rsidRPr="009118AB">
        <w:t> - </w:t>
      </w:r>
      <w:r w:rsidR="00F61473" w:rsidRPr="009118AB">
        <w:t>[[Die Basissteuer wird festgelegt auf:</w:t>
      </w:r>
    </w:p>
    <w:p w14:paraId="4E0F269D" w14:textId="77777777" w:rsidR="00F61473" w:rsidRPr="009118AB" w:rsidRDefault="00F61473" w:rsidP="00F61473">
      <w:pPr>
        <w:autoSpaceDE w:val="0"/>
        <w:autoSpaceDN w:val="0"/>
        <w:adjustRightInd w:val="0"/>
        <w:jc w:val="both"/>
      </w:pPr>
    </w:p>
    <w:p w14:paraId="3649420F" w14:textId="77777777" w:rsidR="00F61473" w:rsidRPr="009118AB" w:rsidRDefault="00F61473" w:rsidP="0010484B">
      <w:pPr>
        <w:autoSpaceDE w:val="0"/>
        <w:autoSpaceDN w:val="0"/>
        <w:adjustRightInd w:val="0"/>
        <w:ind w:firstLine="709"/>
        <w:jc w:val="both"/>
      </w:pPr>
      <w:r w:rsidRPr="009118AB">
        <w:t>25 Prozent für den Einkommensteilbetrag von 0,01 EUR bis 8.120,00 EUR,</w:t>
      </w:r>
    </w:p>
    <w:p w14:paraId="3377F7F1" w14:textId="77777777" w:rsidR="00F61473" w:rsidRPr="009118AB" w:rsidRDefault="00F61473" w:rsidP="00F61473">
      <w:pPr>
        <w:autoSpaceDE w:val="0"/>
        <w:autoSpaceDN w:val="0"/>
        <w:adjustRightInd w:val="0"/>
        <w:jc w:val="both"/>
      </w:pPr>
    </w:p>
    <w:p w14:paraId="1C6F9EC3" w14:textId="77777777" w:rsidR="00F61473" w:rsidRPr="009118AB" w:rsidRDefault="00F61473" w:rsidP="0010484B">
      <w:pPr>
        <w:autoSpaceDE w:val="0"/>
        <w:autoSpaceDN w:val="0"/>
        <w:adjustRightInd w:val="0"/>
        <w:ind w:firstLine="709"/>
        <w:jc w:val="both"/>
      </w:pPr>
      <w:r w:rsidRPr="009118AB">
        <w:t>40 Prozent für den Teilbetrag von 8.120,00 EUR bis 14.330,00 EUR,</w:t>
      </w:r>
    </w:p>
    <w:p w14:paraId="012A59E3" w14:textId="77777777" w:rsidR="00F61473" w:rsidRPr="009118AB" w:rsidRDefault="00F61473" w:rsidP="00F61473">
      <w:pPr>
        <w:autoSpaceDE w:val="0"/>
        <w:autoSpaceDN w:val="0"/>
        <w:adjustRightInd w:val="0"/>
        <w:jc w:val="both"/>
      </w:pPr>
    </w:p>
    <w:p w14:paraId="50C71209" w14:textId="77777777" w:rsidR="00F61473" w:rsidRPr="009118AB" w:rsidRDefault="00F61473" w:rsidP="0010484B">
      <w:pPr>
        <w:autoSpaceDE w:val="0"/>
        <w:autoSpaceDN w:val="0"/>
        <w:adjustRightInd w:val="0"/>
        <w:ind w:firstLine="709"/>
        <w:jc w:val="both"/>
      </w:pPr>
      <w:r w:rsidRPr="009118AB">
        <w:t>45 Prozent für den Teilbetrag von 14.330,00 EUR bis 24.800,00 EUR,</w:t>
      </w:r>
    </w:p>
    <w:p w14:paraId="000BC26F" w14:textId="77777777" w:rsidR="00F61473" w:rsidRPr="009118AB" w:rsidRDefault="00F61473" w:rsidP="00F61473">
      <w:pPr>
        <w:autoSpaceDE w:val="0"/>
        <w:autoSpaceDN w:val="0"/>
        <w:adjustRightInd w:val="0"/>
        <w:jc w:val="both"/>
      </w:pPr>
    </w:p>
    <w:p w14:paraId="5E2ECF20" w14:textId="77777777" w:rsidR="00F61473" w:rsidRPr="009118AB" w:rsidRDefault="00F61473" w:rsidP="0010484B">
      <w:pPr>
        <w:autoSpaceDE w:val="0"/>
        <w:autoSpaceDN w:val="0"/>
        <w:adjustRightInd w:val="0"/>
        <w:ind w:firstLine="709"/>
        <w:jc w:val="both"/>
      </w:pPr>
      <w:r w:rsidRPr="009118AB">
        <w:t>50 Prozent für den Teilbetrag über 24.800,00 EUR.]</w:t>
      </w:r>
    </w:p>
    <w:p w14:paraId="44CCDE4F" w14:textId="77777777" w:rsidR="00F61473" w:rsidRPr="009118AB" w:rsidRDefault="00F61473" w:rsidP="00F61473">
      <w:pPr>
        <w:autoSpaceDE w:val="0"/>
        <w:autoSpaceDN w:val="0"/>
        <w:adjustRightInd w:val="0"/>
        <w:jc w:val="both"/>
      </w:pPr>
    </w:p>
    <w:p w14:paraId="02796275" w14:textId="77777777" w:rsidR="00F61473" w:rsidRPr="009118AB" w:rsidRDefault="00F61473" w:rsidP="0010484B">
      <w:pPr>
        <w:autoSpaceDE w:val="0"/>
        <w:autoSpaceDN w:val="0"/>
        <w:adjustRightInd w:val="0"/>
        <w:ind w:firstLine="709"/>
        <w:jc w:val="both"/>
      </w:pPr>
      <w:r w:rsidRPr="009118AB">
        <w:t>Wird eine gemeinsame Veranlagung festgelegt, werden die Steuersätze auf das steuerpflichtige Einkommen jedes Steuerpflichtigen angewandt.]</w:t>
      </w:r>
    </w:p>
    <w:p w14:paraId="05C2C93F" w14:textId="77777777" w:rsidR="00F61473" w:rsidRPr="009118AB" w:rsidRDefault="00F61473" w:rsidP="00F61473">
      <w:pPr>
        <w:autoSpaceDE w:val="0"/>
        <w:autoSpaceDN w:val="0"/>
        <w:adjustRightInd w:val="0"/>
        <w:jc w:val="both"/>
      </w:pPr>
    </w:p>
    <w:p w14:paraId="1CAF25D8" w14:textId="0B77CF6A" w:rsidR="00F61473" w:rsidRPr="009118AB" w:rsidRDefault="00F61473" w:rsidP="00F61473">
      <w:pPr>
        <w:autoSpaceDE w:val="0"/>
        <w:autoSpaceDN w:val="0"/>
        <w:adjustRightInd w:val="0"/>
        <w:jc w:val="both"/>
      </w:pPr>
      <w:r w:rsidRPr="009118AB">
        <w:rPr>
          <w:i/>
          <w:iCs/>
        </w:rPr>
        <w:t>[</w:t>
      </w:r>
      <w:r w:rsidR="00D67EB8" w:rsidRPr="009118AB">
        <w:rPr>
          <w:i/>
          <w:iCs/>
        </w:rPr>
        <w:t>Art. </w:t>
      </w:r>
      <w:r w:rsidRPr="009118AB">
        <w:rPr>
          <w:i/>
          <w:iCs/>
        </w:rPr>
        <w:t xml:space="preserve">130 ersetzt durch </w:t>
      </w:r>
      <w:r w:rsidR="00D67EB8" w:rsidRPr="009118AB">
        <w:rPr>
          <w:i/>
          <w:iCs/>
        </w:rPr>
        <w:t>Art. </w:t>
      </w:r>
      <w:r w:rsidRPr="009118AB">
        <w:rPr>
          <w:i/>
          <w:iCs/>
        </w:rPr>
        <w:t>22 Buchstabe C des G. vom 10. August 2001 (B.S. vom 20. September 200</w:t>
      </w:r>
      <w:r w:rsidR="00D774FF" w:rsidRPr="009118AB">
        <w:rPr>
          <w:i/>
          <w:iCs/>
        </w:rPr>
        <w:t>1)</w:t>
      </w:r>
      <w:r w:rsidR="00D67EB8" w:rsidRPr="009118AB">
        <w:rPr>
          <w:i/>
          <w:iCs/>
        </w:rPr>
        <w:t> - </w:t>
      </w:r>
      <w:r w:rsidR="00D774FF" w:rsidRPr="009118AB">
        <w:rPr>
          <w:i/>
          <w:iCs/>
        </w:rPr>
        <w:t>in Kraft ab dem Steuerjahr </w:t>
      </w:r>
      <w:r w:rsidRPr="009118AB">
        <w:rPr>
          <w:i/>
          <w:iCs/>
        </w:rPr>
        <w:t>2005</w:t>
      </w:r>
      <w:r w:rsidR="003366D9" w:rsidRPr="009118AB">
        <w:rPr>
          <w:i/>
          <w:iCs/>
        </w:rPr>
        <w:t> -;</w:t>
      </w:r>
      <w:r w:rsidRPr="009118AB">
        <w:rPr>
          <w:i/>
          <w:iCs/>
        </w:rPr>
        <w:t xml:space="preserve"> </w:t>
      </w:r>
      <w:r w:rsidR="00D67EB8" w:rsidRPr="009118AB">
        <w:rPr>
          <w:i/>
          <w:iCs/>
        </w:rPr>
        <w:t>Abs. </w:t>
      </w:r>
      <w:r w:rsidRPr="009118AB">
        <w:rPr>
          <w:i/>
          <w:iCs/>
        </w:rPr>
        <w:t xml:space="preserve">1 ersetzt durch </w:t>
      </w:r>
      <w:r w:rsidR="00D67EB8" w:rsidRPr="009118AB">
        <w:rPr>
          <w:i/>
          <w:iCs/>
        </w:rPr>
        <w:t>Art. </w:t>
      </w:r>
      <w:r w:rsidRPr="009118AB">
        <w:rPr>
          <w:i/>
          <w:iCs/>
        </w:rPr>
        <w:t>142 Buch</w:t>
      </w:r>
      <w:r w:rsidR="00D774FF" w:rsidRPr="009118AB">
        <w:rPr>
          <w:i/>
          <w:iCs/>
        </w:rPr>
        <w:t>stabe C des G. vom 26. Dezember 2015 (II) (B.S. vom 30. Dezember </w:t>
      </w:r>
      <w:r w:rsidRPr="009118AB">
        <w:rPr>
          <w:i/>
          <w:iCs/>
        </w:rPr>
        <w:t>2015)</w:t>
      </w:r>
      <w:r w:rsidR="00D67EB8" w:rsidRPr="009118AB">
        <w:rPr>
          <w:i/>
          <w:iCs/>
        </w:rPr>
        <w:t> - </w:t>
      </w:r>
      <w:r w:rsidRPr="009118AB">
        <w:rPr>
          <w:i/>
          <w:iCs/>
        </w:rPr>
        <w:t>in Kraft ab dem Steuerjahr 2020</w:t>
      </w:r>
      <w:r w:rsidR="00FD68E8" w:rsidRPr="009118AB">
        <w:rPr>
          <w:i/>
          <w:iCs/>
        </w:rPr>
        <w:t> -]</w:t>
      </w:r>
    </w:p>
    <w:p w14:paraId="064BA388" w14:textId="77777777" w:rsidR="0010484B" w:rsidRPr="009118AB" w:rsidRDefault="0010484B" w:rsidP="00477B8F">
      <w:pPr>
        <w:autoSpaceDE w:val="0"/>
        <w:autoSpaceDN w:val="0"/>
        <w:adjustRightInd w:val="0"/>
        <w:jc w:val="center"/>
      </w:pPr>
    </w:p>
    <w:p w14:paraId="1ECD5B5B" w14:textId="77777777" w:rsidR="0010484B" w:rsidRPr="009118AB" w:rsidRDefault="0010484B" w:rsidP="00477B8F">
      <w:pPr>
        <w:autoSpaceDE w:val="0"/>
        <w:autoSpaceDN w:val="0"/>
        <w:adjustRightInd w:val="0"/>
        <w:jc w:val="center"/>
      </w:pPr>
    </w:p>
    <w:p w14:paraId="47368411" w14:textId="77777777" w:rsidR="0010484B" w:rsidRPr="009118AB" w:rsidRDefault="0010484B">
      <w:r w:rsidRPr="009118AB">
        <w:br w:type="page"/>
      </w:r>
    </w:p>
    <w:p w14:paraId="117565BF" w14:textId="77E62F0D" w:rsidR="00477B8F" w:rsidRPr="009118AB" w:rsidRDefault="00477B8F" w:rsidP="00477B8F">
      <w:pPr>
        <w:autoSpaceDE w:val="0"/>
        <w:autoSpaceDN w:val="0"/>
        <w:adjustRightInd w:val="0"/>
        <w:jc w:val="center"/>
        <w:rPr>
          <w:sz w:val="20"/>
          <w:szCs w:val="20"/>
        </w:rPr>
      </w:pPr>
      <w:r w:rsidRPr="009118AB">
        <w:lastRenderedPageBreak/>
        <w:t>Unterabschnitt </w:t>
      </w:r>
      <w:r w:rsidR="00D74862" w:rsidRPr="009118AB">
        <w:t>2</w:t>
      </w:r>
      <w:r w:rsidR="00D67EB8" w:rsidRPr="009118AB">
        <w:t> - </w:t>
      </w:r>
      <w:r w:rsidRPr="009118AB">
        <w:t>Steuerfreibetrag</w:t>
      </w:r>
    </w:p>
    <w:p w14:paraId="5FCCF8D9" w14:textId="77777777" w:rsidR="00477B8F" w:rsidRPr="009118AB" w:rsidRDefault="00477B8F" w:rsidP="00477B8F">
      <w:pPr>
        <w:autoSpaceDE w:val="0"/>
        <w:autoSpaceDN w:val="0"/>
        <w:adjustRightInd w:val="0"/>
        <w:jc w:val="both"/>
      </w:pPr>
    </w:p>
    <w:p w14:paraId="557379F8" w14:textId="77777777" w:rsidR="00477B8F" w:rsidRPr="009118AB" w:rsidRDefault="00477B8F" w:rsidP="00477B8F">
      <w:pPr>
        <w:autoSpaceDE w:val="0"/>
        <w:autoSpaceDN w:val="0"/>
        <w:adjustRightInd w:val="0"/>
        <w:jc w:val="both"/>
      </w:pPr>
    </w:p>
    <w:p w14:paraId="4A1AF077" w14:textId="4DF51B77" w:rsidR="00217FCE" w:rsidRPr="009118AB" w:rsidRDefault="00477B8F" w:rsidP="0010484B">
      <w:pPr>
        <w:jc w:val="both"/>
      </w:pPr>
      <w:r w:rsidRPr="009118AB">
        <w:tab/>
      </w:r>
      <w:r w:rsidR="00D67EB8" w:rsidRPr="009118AB">
        <w:rPr>
          <w:b/>
          <w:bCs/>
        </w:rPr>
        <w:t>Art. </w:t>
      </w:r>
      <w:r w:rsidR="0070220B" w:rsidRPr="009118AB">
        <w:rPr>
          <w:b/>
          <w:bCs/>
        </w:rPr>
        <w:t>131</w:t>
      </w:r>
      <w:r w:rsidR="00D67EB8" w:rsidRPr="009118AB">
        <w:rPr>
          <w:b/>
        </w:rPr>
        <w:t> - </w:t>
      </w:r>
      <w:r w:rsidR="00217FCE" w:rsidRPr="009118AB">
        <w:t>[[</w:t>
      </w:r>
      <w:r w:rsidR="00E65812" w:rsidRPr="009118AB">
        <w:t>Für die Steuerberechnung wird ein Grundbetrag von 4.785 EUR von der Steuer befreit.</w:t>
      </w:r>
      <w:r w:rsidR="00217FCE" w:rsidRPr="009118AB">
        <w:t>]</w:t>
      </w:r>
    </w:p>
    <w:p w14:paraId="0687E91D" w14:textId="77777777" w:rsidR="00217FCE" w:rsidRPr="009118AB" w:rsidRDefault="00217FCE" w:rsidP="00217FCE">
      <w:pPr>
        <w:autoSpaceDE w:val="0"/>
        <w:autoSpaceDN w:val="0"/>
        <w:adjustRightInd w:val="0"/>
        <w:jc w:val="both"/>
      </w:pPr>
    </w:p>
    <w:p w14:paraId="2706B5E2" w14:textId="77777777" w:rsidR="00217FCE" w:rsidRPr="009118AB" w:rsidRDefault="00217FCE" w:rsidP="0010484B">
      <w:pPr>
        <w:autoSpaceDE w:val="0"/>
        <w:autoSpaceDN w:val="0"/>
        <w:adjustRightInd w:val="0"/>
        <w:ind w:firstLine="709"/>
        <w:jc w:val="both"/>
      </w:pPr>
      <w:r w:rsidRPr="009118AB">
        <w:t>[...]</w:t>
      </w:r>
    </w:p>
    <w:p w14:paraId="477C695B" w14:textId="77777777" w:rsidR="00217FCE" w:rsidRPr="009118AB" w:rsidRDefault="00217FCE" w:rsidP="00217FCE">
      <w:pPr>
        <w:autoSpaceDE w:val="0"/>
        <w:autoSpaceDN w:val="0"/>
        <w:adjustRightInd w:val="0"/>
        <w:jc w:val="both"/>
      </w:pPr>
    </w:p>
    <w:p w14:paraId="0AE2A220" w14:textId="77777777" w:rsidR="00217FCE" w:rsidRPr="009118AB" w:rsidRDefault="00217FCE" w:rsidP="0010484B">
      <w:pPr>
        <w:autoSpaceDE w:val="0"/>
        <w:autoSpaceDN w:val="0"/>
        <w:adjustRightInd w:val="0"/>
        <w:ind w:firstLine="709"/>
        <w:jc w:val="both"/>
      </w:pPr>
      <w:r w:rsidRPr="009118AB">
        <w:t>Dieser Betrag wird um 870 EUR erhöht, wenn der Steuerpflichtige behindert ist.]</w:t>
      </w:r>
    </w:p>
    <w:p w14:paraId="337265D7" w14:textId="77777777" w:rsidR="00217FCE" w:rsidRPr="009118AB" w:rsidRDefault="00217FCE" w:rsidP="00217FCE">
      <w:pPr>
        <w:autoSpaceDE w:val="0"/>
        <w:autoSpaceDN w:val="0"/>
        <w:adjustRightInd w:val="0"/>
        <w:jc w:val="both"/>
      </w:pPr>
    </w:p>
    <w:p w14:paraId="46B9B622" w14:textId="46C3E680" w:rsidR="00217FCE" w:rsidRPr="009118AB" w:rsidRDefault="00217FCE" w:rsidP="00217FCE">
      <w:pPr>
        <w:autoSpaceDE w:val="0"/>
        <w:autoSpaceDN w:val="0"/>
        <w:adjustRightInd w:val="0"/>
        <w:jc w:val="both"/>
        <w:rPr>
          <w:iCs/>
        </w:rPr>
      </w:pPr>
      <w:r w:rsidRPr="009118AB">
        <w:rPr>
          <w:i/>
          <w:iCs/>
        </w:rPr>
        <w:t>[</w:t>
      </w:r>
      <w:r w:rsidR="00D67EB8" w:rsidRPr="009118AB">
        <w:rPr>
          <w:i/>
          <w:iCs/>
        </w:rPr>
        <w:t>Art. </w:t>
      </w:r>
      <w:r w:rsidRPr="009118AB">
        <w:rPr>
          <w:i/>
          <w:iCs/>
        </w:rPr>
        <w:t xml:space="preserve">131 ersetzt durch </w:t>
      </w:r>
      <w:r w:rsidR="00D67EB8" w:rsidRPr="009118AB">
        <w:rPr>
          <w:i/>
          <w:iCs/>
        </w:rPr>
        <w:t>Art. </w:t>
      </w:r>
      <w:r w:rsidRPr="009118AB">
        <w:rPr>
          <w:i/>
          <w:iCs/>
        </w:rPr>
        <w:t xml:space="preserve">23 Buchstabe B des G. vom 10. August 2001 (B.S. vom </w:t>
      </w:r>
      <w:r w:rsidRPr="009118AB">
        <w:rPr>
          <w:rFonts w:ascii="Times New Roman Italique" w:hAnsi="Times New Roman Italique"/>
          <w:i/>
          <w:iCs/>
          <w:spacing w:val="-2"/>
        </w:rPr>
        <w:t>20. September 2001)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2005</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ersetzt durch </w:t>
      </w:r>
      <w:r w:rsidR="00D67EB8" w:rsidRPr="009118AB">
        <w:rPr>
          <w:rFonts w:ascii="Times New Roman Italique" w:hAnsi="Times New Roman Italique"/>
          <w:i/>
          <w:iCs/>
          <w:spacing w:val="-2"/>
        </w:rPr>
        <w:t>Art. </w:t>
      </w:r>
      <w:r w:rsidR="00E65812" w:rsidRPr="009118AB">
        <w:rPr>
          <w:rFonts w:ascii="Times New Roman Italique" w:hAnsi="Times New Roman Italique"/>
          <w:i/>
          <w:iCs/>
          <w:spacing w:val="-2"/>
        </w:rPr>
        <w:t xml:space="preserve">145 </w:t>
      </w:r>
      <w:r w:rsidR="000212DB" w:rsidRPr="009118AB">
        <w:rPr>
          <w:rFonts w:ascii="Times New Roman Italique" w:hAnsi="Times New Roman Italique"/>
          <w:i/>
          <w:iCs/>
          <w:spacing w:val="-2"/>
        </w:rPr>
        <w:t>des G. vom 26. Dezember 2015 </w:t>
      </w:r>
      <w:r w:rsidR="00E65812" w:rsidRPr="009118AB">
        <w:rPr>
          <w:rFonts w:ascii="Times New Roman Italique" w:hAnsi="Times New Roman Italique"/>
          <w:i/>
          <w:iCs/>
          <w:spacing w:val="-2"/>
        </w:rPr>
        <w:t>(II) (B.S. vom 30.</w:t>
      </w:r>
      <w:r w:rsidR="000212DB" w:rsidRPr="009118AB">
        <w:rPr>
          <w:rFonts w:ascii="Times New Roman Italique" w:hAnsi="Times New Roman Italique"/>
          <w:i/>
          <w:iCs/>
          <w:spacing w:val="-2"/>
        </w:rPr>
        <w:t> Dezember </w:t>
      </w:r>
      <w:r w:rsidR="00E65812" w:rsidRPr="009118AB">
        <w:rPr>
          <w:rFonts w:ascii="Times New Roman Italique" w:hAnsi="Times New Roman Italique"/>
          <w:i/>
          <w:iCs/>
          <w:spacing w:val="-2"/>
        </w:rPr>
        <w:t>2015)</w:t>
      </w:r>
      <w:r w:rsidR="00D67EB8" w:rsidRPr="009118AB">
        <w:rPr>
          <w:rFonts w:ascii="Times New Roman Italique" w:hAnsi="Times New Roman Italique"/>
          <w:i/>
          <w:iCs/>
          <w:spacing w:val="-2"/>
        </w:rPr>
        <w:t> - </w:t>
      </w:r>
      <w:r w:rsidR="00E65812" w:rsidRPr="009118AB">
        <w:rPr>
          <w:rFonts w:ascii="Times New Roman Italique" w:hAnsi="Times New Roman Italique"/>
          <w:i/>
          <w:iCs/>
          <w:spacing w:val="-2"/>
        </w:rPr>
        <w:t>in Kraft ab dem Steuerjahr 2020</w:t>
      </w:r>
      <w:r w:rsidR="003366D9" w:rsidRPr="009118AB">
        <w:rPr>
          <w:rFonts w:ascii="Times New Roman Italique" w:hAnsi="Times New Roman Italique"/>
          <w:i/>
          <w:iCs/>
          <w:spacing w:val="-2"/>
        </w:rPr>
        <w:t> -;</w:t>
      </w:r>
      <w:r w:rsidRPr="009118AB">
        <w:rPr>
          <w:i/>
          <w:iCs/>
        </w:rPr>
        <w:t xml:space="preserve"> </w:t>
      </w:r>
      <w:r w:rsidR="00E65812" w:rsidRPr="009118AB">
        <w:rPr>
          <w:i/>
          <w:iCs/>
        </w:rPr>
        <w:t>früher</w:t>
      </w:r>
      <w:r w:rsidRPr="009118AB">
        <w:rPr>
          <w:i/>
          <w:iCs/>
        </w:rPr>
        <w:t xml:space="preserve">er Absatz 2 eingefügt durch </w:t>
      </w:r>
      <w:r w:rsidR="00D67EB8" w:rsidRPr="009118AB">
        <w:rPr>
          <w:i/>
          <w:iCs/>
        </w:rPr>
        <w:t>Art. </w:t>
      </w:r>
      <w:r w:rsidRPr="009118AB">
        <w:rPr>
          <w:i/>
          <w:iCs/>
        </w:rPr>
        <w:t>23 des G. vom 8. Mai</w:t>
      </w:r>
      <w:r w:rsidR="00B3148A" w:rsidRPr="009118AB">
        <w:rPr>
          <w:i/>
          <w:iCs/>
        </w:rPr>
        <w:t> 2014 (B.S. vom 28. Mai 2014)</w:t>
      </w:r>
      <w:r w:rsidR="00D67EB8" w:rsidRPr="009118AB">
        <w:rPr>
          <w:i/>
          <w:iCs/>
        </w:rPr>
        <w:t> - </w:t>
      </w:r>
      <w:r w:rsidRPr="009118AB">
        <w:rPr>
          <w:i/>
          <w:iCs/>
        </w:rPr>
        <w:t>wirksam auf die in den Artikeln 14537 und 539 des Einkommensteuer</w:t>
      </w:r>
      <w:r w:rsidR="00033449" w:rsidRPr="009118AB">
        <w:rPr>
          <w:i/>
          <w:iCs/>
        </w:rPr>
        <w:softHyphen/>
      </w:r>
      <w:r w:rsidRPr="009118AB">
        <w:rPr>
          <w:i/>
          <w:iCs/>
        </w:rPr>
        <w:t>gesetzbuches 1992 erwähnten Verträge, die spätestens am 31. Dezember 2014 abgeschlossen worden sind</w:t>
      </w:r>
      <w:r w:rsidR="00D67EB8" w:rsidRPr="009118AB">
        <w:rPr>
          <w:i/>
          <w:iCs/>
        </w:rPr>
        <w:t> - </w:t>
      </w:r>
      <w:r w:rsidRPr="009118AB">
        <w:rPr>
          <w:i/>
          <w:iCs/>
        </w:rPr>
        <w:t xml:space="preserve">und aufgehoben durch </w:t>
      </w:r>
      <w:r w:rsidR="00D67EB8" w:rsidRPr="009118AB">
        <w:rPr>
          <w:i/>
          <w:iCs/>
        </w:rPr>
        <w:t>Art. </w:t>
      </w:r>
      <w:r w:rsidRPr="009118AB">
        <w:rPr>
          <w:i/>
          <w:iCs/>
        </w:rPr>
        <w:t xml:space="preserve">144 </w:t>
      </w:r>
      <w:r w:rsidR="00D67EB8" w:rsidRPr="009118AB">
        <w:rPr>
          <w:i/>
          <w:iCs/>
        </w:rPr>
        <w:t>Nr. </w:t>
      </w:r>
      <w:r w:rsidRPr="009118AB">
        <w:rPr>
          <w:i/>
          <w:iCs/>
        </w:rPr>
        <w:t>2 des G. vom 26. Dezember 2015 (II) (B.S. vom 30. Dezember 2015)</w:t>
      </w:r>
      <w:r w:rsidR="00D67EB8" w:rsidRPr="009118AB">
        <w:rPr>
          <w:i/>
        </w:rPr>
        <w:t> - </w:t>
      </w:r>
      <w:r w:rsidRPr="009118AB">
        <w:rPr>
          <w:i/>
        </w:rPr>
        <w:t>in Kraft ab dem Steuerjahr 2019</w:t>
      </w:r>
      <w:r w:rsidR="00FD68E8" w:rsidRPr="009118AB">
        <w:rPr>
          <w:i/>
        </w:rPr>
        <w:t> -]</w:t>
      </w:r>
    </w:p>
    <w:p w14:paraId="5D8D05B3" w14:textId="77777777" w:rsidR="00E65812" w:rsidRPr="009118AB" w:rsidRDefault="00E65812" w:rsidP="00217FCE">
      <w:pPr>
        <w:autoSpaceDE w:val="0"/>
        <w:autoSpaceDN w:val="0"/>
        <w:adjustRightInd w:val="0"/>
        <w:jc w:val="both"/>
      </w:pPr>
    </w:p>
    <w:p w14:paraId="06208B95" w14:textId="77777777" w:rsidR="00E65812" w:rsidRPr="009118AB" w:rsidRDefault="00E65812" w:rsidP="00217FCE">
      <w:pPr>
        <w:autoSpaceDE w:val="0"/>
        <w:autoSpaceDN w:val="0"/>
        <w:adjustRightInd w:val="0"/>
        <w:jc w:val="both"/>
      </w:pPr>
    </w:p>
    <w:p w14:paraId="2F740036" w14:textId="76A935DA" w:rsidR="00D743EC" w:rsidRPr="009118AB" w:rsidRDefault="00477B8F" w:rsidP="00D743EC">
      <w:pPr>
        <w:autoSpaceDE w:val="0"/>
        <w:autoSpaceDN w:val="0"/>
        <w:adjustRightInd w:val="0"/>
        <w:jc w:val="both"/>
        <w:rPr>
          <w:iCs/>
          <w:szCs w:val="32"/>
        </w:rPr>
      </w:pPr>
      <w:bookmarkStart w:id="13" w:name="_Hlk126851831"/>
      <w:r w:rsidRPr="009118AB">
        <w:tab/>
      </w:r>
      <w:r w:rsidR="00D67EB8" w:rsidRPr="009118AB">
        <w:rPr>
          <w:b/>
          <w:bCs/>
        </w:rPr>
        <w:t>Art. </w:t>
      </w:r>
      <w:r w:rsidRPr="009118AB">
        <w:rPr>
          <w:b/>
          <w:bCs/>
        </w:rPr>
        <w:t>132</w:t>
      </w:r>
      <w:r w:rsidR="00D67EB8" w:rsidRPr="009118AB">
        <w:t> - </w:t>
      </w:r>
      <w:r w:rsidR="00D743EC" w:rsidRPr="009118AB">
        <w:rPr>
          <w:iCs/>
          <w:szCs w:val="32"/>
        </w:rPr>
        <w:t>[Der gemäß Artikel 131 festgelegte Grundbetrag wird um folgende Zuschläge für Personen zu Lasten erhöht:]</w:t>
      </w:r>
    </w:p>
    <w:p w14:paraId="1038E279" w14:textId="77777777" w:rsidR="00D743EC" w:rsidRPr="009118AB" w:rsidRDefault="00D743EC" w:rsidP="00D743EC">
      <w:pPr>
        <w:autoSpaceDE w:val="0"/>
        <w:autoSpaceDN w:val="0"/>
        <w:adjustRightInd w:val="0"/>
        <w:jc w:val="both"/>
        <w:rPr>
          <w:iCs/>
          <w:szCs w:val="32"/>
        </w:rPr>
      </w:pPr>
    </w:p>
    <w:p w14:paraId="7155010A" w14:textId="77777777" w:rsidR="00D743EC" w:rsidRPr="009118AB" w:rsidRDefault="00D743EC" w:rsidP="008A28FC">
      <w:pPr>
        <w:autoSpaceDE w:val="0"/>
        <w:autoSpaceDN w:val="0"/>
        <w:adjustRightInd w:val="0"/>
        <w:ind w:firstLine="709"/>
        <w:jc w:val="both"/>
        <w:rPr>
          <w:iCs/>
          <w:szCs w:val="32"/>
        </w:rPr>
      </w:pPr>
      <w:r w:rsidRPr="009118AB">
        <w:rPr>
          <w:iCs/>
          <w:szCs w:val="32"/>
        </w:rPr>
        <w:t>1. für ein Kind: [870 EUR],</w:t>
      </w:r>
    </w:p>
    <w:p w14:paraId="6515C89A" w14:textId="77777777" w:rsidR="00D743EC" w:rsidRPr="009118AB" w:rsidRDefault="00D743EC" w:rsidP="00D743EC">
      <w:pPr>
        <w:autoSpaceDE w:val="0"/>
        <w:autoSpaceDN w:val="0"/>
        <w:adjustRightInd w:val="0"/>
        <w:jc w:val="both"/>
        <w:rPr>
          <w:iCs/>
          <w:szCs w:val="32"/>
        </w:rPr>
      </w:pPr>
    </w:p>
    <w:p w14:paraId="0FBDB269" w14:textId="77777777" w:rsidR="00D743EC" w:rsidRPr="009118AB" w:rsidRDefault="00D743EC" w:rsidP="008A28FC">
      <w:pPr>
        <w:autoSpaceDE w:val="0"/>
        <w:autoSpaceDN w:val="0"/>
        <w:adjustRightInd w:val="0"/>
        <w:ind w:firstLine="709"/>
        <w:jc w:val="both"/>
        <w:rPr>
          <w:iCs/>
          <w:szCs w:val="32"/>
        </w:rPr>
      </w:pPr>
      <w:r w:rsidRPr="009118AB">
        <w:rPr>
          <w:iCs/>
          <w:szCs w:val="32"/>
        </w:rPr>
        <w:t>2. für zwei Kinder: [2.240 EUR],</w:t>
      </w:r>
    </w:p>
    <w:p w14:paraId="7B722049" w14:textId="77777777" w:rsidR="00D743EC" w:rsidRPr="009118AB" w:rsidRDefault="00D743EC" w:rsidP="00D743EC">
      <w:pPr>
        <w:autoSpaceDE w:val="0"/>
        <w:autoSpaceDN w:val="0"/>
        <w:adjustRightInd w:val="0"/>
        <w:jc w:val="both"/>
        <w:rPr>
          <w:iCs/>
          <w:szCs w:val="32"/>
        </w:rPr>
      </w:pPr>
    </w:p>
    <w:p w14:paraId="644D8EEC" w14:textId="77777777" w:rsidR="00D743EC" w:rsidRPr="009118AB" w:rsidRDefault="00D743EC" w:rsidP="008A28FC">
      <w:pPr>
        <w:autoSpaceDE w:val="0"/>
        <w:autoSpaceDN w:val="0"/>
        <w:adjustRightInd w:val="0"/>
        <w:ind w:firstLine="709"/>
        <w:jc w:val="both"/>
        <w:rPr>
          <w:iCs/>
          <w:szCs w:val="32"/>
        </w:rPr>
      </w:pPr>
      <w:r w:rsidRPr="009118AB">
        <w:rPr>
          <w:iCs/>
          <w:szCs w:val="32"/>
        </w:rPr>
        <w:t>3. für drei Kinder: [5.020 EUR],</w:t>
      </w:r>
    </w:p>
    <w:p w14:paraId="0E70DE10" w14:textId="77777777" w:rsidR="00D743EC" w:rsidRPr="009118AB" w:rsidRDefault="00D743EC" w:rsidP="00D743EC">
      <w:pPr>
        <w:autoSpaceDE w:val="0"/>
        <w:autoSpaceDN w:val="0"/>
        <w:adjustRightInd w:val="0"/>
        <w:jc w:val="both"/>
        <w:rPr>
          <w:iCs/>
          <w:szCs w:val="32"/>
        </w:rPr>
      </w:pPr>
    </w:p>
    <w:p w14:paraId="1B03B5A0" w14:textId="77777777" w:rsidR="00D743EC" w:rsidRPr="009118AB" w:rsidRDefault="00D743EC" w:rsidP="008A28FC">
      <w:pPr>
        <w:autoSpaceDE w:val="0"/>
        <w:autoSpaceDN w:val="0"/>
        <w:adjustRightInd w:val="0"/>
        <w:ind w:firstLine="709"/>
        <w:jc w:val="both"/>
        <w:rPr>
          <w:iCs/>
          <w:szCs w:val="32"/>
        </w:rPr>
      </w:pPr>
      <w:r w:rsidRPr="009118AB">
        <w:rPr>
          <w:iCs/>
          <w:szCs w:val="32"/>
        </w:rPr>
        <w:t>4. für vier Kinder: [8.120 EUR],</w:t>
      </w:r>
    </w:p>
    <w:p w14:paraId="785B7C3C" w14:textId="77777777" w:rsidR="00D743EC" w:rsidRPr="009118AB" w:rsidRDefault="00D743EC" w:rsidP="00D743EC">
      <w:pPr>
        <w:autoSpaceDE w:val="0"/>
        <w:autoSpaceDN w:val="0"/>
        <w:adjustRightInd w:val="0"/>
        <w:jc w:val="both"/>
        <w:rPr>
          <w:iCs/>
          <w:szCs w:val="32"/>
        </w:rPr>
      </w:pPr>
    </w:p>
    <w:p w14:paraId="68BA0414" w14:textId="77777777" w:rsidR="00D743EC" w:rsidRPr="009118AB" w:rsidRDefault="00D743EC" w:rsidP="008A28FC">
      <w:pPr>
        <w:autoSpaceDE w:val="0"/>
        <w:autoSpaceDN w:val="0"/>
        <w:adjustRightInd w:val="0"/>
        <w:ind w:firstLine="709"/>
        <w:jc w:val="both"/>
        <w:rPr>
          <w:iCs/>
          <w:szCs w:val="32"/>
        </w:rPr>
      </w:pPr>
      <w:r w:rsidRPr="009118AB">
        <w:rPr>
          <w:iCs/>
          <w:szCs w:val="32"/>
        </w:rPr>
        <w:t>5. für mehr als vier Kinder: [8.120 EUR], erhöht um [3.100 EUR] für jedes weitere Kind nach dem vierten,</w:t>
      </w:r>
    </w:p>
    <w:p w14:paraId="433B5DE4" w14:textId="77777777" w:rsidR="00D743EC" w:rsidRPr="009118AB" w:rsidRDefault="00D743EC" w:rsidP="00D743EC">
      <w:pPr>
        <w:autoSpaceDE w:val="0"/>
        <w:autoSpaceDN w:val="0"/>
        <w:adjustRightInd w:val="0"/>
        <w:jc w:val="both"/>
        <w:rPr>
          <w:iCs/>
          <w:szCs w:val="32"/>
        </w:rPr>
      </w:pPr>
    </w:p>
    <w:p w14:paraId="578DB983" w14:textId="77777777" w:rsidR="00D743EC" w:rsidRPr="009118AB" w:rsidRDefault="00D743EC" w:rsidP="008A28FC">
      <w:pPr>
        <w:autoSpaceDE w:val="0"/>
        <w:autoSpaceDN w:val="0"/>
        <w:adjustRightInd w:val="0"/>
        <w:ind w:firstLine="709"/>
        <w:jc w:val="both"/>
        <w:rPr>
          <w:iCs/>
          <w:szCs w:val="32"/>
        </w:rPr>
      </w:pPr>
      <w:r w:rsidRPr="009118AB">
        <w:rPr>
          <w:iCs/>
          <w:szCs w:val="32"/>
        </w:rPr>
        <w:t>6. [einen Zusatzbetrag von [325 EUR]] für jedes Kind, das am 1. Januar des Steuerjahres noch keine drei Jahre alt ist, wobei dieser Zuschlag nicht zusammen [mit der in Artikel 145</w:t>
      </w:r>
      <w:r w:rsidRPr="009118AB">
        <w:rPr>
          <w:iCs/>
          <w:szCs w:val="32"/>
          <w:vertAlign w:val="superscript"/>
        </w:rPr>
        <w:t>35</w:t>
      </w:r>
      <w:r w:rsidRPr="009118AB">
        <w:rPr>
          <w:iCs/>
          <w:szCs w:val="32"/>
        </w:rPr>
        <w:t xml:space="preserve"> erwähnten Ermäßigung für Kinderbetreuung] angewandt werden kann,</w:t>
      </w:r>
    </w:p>
    <w:p w14:paraId="7312AD94" w14:textId="77777777" w:rsidR="00D743EC" w:rsidRPr="009118AB" w:rsidRDefault="00D743EC" w:rsidP="00D743EC">
      <w:pPr>
        <w:autoSpaceDE w:val="0"/>
        <w:autoSpaceDN w:val="0"/>
        <w:adjustRightInd w:val="0"/>
        <w:jc w:val="both"/>
        <w:rPr>
          <w:iCs/>
          <w:szCs w:val="32"/>
        </w:rPr>
      </w:pPr>
    </w:p>
    <w:p w14:paraId="2E9A028C" w14:textId="6D674EC6" w:rsidR="00D743EC" w:rsidRPr="009118AB" w:rsidRDefault="00D743EC" w:rsidP="008A28FC">
      <w:pPr>
        <w:autoSpaceDE w:val="0"/>
        <w:autoSpaceDN w:val="0"/>
        <w:adjustRightInd w:val="0"/>
        <w:ind w:firstLine="709"/>
        <w:jc w:val="both"/>
        <w:rPr>
          <w:iCs/>
          <w:szCs w:val="32"/>
        </w:rPr>
      </w:pPr>
      <w:r w:rsidRPr="009118AB">
        <w:rPr>
          <w:iCs/>
          <w:szCs w:val="32"/>
        </w:rPr>
        <w:t xml:space="preserve">[7. für jede Person zu Lasten, die in Artikel 136 </w:t>
      </w:r>
      <w:r w:rsidR="00D67EB8" w:rsidRPr="009118AB">
        <w:rPr>
          <w:iCs/>
          <w:szCs w:val="32"/>
        </w:rPr>
        <w:t>Nr. </w:t>
      </w:r>
      <w:r w:rsidRPr="009118AB">
        <w:rPr>
          <w:iCs/>
          <w:szCs w:val="32"/>
        </w:rPr>
        <w:t>2 und 3 erwähnt ist und die das Alter von fünfundsechzig Jahren erreicht hat [und pflegebedürftig ist]: [2.610 EUR],]</w:t>
      </w:r>
    </w:p>
    <w:p w14:paraId="65609165" w14:textId="77777777" w:rsidR="00D743EC" w:rsidRPr="009118AB" w:rsidRDefault="00D743EC" w:rsidP="00D743EC">
      <w:pPr>
        <w:autoSpaceDE w:val="0"/>
        <w:autoSpaceDN w:val="0"/>
        <w:adjustRightInd w:val="0"/>
        <w:jc w:val="both"/>
        <w:rPr>
          <w:iCs/>
          <w:szCs w:val="32"/>
        </w:rPr>
      </w:pPr>
      <w:r w:rsidRPr="009118AB">
        <w:rPr>
          <w:iCs/>
          <w:szCs w:val="32"/>
        </w:rPr>
        <w:t xml:space="preserve"> </w:t>
      </w:r>
    </w:p>
    <w:p w14:paraId="44B6B60B" w14:textId="77777777" w:rsidR="00D743EC" w:rsidRPr="009118AB" w:rsidRDefault="00D743EC" w:rsidP="008A28FC">
      <w:pPr>
        <w:autoSpaceDE w:val="0"/>
        <w:autoSpaceDN w:val="0"/>
        <w:adjustRightInd w:val="0"/>
        <w:ind w:firstLine="709"/>
        <w:jc w:val="both"/>
        <w:rPr>
          <w:iCs/>
          <w:szCs w:val="32"/>
        </w:rPr>
      </w:pPr>
      <w:r w:rsidRPr="009118AB">
        <w:rPr>
          <w:iCs/>
          <w:szCs w:val="32"/>
        </w:rPr>
        <w:t>[8.] für jede weitere Person zu Lasten: [870 EUR].</w:t>
      </w:r>
    </w:p>
    <w:p w14:paraId="3072A27B" w14:textId="77777777" w:rsidR="00D743EC" w:rsidRPr="009118AB" w:rsidRDefault="00D743EC" w:rsidP="00D743EC">
      <w:pPr>
        <w:autoSpaceDE w:val="0"/>
        <w:autoSpaceDN w:val="0"/>
        <w:adjustRightInd w:val="0"/>
        <w:jc w:val="both"/>
        <w:rPr>
          <w:iCs/>
          <w:szCs w:val="32"/>
        </w:rPr>
      </w:pPr>
    </w:p>
    <w:p w14:paraId="38D02466" w14:textId="285A2BBA" w:rsidR="00D743EC" w:rsidRPr="009118AB" w:rsidRDefault="00D743EC" w:rsidP="008A28FC">
      <w:pPr>
        <w:autoSpaceDE w:val="0"/>
        <w:autoSpaceDN w:val="0"/>
        <w:adjustRightInd w:val="0"/>
        <w:ind w:firstLine="709"/>
        <w:jc w:val="both"/>
        <w:rPr>
          <w:iCs/>
          <w:szCs w:val="32"/>
        </w:rPr>
      </w:pPr>
      <w:r w:rsidRPr="009118AB">
        <w:rPr>
          <w:iCs/>
          <w:szCs w:val="32"/>
        </w:rPr>
        <w:t xml:space="preserve">Für die Anwendung von [Absatz 1 </w:t>
      </w:r>
      <w:r w:rsidR="00D67EB8" w:rsidRPr="009118AB">
        <w:rPr>
          <w:iCs/>
          <w:szCs w:val="32"/>
        </w:rPr>
        <w:t>Nr. </w:t>
      </w:r>
      <w:r w:rsidRPr="009118AB">
        <w:rPr>
          <w:iCs/>
          <w:szCs w:val="32"/>
        </w:rPr>
        <w:t>1 bis 6 und 8] werden Kinder [und andere Personen zu Lasten], die als behindert gelten, doppelt gezählt.</w:t>
      </w:r>
    </w:p>
    <w:p w14:paraId="3C7BC337" w14:textId="72FCFABB" w:rsidR="00D743EC" w:rsidRPr="009118AB" w:rsidRDefault="00D743EC" w:rsidP="00D743EC">
      <w:pPr>
        <w:autoSpaceDE w:val="0"/>
        <w:autoSpaceDN w:val="0"/>
        <w:adjustRightInd w:val="0"/>
        <w:jc w:val="both"/>
        <w:rPr>
          <w:iCs/>
          <w:szCs w:val="32"/>
        </w:rPr>
      </w:pPr>
    </w:p>
    <w:p w14:paraId="6E2BCB65" w14:textId="59B7A803" w:rsidR="00D743EC" w:rsidRPr="009118AB" w:rsidRDefault="00D743EC" w:rsidP="008A28FC">
      <w:pPr>
        <w:autoSpaceDE w:val="0"/>
        <w:autoSpaceDN w:val="0"/>
        <w:adjustRightInd w:val="0"/>
        <w:ind w:firstLine="709"/>
        <w:jc w:val="both"/>
        <w:rPr>
          <w:iCs/>
          <w:szCs w:val="32"/>
        </w:rPr>
      </w:pPr>
      <w:r w:rsidRPr="009118AB">
        <w:rPr>
          <w:iCs/>
          <w:szCs w:val="32"/>
        </w:rPr>
        <w:t xml:space="preserve">[Für die Anwendung von Absatz 1 </w:t>
      </w:r>
      <w:r w:rsidR="00D67EB8" w:rsidRPr="009118AB">
        <w:rPr>
          <w:iCs/>
          <w:szCs w:val="32"/>
        </w:rPr>
        <w:t>Nr. </w:t>
      </w:r>
      <w:r w:rsidRPr="009118AB">
        <w:rPr>
          <w:iCs/>
          <w:szCs w:val="32"/>
        </w:rPr>
        <w:t xml:space="preserve">7 gelten als pflegebedürftig die Personen, für die der Selbständigkeitsgrad gemäß dem Ministeriellen Erlass vom 30. Juli 1987 zur Festlegung der Kategorien und des Leitfadens für die Beurteilung des Selbständigkeitsgrades im Hinblick auf die Untersuchung des Anrechts auf die Eingliederungsbeihilfe auf mindestens 9 Punkte </w:t>
      </w:r>
      <w:r w:rsidRPr="009118AB">
        <w:rPr>
          <w:iCs/>
          <w:szCs w:val="32"/>
        </w:rPr>
        <w:lastRenderedPageBreak/>
        <w:t>festgelegt wird. Die Pflegebedürftigkeit wird von der Generaldirektion Personen mit Behinderung des FÖD Soziale Sicherheit, Medex oder dem Vertrauensarzt bei der Krankenkasse oder einer entsprechenden Einrichtung oder Person eines anderen Mitgliedstaates des Europäischen Wirtschaftsraums festgestellt.]</w:t>
      </w:r>
    </w:p>
    <w:p w14:paraId="24111D1F" w14:textId="77777777" w:rsidR="00D743EC" w:rsidRPr="009118AB" w:rsidRDefault="00D743EC" w:rsidP="00D743EC">
      <w:pPr>
        <w:autoSpaceDE w:val="0"/>
        <w:autoSpaceDN w:val="0"/>
        <w:adjustRightInd w:val="0"/>
        <w:jc w:val="both"/>
        <w:rPr>
          <w:iCs/>
          <w:szCs w:val="32"/>
        </w:rPr>
      </w:pPr>
    </w:p>
    <w:p w14:paraId="73C5313C" w14:textId="15D72010" w:rsidR="00D743EC" w:rsidRPr="009118AB" w:rsidRDefault="00D743EC" w:rsidP="00DB57B7">
      <w:pPr>
        <w:autoSpaceDE w:val="0"/>
        <w:autoSpaceDN w:val="0"/>
        <w:adjustRightInd w:val="0"/>
        <w:jc w:val="both"/>
        <w:rPr>
          <w:iCs/>
          <w:spacing w:val="2"/>
          <w:szCs w:val="32"/>
        </w:rPr>
      </w:pPr>
      <w:r w:rsidRPr="009118AB">
        <w:rPr>
          <w:i/>
          <w:iCs/>
          <w:szCs w:val="32"/>
        </w:rPr>
        <w:t>[</w:t>
      </w:r>
      <w:r w:rsidR="00D67EB8" w:rsidRPr="009118AB">
        <w:rPr>
          <w:i/>
          <w:iCs/>
          <w:szCs w:val="32"/>
        </w:rPr>
        <w:t>Art. </w:t>
      </w:r>
      <w:r w:rsidRPr="009118AB">
        <w:rPr>
          <w:i/>
          <w:iCs/>
          <w:szCs w:val="32"/>
        </w:rPr>
        <w:t xml:space="preserve">132 </w:t>
      </w:r>
      <w:r w:rsidR="00D67EB8" w:rsidRPr="009118AB">
        <w:rPr>
          <w:i/>
          <w:iCs/>
          <w:szCs w:val="32"/>
        </w:rPr>
        <w:t>Abs. </w:t>
      </w:r>
      <w:r w:rsidRPr="009118AB">
        <w:rPr>
          <w:i/>
          <w:iCs/>
          <w:szCs w:val="32"/>
        </w:rPr>
        <w:t xml:space="preserve">1 einleitende Bestimmung ersetzt durch </w:t>
      </w:r>
      <w:r w:rsidR="00D67EB8" w:rsidRPr="009118AB">
        <w:rPr>
          <w:i/>
          <w:iCs/>
          <w:szCs w:val="32"/>
        </w:rPr>
        <w:t>Art. </w:t>
      </w:r>
      <w:r w:rsidRPr="009118AB">
        <w:rPr>
          <w:i/>
          <w:iCs/>
          <w:szCs w:val="32"/>
        </w:rPr>
        <w:t>146 des G. vom 26. Dezember 2015 (II) (B.S. vom 30. Dezember 2015)</w:t>
      </w:r>
      <w:r w:rsidR="00D67EB8" w:rsidRPr="009118AB">
        <w:rPr>
          <w:i/>
          <w:iCs/>
          <w:szCs w:val="32"/>
        </w:rPr>
        <w:t> - </w:t>
      </w:r>
      <w:r w:rsidRPr="009118AB">
        <w:rPr>
          <w:i/>
          <w:iCs/>
          <w:szCs w:val="32"/>
        </w:rPr>
        <w:t>in Kraft ab dem Steuerjahr 2017</w:t>
      </w:r>
      <w:r w:rsidR="003366D9" w:rsidRPr="009118AB">
        <w:rPr>
          <w:i/>
          <w:iCs/>
          <w:szCs w:val="32"/>
        </w:rPr>
        <w:t> -;</w:t>
      </w:r>
      <w:r w:rsidRPr="009118AB">
        <w:rPr>
          <w:i/>
          <w:iCs/>
          <w:szCs w:val="32"/>
        </w:rPr>
        <w:t xml:space="preserve"> </w:t>
      </w:r>
      <w:r w:rsidR="00D67EB8" w:rsidRPr="009118AB">
        <w:rPr>
          <w:i/>
          <w:iCs/>
          <w:szCs w:val="32"/>
        </w:rPr>
        <w:t>Abs. </w:t>
      </w:r>
      <w:r w:rsidRPr="009118AB">
        <w:rPr>
          <w:i/>
          <w:iCs/>
          <w:szCs w:val="32"/>
        </w:rPr>
        <w:t xml:space="preserve">1 </w:t>
      </w:r>
      <w:r w:rsidR="00D67EB8" w:rsidRPr="009118AB">
        <w:rPr>
          <w:i/>
          <w:iCs/>
          <w:szCs w:val="32"/>
        </w:rPr>
        <w:t>Nr. </w:t>
      </w:r>
      <w:r w:rsidRPr="009118AB">
        <w:rPr>
          <w:i/>
          <w:iCs/>
          <w:szCs w:val="32"/>
        </w:rPr>
        <w:t xml:space="preserve">1 bis 5 abgeändert durch </w:t>
      </w:r>
      <w:r w:rsidR="00D67EB8" w:rsidRPr="009118AB">
        <w:rPr>
          <w:i/>
          <w:iCs/>
          <w:szCs w:val="32"/>
        </w:rPr>
        <w:t>Art. </w:t>
      </w:r>
      <w:r w:rsidRPr="009118AB">
        <w:rPr>
          <w:i/>
          <w:iCs/>
          <w:szCs w:val="32"/>
        </w:rPr>
        <w:t>1 des K.E. vom 20. Juli 2000 (II) (B.S. vom 30. August 2000)</w:t>
      </w:r>
      <w:r w:rsidR="00D67EB8" w:rsidRPr="009118AB">
        <w:rPr>
          <w:i/>
          <w:iCs/>
          <w:szCs w:val="32"/>
        </w:rPr>
        <w:t> - </w:t>
      </w:r>
      <w:r w:rsidRPr="009118AB">
        <w:rPr>
          <w:i/>
          <w:iCs/>
          <w:szCs w:val="32"/>
        </w:rPr>
        <w:t>in Kraft ab dem Steuerjahr 2002</w:t>
      </w:r>
      <w:r w:rsidR="00FD68E8" w:rsidRPr="009118AB">
        <w:rPr>
          <w:i/>
          <w:iCs/>
          <w:szCs w:val="32"/>
        </w:rPr>
        <w:t> -,</w:t>
      </w:r>
      <w:r w:rsidRPr="009118AB">
        <w:rPr>
          <w:i/>
          <w:iCs/>
          <w:szCs w:val="32"/>
        </w:rPr>
        <w:t xml:space="preserve"> selbst abgeändert durch </w:t>
      </w:r>
      <w:r w:rsidR="00D67EB8" w:rsidRPr="009118AB">
        <w:rPr>
          <w:i/>
          <w:iCs/>
          <w:szCs w:val="32"/>
        </w:rPr>
        <w:t>Art. </w:t>
      </w:r>
      <w:r w:rsidRPr="009118AB">
        <w:rPr>
          <w:i/>
          <w:iCs/>
          <w:szCs w:val="32"/>
        </w:rPr>
        <w:t xml:space="preserve">42 </w:t>
      </w:r>
      <w:r w:rsidR="00D67EB8" w:rsidRPr="009118AB">
        <w:rPr>
          <w:rFonts w:ascii="Times New Roman Italique" w:hAnsi="Times New Roman Italique"/>
          <w:i/>
          <w:iCs/>
          <w:spacing w:val="-2"/>
          <w:szCs w:val="32"/>
        </w:rPr>
        <w:t>Nr. </w:t>
      </w:r>
      <w:r w:rsidRPr="009118AB">
        <w:rPr>
          <w:rFonts w:ascii="Times New Roman Italique" w:hAnsi="Times New Roman Italique"/>
          <w:i/>
          <w:iCs/>
          <w:spacing w:val="-2"/>
          <w:szCs w:val="32"/>
        </w:rPr>
        <w:t>5 des K.E. vom 13. Juli 2001 (B.S. vom 11. August 2001)</w:t>
      </w:r>
      <w:r w:rsidR="00D67EB8" w:rsidRPr="009118AB">
        <w:rPr>
          <w:rFonts w:ascii="Times New Roman Italique" w:hAnsi="Times New Roman Italique"/>
          <w:i/>
          <w:iCs/>
          <w:spacing w:val="-2"/>
          <w:szCs w:val="32"/>
        </w:rPr>
        <w:t> - </w:t>
      </w:r>
      <w:r w:rsidRPr="009118AB">
        <w:rPr>
          <w:rFonts w:ascii="Times New Roman Italique" w:hAnsi="Times New Roman Italique"/>
          <w:i/>
          <w:iCs/>
          <w:spacing w:val="-2"/>
          <w:szCs w:val="32"/>
        </w:rPr>
        <w:t>in Kraft ab dem 1. Januar 2002</w:t>
      </w:r>
      <w:r w:rsidR="003366D9" w:rsidRPr="009118AB">
        <w:rPr>
          <w:rFonts w:ascii="Times New Roman Italique" w:hAnsi="Times New Roman Italique"/>
          <w:i/>
          <w:iCs/>
          <w:spacing w:val="-2"/>
          <w:szCs w:val="32"/>
        </w:rPr>
        <w:t> -;</w:t>
      </w:r>
      <w:r w:rsidRPr="009118AB">
        <w:rPr>
          <w:rFonts w:ascii="Times New Roman Italique" w:hAnsi="Times New Roman Italique"/>
          <w:i/>
          <w:iCs/>
          <w:spacing w:val="-2"/>
          <w:szCs w:val="32"/>
        </w:rPr>
        <w:t xml:space="preserve"> </w:t>
      </w:r>
      <w:r w:rsidR="00D67EB8" w:rsidRPr="009118AB">
        <w:rPr>
          <w:rFonts w:ascii="Times New Roman Italique" w:hAnsi="Times New Roman Italique"/>
          <w:i/>
          <w:iCs/>
          <w:spacing w:val="-2"/>
          <w:szCs w:val="32"/>
        </w:rPr>
        <w:t>Abs. </w:t>
      </w:r>
      <w:r w:rsidRPr="009118AB">
        <w:rPr>
          <w:rFonts w:ascii="Times New Roman Italique" w:hAnsi="Times New Roman Italique"/>
          <w:i/>
          <w:iCs/>
          <w:spacing w:val="-2"/>
          <w:szCs w:val="32"/>
        </w:rPr>
        <w:t xml:space="preserve">1 </w:t>
      </w:r>
      <w:r w:rsidR="00D67EB8" w:rsidRPr="009118AB">
        <w:rPr>
          <w:rFonts w:ascii="Times New Roman Italique" w:hAnsi="Times New Roman Italique"/>
          <w:i/>
          <w:iCs/>
          <w:spacing w:val="-2"/>
          <w:szCs w:val="32"/>
        </w:rPr>
        <w:t>Nr. </w:t>
      </w:r>
      <w:r w:rsidRPr="009118AB">
        <w:rPr>
          <w:rFonts w:ascii="Times New Roman Italique" w:hAnsi="Times New Roman Italique"/>
          <w:i/>
          <w:iCs/>
          <w:spacing w:val="-2"/>
          <w:szCs w:val="32"/>
        </w:rPr>
        <w:t xml:space="preserve">6 abgeändert durch </w:t>
      </w:r>
      <w:r w:rsidR="00D67EB8" w:rsidRPr="009118AB">
        <w:rPr>
          <w:rFonts w:ascii="Times New Roman Italique" w:hAnsi="Times New Roman Italique"/>
          <w:i/>
          <w:iCs/>
          <w:spacing w:val="-2"/>
          <w:szCs w:val="32"/>
        </w:rPr>
        <w:t>Art. </w:t>
      </w:r>
      <w:r w:rsidRPr="009118AB">
        <w:rPr>
          <w:rFonts w:ascii="Times New Roman Italique" w:hAnsi="Times New Roman Italique"/>
          <w:i/>
          <w:iCs/>
          <w:spacing w:val="-2"/>
          <w:szCs w:val="32"/>
        </w:rPr>
        <w:t>85 des G. vom 6. Juli 1994 (B.S. vom 16. Juli 1994)</w:t>
      </w:r>
      <w:r w:rsidR="00D67EB8" w:rsidRPr="009118AB">
        <w:rPr>
          <w:rFonts w:ascii="Times New Roman Italique" w:hAnsi="Times New Roman Italique"/>
          <w:i/>
          <w:iCs/>
          <w:spacing w:val="-2"/>
          <w:szCs w:val="32"/>
        </w:rPr>
        <w:t> - </w:t>
      </w:r>
      <w:r w:rsidRPr="009118AB">
        <w:rPr>
          <w:rFonts w:ascii="Times New Roman Italique" w:hAnsi="Times New Roman Italique"/>
          <w:i/>
          <w:iCs/>
          <w:spacing w:val="-2"/>
          <w:szCs w:val="32"/>
        </w:rPr>
        <w:t>anwendbar ab dem Steuerjahr 1995</w:t>
      </w:r>
      <w:r w:rsidR="00FD68E8" w:rsidRPr="009118AB">
        <w:rPr>
          <w:rFonts w:ascii="Times New Roman Italique" w:hAnsi="Times New Roman Italique"/>
          <w:i/>
          <w:iCs/>
          <w:spacing w:val="-2"/>
          <w:szCs w:val="32"/>
        </w:rPr>
        <w:t> -,</w:t>
      </w:r>
      <w:r w:rsidRPr="009118AB">
        <w:rPr>
          <w:i/>
          <w:iCs/>
          <w:szCs w:val="32"/>
        </w:rPr>
        <w:t xml:space="preserve"> </w:t>
      </w:r>
      <w:r w:rsidR="00D67EB8" w:rsidRPr="009118AB">
        <w:rPr>
          <w:i/>
          <w:iCs/>
          <w:szCs w:val="32"/>
        </w:rPr>
        <w:t>Art. </w:t>
      </w:r>
      <w:r w:rsidRPr="009118AB">
        <w:rPr>
          <w:i/>
          <w:iCs/>
          <w:szCs w:val="32"/>
        </w:rPr>
        <w:t>2 des G. vom 24. Dezember 1999 (B.S. vom 31. Dezember 1999)</w:t>
      </w:r>
      <w:r w:rsidR="00D67EB8" w:rsidRPr="009118AB">
        <w:rPr>
          <w:i/>
          <w:iCs/>
          <w:szCs w:val="32"/>
        </w:rPr>
        <w:t> - </w:t>
      </w:r>
      <w:r w:rsidRPr="009118AB">
        <w:rPr>
          <w:i/>
          <w:iCs/>
          <w:szCs w:val="32"/>
        </w:rPr>
        <w:t>anwendbar ab dem Steuerjahr 2000</w:t>
      </w:r>
      <w:r w:rsidR="00FD68E8" w:rsidRPr="009118AB">
        <w:rPr>
          <w:i/>
          <w:iCs/>
          <w:szCs w:val="32"/>
        </w:rPr>
        <w:t> -,</w:t>
      </w:r>
      <w:r w:rsidRPr="009118AB">
        <w:rPr>
          <w:i/>
          <w:iCs/>
          <w:szCs w:val="32"/>
        </w:rPr>
        <w:t xml:space="preserve"> </w:t>
      </w:r>
      <w:r w:rsidR="00D67EB8" w:rsidRPr="009118AB">
        <w:rPr>
          <w:i/>
          <w:iCs/>
          <w:szCs w:val="32"/>
        </w:rPr>
        <w:t>Art. </w:t>
      </w:r>
      <w:r w:rsidRPr="009118AB">
        <w:rPr>
          <w:i/>
          <w:iCs/>
          <w:szCs w:val="32"/>
        </w:rPr>
        <w:t>1 des K.E. vom 20. Juli 2000 (II) (B.S. vom 30. August 2000)</w:t>
      </w:r>
      <w:r w:rsidR="00D67EB8" w:rsidRPr="009118AB">
        <w:rPr>
          <w:i/>
          <w:iCs/>
          <w:szCs w:val="32"/>
        </w:rPr>
        <w:t> - </w:t>
      </w:r>
      <w:r w:rsidRPr="009118AB">
        <w:rPr>
          <w:i/>
          <w:iCs/>
          <w:szCs w:val="32"/>
        </w:rPr>
        <w:t>in Kraft ab dem Steuerjahr 2002</w:t>
      </w:r>
      <w:r w:rsidR="00FD68E8" w:rsidRPr="009118AB">
        <w:rPr>
          <w:i/>
          <w:iCs/>
          <w:szCs w:val="32"/>
        </w:rPr>
        <w:t> -,</w:t>
      </w:r>
      <w:r w:rsidRPr="009118AB">
        <w:rPr>
          <w:i/>
          <w:iCs/>
          <w:szCs w:val="32"/>
        </w:rPr>
        <w:t xml:space="preserve"> selbst abgeändert durch </w:t>
      </w:r>
      <w:r w:rsidR="00D67EB8" w:rsidRPr="009118AB">
        <w:rPr>
          <w:i/>
          <w:iCs/>
          <w:szCs w:val="32"/>
        </w:rPr>
        <w:t>Art. </w:t>
      </w:r>
      <w:r w:rsidRPr="009118AB">
        <w:rPr>
          <w:i/>
          <w:iCs/>
          <w:szCs w:val="32"/>
        </w:rPr>
        <w:t xml:space="preserve">42 </w:t>
      </w:r>
      <w:r w:rsidR="00D67EB8" w:rsidRPr="009118AB">
        <w:rPr>
          <w:i/>
          <w:iCs/>
          <w:szCs w:val="32"/>
        </w:rPr>
        <w:t>Nr. </w:t>
      </w:r>
      <w:r w:rsidRPr="009118AB">
        <w:rPr>
          <w:i/>
          <w:iCs/>
          <w:szCs w:val="32"/>
        </w:rPr>
        <w:t>5 des K.E. vom 13. Juli 2001 (B.S. vom 11. August 2001)</w:t>
      </w:r>
      <w:r w:rsidR="00D67EB8" w:rsidRPr="009118AB">
        <w:rPr>
          <w:i/>
          <w:iCs/>
          <w:szCs w:val="32"/>
        </w:rPr>
        <w:t> - </w:t>
      </w:r>
      <w:r w:rsidRPr="009118AB">
        <w:rPr>
          <w:i/>
          <w:iCs/>
          <w:szCs w:val="32"/>
        </w:rPr>
        <w:t>in Kraft ab dem 1. Januar 2002</w:t>
      </w:r>
      <w:r w:rsidR="00FD68E8" w:rsidRPr="009118AB">
        <w:rPr>
          <w:i/>
          <w:iCs/>
          <w:szCs w:val="32"/>
        </w:rPr>
        <w:t> -,</w:t>
      </w:r>
      <w:r w:rsidRPr="009118AB">
        <w:rPr>
          <w:i/>
          <w:iCs/>
          <w:szCs w:val="32"/>
        </w:rPr>
        <w:t xml:space="preserve"> und durch </w:t>
      </w:r>
      <w:r w:rsidR="00D67EB8" w:rsidRPr="009118AB">
        <w:rPr>
          <w:i/>
          <w:iCs/>
          <w:szCs w:val="32"/>
        </w:rPr>
        <w:t>Art. </w:t>
      </w:r>
      <w:r w:rsidRPr="009118AB">
        <w:rPr>
          <w:i/>
          <w:iCs/>
          <w:szCs w:val="32"/>
        </w:rPr>
        <w:t>13 des G. vom 13. Dezember 2012 (B.S. vom 20. Dezember 2012)</w:t>
      </w:r>
      <w:r w:rsidR="00D67EB8" w:rsidRPr="009118AB">
        <w:rPr>
          <w:i/>
          <w:iCs/>
          <w:szCs w:val="32"/>
        </w:rPr>
        <w:t> - </w:t>
      </w:r>
      <w:r w:rsidRPr="009118AB">
        <w:rPr>
          <w:i/>
          <w:iCs/>
          <w:szCs w:val="32"/>
        </w:rPr>
        <w:t>in Kraft ab dem Steuerjahr 2013</w:t>
      </w:r>
      <w:r w:rsidR="003366D9" w:rsidRPr="009118AB">
        <w:rPr>
          <w:i/>
          <w:iCs/>
          <w:szCs w:val="32"/>
        </w:rPr>
        <w:t> -;</w:t>
      </w:r>
      <w:r w:rsidRPr="009118AB">
        <w:rPr>
          <w:i/>
          <w:iCs/>
          <w:szCs w:val="32"/>
        </w:rPr>
        <w:t xml:space="preserve"> </w:t>
      </w:r>
      <w:r w:rsidR="00D67EB8" w:rsidRPr="009118AB">
        <w:rPr>
          <w:i/>
          <w:iCs/>
          <w:szCs w:val="32"/>
        </w:rPr>
        <w:t>Abs. </w:t>
      </w:r>
      <w:r w:rsidRPr="009118AB">
        <w:rPr>
          <w:i/>
          <w:iCs/>
          <w:szCs w:val="32"/>
        </w:rPr>
        <w:t xml:space="preserve">1 neue Nummer 7 eingefügt durch </w:t>
      </w:r>
      <w:r w:rsidR="00D67EB8" w:rsidRPr="009118AB">
        <w:rPr>
          <w:i/>
          <w:iCs/>
          <w:szCs w:val="32"/>
        </w:rPr>
        <w:t>Art. </w:t>
      </w:r>
      <w:r w:rsidRPr="009118AB">
        <w:rPr>
          <w:i/>
          <w:iCs/>
          <w:szCs w:val="32"/>
        </w:rPr>
        <w:t xml:space="preserve">2 des G. vom 6. Juli 2004 (II) (B.S. vom </w:t>
      </w:r>
      <w:r w:rsidRPr="009118AB">
        <w:rPr>
          <w:i/>
          <w:iCs/>
          <w:spacing w:val="-2"/>
          <w:szCs w:val="32"/>
        </w:rPr>
        <w:t>5. August 2004)</w:t>
      </w:r>
      <w:r w:rsidR="00D67EB8" w:rsidRPr="009118AB">
        <w:rPr>
          <w:i/>
          <w:iCs/>
          <w:spacing w:val="-2"/>
          <w:szCs w:val="32"/>
        </w:rPr>
        <w:t> - </w:t>
      </w:r>
      <w:r w:rsidRPr="009118AB">
        <w:rPr>
          <w:i/>
          <w:iCs/>
          <w:spacing w:val="-2"/>
          <w:szCs w:val="32"/>
        </w:rPr>
        <w:t>in Kraft ab dem 1. Januar 2005</w:t>
      </w:r>
      <w:r w:rsidR="00D67EB8" w:rsidRPr="009118AB">
        <w:rPr>
          <w:i/>
          <w:iCs/>
          <w:spacing w:val="-2"/>
          <w:szCs w:val="32"/>
        </w:rPr>
        <w:t> - </w:t>
      </w:r>
      <w:r w:rsidRPr="009118AB">
        <w:rPr>
          <w:i/>
          <w:iCs/>
          <w:spacing w:val="-2"/>
          <w:szCs w:val="32"/>
        </w:rPr>
        <w:t xml:space="preserve">und abgeändert durch </w:t>
      </w:r>
      <w:r w:rsidR="00D67EB8" w:rsidRPr="009118AB">
        <w:rPr>
          <w:i/>
          <w:iCs/>
          <w:spacing w:val="-2"/>
          <w:szCs w:val="32"/>
        </w:rPr>
        <w:t>Art. </w:t>
      </w:r>
      <w:r w:rsidRPr="009118AB">
        <w:rPr>
          <w:i/>
          <w:iCs/>
          <w:spacing w:val="-2"/>
          <w:szCs w:val="32"/>
        </w:rPr>
        <w:t xml:space="preserve">7 </w:t>
      </w:r>
      <w:r w:rsidR="00D67EB8" w:rsidRPr="009118AB">
        <w:rPr>
          <w:i/>
          <w:iCs/>
          <w:spacing w:val="-2"/>
          <w:szCs w:val="32"/>
        </w:rPr>
        <w:t>Nr. </w:t>
      </w:r>
      <w:r w:rsidRPr="009118AB">
        <w:rPr>
          <w:i/>
          <w:iCs/>
          <w:spacing w:val="-2"/>
          <w:szCs w:val="32"/>
        </w:rPr>
        <w:t>1 und 2</w:t>
      </w:r>
      <w:r w:rsidRPr="009118AB">
        <w:rPr>
          <w:i/>
          <w:iCs/>
          <w:spacing w:val="-2"/>
          <w:sz w:val="32"/>
          <w:szCs w:val="32"/>
        </w:rPr>
        <w:t xml:space="preserve"> </w:t>
      </w:r>
      <w:r w:rsidRPr="009118AB">
        <w:rPr>
          <w:i/>
          <w:iCs/>
          <w:spacing w:val="-2"/>
          <w:szCs w:val="32"/>
        </w:rPr>
        <w:t>des G. vom 20. Dezember 2020</w:t>
      </w:r>
      <w:r w:rsidR="00B43C02" w:rsidRPr="009118AB">
        <w:rPr>
          <w:i/>
          <w:iCs/>
          <w:spacing w:val="-2"/>
          <w:szCs w:val="32"/>
        </w:rPr>
        <w:t> (I)</w:t>
      </w:r>
      <w:r w:rsidRPr="009118AB">
        <w:rPr>
          <w:i/>
          <w:iCs/>
          <w:spacing w:val="-2"/>
          <w:szCs w:val="32"/>
        </w:rPr>
        <w:t xml:space="preserve"> (B.S. vom 30. Dezember 2020)</w:t>
      </w:r>
      <w:r w:rsidR="00D67EB8" w:rsidRPr="009118AB">
        <w:rPr>
          <w:i/>
          <w:iCs/>
          <w:spacing w:val="-2"/>
          <w:szCs w:val="32"/>
        </w:rPr>
        <w:t> - </w:t>
      </w:r>
      <w:r w:rsidRPr="009118AB">
        <w:rPr>
          <w:i/>
          <w:iCs/>
          <w:spacing w:val="-2"/>
          <w:szCs w:val="32"/>
        </w:rPr>
        <w:t>anwendbar ab dem Steuerjahr 2022</w:t>
      </w:r>
      <w:r w:rsidR="003366D9" w:rsidRPr="009118AB">
        <w:rPr>
          <w:i/>
          <w:iCs/>
          <w:spacing w:val="-2"/>
          <w:szCs w:val="32"/>
        </w:rPr>
        <w:t> -;</w:t>
      </w:r>
      <w:r w:rsidRPr="009118AB">
        <w:rPr>
          <w:i/>
          <w:iCs/>
          <w:spacing w:val="-2"/>
          <w:szCs w:val="32"/>
        </w:rPr>
        <w:t xml:space="preserve"> </w:t>
      </w:r>
      <w:r w:rsidR="00D67EB8" w:rsidRPr="009118AB">
        <w:rPr>
          <w:i/>
          <w:iCs/>
          <w:spacing w:val="-2"/>
          <w:szCs w:val="32"/>
        </w:rPr>
        <w:t>Abs. </w:t>
      </w:r>
      <w:r w:rsidRPr="009118AB">
        <w:rPr>
          <w:i/>
          <w:iCs/>
          <w:spacing w:val="-2"/>
          <w:szCs w:val="32"/>
        </w:rPr>
        <w:t xml:space="preserve">1 frühere Nummer 7 abgeändert durch </w:t>
      </w:r>
      <w:r w:rsidR="00D67EB8" w:rsidRPr="009118AB">
        <w:rPr>
          <w:i/>
          <w:iCs/>
          <w:spacing w:val="-2"/>
          <w:szCs w:val="32"/>
        </w:rPr>
        <w:t>Art. </w:t>
      </w:r>
      <w:r w:rsidRPr="009118AB">
        <w:rPr>
          <w:i/>
          <w:iCs/>
          <w:spacing w:val="-2"/>
          <w:szCs w:val="32"/>
        </w:rPr>
        <w:t>1 des K.E. vom 20. Juli 2000 (II) (B.S. vom 30. August 2000)</w:t>
      </w:r>
      <w:r w:rsidR="00D67EB8" w:rsidRPr="009118AB">
        <w:rPr>
          <w:i/>
          <w:iCs/>
          <w:spacing w:val="-2"/>
          <w:szCs w:val="32"/>
        </w:rPr>
        <w:t> - </w:t>
      </w:r>
      <w:r w:rsidRPr="009118AB">
        <w:rPr>
          <w:i/>
          <w:iCs/>
          <w:spacing w:val="-2"/>
          <w:szCs w:val="32"/>
        </w:rPr>
        <w:t>in Kraft ab dem Steuerjahr 2002</w:t>
      </w:r>
      <w:r w:rsidR="00FD68E8" w:rsidRPr="009118AB">
        <w:rPr>
          <w:i/>
          <w:iCs/>
          <w:spacing w:val="-2"/>
          <w:szCs w:val="32"/>
        </w:rPr>
        <w:t> -,</w:t>
      </w:r>
      <w:r w:rsidRPr="009118AB">
        <w:rPr>
          <w:i/>
          <w:iCs/>
          <w:spacing w:val="-2"/>
          <w:szCs w:val="32"/>
        </w:rPr>
        <w:t xml:space="preserve"> selbst abgeändert durch </w:t>
      </w:r>
      <w:r w:rsidR="00D67EB8" w:rsidRPr="009118AB">
        <w:rPr>
          <w:i/>
          <w:iCs/>
          <w:spacing w:val="-2"/>
          <w:szCs w:val="32"/>
        </w:rPr>
        <w:t>Art. </w:t>
      </w:r>
      <w:r w:rsidRPr="009118AB">
        <w:rPr>
          <w:i/>
          <w:iCs/>
          <w:spacing w:val="-2"/>
          <w:szCs w:val="32"/>
        </w:rPr>
        <w:t xml:space="preserve">42 </w:t>
      </w:r>
      <w:r w:rsidR="00D67EB8" w:rsidRPr="009118AB">
        <w:rPr>
          <w:i/>
          <w:iCs/>
          <w:spacing w:val="-2"/>
          <w:szCs w:val="32"/>
        </w:rPr>
        <w:t>Nr. </w:t>
      </w:r>
      <w:r w:rsidRPr="009118AB">
        <w:rPr>
          <w:i/>
          <w:iCs/>
          <w:spacing w:val="-2"/>
          <w:szCs w:val="32"/>
        </w:rPr>
        <w:t>5 des K.E. vom 13. Juli 2001 (B.S. vom 11. August 2001)</w:t>
      </w:r>
      <w:r w:rsidR="00D67EB8" w:rsidRPr="009118AB">
        <w:rPr>
          <w:i/>
          <w:iCs/>
          <w:spacing w:val="-2"/>
          <w:szCs w:val="32"/>
        </w:rPr>
        <w:t> - </w:t>
      </w:r>
      <w:r w:rsidRPr="009118AB">
        <w:rPr>
          <w:i/>
          <w:iCs/>
          <w:spacing w:val="-2"/>
          <w:szCs w:val="32"/>
        </w:rPr>
        <w:t>in Kraft ab dem 1. Januar 2002</w:t>
      </w:r>
      <w:r w:rsidR="00FD68E8" w:rsidRPr="009118AB">
        <w:rPr>
          <w:i/>
          <w:iCs/>
          <w:spacing w:val="-2"/>
          <w:szCs w:val="32"/>
        </w:rPr>
        <w:t> -,</w:t>
      </w:r>
      <w:r w:rsidRPr="009118AB">
        <w:rPr>
          <w:i/>
          <w:iCs/>
          <w:spacing w:val="-2"/>
          <w:szCs w:val="32"/>
        </w:rPr>
        <w:t xml:space="preserve"> und umnummeriert zu </w:t>
      </w:r>
      <w:r w:rsidR="00D67EB8" w:rsidRPr="009118AB">
        <w:rPr>
          <w:i/>
          <w:iCs/>
          <w:spacing w:val="-2"/>
          <w:szCs w:val="32"/>
        </w:rPr>
        <w:t>Nr. </w:t>
      </w:r>
      <w:r w:rsidRPr="009118AB">
        <w:rPr>
          <w:i/>
          <w:iCs/>
          <w:spacing w:val="-2"/>
          <w:szCs w:val="32"/>
        </w:rPr>
        <w:t xml:space="preserve">8 durch </w:t>
      </w:r>
      <w:r w:rsidR="00D67EB8" w:rsidRPr="009118AB">
        <w:rPr>
          <w:i/>
          <w:iCs/>
          <w:spacing w:val="-2"/>
          <w:szCs w:val="32"/>
        </w:rPr>
        <w:t>Art. </w:t>
      </w:r>
      <w:r w:rsidRPr="009118AB">
        <w:rPr>
          <w:i/>
          <w:iCs/>
          <w:spacing w:val="-2"/>
          <w:szCs w:val="32"/>
        </w:rPr>
        <w:t>2 des G. vom 6. Juli 2004 (II) (B.S. vom 5. August 2004)</w:t>
      </w:r>
      <w:r w:rsidR="00D67EB8" w:rsidRPr="009118AB">
        <w:rPr>
          <w:i/>
          <w:iCs/>
          <w:spacing w:val="-2"/>
          <w:szCs w:val="32"/>
        </w:rPr>
        <w:t> - </w:t>
      </w:r>
      <w:r w:rsidRPr="009118AB">
        <w:rPr>
          <w:i/>
          <w:iCs/>
          <w:spacing w:val="-2"/>
          <w:szCs w:val="32"/>
        </w:rPr>
        <w:t>in Kraft ab dem Steuerjahr 2006</w:t>
      </w:r>
      <w:r w:rsidR="003366D9" w:rsidRPr="009118AB">
        <w:rPr>
          <w:i/>
          <w:iCs/>
          <w:spacing w:val="-2"/>
          <w:szCs w:val="32"/>
        </w:rPr>
        <w:t> -;</w:t>
      </w:r>
      <w:r w:rsidRPr="009118AB">
        <w:rPr>
          <w:i/>
          <w:iCs/>
          <w:spacing w:val="-2"/>
          <w:szCs w:val="32"/>
        </w:rPr>
        <w:t xml:space="preserve"> </w:t>
      </w:r>
      <w:r w:rsidR="00D67EB8" w:rsidRPr="009118AB">
        <w:rPr>
          <w:i/>
          <w:iCs/>
          <w:spacing w:val="-2"/>
          <w:szCs w:val="32"/>
        </w:rPr>
        <w:t>Abs. </w:t>
      </w:r>
      <w:r w:rsidRPr="009118AB">
        <w:rPr>
          <w:i/>
          <w:iCs/>
          <w:spacing w:val="-2"/>
          <w:szCs w:val="32"/>
        </w:rPr>
        <w:t xml:space="preserve">2 abgeändert durch </w:t>
      </w:r>
      <w:r w:rsidR="00D67EB8" w:rsidRPr="009118AB">
        <w:rPr>
          <w:i/>
          <w:iCs/>
          <w:spacing w:val="-2"/>
          <w:szCs w:val="32"/>
        </w:rPr>
        <w:t>Art. </w:t>
      </w:r>
      <w:r w:rsidRPr="009118AB">
        <w:rPr>
          <w:i/>
          <w:iCs/>
          <w:spacing w:val="-2"/>
          <w:szCs w:val="32"/>
        </w:rPr>
        <w:t xml:space="preserve">24 </w:t>
      </w:r>
      <w:r w:rsidR="00D67EB8" w:rsidRPr="009118AB">
        <w:rPr>
          <w:i/>
          <w:iCs/>
          <w:spacing w:val="-2"/>
          <w:szCs w:val="32"/>
        </w:rPr>
        <w:t>Nr. </w:t>
      </w:r>
      <w:r w:rsidRPr="009118AB">
        <w:rPr>
          <w:i/>
          <w:iCs/>
          <w:spacing w:val="-2"/>
          <w:szCs w:val="32"/>
        </w:rPr>
        <w:t xml:space="preserve">2 des G. vom </w:t>
      </w:r>
      <w:r w:rsidRPr="009118AB">
        <w:rPr>
          <w:i/>
          <w:iCs/>
          <w:spacing w:val="2"/>
          <w:szCs w:val="32"/>
        </w:rPr>
        <w:t>10. August 2001 (B.S. vom 20. September 2001)</w:t>
      </w:r>
      <w:r w:rsidR="00D67EB8" w:rsidRPr="009118AB">
        <w:rPr>
          <w:i/>
          <w:iCs/>
          <w:spacing w:val="2"/>
          <w:szCs w:val="32"/>
        </w:rPr>
        <w:t> - </w:t>
      </w:r>
      <w:r w:rsidRPr="009118AB">
        <w:rPr>
          <w:i/>
          <w:iCs/>
          <w:spacing w:val="2"/>
          <w:szCs w:val="32"/>
        </w:rPr>
        <w:t>in Kraft ab dem Steuerjahr 2005</w:t>
      </w:r>
      <w:r w:rsidR="00D67EB8" w:rsidRPr="009118AB">
        <w:rPr>
          <w:i/>
          <w:iCs/>
          <w:spacing w:val="2"/>
          <w:szCs w:val="32"/>
        </w:rPr>
        <w:t> - </w:t>
      </w:r>
      <w:r w:rsidRPr="009118AB">
        <w:rPr>
          <w:i/>
          <w:iCs/>
          <w:spacing w:val="2"/>
          <w:szCs w:val="32"/>
        </w:rPr>
        <w:t xml:space="preserve">und </w:t>
      </w:r>
      <w:r w:rsidR="00D67EB8" w:rsidRPr="009118AB">
        <w:rPr>
          <w:i/>
          <w:iCs/>
          <w:spacing w:val="2"/>
          <w:szCs w:val="32"/>
        </w:rPr>
        <w:t>Art. </w:t>
      </w:r>
      <w:r w:rsidRPr="009118AB">
        <w:rPr>
          <w:i/>
          <w:iCs/>
          <w:spacing w:val="2"/>
          <w:szCs w:val="32"/>
        </w:rPr>
        <w:t xml:space="preserve">7 </w:t>
      </w:r>
      <w:r w:rsidR="00D67EB8" w:rsidRPr="009118AB">
        <w:rPr>
          <w:i/>
          <w:iCs/>
          <w:spacing w:val="2"/>
          <w:szCs w:val="32"/>
        </w:rPr>
        <w:t>Nr. </w:t>
      </w:r>
      <w:r w:rsidRPr="009118AB">
        <w:rPr>
          <w:i/>
          <w:iCs/>
          <w:spacing w:val="2"/>
          <w:szCs w:val="32"/>
        </w:rPr>
        <w:t>3</w:t>
      </w:r>
      <w:r w:rsidRPr="009118AB">
        <w:rPr>
          <w:i/>
          <w:iCs/>
          <w:spacing w:val="2"/>
          <w:sz w:val="32"/>
          <w:szCs w:val="32"/>
        </w:rPr>
        <w:t xml:space="preserve"> </w:t>
      </w:r>
      <w:r w:rsidRPr="009118AB">
        <w:rPr>
          <w:i/>
          <w:iCs/>
          <w:spacing w:val="2"/>
          <w:szCs w:val="32"/>
        </w:rPr>
        <w:t xml:space="preserve">des G. vom </w:t>
      </w:r>
      <w:r w:rsidRPr="009118AB">
        <w:rPr>
          <w:rFonts w:ascii="Times New Roman Italique" w:hAnsi="Times New Roman Italique"/>
          <w:i/>
          <w:iCs/>
          <w:spacing w:val="2"/>
          <w:szCs w:val="32"/>
        </w:rPr>
        <w:t>20. Dezember 2020</w:t>
      </w:r>
      <w:r w:rsidR="00B43C02" w:rsidRPr="009118AB">
        <w:rPr>
          <w:rFonts w:ascii="Times New Roman Italique" w:hAnsi="Times New Roman Italique" w:hint="eastAsia"/>
          <w:i/>
          <w:iCs/>
          <w:spacing w:val="2"/>
          <w:szCs w:val="32"/>
        </w:rPr>
        <w:t> </w:t>
      </w:r>
      <w:r w:rsidR="00B43C02" w:rsidRPr="009118AB">
        <w:rPr>
          <w:rFonts w:ascii="Times New Roman Italique" w:hAnsi="Times New Roman Italique"/>
          <w:i/>
          <w:iCs/>
          <w:spacing w:val="2"/>
          <w:szCs w:val="32"/>
        </w:rPr>
        <w:t>(I)</w:t>
      </w:r>
      <w:r w:rsidRPr="009118AB">
        <w:rPr>
          <w:rFonts w:ascii="Times New Roman Italique" w:hAnsi="Times New Roman Italique"/>
          <w:i/>
          <w:iCs/>
          <w:spacing w:val="2"/>
          <w:szCs w:val="32"/>
        </w:rPr>
        <w:t xml:space="preserve"> (B.S. vom 30. Dezember 2020)</w:t>
      </w:r>
      <w:r w:rsidR="00D67EB8" w:rsidRPr="009118AB">
        <w:rPr>
          <w:rFonts w:ascii="Times New Roman Italique" w:hAnsi="Times New Roman Italique"/>
          <w:i/>
          <w:iCs/>
          <w:spacing w:val="2"/>
          <w:szCs w:val="32"/>
        </w:rPr>
        <w:t> - </w:t>
      </w:r>
      <w:r w:rsidRPr="009118AB">
        <w:rPr>
          <w:rFonts w:ascii="Times New Roman Italique" w:hAnsi="Times New Roman Italique"/>
          <w:i/>
          <w:iCs/>
          <w:spacing w:val="2"/>
          <w:szCs w:val="32"/>
        </w:rPr>
        <w:t>anwendbar ab dem Steuerjahr 2022</w:t>
      </w:r>
      <w:r w:rsidR="003366D9" w:rsidRPr="009118AB">
        <w:rPr>
          <w:rFonts w:ascii="Times New Roman Italique" w:hAnsi="Times New Roman Italique"/>
          <w:i/>
          <w:iCs/>
          <w:spacing w:val="2"/>
          <w:szCs w:val="32"/>
        </w:rPr>
        <w:t> -;</w:t>
      </w:r>
      <w:r w:rsidRPr="009118AB">
        <w:rPr>
          <w:rFonts w:ascii="Times New Roman Italique" w:hAnsi="Times New Roman Italique"/>
          <w:i/>
          <w:iCs/>
          <w:spacing w:val="2"/>
          <w:szCs w:val="32"/>
        </w:rPr>
        <w:t xml:space="preserve"> </w:t>
      </w:r>
      <w:r w:rsidR="00D67EB8" w:rsidRPr="009118AB">
        <w:rPr>
          <w:rFonts w:ascii="Times New Roman Italique" w:hAnsi="Times New Roman Italique"/>
          <w:i/>
          <w:iCs/>
          <w:spacing w:val="2"/>
          <w:szCs w:val="32"/>
        </w:rPr>
        <w:t>Abs. </w:t>
      </w:r>
      <w:r w:rsidRPr="009118AB">
        <w:rPr>
          <w:rFonts w:ascii="Times New Roman Italique" w:hAnsi="Times New Roman Italique"/>
          <w:i/>
          <w:iCs/>
          <w:spacing w:val="2"/>
          <w:szCs w:val="32"/>
        </w:rPr>
        <w:t xml:space="preserve">3 eingefügt durch </w:t>
      </w:r>
      <w:r w:rsidR="00D67EB8" w:rsidRPr="009118AB">
        <w:rPr>
          <w:rFonts w:ascii="Times New Roman Italique" w:hAnsi="Times New Roman Italique"/>
          <w:i/>
          <w:iCs/>
          <w:spacing w:val="2"/>
          <w:szCs w:val="32"/>
        </w:rPr>
        <w:t>Art. </w:t>
      </w:r>
      <w:r w:rsidRPr="009118AB">
        <w:rPr>
          <w:rFonts w:ascii="Times New Roman Italique" w:hAnsi="Times New Roman Italique"/>
          <w:i/>
          <w:iCs/>
          <w:spacing w:val="2"/>
          <w:szCs w:val="32"/>
        </w:rPr>
        <w:t xml:space="preserve">7 </w:t>
      </w:r>
      <w:r w:rsidR="00D67EB8" w:rsidRPr="009118AB">
        <w:rPr>
          <w:rFonts w:ascii="Times New Roman Italique" w:hAnsi="Times New Roman Italique"/>
          <w:i/>
          <w:iCs/>
          <w:spacing w:val="2"/>
          <w:szCs w:val="32"/>
        </w:rPr>
        <w:t>Nr. </w:t>
      </w:r>
      <w:r w:rsidRPr="009118AB">
        <w:rPr>
          <w:rFonts w:ascii="Times New Roman Italique" w:hAnsi="Times New Roman Italique"/>
          <w:i/>
          <w:iCs/>
          <w:spacing w:val="2"/>
          <w:szCs w:val="32"/>
        </w:rPr>
        <w:t>4</w:t>
      </w:r>
      <w:r w:rsidRPr="009118AB">
        <w:rPr>
          <w:rFonts w:ascii="Times New Roman Italique" w:hAnsi="Times New Roman Italique"/>
          <w:i/>
          <w:iCs/>
          <w:spacing w:val="2"/>
          <w:sz w:val="28"/>
          <w:szCs w:val="32"/>
        </w:rPr>
        <w:t xml:space="preserve"> </w:t>
      </w:r>
      <w:r w:rsidRPr="009118AB">
        <w:rPr>
          <w:rFonts w:ascii="Times New Roman Italique" w:hAnsi="Times New Roman Italique"/>
          <w:i/>
          <w:iCs/>
          <w:spacing w:val="2"/>
          <w:szCs w:val="32"/>
        </w:rPr>
        <w:t>des G. vom 20. Dezember 2020</w:t>
      </w:r>
      <w:r w:rsidR="00B43C02" w:rsidRPr="009118AB">
        <w:rPr>
          <w:rFonts w:ascii="Times New Roman Italique" w:hAnsi="Times New Roman Italique" w:hint="eastAsia"/>
          <w:i/>
          <w:iCs/>
          <w:spacing w:val="2"/>
          <w:szCs w:val="32"/>
        </w:rPr>
        <w:t> </w:t>
      </w:r>
      <w:r w:rsidR="00B43C02" w:rsidRPr="009118AB">
        <w:rPr>
          <w:rFonts w:ascii="Times New Roman Italique" w:hAnsi="Times New Roman Italique"/>
          <w:i/>
          <w:iCs/>
          <w:spacing w:val="2"/>
          <w:szCs w:val="32"/>
        </w:rPr>
        <w:t>(I)</w:t>
      </w:r>
      <w:r w:rsidRPr="009118AB">
        <w:rPr>
          <w:rFonts w:ascii="Times New Roman Italique" w:hAnsi="Times New Roman Italique"/>
          <w:i/>
          <w:iCs/>
          <w:spacing w:val="2"/>
          <w:szCs w:val="32"/>
        </w:rPr>
        <w:t xml:space="preserve"> (B.S. vom 30. Dezember 2020)</w:t>
      </w:r>
      <w:r w:rsidR="00D67EB8" w:rsidRPr="009118AB">
        <w:rPr>
          <w:rFonts w:ascii="Times New Roman Italique" w:hAnsi="Times New Roman Italique"/>
          <w:i/>
          <w:iCs/>
          <w:spacing w:val="2"/>
          <w:szCs w:val="32"/>
        </w:rPr>
        <w:t> - </w:t>
      </w:r>
      <w:r w:rsidRPr="009118AB">
        <w:rPr>
          <w:rFonts w:ascii="Times New Roman Italique" w:hAnsi="Times New Roman Italique"/>
          <w:i/>
          <w:iCs/>
          <w:spacing w:val="2"/>
          <w:szCs w:val="32"/>
        </w:rPr>
        <w:t>anwendbar ab dem Steuerjahr 2022</w:t>
      </w:r>
      <w:r w:rsidR="00FD68E8" w:rsidRPr="009118AB">
        <w:rPr>
          <w:rFonts w:ascii="Times New Roman Italique" w:hAnsi="Times New Roman Italique"/>
          <w:i/>
          <w:iCs/>
          <w:spacing w:val="2"/>
          <w:szCs w:val="32"/>
        </w:rPr>
        <w:t> -]</w:t>
      </w:r>
    </w:p>
    <w:bookmarkEnd w:id="13"/>
    <w:p w14:paraId="1A66117A" w14:textId="0795E2CF" w:rsidR="008A28FC" w:rsidRPr="009118AB" w:rsidRDefault="008A28FC" w:rsidP="00DB57B7">
      <w:pPr>
        <w:autoSpaceDE w:val="0"/>
        <w:autoSpaceDN w:val="0"/>
        <w:adjustRightInd w:val="0"/>
        <w:jc w:val="both"/>
        <w:rPr>
          <w:iCs/>
          <w:spacing w:val="2"/>
          <w:szCs w:val="32"/>
        </w:rPr>
      </w:pPr>
    </w:p>
    <w:p w14:paraId="1C2ADC32" w14:textId="334E1819" w:rsidR="008A28FC" w:rsidRPr="009118AB" w:rsidRDefault="008A28FC" w:rsidP="00DB57B7">
      <w:pPr>
        <w:autoSpaceDE w:val="0"/>
        <w:autoSpaceDN w:val="0"/>
        <w:adjustRightInd w:val="0"/>
        <w:jc w:val="both"/>
        <w:rPr>
          <w:iCs/>
          <w:spacing w:val="2"/>
          <w:szCs w:val="32"/>
        </w:rPr>
      </w:pPr>
    </w:p>
    <w:p w14:paraId="55FF37D2" w14:textId="1A447392" w:rsidR="008A28FC" w:rsidRPr="009118AB" w:rsidRDefault="008A28FC" w:rsidP="00DB57B7">
      <w:pPr>
        <w:autoSpaceDE w:val="0"/>
        <w:autoSpaceDN w:val="0"/>
        <w:adjustRightInd w:val="0"/>
        <w:jc w:val="both"/>
        <w:rPr>
          <w:iCs/>
          <w:spacing w:val="2"/>
          <w:sz w:val="20"/>
        </w:rPr>
      </w:pPr>
      <w:r w:rsidRPr="009118AB">
        <w:rPr>
          <w:iCs/>
          <w:spacing w:val="2"/>
          <w:sz w:val="20"/>
        </w:rPr>
        <w:t xml:space="preserve">Ab dem Steuerjahr 2026 (gemäß </w:t>
      </w:r>
      <w:r w:rsidR="00D67EB8" w:rsidRPr="009118AB">
        <w:rPr>
          <w:iCs/>
          <w:spacing w:val="2"/>
          <w:sz w:val="20"/>
        </w:rPr>
        <w:t>Art. </w:t>
      </w:r>
      <w:r w:rsidRPr="009118AB">
        <w:rPr>
          <w:iCs/>
          <w:spacing w:val="2"/>
          <w:sz w:val="20"/>
        </w:rPr>
        <w:t xml:space="preserve">3 </w:t>
      </w:r>
      <w:r w:rsidR="00D67EB8" w:rsidRPr="009118AB">
        <w:rPr>
          <w:iCs/>
          <w:spacing w:val="2"/>
          <w:sz w:val="20"/>
        </w:rPr>
        <w:t>Abs. </w:t>
      </w:r>
      <w:r w:rsidRPr="009118AB">
        <w:rPr>
          <w:iCs/>
          <w:spacing w:val="2"/>
          <w:sz w:val="20"/>
        </w:rPr>
        <w:t xml:space="preserve">1 des G. vom 16. März 2021 (B.S. vom 23. März 2021) lautet </w:t>
      </w:r>
      <w:r w:rsidR="00D67EB8" w:rsidRPr="009118AB">
        <w:rPr>
          <w:iCs/>
          <w:spacing w:val="2"/>
          <w:sz w:val="20"/>
        </w:rPr>
        <w:t>Art. </w:t>
      </w:r>
      <w:r w:rsidRPr="009118AB">
        <w:rPr>
          <w:iCs/>
          <w:spacing w:val="2"/>
          <w:sz w:val="20"/>
        </w:rPr>
        <w:t>132 wie folgt:</w:t>
      </w:r>
    </w:p>
    <w:p w14:paraId="023E439E" w14:textId="29B4C4C3" w:rsidR="008A28FC" w:rsidRPr="009118AB" w:rsidRDefault="008A28FC" w:rsidP="00DB57B7">
      <w:pPr>
        <w:autoSpaceDE w:val="0"/>
        <w:autoSpaceDN w:val="0"/>
        <w:adjustRightInd w:val="0"/>
        <w:jc w:val="both"/>
        <w:rPr>
          <w:iCs/>
          <w:spacing w:val="2"/>
          <w:sz w:val="20"/>
        </w:rPr>
      </w:pPr>
    </w:p>
    <w:p w14:paraId="43939764" w14:textId="005E71D7" w:rsidR="008A28FC" w:rsidRPr="009118AB" w:rsidRDefault="008A28FC" w:rsidP="008A28FC">
      <w:pPr>
        <w:autoSpaceDE w:val="0"/>
        <w:autoSpaceDN w:val="0"/>
        <w:adjustRightInd w:val="0"/>
        <w:jc w:val="both"/>
        <w:rPr>
          <w:iCs/>
          <w:spacing w:val="2"/>
          <w:sz w:val="20"/>
        </w:rPr>
      </w:pPr>
      <w:r w:rsidRPr="009118AB">
        <w:rPr>
          <w:iCs/>
          <w:spacing w:val="2"/>
          <w:sz w:val="20"/>
        </w:rPr>
        <w:t>"</w:t>
      </w:r>
      <w:r w:rsidR="00D67EB8" w:rsidRPr="009118AB">
        <w:rPr>
          <w:iCs/>
          <w:spacing w:val="2"/>
          <w:sz w:val="20"/>
        </w:rPr>
        <w:t>Art. </w:t>
      </w:r>
      <w:r w:rsidRPr="009118AB">
        <w:rPr>
          <w:iCs/>
          <w:spacing w:val="2"/>
          <w:sz w:val="20"/>
        </w:rPr>
        <w:t>132</w:t>
      </w:r>
      <w:r w:rsidR="00D67EB8" w:rsidRPr="009118AB">
        <w:rPr>
          <w:iCs/>
          <w:spacing w:val="2"/>
          <w:sz w:val="20"/>
        </w:rPr>
        <w:t> - </w:t>
      </w:r>
      <w:r w:rsidRPr="009118AB">
        <w:rPr>
          <w:iCs/>
          <w:spacing w:val="2"/>
          <w:sz w:val="20"/>
        </w:rPr>
        <w:t>[Der gemäß Artikel 131 festgelegte Grundbetrag wird um folgende Zuschläge für Personen zu Lasten erhöht:]</w:t>
      </w:r>
    </w:p>
    <w:p w14:paraId="10239E97" w14:textId="77777777" w:rsidR="008A28FC" w:rsidRPr="009118AB" w:rsidRDefault="008A28FC" w:rsidP="008A28FC">
      <w:pPr>
        <w:autoSpaceDE w:val="0"/>
        <w:autoSpaceDN w:val="0"/>
        <w:adjustRightInd w:val="0"/>
        <w:jc w:val="both"/>
        <w:rPr>
          <w:iCs/>
          <w:spacing w:val="2"/>
          <w:sz w:val="20"/>
        </w:rPr>
      </w:pPr>
    </w:p>
    <w:p w14:paraId="4187B05E" w14:textId="77777777" w:rsidR="008A28FC" w:rsidRPr="009118AB" w:rsidRDefault="008A28FC" w:rsidP="008A28FC">
      <w:pPr>
        <w:autoSpaceDE w:val="0"/>
        <w:autoSpaceDN w:val="0"/>
        <w:adjustRightInd w:val="0"/>
        <w:jc w:val="both"/>
        <w:rPr>
          <w:iCs/>
          <w:spacing w:val="2"/>
          <w:sz w:val="20"/>
        </w:rPr>
      </w:pPr>
      <w:r w:rsidRPr="009118AB">
        <w:rPr>
          <w:iCs/>
          <w:spacing w:val="2"/>
          <w:sz w:val="20"/>
        </w:rPr>
        <w:t>1. für ein Kind: [870 EUR],</w:t>
      </w:r>
    </w:p>
    <w:p w14:paraId="0D85D1C1" w14:textId="77777777" w:rsidR="008A28FC" w:rsidRPr="009118AB" w:rsidRDefault="008A28FC" w:rsidP="008A28FC">
      <w:pPr>
        <w:autoSpaceDE w:val="0"/>
        <w:autoSpaceDN w:val="0"/>
        <w:adjustRightInd w:val="0"/>
        <w:jc w:val="both"/>
        <w:rPr>
          <w:iCs/>
          <w:spacing w:val="2"/>
          <w:sz w:val="20"/>
        </w:rPr>
      </w:pPr>
    </w:p>
    <w:p w14:paraId="61CC9727" w14:textId="77777777" w:rsidR="008A28FC" w:rsidRPr="009118AB" w:rsidRDefault="008A28FC" w:rsidP="008A28FC">
      <w:pPr>
        <w:autoSpaceDE w:val="0"/>
        <w:autoSpaceDN w:val="0"/>
        <w:adjustRightInd w:val="0"/>
        <w:jc w:val="both"/>
        <w:rPr>
          <w:iCs/>
          <w:spacing w:val="2"/>
          <w:sz w:val="20"/>
        </w:rPr>
      </w:pPr>
      <w:r w:rsidRPr="009118AB">
        <w:rPr>
          <w:iCs/>
          <w:spacing w:val="2"/>
          <w:sz w:val="20"/>
        </w:rPr>
        <w:t>2. für zwei Kinder: [2.240 EUR],</w:t>
      </w:r>
    </w:p>
    <w:p w14:paraId="00CF9C4C" w14:textId="77777777" w:rsidR="008A28FC" w:rsidRPr="009118AB" w:rsidRDefault="008A28FC" w:rsidP="008A28FC">
      <w:pPr>
        <w:autoSpaceDE w:val="0"/>
        <w:autoSpaceDN w:val="0"/>
        <w:adjustRightInd w:val="0"/>
        <w:jc w:val="both"/>
        <w:rPr>
          <w:iCs/>
          <w:spacing w:val="2"/>
          <w:sz w:val="20"/>
        </w:rPr>
      </w:pPr>
    </w:p>
    <w:p w14:paraId="37ABBD04" w14:textId="77777777" w:rsidR="008A28FC" w:rsidRPr="009118AB" w:rsidRDefault="008A28FC" w:rsidP="008A28FC">
      <w:pPr>
        <w:autoSpaceDE w:val="0"/>
        <w:autoSpaceDN w:val="0"/>
        <w:adjustRightInd w:val="0"/>
        <w:jc w:val="both"/>
        <w:rPr>
          <w:iCs/>
          <w:spacing w:val="2"/>
          <w:sz w:val="20"/>
        </w:rPr>
      </w:pPr>
      <w:r w:rsidRPr="009118AB">
        <w:rPr>
          <w:iCs/>
          <w:spacing w:val="2"/>
          <w:sz w:val="20"/>
        </w:rPr>
        <w:t>3. für drei Kinder: [5.020 EUR],</w:t>
      </w:r>
    </w:p>
    <w:p w14:paraId="527F1F24" w14:textId="77777777" w:rsidR="008A28FC" w:rsidRPr="009118AB" w:rsidRDefault="008A28FC" w:rsidP="008A28FC">
      <w:pPr>
        <w:autoSpaceDE w:val="0"/>
        <w:autoSpaceDN w:val="0"/>
        <w:adjustRightInd w:val="0"/>
        <w:jc w:val="both"/>
        <w:rPr>
          <w:iCs/>
          <w:spacing w:val="2"/>
          <w:sz w:val="20"/>
        </w:rPr>
      </w:pPr>
    </w:p>
    <w:p w14:paraId="71DA8177" w14:textId="77777777" w:rsidR="008A28FC" w:rsidRPr="009118AB" w:rsidRDefault="008A28FC" w:rsidP="008A28FC">
      <w:pPr>
        <w:autoSpaceDE w:val="0"/>
        <w:autoSpaceDN w:val="0"/>
        <w:adjustRightInd w:val="0"/>
        <w:jc w:val="both"/>
        <w:rPr>
          <w:iCs/>
          <w:spacing w:val="2"/>
          <w:sz w:val="20"/>
        </w:rPr>
      </w:pPr>
      <w:r w:rsidRPr="009118AB">
        <w:rPr>
          <w:iCs/>
          <w:spacing w:val="2"/>
          <w:sz w:val="20"/>
        </w:rPr>
        <w:t>4. für vier Kinder: [8.120 EUR],</w:t>
      </w:r>
    </w:p>
    <w:p w14:paraId="66A5A6D1" w14:textId="77777777" w:rsidR="008A28FC" w:rsidRPr="009118AB" w:rsidRDefault="008A28FC" w:rsidP="008A28FC">
      <w:pPr>
        <w:autoSpaceDE w:val="0"/>
        <w:autoSpaceDN w:val="0"/>
        <w:adjustRightInd w:val="0"/>
        <w:jc w:val="both"/>
        <w:rPr>
          <w:iCs/>
          <w:spacing w:val="2"/>
          <w:sz w:val="20"/>
        </w:rPr>
      </w:pPr>
    </w:p>
    <w:p w14:paraId="7BFD920A" w14:textId="77777777" w:rsidR="008A28FC" w:rsidRPr="009118AB" w:rsidRDefault="008A28FC" w:rsidP="008A28FC">
      <w:pPr>
        <w:autoSpaceDE w:val="0"/>
        <w:autoSpaceDN w:val="0"/>
        <w:adjustRightInd w:val="0"/>
        <w:jc w:val="both"/>
        <w:rPr>
          <w:iCs/>
          <w:spacing w:val="2"/>
          <w:sz w:val="20"/>
        </w:rPr>
      </w:pPr>
      <w:r w:rsidRPr="009118AB">
        <w:rPr>
          <w:iCs/>
          <w:spacing w:val="2"/>
          <w:sz w:val="20"/>
        </w:rPr>
        <w:t>5. für mehr als vier Kinder: [8.120 EUR], erhöht um [3.100 EUR] für jedes weitere Kind nach dem vierten,</w:t>
      </w:r>
    </w:p>
    <w:p w14:paraId="49D87BF9" w14:textId="77777777" w:rsidR="008A28FC" w:rsidRPr="009118AB" w:rsidRDefault="008A28FC" w:rsidP="008A28FC">
      <w:pPr>
        <w:autoSpaceDE w:val="0"/>
        <w:autoSpaceDN w:val="0"/>
        <w:adjustRightInd w:val="0"/>
        <w:jc w:val="both"/>
        <w:rPr>
          <w:iCs/>
          <w:spacing w:val="2"/>
          <w:sz w:val="20"/>
        </w:rPr>
      </w:pPr>
    </w:p>
    <w:p w14:paraId="1118E07E" w14:textId="77777777" w:rsidR="008A28FC" w:rsidRPr="009118AB" w:rsidRDefault="008A28FC" w:rsidP="008A28FC">
      <w:pPr>
        <w:autoSpaceDE w:val="0"/>
        <w:autoSpaceDN w:val="0"/>
        <w:adjustRightInd w:val="0"/>
        <w:jc w:val="both"/>
        <w:rPr>
          <w:iCs/>
          <w:spacing w:val="2"/>
          <w:sz w:val="20"/>
        </w:rPr>
      </w:pPr>
      <w:r w:rsidRPr="009118AB">
        <w:rPr>
          <w:iCs/>
          <w:spacing w:val="2"/>
          <w:sz w:val="20"/>
        </w:rPr>
        <w:t>6. [einen Zusatzbetrag von [325 EUR]] für jedes Kind, das am 1. Januar des Steuerjahres noch keine drei Jahre alt ist, wobei dieser Zuschlag nicht zusammen [mit der in Artikel 145</w:t>
      </w:r>
      <w:r w:rsidRPr="009118AB">
        <w:rPr>
          <w:iCs/>
          <w:spacing w:val="2"/>
          <w:sz w:val="20"/>
          <w:vertAlign w:val="superscript"/>
        </w:rPr>
        <w:t>35</w:t>
      </w:r>
      <w:r w:rsidRPr="009118AB">
        <w:rPr>
          <w:iCs/>
          <w:spacing w:val="2"/>
          <w:sz w:val="20"/>
        </w:rPr>
        <w:t xml:space="preserve"> erwähnten Ermäßigung für Kinderbetreuung] angewandt werden kann,</w:t>
      </w:r>
    </w:p>
    <w:p w14:paraId="0268FDDF" w14:textId="77777777" w:rsidR="008A28FC" w:rsidRPr="009118AB" w:rsidRDefault="008A28FC" w:rsidP="008A28FC">
      <w:pPr>
        <w:autoSpaceDE w:val="0"/>
        <w:autoSpaceDN w:val="0"/>
        <w:adjustRightInd w:val="0"/>
        <w:jc w:val="both"/>
        <w:rPr>
          <w:iCs/>
          <w:spacing w:val="2"/>
          <w:sz w:val="20"/>
        </w:rPr>
      </w:pPr>
    </w:p>
    <w:p w14:paraId="10DFFB0D" w14:textId="2EA88351" w:rsidR="008A28FC" w:rsidRPr="009118AB" w:rsidRDefault="008A28FC" w:rsidP="008A28FC">
      <w:pPr>
        <w:autoSpaceDE w:val="0"/>
        <w:autoSpaceDN w:val="0"/>
        <w:adjustRightInd w:val="0"/>
        <w:jc w:val="both"/>
        <w:rPr>
          <w:iCs/>
          <w:spacing w:val="2"/>
          <w:sz w:val="20"/>
        </w:rPr>
      </w:pPr>
      <w:r w:rsidRPr="009118AB">
        <w:rPr>
          <w:iCs/>
          <w:spacing w:val="2"/>
          <w:sz w:val="20"/>
        </w:rPr>
        <w:t xml:space="preserve">[7. für jede Person zu Lasten, die in Artikel 136 </w:t>
      </w:r>
      <w:r w:rsidR="00D67EB8" w:rsidRPr="009118AB">
        <w:rPr>
          <w:iCs/>
          <w:spacing w:val="2"/>
          <w:sz w:val="20"/>
        </w:rPr>
        <w:t>Nr. </w:t>
      </w:r>
      <w:r w:rsidRPr="009118AB">
        <w:rPr>
          <w:iCs/>
          <w:spacing w:val="2"/>
          <w:sz w:val="20"/>
        </w:rPr>
        <w:t>2 und 3 erwähnt ist und die das Alter von [sechsundsechzig] Jahren erreicht hat [und pflegebedürftig ist]: [2.610 EUR],]</w:t>
      </w:r>
    </w:p>
    <w:p w14:paraId="7BAEED8D" w14:textId="77777777" w:rsidR="008A28FC" w:rsidRPr="009118AB" w:rsidRDefault="008A28FC" w:rsidP="008A28FC">
      <w:pPr>
        <w:autoSpaceDE w:val="0"/>
        <w:autoSpaceDN w:val="0"/>
        <w:adjustRightInd w:val="0"/>
        <w:jc w:val="both"/>
        <w:rPr>
          <w:iCs/>
          <w:spacing w:val="2"/>
          <w:sz w:val="20"/>
        </w:rPr>
      </w:pPr>
      <w:r w:rsidRPr="009118AB">
        <w:rPr>
          <w:iCs/>
          <w:spacing w:val="2"/>
          <w:sz w:val="20"/>
        </w:rPr>
        <w:t xml:space="preserve"> </w:t>
      </w:r>
    </w:p>
    <w:p w14:paraId="00DC242D" w14:textId="77777777" w:rsidR="008A28FC" w:rsidRPr="009118AB" w:rsidRDefault="008A28FC" w:rsidP="008A28FC">
      <w:pPr>
        <w:autoSpaceDE w:val="0"/>
        <w:autoSpaceDN w:val="0"/>
        <w:adjustRightInd w:val="0"/>
        <w:jc w:val="both"/>
        <w:rPr>
          <w:iCs/>
          <w:spacing w:val="2"/>
          <w:sz w:val="20"/>
        </w:rPr>
      </w:pPr>
      <w:r w:rsidRPr="009118AB">
        <w:rPr>
          <w:iCs/>
          <w:spacing w:val="2"/>
          <w:sz w:val="20"/>
        </w:rPr>
        <w:lastRenderedPageBreak/>
        <w:t>[8.] für jede weitere Person zu Lasten: [870 EUR].</w:t>
      </w:r>
    </w:p>
    <w:p w14:paraId="18647FD5" w14:textId="77777777" w:rsidR="008A28FC" w:rsidRPr="009118AB" w:rsidRDefault="008A28FC" w:rsidP="008A28FC">
      <w:pPr>
        <w:autoSpaceDE w:val="0"/>
        <w:autoSpaceDN w:val="0"/>
        <w:adjustRightInd w:val="0"/>
        <w:jc w:val="both"/>
        <w:rPr>
          <w:iCs/>
          <w:spacing w:val="2"/>
          <w:sz w:val="20"/>
        </w:rPr>
      </w:pPr>
    </w:p>
    <w:p w14:paraId="6288CBAB" w14:textId="7100E366" w:rsidR="008A28FC" w:rsidRPr="009118AB" w:rsidRDefault="008A28FC" w:rsidP="008A28FC">
      <w:pPr>
        <w:autoSpaceDE w:val="0"/>
        <w:autoSpaceDN w:val="0"/>
        <w:adjustRightInd w:val="0"/>
        <w:jc w:val="both"/>
        <w:rPr>
          <w:iCs/>
          <w:spacing w:val="2"/>
          <w:sz w:val="20"/>
        </w:rPr>
      </w:pPr>
      <w:r w:rsidRPr="009118AB">
        <w:rPr>
          <w:iCs/>
          <w:spacing w:val="2"/>
          <w:sz w:val="20"/>
        </w:rPr>
        <w:t xml:space="preserve">Für die Anwendung von [Absatz 1 </w:t>
      </w:r>
      <w:r w:rsidR="00D67EB8" w:rsidRPr="009118AB">
        <w:rPr>
          <w:iCs/>
          <w:spacing w:val="2"/>
          <w:sz w:val="20"/>
        </w:rPr>
        <w:t>Nr. </w:t>
      </w:r>
      <w:r w:rsidRPr="009118AB">
        <w:rPr>
          <w:iCs/>
          <w:spacing w:val="2"/>
          <w:sz w:val="20"/>
        </w:rPr>
        <w:t>1 bis 6 und 8] werden Kinder [und andere Personen zu Lasten], die als behindert gelten, doppelt gezählt.</w:t>
      </w:r>
    </w:p>
    <w:p w14:paraId="34FA5ACB" w14:textId="77777777" w:rsidR="008A28FC" w:rsidRPr="009118AB" w:rsidRDefault="008A28FC" w:rsidP="008A28FC">
      <w:pPr>
        <w:autoSpaceDE w:val="0"/>
        <w:autoSpaceDN w:val="0"/>
        <w:adjustRightInd w:val="0"/>
        <w:jc w:val="both"/>
        <w:rPr>
          <w:iCs/>
          <w:spacing w:val="2"/>
          <w:sz w:val="20"/>
        </w:rPr>
      </w:pPr>
    </w:p>
    <w:p w14:paraId="0379DCB1" w14:textId="62B67597" w:rsidR="008A28FC" w:rsidRPr="009118AB" w:rsidRDefault="008A28FC" w:rsidP="008A28FC">
      <w:pPr>
        <w:autoSpaceDE w:val="0"/>
        <w:autoSpaceDN w:val="0"/>
        <w:adjustRightInd w:val="0"/>
        <w:jc w:val="both"/>
        <w:rPr>
          <w:iCs/>
          <w:spacing w:val="2"/>
          <w:sz w:val="20"/>
        </w:rPr>
      </w:pPr>
      <w:r w:rsidRPr="009118AB">
        <w:rPr>
          <w:iCs/>
          <w:spacing w:val="2"/>
          <w:sz w:val="20"/>
        </w:rPr>
        <w:t xml:space="preserve">[Für die Anwendung von Absatz 1 </w:t>
      </w:r>
      <w:r w:rsidR="00D67EB8" w:rsidRPr="009118AB">
        <w:rPr>
          <w:iCs/>
          <w:spacing w:val="2"/>
          <w:sz w:val="20"/>
        </w:rPr>
        <w:t>Nr. </w:t>
      </w:r>
      <w:r w:rsidRPr="009118AB">
        <w:rPr>
          <w:iCs/>
          <w:spacing w:val="2"/>
          <w:sz w:val="20"/>
        </w:rPr>
        <w:t>7 gelten als pflegebedürftig die Personen, für die der Selbständigkeitsgrad gemäß dem Ministeriellen Erlass vom 30. Juli 1987 zur Festlegung der Kategorien und des Leitfadens für die Beurteilung des Selbständigkeitsgrades im Hinblick auf die Untersuchung des Anrechts auf die Eingliederungsbeihilfe auf mindestens 9 Punkte festgelegt wird. Die Pflegebedürftigkeit wird von der Generaldirektion Personen mit Behinderung des FÖD Soziale Sicherheit, Medex oder dem Vertrauensarzt bei der Krankenkasse oder einer entsprechenden Einrichtung oder Person eines anderen Mitgliedstaates des Europäischen Wirtschaftsraums festgestellt.]</w:t>
      </w:r>
    </w:p>
    <w:p w14:paraId="75141597" w14:textId="77777777" w:rsidR="008A28FC" w:rsidRPr="009118AB" w:rsidRDefault="008A28FC" w:rsidP="008A28FC">
      <w:pPr>
        <w:autoSpaceDE w:val="0"/>
        <w:autoSpaceDN w:val="0"/>
        <w:adjustRightInd w:val="0"/>
        <w:jc w:val="both"/>
        <w:rPr>
          <w:iCs/>
          <w:spacing w:val="2"/>
          <w:sz w:val="20"/>
        </w:rPr>
      </w:pPr>
    </w:p>
    <w:p w14:paraId="1E8D30E7" w14:textId="0A0AECEF" w:rsidR="008A28FC" w:rsidRPr="009118AB" w:rsidRDefault="008A28FC" w:rsidP="008A28FC">
      <w:pPr>
        <w:autoSpaceDE w:val="0"/>
        <w:autoSpaceDN w:val="0"/>
        <w:adjustRightInd w:val="0"/>
        <w:jc w:val="both"/>
        <w:rPr>
          <w:spacing w:val="2"/>
          <w:sz w:val="20"/>
        </w:rPr>
      </w:pPr>
      <w:r w:rsidRPr="009118AB">
        <w:rPr>
          <w:i/>
          <w:iCs/>
          <w:spacing w:val="2"/>
          <w:sz w:val="20"/>
        </w:rPr>
        <w:t>[</w:t>
      </w:r>
      <w:r w:rsidR="00D67EB8" w:rsidRPr="009118AB">
        <w:rPr>
          <w:i/>
          <w:iCs/>
          <w:spacing w:val="2"/>
          <w:sz w:val="20"/>
        </w:rPr>
        <w:t>Art. </w:t>
      </w:r>
      <w:r w:rsidRPr="009118AB">
        <w:rPr>
          <w:i/>
          <w:iCs/>
          <w:spacing w:val="2"/>
          <w:sz w:val="20"/>
        </w:rPr>
        <w:t xml:space="preserve">132 </w:t>
      </w:r>
      <w:r w:rsidR="00D67EB8" w:rsidRPr="009118AB">
        <w:rPr>
          <w:i/>
          <w:iCs/>
          <w:spacing w:val="2"/>
          <w:sz w:val="20"/>
        </w:rPr>
        <w:t>Abs. </w:t>
      </w:r>
      <w:r w:rsidRPr="009118AB">
        <w:rPr>
          <w:i/>
          <w:iCs/>
          <w:spacing w:val="2"/>
          <w:sz w:val="20"/>
        </w:rPr>
        <w:t xml:space="preserve">1 einleitende Bestimmung ersetzt durch </w:t>
      </w:r>
      <w:r w:rsidR="00D67EB8" w:rsidRPr="009118AB">
        <w:rPr>
          <w:i/>
          <w:iCs/>
          <w:spacing w:val="2"/>
          <w:sz w:val="20"/>
        </w:rPr>
        <w:t>Art. </w:t>
      </w:r>
      <w:r w:rsidRPr="009118AB">
        <w:rPr>
          <w:i/>
          <w:iCs/>
          <w:spacing w:val="2"/>
          <w:sz w:val="20"/>
        </w:rPr>
        <w:t>146 des G. vom 26. Dezember 2015 (II) (B.S. vom 30. Dezember 2015)</w:t>
      </w:r>
      <w:r w:rsidR="00D67EB8" w:rsidRPr="009118AB">
        <w:rPr>
          <w:i/>
          <w:iCs/>
          <w:spacing w:val="2"/>
          <w:sz w:val="20"/>
        </w:rPr>
        <w:t> - </w:t>
      </w:r>
      <w:r w:rsidRPr="009118AB">
        <w:rPr>
          <w:i/>
          <w:iCs/>
          <w:spacing w:val="2"/>
          <w:sz w:val="20"/>
        </w:rPr>
        <w:t>in Kraft ab dem Steuerjahr 2017</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1 </w:t>
      </w:r>
      <w:r w:rsidR="00D67EB8" w:rsidRPr="009118AB">
        <w:rPr>
          <w:i/>
          <w:iCs/>
          <w:spacing w:val="2"/>
          <w:sz w:val="20"/>
        </w:rPr>
        <w:t>Nr. </w:t>
      </w:r>
      <w:r w:rsidRPr="009118AB">
        <w:rPr>
          <w:i/>
          <w:iCs/>
          <w:spacing w:val="2"/>
          <w:sz w:val="20"/>
        </w:rPr>
        <w:t xml:space="preserve">1 bis 5 abgeändert durch </w:t>
      </w:r>
      <w:r w:rsidR="00D67EB8" w:rsidRPr="009118AB">
        <w:rPr>
          <w:i/>
          <w:iCs/>
          <w:spacing w:val="2"/>
          <w:sz w:val="20"/>
        </w:rPr>
        <w:t>Art. </w:t>
      </w:r>
      <w:r w:rsidRPr="009118AB">
        <w:rPr>
          <w:i/>
          <w:iCs/>
          <w:spacing w:val="2"/>
          <w:sz w:val="20"/>
        </w:rPr>
        <w:t>1 des K.E. vom 20. Juli 2000 (II) (B.S. vom 30. August 2000)</w:t>
      </w:r>
      <w:r w:rsidR="00D67EB8" w:rsidRPr="009118AB">
        <w:rPr>
          <w:i/>
          <w:iCs/>
          <w:spacing w:val="2"/>
          <w:sz w:val="20"/>
        </w:rPr>
        <w:t> - </w:t>
      </w:r>
      <w:r w:rsidRPr="009118AB">
        <w:rPr>
          <w:i/>
          <w:iCs/>
          <w:spacing w:val="2"/>
          <w:sz w:val="20"/>
        </w:rPr>
        <w:t>in Kraft ab dem Steuerjahr 2002</w:t>
      </w:r>
      <w:r w:rsidR="00FD68E8" w:rsidRPr="009118AB">
        <w:rPr>
          <w:i/>
          <w:iCs/>
          <w:spacing w:val="2"/>
          <w:sz w:val="20"/>
        </w:rPr>
        <w:t> -,</w:t>
      </w:r>
      <w:r w:rsidRPr="009118AB">
        <w:rPr>
          <w:i/>
          <w:iCs/>
          <w:spacing w:val="2"/>
          <w:sz w:val="20"/>
        </w:rPr>
        <w:t xml:space="preserve"> selbst abgeändert durch </w:t>
      </w:r>
      <w:r w:rsidR="00D67EB8" w:rsidRPr="009118AB">
        <w:rPr>
          <w:i/>
          <w:iCs/>
          <w:spacing w:val="2"/>
          <w:sz w:val="20"/>
        </w:rPr>
        <w:t>Art. </w:t>
      </w:r>
      <w:r w:rsidRPr="009118AB">
        <w:rPr>
          <w:i/>
          <w:iCs/>
          <w:spacing w:val="2"/>
          <w:sz w:val="20"/>
        </w:rPr>
        <w:t xml:space="preserve">42 </w:t>
      </w:r>
      <w:r w:rsidR="00D67EB8" w:rsidRPr="009118AB">
        <w:rPr>
          <w:i/>
          <w:iCs/>
          <w:spacing w:val="2"/>
          <w:sz w:val="20"/>
        </w:rPr>
        <w:t>Nr. </w:t>
      </w:r>
      <w:r w:rsidRPr="009118AB">
        <w:rPr>
          <w:i/>
          <w:iCs/>
          <w:spacing w:val="2"/>
          <w:sz w:val="20"/>
        </w:rPr>
        <w:t>5 des K.E. vom 13. Juli 2001 (B.S. vom 11. August 2001)</w:t>
      </w:r>
      <w:r w:rsidR="00D67EB8" w:rsidRPr="009118AB">
        <w:rPr>
          <w:i/>
          <w:iCs/>
          <w:spacing w:val="2"/>
          <w:sz w:val="20"/>
        </w:rPr>
        <w:t> - </w:t>
      </w:r>
      <w:r w:rsidRPr="009118AB">
        <w:rPr>
          <w:i/>
          <w:iCs/>
          <w:spacing w:val="2"/>
          <w:sz w:val="20"/>
        </w:rPr>
        <w:t>in Kraft ab dem 1. Januar 2002</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1 </w:t>
      </w:r>
      <w:r w:rsidR="00D67EB8" w:rsidRPr="009118AB">
        <w:rPr>
          <w:i/>
          <w:iCs/>
          <w:spacing w:val="2"/>
          <w:sz w:val="20"/>
        </w:rPr>
        <w:t>Nr. </w:t>
      </w:r>
      <w:r w:rsidRPr="009118AB">
        <w:rPr>
          <w:i/>
          <w:iCs/>
          <w:spacing w:val="2"/>
          <w:sz w:val="20"/>
        </w:rPr>
        <w:t xml:space="preserve">6 abgeändert durch </w:t>
      </w:r>
      <w:r w:rsidR="00D67EB8" w:rsidRPr="009118AB">
        <w:rPr>
          <w:i/>
          <w:iCs/>
          <w:spacing w:val="2"/>
          <w:sz w:val="20"/>
        </w:rPr>
        <w:t>Art. </w:t>
      </w:r>
      <w:r w:rsidRPr="009118AB">
        <w:rPr>
          <w:i/>
          <w:iCs/>
          <w:spacing w:val="2"/>
          <w:sz w:val="20"/>
        </w:rPr>
        <w:t>85 des G. vom 6. Juli 1994 (B.S. vom 16. Juli 1994)</w:t>
      </w:r>
      <w:r w:rsidR="00D67EB8" w:rsidRPr="009118AB">
        <w:rPr>
          <w:i/>
          <w:iCs/>
          <w:spacing w:val="2"/>
          <w:sz w:val="20"/>
        </w:rPr>
        <w:t> - </w:t>
      </w:r>
      <w:r w:rsidRPr="009118AB">
        <w:rPr>
          <w:i/>
          <w:iCs/>
          <w:spacing w:val="2"/>
          <w:sz w:val="20"/>
        </w:rPr>
        <w:t>anwendbar ab dem Steuerjahr 1995</w:t>
      </w:r>
      <w:r w:rsidR="00FD68E8" w:rsidRPr="009118AB">
        <w:rPr>
          <w:i/>
          <w:iCs/>
          <w:spacing w:val="2"/>
          <w:sz w:val="20"/>
        </w:rPr>
        <w:t> -,</w:t>
      </w:r>
      <w:r w:rsidRPr="009118AB">
        <w:rPr>
          <w:i/>
          <w:iCs/>
          <w:spacing w:val="2"/>
          <w:sz w:val="20"/>
        </w:rPr>
        <w:t xml:space="preserve"> </w:t>
      </w:r>
      <w:r w:rsidR="00D67EB8" w:rsidRPr="009118AB">
        <w:rPr>
          <w:i/>
          <w:iCs/>
          <w:spacing w:val="2"/>
          <w:sz w:val="20"/>
        </w:rPr>
        <w:t>Art. </w:t>
      </w:r>
      <w:r w:rsidRPr="009118AB">
        <w:rPr>
          <w:i/>
          <w:iCs/>
          <w:spacing w:val="2"/>
          <w:sz w:val="20"/>
        </w:rPr>
        <w:t>2 des G. vom 24. Dezember 1999 (B.S. vom 31. Dezember 1999)</w:t>
      </w:r>
      <w:r w:rsidR="00D67EB8" w:rsidRPr="009118AB">
        <w:rPr>
          <w:i/>
          <w:iCs/>
          <w:spacing w:val="2"/>
          <w:sz w:val="20"/>
        </w:rPr>
        <w:t> - </w:t>
      </w:r>
      <w:r w:rsidRPr="009118AB">
        <w:rPr>
          <w:i/>
          <w:iCs/>
          <w:spacing w:val="2"/>
          <w:sz w:val="20"/>
        </w:rPr>
        <w:t>anwendbar ab dem Steuerjahr 2000</w:t>
      </w:r>
      <w:r w:rsidR="00FD68E8" w:rsidRPr="009118AB">
        <w:rPr>
          <w:i/>
          <w:iCs/>
          <w:spacing w:val="2"/>
          <w:sz w:val="20"/>
        </w:rPr>
        <w:t> -,</w:t>
      </w:r>
      <w:r w:rsidRPr="009118AB">
        <w:rPr>
          <w:i/>
          <w:iCs/>
          <w:spacing w:val="2"/>
          <w:sz w:val="20"/>
        </w:rPr>
        <w:t xml:space="preserve"> </w:t>
      </w:r>
      <w:r w:rsidR="00D67EB8" w:rsidRPr="009118AB">
        <w:rPr>
          <w:i/>
          <w:iCs/>
          <w:spacing w:val="2"/>
          <w:sz w:val="20"/>
        </w:rPr>
        <w:t>Art. </w:t>
      </w:r>
      <w:r w:rsidRPr="009118AB">
        <w:rPr>
          <w:i/>
          <w:iCs/>
          <w:spacing w:val="2"/>
          <w:sz w:val="20"/>
        </w:rPr>
        <w:t>1 des K.E. vom 20. Juli 2000 (II) (B.S. vom 30. August 2000)</w:t>
      </w:r>
      <w:r w:rsidR="00D67EB8" w:rsidRPr="009118AB">
        <w:rPr>
          <w:i/>
          <w:iCs/>
          <w:spacing w:val="2"/>
          <w:sz w:val="20"/>
        </w:rPr>
        <w:t> - </w:t>
      </w:r>
      <w:r w:rsidRPr="009118AB">
        <w:rPr>
          <w:i/>
          <w:iCs/>
          <w:spacing w:val="2"/>
          <w:sz w:val="20"/>
        </w:rPr>
        <w:t>in Kraft ab dem Steuerjahr 2002</w:t>
      </w:r>
      <w:r w:rsidR="00FD68E8" w:rsidRPr="009118AB">
        <w:rPr>
          <w:i/>
          <w:iCs/>
          <w:spacing w:val="2"/>
          <w:sz w:val="20"/>
        </w:rPr>
        <w:t> -,</w:t>
      </w:r>
      <w:r w:rsidRPr="009118AB">
        <w:rPr>
          <w:i/>
          <w:iCs/>
          <w:spacing w:val="2"/>
          <w:sz w:val="20"/>
        </w:rPr>
        <w:t xml:space="preserve"> selbst abgeändert durch </w:t>
      </w:r>
      <w:r w:rsidR="00D67EB8" w:rsidRPr="009118AB">
        <w:rPr>
          <w:i/>
          <w:iCs/>
          <w:spacing w:val="2"/>
          <w:sz w:val="20"/>
        </w:rPr>
        <w:t>Art. </w:t>
      </w:r>
      <w:r w:rsidRPr="009118AB">
        <w:rPr>
          <w:i/>
          <w:iCs/>
          <w:spacing w:val="2"/>
          <w:sz w:val="20"/>
        </w:rPr>
        <w:t xml:space="preserve">42 </w:t>
      </w:r>
      <w:r w:rsidR="00D67EB8" w:rsidRPr="009118AB">
        <w:rPr>
          <w:i/>
          <w:iCs/>
          <w:spacing w:val="2"/>
          <w:sz w:val="20"/>
        </w:rPr>
        <w:t>Nr. </w:t>
      </w:r>
      <w:r w:rsidRPr="009118AB">
        <w:rPr>
          <w:i/>
          <w:iCs/>
          <w:spacing w:val="2"/>
          <w:sz w:val="20"/>
        </w:rPr>
        <w:t>5 des K.E. vom 13. Juli 2001 (B.S. vom 11. August 2001)</w:t>
      </w:r>
      <w:r w:rsidR="00D67EB8" w:rsidRPr="009118AB">
        <w:rPr>
          <w:i/>
          <w:iCs/>
          <w:spacing w:val="2"/>
          <w:sz w:val="20"/>
        </w:rPr>
        <w:t> - </w:t>
      </w:r>
      <w:r w:rsidRPr="009118AB">
        <w:rPr>
          <w:i/>
          <w:iCs/>
          <w:spacing w:val="2"/>
          <w:sz w:val="20"/>
        </w:rPr>
        <w:t>in Kraft ab dem 1. Januar 2002</w:t>
      </w:r>
      <w:r w:rsidR="00FD68E8" w:rsidRPr="009118AB">
        <w:rPr>
          <w:i/>
          <w:iCs/>
          <w:spacing w:val="2"/>
          <w:sz w:val="20"/>
        </w:rPr>
        <w:t> -,</w:t>
      </w:r>
      <w:r w:rsidRPr="009118AB">
        <w:rPr>
          <w:i/>
          <w:iCs/>
          <w:spacing w:val="2"/>
          <w:sz w:val="20"/>
        </w:rPr>
        <w:t xml:space="preserve"> und durch </w:t>
      </w:r>
      <w:r w:rsidR="00D67EB8" w:rsidRPr="009118AB">
        <w:rPr>
          <w:i/>
          <w:iCs/>
          <w:spacing w:val="2"/>
          <w:sz w:val="20"/>
        </w:rPr>
        <w:t>Art. </w:t>
      </w:r>
      <w:r w:rsidRPr="009118AB">
        <w:rPr>
          <w:i/>
          <w:iCs/>
          <w:spacing w:val="2"/>
          <w:sz w:val="20"/>
        </w:rPr>
        <w:t>13 des G. vom 13. Dezember 2012 (B.S. vom 20. Dezember 2012)</w:t>
      </w:r>
      <w:r w:rsidR="00D67EB8" w:rsidRPr="009118AB">
        <w:rPr>
          <w:i/>
          <w:iCs/>
          <w:spacing w:val="2"/>
          <w:sz w:val="20"/>
        </w:rPr>
        <w:t> - </w:t>
      </w:r>
      <w:r w:rsidRPr="009118AB">
        <w:rPr>
          <w:i/>
          <w:iCs/>
          <w:spacing w:val="2"/>
          <w:sz w:val="20"/>
        </w:rPr>
        <w:t>in Kraft ab dem Steuerjahr 2013</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1 neue Nummer 7 eingefügt durch </w:t>
      </w:r>
      <w:r w:rsidR="00D67EB8" w:rsidRPr="009118AB">
        <w:rPr>
          <w:i/>
          <w:iCs/>
          <w:spacing w:val="2"/>
          <w:sz w:val="20"/>
        </w:rPr>
        <w:t>Art. </w:t>
      </w:r>
      <w:r w:rsidRPr="009118AB">
        <w:rPr>
          <w:i/>
          <w:iCs/>
          <w:spacing w:val="2"/>
          <w:sz w:val="20"/>
        </w:rPr>
        <w:t>2 des G. vom 6. Juli 2004 (II) (B.S. vom 5. August 2004)</w:t>
      </w:r>
      <w:r w:rsidR="00D67EB8" w:rsidRPr="009118AB">
        <w:rPr>
          <w:i/>
          <w:iCs/>
          <w:spacing w:val="2"/>
          <w:sz w:val="20"/>
        </w:rPr>
        <w:t> - </w:t>
      </w:r>
      <w:r w:rsidRPr="009118AB">
        <w:rPr>
          <w:i/>
          <w:iCs/>
          <w:spacing w:val="2"/>
          <w:sz w:val="20"/>
        </w:rPr>
        <w:t>in Kraft ab dem 1. Januar 2005</w:t>
      </w:r>
      <w:r w:rsidR="00D67EB8" w:rsidRPr="009118AB">
        <w:rPr>
          <w:i/>
          <w:iCs/>
          <w:spacing w:val="2"/>
          <w:sz w:val="20"/>
        </w:rPr>
        <w:t> - </w:t>
      </w:r>
      <w:r w:rsidRPr="009118AB">
        <w:rPr>
          <w:i/>
          <w:iCs/>
          <w:spacing w:val="2"/>
          <w:sz w:val="20"/>
        </w:rPr>
        <w:t xml:space="preserve">und abgeändert durch </w:t>
      </w:r>
      <w:r w:rsidR="00D67EB8" w:rsidRPr="009118AB">
        <w:rPr>
          <w:i/>
          <w:iCs/>
          <w:spacing w:val="2"/>
          <w:sz w:val="20"/>
        </w:rPr>
        <w:t>Art. </w:t>
      </w:r>
      <w:r w:rsidRPr="009118AB">
        <w:rPr>
          <w:i/>
          <w:iCs/>
          <w:spacing w:val="2"/>
          <w:sz w:val="20"/>
        </w:rPr>
        <w:t xml:space="preserve">7 </w:t>
      </w:r>
      <w:r w:rsidR="00D67EB8" w:rsidRPr="009118AB">
        <w:rPr>
          <w:i/>
          <w:iCs/>
          <w:spacing w:val="2"/>
          <w:sz w:val="20"/>
        </w:rPr>
        <w:t>Nr. </w:t>
      </w:r>
      <w:r w:rsidRPr="009118AB">
        <w:rPr>
          <w:i/>
          <w:iCs/>
          <w:spacing w:val="2"/>
          <w:sz w:val="20"/>
        </w:rPr>
        <w:t>1 und 2 des G. vom 20. Dezember 2020 (I) (B.S. vom 30. Dezember 2020)</w:t>
      </w:r>
      <w:r w:rsidR="00D67EB8" w:rsidRPr="009118AB">
        <w:rPr>
          <w:i/>
          <w:iCs/>
          <w:spacing w:val="2"/>
          <w:sz w:val="20"/>
        </w:rPr>
        <w:t> - </w:t>
      </w:r>
      <w:r w:rsidRPr="009118AB">
        <w:rPr>
          <w:i/>
          <w:iCs/>
          <w:spacing w:val="2"/>
          <w:sz w:val="20"/>
        </w:rPr>
        <w:t>anwendbar ab dem Steuerjahr 2022</w:t>
      </w:r>
      <w:r w:rsidR="00D67EB8" w:rsidRPr="009118AB">
        <w:rPr>
          <w:i/>
          <w:iCs/>
          <w:spacing w:val="2"/>
          <w:sz w:val="20"/>
        </w:rPr>
        <w:t> - </w:t>
      </w:r>
      <w:r w:rsidRPr="009118AB">
        <w:rPr>
          <w:i/>
          <w:iCs/>
          <w:spacing w:val="2"/>
          <w:sz w:val="20"/>
        </w:rPr>
        <w:t xml:space="preserve">und </w:t>
      </w:r>
      <w:r w:rsidR="00D67EB8" w:rsidRPr="009118AB">
        <w:rPr>
          <w:i/>
          <w:iCs/>
          <w:spacing w:val="2"/>
          <w:sz w:val="20"/>
        </w:rPr>
        <w:t>Art. </w:t>
      </w:r>
      <w:r w:rsidRPr="009118AB">
        <w:rPr>
          <w:i/>
          <w:iCs/>
          <w:spacing w:val="2"/>
          <w:sz w:val="20"/>
        </w:rPr>
        <w:t xml:space="preserve">2 </w:t>
      </w:r>
      <w:r w:rsidR="00D67EB8" w:rsidRPr="009118AB">
        <w:rPr>
          <w:i/>
          <w:iCs/>
          <w:spacing w:val="2"/>
          <w:sz w:val="20"/>
        </w:rPr>
        <w:t>Nr. </w:t>
      </w:r>
      <w:r w:rsidRPr="009118AB">
        <w:rPr>
          <w:i/>
          <w:iCs/>
          <w:spacing w:val="2"/>
          <w:sz w:val="20"/>
        </w:rPr>
        <w:t>1 des G. vom 16. März 2021 (B.S. vom 23. März 2021)</w:t>
      </w:r>
      <w:r w:rsidR="00D67EB8" w:rsidRPr="009118AB">
        <w:rPr>
          <w:i/>
          <w:iCs/>
          <w:spacing w:val="2"/>
          <w:sz w:val="20"/>
        </w:rPr>
        <w:t> - </w:t>
      </w:r>
      <w:r w:rsidRPr="009118AB">
        <w:rPr>
          <w:i/>
          <w:iCs/>
          <w:spacing w:val="2"/>
          <w:sz w:val="20"/>
        </w:rPr>
        <w:t>anwendbar ab dem Steuerjahr 2026</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1 frühere Nummer 7 abgeändert durch </w:t>
      </w:r>
      <w:r w:rsidR="00D67EB8" w:rsidRPr="009118AB">
        <w:rPr>
          <w:i/>
          <w:iCs/>
          <w:spacing w:val="2"/>
          <w:sz w:val="20"/>
        </w:rPr>
        <w:t>Art. </w:t>
      </w:r>
      <w:r w:rsidRPr="009118AB">
        <w:rPr>
          <w:i/>
          <w:iCs/>
          <w:spacing w:val="2"/>
          <w:sz w:val="20"/>
        </w:rPr>
        <w:t>1 des K.E. vom 20. Juli 2000 (II) (B.S. vom 30. August 2000)</w:t>
      </w:r>
      <w:r w:rsidR="00D67EB8" w:rsidRPr="009118AB">
        <w:rPr>
          <w:i/>
          <w:iCs/>
          <w:spacing w:val="2"/>
          <w:sz w:val="20"/>
        </w:rPr>
        <w:t> - </w:t>
      </w:r>
      <w:r w:rsidRPr="009118AB">
        <w:rPr>
          <w:i/>
          <w:iCs/>
          <w:spacing w:val="2"/>
          <w:sz w:val="20"/>
        </w:rPr>
        <w:t>in Kraft ab dem Steuerjahr 2002</w:t>
      </w:r>
      <w:r w:rsidR="00FD68E8" w:rsidRPr="009118AB">
        <w:rPr>
          <w:i/>
          <w:iCs/>
          <w:spacing w:val="2"/>
          <w:sz w:val="20"/>
        </w:rPr>
        <w:t> -,</w:t>
      </w:r>
      <w:r w:rsidRPr="009118AB">
        <w:rPr>
          <w:i/>
          <w:iCs/>
          <w:spacing w:val="2"/>
          <w:sz w:val="20"/>
        </w:rPr>
        <w:t xml:space="preserve"> selbst abgeändert durch </w:t>
      </w:r>
      <w:r w:rsidR="00D67EB8" w:rsidRPr="009118AB">
        <w:rPr>
          <w:i/>
          <w:iCs/>
          <w:spacing w:val="2"/>
          <w:sz w:val="20"/>
        </w:rPr>
        <w:t>Art. </w:t>
      </w:r>
      <w:r w:rsidRPr="009118AB">
        <w:rPr>
          <w:i/>
          <w:iCs/>
          <w:spacing w:val="2"/>
          <w:sz w:val="20"/>
        </w:rPr>
        <w:t xml:space="preserve">42 </w:t>
      </w:r>
      <w:r w:rsidR="00D67EB8" w:rsidRPr="009118AB">
        <w:rPr>
          <w:i/>
          <w:iCs/>
          <w:spacing w:val="2"/>
          <w:sz w:val="20"/>
        </w:rPr>
        <w:t>Nr. </w:t>
      </w:r>
      <w:r w:rsidRPr="009118AB">
        <w:rPr>
          <w:i/>
          <w:iCs/>
          <w:spacing w:val="2"/>
          <w:sz w:val="20"/>
        </w:rPr>
        <w:t>5 des K.E. vom 13. Juli 2001 (B.S. vom 11. August 2001)</w:t>
      </w:r>
      <w:r w:rsidR="00D67EB8" w:rsidRPr="009118AB">
        <w:rPr>
          <w:i/>
          <w:iCs/>
          <w:spacing w:val="2"/>
          <w:sz w:val="20"/>
        </w:rPr>
        <w:t> - </w:t>
      </w:r>
      <w:r w:rsidRPr="009118AB">
        <w:rPr>
          <w:i/>
          <w:iCs/>
          <w:spacing w:val="2"/>
          <w:sz w:val="20"/>
        </w:rPr>
        <w:t>in Kraft ab dem 1. Januar 2002</w:t>
      </w:r>
      <w:r w:rsidR="00FD68E8" w:rsidRPr="009118AB">
        <w:rPr>
          <w:i/>
          <w:iCs/>
          <w:spacing w:val="2"/>
          <w:sz w:val="20"/>
        </w:rPr>
        <w:t> -,</w:t>
      </w:r>
      <w:r w:rsidRPr="009118AB">
        <w:rPr>
          <w:i/>
          <w:iCs/>
          <w:spacing w:val="2"/>
          <w:sz w:val="20"/>
        </w:rPr>
        <w:t xml:space="preserve"> und umnummeriert zu </w:t>
      </w:r>
      <w:r w:rsidR="00D67EB8" w:rsidRPr="009118AB">
        <w:rPr>
          <w:i/>
          <w:iCs/>
          <w:spacing w:val="2"/>
          <w:sz w:val="20"/>
        </w:rPr>
        <w:t>Nr. </w:t>
      </w:r>
      <w:r w:rsidRPr="009118AB">
        <w:rPr>
          <w:i/>
          <w:iCs/>
          <w:spacing w:val="2"/>
          <w:sz w:val="20"/>
        </w:rPr>
        <w:t xml:space="preserve">8 durch </w:t>
      </w:r>
      <w:r w:rsidR="00D67EB8" w:rsidRPr="009118AB">
        <w:rPr>
          <w:i/>
          <w:iCs/>
          <w:spacing w:val="2"/>
          <w:sz w:val="20"/>
        </w:rPr>
        <w:t>Art. </w:t>
      </w:r>
      <w:r w:rsidRPr="009118AB">
        <w:rPr>
          <w:i/>
          <w:iCs/>
          <w:spacing w:val="2"/>
          <w:sz w:val="20"/>
        </w:rPr>
        <w:t>2 des G. vom 6. Juli 2004 (II) (B.S. vom 5. August 2004)</w:t>
      </w:r>
      <w:r w:rsidR="00D67EB8" w:rsidRPr="009118AB">
        <w:rPr>
          <w:i/>
          <w:iCs/>
          <w:spacing w:val="2"/>
          <w:sz w:val="20"/>
        </w:rPr>
        <w:t> - </w:t>
      </w:r>
      <w:r w:rsidRPr="009118AB">
        <w:rPr>
          <w:i/>
          <w:iCs/>
          <w:spacing w:val="2"/>
          <w:sz w:val="20"/>
        </w:rPr>
        <w:t>in Kraft ab dem Steuerjahr 2006</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2 abgeändert durch </w:t>
      </w:r>
      <w:r w:rsidR="00D67EB8" w:rsidRPr="009118AB">
        <w:rPr>
          <w:i/>
          <w:iCs/>
          <w:spacing w:val="2"/>
          <w:sz w:val="20"/>
        </w:rPr>
        <w:t>Art. </w:t>
      </w:r>
      <w:r w:rsidRPr="009118AB">
        <w:rPr>
          <w:i/>
          <w:iCs/>
          <w:spacing w:val="2"/>
          <w:sz w:val="20"/>
        </w:rPr>
        <w:t xml:space="preserve">24 </w:t>
      </w:r>
      <w:r w:rsidR="00D67EB8" w:rsidRPr="009118AB">
        <w:rPr>
          <w:i/>
          <w:iCs/>
          <w:spacing w:val="2"/>
          <w:sz w:val="20"/>
        </w:rPr>
        <w:t>Nr. </w:t>
      </w:r>
      <w:r w:rsidRPr="009118AB">
        <w:rPr>
          <w:i/>
          <w:iCs/>
          <w:spacing w:val="2"/>
          <w:sz w:val="20"/>
        </w:rPr>
        <w:t>2 des G. vom 10. August 2001 (B.S. vom 20. September 2001)</w:t>
      </w:r>
      <w:r w:rsidR="00D67EB8" w:rsidRPr="009118AB">
        <w:rPr>
          <w:i/>
          <w:iCs/>
          <w:spacing w:val="2"/>
          <w:sz w:val="20"/>
        </w:rPr>
        <w:t> - </w:t>
      </w:r>
      <w:r w:rsidRPr="009118AB">
        <w:rPr>
          <w:i/>
          <w:iCs/>
          <w:spacing w:val="2"/>
          <w:sz w:val="20"/>
        </w:rPr>
        <w:t>in Kraft ab dem Steuerjahr 2005</w:t>
      </w:r>
      <w:r w:rsidR="00D67EB8" w:rsidRPr="009118AB">
        <w:rPr>
          <w:i/>
          <w:iCs/>
          <w:spacing w:val="2"/>
          <w:sz w:val="20"/>
        </w:rPr>
        <w:t> - </w:t>
      </w:r>
      <w:r w:rsidRPr="009118AB">
        <w:rPr>
          <w:i/>
          <w:iCs/>
          <w:spacing w:val="2"/>
          <w:sz w:val="20"/>
        </w:rPr>
        <w:t xml:space="preserve">und </w:t>
      </w:r>
      <w:r w:rsidR="00D67EB8" w:rsidRPr="009118AB">
        <w:rPr>
          <w:i/>
          <w:iCs/>
          <w:spacing w:val="2"/>
          <w:sz w:val="20"/>
        </w:rPr>
        <w:t>Art. </w:t>
      </w:r>
      <w:r w:rsidRPr="009118AB">
        <w:rPr>
          <w:i/>
          <w:iCs/>
          <w:spacing w:val="2"/>
          <w:sz w:val="20"/>
        </w:rPr>
        <w:t xml:space="preserve">7 </w:t>
      </w:r>
      <w:r w:rsidR="00D67EB8" w:rsidRPr="009118AB">
        <w:rPr>
          <w:i/>
          <w:iCs/>
          <w:spacing w:val="2"/>
          <w:sz w:val="20"/>
        </w:rPr>
        <w:t>Nr. </w:t>
      </w:r>
      <w:r w:rsidRPr="009118AB">
        <w:rPr>
          <w:i/>
          <w:iCs/>
          <w:spacing w:val="2"/>
          <w:sz w:val="20"/>
        </w:rPr>
        <w:t>3 des G. vom 20. Dezember 2020</w:t>
      </w:r>
      <w:r w:rsidRPr="009118AB">
        <w:rPr>
          <w:rFonts w:hint="eastAsia"/>
          <w:i/>
          <w:iCs/>
          <w:spacing w:val="2"/>
          <w:sz w:val="20"/>
        </w:rPr>
        <w:t> </w:t>
      </w:r>
      <w:r w:rsidRPr="009118AB">
        <w:rPr>
          <w:i/>
          <w:iCs/>
          <w:spacing w:val="2"/>
          <w:sz w:val="20"/>
        </w:rPr>
        <w:t>(I) (B.S. vom 30. Dezember 2020)</w:t>
      </w:r>
      <w:r w:rsidR="00D67EB8" w:rsidRPr="009118AB">
        <w:rPr>
          <w:i/>
          <w:iCs/>
          <w:spacing w:val="2"/>
          <w:sz w:val="20"/>
        </w:rPr>
        <w:t> - </w:t>
      </w:r>
      <w:r w:rsidRPr="009118AB">
        <w:rPr>
          <w:i/>
          <w:iCs/>
          <w:spacing w:val="2"/>
          <w:sz w:val="20"/>
        </w:rPr>
        <w:t>anwendbar ab dem Steuerjahr 2022</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3 eingefügt durch </w:t>
      </w:r>
      <w:r w:rsidR="00D67EB8" w:rsidRPr="009118AB">
        <w:rPr>
          <w:i/>
          <w:iCs/>
          <w:spacing w:val="2"/>
          <w:sz w:val="20"/>
        </w:rPr>
        <w:t>Art. </w:t>
      </w:r>
      <w:r w:rsidRPr="009118AB">
        <w:rPr>
          <w:i/>
          <w:iCs/>
          <w:spacing w:val="2"/>
          <w:sz w:val="20"/>
        </w:rPr>
        <w:t xml:space="preserve">7 </w:t>
      </w:r>
      <w:r w:rsidR="00D67EB8" w:rsidRPr="009118AB">
        <w:rPr>
          <w:i/>
          <w:iCs/>
          <w:spacing w:val="2"/>
          <w:sz w:val="20"/>
        </w:rPr>
        <w:t>Nr. </w:t>
      </w:r>
      <w:r w:rsidRPr="009118AB">
        <w:rPr>
          <w:i/>
          <w:iCs/>
          <w:spacing w:val="2"/>
          <w:sz w:val="20"/>
        </w:rPr>
        <w:t>4 des G. vom 20. Dezember 2020</w:t>
      </w:r>
      <w:r w:rsidRPr="009118AB">
        <w:rPr>
          <w:rFonts w:hint="eastAsia"/>
          <w:i/>
          <w:iCs/>
          <w:spacing w:val="2"/>
          <w:sz w:val="20"/>
        </w:rPr>
        <w:t> </w:t>
      </w:r>
      <w:r w:rsidRPr="009118AB">
        <w:rPr>
          <w:i/>
          <w:iCs/>
          <w:spacing w:val="2"/>
          <w:sz w:val="20"/>
        </w:rPr>
        <w:t>(I) (B.S. vom 30. Dezember 2020)</w:t>
      </w:r>
      <w:r w:rsidR="00D67EB8" w:rsidRPr="009118AB">
        <w:rPr>
          <w:i/>
          <w:iCs/>
          <w:spacing w:val="2"/>
          <w:sz w:val="20"/>
        </w:rPr>
        <w:t> - </w:t>
      </w:r>
      <w:r w:rsidRPr="009118AB">
        <w:rPr>
          <w:i/>
          <w:iCs/>
          <w:spacing w:val="2"/>
          <w:sz w:val="20"/>
        </w:rPr>
        <w:t>anwendbar ab dem Steuerjahr 2022</w:t>
      </w:r>
      <w:r w:rsidR="00FD68E8" w:rsidRPr="009118AB">
        <w:rPr>
          <w:i/>
          <w:iCs/>
          <w:spacing w:val="2"/>
          <w:sz w:val="20"/>
        </w:rPr>
        <w:t> -]</w:t>
      </w:r>
      <w:r w:rsidRPr="009118AB">
        <w:rPr>
          <w:spacing w:val="2"/>
          <w:sz w:val="20"/>
        </w:rPr>
        <w:t>"</w:t>
      </w:r>
    </w:p>
    <w:p w14:paraId="25B72F1F" w14:textId="7F977A6B" w:rsidR="008A28FC" w:rsidRPr="009118AB" w:rsidRDefault="008A28FC" w:rsidP="008A28FC">
      <w:pPr>
        <w:autoSpaceDE w:val="0"/>
        <w:autoSpaceDN w:val="0"/>
        <w:adjustRightInd w:val="0"/>
        <w:jc w:val="both"/>
        <w:rPr>
          <w:spacing w:val="2"/>
          <w:sz w:val="20"/>
        </w:rPr>
      </w:pPr>
    </w:p>
    <w:p w14:paraId="714069FB" w14:textId="4F2EBFFD" w:rsidR="008A28FC" w:rsidRPr="009118AB" w:rsidRDefault="008A28FC" w:rsidP="008A28FC">
      <w:pPr>
        <w:autoSpaceDE w:val="0"/>
        <w:autoSpaceDN w:val="0"/>
        <w:adjustRightInd w:val="0"/>
        <w:jc w:val="both"/>
        <w:rPr>
          <w:spacing w:val="2"/>
          <w:sz w:val="20"/>
        </w:rPr>
      </w:pPr>
    </w:p>
    <w:p w14:paraId="6166C822" w14:textId="58818181" w:rsidR="008A28FC" w:rsidRPr="009118AB" w:rsidRDefault="008A28FC" w:rsidP="008A28FC">
      <w:pPr>
        <w:autoSpaceDE w:val="0"/>
        <w:autoSpaceDN w:val="0"/>
        <w:adjustRightInd w:val="0"/>
        <w:jc w:val="both"/>
        <w:rPr>
          <w:iCs/>
          <w:spacing w:val="2"/>
          <w:sz w:val="20"/>
        </w:rPr>
      </w:pPr>
      <w:r w:rsidRPr="009118AB">
        <w:rPr>
          <w:iCs/>
          <w:spacing w:val="2"/>
          <w:sz w:val="20"/>
        </w:rPr>
        <w:t xml:space="preserve">Ab dem Steuerjahr 2031 (gemäß </w:t>
      </w:r>
      <w:r w:rsidR="00D67EB8" w:rsidRPr="009118AB">
        <w:rPr>
          <w:iCs/>
          <w:spacing w:val="2"/>
          <w:sz w:val="20"/>
        </w:rPr>
        <w:t>Art. </w:t>
      </w:r>
      <w:r w:rsidRPr="009118AB">
        <w:rPr>
          <w:iCs/>
          <w:spacing w:val="2"/>
          <w:sz w:val="20"/>
        </w:rPr>
        <w:t xml:space="preserve">3 </w:t>
      </w:r>
      <w:r w:rsidR="00D67EB8" w:rsidRPr="009118AB">
        <w:rPr>
          <w:iCs/>
          <w:spacing w:val="2"/>
          <w:sz w:val="20"/>
        </w:rPr>
        <w:t>Abs. </w:t>
      </w:r>
      <w:r w:rsidRPr="009118AB">
        <w:rPr>
          <w:iCs/>
          <w:spacing w:val="2"/>
          <w:sz w:val="20"/>
        </w:rPr>
        <w:t xml:space="preserve">2 des G. vom 16. März 2021 (B.S. vom 23. März 2021) lautet </w:t>
      </w:r>
      <w:r w:rsidR="00D67EB8" w:rsidRPr="009118AB">
        <w:rPr>
          <w:iCs/>
          <w:spacing w:val="2"/>
          <w:sz w:val="20"/>
        </w:rPr>
        <w:t>Art. </w:t>
      </w:r>
      <w:r w:rsidRPr="009118AB">
        <w:rPr>
          <w:iCs/>
          <w:spacing w:val="2"/>
          <w:sz w:val="20"/>
        </w:rPr>
        <w:t>132 wie folgt:</w:t>
      </w:r>
    </w:p>
    <w:p w14:paraId="3F18ABB9" w14:textId="77777777" w:rsidR="008A28FC" w:rsidRPr="009118AB" w:rsidRDefault="008A28FC" w:rsidP="008A28FC">
      <w:pPr>
        <w:autoSpaceDE w:val="0"/>
        <w:autoSpaceDN w:val="0"/>
        <w:adjustRightInd w:val="0"/>
        <w:jc w:val="both"/>
        <w:rPr>
          <w:iCs/>
          <w:spacing w:val="2"/>
          <w:sz w:val="20"/>
        </w:rPr>
      </w:pPr>
    </w:p>
    <w:p w14:paraId="3080BD36" w14:textId="14097EE5" w:rsidR="008A28FC" w:rsidRPr="009118AB" w:rsidRDefault="008A28FC" w:rsidP="008A28FC">
      <w:pPr>
        <w:autoSpaceDE w:val="0"/>
        <w:autoSpaceDN w:val="0"/>
        <w:adjustRightInd w:val="0"/>
        <w:jc w:val="both"/>
        <w:rPr>
          <w:iCs/>
          <w:spacing w:val="2"/>
          <w:sz w:val="20"/>
        </w:rPr>
      </w:pPr>
      <w:r w:rsidRPr="009118AB">
        <w:rPr>
          <w:iCs/>
          <w:spacing w:val="2"/>
          <w:sz w:val="20"/>
        </w:rPr>
        <w:t>"</w:t>
      </w:r>
      <w:r w:rsidR="00D67EB8" w:rsidRPr="009118AB">
        <w:rPr>
          <w:iCs/>
          <w:spacing w:val="2"/>
          <w:sz w:val="20"/>
        </w:rPr>
        <w:t>Art. </w:t>
      </w:r>
      <w:r w:rsidRPr="009118AB">
        <w:rPr>
          <w:iCs/>
          <w:spacing w:val="2"/>
          <w:sz w:val="20"/>
        </w:rPr>
        <w:t>132</w:t>
      </w:r>
      <w:r w:rsidR="00D67EB8" w:rsidRPr="009118AB">
        <w:rPr>
          <w:iCs/>
          <w:spacing w:val="2"/>
          <w:sz w:val="20"/>
        </w:rPr>
        <w:t> - </w:t>
      </w:r>
      <w:r w:rsidRPr="009118AB">
        <w:rPr>
          <w:iCs/>
          <w:spacing w:val="2"/>
          <w:sz w:val="20"/>
        </w:rPr>
        <w:t>[Der gemäß Artikel 131 festgelegte Grundbetrag wird um folgende Zuschläge für Personen zu Lasten erhöht:]</w:t>
      </w:r>
    </w:p>
    <w:p w14:paraId="55E794C3" w14:textId="77777777" w:rsidR="008A28FC" w:rsidRPr="009118AB" w:rsidRDefault="008A28FC" w:rsidP="008A28FC">
      <w:pPr>
        <w:autoSpaceDE w:val="0"/>
        <w:autoSpaceDN w:val="0"/>
        <w:adjustRightInd w:val="0"/>
        <w:jc w:val="both"/>
        <w:rPr>
          <w:iCs/>
          <w:spacing w:val="2"/>
          <w:sz w:val="20"/>
        </w:rPr>
      </w:pPr>
    </w:p>
    <w:p w14:paraId="3042D601" w14:textId="77777777" w:rsidR="008A28FC" w:rsidRPr="009118AB" w:rsidRDefault="008A28FC" w:rsidP="008A28FC">
      <w:pPr>
        <w:autoSpaceDE w:val="0"/>
        <w:autoSpaceDN w:val="0"/>
        <w:adjustRightInd w:val="0"/>
        <w:jc w:val="both"/>
        <w:rPr>
          <w:iCs/>
          <w:spacing w:val="2"/>
          <w:sz w:val="20"/>
        </w:rPr>
      </w:pPr>
      <w:r w:rsidRPr="009118AB">
        <w:rPr>
          <w:iCs/>
          <w:spacing w:val="2"/>
          <w:sz w:val="20"/>
        </w:rPr>
        <w:t>1. für ein Kind: [870 EUR],</w:t>
      </w:r>
    </w:p>
    <w:p w14:paraId="0F18C40D" w14:textId="77777777" w:rsidR="008A28FC" w:rsidRPr="009118AB" w:rsidRDefault="008A28FC" w:rsidP="008A28FC">
      <w:pPr>
        <w:autoSpaceDE w:val="0"/>
        <w:autoSpaceDN w:val="0"/>
        <w:adjustRightInd w:val="0"/>
        <w:jc w:val="both"/>
        <w:rPr>
          <w:iCs/>
          <w:spacing w:val="2"/>
          <w:sz w:val="20"/>
        </w:rPr>
      </w:pPr>
    </w:p>
    <w:p w14:paraId="4425D87A" w14:textId="77777777" w:rsidR="008A28FC" w:rsidRPr="009118AB" w:rsidRDefault="008A28FC" w:rsidP="008A28FC">
      <w:pPr>
        <w:autoSpaceDE w:val="0"/>
        <w:autoSpaceDN w:val="0"/>
        <w:adjustRightInd w:val="0"/>
        <w:jc w:val="both"/>
        <w:rPr>
          <w:iCs/>
          <w:spacing w:val="2"/>
          <w:sz w:val="20"/>
        </w:rPr>
      </w:pPr>
      <w:r w:rsidRPr="009118AB">
        <w:rPr>
          <w:iCs/>
          <w:spacing w:val="2"/>
          <w:sz w:val="20"/>
        </w:rPr>
        <w:t>2. für zwei Kinder: [2.240 EUR],</w:t>
      </w:r>
    </w:p>
    <w:p w14:paraId="7AEE8B2C" w14:textId="77777777" w:rsidR="008A28FC" w:rsidRPr="009118AB" w:rsidRDefault="008A28FC" w:rsidP="008A28FC">
      <w:pPr>
        <w:autoSpaceDE w:val="0"/>
        <w:autoSpaceDN w:val="0"/>
        <w:adjustRightInd w:val="0"/>
        <w:jc w:val="both"/>
        <w:rPr>
          <w:iCs/>
          <w:spacing w:val="2"/>
          <w:sz w:val="20"/>
        </w:rPr>
      </w:pPr>
    </w:p>
    <w:p w14:paraId="2C5E026F" w14:textId="77777777" w:rsidR="008A28FC" w:rsidRPr="009118AB" w:rsidRDefault="008A28FC" w:rsidP="008A28FC">
      <w:pPr>
        <w:autoSpaceDE w:val="0"/>
        <w:autoSpaceDN w:val="0"/>
        <w:adjustRightInd w:val="0"/>
        <w:jc w:val="both"/>
        <w:rPr>
          <w:iCs/>
          <w:spacing w:val="2"/>
          <w:sz w:val="20"/>
        </w:rPr>
      </w:pPr>
      <w:r w:rsidRPr="009118AB">
        <w:rPr>
          <w:iCs/>
          <w:spacing w:val="2"/>
          <w:sz w:val="20"/>
        </w:rPr>
        <w:t>3. für drei Kinder: [5.020 EUR],</w:t>
      </w:r>
    </w:p>
    <w:p w14:paraId="2D902215" w14:textId="77777777" w:rsidR="008A28FC" w:rsidRPr="009118AB" w:rsidRDefault="008A28FC" w:rsidP="008A28FC">
      <w:pPr>
        <w:autoSpaceDE w:val="0"/>
        <w:autoSpaceDN w:val="0"/>
        <w:adjustRightInd w:val="0"/>
        <w:jc w:val="both"/>
        <w:rPr>
          <w:iCs/>
          <w:spacing w:val="2"/>
          <w:sz w:val="20"/>
        </w:rPr>
      </w:pPr>
    </w:p>
    <w:p w14:paraId="0D785D98" w14:textId="77777777" w:rsidR="008A28FC" w:rsidRPr="009118AB" w:rsidRDefault="008A28FC" w:rsidP="008A28FC">
      <w:pPr>
        <w:autoSpaceDE w:val="0"/>
        <w:autoSpaceDN w:val="0"/>
        <w:adjustRightInd w:val="0"/>
        <w:jc w:val="both"/>
        <w:rPr>
          <w:iCs/>
          <w:spacing w:val="2"/>
          <w:sz w:val="20"/>
        </w:rPr>
      </w:pPr>
      <w:r w:rsidRPr="009118AB">
        <w:rPr>
          <w:iCs/>
          <w:spacing w:val="2"/>
          <w:sz w:val="20"/>
        </w:rPr>
        <w:t>4. für vier Kinder: [8.120 EUR],</w:t>
      </w:r>
    </w:p>
    <w:p w14:paraId="5DAB3B27" w14:textId="77777777" w:rsidR="008A28FC" w:rsidRPr="009118AB" w:rsidRDefault="008A28FC" w:rsidP="008A28FC">
      <w:pPr>
        <w:autoSpaceDE w:val="0"/>
        <w:autoSpaceDN w:val="0"/>
        <w:adjustRightInd w:val="0"/>
        <w:jc w:val="both"/>
        <w:rPr>
          <w:iCs/>
          <w:spacing w:val="2"/>
          <w:sz w:val="20"/>
        </w:rPr>
      </w:pPr>
    </w:p>
    <w:p w14:paraId="0D092415" w14:textId="77777777" w:rsidR="008A28FC" w:rsidRPr="009118AB" w:rsidRDefault="008A28FC" w:rsidP="008A28FC">
      <w:pPr>
        <w:autoSpaceDE w:val="0"/>
        <w:autoSpaceDN w:val="0"/>
        <w:adjustRightInd w:val="0"/>
        <w:jc w:val="both"/>
        <w:rPr>
          <w:iCs/>
          <w:spacing w:val="2"/>
          <w:sz w:val="20"/>
        </w:rPr>
      </w:pPr>
      <w:r w:rsidRPr="009118AB">
        <w:rPr>
          <w:iCs/>
          <w:spacing w:val="2"/>
          <w:sz w:val="20"/>
        </w:rPr>
        <w:t>5. für mehr als vier Kinder: [8.120 EUR], erhöht um [3.100 EUR] für jedes weitere Kind nach dem vierten,</w:t>
      </w:r>
    </w:p>
    <w:p w14:paraId="32B9F619" w14:textId="77777777" w:rsidR="008A28FC" w:rsidRPr="009118AB" w:rsidRDefault="008A28FC" w:rsidP="008A28FC">
      <w:pPr>
        <w:autoSpaceDE w:val="0"/>
        <w:autoSpaceDN w:val="0"/>
        <w:adjustRightInd w:val="0"/>
        <w:jc w:val="both"/>
        <w:rPr>
          <w:iCs/>
          <w:spacing w:val="2"/>
          <w:sz w:val="20"/>
        </w:rPr>
      </w:pPr>
    </w:p>
    <w:p w14:paraId="2322E6F7" w14:textId="77777777" w:rsidR="008A28FC" w:rsidRPr="009118AB" w:rsidRDefault="008A28FC" w:rsidP="008A28FC">
      <w:pPr>
        <w:autoSpaceDE w:val="0"/>
        <w:autoSpaceDN w:val="0"/>
        <w:adjustRightInd w:val="0"/>
        <w:jc w:val="both"/>
        <w:rPr>
          <w:iCs/>
          <w:spacing w:val="2"/>
          <w:sz w:val="20"/>
        </w:rPr>
      </w:pPr>
      <w:r w:rsidRPr="009118AB">
        <w:rPr>
          <w:iCs/>
          <w:spacing w:val="2"/>
          <w:sz w:val="20"/>
        </w:rPr>
        <w:t>6. [einen Zusatzbetrag von [325 EUR]] für jedes Kind, das am 1. Januar des Steuerjahres noch keine drei Jahre alt ist, wobei dieser Zuschlag nicht zusammen [mit der in Artikel 145</w:t>
      </w:r>
      <w:r w:rsidRPr="009118AB">
        <w:rPr>
          <w:iCs/>
          <w:spacing w:val="2"/>
          <w:sz w:val="20"/>
          <w:vertAlign w:val="superscript"/>
        </w:rPr>
        <w:t>35</w:t>
      </w:r>
      <w:r w:rsidRPr="009118AB">
        <w:rPr>
          <w:iCs/>
          <w:spacing w:val="2"/>
          <w:sz w:val="20"/>
        </w:rPr>
        <w:t xml:space="preserve"> erwähnten Ermäßigung für Kinderbetreuung] angewandt werden kann,</w:t>
      </w:r>
    </w:p>
    <w:p w14:paraId="0D0348F5" w14:textId="77777777" w:rsidR="008A28FC" w:rsidRPr="009118AB" w:rsidRDefault="008A28FC" w:rsidP="008A28FC">
      <w:pPr>
        <w:autoSpaceDE w:val="0"/>
        <w:autoSpaceDN w:val="0"/>
        <w:adjustRightInd w:val="0"/>
        <w:jc w:val="both"/>
        <w:rPr>
          <w:iCs/>
          <w:spacing w:val="2"/>
          <w:sz w:val="20"/>
        </w:rPr>
      </w:pPr>
    </w:p>
    <w:p w14:paraId="52128D75" w14:textId="1E880DE4" w:rsidR="008A28FC" w:rsidRPr="009118AB" w:rsidRDefault="008A28FC" w:rsidP="008A28FC">
      <w:pPr>
        <w:autoSpaceDE w:val="0"/>
        <w:autoSpaceDN w:val="0"/>
        <w:adjustRightInd w:val="0"/>
        <w:jc w:val="both"/>
        <w:rPr>
          <w:iCs/>
          <w:spacing w:val="2"/>
          <w:sz w:val="20"/>
        </w:rPr>
      </w:pPr>
      <w:r w:rsidRPr="009118AB">
        <w:rPr>
          <w:iCs/>
          <w:spacing w:val="2"/>
          <w:sz w:val="20"/>
        </w:rPr>
        <w:t xml:space="preserve">[7. für jede Person zu Lasten, die in Artikel 136 </w:t>
      </w:r>
      <w:r w:rsidR="00D67EB8" w:rsidRPr="009118AB">
        <w:rPr>
          <w:iCs/>
          <w:spacing w:val="2"/>
          <w:sz w:val="20"/>
        </w:rPr>
        <w:t>Nr. </w:t>
      </w:r>
      <w:r w:rsidRPr="009118AB">
        <w:rPr>
          <w:iCs/>
          <w:spacing w:val="2"/>
          <w:sz w:val="20"/>
        </w:rPr>
        <w:t>2 und 3 erwähnt ist und die das Alter von [siebenundsechzig] Jahren erreicht hat [und pflegebedürftig ist]: [2.610 EUR],]</w:t>
      </w:r>
    </w:p>
    <w:p w14:paraId="2CC9B306" w14:textId="77777777" w:rsidR="008A28FC" w:rsidRPr="009118AB" w:rsidRDefault="008A28FC" w:rsidP="008A28FC">
      <w:pPr>
        <w:autoSpaceDE w:val="0"/>
        <w:autoSpaceDN w:val="0"/>
        <w:adjustRightInd w:val="0"/>
        <w:jc w:val="both"/>
        <w:rPr>
          <w:iCs/>
          <w:spacing w:val="2"/>
          <w:sz w:val="20"/>
        </w:rPr>
      </w:pPr>
      <w:r w:rsidRPr="009118AB">
        <w:rPr>
          <w:iCs/>
          <w:spacing w:val="2"/>
          <w:sz w:val="20"/>
        </w:rPr>
        <w:t xml:space="preserve"> </w:t>
      </w:r>
    </w:p>
    <w:p w14:paraId="50E5A7C6" w14:textId="77777777" w:rsidR="008A28FC" w:rsidRPr="009118AB" w:rsidRDefault="008A28FC" w:rsidP="008A28FC">
      <w:pPr>
        <w:autoSpaceDE w:val="0"/>
        <w:autoSpaceDN w:val="0"/>
        <w:adjustRightInd w:val="0"/>
        <w:jc w:val="both"/>
        <w:rPr>
          <w:iCs/>
          <w:spacing w:val="2"/>
          <w:sz w:val="20"/>
        </w:rPr>
      </w:pPr>
      <w:r w:rsidRPr="009118AB">
        <w:rPr>
          <w:iCs/>
          <w:spacing w:val="2"/>
          <w:sz w:val="20"/>
        </w:rPr>
        <w:t>[8.] für jede weitere Person zu Lasten: [870 EUR].</w:t>
      </w:r>
    </w:p>
    <w:p w14:paraId="1562326C" w14:textId="77777777" w:rsidR="008A28FC" w:rsidRPr="009118AB" w:rsidRDefault="008A28FC" w:rsidP="008A28FC">
      <w:pPr>
        <w:autoSpaceDE w:val="0"/>
        <w:autoSpaceDN w:val="0"/>
        <w:adjustRightInd w:val="0"/>
        <w:jc w:val="both"/>
        <w:rPr>
          <w:iCs/>
          <w:spacing w:val="2"/>
          <w:sz w:val="20"/>
        </w:rPr>
      </w:pPr>
    </w:p>
    <w:p w14:paraId="73350464" w14:textId="0D2820E4" w:rsidR="008A28FC" w:rsidRPr="009118AB" w:rsidRDefault="008A28FC" w:rsidP="008A28FC">
      <w:pPr>
        <w:autoSpaceDE w:val="0"/>
        <w:autoSpaceDN w:val="0"/>
        <w:adjustRightInd w:val="0"/>
        <w:jc w:val="both"/>
        <w:rPr>
          <w:iCs/>
          <w:spacing w:val="2"/>
          <w:sz w:val="20"/>
        </w:rPr>
      </w:pPr>
      <w:r w:rsidRPr="009118AB">
        <w:rPr>
          <w:iCs/>
          <w:spacing w:val="2"/>
          <w:sz w:val="20"/>
        </w:rPr>
        <w:t xml:space="preserve">Für die Anwendung von [Absatz 1 </w:t>
      </w:r>
      <w:r w:rsidR="00D67EB8" w:rsidRPr="009118AB">
        <w:rPr>
          <w:iCs/>
          <w:spacing w:val="2"/>
          <w:sz w:val="20"/>
        </w:rPr>
        <w:t>Nr. </w:t>
      </w:r>
      <w:r w:rsidRPr="009118AB">
        <w:rPr>
          <w:iCs/>
          <w:spacing w:val="2"/>
          <w:sz w:val="20"/>
        </w:rPr>
        <w:t>1 bis 6 und 8] werden Kinder [und andere Personen zu Lasten], die als behindert gelten, doppelt gezählt.</w:t>
      </w:r>
    </w:p>
    <w:p w14:paraId="53F66225" w14:textId="77777777" w:rsidR="008A28FC" w:rsidRPr="009118AB" w:rsidRDefault="008A28FC" w:rsidP="008A28FC">
      <w:pPr>
        <w:autoSpaceDE w:val="0"/>
        <w:autoSpaceDN w:val="0"/>
        <w:adjustRightInd w:val="0"/>
        <w:jc w:val="both"/>
        <w:rPr>
          <w:iCs/>
          <w:spacing w:val="2"/>
          <w:sz w:val="20"/>
        </w:rPr>
      </w:pPr>
    </w:p>
    <w:p w14:paraId="2E1FFBFC" w14:textId="456ABA0A" w:rsidR="008A28FC" w:rsidRPr="009118AB" w:rsidRDefault="008A28FC" w:rsidP="008A28FC">
      <w:pPr>
        <w:autoSpaceDE w:val="0"/>
        <w:autoSpaceDN w:val="0"/>
        <w:adjustRightInd w:val="0"/>
        <w:jc w:val="both"/>
        <w:rPr>
          <w:iCs/>
          <w:spacing w:val="2"/>
          <w:sz w:val="20"/>
        </w:rPr>
      </w:pPr>
      <w:r w:rsidRPr="009118AB">
        <w:rPr>
          <w:iCs/>
          <w:spacing w:val="2"/>
          <w:sz w:val="20"/>
        </w:rPr>
        <w:t xml:space="preserve">[Für die Anwendung von Absatz 1 </w:t>
      </w:r>
      <w:r w:rsidR="00D67EB8" w:rsidRPr="009118AB">
        <w:rPr>
          <w:iCs/>
          <w:spacing w:val="2"/>
          <w:sz w:val="20"/>
        </w:rPr>
        <w:t>Nr. </w:t>
      </w:r>
      <w:r w:rsidRPr="009118AB">
        <w:rPr>
          <w:iCs/>
          <w:spacing w:val="2"/>
          <w:sz w:val="20"/>
        </w:rPr>
        <w:t>7 gelten als pflegebedürftig die Personen, für die der Selbständigkeitsgrad gemäß dem Ministeriellen Erlass vom 30. Juli 1987 zur Festlegung der Kategorien und des Leitfadens für die Beurteilung des Selbständigkeitsgrades im Hinblick auf die Untersuchung des Anrechts auf die Eingliederungsbeihilfe auf mindestens 9 Punkte festgelegt wird. Die Pflegebedürftigkeit wird von der Generaldirektion Personen mit Behinderung des FÖD Soziale Sicherheit, Medex oder dem Vertrauensarzt bei der Krankenkasse oder einer entsprechenden Einrichtung oder Person eines anderen Mitgliedstaates des Europäischen Wirtschaftsraums festgestellt.]</w:t>
      </w:r>
    </w:p>
    <w:p w14:paraId="1C12C485" w14:textId="77777777" w:rsidR="008A28FC" w:rsidRPr="009118AB" w:rsidRDefault="008A28FC" w:rsidP="008A28FC">
      <w:pPr>
        <w:autoSpaceDE w:val="0"/>
        <w:autoSpaceDN w:val="0"/>
        <w:adjustRightInd w:val="0"/>
        <w:jc w:val="both"/>
        <w:rPr>
          <w:iCs/>
          <w:spacing w:val="2"/>
          <w:sz w:val="20"/>
        </w:rPr>
      </w:pPr>
    </w:p>
    <w:p w14:paraId="1709F138" w14:textId="33D53607" w:rsidR="008A28FC" w:rsidRPr="009118AB" w:rsidRDefault="008A28FC" w:rsidP="008A28FC">
      <w:pPr>
        <w:autoSpaceDE w:val="0"/>
        <w:autoSpaceDN w:val="0"/>
        <w:adjustRightInd w:val="0"/>
        <w:jc w:val="both"/>
        <w:rPr>
          <w:spacing w:val="2"/>
          <w:sz w:val="20"/>
        </w:rPr>
      </w:pPr>
      <w:r w:rsidRPr="009118AB">
        <w:rPr>
          <w:i/>
          <w:iCs/>
          <w:spacing w:val="2"/>
          <w:sz w:val="20"/>
        </w:rPr>
        <w:t>[</w:t>
      </w:r>
      <w:r w:rsidR="00D67EB8" w:rsidRPr="009118AB">
        <w:rPr>
          <w:i/>
          <w:iCs/>
          <w:spacing w:val="2"/>
          <w:sz w:val="20"/>
        </w:rPr>
        <w:t>Art. </w:t>
      </w:r>
      <w:r w:rsidRPr="009118AB">
        <w:rPr>
          <w:i/>
          <w:iCs/>
          <w:spacing w:val="2"/>
          <w:sz w:val="20"/>
        </w:rPr>
        <w:t xml:space="preserve">132 </w:t>
      </w:r>
      <w:r w:rsidR="00D67EB8" w:rsidRPr="009118AB">
        <w:rPr>
          <w:i/>
          <w:iCs/>
          <w:spacing w:val="2"/>
          <w:sz w:val="20"/>
        </w:rPr>
        <w:t>Abs. </w:t>
      </w:r>
      <w:r w:rsidRPr="009118AB">
        <w:rPr>
          <w:i/>
          <w:iCs/>
          <w:spacing w:val="2"/>
          <w:sz w:val="20"/>
        </w:rPr>
        <w:t xml:space="preserve">1 einleitende Bestimmung ersetzt durch </w:t>
      </w:r>
      <w:r w:rsidR="00D67EB8" w:rsidRPr="009118AB">
        <w:rPr>
          <w:i/>
          <w:iCs/>
          <w:spacing w:val="2"/>
          <w:sz w:val="20"/>
        </w:rPr>
        <w:t>Art. </w:t>
      </w:r>
      <w:r w:rsidRPr="009118AB">
        <w:rPr>
          <w:i/>
          <w:iCs/>
          <w:spacing w:val="2"/>
          <w:sz w:val="20"/>
        </w:rPr>
        <w:t>146 des G. vom 26. Dezember 2015 (II) (B.S. vom 30. Dezember 2015)</w:t>
      </w:r>
      <w:r w:rsidR="00D67EB8" w:rsidRPr="009118AB">
        <w:rPr>
          <w:i/>
          <w:iCs/>
          <w:spacing w:val="2"/>
          <w:sz w:val="20"/>
        </w:rPr>
        <w:t> - </w:t>
      </w:r>
      <w:r w:rsidRPr="009118AB">
        <w:rPr>
          <w:i/>
          <w:iCs/>
          <w:spacing w:val="2"/>
          <w:sz w:val="20"/>
        </w:rPr>
        <w:t>in Kraft ab dem Steuerjahr 2017</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1 </w:t>
      </w:r>
      <w:r w:rsidR="00D67EB8" w:rsidRPr="009118AB">
        <w:rPr>
          <w:i/>
          <w:iCs/>
          <w:spacing w:val="2"/>
          <w:sz w:val="20"/>
        </w:rPr>
        <w:t>Nr. </w:t>
      </w:r>
      <w:r w:rsidRPr="009118AB">
        <w:rPr>
          <w:i/>
          <w:iCs/>
          <w:spacing w:val="2"/>
          <w:sz w:val="20"/>
        </w:rPr>
        <w:t xml:space="preserve">1 bis 5 abgeändert durch </w:t>
      </w:r>
      <w:r w:rsidR="00D67EB8" w:rsidRPr="009118AB">
        <w:rPr>
          <w:i/>
          <w:iCs/>
          <w:spacing w:val="2"/>
          <w:sz w:val="20"/>
        </w:rPr>
        <w:t>Art. </w:t>
      </w:r>
      <w:r w:rsidRPr="009118AB">
        <w:rPr>
          <w:i/>
          <w:iCs/>
          <w:spacing w:val="2"/>
          <w:sz w:val="20"/>
        </w:rPr>
        <w:t>1 des K.E. vom 20. Juli 2000 (II) (B.S. vom 30. August 2000)</w:t>
      </w:r>
      <w:r w:rsidR="00D67EB8" w:rsidRPr="009118AB">
        <w:rPr>
          <w:i/>
          <w:iCs/>
          <w:spacing w:val="2"/>
          <w:sz w:val="20"/>
        </w:rPr>
        <w:t> - </w:t>
      </w:r>
      <w:r w:rsidRPr="009118AB">
        <w:rPr>
          <w:i/>
          <w:iCs/>
          <w:spacing w:val="2"/>
          <w:sz w:val="20"/>
        </w:rPr>
        <w:t>in Kraft ab dem Steuerjahr 2002</w:t>
      </w:r>
      <w:r w:rsidR="00FD68E8" w:rsidRPr="009118AB">
        <w:rPr>
          <w:i/>
          <w:iCs/>
          <w:spacing w:val="2"/>
          <w:sz w:val="20"/>
        </w:rPr>
        <w:t> -,</w:t>
      </w:r>
      <w:r w:rsidRPr="009118AB">
        <w:rPr>
          <w:i/>
          <w:iCs/>
          <w:spacing w:val="2"/>
          <w:sz w:val="20"/>
        </w:rPr>
        <w:t xml:space="preserve"> selbst abgeändert durch </w:t>
      </w:r>
      <w:r w:rsidR="00D67EB8" w:rsidRPr="009118AB">
        <w:rPr>
          <w:i/>
          <w:iCs/>
          <w:spacing w:val="2"/>
          <w:sz w:val="20"/>
        </w:rPr>
        <w:t>Art. </w:t>
      </w:r>
      <w:r w:rsidRPr="009118AB">
        <w:rPr>
          <w:i/>
          <w:iCs/>
          <w:spacing w:val="2"/>
          <w:sz w:val="20"/>
        </w:rPr>
        <w:t xml:space="preserve">42 </w:t>
      </w:r>
      <w:r w:rsidR="00D67EB8" w:rsidRPr="009118AB">
        <w:rPr>
          <w:i/>
          <w:iCs/>
          <w:spacing w:val="2"/>
          <w:sz w:val="20"/>
        </w:rPr>
        <w:t>Nr. </w:t>
      </w:r>
      <w:r w:rsidRPr="009118AB">
        <w:rPr>
          <w:i/>
          <w:iCs/>
          <w:spacing w:val="2"/>
          <w:sz w:val="20"/>
        </w:rPr>
        <w:t>5 des K.E. vom 13. Juli 2001 (B.S. vom 11. August 2001)</w:t>
      </w:r>
      <w:r w:rsidR="00D67EB8" w:rsidRPr="009118AB">
        <w:rPr>
          <w:i/>
          <w:iCs/>
          <w:spacing w:val="2"/>
          <w:sz w:val="20"/>
        </w:rPr>
        <w:t> - </w:t>
      </w:r>
      <w:r w:rsidRPr="009118AB">
        <w:rPr>
          <w:i/>
          <w:iCs/>
          <w:spacing w:val="2"/>
          <w:sz w:val="20"/>
        </w:rPr>
        <w:t>in Kraft ab dem 1. Januar 2002</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1 </w:t>
      </w:r>
      <w:r w:rsidR="00D67EB8" w:rsidRPr="009118AB">
        <w:rPr>
          <w:i/>
          <w:iCs/>
          <w:spacing w:val="2"/>
          <w:sz w:val="20"/>
        </w:rPr>
        <w:t>Nr. </w:t>
      </w:r>
      <w:r w:rsidRPr="009118AB">
        <w:rPr>
          <w:i/>
          <w:iCs/>
          <w:spacing w:val="2"/>
          <w:sz w:val="20"/>
        </w:rPr>
        <w:t xml:space="preserve">6 abgeändert durch </w:t>
      </w:r>
      <w:r w:rsidR="00D67EB8" w:rsidRPr="009118AB">
        <w:rPr>
          <w:i/>
          <w:iCs/>
          <w:spacing w:val="2"/>
          <w:sz w:val="20"/>
        </w:rPr>
        <w:t>Art. </w:t>
      </w:r>
      <w:r w:rsidRPr="009118AB">
        <w:rPr>
          <w:i/>
          <w:iCs/>
          <w:spacing w:val="2"/>
          <w:sz w:val="20"/>
        </w:rPr>
        <w:t>85 des G. vom 6. Juli 1994 (B.S. vom 16. Juli 1994)</w:t>
      </w:r>
      <w:r w:rsidR="00D67EB8" w:rsidRPr="009118AB">
        <w:rPr>
          <w:i/>
          <w:iCs/>
          <w:spacing w:val="2"/>
          <w:sz w:val="20"/>
        </w:rPr>
        <w:t> - </w:t>
      </w:r>
      <w:r w:rsidRPr="009118AB">
        <w:rPr>
          <w:i/>
          <w:iCs/>
          <w:spacing w:val="2"/>
          <w:sz w:val="20"/>
        </w:rPr>
        <w:t>anwendbar ab dem Steuerjahr 1995</w:t>
      </w:r>
      <w:r w:rsidR="00FD68E8" w:rsidRPr="009118AB">
        <w:rPr>
          <w:i/>
          <w:iCs/>
          <w:spacing w:val="2"/>
          <w:sz w:val="20"/>
        </w:rPr>
        <w:t> -,</w:t>
      </w:r>
      <w:r w:rsidRPr="009118AB">
        <w:rPr>
          <w:i/>
          <w:iCs/>
          <w:spacing w:val="2"/>
          <w:sz w:val="20"/>
        </w:rPr>
        <w:t xml:space="preserve"> </w:t>
      </w:r>
      <w:r w:rsidR="00D67EB8" w:rsidRPr="009118AB">
        <w:rPr>
          <w:i/>
          <w:iCs/>
          <w:spacing w:val="2"/>
          <w:sz w:val="20"/>
        </w:rPr>
        <w:t>Art. </w:t>
      </w:r>
      <w:r w:rsidRPr="009118AB">
        <w:rPr>
          <w:i/>
          <w:iCs/>
          <w:spacing w:val="2"/>
          <w:sz w:val="20"/>
        </w:rPr>
        <w:t>2 des G. vom 24. Dezember 1999 (B.S. vom 31. Dezember 1999)</w:t>
      </w:r>
      <w:r w:rsidR="00D67EB8" w:rsidRPr="009118AB">
        <w:rPr>
          <w:i/>
          <w:iCs/>
          <w:spacing w:val="2"/>
          <w:sz w:val="20"/>
        </w:rPr>
        <w:t> - </w:t>
      </w:r>
      <w:r w:rsidRPr="009118AB">
        <w:rPr>
          <w:i/>
          <w:iCs/>
          <w:spacing w:val="2"/>
          <w:sz w:val="20"/>
        </w:rPr>
        <w:t>anwendbar ab dem Steuerjahr 2000</w:t>
      </w:r>
      <w:r w:rsidR="00FD68E8" w:rsidRPr="009118AB">
        <w:rPr>
          <w:i/>
          <w:iCs/>
          <w:spacing w:val="2"/>
          <w:sz w:val="20"/>
        </w:rPr>
        <w:t> -,</w:t>
      </w:r>
      <w:r w:rsidRPr="009118AB">
        <w:rPr>
          <w:i/>
          <w:iCs/>
          <w:spacing w:val="2"/>
          <w:sz w:val="20"/>
        </w:rPr>
        <w:t xml:space="preserve"> </w:t>
      </w:r>
      <w:r w:rsidR="00D67EB8" w:rsidRPr="009118AB">
        <w:rPr>
          <w:i/>
          <w:iCs/>
          <w:spacing w:val="2"/>
          <w:sz w:val="20"/>
        </w:rPr>
        <w:t>Art. </w:t>
      </w:r>
      <w:r w:rsidRPr="009118AB">
        <w:rPr>
          <w:i/>
          <w:iCs/>
          <w:spacing w:val="2"/>
          <w:sz w:val="20"/>
        </w:rPr>
        <w:t>1 des K.E. vom 20. Juli 2000 (II) (B.S. vom 30. August 2000)</w:t>
      </w:r>
      <w:r w:rsidR="00D67EB8" w:rsidRPr="009118AB">
        <w:rPr>
          <w:i/>
          <w:iCs/>
          <w:spacing w:val="2"/>
          <w:sz w:val="20"/>
        </w:rPr>
        <w:t> - </w:t>
      </w:r>
      <w:r w:rsidRPr="009118AB">
        <w:rPr>
          <w:i/>
          <w:iCs/>
          <w:spacing w:val="2"/>
          <w:sz w:val="20"/>
        </w:rPr>
        <w:t>in Kraft ab dem Steuerjahr 2002</w:t>
      </w:r>
      <w:r w:rsidR="00FD68E8" w:rsidRPr="009118AB">
        <w:rPr>
          <w:i/>
          <w:iCs/>
          <w:spacing w:val="2"/>
          <w:sz w:val="20"/>
        </w:rPr>
        <w:t> -,</w:t>
      </w:r>
      <w:r w:rsidRPr="009118AB">
        <w:rPr>
          <w:i/>
          <w:iCs/>
          <w:spacing w:val="2"/>
          <w:sz w:val="20"/>
        </w:rPr>
        <w:t xml:space="preserve"> selbst abgeändert durch </w:t>
      </w:r>
      <w:r w:rsidR="00D67EB8" w:rsidRPr="009118AB">
        <w:rPr>
          <w:i/>
          <w:iCs/>
          <w:spacing w:val="2"/>
          <w:sz w:val="20"/>
        </w:rPr>
        <w:t>Art. </w:t>
      </w:r>
      <w:r w:rsidRPr="009118AB">
        <w:rPr>
          <w:i/>
          <w:iCs/>
          <w:spacing w:val="2"/>
          <w:sz w:val="20"/>
        </w:rPr>
        <w:t xml:space="preserve">42 </w:t>
      </w:r>
      <w:r w:rsidR="00D67EB8" w:rsidRPr="009118AB">
        <w:rPr>
          <w:i/>
          <w:iCs/>
          <w:spacing w:val="2"/>
          <w:sz w:val="20"/>
        </w:rPr>
        <w:t>Nr. </w:t>
      </w:r>
      <w:r w:rsidRPr="009118AB">
        <w:rPr>
          <w:i/>
          <w:iCs/>
          <w:spacing w:val="2"/>
          <w:sz w:val="20"/>
        </w:rPr>
        <w:t>5 des K.E. vom 13. Juli 2001 (B.S. vom 11. August 2001)</w:t>
      </w:r>
      <w:r w:rsidR="00D67EB8" w:rsidRPr="009118AB">
        <w:rPr>
          <w:i/>
          <w:iCs/>
          <w:spacing w:val="2"/>
          <w:sz w:val="20"/>
        </w:rPr>
        <w:t> - </w:t>
      </w:r>
      <w:r w:rsidRPr="009118AB">
        <w:rPr>
          <w:i/>
          <w:iCs/>
          <w:spacing w:val="2"/>
          <w:sz w:val="20"/>
        </w:rPr>
        <w:t>in Kraft ab dem 1. Januar 2002</w:t>
      </w:r>
      <w:r w:rsidR="00FD68E8" w:rsidRPr="009118AB">
        <w:rPr>
          <w:i/>
          <w:iCs/>
          <w:spacing w:val="2"/>
          <w:sz w:val="20"/>
        </w:rPr>
        <w:t> -,</w:t>
      </w:r>
      <w:r w:rsidRPr="009118AB">
        <w:rPr>
          <w:i/>
          <w:iCs/>
          <w:spacing w:val="2"/>
          <w:sz w:val="20"/>
        </w:rPr>
        <w:t xml:space="preserve"> und durch </w:t>
      </w:r>
      <w:r w:rsidR="00D67EB8" w:rsidRPr="009118AB">
        <w:rPr>
          <w:i/>
          <w:iCs/>
          <w:spacing w:val="2"/>
          <w:sz w:val="20"/>
        </w:rPr>
        <w:t>Art. </w:t>
      </w:r>
      <w:r w:rsidRPr="009118AB">
        <w:rPr>
          <w:i/>
          <w:iCs/>
          <w:spacing w:val="2"/>
          <w:sz w:val="20"/>
        </w:rPr>
        <w:t>13 des G. vom 13. Dezember 2012 (B.S. vom 20. Dezember 2012)</w:t>
      </w:r>
      <w:r w:rsidR="00D67EB8" w:rsidRPr="009118AB">
        <w:rPr>
          <w:i/>
          <w:iCs/>
          <w:spacing w:val="2"/>
          <w:sz w:val="20"/>
        </w:rPr>
        <w:t> - </w:t>
      </w:r>
      <w:r w:rsidRPr="009118AB">
        <w:rPr>
          <w:i/>
          <w:iCs/>
          <w:spacing w:val="2"/>
          <w:sz w:val="20"/>
        </w:rPr>
        <w:t>in Kraft ab dem Steuerjahr 2013</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1 neue Nummer 7 eingefügt durch </w:t>
      </w:r>
      <w:r w:rsidR="00D67EB8" w:rsidRPr="009118AB">
        <w:rPr>
          <w:i/>
          <w:iCs/>
          <w:spacing w:val="2"/>
          <w:sz w:val="20"/>
        </w:rPr>
        <w:t>Art. </w:t>
      </w:r>
      <w:r w:rsidRPr="009118AB">
        <w:rPr>
          <w:i/>
          <w:iCs/>
          <w:spacing w:val="2"/>
          <w:sz w:val="20"/>
        </w:rPr>
        <w:t>2 des G. vom 6. Juli 2004 (II) (B.S. vom 5. August 2004)</w:t>
      </w:r>
      <w:r w:rsidR="00D67EB8" w:rsidRPr="009118AB">
        <w:rPr>
          <w:i/>
          <w:iCs/>
          <w:spacing w:val="2"/>
          <w:sz w:val="20"/>
        </w:rPr>
        <w:t> - </w:t>
      </w:r>
      <w:r w:rsidRPr="009118AB">
        <w:rPr>
          <w:i/>
          <w:iCs/>
          <w:spacing w:val="2"/>
          <w:sz w:val="20"/>
        </w:rPr>
        <w:t>in Kraft ab dem 1. Januar 2005</w:t>
      </w:r>
      <w:r w:rsidR="00D67EB8" w:rsidRPr="009118AB">
        <w:rPr>
          <w:i/>
          <w:iCs/>
          <w:spacing w:val="2"/>
          <w:sz w:val="20"/>
        </w:rPr>
        <w:t> - </w:t>
      </w:r>
      <w:r w:rsidRPr="009118AB">
        <w:rPr>
          <w:i/>
          <w:iCs/>
          <w:spacing w:val="2"/>
          <w:sz w:val="20"/>
        </w:rPr>
        <w:t xml:space="preserve">und abgeändert durch </w:t>
      </w:r>
      <w:r w:rsidR="00D67EB8" w:rsidRPr="009118AB">
        <w:rPr>
          <w:i/>
          <w:iCs/>
          <w:spacing w:val="2"/>
          <w:sz w:val="20"/>
        </w:rPr>
        <w:t>Art. </w:t>
      </w:r>
      <w:r w:rsidRPr="009118AB">
        <w:rPr>
          <w:i/>
          <w:iCs/>
          <w:spacing w:val="2"/>
          <w:sz w:val="20"/>
        </w:rPr>
        <w:t xml:space="preserve">7 </w:t>
      </w:r>
      <w:r w:rsidR="00D67EB8" w:rsidRPr="009118AB">
        <w:rPr>
          <w:i/>
          <w:iCs/>
          <w:spacing w:val="2"/>
          <w:sz w:val="20"/>
        </w:rPr>
        <w:t>Nr. </w:t>
      </w:r>
      <w:r w:rsidRPr="009118AB">
        <w:rPr>
          <w:i/>
          <w:iCs/>
          <w:spacing w:val="2"/>
          <w:sz w:val="20"/>
        </w:rPr>
        <w:t>1 und 2 des G. vom 20. Dezember 2020 (I) (B.S. vom 30. Dezember 2020)</w:t>
      </w:r>
      <w:r w:rsidR="00D67EB8" w:rsidRPr="009118AB">
        <w:rPr>
          <w:i/>
          <w:iCs/>
          <w:spacing w:val="2"/>
          <w:sz w:val="20"/>
        </w:rPr>
        <w:t> - </w:t>
      </w:r>
      <w:r w:rsidRPr="009118AB">
        <w:rPr>
          <w:i/>
          <w:iCs/>
          <w:spacing w:val="2"/>
          <w:sz w:val="20"/>
        </w:rPr>
        <w:t>anwendbar ab dem Steuerjahr 2022</w:t>
      </w:r>
      <w:r w:rsidR="00FD68E8" w:rsidRPr="009118AB">
        <w:rPr>
          <w:i/>
          <w:iCs/>
          <w:spacing w:val="2"/>
          <w:sz w:val="20"/>
        </w:rPr>
        <w:t> -,</w:t>
      </w:r>
      <w:r w:rsidRPr="009118AB">
        <w:rPr>
          <w:i/>
          <w:iCs/>
          <w:spacing w:val="2"/>
          <w:sz w:val="20"/>
        </w:rPr>
        <w:t xml:space="preserve"> </w:t>
      </w:r>
      <w:r w:rsidR="00D67EB8" w:rsidRPr="009118AB">
        <w:rPr>
          <w:i/>
          <w:iCs/>
          <w:spacing w:val="2"/>
          <w:sz w:val="20"/>
        </w:rPr>
        <w:t>Art. </w:t>
      </w:r>
      <w:r w:rsidRPr="009118AB">
        <w:rPr>
          <w:i/>
          <w:iCs/>
          <w:spacing w:val="2"/>
          <w:sz w:val="20"/>
        </w:rPr>
        <w:t xml:space="preserve">2 </w:t>
      </w:r>
      <w:r w:rsidR="00D67EB8" w:rsidRPr="009118AB">
        <w:rPr>
          <w:i/>
          <w:iCs/>
          <w:spacing w:val="2"/>
          <w:sz w:val="20"/>
        </w:rPr>
        <w:t>Nr. </w:t>
      </w:r>
      <w:r w:rsidRPr="009118AB">
        <w:rPr>
          <w:i/>
          <w:iCs/>
          <w:spacing w:val="2"/>
          <w:sz w:val="20"/>
        </w:rPr>
        <w:t>1 des G. vom 16. März 2021 (B.S. vom 23. März 2021)</w:t>
      </w:r>
      <w:r w:rsidR="00D67EB8" w:rsidRPr="009118AB">
        <w:rPr>
          <w:i/>
          <w:iCs/>
          <w:spacing w:val="2"/>
          <w:sz w:val="20"/>
        </w:rPr>
        <w:t> - </w:t>
      </w:r>
      <w:r w:rsidRPr="009118AB">
        <w:rPr>
          <w:i/>
          <w:iCs/>
          <w:spacing w:val="2"/>
          <w:sz w:val="20"/>
        </w:rPr>
        <w:t>anwendbar ab dem Steuerjahr 2026</w:t>
      </w:r>
      <w:r w:rsidR="00D67EB8" w:rsidRPr="009118AB">
        <w:rPr>
          <w:i/>
          <w:iCs/>
          <w:spacing w:val="2"/>
          <w:sz w:val="20"/>
        </w:rPr>
        <w:t> - </w:t>
      </w:r>
      <w:r w:rsidRPr="009118AB">
        <w:rPr>
          <w:i/>
          <w:iCs/>
          <w:spacing w:val="2"/>
          <w:sz w:val="20"/>
        </w:rPr>
        <w:t xml:space="preserve">und </w:t>
      </w:r>
      <w:r w:rsidR="00D67EB8" w:rsidRPr="009118AB">
        <w:rPr>
          <w:i/>
          <w:iCs/>
          <w:spacing w:val="2"/>
          <w:sz w:val="20"/>
        </w:rPr>
        <w:t>Art. </w:t>
      </w:r>
      <w:r w:rsidRPr="009118AB">
        <w:rPr>
          <w:i/>
          <w:iCs/>
          <w:spacing w:val="2"/>
          <w:sz w:val="20"/>
        </w:rPr>
        <w:t xml:space="preserve">2 </w:t>
      </w:r>
      <w:r w:rsidR="00D67EB8" w:rsidRPr="009118AB">
        <w:rPr>
          <w:i/>
          <w:iCs/>
          <w:spacing w:val="2"/>
          <w:sz w:val="20"/>
        </w:rPr>
        <w:t>Nr. </w:t>
      </w:r>
      <w:r w:rsidRPr="009118AB">
        <w:rPr>
          <w:i/>
          <w:iCs/>
          <w:spacing w:val="2"/>
          <w:sz w:val="20"/>
        </w:rPr>
        <w:t>2 des G. vom 16. März 2021 (B.S. vom 23. März 2021)</w:t>
      </w:r>
      <w:r w:rsidR="00D67EB8" w:rsidRPr="009118AB">
        <w:rPr>
          <w:i/>
          <w:iCs/>
          <w:spacing w:val="2"/>
          <w:sz w:val="20"/>
        </w:rPr>
        <w:t> - </w:t>
      </w:r>
      <w:r w:rsidRPr="009118AB">
        <w:rPr>
          <w:i/>
          <w:iCs/>
          <w:spacing w:val="2"/>
          <w:sz w:val="20"/>
        </w:rPr>
        <w:t>anwendbar ab dem Steuerjahr 2031</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1 frühere Nummer 7 abgeändert durch </w:t>
      </w:r>
      <w:r w:rsidR="00D67EB8" w:rsidRPr="009118AB">
        <w:rPr>
          <w:i/>
          <w:iCs/>
          <w:spacing w:val="2"/>
          <w:sz w:val="20"/>
        </w:rPr>
        <w:t>Art. </w:t>
      </w:r>
      <w:r w:rsidRPr="009118AB">
        <w:rPr>
          <w:i/>
          <w:iCs/>
          <w:spacing w:val="2"/>
          <w:sz w:val="20"/>
        </w:rPr>
        <w:t>1 des K.E. vom 20. Juli 2000 (II) (B.S. vom 30. August 2000)</w:t>
      </w:r>
      <w:r w:rsidR="00D67EB8" w:rsidRPr="009118AB">
        <w:rPr>
          <w:i/>
          <w:iCs/>
          <w:spacing w:val="2"/>
          <w:sz w:val="20"/>
        </w:rPr>
        <w:t> - </w:t>
      </w:r>
      <w:r w:rsidRPr="009118AB">
        <w:rPr>
          <w:i/>
          <w:iCs/>
          <w:spacing w:val="2"/>
          <w:sz w:val="20"/>
        </w:rPr>
        <w:t>in Kraft ab dem Steuerjahr 2002</w:t>
      </w:r>
      <w:r w:rsidR="00FD68E8" w:rsidRPr="009118AB">
        <w:rPr>
          <w:i/>
          <w:iCs/>
          <w:spacing w:val="2"/>
          <w:sz w:val="20"/>
        </w:rPr>
        <w:t> -,</w:t>
      </w:r>
      <w:r w:rsidRPr="009118AB">
        <w:rPr>
          <w:i/>
          <w:iCs/>
          <w:spacing w:val="2"/>
          <w:sz w:val="20"/>
        </w:rPr>
        <w:t xml:space="preserve"> selbst abgeändert durch </w:t>
      </w:r>
      <w:r w:rsidR="00D67EB8" w:rsidRPr="009118AB">
        <w:rPr>
          <w:i/>
          <w:iCs/>
          <w:spacing w:val="2"/>
          <w:sz w:val="20"/>
        </w:rPr>
        <w:t>Art. </w:t>
      </w:r>
      <w:r w:rsidRPr="009118AB">
        <w:rPr>
          <w:i/>
          <w:iCs/>
          <w:spacing w:val="2"/>
          <w:sz w:val="20"/>
        </w:rPr>
        <w:t xml:space="preserve">42 </w:t>
      </w:r>
      <w:r w:rsidR="00D67EB8" w:rsidRPr="009118AB">
        <w:rPr>
          <w:i/>
          <w:iCs/>
          <w:spacing w:val="2"/>
          <w:sz w:val="20"/>
        </w:rPr>
        <w:t>Nr. </w:t>
      </w:r>
      <w:r w:rsidRPr="009118AB">
        <w:rPr>
          <w:i/>
          <w:iCs/>
          <w:spacing w:val="2"/>
          <w:sz w:val="20"/>
        </w:rPr>
        <w:t>5 des K.E. vom 13. Juli 2001 (B.S. vom 11. August 2001)</w:t>
      </w:r>
      <w:r w:rsidR="00D67EB8" w:rsidRPr="009118AB">
        <w:rPr>
          <w:i/>
          <w:iCs/>
          <w:spacing w:val="2"/>
          <w:sz w:val="20"/>
        </w:rPr>
        <w:t> - </w:t>
      </w:r>
      <w:r w:rsidRPr="009118AB">
        <w:rPr>
          <w:i/>
          <w:iCs/>
          <w:spacing w:val="2"/>
          <w:sz w:val="20"/>
        </w:rPr>
        <w:t>in Kraft ab dem 1. Januar 2002</w:t>
      </w:r>
      <w:r w:rsidR="00FD68E8" w:rsidRPr="009118AB">
        <w:rPr>
          <w:i/>
          <w:iCs/>
          <w:spacing w:val="2"/>
          <w:sz w:val="20"/>
        </w:rPr>
        <w:t> -,</w:t>
      </w:r>
      <w:r w:rsidRPr="009118AB">
        <w:rPr>
          <w:i/>
          <w:iCs/>
          <w:spacing w:val="2"/>
          <w:sz w:val="20"/>
        </w:rPr>
        <w:t xml:space="preserve"> und umnummeriert zu </w:t>
      </w:r>
      <w:r w:rsidR="00D67EB8" w:rsidRPr="009118AB">
        <w:rPr>
          <w:i/>
          <w:iCs/>
          <w:spacing w:val="2"/>
          <w:sz w:val="20"/>
        </w:rPr>
        <w:t>Nr. </w:t>
      </w:r>
      <w:r w:rsidRPr="009118AB">
        <w:rPr>
          <w:i/>
          <w:iCs/>
          <w:spacing w:val="2"/>
          <w:sz w:val="20"/>
        </w:rPr>
        <w:t xml:space="preserve">8 durch </w:t>
      </w:r>
      <w:r w:rsidR="00D67EB8" w:rsidRPr="009118AB">
        <w:rPr>
          <w:i/>
          <w:iCs/>
          <w:spacing w:val="2"/>
          <w:sz w:val="20"/>
        </w:rPr>
        <w:t>Art. </w:t>
      </w:r>
      <w:r w:rsidRPr="009118AB">
        <w:rPr>
          <w:i/>
          <w:iCs/>
          <w:spacing w:val="2"/>
          <w:sz w:val="20"/>
        </w:rPr>
        <w:t>2 des G. vom 6. Juli 2004 (II) (B.S. vom 5. August 2004)</w:t>
      </w:r>
      <w:r w:rsidR="00D67EB8" w:rsidRPr="009118AB">
        <w:rPr>
          <w:i/>
          <w:iCs/>
          <w:spacing w:val="2"/>
          <w:sz w:val="20"/>
        </w:rPr>
        <w:t> - </w:t>
      </w:r>
      <w:r w:rsidRPr="009118AB">
        <w:rPr>
          <w:i/>
          <w:iCs/>
          <w:spacing w:val="2"/>
          <w:sz w:val="20"/>
        </w:rPr>
        <w:t>in Kraft ab dem Steuerjahr 2006</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2 abgeändert durch </w:t>
      </w:r>
      <w:r w:rsidR="00D67EB8" w:rsidRPr="009118AB">
        <w:rPr>
          <w:i/>
          <w:iCs/>
          <w:spacing w:val="2"/>
          <w:sz w:val="20"/>
        </w:rPr>
        <w:t>Art. </w:t>
      </w:r>
      <w:r w:rsidRPr="009118AB">
        <w:rPr>
          <w:i/>
          <w:iCs/>
          <w:spacing w:val="2"/>
          <w:sz w:val="20"/>
        </w:rPr>
        <w:t xml:space="preserve">24 </w:t>
      </w:r>
      <w:r w:rsidR="00D67EB8" w:rsidRPr="009118AB">
        <w:rPr>
          <w:i/>
          <w:iCs/>
          <w:spacing w:val="2"/>
          <w:sz w:val="20"/>
        </w:rPr>
        <w:t>Nr. </w:t>
      </w:r>
      <w:r w:rsidRPr="009118AB">
        <w:rPr>
          <w:i/>
          <w:iCs/>
          <w:spacing w:val="2"/>
          <w:sz w:val="20"/>
        </w:rPr>
        <w:t>2 des G. vom 10. August 2001 (B.S. vom 20. September 2001)</w:t>
      </w:r>
      <w:r w:rsidR="00D67EB8" w:rsidRPr="009118AB">
        <w:rPr>
          <w:i/>
          <w:iCs/>
          <w:spacing w:val="2"/>
          <w:sz w:val="20"/>
        </w:rPr>
        <w:t> - </w:t>
      </w:r>
      <w:r w:rsidRPr="009118AB">
        <w:rPr>
          <w:i/>
          <w:iCs/>
          <w:spacing w:val="2"/>
          <w:sz w:val="20"/>
        </w:rPr>
        <w:t>in Kraft ab dem Steuerjahr 2005</w:t>
      </w:r>
      <w:r w:rsidR="00D67EB8" w:rsidRPr="009118AB">
        <w:rPr>
          <w:i/>
          <w:iCs/>
          <w:spacing w:val="2"/>
          <w:sz w:val="20"/>
        </w:rPr>
        <w:t> - </w:t>
      </w:r>
      <w:r w:rsidRPr="009118AB">
        <w:rPr>
          <w:i/>
          <w:iCs/>
          <w:spacing w:val="2"/>
          <w:sz w:val="20"/>
        </w:rPr>
        <w:t xml:space="preserve">und </w:t>
      </w:r>
      <w:r w:rsidR="00D67EB8" w:rsidRPr="009118AB">
        <w:rPr>
          <w:i/>
          <w:iCs/>
          <w:spacing w:val="2"/>
          <w:sz w:val="20"/>
        </w:rPr>
        <w:t>Art. </w:t>
      </w:r>
      <w:r w:rsidRPr="009118AB">
        <w:rPr>
          <w:i/>
          <w:iCs/>
          <w:spacing w:val="2"/>
          <w:sz w:val="20"/>
        </w:rPr>
        <w:t xml:space="preserve">7 </w:t>
      </w:r>
      <w:r w:rsidR="00D67EB8" w:rsidRPr="009118AB">
        <w:rPr>
          <w:i/>
          <w:iCs/>
          <w:spacing w:val="2"/>
          <w:sz w:val="20"/>
        </w:rPr>
        <w:t>Nr. </w:t>
      </w:r>
      <w:r w:rsidRPr="009118AB">
        <w:rPr>
          <w:i/>
          <w:iCs/>
          <w:spacing w:val="2"/>
          <w:sz w:val="20"/>
        </w:rPr>
        <w:t>3 des G. vom 20. Dezember 2020</w:t>
      </w:r>
      <w:r w:rsidRPr="009118AB">
        <w:rPr>
          <w:rFonts w:hint="eastAsia"/>
          <w:i/>
          <w:iCs/>
          <w:spacing w:val="2"/>
          <w:sz w:val="20"/>
        </w:rPr>
        <w:t> </w:t>
      </w:r>
      <w:r w:rsidRPr="009118AB">
        <w:rPr>
          <w:i/>
          <w:iCs/>
          <w:spacing w:val="2"/>
          <w:sz w:val="20"/>
        </w:rPr>
        <w:t>(I) (B.S. vom 30. Dezember 2020)</w:t>
      </w:r>
      <w:r w:rsidR="00D67EB8" w:rsidRPr="009118AB">
        <w:rPr>
          <w:i/>
          <w:iCs/>
          <w:spacing w:val="2"/>
          <w:sz w:val="20"/>
        </w:rPr>
        <w:t> - </w:t>
      </w:r>
      <w:r w:rsidRPr="009118AB">
        <w:rPr>
          <w:i/>
          <w:iCs/>
          <w:spacing w:val="2"/>
          <w:sz w:val="20"/>
        </w:rPr>
        <w:t>anwendbar ab dem Steuerjahr 2022</w:t>
      </w:r>
      <w:r w:rsidR="003366D9" w:rsidRPr="009118AB">
        <w:rPr>
          <w:i/>
          <w:iCs/>
          <w:spacing w:val="2"/>
          <w:sz w:val="20"/>
        </w:rPr>
        <w:t> -;</w:t>
      </w:r>
      <w:r w:rsidRPr="009118AB">
        <w:rPr>
          <w:i/>
          <w:iCs/>
          <w:spacing w:val="2"/>
          <w:sz w:val="20"/>
        </w:rPr>
        <w:t xml:space="preserve"> </w:t>
      </w:r>
      <w:r w:rsidR="00D67EB8" w:rsidRPr="009118AB">
        <w:rPr>
          <w:i/>
          <w:iCs/>
          <w:spacing w:val="2"/>
          <w:sz w:val="20"/>
        </w:rPr>
        <w:t>Abs. </w:t>
      </w:r>
      <w:r w:rsidRPr="009118AB">
        <w:rPr>
          <w:i/>
          <w:iCs/>
          <w:spacing w:val="2"/>
          <w:sz w:val="20"/>
        </w:rPr>
        <w:t xml:space="preserve">3 eingefügt durch </w:t>
      </w:r>
      <w:r w:rsidR="00D67EB8" w:rsidRPr="009118AB">
        <w:rPr>
          <w:i/>
          <w:iCs/>
          <w:spacing w:val="2"/>
          <w:sz w:val="20"/>
        </w:rPr>
        <w:t>Art. </w:t>
      </w:r>
      <w:r w:rsidRPr="009118AB">
        <w:rPr>
          <w:i/>
          <w:iCs/>
          <w:spacing w:val="2"/>
          <w:sz w:val="20"/>
        </w:rPr>
        <w:t xml:space="preserve">7 </w:t>
      </w:r>
      <w:r w:rsidR="00D67EB8" w:rsidRPr="009118AB">
        <w:rPr>
          <w:i/>
          <w:iCs/>
          <w:spacing w:val="2"/>
          <w:sz w:val="20"/>
        </w:rPr>
        <w:t>Nr. </w:t>
      </w:r>
      <w:r w:rsidRPr="009118AB">
        <w:rPr>
          <w:i/>
          <w:iCs/>
          <w:spacing w:val="2"/>
          <w:sz w:val="20"/>
        </w:rPr>
        <w:t>4 des G. vom 20. Dezember 2020</w:t>
      </w:r>
      <w:r w:rsidRPr="009118AB">
        <w:rPr>
          <w:rFonts w:hint="eastAsia"/>
          <w:i/>
          <w:iCs/>
          <w:spacing w:val="2"/>
          <w:sz w:val="20"/>
        </w:rPr>
        <w:t> </w:t>
      </w:r>
      <w:r w:rsidRPr="009118AB">
        <w:rPr>
          <w:i/>
          <w:iCs/>
          <w:spacing w:val="2"/>
          <w:sz w:val="20"/>
        </w:rPr>
        <w:t>(I) (B.S. vom 30. Dezember 2020)</w:t>
      </w:r>
      <w:r w:rsidR="00D67EB8" w:rsidRPr="009118AB">
        <w:rPr>
          <w:i/>
          <w:iCs/>
          <w:spacing w:val="2"/>
          <w:sz w:val="20"/>
        </w:rPr>
        <w:t> - </w:t>
      </w:r>
      <w:r w:rsidRPr="009118AB">
        <w:rPr>
          <w:i/>
          <w:iCs/>
          <w:spacing w:val="2"/>
          <w:sz w:val="20"/>
        </w:rPr>
        <w:t>anwendbar ab dem Steuerjahr 2022</w:t>
      </w:r>
      <w:r w:rsidR="00FD68E8" w:rsidRPr="009118AB">
        <w:rPr>
          <w:i/>
          <w:iCs/>
          <w:spacing w:val="2"/>
          <w:sz w:val="20"/>
        </w:rPr>
        <w:t> -]</w:t>
      </w:r>
      <w:r w:rsidRPr="009118AB">
        <w:rPr>
          <w:spacing w:val="2"/>
          <w:sz w:val="20"/>
        </w:rPr>
        <w:t>"</w:t>
      </w:r>
    </w:p>
    <w:p w14:paraId="7377AF15" w14:textId="77777777" w:rsidR="008A28FC" w:rsidRPr="009118AB" w:rsidRDefault="008A28FC" w:rsidP="008A28FC">
      <w:pPr>
        <w:autoSpaceDE w:val="0"/>
        <w:autoSpaceDN w:val="0"/>
        <w:adjustRightInd w:val="0"/>
        <w:jc w:val="both"/>
        <w:rPr>
          <w:spacing w:val="2"/>
          <w:szCs w:val="32"/>
        </w:rPr>
      </w:pPr>
    </w:p>
    <w:p w14:paraId="4F8825D9" w14:textId="77777777" w:rsidR="008A28FC" w:rsidRPr="009118AB" w:rsidRDefault="008A28FC" w:rsidP="008A28FC">
      <w:pPr>
        <w:autoSpaceDE w:val="0"/>
        <w:autoSpaceDN w:val="0"/>
        <w:adjustRightInd w:val="0"/>
        <w:jc w:val="both"/>
        <w:rPr>
          <w:spacing w:val="2"/>
          <w:szCs w:val="32"/>
        </w:rPr>
      </w:pPr>
    </w:p>
    <w:p w14:paraId="1C111663" w14:textId="1F05248D"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132</w:t>
      </w:r>
      <w:r w:rsidRPr="009118AB">
        <w:rPr>
          <w:b/>
          <w:bCs/>
          <w:i/>
          <w:iCs/>
        </w:rPr>
        <w:t>bis</w:t>
      </w:r>
      <w:r w:rsidR="00D67EB8" w:rsidRPr="009118AB">
        <w:t> - </w:t>
      </w:r>
      <w:r w:rsidRPr="009118AB">
        <w:t>[</w:t>
      </w:r>
      <w:r w:rsidR="00FD0057" w:rsidRPr="009118AB">
        <w:t xml:space="preserve">[Die in Artikel 132 Absatz 1 </w:t>
      </w:r>
      <w:r w:rsidR="00D67EB8" w:rsidRPr="009118AB">
        <w:t>Nr. </w:t>
      </w:r>
      <w:r w:rsidR="00FD0057" w:rsidRPr="009118AB">
        <w:t xml:space="preserve">1 bis 6 erwähnten Zuschläge werden zwischen zwei Steuerpflichtigen aufgeteilt, die nicht Mitglied desselben Haushalts sind, jedoch die in Artikel 203 </w:t>
      </w:r>
      <w:r w:rsidR="00D67EB8" w:rsidRPr="009118AB">
        <w:t>§ </w:t>
      </w:r>
      <w:r w:rsidR="00FD0057" w:rsidRPr="009118AB">
        <w:t>1 des Zivilgesetzbuches vorgesehene Unterhaltspflicht in Bezug auf ein oder mehrere Kinder zu Lasten erfüllen, die zu den vorerwähnten Zuschlägen berechtigen und deren Unterbringung gleichmäßig unter den beiden Steuerpflichtigen aufgeteilt ist:]</w:t>
      </w:r>
    </w:p>
    <w:p w14:paraId="569485B7" w14:textId="77777777" w:rsidR="00477B8F" w:rsidRPr="009118AB" w:rsidRDefault="00477B8F" w:rsidP="00477B8F">
      <w:pPr>
        <w:autoSpaceDE w:val="0"/>
        <w:autoSpaceDN w:val="0"/>
        <w:adjustRightInd w:val="0"/>
        <w:jc w:val="both"/>
      </w:pPr>
    </w:p>
    <w:p w14:paraId="1ADAAEB3" w14:textId="77777777" w:rsidR="00477B8F" w:rsidRPr="009118AB" w:rsidRDefault="00477B8F" w:rsidP="005E670E">
      <w:pPr>
        <w:autoSpaceDE w:val="0"/>
        <w:autoSpaceDN w:val="0"/>
        <w:adjustRightInd w:val="0"/>
        <w:ind w:firstLine="708"/>
        <w:jc w:val="both"/>
      </w:pPr>
      <w:r w:rsidRPr="009118AB">
        <w:t>- entweder auf der Grundlage einer registrierten oder vom Richter homologierten Vereinbarung, in der ausdrücklich angegeben ist, dass die Unterbringung dieser Kinder gleichmäßig unter den beiden Steuerpflichtigen aufgeteilt ist und dass diese bereit sind, die Zuschläge zum Steuerfreibetrag für diese Kinder aufzuteilen,</w:t>
      </w:r>
    </w:p>
    <w:p w14:paraId="526CCE1C" w14:textId="77777777" w:rsidR="00477B8F" w:rsidRPr="009118AB" w:rsidRDefault="00477B8F" w:rsidP="00477B8F">
      <w:pPr>
        <w:autoSpaceDE w:val="0"/>
        <w:autoSpaceDN w:val="0"/>
        <w:adjustRightInd w:val="0"/>
        <w:jc w:val="both"/>
      </w:pPr>
    </w:p>
    <w:p w14:paraId="332BF425" w14:textId="77777777" w:rsidR="00477B8F" w:rsidRPr="009118AB" w:rsidRDefault="00477B8F" w:rsidP="005E670E">
      <w:pPr>
        <w:autoSpaceDE w:val="0"/>
        <w:autoSpaceDN w:val="0"/>
        <w:adjustRightInd w:val="0"/>
        <w:ind w:firstLine="708"/>
        <w:jc w:val="both"/>
      </w:pPr>
      <w:r w:rsidRPr="009118AB">
        <w:t>- oder auf der Grundlage einer gerichtlichen Entscheidung, in der ausdrücklich angegeben ist, dass die Unterbringung dieser Kinder gleichmäßig unter den beiden Steuerpflichtigen aufgeteilt ist.</w:t>
      </w:r>
    </w:p>
    <w:p w14:paraId="3841FF77" w14:textId="77777777" w:rsidR="005E670E" w:rsidRPr="009118AB" w:rsidRDefault="005E670E" w:rsidP="00477B8F">
      <w:pPr>
        <w:autoSpaceDE w:val="0"/>
        <w:autoSpaceDN w:val="0"/>
        <w:adjustRightInd w:val="0"/>
      </w:pPr>
    </w:p>
    <w:p w14:paraId="56F251C5" w14:textId="6EBD243B" w:rsidR="00477B8F" w:rsidRPr="009118AB" w:rsidRDefault="00477B8F" w:rsidP="002317E9">
      <w:pPr>
        <w:autoSpaceDE w:val="0"/>
        <w:autoSpaceDN w:val="0"/>
        <w:adjustRightInd w:val="0"/>
        <w:ind w:firstLine="708"/>
        <w:jc w:val="both"/>
      </w:pPr>
      <w:r w:rsidRPr="009118AB">
        <w:t xml:space="preserve">In diesem Fall werden die in Artikel 132 Absatz 1 </w:t>
      </w:r>
      <w:r w:rsidR="00D67EB8" w:rsidRPr="009118AB">
        <w:t>Nr. </w:t>
      </w:r>
      <w:r w:rsidRPr="009118AB">
        <w:t>1 bis 5 erwähnten Zuschläge, zu denen diese Kinder berechtigen und die festgelegt werden ungeachtet dessen, ob es noch andere Kinder in dem Haushalt gibt, von dem sie ein Mitglied sind, jedem dieser Steuerpflichtigen zur Hälfte zuerkannt.</w:t>
      </w:r>
    </w:p>
    <w:p w14:paraId="2937CEBB" w14:textId="77777777" w:rsidR="00477B8F" w:rsidRPr="009118AB" w:rsidRDefault="00477B8F" w:rsidP="00477B8F">
      <w:pPr>
        <w:autoSpaceDE w:val="0"/>
        <w:autoSpaceDN w:val="0"/>
        <w:adjustRightInd w:val="0"/>
        <w:jc w:val="both"/>
      </w:pPr>
    </w:p>
    <w:p w14:paraId="5D029F71" w14:textId="20A96E42" w:rsidR="00477B8F" w:rsidRPr="009118AB" w:rsidRDefault="00477B8F" w:rsidP="005E670E">
      <w:pPr>
        <w:autoSpaceDE w:val="0"/>
        <w:autoSpaceDN w:val="0"/>
        <w:adjustRightInd w:val="0"/>
        <w:ind w:firstLine="708"/>
        <w:jc w:val="both"/>
      </w:pPr>
      <w:r w:rsidRPr="009118AB">
        <w:lastRenderedPageBreak/>
        <w:t xml:space="preserve">In dem in Absatz 1 erwähnten Fall wird der in Artikel 132 Absatz 1 </w:t>
      </w:r>
      <w:r w:rsidR="00D67EB8" w:rsidRPr="009118AB">
        <w:t>Nr. </w:t>
      </w:r>
      <w:r w:rsidRPr="009118AB">
        <w:t xml:space="preserve">6 erwähnte Zuschlag zur Hälfte dem Steuerpflichtigen zuerkannt, </w:t>
      </w:r>
      <w:r w:rsidR="00C254B4" w:rsidRPr="009118AB">
        <w:t>[der die in Artikel 145</w:t>
      </w:r>
      <w:r w:rsidR="00C254B4" w:rsidRPr="009118AB">
        <w:rPr>
          <w:vertAlign w:val="superscript"/>
        </w:rPr>
        <w:t>35</w:t>
      </w:r>
      <w:r w:rsidR="00C254B4" w:rsidRPr="009118AB">
        <w:t xml:space="preserve"> erwähnte Ermäßigung für Kinderbetreuung nicht beantragt]</w:t>
      </w:r>
      <w:r w:rsidRPr="009118AB">
        <w:t>.</w:t>
      </w:r>
    </w:p>
    <w:p w14:paraId="48ABA524" w14:textId="77777777" w:rsidR="00477B8F" w:rsidRPr="009118AB" w:rsidRDefault="00477B8F" w:rsidP="00477B8F">
      <w:pPr>
        <w:autoSpaceDE w:val="0"/>
        <w:autoSpaceDN w:val="0"/>
        <w:adjustRightInd w:val="0"/>
        <w:jc w:val="both"/>
      </w:pPr>
    </w:p>
    <w:p w14:paraId="7BEB2FEA" w14:textId="3DC213C0" w:rsidR="00477B8F" w:rsidRPr="009118AB" w:rsidRDefault="00FD0057" w:rsidP="005E670E">
      <w:pPr>
        <w:autoSpaceDE w:val="0"/>
        <w:autoSpaceDN w:val="0"/>
        <w:adjustRightInd w:val="0"/>
        <w:ind w:firstLine="708"/>
        <w:jc w:val="both"/>
      </w:pPr>
      <w:r w:rsidRPr="009118AB">
        <w:t xml:space="preserve">[Eine Abschrift der in Absatz 1 erwähnten gerichtlichen Entscheidung oder Vereinbarung muss so lange zur Verfügung der Verwaltung gehalten werden, wie sie die in Artikel 203 </w:t>
      </w:r>
      <w:r w:rsidR="00D67EB8" w:rsidRPr="009118AB">
        <w:t>§ </w:t>
      </w:r>
      <w:r w:rsidRPr="009118AB">
        <w:t>1 des Zivilgesetzbuches vorgesehene Unterhaltspflicht in Bezug auf mindestens eines der Kinder erfüllen, dessen Unterbringung gleichmäßig aufgeteilt ist und das zu den in vorliegendem Artikel erwähnten Zuschlägen berechtigt.]</w:t>
      </w:r>
    </w:p>
    <w:p w14:paraId="089A1C0C" w14:textId="77777777" w:rsidR="00477B8F" w:rsidRPr="009118AB" w:rsidRDefault="00477B8F" w:rsidP="00477B8F">
      <w:pPr>
        <w:autoSpaceDE w:val="0"/>
        <w:autoSpaceDN w:val="0"/>
        <w:adjustRightInd w:val="0"/>
        <w:jc w:val="both"/>
      </w:pPr>
    </w:p>
    <w:p w14:paraId="1B32AB8A" w14:textId="77777777" w:rsidR="00477B8F" w:rsidRPr="009118AB" w:rsidRDefault="00477B8F" w:rsidP="005E670E">
      <w:pPr>
        <w:autoSpaceDE w:val="0"/>
        <w:autoSpaceDN w:val="0"/>
        <w:adjustRightInd w:val="0"/>
        <w:ind w:firstLine="708"/>
        <w:jc w:val="both"/>
      </w:pPr>
      <w:r w:rsidRPr="009118AB">
        <w:t>Vorliegender Artikel ist nur anwendbar, wenn spätestens am 1. Januar des Steuerjahres die in Absatz 1 erwähnte Vereinbarung registriert oder homologiert oder die in Absatz 1 erwähnte gerichtliche Entscheidung getroffen ist.</w:t>
      </w:r>
    </w:p>
    <w:p w14:paraId="01EB82EF" w14:textId="77777777" w:rsidR="00477B8F" w:rsidRPr="009118AB" w:rsidRDefault="00477B8F" w:rsidP="00477B8F">
      <w:pPr>
        <w:autoSpaceDE w:val="0"/>
        <w:autoSpaceDN w:val="0"/>
        <w:adjustRightInd w:val="0"/>
        <w:jc w:val="both"/>
      </w:pPr>
    </w:p>
    <w:p w14:paraId="430ACE56" w14:textId="1E081E21" w:rsidR="00477B8F" w:rsidRPr="009118AB" w:rsidRDefault="00477B8F" w:rsidP="005E670E">
      <w:pPr>
        <w:autoSpaceDE w:val="0"/>
        <w:autoSpaceDN w:val="0"/>
        <w:adjustRightInd w:val="0"/>
        <w:ind w:firstLine="708"/>
        <w:jc w:val="both"/>
      </w:pPr>
      <w:r w:rsidRPr="009118AB">
        <w:t xml:space="preserve">Vorliegender Artikel ist nicht auf die in Absatz 1 erwähnten Zuschläge anwendbar, die sich auf ein Kind beziehen, für das in Artikel 104 </w:t>
      </w:r>
      <w:r w:rsidR="00D67EB8" w:rsidRPr="009118AB">
        <w:t>Nr. </w:t>
      </w:r>
      <w:r w:rsidRPr="009118AB">
        <w:t>1 erwähnte Unterhaltsleistungen von einem der vorerwähnten Steuerpflichtigen abgezogen werden.]]</w:t>
      </w:r>
    </w:p>
    <w:p w14:paraId="109A85F9" w14:textId="77777777" w:rsidR="00477B8F" w:rsidRPr="009118AB" w:rsidRDefault="00477B8F" w:rsidP="00477B8F">
      <w:pPr>
        <w:autoSpaceDE w:val="0"/>
        <w:autoSpaceDN w:val="0"/>
        <w:adjustRightInd w:val="0"/>
        <w:jc w:val="both"/>
      </w:pPr>
    </w:p>
    <w:p w14:paraId="13126BF0" w14:textId="6401BBBD" w:rsidR="00477B8F" w:rsidRPr="009118AB" w:rsidRDefault="00477B8F" w:rsidP="00477B8F">
      <w:pPr>
        <w:autoSpaceDE w:val="0"/>
        <w:autoSpaceDN w:val="0"/>
        <w:adjustRightInd w:val="0"/>
        <w:jc w:val="both"/>
        <w:rPr>
          <w:i/>
          <w:iCs/>
          <w:spacing w:val="-4"/>
        </w:rPr>
      </w:pPr>
      <w:r w:rsidRPr="009118AB">
        <w:rPr>
          <w:i/>
          <w:iCs/>
          <w:spacing w:val="-4"/>
        </w:rPr>
        <w:t>[</w:t>
      </w:r>
      <w:r w:rsidR="00D67EB8" w:rsidRPr="009118AB">
        <w:rPr>
          <w:i/>
          <w:iCs/>
          <w:spacing w:val="-4"/>
        </w:rPr>
        <w:t>Art. </w:t>
      </w:r>
      <w:r w:rsidRPr="009118AB">
        <w:rPr>
          <w:i/>
          <w:iCs/>
          <w:spacing w:val="-4"/>
        </w:rPr>
        <w:t xml:space="preserve">132bis eingefügt durch </w:t>
      </w:r>
      <w:r w:rsidR="00D67EB8" w:rsidRPr="009118AB">
        <w:rPr>
          <w:i/>
          <w:iCs/>
          <w:spacing w:val="-4"/>
        </w:rPr>
        <w:t>Art. </w:t>
      </w:r>
      <w:r w:rsidRPr="009118AB">
        <w:rPr>
          <w:i/>
          <w:iCs/>
          <w:spacing w:val="-4"/>
        </w:rPr>
        <w:t>4 des G. vom 4. Mai 1999 (I) (B.S. vom 4. Juni 1999)</w:t>
      </w:r>
      <w:r w:rsidR="00D67EB8" w:rsidRPr="009118AB">
        <w:rPr>
          <w:i/>
          <w:iCs/>
          <w:spacing w:val="-4"/>
        </w:rPr>
        <w:t> - </w:t>
      </w:r>
      <w:r w:rsidRPr="009118AB">
        <w:rPr>
          <w:i/>
          <w:iCs/>
          <w:spacing w:val="-4"/>
        </w:rPr>
        <w:t>in Kraft ab dem Steuerjahr 2000</w:t>
      </w:r>
      <w:r w:rsidR="00D67EB8" w:rsidRPr="009118AB">
        <w:rPr>
          <w:i/>
          <w:iCs/>
          <w:spacing w:val="-4"/>
        </w:rPr>
        <w:t> - </w:t>
      </w:r>
      <w:r w:rsidRPr="009118AB">
        <w:rPr>
          <w:i/>
          <w:iCs/>
          <w:spacing w:val="-4"/>
        </w:rPr>
        <w:t xml:space="preserve">und ersetzt durch </w:t>
      </w:r>
      <w:r w:rsidR="00D67EB8" w:rsidRPr="009118AB">
        <w:rPr>
          <w:i/>
          <w:iCs/>
          <w:spacing w:val="-4"/>
        </w:rPr>
        <w:t>Art. </w:t>
      </w:r>
      <w:r w:rsidRPr="009118AB">
        <w:rPr>
          <w:i/>
          <w:iCs/>
          <w:spacing w:val="-4"/>
        </w:rPr>
        <w:t xml:space="preserve">279 des G. </w:t>
      </w:r>
      <w:r w:rsidR="00611352" w:rsidRPr="009118AB">
        <w:rPr>
          <w:i/>
          <w:iCs/>
          <w:spacing w:val="-4"/>
        </w:rPr>
        <w:t xml:space="preserve">(I) </w:t>
      </w:r>
      <w:r w:rsidRPr="009118AB">
        <w:rPr>
          <w:i/>
          <w:iCs/>
          <w:spacing w:val="-4"/>
        </w:rPr>
        <w:t xml:space="preserve">vom 27. Dezember 2006 </w:t>
      </w:r>
      <w:r w:rsidR="007C1743" w:rsidRPr="009118AB">
        <w:rPr>
          <w:i/>
          <w:iCs/>
          <w:spacing w:val="-4"/>
        </w:rPr>
        <w:t>(II)</w:t>
      </w:r>
      <w:r w:rsidRPr="009118AB">
        <w:rPr>
          <w:i/>
          <w:iCs/>
          <w:spacing w:val="-4"/>
        </w:rPr>
        <w:t xml:space="preserve"> (B.S.</w:t>
      </w:r>
      <w:r w:rsidR="007C1743" w:rsidRPr="009118AB">
        <w:rPr>
          <w:i/>
          <w:iCs/>
          <w:spacing w:val="-4"/>
        </w:rPr>
        <w:t> </w:t>
      </w:r>
      <w:r w:rsidRPr="009118AB">
        <w:rPr>
          <w:i/>
          <w:iCs/>
          <w:spacing w:val="-4"/>
        </w:rPr>
        <w:t>vom 28. Dezember 2006)</w:t>
      </w:r>
      <w:r w:rsidR="00D67EB8" w:rsidRPr="009118AB">
        <w:rPr>
          <w:i/>
          <w:iCs/>
          <w:spacing w:val="-4"/>
        </w:rPr>
        <w:t> - </w:t>
      </w:r>
      <w:r w:rsidRPr="009118AB">
        <w:rPr>
          <w:i/>
          <w:iCs/>
          <w:spacing w:val="-4"/>
        </w:rPr>
        <w:t>anwendbar ab dem Steuerjahr 2008</w:t>
      </w:r>
      <w:r w:rsidR="003366D9" w:rsidRPr="009118AB">
        <w:rPr>
          <w:i/>
          <w:iCs/>
          <w:spacing w:val="-4"/>
        </w:rPr>
        <w:t> -;</w:t>
      </w:r>
      <w:r w:rsidR="00C254B4" w:rsidRPr="009118AB">
        <w:rPr>
          <w:i/>
          <w:iCs/>
          <w:spacing w:val="-4"/>
        </w:rPr>
        <w:t xml:space="preserve"> </w:t>
      </w:r>
      <w:r w:rsidR="00D67EB8" w:rsidRPr="009118AB">
        <w:rPr>
          <w:i/>
          <w:iCs/>
          <w:spacing w:val="-4"/>
        </w:rPr>
        <w:t>Abs. </w:t>
      </w:r>
      <w:r w:rsidR="0030264E" w:rsidRPr="009118AB">
        <w:rPr>
          <w:i/>
          <w:iCs/>
          <w:spacing w:val="-4"/>
        </w:rPr>
        <w:t xml:space="preserve">1 einleitende Bestimmung ersetzt durch </w:t>
      </w:r>
      <w:r w:rsidR="00D67EB8" w:rsidRPr="009118AB">
        <w:rPr>
          <w:i/>
          <w:iCs/>
          <w:spacing w:val="-4"/>
        </w:rPr>
        <w:t>Art. </w:t>
      </w:r>
      <w:r w:rsidR="0030264E" w:rsidRPr="009118AB">
        <w:rPr>
          <w:i/>
          <w:iCs/>
          <w:spacing w:val="-4"/>
        </w:rPr>
        <w:t xml:space="preserve">2 </w:t>
      </w:r>
      <w:r w:rsidR="00D67EB8" w:rsidRPr="009118AB">
        <w:rPr>
          <w:i/>
          <w:iCs/>
          <w:spacing w:val="-4"/>
        </w:rPr>
        <w:t>Nr. </w:t>
      </w:r>
      <w:r w:rsidR="0030264E" w:rsidRPr="009118AB">
        <w:rPr>
          <w:i/>
          <w:iCs/>
          <w:spacing w:val="-4"/>
        </w:rPr>
        <w:t xml:space="preserve">1 des G. vom 3. August 2016 </w:t>
      </w:r>
      <w:r w:rsidR="00857DC1" w:rsidRPr="009118AB">
        <w:rPr>
          <w:i/>
          <w:iCs/>
          <w:spacing w:val="-4"/>
        </w:rPr>
        <w:t xml:space="preserve">(III) </w:t>
      </w:r>
      <w:r w:rsidR="0030264E" w:rsidRPr="009118AB">
        <w:rPr>
          <w:i/>
          <w:iCs/>
          <w:spacing w:val="-4"/>
        </w:rPr>
        <w:t>(B.S. vom 11. August 2016)</w:t>
      </w:r>
      <w:r w:rsidR="00D67EB8" w:rsidRPr="009118AB">
        <w:rPr>
          <w:i/>
          <w:iCs/>
          <w:spacing w:val="-4"/>
        </w:rPr>
        <w:t> - </w:t>
      </w:r>
      <w:r w:rsidR="0030264E" w:rsidRPr="009118AB">
        <w:rPr>
          <w:i/>
          <w:iCs/>
          <w:spacing w:val="-4"/>
        </w:rPr>
        <w:t>anwendbar ab dem Steuerjahr 2017</w:t>
      </w:r>
      <w:r w:rsidR="003366D9" w:rsidRPr="009118AB">
        <w:rPr>
          <w:i/>
          <w:iCs/>
          <w:spacing w:val="-4"/>
        </w:rPr>
        <w:t> -;</w:t>
      </w:r>
      <w:r w:rsidR="0030264E" w:rsidRPr="009118AB">
        <w:rPr>
          <w:i/>
          <w:iCs/>
          <w:spacing w:val="-4"/>
        </w:rPr>
        <w:t xml:space="preserve"> </w:t>
      </w:r>
      <w:r w:rsidR="00D67EB8" w:rsidRPr="009118AB">
        <w:rPr>
          <w:i/>
          <w:iCs/>
          <w:spacing w:val="-4"/>
        </w:rPr>
        <w:t>Abs. </w:t>
      </w:r>
      <w:r w:rsidR="00C254B4" w:rsidRPr="009118AB">
        <w:rPr>
          <w:i/>
          <w:iCs/>
          <w:spacing w:val="-4"/>
        </w:rPr>
        <w:t xml:space="preserve">3 abgeändert durch </w:t>
      </w:r>
      <w:r w:rsidR="00D67EB8" w:rsidRPr="009118AB">
        <w:rPr>
          <w:i/>
          <w:iCs/>
          <w:spacing w:val="-4"/>
        </w:rPr>
        <w:t>Art. </w:t>
      </w:r>
      <w:r w:rsidR="00C254B4" w:rsidRPr="009118AB">
        <w:rPr>
          <w:i/>
          <w:iCs/>
          <w:spacing w:val="-4"/>
        </w:rPr>
        <w:t>14</w:t>
      </w:r>
      <w:r w:rsidR="00C254B4" w:rsidRPr="009118AB">
        <w:rPr>
          <w:i/>
          <w:iCs/>
        </w:rPr>
        <w:t xml:space="preserve"> des G. vom 13.</w:t>
      </w:r>
      <w:r w:rsidR="0030264E" w:rsidRPr="009118AB">
        <w:rPr>
          <w:i/>
          <w:iCs/>
        </w:rPr>
        <w:t> </w:t>
      </w:r>
      <w:r w:rsidR="00C254B4" w:rsidRPr="009118AB">
        <w:rPr>
          <w:i/>
          <w:iCs/>
        </w:rPr>
        <w:t>Dezember 2012 (B.S. vom 20. Dezember 2012)</w:t>
      </w:r>
      <w:r w:rsidR="00D67EB8" w:rsidRPr="009118AB">
        <w:rPr>
          <w:i/>
          <w:iCs/>
        </w:rPr>
        <w:t> - </w:t>
      </w:r>
      <w:r w:rsidR="00C254B4" w:rsidRPr="009118AB">
        <w:rPr>
          <w:i/>
          <w:iCs/>
        </w:rPr>
        <w:t>in Kraft ab dem Steuerjahr 2013</w:t>
      </w:r>
      <w:r w:rsidR="003366D9" w:rsidRPr="009118AB">
        <w:rPr>
          <w:i/>
          <w:iCs/>
        </w:rPr>
        <w:t> -;</w:t>
      </w:r>
      <w:r w:rsidR="0030264E" w:rsidRPr="009118AB">
        <w:rPr>
          <w:i/>
          <w:iCs/>
        </w:rPr>
        <w:t xml:space="preserve"> </w:t>
      </w:r>
      <w:r w:rsidR="00D67EB8" w:rsidRPr="009118AB">
        <w:rPr>
          <w:i/>
          <w:iCs/>
        </w:rPr>
        <w:t>Abs. </w:t>
      </w:r>
      <w:r w:rsidR="0030264E" w:rsidRPr="009118AB">
        <w:rPr>
          <w:i/>
          <w:iCs/>
        </w:rPr>
        <w:t>4</w:t>
      </w:r>
      <w:r w:rsidR="0030264E" w:rsidRPr="009118AB">
        <w:rPr>
          <w:i/>
          <w:iCs/>
          <w:spacing w:val="-4"/>
        </w:rPr>
        <w:t xml:space="preserve"> ersetzt durch </w:t>
      </w:r>
      <w:r w:rsidR="00D67EB8" w:rsidRPr="009118AB">
        <w:rPr>
          <w:i/>
          <w:iCs/>
          <w:spacing w:val="-4"/>
        </w:rPr>
        <w:t>Art. </w:t>
      </w:r>
      <w:r w:rsidR="0030264E" w:rsidRPr="009118AB">
        <w:rPr>
          <w:i/>
          <w:iCs/>
          <w:spacing w:val="-4"/>
        </w:rPr>
        <w:t xml:space="preserve">2 </w:t>
      </w:r>
      <w:r w:rsidR="00D67EB8" w:rsidRPr="009118AB">
        <w:rPr>
          <w:i/>
          <w:iCs/>
          <w:spacing w:val="-4"/>
        </w:rPr>
        <w:t>Nr. </w:t>
      </w:r>
      <w:r w:rsidR="0030264E" w:rsidRPr="009118AB">
        <w:rPr>
          <w:i/>
          <w:iCs/>
          <w:spacing w:val="-4"/>
        </w:rPr>
        <w:t>2 des G. vom 3. August 2016</w:t>
      </w:r>
      <w:r w:rsidR="00857DC1" w:rsidRPr="009118AB">
        <w:rPr>
          <w:i/>
          <w:iCs/>
          <w:spacing w:val="-4"/>
        </w:rPr>
        <w:t> (III)</w:t>
      </w:r>
      <w:r w:rsidR="0030264E" w:rsidRPr="009118AB">
        <w:rPr>
          <w:i/>
          <w:iCs/>
          <w:spacing w:val="-4"/>
        </w:rPr>
        <w:t xml:space="preserve"> (B.S. vom 11. August 2016)</w:t>
      </w:r>
      <w:r w:rsidR="00D67EB8" w:rsidRPr="009118AB">
        <w:rPr>
          <w:i/>
          <w:iCs/>
          <w:spacing w:val="-4"/>
        </w:rPr>
        <w:t> - </w:t>
      </w:r>
      <w:r w:rsidR="0030264E" w:rsidRPr="009118AB">
        <w:rPr>
          <w:i/>
          <w:iCs/>
          <w:spacing w:val="-4"/>
        </w:rPr>
        <w:t>anwendbar ab dem Steuerjahr 2017</w:t>
      </w:r>
      <w:r w:rsidR="00FD68E8" w:rsidRPr="009118AB">
        <w:rPr>
          <w:i/>
          <w:iCs/>
          <w:spacing w:val="-4"/>
        </w:rPr>
        <w:t> -]</w:t>
      </w:r>
    </w:p>
    <w:p w14:paraId="44C39ECB" w14:textId="77777777" w:rsidR="004C5C01" w:rsidRPr="009118AB" w:rsidRDefault="004C5C01" w:rsidP="00477B8F">
      <w:pPr>
        <w:autoSpaceDE w:val="0"/>
        <w:autoSpaceDN w:val="0"/>
        <w:adjustRightInd w:val="0"/>
        <w:jc w:val="both"/>
        <w:rPr>
          <w:spacing w:val="-4"/>
        </w:rPr>
      </w:pPr>
    </w:p>
    <w:p w14:paraId="1FAFABF6" w14:textId="77777777" w:rsidR="00B61426" w:rsidRPr="009118AB" w:rsidRDefault="00B61426"/>
    <w:p w14:paraId="3164CA85" w14:textId="638A69CC" w:rsidR="00DB57B7" w:rsidRPr="009118AB" w:rsidRDefault="00477B8F" w:rsidP="00DB57B7">
      <w:pPr>
        <w:autoSpaceDE w:val="0"/>
        <w:autoSpaceDN w:val="0"/>
        <w:adjustRightInd w:val="0"/>
        <w:jc w:val="both"/>
      </w:pPr>
      <w:r w:rsidRPr="009118AB">
        <w:tab/>
      </w:r>
      <w:r w:rsidR="00D67EB8" w:rsidRPr="009118AB">
        <w:rPr>
          <w:b/>
          <w:bCs/>
        </w:rPr>
        <w:t>Art. </w:t>
      </w:r>
      <w:r w:rsidRPr="009118AB">
        <w:rPr>
          <w:b/>
          <w:bCs/>
        </w:rPr>
        <w:t>133</w:t>
      </w:r>
      <w:r w:rsidR="00D67EB8" w:rsidRPr="009118AB">
        <w:t> - </w:t>
      </w:r>
      <w:r w:rsidR="00DB57B7" w:rsidRPr="009118AB">
        <w:t>[</w:t>
      </w:r>
      <w:r w:rsidR="00130957" w:rsidRPr="009118AB">
        <w:t>[Der gemäß Artikel 131 festgelegte Grundbetrag wird außerdem um folgende Zuschläge erhöht:]</w:t>
      </w:r>
    </w:p>
    <w:p w14:paraId="02BA151B" w14:textId="77777777" w:rsidR="00DB57B7" w:rsidRPr="009118AB" w:rsidRDefault="00DB57B7" w:rsidP="00DB57B7">
      <w:pPr>
        <w:autoSpaceDE w:val="0"/>
        <w:autoSpaceDN w:val="0"/>
        <w:adjustRightInd w:val="0"/>
        <w:jc w:val="both"/>
      </w:pPr>
    </w:p>
    <w:p w14:paraId="37C8568B" w14:textId="77777777" w:rsidR="00DB57B7" w:rsidRPr="009118AB" w:rsidRDefault="00DB57B7" w:rsidP="00E4646A">
      <w:pPr>
        <w:autoSpaceDE w:val="0"/>
        <w:autoSpaceDN w:val="0"/>
        <w:adjustRightInd w:val="0"/>
        <w:ind w:firstLine="709"/>
        <w:jc w:val="both"/>
      </w:pPr>
      <w:r w:rsidRPr="009118AB">
        <w:t>1. [1. 870 EUR für einen einzeln veranlagten Steuerpflichtigen:</w:t>
      </w:r>
    </w:p>
    <w:p w14:paraId="1BACF302" w14:textId="77777777" w:rsidR="00DB57B7" w:rsidRPr="009118AB" w:rsidRDefault="00DB57B7" w:rsidP="00E4646A">
      <w:pPr>
        <w:autoSpaceDE w:val="0"/>
        <w:autoSpaceDN w:val="0"/>
        <w:adjustRightInd w:val="0"/>
        <w:ind w:firstLine="709"/>
        <w:jc w:val="both"/>
      </w:pPr>
    </w:p>
    <w:p w14:paraId="54F35C68" w14:textId="77777777" w:rsidR="00DB57B7" w:rsidRPr="009118AB" w:rsidRDefault="00DB57B7" w:rsidP="00E4646A">
      <w:pPr>
        <w:autoSpaceDE w:val="0"/>
        <w:autoSpaceDN w:val="0"/>
        <w:adjustRightInd w:val="0"/>
        <w:ind w:firstLine="709"/>
        <w:jc w:val="both"/>
      </w:pPr>
      <w:r w:rsidRPr="009118AB">
        <w:t>- der ein oder mehrere Kinder zu Lasten hat,</w:t>
      </w:r>
    </w:p>
    <w:p w14:paraId="172CE2F7" w14:textId="77777777" w:rsidR="00DB57B7" w:rsidRPr="009118AB" w:rsidRDefault="00DB57B7" w:rsidP="00E4646A">
      <w:pPr>
        <w:autoSpaceDE w:val="0"/>
        <w:autoSpaceDN w:val="0"/>
        <w:adjustRightInd w:val="0"/>
        <w:ind w:firstLine="709"/>
        <w:jc w:val="both"/>
      </w:pPr>
    </w:p>
    <w:p w14:paraId="300BE7C3" w14:textId="70006D29" w:rsidR="00DB57B7" w:rsidRPr="009118AB" w:rsidRDefault="00DB57B7" w:rsidP="00E4646A">
      <w:pPr>
        <w:autoSpaceDE w:val="0"/>
        <w:autoSpaceDN w:val="0"/>
        <w:adjustRightInd w:val="0"/>
        <w:ind w:firstLine="709"/>
        <w:jc w:val="both"/>
      </w:pPr>
      <w:r w:rsidRPr="009118AB">
        <w:t>- dem in Anwendung von Artikel 132</w:t>
      </w:r>
      <w:r w:rsidRPr="009118AB">
        <w:rPr>
          <w:i/>
          <w:iCs/>
        </w:rPr>
        <w:t>bis</w:t>
      </w:r>
      <w:r w:rsidRPr="009118AB">
        <w:t xml:space="preserve"> die Hälfte der in Artikel 132 Absatz 1 </w:t>
      </w:r>
      <w:r w:rsidR="00D67EB8" w:rsidRPr="009118AB">
        <w:t>Nr. </w:t>
      </w:r>
      <w:r w:rsidRPr="009118AB">
        <w:t>1 bis 6 erwähnten Zuschläge zum Steuerfreibetrag zuerkannt wird,]</w:t>
      </w:r>
    </w:p>
    <w:p w14:paraId="53C6E8FF" w14:textId="77777777" w:rsidR="00DB57B7" w:rsidRPr="009118AB" w:rsidRDefault="00DB57B7" w:rsidP="00E4646A">
      <w:pPr>
        <w:autoSpaceDE w:val="0"/>
        <w:autoSpaceDN w:val="0"/>
        <w:adjustRightInd w:val="0"/>
        <w:ind w:firstLine="709"/>
        <w:jc w:val="both"/>
      </w:pPr>
    </w:p>
    <w:p w14:paraId="10E57194" w14:textId="77777777" w:rsidR="00DB57B7" w:rsidRPr="009118AB" w:rsidRDefault="00DB57B7" w:rsidP="00E4646A">
      <w:pPr>
        <w:autoSpaceDE w:val="0"/>
        <w:autoSpaceDN w:val="0"/>
        <w:adjustRightInd w:val="0"/>
        <w:ind w:firstLine="709"/>
        <w:jc w:val="both"/>
      </w:pPr>
      <w:r w:rsidRPr="009118AB">
        <w:t>2. 870 EUR, wenn für das Jahr der Eheschließung oder der Erklärung über das gesetzliche Zusammenwohnen eine Veranlagung pro Steuerpflichtigen festgelegt wird und sofern der Ehepartner während des Jahres keine Existenzmittel über einem Nettobetrag von 1.800 EUR bezogen hat.]</w:t>
      </w:r>
    </w:p>
    <w:p w14:paraId="4D4306AB" w14:textId="77777777" w:rsidR="00DB57B7" w:rsidRPr="009118AB" w:rsidRDefault="00DB57B7" w:rsidP="00E4646A">
      <w:pPr>
        <w:autoSpaceDE w:val="0"/>
        <w:autoSpaceDN w:val="0"/>
        <w:adjustRightInd w:val="0"/>
        <w:ind w:firstLine="709"/>
        <w:jc w:val="both"/>
      </w:pPr>
    </w:p>
    <w:p w14:paraId="1F63A80A" w14:textId="58EA9DF0" w:rsidR="000659DC" w:rsidRPr="009118AB" w:rsidRDefault="000659DC" w:rsidP="000659DC">
      <w:pPr>
        <w:jc w:val="both"/>
        <w:rPr>
          <w:rFonts w:eastAsia="Calibri"/>
        </w:rPr>
      </w:pPr>
      <w:r w:rsidRPr="009118AB">
        <w:tab/>
        <w:t>[</w:t>
      </w:r>
      <w:r w:rsidRPr="009118AB">
        <w:rPr>
          <w:rFonts w:eastAsia="Calibri"/>
        </w:rPr>
        <w:t xml:space="preserve">Der Betrag des in Absatz 1 </w:t>
      </w:r>
      <w:r w:rsidR="00D67EB8" w:rsidRPr="009118AB">
        <w:rPr>
          <w:rFonts w:eastAsia="Calibri"/>
        </w:rPr>
        <w:t>Nr. </w:t>
      </w:r>
      <w:r w:rsidRPr="009118AB">
        <w:rPr>
          <w:rFonts w:eastAsia="Calibri"/>
        </w:rPr>
        <w:t>1 erwähnten Zuschlags wird erhöht, wenn darüber hinaus folgende Bedingungen erfüllt sind:</w:t>
      </w:r>
    </w:p>
    <w:p w14:paraId="4D3239E9" w14:textId="77777777" w:rsidR="000659DC" w:rsidRPr="009118AB" w:rsidRDefault="000659DC" w:rsidP="000659DC">
      <w:pPr>
        <w:rPr>
          <w:rFonts w:eastAsia="Calibri"/>
        </w:rPr>
      </w:pPr>
    </w:p>
    <w:p w14:paraId="1AE474EA" w14:textId="77777777" w:rsidR="000659DC" w:rsidRPr="009118AB" w:rsidRDefault="000659DC" w:rsidP="000659DC">
      <w:pPr>
        <w:jc w:val="both"/>
        <w:rPr>
          <w:rFonts w:eastAsia="Calibri"/>
        </w:rPr>
      </w:pPr>
      <w:r w:rsidRPr="009118AB">
        <w:rPr>
          <w:rFonts w:eastAsia="Calibri"/>
        </w:rPr>
        <w:tab/>
        <w:t>- Keine andere Person als Kinder und Verwandte in aufsteigender Linie und Verwandte in der Seitenlinie bis zum zweiten Grad einschließlich des Steuerpflichtigen und Personen, zu deren Lasten der Steuerpflichtige während seiner Kindheit ausschließlich oder hauptsächlich war, gehört am 1. Januar des Steuerjahres dem Haushalt des Steuerpflichtigen an.</w:t>
      </w:r>
    </w:p>
    <w:p w14:paraId="4966039B" w14:textId="77777777" w:rsidR="000659DC" w:rsidRPr="009118AB" w:rsidRDefault="000659DC" w:rsidP="000659DC">
      <w:pPr>
        <w:rPr>
          <w:rFonts w:eastAsia="Calibri"/>
        </w:rPr>
      </w:pPr>
    </w:p>
    <w:p w14:paraId="69A53FE7" w14:textId="77777777" w:rsidR="000659DC" w:rsidRPr="009118AB" w:rsidRDefault="000659DC" w:rsidP="000659DC">
      <w:pPr>
        <w:jc w:val="both"/>
        <w:rPr>
          <w:rFonts w:eastAsia="Calibri"/>
        </w:rPr>
      </w:pPr>
      <w:r w:rsidRPr="009118AB">
        <w:rPr>
          <w:rFonts w:eastAsia="Calibri"/>
        </w:rPr>
        <w:tab/>
        <w:t>- Das steuerpflichtige Einkommen des Steuerpflichtigen liegt unter 10.700 EUR.</w:t>
      </w:r>
    </w:p>
    <w:p w14:paraId="03915EA8" w14:textId="77777777" w:rsidR="000659DC" w:rsidRPr="009118AB" w:rsidRDefault="000659DC" w:rsidP="000659DC">
      <w:pPr>
        <w:rPr>
          <w:rFonts w:eastAsia="Calibri"/>
        </w:rPr>
      </w:pPr>
    </w:p>
    <w:p w14:paraId="7AE90F6C" w14:textId="77777777" w:rsidR="000659DC" w:rsidRPr="009118AB" w:rsidRDefault="000659DC" w:rsidP="000659DC">
      <w:pPr>
        <w:jc w:val="both"/>
        <w:rPr>
          <w:rFonts w:eastAsia="Calibri"/>
        </w:rPr>
      </w:pPr>
      <w:r w:rsidRPr="009118AB">
        <w:rPr>
          <w:rFonts w:eastAsia="Calibri"/>
        </w:rPr>
        <w:tab/>
        <w:t>- Die Nettoberufseinkünfte des Steuerpflichtigen betragen mindestens 1.800 EUR; Arbeitslosengeld, Pensionen und getrennt steuerpflichtige Einkünfte werden dabei nicht berücksichtigt.</w:t>
      </w:r>
    </w:p>
    <w:p w14:paraId="5A018B82" w14:textId="77777777" w:rsidR="000659DC" w:rsidRPr="009118AB" w:rsidRDefault="000659DC" w:rsidP="000659DC">
      <w:pPr>
        <w:rPr>
          <w:rFonts w:eastAsia="Calibri"/>
        </w:rPr>
      </w:pPr>
    </w:p>
    <w:p w14:paraId="47721424" w14:textId="77777777" w:rsidR="000659DC" w:rsidRPr="009118AB" w:rsidRDefault="000659DC" w:rsidP="000659DC">
      <w:pPr>
        <w:jc w:val="both"/>
        <w:rPr>
          <w:rFonts w:eastAsia="Calibri"/>
        </w:rPr>
      </w:pPr>
      <w:r w:rsidRPr="009118AB">
        <w:rPr>
          <w:rFonts w:eastAsia="Calibri"/>
        </w:rPr>
        <w:tab/>
        <w:t>Der in vorhergehendem Absatz erwähnte zusätzliche Zuschlag entspricht:</w:t>
      </w:r>
    </w:p>
    <w:p w14:paraId="7E7B73A1" w14:textId="77777777" w:rsidR="000659DC" w:rsidRPr="009118AB" w:rsidRDefault="000659DC" w:rsidP="000659DC">
      <w:pPr>
        <w:rPr>
          <w:rFonts w:eastAsia="Calibri"/>
        </w:rPr>
      </w:pPr>
    </w:p>
    <w:p w14:paraId="610FDD6C" w14:textId="77777777" w:rsidR="000659DC" w:rsidRPr="009118AB" w:rsidRDefault="000659DC" w:rsidP="000659DC">
      <w:pPr>
        <w:jc w:val="both"/>
        <w:rPr>
          <w:rFonts w:eastAsia="Calibri"/>
        </w:rPr>
      </w:pPr>
      <w:r w:rsidRPr="009118AB">
        <w:rPr>
          <w:rFonts w:eastAsia="Calibri"/>
        </w:rPr>
        <w:tab/>
        <w:t>- wenn das steuerpflichtige Einkommen des Steuerpflichtigen 8.445 EUR oder weniger beträgt: 565 EUR,</w:t>
      </w:r>
    </w:p>
    <w:p w14:paraId="38AE74D7" w14:textId="77777777" w:rsidR="000659DC" w:rsidRPr="009118AB" w:rsidRDefault="000659DC" w:rsidP="000659DC">
      <w:pPr>
        <w:rPr>
          <w:rFonts w:eastAsia="Calibri"/>
        </w:rPr>
      </w:pPr>
    </w:p>
    <w:p w14:paraId="17C53892" w14:textId="77777777" w:rsidR="000659DC" w:rsidRPr="009118AB" w:rsidRDefault="000659DC" w:rsidP="000659DC">
      <w:pPr>
        <w:autoSpaceDE w:val="0"/>
        <w:autoSpaceDN w:val="0"/>
        <w:adjustRightInd w:val="0"/>
        <w:ind w:firstLine="709"/>
        <w:jc w:val="both"/>
      </w:pPr>
      <w:r w:rsidRPr="009118AB">
        <w:rPr>
          <w:rFonts w:eastAsia="Calibri"/>
        </w:rPr>
        <w:t>- wenn das steuerpflichtige Einkommen des Steuerpflichtigen über 8.445 EUR liegt: 565 EUR, multipliziert mit einem Bruch, dessen Zähler der Differenz zwischen 10.700 EUR und dem steuerpflichtigen Einkommen und dessen Nenner der Differenz zwischen 10.700 EUR und 8.445 EUR entspricht.</w:t>
      </w:r>
      <w:r w:rsidRPr="009118AB">
        <w:t>]</w:t>
      </w:r>
    </w:p>
    <w:p w14:paraId="0417F210" w14:textId="77777777" w:rsidR="000659DC" w:rsidRPr="009118AB" w:rsidRDefault="000659DC" w:rsidP="00E4646A">
      <w:pPr>
        <w:autoSpaceDE w:val="0"/>
        <w:autoSpaceDN w:val="0"/>
        <w:adjustRightInd w:val="0"/>
        <w:ind w:firstLine="709"/>
        <w:jc w:val="both"/>
      </w:pPr>
    </w:p>
    <w:p w14:paraId="25AE0C0F" w14:textId="1B6647F5" w:rsidR="00DB57B7" w:rsidRPr="009118AB" w:rsidRDefault="00DB57B7" w:rsidP="00E4646A">
      <w:pPr>
        <w:autoSpaceDE w:val="0"/>
        <w:autoSpaceDN w:val="0"/>
        <w:adjustRightInd w:val="0"/>
        <w:ind w:firstLine="709"/>
        <w:jc w:val="both"/>
      </w:pPr>
      <w:r w:rsidRPr="009118AB">
        <w:t xml:space="preserve">[Absatz 1 </w:t>
      </w:r>
      <w:r w:rsidR="00D67EB8" w:rsidRPr="009118AB">
        <w:t>Nr. </w:t>
      </w:r>
      <w:r w:rsidRPr="009118AB">
        <w:t xml:space="preserve">1 ist in den in Artikel 126 </w:t>
      </w:r>
      <w:r w:rsidR="00D67EB8" w:rsidRPr="009118AB">
        <w:t>§ </w:t>
      </w:r>
      <w:r w:rsidRPr="009118AB">
        <w:t xml:space="preserve">2 Absatz 1 </w:t>
      </w:r>
      <w:r w:rsidR="00D67EB8" w:rsidRPr="009118AB">
        <w:t>Nr. </w:t>
      </w:r>
      <w:r w:rsidRPr="009118AB">
        <w:t>4 erwähnten Fällen nicht anwendbar.]</w:t>
      </w:r>
    </w:p>
    <w:p w14:paraId="5C372317" w14:textId="4A4A01B2" w:rsidR="00132B11" w:rsidRPr="009118AB" w:rsidRDefault="00132B11" w:rsidP="00E4646A">
      <w:pPr>
        <w:autoSpaceDE w:val="0"/>
        <w:autoSpaceDN w:val="0"/>
        <w:adjustRightInd w:val="0"/>
        <w:ind w:firstLine="709"/>
        <w:jc w:val="both"/>
      </w:pPr>
    </w:p>
    <w:p w14:paraId="142FE96D" w14:textId="53DA5B13" w:rsidR="00132B11" w:rsidRPr="009118AB" w:rsidRDefault="00132B11" w:rsidP="00E4646A">
      <w:pPr>
        <w:autoSpaceDE w:val="0"/>
        <w:autoSpaceDN w:val="0"/>
        <w:adjustRightInd w:val="0"/>
        <w:ind w:firstLine="709"/>
        <w:jc w:val="both"/>
      </w:pPr>
      <w:r w:rsidRPr="009118AB">
        <w:t xml:space="preserve">[Absatz 1 </w:t>
      </w:r>
      <w:r w:rsidR="00D67EB8" w:rsidRPr="009118AB">
        <w:t>Nr. </w:t>
      </w:r>
      <w:r w:rsidRPr="009118AB">
        <w:t xml:space="preserve">2 ist nicht anwendbar, wenn in demselben Jahr einer der in Artikel 126 </w:t>
      </w:r>
      <w:r w:rsidR="00D67EB8" w:rsidRPr="009118AB">
        <w:t>§ </w:t>
      </w:r>
      <w:r w:rsidRPr="009118AB">
        <w:t xml:space="preserve">2 Absatz 1 </w:t>
      </w:r>
      <w:r w:rsidR="00D67EB8" w:rsidRPr="009118AB">
        <w:t>Nr. </w:t>
      </w:r>
      <w:r w:rsidRPr="009118AB">
        <w:t>3 erwähnten Fälle eintritt. Die Beendigung des gesetzlichen Zusammenwohnens durch die Tatsache, dass die gesetzlich Zusammenwohnenden heiraten, wird für die Anwendung des vorliegenden Absatzes nicht berücksichtigt.]</w:t>
      </w:r>
    </w:p>
    <w:p w14:paraId="2111506D" w14:textId="77777777" w:rsidR="00DB57B7" w:rsidRPr="009118AB" w:rsidRDefault="00DB57B7" w:rsidP="00DB57B7">
      <w:pPr>
        <w:autoSpaceDE w:val="0"/>
        <w:autoSpaceDN w:val="0"/>
        <w:adjustRightInd w:val="0"/>
        <w:jc w:val="both"/>
      </w:pPr>
    </w:p>
    <w:p w14:paraId="3047292F" w14:textId="6918B760" w:rsidR="00DB57B7" w:rsidRPr="009118AB" w:rsidRDefault="00DB57B7" w:rsidP="00DB57B7">
      <w:pPr>
        <w:autoSpaceDE w:val="0"/>
        <w:autoSpaceDN w:val="0"/>
        <w:adjustRightInd w:val="0"/>
        <w:jc w:val="both"/>
        <w:rPr>
          <w:iCs/>
        </w:rPr>
      </w:pPr>
      <w:r w:rsidRPr="009118AB">
        <w:rPr>
          <w:i/>
          <w:iCs/>
        </w:rPr>
        <w:t>[</w:t>
      </w:r>
      <w:r w:rsidR="00D67EB8" w:rsidRPr="009118AB">
        <w:rPr>
          <w:i/>
          <w:iCs/>
        </w:rPr>
        <w:t>Art. </w:t>
      </w:r>
      <w:r w:rsidR="00E4646A" w:rsidRPr="009118AB">
        <w:rPr>
          <w:i/>
          <w:iCs/>
        </w:rPr>
        <w:t xml:space="preserve">133 </w:t>
      </w:r>
      <w:r w:rsidR="00D67EB8" w:rsidRPr="009118AB">
        <w:rPr>
          <w:i/>
          <w:iCs/>
        </w:rPr>
        <w:t>Abs. </w:t>
      </w:r>
      <w:r w:rsidRPr="009118AB">
        <w:rPr>
          <w:i/>
          <w:iCs/>
        </w:rPr>
        <w:t xml:space="preserve">1 (früherer einziger Absatz) ersetzt durch </w:t>
      </w:r>
      <w:r w:rsidR="00D67EB8" w:rsidRPr="009118AB">
        <w:rPr>
          <w:i/>
          <w:iCs/>
        </w:rPr>
        <w:t>Art. </w:t>
      </w:r>
      <w:r w:rsidRPr="009118AB">
        <w:rPr>
          <w:i/>
          <w:iCs/>
        </w:rPr>
        <w:t>25 Buchstabe C des G. vom 10. August 2001</w:t>
      </w:r>
      <w:r w:rsidRPr="009118AB">
        <w:t xml:space="preserve"> </w:t>
      </w:r>
      <w:r w:rsidRPr="009118AB">
        <w:rPr>
          <w:i/>
          <w:iCs/>
        </w:rPr>
        <w:t>(B.S. vom 20. September 2001)</w:t>
      </w:r>
      <w:r w:rsidR="00D67EB8" w:rsidRPr="009118AB">
        <w:rPr>
          <w:i/>
          <w:iCs/>
        </w:rPr>
        <w:t> - </w:t>
      </w:r>
      <w:r w:rsidRPr="009118AB">
        <w:rPr>
          <w:i/>
          <w:iCs/>
        </w:rPr>
        <w:t>in Kraft ab dem Steuerjahr 2005</w:t>
      </w:r>
      <w:r w:rsidR="00FD68E8" w:rsidRPr="009118AB">
        <w:rPr>
          <w:i/>
          <w:iCs/>
        </w:rPr>
        <w:t> -,</w:t>
      </w:r>
      <w:r w:rsidRPr="009118AB">
        <w:rPr>
          <w:i/>
          <w:iCs/>
        </w:rPr>
        <w:t xml:space="preserve"> selbst abgeändert durch </w:t>
      </w:r>
      <w:r w:rsidR="00D67EB8" w:rsidRPr="009118AB">
        <w:rPr>
          <w:i/>
          <w:iCs/>
        </w:rPr>
        <w:t>Art. </w:t>
      </w:r>
      <w:r w:rsidRPr="009118AB">
        <w:rPr>
          <w:i/>
          <w:iCs/>
        </w:rPr>
        <w:t xml:space="preserve">2 </w:t>
      </w:r>
      <w:r w:rsidR="00D67EB8" w:rsidRPr="009118AB">
        <w:rPr>
          <w:i/>
          <w:iCs/>
        </w:rPr>
        <w:t>Nr. </w:t>
      </w:r>
      <w:r w:rsidRPr="009118AB">
        <w:rPr>
          <w:i/>
          <w:iCs/>
        </w:rPr>
        <w:t xml:space="preserve">2 des G. vom 21. Juni 2002 (B.S. vom 20. Juli 2002); </w:t>
      </w:r>
      <w:r w:rsidR="00D67EB8" w:rsidRPr="009118AB">
        <w:rPr>
          <w:i/>
          <w:iCs/>
        </w:rPr>
        <w:t>Abs. </w:t>
      </w:r>
      <w:r w:rsidR="00130957" w:rsidRPr="009118AB">
        <w:rPr>
          <w:i/>
          <w:iCs/>
        </w:rPr>
        <w:t xml:space="preserve">1 einleitende Bestimmung ersetzt durch </w:t>
      </w:r>
      <w:r w:rsidR="00D67EB8" w:rsidRPr="009118AB">
        <w:rPr>
          <w:i/>
          <w:iCs/>
        </w:rPr>
        <w:t>Art. </w:t>
      </w:r>
      <w:r w:rsidR="00130957" w:rsidRPr="009118AB">
        <w:rPr>
          <w:i/>
          <w:iCs/>
        </w:rPr>
        <w:t>147 des G. vom 26. Dezember 2015 (II) (B.S. vom 30. Dezember 2015)</w:t>
      </w:r>
      <w:r w:rsidR="00D67EB8" w:rsidRPr="009118AB">
        <w:rPr>
          <w:i/>
          <w:iCs/>
        </w:rPr>
        <w:t> - </w:t>
      </w:r>
      <w:r w:rsidR="00130957" w:rsidRPr="009118AB">
        <w:rPr>
          <w:i/>
          <w:iCs/>
        </w:rPr>
        <w:t>in Kraft ab dem Steuerjahr 2017</w:t>
      </w:r>
      <w:r w:rsidR="003366D9" w:rsidRPr="009118AB">
        <w:rPr>
          <w:i/>
          <w:iCs/>
        </w:rPr>
        <w:t> -;</w:t>
      </w:r>
      <w:r w:rsidR="00130957" w:rsidRPr="009118AB">
        <w:rPr>
          <w:i/>
          <w:iCs/>
        </w:rPr>
        <w:t xml:space="preserve"> </w:t>
      </w:r>
      <w:r w:rsidR="00D67EB8" w:rsidRPr="009118AB">
        <w:rPr>
          <w:i/>
          <w:iCs/>
        </w:rPr>
        <w:t>Abs. </w:t>
      </w:r>
      <w:r w:rsidR="00E4646A" w:rsidRPr="009118AB">
        <w:rPr>
          <w:i/>
          <w:iCs/>
        </w:rPr>
        <w:t xml:space="preserve">1 </w:t>
      </w:r>
      <w:r w:rsidR="00D67EB8" w:rsidRPr="009118AB">
        <w:rPr>
          <w:i/>
          <w:iCs/>
        </w:rPr>
        <w:t>Nr. </w:t>
      </w:r>
      <w:r w:rsidR="00E4646A" w:rsidRPr="009118AB">
        <w:rPr>
          <w:i/>
          <w:iCs/>
        </w:rPr>
        <w:t xml:space="preserve">1 ersetzt durch </w:t>
      </w:r>
      <w:r w:rsidR="00D67EB8" w:rsidRPr="009118AB">
        <w:rPr>
          <w:i/>
          <w:iCs/>
        </w:rPr>
        <w:t>Art. </w:t>
      </w:r>
      <w:r w:rsidRPr="009118AB">
        <w:rPr>
          <w:i/>
          <w:iCs/>
        </w:rPr>
        <w:t xml:space="preserve">280 des G. (I) </w:t>
      </w:r>
      <w:r w:rsidR="00130957" w:rsidRPr="009118AB">
        <w:rPr>
          <w:i/>
          <w:iCs/>
        </w:rPr>
        <w:t>vom 27.</w:t>
      </w:r>
      <w:r w:rsidR="000659DC" w:rsidRPr="009118AB">
        <w:rPr>
          <w:i/>
          <w:iCs/>
        </w:rPr>
        <w:t> </w:t>
      </w:r>
      <w:r w:rsidR="00130957" w:rsidRPr="009118AB">
        <w:rPr>
          <w:i/>
          <w:iCs/>
        </w:rPr>
        <w:t>Dezember</w:t>
      </w:r>
      <w:r w:rsidR="000659DC" w:rsidRPr="009118AB">
        <w:rPr>
          <w:i/>
          <w:iCs/>
        </w:rPr>
        <w:t> </w:t>
      </w:r>
      <w:r w:rsidR="00130957" w:rsidRPr="009118AB">
        <w:rPr>
          <w:i/>
          <w:iCs/>
        </w:rPr>
        <w:t>2006</w:t>
      </w:r>
      <w:r w:rsidR="000659DC" w:rsidRPr="009118AB">
        <w:rPr>
          <w:i/>
          <w:iCs/>
        </w:rPr>
        <w:t> </w:t>
      </w:r>
      <w:r w:rsidRPr="009118AB">
        <w:rPr>
          <w:i/>
          <w:iCs/>
        </w:rPr>
        <w:t>(II) (B.S. vom 28. Dezember 2006)</w:t>
      </w:r>
      <w:r w:rsidR="00D67EB8" w:rsidRPr="009118AB">
        <w:rPr>
          <w:i/>
          <w:iCs/>
        </w:rPr>
        <w:t> - </w:t>
      </w:r>
      <w:r w:rsidRPr="009118AB">
        <w:rPr>
          <w:i/>
          <w:iCs/>
        </w:rPr>
        <w:t>anwendbar ab dem Steuerjahr 2008</w:t>
      </w:r>
      <w:r w:rsidR="003366D9" w:rsidRPr="009118AB">
        <w:rPr>
          <w:i/>
          <w:iCs/>
        </w:rPr>
        <w:t> -;</w:t>
      </w:r>
      <w:r w:rsidR="00130957" w:rsidRPr="009118AB">
        <w:rPr>
          <w:i/>
          <w:iCs/>
        </w:rPr>
        <w:t xml:space="preserve"> </w:t>
      </w:r>
      <w:r w:rsidR="00DD3821" w:rsidRPr="009118AB">
        <w:rPr>
          <w:i/>
          <w:iCs/>
        </w:rPr>
        <w:t xml:space="preserve">neue Absätze 2 und 3 eingefügt durch </w:t>
      </w:r>
      <w:r w:rsidR="00D67EB8" w:rsidRPr="009118AB">
        <w:rPr>
          <w:i/>
          <w:iCs/>
        </w:rPr>
        <w:t>Art. </w:t>
      </w:r>
      <w:r w:rsidR="00DD3821" w:rsidRPr="009118AB">
        <w:rPr>
          <w:i/>
          <w:iCs/>
        </w:rPr>
        <w:t>65 des G. vom 26. März 2018 (B.S. vom 30. März 2018)</w:t>
      </w:r>
      <w:r w:rsidR="00D67EB8" w:rsidRPr="009118AB">
        <w:rPr>
          <w:i/>
          <w:iCs/>
        </w:rPr>
        <w:t> - </w:t>
      </w:r>
      <w:r w:rsidR="00DD3821" w:rsidRPr="009118AB">
        <w:rPr>
          <w:i/>
          <w:iCs/>
        </w:rPr>
        <w:t>wirksam ab dem Steuerjahr 2018</w:t>
      </w:r>
      <w:r w:rsidR="003366D9" w:rsidRPr="009118AB">
        <w:rPr>
          <w:i/>
          <w:iCs/>
        </w:rPr>
        <w:t> -;</w:t>
      </w:r>
      <w:r w:rsidR="00DD3821" w:rsidRPr="009118AB">
        <w:rPr>
          <w:i/>
          <w:iCs/>
        </w:rPr>
        <w:t xml:space="preserve"> </w:t>
      </w:r>
      <w:r w:rsidR="00D67EB8" w:rsidRPr="009118AB">
        <w:rPr>
          <w:i/>
          <w:iCs/>
        </w:rPr>
        <w:t>Abs. </w:t>
      </w:r>
      <w:r w:rsidR="00DD3821" w:rsidRPr="009118AB">
        <w:rPr>
          <w:i/>
          <w:iCs/>
        </w:rPr>
        <w:t xml:space="preserve">4 (früherer Absatz 2) </w:t>
      </w:r>
      <w:r w:rsidR="00E4646A" w:rsidRPr="009118AB">
        <w:rPr>
          <w:i/>
          <w:iCs/>
        </w:rPr>
        <w:t xml:space="preserve">eingefügt durch </w:t>
      </w:r>
      <w:r w:rsidR="00D67EB8" w:rsidRPr="009118AB">
        <w:rPr>
          <w:i/>
          <w:iCs/>
        </w:rPr>
        <w:t>Art. </w:t>
      </w:r>
      <w:r w:rsidR="00E4646A" w:rsidRPr="009118AB">
        <w:rPr>
          <w:i/>
          <w:iCs/>
        </w:rPr>
        <w:t>160 des G. (I) vom 22. Dezember 2008 </w:t>
      </w:r>
      <w:r w:rsidRPr="009118AB">
        <w:rPr>
          <w:i/>
          <w:iCs/>
        </w:rPr>
        <w:t>(II) (B.S. vom 29. Dezember 2008)</w:t>
      </w:r>
      <w:r w:rsidR="00D67EB8" w:rsidRPr="009118AB">
        <w:rPr>
          <w:i/>
          <w:iCs/>
        </w:rPr>
        <w:t> - </w:t>
      </w:r>
      <w:r w:rsidRPr="009118AB">
        <w:rPr>
          <w:i/>
          <w:iCs/>
        </w:rPr>
        <w:t>anwendbar ab dem Steuerjahr 2009</w:t>
      </w:r>
      <w:r w:rsidR="003366D9" w:rsidRPr="009118AB">
        <w:rPr>
          <w:i/>
          <w:iCs/>
        </w:rPr>
        <w:t> -;</w:t>
      </w:r>
      <w:r w:rsidR="00132B11" w:rsidRPr="009118AB">
        <w:rPr>
          <w:i/>
          <w:iCs/>
        </w:rPr>
        <w:t xml:space="preserve"> </w:t>
      </w:r>
      <w:r w:rsidR="00D67EB8" w:rsidRPr="009118AB">
        <w:rPr>
          <w:i/>
          <w:iCs/>
        </w:rPr>
        <w:t>Abs. </w:t>
      </w:r>
      <w:r w:rsidR="00132B11" w:rsidRPr="009118AB">
        <w:rPr>
          <w:i/>
          <w:iCs/>
        </w:rPr>
        <w:t xml:space="preserve">5 eingefügt durch </w:t>
      </w:r>
      <w:r w:rsidR="00D67EB8" w:rsidRPr="009118AB">
        <w:rPr>
          <w:i/>
          <w:iCs/>
        </w:rPr>
        <w:t>Art. </w:t>
      </w:r>
      <w:r w:rsidR="00132B11" w:rsidRPr="009118AB">
        <w:rPr>
          <w:i/>
          <w:iCs/>
        </w:rPr>
        <w:t>32</w:t>
      </w:r>
      <w:r w:rsidR="00132B11" w:rsidRPr="009118AB">
        <w:rPr>
          <w:i/>
        </w:rPr>
        <w:t xml:space="preserve"> des G. vom 27. Juni 2021 (B.S. vom 30. Juni 2021)</w:t>
      </w:r>
      <w:r w:rsidR="00D67EB8" w:rsidRPr="009118AB">
        <w:rPr>
          <w:i/>
        </w:rPr>
        <w:t> - </w:t>
      </w:r>
      <w:r w:rsidR="00132B11" w:rsidRPr="009118AB">
        <w:rPr>
          <w:i/>
        </w:rPr>
        <w:t>anwendbar ab dem Steuerjahr 2022</w:t>
      </w:r>
      <w:r w:rsidR="00FD68E8" w:rsidRPr="009118AB">
        <w:rPr>
          <w:i/>
        </w:rPr>
        <w:t> -]</w:t>
      </w:r>
    </w:p>
    <w:p w14:paraId="3503C3C5" w14:textId="77777777" w:rsidR="00DB57B7" w:rsidRPr="009118AB" w:rsidRDefault="00DB57B7" w:rsidP="00DB57B7">
      <w:pPr>
        <w:autoSpaceDE w:val="0"/>
        <w:autoSpaceDN w:val="0"/>
        <w:adjustRightInd w:val="0"/>
        <w:jc w:val="both"/>
        <w:rPr>
          <w:iCs/>
        </w:rPr>
      </w:pPr>
    </w:p>
    <w:p w14:paraId="6C7A3248" w14:textId="77777777" w:rsidR="00DB57B7" w:rsidRPr="009118AB" w:rsidRDefault="00DB57B7" w:rsidP="00DB57B7">
      <w:pPr>
        <w:autoSpaceDE w:val="0"/>
        <w:autoSpaceDN w:val="0"/>
        <w:adjustRightInd w:val="0"/>
        <w:jc w:val="both"/>
      </w:pPr>
    </w:p>
    <w:p w14:paraId="26E7EC91" w14:textId="0FFE8F57" w:rsidR="00130957" w:rsidRPr="009118AB" w:rsidRDefault="00D67EB8" w:rsidP="00B81F10">
      <w:pPr>
        <w:ind w:firstLine="708"/>
        <w:jc w:val="both"/>
      </w:pPr>
      <w:r w:rsidRPr="009118AB">
        <w:rPr>
          <w:b/>
          <w:bCs/>
        </w:rPr>
        <w:t>Art. </w:t>
      </w:r>
      <w:r w:rsidR="00F25F8A" w:rsidRPr="009118AB">
        <w:rPr>
          <w:b/>
          <w:bCs/>
        </w:rPr>
        <w:t>134</w:t>
      </w:r>
      <w:r w:rsidRPr="009118AB">
        <w:t> - </w:t>
      </w:r>
      <w:r w:rsidR="00130957" w:rsidRPr="009118AB">
        <w:t>[</w:t>
      </w:r>
      <w:r w:rsidRPr="009118AB">
        <w:t>§ </w:t>
      </w:r>
      <w:r w:rsidR="00130957" w:rsidRPr="009118AB">
        <w:t>1</w:t>
      </w:r>
      <w:r w:rsidRPr="009118AB">
        <w:t> - </w:t>
      </w:r>
      <w:r w:rsidR="00130957" w:rsidRPr="009118AB">
        <w:t>Der Steuerfreibetrag umfasst die Summe des eventuell erhöhten Grundbetrags und der in den Artikeln 132 und 133 erwähnten Zuschläge.</w:t>
      </w:r>
    </w:p>
    <w:p w14:paraId="2A6B4C9F" w14:textId="77777777" w:rsidR="00130957" w:rsidRPr="009118AB" w:rsidRDefault="00130957" w:rsidP="00130957">
      <w:pPr>
        <w:autoSpaceDE w:val="0"/>
        <w:autoSpaceDN w:val="0"/>
        <w:adjustRightInd w:val="0"/>
        <w:jc w:val="both"/>
      </w:pPr>
    </w:p>
    <w:p w14:paraId="71673059" w14:textId="73ED629D" w:rsidR="008501BF" w:rsidRPr="009118AB" w:rsidRDefault="00D67EB8" w:rsidP="00B81F10">
      <w:pPr>
        <w:autoSpaceDE w:val="0"/>
        <w:autoSpaceDN w:val="0"/>
        <w:adjustRightInd w:val="0"/>
        <w:ind w:firstLine="709"/>
        <w:jc w:val="both"/>
      </w:pPr>
      <w:r w:rsidRPr="009118AB">
        <w:t>§ </w:t>
      </w:r>
      <w:r w:rsidR="00130957" w:rsidRPr="009118AB">
        <w:t>2</w:t>
      </w:r>
      <w:r w:rsidRPr="009118AB">
        <w:t> - </w:t>
      </w:r>
      <w:r w:rsidR="008501BF" w:rsidRPr="009118AB">
        <w:t>[Die gemäß Artikel 130 berechnete Basissteuer wird um die Steuer auf den Steuerfreibetrag verringert.</w:t>
      </w:r>
    </w:p>
    <w:p w14:paraId="1EB6B634" w14:textId="77777777" w:rsidR="008501BF" w:rsidRPr="009118AB" w:rsidRDefault="008501BF" w:rsidP="00B81F10">
      <w:pPr>
        <w:autoSpaceDE w:val="0"/>
        <w:autoSpaceDN w:val="0"/>
        <w:adjustRightInd w:val="0"/>
        <w:ind w:firstLine="709"/>
        <w:jc w:val="both"/>
      </w:pPr>
    </w:p>
    <w:p w14:paraId="6278A3B5" w14:textId="77777777" w:rsidR="008501BF" w:rsidRPr="009118AB" w:rsidRDefault="008501BF" w:rsidP="00B81F10">
      <w:pPr>
        <w:autoSpaceDE w:val="0"/>
        <w:autoSpaceDN w:val="0"/>
        <w:adjustRightInd w:val="0"/>
        <w:ind w:firstLine="709"/>
        <w:jc w:val="both"/>
      </w:pPr>
      <w:r w:rsidRPr="009118AB">
        <w:t>Diese Steuer auf den Steuerfreibetrag wird festgelegt auf:</w:t>
      </w:r>
    </w:p>
    <w:p w14:paraId="492D4725" w14:textId="77777777" w:rsidR="008501BF" w:rsidRPr="009118AB" w:rsidRDefault="008501BF" w:rsidP="00B81F10">
      <w:pPr>
        <w:autoSpaceDE w:val="0"/>
        <w:autoSpaceDN w:val="0"/>
        <w:adjustRightInd w:val="0"/>
        <w:ind w:firstLine="709"/>
        <w:jc w:val="both"/>
      </w:pPr>
    </w:p>
    <w:p w14:paraId="690F41F6" w14:textId="77777777" w:rsidR="008501BF" w:rsidRPr="009118AB" w:rsidRDefault="008501BF" w:rsidP="00B81F10">
      <w:pPr>
        <w:autoSpaceDE w:val="0"/>
        <w:autoSpaceDN w:val="0"/>
        <w:adjustRightInd w:val="0"/>
        <w:ind w:firstLine="709"/>
        <w:jc w:val="both"/>
      </w:pPr>
      <w:r w:rsidRPr="009118AB">
        <w:t>25 Prozent für den Teilbetrag des Steuerfreibetrags von 0,01 EUR bis 5.705,00 EUR,</w:t>
      </w:r>
    </w:p>
    <w:p w14:paraId="09626D50" w14:textId="77777777" w:rsidR="008501BF" w:rsidRPr="009118AB" w:rsidRDefault="008501BF" w:rsidP="00B81F10">
      <w:pPr>
        <w:autoSpaceDE w:val="0"/>
        <w:autoSpaceDN w:val="0"/>
        <w:adjustRightInd w:val="0"/>
        <w:ind w:firstLine="709"/>
        <w:jc w:val="both"/>
      </w:pPr>
    </w:p>
    <w:p w14:paraId="20083B9B" w14:textId="77777777" w:rsidR="008501BF" w:rsidRPr="009118AB" w:rsidRDefault="008501BF" w:rsidP="00B81F10">
      <w:pPr>
        <w:autoSpaceDE w:val="0"/>
        <w:autoSpaceDN w:val="0"/>
        <w:adjustRightInd w:val="0"/>
        <w:ind w:firstLine="709"/>
        <w:jc w:val="both"/>
      </w:pPr>
      <w:r w:rsidRPr="009118AB">
        <w:t>30 Prozent für den Teilbetrag des Steuerfreibetrags von 5.705,00 EUR bis 8.120,00 EUR,</w:t>
      </w:r>
    </w:p>
    <w:p w14:paraId="76E35CDB" w14:textId="77777777" w:rsidR="008501BF" w:rsidRPr="009118AB" w:rsidRDefault="008501BF" w:rsidP="00B81F10">
      <w:pPr>
        <w:autoSpaceDE w:val="0"/>
        <w:autoSpaceDN w:val="0"/>
        <w:adjustRightInd w:val="0"/>
        <w:ind w:firstLine="709"/>
        <w:jc w:val="both"/>
      </w:pPr>
    </w:p>
    <w:p w14:paraId="0B6E3C91" w14:textId="77777777" w:rsidR="008501BF" w:rsidRPr="009118AB" w:rsidRDefault="008501BF" w:rsidP="00B81F10">
      <w:pPr>
        <w:autoSpaceDE w:val="0"/>
        <w:autoSpaceDN w:val="0"/>
        <w:adjustRightInd w:val="0"/>
        <w:ind w:firstLine="709"/>
        <w:jc w:val="both"/>
      </w:pPr>
      <w:r w:rsidRPr="009118AB">
        <w:t>40 Prozent für den Teilbetrag des Steuerfreibetrags von 8.120,00 EUR bis 13.530,00 EUR,</w:t>
      </w:r>
    </w:p>
    <w:p w14:paraId="1F1635A8" w14:textId="77777777" w:rsidR="008501BF" w:rsidRPr="009118AB" w:rsidRDefault="008501BF" w:rsidP="00B81F10">
      <w:pPr>
        <w:autoSpaceDE w:val="0"/>
        <w:autoSpaceDN w:val="0"/>
        <w:adjustRightInd w:val="0"/>
        <w:ind w:firstLine="709"/>
        <w:jc w:val="both"/>
      </w:pPr>
    </w:p>
    <w:p w14:paraId="3215439A" w14:textId="77777777" w:rsidR="008501BF" w:rsidRPr="009118AB" w:rsidRDefault="008501BF" w:rsidP="00B81F10">
      <w:pPr>
        <w:autoSpaceDE w:val="0"/>
        <w:autoSpaceDN w:val="0"/>
        <w:adjustRightInd w:val="0"/>
        <w:ind w:firstLine="709"/>
        <w:jc w:val="both"/>
      </w:pPr>
      <w:r w:rsidRPr="009118AB">
        <w:t>45 Prozent für den Teilbetrag des Steuerfreibetrags von 13.530,00 EUR bis 24.800,00 EUR,</w:t>
      </w:r>
    </w:p>
    <w:p w14:paraId="74CF2F0D" w14:textId="77777777" w:rsidR="008501BF" w:rsidRPr="009118AB" w:rsidRDefault="008501BF" w:rsidP="00B81F10">
      <w:pPr>
        <w:autoSpaceDE w:val="0"/>
        <w:autoSpaceDN w:val="0"/>
        <w:adjustRightInd w:val="0"/>
        <w:ind w:firstLine="709"/>
        <w:jc w:val="both"/>
      </w:pPr>
    </w:p>
    <w:p w14:paraId="4B4D0A32" w14:textId="77777777" w:rsidR="00130957" w:rsidRPr="009118AB" w:rsidRDefault="008501BF" w:rsidP="00B81F10">
      <w:pPr>
        <w:autoSpaceDE w:val="0"/>
        <w:autoSpaceDN w:val="0"/>
        <w:adjustRightInd w:val="0"/>
        <w:ind w:firstLine="709"/>
        <w:jc w:val="both"/>
      </w:pPr>
      <w:r w:rsidRPr="009118AB">
        <w:t>50 Prozent für den Teilbetrag des Steuerfreibetrags über 24.800,00 EUR.]</w:t>
      </w:r>
    </w:p>
    <w:p w14:paraId="658CFF65" w14:textId="77777777" w:rsidR="00130957" w:rsidRPr="009118AB" w:rsidRDefault="00130957" w:rsidP="00B81F10">
      <w:pPr>
        <w:autoSpaceDE w:val="0"/>
        <w:autoSpaceDN w:val="0"/>
        <w:adjustRightInd w:val="0"/>
        <w:ind w:firstLine="709"/>
        <w:jc w:val="both"/>
      </w:pPr>
    </w:p>
    <w:p w14:paraId="69956A7D" w14:textId="0291BE53" w:rsidR="00E7785B" w:rsidRPr="009118AB" w:rsidRDefault="00D67EB8" w:rsidP="00E7785B">
      <w:pPr>
        <w:ind w:firstLine="708"/>
        <w:jc w:val="both"/>
      </w:pPr>
      <w:r w:rsidRPr="009118AB">
        <w:t>§ </w:t>
      </w:r>
      <w:r w:rsidR="00130957" w:rsidRPr="009118AB">
        <w:t>3</w:t>
      </w:r>
      <w:r w:rsidRPr="009118AB">
        <w:t> - </w:t>
      </w:r>
      <w:r w:rsidR="008501BF" w:rsidRPr="009118AB">
        <w:t>[</w:t>
      </w:r>
      <w:r w:rsidR="004D552A" w:rsidRPr="009118AB">
        <w:t xml:space="preserve">Der Teil der gemäß </w:t>
      </w:r>
      <w:r w:rsidRPr="009118AB">
        <w:t>§ </w:t>
      </w:r>
      <w:r w:rsidR="004D552A" w:rsidRPr="009118AB">
        <w:t xml:space="preserve">2 Absatz 2 berechneten Steuer auf den Steuerfreibetrag, der nicht von der gemäß Artikel 130 berechneten Steuer abgezogen werden kann, wird in dem Maße, wie er in Artikel 132 Absatz 1 </w:t>
      </w:r>
      <w:r w:rsidRPr="009118AB">
        <w:t>Nr. </w:t>
      </w:r>
      <w:r w:rsidR="004D552A" w:rsidRPr="009118AB">
        <w:t xml:space="preserve">1 bis 6 erwähnte Zuschläge betrifft, in eine erstattungsfähige Steuergutschrift umgewandelt. </w:t>
      </w:r>
      <w:r w:rsidR="007F1EB7" w:rsidRPr="009118AB">
        <w:t>[...]</w:t>
      </w:r>
      <w:r w:rsidR="005B333B" w:rsidRPr="009118AB">
        <w:t>]</w:t>
      </w:r>
    </w:p>
    <w:p w14:paraId="0F518BBE" w14:textId="2423373F" w:rsidR="00D743EC" w:rsidRPr="009118AB" w:rsidRDefault="00D743EC" w:rsidP="00E7785B">
      <w:pPr>
        <w:ind w:firstLine="708"/>
        <w:jc w:val="both"/>
      </w:pPr>
    </w:p>
    <w:p w14:paraId="0E547202" w14:textId="77777777" w:rsidR="007F1EB7" w:rsidRPr="009118AB" w:rsidRDefault="007F1EB7" w:rsidP="007F1EB7">
      <w:pPr>
        <w:ind w:firstLine="708"/>
        <w:jc w:val="both"/>
      </w:pPr>
      <w:r w:rsidRPr="009118AB">
        <w:t>[Die in Absatz 1 erwähnte Steuergutschrift kann nicht mehr betragen als:</w:t>
      </w:r>
    </w:p>
    <w:p w14:paraId="58A67824" w14:textId="77777777" w:rsidR="007F1EB7" w:rsidRPr="009118AB" w:rsidRDefault="007F1EB7" w:rsidP="007F1EB7">
      <w:pPr>
        <w:jc w:val="both"/>
      </w:pPr>
    </w:p>
    <w:p w14:paraId="055BDD84" w14:textId="77777777" w:rsidR="007F1EB7" w:rsidRPr="009118AB" w:rsidRDefault="007F1EB7" w:rsidP="007F1EB7">
      <w:pPr>
        <w:ind w:firstLine="708"/>
        <w:jc w:val="both"/>
      </w:pPr>
      <w:r w:rsidRPr="009118AB">
        <w:t>- 250 EUR pro Kind zu Lasten, für das Artikel 132</w:t>
      </w:r>
      <w:r w:rsidRPr="009118AB">
        <w:rPr>
          <w:i/>
          <w:iCs/>
        </w:rPr>
        <w:t>bis</w:t>
      </w:r>
      <w:r w:rsidRPr="009118AB">
        <w:t xml:space="preserve"> nicht angewandt wird,</w:t>
      </w:r>
    </w:p>
    <w:p w14:paraId="304DBBAA" w14:textId="77777777" w:rsidR="007F1EB7" w:rsidRPr="009118AB" w:rsidRDefault="007F1EB7" w:rsidP="007F1EB7">
      <w:pPr>
        <w:jc w:val="both"/>
      </w:pPr>
    </w:p>
    <w:p w14:paraId="312530C4" w14:textId="77777777" w:rsidR="007F1EB7" w:rsidRPr="009118AB" w:rsidRDefault="007F1EB7" w:rsidP="007F1EB7">
      <w:pPr>
        <w:ind w:firstLine="708"/>
        <w:jc w:val="both"/>
      </w:pPr>
      <w:r w:rsidRPr="009118AB">
        <w:t>- die Hälfte des im ersten Gedankenstrich erwähnten Betrags pro Kind, für das Artikel 132</w:t>
      </w:r>
      <w:r w:rsidRPr="009118AB">
        <w:rPr>
          <w:i/>
          <w:iCs/>
        </w:rPr>
        <w:t>bis</w:t>
      </w:r>
      <w:r w:rsidRPr="009118AB">
        <w:t xml:space="preserve"> angewandt wird.</w:t>
      </w:r>
    </w:p>
    <w:p w14:paraId="7ACC9808" w14:textId="77777777" w:rsidR="007F1EB7" w:rsidRPr="009118AB" w:rsidRDefault="007F1EB7" w:rsidP="007F1EB7">
      <w:pPr>
        <w:jc w:val="both"/>
      </w:pPr>
    </w:p>
    <w:p w14:paraId="27C20626" w14:textId="15F15A07" w:rsidR="007F1EB7" w:rsidRPr="009118AB" w:rsidRDefault="007F1EB7" w:rsidP="007F1EB7">
      <w:pPr>
        <w:ind w:firstLine="708"/>
        <w:jc w:val="both"/>
      </w:pPr>
      <w:r w:rsidRPr="009118AB">
        <w:t>Für die Anwendung von Absatz 2 werden Kinder, die als behindert gelten, doppelt gezählt.]</w:t>
      </w:r>
    </w:p>
    <w:p w14:paraId="45D8BE91" w14:textId="77777777" w:rsidR="007F1EB7" w:rsidRPr="009118AB" w:rsidRDefault="007F1EB7" w:rsidP="00E7785B">
      <w:pPr>
        <w:ind w:firstLine="708"/>
        <w:jc w:val="both"/>
      </w:pPr>
    </w:p>
    <w:p w14:paraId="7D88744A" w14:textId="2C3F213D" w:rsidR="004D552A" w:rsidRPr="009118AB" w:rsidRDefault="005B333B" w:rsidP="004D552A">
      <w:pPr>
        <w:ind w:firstLine="708"/>
        <w:jc w:val="both"/>
      </w:pPr>
      <w:r w:rsidRPr="009118AB">
        <w:t>[</w:t>
      </w:r>
      <w:r w:rsidR="004D552A" w:rsidRPr="009118AB">
        <w:t xml:space="preserve">Für die Bestimmung des Teils der Steuer auf den Steuerfreibetrag, der nicht von der gemäß Artikel 130 berechneten Steuer abgezogen werden kann und in Artikel 132 Absatz 1 </w:t>
      </w:r>
      <w:r w:rsidR="00D67EB8" w:rsidRPr="009118AB">
        <w:t>Nr. </w:t>
      </w:r>
      <w:r w:rsidR="004D552A" w:rsidRPr="009118AB">
        <w:t>1 bis 6 erwähnte Zuschläge betrifft:</w:t>
      </w:r>
    </w:p>
    <w:p w14:paraId="76E242F3" w14:textId="77777777" w:rsidR="004D552A" w:rsidRPr="009118AB" w:rsidRDefault="004D552A" w:rsidP="004D552A">
      <w:pPr>
        <w:jc w:val="both"/>
      </w:pPr>
    </w:p>
    <w:p w14:paraId="612F5F15" w14:textId="77777777" w:rsidR="004D552A" w:rsidRPr="009118AB" w:rsidRDefault="004D552A" w:rsidP="004D552A">
      <w:pPr>
        <w:ind w:firstLine="708"/>
        <w:jc w:val="both"/>
      </w:pPr>
      <w:r w:rsidRPr="009118AB">
        <w:t>1. gilt, dass der Steuerfreibetrag nacheinander besteht aus:</w:t>
      </w:r>
    </w:p>
    <w:p w14:paraId="715F9DBD" w14:textId="77777777" w:rsidR="004D552A" w:rsidRPr="009118AB" w:rsidRDefault="004D552A" w:rsidP="004D552A">
      <w:pPr>
        <w:jc w:val="both"/>
      </w:pPr>
    </w:p>
    <w:p w14:paraId="7C335830" w14:textId="77777777" w:rsidR="004D552A" w:rsidRPr="009118AB" w:rsidRDefault="004D552A" w:rsidP="004D552A">
      <w:pPr>
        <w:ind w:firstLine="708"/>
        <w:jc w:val="both"/>
      </w:pPr>
      <w:r w:rsidRPr="009118AB">
        <w:t>- dem in Artikel 131 erwähnten Grundbetrag des Steuerfreibetrags,</w:t>
      </w:r>
    </w:p>
    <w:p w14:paraId="58CB2571" w14:textId="77777777" w:rsidR="004D552A" w:rsidRPr="009118AB" w:rsidRDefault="004D552A" w:rsidP="004D552A">
      <w:pPr>
        <w:jc w:val="both"/>
      </w:pPr>
    </w:p>
    <w:p w14:paraId="04685192" w14:textId="791576A8" w:rsidR="004D552A" w:rsidRPr="009118AB" w:rsidRDefault="004D552A" w:rsidP="004D552A">
      <w:pPr>
        <w:ind w:firstLine="708"/>
        <w:jc w:val="both"/>
      </w:pPr>
      <w:r w:rsidRPr="009118AB">
        <w:t xml:space="preserve">- den in den Artikeln 132 Absatz 1 </w:t>
      </w:r>
      <w:r w:rsidR="00D67EB8" w:rsidRPr="009118AB">
        <w:t>Nr. </w:t>
      </w:r>
      <w:r w:rsidRPr="009118AB">
        <w:t>7 und 8 und 133 erwähnten Zuschlägen,</w:t>
      </w:r>
    </w:p>
    <w:p w14:paraId="310E08A2" w14:textId="77777777" w:rsidR="004D552A" w:rsidRPr="009118AB" w:rsidRDefault="004D552A" w:rsidP="004D552A">
      <w:pPr>
        <w:jc w:val="both"/>
      </w:pPr>
    </w:p>
    <w:p w14:paraId="026E0A58" w14:textId="1554FD3C" w:rsidR="004D552A" w:rsidRPr="009118AB" w:rsidRDefault="004D552A" w:rsidP="004D552A">
      <w:pPr>
        <w:ind w:firstLine="708"/>
        <w:jc w:val="both"/>
      </w:pPr>
      <w:r w:rsidRPr="009118AB">
        <w:t xml:space="preserve">- den in Artikel 132 Absatz 1 </w:t>
      </w:r>
      <w:r w:rsidR="00D67EB8" w:rsidRPr="009118AB">
        <w:t>Nr. </w:t>
      </w:r>
      <w:r w:rsidRPr="009118AB">
        <w:t>1 bis 6 erwähnten Zuschlägen,</w:t>
      </w:r>
    </w:p>
    <w:p w14:paraId="528F7D20" w14:textId="77777777" w:rsidR="004D552A" w:rsidRPr="009118AB" w:rsidRDefault="004D552A" w:rsidP="004D552A">
      <w:pPr>
        <w:jc w:val="both"/>
      </w:pPr>
    </w:p>
    <w:p w14:paraId="65C02671" w14:textId="6E93C0A3" w:rsidR="00130957" w:rsidRPr="009118AB" w:rsidRDefault="004D552A" w:rsidP="004D552A">
      <w:pPr>
        <w:autoSpaceDE w:val="0"/>
        <w:autoSpaceDN w:val="0"/>
        <w:adjustRightInd w:val="0"/>
        <w:ind w:firstLine="709"/>
        <w:jc w:val="both"/>
      </w:pPr>
      <w:r w:rsidRPr="009118AB">
        <w:t xml:space="preserve">2. wird der Teil des Steuerfreibetrags, der das steuerpflichtige Einkommen übersteigt und nicht aus den in Artikel 132 Absatz 1 </w:t>
      </w:r>
      <w:r w:rsidR="00D67EB8" w:rsidRPr="009118AB">
        <w:t>Nr. </w:t>
      </w:r>
      <w:r w:rsidRPr="009118AB">
        <w:t>1 bis 6 erwähnten Zuschlägen besteht, nicht berücksichtigt.</w:t>
      </w:r>
      <w:r w:rsidR="008501BF" w:rsidRPr="009118AB">
        <w:t>]</w:t>
      </w:r>
    </w:p>
    <w:p w14:paraId="178FAA86" w14:textId="77777777" w:rsidR="0085032A" w:rsidRPr="009118AB" w:rsidRDefault="0085032A"/>
    <w:p w14:paraId="7D8D989D" w14:textId="77777777" w:rsidR="00DD3821" w:rsidRPr="009118AB" w:rsidRDefault="00DD3821" w:rsidP="00DD3821">
      <w:pPr>
        <w:autoSpaceDE w:val="0"/>
        <w:autoSpaceDN w:val="0"/>
        <w:adjustRightInd w:val="0"/>
        <w:ind w:firstLine="709"/>
        <w:jc w:val="both"/>
      </w:pPr>
      <w:r w:rsidRPr="009118AB">
        <w:t>[Wenn der in Artikel 133 Absatz 2 erwähnte zusätzliche Zuschlag dem Steuerpflichtigen gewährt wird:</w:t>
      </w:r>
    </w:p>
    <w:p w14:paraId="3C24B93E" w14:textId="77777777" w:rsidR="00DD3821" w:rsidRPr="009118AB" w:rsidRDefault="00DD3821" w:rsidP="00DD3821">
      <w:pPr>
        <w:autoSpaceDE w:val="0"/>
        <w:autoSpaceDN w:val="0"/>
        <w:adjustRightInd w:val="0"/>
        <w:ind w:firstLine="709"/>
        <w:jc w:val="both"/>
      </w:pPr>
    </w:p>
    <w:p w14:paraId="67E36340" w14:textId="2CA8050A" w:rsidR="00DD3821" w:rsidRPr="009118AB" w:rsidRDefault="00DD3821" w:rsidP="00DD3821">
      <w:pPr>
        <w:autoSpaceDE w:val="0"/>
        <w:autoSpaceDN w:val="0"/>
        <w:adjustRightInd w:val="0"/>
        <w:ind w:firstLine="709"/>
        <w:jc w:val="both"/>
      </w:pPr>
      <w:r w:rsidRPr="009118AB">
        <w:t xml:space="preserve">1. wird der Teil der gemäß </w:t>
      </w:r>
      <w:r w:rsidR="00D67EB8" w:rsidRPr="009118AB">
        <w:t>§ </w:t>
      </w:r>
      <w:r w:rsidRPr="009118AB">
        <w:t>2 Absatz 2 berechneten Steuer auf den Steuerfreibetrag, der nicht von der gemäß Artikel 130 berechneten Steuer abgezogen werden kann, in dem Maße, wie er den in Artikel 133 Absatz 2 erwähnten zusätzlichen Zuschlag betrifft, ebenfalls in eine anrechenbare und erstattungsfähige Steuergutschrift umgewandelt,</w:t>
      </w:r>
    </w:p>
    <w:p w14:paraId="19638563" w14:textId="77777777" w:rsidR="00DD3821" w:rsidRPr="009118AB" w:rsidRDefault="00DD3821" w:rsidP="00DD3821">
      <w:pPr>
        <w:autoSpaceDE w:val="0"/>
        <w:autoSpaceDN w:val="0"/>
        <w:adjustRightInd w:val="0"/>
        <w:ind w:firstLine="709"/>
        <w:jc w:val="both"/>
      </w:pPr>
    </w:p>
    <w:p w14:paraId="1A00F977" w14:textId="2CCD71CF" w:rsidR="00DD3821" w:rsidRPr="009118AB" w:rsidRDefault="00DD3821" w:rsidP="00DD3821">
      <w:pPr>
        <w:autoSpaceDE w:val="0"/>
        <w:autoSpaceDN w:val="0"/>
        <w:adjustRightInd w:val="0"/>
        <w:ind w:firstLine="709"/>
        <w:jc w:val="both"/>
      </w:pPr>
      <w:r w:rsidRPr="009118AB">
        <w:lastRenderedPageBreak/>
        <w:t xml:space="preserve">2. sind folgende Regeln anwendbar, um den Teil der Steuer auf den Steuerfreibetrag zu bestimmen, der die in Artikel 132 Absatz 1 </w:t>
      </w:r>
      <w:r w:rsidR="00D67EB8" w:rsidRPr="009118AB">
        <w:t>Nr. </w:t>
      </w:r>
      <w:r w:rsidRPr="009118AB">
        <w:t>1 bis 6 erwähnten Zuschläge und den in Artikel 133 Absatz 2 erwähnten zusätzlichen Zuschlag betrifft:</w:t>
      </w:r>
    </w:p>
    <w:p w14:paraId="326EFD2F" w14:textId="77777777" w:rsidR="00DD3821" w:rsidRPr="009118AB" w:rsidRDefault="00DD3821" w:rsidP="00DD3821">
      <w:pPr>
        <w:autoSpaceDE w:val="0"/>
        <w:autoSpaceDN w:val="0"/>
        <w:adjustRightInd w:val="0"/>
        <w:ind w:firstLine="709"/>
        <w:jc w:val="both"/>
      </w:pPr>
    </w:p>
    <w:p w14:paraId="66F3BB54" w14:textId="77777777" w:rsidR="00DD3821" w:rsidRPr="009118AB" w:rsidRDefault="00DD3821" w:rsidP="00DD3821">
      <w:pPr>
        <w:autoSpaceDE w:val="0"/>
        <w:autoSpaceDN w:val="0"/>
        <w:adjustRightInd w:val="0"/>
        <w:ind w:firstLine="709"/>
        <w:jc w:val="both"/>
      </w:pPr>
      <w:r w:rsidRPr="009118AB">
        <w:rPr>
          <w:i/>
        </w:rPr>
        <w:t>a)</w:t>
      </w:r>
      <w:r w:rsidRPr="009118AB">
        <w:t xml:space="preserve"> Für den Steuerfreibetrag gilt, dass er nacheinander besteht aus:</w:t>
      </w:r>
    </w:p>
    <w:p w14:paraId="2F667BC1" w14:textId="77777777" w:rsidR="00DD3821" w:rsidRPr="009118AB" w:rsidRDefault="00DD3821" w:rsidP="00DD3821">
      <w:pPr>
        <w:autoSpaceDE w:val="0"/>
        <w:autoSpaceDN w:val="0"/>
        <w:adjustRightInd w:val="0"/>
        <w:ind w:firstLine="709"/>
        <w:jc w:val="both"/>
      </w:pPr>
    </w:p>
    <w:p w14:paraId="09A666B8" w14:textId="77777777" w:rsidR="00DD3821" w:rsidRPr="009118AB" w:rsidRDefault="00DD3821" w:rsidP="00DD3821">
      <w:pPr>
        <w:autoSpaceDE w:val="0"/>
        <w:autoSpaceDN w:val="0"/>
        <w:adjustRightInd w:val="0"/>
        <w:ind w:firstLine="709"/>
        <w:jc w:val="both"/>
      </w:pPr>
      <w:r w:rsidRPr="009118AB">
        <w:t>- dem in Artikel 131 erwähnten Grundbetrag des Steuerfreibetrags,</w:t>
      </w:r>
    </w:p>
    <w:p w14:paraId="4FBF5EE2" w14:textId="77777777" w:rsidR="00DD3821" w:rsidRPr="009118AB" w:rsidRDefault="00DD3821" w:rsidP="00DD3821">
      <w:pPr>
        <w:autoSpaceDE w:val="0"/>
        <w:autoSpaceDN w:val="0"/>
        <w:adjustRightInd w:val="0"/>
        <w:ind w:firstLine="709"/>
        <w:jc w:val="both"/>
      </w:pPr>
    </w:p>
    <w:p w14:paraId="7BA7ED39" w14:textId="23E7836C" w:rsidR="00DD3821" w:rsidRPr="009118AB" w:rsidRDefault="00DD3821" w:rsidP="00DD3821">
      <w:pPr>
        <w:autoSpaceDE w:val="0"/>
        <w:autoSpaceDN w:val="0"/>
        <w:adjustRightInd w:val="0"/>
        <w:ind w:firstLine="709"/>
        <w:jc w:val="both"/>
      </w:pPr>
      <w:r w:rsidRPr="009118AB">
        <w:t xml:space="preserve">- den in den Artikeln 132 Absatz 1 </w:t>
      </w:r>
      <w:r w:rsidR="00D67EB8" w:rsidRPr="009118AB">
        <w:t>Nr. </w:t>
      </w:r>
      <w:r w:rsidRPr="009118AB">
        <w:t>7 und 8 und 133 Absatz 1 erwähnten Zuschlägen,</w:t>
      </w:r>
    </w:p>
    <w:p w14:paraId="74449DD6" w14:textId="77777777" w:rsidR="00DD3821" w:rsidRPr="009118AB" w:rsidRDefault="00DD3821" w:rsidP="00DD3821">
      <w:pPr>
        <w:autoSpaceDE w:val="0"/>
        <w:autoSpaceDN w:val="0"/>
        <w:adjustRightInd w:val="0"/>
        <w:ind w:firstLine="709"/>
        <w:jc w:val="both"/>
      </w:pPr>
    </w:p>
    <w:p w14:paraId="07681DF2" w14:textId="19BD1520" w:rsidR="00DD3821" w:rsidRPr="009118AB" w:rsidRDefault="00DD3821" w:rsidP="00DD3821">
      <w:pPr>
        <w:autoSpaceDE w:val="0"/>
        <w:autoSpaceDN w:val="0"/>
        <w:adjustRightInd w:val="0"/>
        <w:ind w:firstLine="709"/>
        <w:jc w:val="both"/>
      </w:pPr>
      <w:r w:rsidRPr="009118AB">
        <w:t xml:space="preserve">- den in Artikel 132 Absatz 1 </w:t>
      </w:r>
      <w:r w:rsidR="00D67EB8" w:rsidRPr="009118AB">
        <w:t>Nr. </w:t>
      </w:r>
      <w:r w:rsidRPr="009118AB">
        <w:t>1 bis 6 erwähnten Zuschlägen,</w:t>
      </w:r>
    </w:p>
    <w:p w14:paraId="4051827D" w14:textId="77777777" w:rsidR="00DD3821" w:rsidRPr="009118AB" w:rsidRDefault="00DD3821" w:rsidP="00DD3821">
      <w:pPr>
        <w:autoSpaceDE w:val="0"/>
        <w:autoSpaceDN w:val="0"/>
        <w:adjustRightInd w:val="0"/>
        <w:ind w:firstLine="709"/>
        <w:jc w:val="both"/>
      </w:pPr>
    </w:p>
    <w:p w14:paraId="1207CA62" w14:textId="77777777" w:rsidR="00DD3821" w:rsidRPr="009118AB" w:rsidRDefault="00DD3821" w:rsidP="00DD3821">
      <w:pPr>
        <w:autoSpaceDE w:val="0"/>
        <w:autoSpaceDN w:val="0"/>
        <w:adjustRightInd w:val="0"/>
        <w:ind w:firstLine="709"/>
        <w:jc w:val="both"/>
      </w:pPr>
      <w:r w:rsidRPr="009118AB">
        <w:t>- dem in Artikel 133 Absatz 2 erwähnten zusätzlichen Zuschlag.</w:t>
      </w:r>
    </w:p>
    <w:p w14:paraId="4FEBC454" w14:textId="77777777" w:rsidR="00DD3821" w:rsidRPr="009118AB" w:rsidRDefault="00DD3821" w:rsidP="00DD3821">
      <w:pPr>
        <w:autoSpaceDE w:val="0"/>
        <w:autoSpaceDN w:val="0"/>
        <w:adjustRightInd w:val="0"/>
        <w:ind w:firstLine="709"/>
        <w:jc w:val="both"/>
      </w:pPr>
    </w:p>
    <w:p w14:paraId="22D7A33C" w14:textId="04222144" w:rsidR="00DD3821" w:rsidRPr="009118AB" w:rsidRDefault="00DD3821" w:rsidP="00DD3821">
      <w:pPr>
        <w:autoSpaceDE w:val="0"/>
        <w:autoSpaceDN w:val="0"/>
        <w:adjustRightInd w:val="0"/>
        <w:ind w:firstLine="709"/>
        <w:jc w:val="both"/>
      </w:pPr>
      <w:r w:rsidRPr="009118AB">
        <w:rPr>
          <w:i/>
        </w:rPr>
        <w:t>b)</w:t>
      </w:r>
      <w:r w:rsidRPr="009118AB">
        <w:t xml:space="preserve"> Der Teil des Steuerfreibetrags, der das steuerpflichtige Einkommen übersteigt und nicht aus den in Artikel 132 Absatz 1 </w:t>
      </w:r>
      <w:r w:rsidR="00D67EB8" w:rsidRPr="009118AB">
        <w:t>Nr. </w:t>
      </w:r>
      <w:r w:rsidRPr="009118AB">
        <w:t>1 bis 6 erwähnten Zuschlägen und dem in Artikel 133 Absatz 2 erwähnten zusätzlichen Zuschlag besteht, wird nicht berücksichtigt,</w:t>
      </w:r>
    </w:p>
    <w:p w14:paraId="459DEAAC" w14:textId="77777777" w:rsidR="00DD3821" w:rsidRPr="009118AB" w:rsidRDefault="00DD3821" w:rsidP="00DD3821">
      <w:pPr>
        <w:autoSpaceDE w:val="0"/>
        <w:autoSpaceDN w:val="0"/>
        <w:adjustRightInd w:val="0"/>
        <w:ind w:firstLine="709"/>
        <w:jc w:val="both"/>
      </w:pPr>
    </w:p>
    <w:p w14:paraId="564092F6" w14:textId="67BDAEE7" w:rsidR="00DD3821" w:rsidRPr="009118AB" w:rsidRDefault="00DD3821" w:rsidP="00DD3821">
      <w:pPr>
        <w:autoSpaceDE w:val="0"/>
        <w:autoSpaceDN w:val="0"/>
        <w:adjustRightInd w:val="0"/>
        <w:ind w:firstLine="709"/>
        <w:jc w:val="both"/>
      </w:pPr>
      <w:r w:rsidRPr="009118AB">
        <w:t xml:space="preserve">3. wird der Höchstbetrag der Steuergutschrift pro Steuerpflichtigen um den Betrag der Steuer erhöht, der gemäß </w:t>
      </w:r>
      <w:r w:rsidR="00D67EB8" w:rsidRPr="009118AB">
        <w:t>§ </w:t>
      </w:r>
      <w:r w:rsidRPr="009118AB">
        <w:t xml:space="preserve">2 Absatz 2 und </w:t>
      </w:r>
      <w:r w:rsidR="00D67EB8" w:rsidRPr="009118AB">
        <w:t>Nr. </w:t>
      </w:r>
      <w:r w:rsidRPr="009118AB">
        <w:t>2 des vorliegenden Absatzes auf den in Artikel</w:t>
      </w:r>
      <w:r w:rsidR="00D743EC" w:rsidRPr="009118AB">
        <w:t> </w:t>
      </w:r>
      <w:r w:rsidRPr="009118AB">
        <w:t xml:space="preserve">133 Absatz 2 erwähnten zusätzlichen Zuschlag berechnet wird </w:t>
      </w:r>
      <w:r w:rsidR="00D743EC" w:rsidRPr="009118AB">
        <w:t>und nicht von der gemäß Artikel </w:t>
      </w:r>
      <w:r w:rsidRPr="009118AB">
        <w:t>130 berechneten Steuer abgezogen werden kann.]</w:t>
      </w:r>
    </w:p>
    <w:p w14:paraId="0652D657" w14:textId="77777777" w:rsidR="00130957" w:rsidRPr="009118AB" w:rsidRDefault="00130957" w:rsidP="00B81F10">
      <w:pPr>
        <w:autoSpaceDE w:val="0"/>
        <w:autoSpaceDN w:val="0"/>
        <w:adjustRightInd w:val="0"/>
        <w:ind w:firstLine="709"/>
        <w:jc w:val="both"/>
      </w:pPr>
    </w:p>
    <w:p w14:paraId="32F57B75" w14:textId="466AA91A" w:rsidR="00130957" w:rsidRPr="009118AB" w:rsidRDefault="00130957" w:rsidP="00B81F10">
      <w:pPr>
        <w:autoSpaceDE w:val="0"/>
        <w:autoSpaceDN w:val="0"/>
        <w:adjustRightInd w:val="0"/>
        <w:ind w:firstLine="709"/>
        <w:jc w:val="both"/>
      </w:pPr>
      <w:r w:rsidRPr="009118AB">
        <w:t>Vorliegender Paragraph ist nicht anwendbar auf:</w:t>
      </w:r>
    </w:p>
    <w:p w14:paraId="0E8E05A8" w14:textId="77777777" w:rsidR="00130957" w:rsidRPr="009118AB" w:rsidRDefault="00130957" w:rsidP="00B81F10">
      <w:pPr>
        <w:autoSpaceDE w:val="0"/>
        <w:autoSpaceDN w:val="0"/>
        <w:adjustRightInd w:val="0"/>
        <w:ind w:firstLine="709"/>
        <w:jc w:val="both"/>
      </w:pPr>
    </w:p>
    <w:p w14:paraId="797BC2D0" w14:textId="77777777" w:rsidR="00130957" w:rsidRPr="009118AB" w:rsidRDefault="00130957" w:rsidP="00B81F10">
      <w:pPr>
        <w:autoSpaceDE w:val="0"/>
        <w:autoSpaceDN w:val="0"/>
        <w:adjustRightInd w:val="0"/>
        <w:ind w:firstLine="709"/>
        <w:jc w:val="both"/>
      </w:pPr>
      <w:r w:rsidRPr="009118AB">
        <w:t>- Steuerpflichtige, die Berufseinkünfte beziehen, die aufgrund eines Abkommens steuerfrei sind und nicht für die Berechnung der Steuer auf ihre anderen Einkünfte berücksichtigt werden,</w:t>
      </w:r>
    </w:p>
    <w:p w14:paraId="1BED9C07" w14:textId="77777777" w:rsidR="00130957" w:rsidRPr="009118AB" w:rsidRDefault="00130957" w:rsidP="00B81F10">
      <w:pPr>
        <w:autoSpaceDE w:val="0"/>
        <w:autoSpaceDN w:val="0"/>
        <w:adjustRightInd w:val="0"/>
        <w:ind w:firstLine="709"/>
        <w:jc w:val="both"/>
      </w:pPr>
    </w:p>
    <w:p w14:paraId="058772C4" w14:textId="58C5E282" w:rsidR="00130957" w:rsidRPr="009118AB" w:rsidRDefault="00130957" w:rsidP="00B81F10">
      <w:pPr>
        <w:autoSpaceDE w:val="0"/>
        <w:autoSpaceDN w:val="0"/>
        <w:adjustRightInd w:val="0"/>
        <w:ind w:firstLine="709"/>
        <w:jc w:val="both"/>
      </w:pPr>
      <w:r w:rsidRPr="009118AB">
        <w:t xml:space="preserve">- den Ehepartner eines im ersten Gedankenstrich erwähnten Steuerpflichtigen, der gemäß Artikel 126 </w:t>
      </w:r>
      <w:r w:rsidR="00D67EB8" w:rsidRPr="009118AB">
        <w:t>§ </w:t>
      </w:r>
      <w:r w:rsidRPr="009118AB">
        <w:t xml:space="preserve">2 Absatz 1 </w:t>
      </w:r>
      <w:r w:rsidR="00D67EB8" w:rsidRPr="009118AB">
        <w:t>Nr. </w:t>
      </w:r>
      <w:r w:rsidRPr="009118AB">
        <w:t xml:space="preserve">4 einzeln veranlagt wird. </w:t>
      </w:r>
    </w:p>
    <w:p w14:paraId="384A81DA" w14:textId="77777777" w:rsidR="00130957" w:rsidRPr="009118AB" w:rsidRDefault="00130957" w:rsidP="00B81F10">
      <w:pPr>
        <w:autoSpaceDE w:val="0"/>
        <w:autoSpaceDN w:val="0"/>
        <w:adjustRightInd w:val="0"/>
        <w:ind w:firstLine="709"/>
        <w:jc w:val="both"/>
      </w:pPr>
    </w:p>
    <w:p w14:paraId="1D6447F6" w14:textId="5B8F9AF2" w:rsidR="00130957" w:rsidRPr="009118AB" w:rsidRDefault="00D67EB8" w:rsidP="00B81F10">
      <w:pPr>
        <w:autoSpaceDE w:val="0"/>
        <w:autoSpaceDN w:val="0"/>
        <w:adjustRightInd w:val="0"/>
        <w:ind w:firstLine="709"/>
        <w:jc w:val="both"/>
      </w:pPr>
      <w:r w:rsidRPr="009118AB">
        <w:t>§ </w:t>
      </w:r>
      <w:r w:rsidR="00130957" w:rsidRPr="009118AB">
        <w:t>4</w:t>
      </w:r>
      <w:r w:rsidRPr="009118AB">
        <w:t> - </w:t>
      </w:r>
      <w:r w:rsidR="00130957" w:rsidRPr="009118AB">
        <w:t>Bei Festlegung einer gemeinsamen Veranlagung wird wie folgt vorgegangen:</w:t>
      </w:r>
    </w:p>
    <w:p w14:paraId="2B2971F3" w14:textId="77777777" w:rsidR="00130957" w:rsidRPr="009118AB" w:rsidRDefault="00130957" w:rsidP="00B81F10">
      <w:pPr>
        <w:autoSpaceDE w:val="0"/>
        <w:autoSpaceDN w:val="0"/>
        <w:adjustRightInd w:val="0"/>
        <w:ind w:firstLine="709"/>
        <w:jc w:val="both"/>
      </w:pPr>
    </w:p>
    <w:p w14:paraId="700538FD" w14:textId="77777777" w:rsidR="00130957" w:rsidRPr="009118AB" w:rsidRDefault="00130957" w:rsidP="00B81F10">
      <w:pPr>
        <w:autoSpaceDE w:val="0"/>
        <w:autoSpaceDN w:val="0"/>
        <w:adjustRightInd w:val="0"/>
        <w:ind w:firstLine="709"/>
        <w:jc w:val="both"/>
      </w:pPr>
      <w:r w:rsidRPr="009118AB">
        <w:t>1. Der Steuerfreibetrag wird pro Ehepartner festgelegt.</w:t>
      </w:r>
    </w:p>
    <w:p w14:paraId="13682737" w14:textId="77777777" w:rsidR="00130957" w:rsidRPr="009118AB" w:rsidRDefault="00130957" w:rsidP="00B81F10">
      <w:pPr>
        <w:autoSpaceDE w:val="0"/>
        <w:autoSpaceDN w:val="0"/>
        <w:adjustRightInd w:val="0"/>
        <w:ind w:firstLine="709"/>
        <w:jc w:val="both"/>
      </w:pPr>
    </w:p>
    <w:p w14:paraId="1DB532A3" w14:textId="77777777" w:rsidR="00130957" w:rsidRPr="009118AB" w:rsidRDefault="00130957" w:rsidP="00B81F10">
      <w:pPr>
        <w:autoSpaceDE w:val="0"/>
        <w:autoSpaceDN w:val="0"/>
        <w:adjustRightInd w:val="0"/>
        <w:ind w:firstLine="709"/>
        <w:jc w:val="both"/>
      </w:pPr>
      <w:r w:rsidRPr="009118AB">
        <w:t>2. </w:t>
      </w:r>
      <w:r w:rsidR="008501BF" w:rsidRPr="009118AB">
        <w:t>[Die in Artikel 132 erwähnten Zuschläge werden dem Grundbetrag des Steuerfreibetrags des Ehepartners hinzugefügt, der das höchste steuerpflichtige Einkommen hat.]</w:t>
      </w:r>
    </w:p>
    <w:p w14:paraId="4B645FE5" w14:textId="77777777" w:rsidR="00130957" w:rsidRPr="009118AB" w:rsidRDefault="00130957" w:rsidP="00B81F10">
      <w:pPr>
        <w:autoSpaceDE w:val="0"/>
        <w:autoSpaceDN w:val="0"/>
        <w:adjustRightInd w:val="0"/>
        <w:ind w:firstLine="709"/>
        <w:jc w:val="both"/>
      </w:pPr>
    </w:p>
    <w:p w14:paraId="64BFB55F" w14:textId="4396DD6A" w:rsidR="00F114BB" w:rsidRPr="009118AB" w:rsidRDefault="00130957" w:rsidP="00F114BB">
      <w:pPr>
        <w:ind w:firstLine="708"/>
        <w:jc w:val="both"/>
      </w:pPr>
      <w:r w:rsidRPr="009118AB">
        <w:t>3. </w:t>
      </w:r>
      <w:r w:rsidR="00F114BB" w:rsidRPr="009118AB">
        <w:t>[Ist das steuerpflichtige Einkommen des Ehepartners</w:t>
      </w:r>
      <w:r w:rsidR="00C35B63" w:rsidRPr="009118AB">
        <w:t xml:space="preserve">[, bei dem die in Artikel 132 erwähnten Zuschläge in Anwendung von </w:t>
      </w:r>
      <w:r w:rsidR="00D67EB8" w:rsidRPr="009118AB">
        <w:t>Nr. </w:t>
      </w:r>
      <w:r w:rsidR="00C35B63" w:rsidRPr="009118AB">
        <w:t>2 des vorliegenden Absatzes oder von Absatz 3 dem Grundbetrag des Steuerfreibetrags hinzugefügt werden,]</w:t>
      </w:r>
      <w:r w:rsidR="00F114BB" w:rsidRPr="009118AB">
        <w:t xml:space="preserve"> niedriger als sein Steuerfreibetrag, wird der Überschuss des Steuerfreibetrags, der gegebenenfalls auf die Plusdifferenz zwischen dem steuerpflichtigen Einkommen und dem Steuerfreibetrag des anderen Ehepartners begrenzt wird, dem Steuerfreibetrag des anderen Ehepartners hinzugefügt.</w:t>
      </w:r>
      <w:r w:rsidR="00C35B63" w:rsidRPr="009118AB">
        <w:t>]</w:t>
      </w:r>
    </w:p>
    <w:p w14:paraId="299DEDE8" w14:textId="77777777" w:rsidR="00F114BB" w:rsidRPr="009118AB" w:rsidRDefault="00F114BB" w:rsidP="00F114BB">
      <w:pPr>
        <w:jc w:val="both"/>
      </w:pPr>
    </w:p>
    <w:p w14:paraId="2ABCA271" w14:textId="0DA77DAA" w:rsidR="00130957" w:rsidRPr="009118AB" w:rsidRDefault="00F114BB" w:rsidP="00F114BB">
      <w:pPr>
        <w:ind w:firstLine="708"/>
        <w:jc w:val="both"/>
      </w:pPr>
      <w:r w:rsidRPr="009118AB">
        <w:t>4. </w:t>
      </w:r>
      <w:r w:rsidR="00C35B63" w:rsidRPr="009118AB">
        <w:t>[</w:t>
      </w:r>
      <w:r w:rsidRPr="009118AB">
        <w:t>Ist das steuerpflichtige Einkommen des Ehepartners</w:t>
      </w:r>
      <w:r w:rsidR="00C35B63" w:rsidRPr="009118AB">
        <w:t>[,</w:t>
      </w:r>
      <w:r w:rsidRPr="009118AB">
        <w:t xml:space="preserve"> </w:t>
      </w:r>
      <w:r w:rsidR="00C35B63" w:rsidRPr="009118AB">
        <w:t xml:space="preserve">bei dem die in Artikel 132 erwähnten Zuschläge in Anwendung von </w:t>
      </w:r>
      <w:r w:rsidR="00D67EB8" w:rsidRPr="009118AB">
        <w:t>Nr. </w:t>
      </w:r>
      <w:r w:rsidR="00C35B63" w:rsidRPr="009118AB">
        <w:t xml:space="preserve">2 des vorliegenden Absatzes oder von Absatz 3 </w:t>
      </w:r>
      <w:r w:rsidR="00C35B63" w:rsidRPr="009118AB">
        <w:lastRenderedPageBreak/>
        <w:t>dem Grundbetrag des Steuerfreibetrags nicht hinzugefügt werden,]</w:t>
      </w:r>
      <w:r w:rsidRPr="009118AB">
        <w:t xml:space="preserve"> niedriger als sein Steuerfreibetrag, wird der gesamte Überschuss des Steuerfreibetrags dem Steuerfreibetrag des anderen Ehepartners hinzugefügt.]</w:t>
      </w:r>
      <w:r w:rsidR="00130957" w:rsidRPr="009118AB">
        <w:t>]</w:t>
      </w:r>
    </w:p>
    <w:p w14:paraId="21B095A1" w14:textId="77777777" w:rsidR="00130957" w:rsidRPr="009118AB" w:rsidRDefault="00130957" w:rsidP="00B81F10">
      <w:pPr>
        <w:autoSpaceDE w:val="0"/>
        <w:autoSpaceDN w:val="0"/>
        <w:adjustRightInd w:val="0"/>
        <w:ind w:firstLine="709"/>
        <w:jc w:val="both"/>
      </w:pPr>
    </w:p>
    <w:p w14:paraId="0E690D65" w14:textId="734C2055" w:rsidR="00130957" w:rsidRPr="009118AB" w:rsidRDefault="00130957" w:rsidP="00B81F10">
      <w:pPr>
        <w:autoSpaceDE w:val="0"/>
        <w:autoSpaceDN w:val="0"/>
        <w:adjustRightInd w:val="0"/>
        <w:ind w:firstLine="709"/>
        <w:jc w:val="both"/>
      </w:pPr>
      <w:r w:rsidRPr="009118AB">
        <w:t>[</w:t>
      </w:r>
      <w:r w:rsidR="008501BF" w:rsidRPr="009118AB">
        <w:t>5. [</w:t>
      </w:r>
      <w:r w:rsidR="00F114BB" w:rsidRPr="009118AB">
        <w:t xml:space="preserve">Die gemäß Artikel 130 berechnete Steuer jedes Ehepartners wird um die gemäß </w:t>
      </w:r>
      <w:r w:rsidR="00D67EB8" w:rsidRPr="009118AB">
        <w:t>§ </w:t>
      </w:r>
      <w:r w:rsidR="00F114BB" w:rsidRPr="009118AB">
        <w:t>2 Absatz 2 berechnete Steuer auf seinen gemäß den Nummern 1 bis 4 festgelegten Steuerfrei</w:t>
      </w:r>
      <w:r w:rsidR="00F114BB" w:rsidRPr="009118AB">
        <w:softHyphen/>
        <w:t>betrag verringert.</w:t>
      </w:r>
      <w:r w:rsidR="008501BF" w:rsidRPr="009118AB">
        <w:t>]</w:t>
      </w:r>
      <w:r w:rsidRPr="009118AB">
        <w:t>]</w:t>
      </w:r>
    </w:p>
    <w:p w14:paraId="6F338F3D" w14:textId="77777777" w:rsidR="00F114BB" w:rsidRPr="009118AB" w:rsidRDefault="00F114BB" w:rsidP="00B81F10">
      <w:pPr>
        <w:autoSpaceDE w:val="0"/>
        <w:autoSpaceDN w:val="0"/>
        <w:adjustRightInd w:val="0"/>
        <w:ind w:firstLine="709"/>
        <w:jc w:val="both"/>
      </w:pPr>
    </w:p>
    <w:p w14:paraId="280B162A" w14:textId="2A494714" w:rsidR="00130957" w:rsidRPr="009118AB" w:rsidRDefault="00F114BB" w:rsidP="00F114BB">
      <w:pPr>
        <w:autoSpaceDE w:val="0"/>
        <w:autoSpaceDN w:val="0"/>
        <w:adjustRightInd w:val="0"/>
        <w:ind w:firstLine="709"/>
        <w:jc w:val="both"/>
      </w:pPr>
      <w:r w:rsidRPr="009118AB">
        <w:t xml:space="preserve">[6. Für jeden Ehepartner wird der Teil der gemäß </w:t>
      </w:r>
      <w:r w:rsidR="00D67EB8" w:rsidRPr="009118AB">
        <w:t>§ </w:t>
      </w:r>
      <w:r w:rsidRPr="009118AB">
        <w:t xml:space="preserve">2 Absatz 2 berechneten Steuer auf den Steuerfreibetrag, der nicht von der gemäß Artikel 130 berechneten Steuer abgezogen werden kann, in dem Maße, wie er in Artikel 132 Absatz 1 </w:t>
      </w:r>
      <w:r w:rsidR="00D67EB8" w:rsidRPr="009118AB">
        <w:t>Nr. </w:t>
      </w:r>
      <w:r w:rsidRPr="009118AB">
        <w:t xml:space="preserve">1 bis 6 erwähnte Zuschläge betrifft, in eine erstattungsfähige Steuergutschrift umgewandelt. Diese Steuergutschrift kann für beide Ehepartner zusammen </w:t>
      </w:r>
      <w:r w:rsidR="005B333B" w:rsidRPr="009118AB">
        <w:t>[nicht mehr betragen als der gemäß § 3 Absatz 2 und 3 bestimmte Höchstbetrag]</w:t>
      </w:r>
      <w:r w:rsidRPr="009118AB">
        <w:t>.]</w:t>
      </w:r>
    </w:p>
    <w:p w14:paraId="4C5E1E9A" w14:textId="77777777" w:rsidR="00F114BB" w:rsidRPr="009118AB" w:rsidRDefault="00F114BB" w:rsidP="00F114BB">
      <w:pPr>
        <w:autoSpaceDE w:val="0"/>
        <w:autoSpaceDN w:val="0"/>
        <w:adjustRightInd w:val="0"/>
        <w:ind w:firstLine="709"/>
        <w:jc w:val="both"/>
      </w:pPr>
    </w:p>
    <w:p w14:paraId="51C8CF83" w14:textId="7EAFDBC4" w:rsidR="00F114BB" w:rsidRPr="009118AB" w:rsidRDefault="00F114BB" w:rsidP="00F114BB">
      <w:pPr>
        <w:ind w:firstLine="708"/>
        <w:jc w:val="both"/>
      </w:pPr>
      <w:r w:rsidRPr="009118AB">
        <w:t xml:space="preserve">[Für die Anwendung von Absatz 1 </w:t>
      </w:r>
      <w:r w:rsidR="00D67EB8" w:rsidRPr="009118AB">
        <w:t>Nr. </w:t>
      </w:r>
      <w:r w:rsidRPr="009118AB">
        <w:t>6:</w:t>
      </w:r>
    </w:p>
    <w:p w14:paraId="1FCDBF11" w14:textId="77777777" w:rsidR="00F114BB" w:rsidRPr="009118AB" w:rsidRDefault="00F114BB" w:rsidP="00F114BB">
      <w:pPr>
        <w:jc w:val="both"/>
      </w:pPr>
    </w:p>
    <w:p w14:paraId="3327A6EC" w14:textId="36C9B568" w:rsidR="00F114BB" w:rsidRPr="009118AB" w:rsidRDefault="00F114BB" w:rsidP="00F114BB">
      <w:pPr>
        <w:ind w:firstLine="708"/>
        <w:jc w:val="both"/>
      </w:pPr>
      <w:r w:rsidRPr="009118AB">
        <w:t xml:space="preserve">1. gilt, dass der Teil des Steuerfreibetrags, der in Anwendung von Absatz 1 </w:t>
      </w:r>
      <w:r w:rsidR="00D67EB8" w:rsidRPr="009118AB">
        <w:t>Nr. </w:t>
      </w:r>
      <w:r w:rsidRPr="009118AB">
        <w:t>3 übertragen wird, vorrangig aus dem in Artikel 131 erwähnten Grundbetrag des Steuerfrei</w:t>
      </w:r>
      <w:r w:rsidRPr="009118AB">
        <w:softHyphen/>
        <w:t xml:space="preserve">betrags und den </w:t>
      </w:r>
      <w:r w:rsidR="005B333B" w:rsidRPr="009118AB">
        <w:t>[</w:t>
      </w:r>
      <w:r w:rsidRPr="009118AB">
        <w:t xml:space="preserve">in Artikel 132 Absatz 1 </w:t>
      </w:r>
      <w:r w:rsidR="00D67EB8" w:rsidRPr="009118AB">
        <w:t>Nr. </w:t>
      </w:r>
      <w:r w:rsidRPr="009118AB">
        <w:t>7 und 8</w:t>
      </w:r>
      <w:r w:rsidR="005B333B" w:rsidRPr="009118AB">
        <w:t>]</w:t>
      </w:r>
      <w:r w:rsidRPr="009118AB">
        <w:t xml:space="preserve"> erwähnten Zuschlägen besteht,</w:t>
      </w:r>
    </w:p>
    <w:p w14:paraId="133B8AF9" w14:textId="77777777" w:rsidR="00F114BB" w:rsidRPr="009118AB" w:rsidRDefault="00F114BB" w:rsidP="00F114BB">
      <w:pPr>
        <w:jc w:val="both"/>
      </w:pPr>
    </w:p>
    <w:p w14:paraId="6E4F20C3" w14:textId="025F0F97" w:rsidR="00F114BB" w:rsidRPr="009118AB" w:rsidRDefault="00F114BB" w:rsidP="00F114BB">
      <w:pPr>
        <w:autoSpaceDE w:val="0"/>
        <w:autoSpaceDN w:val="0"/>
        <w:adjustRightInd w:val="0"/>
        <w:ind w:firstLine="709"/>
        <w:jc w:val="both"/>
      </w:pPr>
      <w:r w:rsidRPr="009118AB">
        <w:t xml:space="preserve">2. wird der Höchstbetrag </w:t>
      </w:r>
      <w:r w:rsidR="005B333B" w:rsidRPr="009118AB">
        <w:t>[...]</w:t>
      </w:r>
      <w:r w:rsidRPr="009118AB">
        <w:t xml:space="preserve"> gegebenenfalls entsprechend dem Anteil der Steuergutschrift jedes Ehepartners an der Summe der Steuergutschriften der beiden Ehepartner proportional aufgeteilt.]</w:t>
      </w:r>
    </w:p>
    <w:p w14:paraId="6CA8BC6B" w14:textId="77777777" w:rsidR="00C35B63" w:rsidRPr="009118AB" w:rsidRDefault="00C35B63" w:rsidP="00F114BB">
      <w:pPr>
        <w:autoSpaceDE w:val="0"/>
        <w:autoSpaceDN w:val="0"/>
        <w:adjustRightInd w:val="0"/>
        <w:ind w:firstLine="709"/>
        <w:jc w:val="both"/>
      </w:pPr>
    </w:p>
    <w:p w14:paraId="20513E26" w14:textId="7E585039" w:rsidR="00C35B63" w:rsidRPr="009118AB" w:rsidRDefault="00C35B63" w:rsidP="00F114BB">
      <w:pPr>
        <w:autoSpaceDE w:val="0"/>
        <w:autoSpaceDN w:val="0"/>
        <w:adjustRightInd w:val="0"/>
        <w:ind w:firstLine="709"/>
        <w:jc w:val="both"/>
      </w:pPr>
      <w:r w:rsidRPr="009118AB">
        <w:t xml:space="preserve">[In Abweichung von Absatz 1 </w:t>
      </w:r>
      <w:r w:rsidR="00D67EB8" w:rsidRPr="009118AB">
        <w:t>Nr. </w:t>
      </w:r>
      <w:r w:rsidRPr="009118AB">
        <w:t xml:space="preserve">2 werden die in Artikel 132 erwähnten Zuschläge dem Grundbetrag des Steuerfreibetrags des Ehepartners mit dem niedrigsten steuerpflichtigen Einkommen hinzugefügt, wenn die Staatssteuer, erhöht um die Steuer in Bezug auf die in den Artikeln 17 </w:t>
      </w:r>
      <w:r w:rsidR="00D67EB8" w:rsidRPr="009118AB">
        <w:t>§ </w:t>
      </w:r>
      <w:r w:rsidRPr="009118AB">
        <w:t xml:space="preserve">1 </w:t>
      </w:r>
      <w:r w:rsidR="00D67EB8" w:rsidRPr="009118AB">
        <w:t>Nr. </w:t>
      </w:r>
      <w:r w:rsidRPr="009118AB">
        <w:t xml:space="preserve">1 bis 3 und 90 Absatz 1 </w:t>
      </w:r>
      <w:r w:rsidR="00D67EB8" w:rsidRPr="009118AB">
        <w:t>Nr. </w:t>
      </w:r>
      <w:r w:rsidRPr="009118AB">
        <w:t xml:space="preserve">6 und 9 erwähnten Einkünfte und auf die aufgrund von Artikel 90 Absatz 1 </w:t>
      </w:r>
      <w:r w:rsidR="00D67EB8" w:rsidRPr="009118AB">
        <w:t>Nr. </w:t>
      </w:r>
      <w:r w:rsidRPr="009118AB">
        <w:t>1 steuerpflichtigen Mehrwerte auf Wertpapiere und Effekten, für beide Ehepartner zusammengenommen dadurch verringert wird.]</w:t>
      </w:r>
    </w:p>
    <w:p w14:paraId="67C9F339" w14:textId="77777777" w:rsidR="00F114BB" w:rsidRPr="009118AB" w:rsidRDefault="00F114BB" w:rsidP="00F114BB">
      <w:pPr>
        <w:autoSpaceDE w:val="0"/>
        <w:autoSpaceDN w:val="0"/>
        <w:adjustRightInd w:val="0"/>
        <w:ind w:firstLine="709"/>
        <w:jc w:val="both"/>
      </w:pPr>
    </w:p>
    <w:p w14:paraId="4984AD1F" w14:textId="397F4DD5" w:rsidR="00130957" w:rsidRPr="009118AB" w:rsidRDefault="00130957" w:rsidP="00130957">
      <w:pPr>
        <w:autoSpaceDE w:val="0"/>
        <w:autoSpaceDN w:val="0"/>
        <w:adjustRightInd w:val="0"/>
        <w:jc w:val="both"/>
      </w:pPr>
      <w:r w:rsidRPr="009118AB">
        <w:rPr>
          <w:i/>
          <w:iCs/>
        </w:rPr>
        <w:t>[</w:t>
      </w:r>
      <w:r w:rsidR="00D67EB8" w:rsidRPr="009118AB">
        <w:rPr>
          <w:i/>
          <w:iCs/>
        </w:rPr>
        <w:t>Art. </w:t>
      </w:r>
      <w:r w:rsidRPr="009118AB">
        <w:rPr>
          <w:i/>
          <w:iCs/>
        </w:rPr>
        <w:t>134 erset</w:t>
      </w:r>
      <w:r w:rsidR="00B81F10" w:rsidRPr="009118AB">
        <w:rPr>
          <w:i/>
          <w:iCs/>
        </w:rPr>
        <w:t xml:space="preserve">zt durch </w:t>
      </w:r>
      <w:r w:rsidR="00D67EB8" w:rsidRPr="009118AB">
        <w:rPr>
          <w:i/>
          <w:iCs/>
        </w:rPr>
        <w:t>Art. </w:t>
      </w:r>
      <w:r w:rsidR="00B81F10" w:rsidRPr="009118AB">
        <w:rPr>
          <w:i/>
          <w:iCs/>
        </w:rPr>
        <w:t>15 des G. vom 13. </w:t>
      </w:r>
      <w:r w:rsidRPr="009118AB">
        <w:rPr>
          <w:i/>
          <w:iCs/>
        </w:rPr>
        <w:t>Dezember 2012 (B.S.</w:t>
      </w:r>
      <w:r w:rsidR="00B3148A" w:rsidRPr="009118AB">
        <w:rPr>
          <w:i/>
          <w:iCs/>
        </w:rPr>
        <w:t xml:space="preserve"> vom 20. Dezember 2012)</w:t>
      </w:r>
      <w:r w:rsidR="00D67EB8" w:rsidRPr="009118AB">
        <w:rPr>
          <w:i/>
          <w:iCs/>
        </w:rPr>
        <w:t> - </w:t>
      </w:r>
      <w:r w:rsidRPr="009118AB">
        <w:rPr>
          <w:i/>
          <w:iCs/>
        </w:rPr>
        <w:t>in Kraft ab dem Steuerjahr 2013</w:t>
      </w:r>
      <w:r w:rsidR="003366D9" w:rsidRPr="009118AB">
        <w:rPr>
          <w:i/>
          <w:iCs/>
        </w:rPr>
        <w:t> -;</w:t>
      </w:r>
      <w:r w:rsidRPr="009118AB">
        <w:rPr>
          <w:i/>
          <w:iCs/>
        </w:rPr>
        <w:t xml:space="preserve"> </w:t>
      </w:r>
      <w:r w:rsidR="00D67EB8" w:rsidRPr="009118AB">
        <w:rPr>
          <w:i/>
          <w:iCs/>
        </w:rPr>
        <w:t>§ </w:t>
      </w:r>
      <w:r w:rsidR="00B668AA" w:rsidRPr="009118AB">
        <w:rPr>
          <w:i/>
          <w:iCs/>
        </w:rPr>
        <w:t xml:space="preserve">2 ersetzt durch </w:t>
      </w:r>
      <w:r w:rsidR="00D67EB8" w:rsidRPr="009118AB">
        <w:rPr>
          <w:i/>
          <w:iCs/>
        </w:rPr>
        <w:t>Art. </w:t>
      </w:r>
      <w:r w:rsidR="00B668AA" w:rsidRPr="009118AB">
        <w:rPr>
          <w:i/>
          <w:iCs/>
        </w:rPr>
        <w:t>148 Buchstabe a) des G. vom 26. Dezember 2015 (II) (B.S. vom 30. Dezember 2015)</w:t>
      </w:r>
      <w:r w:rsidR="00D67EB8" w:rsidRPr="009118AB">
        <w:rPr>
          <w:i/>
          <w:iCs/>
        </w:rPr>
        <w:t> - </w:t>
      </w:r>
      <w:r w:rsidR="00B668AA" w:rsidRPr="009118AB">
        <w:rPr>
          <w:i/>
          <w:iCs/>
        </w:rPr>
        <w:t>in Kraft ab dem Steuerjahr 2017</w:t>
      </w:r>
      <w:r w:rsidR="003366D9" w:rsidRPr="009118AB">
        <w:rPr>
          <w:i/>
          <w:iCs/>
        </w:rPr>
        <w:t> -;</w:t>
      </w:r>
      <w:r w:rsidR="00B668AA" w:rsidRPr="009118AB">
        <w:rPr>
          <w:i/>
          <w:iCs/>
        </w:rPr>
        <w:t xml:space="preserve"> </w:t>
      </w:r>
      <w:r w:rsidR="00D67EB8" w:rsidRPr="009118AB">
        <w:rPr>
          <w:i/>
          <w:iCs/>
        </w:rPr>
        <w:t>§ </w:t>
      </w:r>
      <w:r w:rsidRPr="009118AB">
        <w:rPr>
          <w:i/>
          <w:iCs/>
        </w:rPr>
        <w:t xml:space="preserve">3 </w:t>
      </w:r>
      <w:r w:rsidR="00D67EB8" w:rsidRPr="009118AB">
        <w:rPr>
          <w:i/>
          <w:iCs/>
        </w:rPr>
        <w:t>Abs. </w:t>
      </w:r>
      <w:r w:rsidR="00B668AA" w:rsidRPr="009118AB">
        <w:rPr>
          <w:i/>
          <w:iCs/>
        </w:rPr>
        <w:t xml:space="preserve">1 </w:t>
      </w:r>
      <w:r w:rsidRPr="009118AB">
        <w:rPr>
          <w:i/>
          <w:iCs/>
        </w:rPr>
        <w:t xml:space="preserve">ersetzt durch </w:t>
      </w:r>
      <w:r w:rsidR="00D67EB8" w:rsidRPr="009118AB">
        <w:rPr>
          <w:i/>
          <w:iCs/>
        </w:rPr>
        <w:t>Art. </w:t>
      </w:r>
      <w:r w:rsidR="00F114BB" w:rsidRPr="009118AB">
        <w:rPr>
          <w:i/>
          <w:iCs/>
        </w:rPr>
        <w:t>2 Buchstabe a) des G. vom 30. Juni 2017</w:t>
      </w:r>
      <w:r w:rsidR="00EB0FB6" w:rsidRPr="009118AB">
        <w:rPr>
          <w:i/>
          <w:iCs/>
        </w:rPr>
        <w:t> (I)</w:t>
      </w:r>
      <w:r w:rsidR="00F114BB" w:rsidRPr="009118AB">
        <w:rPr>
          <w:i/>
          <w:iCs/>
        </w:rPr>
        <w:t xml:space="preserve"> (B.S. vom 7. Juli 2017)</w:t>
      </w:r>
      <w:r w:rsidR="00D67EB8" w:rsidRPr="009118AB">
        <w:rPr>
          <w:i/>
          <w:iCs/>
        </w:rPr>
        <w:t> - </w:t>
      </w:r>
      <w:r w:rsidR="00F114BB" w:rsidRPr="009118AB">
        <w:rPr>
          <w:i/>
          <w:iCs/>
        </w:rPr>
        <w:t>wirksam ab dem Steuerjahr 2017</w:t>
      </w:r>
      <w:r w:rsidR="003366D9" w:rsidRPr="009118AB">
        <w:rPr>
          <w:i/>
          <w:iCs/>
        </w:rPr>
        <w:t> -</w:t>
      </w:r>
      <w:r w:rsidR="005B333B" w:rsidRPr="009118AB">
        <w:rPr>
          <w:i/>
          <w:iCs/>
        </w:rPr>
        <w:t xml:space="preserve"> und abgeändert durch Art. 12 Nr. 1 des G. vom 21. Dezember 2022 (II) (B.S. vom 29. Dezember 2022) - anwendbar ab dem Steuerjahr 2023 -</w:t>
      </w:r>
      <w:r w:rsidR="003366D9" w:rsidRPr="009118AB">
        <w:rPr>
          <w:i/>
          <w:iCs/>
        </w:rPr>
        <w:t>;</w:t>
      </w:r>
      <w:r w:rsidR="00DD3821" w:rsidRPr="009118AB">
        <w:rPr>
          <w:i/>
        </w:rPr>
        <w:t xml:space="preserve"> </w:t>
      </w:r>
      <w:r w:rsidR="005B333B" w:rsidRPr="009118AB">
        <w:rPr>
          <w:i/>
        </w:rPr>
        <w:t>§ 3 neue Absätze 2</w:t>
      </w:r>
      <w:r w:rsidR="00311E51" w:rsidRPr="009118AB">
        <w:rPr>
          <w:i/>
        </w:rPr>
        <w:t xml:space="preserve"> </w:t>
      </w:r>
      <w:r w:rsidR="005B333B" w:rsidRPr="009118AB">
        <w:rPr>
          <w:i/>
        </w:rPr>
        <w:t>und 3 eingefügt durch Art. 12 Nr. 2</w:t>
      </w:r>
      <w:r w:rsidR="005B333B" w:rsidRPr="009118AB">
        <w:rPr>
          <w:i/>
          <w:iCs/>
        </w:rPr>
        <w:t xml:space="preserve"> des G. vom 21. Dezember 2022 (II) (B.S. vom 29. Dezember 2022) - anwendbar ab dem Steuerjahr 2023 -; § 3 Abs. 4 (früherer Absatz 2) ersetzt durch Art. 2 Buchstabe a) des G. vom 30. Juni 2017 (I) (B.S. vom 7. Juli 2017) - wirksam ab dem Steuerjahr 2017 -;</w:t>
      </w:r>
      <w:r w:rsidR="005B333B" w:rsidRPr="009118AB">
        <w:rPr>
          <w:i/>
        </w:rPr>
        <w:t xml:space="preserve"> </w:t>
      </w:r>
      <w:r w:rsidR="00D67EB8" w:rsidRPr="009118AB">
        <w:rPr>
          <w:i/>
        </w:rPr>
        <w:t>§ </w:t>
      </w:r>
      <w:r w:rsidR="00DD3821" w:rsidRPr="009118AB">
        <w:rPr>
          <w:i/>
        </w:rPr>
        <w:t>3 neuer Absatz </w:t>
      </w:r>
      <w:r w:rsidR="005B333B" w:rsidRPr="009118AB">
        <w:rPr>
          <w:i/>
        </w:rPr>
        <w:t>5</w:t>
      </w:r>
      <w:r w:rsidR="00DD3821" w:rsidRPr="009118AB">
        <w:rPr>
          <w:i/>
        </w:rPr>
        <w:t xml:space="preserve"> eingefügt </w:t>
      </w:r>
      <w:r w:rsidR="00DD3821" w:rsidRPr="009118AB">
        <w:rPr>
          <w:i/>
          <w:iCs/>
        </w:rPr>
        <w:t xml:space="preserve">durch </w:t>
      </w:r>
      <w:r w:rsidR="00D67EB8" w:rsidRPr="009118AB">
        <w:rPr>
          <w:i/>
          <w:iCs/>
        </w:rPr>
        <w:t>Art. </w:t>
      </w:r>
      <w:r w:rsidR="00DD3821" w:rsidRPr="009118AB">
        <w:rPr>
          <w:i/>
          <w:iCs/>
        </w:rPr>
        <w:t>66 des G. vom 26. März 2018 (B.S. vom 30. März 2018)</w:t>
      </w:r>
      <w:r w:rsidR="00D67EB8" w:rsidRPr="009118AB">
        <w:rPr>
          <w:i/>
          <w:iCs/>
        </w:rPr>
        <w:t> - </w:t>
      </w:r>
      <w:r w:rsidR="00DD3821" w:rsidRPr="009118AB">
        <w:rPr>
          <w:i/>
          <w:iCs/>
        </w:rPr>
        <w:t>wirksam ab dem Steuerjahr 2018</w:t>
      </w:r>
      <w:r w:rsidR="003366D9" w:rsidRPr="009118AB">
        <w:rPr>
          <w:i/>
          <w:iCs/>
        </w:rPr>
        <w:t> -;</w:t>
      </w:r>
      <w:r w:rsidRPr="009118AB">
        <w:rPr>
          <w:i/>
        </w:rPr>
        <w:t xml:space="preserve"> </w:t>
      </w:r>
      <w:r w:rsidR="00D67EB8" w:rsidRPr="009118AB">
        <w:rPr>
          <w:i/>
        </w:rPr>
        <w:t>§ </w:t>
      </w:r>
      <w:r w:rsidR="00B668AA" w:rsidRPr="009118AB">
        <w:rPr>
          <w:i/>
        </w:rPr>
        <w:t xml:space="preserve">4 </w:t>
      </w:r>
      <w:r w:rsidR="00D67EB8" w:rsidRPr="009118AB">
        <w:rPr>
          <w:i/>
        </w:rPr>
        <w:t>Abs. </w:t>
      </w:r>
      <w:r w:rsidR="00465928" w:rsidRPr="009118AB">
        <w:rPr>
          <w:i/>
        </w:rPr>
        <w:t>1</w:t>
      </w:r>
      <w:r w:rsidR="00B668AA" w:rsidRPr="009118AB">
        <w:rPr>
          <w:i/>
        </w:rPr>
        <w:t xml:space="preserve"> </w:t>
      </w:r>
      <w:r w:rsidR="00D67EB8" w:rsidRPr="009118AB">
        <w:rPr>
          <w:i/>
        </w:rPr>
        <w:t>Nr. </w:t>
      </w:r>
      <w:r w:rsidR="00B668AA" w:rsidRPr="009118AB">
        <w:rPr>
          <w:i/>
        </w:rPr>
        <w:t xml:space="preserve">2 ersetzt durch </w:t>
      </w:r>
      <w:r w:rsidR="00D67EB8" w:rsidRPr="009118AB">
        <w:rPr>
          <w:i/>
        </w:rPr>
        <w:t>Art. </w:t>
      </w:r>
      <w:r w:rsidR="00B668AA" w:rsidRPr="009118AB">
        <w:rPr>
          <w:i/>
          <w:iCs/>
        </w:rPr>
        <w:t>148 Buchstabe c) des G. vom 26. Dezember 2015 (II) (B.S. vom 30. Dezember 2015)</w:t>
      </w:r>
      <w:r w:rsidR="00D67EB8" w:rsidRPr="009118AB">
        <w:rPr>
          <w:i/>
          <w:iCs/>
        </w:rPr>
        <w:t> - </w:t>
      </w:r>
      <w:r w:rsidR="00B668AA" w:rsidRPr="009118AB">
        <w:rPr>
          <w:i/>
          <w:iCs/>
        </w:rPr>
        <w:t>in Kraft ab dem Steuerjahr 2017</w:t>
      </w:r>
      <w:r w:rsidR="003366D9" w:rsidRPr="009118AB">
        <w:rPr>
          <w:i/>
          <w:iCs/>
        </w:rPr>
        <w:t> -;</w:t>
      </w:r>
      <w:r w:rsidR="00B668AA" w:rsidRPr="009118AB">
        <w:rPr>
          <w:i/>
          <w:iCs/>
        </w:rPr>
        <w:t xml:space="preserve"> </w:t>
      </w:r>
      <w:r w:rsidR="00D67EB8" w:rsidRPr="009118AB">
        <w:rPr>
          <w:i/>
        </w:rPr>
        <w:t>§ </w:t>
      </w:r>
      <w:r w:rsidRPr="009118AB">
        <w:rPr>
          <w:i/>
        </w:rPr>
        <w:t xml:space="preserve">4 </w:t>
      </w:r>
      <w:r w:rsidR="00D67EB8" w:rsidRPr="009118AB">
        <w:rPr>
          <w:i/>
        </w:rPr>
        <w:t>Abs. </w:t>
      </w:r>
      <w:r w:rsidR="00465928" w:rsidRPr="009118AB">
        <w:rPr>
          <w:i/>
        </w:rPr>
        <w:t xml:space="preserve">1 </w:t>
      </w:r>
      <w:r w:rsidR="00D67EB8" w:rsidRPr="009118AB">
        <w:rPr>
          <w:i/>
        </w:rPr>
        <w:t>Nr. </w:t>
      </w:r>
      <w:r w:rsidR="00465928" w:rsidRPr="009118AB">
        <w:rPr>
          <w:i/>
        </w:rPr>
        <w:t>3</w:t>
      </w:r>
      <w:r w:rsidR="00C35B63" w:rsidRPr="009118AB">
        <w:rPr>
          <w:i/>
        </w:rPr>
        <w:t xml:space="preserve"> </w:t>
      </w:r>
      <w:r w:rsidRPr="009118AB">
        <w:rPr>
          <w:i/>
        </w:rPr>
        <w:t xml:space="preserve">ersetzt durch </w:t>
      </w:r>
      <w:r w:rsidR="00D67EB8" w:rsidRPr="009118AB">
        <w:rPr>
          <w:i/>
        </w:rPr>
        <w:t>Art. </w:t>
      </w:r>
      <w:r w:rsidR="00465928" w:rsidRPr="009118AB">
        <w:rPr>
          <w:i/>
          <w:iCs/>
        </w:rPr>
        <w:t>2 Buchstabe b) des G. vom 30. Juni 2017</w:t>
      </w:r>
      <w:r w:rsidR="00EB0FB6" w:rsidRPr="009118AB">
        <w:rPr>
          <w:i/>
          <w:iCs/>
        </w:rPr>
        <w:t> (I)</w:t>
      </w:r>
      <w:r w:rsidR="00465928" w:rsidRPr="009118AB">
        <w:rPr>
          <w:i/>
          <w:iCs/>
        </w:rPr>
        <w:t xml:space="preserve"> (B.S. vom 7. Juli 2017)</w:t>
      </w:r>
      <w:r w:rsidR="00D67EB8" w:rsidRPr="009118AB">
        <w:rPr>
          <w:i/>
          <w:iCs/>
        </w:rPr>
        <w:t> - </w:t>
      </w:r>
      <w:r w:rsidR="00465928" w:rsidRPr="009118AB">
        <w:rPr>
          <w:i/>
          <w:iCs/>
        </w:rPr>
        <w:t>wirksam ab dem Steuerjahr 2017</w:t>
      </w:r>
      <w:r w:rsidR="00D67EB8" w:rsidRPr="009118AB">
        <w:rPr>
          <w:i/>
          <w:iCs/>
        </w:rPr>
        <w:t> - </w:t>
      </w:r>
      <w:r w:rsidR="00C35B63" w:rsidRPr="009118AB">
        <w:rPr>
          <w:i/>
          <w:iCs/>
        </w:rPr>
        <w:t xml:space="preserve">und abgeändert durch </w:t>
      </w:r>
      <w:r w:rsidR="00D67EB8" w:rsidRPr="009118AB">
        <w:rPr>
          <w:i/>
          <w:iCs/>
        </w:rPr>
        <w:t>Art. </w:t>
      </w:r>
      <w:r w:rsidR="00C35B63" w:rsidRPr="009118AB">
        <w:rPr>
          <w:i/>
          <w:iCs/>
        </w:rPr>
        <w:t xml:space="preserve">6 </w:t>
      </w:r>
      <w:r w:rsidR="00D67EB8" w:rsidRPr="009118AB">
        <w:rPr>
          <w:i/>
          <w:iCs/>
        </w:rPr>
        <w:t>Nr. </w:t>
      </w:r>
      <w:r w:rsidR="00C35B63" w:rsidRPr="009118AB">
        <w:rPr>
          <w:i/>
          <w:iCs/>
        </w:rPr>
        <w:t>1 des G. vom 25.</w:t>
      </w:r>
      <w:r w:rsidR="005B333B" w:rsidRPr="009118AB">
        <w:rPr>
          <w:i/>
          <w:iCs/>
        </w:rPr>
        <w:t> </w:t>
      </w:r>
      <w:r w:rsidR="00C35B63" w:rsidRPr="009118AB">
        <w:rPr>
          <w:i/>
          <w:iCs/>
        </w:rPr>
        <w:t>Dezember 2017</w:t>
      </w:r>
      <w:r w:rsidR="00AD39DE" w:rsidRPr="009118AB">
        <w:rPr>
          <w:i/>
          <w:iCs/>
        </w:rPr>
        <w:t> (I)</w:t>
      </w:r>
      <w:r w:rsidR="00C35B63" w:rsidRPr="009118AB">
        <w:rPr>
          <w:i/>
          <w:iCs/>
        </w:rPr>
        <w:t xml:space="preserve"> (B.S. vom 29. Dezember 2017)</w:t>
      </w:r>
      <w:r w:rsidR="00D67EB8" w:rsidRPr="009118AB">
        <w:rPr>
          <w:i/>
          <w:iCs/>
        </w:rPr>
        <w:t> - </w:t>
      </w:r>
      <w:r w:rsidR="00C35B63" w:rsidRPr="009118AB">
        <w:rPr>
          <w:i/>
          <w:iCs/>
        </w:rPr>
        <w:t>anwendbar ab dem Steuerjahr 2018</w:t>
      </w:r>
      <w:r w:rsidR="003366D9" w:rsidRPr="009118AB">
        <w:rPr>
          <w:i/>
          <w:iCs/>
        </w:rPr>
        <w:t> -;</w:t>
      </w:r>
      <w:r w:rsidRPr="009118AB">
        <w:rPr>
          <w:i/>
        </w:rPr>
        <w:t xml:space="preserve"> </w:t>
      </w:r>
      <w:r w:rsidR="00D67EB8" w:rsidRPr="009118AB">
        <w:rPr>
          <w:i/>
        </w:rPr>
        <w:t>§ </w:t>
      </w:r>
      <w:r w:rsidR="00C35B63" w:rsidRPr="009118AB">
        <w:rPr>
          <w:i/>
        </w:rPr>
        <w:t xml:space="preserve">4 </w:t>
      </w:r>
      <w:r w:rsidR="00D67EB8" w:rsidRPr="009118AB">
        <w:rPr>
          <w:i/>
        </w:rPr>
        <w:t>Abs. </w:t>
      </w:r>
      <w:r w:rsidR="00C35B63" w:rsidRPr="009118AB">
        <w:rPr>
          <w:i/>
        </w:rPr>
        <w:t xml:space="preserve">1 </w:t>
      </w:r>
      <w:r w:rsidR="00D67EB8" w:rsidRPr="009118AB">
        <w:rPr>
          <w:i/>
        </w:rPr>
        <w:t>Nr. </w:t>
      </w:r>
      <w:r w:rsidR="00C35B63" w:rsidRPr="009118AB">
        <w:rPr>
          <w:i/>
        </w:rPr>
        <w:t xml:space="preserve">4 ersetzt durch </w:t>
      </w:r>
      <w:r w:rsidR="00D67EB8" w:rsidRPr="009118AB">
        <w:rPr>
          <w:i/>
        </w:rPr>
        <w:t>Art. </w:t>
      </w:r>
      <w:r w:rsidR="00C35B63" w:rsidRPr="009118AB">
        <w:rPr>
          <w:i/>
          <w:iCs/>
        </w:rPr>
        <w:t>2 Buchstabe b) des G. vom 30. Juni 2017 (I) (B.S. vom 7. Juli 2017)</w:t>
      </w:r>
      <w:r w:rsidR="00D67EB8" w:rsidRPr="009118AB">
        <w:rPr>
          <w:i/>
          <w:iCs/>
        </w:rPr>
        <w:t> - </w:t>
      </w:r>
      <w:r w:rsidR="00C35B63" w:rsidRPr="009118AB">
        <w:rPr>
          <w:i/>
          <w:iCs/>
        </w:rPr>
        <w:t xml:space="preserve">wirksam ab dem </w:t>
      </w:r>
      <w:r w:rsidR="00C35B63" w:rsidRPr="009118AB">
        <w:rPr>
          <w:i/>
          <w:iCs/>
        </w:rPr>
        <w:lastRenderedPageBreak/>
        <w:t>Steuerjahr 2017</w:t>
      </w:r>
      <w:r w:rsidR="00D67EB8" w:rsidRPr="009118AB">
        <w:rPr>
          <w:i/>
          <w:iCs/>
        </w:rPr>
        <w:t> - </w:t>
      </w:r>
      <w:r w:rsidR="00C35B63" w:rsidRPr="009118AB">
        <w:rPr>
          <w:i/>
          <w:iCs/>
        </w:rPr>
        <w:t xml:space="preserve">und abgeändert durch </w:t>
      </w:r>
      <w:r w:rsidR="00D67EB8" w:rsidRPr="009118AB">
        <w:rPr>
          <w:i/>
          <w:iCs/>
        </w:rPr>
        <w:t>Art. </w:t>
      </w:r>
      <w:r w:rsidR="00C35B63" w:rsidRPr="009118AB">
        <w:rPr>
          <w:i/>
          <w:iCs/>
        </w:rPr>
        <w:t xml:space="preserve">6 </w:t>
      </w:r>
      <w:r w:rsidR="00D67EB8" w:rsidRPr="009118AB">
        <w:rPr>
          <w:i/>
          <w:iCs/>
        </w:rPr>
        <w:t>Nr. </w:t>
      </w:r>
      <w:r w:rsidR="00C35B63" w:rsidRPr="009118AB">
        <w:rPr>
          <w:i/>
          <w:iCs/>
        </w:rPr>
        <w:t>2 des G. vom 25. Dezember 2017</w:t>
      </w:r>
      <w:r w:rsidR="00AD39DE" w:rsidRPr="009118AB">
        <w:rPr>
          <w:i/>
          <w:iCs/>
        </w:rPr>
        <w:t> (I)</w:t>
      </w:r>
      <w:r w:rsidR="00C35B63" w:rsidRPr="009118AB">
        <w:rPr>
          <w:i/>
          <w:iCs/>
        </w:rPr>
        <w:t xml:space="preserve"> (B.S. vom 29. Dezember 2017)</w:t>
      </w:r>
      <w:r w:rsidR="00D67EB8" w:rsidRPr="009118AB">
        <w:rPr>
          <w:i/>
          <w:iCs/>
        </w:rPr>
        <w:t> - </w:t>
      </w:r>
      <w:r w:rsidR="00C35B63" w:rsidRPr="009118AB">
        <w:rPr>
          <w:i/>
          <w:iCs/>
        </w:rPr>
        <w:t>anwendbar ab dem Steuerjahr 2018</w:t>
      </w:r>
      <w:r w:rsidR="003366D9" w:rsidRPr="009118AB">
        <w:rPr>
          <w:i/>
          <w:iCs/>
        </w:rPr>
        <w:t> -;</w:t>
      </w:r>
      <w:r w:rsidR="00C35B63" w:rsidRPr="009118AB">
        <w:rPr>
          <w:i/>
        </w:rPr>
        <w:t xml:space="preserve"> </w:t>
      </w:r>
      <w:r w:rsidR="00D67EB8" w:rsidRPr="009118AB">
        <w:rPr>
          <w:i/>
        </w:rPr>
        <w:t>§ </w:t>
      </w:r>
      <w:r w:rsidRPr="009118AB">
        <w:rPr>
          <w:i/>
        </w:rPr>
        <w:t xml:space="preserve">4 </w:t>
      </w:r>
      <w:r w:rsidR="00D67EB8" w:rsidRPr="009118AB">
        <w:rPr>
          <w:i/>
        </w:rPr>
        <w:t>Abs. </w:t>
      </w:r>
      <w:r w:rsidR="00465928" w:rsidRPr="009118AB">
        <w:rPr>
          <w:i/>
        </w:rPr>
        <w:t xml:space="preserve">1 </w:t>
      </w:r>
      <w:r w:rsidR="00D67EB8" w:rsidRPr="009118AB">
        <w:rPr>
          <w:i/>
        </w:rPr>
        <w:t>Nr. </w:t>
      </w:r>
      <w:r w:rsidRPr="009118AB">
        <w:rPr>
          <w:i/>
        </w:rPr>
        <w:t xml:space="preserve">5 eingefügt durch </w:t>
      </w:r>
      <w:r w:rsidR="00D67EB8" w:rsidRPr="009118AB">
        <w:rPr>
          <w:i/>
        </w:rPr>
        <w:t>Art. </w:t>
      </w:r>
      <w:r w:rsidRPr="009118AB">
        <w:rPr>
          <w:i/>
        </w:rPr>
        <w:t xml:space="preserve">97 </w:t>
      </w:r>
      <w:r w:rsidR="00D67EB8" w:rsidRPr="009118AB">
        <w:rPr>
          <w:i/>
        </w:rPr>
        <w:t>Nr. </w:t>
      </w:r>
      <w:r w:rsidRPr="009118AB">
        <w:rPr>
          <w:i/>
        </w:rPr>
        <w:t>3 des G. vom 27. Dezember 2012 (B.S. vom 31. Dezember 2012)</w:t>
      </w:r>
      <w:r w:rsidR="00D67EB8" w:rsidRPr="009118AB">
        <w:rPr>
          <w:i/>
        </w:rPr>
        <w:t> - </w:t>
      </w:r>
      <w:r w:rsidRPr="009118AB">
        <w:rPr>
          <w:i/>
        </w:rPr>
        <w:t>anwendbar ab dem Steuerjahr 2013</w:t>
      </w:r>
      <w:r w:rsidR="00D67EB8" w:rsidRPr="009118AB">
        <w:rPr>
          <w:i/>
        </w:rPr>
        <w:t> - </w:t>
      </w:r>
      <w:r w:rsidR="00FE2AE0" w:rsidRPr="009118AB">
        <w:rPr>
          <w:i/>
        </w:rPr>
        <w:t xml:space="preserve">und ersetzt durch </w:t>
      </w:r>
      <w:r w:rsidR="00D67EB8" w:rsidRPr="009118AB">
        <w:rPr>
          <w:i/>
        </w:rPr>
        <w:t>Art. </w:t>
      </w:r>
      <w:r w:rsidR="00465928" w:rsidRPr="009118AB">
        <w:rPr>
          <w:i/>
          <w:iCs/>
        </w:rPr>
        <w:t>2 Buchstabe b) des G. vom 30. Juni 2017</w:t>
      </w:r>
      <w:r w:rsidR="00EB0FB6" w:rsidRPr="009118AB">
        <w:rPr>
          <w:i/>
          <w:iCs/>
        </w:rPr>
        <w:t> (I)</w:t>
      </w:r>
      <w:r w:rsidR="00465928" w:rsidRPr="009118AB">
        <w:rPr>
          <w:i/>
          <w:iCs/>
        </w:rPr>
        <w:t xml:space="preserve"> (B.S. vom 7. Juli 2017)</w:t>
      </w:r>
      <w:r w:rsidR="00D67EB8" w:rsidRPr="009118AB">
        <w:rPr>
          <w:i/>
          <w:iCs/>
        </w:rPr>
        <w:t> - </w:t>
      </w:r>
      <w:r w:rsidR="00465928" w:rsidRPr="009118AB">
        <w:rPr>
          <w:i/>
          <w:iCs/>
        </w:rPr>
        <w:t>wirksam ab dem Steuerjahr 2017</w:t>
      </w:r>
      <w:r w:rsidR="003366D9" w:rsidRPr="009118AB">
        <w:rPr>
          <w:i/>
          <w:iCs/>
        </w:rPr>
        <w:t> -;</w:t>
      </w:r>
      <w:r w:rsidR="00465928" w:rsidRPr="009118AB">
        <w:rPr>
          <w:i/>
          <w:iCs/>
        </w:rPr>
        <w:t xml:space="preserve"> </w:t>
      </w:r>
      <w:r w:rsidR="00D67EB8" w:rsidRPr="009118AB">
        <w:rPr>
          <w:i/>
        </w:rPr>
        <w:t>§ </w:t>
      </w:r>
      <w:r w:rsidR="00465928" w:rsidRPr="009118AB">
        <w:rPr>
          <w:i/>
        </w:rPr>
        <w:t xml:space="preserve">4 </w:t>
      </w:r>
      <w:r w:rsidR="00D67EB8" w:rsidRPr="009118AB">
        <w:rPr>
          <w:i/>
        </w:rPr>
        <w:t>Abs. </w:t>
      </w:r>
      <w:r w:rsidR="00465928" w:rsidRPr="009118AB">
        <w:rPr>
          <w:i/>
        </w:rPr>
        <w:t xml:space="preserve">1 </w:t>
      </w:r>
      <w:r w:rsidR="00D67EB8" w:rsidRPr="009118AB">
        <w:rPr>
          <w:i/>
        </w:rPr>
        <w:t>Nr. </w:t>
      </w:r>
      <w:r w:rsidR="00465928" w:rsidRPr="009118AB">
        <w:rPr>
          <w:i/>
        </w:rPr>
        <w:t xml:space="preserve">6 eingefügt durch </w:t>
      </w:r>
      <w:r w:rsidR="00D67EB8" w:rsidRPr="009118AB">
        <w:rPr>
          <w:i/>
        </w:rPr>
        <w:t>Art. </w:t>
      </w:r>
      <w:r w:rsidR="00465928" w:rsidRPr="009118AB">
        <w:rPr>
          <w:i/>
        </w:rPr>
        <w:t>2 Buchstabe c) des G. vom 30. Juni 2017</w:t>
      </w:r>
      <w:r w:rsidR="00EB0FB6" w:rsidRPr="009118AB">
        <w:rPr>
          <w:i/>
        </w:rPr>
        <w:t> (I)</w:t>
      </w:r>
      <w:r w:rsidR="00465928" w:rsidRPr="009118AB">
        <w:rPr>
          <w:i/>
        </w:rPr>
        <w:t xml:space="preserve"> (B.S. vom 7. Juli 2017)</w:t>
      </w:r>
      <w:r w:rsidR="00D67EB8" w:rsidRPr="009118AB">
        <w:rPr>
          <w:i/>
        </w:rPr>
        <w:t> - </w:t>
      </w:r>
      <w:r w:rsidR="00465928" w:rsidRPr="009118AB">
        <w:rPr>
          <w:i/>
        </w:rPr>
        <w:t>wirksam ab dem Steuerjahr 2017</w:t>
      </w:r>
      <w:r w:rsidR="003366D9" w:rsidRPr="009118AB">
        <w:rPr>
          <w:i/>
        </w:rPr>
        <w:t> -</w:t>
      </w:r>
      <w:r w:rsidR="005B333B" w:rsidRPr="009118AB">
        <w:rPr>
          <w:i/>
        </w:rPr>
        <w:t xml:space="preserve"> und abgeändert durch Art. 12 Nr. 3</w:t>
      </w:r>
      <w:r w:rsidR="005B333B" w:rsidRPr="009118AB">
        <w:rPr>
          <w:i/>
          <w:iCs/>
        </w:rPr>
        <w:t xml:space="preserve"> des G. vom 21. Dezember 2022 (II) (B.S. vom 29. Dezember 2022) - anwendbar ab dem Steuerjahr 2023 -</w:t>
      </w:r>
      <w:r w:rsidR="003366D9" w:rsidRPr="009118AB">
        <w:rPr>
          <w:i/>
        </w:rPr>
        <w:t>;</w:t>
      </w:r>
      <w:r w:rsidR="00465928" w:rsidRPr="009118AB">
        <w:rPr>
          <w:i/>
        </w:rPr>
        <w:t xml:space="preserve"> </w:t>
      </w:r>
      <w:r w:rsidR="00D67EB8" w:rsidRPr="009118AB">
        <w:rPr>
          <w:i/>
        </w:rPr>
        <w:t>§ </w:t>
      </w:r>
      <w:r w:rsidR="00F27904" w:rsidRPr="009118AB">
        <w:rPr>
          <w:i/>
        </w:rPr>
        <w:t xml:space="preserve">4 </w:t>
      </w:r>
      <w:r w:rsidR="00D67EB8" w:rsidRPr="009118AB">
        <w:rPr>
          <w:i/>
        </w:rPr>
        <w:t>Abs. </w:t>
      </w:r>
      <w:r w:rsidR="00F27904" w:rsidRPr="009118AB">
        <w:rPr>
          <w:i/>
        </w:rPr>
        <w:t xml:space="preserve">2 eingefügt durch </w:t>
      </w:r>
      <w:r w:rsidR="00D67EB8" w:rsidRPr="009118AB">
        <w:rPr>
          <w:rFonts w:ascii="Times New Roman Italique" w:hAnsi="Times New Roman Italique"/>
          <w:i/>
          <w:spacing w:val="-2"/>
        </w:rPr>
        <w:t>Art. </w:t>
      </w:r>
      <w:r w:rsidR="00F27904" w:rsidRPr="009118AB">
        <w:rPr>
          <w:rFonts w:ascii="Times New Roman Italique" w:hAnsi="Times New Roman Italique"/>
          <w:i/>
          <w:spacing w:val="-2"/>
        </w:rPr>
        <w:t>2 Buchstabe d) des G. vom 30. Juni 2017</w:t>
      </w:r>
      <w:r w:rsidR="00EB0FB6" w:rsidRPr="009118AB">
        <w:rPr>
          <w:rFonts w:ascii="Times New Roman Italique" w:hAnsi="Times New Roman Italique"/>
          <w:i/>
          <w:spacing w:val="-2"/>
        </w:rPr>
        <w:t> (I)</w:t>
      </w:r>
      <w:r w:rsidR="00F27904" w:rsidRPr="009118AB">
        <w:rPr>
          <w:rFonts w:ascii="Times New Roman Italique" w:hAnsi="Times New Roman Italique"/>
          <w:i/>
          <w:spacing w:val="-2"/>
        </w:rPr>
        <w:t xml:space="preserve"> (B.S. vom 7. Juli 2017)</w:t>
      </w:r>
      <w:r w:rsidR="00D67EB8" w:rsidRPr="009118AB">
        <w:rPr>
          <w:rFonts w:ascii="Times New Roman Italique" w:hAnsi="Times New Roman Italique"/>
          <w:i/>
          <w:spacing w:val="-2"/>
        </w:rPr>
        <w:t> - </w:t>
      </w:r>
      <w:r w:rsidR="00F27904" w:rsidRPr="009118AB">
        <w:rPr>
          <w:rFonts w:ascii="Times New Roman Italique" w:hAnsi="Times New Roman Italique"/>
          <w:i/>
          <w:spacing w:val="-2"/>
        </w:rPr>
        <w:t>wirksam ab dem Steuerjahr 2017</w:t>
      </w:r>
      <w:r w:rsidR="003366D9" w:rsidRPr="009118AB">
        <w:rPr>
          <w:rFonts w:ascii="Times New Roman Italique" w:hAnsi="Times New Roman Italique"/>
          <w:i/>
          <w:spacing w:val="-2"/>
        </w:rPr>
        <w:t> -;</w:t>
      </w:r>
      <w:r w:rsidR="00C35B63" w:rsidRPr="009118AB">
        <w:rPr>
          <w:rFonts w:ascii="Times New Roman Italique" w:hAnsi="Times New Roman Italique"/>
          <w:i/>
          <w:spacing w:val="-2"/>
        </w:rPr>
        <w:t xml:space="preserve"> </w:t>
      </w:r>
      <w:r w:rsidR="005B333B" w:rsidRPr="009118AB">
        <w:rPr>
          <w:rFonts w:ascii="Times New Roman Italique" w:hAnsi="Times New Roman Italique"/>
          <w:i/>
          <w:spacing w:val="-2"/>
        </w:rPr>
        <w:t>§ 4 Abs. 2 Nr. 1 abgeändert durch Art. 12 Nr. 5</w:t>
      </w:r>
      <w:r w:rsidR="005B333B" w:rsidRPr="009118AB">
        <w:rPr>
          <w:rFonts w:ascii="Times New Roman Italique" w:hAnsi="Times New Roman Italique"/>
          <w:i/>
          <w:iCs/>
          <w:spacing w:val="-2"/>
        </w:rPr>
        <w:t xml:space="preserve"> des G. vom 21. Dezember 2022 (II) (B.S. vom 29. Dezember 2022) - anwendbar ab dem Steuerjahr 2023 -;</w:t>
      </w:r>
      <w:r w:rsidR="005B333B" w:rsidRPr="009118AB">
        <w:rPr>
          <w:i/>
          <w:iCs/>
        </w:rPr>
        <w:t xml:space="preserve"> § 4 Abs. 2 Nr. 2 abgeändert durch Art. 12 Nr. 6 des G. vom 21. Dezember 2022 (II) (B.S. vom 29. Dezember 2022) - anwendbar ab dem Steuerjahr 2023 -; </w:t>
      </w:r>
      <w:r w:rsidR="00D67EB8" w:rsidRPr="009118AB">
        <w:rPr>
          <w:i/>
        </w:rPr>
        <w:t>§ </w:t>
      </w:r>
      <w:r w:rsidR="00C35B63" w:rsidRPr="009118AB">
        <w:rPr>
          <w:i/>
        </w:rPr>
        <w:t xml:space="preserve">4 </w:t>
      </w:r>
      <w:r w:rsidR="00D67EB8" w:rsidRPr="009118AB">
        <w:rPr>
          <w:i/>
        </w:rPr>
        <w:t>Abs. </w:t>
      </w:r>
      <w:r w:rsidR="00C35B63" w:rsidRPr="009118AB">
        <w:rPr>
          <w:i/>
        </w:rPr>
        <w:t xml:space="preserve">3 eingefügt durch </w:t>
      </w:r>
      <w:r w:rsidR="00D67EB8" w:rsidRPr="009118AB">
        <w:rPr>
          <w:i/>
        </w:rPr>
        <w:t>Art. </w:t>
      </w:r>
      <w:r w:rsidR="00C35B63" w:rsidRPr="009118AB">
        <w:rPr>
          <w:i/>
        </w:rPr>
        <w:t xml:space="preserve">6 </w:t>
      </w:r>
      <w:r w:rsidR="00D67EB8" w:rsidRPr="009118AB">
        <w:rPr>
          <w:i/>
        </w:rPr>
        <w:t>Nr. </w:t>
      </w:r>
      <w:r w:rsidR="00C35B63" w:rsidRPr="009118AB">
        <w:rPr>
          <w:i/>
        </w:rPr>
        <w:t>3</w:t>
      </w:r>
      <w:r w:rsidR="00C35B63" w:rsidRPr="009118AB">
        <w:rPr>
          <w:i/>
          <w:iCs/>
        </w:rPr>
        <w:t xml:space="preserve"> des G. vom 25.</w:t>
      </w:r>
      <w:r w:rsidR="005B333B" w:rsidRPr="009118AB">
        <w:rPr>
          <w:i/>
          <w:iCs/>
        </w:rPr>
        <w:t> </w:t>
      </w:r>
      <w:r w:rsidR="00C35B63" w:rsidRPr="009118AB">
        <w:rPr>
          <w:i/>
          <w:iCs/>
        </w:rPr>
        <w:t>Dezember</w:t>
      </w:r>
      <w:r w:rsidR="005B333B" w:rsidRPr="009118AB">
        <w:rPr>
          <w:i/>
          <w:iCs/>
        </w:rPr>
        <w:t> </w:t>
      </w:r>
      <w:r w:rsidR="00C35B63" w:rsidRPr="009118AB">
        <w:rPr>
          <w:i/>
          <w:iCs/>
        </w:rPr>
        <w:t>2017</w:t>
      </w:r>
      <w:r w:rsidR="00AD39DE" w:rsidRPr="009118AB">
        <w:rPr>
          <w:i/>
          <w:iCs/>
        </w:rPr>
        <w:t> (I)</w:t>
      </w:r>
      <w:r w:rsidR="00C35B63" w:rsidRPr="009118AB">
        <w:rPr>
          <w:i/>
          <w:iCs/>
        </w:rPr>
        <w:t xml:space="preserve"> (B.S. vom 29.</w:t>
      </w:r>
      <w:r w:rsidR="005B333B" w:rsidRPr="009118AB">
        <w:rPr>
          <w:i/>
          <w:iCs/>
        </w:rPr>
        <w:t> </w:t>
      </w:r>
      <w:r w:rsidR="00C35B63" w:rsidRPr="009118AB">
        <w:rPr>
          <w:i/>
          <w:iCs/>
        </w:rPr>
        <w:t>Dezember</w:t>
      </w:r>
      <w:r w:rsidR="005B333B" w:rsidRPr="009118AB">
        <w:rPr>
          <w:i/>
          <w:iCs/>
        </w:rPr>
        <w:t> </w:t>
      </w:r>
      <w:r w:rsidR="00C35B63" w:rsidRPr="009118AB">
        <w:rPr>
          <w:i/>
          <w:iCs/>
        </w:rPr>
        <w:t>2017)</w:t>
      </w:r>
      <w:r w:rsidR="00D67EB8" w:rsidRPr="009118AB">
        <w:rPr>
          <w:i/>
          <w:iCs/>
        </w:rPr>
        <w:t> - </w:t>
      </w:r>
      <w:r w:rsidR="00C35B63" w:rsidRPr="009118AB">
        <w:rPr>
          <w:i/>
          <w:iCs/>
        </w:rPr>
        <w:t>anwendbar ab dem Steuerjahr 2018</w:t>
      </w:r>
      <w:r w:rsidR="00FD68E8" w:rsidRPr="009118AB">
        <w:rPr>
          <w:i/>
          <w:iCs/>
        </w:rPr>
        <w:t> -]</w:t>
      </w:r>
    </w:p>
    <w:p w14:paraId="01F248D2" w14:textId="77777777" w:rsidR="00AB6422" w:rsidRPr="009118AB" w:rsidRDefault="00AB6422" w:rsidP="00477B8F">
      <w:pPr>
        <w:autoSpaceDE w:val="0"/>
        <w:autoSpaceDN w:val="0"/>
        <w:adjustRightInd w:val="0"/>
        <w:jc w:val="both"/>
        <w:rPr>
          <w:b/>
          <w:bCs/>
        </w:rPr>
      </w:pPr>
    </w:p>
    <w:p w14:paraId="46E04980" w14:textId="77777777" w:rsidR="008501BF" w:rsidRPr="009118AB" w:rsidRDefault="008501BF" w:rsidP="00477B8F">
      <w:pPr>
        <w:autoSpaceDE w:val="0"/>
        <w:autoSpaceDN w:val="0"/>
        <w:adjustRightInd w:val="0"/>
        <w:jc w:val="both"/>
        <w:rPr>
          <w:b/>
          <w:bCs/>
        </w:rPr>
      </w:pPr>
    </w:p>
    <w:p w14:paraId="25708999" w14:textId="5794C6AA" w:rsidR="00477B8F" w:rsidRPr="009118AB" w:rsidRDefault="00AB6422" w:rsidP="00477B8F">
      <w:pPr>
        <w:autoSpaceDE w:val="0"/>
        <w:autoSpaceDN w:val="0"/>
        <w:adjustRightInd w:val="0"/>
        <w:jc w:val="both"/>
      </w:pPr>
      <w:r w:rsidRPr="009118AB">
        <w:rPr>
          <w:b/>
          <w:bCs/>
        </w:rPr>
        <w:tab/>
      </w:r>
      <w:r w:rsidR="00D67EB8" w:rsidRPr="009118AB">
        <w:rPr>
          <w:b/>
          <w:bCs/>
        </w:rPr>
        <w:t>Art. </w:t>
      </w:r>
      <w:r w:rsidR="00477B8F" w:rsidRPr="009118AB">
        <w:rPr>
          <w:b/>
          <w:bCs/>
        </w:rPr>
        <w:t>135</w:t>
      </w:r>
      <w:r w:rsidR="00D67EB8" w:rsidRPr="009118AB">
        <w:t> - </w:t>
      </w:r>
      <w:r w:rsidR="00477B8F" w:rsidRPr="009118AB">
        <w:t>Als Behinderter gilt:</w:t>
      </w:r>
    </w:p>
    <w:p w14:paraId="695B71BF" w14:textId="77777777" w:rsidR="00477B8F" w:rsidRPr="009118AB" w:rsidRDefault="00477B8F" w:rsidP="00477B8F">
      <w:pPr>
        <w:autoSpaceDE w:val="0"/>
        <w:autoSpaceDN w:val="0"/>
        <w:adjustRightInd w:val="0"/>
        <w:jc w:val="both"/>
      </w:pPr>
    </w:p>
    <w:p w14:paraId="74278AF2" w14:textId="77777777" w:rsidR="00477B8F" w:rsidRPr="009118AB" w:rsidRDefault="00477B8F" w:rsidP="00477B8F">
      <w:pPr>
        <w:autoSpaceDE w:val="0"/>
        <w:autoSpaceDN w:val="0"/>
        <w:adjustRightInd w:val="0"/>
        <w:jc w:val="both"/>
      </w:pPr>
      <w:r w:rsidRPr="009118AB">
        <w:tab/>
        <w:t>1. derjenige, für den ungeachtet des Alters festgestellt wird, dass aufgrund von Begebenheiten, die sich vor dem Alter von fünfundsechzig Jahren ereignet haben und die vor diesem Alter festgestellt wurden:</w:t>
      </w:r>
    </w:p>
    <w:p w14:paraId="2C0A4899" w14:textId="77777777" w:rsidR="00477B8F" w:rsidRPr="009118AB" w:rsidRDefault="00477B8F" w:rsidP="00477B8F">
      <w:pPr>
        <w:autoSpaceDE w:val="0"/>
        <w:autoSpaceDN w:val="0"/>
        <w:adjustRightInd w:val="0"/>
        <w:jc w:val="both"/>
      </w:pPr>
    </w:p>
    <w:p w14:paraId="218FD19A" w14:textId="77777777" w:rsidR="00477B8F" w:rsidRPr="009118AB" w:rsidRDefault="00477B8F" w:rsidP="00477B8F">
      <w:pPr>
        <w:autoSpaceDE w:val="0"/>
        <w:autoSpaceDN w:val="0"/>
        <w:adjustRightInd w:val="0"/>
        <w:jc w:val="both"/>
      </w:pPr>
      <w:r w:rsidRPr="009118AB">
        <w:tab/>
        <w:t>- entweder seine körperliche oder geistige Verfassung seine Erwerbsfähigkeit auf ein Drittel oder weniger dessen, was eine nichtbehinderte Person bei der Ausübung eines Berufes auf dem allgemeinen Arbeitsmarkt verdienen kann, verringert hat,</w:t>
      </w:r>
    </w:p>
    <w:p w14:paraId="2568C761" w14:textId="77777777" w:rsidR="00464C3A" w:rsidRPr="009118AB" w:rsidRDefault="00464C3A" w:rsidP="00477B8F">
      <w:pPr>
        <w:autoSpaceDE w:val="0"/>
        <w:autoSpaceDN w:val="0"/>
        <w:adjustRightInd w:val="0"/>
      </w:pPr>
    </w:p>
    <w:p w14:paraId="3FB5A430" w14:textId="77777777" w:rsidR="00477B8F" w:rsidRPr="009118AB" w:rsidRDefault="00477B8F" w:rsidP="007C1743">
      <w:pPr>
        <w:autoSpaceDE w:val="0"/>
        <w:autoSpaceDN w:val="0"/>
        <w:adjustRightInd w:val="0"/>
        <w:jc w:val="both"/>
      </w:pPr>
      <w:r w:rsidRPr="009118AB">
        <w:tab/>
        <w:t>- oder sein Gesundheitszustand einen vollständigen Mangel an Selbständigkeit oder eine Verminderung der Selbständigkeit um mindestens 9 Punkte hervorruft, bestimmt gemäß dem Leitfaden und der sozialmedizinischen Tabelle, die im Rahmen der Rechtsvorschriften über Behindertenbeihilfen anwendbar sind,</w:t>
      </w:r>
    </w:p>
    <w:p w14:paraId="36689802" w14:textId="77777777" w:rsidR="00477B8F" w:rsidRPr="009118AB" w:rsidRDefault="00477B8F" w:rsidP="00477B8F">
      <w:pPr>
        <w:autoSpaceDE w:val="0"/>
        <w:autoSpaceDN w:val="0"/>
        <w:adjustRightInd w:val="0"/>
        <w:jc w:val="both"/>
      </w:pPr>
    </w:p>
    <w:p w14:paraId="659C6502" w14:textId="77777777" w:rsidR="00477B8F" w:rsidRPr="009118AB" w:rsidRDefault="00477B8F" w:rsidP="00477B8F">
      <w:pPr>
        <w:autoSpaceDE w:val="0"/>
        <w:autoSpaceDN w:val="0"/>
        <w:adjustRightInd w:val="0"/>
        <w:jc w:val="both"/>
      </w:pPr>
      <w:r w:rsidRPr="009118AB">
        <w:tab/>
        <w:t>- [oder seine Erwerbsfähigkeit nach dem Zeitraum primärer Unfähigkeit, der in Artikel 87 des am 14. Juli 1994 koordinierten Gesetzes über die Gesundheitspflege</w:t>
      </w:r>
      <w:r w:rsidRPr="009118AB">
        <w:noBreakHyphen/>
        <w:t xml:space="preserve"> und Entschädigungspflichtversicherung vorgesehen ist, auf ein Drittel oder weniger gesunken ist wie in Artikel 100 desselben koordinierten Gesetzes vorgesehen,]</w:t>
      </w:r>
    </w:p>
    <w:p w14:paraId="3BDBE73A" w14:textId="77777777" w:rsidR="00477B8F" w:rsidRPr="009118AB" w:rsidRDefault="00477B8F" w:rsidP="00477B8F">
      <w:pPr>
        <w:autoSpaceDE w:val="0"/>
        <w:autoSpaceDN w:val="0"/>
        <w:adjustRightInd w:val="0"/>
        <w:jc w:val="both"/>
      </w:pPr>
    </w:p>
    <w:p w14:paraId="7E426C51" w14:textId="77777777" w:rsidR="00477B8F" w:rsidRPr="009118AB" w:rsidRDefault="00477B8F" w:rsidP="00477B8F">
      <w:pPr>
        <w:autoSpaceDE w:val="0"/>
        <w:autoSpaceDN w:val="0"/>
        <w:adjustRightInd w:val="0"/>
        <w:jc w:val="both"/>
      </w:pPr>
      <w:r w:rsidRPr="009118AB">
        <w:tab/>
        <w:t>- oder er für mindestens 66 Prozent bleibend körperlich oder geistig behindert oder bleibend arbeitsunfähig ist; dies muss anhand eines Verwaltungsbeschlusses oder einer gerichtlichen Entscheidung festgestellt werden,</w:t>
      </w:r>
    </w:p>
    <w:p w14:paraId="55424DDE" w14:textId="77777777" w:rsidR="00477B8F" w:rsidRPr="009118AB" w:rsidRDefault="00477B8F" w:rsidP="00477B8F">
      <w:pPr>
        <w:autoSpaceDE w:val="0"/>
        <w:autoSpaceDN w:val="0"/>
        <w:adjustRightInd w:val="0"/>
        <w:jc w:val="both"/>
      </w:pPr>
    </w:p>
    <w:p w14:paraId="6BB233F5" w14:textId="77777777" w:rsidR="00477B8F" w:rsidRPr="009118AB" w:rsidRDefault="00477B8F" w:rsidP="00477B8F">
      <w:pPr>
        <w:autoSpaceDE w:val="0"/>
        <w:autoSpaceDN w:val="0"/>
        <w:adjustRightInd w:val="0"/>
        <w:jc w:val="both"/>
      </w:pPr>
      <w:r w:rsidRPr="009118AB">
        <w:tab/>
        <w:t>2. ein Kind, das zu mindestens 66 Prozent an einer Unzulänglichkeit oder Verminderung der körperlichen oder geistigen Fähigkeiten aufgrund einer oder mehrerer Erkrankungen leidet.</w:t>
      </w:r>
    </w:p>
    <w:p w14:paraId="2E8036F1" w14:textId="77777777" w:rsidR="00477B8F" w:rsidRPr="009118AB" w:rsidRDefault="00477B8F" w:rsidP="00477B8F">
      <w:pPr>
        <w:autoSpaceDE w:val="0"/>
        <w:autoSpaceDN w:val="0"/>
        <w:adjustRightInd w:val="0"/>
        <w:jc w:val="both"/>
      </w:pPr>
    </w:p>
    <w:p w14:paraId="07C875A0" w14:textId="77777777" w:rsidR="00477B8F" w:rsidRPr="009118AB" w:rsidRDefault="00477B8F" w:rsidP="00477B8F">
      <w:pPr>
        <w:autoSpaceDE w:val="0"/>
        <w:autoSpaceDN w:val="0"/>
        <w:adjustRightInd w:val="0"/>
        <w:jc w:val="both"/>
      </w:pPr>
      <w:r w:rsidRPr="009118AB">
        <w:tab/>
        <w:t>Der Minister der Finanzen oder sein Beauftragter bestimmt für die Anwendung des Steuergesetzes die Behörden, die mit der Feststellung der Lage der Behinderten beauftragt sind.</w:t>
      </w:r>
    </w:p>
    <w:p w14:paraId="305525D6" w14:textId="77777777" w:rsidR="00477B8F" w:rsidRPr="009118AB" w:rsidRDefault="00477B8F" w:rsidP="00477B8F">
      <w:pPr>
        <w:autoSpaceDE w:val="0"/>
        <w:autoSpaceDN w:val="0"/>
        <w:adjustRightInd w:val="0"/>
        <w:jc w:val="both"/>
      </w:pPr>
    </w:p>
    <w:p w14:paraId="4D994ABF" w14:textId="63750C2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135 </w:t>
      </w:r>
      <w:r w:rsidR="00D67EB8" w:rsidRPr="009118AB">
        <w:rPr>
          <w:i/>
          <w:iCs/>
        </w:rPr>
        <w:t>Abs. </w:t>
      </w:r>
      <w:r w:rsidRPr="009118AB">
        <w:rPr>
          <w:i/>
          <w:iCs/>
        </w:rPr>
        <w:t xml:space="preserve">1 </w:t>
      </w:r>
      <w:r w:rsidR="00D67EB8" w:rsidRPr="009118AB">
        <w:rPr>
          <w:i/>
          <w:iCs/>
        </w:rPr>
        <w:t>Nr. </w:t>
      </w:r>
      <w:r w:rsidRPr="009118AB">
        <w:rPr>
          <w:i/>
          <w:iCs/>
        </w:rPr>
        <w:t xml:space="preserve">1 einziger Absatz dritter Gedankenstrich ersetzt durch </w:t>
      </w:r>
      <w:r w:rsidR="00D67EB8" w:rsidRPr="009118AB">
        <w:rPr>
          <w:i/>
          <w:iCs/>
        </w:rPr>
        <w:t>Art. </w:t>
      </w:r>
      <w:r w:rsidRPr="009118AB">
        <w:rPr>
          <w:i/>
          <w:iCs/>
        </w:rPr>
        <w:t>14 des G.</w:t>
      </w:r>
      <w:r w:rsidR="00B81F10" w:rsidRPr="009118AB">
        <w:rPr>
          <w:i/>
          <w:iCs/>
        </w:rPr>
        <w:t xml:space="preserve"> </w:t>
      </w:r>
      <w:r w:rsidRPr="009118AB">
        <w:rPr>
          <w:i/>
          <w:iCs/>
        </w:rPr>
        <w:t>vom 22. Dezember 1998 (B.S. vom 15. Januar 1999)]</w:t>
      </w:r>
    </w:p>
    <w:p w14:paraId="0CD57095" w14:textId="77777777" w:rsidR="00477B8F" w:rsidRPr="009118AB" w:rsidRDefault="00477B8F" w:rsidP="00477B8F">
      <w:pPr>
        <w:autoSpaceDE w:val="0"/>
        <w:autoSpaceDN w:val="0"/>
        <w:adjustRightInd w:val="0"/>
        <w:jc w:val="both"/>
      </w:pPr>
    </w:p>
    <w:p w14:paraId="734CCCE2" w14:textId="77777777" w:rsidR="00477B8F" w:rsidRPr="009118AB" w:rsidRDefault="00477B8F" w:rsidP="00477B8F">
      <w:pPr>
        <w:autoSpaceDE w:val="0"/>
        <w:autoSpaceDN w:val="0"/>
        <w:adjustRightInd w:val="0"/>
        <w:jc w:val="both"/>
      </w:pPr>
    </w:p>
    <w:p w14:paraId="645CE240" w14:textId="7CA73904"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136</w:t>
      </w:r>
      <w:r w:rsidR="00D67EB8" w:rsidRPr="009118AB">
        <w:t> - </w:t>
      </w:r>
      <w:r w:rsidRPr="009118AB">
        <w:t>Als zu Lasten [der Steuerpflichtigen] gelten unter der Bedingung, dass sie am 1. Januar des Steuerjahres Mitglied ihres Haushalts sind und während des Besteuerungszeitraums selbst keine Existenzmittel über einen Nettobetrag von [1.800 EUR] bezogen haben:</w:t>
      </w:r>
    </w:p>
    <w:p w14:paraId="5A609DAC" w14:textId="77777777" w:rsidR="00477B8F" w:rsidRPr="009118AB" w:rsidRDefault="00477B8F" w:rsidP="00477B8F">
      <w:pPr>
        <w:autoSpaceDE w:val="0"/>
        <w:autoSpaceDN w:val="0"/>
        <w:adjustRightInd w:val="0"/>
        <w:jc w:val="both"/>
      </w:pPr>
    </w:p>
    <w:p w14:paraId="478DA2F4" w14:textId="77777777" w:rsidR="00477B8F" w:rsidRPr="009118AB" w:rsidRDefault="00477B8F" w:rsidP="00477B8F">
      <w:pPr>
        <w:autoSpaceDE w:val="0"/>
        <w:autoSpaceDN w:val="0"/>
        <w:adjustRightInd w:val="0"/>
        <w:jc w:val="both"/>
      </w:pPr>
      <w:r w:rsidRPr="009118AB">
        <w:tab/>
        <w:t>1. ihre Kinder,</w:t>
      </w:r>
    </w:p>
    <w:p w14:paraId="1FB151D2" w14:textId="77777777" w:rsidR="00477B8F" w:rsidRPr="009118AB" w:rsidRDefault="00477B8F" w:rsidP="00477B8F">
      <w:pPr>
        <w:autoSpaceDE w:val="0"/>
        <w:autoSpaceDN w:val="0"/>
        <w:adjustRightInd w:val="0"/>
        <w:jc w:val="both"/>
      </w:pPr>
    </w:p>
    <w:p w14:paraId="709C9D55" w14:textId="77777777" w:rsidR="00477B8F" w:rsidRPr="009118AB" w:rsidRDefault="00477B8F" w:rsidP="00477B8F">
      <w:pPr>
        <w:autoSpaceDE w:val="0"/>
        <w:autoSpaceDN w:val="0"/>
        <w:adjustRightInd w:val="0"/>
        <w:jc w:val="both"/>
      </w:pPr>
      <w:r w:rsidRPr="009118AB">
        <w:tab/>
        <w:t xml:space="preserve">2. ihre Verwandten in aufsteigender Linie, </w:t>
      </w:r>
    </w:p>
    <w:p w14:paraId="434CC0FC" w14:textId="77777777" w:rsidR="00477B8F" w:rsidRPr="009118AB" w:rsidRDefault="00477B8F" w:rsidP="00477B8F">
      <w:pPr>
        <w:autoSpaceDE w:val="0"/>
        <w:autoSpaceDN w:val="0"/>
        <w:adjustRightInd w:val="0"/>
        <w:jc w:val="both"/>
      </w:pPr>
    </w:p>
    <w:p w14:paraId="72946E2B" w14:textId="77777777" w:rsidR="00464C3A" w:rsidRPr="009118AB" w:rsidRDefault="00477B8F" w:rsidP="00477B8F">
      <w:pPr>
        <w:autoSpaceDE w:val="0"/>
        <w:autoSpaceDN w:val="0"/>
        <w:adjustRightInd w:val="0"/>
        <w:jc w:val="both"/>
      </w:pPr>
      <w:r w:rsidRPr="009118AB">
        <w:tab/>
        <w:t>3. ihre Verwandten in der Seitenlinie bis zum zweiten Grad einschließlich,</w:t>
      </w:r>
    </w:p>
    <w:p w14:paraId="435353AB" w14:textId="77777777" w:rsidR="009C58FC" w:rsidRPr="009118AB" w:rsidRDefault="009C58FC" w:rsidP="00477B8F">
      <w:pPr>
        <w:autoSpaceDE w:val="0"/>
        <w:autoSpaceDN w:val="0"/>
        <w:adjustRightInd w:val="0"/>
        <w:jc w:val="both"/>
      </w:pPr>
    </w:p>
    <w:p w14:paraId="6EBD9E43" w14:textId="77777777" w:rsidR="00477B8F" w:rsidRPr="009118AB" w:rsidRDefault="00477B8F" w:rsidP="00477B8F">
      <w:pPr>
        <w:autoSpaceDE w:val="0"/>
        <w:autoSpaceDN w:val="0"/>
        <w:adjustRightInd w:val="0"/>
        <w:jc w:val="both"/>
      </w:pPr>
      <w:r w:rsidRPr="009118AB">
        <w:tab/>
        <w:t>4. Personen, die den Steuerpflichtigen während dessen Kindheit ausschließlich oder hauptsächlich zu Lasten hatten.</w:t>
      </w:r>
    </w:p>
    <w:p w14:paraId="7B6D53B1" w14:textId="77777777" w:rsidR="00477B8F" w:rsidRDefault="00477B8F" w:rsidP="00477B8F">
      <w:pPr>
        <w:autoSpaceDE w:val="0"/>
        <w:autoSpaceDN w:val="0"/>
        <w:adjustRightInd w:val="0"/>
        <w:jc w:val="both"/>
      </w:pPr>
    </w:p>
    <w:p w14:paraId="2C30A81C" w14:textId="33C796BB" w:rsidR="00477B8F" w:rsidRPr="00531C1E"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136 einziger Absatz einleitende Bestimmung abgeändert durch </w:t>
      </w:r>
      <w:r w:rsidR="00D67EB8" w:rsidRPr="009118AB">
        <w:rPr>
          <w:i/>
          <w:iCs/>
        </w:rPr>
        <w:t>Art. </w:t>
      </w:r>
      <w:r w:rsidRPr="009118AB">
        <w:rPr>
          <w:i/>
          <w:iCs/>
        </w:rPr>
        <w:t>1 des K.E. vom 20. Juli 2000 (II) (B.S. vom 30. August 200</w:t>
      </w:r>
      <w:r w:rsidR="00535F68" w:rsidRPr="009118AB">
        <w:rPr>
          <w:i/>
          <w:iCs/>
        </w:rPr>
        <w:t>0)</w:t>
      </w:r>
      <w:r w:rsidR="00D67EB8" w:rsidRPr="009118AB">
        <w:rPr>
          <w:i/>
          <w:iCs/>
        </w:rPr>
        <w:t> - </w:t>
      </w:r>
      <w:r w:rsidR="00535F68" w:rsidRPr="009118AB">
        <w:rPr>
          <w:i/>
          <w:iCs/>
        </w:rPr>
        <w:t>in Kraft ab dem Steuerjahr </w:t>
      </w:r>
      <w:r w:rsidRPr="009118AB">
        <w:rPr>
          <w:i/>
          <w:iCs/>
        </w:rPr>
        <w:t>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r w:rsidRPr="009118AB">
        <w:rPr>
          <w:i/>
          <w:iCs/>
        </w:rPr>
        <w:t xml:space="preserve"> durch </w:t>
      </w:r>
      <w:r w:rsidR="00D67EB8" w:rsidRPr="009118AB">
        <w:rPr>
          <w:i/>
          <w:iCs/>
        </w:rPr>
        <w:t>Art. </w:t>
      </w:r>
      <w:r w:rsidRPr="009118AB">
        <w:rPr>
          <w:i/>
          <w:iCs/>
        </w:rPr>
        <w:t>3 des G. vom 21. Juni 2002 (B.S. vom 20. Juli 200</w:t>
      </w:r>
      <w:r w:rsidR="009A49D9" w:rsidRPr="009118AB">
        <w:rPr>
          <w:i/>
          <w:iCs/>
        </w:rPr>
        <w:t>2)</w:t>
      </w:r>
      <w:r w:rsidR="00D67EB8" w:rsidRPr="009118AB">
        <w:rPr>
          <w:i/>
          <w:iCs/>
        </w:rPr>
        <w:t> - </w:t>
      </w:r>
      <w:r w:rsidR="009A49D9" w:rsidRPr="009118AB">
        <w:rPr>
          <w:i/>
          <w:iCs/>
        </w:rPr>
        <w:t>in Kraft ab dem Steuerjahr </w:t>
      </w:r>
      <w:r w:rsidRPr="009118AB">
        <w:rPr>
          <w:i/>
          <w:iCs/>
        </w:rPr>
        <w:t>2003</w:t>
      </w:r>
      <w:r w:rsidR="00D67EB8" w:rsidRPr="009118AB">
        <w:rPr>
          <w:i/>
          <w:iCs/>
        </w:rPr>
        <w:t> - </w:t>
      </w:r>
      <w:r w:rsidRPr="009118AB">
        <w:rPr>
          <w:i/>
          <w:iCs/>
        </w:rPr>
        <w:t xml:space="preserve">und </w:t>
      </w:r>
      <w:r w:rsidR="00D67EB8" w:rsidRPr="009118AB">
        <w:rPr>
          <w:i/>
          <w:iCs/>
        </w:rPr>
        <w:t>Art. </w:t>
      </w:r>
      <w:r w:rsidRPr="009118AB">
        <w:rPr>
          <w:i/>
          <w:iCs/>
        </w:rPr>
        <w:t>27 des G. vom 10. August 2001 (B.S. vom 20. September 200</w:t>
      </w:r>
      <w:r w:rsidR="009A49D9" w:rsidRPr="009118AB">
        <w:rPr>
          <w:i/>
          <w:iCs/>
        </w:rPr>
        <w:t>1)</w:t>
      </w:r>
      <w:r w:rsidR="00D67EB8" w:rsidRPr="009118AB">
        <w:rPr>
          <w:i/>
          <w:iCs/>
        </w:rPr>
        <w:t> - </w:t>
      </w:r>
      <w:r w:rsidR="009A49D9" w:rsidRPr="009118AB">
        <w:rPr>
          <w:i/>
          <w:iCs/>
        </w:rPr>
        <w:t>in Kraft ab dem Steuerjahr </w:t>
      </w:r>
      <w:r w:rsidRPr="009118AB">
        <w:rPr>
          <w:i/>
          <w:iCs/>
        </w:rPr>
        <w:t>2005</w:t>
      </w:r>
      <w:r w:rsidR="003366D9" w:rsidRPr="009118AB">
        <w:rPr>
          <w:i/>
          <w:iCs/>
        </w:rPr>
        <w:t> -;</w:t>
      </w:r>
      <w:r w:rsidR="001A54F6" w:rsidRPr="009118AB">
        <w:rPr>
          <w:i/>
          <w:iCs/>
        </w:rPr>
        <w:t xml:space="preserve"> </w:t>
      </w:r>
      <w:r w:rsidR="001A54F6" w:rsidRPr="003441F1">
        <w:rPr>
          <w:i/>
          <w:iCs/>
        </w:rPr>
        <w:t xml:space="preserve">siehe auch Entscheid </w:t>
      </w:r>
      <w:r w:rsidR="00D67EB8" w:rsidRPr="003441F1">
        <w:rPr>
          <w:i/>
          <w:iCs/>
        </w:rPr>
        <w:t>Nr. </w:t>
      </w:r>
      <w:r w:rsidR="001A54F6" w:rsidRPr="003441F1">
        <w:rPr>
          <w:i/>
          <w:iCs/>
        </w:rPr>
        <w:t>153/2012 des Verfassungsgerichtshofes vom 13. </w:t>
      </w:r>
      <w:r w:rsidR="001A54F6" w:rsidRPr="00531C1E">
        <w:rPr>
          <w:i/>
          <w:iCs/>
        </w:rPr>
        <w:t>Dezember 2012 (B.S. vom 25. Januar 2013)</w:t>
      </w:r>
      <w:r w:rsidRPr="00531C1E">
        <w:rPr>
          <w:i/>
          <w:iCs/>
        </w:rPr>
        <w:t>]</w:t>
      </w:r>
    </w:p>
    <w:p w14:paraId="61AE08EB" w14:textId="77777777" w:rsidR="00464C3A" w:rsidRPr="00531C1E" w:rsidRDefault="00464C3A" w:rsidP="00477B8F">
      <w:pPr>
        <w:autoSpaceDE w:val="0"/>
        <w:autoSpaceDN w:val="0"/>
        <w:adjustRightInd w:val="0"/>
        <w:jc w:val="both"/>
      </w:pPr>
    </w:p>
    <w:p w14:paraId="6C991BE6" w14:textId="77777777" w:rsidR="00464C3A" w:rsidRPr="00531C1E" w:rsidRDefault="00464C3A" w:rsidP="00477B8F">
      <w:pPr>
        <w:autoSpaceDE w:val="0"/>
        <w:autoSpaceDN w:val="0"/>
        <w:adjustRightInd w:val="0"/>
        <w:jc w:val="both"/>
      </w:pPr>
    </w:p>
    <w:p w14:paraId="48D04269" w14:textId="35A92739" w:rsidR="00477B8F" w:rsidRPr="009118AB" w:rsidRDefault="00477B8F" w:rsidP="00477B8F">
      <w:pPr>
        <w:autoSpaceDE w:val="0"/>
        <w:autoSpaceDN w:val="0"/>
        <w:adjustRightInd w:val="0"/>
        <w:jc w:val="both"/>
      </w:pPr>
      <w:r w:rsidRPr="00531C1E">
        <w:tab/>
      </w:r>
      <w:r w:rsidR="00D67EB8" w:rsidRPr="009118AB">
        <w:rPr>
          <w:b/>
          <w:bCs/>
        </w:rPr>
        <w:t>Art. </w:t>
      </w:r>
      <w:r w:rsidRPr="009118AB">
        <w:rPr>
          <w:b/>
          <w:bCs/>
        </w:rPr>
        <w:t>137</w:t>
      </w:r>
      <w:r w:rsidR="00D67EB8" w:rsidRPr="009118AB">
        <w:t> - </w:t>
      </w:r>
      <w:r w:rsidRPr="009118AB">
        <w:t>Kinder, deren steuerpflichtige Einkünfte alle zu denen ihrer Eltern gefügt werden, gelten ungeachtet der Höhe ihrer Einkünfte als zu Lasten ihrer Eltern.</w:t>
      </w:r>
    </w:p>
    <w:p w14:paraId="789099B9" w14:textId="77777777" w:rsidR="00477B8F" w:rsidRPr="009118AB" w:rsidRDefault="00477B8F" w:rsidP="00477B8F">
      <w:pPr>
        <w:autoSpaceDE w:val="0"/>
        <w:autoSpaceDN w:val="0"/>
        <w:adjustRightInd w:val="0"/>
        <w:jc w:val="both"/>
      </w:pPr>
    </w:p>
    <w:p w14:paraId="5E663768" w14:textId="77777777" w:rsidR="00477B8F" w:rsidRPr="009118AB" w:rsidRDefault="00477B8F" w:rsidP="00477B8F">
      <w:pPr>
        <w:autoSpaceDE w:val="0"/>
        <w:autoSpaceDN w:val="0"/>
        <w:adjustRightInd w:val="0"/>
        <w:jc w:val="both"/>
      </w:pPr>
    </w:p>
    <w:p w14:paraId="12686B86" w14:textId="68F55F8F"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138</w:t>
      </w:r>
      <w:r w:rsidR="00D67EB8" w:rsidRPr="009118AB">
        <w:t> - </w:t>
      </w:r>
      <w:r w:rsidRPr="009118AB">
        <w:t>Ein im Besteuerungszeitraum verstorbenes Kind gilt als Mitglied des Haushalts des Steuerpflichtigen am 1. Januar des Steuerjahres unter der Bedingung, dass es bereits für das vorhergehende Steuerjahr zu seinen Lasten war oder dass es im Besteuerungszeitraum geboren und verstorben ist.</w:t>
      </w:r>
    </w:p>
    <w:p w14:paraId="4AF1A5E2" w14:textId="77777777" w:rsidR="00477B8F" w:rsidRPr="009118AB" w:rsidRDefault="00477B8F" w:rsidP="00477B8F">
      <w:pPr>
        <w:autoSpaceDE w:val="0"/>
        <w:autoSpaceDN w:val="0"/>
        <w:adjustRightInd w:val="0"/>
        <w:jc w:val="both"/>
      </w:pPr>
    </w:p>
    <w:p w14:paraId="33759D67" w14:textId="77777777" w:rsidR="00E9165F" w:rsidRPr="009118AB" w:rsidRDefault="00477B8F" w:rsidP="00464C3A">
      <w:pPr>
        <w:autoSpaceDE w:val="0"/>
        <w:autoSpaceDN w:val="0"/>
        <w:adjustRightInd w:val="0"/>
        <w:ind w:firstLine="708"/>
        <w:jc w:val="both"/>
      </w:pPr>
      <w:r w:rsidRPr="009118AB">
        <w:t xml:space="preserve">[Ein tot geborenes Kind oder ein durch eine Fehlgeburt nach mindestens 180 Tagen Schwangerschaft verlorenes Kind gilt ebenfalls als Mitglied des Haushalts des Steuerpflichtigen am 1. Januar des Steuerjahres unter der Bedingung, dass das Ereignis im Besteuerungszeitraum eingetreten ist.] </w:t>
      </w:r>
    </w:p>
    <w:p w14:paraId="42244B24" w14:textId="77777777" w:rsidR="00E9165F" w:rsidRPr="009118AB" w:rsidRDefault="00E9165F" w:rsidP="00464C3A">
      <w:pPr>
        <w:autoSpaceDE w:val="0"/>
        <w:autoSpaceDN w:val="0"/>
        <w:adjustRightInd w:val="0"/>
        <w:ind w:firstLine="708"/>
        <w:jc w:val="both"/>
      </w:pPr>
    </w:p>
    <w:p w14:paraId="05636BF0" w14:textId="77777777" w:rsidR="00477B8F" w:rsidRPr="009118AB" w:rsidRDefault="00477B8F" w:rsidP="00E9165F">
      <w:pPr>
        <w:autoSpaceDE w:val="0"/>
        <w:autoSpaceDN w:val="0"/>
        <w:adjustRightInd w:val="0"/>
        <w:ind w:firstLine="708"/>
        <w:jc w:val="both"/>
        <w:rPr>
          <w:spacing w:val="-2"/>
        </w:rPr>
      </w:pPr>
      <w:r w:rsidRPr="009118AB">
        <w:rPr>
          <w:spacing w:val="-2"/>
        </w:rPr>
        <w:t>[Ein im Besteuerungszeitraum vermisstes oder entführtes Kind, das am 1. Januar des Steuerjahres das Alter von 18 Jahren nicht erreicht hat, gilt an diesem Datum als Mitglied des Haushalts des Steuerpflichtigen unter der Bedingung, dass es bereits für das vorhergehende Steuerjahr zu seinen Lasten war</w:t>
      </w:r>
      <w:r w:rsidR="006B11EA" w:rsidRPr="009118AB">
        <w:rPr>
          <w:spacing w:val="-2"/>
        </w:rPr>
        <w:t xml:space="preserve"> [oder dass es im Besteu</w:t>
      </w:r>
      <w:r w:rsidR="006B11EA" w:rsidRPr="009118AB">
        <w:rPr>
          <w:spacing w:val="-2"/>
        </w:rPr>
        <w:softHyphen/>
        <w:t>erungszeitraum geboren ist und vermisst oder entführt wurde]</w:t>
      </w:r>
      <w:r w:rsidRPr="009118AB">
        <w:rPr>
          <w:spacing w:val="-2"/>
        </w:rPr>
        <w:t>, und unter der Bedingung, dass der Steuerpflichtige nachweist, dass er spätestens am 31. Dezember des Besteuerungszeitraums das Verschwinden oder die Entführung bei der Polizei gemeldet hat oder diesbezüglich bei der Staatsanwaltschaft oder den in Sachen Kindesentführung zuständigen belgischen Verwaltungsbehörden Klage eingereicht hat.]</w:t>
      </w:r>
    </w:p>
    <w:p w14:paraId="52309115" w14:textId="77777777" w:rsidR="00477B8F" w:rsidRPr="009118AB" w:rsidRDefault="00477B8F" w:rsidP="00477B8F">
      <w:pPr>
        <w:autoSpaceDE w:val="0"/>
        <w:autoSpaceDN w:val="0"/>
        <w:adjustRightInd w:val="0"/>
        <w:jc w:val="both"/>
      </w:pPr>
    </w:p>
    <w:p w14:paraId="2C3AA3A1" w14:textId="5AC3814A" w:rsidR="00477B8F" w:rsidRPr="009118AB" w:rsidRDefault="009A49D9" w:rsidP="00477B8F">
      <w:pPr>
        <w:autoSpaceDE w:val="0"/>
        <w:autoSpaceDN w:val="0"/>
        <w:adjustRightInd w:val="0"/>
        <w:jc w:val="both"/>
      </w:pPr>
      <w:r w:rsidRPr="009118AB">
        <w:rPr>
          <w:i/>
          <w:iCs/>
        </w:rPr>
        <w:t>[</w:t>
      </w:r>
      <w:r w:rsidR="00D67EB8" w:rsidRPr="009118AB">
        <w:rPr>
          <w:i/>
          <w:iCs/>
        </w:rPr>
        <w:t>Art. </w:t>
      </w:r>
      <w:r w:rsidRPr="009118AB">
        <w:rPr>
          <w:i/>
          <w:iCs/>
        </w:rPr>
        <w:t xml:space="preserve">138 </w:t>
      </w:r>
      <w:r w:rsidR="00D67EB8" w:rsidRPr="009118AB">
        <w:rPr>
          <w:i/>
          <w:iCs/>
        </w:rPr>
        <w:t>Abs. </w:t>
      </w:r>
      <w:r w:rsidRPr="009118AB">
        <w:rPr>
          <w:i/>
          <w:iCs/>
        </w:rPr>
        <w:t xml:space="preserve">2 eingefügt durch </w:t>
      </w:r>
      <w:r w:rsidR="00D67EB8" w:rsidRPr="009118AB">
        <w:rPr>
          <w:i/>
          <w:iCs/>
        </w:rPr>
        <w:t>Art. </w:t>
      </w:r>
      <w:r w:rsidRPr="009118AB">
        <w:rPr>
          <w:i/>
          <w:iCs/>
        </w:rPr>
        <w:t>2 des G. vom 6. Juli 2004 </w:t>
      </w:r>
      <w:r w:rsidR="00477B8F" w:rsidRPr="009118AB">
        <w:rPr>
          <w:i/>
          <w:iCs/>
        </w:rPr>
        <w:t>(III) (B.S. vom 5. August 2004</w:t>
      </w:r>
      <w:r w:rsidRPr="009118AB">
        <w:rPr>
          <w:i/>
          <w:iCs/>
        </w:rPr>
        <w:t>)</w:t>
      </w:r>
      <w:r w:rsidR="00D67EB8" w:rsidRPr="009118AB">
        <w:rPr>
          <w:i/>
          <w:iCs/>
        </w:rPr>
        <w:t> - </w:t>
      </w:r>
      <w:r w:rsidRPr="009118AB">
        <w:rPr>
          <w:i/>
          <w:iCs/>
        </w:rPr>
        <w:t>anwendbar ab dem Steuerjahr </w:t>
      </w:r>
      <w:r w:rsidR="00477B8F" w:rsidRPr="009118AB">
        <w:rPr>
          <w:i/>
          <w:iCs/>
        </w:rPr>
        <w:t>2006</w:t>
      </w:r>
      <w:r w:rsidR="003366D9" w:rsidRPr="009118AB">
        <w:rPr>
          <w:i/>
          <w:iCs/>
        </w:rPr>
        <w:t> -;</w:t>
      </w:r>
      <w:r w:rsidRPr="009118AB">
        <w:rPr>
          <w:i/>
          <w:iCs/>
        </w:rPr>
        <w:t xml:space="preserve"> </w:t>
      </w:r>
      <w:r w:rsidR="00D67EB8" w:rsidRPr="009118AB">
        <w:rPr>
          <w:i/>
          <w:iCs/>
        </w:rPr>
        <w:t>Abs. </w:t>
      </w:r>
      <w:r w:rsidR="00E9165F" w:rsidRPr="009118AB">
        <w:rPr>
          <w:i/>
          <w:iCs/>
        </w:rPr>
        <w:t xml:space="preserve">3 eingefügt </w:t>
      </w:r>
      <w:r w:rsidRPr="009118AB">
        <w:rPr>
          <w:i/>
          <w:iCs/>
        </w:rPr>
        <w:t xml:space="preserve">durch </w:t>
      </w:r>
      <w:r w:rsidR="00D67EB8" w:rsidRPr="009118AB">
        <w:rPr>
          <w:i/>
          <w:iCs/>
        </w:rPr>
        <w:t>Art. </w:t>
      </w:r>
      <w:r w:rsidR="00477B8F" w:rsidRPr="009118AB">
        <w:rPr>
          <w:i/>
          <w:iCs/>
        </w:rPr>
        <w:t xml:space="preserve">281 des </w:t>
      </w:r>
      <w:r w:rsidR="00477B8F" w:rsidRPr="009118AB">
        <w:rPr>
          <w:i/>
          <w:iCs/>
        </w:rPr>
        <w:lastRenderedPageBreak/>
        <w:t>G.</w:t>
      </w:r>
      <w:r w:rsidRPr="009118AB">
        <w:rPr>
          <w:i/>
          <w:iCs/>
        </w:rPr>
        <w:t> </w:t>
      </w:r>
      <w:r w:rsidR="00611352" w:rsidRPr="009118AB">
        <w:rPr>
          <w:i/>
          <w:iCs/>
        </w:rPr>
        <w:t>(I)</w:t>
      </w:r>
      <w:r w:rsidRPr="009118AB">
        <w:rPr>
          <w:i/>
          <w:iCs/>
        </w:rPr>
        <w:t xml:space="preserve"> vom 27. Dezember 2006 </w:t>
      </w:r>
      <w:r w:rsidR="00477B8F" w:rsidRPr="009118AB">
        <w:rPr>
          <w:i/>
          <w:iCs/>
        </w:rPr>
        <w:t>(I</w:t>
      </w:r>
      <w:r w:rsidR="00611352" w:rsidRPr="009118AB">
        <w:rPr>
          <w:i/>
          <w:iCs/>
        </w:rPr>
        <w:t>I</w:t>
      </w:r>
      <w:r w:rsidR="00477B8F" w:rsidRPr="009118AB">
        <w:rPr>
          <w:i/>
          <w:iCs/>
        </w:rPr>
        <w:t>) (B.S. vom 28. Dezember 2006)</w:t>
      </w:r>
      <w:r w:rsidR="00D67EB8" w:rsidRPr="009118AB">
        <w:rPr>
          <w:i/>
          <w:iCs/>
        </w:rPr>
        <w:t> - </w:t>
      </w:r>
      <w:r w:rsidR="00477B8F" w:rsidRPr="009118AB">
        <w:rPr>
          <w:i/>
          <w:iCs/>
        </w:rPr>
        <w:t>anwendbar ab dem Steuerjahr</w:t>
      </w:r>
      <w:r w:rsidR="00611352" w:rsidRPr="009118AB">
        <w:rPr>
          <w:i/>
          <w:iCs/>
        </w:rPr>
        <w:t> </w:t>
      </w:r>
      <w:r w:rsidR="00477B8F" w:rsidRPr="009118AB">
        <w:rPr>
          <w:i/>
          <w:iCs/>
        </w:rPr>
        <w:t>2008</w:t>
      </w:r>
      <w:r w:rsidR="00D67EB8" w:rsidRPr="009118AB">
        <w:rPr>
          <w:i/>
          <w:iCs/>
        </w:rPr>
        <w:t> - </w:t>
      </w:r>
      <w:r w:rsidR="006B11EA" w:rsidRPr="009118AB">
        <w:rPr>
          <w:i/>
          <w:iCs/>
        </w:rPr>
        <w:t>und a</w:t>
      </w:r>
      <w:r w:rsidRPr="009118AB">
        <w:rPr>
          <w:i/>
          <w:iCs/>
        </w:rPr>
        <w:t xml:space="preserve">bgeändert durch </w:t>
      </w:r>
      <w:r w:rsidR="00D67EB8" w:rsidRPr="009118AB">
        <w:rPr>
          <w:i/>
          <w:iCs/>
        </w:rPr>
        <w:t>Art. </w:t>
      </w:r>
      <w:r w:rsidRPr="009118AB">
        <w:rPr>
          <w:i/>
          <w:iCs/>
        </w:rPr>
        <w:t>121 des G. </w:t>
      </w:r>
      <w:r w:rsidR="00E40280" w:rsidRPr="009118AB">
        <w:rPr>
          <w:i/>
          <w:iCs/>
        </w:rPr>
        <w:t xml:space="preserve">(I) </w:t>
      </w:r>
      <w:r w:rsidRPr="009118AB">
        <w:rPr>
          <w:i/>
          <w:iCs/>
        </w:rPr>
        <w:t xml:space="preserve">vom 22. Dezember 2008 (II) (B.S </w:t>
      </w:r>
      <w:r w:rsidR="006B11EA" w:rsidRPr="009118AB">
        <w:rPr>
          <w:i/>
          <w:iCs/>
        </w:rPr>
        <w:t>vom 29. Dezember 2008)</w:t>
      </w:r>
      <w:r w:rsidR="00D67EB8" w:rsidRPr="009118AB">
        <w:rPr>
          <w:i/>
          <w:iCs/>
        </w:rPr>
        <w:t> - </w:t>
      </w:r>
      <w:r w:rsidR="006B11EA" w:rsidRPr="009118AB">
        <w:rPr>
          <w:i/>
          <w:iCs/>
        </w:rPr>
        <w:t>anwendbar ab dem Steuerjahr 2009</w:t>
      </w:r>
      <w:r w:rsidR="00FD68E8" w:rsidRPr="009118AB">
        <w:rPr>
          <w:i/>
          <w:iCs/>
        </w:rPr>
        <w:t> -]</w:t>
      </w:r>
    </w:p>
    <w:p w14:paraId="60A41886" w14:textId="77777777" w:rsidR="00477B8F" w:rsidRPr="009118AB" w:rsidRDefault="00477B8F" w:rsidP="00477B8F">
      <w:pPr>
        <w:autoSpaceDE w:val="0"/>
        <w:autoSpaceDN w:val="0"/>
        <w:adjustRightInd w:val="0"/>
        <w:jc w:val="both"/>
      </w:pPr>
    </w:p>
    <w:p w14:paraId="124DBFFF" w14:textId="77777777" w:rsidR="00477B8F" w:rsidRPr="009118AB" w:rsidRDefault="00477B8F" w:rsidP="00477B8F">
      <w:pPr>
        <w:autoSpaceDE w:val="0"/>
        <w:autoSpaceDN w:val="0"/>
        <w:adjustRightInd w:val="0"/>
        <w:jc w:val="both"/>
      </w:pPr>
    </w:p>
    <w:p w14:paraId="4BCB6204" w14:textId="328A7A1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139</w:t>
      </w:r>
      <w:r w:rsidR="00D67EB8" w:rsidRPr="009118AB">
        <w:t> - </w:t>
      </w:r>
      <w:r w:rsidRPr="009118AB">
        <w:t xml:space="preserve">Verstirbt eine in Artikel 136 </w:t>
      </w:r>
      <w:r w:rsidR="00D67EB8" w:rsidRPr="009118AB">
        <w:t>Nr. </w:t>
      </w:r>
      <w:r w:rsidRPr="009118AB">
        <w:t>2 bis 4 erwähnte Person im Besteuerungszeitraum, gilt sie als Mitglied des Haushalts des Steuerpflichtigen am 1. Januar des Steuerjahres unter der Bedingung, dass sie bereits für das vorhergehende Steuerjahr zu seinen Lasten war.</w:t>
      </w:r>
    </w:p>
    <w:p w14:paraId="547C1F20" w14:textId="77777777" w:rsidR="009C58FC" w:rsidRPr="009118AB" w:rsidRDefault="009C58FC" w:rsidP="00477B8F">
      <w:pPr>
        <w:autoSpaceDE w:val="0"/>
        <w:autoSpaceDN w:val="0"/>
        <w:adjustRightInd w:val="0"/>
        <w:jc w:val="both"/>
      </w:pPr>
    </w:p>
    <w:p w14:paraId="38C2E924" w14:textId="77777777" w:rsidR="009C58FC" w:rsidRPr="009118AB" w:rsidRDefault="009C58FC" w:rsidP="00477B8F">
      <w:pPr>
        <w:autoSpaceDE w:val="0"/>
        <w:autoSpaceDN w:val="0"/>
        <w:adjustRightInd w:val="0"/>
        <w:jc w:val="both"/>
      </w:pPr>
    </w:p>
    <w:p w14:paraId="2876CDBD" w14:textId="5329843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140</w:t>
      </w:r>
      <w:r w:rsidR="00D67EB8" w:rsidRPr="009118AB">
        <w:t> - </w:t>
      </w:r>
      <w:r w:rsidRPr="009118AB">
        <w:t xml:space="preserve">Sind mehrere getrennt steuerpflichtige Steuerpflichtige Mitglieder desselben Haushalts, gelten die in Artikel 136 erwähnten Personen, die ebenfalls Mitglied dieses Haushalts sind, als zu Lasten des Steuerpflichtigen, der tatsächlich Haushaltsvorstand ist. </w:t>
      </w:r>
    </w:p>
    <w:p w14:paraId="70BFA652" w14:textId="77777777" w:rsidR="00477B8F" w:rsidRPr="009118AB" w:rsidRDefault="00477B8F" w:rsidP="00477B8F">
      <w:pPr>
        <w:autoSpaceDE w:val="0"/>
        <w:autoSpaceDN w:val="0"/>
        <w:adjustRightInd w:val="0"/>
        <w:jc w:val="both"/>
      </w:pPr>
    </w:p>
    <w:p w14:paraId="035C8FC1" w14:textId="388C2948" w:rsidR="00477B8F" w:rsidRPr="009118AB" w:rsidRDefault="00477B8F" w:rsidP="00477B8F">
      <w:pPr>
        <w:autoSpaceDE w:val="0"/>
        <w:autoSpaceDN w:val="0"/>
        <w:adjustRightInd w:val="0"/>
        <w:jc w:val="both"/>
      </w:pPr>
      <w:r w:rsidRPr="009118AB">
        <w:tab/>
      </w:r>
      <w:r w:rsidR="00E77E60">
        <w:t>[...]</w:t>
      </w:r>
    </w:p>
    <w:p w14:paraId="11038B40" w14:textId="77777777" w:rsidR="00477B8F" w:rsidRPr="009118AB" w:rsidRDefault="00477B8F" w:rsidP="00477B8F">
      <w:pPr>
        <w:autoSpaceDE w:val="0"/>
        <w:autoSpaceDN w:val="0"/>
        <w:adjustRightInd w:val="0"/>
        <w:jc w:val="both"/>
      </w:pPr>
    </w:p>
    <w:p w14:paraId="5001C933" w14:textId="7607277B"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140 </w:t>
      </w:r>
      <w:r w:rsidR="00E77E60">
        <w:rPr>
          <w:i/>
          <w:iCs/>
        </w:rPr>
        <w:t xml:space="preserve">früherer </w:t>
      </w:r>
      <w:r w:rsidR="00D67EB8" w:rsidRPr="009118AB">
        <w:rPr>
          <w:i/>
          <w:iCs/>
        </w:rPr>
        <w:t>Ab</w:t>
      </w:r>
      <w:r w:rsidR="00E77E60">
        <w:rPr>
          <w:i/>
          <w:iCs/>
        </w:rPr>
        <w:t>satz</w:t>
      </w:r>
      <w:r w:rsidR="00D67EB8" w:rsidRPr="009118AB">
        <w:rPr>
          <w:i/>
          <w:iCs/>
        </w:rPr>
        <w:t> </w:t>
      </w:r>
      <w:r w:rsidRPr="009118AB">
        <w:rPr>
          <w:i/>
          <w:iCs/>
        </w:rPr>
        <w:t xml:space="preserve">2 </w:t>
      </w:r>
      <w:r w:rsidR="00E77E60">
        <w:rPr>
          <w:i/>
          <w:iCs/>
        </w:rPr>
        <w:t>aufgehoben durch Art. 23 des G. vom 22. Dezember 2023</w:t>
      </w:r>
      <w:r w:rsidR="00552005" w:rsidRPr="00552005">
        <w:rPr>
          <w:i/>
          <w:iCs/>
        </w:rPr>
        <w:t> (I)</w:t>
      </w:r>
      <w:r w:rsidR="00E77E60">
        <w:rPr>
          <w:i/>
          <w:iCs/>
        </w:rPr>
        <w:t xml:space="preserve"> (B.S. vom 29. Dezember 2023) - </w:t>
      </w:r>
      <w:r w:rsidR="00712CA5">
        <w:rPr>
          <w:i/>
          <w:iCs/>
        </w:rPr>
        <w:t>in Kraft am 31. Dezember 2023 und anwendbar ab dem Steuerjahr 2024</w:t>
      </w:r>
      <w:r w:rsidR="00E77E60">
        <w:rPr>
          <w:i/>
          <w:iCs/>
        </w:rPr>
        <w:t> -</w:t>
      </w:r>
      <w:r w:rsidR="00FD68E8" w:rsidRPr="009118AB">
        <w:rPr>
          <w:i/>
          <w:iCs/>
        </w:rPr>
        <w:t>]</w:t>
      </w:r>
    </w:p>
    <w:p w14:paraId="6F909725" w14:textId="77777777" w:rsidR="00477B8F" w:rsidRPr="009118AB" w:rsidRDefault="00477B8F" w:rsidP="00477B8F">
      <w:pPr>
        <w:autoSpaceDE w:val="0"/>
        <w:autoSpaceDN w:val="0"/>
        <w:adjustRightInd w:val="0"/>
        <w:jc w:val="both"/>
      </w:pPr>
    </w:p>
    <w:p w14:paraId="19035CAE" w14:textId="77777777" w:rsidR="00477B8F" w:rsidRPr="009118AB" w:rsidRDefault="00477B8F" w:rsidP="00477B8F">
      <w:pPr>
        <w:autoSpaceDE w:val="0"/>
        <w:autoSpaceDN w:val="0"/>
        <w:adjustRightInd w:val="0"/>
        <w:jc w:val="both"/>
      </w:pPr>
    </w:p>
    <w:p w14:paraId="31074AF7" w14:textId="5132B76A" w:rsidR="00477B8F" w:rsidRDefault="00477B8F" w:rsidP="00477B8F">
      <w:pPr>
        <w:autoSpaceDE w:val="0"/>
        <w:autoSpaceDN w:val="0"/>
        <w:adjustRightInd w:val="0"/>
        <w:jc w:val="both"/>
      </w:pPr>
      <w:r w:rsidRPr="009118AB">
        <w:tab/>
      </w:r>
      <w:r w:rsidR="00D67EB8" w:rsidRPr="009118AB">
        <w:rPr>
          <w:b/>
          <w:bCs/>
        </w:rPr>
        <w:t>Art. </w:t>
      </w:r>
      <w:r w:rsidRPr="009118AB">
        <w:rPr>
          <w:b/>
          <w:bCs/>
        </w:rPr>
        <w:t>141</w:t>
      </w:r>
      <w:r w:rsidR="00D67EB8" w:rsidRPr="009118AB">
        <w:t> - </w:t>
      </w:r>
      <w:r w:rsidRPr="009118AB">
        <w:t>[</w:t>
      </w:r>
      <w:r w:rsidR="00E77E60">
        <w:t>[</w:t>
      </w:r>
      <w:r w:rsidR="00E77E60" w:rsidRPr="004A76D6">
        <w:t>Der in Artikel 136 erwähnte Betrag von 1.800 EUR wird</w:t>
      </w:r>
      <w:r w:rsidR="00E77E60">
        <w:t>]</w:t>
      </w:r>
      <w:r w:rsidRPr="009118AB">
        <w:t xml:space="preserve"> 2.600 EUR erhöht für Kinder, die zu Lasten eines einzeln veranlagten Steuerpflichtigen sind, und auf [3.300 EUR] für Kinder, die zu Lasten eines solchen Steuerpflichtigen sind und als behindert gelten.]</w:t>
      </w:r>
    </w:p>
    <w:p w14:paraId="3C452B68" w14:textId="77777777" w:rsidR="00E77E60" w:rsidRDefault="00E77E60" w:rsidP="00477B8F">
      <w:pPr>
        <w:autoSpaceDE w:val="0"/>
        <w:autoSpaceDN w:val="0"/>
        <w:adjustRightInd w:val="0"/>
        <w:jc w:val="both"/>
      </w:pPr>
    </w:p>
    <w:p w14:paraId="219F825D" w14:textId="18DD6FCD" w:rsidR="00E77E60" w:rsidRPr="009118AB" w:rsidRDefault="00E77E60" w:rsidP="00477B8F">
      <w:pPr>
        <w:autoSpaceDE w:val="0"/>
        <w:autoSpaceDN w:val="0"/>
        <w:adjustRightInd w:val="0"/>
        <w:jc w:val="both"/>
      </w:pPr>
      <w:r>
        <w:tab/>
        <w:t>[</w:t>
      </w:r>
      <w:r w:rsidRPr="004A76D6">
        <w:t>In Abweichung von Absatz 1 wird für die Steuerjahre 2024 und 2025 der in Artikel 136 erwähnte Betrag von 1.800 EUR für Kinder zu Lasten auf 3.300 EUR erhöht.</w:t>
      </w:r>
      <w:r>
        <w:t>]</w:t>
      </w:r>
    </w:p>
    <w:p w14:paraId="7FD3B1B4" w14:textId="77777777" w:rsidR="00477B8F" w:rsidRPr="009118AB" w:rsidRDefault="00477B8F" w:rsidP="00477B8F">
      <w:pPr>
        <w:autoSpaceDE w:val="0"/>
        <w:autoSpaceDN w:val="0"/>
        <w:adjustRightInd w:val="0"/>
        <w:jc w:val="both"/>
      </w:pPr>
    </w:p>
    <w:p w14:paraId="77554DA2" w14:textId="3EA6C1F4" w:rsidR="00477B8F"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141 </w:t>
      </w:r>
      <w:r w:rsidR="00E77E60">
        <w:rPr>
          <w:i/>
          <w:iCs/>
        </w:rPr>
        <w:t xml:space="preserve">Abs. 1 (früherer einziger Absatz) </w:t>
      </w:r>
      <w:r w:rsidRPr="009118AB">
        <w:rPr>
          <w:i/>
          <w:iCs/>
        </w:rPr>
        <w:t xml:space="preserve">ersetzt durch </w:t>
      </w:r>
      <w:r w:rsidR="00D67EB8" w:rsidRPr="009118AB">
        <w:rPr>
          <w:i/>
          <w:iCs/>
        </w:rPr>
        <w:t>Art. </w:t>
      </w:r>
      <w:r w:rsidRPr="009118AB">
        <w:rPr>
          <w:i/>
          <w:iCs/>
        </w:rPr>
        <w:t>28 des G. vom 10. August 2001 (B.S. vom 20. September 2001)</w:t>
      </w:r>
      <w:r w:rsidR="00D67EB8" w:rsidRPr="009118AB">
        <w:rPr>
          <w:i/>
          <w:iCs/>
        </w:rPr>
        <w:t> - </w:t>
      </w:r>
      <w:r w:rsidRPr="009118AB">
        <w:rPr>
          <w:i/>
          <w:iCs/>
        </w:rPr>
        <w:t>in Kraft ab dem Steuerjahr 2002</w:t>
      </w:r>
      <w:r w:rsidR="00D67EB8" w:rsidRPr="009118AB">
        <w:rPr>
          <w:i/>
          <w:iCs/>
        </w:rPr>
        <w:t> - </w:t>
      </w:r>
      <w:r w:rsidRPr="009118AB">
        <w:rPr>
          <w:i/>
          <w:iCs/>
        </w:rPr>
        <w:t xml:space="preserve">und abgeändert durch </w:t>
      </w:r>
      <w:r w:rsidR="00D67EB8" w:rsidRPr="009118AB">
        <w:rPr>
          <w:i/>
          <w:iCs/>
        </w:rPr>
        <w:t>Art. </w:t>
      </w:r>
      <w:r w:rsidRPr="009118AB">
        <w:rPr>
          <w:i/>
          <w:iCs/>
        </w:rPr>
        <w:t>5 des G. vom 21. Juni 2002 (B.S. vom 20. Juli 2002)</w:t>
      </w:r>
      <w:r w:rsidR="00D67EB8" w:rsidRPr="009118AB">
        <w:rPr>
          <w:i/>
          <w:iCs/>
        </w:rPr>
        <w:t> - </w:t>
      </w:r>
      <w:r w:rsidRPr="009118AB">
        <w:rPr>
          <w:i/>
          <w:iCs/>
        </w:rPr>
        <w:t>in Kraft ab dem Steuerjahr 2003</w:t>
      </w:r>
      <w:r w:rsidR="00FD68E8" w:rsidRPr="009118AB">
        <w:rPr>
          <w:i/>
          <w:iCs/>
        </w:rPr>
        <w:t> -</w:t>
      </w:r>
      <w:r w:rsidR="00E77E60">
        <w:rPr>
          <w:i/>
          <w:iCs/>
        </w:rPr>
        <w:t xml:space="preserve"> und Art. 24 Nr. 1</w:t>
      </w:r>
      <w:r w:rsidR="00E77E60" w:rsidRPr="00E77E60">
        <w:rPr>
          <w:i/>
          <w:iCs/>
        </w:rPr>
        <w:t xml:space="preserve"> des G. vom 22. Dezember 2023</w:t>
      </w:r>
      <w:r w:rsidR="00552005" w:rsidRPr="00552005">
        <w:rPr>
          <w:i/>
          <w:iCs/>
        </w:rPr>
        <w:t> (I)</w:t>
      </w:r>
      <w:r w:rsidR="00E77E60" w:rsidRPr="00E77E60">
        <w:rPr>
          <w:i/>
          <w:iCs/>
        </w:rPr>
        <w:t xml:space="preserve"> (B.S. vom 29. Dezember 2023) - </w:t>
      </w:r>
      <w:r w:rsidR="00712CA5">
        <w:rPr>
          <w:i/>
          <w:iCs/>
        </w:rPr>
        <w:t>in Kraft am 31. Dezember 2023 und anwendbar ab dem Steuerjahr 2024</w:t>
      </w:r>
      <w:r w:rsidR="00E77E60" w:rsidRPr="00E77E60">
        <w:rPr>
          <w:i/>
          <w:iCs/>
        </w:rPr>
        <w:t> -</w:t>
      </w:r>
      <w:r w:rsidR="00E77E60">
        <w:rPr>
          <w:i/>
          <w:iCs/>
        </w:rPr>
        <w:t>; Abs. 2 eingefügt durch Art. 24 Nr. 2</w:t>
      </w:r>
      <w:r w:rsidR="00E77E60" w:rsidRPr="00E77E60">
        <w:rPr>
          <w:i/>
          <w:iCs/>
        </w:rPr>
        <w:t xml:space="preserve"> des G. vom 22. Dezember 2023</w:t>
      </w:r>
      <w:r w:rsidR="00552005" w:rsidRPr="00552005">
        <w:rPr>
          <w:i/>
          <w:iCs/>
        </w:rPr>
        <w:t> (I)</w:t>
      </w:r>
      <w:r w:rsidR="00E77E60" w:rsidRPr="00E77E60">
        <w:rPr>
          <w:i/>
          <w:iCs/>
        </w:rPr>
        <w:t xml:space="preserve"> (B.S. vom 29. Dezember 2023) - in Kraft am 31. Dezember 2023 und anwendbar a</w:t>
      </w:r>
      <w:r w:rsidR="006166BA">
        <w:rPr>
          <w:i/>
          <w:iCs/>
        </w:rPr>
        <w:t>b</w:t>
      </w:r>
      <w:r w:rsidR="00E77E60" w:rsidRPr="00E77E60">
        <w:rPr>
          <w:i/>
          <w:iCs/>
        </w:rPr>
        <w:t xml:space="preserve"> dem Steuerjahr 2024 -</w:t>
      </w:r>
      <w:r w:rsidR="00FD68E8" w:rsidRPr="009118AB">
        <w:rPr>
          <w:i/>
          <w:iCs/>
        </w:rPr>
        <w:t>]</w:t>
      </w:r>
    </w:p>
    <w:p w14:paraId="4264DFDD" w14:textId="77777777" w:rsidR="00E77E60" w:rsidRDefault="00E77E60" w:rsidP="00477B8F">
      <w:pPr>
        <w:autoSpaceDE w:val="0"/>
        <w:autoSpaceDN w:val="0"/>
        <w:adjustRightInd w:val="0"/>
        <w:jc w:val="both"/>
      </w:pPr>
    </w:p>
    <w:p w14:paraId="49E35B5B" w14:textId="77777777" w:rsidR="00E77E60" w:rsidRDefault="00E77E60" w:rsidP="00477B8F">
      <w:pPr>
        <w:autoSpaceDE w:val="0"/>
        <w:autoSpaceDN w:val="0"/>
        <w:adjustRightInd w:val="0"/>
        <w:jc w:val="both"/>
      </w:pPr>
    </w:p>
    <w:p w14:paraId="246C2DCA" w14:textId="56FB192A" w:rsidR="00E77E60" w:rsidRDefault="00E77E60" w:rsidP="00477B8F">
      <w:pPr>
        <w:autoSpaceDE w:val="0"/>
        <w:autoSpaceDN w:val="0"/>
        <w:adjustRightInd w:val="0"/>
        <w:jc w:val="both"/>
        <w:rPr>
          <w:sz w:val="20"/>
          <w:szCs w:val="20"/>
        </w:rPr>
      </w:pPr>
      <w:r>
        <w:rPr>
          <w:sz w:val="20"/>
          <w:szCs w:val="20"/>
        </w:rPr>
        <w:t>Ab dem Steuerjahr 2026 (gemäß Art. 27 Abs. 2 des G. vom 22. Dezember 2023</w:t>
      </w:r>
      <w:r w:rsidR="00552005" w:rsidRPr="00552005">
        <w:rPr>
          <w:i/>
          <w:iCs/>
          <w:sz w:val="20"/>
          <w:szCs w:val="20"/>
        </w:rPr>
        <w:t> (I)</w:t>
      </w:r>
      <w:r>
        <w:rPr>
          <w:sz w:val="20"/>
          <w:szCs w:val="20"/>
        </w:rPr>
        <w:t xml:space="preserve"> (B.S. vom 29. Dezember 2023)) lautet Art. 141 wie folgt:</w:t>
      </w:r>
    </w:p>
    <w:p w14:paraId="2A3B0337" w14:textId="77777777" w:rsidR="00E77E60" w:rsidRDefault="00E77E60" w:rsidP="00477B8F">
      <w:pPr>
        <w:autoSpaceDE w:val="0"/>
        <w:autoSpaceDN w:val="0"/>
        <w:adjustRightInd w:val="0"/>
        <w:jc w:val="both"/>
        <w:rPr>
          <w:sz w:val="20"/>
          <w:szCs w:val="20"/>
        </w:rPr>
      </w:pPr>
    </w:p>
    <w:p w14:paraId="560CFCE5" w14:textId="26DBCAEC" w:rsidR="00E77E60" w:rsidRPr="00E77E60" w:rsidRDefault="00E77E60" w:rsidP="00E77E60">
      <w:pPr>
        <w:autoSpaceDE w:val="0"/>
        <w:autoSpaceDN w:val="0"/>
        <w:adjustRightInd w:val="0"/>
        <w:jc w:val="both"/>
        <w:rPr>
          <w:sz w:val="20"/>
          <w:szCs w:val="20"/>
        </w:rPr>
      </w:pPr>
      <w:r>
        <w:rPr>
          <w:sz w:val="20"/>
          <w:szCs w:val="20"/>
        </w:rPr>
        <w:t>"</w:t>
      </w:r>
      <w:r w:rsidRPr="00E77E60">
        <w:rPr>
          <w:sz w:val="20"/>
          <w:szCs w:val="20"/>
        </w:rPr>
        <w:t>Art. 141 - [[Der in Artikel 136 erwähnte Betrag von 1.800 EUR wird] 2.600 EUR erhöht für Kinder, die zu Lasten eines einzeln veranlagten Steuerpflichtigen sind, und auf [3.300 EUR] für Kinder, die zu Lasten eines solchen Steuerpflichtigen sind und als behindert gelten.]</w:t>
      </w:r>
    </w:p>
    <w:p w14:paraId="4B4EB72E" w14:textId="77777777" w:rsidR="00E77E60" w:rsidRPr="00E77E60" w:rsidRDefault="00E77E60" w:rsidP="00E77E60">
      <w:pPr>
        <w:autoSpaceDE w:val="0"/>
        <w:autoSpaceDN w:val="0"/>
        <w:adjustRightInd w:val="0"/>
        <w:jc w:val="both"/>
        <w:rPr>
          <w:sz w:val="20"/>
          <w:szCs w:val="20"/>
        </w:rPr>
      </w:pPr>
    </w:p>
    <w:p w14:paraId="25D63F52" w14:textId="1C08E7EF" w:rsidR="00E77E60" w:rsidRPr="00E77E60" w:rsidRDefault="00E77E60" w:rsidP="00E77E60">
      <w:pPr>
        <w:autoSpaceDE w:val="0"/>
        <w:autoSpaceDN w:val="0"/>
        <w:adjustRightInd w:val="0"/>
        <w:jc w:val="both"/>
        <w:rPr>
          <w:sz w:val="20"/>
          <w:szCs w:val="20"/>
        </w:rPr>
      </w:pPr>
      <w:r w:rsidRPr="00E77E60">
        <w:rPr>
          <w:sz w:val="20"/>
          <w:szCs w:val="20"/>
        </w:rPr>
        <w:t>[</w:t>
      </w:r>
      <w:r>
        <w:rPr>
          <w:sz w:val="20"/>
          <w:szCs w:val="20"/>
        </w:rPr>
        <w:t>..</w:t>
      </w:r>
      <w:r w:rsidRPr="00E77E60">
        <w:rPr>
          <w:sz w:val="20"/>
          <w:szCs w:val="20"/>
        </w:rPr>
        <w:t>.]</w:t>
      </w:r>
    </w:p>
    <w:p w14:paraId="2747FDF0" w14:textId="77777777" w:rsidR="00E77E60" w:rsidRPr="00E77E60" w:rsidRDefault="00E77E60" w:rsidP="00E77E60">
      <w:pPr>
        <w:autoSpaceDE w:val="0"/>
        <w:autoSpaceDN w:val="0"/>
        <w:adjustRightInd w:val="0"/>
        <w:jc w:val="both"/>
        <w:rPr>
          <w:sz w:val="20"/>
          <w:szCs w:val="20"/>
        </w:rPr>
      </w:pPr>
    </w:p>
    <w:p w14:paraId="07D4F699" w14:textId="64CAAD1A" w:rsidR="00E77E60" w:rsidRPr="00E77E60" w:rsidRDefault="00E77E60" w:rsidP="00477B8F">
      <w:pPr>
        <w:autoSpaceDE w:val="0"/>
        <w:autoSpaceDN w:val="0"/>
        <w:adjustRightInd w:val="0"/>
        <w:jc w:val="both"/>
        <w:rPr>
          <w:i/>
          <w:iCs/>
          <w:sz w:val="20"/>
          <w:szCs w:val="20"/>
        </w:rPr>
      </w:pPr>
      <w:r w:rsidRPr="00E77E60">
        <w:rPr>
          <w:i/>
          <w:iCs/>
          <w:sz w:val="20"/>
          <w:szCs w:val="20"/>
        </w:rPr>
        <w:t>[Art. 141 ersetzt durch Art. 28 des G. vom 10. August 2001 (B.S. vom 20. September 2001) - in Kraft ab dem Steuerjahr 2002 - und abgeändert durch Art. 5 des G. vom 21. Juni 2002 (B.S. vom 20. Juli 2002) - in Kraft ab dem Steuerjahr 2003 - und Art. 24 Nr. 1 des G. vom 22. Dezember 2023</w:t>
      </w:r>
      <w:r w:rsidR="00552005" w:rsidRPr="00552005">
        <w:rPr>
          <w:i/>
          <w:iCs/>
          <w:sz w:val="20"/>
          <w:szCs w:val="20"/>
        </w:rPr>
        <w:t> (I)</w:t>
      </w:r>
      <w:r w:rsidRPr="00E77E60">
        <w:rPr>
          <w:i/>
          <w:iCs/>
          <w:sz w:val="20"/>
          <w:szCs w:val="20"/>
        </w:rPr>
        <w:t xml:space="preserve"> (B.S. vom 29. Dezember 2023) - </w:t>
      </w:r>
      <w:r w:rsidR="00712CA5">
        <w:rPr>
          <w:i/>
          <w:iCs/>
          <w:sz w:val="20"/>
          <w:szCs w:val="20"/>
        </w:rPr>
        <w:t>in Kraft am 31. Dezember 2023 und anwendbar ab dem Steuerjahr 2024</w:t>
      </w:r>
      <w:r w:rsidRPr="00E77E60">
        <w:rPr>
          <w:i/>
          <w:iCs/>
          <w:sz w:val="20"/>
          <w:szCs w:val="20"/>
        </w:rPr>
        <w:t xml:space="preserve"> -; </w:t>
      </w:r>
      <w:r w:rsidR="00042D61">
        <w:rPr>
          <w:i/>
          <w:iCs/>
          <w:sz w:val="20"/>
          <w:szCs w:val="20"/>
        </w:rPr>
        <w:t xml:space="preserve">früherer </w:t>
      </w:r>
      <w:r w:rsidRPr="00E77E60">
        <w:rPr>
          <w:i/>
          <w:iCs/>
          <w:sz w:val="20"/>
          <w:szCs w:val="20"/>
        </w:rPr>
        <w:t>Abs</w:t>
      </w:r>
      <w:r w:rsidR="00042D61">
        <w:rPr>
          <w:i/>
          <w:iCs/>
          <w:sz w:val="20"/>
          <w:szCs w:val="20"/>
        </w:rPr>
        <w:t>atz</w:t>
      </w:r>
      <w:r w:rsidRPr="00E77E60">
        <w:rPr>
          <w:i/>
          <w:iCs/>
          <w:sz w:val="20"/>
          <w:szCs w:val="20"/>
        </w:rPr>
        <w:t> 2 eingefügt durch Art. 24 Nr. 2 des G. vom 22. Dezember 2023</w:t>
      </w:r>
      <w:r w:rsidR="00552005" w:rsidRPr="00552005">
        <w:rPr>
          <w:i/>
          <w:iCs/>
          <w:sz w:val="20"/>
          <w:szCs w:val="20"/>
        </w:rPr>
        <w:t> (I)</w:t>
      </w:r>
      <w:r w:rsidRPr="00E77E60">
        <w:rPr>
          <w:i/>
          <w:iCs/>
          <w:sz w:val="20"/>
          <w:szCs w:val="20"/>
        </w:rPr>
        <w:t xml:space="preserve"> (B.S. vom 29. Dezember 2023) - in Kraft am 31. Dezember 2023 und </w:t>
      </w:r>
      <w:r w:rsidRPr="00E77E60">
        <w:rPr>
          <w:i/>
          <w:iCs/>
          <w:sz w:val="20"/>
          <w:szCs w:val="20"/>
        </w:rPr>
        <w:lastRenderedPageBreak/>
        <w:t>anwendbar a</w:t>
      </w:r>
      <w:r w:rsidR="006166BA">
        <w:rPr>
          <w:i/>
          <w:iCs/>
          <w:sz w:val="20"/>
          <w:szCs w:val="20"/>
        </w:rPr>
        <w:t>b</w:t>
      </w:r>
      <w:r w:rsidRPr="00E77E60">
        <w:rPr>
          <w:i/>
          <w:iCs/>
          <w:sz w:val="20"/>
          <w:szCs w:val="20"/>
        </w:rPr>
        <w:t xml:space="preserve"> dem Steuerjahr 2024 -</w:t>
      </w:r>
      <w:r>
        <w:rPr>
          <w:i/>
          <w:iCs/>
          <w:sz w:val="20"/>
          <w:szCs w:val="20"/>
        </w:rPr>
        <w:t xml:space="preserve"> und aufgehoben durch Art. 24 Nr. 3</w:t>
      </w:r>
      <w:r w:rsidRPr="00E77E60">
        <w:rPr>
          <w:i/>
          <w:iCs/>
          <w:sz w:val="20"/>
          <w:szCs w:val="20"/>
        </w:rPr>
        <w:t xml:space="preserve"> des G. vom 22. Dezember 2023</w:t>
      </w:r>
      <w:r w:rsidR="00552005" w:rsidRPr="00552005">
        <w:rPr>
          <w:i/>
          <w:iCs/>
          <w:sz w:val="20"/>
          <w:szCs w:val="20"/>
        </w:rPr>
        <w:t> (I)</w:t>
      </w:r>
      <w:r w:rsidRPr="00E77E60">
        <w:rPr>
          <w:i/>
          <w:iCs/>
          <w:sz w:val="20"/>
          <w:szCs w:val="20"/>
        </w:rPr>
        <w:t xml:space="preserve"> (B.S. vom 29. Dezember 2023) - anwendbar a</w:t>
      </w:r>
      <w:r>
        <w:rPr>
          <w:i/>
          <w:iCs/>
          <w:sz w:val="20"/>
          <w:szCs w:val="20"/>
        </w:rPr>
        <w:t>b</w:t>
      </w:r>
      <w:r w:rsidRPr="00E77E60">
        <w:rPr>
          <w:i/>
          <w:iCs/>
          <w:sz w:val="20"/>
          <w:szCs w:val="20"/>
        </w:rPr>
        <w:t xml:space="preserve"> dem Steuerjahr 202</w:t>
      </w:r>
      <w:r>
        <w:rPr>
          <w:i/>
          <w:iCs/>
          <w:sz w:val="20"/>
          <w:szCs w:val="20"/>
        </w:rPr>
        <w:t>6</w:t>
      </w:r>
      <w:r w:rsidRPr="00E77E60">
        <w:rPr>
          <w:i/>
          <w:iCs/>
          <w:sz w:val="20"/>
          <w:szCs w:val="20"/>
        </w:rPr>
        <w:t> -]</w:t>
      </w:r>
      <w:r w:rsidRPr="00E77E60">
        <w:rPr>
          <w:sz w:val="20"/>
          <w:szCs w:val="20"/>
        </w:rPr>
        <w:t>"</w:t>
      </w:r>
      <w:r w:rsidRPr="00E77E60">
        <w:rPr>
          <w:sz w:val="16"/>
          <w:szCs w:val="16"/>
        </w:rPr>
        <w:tab/>
      </w:r>
    </w:p>
    <w:p w14:paraId="1E903AD0" w14:textId="77777777" w:rsidR="00477B8F" w:rsidRPr="009118AB" w:rsidRDefault="00477B8F" w:rsidP="00477B8F">
      <w:pPr>
        <w:autoSpaceDE w:val="0"/>
        <w:autoSpaceDN w:val="0"/>
        <w:adjustRightInd w:val="0"/>
        <w:jc w:val="both"/>
      </w:pPr>
    </w:p>
    <w:p w14:paraId="1E2CF3E3" w14:textId="77777777" w:rsidR="00477B8F" w:rsidRPr="009118AB" w:rsidRDefault="00477B8F" w:rsidP="00477B8F">
      <w:pPr>
        <w:autoSpaceDE w:val="0"/>
        <w:autoSpaceDN w:val="0"/>
        <w:adjustRightInd w:val="0"/>
        <w:jc w:val="both"/>
      </w:pPr>
    </w:p>
    <w:p w14:paraId="3D951964" w14:textId="4E62AD2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142</w:t>
      </w:r>
      <w:r w:rsidR="00D67EB8" w:rsidRPr="009118AB">
        <w:t> - </w:t>
      </w:r>
      <w:r w:rsidRPr="009118AB">
        <w:t>Unter Nettobetrag der Existenzmittel versteht man den Bruttobetrag abzüglich der Kosten, für die der Steuerpflichtige nachweist, dass er sie während des Besteuerungszeitraums gemacht oder getragen hat, um diese Existenzmittel zu erwerben oder zu behalten.</w:t>
      </w:r>
    </w:p>
    <w:p w14:paraId="1BFBE793" w14:textId="77777777" w:rsidR="00477B8F" w:rsidRPr="009118AB" w:rsidRDefault="00477B8F" w:rsidP="00477B8F">
      <w:pPr>
        <w:autoSpaceDE w:val="0"/>
        <w:autoSpaceDN w:val="0"/>
        <w:adjustRightInd w:val="0"/>
        <w:jc w:val="both"/>
      </w:pPr>
    </w:p>
    <w:p w14:paraId="29EFA881" w14:textId="2B6A4A8D" w:rsidR="00477B8F" w:rsidRPr="009118AB" w:rsidRDefault="00477B8F" w:rsidP="00477B8F">
      <w:pPr>
        <w:autoSpaceDE w:val="0"/>
        <w:autoSpaceDN w:val="0"/>
        <w:adjustRightInd w:val="0"/>
        <w:jc w:val="both"/>
      </w:pPr>
      <w:r w:rsidRPr="009118AB">
        <w:tab/>
        <w:t>In Ermangelung von beweiskräftigen Angaben werden die abzugsfähigen Kosten auf 20 Prozent des Bruttobetrags dieser Existenzmittel festgelegt. Bestehen diese Existenzmittel aus Entlohnungen von Arbeitnehmern oder aus Profiten, belaufen die abzugsfähigen Kosten sich auf mindestens [250 EUR].</w:t>
      </w:r>
    </w:p>
    <w:p w14:paraId="6A2015E2" w14:textId="77777777" w:rsidR="00477B8F" w:rsidRPr="009118AB" w:rsidRDefault="00477B8F" w:rsidP="00477B8F">
      <w:pPr>
        <w:autoSpaceDE w:val="0"/>
        <w:autoSpaceDN w:val="0"/>
        <w:adjustRightInd w:val="0"/>
        <w:jc w:val="both"/>
      </w:pPr>
    </w:p>
    <w:p w14:paraId="6BF461B4" w14:textId="2B4DBF3B"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142 </w:t>
      </w:r>
      <w:r w:rsidR="00D67EB8" w:rsidRPr="009118AB">
        <w:rPr>
          <w:i/>
          <w:iCs/>
        </w:rPr>
        <w:t>Abs. </w:t>
      </w:r>
      <w:r w:rsidRPr="009118AB">
        <w:rPr>
          <w:i/>
          <w:iCs/>
        </w:rPr>
        <w:t xml:space="preserve">2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p>
    <w:p w14:paraId="19553818" w14:textId="77777777" w:rsidR="00477B8F" w:rsidRPr="009118AB" w:rsidRDefault="00477B8F" w:rsidP="00477B8F">
      <w:pPr>
        <w:autoSpaceDE w:val="0"/>
        <w:autoSpaceDN w:val="0"/>
        <w:adjustRightInd w:val="0"/>
        <w:jc w:val="both"/>
      </w:pPr>
    </w:p>
    <w:p w14:paraId="7555B460" w14:textId="77777777" w:rsidR="00C90B8A" w:rsidRPr="009118AB" w:rsidRDefault="00C90B8A" w:rsidP="00AD5461">
      <w:pPr>
        <w:autoSpaceDE w:val="0"/>
        <w:autoSpaceDN w:val="0"/>
        <w:adjustRightInd w:val="0"/>
        <w:jc w:val="both"/>
      </w:pPr>
    </w:p>
    <w:p w14:paraId="73F5C7E6" w14:textId="272DBDEB" w:rsidR="00AD5461" w:rsidRPr="009118AB" w:rsidRDefault="00477B8F" w:rsidP="00AD5461">
      <w:pPr>
        <w:autoSpaceDE w:val="0"/>
        <w:autoSpaceDN w:val="0"/>
        <w:adjustRightInd w:val="0"/>
        <w:jc w:val="both"/>
      </w:pPr>
      <w:r w:rsidRPr="009118AB">
        <w:tab/>
      </w:r>
      <w:r w:rsidR="00D67EB8" w:rsidRPr="009118AB">
        <w:rPr>
          <w:b/>
          <w:bCs/>
        </w:rPr>
        <w:t>Art. </w:t>
      </w:r>
      <w:r w:rsidRPr="009118AB">
        <w:rPr>
          <w:b/>
          <w:bCs/>
        </w:rPr>
        <w:t>143</w:t>
      </w:r>
      <w:r w:rsidR="00D67EB8" w:rsidRPr="009118AB">
        <w:t> - </w:t>
      </w:r>
      <w:r w:rsidR="00AD5461" w:rsidRPr="009118AB">
        <w:t>Zur Festlegung des Nettobetrags der Existenzmittel werden nicht berücksichtigt:</w:t>
      </w:r>
    </w:p>
    <w:p w14:paraId="3702BAAA" w14:textId="77777777" w:rsidR="00AD5461" w:rsidRPr="009118AB" w:rsidRDefault="00AD5461" w:rsidP="00AD5461">
      <w:pPr>
        <w:autoSpaceDE w:val="0"/>
        <w:autoSpaceDN w:val="0"/>
        <w:adjustRightInd w:val="0"/>
        <w:jc w:val="both"/>
      </w:pPr>
    </w:p>
    <w:p w14:paraId="7EBFEC30" w14:textId="77777777" w:rsidR="00AD5461" w:rsidRPr="009118AB" w:rsidRDefault="00AD5461" w:rsidP="00856ADD">
      <w:pPr>
        <w:autoSpaceDE w:val="0"/>
        <w:autoSpaceDN w:val="0"/>
        <w:adjustRightInd w:val="0"/>
        <w:ind w:firstLine="709"/>
        <w:jc w:val="both"/>
      </w:pPr>
      <w:r w:rsidRPr="009118AB">
        <w:t>1. [gesetzliche Kinderzulagen, Geburtsbeihilfen und Adoptionsprämien sowie Studienbörsen und Prämien für voreheliches Sparen,]</w:t>
      </w:r>
    </w:p>
    <w:p w14:paraId="23D4E4E0" w14:textId="77777777" w:rsidR="00AD5461" w:rsidRPr="009118AB" w:rsidRDefault="00AD5461" w:rsidP="00AD5461">
      <w:pPr>
        <w:autoSpaceDE w:val="0"/>
        <w:autoSpaceDN w:val="0"/>
        <w:adjustRightInd w:val="0"/>
        <w:jc w:val="both"/>
      </w:pPr>
    </w:p>
    <w:p w14:paraId="395D2D88" w14:textId="77777777" w:rsidR="00AD5461" w:rsidRPr="009118AB" w:rsidRDefault="00AD5461" w:rsidP="00856ADD">
      <w:pPr>
        <w:autoSpaceDE w:val="0"/>
        <w:autoSpaceDN w:val="0"/>
        <w:adjustRightInd w:val="0"/>
        <w:ind w:firstLine="709"/>
        <w:jc w:val="both"/>
      </w:pPr>
      <w:r w:rsidRPr="009118AB">
        <w:t>2. [Einkünfte, die von einem Behinderten bezogen werden, der grundsätzlich ein Anrecht auf die im Gesetz vom 27. Februar 1987 über die Beihilfen für Personen mit Behinderung erwähnten Beihilfen hat, bis zu dem Höchstbetrag, auf den diese Person in Ausführung dieses Gesetzes Anrecht haben kann,]</w:t>
      </w:r>
    </w:p>
    <w:p w14:paraId="46A8912C" w14:textId="77777777" w:rsidR="00AD5461" w:rsidRPr="009118AB" w:rsidRDefault="00AD5461" w:rsidP="00AD5461">
      <w:pPr>
        <w:autoSpaceDE w:val="0"/>
        <w:autoSpaceDN w:val="0"/>
        <w:adjustRightInd w:val="0"/>
        <w:jc w:val="both"/>
      </w:pPr>
    </w:p>
    <w:p w14:paraId="4BD62BDC" w14:textId="139BC26B" w:rsidR="00AD5461" w:rsidRPr="009118AB" w:rsidRDefault="00AD5461" w:rsidP="00856ADD">
      <w:pPr>
        <w:autoSpaceDE w:val="0"/>
        <w:autoSpaceDN w:val="0"/>
        <w:adjustRightInd w:val="0"/>
        <w:ind w:firstLine="709"/>
        <w:jc w:val="both"/>
      </w:pPr>
      <w:r w:rsidRPr="009118AB">
        <w:t xml:space="preserve">3. [in Artikel 34 erwähnte Pensionen, Renten und als solche geltende Zulagen, die von Personen erwähnt in Artikel 132 Absatz 1 </w:t>
      </w:r>
      <w:r w:rsidR="00D67EB8" w:rsidRPr="009118AB">
        <w:t>Nr. </w:t>
      </w:r>
      <w:r w:rsidRPr="009118AB">
        <w:t>7 bezogen werden, bis zu 14.500 EUR pro Jahr,]</w:t>
      </w:r>
    </w:p>
    <w:p w14:paraId="725D7FD2" w14:textId="77777777" w:rsidR="00AD5461" w:rsidRPr="009118AB" w:rsidRDefault="00AD5461" w:rsidP="00AD5461">
      <w:pPr>
        <w:autoSpaceDE w:val="0"/>
        <w:autoSpaceDN w:val="0"/>
        <w:adjustRightInd w:val="0"/>
        <w:jc w:val="both"/>
      </w:pPr>
    </w:p>
    <w:p w14:paraId="07FD8085" w14:textId="77777777" w:rsidR="00AD5461" w:rsidRPr="009118AB" w:rsidRDefault="00AD5461" w:rsidP="00856ADD">
      <w:pPr>
        <w:autoSpaceDE w:val="0"/>
        <w:autoSpaceDN w:val="0"/>
        <w:adjustRightInd w:val="0"/>
        <w:ind w:firstLine="709"/>
        <w:jc w:val="both"/>
      </w:pPr>
      <w:r w:rsidRPr="009118AB">
        <w:t>4. Entlohnungen, die in Artikel 135 erwähnte Behinderte aufgrund ihrer Beschäftigung in einer anerkannten beschützten Werkstätte beziehen,</w:t>
      </w:r>
    </w:p>
    <w:p w14:paraId="23383114" w14:textId="77777777" w:rsidR="00AD5461" w:rsidRPr="009118AB" w:rsidRDefault="00AD5461" w:rsidP="00AD5461">
      <w:pPr>
        <w:autoSpaceDE w:val="0"/>
        <w:autoSpaceDN w:val="0"/>
        <w:adjustRightInd w:val="0"/>
        <w:jc w:val="both"/>
      </w:pPr>
    </w:p>
    <w:p w14:paraId="3DBFA009" w14:textId="77777777" w:rsidR="00AD5461" w:rsidRPr="009118AB" w:rsidRDefault="00AD5461" w:rsidP="00856ADD">
      <w:pPr>
        <w:autoSpaceDE w:val="0"/>
        <w:autoSpaceDN w:val="0"/>
        <w:adjustRightInd w:val="0"/>
        <w:ind w:firstLine="709"/>
        <w:jc w:val="both"/>
      </w:pPr>
      <w:r w:rsidRPr="009118AB">
        <w:t>5. Unterhaltsleistungen oder ergänzende Unterhaltsleistungen, die dem Steuerpflichtigen nach dem Besteuerungszeitraum, auf den sie sich beziehen, in Ausführung einer gerichtlichen Entscheidung gezahlt werden, mit der deren Betrag rückwirkend festgelegt oder erhöht worden ist,</w:t>
      </w:r>
    </w:p>
    <w:p w14:paraId="4B2EFB18" w14:textId="77777777" w:rsidR="002957CC" w:rsidRPr="009118AB" w:rsidRDefault="002957CC" w:rsidP="00856ADD">
      <w:pPr>
        <w:autoSpaceDE w:val="0"/>
        <w:autoSpaceDN w:val="0"/>
        <w:adjustRightInd w:val="0"/>
        <w:ind w:firstLine="709"/>
        <w:jc w:val="both"/>
      </w:pPr>
    </w:p>
    <w:p w14:paraId="5C48477C" w14:textId="6D4DF23C" w:rsidR="002957CC" w:rsidRPr="009118AB" w:rsidRDefault="002957CC" w:rsidP="00856ADD">
      <w:pPr>
        <w:autoSpaceDE w:val="0"/>
        <w:autoSpaceDN w:val="0"/>
        <w:adjustRightInd w:val="0"/>
        <w:ind w:firstLine="709"/>
        <w:jc w:val="both"/>
      </w:pPr>
      <w:r w:rsidRPr="009118AB">
        <w:t>[5/1. im öffentlichen Sektor zugunsten von Waisen gewährte Hinterbliebenenpensionen und Waisenrenten, die durch Verschulden einer öffentlichen Behörde oder aufgrund des Vorhandenseins einer Streitsache erst nach Ablauf des Besteuerungszeitraums, auf den sie sich tatsächlich beziehen, gezahlt oder zuerkannt werden,]</w:t>
      </w:r>
    </w:p>
    <w:p w14:paraId="7B6B55F4" w14:textId="77777777" w:rsidR="00AD5461" w:rsidRPr="009118AB" w:rsidRDefault="00AD5461" w:rsidP="00AD5461">
      <w:pPr>
        <w:autoSpaceDE w:val="0"/>
        <w:autoSpaceDN w:val="0"/>
        <w:adjustRightInd w:val="0"/>
        <w:jc w:val="both"/>
      </w:pPr>
    </w:p>
    <w:p w14:paraId="5CADDDCA" w14:textId="742FC9B8" w:rsidR="00E373FC" w:rsidRPr="009118AB" w:rsidRDefault="00E373FC" w:rsidP="00E373FC">
      <w:pPr>
        <w:autoSpaceDE w:val="0"/>
        <w:autoSpaceDN w:val="0"/>
        <w:adjustRightInd w:val="0"/>
        <w:ind w:firstLine="709"/>
        <w:jc w:val="both"/>
        <w:rPr>
          <w:spacing w:val="2"/>
        </w:rPr>
      </w:pPr>
      <w:r w:rsidRPr="009118AB">
        <w:rPr>
          <w:spacing w:val="2"/>
        </w:rPr>
        <w:t xml:space="preserve">[6. in Artikel 90 Absatz 1 </w:t>
      </w:r>
      <w:r w:rsidR="00D67EB8" w:rsidRPr="009118AB">
        <w:rPr>
          <w:spacing w:val="2"/>
        </w:rPr>
        <w:t>Nr. </w:t>
      </w:r>
      <w:r w:rsidRPr="009118AB">
        <w:rPr>
          <w:spacing w:val="2"/>
        </w:rPr>
        <w:t xml:space="preserve">3 erwähnte Unterhaltsleistungen, im öffentlichen Sektor zugunsten von Waisen </w:t>
      </w:r>
      <w:r w:rsidR="002957CC" w:rsidRPr="009118AB">
        <w:rPr>
          <w:spacing w:val="2"/>
        </w:rPr>
        <w:t>[gewährte nicht in Nr. 5/1 erwähnte Hinterbliebenenpensionen und nicht in Nr. 5/1 erwähnte Waisenrenten]</w:t>
      </w:r>
      <w:r w:rsidRPr="009118AB">
        <w:rPr>
          <w:spacing w:val="2"/>
        </w:rPr>
        <w:t>, die Kindern zuerkannt werden, bis zu 1.800 EUR pro Jahr,]</w:t>
      </w:r>
    </w:p>
    <w:p w14:paraId="152270D7" w14:textId="77777777" w:rsidR="00E373FC" w:rsidRPr="009118AB" w:rsidRDefault="00E373FC" w:rsidP="00E373FC">
      <w:pPr>
        <w:autoSpaceDE w:val="0"/>
        <w:autoSpaceDN w:val="0"/>
        <w:adjustRightInd w:val="0"/>
        <w:jc w:val="both"/>
      </w:pPr>
    </w:p>
    <w:p w14:paraId="654FB581" w14:textId="1F740A2B" w:rsidR="00E373FC" w:rsidRPr="009118AB" w:rsidRDefault="00E373FC" w:rsidP="00E373FC">
      <w:pPr>
        <w:autoSpaceDE w:val="0"/>
        <w:autoSpaceDN w:val="0"/>
        <w:adjustRightInd w:val="0"/>
        <w:ind w:firstLine="709"/>
        <w:jc w:val="both"/>
      </w:pPr>
      <w:r w:rsidRPr="009118AB">
        <w:lastRenderedPageBreak/>
        <w:t>[7. [</w:t>
      </w:r>
      <w:r w:rsidR="00F36ACE" w:rsidRPr="009118AB">
        <w:t xml:space="preserve">[Entlohnungen und in Artikel 90 Absatz 1 </w:t>
      </w:r>
      <w:r w:rsidR="00D67EB8" w:rsidRPr="009118AB">
        <w:t>Nr. </w:t>
      </w:r>
      <w:r w:rsidR="00F36ACE" w:rsidRPr="009118AB">
        <w:t>1</w:t>
      </w:r>
      <w:r w:rsidR="00F36ACE" w:rsidRPr="009118AB">
        <w:rPr>
          <w:i/>
          <w:iCs/>
        </w:rPr>
        <w:t>ter</w:t>
      </w:r>
      <w:r w:rsidR="00F36ACE" w:rsidRPr="009118AB">
        <w:t xml:space="preserve"> erwähnte Vergütungen, die Studenten, die in Titel VII des Gesetzes vom 3. Juli 1978 über die Arbeitsverträge erwähnt sind, beziehen][, Entlohnungen, die Lehrlinge] </w:t>
      </w:r>
      <w:r w:rsidRPr="009118AB">
        <w:t>in einer dualen Ausbildung, die in Artikel 1</w:t>
      </w:r>
      <w:r w:rsidRPr="009118AB">
        <w:rPr>
          <w:i/>
        </w:rPr>
        <w:t>bis</w:t>
      </w:r>
      <w:r w:rsidRPr="009118AB">
        <w:t xml:space="preserve"> des Königlichen Erlasses vom 28. November 1969 zur Ausführung des Gesetzes vom 27. Juni 1969 zur Revision des Erlassgesetzes vom 28. Dezember 1944 über die soziale Sicherheit der Arbeitnehmer erwähnt sind, beziehen, und Gewinne, Profite und Entlohnungen von Unternehmensleitern, die Studenten-Selbständige, die in Artikel 5</w:t>
      </w:r>
      <w:r w:rsidRPr="009118AB">
        <w:rPr>
          <w:i/>
        </w:rPr>
        <w:t>quater</w:t>
      </w:r>
      <w:r w:rsidRPr="009118AB">
        <w:t xml:space="preserve"> des Königlichen Erlasses </w:t>
      </w:r>
      <w:r w:rsidR="00D67EB8" w:rsidRPr="009118AB">
        <w:t>Nr. </w:t>
      </w:r>
      <w:r w:rsidRPr="009118AB">
        <w:t>38 vom 27. Juli 1967 zur Einführung des Sozialstatuts der Selbständigen erwähnt sind, erzielen oder beziehen, bis zu 1.500 EUR pro Jahr.]]</w:t>
      </w:r>
    </w:p>
    <w:p w14:paraId="3DF3080E" w14:textId="77777777" w:rsidR="00E373FC" w:rsidRPr="009118AB" w:rsidRDefault="00E373FC" w:rsidP="00E373FC">
      <w:pPr>
        <w:autoSpaceDE w:val="0"/>
        <w:autoSpaceDN w:val="0"/>
        <w:adjustRightInd w:val="0"/>
        <w:jc w:val="both"/>
      </w:pPr>
    </w:p>
    <w:p w14:paraId="2F88D408" w14:textId="3E1E0750" w:rsidR="00E373FC" w:rsidRPr="009118AB" w:rsidRDefault="00E373FC" w:rsidP="00E373FC">
      <w:pPr>
        <w:autoSpaceDE w:val="0"/>
        <w:autoSpaceDN w:val="0"/>
        <w:adjustRightInd w:val="0"/>
        <w:jc w:val="both"/>
        <w:rPr>
          <w:rFonts w:ascii="Times New Roman Italique" w:hAnsi="Times New Roman Italique"/>
          <w:spacing w:val="-2"/>
        </w:rPr>
      </w:pPr>
      <w:r w:rsidRPr="009118AB">
        <w:rPr>
          <w:i/>
          <w:iCs/>
        </w:rPr>
        <w:t>[</w:t>
      </w:r>
      <w:r w:rsidR="00D67EB8" w:rsidRPr="009118AB">
        <w:rPr>
          <w:i/>
          <w:iCs/>
        </w:rPr>
        <w:t>Art. </w:t>
      </w:r>
      <w:r w:rsidRPr="009118AB">
        <w:rPr>
          <w:i/>
          <w:iCs/>
        </w:rPr>
        <w:t xml:space="preserve">143 einziger Absatz </w:t>
      </w:r>
      <w:r w:rsidR="00D67EB8" w:rsidRPr="009118AB">
        <w:rPr>
          <w:i/>
          <w:iCs/>
        </w:rPr>
        <w:t>Nr. </w:t>
      </w:r>
      <w:r w:rsidRPr="009118AB">
        <w:rPr>
          <w:i/>
          <w:iCs/>
        </w:rPr>
        <w:t xml:space="preserve">1 ersetzt durch </w:t>
      </w:r>
      <w:r w:rsidR="00D67EB8" w:rsidRPr="009118AB">
        <w:rPr>
          <w:i/>
          <w:iCs/>
        </w:rPr>
        <w:t>Art. </w:t>
      </w:r>
      <w:r w:rsidRPr="009118AB">
        <w:rPr>
          <w:i/>
          <w:iCs/>
        </w:rPr>
        <w:t>19 des G. vom 6. Juli 1994 (B.S. vom 16. Juli 1994)</w:t>
      </w:r>
      <w:r w:rsidR="00D67EB8" w:rsidRPr="009118AB">
        <w:rPr>
          <w:i/>
          <w:iCs/>
        </w:rPr>
        <w:t> - </w:t>
      </w:r>
      <w:r w:rsidRPr="009118AB">
        <w:rPr>
          <w:i/>
          <w:iCs/>
        </w:rPr>
        <w:t>in Kraft ab dem Steuerjahr 1994</w:t>
      </w:r>
      <w:r w:rsidR="003366D9" w:rsidRPr="009118AB">
        <w:rPr>
          <w:i/>
          <w:iCs/>
        </w:rPr>
        <w:t> -;</w:t>
      </w:r>
      <w:r w:rsidRPr="009118AB">
        <w:rPr>
          <w:i/>
          <w:iCs/>
        </w:rPr>
        <w:t xml:space="preserve"> einziger Absatz </w:t>
      </w:r>
      <w:r w:rsidR="00D67EB8" w:rsidRPr="009118AB">
        <w:rPr>
          <w:i/>
          <w:iCs/>
        </w:rPr>
        <w:t>Nr. </w:t>
      </w:r>
      <w:r w:rsidRPr="009118AB">
        <w:rPr>
          <w:i/>
          <w:iCs/>
        </w:rPr>
        <w:t xml:space="preserve">2 ersetzt durch </w:t>
      </w:r>
      <w:r w:rsidR="00D67EB8" w:rsidRPr="009118AB">
        <w:rPr>
          <w:i/>
          <w:iCs/>
        </w:rPr>
        <w:t>Art. </w:t>
      </w:r>
      <w:r w:rsidRPr="009118AB">
        <w:rPr>
          <w:i/>
          <w:iCs/>
        </w:rPr>
        <w:t>6 Buchstabe a) des G. (I) vom 24. Juli 2008 (I) (B.S. vom 7. August 2008)</w:t>
      </w:r>
      <w:r w:rsidR="00D67EB8" w:rsidRPr="009118AB">
        <w:rPr>
          <w:i/>
          <w:iCs/>
        </w:rPr>
        <w:t> - </w:t>
      </w:r>
      <w:r w:rsidRPr="009118AB">
        <w:rPr>
          <w:i/>
          <w:iCs/>
        </w:rPr>
        <w:t>anwendbar ab dem Steuerjahr 2009</w:t>
      </w:r>
      <w:r w:rsidR="003366D9" w:rsidRPr="009118AB">
        <w:rPr>
          <w:i/>
          <w:iCs/>
        </w:rPr>
        <w:t> -;</w:t>
      </w:r>
      <w:r w:rsidRPr="009118AB">
        <w:rPr>
          <w:i/>
          <w:iCs/>
        </w:rPr>
        <w:t xml:space="preserve"> einziger Absatz </w:t>
      </w:r>
      <w:r w:rsidR="00D67EB8" w:rsidRPr="009118AB">
        <w:rPr>
          <w:i/>
          <w:iCs/>
        </w:rPr>
        <w:t>Nr. </w:t>
      </w:r>
      <w:r w:rsidRPr="009118AB">
        <w:rPr>
          <w:i/>
          <w:iCs/>
        </w:rPr>
        <w:t xml:space="preserve">3 aufgehoben durch </w:t>
      </w:r>
      <w:r w:rsidR="00D67EB8" w:rsidRPr="009118AB">
        <w:rPr>
          <w:i/>
          <w:iCs/>
        </w:rPr>
        <w:t>Art. </w:t>
      </w:r>
      <w:r w:rsidRPr="009118AB">
        <w:rPr>
          <w:i/>
          <w:iCs/>
        </w:rPr>
        <w:t>15 des G. vom 22. Dezember 1998 (B.S. vom 15. Januar 1999)</w:t>
      </w:r>
      <w:r w:rsidR="00D67EB8" w:rsidRPr="009118AB">
        <w:rPr>
          <w:i/>
          <w:iCs/>
        </w:rPr>
        <w:t> - </w:t>
      </w:r>
      <w:r w:rsidRPr="009118AB">
        <w:rPr>
          <w:i/>
          <w:iCs/>
        </w:rPr>
        <w:t>anwendbar ab dem Steuerjahr 1997</w:t>
      </w:r>
      <w:r w:rsidR="00D67EB8" w:rsidRPr="009118AB">
        <w:rPr>
          <w:i/>
          <w:iCs/>
        </w:rPr>
        <w:t> - </w:t>
      </w:r>
      <w:r w:rsidRPr="009118AB">
        <w:rPr>
          <w:i/>
          <w:iCs/>
        </w:rPr>
        <w:t xml:space="preserve">und wieder aufgenommen durch </w:t>
      </w:r>
      <w:r w:rsidR="00D67EB8" w:rsidRPr="009118AB">
        <w:rPr>
          <w:i/>
          <w:iCs/>
        </w:rPr>
        <w:t>Art. </w:t>
      </w:r>
      <w:r w:rsidRPr="009118AB">
        <w:rPr>
          <w:i/>
          <w:iCs/>
        </w:rPr>
        <w:t>3 des G. vom 6. Juli 2004 (II) (B.S. vom 5. August 2004)</w:t>
      </w:r>
      <w:r w:rsidR="00D67EB8" w:rsidRPr="009118AB">
        <w:rPr>
          <w:i/>
          <w:iCs/>
        </w:rPr>
        <w:t> - </w:t>
      </w:r>
      <w:r w:rsidRPr="009118AB">
        <w:rPr>
          <w:i/>
          <w:iCs/>
        </w:rPr>
        <w:t xml:space="preserve">in </w:t>
      </w:r>
      <w:r w:rsidRPr="009118AB">
        <w:rPr>
          <w:rFonts w:ascii="Times New Roman Italique" w:hAnsi="Times New Roman Italique"/>
          <w:i/>
          <w:iCs/>
          <w:spacing w:val="-2"/>
        </w:rPr>
        <w:t>Kraft ab dem Steuerjahr 2006</w:t>
      </w:r>
      <w:r w:rsidR="003366D9" w:rsidRPr="009118AB">
        <w:rPr>
          <w:rFonts w:ascii="Times New Roman Italique" w:hAnsi="Times New Roman Italique"/>
          <w:i/>
          <w:iCs/>
          <w:spacing w:val="-2"/>
        </w:rPr>
        <w:t> -;</w:t>
      </w:r>
      <w:r w:rsidR="002957CC" w:rsidRPr="009118AB">
        <w:rPr>
          <w:rFonts w:ascii="Times New Roman Italique" w:hAnsi="Times New Roman Italique"/>
          <w:i/>
          <w:iCs/>
          <w:spacing w:val="-2"/>
        </w:rPr>
        <w:t xml:space="preserve"> einziger Absatz Nr.</w:t>
      </w:r>
      <w:r w:rsidR="002957CC" w:rsidRPr="009118AB">
        <w:rPr>
          <w:rFonts w:ascii="Times New Roman Italique" w:hAnsi="Times New Roman Italique" w:hint="eastAsia"/>
          <w:i/>
          <w:iCs/>
          <w:spacing w:val="-2"/>
        </w:rPr>
        <w:t> </w:t>
      </w:r>
      <w:r w:rsidR="002957CC" w:rsidRPr="009118AB">
        <w:rPr>
          <w:rFonts w:ascii="Times New Roman Italique" w:hAnsi="Times New Roman Italique"/>
          <w:i/>
          <w:iCs/>
          <w:spacing w:val="-2"/>
        </w:rPr>
        <w:t>5/1 eingefügt durch Art. 26 Buchstabe</w:t>
      </w:r>
      <w:r w:rsidR="002957CC" w:rsidRPr="009118AB">
        <w:rPr>
          <w:rFonts w:ascii="Times New Roman Italique" w:hAnsi="Times New Roman Italique" w:hint="eastAsia"/>
          <w:i/>
          <w:iCs/>
          <w:spacing w:val="-2"/>
        </w:rPr>
        <w:t> </w:t>
      </w:r>
      <w:r w:rsidR="002957CC" w:rsidRPr="009118AB">
        <w:rPr>
          <w:rFonts w:ascii="Times New Roman Italique" w:hAnsi="Times New Roman Italique"/>
          <w:i/>
          <w:iCs/>
          <w:spacing w:val="-2"/>
        </w:rPr>
        <w:t>a) des G. vom 31. Juli 2023 (II) (B.S. vom 23. August 2023)</w:t>
      </w:r>
      <w:r w:rsidR="002957CC" w:rsidRPr="009118AB">
        <w:rPr>
          <w:rFonts w:ascii="Times New Roman Italique" w:hAnsi="Times New Roman Italique" w:hint="eastAsia"/>
          <w:i/>
          <w:iCs/>
          <w:spacing w:val="-2"/>
        </w:rPr>
        <w:t> </w:t>
      </w:r>
      <w:r w:rsidR="002957CC" w:rsidRPr="009118AB">
        <w:rPr>
          <w:rFonts w:ascii="Times New Roman Italique" w:hAnsi="Times New Roman Italique"/>
          <w:i/>
          <w:iCs/>
          <w:spacing w:val="-2"/>
        </w:rPr>
        <w:t>-</w:t>
      </w:r>
      <w:r w:rsidR="002957CC" w:rsidRPr="009118AB">
        <w:rPr>
          <w:rFonts w:ascii="Times New Roman Italique" w:hAnsi="Times New Roman Italique" w:hint="eastAsia"/>
          <w:i/>
          <w:iCs/>
          <w:spacing w:val="-2"/>
        </w:rPr>
        <w:t> </w:t>
      </w:r>
      <w:r w:rsidR="002957CC" w:rsidRPr="009118AB">
        <w:rPr>
          <w:rFonts w:ascii="Times New Roman Italique" w:hAnsi="Times New Roman Italique"/>
          <w:i/>
          <w:iCs/>
          <w:spacing w:val="-2"/>
        </w:rPr>
        <w:t>wirksam ab dem Steuerjahr</w:t>
      </w:r>
      <w:r w:rsidR="002957CC" w:rsidRPr="009118AB">
        <w:rPr>
          <w:rFonts w:ascii="Times New Roman Italique" w:hAnsi="Times New Roman Italique" w:hint="eastAsia"/>
          <w:i/>
          <w:iCs/>
          <w:spacing w:val="-2"/>
        </w:rPr>
        <w:t> </w:t>
      </w:r>
      <w:r w:rsidR="002957CC" w:rsidRPr="009118AB">
        <w:rPr>
          <w:rFonts w:ascii="Times New Roman Italique" w:hAnsi="Times New Roman Italique"/>
          <w:i/>
          <w:iCs/>
          <w:spacing w:val="-2"/>
        </w:rPr>
        <w:t>2022</w:t>
      </w:r>
      <w:r w:rsidR="002957CC" w:rsidRPr="009118AB">
        <w:rPr>
          <w:rFonts w:ascii="Times New Roman Italique" w:hAnsi="Times New Roman Italique" w:hint="eastAsia"/>
          <w:i/>
          <w:iCs/>
          <w:spacing w:val="-2"/>
        </w:rPr>
        <w:t> </w:t>
      </w:r>
      <w:r w:rsidR="002957CC" w:rsidRPr="009118AB">
        <w:rPr>
          <w:rFonts w:ascii="Times New Roman Italique" w:hAnsi="Times New Roman Italique"/>
          <w:i/>
          <w:iCs/>
          <w:spacing w:val="-2"/>
        </w:rPr>
        <w:t>-;</w:t>
      </w:r>
      <w:r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6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29 des G. vom 10. August 2001 (B.S. vom 20. September 2001)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2002</w:t>
      </w:r>
      <w:r w:rsidR="00D67EB8" w:rsidRPr="009118AB">
        <w:rPr>
          <w:rFonts w:ascii="Times New Roman Italique" w:hAnsi="Times New Roman Italique"/>
          <w:i/>
          <w:iCs/>
          <w:spacing w:val="-2"/>
        </w:rPr>
        <w:t> -</w:t>
      </w:r>
      <w:r w:rsidR="00705368" w:rsidRPr="009118AB">
        <w:rPr>
          <w:rFonts w:ascii="Times New Roman Italique" w:hAnsi="Times New Roman Italique"/>
          <w:i/>
          <w:iCs/>
          <w:spacing w:val="-2"/>
        </w:rPr>
        <w:t>,</w:t>
      </w:r>
      <w:r w:rsidRPr="009118AB">
        <w:rPr>
          <w:rFonts w:ascii="Times New Roman Italique" w:hAnsi="Times New Roman Italique"/>
          <w:i/>
          <w:iCs/>
          <w:spacing w:val="-2"/>
        </w:rPr>
        <w:t xml:space="preserve">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 des G. vom 6. März 2018 (B.S. vom 15. März 2018)</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00033449" w:rsidRPr="009118AB">
        <w:rPr>
          <w:rFonts w:ascii="Times New Roman Italique" w:hAnsi="Times New Roman Italique"/>
          <w:i/>
          <w:iCs/>
          <w:spacing w:val="-2"/>
        </w:rPr>
        <w:t>-</w:t>
      </w:r>
      <w:r w:rsidR="00705368" w:rsidRPr="009118AB">
        <w:rPr>
          <w:rFonts w:ascii="Times New Roman Italique" w:hAnsi="Times New Roman Italique"/>
          <w:i/>
          <w:iCs/>
          <w:spacing w:val="-2"/>
        </w:rPr>
        <w:t xml:space="preserve"> und abgeändert durch Art. 26 Buchstabe b) des G. vom 31. Juli 2023 (II) (B.S. vom 23. August 2023) - wirksam ab dem Steuerjahr 2022 -</w:t>
      </w:r>
      <w:r w:rsidR="003366D9" w:rsidRPr="009118AB">
        <w:rPr>
          <w:rFonts w:ascii="Times New Roman Italique" w:hAnsi="Times New Roman Italique"/>
          <w:i/>
          <w:iCs/>
          <w:spacing w:val="-2"/>
        </w:rPr>
        <w:t>;</w:t>
      </w:r>
      <w:r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7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39 des G. vom 11. Juli 2005 (B.S. vom 12. Juli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2006</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8 des G. vom 18. Dezember 2016 (II) (B.S. vom 30. Dezember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2018</w:t>
      </w:r>
      <w:r w:rsidR="00D67EB8" w:rsidRPr="009118AB">
        <w:rPr>
          <w:rFonts w:ascii="Times New Roman Italique" w:hAnsi="Times New Roman Italique"/>
          <w:i/>
          <w:iCs/>
          <w:spacing w:val="-2"/>
        </w:rPr>
        <w:t> - </w:t>
      </w:r>
      <w:r w:rsidR="00F36ACE"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F36ACE" w:rsidRPr="009118AB">
        <w:rPr>
          <w:rFonts w:ascii="Times New Roman Italique" w:hAnsi="Times New Roman Italique"/>
          <w:i/>
          <w:iCs/>
          <w:spacing w:val="-2"/>
        </w:rPr>
        <w:t xml:space="preserve">6 </w:t>
      </w:r>
      <w:r w:rsidR="00D67EB8" w:rsidRPr="009118AB">
        <w:rPr>
          <w:rFonts w:ascii="Times New Roman Italique" w:hAnsi="Times New Roman Italique"/>
          <w:i/>
          <w:iCs/>
          <w:spacing w:val="-2"/>
        </w:rPr>
        <w:t>Nr. </w:t>
      </w:r>
      <w:r w:rsidR="00F36ACE" w:rsidRPr="009118AB">
        <w:rPr>
          <w:rFonts w:ascii="Times New Roman Italique" w:hAnsi="Times New Roman Italique"/>
          <w:i/>
          <w:iCs/>
          <w:spacing w:val="-2"/>
        </w:rPr>
        <w:t>1 und 2</w:t>
      </w:r>
      <w:r w:rsidR="00F36ACE" w:rsidRPr="009118AB">
        <w:rPr>
          <w:i/>
          <w:iCs/>
        </w:rPr>
        <w:t xml:space="preserve"> des G. vom 26. April 2022 (B.S. vom 6. Mai 2022)</w:t>
      </w:r>
      <w:r w:rsidR="00D67EB8" w:rsidRPr="009118AB">
        <w:rPr>
          <w:i/>
          <w:iCs/>
        </w:rPr>
        <w:t> - </w:t>
      </w:r>
      <w:r w:rsidR="00F36ACE" w:rsidRPr="009118AB">
        <w:rPr>
          <w:i/>
          <w:iCs/>
        </w:rPr>
        <w:t>anwendbar auf die ab dem 1. Januar 2022 bezogenen Einkünfte</w:t>
      </w:r>
      <w:r w:rsidR="00FD68E8" w:rsidRPr="009118AB">
        <w:rPr>
          <w:i/>
          <w:iCs/>
        </w:rPr>
        <w:t> -]</w:t>
      </w:r>
    </w:p>
    <w:p w14:paraId="2F756BDA" w14:textId="77777777" w:rsidR="00AD5461" w:rsidRPr="009118AB" w:rsidRDefault="00AD5461" w:rsidP="00477B8F">
      <w:pPr>
        <w:autoSpaceDE w:val="0"/>
        <w:autoSpaceDN w:val="0"/>
        <w:adjustRightInd w:val="0"/>
        <w:jc w:val="both"/>
      </w:pPr>
    </w:p>
    <w:p w14:paraId="46B74DC8" w14:textId="77777777" w:rsidR="00477B8F" w:rsidRPr="009118AB" w:rsidRDefault="00477B8F" w:rsidP="00477B8F">
      <w:pPr>
        <w:autoSpaceDE w:val="0"/>
        <w:autoSpaceDN w:val="0"/>
        <w:adjustRightInd w:val="0"/>
        <w:jc w:val="both"/>
      </w:pPr>
    </w:p>
    <w:p w14:paraId="012FC55B" w14:textId="32C792F7"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144</w:t>
      </w:r>
      <w:r w:rsidR="00D67EB8" w:rsidRPr="009118AB">
        <w:t> - </w:t>
      </w:r>
      <w:r w:rsidRPr="009118AB">
        <w:t>Bei der Beurteilung, ob ein Steuerpflichtiger das Kind, dessen Betreuung ihm übertragen wurde, ausschließlich oder hauptsächlich zu Lasten hat, werden Beteiligungen der öffentlichen Behörden an den Unterhaltskosten dieses Kindes nicht berücksichtigt.</w:t>
      </w:r>
    </w:p>
    <w:p w14:paraId="20B2E36A" w14:textId="77777777" w:rsidR="00477B8F" w:rsidRPr="009118AB" w:rsidRDefault="00477B8F" w:rsidP="00477B8F">
      <w:pPr>
        <w:autoSpaceDE w:val="0"/>
        <w:autoSpaceDN w:val="0"/>
        <w:adjustRightInd w:val="0"/>
        <w:jc w:val="both"/>
      </w:pPr>
    </w:p>
    <w:p w14:paraId="09CB2B8F" w14:textId="77777777" w:rsidR="00477B8F" w:rsidRPr="009118AB" w:rsidRDefault="00477B8F" w:rsidP="00477B8F">
      <w:pPr>
        <w:autoSpaceDE w:val="0"/>
        <w:autoSpaceDN w:val="0"/>
        <w:adjustRightInd w:val="0"/>
        <w:jc w:val="both"/>
      </w:pPr>
    </w:p>
    <w:p w14:paraId="5252C7F4" w14:textId="057B69DF" w:rsidR="00E42644" w:rsidRPr="009118AB" w:rsidRDefault="00477B8F" w:rsidP="00E42644">
      <w:pPr>
        <w:autoSpaceDE w:val="0"/>
        <w:autoSpaceDN w:val="0"/>
        <w:adjustRightInd w:val="0"/>
        <w:jc w:val="both"/>
      </w:pPr>
      <w:r w:rsidRPr="009118AB">
        <w:tab/>
      </w:r>
      <w:r w:rsidR="00D67EB8" w:rsidRPr="009118AB">
        <w:rPr>
          <w:b/>
          <w:bCs/>
        </w:rPr>
        <w:t>Art. </w:t>
      </w:r>
      <w:r w:rsidRPr="009118AB">
        <w:rPr>
          <w:b/>
          <w:bCs/>
        </w:rPr>
        <w:t>145</w:t>
      </w:r>
      <w:r w:rsidR="00D67EB8" w:rsidRPr="009118AB">
        <w:t> - </w:t>
      </w:r>
      <w:r w:rsidR="00E42644" w:rsidRPr="009118AB">
        <w:t>[Nicht als zu Lasten gelten Personen, die Mitglied des Haushalts des Steuerpflichtigen sind und:</w:t>
      </w:r>
    </w:p>
    <w:p w14:paraId="4CCDCA46" w14:textId="77777777" w:rsidR="00E42644" w:rsidRPr="009118AB" w:rsidRDefault="00E42644" w:rsidP="00E42644">
      <w:pPr>
        <w:autoSpaceDE w:val="0"/>
        <w:autoSpaceDN w:val="0"/>
        <w:adjustRightInd w:val="0"/>
        <w:jc w:val="both"/>
      </w:pPr>
    </w:p>
    <w:p w14:paraId="0DD5AD82" w14:textId="77777777" w:rsidR="00E42644" w:rsidRPr="009118AB" w:rsidRDefault="00E42644" w:rsidP="00856ADD">
      <w:pPr>
        <w:autoSpaceDE w:val="0"/>
        <w:autoSpaceDN w:val="0"/>
        <w:adjustRightInd w:val="0"/>
        <w:ind w:firstLine="709"/>
        <w:jc w:val="both"/>
      </w:pPr>
      <w:r w:rsidRPr="009118AB">
        <w:t>1. Entlohnungen beziehen, die für den Steuerpflichtigen Werbungskosten darstellen,</w:t>
      </w:r>
    </w:p>
    <w:p w14:paraId="596E120B" w14:textId="77777777" w:rsidR="00E42644" w:rsidRPr="009118AB" w:rsidRDefault="00E42644" w:rsidP="00E42644">
      <w:pPr>
        <w:autoSpaceDE w:val="0"/>
        <w:autoSpaceDN w:val="0"/>
        <w:adjustRightInd w:val="0"/>
        <w:jc w:val="both"/>
      </w:pPr>
    </w:p>
    <w:p w14:paraId="6EB70437" w14:textId="15438EB7" w:rsidR="00E42644" w:rsidRPr="009118AB" w:rsidRDefault="00E42644" w:rsidP="00856ADD">
      <w:pPr>
        <w:autoSpaceDE w:val="0"/>
        <w:autoSpaceDN w:val="0"/>
        <w:adjustRightInd w:val="0"/>
        <w:ind w:firstLine="709"/>
        <w:jc w:val="both"/>
      </w:pPr>
      <w:r w:rsidRPr="009118AB">
        <w:t>2. als Studenten-Selbständige wie in Artikel 5</w:t>
      </w:r>
      <w:r w:rsidRPr="009118AB">
        <w:rPr>
          <w:i/>
        </w:rPr>
        <w:t>quater</w:t>
      </w:r>
      <w:r w:rsidRPr="009118AB">
        <w:t xml:space="preserve"> des Königlichen Erlasses </w:t>
      </w:r>
      <w:r w:rsidR="00D67EB8" w:rsidRPr="009118AB">
        <w:t>Nr. </w:t>
      </w:r>
      <w:r w:rsidRPr="009118AB">
        <w:t>38 vom 27. Juli 1967 zur Einführung des Sozialstatuts der Selbständigen erwähnt Entlohnungen von Unternehmensleitern beziehen, die für eine Gesellschaft Werbungskosten darstellen, sofern die beiden folgenden Bedingungen erfüllt sind:</w:t>
      </w:r>
    </w:p>
    <w:p w14:paraId="7E29921C" w14:textId="77777777" w:rsidR="00E42644" w:rsidRPr="009118AB" w:rsidRDefault="00E42644" w:rsidP="00E42644">
      <w:pPr>
        <w:autoSpaceDE w:val="0"/>
        <w:autoSpaceDN w:val="0"/>
        <w:adjustRightInd w:val="0"/>
        <w:jc w:val="both"/>
      </w:pPr>
    </w:p>
    <w:p w14:paraId="1BD73E2D" w14:textId="3234AF9B" w:rsidR="00E42644" w:rsidRPr="009118AB" w:rsidRDefault="00E42644" w:rsidP="00856ADD">
      <w:pPr>
        <w:autoSpaceDE w:val="0"/>
        <w:autoSpaceDN w:val="0"/>
        <w:adjustRightInd w:val="0"/>
        <w:ind w:firstLine="709"/>
        <w:jc w:val="both"/>
      </w:pPr>
      <w:r w:rsidRPr="009118AB">
        <w:rPr>
          <w:i/>
        </w:rPr>
        <w:t>a)</w:t>
      </w:r>
      <w:r w:rsidRPr="009118AB">
        <w:t xml:space="preserve"> Der Steuerpflichtige übt im Sinne von </w:t>
      </w:r>
      <w:r w:rsidR="00982F4C" w:rsidRPr="009118AB">
        <w:t>[Artikel 1:14 des Gesetzbuches der Gesellschaften und Vereinigungen]</w:t>
      </w:r>
      <w:r w:rsidRPr="009118AB">
        <w:t xml:space="preserve"> die Kontrolle über die Gesellschaft aus.</w:t>
      </w:r>
    </w:p>
    <w:p w14:paraId="2B78FD85" w14:textId="77777777" w:rsidR="00E42644" w:rsidRPr="009118AB" w:rsidRDefault="00E42644" w:rsidP="00E42644">
      <w:pPr>
        <w:autoSpaceDE w:val="0"/>
        <w:autoSpaceDN w:val="0"/>
        <w:adjustRightInd w:val="0"/>
        <w:jc w:val="both"/>
      </w:pPr>
    </w:p>
    <w:p w14:paraId="5BA2A17E" w14:textId="77777777" w:rsidR="00E42644" w:rsidRPr="009118AB" w:rsidRDefault="00E42644" w:rsidP="00856ADD">
      <w:pPr>
        <w:autoSpaceDE w:val="0"/>
        <w:autoSpaceDN w:val="0"/>
        <w:adjustRightInd w:val="0"/>
        <w:ind w:firstLine="709"/>
        <w:jc w:val="both"/>
      </w:pPr>
      <w:r w:rsidRPr="009118AB">
        <w:rPr>
          <w:i/>
        </w:rPr>
        <w:t>b)</w:t>
      </w:r>
      <w:r w:rsidRPr="009118AB">
        <w:t> Der Steuerpflichtige ist direkt oder indirekt ein in Artikel 32 Absatz 1 erwähnter Unternehmensleiter der Gesellschaft.</w:t>
      </w:r>
    </w:p>
    <w:p w14:paraId="6D6C7700" w14:textId="1761D5DF" w:rsidR="0010484B" w:rsidRPr="009118AB" w:rsidRDefault="0010484B" w:rsidP="008A28FC">
      <w:pPr>
        <w:autoSpaceDE w:val="0"/>
        <w:autoSpaceDN w:val="0"/>
        <w:adjustRightInd w:val="0"/>
        <w:jc w:val="both"/>
      </w:pPr>
    </w:p>
    <w:p w14:paraId="751E343B" w14:textId="73D46BEE" w:rsidR="00E42644" w:rsidRPr="009118AB" w:rsidRDefault="00E42644" w:rsidP="00856ADD">
      <w:pPr>
        <w:autoSpaceDE w:val="0"/>
        <w:autoSpaceDN w:val="0"/>
        <w:adjustRightInd w:val="0"/>
        <w:ind w:firstLine="709"/>
        <w:jc w:val="both"/>
      </w:pPr>
      <w:r w:rsidRPr="009118AB">
        <w:lastRenderedPageBreak/>
        <w:t xml:space="preserve">Absatz 1 </w:t>
      </w:r>
      <w:r w:rsidR="00D67EB8" w:rsidRPr="009118AB">
        <w:t>Nr. </w:t>
      </w:r>
      <w:r w:rsidRPr="009118AB">
        <w:t>2 ist nur anwendbar, wenn die betreffenden Entlohnungen von Unternehmensleitern 2.000 EUR übersteigen und mehr als die Hälfte der steuerpflichtigen Einkünfte darstellen, Unterhaltsleistungen ausgenommen.]</w:t>
      </w:r>
    </w:p>
    <w:p w14:paraId="22C6B7BE" w14:textId="77777777" w:rsidR="00E42644" w:rsidRPr="009118AB" w:rsidRDefault="00E42644" w:rsidP="00E42644">
      <w:pPr>
        <w:autoSpaceDE w:val="0"/>
        <w:autoSpaceDN w:val="0"/>
        <w:adjustRightInd w:val="0"/>
        <w:jc w:val="both"/>
      </w:pPr>
    </w:p>
    <w:p w14:paraId="3C83B4B0" w14:textId="24E950E5" w:rsidR="00E42644" w:rsidRPr="009118AB" w:rsidRDefault="00E42644" w:rsidP="00E42644">
      <w:pPr>
        <w:autoSpaceDE w:val="0"/>
        <w:autoSpaceDN w:val="0"/>
        <w:adjustRightInd w:val="0"/>
        <w:jc w:val="both"/>
        <w:rPr>
          <w:sz w:val="20"/>
          <w:szCs w:val="20"/>
        </w:rPr>
      </w:pPr>
      <w:r w:rsidRPr="009118AB">
        <w:rPr>
          <w:i/>
        </w:rPr>
        <w:t>[</w:t>
      </w:r>
      <w:r w:rsidR="00D67EB8" w:rsidRPr="009118AB">
        <w:rPr>
          <w:i/>
        </w:rPr>
        <w:t>Art. </w:t>
      </w:r>
      <w:r w:rsidRPr="009118AB">
        <w:rPr>
          <w:i/>
        </w:rPr>
        <w:t xml:space="preserve">145 ersetzt durch </w:t>
      </w:r>
      <w:r w:rsidR="00D67EB8" w:rsidRPr="009118AB">
        <w:rPr>
          <w:i/>
        </w:rPr>
        <w:t>Art. </w:t>
      </w:r>
      <w:r w:rsidRPr="009118AB">
        <w:rPr>
          <w:i/>
        </w:rPr>
        <w:t>9</w:t>
      </w:r>
      <w:r w:rsidRPr="009118AB">
        <w:rPr>
          <w:i/>
          <w:iCs/>
        </w:rPr>
        <w:t xml:space="preserve"> des G. vom 18. Dezember 2016 (II) (B.S. vom 30. Dezember 2016)</w:t>
      </w:r>
      <w:r w:rsidR="00D67EB8" w:rsidRPr="009118AB">
        <w:rPr>
          <w:i/>
          <w:iCs/>
        </w:rPr>
        <w:t> - </w:t>
      </w:r>
      <w:r w:rsidRPr="009118AB">
        <w:rPr>
          <w:i/>
          <w:iCs/>
        </w:rPr>
        <w:t>anwendbar ab dem Steuerjahr 2018</w:t>
      </w:r>
      <w:r w:rsidR="003366D9" w:rsidRPr="009118AB">
        <w:rPr>
          <w:i/>
          <w:iCs/>
        </w:rPr>
        <w:t> -;</w:t>
      </w:r>
      <w:r w:rsidR="00982F4C" w:rsidRPr="009118AB">
        <w:rPr>
          <w:i/>
          <w:iCs/>
        </w:rPr>
        <w:t xml:space="preserve"> </w:t>
      </w:r>
      <w:r w:rsidR="00D67EB8" w:rsidRPr="009118AB">
        <w:rPr>
          <w:i/>
          <w:iCs/>
        </w:rPr>
        <w:t>Abs. </w:t>
      </w:r>
      <w:r w:rsidR="00982F4C" w:rsidRPr="009118AB">
        <w:rPr>
          <w:i/>
          <w:iCs/>
        </w:rPr>
        <w:t xml:space="preserve">1 </w:t>
      </w:r>
      <w:r w:rsidR="00D67EB8" w:rsidRPr="009118AB">
        <w:rPr>
          <w:i/>
          <w:iCs/>
        </w:rPr>
        <w:t>Nr. </w:t>
      </w:r>
      <w:r w:rsidR="00982F4C" w:rsidRPr="009118AB">
        <w:rPr>
          <w:i/>
          <w:iCs/>
        </w:rPr>
        <w:t>2 einziger Absatz Buchstabe a)</w:t>
      </w:r>
      <w:r w:rsidR="00982F4C" w:rsidRPr="009118AB">
        <w:rPr>
          <w:i/>
          <w:iCs/>
          <w:spacing w:val="-2"/>
        </w:rPr>
        <w:t xml:space="preserve"> </w:t>
      </w:r>
      <w:r w:rsidR="008145EC" w:rsidRPr="009118AB">
        <w:rPr>
          <w:i/>
          <w:iCs/>
          <w:spacing w:val="-2"/>
        </w:rPr>
        <w:t xml:space="preserve">abgeändert durch </w:t>
      </w:r>
      <w:r w:rsidR="00D67EB8" w:rsidRPr="009118AB">
        <w:rPr>
          <w:i/>
          <w:iCs/>
          <w:spacing w:val="-2"/>
        </w:rPr>
        <w:t>Art. </w:t>
      </w:r>
      <w:r w:rsidR="008145EC" w:rsidRPr="009118AB">
        <w:rPr>
          <w:i/>
          <w:iCs/>
          <w:spacing w:val="-2"/>
        </w:rPr>
        <w:t xml:space="preserve">18 </w:t>
      </w:r>
      <w:r w:rsidR="00982F4C" w:rsidRPr="009118AB">
        <w:rPr>
          <w:i/>
          <w:iCs/>
          <w:spacing w:val="-2"/>
        </w:rPr>
        <w:t>des G. vom 17. März 2019 (III) (B.S. vom 10. Mai 2019)</w:t>
      </w:r>
      <w:r w:rsidR="00D67EB8" w:rsidRPr="009118AB">
        <w:rPr>
          <w:i/>
          <w:iCs/>
          <w:spacing w:val="-2"/>
        </w:rPr>
        <w:t> - </w:t>
      </w:r>
      <w:r w:rsidR="00982F4C" w:rsidRPr="009118AB">
        <w:rPr>
          <w:i/>
          <w:iCs/>
          <w:spacing w:val="-2"/>
        </w:rPr>
        <w:t>in Kraft am 1. Mai 2019</w:t>
      </w:r>
      <w:r w:rsidR="00FD68E8" w:rsidRPr="009118AB">
        <w:rPr>
          <w:i/>
          <w:iCs/>
          <w:spacing w:val="-2"/>
        </w:rPr>
        <w:t> -]</w:t>
      </w:r>
    </w:p>
    <w:p w14:paraId="23B7946A" w14:textId="2858BB9D" w:rsidR="00477B8F" w:rsidRPr="009118AB" w:rsidRDefault="009C58FC" w:rsidP="00E42644">
      <w:pPr>
        <w:autoSpaceDE w:val="0"/>
        <w:autoSpaceDN w:val="0"/>
        <w:adjustRightInd w:val="0"/>
        <w:jc w:val="center"/>
      </w:pPr>
      <w:r w:rsidRPr="009118AB">
        <w:br w:type="page"/>
      </w:r>
      <w:r w:rsidR="00477B8F" w:rsidRPr="009118AB">
        <w:lastRenderedPageBreak/>
        <w:t>[Unterabschnitt </w:t>
      </w:r>
      <w:r w:rsidR="00D74862" w:rsidRPr="009118AB">
        <w:t>2</w:t>
      </w:r>
      <w:r w:rsidR="00477B8F" w:rsidRPr="009118AB">
        <w:rPr>
          <w:i/>
          <w:iCs/>
        </w:rPr>
        <w:t>bis</w:t>
      </w:r>
      <w:r w:rsidR="00D67EB8" w:rsidRPr="009118AB">
        <w:t> - </w:t>
      </w:r>
      <w:r w:rsidR="00477B8F" w:rsidRPr="009118AB">
        <w:t>Ermäßigung für langfristiges Sparen</w:t>
      </w:r>
    </w:p>
    <w:p w14:paraId="54C55D21" w14:textId="77777777" w:rsidR="00477B8F" w:rsidRPr="009118AB" w:rsidRDefault="00477B8F" w:rsidP="00477B8F">
      <w:pPr>
        <w:autoSpaceDE w:val="0"/>
        <w:autoSpaceDN w:val="0"/>
        <w:adjustRightInd w:val="0"/>
        <w:jc w:val="both"/>
      </w:pPr>
    </w:p>
    <w:p w14:paraId="3292A4CA" w14:textId="64C18B5F" w:rsidR="00477B8F" w:rsidRPr="009118AB" w:rsidRDefault="00477B8F" w:rsidP="00477B8F">
      <w:pPr>
        <w:autoSpaceDE w:val="0"/>
        <w:autoSpaceDN w:val="0"/>
        <w:adjustRightInd w:val="0"/>
        <w:jc w:val="both"/>
      </w:pPr>
      <w:r w:rsidRPr="009118AB">
        <w:rPr>
          <w:i/>
          <w:iCs/>
        </w:rPr>
        <w:t>[Unterabschnitt </w:t>
      </w:r>
      <w:r w:rsidR="00D74862" w:rsidRPr="009118AB">
        <w:rPr>
          <w:i/>
          <w:iCs/>
        </w:rPr>
        <w:t>2</w:t>
      </w:r>
      <w:r w:rsidRPr="009118AB">
        <w:rPr>
          <w:i/>
          <w:iCs/>
        </w:rPr>
        <w:t>bis mit den Artikeln 145</w:t>
      </w:r>
      <w:r w:rsidRPr="009118AB">
        <w:rPr>
          <w:i/>
          <w:iCs/>
          <w:vertAlign w:val="superscript"/>
        </w:rPr>
        <w:t>1</w:t>
      </w:r>
      <w:r w:rsidRPr="009118AB">
        <w:rPr>
          <w:i/>
          <w:iCs/>
        </w:rPr>
        <w:t xml:space="preserve"> bis 145</w:t>
      </w:r>
      <w:r w:rsidRPr="009118AB">
        <w:rPr>
          <w:i/>
          <w:iCs/>
          <w:vertAlign w:val="superscript"/>
        </w:rPr>
        <w:t>16</w:t>
      </w:r>
      <w:r w:rsidRPr="009118AB">
        <w:rPr>
          <w:i/>
          <w:iCs/>
        </w:rPr>
        <w:t xml:space="preserve"> eingefügt durch </w:t>
      </w:r>
      <w:r w:rsidR="00D67EB8" w:rsidRPr="009118AB">
        <w:rPr>
          <w:i/>
          <w:iCs/>
        </w:rPr>
        <w:t>Art. </w:t>
      </w:r>
      <w:r w:rsidRPr="009118AB">
        <w:rPr>
          <w:i/>
          <w:iCs/>
        </w:rPr>
        <w:t>86 des G. vom 28. Dezember 1992 (B.S. vom 31. Dezember 1992, Err. vom 18. Februar 1993)</w:t>
      </w:r>
      <w:r w:rsidR="00D67EB8" w:rsidRPr="009118AB">
        <w:rPr>
          <w:i/>
          <w:iCs/>
        </w:rPr>
        <w:t> - </w:t>
      </w:r>
      <w:r w:rsidRPr="009118AB">
        <w:rPr>
          <w:i/>
          <w:iCs/>
        </w:rPr>
        <w:t xml:space="preserve">in Kraft ab dem Steuerjahr 1993, mit Ausnahme von </w:t>
      </w:r>
      <w:r w:rsidR="00D67EB8" w:rsidRPr="009118AB">
        <w:rPr>
          <w:i/>
          <w:iCs/>
        </w:rPr>
        <w:t>Art. </w:t>
      </w:r>
      <w:r w:rsidRPr="009118AB">
        <w:rPr>
          <w:i/>
          <w:iCs/>
        </w:rPr>
        <w:t>145</w:t>
      </w:r>
      <w:r w:rsidRPr="009118AB">
        <w:rPr>
          <w:i/>
          <w:iCs/>
          <w:vertAlign w:val="superscript"/>
        </w:rPr>
        <w:t>1</w:t>
      </w:r>
      <w:r w:rsidRPr="009118AB">
        <w:rPr>
          <w:i/>
          <w:iCs/>
        </w:rPr>
        <w:t xml:space="preserve"> </w:t>
      </w:r>
      <w:r w:rsidR="00D67EB8" w:rsidRPr="009118AB">
        <w:rPr>
          <w:i/>
          <w:iCs/>
        </w:rPr>
        <w:t>Nr. </w:t>
      </w:r>
      <w:r w:rsidRPr="009118AB">
        <w:rPr>
          <w:i/>
          <w:iCs/>
        </w:rPr>
        <w:t xml:space="preserve">1, der ab dem Steuerjahr 1994 in Kraft tritt, und von </w:t>
      </w:r>
      <w:r w:rsidR="00D67EB8" w:rsidRPr="009118AB">
        <w:rPr>
          <w:i/>
          <w:iCs/>
        </w:rPr>
        <w:t>Art. </w:t>
      </w:r>
      <w:r w:rsidRPr="009118AB">
        <w:rPr>
          <w:i/>
          <w:iCs/>
        </w:rPr>
        <w:t>145</w:t>
      </w:r>
      <w:r w:rsidRPr="009118AB">
        <w:rPr>
          <w:i/>
          <w:iCs/>
          <w:vertAlign w:val="superscript"/>
        </w:rPr>
        <w:t>2</w:t>
      </w:r>
      <w:r w:rsidRPr="009118AB">
        <w:rPr>
          <w:i/>
          <w:iCs/>
        </w:rPr>
        <w:t xml:space="preserve">, der in dem Maße, wie er </w:t>
      </w:r>
      <w:r w:rsidR="00D67EB8" w:rsidRPr="009118AB">
        <w:rPr>
          <w:i/>
          <w:iCs/>
        </w:rPr>
        <w:t>Art. </w:t>
      </w:r>
      <w:r w:rsidRPr="009118AB">
        <w:rPr>
          <w:i/>
          <w:iCs/>
        </w:rPr>
        <w:t>145</w:t>
      </w:r>
      <w:r w:rsidRPr="009118AB">
        <w:rPr>
          <w:i/>
          <w:iCs/>
          <w:vertAlign w:val="superscript"/>
        </w:rPr>
        <w:t>1</w:t>
      </w:r>
      <w:r w:rsidRPr="009118AB">
        <w:rPr>
          <w:i/>
          <w:iCs/>
        </w:rPr>
        <w:t xml:space="preserve"> </w:t>
      </w:r>
      <w:r w:rsidR="00D67EB8" w:rsidRPr="009118AB">
        <w:rPr>
          <w:i/>
          <w:iCs/>
        </w:rPr>
        <w:t>Nr. </w:t>
      </w:r>
      <w:r w:rsidRPr="009118AB">
        <w:rPr>
          <w:i/>
          <w:iCs/>
        </w:rPr>
        <w:t>1 und 145</w:t>
      </w:r>
      <w:r w:rsidRPr="009118AB">
        <w:rPr>
          <w:i/>
          <w:iCs/>
          <w:vertAlign w:val="superscript"/>
        </w:rPr>
        <w:t>3</w:t>
      </w:r>
      <w:r w:rsidRPr="009118AB">
        <w:rPr>
          <w:i/>
          <w:iCs/>
        </w:rPr>
        <w:t xml:space="preserve"> betrifft, ab dem Steuerjahr 1994 in Kraft tritt</w:t>
      </w:r>
      <w:r w:rsidR="00FD68E8" w:rsidRPr="009118AB">
        <w:rPr>
          <w:i/>
          <w:iCs/>
        </w:rPr>
        <w:t> -]</w:t>
      </w:r>
    </w:p>
    <w:p w14:paraId="3EC89F24" w14:textId="77777777" w:rsidR="00477B8F" w:rsidRPr="009118AB" w:rsidRDefault="00477B8F" w:rsidP="00477B8F">
      <w:pPr>
        <w:autoSpaceDE w:val="0"/>
        <w:autoSpaceDN w:val="0"/>
        <w:adjustRightInd w:val="0"/>
        <w:jc w:val="both"/>
      </w:pPr>
    </w:p>
    <w:p w14:paraId="318E060A" w14:textId="77777777" w:rsidR="00477B8F" w:rsidRPr="009118AB" w:rsidRDefault="00477B8F" w:rsidP="00477B8F">
      <w:pPr>
        <w:autoSpaceDE w:val="0"/>
        <w:autoSpaceDN w:val="0"/>
        <w:adjustRightInd w:val="0"/>
        <w:jc w:val="both"/>
      </w:pPr>
    </w:p>
    <w:p w14:paraId="308A7EEE"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Allgemeines</w:t>
      </w:r>
    </w:p>
    <w:p w14:paraId="4C344D5F" w14:textId="77777777" w:rsidR="00477B8F" w:rsidRPr="009118AB" w:rsidRDefault="00477B8F" w:rsidP="00477B8F">
      <w:pPr>
        <w:autoSpaceDE w:val="0"/>
        <w:autoSpaceDN w:val="0"/>
        <w:adjustRightInd w:val="0"/>
        <w:jc w:val="both"/>
      </w:pPr>
    </w:p>
    <w:p w14:paraId="0D891858" w14:textId="77777777" w:rsidR="00477B8F" w:rsidRPr="009118AB" w:rsidRDefault="00477B8F" w:rsidP="00477B8F">
      <w:pPr>
        <w:autoSpaceDE w:val="0"/>
        <w:autoSpaceDN w:val="0"/>
        <w:adjustRightInd w:val="0"/>
        <w:jc w:val="both"/>
      </w:pPr>
    </w:p>
    <w:p w14:paraId="5F77B1D9" w14:textId="3DECA5A1" w:rsidR="004B0B62" w:rsidRPr="009118AB" w:rsidRDefault="00477B8F" w:rsidP="004B0B62">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1</w:t>
      </w:r>
      <w:r w:rsidR="00D67EB8" w:rsidRPr="009118AB">
        <w:t> - </w:t>
      </w:r>
      <w:r w:rsidR="004B0B62" w:rsidRPr="009118AB">
        <w:t>In Grenzen und unter Bedingungen, die in [den Artikeln 145</w:t>
      </w:r>
      <w:r w:rsidR="004B0B62" w:rsidRPr="009118AB">
        <w:rPr>
          <w:vertAlign w:val="superscript"/>
        </w:rPr>
        <w:t>2</w:t>
      </w:r>
      <w:r w:rsidR="004B0B62" w:rsidRPr="009118AB">
        <w:t xml:space="preserve"> bis 145</w:t>
      </w:r>
      <w:r w:rsidR="004B0B62" w:rsidRPr="009118AB">
        <w:rPr>
          <w:vertAlign w:val="superscript"/>
        </w:rPr>
        <w:t>16</w:t>
      </w:r>
      <w:r w:rsidR="004B0B62" w:rsidRPr="009118AB">
        <w:t>] vorgesehen sind, wird eine Steuerermäßigung gewährt, die auf folgende Ausgaben berechnet wird, die während des Besteuerungszeitraums tatsächlich gezahlt wurden:</w:t>
      </w:r>
    </w:p>
    <w:p w14:paraId="0DEEAF6C" w14:textId="77777777" w:rsidR="004B0B62" w:rsidRPr="009118AB" w:rsidRDefault="004B0B62" w:rsidP="004B0B62">
      <w:pPr>
        <w:autoSpaceDE w:val="0"/>
        <w:autoSpaceDN w:val="0"/>
        <w:adjustRightInd w:val="0"/>
        <w:jc w:val="both"/>
      </w:pPr>
    </w:p>
    <w:p w14:paraId="18CC70B1" w14:textId="0FF7694C" w:rsidR="004B0B62" w:rsidRPr="009118AB" w:rsidRDefault="004B0B62" w:rsidP="0010484B">
      <w:pPr>
        <w:autoSpaceDE w:val="0"/>
        <w:autoSpaceDN w:val="0"/>
        <w:adjustRightInd w:val="0"/>
        <w:ind w:firstLine="709"/>
        <w:jc w:val="both"/>
      </w:pPr>
      <w:r w:rsidRPr="009118AB">
        <w:t xml:space="preserve">1. [als persönliche Beiträge und Prämien, die in [Artikel 34 </w:t>
      </w:r>
      <w:r w:rsidR="00D67EB8" w:rsidRPr="009118AB">
        <w:t>§ </w:t>
      </w:r>
      <w:r w:rsidRPr="009118AB">
        <w:t xml:space="preserve">1 </w:t>
      </w:r>
      <w:r w:rsidR="00D67EB8" w:rsidRPr="009118AB">
        <w:t>Nr. </w:t>
      </w:r>
      <w:r w:rsidRPr="009118AB">
        <w:t>2 Absatz 1 Buchstabe </w:t>
      </w:r>
      <w:r w:rsidRPr="009118AB">
        <w:rPr>
          <w:i/>
        </w:rPr>
        <w:t>a)</w:t>
      </w:r>
      <w:r w:rsidRPr="009118AB">
        <w:t xml:space="preserve"> bis </w:t>
      </w:r>
      <w:r w:rsidRPr="009118AB">
        <w:rPr>
          <w:i/>
        </w:rPr>
        <w:t>c</w:t>
      </w:r>
      <w:r w:rsidRPr="009118AB">
        <w:t>/1</w:t>
      </w:r>
      <w:r w:rsidRPr="009118AB">
        <w:rPr>
          <w:i/>
        </w:rPr>
        <w:t>)</w:t>
      </w:r>
      <w:r w:rsidRPr="009118AB">
        <w:t>] erwähnt sind und die vom Arbeitgeber, der sie von den Entlohnungen des Arbeitnehmers abhält, oder vom Unternehmen, das sie von den Entlohnungen des Unternehmensleiters abhält, der sich nicht in einem Dienstverhältnis befindet, gezahlt werden,]</w:t>
      </w:r>
    </w:p>
    <w:p w14:paraId="760C0173" w14:textId="77777777" w:rsidR="004B0B62" w:rsidRPr="009118AB" w:rsidRDefault="004B0B62" w:rsidP="004B0B62">
      <w:pPr>
        <w:autoSpaceDE w:val="0"/>
        <w:autoSpaceDN w:val="0"/>
        <w:adjustRightInd w:val="0"/>
        <w:jc w:val="both"/>
      </w:pPr>
    </w:p>
    <w:p w14:paraId="45A0A019" w14:textId="10E6B3D0" w:rsidR="004B0B62" w:rsidRPr="009118AB" w:rsidRDefault="004B0B62" w:rsidP="0010484B">
      <w:pPr>
        <w:autoSpaceDE w:val="0"/>
        <w:autoSpaceDN w:val="0"/>
        <w:adjustRightInd w:val="0"/>
        <w:ind w:firstLine="709"/>
        <w:jc w:val="both"/>
      </w:pPr>
      <w:r w:rsidRPr="009118AB">
        <w:t>[1</w:t>
      </w:r>
      <w:r w:rsidRPr="009118AB">
        <w:rPr>
          <w:i/>
        </w:rPr>
        <w:t>bis</w:t>
      </w:r>
      <w:r w:rsidRPr="009118AB">
        <w:t xml:space="preserve">. als Beiträge und Prämien für eine in Artikel 34 </w:t>
      </w:r>
      <w:r w:rsidR="00D67EB8" w:rsidRPr="009118AB">
        <w:t>§ </w:t>
      </w:r>
      <w:r w:rsidRPr="009118AB">
        <w:t xml:space="preserve">1 </w:t>
      </w:r>
      <w:r w:rsidR="00D67EB8" w:rsidRPr="009118AB">
        <w:t>Nr. </w:t>
      </w:r>
      <w:r w:rsidRPr="009118AB">
        <w:t>2</w:t>
      </w:r>
      <w:r w:rsidRPr="009118AB">
        <w:rPr>
          <w:i/>
        </w:rPr>
        <w:t>ter</w:t>
      </w:r>
      <w:r w:rsidRPr="009118AB">
        <w:t xml:space="preserve"> erwähnte ergänzende Pension,]</w:t>
      </w:r>
    </w:p>
    <w:p w14:paraId="3E2ABAB8" w14:textId="77777777" w:rsidR="004B0B62" w:rsidRPr="009118AB" w:rsidRDefault="004B0B62" w:rsidP="004B0B62">
      <w:pPr>
        <w:autoSpaceDE w:val="0"/>
        <w:autoSpaceDN w:val="0"/>
        <w:adjustRightInd w:val="0"/>
        <w:jc w:val="both"/>
      </w:pPr>
    </w:p>
    <w:p w14:paraId="084A044E" w14:textId="77777777" w:rsidR="004B0B62" w:rsidRPr="009118AB" w:rsidRDefault="004B0B62" w:rsidP="0010484B">
      <w:pPr>
        <w:autoSpaceDE w:val="0"/>
        <w:autoSpaceDN w:val="0"/>
        <w:adjustRightInd w:val="0"/>
        <w:ind w:firstLine="709"/>
        <w:jc w:val="both"/>
      </w:pPr>
      <w:r w:rsidRPr="009118AB">
        <w:t>2. [als Beiträge zu einer Alters- und Todesfallzusatzversicherung, die der Steuerpflichtige in Ausführung eines Lebensversicherungsvertrags, den er individuell abgeschlossen hat, definitiv in einem Mitgliedstaat des Europäischen Wirtschaftsraums gezahlt hat für die Bildung einer Rente oder eines Kapitals zu Lebzeiten oder im Todesfall, […]]</w:t>
      </w:r>
    </w:p>
    <w:p w14:paraId="1A93E78D" w14:textId="77777777" w:rsidR="004B0B62" w:rsidRPr="009118AB" w:rsidRDefault="004B0B62" w:rsidP="004B0B62">
      <w:pPr>
        <w:autoSpaceDE w:val="0"/>
        <w:autoSpaceDN w:val="0"/>
        <w:adjustRightInd w:val="0"/>
        <w:jc w:val="both"/>
      </w:pPr>
    </w:p>
    <w:p w14:paraId="3726BD14" w14:textId="0D950518" w:rsidR="004B0B62" w:rsidRPr="009118AB" w:rsidRDefault="004B0B62" w:rsidP="0010484B">
      <w:pPr>
        <w:autoSpaceDE w:val="0"/>
        <w:autoSpaceDN w:val="0"/>
        <w:adjustRightInd w:val="0"/>
        <w:ind w:firstLine="709"/>
        <w:jc w:val="both"/>
      </w:pPr>
      <w:r w:rsidRPr="009118AB">
        <w:t xml:space="preserve">3. [als Summen, die für Tilgung oder Wiederherstellung einer Hypothekenanleihe gezahlt werden, die </w:t>
      </w:r>
      <w:r w:rsidR="00297A91" w:rsidRPr="009118AB">
        <w:t xml:space="preserve">[spätestens am 31. Dezember 2023] </w:t>
      </w:r>
      <w:r w:rsidRPr="009118AB">
        <w:t>aufgenommen wurde, um [eine andere [in einem Mitgliedstaat des Europäischen Wirtschaftsraums gelegene Wohnung] als [die eigene Wohnung des Steuerpflichtigen]] zu bauen, zu erwerben oder umzubauen,]</w:t>
      </w:r>
    </w:p>
    <w:p w14:paraId="64306C39" w14:textId="77777777" w:rsidR="004B0B62" w:rsidRPr="009118AB" w:rsidRDefault="004B0B62" w:rsidP="004B0B62">
      <w:pPr>
        <w:autoSpaceDE w:val="0"/>
        <w:autoSpaceDN w:val="0"/>
        <w:adjustRightInd w:val="0"/>
        <w:jc w:val="both"/>
      </w:pPr>
    </w:p>
    <w:p w14:paraId="30B4BD3F" w14:textId="50AC9098" w:rsidR="004B0B62" w:rsidRPr="009118AB" w:rsidRDefault="004B0B62" w:rsidP="0010484B">
      <w:pPr>
        <w:autoSpaceDE w:val="0"/>
        <w:autoSpaceDN w:val="0"/>
        <w:adjustRightInd w:val="0"/>
        <w:ind w:firstLine="709"/>
        <w:jc w:val="both"/>
      </w:pPr>
      <w:r w:rsidRPr="009118AB">
        <w:t xml:space="preserve">4. [als Summen, die für die Bareinzahlung von Aktien oder Anteilen gezahlt werden, die der Steuerpflichtige als Arbeitnehmer gezeichnet hat und die einen Teil des </w:t>
      </w:r>
      <w:r w:rsidR="00982F4C" w:rsidRPr="009118AB">
        <w:t>[K</w:t>
      </w:r>
      <w:r w:rsidRPr="009118AB">
        <w:t>apitals</w:t>
      </w:r>
      <w:r w:rsidR="00982F4C" w:rsidRPr="009118AB">
        <w:t>]</w:t>
      </w:r>
      <w:r w:rsidRPr="009118AB">
        <w:t xml:space="preserve"> der Gesellschaft vertreten, deren </w:t>
      </w:r>
      <w:r w:rsidR="00982F4C" w:rsidRPr="009118AB">
        <w:t>[…]</w:t>
      </w:r>
      <w:r w:rsidRPr="009118AB">
        <w:t xml:space="preserve"> Hauptniederlassung oder Geschäftsführungs- oder Verwaltungssitz in einem Mitgliedstaat des Europäischen Wirtschaftsraums liegt und die den Steuerpflichtigen beschäftigt oder deren Tochterunternehmen oder Enkelunternehmen die Arbeitgebergesellschaft im Sinne </w:t>
      </w:r>
      <w:r w:rsidR="00982F4C" w:rsidRPr="009118AB">
        <w:t>[des Gesetzbuches der Gesellschaften und Vereinigungen oder, wenn die Gesellschaft diesem Gesetzbuch nicht unterliegt, der entsprechenden Bestimmungen, die auf sie anwendbar sind,]</w:t>
      </w:r>
      <w:r w:rsidRPr="009118AB">
        <w:t xml:space="preserve"> unwiderlegbar ist,]</w:t>
      </w:r>
    </w:p>
    <w:p w14:paraId="20CCDB00" w14:textId="77777777" w:rsidR="004B0B62" w:rsidRPr="009118AB" w:rsidRDefault="004B0B62" w:rsidP="004B0B62">
      <w:pPr>
        <w:autoSpaceDE w:val="0"/>
        <w:autoSpaceDN w:val="0"/>
        <w:adjustRightInd w:val="0"/>
        <w:jc w:val="both"/>
      </w:pPr>
    </w:p>
    <w:p w14:paraId="6DFA62EB" w14:textId="77777777" w:rsidR="004B0B62" w:rsidRPr="009118AB" w:rsidRDefault="004B0B62" w:rsidP="0010484B">
      <w:pPr>
        <w:autoSpaceDE w:val="0"/>
        <w:autoSpaceDN w:val="0"/>
        <w:adjustRightInd w:val="0"/>
        <w:ind w:firstLine="709"/>
        <w:jc w:val="both"/>
      </w:pPr>
      <w:r w:rsidRPr="009118AB">
        <w:t>5. als Zahlungen für das Pensionssparen,</w:t>
      </w:r>
    </w:p>
    <w:p w14:paraId="39B1BBFF" w14:textId="77777777" w:rsidR="004B0B62" w:rsidRPr="009118AB" w:rsidRDefault="004B0B62" w:rsidP="004B0B62">
      <w:pPr>
        <w:autoSpaceDE w:val="0"/>
        <w:autoSpaceDN w:val="0"/>
        <w:adjustRightInd w:val="0"/>
        <w:jc w:val="both"/>
      </w:pPr>
    </w:p>
    <w:p w14:paraId="7285EB64" w14:textId="77777777" w:rsidR="004B0B62" w:rsidRPr="009118AB" w:rsidRDefault="004B0B62" w:rsidP="0010484B">
      <w:pPr>
        <w:autoSpaceDE w:val="0"/>
        <w:autoSpaceDN w:val="0"/>
        <w:adjustRightInd w:val="0"/>
        <w:ind w:firstLine="709"/>
        <w:jc w:val="both"/>
      </w:pPr>
      <w:r w:rsidRPr="009118AB">
        <w:t>[6. [...]].</w:t>
      </w:r>
    </w:p>
    <w:p w14:paraId="16A45FA8" w14:textId="77777777" w:rsidR="004B0B62" w:rsidRPr="009118AB" w:rsidRDefault="004B0B62" w:rsidP="004B0B62">
      <w:pPr>
        <w:autoSpaceDE w:val="0"/>
        <w:autoSpaceDN w:val="0"/>
        <w:adjustRightInd w:val="0"/>
        <w:jc w:val="both"/>
      </w:pPr>
    </w:p>
    <w:p w14:paraId="3AF65B1E" w14:textId="7EFE208A" w:rsidR="004B0B62" w:rsidRPr="009118AB" w:rsidRDefault="004B0B62" w:rsidP="004B0B62">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1</w:t>
      </w:r>
      <w:r w:rsidRPr="009118AB">
        <w:rPr>
          <w:i/>
          <w:iCs/>
        </w:rPr>
        <w:t xml:space="preserve"> einziger Absatz einleitende Bestimmung abgeändert durch </w:t>
      </w:r>
      <w:r w:rsidR="00D67EB8" w:rsidRPr="009118AB">
        <w:rPr>
          <w:i/>
          <w:iCs/>
        </w:rPr>
        <w:t>Art. </w:t>
      </w:r>
      <w:r w:rsidRPr="009118AB">
        <w:rPr>
          <w:i/>
          <w:iCs/>
        </w:rPr>
        <w:t>205 des G. vom 25. Januar 1999 (B.S. vom 6. Februar 1999)</w:t>
      </w:r>
      <w:r w:rsidR="00D67EB8" w:rsidRPr="009118AB">
        <w:rPr>
          <w:i/>
          <w:iCs/>
        </w:rPr>
        <w:t> - </w:t>
      </w:r>
      <w:r w:rsidRPr="009118AB">
        <w:rPr>
          <w:i/>
          <w:iCs/>
        </w:rPr>
        <w:t>in Kraft ab dem 1. April 1999</w:t>
      </w:r>
      <w:r w:rsidR="00D67EB8" w:rsidRPr="009118AB">
        <w:rPr>
          <w:i/>
          <w:iCs/>
        </w:rPr>
        <w:t> - </w:t>
      </w:r>
      <w:r w:rsidRPr="009118AB">
        <w:rPr>
          <w:i/>
          <w:iCs/>
        </w:rPr>
        <w:t xml:space="preserve">und </w:t>
      </w:r>
      <w:r w:rsidR="00D67EB8" w:rsidRPr="009118AB">
        <w:rPr>
          <w:i/>
          <w:iCs/>
        </w:rPr>
        <w:t>Art. </w:t>
      </w:r>
      <w:r w:rsidRPr="009118AB">
        <w:rPr>
          <w:i/>
          <w:iCs/>
        </w:rPr>
        <w:t xml:space="preserve">23 </w:t>
      </w:r>
      <w:r w:rsidR="00D67EB8" w:rsidRPr="009118AB">
        <w:rPr>
          <w:i/>
          <w:iCs/>
        </w:rPr>
        <w:t>Nr. </w:t>
      </w:r>
      <w:r w:rsidRPr="009118AB">
        <w:rPr>
          <w:i/>
          <w:iCs/>
        </w:rPr>
        <w:t>1 des G. (I) vom 24. Dezember 2002 (I) (B.S. vom 31. Dezember 2002)</w:t>
      </w:r>
      <w:r w:rsidR="00D67EB8" w:rsidRPr="009118AB">
        <w:rPr>
          <w:i/>
          <w:iCs/>
        </w:rPr>
        <w:t> - </w:t>
      </w:r>
      <w:r w:rsidRPr="009118AB">
        <w:rPr>
          <w:i/>
          <w:iCs/>
        </w:rPr>
        <w:t xml:space="preserve">in Kraft ab dem </w:t>
      </w:r>
      <w:r w:rsidRPr="009118AB">
        <w:rPr>
          <w:i/>
          <w:iCs/>
        </w:rPr>
        <w:lastRenderedPageBreak/>
        <w:t>Steuerjahr 2004</w:t>
      </w:r>
      <w:r w:rsidR="003366D9" w:rsidRPr="009118AB">
        <w:rPr>
          <w:i/>
          <w:iCs/>
        </w:rPr>
        <w:t> -;</w:t>
      </w:r>
      <w:r w:rsidRPr="009118AB">
        <w:rPr>
          <w:i/>
          <w:iCs/>
        </w:rPr>
        <w:t xml:space="preserve"> einziger Absatz </w:t>
      </w:r>
      <w:r w:rsidR="00D67EB8" w:rsidRPr="009118AB">
        <w:rPr>
          <w:i/>
          <w:iCs/>
        </w:rPr>
        <w:t>Nr. </w:t>
      </w:r>
      <w:r w:rsidRPr="009118AB">
        <w:rPr>
          <w:i/>
          <w:iCs/>
        </w:rPr>
        <w:t xml:space="preserve">1 ersetzt durch </w:t>
      </w:r>
      <w:r w:rsidR="00D67EB8" w:rsidRPr="009118AB">
        <w:rPr>
          <w:i/>
          <w:iCs/>
        </w:rPr>
        <w:t>Art. </w:t>
      </w:r>
      <w:r w:rsidRPr="009118AB">
        <w:rPr>
          <w:i/>
          <w:iCs/>
        </w:rPr>
        <w:t>82 des G. vom 28. April 2003 (B.S. vom 15. Mai 2003)</w:t>
      </w:r>
      <w:r w:rsidR="00D67EB8" w:rsidRPr="009118AB">
        <w:rPr>
          <w:i/>
          <w:iCs/>
        </w:rPr>
        <w:t> - </w:t>
      </w:r>
      <w:r w:rsidRPr="009118AB">
        <w:rPr>
          <w:i/>
          <w:iCs/>
        </w:rPr>
        <w:t>anwendbar auf Beiträge und Prämien, die in Ausführung der ab dem 1. Januar 2004 abgeschlossenen individuellen Vereinbarungen gezahlt werden</w:t>
      </w:r>
      <w:r w:rsidR="00D67EB8" w:rsidRPr="009118AB">
        <w:rPr>
          <w:i/>
          <w:iCs/>
        </w:rPr>
        <w:t> - </w:t>
      </w:r>
      <w:r w:rsidRPr="009118AB">
        <w:rPr>
          <w:i/>
          <w:iCs/>
        </w:rPr>
        <w:t xml:space="preserve">und abgeändert durch </w:t>
      </w:r>
      <w:r w:rsidR="00D67EB8" w:rsidRPr="009118AB">
        <w:rPr>
          <w:i/>
          <w:iCs/>
        </w:rPr>
        <w:t>Art. </w:t>
      </w:r>
      <w:r w:rsidRPr="009118AB">
        <w:rPr>
          <w:i/>
          <w:iCs/>
        </w:rPr>
        <w:t>46 des G. vom 6. Dezember 2018 (B.S. vom 27. Dezember 2018)</w:t>
      </w:r>
      <w:r w:rsidR="00D67EB8" w:rsidRPr="009118AB">
        <w:rPr>
          <w:i/>
          <w:iCs/>
        </w:rPr>
        <w:t> - </w:t>
      </w:r>
      <w:r w:rsidRPr="009118AB">
        <w:rPr>
          <w:i/>
          <w:iCs/>
        </w:rPr>
        <w:t>in Kraft a</w:t>
      </w:r>
      <w:r w:rsidR="009D6F3E" w:rsidRPr="009118AB">
        <w:rPr>
          <w:i/>
          <w:iCs/>
        </w:rPr>
        <w:t>b</w:t>
      </w:r>
      <w:r w:rsidRPr="009118AB">
        <w:rPr>
          <w:i/>
          <w:iCs/>
        </w:rPr>
        <w:t xml:space="preserve"> dem Steuerjahr 2020</w:t>
      </w:r>
      <w:r w:rsidR="003366D9" w:rsidRPr="009118AB">
        <w:rPr>
          <w:i/>
          <w:iCs/>
        </w:rPr>
        <w:t> -;</w:t>
      </w:r>
      <w:r w:rsidRPr="009118AB">
        <w:rPr>
          <w:i/>
          <w:iCs/>
        </w:rPr>
        <w:t xml:space="preserve"> einziger Absatz </w:t>
      </w:r>
      <w:r w:rsidR="00D67EB8" w:rsidRPr="009118AB">
        <w:rPr>
          <w:i/>
          <w:iCs/>
        </w:rPr>
        <w:t>Nr. </w:t>
      </w:r>
      <w:r w:rsidRPr="009118AB">
        <w:rPr>
          <w:i/>
          <w:iCs/>
        </w:rPr>
        <w:t xml:space="preserve">1bis eingefügt durch </w:t>
      </w:r>
      <w:r w:rsidR="00D67EB8" w:rsidRPr="009118AB">
        <w:rPr>
          <w:i/>
          <w:iCs/>
        </w:rPr>
        <w:t>Art. </w:t>
      </w:r>
      <w:r w:rsidRPr="009118AB">
        <w:rPr>
          <w:i/>
          <w:iCs/>
        </w:rPr>
        <w:t>56 des G. vom 18. Februar 2018 (B.S. vom 30. März 2018)</w:t>
      </w:r>
      <w:r w:rsidR="00D67EB8" w:rsidRPr="009118AB">
        <w:rPr>
          <w:i/>
          <w:iCs/>
        </w:rPr>
        <w:t> - </w:t>
      </w:r>
      <w:r w:rsidRPr="009118AB">
        <w:rPr>
          <w:i/>
          <w:iCs/>
        </w:rPr>
        <w:t>anwendbar ab dem Steuerjahr 2019</w:t>
      </w:r>
      <w:r w:rsidR="003366D9" w:rsidRPr="009118AB">
        <w:rPr>
          <w:i/>
          <w:iCs/>
        </w:rPr>
        <w:t> -;</w:t>
      </w:r>
      <w:r w:rsidRPr="009118AB">
        <w:rPr>
          <w:i/>
          <w:iCs/>
        </w:rPr>
        <w:t xml:space="preserve"> einziger</w:t>
      </w:r>
      <w:r w:rsidR="00982F4C" w:rsidRPr="009118AB">
        <w:rPr>
          <w:i/>
          <w:iCs/>
        </w:rPr>
        <w:t xml:space="preserve"> Absatz </w:t>
      </w:r>
      <w:r w:rsidR="00D67EB8" w:rsidRPr="009118AB">
        <w:rPr>
          <w:i/>
          <w:iCs/>
        </w:rPr>
        <w:t>Nr. </w:t>
      </w:r>
      <w:r w:rsidRPr="009118AB">
        <w:rPr>
          <w:i/>
          <w:iCs/>
        </w:rPr>
        <w:t xml:space="preserve">2 ersetzt durch </w:t>
      </w:r>
      <w:r w:rsidR="00D67EB8" w:rsidRPr="009118AB">
        <w:rPr>
          <w:i/>
          <w:iCs/>
        </w:rPr>
        <w:t>Art. </w:t>
      </w:r>
      <w:r w:rsidRPr="009118AB">
        <w:rPr>
          <w:i/>
          <w:iCs/>
        </w:rPr>
        <w:t xml:space="preserve">397 </w:t>
      </w:r>
      <w:r w:rsidR="00D67EB8" w:rsidRPr="009118AB">
        <w:rPr>
          <w:i/>
          <w:iCs/>
        </w:rPr>
        <w:t>Nr. </w:t>
      </w:r>
      <w:r w:rsidRPr="009118AB">
        <w:rPr>
          <w:i/>
          <w:iCs/>
        </w:rPr>
        <w:t>1 des G. vom 27. Dezember 2004 (B.S. vom 31. Dezember 2004)</w:t>
      </w:r>
      <w:r w:rsidR="00D67EB8" w:rsidRPr="009118AB">
        <w:rPr>
          <w:i/>
          <w:iCs/>
        </w:rPr>
        <w:t> - </w:t>
      </w:r>
      <w:r w:rsidRPr="009118AB">
        <w:rPr>
          <w:i/>
          <w:iCs/>
        </w:rPr>
        <w:t>in Kraft ab dem Steuerjahr 2006</w:t>
      </w:r>
      <w:r w:rsidR="00FD68E8" w:rsidRPr="009118AB">
        <w:rPr>
          <w:i/>
          <w:iCs/>
        </w:rPr>
        <w:t> -,</w:t>
      </w:r>
      <w:r w:rsidRPr="009118AB">
        <w:rPr>
          <w:i/>
          <w:iCs/>
        </w:rPr>
        <w:t xml:space="preserve"> selbst abgeändert durch </w:t>
      </w:r>
      <w:r w:rsidR="00D67EB8" w:rsidRPr="009118AB">
        <w:rPr>
          <w:i/>
          <w:iCs/>
        </w:rPr>
        <w:t>Art. </w:t>
      </w:r>
      <w:r w:rsidRPr="009118AB">
        <w:rPr>
          <w:i/>
          <w:iCs/>
        </w:rPr>
        <w:t xml:space="preserve">183 </w:t>
      </w:r>
      <w:r w:rsidR="00D67EB8" w:rsidRPr="009118AB">
        <w:rPr>
          <w:i/>
          <w:iCs/>
        </w:rPr>
        <w:t>Nr. </w:t>
      </w:r>
      <w:r w:rsidRPr="009118AB">
        <w:rPr>
          <w:i/>
          <w:iCs/>
        </w:rPr>
        <w:t>1 des G. vom 27. Dezember 2005 (II) (B.S. vom 30. Dezember 2005)</w:t>
      </w:r>
      <w:r w:rsidR="00D67EB8" w:rsidRPr="009118AB">
        <w:rPr>
          <w:i/>
          <w:iCs/>
        </w:rPr>
        <w:t> - </w:t>
      </w:r>
      <w:r w:rsidRPr="009118AB">
        <w:rPr>
          <w:i/>
          <w:iCs/>
        </w:rPr>
        <w:t>in Kraft ab dem Steuerjahr 2006</w:t>
      </w:r>
      <w:r w:rsidR="00FD68E8" w:rsidRPr="009118AB">
        <w:rPr>
          <w:i/>
          <w:iCs/>
        </w:rPr>
        <w:t> -,</w:t>
      </w:r>
      <w:r w:rsidRPr="009118AB">
        <w:rPr>
          <w:i/>
          <w:iCs/>
        </w:rPr>
        <w:t xml:space="preserve"> und abgeändert durch </w:t>
      </w:r>
      <w:r w:rsidR="00D67EB8" w:rsidRPr="009118AB">
        <w:rPr>
          <w:i/>
          <w:iCs/>
        </w:rPr>
        <w:t>Art. </w:t>
      </w:r>
      <w:r w:rsidRPr="009118AB">
        <w:rPr>
          <w:i/>
          <w:iCs/>
        </w:rPr>
        <w:t xml:space="preserve">24 </w:t>
      </w:r>
      <w:r w:rsidR="00D67EB8" w:rsidRPr="009118AB">
        <w:rPr>
          <w:i/>
          <w:iCs/>
        </w:rPr>
        <w:t>Nr. </w:t>
      </w:r>
      <w:r w:rsidRPr="009118AB">
        <w:rPr>
          <w:i/>
          <w:iCs/>
        </w:rPr>
        <w:t>1 des G. vom 8. Mai 2014 (B.S. vom 28. Mai 2014)</w:t>
      </w:r>
      <w:r w:rsidR="00D67EB8" w:rsidRPr="009118AB">
        <w:rPr>
          <w:i/>
          <w:iCs/>
        </w:rPr>
        <w:t> - </w:t>
      </w:r>
      <w:r w:rsidRPr="009118AB">
        <w:rPr>
          <w:i/>
          <w:iCs/>
        </w:rPr>
        <w:t>anwendbar ab dem Steuerjahr 2015</w:t>
      </w:r>
      <w:r w:rsidR="003366D9" w:rsidRPr="009118AB">
        <w:rPr>
          <w:i/>
          <w:iCs/>
        </w:rPr>
        <w:t> -;</w:t>
      </w:r>
      <w:r w:rsidRPr="009118AB">
        <w:rPr>
          <w:i/>
          <w:iCs/>
        </w:rPr>
        <w:t xml:space="preserve"> einziger Absatz </w:t>
      </w:r>
      <w:r w:rsidR="00D67EB8" w:rsidRPr="009118AB">
        <w:rPr>
          <w:i/>
          <w:iCs/>
        </w:rPr>
        <w:t>Nr. </w:t>
      </w:r>
      <w:r w:rsidRPr="009118AB">
        <w:rPr>
          <w:i/>
          <w:iCs/>
        </w:rPr>
        <w:t xml:space="preserve">3 ersetzt durch </w:t>
      </w:r>
      <w:r w:rsidR="00D67EB8" w:rsidRPr="009118AB">
        <w:rPr>
          <w:i/>
          <w:iCs/>
        </w:rPr>
        <w:t>Art. </w:t>
      </w:r>
      <w:r w:rsidRPr="009118AB">
        <w:rPr>
          <w:i/>
          <w:iCs/>
        </w:rPr>
        <w:t>4 des G. vom 17. Mai 2000 (B.S. vom 16. Juni 2000)</w:t>
      </w:r>
      <w:r w:rsidR="00D67EB8" w:rsidRPr="009118AB">
        <w:rPr>
          <w:i/>
          <w:iCs/>
        </w:rPr>
        <w:t> - </w:t>
      </w:r>
      <w:r w:rsidRPr="009118AB">
        <w:rPr>
          <w:i/>
          <w:iCs/>
        </w:rPr>
        <w:t>in Kraft ab dem Steuerjahr 2001</w:t>
      </w:r>
      <w:r w:rsidR="00D67EB8" w:rsidRPr="009118AB">
        <w:rPr>
          <w:i/>
          <w:iCs/>
        </w:rPr>
        <w:t> - </w:t>
      </w:r>
      <w:r w:rsidRPr="009118AB">
        <w:rPr>
          <w:i/>
          <w:iCs/>
        </w:rPr>
        <w:t xml:space="preserve">und abgeändert durch 397 </w:t>
      </w:r>
      <w:r w:rsidR="00D67EB8" w:rsidRPr="009118AB">
        <w:rPr>
          <w:i/>
          <w:iCs/>
        </w:rPr>
        <w:t>Nr. </w:t>
      </w:r>
      <w:r w:rsidRPr="009118AB">
        <w:rPr>
          <w:i/>
          <w:iCs/>
        </w:rPr>
        <w:t>2 des G. vom 27. Dezember 2004 (B.S. vom 31. Dezember 2004)</w:t>
      </w:r>
      <w:r w:rsidR="00D67EB8" w:rsidRPr="009118AB">
        <w:rPr>
          <w:i/>
          <w:iCs/>
        </w:rPr>
        <w:t> - </w:t>
      </w:r>
      <w:r w:rsidRPr="009118AB">
        <w:rPr>
          <w:i/>
          <w:iCs/>
        </w:rPr>
        <w:t>in Kraft ab dem Steuerjahr 2006</w:t>
      </w:r>
      <w:r w:rsidR="00FD68E8" w:rsidRPr="009118AB">
        <w:rPr>
          <w:i/>
          <w:iCs/>
        </w:rPr>
        <w:t> -,</w:t>
      </w:r>
      <w:r w:rsidRPr="009118AB">
        <w:rPr>
          <w:i/>
          <w:iCs/>
        </w:rPr>
        <w:t xml:space="preserve"> selbst abgeändert durch </w:t>
      </w:r>
      <w:r w:rsidR="00D67EB8" w:rsidRPr="009118AB">
        <w:rPr>
          <w:i/>
          <w:iCs/>
        </w:rPr>
        <w:t>Art. </w:t>
      </w:r>
      <w:r w:rsidRPr="009118AB">
        <w:rPr>
          <w:i/>
          <w:iCs/>
        </w:rPr>
        <w:t xml:space="preserve">183 </w:t>
      </w:r>
      <w:r w:rsidR="00D67EB8" w:rsidRPr="009118AB">
        <w:rPr>
          <w:i/>
          <w:iCs/>
        </w:rPr>
        <w:t>Nr. </w:t>
      </w:r>
      <w:r w:rsidRPr="009118AB">
        <w:rPr>
          <w:i/>
          <w:iCs/>
        </w:rPr>
        <w:t>1 des G. vom 27. Dezember 2005 (II) (B.S. vom 30. Dezember 2005)</w:t>
      </w:r>
      <w:r w:rsidR="00D67EB8" w:rsidRPr="009118AB">
        <w:rPr>
          <w:i/>
          <w:iCs/>
        </w:rPr>
        <w:t> - </w:t>
      </w:r>
      <w:r w:rsidRPr="009118AB">
        <w:rPr>
          <w:i/>
          <w:iCs/>
        </w:rPr>
        <w:t>in Kraft ab dem Steuerjahr 2006</w:t>
      </w:r>
      <w:r w:rsidR="00FD68E8" w:rsidRPr="009118AB">
        <w:rPr>
          <w:i/>
          <w:iCs/>
        </w:rPr>
        <w:t> -,</w:t>
      </w:r>
      <w:r w:rsidRPr="009118AB">
        <w:rPr>
          <w:i/>
          <w:iCs/>
        </w:rPr>
        <w:t xml:space="preserve"> </w:t>
      </w:r>
      <w:r w:rsidR="00297A91" w:rsidRPr="009118AB">
        <w:rPr>
          <w:i/>
          <w:iCs/>
        </w:rPr>
        <w:t xml:space="preserve">und </w:t>
      </w:r>
      <w:r w:rsidRPr="009118AB">
        <w:rPr>
          <w:i/>
          <w:iCs/>
        </w:rPr>
        <w:t xml:space="preserve">durch </w:t>
      </w:r>
      <w:r w:rsidR="00D67EB8" w:rsidRPr="009118AB">
        <w:rPr>
          <w:i/>
          <w:iCs/>
        </w:rPr>
        <w:t>Art. </w:t>
      </w:r>
      <w:r w:rsidRPr="009118AB">
        <w:rPr>
          <w:i/>
          <w:iCs/>
        </w:rPr>
        <w:t xml:space="preserve">349 </w:t>
      </w:r>
      <w:r w:rsidR="00D67EB8" w:rsidRPr="009118AB">
        <w:rPr>
          <w:i/>
          <w:iCs/>
        </w:rPr>
        <w:t>Nr. </w:t>
      </w:r>
      <w:r w:rsidRPr="009118AB">
        <w:rPr>
          <w:i/>
          <w:iCs/>
        </w:rPr>
        <w:t>1 des G. (I) vom 27. Dezember 2006 (II)</w:t>
      </w:r>
      <w:r w:rsidR="00B3148A" w:rsidRPr="009118AB">
        <w:rPr>
          <w:i/>
          <w:iCs/>
        </w:rPr>
        <w:t xml:space="preserve"> (B.S. vom 28. Dezember 2006)</w:t>
      </w:r>
      <w:r w:rsidR="00D67EB8" w:rsidRPr="009118AB">
        <w:rPr>
          <w:i/>
          <w:iCs/>
        </w:rPr>
        <w:t> - </w:t>
      </w:r>
      <w:r w:rsidRPr="009118AB">
        <w:rPr>
          <w:i/>
          <w:iCs/>
        </w:rPr>
        <w:t>anwendbar ab dem Steuerjahr 2007</w:t>
      </w:r>
      <w:r w:rsidR="00D67EB8" w:rsidRPr="009118AB">
        <w:rPr>
          <w:i/>
          <w:iCs/>
        </w:rPr>
        <w:t> -</w:t>
      </w:r>
      <w:r w:rsidR="00297A91" w:rsidRPr="009118AB">
        <w:rPr>
          <w:i/>
          <w:iCs/>
        </w:rPr>
        <w:t>,</w:t>
      </w:r>
      <w:r w:rsidRPr="009118AB">
        <w:rPr>
          <w:i/>
          <w:iCs/>
        </w:rPr>
        <w:t xml:space="preserve"> </w:t>
      </w:r>
      <w:r w:rsidR="00D67EB8" w:rsidRPr="009118AB">
        <w:rPr>
          <w:i/>
          <w:iCs/>
        </w:rPr>
        <w:t>Art. </w:t>
      </w:r>
      <w:r w:rsidRPr="009118AB">
        <w:rPr>
          <w:i/>
          <w:iCs/>
        </w:rPr>
        <w:t xml:space="preserve">24 </w:t>
      </w:r>
      <w:r w:rsidR="00D67EB8" w:rsidRPr="009118AB">
        <w:rPr>
          <w:i/>
          <w:iCs/>
        </w:rPr>
        <w:t>Nr. </w:t>
      </w:r>
      <w:r w:rsidRPr="009118AB">
        <w:rPr>
          <w:i/>
          <w:iCs/>
        </w:rPr>
        <w:t>2</w:t>
      </w:r>
      <w:r w:rsidRPr="009118AB">
        <w:rPr>
          <w:i/>
        </w:rPr>
        <w:t xml:space="preserve"> des G. vom 8. Mai 2014 (B.S. vom 28. Mai 2014)</w:t>
      </w:r>
      <w:r w:rsidR="00D67EB8" w:rsidRPr="009118AB">
        <w:rPr>
          <w:i/>
        </w:rPr>
        <w:t> - </w:t>
      </w:r>
      <w:r w:rsidRPr="009118AB">
        <w:rPr>
          <w:i/>
          <w:iCs/>
        </w:rPr>
        <w:t>anwendbar ab dem Steuerjahr 2015</w:t>
      </w:r>
      <w:r w:rsidR="003366D9" w:rsidRPr="009118AB">
        <w:rPr>
          <w:i/>
          <w:iCs/>
        </w:rPr>
        <w:t> -</w:t>
      </w:r>
      <w:r w:rsidR="00297A91" w:rsidRPr="009118AB">
        <w:rPr>
          <w:i/>
          <w:iCs/>
        </w:rPr>
        <w:t xml:space="preserve"> und Art. 110</w:t>
      </w:r>
      <w:r w:rsidR="00297A91" w:rsidRPr="009118AB">
        <w:rPr>
          <w:bCs/>
          <w:i/>
          <w:iCs/>
        </w:rPr>
        <w:t xml:space="preserve"> des G. vom 26. Dezember 2022</w:t>
      </w:r>
      <w:r w:rsidR="00236038" w:rsidRPr="009118AB">
        <w:rPr>
          <w:i/>
          <w:iCs/>
        </w:rPr>
        <w:t> (I)</w:t>
      </w:r>
      <w:r w:rsidR="00297A91" w:rsidRPr="009118AB">
        <w:rPr>
          <w:bCs/>
          <w:i/>
          <w:iCs/>
        </w:rPr>
        <w:t xml:space="preserve"> (B.S. vom 30. Dezember 2022)</w:t>
      </w:r>
      <w:r w:rsidR="003366D9" w:rsidRPr="009118AB">
        <w:rPr>
          <w:i/>
          <w:iCs/>
        </w:rPr>
        <w:t>;</w:t>
      </w:r>
      <w:r w:rsidRPr="009118AB">
        <w:rPr>
          <w:i/>
          <w:iCs/>
        </w:rPr>
        <w:t xml:space="preserve"> einziger Absatz </w:t>
      </w:r>
      <w:r w:rsidR="00D67EB8" w:rsidRPr="009118AB">
        <w:rPr>
          <w:i/>
          <w:iCs/>
        </w:rPr>
        <w:t>Nr. </w:t>
      </w:r>
      <w:r w:rsidRPr="009118AB">
        <w:rPr>
          <w:i/>
          <w:iCs/>
        </w:rPr>
        <w:t xml:space="preserve">4 ersetzt durch </w:t>
      </w:r>
      <w:r w:rsidR="00D67EB8" w:rsidRPr="009118AB">
        <w:rPr>
          <w:i/>
          <w:iCs/>
        </w:rPr>
        <w:t>Art. </w:t>
      </w:r>
      <w:r w:rsidR="00982F4C" w:rsidRPr="009118AB">
        <w:rPr>
          <w:i/>
          <w:iCs/>
        </w:rPr>
        <w:t xml:space="preserve">349 </w:t>
      </w:r>
      <w:r w:rsidR="00D67EB8" w:rsidRPr="009118AB">
        <w:rPr>
          <w:i/>
          <w:iCs/>
        </w:rPr>
        <w:t>Nr. </w:t>
      </w:r>
      <w:r w:rsidR="00982F4C" w:rsidRPr="009118AB">
        <w:rPr>
          <w:i/>
          <w:iCs/>
        </w:rPr>
        <w:t>2 des G. </w:t>
      </w:r>
      <w:r w:rsidRPr="009118AB">
        <w:rPr>
          <w:i/>
          <w:iCs/>
        </w:rPr>
        <w:t>(I) vom 27. Dezember 2006 (II)</w:t>
      </w:r>
      <w:r w:rsidR="00B3148A" w:rsidRPr="009118AB">
        <w:rPr>
          <w:i/>
          <w:iCs/>
        </w:rPr>
        <w:t xml:space="preserve"> (B.S. vom 28. Dezember 2006)</w:t>
      </w:r>
      <w:r w:rsidR="00D67EB8" w:rsidRPr="009118AB">
        <w:rPr>
          <w:i/>
          <w:iCs/>
        </w:rPr>
        <w:t> - </w:t>
      </w:r>
      <w:r w:rsidRPr="009118AB">
        <w:rPr>
          <w:i/>
          <w:iCs/>
        </w:rPr>
        <w:t>anwendbar ab dem Steuerjahr 2007</w:t>
      </w:r>
      <w:r w:rsidR="00D67EB8" w:rsidRPr="009118AB">
        <w:rPr>
          <w:i/>
          <w:iCs/>
        </w:rPr>
        <w:t> - </w:t>
      </w:r>
      <w:r w:rsidR="00982F4C" w:rsidRPr="009118AB">
        <w:rPr>
          <w:i/>
          <w:iCs/>
        </w:rPr>
        <w:t xml:space="preserve">und abgeändert durch </w:t>
      </w:r>
      <w:r w:rsidR="00D67EB8" w:rsidRPr="009118AB">
        <w:rPr>
          <w:i/>
          <w:iCs/>
        </w:rPr>
        <w:t>Art. </w:t>
      </w:r>
      <w:r w:rsidR="00982F4C" w:rsidRPr="009118AB">
        <w:rPr>
          <w:i/>
          <w:iCs/>
        </w:rPr>
        <w:t xml:space="preserve">19 </w:t>
      </w:r>
      <w:r w:rsidR="00D67EB8" w:rsidRPr="009118AB">
        <w:rPr>
          <w:i/>
          <w:iCs/>
        </w:rPr>
        <w:t>Nr. </w:t>
      </w:r>
      <w:r w:rsidR="00982F4C" w:rsidRPr="009118AB">
        <w:rPr>
          <w:i/>
          <w:iCs/>
        </w:rPr>
        <w:t>1, 2 und 4</w:t>
      </w:r>
      <w:r w:rsidR="00982F4C" w:rsidRPr="009118AB">
        <w:rPr>
          <w:i/>
          <w:iCs/>
          <w:spacing w:val="-2"/>
        </w:rPr>
        <w:t xml:space="preserve"> des G. vom 17. März 2019 (III) (B.S. vom 10. Mai 2019)</w:t>
      </w:r>
      <w:r w:rsidR="00D67EB8" w:rsidRPr="009118AB">
        <w:rPr>
          <w:i/>
          <w:iCs/>
          <w:spacing w:val="-2"/>
        </w:rPr>
        <w:t> - </w:t>
      </w:r>
      <w:r w:rsidR="00982F4C" w:rsidRPr="009118AB">
        <w:rPr>
          <w:i/>
          <w:iCs/>
          <w:spacing w:val="-2"/>
        </w:rPr>
        <w:t>in Kraft am 1. Mai 2019</w:t>
      </w:r>
      <w:r w:rsidR="003366D9" w:rsidRPr="009118AB">
        <w:rPr>
          <w:i/>
          <w:iCs/>
          <w:spacing w:val="-2"/>
        </w:rPr>
        <w:t> -;</w:t>
      </w:r>
      <w:r w:rsidRPr="009118AB">
        <w:rPr>
          <w:i/>
          <w:iCs/>
        </w:rPr>
        <w:t xml:space="preserve"> einziger Absatz </w:t>
      </w:r>
      <w:r w:rsidR="00D67EB8" w:rsidRPr="009118AB">
        <w:rPr>
          <w:i/>
          <w:iCs/>
        </w:rPr>
        <w:t>Nr. </w:t>
      </w:r>
      <w:r w:rsidRPr="009118AB">
        <w:rPr>
          <w:i/>
          <w:iCs/>
        </w:rPr>
        <w:t xml:space="preserve">6 eingefügt durch </w:t>
      </w:r>
      <w:r w:rsidR="00D67EB8" w:rsidRPr="009118AB">
        <w:rPr>
          <w:i/>
          <w:iCs/>
        </w:rPr>
        <w:t>Art. </w:t>
      </w:r>
      <w:r w:rsidRPr="009118AB">
        <w:rPr>
          <w:i/>
          <w:iCs/>
        </w:rPr>
        <w:t xml:space="preserve">205 </w:t>
      </w:r>
      <w:r w:rsidR="00D67EB8" w:rsidRPr="009118AB">
        <w:rPr>
          <w:i/>
          <w:iCs/>
        </w:rPr>
        <w:t>Nr. </w:t>
      </w:r>
      <w:r w:rsidRPr="009118AB">
        <w:rPr>
          <w:i/>
          <w:iCs/>
        </w:rPr>
        <w:t>2 des G. vom 25. Januar 1999 (B.S. vom 6. Februar 1999)</w:t>
      </w:r>
      <w:r w:rsidR="00D67EB8" w:rsidRPr="009118AB">
        <w:rPr>
          <w:i/>
          <w:iCs/>
        </w:rPr>
        <w:t> - </w:t>
      </w:r>
      <w:r w:rsidRPr="009118AB">
        <w:rPr>
          <w:i/>
          <w:iCs/>
        </w:rPr>
        <w:t>in Kraft ab dem 1. April 1999</w:t>
      </w:r>
      <w:r w:rsidR="00D67EB8" w:rsidRPr="009118AB">
        <w:rPr>
          <w:i/>
          <w:iCs/>
        </w:rPr>
        <w:t> - </w:t>
      </w:r>
      <w:r w:rsidRPr="009118AB">
        <w:rPr>
          <w:i/>
          <w:iCs/>
        </w:rPr>
        <w:t xml:space="preserve">und aufgehoben durch </w:t>
      </w:r>
      <w:r w:rsidR="00D67EB8" w:rsidRPr="009118AB">
        <w:rPr>
          <w:i/>
          <w:iCs/>
        </w:rPr>
        <w:t>Art. </w:t>
      </w:r>
      <w:r w:rsidRPr="009118AB">
        <w:rPr>
          <w:i/>
          <w:iCs/>
        </w:rPr>
        <w:t xml:space="preserve">23 </w:t>
      </w:r>
      <w:r w:rsidR="00D67EB8" w:rsidRPr="009118AB">
        <w:rPr>
          <w:i/>
          <w:iCs/>
        </w:rPr>
        <w:t>Nr. </w:t>
      </w:r>
      <w:r w:rsidRPr="009118AB">
        <w:rPr>
          <w:i/>
          <w:iCs/>
        </w:rPr>
        <w:t>2 des G. (I) vom 24. Dezember 2002 (I) (B.S. vom 31. Dezember 2002)</w:t>
      </w:r>
      <w:r w:rsidR="00D67EB8" w:rsidRPr="009118AB">
        <w:rPr>
          <w:i/>
          <w:iCs/>
        </w:rPr>
        <w:t> - </w:t>
      </w:r>
      <w:r w:rsidRPr="009118AB">
        <w:rPr>
          <w:i/>
          <w:iCs/>
        </w:rPr>
        <w:t>in Kraft ab dem Steuerjahr 2004</w:t>
      </w:r>
      <w:r w:rsidR="00FD68E8" w:rsidRPr="009118AB">
        <w:rPr>
          <w:i/>
          <w:iCs/>
        </w:rPr>
        <w:t> -]</w:t>
      </w:r>
    </w:p>
    <w:p w14:paraId="18125263" w14:textId="77777777" w:rsidR="00477B8F" w:rsidRPr="009118AB" w:rsidRDefault="00477B8F" w:rsidP="00477B8F">
      <w:pPr>
        <w:autoSpaceDE w:val="0"/>
        <w:autoSpaceDN w:val="0"/>
        <w:adjustRightInd w:val="0"/>
        <w:jc w:val="both"/>
      </w:pPr>
    </w:p>
    <w:p w14:paraId="11EF5431" w14:textId="77777777" w:rsidR="004B0B62" w:rsidRPr="009118AB" w:rsidRDefault="004B0B62" w:rsidP="00477B8F">
      <w:pPr>
        <w:autoSpaceDE w:val="0"/>
        <w:autoSpaceDN w:val="0"/>
        <w:adjustRightInd w:val="0"/>
        <w:jc w:val="both"/>
      </w:pPr>
    </w:p>
    <w:p w14:paraId="257DA66E" w14:textId="34F3C80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2</w:t>
      </w:r>
      <w:r w:rsidR="00D67EB8" w:rsidRPr="009118AB">
        <w:t> - </w:t>
      </w:r>
      <w:r w:rsidRPr="009118AB">
        <w:t>[</w:t>
      </w:r>
      <w:r w:rsidR="00C254B4" w:rsidRPr="009118AB">
        <w:t>Die Steuerermäßigung beträgt 30 Prozent der tatsächlich gezahlten Ausgaben.</w:t>
      </w:r>
      <w:r w:rsidRPr="009118AB">
        <w:t>]</w:t>
      </w:r>
    </w:p>
    <w:p w14:paraId="6066A080" w14:textId="77777777" w:rsidR="0015759F" w:rsidRPr="009118AB" w:rsidRDefault="0015759F" w:rsidP="00477B8F">
      <w:pPr>
        <w:autoSpaceDE w:val="0"/>
        <w:autoSpaceDN w:val="0"/>
        <w:adjustRightInd w:val="0"/>
        <w:jc w:val="both"/>
      </w:pPr>
    </w:p>
    <w:p w14:paraId="5C2846D5" w14:textId="206D8A4D" w:rsidR="0015759F" w:rsidRPr="009118AB" w:rsidRDefault="0015759F" w:rsidP="00477B8F">
      <w:pPr>
        <w:autoSpaceDE w:val="0"/>
        <w:autoSpaceDN w:val="0"/>
        <w:adjustRightInd w:val="0"/>
        <w:jc w:val="both"/>
      </w:pPr>
      <w:r w:rsidRPr="009118AB">
        <w:tab/>
        <w:t>[</w:t>
      </w:r>
      <w:r w:rsidRPr="009118AB">
        <w:rPr>
          <w:rFonts w:eastAsia="Calibri"/>
        </w:rPr>
        <w:t>In Abweichung von Absatz 1 wird die Steuerermäßigung für Ausgaben, die in Artikel 145</w:t>
      </w:r>
      <w:r w:rsidRPr="009118AB">
        <w:rPr>
          <w:rFonts w:eastAsia="Calibri"/>
          <w:vertAlign w:val="superscript"/>
        </w:rPr>
        <w:t>1</w:t>
      </w:r>
      <w:r w:rsidRPr="009118AB">
        <w:rPr>
          <w:rFonts w:eastAsia="Calibri"/>
        </w:rPr>
        <w:t xml:space="preserve"> </w:t>
      </w:r>
      <w:r w:rsidR="00D67EB8" w:rsidRPr="009118AB">
        <w:rPr>
          <w:rFonts w:eastAsia="Calibri"/>
        </w:rPr>
        <w:t>Nr. </w:t>
      </w:r>
      <w:r w:rsidRPr="009118AB">
        <w:rPr>
          <w:rFonts w:eastAsia="Calibri"/>
        </w:rPr>
        <w:t>5 erwähnt sind, zum Satz von 25 Prozent berechnet für Beträge, die in Artikel 145</w:t>
      </w:r>
      <w:r w:rsidRPr="009118AB">
        <w:rPr>
          <w:rFonts w:eastAsia="Calibri"/>
          <w:vertAlign w:val="superscript"/>
        </w:rPr>
        <w:t>8</w:t>
      </w:r>
      <w:r w:rsidRPr="009118AB">
        <w:rPr>
          <w:rFonts w:eastAsia="Calibri"/>
        </w:rPr>
        <w:t xml:space="preserve"> </w:t>
      </w:r>
      <w:r w:rsidR="00D67EB8" w:rsidRPr="009118AB">
        <w:rPr>
          <w:rFonts w:eastAsia="Calibri"/>
        </w:rPr>
        <w:t>§ </w:t>
      </w:r>
      <w:r w:rsidRPr="009118AB">
        <w:rPr>
          <w:rFonts w:eastAsia="Calibri"/>
        </w:rPr>
        <w:t>1 Absatz 3 erwähnt sind.</w:t>
      </w:r>
      <w:r w:rsidRPr="009118AB">
        <w:t>]</w:t>
      </w:r>
    </w:p>
    <w:p w14:paraId="10324EA5" w14:textId="77777777" w:rsidR="00477B8F" w:rsidRPr="009118AB" w:rsidRDefault="00477B8F" w:rsidP="00477B8F">
      <w:pPr>
        <w:autoSpaceDE w:val="0"/>
        <w:autoSpaceDN w:val="0"/>
        <w:adjustRightInd w:val="0"/>
        <w:jc w:val="both"/>
      </w:pPr>
    </w:p>
    <w:p w14:paraId="74FFCDAE" w14:textId="255964A1"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2</w:t>
      </w:r>
      <w:r w:rsidRPr="009118AB">
        <w:rPr>
          <w:i/>
          <w:iCs/>
        </w:rPr>
        <w:t xml:space="preserve"> ersetzt durch </w:t>
      </w:r>
      <w:r w:rsidR="00D67EB8" w:rsidRPr="009118AB">
        <w:rPr>
          <w:i/>
          <w:iCs/>
        </w:rPr>
        <w:t>Art. </w:t>
      </w:r>
      <w:r w:rsidR="00C254B4" w:rsidRPr="009118AB">
        <w:rPr>
          <w:i/>
          <w:iCs/>
        </w:rPr>
        <w:t>16 des G. vom 13. Dezember 2012 (B.S. vom 20. Dezember 2012)</w:t>
      </w:r>
      <w:r w:rsidR="00D67EB8" w:rsidRPr="009118AB">
        <w:rPr>
          <w:i/>
          <w:iCs/>
        </w:rPr>
        <w:t> - </w:t>
      </w:r>
      <w:r w:rsidR="00C254B4" w:rsidRPr="009118AB">
        <w:rPr>
          <w:i/>
          <w:iCs/>
        </w:rPr>
        <w:t>in Kraft ab dem Steuerjahr 2013</w:t>
      </w:r>
      <w:r w:rsidR="003366D9" w:rsidRPr="009118AB">
        <w:rPr>
          <w:i/>
          <w:iCs/>
        </w:rPr>
        <w:t> -;</w:t>
      </w:r>
      <w:r w:rsidR="0015759F" w:rsidRPr="009118AB">
        <w:rPr>
          <w:i/>
          <w:iCs/>
        </w:rPr>
        <w:t xml:space="preserve"> </w:t>
      </w:r>
      <w:r w:rsidR="00D67EB8" w:rsidRPr="009118AB">
        <w:rPr>
          <w:i/>
          <w:iCs/>
        </w:rPr>
        <w:t>Abs. </w:t>
      </w:r>
      <w:r w:rsidR="0015759F" w:rsidRPr="009118AB">
        <w:rPr>
          <w:i/>
          <w:iCs/>
        </w:rPr>
        <w:t xml:space="preserve">2 eingefügt durch </w:t>
      </w:r>
      <w:r w:rsidR="00D67EB8" w:rsidRPr="009118AB">
        <w:rPr>
          <w:i/>
          <w:iCs/>
        </w:rPr>
        <w:t>Art. </w:t>
      </w:r>
      <w:r w:rsidR="0015759F" w:rsidRPr="009118AB">
        <w:rPr>
          <w:i/>
          <w:iCs/>
        </w:rPr>
        <w:t>59 des G. vom 26. März 2018 (B.S. vom 30. März 2018)</w:t>
      </w:r>
      <w:r w:rsidR="00D67EB8" w:rsidRPr="009118AB">
        <w:rPr>
          <w:i/>
          <w:iCs/>
        </w:rPr>
        <w:t> - </w:t>
      </w:r>
      <w:r w:rsidR="00CB3480" w:rsidRPr="009118AB">
        <w:rPr>
          <w:i/>
          <w:iCs/>
        </w:rPr>
        <w:t>wirksam ab dem Steuerjahr 2019</w:t>
      </w:r>
      <w:r w:rsidR="00FD68E8" w:rsidRPr="009118AB">
        <w:rPr>
          <w:i/>
          <w:iCs/>
        </w:rPr>
        <w:t> -]</w:t>
      </w:r>
    </w:p>
    <w:p w14:paraId="14827FD4" w14:textId="77777777" w:rsidR="00477B8F" w:rsidRPr="009118AB" w:rsidRDefault="00477B8F" w:rsidP="00477B8F">
      <w:pPr>
        <w:autoSpaceDE w:val="0"/>
        <w:autoSpaceDN w:val="0"/>
        <w:adjustRightInd w:val="0"/>
        <w:jc w:val="both"/>
      </w:pPr>
      <w:r w:rsidRPr="009118AB">
        <w:br w:type="page"/>
      </w:r>
      <w:r w:rsidRPr="009118AB">
        <w:lastRenderedPageBreak/>
        <w:tab/>
      </w:r>
      <w:r w:rsidRPr="009118AB">
        <w:rPr>
          <w:i/>
          <w:iCs/>
        </w:rPr>
        <w:t>B.</w:t>
      </w:r>
      <w:r w:rsidRPr="009118AB">
        <w:t xml:space="preserve"> [Vom Arbeitgeber oder Unternehmen gezahlte persönliche Beiträge und Prämien]</w:t>
      </w:r>
    </w:p>
    <w:p w14:paraId="6D6EA5FB" w14:textId="77777777" w:rsidR="00477B8F" w:rsidRPr="009118AB" w:rsidRDefault="00477B8F" w:rsidP="00477B8F">
      <w:pPr>
        <w:autoSpaceDE w:val="0"/>
        <w:autoSpaceDN w:val="0"/>
        <w:adjustRightInd w:val="0"/>
        <w:jc w:val="both"/>
      </w:pPr>
    </w:p>
    <w:p w14:paraId="48E27057" w14:textId="5E0D3336" w:rsidR="00477B8F" w:rsidRPr="009118AB" w:rsidRDefault="00477B8F" w:rsidP="00477B8F">
      <w:pPr>
        <w:autoSpaceDE w:val="0"/>
        <w:autoSpaceDN w:val="0"/>
        <w:adjustRightInd w:val="0"/>
        <w:jc w:val="both"/>
      </w:pPr>
      <w:r w:rsidRPr="009118AB">
        <w:rPr>
          <w:i/>
          <w:iCs/>
        </w:rPr>
        <w:t xml:space="preserve">[Überschrift von Unterteilung B ersetzt durch </w:t>
      </w:r>
      <w:r w:rsidR="00D67EB8" w:rsidRPr="009118AB">
        <w:rPr>
          <w:i/>
          <w:iCs/>
        </w:rPr>
        <w:t>Art. </w:t>
      </w:r>
      <w:r w:rsidRPr="009118AB">
        <w:rPr>
          <w:i/>
          <w:iCs/>
        </w:rPr>
        <w:t xml:space="preserve">83 </w:t>
      </w:r>
      <w:r w:rsidR="00D67EB8" w:rsidRPr="009118AB">
        <w:rPr>
          <w:i/>
          <w:iCs/>
        </w:rPr>
        <w:t>Nr. </w:t>
      </w:r>
      <w:r w:rsidRPr="009118AB">
        <w:rPr>
          <w:i/>
          <w:iCs/>
        </w:rPr>
        <w:t>1 des G. vom 28. April 2003 (B.S.</w:t>
      </w:r>
      <w:r w:rsidR="008C2F6E" w:rsidRPr="009118AB">
        <w:rPr>
          <w:i/>
          <w:iCs/>
        </w:rPr>
        <w:t> </w:t>
      </w:r>
      <w:r w:rsidRPr="009118AB">
        <w:rPr>
          <w:i/>
          <w:iCs/>
        </w:rPr>
        <w:t>vom 15. Mai 2003)</w:t>
      </w:r>
      <w:r w:rsidR="00D67EB8" w:rsidRPr="009118AB">
        <w:rPr>
          <w:i/>
          <w:iCs/>
        </w:rPr>
        <w:t> - </w:t>
      </w:r>
      <w:r w:rsidRPr="009118AB">
        <w:rPr>
          <w:i/>
          <w:iCs/>
        </w:rPr>
        <w:t>anwendbar auf andere Beiträge und Prämien als diejenigen, die in Ausführung der ab dem 1. Januar 2004 abgeschlossenen individuellen Vereinbarungen gezahlt werden</w:t>
      </w:r>
      <w:r w:rsidR="00FD68E8" w:rsidRPr="009118AB">
        <w:rPr>
          <w:i/>
          <w:iCs/>
        </w:rPr>
        <w:t> -]</w:t>
      </w:r>
    </w:p>
    <w:p w14:paraId="31FC91A6" w14:textId="77777777" w:rsidR="00477B8F" w:rsidRPr="009118AB" w:rsidRDefault="00477B8F" w:rsidP="00477B8F">
      <w:pPr>
        <w:autoSpaceDE w:val="0"/>
        <w:autoSpaceDN w:val="0"/>
        <w:adjustRightInd w:val="0"/>
        <w:jc w:val="both"/>
      </w:pPr>
    </w:p>
    <w:p w14:paraId="416C5131" w14:textId="77777777" w:rsidR="00477B8F" w:rsidRPr="009118AB" w:rsidRDefault="00477B8F" w:rsidP="00477B8F">
      <w:pPr>
        <w:autoSpaceDE w:val="0"/>
        <w:autoSpaceDN w:val="0"/>
        <w:adjustRightInd w:val="0"/>
        <w:jc w:val="both"/>
      </w:pPr>
    </w:p>
    <w:p w14:paraId="73738E01" w14:textId="4342C0C4" w:rsidR="004B0B62" w:rsidRPr="009118AB" w:rsidRDefault="00477B8F" w:rsidP="004B0B62">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3</w:t>
      </w:r>
      <w:r w:rsidR="00D67EB8" w:rsidRPr="009118AB">
        <w:t> - </w:t>
      </w:r>
      <w:r w:rsidR="004B0B62" w:rsidRPr="009118AB">
        <w:t>In Artikel 145</w:t>
      </w:r>
      <w:r w:rsidR="004B0B62" w:rsidRPr="009118AB">
        <w:rPr>
          <w:vertAlign w:val="superscript"/>
        </w:rPr>
        <w:t>1</w:t>
      </w:r>
      <w:r w:rsidR="004B0B62" w:rsidRPr="009118AB">
        <w:t xml:space="preserve"> </w:t>
      </w:r>
      <w:r w:rsidR="00D67EB8" w:rsidRPr="009118AB">
        <w:t>Nr. </w:t>
      </w:r>
      <w:r w:rsidR="004B0B62" w:rsidRPr="009118AB">
        <w:t>1 erwähnte [persönliche Beiträge und Prämien] werden für die Ermäßigung berücksichtigt unter der Bedingung, dass sie definitiv [an ein Versicherungsunternehmen, eine Vorsorgeeinrichtung oder eine Einrichtung der betrieblichen Altersversorgung, die in einem Mitgliedstaat des Europäischen Wirtschaftsraums ansässig sind], gezahlt werden und dass die in Jahresrenten ausgedrückten gesetzlichen und außergesetzlichen Leistungen bei Versetzung in den Ruhestand 80 Prozent der letzten normalen Bruttojahresentlohnung nicht übersteigen und auf der Grundlage einer normalen Berufstätigkeitsdauer berechnet werden. Eine Indexierung der Renten ist erlaubt.</w:t>
      </w:r>
    </w:p>
    <w:p w14:paraId="331BA7F6" w14:textId="77777777" w:rsidR="004B0B62" w:rsidRPr="009118AB" w:rsidRDefault="004B0B62" w:rsidP="004B0B62">
      <w:pPr>
        <w:autoSpaceDE w:val="0"/>
        <w:autoSpaceDN w:val="0"/>
        <w:adjustRightInd w:val="0"/>
        <w:jc w:val="both"/>
      </w:pPr>
    </w:p>
    <w:p w14:paraId="47075BEA" w14:textId="578FC86E" w:rsidR="004B0B62" w:rsidRPr="009118AB" w:rsidRDefault="004B0B62" w:rsidP="0010484B">
      <w:pPr>
        <w:autoSpaceDE w:val="0"/>
        <w:autoSpaceDN w:val="0"/>
        <w:adjustRightInd w:val="0"/>
        <w:ind w:firstLine="709"/>
        <w:jc w:val="both"/>
      </w:pPr>
      <w:r w:rsidRPr="009118AB">
        <w:t xml:space="preserve">Die Grenze von 80 Prozent wird gemäß [Artikel 59 </w:t>
      </w:r>
      <w:r w:rsidR="00D67EB8" w:rsidRPr="009118AB">
        <w:t>§ </w:t>
      </w:r>
      <w:r w:rsidRPr="009118AB">
        <w:t xml:space="preserve">4] beurteilt. </w:t>
      </w:r>
    </w:p>
    <w:p w14:paraId="005DE7CB" w14:textId="77777777" w:rsidR="004B0B62" w:rsidRPr="009118AB" w:rsidRDefault="004B0B62" w:rsidP="004B0B62">
      <w:pPr>
        <w:autoSpaceDE w:val="0"/>
        <w:autoSpaceDN w:val="0"/>
        <w:adjustRightInd w:val="0"/>
        <w:jc w:val="both"/>
      </w:pPr>
    </w:p>
    <w:p w14:paraId="2D920AAC" w14:textId="00869A38" w:rsidR="004B0B62" w:rsidRPr="009118AB" w:rsidRDefault="004B0B62" w:rsidP="0010484B">
      <w:pPr>
        <w:autoSpaceDE w:val="0"/>
        <w:autoSpaceDN w:val="0"/>
        <w:adjustRightInd w:val="0"/>
        <w:ind w:firstLine="709"/>
        <w:jc w:val="both"/>
      </w:pPr>
      <w:r w:rsidRPr="009118AB">
        <w:t>[Beziehen in Artikel 145</w:t>
      </w:r>
      <w:r w:rsidRPr="009118AB">
        <w:rPr>
          <w:vertAlign w:val="superscript"/>
        </w:rPr>
        <w:t>1</w:t>
      </w:r>
      <w:r w:rsidRPr="009118AB">
        <w:t xml:space="preserve"> </w:t>
      </w:r>
      <w:r w:rsidR="00D67EB8" w:rsidRPr="009118AB">
        <w:t>Nr. </w:t>
      </w:r>
      <w:r w:rsidRPr="009118AB">
        <w:t>1 erwähnte persönliche Beiträge und Prämien sich auf die individuelle Weiterführung einer in Artikel 33 des Gesetzes vom 28. April 2003 über ergänzende Pensionen und das Besteuerungssystem für diese Pensionen und für bestimmte Zusatzleistungen im Bereich der sozialen Sicherheit erwähnten Pensionsvereinbarung, dürfen die getätigten Zahlungen 1.500 EUR pro Jahr nicht übersteigen. Dieser Jahresbetrag wird im Verhältnis zu den Tagen desselben Jahres, während deren der Betreffende einer in vorerwähntem Gesetz erwähnten Pensionsregelung angeschlossen war, verringert.]</w:t>
      </w:r>
    </w:p>
    <w:p w14:paraId="56B03D9A" w14:textId="77777777" w:rsidR="004B0B62" w:rsidRPr="009118AB" w:rsidRDefault="004B0B62" w:rsidP="004B0B62">
      <w:pPr>
        <w:autoSpaceDE w:val="0"/>
        <w:autoSpaceDN w:val="0"/>
        <w:adjustRightInd w:val="0"/>
        <w:jc w:val="both"/>
      </w:pPr>
    </w:p>
    <w:p w14:paraId="4238325C" w14:textId="19C9C9F7" w:rsidR="004B0B62" w:rsidRPr="009118AB" w:rsidRDefault="004B0B62" w:rsidP="0010484B">
      <w:pPr>
        <w:autoSpaceDE w:val="0"/>
        <w:autoSpaceDN w:val="0"/>
        <w:adjustRightInd w:val="0"/>
        <w:ind w:firstLine="709"/>
        <w:jc w:val="both"/>
      </w:pPr>
      <w:r w:rsidRPr="009118AB">
        <w:t>[Beziehen in Artikel 145</w:t>
      </w:r>
      <w:r w:rsidRPr="009118AB">
        <w:rPr>
          <w:vertAlign w:val="superscript"/>
        </w:rPr>
        <w:t>1</w:t>
      </w:r>
      <w:r w:rsidRPr="009118AB">
        <w:t xml:space="preserve"> </w:t>
      </w:r>
      <w:r w:rsidR="00D67EB8" w:rsidRPr="009118AB">
        <w:t>Nr. </w:t>
      </w:r>
      <w:r w:rsidRPr="009118AB">
        <w:t xml:space="preserve">1 erwähnte persönliche Beiträge und Prämien sich auf eine freie ergänzende Pension für Lohnempfänger wie in Titel 2 des Gesetzes vom 6. Dezember 2018 zur Einführung einer freien ergänzenden Altersversorgung für Lohnempfänger und zur Festlegung verschiedener Bestimmungen im Bereich ergänzende Altersversorgung erwähnt, dürfen die Jahresbeiträge die Plusdifferenz zwischen dem gemäß Artikel 3 </w:t>
      </w:r>
      <w:r w:rsidR="00D67EB8" w:rsidRPr="009118AB">
        <w:t>§ </w:t>
      </w:r>
      <w:r w:rsidRPr="009118AB">
        <w:t>2 Absatz 2 Buchstabe </w:t>
      </w:r>
      <w:r w:rsidRPr="009118AB">
        <w:rPr>
          <w:i/>
        </w:rPr>
        <w:t>a)</w:t>
      </w:r>
      <w:r w:rsidRPr="009118AB">
        <w:t xml:space="preserve"> und </w:t>
      </w:r>
      <w:r w:rsidR="00D67EB8" w:rsidRPr="009118AB">
        <w:t>§ </w:t>
      </w:r>
      <w:r w:rsidRPr="009118AB">
        <w:t xml:space="preserve">3 des vorerwähnten Gesetzes bestimmten Betrag, mit einem Mindestbetrag von 980 EUR, und dem gemäß Artikel 3 </w:t>
      </w:r>
      <w:r w:rsidR="00D67EB8" w:rsidRPr="009118AB">
        <w:t>§ </w:t>
      </w:r>
      <w:r w:rsidRPr="009118AB">
        <w:t>2 Absatz 2 Buchstabe </w:t>
      </w:r>
      <w:r w:rsidRPr="009118AB">
        <w:rPr>
          <w:i/>
        </w:rPr>
        <w:t>b)</w:t>
      </w:r>
      <w:r w:rsidRPr="009118AB">
        <w:t xml:space="preserve"> desselben Gesetzes bestimmten Betrag nicht übersteigen.]</w:t>
      </w:r>
    </w:p>
    <w:p w14:paraId="00F0BF1B" w14:textId="77777777" w:rsidR="004B0B62" w:rsidRPr="009118AB" w:rsidRDefault="004B0B62" w:rsidP="004B0B62">
      <w:pPr>
        <w:autoSpaceDE w:val="0"/>
        <w:autoSpaceDN w:val="0"/>
        <w:adjustRightInd w:val="0"/>
        <w:jc w:val="both"/>
      </w:pPr>
    </w:p>
    <w:p w14:paraId="2EE00D75" w14:textId="77777777" w:rsidR="004B0B62" w:rsidRPr="009118AB" w:rsidRDefault="004B0B62" w:rsidP="0010484B">
      <w:pPr>
        <w:autoSpaceDE w:val="0"/>
        <w:autoSpaceDN w:val="0"/>
        <w:adjustRightInd w:val="0"/>
        <w:ind w:firstLine="709"/>
        <w:jc w:val="both"/>
      </w:pPr>
      <w:r w:rsidRPr="009118AB">
        <w:t>[Der König legt Bedingungen und Weise fest, wie vorliegende Bestimmung angewandt wird.]</w:t>
      </w:r>
    </w:p>
    <w:p w14:paraId="64710025" w14:textId="77777777" w:rsidR="004B0B62" w:rsidRPr="009118AB" w:rsidRDefault="004B0B62" w:rsidP="004B0B62">
      <w:pPr>
        <w:autoSpaceDE w:val="0"/>
        <w:autoSpaceDN w:val="0"/>
        <w:adjustRightInd w:val="0"/>
        <w:jc w:val="both"/>
      </w:pPr>
    </w:p>
    <w:p w14:paraId="5E1F6B16" w14:textId="77777777" w:rsidR="004B0B62" w:rsidRPr="009118AB" w:rsidRDefault="004B0B62" w:rsidP="0010484B">
      <w:pPr>
        <w:autoSpaceDE w:val="0"/>
        <w:autoSpaceDN w:val="0"/>
        <w:adjustRightInd w:val="0"/>
        <w:ind w:firstLine="709"/>
        <w:jc w:val="both"/>
      </w:pPr>
      <w:r w:rsidRPr="009118AB">
        <w:t>[Leistungsvorschüsse, Verpfändungen von Pensionsansprüchen als Sicherheit für eine Anleihe und die Verwendung des Rückkaufswertes zur Wiederherstellung einer Hypothekenanleihe beeinträchtigen den aufgrund von [Absatz 1] erforderlichen definitiven Charakter der Zahlung der Beiträge und Prämien nicht, wenn sie bewilligt werden, um es einem Arbeitnehmer zu ermöglichen, in einem Mitgliedstaat des Europäischen Wirtschaftsraums gelegene unbewegliche Güter, die in Belgien oder einem anderen Mitgliedstaat des Europäischen Wirtschaftsraums steuerpflichtige Einkünfte erzeugen, zu erwerben, zu bauen, zu verbessern, instandzusetzen oder umzubauen, und sofern die Vorschüsse und Anleihen zurückgezahlt werden, sobald vorerwähnte Güter nicht mehr Teil des Vermögens des Arbeitnehmers sind.]</w:t>
      </w:r>
    </w:p>
    <w:p w14:paraId="765C12D7" w14:textId="77777777" w:rsidR="004B0B62" w:rsidRPr="009118AB" w:rsidRDefault="004B0B62" w:rsidP="004B0B62">
      <w:pPr>
        <w:autoSpaceDE w:val="0"/>
        <w:autoSpaceDN w:val="0"/>
        <w:adjustRightInd w:val="0"/>
        <w:jc w:val="both"/>
      </w:pPr>
    </w:p>
    <w:p w14:paraId="454BB8DE" w14:textId="77777777" w:rsidR="004B0B62" w:rsidRPr="009118AB" w:rsidRDefault="004B0B62" w:rsidP="0010484B">
      <w:pPr>
        <w:autoSpaceDE w:val="0"/>
        <w:autoSpaceDN w:val="0"/>
        <w:adjustRightInd w:val="0"/>
        <w:ind w:firstLine="709"/>
        <w:jc w:val="both"/>
      </w:pPr>
      <w:r w:rsidRPr="009118AB">
        <w:lastRenderedPageBreak/>
        <w:t>[Die in [Absatz 6] erwähnte Einschränkung muss in den Regelungen der Versicherungs</w:t>
      </w:r>
      <w:r w:rsidRPr="009118AB">
        <w:softHyphen/>
        <w:t>geschäfte auf Gruppenbasis, den Versicherungsverträgen, den Pensionsregelungen, [den Vereinbarungen in Bezug auf eine ergänzende Pension erwähnt im Gesetz vom 28. April 2003 über ergänzende Pensionen und das Besteuerungssystem für diese Pensionen und für bestimmte Zusatzleistungen im Bereich der sozialen Sicherheit, den Abkommen in Bezug auf eine ergänzende Pension für Lohnempfänger erwähnt in Titel 2 des Gesetzes vom 6. Dezember 2018 zur Einführung einer freien ergänzenden Altersversorgung für Lohnempfänger und zur Festlegung verschiedener Bestimmungen im Bereich ergänzende Altersversorgung und in den Abkommen in Bezug auf eine ergänzende Pension für Selbständige] erwähnt im Programmgesetz (I) vom 24. Dezember 2002 eingetragen sein.]</w:t>
      </w:r>
    </w:p>
    <w:p w14:paraId="04FFF2BF" w14:textId="77777777" w:rsidR="004B0B62" w:rsidRPr="009118AB" w:rsidRDefault="004B0B62" w:rsidP="004B0B62">
      <w:pPr>
        <w:autoSpaceDE w:val="0"/>
        <w:autoSpaceDN w:val="0"/>
        <w:adjustRightInd w:val="0"/>
        <w:jc w:val="both"/>
      </w:pPr>
    </w:p>
    <w:p w14:paraId="6A10318C" w14:textId="691DD0C1" w:rsidR="004B0B62" w:rsidRPr="009118AB" w:rsidRDefault="004B0B62" w:rsidP="004B0B62">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3</w:t>
      </w:r>
      <w:r w:rsidRPr="009118AB">
        <w:rPr>
          <w:i/>
          <w:iCs/>
        </w:rPr>
        <w:t xml:space="preserve"> </w:t>
      </w:r>
      <w:r w:rsidR="00D67EB8" w:rsidRPr="009118AB">
        <w:rPr>
          <w:i/>
          <w:iCs/>
        </w:rPr>
        <w:t>Abs. </w:t>
      </w:r>
      <w:r w:rsidRPr="009118AB">
        <w:rPr>
          <w:i/>
          <w:iCs/>
        </w:rPr>
        <w:t xml:space="preserve">1 abgeändert durch </w:t>
      </w:r>
      <w:r w:rsidR="00D67EB8" w:rsidRPr="009118AB">
        <w:rPr>
          <w:i/>
          <w:iCs/>
        </w:rPr>
        <w:t>Art. </w:t>
      </w:r>
      <w:r w:rsidRPr="009118AB">
        <w:rPr>
          <w:i/>
          <w:iCs/>
        </w:rPr>
        <w:t xml:space="preserve">83 </w:t>
      </w:r>
      <w:r w:rsidR="00D67EB8" w:rsidRPr="009118AB">
        <w:rPr>
          <w:i/>
          <w:iCs/>
        </w:rPr>
        <w:t>Nr. </w:t>
      </w:r>
      <w:r w:rsidRPr="009118AB">
        <w:rPr>
          <w:i/>
          <w:iCs/>
        </w:rPr>
        <w:t>2 Buchstabe a) des G. vom 28. April 2003 (B.S. vom 15. Mai 2003)</w:t>
      </w:r>
      <w:r w:rsidR="00D67EB8" w:rsidRPr="009118AB">
        <w:rPr>
          <w:i/>
          <w:iCs/>
        </w:rPr>
        <w:t> - </w:t>
      </w:r>
      <w:r w:rsidRPr="009118AB">
        <w:rPr>
          <w:i/>
          <w:iCs/>
        </w:rPr>
        <w:t>anwendbar auf andere Beiträge und Prämien als diejenigen, die in Ausführung der ab dem 1. Januar 2004 abgeschlossenen individuellen Vereinbarungen gezahlt werden</w:t>
      </w:r>
      <w:r w:rsidR="00D67EB8" w:rsidRPr="009118AB">
        <w:rPr>
          <w:i/>
          <w:iCs/>
        </w:rPr>
        <w:t> - </w:t>
      </w:r>
      <w:r w:rsidRPr="009118AB">
        <w:rPr>
          <w:i/>
          <w:iCs/>
        </w:rPr>
        <w:t xml:space="preserve">und </w:t>
      </w:r>
      <w:r w:rsidR="00D67EB8" w:rsidRPr="009118AB">
        <w:rPr>
          <w:i/>
          <w:iCs/>
        </w:rPr>
        <w:t>Art. </w:t>
      </w:r>
      <w:r w:rsidRPr="009118AB">
        <w:rPr>
          <w:i/>
          <w:iCs/>
        </w:rPr>
        <w:t xml:space="preserve">350 </w:t>
      </w:r>
      <w:r w:rsidR="00D67EB8" w:rsidRPr="009118AB">
        <w:rPr>
          <w:i/>
          <w:iCs/>
        </w:rPr>
        <w:t>Nr. </w:t>
      </w:r>
      <w:r w:rsidRPr="009118AB">
        <w:rPr>
          <w:i/>
          <w:iCs/>
        </w:rPr>
        <w:t>1 des G. (I) vom 27. Dezember 2006 (II) (B.S. vom 28. Dezember 2006)</w:t>
      </w:r>
      <w:r w:rsidR="00D67EB8" w:rsidRPr="009118AB">
        <w:rPr>
          <w:i/>
          <w:iCs/>
        </w:rPr>
        <w:t> - </w:t>
      </w:r>
      <w:r w:rsidRPr="009118AB">
        <w:rPr>
          <w:i/>
          <w:iCs/>
        </w:rPr>
        <w:t>anwendbar ab dem Steuerjahr 2007</w:t>
      </w:r>
      <w:r w:rsidR="003366D9" w:rsidRPr="009118AB">
        <w:rPr>
          <w:i/>
          <w:iCs/>
        </w:rPr>
        <w:t> -;</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 xml:space="preserve">83 </w:t>
      </w:r>
      <w:r w:rsidR="00D67EB8" w:rsidRPr="009118AB">
        <w:rPr>
          <w:i/>
          <w:iCs/>
        </w:rPr>
        <w:t>Nr. </w:t>
      </w:r>
      <w:r w:rsidRPr="009118AB">
        <w:rPr>
          <w:i/>
          <w:iCs/>
        </w:rPr>
        <w:t>2 Buchstabe b) des G. vom 28. April 2003 (B.S. vom 15. Mai 2003)</w:t>
      </w:r>
      <w:r w:rsidR="00D67EB8" w:rsidRPr="009118AB">
        <w:rPr>
          <w:i/>
          <w:iCs/>
        </w:rPr>
        <w:t> - </w:t>
      </w:r>
      <w:r w:rsidRPr="009118AB">
        <w:rPr>
          <w:i/>
          <w:iCs/>
        </w:rPr>
        <w:t>anwendbar auf andere Beiträge und Prämien als diejenigen, die in Ausführung der ab dem 1. Januar 2004 abgeschlossenen individuellen Vereinbarungen gezahlt werden</w:t>
      </w:r>
      <w:r w:rsidR="003366D9" w:rsidRPr="009118AB">
        <w:rPr>
          <w:i/>
          <w:iCs/>
        </w:rPr>
        <w:t> -;</w:t>
      </w:r>
      <w:r w:rsidRPr="009118AB">
        <w:rPr>
          <w:i/>
          <w:iCs/>
        </w:rPr>
        <w:t xml:space="preserve"> neuer Absatz 3 eingefügt durch </w:t>
      </w:r>
      <w:r w:rsidR="00D67EB8" w:rsidRPr="009118AB">
        <w:rPr>
          <w:i/>
          <w:iCs/>
        </w:rPr>
        <w:t>Art. </w:t>
      </w:r>
      <w:r w:rsidRPr="009118AB">
        <w:rPr>
          <w:i/>
          <w:iCs/>
        </w:rPr>
        <w:t xml:space="preserve">83 </w:t>
      </w:r>
      <w:r w:rsidR="00D67EB8" w:rsidRPr="009118AB">
        <w:rPr>
          <w:i/>
          <w:iCs/>
        </w:rPr>
        <w:t>Nr. </w:t>
      </w:r>
      <w:r w:rsidRPr="009118AB">
        <w:rPr>
          <w:i/>
          <w:iCs/>
        </w:rPr>
        <w:t>2 Buchstabe c) des G. vom 28. April</w:t>
      </w:r>
      <w:r w:rsidR="00B3148A" w:rsidRPr="009118AB">
        <w:rPr>
          <w:i/>
          <w:iCs/>
        </w:rPr>
        <w:t> 2003 (B.S. vom 15. Mai 2003)</w:t>
      </w:r>
      <w:r w:rsidR="00D67EB8" w:rsidRPr="009118AB">
        <w:rPr>
          <w:i/>
          <w:iCs/>
        </w:rPr>
        <w:t> - </w:t>
      </w:r>
      <w:r w:rsidRPr="009118AB">
        <w:rPr>
          <w:i/>
          <w:iCs/>
        </w:rPr>
        <w:t>anwendbar auf andere Beiträge und Prämien als diejenigen, die in Ausführung der ab dem 1. Januar 2004 abgeschlossenen individuellen Vereinbarungen gezahlt werden</w:t>
      </w:r>
      <w:r w:rsidR="003366D9" w:rsidRPr="009118AB">
        <w:rPr>
          <w:i/>
          <w:iCs/>
        </w:rPr>
        <w:t> -;</w:t>
      </w:r>
      <w:r w:rsidRPr="009118AB">
        <w:rPr>
          <w:i/>
          <w:iCs/>
        </w:rPr>
        <w:t xml:space="preserve"> neuer Absatz 4 eingefügt durch </w:t>
      </w:r>
      <w:r w:rsidR="00D67EB8" w:rsidRPr="009118AB">
        <w:rPr>
          <w:i/>
          <w:iCs/>
        </w:rPr>
        <w:t>Art. </w:t>
      </w:r>
      <w:r w:rsidRPr="009118AB">
        <w:rPr>
          <w:i/>
          <w:iCs/>
        </w:rPr>
        <w:t xml:space="preserve">47 </w:t>
      </w:r>
      <w:r w:rsidR="00D67EB8" w:rsidRPr="009118AB">
        <w:rPr>
          <w:i/>
          <w:iCs/>
        </w:rPr>
        <w:t>Nr. </w:t>
      </w:r>
      <w:r w:rsidRPr="009118AB">
        <w:rPr>
          <w:i/>
          <w:iCs/>
        </w:rPr>
        <w:t>1 des G. vom 6. Dezember 2018 (B.S. vom 27. Dezember 2018)</w:t>
      </w:r>
      <w:r w:rsidR="00D67EB8" w:rsidRPr="009118AB">
        <w:rPr>
          <w:i/>
          <w:iCs/>
        </w:rPr>
        <w:t> - </w:t>
      </w:r>
      <w:r w:rsidRPr="009118AB">
        <w:rPr>
          <w:i/>
          <w:iCs/>
        </w:rPr>
        <w:t>in Kraft a</w:t>
      </w:r>
      <w:r w:rsidR="009D6F3E" w:rsidRPr="009118AB">
        <w:rPr>
          <w:i/>
          <w:iCs/>
        </w:rPr>
        <w:t>b</w:t>
      </w:r>
      <w:r w:rsidRPr="009118AB">
        <w:rPr>
          <w:i/>
          <w:iCs/>
        </w:rPr>
        <w:t xml:space="preserve"> dem Steuerjahr 2020</w:t>
      </w:r>
      <w:r w:rsidR="003366D9" w:rsidRPr="009118AB">
        <w:rPr>
          <w:i/>
          <w:iCs/>
        </w:rPr>
        <w:t> -;</w:t>
      </w:r>
      <w:r w:rsidRPr="009118AB">
        <w:rPr>
          <w:i/>
          <w:iCs/>
        </w:rPr>
        <w:t xml:space="preserve"> </w:t>
      </w:r>
      <w:r w:rsidR="00D67EB8" w:rsidRPr="009118AB">
        <w:rPr>
          <w:i/>
          <w:iCs/>
        </w:rPr>
        <w:t>Abs. </w:t>
      </w:r>
      <w:r w:rsidRPr="009118AB">
        <w:rPr>
          <w:i/>
          <w:iCs/>
        </w:rPr>
        <w:t xml:space="preserve">5 (früherer Absatz 4) ersetzt durch </w:t>
      </w:r>
      <w:r w:rsidR="00D67EB8" w:rsidRPr="009118AB">
        <w:rPr>
          <w:i/>
          <w:iCs/>
        </w:rPr>
        <w:t>Art. </w:t>
      </w:r>
      <w:r w:rsidRPr="009118AB">
        <w:rPr>
          <w:i/>
          <w:iCs/>
        </w:rPr>
        <w:t xml:space="preserve">350 </w:t>
      </w:r>
      <w:r w:rsidR="00D67EB8" w:rsidRPr="009118AB">
        <w:rPr>
          <w:i/>
          <w:iCs/>
        </w:rPr>
        <w:t>Nr. </w:t>
      </w:r>
      <w:r w:rsidRPr="009118AB">
        <w:rPr>
          <w:i/>
          <w:iCs/>
        </w:rPr>
        <w:t>2 des G. (I) vom 27. Dezember 2006</w:t>
      </w:r>
      <w:r w:rsidR="007B2D78" w:rsidRPr="009118AB">
        <w:rPr>
          <w:i/>
          <w:iCs/>
        </w:rPr>
        <w:t> </w:t>
      </w:r>
      <w:r w:rsidRPr="009118AB">
        <w:rPr>
          <w:i/>
          <w:iCs/>
        </w:rPr>
        <w:t>(II) (B.S. vom 28. Dezember 2006)</w:t>
      </w:r>
      <w:r w:rsidR="00D67EB8" w:rsidRPr="009118AB">
        <w:rPr>
          <w:i/>
          <w:iCs/>
        </w:rPr>
        <w:t> - </w:t>
      </w:r>
      <w:r w:rsidRPr="009118AB">
        <w:rPr>
          <w:i/>
          <w:iCs/>
        </w:rPr>
        <w:t>anwendbar ab dem Steuerjahr 2007</w:t>
      </w:r>
      <w:r w:rsidR="003366D9" w:rsidRPr="009118AB">
        <w:rPr>
          <w:i/>
          <w:iCs/>
        </w:rPr>
        <w:t> -;</w:t>
      </w:r>
      <w:r w:rsidRPr="009118AB">
        <w:rPr>
          <w:i/>
          <w:iCs/>
        </w:rPr>
        <w:t xml:space="preserve"> </w:t>
      </w:r>
      <w:r w:rsidR="00D67EB8" w:rsidRPr="009118AB">
        <w:rPr>
          <w:i/>
          <w:iCs/>
        </w:rPr>
        <w:t>Abs. </w:t>
      </w:r>
      <w:r w:rsidRPr="009118AB">
        <w:rPr>
          <w:i/>
          <w:iCs/>
        </w:rPr>
        <w:t xml:space="preserve">6 eingefügt durch </w:t>
      </w:r>
      <w:r w:rsidR="00D67EB8" w:rsidRPr="009118AB">
        <w:rPr>
          <w:i/>
          <w:iCs/>
        </w:rPr>
        <w:t>Art. </w:t>
      </w:r>
      <w:r w:rsidRPr="009118AB">
        <w:rPr>
          <w:i/>
          <w:iCs/>
        </w:rPr>
        <w:t xml:space="preserve">350 </w:t>
      </w:r>
      <w:r w:rsidR="00D67EB8" w:rsidRPr="009118AB">
        <w:rPr>
          <w:i/>
          <w:iCs/>
        </w:rPr>
        <w:t>Nr. </w:t>
      </w:r>
      <w:r w:rsidRPr="009118AB">
        <w:rPr>
          <w:i/>
          <w:iCs/>
        </w:rPr>
        <w:t>3 des G. (I) vom 27. Dezember 2006 (II) (B.S. vom 28. Dezember 2006)</w:t>
      </w:r>
      <w:r w:rsidR="00D67EB8" w:rsidRPr="009118AB">
        <w:rPr>
          <w:i/>
          <w:iCs/>
        </w:rPr>
        <w:t> - </w:t>
      </w:r>
      <w:r w:rsidRPr="009118AB">
        <w:rPr>
          <w:i/>
          <w:iCs/>
        </w:rPr>
        <w:t>anwendbar ab dem Steuerjahr 2007</w:t>
      </w:r>
      <w:r w:rsidR="00D67EB8" w:rsidRPr="009118AB">
        <w:rPr>
          <w:i/>
          <w:iCs/>
        </w:rPr>
        <w:t> - </w:t>
      </w:r>
      <w:r w:rsidRPr="009118AB">
        <w:rPr>
          <w:i/>
          <w:iCs/>
        </w:rPr>
        <w:t xml:space="preserve">und abgeändert durch </w:t>
      </w:r>
      <w:r w:rsidR="00D67EB8" w:rsidRPr="009118AB">
        <w:rPr>
          <w:i/>
          <w:iCs/>
        </w:rPr>
        <w:t>Art. </w:t>
      </w:r>
      <w:r w:rsidRPr="009118AB">
        <w:rPr>
          <w:i/>
          <w:iCs/>
        </w:rPr>
        <w:t>17 des G. vom 13. Dezember 2012 (B.S</w:t>
      </w:r>
      <w:r w:rsidR="00B3148A" w:rsidRPr="009118AB">
        <w:rPr>
          <w:i/>
          <w:iCs/>
        </w:rPr>
        <w:t>. vom 20. Dezember 2012)</w:t>
      </w:r>
      <w:r w:rsidR="00D67EB8" w:rsidRPr="009118AB">
        <w:rPr>
          <w:i/>
          <w:iCs/>
        </w:rPr>
        <w:t> - </w:t>
      </w:r>
      <w:r w:rsidRPr="009118AB">
        <w:rPr>
          <w:i/>
          <w:iCs/>
        </w:rPr>
        <w:t>in Kraft ab dem Steuerjahr 2013</w:t>
      </w:r>
      <w:r w:rsidR="003366D9" w:rsidRPr="009118AB">
        <w:rPr>
          <w:i/>
          <w:iCs/>
        </w:rPr>
        <w:t> -;</w:t>
      </w:r>
      <w:r w:rsidRPr="009118AB">
        <w:rPr>
          <w:i/>
          <w:iCs/>
        </w:rPr>
        <w:t xml:space="preserve"> </w:t>
      </w:r>
      <w:r w:rsidR="00D67EB8" w:rsidRPr="009118AB">
        <w:rPr>
          <w:i/>
          <w:iCs/>
        </w:rPr>
        <w:t>Abs. </w:t>
      </w:r>
      <w:r w:rsidRPr="009118AB">
        <w:rPr>
          <w:i/>
          <w:iCs/>
        </w:rPr>
        <w:t xml:space="preserve">7 eingefügt durch </w:t>
      </w:r>
      <w:r w:rsidR="00D67EB8" w:rsidRPr="009118AB">
        <w:rPr>
          <w:i/>
          <w:iCs/>
        </w:rPr>
        <w:t>Art. </w:t>
      </w:r>
      <w:r w:rsidRPr="009118AB">
        <w:rPr>
          <w:i/>
          <w:iCs/>
        </w:rPr>
        <w:t xml:space="preserve">350 </w:t>
      </w:r>
      <w:r w:rsidR="00D67EB8" w:rsidRPr="009118AB">
        <w:rPr>
          <w:i/>
          <w:iCs/>
        </w:rPr>
        <w:t>Nr. </w:t>
      </w:r>
      <w:r w:rsidRPr="009118AB">
        <w:rPr>
          <w:i/>
          <w:iCs/>
        </w:rPr>
        <w:t>3 des G. (I) vom 27. Dezember 2006 (II) (B.S. vom 28. Dezember 2006)</w:t>
      </w:r>
      <w:r w:rsidR="00D67EB8" w:rsidRPr="009118AB">
        <w:rPr>
          <w:i/>
          <w:iCs/>
        </w:rPr>
        <w:t> - </w:t>
      </w:r>
      <w:r w:rsidRPr="009118AB">
        <w:rPr>
          <w:i/>
          <w:iCs/>
        </w:rPr>
        <w:t>anwendbar ab dem Steuerjahr 2007</w:t>
      </w:r>
      <w:r w:rsidR="00D67EB8" w:rsidRPr="009118AB">
        <w:rPr>
          <w:i/>
          <w:iCs/>
        </w:rPr>
        <w:t> - </w:t>
      </w:r>
      <w:r w:rsidRPr="009118AB">
        <w:rPr>
          <w:i/>
          <w:iCs/>
        </w:rPr>
        <w:t xml:space="preserve">und abgeändert durch </w:t>
      </w:r>
      <w:r w:rsidR="00D67EB8" w:rsidRPr="009118AB">
        <w:rPr>
          <w:i/>
          <w:iCs/>
        </w:rPr>
        <w:t>Art. </w:t>
      </w:r>
      <w:r w:rsidRPr="009118AB">
        <w:rPr>
          <w:i/>
          <w:iCs/>
        </w:rPr>
        <w:t xml:space="preserve">47 </w:t>
      </w:r>
      <w:r w:rsidR="00D67EB8" w:rsidRPr="009118AB">
        <w:rPr>
          <w:i/>
          <w:iCs/>
        </w:rPr>
        <w:t>Nr. </w:t>
      </w:r>
      <w:r w:rsidRPr="009118AB">
        <w:rPr>
          <w:i/>
          <w:iCs/>
        </w:rPr>
        <w:t>2 des G. vom 6. Dezember 2018 (B.S. vom 27. Dezember 2018)</w:t>
      </w:r>
      <w:r w:rsidR="00D67EB8" w:rsidRPr="009118AB">
        <w:rPr>
          <w:i/>
          <w:iCs/>
        </w:rPr>
        <w:t> - </w:t>
      </w:r>
      <w:r w:rsidRPr="009118AB">
        <w:rPr>
          <w:i/>
          <w:iCs/>
        </w:rPr>
        <w:t>in Kraft a</w:t>
      </w:r>
      <w:r w:rsidR="009D6F3E" w:rsidRPr="009118AB">
        <w:rPr>
          <w:i/>
          <w:iCs/>
        </w:rPr>
        <w:t>b</w:t>
      </w:r>
      <w:r w:rsidRPr="009118AB">
        <w:rPr>
          <w:i/>
          <w:iCs/>
        </w:rPr>
        <w:t xml:space="preserve"> dem Steuerjahr 2020</w:t>
      </w:r>
      <w:r w:rsidR="00FD68E8" w:rsidRPr="009118AB">
        <w:rPr>
          <w:i/>
          <w:iCs/>
        </w:rPr>
        <w:t> -]</w:t>
      </w:r>
    </w:p>
    <w:p w14:paraId="0A49AF7D" w14:textId="77777777" w:rsidR="004D1675" w:rsidRPr="009118AB" w:rsidRDefault="004D1675">
      <w:r w:rsidRPr="009118AB">
        <w:br w:type="page"/>
      </w:r>
    </w:p>
    <w:p w14:paraId="47DE09E7" w14:textId="4FE928AF" w:rsidR="004D1675" w:rsidRPr="009118AB" w:rsidRDefault="004D1675" w:rsidP="004D1675">
      <w:pPr>
        <w:autoSpaceDE w:val="0"/>
        <w:autoSpaceDN w:val="0"/>
        <w:adjustRightInd w:val="0"/>
        <w:ind w:firstLine="709"/>
        <w:jc w:val="both"/>
      </w:pPr>
      <w:r w:rsidRPr="009118AB">
        <w:lastRenderedPageBreak/>
        <w:t>[</w:t>
      </w:r>
      <w:r w:rsidRPr="009118AB">
        <w:rPr>
          <w:i/>
        </w:rPr>
        <w:t>B/1</w:t>
      </w:r>
      <w:r w:rsidR="00D67EB8" w:rsidRPr="009118AB">
        <w:t> - </w:t>
      </w:r>
      <w:r w:rsidRPr="009118AB">
        <w:t>Für eine ergänzende Pension für Selbständige gezahlte Beiträge und Prämien]</w:t>
      </w:r>
    </w:p>
    <w:p w14:paraId="2C2EC54D" w14:textId="77777777" w:rsidR="004D1675" w:rsidRPr="009118AB" w:rsidRDefault="004D1675" w:rsidP="004D1675">
      <w:pPr>
        <w:autoSpaceDE w:val="0"/>
        <w:autoSpaceDN w:val="0"/>
        <w:adjustRightInd w:val="0"/>
        <w:ind w:firstLine="709"/>
        <w:jc w:val="both"/>
      </w:pPr>
    </w:p>
    <w:p w14:paraId="1953E168" w14:textId="66B90121" w:rsidR="004D1675" w:rsidRPr="009118AB" w:rsidRDefault="004D1675" w:rsidP="004D1675">
      <w:pPr>
        <w:autoSpaceDE w:val="0"/>
        <w:autoSpaceDN w:val="0"/>
        <w:adjustRightInd w:val="0"/>
        <w:jc w:val="both"/>
        <w:rPr>
          <w:iCs/>
        </w:rPr>
      </w:pPr>
      <w:r w:rsidRPr="009118AB">
        <w:rPr>
          <w:i/>
        </w:rPr>
        <w:t xml:space="preserve">[Unterteilung B/1 eingefügt durch </w:t>
      </w:r>
      <w:r w:rsidR="00D67EB8" w:rsidRPr="009118AB">
        <w:rPr>
          <w:i/>
        </w:rPr>
        <w:t>Art. </w:t>
      </w:r>
      <w:r w:rsidRPr="009118AB">
        <w:rPr>
          <w:i/>
        </w:rPr>
        <w:t>57</w:t>
      </w:r>
      <w:r w:rsidRPr="009118AB">
        <w:rPr>
          <w:i/>
          <w:iCs/>
        </w:rPr>
        <w:t xml:space="preserve"> des G. vom 18. Februar 2018 (B.S. vom 30. März 2018)</w:t>
      </w:r>
      <w:r w:rsidR="00D67EB8" w:rsidRPr="009118AB">
        <w:rPr>
          <w:i/>
          <w:iCs/>
        </w:rPr>
        <w:t> - </w:t>
      </w:r>
      <w:r w:rsidRPr="009118AB">
        <w:rPr>
          <w:i/>
          <w:iCs/>
        </w:rPr>
        <w:t>anwendbar ab dem Steuerjahr 2019</w:t>
      </w:r>
      <w:r w:rsidR="00FD68E8" w:rsidRPr="009118AB">
        <w:rPr>
          <w:i/>
          <w:iCs/>
        </w:rPr>
        <w:t> -]</w:t>
      </w:r>
    </w:p>
    <w:p w14:paraId="41FB22BB" w14:textId="77777777" w:rsidR="004D1675" w:rsidRPr="009118AB" w:rsidRDefault="004D1675" w:rsidP="004D1675">
      <w:pPr>
        <w:autoSpaceDE w:val="0"/>
        <w:autoSpaceDN w:val="0"/>
        <w:adjustRightInd w:val="0"/>
        <w:jc w:val="both"/>
        <w:rPr>
          <w:iCs/>
        </w:rPr>
      </w:pPr>
    </w:p>
    <w:p w14:paraId="5A703281" w14:textId="77777777" w:rsidR="004D1675" w:rsidRPr="009118AB" w:rsidRDefault="004D1675" w:rsidP="004D1675">
      <w:pPr>
        <w:autoSpaceDE w:val="0"/>
        <w:autoSpaceDN w:val="0"/>
        <w:adjustRightInd w:val="0"/>
        <w:jc w:val="both"/>
        <w:rPr>
          <w:iCs/>
        </w:rPr>
      </w:pPr>
    </w:p>
    <w:p w14:paraId="1D4E5F26" w14:textId="71DBF988" w:rsidR="004D1675" w:rsidRPr="009118AB" w:rsidRDefault="004D1675" w:rsidP="004D1675">
      <w:pPr>
        <w:ind w:firstLine="708"/>
        <w:jc w:val="both"/>
      </w:pPr>
      <w:r w:rsidRPr="009118AB">
        <w:rPr>
          <w:iCs/>
        </w:rPr>
        <w:t>[</w:t>
      </w:r>
      <w:r w:rsidR="00D67EB8" w:rsidRPr="009118AB">
        <w:rPr>
          <w:b/>
        </w:rPr>
        <w:t>Art. </w:t>
      </w:r>
      <w:r w:rsidRPr="009118AB">
        <w:rPr>
          <w:b/>
        </w:rPr>
        <w:t>145</w:t>
      </w:r>
      <w:r w:rsidRPr="009118AB">
        <w:rPr>
          <w:b/>
          <w:vertAlign w:val="superscript"/>
        </w:rPr>
        <w:t>3/1</w:t>
      </w:r>
      <w:r w:rsidR="00D67EB8" w:rsidRPr="009118AB">
        <w:t> - § </w:t>
      </w:r>
      <w:r w:rsidRPr="009118AB">
        <w:t>1</w:t>
      </w:r>
      <w:r w:rsidR="00D67EB8" w:rsidRPr="009118AB">
        <w:t> - </w:t>
      </w:r>
      <w:r w:rsidRPr="009118AB">
        <w:t>In Artikel 145</w:t>
      </w:r>
      <w:r w:rsidRPr="009118AB">
        <w:rPr>
          <w:vertAlign w:val="superscript"/>
        </w:rPr>
        <w:t>1</w:t>
      </w:r>
      <w:r w:rsidRPr="009118AB">
        <w:t xml:space="preserve"> </w:t>
      </w:r>
      <w:r w:rsidR="00D67EB8" w:rsidRPr="009118AB">
        <w:t>Nr. </w:t>
      </w:r>
      <w:r w:rsidRPr="009118AB">
        <w:t>1</w:t>
      </w:r>
      <w:r w:rsidRPr="009118AB">
        <w:rPr>
          <w:i/>
        </w:rPr>
        <w:t>bis</w:t>
      </w:r>
      <w:r w:rsidRPr="009118AB">
        <w:t xml:space="preserve"> erwähnte Beiträge und Prämien werden unter folgenden Bedingungen und in folgenden Grenzen für eine Steuerermäßigung berücksichtigt:</w:t>
      </w:r>
    </w:p>
    <w:p w14:paraId="62A4F7F0" w14:textId="77777777" w:rsidR="004D1675" w:rsidRPr="009118AB" w:rsidRDefault="004D1675" w:rsidP="004D1675">
      <w:pPr>
        <w:jc w:val="both"/>
      </w:pPr>
    </w:p>
    <w:p w14:paraId="6DC8A8CC" w14:textId="77777777" w:rsidR="004D1675" w:rsidRPr="009118AB" w:rsidRDefault="004D1675" w:rsidP="004D1675">
      <w:pPr>
        <w:ind w:firstLine="708"/>
        <w:jc w:val="both"/>
      </w:pPr>
      <w:r w:rsidRPr="009118AB">
        <w:t>1. Die Beiträge und Prämien werden definitiv an ein Versicherungsunternehmen oder eine Einrichtung der betrieblichen Altersversorgung, das/die in einem Mitgliedstaat des Europäischen Wirtschaftsraums ansässig ist, gezahlt.</w:t>
      </w:r>
    </w:p>
    <w:p w14:paraId="4600888E" w14:textId="77777777" w:rsidR="004D1675" w:rsidRPr="009118AB" w:rsidRDefault="004D1675" w:rsidP="004D1675">
      <w:pPr>
        <w:jc w:val="both"/>
      </w:pPr>
    </w:p>
    <w:p w14:paraId="1D837F89" w14:textId="77777777" w:rsidR="004D1675" w:rsidRPr="009118AB" w:rsidRDefault="004D1675" w:rsidP="004D1675">
      <w:pPr>
        <w:ind w:firstLine="708"/>
        <w:jc w:val="both"/>
      </w:pPr>
      <w:r w:rsidRPr="009118AB">
        <w:t>2. Die in Jahresrenten ausgedrückten und auf der Grundlage einer normalen Berufstätigkeitsdauer von 40 Jahren berechneten gesetzlichen und außergesetzlichen Lei</w:t>
      </w:r>
      <w:r w:rsidRPr="009118AB">
        <w:softHyphen/>
        <w:t>stungen bei Versetzung in den Ruhestand übersteigen nicht 80 Prozent des Referenz</w:t>
      </w:r>
      <w:r w:rsidRPr="009118AB">
        <w:softHyphen/>
        <w:t>einkommens. Eine Indexierung der Renten ist erlaubt.</w:t>
      </w:r>
    </w:p>
    <w:p w14:paraId="58C07D57" w14:textId="77777777" w:rsidR="004D1675" w:rsidRPr="009118AB" w:rsidRDefault="004D1675" w:rsidP="004D1675">
      <w:pPr>
        <w:jc w:val="both"/>
      </w:pPr>
    </w:p>
    <w:p w14:paraId="6B9552E3" w14:textId="7D61A1A3" w:rsidR="004D1675" w:rsidRPr="009118AB" w:rsidRDefault="004D1675" w:rsidP="004D1675">
      <w:pPr>
        <w:ind w:firstLine="708"/>
        <w:jc w:val="both"/>
      </w:pPr>
      <w:r w:rsidRPr="009118AB">
        <w:t xml:space="preserve">3. Der Steuerpflichtige hält Belege zur Verfügung der Verwaltung, die die Feststellung von Echtheit und Betrag der Zahlungen und Einhaltung der in </w:t>
      </w:r>
      <w:r w:rsidR="00D67EB8" w:rsidRPr="009118AB">
        <w:t>Nr. </w:t>
      </w:r>
      <w:r w:rsidRPr="009118AB">
        <w:t>1 und 2 erwähnten Bedingungen und Grenzen ermöglichen.</w:t>
      </w:r>
    </w:p>
    <w:p w14:paraId="5A99B7F6" w14:textId="77777777" w:rsidR="004D1675" w:rsidRPr="009118AB" w:rsidRDefault="004D1675" w:rsidP="004D1675">
      <w:pPr>
        <w:ind w:firstLine="708"/>
        <w:jc w:val="both"/>
      </w:pPr>
    </w:p>
    <w:p w14:paraId="56334EFA" w14:textId="28AA5097" w:rsidR="004D1675" w:rsidRPr="009118AB" w:rsidRDefault="004D1675" w:rsidP="004D1675">
      <w:pPr>
        <w:ind w:firstLine="708"/>
        <w:jc w:val="both"/>
      </w:pPr>
      <w:r w:rsidRPr="009118AB">
        <w:t xml:space="preserve">Für die Anwendung von Absatz 1 </w:t>
      </w:r>
      <w:r w:rsidR="00D67EB8" w:rsidRPr="009118AB">
        <w:t>Nr. </w:t>
      </w:r>
      <w:r w:rsidRPr="009118AB">
        <w:t>2:</w:t>
      </w:r>
    </w:p>
    <w:p w14:paraId="0969BB45" w14:textId="77777777" w:rsidR="004D1675" w:rsidRPr="009118AB" w:rsidRDefault="004D1675" w:rsidP="004D1675">
      <w:pPr>
        <w:jc w:val="both"/>
      </w:pPr>
    </w:p>
    <w:p w14:paraId="3841EF81" w14:textId="595B7C48" w:rsidR="004D1675" w:rsidRPr="009118AB" w:rsidRDefault="004D1675" w:rsidP="004D1675">
      <w:pPr>
        <w:ind w:firstLine="708"/>
        <w:jc w:val="both"/>
      </w:pPr>
      <w:r w:rsidRPr="009118AB">
        <w:t xml:space="preserve">1. entspricht das Referenzeinkommen dem Durchschnittswert der in den Artikeln 23 </w:t>
      </w:r>
      <w:r w:rsidR="00D67EB8" w:rsidRPr="009118AB">
        <w:t>§ </w:t>
      </w:r>
      <w:r w:rsidRPr="009118AB">
        <w:t xml:space="preserve">1 </w:t>
      </w:r>
      <w:r w:rsidR="00D67EB8" w:rsidRPr="009118AB">
        <w:t>Nr. </w:t>
      </w:r>
      <w:r w:rsidRPr="009118AB">
        <w:t xml:space="preserve">1 und 2 und 30 </w:t>
      </w:r>
      <w:r w:rsidR="00D67EB8" w:rsidRPr="009118AB">
        <w:t>Nr. </w:t>
      </w:r>
      <w:r w:rsidRPr="009118AB">
        <w:t xml:space="preserve">3 erwähnten Einkünfte des Steuerpflichtigen der drei vorhergehenden Besteuerungszeiträume, mit Ausnahme der Mehrwerte, nach Abzug der Werbungskosten, die nicht in Artikel 52 </w:t>
      </w:r>
      <w:r w:rsidR="00D67EB8" w:rsidRPr="009118AB">
        <w:t>Nr. </w:t>
      </w:r>
      <w:r w:rsidRPr="009118AB">
        <w:t>7 und 7</w:t>
      </w:r>
      <w:r w:rsidRPr="009118AB">
        <w:rPr>
          <w:i/>
        </w:rPr>
        <w:t>bis</w:t>
      </w:r>
      <w:r w:rsidRPr="009118AB">
        <w:t xml:space="preserve"> erwähnt sind. Die in Artikel 23 </w:t>
      </w:r>
      <w:r w:rsidR="00D67EB8" w:rsidRPr="009118AB">
        <w:t>§ </w:t>
      </w:r>
      <w:r w:rsidRPr="009118AB">
        <w:t xml:space="preserve">1 </w:t>
      </w:r>
      <w:r w:rsidR="00D67EB8" w:rsidRPr="009118AB">
        <w:t>Nr. </w:t>
      </w:r>
      <w:r w:rsidRPr="009118AB">
        <w:t xml:space="preserve">2 erwähnten Einkünfte, die sich nicht auf eine Tätigkeit als Selbständiger im Sinne von Artikel 2 </w:t>
      </w:r>
      <w:r w:rsidR="00D67EB8" w:rsidRPr="009118AB">
        <w:t>Nr. </w:t>
      </w:r>
      <w:r w:rsidRPr="009118AB">
        <w:t>2 bis 5 des Gesetzes vom 18. Februar 2018 zur Festlegung verschiedener Bestimmungen im Bereich ergänzende Altersversorgung und zur Einführung einer ergänzenden Altersversorgung für als natürliche Person tätige Selbständige, mithelfende Ehepartner und selbständige Helfer beziehen, werden hierbei nicht berücksichtigt,</w:t>
      </w:r>
    </w:p>
    <w:p w14:paraId="548DEC7F" w14:textId="77777777" w:rsidR="004D1675" w:rsidRPr="009118AB" w:rsidRDefault="004D1675" w:rsidP="004D1675">
      <w:pPr>
        <w:jc w:val="both"/>
      </w:pPr>
    </w:p>
    <w:p w14:paraId="63B6ACA9" w14:textId="5583E0CA" w:rsidR="004D1675" w:rsidRPr="009118AB" w:rsidRDefault="004D1675" w:rsidP="004D1675">
      <w:pPr>
        <w:ind w:firstLine="708"/>
        <w:jc w:val="both"/>
      </w:pPr>
      <w:r w:rsidRPr="009118AB">
        <w:t>2. werden, um die Einhaltung der darin erwähnten Grenzen für Leistungen, die in Kapitalform ausgezahlt werden, zu überprüfen, diese Leistungen in Renten umgewandelt anhand der Angaben in einer vom König festgelegten Tabelle, in der</w:t>
      </w:r>
      <w:r w:rsidR="00D67EB8" w:rsidRPr="009118AB">
        <w:t> - </w:t>
      </w:r>
      <w:r w:rsidRPr="009118AB">
        <w:t>ohne die Übertragbarkeit oder die Indexierung aufgeschobener Renten innerhalb der Grenze von 2 Prozent pro Jahr ab Einsetzen dieser Renten zu berücksichtigen</w:t>
      </w:r>
      <w:r w:rsidR="00D67EB8" w:rsidRPr="009118AB">
        <w:t> - </w:t>
      </w:r>
      <w:r w:rsidRPr="009118AB">
        <w:t>für die verschiedenen Alter bei Einsetzen der Rente das Kapital angegeben ist, das einschließlich Gewinnbeteiligungen für die Zahlung in Zwölfteln und bei Fälligkeit einer Jahresrente von 1 EUR als notwendig gilt. Bei Bedarf dürfen die Angaben der Tabelle angepasst werden, damit die Übertragbarkeit oder die Indexierung aufgeschobener Renten innerhalb der Grenze von 2 Prozent pro Jahr ab Einsetzen dieser Rente berücksichtigt wird,</w:t>
      </w:r>
    </w:p>
    <w:p w14:paraId="720AB824" w14:textId="77777777" w:rsidR="004D1675" w:rsidRPr="009118AB" w:rsidRDefault="004D1675" w:rsidP="004D1675">
      <w:pPr>
        <w:jc w:val="both"/>
      </w:pPr>
    </w:p>
    <w:p w14:paraId="20473ABC" w14:textId="262DCF5B" w:rsidR="004D1675" w:rsidRPr="009118AB" w:rsidRDefault="004D1675" w:rsidP="004D1675">
      <w:pPr>
        <w:ind w:firstLine="708"/>
        <w:jc w:val="both"/>
      </w:pPr>
      <w:r w:rsidRPr="009118AB">
        <w:t xml:space="preserve">3. wird die Grenze von 80 Prozent unter Berücksichtigung des Gesamtbetrags der gesetzlichen Pensionen und der in Jahresrenten ausgedrückten außergesetzlichen Pensionen beurteilt, darunter die außergesetzliche Pension, die anhand der in Artikel 52 </w:t>
      </w:r>
      <w:r w:rsidR="00D67EB8" w:rsidRPr="009118AB">
        <w:t>Nr. </w:t>
      </w:r>
      <w:r w:rsidRPr="009118AB">
        <w:t>7</w:t>
      </w:r>
      <w:r w:rsidRPr="009118AB">
        <w:rPr>
          <w:i/>
        </w:rPr>
        <w:t>bis</w:t>
      </w:r>
      <w:r w:rsidRPr="009118AB">
        <w:t xml:space="preserve"> erwähnten Beiträge gebildet wird und für die Jahre der Berufstätigkeit gezahlt wird, die gemäß </w:t>
      </w:r>
      <w:r w:rsidR="00D67EB8" w:rsidRPr="009118AB">
        <w:lastRenderedPageBreak/>
        <w:t>Nr. </w:t>
      </w:r>
      <w:r w:rsidRPr="009118AB">
        <w:t>4 im Zähler des Laufbahnbruchs berücksichtigt werden. Leistungen, die aus Pensionssparen und aus individuellen Lebensversicherungsverträgen hervorgehen, die nicht in Ausführung einer individuellen ergänzenden Pensionsvereinbarung in Bezug auf eine Ruhestands- und/oder Hinterbliebenenpension geschlossen werden, werden nicht berücksichtigt,</w:t>
      </w:r>
    </w:p>
    <w:p w14:paraId="67A5094C" w14:textId="77777777" w:rsidR="004D1675" w:rsidRPr="009118AB" w:rsidRDefault="004D1675" w:rsidP="004D1675">
      <w:pPr>
        <w:jc w:val="both"/>
      </w:pPr>
    </w:p>
    <w:p w14:paraId="4162A1FE" w14:textId="1CD8F50F" w:rsidR="004D1675" w:rsidRPr="009118AB" w:rsidRDefault="004D1675" w:rsidP="004D1675">
      <w:pPr>
        <w:ind w:firstLine="708"/>
        <w:jc w:val="both"/>
      </w:pPr>
      <w:r w:rsidRPr="009118AB">
        <w:t xml:space="preserve">4. werden für die Berechnung der Rente auf der Grundlage der Berufstätigkeitsdauer 80 Prozent des Referenzeinkommens mit einem Bruch multipliziert, der als Zähler die Anzahl tatsächlich geleisteter Jahre hat, während deren eine Berufstätigkeit als Selbständiger im Sinne von Artikel 2 </w:t>
      </w:r>
      <w:r w:rsidR="00D67EB8" w:rsidRPr="009118AB">
        <w:t>Nr. </w:t>
      </w:r>
      <w:r w:rsidRPr="009118AB">
        <w:t>2 bis 5 des Gesetzes vom 18. Februar 2018 zur Festlegung verschiedener Bestimmungen im Bereich ergänzende Altersversorgung und zur Einführung einer ergänzenden Altersversorgung für als natürliche Person tätige Selbständige, mithelfende Ehepartner und selbständige Helfer ab dem Quartal des Abschlusses des Pensionsabkommens ausgeübt worden ist, gegebenenfalls erhöht um höchstens 10 Jahre Berufstätigkeit, die ab dem 1. Januar 2018 vor Abschluss des Pensionsabkommens tatsächlich geleistet worden sind, und um die Anzahl Jahre der Berufstätigkeit, die bis zum Ruhestandsalter noch auszuüben sind, und als Nenner 40 Jahre,</w:t>
      </w:r>
    </w:p>
    <w:p w14:paraId="7FED7100" w14:textId="77777777" w:rsidR="004D1675" w:rsidRPr="009118AB" w:rsidRDefault="004D1675" w:rsidP="004D1675">
      <w:pPr>
        <w:jc w:val="both"/>
      </w:pPr>
    </w:p>
    <w:p w14:paraId="53150423" w14:textId="77777777" w:rsidR="004D1675" w:rsidRPr="009118AB" w:rsidRDefault="004D1675" w:rsidP="004D1675">
      <w:pPr>
        <w:ind w:firstLine="708"/>
        <w:jc w:val="both"/>
      </w:pPr>
      <w:r w:rsidRPr="009118AB">
        <w:t>5. können die Leistungen, die ab dem 1. Januar 2018 vor dem Quartal des Abschlusses des Pensionsabkommens bereits geleisteten Jahren der Berufstätigkeit entsprechen, die im Zähler des Laufbahnbruchs berücksichtigt werden, in der Form eines oder mehrerer Beiträge oder einer oder mehrerer Prämien finanziert werden,</w:t>
      </w:r>
    </w:p>
    <w:p w14:paraId="684C855C" w14:textId="77777777" w:rsidR="004D1675" w:rsidRPr="009118AB" w:rsidRDefault="004D1675" w:rsidP="004D1675">
      <w:pPr>
        <w:jc w:val="both"/>
      </w:pPr>
    </w:p>
    <w:p w14:paraId="5AA501AC" w14:textId="77777777" w:rsidR="004D1675" w:rsidRPr="009118AB" w:rsidRDefault="004D1675" w:rsidP="004D1675">
      <w:pPr>
        <w:ind w:firstLine="708"/>
        <w:jc w:val="both"/>
      </w:pPr>
      <w:r w:rsidRPr="009118AB">
        <w:t>6. darf der in dem Pensionsabkommen vorgesehene Koeffizient der Übertragbarkeit von Leistungen zugunsten des hinterbliebenen Ehepartners 80 Prozent nicht übersteigen,</w:t>
      </w:r>
    </w:p>
    <w:p w14:paraId="073E08DE" w14:textId="77777777" w:rsidR="004D1675" w:rsidRPr="009118AB" w:rsidRDefault="004D1675" w:rsidP="004D1675">
      <w:pPr>
        <w:jc w:val="both"/>
      </w:pPr>
    </w:p>
    <w:p w14:paraId="71E6D6E8" w14:textId="77777777" w:rsidR="004D1675" w:rsidRPr="009118AB" w:rsidRDefault="004D1675" w:rsidP="004D1675">
      <w:pPr>
        <w:ind w:firstLine="708"/>
        <w:jc w:val="both"/>
      </w:pPr>
      <w:r w:rsidRPr="009118AB">
        <w:t>7. kommen die Beiträge und Prämien nur für die Steuerermäßigung in Betracht, sofern sie die aufgrund des Pensionsabkommens zu zahlenden Beträge pro Jahr nicht übersteigen.</w:t>
      </w:r>
    </w:p>
    <w:p w14:paraId="3FCF6D34" w14:textId="77777777" w:rsidR="004D1675" w:rsidRPr="009118AB" w:rsidRDefault="004D1675" w:rsidP="004D1675">
      <w:pPr>
        <w:jc w:val="both"/>
      </w:pPr>
    </w:p>
    <w:p w14:paraId="139D4586" w14:textId="5D5CE409" w:rsidR="004D1675" w:rsidRPr="009118AB" w:rsidRDefault="004D1675" w:rsidP="004D1675">
      <w:pPr>
        <w:ind w:firstLine="708"/>
        <w:jc w:val="both"/>
      </w:pPr>
      <w:r w:rsidRPr="009118AB">
        <w:t xml:space="preserve">Wenn der Steuerpflichtige erst im Laufe eines der drei vorhergehenden Besteuerungszeiträume die in Absatz 2 </w:t>
      </w:r>
      <w:r w:rsidR="00D67EB8" w:rsidRPr="009118AB">
        <w:t>Nr. </w:t>
      </w:r>
      <w:r w:rsidRPr="009118AB">
        <w:t>1 erwähnten Einkünfte erzielt hat, entspricht das Referenzeinkommen den zu berücksichtigenden Einkünften, die in diesem Besteuerungs</w:t>
      </w:r>
      <w:r w:rsidRPr="009118AB">
        <w:softHyphen/>
        <w:t xml:space="preserve">zeitraum erzielt worden sind. Wenn der Steuerpflichtige erst im Laufe zweier der drei vorhergehenden Besteuerungszeiträume die in Absatz 2 </w:t>
      </w:r>
      <w:r w:rsidR="00D67EB8" w:rsidRPr="009118AB">
        <w:t>Nr. </w:t>
      </w:r>
      <w:r w:rsidRPr="009118AB">
        <w:t xml:space="preserve">1 erwähnten Einkünfte erzielt hat, entspricht das Referenzeinkommen dem Durchschnittswert der zu berücksichtigenden Einkünfte, die in diesen beiden Besteuerungszeiträumen erzielt worden sind. Wenn der Steuerpflichtige im Laufe keines der drei vorhergehenden Besteuerungszeiträume die in Absatz 2 </w:t>
      </w:r>
      <w:r w:rsidR="00D67EB8" w:rsidRPr="009118AB">
        <w:t>Nr. </w:t>
      </w:r>
      <w:r w:rsidRPr="009118AB">
        <w:t>1 erwähnten Einkünfte erzielt hat, wird das Referenzeinkommen auf der Grundlage der zu berücksichtigenden Einkünfte bestimmt, die in dem Besteuerungszeitraum selbst erzielt worden sind.</w:t>
      </w:r>
    </w:p>
    <w:p w14:paraId="1380F329" w14:textId="77777777" w:rsidR="004D1675" w:rsidRPr="009118AB" w:rsidRDefault="004D1675" w:rsidP="004D1675">
      <w:pPr>
        <w:jc w:val="both"/>
      </w:pPr>
    </w:p>
    <w:p w14:paraId="54FD1853" w14:textId="00D1848E" w:rsidR="004D1675" w:rsidRPr="009118AB" w:rsidRDefault="00D67EB8" w:rsidP="004D1675">
      <w:pPr>
        <w:ind w:firstLine="708"/>
        <w:jc w:val="both"/>
      </w:pPr>
      <w:r w:rsidRPr="009118AB">
        <w:t>§ </w:t>
      </w:r>
      <w:r w:rsidR="004D1675" w:rsidRPr="009118AB">
        <w:t>2</w:t>
      </w:r>
      <w:r w:rsidRPr="009118AB">
        <w:t> - </w:t>
      </w:r>
      <w:r w:rsidR="004D1675" w:rsidRPr="009118AB">
        <w:t xml:space="preserve">Leistungsvorschüsse, Verpfändungen von Pensionsansprüchen als Sicherheit für eine Anleihe und die Verwendung des Rückkaufswertes zur Wiederherstellung einer Hypothekenanleihe beeinträchtigen den aufgrund von </w:t>
      </w:r>
      <w:r w:rsidRPr="009118AB">
        <w:t>§ </w:t>
      </w:r>
      <w:r w:rsidR="004D1675" w:rsidRPr="009118AB">
        <w:t xml:space="preserve">1 Absatz 1 </w:t>
      </w:r>
      <w:r w:rsidRPr="009118AB">
        <w:t>Nr. </w:t>
      </w:r>
      <w:r w:rsidR="004D1675" w:rsidRPr="009118AB">
        <w:t>1 erforderlichen definitiven Charakter der Zahlung der Beiträge und Prämien nicht, wenn sie bewilligt werden, um es einem Selbständigen zu ermöglichen, in einem Mitgliedstaat des Europäischen Wirtschaftsraums gelegene unbewegliche Güter, die in Belgien oder einem anderen Mitgliedstaat des Europäischen Wirtschaftsraums steuerpflichtige Einkünfte erzeugen, zu erwerben, zu bauen, zu verbessern, instandzusetzen oder umzubauen, und sofern die Vorschüsse und Anleihen zurückgezahlt werden, sobald vorerwähnte Güter nicht mehr Teil des Vermögens des Selbständigen sind.</w:t>
      </w:r>
    </w:p>
    <w:p w14:paraId="0C9B1D58" w14:textId="77777777" w:rsidR="004D1675" w:rsidRPr="009118AB" w:rsidRDefault="004D1675" w:rsidP="004D1675">
      <w:pPr>
        <w:jc w:val="both"/>
      </w:pPr>
    </w:p>
    <w:p w14:paraId="35C16FBE" w14:textId="64BAF4AD" w:rsidR="004D1675" w:rsidRPr="009118AB" w:rsidRDefault="004D1675" w:rsidP="004D1675">
      <w:pPr>
        <w:ind w:firstLine="708"/>
        <w:jc w:val="both"/>
      </w:pPr>
      <w:r w:rsidRPr="009118AB">
        <w:t xml:space="preserve">Die in Absatz 1 erwähnte Einschränkung muss in dem in Artikel 2 </w:t>
      </w:r>
      <w:r w:rsidR="00D67EB8" w:rsidRPr="009118AB">
        <w:t>Nr. </w:t>
      </w:r>
      <w:r w:rsidRPr="009118AB">
        <w:t>7 des Gesetzes vom 18. Februar 2018 zur Festlegung verschiedener Bestimmungen im Bereich ergänzende Altersversorgung und zur Einführung einer ergänzenden Altersversorgung für als natürliche Person tätige Selbständige, mithelfende Ehepartner und selbständige Helfer erwähnten Pensionsabkommen eingetragen sein.</w:t>
      </w:r>
    </w:p>
    <w:p w14:paraId="58E89D65" w14:textId="77777777" w:rsidR="004D1675" w:rsidRPr="009118AB" w:rsidRDefault="004D1675" w:rsidP="004D1675">
      <w:pPr>
        <w:jc w:val="both"/>
      </w:pPr>
    </w:p>
    <w:p w14:paraId="6EEB0F91" w14:textId="5241B79A" w:rsidR="004D1675" w:rsidRPr="009118AB" w:rsidRDefault="00D67EB8" w:rsidP="004D1675">
      <w:pPr>
        <w:autoSpaceDE w:val="0"/>
        <w:autoSpaceDN w:val="0"/>
        <w:adjustRightInd w:val="0"/>
        <w:ind w:firstLine="709"/>
        <w:jc w:val="both"/>
        <w:rPr>
          <w:iCs/>
        </w:rPr>
      </w:pPr>
      <w:r w:rsidRPr="009118AB">
        <w:t>§ </w:t>
      </w:r>
      <w:r w:rsidR="004D1675" w:rsidRPr="009118AB">
        <w:t>3</w:t>
      </w:r>
      <w:r w:rsidRPr="009118AB">
        <w:t> - </w:t>
      </w:r>
      <w:r w:rsidR="004D1675" w:rsidRPr="009118AB">
        <w:t xml:space="preserve">Der König kann Inhalt und Form der in </w:t>
      </w:r>
      <w:r w:rsidRPr="009118AB">
        <w:t>§ </w:t>
      </w:r>
      <w:r w:rsidR="004D1675" w:rsidRPr="009118AB">
        <w:t xml:space="preserve">1 Absatz 1 </w:t>
      </w:r>
      <w:r w:rsidRPr="009118AB">
        <w:t>Nr. </w:t>
      </w:r>
      <w:r w:rsidR="004D1675" w:rsidRPr="009118AB">
        <w:t>3 erwähnten Belege und die Modalitäten der Anwendung der Steuerermäßigung festlegen.</w:t>
      </w:r>
      <w:r w:rsidR="004D1675" w:rsidRPr="009118AB">
        <w:rPr>
          <w:iCs/>
        </w:rPr>
        <w:t>]</w:t>
      </w:r>
    </w:p>
    <w:p w14:paraId="4AC132C0" w14:textId="77777777" w:rsidR="004D1675" w:rsidRPr="009118AB" w:rsidRDefault="004D1675" w:rsidP="004D1675">
      <w:pPr>
        <w:autoSpaceDE w:val="0"/>
        <w:autoSpaceDN w:val="0"/>
        <w:adjustRightInd w:val="0"/>
        <w:ind w:firstLine="709"/>
        <w:jc w:val="both"/>
        <w:rPr>
          <w:iCs/>
        </w:rPr>
      </w:pPr>
    </w:p>
    <w:p w14:paraId="70C4BA00" w14:textId="11B593D4" w:rsidR="004D1675" w:rsidRPr="009118AB" w:rsidRDefault="004D1675" w:rsidP="004D1675">
      <w:pPr>
        <w:autoSpaceDE w:val="0"/>
        <w:autoSpaceDN w:val="0"/>
        <w:adjustRightInd w:val="0"/>
        <w:jc w:val="both"/>
        <w:rPr>
          <w:i/>
          <w:iCs/>
        </w:rPr>
      </w:pPr>
      <w:r w:rsidRPr="009118AB">
        <w:rPr>
          <w:i/>
          <w:iCs/>
        </w:rPr>
        <w:t>[</w:t>
      </w:r>
      <w:r w:rsidR="00D67EB8" w:rsidRPr="009118AB">
        <w:rPr>
          <w:i/>
          <w:iCs/>
        </w:rPr>
        <w:t>Art. </w:t>
      </w:r>
      <w:r w:rsidRPr="009118AB">
        <w:rPr>
          <w:i/>
          <w:iCs/>
        </w:rPr>
        <w:t>145</w:t>
      </w:r>
      <w:r w:rsidRPr="009118AB">
        <w:rPr>
          <w:i/>
          <w:iCs/>
          <w:vertAlign w:val="superscript"/>
        </w:rPr>
        <w:t>3/1</w:t>
      </w:r>
      <w:r w:rsidRPr="009118AB">
        <w:rPr>
          <w:i/>
          <w:iCs/>
        </w:rPr>
        <w:t xml:space="preserve"> eingefügt durch </w:t>
      </w:r>
      <w:r w:rsidR="00D67EB8" w:rsidRPr="009118AB">
        <w:rPr>
          <w:i/>
          <w:iCs/>
        </w:rPr>
        <w:t>Art. </w:t>
      </w:r>
      <w:r w:rsidRPr="009118AB">
        <w:rPr>
          <w:i/>
          <w:iCs/>
        </w:rPr>
        <w:t>58 des G. vom 18. Februar </w:t>
      </w:r>
      <w:r w:rsidR="00B3148A" w:rsidRPr="009118AB">
        <w:rPr>
          <w:i/>
          <w:iCs/>
        </w:rPr>
        <w:t>2018 (B.S. vom 30. März 2018)</w:t>
      </w:r>
      <w:r w:rsidR="00D67EB8" w:rsidRPr="009118AB">
        <w:rPr>
          <w:i/>
          <w:iCs/>
        </w:rPr>
        <w:t> - </w:t>
      </w:r>
      <w:r w:rsidRPr="009118AB">
        <w:rPr>
          <w:i/>
          <w:iCs/>
        </w:rPr>
        <w:t>anwendbar ab dem Steuerjahr 2019</w:t>
      </w:r>
      <w:r w:rsidR="00FD68E8" w:rsidRPr="009118AB">
        <w:rPr>
          <w:i/>
          <w:iCs/>
        </w:rPr>
        <w:t> -]</w:t>
      </w:r>
    </w:p>
    <w:p w14:paraId="4620926D" w14:textId="77777777" w:rsidR="00477B8F" w:rsidRPr="009118AB" w:rsidRDefault="00477B8F" w:rsidP="004D1675">
      <w:pPr>
        <w:autoSpaceDE w:val="0"/>
        <w:autoSpaceDN w:val="0"/>
        <w:adjustRightInd w:val="0"/>
        <w:ind w:firstLine="709"/>
        <w:jc w:val="both"/>
      </w:pPr>
      <w:r w:rsidRPr="009118AB">
        <w:br w:type="page"/>
      </w:r>
      <w:r w:rsidRPr="009118AB">
        <w:lastRenderedPageBreak/>
        <w:tab/>
      </w:r>
      <w:r w:rsidRPr="009118AB">
        <w:rPr>
          <w:i/>
          <w:iCs/>
        </w:rPr>
        <w:t>C.</w:t>
      </w:r>
      <w:r w:rsidRPr="009118AB">
        <w:t xml:space="preserve"> Individuelle Lebensversicherungsprämien</w:t>
      </w:r>
    </w:p>
    <w:p w14:paraId="6A9E4652" w14:textId="77777777" w:rsidR="00477B8F" w:rsidRPr="009118AB" w:rsidRDefault="00477B8F" w:rsidP="00477B8F">
      <w:pPr>
        <w:autoSpaceDE w:val="0"/>
        <w:autoSpaceDN w:val="0"/>
        <w:adjustRightInd w:val="0"/>
        <w:jc w:val="both"/>
      </w:pPr>
    </w:p>
    <w:p w14:paraId="54FCB91D" w14:textId="77777777" w:rsidR="00477B8F" w:rsidRPr="009118AB" w:rsidRDefault="00477B8F" w:rsidP="00477B8F">
      <w:pPr>
        <w:autoSpaceDE w:val="0"/>
        <w:autoSpaceDN w:val="0"/>
        <w:adjustRightInd w:val="0"/>
        <w:jc w:val="both"/>
      </w:pPr>
    </w:p>
    <w:p w14:paraId="7E567B00" w14:textId="060D7EF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4</w:t>
      </w:r>
      <w:r w:rsidR="00D67EB8" w:rsidRPr="009118AB">
        <w:t> - </w:t>
      </w:r>
      <w:r w:rsidRPr="009118AB">
        <w:t>In Artikel 145</w:t>
      </w:r>
      <w:r w:rsidRPr="009118AB">
        <w:rPr>
          <w:vertAlign w:val="superscript"/>
        </w:rPr>
        <w:t>1</w:t>
      </w:r>
      <w:r w:rsidRPr="009118AB">
        <w:t xml:space="preserve"> </w:t>
      </w:r>
      <w:r w:rsidR="00D67EB8" w:rsidRPr="009118AB">
        <w:t>Nr. </w:t>
      </w:r>
      <w:r w:rsidRPr="009118AB">
        <w:t>2 erwähnte Beiträge werden für die Ermäßigung berücksichtigt unter der Bedingung:</w:t>
      </w:r>
    </w:p>
    <w:p w14:paraId="56B9BDAA" w14:textId="77777777" w:rsidR="00477B8F" w:rsidRPr="009118AB" w:rsidRDefault="00477B8F" w:rsidP="00477B8F">
      <w:pPr>
        <w:autoSpaceDE w:val="0"/>
        <w:autoSpaceDN w:val="0"/>
        <w:adjustRightInd w:val="0"/>
        <w:jc w:val="both"/>
      </w:pPr>
    </w:p>
    <w:p w14:paraId="2EADF69B" w14:textId="77777777" w:rsidR="00477B8F" w:rsidRPr="009118AB" w:rsidRDefault="00477B8F" w:rsidP="00477B8F">
      <w:pPr>
        <w:autoSpaceDE w:val="0"/>
        <w:autoSpaceDN w:val="0"/>
        <w:adjustRightInd w:val="0"/>
        <w:jc w:val="both"/>
      </w:pPr>
      <w:r w:rsidRPr="009118AB">
        <w:tab/>
        <w:t>1. dass der Lebensversicherungsvertrag eingegangen wird:</w:t>
      </w:r>
    </w:p>
    <w:p w14:paraId="62DA5599" w14:textId="77777777" w:rsidR="00477B8F" w:rsidRPr="009118AB" w:rsidRDefault="00477B8F" w:rsidP="00477B8F">
      <w:pPr>
        <w:autoSpaceDE w:val="0"/>
        <w:autoSpaceDN w:val="0"/>
        <w:adjustRightInd w:val="0"/>
        <w:jc w:val="both"/>
      </w:pPr>
    </w:p>
    <w:p w14:paraId="6D12BEBF"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vom Steuerpflichtigen, der zudem ausschließlich sich selbst versichert hat,</w:t>
      </w:r>
    </w:p>
    <w:p w14:paraId="032CA25F" w14:textId="77777777" w:rsidR="00477B8F" w:rsidRPr="009118AB" w:rsidRDefault="00477B8F" w:rsidP="00477B8F">
      <w:pPr>
        <w:autoSpaceDE w:val="0"/>
        <w:autoSpaceDN w:val="0"/>
        <w:adjustRightInd w:val="0"/>
        <w:jc w:val="both"/>
      </w:pPr>
    </w:p>
    <w:p w14:paraId="625DC916"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vor dem Alter von fünfundsechzig Jahren [...]; Verträge, die über den ursprünglich vorgesehenen Zeitraum hinaus verlängert, wieder in Kraft gesetzt, geändert oder erhöht werden, nachdem der Versicherte das Alter von fünfundsechzig Jahren [...] erreicht hat, gelten nicht als vor diesem Alter eingegangen,</w:t>
      </w:r>
    </w:p>
    <w:p w14:paraId="42F84223" w14:textId="77777777" w:rsidR="00477B8F" w:rsidRPr="009118AB" w:rsidRDefault="00477B8F" w:rsidP="00477B8F">
      <w:pPr>
        <w:autoSpaceDE w:val="0"/>
        <w:autoSpaceDN w:val="0"/>
        <w:adjustRightInd w:val="0"/>
        <w:jc w:val="both"/>
      </w:pPr>
    </w:p>
    <w:p w14:paraId="490E0DD5" w14:textId="77777777" w:rsidR="00477B8F" w:rsidRPr="009118AB" w:rsidRDefault="00477B8F" w:rsidP="00477B8F">
      <w:pPr>
        <w:autoSpaceDE w:val="0"/>
        <w:autoSpaceDN w:val="0"/>
        <w:adjustRightInd w:val="0"/>
        <w:jc w:val="both"/>
      </w:pPr>
      <w:r w:rsidRPr="009118AB">
        <w:tab/>
      </w:r>
      <w:r w:rsidRPr="009118AB">
        <w:rPr>
          <w:i/>
          <w:iCs/>
        </w:rPr>
        <w:t>c)</w:t>
      </w:r>
      <w:r w:rsidRPr="009118AB">
        <w:t xml:space="preserve"> für eine Mindestdauer von zehn Jahren, wenn er Leistungen zu Lebzeiten vorsieht,</w:t>
      </w:r>
    </w:p>
    <w:p w14:paraId="3B358B68" w14:textId="77777777" w:rsidR="00477B8F" w:rsidRPr="009118AB" w:rsidRDefault="00477B8F" w:rsidP="00477B8F">
      <w:pPr>
        <w:autoSpaceDE w:val="0"/>
        <w:autoSpaceDN w:val="0"/>
        <w:adjustRightInd w:val="0"/>
        <w:jc w:val="both"/>
      </w:pPr>
    </w:p>
    <w:p w14:paraId="1031E542" w14:textId="77777777" w:rsidR="00477B8F" w:rsidRPr="009118AB" w:rsidRDefault="00477B8F" w:rsidP="00477B8F">
      <w:pPr>
        <w:autoSpaceDE w:val="0"/>
        <w:autoSpaceDN w:val="0"/>
        <w:adjustRightInd w:val="0"/>
        <w:jc w:val="both"/>
      </w:pPr>
      <w:r w:rsidRPr="009118AB">
        <w:tab/>
        <w:t>2. dass die Vorteile des Vertrags bestimmt werden:</w:t>
      </w:r>
    </w:p>
    <w:p w14:paraId="6534CB99" w14:textId="77777777" w:rsidR="00477B8F" w:rsidRPr="009118AB" w:rsidRDefault="00477B8F" w:rsidP="00477B8F">
      <w:pPr>
        <w:autoSpaceDE w:val="0"/>
        <w:autoSpaceDN w:val="0"/>
        <w:adjustRightInd w:val="0"/>
        <w:jc w:val="both"/>
      </w:pPr>
    </w:p>
    <w:p w14:paraId="35739662"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zu Lebzeiten zugunsten des Steuerpflichtigen ab dem Alter von fünfundsechzig Jahren [...],</w:t>
      </w:r>
    </w:p>
    <w:p w14:paraId="2E5CF35C" w14:textId="77777777" w:rsidR="00477B8F" w:rsidRPr="009118AB" w:rsidRDefault="00477B8F" w:rsidP="00477B8F">
      <w:pPr>
        <w:autoSpaceDE w:val="0"/>
        <w:autoSpaceDN w:val="0"/>
        <w:adjustRightInd w:val="0"/>
        <w:jc w:val="both"/>
      </w:pPr>
    </w:p>
    <w:p w14:paraId="3EF0EE62" w14:textId="77777777" w:rsidR="00D50801" w:rsidRPr="009118AB" w:rsidRDefault="00477B8F" w:rsidP="00D50801">
      <w:pPr>
        <w:autoSpaceDE w:val="0"/>
        <w:autoSpaceDN w:val="0"/>
        <w:adjustRightInd w:val="0"/>
        <w:jc w:val="both"/>
      </w:pPr>
      <w:r w:rsidRPr="009118AB">
        <w:tab/>
      </w:r>
      <w:r w:rsidRPr="009118AB">
        <w:rPr>
          <w:i/>
          <w:iCs/>
        </w:rPr>
        <w:t>b)</w:t>
      </w:r>
      <w:r w:rsidRPr="009118AB">
        <w:t xml:space="preserve"> [</w:t>
      </w:r>
      <w:r w:rsidR="00D50801" w:rsidRPr="009118AB">
        <w:t>im Todesfall:</w:t>
      </w:r>
    </w:p>
    <w:p w14:paraId="3BF5F6E6" w14:textId="77777777" w:rsidR="00D50801" w:rsidRPr="009118AB" w:rsidRDefault="00D50801" w:rsidP="00D50801">
      <w:pPr>
        <w:autoSpaceDE w:val="0"/>
        <w:autoSpaceDN w:val="0"/>
        <w:adjustRightInd w:val="0"/>
        <w:jc w:val="both"/>
      </w:pPr>
    </w:p>
    <w:p w14:paraId="660DB277" w14:textId="77777777" w:rsidR="00D50801" w:rsidRPr="009118AB" w:rsidRDefault="00D50801" w:rsidP="00D50801">
      <w:pPr>
        <w:autoSpaceDE w:val="0"/>
        <w:autoSpaceDN w:val="0"/>
        <w:adjustRightInd w:val="0"/>
        <w:jc w:val="both"/>
      </w:pPr>
      <w:r w:rsidRPr="009118AB">
        <w:tab/>
        <w:t>1. wenn der Lebensversicherungsvertrag für die Wiederherstellung einer oder als Sicherheit für eine Anleihe dient, die zwecks Erwerb oder Erhalt eines unbeweglichen Gutes aufgenommen wird:</w:t>
      </w:r>
    </w:p>
    <w:p w14:paraId="36846210" w14:textId="77777777" w:rsidR="00D50801" w:rsidRPr="009118AB" w:rsidRDefault="00D50801" w:rsidP="00D50801">
      <w:pPr>
        <w:autoSpaceDE w:val="0"/>
        <w:autoSpaceDN w:val="0"/>
        <w:adjustRightInd w:val="0"/>
        <w:jc w:val="both"/>
      </w:pPr>
    </w:p>
    <w:p w14:paraId="0FB2C9B2" w14:textId="77777777" w:rsidR="00D50801" w:rsidRPr="009118AB" w:rsidRDefault="00D50801" w:rsidP="00D50801">
      <w:pPr>
        <w:autoSpaceDE w:val="0"/>
        <w:autoSpaceDN w:val="0"/>
        <w:adjustRightInd w:val="0"/>
        <w:jc w:val="both"/>
      </w:pPr>
      <w:r w:rsidRPr="009118AB">
        <w:tab/>
        <w:t>- bis zu dem versicherten Kapital, das für die Wiederherstellung der oder als Sicherheit für die Anleihe dient, zugunsten der Personen, die infolge des Todes des Versicherten das Volleigentum oder den Nießbrauch dieses unbeweglichen Gutes erhalten,</w:t>
      </w:r>
    </w:p>
    <w:p w14:paraId="58F068E3" w14:textId="77777777" w:rsidR="00D50801" w:rsidRPr="009118AB" w:rsidRDefault="00D50801" w:rsidP="00D50801">
      <w:pPr>
        <w:autoSpaceDE w:val="0"/>
        <w:autoSpaceDN w:val="0"/>
        <w:adjustRightInd w:val="0"/>
        <w:jc w:val="both"/>
      </w:pPr>
    </w:p>
    <w:p w14:paraId="19F4A149" w14:textId="77777777" w:rsidR="00D50801" w:rsidRPr="009118AB" w:rsidRDefault="00D50801" w:rsidP="00D50801">
      <w:pPr>
        <w:autoSpaceDE w:val="0"/>
        <w:autoSpaceDN w:val="0"/>
        <w:adjustRightInd w:val="0"/>
        <w:jc w:val="both"/>
      </w:pPr>
      <w:r w:rsidRPr="009118AB">
        <w:tab/>
        <w:t>- bis zu dem versicherten Kapital, das nicht für die Wiederherstellung der oder als Sicherheit für die Anleihe dient, zugunsten des Ehepartners oder von Verwandten bis zum zweiten Grad des Steuerpflichtigen,</w:t>
      </w:r>
    </w:p>
    <w:p w14:paraId="58DC38AC" w14:textId="77777777" w:rsidR="00D50801" w:rsidRPr="009118AB" w:rsidRDefault="00D50801" w:rsidP="00D50801">
      <w:pPr>
        <w:autoSpaceDE w:val="0"/>
        <w:autoSpaceDN w:val="0"/>
        <w:adjustRightInd w:val="0"/>
        <w:jc w:val="both"/>
      </w:pPr>
    </w:p>
    <w:p w14:paraId="1376FF72" w14:textId="77777777" w:rsidR="00477B8F" w:rsidRPr="009118AB" w:rsidRDefault="00D50801" w:rsidP="00D50801">
      <w:pPr>
        <w:autoSpaceDE w:val="0"/>
        <w:autoSpaceDN w:val="0"/>
        <w:adjustRightInd w:val="0"/>
        <w:jc w:val="both"/>
      </w:pPr>
      <w:r w:rsidRPr="009118AB">
        <w:tab/>
        <w:t>2. in allen anderen Fällen zugunsten des Ehepartners oder von Verwandten bis zum zweiten Grad des Steuerpflichtigen,</w:t>
      </w:r>
      <w:r w:rsidR="00477B8F" w:rsidRPr="009118AB">
        <w:t>]</w:t>
      </w:r>
    </w:p>
    <w:p w14:paraId="57326D8A" w14:textId="77777777" w:rsidR="00477B8F" w:rsidRPr="009118AB" w:rsidRDefault="00477B8F" w:rsidP="00477B8F">
      <w:pPr>
        <w:autoSpaceDE w:val="0"/>
        <w:autoSpaceDN w:val="0"/>
        <w:adjustRightInd w:val="0"/>
        <w:jc w:val="both"/>
      </w:pPr>
    </w:p>
    <w:p w14:paraId="44A118A8" w14:textId="66C53073" w:rsidR="00477B8F" w:rsidRPr="009118AB" w:rsidRDefault="00477B8F" w:rsidP="00477B8F">
      <w:pPr>
        <w:autoSpaceDE w:val="0"/>
        <w:autoSpaceDN w:val="0"/>
        <w:adjustRightInd w:val="0"/>
        <w:jc w:val="both"/>
      </w:pPr>
      <w:r w:rsidRPr="009118AB">
        <w:tab/>
        <w:t xml:space="preserve">[3. dass diese Beiträge weder ganz noch teilweise für die Anwendung von Artikel 52 </w:t>
      </w:r>
      <w:r w:rsidR="00D67EB8" w:rsidRPr="009118AB">
        <w:t>Nr. </w:t>
      </w:r>
      <w:r w:rsidRPr="009118AB">
        <w:t>7</w:t>
      </w:r>
      <w:r w:rsidRPr="009118AB">
        <w:rPr>
          <w:i/>
          <w:iCs/>
        </w:rPr>
        <w:t>bis</w:t>
      </w:r>
      <w:r w:rsidRPr="009118AB">
        <w:t xml:space="preserve"> </w:t>
      </w:r>
      <w:r w:rsidR="004D1675" w:rsidRPr="009118AB">
        <w:t>[oder Artikel 145</w:t>
      </w:r>
      <w:r w:rsidR="004D1675" w:rsidRPr="009118AB">
        <w:rPr>
          <w:vertAlign w:val="superscript"/>
        </w:rPr>
        <w:t>1</w:t>
      </w:r>
      <w:r w:rsidR="004D1675" w:rsidRPr="009118AB">
        <w:t xml:space="preserve"> </w:t>
      </w:r>
      <w:r w:rsidR="00D67EB8" w:rsidRPr="009118AB">
        <w:t>Nr. </w:t>
      </w:r>
      <w:r w:rsidR="004D1675" w:rsidRPr="009118AB">
        <w:t>1</w:t>
      </w:r>
      <w:r w:rsidR="004D1675" w:rsidRPr="009118AB">
        <w:rPr>
          <w:i/>
        </w:rPr>
        <w:t>bis</w:t>
      </w:r>
      <w:r w:rsidR="004D1675" w:rsidRPr="009118AB">
        <w:t xml:space="preserve">] </w:t>
      </w:r>
      <w:r w:rsidRPr="009118AB">
        <w:t>berücksichtigt werden können</w:t>
      </w:r>
      <w:r w:rsidR="000A544A" w:rsidRPr="009118AB">
        <w:t>,</w:t>
      </w:r>
      <w:r w:rsidRPr="009118AB">
        <w:t>]</w:t>
      </w:r>
    </w:p>
    <w:p w14:paraId="733BB07B" w14:textId="77777777" w:rsidR="00852F9E" w:rsidRPr="009118AB" w:rsidRDefault="00852F9E" w:rsidP="00477B8F">
      <w:pPr>
        <w:autoSpaceDE w:val="0"/>
        <w:autoSpaceDN w:val="0"/>
        <w:adjustRightInd w:val="0"/>
        <w:jc w:val="both"/>
      </w:pPr>
    </w:p>
    <w:p w14:paraId="188F0A52" w14:textId="77777777" w:rsidR="00297A91" w:rsidRPr="009118AB" w:rsidRDefault="00852F9E" w:rsidP="00297A91">
      <w:pPr>
        <w:autoSpaceDE w:val="0"/>
        <w:autoSpaceDN w:val="0"/>
        <w:adjustRightInd w:val="0"/>
        <w:jc w:val="both"/>
      </w:pPr>
      <w:r w:rsidRPr="009118AB">
        <w:tab/>
        <w:t>[4. </w:t>
      </w:r>
      <w:r w:rsidR="00297A91" w:rsidRPr="009118AB">
        <w:t>[dass das in Ausführung des Lebensversicherungsvertrags gebildete Kapital nicht für die Wiederherstellung einer oder als Sicherheit für eine Anleihe dient:</w:t>
      </w:r>
    </w:p>
    <w:p w14:paraId="428BA050" w14:textId="77777777" w:rsidR="00297A91" w:rsidRPr="009118AB" w:rsidRDefault="00297A91" w:rsidP="00297A91">
      <w:pPr>
        <w:autoSpaceDE w:val="0"/>
        <w:autoSpaceDN w:val="0"/>
        <w:adjustRightInd w:val="0"/>
        <w:jc w:val="both"/>
      </w:pPr>
    </w:p>
    <w:p w14:paraId="01920392" w14:textId="77777777" w:rsidR="00297A91" w:rsidRPr="009118AB" w:rsidRDefault="00297A91" w:rsidP="00297A91">
      <w:pPr>
        <w:autoSpaceDE w:val="0"/>
        <w:autoSpaceDN w:val="0"/>
        <w:adjustRightInd w:val="0"/>
        <w:ind w:firstLine="709"/>
        <w:jc w:val="both"/>
      </w:pPr>
      <w:r w:rsidRPr="009118AB">
        <w:rPr>
          <w:i/>
          <w:iCs/>
        </w:rPr>
        <w:t>a)</w:t>
      </w:r>
      <w:r w:rsidRPr="009118AB">
        <w:t> die spätestens am 31. Dezember 2023 für Erwerb oder Erhaltung der Wohnung aufgenommen wird, die zum Zeitpunkt der Zahlung der Prämien oder Beiträge die eigene Wohnung des Steuerpflichtigen ist,</w:t>
      </w:r>
    </w:p>
    <w:p w14:paraId="599F97BC" w14:textId="77777777" w:rsidR="00297A91" w:rsidRPr="009118AB" w:rsidRDefault="00297A91" w:rsidP="00297A91">
      <w:pPr>
        <w:autoSpaceDE w:val="0"/>
        <w:autoSpaceDN w:val="0"/>
        <w:adjustRightInd w:val="0"/>
        <w:jc w:val="both"/>
      </w:pPr>
    </w:p>
    <w:p w14:paraId="53EE5B83" w14:textId="5A8CDAC4" w:rsidR="00852F9E" w:rsidRPr="009118AB" w:rsidRDefault="00297A91" w:rsidP="00297A91">
      <w:pPr>
        <w:autoSpaceDE w:val="0"/>
        <w:autoSpaceDN w:val="0"/>
        <w:adjustRightInd w:val="0"/>
        <w:ind w:firstLine="709"/>
        <w:jc w:val="both"/>
      </w:pPr>
      <w:r w:rsidRPr="009118AB">
        <w:rPr>
          <w:i/>
          <w:iCs/>
        </w:rPr>
        <w:lastRenderedPageBreak/>
        <w:t>b)</w:t>
      </w:r>
      <w:r w:rsidRPr="009118AB">
        <w:t> die ab dem 1. Januar 2024 für Erwerb oder Erhaltung eines unbeweglichen Gutes aufgenommen wird.]</w:t>
      </w:r>
      <w:r w:rsidR="00852F9E" w:rsidRPr="009118AB">
        <w:t>]</w:t>
      </w:r>
    </w:p>
    <w:p w14:paraId="7A39A21A" w14:textId="77777777" w:rsidR="00477B8F" w:rsidRPr="009118AB" w:rsidRDefault="00477B8F" w:rsidP="00477B8F">
      <w:pPr>
        <w:autoSpaceDE w:val="0"/>
        <w:autoSpaceDN w:val="0"/>
        <w:adjustRightInd w:val="0"/>
        <w:jc w:val="both"/>
        <w:rPr>
          <w:i/>
          <w:iCs/>
        </w:rPr>
      </w:pPr>
    </w:p>
    <w:p w14:paraId="100CC6C5" w14:textId="4DBA624E" w:rsidR="00477B8F" w:rsidRPr="009118AB" w:rsidRDefault="00477B8F" w:rsidP="00477B8F">
      <w:pPr>
        <w:autoSpaceDE w:val="0"/>
        <w:autoSpaceDN w:val="0"/>
        <w:adjustRightInd w:val="0"/>
        <w:jc w:val="both"/>
        <w:rPr>
          <w:i/>
          <w:iCs/>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145</w:t>
      </w:r>
      <w:r w:rsidRPr="009118AB">
        <w:rPr>
          <w:rFonts w:ascii="Times New Roman Italique" w:hAnsi="Times New Roman Italique"/>
          <w:i/>
          <w:iCs/>
          <w:spacing w:val="-2"/>
          <w:vertAlign w:val="superscript"/>
        </w:rPr>
        <w:t>4</w:t>
      </w:r>
      <w:r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1 einziger Absatz Buchstabe b)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des G. vom 10. August 2001 (B.S. vom 20. September 2001)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w:t>
      </w:r>
      <w:r w:rsidR="008C2F6E" w:rsidRPr="009118AB">
        <w:rPr>
          <w:rFonts w:ascii="Times New Roman Italique" w:hAnsi="Times New Roman Italique"/>
          <w:i/>
          <w:iCs/>
          <w:spacing w:val="-2"/>
        </w:rPr>
        <w:t> </w:t>
      </w:r>
      <w:r w:rsidRPr="009118AB">
        <w:rPr>
          <w:rFonts w:ascii="Times New Roman Italique" w:hAnsi="Times New Roman Italique"/>
          <w:i/>
          <w:iCs/>
          <w:spacing w:val="-2"/>
        </w:rPr>
        <w:t>2002</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einziger</w:t>
      </w:r>
      <w:r w:rsidRPr="009118AB">
        <w:rPr>
          <w:i/>
          <w:iCs/>
        </w:rPr>
        <w:t xml:space="preserve"> Absatz </w:t>
      </w:r>
      <w:r w:rsidR="00D67EB8" w:rsidRPr="009118AB">
        <w:rPr>
          <w:i/>
          <w:iCs/>
        </w:rPr>
        <w:t>Nr. </w:t>
      </w:r>
      <w:r w:rsidRPr="009118AB">
        <w:rPr>
          <w:i/>
          <w:iCs/>
        </w:rPr>
        <w:t xml:space="preserve">2 einziger Absatz Buchstabe a) abgeändert durch </w:t>
      </w:r>
      <w:r w:rsidR="00D67EB8" w:rsidRPr="009118AB">
        <w:rPr>
          <w:i/>
          <w:iCs/>
        </w:rPr>
        <w:t>Art. </w:t>
      </w:r>
      <w:r w:rsidRPr="009118AB">
        <w:rPr>
          <w:i/>
          <w:iCs/>
        </w:rPr>
        <w:t xml:space="preserve">31 </w:t>
      </w:r>
      <w:r w:rsidR="00D67EB8" w:rsidRPr="009118AB">
        <w:rPr>
          <w:i/>
          <w:iCs/>
        </w:rPr>
        <w:t>Nr. </w:t>
      </w:r>
      <w:r w:rsidRPr="009118AB">
        <w:rPr>
          <w:i/>
          <w:iCs/>
        </w:rPr>
        <w:t>2 des G.</w:t>
      </w:r>
      <w:r w:rsidR="00E63781" w:rsidRPr="009118AB">
        <w:rPr>
          <w:i/>
          <w:iCs/>
        </w:rPr>
        <w:t> </w:t>
      </w:r>
      <w:r w:rsidRPr="009118AB">
        <w:rPr>
          <w:i/>
          <w:iCs/>
        </w:rPr>
        <w:t>vom 10. August 2001 (B.S. vom 20. September 2001)</w:t>
      </w:r>
      <w:r w:rsidR="00D67EB8" w:rsidRPr="009118AB">
        <w:rPr>
          <w:i/>
          <w:iCs/>
        </w:rPr>
        <w:t> - </w:t>
      </w:r>
      <w:r w:rsidRPr="009118AB">
        <w:rPr>
          <w:i/>
          <w:iCs/>
        </w:rPr>
        <w:t>in Kraft ab dem Steuerjahr 2003</w:t>
      </w:r>
      <w:r w:rsidR="003366D9" w:rsidRPr="009118AB">
        <w:rPr>
          <w:i/>
          <w:iCs/>
        </w:rPr>
        <w:t> -;</w:t>
      </w:r>
      <w:r w:rsidRPr="009118AB">
        <w:rPr>
          <w:i/>
          <w:iCs/>
        </w:rPr>
        <w:t xml:space="preserve"> einziger Absatz </w:t>
      </w:r>
      <w:r w:rsidR="00D67EB8" w:rsidRPr="009118AB">
        <w:rPr>
          <w:i/>
          <w:iCs/>
        </w:rPr>
        <w:t>Nr. </w:t>
      </w:r>
      <w:r w:rsidRPr="009118AB">
        <w:rPr>
          <w:i/>
          <w:iCs/>
        </w:rPr>
        <w:t xml:space="preserve">2 einziger Absatz Buchstabe b) ersetzt durch </w:t>
      </w:r>
      <w:r w:rsidR="00D67EB8" w:rsidRPr="009118AB">
        <w:rPr>
          <w:i/>
          <w:iCs/>
        </w:rPr>
        <w:t>Art. </w:t>
      </w:r>
      <w:r w:rsidR="00D50801" w:rsidRPr="009118AB">
        <w:rPr>
          <w:i/>
          <w:iCs/>
        </w:rPr>
        <w:t xml:space="preserve">114 des G. </w:t>
      </w:r>
      <w:r w:rsidR="00CF5D0E" w:rsidRPr="009118AB">
        <w:rPr>
          <w:i/>
          <w:iCs/>
        </w:rPr>
        <w:t xml:space="preserve">(I) </w:t>
      </w:r>
      <w:r w:rsidR="00D50801" w:rsidRPr="009118AB">
        <w:rPr>
          <w:i/>
          <w:iCs/>
        </w:rPr>
        <w:t>vom 22. Dezember 2008 (II) (B.S. vom 29. Dezember 2008)</w:t>
      </w:r>
      <w:r w:rsidR="00D67EB8" w:rsidRPr="009118AB">
        <w:rPr>
          <w:i/>
          <w:iCs/>
        </w:rPr>
        <w:t> - </w:t>
      </w:r>
      <w:r w:rsidR="00D50801" w:rsidRPr="009118AB">
        <w:rPr>
          <w:i/>
          <w:iCs/>
        </w:rPr>
        <w:t>anwendbar auf die ab dem 1. Januar 2008 abgeschlossenen Lebensversicherungs- und Sparversicherungsverträge</w:t>
      </w:r>
      <w:r w:rsidR="003366D9" w:rsidRPr="009118AB">
        <w:rPr>
          <w:i/>
          <w:iCs/>
        </w:rPr>
        <w:t> -;</w:t>
      </w:r>
      <w:r w:rsidRPr="009118AB">
        <w:rPr>
          <w:i/>
          <w:iCs/>
        </w:rPr>
        <w:t xml:space="preserve"> einziger Absatz </w:t>
      </w:r>
      <w:r w:rsidR="00D67EB8" w:rsidRPr="009118AB">
        <w:rPr>
          <w:i/>
          <w:iCs/>
        </w:rPr>
        <w:t>Nr. </w:t>
      </w:r>
      <w:r w:rsidRPr="009118AB">
        <w:rPr>
          <w:i/>
          <w:iCs/>
        </w:rPr>
        <w:t xml:space="preserve">3 eingefügt durch </w:t>
      </w:r>
      <w:r w:rsidR="00D67EB8" w:rsidRPr="009118AB">
        <w:rPr>
          <w:i/>
          <w:iCs/>
        </w:rPr>
        <w:t>Art. </w:t>
      </w:r>
      <w:r w:rsidRPr="009118AB">
        <w:rPr>
          <w:i/>
          <w:iCs/>
        </w:rPr>
        <w:t xml:space="preserve">77 des G. (I) vom 24. Dezember 2002 </w:t>
      </w:r>
      <w:r w:rsidR="00D86BCC" w:rsidRPr="009118AB">
        <w:rPr>
          <w:i/>
          <w:iCs/>
        </w:rPr>
        <w:t xml:space="preserve">(I) </w:t>
      </w:r>
      <w:r w:rsidRPr="009118AB">
        <w:rPr>
          <w:i/>
          <w:iCs/>
        </w:rPr>
        <w:t>(B.S. vom 31. Dezember 2002)</w:t>
      </w:r>
      <w:r w:rsidR="00D67EB8" w:rsidRPr="009118AB">
        <w:rPr>
          <w:i/>
          <w:iCs/>
        </w:rPr>
        <w:t> - </w:t>
      </w:r>
      <w:r w:rsidRPr="009118AB">
        <w:rPr>
          <w:i/>
          <w:iCs/>
        </w:rPr>
        <w:t>in Kraft ab dem Steuerjahr 2005</w:t>
      </w:r>
      <w:r w:rsidR="00D67EB8" w:rsidRPr="009118AB">
        <w:rPr>
          <w:i/>
          <w:iCs/>
        </w:rPr>
        <w:t> - </w:t>
      </w:r>
      <w:r w:rsidR="00B21E12" w:rsidRPr="009118AB">
        <w:rPr>
          <w:i/>
          <w:iCs/>
        </w:rPr>
        <w:t xml:space="preserve">und abgeändert durch </w:t>
      </w:r>
      <w:r w:rsidR="00D67EB8" w:rsidRPr="009118AB">
        <w:rPr>
          <w:i/>
          <w:iCs/>
        </w:rPr>
        <w:t>Art. </w:t>
      </w:r>
      <w:r w:rsidR="00B21E12" w:rsidRPr="009118AB">
        <w:rPr>
          <w:i/>
          <w:iCs/>
        </w:rPr>
        <w:t>59 des G. vom 18. Februar 2018 (B.S. vom 30. März 2018)</w:t>
      </w:r>
      <w:r w:rsidR="00D67EB8" w:rsidRPr="009118AB">
        <w:rPr>
          <w:i/>
          <w:iCs/>
        </w:rPr>
        <w:t> - </w:t>
      </w:r>
      <w:r w:rsidR="00B21E12" w:rsidRPr="009118AB">
        <w:rPr>
          <w:i/>
          <w:iCs/>
        </w:rPr>
        <w:t>anwendbar ab dem Steuerjahr 2019</w:t>
      </w:r>
      <w:r w:rsidR="003366D9" w:rsidRPr="009118AB">
        <w:rPr>
          <w:i/>
          <w:iCs/>
        </w:rPr>
        <w:t> -;</w:t>
      </w:r>
      <w:r w:rsidR="00852F9E" w:rsidRPr="009118AB">
        <w:rPr>
          <w:i/>
          <w:iCs/>
        </w:rPr>
        <w:t xml:space="preserve"> einziger Absatz </w:t>
      </w:r>
      <w:r w:rsidR="00D67EB8" w:rsidRPr="009118AB">
        <w:rPr>
          <w:i/>
          <w:iCs/>
        </w:rPr>
        <w:t>Nr. </w:t>
      </w:r>
      <w:r w:rsidR="00852F9E" w:rsidRPr="009118AB">
        <w:rPr>
          <w:i/>
          <w:iCs/>
        </w:rPr>
        <w:t xml:space="preserve">4 eingefügt durch </w:t>
      </w:r>
      <w:r w:rsidR="00D67EB8" w:rsidRPr="009118AB">
        <w:rPr>
          <w:i/>
          <w:iCs/>
        </w:rPr>
        <w:t>Art. </w:t>
      </w:r>
      <w:r w:rsidR="00852F9E" w:rsidRPr="009118AB">
        <w:rPr>
          <w:i/>
          <w:iCs/>
        </w:rPr>
        <w:t>25 des G. vom 8. Mai 2014 (B.S. vom 28. Mai 2014)</w:t>
      </w:r>
      <w:r w:rsidR="00D67EB8" w:rsidRPr="009118AB">
        <w:rPr>
          <w:i/>
          <w:iCs/>
        </w:rPr>
        <w:t> - </w:t>
      </w:r>
      <w:r w:rsidR="00852F9E" w:rsidRPr="009118AB">
        <w:rPr>
          <w:i/>
          <w:iCs/>
        </w:rPr>
        <w:t>anwendbar ab dem Steuerjahr 2015</w:t>
      </w:r>
      <w:r w:rsidR="00FD68E8" w:rsidRPr="009118AB">
        <w:rPr>
          <w:i/>
          <w:iCs/>
        </w:rPr>
        <w:t> -</w:t>
      </w:r>
      <w:r w:rsidR="00297A91" w:rsidRPr="009118AB">
        <w:rPr>
          <w:i/>
          <w:iCs/>
        </w:rPr>
        <w:t xml:space="preserve"> und ersetzt durch Art. 111</w:t>
      </w:r>
      <w:r w:rsidR="00297A91" w:rsidRPr="009118AB">
        <w:rPr>
          <w:bCs/>
          <w:i/>
          <w:iCs/>
        </w:rPr>
        <w:t xml:space="preserve"> des G. vom 26. Dezember 2022</w:t>
      </w:r>
      <w:r w:rsidR="00236038" w:rsidRPr="009118AB">
        <w:rPr>
          <w:i/>
          <w:iCs/>
        </w:rPr>
        <w:t> (I)</w:t>
      </w:r>
      <w:r w:rsidR="00297A91" w:rsidRPr="009118AB">
        <w:rPr>
          <w:bCs/>
          <w:i/>
          <w:iCs/>
        </w:rPr>
        <w:t xml:space="preserve"> (B.S. vom 30. Dezember 2022)</w:t>
      </w:r>
      <w:r w:rsidR="00FD68E8" w:rsidRPr="009118AB">
        <w:rPr>
          <w:i/>
          <w:iCs/>
        </w:rPr>
        <w:t>]</w:t>
      </w:r>
    </w:p>
    <w:p w14:paraId="553228D7" w14:textId="77777777" w:rsidR="00477B8F" w:rsidRPr="009118AB" w:rsidRDefault="00477B8F" w:rsidP="00477B8F">
      <w:pPr>
        <w:autoSpaceDE w:val="0"/>
        <w:autoSpaceDN w:val="0"/>
        <w:adjustRightInd w:val="0"/>
        <w:jc w:val="both"/>
      </w:pPr>
      <w:r w:rsidRPr="009118AB">
        <w:br w:type="page"/>
      </w:r>
      <w:r w:rsidRPr="009118AB">
        <w:lastRenderedPageBreak/>
        <w:tab/>
      </w:r>
      <w:r w:rsidRPr="009118AB">
        <w:rPr>
          <w:i/>
          <w:iCs/>
        </w:rPr>
        <w:t xml:space="preserve">D. </w:t>
      </w:r>
      <w:r w:rsidRPr="009118AB">
        <w:t>Tilgung oder Wiederherstellung von Hypothekenanleihen</w:t>
      </w:r>
    </w:p>
    <w:p w14:paraId="00559F91" w14:textId="77777777" w:rsidR="00477B8F" w:rsidRPr="009118AB" w:rsidRDefault="00477B8F" w:rsidP="00477B8F">
      <w:pPr>
        <w:autoSpaceDE w:val="0"/>
        <w:autoSpaceDN w:val="0"/>
        <w:adjustRightInd w:val="0"/>
        <w:jc w:val="both"/>
      </w:pPr>
    </w:p>
    <w:p w14:paraId="6FD740E2" w14:textId="77777777" w:rsidR="00477B8F" w:rsidRPr="009118AB" w:rsidRDefault="00477B8F" w:rsidP="00477B8F">
      <w:pPr>
        <w:autoSpaceDE w:val="0"/>
        <w:autoSpaceDN w:val="0"/>
        <w:adjustRightInd w:val="0"/>
        <w:jc w:val="both"/>
      </w:pPr>
    </w:p>
    <w:p w14:paraId="2FE11BAF" w14:textId="2AA2180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5</w:t>
      </w:r>
      <w:r w:rsidR="00D67EB8" w:rsidRPr="009118AB">
        <w:t> - </w:t>
      </w:r>
      <w:r w:rsidRPr="009118AB">
        <w:t>[In Artikel 145</w:t>
      </w:r>
      <w:r w:rsidRPr="009118AB">
        <w:rPr>
          <w:vertAlign w:val="superscript"/>
        </w:rPr>
        <w:t>1</w:t>
      </w:r>
      <w:r w:rsidRPr="009118AB">
        <w:t xml:space="preserve"> </w:t>
      </w:r>
      <w:r w:rsidR="00D67EB8" w:rsidRPr="009118AB">
        <w:t>Nr. </w:t>
      </w:r>
      <w:r w:rsidRPr="009118AB">
        <w:t>3 erwähnte Summen, die für Tilgung oder Wiederherstellung einer Hypothekenanleihe gezahlt werden, werden für die Ermäßigung berücksichtigt unter der Bedingung, dass die Anleihe aufgenommen wird:</w:t>
      </w:r>
    </w:p>
    <w:p w14:paraId="69EFDAEB" w14:textId="77777777" w:rsidR="00477B8F" w:rsidRPr="009118AB" w:rsidRDefault="00477B8F" w:rsidP="00477B8F">
      <w:pPr>
        <w:autoSpaceDE w:val="0"/>
        <w:autoSpaceDN w:val="0"/>
        <w:adjustRightInd w:val="0"/>
        <w:jc w:val="both"/>
      </w:pPr>
    </w:p>
    <w:p w14:paraId="31AE5B1D" w14:textId="77777777" w:rsidR="00477B8F" w:rsidRPr="009118AB" w:rsidRDefault="00477B8F" w:rsidP="00477B8F">
      <w:pPr>
        <w:autoSpaceDE w:val="0"/>
        <w:autoSpaceDN w:val="0"/>
        <w:adjustRightInd w:val="0"/>
        <w:jc w:val="both"/>
      </w:pPr>
      <w:r w:rsidRPr="009118AB">
        <w:tab/>
        <w:t>1. bei einem Institut, dessen Sitz [im Europäischen Wirtschaftsraum] liegt,</w:t>
      </w:r>
    </w:p>
    <w:p w14:paraId="08EA370A" w14:textId="77777777" w:rsidR="00477B8F" w:rsidRPr="009118AB" w:rsidRDefault="00477B8F" w:rsidP="00477B8F">
      <w:pPr>
        <w:autoSpaceDE w:val="0"/>
        <w:autoSpaceDN w:val="0"/>
        <w:adjustRightInd w:val="0"/>
        <w:jc w:val="both"/>
      </w:pPr>
    </w:p>
    <w:p w14:paraId="1C4E2365" w14:textId="77777777" w:rsidR="00477B8F" w:rsidRPr="009118AB" w:rsidRDefault="00477B8F" w:rsidP="00477B8F">
      <w:pPr>
        <w:autoSpaceDE w:val="0"/>
        <w:autoSpaceDN w:val="0"/>
        <w:adjustRightInd w:val="0"/>
        <w:jc w:val="both"/>
      </w:pPr>
      <w:r w:rsidRPr="009118AB">
        <w:tab/>
        <w:t>2. für eine Laufzeit von mindestens zehn Jahren.]</w:t>
      </w:r>
    </w:p>
    <w:p w14:paraId="7CB0AC55" w14:textId="77777777" w:rsidR="00852F9E" w:rsidRPr="009118AB" w:rsidRDefault="00852F9E" w:rsidP="00477B8F">
      <w:pPr>
        <w:autoSpaceDE w:val="0"/>
        <w:autoSpaceDN w:val="0"/>
        <w:adjustRightInd w:val="0"/>
        <w:jc w:val="both"/>
      </w:pPr>
    </w:p>
    <w:p w14:paraId="20D0467F" w14:textId="2A629A66" w:rsidR="00852F9E" w:rsidRPr="009118AB" w:rsidRDefault="00852F9E" w:rsidP="00477B8F">
      <w:pPr>
        <w:autoSpaceDE w:val="0"/>
        <w:autoSpaceDN w:val="0"/>
        <w:adjustRightInd w:val="0"/>
        <w:jc w:val="both"/>
      </w:pPr>
      <w:r w:rsidRPr="009118AB">
        <w:tab/>
        <w:t>[In Artikel 145</w:t>
      </w:r>
      <w:r w:rsidRPr="009118AB">
        <w:rPr>
          <w:vertAlign w:val="superscript"/>
        </w:rPr>
        <w:t>1</w:t>
      </w:r>
      <w:r w:rsidRPr="009118AB">
        <w:t xml:space="preserve"> </w:t>
      </w:r>
      <w:r w:rsidR="00D67EB8" w:rsidRPr="009118AB">
        <w:t>Nr. </w:t>
      </w:r>
      <w:r w:rsidRPr="009118AB">
        <w:t>3 erwähnte Zahlungen kommen für die Ermäßigung nicht in Betracht, wenn die Wohnung, für die die Hypothekenanleihe aufgenommen wird, zum Zeitpunkt der Zahlungen die eigene Wohnung des Steuerpflichtigen ist.]</w:t>
      </w:r>
    </w:p>
    <w:p w14:paraId="608ECB19" w14:textId="77777777" w:rsidR="00297A91" w:rsidRPr="009118AB" w:rsidRDefault="00297A91" w:rsidP="00477B8F">
      <w:pPr>
        <w:autoSpaceDE w:val="0"/>
        <w:autoSpaceDN w:val="0"/>
        <w:adjustRightInd w:val="0"/>
        <w:jc w:val="both"/>
      </w:pPr>
    </w:p>
    <w:p w14:paraId="18760264" w14:textId="50948E6A" w:rsidR="00297A91" w:rsidRPr="009118AB" w:rsidRDefault="00297A91" w:rsidP="00477B8F">
      <w:pPr>
        <w:autoSpaceDE w:val="0"/>
        <w:autoSpaceDN w:val="0"/>
        <w:adjustRightInd w:val="0"/>
        <w:jc w:val="both"/>
      </w:pPr>
      <w:r w:rsidRPr="009118AB">
        <w:tab/>
        <w:t>[Für Handlungen, die ab dem 1. Januar 2023 vorgenommen werden und die bezwecken oder bewirken, dass die in Artikel 145</w:t>
      </w:r>
      <w:r w:rsidRPr="009118AB">
        <w:rPr>
          <w:vertAlign w:val="superscript"/>
        </w:rPr>
        <w:t>1</w:t>
      </w:r>
      <w:r w:rsidRPr="009118AB">
        <w:t xml:space="preserve"> Nr. 3 erwähnte Steuerermäßigung für einen längeren Zeitraum als den am 31. Dezember 2022 geltenden Zeitraum gewährt werden kann, gilt in Bezug auf die Verlängerung des Zeitraums, in dem die Steuerermäßigung gewährt werden kann, dass sie nicht bestehen.]</w:t>
      </w:r>
      <w:r w:rsidR="00705368" w:rsidRPr="009118AB">
        <w:t xml:space="preserve"> [Für Hypothekenanleihen, die im Jahr 2023 abgeschlossen werden, werden die vorerwähnten Daten vom 1. Januar 2023 und 31. Dezember 2022 auf den 1. Januar 2024 beziehungsweise 31. Dezember 2023 verschoben.]</w:t>
      </w:r>
    </w:p>
    <w:p w14:paraId="712D354C" w14:textId="77777777" w:rsidR="00477B8F" w:rsidRPr="009118AB" w:rsidRDefault="00477B8F" w:rsidP="00477B8F">
      <w:pPr>
        <w:autoSpaceDE w:val="0"/>
        <w:autoSpaceDN w:val="0"/>
        <w:adjustRightInd w:val="0"/>
        <w:jc w:val="both"/>
      </w:pPr>
    </w:p>
    <w:p w14:paraId="6E62A988" w14:textId="1D0F4219" w:rsidR="00477B8F" w:rsidRPr="009118AB" w:rsidRDefault="00477B8F" w:rsidP="00477B8F">
      <w:pPr>
        <w:autoSpaceDE w:val="0"/>
        <w:autoSpaceDN w:val="0"/>
        <w:adjustRightInd w:val="0"/>
        <w:jc w:val="both"/>
        <w:rPr>
          <w:i/>
          <w:iCs/>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145</w:t>
      </w:r>
      <w:r w:rsidRPr="009118AB">
        <w:rPr>
          <w:rFonts w:ascii="Times New Roman Italique" w:hAnsi="Times New Roman Italique"/>
          <w:i/>
          <w:iCs/>
          <w:spacing w:val="-2"/>
          <w:vertAlign w:val="superscript"/>
        </w:rPr>
        <w:t>5</w:t>
      </w:r>
      <w:r w:rsidRPr="009118AB">
        <w:rPr>
          <w:rFonts w:ascii="Times New Roman Italique" w:hAnsi="Times New Roman Italique"/>
          <w:i/>
          <w:iCs/>
          <w:spacing w:val="-2"/>
        </w:rPr>
        <w:t xml:space="preserve">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5 des G. vom 17. Mai 2000 (B.S. vom 16. Juni 2000)</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2001</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852F9E" w:rsidRPr="009118AB">
        <w:rPr>
          <w:rFonts w:ascii="Times New Roman Italique" w:hAnsi="Times New Roman Italique"/>
          <w:i/>
          <w:iCs/>
          <w:spacing w:val="-2"/>
        </w:rPr>
        <w:t xml:space="preserve">1 (früherer </w:t>
      </w:r>
      <w:r w:rsidRPr="009118AB">
        <w:rPr>
          <w:rFonts w:ascii="Times New Roman Italique" w:hAnsi="Times New Roman Italique"/>
          <w:i/>
          <w:iCs/>
          <w:spacing w:val="-2"/>
        </w:rPr>
        <w:t>einziger Absatz</w:t>
      </w:r>
      <w:r w:rsidR="00852F9E" w:rsidRPr="009118AB">
        <w:rPr>
          <w:rFonts w:ascii="Times New Roman Italique" w:hAnsi="Times New Roman Italique"/>
          <w:i/>
          <w:iCs/>
          <w:spacing w:val="-2"/>
        </w:rPr>
        <w:t>)</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1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398 des G. vom 27. Dezember 2004 (B.S. vom 31. Dezember 2004)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2006</w:t>
      </w:r>
      <w:r w:rsidR="003366D9" w:rsidRPr="009118AB">
        <w:rPr>
          <w:rFonts w:ascii="Times New Roman Italique" w:hAnsi="Times New Roman Italique"/>
          <w:i/>
          <w:iCs/>
          <w:spacing w:val="-2"/>
        </w:rPr>
        <w:t> -;</w:t>
      </w:r>
      <w:r w:rsidR="00852F9E"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852F9E"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00852F9E" w:rsidRPr="009118AB">
        <w:rPr>
          <w:rFonts w:ascii="Times New Roman Italique" w:hAnsi="Times New Roman Italique"/>
          <w:i/>
          <w:iCs/>
          <w:spacing w:val="-2"/>
        </w:rPr>
        <w:t>26 des G. vom 8. Mai 2014 (B.S. vom 28. Mai 2014)</w:t>
      </w:r>
      <w:r w:rsidR="00D67EB8" w:rsidRPr="009118AB">
        <w:rPr>
          <w:rFonts w:ascii="Times New Roman Italique" w:hAnsi="Times New Roman Italique"/>
          <w:i/>
          <w:iCs/>
          <w:spacing w:val="-2"/>
        </w:rPr>
        <w:t> - </w:t>
      </w:r>
      <w:r w:rsidR="00852F9E" w:rsidRPr="009118AB">
        <w:rPr>
          <w:rFonts w:ascii="Times New Roman Italique" w:hAnsi="Times New Roman Italique"/>
          <w:i/>
          <w:iCs/>
          <w:spacing w:val="-2"/>
        </w:rPr>
        <w:t>anwendbar</w:t>
      </w:r>
      <w:r w:rsidR="00852F9E" w:rsidRPr="009118AB">
        <w:rPr>
          <w:i/>
          <w:iCs/>
        </w:rPr>
        <w:t xml:space="preserve"> ab dem Steuerjahr 2015</w:t>
      </w:r>
      <w:r w:rsidR="00FD68E8" w:rsidRPr="009118AB">
        <w:rPr>
          <w:i/>
          <w:iCs/>
        </w:rPr>
        <w:t> -</w:t>
      </w:r>
      <w:r w:rsidR="00297A91" w:rsidRPr="009118AB">
        <w:rPr>
          <w:i/>
          <w:iCs/>
        </w:rPr>
        <w:t>; Abs. 3 eingefügt durch Art. 112</w:t>
      </w:r>
      <w:r w:rsidR="00297A91" w:rsidRPr="009118AB">
        <w:rPr>
          <w:bCs/>
          <w:i/>
          <w:iCs/>
        </w:rPr>
        <w:t xml:space="preserve"> des G. vom 26. Dezember 2022</w:t>
      </w:r>
      <w:r w:rsidR="00236038" w:rsidRPr="009118AB">
        <w:rPr>
          <w:i/>
          <w:iCs/>
        </w:rPr>
        <w:t> (I)</w:t>
      </w:r>
      <w:r w:rsidR="00297A91" w:rsidRPr="009118AB">
        <w:rPr>
          <w:bCs/>
          <w:i/>
          <w:iCs/>
        </w:rPr>
        <w:t xml:space="preserve"> (B.S. vom 30. Dezember 2022) - in Kraft am 1. Januar 2023 </w:t>
      </w:r>
      <w:r w:rsidR="00705368" w:rsidRPr="009118AB">
        <w:rPr>
          <w:bCs/>
          <w:i/>
          <w:iCs/>
        </w:rPr>
        <w:t>- und abgeändert durch Art. 27 des G. vom 31. Juli 2023 (II) (B.S. vom 23. August 2023)</w:t>
      </w:r>
      <w:r w:rsidR="00FD68E8" w:rsidRPr="009118AB">
        <w:rPr>
          <w:i/>
          <w:iCs/>
        </w:rPr>
        <w:t>]</w:t>
      </w:r>
    </w:p>
    <w:p w14:paraId="5A0EA93C" w14:textId="77777777" w:rsidR="00477B8F" w:rsidRPr="009118AB" w:rsidRDefault="00477B8F" w:rsidP="00477B8F">
      <w:pPr>
        <w:autoSpaceDE w:val="0"/>
        <w:autoSpaceDN w:val="0"/>
        <w:adjustRightInd w:val="0"/>
        <w:jc w:val="both"/>
        <w:rPr>
          <w:i/>
          <w:iCs/>
        </w:rPr>
      </w:pPr>
    </w:p>
    <w:p w14:paraId="7F7F531C" w14:textId="77777777" w:rsidR="00477B8F" w:rsidRPr="009118AB" w:rsidRDefault="00477B8F" w:rsidP="00477B8F">
      <w:pPr>
        <w:autoSpaceDE w:val="0"/>
        <w:autoSpaceDN w:val="0"/>
        <w:adjustRightInd w:val="0"/>
        <w:jc w:val="both"/>
      </w:pPr>
    </w:p>
    <w:p w14:paraId="52A46417" w14:textId="3C97834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6</w:t>
      </w:r>
      <w:r w:rsidR="00D67EB8" w:rsidRPr="009118AB">
        <w:t> - </w:t>
      </w:r>
      <w:r w:rsidRPr="009118AB">
        <w:t>[In Artikel 145</w:t>
      </w:r>
      <w:r w:rsidRPr="009118AB">
        <w:rPr>
          <w:vertAlign w:val="superscript"/>
        </w:rPr>
        <w:t>1</w:t>
      </w:r>
      <w:r w:rsidRPr="009118AB">
        <w:t xml:space="preserve"> </w:t>
      </w:r>
      <w:r w:rsidR="00D67EB8" w:rsidRPr="009118AB">
        <w:t>Nr. </w:t>
      </w:r>
      <w:r w:rsidRPr="009118AB">
        <w:t>2 und 3 erwähnte Beiträge und Summen werden für die Ermäßigung berücksichtigt in dem Maße, wie diese Ausgaben die Plusdifferenz zwischen folgenden Beträgen nicht übersteigen:</w:t>
      </w:r>
    </w:p>
    <w:p w14:paraId="07A09735" w14:textId="77777777" w:rsidR="00477B8F" w:rsidRPr="009118AB" w:rsidRDefault="00477B8F" w:rsidP="00477B8F">
      <w:pPr>
        <w:autoSpaceDE w:val="0"/>
        <w:autoSpaceDN w:val="0"/>
        <w:adjustRightInd w:val="0"/>
        <w:jc w:val="both"/>
      </w:pPr>
    </w:p>
    <w:p w14:paraId="36D57F5B" w14:textId="77777777" w:rsidR="00477B8F" w:rsidRPr="009118AB" w:rsidRDefault="00477B8F" w:rsidP="00477B8F">
      <w:pPr>
        <w:autoSpaceDE w:val="0"/>
        <w:autoSpaceDN w:val="0"/>
        <w:adjustRightInd w:val="0"/>
        <w:jc w:val="both"/>
      </w:pPr>
      <w:r w:rsidRPr="009118AB">
        <w:tab/>
        <w:t xml:space="preserve">- einerseits 15 Prozent des ersten Teilbetrags von 1.250 EUR der Gesamtheit der Berufseinkünfte </w:t>
      </w:r>
      <w:r w:rsidR="00DE5475" w:rsidRPr="009118AB">
        <w:t xml:space="preserve">[ausschließlich der gemäß Artikel 171 besteuerten Berufseinkünfte] </w:t>
      </w:r>
      <w:r w:rsidRPr="009118AB">
        <w:t>und 6 Prozent der restlichen Berufseinkünfte, wobei ein Höchstbetrag von 1.500 EUR gilt,</w:t>
      </w:r>
    </w:p>
    <w:p w14:paraId="37839B41" w14:textId="77777777" w:rsidR="00477B8F" w:rsidRPr="009118AB" w:rsidRDefault="00477B8F" w:rsidP="00477B8F">
      <w:pPr>
        <w:autoSpaceDE w:val="0"/>
        <w:autoSpaceDN w:val="0"/>
        <w:adjustRightInd w:val="0"/>
        <w:jc w:val="both"/>
      </w:pPr>
    </w:p>
    <w:p w14:paraId="4EE7D43F" w14:textId="77777777" w:rsidR="00477B8F" w:rsidRPr="009118AB" w:rsidRDefault="00477B8F" w:rsidP="00477B8F">
      <w:pPr>
        <w:autoSpaceDE w:val="0"/>
        <w:autoSpaceDN w:val="0"/>
        <w:adjustRightInd w:val="0"/>
        <w:jc w:val="both"/>
      </w:pPr>
      <w:r w:rsidRPr="009118AB">
        <w:tab/>
        <w:t>-</w:t>
      </w:r>
      <w:r w:rsidR="00DE5475" w:rsidRPr="009118AB">
        <w:t xml:space="preserve"> [und andererseits dem Betrag der Ausgaben für Erwerb oder Erhaltung der eigenen Wohnung, für die die in den Artikeln 145</w:t>
      </w:r>
      <w:r w:rsidR="00DE5475" w:rsidRPr="009118AB">
        <w:rPr>
          <w:vertAlign w:val="superscript"/>
        </w:rPr>
        <w:t>37</w:t>
      </w:r>
      <w:r w:rsidR="00DE5475" w:rsidRPr="009118AB">
        <w:t xml:space="preserve"> und 145</w:t>
      </w:r>
      <w:r w:rsidR="00DE5475" w:rsidRPr="009118AB">
        <w:rPr>
          <w:vertAlign w:val="superscript"/>
        </w:rPr>
        <w:t>39</w:t>
      </w:r>
      <w:r w:rsidR="00DE5475" w:rsidRPr="009118AB">
        <w:t xml:space="preserve"> erwähnten Ermäßigungen gewährt werden können, jedoch ohne Berücksichtigung der eventuellen Erhöhungen </w:t>
      </w:r>
      <w:r w:rsidR="00BF6955" w:rsidRPr="009118AB">
        <w:t>[</w:t>
      </w:r>
      <w:r w:rsidR="00DE5475" w:rsidRPr="009118AB">
        <w:t>wie in Arti</w:t>
      </w:r>
      <w:r w:rsidR="00DE5475" w:rsidRPr="009118AB">
        <w:softHyphen/>
        <w:t>kel 145</w:t>
      </w:r>
      <w:r w:rsidR="00DE5475" w:rsidRPr="009118AB">
        <w:rPr>
          <w:vertAlign w:val="superscript"/>
        </w:rPr>
        <w:t>37</w:t>
      </w:r>
      <w:r w:rsidR="00DE5475" w:rsidRPr="009118AB">
        <w:t xml:space="preserve"> erwähnt</w:t>
      </w:r>
      <w:r w:rsidR="00BF6955" w:rsidRPr="009118AB">
        <w:t>]</w:t>
      </w:r>
      <w:r w:rsidR="00DE5475" w:rsidRPr="009118AB">
        <w:t>.]</w:t>
      </w:r>
      <w:r w:rsidRPr="009118AB">
        <w:t>]</w:t>
      </w:r>
    </w:p>
    <w:p w14:paraId="2EC6413D" w14:textId="77777777" w:rsidR="00477B8F" w:rsidRPr="009118AB" w:rsidRDefault="00477B8F" w:rsidP="00477B8F">
      <w:pPr>
        <w:autoSpaceDE w:val="0"/>
        <w:autoSpaceDN w:val="0"/>
        <w:adjustRightInd w:val="0"/>
        <w:jc w:val="both"/>
      </w:pPr>
    </w:p>
    <w:p w14:paraId="06C19E86" w14:textId="3073743F" w:rsidR="00477B8F" w:rsidRPr="009118AB" w:rsidRDefault="00477B8F" w:rsidP="00477B8F">
      <w:pPr>
        <w:autoSpaceDE w:val="0"/>
        <w:autoSpaceDN w:val="0"/>
        <w:adjustRightInd w:val="0"/>
        <w:jc w:val="both"/>
      </w:pPr>
      <w:r w:rsidRPr="009118AB">
        <w:tab/>
        <w:t>Außerdem werden in Artikel 145</w:t>
      </w:r>
      <w:r w:rsidRPr="009118AB">
        <w:rPr>
          <w:vertAlign w:val="superscript"/>
        </w:rPr>
        <w:t>1</w:t>
      </w:r>
      <w:r w:rsidRPr="009118AB">
        <w:t xml:space="preserve"> </w:t>
      </w:r>
      <w:r w:rsidR="00D67EB8" w:rsidRPr="009118AB">
        <w:t>Nr. </w:t>
      </w:r>
      <w:r w:rsidRPr="009118AB">
        <w:t>3 erwähnte Summen für die Bewilligung der Ermäßigung nur berücksichtigt in dem Maße, wie sie sich auf den ersten Teilbetrag von [50.000 EUR] des Anfangsbetrags der für diese Wohnung aufgenommenen Anleihen beziehen.</w:t>
      </w:r>
    </w:p>
    <w:p w14:paraId="4CEB3A98" w14:textId="77777777" w:rsidR="00477B8F" w:rsidRPr="009118AB" w:rsidRDefault="00477B8F" w:rsidP="00477B8F">
      <w:pPr>
        <w:autoSpaceDE w:val="0"/>
        <w:autoSpaceDN w:val="0"/>
        <w:adjustRightInd w:val="0"/>
        <w:jc w:val="both"/>
      </w:pPr>
    </w:p>
    <w:p w14:paraId="014E7FCC" w14:textId="77777777" w:rsidR="00297A91" w:rsidRPr="009118AB" w:rsidRDefault="00297A91">
      <w:r w:rsidRPr="009118AB">
        <w:br w:type="page"/>
      </w:r>
    </w:p>
    <w:p w14:paraId="7733B0BB" w14:textId="4411FE1D" w:rsidR="00477B8F" w:rsidRPr="009118AB" w:rsidRDefault="00477B8F" w:rsidP="00477B8F">
      <w:pPr>
        <w:autoSpaceDE w:val="0"/>
        <w:autoSpaceDN w:val="0"/>
        <w:adjustRightInd w:val="0"/>
        <w:jc w:val="both"/>
      </w:pPr>
      <w:r w:rsidRPr="009118AB">
        <w:lastRenderedPageBreak/>
        <w:tab/>
        <w:t>Der König legt die Bedingungen und die Weise fest, wie die aufgrund von Artikel 145</w:t>
      </w:r>
      <w:r w:rsidRPr="009118AB">
        <w:rPr>
          <w:vertAlign w:val="superscript"/>
        </w:rPr>
        <w:t>1</w:t>
      </w:r>
      <w:r w:rsidRPr="009118AB">
        <w:t xml:space="preserve"> </w:t>
      </w:r>
      <w:r w:rsidR="00D67EB8" w:rsidRPr="009118AB">
        <w:t>Nr. </w:t>
      </w:r>
      <w:r w:rsidRPr="009118AB">
        <w:t>2 und 3 bewilligte Ermäßigung angewandt wird.</w:t>
      </w:r>
    </w:p>
    <w:p w14:paraId="150FFC22" w14:textId="77777777" w:rsidR="00477B8F" w:rsidRPr="009118AB" w:rsidRDefault="00477B8F" w:rsidP="00477B8F">
      <w:pPr>
        <w:autoSpaceDE w:val="0"/>
        <w:autoSpaceDN w:val="0"/>
        <w:adjustRightInd w:val="0"/>
        <w:jc w:val="both"/>
      </w:pPr>
    </w:p>
    <w:p w14:paraId="2148641E" w14:textId="62B74ECF"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6</w:t>
      </w:r>
      <w:r w:rsidRPr="009118AB">
        <w:rPr>
          <w:i/>
          <w:iCs/>
        </w:rPr>
        <w:t xml:space="preserve"> </w:t>
      </w:r>
      <w:r w:rsidR="00D67EB8" w:rsidRPr="009118AB">
        <w:rPr>
          <w:i/>
          <w:iCs/>
        </w:rPr>
        <w:t>Abs. </w:t>
      </w:r>
      <w:r w:rsidRPr="009118AB">
        <w:rPr>
          <w:i/>
          <w:iCs/>
        </w:rPr>
        <w:t xml:space="preserve">1 ersetzt durch </w:t>
      </w:r>
      <w:r w:rsidR="00D67EB8" w:rsidRPr="009118AB">
        <w:rPr>
          <w:i/>
          <w:iCs/>
        </w:rPr>
        <w:t>Art. </w:t>
      </w:r>
      <w:r w:rsidRPr="009118AB">
        <w:rPr>
          <w:i/>
          <w:iCs/>
        </w:rPr>
        <w:t>399 des G. vom 27. Dezember 2004 (B.S. vom 31. Dezember 2004)</w:t>
      </w:r>
      <w:r w:rsidR="00D67EB8" w:rsidRPr="009118AB">
        <w:rPr>
          <w:i/>
          <w:iCs/>
        </w:rPr>
        <w:t> - </w:t>
      </w:r>
      <w:r w:rsidRPr="009118AB">
        <w:rPr>
          <w:i/>
          <w:iCs/>
        </w:rPr>
        <w:t>in Kraft ab dem Steuerjahr 2006</w:t>
      </w:r>
      <w:r w:rsidR="00FD68E8" w:rsidRPr="009118AB">
        <w:rPr>
          <w:i/>
          <w:iCs/>
        </w:rPr>
        <w:t> -,</w:t>
      </w:r>
      <w:r w:rsidRPr="009118AB">
        <w:rPr>
          <w:i/>
          <w:iCs/>
        </w:rPr>
        <w:t xml:space="preserve"> selbst abgeändert durch </w:t>
      </w:r>
      <w:r w:rsidR="00D67EB8" w:rsidRPr="009118AB">
        <w:rPr>
          <w:i/>
          <w:iCs/>
        </w:rPr>
        <w:t>Art. </w:t>
      </w:r>
      <w:r w:rsidRPr="009118AB">
        <w:rPr>
          <w:i/>
          <w:iCs/>
        </w:rPr>
        <w:t xml:space="preserve">183 </w:t>
      </w:r>
      <w:r w:rsidR="00D67EB8" w:rsidRPr="009118AB">
        <w:rPr>
          <w:i/>
          <w:iCs/>
        </w:rPr>
        <w:t>Nr. </w:t>
      </w:r>
      <w:r w:rsidRPr="009118AB">
        <w:rPr>
          <w:i/>
          <w:iCs/>
        </w:rPr>
        <w:t>1 des G. vom 27. Dezember 2005 (II) (B.S. vom 30. Dezember 2005)</w:t>
      </w:r>
      <w:r w:rsidR="00D67EB8" w:rsidRPr="009118AB">
        <w:rPr>
          <w:i/>
          <w:iCs/>
        </w:rPr>
        <w:t> - </w:t>
      </w:r>
      <w:r w:rsidRPr="009118AB">
        <w:rPr>
          <w:i/>
          <w:iCs/>
        </w:rPr>
        <w:t>in Kraft ab dem Steuerjahr 2006</w:t>
      </w:r>
      <w:r w:rsidR="003366D9" w:rsidRPr="009118AB">
        <w:rPr>
          <w:i/>
          <w:iCs/>
        </w:rPr>
        <w:t> -;</w:t>
      </w:r>
      <w:r w:rsidRPr="009118AB">
        <w:rPr>
          <w:i/>
          <w:iCs/>
        </w:rPr>
        <w:t xml:space="preserve"> </w:t>
      </w:r>
      <w:r w:rsidR="00D67EB8" w:rsidRPr="009118AB">
        <w:rPr>
          <w:i/>
          <w:iCs/>
        </w:rPr>
        <w:t>Abs. </w:t>
      </w:r>
      <w:r w:rsidR="00DE5475" w:rsidRPr="009118AB">
        <w:rPr>
          <w:i/>
          <w:iCs/>
        </w:rPr>
        <w:t xml:space="preserve">1 erster Gedankenstrich abgeändert durch </w:t>
      </w:r>
      <w:r w:rsidR="00D67EB8" w:rsidRPr="009118AB">
        <w:rPr>
          <w:i/>
          <w:iCs/>
        </w:rPr>
        <w:t>Art. </w:t>
      </w:r>
      <w:r w:rsidR="00DE5475" w:rsidRPr="009118AB">
        <w:rPr>
          <w:i/>
          <w:iCs/>
        </w:rPr>
        <w:t xml:space="preserve">27 </w:t>
      </w:r>
      <w:r w:rsidR="00D67EB8" w:rsidRPr="009118AB">
        <w:rPr>
          <w:i/>
          <w:iCs/>
        </w:rPr>
        <w:t>Nr. </w:t>
      </w:r>
      <w:r w:rsidR="00DE5475" w:rsidRPr="009118AB">
        <w:rPr>
          <w:i/>
          <w:iCs/>
        </w:rPr>
        <w:t>1</w:t>
      </w:r>
      <w:r w:rsidR="00DE5475" w:rsidRPr="009118AB">
        <w:rPr>
          <w:i/>
        </w:rPr>
        <w:t xml:space="preserve"> des G. vom 8. Mai 2014 (B.S. vom 28. Mai 2014)</w:t>
      </w:r>
      <w:r w:rsidR="00D67EB8" w:rsidRPr="009118AB">
        <w:rPr>
          <w:i/>
        </w:rPr>
        <w:t> - </w:t>
      </w:r>
      <w:r w:rsidR="00DE5475" w:rsidRPr="009118AB">
        <w:rPr>
          <w:i/>
          <w:iCs/>
        </w:rPr>
        <w:t>anwendbar ab dem Steuerjahr 2015</w:t>
      </w:r>
      <w:r w:rsidR="003366D9" w:rsidRPr="009118AB">
        <w:rPr>
          <w:i/>
          <w:iCs/>
        </w:rPr>
        <w:t> -;</w:t>
      </w:r>
      <w:r w:rsidR="00DE5475" w:rsidRPr="009118AB">
        <w:rPr>
          <w:i/>
          <w:iCs/>
        </w:rPr>
        <w:t xml:space="preserve"> </w:t>
      </w:r>
      <w:r w:rsidR="00D67EB8" w:rsidRPr="009118AB">
        <w:rPr>
          <w:i/>
          <w:iCs/>
        </w:rPr>
        <w:t>Abs. </w:t>
      </w:r>
      <w:r w:rsidR="00DE5475" w:rsidRPr="009118AB">
        <w:rPr>
          <w:i/>
          <w:iCs/>
        </w:rPr>
        <w:t xml:space="preserve">1 zweiter Gedankenstrich ersetzt durch </w:t>
      </w:r>
      <w:r w:rsidR="00D67EB8" w:rsidRPr="009118AB">
        <w:rPr>
          <w:i/>
          <w:iCs/>
        </w:rPr>
        <w:t>Art. </w:t>
      </w:r>
      <w:r w:rsidR="00DE5475" w:rsidRPr="009118AB">
        <w:rPr>
          <w:i/>
          <w:iCs/>
        </w:rPr>
        <w:t xml:space="preserve">27 </w:t>
      </w:r>
      <w:r w:rsidR="00D67EB8" w:rsidRPr="009118AB">
        <w:rPr>
          <w:i/>
          <w:iCs/>
        </w:rPr>
        <w:t>Nr. </w:t>
      </w:r>
      <w:r w:rsidR="00DE5475" w:rsidRPr="009118AB">
        <w:rPr>
          <w:i/>
          <w:iCs/>
        </w:rPr>
        <w:t>2 des G. vom 8. Mai 2014 (B.S. vom 28. Mai 2014)</w:t>
      </w:r>
      <w:r w:rsidR="00D67EB8" w:rsidRPr="009118AB">
        <w:rPr>
          <w:i/>
          <w:iCs/>
        </w:rPr>
        <w:t> - </w:t>
      </w:r>
      <w:r w:rsidR="00DE5475" w:rsidRPr="009118AB">
        <w:rPr>
          <w:i/>
          <w:iCs/>
          <w:spacing w:val="-2"/>
        </w:rPr>
        <w:t>a</w:t>
      </w:r>
      <w:r w:rsidR="00687992" w:rsidRPr="009118AB">
        <w:rPr>
          <w:i/>
          <w:iCs/>
          <w:spacing w:val="-2"/>
        </w:rPr>
        <w:t>nwendbar ab dem Steuerjahr 2015</w:t>
      </w:r>
      <w:r w:rsidR="00D67EB8" w:rsidRPr="009118AB">
        <w:rPr>
          <w:i/>
          <w:iCs/>
          <w:spacing w:val="-2"/>
        </w:rPr>
        <w:t> - </w:t>
      </w:r>
      <w:r w:rsidR="00BF6955" w:rsidRPr="009118AB">
        <w:rPr>
          <w:i/>
          <w:iCs/>
          <w:spacing w:val="-2"/>
        </w:rPr>
        <w:t xml:space="preserve">und abgeändert durch </w:t>
      </w:r>
      <w:r w:rsidR="00D67EB8" w:rsidRPr="009118AB">
        <w:rPr>
          <w:i/>
          <w:iCs/>
          <w:spacing w:val="-2"/>
        </w:rPr>
        <w:t>Art. </w:t>
      </w:r>
      <w:r w:rsidR="00BF6955" w:rsidRPr="009118AB">
        <w:rPr>
          <w:i/>
          <w:iCs/>
          <w:spacing w:val="-2"/>
        </w:rPr>
        <w:t>41 des G. vom 18. Dezember 2015 (II) (B.S. vom 28. Dezember 2015)</w:t>
      </w:r>
      <w:r w:rsidR="00D67EB8" w:rsidRPr="009118AB">
        <w:rPr>
          <w:i/>
          <w:iCs/>
          <w:spacing w:val="-2"/>
        </w:rPr>
        <w:t> - </w:t>
      </w:r>
      <w:r w:rsidR="00510087" w:rsidRPr="009118AB">
        <w:rPr>
          <w:i/>
          <w:iCs/>
          <w:spacing w:val="-2"/>
        </w:rPr>
        <w:t>anwendbar ab dem Steuerjahr 2016</w:t>
      </w:r>
      <w:r w:rsidR="003366D9" w:rsidRPr="009118AB">
        <w:rPr>
          <w:i/>
          <w:iCs/>
          <w:spacing w:val="-2"/>
        </w:rPr>
        <w:t> -;</w:t>
      </w:r>
      <w:r w:rsidR="00DE5475" w:rsidRPr="009118AB">
        <w:rPr>
          <w:i/>
          <w:iCs/>
          <w:spacing w:val="-2"/>
        </w:rPr>
        <w:t xml:space="preserve"> </w:t>
      </w:r>
      <w:r w:rsidR="00D67EB8" w:rsidRPr="009118AB">
        <w:rPr>
          <w:i/>
          <w:iCs/>
          <w:spacing w:val="-2"/>
        </w:rPr>
        <w:t>Abs. </w:t>
      </w:r>
      <w:r w:rsidRPr="009118AB">
        <w:rPr>
          <w:i/>
          <w:iCs/>
          <w:spacing w:val="-2"/>
        </w:rPr>
        <w:t>2</w:t>
      </w:r>
      <w:r w:rsidRPr="009118AB">
        <w:rPr>
          <w:i/>
          <w:iCs/>
        </w:rPr>
        <w:t xml:space="preserve"> abgeändert durch </w:t>
      </w:r>
      <w:r w:rsidR="00D67EB8" w:rsidRPr="009118AB">
        <w:rPr>
          <w:i/>
          <w:iCs/>
        </w:rPr>
        <w:t>Art. </w:t>
      </w:r>
      <w:r w:rsidRPr="009118AB">
        <w:rPr>
          <w:i/>
          <w:iCs/>
        </w:rPr>
        <w:t>2 des K.E. vom 13. Juli 20</w:t>
      </w:r>
      <w:r w:rsidR="00B3148A" w:rsidRPr="009118AB">
        <w:rPr>
          <w:i/>
          <w:iCs/>
        </w:rPr>
        <w:t>01 (B.S. vom 11. August 2001)</w:t>
      </w:r>
      <w:r w:rsidR="00D67EB8" w:rsidRPr="009118AB">
        <w:rPr>
          <w:i/>
          <w:iCs/>
        </w:rPr>
        <w:t> - </w:t>
      </w:r>
      <w:r w:rsidRPr="009118AB">
        <w:rPr>
          <w:i/>
          <w:iCs/>
        </w:rPr>
        <w:t>anwendbar auf Anleihen, die ab dem 1. Januar 2001 abgeschlossen werden, insofern sie keine vor diesem Datum abgeschlossenen Anleihen erset</w:t>
      </w:r>
      <w:r w:rsidR="00B87A3A" w:rsidRPr="009118AB">
        <w:rPr>
          <w:i/>
          <w:iCs/>
        </w:rPr>
        <w:t>zen</w:t>
      </w:r>
      <w:r w:rsidR="003366D9" w:rsidRPr="009118AB">
        <w:rPr>
          <w:i/>
          <w:iCs/>
        </w:rPr>
        <w:t> -;</w:t>
      </w:r>
      <w:r w:rsidR="00B87A3A" w:rsidRPr="009118AB">
        <w:rPr>
          <w:i/>
          <w:iCs/>
        </w:rPr>
        <w:t xml:space="preserve"> Der frühere Text von Artikel</w:t>
      </w:r>
      <w:r w:rsidRPr="009118AB">
        <w:rPr>
          <w:i/>
          <w:iCs/>
        </w:rPr>
        <w:t> 145</w:t>
      </w:r>
      <w:r w:rsidRPr="009118AB">
        <w:rPr>
          <w:i/>
          <w:iCs/>
          <w:vertAlign w:val="superscript"/>
        </w:rPr>
        <w:t>6</w:t>
      </w:r>
      <w:r w:rsidRPr="009118AB">
        <w:rPr>
          <w:i/>
          <w:iCs/>
        </w:rPr>
        <w:t>, d.h. vor der Ersetzung durch das G. vom 27. Dezember 2004 (siehe Einkommensteuergesetzbuch Fassung 2005), bleibt anwendbar in den in Artikel 526 des vorliegenden Gesetzbuches vorgesehenen Fällen.]</w:t>
      </w:r>
    </w:p>
    <w:p w14:paraId="71359C7A" w14:textId="77777777" w:rsidR="00477B8F" w:rsidRPr="009118AB" w:rsidRDefault="00477B8F" w:rsidP="00477B8F">
      <w:pPr>
        <w:autoSpaceDE w:val="0"/>
        <w:autoSpaceDN w:val="0"/>
        <w:adjustRightInd w:val="0"/>
        <w:jc w:val="both"/>
      </w:pPr>
      <w:r w:rsidRPr="009118AB">
        <w:br w:type="page"/>
      </w:r>
      <w:r w:rsidRPr="009118AB">
        <w:lastRenderedPageBreak/>
        <w:tab/>
      </w:r>
      <w:r w:rsidRPr="009118AB">
        <w:rPr>
          <w:i/>
          <w:iCs/>
        </w:rPr>
        <w:t>E.</w:t>
      </w:r>
      <w:r w:rsidRPr="009118AB">
        <w:t xml:space="preserve"> Erwerb von Aktien oder Anteilen des Kapitals der Arbeitgebergesellschaft</w:t>
      </w:r>
    </w:p>
    <w:p w14:paraId="30C0DC66" w14:textId="77777777" w:rsidR="00477B8F" w:rsidRPr="009118AB" w:rsidRDefault="00477B8F" w:rsidP="00477B8F">
      <w:pPr>
        <w:autoSpaceDE w:val="0"/>
        <w:autoSpaceDN w:val="0"/>
        <w:adjustRightInd w:val="0"/>
        <w:jc w:val="both"/>
      </w:pPr>
    </w:p>
    <w:p w14:paraId="71D3F411" w14:textId="77777777" w:rsidR="00477B8F" w:rsidRPr="009118AB" w:rsidRDefault="00477B8F" w:rsidP="00477B8F">
      <w:pPr>
        <w:autoSpaceDE w:val="0"/>
        <w:autoSpaceDN w:val="0"/>
        <w:adjustRightInd w:val="0"/>
        <w:jc w:val="both"/>
      </w:pPr>
    </w:p>
    <w:p w14:paraId="6B472729" w14:textId="7CFB3B0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7</w:t>
      </w:r>
      <w:r w:rsidR="00D67EB8" w:rsidRPr="009118AB">
        <w:t> - </w:t>
      </w:r>
      <w:r w:rsidR="00DE5475" w:rsidRPr="009118AB">
        <w:t>[</w:t>
      </w:r>
      <w:r w:rsidR="00D67EB8" w:rsidRPr="009118AB">
        <w:t>§ </w:t>
      </w:r>
      <w:r w:rsidR="00DE5475" w:rsidRPr="009118AB">
        <w:t>1]</w:t>
      </w:r>
      <w:r w:rsidR="00D67EB8" w:rsidRPr="009118AB">
        <w:t> - </w:t>
      </w:r>
      <w:r w:rsidRPr="009118AB">
        <w:t>In Artikel 145</w:t>
      </w:r>
      <w:r w:rsidRPr="009118AB">
        <w:rPr>
          <w:vertAlign w:val="superscript"/>
        </w:rPr>
        <w:t>1</w:t>
      </w:r>
      <w:r w:rsidRPr="009118AB">
        <w:t xml:space="preserve"> </w:t>
      </w:r>
      <w:r w:rsidR="00D67EB8" w:rsidRPr="009118AB">
        <w:t>Nr. </w:t>
      </w:r>
      <w:r w:rsidRPr="009118AB">
        <w:t>4 erwähnte Summen, die für die Bareinzahlung von Aktien oder Anteilen gezahlt werden, werden für die Bewilligung der Ermäßigung berücksichtigt unter der Bedingung, dass der Steuerpflichtige:</w:t>
      </w:r>
    </w:p>
    <w:p w14:paraId="23B63AD2" w14:textId="77777777" w:rsidR="00477B8F" w:rsidRPr="009118AB" w:rsidRDefault="00477B8F" w:rsidP="00477B8F">
      <w:pPr>
        <w:autoSpaceDE w:val="0"/>
        <w:autoSpaceDN w:val="0"/>
        <w:adjustRightInd w:val="0"/>
        <w:jc w:val="both"/>
      </w:pPr>
    </w:p>
    <w:p w14:paraId="20FB458F" w14:textId="77777777" w:rsidR="00477B8F" w:rsidRPr="009118AB" w:rsidRDefault="00477B8F" w:rsidP="00477B8F">
      <w:pPr>
        <w:autoSpaceDE w:val="0"/>
        <w:autoSpaceDN w:val="0"/>
        <w:adjustRightInd w:val="0"/>
        <w:jc w:val="both"/>
      </w:pPr>
      <w:r w:rsidRPr="009118AB">
        <w:tab/>
        <w:t>1. seiner Erklärung zur Steuer der natürlichen Personen des Besteuerungszeitraums, in dem die Einzahlung getätigt wurde, Unterlagen beilegt, aus denen hervorgeht, dass er die Aktien oder Anteile erworben hat und dass sie am Ende dieses Zeitraums noch in seinem Besitz sind,</w:t>
      </w:r>
    </w:p>
    <w:p w14:paraId="62A84C6C" w14:textId="77777777" w:rsidR="00477B8F" w:rsidRPr="009118AB" w:rsidRDefault="00477B8F" w:rsidP="00477B8F">
      <w:pPr>
        <w:autoSpaceDE w:val="0"/>
        <w:autoSpaceDN w:val="0"/>
        <w:adjustRightInd w:val="0"/>
        <w:jc w:val="both"/>
      </w:pPr>
    </w:p>
    <w:p w14:paraId="6D88C464" w14:textId="77777777" w:rsidR="00477B8F" w:rsidRPr="009118AB" w:rsidRDefault="00477B8F" w:rsidP="00477B8F">
      <w:pPr>
        <w:autoSpaceDE w:val="0"/>
        <w:autoSpaceDN w:val="0"/>
        <w:adjustRightInd w:val="0"/>
        <w:jc w:val="both"/>
      </w:pPr>
      <w:r w:rsidRPr="009118AB">
        <w:tab/>
        <w:t>2. für denselben Besteuerungszeitraum keine Ermäßigung im Rahmen des Pensionssparens bezieht.</w:t>
      </w:r>
    </w:p>
    <w:p w14:paraId="32E32584" w14:textId="77777777" w:rsidR="00477B8F" w:rsidRPr="009118AB" w:rsidRDefault="00477B8F" w:rsidP="00477B8F">
      <w:pPr>
        <w:autoSpaceDE w:val="0"/>
        <w:autoSpaceDN w:val="0"/>
        <w:adjustRightInd w:val="0"/>
        <w:jc w:val="both"/>
      </w:pPr>
    </w:p>
    <w:p w14:paraId="4F231617" w14:textId="77777777" w:rsidR="00477B8F" w:rsidRPr="009118AB" w:rsidRDefault="00477B8F" w:rsidP="00477B8F">
      <w:pPr>
        <w:autoSpaceDE w:val="0"/>
        <w:autoSpaceDN w:val="0"/>
        <w:adjustRightInd w:val="0"/>
        <w:jc w:val="both"/>
      </w:pPr>
      <w:r w:rsidRPr="009118AB">
        <w:tab/>
        <w:t>Die Aufrechterhaltung der Ermäßigung unterliegt der Bedingung, dass der Steuerpflichtige bei seinen Erklärungen zur Steuer der natürlichen Personen der fünf nachfolgenden Besteuerungszeiträume den Nachweis erbringt, dass er weiterhin im Besitz der betreffenden Aktien oder Anteile ist.</w:t>
      </w:r>
    </w:p>
    <w:p w14:paraId="101341BB" w14:textId="77777777" w:rsidR="00477B8F" w:rsidRPr="009118AB" w:rsidRDefault="00477B8F" w:rsidP="00477B8F">
      <w:pPr>
        <w:autoSpaceDE w:val="0"/>
        <w:autoSpaceDN w:val="0"/>
        <w:adjustRightInd w:val="0"/>
        <w:jc w:val="both"/>
      </w:pPr>
    </w:p>
    <w:p w14:paraId="4DCD6073" w14:textId="77777777" w:rsidR="00477B8F" w:rsidRPr="009118AB" w:rsidRDefault="00477B8F" w:rsidP="00477B8F">
      <w:pPr>
        <w:autoSpaceDE w:val="0"/>
        <w:autoSpaceDN w:val="0"/>
        <w:adjustRightInd w:val="0"/>
        <w:jc w:val="both"/>
      </w:pPr>
      <w:r w:rsidRPr="009118AB">
        <w:tab/>
        <w:t>Die in Absatz 2 erwähnte Bedingung muss ab dem Besteuerungszeitraum, in dem der Belegschaftsaktionär verstirbt, nicht mehr erfüllt werden.</w:t>
      </w:r>
    </w:p>
    <w:p w14:paraId="5AF9FA7C" w14:textId="77777777" w:rsidR="00477B8F" w:rsidRPr="009118AB" w:rsidRDefault="00477B8F" w:rsidP="00477B8F">
      <w:pPr>
        <w:autoSpaceDE w:val="0"/>
        <w:autoSpaceDN w:val="0"/>
        <w:adjustRightInd w:val="0"/>
        <w:jc w:val="both"/>
      </w:pPr>
    </w:p>
    <w:p w14:paraId="430B57AA" w14:textId="77777777" w:rsidR="00477B8F" w:rsidRPr="009118AB" w:rsidRDefault="00477B8F" w:rsidP="00477B8F">
      <w:pPr>
        <w:autoSpaceDE w:val="0"/>
        <w:autoSpaceDN w:val="0"/>
        <w:adjustRightInd w:val="0"/>
        <w:jc w:val="both"/>
      </w:pPr>
      <w:r w:rsidRPr="009118AB">
        <w:tab/>
        <w:t>Für die Einzahlung von Aktien oder Anteilen gezahlte Summen werden für die Ermäßigung nur bis zu einem Betrag von [500 EUR] pro Besteuerungszeitraum berücksichtigt. Der König kann diesen Betrag durch einen im Ministerrat beratenen Erlass auf höchstens [1.000 EUR] erhöhen.</w:t>
      </w:r>
    </w:p>
    <w:p w14:paraId="252EEED3" w14:textId="77777777" w:rsidR="00DE5475" w:rsidRPr="009118AB" w:rsidRDefault="00DE5475" w:rsidP="00477B8F">
      <w:pPr>
        <w:autoSpaceDE w:val="0"/>
        <w:autoSpaceDN w:val="0"/>
        <w:adjustRightInd w:val="0"/>
        <w:jc w:val="both"/>
      </w:pPr>
    </w:p>
    <w:p w14:paraId="148CD4DE" w14:textId="32640FCF" w:rsidR="00DE5475" w:rsidRPr="009118AB" w:rsidRDefault="00DE5475" w:rsidP="00477B8F">
      <w:pPr>
        <w:autoSpaceDE w:val="0"/>
        <w:autoSpaceDN w:val="0"/>
        <w:adjustRightInd w:val="0"/>
        <w:jc w:val="both"/>
      </w:pPr>
      <w:r w:rsidRPr="009118AB">
        <w:tab/>
        <w:t>[</w:t>
      </w:r>
      <w:r w:rsidR="00D67EB8" w:rsidRPr="009118AB">
        <w:t>§ </w:t>
      </w:r>
      <w:r w:rsidRPr="009118AB">
        <w:t>2</w:t>
      </w:r>
      <w:r w:rsidR="00D67EB8" w:rsidRPr="009118AB">
        <w:t> - </w:t>
      </w:r>
      <w:r w:rsidRPr="009118AB">
        <w:t xml:space="preserve">Sind die betreffenden Aktien oder Anteile innerhalb fünf Jahren nach ihrem Erwerb Gegenstand einer anderen Übertragung als einer Übertragung von Todes wegen, wird die Gesamtsteuer in Bezug auf die Einkünfte des Besteuerungszeitraums der Übertragung um einen Betrag erhöht, der so viele Male ein Sechzigstel der gemäß </w:t>
      </w:r>
      <w:r w:rsidR="00D67EB8" w:rsidRPr="009118AB">
        <w:t>§ </w:t>
      </w:r>
      <w:r w:rsidRPr="009118AB">
        <w:t>1 erhaltenen Steuerermäßigung beträgt, wie ganze Monate bis zum Ende des Zeitraums von sechzig Monaten übrig bleiben.</w:t>
      </w:r>
      <w:r w:rsidR="00867C3A" w:rsidRPr="009118AB">
        <w:t>]</w:t>
      </w:r>
    </w:p>
    <w:p w14:paraId="79CF15AC" w14:textId="77777777" w:rsidR="00477B8F" w:rsidRPr="009118AB" w:rsidRDefault="00477B8F" w:rsidP="00477B8F">
      <w:pPr>
        <w:autoSpaceDE w:val="0"/>
        <w:autoSpaceDN w:val="0"/>
        <w:adjustRightInd w:val="0"/>
        <w:jc w:val="both"/>
      </w:pPr>
    </w:p>
    <w:p w14:paraId="187F5D33" w14:textId="1BA87028"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7</w:t>
      </w:r>
      <w:r w:rsidRPr="009118AB">
        <w:rPr>
          <w:i/>
          <w:iCs/>
        </w:rPr>
        <w:t xml:space="preserve"> </w:t>
      </w:r>
      <w:r w:rsidR="00D67EB8" w:rsidRPr="009118AB">
        <w:rPr>
          <w:i/>
          <w:iCs/>
        </w:rPr>
        <w:t>§ </w:t>
      </w:r>
      <w:r w:rsidR="00DA619C" w:rsidRPr="009118AB">
        <w:rPr>
          <w:i/>
          <w:iCs/>
        </w:rPr>
        <w:t xml:space="preserve">1 nummeriert durch </w:t>
      </w:r>
      <w:r w:rsidR="00D67EB8" w:rsidRPr="009118AB">
        <w:rPr>
          <w:i/>
          <w:iCs/>
        </w:rPr>
        <w:t>Art. </w:t>
      </w:r>
      <w:r w:rsidR="00DA619C" w:rsidRPr="009118AB">
        <w:rPr>
          <w:i/>
          <w:iCs/>
        </w:rPr>
        <w:t>28</w:t>
      </w:r>
      <w:r w:rsidR="00DA619C" w:rsidRPr="009118AB">
        <w:rPr>
          <w:i/>
        </w:rPr>
        <w:t xml:space="preserve"> des G. vom 8. Mai 2014 (B.S. vom 28. Mai 2014)</w:t>
      </w:r>
      <w:r w:rsidR="00D67EB8" w:rsidRPr="009118AB">
        <w:rPr>
          <w:i/>
        </w:rPr>
        <w:t> - </w:t>
      </w:r>
      <w:r w:rsidR="00DA619C" w:rsidRPr="009118AB">
        <w:rPr>
          <w:i/>
          <w:iCs/>
        </w:rPr>
        <w:t>anwendbar ab dem Steuerjahr 2015</w:t>
      </w:r>
      <w:r w:rsidR="003366D9" w:rsidRPr="009118AB">
        <w:rPr>
          <w:i/>
          <w:iCs/>
        </w:rPr>
        <w:t> -;</w:t>
      </w:r>
      <w:r w:rsidR="00DA619C" w:rsidRPr="009118AB">
        <w:rPr>
          <w:i/>
          <w:iCs/>
        </w:rPr>
        <w:t xml:space="preserve"> </w:t>
      </w:r>
      <w:r w:rsidR="00D67EB8" w:rsidRPr="009118AB">
        <w:rPr>
          <w:i/>
          <w:iCs/>
        </w:rPr>
        <w:t>§ </w:t>
      </w:r>
      <w:r w:rsidR="00DA619C" w:rsidRPr="009118AB">
        <w:rPr>
          <w:i/>
          <w:iCs/>
        </w:rPr>
        <w:t xml:space="preserve">1 </w:t>
      </w:r>
      <w:r w:rsidR="00D67EB8" w:rsidRPr="009118AB">
        <w:rPr>
          <w:i/>
          <w:iCs/>
        </w:rPr>
        <w:t>Abs. </w:t>
      </w:r>
      <w:r w:rsidRPr="009118AB">
        <w:rPr>
          <w:i/>
          <w:iCs/>
        </w:rPr>
        <w:t xml:space="preserve">4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3366D9" w:rsidRPr="009118AB">
        <w:rPr>
          <w:i/>
          <w:iCs/>
        </w:rPr>
        <w:t> -;</w:t>
      </w:r>
      <w:r w:rsidR="00DA619C" w:rsidRPr="009118AB">
        <w:rPr>
          <w:i/>
          <w:iCs/>
        </w:rPr>
        <w:t xml:space="preserve"> </w:t>
      </w:r>
      <w:r w:rsidR="00D67EB8" w:rsidRPr="009118AB">
        <w:rPr>
          <w:i/>
          <w:iCs/>
        </w:rPr>
        <w:t>§ </w:t>
      </w:r>
      <w:r w:rsidR="00DA619C" w:rsidRPr="009118AB">
        <w:rPr>
          <w:i/>
          <w:iCs/>
        </w:rPr>
        <w:t xml:space="preserve">2 eingefügt durch </w:t>
      </w:r>
      <w:r w:rsidR="00D67EB8" w:rsidRPr="009118AB">
        <w:rPr>
          <w:i/>
          <w:iCs/>
        </w:rPr>
        <w:t>Art. </w:t>
      </w:r>
      <w:r w:rsidR="00DA619C" w:rsidRPr="009118AB">
        <w:rPr>
          <w:i/>
          <w:iCs/>
        </w:rPr>
        <w:t>28</w:t>
      </w:r>
      <w:r w:rsidR="00DA619C" w:rsidRPr="009118AB">
        <w:rPr>
          <w:i/>
        </w:rPr>
        <w:t xml:space="preserve"> des G. vom 8. Mai 2014 (B.S. vom 28. Mai 2014)</w:t>
      </w:r>
      <w:r w:rsidR="00D67EB8" w:rsidRPr="009118AB">
        <w:rPr>
          <w:i/>
        </w:rPr>
        <w:t> - </w:t>
      </w:r>
      <w:r w:rsidR="00DA619C" w:rsidRPr="009118AB">
        <w:rPr>
          <w:i/>
          <w:iCs/>
        </w:rPr>
        <w:t>anwendbar ab dem Steuerjahr 2015</w:t>
      </w:r>
      <w:r w:rsidR="00FD68E8" w:rsidRPr="009118AB">
        <w:rPr>
          <w:i/>
          <w:iCs/>
        </w:rPr>
        <w:t> -]</w:t>
      </w:r>
    </w:p>
    <w:p w14:paraId="69272ECA" w14:textId="77777777" w:rsidR="00477B8F" w:rsidRPr="009118AB" w:rsidRDefault="00477B8F" w:rsidP="00477B8F">
      <w:pPr>
        <w:autoSpaceDE w:val="0"/>
        <w:autoSpaceDN w:val="0"/>
        <w:adjustRightInd w:val="0"/>
        <w:jc w:val="both"/>
      </w:pPr>
      <w:r w:rsidRPr="009118AB">
        <w:br w:type="page"/>
      </w:r>
      <w:r w:rsidRPr="009118AB">
        <w:lastRenderedPageBreak/>
        <w:tab/>
      </w:r>
      <w:r w:rsidRPr="009118AB">
        <w:rPr>
          <w:i/>
          <w:iCs/>
        </w:rPr>
        <w:t>F.</w:t>
      </w:r>
      <w:r w:rsidRPr="009118AB">
        <w:t xml:space="preserve"> Zahlungen für das Pensionssparen</w:t>
      </w:r>
    </w:p>
    <w:p w14:paraId="1F3ADD3E" w14:textId="77777777" w:rsidR="00477B8F" w:rsidRPr="009118AB" w:rsidRDefault="00477B8F" w:rsidP="00477B8F">
      <w:pPr>
        <w:autoSpaceDE w:val="0"/>
        <w:autoSpaceDN w:val="0"/>
        <w:adjustRightInd w:val="0"/>
        <w:jc w:val="both"/>
      </w:pPr>
    </w:p>
    <w:p w14:paraId="30464F8B" w14:textId="77777777" w:rsidR="00477B8F" w:rsidRPr="009118AB" w:rsidRDefault="00477B8F" w:rsidP="00477B8F">
      <w:pPr>
        <w:autoSpaceDE w:val="0"/>
        <w:autoSpaceDN w:val="0"/>
        <w:adjustRightInd w:val="0"/>
        <w:jc w:val="both"/>
      </w:pPr>
    </w:p>
    <w:p w14:paraId="14664DEF" w14:textId="723908A8" w:rsidR="00DD1003" w:rsidRPr="009118AB" w:rsidRDefault="00477B8F" w:rsidP="00DD1003">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8</w:t>
      </w:r>
      <w:r w:rsidR="00D67EB8" w:rsidRPr="009118AB">
        <w:t> - </w:t>
      </w:r>
      <w:r w:rsidR="00DD1003" w:rsidRPr="009118AB">
        <w:t>[</w:t>
      </w:r>
      <w:r w:rsidR="00D67EB8" w:rsidRPr="009118AB">
        <w:t>§ </w:t>
      </w:r>
      <w:r w:rsidR="00DD1003" w:rsidRPr="009118AB">
        <w:t>1]</w:t>
      </w:r>
      <w:r w:rsidR="00D67EB8" w:rsidRPr="009118AB">
        <w:t> - </w:t>
      </w:r>
      <w:r w:rsidR="0015759F" w:rsidRPr="009118AB">
        <w:t>[</w:t>
      </w:r>
      <w:r w:rsidR="0015759F" w:rsidRPr="009118AB">
        <w:rPr>
          <w:rFonts w:eastAsia="Calibri"/>
        </w:rPr>
        <w:t>Zahlungen</w:t>
      </w:r>
      <w:r w:rsidR="0015759F" w:rsidRPr="009118AB">
        <w:t>]</w:t>
      </w:r>
      <w:r w:rsidR="00DD1003" w:rsidRPr="009118AB">
        <w:t>, die gemäß Artikel 145</w:t>
      </w:r>
      <w:r w:rsidR="00DD1003" w:rsidRPr="009118AB">
        <w:rPr>
          <w:vertAlign w:val="superscript"/>
        </w:rPr>
        <w:t>1</w:t>
      </w:r>
      <w:r w:rsidR="00DD1003" w:rsidRPr="009118AB">
        <w:t xml:space="preserve"> </w:t>
      </w:r>
      <w:r w:rsidR="00D67EB8" w:rsidRPr="009118AB">
        <w:t>Nr. </w:t>
      </w:r>
      <w:r w:rsidR="00DD1003" w:rsidRPr="009118AB">
        <w:t xml:space="preserve">5 im Rahmen des Pensionssparens für die Ermäßigung berücksichtigt werden, sind </w:t>
      </w:r>
      <w:r w:rsidR="0015759F" w:rsidRPr="009118AB">
        <w:t>[</w:t>
      </w:r>
      <w:r w:rsidR="0015759F" w:rsidRPr="009118AB">
        <w:rPr>
          <w:rFonts w:eastAsia="Calibri"/>
        </w:rPr>
        <w:t>Zahlungen</w:t>
      </w:r>
      <w:r w:rsidR="0015759F" w:rsidRPr="009118AB">
        <w:t>]</w:t>
      </w:r>
      <w:r w:rsidR="00DD1003" w:rsidRPr="009118AB">
        <w:t xml:space="preserve">, die definitiv [in einem Mitgliedstaat des Europäischen Wirtschaftsraums] </w:t>
      </w:r>
      <w:r w:rsidR="00CB3480" w:rsidRPr="009118AB">
        <w:t>[</w:t>
      </w:r>
      <w:r w:rsidR="00CB3480" w:rsidRPr="009118AB">
        <w:rPr>
          <w:rFonts w:eastAsia="Calibri"/>
        </w:rPr>
        <w:t>getätigt</w:t>
      </w:r>
      <w:r w:rsidR="00CB3480" w:rsidRPr="009118AB">
        <w:t>]</w:t>
      </w:r>
      <w:r w:rsidR="00DD1003" w:rsidRPr="009118AB">
        <w:t xml:space="preserve"> werden:</w:t>
      </w:r>
    </w:p>
    <w:p w14:paraId="33C87369" w14:textId="77777777" w:rsidR="00DD1003" w:rsidRPr="009118AB" w:rsidRDefault="00DD1003" w:rsidP="00DD1003">
      <w:pPr>
        <w:autoSpaceDE w:val="0"/>
        <w:autoSpaceDN w:val="0"/>
        <w:adjustRightInd w:val="0"/>
        <w:jc w:val="both"/>
      </w:pPr>
    </w:p>
    <w:p w14:paraId="2C0055B8" w14:textId="77777777" w:rsidR="00DD1003" w:rsidRPr="009118AB" w:rsidRDefault="00DD1003" w:rsidP="009A49D9">
      <w:pPr>
        <w:autoSpaceDE w:val="0"/>
        <w:autoSpaceDN w:val="0"/>
        <w:adjustRightInd w:val="0"/>
        <w:ind w:firstLine="709"/>
        <w:jc w:val="both"/>
      </w:pPr>
      <w:r w:rsidRPr="009118AB">
        <w:t>1. entweder für die Anlage eines kollektiven Sparkontos</w:t>
      </w:r>
    </w:p>
    <w:p w14:paraId="23E52DC4" w14:textId="77777777" w:rsidR="00DD1003" w:rsidRPr="009118AB" w:rsidRDefault="00DD1003" w:rsidP="009A49D9">
      <w:pPr>
        <w:autoSpaceDE w:val="0"/>
        <w:autoSpaceDN w:val="0"/>
        <w:adjustRightInd w:val="0"/>
        <w:ind w:firstLine="709"/>
        <w:jc w:val="both"/>
      </w:pPr>
    </w:p>
    <w:p w14:paraId="2A197B57" w14:textId="77777777" w:rsidR="00DD1003" w:rsidRPr="009118AB" w:rsidRDefault="00DD1003" w:rsidP="009A49D9">
      <w:pPr>
        <w:autoSpaceDE w:val="0"/>
        <w:autoSpaceDN w:val="0"/>
        <w:adjustRightInd w:val="0"/>
        <w:ind w:firstLine="709"/>
        <w:jc w:val="both"/>
      </w:pPr>
      <w:r w:rsidRPr="009118AB">
        <w:t>2. oder für die Anlage eines individuellen Sparkontos</w:t>
      </w:r>
    </w:p>
    <w:p w14:paraId="2E9D88DB" w14:textId="77777777" w:rsidR="00DD1003" w:rsidRPr="009118AB" w:rsidRDefault="00DD1003" w:rsidP="009A49D9">
      <w:pPr>
        <w:autoSpaceDE w:val="0"/>
        <w:autoSpaceDN w:val="0"/>
        <w:adjustRightInd w:val="0"/>
        <w:ind w:firstLine="709"/>
        <w:jc w:val="both"/>
      </w:pPr>
    </w:p>
    <w:p w14:paraId="6C9801A3" w14:textId="77777777" w:rsidR="00DD1003" w:rsidRPr="009118AB" w:rsidRDefault="00DD1003" w:rsidP="009A49D9">
      <w:pPr>
        <w:autoSpaceDE w:val="0"/>
        <w:autoSpaceDN w:val="0"/>
        <w:adjustRightInd w:val="0"/>
        <w:ind w:firstLine="709"/>
        <w:jc w:val="both"/>
      </w:pPr>
      <w:r w:rsidRPr="009118AB">
        <w:t>3. oder als Prämien einer Sparversicherung.</w:t>
      </w:r>
    </w:p>
    <w:p w14:paraId="1E83C061" w14:textId="77777777" w:rsidR="00DD1003" w:rsidRPr="009118AB" w:rsidRDefault="00DD1003" w:rsidP="009A49D9">
      <w:pPr>
        <w:autoSpaceDE w:val="0"/>
        <w:autoSpaceDN w:val="0"/>
        <w:adjustRightInd w:val="0"/>
        <w:ind w:firstLine="709"/>
        <w:jc w:val="both"/>
      </w:pPr>
    </w:p>
    <w:p w14:paraId="3F780DF3" w14:textId="77777777" w:rsidR="00DD1003" w:rsidRPr="009118AB" w:rsidRDefault="00DD1003" w:rsidP="009A49D9">
      <w:pPr>
        <w:autoSpaceDE w:val="0"/>
        <w:autoSpaceDN w:val="0"/>
        <w:adjustRightInd w:val="0"/>
        <w:ind w:firstLine="709"/>
        <w:jc w:val="both"/>
      </w:pPr>
      <w:r w:rsidRPr="009118AB">
        <w:t>Der für die Ermäßigung berücksichtigte Betrag ist auf [500 EUR] pro Besteuerungszeitraum begrenzt. Jeder Ehepartner hat Anspruch auf die Ermäßigung, wenn er persönlich Inhaber eines Sparkontos oder einer Sparversicherung ist. Vorerwähnter Betrag kann durch einen im Ministerrat beratenen Erlass auf höchstens [1.000 EUR] erhöht werden.</w:t>
      </w:r>
    </w:p>
    <w:p w14:paraId="7BBBEC67" w14:textId="77777777" w:rsidR="00DD1003" w:rsidRPr="009118AB" w:rsidRDefault="00DD1003" w:rsidP="009A49D9">
      <w:pPr>
        <w:autoSpaceDE w:val="0"/>
        <w:autoSpaceDN w:val="0"/>
        <w:adjustRightInd w:val="0"/>
        <w:ind w:firstLine="709"/>
        <w:jc w:val="both"/>
      </w:pPr>
    </w:p>
    <w:p w14:paraId="73693668" w14:textId="77777777" w:rsidR="0015759F" w:rsidRPr="009118AB" w:rsidRDefault="0015759F" w:rsidP="009A49D9">
      <w:pPr>
        <w:autoSpaceDE w:val="0"/>
        <w:autoSpaceDN w:val="0"/>
        <w:adjustRightInd w:val="0"/>
        <w:ind w:firstLine="709"/>
        <w:jc w:val="both"/>
      </w:pPr>
      <w:r w:rsidRPr="009118AB">
        <w:t>[</w:t>
      </w:r>
      <w:r w:rsidRPr="009118AB">
        <w:rPr>
          <w:rFonts w:eastAsia="Calibri"/>
        </w:rPr>
        <w:t>In Abweichung von vorhergehendem Absatz kann der Steuerpflichtige dafür optieren, für die Steuerermäßigung einen höheren Betrag als den in Absatz 2 erwähnten Betrag zu berücksichtigen, der auf maximal 800 EUR begrenzt ist. Der Steuerpflichtige teilt seine endgültige Wahl den in Artikel 145</w:t>
      </w:r>
      <w:r w:rsidRPr="009118AB">
        <w:rPr>
          <w:rFonts w:eastAsia="Calibri"/>
          <w:vertAlign w:val="superscript"/>
        </w:rPr>
        <w:t>15</w:t>
      </w:r>
      <w:r w:rsidRPr="009118AB">
        <w:rPr>
          <w:rFonts w:eastAsia="Calibri"/>
        </w:rPr>
        <w:t xml:space="preserve"> erwähnten Instituten und Unternehmen mit, bevor er den in vorhergehendem Absatz erwähnten Höchstbetrag überschreiten darf. Die Wahl des Steuerpflichtigen ist unwiderruflich und gilt nur für den betreffenden Besteuerungszeitraum.</w:t>
      </w:r>
      <w:r w:rsidRPr="009118AB">
        <w:t>]</w:t>
      </w:r>
    </w:p>
    <w:p w14:paraId="265931E3" w14:textId="77777777" w:rsidR="0015759F" w:rsidRPr="009118AB" w:rsidRDefault="0015759F" w:rsidP="009A49D9">
      <w:pPr>
        <w:autoSpaceDE w:val="0"/>
        <w:autoSpaceDN w:val="0"/>
        <w:adjustRightInd w:val="0"/>
        <w:ind w:firstLine="709"/>
        <w:jc w:val="both"/>
      </w:pPr>
    </w:p>
    <w:p w14:paraId="46DB9FEA" w14:textId="77777777" w:rsidR="00DD1003" w:rsidRPr="009118AB" w:rsidRDefault="00DD1003" w:rsidP="009A49D9">
      <w:pPr>
        <w:autoSpaceDE w:val="0"/>
        <w:autoSpaceDN w:val="0"/>
        <w:adjustRightInd w:val="0"/>
        <w:ind w:firstLine="709"/>
        <w:jc w:val="both"/>
      </w:pPr>
      <w:r w:rsidRPr="009118AB">
        <w:t>Zahlungen dürfen während eines Besteuerungszeitraums nur auf ein einziges kollektives Sparkonto, auf ein einziges individuelles Sparkonto oder für eine einzige Sparversicherung erfolgen.</w:t>
      </w:r>
    </w:p>
    <w:p w14:paraId="7292B4AA" w14:textId="77777777" w:rsidR="00DD1003" w:rsidRPr="009118AB" w:rsidRDefault="00DD1003" w:rsidP="009A49D9">
      <w:pPr>
        <w:autoSpaceDE w:val="0"/>
        <w:autoSpaceDN w:val="0"/>
        <w:adjustRightInd w:val="0"/>
        <w:ind w:firstLine="709"/>
        <w:jc w:val="both"/>
      </w:pPr>
    </w:p>
    <w:p w14:paraId="0129C3BD" w14:textId="60635DCE" w:rsidR="00DD1003" w:rsidRPr="009118AB" w:rsidRDefault="00DD1003" w:rsidP="009A49D9">
      <w:pPr>
        <w:autoSpaceDE w:val="0"/>
        <w:autoSpaceDN w:val="0"/>
        <w:adjustRightInd w:val="0"/>
        <w:ind w:firstLine="709"/>
        <w:jc w:val="both"/>
      </w:pPr>
      <w:r w:rsidRPr="009118AB">
        <w:t>[</w:t>
      </w:r>
      <w:r w:rsidR="00D67EB8" w:rsidRPr="009118AB">
        <w:t>§ </w:t>
      </w:r>
      <w:r w:rsidRPr="009118AB">
        <w:t>2</w:t>
      </w:r>
      <w:r w:rsidR="00D67EB8" w:rsidRPr="009118AB">
        <w:t> - </w:t>
      </w:r>
      <w:r w:rsidRPr="009118AB">
        <w:t>Möchte ein in Artikel 145</w:t>
      </w:r>
      <w:r w:rsidRPr="009118AB">
        <w:rPr>
          <w:vertAlign w:val="superscript"/>
        </w:rPr>
        <w:t>9</w:t>
      </w:r>
      <w:r w:rsidRPr="009118AB">
        <w:t xml:space="preserve"> Absatz 1 </w:t>
      </w:r>
      <w:r w:rsidR="00D67EB8" w:rsidRPr="009118AB">
        <w:t>Nr. </w:t>
      </w:r>
      <w:r w:rsidRPr="009118AB">
        <w:t>1 Buchstabe </w:t>
      </w:r>
      <w:r w:rsidRPr="009118AB">
        <w:rPr>
          <w:i/>
        </w:rPr>
        <w:t>a)</w:t>
      </w:r>
      <w:r w:rsidRPr="009118AB">
        <w:t xml:space="preserve"> erwähnter Steuer</w:t>
      </w:r>
      <w:r w:rsidRPr="009118AB">
        <w:softHyphen/>
        <w:t>pflichtiger bei einem in Artikel 145</w:t>
      </w:r>
      <w:r w:rsidRPr="009118AB">
        <w:rPr>
          <w:vertAlign w:val="superscript"/>
        </w:rPr>
        <w:t xml:space="preserve">15 </w:t>
      </w:r>
      <w:r w:rsidRPr="009118AB">
        <w:t xml:space="preserve">erwähnten Institut oder Unternehmen, das in einem anderen Mitgliedstaat des Europäischen Wirtschaftsraums ansässig ist und gemäß dem Gesetz vom 25. April 2014 über den Status und die Kontrolle der Kreditinstitute beziehungsweise </w:t>
      </w:r>
      <w:r w:rsidR="003357C9" w:rsidRPr="009118AB">
        <w:t>[dem Gesetz vom 13. März 2016 über den Status und die Kontrolle der Versicherungs- oder Rückversicherungsunternehmen]</w:t>
      </w:r>
      <w:r w:rsidRPr="009118AB">
        <w:t xml:space="preserve"> nicht ermächtigt ist, durch Errichtung einer Zweigniederlassung seine Tätigkeiten auf belgischem Staatsgebiet auszuüben, ein individuelles oder kollektives Sparkonto eröffnen oder einen Sparversicherungsvertrag abschließen, muss der Inhaber beziehungsweise der Versicherungs</w:t>
      </w:r>
      <w:r w:rsidRPr="009118AB">
        <w:softHyphen/>
        <w:t>nehmer eine Grundbescheinigung oder Belege vorlegen können, die von vorerwähntem Inst</w:t>
      </w:r>
      <w:r w:rsidRPr="009118AB">
        <w:softHyphen/>
        <w:t>itut oder Unternehmen ausgestellt worden sind und durch die das Institut oder Unternehmen sich verpflichtet, alle in den Artikeln 145</w:t>
      </w:r>
      <w:r w:rsidRPr="009118AB">
        <w:rPr>
          <w:vertAlign w:val="superscript"/>
        </w:rPr>
        <w:t>8</w:t>
      </w:r>
      <w:r w:rsidRPr="009118AB">
        <w:t xml:space="preserve"> bis 145</w:t>
      </w:r>
      <w:r w:rsidRPr="009118AB">
        <w:rPr>
          <w:vertAlign w:val="superscript"/>
        </w:rPr>
        <w:t>16</w:t>
      </w:r>
      <w:r w:rsidRPr="009118AB">
        <w:t xml:space="preserve"> und in den Erlassen zur Ausführung dieser Bestimmungen erwähnten Bedingungen einzuhalten.</w:t>
      </w:r>
    </w:p>
    <w:p w14:paraId="3A46E561" w14:textId="77777777" w:rsidR="00DD1003" w:rsidRPr="009118AB" w:rsidRDefault="00DD1003" w:rsidP="009A49D9">
      <w:pPr>
        <w:autoSpaceDE w:val="0"/>
        <w:autoSpaceDN w:val="0"/>
        <w:adjustRightInd w:val="0"/>
        <w:ind w:firstLine="709"/>
        <w:jc w:val="both"/>
      </w:pPr>
    </w:p>
    <w:p w14:paraId="4CDA8B29" w14:textId="77777777" w:rsidR="00DD1003" w:rsidRPr="009118AB" w:rsidRDefault="00DD1003" w:rsidP="009A49D9">
      <w:pPr>
        <w:autoSpaceDE w:val="0"/>
        <w:autoSpaceDN w:val="0"/>
        <w:adjustRightInd w:val="0"/>
        <w:ind w:firstLine="709"/>
        <w:jc w:val="both"/>
      </w:pPr>
      <w:r w:rsidRPr="009118AB">
        <w:t>Der König bestimmt den Inhalt der in Absatz 1 erwähnten Grundbescheinigung und die Regeln in Bezug auf die Belege im Rahmen des Informationsaustauschs zwischen den in Absatz 1 erwähnten Instituten und Unternehmen einerseits und ihren Kunden und der belgischen Steuerverwaltung andererseits.]</w:t>
      </w:r>
    </w:p>
    <w:p w14:paraId="77198FCA" w14:textId="77777777" w:rsidR="00DD1003" w:rsidRPr="009118AB" w:rsidRDefault="00DD1003" w:rsidP="00DD1003">
      <w:pPr>
        <w:autoSpaceDE w:val="0"/>
        <w:autoSpaceDN w:val="0"/>
        <w:adjustRightInd w:val="0"/>
        <w:jc w:val="both"/>
      </w:pPr>
    </w:p>
    <w:p w14:paraId="2AAE27CE" w14:textId="5E83C97F" w:rsidR="00DD1003" w:rsidRPr="009118AB" w:rsidRDefault="00DD1003" w:rsidP="00DD1003">
      <w:pPr>
        <w:autoSpaceDE w:val="0"/>
        <w:autoSpaceDN w:val="0"/>
        <w:adjustRightInd w:val="0"/>
        <w:jc w:val="both"/>
        <w:rPr>
          <w:i/>
          <w:iCs/>
        </w:rPr>
      </w:pPr>
      <w:r w:rsidRPr="009118AB">
        <w:rPr>
          <w:i/>
          <w:iCs/>
        </w:rPr>
        <w:t>[</w:t>
      </w:r>
      <w:r w:rsidR="00D67EB8" w:rsidRPr="009118AB">
        <w:rPr>
          <w:i/>
          <w:iCs/>
        </w:rPr>
        <w:t>Art. </w:t>
      </w:r>
      <w:r w:rsidRPr="009118AB">
        <w:rPr>
          <w:i/>
          <w:iCs/>
        </w:rPr>
        <w:t>145</w:t>
      </w:r>
      <w:r w:rsidRPr="009118AB">
        <w:rPr>
          <w:i/>
          <w:iCs/>
          <w:vertAlign w:val="superscript"/>
        </w:rPr>
        <w:t>8</w:t>
      </w:r>
      <w:r w:rsidRPr="009118AB">
        <w:rPr>
          <w:i/>
          <w:iCs/>
        </w:rPr>
        <w:t xml:space="preserve"> </w:t>
      </w:r>
      <w:r w:rsidR="00D67EB8" w:rsidRPr="009118AB">
        <w:rPr>
          <w:i/>
          <w:iCs/>
        </w:rPr>
        <w:t>§ </w:t>
      </w:r>
      <w:r w:rsidR="00445B37" w:rsidRPr="009118AB">
        <w:rPr>
          <w:i/>
          <w:iCs/>
        </w:rPr>
        <w:t xml:space="preserve">1 (frühere Absätze 1 bis 3) nummeriert durch </w:t>
      </w:r>
      <w:r w:rsidR="00D67EB8" w:rsidRPr="009118AB">
        <w:rPr>
          <w:i/>
          <w:iCs/>
        </w:rPr>
        <w:t>Art. </w:t>
      </w:r>
      <w:r w:rsidR="00454FB0" w:rsidRPr="009118AB">
        <w:rPr>
          <w:i/>
          <w:iCs/>
        </w:rPr>
        <w:t>3</w:t>
      </w:r>
      <w:r w:rsidR="00445B37" w:rsidRPr="009118AB">
        <w:rPr>
          <w:i/>
          <w:iCs/>
        </w:rPr>
        <w:t xml:space="preserve"> </w:t>
      </w:r>
      <w:r w:rsidR="00D67EB8" w:rsidRPr="009118AB">
        <w:rPr>
          <w:i/>
          <w:iCs/>
        </w:rPr>
        <w:t>Nr. </w:t>
      </w:r>
      <w:r w:rsidR="00445B37" w:rsidRPr="009118AB">
        <w:rPr>
          <w:i/>
          <w:iCs/>
        </w:rPr>
        <w:t>1 des G. vom 18. Dezember 2015 (I</w:t>
      </w:r>
      <w:r w:rsidR="00454FB0" w:rsidRPr="009118AB">
        <w:rPr>
          <w:i/>
          <w:iCs/>
        </w:rPr>
        <w:t>I</w:t>
      </w:r>
      <w:r w:rsidR="00445B37" w:rsidRPr="009118AB">
        <w:rPr>
          <w:i/>
          <w:iCs/>
        </w:rPr>
        <w:t>) (B.S. vom 28. Dezember 2015)</w:t>
      </w:r>
      <w:r w:rsidR="00D67EB8" w:rsidRPr="009118AB">
        <w:rPr>
          <w:i/>
          <w:iCs/>
        </w:rPr>
        <w:t> - </w:t>
      </w:r>
      <w:r w:rsidR="00D6433D" w:rsidRPr="009118AB">
        <w:rPr>
          <w:i/>
          <w:iCs/>
        </w:rPr>
        <w:t>in Kraft ab dem Steuerjahr 2017</w:t>
      </w:r>
      <w:r w:rsidR="003366D9" w:rsidRPr="009118AB">
        <w:rPr>
          <w:i/>
          <w:iCs/>
        </w:rPr>
        <w:t> -;</w:t>
      </w:r>
      <w:r w:rsidR="00445B37" w:rsidRPr="009118AB">
        <w:rPr>
          <w:i/>
          <w:iCs/>
        </w:rPr>
        <w:t xml:space="preserve"> </w:t>
      </w:r>
      <w:r w:rsidR="00D67EB8" w:rsidRPr="009118AB">
        <w:rPr>
          <w:i/>
          <w:iCs/>
        </w:rPr>
        <w:t>§ </w:t>
      </w:r>
      <w:r w:rsidR="00445B37" w:rsidRPr="009118AB">
        <w:rPr>
          <w:i/>
          <w:iCs/>
        </w:rPr>
        <w:t xml:space="preserve">1 </w:t>
      </w:r>
      <w:r w:rsidR="00D67EB8" w:rsidRPr="009118AB">
        <w:rPr>
          <w:i/>
          <w:iCs/>
        </w:rPr>
        <w:lastRenderedPageBreak/>
        <w:t>Abs. </w:t>
      </w:r>
      <w:r w:rsidR="00445B37" w:rsidRPr="009118AB">
        <w:rPr>
          <w:i/>
          <w:iCs/>
        </w:rPr>
        <w:t xml:space="preserve">1 einleitende Bestimmung abgeändert durch </w:t>
      </w:r>
      <w:r w:rsidR="00D67EB8" w:rsidRPr="009118AB">
        <w:rPr>
          <w:i/>
          <w:iCs/>
        </w:rPr>
        <w:t>Art. </w:t>
      </w:r>
      <w:r w:rsidR="00454FB0" w:rsidRPr="009118AB">
        <w:rPr>
          <w:i/>
          <w:iCs/>
        </w:rPr>
        <w:t>3</w:t>
      </w:r>
      <w:r w:rsidR="00445B37" w:rsidRPr="009118AB">
        <w:rPr>
          <w:i/>
          <w:iCs/>
        </w:rPr>
        <w:t xml:space="preserve"> </w:t>
      </w:r>
      <w:r w:rsidR="00D67EB8" w:rsidRPr="009118AB">
        <w:rPr>
          <w:i/>
          <w:iCs/>
        </w:rPr>
        <w:t>Nr. </w:t>
      </w:r>
      <w:r w:rsidR="00445B37" w:rsidRPr="009118AB">
        <w:rPr>
          <w:i/>
          <w:iCs/>
        </w:rPr>
        <w:t>2 des G. vom 18. Dezember 2015 (I</w:t>
      </w:r>
      <w:r w:rsidR="00454FB0" w:rsidRPr="009118AB">
        <w:rPr>
          <w:i/>
          <w:iCs/>
        </w:rPr>
        <w:t>I</w:t>
      </w:r>
      <w:r w:rsidR="00445B37" w:rsidRPr="009118AB">
        <w:rPr>
          <w:i/>
          <w:iCs/>
        </w:rPr>
        <w:t>) (B.S. vom 28. Dezember 2015)</w:t>
      </w:r>
      <w:r w:rsidR="00D67EB8" w:rsidRPr="009118AB">
        <w:rPr>
          <w:i/>
          <w:iCs/>
        </w:rPr>
        <w:t> - </w:t>
      </w:r>
      <w:r w:rsidR="00D6433D" w:rsidRPr="009118AB">
        <w:rPr>
          <w:i/>
          <w:iCs/>
        </w:rPr>
        <w:t>in Kraft ab dem Steuerjahr 2017</w:t>
      </w:r>
      <w:r w:rsidR="00D67EB8" w:rsidRPr="009118AB">
        <w:rPr>
          <w:i/>
          <w:iCs/>
        </w:rPr>
        <w:t> - </w:t>
      </w:r>
      <w:r w:rsidR="0015759F" w:rsidRPr="009118AB">
        <w:rPr>
          <w:i/>
          <w:iCs/>
        </w:rPr>
        <w:t xml:space="preserve">und </w:t>
      </w:r>
      <w:r w:rsidR="00D67EB8" w:rsidRPr="009118AB">
        <w:rPr>
          <w:i/>
          <w:iCs/>
        </w:rPr>
        <w:t>Art. </w:t>
      </w:r>
      <w:r w:rsidR="0015759F" w:rsidRPr="009118AB">
        <w:rPr>
          <w:i/>
          <w:iCs/>
        </w:rPr>
        <w:t xml:space="preserve">60 </w:t>
      </w:r>
      <w:r w:rsidR="00D67EB8" w:rsidRPr="009118AB">
        <w:rPr>
          <w:i/>
          <w:iCs/>
        </w:rPr>
        <w:t>Nr. </w:t>
      </w:r>
      <w:r w:rsidR="0015759F" w:rsidRPr="009118AB">
        <w:rPr>
          <w:i/>
          <w:iCs/>
        </w:rPr>
        <w:t>1 des G. vom 26. März 2018 (B.S. vom 30. März 2018)</w:t>
      </w:r>
      <w:r w:rsidR="00D67EB8" w:rsidRPr="009118AB">
        <w:rPr>
          <w:i/>
          <w:iCs/>
        </w:rPr>
        <w:t> - </w:t>
      </w:r>
      <w:r w:rsidR="0015759F" w:rsidRPr="009118AB">
        <w:rPr>
          <w:i/>
          <w:iCs/>
        </w:rPr>
        <w:t>wirksam ab dem Steuerjahr 2019</w:t>
      </w:r>
      <w:r w:rsidR="003366D9" w:rsidRPr="009118AB">
        <w:rPr>
          <w:i/>
          <w:iCs/>
        </w:rPr>
        <w:t> -;</w:t>
      </w:r>
      <w:r w:rsidR="00445B37" w:rsidRPr="009118AB">
        <w:rPr>
          <w:i/>
          <w:iCs/>
        </w:rPr>
        <w:t xml:space="preserve"> </w:t>
      </w:r>
      <w:r w:rsidR="00D67EB8" w:rsidRPr="009118AB">
        <w:rPr>
          <w:i/>
          <w:iCs/>
        </w:rPr>
        <w:t>§ </w:t>
      </w:r>
      <w:r w:rsidR="00445B37" w:rsidRPr="009118AB">
        <w:rPr>
          <w:i/>
          <w:iCs/>
        </w:rPr>
        <w:t xml:space="preserve">1 </w:t>
      </w:r>
      <w:r w:rsidR="00D67EB8" w:rsidRPr="009118AB">
        <w:rPr>
          <w:i/>
          <w:iCs/>
        </w:rPr>
        <w:t>Abs. </w:t>
      </w:r>
      <w:r w:rsidRPr="009118AB">
        <w:rPr>
          <w:i/>
          <w:iCs/>
        </w:rPr>
        <w:t xml:space="preserve">2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3366D9" w:rsidRPr="009118AB">
        <w:rPr>
          <w:i/>
          <w:iCs/>
        </w:rPr>
        <w:t> -;</w:t>
      </w:r>
      <w:r w:rsidR="0015759F" w:rsidRPr="009118AB">
        <w:rPr>
          <w:i/>
          <w:iCs/>
        </w:rPr>
        <w:t xml:space="preserve"> </w:t>
      </w:r>
      <w:r w:rsidR="00D67EB8" w:rsidRPr="009118AB">
        <w:rPr>
          <w:i/>
          <w:iCs/>
        </w:rPr>
        <w:t>§ </w:t>
      </w:r>
      <w:r w:rsidR="0015759F" w:rsidRPr="009118AB">
        <w:rPr>
          <w:i/>
          <w:iCs/>
        </w:rPr>
        <w:t xml:space="preserve">1 neuer Absatz 3 eingefügt durch </w:t>
      </w:r>
      <w:r w:rsidR="00D67EB8" w:rsidRPr="009118AB">
        <w:rPr>
          <w:i/>
          <w:iCs/>
        </w:rPr>
        <w:t>Art. </w:t>
      </w:r>
      <w:r w:rsidR="00CB3480" w:rsidRPr="009118AB">
        <w:rPr>
          <w:i/>
          <w:iCs/>
        </w:rPr>
        <w:t xml:space="preserve">60 </w:t>
      </w:r>
      <w:r w:rsidR="00D67EB8" w:rsidRPr="009118AB">
        <w:rPr>
          <w:i/>
          <w:iCs/>
        </w:rPr>
        <w:t>Nr. </w:t>
      </w:r>
      <w:r w:rsidR="00CB3480" w:rsidRPr="009118AB">
        <w:rPr>
          <w:i/>
          <w:iCs/>
        </w:rPr>
        <w:t>2</w:t>
      </w:r>
      <w:r w:rsidR="0015759F" w:rsidRPr="009118AB">
        <w:rPr>
          <w:i/>
          <w:iCs/>
        </w:rPr>
        <w:t xml:space="preserve"> des G. vom 26. März 2018 (B.S. vom 30. März 2018)</w:t>
      </w:r>
      <w:r w:rsidR="00D67EB8" w:rsidRPr="009118AB">
        <w:rPr>
          <w:i/>
          <w:iCs/>
        </w:rPr>
        <w:t> - </w:t>
      </w:r>
      <w:r w:rsidR="0015759F" w:rsidRPr="009118AB">
        <w:rPr>
          <w:i/>
          <w:iCs/>
        </w:rPr>
        <w:t>wirksam ab dem Steuerjahr 2019</w:t>
      </w:r>
      <w:r w:rsidR="003366D9" w:rsidRPr="009118AB">
        <w:rPr>
          <w:i/>
          <w:iCs/>
        </w:rPr>
        <w:t> -;</w:t>
      </w:r>
      <w:r w:rsidR="00445B37" w:rsidRPr="009118AB">
        <w:rPr>
          <w:i/>
          <w:iCs/>
        </w:rPr>
        <w:t xml:space="preserve"> </w:t>
      </w:r>
      <w:r w:rsidR="00D67EB8" w:rsidRPr="009118AB">
        <w:rPr>
          <w:i/>
          <w:iCs/>
        </w:rPr>
        <w:t>§ </w:t>
      </w:r>
      <w:r w:rsidR="00445B37" w:rsidRPr="009118AB">
        <w:rPr>
          <w:i/>
          <w:iCs/>
        </w:rPr>
        <w:t xml:space="preserve">2 eingefügt durch </w:t>
      </w:r>
      <w:r w:rsidR="00D67EB8" w:rsidRPr="009118AB">
        <w:rPr>
          <w:i/>
          <w:iCs/>
        </w:rPr>
        <w:t>Art. </w:t>
      </w:r>
      <w:r w:rsidR="00454FB0" w:rsidRPr="009118AB">
        <w:rPr>
          <w:i/>
          <w:iCs/>
        </w:rPr>
        <w:t>3</w:t>
      </w:r>
      <w:r w:rsidR="00445B37" w:rsidRPr="009118AB">
        <w:rPr>
          <w:i/>
          <w:iCs/>
        </w:rPr>
        <w:t xml:space="preserve"> </w:t>
      </w:r>
      <w:r w:rsidR="00D67EB8" w:rsidRPr="009118AB">
        <w:rPr>
          <w:i/>
          <w:iCs/>
        </w:rPr>
        <w:t>Nr. </w:t>
      </w:r>
      <w:r w:rsidR="00445B37" w:rsidRPr="009118AB">
        <w:rPr>
          <w:i/>
          <w:iCs/>
        </w:rPr>
        <w:t xml:space="preserve">3 des G. </w:t>
      </w:r>
      <w:r w:rsidR="00445B37" w:rsidRPr="009118AB">
        <w:rPr>
          <w:i/>
          <w:iCs/>
          <w:spacing w:val="-2"/>
        </w:rPr>
        <w:t>vom 18. Dezember 2015 (</w:t>
      </w:r>
      <w:r w:rsidR="00454FB0" w:rsidRPr="009118AB">
        <w:rPr>
          <w:i/>
          <w:iCs/>
          <w:spacing w:val="-2"/>
        </w:rPr>
        <w:t>I</w:t>
      </w:r>
      <w:r w:rsidR="00445B37" w:rsidRPr="009118AB">
        <w:rPr>
          <w:i/>
          <w:iCs/>
          <w:spacing w:val="-2"/>
        </w:rPr>
        <w:t>I) (B.S. vom 28. Dezember 2015)</w:t>
      </w:r>
      <w:r w:rsidR="00D67EB8" w:rsidRPr="009118AB">
        <w:rPr>
          <w:i/>
          <w:iCs/>
          <w:spacing w:val="-2"/>
        </w:rPr>
        <w:t> - </w:t>
      </w:r>
      <w:r w:rsidR="00D6433D" w:rsidRPr="009118AB">
        <w:rPr>
          <w:i/>
          <w:iCs/>
          <w:spacing w:val="-2"/>
        </w:rPr>
        <w:t>in Kraft ab dem Steuerjahr 2017</w:t>
      </w:r>
      <w:r w:rsidR="003366D9" w:rsidRPr="009118AB">
        <w:rPr>
          <w:i/>
          <w:iCs/>
          <w:spacing w:val="-2"/>
        </w:rPr>
        <w:t> -;</w:t>
      </w:r>
      <w:r w:rsidR="003357C9" w:rsidRPr="009118AB">
        <w:rPr>
          <w:i/>
          <w:iCs/>
        </w:rPr>
        <w:t xml:space="preserve"> </w:t>
      </w:r>
      <w:r w:rsidR="00D67EB8" w:rsidRPr="009118AB">
        <w:rPr>
          <w:i/>
          <w:iCs/>
        </w:rPr>
        <w:t>§ </w:t>
      </w:r>
      <w:r w:rsidR="003357C9" w:rsidRPr="009118AB">
        <w:rPr>
          <w:i/>
          <w:iCs/>
        </w:rPr>
        <w:t xml:space="preserve">2 </w:t>
      </w:r>
      <w:r w:rsidR="00D67EB8" w:rsidRPr="009118AB">
        <w:rPr>
          <w:i/>
          <w:iCs/>
        </w:rPr>
        <w:t>Abs. </w:t>
      </w:r>
      <w:r w:rsidR="003357C9" w:rsidRPr="009118AB">
        <w:rPr>
          <w:i/>
          <w:iCs/>
        </w:rPr>
        <w:t xml:space="preserve">1 abgeändert durch </w:t>
      </w:r>
      <w:r w:rsidR="00D67EB8" w:rsidRPr="009118AB">
        <w:rPr>
          <w:i/>
          <w:iCs/>
        </w:rPr>
        <w:t>Art. </w:t>
      </w:r>
      <w:r w:rsidR="003357C9" w:rsidRPr="009118AB">
        <w:rPr>
          <w:i/>
          <w:iCs/>
        </w:rPr>
        <w:t xml:space="preserve">9 des G. vom 2. Mai 2019 (III) (B.S. vom </w:t>
      </w:r>
      <w:r w:rsidR="004A76B1" w:rsidRPr="009118AB">
        <w:rPr>
          <w:i/>
          <w:iCs/>
        </w:rPr>
        <w:t>15</w:t>
      </w:r>
      <w:r w:rsidR="003357C9" w:rsidRPr="009118AB">
        <w:rPr>
          <w:i/>
          <w:iCs/>
        </w:rPr>
        <w:t>. Mai 2019)</w:t>
      </w:r>
      <w:r w:rsidR="00CB3480" w:rsidRPr="009118AB">
        <w:rPr>
          <w:i/>
          <w:iCs/>
        </w:rPr>
        <w:t>]</w:t>
      </w:r>
    </w:p>
    <w:p w14:paraId="7639C134" w14:textId="77777777" w:rsidR="00DD1003" w:rsidRPr="009118AB" w:rsidRDefault="00DD1003" w:rsidP="00DD1003">
      <w:pPr>
        <w:autoSpaceDE w:val="0"/>
        <w:autoSpaceDN w:val="0"/>
        <w:adjustRightInd w:val="0"/>
        <w:jc w:val="both"/>
      </w:pPr>
    </w:p>
    <w:p w14:paraId="20B5F103" w14:textId="77777777" w:rsidR="00477B8F" w:rsidRPr="009118AB" w:rsidRDefault="00477B8F" w:rsidP="00477B8F">
      <w:pPr>
        <w:autoSpaceDE w:val="0"/>
        <w:autoSpaceDN w:val="0"/>
        <w:adjustRightInd w:val="0"/>
        <w:jc w:val="both"/>
      </w:pPr>
    </w:p>
    <w:p w14:paraId="7EEBC326" w14:textId="2DFE5AEA" w:rsidR="00F31287" w:rsidRPr="009118AB" w:rsidRDefault="00477B8F" w:rsidP="00F31287">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9</w:t>
      </w:r>
      <w:r w:rsidR="00D67EB8" w:rsidRPr="009118AB">
        <w:t> - </w:t>
      </w:r>
      <w:r w:rsidR="00F31287" w:rsidRPr="009118AB">
        <w:t>Zahlungen werden für die Ermäßigung nur berücksichtigt unter der Bedingung, dass:</w:t>
      </w:r>
    </w:p>
    <w:p w14:paraId="35AA7873" w14:textId="77777777" w:rsidR="00F31287" w:rsidRPr="009118AB" w:rsidRDefault="00F31287" w:rsidP="00F31287">
      <w:pPr>
        <w:autoSpaceDE w:val="0"/>
        <w:autoSpaceDN w:val="0"/>
        <w:adjustRightInd w:val="0"/>
        <w:jc w:val="both"/>
      </w:pPr>
    </w:p>
    <w:p w14:paraId="67DBA021" w14:textId="77777777" w:rsidR="00F31287" w:rsidRPr="009118AB" w:rsidRDefault="00F31287" w:rsidP="00D6433D">
      <w:pPr>
        <w:autoSpaceDE w:val="0"/>
        <w:autoSpaceDN w:val="0"/>
        <w:adjustRightInd w:val="0"/>
        <w:ind w:firstLine="709"/>
        <w:jc w:val="both"/>
      </w:pPr>
      <w:r w:rsidRPr="009118AB">
        <w:t>1. das kollektive oder individuelle Sparkonto eröffnet oder dass die Sparversicherung abgeschlossen wird:</w:t>
      </w:r>
    </w:p>
    <w:p w14:paraId="6F9AEF59" w14:textId="77777777" w:rsidR="00F31287" w:rsidRPr="009118AB" w:rsidRDefault="00F31287" w:rsidP="00D6433D">
      <w:pPr>
        <w:autoSpaceDE w:val="0"/>
        <w:autoSpaceDN w:val="0"/>
        <w:adjustRightInd w:val="0"/>
        <w:ind w:firstLine="709"/>
        <w:jc w:val="both"/>
      </w:pPr>
    </w:p>
    <w:p w14:paraId="25DD0F9C" w14:textId="77777777" w:rsidR="00F31287" w:rsidRPr="009118AB" w:rsidRDefault="00F31287" w:rsidP="00D6433D">
      <w:pPr>
        <w:autoSpaceDE w:val="0"/>
        <w:autoSpaceDN w:val="0"/>
        <w:adjustRightInd w:val="0"/>
        <w:ind w:firstLine="709"/>
        <w:jc w:val="both"/>
      </w:pPr>
      <w:r w:rsidRPr="009118AB">
        <w:rPr>
          <w:i/>
          <w:iCs/>
        </w:rPr>
        <w:t>a)</w:t>
      </w:r>
      <w:r w:rsidRPr="009118AB">
        <w:t xml:space="preserve"> von einem Einwohner des Königreichs [oder einem Einwohner eines Mitgliedstaates des Europäischen Wirtschaftsraums] ab dem Alter von achtzehn Jahren und vor dem Alter von fünfundsechzig Jahren,</w:t>
      </w:r>
    </w:p>
    <w:p w14:paraId="2CACAB44" w14:textId="77777777" w:rsidR="00F31287" w:rsidRPr="009118AB" w:rsidRDefault="00F31287" w:rsidP="00D6433D">
      <w:pPr>
        <w:autoSpaceDE w:val="0"/>
        <w:autoSpaceDN w:val="0"/>
        <w:adjustRightInd w:val="0"/>
        <w:ind w:firstLine="709"/>
        <w:jc w:val="both"/>
      </w:pPr>
    </w:p>
    <w:p w14:paraId="77331023" w14:textId="77777777" w:rsidR="00F31287" w:rsidRPr="009118AB" w:rsidRDefault="00F31287" w:rsidP="00D6433D">
      <w:pPr>
        <w:autoSpaceDE w:val="0"/>
        <w:autoSpaceDN w:val="0"/>
        <w:adjustRightInd w:val="0"/>
        <w:ind w:firstLine="709"/>
        <w:jc w:val="both"/>
      </w:pPr>
      <w:r w:rsidRPr="009118AB">
        <w:rPr>
          <w:i/>
          <w:iCs/>
        </w:rPr>
        <w:t>b)</w:t>
      </w:r>
      <w:r w:rsidRPr="009118AB">
        <w:t xml:space="preserve"> für eine Mindestdauer von zehn Jahren,</w:t>
      </w:r>
    </w:p>
    <w:p w14:paraId="7CFF1702" w14:textId="77777777" w:rsidR="00F31287" w:rsidRPr="009118AB" w:rsidRDefault="00F31287" w:rsidP="00D6433D">
      <w:pPr>
        <w:autoSpaceDE w:val="0"/>
        <w:autoSpaceDN w:val="0"/>
        <w:adjustRightInd w:val="0"/>
        <w:ind w:firstLine="709"/>
        <w:jc w:val="both"/>
      </w:pPr>
    </w:p>
    <w:p w14:paraId="61229126" w14:textId="77777777" w:rsidR="00F31287" w:rsidRPr="009118AB" w:rsidRDefault="00F31287" w:rsidP="00D6433D">
      <w:pPr>
        <w:autoSpaceDE w:val="0"/>
        <w:autoSpaceDN w:val="0"/>
        <w:adjustRightInd w:val="0"/>
        <w:ind w:firstLine="709"/>
        <w:jc w:val="both"/>
      </w:pPr>
      <w:r w:rsidRPr="009118AB">
        <w:t>2. die Vorteile zum Zeitpunkt des Vertragsabschlusses bestimmt werden:</w:t>
      </w:r>
    </w:p>
    <w:p w14:paraId="06274E87" w14:textId="77777777" w:rsidR="00F31287" w:rsidRPr="009118AB" w:rsidRDefault="00F31287" w:rsidP="00D6433D">
      <w:pPr>
        <w:autoSpaceDE w:val="0"/>
        <w:autoSpaceDN w:val="0"/>
        <w:adjustRightInd w:val="0"/>
        <w:ind w:firstLine="709"/>
        <w:jc w:val="both"/>
      </w:pPr>
    </w:p>
    <w:p w14:paraId="2CFC3DDA" w14:textId="77777777" w:rsidR="00F31287" w:rsidRPr="009118AB" w:rsidRDefault="00F31287" w:rsidP="00D6433D">
      <w:pPr>
        <w:autoSpaceDE w:val="0"/>
        <w:autoSpaceDN w:val="0"/>
        <w:adjustRightInd w:val="0"/>
        <w:ind w:firstLine="709"/>
        <w:jc w:val="both"/>
      </w:pPr>
      <w:r w:rsidRPr="009118AB">
        <w:rPr>
          <w:i/>
          <w:iCs/>
        </w:rPr>
        <w:t>a)</w:t>
      </w:r>
      <w:r w:rsidRPr="009118AB">
        <w:t xml:space="preserve"> zu Lebzeiten zugunsten des Steuerpflichtigen selbst,</w:t>
      </w:r>
    </w:p>
    <w:p w14:paraId="63DD9F7F" w14:textId="77777777" w:rsidR="00F31287" w:rsidRPr="009118AB" w:rsidRDefault="00F31287" w:rsidP="00D6433D">
      <w:pPr>
        <w:autoSpaceDE w:val="0"/>
        <w:autoSpaceDN w:val="0"/>
        <w:adjustRightInd w:val="0"/>
        <w:ind w:firstLine="709"/>
        <w:jc w:val="both"/>
      </w:pPr>
    </w:p>
    <w:p w14:paraId="483CBA08" w14:textId="77777777" w:rsidR="00F31287" w:rsidRPr="009118AB" w:rsidRDefault="00F31287" w:rsidP="00D6433D">
      <w:pPr>
        <w:autoSpaceDE w:val="0"/>
        <w:autoSpaceDN w:val="0"/>
        <w:adjustRightInd w:val="0"/>
        <w:ind w:firstLine="709"/>
        <w:jc w:val="both"/>
      </w:pPr>
      <w:r w:rsidRPr="009118AB">
        <w:rPr>
          <w:i/>
          <w:iCs/>
        </w:rPr>
        <w:t>b)</w:t>
      </w:r>
      <w:r w:rsidRPr="009118AB">
        <w:t xml:space="preserve"> [im Todesfall:</w:t>
      </w:r>
    </w:p>
    <w:p w14:paraId="5CB99826" w14:textId="77777777" w:rsidR="00F31287" w:rsidRPr="009118AB" w:rsidRDefault="00F31287" w:rsidP="00D6433D">
      <w:pPr>
        <w:autoSpaceDE w:val="0"/>
        <w:autoSpaceDN w:val="0"/>
        <w:adjustRightInd w:val="0"/>
        <w:ind w:firstLine="709"/>
        <w:jc w:val="both"/>
      </w:pPr>
    </w:p>
    <w:p w14:paraId="570EE270" w14:textId="77777777" w:rsidR="00F31287" w:rsidRPr="009118AB" w:rsidRDefault="00F31287" w:rsidP="00D6433D">
      <w:pPr>
        <w:autoSpaceDE w:val="0"/>
        <w:autoSpaceDN w:val="0"/>
        <w:adjustRightInd w:val="0"/>
        <w:ind w:firstLine="709"/>
        <w:jc w:val="both"/>
      </w:pPr>
      <w:r w:rsidRPr="009118AB">
        <w:t>1. wenn der Sparversicherungsvertrag für die Wiederherstellung einer oder als Sicherheit für eine Anleihe dient, die zwecks Erwerb oder Erhalt eines unbeweglichen Gutes aufgenommen wird:</w:t>
      </w:r>
    </w:p>
    <w:p w14:paraId="7111CD75" w14:textId="77777777" w:rsidR="00F31287" w:rsidRPr="009118AB" w:rsidRDefault="00F31287" w:rsidP="00D6433D">
      <w:pPr>
        <w:autoSpaceDE w:val="0"/>
        <w:autoSpaceDN w:val="0"/>
        <w:adjustRightInd w:val="0"/>
        <w:ind w:firstLine="709"/>
        <w:jc w:val="both"/>
      </w:pPr>
    </w:p>
    <w:p w14:paraId="5303FB7C" w14:textId="77777777" w:rsidR="00F31287" w:rsidRPr="009118AB" w:rsidRDefault="00F31287" w:rsidP="00D6433D">
      <w:pPr>
        <w:autoSpaceDE w:val="0"/>
        <w:autoSpaceDN w:val="0"/>
        <w:adjustRightInd w:val="0"/>
        <w:ind w:firstLine="709"/>
        <w:jc w:val="both"/>
      </w:pPr>
      <w:r w:rsidRPr="009118AB">
        <w:t>- bis zu dem versicherten Kapital, das für die Wiederherstellung der oder als Sicherheit für die Anleihe dient, zugunsten der Personen, die infolge des Todes des Versicherten das Volleigentum oder den Nießbrauch dieses unbeweglichen Gutes erhalten,</w:t>
      </w:r>
    </w:p>
    <w:p w14:paraId="5AD3B929" w14:textId="77777777" w:rsidR="00F31287" w:rsidRPr="009118AB" w:rsidRDefault="00F31287" w:rsidP="00D6433D">
      <w:pPr>
        <w:autoSpaceDE w:val="0"/>
        <w:autoSpaceDN w:val="0"/>
        <w:adjustRightInd w:val="0"/>
        <w:ind w:firstLine="709"/>
        <w:jc w:val="both"/>
      </w:pPr>
    </w:p>
    <w:p w14:paraId="07733011" w14:textId="77777777" w:rsidR="00F31287" w:rsidRPr="009118AB" w:rsidRDefault="00F31287" w:rsidP="00D6433D">
      <w:pPr>
        <w:autoSpaceDE w:val="0"/>
        <w:autoSpaceDN w:val="0"/>
        <w:adjustRightInd w:val="0"/>
        <w:ind w:firstLine="709"/>
        <w:jc w:val="both"/>
      </w:pPr>
      <w:r w:rsidRPr="009118AB">
        <w:t>- bis zu dem versicherten Kapital, das nicht für die Wiederherstellung der oder als Sicherheit für die Anleihe dient, zugunsten des Ehepartners oder von Verwandten bis zum zweiten Grad des Steuerpflichtigen,</w:t>
      </w:r>
    </w:p>
    <w:p w14:paraId="6907AB4E" w14:textId="77777777" w:rsidR="00F31287" w:rsidRPr="009118AB" w:rsidRDefault="00F31287" w:rsidP="00D6433D">
      <w:pPr>
        <w:autoSpaceDE w:val="0"/>
        <w:autoSpaceDN w:val="0"/>
        <w:adjustRightInd w:val="0"/>
        <w:ind w:firstLine="709"/>
        <w:jc w:val="both"/>
      </w:pPr>
    </w:p>
    <w:p w14:paraId="6643B2D7" w14:textId="77777777" w:rsidR="00F31287" w:rsidRPr="009118AB" w:rsidRDefault="00F31287" w:rsidP="00D6433D">
      <w:pPr>
        <w:autoSpaceDE w:val="0"/>
        <w:autoSpaceDN w:val="0"/>
        <w:adjustRightInd w:val="0"/>
        <w:ind w:firstLine="709"/>
        <w:jc w:val="both"/>
      </w:pPr>
      <w:r w:rsidRPr="009118AB">
        <w:t>2. in allen anderen Fällen zugunsten des Ehepartners oder von Verwandten bis zum zweiten Grad des Steuerpflichtigen,]</w:t>
      </w:r>
    </w:p>
    <w:p w14:paraId="4E30C456" w14:textId="77777777" w:rsidR="00F31287" w:rsidRPr="009118AB" w:rsidRDefault="00F31287" w:rsidP="00D6433D">
      <w:pPr>
        <w:autoSpaceDE w:val="0"/>
        <w:autoSpaceDN w:val="0"/>
        <w:adjustRightInd w:val="0"/>
        <w:ind w:firstLine="709"/>
        <w:jc w:val="both"/>
      </w:pPr>
    </w:p>
    <w:p w14:paraId="3FE8F61A" w14:textId="3C941BDD" w:rsidR="00F31287" w:rsidRPr="009118AB" w:rsidRDefault="00F31287" w:rsidP="00D6433D">
      <w:pPr>
        <w:autoSpaceDE w:val="0"/>
        <w:autoSpaceDN w:val="0"/>
        <w:adjustRightInd w:val="0"/>
        <w:ind w:firstLine="709"/>
        <w:jc w:val="both"/>
      </w:pPr>
      <w:r w:rsidRPr="009118AB">
        <w:t>3. der Steuerpflichtige bei seiner Erklärung eine Bescheinigung vorlegt, deren Muster vom Minister der Finanzen oder von seinem Beauftragten festgelegt wird</w:t>
      </w:r>
      <w:r w:rsidR="00637158" w:rsidRPr="009118AB">
        <w:t>[,</w:t>
      </w:r>
      <w:r w:rsidR="00AF4933" w:rsidRPr="009118AB">
        <w:t xml:space="preserve"> </w:t>
      </w:r>
      <w:r w:rsidR="00637158" w:rsidRPr="009118AB">
        <w:t>sowie die Grundbescheinigung oder die Belege, die das in Artikel 145</w:t>
      </w:r>
      <w:r w:rsidR="00637158" w:rsidRPr="009118AB">
        <w:rPr>
          <w:vertAlign w:val="superscript"/>
        </w:rPr>
        <w:t>15</w:t>
      </w:r>
      <w:r w:rsidR="00637158" w:rsidRPr="009118AB">
        <w:t xml:space="preserve"> erwähnte Institut oder Unternehmen gemäß Ar</w:t>
      </w:r>
      <w:r w:rsidR="00637158" w:rsidRPr="009118AB">
        <w:softHyphen/>
        <w:t>tikel 145</w:t>
      </w:r>
      <w:r w:rsidR="00637158" w:rsidRPr="009118AB">
        <w:rPr>
          <w:vertAlign w:val="superscript"/>
        </w:rPr>
        <w:t>8</w:t>
      </w:r>
      <w:r w:rsidR="00637158" w:rsidRPr="009118AB">
        <w:t xml:space="preserve"> </w:t>
      </w:r>
      <w:r w:rsidR="00D67EB8" w:rsidRPr="009118AB">
        <w:t>§ </w:t>
      </w:r>
      <w:r w:rsidR="00637158" w:rsidRPr="009118AB">
        <w:t>2 ausgestellt hat]</w:t>
      </w:r>
      <w:r w:rsidRPr="009118AB">
        <w:t>.</w:t>
      </w:r>
    </w:p>
    <w:p w14:paraId="67361BA2" w14:textId="77777777" w:rsidR="00F31287" w:rsidRPr="009118AB" w:rsidRDefault="00F31287" w:rsidP="00D6433D">
      <w:pPr>
        <w:autoSpaceDE w:val="0"/>
        <w:autoSpaceDN w:val="0"/>
        <w:adjustRightInd w:val="0"/>
        <w:ind w:firstLine="709"/>
        <w:jc w:val="both"/>
      </w:pPr>
    </w:p>
    <w:p w14:paraId="21CF0E0A" w14:textId="465F298F" w:rsidR="00F31287" w:rsidRPr="009118AB" w:rsidRDefault="00F31287" w:rsidP="00D6433D">
      <w:pPr>
        <w:autoSpaceDE w:val="0"/>
        <w:autoSpaceDN w:val="0"/>
        <w:adjustRightInd w:val="0"/>
        <w:ind w:firstLine="709"/>
        <w:jc w:val="both"/>
      </w:pPr>
      <w:r w:rsidRPr="009118AB">
        <w:lastRenderedPageBreak/>
        <w:t xml:space="preserve">Die Ermäßigung wird ab dem Besteuerungszeitraum nicht mehr gewährt, in dem die [gemäß Artikel 171 </w:t>
      </w:r>
      <w:r w:rsidR="00D67EB8" w:rsidRPr="009118AB">
        <w:t>Nr. </w:t>
      </w:r>
      <w:r w:rsidRPr="009118AB">
        <w:t>1</w:t>
      </w:r>
      <w:r w:rsidRPr="009118AB">
        <w:rPr>
          <w:i/>
        </w:rPr>
        <w:t>bis</w:t>
      </w:r>
      <w:r w:rsidRPr="009118AB">
        <w:t>] getrennt steuerpflichtigen Sparguthaben, Kapitalien oder Rückkaufswerte ausgezahlt werden, außer wenn diese Auszahlung aufgrund des Todes des Steuerpflichtigen erfolgt, oder in dem der Steuerpflichtige das Alter von fünfundsechzig Jahren erreicht hat.</w:t>
      </w:r>
    </w:p>
    <w:p w14:paraId="1F5A5699" w14:textId="77777777" w:rsidR="00F31287" w:rsidRPr="009118AB" w:rsidRDefault="00F31287" w:rsidP="00F31287">
      <w:pPr>
        <w:autoSpaceDE w:val="0"/>
        <w:autoSpaceDN w:val="0"/>
        <w:adjustRightInd w:val="0"/>
        <w:jc w:val="both"/>
      </w:pPr>
    </w:p>
    <w:p w14:paraId="67B8F190" w14:textId="5AC35D6C" w:rsidR="00F31287" w:rsidRPr="009118AB" w:rsidRDefault="00F31287" w:rsidP="00F31287">
      <w:pPr>
        <w:autoSpaceDE w:val="0"/>
        <w:autoSpaceDN w:val="0"/>
        <w:adjustRightInd w:val="0"/>
        <w:jc w:val="both"/>
        <w:rPr>
          <w:iCs/>
        </w:rPr>
      </w:pPr>
      <w:r w:rsidRPr="009118AB">
        <w:rPr>
          <w:i/>
          <w:iCs/>
        </w:rPr>
        <w:t>[</w:t>
      </w:r>
      <w:r w:rsidR="00D67EB8" w:rsidRPr="009118AB">
        <w:rPr>
          <w:i/>
          <w:iCs/>
        </w:rPr>
        <w:t>Art. </w:t>
      </w:r>
      <w:r w:rsidRPr="009118AB">
        <w:rPr>
          <w:i/>
          <w:iCs/>
        </w:rPr>
        <w:t>145</w:t>
      </w:r>
      <w:r w:rsidRPr="009118AB">
        <w:rPr>
          <w:i/>
          <w:iCs/>
          <w:vertAlign w:val="superscript"/>
        </w:rPr>
        <w:t>9</w:t>
      </w:r>
      <w:r w:rsidR="00C46CE8"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1 einziger Absatz Buc</w:t>
      </w:r>
      <w:r w:rsidR="00C46CE8" w:rsidRPr="009118AB">
        <w:rPr>
          <w:i/>
          <w:iCs/>
        </w:rPr>
        <w:t xml:space="preserve">hstabe a) abgeändert durch </w:t>
      </w:r>
      <w:r w:rsidR="00D67EB8" w:rsidRPr="009118AB">
        <w:rPr>
          <w:i/>
          <w:iCs/>
        </w:rPr>
        <w:t>Art. </w:t>
      </w:r>
      <w:r w:rsidR="00C46CE8" w:rsidRPr="009118AB">
        <w:rPr>
          <w:i/>
          <w:iCs/>
        </w:rPr>
        <w:t xml:space="preserve">351 des G. (I) vom </w:t>
      </w:r>
      <w:r w:rsidR="00C46CE8" w:rsidRPr="009118AB">
        <w:rPr>
          <w:i/>
          <w:iCs/>
          <w:spacing w:val="-2"/>
        </w:rPr>
        <w:t>27. Dezember 2006 </w:t>
      </w:r>
      <w:r w:rsidRPr="009118AB">
        <w:rPr>
          <w:i/>
          <w:iCs/>
          <w:spacing w:val="-2"/>
        </w:rPr>
        <w:t>(II) (B.S. vom 28. Dezember 2006)</w:t>
      </w:r>
      <w:r w:rsidR="00D67EB8" w:rsidRPr="009118AB">
        <w:rPr>
          <w:i/>
          <w:iCs/>
          <w:spacing w:val="-2"/>
        </w:rPr>
        <w:t> - </w:t>
      </w:r>
      <w:r w:rsidRPr="009118AB">
        <w:rPr>
          <w:i/>
          <w:iCs/>
          <w:spacing w:val="-2"/>
        </w:rPr>
        <w:t>an</w:t>
      </w:r>
      <w:r w:rsidR="00995C2A" w:rsidRPr="009118AB">
        <w:rPr>
          <w:i/>
          <w:iCs/>
          <w:spacing w:val="-2"/>
        </w:rPr>
        <w:t>wendbar ab dem Steuerjahr 2007</w:t>
      </w:r>
      <w:r w:rsidR="003366D9" w:rsidRPr="009118AB">
        <w:rPr>
          <w:i/>
          <w:iCs/>
          <w:spacing w:val="-2"/>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einziger Absatz </w:t>
      </w:r>
      <w:r w:rsidR="00C46CE8" w:rsidRPr="009118AB">
        <w:rPr>
          <w:i/>
          <w:iCs/>
        </w:rPr>
        <w:t xml:space="preserve">Buchstabe b) ersetzt durch </w:t>
      </w:r>
      <w:r w:rsidR="00D67EB8" w:rsidRPr="009118AB">
        <w:rPr>
          <w:i/>
          <w:iCs/>
        </w:rPr>
        <w:t>Art. </w:t>
      </w:r>
      <w:r w:rsidRPr="009118AB">
        <w:rPr>
          <w:i/>
          <w:iCs/>
        </w:rPr>
        <w:t>115 d</w:t>
      </w:r>
      <w:r w:rsidR="00C46CE8" w:rsidRPr="009118AB">
        <w:rPr>
          <w:i/>
          <w:iCs/>
        </w:rPr>
        <w:t>es G. (I) vom 22. Dezember 2008 </w:t>
      </w:r>
      <w:r w:rsidRPr="009118AB">
        <w:rPr>
          <w:i/>
          <w:iCs/>
        </w:rPr>
        <w:t>(II) (B.S. vom 29. Dezember 2008)</w:t>
      </w:r>
      <w:r w:rsidR="00D67EB8" w:rsidRPr="009118AB">
        <w:rPr>
          <w:i/>
          <w:iCs/>
        </w:rPr>
        <w:t> - </w:t>
      </w:r>
      <w:r w:rsidRPr="009118AB">
        <w:rPr>
          <w:i/>
          <w:iCs/>
        </w:rPr>
        <w:t>anwendbar auf die ab dem 1. Januar 2008 abgeschlossenen Lebensversicherungs- und Sparversicherungsverträge</w:t>
      </w:r>
      <w:r w:rsidR="003366D9" w:rsidRPr="009118AB">
        <w:rPr>
          <w:i/>
          <w:iCs/>
        </w:rPr>
        <w:t> -;</w:t>
      </w:r>
      <w:r w:rsidRPr="009118AB">
        <w:rPr>
          <w:i/>
          <w:iCs/>
        </w:rPr>
        <w:t xml:space="preserve"> </w:t>
      </w:r>
      <w:r w:rsidR="00D67EB8" w:rsidRPr="009118AB">
        <w:rPr>
          <w:i/>
          <w:iCs/>
        </w:rPr>
        <w:t>Abs. </w:t>
      </w:r>
      <w:r w:rsidR="00AF4933" w:rsidRPr="009118AB">
        <w:rPr>
          <w:i/>
          <w:iCs/>
        </w:rPr>
        <w:t xml:space="preserve">1 </w:t>
      </w:r>
      <w:r w:rsidR="00D67EB8" w:rsidRPr="009118AB">
        <w:rPr>
          <w:i/>
          <w:iCs/>
        </w:rPr>
        <w:t>Nr. </w:t>
      </w:r>
      <w:r w:rsidR="00AF4933" w:rsidRPr="009118AB">
        <w:rPr>
          <w:i/>
          <w:iCs/>
        </w:rPr>
        <w:t xml:space="preserve">3 abgeändert durch </w:t>
      </w:r>
      <w:r w:rsidR="00D67EB8" w:rsidRPr="009118AB">
        <w:rPr>
          <w:i/>
          <w:iCs/>
        </w:rPr>
        <w:t>Art. </w:t>
      </w:r>
      <w:r w:rsidR="00AF4933" w:rsidRPr="009118AB">
        <w:rPr>
          <w:i/>
          <w:iCs/>
        </w:rPr>
        <w:t>4 des G. vom 18. Dezember 2015 (</w:t>
      </w:r>
      <w:r w:rsidR="000E63D3" w:rsidRPr="009118AB">
        <w:rPr>
          <w:i/>
          <w:iCs/>
        </w:rPr>
        <w:t>I</w:t>
      </w:r>
      <w:r w:rsidR="00AF4933" w:rsidRPr="009118AB">
        <w:rPr>
          <w:i/>
          <w:iCs/>
        </w:rPr>
        <w:t>I</w:t>
      </w:r>
      <w:r w:rsidR="00995C2A" w:rsidRPr="009118AB">
        <w:rPr>
          <w:i/>
          <w:iCs/>
        </w:rPr>
        <w:t>) (B.S. vom 28. Dezember 2015)</w:t>
      </w:r>
      <w:r w:rsidR="00AF4933"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108 des G. vom 19. Dezember 2014 (B.S. vom 29. Dezember 2014)</w:t>
      </w:r>
      <w:r w:rsidR="00D67EB8" w:rsidRPr="009118AB">
        <w:rPr>
          <w:i/>
          <w:iCs/>
        </w:rPr>
        <w:t> - </w:t>
      </w:r>
      <w:r w:rsidRPr="009118AB">
        <w:rPr>
          <w:i/>
          <w:iCs/>
        </w:rPr>
        <w:t>anwendbar ab dem Steuerjahr 2016</w:t>
      </w:r>
      <w:r w:rsidR="00FD68E8" w:rsidRPr="009118AB">
        <w:rPr>
          <w:i/>
          <w:iCs/>
        </w:rPr>
        <w:t> -]</w:t>
      </w:r>
    </w:p>
    <w:p w14:paraId="3D18142E" w14:textId="77777777" w:rsidR="00F31287" w:rsidRPr="009118AB" w:rsidRDefault="00F31287" w:rsidP="00F31287">
      <w:pPr>
        <w:autoSpaceDE w:val="0"/>
        <w:autoSpaceDN w:val="0"/>
        <w:adjustRightInd w:val="0"/>
        <w:jc w:val="both"/>
      </w:pPr>
    </w:p>
    <w:p w14:paraId="5FCAEDA5" w14:textId="77777777" w:rsidR="00477B8F" w:rsidRPr="009118AB" w:rsidRDefault="00477B8F" w:rsidP="00477B8F">
      <w:pPr>
        <w:autoSpaceDE w:val="0"/>
        <w:autoSpaceDN w:val="0"/>
        <w:adjustRightInd w:val="0"/>
        <w:jc w:val="both"/>
      </w:pPr>
    </w:p>
    <w:p w14:paraId="070BB0FB" w14:textId="5958B30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10</w:t>
      </w:r>
      <w:r w:rsidR="00D67EB8" w:rsidRPr="009118AB">
        <w:t> - </w:t>
      </w:r>
      <w:r w:rsidRPr="009118AB">
        <w:t>In Artikel 145</w:t>
      </w:r>
      <w:r w:rsidRPr="009118AB">
        <w:rPr>
          <w:vertAlign w:val="superscript"/>
        </w:rPr>
        <w:t>15</w:t>
      </w:r>
      <w:r w:rsidRPr="009118AB">
        <w:t xml:space="preserve"> erwähnte Institute und Unternehmen dürfen je nach Fall pro Steuerpflichtigen nur ein einziges kollektives oder individuelles Sparkonto eröffnen beziehungsweise nur eine einzige Sparversicherung abschließen. </w:t>
      </w:r>
      <w:r w:rsidR="000659DC" w:rsidRPr="009118AB">
        <w:t>[</w:t>
      </w:r>
      <w:r w:rsidR="000659DC" w:rsidRPr="009118AB">
        <w:rPr>
          <w:rFonts w:eastAsia="Calibri"/>
        </w:rPr>
        <w:t>Sie dürfen keine Zahlungen, die den in Artikel 145</w:t>
      </w:r>
      <w:r w:rsidR="000659DC" w:rsidRPr="009118AB">
        <w:rPr>
          <w:rFonts w:eastAsia="Calibri"/>
          <w:vertAlign w:val="superscript"/>
        </w:rPr>
        <w:t>8</w:t>
      </w:r>
      <w:r w:rsidR="000659DC" w:rsidRPr="009118AB">
        <w:rPr>
          <w:rFonts w:eastAsia="Calibri"/>
        </w:rPr>
        <w:t xml:space="preserve"> </w:t>
      </w:r>
      <w:r w:rsidR="00D67EB8" w:rsidRPr="009118AB">
        <w:rPr>
          <w:rFonts w:eastAsia="Calibri"/>
        </w:rPr>
        <w:t>§ </w:t>
      </w:r>
      <w:r w:rsidR="000659DC" w:rsidRPr="009118AB">
        <w:rPr>
          <w:rFonts w:eastAsia="Calibri"/>
        </w:rPr>
        <w:t>1 Absatz 2 erwähnten Höchstbetrag übersteigen, annehmen, ausgenommen Beträge, die über diesen Höchstbetrag hinaus gezahlt werden, für die jedes Jahr ein ausdrückliches Einverständnis vorliegt und die auf maximal den in Artikel 145</w:t>
      </w:r>
      <w:r w:rsidR="000659DC" w:rsidRPr="009118AB">
        <w:rPr>
          <w:rFonts w:eastAsia="Calibri"/>
          <w:vertAlign w:val="superscript"/>
        </w:rPr>
        <w:t>8</w:t>
      </w:r>
      <w:r w:rsidR="000659DC" w:rsidRPr="009118AB">
        <w:rPr>
          <w:rFonts w:eastAsia="Calibri"/>
        </w:rPr>
        <w:t xml:space="preserve"> </w:t>
      </w:r>
      <w:r w:rsidR="00D67EB8" w:rsidRPr="009118AB">
        <w:rPr>
          <w:rFonts w:eastAsia="Calibri"/>
        </w:rPr>
        <w:t>§ </w:t>
      </w:r>
      <w:r w:rsidR="000659DC" w:rsidRPr="009118AB">
        <w:rPr>
          <w:rFonts w:eastAsia="Calibri"/>
        </w:rPr>
        <w:t>1 Absatz 3 erwähnten Betrag begrenzt sind. In Ermangelung eines ausdrücklichen Einverständnisses des Steuerpflichtigen wie in Artikel 145</w:t>
      </w:r>
      <w:r w:rsidR="000659DC" w:rsidRPr="009118AB">
        <w:rPr>
          <w:rFonts w:eastAsia="Calibri"/>
          <w:vertAlign w:val="superscript"/>
        </w:rPr>
        <w:t>8</w:t>
      </w:r>
      <w:r w:rsidR="000659DC" w:rsidRPr="009118AB">
        <w:rPr>
          <w:rFonts w:eastAsia="Calibri"/>
        </w:rPr>
        <w:t xml:space="preserve"> </w:t>
      </w:r>
      <w:r w:rsidR="00D67EB8" w:rsidRPr="009118AB">
        <w:rPr>
          <w:rFonts w:eastAsia="Calibri"/>
        </w:rPr>
        <w:t>§ </w:t>
      </w:r>
      <w:r w:rsidR="000659DC" w:rsidRPr="009118AB">
        <w:rPr>
          <w:rFonts w:eastAsia="Calibri"/>
        </w:rPr>
        <w:t>1 Absatz 3 erwähnt müssen Beträge, die den in Artikel 145</w:t>
      </w:r>
      <w:r w:rsidR="000659DC" w:rsidRPr="009118AB">
        <w:rPr>
          <w:rFonts w:eastAsia="Calibri"/>
          <w:vertAlign w:val="superscript"/>
        </w:rPr>
        <w:t>8</w:t>
      </w:r>
      <w:r w:rsidR="000659DC" w:rsidRPr="009118AB">
        <w:rPr>
          <w:rFonts w:eastAsia="Calibri"/>
        </w:rPr>
        <w:t xml:space="preserve"> </w:t>
      </w:r>
      <w:r w:rsidR="00D67EB8" w:rsidRPr="009118AB">
        <w:rPr>
          <w:rFonts w:eastAsia="Calibri"/>
        </w:rPr>
        <w:t>§ </w:t>
      </w:r>
      <w:r w:rsidR="000659DC" w:rsidRPr="009118AB">
        <w:rPr>
          <w:rFonts w:eastAsia="Calibri"/>
        </w:rPr>
        <w:t>1 Absatz 2 erwähnten Höchstbetrag übersteigen, dem Steuerpflichtigen kostenlos erstattet werden.</w:t>
      </w:r>
      <w:r w:rsidR="000659DC" w:rsidRPr="009118AB">
        <w:t>]</w:t>
      </w:r>
      <w:r w:rsidRPr="009118AB">
        <w:t xml:space="preserve"> Diese Institute und Unternehmen setzen den Minister der Finanzen oder seinen Beauftragten in Kenntnis:</w:t>
      </w:r>
    </w:p>
    <w:p w14:paraId="66913F15" w14:textId="77777777" w:rsidR="00477B8F" w:rsidRPr="009118AB" w:rsidRDefault="00477B8F" w:rsidP="00477B8F">
      <w:pPr>
        <w:autoSpaceDE w:val="0"/>
        <w:autoSpaceDN w:val="0"/>
        <w:adjustRightInd w:val="0"/>
        <w:jc w:val="both"/>
      </w:pPr>
    </w:p>
    <w:p w14:paraId="6D2E07C8" w14:textId="77777777" w:rsidR="00477B8F" w:rsidRPr="009118AB" w:rsidRDefault="00477B8F" w:rsidP="00477B8F">
      <w:pPr>
        <w:autoSpaceDE w:val="0"/>
        <w:autoSpaceDN w:val="0"/>
        <w:adjustRightInd w:val="0"/>
        <w:jc w:val="both"/>
      </w:pPr>
      <w:r w:rsidRPr="009118AB">
        <w:tab/>
        <w:t>1. von der Eröffnung eines Sparkontos oder vom Abschluss einer Sparversicherung,</w:t>
      </w:r>
    </w:p>
    <w:p w14:paraId="19ED66DD" w14:textId="77777777" w:rsidR="00477B8F" w:rsidRPr="009118AB" w:rsidRDefault="00477B8F" w:rsidP="00477B8F">
      <w:pPr>
        <w:autoSpaceDE w:val="0"/>
        <w:autoSpaceDN w:val="0"/>
        <w:adjustRightInd w:val="0"/>
        <w:jc w:val="both"/>
      </w:pPr>
    </w:p>
    <w:p w14:paraId="438FF2A5" w14:textId="77777777" w:rsidR="00477B8F" w:rsidRPr="009118AB" w:rsidRDefault="00477B8F" w:rsidP="00477B8F">
      <w:pPr>
        <w:autoSpaceDE w:val="0"/>
        <w:autoSpaceDN w:val="0"/>
        <w:adjustRightInd w:val="0"/>
        <w:jc w:val="both"/>
      </w:pPr>
      <w:r w:rsidRPr="009118AB">
        <w:tab/>
        <w:t>2. vom Jahresbetrag der Zahlungen jedes Inhabers.</w:t>
      </w:r>
    </w:p>
    <w:p w14:paraId="045C6CED" w14:textId="77777777" w:rsidR="00477B8F" w:rsidRPr="009118AB" w:rsidRDefault="00477B8F" w:rsidP="00477B8F">
      <w:pPr>
        <w:autoSpaceDE w:val="0"/>
        <w:autoSpaceDN w:val="0"/>
        <w:adjustRightInd w:val="0"/>
        <w:jc w:val="both"/>
      </w:pPr>
    </w:p>
    <w:p w14:paraId="68CB706D" w14:textId="77777777" w:rsidR="00477B8F" w:rsidRPr="009118AB" w:rsidRDefault="00477B8F" w:rsidP="00477B8F">
      <w:pPr>
        <w:autoSpaceDE w:val="0"/>
        <w:autoSpaceDN w:val="0"/>
        <w:adjustRightInd w:val="0"/>
        <w:jc w:val="both"/>
      </w:pPr>
      <w:r w:rsidRPr="009118AB">
        <w:tab/>
        <w:t>[Die in Absatz 1 erwähnte Inkenntnissetzung erfolgt in den vom König festgelegten Formen und Fristen.]</w:t>
      </w:r>
    </w:p>
    <w:p w14:paraId="5FA4E581" w14:textId="77777777" w:rsidR="00477B8F" w:rsidRPr="009118AB" w:rsidRDefault="00477B8F" w:rsidP="00477B8F">
      <w:pPr>
        <w:autoSpaceDE w:val="0"/>
        <w:autoSpaceDN w:val="0"/>
        <w:adjustRightInd w:val="0"/>
        <w:jc w:val="both"/>
      </w:pPr>
    </w:p>
    <w:p w14:paraId="540572E2" w14:textId="2AB63E42"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145</w:t>
      </w:r>
      <w:r w:rsidRPr="009118AB">
        <w:rPr>
          <w:i/>
          <w:iCs/>
          <w:vertAlign w:val="superscript"/>
        </w:rPr>
        <w:t>10</w:t>
      </w:r>
      <w:r w:rsidR="000659DC" w:rsidRPr="009118AB">
        <w:rPr>
          <w:i/>
          <w:iCs/>
        </w:rPr>
        <w:t xml:space="preserve"> </w:t>
      </w:r>
      <w:r w:rsidR="00D67EB8" w:rsidRPr="009118AB">
        <w:rPr>
          <w:i/>
          <w:iCs/>
        </w:rPr>
        <w:t>Abs. </w:t>
      </w:r>
      <w:r w:rsidR="000659DC" w:rsidRPr="009118AB">
        <w:rPr>
          <w:i/>
          <w:iCs/>
        </w:rPr>
        <w:t xml:space="preserve">1 einleitende Bestimmung abgeändert durch </w:t>
      </w:r>
      <w:r w:rsidR="00D67EB8" w:rsidRPr="009118AB">
        <w:rPr>
          <w:i/>
          <w:iCs/>
        </w:rPr>
        <w:t>Art. </w:t>
      </w:r>
      <w:r w:rsidR="000659DC" w:rsidRPr="009118AB">
        <w:rPr>
          <w:i/>
          <w:iCs/>
        </w:rPr>
        <w:t>61 des G. vom 26. März 2018 (B.S. vom 30. März 2018)</w:t>
      </w:r>
      <w:r w:rsidR="00D67EB8" w:rsidRPr="009118AB">
        <w:rPr>
          <w:i/>
          <w:iCs/>
        </w:rPr>
        <w:t> - </w:t>
      </w:r>
      <w:r w:rsidR="000659DC" w:rsidRPr="009118AB">
        <w:rPr>
          <w:i/>
          <w:iCs/>
        </w:rPr>
        <w:t>wirksam ab dem Steuerjahr 2019</w:t>
      </w:r>
      <w:r w:rsidR="003366D9" w:rsidRPr="009118AB">
        <w:rPr>
          <w:i/>
          <w:iCs/>
        </w:rPr>
        <w:t> -;</w:t>
      </w:r>
      <w:r w:rsidR="000659DC"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 xml:space="preserve">20 </w:t>
      </w:r>
      <w:r w:rsidR="00D67EB8" w:rsidRPr="009118AB">
        <w:rPr>
          <w:i/>
          <w:iCs/>
        </w:rPr>
        <w:t>Nr. </w:t>
      </w:r>
      <w:r w:rsidRPr="009118AB">
        <w:rPr>
          <w:i/>
          <w:iCs/>
        </w:rPr>
        <w:t>2 des G. vom 6. Juli 1994 (B.S. vom 16. Juli 1994)</w:t>
      </w:r>
      <w:r w:rsidR="00D67EB8" w:rsidRPr="009118AB">
        <w:rPr>
          <w:i/>
          <w:iCs/>
        </w:rPr>
        <w:t> - </w:t>
      </w:r>
      <w:r w:rsidRPr="009118AB">
        <w:rPr>
          <w:i/>
          <w:iCs/>
        </w:rPr>
        <w:t>anwendbar ab dem Steuerjahr 1995</w:t>
      </w:r>
      <w:r w:rsidR="00FD68E8" w:rsidRPr="009118AB">
        <w:rPr>
          <w:i/>
          <w:iCs/>
        </w:rPr>
        <w:t> -]</w:t>
      </w:r>
    </w:p>
    <w:p w14:paraId="70152CF4" w14:textId="77777777" w:rsidR="00270782" w:rsidRPr="009118AB" w:rsidRDefault="00270782" w:rsidP="00270782">
      <w:pPr>
        <w:autoSpaceDE w:val="0"/>
        <w:autoSpaceDN w:val="0"/>
        <w:adjustRightInd w:val="0"/>
        <w:jc w:val="both"/>
      </w:pPr>
    </w:p>
    <w:p w14:paraId="776A7935" w14:textId="77777777" w:rsidR="00F31287" w:rsidRPr="009118AB" w:rsidRDefault="00F31287" w:rsidP="00270782">
      <w:pPr>
        <w:autoSpaceDE w:val="0"/>
        <w:autoSpaceDN w:val="0"/>
        <w:adjustRightInd w:val="0"/>
        <w:jc w:val="both"/>
      </w:pPr>
    </w:p>
    <w:p w14:paraId="425443BE" w14:textId="507F9FDC" w:rsidR="003E74A8" w:rsidRPr="009118AB" w:rsidRDefault="00477B8F" w:rsidP="003E74A8">
      <w:pPr>
        <w:ind w:firstLine="708"/>
        <w:jc w:val="both"/>
      </w:pPr>
      <w:r w:rsidRPr="009118AB">
        <w:tab/>
      </w:r>
      <w:r w:rsidR="00D67EB8" w:rsidRPr="009118AB">
        <w:rPr>
          <w:b/>
          <w:bCs/>
        </w:rPr>
        <w:t>Art. </w:t>
      </w:r>
      <w:r w:rsidRPr="009118AB">
        <w:rPr>
          <w:b/>
          <w:bCs/>
        </w:rPr>
        <w:t>145</w:t>
      </w:r>
      <w:r w:rsidRPr="009118AB">
        <w:rPr>
          <w:b/>
          <w:bCs/>
          <w:vertAlign w:val="superscript"/>
        </w:rPr>
        <w:t>11</w:t>
      </w:r>
      <w:r w:rsidR="00D67EB8" w:rsidRPr="009118AB">
        <w:t> - </w:t>
      </w:r>
      <w:r w:rsidRPr="009118AB">
        <w:t>[</w:t>
      </w:r>
      <w:r w:rsidR="003E74A8" w:rsidRPr="009118AB">
        <w:t>Die Verwaltungsgesellschaft eines gemäß Artikel 145</w:t>
      </w:r>
      <w:r w:rsidR="003E74A8" w:rsidRPr="009118AB">
        <w:rPr>
          <w:vertAlign w:val="superscript"/>
        </w:rPr>
        <w:t>16</w:t>
      </w:r>
      <w:r w:rsidR="003E74A8" w:rsidRPr="009118AB">
        <w:t xml:space="preserve"> zugelassenen Pensionssparfonds ist dazu verpflichtet, die Aktiva dieses Fonds und die Einkünfte aus diesen Aktiva nach Abzug der Aufwendungen ausschließlich in Investitionen und in Grenzen, die in den nachstehenden Nummern 1 bis 7 erwähnt beziehungsweise festgelegt sind, anzulegen:</w:t>
      </w:r>
    </w:p>
    <w:p w14:paraId="35B7AFC8" w14:textId="77777777" w:rsidR="003E74A8" w:rsidRPr="009118AB" w:rsidRDefault="003E74A8" w:rsidP="003E74A8">
      <w:pPr>
        <w:jc w:val="both"/>
      </w:pPr>
    </w:p>
    <w:p w14:paraId="62DF6ABD" w14:textId="77777777" w:rsidR="003E74A8" w:rsidRPr="009118AB" w:rsidRDefault="003E74A8" w:rsidP="003E74A8">
      <w:pPr>
        <w:ind w:firstLine="708"/>
        <w:jc w:val="both"/>
      </w:pPr>
      <w:r w:rsidRPr="009118AB">
        <w:t>1. Höchstens 20 Prozent der betreffenden Aktiva, die nachstehend in den Nummern 2 bis 6 definiert sind, dürfen auf eine andere Währung als Euro lauten.</w:t>
      </w:r>
    </w:p>
    <w:p w14:paraId="300EC1C2" w14:textId="77777777" w:rsidR="003E74A8" w:rsidRPr="009118AB" w:rsidRDefault="003E74A8" w:rsidP="003E74A8">
      <w:pPr>
        <w:jc w:val="both"/>
      </w:pPr>
    </w:p>
    <w:p w14:paraId="412BF4EF" w14:textId="77777777" w:rsidR="003E74A8" w:rsidRPr="009118AB" w:rsidRDefault="003E74A8" w:rsidP="003E74A8">
      <w:pPr>
        <w:ind w:firstLine="708"/>
        <w:jc w:val="both"/>
      </w:pPr>
      <w:r w:rsidRPr="009118AB">
        <w:t xml:space="preserve">2. Höchstens 75 Prozent der betreffenden Aktiva dürfen in nachstehenden Grenzen und gemäß nachstehenden Modalitäten in Schuldverschreibungen und andere Schuldtitel, die am </w:t>
      </w:r>
      <w:r w:rsidRPr="009118AB">
        <w:lastRenderedPageBreak/>
        <w:t>Kapitalmarkt gehandelt werden können, in Hypothekendarlehen und in Geldeinlagen investiert werden:</w:t>
      </w:r>
    </w:p>
    <w:p w14:paraId="4E605D46" w14:textId="77777777" w:rsidR="003E74A8" w:rsidRPr="009118AB" w:rsidRDefault="003E74A8" w:rsidP="003E74A8">
      <w:pPr>
        <w:jc w:val="both"/>
      </w:pPr>
    </w:p>
    <w:p w14:paraId="61E72836" w14:textId="77777777" w:rsidR="003E74A8" w:rsidRPr="009118AB" w:rsidRDefault="003E74A8" w:rsidP="003E74A8">
      <w:pPr>
        <w:ind w:firstLine="708"/>
        <w:jc w:val="both"/>
      </w:pPr>
      <w:r w:rsidRPr="009118AB">
        <w:t>- Sie können investiert werden in Schuldverschreibungen und andere Schuldtitel, die auf Euro oder die Währung eines Mitgliedstaates des Europäischen Wirtschaftsraums lauten und die von einem Mitgliedstaat des Europäischen Wirtschaftsraums, von einer seiner politischen Untergliederungen, von anderen öffentlichen Einrichtungen eines Mitgliedstaates des Europäischen Wirtschaftsraums oder von einer supranationalen Organisation, der ein oder mehrere Mitgliedstaaten des Europäischen Wirtschaftsraums angehören, ausgegeben werden oder für die Hauptsumme und Zinsen von einem Mitgliedstaat des Europäischen Wirtschaftsraums, von einer seiner politischen Untergliederungen, von anderen öffentlichen Einrichtungen eines Mitgliedstaates des Europäischen Wirtschaftsraums oder von einer supranationalen Organisation, der ein oder mehrere Mitgliedstaaten des Europäischen Wirtschaftsraums angehören, uneingeschränkt garantiert sind, oder in Hypothekendarlehen, die auf Euro oder die Währung eines Mitgliedstaates des Europäischen Wirtschaftsraums lauten.</w:t>
      </w:r>
    </w:p>
    <w:p w14:paraId="7BFE7B07" w14:textId="77777777" w:rsidR="003E74A8" w:rsidRPr="009118AB" w:rsidRDefault="003E74A8" w:rsidP="003E74A8">
      <w:pPr>
        <w:jc w:val="both"/>
      </w:pPr>
    </w:p>
    <w:p w14:paraId="6CC2AC75" w14:textId="77777777" w:rsidR="003E74A8" w:rsidRPr="009118AB" w:rsidRDefault="003E74A8" w:rsidP="003E74A8">
      <w:pPr>
        <w:ind w:firstLine="708"/>
        <w:jc w:val="both"/>
      </w:pPr>
      <w:r w:rsidRPr="009118AB">
        <w:t>- Höchstens 40 Prozent der Gesamtheit dieser Schuldverschreibungen und anderer Schuldtitel, die am Kapitalmarkt gehandelt werden können, dieser Hypothekendarlehen und dieser Geldeinlagen dürfen aus Aktiva bestehen, die auf Euro oder die Währung eines Mitgliedstaates des Europäischen Wirtschaftsraums lauten und die von öffentlich-rechtlichen oder privatrechtlichen Gesellschaften eines Mitgliedstaates des Europäischen Wirtschaftsraums ausgegeben werden, oder aus Geldeinlagen, die mit einer Laufzeit von mehr als einem Jahr in Euro oder der Währung eines Mitgliedstaates des Europäischen Wirtschaftsraums bei einem von einer Aufsichtsbehörde dieses Mitgliedstaates zugelassenen und kontrollierten Kreditinstitut getätigt werden.</w:t>
      </w:r>
    </w:p>
    <w:p w14:paraId="035EFA85" w14:textId="77777777" w:rsidR="003E74A8" w:rsidRPr="009118AB" w:rsidRDefault="003E74A8" w:rsidP="003E74A8">
      <w:pPr>
        <w:jc w:val="both"/>
      </w:pPr>
    </w:p>
    <w:p w14:paraId="6DBD7716" w14:textId="77777777" w:rsidR="003E74A8" w:rsidRPr="009118AB" w:rsidRDefault="003E74A8" w:rsidP="003E74A8">
      <w:pPr>
        <w:ind w:firstLine="708"/>
        <w:jc w:val="both"/>
      </w:pPr>
      <w:r w:rsidRPr="009118AB">
        <w:t>- Höchstens 40 Prozent der Gesamtheit dieser Schuldverschreibungen und anderer Schuldtitel, die am Kapitalmarkt gehandelt werden können, dieser Hypothekendarlehen und dieser Geldeinlagen dürfen aus Aktiva bestehen, die auf die Währung eines Staates, der nicht Mitglied des Europäischen Wirtschaftsraums ist, lauten und die von einem Staat, der nicht Mitglied des Europäischen Wirtschaftsraums ist, von anderen öffentlichen Einrichtungen eines Staates, der nicht Mitglied des Europäischen Wirtschaftsraums ist, oder von einer supranationalen Organisation, der kein Mitgliedstaat des Europäischen Wirtschaftsraums angehört, ausgegeben werden oder für die Hauptsumme und Zinsen von einem Staat, der nicht Mitglied des Europäischen Wirtschaftsraums ist, von anderen öffentlichen Einrichtungen eines Staates, der nicht Mitglied des Europäischen Wirtschaftsraums ist, oder von einer supranationalen Organisation, der kein Mitgliedstaat des Europäischen Wirtschaftsraums angehört, uneingeschränkt garantiert sind, oder aus Aktiva mit einer Laufzeit von mehr als einem Jahr, die auf die Währung eines Staates, der nicht Mitglied des Europäischen Wirtschaftsraums ist, lauten und die von öffentlich-rechtlichen oder privatrechtlichen Gesellschaften desselben Staates ausgegeben werden, oder aus Geldeinlagen, die mit einer Laufzeit von mehr als einem Jahr in der Währung eines Staates, der nicht Mitglied des Europäischen Wirtschaftsraums ist, bei einem von einer Aufsichtsbehörde dieses Staates zugelassenen und kontrollierten Kreditinstitut getätigt werden.</w:t>
      </w:r>
    </w:p>
    <w:p w14:paraId="188E7EBB" w14:textId="77777777" w:rsidR="003E74A8" w:rsidRPr="009118AB" w:rsidRDefault="003E74A8" w:rsidP="003E74A8">
      <w:pPr>
        <w:jc w:val="both"/>
      </w:pPr>
    </w:p>
    <w:p w14:paraId="2DA0899A" w14:textId="77777777" w:rsidR="003E74A8" w:rsidRPr="009118AB" w:rsidRDefault="003E74A8" w:rsidP="003E74A8">
      <w:pPr>
        <w:ind w:firstLine="708"/>
        <w:jc w:val="both"/>
      </w:pPr>
      <w:r w:rsidRPr="009118AB">
        <w:t>3. Höchstens 75 Prozent der betreffenden Aktiva dürfen in nachstehenden Grenzen und gemäß nachstehenden Modalitäten direkt in Aktien und andere mit Aktien gleichsetzbare Wertpapiere investiert werden:</w:t>
      </w:r>
    </w:p>
    <w:p w14:paraId="02CB9F3B" w14:textId="77777777" w:rsidR="003E74A8" w:rsidRPr="009118AB" w:rsidRDefault="003E74A8" w:rsidP="003E74A8">
      <w:pPr>
        <w:jc w:val="both"/>
      </w:pPr>
    </w:p>
    <w:p w14:paraId="58A85C72" w14:textId="77777777" w:rsidR="003E74A8" w:rsidRPr="009118AB" w:rsidRDefault="003E74A8" w:rsidP="003E74A8">
      <w:pPr>
        <w:ind w:firstLine="708"/>
        <w:jc w:val="both"/>
      </w:pPr>
      <w:r w:rsidRPr="009118AB">
        <w:lastRenderedPageBreak/>
        <w:t>- Höchstens 70 Prozent der Gesamtheit dieser Aktien und Wertpapiere dürfen direkt aus Aktien und anderen mit Aktien gleichsetzbaren Wertpapieren von Gesellschaften des Rechts eines Mitgliedstaates des Europäischen Wirtschaftsraums bestehen, deren Börsenkapitalisierung über 3.000.000.000 EUR oder dem betreffenden Gegenwert in der Währung eines Mitgliedstaates des Europäischen Wirtschaftsraums liegt und die an einem geregelten Markt notiert sind.</w:t>
      </w:r>
    </w:p>
    <w:p w14:paraId="4DEF5C3B" w14:textId="77777777" w:rsidR="003E74A8" w:rsidRPr="009118AB" w:rsidRDefault="003E74A8" w:rsidP="003E74A8">
      <w:pPr>
        <w:jc w:val="both"/>
      </w:pPr>
    </w:p>
    <w:p w14:paraId="72B2139B" w14:textId="77777777" w:rsidR="003E74A8" w:rsidRPr="009118AB" w:rsidRDefault="003E74A8" w:rsidP="003E74A8">
      <w:pPr>
        <w:ind w:firstLine="708"/>
        <w:jc w:val="both"/>
      </w:pPr>
      <w:r w:rsidRPr="009118AB">
        <w:t>- Höchstens 30 Prozent der Gesamtheit dieser Aktien und Wertpapiere dürfen direkt aus Aktien und anderen mit Aktien gleichsetzbaren Wertpapieren von Gesellschaften des Rechts eines Mitgliedstaates des Europäischen Wirtschaftsraums bestehen, deren Börsenkapitalisierung unter 3.000.000.000 EUR oder dem betreffenden Gegenwert in der Währung eines Mitgliedstaates des Europäischen Wirtschaftsraums liegt und die an einem geregelten Markt notiert sind.</w:t>
      </w:r>
    </w:p>
    <w:p w14:paraId="34A708C9" w14:textId="77777777" w:rsidR="003E74A8" w:rsidRPr="009118AB" w:rsidRDefault="003E74A8" w:rsidP="003E74A8">
      <w:pPr>
        <w:jc w:val="both"/>
      </w:pPr>
    </w:p>
    <w:p w14:paraId="0708DB05" w14:textId="77777777" w:rsidR="003E74A8" w:rsidRPr="009118AB" w:rsidRDefault="003E74A8" w:rsidP="003E74A8">
      <w:pPr>
        <w:ind w:firstLine="708"/>
        <w:jc w:val="both"/>
      </w:pPr>
      <w:r w:rsidRPr="009118AB">
        <w:t>- Höchstens 20 Prozent der Gesamtheit dieser Aktien und Wertpapiere dürfen direkt aus nicht auf Euro oder eine Währung eines Mitgliedstaates des Europäischen Wirtschaftsraums lautenden Aktien und anderen mit Aktien gleichsetzbaren Wertpapieren von Gesellschaften des Rechts eines Staates bestehen, der nicht Mitglied des Europäischen Wirtschaftsraums ist, die an einem regelmäßig funktionierenden Markt notiert sind, der unter der Aufsicht von Behörden steht, die von den öffentlichen Behörden eines Mitgliedstaates der Organisation für Wirtschaftliche Zusammenarbeit und Entwicklung anerkannt sind.</w:t>
      </w:r>
    </w:p>
    <w:p w14:paraId="79C6F3AE" w14:textId="77777777" w:rsidR="003E74A8" w:rsidRPr="009118AB" w:rsidRDefault="003E74A8" w:rsidP="003E74A8">
      <w:pPr>
        <w:jc w:val="both"/>
      </w:pPr>
    </w:p>
    <w:p w14:paraId="607F4223" w14:textId="27374DA0" w:rsidR="003E74A8" w:rsidRPr="009118AB" w:rsidRDefault="003E74A8" w:rsidP="003E74A8">
      <w:pPr>
        <w:ind w:firstLine="708"/>
        <w:jc w:val="both"/>
      </w:pPr>
      <w:r w:rsidRPr="009118AB">
        <w:t xml:space="preserve">4. Höchstens 10 Prozent der Aktiva dürfen investiert werden (a) auf ein Konto in Euro oder in einer Währung eines Mitgliedstaates des Europäischen Wirtschaftsraums bei einem von einer Aufsichtsbehörde eines Mitgliedstaates des Europäischen Wirtschaftsraums zugelassenen und kontrollierten Kreditinstitut oder (b) in Anteile von Organismen für gemeinsame Anlagen erwähnt in Artikel 52 </w:t>
      </w:r>
      <w:r w:rsidR="00D67EB8" w:rsidRPr="009118AB">
        <w:t>§ </w:t>
      </w:r>
      <w:r w:rsidRPr="009118AB">
        <w:t xml:space="preserve">1 </w:t>
      </w:r>
      <w:r w:rsidR="00D67EB8" w:rsidRPr="009118AB">
        <w:t>Nr. </w:t>
      </w:r>
      <w:r w:rsidRPr="009118AB">
        <w:t xml:space="preserve">5 und 6 des Königlichen Erlasses vom 12. November 2012 über Organismen für gemeinsame Anlagen, die die Bedingungen der Richtlinie 2009/65/EG erfüllen, oder in Artikel 35 </w:t>
      </w:r>
      <w:r w:rsidR="00D67EB8" w:rsidRPr="009118AB">
        <w:t>§ </w:t>
      </w:r>
      <w:r w:rsidRPr="009118AB">
        <w:t xml:space="preserve">1 </w:t>
      </w:r>
      <w:r w:rsidR="00D67EB8" w:rsidRPr="009118AB">
        <w:t>Nr. </w:t>
      </w:r>
      <w:r w:rsidRPr="009118AB">
        <w:t>5 und 6 des Königlichen Erlasses vom 25. Februar 2017 über bestimmte öffentliche alternative Organismen für gemeinsame Anlagen und ihre Verwaltungsgesellschaften und zur Festlegung verschiedener Bestimmungen, die gemäß der Verordnung (EU) 2017/1131 des Europäischen Parlaments und des Rates vom 14. Juni 2017 über Geldmarktfonds hauptsächlich in Geldmarktinstrumente und flüssige Mittel investieren.</w:t>
      </w:r>
    </w:p>
    <w:p w14:paraId="0D191029" w14:textId="77777777" w:rsidR="003E74A8" w:rsidRPr="009118AB" w:rsidRDefault="003E74A8" w:rsidP="003E74A8">
      <w:pPr>
        <w:jc w:val="both"/>
      </w:pPr>
    </w:p>
    <w:p w14:paraId="158DA766" w14:textId="054FA913" w:rsidR="003E74A8" w:rsidRPr="009118AB" w:rsidRDefault="003E74A8" w:rsidP="003E74A8">
      <w:pPr>
        <w:ind w:firstLine="708"/>
        <w:jc w:val="both"/>
      </w:pPr>
      <w:r w:rsidRPr="009118AB">
        <w:t xml:space="preserve">5. Höchstens 10 Prozent der betreffenden Aktiva dürfen investiert werden in andere Wertpapiere und Geldmarktinstrumente wie in Artikel 52 </w:t>
      </w:r>
      <w:r w:rsidR="00D67EB8" w:rsidRPr="009118AB">
        <w:t>§ </w:t>
      </w:r>
      <w:r w:rsidRPr="009118AB">
        <w:t xml:space="preserve">2 des Königlichen Erlasses vom 12. November 2012 über Organismen für gemeinsame Anlagen, die die Bedingungen der Richtlinie 2009/65/EG erfüllen, oder in Artikel 35 </w:t>
      </w:r>
      <w:r w:rsidR="00D67EB8" w:rsidRPr="009118AB">
        <w:t>§ </w:t>
      </w:r>
      <w:r w:rsidRPr="009118AB">
        <w:t>2 des Königlichen Erlasses vom 25. Februar 2017 über bestimmte öffentliche alternative Organismen für gemeinsame Anlagen und ihre Verwaltungsgesellschaften und zur Festlegung verschiedener Bestimmungen erwähnt.</w:t>
      </w:r>
    </w:p>
    <w:p w14:paraId="765BB7DD" w14:textId="77777777" w:rsidR="003E74A8" w:rsidRPr="009118AB" w:rsidRDefault="003E74A8" w:rsidP="003E74A8">
      <w:pPr>
        <w:jc w:val="both"/>
      </w:pPr>
    </w:p>
    <w:p w14:paraId="37A981E3" w14:textId="0AC416D9" w:rsidR="003E74A8" w:rsidRPr="009118AB" w:rsidRDefault="003E74A8" w:rsidP="003E74A8">
      <w:pPr>
        <w:ind w:firstLine="708"/>
        <w:jc w:val="both"/>
      </w:pPr>
      <w:r w:rsidRPr="009118AB">
        <w:t xml:space="preserve">6. Höchstens 20 Prozent der betreffenden Aktiva dürfen investiert werden in Anteile von Organismen für gemeinsame Anlagen erwähnt in Artikel 52 </w:t>
      </w:r>
      <w:r w:rsidR="00D67EB8" w:rsidRPr="009118AB">
        <w:t>§ </w:t>
      </w:r>
      <w:r w:rsidRPr="009118AB">
        <w:t xml:space="preserve">1 </w:t>
      </w:r>
      <w:r w:rsidR="00D67EB8" w:rsidRPr="009118AB">
        <w:t>Nr. </w:t>
      </w:r>
      <w:r w:rsidRPr="009118AB">
        <w:t xml:space="preserve">5 und 6 des Königlichen Erlasses vom 12. November 2012 über Organismen für gemeinsame Anlagen, die die Bedingungen der Richtlinie 2009/65/EG erfüllen, oder in Artikel 35 </w:t>
      </w:r>
      <w:r w:rsidR="00D67EB8" w:rsidRPr="009118AB">
        <w:t>§ </w:t>
      </w:r>
      <w:r w:rsidRPr="009118AB">
        <w:t xml:space="preserve">1 </w:t>
      </w:r>
      <w:r w:rsidR="00D67EB8" w:rsidRPr="009118AB">
        <w:t>Nr. </w:t>
      </w:r>
      <w:r w:rsidRPr="009118AB">
        <w:t xml:space="preserve">5 und 6 des Königlichen Erlasses vom 25. Februar 2017 über bestimmte öffentliche alternative Organismen für gemeinsame Anlagen und ihre Verwaltungsgesellschaften und zur Festlegung verschiedener Bestimmungen, deren ausschließlicher Zweck gemeinsame Anlagen von Finanzmitteln, die bei der Öffentlichkeit beschafft wurden, in Aktiva erwähnt in </w:t>
      </w:r>
      <w:r w:rsidR="00D67EB8" w:rsidRPr="009118AB">
        <w:t>Nr. </w:t>
      </w:r>
      <w:r w:rsidRPr="009118AB">
        <w:t>2 und/oder 3 sind.</w:t>
      </w:r>
    </w:p>
    <w:p w14:paraId="7CE8AAD1" w14:textId="77777777" w:rsidR="003E74A8" w:rsidRPr="009118AB" w:rsidRDefault="003E74A8" w:rsidP="003E74A8">
      <w:pPr>
        <w:jc w:val="both"/>
      </w:pPr>
    </w:p>
    <w:p w14:paraId="32A25FD1" w14:textId="5B1D1A9B" w:rsidR="00477B8F" w:rsidRPr="009118AB" w:rsidRDefault="003E74A8" w:rsidP="003E74A8">
      <w:pPr>
        <w:autoSpaceDE w:val="0"/>
        <w:autoSpaceDN w:val="0"/>
        <w:adjustRightInd w:val="0"/>
        <w:ind w:firstLine="708"/>
        <w:jc w:val="both"/>
      </w:pPr>
      <w:r w:rsidRPr="009118AB">
        <w:lastRenderedPageBreak/>
        <w:t xml:space="preserve">7. Die betreffenden Aktiva, die weiter oben in den Nummern 2 bis 6 beschrieben sind und auf eine andere Währung als Euro lauten, dürfen für das Kursrisiko ganz oder teilweise durch derivative Finanzinstrumente abgesichert werden, sodass der abgesicherte Anteil für die Bestimmung des in </w:t>
      </w:r>
      <w:r w:rsidR="00D67EB8" w:rsidRPr="009118AB">
        <w:t>Nr. </w:t>
      </w:r>
      <w:r w:rsidRPr="009118AB">
        <w:t>1 erwähnten Höchstsatzes nicht berücksichtigt wird.</w:t>
      </w:r>
      <w:r w:rsidR="00477B8F" w:rsidRPr="009118AB">
        <w:t>]</w:t>
      </w:r>
    </w:p>
    <w:p w14:paraId="1A429C69" w14:textId="77777777" w:rsidR="00477B8F" w:rsidRPr="009118AB" w:rsidRDefault="00477B8F" w:rsidP="00270782">
      <w:pPr>
        <w:autoSpaceDE w:val="0"/>
        <w:autoSpaceDN w:val="0"/>
        <w:adjustRightInd w:val="0"/>
        <w:jc w:val="both"/>
      </w:pPr>
    </w:p>
    <w:p w14:paraId="08772690" w14:textId="49AC3A61" w:rsidR="00477B8F" w:rsidRPr="009118AB" w:rsidRDefault="00477B8F" w:rsidP="00270782">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11</w:t>
      </w:r>
      <w:r w:rsidRPr="009118AB">
        <w:rPr>
          <w:i/>
          <w:iCs/>
        </w:rPr>
        <w:t xml:space="preserve"> ersetzt durch </w:t>
      </w:r>
      <w:r w:rsidR="00D67EB8" w:rsidRPr="009118AB">
        <w:rPr>
          <w:i/>
          <w:iCs/>
        </w:rPr>
        <w:t>Art. </w:t>
      </w:r>
      <w:r w:rsidR="003E74A8" w:rsidRPr="009118AB">
        <w:rPr>
          <w:i/>
          <w:iCs/>
        </w:rPr>
        <w:t>223</w:t>
      </w:r>
      <w:r w:rsidR="003E74A8" w:rsidRPr="009118AB">
        <w:rPr>
          <w:i/>
        </w:rPr>
        <w:t xml:space="preserve"> des G. vom 2. Mai 2019 (II) (B.S. vom 17. Mai 2019)</w:t>
      </w:r>
      <w:r w:rsidRPr="009118AB">
        <w:rPr>
          <w:i/>
          <w:iCs/>
        </w:rPr>
        <w:t>]</w:t>
      </w:r>
    </w:p>
    <w:p w14:paraId="5E0F218D" w14:textId="77777777" w:rsidR="00270782" w:rsidRPr="009118AB" w:rsidRDefault="00270782" w:rsidP="00270782">
      <w:pPr>
        <w:autoSpaceDE w:val="0"/>
        <w:autoSpaceDN w:val="0"/>
        <w:adjustRightInd w:val="0"/>
        <w:jc w:val="both"/>
      </w:pPr>
    </w:p>
    <w:p w14:paraId="058703C1" w14:textId="77777777" w:rsidR="00270782" w:rsidRPr="009118AB" w:rsidRDefault="00270782" w:rsidP="00270782">
      <w:pPr>
        <w:autoSpaceDE w:val="0"/>
        <w:autoSpaceDN w:val="0"/>
        <w:adjustRightInd w:val="0"/>
        <w:jc w:val="both"/>
      </w:pPr>
    </w:p>
    <w:p w14:paraId="27A7BB50" w14:textId="56B65FA3" w:rsidR="00D84375" w:rsidRPr="009118AB" w:rsidRDefault="00477B8F" w:rsidP="00D84375">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12</w:t>
      </w:r>
      <w:r w:rsidR="00D67EB8" w:rsidRPr="009118AB">
        <w:t> - </w:t>
      </w:r>
      <w:r w:rsidR="00D84375" w:rsidRPr="009118AB">
        <w:t>Bei der Eröffnung eines individuellen Sparkontos ist der Steuerpflichtige dazu verpflichtet, [dem in Artikel 145</w:t>
      </w:r>
      <w:r w:rsidR="00D84375" w:rsidRPr="009118AB">
        <w:rPr>
          <w:vertAlign w:val="superscript"/>
        </w:rPr>
        <w:t>15</w:t>
      </w:r>
      <w:r w:rsidR="00D84375" w:rsidRPr="009118AB">
        <w:t xml:space="preserve"> Absatz 1 erwähnten Institut], bei dem das Konto eröffnet wird, die schriftliche Verpflichtung vorzulegen, auf seinem Konto gebuchte Summen und Rückzahlungen und Erträge aus dem Verkauf von Wertpapieren auf die Weise und in dem Verhältnis wie in Artikel 145</w:t>
      </w:r>
      <w:r w:rsidR="00D84375" w:rsidRPr="009118AB">
        <w:rPr>
          <w:vertAlign w:val="superscript"/>
        </w:rPr>
        <w:t>11</w:t>
      </w:r>
      <w:r w:rsidR="00D84375" w:rsidRPr="009118AB">
        <w:t xml:space="preserve"> vorgesehen anzulegen. Die Anlage muss innerhalb zweier Monate nach Zahlung oder Zurverfügungstellung der Summen erfolgen.</w:t>
      </w:r>
    </w:p>
    <w:p w14:paraId="68C9A861" w14:textId="77777777" w:rsidR="00D84375" w:rsidRPr="009118AB" w:rsidRDefault="00D84375" w:rsidP="00D84375">
      <w:pPr>
        <w:autoSpaceDE w:val="0"/>
        <w:autoSpaceDN w:val="0"/>
        <w:adjustRightInd w:val="0"/>
        <w:jc w:val="both"/>
      </w:pPr>
    </w:p>
    <w:p w14:paraId="1B4D738C" w14:textId="77777777" w:rsidR="00D84375" w:rsidRPr="009118AB" w:rsidRDefault="00D84375" w:rsidP="005C1316">
      <w:pPr>
        <w:autoSpaceDE w:val="0"/>
        <w:autoSpaceDN w:val="0"/>
        <w:adjustRightInd w:val="0"/>
        <w:ind w:firstLine="709"/>
        <w:jc w:val="both"/>
      </w:pPr>
      <w:r w:rsidRPr="009118AB">
        <w:t xml:space="preserve">Die Einhaltung dieser Verpflichtung muss spätestens am Tag der Zahlung aus der Vorlage eines schriftlichen Anlageauftrags für das Institut oder Unternehmen </w:t>
      </w:r>
      <w:r w:rsidRPr="009118AB">
        <w:rPr>
          <w:i/>
          <w:iCs/>
        </w:rPr>
        <w:t>[sic, zu lesen ist: das Institut]</w:t>
      </w:r>
      <w:r w:rsidRPr="009118AB">
        <w:t>, an das die Zahlung erfolgte, hervorgehen.</w:t>
      </w:r>
    </w:p>
    <w:p w14:paraId="05568154" w14:textId="77777777" w:rsidR="00D84375" w:rsidRPr="009118AB" w:rsidRDefault="00D84375" w:rsidP="005C1316">
      <w:pPr>
        <w:autoSpaceDE w:val="0"/>
        <w:autoSpaceDN w:val="0"/>
        <w:adjustRightInd w:val="0"/>
        <w:ind w:firstLine="709"/>
        <w:jc w:val="both"/>
      </w:pPr>
    </w:p>
    <w:p w14:paraId="62AC2138" w14:textId="77777777" w:rsidR="00D84375" w:rsidRPr="009118AB" w:rsidRDefault="00D84375" w:rsidP="005C1316">
      <w:pPr>
        <w:autoSpaceDE w:val="0"/>
        <w:autoSpaceDN w:val="0"/>
        <w:adjustRightInd w:val="0"/>
        <w:ind w:firstLine="709"/>
        <w:jc w:val="both"/>
      </w:pPr>
      <w:r w:rsidRPr="009118AB">
        <w:t>Der Inhaber eines individuellen Sparkontos darf [das in Artikel 145</w:t>
      </w:r>
      <w:r w:rsidRPr="009118AB">
        <w:rPr>
          <w:vertAlign w:val="superscript"/>
        </w:rPr>
        <w:t>15</w:t>
      </w:r>
      <w:r w:rsidRPr="009118AB">
        <w:t xml:space="preserve"> Absatz 1 erwähnte Institut], bei dem das Konto eröffnet wurde, jedoch bevollmächtigen, auf seinem Konto gebuchte Summen auf die Weise und in dem Verhältnis wie in Artikel 145</w:t>
      </w:r>
      <w:r w:rsidRPr="009118AB">
        <w:rPr>
          <w:vertAlign w:val="superscript"/>
        </w:rPr>
        <w:t>11</w:t>
      </w:r>
      <w:r w:rsidRPr="009118AB">
        <w:t xml:space="preserve"> vorgesehen anzulegen.</w:t>
      </w:r>
    </w:p>
    <w:p w14:paraId="008359E8" w14:textId="77777777" w:rsidR="00D84375" w:rsidRPr="009118AB" w:rsidRDefault="00D84375" w:rsidP="005C1316">
      <w:pPr>
        <w:autoSpaceDE w:val="0"/>
        <w:autoSpaceDN w:val="0"/>
        <w:adjustRightInd w:val="0"/>
        <w:ind w:firstLine="709"/>
        <w:jc w:val="both"/>
      </w:pPr>
    </w:p>
    <w:p w14:paraId="4A1CD6B9" w14:textId="77777777" w:rsidR="00D84375" w:rsidRPr="009118AB" w:rsidRDefault="00D84375" w:rsidP="005C1316">
      <w:pPr>
        <w:autoSpaceDE w:val="0"/>
        <w:autoSpaceDN w:val="0"/>
        <w:adjustRightInd w:val="0"/>
        <w:ind w:firstLine="709"/>
        <w:jc w:val="both"/>
      </w:pPr>
      <w:r w:rsidRPr="009118AB">
        <w:t>Wird kein schriftlicher Anlageauftrag vorgelegt oder stimmt die im Auftrag erwähnte Anlage nicht mit den Bestimmungen von Artikel 145</w:t>
      </w:r>
      <w:r w:rsidRPr="009118AB">
        <w:rPr>
          <w:vertAlign w:val="superscript"/>
        </w:rPr>
        <w:t>11</w:t>
      </w:r>
      <w:r w:rsidRPr="009118AB">
        <w:t xml:space="preserve"> überein oder wurde die in vorhergehendem Absatz erwähnte Vollmacht nicht erteilt, darf die gezahlte Summe nicht auf dem individuellen Sparkonto gebucht werden.</w:t>
      </w:r>
    </w:p>
    <w:p w14:paraId="4F664EF3" w14:textId="77777777" w:rsidR="00D84375" w:rsidRPr="009118AB" w:rsidRDefault="00D84375" w:rsidP="005C1316">
      <w:pPr>
        <w:autoSpaceDE w:val="0"/>
        <w:autoSpaceDN w:val="0"/>
        <w:adjustRightInd w:val="0"/>
        <w:ind w:firstLine="709"/>
        <w:jc w:val="both"/>
      </w:pPr>
    </w:p>
    <w:p w14:paraId="22EF9A1E" w14:textId="77777777" w:rsidR="00D84375" w:rsidRPr="009118AB" w:rsidRDefault="00D84375" w:rsidP="005C1316">
      <w:pPr>
        <w:autoSpaceDE w:val="0"/>
        <w:autoSpaceDN w:val="0"/>
        <w:adjustRightInd w:val="0"/>
        <w:ind w:firstLine="709"/>
        <w:jc w:val="both"/>
      </w:pPr>
      <w:r w:rsidRPr="009118AB">
        <w:t>Einkünfte aus dem individuellen Sparkonto werden nach Abzug der Aufwendungen vollständig gemäß den Bestimmungen von [Artikel 145</w:t>
      </w:r>
      <w:r w:rsidRPr="009118AB">
        <w:rPr>
          <w:vertAlign w:val="superscript"/>
        </w:rPr>
        <w:t>11</w:t>
      </w:r>
      <w:r w:rsidRPr="009118AB">
        <w:t>] investiert.</w:t>
      </w:r>
    </w:p>
    <w:p w14:paraId="5CF84292" w14:textId="77777777" w:rsidR="00D84375" w:rsidRPr="009118AB" w:rsidRDefault="00D84375" w:rsidP="005C1316">
      <w:pPr>
        <w:autoSpaceDE w:val="0"/>
        <w:autoSpaceDN w:val="0"/>
        <w:adjustRightInd w:val="0"/>
        <w:ind w:firstLine="709"/>
        <w:jc w:val="both"/>
      </w:pPr>
    </w:p>
    <w:p w14:paraId="3B1EB46E" w14:textId="77777777" w:rsidR="00D84375" w:rsidRPr="009118AB" w:rsidRDefault="00D84375" w:rsidP="005C1316">
      <w:pPr>
        <w:autoSpaceDE w:val="0"/>
        <w:autoSpaceDN w:val="0"/>
        <w:adjustRightInd w:val="0"/>
        <w:ind w:firstLine="709"/>
        <w:jc w:val="both"/>
      </w:pPr>
      <w:r w:rsidRPr="009118AB">
        <w:t xml:space="preserve">Der König legt die Weise fest, wie die Anwendung des vorliegenden Artikels überprüft wird. </w:t>
      </w:r>
    </w:p>
    <w:p w14:paraId="23FCAE30" w14:textId="77777777" w:rsidR="00D84375" w:rsidRPr="009118AB" w:rsidRDefault="00D84375" w:rsidP="00D84375">
      <w:pPr>
        <w:autoSpaceDE w:val="0"/>
        <w:autoSpaceDN w:val="0"/>
        <w:adjustRightInd w:val="0"/>
        <w:jc w:val="both"/>
      </w:pPr>
    </w:p>
    <w:p w14:paraId="2FB33331" w14:textId="289BC323" w:rsidR="00D84375" w:rsidRPr="009118AB" w:rsidRDefault="00D84375" w:rsidP="00D84375">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12</w:t>
      </w:r>
      <w:r w:rsidRPr="009118AB">
        <w:rPr>
          <w:i/>
          <w:iCs/>
        </w:rPr>
        <w:t xml:space="preserve"> </w:t>
      </w:r>
      <w:r w:rsidR="00D67EB8" w:rsidRPr="009118AB">
        <w:rPr>
          <w:i/>
          <w:iCs/>
        </w:rPr>
        <w:t>Abs. </w:t>
      </w:r>
      <w:r w:rsidR="00C66C28" w:rsidRPr="009118AB">
        <w:rPr>
          <w:i/>
          <w:iCs/>
        </w:rPr>
        <w:t xml:space="preserve">1 abgeändert durch </w:t>
      </w:r>
      <w:r w:rsidR="00D67EB8" w:rsidRPr="009118AB">
        <w:rPr>
          <w:i/>
          <w:iCs/>
        </w:rPr>
        <w:t>Art. </w:t>
      </w:r>
      <w:r w:rsidR="00C66C28" w:rsidRPr="009118AB">
        <w:rPr>
          <w:i/>
          <w:iCs/>
        </w:rPr>
        <w:t>7 des G. vom 18. Dezember 2015 (I</w:t>
      </w:r>
      <w:r w:rsidR="000F65D9" w:rsidRPr="009118AB">
        <w:rPr>
          <w:i/>
          <w:iCs/>
        </w:rPr>
        <w:t>I</w:t>
      </w:r>
      <w:r w:rsidR="00C66C28" w:rsidRPr="009118AB">
        <w:rPr>
          <w:i/>
          <w:iCs/>
        </w:rPr>
        <w:t>) (B.S. vom 28. Dezember 2015)</w:t>
      </w:r>
      <w:r w:rsidR="00D67EB8" w:rsidRPr="009118AB">
        <w:rPr>
          <w:i/>
          <w:iCs/>
        </w:rPr>
        <w:t> - </w:t>
      </w:r>
      <w:r w:rsidR="005C1316" w:rsidRPr="009118AB">
        <w:rPr>
          <w:i/>
          <w:iCs/>
        </w:rPr>
        <w:t>in Kraft ab dem Steuerjahr 2017</w:t>
      </w:r>
      <w:r w:rsidR="003366D9" w:rsidRPr="009118AB">
        <w:rPr>
          <w:i/>
          <w:iCs/>
        </w:rPr>
        <w:t> -;</w:t>
      </w:r>
      <w:r w:rsidR="00C66C28" w:rsidRPr="009118AB">
        <w:rPr>
          <w:i/>
          <w:iCs/>
        </w:rPr>
        <w:t xml:space="preserve"> </w:t>
      </w:r>
      <w:r w:rsidR="00D67EB8" w:rsidRPr="009118AB">
        <w:rPr>
          <w:i/>
          <w:iCs/>
        </w:rPr>
        <w:t>Abs. </w:t>
      </w:r>
      <w:r w:rsidR="00C66C28" w:rsidRPr="009118AB">
        <w:rPr>
          <w:i/>
          <w:iCs/>
        </w:rPr>
        <w:t xml:space="preserve">3 abgeändert durch </w:t>
      </w:r>
      <w:r w:rsidR="00D67EB8" w:rsidRPr="009118AB">
        <w:rPr>
          <w:i/>
          <w:iCs/>
        </w:rPr>
        <w:t>Art. </w:t>
      </w:r>
      <w:r w:rsidR="00C66C28" w:rsidRPr="009118AB">
        <w:rPr>
          <w:i/>
          <w:iCs/>
        </w:rPr>
        <w:t>7 des G. vom 18. Dezember 2015 (</w:t>
      </w:r>
      <w:r w:rsidR="000F65D9" w:rsidRPr="009118AB">
        <w:rPr>
          <w:i/>
          <w:iCs/>
        </w:rPr>
        <w:t>I</w:t>
      </w:r>
      <w:r w:rsidR="00C66C28" w:rsidRPr="009118AB">
        <w:rPr>
          <w:i/>
          <w:iCs/>
        </w:rPr>
        <w:t>I) (B.S. vom 28. Dezember 2015)</w:t>
      </w:r>
      <w:r w:rsidR="00D67EB8" w:rsidRPr="009118AB">
        <w:rPr>
          <w:i/>
          <w:iCs/>
        </w:rPr>
        <w:t> - </w:t>
      </w:r>
      <w:r w:rsidR="005C1316" w:rsidRPr="009118AB">
        <w:rPr>
          <w:i/>
          <w:iCs/>
        </w:rPr>
        <w:t>in Kraft ab dem Steuerjahr 2017</w:t>
      </w:r>
      <w:r w:rsidR="003366D9" w:rsidRPr="009118AB">
        <w:rPr>
          <w:i/>
          <w:iCs/>
        </w:rPr>
        <w:t> -;</w:t>
      </w:r>
      <w:r w:rsidR="00C66C28" w:rsidRPr="009118AB">
        <w:rPr>
          <w:i/>
          <w:iCs/>
        </w:rPr>
        <w:t xml:space="preserve"> </w:t>
      </w:r>
      <w:r w:rsidR="00D67EB8" w:rsidRPr="009118AB">
        <w:rPr>
          <w:i/>
          <w:iCs/>
        </w:rPr>
        <w:t>Abs. </w:t>
      </w:r>
      <w:r w:rsidRPr="009118AB">
        <w:rPr>
          <w:i/>
          <w:iCs/>
        </w:rPr>
        <w:t xml:space="preserve">5 abgeändert durch </w:t>
      </w:r>
      <w:r w:rsidR="00D67EB8" w:rsidRPr="009118AB">
        <w:rPr>
          <w:i/>
          <w:iCs/>
        </w:rPr>
        <w:t>Art. </w:t>
      </w:r>
      <w:r w:rsidRPr="009118AB">
        <w:rPr>
          <w:i/>
          <w:iCs/>
        </w:rPr>
        <w:t>3 des G. vom 17. Mai 2004 (II) (B.S. vom 10. Juni 2004)</w:t>
      </w:r>
      <w:r w:rsidR="00D67EB8" w:rsidRPr="009118AB">
        <w:rPr>
          <w:i/>
          <w:iCs/>
        </w:rPr>
        <w:t> - </w:t>
      </w:r>
      <w:r w:rsidRPr="009118AB">
        <w:rPr>
          <w:i/>
          <w:iCs/>
        </w:rPr>
        <w:t>in Kraft ab dem 1. April 2004</w:t>
      </w:r>
      <w:r w:rsidR="00FD68E8" w:rsidRPr="009118AB">
        <w:rPr>
          <w:i/>
          <w:iCs/>
        </w:rPr>
        <w:t> -]</w:t>
      </w:r>
    </w:p>
    <w:p w14:paraId="08BFAAC8" w14:textId="77777777" w:rsidR="00D84375" w:rsidRPr="009118AB" w:rsidRDefault="00D84375" w:rsidP="00D84375">
      <w:pPr>
        <w:autoSpaceDE w:val="0"/>
        <w:autoSpaceDN w:val="0"/>
        <w:adjustRightInd w:val="0"/>
        <w:jc w:val="both"/>
      </w:pPr>
    </w:p>
    <w:p w14:paraId="3C07752D" w14:textId="77777777" w:rsidR="00477B8F" w:rsidRPr="009118AB" w:rsidRDefault="00477B8F" w:rsidP="00270782">
      <w:pPr>
        <w:autoSpaceDE w:val="0"/>
        <w:autoSpaceDN w:val="0"/>
        <w:adjustRightInd w:val="0"/>
        <w:jc w:val="both"/>
      </w:pPr>
    </w:p>
    <w:p w14:paraId="052713DF" w14:textId="063F54A9" w:rsidR="00477B8F" w:rsidRPr="009118AB" w:rsidRDefault="00477B8F" w:rsidP="00270782">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13</w:t>
      </w:r>
      <w:r w:rsidR="00D67EB8" w:rsidRPr="009118AB">
        <w:t> - </w:t>
      </w:r>
      <w:r w:rsidRPr="009118AB">
        <w:t>Deckungswerte der technischen Rückstellungen in Bezug auf die Tätigkeiten des Pensionssparens werden gemäß den Bestimmungen von Artikel 145</w:t>
      </w:r>
      <w:r w:rsidRPr="009118AB">
        <w:rPr>
          <w:vertAlign w:val="superscript"/>
        </w:rPr>
        <w:t>11</w:t>
      </w:r>
      <w:r w:rsidRPr="009118AB">
        <w:t xml:space="preserve"> investiert.</w:t>
      </w:r>
    </w:p>
    <w:p w14:paraId="4732014B" w14:textId="77777777" w:rsidR="00477B8F" w:rsidRPr="009118AB" w:rsidRDefault="00477B8F" w:rsidP="00270782">
      <w:pPr>
        <w:autoSpaceDE w:val="0"/>
        <w:autoSpaceDN w:val="0"/>
        <w:adjustRightInd w:val="0"/>
        <w:jc w:val="both"/>
      </w:pPr>
    </w:p>
    <w:p w14:paraId="64686553" w14:textId="77777777" w:rsidR="00477B8F" w:rsidRPr="009118AB" w:rsidRDefault="00477B8F" w:rsidP="00270782">
      <w:pPr>
        <w:autoSpaceDE w:val="0"/>
        <w:autoSpaceDN w:val="0"/>
        <w:adjustRightInd w:val="0"/>
        <w:jc w:val="both"/>
      </w:pPr>
    </w:p>
    <w:p w14:paraId="1403FB25" w14:textId="71A7FE4B" w:rsidR="00477B8F" w:rsidRPr="009118AB" w:rsidRDefault="00477B8F" w:rsidP="00270782">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14</w:t>
      </w:r>
      <w:r w:rsidR="00D67EB8" w:rsidRPr="009118AB">
        <w:t> - </w:t>
      </w:r>
      <w:r w:rsidRPr="009118AB">
        <w:t>Die Ermäßigung für Pensionssparen kann nicht zusammen mit der Ermäßigung in Bezug auf die in Artikel 145</w:t>
      </w:r>
      <w:r w:rsidRPr="009118AB">
        <w:rPr>
          <w:vertAlign w:val="superscript"/>
        </w:rPr>
        <w:t>1</w:t>
      </w:r>
      <w:r w:rsidRPr="009118AB">
        <w:t xml:space="preserve"> </w:t>
      </w:r>
      <w:r w:rsidR="00D67EB8" w:rsidRPr="009118AB">
        <w:t>Nr. </w:t>
      </w:r>
      <w:r w:rsidRPr="009118AB">
        <w:t>4 vorgesehene Einzahlung von Aktien oder Anteilen der Arbeitgebergesellschaft angewandt werden.</w:t>
      </w:r>
    </w:p>
    <w:p w14:paraId="77C673AF" w14:textId="77777777" w:rsidR="00477B8F" w:rsidRPr="009118AB" w:rsidRDefault="00477B8F" w:rsidP="00270782">
      <w:pPr>
        <w:autoSpaceDE w:val="0"/>
        <w:autoSpaceDN w:val="0"/>
        <w:adjustRightInd w:val="0"/>
        <w:jc w:val="both"/>
      </w:pPr>
    </w:p>
    <w:p w14:paraId="1350F817" w14:textId="77777777" w:rsidR="00477B8F" w:rsidRPr="009118AB" w:rsidRDefault="00477B8F" w:rsidP="00270782">
      <w:pPr>
        <w:autoSpaceDE w:val="0"/>
        <w:autoSpaceDN w:val="0"/>
        <w:adjustRightInd w:val="0"/>
        <w:jc w:val="both"/>
      </w:pPr>
    </w:p>
    <w:p w14:paraId="244A330B" w14:textId="4F7B1A90" w:rsidR="0058324B" w:rsidRPr="009118AB" w:rsidRDefault="00477B8F" w:rsidP="0058324B">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15</w:t>
      </w:r>
      <w:r w:rsidR="00D67EB8" w:rsidRPr="009118AB">
        <w:t> - </w:t>
      </w:r>
      <w:r w:rsidR="0058324B" w:rsidRPr="009118AB">
        <w:t xml:space="preserve">Nur [[in Artikel 56 </w:t>
      </w:r>
      <w:r w:rsidR="00D67EB8" w:rsidRPr="009118AB">
        <w:t>§ </w:t>
      </w:r>
      <w:r w:rsidR="0058324B" w:rsidRPr="009118AB">
        <w:t xml:space="preserve">2 </w:t>
      </w:r>
      <w:r w:rsidR="00D67EB8" w:rsidRPr="009118AB">
        <w:t>Nr. </w:t>
      </w:r>
      <w:r w:rsidR="0058324B" w:rsidRPr="009118AB">
        <w:t>2 Buchstabe </w:t>
      </w:r>
      <w:r w:rsidR="0058324B" w:rsidRPr="009118AB">
        <w:rPr>
          <w:i/>
        </w:rPr>
        <w:t>a)</w:t>
      </w:r>
      <w:r w:rsidR="0058324B" w:rsidRPr="009118AB">
        <w:t>] erwähnte Institute] dürfen kollektive oder individuelle Sparkonten eröffnen. Der König kann durch einen im Ministerrat beratenen Erlass unter den von Ihm festgelegten Bedingungen Börsengesellschaften belgischen Rechts dasselbe Recht erteilen.</w:t>
      </w:r>
    </w:p>
    <w:p w14:paraId="4D94F8AC" w14:textId="77777777" w:rsidR="0058324B" w:rsidRPr="009118AB" w:rsidRDefault="0058324B" w:rsidP="0058324B">
      <w:pPr>
        <w:autoSpaceDE w:val="0"/>
        <w:autoSpaceDN w:val="0"/>
        <w:adjustRightInd w:val="0"/>
        <w:jc w:val="both"/>
      </w:pPr>
    </w:p>
    <w:p w14:paraId="6714C9DB" w14:textId="1F9FC0C0" w:rsidR="0058324B" w:rsidRPr="009118AB" w:rsidRDefault="005C1316" w:rsidP="0058324B">
      <w:pPr>
        <w:autoSpaceDE w:val="0"/>
        <w:autoSpaceDN w:val="0"/>
        <w:adjustRightInd w:val="0"/>
        <w:jc w:val="both"/>
      </w:pPr>
      <w:r w:rsidRPr="009118AB">
        <w:tab/>
      </w:r>
      <w:r w:rsidR="0058324B" w:rsidRPr="009118AB">
        <w:t xml:space="preserve">Nur </w:t>
      </w:r>
      <w:r w:rsidR="00A87ACE" w:rsidRPr="009118AB">
        <w:t xml:space="preserve">[in Artikel 56 </w:t>
      </w:r>
      <w:r w:rsidR="00D67EB8" w:rsidRPr="009118AB">
        <w:t>§ </w:t>
      </w:r>
      <w:r w:rsidR="00A87ACE" w:rsidRPr="009118AB">
        <w:t xml:space="preserve">2 </w:t>
      </w:r>
      <w:r w:rsidR="00D67EB8" w:rsidRPr="009118AB">
        <w:t>Nr. </w:t>
      </w:r>
      <w:r w:rsidR="00A87ACE" w:rsidRPr="009118AB">
        <w:t>2 Buchstabe </w:t>
      </w:r>
      <w:r w:rsidR="00A87ACE" w:rsidRPr="009118AB">
        <w:rPr>
          <w:i/>
        </w:rPr>
        <w:t>h)</w:t>
      </w:r>
      <w:r w:rsidR="00A87ACE" w:rsidRPr="009118AB">
        <w:t xml:space="preserve"> erwähnte Versicherungsunternehmen, die Lebensversicherungsgeschäfte ausführen gemäß </w:t>
      </w:r>
      <w:r w:rsidR="00F25FAF" w:rsidRPr="009118AB">
        <w:t>[dem Gesetz vom 13. März 2016 über den Status und die Kontrolle der Versicherungs- oder Rückversicherungsunternehmen]</w:t>
      </w:r>
      <w:r w:rsidR="00A87ACE" w:rsidRPr="009118AB">
        <w:t xml:space="preserve"> oder gemäß entsprechenden nationalen Bestimmungen des anderen Mitgliedstaates des Europäischen Wirtschaftsraums, in dem sie ansässig sind, die die europäischen Richtlinien im Bereich Zulassung von Versicherungs</w:t>
      </w:r>
      <w:r w:rsidR="00A87ACE" w:rsidRPr="009118AB">
        <w:softHyphen/>
        <w:t>unternehmen umsetzen oder darauf verweisen]</w:t>
      </w:r>
      <w:r w:rsidR="0058324B" w:rsidRPr="009118AB">
        <w:t>, dürfen Sparversicherungsverträge abschließen.</w:t>
      </w:r>
    </w:p>
    <w:p w14:paraId="2390BB90" w14:textId="77777777" w:rsidR="0058324B" w:rsidRPr="009118AB" w:rsidRDefault="0058324B" w:rsidP="0058324B">
      <w:pPr>
        <w:autoSpaceDE w:val="0"/>
        <w:autoSpaceDN w:val="0"/>
        <w:adjustRightInd w:val="0"/>
        <w:jc w:val="both"/>
      </w:pPr>
    </w:p>
    <w:p w14:paraId="02785776" w14:textId="2C8AEBD0" w:rsidR="0058324B" w:rsidRPr="009118AB" w:rsidRDefault="0058324B" w:rsidP="0058324B">
      <w:pPr>
        <w:autoSpaceDE w:val="0"/>
        <w:autoSpaceDN w:val="0"/>
        <w:adjustRightInd w:val="0"/>
        <w:jc w:val="both"/>
        <w:rPr>
          <w:i/>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145</w:t>
      </w:r>
      <w:r w:rsidRPr="009118AB">
        <w:rPr>
          <w:rFonts w:ascii="Times New Roman Italique" w:hAnsi="Times New Roman Italique"/>
          <w:i/>
          <w:iCs/>
          <w:spacing w:val="-2"/>
          <w:vertAlign w:val="superscript"/>
        </w:rPr>
        <w:t>15</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134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22. März 1993 (B.S. vom 19. April 1993)</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April 1994</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selbst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92 des G. vom 22. Juli 1993 (B.S. vom 26. Juli 1993)</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April 1994</w:t>
      </w:r>
      <w:r w:rsidR="00FD68E8" w:rsidRPr="009118AB">
        <w:rPr>
          <w:rFonts w:ascii="Times New Roman Italique" w:hAnsi="Times New Roman Italique"/>
          <w:i/>
          <w:iCs/>
          <w:spacing w:val="-2"/>
        </w:rPr>
        <w:t> -,</w:t>
      </w:r>
      <w:r w:rsidR="000905CE" w:rsidRPr="009118AB">
        <w:rPr>
          <w:rFonts w:ascii="Times New Roman Italique" w:hAnsi="Times New Roman Italique"/>
          <w:i/>
          <w:iCs/>
          <w:spacing w:val="-2"/>
        </w:rPr>
        <w:t xml:space="preserve"> und</w:t>
      </w:r>
      <w:r w:rsidRPr="009118AB">
        <w:rPr>
          <w:rFonts w:ascii="Times New Roman Italique" w:hAnsi="Times New Roman Italique"/>
          <w:i/>
          <w:iCs/>
          <w:spacing w:val="-2"/>
        </w:rPr>
        <w:t xml:space="preserve">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16 des G. vom 22. Dezember 1998 (B.S. vom 15. Januar 1999)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1998</w:t>
      </w:r>
      <w:r w:rsidR="00D67EB8" w:rsidRPr="009118AB">
        <w:rPr>
          <w:rFonts w:ascii="Times New Roman Italique" w:hAnsi="Times New Roman Italique"/>
          <w:i/>
          <w:iCs/>
          <w:spacing w:val="-2"/>
        </w:rPr>
        <w:t> - </w:t>
      </w:r>
      <w:r w:rsidR="00A87ACE" w:rsidRPr="009118AB">
        <w:rPr>
          <w:rFonts w:ascii="Times New Roman Italique" w:hAnsi="Times New Roman Italique"/>
          <w:i/>
          <w:iCs/>
          <w:spacing w:val="-2"/>
        </w:rPr>
        <w:t>und</w:t>
      </w:r>
      <w:r w:rsidR="00A87ACE" w:rsidRPr="009118AB">
        <w:rPr>
          <w:i/>
          <w:iCs/>
        </w:rPr>
        <w:t xml:space="preserve"> </w:t>
      </w:r>
      <w:r w:rsidR="00D67EB8" w:rsidRPr="009118AB">
        <w:rPr>
          <w:i/>
          <w:iCs/>
        </w:rPr>
        <w:t>Art. </w:t>
      </w:r>
      <w:r w:rsidR="00A87ACE" w:rsidRPr="009118AB">
        <w:rPr>
          <w:i/>
          <w:iCs/>
        </w:rPr>
        <w:t xml:space="preserve">8 </w:t>
      </w:r>
      <w:r w:rsidR="00D67EB8" w:rsidRPr="009118AB">
        <w:rPr>
          <w:i/>
          <w:iCs/>
        </w:rPr>
        <w:t>Nr. </w:t>
      </w:r>
      <w:r w:rsidR="00A87ACE" w:rsidRPr="009118AB">
        <w:rPr>
          <w:i/>
          <w:iCs/>
        </w:rPr>
        <w:t>1 des G. vom 18. Dezember 2015 (II) (B.S. vom 28. Dezember 2015)</w:t>
      </w:r>
      <w:r w:rsidR="00D67EB8" w:rsidRPr="009118AB">
        <w:rPr>
          <w:i/>
          <w:iCs/>
        </w:rPr>
        <w:t> - </w:t>
      </w:r>
      <w:r w:rsidR="005C1316" w:rsidRPr="009118AB">
        <w:rPr>
          <w:i/>
          <w:iCs/>
        </w:rPr>
        <w:t>in Kraft ab dem Steuerjahr 2017</w:t>
      </w:r>
      <w:r w:rsidR="003366D9" w:rsidRPr="009118AB">
        <w:rPr>
          <w:i/>
          <w:iCs/>
        </w:rPr>
        <w:t> -;</w:t>
      </w:r>
      <w:r w:rsidR="00A87ACE" w:rsidRPr="009118AB">
        <w:rPr>
          <w:i/>
          <w:iCs/>
        </w:rPr>
        <w:t xml:space="preserve"> </w:t>
      </w:r>
      <w:r w:rsidR="00D67EB8" w:rsidRPr="009118AB">
        <w:rPr>
          <w:i/>
          <w:iCs/>
        </w:rPr>
        <w:t>Abs. </w:t>
      </w:r>
      <w:r w:rsidR="00A87ACE" w:rsidRPr="009118AB">
        <w:rPr>
          <w:i/>
          <w:iCs/>
        </w:rPr>
        <w:t xml:space="preserve">2 abgeändert durch </w:t>
      </w:r>
      <w:r w:rsidR="00D67EB8" w:rsidRPr="009118AB">
        <w:rPr>
          <w:i/>
          <w:iCs/>
        </w:rPr>
        <w:t>Art. </w:t>
      </w:r>
      <w:r w:rsidR="00A87ACE" w:rsidRPr="009118AB">
        <w:rPr>
          <w:i/>
          <w:iCs/>
        </w:rPr>
        <w:t xml:space="preserve">8 </w:t>
      </w:r>
      <w:r w:rsidR="00D67EB8" w:rsidRPr="009118AB">
        <w:rPr>
          <w:i/>
          <w:iCs/>
        </w:rPr>
        <w:t>Nr. </w:t>
      </w:r>
      <w:r w:rsidR="00A87ACE" w:rsidRPr="009118AB">
        <w:rPr>
          <w:i/>
          <w:iCs/>
        </w:rPr>
        <w:t>2 des G. vom 18. Dezember 2015 (II) (B.S. vom 28. Dezember 2015)</w:t>
      </w:r>
      <w:r w:rsidR="00D67EB8" w:rsidRPr="009118AB">
        <w:rPr>
          <w:i/>
          <w:iCs/>
        </w:rPr>
        <w:t> - </w:t>
      </w:r>
      <w:r w:rsidR="005C1316" w:rsidRPr="009118AB">
        <w:rPr>
          <w:i/>
          <w:iCs/>
        </w:rPr>
        <w:t>in Kraft ab dem Steuerjahr 2017</w:t>
      </w:r>
      <w:r w:rsidR="00D67EB8" w:rsidRPr="009118AB">
        <w:rPr>
          <w:i/>
          <w:iCs/>
        </w:rPr>
        <w:t> - </w:t>
      </w:r>
      <w:r w:rsidR="00F25FAF" w:rsidRPr="009118AB">
        <w:rPr>
          <w:i/>
          <w:iCs/>
        </w:rPr>
        <w:t xml:space="preserve">und </w:t>
      </w:r>
      <w:r w:rsidR="00D67EB8" w:rsidRPr="009118AB">
        <w:rPr>
          <w:i/>
          <w:iCs/>
        </w:rPr>
        <w:t>Art. </w:t>
      </w:r>
      <w:r w:rsidR="00F25FAF" w:rsidRPr="009118AB">
        <w:rPr>
          <w:i/>
          <w:iCs/>
        </w:rPr>
        <w:t>10</w:t>
      </w:r>
      <w:r w:rsidR="00F25FAF" w:rsidRPr="009118AB">
        <w:rPr>
          <w:i/>
        </w:rPr>
        <w:t xml:space="preserve"> des G. vom 2. Mai 2019 (III) (B.S. vom 1</w:t>
      </w:r>
      <w:r w:rsidR="004A76B1" w:rsidRPr="009118AB">
        <w:rPr>
          <w:i/>
        </w:rPr>
        <w:t>5</w:t>
      </w:r>
      <w:r w:rsidR="00F25FAF" w:rsidRPr="009118AB">
        <w:rPr>
          <w:i/>
        </w:rPr>
        <w:t>. Mai 2019)</w:t>
      </w:r>
      <w:r w:rsidRPr="009118AB">
        <w:rPr>
          <w:i/>
          <w:iCs/>
        </w:rPr>
        <w:t>]</w:t>
      </w:r>
    </w:p>
    <w:p w14:paraId="5DBFFCAB" w14:textId="77777777" w:rsidR="0058324B" w:rsidRPr="009118AB" w:rsidRDefault="0058324B" w:rsidP="0058324B">
      <w:pPr>
        <w:autoSpaceDE w:val="0"/>
        <w:autoSpaceDN w:val="0"/>
        <w:adjustRightInd w:val="0"/>
        <w:jc w:val="both"/>
      </w:pPr>
    </w:p>
    <w:p w14:paraId="294D0BCF" w14:textId="77777777" w:rsidR="00477B8F" w:rsidRPr="009118AB" w:rsidRDefault="00477B8F" w:rsidP="00270782">
      <w:pPr>
        <w:autoSpaceDE w:val="0"/>
        <w:autoSpaceDN w:val="0"/>
        <w:adjustRightInd w:val="0"/>
        <w:jc w:val="both"/>
      </w:pPr>
    </w:p>
    <w:p w14:paraId="0BCACCF5" w14:textId="6C1AA3BE" w:rsidR="00A87ACE" w:rsidRPr="009118AB" w:rsidRDefault="00477B8F" w:rsidP="00A87ACE">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16</w:t>
      </w:r>
      <w:r w:rsidR="00D67EB8" w:rsidRPr="009118AB">
        <w:t> - </w:t>
      </w:r>
      <w:r w:rsidR="00A87ACE" w:rsidRPr="009118AB">
        <w:t xml:space="preserve">Für die Anwendung des Pensionssparens und von Artikel 34 </w:t>
      </w:r>
      <w:r w:rsidR="00D67EB8" w:rsidRPr="009118AB">
        <w:t>§ </w:t>
      </w:r>
      <w:r w:rsidR="00A87ACE" w:rsidRPr="009118AB">
        <w:t xml:space="preserve">1 </w:t>
      </w:r>
      <w:r w:rsidR="00D67EB8" w:rsidRPr="009118AB">
        <w:t>Nr. </w:t>
      </w:r>
      <w:r w:rsidR="00A87ACE" w:rsidRPr="009118AB">
        <w:t>3 versteht man:</w:t>
      </w:r>
    </w:p>
    <w:p w14:paraId="7E2594CA" w14:textId="77777777" w:rsidR="00A87ACE" w:rsidRPr="009118AB" w:rsidRDefault="00A87ACE" w:rsidP="00A87ACE">
      <w:pPr>
        <w:autoSpaceDE w:val="0"/>
        <w:autoSpaceDN w:val="0"/>
        <w:adjustRightInd w:val="0"/>
        <w:jc w:val="both"/>
      </w:pPr>
    </w:p>
    <w:p w14:paraId="02C9F5A9" w14:textId="223F9724" w:rsidR="00A87ACE" w:rsidRPr="009118AB" w:rsidRDefault="00FC6806" w:rsidP="00A87ACE">
      <w:pPr>
        <w:autoSpaceDE w:val="0"/>
        <w:autoSpaceDN w:val="0"/>
        <w:adjustRightInd w:val="0"/>
        <w:jc w:val="both"/>
      </w:pPr>
      <w:r w:rsidRPr="009118AB">
        <w:tab/>
      </w:r>
      <w:r w:rsidR="00A87ACE" w:rsidRPr="009118AB">
        <w:t xml:space="preserve">1. unter kollektivem Sparkonto Teile der [Pensionssparfonds], </w:t>
      </w:r>
      <w:r w:rsidR="00504625" w:rsidRPr="009118AB">
        <w:t>[die entweder unter den vom König festgelegten Bedingungen oder</w:t>
      </w:r>
      <w:r w:rsidR="00D67EB8" w:rsidRPr="009118AB">
        <w:t> - </w:t>
      </w:r>
      <w:r w:rsidR="00504625" w:rsidRPr="009118AB">
        <w:t>für Fonds, die in einem anderen Mitgliedstaat des Europäischen Wirtschaftsraums ansässig sind und in Artikel 145</w:t>
      </w:r>
      <w:r w:rsidR="00504625" w:rsidRPr="009118AB">
        <w:rPr>
          <w:vertAlign w:val="superscript"/>
        </w:rPr>
        <w:t>8</w:t>
      </w:r>
      <w:r w:rsidR="00504625" w:rsidRPr="009118AB">
        <w:t xml:space="preserve"> </w:t>
      </w:r>
      <w:r w:rsidR="00D67EB8" w:rsidRPr="009118AB">
        <w:t>§ </w:t>
      </w:r>
      <w:r w:rsidR="00504625" w:rsidRPr="009118AB">
        <w:t>2 Absatz 1 erwähnt sind</w:t>
      </w:r>
      <w:r w:rsidR="00D67EB8" w:rsidRPr="009118AB">
        <w:t> - </w:t>
      </w:r>
      <w:r w:rsidR="00504625" w:rsidRPr="009118AB">
        <w:t>auf entsprechende Weise und unter entsprechenden Bedingungen zugelassen werden]</w:t>
      </w:r>
      <w:r w:rsidR="00A87ACE" w:rsidRPr="009118AB">
        <w:t xml:space="preserve"> zur Bildung eines zu Lebzeiten oder im Todesfall verfügbaren Sparguthabens; diese Teile sind Gegenstand von namentlichen Eintragungen bei einem der in Artikel 145</w:t>
      </w:r>
      <w:r w:rsidR="00A87ACE" w:rsidRPr="009118AB">
        <w:rPr>
          <w:vertAlign w:val="superscript"/>
        </w:rPr>
        <w:t>15</w:t>
      </w:r>
      <w:r w:rsidR="00A87ACE" w:rsidRPr="009118AB">
        <w:t xml:space="preserve"> Absatz 1 erwähnten Institute </w:t>
      </w:r>
      <w:r w:rsidR="00504625" w:rsidRPr="009118AB">
        <w:t>[…]</w:t>
      </w:r>
      <w:r w:rsidR="00A87ACE" w:rsidRPr="009118AB">
        <w:t>,</w:t>
      </w:r>
    </w:p>
    <w:p w14:paraId="18E1F3A4" w14:textId="77777777" w:rsidR="00A87ACE" w:rsidRPr="009118AB" w:rsidRDefault="00A87ACE" w:rsidP="00A87ACE">
      <w:pPr>
        <w:autoSpaceDE w:val="0"/>
        <w:autoSpaceDN w:val="0"/>
        <w:adjustRightInd w:val="0"/>
        <w:jc w:val="both"/>
      </w:pPr>
    </w:p>
    <w:p w14:paraId="2F4CAA9B" w14:textId="77777777" w:rsidR="00A87ACE" w:rsidRPr="009118AB" w:rsidRDefault="00FC6806" w:rsidP="00A87ACE">
      <w:pPr>
        <w:autoSpaceDE w:val="0"/>
        <w:autoSpaceDN w:val="0"/>
        <w:adjustRightInd w:val="0"/>
        <w:jc w:val="both"/>
      </w:pPr>
      <w:r w:rsidRPr="009118AB">
        <w:tab/>
      </w:r>
      <w:r w:rsidR="00A87ACE" w:rsidRPr="009118AB">
        <w:t>2. unter individuellem Sparkonto die von einem Steuerpflichtigen erworbenen Wertpapiere und zusätzlich die von ihm auf dem Konto belassenen Beträge zur Bildung eines zu Lebzeiten oder im Todesfall verfügbaren Sparguthabens; diese Werte und Summen sind Gegenstand von namentlichen Eintragungen bei einem der in Artikel 145</w:t>
      </w:r>
      <w:r w:rsidR="00A87ACE" w:rsidRPr="009118AB">
        <w:rPr>
          <w:vertAlign w:val="superscript"/>
        </w:rPr>
        <w:t>15</w:t>
      </w:r>
      <w:r w:rsidR="00A87ACE" w:rsidRPr="009118AB">
        <w:t xml:space="preserve"> Absatz 1 erwähnten Institute </w:t>
      </w:r>
      <w:r w:rsidR="00504625" w:rsidRPr="009118AB">
        <w:t>[…]</w:t>
      </w:r>
      <w:r w:rsidR="00A87ACE" w:rsidRPr="009118AB">
        <w:t>,</w:t>
      </w:r>
    </w:p>
    <w:p w14:paraId="2B39C67D" w14:textId="77777777" w:rsidR="00A87ACE" w:rsidRPr="009118AB" w:rsidRDefault="00A87ACE" w:rsidP="00A87ACE">
      <w:pPr>
        <w:autoSpaceDE w:val="0"/>
        <w:autoSpaceDN w:val="0"/>
        <w:adjustRightInd w:val="0"/>
        <w:jc w:val="both"/>
      </w:pPr>
    </w:p>
    <w:p w14:paraId="62807C81" w14:textId="77777777" w:rsidR="00A87ACE" w:rsidRPr="009118AB" w:rsidRDefault="00FC6806" w:rsidP="00A87ACE">
      <w:pPr>
        <w:autoSpaceDE w:val="0"/>
        <w:autoSpaceDN w:val="0"/>
        <w:adjustRightInd w:val="0"/>
        <w:jc w:val="both"/>
      </w:pPr>
      <w:r w:rsidRPr="009118AB">
        <w:tab/>
      </w:r>
      <w:r w:rsidR="00A87ACE" w:rsidRPr="009118AB">
        <w:t>3. unter Sparversicherung die Versicherung, die ein Steuerpflichtiger auf sich selbst abschließt zur Bildung einer Pension, einer Rente oder eines Kapitals zu Lebzeiten oder im Todesfall bei einem in Artikel 145</w:t>
      </w:r>
      <w:r w:rsidR="00A87ACE" w:rsidRPr="009118AB">
        <w:rPr>
          <w:vertAlign w:val="superscript"/>
        </w:rPr>
        <w:t>15</w:t>
      </w:r>
      <w:r w:rsidR="00A87ACE" w:rsidRPr="009118AB">
        <w:t xml:space="preserve"> Absatz 2 erwähnten Versicherungsunternehmen.]</w:t>
      </w:r>
    </w:p>
    <w:p w14:paraId="76354B8F" w14:textId="77777777" w:rsidR="00A87ACE" w:rsidRPr="009118AB" w:rsidRDefault="00A87ACE" w:rsidP="00A87ACE">
      <w:pPr>
        <w:autoSpaceDE w:val="0"/>
        <w:autoSpaceDN w:val="0"/>
        <w:adjustRightInd w:val="0"/>
        <w:jc w:val="both"/>
      </w:pPr>
    </w:p>
    <w:p w14:paraId="75A09FF6" w14:textId="793B294C" w:rsidR="00A87ACE" w:rsidRPr="009118AB" w:rsidRDefault="00A87ACE" w:rsidP="00A87ACE">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16</w:t>
      </w:r>
      <w:r w:rsidRPr="009118AB">
        <w:rPr>
          <w:i/>
          <w:iCs/>
        </w:rPr>
        <w:t xml:space="preserve"> einziger Absatz </w:t>
      </w:r>
      <w:r w:rsidR="00D67EB8" w:rsidRPr="009118AB">
        <w:rPr>
          <w:i/>
          <w:iCs/>
        </w:rPr>
        <w:t>Nr. </w:t>
      </w:r>
      <w:r w:rsidRPr="009118AB">
        <w:rPr>
          <w:i/>
          <w:iCs/>
        </w:rPr>
        <w:t xml:space="preserve">1 abgeändert durch </w:t>
      </w:r>
      <w:r w:rsidR="00D67EB8" w:rsidRPr="009118AB">
        <w:rPr>
          <w:i/>
          <w:iCs/>
        </w:rPr>
        <w:t>Art. </w:t>
      </w:r>
      <w:r w:rsidRPr="009118AB">
        <w:rPr>
          <w:i/>
          <w:iCs/>
        </w:rPr>
        <w:t>22 des G. vom 6. Juli 1994 (B.S. vom 16. Juli 1994)</w:t>
      </w:r>
      <w:r w:rsidR="00D67EB8" w:rsidRPr="009118AB">
        <w:rPr>
          <w:i/>
          <w:iCs/>
        </w:rPr>
        <w:t> - </w:t>
      </w:r>
      <w:r w:rsidRPr="009118AB">
        <w:rPr>
          <w:i/>
          <w:iCs/>
        </w:rPr>
        <w:t>in Kraft ab dem Steuerjahr 1992</w:t>
      </w:r>
      <w:r w:rsidR="00D67EB8" w:rsidRPr="009118AB">
        <w:rPr>
          <w:i/>
          <w:iCs/>
        </w:rPr>
        <w:t> - </w:t>
      </w:r>
      <w:r w:rsidR="00504625" w:rsidRPr="009118AB">
        <w:rPr>
          <w:i/>
          <w:iCs/>
        </w:rPr>
        <w:t xml:space="preserve">und </w:t>
      </w:r>
      <w:r w:rsidR="00D67EB8" w:rsidRPr="009118AB">
        <w:rPr>
          <w:i/>
          <w:iCs/>
        </w:rPr>
        <w:t>Art. </w:t>
      </w:r>
      <w:r w:rsidR="00504625" w:rsidRPr="009118AB">
        <w:rPr>
          <w:i/>
          <w:iCs/>
        </w:rPr>
        <w:t xml:space="preserve">9 </w:t>
      </w:r>
      <w:r w:rsidR="00D67EB8" w:rsidRPr="009118AB">
        <w:rPr>
          <w:i/>
          <w:iCs/>
        </w:rPr>
        <w:t>Nr. </w:t>
      </w:r>
      <w:r w:rsidR="00504625" w:rsidRPr="009118AB">
        <w:rPr>
          <w:i/>
          <w:iCs/>
        </w:rPr>
        <w:t>1 des G. vom 18. Dezember 2015 (II) (B.S. vom 28. Dezember 2015)</w:t>
      </w:r>
      <w:r w:rsidR="00D67EB8" w:rsidRPr="009118AB">
        <w:rPr>
          <w:i/>
          <w:iCs/>
        </w:rPr>
        <w:t> - </w:t>
      </w:r>
      <w:r w:rsidR="00FC6806" w:rsidRPr="009118AB">
        <w:rPr>
          <w:i/>
          <w:iCs/>
        </w:rPr>
        <w:t>in Kraft ab dem Steuerjahr 2017</w:t>
      </w:r>
      <w:r w:rsidR="003366D9" w:rsidRPr="009118AB">
        <w:rPr>
          <w:i/>
          <w:iCs/>
        </w:rPr>
        <w:t> -;</w:t>
      </w:r>
      <w:r w:rsidR="00504625" w:rsidRPr="009118AB">
        <w:rPr>
          <w:i/>
          <w:iCs/>
        </w:rPr>
        <w:t xml:space="preserve"> </w:t>
      </w:r>
      <w:r w:rsidR="00504625" w:rsidRPr="009118AB">
        <w:rPr>
          <w:i/>
          <w:iCs/>
        </w:rPr>
        <w:lastRenderedPageBreak/>
        <w:t xml:space="preserve">einziger Absatz </w:t>
      </w:r>
      <w:r w:rsidR="00D67EB8" w:rsidRPr="009118AB">
        <w:rPr>
          <w:i/>
          <w:iCs/>
        </w:rPr>
        <w:t>Nr. </w:t>
      </w:r>
      <w:r w:rsidR="00504625" w:rsidRPr="009118AB">
        <w:rPr>
          <w:i/>
          <w:iCs/>
        </w:rPr>
        <w:t xml:space="preserve">2 abgeändert durch </w:t>
      </w:r>
      <w:r w:rsidR="00D67EB8" w:rsidRPr="009118AB">
        <w:rPr>
          <w:i/>
          <w:iCs/>
        </w:rPr>
        <w:t>Art. </w:t>
      </w:r>
      <w:r w:rsidR="00504625" w:rsidRPr="009118AB">
        <w:rPr>
          <w:i/>
          <w:iCs/>
        </w:rPr>
        <w:t xml:space="preserve">9 </w:t>
      </w:r>
      <w:r w:rsidR="00D67EB8" w:rsidRPr="009118AB">
        <w:rPr>
          <w:i/>
          <w:iCs/>
        </w:rPr>
        <w:t>Nr. </w:t>
      </w:r>
      <w:r w:rsidR="00504625" w:rsidRPr="009118AB">
        <w:rPr>
          <w:i/>
          <w:iCs/>
        </w:rPr>
        <w:t>2 des G. vom 18. Dezember 2015 (II) (B.S. vom 28. Dezember 2015)</w:t>
      </w:r>
      <w:r w:rsidR="00D67EB8" w:rsidRPr="009118AB">
        <w:rPr>
          <w:i/>
          <w:iCs/>
        </w:rPr>
        <w:t> - </w:t>
      </w:r>
      <w:r w:rsidR="00FC6806" w:rsidRPr="009118AB">
        <w:rPr>
          <w:i/>
          <w:iCs/>
        </w:rPr>
        <w:t>in Kraft ab dem Steuerjahr 2017</w:t>
      </w:r>
      <w:r w:rsidR="00FD68E8" w:rsidRPr="009118AB">
        <w:rPr>
          <w:i/>
          <w:iCs/>
        </w:rPr>
        <w:t> -]</w:t>
      </w:r>
    </w:p>
    <w:p w14:paraId="2E2599AD" w14:textId="77777777" w:rsidR="00A87ACE" w:rsidRPr="009118AB" w:rsidRDefault="00A87ACE" w:rsidP="00A87ACE">
      <w:pPr>
        <w:autoSpaceDE w:val="0"/>
        <w:autoSpaceDN w:val="0"/>
        <w:adjustRightInd w:val="0"/>
        <w:jc w:val="both"/>
      </w:pPr>
    </w:p>
    <w:p w14:paraId="73855EAE" w14:textId="77777777" w:rsidR="00477B8F" w:rsidRPr="009118AB" w:rsidRDefault="00477B8F" w:rsidP="00270782">
      <w:pPr>
        <w:autoSpaceDE w:val="0"/>
        <w:autoSpaceDN w:val="0"/>
        <w:adjustRightInd w:val="0"/>
        <w:jc w:val="both"/>
      </w:pPr>
    </w:p>
    <w:p w14:paraId="5E8E3B6F" w14:textId="77777777" w:rsidR="00477B8F" w:rsidRPr="009118AB" w:rsidRDefault="00102598" w:rsidP="00270782">
      <w:pPr>
        <w:autoSpaceDE w:val="0"/>
        <w:autoSpaceDN w:val="0"/>
        <w:adjustRightInd w:val="0"/>
        <w:jc w:val="both"/>
      </w:pPr>
      <w:r w:rsidRPr="009118AB">
        <w:br w:type="page"/>
      </w:r>
      <w:r w:rsidR="00477B8F" w:rsidRPr="009118AB">
        <w:lastRenderedPageBreak/>
        <w:tab/>
        <w:t>[G. [...]</w:t>
      </w:r>
    </w:p>
    <w:p w14:paraId="118B05D7" w14:textId="77777777" w:rsidR="00477B8F" w:rsidRPr="009118AB" w:rsidRDefault="00477B8F" w:rsidP="00270782">
      <w:pPr>
        <w:autoSpaceDE w:val="0"/>
        <w:autoSpaceDN w:val="0"/>
        <w:adjustRightInd w:val="0"/>
        <w:jc w:val="both"/>
      </w:pPr>
    </w:p>
    <w:p w14:paraId="1D6BCDE4" w14:textId="03B1B97D" w:rsidR="00477B8F" w:rsidRPr="009118AB" w:rsidRDefault="00477B8F" w:rsidP="00270782">
      <w:pPr>
        <w:autoSpaceDE w:val="0"/>
        <w:autoSpaceDN w:val="0"/>
        <w:adjustRightInd w:val="0"/>
        <w:jc w:val="both"/>
      </w:pPr>
      <w:r w:rsidRPr="009118AB">
        <w:rPr>
          <w:i/>
          <w:iCs/>
        </w:rPr>
        <w:t xml:space="preserve">[Unterteilung G mit </w:t>
      </w:r>
      <w:r w:rsidR="00D67EB8" w:rsidRPr="009118AB">
        <w:rPr>
          <w:i/>
          <w:iCs/>
        </w:rPr>
        <w:t>Art. </w:t>
      </w:r>
      <w:r w:rsidRPr="009118AB">
        <w:rPr>
          <w:i/>
          <w:iCs/>
        </w:rPr>
        <w:t>145</w:t>
      </w:r>
      <w:r w:rsidRPr="009118AB">
        <w:rPr>
          <w:i/>
          <w:iCs/>
          <w:vertAlign w:val="superscript"/>
        </w:rPr>
        <w:t>16bis</w:t>
      </w:r>
      <w:r w:rsidRPr="009118AB">
        <w:rPr>
          <w:i/>
          <w:iCs/>
        </w:rPr>
        <w:t xml:space="preserve"> eingefügt durch </w:t>
      </w:r>
      <w:r w:rsidR="00D67EB8" w:rsidRPr="009118AB">
        <w:rPr>
          <w:i/>
          <w:iCs/>
        </w:rPr>
        <w:t>Art. </w:t>
      </w:r>
      <w:r w:rsidRPr="009118AB">
        <w:rPr>
          <w:i/>
          <w:iCs/>
        </w:rPr>
        <w:t>206 des G. vom 25. Januar 1999 (B.S.</w:t>
      </w:r>
      <w:r w:rsidR="008C2F6E" w:rsidRPr="009118AB">
        <w:rPr>
          <w:i/>
          <w:iCs/>
        </w:rPr>
        <w:t> </w:t>
      </w:r>
      <w:r w:rsidRPr="009118AB">
        <w:rPr>
          <w:i/>
          <w:iCs/>
        </w:rPr>
        <w:t>vom 6. Februar 1999)</w:t>
      </w:r>
      <w:r w:rsidR="00D67EB8" w:rsidRPr="009118AB">
        <w:rPr>
          <w:i/>
          <w:iCs/>
        </w:rPr>
        <w:t> - </w:t>
      </w:r>
      <w:r w:rsidRPr="009118AB">
        <w:rPr>
          <w:i/>
          <w:iCs/>
        </w:rPr>
        <w:t>in Kraft ab dem 1. April 1999</w:t>
      </w:r>
      <w:r w:rsidR="00D67EB8" w:rsidRPr="009118AB">
        <w:rPr>
          <w:i/>
          <w:iCs/>
        </w:rPr>
        <w:t> - </w:t>
      </w:r>
      <w:r w:rsidRPr="009118AB">
        <w:rPr>
          <w:i/>
          <w:iCs/>
        </w:rPr>
        <w:t xml:space="preserve">und aufgehoben durch </w:t>
      </w:r>
      <w:r w:rsidR="00D67EB8" w:rsidRPr="009118AB">
        <w:rPr>
          <w:i/>
          <w:iCs/>
        </w:rPr>
        <w:t>Art. </w:t>
      </w:r>
      <w:r w:rsidRPr="009118AB">
        <w:rPr>
          <w:i/>
          <w:iCs/>
        </w:rPr>
        <w:t xml:space="preserve">24 des G. (I) vom 24. Dezember 2002 </w:t>
      </w:r>
      <w:r w:rsidR="00D86BCC" w:rsidRPr="009118AB">
        <w:rPr>
          <w:i/>
          <w:iCs/>
        </w:rPr>
        <w:t xml:space="preserve">(I) </w:t>
      </w:r>
      <w:r w:rsidRPr="009118AB">
        <w:rPr>
          <w:i/>
          <w:iCs/>
        </w:rPr>
        <w:t>(B.S. vom 31. Dezember 2002)</w:t>
      </w:r>
      <w:r w:rsidR="00D67EB8" w:rsidRPr="009118AB">
        <w:rPr>
          <w:i/>
          <w:iCs/>
        </w:rPr>
        <w:t> - </w:t>
      </w:r>
      <w:r w:rsidRPr="009118AB">
        <w:rPr>
          <w:i/>
          <w:iCs/>
        </w:rPr>
        <w:t xml:space="preserve">in Kraft ab dem </w:t>
      </w:r>
      <w:r w:rsidR="00330CA0" w:rsidRPr="009118AB">
        <w:rPr>
          <w:i/>
          <w:iCs/>
        </w:rPr>
        <w:t>Steuerjahr 2</w:t>
      </w:r>
      <w:r w:rsidRPr="009118AB">
        <w:rPr>
          <w:i/>
          <w:iCs/>
        </w:rPr>
        <w:t>004</w:t>
      </w:r>
      <w:r w:rsidR="00FD68E8" w:rsidRPr="009118AB">
        <w:rPr>
          <w:i/>
          <w:iCs/>
        </w:rPr>
        <w:t> -]</w:t>
      </w:r>
    </w:p>
    <w:p w14:paraId="4BC673ED" w14:textId="77777777" w:rsidR="00477B8F" w:rsidRPr="009118AB" w:rsidRDefault="00477B8F" w:rsidP="00270782">
      <w:pPr>
        <w:autoSpaceDE w:val="0"/>
        <w:autoSpaceDN w:val="0"/>
        <w:adjustRightInd w:val="0"/>
        <w:jc w:val="both"/>
      </w:pPr>
    </w:p>
    <w:p w14:paraId="175A2B9C" w14:textId="77777777" w:rsidR="00477B8F" w:rsidRPr="009118AB" w:rsidRDefault="00477B8F" w:rsidP="00270782">
      <w:pPr>
        <w:autoSpaceDE w:val="0"/>
        <w:autoSpaceDN w:val="0"/>
        <w:adjustRightInd w:val="0"/>
        <w:jc w:val="both"/>
      </w:pPr>
    </w:p>
    <w:p w14:paraId="7947B159" w14:textId="173C6EF2" w:rsidR="00477B8F" w:rsidRPr="009118AB" w:rsidRDefault="00477B8F" w:rsidP="00270782">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16</w:t>
      </w:r>
      <w:r w:rsidRPr="009118AB">
        <w:rPr>
          <w:b/>
          <w:bCs/>
          <w:i/>
          <w:iCs/>
          <w:vertAlign w:val="superscript"/>
        </w:rPr>
        <w:t>bis</w:t>
      </w:r>
      <w:r w:rsidR="00D67EB8" w:rsidRPr="009118AB">
        <w:t> - </w:t>
      </w:r>
      <w:r w:rsidRPr="009118AB">
        <w:t>[...]]</w:t>
      </w:r>
    </w:p>
    <w:p w14:paraId="4E6B8D94" w14:textId="3214BA83" w:rsidR="00477B8F" w:rsidRPr="009118AB" w:rsidRDefault="00477B8F" w:rsidP="00477B8F">
      <w:pPr>
        <w:autoSpaceDE w:val="0"/>
        <w:autoSpaceDN w:val="0"/>
        <w:adjustRightInd w:val="0"/>
        <w:jc w:val="center"/>
      </w:pPr>
      <w:r w:rsidRPr="009118AB">
        <w:br w:type="page"/>
      </w:r>
      <w:r w:rsidRPr="009118AB">
        <w:lastRenderedPageBreak/>
        <w:t>[Unterabschnitt </w:t>
      </w:r>
      <w:r w:rsidR="00D74862" w:rsidRPr="009118AB">
        <w:t>2</w:t>
      </w:r>
      <w:r w:rsidRPr="009118AB">
        <w:rPr>
          <w:i/>
          <w:iCs/>
        </w:rPr>
        <w:t>ter</w:t>
      </w:r>
      <w:r w:rsidR="00D67EB8" w:rsidRPr="009118AB">
        <w:t> - </w:t>
      </w:r>
      <w:r w:rsidRPr="009118AB">
        <w:t>[...]</w:t>
      </w:r>
    </w:p>
    <w:p w14:paraId="0F23567D" w14:textId="77777777" w:rsidR="00477B8F" w:rsidRPr="009118AB" w:rsidRDefault="00477B8F" w:rsidP="00477B8F">
      <w:pPr>
        <w:autoSpaceDE w:val="0"/>
        <w:autoSpaceDN w:val="0"/>
        <w:adjustRightInd w:val="0"/>
        <w:jc w:val="both"/>
      </w:pPr>
    </w:p>
    <w:p w14:paraId="59B9A637" w14:textId="5BBF4936" w:rsidR="00477B8F" w:rsidRPr="009118AB" w:rsidRDefault="00477B8F" w:rsidP="00477B8F">
      <w:pPr>
        <w:autoSpaceDE w:val="0"/>
        <w:autoSpaceDN w:val="0"/>
        <w:adjustRightInd w:val="0"/>
        <w:jc w:val="both"/>
      </w:pPr>
      <w:r w:rsidRPr="009118AB">
        <w:rPr>
          <w:i/>
          <w:iCs/>
        </w:rPr>
        <w:t>[Unterabschnitt </w:t>
      </w:r>
      <w:r w:rsidR="00D74862" w:rsidRPr="009118AB">
        <w:rPr>
          <w:i/>
          <w:iCs/>
        </w:rPr>
        <w:t>2</w:t>
      </w:r>
      <w:r w:rsidRPr="009118AB">
        <w:rPr>
          <w:i/>
          <w:iCs/>
        </w:rPr>
        <w:t>ter mit den Artikeln 145</w:t>
      </w:r>
      <w:r w:rsidRPr="009118AB">
        <w:rPr>
          <w:i/>
          <w:iCs/>
          <w:vertAlign w:val="superscript"/>
        </w:rPr>
        <w:t>17</w:t>
      </w:r>
      <w:r w:rsidRPr="009118AB">
        <w:rPr>
          <w:i/>
          <w:iCs/>
        </w:rPr>
        <w:t xml:space="preserve"> bis 145</w:t>
      </w:r>
      <w:r w:rsidRPr="009118AB">
        <w:rPr>
          <w:i/>
          <w:iCs/>
          <w:vertAlign w:val="superscript"/>
        </w:rPr>
        <w:t>20</w:t>
      </w:r>
      <w:r w:rsidRPr="009118AB">
        <w:rPr>
          <w:i/>
          <w:iCs/>
        </w:rPr>
        <w:t xml:space="preserve"> eingefügt durch </w:t>
      </w:r>
      <w:r w:rsidR="00D67EB8" w:rsidRPr="009118AB">
        <w:rPr>
          <w:i/>
          <w:iCs/>
        </w:rPr>
        <w:t>Art. </w:t>
      </w:r>
      <w:r w:rsidRPr="009118AB">
        <w:rPr>
          <w:i/>
          <w:iCs/>
        </w:rPr>
        <w:t>87 des G. vom 28. Dezember 1992 (B.S. vom 31. Dezember 1992)</w:t>
      </w:r>
      <w:r w:rsidR="00D67EB8" w:rsidRPr="009118AB">
        <w:rPr>
          <w:i/>
          <w:iCs/>
        </w:rPr>
        <w:t> - </w:t>
      </w:r>
      <w:r w:rsidRPr="009118AB">
        <w:rPr>
          <w:i/>
          <w:iCs/>
        </w:rPr>
        <w:t>in Kraft ab dem Steuerjahr 1993</w:t>
      </w:r>
      <w:r w:rsidR="00D67EB8" w:rsidRPr="009118AB">
        <w:rPr>
          <w:i/>
          <w:iCs/>
        </w:rPr>
        <w:t> - </w:t>
      </w:r>
      <w:r w:rsidRPr="009118AB">
        <w:rPr>
          <w:i/>
          <w:iCs/>
        </w:rPr>
        <w:t xml:space="preserve">und aufgehoben durch </w:t>
      </w:r>
      <w:r w:rsidR="00D67EB8" w:rsidRPr="009118AB">
        <w:rPr>
          <w:i/>
          <w:iCs/>
        </w:rPr>
        <w:t>Art. </w:t>
      </w:r>
      <w:r w:rsidRPr="009118AB">
        <w:rPr>
          <w:i/>
          <w:iCs/>
        </w:rPr>
        <w:t>400 des G. vom 27. Dezember 2004 (B.S. vom 31. Dezember 2004)</w:t>
      </w:r>
      <w:r w:rsidR="00D67EB8" w:rsidRPr="009118AB">
        <w:rPr>
          <w:i/>
          <w:iCs/>
        </w:rPr>
        <w:t> - </w:t>
      </w:r>
      <w:r w:rsidRPr="009118AB">
        <w:rPr>
          <w:i/>
          <w:iCs/>
        </w:rPr>
        <w:t>in Kraft ab dem Steuerjahr 2006</w:t>
      </w:r>
      <w:r w:rsidR="00FD68E8" w:rsidRPr="009118AB">
        <w:rPr>
          <w:i/>
          <w:iCs/>
        </w:rPr>
        <w:t> -,</w:t>
      </w:r>
      <w:r w:rsidRPr="009118AB">
        <w:rPr>
          <w:i/>
          <w:iCs/>
        </w:rPr>
        <w:t xml:space="preserve"> selbst abgeändert durch </w:t>
      </w:r>
      <w:r w:rsidR="00D67EB8" w:rsidRPr="009118AB">
        <w:rPr>
          <w:i/>
          <w:iCs/>
        </w:rPr>
        <w:t>Art. </w:t>
      </w:r>
      <w:r w:rsidRPr="009118AB">
        <w:rPr>
          <w:i/>
          <w:iCs/>
        </w:rPr>
        <w:t xml:space="preserve">183 </w:t>
      </w:r>
      <w:r w:rsidR="00D67EB8" w:rsidRPr="009118AB">
        <w:rPr>
          <w:i/>
          <w:iCs/>
        </w:rPr>
        <w:t>Nr. </w:t>
      </w:r>
      <w:r w:rsidRPr="009118AB">
        <w:rPr>
          <w:i/>
          <w:iCs/>
        </w:rPr>
        <w:t>1 des G. vom 27. Dezember 2005 (II) (B.S. vom 30. Dezember 2005)</w:t>
      </w:r>
      <w:r w:rsidR="00D67EB8" w:rsidRPr="009118AB">
        <w:rPr>
          <w:i/>
          <w:iCs/>
        </w:rPr>
        <w:t> - </w:t>
      </w:r>
      <w:r w:rsidRPr="009118AB">
        <w:rPr>
          <w:i/>
          <w:iCs/>
        </w:rPr>
        <w:t>in Kraft ab dem Steuerjahr 2006</w:t>
      </w:r>
      <w:r w:rsidR="003366D9" w:rsidRPr="009118AB">
        <w:rPr>
          <w:i/>
          <w:iCs/>
        </w:rPr>
        <w:t> -;</w:t>
      </w:r>
      <w:r w:rsidRPr="009118AB">
        <w:rPr>
          <w:i/>
          <w:iCs/>
        </w:rPr>
        <w:t xml:space="preserve"> Der frühere Text von Art</w:t>
      </w:r>
      <w:r w:rsidR="00B87A3A" w:rsidRPr="009118AB">
        <w:rPr>
          <w:i/>
          <w:iCs/>
        </w:rPr>
        <w:t>ikel</w:t>
      </w:r>
      <w:r w:rsidRPr="009118AB">
        <w:rPr>
          <w:i/>
          <w:iCs/>
        </w:rPr>
        <w:t> 145</w:t>
      </w:r>
      <w:r w:rsidRPr="009118AB">
        <w:rPr>
          <w:i/>
          <w:iCs/>
          <w:vertAlign w:val="superscript"/>
        </w:rPr>
        <w:t>19</w:t>
      </w:r>
      <w:r w:rsidRPr="009118AB">
        <w:rPr>
          <w:i/>
          <w:iCs/>
        </w:rPr>
        <w:t>, d.h. vor der Aufhebung durch das G. vom 27. Dezember 2004 (siehe Einkommensteuergesetzbuch Fassung 2005), bleibt anwendbar in den in Artikel 526 des vorliegenden Gesetzbuches vorgesehenen Fällen.]</w:t>
      </w:r>
    </w:p>
    <w:p w14:paraId="422A7DA6" w14:textId="77777777" w:rsidR="00477B8F" w:rsidRPr="009118AB" w:rsidRDefault="00477B8F" w:rsidP="00477B8F">
      <w:pPr>
        <w:autoSpaceDE w:val="0"/>
        <w:autoSpaceDN w:val="0"/>
        <w:adjustRightInd w:val="0"/>
        <w:jc w:val="both"/>
      </w:pPr>
    </w:p>
    <w:p w14:paraId="732311D5" w14:textId="77777777" w:rsidR="00477B8F" w:rsidRPr="009118AB" w:rsidRDefault="00477B8F" w:rsidP="00477B8F">
      <w:pPr>
        <w:autoSpaceDE w:val="0"/>
        <w:autoSpaceDN w:val="0"/>
        <w:adjustRightInd w:val="0"/>
        <w:jc w:val="both"/>
      </w:pPr>
    </w:p>
    <w:p w14:paraId="237011FD" w14:textId="678945F5" w:rsidR="00E70BAC"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17</w:t>
      </w:r>
      <w:r w:rsidR="00D67EB8" w:rsidRPr="009118AB">
        <w:t> - </w:t>
      </w:r>
      <w:r w:rsidRPr="009118AB">
        <w:rPr>
          <w:b/>
          <w:bCs/>
        </w:rPr>
        <w:t>145</w:t>
      </w:r>
      <w:r w:rsidRPr="009118AB">
        <w:rPr>
          <w:b/>
          <w:bCs/>
          <w:vertAlign w:val="superscript"/>
        </w:rPr>
        <w:t>20</w:t>
      </w:r>
      <w:r w:rsidR="00D67EB8" w:rsidRPr="009118AB">
        <w:rPr>
          <w:vertAlign w:val="superscript"/>
        </w:rPr>
        <w:t> - </w:t>
      </w:r>
      <w:r w:rsidRPr="009118AB">
        <w:t>[...]]</w:t>
      </w:r>
    </w:p>
    <w:p w14:paraId="1D6EE942" w14:textId="7990BBBC" w:rsidR="00477B8F" w:rsidRPr="009118AB" w:rsidRDefault="00E70BAC" w:rsidP="009A3A7D">
      <w:pPr>
        <w:autoSpaceDE w:val="0"/>
        <w:autoSpaceDN w:val="0"/>
        <w:adjustRightInd w:val="0"/>
        <w:jc w:val="both"/>
      </w:pPr>
      <w:r w:rsidRPr="009118AB">
        <w:br w:type="page"/>
      </w:r>
      <w:r w:rsidR="00477B8F" w:rsidRPr="009118AB">
        <w:lastRenderedPageBreak/>
        <w:t>[Unterabschnitt </w:t>
      </w:r>
      <w:r w:rsidR="00D74862" w:rsidRPr="009118AB">
        <w:t>2</w:t>
      </w:r>
      <w:r w:rsidR="00477B8F" w:rsidRPr="009118AB">
        <w:rPr>
          <w:i/>
          <w:iCs/>
        </w:rPr>
        <w:t>quater</w:t>
      </w:r>
      <w:r w:rsidR="00D67EB8" w:rsidRPr="009118AB">
        <w:t> - </w:t>
      </w:r>
      <w:r w:rsidR="00477B8F" w:rsidRPr="009118AB">
        <w:t xml:space="preserve">[Ermäßigung für Ausgaben, die für Leistungen im Rahmen der lokalen Beschäftigungsagenturen gezahlt werden] [und für </w:t>
      </w:r>
      <w:r w:rsidR="007E6A1C" w:rsidRPr="009118AB">
        <w:t>[Leistungen, die mit anderen Dienstleistungs</w:t>
      </w:r>
      <w:r w:rsidR="007E6A1C" w:rsidRPr="009118AB">
        <w:softHyphen/>
        <w:t>schecks als sozialen Dienstleistungsschecks vergütet werden]</w:t>
      </w:r>
      <w:r w:rsidR="00477B8F" w:rsidRPr="009118AB">
        <w:t>]</w:t>
      </w:r>
    </w:p>
    <w:p w14:paraId="42F7545B" w14:textId="77777777" w:rsidR="00477B8F" w:rsidRPr="009118AB" w:rsidRDefault="00477B8F" w:rsidP="00477B8F">
      <w:pPr>
        <w:autoSpaceDE w:val="0"/>
        <w:autoSpaceDN w:val="0"/>
        <w:adjustRightInd w:val="0"/>
        <w:jc w:val="both"/>
      </w:pPr>
    </w:p>
    <w:p w14:paraId="256BF68F" w14:textId="42A591CB" w:rsidR="00477B8F" w:rsidRPr="009118AB" w:rsidRDefault="00477B8F" w:rsidP="00477B8F">
      <w:pPr>
        <w:autoSpaceDE w:val="0"/>
        <w:autoSpaceDN w:val="0"/>
        <w:adjustRightInd w:val="0"/>
        <w:jc w:val="both"/>
      </w:pPr>
      <w:r w:rsidRPr="009118AB">
        <w:rPr>
          <w:i/>
          <w:iCs/>
        </w:rPr>
        <w:t>[Unterabschnitt </w:t>
      </w:r>
      <w:r w:rsidR="00D74862" w:rsidRPr="009118AB">
        <w:rPr>
          <w:i/>
          <w:iCs/>
        </w:rPr>
        <w:t>2</w:t>
      </w:r>
      <w:r w:rsidRPr="009118AB">
        <w:rPr>
          <w:i/>
          <w:iCs/>
        </w:rPr>
        <w:t>quater mit den Artikeln 145</w:t>
      </w:r>
      <w:r w:rsidRPr="009118AB">
        <w:rPr>
          <w:i/>
          <w:iCs/>
          <w:vertAlign w:val="superscript"/>
        </w:rPr>
        <w:t>21</w:t>
      </w:r>
      <w:r w:rsidRPr="009118AB">
        <w:rPr>
          <w:i/>
          <w:iCs/>
        </w:rPr>
        <w:t xml:space="preserve"> bis 145</w:t>
      </w:r>
      <w:r w:rsidRPr="009118AB">
        <w:rPr>
          <w:i/>
          <w:iCs/>
          <w:vertAlign w:val="superscript"/>
        </w:rPr>
        <w:t>23</w:t>
      </w:r>
      <w:r w:rsidRPr="009118AB">
        <w:rPr>
          <w:i/>
          <w:iCs/>
        </w:rPr>
        <w:t xml:space="preserve"> eingefügt durch die Artikel 6 bis 9 des G. vom 30. März 1994 (B.S. vom 31. März 1994)</w:t>
      </w:r>
      <w:r w:rsidR="00D67EB8" w:rsidRPr="009118AB">
        <w:rPr>
          <w:i/>
          <w:iCs/>
        </w:rPr>
        <w:t> - </w:t>
      </w:r>
      <w:r w:rsidRPr="009118AB">
        <w:rPr>
          <w:i/>
          <w:iCs/>
        </w:rPr>
        <w:t>anwendbar ab dem Steuerjahr 1995</w:t>
      </w:r>
      <w:r w:rsidR="003366D9" w:rsidRPr="009118AB">
        <w:rPr>
          <w:i/>
          <w:iCs/>
        </w:rPr>
        <w:t> -;</w:t>
      </w:r>
      <w:r w:rsidRPr="009118AB">
        <w:rPr>
          <w:i/>
          <w:iCs/>
        </w:rPr>
        <w:t xml:space="preserve"> Überschrift </w:t>
      </w:r>
      <w:r w:rsidR="00372F44" w:rsidRPr="009118AB">
        <w:rPr>
          <w:i/>
          <w:iCs/>
        </w:rPr>
        <w:t xml:space="preserve">von Unterabschnitt </w:t>
      </w:r>
      <w:r w:rsidR="00D74862" w:rsidRPr="009118AB">
        <w:rPr>
          <w:i/>
          <w:iCs/>
        </w:rPr>
        <w:t>2</w:t>
      </w:r>
      <w:r w:rsidR="00372F44" w:rsidRPr="009118AB">
        <w:rPr>
          <w:i/>
          <w:iCs/>
        </w:rPr>
        <w:t xml:space="preserve">quater </w:t>
      </w:r>
      <w:r w:rsidRPr="009118AB">
        <w:rPr>
          <w:i/>
          <w:iCs/>
        </w:rPr>
        <w:t xml:space="preserve">ersetzt durch </w:t>
      </w:r>
      <w:r w:rsidR="00D67EB8" w:rsidRPr="009118AB">
        <w:rPr>
          <w:i/>
          <w:iCs/>
        </w:rPr>
        <w:t>Art. </w:t>
      </w:r>
      <w:r w:rsidRPr="009118AB">
        <w:rPr>
          <w:i/>
          <w:iCs/>
        </w:rPr>
        <w:t xml:space="preserve">93 des G. vom 21. Dezember 1994 </w:t>
      </w:r>
      <w:r w:rsidRPr="009118AB">
        <w:rPr>
          <w:rFonts w:ascii="Times New Roman Italique" w:hAnsi="Times New Roman Italique"/>
          <w:i/>
          <w:iCs/>
          <w:spacing w:val="-2"/>
        </w:rPr>
        <w:t>(B.S. vom 23. Dezember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1995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w:t>
      </w:r>
      <w:r w:rsidR="007E6A1C" w:rsidRPr="009118AB">
        <w:rPr>
          <w:rFonts w:ascii="Times New Roman Italique" w:hAnsi="Times New Roman Italique"/>
          <w:i/>
          <w:iCs/>
          <w:spacing w:val="-2"/>
        </w:rPr>
        <w:t>abgeändert</w:t>
      </w:r>
      <w:r w:rsidRPr="009118AB">
        <w:rPr>
          <w:rFonts w:ascii="Times New Roman Italique" w:hAnsi="Times New Roman Italique"/>
          <w:i/>
          <w:iCs/>
          <w:spacing w:val="-2"/>
        </w:rPr>
        <w:t xml:space="preserve">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8 des G.</w:t>
      </w:r>
      <w:r w:rsidR="00372F44" w:rsidRPr="009118AB">
        <w:rPr>
          <w:rFonts w:ascii="Times New Roman Italique" w:hAnsi="Times New Roman Italique"/>
          <w:i/>
          <w:iCs/>
          <w:spacing w:val="-2"/>
        </w:rPr>
        <w:t> </w:t>
      </w:r>
      <w:r w:rsidRPr="009118AB">
        <w:rPr>
          <w:rFonts w:ascii="Times New Roman Italique" w:hAnsi="Times New Roman Italique"/>
          <w:i/>
          <w:iCs/>
          <w:spacing w:val="-2"/>
        </w:rPr>
        <w:t>vom 20. Juli 2001 (B.S. vom 11. August 2001)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11. August 2001</w:t>
      </w:r>
      <w:r w:rsidR="00D67EB8" w:rsidRPr="009118AB">
        <w:rPr>
          <w:rFonts w:ascii="Times New Roman Italique" w:hAnsi="Times New Roman Italique"/>
          <w:i/>
          <w:iCs/>
          <w:spacing w:val="-2"/>
        </w:rPr>
        <w:t> - </w:t>
      </w:r>
      <w:r w:rsidR="007E6A1C"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7E6A1C" w:rsidRPr="009118AB">
        <w:rPr>
          <w:i/>
          <w:iCs/>
          <w:spacing w:val="2"/>
        </w:rPr>
        <w:t xml:space="preserve">17 des </w:t>
      </w:r>
      <w:r w:rsidR="00DC1F9F" w:rsidRPr="009118AB">
        <w:rPr>
          <w:i/>
          <w:iCs/>
          <w:spacing w:val="2"/>
        </w:rPr>
        <w:t>G. vom 22. Dezember 2009 (I)</w:t>
      </w:r>
      <w:r w:rsidR="007E6A1C" w:rsidRPr="009118AB">
        <w:rPr>
          <w:i/>
          <w:iCs/>
          <w:spacing w:val="2"/>
        </w:rPr>
        <w:t xml:space="preserve"> (B.S. vom 31. Dezember 2009)</w:t>
      </w:r>
      <w:r w:rsidR="00D67EB8" w:rsidRPr="009118AB">
        <w:rPr>
          <w:i/>
          <w:iCs/>
          <w:spacing w:val="2"/>
        </w:rPr>
        <w:t> - </w:t>
      </w:r>
      <w:r w:rsidR="007E6A1C" w:rsidRPr="009118AB">
        <w:rPr>
          <w:i/>
          <w:iCs/>
          <w:spacing w:val="2"/>
        </w:rPr>
        <w:t>anwendbar auf die ab dem 1. Januar 2009 tatsächlich gezahlten Ausgaben</w:t>
      </w:r>
      <w:r w:rsidR="00FD68E8" w:rsidRPr="009118AB">
        <w:rPr>
          <w:i/>
          <w:iCs/>
          <w:spacing w:val="2"/>
        </w:rPr>
        <w:t> -]</w:t>
      </w:r>
    </w:p>
    <w:p w14:paraId="39DE9B13" w14:textId="77777777" w:rsidR="00477B8F" w:rsidRPr="009118AB" w:rsidRDefault="00477B8F" w:rsidP="00477B8F">
      <w:pPr>
        <w:autoSpaceDE w:val="0"/>
        <w:autoSpaceDN w:val="0"/>
        <w:adjustRightInd w:val="0"/>
        <w:jc w:val="both"/>
      </w:pPr>
    </w:p>
    <w:p w14:paraId="2BEFFA8D" w14:textId="77777777" w:rsidR="00477B8F" w:rsidRPr="009118AB" w:rsidRDefault="00477B8F" w:rsidP="00477B8F">
      <w:pPr>
        <w:autoSpaceDE w:val="0"/>
        <w:autoSpaceDN w:val="0"/>
        <w:adjustRightInd w:val="0"/>
        <w:jc w:val="both"/>
      </w:pPr>
    </w:p>
    <w:p w14:paraId="306BB41D" w14:textId="388E525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21</w:t>
      </w:r>
      <w:r w:rsidR="00D67EB8" w:rsidRPr="009118AB">
        <w:t> - </w:t>
      </w:r>
      <w:r w:rsidRPr="009118AB">
        <w:t>[[Unter den in Artikel 145</w:t>
      </w:r>
      <w:r w:rsidRPr="009118AB">
        <w:rPr>
          <w:vertAlign w:val="superscript"/>
        </w:rPr>
        <w:t>22</w:t>
      </w:r>
      <w:r w:rsidRPr="009118AB">
        <w:t xml:space="preserve"> vorgesehenen Bedingungen] wird eine Steuerermäßigung gewährt, die auf der Grundlage der Ausgaben bis höchstens </w:t>
      </w:r>
      <w:r w:rsidR="001F3AD3" w:rsidRPr="009118AB">
        <w:t>[920 EUR pro Steuerpflichtigen</w:t>
      </w:r>
      <w:r w:rsidRPr="009118AB">
        <w:t xml:space="preserve">] berechnet wird, die keine Werbungskosten darstellen und während des Besteuerungszeitraums </w:t>
      </w:r>
      <w:r w:rsidR="0089521C" w:rsidRPr="009118AB">
        <w:t>[tatsächlich gezahlt werden für Leistungen, die ein Arbeitnehmer im Rahmen der lokalen Beschäftigungsagenturen zu erbringen hat, oder für Leistungen, die mit Dienstleistungs</w:t>
      </w:r>
      <w:r w:rsidR="0089521C" w:rsidRPr="009118AB">
        <w:softHyphen/>
        <w:t>schecks vergütet werden, die im Gesetz vom 20. Juli 2001 zur Förderung der Entwicklung von Dienstleistungen und Arbeitsplätzen im Nahbereich erwähnt sind, aber keine sozialen Dienstleistungsschecks sind</w:t>
      </w:r>
      <w:r w:rsidR="00201A87" w:rsidRPr="009118AB">
        <w:t>]</w:t>
      </w:r>
      <w:r w:rsidRPr="009118AB">
        <w:t>.]</w:t>
      </w:r>
    </w:p>
    <w:p w14:paraId="2EE97B8D" w14:textId="77777777" w:rsidR="00477B8F" w:rsidRPr="009118AB" w:rsidRDefault="00477B8F" w:rsidP="00477B8F">
      <w:pPr>
        <w:autoSpaceDE w:val="0"/>
        <w:autoSpaceDN w:val="0"/>
        <w:adjustRightInd w:val="0"/>
        <w:jc w:val="both"/>
      </w:pPr>
    </w:p>
    <w:p w14:paraId="4E35A0D8" w14:textId="77777777" w:rsidR="00477B8F" w:rsidRPr="009118AB" w:rsidRDefault="00477B8F" w:rsidP="00477B8F">
      <w:pPr>
        <w:autoSpaceDE w:val="0"/>
        <w:autoSpaceDN w:val="0"/>
        <w:adjustRightInd w:val="0"/>
        <w:jc w:val="both"/>
      </w:pPr>
      <w:r w:rsidRPr="009118AB">
        <w:tab/>
        <w:t>[</w:t>
      </w:r>
      <w:r w:rsidR="00CB1FDE" w:rsidRPr="009118AB">
        <w:t>Die Steuerermäßigung beträgt 30 Prozent der in Absatz 1 erwähnten Ausgaben.</w:t>
      </w:r>
      <w:r w:rsidRPr="009118AB">
        <w:t>]</w:t>
      </w:r>
    </w:p>
    <w:p w14:paraId="7A686963" w14:textId="77777777" w:rsidR="00E70BAC" w:rsidRPr="009118AB" w:rsidRDefault="00E70BAC" w:rsidP="00477B8F">
      <w:pPr>
        <w:autoSpaceDE w:val="0"/>
        <w:autoSpaceDN w:val="0"/>
        <w:adjustRightInd w:val="0"/>
      </w:pPr>
    </w:p>
    <w:p w14:paraId="12A002E3" w14:textId="77777777" w:rsidR="00477B8F" w:rsidRPr="009118AB" w:rsidRDefault="00477B8F" w:rsidP="00E70BAC">
      <w:pPr>
        <w:autoSpaceDE w:val="0"/>
        <w:autoSpaceDN w:val="0"/>
        <w:adjustRightInd w:val="0"/>
        <w:jc w:val="both"/>
      </w:pPr>
      <w:r w:rsidRPr="009118AB">
        <w:tab/>
        <w:t xml:space="preserve">Für die Festlegung des Betrags der in Absatz 1 erwähnten Ausgaben wird nur der Nennwert der in der Regelung der lokalen Beschäftigungsagenturen erwähnten LBA-Schecks [oder der Nennwert </w:t>
      </w:r>
      <w:r w:rsidR="0089521C" w:rsidRPr="009118AB">
        <w:t xml:space="preserve">[der in Absatz 1 erwähnten Dienstleistungsschecks] </w:t>
      </w:r>
      <w:r w:rsidRPr="009118AB">
        <w:t>berücksichtigt].]</w:t>
      </w:r>
    </w:p>
    <w:p w14:paraId="1F9B8520" w14:textId="77777777" w:rsidR="00477B8F" w:rsidRPr="009118AB" w:rsidRDefault="00477B8F" w:rsidP="00477B8F">
      <w:pPr>
        <w:autoSpaceDE w:val="0"/>
        <w:autoSpaceDN w:val="0"/>
        <w:adjustRightInd w:val="0"/>
        <w:jc w:val="both"/>
      </w:pPr>
    </w:p>
    <w:p w14:paraId="2C4EDB1E" w14:textId="24507FBC"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21</w:t>
      </w:r>
      <w:r w:rsidRPr="009118AB">
        <w:rPr>
          <w:i/>
          <w:iCs/>
        </w:rPr>
        <w:t xml:space="preserve"> ersetzt durch </w:t>
      </w:r>
      <w:r w:rsidR="00D67EB8" w:rsidRPr="009118AB">
        <w:rPr>
          <w:i/>
          <w:iCs/>
        </w:rPr>
        <w:t>Art. </w:t>
      </w:r>
      <w:r w:rsidRPr="009118AB">
        <w:rPr>
          <w:i/>
          <w:iCs/>
        </w:rPr>
        <w:t>94 des G. vom 21. Dezember 1994 (B.S. vom 23. Dezember 1994)</w:t>
      </w:r>
      <w:r w:rsidR="00D67EB8" w:rsidRPr="009118AB">
        <w:rPr>
          <w:i/>
          <w:iCs/>
        </w:rPr>
        <w:t> - </w:t>
      </w:r>
      <w:r w:rsidRPr="009118AB">
        <w:rPr>
          <w:i/>
          <w:iCs/>
        </w:rPr>
        <w:t>anwendbar ab dem Steuerjahr 1995</w:t>
      </w:r>
      <w:r w:rsidR="003366D9" w:rsidRPr="009118AB">
        <w:rPr>
          <w:i/>
          <w:iCs/>
        </w:rPr>
        <w:t> -;</w:t>
      </w:r>
      <w:r w:rsidRPr="009118AB">
        <w:rPr>
          <w:i/>
          <w:iCs/>
        </w:rPr>
        <w:t xml:space="preserve"> </w:t>
      </w:r>
      <w:r w:rsidR="00D67EB8" w:rsidRPr="009118AB">
        <w:rPr>
          <w:i/>
          <w:iCs/>
        </w:rPr>
        <w:t>Abs. </w:t>
      </w:r>
      <w:r w:rsidRPr="009118AB">
        <w:rPr>
          <w:i/>
          <w:iCs/>
        </w:rPr>
        <w:t xml:space="preserve">1 abgeändert durch </w:t>
      </w:r>
      <w:r w:rsidR="00D67EB8" w:rsidRPr="009118AB">
        <w:rPr>
          <w:i/>
          <w:iCs/>
        </w:rPr>
        <w:t>Art. </w:t>
      </w:r>
      <w:r w:rsidRPr="009118AB">
        <w:rPr>
          <w:i/>
          <w:iCs/>
        </w:rPr>
        <w:t>30 des G. vom 7. April 1999 (B.S. vom 20. April 1999)</w:t>
      </w:r>
      <w:r w:rsidR="00D67EB8" w:rsidRPr="009118AB">
        <w:rPr>
          <w:i/>
          <w:iCs/>
        </w:rPr>
        <w:t> - </w:t>
      </w:r>
      <w:r w:rsidRPr="009118AB">
        <w:rPr>
          <w:i/>
          <w:iCs/>
        </w:rPr>
        <w:t>in Kraft ab dem 1. Januar 2000</w:t>
      </w:r>
      <w:r w:rsidR="00FD68E8" w:rsidRPr="009118AB">
        <w:rPr>
          <w:i/>
          <w:iCs/>
        </w:rPr>
        <w:t> -,</w:t>
      </w:r>
      <w:r w:rsidRPr="009118AB">
        <w:rPr>
          <w:i/>
          <w:iCs/>
        </w:rPr>
        <w:t xml:space="preserve"> </w:t>
      </w:r>
      <w:r w:rsidR="00D67EB8" w:rsidRPr="009118AB">
        <w:rPr>
          <w:i/>
          <w:iCs/>
        </w:rPr>
        <w:t>Art. </w:t>
      </w:r>
      <w:r w:rsidRPr="009118AB">
        <w:rPr>
          <w:i/>
          <w:iCs/>
        </w:rPr>
        <w:t>9</w:t>
      </w:r>
      <w:r w:rsidR="00E70BAC" w:rsidRPr="009118AB">
        <w:rPr>
          <w:i/>
          <w:iCs/>
        </w:rPr>
        <w:t> </w:t>
      </w:r>
      <w:r w:rsidR="00D67EB8" w:rsidRPr="009118AB">
        <w:rPr>
          <w:i/>
          <w:iCs/>
        </w:rPr>
        <w:t>Nr. </w:t>
      </w:r>
      <w:r w:rsidRPr="009118AB">
        <w:rPr>
          <w:i/>
          <w:iCs/>
        </w:rPr>
        <w:t>1 des G. vom 20. Juli 2001 (B.S. vom 11. August 2001)</w:t>
      </w:r>
      <w:r w:rsidR="00D67EB8" w:rsidRPr="009118AB">
        <w:rPr>
          <w:i/>
          <w:iCs/>
        </w:rPr>
        <w:t> - </w:t>
      </w:r>
      <w:r w:rsidRPr="009118AB">
        <w:rPr>
          <w:i/>
          <w:iCs/>
        </w:rPr>
        <w:t>in Kraft ab dem 11. August 2001</w:t>
      </w:r>
      <w:r w:rsidR="00FD68E8" w:rsidRPr="009118AB">
        <w:rPr>
          <w:i/>
          <w:iCs/>
        </w:rPr>
        <w:t> -,</w:t>
      </w:r>
      <w:r w:rsidRPr="009118AB">
        <w:rPr>
          <w:i/>
          <w:iCs/>
        </w:rPr>
        <w:t xml:space="preserve">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w:t>
      </w:r>
      <w:r w:rsidR="00B3148A" w:rsidRPr="009118AB">
        <w:rPr>
          <w:i/>
          <w:iCs/>
        </w:rPr>
        <w:t>01 (B.S. vom 11. August 2001)</w:t>
      </w:r>
      <w:r w:rsidR="00D67EB8" w:rsidRPr="009118AB">
        <w:rPr>
          <w:i/>
          <w:iCs/>
        </w:rPr>
        <w:t> - </w:t>
      </w:r>
      <w:r w:rsidRPr="009118AB">
        <w:rPr>
          <w:i/>
          <w:iCs/>
        </w:rPr>
        <w:t>in Kraft ab dem 1. Januar 2002</w:t>
      </w:r>
      <w:r w:rsidR="00FD68E8" w:rsidRPr="009118AB">
        <w:rPr>
          <w:i/>
          <w:iCs/>
        </w:rPr>
        <w:t> -,</w:t>
      </w:r>
      <w:r w:rsidRPr="009118AB">
        <w:rPr>
          <w:i/>
          <w:iCs/>
        </w:rPr>
        <w:t xml:space="preserve"> durch </w:t>
      </w:r>
      <w:r w:rsidR="00D67EB8" w:rsidRPr="009118AB">
        <w:rPr>
          <w:i/>
          <w:iCs/>
        </w:rPr>
        <w:t>Art. </w:t>
      </w:r>
      <w:r w:rsidRPr="009118AB">
        <w:rPr>
          <w:i/>
          <w:iCs/>
        </w:rPr>
        <w:t xml:space="preserve">288 </w:t>
      </w:r>
      <w:r w:rsidR="00D67EB8" w:rsidRPr="009118AB">
        <w:rPr>
          <w:i/>
          <w:iCs/>
        </w:rPr>
        <w:t>Nr. </w:t>
      </w:r>
      <w:r w:rsidRPr="009118AB">
        <w:rPr>
          <w:i/>
          <w:iCs/>
        </w:rPr>
        <w:t xml:space="preserve">2 des </w:t>
      </w:r>
      <w:r w:rsidRPr="009118AB">
        <w:rPr>
          <w:i/>
          <w:iCs/>
          <w:spacing w:val="-1"/>
        </w:rPr>
        <w:t>G.</w:t>
      </w:r>
      <w:r w:rsidR="00E63781" w:rsidRPr="009118AB">
        <w:rPr>
          <w:i/>
          <w:iCs/>
          <w:spacing w:val="-1"/>
        </w:rPr>
        <w:t> </w:t>
      </w:r>
      <w:r w:rsidRPr="009118AB">
        <w:rPr>
          <w:i/>
          <w:iCs/>
          <w:spacing w:val="-1"/>
        </w:rPr>
        <w:t>vom 22. Dezember 2003 (B.S. vom 31. Dezember 2003)</w:t>
      </w:r>
      <w:r w:rsidR="00D67EB8" w:rsidRPr="009118AB">
        <w:rPr>
          <w:i/>
          <w:iCs/>
          <w:spacing w:val="-1"/>
        </w:rPr>
        <w:t> - </w:t>
      </w:r>
      <w:r w:rsidRPr="009118AB">
        <w:rPr>
          <w:i/>
          <w:iCs/>
          <w:spacing w:val="-1"/>
        </w:rPr>
        <w:t>in Kraft ab dem Steuerjahr 2004</w:t>
      </w:r>
      <w:r w:rsidR="00FD68E8" w:rsidRPr="009118AB">
        <w:rPr>
          <w:i/>
          <w:iCs/>
          <w:spacing w:val="-1"/>
        </w:rPr>
        <w:t> -,</w:t>
      </w:r>
      <w:r w:rsidRPr="009118AB">
        <w:rPr>
          <w:i/>
          <w:iCs/>
        </w:rPr>
        <w:t xml:space="preserve"> </w:t>
      </w:r>
      <w:r w:rsidR="00D67EB8" w:rsidRPr="009118AB">
        <w:rPr>
          <w:i/>
          <w:iCs/>
        </w:rPr>
        <w:t>Art. </w:t>
      </w:r>
      <w:r w:rsidRPr="009118AB">
        <w:rPr>
          <w:i/>
          <w:iCs/>
        </w:rPr>
        <w:t xml:space="preserve">288 </w:t>
      </w:r>
      <w:r w:rsidR="00D67EB8" w:rsidRPr="009118AB">
        <w:rPr>
          <w:i/>
          <w:iCs/>
        </w:rPr>
        <w:t>Nr. </w:t>
      </w:r>
      <w:r w:rsidRPr="009118AB">
        <w:rPr>
          <w:i/>
          <w:iCs/>
        </w:rPr>
        <w:t>1 des G. vom 22. Dezember 2003 (B.S. vom 31. Dezember 2003)</w:t>
      </w:r>
      <w:r w:rsidR="00D67EB8" w:rsidRPr="009118AB">
        <w:rPr>
          <w:i/>
          <w:iCs/>
        </w:rPr>
        <w:t> - </w:t>
      </w:r>
      <w:r w:rsidRPr="009118AB">
        <w:rPr>
          <w:i/>
          <w:iCs/>
        </w:rPr>
        <w:t>in Kraft ab dem Steuerjahr 2005</w:t>
      </w:r>
      <w:r w:rsidR="00FD68E8" w:rsidRPr="009118AB">
        <w:rPr>
          <w:i/>
          <w:iCs/>
        </w:rPr>
        <w:t> -,</w:t>
      </w:r>
      <w:r w:rsidR="0089521C" w:rsidRPr="009118AB">
        <w:rPr>
          <w:i/>
          <w:iCs/>
        </w:rPr>
        <w:t xml:space="preserve"> </w:t>
      </w:r>
      <w:r w:rsidR="00D67EB8" w:rsidRPr="009118AB">
        <w:rPr>
          <w:i/>
          <w:iCs/>
        </w:rPr>
        <w:t>Art. </w:t>
      </w:r>
      <w:r w:rsidR="0089521C" w:rsidRPr="009118AB">
        <w:rPr>
          <w:i/>
          <w:iCs/>
        </w:rPr>
        <w:t xml:space="preserve">18 </w:t>
      </w:r>
      <w:r w:rsidR="00D67EB8" w:rsidRPr="009118AB">
        <w:rPr>
          <w:i/>
          <w:iCs/>
        </w:rPr>
        <w:t>Nr. </w:t>
      </w:r>
      <w:r w:rsidR="0089521C" w:rsidRPr="009118AB">
        <w:rPr>
          <w:i/>
          <w:iCs/>
        </w:rPr>
        <w:t xml:space="preserve">1 des </w:t>
      </w:r>
      <w:r w:rsidR="00DC1F9F" w:rsidRPr="009118AB">
        <w:rPr>
          <w:i/>
          <w:iCs/>
        </w:rPr>
        <w:t>G. vom 22. Dezember 2009 (I)</w:t>
      </w:r>
      <w:r w:rsidR="0089521C" w:rsidRPr="009118AB">
        <w:rPr>
          <w:i/>
          <w:iCs/>
        </w:rPr>
        <w:t xml:space="preserve"> (B.S. vom 31. Dezember 2009)</w:t>
      </w:r>
      <w:r w:rsidR="00D67EB8" w:rsidRPr="009118AB">
        <w:rPr>
          <w:i/>
          <w:iCs/>
        </w:rPr>
        <w:t> - </w:t>
      </w:r>
      <w:r w:rsidR="0089521C" w:rsidRPr="009118AB">
        <w:rPr>
          <w:i/>
          <w:iCs/>
          <w:spacing w:val="2"/>
        </w:rPr>
        <w:t>anwendbar auf die ab dem 1. Januar 2009 tatsächlich gezahlten Ausgaben</w:t>
      </w:r>
      <w:r w:rsidR="00D67EB8" w:rsidRPr="009118AB">
        <w:rPr>
          <w:i/>
          <w:iCs/>
          <w:spacing w:val="2"/>
        </w:rPr>
        <w:t> - </w:t>
      </w:r>
      <w:r w:rsidR="001F3AD3" w:rsidRPr="009118AB">
        <w:rPr>
          <w:i/>
          <w:iCs/>
          <w:spacing w:val="2"/>
        </w:rPr>
        <w:t xml:space="preserve">und </w:t>
      </w:r>
      <w:r w:rsidR="00D67EB8" w:rsidRPr="009118AB">
        <w:rPr>
          <w:i/>
          <w:iCs/>
          <w:spacing w:val="2"/>
        </w:rPr>
        <w:t>Art. </w:t>
      </w:r>
      <w:r w:rsidR="002B16A0" w:rsidRPr="009118AB">
        <w:rPr>
          <w:i/>
          <w:iCs/>
          <w:spacing w:val="2"/>
        </w:rPr>
        <w:t>40</w:t>
      </w:r>
      <w:r w:rsidR="002B16A0" w:rsidRPr="009118AB">
        <w:rPr>
          <w:i/>
        </w:rPr>
        <w:t xml:space="preserve"> des G. vom 30. Juli 2013 (B.S. vom 1. August 2013)</w:t>
      </w:r>
      <w:r w:rsidR="00D67EB8" w:rsidRPr="009118AB">
        <w:rPr>
          <w:i/>
        </w:rPr>
        <w:t> - </w:t>
      </w:r>
      <w:r w:rsidR="002B16A0" w:rsidRPr="009118AB">
        <w:rPr>
          <w:i/>
        </w:rPr>
        <w:t>anwendbar auf die ab dem 1. </w:t>
      </w:r>
      <w:r w:rsidR="004F3F63" w:rsidRPr="009118AB">
        <w:rPr>
          <w:i/>
        </w:rPr>
        <w:t>Januar</w:t>
      </w:r>
      <w:r w:rsidR="002B16A0" w:rsidRPr="009118AB">
        <w:rPr>
          <w:i/>
        </w:rPr>
        <w:t> 2013 ge</w:t>
      </w:r>
      <w:r w:rsidR="004F3F63" w:rsidRPr="009118AB">
        <w:rPr>
          <w:i/>
        </w:rPr>
        <w:t>tätig</w:t>
      </w:r>
      <w:r w:rsidR="002B16A0" w:rsidRPr="009118AB">
        <w:rPr>
          <w:i/>
        </w:rPr>
        <w:t xml:space="preserve">ten </w:t>
      </w:r>
      <w:r w:rsidR="004F3F63" w:rsidRPr="009118AB">
        <w:rPr>
          <w:i/>
        </w:rPr>
        <w:t>Ausgaben</w:t>
      </w:r>
      <w:r w:rsidR="003366D9" w:rsidRPr="009118AB">
        <w:rPr>
          <w:i/>
        </w:rPr>
        <w:t> -;</w:t>
      </w:r>
      <w:r w:rsidRPr="009118AB">
        <w:rPr>
          <w:i/>
          <w:iCs/>
        </w:rPr>
        <w:t xml:space="preserve"> </w:t>
      </w:r>
      <w:r w:rsidR="00CB1FDE" w:rsidRPr="009118AB">
        <w:rPr>
          <w:i/>
          <w:iCs/>
        </w:rPr>
        <w:t xml:space="preserve">frühere </w:t>
      </w:r>
      <w:r w:rsidRPr="009118AB">
        <w:rPr>
          <w:i/>
          <w:iCs/>
        </w:rPr>
        <w:t>Abs</w:t>
      </w:r>
      <w:r w:rsidR="00CB1FDE" w:rsidRPr="009118AB">
        <w:rPr>
          <w:i/>
          <w:iCs/>
        </w:rPr>
        <w:t>ä</w:t>
      </w:r>
      <w:r w:rsidRPr="009118AB">
        <w:rPr>
          <w:i/>
          <w:iCs/>
        </w:rPr>
        <w:t>tz</w:t>
      </w:r>
      <w:r w:rsidR="00CB1FDE" w:rsidRPr="009118AB">
        <w:rPr>
          <w:i/>
          <w:iCs/>
        </w:rPr>
        <w:t>e</w:t>
      </w:r>
      <w:r w:rsidRPr="009118AB">
        <w:rPr>
          <w:i/>
          <w:iCs/>
        </w:rPr>
        <w:t> 2</w:t>
      </w:r>
      <w:r w:rsidR="00CB1FDE" w:rsidRPr="009118AB">
        <w:rPr>
          <w:i/>
          <w:iCs/>
        </w:rPr>
        <w:t xml:space="preserve"> und 3</w:t>
      </w:r>
      <w:r w:rsidRPr="009118AB">
        <w:rPr>
          <w:i/>
          <w:iCs/>
        </w:rPr>
        <w:t xml:space="preserve"> eingefügt durch </w:t>
      </w:r>
      <w:r w:rsidR="00D67EB8" w:rsidRPr="009118AB">
        <w:rPr>
          <w:i/>
          <w:iCs/>
        </w:rPr>
        <w:t>Art. </w:t>
      </w:r>
      <w:r w:rsidRPr="009118AB">
        <w:rPr>
          <w:i/>
          <w:iCs/>
        </w:rPr>
        <w:t xml:space="preserve">288 </w:t>
      </w:r>
      <w:r w:rsidR="00D67EB8" w:rsidRPr="009118AB">
        <w:rPr>
          <w:i/>
          <w:iCs/>
        </w:rPr>
        <w:t>Nr. </w:t>
      </w:r>
      <w:r w:rsidRPr="009118AB">
        <w:rPr>
          <w:i/>
          <w:iCs/>
        </w:rPr>
        <w:t>3 des G. vom 22. Dezember 2003 (B.S. vom 31. Dezember 2003)</w:t>
      </w:r>
      <w:r w:rsidR="00D67EB8" w:rsidRPr="009118AB">
        <w:rPr>
          <w:i/>
          <w:iCs/>
        </w:rPr>
        <w:t> - </w:t>
      </w:r>
      <w:r w:rsidRPr="009118AB">
        <w:rPr>
          <w:i/>
          <w:iCs/>
        </w:rPr>
        <w:t>in Kraft ab dem Steuerjahr 2005</w:t>
      </w:r>
      <w:r w:rsidR="00D67EB8" w:rsidRPr="009118AB">
        <w:rPr>
          <w:i/>
          <w:iCs/>
        </w:rPr>
        <w:t> - </w:t>
      </w:r>
      <w:r w:rsidR="00CB1FDE" w:rsidRPr="009118AB">
        <w:rPr>
          <w:i/>
          <w:iCs/>
        </w:rPr>
        <w:t xml:space="preserve">und ersetzt durch </w:t>
      </w:r>
      <w:r w:rsidR="00D67EB8" w:rsidRPr="009118AB">
        <w:rPr>
          <w:i/>
          <w:iCs/>
        </w:rPr>
        <w:t>Abs. </w:t>
      </w:r>
      <w:r w:rsidR="00CB1FDE" w:rsidRPr="009118AB">
        <w:rPr>
          <w:i/>
          <w:iCs/>
        </w:rPr>
        <w:t xml:space="preserve">2 durch </w:t>
      </w:r>
      <w:r w:rsidR="00D67EB8" w:rsidRPr="009118AB">
        <w:rPr>
          <w:i/>
          <w:iCs/>
        </w:rPr>
        <w:t>Art. </w:t>
      </w:r>
      <w:r w:rsidR="00CB1FDE" w:rsidRPr="009118AB">
        <w:rPr>
          <w:i/>
          <w:iCs/>
        </w:rPr>
        <w:t>18 des G. vom 13. Dezember 2012 (B.S. vom 20. Dezember 2012)</w:t>
      </w:r>
      <w:r w:rsidR="00D67EB8" w:rsidRPr="009118AB">
        <w:rPr>
          <w:i/>
          <w:iCs/>
        </w:rPr>
        <w:t> - </w:t>
      </w:r>
      <w:r w:rsidR="00CB1FDE" w:rsidRPr="009118AB">
        <w:rPr>
          <w:i/>
          <w:iCs/>
        </w:rPr>
        <w:t>in Kraft ab dem Steuerjahr 2013</w:t>
      </w:r>
      <w:r w:rsidR="003366D9" w:rsidRPr="009118AB">
        <w:rPr>
          <w:i/>
          <w:iCs/>
        </w:rPr>
        <w:t> -;</w:t>
      </w:r>
      <w:r w:rsidR="0089521C" w:rsidRPr="009118AB">
        <w:rPr>
          <w:i/>
          <w:iCs/>
        </w:rPr>
        <w:t xml:space="preserve"> </w:t>
      </w:r>
      <w:r w:rsidR="00D67EB8" w:rsidRPr="009118AB">
        <w:rPr>
          <w:i/>
          <w:iCs/>
        </w:rPr>
        <w:t>Abs. </w:t>
      </w:r>
      <w:r w:rsidR="00CB1FDE" w:rsidRPr="009118AB">
        <w:rPr>
          <w:i/>
          <w:iCs/>
        </w:rPr>
        <w:t>3</w:t>
      </w:r>
      <w:r w:rsidRPr="009118AB">
        <w:rPr>
          <w:i/>
          <w:iCs/>
        </w:rPr>
        <w:t xml:space="preserve"> </w:t>
      </w:r>
      <w:r w:rsidR="0089521C" w:rsidRPr="009118AB">
        <w:rPr>
          <w:i/>
          <w:iCs/>
        </w:rPr>
        <w:t>abgeänder</w:t>
      </w:r>
      <w:r w:rsidRPr="009118AB">
        <w:rPr>
          <w:i/>
          <w:iCs/>
        </w:rPr>
        <w:t xml:space="preserve">t durch </w:t>
      </w:r>
      <w:r w:rsidR="00D67EB8" w:rsidRPr="009118AB">
        <w:rPr>
          <w:i/>
          <w:iCs/>
        </w:rPr>
        <w:t>Art. </w:t>
      </w:r>
      <w:r w:rsidRPr="009118AB">
        <w:rPr>
          <w:i/>
          <w:iCs/>
        </w:rPr>
        <w:t xml:space="preserve">9 </w:t>
      </w:r>
      <w:r w:rsidR="00D67EB8" w:rsidRPr="009118AB">
        <w:rPr>
          <w:i/>
          <w:iCs/>
        </w:rPr>
        <w:t>Nr. </w:t>
      </w:r>
      <w:r w:rsidRPr="009118AB">
        <w:rPr>
          <w:i/>
          <w:iCs/>
        </w:rPr>
        <w:t>2 des G. vom 20. Juli 2001 (B.S. vom 11. August 2001)</w:t>
      </w:r>
      <w:r w:rsidR="00D67EB8" w:rsidRPr="009118AB">
        <w:rPr>
          <w:i/>
          <w:iCs/>
        </w:rPr>
        <w:t> - </w:t>
      </w:r>
      <w:r w:rsidRPr="009118AB">
        <w:rPr>
          <w:i/>
          <w:iCs/>
        </w:rPr>
        <w:t>in Kraft ab dem 11. August 2001</w:t>
      </w:r>
      <w:r w:rsidR="00D67EB8" w:rsidRPr="009118AB">
        <w:rPr>
          <w:i/>
          <w:iCs/>
        </w:rPr>
        <w:t> - </w:t>
      </w:r>
      <w:r w:rsidR="0089521C" w:rsidRPr="009118AB">
        <w:rPr>
          <w:i/>
          <w:iCs/>
        </w:rPr>
        <w:t xml:space="preserve">und </w:t>
      </w:r>
      <w:r w:rsidR="00D67EB8" w:rsidRPr="009118AB">
        <w:rPr>
          <w:i/>
          <w:iCs/>
        </w:rPr>
        <w:t>Art. </w:t>
      </w:r>
      <w:r w:rsidR="0089521C" w:rsidRPr="009118AB">
        <w:rPr>
          <w:i/>
          <w:iCs/>
        </w:rPr>
        <w:t xml:space="preserve">18 </w:t>
      </w:r>
      <w:r w:rsidR="00D67EB8" w:rsidRPr="009118AB">
        <w:rPr>
          <w:i/>
          <w:iCs/>
        </w:rPr>
        <w:t>Nr. </w:t>
      </w:r>
      <w:r w:rsidR="0089521C" w:rsidRPr="009118AB">
        <w:rPr>
          <w:i/>
          <w:iCs/>
        </w:rPr>
        <w:t xml:space="preserve">3 des </w:t>
      </w:r>
      <w:r w:rsidR="00DC1F9F" w:rsidRPr="009118AB">
        <w:rPr>
          <w:i/>
          <w:iCs/>
        </w:rPr>
        <w:t>G. vom 22. Dezember 2009 (I)</w:t>
      </w:r>
      <w:r w:rsidR="0089521C" w:rsidRPr="009118AB">
        <w:rPr>
          <w:i/>
          <w:iCs/>
        </w:rPr>
        <w:t xml:space="preserve"> (B.S. vom 31. Dezember 2009)</w:t>
      </w:r>
      <w:r w:rsidR="00D67EB8" w:rsidRPr="009118AB">
        <w:rPr>
          <w:i/>
          <w:iCs/>
        </w:rPr>
        <w:t> - </w:t>
      </w:r>
      <w:r w:rsidR="0089521C" w:rsidRPr="009118AB">
        <w:rPr>
          <w:i/>
          <w:iCs/>
          <w:spacing w:val="2"/>
        </w:rPr>
        <w:t>anwendbar auf die ab dem 1. Januar 2009 tatsächlich gezahlten Ausgaben</w:t>
      </w:r>
      <w:r w:rsidR="00FD68E8" w:rsidRPr="009118AB">
        <w:rPr>
          <w:i/>
          <w:iCs/>
          <w:spacing w:val="2"/>
        </w:rPr>
        <w:t> -]</w:t>
      </w:r>
    </w:p>
    <w:p w14:paraId="6838D41B" w14:textId="77777777" w:rsidR="00477B8F" w:rsidRPr="009118AB" w:rsidRDefault="00477B8F" w:rsidP="00477B8F">
      <w:pPr>
        <w:autoSpaceDE w:val="0"/>
        <w:autoSpaceDN w:val="0"/>
        <w:adjustRightInd w:val="0"/>
        <w:jc w:val="both"/>
      </w:pPr>
    </w:p>
    <w:p w14:paraId="672DF137" w14:textId="77777777" w:rsidR="00477B8F" w:rsidRPr="009118AB" w:rsidRDefault="00477B8F" w:rsidP="00477B8F">
      <w:pPr>
        <w:autoSpaceDE w:val="0"/>
        <w:autoSpaceDN w:val="0"/>
        <w:adjustRightInd w:val="0"/>
        <w:jc w:val="both"/>
      </w:pPr>
    </w:p>
    <w:p w14:paraId="688BA9EA" w14:textId="4429A07F"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22</w:t>
      </w:r>
      <w:r w:rsidR="00D67EB8" w:rsidRPr="009118AB">
        <w:t> - </w:t>
      </w:r>
      <w:r w:rsidRPr="009118AB">
        <w:t>Der König legt die Bedingungen fest, die die in Artikel 145</w:t>
      </w:r>
      <w:r w:rsidRPr="009118AB">
        <w:rPr>
          <w:vertAlign w:val="superscript"/>
        </w:rPr>
        <w:t>21</w:t>
      </w:r>
      <w:r w:rsidRPr="009118AB">
        <w:t xml:space="preserve"> erwähnten Ausgaben erfüllen müssen, um für die Steuerermäßigung berücksichtigt zu werden.</w:t>
      </w:r>
    </w:p>
    <w:p w14:paraId="5102552B" w14:textId="77777777" w:rsidR="00477B8F" w:rsidRPr="009118AB" w:rsidRDefault="00477B8F" w:rsidP="00477B8F">
      <w:pPr>
        <w:autoSpaceDE w:val="0"/>
        <w:autoSpaceDN w:val="0"/>
        <w:adjustRightInd w:val="0"/>
        <w:jc w:val="both"/>
      </w:pPr>
    </w:p>
    <w:p w14:paraId="618A2052" w14:textId="77777777" w:rsidR="00477B8F" w:rsidRPr="009118AB" w:rsidRDefault="00477B8F" w:rsidP="00477B8F">
      <w:pPr>
        <w:autoSpaceDE w:val="0"/>
        <w:autoSpaceDN w:val="0"/>
        <w:adjustRightInd w:val="0"/>
        <w:jc w:val="both"/>
      </w:pPr>
    </w:p>
    <w:p w14:paraId="0B06D17E" w14:textId="713D020D" w:rsidR="00184B83" w:rsidRPr="009118AB" w:rsidRDefault="00477B8F" w:rsidP="00184B83">
      <w:pPr>
        <w:jc w:val="both"/>
      </w:pPr>
      <w:r w:rsidRPr="009118AB">
        <w:tab/>
      </w:r>
      <w:r w:rsidR="00D67EB8" w:rsidRPr="009118AB">
        <w:rPr>
          <w:b/>
          <w:bCs/>
        </w:rPr>
        <w:t>Art. </w:t>
      </w:r>
      <w:r w:rsidRPr="009118AB">
        <w:rPr>
          <w:b/>
          <w:bCs/>
        </w:rPr>
        <w:t>145</w:t>
      </w:r>
      <w:r w:rsidRPr="009118AB">
        <w:rPr>
          <w:b/>
          <w:bCs/>
          <w:vertAlign w:val="superscript"/>
        </w:rPr>
        <w:t>23</w:t>
      </w:r>
      <w:r w:rsidR="00D67EB8" w:rsidRPr="009118AB">
        <w:t> - </w:t>
      </w:r>
      <w:r w:rsidRPr="009118AB">
        <w:t>[</w:t>
      </w:r>
      <w:r w:rsidR="00D67EB8" w:rsidRPr="009118AB">
        <w:t>§ </w:t>
      </w:r>
      <w:r w:rsidR="00184B83" w:rsidRPr="009118AB">
        <w:t>1</w:t>
      </w:r>
      <w:r w:rsidR="00D67EB8" w:rsidRPr="009118AB">
        <w:t> - </w:t>
      </w:r>
      <w:r w:rsidR="00184B83" w:rsidRPr="009118AB">
        <w:t>Wird eine gemeinsame Veranlagung festgelegt, wird die in Artikel 145</w:t>
      </w:r>
      <w:r w:rsidR="00184B83" w:rsidRPr="009118AB">
        <w:rPr>
          <w:vertAlign w:val="superscript"/>
        </w:rPr>
        <w:t>21</w:t>
      </w:r>
      <w:r w:rsidR="00184B83" w:rsidRPr="009118AB">
        <w:t xml:space="preserve"> erwähnte Steuerermäßigung entsprechend dem gemäß Artikel 130 besteuerten Einkommen jedes Ehepartners in der Gesamtheit der gemäß Artikel 130 besteuerten Einkünfte der beiden Ehepartner proportional aufgeteilt.</w:t>
      </w:r>
    </w:p>
    <w:p w14:paraId="1F9F913D" w14:textId="77777777" w:rsidR="00184B83" w:rsidRPr="009118AB" w:rsidRDefault="00184B83" w:rsidP="00184B83">
      <w:pPr>
        <w:jc w:val="both"/>
      </w:pPr>
    </w:p>
    <w:p w14:paraId="4793890E" w14:textId="189495BA" w:rsidR="00184B83" w:rsidRPr="009118AB" w:rsidRDefault="00184B83" w:rsidP="00184B83">
      <w:pPr>
        <w:jc w:val="both"/>
      </w:pPr>
      <w:r w:rsidRPr="009118AB">
        <w:tab/>
      </w:r>
      <w:r w:rsidR="00D67EB8" w:rsidRPr="009118AB">
        <w:t>§ </w:t>
      </w:r>
      <w:r w:rsidRPr="009118AB">
        <w:t>2</w:t>
      </w:r>
      <w:r w:rsidR="00D67EB8" w:rsidRPr="009118AB">
        <w:t> - </w:t>
      </w:r>
      <w:r w:rsidRPr="009118AB">
        <w:t>Der Teil der in Artikel 145</w:t>
      </w:r>
      <w:r w:rsidRPr="009118AB">
        <w:rPr>
          <w:vertAlign w:val="superscript"/>
        </w:rPr>
        <w:t>21</w:t>
      </w:r>
      <w:r w:rsidRPr="009118AB">
        <w:t xml:space="preserve"> erwähnten Steuerermäßigung, der sich auf Ausgaben für Leistungen bezieht, die mit Dienstleistungsschecks vergütet werden, und der nicht auf die regionalen Zuschlaghundertstel und regionalen Steuererhöhungen oder auf den Saldo der föderalen Steuer der natürlichen Personen angerechnet werden kann, wird in eine erstattungsfähige regionale Steuergutschrift umgewandelt.</w:t>
      </w:r>
    </w:p>
    <w:p w14:paraId="01FDCB43" w14:textId="77777777" w:rsidR="00184B83" w:rsidRPr="009118AB" w:rsidRDefault="00184B83" w:rsidP="00184B83">
      <w:pPr>
        <w:jc w:val="both"/>
      </w:pPr>
    </w:p>
    <w:p w14:paraId="006B6F68" w14:textId="5C28F695" w:rsidR="00184B83" w:rsidRPr="009118AB" w:rsidRDefault="00184B83" w:rsidP="00184B83">
      <w:pPr>
        <w:jc w:val="both"/>
      </w:pPr>
      <w:r w:rsidRPr="009118AB">
        <w:tab/>
        <w:t xml:space="preserve">Vorliegender Paragraph ist nicht anwendbar, wenn das steuerpflichtige Einkommen des Steuerpflichtigen ausschließlich der gemäß Artikel 171 besteuerten Einkünfte den in Artikel 131 Absatz 1 </w:t>
      </w:r>
      <w:r w:rsidR="00D67EB8" w:rsidRPr="009118AB">
        <w:t>Nr. </w:t>
      </w:r>
      <w:r w:rsidRPr="009118AB">
        <w:t xml:space="preserve">1 erwähnten Betrag übersteigt. </w:t>
      </w:r>
    </w:p>
    <w:p w14:paraId="349DA6C0" w14:textId="77777777" w:rsidR="00184B83" w:rsidRPr="009118AB" w:rsidRDefault="00184B83" w:rsidP="00184B83">
      <w:pPr>
        <w:jc w:val="both"/>
      </w:pPr>
    </w:p>
    <w:p w14:paraId="1F12E68B" w14:textId="77777777" w:rsidR="00477B8F" w:rsidRPr="009118AB" w:rsidRDefault="00184B83" w:rsidP="00184B83">
      <w:pPr>
        <w:autoSpaceDE w:val="0"/>
        <w:autoSpaceDN w:val="0"/>
        <w:adjustRightInd w:val="0"/>
        <w:jc w:val="both"/>
      </w:pPr>
      <w:r w:rsidRPr="009118AB">
        <w:tab/>
        <w:t>Vorliegender Paragraph ist ebenfalls nicht auf Steuerpflichtige anwendbar, die Berufseinkünfte beziehen, die aufgrund eines Abkommens steuerfrei sind und nicht für die Berechnung der Steuer in Bezug auf ihre anderen Einkünfte berücksichtigt werden.</w:t>
      </w:r>
      <w:r w:rsidR="00477B8F" w:rsidRPr="009118AB">
        <w:t>]]</w:t>
      </w:r>
    </w:p>
    <w:p w14:paraId="33231E2D" w14:textId="77777777" w:rsidR="00477B8F" w:rsidRPr="009118AB" w:rsidRDefault="00477B8F" w:rsidP="00477B8F">
      <w:pPr>
        <w:autoSpaceDE w:val="0"/>
        <w:autoSpaceDN w:val="0"/>
        <w:adjustRightInd w:val="0"/>
        <w:jc w:val="both"/>
      </w:pPr>
    </w:p>
    <w:p w14:paraId="654984F7" w14:textId="4177F986" w:rsidR="00945A8B" w:rsidRPr="009118AB" w:rsidRDefault="00477B8F" w:rsidP="00945A8B">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23</w:t>
      </w:r>
      <w:r w:rsidRPr="009118AB">
        <w:rPr>
          <w:i/>
          <w:iCs/>
        </w:rPr>
        <w:t xml:space="preserve"> ersetzt durch </w:t>
      </w:r>
      <w:r w:rsidR="00D67EB8" w:rsidRPr="009118AB">
        <w:rPr>
          <w:i/>
          <w:iCs/>
        </w:rPr>
        <w:t>Art. </w:t>
      </w:r>
      <w:r w:rsidR="00184B83" w:rsidRPr="009118AB">
        <w:rPr>
          <w:i/>
          <w:iCs/>
        </w:rPr>
        <w:t>29</w:t>
      </w:r>
      <w:r w:rsidR="00184B83" w:rsidRPr="009118AB">
        <w:rPr>
          <w:i/>
        </w:rPr>
        <w:t xml:space="preserve"> des G. vom 8. Mai 2014 (B.S. vom 28. Mai 2014)</w:t>
      </w:r>
      <w:r w:rsidR="00D67EB8" w:rsidRPr="009118AB">
        <w:rPr>
          <w:i/>
        </w:rPr>
        <w:t> - </w:t>
      </w:r>
      <w:r w:rsidR="00184B83" w:rsidRPr="009118AB">
        <w:rPr>
          <w:i/>
          <w:iCs/>
        </w:rPr>
        <w:t>anwendbar ab dem Steuerjahr 2015</w:t>
      </w:r>
      <w:r w:rsidR="00FD68E8" w:rsidRPr="009118AB">
        <w:rPr>
          <w:i/>
          <w:iCs/>
        </w:rPr>
        <w:t> -]</w:t>
      </w:r>
    </w:p>
    <w:p w14:paraId="507EED68" w14:textId="63E91897" w:rsidR="000B68D2" w:rsidRPr="009118AB" w:rsidRDefault="00477B8F" w:rsidP="009A3A7D">
      <w:pPr>
        <w:autoSpaceDE w:val="0"/>
        <w:autoSpaceDN w:val="0"/>
        <w:adjustRightInd w:val="0"/>
        <w:jc w:val="center"/>
      </w:pPr>
      <w:r w:rsidRPr="009118AB">
        <w:br w:type="page"/>
      </w:r>
      <w:r w:rsidRPr="009118AB">
        <w:lastRenderedPageBreak/>
        <w:t>[Unterabschnitt </w:t>
      </w:r>
      <w:r w:rsidR="00D74862" w:rsidRPr="009118AB">
        <w:t>2</w:t>
      </w:r>
      <w:r w:rsidRPr="009118AB">
        <w:rPr>
          <w:i/>
          <w:iCs/>
        </w:rPr>
        <w:t>quinquies</w:t>
      </w:r>
      <w:r w:rsidR="00D67EB8" w:rsidRPr="009118AB">
        <w:t> - </w:t>
      </w:r>
      <w:r w:rsidR="000B68D2" w:rsidRPr="009118AB">
        <w:t>[Ermäßigung für Ausgaben zur Energieeinsparung in einer Wohnung]</w:t>
      </w:r>
    </w:p>
    <w:p w14:paraId="30667FB5" w14:textId="77777777" w:rsidR="000B68D2" w:rsidRPr="009118AB" w:rsidRDefault="000B68D2" w:rsidP="000B68D2">
      <w:pPr>
        <w:autoSpaceDE w:val="0"/>
        <w:autoSpaceDN w:val="0"/>
        <w:adjustRightInd w:val="0"/>
        <w:jc w:val="both"/>
      </w:pPr>
    </w:p>
    <w:p w14:paraId="673DFCD2" w14:textId="1CE55ACC" w:rsidR="000B68D2" w:rsidRPr="009118AB" w:rsidRDefault="000B68D2" w:rsidP="000B68D2">
      <w:pPr>
        <w:autoSpaceDE w:val="0"/>
        <w:autoSpaceDN w:val="0"/>
        <w:adjustRightInd w:val="0"/>
        <w:jc w:val="both"/>
        <w:rPr>
          <w:iCs/>
        </w:rPr>
      </w:pPr>
      <w:r w:rsidRPr="009118AB">
        <w:rPr>
          <w:i/>
          <w:iCs/>
        </w:rPr>
        <w:t>[Unterabschnitt </w:t>
      </w:r>
      <w:r w:rsidR="00D74862" w:rsidRPr="009118AB">
        <w:rPr>
          <w:i/>
          <w:iCs/>
        </w:rPr>
        <w:t>2</w:t>
      </w:r>
      <w:r w:rsidRPr="009118AB">
        <w:rPr>
          <w:i/>
          <w:iCs/>
        </w:rPr>
        <w:t xml:space="preserve">quinquies mit </w:t>
      </w:r>
      <w:r w:rsidR="00D67EB8" w:rsidRPr="009118AB">
        <w:rPr>
          <w:i/>
          <w:iCs/>
        </w:rPr>
        <w:t>Art. </w:t>
      </w:r>
      <w:r w:rsidRPr="009118AB">
        <w:rPr>
          <w:i/>
          <w:iCs/>
        </w:rPr>
        <w:t>145</w:t>
      </w:r>
      <w:r w:rsidRPr="009118AB">
        <w:rPr>
          <w:i/>
          <w:iCs/>
          <w:vertAlign w:val="superscript"/>
        </w:rPr>
        <w:t>24</w:t>
      </w:r>
      <w:r w:rsidRPr="009118AB">
        <w:rPr>
          <w:i/>
          <w:iCs/>
        </w:rPr>
        <w:t xml:space="preserve"> eingefügt durch </w:t>
      </w:r>
      <w:r w:rsidR="00D67EB8" w:rsidRPr="009118AB">
        <w:rPr>
          <w:i/>
          <w:iCs/>
        </w:rPr>
        <w:t>Art. </w:t>
      </w:r>
      <w:r w:rsidRPr="009118AB">
        <w:rPr>
          <w:i/>
          <w:iCs/>
        </w:rPr>
        <w:t xml:space="preserve">33 Buchstabe A des G. vom 10. August 2001 (B.S. vom 20. September 2001); Überschrift von Unterabschnitt </w:t>
      </w:r>
      <w:r w:rsidR="00D74862" w:rsidRPr="009118AB">
        <w:rPr>
          <w:i/>
          <w:iCs/>
        </w:rPr>
        <w:t>2</w:t>
      </w:r>
      <w:r w:rsidRPr="009118AB">
        <w:rPr>
          <w:i/>
          <w:iCs/>
        </w:rPr>
        <w:t xml:space="preserve">quinquies ersetzt durch </w:t>
      </w:r>
      <w:r w:rsidR="00D67EB8" w:rsidRPr="009118AB">
        <w:rPr>
          <w:i/>
          <w:iCs/>
        </w:rPr>
        <w:t>Art. </w:t>
      </w:r>
      <w:r w:rsidRPr="009118AB">
        <w:rPr>
          <w:i/>
          <w:iCs/>
        </w:rPr>
        <w:t>120 des G. vom 23. Dezember 2009</w:t>
      </w:r>
      <w:r w:rsidR="00B3148A" w:rsidRPr="009118AB">
        <w:rPr>
          <w:i/>
          <w:iCs/>
        </w:rPr>
        <w:t xml:space="preserve"> (B.S. vom 30. Dezember 2009)</w:t>
      </w:r>
      <w:r w:rsidR="00D67EB8" w:rsidRPr="009118AB">
        <w:rPr>
          <w:i/>
          <w:iCs/>
        </w:rPr>
        <w:t> - </w:t>
      </w:r>
      <w:r w:rsidRPr="009118AB">
        <w:rPr>
          <w:i/>
          <w:iCs/>
        </w:rPr>
        <w:t>anwendbar auf die ab dem 1. Januar 2010 tatsächlich gezahlten Ausgaben</w:t>
      </w:r>
      <w:r w:rsidR="00FD68E8" w:rsidRPr="009118AB">
        <w:rPr>
          <w:i/>
          <w:iCs/>
        </w:rPr>
        <w:t> -]</w:t>
      </w:r>
    </w:p>
    <w:p w14:paraId="5018FBB9" w14:textId="77777777" w:rsidR="000B68D2" w:rsidRPr="009118AB" w:rsidRDefault="000B68D2" w:rsidP="000B68D2">
      <w:pPr>
        <w:autoSpaceDE w:val="0"/>
        <w:autoSpaceDN w:val="0"/>
        <w:adjustRightInd w:val="0"/>
        <w:jc w:val="both"/>
      </w:pPr>
    </w:p>
    <w:p w14:paraId="697DD693" w14:textId="77777777" w:rsidR="00A34ED3" w:rsidRPr="009118AB" w:rsidRDefault="00A34ED3" w:rsidP="00A34ED3">
      <w:pPr>
        <w:autoSpaceDE w:val="0"/>
        <w:autoSpaceDN w:val="0"/>
        <w:adjustRightInd w:val="0"/>
        <w:jc w:val="both"/>
      </w:pPr>
    </w:p>
    <w:p w14:paraId="1B9DB499" w14:textId="34669B62" w:rsidR="00184B83" w:rsidRPr="009118AB" w:rsidRDefault="00184B83" w:rsidP="00184B83">
      <w:pPr>
        <w:jc w:val="both"/>
      </w:pPr>
      <w:r w:rsidRPr="009118AB">
        <w:rPr>
          <w:b/>
        </w:rPr>
        <w:tab/>
      </w:r>
      <w:r w:rsidR="00D67EB8" w:rsidRPr="009118AB">
        <w:rPr>
          <w:b/>
        </w:rPr>
        <w:t>Art. </w:t>
      </w:r>
      <w:r w:rsidR="00A34ED3" w:rsidRPr="009118AB">
        <w:rPr>
          <w:b/>
        </w:rPr>
        <w:t>145</w:t>
      </w:r>
      <w:r w:rsidR="00A34ED3" w:rsidRPr="009118AB">
        <w:rPr>
          <w:b/>
          <w:vertAlign w:val="superscript"/>
        </w:rPr>
        <w:t>24</w:t>
      </w:r>
      <w:r w:rsidR="00D67EB8" w:rsidRPr="009118AB">
        <w:t> - </w:t>
      </w:r>
      <w:r w:rsidR="006A2667" w:rsidRPr="009118AB">
        <w:t>[</w:t>
      </w:r>
      <w:r w:rsidR="00D67EB8" w:rsidRPr="009118AB">
        <w:t>§ </w:t>
      </w:r>
      <w:r w:rsidR="006A2667" w:rsidRPr="009118AB">
        <w:t>1]</w:t>
      </w:r>
      <w:r w:rsidR="00D67EB8" w:rsidRPr="009118AB">
        <w:t> - </w:t>
      </w:r>
      <w:r w:rsidR="006A2667" w:rsidRPr="009118AB">
        <w:t>[</w:t>
      </w:r>
      <w:r w:rsidRPr="009118AB">
        <w:t>Ermäßigungen für Ausgaben zur Energieeinsparung, die 2011 und 2012 gezahlt wurden und gemäß den auf diese Ausgaben anwendbaren Bestimmungen auf die drei Besteuerungszeiträume nach dem Besteuerungszeitraum übertragen werden können, in dem die Ausgaben tatsächlich getätigt worden sind, werden in den Grenzen und gemäß den Modalitäten gewährt, die in vorliegendem Paragraphen festgelegt sind.</w:t>
      </w:r>
    </w:p>
    <w:p w14:paraId="0C261A57" w14:textId="77777777" w:rsidR="00184B83" w:rsidRPr="009118AB" w:rsidRDefault="00184B83" w:rsidP="00184B83">
      <w:pPr>
        <w:jc w:val="both"/>
      </w:pPr>
    </w:p>
    <w:p w14:paraId="2CCD3D65" w14:textId="77777777" w:rsidR="00184B83" w:rsidRPr="009118AB" w:rsidRDefault="00184B83" w:rsidP="00184B83">
      <w:pPr>
        <w:jc w:val="both"/>
      </w:pPr>
      <w:r w:rsidRPr="009118AB">
        <w:tab/>
        <w:t>Der Gesamtbetrag der verschiedenen Steuerermäßigungen darf pro Besteuerungs</w:t>
      </w:r>
      <w:r w:rsidRPr="009118AB">
        <w:softHyphen/>
        <w:t>zeitraum und pro Wohnung nicht mehr als 2.000 EUR betragen. Dieser Betrag wird jedoch um 600 EUR erhöht, sofern diese Erhöhung ausschließlich eine übertragene Steuerermäßigung für Ausgaben für die Installation von photovoltaischen Solarzellen zur Umwandlung von Sonnenenergie in elektrische Energie betrifft.</w:t>
      </w:r>
    </w:p>
    <w:p w14:paraId="58B91199" w14:textId="77777777" w:rsidR="00184B83" w:rsidRPr="009118AB" w:rsidRDefault="00184B83" w:rsidP="00184B83">
      <w:pPr>
        <w:jc w:val="both"/>
      </w:pPr>
    </w:p>
    <w:p w14:paraId="4EE5067A" w14:textId="77777777" w:rsidR="00184B83" w:rsidRPr="009118AB" w:rsidRDefault="00184B83" w:rsidP="00184B83">
      <w:pPr>
        <w:jc w:val="both"/>
      </w:pPr>
      <w:r w:rsidRPr="009118AB">
        <w:tab/>
        <w:t>Übersteigt der Gesamtbetrag der übertragenen Steuerermäßigungen den in Absatz 2 erwähnten Grenzbetrag, kann der Überschuss in Bezug auf den noch übertragbaren Teil der übertragenen Ermäßigungen übertragen werden.</w:t>
      </w:r>
    </w:p>
    <w:p w14:paraId="433665BD" w14:textId="77777777" w:rsidR="00184B83" w:rsidRPr="009118AB" w:rsidRDefault="00184B83" w:rsidP="00184B83">
      <w:pPr>
        <w:jc w:val="both"/>
      </w:pPr>
    </w:p>
    <w:p w14:paraId="18E9E153" w14:textId="77777777" w:rsidR="00184B83" w:rsidRPr="009118AB" w:rsidRDefault="00184B83" w:rsidP="00184B83">
      <w:pPr>
        <w:jc w:val="both"/>
      </w:pPr>
      <w:r w:rsidRPr="009118AB">
        <w:t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5F75E293" w14:textId="77777777" w:rsidR="00184B83" w:rsidRPr="009118AB" w:rsidRDefault="00184B83" w:rsidP="00184B83">
      <w:pPr>
        <w:jc w:val="both"/>
      </w:pPr>
    </w:p>
    <w:p w14:paraId="48820ECC" w14:textId="56095CC3" w:rsidR="00184B83" w:rsidRPr="009118AB" w:rsidRDefault="00184B83" w:rsidP="00184B83">
      <w:pPr>
        <w:jc w:val="both"/>
      </w:pPr>
      <w:r w:rsidRPr="009118AB">
        <w:tab/>
        <w:t xml:space="preserve">Der Teil der Steuerermäßigungen, der sich auf Ausgaben zur Energieeinsparung bezieht, die in Absatz 1 </w:t>
      </w:r>
      <w:r w:rsidR="00D67EB8" w:rsidRPr="009118AB">
        <w:t>Nr. </w:t>
      </w:r>
      <w:r w:rsidRPr="009118AB">
        <w:t>1 und 4 bis 7 erwähnt sind, so wie er für den Besteuerungszeitraum anwendbar war, in dem die Ausgaben gezahlt worden sind, und der nach Anwendung von Artikel 178/1 nicht angerechnet ist, wird in eine erstattungsfähige Steuergutschrift umgewandelt.</w:t>
      </w:r>
    </w:p>
    <w:p w14:paraId="407E8971" w14:textId="77777777" w:rsidR="00184B83" w:rsidRPr="009118AB" w:rsidRDefault="00184B83" w:rsidP="00184B83">
      <w:pPr>
        <w:jc w:val="both"/>
      </w:pPr>
    </w:p>
    <w:p w14:paraId="516B8C04" w14:textId="77777777" w:rsidR="00184B83" w:rsidRPr="009118AB" w:rsidRDefault="00184B83" w:rsidP="00184B83">
      <w:pPr>
        <w:jc w:val="both"/>
      </w:pPr>
      <w:r w:rsidRPr="009118AB">
        <w:tab/>
        <w:t>Vorhergehender Absatz ist nicht auf Steuerpflichtige anwendbar, die Berufseinkünfte beziehen, die aufgrund eines Abkommens steuerfrei sind und nicht für die Berechnung der Steuer in Bezug auf ihre anderen Einkünfte berücksichtigt werden.</w:t>
      </w:r>
    </w:p>
    <w:p w14:paraId="25E758BC" w14:textId="77777777" w:rsidR="00184B83" w:rsidRPr="009118AB" w:rsidRDefault="00184B83" w:rsidP="00184B83">
      <w:pPr>
        <w:jc w:val="both"/>
      </w:pPr>
    </w:p>
    <w:p w14:paraId="3743F1A0" w14:textId="77777777" w:rsidR="006A2667" w:rsidRPr="009118AB" w:rsidRDefault="00184B83" w:rsidP="00184B83">
      <w:pPr>
        <w:autoSpaceDE w:val="0"/>
        <w:autoSpaceDN w:val="0"/>
        <w:adjustRightInd w:val="0"/>
        <w:ind w:firstLine="709"/>
        <w:jc w:val="both"/>
      </w:pPr>
      <w:r w:rsidRPr="009118AB">
        <w:t>Der König legt die Reihenfolge fest, in der die in vorliegendem Paragraphen erwähnten Ermäßigungen angerechnet werden.]</w:t>
      </w:r>
    </w:p>
    <w:p w14:paraId="44994BFC" w14:textId="77777777" w:rsidR="006A2667" w:rsidRPr="009118AB" w:rsidRDefault="006A2667" w:rsidP="00C43B24">
      <w:pPr>
        <w:autoSpaceDE w:val="0"/>
        <w:autoSpaceDN w:val="0"/>
        <w:adjustRightInd w:val="0"/>
        <w:ind w:firstLine="709"/>
        <w:jc w:val="both"/>
      </w:pPr>
    </w:p>
    <w:p w14:paraId="4804D99D" w14:textId="12C40C20" w:rsidR="006A2667" w:rsidRPr="009118AB" w:rsidRDefault="006A2667" w:rsidP="00C43B24">
      <w:pPr>
        <w:autoSpaceDE w:val="0"/>
        <w:autoSpaceDN w:val="0"/>
        <w:adjustRightInd w:val="0"/>
        <w:ind w:firstLine="709"/>
        <w:jc w:val="both"/>
      </w:pPr>
      <w:r w:rsidRPr="009118AB">
        <w:t>[</w:t>
      </w:r>
      <w:r w:rsidR="00D67EB8" w:rsidRPr="009118AB">
        <w:t>§ </w:t>
      </w:r>
      <w:r w:rsidRPr="009118AB">
        <w:t>2</w:t>
      </w:r>
      <w:r w:rsidR="00D67EB8" w:rsidRPr="009118AB">
        <w:t> - </w:t>
      </w:r>
      <w:r w:rsidRPr="009118AB">
        <w:t>[...]]</w:t>
      </w:r>
    </w:p>
    <w:p w14:paraId="7D1D386B" w14:textId="77777777" w:rsidR="006A2667" w:rsidRPr="009118AB" w:rsidRDefault="006A2667" w:rsidP="00C43B24">
      <w:pPr>
        <w:autoSpaceDE w:val="0"/>
        <w:autoSpaceDN w:val="0"/>
        <w:adjustRightInd w:val="0"/>
        <w:ind w:firstLine="709"/>
        <w:jc w:val="both"/>
      </w:pPr>
    </w:p>
    <w:p w14:paraId="650A5FA6" w14:textId="76A4BF64" w:rsidR="006A2667" w:rsidRPr="009118AB" w:rsidRDefault="006A2667" w:rsidP="00C43B24">
      <w:pPr>
        <w:autoSpaceDE w:val="0"/>
        <w:autoSpaceDN w:val="0"/>
        <w:adjustRightInd w:val="0"/>
        <w:ind w:firstLine="709"/>
        <w:jc w:val="both"/>
      </w:pPr>
      <w:r w:rsidRPr="009118AB">
        <w:t>[</w:t>
      </w:r>
      <w:r w:rsidR="00D67EB8" w:rsidRPr="009118AB">
        <w:t>§ </w:t>
      </w:r>
      <w:r w:rsidRPr="009118AB">
        <w:t>3</w:t>
      </w:r>
      <w:r w:rsidR="00D67EB8" w:rsidRPr="009118AB">
        <w:t> - </w:t>
      </w:r>
      <w:r w:rsidRPr="009118AB">
        <w:t xml:space="preserve">Eine Steuerermäßigung wird </w:t>
      </w:r>
      <w:r w:rsidR="00184B83" w:rsidRPr="009118AB">
        <w:t>[…]</w:t>
      </w:r>
      <w:r w:rsidRPr="009118AB">
        <w:t xml:space="preserve"> für Zinsen gewährt, die sich auf die in Artikel 2 des Gesetzes vom 27. März 2009 zur Belebung der Wirtschaft erwähnten Darlehensverträge beziehen.</w:t>
      </w:r>
    </w:p>
    <w:p w14:paraId="5A044A08" w14:textId="77777777" w:rsidR="006A2667" w:rsidRPr="009118AB" w:rsidRDefault="006A2667" w:rsidP="00C43B24">
      <w:pPr>
        <w:autoSpaceDE w:val="0"/>
        <w:autoSpaceDN w:val="0"/>
        <w:adjustRightInd w:val="0"/>
        <w:ind w:firstLine="709"/>
        <w:jc w:val="both"/>
      </w:pPr>
    </w:p>
    <w:p w14:paraId="7198EFDE" w14:textId="77777777" w:rsidR="006A2667" w:rsidRPr="009118AB" w:rsidRDefault="006A2667" w:rsidP="00C43B24">
      <w:pPr>
        <w:autoSpaceDE w:val="0"/>
        <w:autoSpaceDN w:val="0"/>
        <w:adjustRightInd w:val="0"/>
        <w:ind w:firstLine="709"/>
        <w:jc w:val="both"/>
      </w:pPr>
      <w:r w:rsidRPr="009118AB">
        <w:lastRenderedPageBreak/>
        <w:t>Die Steuerermäßigung beträgt [30 Prozent] der während des Besteuerungszeitraums tatsächlich getragenen Zinsen nach Abzug der in Artikel 2 des Gesetzes vom 27. März 2009 zur Belebung der Wirtschaft erwähnten staatlichen Beteiligung.</w:t>
      </w:r>
    </w:p>
    <w:p w14:paraId="1337051F" w14:textId="77777777" w:rsidR="006A2667" w:rsidRPr="009118AB" w:rsidRDefault="006A2667" w:rsidP="00C43B24">
      <w:pPr>
        <w:autoSpaceDE w:val="0"/>
        <w:autoSpaceDN w:val="0"/>
        <w:adjustRightInd w:val="0"/>
        <w:ind w:firstLine="709"/>
        <w:jc w:val="both"/>
      </w:pPr>
    </w:p>
    <w:p w14:paraId="40CC3846" w14:textId="77777777" w:rsidR="006A2667" w:rsidRPr="009118AB" w:rsidRDefault="006A2667" w:rsidP="00C43B24">
      <w:pPr>
        <w:autoSpaceDE w:val="0"/>
        <w:autoSpaceDN w:val="0"/>
        <w:adjustRightInd w:val="0"/>
        <w:ind w:firstLine="709"/>
        <w:jc w:val="both"/>
      </w:pPr>
      <w:r w:rsidRPr="009118AB">
        <w:t>Die Steuerermäßigung ist nicht anwendbar auf Zinsen:</w:t>
      </w:r>
    </w:p>
    <w:p w14:paraId="7597B03D" w14:textId="77777777" w:rsidR="006A2667" w:rsidRPr="009118AB" w:rsidRDefault="006A2667" w:rsidP="00C43B24">
      <w:pPr>
        <w:autoSpaceDE w:val="0"/>
        <w:autoSpaceDN w:val="0"/>
        <w:adjustRightInd w:val="0"/>
        <w:ind w:firstLine="709"/>
        <w:jc w:val="both"/>
      </w:pPr>
    </w:p>
    <w:p w14:paraId="57511A0E" w14:textId="77777777" w:rsidR="006A2667" w:rsidRPr="009118AB" w:rsidRDefault="006A2667" w:rsidP="00C43B24">
      <w:pPr>
        <w:autoSpaceDE w:val="0"/>
        <w:autoSpaceDN w:val="0"/>
        <w:adjustRightInd w:val="0"/>
        <w:ind w:firstLine="709"/>
        <w:jc w:val="both"/>
      </w:pPr>
      <w:r w:rsidRPr="009118AB">
        <w:rPr>
          <w:i/>
          <w:iCs/>
        </w:rPr>
        <w:t>a)</w:t>
      </w:r>
      <w:r w:rsidRPr="009118AB">
        <w:t xml:space="preserve"> die als tatsächliche Werbungskosten berücksichtigt werden,</w:t>
      </w:r>
    </w:p>
    <w:p w14:paraId="5D617BB4" w14:textId="77777777" w:rsidR="006A2667" w:rsidRPr="009118AB" w:rsidRDefault="006A2667" w:rsidP="00C43B24">
      <w:pPr>
        <w:autoSpaceDE w:val="0"/>
        <w:autoSpaceDN w:val="0"/>
        <w:adjustRightInd w:val="0"/>
        <w:ind w:firstLine="709"/>
        <w:jc w:val="both"/>
        <w:rPr>
          <w:i/>
        </w:rPr>
      </w:pPr>
      <w:r w:rsidRPr="009118AB">
        <w:rPr>
          <w:i/>
        </w:rPr>
        <w:tab/>
      </w:r>
    </w:p>
    <w:p w14:paraId="7FD38273" w14:textId="1CF83BAA" w:rsidR="006A2667" w:rsidRPr="009118AB" w:rsidRDefault="006A2667" w:rsidP="00C43B24">
      <w:pPr>
        <w:autoSpaceDE w:val="0"/>
        <w:autoSpaceDN w:val="0"/>
        <w:adjustRightInd w:val="0"/>
        <w:ind w:firstLine="709"/>
        <w:jc w:val="both"/>
      </w:pPr>
      <w:r w:rsidRPr="009118AB">
        <w:rPr>
          <w:i/>
        </w:rPr>
        <w:t>b)</w:t>
      </w:r>
      <w:r w:rsidRPr="009118AB">
        <w:t xml:space="preserve"> </w:t>
      </w:r>
      <w:r w:rsidR="00184B83" w:rsidRPr="009118AB">
        <w:t xml:space="preserve">[für die die Anwendung der Artikel 14, 526 </w:t>
      </w:r>
      <w:r w:rsidR="00D67EB8" w:rsidRPr="009118AB">
        <w:t>§ </w:t>
      </w:r>
      <w:r w:rsidR="00184B83" w:rsidRPr="009118AB">
        <w:t>1 oder 539 oder eine regionale Steuerermäßigung oder regionale Steuergutschrift beantragt wurde.]</w:t>
      </w:r>
    </w:p>
    <w:p w14:paraId="704082B7" w14:textId="77777777" w:rsidR="006A2667" w:rsidRPr="009118AB" w:rsidRDefault="006A2667" w:rsidP="00C43B24">
      <w:pPr>
        <w:autoSpaceDE w:val="0"/>
        <w:autoSpaceDN w:val="0"/>
        <w:adjustRightInd w:val="0"/>
        <w:ind w:firstLine="709"/>
        <w:jc w:val="both"/>
      </w:pPr>
    </w:p>
    <w:p w14:paraId="75E399F1" w14:textId="77777777" w:rsidR="006A2667" w:rsidRPr="009118AB" w:rsidRDefault="00184B83" w:rsidP="00C43B24">
      <w:pPr>
        <w:autoSpaceDE w:val="0"/>
        <w:autoSpaceDN w:val="0"/>
        <w:adjustRightInd w:val="0"/>
        <w:ind w:firstLine="709"/>
        <w:jc w:val="both"/>
      </w:pPr>
      <w:r w:rsidRPr="009118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3795AF4F" w14:textId="77777777" w:rsidR="006A2667" w:rsidRPr="009118AB" w:rsidRDefault="006A2667" w:rsidP="00C43B24">
      <w:pPr>
        <w:autoSpaceDE w:val="0"/>
        <w:autoSpaceDN w:val="0"/>
        <w:adjustRightInd w:val="0"/>
        <w:ind w:firstLine="709"/>
        <w:jc w:val="both"/>
      </w:pPr>
    </w:p>
    <w:p w14:paraId="04732DD0" w14:textId="77777777" w:rsidR="006A2667" w:rsidRPr="009118AB" w:rsidRDefault="006A2667" w:rsidP="00C43B24">
      <w:pPr>
        <w:autoSpaceDE w:val="0"/>
        <w:autoSpaceDN w:val="0"/>
        <w:adjustRightInd w:val="0"/>
        <w:ind w:firstLine="709"/>
        <w:jc w:val="both"/>
      </w:pPr>
      <w:r w:rsidRPr="009118AB">
        <w:t>Der König bestimmt die Modalitäten der Anwendung der Ermäßigung.]</w:t>
      </w:r>
    </w:p>
    <w:p w14:paraId="51B13C4F" w14:textId="77777777" w:rsidR="006A2667" w:rsidRPr="009118AB" w:rsidRDefault="006A2667" w:rsidP="00C43B24">
      <w:pPr>
        <w:autoSpaceDE w:val="0"/>
        <w:autoSpaceDN w:val="0"/>
        <w:adjustRightInd w:val="0"/>
        <w:ind w:firstLine="709"/>
        <w:jc w:val="both"/>
      </w:pPr>
    </w:p>
    <w:p w14:paraId="176381F0" w14:textId="12E66167" w:rsidR="006A2667" w:rsidRPr="009118AB" w:rsidRDefault="006A2667" w:rsidP="00C43B24">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24</w:t>
      </w:r>
      <w:r w:rsidRPr="009118AB">
        <w:rPr>
          <w:i/>
          <w:iCs/>
        </w:rPr>
        <w:t xml:space="preserve"> </w:t>
      </w:r>
      <w:r w:rsidR="00D67EB8" w:rsidRPr="009118AB">
        <w:rPr>
          <w:i/>
          <w:iCs/>
        </w:rPr>
        <w:t>§ </w:t>
      </w:r>
      <w:r w:rsidRPr="009118AB">
        <w:rPr>
          <w:i/>
          <w:iCs/>
        </w:rPr>
        <w:t xml:space="preserve">1 nummeriert durch </w:t>
      </w:r>
      <w:r w:rsidR="00D67EB8" w:rsidRPr="009118AB">
        <w:rPr>
          <w:i/>
          <w:iCs/>
        </w:rPr>
        <w:t>Art. </w:t>
      </w:r>
      <w:r w:rsidRPr="009118AB">
        <w:rPr>
          <w:i/>
          <w:iCs/>
        </w:rPr>
        <w:t>3 des G. vom 27. April 2007 (II) (B.S. vom 10. Mai 2007)</w:t>
      </w:r>
      <w:r w:rsidR="00D67EB8" w:rsidRPr="009118AB">
        <w:rPr>
          <w:i/>
          <w:iCs/>
        </w:rPr>
        <w:t> - </w:t>
      </w:r>
      <w:r w:rsidRPr="009118AB">
        <w:rPr>
          <w:i/>
          <w:iCs/>
        </w:rPr>
        <w:t>anwendbar ab dem Steuerjahr 2008</w:t>
      </w:r>
      <w:r w:rsidR="00D67EB8" w:rsidRPr="009118AB">
        <w:rPr>
          <w:i/>
          <w:iCs/>
        </w:rPr>
        <w:t> - </w:t>
      </w:r>
      <w:r w:rsidR="0036777D" w:rsidRPr="009118AB">
        <w:rPr>
          <w:i/>
          <w:iCs/>
        </w:rPr>
        <w:t xml:space="preserve">und ersetzt durch </w:t>
      </w:r>
      <w:r w:rsidR="00D67EB8" w:rsidRPr="009118AB">
        <w:rPr>
          <w:i/>
          <w:iCs/>
        </w:rPr>
        <w:t>Art. </w:t>
      </w:r>
      <w:r w:rsidR="0036777D" w:rsidRPr="009118AB">
        <w:rPr>
          <w:i/>
          <w:iCs/>
        </w:rPr>
        <w:t xml:space="preserve">30 </w:t>
      </w:r>
      <w:r w:rsidR="00D67EB8" w:rsidRPr="009118AB">
        <w:rPr>
          <w:i/>
          <w:iCs/>
        </w:rPr>
        <w:t>Nr. </w:t>
      </w:r>
      <w:r w:rsidR="0036777D" w:rsidRPr="009118AB">
        <w:rPr>
          <w:i/>
          <w:iCs/>
        </w:rPr>
        <w:t>1</w:t>
      </w:r>
      <w:r w:rsidR="0036777D" w:rsidRPr="009118AB">
        <w:rPr>
          <w:i/>
        </w:rPr>
        <w:t xml:space="preserve"> des G. vom 8. Mai 2014 (B.S. vom 28. Mai 2014)</w:t>
      </w:r>
      <w:r w:rsidR="00D67EB8" w:rsidRPr="009118AB">
        <w:rPr>
          <w:i/>
        </w:rPr>
        <w:t> - </w:t>
      </w:r>
      <w:r w:rsidR="0036777D" w:rsidRPr="009118AB">
        <w:rPr>
          <w:i/>
          <w:iCs/>
        </w:rPr>
        <w:t>anwendbar ab dem Steuerjahr 2015</w:t>
      </w:r>
      <w:r w:rsidR="003366D9" w:rsidRPr="009118AB">
        <w:rPr>
          <w:i/>
          <w:iCs/>
        </w:rPr>
        <w:t> -;</w:t>
      </w:r>
      <w:r w:rsidR="0036777D" w:rsidRPr="009118AB">
        <w:rPr>
          <w:i/>
          <w:iCs/>
        </w:rPr>
        <w:t xml:space="preserve"> </w:t>
      </w:r>
      <w:r w:rsidR="00D67EB8" w:rsidRPr="009118AB">
        <w:rPr>
          <w:i/>
          <w:iCs/>
        </w:rPr>
        <w:t>§ </w:t>
      </w:r>
      <w:r w:rsidRPr="009118AB">
        <w:rPr>
          <w:i/>
          <w:iCs/>
        </w:rPr>
        <w:t>2 eingef</w:t>
      </w:r>
      <w:r w:rsidR="00C36804" w:rsidRPr="009118AB">
        <w:rPr>
          <w:i/>
          <w:iCs/>
        </w:rPr>
        <w:t xml:space="preserve">ügt durch </w:t>
      </w:r>
      <w:r w:rsidR="00D67EB8" w:rsidRPr="009118AB">
        <w:rPr>
          <w:i/>
          <w:iCs/>
        </w:rPr>
        <w:t>Art. </w:t>
      </w:r>
      <w:r w:rsidR="00C36804" w:rsidRPr="009118AB">
        <w:rPr>
          <w:i/>
          <w:iCs/>
        </w:rPr>
        <w:t>3 des G.</w:t>
      </w:r>
      <w:r w:rsidR="00C43B24" w:rsidRPr="009118AB">
        <w:rPr>
          <w:i/>
          <w:iCs/>
        </w:rPr>
        <w:t> </w:t>
      </w:r>
      <w:r w:rsidR="00C36804" w:rsidRPr="009118AB">
        <w:rPr>
          <w:i/>
          <w:iCs/>
        </w:rPr>
        <w:t>vom 27. </w:t>
      </w:r>
      <w:r w:rsidRPr="009118AB">
        <w:rPr>
          <w:i/>
          <w:iCs/>
        </w:rPr>
        <w:t>April</w:t>
      </w:r>
      <w:r w:rsidR="00C36804" w:rsidRPr="009118AB">
        <w:rPr>
          <w:i/>
          <w:iCs/>
        </w:rPr>
        <w:t> </w:t>
      </w:r>
      <w:r w:rsidRPr="009118AB">
        <w:rPr>
          <w:i/>
          <w:iCs/>
        </w:rPr>
        <w:t>2007 (II) (B.S. vom 10. Mai 2007)</w:t>
      </w:r>
      <w:r w:rsidR="00D67EB8" w:rsidRPr="009118AB">
        <w:rPr>
          <w:i/>
          <w:iCs/>
        </w:rPr>
        <w:t> - </w:t>
      </w:r>
      <w:r w:rsidRPr="009118AB">
        <w:rPr>
          <w:i/>
          <w:iCs/>
        </w:rPr>
        <w:t>anwendbar ab dem Steuerjahr 2008</w:t>
      </w:r>
      <w:r w:rsidR="003366D9" w:rsidRPr="009118AB">
        <w:rPr>
          <w:i/>
          <w:iCs/>
        </w:rPr>
        <w:t> -;</w:t>
      </w:r>
      <w:r w:rsidRPr="009118AB">
        <w:rPr>
          <w:i/>
          <w:iCs/>
        </w:rPr>
        <w:t xml:space="preserve"> </w:t>
      </w:r>
      <w:r w:rsidR="00D67EB8" w:rsidRPr="009118AB">
        <w:rPr>
          <w:i/>
          <w:iCs/>
        </w:rPr>
        <w:t>§ </w:t>
      </w:r>
      <w:r w:rsidRPr="009118AB">
        <w:rPr>
          <w:i/>
          <w:iCs/>
        </w:rPr>
        <w:t xml:space="preserve">2 aufgehoben durch </w:t>
      </w:r>
      <w:r w:rsidR="00D67EB8" w:rsidRPr="009118AB">
        <w:rPr>
          <w:i/>
          <w:iCs/>
        </w:rPr>
        <w:t>Art. </w:t>
      </w:r>
      <w:r w:rsidRPr="009118AB">
        <w:rPr>
          <w:i/>
          <w:iCs/>
        </w:rPr>
        <w:t xml:space="preserve">41 Buchstabe A </w:t>
      </w:r>
      <w:r w:rsidR="00D67EB8" w:rsidRPr="009118AB">
        <w:rPr>
          <w:i/>
          <w:iCs/>
        </w:rPr>
        <w:t>Nr. </w:t>
      </w:r>
      <w:r w:rsidRPr="009118AB">
        <w:rPr>
          <w:i/>
          <w:iCs/>
        </w:rPr>
        <w:t>4</w:t>
      </w:r>
      <w:r w:rsidRPr="009118AB">
        <w:rPr>
          <w:i/>
        </w:rPr>
        <w:t xml:space="preserve"> </w:t>
      </w:r>
      <w:r w:rsidRPr="009118AB">
        <w:rPr>
          <w:bCs/>
          <w:i/>
        </w:rPr>
        <w:t>des G. vom 28. Dezember 2011 (B.S. vom 30.</w:t>
      </w:r>
      <w:r w:rsidR="00C43B24" w:rsidRPr="009118AB">
        <w:rPr>
          <w:bCs/>
          <w:i/>
        </w:rPr>
        <w:t> </w:t>
      </w:r>
      <w:r w:rsidRPr="009118AB">
        <w:rPr>
          <w:bCs/>
          <w:i/>
        </w:rPr>
        <w:t>Dezember 2011)</w:t>
      </w:r>
      <w:r w:rsidR="00D67EB8" w:rsidRPr="009118AB">
        <w:rPr>
          <w:bCs/>
          <w:i/>
        </w:rPr>
        <w:t> - </w:t>
      </w:r>
      <w:r w:rsidRPr="009118AB">
        <w:rPr>
          <w:bCs/>
          <w:i/>
        </w:rPr>
        <w:t>anwendbar auf die 2012 gezahlten Ausgaben</w:t>
      </w:r>
      <w:r w:rsidR="003366D9" w:rsidRPr="009118AB">
        <w:rPr>
          <w:bCs/>
          <w:i/>
        </w:rPr>
        <w:t> -;</w:t>
      </w:r>
      <w:r w:rsidRPr="009118AB">
        <w:rPr>
          <w:i/>
          <w:iCs/>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 xml:space="preserve">4 </w:t>
      </w:r>
      <w:r w:rsidR="00D67EB8" w:rsidRPr="009118AB">
        <w:rPr>
          <w:i/>
          <w:iCs/>
        </w:rPr>
        <w:t>Nr. </w:t>
      </w:r>
      <w:r w:rsidRPr="009118AB">
        <w:rPr>
          <w:i/>
          <w:iCs/>
        </w:rPr>
        <w:t>5 des G. vom 27. März 2009 (B.S. vom 7. April 2009)</w:t>
      </w:r>
      <w:r w:rsidR="00D67EB8" w:rsidRPr="009118AB">
        <w:rPr>
          <w:i/>
          <w:iCs/>
        </w:rPr>
        <w:t> - </w:t>
      </w:r>
      <w:r w:rsidRPr="009118AB">
        <w:rPr>
          <w:i/>
          <w:iCs/>
        </w:rPr>
        <w:t>anwendbar auf die ab dem 1. Januar 2009 getragenen Zinsen</w:t>
      </w:r>
      <w:r w:rsidR="003366D9" w:rsidRPr="009118AB">
        <w:rPr>
          <w:i/>
          <w:iCs/>
        </w:rPr>
        <w:t> -;</w:t>
      </w:r>
      <w:r w:rsidRPr="009118AB">
        <w:rPr>
          <w:i/>
          <w:iCs/>
        </w:rPr>
        <w:t xml:space="preserve"> </w:t>
      </w:r>
      <w:r w:rsidR="00D67EB8" w:rsidRPr="009118AB">
        <w:rPr>
          <w:i/>
          <w:iCs/>
        </w:rPr>
        <w:t>§ </w:t>
      </w:r>
      <w:r w:rsidR="0036777D" w:rsidRPr="009118AB">
        <w:rPr>
          <w:i/>
          <w:iCs/>
        </w:rPr>
        <w:t xml:space="preserve">3 </w:t>
      </w:r>
      <w:r w:rsidR="00D67EB8" w:rsidRPr="009118AB">
        <w:rPr>
          <w:i/>
          <w:iCs/>
        </w:rPr>
        <w:t>Abs. </w:t>
      </w:r>
      <w:r w:rsidR="0036777D" w:rsidRPr="009118AB">
        <w:rPr>
          <w:i/>
          <w:iCs/>
        </w:rPr>
        <w:t xml:space="preserve">1 abgeändert durch </w:t>
      </w:r>
      <w:r w:rsidR="00D67EB8" w:rsidRPr="009118AB">
        <w:rPr>
          <w:i/>
          <w:iCs/>
        </w:rPr>
        <w:t>Art. </w:t>
      </w:r>
      <w:r w:rsidR="0036777D" w:rsidRPr="009118AB">
        <w:rPr>
          <w:i/>
          <w:iCs/>
        </w:rPr>
        <w:t xml:space="preserve">30 </w:t>
      </w:r>
      <w:r w:rsidR="00D67EB8" w:rsidRPr="009118AB">
        <w:rPr>
          <w:i/>
          <w:iCs/>
        </w:rPr>
        <w:t>Nr. </w:t>
      </w:r>
      <w:r w:rsidR="0036777D" w:rsidRPr="009118AB">
        <w:rPr>
          <w:i/>
          <w:iCs/>
        </w:rPr>
        <w:t>2</w:t>
      </w:r>
      <w:r w:rsidR="0036777D" w:rsidRPr="009118AB">
        <w:rPr>
          <w:i/>
        </w:rPr>
        <w:t xml:space="preserve"> des G. vom 8. Mai 2014 (B.S. vom 28. Mai 2014)</w:t>
      </w:r>
      <w:r w:rsidR="00D67EB8" w:rsidRPr="009118AB">
        <w:rPr>
          <w:i/>
        </w:rPr>
        <w:t> - </w:t>
      </w:r>
      <w:r w:rsidR="0036777D" w:rsidRPr="009118AB">
        <w:rPr>
          <w:i/>
          <w:iCs/>
        </w:rPr>
        <w:t>anwendbar ab dem Steuerjahr 2015</w:t>
      </w:r>
      <w:r w:rsidR="003366D9" w:rsidRPr="009118AB">
        <w:rPr>
          <w:i/>
          <w:iCs/>
        </w:rPr>
        <w:t> -;</w:t>
      </w:r>
      <w:r w:rsidR="0036777D" w:rsidRPr="009118AB">
        <w:rPr>
          <w:i/>
          <w:iCs/>
        </w:rPr>
        <w:t xml:space="preserve"> </w:t>
      </w:r>
      <w:r w:rsidR="00D67EB8" w:rsidRPr="009118AB">
        <w:rPr>
          <w:i/>
          <w:iCs/>
        </w:rPr>
        <w:t>§ </w:t>
      </w:r>
      <w:r w:rsidR="00C36804" w:rsidRPr="009118AB">
        <w:rPr>
          <w:i/>
          <w:iCs/>
        </w:rPr>
        <w:t>3</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41 Buchstabe</w:t>
      </w:r>
      <w:r w:rsidR="00C36804" w:rsidRPr="009118AB">
        <w:rPr>
          <w:i/>
          <w:iCs/>
        </w:rPr>
        <w:t> </w:t>
      </w:r>
      <w:r w:rsidRPr="009118AB">
        <w:rPr>
          <w:i/>
          <w:iCs/>
        </w:rPr>
        <w:t xml:space="preserve">A </w:t>
      </w:r>
      <w:r w:rsidR="00D67EB8" w:rsidRPr="009118AB">
        <w:rPr>
          <w:i/>
          <w:iCs/>
        </w:rPr>
        <w:t>Nr. </w:t>
      </w:r>
      <w:r w:rsidRPr="009118AB">
        <w:rPr>
          <w:i/>
          <w:iCs/>
        </w:rPr>
        <w:t>5</w:t>
      </w:r>
      <w:r w:rsidRPr="009118AB">
        <w:rPr>
          <w:i/>
        </w:rPr>
        <w:t xml:space="preserve"> </w:t>
      </w:r>
      <w:r w:rsidRPr="009118AB">
        <w:rPr>
          <w:bCs/>
          <w:i/>
        </w:rPr>
        <w:t>des G. vom 28. Dezember 2011 (B.S. vom 30.</w:t>
      </w:r>
      <w:r w:rsidR="00995C2A" w:rsidRPr="009118AB">
        <w:rPr>
          <w:bCs/>
          <w:i/>
        </w:rPr>
        <w:t> </w:t>
      </w:r>
      <w:r w:rsidRPr="009118AB">
        <w:rPr>
          <w:bCs/>
          <w:i/>
        </w:rPr>
        <w:t>Dezember 2011)</w:t>
      </w:r>
      <w:r w:rsidR="00D67EB8" w:rsidRPr="009118AB">
        <w:rPr>
          <w:bCs/>
          <w:i/>
        </w:rPr>
        <w:t> - </w:t>
      </w:r>
      <w:r w:rsidRPr="009118AB">
        <w:rPr>
          <w:bCs/>
          <w:i/>
        </w:rPr>
        <w:t>anwendbar auf die ab dem 1.</w:t>
      </w:r>
      <w:r w:rsidR="00C36804" w:rsidRPr="009118AB">
        <w:rPr>
          <w:bCs/>
          <w:i/>
        </w:rPr>
        <w:t> </w:t>
      </w:r>
      <w:r w:rsidRPr="009118AB">
        <w:rPr>
          <w:bCs/>
          <w:i/>
        </w:rPr>
        <w:t>Januar 2012 gezahlten Ausgaben</w:t>
      </w:r>
      <w:r w:rsidR="003366D9" w:rsidRPr="009118AB">
        <w:rPr>
          <w:bCs/>
          <w:i/>
        </w:rPr>
        <w:t> -;</w:t>
      </w:r>
      <w:r w:rsidR="0036777D" w:rsidRPr="009118AB">
        <w:rPr>
          <w:bCs/>
          <w:i/>
        </w:rPr>
        <w:t xml:space="preserve"> </w:t>
      </w:r>
      <w:r w:rsidR="00D67EB8" w:rsidRPr="009118AB">
        <w:rPr>
          <w:bCs/>
          <w:i/>
        </w:rPr>
        <w:t>§ </w:t>
      </w:r>
      <w:r w:rsidR="0036777D" w:rsidRPr="009118AB">
        <w:rPr>
          <w:bCs/>
          <w:i/>
        </w:rPr>
        <w:t xml:space="preserve">3 </w:t>
      </w:r>
      <w:r w:rsidR="00D67EB8" w:rsidRPr="009118AB">
        <w:rPr>
          <w:bCs/>
          <w:i/>
        </w:rPr>
        <w:t>Abs. </w:t>
      </w:r>
      <w:r w:rsidR="0036777D" w:rsidRPr="009118AB">
        <w:rPr>
          <w:bCs/>
          <w:i/>
        </w:rPr>
        <w:t xml:space="preserve">3 Buchstabe b) ersetzt durch </w:t>
      </w:r>
      <w:r w:rsidR="00D67EB8" w:rsidRPr="009118AB">
        <w:rPr>
          <w:bCs/>
          <w:i/>
        </w:rPr>
        <w:t>Art. </w:t>
      </w:r>
      <w:r w:rsidR="0036777D" w:rsidRPr="009118AB">
        <w:rPr>
          <w:bCs/>
          <w:i/>
        </w:rPr>
        <w:t xml:space="preserve">30 </w:t>
      </w:r>
      <w:r w:rsidR="00D67EB8" w:rsidRPr="009118AB">
        <w:rPr>
          <w:bCs/>
          <w:i/>
        </w:rPr>
        <w:t>Nr. </w:t>
      </w:r>
      <w:r w:rsidR="0036777D" w:rsidRPr="009118AB">
        <w:rPr>
          <w:bCs/>
          <w:i/>
        </w:rPr>
        <w:t>3</w:t>
      </w:r>
      <w:r w:rsidR="0036777D" w:rsidRPr="009118AB">
        <w:rPr>
          <w:i/>
        </w:rPr>
        <w:t xml:space="preserve"> des G. vom 8. Mai 2014 (B.S. vom 28. Mai 2014)</w:t>
      </w:r>
      <w:r w:rsidR="00D67EB8" w:rsidRPr="009118AB">
        <w:rPr>
          <w:i/>
        </w:rPr>
        <w:t> - </w:t>
      </w:r>
      <w:r w:rsidR="0036777D" w:rsidRPr="009118AB">
        <w:rPr>
          <w:i/>
          <w:iCs/>
        </w:rPr>
        <w:t>anwendbar ab dem Steuerjahr 2015</w:t>
      </w:r>
      <w:r w:rsidR="003366D9" w:rsidRPr="009118AB">
        <w:rPr>
          <w:i/>
          <w:iCs/>
        </w:rPr>
        <w:t> -;</w:t>
      </w:r>
      <w:r w:rsidR="0036777D" w:rsidRPr="009118AB">
        <w:rPr>
          <w:i/>
          <w:iCs/>
        </w:rPr>
        <w:t xml:space="preserve"> </w:t>
      </w:r>
      <w:r w:rsidR="00D67EB8" w:rsidRPr="009118AB">
        <w:rPr>
          <w:i/>
          <w:iCs/>
        </w:rPr>
        <w:t>§ </w:t>
      </w:r>
      <w:r w:rsidR="0036777D" w:rsidRPr="009118AB">
        <w:rPr>
          <w:i/>
          <w:iCs/>
        </w:rPr>
        <w:t xml:space="preserve">3 </w:t>
      </w:r>
      <w:r w:rsidR="00D67EB8" w:rsidRPr="009118AB">
        <w:rPr>
          <w:i/>
          <w:iCs/>
        </w:rPr>
        <w:t>Abs. </w:t>
      </w:r>
      <w:r w:rsidR="0036777D" w:rsidRPr="009118AB">
        <w:rPr>
          <w:i/>
          <w:iCs/>
        </w:rPr>
        <w:t xml:space="preserve">4 ersetzt durch </w:t>
      </w:r>
      <w:r w:rsidR="00D67EB8" w:rsidRPr="009118AB">
        <w:rPr>
          <w:i/>
          <w:iCs/>
        </w:rPr>
        <w:t>Art. </w:t>
      </w:r>
      <w:r w:rsidR="0036777D" w:rsidRPr="009118AB">
        <w:rPr>
          <w:i/>
          <w:iCs/>
        </w:rPr>
        <w:t xml:space="preserve">30 </w:t>
      </w:r>
      <w:r w:rsidR="00D67EB8" w:rsidRPr="009118AB">
        <w:rPr>
          <w:i/>
          <w:iCs/>
        </w:rPr>
        <w:t>Nr. </w:t>
      </w:r>
      <w:r w:rsidR="0036777D" w:rsidRPr="009118AB">
        <w:rPr>
          <w:i/>
          <w:iCs/>
        </w:rPr>
        <w:t>4</w:t>
      </w:r>
      <w:r w:rsidR="0036777D" w:rsidRPr="009118AB">
        <w:rPr>
          <w:i/>
        </w:rPr>
        <w:t xml:space="preserve"> des G. vom 8. Mai 2014 (B.S. vom 28. Mai 2014)</w:t>
      </w:r>
      <w:r w:rsidR="00D67EB8" w:rsidRPr="009118AB">
        <w:rPr>
          <w:i/>
        </w:rPr>
        <w:t> - </w:t>
      </w:r>
      <w:r w:rsidR="0036777D" w:rsidRPr="009118AB">
        <w:rPr>
          <w:i/>
          <w:iCs/>
        </w:rPr>
        <w:t>anwendbar ab dem Steuerjahr 2015</w:t>
      </w:r>
      <w:r w:rsidR="00FD68E8" w:rsidRPr="009118AB">
        <w:rPr>
          <w:i/>
          <w:iCs/>
        </w:rPr>
        <w:t> -]</w:t>
      </w:r>
    </w:p>
    <w:p w14:paraId="5F7C827E" w14:textId="77777777" w:rsidR="006A2667" w:rsidRPr="009118AB" w:rsidRDefault="006A2667" w:rsidP="00C43B24">
      <w:pPr>
        <w:autoSpaceDE w:val="0"/>
        <w:autoSpaceDN w:val="0"/>
        <w:adjustRightInd w:val="0"/>
        <w:ind w:firstLine="709"/>
        <w:jc w:val="both"/>
      </w:pPr>
    </w:p>
    <w:p w14:paraId="46A6FF5A" w14:textId="1E3B124C" w:rsidR="00477B8F" w:rsidRPr="009118AB" w:rsidRDefault="00477B8F" w:rsidP="00D655E1">
      <w:pPr>
        <w:autoSpaceDE w:val="0"/>
        <w:autoSpaceDN w:val="0"/>
        <w:adjustRightInd w:val="0"/>
        <w:jc w:val="center"/>
      </w:pPr>
      <w:r w:rsidRPr="009118AB">
        <w:br w:type="page"/>
      </w:r>
      <w:r w:rsidRPr="009118AB">
        <w:lastRenderedPageBreak/>
        <w:t>[Unterabschnitt </w:t>
      </w:r>
      <w:r w:rsidR="00D74862" w:rsidRPr="009118AB">
        <w:t>2</w:t>
      </w:r>
      <w:r w:rsidRPr="009118AB">
        <w:rPr>
          <w:i/>
          <w:iCs/>
        </w:rPr>
        <w:t>sexies</w:t>
      </w:r>
      <w:r w:rsidR="00D67EB8" w:rsidRPr="009118AB">
        <w:t> - </w:t>
      </w:r>
      <w:r w:rsidRPr="009118AB">
        <w:t>Ermäßigung für Ausgaben für die Renovierung von Wohnungen, die in einer großstädtischen Förderzone liegen</w:t>
      </w:r>
    </w:p>
    <w:p w14:paraId="0F9F08E6" w14:textId="77777777" w:rsidR="00477B8F" w:rsidRPr="009118AB" w:rsidRDefault="00477B8F" w:rsidP="00477B8F">
      <w:pPr>
        <w:autoSpaceDE w:val="0"/>
        <w:autoSpaceDN w:val="0"/>
        <w:adjustRightInd w:val="0"/>
        <w:jc w:val="both"/>
      </w:pPr>
    </w:p>
    <w:p w14:paraId="632513EE" w14:textId="7084BCBC" w:rsidR="00477B8F" w:rsidRPr="009118AB" w:rsidRDefault="00477B8F" w:rsidP="00477B8F">
      <w:pPr>
        <w:autoSpaceDE w:val="0"/>
        <w:autoSpaceDN w:val="0"/>
        <w:adjustRightInd w:val="0"/>
        <w:jc w:val="both"/>
      </w:pPr>
      <w:r w:rsidRPr="009118AB">
        <w:rPr>
          <w:i/>
          <w:iCs/>
        </w:rPr>
        <w:t>[Unterabschnitt </w:t>
      </w:r>
      <w:r w:rsidR="00D74862" w:rsidRPr="009118AB">
        <w:rPr>
          <w:i/>
          <w:iCs/>
        </w:rPr>
        <w:t>2</w:t>
      </w:r>
      <w:r w:rsidRPr="009118AB">
        <w:rPr>
          <w:i/>
          <w:iCs/>
        </w:rPr>
        <w:t xml:space="preserve">sexies mit </w:t>
      </w:r>
      <w:r w:rsidR="00D67EB8" w:rsidRPr="009118AB">
        <w:rPr>
          <w:i/>
          <w:iCs/>
        </w:rPr>
        <w:t>Art. </w:t>
      </w:r>
      <w:r w:rsidRPr="009118AB">
        <w:rPr>
          <w:i/>
          <w:iCs/>
        </w:rPr>
        <w:t>145</w:t>
      </w:r>
      <w:r w:rsidRPr="009118AB">
        <w:rPr>
          <w:i/>
          <w:iCs/>
          <w:vertAlign w:val="superscript"/>
        </w:rPr>
        <w:t>25</w:t>
      </w:r>
      <w:r w:rsidRPr="009118AB">
        <w:rPr>
          <w:i/>
          <w:iCs/>
        </w:rPr>
        <w:t xml:space="preserve"> eingefügt durch </w:t>
      </w:r>
      <w:r w:rsidR="00D67EB8" w:rsidRPr="009118AB">
        <w:rPr>
          <w:i/>
          <w:iCs/>
        </w:rPr>
        <w:t>Art. </w:t>
      </w:r>
      <w:r w:rsidRPr="009118AB">
        <w:rPr>
          <w:i/>
          <w:iCs/>
        </w:rPr>
        <w:t>110 Buchstabe A des G. vom 8. April 2003 (B.S. vom 17. April 2003)</w:t>
      </w:r>
      <w:r w:rsidR="00D67EB8" w:rsidRPr="009118AB">
        <w:rPr>
          <w:i/>
          <w:iCs/>
        </w:rPr>
        <w:t> - </w:t>
      </w:r>
      <w:r w:rsidRPr="009118AB">
        <w:rPr>
          <w:i/>
          <w:iCs/>
        </w:rPr>
        <w:t>in Kraft ab dem Steuerjahr 2004</w:t>
      </w:r>
      <w:r w:rsidR="00FD68E8" w:rsidRPr="009118AB">
        <w:rPr>
          <w:i/>
          <w:iCs/>
        </w:rPr>
        <w:t> -]</w:t>
      </w:r>
    </w:p>
    <w:p w14:paraId="207A6A07" w14:textId="77777777" w:rsidR="00477B8F" w:rsidRPr="009118AB" w:rsidRDefault="00477B8F" w:rsidP="00477B8F">
      <w:pPr>
        <w:autoSpaceDE w:val="0"/>
        <w:autoSpaceDN w:val="0"/>
        <w:adjustRightInd w:val="0"/>
        <w:jc w:val="both"/>
      </w:pPr>
    </w:p>
    <w:p w14:paraId="13425CD9" w14:textId="77777777" w:rsidR="00477B8F" w:rsidRPr="009118AB" w:rsidRDefault="00477B8F" w:rsidP="00477B8F">
      <w:pPr>
        <w:autoSpaceDE w:val="0"/>
        <w:autoSpaceDN w:val="0"/>
        <w:adjustRightInd w:val="0"/>
        <w:jc w:val="both"/>
      </w:pPr>
    </w:p>
    <w:p w14:paraId="73F09D30" w14:textId="673867C2"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25</w:t>
      </w:r>
      <w:r w:rsidR="00D67EB8" w:rsidRPr="009118AB">
        <w:t> - </w:t>
      </w:r>
      <w:r w:rsidRPr="009118AB">
        <w:t>Für Ausgaben, die tatsächlich während des Besteuerungszeitraums für die Renovierung einer Wohnung, die in einer großstädtischen Förderzone liegt und deren Eigentümer, Besitzer, Erbpächter, Erbbauberechtigter oder Nießbraucher der Steuerpflichtige ist, gezahlt werden, wird eine Steuerermäßigung gewährt.</w:t>
      </w:r>
    </w:p>
    <w:p w14:paraId="70CB28A8" w14:textId="77777777" w:rsidR="00477B8F" w:rsidRPr="009118AB" w:rsidRDefault="00477B8F" w:rsidP="00477B8F">
      <w:pPr>
        <w:autoSpaceDE w:val="0"/>
        <w:autoSpaceDN w:val="0"/>
        <w:adjustRightInd w:val="0"/>
        <w:jc w:val="both"/>
      </w:pPr>
    </w:p>
    <w:p w14:paraId="3CE3965D" w14:textId="77777777" w:rsidR="00477B8F" w:rsidRPr="009118AB" w:rsidRDefault="00477B8F" w:rsidP="00477B8F">
      <w:pPr>
        <w:autoSpaceDE w:val="0"/>
        <w:autoSpaceDN w:val="0"/>
        <w:adjustRightInd w:val="0"/>
        <w:jc w:val="both"/>
      </w:pPr>
      <w:r w:rsidRPr="009118AB">
        <w:tab/>
        <w:t>Eine großstädtische Förderzone ist eine Gemeinde oder ein abgegrenzter Teil einer Gemeinde, in dem die Wohnverhältnisse und der Lebensbereich durch spezifische Maßnahmen aufgewertet werden müssen. Der König bestimmt durch einen im Ministerrat beratenen Erlass [...] die großstädtischen Förderzonen für einen Zeitraum von sechs Kalenderjahren. Eine Erneuerung des Zeitraums ist [...] möglich.</w:t>
      </w:r>
    </w:p>
    <w:p w14:paraId="020C45D4" w14:textId="77777777" w:rsidR="00477B8F" w:rsidRPr="009118AB" w:rsidRDefault="00477B8F" w:rsidP="00477B8F">
      <w:pPr>
        <w:autoSpaceDE w:val="0"/>
        <w:autoSpaceDN w:val="0"/>
        <w:adjustRightInd w:val="0"/>
        <w:jc w:val="both"/>
      </w:pPr>
    </w:p>
    <w:p w14:paraId="2BDF99E7" w14:textId="77777777" w:rsidR="00477B8F" w:rsidRPr="009118AB" w:rsidRDefault="00477B8F" w:rsidP="00477B8F">
      <w:pPr>
        <w:autoSpaceDE w:val="0"/>
        <w:autoSpaceDN w:val="0"/>
        <w:adjustRightInd w:val="0"/>
        <w:jc w:val="both"/>
      </w:pPr>
      <w:r w:rsidRPr="009118AB">
        <w:tab/>
        <w:t>Die Steuerermäßigung wird unter folgenden Bedingungen gewährt:</w:t>
      </w:r>
    </w:p>
    <w:p w14:paraId="3C1FFC20" w14:textId="77777777" w:rsidR="00477B8F" w:rsidRPr="009118AB" w:rsidRDefault="00477B8F" w:rsidP="00477B8F">
      <w:pPr>
        <w:autoSpaceDE w:val="0"/>
        <w:autoSpaceDN w:val="0"/>
        <w:adjustRightInd w:val="0"/>
        <w:jc w:val="both"/>
      </w:pPr>
    </w:p>
    <w:p w14:paraId="321833DD" w14:textId="77777777" w:rsidR="00477B8F" w:rsidRPr="009118AB" w:rsidRDefault="00477B8F" w:rsidP="00477B8F">
      <w:pPr>
        <w:autoSpaceDE w:val="0"/>
        <w:autoSpaceDN w:val="0"/>
        <w:adjustRightInd w:val="0"/>
        <w:jc w:val="both"/>
      </w:pPr>
      <w:r w:rsidRPr="009118AB">
        <w:tab/>
        <w:t>1. Zum Zeitpunkt der Ausführung der Arbeiten ist die Wohnung die einzige Wohnung des Steuerpflichtigen.</w:t>
      </w:r>
    </w:p>
    <w:p w14:paraId="658A6FC3" w14:textId="77777777" w:rsidR="00477B8F" w:rsidRPr="009118AB" w:rsidRDefault="00477B8F" w:rsidP="00477B8F">
      <w:pPr>
        <w:autoSpaceDE w:val="0"/>
        <w:autoSpaceDN w:val="0"/>
        <w:adjustRightInd w:val="0"/>
        <w:jc w:val="both"/>
      </w:pPr>
    </w:p>
    <w:p w14:paraId="0AEE7AD0" w14:textId="77777777" w:rsidR="00477B8F" w:rsidRPr="009118AB" w:rsidRDefault="00477B8F" w:rsidP="00477B8F">
      <w:pPr>
        <w:autoSpaceDE w:val="0"/>
        <w:autoSpaceDN w:val="0"/>
        <w:adjustRightInd w:val="0"/>
        <w:jc w:val="both"/>
      </w:pPr>
      <w:r w:rsidRPr="009118AB">
        <w:tab/>
        <w:t>2. Zum Zeitpunkt des Beginns der Arbeiten ist die Wohnung seit mindestens fünfzehn Jahren bewohnt.</w:t>
      </w:r>
    </w:p>
    <w:p w14:paraId="79EA3169" w14:textId="77777777" w:rsidR="00477B8F" w:rsidRPr="009118AB" w:rsidRDefault="00477B8F" w:rsidP="00477B8F">
      <w:pPr>
        <w:autoSpaceDE w:val="0"/>
        <w:autoSpaceDN w:val="0"/>
        <w:adjustRightInd w:val="0"/>
        <w:jc w:val="both"/>
      </w:pPr>
    </w:p>
    <w:p w14:paraId="28767DA9" w14:textId="77777777" w:rsidR="00477B8F" w:rsidRPr="009118AB" w:rsidRDefault="00477B8F" w:rsidP="00477B8F">
      <w:pPr>
        <w:autoSpaceDE w:val="0"/>
        <w:autoSpaceDN w:val="0"/>
        <w:adjustRightInd w:val="0"/>
        <w:jc w:val="both"/>
      </w:pPr>
      <w:r w:rsidRPr="009118AB">
        <w:tab/>
        <w:t>3. Die Gesamtkosten der Arbeiten einschließlich Mehrwertsteuer betragen mindestens 2.500 EUR.</w:t>
      </w:r>
    </w:p>
    <w:p w14:paraId="64BF8140" w14:textId="77777777" w:rsidR="00477B8F" w:rsidRPr="009118AB" w:rsidRDefault="00477B8F" w:rsidP="00477B8F">
      <w:pPr>
        <w:autoSpaceDE w:val="0"/>
        <w:autoSpaceDN w:val="0"/>
        <w:adjustRightInd w:val="0"/>
        <w:jc w:val="both"/>
      </w:pPr>
    </w:p>
    <w:p w14:paraId="21CE71AF" w14:textId="77777777" w:rsidR="00477B8F" w:rsidRPr="009118AB" w:rsidRDefault="00477B8F" w:rsidP="00477B8F">
      <w:pPr>
        <w:autoSpaceDE w:val="0"/>
        <w:autoSpaceDN w:val="0"/>
        <w:adjustRightInd w:val="0"/>
        <w:jc w:val="both"/>
      </w:pPr>
      <w:r w:rsidRPr="009118AB">
        <w:tab/>
        <w:t xml:space="preserve">4. Die Leistungen in Bezug auf diese Arbeiten </w:t>
      </w:r>
      <w:r w:rsidR="00ED7721" w:rsidRPr="009118AB">
        <w:t>[werden für den Steuerpflichtigen erbracht und ihm in Rechnung gestellt]</w:t>
      </w:r>
      <w:r w:rsidRPr="009118AB">
        <w:t>.</w:t>
      </w:r>
    </w:p>
    <w:p w14:paraId="07EBFC9A" w14:textId="77777777" w:rsidR="00477B8F" w:rsidRPr="009118AB" w:rsidRDefault="00477B8F" w:rsidP="00477B8F">
      <w:pPr>
        <w:autoSpaceDE w:val="0"/>
        <w:autoSpaceDN w:val="0"/>
        <w:adjustRightInd w:val="0"/>
        <w:jc w:val="both"/>
      </w:pPr>
    </w:p>
    <w:p w14:paraId="03465200" w14:textId="77777777" w:rsidR="00477B8F" w:rsidRPr="009118AB" w:rsidRDefault="00477B8F" w:rsidP="00477B8F">
      <w:pPr>
        <w:autoSpaceDE w:val="0"/>
        <w:autoSpaceDN w:val="0"/>
        <w:adjustRightInd w:val="0"/>
        <w:jc w:val="both"/>
      </w:pPr>
      <w:r w:rsidRPr="009118AB">
        <w:tab/>
        <w:t>Die Steuerermäßigung ist nicht anwendbar auf Ausgaben, die:</w:t>
      </w:r>
    </w:p>
    <w:p w14:paraId="3BC48A5D" w14:textId="77777777" w:rsidR="00477B8F" w:rsidRPr="009118AB" w:rsidRDefault="00477B8F" w:rsidP="00477B8F">
      <w:pPr>
        <w:autoSpaceDE w:val="0"/>
        <w:autoSpaceDN w:val="0"/>
        <w:adjustRightInd w:val="0"/>
        <w:jc w:val="both"/>
      </w:pPr>
    </w:p>
    <w:p w14:paraId="7DFCECBF"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bei der Festlegung der nachgewiesenen Werbungskosten berücksichtigt werden,</w:t>
      </w:r>
    </w:p>
    <w:p w14:paraId="6B135FDC" w14:textId="77777777" w:rsidR="00477B8F" w:rsidRPr="009118AB" w:rsidRDefault="00477B8F" w:rsidP="00477B8F">
      <w:pPr>
        <w:autoSpaceDE w:val="0"/>
        <w:autoSpaceDN w:val="0"/>
        <w:adjustRightInd w:val="0"/>
        <w:jc w:val="both"/>
      </w:pPr>
    </w:p>
    <w:p w14:paraId="61515A27"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zu dem in Artikel 69 erwähnten Investitionsabzug berechtigen,</w:t>
      </w:r>
    </w:p>
    <w:p w14:paraId="08FC8547" w14:textId="77777777" w:rsidR="00477B8F" w:rsidRPr="009118AB" w:rsidRDefault="00477B8F" w:rsidP="00477B8F">
      <w:pPr>
        <w:autoSpaceDE w:val="0"/>
        <w:autoSpaceDN w:val="0"/>
        <w:adjustRightInd w:val="0"/>
        <w:jc w:val="both"/>
      </w:pPr>
    </w:p>
    <w:p w14:paraId="5A91B8FA" w14:textId="77777777" w:rsidR="00477B8F" w:rsidRPr="009118AB" w:rsidRDefault="00477B8F" w:rsidP="00477B8F">
      <w:pPr>
        <w:autoSpaceDE w:val="0"/>
        <w:autoSpaceDN w:val="0"/>
        <w:adjustRightInd w:val="0"/>
        <w:jc w:val="both"/>
      </w:pPr>
      <w:r w:rsidRPr="009118AB">
        <w:tab/>
      </w:r>
      <w:r w:rsidRPr="009118AB">
        <w:rPr>
          <w:i/>
          <w:iCs/>
        </w:rPr>
        <w:t>c)</w:t>
      </w:r>
      <w:r w:rsidRPr="009118AB">
        <w:t xml:space="preserve"> </w:t>
      </w:r>
      <w:r w:rsidR="00FA59B7" w:rsidRPr="009118AB">
        <w:t>[…].</w:t>
      </w:r>
    </w:p>
    <w:p w14:paraId="237233E7" w14:textId="77777777" w:rsidR="00477B8F" w:rsidRPr="009118AB" w:rsidRDefault="00477B8F" w:rsidP="00477B8F">
      <w:pPr>
        <w:autoSpaceDE w:val="0"/>
        <w:autoSpaceDN w:val="0"/>
        <w:adjustRightInd w:val="0"/>
        <w:jc w:val="both"/>
      </w:pPr>
    </w:p>
    <w:p w14:paraId="6F3DD9AA" w14:textId="77777777" w:rsidR="00477B8F" w:rsidRPr="009118AB" w:rsidRDefault="00477B8F" w:rsidP="00477B8F">
      <w:pPr>
        <w:autoSpaceDE w:val="0"/>
        <w:autoSpaceDN w:val="0"/>
        <w:adjustRightInd w:val="0"/>
        <w:jc w:val="both"/>
      </w:pPr>
      <w:r w:rsidRPr="009118AB">
        <w:tab/>
        <w:t>Die Steuerermäßigung beträgt 15 Prozent der tatsächlich getätigten Ausgaben.</w:t>
      </w:r>
    </w:p>
    <w:p w14:paraId="32D44A2A" w14:textId="77777777" w:rsidR="00477B8F" w:rsidRPr="009118AB" w:rsidRDefault="00477B8F" w:rsidP="00477B8F">
      <w:pPr>
        <w:autoSpaceDE w:val="0"/>
        <w:autoSpaceDN w:val="0"/>
        <w:adjustRightInd w:val="0"/>
        <w:jc w:val="both"/>
      </w:pPr>
    </w:p>
    <w:p w14:paraId="152E0D65" w14:textId="77777777" w:rsidR="00477B8F" w:rsidRPr="009118AB" w:rsidRDefault="00477B8F" w:rsidP="00477B8F">
      <w:pPr>
        <w:autoSpaceDE w:val="0"/>
        <w:autoSpaceDN w:val="0"/>
        <w:adjustRightInd w:val="0"/>
        <w:jc w:val="both"/>
      </w:pPr>
      <w:r w:rsidRPr="009118AB">
        <w:tab/>
        <w:t>Der Gesamtbetrag der Steuerermäßigung darf pro Besteuerungszeitraum 500 EUR pro Wohnung nicht übersteigen.</w:t>
      </w:r>
    </w:p>
    <w:p w14:paraId="22C490E5" w14:textId="77777777" w:rsidR="006E1769" w:rsidRPr="009118AB" w:rsidRDefault="006E1769" w:rsidP="00477B8F">
      <w:pPr>
        <w:autoSpaceDE w:val="0"/>
        <w:autoSpaceDN w:val="0"/>
        <w:adjustRightInd w:val="0"/>
      </w:pPr>
    </w:p>
    <w:p w14:paraId="69F75351" w14:textId="77777777" w:rsidR="00477B8F" w:rsidRPr="009118AB" w:rsidRDefault="00477B8F" w:rsidP="006E1769">
      <w:pPr>
        <w:autoSpaceDE w:val="0"/>
        <w:autoSpaceDN w:val="0"/>
        <w:adjustRightInd w:val="0"/>
        <w:jc w:val="both"/>
      </w:pPr>
      <w:r w:rsidRPr="009118AB">
        <w:tab/>
        <w:t>[</w:t>
      </w:r>
      <w:r w:rsidR="00FA59B7" w:rsidRPr="009118AB">
        <w:t>Wird eine gemeinsame Veranlagung festgelegt, wird die Steuerermäßigung entsprechend dem gemäß Artikel 130 besteuerten Einkommen jedes Ehepartners in der Gesamtheit der gemäß Artikel 130 besteuerten Einkünfte der beiden Ehepartner proportional aufgeteilt.</w:t>
      </w:r>
      <w:r w:rsidR="00945A8B" w:rsidRPr="009118AB">
        <w:t>]</w:t>
      </w:r>
    </w:p>
    <w:p w14:paraId="5044381F" w14:textId="77777777" w:rsidR="00945A8B" w:rsidRPr="009118AB" w:rsidRDefault="00945A8B" w:rsidP="006E1769">
      <w:pPr>
        <w:autoSpaceDE w:val="0"/>
        <w:autoSpaceDN w:val="0"/>
        <w:adjustRightInd w:val="0"/>
        <w:jc w:val="both"/>
      </w:pPr>
    </w:p>
    <w:p w14:paraId="6429D41A" w14:textId="08A05532" w:rsidR="00477B8F" w:rsidRPr="009118AB" w:rsidRDefault="00477B8F" w:rsidP="00477B8F">
      <w:pPr>
        <w:autoSpaceDE w:val="0"/>
        <w:autoSpaceDN w:val="0"/>
        <w:adjustRightInd w:val="0"/>
        <w:jc w:val="both"/>
      </w:pPr>
      <w:r w:rsidRPr="009118AB">
        <w:lastRenderedPageBreak/>
        <w:tab/>
        <w:t xml:space="preserve">Der König bestimmt die Art der </w:t>
      </w:r>
      <w:r w:rsidR="00945A8B" w:rsidRPr="009118AB">
        <w:t>[in Absatz 3</w:t>
      </w:r>
      <w:r w:rsidRPr="009118AB">
        <w:t xml:space="preserve"> </w:t>
      </w:r>
      <w:r w:rsidR="00D67EB8" w:rsidRPr="009118AB">
        <w:t>Nr. </w:t>
      </w:r>
      <w:r w:rsidRPr="009118AB">
        <w:t>4</w:t>
      </w:r>
      <w:r w:rsidR="00945A8B" w:rsidRPr="009118AB">
        <w:t>]</w:t>
      </w:r>
      <w:r w:rsidRPr="009118AB">
        <w:t xml:space="preserve"> erwähnten Leistungen und die Modalitäten der Anwendung der Ermäßigung.] </w:t>
      </w:r>
    </w:p>
    <w:p w14:paraId="33BAD74B" w14:textId="77777777" w:rsidR="00477B8F" w:rsidRPr="009118AB" w:rsidRDefault="00477B8F" w:rsidP="00477B8F">
      <w:pPr>
        <w:autoSpaceDE w:val="0"/>
        <w:autoSpaceDN w:val="0"/>
        <w:adjustRightInd w:val="0"/>
        <w:jc w:val="both"/>
      </w:pPr>
    </w:p>
    <w:p w14:paraId="21E216AA" w14:textId="2FA3A3A1"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145</w:t>
      </w:r>
      <w:r w:rsidRPr="009118AB">
        <w:rPr>
          <w:i/>
          <w:iCs/>
          <w:vertAlign w:val="superscript"/>
        </w:rPr>
        <w:t>25</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 xml:space="preserve">42 </w:t>
      </w:r>
      <w:r w:rsidR="00D67EB8" w:rsidRPr="009118AB">
        <w:rPr>
          <w:i/>
          <w:iCs/>
        </w:rPr>
        <w:t>Nr. </w:t>
      </w:r>
      <w:r w:rsidRPr="009118AB">
        <w:rPr>
          <w:i/>
          <w:iCs/>
        </w:rPr>
        <w:t xml:space="preserve">1 des G. vom 9. Juli 2004 (B.S. vom 15. Juli 2004); </w:t>
      </w:r>
      <w:r w:rsidR="00D67EB8" w:rsidRPr="009118AB">
        <w:rPr>
          <w:i/>
          <w:iCs/>
        </w:rPr>
        <w:t>Abs. </w:t>
      </w:r>
      <w:r w:rsidR="00ED7721" w:rsidRPr="009118AB">
        <w:rPr>
          <w:i/>
          <w:iCs/>
        </w:rPr>
        <w:t xml:space="preserve">3 </w:t>
      </w:r>
      <w:r w:rsidR="00D67EB8" w:rsidRPr="009118AB">
        <w:rPr>
          <w:i/>
          <w:iCs/>
        </w:rPr>
        <w:t>Nr. </w:t>
      </w:r>
      <w:r w:rsidR="00ED7721" w:rsidRPr="009118AB">
        <w:rPr>
          <w:i/>
          <w:iCs/>
        </w:rPr>
        <w:t xml:space="preserve">4 abgeändert durch </w:t>
      </w:r>
      <w:r w:rsidR="00D67EB8" w:rsidRPr="009118AB">
        <w:rPr>
          <w:i/>
          <w:iCs/>
        </w:rPr>
        <w:t>Art. </w:t>
      </w:r>
      <w:r w:rsidR="00ED7721" w:rsidRPr="009118AB">
        <w:rPr>
          <w:i/>
          <w:iCs/>
        </w:rPr>
        <w:t>79 des G. vom 14. April 2011 (B.S. vom 6. Mai 2011)</w:t>
      </w:r>
      <w:r w:rsidR="00D67EB8" w:rsidRPr="009118AB">
        <w:rPr>
          <w:i/>
          <w:iCs/>
        </w:rPr>
        <w:t> - </w:t>
      </w:r>
      <w:r w:rsidR="00ED7721" w:rsidRPr="009118AB">
        <w:rPr>
          <w:i/>
          <w:iCs/>
        </w:rPr>
        <w:t>anwendbar auf Arbeiten, die ab dem 1. Januar 2011 ausgeführt werden</w:t>
      </w:r>
      <w:r w:rsidR="003366D9" w:rsidRPr="009118AB">
        <w:rPr>
          <w:i/>
          <w:iCs/>
        </w:rPr>
        <w:t> -;</w:t>
      </w:r>
      <w:r w:rsidR="00945A8B" w:rsidRPr="009118AB">
        <w:rPr>
          <w:i/>
          <w:iCs/>
        </w:rPr>
        <w:t xml:space="preserve"> </w:t>
      </w:r>
      <w:r w:rsidR="00D67EB8" w:rsidRPr="009118AB">
        <w:rPr>
          <w:i/>
          <w:iCs/>
        </w:rPr>
        <w:t>Abs. </w:t>
      </w:r>
      <w:r w:rsidR="00945A8B" w:rsidRPr="009118AB">
        <w:rPr>
          <w:i/>
          <w:iCs/>
        </w:rPr>
        <w:t xml:space="preserve">4 Buchstabe c) </w:t>
      </w:r>
      <w:r w:rsidR="00FA59B7" w:rsidRPr="009118AB">
        <w:rPr>
          <w:i/>
          <w:iCs/>
        </w:rPr>
        <w:t xml:space="preserve">aufgehoben durch </w:t>
      </w:r>
      <w:r w:rsidR="00D67EB8" w:rsidRPr="009118AB">
        <w:rPr>
          <w:i/>
          <w:iCs/>
        </w:rPr>
        <w:t>Art. </w:t>
      </w:r>
      <w:r w:rsidR="00FA59B7" w:rsidRPr="009118AB">
        <w:rPr>
          <w:i/>
          <w:iCs/>
        </w:rPr>
        <w:t xml:space="preserve">31 </w:t>
      </w:r>
      <w:r w:rsidR="00D67EB8" w:rsidRPr="009118AB">
        <w:rPr>
          <w:i/>
          <w:iCs/>
        </w:rPr>
        <w:t>Nr. </w:t>
      </w:r>
      <w:r w:rsidR="00FA59B7" w:rsidRPr="009118AB">
        <w:rPr>
          <w:i/>
          <w:iCs/>
        </w:rPr>
        <w:t>1</w:t>
      </w:r>
      <w:r w:rsidR="00FA59B7" w:rsidRPr="009118AB">
        <w:rPr>
          <w:i/>
        </w:rPr>
        <w:t xml:space="preserve"> des G. vom 8. Mai 2014 (B.S. vom 28. Mai 2014)</w:t>
      </w:r>
      <w:r w:rsidR="00D67EB8" w:rsidRPr="009118AB">
        <w:rPr>
          <w:i/>
        </w:rPr>
        <w:t> - </w:t>
      </w:r>
      <w:r w:rsidR="00FA59B7" w:rsidRPr="009118AB">
        <w:rPr>
          <w:i/>
          <w:iCs/>
        </w:rPr>
        <w:t>anwendbar ab dem Steuerjahr 2015</w:t>
      </w:r>
      <w:r w:rsidR="003366D9" w:rsidRPr="009118AB">
        <w:rPr>
          <w:i/>
          <w:iCs/>
        </w:rPr>
        <w:t> -;</w:t>
      </w:r>
      <w:r w:rsidR="00ED7721" w:rsidRPr="009118AB">
        <w:rPr>
          <w:i/>
          <w:iCs/>
        </w:rPr>
        <w:t xml:space="preserve"> </w:t>
      </w:r>
      <w:r w:rsidR="00D67EB8" w:rsidRPr="009118AB">
        <w:rPr>
          <w:i/>
          <w:iCs/>
        </w:rPr>
        <w:t>Abs. </w:t>
      </w:r>
      <w:r w:rsidRPr="009118AB">
        <w:rPr>
          <w:i/>
          <w:iCs/>
        </w:rPr>
        <w:t xml:space="preserve">7 </w:t>
      </w:r>
      <w:r w:rsidR="00945A8B" w:rsidRPr="009118AB">
        <w:rPr>
          <w:i/>
          <w:iCs/>
        </w:rPr>
        <w:t xml:space="preserve">ersetzt durch </w:t>
      </w:r>
      <w:r w:rsidR="00D67EB8" w:rsidRPr="009118AB">
        <w:rPr>
          <w:i/>
          <w:iCs/>
        </w:rPr>
        <w:t>Art. </w:t>
      </w:r>
      <w:r w:rsidR="00FA59B7" w:rsidRPr="009118AB">
        <w:rPr>
          <w:i/>
          <w:iCs/>
        </w:rPr>
        <w:t>31</w:t>
      </w:r>
      <w:r w:rsidR="00945A8B" w:rsidRPr="009118AB">
        <w:rPr>
          <w:i/>
          <w:iCs/>
        </w:rPr>
        <w:t xml:space="preserve"> </w:t>
      </w:r>
      <w:r w:rsidR="00D67EB8" w:rsidRPr="009118AB">
        <w:rPr>
          <w:i/>
          <w:iCs/>
        </w:rPr>
        <w:t>Nr. </w:t>
      </w:r>
      <w:r w:rsidR="00945A8B" w:rsidRPr="009118AB">
        <w:rPr>
          <w:i/>
          <w:iCs/>
        </w:rPr>
        <w:t>2</w:t>
      </w:r>
      <w:r w:rsidR="00FA59B7" w:rsidRPr="009118AB">
        <w:rPr>
          <w:i/>
        </w:rPr>
        <w:t xml:space="preserve"> des G. vom 8. Mai 2014 (B.S. vom 28. Mai 2014)</w:t>
      </w:r>
      <w:r w:rsidR="00D67EB8" w:rsidRPr="009118AB">
        <w:rPr>
          <w:i/>
        </w:rPr>
        <w:t> - </w:t>
      </w:r>
      <w:r w:rsidR="00FA59B7" w:rsidRPr="009118AB">
        <w:rPr>
          <w:i/>
          <w:iCs/>
        </w:rPr>
        <w:t>anwendbar ab dem Steuerjahr 2015</w:t>
      </w:r>
      <w:r w:rsidR="003366D9" w:rsidRPr="009118AB">
        <w:rPr>
          <w:i/>
          <w:iCs/>
        </w:rPr>
        <w:t> -;</w:t>
      </w:r>
      <w:r w:rsidR="00945A8B" w:rsidRPr="009118AB">
        <w:rPr>
          <w:i/>
          <w:iCs/>
        </w:rPr>
        <w:t xml:space="preserve"> </w:t>
      </w:r>
      <w:r w:rsidR="00D67EB8" w:rsidRPr="009118AB">
        <w:rPr>
          <w:i/>
          <w:iCs/>
        </w:rPr>
        <w:t>Abs. </w:t>
      </w:r>
      <w:r w:rsidR="00945A8B" w:rsidRPr="009118AB">
        <w:rPr>
          <w:i/>
          <w:iCs/>
        </w:rPr>
        <w:t xml:space="preserve">8 abgeändert durch </w:t>
      </w:r>
      <w:r w:rsidR="00D67EB8" w:rsidRPr="009118AB">
        <w:rPr>
          <w:i/>
          <w:iCs/>
        </w:rPr>
        <w:t>Art. </w:t>
      </w:r>
      <w:r w:rsidR="00945A8B" w:rsidRPr="009118AB">
        <w:rPr>
          <w:i/>
          <w:iCs/>
        </w:rPr>
        <w:t xml:space="preserve">20 </w:t>
      </w:r>
      <w:r w:rsidR="00D67EB8" w:rsidRPr="009118AB">
        <w:rPr>
          <w:i/>
          <w:iCs/>
        </w:rPr>
        <w:t>Nr. </w:t>
      </w:r>
      <w:r w:rsidR="00945A8B" w:rsidRPr="009118AB">
        <w:rPr>
          <w:i/>
          <w:iCs/>
        </w:rPr>
        <w:t>3 des G. vom 13. Dezember 2012 (B.S. vom 20. Dezember 2012)</w:t>
      </w:r>
      <w:r w:rsidR="00D67EB8" w:rsidRPr="009118AB">
        <w:rPr>
          <w:i/>
          <w:iCs/>
        </w:rPr>
        <w:t> - </w:t>
      </w:r>
      <w:r w:rsidR="00945A8B" w:rsidRPr="009118AB">
        <w:rPr>
          <w:i/>
          <w:iCs/>
        </w:rPr>
        <w:t>in Kraft ab dem Steuerjahr 2013</w:t>
      </w:r>
      <w:r w:rsidR="00FD68E8" w:rsidRPr="009118AB">
        <w:rPr>
          <w:i/>
          <w:iCs/>
        </w:rPr>
        <w:t> -]</w:t>
      </w:r>
    </w:p>
    <w:p w14:paraId="798C36FE" w14:textId="77777777" w:rsidR="00477B8F" w:rsidRPr="009118AB" w:rsidRDefault="00477B8F" w:rsidP="00477B8F">
      <w:pPr>
        <w:autoSpaceDE w:val="0"/>
        <w:autoSpaceDN w:val="0"/>
        <w:adjustRightInd w:val="0"/>
        <w:jc w:val="both"/>
        <w:rPr>
          <w:i/>
          <w:iCs/>
        </w:rPr>
      </w:pPr>
    </w:p>
    <w:p w14:paraId="1326BA2B" w14:textId="77777777" w:rsidR="00477B8F" w:rsidRPr="009118AB" w:rsidRDefault="00477B8F" w:rsidP="00477B8F">
      <w:pPr>
        <w:autoSpaceDE w:val="0"/>
        <w:autoSpaceDN w:val="0"/>
        <w:adjustRightInd w:val="0"/>
        <w:jc w:val="both"/>
      </w:pPr>
    </w:p>
    <w:p w14:paraId="4FC0BBE4" w14:textId="7EA44D89" w:rsidR="00477B8F" w:rsidRPr="009118AB" w:rsidRDefault="00477B8F" w:rsidP="00477B8F">
      <w:pPr>
        <w:autoSpaceDE w:val="0"/>
        <w:autoSpaceDN w:val="0"/>
        <w:adjustRightInd w:val="0"/>
        <w:jc w:val="both"/>
        <w:rPr>
          <w:sz w:val="20"/>
          <w:szCs w:val="20"/>
        </w:rPr>
      </w:pPr>
      <w:r w:rsidRPr="009118AB">
        <w:rPr>
          <w:sz w:val="20"/>
          <w:szCs w:val="20"/>
        </w:rPr>
        <w:t xml:space="preserve">Ab einem gemäß </w:t>
      </w:r>
      <w:r w:rsidR="00D67EB8" w:rsidRPr="009118AB">
        <w:rPr>
          <w:sz w:val="20"/>
          <w:szCs w:val="20"/>
        </w:rPr>
        <w:t>Art. </w:t>
      </w:r>
      <w:r w:rsidRPr="009118AB">
        <w:rPr>
          <w:sz w:val="20"/>
          <w:szCs w:val="20"/>
        </w:rPr>
        <w:t xml:space="preserve">43 des G. vom 9. Juli 2004 (B.S. vom 15. Juli 2004) vom König festzulegenden Datum lautet </w:t>
      </w:r>
      <w:r w:rsidR="00D67EB8" w:rsidRPr="009118AB">
        <w:rPr>
          <w:sz w:val="20"/>
          <w:szCs w:val="20"/>
        </w:rPr>
        <w:t>Art. </w:t>
      </w:r>
      <w:r w:rsidRPr="009118AB">
        <w:rPr>
          <w:sz w:val="20"/>
          <w:szCs w:val="20"/>
        </w:rPr>
        <w:t>145</w:t>
      </w:r>
      <w:r w:rsidRPr="009118AB">
        <w:rPr>
          <w:sz w:val="20"/>
          <w:szCs w:val="20"/>
          <w:vertAlign w:val="superscript"/>
        </w:rPr>
        <w:t>25</w:t>
      </w:r>
      <w:r w:rsidRPr="009118AB">
        <w:rPr>
          <w:sz w:val="20"/>
          <w:szCs w:val="20"/>
        </w:rPr>
        <w:t xml:space="preserve"> wie folgt:</w:t>
      </w:r>
    </w:p>
    <w:p w14:paraId="2FF5037A" w14:textId="77777777" w:rsidR="00477B8F" w:rsidRPr="009118AB" w:rsidRDefault="00477B8F" w:rsidP="00477B8F">
      <w:pPr>
        <w:autoSpaceDE w:val="0"/>
        <w:autoSpaceDN w:val="0"/>
        <w:adjustRightInd w:val="0"/>
        <w:jc w:val="both"/>
        <w:rPr>
          <w:sz w:val="20"/>
          <w:szCs w:val="20"/>
        </w:rPr>
      </w:pPr>
    </w:p>
    <w:p w14:paraId="65933D81" w14:textId="3AE27865" w:rsidR="00477B8F" w:rsidRPr="009118AB" w:rsidRDefault="00117C1A" w:rsidP="00477B8F">
      <w:pPr>
        <w:autoSpaceDE w:val="0"/>
        <w:autoSpaceDN w:val="0"/>
        <w:adjustRightInd w:val="0"/>
        <w:jc w:val="both"/>
        <w:rPr>
          <w:sz w:val="20"/>
          <w:szCs w:val="20"/>
        </w:rPr>
      </w:pPr>
      <w:r w:rsidRPr="009118AB">
        <w:rPr>
          <w:sz w:val="20"/>
          <w:szCs w:val="20"/>
        </w:rPr>
        <w:t>"</w:t>
      </w:r>
      <w:r w:rsidR="00D67EB8" w:rsidRPr="009118AB">
        <w:rPr>
          <w:sz w:val="20"/>
          <w:szCs w:val="20"/>
        </w:rPr>
        <w:t>Art. </w:t>
      </w:r>
      <w:r w:rsidR="00477B8F" w:rsidRPr="009118AB">
        <w:rPr>
          <w:sz w:val="20"/>
          <w:szCs w:val="20"/>
        </w:rPr>
        <w:t>145</w:t>
      </w:r>
      <w:r w:rsidR="00477B8F" w:rsidRPr="009118AB">
        <w:rPr>
          <w:sz w:val="20"/>
          <w:szCs w:val="20"/>
          <w:vertAlign w:val="superscript"/>
        </w:rPr>
        <w:t>25</w:t>
      </w:r>
      <w:r w:rsidR="00D67EB8" w:rsidRPr="009118AB">
        <w:rPr>
          <w:sz w:val="20"/>
          <w:szCs w:val="20"/>
        </w:rPr>
        <w:t> - </w:t>
      </w:r>
      <w:r w:rsidR="00477B8F" w:rsidRPr="009118AB">
        <w:rPr>
          <w:sz w:val="20"/>
          <w:szCs w:val="20"/>
        </w:rPr>
        <w:t>Für Ausgaben, die tatsächlich während des Besteuerungszeitraums für die Renovierung einer Wohnung, die in einer großstädtischen Förderzone liegt und deren Eigentümer, Besitzer, Erbpächter, Erbbauberechtigter oder Nießbraucher der Steuerpflichtige ist, gezahlt werden, wird eine Steuerermäßigung gewährt.</w:t>
      </w:r>
    </w:p>
    <w:p w14:paraId="5CAB6410" w14:textId="77777777" w:rsidR="00477B8F" w:rsidRPr="009118AB" w:rsidRDefault="00477B8F" w:rsidP="00477B8F">
      <w:pPr>
        <w:autoSpaceDE w:val="0"/>
        <w:autoSpaceDN w:val="0"/>
        <w:adjustRightInd w:val="0"/>
        <w:jc w:val="both"/>
        <w:rPr>
          <w:sz w:val="20"/>
          <w:szCs w:val="20"/>
        </w:rPr>
      </w:pPr>
    </w:p>
    <w:p w14:paraId="362AB0BA" w14:textId="77777777" w:rsidR="00477B8F" w:rsidRPr="009118AB" w:rsidRDefault="00477B8F" w:rsidP="00477B8F">
      <w:pPr>
        <w:autoSpaceDE w:val="0"/>
        <w:autoSpaceDN w:val="0"/>
        <w:adjustRightInd w:val="0"/>
        <w:jc w:val="both"/>
        <w:rPr>
          <w:sz w:val="20"/>
          <w:szCs w:val="20"/>
        </w:rPr>
      </w:pPr>
      <w:r w:rsidRPr="009118AB">
        <w:rPr>
          <w:sz w:val="20"/>
          <w:szCs w:val="20"/>
        </w:rPr>
        <w:t>Eine großstädtische Förderzone ist eine Gemeinde oder ein abgegrenzter Teil einer Gemeinde, in dem die Wohnverhältnisse und der Lebensbereich durch spezifische Maßnahmen aufgewertet werden müssen. Der König bestimmt durch einen im Ministerrat beratenen Erlass [...] die großstädtischen Förderzonen für einen Zeitraum von sechs Kalenderjahren. Eine Erneuerung des Zeitraums ist [...] möglich.</w:t>
      </w:r>
    </w:p>
    <w:p w14:paraId="1ECA8D2A" w14:textId="77777777" w:rsidR="00477B8F" w:rsidRPr="009118AB" w:rsidRDefault="00477B8F" w:rsidP="00477B8F">
      <w:pPr>
        <w:autoSpaceDE w:val="0"/>
        <w:autoSpaceDN w:val="0"/>
        <w:adjustRightInd w:val="0"/>
        <w:jc w:val="both"/>
        <w:rPr>
          <w:sz w:val="20"/>
          <w:szCs w:val="20"/>
        </w:rPr>
      </w:pPr>
    </w:p>
    <w:p w14:paraId="5B964392" w14:textId="77777777" w:rsidR="00477B8F" w:rsidRPr="009118AB" w:rsidRDefault="00477B8F" w:rsidP="00477B8F">
      <w:pPr>
        <w:autoSpaceDE w:val="0"/>
        <w:autoSpaceDN w:val="0"/>
        <w:adjustRightInd w:val="0"/>
        <w:jc w:val="both"/>
        <w:rPr>
          <w:sz w:val="20"/>
          <w:szCs w:val="20"/>
        </w:rPr>
      </w:pPr>
      <w:r w:rsidRPr="009118AB">
        <w:rPr>
          <w:sz w:val="20"/>
          <w:szCs w:val="20"/>
        </w:rPr>
        <w:t>Die Steuerermäßigung wird unter folgenden Bedingungen gewährt:</w:t>
      </w:r>
    </w:p>
    <w:p w14:paraId="2EAB2489" w14:textId="77777777" w:rsidR="00477B8F" w:rsidRPr="009118AB" w:rsidRDefault="00477B8F" w:rsidP="00477B8F">
      <w:pPr>
        <w:autoSpaceDE w:val="0"/>
        <w:autoSpaceDN w:val="0"/>
        <w:adjustRightInd w:val="0"/>
        <w:jc w:val="both"/>
        <w:rPr>
          <w:sz w:val="20"/>
          <w:szCs w:val="20"/>
        </w:rPr>
      </w:pPr>
    </w:p>
    <w:p w14:paraId="76A57634" w14:textId="77777777" w:rsidR="00477B8F" w:rsidRPr="009118AB" w:rsidRDefault="00477B8F" w:rsidP="00477B8F">
      <w:pPr>
        <w:autoSpaceDE w:val="0"/>
        <w:autoSpaceDN w:val="0"/>
        <w:adjustRightInd w:val="0"/>
        <w:jc w:val="both"/>
        <w:rPr>
          <w:sz w:val="20"/>
          <w:szCs w:val="20"/>
        </w:rPr>
      </w:pPr>
      <w:r w:rsidRPr="009118AB">
        <w:rPr>
          <w:sz w:val="20"/>
          <w:szCs w:val="20"/>
        </w:rPr>
        <w:t>1. Zum Zeitpunkt der Ausführung der Arbeiten ist die Wohnung die einzige Wohnung des Steuerpflichtigen.</w:t>
      </w:r>
    </w:p>
    <w:p w14:paraId="44B4B24F" w14:textId="77777777" w:rsidR="00477B8F" w:rsidRPr="009118AB" w:rsidRDefault="00477B8F" w:rsidP="00477B8F">
      <w:pPr>
        <w:autoSpaceDE w:val="0"/>
        <w:autoSpaceDN w:val="0"/>
        <w:adjustRightInd w:val="0"/>
        <w:jc w:val="both"/>
        <w:rPr>
          <w:sz w:val="20"/>
          <w:szCs w:val="20"/>
        </w:rPr>
      </w:pPr>
    </w:p>
    <w:p w14:paraId="63295FA2" w14:textId="77777777" w:rsidR="00477B8F" w:rsidRPr="009118AB" w:rsidRDefault="00477B8F" w:rsidP="00477B8F">
      <w:pPr>
        <w:autoSpaceDE w:val="0"/>
        <w:autoSpaceDN w:val="0"/>
        <w:adjustRightInd w:val="0"/>
        <w:jc w:val="both"/>
        <w:rPr>
          <w:sz w:val="20"/>
          <w:szCs w:val="20"/>
        </w:rPr>
      </w:pPr>
      <w:r w:rsidRPr="009118AB">
        <w:rPr>
          <w:sz w:val="20"/>
          <w:szCs w:val="20"/>
        </w:rPr>
        <w:t>2. Zum Zeitpunkt des Beginns der Arbeiten ist die Wohnung seit mindestens fünfzehn Jahren bewohnt.</w:t>
      </w:r>
    </w:p>
    <w:p w14:paraId="4546A903" w14:textId="77777777" w:rsidR="00477B8F" w:rsidRPr="009118AB" w:rsidRDefault="00477B8F" w:rsidP="00477B8F">
      <w:pPr>
        <w:autoSpaceDE w:val="0"/>
        <w:autoSpaceDN w:val="0"/>
        <w:adjustRightInd w:val="0"/>
        <w:jc w:val="both"/>
        <w:rPr>
          <w:sz w:val="20"/>
          <w:szCs w:val="20"/>
        </w:rPr>
      </w:pPr>
    </w:p>
    <w:p w14:paraId="42CEA5CA" w14:textId="77777777" w:rsidR="00477B8F" w:rsidRPr="009118AB" w:rsidRDefault="00477B8F" w:rsidP="00477B8F">
      <w:pPr>
        <w:autoSpaceDE w:val="0"/>
        <w:autoSpaceDN w:val="0"/>
        <w:adjustRightInd w:val="0"/>
        <w:jc w:val="both"/>
        <w:rPr>
          <w:sz w:val="20"/>
          <w:szCs w:val="20"/>
        </w:rPr>
      </w:pPr>
      <w:r w:rsidRPr="009118AB">
        <w:rPr>
          <w:sz w:val="20"/>
          <w:szCs w:val="20"/>
        </w:rPr>
        <w:t>3. Die Gesamtkosten der Arbeiten einschließlich Mehrwertsteuer betragen mindestens 2.500 EUR.</w:t>
      </w:r>
    </w:p>
    <w:p w14:paraId="0CBB1E16" w14:textId="77777777" w:rsidR="00477B8F" w:rsidRPr="009118AB" w:rsidRDefault="00477B8F" w:rsidP="00477B8F">
      <w:pPr>
        <w:autoSpaceDE w:val="0"/>
        <w:autoSpaceDN w:val="0"/>
        <w:adjustRightInd w:val="0"/>
        <w:jc w:val="both"/>
        <w:rPr>
          <w:sz w:val="20"/>
          <w:szCs w:val="20"/>
        </w:rPr>
      </w:pPr>
    </w:p>
    <w:p w14:paraId="017DF475" w14:textId="77777777" w:rsidR="00477B8F" w:rsidRPr="009118AB" w:rsidRDefault="00477B8F" w:rsidP="00477B8F">
      <w:pPr>
        <w:autoSpaceDE w:val="0"/>
        <w:autoSpaceDN w:val="0"/>
        <w:adjustRightInd w:val="0"/>
        <w:jc w:val="both"/>
        <w:rPr>
          <w:sz w:val="20"/>
          <w:szCs w:val="20"/>
        </w:rPr>
      </w:pPr>
      <w:r w:rsidRPr="009118AB">
        <w:rPr>
          <w:sz w:val="20"/>
          <w:szCs w:val="20"/>
        </w:rPr>
        <w:t xml:space="preserve">4. Die Leistungen in Bezug auf diese Arbeiten </w:t>
      </w:r>
      <w:r w:rsidR="00ED7721" w:rsidRPr="009118AB">
        <w:rPr>
          <w:sz w:val="20"/>
          <w:szCs w:val="20"/>
        </w:rPr>
        <w:t>[werden für den Steuerpflichtigen erbracht und ihm in Rechnung gestellt]</w:t>
      </w:r>
      <w:r w:rsidRPr="009118AB">
        <w:rPr>
          <w:sz w:val="20"/>
          <w:szCs w:val="20"/>
        </w:rPr>
        <w:t>.</w:t>
      </w:r>
    </w:p>
    <w:p w14:paraId="5817E466" w14:textId="77777777" w:rsidR="00477B8F" w:rsidRPr="009118AB" w:rsidRDefault="00477B8F" w:rsidP="00477B8F">
      <w:pPr>
        <w:autoSpaceDE w:val="0"/>
        <w:autoSpaceDN w:val="0"/>
        <w:adjustRightInd w:val="0"/>
        <w:jc w:val="both"/>
        <w:rPr>
          <w:sz w:val="20"/>
          <w:szCs w:val="20"/>
        </w:rPr>
      </w:pPr>
    </w:p>
    <w:p w14:paraId="27A20A3A" w14:textId="77777777" w:rsidR="00477B8F" w:rsidRPr="009118AB" w:rsidRDefault="00477B8F" w:rsidP="00477B8F">
      <w:pPr>
        <w:autoSpaceDE w:val="0"/>
        <w:autoSpaceDN w:val="0"/>
        <w:adjustRightInd w:val="0"/>
        <w:jc w:val="both"/>
        <w:rPr>
          <w:sz w:val="20"/>
          <w:szCs w:val="20"/>
        </w:rPr>
      </w:pPr>
      <w:r w:rsidRPr="009118AB">
        <w:rPr>
          <w:sz w:val="20"/>
          <w:szCs w:val="20"/>
        </w:rPr>
        <w:t>Die Steuerermäßigung ist nicht anwendbar auf Ausgaben, die:</w:t>
      </w:r>
    </w:p>
    <w:p w14:paraId="0E6F2AF7" w14:textId="77777777" w:rsidR="00477B8F" w:rsidRPr="009118AB" w:rsidRDefault="00477B8F" w:rsidP="00477B8F">
      <w:pPr>
        <w:autoSpaceDE w:val="0"/>
        <w:autoSpaceDN w:val="0"/>
        <w:adjustRightInd w:val="0"/>
        <w:jc w:val="both"/>
        <w:rPr>
          <w:sz w:val="20"/>
          <w:szCs w:val="20"/>
        </w:rPr>
      </w:pPr>
    </w:p>
    <w:p w14:paraId="59CFFBAD" w14:textId="77777777" w:rsidR="00477B8F" w:rsidRPr="009118AB" w:rsidRDefault="00477B8F" w:rsidP="00477B8F">
      <w:pPr>
        <w:autoSpaceDE w:val="0"/>
        <w:autoSpaceDN w:val="0"/>
        <w:adjustRightInd w:val="0"/>
        <w:jc w:val="both"/>
        <w:rPr>
          <w:sz w:val="20"/>
          <w:szCs w:val="20"/>
        </w:rPr>
      </w:pPr>
      <w:r w:rsidRPr="009118AB">
        <w:rPr>
          <w:i/>
          <w:iCs/>
          <w:sz w:val="20"/>
          <w:szCs w:val="20"/>
        </w:rPr>
        <w:t>a)</w:t>
      </w:r>
      <w:r w:rsidRPr="009118AB">
        <w:rPr>
          <w:sz w:val="20"/>
          <w:szCs w:val="20"/>
        </w:rPr>
        <w:t xml:space="preserve"> bei der Festlegung der nachgewiesenen Werbungskosten berücksichtigt werden,</w:t>
      </w:r>
    </w:p>
    <w:p w14:paraId="1AF713A9" w14:textId="77777777" w:rsidR="00477B8F" w:rsidRPr="009118AB" w:rsidRDefault="00477B8F" w:rsidP="00477B8F">
      <w:pPr>
        <w:autoSpaceDE w:val="0"/>
        <w:autoSpaceDN w:val="0"/>
        <w:adjustRightInd w:val="0"/>
        <w:jc w:val="both"/>
        <w:rPr>
          <w:sz w:val="20"/>
          <w:szCs w:val="20"/>
        </w:rPr>
      </w:pPr>
    </w:p>
    <w:p w14:paraId="13B9FEE2" w14:textId="77777777" w:rsidR="00477B8F" w:rsidRPr="009118AB" w:rsidRDefault="00477B8F" w:rsidP="00477B8F">
      <w:pPr>
        <w:autoSpaceDE w:val="0"/>
        <w:autoSpaceDN w:val="0"/>
        <w:adjustRightInd w:val="0"/>
        <w:jc w:val="both"/>
        <w:rPr>
          <w:sz w:val="20"/>
          <w:szCs w:val="20"/>
        </w:rPr>
      </w:pPr>
      <w:r w:rsidRPr="009118AB">
        <w:rPr>
          <w:i/>
          <w:iCs/>
          <w:sz w:val="20"/>
          <w:szCs w:val="20"/>
        </w:rPr>
        <w:t>b)</w:t>
      </w:r>
      <w:r w:rsidRPr="009118AB">
        <w:rPr>
          <w:sz w:val="20"/>
          <w:szCs w:val="20"/>
        </w:rPr>
        <w:t xml:space="preserve"> zu dem in Artikel 69 erwähnten Investitionsabzug berechtigen,</w:t>
      </w:r>
    </w:p>
    <w:p w14:paraId="6173D853" w14:textId="77777777" w:rsidR="00477B8F" w:rsidRPr="009118AB" w:rsidRDefault="00477B8F" w:rsidP="00477B8F">
      <w:pPr>
        <w:autoSpaceDE w:val="0"/>
        <w:autoSpaceDN w:val="0"/>
        <w:adjustRightInd w:val="0"/>
        <w:jc w:val="both"/>
        <w:rPr>
          <w:sz w:val="20"/>
          <w:szCs w:val="20"/>
        </w:rPr>
      </w:pPr>
    </w:p>
    <w:p w14:paraId="343ED925" w14:textId="77777777" w:rsidR="00477B8F" w:rsidRPr="009118AB" w:rsidRDefault="00477B8F" w:rsidP="00477B8F">
      <w:pPr>
        <w:autoSpaceDE w:val="0"/>
        <w:autoSpaceDN w:val="0"/>
        <w:adjustRightInd w:val="0"/>
        <w:jc w:val="both"/>
        <w:rPr>
          <w:sz w:val="20"/>
          <w:szCs w:val="20"/>
        </w:rPr>
      </w:pPr>
      <w:r w:rsidRPr="009118AB">
        <w:rPr>
          <w:i/>
          <w:iCs/>
          <w:sz w:val="20"/>
          <w:szCs w:val="20"/>
        </w:rPr>
        <w:t>c)</w:t>
      </w:r>
      <w:r w:rsidRPr="009118AB">
        <w:rPr>
          <w:sz w:val="20"/>
          <w:szCs w:val="20"/>
        </w:rPr>
        <w:t xml:space="preserve"> </w:t>
      </w:r>
      <w:r w:rsidR="00285CBB" w:rsidRPr="009118AB">
        <w:rPr>
          <w:sz w:val="20"/>
          <w:szCs w:val="20"/>
        </w:rPr>
        <w:t>[…].</w:t>
      </w:r>
    </w:p>
    <w:p w14:paraId="6A1D36FB" w14:textId="77777777" w:rsidR="00477B8F" w:rsidRPr="009118AB" w:rsidRDefault="00477B8F" w:rsidP="00477B8F">
      <w:pPr>
        <w:autoSpaceDE w:val="0"/>
        <w:autoSpaceDN w:val="0"/>
        <w:adjustRightInd w:val="0"/>
        <w:jc w:val="both"/>
        <w:rPr>
          <w:sz w:val="20"/>
          <w:szCs w:val="20"/>
        </w:rPr>
      </w:pPr>
    </w:p>
    <w:p w14:paraId="7DD33384" w14:textId="77777777" w:rsidR="00477B8F" w:rsidRPr="009118AB" w:rsidRDefault="00477B8F" w:rsidP="00477B8F">
      <w:pPr>
        <w:autoSpaceDE w:val="0"/>
        <w:autoSpaceDN w:val="0"/>
        <w:adjustRightInd w:val="0"/>
        <w:jc w:val="both"/>
        <w:rPr>
          <w:sz w:val="20"/>
          <w:szCs w:val="20"/>
        </w:rPr>
      </w:pPr>
      <w:r w:rsidRPr="009118AB">
        <w:rPr>
          <w:sz w:val="20"/>
          <w:szCs w:val="20"/>
        </w:rPr>
        <w:t>Die Steuerermäßigung beträgt 15 Prozent der tatsächlich getätigten Ausgaben.</w:t>
      </w:r>
    </w:p>
    <w:p w14:paraId="2A6C4438" w14:textId="77777777" w:rsidR="00477B8F" w:rsidRPr="009118AB" w:rsidRDefault="00477B8F" w:rsidP="00477B8F">
      <w:pPr>
        <w:autoSpaceDE w:val="0"/>
        <w:autoSpaceDN w:val="0"/>
        <w:adjustRightInd w:val="0"/>
        <w:jc w:val="both"/>
        <w:rPr>
          <w:sz w:val="20"/>
          <w:szCs w:val="20"/>
        </w:rPr>
      </w:pPr>
    </w:p>
    <w:p w14:paraId="1681D62A" w14:textId="77777777" w:rsidR="00477B8F" w:rsidRPr="009118AB" w:rsidRDefault="00477B8F" w:rsidP="00477B8F">
      <w:pPr>
        <w:autoSpaceDE w:val="0"/>
        <w:autoSpaceDN w:val="0"/>
        <w:adjustRightInd w:val="0"/>
        <w:jc w:val="both"/>
        <w:rPr>
          <w:sz w:val="20"/>
          <w:szCs w:val="20"/>
        </w:rPr>
      </w:pPr>
      <w:r w:rsidRPr="009118AB">
        <w:rPr>
          <w:sz w:val="20"/>
          <w:szCs w:val="20"/>
        </w:rPr>
        <w:t>Der Gesamtbetrag der Steuerermäßigung darf pro Besteuerungszeitraum [1.000 EUR] pro Wohnung nicht übersteigen.</w:t>
      </w:r>
    </w:p>
    <w:p w14:paraId="0E01B71E" w14:textId="77777777" w:rsidR="00477B8F" w:rsidRPr="009118AB" w:rsidRDefault="00477B8F" w:rsidP="00477B8F">
      <w:pPr>
        <w:autoSpaceDE w:val="0"/>
        <w:autoSpaceDN w:val="0"/>
        <w:adjustRightInd w:val="0"/>
        <w:jc w:val="both"/>
        <w:rPr>
          <w:sz w:val="20"/>
          <w:szCs w:val="20"/>
        </w:rPr>
      </w:pPr>
    </w:p>
    <w:p w14:paraId="72DAB3AA" w14:textId="77777777" w:rsidR="00477B8F" w:rsidRPr="009118AB" w:rsidRDefault="00477B8F" w:rsidP="00477B8F">
      <w:pPr>
        <w:autoSpaceDE w:val="0"/>
        <w:autoSpaceDN w:val="0"/>
        <w:adjustRightInd w:val="0"/>
        <w:jc w:val="both"/>
        <w:rPr>
          <w:sz w:val="20"/>
          <w:szCs w:val="20"/>
        </w:rPr>
      </w:pPr>
      <w:r w:rsidRPr="009118AB">
        <w:rPr>
          <w:sz w:val="20"/>
          <w:szCs w:val="20"/>
        </w:rPr>
        <w:t>[</w:t>
      </w:r>
      <w:r w:rsidR="00285CBB" w:rsidRPr="009118AB">
        <w:rPr>
          <w:sz w:val="20"/>
          <w:szCs w:val="20"/>
        </w:rPr>
        <w:t>Wird eine gemeinsame Veranlagung festgelegt, wird die Steuerermäßigung entsprechend dem gemäß Artikel 130 besteuerten Einkommen jedes Ehepartners in der Gesamtheit der gemäß Artikel 130 besteuerten Einkünfte der beiden Ehepartner proportional aufgeteilt.</w:t>
      </w:r>
      <w:r w:rsidR="00945A8B" w:rsidRPr="009118AB">
        <w:rPr>
          <w:sz w:val="20"/>
          <w:szCs w:val="20"/>
        </w:rPr>
        <w:t>]</w:t>
      </w:r>
    </w:p>
    <w:p w14:paraId="4B2B82AF" w14:textId="77777777" w:rsidR="006E1769" w:rsidRPr="009118AB" w:rsidRDefault="006E1769" w:rsidP="00477B8F">
      <w:pPr>
        <w:autoSpaceDE w:val="0"/>
        <w:autoSpaceDN w:val="0"/>
        <w:adjustRightInd w:val="0"/>
        <w:rPr>
          <w:sz w:val="20"/>
          <w:szCs w:val="20"/>
        </w:rPr>
      </w:pPr>
    </w:p>
    <w:p w14:paraId="5F414C36" w14:textId="70C5CD08" w:rsidR="00477B8F" w:rsidRPr="009118AB" w:rsidRDefault="00945A8B" w:rsidP="00D8043B">
      <w:pPr>
        <w:autoSpaceDE w:val="0"/>
        <w:autoSpaceDN w:val="0"/>
        <w:adjustRightInd w:val="0"/>
        <w:jc w:val="both"/>
        <w:rPr>
          <w:sz w:val="20"/>
          <w:szCs w:val="20"/>
        </w:rPr>
      </w:pPr>
      <w:r w:rsidRPr="009118AB">
        <w:rPr>
          <w:sz w:val="20"/>
          <w:szCs w:val="20"/>
        </w:rPr>
        <w:br w:type="page"/>
      </w:r>
      <w:r w:rsidR="00477B8F" w:rsidRPr="009118AB">
        <w:rPr>
          <w:sz w:val="20"/>
          <w:szCs w:val="20"/>
        </w:rPr>
        <w:lastRenderedPageBreak/>
        <w:t xml:space="preserve">Der König bestimmt die Art der </w:t>
      </w:r>
      <w:r w:rsidRPr="009118AB">
        <w:rPr>
          <w:sz w:val="20"/>
          <w:szCs w:val="20"/>
        </w:rPr>
        <w:t>[</w:t>
      </w:r>
      <w:r w:rsidR="00477B8F" w:rsidRPr="009118AB">
        <w:rPr>
          <w:sz w:val="20"/>
          <w:szCs w:val="20"/>
        </w:rPr>
        <w:t>in Absatz </w:t>
      </w:r>
      <w:r w:rsidRPr="009118AB">
        <w:rPr>
          <w:sz w:val="20"/>
          <w:szCs w:val="20"/>
        </w:rPr>
        <w:t>3</w:t>
      </w:r>
      <w:r w:rsidR="00477B8F" w:rsidRPr="009118AB">
        <w:rPr>
          <w:sz w:val="20"/>
          <w:szCs w:val="20"/>
        </w:rPr>
        <w:t xml:space="preserve"> </w:t>
      </w:r>
      <w:r w:rsidR="00D67EB8" w:rsidRPr="009118AB">
        <w:rPr>
          <w:sz w:val="20"/>
          <w:szCs w:val="20"/>
        </w:rPr>
        <w:t>Nr. </w:t>
      </w:r>
      <w:r w:rsidR="00477B8F" w:rsidRPr="009118AB">
        <w:rPr>
          <w:sz w:val="20"/>
          <w:szCs w:val="20"/>
        </w:rPr>
        <w:t>4</w:t>
      </w:r>
      <w:r w:rsidRPr="009118AB">
        <w:rPr>
          <w:sz w:val="20"/>
          <w:szCs w:val="20"/>
        </w:rPr>
        <w:t>]</w:t>
      </w:r>
      <w:r w:rsidR="00477B8F" w:rsidRPr="009118AB">
        <w:rPr>
          <w:sz w:val="20"/>
          <w:szCs w:val="20"/>
        </w:rPr>
        <w:t xml:space="preserve"> erwähnten Leistungen und die Modalitäten der Anwendung der Ermäßigung.] </w:t>
      </w:r>
    </w:p>
    <w:p w14:paraId="6715AF3F" w14:textId="77777777" w:rsidR="00477B8F" w:rsidRPr="009118AB" w:rsidRDefault="00477B8F" w:rsidP="00477B8F">
      <w:pPr>
        <w:autoSpaceDE w:val="0"/>
        <w:autoSpaceDN w:val="0"/>
        <w:adjustRightInd w:val="0"/>
        <w:jc w:val="both"/>
        <w:rPr>
          <w:sz w:val="20"/>
          <w:szCs w:val="20"/>
        </w:rPr>
      </w:pPr>
    </w:p>
    <w:p w14:paraId="45F0F8DA" w14:textId="464B6E26" w:rsidR="00477B8F" w:rsidRPr="009118AB" w:rsidRDefault="00477B8F" w:rsidP="00477B8F">
      <w:pPr>
        <w:autoSpaceDE w:val="0"/>
        <w:autoSpaceDN w:val="0"/>
        <w:adjustRightInd w:val="0"/>
        <w:jc w:val="both"/>
        <w:rPr>
          <w:spacing w:val="-2"/>
        </w:rPr>
      </w:pPr>
      <w:r w:rsidRPr="009118AB">
        <w:rPr>
          <w:i/>
          <w:iCs/>
          <w:spacing w:val="-2"/>
          <w:sz w:val="20"/>
          <w:szCs w:val="20"/>
        </w:rPr>
        <w:t>[</w:t>
      </w:r>
      <w:r w:rsidR="00D67EB8" w:rsidRPr="009118AB">
        <w:rPr>
          <w:i/>
          <w:iCs/>
          <w:spacing w:val="-2"/>
          <w:sz w:val="20"/>
          <w:szCs w:val="20"/>
        </w:rPr>
        <w:t>Art. </w:t>
      </w:r>
      <w:r w:rsidRPr="009118AB">
        <w:rPr>
          <w:i/>
          <w:iCs/>
          <w:spacing w:val="-2"/>
          <w:sz w:val="20"/>
          <w:szCs w:val="20"/>
        </w:rPr>
        <w:t>145</w:t>
      </w:r>
      <w:r w:rsidRPr="009118AB">
        <w:rPr>
          <w:i/>
          <w:iCs/>
          <w:spacing w:val="-2"/>
          <w:sz w:val="20"/>
          <w:szCs w:val="20"/>
          <w:vertAlign w:val="superscript"/>
        </w:rPr>
        <w:t>25</w:t>
      </w:r>
      <w:r w:rsidRPr="009118AB">
        <w:rPr>
          <w:i/>
          <w:iCs/>
          <w:spacing w:val="-2"/>
          <w:sz w:val="20"/>
          <w:szCs w:val="20"/>
        </w:rPr>
        <w:t xml:space="preserve"> </w:t>
      </w:r>
      <w:r w:rsidR="00D67EB8" w:rsidRPr="009118AB">
        <w:rPr>
          <w:i/>
          <w:iCs/>
          <w:spacing w:val="-2"/>
          <w:sz w:val="20"/>
          <w:szCs w:val="20"/>
        </w:rPr>
        <w:t>Abs. </w:t>
      </w:r>
      <w:r w:rsidRPr="009118AB">
        <w:rPr>
          <w:i/>
          <w:iCs/>
          <w:spacing w:val="-2"/>
          <w:sz w:val="20"/>
          <w:szCs w:val="20"/>
        </w:rPr>
        <w:t xml:space="preserve">2 abgeändert durch </w:t>
      </w:r>
      <w:r w:rsidR="00D67EB8" w:rsidRPr="009118AB">
        <w:rPr>
          <w:i/>
          <w:iCs/>
          <w:spacing w:val="-2"/>
          <w:sz w:val="20"/>
          <w:szCs w:val="20"/>
        </w:rPr>
        <w:t>Art. </w:t>
      </w:r>
      <w:r w:rsidRPr="009118AB">
        <w:rPr>
          <w:i/>
          <w:iCs/>
          <w:spacing w:val="-2"/>
          <w:sz w:val="20"/>
          <w:szCs w:val="20"/>
        </w:rPr>
        <w:t xml:space="preserve">42 </w:t>
      </w:r>
      <w:r w:rsidR="00D67EB8" w:rsidRPr="009118AB">
        <w:rPr>
          <w:i/>
          <w:iCs/>
          <w:spacing w:val="-2"/>
          <w:sz w:val="20"/>
          <w:szCs w:val="20"/>
        </w:rPr>
        <w:t>Nr. </w:t>
      </w:r>
      <w:r w:rsidRPr="009118AB">
        <w:rPr>
          <w:i/>
          <w:iCs/>
          <w:spacing w:val="-2"/>
          <w:sz w:val="20"/>
          <w:szCs w:val="20"/>
        </w:rPr>
        <w:t xml:space="preserve">1 des G. vom 9. Juli 2004 (B.S. vom 15. Juli 2004); </w:t>
      </w:r>
      <w:r w:rsidR="00D67EB8" w:rsidRPr="009118AB">
        <w:rPr>
          <w:i/>
          <w:iCs/>
          <w:spacing w:val="-2"/>
          <w:sz w:val="20"/>
          <w:szCs w:val="20"/>
        </w:rPr>
        <w:t>Abs. </w:t>
      </w:r>
      <w:r w:rsidR="00ED7721" w:rsidRPr="009118AB">
        <w:rPr>
          <w:i/>
          <w:iCs/>
          <w:spacing w:val="-2"/>
          <w:sz w:val="20"/>
          <w:szCs w:val="20"/>
        </w:rPr>
        <w:t xml:space="preserve">3 </w:t>
      </w:r>
      <w:r w:rsidR="00D67EB8" w:rsidRPr="009118AB">
        <w:rPr>
          <w:i/>
          <w:iCs/>
          <w:spacing w:val="-2"/>
          <w:sz w:val="20"/>
          <w:szCs w:val="20"/>
        </w:rPr>
        <w:t>Nr. </w:t>
      </w:r>
      <w:r w:rsidR="00ED7721" w:rsidRPr="009118AB">
        <w:rPr>
          <w:i/>
          <w:iCs/>
          <w:spacing w:val="-2"/>
          <w:sz w:val="20"/>
          <w:szCs w:val="20"/>
        </w:rPr>
        <w:t xml:space="preserve">4 abgeändert durch </w:t>
      </w:r>
      <w:r w:rsidR="00D67EB8" w:rsidRPr="009118AB">
        <w:rPr>
          <w:i/>
          <w:iCs/>
          <w:spacing w:val="-2"/>
          <w:sz w:val="20"/>
          <w:szCs w:val="20"/>
        </w:rPr>
        <w:t>Art. </w:t>
      </w:r>
      <w:r w:rsidR="00ED7721" w:rsidRPr="009118AB">
        <w:rPr>
          <w:i/>
          <w:iCs/>
          <w:spacing w:val="-2"/>
          <w:sz w:val="20"/>
          <w:szCs w:val="20"/>
        </w:rPr>
        <w:t>79 des G. vom 14. April 2011 (B.S. vom 6. Mai 2011)</w:t>
      </w:r>
      <w:r w:rsidR="00D67EB8" w:rsidRPr="009118AB">
        <w:rPr>
          <w:i/>
          <w:iCs/>
          <w:spacing w:val="-2"/>
          <w:sz w:val="20"/>
          <w:szCs w:val="20"/>
        </w:rPr>
        <w:t> - </w:t>
      </w:r>
      <w:r w:rsidR="00ED7721" w:rsidRPr="009118AB">
        <w:rPr>
          <w:i/>
          <w:iCs/>
          <w:spacing w:val="-2"/>
          <w:sz w:val="20"/>
          <w:szCs w:val="20"/>
        </w:rPr>
        <w:t>anwendbar auf Arbeiten, die ab dem 1. Januar 2011 ausgeführt werden</w:t>
      </w:r>
      <w:r w:rsidR="003366D9" w:rsidRPr="009118AB">
        <w:rPr>
          <w:i/>
          <w:iCs/>
          <w:spacing w:val="-2"/>
          <w:sz w:val="20"/>
          <w:szCs w:val="20"/>
        </w:rPr>
        <w:t> -;</w:t>
      </w:r>
      <w:r w:rsidR="00ED7721" w:rsidRPr="009118AB">
        <w:rPr>
          <w:i/>
          <w:iCs/>
          <w:spacing w:val="-2"/>
          <w:sz w:val="20"/>
          <w:szCs w:val="20"/>
        </w:rPr>
        <w:t xml:space="preserve"> </w:t>
      </w:r>
      <w:r w:rsidR="00D67EB8" w:rsidRPr="009118AB">
        <w:rPr>
          <w:i/>
          <w:iCs/>
          <w:spacing w:val="-2"/>
          <w:sz w:val="20"/>
          <w:szCs w:val="20"/>
        </w:rPr>
        <w:t>Abs. </w:t>
      </w:r>
      <w:r w:rsidR="00945A8B" w:rsidRPr="009118AB">
        <w:rPr>
          <w:i/>
          <w:iCs/>
          <w:spacing w:val="-2"/>
          <w:sz w:val="20"/>
          <w:szCs w:val="20"/>
        </w:rPr>
        <w:t xml:space="preserve">4 Buchstabe c) </w:t>
      </w:r>
      <w:r w:rsidR="00285CBB" w:rsidRPr="009118AB">
        <w:rPr>
          <w:i/>
          <w:iCs/>
          <w:spacing w:val="-2"/>
          <w:sz w:val="20"/>
          <w:szCs w:val="20"/>
        </w:rPr>
        <w:t xml:space="preserve">aufgehoben durch </w:t>
      </w:r>
      <w:r w:rsidR="00D67EB8" w:rsidRPr="009118AB">
        <w:rPr>
          <w:i/>
          <w:iCs/>
          <w:spacing w:val="-2"/>
          <w:sz w:val="20"/>
          <w:szCs w:val="20"/>
        </w:rPr>
        <w:t>Art. </w:t>
      </w:r>
      <w:r w:rsidR="00285CBB" w:rsidRPr="009118AB">
        <w:rPr>
          <w:i/>
          <w:iCs/>
          <w:spacing w:val="-2"/>
          <w:sz w:val="20"/>
          <w:szCs w:val="20"/>
        </w:rPr>
        <w:t xml:space="preserve">31 </w:t>
      </w:r>
      <w:r w:rsidR="00D67EB8" w:rsidRPr="009118AB">
        <w:rPr>
          <w:i/>
          <w:iCs/>
          <w:spacing w:val="-2"/>
          <w:sz w:val="20"/>
          <w:szCs w:val="20"/>
        </w:rPr>
        <w:t>Nr. </w:t>
      </w:r>
      <w:r w:rsidR="00285CBB" w:rsidRPr="009118AB">
        <w:rPr>
          <w:i/>
          <w:iCs/>
          <w:spacing w:val="-2"/>
          <w:sz w:val="20"/>
          <w:szCs w:val="20"/>
        </w:rPr>
        <w:t>1 des G. vom 8. Mai 2014 (B.S. vom 28. Mai 2014)</w:t>
      </w:r>
      <w:r w:rsidR="00D67EB8" w:rsidRPr="009118AB">
        <w:rPr>
          <w:i/>
          <w:iCs/>
          <w:spacing w:val="-2"/>
          <w:sz w:val="20"/>
          <w:szCs w:val="20"/>
        </w:rPr>
        <w:t> - </w:t>
      </w:r>
      <w:r w:rsidR="00285CBB" w:rsidRPr="009118AB">
        <w:rPr>
          <w:i/>
          <w:iCs/>
          <w:spacing w:val="-2"/>
          <w:sz w:val="20"/>
          <w:szCs w:val="20"/>
        </w:rPr>
        <w:t>anwendbar ab dem Steuerjahr 2015</w:t>
      </w:r>
      <w:r w:rsidR="003366D9" w:rsidRPr="009118AB">
        <w:rPr>
          <w:i/>
          <w:iCs/>
          <w:spacing w:val="-2"/>
          <w:sz w:val="20"/>
          <w:szCs w:val="20"/>
        </w:rPr>
        <w:t> -;</w:t>
      </w:r>
      <w:r w:rsidR="00945A8B" w:rsidRPr="009118AB">
        <w:rPr>
          <w:i/>
          <w:iCs/>
          <w:spacing w:val="-2"/>
          <w:sz w:val="20"/>
          <w:szCs w:val="20"/>
        </w:rPr>
        <w:t xml:space="preserve"> </w:t>
      </w:r>
      <w:r w:rsidR="00D67EB8" w:rsidRPr="009118AB">
        <w:rPr>
          <w:i/>
          <w:iCs/>
          <w:spacing w:val="-2"/>
          <w:sz w:val="20"/>
          <w:szCs w:val="20"/>
        </w:rPr>
        <w:t>Abs. </w:t>
      </w:r>
      <w:r w:rsidRPr="009118AB">
        <w:rPr>
          <w:i/>
          <w:iCs/>
          <w:spacing w:val="-2"/>
          <w:sz w:val="20"/>
          <w:szCs w:val="20"/>
        </w:rPr>
        <w:t xml:space="preserve">6 abgeändert durch </w:t>
      </w:r>
      <w:r w:rsidR="00D67EB8" w:rsidRPr="009118AB">
        <w:rPr>
          <w:i/>
          <w:iCs/>
          <w:spacing w:val="-2"/>
          <w:sz w:val="20"/>
          <w:szCs w:val="20"/>
        </w:rPr>
        <w:t>Art. </w:t>
      </w:r>
      <w:r w:rsidRPr="009118AB">
        <w:rPr>
          <w:i/>
          <w:iCs/>
          <w:spacing w:val="-2"/>
          <w:sz w:val="20"/>
          <w:szCs w:val="20"/>
        </w:rPr>
        <w:t xml:space="preserve">42 </w:t>
      </w:r>
      <w:r w:rsidR="00D67EB8" w:rsidRPr="009118AB">
        <w:rPr>
          <w:i/>
          <w:iCs/>
          <w:spacing w:val="-2"/>
          <w:sz w:val="20"/>
          <w:szCs w:val="20"/>
        </w:rPr>
        <w:t>Nr. </w:t>
      </w:r>
      <w:r w:rsidRPr="009118AB">
        <w:rPr>
          <w:i/>
          <w:iCs/>
          <w:spacing w:val="-2"/>
          <w:sz w:val="20"/>
          <w:szCs w:val="20"/>
        </w:rPr>
        <w:t>2 des G. vom 9. Juli 2004 (B.S.</w:t>
      </w:r>
      <w:r w:rsidR="00ED7721" w:rsidRPr="009118AB">
        <w:rPr>
          <w:i/>
          <w:iCs/>
          <w:spacing w:val="-2"/>
          <w:sz w:val="20"/>
          <w:szCs w:val="20"/>
        </w:rPr>
        <w:t> </w:t>
      </w:r>
      <w:r w:rsidRPr="009118AB">
        <w:rPr>
          <w:i/>
          <w:iCs/>
          <w:spacing w:val="-2"/>
          <w:sz w:val="20"/>
          <w:szCs w:val="20"/>
        </w:rPr>
        <w:t xml:space="preserve">vom 15. Juli 2004); </w:t>
      </w:r>
      <w:r w:rsidR="00D67EB8" w:rsidRPr="009118AB">
        <w:rPr>
          <w:i/>
          <w:iCs/>
          <w:spacing w:val="-2"/>
          <w:sz w:val="20"/>
          <w:szCs w:val="20"/>
        </w:rPr>
        <w:t>Abs. </w:t>
      </w:r>
      <w:r w:rsidRPr="009118AB">
        <w:rPr>
          <w:i/>
          <w:iCs/>
          <w:spacing w:val="-2"/>
          <w:sz w:val="20"/>
          <w:szCs w:val="20"/>
        </w:rPr>
        <w:t xml:space="preserve">7 </w:t>
      </w:r>
      <w:r w:rsidR="00945A8B" w:rsidRPr="009118AB">
        <w:rPr>
          <w:i/>
          <w:iCs/>
          <w:spacing w:val="-2"/>
          <w:sz w:val="20"/>
          <w:szCs w:val="20"/>
        </w:rPr>
        <w:t xml:space="preserve">ersetzt durch </w:t>
      </w:r>
      <w:r w:rsidR="00D67EB8" w:rsidRPr="009118AB">
        <w:rPr>
          <w:i/>
          <w:iCs/>
          <w:spacing w:val="-2"/>
          <w:sz w:val="20"/>
          <w:szCs w:val="20"/>
        </w:rPr>
        <w:t>Art. </w:t>
      </w:r>
      <w:r w:rsidR="00285CBB" w:rsidRPr="009118AB">
        <w:rPr>
          <w:i/>
          <w:iCs/>
          <w:spacing w:val="-2"/>
          <w:sz w:val="20"/>
          <w:szCs w:val="20"/>
        </w:rPr>
        <w:t>31</w:t>
      </w:r>
      <w:r w:rsidR="00945A8B" w:rsidRPr="009118AB">
        <w:rPr>
          <w:i/>
          <w:iCs/>
          <w:spacing w:val="-2"/>
          <w:sz w:val="20"/>
          <w:szCs w:val="20"/>
        </w:rPr>
        <w:t xml:space="preserve"> </w:t>
      </w:r>
      <w:r w:rsidR="00D67EB8" w:rsidRPr="009118AB">
        <w:rPr>
          <w:i/>
          <w:iCs/>
          <w:spacing w:val="-2"/>
          <w:sz w:val="20"/>
          <w:szCs w:val="20"/>
        </w:rPr>
        <w:t>Nr. </w:t>
      </w:r>
      <w:r w:rsidR="00945A8B" w:rsidRPr="009118AB">
        <w:rPr>
          <w:i/>
          <w:iCs/>
          <w:spacing w:val="-2"/>
          <w:sz w:val="20"/>
          <w:szCs w:val="20"/>
        </w:rPr>
        <w:t>2</w:t>
      </w:r>
      <w:r w:rsidR="00285CBB" w:rsidRPr="009118AB">
        <w:rPr>
          <w:i/>
          <w:iCs/>
          <w:spacing w:val="-2"/>
          <w:sz w:val="20"/>
          <w:szCs w:val="20"/>
        </w:rPr>
        <w:t xml:space="preserve"> des G. vom 8. Mai 2014 (B.S. vom 28. Mai 2014)</w:t>
      </w:r>
      <w:r w:rsidR="00D67EB8" w:rsidRPr="009118AB">
        <w:rPr>
          <w:i/>
          <w:iCs/>
          <w:spacing w:val="-2"/>
          <w:sz w:val="20"/>
          <w:szCs w:val="20"/>
        </w:rPr>
        <w:t> - </w:t>
      </w:r>
      <w:r w:rsidR="00285CBB" w:rsidRPr="009118AB">
        <w:rPr>
          <w:i/>
          <w:iCs/>
          <w:spacing w:val="-2"/>
          <w:sz w:val="20"/>
          <w:szCs w:val="20"/>
        </w:rPr>
        <w:t>anwendbar ab dem Steuerjahr 2015</w:t>
      </w:r>
      <w:r w:rsidR="003366D9" w:rsidRPr="009118AB">
        <w:rPr>
          <w:i/>
          <w:iCs/>
          <w:spacing w:val="-2"/>
          <w:sz w:val="20"/>
          <w:szCs w:val="20"/>
        </w:rPr>
        <w:t> -;</w:t>
      </w:r>
      <w:r w:rsidR="00945A8B" w:rsidRPr="009118AB">
        <w:rPr>
          <w:i/>
          <w:iCs/>
          <w:spacing w:val="-2"/>
          <w:sz w:val="20"/>
          <w:szCs w:val="20"/>
        </w:rPr>
        <w:t xml:space="preserve"> </w:t>
      </w:r>
      <w:r w:rsidR="00D67EB8" w:rsidRPr="009118AB">
        <w:rPr>
          <w:i/>
          <w:iCs/>
          <w:spacing w:val="-2"/>
          <w:sz w:val="20"/>
          <w:szCs w:val="20"/>
        </w:rPr>
        <w:t>Abs. </w:t>
      </w:r>
      <w:r w:rsidR="00945A8B" w:rsidRPr="009118AB">
        <w:rPr>
          <w:i/>
          <w:iCs/>
          <w:spacing w:val="-2"/>
          <w:sz w:val="20"/>
          <w:szCs w:val="20"/>
        </w:rPr>
        <w:t xml:space="preserve">8 abgeändert durch </w:t>
      </w:r>
      <w:r w:rsidR="00D67EB8" w:rsidRPr="009118AB">
        <w:rPr>
          <w:i/>
          <w:iCs/>
          <w:spacing w:val="-2"/>
          <w:sz w:val="20"/>
          <w:szCs w:val="20"/>
        </w:rPr>
        <w:t>Art. </w:t>
      </w:r>
      <w:r w:rsidR="00945A8B" w:rsidRPr="009118AB">
        <w:rPr>
          <w:i/>
          <w:iCs/>
          <w:spacing w:val="-2"/>
          <w:sz w:val="20"/>
          <w:szCs w:val="20"/>
        </w:rPr>
        <w:t xml:space="preserve">20 </w:t>
      </w:r>
      <w:r w:rsidR="00D67EB8" w:rsidRPr="009118AB">
        <w:rPr>
          <w:i/>
          <w:iCs/>
          <w:spacing w:val="-2"/>
          <w:sz w:val="20"/>
          <w:szCs w:val="20"/>
        </w:rPr>
        <w:t>Nr. </w:t>
      </w:r>
      <w:r w:rsidR="00945A8B" w:rsidRPr="009118AB">
        <w:rPr>
          <w:i/>
          <w:iCs/>
          <w:spacing w:val="-2"/>
          <w:sz w:val="20"/>
          <w:szCs w:val="20"/>
        </w:rPr>
        <w:t>3 des G. vom 13.</w:t>
      </w:r>
      <w:r w:rsidR="00285CBB" w:rsidRPr="009118AB">
        <w:rPr>
          <w:i/>
          <w:iCs/>
          <w:spacing w:val="-2"/>
          <w:sz w:val="20"/>
          <w:szCs w:val="20"/>
        </w:rPr>
        <w:t> </w:t>
      </w:r>
      <w:r w:rsidR="00945A8B" w:rsidRPr="009118AB">
        <w:rPr>
          <w:i/>
          <w:iCs/>
          <w:spacing w:val="-2"/>
          <w:sz w:val="20"/>
          <w:szCs w:val="20"/>
        </w:rPr>
        <w:t>Dezember 2012 (B.S. vom 20. Dezember 2012)</w:t>
      </w:r>
      <w:r w:rsidR="00D67EB8" w:rsidRPr="009118AB">
        <w:rPr>
          <w:i/>
          <w:iCs/>
          <w:spacing w:val="-2"/>
          <w:sz w:val="20"/>
          <w:szCs w:val="20"/>
        </w:rPr>
        <w:t> - </w:t>
      </w:r>
      <w:r w:rsidR="00945A8B" w:rsidRPr="009118AB">
        <w:rPr>
          <w:i/>
          <w:iCs/>
          <w:spacing w:val="-2"/>
          <w:sz w:val="20"/>
          <w:szCs w:val="20"/>
        </w:rPr>
        <w:t>in Kraft ab dem Steuerjahr 2013</w:t>
      </w:r>
      <w:r w:rsidR="00FD68E8" w:rsidRPr="009118AB">
        <w:rPr>
          <w:i/>
          <w:iCs/>
          <w:spacing w:val="-2"/>
          <w:sz w:val="20"/>
          <w:szCs w:val="20"/>
        </w:rPr>
        <w:t> -]</w:t>
      </w:r>
      <w:r w:rsidR="00117C1A" w:rsidRPr="009118AB">
        <w:rPr>
          <w:spacing w:val="-2"/>
          <w:sz w:val="20"/>
          <w:szCs w:val="20"/>
        </w:rPr>
        <w:t>"</w:t>
      </w:r>
    </w:p>
    <w:p w14:paraId="48878B6D" w14:textId="554055B1" w:rsidR="00477B8F" w:rsidRPr="009118AB" w:rsidRDefault="00477B8F" w:rsidP="00477B8F">
      <w:pPr>
        <w:autoSpaceDE w:val="0"/>
        <w:autoSpaceDN w:val="0"/>
        <w:adjustRightInd w:val="0"/>
        <w:jc w:val="center"/>
      </w:pPr>
      <w:r w:rsidRPr="009118AB">
        <w:br w:type="page"/>
      </w:r>
      <w:r w:rsidRPr="009118AB">
        <w:lastRenderedPageBreak/>
        <w:t>[Unterabschnitt </w:t>
      </w:r>
      <w:r w:rsidR="00D74862" w:rsidRPr="009118AB">
        <w:t>2</w:t>
      </w:r>
      <w:r w:rsidRPr="009118AB">
        <w:rPr>
          <w:i/>
          <w:iCs/>
        </w:rPr>
        <w:t>septies</w:t>
      </w:r>
      <w:r w:rsidR="00D67EB8" w:rsidRPr="009118AB">
        <w:t> - </w:t>
      </w:r>
      <w:r w:rsidR="004B3B23" w:rsidRPr="009118AB">
        <w:t>[Ermäßigung für den Erwerb neuer Aktien oder Anteile von startenden Unternehmen</w:t>
      </w:r>
      <w:r w:rsidR="00D67EB8" w:rsidRPr="009118AB">
        <w:t> - </w:t>
      </w:r>
      <w:r w:rsidR="004B3B23" w:rsidRPr="009118AB">
        <w:t>Rücknahme der Ermäßigung</w:t>
      </w:r>
    </w:p>
    <w:p w14:paraId="12FCB256" w14:textId="77777777" w:rsidR="00477B8F" w:rsidRPr="009118AB" w:rsidRDefault="00477B8F" w:rsidP="00477B8F">
      <w:pPr>
        <w:autoSpaceDE w:val="0"/>
        <w:autoSpaceDN w:val="0"/>
        <w:adjustRightInd w:val="0"/>
        <w:jc w:val="both"/>
      </w:pPr>
    </w:p>
    <w:p w14:paraId="035249A3" w14:textId="23585B1C" w:rsidR="00477B8F" w:rsidRPr="009118AB" w:rsidRDefault="00477B8F" w:rsidP="00477B8F">
      <w:pPr>
        <w:autoSpaceDE w:val="0"/>
        <w:autoSpaceDN w:val="0"/>
        <w:adjustRightInd w:val="0"/>
        <w:jc w:val="both"/>
      </w:pPr>
      <w:r w:rsidRPr="009118AB">
        <w:rPr>
          <w:i/>
          <w:iCs/>
        </w:rPr>
        <w:t>[Unterabschnitt </w:t>
      </w:r>
      <w:r w:rsidR="00D74862" w:rsidRPr="009118AB">
        <w:rPr>
          <w:i/>
          <w:iCs/>
        </w:rPr>
        <w:t>2</w:t>
      </w:r>
      <w:r w:rsidRPr="009118AB">
        <w:rPr>
          <w:i/>
          <w:iCs/>
        </w:rPr>
        <w:t xml:space="preserve">septies mit </w:t>
      </w:r>
      <w:r w:rsidR="00D67EB8" w:rsidRPr="009118AB">
        <w:rPr>
          <w:i/>
          <w:iCs/>
        </w:rPr>
        <w:t>Art. </w:t>
      </w:r>
      <w:r w:rsidRPr="009118AB">
        <w:rPr>
          <w:i/>
          <w:iCs/>
        </w:rPr>
        <w:t>145</w:t>
      </w:r>
      <w:r w:rsidRPr="009118AB">
        <w:rPr>
          <w:i/>
          <w:iCs/>
          <w:vertAlign w:val="superscript"/>
        </w:rPr>
        <w:t>26</w:t>
      </w:r>
      <w:r w:rsidRPr="009118AB">
        <w:rPr>
          <w:i/>
          <w:iCs/>
        </w:rPr>
        <w:t xml:space="preserve"> eingefügt durch </w:t>
      </w:r>
      <w:r w:rsidR="00D67EB8" w:rsidRPr="009118AB">
        <w:rPr>
          <w:i/>
          <w:iCs/>
        </w:rPr>
        <w:t>Art. </w:t>
      </w:r>
      <w:r w:rsidRPr="009118AB">
        <w:rPr>
          <w:i/>
          <w:iCs/>
        </w:rPr>
        <w:t>113 des G. vom 8. April 2003 (B.S. vom 17. April 2003)</w:t>
      </w:r>
      <w:r w:rsidR="004B3B23" w:rsidRPr="009118AB">
        <w:rPr>
          <w:i/>
          <w:iCs/>
        </w:rPr>
        <w:t>,</w:t>
      </w:r>
      <w:r w:rsidR="00DD52E4" w:rsidRPr="009118AB">
        <w:rPr>
          <w:i/>
          <w:iCs/>
        </w:rPr>
        <w:t xml:space="preserve"> aufgehoben durch </w:t>
      </w:r>
      <w:r w:rsidR="00D67EB8" w:rsidRPr="009118AB">
        <w:rPr>
          <w:i/>
          <w:iCs/>
        </w:rPr>
        <w:t>Art. </w:t>
      </w:r>
      <w:r w:rsidR="00DD52E4" w:rsidRPr="009118AB">
        <w:rPr>
          <w:i/>
          <w:iCs/>
        </w:rPr>
        <w:t>32</w:t>
      </w:r>
      <w:r w:rsidR="00DD52E4" w:rsidRPr="009118AB">
        <w:rPr>
          <w:i/>
        </w:rPr>
        <w:t xml:space="preserve"> des G. vom 8. Mai 2014 (B.S. vom 28. Mai 2014)</w:t>
      </w:r>
      <w:r w:rsidR="00D67EB8" w:rsidRPr="009118AB">
        <w:rPr>
          <w:i/>
        </w:rPr>
        <w:t> - </w:t>
      </w:r>
      <w:r w:rsidR="00DD52E4" w:rsidRPr="009118AB">
        <w:rPr>
          <w:i/>
          <w:iCs/>
        </w:rPr>
        <w:t>anwendbar ab dem Steuerjahr 2015</w:t>
      </w:r>
      <w:r w:rsidR="00D67EB8" w:rsidRPr="009118AB">
        <w:rPr>
          <w:i/>
          <w:iCs/>
        </w:rPr>
        <w:t> - </w:t>
      </w:r>
      <w:r w:rsidR="004B3B23" w:rsidRPr="009118AB">
        <w:rPr>
          <w:i/>
          <w:iCs/>
        </w:rPr>
        <w:t xml:space="preserve">und wieder aufgenommen durch </w:t>
      </w:r>
      <w:r w:rsidR="00D67EB8" w:rsidRPr="009118AB">
        <w:rPr>
          <w:i/>
          <w:iCs/>
        </w:rPr>
        <w:t>Art. </w:t>
      </w:r>
      <w:r w:rsidR="004B3B23" w:rsidRPr="009118AB">
        <w:rPr>
          <w:i/>
          <w:iCs/>
        </w:rPr>
        <w:t>48 des G. vom 10. August 2015 (B.S. vom 18. August 2015)</w:t>
      </w:r>
      <w:r w:rsidR="00D67EB8" w:rsidRPr="009118AB">
        <w:rPr>
          <w:i/>
          <w:iCs/>
        </w:rPr>
        <w:t> - </w:t>
      </w:r>
      <w:r w:rsidR="00A55D52" w:rsidRPr="009118AB">
        <w:rPr>
          <w:i/>
          <w:iCs/>
        </w:rPr>
        <w:t>anwendbar auf Ausgaben für den Erwerb von Aktien oder Anteilen oder von Anteilen an einem zugelassenen Starterfonds, die ab dem 1. Juli 2015 ausgegeben werden</w:t>
      </w:r>
      <w:r w:rsidR="00FD68E8" w:rsidRPr="009118AB">
        <w:rPr>
          <w:i/>
          <w:iCs/>
        </w:rPr>
        <w:t> -]</w:t>
      </w:r>
    </w:p>
    <w:p w14:paraId="06DFB521" w14:textId="26B00676" w:rsidR="00477B8F" w:rsidRPr="009118AB" w:rsidRDefault="00477B8F" w:rsidP="00477B8F">
      <w:pPr>
        <w:autoSpaceDE w:val="0"/>
        <w:autoSpaceDN w:val="0"/>
        <w:adjustRightInd w:val="0"/>
        <w:jc w:val="both"/>
      </w:pPr>
    </w:p>
    <w:p w14:paraId="49F4B2A9" w14:textId="77777777" w:rsidR="00555370" w:rsidRPr="009118AB" w:rsidRDefault="00555370" w:rsidP="00477B8F">
      <w:pPr>
        <w:autoSpaceDE w:val="0"/>
        <w:autoSpaceDN w:val="0"/>
        <w:adjustRightInd w:val="0"/>
        <w:jc w:val="both"/>
      </w:pPr>
    </w:p>
    <w:p w14:paraId="29799E52" w14:textId="235CAAE5" w:rsidR="00A55D52" w:rsidRPr="009118AB" w:rsidRDefault="00D67EB8" w:rsidP="00A55D52">
      <w:pPr>
        <w:ind w:firstLine="708"/>
        <w:jc w:val="both"/>
      </w:pPr>
      <w:r w:rsidRPr="009118AB">
        <w:rPr>
          <w:b/>
          <w:bCs/>
        </w:rPr>
        <w:t>Art. </w:t>
      </w:r>
      <w:r w:rsidR="00477B8F" w:rsidRPr="009118AB">
        <w:rPr>
          <w:b/>
          <w:bCs/>
        </w:rPr>
        <w:t>145</w:t>
      </w:r>
      <w:r w:rsidR="00477B8F" w:rsidRPr="009118AB">
        <w:rPr>
          <w:b/>
          <w:bCs/>
          <w:vertAlign w:val="superscript"/>
        </w:rPr>
        <w:t>26</w:t>
      </w:r>
      <w:r w:rsidRPr="009118AB">
        <w:t> - § </w:t>
      </w:r>
      <w:r w:rsidR="00A55D52" w:rsidRPr="009118AB">
        <w:t>1</w:t>
      </w:r>
      <w:r w:rsidRPr="009118AB">
        <w:t> - </w:t>
      </w:r>
      <w:r w:rsidR="00A55D52" w:rsidRPr="009118AB">
        <w:t>Eine Steuerermäßigung wird für Summen gewährt, die gezahlt werden für:</w:t>
      </w:r>
    </w:p>
    <w:p w14:paraId="39BB661D" w14:textId="77777777" w:rsidR="00A55D52" w:rsidRPr="009118AB" w:rsidRDefault="00A55D52" w:rsidP="00A55D52">
      <w:pPr>
        <w:jc w:val="both"/>
      </w:pPr>
    </w:p>
    <w:p w14:paraId="65493475" w14:textId="25821E53" w:rsidR="00A55D52" w:rsidRPr="009118AB" w:rsidRDefault="00A55D52" w:rsidP="00A55D52">
      <w:pPr>
        <w:ind w:firstLine="708"/>
        <w:jc w:val="both"/>
      </w:pPr>
      <w:r w:rsidRPr="009118AB">
        <w:rPr>
          <w:i/>
        </w:rPr>
        <w:t>a)</w:t>
      </w:r>
      <w:r w:rsidRPr="009118AB">
        <w:t xml:space="preserve"> mit Geldeinlagen erworbene neue Namensaktien oder -anteile, die einen Teil des </w:t>
      </w:r>
      <w:r w:rsidR="002F5D6E" w:rsidRPr="009118AB">
        <w:t>[K</w:t>
      </w:r>
      <w:r w:rsidRPr="009118AB">
        <w:t>apitals</w:t>
      </w:r>
      <w:r w:rsidR="002F5D6E" w:rsidRPr="009118AB">
        <w:t>]</w:t>
      </w:r>
      <w:r w:rsidRPr="009118AB">
        <w:t xml:space="preserve"> einer in </w:t>
      </w:r>
      <w:r w:rsidR="00D67EB8" w:rsidRPr="009118AB">
        <w:t>§ </w:t>
      </w:r>
      <w:r w:rsidRPr="009118AB">
        <w:t xml:space="preserve">3 Absatz 1 erwähnten Gesellschaft vertreten, die der Steuerpflichtige anlässlich der Gründung dieser Gesellschaft oder einer Kapitalerhöhung binnen vier Jahren nach ihrer Gründung </w:t>
      </w:r>
      <w:r w:rsidR="00732830" w:rsidRPr="009118AB">
        <w:t>[entweder direkt oder über eine Crowdfunding-Plattform gezeichnet hat]</w:t>
      </w:r>
      <w:r w:rsidRPr="009118AB">
        <w:t xml:space="preserve"> und die er vollständig eingezahlt hat,</w:t>
      </w:r>
    </w:p>
    <w:p w14:paraId="446E691C" w14:textId="77777777" w:rsidR="00A55D52" w:rsidRPr="009118AB" w:rsidRDefault="00A55D52" w:rsidP="00A55D52">
      <w:pPr>
        <w:jc w:val="both"/>
      </w:pPr>
    </w:p>
    <w:p w14:paraId="5AC333A2" w14:textId="3FB671CA" w:rsidR="00A55D52" w:rsidRPr="009118AB" w:rsidRDefault="00A55D52" w:rsidP="00A55D52">
      <w:pPr>
        <w:ind w:firstLine="708"/>
        <w:jc w:val="both"/>
      </w:pPr>
      <w:r w:rsidRPr="009118AB">
        <w:rPr>
          <w:i/>
        </w:rPr>
        <w:t>b)</w:t>
      </w:r>
      <w:r w:rsidRPr="009118AB">
        <w:t> </w:t>
      </w:r>
      <w:r w:rsidR="00732830" w:rsidRPr="009118AB">
        <w:t>[</w:t>
      </w:r>
      <w:r w:rsidR="004151B0" w:rsidRPr="009118AB">
        <w:t>neue Anlageinstrumente, die von einer in Artikel 2 Absatz 1 Buchstabe q der Verordnung (EU) 2020/1503 des Europäischen Parlaments und des Rates vom 7. Oktober 2020 über Europäische Schwarmfinanzierungsdienstleister für Unternehmen und zur Änderung der Verordnung (EU) 2017/1129 und der Richtlinie (EU) 2019/1937 erwähnten Zweckgesellschaft ausgegeben worden sind und die der Steuerpflichtige über eine Crowdfunding-Plattform gezeichnet hat, vorausgesetzt, die Zweckgesellschaft investiert die Zahlungen der Steuerpflichtigen</w:t>
      </w:r>
      <w:r w:rsidR="00D67EB8" w:rsidRPr="009118AB">
        <w:t> - </w:t>
      </w:r>
      <w:r w:rsidR="004151B0" w:rsidRPr="009118AB">
        <w:t>gegebenenfalls nach Abzug einer Entschädigung für ihre Vermittlerrolle</w:t>
      </w:r>
      <w:r w:rsidR="00D67EB8" w:rsidRPr="009118AB">
        <w:t> - </w:t>
      </w:r>
      <w:r w:rsidR="004151B0" w:rsidRPr="009118AB">
        <w:t xml:space="preserve">direkt in neue Namensaktien oder -anteile, die einen Teil des Kapitals einer in </w:t>
      </w:r>
      <w:r w:rsidR="00D67EB8" w:rsidRPr="009118AB">
        <w:t>§ </w:t>
      </w:r>
      <w:r w:rsidR="004151B0" w:rsidRPr="009118AB">
        <w:t>3 Absatz 1 erwähnten Gesellschaft vertreten, die anlässlich der Gründung dieser Gesellschaft oder einer Kapitalerhöhung binnen vier Jahren nach ihrer Gründung ausgegeben werden und vollständig eingezahlt werden. Emittenten von Aktienzertifikaten gelten als Zweckgesellschaften,</w:t>
      </w:r>
      <w:r w:rsidR="00732830" w:rsidRPr="009118AB">
        <w:t>]</w:t>
      </w:r>
    </w:p>
    <w:p w14:paraId="0DA0AD3D" w14:textId="77777777" w:rsidR="00732830" w:rsidRPr="009118AB" w:rsidRDefault="00732830" w:rsidP="00A55D52">
      <w:pPr>
        <w:ind w:firstLine="708"/>
        <w:jc w:val="both"/>
      </w:pPr>
    </w:p>
    <w:p w14:paraId="6822B966" w14:textId="3FF7EC85" w:rsidR="00732830" w:rsidRPr="009118AB" w:rsidRDefault="00732830" w:rsidP="00A55D52">
      <w:pPr>
        <w:ind w:firstLine="708"/>
        <w:jc w:val="both"/>
      </w:pPr>
      <w:r w:rsidRPr="009118AB">
        <w:t>[</w:t>
      </w:r>
      <w:r w:rsidRPr="009118AB">
        <w:rPr>
          <w:i/>
        </w:rPr>
        <w:t>c)</w:t>
      </w:r>
      <w:r w:rsidRPr="009118AB">
        <w:t xml:space="preserve"> mit Geldeinlagen erworbene neue Namensanteile, die einen Teil des </w:t>
      </w:r>
      <w:r w:rsidR="002F5D6E" w:rsidRPr="009118AB">
        <w:t>[K</w:t>
      </w:r>
      <w:r w:rsidRPr="009118AB">
        <w:t>apitals</w:t>
      </w:r>
      <w:r w:rsidR="002F5D6E" w:rsidRPr="009118AB">
        <w:t>]</w:t>
      </w:r>
      <w:r w:rsidRPr="009118AB">
        <w:t xml:space="preserve"> eines öffentlichen Starterfonds oder eines privaten Kapitalanlagestarterfonds mit fixem Kapital vertreten, der die in </w:t>
      </w:r>
      <w:r w:rsidR="00D67EB8" w:rsidRPr="009118AB">
        <w:t>§ </w:t>
      </w:r>
      <w:r w:rsidRPr="009118AB">
        <w:t>2 vorgesehenen Bedingungen erfüllt, und die der Steuerpflichtige anlässlich der Ausgabe dieser Anteile gezeichnet hat.]</w:t>
      </w:r>
    </w:p>
    <w:p w14:paraId="172F7FC2" w14:textId="77777777" w:rsidR="00A55D52" w:rsidRPr="009118AB" w:rsidRDefault="00A55D52" w:rsidP="00A55D52">
      <w:pPr>
        <w:jc w:val="both"/>
      </w:pPr>
    </w:p>
    <w:p w14:paraId="1444F911" w14:textId="2FEBCFFB" w:rsidR="00732830" w:rsidRPr="009118AB" w:rsidRDefault="00732830" w:rsidP="00A55D52">
      <w:pPr>
        <w:jc w:val="both"/>
      </w:pPr>
      <w:r w:rsidRPr="009118AB">
        <w:tab/>
        <w:t>[</w:t>
      </w:r>
      <w:r w:rsidR="004151B0" w:rsidRPr="009118AB">
        <w:t>Die in Absatz 1 erwähnte Crowdfunding-Plattform ist ein Schwarmfinanzierungs</w:t>
      </w:r>
      <w:r w:rsidR="004151B0" w:rsidRPr="009118AB">
        <w:softHyphen/>
        <w:t>dienstleister wie in Artikel 2 Absatz 1 Buchstabe e der vorerwähnten Verord</w:t>
      </w:r>
      <w:r w:rsidR="004151B0" w:rsidRPr="009118AB">
        <w:softHyphen/>
        <w:t>nung (EU) 2020/1503 erwähnt, der von der Autorität Finanzielle Dienste und Märkte oder von der zuständigen Behörde seines Herkunftsmitgliedstaates gemäß Artikel 12 dieser Verordnung zugelassen ist.</w:t>
      </w:r>
      <w:r w:rsidRPr="009118AB">
        <w:t>]</w:t>
      </w:r>
    </w:p>
    <w:p w14:paraId="3513AE82" w14:textId="77777777" w:rsidR="00732830" w:rsidRPr="009118AB" w:rsidRDefault="00732830" w:rsidP="00A55D52">
      <w:pPr>
        <w:jc w:val="both"/>
      </w:pPr>
    </w:p>
    <w:p w14:paraId="4F1A86F2" w14:textId="77777777" w:rsidR="00A55D52" w:rsidRPr="009118AB" w:rsidRDefault="00A55D52" w:rsidP="00A55D52">
      <w:pPr>
        <w:ind w:firstLine="708"/>
        <w:jc w:val="both"/>
      </w:pPr>
      <w:r w:rsidRPr="009118AB">
        <w:t>Für die Anwendung des vorliegenden Artikels gilt, dass eine Gesellschaft an dem Datum gegründet worden ist, an dem der Errichtungsakt bei der Kanzlei des Handelsgerichts hinterlegt worden ist oder eine entsprechende Registrierungsformalität in einem anderen Mitgliedstaat des Europäischen Wirtschaftsraums erfolgt ist.</w:t>
      </w:r>
    </w:p>
    <w:p w14:paraId="47B7C3F6" w14:textId="77777777" w:rsidR="00A55D52" w:rsidRPr="009118AB" w:rsidRDefault="00A55D52" w:rsidP="00A55D52">
      <w:pPr>
        <w:jc w:val="both"/>
      </w:pPr>
    </w:p>
    <w:p w14:paraId="6FE58A3B" w14:textId="77777777" w:rsidR="00A55D52" w:rsidRPr="009118AB" w:rsidRDefault="00A55D52" w:rsidP="00A55D52">
      <w:pPr>
        <w:ind w:firstLine="708"/>
        <w:jc w:val="both"/>
      </w:pPr>
      <w:r w:rsidRPr="009118AB">
        <w:lastRenderedPageBreak/>
        <w:t xml:space="preserve">Besteht die Tätigkeit der Gesellschaft in der Fortführung einer Tätigkeit, die vorher von einer natürlichen Person oder einer anderen juristischen Person ausgeübt wurde, gilt in Abweichung </w:t>
      </w:r>
      <w:r w:rsidR="00732830" w:rsidRPr="009118AB">
        <w:t>[</w:t>
      </w:r>
      <w:r w:rsidRPr="009118AB">
        <w:t>von Absatz </w:t>
      </w:r>
      <w:r w:rsidR="00732830" w:rsidRPr="009118AB">
        <w:t>3]</w:t>
      </w:r>
      <w:r w:rsidRPr="009118AB">
        <w:t>, dass die Gesellschaft zu dem Zeitpunkt gegründet worden ist, zu dem diese natürliche Person die erste Eintragung in der Zentralen Datenbank der Unter</w:t>
      </w:r>
      <w:r w:rsidRPr="009118AB">
        <w:softHyphen/>
        <w:t>nehmen veranlasst hat beziehungsweise zu dem der Errichtungsakt dieser anderen juristischen Person bei der Kanzlei des Handelsgerichts hinterlegt worden ist oder zu dem diese natürliche Person oder diese andere juristische Person eine entsprechende Registrierungsformalität in einem anderen Mitgliedstaat des Europäischen Wirtschaftsraums durchgeführt hat.</w:t>
      </w:r>
    </w:p>
    <w:p w14:paraId="53F4FFC7" w14:textId="77777777" w:rsidR="00A55D52" w:rsidRPr="009118AB" w:rsidRDefault="00A55D52" w:rsidP="00A55D52">
      <w:pPr>
        <w:jc w:val="both"/>
      </w:pPr>
    </w:p>
    <w:p w14:paraId="7905695B" w14:textId="661C82DA" w:rsidR="00A55D52" w:rsidRPr="009118AB" w:rsidRDefault="00D67EB8" w:rsidP="00A55D52">
      <w:pPr>
        <w:ind w:firstLine="708"/>
        <w:jc w:val="both"/>
      </w:pPr>
      <w:r w:rsidRPr="009118AB">
        <w:t>§ </w:t>
      </w:r>
      <w:r w:rsidR="00A55D52" w:rsidRPr="009118AB">
        <w:t>2</w:t>
      </w:r>
      <w:r w:rsidRPr="009118AB">
        <w:t> - </w:t>
      </w:r>
      <w:r w:rsidR="00732830" w:rsidRPr="009118AB">
        <w:t xml:space="preserve">[Der in </w:t>
      </w:r>
      <w:r w:rsidRPr="009118AB">
        <w:t>§ </w:t>
      </w:r>
      <w:r w:rsidR="00732830" w:rsidRPr="009118AB">
        <w:t>1 Absatz 1 Buchstabe </w:t>
      </w:r>
      <w:r w:rsidR="00732830" w:rsidRPr="009118AB">
        <w:rPr>
          <w:i/>
        </w:rPr>
        <w:t>c)</w:t>
      </w:r>
      <w:r w:rsidR="00732830" w:rsidRPr="009118AB">
        <w:t xml:space="preserve"> erwähnte öffentliche Starterfonds und der in </w:t>
      </w:r>
      <w:r w:rsidRPr="009118AB">
        <w:t>§ </w:t>
      </w:r>
      <w:r w:rsidR="00732830" w:rsidRPr="009118AB">
        <w:t>1 Absatz 1 Buchstabe </w:t>
      </w:r>
      <w:r w:rsidR="00732830" w:rsidRPr="009118AB">
        <w:rPr>
          <w:i/>
        </w:rPr>
        <w:t>c)</w:t>
      </w:r>
      <w:r w:rsidR="00732830" w:rsidRPr="009118AB">
        <w:t xml:space="preserve"> erwähnte private Kapitalanlagestarterfonds mit fixem Kapital sind Investmentgesellschaften mit fixer Anzahl Anteile, die in dem von der Autorität Finanzielle Dienste und Märkte geführten Verzeichnis der öffentlichen Starterfonds beziehungsweise in dem vom Föderalen Öffentlichen Dienst Finanzen geführten Verzeichnis der privaten Kapitalanlagestarterfonds mit fixem Kapital eingetragen sind.]</w:t>
      </w:r>
    </w:p>
    <w:p w14:paraId="5FA7AFC2" w14:textId="77777777" w:rsidR="00A55D52" w:rsidRPr="009118AB" w:rsidRDefault="00A55D52" w:rsidP="00A55D52">
      <w:pPr>
        <w:jc w:val="both"/>
      </w:pPr>
    </w:p>
    <w:p w14:paraId="3F0E8E4D" w14:textId="77777777" w:rsidR="00A55D52" w:rsidRPr="009118AB" w:rsidRDefault="00A55D52" w:rsidP="00A55D52">
      <w:pPr>
        <w:ind w:firstLine="708"/>
        <w:jc w:val="both"/>
      </w:pPr>
      <w:r w:rsidRPr="009118AB">
        <w:t xml:space="preserve">Die Anteile </w:t>
      </w:r>
      <w:r w:rsidR="00732830" w:rsidRPr="009118AB">
        <w:t>[des öffentlichen Starterfonds und des privaten Kapitalanlage</w:t>
      </w:r>
      <w:r w:rsidR="00732830" w:rsidRPr="009118AB">
        <w:softHyphen/>
        <w:t>starterfonds mit fixem Kapital sind Namensanteile]</w:t>
      </w:r>
      <w:r w:rsidRPr="009118AB">
        <w:t>.</w:t>
      </w:r>
    </w:p>
    <w:p w14:paraId="2C75FE3C" w14:textId="77777777" w:rsidR="00A55D52" w:rsidRPr="009118AB" w:rsidRDefault="00A55D52" w:rsidP="00A55D52">
      <w:pPr>
        <w:jc w:val="both"/>
      </w:pPr>
    </w:p>
    <w:p w14:paraId="45A70A9B" w14:textId="223C764D" w:rsidR="00A55D52" w:rsidRPr="009118AB" w:rsidRDefault="00732830" w:rsidP="00A55D52">
      <w:pPr>
        <w:ind w:firstLine="708"/>
        <w:jc w:val="both"/>
      </w:pPr>
      <w:r w:rsidRPr="009118AB">
        <w:t>[Der öffentliche Starterfonds und der private Kapitalanlagestarterfonds mit fixem Kapital investieren die Einlagen</w:t>
      </w:r>
      <w:r w:rsidR="00D67EB8" w:rsidRPr="009118AB">
        <w:t> - </w:t>
      </w:r>
      <w:r w:rsidRPr="009118AB">
        <w:t>gegebenenfalls nach Abzug einer Entschädigung für ihre Vermittlerrolle</w:t>
      </w:r>
      <w:r w:rsidR="00D67EB8" w:rsidRPr="009118AB">
        <w:t> - </w:t>
      </w:r>
      <w:r w:rsidRPr="009118AB">
        <w:t>ausschließlich in nachstehend erwähnte Investitionen, wobei nachstehend erwähnte Grenzen einzuhalten sind:]</w:t>
      </w:r>
    </w:p>
    <w:p w14:paraId="344EA8BD" w14:textId="77777777" w:rsidR="00A55D52" w:rsidRPr="009118AB" w:rsidRDefault="00A55D52" w:rsidP="00A55D52">
      <w:pPr>
        <w:jc w:val="both"/>
      </w:pPr>
    </w:p>
    <w:p w14:paraId="48AC18A0" w14:textId="153C0B75" w:rsidR="00A55D52" w:rsidRPr="009118AB" w:rsidRDefault="00A55D52" w:rsidP="00A55D52">
      <w:pPr>
        <w:ind w:firstLine="708"/>
        <w:jc w:val="both"/>
      </w:pPr>
      <w:r w:rsidRPr="009118AB">
        <w:t xml:space="preserve">1. Mindestens 80 Prozent werden direkt in neue </w:t>
      </w:r>
      <w:r w:rsidR="00732830" w:rsidRPr="009118AB">
        <w:t xml:space="preserve">[Namensaktien oder -anteile, die einen Teil des </w:t>
      </w:r>
      <w:r w:rsidR="002F5D6E" w:rsidRPr="009118AB">
        <w:t>[K</w:t>
      </w:r>
      <w:r w:rsidR="00732830" w:rsidRPr="009118AB">
        <w:t>apitals</w:t>
      </w:r>
      <w:r w:rsidR="002F5D6E" w:rsidRPr="009118AB">
        <w:t>]</w:t>
      </w:r>
      <w:r w:rsidR="00732830" w:rsidRPr="009118AB">
        <w:t xml:space="preserve"> der in </w:t>
      </w:r>
      <w:r w:rsidR="00D67EB8" w:rsidRPr="009118AB">
        <w:t>§ </w:t>
      </w:r>
      <w:r w:rsidR="00732830" w:rsidRPr="009118AB">
        <w:t>3 Absatz 1 erwähnten Gesellschaften vertreten,]</w:t>
      </w:r>
      <w:r w:rsidRPr="009118AB">
        <w:t xml:space="preserve"> investiert, die anlässlich der Gründung einer solchen Gesellschaft oder einer Kapitalerhöhung binnen vier Jahren nach ihrer Gründung ausgegeben werden und vollständig eingezahlt werden.</w:t>
      </w:r>
    </w:p>
    <w:p w14:paraId="0D399449" w14:textId="77777777" w:rsidR="00A55D52" w:rsidRPr="009118AB" w:rsidRDefault="00A55D52" w:rsidP="00A55D52">
      <w:pPr>
        <w:jc w:val="both"/>
      </w:pPr>
    </w:p>
    <w:p w14:paraId="74FA660B" w14:textId="77777777" w:rsidR="00A55D52" w:rsidRPr="009118AB" w:rsidRDefault="00A55D52" w:rsidP="00A55D52">
      <w:pPr>
        <w:ind w:firstLine="708"/>
        <w:jc w:val="both"/>
      </w:pPr>
      <w:r w:rsidRPr="009118AB">
        <w:t>2. Höchstens 20 Prozent liegen in Form von flüssigen Mitteln auf einem Konto in Euro oder in einer Währung eines anderen Mitgliedstaates des Europäischen Wirtschafts</w:t>
      </w:r>
      <w:r w:rsidRPr="009118AB">
        <w:softHyphen/>
        <w:t>raums bei einem von einer Aufsichtsbehörde eines Mitgliedstaates des Europäischen Wirtschaftsraums zugelassenen und kontrollierten Kreditinstitut.</w:t>
      </w:r>
    </w:p>
    <w:p w14:paraId="4529B6AC" w14:textId="77777777" w:rsidR="00A55D52" w:rsidRPr="009118AB" w:rsidRDefault="00A55D52" w:rsidP="00A55D52">
      <w:pPr>
        <w:jc w:val="both"/>
      </w:pPr>
    </w:p>
    <w:p w14:paraId="6C51B5EE" w14:textId="77777777" w:rsidR="00732830" w:rsidRPr="009118AB" w:rsidRDefault="00732830" w:rsidP="00A55D52">
      <w:pPr>
        <w:jc w:val="both"/>
      </w:pPr>
      <w:r w:rsidRPr="009118AB">
        <w:tab/>
        <w:t>[Bildet ein öffentlicher Starterfonds oder ein privater Kapitalanlagestarterfonds mit fixem Kapital separate Teilfonds beziehungsweise Zweige, wird die Einhaltung der Bestimmungen des vorhergehenden Absatzes für jeden Teilfonds, für den die Steuer</w:t>
      </w:r>
      <w:r w:rsidRPr="009118AB">
        <w:softHyphen/>
        <w:t>ermäßigung gewährt wird, separat kontrolliert.]</w:t>
      </w:r>
    </w:p>
    <w:p w14:paraId="15BD5650" w14:textId="77777777" w:rsidR="00732830" w:rsidRPr="009118AB" w:rsidRDefault="00732830" w:rsidP="00A55D52">
      <w:pPr>
        <w:jc w:val="both"/>
      </w:pPr>
    </w:p>
    <w:p w14:paraId="1BA4EF71" w14:textId="77777777" w:rsidR="00A55D52" w:rsidRPr="009118AB" w:rsidRDefault="00732830" w:rsidP="00A55D52">
      <w:pPr>
        <w:ind w:firstLine="708"/>
        <w:jc w:val="both"/>
      </w:pPr>
      <w:r w:rsidRPr="009118AB">
        <w:t>[Anteile an einem öffentlichen Starterfonds oder einem privaten Kapitalanlage</w:t>
      </w:r>
      <w:r w:rsidRPr="009118AB">
        <w:softHyphen/>
        <w:t>starterfonds mit fixem Kapital werden für die Steuerermäßigung nur berücksichtigt, wenn am 31. Dezember eines Besteuerungszeitraums die gesammelten Summen in den in Absatz 3 erwähnten Grenzen und unter den in Absatz 3 erwähnten Bedingungen in neue Aktien oder Anteile investiert worden sind. Die Steuerermäßigung wird für das Steuerjahr gewährt, das sich auf den Besteuerungszeitraum bezieht, in den das Datum des 31. Dezembers fällt, an dem die in Absatz 3 erwähnte Investitionsbedingung erfüllt ist.]</w:t>
      </w:r>
    </w:p>
    <w:p w14:paraId="21827441" w14:textId="77777777" w:rsidR="00732830" w:rsidRPr="009118AB" w:rsidRDefault="00732830" w:rsidP="00A55D52">
      <w:pPr>
        <w:ind w:firstLine="708"/>
        <w:jc w:val="both"/>
      </w:pPr>
    </w:p>
    <w:p w14:paraId="1348AED7" w14:textId="77777777" w:rsidR="004151B0" w:rsidRPr="009118AB" w:rsidRDefault="004151B0">
      <w:r w:rsidRPr="009118AB">
        <w:br w:type="page"/>
      </w:r>
    </w:p>
    <w:p w14:paraId="24B2AFEA" w14:textId="04131E24" w:rsidR="00732830" w:rsidRPr="009118AB" w:rsidRDefault="00732830" w:rsidP="00732830">
      <w:pPr>
        <w:ind w:firstLine="708"/>
        <w:jc w:val="both"/>
      </w:pPr>
      <w:r w:rsidRPr="009118AB">
        <w:lastRenderedPageBreak/>
        <w:t xml:space="preserve">[Im Falle der Veräußerung einer in Absatz 3 </w:t>
      </w:r>
      <w:r w:rsidR="00D67EB8" w:rsidRPr="009118AB">
        <w:t>Nr. </w:t>
      </w:r>
      <w:r w:rsidRPr="009118AB">
        <w:t>1 erwähnten Investition während eines Zeitraums von achtundvierzig Monaten nach dem Ende des Besteuerungszeitraums, für den die Steuerermäßigung gewährt wird, sind folgende Bestimmungen anwendbar:</w:t>
      </w:r>
    </w:p>
    <w:p w14:paraId="761376BA" w14:textId="77777777" w:rsidR="00732830" w:rsidRPr="009118AB" w:rsidRDefault="00732830" w:rsidP="00732830">
      <w:pPr>
        <w:jc w:val="both"/>
      </w:pPr>
    </w:p>
    <w:p w14:paraId="63BEABCA" w14:textId="77777777" w:rsidR="00732830" w:rsidRPr="009118AB" w:rsidRDefault="00732830" w:rsidP="00732830">
      <w:pPr>
        <w:jc w:val="both"/>
      </w:pPr>
      <w:r w:rsidRPr="009118AB">
        <w:tab/>
        <w:t>1. Beträgt der Ertrag der Veräußerung weniger als 70 Prozent des Betrags der ursprünglichen Investition, müssen die betreffenden Beträge nicht reinvestiert werden.</w:t>
      </w:r>
    </w:p>
    <w:p w14:paraId="24D145B7" w14:textId="77777777" w:rsidR="00732830" w:rsidRPr="009118AB" w:rsidRDefault="00732830" w:rsidP="00732830">
      <w:pPr>
        <w:jc w:val="both"/>
      </w:pPr>
    </w:p>
    <w:p w14:paraId="0B6C5573" w14:textId="53C92F9C" w:rsidR="00732830" w:rsidRPr="009118AB" w:rsidRDefault="00732830" w:rsidP="00732830">
      <w:pPr>
        <w:jc w:val="both"/>
      </w:pPr>
      <w:r w:rsidRPr="009118AB">
        <w:tab/>
        <w:t xml:space="preserve">2. Beträgt der Ertrag der Veräußerung zwischen 70 und 100 Prozent des Betrags der ursprünglichen Investition, müssen die betreffenden Beträge innerhalb sechs Monaten ab der Veräußerung vollständig in neue Namensaktien oder -anteile wie in Absatz 3 </w:t>
      </w:r>
      <w:r w:rsidR="00D67EB8" w:rsidRPr="009118AB">
        <w:t>Nr. </w:t>
      </w:r>
      <w:r w:rsidRPr="009118AB">
        <w:t>1 erwähnt reinvestiert werden.</w:t>
      </w:r>
    </w:p>
    <w:p w14:paraId="5616D9B1" w14:textId="77777777" w:rsidR="00732830" w:rsidRPr="009118AB" w:rsidRDefault="00732830" w:rsidP="00732830">
      <w:pPr>
        <w:jc w:val="both"/>
      </w:pPr>
    </w:p>
    <w:p w14:paraId="45AA4EFD" w14:textId="3982ECC8" w:rsidR="00732830" w:rsidRPr="009118AB" w:rsidRDefault="00732830" w:rsidP="00732830">
      <w:pPr>
        <w:jc w:val="both"/>
      </w:pPr>
      <w:r w:rsidRPr="009118AB">
        <w:tab/>
        <w:t xml:space="preserve">3. Überschreitet der Ertrag der Veräußerung den Betrag der ursprünglichen Investition, muss ein dem Betrag der ursprünglichen Investition entsprechender Betrag innerhalb sechs Monaten ab der Veräußerung in neue Namensaktien oder -anteile wie in Absatz 3 </w:t>
      </w:r>
      <w:r w:rsidR="00D67EB8" w:rsidRPr="009118AB">
        <w:t>Nr. </w:t>
      </w:r>
      <w:r w:rsidRPr="009118AB">
        <w:t>1 erwähnt reinvestiert werden.</w:t>
      </w:r>
      <w:r w:rsidR="00845E45" w:rsidRPr="009118AB">
        <w:t>]</w:t>
      </w:r>
    </w:p>
    <w:p w14:paraId="31A52B22" w14:textId="77777777" w:rsidR="00732830" w:rsidRPr="009118AB" w:rsidRDefault="00732830" w:rsidP="00732830">
      <w:pPr>
        <w:jc w:val="both"/>
      </w:pPr>
    </w:p>
    <w:p w14:paraId="28748E6C" w14:textId="77777777" w:rsidR="00732830" w:rsidRPr="009118AB" w:rsidRDefault="00732830" w:rsidP="00732830">
      <w:pPr>
        <w:jc w:val="both"/>
      </w:pPr>
      <w:r w:rsidRPr="009118AB">
        <w:tab/>
      </w:r>
      <w:r w:rsidR="00845E45" w:rsidRPr="009118AB">
        <w:t>[</w:t>
      </w:r>
      <w:r w:rsidRPr="009118AB">
        <w:t xml:space="preserve">Unter der </w:t>
      </w:r>
      <w:r w:rsidR="00383595" w:rsidRPr="009118AB">
        <w:t>[</w:t>
      </w:r>
      <w:r w:rsidRPr="009118AB">
        <w:t>in Absatz </w:t>
      </w:r>
      <w:r w:rsidR="00383595" w:rsidRPr="009118AB">
        <w:t>6]</w:t>
      </w:r>
      <w:r w:rsidRPr="009118AB">
        <w:t xml:space="preserve"> erwähnten "Veräußerung einer Investition" versteht man ebenfalls die Beendigung der Liquidation der Gesellschaft, in die investiert worden ist.</w:t>
      </w:r>
      <w:r w:rsidR="00845E45" w:rsidRPr="009118AB">
        <w:t>]</w:t>
      </w:r>
    </w:p>
    <w:p w14:paraId="1A887B43" w14:textId="77777777" w:rsidR="00732830" w:rsidRPr="009118AB" w:rsidRDefault="00732830" w:rsidP="00732830">
      <w:pPr>
        <w:jc w:val="both"/>
      </w:pPr>
    </w:p>
    <w:p w14:paraId="00ED6B65" w14:textId="77777777" w:rsidR="00732830" w:rsidRPr="009118AB" w:rsidRDefault="00732830" w:rsidP="00732830">
      <w:pPr>
        <w:ind w:firstLine="708"/>
        <w:jc w:val="both"/>
      </w:pPr>
      <w:r w:rsidRPr="009118AB">
        <w:tab/>
      </w:r>
      <w:r w:rsidR="00845E45" w:rsidRPr="009118AB">
        <w:t>[</w:t>
      </w:r>
      <w:r w:rsidRPr="009118AB">
        <w:t xml:space="preserve">Die </w:t>
      </w:r>
      <w:r w:rsidR="00383595" w:rsidRPr="009118AB">
        <w:t>[</w:t>
      </w:r>
      <w:r w:rsidRPr="009118AB">
        <w:t>in Absatz </w:t>
      </w:r>
      <w:r w:rsidR="00383595" w:rsidRPr="009118AB">
        <w:t>6]</w:t>
      </w:r>
      <w:r w:rsidRPr="009118AB">
        <w:t xml:space="preserve"> erwähnte Reinvestitionspflicht gilt nicht, wenn die vorerwähnte Frist von sechs Monaten nach Verstreichen einer Frist von achtundvierzig Monaten nach dem Ende des Besteuerungszeitraums, für den die Steuerermäßigung gewährt wird, abläuft.]</w:t>
      </w:r>
    </w:p>
    <w:p w14:paraId="2F3DC20E" w14:textId="77777777" w:rsidR="00A55D52" w:rsidRPr="009118AB" w:rsidRDefault="00A55D52" w:rsidP="00A55D52">
      <w:pPr>
        <w:jc w:val="both"/>
      </w:pPr>
    </w:p>
    <w:p w14:paraId="6F4A6E0C" w14:textId="1C4E6868" w:rsidR="00A55D52" w:rsidRPr="009118AB" w:rsidRDefault="00D67EB8" w:rsidP="00A55D52">
      <w:pPr>
        <w:ind w:firstLine="708"/>
        <w:jc w:val="both"/>
      </w:pPr>
      <w:r w:rsidRPr="009118AB">
        <w:t>§ </w:t>
      </w:r>
      <w:r w:rsidR="00A55D52" w:rsidRPr="009118AB">
        <w:t>3</w:t>
      </w:r>
      <w:r w:rsidRPr="009118AB">
        <w:t> - </w:t>
      </w:r>
      <w:r w:rsidR="00A55D52" w:rsidRPr="009118AB">
        <w:t>Vorliegender Artikel ist auf Aktien oder Anteile einer Gesellschaft anwendbar, die gleichzeitig alle folgenden Bedingungen erfüllt:</w:t>
      </w:r>
    </w:p>
    <w:p w14:paraId="156CBB56" w14:textId="77777777" w:rsidR="00A55D52" w:rsidRPr="009118AB" w:rsidRDefault="00A55D52" w:rsidP="00A55D52">
      <w:pPr>
        <w:jc w:val="both"/>
      </w:pPr>
    </w:p>
    <w:p w14:paraId="075B7C95" w14:textId="40E005F3" w:rsidR="00A55D52" w:rsidRPr="009118AB" w:rsidRDefault="00A55D52" w:rsidP="00A55D52">
      <w:pPr>
        <w:ind w:firstLine="708"/>
        <w:jc w:val="both"/>
      </w:pPr>
      <w:r w:rsidRPr="009118AB">
        <w:t xml:space="preserve">1. Die Gesellschaft ist eine inländische Gesellschaft oder eine Gesellschaft, deren </w:t>
      </w:r>
      <w:r w:rsidR="002F5D6E" w:rsidRPr="009118AB">
        <w:t>[…]</w:t>
      </w:r>
      <w:r w:rsidRPr="009118AB">
        <w:t xml:space="preserve"> Hauptniederlassung oder Geschäftsführungs- oder Verwaltungssitz in einem anderen Mitgliedstaat des Europäischen Wirtschaftsraums liegt und die über eine in Artikel 229 erwähnte belgische Niederlassung verfügt, und wurde frühestens am 1. Janu</w:t>
      </w:r>
      <w:r w:rsidRPr="009118AB">
        <w:softHyphen/>
        <w:t>ar 2013 gegründet.</w:t>
      </w:r>
    </w:p>
    <w:p w14:paraId="5BC7054B" w14:textId="77777777" w:rsidR="00A55D52" w:rsidRPr="009118AB" w:rsidRDefault="00A55D52" w:rsidP="00A55D52">
      <w:pPr>
        <w:jc w:val="both"/>
      </w:pPr>
    </w:p>
    <w:p w14:paraId="7D22EBAE" w14:textId="77777777" w:rsidR="00A55D52" w:rsidRPr="009118AB" w:rsidRDefault="00A55D52" w:rsidP="00A55D52">
      <w:pPr>
        <w:ind w:firstLine="708"/>
        <w:jc w:val="both"/>
      </w:pPr>
      <w:r w:rsidRPr="009118AB">
        <w:t>2. Die Gesellschaft ist nicht anlässlich einer Fusion oder einer Aufspaltung von Gesellschaften gegründet worden.</w:t>
      </w:r>
    </w:p>
    <w:p w14:paraId="3FB85F75" w14:textId="77777777" w:rsidR="00A55D52" w:rsidRPr="009118AB" w:rsidRDefault="00A55D52" w:rsidP="00A55D52">
      <w:pPr>
        <w:jc w:val="both"/>
      </w:pPr>
    </w:p>
    <w:p w14:paraId="1F32DF0D" w14:textId="6DAD0821" w:rsidR="00A55D52" w:rsidRPr="009118AB" w:rsidRDefault="00A55D52" w:rsidP="00A55D52">
      <w:pPr>
        <w:ind w:firstLine="708"/>
        <w:jc w:val="both"/>
      </w:pPr>
      <w:r w:rsidRPr="009118AB">
        <w:t xml:space="preserve">3. Die Gesellschaft gilt </w:t>
      </w:r>
      <w:r w:rsidR="00FD68E8" w:rsidRPr="009118AB">
        <w:t>[...</w:t>
      </w:r>
      <w:r w:rsidR="00423363" w:rsidRPr="009118AB">
        <w:t>]</w:t>
      </w:r>
      <w:r w:rsidRPr="009118AB">
        <w:t xml:space="preserve"> für das Steuerjahr, das sich auf den Besteuerungszeitraum bezieht, in dem die Kapitaleinlage erfolgt, als kleine Gesellschaft.</w:t>
      </w:r>
    </w:p>
    <w:p w14:paraId="7DA3BD80" w14:textId="77777777" w:rsidR="00A55D52" w:rsidRPr="009118AB" w:rsidRDefault="00A55D52" w:rsidP="00A55D52">
      <w:pPr>
        <w:jc w:val="both"/>
      </w:pPr>
    </w:p>
    <w:p w14:paraId="0DA9D828" w14:textId="77777777" w:rsidR="00A55D52" w:rsidRPr="009118AB" w:rsidRDefault="00A55D52" w:rsidP="00A55D52">
      <w:pPr>
        <w:ind w:firstLine="708"/>
        <w:jc w:val="both"/>
      </w:pPr>
      <w:r w:rsidRPr="009118AB">
        <w:t>4. Die Gesellschaft ist keine Investment-, Geldanlage- oder Finanzierungsgesellschaft.</w:t>
      </w:r>
    </w:p>
    <w:p w14:paraId="47D6255C" w14:textId="77777777" w:rsidR="00A55D52" w:rsidRPr="009118AB" w:rsidRDefault="00A55D52" w:rsidP="00A55D52">
      <w:pPr>
        <w:jc w:val="both"/>
      </w:pPr>
    </w:p>
    <w:p w14:paraId="7D64286A" w14:textId="3588D659" w:rsidR="00A55D52" w:rsidRPr="009118AB" w:rsidRDefault="00A55D52" w:rsidP="00A55D52">
      <w:pPr>
        <w:ind w:firstLine="708"/>
        <w:jc w:val="both"/>
      </w:pPr>
      <w:r w:rsidRPr="009118AB">
        <w:t>5. Die Gesellschaft ist weder eine Gesellschaft, deren Hauptgesellschaftszweck oder Haupttätigkeit darin besteht, unbewegliche Güter für eigene Rechnung zu bauen, zu erwerben, zu verwalten, umzubauen, zu verkaufen oder zu vermieten oder Beteiligungen an Gesell</w:t>
      </w:r>
      <w:r w:rsidRPr="009118AB">
        <w:softHyphen/>
        <w:t xml:space="preserve">schaften mit einem ähnlichen Zweck zu halten, noch eine Gesellschaft, in der unbewegliche Güter oder andere dingliche Rechte an solchen Gütern untergebracht sind, deren Nutzer natürliche Personen, die in der Gesellschaft ein Mandat oder Funktionen wie in Artikel 32 Absatz 1 </w:t>
      </w:r>
      <w:r w:rsidR="00D67EB8" w:rsidRPr="009118AB">
        <w:t>Nr. </w:t>
      </w:r>
      <w:r w:rsidRPr="009118AB">
        <w:t>1 erwähnt ausüben, ihr Ehepartner oder ihre Kinder, wenn diese Personen oder ihr Ehepartner das gesetzliche Nutzungsrecht an den Einkünften dieser Kinder haben, sind.</w:t>
      </w:r>
    </w:p>
    <w:p w14:paraId="066F5D3A" w14:textId="77777777" w:rsidR="00A55D52" w:rsidRPr="009118AB" w:rsidRDefault="00A55D52" w:rsidP="00A55D52">
      <w:pPr>
        <w:jc w:val="both"/>
      </w:pPr>
    </w:p>
    <w:p w14:paraId="79583124" w14:textId="77777777" w:rsidR="00A55D52" w:rsidRPr="009118AB" w:rsidRDefault="00A55D52" w:rsidP="00A55D52">
      <w:pPr>
        <w:ind w:firstLine="708"/>
        <w:jc w:val="both"/>
      </w:pPr>
      <w:r w:rsidRPr="009118AB">
        <w:lastRenderedPageBreak/>
        <w:t>6. Die Gesellschaft ist keine Gesellschaft, die gegründet worden ist, um Geschäftsführungs- oder Verwaltungsverträge abzuschließen, oder die den Großteil ihrer Einnahmen aus Geschäftsführungs- oder Verwaltungsverträgen bezieht.</w:t>
      </w:r>
    </w:p>
    <w:p w14:paraId="47621F53" w14:textId="77777777" w:rsidR="00A55D52" w:rsidRPr="009118AB" w:rsidRDefault="00A55D52" w:rsidP="00A55D52">
      <w:pPr>
        <w:jc w:val="both"/>
      </w:pPr>
    </w:p>
    <w:p w14:paraId="1A5886B3" w14:textId="77777777" w:rsidR="00A55D52" w:rsidRPr="009118AB" w:rsidRDefault="00A55D52" w:rsidP="00A55D52">
      <w:pPr>
        <w:ind w:firstLine="708"/>
        <w:jc w:val="both"/>
      </w:pPr>
      <w:r w:rsidRPr="009118AB">
        <w:t>7. Die Gesellschaft ist keine börsennotierte Gesellschaft.</w:t>
      </w:r>
    </w:p>
    <w:p w14:paraId="513448CF" w14:textId="77777777" w:rsidR="00A55D52" w:rsidRPr="009118AB" w:rsidRDefault="00A55D52" w:rsidP="00A55D52">
      <w:pPr>
        <w:jc w:val="both"/>
      </w:pPr>
    </w:p>
    <w:p w14:paraId="5DDA077C" w14:textId="77777777" w:rsidR="00A55D52" w:rsidRPr="009118AB" w:rsidRDefault="00A55D52" w:rsidP="00A55D52">
      <w:pPr>
        <w:ind w:firstLine="708"/>
        <w:jc w:val="both"/>
      </w:pPr>
      <w:r w:rsidRPr="009118AB">
        <w:t>8. </w:t>
      </w:r>
      <w:r w:rsidR="00157F65" w:rsidRPr="009118AB">
        <w:t>[</w:t>
      </w:r>
      <w:r w:rsidR="00157F65" w:rsidRPr="009118AB">
        <w:rPr>
          <w:rFonts w:eastAsia="Calibri"/>
        </w:rPr>
        <w:t>Die Gesellschaft hat noch keine Kapitalherabsetzung durchgeführt, außer Kapitalherabsetzungen zum Ausgleich erlittener Verluste oder zur Bildung von Rücklagen zur Deckung voraussehbarer Verluste, oder noch keine Dividenden ausgeschüttet.</w:t>
      </w:r>
      <w:r w:rsidR="00157F65" w:rsidRPr="009118AB">
        <w:t>]</w:t>
      </w:r>
    </w:p>
    <w:p w14:paraId="105E1B88" w14:textId="77777777" w:rsidR="00A55D52" w:rsidRPr="009118AB" w:rsidRDefault="00A55D52" w:rsidP="00A55D52">
      <w:pPr>
        <w:jc w:val="both"/>
      </w:pPr>
    </w:p>
    <w:p w14:paraId="0552F113" w14:textId="77777777" w:rsidR="00A55D52" w:rsidRPr="009118AB" w:rsidRDefault="00A55D52" w:rsidP="00A55D52">
      <w:pPr>
        <w:ind w:firstLine="708"/>
        <w:jc w:val="both"/>
      </w:pPr>
      <w:r w:rsidRPr="009118AB">
        <w:t>9. Die Gesellschaft ist nicht Gegenstand eines Gesamtinsolvenzverfahrens oder befindet sich nicht in den Bedingungen für ein Gesamtinsolvenzverfahren.</w:t>
      </w:r>
    </w:p>
    <w:p w14:paraId="59F71003" w14:textId="77777777" w:rsidR="00A55D52" w:rsidRPr="009118AB" w:rsidRDefault="00A55D52" w:rsidP="00A55D52">
      <w:pPr>
        <w:jc w:val="both"/>
      </w:pPr>
    </w:p>
    <w:p w14:paraId="762E2013" w14:textId="77777777" w:rsidR="00A55D52" w:rsidRPr="009118AB" w:rsidRDefault="00A55D52" w:rsidP="00A55D52">
      <w:pPr>
        <w:ind w:firstLine="708"/>
        <w:jc w:val="both"/>
      </w:pPr>
      <w:r w:rsidRPr="009118AB">
        <w:t>10. Die Gesellschaft verwendet die erhaltenen Summen weder, um Dividenden auszuschütten oder Aktien oder Anteile zu erwerben, noch, um Darlehen zu gewähren.</w:t>
      </w:r>
    </w:p>
    <w:p w14:paraId="629162B3" w14:textId="77777777" w:rsidR="00A55D52" w:rsidRPr="009118AB" w:rsidRDefault="00A55D52" w:rsidP="00A55D52">
      <w:pPr>
        <w:jc w:val="both"/>
      </w:pPr>
    </w:p>
    <w:p w14:paraId="7E845925" w14:textId="0D59B68C" w:rsidR="00A55D52" w:rsidRPr="009118AB" w:rsidRDefault="00A55D52" w:rsidP="00A55D52">
      <w:pPr>
        <w:ind w:firstLine="708"/>
        <w:jc w:val="both"/>
      </w:pPr>
      <w:r w:rsidRPr="009118AB">
        <w:t xml:space="preserve">11. Nach Zahlung </w:t>
      </w:r>
      <w:r w:rsidR="00732830" w:rsidRPr="009118AB">
        <w:t xml:space="preserve">[der in </w:t>
      </w:r>
      <w:r w:rsidR="00D67EB8" w:rsidRPr="009118AB">
        <w:t>§ </w:t>
      </w:r>
      <w:r w:rsidR="00732830" w:rsidRPr="009118AB">
        <w:t>1 Absatz 1 Buchstabe </w:t>
      </w:r>
      <w:r w:rsidR="00732830" w:rsidRPr="009118AB">
        <w:rPr>
          <w:i/>
        </w:rPr>
        <w:t>a)</w:t>
      </w:r>
      <w:r w:rsidR="00732830" w:rsidRPr="009118AB">
        <w:t xml:space="preserve"> und </w:t>
      </w:r>
      <w:r w:rsidR="00732830" w:rsidRPr="009118AB">
        <w:rPr>
          <w:i/>
        </w:rPr>
        <w:t>b)</w:t>
      </w:r>
      <w:r w:rsidR="00732830" w:rsidRPr="009118AB">
        <w:t xml:space="preserve"> erwähnten Summen durch den Steuerpflichtigen beziehungsweise </w:t>
      </w:r>
      <w:r w:rsidR="004151B0" w:rsidRPr="009118AB">
        <w:t>[die Zweckgesellschaft]</w:t>
      </w:r>
      <w:r w:rsidR="00732830" w:rsidRPr="009118AB">
        <w:t>]</w:t>
      </w:r>
      <w:r w:rsidRPr="009118AB">
        <w:t xml:space="preserve"> oder Tätigung der in </w:t>
      </w:r>
      <w:r w:rsidR="00D67EB8" w:rsidRPr="009118AB">
        <w:t>§ </w:t>
      </w:r>
      <w:r w:rsidRPr="009118AB">
        <w:t xml:space="preserve">2 Absatz 3 </w:t>
      </w:r>
      <w:r w:rsidR="00D67EB8" w:rsidRPr="009118AB">
        <w:t>Nr. </w:t>
      </w:r>
      <w:r w:rsidRPr="009118AB">
        <w:t xml:space="preserve">1 erwähnten Investition durch </w:t>
      </w:r>
      <w:r w:rsidR="00732830" w:rsidRPr="009118AB">
        <w:t>[einen öffentlichen Starterfonds oder einen privaten Kapitalanlagestarterfonds mit fixem Kapital]</w:t>
      </w:r>
      <w:r w:rsidRPr="009118AB">
        <w:t xml:space="preserve"> hat die Gesellschaft durch die Anwendung des vorliegenden Artikels nicht </w:t>
      </w:r>
      <w:r w:rsidR="00117CDF" w:rsidRPr="009118AB">
        <w:t>[</w:t>
      </w:r>
      <w:r w:rsidRPr="009118AB">
        <w:t>mehr als 5</w:t>
      </w:r>
      <w:r w:rsidR="00117CDF" w:rsidRPr="009118AB">
        <w:t>0</w:t>
      </w:r>
      <w:r w:rsidRPr="009118AB">
        <w:t>0.000 EUR</w:t>
      </w:r>
      <w:r w:rsidR="00117CDF" w:rsidRPr="009118AB">
        <w:t>]</w:t>
      </w:r>
      <w:r w:rsidRPr="009118AB">
        <w:t xml:space="preserve"> erhalten.</w:t>
      </w:r>
    </w:p>
    <w:p w14:paraId="365CE4C4" w14:textId="77777777" w:rsidR="00A55D52" w:rsidRPr="009118AB" w:rsidRDefault="00A55D52" w:rsidP="00A55D52">
      <w:pPr>
        <w:jc w:val="both"/>
      </w:pPr>
    </w:p>
    <w:p w14:paraId="24C104A7" w14:textId="1A674276" w:rsidR="00A55D52" w:rsidRPr="009118AB" w:rsidRDefault="00A55D52" w:rsidP="00A55D52">
      <w:pPr>
        <w:ind w:firstLine="708"/>
        <w:jc w:val="both"/>
      </w:pPr>
      <w:r w:rsidRPr="009118AB">
        <w:t xml:space="preserve">Die in Absatz 1 </w:t>
      </w:r>
      <w:r w:rsidR="00D67EB8" w:rsidRPr="009118AB">
        <w:t>Nr. </w:t>
      </w:r>
      <w:r w:rsidRPr="009118AB">
        <w:t>4 bis 6 und 10 erwähnten Bedingungen müssen von der Gesellschaft während achtundvierzig Monaten nach Einzahlung der Aktien der Gesellschaft eingehalten werden.</w:t>
      </w:r>
    </w:p>
    <w:p w14:paraId="1BDC3F28" w14:textId="77777777" w:rsidR="00A55D52" w:rsidRPr="009118AB" w:rsidRDefault="00A55D52" w:rsidP="00A55D52">
      <w:pPr>
        <w:jc w:val="both"/>
      </w:pPr>
    </w:p>
    <w:p w14:paraId="6B6F95C1" w14:textId="77777777" w:rsidR="00A55D52" w:rsidRPr="009118AB" w:rsidRDefault="00A55D52" w:rsidP="00A55D52">
      <w:pPr>
        <w:ind w:firstLine="708"/>
        <w:jc w:val="both"/>
      </w:pPr>
      <w:r w:rsidRPr="009118AB">
        <w:t>Die Steuerermäßigung ist nicht anwendbar auf:</w:t>
      </w:r>
    </w:p>
    <w:p w14:paraId="32D0FE1B" w14:textId="77777777" w:rsidR="00A55D52" w:rsidRPr="009118AB" w:rsidRDefault="00A55D52" w:rsidP="00A55D52">
      <w:pPr>
        <w:jc w:val="both"/>
      </w:pPr>
    </w:p>
    <w:p w14:paraId="16B1285B" w14:textId="301FC3BE" w:rsidR="00A55D52" w:rsidRPr="009118AB" w:rsidRDefault="00A55D52" w:rsidP="00A55D52">
      <w:pPr>
        <w:ind w:firstLine="708"/>
        <w:jc w:val="both"/>
      </w:pPr>
      <w:r w:rsidRPr="009118AB">
        <w:t>1. Ausgaben, die für die Anwendung von Artikel 145</w:t>
      </w:r>
      <w:r w:rsidRPr="009118AB">
        <w:rPr>
          <w:vertAlign w:val="superscript"/>
        </w:rPr>
        <w:t>1</w:t>
      </w:r>
      <w:r w:rsidRPr="009118AB">
        <w:t xml:space="preserve"> </w:t>
      </w:r>
      <w:r w:rsidR="00D67EB8" w:rsidRPr="009118AB">
        <w:t>Nr. </w:t>
      </w:r>
      <w:r w:rsidRPr="009118AB">
        <w:t>4 oder 145</w:t>
      </w:r>
      <w:r w:rsidRPr="009118AB">
        <w:rPr>
          <w:vertAlign w:val="superscript"/>
        </w:rPr>
        <w:t>32</w:t>
      </w:r>
      <w:r w:rsidRPr="009118AB">
        <w:t xml:space="preserve"> berücksichtigt werden,</w:t>
      </w:r>
    </w:p>
    <w:p w14:paraId="2565D6AB" w14:textId="77777777" w:rsidR="00A55D52" w:rsidRPr="009118AB" w:rsidRDefault="00A55D52" w:rsidP="00A55D52">
      <w:pPr>
        <w:jc w:val="both"/>
      </w:pPr>
    </w:p>
    <w:p w14:paraId="4EE92D05" w14:textId="5ED0045C" w:rsidR="00ED6FC9" w:rsidRPr="009118AB" w:rsidRDefault="00ED6FC9" w:rsidP="004151B0">
      <w:pPr>
        <w:jc w:val="both"/>
        <w:rPr>
          <w:rFonts w:eastAsia="Calibri"/>
        </w:rPr>
      </w:pPr>
      <w:r w:rsidRPr="009118AB">
        <w:tab/>
      </w:r>
      <w:r w:rsidR="00A55D52" w:rsidRPr="009118AB">
        <w:t>2. </w:t>
      </w:r>
      <w:r w:rsidR="00383595" w:rsidRPr="009118AB">
        <w:t>[</w:t>
      </w:r>
      <w:r w:rsidRPr="009118AB">
        <w:rPr>
          <w:rFonts w:eastAsia="Calibri"/>
        </w:rPr>
        <w:t xml:space="preserve">Summen, die gezahlt werden für den direkten Erwerb oder den Erwerb über eine in </w:t>
      </w:r>
      <w:r w:rsidR="00D67EB8" w:rsidRPr="009118AB">
        <w:rPr>
          <w:rFonts w:eastAsia="Calibri"/>
        </w:rPr>
        <w:t>§ </w:t>
      </w:r>
      <w:r w:rsidRPr="009118AB">
        <w:rPr>
          <w:rFonts w:eastAsia="Calibri"/>
        </w:rPr>
        <w:t>1 Absatz 1 Buchstabe </w:t>
      </w:r>
      <w:r w:rsidRPr="009118AB">
        <w:rPr>
          <w:rFonts w:eastAsia="Calibri"/>
          <w:i/>
        </w:rPr>
        <w:t>a)</w:t>
      </w:r>
      <w:r w:rsidRPr="009118AB">
        <w:rPr>
          <w:rFonts w:eastAsia="Calibri"/>
        </w:rPr>
        <w:t xml:space="preserve"> erwähnte Crowdfunding-Plattform, über </w:t>
      </w:r>
      <w:r w:rsidR="004151B0" w:rsidRPr="009118AB">
        <w:rPr>
          <w:rFonts w:eastAsia="Calibri"/>
        </w:rPr>
        <w:t>[</w:t>
      </w:r>
      <w:r w:rsidR="004151B0" w:rsidRPr="009118AB">
        <w:t xml:space="preserve">eine in </w:t>
      </w:r>
      <w:r w:rsidR="00D67EB8" w:rsidRPr="009118AB">
        <w:t>§ </w:t>
      </w:r>
      <w:r w:rsidR="004151B0" w:rsidRPr="009118AB">
        <w:t>1 Absatz 1 Buchstabe </w:t>
      </w:r>
      <w:r w:rsidR="004151B0" w:rsidRPr="009118AB">
        <w:rPr>
          <w:i/>
          <w:iCs/>
        </w:rPr>
        <w:t>b)</w:t>
      </w:r>
      <w:r w:rsidR="004151B0" w:rsidRPr="009118AB">
        <w:t xml:space="preserve"> erwähnte Zweckgesellschaft</w:t>
      </w:r>
      <w:r w:rsidR="004151B0" w:rsidRPr="009118AB">
        <w:rPr>
          <w:rFonts w:eastAsia="Calibri"/>
        </w:rPr>
        <w:t>]</w:t>
      </w:r>
      <w:r w:rsidRPr="009118AB">
        <w:rPr>
          <w:rFonts w:eastAsia="Calibri"/>
        </w:rPr>
        <w:t xml:space="preserve"> oder über einen in </w:t>
      </w:r>
      <w:r w:rsidR="00D67EB8" w:rsidRPr="009118AB">
        <w:rPr>
          <w:rFonts w:eastAsia="Calibri"/>
        </w:rPr>
        <w:t>§ </w:t>
      </w:r>
      <w:r w:rsidRPr="009118AB">
        <w:rPr>
          <w:rFonts w:eastAsia="Calibri"/>
        </w:rPr>
        <w:t>1 Absatz 1 Buchstabe </w:t>
      </w:r>
      <w:r w:rsidRPr="009118AB">
        <w:rPr>
          <w:rFonts w:eastAsia="Calibri"/>
          <w:i/>
        </w:rPr>
        <w:t>c)</w:t>
      </w:r>
      <w:r w:rsidRPr="009118AB">
        <w:rPr>
          <w:rFonts w:eastAsia="Calibri"/>
        </w:rPr>
        <w:t xml:space="preserve"> erwähnten öffentlichen Starterfonds oder privaten Kapitalanlagestarterfonds mit fixem Kapital von Aktien oder Anteilen einer Gesellschaft:</w:t>
      </w:r>
    </w:p>
    <w:p w14:paraId="6270FCEB" w14:textId="77777777" w:rsidR="00ED6FC9" w:rsidRPr="009118AB" w:rsidRDefault="00ED6FC9" w:rsidP="00ED6FC9">
      <w:pPr>
        <w:rPr>
          <w:rFonts w:eastAsia="Calibri"/>
        </w:rPr>
      </w:pPr>
    </w:p>
    <w:p w14:paraId="23A3B6FD" w14:textId="77777777" w:rsidR="00ED6FC9" w:rsidRPr="009118AB" w:rsidRDefault="00ED6FC9" w:rsidP="00ED6FC9">
      <w:pPr>
        <w:rPr>
          <w:rFonts w:eastAsia="Calibri"/>
        </w:rPr>
      </w:pPr>
      <w:r w:rsidRPr="009118AB">
        <w:rPr>
          <w:rFonts w:eastAsia="Calibri"/>
        </w:rPr>
        <w:tab/>
      </w:r>
      <w:r w:rsidRPr="009118AB">
        <w:rPr>
          <w:rFonts w:eastAsia="Calibri"/>
          <w:i/>
        </w:rPr>
        <w:t>a)</w:t>
      </w:r>
      <w:r w:rsidRPr="009118AB">
        <w:rPr>
          <w:rFonts w:eastAsia="Calibri"/>
        </w:rPr>
        <w:t> in der der Steuerpflichtige zum Zeitpunkt der Kapitaleinlage direkt oder indirekt ein in Artikel 32 Absatz 1 erwähnter Unternehmensleiter ist,</w:t>
      </w:r>
    </w:p>
    <w:p w14:paraId="5AAFC5CD" w14:textId="77777777" w:rsidR="00ED6FC9" w:rsidRPr="009118AB" w:rsidRDefault="00ED6FC9" w:rsidP="00ED6FC9">
      <w:pPr>
        <w:rPr>
          <w:rFonts w:eastAsia="Calibri"/>
        </w:rPr>
      </w:pPr>
    </w:p>
    <w:p w14:paraId="244424AA" w14:textId="77777777" w:rsidR="00ED6FC9" w:rsidRPr="009118AB" w:rsidRDefault="00ED6FC9" w:rsidP="00ED6FC9">
      <w:pPr>
        <w:rPr>
          <w:rFonts w:eastAsia="Calibri"/>
        </w:rPr>
      </w:pPr>
      <w:r w:rsidRPr="009118AB">
        <w:rPr>
          <w:rFonts w:eastAsia="Calibri"/>
        </w:rPr>
        <w:tab/>
      </w:r>
      <w:r w:rsidRPr="009118AB">
        <w:rPr>
          <w:rFonts w:eastAsia="Calibri"/>
          <w:i/>
        </w:rPr>
        <w:t>b)</w:t>
      </w:r>
      <w:r w:rsidRPr="009118AB">
        <w:rPr>
          <w:rFonts w:eastAsia="Calibri"/>
        </w:rPr>
        <w:t> in der der Steuerpflichtige direkt oder indirekt ein in Artikel 32 Absatz 1 erwähnter Unternehmensleiter ist, außer wenn er dafür keinerlei Vergütung bezieht,</w:t>
      </w:r>
    </w:p>
    <w:p w14:paraId="653F4368" w14:textId="77777777" w:rsidR="00ED6FC9" w:rsidRPr="009118AB" w:rsidRDefault="00ED6FC9" w:rsidP="00ED6FC9">
      <w:pPr>
        <w:rPr>
          <w:rFonts w:eastAsia="Calibri"/>
        </w:rPr>
      </w:pPr>
    </w:p>
    <w:p w14:paraId="4709C8B8" w14:textId="6AD46794" w:rsidR="00ED6FC9" w:rsidRPr="009118AB" w:rsidRDefault="00ED6FC9" w:rsidP="00ED6FC9">
      <w:pPr>
        <w:rPr>
          <w:rFonts w:eastAsia="Calibri"/>
        </w:rPr>
      </w:pPr>
      <w:r w:rsidRPr="009118AB">
        <w:rPr>
          <w:rFonts w:eastAsia="Calibri"/>
        </w:rPr>
        <w:tab/>
      </w:r>
      <w:r w:rsidRPr="009118AB">
        <w:rPr>
          <w:rFonts w:eastAsia="Calibri"/>
          <w:i/>
        </w:rPr>
        <w:t>c)</w:t>
      </w:r>
      <w:r w:rsidRPr="009118AB">
        <w:rPr>
          <w:rFonts w:eastAsia="Calibri"/>
        </w:rPr>
        <w:t xml:space="preserve"> in der der Steuerpflichtige </w:t>
      </w:r>
      <w:r w:rsidR="00555370" w:rsidRPr="009118AB">
        <w:rPr>
          <w:rFonts w:eastAsia="Calibri"/>
        </w:rPr>
        <w:t>[...]</w:t>
      </w:r>
      <w:r w:rsidRPr="009118AB">
        <w:rPr>
          <w:rFonts w:eastAsia="Calibri"/>
        </w:rPr>
        <w:t xml:space="preserve"> als ständiger Vertreter einer anderen Gesellschaft das Mandat eines Verwalters, Geschäftsführers, Liquidators oder eine ähnliche Funktion ausübt,</w:t>
      </w:r>
    </w:p>
    <w:p w14:paraId="5D660FD0" w14:textId="77777777" w:rsidR="00ED6FC9" w:rsidRPr="009118AB" w:rsidRDefault="00ED6FC9" w:rsidP="00ED6FC9">
      <w:pPr>
        <w:rPr>
          <w:rFonts w:eastAsia="Calibri"/>
        </w:rPr>
      </w:pPr>
    </w:p>
    <w:p w14:paraId="2F7977A7" w14:textId="6EEE638C" w:rsidR="00A55D52" w:rsidRPr="009118AB" w:rsidRDefault="00ED6FC9" w:rsidP="00ED6FC9">
      <w:pPr>
        <w:ind w:firstLine="708"/>
        <w:jc w:val="both"/>
      </w:pPr>
      <w:r w:rsidRPr="009118AB">
        <w:rPr>
          <w:rFonts w:eastAsia="Calibri"/>
        </w:rPr>
        <w:tab/>
      </w:r>
      <w:r w:rsidRPr="009118AB">
        <w:rPr>
          <w:rFonts w:eastAsia="Calibri"/>
          <w:i/>
        </w:rPr>
        <w:t>d)</w:t>
      </w:r>
      <w:r w:rsidRPr="009118AB">
        <w:rPr>
          <w:rFonts w:eastAsia="Calibri"/>
        </w:rPr>
        <w:t xml:space="preserve"> die </w:t>
      </w:r>
      <w:r w:rsidR="00555370" w:rsidRPr="009118AB">
        <w:rPr>
          <w:rFonts w:eastAsia="Calibri"/>
        </w:rPr>
        <w:t>[...]</w:t>
      </w:r>
      <w:r w:rsidRPr="009118AB">
        <w:rPr>
          <w:rFonts w:eastAsia="Calibri"/>
        </w:rPr>
        <w:t xml:space="preserve"> einen Unternehmens- oder Bevollmächtigungs</w:t>
      </w:r>
      <w:r w:rsidRPr="009118AB">
        <w:rPr>
          <w:rFonts w:eastAsia="Calibri"/>
        </w:rPr>
        <w:softHyphen/>
        <w:t xml:space="preserve">vertrag mit einer anderen Gesellschaft, deren Aktionär der Steuerpflichtige ist, abgeschlossen hat, durch den diese andere Gesellschaft sich verpflichtet hat, gegen Vergütung eine leitende Tätigkeit der täglichen </w:t>
      </w:r>
      <w:r w:rsidRPr="009118AB">
        <w:rPr>
          <w:rFonts w:eastAsia="Calibri"/>
        </w:rPr>
        <w:lastRenderedPageBreak/>
        <w:t>Geschäftsführung kommerzieller, finanzieller oder technischer Art in der ersten Gesellschaft zu übernehmen,</w:t>
      </w:r>
      <w:r w:rsidRPr="009118AB">
        <w:t>]</w:t>
      </w:r>
    </w:p>
    <w:p w14:paraId="61F01A62" w14:textId="77777777" w:rsidR="00A55D52" w:rsidRPr="009118AB" w:rsidRDefault="00A55D52" w:rsidP="00A55D52">
      <w:pPr>
        <w:jc w:val="both"/>
      </w:pPr>
    </w:p>
    <w:p w14:paraId="5330FDD6" w14:textId="593923EF" w:rsidR="00A55D52" w:rsidRPr="009118AB" w:rsidRDefault="00A55D52" w:rsidP="00A55D52">
      <w:pPr>
        <w:ind w:firstLine="708"/>
        <w:jc w:val="both"/>
      </w:pPr>
      <w:r w:rsidRPr="009118AB">
        <w:t xml:space="preserve">3. Summen, die gezahlt werden für den direkten Erwerb oder </w:t>
      </w:r>
      <w:r w:rsidR="00732830" w:rsidRPr="009118AB">
        <w:t xml:space="preserve">[den Erwerb </w:t>
      </w:r>
      <w:r w:rsidR="00383595" w:rsidRPr="009118AB">
        <w:t xml:space="preserve">[über eine in </w:t>
      </w:r>
      <w:r w:rsidR="00D67EB8" w:rsidRPr="009118AB">
        <w:t>§ </w:t>
      </w:r>
      <w:r w:rsidR="00383595" w:rsidRPr="009118AB">
        <w:t>1 Absatz 1 Buchstabe </w:t>
      </w:r>
      <w:r w:rsidR="00383595" w:rsidRPr="009118AB">
        <w:rPr>
          <w:i/>
        </w:rPr>
        <w:t>a)</w:t>
      </w:r>
      <w:r w:rsidR="00383595" w:rsidRPr="009118AB">
        <w:t xml:space="preserve"> erwähnte Crowdfunding-Plattform, über </w:t>
      </w:r>
      <w:r w:rsidR="004151B0" w:rsidRPr="009118AB">
        <w:t xml:space="preserve">[eine in </w:t>
      </w:r>
      <w:r w:rsidR="00D67EB8" w:rsidRPr="009118AB">
        <w:t>§ </w:t>
      </w:r>
      <w:r w:rsidR="004151B0" w:rsidRPr="009118AB">
        <w:t>1 Absatz 1 Buchstabe </w:t>
      </w:r>
      <w:r w:rsidR="004151B0" w:rsidRPr="009118AB">
        <w:rPr>
          <w:i/>
          <w:iCs/>
        </w:rPr>
        <w:t>b)</w:t>
      </w:r>
      <w:r w:rsidR="004151B0" w:rsidRPr="009118AB">
        <w:t xml:space="preserve"> erwähnte Zweckgesellschaft]</w:t>
      </w:r>
      <w:r w:rsidR="00383595" w:rsidRPr="009118AB">
        <w:t xml:space="preserve"> oder über einen in </w:t>
      </w:r>
      <w:r w:rsidR="00D67EB8" w:rsidRPr="009118AB">
        <w:t>§ </w:t>
      </w:r>
      <w:r w:rsidR="00383595" w:rsidRPr="009118AB">
        <w:t>1 Absatz 1 Buchstabe </w:t>
      </w:r>
      <w:r w:rsidR="00383595" w:rsidRPr="009118AB">
        <w:rPr>
          <w:i/>
        </w:rPr>
        <w:t>c)</w:t>
      </w:r>
      <w:r w:rsidR="00383595" w:rsidRPr="009118AB">
        <w:t xml:space="preserve"> erwähnten öffentlichen Starterfonds oder privaten Kapitalanlagestarter</w:t>
      </w:r>
      <w:r w:rsidR="00383595" w:rsidRPr="009118AB">
        <w:softHyphen/>
        <w:t>fonds mit fixem Kapital]</w:t>
      </w:r>
      <w:r w:rsidR="00732830" w:rsidRPr="009118AB">
        <w:t>]</w:t>
      </w:r>
      <w:r w:rsidRPr="009118AB">
        <w:t xml:space="preserve"> von Aktien oder Anteilen einer Gesellschaft, was den Teil dieser Aktien oder Anteile betrifft, durch den der Steuerpflichtige einen Anteil von mehr als 30 Prozent am </w:t>
      </w:r>
      <w:r w:rsidR="002F5D6E" w:rsidRPr="009118AB">
        <w:t>[K</w:t>
      </w:r>
      <w:r w:rsidRPr="009118AB">
        <w:t>ap</w:t>
      </w:r>
      <w:r w:rsidR="00732830" w:rsidRPr="009118AB">
        <w:t>ital</w:t>
      </w:r>
      <w:r w:rsidR="002F5D6E" w:rsidRPr="009118AB">
        <w:t>]</w:t>
      </w:r>
      <w:r w:rsidR="00732830" w:rsidRPr="009118AB">
        <w:t xml:space="preserve"> dieser Gesellschaft erhält,</w:t>
      </w:r>
    </w:p>
    <w:p w14:paraId="1986EB96" w14:textId="77777777" w:rsidR="00732830" w:rsidRPr="009118AB" w:rsidRDefault="00732830" w:rsidP="00A55D52">
      <w:pPr>
        <w:ind w:firstLine="708"/>
        <w:jc w:val="both"/>
      </w:pPr>
    </w:p>
    <w:p w14:paraId="6808A218" w14:textId="084B056A" w:rsidR="00732830" w:rsidRPr="009118AB" w:rsidRDefault="00732830" w:rsidP="00A55D52">
      <w:pPr>
        <w:ind w:firstLine="708"/>
        <w:jc w:val="both"/>
      </w:pPr>
      <w:r w:rsidRPr="009118AB">
        <w:t xml:space="preserve">[4. Summen, die gezahlt werden für den direkten Erwerb oder den Erwerb </w:t>
      </w:r>
      <w:r w:rsidR="00383595" w:rsidRPr="009118AB">
        <w:t xml:space="preserve">[über eine in </w:t>
      </w:r>
      <w:r w:rsidR="00D67EB8" w:rsidRPr="009118AB">
        <w:t>§ </w:t>
      </w:r>
      <w:r w:rsidR="00383595" w:rsidRPr="009118AB">
        <w:t>1 Absatz 1 Buchstabe </w:t>
      </w:r>
      <w:r w:rsidR="00383595" w:rsidRPr="009118AB">
        <w:rPr>
          <w:i/>
        </w:rPr>
        <w:t>a)</w:t>
      </w:r>
      <w:r w:rsidR="00383595" w:rsidRPr="009118AB">
        <w:t xml:space="preserve"> erwähnte Crowdfunding-Plattform, über </w:t>
      </w:r>
      <w:r w:rsidR="004151B0" w:rsidRPr="009118AB">
        <w:t xml:space="preserve">[eine in </w:t>
      </w:r>
      <w:r w:rsidR="00D67EB8" w:rsidRPr="009118AB">
        <w:t>§ </w:t>
      </w:r>
      <w:r w:rsidR="004151B0" w:rsidRPr="009118AB">
        <w:t>1 Absatz 1 Buchstabe </w:t>
      </w:r>
      <w:r w:rsidR="004151B0" w:rsidRPr="009118AB">
        <w:rPr>
          <w:i/>
          <w:iCs/>
        </w:rPr>
        <w:t>b)</w:t>
      </w:r>
      <w:r w:rsidR="004151B0" w:rsidRPr="009118AB">
        <w:t xml:space="preserve"> erwähnte Zweckgesellschaft]</w:t>
      </w:r>
      <w:r w:rsidR="00383595" w:rsidRPr="009118AB">
        <w:t xml:space="preserve"> oder über einen in </w:t>
      </w:r>
      <w:r w:rsidR="00D67EB8" w:rsidRPr="009118AB">
        <w:t>§ </w:t>
      </w:r>
      <w:r w:rsidR="00383595" w:rsidRPr="009118AB">
        <w:t>1 Absatz 1 Buchstabe </w:t>
      </w:r>
      <w:r w:rsidR="00383595" w:rsidRPr="009118AB">
        <w:rPr>
          <w:i/>
        </w:rPr>
        <w:t>c)</w:t>
      </w:r>
      <w:r w:rsidR="00383595" w:rsidRPr="009118AB">
        <w:t xml:space="preserve"> erwähnten öffentlichen Starterfonds oder privaten Kapitalanlagestarter</w:t>
      </w:r>
      <w:r w:rsidR="00383595" w:rsidRPr="009118AB">
        <w:softHyphen/>
        <w:t>fonds mit fixem Kapital]</w:t>
      </w:r>
      <w:r w:rsidRPr="009118AB">
        <w:t xml:space="preserve"> von Aktien oder Anteilen einer Gesellschaft in Form einer Quasieinlage wie </w:t>
      </w:r>
      <w:r w:rsidR="002F5D6E" w:rsidRPr="009118AB">
        <w:t>[in Artikel 7:8 des Gesetzbuches der Gesellschaften und Vereinigungen]</w:t>
      </w:r>
      <w:r w:rsidRPr="009118AB">
        <w:t xml:space="preserve"> erwähnt.]</w:t>
      </w:r>
    </w:p>
    <w:p w14:paraId="2E3F734C" w14:textId="77777777" w:rsidR="00A55D52" w:rsidRPr="009118AB" w:rsidRDefault="00A55D52" w:rsidP="00A55D52">
      <w:pPr>
        <w:jc w:val="both"/>
      </w:pPr>
    </w:p>
    <w:p w14:paraId="5336F8C2" w14:textId="295E8D6C" w:rsidR="00A55D52" w:rsidRPr="009118AB" w:rsidRDefault="00900614" w:rsidP="00A55D52">
      <w:pPr>
        <w:ind w:firstLine="708"/>
        <w:jc w:val="both"/>
      </w:pPr>
      <w:r w:rsidRPr="009118AB">
        <w:t>[</w:t>
      </w:r>
      <w:r w:rsidRPr="009118AB">
        <w:rPr>
          <w:rFonts w:eastAsia="Calibri"/>
        </w:rPr>
        <w:t xml:space="preserve">Zahlungen für die in </w:t>
      </w:r>
      <w:r w:rsidR="00D67EB8" w:rsidRPr="009118AB">
        <w:rPr>
          <w:rFonts w:eastAsia="Calibri"/>
        </w:rPr>
        <w:t>§ </w:t>
      </w:r>
      <w:r w:rsidRPr="009118AB">
        <w:rPr>
          <w:rFonts w:eastAsia="Calibri"/>
        </w:rPr>
        <w:t>1 Absatz 1 Buchstabe </w:t>
      </w:r>
      <w:r w:rsidRPr="009118AB">
        <w:rPr>
          <w:rFonts w:eastAsia="Calibri"/>
          <w:i/>
        </w:rPr>
        <w:t>a)</w:t>
      </w:r>
      <w:r w:rsidRPr="009118AB">
        <w:rPr>
          <w:rFonts w:eastAsia="Calibri"/>
        </w:rPr>
        <w:t xml:space="preserve"> erwähnten Aktien oder Anteile, die in </w:t>
      </w:r>
      <w:r w:rsidR="00D67EB8" w:rsidRPr="009118AB">
        <w:rPr>
          <w:rFonts w:eastAsia="Calibri"/>
        </w:rPr>
        <w:t>§ </w:t>
      </w:r>
      <w:r w:rsidRPr="009118AB">
        <w:rPr>
          <w:rFonts w:eastAsia="Calibri"/>
        </w:rPr>
        <w:t>1 Absatz 1 Buchstabe </w:t>
      </w:r>
      <w:r w:rsidRPr="009118AB">
        <w:rPr>
          <w:rFonts w:eastAsia="Calibri"/>
          <w:i/>
        </w:rPr>
        <w:t>b)</w:t>
      </w:r>
      <w:r w:rsidRPr="009118AB">
        <w:rPr>
          <w:rFonts w:eastAsia="Calibri"/>
        </w:rPr>
        <w:t xml:space="preserve"> erwähnten Anlageinstrumente und die in </w:t>
      </w:r>
      <w:r w:rsidR="00D67EB8" w:rsidRPr="009118AB">
        <w:rPr>
          <w:rFonts w:eastAsia="Calibri"/>
        </w:rPr>
        <w:t>§ </w:t>
      </w:r>
      <w:r w:rsidRPr="009118AB">
        <w:rPr>
          <w:rFonts w:eastAsia="Calibri"/>
        </w:rPr>
        <w:t>1 Absatz 1 Buchstabe </w:t>
      </w:r>
      <w:r w:rsidRPr="009118AB">
        <w:rPr>
          <w:rFonts w:eastAsia="Calibri"/>
          <w:i/>
        </w:rPr>
        <w:t>c)</w:t>
      </w:r>
      <w:r w:rsidRPr="009118AB">
        <w:rPr>
          <w:rFonts w:eastAsia="Calibri"/>
        </w:rPr>
        <w:t xml:space="preserve"> erwähnten Anteile kommen für die Steuerermäßigung nur bis zu einem Betrag von 100.000 EUR pro Besteuerungszeitraum in Betracht. Dieser Betrag von 100.000 EUR pro Besteuerungszeitraum wird gegebenenfalls um den Betrag der Zahlungen verringert, die für den betreffenden Besteuerungszeitraum für die Anwendung von Artikel 145</w:t>
      </w:r>
      <w:r w:rsidRPr="009118AB">
        <w:rPr>
          <w:rFonts w:eastAsia="Calibri"/>
          <w:vertAlign w:val="superscript"/>
        </w:rPr>
        <w:t>27</w:t>
      </w:r>
      <w:r w:rsidRPr="009118AB">
        <w:rPr>
          <w:rFonts w:eastAsia="Calibri"/>
        </w:rPr>
        <w:t xml:space="preserve"> berücksichtigt werden.</w:t>
      </w:r>
      <w:r w:rsidRPr="009118AB">
        <w:t>]</w:t>
      </w:r>
    </w:p>
    <w:p w14:paraId="7EF2159F" w14:textId="77777777" w:rsidR="00A55D52" w:rsidRPr="009118AB" w:rsidRDefault="00A55D52" w:rsidP="00A55D52">
      <w:pPr>
        <w:jc w:val="both"/>
      </w:pPr>
    </w:p>
    <w:p w14:paraId="28346B3A" w14:textId="4D83AE19" w:rsidR="00A55D52" w:rsidRPr="009118AB" w:rsidRDefault="00A55D52" w:rsidP="00A55D52">
      <w:pPr>
        <w:ind w:firstLine="708"/>
        <w:jc w:val="both"/>
      </w:pPr>
      <w:r w:rsidRPr="009118AB">
        <w:t xml:space="preserve">Die Steuerermäßigung beträgt 30 Prozent </w:t>
      </w:r>
      <w:r w:rsidR="00732830" w:rsidRPr="009118AB">
        <w:t xml:space="preserve">[des in Betracht kommenden Betrags nach Abzug der in </w:t>
      </w:r>
      <w:r w:rsidR="00D67EB8" w:rsidRPr="009118AB">
        <w:t>§ </w:t>
      </w:r>
      <w:r w:rsidR="00732830" w:rsidRPr="009118AB">
        <w:t>1 Absatz 1 Buchstabe </w:t>
      </w:r>
      <w:r w:rsidR="00732830" w:rsidRPr="009118AB">
        <w:rPr>
          <w:i/>
        </w:rPr>
        <w:t>b)</w:t>
      </w:r>
      <w:r w:rsidR="00732830" w:rsidRPr="009118AB">
        <w:t xml:space="preserve"> und </w:t>
      </w:r>
      <w:r w:rsidR="00D67EB8" w:rsidRPr="009118AB">
        <w:t>§ </w:t>
      </w:r>
      <w:r w:rsidR="00732830" w:rsidRPr="009118AB">
        <w:t>2 Absatz 3 erwähnten Entschädigungen und eventuellen anderen diesbezüglichen Kosten]</w:t>
      </w:r>
      <w:r w:rsidRPr="009118AB">
        <w:t>.</w:t>
      </w:r>
    </w:p>
    <w:p w14:paraId="7E024A49" w14:textId="77777777" w:rsidR="00A55D52" w:rsidRPr="009118AB" w:rsidRDefault="00A55D52" w:rsidP="00A55D52">
      <w:pPr>
        <w:jc w:val="both"/>
      </w:pPr>
    </w:p>
    <w:p w14:paraId="38E8D7E5" w14:textId="4FC8C111" w:rsidR="00A55D52" w:rsidRPr="009118AB" w:rsidRDefault="00715690" w:rsidP="00715690">
      <w:pPr>
        <w:ind w:firstLine="708"/>
        <w:jc w:val="both"/>
      </w:pPr>
      <w:r w:rsidRPr="009118AB">
        <w:t xml:space="preserve">[Der in Absatz 5 erwähnte Prozentsatz wird auf 45 Prozent erhöht für </w:t>
      </w:r>
      <w:r w:rsidR="00383595" w:rsidRPr="009118AB">
        <w:t xml:space="preserve">[die in </w:t>
      </w:r>
      <w:r w:rsidR="00D67EB8" w:rsidRPr="009118AB">
        <w:t>§ </w:t>
      </w:r>
      <w:r w:rsidR="00383595" w:rsidRPr="009118AB">
        <w:t>1 Absatz 1 Buchstabe </w:t>
      </w:r>
      <w:r w:rsidR="00383595" w:rsidRPr="009118AB">
        <w:rPr>
          <w:i/>
        </w:rPr>
        <w:t>a)</w:t>
      </w:r>
      <w:r w:rsidR="00383595" w:rsidRPr="009118AB">
        <w:t xml:space="preserve"> und </w:t>
      </w:r>
      <w:r w:rsidR="00383595" w:rsidRPr="009118AB">
        <w:rPr>
          <w:i/>
        </w:rPr>
        <w:t>b)</w:t>
      </w:r>
      <w:r w:rsidR="00383595" w:rsidRPr="009118AB">
        <w:t xml:space="preserve"> erwähnten Summen, wenn die Gesellschaft, in die der Steuerpflichtige selbst oder </w:t>
      </w:r>
      <w:r w:rsidR="004151B0" w:rsidRPr="009118AB">
        <w:t>[die Zweckgesellschaft]</w:t>
      </w:r>
      <w:r w:rsidR="00383595" w:rsidRPr="009118AB">
        <w:t xml:space="preserve"> investiert hat,]</w:t>
      </w:r>
      <w:r w:rsidRPr="009118AB">
        <w:t xml:space="preserve"> für das Steuerjahr, das sich auf den Besteuerungszeitraum bezieht, in dem die Kapitaleinlage erfolgt, eine Kleinstgesellschaft im Sinne von </w:t>
      </w:r>
      <w:r w:rsidR="002F5D6E" w:rsidRPr="009118AB">
        <w:t>[Artikel 1:25 des Gesetzbuches der Gesellschaften und Vereinigungen]</w:t>
      </w:r>
      <w:r w:rsidRPr="009118AB">
        <w:t xml:space="preserve"> ist.]</w:t>
      </w:r>
    </w:p>
    <w:p w14:paraId="57AF2BF4" w14:textId="77777777" w:rsidR="00A55D52" w:rsidRPr="009118AB" w:rsidRDefault="00A55D52" w:rsidP="00A55D52">
      <w:pPr>
        <w:jc w:val="both"/>
      </w:pPr>
    </w:p>
    <w:p w14:paraId="76361F95" w14:textId="77777777" w:rsidR="00A55D52" w:rsidRPr="009118AB" w:rsidRDefault="00A55D52" w:rsidP="00A55D52">
      <w:pPr>
        <w:ind w:firstLine="708"/>
        <w:jc w:val="both"/>
      </w:pPr>
      <w:r w:rsidRPr="009118AB">
        <w:t>In vorliegendem Paragraphen erwähnte Eurobeträge werden nicht gemäß Artikel 178 indexiert.</w:t>
      </w:r>
    </w:p>
    <w:p w14:paraId="15667F35" w14:textId="77777777" w:rsidR="00A55D52" w:rsidRPr="009118AB" w:rsidRDefault="00A55D52" w:rsidP="00A55D52">
      <w:pPr>
        <w:jc w:val="both"/>
      </w:pPr>
    </w:p>
    <w:p w14:paraId="182AD345" w14:textId="5D7C2C46" w:rsidR="00A55D52" w:rsidRPr="009118AB" w:rsidRDefault="00D67EB8" w:rsidP="00A55D52">
      <w:pPr>
        <w:ind w:firstLine="708"/>
        <w:jc w:val="both"/>
      </w:pPr>
      <w:r w:rsidRPr="009118AB">
        <w:t>§ </w:t>
      </w:r>
      <w:r w:rsidR="00A55D52" w:rsidRPr="009118AB">
        <w:t>4</w:t>
      </w:r>
      <w:r w:rsidRPr="009118AB">
        <w:t> - </w:t>
      </w:r>
      <w:r w:rsidR="00732830" w:rsidRPr="009118AB">
        <w:t xml:space="preserve">[Zahlungen für die in </w:t>
      </w:r>
      <w:r w:rsidRPr="009118AB">
        <w:t>§ </w:t>
      </w:r>
      <w:r w:rsidR="00732830" w:rsidRPr="009118AB">
        <w:t>1 Absatz 1 Buchstabe </w:t>
      </w:r>
      <w:r w:rsidR="00732830" w:rsidRPr="009118AB">
        <w:rPr>
          <w:i/>
        </w:rPr>
        <w:t>a)</w:t>
      </w:r>
      <w:r w:rsidR="00732830" w:rsidRPr="009118AB">
        <w:t xml:space="preserve"> erwähnten Aktien oder Anteile oder die in </w:t>
      </w:r>
      <w:r w:rsidRPr="009118AB">
        <w:t>§ </w:t>
      </w:r>
      <w:r w:rsidR="00732830" w:rsidRPr="009118AB">
        <w:t>1 Absatz 1 Buchstabe </w:t>
      </w:r>
      <w:r w:rsidR="00732830" w:rsidRPr="009118AB">
        <w:rPr>
          <w:i/>
        </w:rPr>
        <w:t>b)</w:t>
      </w:r>
      <w:r w:rsidR="00732830" w:rsidRPr="009118AB">
        <w:t xml:space="preserve"> erwähnten Anlageinstrumente]</w:t>
      </w:r>
      <w:r w:rsidR="00A55D52" w:rsidRPr="009118AB">
        <w:t xml:space="preserve"> werden für die Steuerermäßigung berücksichtigt unter der Bedingung, dass </w:t>
      </w:r>
      <w:r w:rsidR="007B7AFA" w:rsidRPr="009118AB">
        <w:t xml:space="preserve">[die in </w:t>
      </w:r>
      <w:r w:rsidRPr="009118AB">
        <w:t>§ </w:t>
      </w:r>
      <w:r w:rsidR="007B7AFA" w:rsidRPr="009118AB">
        <w:t xml:space="preserve">3 Absatz 1 erwähnte Gesellschaft </w:t>
      </w:r>
      <w:r w:rsidR="004151B0" w:rsidRPr="009118AB">
        <w:t xml:space="preserve">[oder die in </w:t>
      </w:r>
      <w:r w:rsidRPr="009118AB">
        <w:t>§ </w:t>
      </w:r>
      <w:r w:rsidR="004151B0" w:rsidRPr="009118AB">
        <w:t>1 Absatz 1 Buchstabe </w:t>
      </w:r>
      <w:r w:rsidR="004151B0" w:rsidRPr="009118AB">
        <w:rPr>
          <w:i/>
          <w:iCs/>
        </w:rPr>
        <w:t>b)</w:t>
      </w:r>
      <w:r w:rsidR="004151B0" w:rsidRPr="009118AB">
        <w:t xml:space="preserve"> erwähnte Zweckgesellschaft]</w:t>
      </w:r>
      <w:r w:rsidR="007B7AFA" w:rsidRPr="009118AB">
        <w:t xml:space="preserve"> dem Steuerpflichtigen zur Untermauerung]</w:t>
      </w:r>
      <w:r w:rsidR="00A55D52" w:rsidRPr="009118AB">
        <w:t xml:space="preserve"> seiner Erklärung zur Steuer der natürlichen Personen des Besteuerungszeitraums, in dem die Einzahlung getätigt wurde, </w:t>
      </w:r>
      <w:r w:rsidR="007B7AFA" w:rsidRPr="009118AB">
        <w:t>[einen Nachweis übermittelt, aus dem hervorgeht]</w:t>
      </w:r>
      <w:r w:rsidR="00A55D52" w:rsidRPr="009118AB">
        <w:t>:</w:t>
      </w:r>
    </w:p>
    <w:p w14:paraId="3DF7CEB1" w14:textId="77777777" w:rsidR="00A55D52" w:rsidRPr="009118AB" w:rsidRDefault="00A55D52" w:rsidP="00A55D52">
      <w:pPr>
        <w:jc w:val="both"/>
      </w:pPr>
    </w:p>
    <w:p w14:paraId="66C120DC" w14:textId="77777777" w:rsidR="00A55D52" w:rsidRPr="009118AB" w:rsidRDefault="00A55D52" w:rsidP="00A55D52">
      <w:pPr>
        <w:ind w:firstLine="708"/>
        <w:jc w:val="both"/>
      </w:pPr>
      <w:r w:rsidRPr="009118AB">
        <w:t xml:space="preserve">- dass die in den Paragraphen 1 und 3 </w:t>
      </w:r>
      <w:r w:rsidR="007B7AFA" w:rsidRPr="009118AB">
        <w:t>[…]</w:t>
      </w:r>
      <w:r w:rsidRPr="009118AB">
        <w:t xml:space="preserve"> vorgesehenen Bedingungen erfüllt sind,</w:t>
      </w:r>
    </w:p>
    <w:p w14:paraId="1A16797B" w14:textId="77777777" w:rsidR="00A55D52" w:rsidRPr="009118AB" w:rsidRDefault="00A55D52" w:rsidP="00A55D52">
      <w:pPr>
        <w:jc w:val="both"/>
      </w:pPr>
    </w:p>
    <w:p w14:paraId="6B3F2A30" w14:textId="77777777" w:rsidR="00A55D52" w:rsidRPr="009118AB" w:rsidRDefault="00A55D52" w:rsidP="00A55D52">
      <w:pPr>
        <w:ind w:firstLine="708"/>
        <w:jc w:val="both"/>
      </w:pPr>
      <w:r w:rsidRPr="009118AB">
        <w:lastRenderedPageBreak/>
        <w:t>- </w:t>
      </w:r>
      <w:r w:rsidR="007B7AFA" w:rsidRPr="009118AB">
        <w:t>[dass der Steuerpflichtige die Aktien oder Anteile oder die Anlageinstrumente]</w:t>
      </w:r>
      <w:r w:rsidRPr="009118AB">
        <w:t xml:space="preserve"> in dem betreffenden Besteuerungszeitraum erworben hat und dass sie am Ende dieses Besteuerungszeitraums noch in seinem Besitz sind.</w:t>
      </w:r>
    </w:p>
    <w:p w14:paraId="714270B7" w14:textId="77777777" w:rsidR="00A55D52" w:rsidRPr="009118AB" w:rsidRDefault="00A55D52" w:rsidP="00A55D52">
      <w:pPr>
        <w:jc w:val="both"/>
      </w:pPr>
    </w:p>
    <w:p w14:paraId="1CEB114C" w14:textId="16707921" w:rsidR="007B7AFA" w:rsidRPr="009118AB" w:rsidRDefault="007B7AFA" w:rsidP="007B7AFA">
      <w:pPr>
        <w:jc w:val="both"/>
      </w:pPr>
      <w:r w:rsidRPr="009118AB">
        <w:tab/>
        <w:t xml:space="preserve">[Zahlungen für die in </w:t>
      </w:r>
      <w:r w:rsidR="00D67EB8" w:rsidRPr="009118AB">
        <w:t>§ </w:t>
      </w:r>
      <w:r w:rsidRPr="009118AB">
        <w:t>1 Absatz 1 Buchstabe </w:t>
      </w:r>
      <w:r w:rsidRPr="009118AB">
        <w:rPr>
          <w:i/>
        </w:rPr>
        <w:t>c)</w:t>
      </w:r>
      <w:r w:rsidRPr="009118AB">
        <w:t xml:space="preserve"> erwähnten Anteile werden für die Steuerermäßigung berücksichtigt unter der Bedingung, dass der in </w:t>
      </w:r>
      <w:r w:rsidR="00D67EB8" w:rsidRPr="009118AB">
        <w:t>§ </w:t>
      </w:r>
      <w:r w:rsidRPr="009118AB">
        <w:t>1 Absatz 1 Buchstabe </w:t>
      </w:r>
      <w:r w:rsidRPr="009118AB">
        <w:rPr>
          <w:i/>
        </w:rPr>
        <w:t>c)</w:t>
      </w:r>
      <w:r w:rsidRPr="009118AB">
        <w:t xml:space="preserve"> erwähnte öffentliche Starterfonds oder private Kapitalanlagestarterfonds mit fixem Kapital dem Steuerpflichtigen zur Untermauerung seiner Erklärung zur Steuer der natürlichen Personen des Besteuerungszeitraums, in den das Datum des 31. Dezembers fällt, an dem die in </w:t>
      </w:r>
      <w:r w:rsidR="00D67EB8" w:rsidRPr="009118AB">
        <w:t>§ </w:t>
      </w:r>
      <w:r w:rsidRPr="009118AB">
        <w:t>2 Absatz 3 erwähnte Investitionsbedingung erfüllt ist, einen Nachweis übermittelt, aus dem hervorgeht:</w:t>
      </w:r>
    </w:p>
    <w:p w14:paraId="01034AFC" w14:textId="77777777" w:rsidR="007B7AFA" w:rsidRPr="009118AB" w:rsidRDefault="007B7AFA" w:rsidP="007B7AFA">
      <w:pPr>
        <w:jc w:val="both"/>
      </w:pPr>
    </w:p>
    <w:p w14:paraId="766045C3" w14:textId="77777777" w:rsidR="007B7AFA" w:rsidRPr="009118AB" w:rsidRDefault="007B7AFA" w:rsidP="007B7AFA">
      <w:pPr>
        <w:jc w:val="both"/>
      </w:pPr>
      <w:r w:rsidRPr="009118AB">
        <w:tab/>
        <w:t>- dass die in den Paragraphen 1 und 3 vorgesehenen Bedingungen erfüllt sind,</w:t>
      </w:r>
    </w:p>
    <w:p w14:paraId="66614E16" w14:textId="77777777" w:rsidR="007B7AFA" w:rsidRPr="009118AB" w:rsidRDefault="007B7AFA" w:rsidP="007B7AFA">
      <w:pPr>
        <w:jc w:val="both"/>
      </w:pPr>
    </w:p>
    <w:p w14:paraId="3DFD9E4C" w14:textId="77777777" w:rsidR="007B7AFA" w:rsidRPr="009118AB" w:rsidRDefault="007B7AFA" w:rsidP="007B7AFA">
      <w:pPr>
        <w:jc w:val="both"/>
      </w:pPr>
      <w:r w:rsidRPr="009118AB">
        <w:tab/>
        <w:t>- dass der Steuerpflichtige die Anteile in dem betreffenden Besteuerungszeitraum oder in einem vorhergehenden Besteuerungszeitraum erworben hat und dass sie am Ende dieses Besteuerungszeitraums noch in seinem Besitz sind.]</w:t>
      </w:r>
    </w:p>
    <w:p w14:paraId="45AEB090" w14:textId="77777777" w:rsidR="007B7AFA" w:rsidRPr="009118AB" w:rsidRDefault="007B7AFA" w:rsidP="00A55D52">
      <w:pPr>
        <w:jc w:val="both"/>
      </w:pPr>
    </w:p>
    <w:p w14:paraId="59B84DD1" w14:textId="52C954F8" w:rsidR="00A55D52" w:rsidRPr="009118AB" w:rsidRDefault="00D67EB8" w:rsidP="00A55D52">
      <w:pPr>
        <w:ind w:firstLine="708"/>
        <w:jc w:val="both"/>
      </w:pPr>
      <w:r w:rsidRPr="009118AB">
        <w:t>§ </w:t>
      </w:r>
      <w:r w:rsidR="00A55D52" w:rsidRPr="009118AB">
        <w:t>5</w:t>
      </w:r>
      <w:r w:rsidRPr="009118AB">
        <w:t> - </w:t>
      </w:r>
      <w:r w:rsidR="007B7AFA" w:rsidRPr="009118AB">
        <w:t xml:space="preserve">[Die Aufrechterhaltung der in </w:t>
      </w:r>
      <w:r w:rsidRPr="009118AB">
        <w:t>§ </w:t>
      </w:r>
      <w:r w:rsidR="007B7AFA" w:rsidRPr="009118AB">
        <w:t xml:space="preserve">1 erwähnten Steuerermäßigung unterliegt der Bedingung, dass die Gesellschaft, </w:t>
      </w:r>
      <w:r w:rsidR="003D0BB2" w:rsidRPr="009118AB">
        <w:t>[die Zweckgesellschaft]</w:t>
      </w:r>
      <w:r w:rsidR="007B7AFA" w:rsidRPr="009118AB">
        <w:t>, der öffentliche Starterfonds oder der private Kapitalanlagestarterfonds mit fixem Kapital dem Steuerpflichtigen zur Untermauerung seiner Einkommensteuererklärungen der vier folgenden Besteuerungs</w:t>
      </w:r>
      <w:r w:rsidR="007B7AFA" w:rsidRPr="009118AB">
        <w:softHyphen/>
        <w:t xml:space="preserve">zeiträume nach dem Besteuerungszeitraum, für den die Steuerermäßigung gewährt wird, den Nachweis übermittelt, dass er weiterhin im Besitz der betreffenden in </w:t>
      </w:r>
      <w:r w:rsidRPr="009118AB">
        <w:t>§ </w:t>
      </w:r>
      <w:r w:rsidR="007B7AFA" w:rsidRPr="009118AB">
        <w:t>1 Absatz 1 Buchstabe </w:t>
      </w:r>
      <w:r w:rsidR="007B7AFA" w:rsidRPr="009118AB">
        <w:rPr>
          <w:i/>
        </w:rPr>
        <w:t>a)</w:t>
      </w:r>
      <w:r w:rsidR="007B7AFA" w:rsidRPr="009118AB">
        <w:t xml:space="preserve"> erwähnten Aktien oder Anteile, der betreffenden in </w:t>
      </w:r>
      <w:r w:rsidRPr="009118AB">
        <w:t>§ </w:t>
      </w:r>
      <w:r w:rsidR="007B7AFA" w:rsidRPr="009118AB">
        <w:t>1 Absatz 1 Buchstabe </w:t>
      </w:r>
      <w:r w:rsidR="007B7AFA" w:rsidRPr="009118AB">
        <w:rPr>
          <w:i/>
        </w:rPr>
        <w:t>b)</w:t>
      </w:r>
      <w:r w:rsidR="007B7AFA" w:rsidRPr="009118AB">
        <w:t xml:space="preserve"> erwähnten Anlageinstrumente oder der betreffenden in </w:t>
      </w:r>
      <w:r w:rsidRPr="009118AB">
        <w:t>§ </w:t>
      </w:r>
      <w:r w:rsidR="007B7AFA" w:rsidRPr="009118AB">
        <w:t>1 Absatz 1 Buchstabe </w:t>
      </w:r>
      <w:r w:rsidR="007B7AFA" w:rsidRPr="009118AB">
        <w:rPr>
          <w:i/>
        </w:rPr>
        <w:t>c)</w:t>
      </w:r>
      <w:r w:rsidR="007B7AFA" w:rsidRPr="009118AB">
        <w:t xml:space="preserve"> erwähnten Anteile ist. Diese Bedingung muss ab dem Besteuerungszeitraum, in dem der Steuerpflichtige verstirbt, nicht mehr erfüllt werden.]</w:t>
      </w:r>
    </w:p>
    <w:p w14:paraId="0E8E2C09" w14:textId="77777777" w:rsidR="00A55D52" w:rsidRPr="009118AB" w:rsidRDefault="00A55D52" w:rsidP="00A55D52">
      <w:pPr>
        <w:jc w:val="both"/>
      </w:pPr>
    </w:p>
    <w:p w14:paraId="7F3C1854" w14:textId="07A2C905" w:rsidR="00A55D52" w:rsidRPr="009118AB" w:rsidRDefault="00A55D52" w:rsidP="00A55D52">
      <w:pPr>
        <w:ind w:firstLine="708"/>
        <w:jc w:val="both"/>
      </w:pPr>
      <w:r w:rsidRPr="009118AB">
        <w:t xml:space="preserve">Sind </w:t>
      </w:r>
      <w:r w:rsidR="007B7AFA" w:rsidRPr="009118AB">
        <w:t>[</w:t>
      </w:r>
      <w:r w:rsidR="00383595" w:rsidRPr="009118AB">
        <w:t xml:space="preserve">[die betreffenden in </w:t>
      </w:r>
      <w:r w:rsidR="00D67EB8" w:rsidRPr="009118AB">
        <w:t>§ </w:t>
      </w:r>
      <w:r w:rsidR="00383595" w:rsidRPr="009118AB">
        <w:t>1 Absatz 1 Buchstabe </w:t>
      </w:r>
      <w:r w:rsidR="00383595" w:rsidRPr="009118AB">
        <w:rPr>
          <w:i/>
        </w:rPr>
        <w:t>a)</w:t>
      </w:r>
      <w:r w:rsidR="00383595" w:rsidRPr="009118AB">
        <w:t xml:space="preserve"> und </w:t>
      </w:r>
      <w:r w:rsidR="00383595" w:rsidRPr="009118AB">
        <w:rPr>
          <w:i/>
        </w:rPr>
        <w:t>b)</w:t>
      </w:r>
      <w:r w:rsidR="00383595" w:rsidRPr="009118AB">
        <w:t xml:space="preserve"> erwähnten Aktien oder Anteile]</w:t>
      </w:r>
      <w:r w:rsidR="007B7AFA" w:rsidRPr="009118AB">
        <w:t xml:space="preserve"> oder die betreffenden in </w:t>
      </w:r>
      <w:r w:rsidR="00D67EB8" w:rsidRPr="009118AB">
        <w:t>§ </w:t>
      </w:r>
      <w:r w:rsidR="007B7AFA" w:rsidRPr="009118AB">
        <w:t>1 Absatz 1 Buchstabe </w:t>
      </w:r>
      <w:r w:rsidR="007B7AFA" w:rsidRPr="009118AB">
        <w:rPr>
          <w:i/>
        </w:rPr>
        <w:t>b)</w:t>
      </w:r>
      <w:r w:rsidR="007B7AFA" w:rsidRPr="009118AB">
        <w:t xml:space="preserve"> erwähnten Anlageinstrumente]</w:t>
      </w:r>
      <w:r w:rsidRPr="009118AB">
        <w:t xml:space="preserve"> innerhalb achtundvierzig Monaten nach ihrem Erwerb Gegenstand einer anderen Übertragung als einer Übertragung von Todes wegen, wird die Gesamtsteuer in Bezug auf die Einkünfte des Besteuerungszeitraums der Übertragung um einen Betrag erhöht, der so viele Male ein Achtundvierzigstel der Steuerermäßigung beträgt, die gemäß </w:t>
      </w:r>
      <w:r w:rsidR="00D67EB8" w:rsidRPr="009118AB">
        <w:t>§ </w:t>
      </w:r>
      <w:r w:rsidRPr="009118AB">
        <w:t xml:space="preserve">1 tatsächlich </w:t>
      </w:r>
      <w:r w:rsidR="00383595" w:rsidRPr="009118AB">
        <w:t>[für diese Aktien oder Anteile oder die Anlageinstrumente dieser Aktien oder Anteile oder diese Anlageinstrumente</w:t>
      </w:r>
      <w:r w:rsidR="007B7AFA" w:rsidRPr="009118AB">
        <w:t>]</w:t>
      </w:r>
      <w:r w:rsidRPr="009118AB">
        <w:t xml:space="preserve"> gewährt wurde, wie ganze Monate bis zum Ende des Zeitraums von achtundvierzig Monaten übrig bleiben.</w:t>
      </w:r>
    </w:p>
    <w:p w14:paraId="3F7E3E29" w14:textId="77777777" w:rsidR="00A55D52" w:rsidRPr="009118AB" w:rsidRDefault="00A55D52" w:rsidP="00A55D52">
      <w:pPr>
        <w:jc w:val="both"/>
      </w:pPr>
    </w:p>
    <w:p w14:paraId="6923773F" w14:textId="66B48700" w:rsidR="007B7AFA" w:rsidRPr="009118AB" w:rsidRDefault="007B7AFA" w:rsidP="007B7AFA">
      <w:pPr>
        <w:jc w:val="both"/>
      </w:pPr>
      <w:r w:rsidRPr="009118AB">
        <w:tab/>
        <w:t xml:space="preserve">[Sind die betreffenden in </w:t>
      </w:r>
      <w:r w:rsidR="00D67EB8" w:rsidRPr="009118AB">
        <w:t>§ </w:t>
      </w:r>
      <w:r w:rsidRPr="009118AB">
        <w:t>1 Absatz 1 Buchstabe </w:t>
      </w:r>
      <w:r w:rsidRPr="009118AB">
        <w:rPr>
          <w:i/>
        </w:rPr>
        <w:t>c)</w:t>
      </w:r>
      <w:r w:rsidRPr="009118AB">
        <w:t xml:space="preserve"> erwähnten Anteile innerhalb achtundvierzig Monaten nach dem Ende des Besteuerungszeitraums, für den die Steuer</w:t>
      </w:r>
      <w:r w:rsidRPr="009118AB">
        <w:softHyphen/>
        <w:t xml:space="preserve">ermäßigung gewährt wird, Gegenstand einer anderen Übertragung als einer Übertragung von Todes wegen, wird die Gesamtsteuer in Bezug auf die Einkünfte des Besteuerungszeitraums der Übertragung um einen Betrag erhöht, der so viele Male ein Achtundvierzigstel der Steuerermäßigung beträgt, die gemäß </w:t>
      </w:r>
      <w:r w:rsidR="00D67EB8" w:rsidRPr="009118AB">
        <w:t>§ </w:t>
      </w:r>
      <w:r w:rsidRPr="009118AB">
        <w:t>1 tatsächlich für diese Anteile gewährt wurde, wie ganze Monate bis zum Ende des Zeitraums von achtundvierzig Monaten übrig bleiben.</w:t>
      </w:r>
      <w:r w:rsidR="002761ED" w:rsidRPr="009118AB">
        <w:t>]</w:t>
      </w:r>
    </w:p>
    <w:p w14:paraId="10A28940" w14:textId="77777777" w:rsidR="007B7AFA" w:rsidRPr="009118AB" w:rsidRDefault="007B7AFA" w:rsidP="007B7AFA">
      <w:pPr>
        <w:jc w:val="both"/>
      </w:pPr>
    </w:p>
    <w:p w14:paraId="46781C2A" w14:textId="6BDAB64E" w:rsidR="007B7AFA" w:rsidRPr="009118AB" w:rsidRDefault="007B7AFA" w:rsidP="007B7AFA">
      <w:pPr>
        <w:jc w:val="both"/>
      </w:pPr>
      <w:r w:rsidRPr="009118AB">
        <w:tab/>
      </w:r>
      <w:r w:rsidR="002761ED" w:rsidRPr="009118AB">
        <w:t>[</w:t>
      </w:r>
      <w:r w:rsidRPr="009118AB">
        <w:t xml:space="preserve">Unter der in den Absätzen 2 und 3 erwähnten "Übertragung" versteht man ebenfalls die Beendigung der Liquidation der Gesellschaft, in die investiert worden ist, </w:t>
      </w:r>
      <w:r w:rsidR="003D0BB2" w:rsidRPr="009118AB">
        <w:t>[der Zweckgesellschaft]</w:t>
      </w:r>
      <w:r w:rsidRPr="009118AB">
        <w:t>, des öffentlichen Starterfonds oder des privaten Kapitalanlage</w:t>
      </w:r>
      <w:r w:rsidRPr="009118AB">
        <w:softHyphen/>
        <w:t>starterfonds mit fixem Kapital.</w:t>
      </w:r>
      <w:r w:rsidR="002761ED" w:rsidRPr="009118AB">
        <w:t>]</w:t>
      </w:r>
    </w:p>
    <w:p w14:paraId="08DD4EC7" w14:textId="77777777" w:rsidR="007B7AFA" w:rsidRPr="009118AB" w:rsidRDefault="007B7AFA" w:rsidP="007B7AFA">
      <w:pPr>
        <w:jc w:val="both"/>
      </w:pPr>
    </w:p>
    <w:p w14:paraId="2D23E1C4" w14:textId="4090C998" w:rsidR="007B7AFA" w:rsidRPr="009118AB" w:rsidRDefault="007B7AFA" w:rsidP="007B7AFA">
      <w:pPr>
        <w:jc w:val="both"/>
      </w:pPr>
      <w:r w:rsidRPr="009118AB">
        <w:tab/>
      </w:r>
      <w:r w:rsidR="002761ED" w:rsidRPr="009118AB">
        <w:t>[</w:t>
      </w:r>
      <w:r w:rsidRPr="009118AB">
        <w:t>Ist die Beendigung der Liquidation Folge der Eröffnung des Konkurses über die Gesellschaft, in die investiert worden ist, muss die in Absatz 1 erwähnte Bedingung ab dem Besteuerungszeitraum, in dem die Beendigung der Liquidation infolge der Konkurseröffnung stattgefunden hat, nicht mehr erfüllt werden.]</w:t>
      </w:r>
    </w:p>
    <w:p w14:paraId="5498DBE4" w14:textId="77777777" w:rsidR="007B7AFA" w:rsidRPr="009118AB" w:rsidRDefault="007B7AFA" w:rsidP="00A55D52">
      <w:pPr>
        <w:jc w:val="both"/>
      </w:pPr>
    </w:p>
    <w:p w14:paraId="0738A2CE" w14:textId="471749F1" w:rsidR="00A55D52" w:rsidRPr="009118AB" w:rsidRDefault="007B7AFA" w:rsidP="00A55D52">
      <w:pPr>
        <w:ind w:firstLine="708"/>
        <w:jc w:val="both"/>
      </w:pPr>
      <w:r w:rsidRPr="009118AB">
        <w:t xml:space="preserve">[Darüber hinaus wird die in </w:t>
      </w:r>
      <w:r w:rsidR="00D67EB8" w:rsidRPr="009118AB">
        <w:t>§ </w:t>
      </w:r>
      <w:r w:rsidRPr="009118AB">
        <w:t>1 Absatz 1 Buchstabe </w:t>
      </w:r>
      <w:r w:rsidRPr="009118AB">
        <w:rPr>
          <w:i/>
        </w:rPr>
        <w:t>c)</w:t>
      </w:r>
      <w:r w:rsidRPr="009118AB">
        <w:t xml:space="preserve"> erwähnte Steuerermäßigung für den Erwerb von Anteilen an einem öffentlichen Starterfonds oder einem privaten Kapital</w:t>
      </w:r>
      <w:r w:rsidRPr="009118AB">
        <w:softHyphen/>
        <w:t xml:space="preserve">anlagestarterfonds mit fixem Kapital nur unter der Bedingung aufrechterhalten, dass die in </w:t>
      </w:r>
      <w:r w:rsidR="00D67EB8" w:rsidRPr="009118AB">
        <w:t>§ </w:t>
      </w:r>
      <w:r w:rsidRPr="009118AB">
        <w:t>2 Absatz 6 erwähnten Verpflichtungen eingehalten werden.]</w:t>
      </w:r>
    </w:p>
    <w:p w14:paraId="22CA7EAC" w14:textId="77777777" w:rsidR="00A55D52" w:rsidRPr="009118AB" w:rsidRDefault="00A55D52" w:rsidP="00A55D52">
      <w:pPr>
        <w:jc w:val="both"/>
      </w:pPr>
    </w:p>
    <w:p w14:paraId="4D6A4B0D" w14:textId="65D156C4" w:rsidR="00A55D52" w:rsidRPr="009118AB" w:rsidRDefault="007B7AFA" w:rsidP="00A55D52">
      <w:pPr>
        <w:ind w:firstLine="708"/>
        <w:jc w:val="both"/>
      </w:pPr>
      <w:r w:rsidRPr="009118AB">
        <w:t xml:space="preserve">[Werden die in </w:t>
      </w:r>
      <w:r w:rsidR="00D67EB8" w:rsidRPr="009118AB">
        <w:t>§ </w:t>
      </w:r>
      <w:r w:rsidRPr="009118AB">
        <w:t xml:space="preserve">2 Absatz 6 erwähnten Verpflichtungen am Ende der in </w:t>
      </w:r>
      <w:r w:rsidR="00D67EB8" w:rsidRPr="009118AB">
        <w:t>§ </w:t>
      </w:r>
      <w:r w:rsidRPr="009118AB">
        <w:t>2 Absatz 6 erwähnten sechsmonatigen Frist nicht eingehalten, wird die Gesamtsteuer in Bezug auf die Einkünfte des Besteuerungszeitraums, in dem festgestellt wird, dass der öffentliche Starter</w:t>
      </w:r>
      <w:r w:rsidRPr="009118AB">
        <w:softHyphen/>
        <w:t>fonds oder der private Kapitalanlagestarterfonds mit fixem Kapital diese Verpflichtungen nicht einhält, um einen Betrag erhöht, der so viele Male ein Achtundvierzigstel der Steuer</w:t>
      </w:r>
      <w:r w:rsidRPr="009118AB">
        <w:softHyphen/>
        <w:t xml:space="preserve">ermäßigung beträgt, die gemäß </w:t>
      </w:r>
      <w:r w:rsidR="00D67EB8" w:rsidRPr="009118AB">
        <w:t>§ </w:t>
      </w:r>
      <w:r w:rsidRPr="009118AB">
        <w:t>1 tatsächlich für diese Anteile gewährt wurde, wie ganze Monate ab Beginn der vorerwähnten sechsmonatigen Frist bis zum Ende des Zeitraums von achtundvierzig Monaten übrig bleiben.]</w:t>
      </w:r>
    </w:p>
    <w:p w14:paraId="01CDFEE7" w14:textId="77777777" w:rsidR="00A55D52" w:rsidRPr="009118AB" w:rsidRDefault="00A55D52" w:rsidP="00A55D52">
      <w:pPr>
        <w:jc w:val="both"/>
      </w:pPr>
    </w:p>
    <w:p w14:paraId="56B89AD7" w14:textId="57854342" w:rsidR="00A55D52" w:rsidRPr="009118AB" w:rsidRDefault="00900614" w:rsidP="00A55D52">
      <w:pPr>
        <w:ind w:firstLine="708"/>
        <w:jc w:val="both"/>
      </w:pPr>
      <w:r w:rsidRPr="009118AB">
        <w:t>[</w:t>
      </w:r>
      <w:r w:rsidRPr="009118AB">
        <w:rPr>
          <w:rFonts w:eastAsia="Calibri"/>
        </w:rPr>
        <w:t xml:space="preserve">Die in </w:t>
      </w:r>
      <w:r w:rsidR="00D67EB8" w:rsidRPr="009118AB">
        <w:rPr>
          <w:rFonts w:eastAsia="Calibri"/>
        </w:rPr>
        <w:t>§ </w:t>
      </w:r>
      <w:r w:rsidRPr="009118AB">
        <w:rPr>
          <w:rFonts w:eastAsia="Calibri"/>
        </w:rPr>
        <w:t xml:space="preserve">1 erwähnte Steuerermäßigung wird nur unter der Bedingung aufrechterhalten, dass die in </w:t>
      </w:r>
      <w:r w:rsidR="00D67EB8" w:rsidRPr="009118AB">
        <w:rPr>
          <w:rFonts w:eastAsia="Calibri"/>
        </w:rPr>
        <w:t>§ </w:t>
      </w:r>
      <w:r w:rsidRPr="009118AB">
        <w:rPr>
          <w:rFonts w:eastAsia="Calibri"/>
        </w:rPr>
        <w:t xml:space="preserve">3 </w:t>
      </w:r>
      <w:r w:rsidR="00555370" w:rsidRPr="009118AB">
        <w:rPr>
          <w:rFonts w:eastAsia="Calibri"/>
        </w:rPr>
        <w:t>[</w:t>
      </w:r>
      <w:r w:rsidR="00555370" w:rsidRPr="009118AB">
        <w:t xml:space="preserve">Absatz 2 und 3 </w:t>
      </w:r>
      <w:r w:rsidR="00D67EB8" w:rsidRPr="009118AB">
        <w:t>Nr. </w:t>
      </w:r>
      <w:r w:rsidR="00555370" w:rsidRPr="009118AB">
        <w:t>2 Buchstabe </w:t>
      </w:r>
      <w:r w:rsidR="00555370" w:rsidRPr="009118AB">
        <w:rPr>
          <w:i/>
          <w:iCs/>
        </w:rPr>
        <w:t>b)</w:t>
      </w:r>
      <w:r w:rsidR="00555370" w:rsidRPr="009118AB">
        <w:t xml:space="preserve"> bis </w:t>
      </w:r>
      <w:r w:rsidR="00555370" w:rsidRPr="009118AB">
        <w:rPr>
          <w:i/>
          <w:iCs/>
        </w:rPr>
        <w:t>d)</w:t>
      </w:r>
      <w:r w:rsidR="00555370" w:rsidRPr="009118AB">
        <w:rPr>
          <w:rFonts w:eastAsia="Calibri"/>
        </w:rPr>
        <w:t>]</w:t>
      </w:r>
      <w:r w:rsidRPr="009118AB">
        <w:rPr>
          <w:rFonts w:eastAsia="Calibri"/>
        </w:rPr>
        <w:t xml:space="preserve"> erwähnten Bedingungen eingehalten werden.</w:t>
      </w:r>
      <w:r w:rsidRPr="009118AB">
        <w:t>]</w:t>
      </w:r>
    </w:p>
    <w:p w14:paraId="0319096C" w14:textId="77777777" w:rsidR="00A55D52" w:rsidRPr="009118AB" w:rsidRDefault="00A55D52" w:rsidP="00A55D52">
      <w:pPr>
        <w:jc w:val="both"/>
      </w:pPr>
    </w:p>
    <w:p w14:paraId="728B1A25" w14:textId="011A4E86" w:rsidR="00A55D52" w:rsidRPr="009118AB" w:rsidRDefault="00A55D52" w:rsidP="00A55D52">
      <w:pPr>
        <w:ind w:firstLine="708"/>
        <w:jc w:val="both"/>
      </w:pPr>
      <w:r w:rsidRPr="009118AB">
        <w:t xml:space="preserve">Wird die in </w:t>
      </w:r>
      <w:r w:rsidR="00D67EB8" w:rsidRPr="009118AB">
        <w:t>§ </w:t>
      </w:r>
      <w:r w:rsidRPr="009118AB">
        <w:t xml:space="preserve">3 Absatz 2 erwähnte Bedingung nicht während achtundvierzig Monaten nach der Einzahlung der Aktien oder Anteile der Gesellschaft eingehalten, wird die Gesamtsteuer in Bezug auf die Einkünfte </w:t>
      </w:r>
      <w:r w:rsidR="007B7AFA" w:rsidRPr="009118AB">
        <w:t>[des Besteuerungszeitraums]</w:t>
      </w:r>
      <w:r w:rsidRPr="009118AB">
        <w:t xml:space="preserve">, in dem festgestellt wird, dass diese Bedingung nicht eingehalten wird, um einen Betrag erhöht, der so viele Male ein Achtundvierzigstel der Steuerermäßigung beträgt, </w:t>
      </w:r>
      <w:r w:rsidR="007B7AFA" w:rsidRPr="009118AB">
        <w:t xml:space="preserve">[die gemäß </w:t>
      </w:r>
      <w:r w:rsidR="00D67EB8" w:rsidRPr="009118AB">
        <w:t>§ </w:t>
      </w:r>
      <w:r w:rsidR="007B7AFA" w:rsidRPr="009118AB">
        <w:t>1 tatsächlich für diese Aktien oder Anteile oder diese Anlageinstrumente gewährt wurde]</w:t>
      </w:r>
      <w:r w:rsidRPr="009118AB">
        <w:t>, wie ganze Monate ab dem Datum, an dem die Bedingung nicht eingehalten wird, bis zum Ende des Zeitraums von achtundvierzig Monaten übrig bleiben.</w:t>
      </w:r>
    </w:p>
    <w:p w14:paraId="5D76FA33" w14:textId="77777777" w:rsidR="00900614" w:rsidRPr="009118AB" w:rsidRDefault="00900614" w:rsidP="00A55D52">
      <w:pPr>
        <w:ind w:firstLine="708"/>
        <w:jc w:val="both"/>
      </w:pPr>
    </w:p>
    <w:p w14:paraId="38695191" w14:textId="5BCBA2B0" w:rsidR="00900614" w:rsidRPr="009118AB" w:rsidRDefault="00900614" w:rsidP="00A55D52">
      <w:pPr>
        <w:ind w:firstLine="708"/>
        <w:jc w:val="both"/>
      </w:pPr>
      <w:r w:rsidRPr="009118AB">
        <w:tab/>
        <w:t>[</w:t>
      </w:r>
      <w:r w:rsidR="00555370" w:rsidRPr="009118AB">
        <w:t xml:space="preserve">Wird eine der in </w:t>
      </w:r>
      <w:r w:rsidR="00D67EB8" w:rsidRPr="009118AB">
        <w:t>§ </w:t>
      </w:r>
      <w:r w:rsidR="00555370" w:rsidRPr="009118AB">
        <w:t xml:space="preserve">3 Absatz 3 </w:t>
      </w:r>
      <w:r w:rsidR="00D67EB8" w:rsidRPr="009118AB">
        <w:t>Nr. </w:t>
      </w:r>
      <w:r w:rsidR="00555370" w:rsidRPr="009118AB">
        <w:t>2 Buchstabe </w:t>
      </w:r>
      <w:r w:rsidR="00555370" w:rsidRPr="009118AB">
        <w:rPr>
          <w:i/>
          <w:iCs/>
        </w:rPr>
        <w:t>b)</w:t>
      </w:r>
      <w:r w:rsidR="00555370" w:rsidRPr="009118AB">
        <w:t xml:space="preserve"> bis </w:t>
      </w:r>
      <w:r w:rsidR="00555370" w:rsidRPr="009118AB">
        <w:rPr>
          <w:i/>
          <w:iCs/>
        </w:rPr>
        <w:t>d)</w:t>
      </w:r>
      <w:r w:rsidR="00555370" w:rsidRPr="009118AB">
        <w:t xml:space="preserve"> erwähnten Bedingungen nicht während achtundvierzig Monaten nach der Einzahlung der Aktien oder Anteile der Gesellschaft eingehalten, wird die Gesamtsteuer in Bezug auf die Einkünfte des Besteuerungszeitraums, in dem festgestellt wird, dass diese Bedingung nicht eingehalten wird, um einen Betrag erhöht, der so viele Male ein Achtundvierzigstel der Steuerermäßigung beträgt, die gemäß </w:t>
      </w:r>
      <w:r w:rsidR="00D67EB8" w:rsidRPr="009118AB">
        <w:t>§ </w:t>
      </w:r>
      <w:r w:rsidR="00555370" w:rsidRPr="009118AB">
        <w:t>1 tatsächlich für diese Aktien, Anteile oder Anlageinstrumente gewährt wurde, wie ganze Monate ab dem Datum, an dem die Bedingung nicht eingehalten wird, bis zum Ende des Zeitraums von achtundvierzig Monaten übrig bleiben.</w:t>
      </w:r>
      <w:r w:rsidRPr="009118AB">
        <w:t>]</w:t>
      </w:r>
    </w:p>
    <w:p w14:paraId="3B6AF5C0" w14:textId="77777777" w:rsidR="00A55D52" w:rsidRPr="009118AB" w:rsidRDefault="00A55D52" w:rsidP="00A55D52">
      <w:pPr>
        <w:jc w:val="both"/>
      </w:pPr>
    </w:p>
    <w:p w14:paraId="1162AAEF" w14:textId="367A7DCB" w:rsidR="00A55D52" w:rsidRPr="009118AB" w:rsidRDefault="00D67EB8" w:rsidP="00A55D52">
      <w:pPr>
        <w:ind w:firstLine="708"/>
        <w:jc w:val="both"/>
      </w:pPr>
      <w:r w:rsidRPr="009118AB">
        <w:t>§ </w:t>
      </w:r>
      <w:r w:rsidR="00A55D52" w:rsidRPr="009118AB">
        <w:t>6</w:t>
      </w:r>
      <w:r w:rsidRPr="009118AB">
        <w:t> - </w:t>
      </w:r>
      <w:r w:rsidR="00A55D52" w:rsidRPr="009118AB">
        <w:t>Der König bestimmt, wie der in den Paragraphen 4 und 5 Absatz 1 erwähnte Nachweis zu erbringen ist.</w:t>
      </w:r>
    </w:p>
    <w:p w14:paraId="114440AF" w14:textId="77777777" w:rsidR="00A55D52" w:rsidRPr="009118AB" w:rsidRDefault="00A55D52" w:rsidP="00A55D52">
      <w:pPr>
        <w:jc w:val="both"/>
      </w:pPr>
    </w:p>
    <w:p w14:paraId="67A4778E" w14:textId="77777777" w:rsidR="00FD68E8" w:rsidRPr="009118AB" w:rsidRDefault="00FD68E8">
      <w:r w:rsidRPr="009118AB">
        <w:br w:type="page"/>
      </w:r>
    </w:p>
    <w:p w14:paraId="02723359" w14:textId="6A3AAA4F" w:rsidR="00477B8F" w:rsidRPr="009118AB" w:rsidRDefault="002D55B8" w:rsidP="00A55D52">
      <w:pPr>
        <w:autoSpaceDE w:val="0"/>
        <w:autoSpaceDN w:val="0"/>
        <w:adjustRightInd w:val="0"/>
        <w:jc w:val="both"/>
      </w:pPr>
      <w:r w:rsidRPr="009118AB">
        <w:lastRenderedPageBreak/>
        <w:tab/>
      </w:r>
      <w:r w:rsidR="00A55D52" w:rsidRPr="009118AB">
        <w:t xml:space="preserve">Der König bestimmt die Formalitäten, die </w:t>
      </w:r>
      <w:r w:rsidR="007B7AFA" w:rsidRPr="009118AB">
        <w:t>[ein öffentlicher Starterfonds oder ein privater Kapitalanlagestarterfonds mit fixem Kapital]</w:t>
      </w:r>
      <w:r w:rsidR="00A55D52" w:rsidRPr="009118AB">
        <w:t xml:space="preserve"> erledigen muss, um nachzuweisen, dass die in </w:t>
      </w:r>
      <w:r w:rsidR="007B7AFA" w:rsidRPr="009118AB">
        <w:t>[</w:t>
      </w:r>
      <w:r w:rsidR="00D67EB8" w:rsidRPr="009118AB">
        <w:t>§ </w:t>
      </w:r>
      <w:r w:rsidR="00A55D52" w:rsidRPr="009118AB">
        <w:t xml:space="preserve">2 Absatz 3 </w:t>
      </w:r>
      <w:r w:rsidR="007B7AFA" w:rsidRPr="009118AB">
        <w:t xml:space="preserve">und 6] </w:t>
      </w:r>
      <w:r w:rsidR="00A55D52" w:rsidRPr="009118AB">
        <w:t>vorgesehenen Investitionsbedingungen erfüllt sind</w:t>
      </w:r>
      <w:r w:rsidRPr="009118AB">
        <w:t>.</w:t>
      </w:r>
      <w:r w:rsidR="00DD52E4" w:rsidRPr="009118AB">
        <w:t>]</w:t>
      </w:r>
      <w:r w:rsidR="00477B8F" w:rsidRPr="009118AB">
        <w:t>]</w:t>
      </w:r>
    </w:p>
    <w:p w14:paraId="72289287" w14:textId="77777777" w:rsidR="00423363" w:rsidRPr="009118AB" w:rsidRDefault="00423363" w:rsidP="00477B8F">
      <w:pPr>
        <w:autoSpaceDE w:val="0"/>
        <w:autoSpaceDN w:val="0"/>
        <w:adjustRightInd w:val="0"/>
        <w:jc w:val="center"/>
      </w:pPr>
    </w:p>
    <w:p w14:paraId="198A43E7" w14:textId="4F30E272" w:rsidR="00423363" w:rsidRPr="009118AB" w:rsidRDefault="00423363" w:rsidP="00423363">
      <w:pPr>
        <w:autoSpaceDE w:val="0"/>
        <w:autoSpaceDN w:val="0"/>
        <w:adjustRightInd w:val="0"/>
        <w:jc w:val="both"/>
        <w:rPr>
          <w:i/>
        </w:rPr>
      </w:pPr>
      <w:r w:rsidRPr="009118AB">
        <w:rPr>
          <w:i/>
        </w:rPr>
        <w:t>[</w:t>
      </w:r>
      <w:r w:rsidR="00D67EB8" w:rsidRPr="009118AB">
        <w:rPr>
          <w:i/>
        </w:rPr>
        <w:t>Art. </w:t>
      </w:r>
      <w:r w:rsidRPr="009118AB">
        <w:rPr>
          <w:i/>
        </w:rPr>
        <w:t>145</w:t>
      </w:r>
      <w:r w:rsidRPr="009118AB">
        <w:rPr>
          <w:i/>
          <w:vertAlign w:val="superscript"/>
        </w:rPr>
        <w:t>26</w:t>
      </w:r>
      <w:r w:rsidRPr="009118AB">
        <w:rPr>
          <w:i/>
        </w:rPr>
        <w:t xml:space="preserve"> </w:t>
      </w:r>
      <w:r w:rsidR="00D67EB8" w:rsidRPr="009118AB">
        <w:rPr>
          <w:i/>
        </w:rPr>
        <w:t>§ </w:t>
      </w:r>
      <w:r w:rsidR="007B7AFA" w:rsidRPr="009118AB">
        <w:rPr>
          <w:i/>
        </w:rPr>
        <w:t xml:space="preserve">1 </w:t>
      </w:r>
      <w:r w:rsidR="00D67EB8" w:rsidRPr="009118AB">
        <w:rPr>
          <w:i/>
        </w:rPr>
        <w:t>Abs. </w:t>
      </w:r>
      <w:r w:rsidR="007B7AFA" w:rsidRPr="009118AB">
        <w:rPr>
          <w:i/>
        </w:rPr>
        <w:t xml:space="preserve">1 Buchstabe a) abgeändert durch </w:t>
      </w:r>
      <w:r w:rsidR="00D67EB8" w:rsidRPr="009118AB">
        <w:rPr>
          <w:i/>
        </w:rPr>
        <w:t>Art. </w:t>
      </w:r>
      <w:r w:rsidR="007B7AFA" w:rsidRPr="009118AB">
        <w:rPr>
          <w:i/>
        </w:rPr>
        <w:t xml:space="preserve">38 </w:t>
      </w:r>
      <w:r w:rsidR="00D67EB8" w:rsidRPr="009118AB">
        <w:rPr>
          <w:i/>
        </w:rPr>
        <w:t>Nr. </w:t>
      </w:r>
      <w:r w:rsidR="007B7AFA" w:rsidRPr="009118AB">
        <w:rPr>
          <w:i/>
        </w:rPr>
        <w:t>1 des G. vom 18. De</w:t>
      </w:r>
      <w:r w:rsidR="002F5D6E" w:rsidRPr="009118AB">
        <w:rPr>
          <w:i/>
        </w:rPr>
        <w:softHyphen/>
      </w:r>
      <w:r w:rsidR="007B7AFA" w:rsidRPr="009118AB">
        <w:rPr>
          <w:i/>
        </w:rPr>
        <w:t>zember 2016</w:t>
      </w:r>
      <w:r w:rsidR="004E359B" w:rsidRPr="009118AB">
        <w:rPr>
          <w:i/>
        </w:rPr>
        <w:t> (I)</w:t>
      </w:r>
      <w:r w:rsidR="007B7AFA" w:rsidRPr="009118AB">
        <w:rPr>
          <w:i/>
        </w:rPr>
        <w:t xml:space="preserve"> (B.S. vom 20. Dezember 2016)</w:t>
      </w:r>
      <w:r w:rsidR="00D67EB8" w:rsidRPr="009118AB">
        <w:rPr>
          <w:i/>
        </w:rPr>
        <w:t> - </w:t>
      </w:r>
      <w:r w:rsidR="007B7AFA" w:rsidRPr="009118AB">
        <w:rPr>
          <w:i/>
        </w:rPr>
        <w:t>in Kraft ab dem Steuerjahr 2017</w:t>
      </w:r>
      <w:r w:rsidR="00D67EB8" w:rsidRPr="009118AB">
        <w:rPr>
          <w:i/>
        </w:rPr>
        <w:t> - </w:t>
      </w:r>
      <w:r w:rsidR="002F5D6E" w:rsidRPr="009118AB">
        <w:rPr>
          <w:i/>
        </w:rPr>
        <w:t xml:space="preserve">und </w:t>
      </w:r>
      <w:r w:rsidR="00D67EB8" w:rsidRPr="009118AB">
        <w:rPr>
          <w:i/>
        </w:rPr>
        <w:t>Art. </w:t>
      </w:r>
      <w:r w:rsidR="002F5D6E" w:rsidRPr="009118AB">
        <w:rPr>
          <w:i/>
        </w:rPr>
        <w:t xml:space="preserve">20 </w:t>
      </w:r>
      <w:r w:rsidR="00D67EB8" w:rsidRPr="009118AB">
        <w:rPr>
          <w:i/>
        </w:rPr>
        <w:t>Nr. </w:t>
      </w:r>
      <w:r w:rsidR="002F5D6E" w:rsidRPr="009118AB">
        <w:rPr>
          <w:i/>
        </w:rPr>
        <w:t>1</w:t>
      </w:r>
      <w:r w:rsidR="002F5D6E" w:rsidRPr="009118AB">
        <w:rPr>
          <w:i/>
          <w:iCs/>
          <w:spacing w:val="-2"/>
        </w:rPr>
        <w:t xml:space="preserve"> des G. vom 17. März 2019 (III) (B.S. vom 10. Mai 2019)</w:t>
      </w:r>
      <w:r w:rsidR="00D67EB8" w:rsidRPr="009118AB">
        <w:rPr>
          <w:i/>
          <w:iCs/>
          <w:spacing w:val="-2"/>
        </w:rPr>
        <w:t> - </w:t>
      </w:r>
      <w:r w:rsidR="002F5D6E" w:rsidRPr="009118AB">
        <w:rPr>
          <w:i/>
          <w:iCs/>
          <w:spacing w:val="-2"/>
        </w:rPr>
        <w:t>in Kraft am 1. Mai 2019</w:t>
      </w:r>
      <w:r w:rsidR="003366D9" w:rsidRPr="009118AB">
        <w:rPr>
          <w:i/>
          <w:iCs/>
          <w:spacing w:val="-2"/>
        </w:rPr>
        <w:t> -;</w:t>
      </w:r>
      <w:r w:rsidR="007B7AFA" w:rsidRPr="009118AB">
        <w:rPr>
          <w:i/>
        </w:rPr>
        <w:t xml:space="preserve"> </w:t>
      </w:r>
      <w:r w:rsidR="00D67EB8" w:rsidRPr="009118AB">
        <w:rPr>
          <w:i/>
        </w:rPr>
        <w:t>§ </w:t>
      </w:r>
      <w:r w:rsidR="007B7AFA" w:rsidRPr="009118AB">
        <w:rPr>
          <w:i/>
        </w:rPr>
        <w:t xml:space="preserve">1 </w:t>
      </w:r>
      <w:r w:rsidR="00D67EB8" w:rsidRPr="009118AB">
        <w:rPr>
          <w:i/>
        </w:rPr>
        <w:t>Abs. </w:t>
      </w:r>
      <w:r w:rsidR="007B7AFA" w:rsidRPr="009118AB">
        <w:rPr>
          <w:i/>
        </w:rPr>
        <w:t xml:space="preserve">1 Buchstabe b) ersetzt durch </w:t>
      </w:r>
      <w:r w:rsidR="00D67EB8" w:rsidRPr="009118AB">
        <w:rPr>
          <w:i/>
        </w:rPr>
        <w:t>Art. </w:t>
      </w:r>
      <w:r w:rsidR="003D0BB2" w:rsidRPr="009118AB">
        <w:rPr>
          <w:i/>
        </w:rPr>
        <w:t>26</w:t>
      </w:r>
      <w:r w:rsidR="003D0BB2" w:rsidRPr="009118AB">
        <w:t xml:space="preserve"> </w:t>
      </w:r>
      <w:r w:rsidR="003D0BB2" w:rsidRPr="009118AB">
        <w:rPr>
          <w:i/>
        </w:rPr>
        <w:t>Buchstabe a) des G. vom 23. Februar 2022 (B.S. vom 4. April 2022)</w:t>
      </w:r>
      <w:r w:rsidR="00D67EB8" w:rsidRPr="009118AB">
        <w:rPr>
          <w:i/>
        </w:rPr>
        <w:t> - </w:t>
      </w:r>
      <w:r w:rsidR="003D0BB2" w:rsidRPr="009118AB">
        <w:rPr>
          <w:i/>
        </w:rPr>
        <w:t>in Kraft am 4. April 2022</w:t>
      </w:r>
      <w:r w:rsidR="003366D9" w:rsidRPr="009118AB">
        <w:rPr>
          <w:i/>
        </w:rPr>
        <w:t> -;</w:t>
      </w:r>
      <w:r w:rsidR="007B7AFA" w:rsidRPr="009118AB">
        <w:rPr>
          <w:i/>
        </w:rPr>
        <w:t xml:space="preserve"> </w:t>
      </w:r>
      <w:r w:rsidR="00D67EB8" w:rsidRPr="009118AB">
        <w:rPr>
          <w:i/>
        </w:rPr>
        <w:t>§ </w:t>
      </w:r>
      <w:r w:rsidR="007B7AFA" w:rsidRPr="009118AB">
        <w:rPr>
          <w:i/>
        </w:rPr>
        <w:t xml:space="preserve">1 </w:t>
      </w:r>
      <w:r w:rsidR="00D67EB8" w:rsidRPr="009118AB">
        <w:rPr>
          <w:i/>
        </w:rPr>
        <w:t>Abs. </w:t>
      </w:r>
      <w:r w:rsidR="007B7AFA" w:rsidRPr="009118AB">
        <w:rPr>
          <w:i/>
        </w:rPr>
        <w:t xml:space="preserve">1 Buchstabe c) eingefügt durch </w:t>
      </w:r>
      <w:r w:rsidR="00D67EB8" w:rsidRPr="009118AB">
        <w:rPr>
          <w:i/>
        </w:rPr>
        <w:t>Art. </w:t>
      </w:r>
      <w:r w:rsidR="007B7AFA" w:rsidRPr="009118AB">
        <w:rPr>
          <w:i/>
        </w:rPr>
        <w:t xml:space="preserve">38 </w:t>
      </w:r>
      <w:r w:rsidR="00D67EB8" w:rsidRPr="009118AB">
        <w:rPr>
          <w:i/>
        </w:rPr>
        <w:t>Nr. </w:t>
      </w:r>
      <w:r w:rsidR="007B7AFA" w:rsidRPr="009118AB">
        <w:rPr>
          <w:i/>
        </w:rPr>
        <w:t>3 des G. vom 18. Dezember 2016</w:t>
      </w:r>
      <w:r w:rsidR="004E359B" w:rsidRPr="009118AB">
        <w:rPr>
          <w:i/>
        </w:rPr>
        <w:t> (I)</w:t>
      </w:r>
      <w:r w:rsidR="007B7AFA" w:rsidRPr="009118AB">
        <w:rPr>
          <w:i/>
        </w:rPr>
        <w:t xml:space="preserve"> (B.S. vom 20. Dezember 2016)</w:t>
      </w:r>
      <w:r w:rsidR="00D67EB8" w:rsidRPr="009118AB">
        <w:rPr>
          <w:i/>
        </w:rPr>
        <w:t> - </w:t>
      </w:r>
      <w:r w:rsidR="007B7AFA" w:rsidRPr="009118AB">
        <w:rPr>
          <w:i/>
        </w:rPr>
        <w:t>in Kraft ab dem Steuerjahr 2017</w:t>
      </w:r>
      <w:r w:rsidR="00D67EB8" w:rsidRPr="009118AB">
        <w:rPr>
          <w:i/>
        </w:rPr>
        <w:t> - </w:t>
      </w:r>
      <w:r w:rsidR="002F5D6E" w:rsidRPr="009118AB">
        <w:rPr>
          <w:i/>
        </w:rPr>
        <w:t xml:space="preserve">und abgeändert durch </w:t>
      </w:r>
      <w:r w:rsidR="00D67EB8" w:rsidRPr="009118AB">
        <w:rPr>
          <w:i/>
        </w:rPr>
        <w:t>Art. </w:t>
      </w:r>
      <w:r w:rsidR="002F5D6E" w:rsidRPr="009118AB">
        <w:rPr>
          <w:i/>
        </w:rPr>
        <w:t xml:space="preserve">20 </w:t>
      </w:r>
      <w:r w:rsidR="00D67EB8" w:rsidRPr="009118AB">
        <w:rPr>
          <w:i/>
        </w:rPr>
        <w:t>Nr. </w:t>
      </w:r>
      <w:r w:rsidR="002F5D6E" w:rsidRPr="009118AB">
        <w:rPr>
          <w:i/>
        </w:rPr>
        <w:t>1</w:t>
      </w:r>
      <w:r w:rsidR="002F5D6E" w:rsidRPr="009118AB">
        <w:rPr>
          <w:i/>
          <w:iCs/>
          <w:spacing w:val="-2"/>
        </w:rPr>
        <w:t xml:space="preserve"> des G. vom 17. März 2019 (III) (B.S. vom 10. Mai 2019)</w:t>
      </w:r>
      <w:r w:rsidR="00D67EB8" w:rsidRPr="009118AB">
        <w:rPr>
          <w:i/>
          <w:iCs/>
          <w:spacing w:val="-2"/>
        </w:rPr>
        <w:t> - </w:t>
      </w:r>
      <w:r w:rsidR="002F5D6E" w:rsidRPr="009118AB">
        <w:rPr>
          <w:i/>
          <w:iCs/>
          <w:spacing w:val="-2"/>
        </w:rPr>
        <w:t>in Kraft am 1. Mai 2019</w:t>
      </w:r>
      <w:r w:rsidR="003366D9" w:rsidRPr="009118AB">
        <w:rPr>
          <w:i/>
          <w:iCs/>
          <w:spacing w:val="-2"/>
        </w:rPr>
        <w:t> -;</w:t>
      </w:r>
      <w:r w:rsidR="007B7AFA" w:rsidRPr="009118AB">
        <w:rPr>
          <w:i/>
        </w:rPr>
        <w:t xml:space="preserve"> </w:t>
      </w:r>
      <w:r w:rsidR="00D67EB8" w:rsidRPr="009118AB">
        <w:rPr>
          <w:i/>
        </w:rPr>
        <w:t>§ </w:t>
      </w:r>
      <w:r w:rsidR="007B7AFA" w:rsidRPr="009118AB">
        <w:rPr>
          <w:i/>
        </w:rPr>
        <w:t xml:space="preserve">1 neuer Absatz 2 eingefügt durch </w:t>
      </w:r>
      <w:r w:rsidR="00D67EB8" w:rsidRPr="009118AB">
        <w:rPr>
          <w:i/>
        </w:rPr>
        <w:t>Art. </w:t>
      </w:r>
      <w:r w:rsidR="007B7AFA" w:rsidRPr="009118AB">
        <w:rPr>
          <w:i/>
        </w:rPr>
        <w:t xml:space="preserve">38 </w:t>
      </w:r>
      <w:r w:rsidR="00D67EB8" w:rsidRPr="009118AB">
        <w:rPr>
          <w:i/>
        </w:rPr>
        <w:t>Nr. </w:t>
      </w:r>
      <w:r w:rsidR="007B7AFA" w:rsidRPr="009118AB">
        <w:rPr>
          <w:i/>
        </w:rPr>
        <w:t>4 des G. vom 18. Dezember 2016</w:t>
      </w:r>
      <w:r w:rsidR="004E359B" w:rsidRPr="009118AB">
        <w:rPr>
          <w:i/>
        </w:rPr>
        <w:t> (I)</w:t>
      </w:r>
      <w:r w:rsidR="007B7AFA" w:rsidRPr="009118AB">
        <w:rPr>
          <w:i/>
        </w:rPr>
        <w:t xml:space="preserve"> (B.S. vom 20. Dezember 2016)</w:t>
      </w:r>
      <w:r w:rsidR="00D67EB8" w:rsidRPr="009118AB">
        <w:rPr>
          <w:i/>
        </w:rPr>
        <w:t> - </w:t>
      </w:r>
      <w:r w:rsidR="007B7AFA" w:rsidRPr="009118AB">
        <w:rPr>
          <w:i/>
        </w:rPr>
        <w:t>in Kraft ab dem Steuerjahr 2017</w:t>
      </w:r>
      <w:r w:rsidR="00D67EB8" w:rsidRPr="009118AB">
        <w:rPr>
          <w:i/>
        </w:rPr>
        <w:t> - </w:t>
      </w:r>
      <w:r w:rsidR="003D0BB2" w:rsidRPr="009118AB">
        <w:rPr>
          <w:i/>
        </w:rPr>
        <w:t xml:space="preserve">und ersetzt durch </w:t>
      </w:r>
      <w:r w:rsidR="00D67EB8" w:rsidRPr="009118AB">
        <w:rPr>
          <w:i/>
        </w:rPr>
        <w:t>Art. </w:t>
      </w:r>
      <w:r w:rsidR="003D0BB2" w:rsidRPr="009118AB">
        <w:rPr>
          <w:i/>
        </w:rPr>
        <w:t>26</w:t>
      </w:r>
      <w:r w:rsidR="003D0BB2" w:rsidRPr="009118AB">
        <w:rPr>
          <w:i/>
          <w:iCs/>
        </w:rPr>
        <w:t xml:space="preserve"> Buchstabe b) des G. vom 23. Februar 2022 (B.S. vom 4. April 2022)</w:t>
      </w:r>
      <w:r w:rsidR="00D67EB8" w:rsidRPr="009118AB">
        <w:rPr>
          <w:i/>
          <w:iCs/>
        </w:rPr>
        <w:t> - </w:t>
      </w:r>
      <w:r w:rsidR="003D0BB2" w:rsidRPr="009118AB">
        <w:rPr>
          <w:i/>
          <w:iCs/>
        </w:rPr>
        <w:t>in Kraft am 4. April 2022</w:t>
      </w:r>
      <w:r w:rsidR="003366D9" w:rsidRPr="009118AB">
        <w:rPr>
          <w:i/>
          <w:iCs/>
        </w:rPr>
        <w:t> -;</w:t>
      </w:r>
      <w:r w:rsidR="007B7AFA" w:rsidRPr="009118AB">
        <w:rPr>
          <w:i/>
        </w:rPr>
        <w:t xml:space="preserve"> </w:t>
      </w:r>
      <w:r w:rsidR="00D67EB8" w:rsidRPr="009118AB">
        <w:rPr>
          <w:i/>
        </w:rPr>
        <w:t>§ </w:t>
      </w:r>
      <w:r w:rsidR="007B7AFA" w:rsidRPr="009118AB">
        <w:rPr>
          <w:i/>
        </w:rPr>
        <w:t xml:space="preserve">1 </w:t>
      </w:r>
      <w:r w:rsidR="00D67EB8" w:rsidRPr="009118AB">
        <w:rPr>
          <w:i/>
        </w:rPr>
        <w:t>Abs. </w:t>
      </w:r>
      <w:r w:rsidR="007B7AFA" w:rsidRPr="009118AB">
        <w:rPr>
          <w:i/>
        </w:rPr>
        <w:t xml:space="preserve">4 abgeändert durch </w:t>
      </w:r>
      <w:r w:rsidR="00D67EB8" w:rsidRPr="009118AB">
        <w:rPr>
          <w:i/>
        </w:rPr>
        <w:t>Art. </w:t>
      </w:r>
      <w:r w:rsidR="007B7AFA" w:rsidRPr="009118AB">
        <w:rPr>
          <w:i/>
        </w:rPr>
        <w:t xml:space="preserve">38 </w:t>
      </w:r>
      <w:r w:rsidR="00D67EB8" w:rsidRPr="009118AB">
        <w:rPr>
          <w:i/>
        </w:rPr>
        <w:t>Nr. </w:t>
      </w:r>
      <w:r w:rsidR="007B7AFA" w:rsidRPr="009118AB">
        <w:rPr>
          <w:i/>
        </w:rPr>
        <w:t>5 des G. vom 18. Dezember 2016</w:t>
      </w:r>
      <w:r w:rsidR="004E359B" w:rsidRPr="009118AB">
        <w:rPr>
          <w:i/>
        </w:rPr>
        <w:t> (I)</w:t>
      </w:r>
      <w:r w:rsidR="007B7AFA" w:rsidRPr="009118AB">
        <w:rPr>
          <w:i/>
        </w:rPr>
        <w:t xml:space="preserve"> (B.S. vom 20. Dezember 2016)</w:t>
      </w:r>
      <w:r w:rsidR="00D67EB8" w:rsidRPr="009118AB">
        <w:rPr>
          <w:i/>
        </w:rPr>
        <w:t> - </w:t>
      </w:r>
      <w:r w:rsidR="007B7AFA" w:rsidRPr="009118AB">
        <w:rPr>
          <w:i/>
        </w:rPr>
        <w:t>in Kraft ab dem Steuerjahr 2017</w:t>
      </w:r>
      <w:r w:rsidR="003366D9" w:rsidRPr="009118AB">
        <w:rPr>
          <w:i/>
        </w:rPr>
        <w:t> -;</w:t>
      </w:r>
      <w:r w:rsidR="007B7AFA" w:rsidRPr="009118AB">
        <w:rPr>
          <w:i/>
        </w:rPr>
        <w:t xml:space="preserve"> </w:t>
      </w:r>
      <w:r w:rsidR="00D67EB8" w:rsidRPr="009118AB">
        <w:rPr>
          <w:i/>
        </w:rPr>
        <w:t>§ </w:t>
      </w:r>
      <w:r w:rsidR="007B7AFA" w:rsidRPr="009118AB">
        <w:rPr>
          <w:i/>
        </w:rPr>
        <w:t xml:space="preserve">2 </w:t>
      </w:r>
      <w:r w:rsidR="00D67EB8" w:rsidRPr="009118AB">
        <w:rPr>
          <w:i/>
        </w:rPr>
        <w:t>Abs. </w:t>
      </w:r>
      <w:r w:rsidR="007B7AFA" w:rsidRPr="009118AB">
        <w:rPr>
          <w:i/>
        </w:rPr>
        <w:t xml:space="preserve">1 ersetzt durch </w:t>
      </w:r>
      <w:r w:rsidR="00D67EB8" w:rsidRPr="009118AB">
        <w:rPr>
          <w:i/>
        </w:rPr>
        <w:t>Art. </w:t>
      </w:r>
      <w:r w:rsidR="007B7AFA" w:rsidRPr="009118AB">
        <w:rPr>
          <w:i/>
        </w:rPr>
        <w:t xml:space="preserve">38 </w:t>
      </w:r>
      <w:r w:rsidR="00D67EB8" w:rsidRPr="009118AB">
        <w:rPr>
          <w:i/>
        </w:rPr>
        <w:t>Nr. </w:t>
      </w:r>
      <w:r w:rsidR="007B7AFA" w:rsidRPr="009118AB">
        <w:rPr>
          <w:i/>
        </w:rPr>
        <w:t>6 des G. vom 18. Dezember 2016</w:t>
      </w:r>
      <w:r w:rsidR="004E359B" w:rsidRPr="009118AB">
        <w:rPr>
          <w:i/>
        </w:rPr>
        <w:t> (I)</w:t>
      </w:r>
      <w:r w:rsidR="007B7AFA" w:rsidRPr="009118AB">
        <w:rPr>
          <w:i/>
        </w:rPr>
        <w:t xml:space="preserve"> (B.S. vom 20. Dezember 2016)</w:t>
      </w:r>
      <w:r w:rsidR="00D67EB8" w:rsidRPr="009118AB">
        <w:rPr>
          <w:i/>
        </w:rPr>
        <w:t> - </w:t>
      </w:r>
      <w:r w:rsidR="007B7AFA" w:rsidRPr="009118AB">
        <w:rPr>
          <w:i/>
        </w:rPr>
        <w:t>in Kraft ab dem Steuerjahr 2017</w:t>
      </w:r>
      <w:r w:rsidR="003366D9" w:rsidRPr="009118AB">
        <w:rPr>
          <w:i/>
        </w:rPr>
        <w:t> -;</w:t>
      </w:r>
      <w:r w:rsidR="007B7AFA" w:rsidRPr="009118AB">
        <w:rPr>
          <w:i/>
        </w:rPr>
        <w:t xml:space="preserve"> </w:t>
      </w:r>
      <w:r w:rsidR="00D67EB8" w:rsidRPr="009118AB">
        <w:rPr>
          <w:i/>
        </w:rPr>
        <w:t>§ </w:t>
      </w:r>
      <w:r w:rsidR="007B7AFA" w:rsidRPr="009118AB">
        <w:rPr>
          <w:i/>
        </w:rPr>
        <w:t xml:space="preserve">2 </w:t>
      </w:r>
      <w:r w:rsidR="00D67EB8" w:rsidRPr="009118AB">
        <w:rPr>
          <w:i/>
        </w:rPr>
        <w:t>Abs. </w:t>
      </w:r>
      <w:r w:rsidR="007B7AFA" w:rsidRPr="009118AB">
        <w:rPr>
          <w:i/>
        </w:rPr>
        <w:t xml:space="preserve">2 abgeändert durch </w:t>
      </w:r>
      <w:r w:rsidR="00D67EB8" w:rsidRPr="009118AB">
        <w:rPr>
          <w:i/>
        </w:rPr>
        <w:t>Art. </w:t>
      </w:r>
      <w:r w:rsidR="007B7AFA" w:rsidRPr="009118AB">
        <w:rPr>
          <w:i/>
        </w:rPr>
        <w:t xml:space="preserve">38 </w:t>
      </w:r>
      <w:r w:rsidR="00D67EB8" w:rsidRPr="009118AB">
        <w:rPr>
          <w:i/>
        </w:rPr>
        <w:t>Nr. </w:t>
      </w:r>
      <w:r w:rsidR="007B7AFA" w:rsidRPr="009118AB">
        <w:rPr>
          <w:i/>
        </w:rPr>
        <w:t>7 des G. vom 18. Dezember 2016</w:t>
      </w:r>
      <w:r w:rsidR="004E359B" w:rsidRPr="009118AB">
        <w:rPr>
          <w:i/>
        </w:rPr>
        <w:t> (I)</w:t>
      </w:r>
      <w:r w:rsidR="007B7AFA" w:rsidRPr="009118AB">
        <w:rPr>
          <w:i/>
        </w:rPr>
        <w:t xml:space="preserve"> (B.S. vom 20. Dezember 2016)</w:t>
      </w:r>
      <w:r w:rsidR="00D67EB8" w:rsidRPr="009118AB">
        <w:rPr>
          <w:i/>
        </w:rPr>
        <w:t> - </w:t>
      </w:r>
      <w:r w:rsidR="007B7AFA" w:rsidRPr="009118AB">
        <w:rPr>
          <w:i/>
        </w:rPr>
        <w:t xml:space="preserve">in Kraft </w:t>
      </w:r>
      <w:r w:rsidR="007B7AFA" w:rsidRPr="009118AB">
        <w:rPr>
          <w:rFonts w:ascii="Times New Roman Italique" w:hAnsi="Times New Roman Italique"/>
          <w:i/>
          <w:spacing w:val="2"/>
        </w:rPr>
        <w:t>ab dem Steuerjahr 2017</w:t>
      </w:r>
      <w:r w:rsidR="003366D9" w:rsidRPr="009118AB">
        <w:rPr>
          <w:rFonts w:ascii="Times New Roman Italique" w:hAnsi="Times New Roman Italique"/>
          <w:i/>
          <w:spacing w:val="2"/>
        </w:rPr>
        <w:t> -;</w:t>
      </w:r>
      <w:r w:rsidR="007B7AFA"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7B7AFA" w:rsidRPr="009118AB">
        <w:rPr>
          <w:rFonts w:ascii="Times New Roman Italique" w:hAnsi="Times New Roman Italique"/>
          <w:i/>
          <w:spacing w:val="2"/>
        </w:rPr>
        <w:t xml:space="preserve">2 </w:t>
      </w:r>
      <w:r w:rsidR="00D67EB8" w:rsidRPr="009118AB">
        <w:rPr>
          <w:rFonts w:ascii="Times New Roman Italique" w:hAnsi="Times New Roman Italique"/>
          <w:i/>
          <w:spacing w:val="2"/>
        </w:rPr>
        <w:t>Abs. </w:t>
      </w:r>
      <w:r w:rsidR="007B7AFA" w:rsidRPr="009118AB">
        <w:rPr>
          <w:rFonts w:ascii="Times New Roman Italique" w:hAnsi="Times New Roman Italique"/>
          <w:i/>
          <w:spacing w:val="2"/>
        </w:rPr>
        <w:t xml:space="preserve">3 einleitende Bestimmung ersetzt durch </w:t>
      </w:r>
      <w:r w:rsidR="00D67EB8" w:rsidRPr="009118AB">
        <w:rPr>
          <w:rFonts w:ascii="Times New Roman Italique" w:hAnsi="Times New Roman Italique"/>
          <w:i/>
          <w:spacing w:val="2"/>
        </w:rPr>
        <w:t>Art. </w:t>
      </w:r>
      <w:r w:rsidR="007B7AFA" w:rsidRPr="009118AB">
        <w:rPr>
          <w:rFonts w:ascii="Times New Roman Italique" w:hAnsi="Times New Roman Italique"/>
          <w:i/>
          <w:spacing w:val="2"/>
        </w:rPr>
        <w:t xml:space="preserve">38 </w:t>
      </w:r>
      <w:r w:rsidR="00D67EB8" w:rsidRPr="009118AB">
        <w:rPr>
          <w:rFonts w:ascii="Times New Roman Italique" w:hAnsi="Times New Roman Italique"/>
          <w:i/>
          <w:spacing w:val="2"/>
        </w:rPr>
        <w:t>Nr. </w:t>
      </w:r>
      <w:r w:rsidR="007B7AFA" w:rsidRPr="009118AB">
        <w:rPr>
          <w:rFonts w:ascii="Times New Roman Italique" w:hAnsi="Times New Roman Italique"/>
          <w:i/>
          <w:spacing w:val="2"/>
        </w:rPr>
        <w:t>8 des G. vom 18. Dezember 2016</w:t>
      </w:r>
      <w:r w:rsidR="004E359B" w:rsidRPr="009118AB">
        <w:rPr>
          <w:rFonts w:ascii="Times New Roman Italique" w:hAnsi="Times New Roman Italique"/>
          <w:i/>
          <w:spacing w:val="2"/>
        </w:rPr>
        <w:t> (I)</w:t>
      </w:r>
      <w:r w:rsidR="007B7AFA" w:rsidRPr="009118AB">
        <w:rPr>
          <w:rFonts w:ascii="Times New Roman Italique" w:hAnsi="Times New Roman Italique"/>
          <w:i/>
          <w:spacing w:val="2"/>
        </w:rPr>
        <w:t xml:space="preserve"> (B.S. vom 20. Dezember 2016)</w:t>
      </w:r>
      <w:r w:rsidR="00D67EB8" w:rsidRPr="009118AB">
        <w:rPr>
          <w:rFonts w:ascii="Times New Roman Italique" w:hAnsi="Times New Roman Italique"/>
          <w:i/>
          <w:spacing w:val="2"/>
        </w:rPr>
        <w:t> - </w:t>
      </w:r>
      <w:r w:rsidR="007B7AFA" w:rsidRPr="009118AB">
        <w:rPr>
          <w:rFonts w:ascii="Times New Roman Italique" w:hAnsi="Times New Roman Italique"/>
          <w:i/>
          <w:spacing w:val="2"/>
        </w:rPr>
        <w:t>in Kraft ab dem Steuerjahr 2017</w:t>
      </w:r>
      <w:r w:rsidR="003366D9" w:rsidRPr="009118AB">
        <w:rPr>
          <w:rFonts w:ascii="Times New Roman Italique" w:hAnsi="Times New Roman Italique"/>
          <w:i/>
          <w:spacing w:val="2"/>
        </w:rPr>
        <w:t> -;</w:t>
      </w:r>
      <w:r w:rsidR="007B7AFA"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7B7AFA" w:rsidRPr="009118AB">
        <w:rPr>
          <w:i/>
        </w:rPr>
        <w:t xml:space="preserve">2 </w:t>
      </w:r>
      <w:r w:rsidR="00D67EB8" w:rsidRPr="009118AB">
        <w:rPr>
          <w:i/>
        </w:rPr>
        <w:t>Abs. </w:t>
      </w:r>
      <w:r w:rsidR="007B7AFA" w:rsidRPr="009118AB">
        <w:rPr>
          <w:i/>
        </w:rPr>
        <w:t xml:space="preserve">3 </w:t>
      </w:r>
      <w:r w:rsidR="00D67EB8" w:rsidRPr="009118AB">
        <w:rPr>
          <w:i/>
        </w:rPr>
        <w:t>Nr. </w:t>
      </w:r>
      <w:r w:rsidR="007B7AFA" w:rsidRPr="009118AB">
        <w:rPr>
          <w:i/>
        </w:rPr>
        <w:t xml:space="preserve">1 abgeändert durch </w:t>
      </w:r>
      <w:r w:rsidR="00D67EB8" w:rsidRPr="009118AB">
        <w:rPr>
          <w:i/>
        </w:rPr>
        <w:t>Art. </w:t>
      </w:r>
      <w:r w:rsidR="007B7AFA" w:rsidRPr="009118AB">
        <w:rPr>
          <w:i/>
        </w:rPr>
        <w:t xml:space="preserve">38 </w:t>
      </w:r>
      <w:r w:rsidR="00D67EB8" w:rsidRPr="009118AB">
        <w:rPr>
          <w:i/>
        </w:rPr>
        <w:t>Nr. </w:t>
      </w:r>
      <w:r w:rsidR="007B7AFA" w:rsidRPr="009118AB">
        <w:rPr>
          <w:i/>
        </w:rPr>
        <w:t xml:space="preserve">9 des G. vom </w:t>
      </w:r>
      <w:r w:rsidR="007B7AFA" w:rsidRPr="009118AB">
        <w:rPr>
          <w:rFonts w:ascii="Times New Roman Italique" w:hAnsi="Times New Roman Italique"/>
          <w:i/>
          <w:spacing w:val="2"/>
        </w:rPr>
        <w:t>18. Dezember 2016</w:t>
      </w:r>
      <w:r w:rsidR="004E359B" w:rsidRPr="009118AB">
        <w:rPr>
          <w:rFonts w:ascii="Times New Roman Italique" w:hAnsi="Times New Roman Italique"/>
          <w:i/>
          <w:spacing w:val="2"/>
        </w:rPr>
        <w:t> (I)</w:t>
      </w:r>
      <w:r w:rsidR="007B7AFA" w:rsidRPr="009118AB">
        <w:rPr>
          <w:rFonts w:ascii="Times New Roman Italique" w:hAnsi="Times New Roman Italique"/>
          <w:i/>
          <w:spacing w:val="2"/>
        </w:rPr>
        <w:t xml:space="preserve"> (B.S. vom 20. Dezember 2016)</w:t>
      </w:r>
      <w:r w:rsidR="00D67EB8" w:rsidRPr="009118AB">
        <w:rPr>
          <w:rFonts w:ascii="Times New Roman Italique" w:hAnsi="Times New Roman Italique"/>
          <w:i/>
          <w:spacing w:val="2"/>
        </w:rPr>
        <w:t> - </w:t>
      </w:r>
      <w:r w:rsidR="007B7AFA" w:rsidRPr="009118AB">
        <w:rPr>
          <w:rFonts w:ascii="Times New Roman Italique" w:hAnsi="Times New Roman Italique"/>
          <w:i/>
          <w:spacing w:val="2"/>
        </w:rPr>
        <w:t>in Kraft ab dem Steuerjahr 2017</w:t>
      </w:r>
      <w:r w:rsidR="00FD68E8" w:rsidRPr="009118AB">
        <w:rPr>
          <w:rFonts w:ascii="Times New Roman Italique" w:hAnsi="Times New Roman Italique"/>
          <w:i/>
          <w:spacing w:val="2"/>
        </w:rPr>
        <w:t> -</w:t>
      </w:r>
      <w:r w:rsidR="007C3858" w:rsidRPr="009118AB">
        <w:rPr>
          <w:rFonts w:ascii="Times New Roman Italique" w:hAnsi="Times New Roman Italique"/>
          <w:i/>
          <w:spacing w:val="2"/>
        </w:rPr>
        <w:t xml:space="preserve"> und</w:t>
      </w:r>
      <w:r w:rsidR="002F5D6E" w:rsidRPr="009118AB">
        <w:rPr>
          <w:rFonts w:ascii="Times New Roman Italique" w:hAnsi="Times New Roman Italique"/>
          <w:i/>
          <w:spacing w:val="2"/>
        </w:rPr>
        <w:t xml:space="preserve"> </w:t>
      </w:r>
      <w:r w:rsidR="00D67EB8" w:rsidRPr="009118AB">
        <w:rPr>
          <w:rFonts w:ascii="Times New Roman Italique" w:hAnsi="Times New Roman Italique"/>
          <w:i/>
          <w:spacing w:val="2"/>
        </w:rPr>
        <w:t>Art. </w:t>
      </w:r>
      <w:r w:rsidR="002F5D6E" w:rsidRPr="009118AB">
        <w:rPr>
          <w:rFonts w:ascii="Times New Roman Italique" w:hAnsi="Times New Roman Italique"/>
          <w:i/>
          <w:spacing w:val="2"/>
        </w:rPr>
        <w:t xml:space="preserve">20 </w:t>
      </w:r>
      <w:r w:rsidR="00D67EB8" w:rsidRPr="009118AB">
        <w:rPr>
          <w:rFonts w:ascii="Times New Roman Italique" w:hAnsi="Times New Roman Italique"/>
          <w:i/>
          <w:spacing w:val="2"/>
        </w:rPr>
        <w:t>Nr. </w:t>
      </w:r>
      <w:r w:rsidR="002F5D6E" w:rsidRPr="009118AB">
        <w:rPr>
          <w:rFonts w:ascii="Times New Roman Italique" w:hAnsi="Times New Roman Italique"/>
          <w:i/>
          <w:spacing w:val="2"/>
        </w:rPr>
        <w:t>2</w:t>
      </w:r>
      <w:r w:rsidR="002F5D6E" w:rsidRPr="009118AB">
        <w:rPr>
          <w:rFonts w:ascii="Times New Roman Italique" w:hAnsi="Times New Roman Italique"/>
          <w:i/>
          <w:iCs/>
          <w:spacing w:val="2"/>
        </w:rPr>
        <w:t xml:space="preserve"> des G. vom 17. März 2019 (III) (B.S. vom 10. Mai 2019)</w:t>
      </w:r>
      <w:r w:rsidR="00D67EB8" w:rsidRPr="009118AB">
        <w:rPr>
          <w:rFonts w:ascii="Times New Roman Italique" w:hAnsi="Times New Roman Italique"/>
          <w:i/>
          <w:iCs/>
          <w:spacing w:val="2"/>
        </w:rPr>
        <w:t> - </w:t>
      </w:r>
      <w:r w:rsidR="002F5D6E" w:rsidRPr="009118AB">
        <w:rPr>
          <w:rFonts w:ascii="Times New Roman Italique" w:hAnsi="Times New Roman Italique"/>
          <w:i/>
          <w:iCs/>
          <w:spacing w:val="2"/>
        </w:rPr>
        <w:t>in Kraft am 1. Mai 2019</w:t>
      </w:r>
      <w:r w:rsidR="003366D9" w:rsidRPr="009118AB">
        <w:rPr>
          <w:rFonts w:ascii="Times New Roman Italique" w:hAnsi="Times New Roman Italique"/>
          <w:i/>
          <w:iCs/>
          <w:spacing w:val="2"/>
        </w:rPr>
        <w:t> -;</w:t>
      </w:r>
      <w:r w:rsidR="007B7AFA"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7B7AFA" w:rsidRPr="009118AB">
        <w:rPr>
          <w:i/>
        </w:rPr>
        <w:t xml:space="preserve">2 neuer Absatz 4 eingefügt durch </w:t>
      </w:r>
      <w:r w:rsidR="00D67EB8" w:rsidRPr="009118AB">
        <w:rPr>
          <w:i/>
        </w:rPr>
        <w:t>Art. </w:t>
      </w:r>
      <w:r w:rsidR="007B7AFA" w:rsidRPr="009118AB">
        <w:rPr>
          <w:i/>
        </w:rPr>
        <w:t xml:space="preserve">38 </w:t>
      </w:r>
      <w:r w:rsidR="00D67EB8" w:rsidRPr="009118AB">
        <w:rPr>
          <w:i/>
        </w:rPr>
        <w:t>Nr. </w:t>
      </w:r>
      <w:r w:rsidR="007B7AFA" w:rsidRPr="009118AB">
        <w:rPr>
          <w:i/>
        </w:rPr>
        <w:t>10 des G. vom 18. Dezember 2016</w:t>
      </w:r>
      <w:r w:rsidR="004E359B" w:rsidRPr="009118AB">
        <w:rPr>
          <w:i/>
        </w:rPr>
        <w:t> (I)</w:t>
      </w:r>
      <w:r w:rsidR="007B7AFA" w:rsidRPr="009118AB">
        <w:rPr>
          <w:i/>
        </w:rPr>
        <w:t xml:space="preserve"> (B.S. vom 20. Dezember 2016)</w:t>
      </w:r>
      <w:r w:rsidR="00D67EB8" w:rsidRPr="009118AB">
        <w:rPr>
          <w:i/>
        </w:rPr>
        <w:t> - </w:t>
      </w:r>
      <w:r w:rsidR="007B7AFA" w:rsidRPr="009118AB">
        <w:rPr>
          <w:i/>
        </w:rPr>
        <w:t>in Kraft ab dem Steuerjahr 2017</w:t>
      </w:r>
      <w:r w:rsidR="003366D9" w:rsidRPr="009118AB">
        <w:rPr>
          <w:i/>
        </w:rPr>
        <w:t> -;</w:t>
      </w:r>
      <w:r w:rsidR="007B7AFA" w:rsidRPr="009118AB">
        <w:rPr>
          <w:i/>
        </w:rPr>
        <w:t xml:space="preserve"> </w:t>
      </w:r>
      <w:r w:rsidR="00D67EB8" w:rsidRPr="009118AB">
        <w:rPr>
          <w:i/>
        </w:rPr>
        <w:t>§ </w:t>
      </w:r>
      <w:r w:rsidR="007B7AFA" w:rsidRPr="009118AB">
        <w:rPr>
          <w:i/>
        </w:rPr>
        <w:t xml:space="preserve">2 </w:t>
      </w:r>
      <w:r w:rsidR="00D67EB8" w:rsidRPr="009118AB">
        <w:rPr>
          <w:i/>
        </w:rPr>
        <w:t>Abs. </w:t>
      </w:r>
      <w:r w:rsidR="007B7AFA" w:rsidRPr="009118AB">
        <w:rPr>
          <w:i/>
        </w:rPr>
        <w:t xml:space="preserve">5 ersetzt durch </w:t>
      </w:r>
      <w:r w:rsidR="00D67EB8" w:rsidRPr="009118AB">
        <w:rPr>
          <w:i/>
        </w:rPr>
        <w:t>Art. </w:t>
      </w:r>
      <w:r w:rsidR="007B7AFA" w:rsidRPr="009118AB">
        <w:rPr>
          <w:i/>
        </w:rPr>
        <w:t xml:space="preserve">38 </w:t>
      </w:r>
      <w:r w:rsidR="00D67EB8" w:rsidRPr="009118AB">
        <w:rPr>
          <w:i/>
        </w:rPr>
        <w:t>Nr. </w:t>
      </w:r>
      <w:r w:rsidR="007B7AFA" w:rsidRPr="009118AB">
        <w:rPr>
          <w:i/>
        </w:rPr>
        <w:t>1</w:t>
      </w:r>
      <w:r w:rsidR="00285E7D" w:rsidRPr="009118AB">
        <w:rPr>
          <w:i/>
        </w:rPr>
        <w:t>1</w:t>
      </w:r>
      <w:r w:rsidR="007B7AFA" w:rsidRPr="009118AB">
        <w:rPr>
          <w:i/>
        </w:rPr>
        <w:t xml:space="preserve"> des G. vom 18. Dezember 2016</w:t>
      </w:r>
      <w:r w:rsidR="004E359B" w:rsidRPr="009118AB">
        <w:rPr>
          <w:i/>
        </w:rPr>
        <w:t> (I)</w:t>
      </w:r>
      <w:r w:rsidR="007B7AFA" w:rsidRPr="009118AB">
        <w:rPr>
          <w:i/>
        </w:rPr>
        <w:t xml:space="preserve"> (B.S. vom 20. Dezember 2016)</w:t>
      </w:r>
      <w:r w:rsidR="00D67EB8" w:rsidRPr="009118AB">
        <w:rPr>
          <w:i/>
        </w:rPr>
        <w:t> - </w:t>
      </w:r>
      <w:r w:rsidR="007B7AFA" w:rsidRPr="009118AB">
        <w:rPr>
          <w:i/>
        </w:rPr>
        <w:t>in Kraft ab dem Steuerjahr 2017</w:t>
      </w:r>
      <w:r w:rsidR="003366D9" w:rsidRPr="009118AB">
        <w:rPr>
          <w:i/>
        </w:rPr>
        <w:t> -;</w:t>
      </w:r>
      <w:r w:rsidR="00285E7D" w:rsidRPr="009118AB">
        <w:rPr>
          <w:i/>
        </w:rPr>
        <w:t xml:space="preserve"> </w:t>
      </w:r>
      <w:r w:rsidR="00D67EB8" w:rsidRPr="009118AB">
        <w:rPr>
          <w:i/>
        </w:rPr>
        <w:t>§ </w:t>
      </w:r>
      <w:r w:rsidR="00285E7D" w:rsidRPr="009118AB">
        <w:rPr>
          <w:i/>
        </w:rPr>
        <w:t xml:space="preserve">2 </w:t>
      </w:r>
      <w:r w:rsidR="00D67EB8" w:rsidRPr="009118AB">
        <w:rPr>
          <w:i/>
        </w:rPr>
        <w:t>Abs. </w:t>
      </w:r>
      <w:r w:rsidR="00285E7D" w:rsidRPr="009118AB">
        <w:rPr>
          <w:i/>
        </w:rPr>
        <w:t xml:space="preserve">6 eingefügt durch </w:t>
      </w:r>
      <w:r w:rsidR="00D67EB8" w:rsidRPr="009118AB">
        <w:rPr>
          <w:rFonts w:ascii="Times New Roman Italique" w:hAnsi="Times New Roman Italique"/>
          <w:i/>
          <w:spacing w:val="2"/>
        </w:rPr>
        <w:t>Art. </w:t>
      </w:r>
      <w:r w:rsidR="00285E7D" w:rsidRPr="009118AB">
        <w:rPr>
          <w:rFonts w:ascii="Times New Roman Italique" w:hAnsi="Times New Roman Italique"/>
          <w:i/>
          <w:spacing w:val="2"/>
        </w:rPr>
        <w:t xml:space="preserve">38 </w:t>
      </w:r>
      <w:r w:rsidR="00D67EB8" w:rsidRPr="009118AB">
        <w:rPr>
          <w:rFonts w:ascii="Times New Roman Italique" w:hAnsi="Times New Roman Italique"/>
          <w:i/>
          <w:spacing w:val="2"/>
        </w:rPr>
        <w:t>Nr. </w:t>
      </w:r>
      <w:r w:rsidR="00285E7D" w:rsidRPr="009118AB">
        <w:rPr>
          <w:rFonts w:ascii="Times New Roman Italique" w:hAnsi="Times New Roman Italique"/>
          <w:i/>
          <w:spacing w:val="2"/>
        </w:rPr>
        <w:t>12 des G. vom 18. Dezember 2016</w:t>
      </w:r>
      <w:r w:rsidR="004E359B" w:rsidRPr="009118AB">
        <w:rPr>
          <w:i/>
        </w:rPr>
        <w:t> (I)</w:t>
      </w:r>
      <w:r w:rsidR="00285E7D" w:rsidRPr="009118AB">
        <w:rPr>
          <w:rFonts w:ascii="Times New Roman Italique" w:hAnsi="Times New Roman Italique"/>
          <w:i/>
          <w:spacing w:val="2"/>
        </w:rPr>
        <w:t xml:space="preserve"> (B.S. vom 20. Dezember 2016)</w:t>
      </w:r>
      <w:r w:rsidR="00D67EB8" w:rsidRPr="009118AB">
        <w:rPr>
          <w:rFonts w:ascii="Times New Roman Italique" w:hAnsi="Times New Roman Italique"/>
          <w:i/>
          <w:spacing w:val="2"/>
        </w:rPr>
        <w:t> - </w:t>
      </w:r>
      <w:r w:rsidR="00285E7D" w:rsidRPr="009118AB">
        <w:rPr>
          <w:rFonts w:ascii="Times New Roman Italique" w:hAnsi="Times New Roman Italique"/>
          <w:i/>
          <w:spacing w:val="2"/>
        </w:rPr>
        <w:t>in Kraft ab dem Steuerjahr 2017</w:t>
      </w:r>
      <w:r w:rsidR="003366D9" w:rsidRPr="009118AB">
        <w:rPr>
          <w:rFonts w:ascii="Times New Roman Italique" w:hAnsi="Times New Roman Italique"/>
          <w:i/>
          <w:spacing w:val="2"/>
        </w:rPr>
        <w:t> </w:t>
      </w:r>
      <w:r w:rsidR="003366D9" w:rsidRPr="009118AB">
        <w:rPr>
          <w:rFonts w:ascii="Times New Roman Italique" w:hAnsi="Times New Roman Italique" w:hint="eastAsia"/>
          <w:i/>
          <w:spacing w:val="2"/>
        </w:rPr>
        <w:t>-;</w:t>
      </w:r>
      <w:r w:rsidR="00285E7D" w:rsidRPr="009118AB">
        <w:rPr>
          <w:rFonts w:ascii="Times New Roman Italique" w:hAnsi="Times New Roman Italique"/>
          <w:i/>
          <w:spacing w:val="2"/>
        </w:rPr>
        <w:t xml:space="preserve"> </w:t>
      </w:r>
      <w:r w:rsidR="00D67EB8" w:rsidRPr="009118AB">
        <w:rPr>
          <w:i/>
        </w:rPr>
        <w:t>§ </w:t>
      </w:r>
      <w:r w:rsidR="00383595" w:rsidRPr="009118AB">
        <w:rPr>
          <w:i/>
        </w:rPr>
        <w:t xml:space="preserve">2 </w:t>
      </w:r>
      <w:r w:rsidR="00D67EB8" w:rsidRPr="009118AB">
        <w:rPr>
          <w:i/>
        </w:rPr>
        <w:t>Abs. </w:t>
      </w:r>
      <w:r w:rsidR="00383595" w:rsidRPr="009118AB">
        <w:rPr>
          <w:i/>
        </w:rPr>
        <w:t xml:space="preserve">7 eingefügt durch </w:t>
      </w:r>
      <w:r w:rsidR="00D67EB8" w:rsidRPr="009118AB">
        <w:rPr>
          <w:rFonts w:ascii="Times New Roman Italique" w:hAnsi="Times New Roman Italique"/>
          <w:i/>
          <w:spacing w:val="2"/>
        </w:rPr>
        <w:t>Art. </w:t>
      </w:r>
      <w:r w:rsidR="00383595" w:rsidRPr="009118AB">
        <w:rPr>
          <w:rFonts w:ascii="Times New Roman Italique" w:hAnsi="Times New Roman Italique"/>
          <w:i/>
          <w:spacing w:val="2"/>
        </w:rPr>
        <w:t xml:space="preserve">38 </w:t>
      </w:r>
      <w:r w:rsidR="00D67EB8" w:rsidRPr="009118AB">
        <w:rPr>
          <w:rFonts w:ascii="Times New Roman Italique" w:hAnsi="Times New Roman Italique"/>
          <w:i/>
          <w:spacing w:val="2"/>
        </w:rPr>
        <w:t>Nr. </w:t>
      </w:r>
      <w:r w:rsidR="00383595" w:rsidRPr="009118AB">
        <w:rPr>
          <w:rFonts w:ascii="Times New Roman Italique" w:hAnsi="Times New Roman Italique"/>
          <w:i/>
          <w:spacing w:val="2"/>
        </w:rPr>
        <w:t>12 des G. vom 18. Dezember 2016</w:t>
      </w:r>
      <w:r w:rsidR="00383595" w:rsidRPr="009118AB">
        <w:rPr>
          <w:i/>
        </w:rPr>
        <w:t> (I)</w:t>
      </w:r>
      <w:r w:rsidR="00383595" w:rsidRPr="009118AB">
        <w:rPr>
          <w:rFonts w:ascii="Times New Roman Italique" w:hAnsi="Times New Roman Italique"/>
          <w:i/>
          <w:spacing w:val="2"/>
        </w:rPr>
        <w:t xml:space="preserve"> (B.S. vom 20. Dezember 2016)</w:t>
      </w:r>
      <w:r w:rsidR="00D67EB8" w:rsidRPr="009118AB">
        <w:rPr>
          <w:rFonts w:ascii="Times New Roman Italique" w:hAnsi="Times New Roman Italique"/>
          <w:i/>
          <w:spacing w:val="2"/>
        </w:rPr>
        <w:t> - </w:t>
      </w:r>
      <w:r w:rsidR="00383595" w:rsidRPr="009118AB">
        <w:rPr>
          <w:rFonts w:ascii="Times New Roman Italique" w:hAnsi="Times New Roman Italique"/>
          <w:i/>
          <w:spacing w:val="2"/>
        </w:rPr>
        <w:t>in Kraft ab dem Steuerjahr 2017</w:t>
      </w:r>
      <w:r w:rsidR="00D67EB8" w:rsidRPr="009118AB">
        <w:rPr>
          <w:rFonts w:ascii="Times New Roman Italique" w:hAnsi="Times New Roman Italique"/>
          <w:i/>
          <w:spacing w:val="2"/>
        </w:rPr>
        <w:t> - </w:t>
      </w:r>
      <w:r w:rsidR="00383595" w:rsidRPr="009118AB">
        <w:rPr>
          <w:rFonts w:ascii="Times New Roman Italique" w:hAnsi="Times New Roman Italique"/>
          <w:i/>
          <w:spacing w:val="2"/>
        </w:rPr>
        <w:t xml:space="preserve">und abgeändert durch </w:t>
      </w:r>
      <w:r w:rsidR="00D67EB8" w:rsidRPr="009118AB">
        <w:rPr>
          <w:rFonts w:ascii="Times New Roman Italique" w:hAnsi="Times New Roman Italique"/>
          <w:i/>
          <w:spacing w:val="2"/>
        </w:rPr>
        <w:t>Art. </w:t>
      </w:r>
      <w:r w:rsidR="00383595" w:rsidRPr="009118AB">
        <w:rPr>
          <w:rFonts w:ascii="Times New Roman Italique" w:hAnsi="Times New Roman Italique"/>
          <w:i/>
          <w:spacing w:val="2"/>
        </w:rPr>
        <w:t>2 Buchstabe a) des G. vom 17.</w:t>
      </w:r>
      <w:r w:rsidR="00383595" w:rsidRPr="009118AB">
        <w:rPr>
          <w:rFonts w:ascii="Times New Roman Italique" w:hAnsi="Times New Roman Italique" w:hint="eastAsia"/>
          <w:i/>
          <w:spacing w:val="2"/>
        </w:rPr>
        <w:t> D</w:t>
      </w:r>
      <w:r w:rsidR="00383595" w:rsidRPr="009118AB">
        <w:rPr>
          <w:rFonts w:ascii="Times New Roman Italique" w:hAnsi="Times New Roman Italique"/>
          <w:i/>
          <w:spacing w:val="2"/>
        </w:rPr>
        <w:t>ezember 2017 (B.S. vom 22.</w:t>
      </w:r>
      <w:r w:rsidR="00383595" w:rsidRPr="009118AB">
        <w:rPr>
          <w:rFonts w:ascii="Times New Roman Italique" w:hAnsi="Times New Roman Italique" w:hint="eastAsia"/>
          <w:i/>
          <w:spacing w:val="2"/>
        </w:rPr>
        <w:t> Dezember 2017)</w:t>
      </w:r>
      <w:r w:rsidR="00D67EB8" w:rsidRPr="009118AB">
        <w:rPr>
          <w:rFonts w:ascii="Times New Roman Italique" w:hAnsi="Times New Roman Italique"/>
          <w:i/>
          <w:spacing w:val="2"/>
        </w:rPr>
        <w:t> </w:t>
      </w:r>
      <w:r w:rsidR="00D67EB8" w:rsidRPr="009118AB">
        <w:rPr>
          <w:rFonts w:ascii="Times New Roman Italique" w:hAnsi="Times New Roman Italique" w:hint="eastAsia"/>
          <w:i/>
          <w:spacing w:val="2"/>
        </w:rPr>
        <w:t>-</w:t>
      </w:r>
      <w:r w:rsidR="00D67EB8" w:rsidRPr="009118AB">
        <w:rPr>
          <w:rFonts w:ascii="Times New Roman Italique" w:hAnsi="Times New Roman Italique"/>
          <w:i/>
          <w:spacing w:val="2"/>
        </w:rPr>
        <w:t> </w:t>
      </w:r>
      <w:r w:rsidR="00383595" w:rsidRPr="009118AB">
        <w:rPr>
          <w:rFonts w:ascii="Times New Roman Italique" w:hAnsi="Times New Roman Italique" w:hint="eastAsia"/>
          <w:i/>
          <w:spacing w:val="2"/>
        </w:rPr>
        <w:t>wirksam ab dem Steuerjahr 2017</w:t>
      </w:r>
      <w:r w:rsidR="003366D9" w:rsidRPr="009118AB">
        <w:rPr>
          <w:rFonts w:ascii="Times New Roman Italique" w:hAnsi="Times New Roman Italique"/>
          <w:i/>
          <w:spacing w:val="2"/>
        </w:rPr>
        <w:t> </w:t>
      </w:r>
      <w:r w:rsidR="003366D9" w:rsidRPr="009118AB">
        <w:rPr>
          <w:rFonts w:ascii="Times New Roman Italique" w:hAnsi="Times New Roman Italique" w:hint="eastAsia"/>
          <w:i/>
          <w:spacing w:val="2"/>
        </w:rPr>
        <w:t>-;</w:t>
      </w:r>
      <w:r w:rsidR="00383595" w:rsidRPr="009118AB">
        <w:rPr>
          <w:rFonts w:ascii="Times New Roman Italique" w:hAnsi="Times New Roman Italique"/>
          <w:i/>
          <w:spacing w:val="2"/>
        </w:rPr>
        <w:t xml:space="preserve"> </w:t>
      </w:r>
      <w:r w:rsidR="00D67EB8" w:rsidRPr="009118AB">
        <w:rPr>
          <w:i/>
        </w:rPr>
        <w:t>§ </w:t>
      </w:r>
      <w:r w:rsidR="00383595" w:rsidRPr="009118AB">
        <w:rPr>
          <w:i/>
        </w:rPr>
        <w:t xml:space="preserve">2 </w:t>
      </w:r>
      <w:r w:rsidR="00D67EB8" w:rsidRPr="009118AB">
        <w:rPr>
          <w:i/>
        </w:rPr>
        <w:t>Abs. </w:t>
      </w:r>
      <w:r w:rsidR="00383595" w:rsidRPr="009118AB">
        <w:rPr>
          <w:i/>
        </w:rPr>
        <w:t xml:space="preserve">8 eingefügt durch </w:t>
      </w:r>
      <w:r w:rsidR="00D67EB8" w:rsidRPr="009118AB">
        <w:rPr>
          <w:rFonts w:ascii="Times New Roman Italique" w:hAnsi="Times New Roman Italique"/>
          <w:i/>
          <w:spacing w:val="2"/>
        </w:rPr>
        <w:t>Art. </w:t>
      </w:r>
      <w:r w:rsidR="00383595" w:rsidRPr="009118AB">
        <w:rPr>
          <w:rFonts w:ascii="Times New Roman Italique" w:hAnsi="Times New Roman Italique"/>
          <w:i/>
          <w:spacing w:val="2"/>
        </w:rPr>
        <w:t xml:space="preserve">38 </w:t>
      </w:r>
      <w:r w:rsidR="00D67EB8" w:rsidRPr="009118AB">
        <w:rPr>
          <w:rFonts w:ascii="Times New Roman Italique" w:hAnsi="Times New Roman Italique"/>
          <w:i/>
          <w:spacing w:val="2"/>
        </w:rPr>
        <w:t>Nr. </w:t>
      </w:r>
      <w:r w:rsidR="00383595" w:rsidRPr="009118AB">
        <w:rPr>
          <w:rFonts w:ascii="Times New Roman Italique" w:hAnsi="Times New Roman Italique"/>
          <w:i/>
          <w:spacing w:val="2"/>
        </w:rPr>
        <w:t>12 des G. vom 18. Dezember 2016</w:t>
      </w:r>
      <w:r w:rsidR="00383595" w:rsidRPr="009118AB">
        <w:rPr>
          <w:i/>
        </w:rPr>
        <w:t> (I)</w:t>
      </w:r>
      <w:r w:rsidR="00383595" w:rsidRPr="009118AB">
        <w:rPr>
          <w:rFonts w:ascii="Times New Roman Italique" w:hAnsi="Times New Roman Italique"/>
          <w:i/>
          <w:spacing w:val="2"/>
        </w:rPr>
        <w:t xml:space="preserve"> (B.S. vom 20. Dezember 2016)</w:t>
      </w:r>
      <w:r w:rsidR="00D67EB8" w:rsidRPr="009118AB">
        <w:rPr>
          <w:rFonts w:ascii="Times New Roman Italique" w:hAnsi="Times New Roman Italique"/>
          <w:i/>
          <w:spacing w:val="2"/>
        </w:rPr>
        <w:t> - </w:t>
      </w:r>
      <w:r w:rsidR="00383595" w:rsidRPr="009118AB">
        <w:rPr>
          <w:rFonts w:ascii="Times New Roman Italique" w:hAnsi="Times New Roman Italique"/>
          <w:i/>
          <w:spacing w:val="2"/>
        </w:rPr>
        <w:t>in Kraft ab dem Steuerjahr 2017</w:t>
      </w:r>
      <w:r w:rsidR="00D67EB8" w:rsidRPr="009118AB">
        <w:rPr>
          <w:rFonts w:ascii="Times New Roman Italique" w:hAnsi="Times New Roman Italique"/>
          <w:i/>
          <w:spacing w:val="2"/>
        </w:rPr>
        <w:t> - </w:t>
      </w:r>
      <w:r w:rsidR="00383595" w:rsidRPr="009118AB">
        <w:rPr>
          <w:rFonts w:ascii="Times New Roman Italique" w:hAnsi="Times New Roman Italique"/>
          <w:i/>
          <w:spacing w:val="2"/>
        </w:rPr>
        <w:t xml:space="preserve">und abgeändert durch </w:t>
      </w:r>
      <w:r w:rsidR="00D67EB8" w:rsidRPr="009118AB">
        <w:rPr>
          <w:rFonts w:ascii="Times New Roman Italique" w:hAnsi="Times New Roman Italique"/>
          <w:i/>
          <w:spacing w:val="2"/>
        </w:rPr>
        <w:t>Art. </w:t>
      </w:r>
      <w:r w:rsidR="00383595" w:rsidRPr="009118AB">
        <w:rPr>
          <w:rFonts w:ascii="Times New Roman Italique" w:hAnsi="Times New Roman Italique"/>
          <w:i/>
          <w:spacing w:val="2"/>
        </w:rPr>
        <w:t>2 Buchstabe b) des G. vom 17. Dezember 2017 (B.S. vom 22. Dezember 2017)</w:t>
      </w:r>
      <w:r w:rsidR="00D67EB8" w:rsidRPr="009118AB">
        <w:rPr>
          <w:rFonts w:ascii="Times New Roman Italique" w:hAnsi="Times New Roman Italique"/>
          <w:i/>
          <w:spacing w:val="2"/>
        </w:rPr>
        <w:t> - </w:t>
      </w:r>
      <w:r w:rsidR="00383595" w:rsidRPr="009118AB">
        <w:rPr>
          <w:rFonts w:ascii="Times New Roman Italique" w:hAnsi="Times New Roman Italique"/>
          <w:i/>
          <w:spacing w:val="2"/>
        </w:rPr>
        <w:t>wirksam ab dem Steuerjahr 2017</w:t>
      </w:r>
      <w:r w:rsidR="003366D9" w:rsidRPr="009118AB">
        <w:rPr>
          <w:rFonts w:ascii="Times New Roman Italique" w:hAnsi="Times New Roman Italique"/>
          <w:i/>
          <w:spacing w:val="2"/>
        </w:rPr>
        <w:t> </w:t>
      </w:r>
      <w:r w:rsidR="003366D9" w:rsidRPr="009118AB">
        <w:rPr>
          <w:rFonts w:ascii="Times New Roman Italique" w:hAnsi="Times New Roman Italique" w:hint="eastAsia"/>
          <w:i/>
          <w:spacing w:val="2"/>
        </w:rPr>
        <w:t>-;</w:t>
      </w:r>
      <w:r w:rsidR="00383595"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A44AD9" w:rsidRPr="009118AB">
        <w:rPr>
          <w:rFonts w:ascii="Times New Roman Italique" w:hAnsi="Times New Roman Italique"/>
          <w:i/>
          <w:spacing w:val="2"/>
        </w:rPr>
        <w:t xml:space="preserve">3 </w:t>
      </w:r>
      <w:r w:rsidR="00D67EB8" w:rsidRPr="009118AB">
        <w:rPr>
          <w:rFonts w:ascii="Times New Roman Italique" w:hAnsi="Times New Roman Italique"/>
          <w:i/>
          <w:spacing w:val="2"/>
        </w:rPr>
        <w:t>Abs. </w:t>
      </w:r>
      <w:r w:rsidR="00A44AD9" w:rsidRPr="009118AB">
        <w:rPr>
          <w:rFonts w:ascii="Times New Roman Italique" w:hAnsi="Times New Roman Italique"/>
          <w:i/>
          <w:spacing w:val="2"/>
        </w:rPr>
        <w:t xml:space="preserve">1 </w:t>
      </w:r>
      <w:r w:rsidR="00D67EB8" w:rsidRPr="009118AB">
        <w:rPr>
          <w:rFonts w:ascii="Times New Roman Italique" w:hAnsi="Times New Roman Italique"/>
          <w:i/>
          <w:spacing w:val="2"/>
        </w:rPr>
        <w:t>Nr. </w:t>
      </w:r>
      <w:r w:rsidR="00A44AD9" w:rsidRPr="009118AB">
        <w:rPr>
          <w:rFonts w:ascii="Times New Roman Italique" w:hAnsi="Times New Roman Italique"/>
          <w:i/>
          <w:spacing w:val="2"/>
        </w:rPr>
        <w:t xml:space="preserve">1 abgeändert durch </w:t>
      </w:r>
      <w:r w:rsidR="00D67EB8" w:rsidRPr="009118AB">
        <w:rPr>
          <w:rFonts w:ascii="Times New Roman Italique" w:hAnsi="Times New Roman Italique"/>
          <w:i/>
          <w:spacing w:val="2"/>
        </w:rPr>
        <w:t>Art. </w:t>
      </w:r>
      <w:r w:rsidR="00A44AD9" w:rsidRPr="009118AB">
        <w:rPr>
          <w:rFonts w:ascii="Times New Roman Italique" w:hAnsi="Times New Roman Italique"/>
          <w:i/>
          <w:spacing w:val="2"/>
        </w:rPr>
        <w:t xml:space="preserve">20 </w:t>
      </w:r>
      <w:r w:rsidR="00D67EB8" w:rsidRPr="009118AB">
        <w:rPr>
          <w:rFonts w:ascii="Times New Roman Italique" w:hAnsi="Times New Roman Italique"/>
          <w:i/>
          <w:spacing w:val="2"/>
        </w:rPr>
        <w:t>Nr. </w:t>
      </w:r>
      <w:r w:rsidR="00A44AD9" w:rsidRPr="009118AB">
        <w:rPr>
          <w:rFonts w:ascii="Times New Roman Italique" w:hAnsi="Times New Roman Italique"/>
          <w:i/>
          <w:spacing w:val="2"/>
        </w:rPr>
        <w:t>3</w:t>
      </w:r>
      <w:r w:rsidR="00A44AD9" w:rsidRPr="009118AB">
        <w:rPr>
          <w:i/>
          <w:iCs/>
          <w:spacing w:val="-2"/>
        </w:rPr>
        <w:t xml:space="preserve"> des G. vom 17. März 2019 (III) (B.S. vom 10. Mai 2019)</w:t>
      </w:r>
      <w:r w:rsidR="00D67EB8" w:rsidRPr="009118AB">
        <w:rPr>
          <w:i/>
          <w:iCs/>
          <w:spacing w:val="-2"/>
        </w:rPr>
        <w:t> - </w:t>
      </w:r>
      <w:r w:rsidR="00A44AD9" w:rsidRPr="009118AB">
        <w:rPr>
          <w:i/>
          <w:iCs/>
          <w:spacing w:val="-2"/>
        </w:rPr>
        <w:t>in Kraft am 1. Mai 2019</w:t>
      </w:r>
      <w:r w:rsidR="003366D9" w:rsidRPr="009118AB">
        <w:rPr>
          <w:i/>
          <w:iCs/>
          <w:spacing w:val="-2"/>
        </w:rPr>
        <w:t> -;</w:t>
      </w:r>
      <w:r w:rsidR="00A44AD9"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Pr="009118AB">
        <w:rPr>
          <w:rFonts w:ascii="Times New Roman Italique" w:hAnsi="Times New Roman Italique"/>
          <w:i/>
          <w:spacing w:val="2"/>
        </w:rPr>
        <w:t xml:space="preserve">3 </w:t>
      </w:r>
      <w:r w:rsidR="00D67EB8" w:rsidRPr="009118AB">
        <w:rPr>
          <w:rFonts w:ascii="Times New Roman Italique" w:hAnsi="Times New Roman Italique"/>
          <w:i/>
          <w:spacing w:val="2"/>
        </w:rPr>
        <w:t>Abs. </w:t>
      </w:r>
      <w:r w:rsidRPr="009118AB">
        <w:rPr>
          <w:rFonts w:ascii="Times New Roman Italique" w:hAnsi="Times New Roman Italique"/>
          <w:i/>
          <w:spacing w:val="2"/>
        </w:rPr>
        <w:t xml:space="preserve">1 </w:t>
      </w:r>
      <w:r w:rsidR="00D67EB8" w:rsidRPr="009118AB">
        <w:rPr>
          <w:rFonts w:ascii="Times New Roman Italique" w:hAnsi="Times New Roman Italique"/>
          <w:i/>
          <w:spacing w:val="2"/>
        </w:rPr>
        <w:t>Nr. </w:t>
      </w:r>
      <w:r w:rsidRPr="009118AB">
        <w:rPr>
          <w:rFonts w:ascii="Times New Roman Italique" w:hAnsi="Times New Roman Italique"/>
          <w:i/>
          <w:spacing w:val="2"/>
        </w:rPr>
        <w:t xml:space="preserve">3 abgeändert durch </w:t>
      </w:r>
      <w:r w:rsidR="00D67EB8" w:rsidRPr="009118AB">
        <w:rPr>
          <w:rFonts w:ascii="Times New Roman Italique" w:hAnsi="Times New Roman Italique"/>
          <w:i/>
          <w:spacing w:val="2"/>
        </w:rPr>
        <w:t>Art. </w:t>
      </w:r>
      <w:r w:rsidRPr="009118AB">
        <w:rPr>
          <w:rFonts w:ascii="Times New Roman Italique" w:hAnsi="Times New Roman Italique"/>
          <w:i/>
          <w:spacing w:val="2"/>
        </w:rPr>
        <w:t xml:space="preserve">47 </w:t>
      </w:r>
      <w:r w:rsidR="00D67EB8" w:rsidRPr="009118AB">
        <w:rPr>
          <w:rFonts w:ascii="Times New Roman Italique" w:hAnsi="Times New Roman Italique"/>
          <w:i/>
          <w:spacing w:val="2"/>
        </w:rPr>
        <w:t>Nr. </w:t>
      </w:r>
      <w:r w:rsidRPr="009118AB">
        <w:rPr>
          <w:rFonts w:ascii="Times New Roman Italique" w:hAnsi="Times New Roman Italique"/>
          <w:i/>
          <w:spacing w:val="2"/>
        </w:rPr>
        <w:t>1 des G. vom 18. Dezember 2015</w:t>
      </w:r>
      <w:r w:rsidR="007D0EAE" w:rsidRPr="009118AB">
        <w:rPr>
          <w:rFonts w:ascii="Times New Roman Italique" w:hAnsi="Times New Roman Italique"/>
          <w:i/>
          <w:spacing w:val="2"/>
        </w:rPr>
        <w:t> (I)</w:t>
      </w:r>
      <w:r w:rsidRPr="009118AB">
        <w:rPr>
          <w:rFonts w:ascii="Times New Roman Italique" w:hAnsi="Times New Roman Italique"/>
          <w:i/>
          <w:spacing w:val="2"/>
        </w:rPr>
        <w:t xml:space="preserve"> (B.S. vom 30. Dezember 2015, Err. vom </w:t>
      </w:r>
      <w:r w:rsidR="005D63E5" w:rsidRPr="009118AB">
        <w:rPr>
          <w:rFonts w:ascii="Times New Roman Italique" w:hAnsi="Times New Roman Italique"/>
          <w:i/>
          <w:spacing w:val="2"/>
        </w:rPr>
        <w:t>13. Januar 2016)</w:t>
      </w:r>
      <w:r w:rsidR="00D67EB8" w:rsidRPr="009118AB">
        <w:rPr>
          <w:rFonts w:ascii="Times New Roman Italique" w:hAnsi="Times New Roman Italique"/>
          <w:i/>
          <w:spacing w:val="2"/>
        </w:rPr>
        <w:t> - </w:t>
      </w:r>
      <w:r w:rsidR="00A44AD9" w:rsidRPr="009118AB">
        <w:rPr>
          <w:rFonts w:ascii="Times New Roman Italique" w:hAnsi="Times New Roman Italique"/>
          <w:i/>
          <w:spacing w:val="2"/>
        </w:rPr>
        <w:t>a</w:t>
      </w:r>
      <w:r w:rsidR="00B52789" w:rsidRPr="009118AB">
        <w:rPr>
          <w:rFonts w:ascii="Times New Roman Italique" w:hAnsi="Times New Roman Italique"/>
          <w:i/>
          <w:spacing w:val="2"/>
        </w:rPr>
        <w:t>nwendbar auf Aktien oder Anteile, die Gesellschaften im Laufe eines Besteuerungszeitraums ausgeben, der ab dem 1. Januar 2016 beginnt</w:t>
      </w:r>
      <w:r w:rsidR="00D67EB8" w:rsidRPr="009118AB">
        <w:rPr>
          <w:rFonts w:ascii="Times New Roman Italique" w:hAnsi="Times New Roman Italique"/>
          <w:i/>
          <w:spacing w:val="2"/>
        </w:rPr>
        <w:t> -</w:t>
      </w:r>
      <w:r w:rsidR="007C3858" w:rsidRPr="009118AB">
        <w:rPr>
          <w:rFonts w:ascii="Times New Roman Italique" w:hAnsi="Times New Roman Italique"/>
          <w:i/>
          <w:spacing w:val="2"/>
        </w:rPr>
        <w:t>,</w:t>
      </w:r>
      <w:r w:rsidR="00A44AD9" w:rsidRPr="009118AB">
        <w:rPr>
          <w:rFonts w:ascii="Times New Roman Italique" w:hAnsi="Times New Roman Italique"/>
          <w:i/>
          <w:spacing w:val="2"/>
        </w:rPr>
        <w:t xml:space="preserve"> </w:t>
      </w:r>
      <w:r w:rsidR="00D67EB8" w:rsidRPr="009118AB">
        <w:rPr>
          <w:rFonts w:ascii="Times New Roman Italique" w:hAnsi="Times New Roman Italique"/>
          <w:i/>
          <w:spacing w:val="2"/>
        </w:rPr>
        <w:t>Art. </w:t>
      </w:r>
      <w:r w:rsidR="00A44AD9" w:rsidRPr="009118AB">
        <w:rPr>
          <w:rFonts w:ascii="Times New Roman Italique" w:hAnsi="Times New Roman Italique"/>
          <w:i/>
          <w:spacing w:val="2"/>
        </w:rPr>
        <w:t xml:space="preserve">20 </w:t>
      </w:r>
      <w:r w:rsidR="00D67EB8" w:rsidRPr="009118AB">
        <w:rPr>
          <w:rFonts w:ascii="Times New Roman Italique" w:hAnsi="Times New Roman Italique"/>
          <w:i/>
          <w:spacing w:val="2"/>
        </w:rPr>
        <w:t>Nr. </w:t>
      </w:r>
      <w:r w:rsidR="00A44AD9" w:rsidRPr="009118AB">
        <w:rPr>
          <w:rFonts w:ascii="Times New Roman Italique" w:hAnsi="Times New Roman Italique"/>
          <w:i/>
          <w:spacing w:val="2"/>
        </w:rPr>
        <w:t>4</w:t>
      </w:r>
      <w:r w:rsidR="00A44AD9" w:rsidRPr="009118AB">
        <w:rPr>
          <w:i/>
          <w:iCs/>
          <w:spacing w:val="-2"/>
        </w:rPr>
        <w:t xml:space="preserve"> des G. vom 17. März 2019 (III) (B.S. vom 10. Mai 2019)</w:t>
      </w:r>
      <w:r w:rsidR="00D67EB8" w:rsidRPr="009118AB">
        <w:rPr>
          <w:i/>
          <w:iCs/>
          <w:spacing w:val="-2"/>
        </w:rPr>
        <w:t> - </w:t>
      </w:r>
      <w:r w:rsidR="00A44AD9" w:rsidRPr="009118AB">
        <w:rPr>
          <w:i/>
          <w:iCs/>
          <w:spacing w:val="-2"/>
        </w:rPr>
        <w:t>in Kraft am 1. Mai 2019</w:t>
      </w:r>
      <w:r w:rsidR="003366D9" w:rsidRPr="009118AB">
        <w:rPr>
          <w:i/>
          <w:iCs/>
          <w:spacing w:val="-2"/>
        </w:rPr>
        <w:t> -</w:t>
      </w:r>
      <w:r w:rsidR="007C3858" w:rsidRPr="009118AB">
        <w:rPr>
          <w:rFonts w:ascii="Times New Roman Italique" w:hAnsi="Times New Roman Italique"/>
          <w:i/>
          <w:iCs/>
          <w:spacing w:val="2"/>
        </w:rPr>
        <w:t xml:space="preserve"> und Art.</w:t>
      </w:r>
      <w:r w:rsidR="007C3858" w:rsidRPr="009118AB">
        <w:rPr>
          <w:rFonts w:ascii="Times New Roman Italique" w:hAnsi="Times New Roman Italique" w:hint="eastAsia"/>
          <w:i/>
          <w:iCs/>
          <w:spacing w:val="2"/>
        </w:rPr>
        <w:t> </w:t>
      </w:r>
      <w:r w:rsidR="007C3858" w:rsidRPr="009118AB">
        <w:rPr>
          <w:rFonts w:ascii="Times New Roman Italique" w:hAnsi="Times New Roman Italique"/>
          <w:i/>
          <w:iCs/>
          <w:spacing w:val="2"/>
        </w:rPr>
        <w:t>11</w:t>
      </w:r>
      <w:r w:rsidR="007C3858" w:rsidRPr="009118AB">
        <w:rPr>
          <w:i/>
          <w:iCs/>
        </w:rPr>
        <w:t xml:space="preserve"> des G. vom 5. Juli 2022 (B.S. vom 15. Juli 2022)</w:t>
      </w:r>
      <w:r w:rsidR="003366D9" w:rsidRPr="009118AB">
        <w:rPr>
          <w:i/>
          <w:iCs/>
          <w:spacing w:val="-2"/>
        </w:rPr>
        <w:t>;</w:t>
      </w:r>
      <w:r w:rsidR="00715690"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157F65" w:rsidRPr="009118AB">
        <w:rPr>
          <w:rFonts w:ascii="Times New Roman Italique" w:hAnsi="Times New Roman Italique"/>
          <w:i/>
          <w:spacing w:val="2"/>
        </w:rPr>
        <w:t xml:space="preserve">3 </w:t>
      </w:r>
      <w:r w:rsidR="00D67EB8" w:rsidRPr="009118AB">
        <w:rPr>
          <w:rFonts w:ascii="Times New Roman Italique" w:hAnsi="Times New Roman Italique"/>
          <w:i/>
          <w:spacing w:val="2"/>
        </w:rPr>
        <w:t>Abs. </w:t>
      </w:r>
      <w:r w:rsidR="00157F65" w:rsidRPr="009118AB">
        <w:rPr>
          <w:rFonts w:ascii="Times New Roman Italique" w:hAnsi="Times New Roman Italique"/>
          <w:i/>
          <w:spacing w:val="2"/>
        </w:rPr>
        <w:t xml:space="preserve">1 </w:t>
      </w:r>
      <w:r w:rsidR="00D67EB8" w:rsidRPr="009118AB">
        <w:rPr>
          <w:rFonts w:ascii="Times New Roman Italique" w:hAnsi="Times New Roman Italique"/>
          <w:i/>
          <w:spacing w:val="2"/>
        </w:rPr>
        <w:t>Nr. </w:t>
      </w:r>
      <w:r w:rsidR="00157F65" w:rsidRPr="009118AB">
        <w:rPr>
          <w:rFonts w:ascii="Times New Roman Italique" w:hAnsi="Times New Roman Italique"/>
          <w:i/>
          <w:spacing w:val="2"/>
        </w:rPr>
        <w:t xml:space="preserve">8 ersetzt durch </w:t>
      </w:r>
      <w:r w:rsidR="00D67EB8" w:rsidRPr="009118AB">
        <w:rPr>
          <w:i/>
          <w:iCs/>
        </w:rPr>
        <w:t>Art. </w:t>
      </w:r>
      <w:r w:rsidR="00157F65" w:rsidRPr="009118AB">
        <w:rPr>
          <w:i/>
          <w:iCs/>
        </w:rPr>
        <w:t xml:space="preserve">28 </w:t>
      </w:r>
      <w:r w:rsidR="00D67EB8" w:rsidRPr="009118AB">
        <w:rPr>
          <w:i/>
          <w:iCs/>
        </w:rPr>
        <w:t>Nr. </w:t>
      </w:r>
      <w:r w:rsidR="0060708F" w:rsidRPr="009118AB">
        <w:rPr>
          <w:i/>
          <w:iCs/>
        </w:rPr>
        <w:t xml:space="preserve">1 </w:t>
      </w:r>
      <w:r w:rsidR="00157F65" w:rsidRPr="009118AB">
        <w:rPr>
          <w:i/>
          <w:iCs/>
        </w:rPr>
        <w:t>des G. vom 26. März 2018 (B.S. vom 30. März 2018)</w:t>
      </w:r>
      <w:r w:rsidR="00D67EB8" w:rsidRPr="009118AB">
        <w:rPr>
          <w:i/>
          <w:iCs/>
        </w:rPr>
        <w:t> - </w:t>
      </w:r>
      <w:r w:rsidR="00157F65" w:rsidRPr="009118AB">
        <w:rPr>
          <w:i/>
          <w:iCs/>
        </w:rPr>
        <w:t>wirksam ab dem Steuerjahr 2019</w:t>
      </w:r>
      <w:r w:rsidR="003366D9" w:rsidRPr="009118AB">
        <w:rPr>
          <w:i/>
          <w:iCs/>
        </w:rPr>
        <w:t> -;</w:t>
      </w:r>
      <w:r w:rsidR="00157F65" w:rsidRPr="009118AB">
        <w:rPr>
          <w:i/>
          <w:iCs/>
        </w:rPr>
        <w:t xml:space="preserve"> </w:t>
      </w:r>
      <w:r w:rsidR="00D67EB8" w:rsidRPr="009118AB">
        <w:rPr>
          <w:rFonts w:ascii="Times New Roman Italique" w:hAnsi="Times New Roman Italique"/>
          <w:i/>
          <w:spacing w:val="2"/>
        </w:rPr>
        <w:t>§ </w:t>
      </w:r>
      <w:r w:rsidR="00285E7D" w:rsidRPr="009118AB">
        <w:rPr>
          <w:rFonts w:ascii="Times New Roman Italique" w:hAnsi="Times New Roman Italique"/>
          <w:i/>
          <w:spacing w:val="2"/>
        </w:rPr>
        <w:t xml:space="preserve">3 </w:t>
      </w:r>
      <w:r w:rsidR="00D67EB8" w:rsidRPr="009118AB">
        <w:rPr>
          <w:rFonts w:ascii="Times New Roman Italique" w:hAnsi="Times New Roman Italique"/>
          <w:i/>
          <w:spacing w:val="2"/>
        </w:rPr>
        <w:t>Abs. </w:t>
      </w:r>
      <w:r w:rsidR="00285E7D" w:rsidRPr="009118AB">
        <w:rPr>
          <w:rFonts w:ascii="Times New Roman Italique" w:hAnsi="Times New Roman Italique"/>
          <w:i/>
          <w:spacing w:val="2"/>
        </w:rPr>
        <w:t xml:space="preserve">1 </w:t>
      </w:r>
      <w:r w:rsidR="00D67EB8" w:rsidRPr="009118AB">
        <w:rPr>
          <w:rFonts w:ascii="Times New Roman Italique" w:hAnsi="Times New Roman Italique"/>
          <w:i/>
          <w:spacing w:val="2"/>
        </w:rPr>
        <w:t>Nr. </w:t>
      </w:r>
      <w:r w:rsidR="00285E7D" w:rsidRPr="009118AB">
        <w:rPr>
          <w:rFonts w:ascii="Times New Roman Italique" w:hAnsi="Times New Roman Italique"/>
          <w:i/>
          <w:spacing w:val="2"/>
        </w:rPr>
        <w:t xml:space="preserve">11 abgeändert durch </w:t>
      </w:r>
      <w:r w:rsidR="00D67EB8" w:rsidRPr="009118AB">
        <w:rPr>
          <w:rFonts w:ascii="Times New Roman Italique" w:hAnsi="Times New Roman Italique"/>
          <w:i/>
          <w:spacing w:val="2"/>
        </w:rPr>
        <w:t>Art. </w:t>
      </w:r>
      <w:r w:rsidR="00285E7D" w:rsidRPr="009118AB">
        <w:rPr>
          <w:rFonts w:ascii="Times New Roman Italique" w:hAnsi="Times New Roman Italique"/>
          <w:i/>
          <w:spacing w:val="2"/>
        </w:rPr>
        <w:t xml:space="preserve">38 </w:t>
      </w:r>
      <w:r w:rsidR="00D67EB8" w:rsidRPr="009118AB">
        <w:rPr>
          <w:rFonts w:ascii="Times New Roman Italique" w:hAnsi="Times New Roman Italique"/>
          <w:i/>
          <w:spacing w:val="2"/>
        </w:rPr>
        <w:t>Nr. </w:t>
      </w:r>
      <w:r w:rsidR="00285E7D" w:rsidRPr="009118AB">
        <w:rPr>
          <w:rFonts w:ascii="Times New Roman Italique" w:hAnsi="Times New Roman Italique"/>
          <w:i/>
          <w:spacing w:val="2"/>
        </w:rPr>
        <w:t>13 des G. vom 18. Dezember 2016</w:t>
      </w:r>
      <w:r w:rsidR="004E359B" w:rsidRPr="009118AB">
        <w:rPr>
          <w:i/>
        </w:rPr>
        <w:t> (I)</w:t>
      </w:r>
      <w:r w:rsidR="00285E7D" w:rsidRPr="009118AB">
        <w:rPr>
          <w:rFonts w:ascii="Times New Roman Italique" w:hAnsi="Times New Roman Italique"/>
          <w:i/>
          <w:spacing w:val="2"/>
        </w:rPr>
        <w:t xml:space="preserve"> (B.S. vom 20. Dezember 2016)</w:t>
      </w:r>
      <w:r w:rsidR="00D67EB8" w:rsidRPr="009118AB">
        <w:rPr>
          <w:rFonts w:ascii="Times New Roman Italique" w:hAnsi="Times New Roman Italique"/>
          <w:i/>
          <w:spacing w:val="2"/>
        </w:rPr>
        <w:t> - </w:t>
      </w:r>
      <w:r w:rsidR="00285E7D" w:rsidRPr="009118AB">
        <w:rPr>
          <w:rFonts w:ascii="Times New Roman Italique" w:hAnsi="Times New Roman Italique"/>
          <w:i/>
          <w:spacing w:val="2"/>
        </w:rPr>
        <w:t>in Kraft ab dem Steuerjahr 2017</w:t>
      </w:r>
      <w:r w:rsidR="00FD68E8" w:rsidRPr="009118AB">
        <w:rPr>
          <w:rFonts w:ascii="Times New Roman Italique" w:hAnsi="Times New Roman Italique"/>
          <w:i/>
          <w:spacing w:val="2"/>
        </w:rPr>
        <w:t> </w:t>
      </w:r>
      <w:r w:rsidR="00FD68E8" w:rsidRPr="009118AB">
        <w:rPr>
          <w:rFonts w:ascii="Times New Roman Italique" w:hAnsi="Times New Roman Italique" w:hint="eastAsia"/>
          <w:i/>
          <w:spacing w:val="2"/>
        </w:rPr>
        <w:t>-,</w:t>
      </w:r>
      <w:r w:rsidR="00117CDF" w:rsidRPr="009118AB">
        <w:rPr>
          <w:rFonts w:ascii="Times New Roman Italique" w:hAnsi="Times New Roman Italique"/>
          <w:i/>
          <w:spacing w:val="2"/>
        </w:rPr>
        <w:t xml:space="preserve"> </w:t>
      </w:r>
      <w:r w:rsidR="00D67EB8" w:rsidRPr="009118AB">
        <w:rPr>
          <w:rFonts w:ascii="Times New Roman Italique" w:hAnsi="Times New Roman Italique"/>
          <w:i/>
          <w:spacing w:val="2"/>
        </w:rPr>
        <w:t>Art. </w:t>
      </w:r>
      <w:r w:rsidR="00117CDF" w:rsidRPr="009118AB">
        <w:rPr>
          <w:rFonts w:ascii="Times New Roman Italique" w:hAnsi="Times New Roman Italique"/>
          <w:i/>
          <w:spacing w:val="2"/>
        </w:rPr>
        <w:t>26</w:t>
      </w:r>
      <w:r w:rsidR="00117CDF" w:rsidRPr="009118AB">
        <w:rPr>
          <w:i/>
        </w:rPr>
        <w:t xml:space="preserve"> des G. vom </w:t>
      </w:r>
      <w:r w:rsidR="00117CDF" w:rsidRPr="00396579">
        <w:rPr>
          <w:rFonts w:ascii="Times New Roman Italique" w:hAnsi="Times New Roman Italique"/>
          <w:i/>
          <w:spacing w:val="-2"/>
        </w:rPr>
        <w:t>27. Dezember 2021 (B.S. vom 31. Dezember 2021)</w:t>
      </w:r>
      <w:r w:rsidR="00D67EB8" w:rsidRPr="00396579">
        <w:rPr>
          <w:rFonts w:ascii="Times New Roman Italique" w:hAnsi="Times New Roman Italique"/>
          <w:i/>
          <w:spacing w:val="-2"/>
        </w:rPr>
        <w:t> - </w:t>
      </w:r>
      <w:r w:rsidR="00117CDF" w:rsidRPr="00396579">
        <w:rPr>
          <w:rFonts w:ascii="Times New Roman Italique" w:hAnsi="Times New Roman Italique"/>
          <w:i/>
          <w:spacing w:val="-2"/>
        </w:rPr>
        <w:t>in Kraft am 31. Dezember 2021 und anwendbar auf Summen, die ab dem 1. Januar 2021 für den Erwerb von Aktien oder Anteilen einer Gesellschaft gezahlt werden</w:t>
      </w:r>
      <w:r w:rsidR="00D67EB8" w:rsidRPr="00396579">
        <w:rPr>
          <w:rFonts w:ascii="Times New Roman Italique" w:hAnsi="Times New Roman Italique"/>
          <w:i/>
          <w:spacing w:val="-2"/>
        </w:rPr>
        <w:t> - </w:t>
      </w:r>
      <w:r w:rsidR="003D0BB2" w:rsidRPr="00396579">
        <w:rPr>
          <w:rFonts w:ascii="Times New Roman Italique" w:hAnsi="Times New Roman Italique"/>
          <w:i/>
          <w:spacing w:val="-2"/>
        </w:rPr>
        <w:t xml:space="preserve">und </w:t>
      </w:r>
      <w:r w:rsidR="00D67EB8" w:rsidRPr="00396579">
        <w:rPr>
          <w:rFonts w:ascii="Times New Roman Italique" w:hAnsi="Times New Roman Italique"/>
          <w:i/>
          <w:spacing w:val="-2"/>
        </w:rPr>
        <w:t>Art. </w:t>
      </w:r>
      <w:r w:rsidR="003D0BB2" w:rsidRPr="00396579">
        <w:rPr>
          <w:rFonts w:ascii="Times New Roman Italique" w:hAnsi="Times New Roman Italique"/>
          <w:i/>
          <w:spacing w:val="-2"/>
        </w:rPr>
        <w:t>26</w:t>
      </w:r>
      <w:r w:rsidR="003D0BB2" w:rsidRPr="00396579">
        <w:rPr>
          <w:rFonts w:ascii="Times New Roman Italique" w:hAnsi="Times New Roman Italique"/>
          <w:i/>
          <w:iCs/>
          <w:spacing w:val="-2"/>
        </w:rPr>
        <w:t xml:space="preserve"> Buchstabe c) des G. vom 23. Februar 2022 (B.S. vom 4. April 2022)</w:t>
      </w:r>
      <w:r w:rsidR="00D67EB8" w:rsidRPr="00396579">
        <w:rPr>
          <w:rFonts w:ascii="Times New Roman Italique" w:hAnsi="Times New Roman Italique"/>
          <w:i/>
          <w:iCs/>
          <w:spacing w:val="-2"/>
        </w:rPr>
        <w:t> - </w:t>
      </w:r>
      <w:r w:rsidR="003D0BB2" w:rsidRPr="00396579">
        <w:rPr>
          <w:rFonts w:ascii="Times New Roman Italique" w:hAnsi="Times New Roman Italique"/>
          <w:i/>
          <w:iCs/>
          <w:spacing w:val="-2"/>
        </w:rPr>
        <w:t>in Kraft am 4. April 2022</w:t>
      </w:r>
      <w:r w:rsidR="003366D9" w:rsidRPr="00396579">
        <w:rPr>
          <w:rFonts w:ascii="Times New Roman Italique" w:hAnsi="Times New Roman Italique"/>
          <w:i/>
          <w:iCs/>
          <w:spacing w:val="-2"/>
        </w:rPr>
        <w:t> -;</w:t>
      </w:r>
      <w:r w:rsidR="00285E7D" w:rsidRPr="00396579">
        <w:rPr>
          <w:rFonts w:ascii="Times New Roman Italique" w:hAnsi="Times New Roman Italique"/>
          <w:i/>
          <w:spacing w:val="-2"/>
        </w:rPr>
        <w:t xml:space="preserve"> </w:t>
      </w:r>
      <w:r w:rsidR="00D67EB8" w:rsidRPr="00396579">
        <w:rPr>
          <w:rFonts w:ascii="Times New Roman Italique" w:hAnsi="Times New Roman Italique"/>
          <w:i/>
          <w:spacing w:val="-2"/>
        </w:rPr>
        <w:t>§ </w:t>
      </w:r>
      <w:r w:rsidR="00285E7D" w:rsidRPr="00396579">
        <w:rPr>
          <w:rFonts w:ascii="Times New Roman Italique" w:hAnsi="Times New Roman Italique"/>
          <w:i/>
          <w:spacing w:val="-2"/>
        </w:rPr>
        <w:t xml:space="preserve">3 </w:t>
      </w:r>
      <w:r w:rsidR="00D67EB8" w:rsidRPr="00396579">
        <w:rPr>
          <w:rFonts w:ascii="Times New Roman Italique" w:hAnsi="Times New Roman Italique"/>
          <w:i/>
          <w:spacing w:val="-2"/>
        </w:rPr>
        <w:t>Abs. </w:t>
      </w:r>
      <w:r w:rsidR="00285E7D" w:rsidRPr="00396579">
        <w:rPr>
          <w:rFonts w:ascii="Times New Roman Italique" w:hAnsi="Times New Roman Italique"/>
          <w:i/>
          <w:spacing w:val="-2"/>
        </w:rPr>
        <w:t xml:space="preserve">3 </w:t>
      </w:r>
      <w:r w:rsidR="00D67EB8" w:rsidRPr="00396579">
        <w:rPr>
          <w:rFonts w:ascii="Times New Roman Italique" w:hAnsi="Times New Roman Italique"/>
          <w:i/>
          <w:spacing w:val="-2"/>
        </w:rPr>
        <w:t>Nr. </w:t>
      </w:r>
      <w:r w:rsidR="00ED6FC9" w:rsidRPr="00396579">
        <w:rPr>
          <w:rFonts w:ascii="Times New Roman Italique" w:hAnsi="Times New Roman Italique"/>
          <w:i/>
          <w:spacing w:val="-2"/>
        </w:rPr>
        <w:t xml:space="preserve">2 ersetzt durch </w:t>
      </w:r>
      <w:r w:rsidR="00D67EB8" w:rsidRPr="00396579">
        <w:rPr>
          <w:rFonts w:ascii="Times New Roman Italique" w:hAnsi="Times New Roman Italique"/>
          <w:i/>
          <w:spacing w:val="-2"/>
        </w:rPr>
        <w:t>Art. </w:t>
      </w:r>
      <w:r w:rsidR="00ED6FC9" w:rsidRPr="00396579">
        <w:rPr>
          <w:rFonts w:ascii="Times New Roman Italique" w:hAnsi="Times New Roman Italique"/>
          <w:i/>
          <w:spacing w:val="-2"/>
        </w:rPr>
        <w:t xml:space="preserve">28 </w:t>
      </w:r>
      <w:r w:rsidR="00D67EB8" w:rsidRPr="00396579">
        <w:rPr>
          <w:rFonts w:ascii="Times New Roman Italique" w:hAnsi="Times New Roman Italique"/>
          <w:i/>
          <w:spacing w:val="-2"/>
        </w:rPr>
        <w:t>Nr. </w:t>
      </w:r>
      <w:r w:rsidR="00ED6FC9" w:rsidRPr="00396579">
        <w:rPr>
          <w:rFonts w:ascii="Times New Roman Italique" w:hAnsi="Times New Roman Italique"/>
          <w:i/>
          <w:spacing w:val="-2"/>
        </w:rPr>
        <w:t xml:space="preserve">2 </w:t>
      </w:r>
      <w:r w:rsidR="00ED6FC9" w:rsidRPr="00396579">
        <w:rPr>
          <w:rFonts w:ascii="Times New Roman Italique" w:hAnsi="Times New Roman Italique"/>
          <w:i/>
          <w:iCs/>
          <w:spacing w:val="-2"/>
        </w:rPr>
        <w:t xml:space="preserve">des </w:t>
      </w:r>
      <w:r w:rsidR="00ED6FC9" w:rsidRPr="00396579">
        <w:rPr>
          <w:rFonts w:ascii="Times New Roman Italique" w:hAnsi="Times New Roman Italique"/>
          <w:i/>
          <w:iCs/>
          <w:spacing w:val="-2"/>
        </w:rPr>
        <w:lastRenderedPageBreak/>
        <w:t>G. vom 26. März 2018 (B.S. vom 30. März 2018)</w:t>
      </w:r>
      <w:r w:rsidR="00D67EB8" w:rsidRPr="00396579">
        <w:rPr>
          <w:rFonts w:ascii="Times New Roman Italique" w:hAnsi="Times New Roman Italique"/>
          <w:i/>
          <w:iCs/>
          <w:spacing w:val="-2"/>
        </w:rPr>
        <w:t> - </w:t>
      </w:r>
      <w:r w:rsidR="00ED6FC9" w:rsidRPr="00396579">
        <w:rPr>
          <w:rFonts w:ascii="Times New Roman Italique" w:hAnsi="Times New Roman Italique"/>
          <w:i/>
          <w:iCs/>
          <w:spacing w:val="-2"/>
        </w:rPr>
        <w:t>wirksam ab dem Steuerjahr 2019</w:t>
      </w:r>
      <w:r w:rsidR="00FD68E8" w:rsidRPr="00396579">
        <w:rPr>
          <w:rFonts w:ascii="Times New Roman Italique" w:hAnsi="Times New Roman Italique"/>
          <w:i/>
          <w:iCs/>
          <w:spacing w:val="-2"/>
        </w:rPr>
        <w:t> -</w:t>
      </w:r>
      <w:r w:rsidR="00396579" w:rsidRPr="00396579">
        <w:rPr>
          <w:rFonts w:ascii="Times New Roman Italique" w:hAnsi="Times New Roman Italique"/>
          <w:i/>
          <w:iCs/>
          <w:spacing w:val="-2"/>
        </w:rPr>
        <w:t>;</w:t>
      </w:r>
      <w:r w:rsidR="002761ED" w:rsidRPr="009118AB">
        <w:rPr>
          <w:i/>
          <w:iCs/>
        </w:rPr>
        <w:t xml:space="preserve"> </w:t>
      </w:r>
      <w:r w:rsidR="00D67EB8" w:rsidRPr="009118AB">
        <w:rPr>
          <w:i/>
          <w:spacing w:val="-2"/>
        </w:rPr>
        <w:t>§ </w:t>
      </w:r>
      <w:r w:rsidR="002761ED" w:rsidRPr="009118AB">
        <w:rPr>
          <w:i/>
          <w:spacing w:val="-2"/>
        </w:rPr>
        <w:t xml:space="preserve">3 </w:t>
      </w:r>
      <w:r w:rsidR="00D67EB8" w:rsidRPr="009118AB">
        <w:rPr>
          <w:i/>
          <w:spacing w:val="-2"/>
        </w:rPr>
        <w:t>Abs. </w:t>
      </w:r>
      <w:r w:rsidR="002761ED" w:rsidRPr="009118AB">
        <w:rPr>
          <w:i/>
          <w:spacing w:val="-2"/>
        </w:rPr>
        <w:t xml:space="preserve">3 </w:t>
      </w:r>
      <w:r w:rsidR="00D67EB8" w:rsidRPr="009118AB">
        <w:rPr>
          <w:i/>
          <w:spacing w:val="-2"/>
        </w:rPr>
        <w:t>Nr. </w:t>
      </w:r>
      <w:r w:rsidR="002761ED" w:rsidRPr="009118AB">
        <w:rPr>
          <w:i/>
          <w:spacing w:val="-2"/>
        </w:rPr>
        <w:t xml:space="preserve">2 einziger Absatz einleitende Bestimmung </w:t>
      </w:r>
      <w:r w:rsidR="003D0BB2" w:rsidRPr="009118AB">
        <w:rPr>
          <w:i/>
          <w:iCs/>
        </w:rPr>
        <w:t xml:space="preserve">abgeändert durch </w:t>
      </w:r>
      <w:r w:rsidR="00D67EB8" w:rsidRPr="009118AB">
        <w:rPr>
          <w:i/>
          <w:iCs/>
        </w:rPr>
        <w:t>Art. </w:t>
      </w:r>
      <w:r w:rsidR="003D0BB2" w:rsidRPr="009118AB">
        <w:rPr>
          <w:i/>
          <w:iCs/>
        </w:rPr>
        <w:t>26 Buchstabe d) des G. vom 23. Februar 2022 (B.S. vom 4. April 2022)</w:t>
      </w:r>
      <w:r w:rsidR="00D67EB8" w:rsidRPr="009118AB">
        <w:rPr>
          <w:i/>
          <w:iCs/>
        </w:rPr>
        <w:t> - </w:t>
      </w:r>
      <w:r w:rsidR="003D0BB2" w:rsidRPr="009118AB">
        <w:rPr>
          <w:i/>
          <w:iCs/>
        </w:rPr>
        <w:t>in Kraft am 4. April 2022</w:t>
      </w:r>
      <w:r w:rsidR="003366D9" w:rsidRPr="009118AB">
        <w:rPr>
          <w:i/>
          <w:iCs/>
        </w:rPr>
        <w:t> -;</w:t>
      </w:r>
      <w:r w:rsidR="00ED6FC9" w:rsidRPr="009118AB">
        <w:rPr>
          <w:i/>
          <w:spacing w:val="-2"/>
        </w:rPr>
        <w:t xml:space="preserve"> </w:t>
      </w:r>
      <w:r w:rsidR="00D67EB8" w:rsidRPr="009118AB">
        <w:rPr>
          <w:i/>
          <w:spacing w:val="-2"/>
        </w:rPr>
        <w:t>§ </w:t>
      </w:r>
      <w:r w:rsidR="00555370" w:rsidRPr="009118AB">
        <w:rPr>
          <w:i/>
          <w:spacing w:val="-2"/>
        </w:rPr>
        <w:t xml:space="preserve">3 </w:t>
      </w:r>
      <w:r w:rsidR="00D67EB8" w:rsidRPr="009118AB">
        <w:rPr>
          <w:i/>
          <w:spacing w:val="-2"/>
        </w:rPr>
        <w:t>Abs. </w:t>
      </w:r>
      <w:r w:rsidR="00555370" w:rsidRPr="009118AB">
        <w:rPr>
          <w:i/>
          <w:spacing w:val="-2"/>
        </w:rPr>
        <w:t xml:space="preserve">3 </w:t>
      </w:r>
      <w:r w:rsidR="00D67EB8" w:rsidRPr="009118AB">
        <w:rPr>
          <w:i/>
          <w:spacing w:val="-2"/>
        </w:rPr>
        <w:t>Nr. </w:t>
      </w:r>
      <w:r w:rsidR="00555370" w:rsidRPr="009118AB">
        <w:rPr>
          <w:i/>
          <w:spacing w:val="-2"/>
        </w:rPr>
        <w:t xml:space="preserve">2 einziger Absatz Buchstabe c) abgeändert durch </w:t>
      </w:r>
      <w:r w:rsidR="00D67EB8" w:rsidRPr="009118AB">
        <w:rPr>
          <w:i/>
          <w:spacing w:val="-2"/>
        </w:rPr>
        <w:t>Art. </w:t>
      </w:r>
      <w:r w:rsidR="00555370" w:rsidRPr="009118AB">
        <w:rPr>
          <w:i/>
          <w:spacing w:val="-2"/>
        </w:rPr>
        <w:t xml:space="preserve">10 </w:t>
      </w:r>
      <w:r w:rsidR="00D67EB8" w:rsidRPr="009118AB">
        <w:rPr>
          <w:i/>
          <w:spacing w:val="-2"/>
        </w:rPr>
        <w:t>Nr. </w:t>
      </w:r>
      <w:r w:rsidR="00555370" w:rsidRPr="009118AB">
        <w:rPr>
          <w:i/>
          <w:spacing w:val="-2"/>
        </w:rPr>
        <w:t xml:space="preserve">1 </w:t>
      </w:r>
      <w:r w:rsidR="00555370" w:rsidRPr="009118AB">
        <w:rPr>
          <w:i/>
          <w:iCs/>
          <w:spacing w:val="2"/>
        </w:rPr>
        <w:t>des G. vom 2</w:t>
      </w:r>
      <w:r w:rsidR="00306781" w:rsidRPr="009118AB">
        <w:rPr>
          <w:i/>
          <w:iCs/>
          <w:spacing w:val="2"/>
        </w:rPr>
        <w:t>8</w:t>
      </w:r>
      <w:r w:rsidR="00555370" w:rsidRPr="009118AB">
        <w:rPr>
          <w:i/>
          <w:iCs/>
          <w:spacing w:val="2"/>
        </w:rPr>
        <w:t xml:space="preserve">. April 2019 (B.S. vom </w:t>
      </w:r>
      <w:r w:rsidR="00306781" w:rsidRPr="009118AB">
        <w:rPr>
          <w:i/>
          <w:iCs/>
          <w:spacing w:val="2"/>
        </w:rPr>
        <w:t>6</w:t>
      </w:r>
      <w:r w:rsidR="00555370" w:rsidRPr="009118AB">
        <w:rPr>
          <w:i/>
          <w:iCs/>
          <w:spacing w:val="2"/>
        </w:rPr>
        <w:t>. Mai 2019)</w:t>
      </w:r>
      <w:r w:rsidR="00D67EB8" w:rsidRPr="009118AB">
        <w:rPr>
          <w:i/>
          <w:iCs/>
          <w:spacing w:val="2"/>
        </w:rPr>
        <w:t> - </w:t>
      </w:r>
      <w:r w:rsidR="00555370" w:rsidRPr="009118AB">
        <w:rPr>
          <w:i/>
          <w:iCs/>
          <w:spacing w:val="2"/>
        </w:rPr>
        <w:t>wirksam ab dem Steuerjahr 2020</w:t>
      </w:r>
      <w:r w:rsidR="003366D9" w:rsidRPr="009118AB">
        <w:rPr>
          <w:i/>
          <w:iCs/>
          <w:spacing w:val="2"/>
        </w:rPr>
        <w:t> -;</w:t>
      </w:r>
      <w:r w:rsidR="00555370" w:rsidRPr="009118AB">
        <w:rPr>
          <w:i/>
          <w:spacing w:val="-2"/>
        </w:rPr>
        <w:t xml:space="preserve"> </w:t>
      </w:r>
      <w:r w:rsidR="00D67EB8" w:rsidRPr="009118AB">
        <w:rPr>
          <w:i/>
          <w:spacing w:val="-2"/>
        </w:rPr>
        <w:t>§ </w:t>
      </w:r>
      <w:r w:rsidR="00555370" w:rsidRPr="009118AB">
        <w:rPr>
          <w:i/>
          <w:spacing w:val="-2"/>
        </w:rPr>
        <w:t xml:space="preserve">3 </w:t>
      </w:r>
      <w:r w:rsidR="00D67EB8" w:rsidRPr="009118AB">
        <w:rPr>
          <w:i/>
          <w:spacing w:val="-2"/>
        </w:rPr>
        <w:t>Abs. </w:t>
      </w:r>
      <w:r w:rsidR="00555370" w:rsidRPr="009118AB">
        <w:rPr>
          <w:i/>
          <w:spacing w:val="-2"/>
        </w:rPr>
        <w:t xml:space="preserve">3 </w:t>
      </w:r>
      <w:r w:rsidR="00D67EB8" w:rsidRPr="009118AB">
        <w:rPr>
          <w:i/>
          <w:spacing w:val="-2"/>
        </w:rPr>
        <w:t>Nr. </w:t>
      </w:r>
      <w:r w:rsidR="00555370" w:rsidRPr="009118AB">
        <w:rPr>
          <w:i/>
          <w:spacing w:val="-2"/>
        </w:rPr>
        <w:t xml:space="preserve">2 einziger Absatz Buchstabe d) abgeändert durch </w:t>
      </w:r>
      <w:r w:rsidR="00D67EB8" w:rsidRPr="009118AB">
        <w:rPr>
          <w:i/>
          <w:spacing w:val="-2"/>
        </w:rPr>
        <w:t>Art. </w:t>
      </w:r>
      <w:r w:rsidR="00555370" w:rsidRPr="009118AB">
        <w:rPr>
          <w:i/>
          <w:spacing w:val="-2"/>
        </w:rPr>
        <w:t xml:space="preserve">10 </w:t>
      </w:r>
      <w:r w:rsidR="00D67EB8" w:rsidRPr="009118AB">
        <w:rPr>
          <w:i/>
          <w:spacing w:val="-2"/>
        </w:rPr>
        <w:t>Nr. </w:t>
      </w:r>
      <w:r w:rsidR="00555370" w:rsidRPr="009118AB">
        <w:rPr>
          <w:i/>
          <w:spacing w:val="-2"/>
        </w:rPr>
        <w:t xml:space="preserve">2 </w:t>
      </w:r>
      <w:r w:rsidR="00555370" w:rsidRPr="009118AB">
        <w:rPr>
          <w:i/>
          <w:iCs/>
          <w:spacing w:val="2"/>
        </w:rPr>
        <w:t>des G. vom 2</w:t>
      </w:r>
      <w:r w:rsidR="00306781" w:rsidRPr="009118AB">
        <w:rPr>
          <w:i/>
          <w:iCs/>
          <w:spacing w:val="2"/>
        </w:rPr>
        <w:t>8</w:t>
      </w:r>
      <w:r w:rsidR="00555370" w:rsidRPr="009118AB">
        <w:rPr>
          <w:i/>
          <w:iCs/>
          <w:spacing w:val="2"/>
        </w:rPr>
        <w:t xml:space="preserve">. April 2019 (B.S. vom </w:t>
      </w:r>
      <w:r w:rsidR="00306781" w:rsidRPr="009118AB">
        <w:rPr>
          <w:i/>
          <w:iCs/>
          <w:spacing w:val="2"/>
        </w:rPr>
        <w:t>6</w:t>
      </w:r>
      <w:r w:rsidR="00555370" w:rsidRPr="009118AB">
        <w:rPr>
          <w:i/>
          <w:iCs/>
          <w:spacing w:val="2"/>
        </w:rPr>
        <w:t>. Mai 2019)</w:t>
      </w:r>
      <w:r w:rsidR="00D67EB8" w:rsidRPr="009118AB">
        <w:rPr>
          <w:i/>
          <w:iCs/>
          <w:spacing w:val="2"/>
        </w:rPr>
        <w:t> - </w:t>
      </w:r>
      <w:r w:rsidR="00555370" w:rsidRPr="009118AB">
        <w:rPr>
          <w:i/>
          <w:iCs/>
          <w:spacing w:val="2"/>
        </w:rPr>
        <w:t>wirksam ab dem Steuerjahr 2020</w:t>
      </w:r>
      <w:r w:rsidR="003366D9" w:rsidRPr="009118AB">
        <w:rPr>
          <w:i/>
          <w:iCs/>
          <w:spacing w:val="2"/>
        </w:rPr>
        <w:t> -;</w:t>
      </w:r>
      <w:r w:rsidR="00555370" w:rsidRPr="009118AB">
        <w:rPr>
          <w:i/>
          <w:iCs/>
          <w:spacing w:val="2"/>
        </w:rPr>
        <w:t xml:space="preserve"> </w:t>
      </w:r>
      <w:r w:rsidR="00D67EB8" w:rsidRPr="009118AB">
        <w:rPr>
          <w:i/>
          <w:spacing w:val="-2"/>
        </w:rPr>
        <w:t>§ </w:t>
      </w:r>
      <w:r w:rsidR="00285E7D" w:rsidRPr="009118AB">
        <w:rPr>
          <w:i/>
          <w:spacing w:val="-2"/>
        </w:rPr>
        <w:t xml:space="preserve">3 </w:t>
      </w:r>
      <w:r w:rsidR="00D67EB8" w:rsidRPr="009118AB">
        <w:rPr>
          <w:i/>
          <w:spacing w:val="-2"/>
        </w:rPr>
        <w:t>Abs. </w:t>
      </w:r>
      <w:r w:rsidR="00285E7D" w:rsidRPr="009118AB">
        <w:rPr>
          <w:i/>
          <w:spacing w:val="-2"/>
        </w:rPr>
        <w:t xml:space="preserve">3 </w:t>
      </w:r>
      <w:r w:rsidR="00D67EB8" w:rsidRPr="009118AB">
        <w:rPr>
          <w:i/>
          <w:spacing w:val="-2"/>
        </w:rPr>
        <w:t>Nr. </w:t>
      </w:r>
      <w:r w:rsidR="00285E7D" w:rsidRPr="009118AB">
        <w:rPr>
          <w:i/>
          <w:spacing w:val="-2"/>
        </w:rPr>
        <w:t xml:space="preserve">3 abgeändert durch </w:t>
      </w:r>
      <w:r w:rsidR="00D67EB8" w:rsidRPr="009118AB">
        <w:rPr>
          <w:i/>
          <w:spacing w:val="-2"/>
        </w:rPr>
        <w:t>Art. </w:t>
      </w:r>
      <w:r w:rsidR="00285E7D" w:rsidRPr="009118AB">
        <w:rPr>
          <w:i/>
          <w:spacing w:val="-2"/>
        </w:rPr>
        <w:t xml:space="preserve">38 </w:t>
      </w:r>
      <w:r w:rsidR="00D67EB8" w:rsidRPr="009118AB">
        <w:rPr>
          <w:i/>
          <w:spacing w:val="-2"/>
        </w:rPr>
        <w:t>Nr. </w:t>
      </w:r>
      <w:r w:rsidR="00285E7D" w:rsidRPr="009118AB">
        <w:rPr>
          <w:i/>
          <w:spacing w:val="-2"/>
        </w:rPr>
        <w:t>16 des G. vom 18. Dezember 2016</w:t>
      </w:r>
      <w:r w:rsidR="004E359B" w:rsidRPr="009118AB">
        <w:rPr>
          <w:i/>
          <w:spacing w:val="-2"/>
        </w:rPr>
        <w:t> (I)</w:t>
      </w:r>
      <w:r w:rsidR="00285E7D" w:rsidRPr="009118AB">
        <w:rPr>
          <w:i/>
          <w:spacing w:val="-2"/>
        </w:rPr>
        <w:t xml:space="preserve"> (B.S. vom 20. Dezember 2016)</w:t>
      </w:r>
      <w:r w:rsidR="00D67EB8" w:rsidRPr="009118AB">
        <w:rPr>
          <w:i/>
          <w:spacing w:val="-2"/>
        </w:rPr>
        <w:t> - </w:t>
      </w:r>
      <w:r w:rsidR="00285E7D" w:rsidRPr="009118AB">
        <w:rPr>
          <w:i/>
          <w:spacing w:val="-2"/>
        </w:rPr>
        <w:t>in Kraft ab dem Steuerjahr 2017</w:t>
      </w:r>
      <w:r w:rsidR="00FD68E8" w:rsidRPr="009118AB">
        <w:rPr>
          <w:i/>
          <w:spacing w:val="-2"/>
        </w:rPr>
        <w:t> -,</w:t>
      </w:r>
      <w:r w:rsidR="00A44AD9" w:rsidRPr="009118AB">
        <w:rPr>
          <w:i/>
          <w:spacing w:val="-2"/>
        </w:rPr>
        <w:t xml:space="preserve"> </w:t>
      </w:r>
      <w:r w:rsidR="00D67EB8" w:rsidRPr="009118AB">
        <w:rPr>
          <w:i/>
          <w:spacing w:val="-2"/>
        </w:rPr>
        <w:t>Art. </w:t>
      </w:r>
      <w:r w:rsidR="00383595" w:rsidRPr="009118AB">
        <w:rPr>
          <w:rFonts w:ascii="Times New Roman Italique" w:hAnsi="Times New Roman Italique"/>
          <w:i/>
          <w:spacing w:val="-2"/>
        </w:rPr>
        <w:t>2 Buchstabe d) des G. vom 17. Dezember 2017 (B.S. vom 22. Dezember 2017)</w:t>
      </w:r>
      <w:r w:rsidR="00D67EB8" w:rsidRPr="009118AB">
        <w:rPr>
          <w:rFonts w:ascii="Times New Roman Italique" w:hAnsi="Times New Roman Italique"/>
          <w:i/>
          <w:spacing w:val="-2"/>
        </w:rPr>
        <w:t> - </w:t>
      </w:r>
      <w:r w:rsidR="00383595" w:rsidRPr="009118AB">
        <w:rPr>
          <w:rFonts w:ascii="Times New Roman Italique" w:hAnsi="Times New Roman Italique"/>
          <w:i/>
          <w:spacing w:val="-2"/>
        </w:rPr>
        <w:t>wirksam ab dem Steuerjahr 2017</w:t>
      </w:r>
      <w:r w:rsidR="00FD68E8" w:rsidRPr="009118AB">
        <w:rPr>
          <w:rFonts w:ascii="Times New Roman Italique" w:hAnsi="Times New Roman Italique"/>
          <w:i/>
          <w:spacing w:val="-2"/>
        </w:rPr>
        <w:t> -,</w:t>
      </w:r>
      <w:r w:rsidR="00A44AD9" w:rsidRPr="009118AB">
        <w:rPr>
          <w:rFonts w:ascii="Times New Roman Italique" w:hAnsi="Times New Roman Italique"/>
          <w:i/>
          <w:spacing w:val="-2"/>
        </w:rPr>
        <w:t xml:space="preserve"> </w:t>
      </w:r>
      <w:r w:rsidR="00D67EB8" w:rsidRPr="009118AB">
        <w:rPr>
          <w:rFonts w:ascii="Times New Roman Italique" w:hAnsi="Times New Roman Italique"/>
          <w:i/>
        </w:rPr>
        <w:t>Art. </w:t>
      </w:r>
      <w:r w:rsidR="00A44AD9" w:rsidRPr="009118AB">
        <w:rPr>
          <w:rFonts w:ascii="Times New Roman Italique" w:hAnsi="Times New Roman Italique"/>
          <w:i/>
        </w:rPr>
        <w:t xml:space="preserve">20 </w:t>
      </w:r>
      <w:r w:rsidR="00D67EB8" w:rsidRPr="009118AB">
        <w:rPr>
          <w:rFonts w:ascii="Times New Roman Italique" w:hAnsi="Times New Roman Italique"/>
          <w:i/>
        </w:rPr>
        <w:t>Nr. </w:t>
      </w:r>
      <w:r w:rsidR="00A44AD9" w:rsidRPr="009118AB">
        <w:rPr>
          <w:rFonts w:ascii="Times New Roman Italique" w:hAnsi="Times New Roman Italique"/>
          <w:i/>
        </w:rPr>
        <w:t>5</w:t>
      </w:r>
      <w:r w:rsidR="00A44AD9" w:rsidRPr="009118AB">
        <w:rPr>
          <w:i/>
          <w:iCs/>
        </w:rPr>
        <w:t xml:space="preserve"> des G. vom 17. März 2019 (III) (B.S. vom 10. Mai 2019)</w:t>
      </w:r>
      <w:r w:rsidR="00D67EB8" w:rsidRPr="009118AB">
        <w:rPr>
          <w:i/>
          <w:iCs/>
        </w:rPr>
        <w:t> - </w:t>
      </w:r>
      <w:r w:rsidR="00A44AD9" w:rsidRPr="009118AB">
        <w:rPr>
          <w:i/>
          <w:iCs/>
        </w:rPr>
        <w:t>in Kraft am 1. Mai 2019</w:t>
      </w:r>
      <w:r w:rsidR="00D67EB8" w:rsidRPr="009118AB">
        <w:rPr>
          <w:i/>
          <w:iCs/>
        </w:rPr>
        <w:t> - </w:t>
      </w:r>
      <w:r w:rsidR="003D0BB2" w:rsidRPr="009118AB">
        <w:rPr>
          <w:i/>
          <w:iCs/>
        </w:rPr>
        <w:t xml:space="preserve">und </w:t>
      </w:r>
      <w:r w:rsidR="00D67EB8" w:rsidRPr="009118AB">
        <w:rPr>
          <w:i/>
          <w:iCs/>
        </w:rPr>
        <w:t>Art. </w:t>
      </w:r>
      <w:r w:rsidR="003D0BB2" w:rsidRPr="009118AB">
        <w:rPr>
          <w:i/>
          <w:iCs/>
        </w:rPr>
        <w:t>26 Buchstabe e) des G. vom 23. Februar 2022 (B.S. vom 4. April 2022)</w:t>
      </w:r>
      <w:r w:rsidR="00D67EB8" w:rsidRPr="009118AB">
        <w:rPr>
          <w:i/>
          <w:iCs/>
        </w:rPr>
        <w:t> - </w:t>
      </w:r>
      <w:r w:rsidR="003D0BB2" w:rsidRPr="009118AB">
        <w:rPr>
          <w:i/>
          <w:iCs/>
        </w:rPr>
        <w:t>in Kraft am 4. April 2022</w:t>
      </w:r>
      <w:r w:rsidR="003366D9" w:rsidRPr="009118AB">
        <w:rPr>
          <w:i/>
          <w:iCs/>
        </w:rPr>
        <w:t> -;</w:t>
      </w:r>
      <w:r w:rsidR="00285E7D" w:rsidRPr="009118AB">
        <w:rPr>
          <w:i/>
          <w:spacing w:val="-2"/>
        </w:rPr>
        <w:t xml:space="preserve"> </w:t>
      </w:r>
      <w:r w:rsidR="00D67EB8" w:rsidRPr="009118AB">
        <w:rPr>
          <w:i/>
          <w:spacing w:val="-2"/>
        </w:rPr>
        <w:t>§ </w:t>
      </w:r>
      <w:r w:rsidR="00285E7D" w:rsidRPr="009118AB">
        <w:rPr>
          <w:i/>
          <w:spacing w:val="-2"/>
        </w:rPr>
        <w:t xml:space="preserve">3 </w:t>
      </w:r>
      <w:r w:rsidR="00D67EB8" w:rsidRPr="009118AB">
        <w:rPr>
          <w:i/>
          <w:spacing w:val="-2"/>
        </w:rPr>
        <w:t>Abs. </w:t>
      </w:r>
      <w:r w:rsidR="00285E7D" w:rsidRPr="009118AB">
        <w:rPr>
          <w:i/>
        </w:rPr>
        <w:t xml:space="preserve">3 </w:t>
      </w:r>
      <w:r w:rsidR="00D67EB8" w:rsidRPr="009118AB">
        <w:rPr>
          <w:i/>
        </w:rPr>
        <w:t>Nr. </w:t>
      </w:r>
      <w:r w:rsidR="00285E7D" w:rsidRPr="009118AB">
        <w:rPr>
          <w:i/>
        </w:rPr>
        <w:t xml:space="preserve">4 eingefügt durch </w:t>
      </w:r>
      <w:r w:rsidR="00D67EB8" w:rsidRPr="009118AB">
        <w:rPr>
          <w:i/>
        </w:rPr>
        <w:t>Art. </w:t>
      </w:r>
      <w:r w:rsidR="00285E7D" w:rsidRPr="009118AB">
        <w:rPr>
          <w:i/>
        </w:rPr>
        <w:t xml:space="preserve">38 </w:t>
      </w:r>
      <w:r w:rsidR="00D67EB8" w:rsidRPr="009118AB">
        <w:rPr>
          <w:i/>
        </w:rPr>
        <w:t>Nr. </w:t>
      </w:r>
      <w:r w:rsidR="00285E7D" w:rsidRPr="009118AB">
        <w:rPr>
          <w:i/>
        </w:rPr>
        <w:t>17 des G. vom 18. Dezember 2016</w:t>
      </w:r>
      <w:r w:rsidR="004E359B" w:rsidRPr="009118AB">
        <w:rPr>
          <w:i/>
        </w:rPr>
        <w:t> (I)</w:t>
      </w:r>
      <w:r w:rsidR="00285E7D" w:rsidRPr="009118AB">
        <w:rPr>
          <w:i/>
        </w:rPr>
        <w:t xml:space="preserve"> (B.S. vom 20. Dezember 2016)</w:t>
      </w:r>
      <w:r w:rsidR="00D67EB8" w:rsidRPr="009118AB">
        <w:rPr>
          <w:i/>
        </w:rPr>
        <w:t> - </w:t>
      </w:r>
      <w:r w:rsidR="00285E7D" w:rsidRPr="009118AB">
        <w:rPr>
          <w:i/>
        </w:rPr>
        <w:t>in Kraft ab dem Steuerjahr 2017</w:t>
      </w:r>
      <w:r w:rsidR="00D67EB8" w:rsidRPr="009118AB">
        <w:rPr>
          <w:i/>
        </w:rPr>
        <w:t> - </w:t>
      </w:r>
      <w:r w:rsidR="00697516" w:rsidRPr="009118AB">
        <w:rPr>
          <w:i/>
        </w:rPr>
        <w:t xml:space="preserve">und abgeändert durch </w:t>
      </w:r>
      <w:r w:rsidR="00D67EB8" w:rsidRPr="009118AB">
        <w:rPr>
          <w:i/>
        </w:rPr>
        <w:t>Art. </w:t>
      </w:r>
      <w:r w:rsidR="00697516" w:rsidRPr="009118AB">
        <w:rPr>
          <w:rFonts w:ascii="Times New Roman Italique" w:hAnsi="Times New Roman Italique"/>
          <w:i/>
          <w:spacing w:val="2"/>
        </w:rPr>
        <w:t>2 Buchstabe e) des G. vom 17. Dezember 2017 (B.S. vom 22. Dezember 2017)</w:t>
      </w:r>
      <w:r w:rsidR="00D67EB8" w:rsidRPr="009118AB">
        <w:rPr>
          <w:rFonts w:ascii="Times New Roman Italique" w:hAnsi="Times New Roman Italique"/>
          <w:i/>
          <w:spacing w:val="2"/>
        </w:rPr>
        <w:t> - </w:t>
      </w:r>
      <w:r w:rsidR="00697516" w:rsidRPr="009118AB">
        <w:rPr>
          <w:rFonts w:ascii="Times New Roman Italique" w:hAnsi="Times New Roman Italique"/>
          <w:i/>
          <w:spacing w:val="2"/>
        </w:rPr>
        <w:t>wirksam ab dem Steuerjahr 2017</w:t>
      </w:r>
      <w:r w:rsidR="00FD68E8" w:rsidRPr="009118AB">
        <w:rPr>
          <w:rFonts w:ascii="Times New Roman Italique" w:hAnsi="Times New Roman Italique"/>
          <w:i/>
          <w:spacing w:val="2"/>
        </w:rPr>
        <w:t> -,</w:t>
      </w:r>
      <w:r w:rsidR="00A44AD9" w:rsidRPr="009118AB">
        <w:rPr>
          <w:rFonts w:ascii="Times New Roman Italique" w:hAnsi="Times New Roman Italique"/>
          <w:i/>
          <w:spacing w:val="2"/>
        </w:rPr>
        <w:t xml:space="preserve"> </w:t>
      </w:r>
      <w:r w:rsidR="00D67EB8" w:rsidRPr="009118AB">
        <w:rPr>
          <w:rFonts w:ascii="Times New Roman Italique" w:hAnsi="Times New Roman Italique"/>
          <w:i/>
          <w:spacing w:val="2"/>
        </w:rPr>
        <w:t>Art. </w:t>
      </w:r>
      <w:r w:rsidR="00A44AD9" w:rsidRPr="009118AB">
        <w:rPr>
          <w:rFonts w:ascii="Times New Roman Italique" w:hAnsi="Times New Roman Italique"/>
          <w:i/>
          <w:spacing w:val="2"/>
        </w:rPr>
        <w:t xml:space="preserve">20 </w:t>
      </w:r>
      <w:r w:rsidR="00D67EB8" w:rsidRPr="009118AB">
        <w:rPr>
          <w:rFonts w:ascii="Times New Roman Italique" w:hAnsi="Times New Roman Italique"/>
          <w:i/>
          <w:spacing w:val="2"/>
        </w:rPr>
        <w:t>Nr. </w:t>
      </w:r>
      <w:r w:rsidR="00A44AD9" w:rsidRPr="009118AB">
        <w:rPr>
          <w:rFonts w:ascii="Times New Roman Italique" w:hAnsi="Times New Roman Italique"/>
          <w:i/>
          <w:spacing w:val="2"/>
        </w:rPr>
        <w:t>6</w:t>
      </w:r>
      <w:r w:rsidR="00A44AD9" w:rsidRPr="009118AB">
        <w:rPr>
          <w:i/>
          <w:iCs/>
          <w:spacing w:val="-2"/>
        </w:rPr>
        <w:t xml:space="preserve"> des G. vom 17. März 2019 (III) (B.S. vom 10. Mai 2019)</w:t>
      </w:r>
      <w:r w:rsidR="00D67EB8" w:rsidRPr="009118AB">
        <w:rPr>
          <w:i/>
          <w:iCs/>
          <w:spacing w:val="-2"/>
        </w:rPr>
        <w:t> - </w:t>
      </w:r>
      <w:r w:rsidR="00A44AD9" w:rsidRPr="009118AB">
        <w:rPr>
          <w:i/>
          <w:iCs/>
          <w:spacing w:val="-2"/>
        </w:rPr>
        <w:t>in Kraft am 1. Mai 2019</w:t>
      </w:r>
      <w:r w:rsidR="00D67EB8" w:rsidRPr="009118AB">
        <w:rPr>
          <w:i/>
          <w:iCs/>
          <w:spacing w:val="-2"/>
        </w:rPr>
        <w:t> - </w:t>
      </w:r>
      <w:r w:rsidR="003D0BB2" w:rsidRPr="009118AB">
        <w:rPr>
          <w:i/>
          <w:iCs/>
          <w:spacing w:val="-2"/>
        </w:rPr>
        <w:t xml:space="preserve">und </w:t>
      </w:r>
      <w:r w:rsidR="00D67EB8" w:rsidRPr="009118AB">
        <w:rPr>
          <w:i/>
          <w:iCs/>
          <w:spacing w:val="-2"/>
        </w:rPr>
        <w:t>Art. </w:t>
      </w:r>
      <w:r w:rsidR="003D0BB2" w:rsidRPr="009118AB">
        <w:rPr>
          <w:i/>
          <w:iCs/>
          <w:spacing w:val="-2"/>
        </w:rPr>
        <w:t>26</w:t>
      </w:r>
      <w:r w:rsidR="003D0BB2" w:rsidRPr="009118AB">
        <w:rPr>
          <w:i/>
          <w:iCs/>
        </w:rPr>
        <w:t xml:space="preserve"> Buchstabe f) des G. vom 23. Februar 2022 (B.S. vom 4. April 2022)</w:t>
      </w:r>
      <w:r w:rsidR="00D67EB8" w:rsidRPr="009118AB">
        <w:rPr>
          <w:i/>
          <w:iCs/>
        </w:rPr>
        <w:t> - </w:t>
      </w:r>
      <w:r w:rsidR="003D0BB2" w:rsidRPr="009118AB">
        <w:rPr>
          <w:i/>
          <w:iCs/>
        </w:rPr>
        <w:t>in Kraft am 4. April 2022</w:t>
      </w:r>
      <w:r w:rsidR="003366D9" w:rsidRPr="009118AB">
        <w:rPr>
          <w:i/>
          <w:iCs/>
        </w:rPr>
        <w:t> -;</w:t>
      </w:r>
      <w:r w:rsidR="00285E7D" w:rsidRPr="009118AB">
        <w:rPr>
          <w:i/>
        </w:rPr>
        <w:t xml:space="preserve"> </w:t>
      </w:r>
      <w:r w:rsidR="00D67EB8" w:rsidRPr="009118AB">
        <w:rPr>
          <w:i/>
        </w:rPr>
        <w:t>§ </w:t>
      </w:r>
      <w:r w:rsidR="00285E7D" w:rsidRPr="009118AB">
        <w:rPr>
          <w:i/>
        </w:rPr>
        <w:t xml:space="preserve">3 </w:t>
      </w:r>
      <w:r w:rsidR="00D67EB8" w:rsidRPr="009118AB">
        <w:rPr>
          <w:i/>
        </w:rPr>
        <w:t>Abs. </w:t>
      </w:r>
      <w:r w:rsidR="00285E7D" w:rsidRPr="009118AB">
        <w:rPr>
          <w:i/>
        </w:rPr>
        <w:t>4</w:t>
      </w:r>
      <w:r w:rsidR="00900614" w:rsidRPr="009118AB">
        <w:rPr>
          <w:i/>
        </w:rPr>
        <w:t xml:space="preserve"> ersetzt durch </w:t>
      </w:r>
      <w:r w:rsidR="00D67EB8" w:rsidRPr="009118AB">
        <w:rPr>
          <w:i/>
        </w:rPr>
        <w:t>Art. </w:t>
      </w:r>
      <w:r w:rsidR="00900614" w:rsidRPr="009118AB">
        <w:rPr>
          <w:i/>
          <w:iCs/>
        </w:rPr>
        <w:t xml:space="preserve">28 </w:t>
      </w:r>
      <w:r w:rsidR="00D67EB8" w:rsidRPr="009118AB">
        <w:rPr>
          <w:i/>
          <w:iCs/>
        </w:rPr>
        <w:t>Nr. </w:t>
      </w:r>
      <w:r w:rsidR="00900614" w:rsidRPr="009118AB">
        <w:rPr>
          <w:i/>
          <w:iCs/>
        </w:rPr>
        <w:t>3 des G. vom 26. März 2018 (B.S. vom 30. März 2018)</w:t>
      </w:r>
      <w:r w:rsidR="00D67EB8" w:rsidRPr="009118AB">
        <w:rPr>
          <w:i/>
          <w:iCs/>
        </w:rPr>
        <w:t> - </w:t>
      </w:r>
      <w:r w:rsidR="00900614" w:rsidRPr="009118AB">
        <w:rPr>
          <w:i/>
          <w:iCs/>
        </w:rPr>
        <w:t>wirksam ab dem Steuerj</w:t>
      </w:r>
      <w:r w:rsidR="00A44AD9" w:rsidRPr="009118AB">
        <w:rPr>
          <w:i/>
          <w:iCs/>
        </w:rPr>
        <w:t>ahr 2019</w:t>
      </w:r>
      <w:r w:rsidR="003366D9" w:rsidRPr="009118AB">
        <w:rPr>
          <w:i/>
          <w:iCs/>
        </w:rPr>
        <w:t> -;</w:t>
      </w:r>
      <w:r w:rsidR="00285E7D" w:rsidRPr="009118AB">
        <w:rPr>
          <w:i/>
        </w:rPr>
        <w:t xml:space="preserve"> </w:t>
      </w:r>
      <w:r w:rsidR="00D67EB8" w:rsidRPr="009118AB">
        <w:rPr>
          <w:i/>
        </w:rPr>
        <w:t>§ </w:t>
      </w:r>
      <w:r w:rsidR="00285E7D" w:rsidRPr="009118AB">
        <w:rPr>
          <w:i/>
        </w:rPr>
        <w:t xml:space="preserve">3 </w:t>
      </w:r>
      <w:r w:rsidR="00D67EB8" w:rsidRPr="009118AB">
        <w:rPr>
          <w:i/>
        </w:rPr>
        <w:t>Abs. </w:t>
      </w:r>
      <w:r w:rsidR="00285E7D" w:rsidRPr="009118AB">
        <w:rPr>
          <w:i/>
        </w:rPr>
        <w:t xml:space="preserve">5 abgeändert durch </w:t>
      </w:r>
      <w:r w:rsidR="00D67EB8" w:rsidRPr="009118AB">
        <w:rPr>
          <w:i/>
        </w:rPr>
        <w:t>Art. </w:t>
      </w:r>
      <w:r w:rsidR="00285E7D" w:rsidRPr="009118AB">
        <w:rPr>
          <w:i/>
        </w:rPr>
        <w:t xml:space="preserve">38 </w:t>
      </w:r>
      <w:r w:rsidR="00D67EB8" w:rsidRPr="009118AB">
        <w:rPr>
          <w:i/>
        </w:rPr>
        <w:t>Nr. </w:t>
      </w:r>
      <w:r w:rsidR="00285E7D" w:rsidRPr="009118AB">
        <w:rPr>
          <w:i/>
        </w:rPr>
        <w:t>19 des G. vom 18. Dezember 2016</w:t>
      </w:r>
      <w:r w:rsidR="004E359B" w:rsidRPr="009118AB">
        <w:rPr>
          <w:i/>
        </w:rPr>
        <w:t> (I)</w:t>
      </w:r>
      <w:r w:rsidR="00285E7D" w:rsidRPr="009118AB">
        <w:rPr>
          <w:i/>
        </w:rPr>
        <w:t xml:space="preserve"> (B.S. vom 20. Dezember 2016)</w:t>
      </w:r>
      <w:r w:rsidR="00D67EB8" w:rsidRPr="009118AB">
        <w:rPr>
          <w:i/>
        </w:rPr>
        <w:t> - </w:t>
      </w:r>
      <w:r w:rsidR="00285E7D" w:rsidRPr="009118AB">
        <w:rPr>
          <w:i/>
        </w:rPr>
        <w:t>in Kraft ab dem Steuerjahr 2017</w:t>
      </w:r>
      <w:r w:rsidR="003366D9" w:rsidRPr="009118AB">
        <w:rPr>
          <w:i/>
        </w:rPr>
        <w:t> -;</w:t>
      </w:r>
      <w:r w:rsidR="00285E7D" w:rsidRPr="009118AB">
        <w:rPr>
          <w:i/>
        </w:rPr>
        <w:t xml:space="preserve"> </w:t>
      </w:r>
      <w:r w:rsidR="00D67EB8" w:rsidRPr="009118AB">
        <w:rPr>
          <w:i/>
        </w:rPr>
        <w:t>§ </w:t>
      </w:r>
      <w:r w:rsidR="00715690" w:rsidRPr="009118AB">
        <w:rPr>
          <w:i/>
        </w:rPr>
        <w:t xml:space="preserve">3 </w:t>
      </w:r>
      <w:r w:rsidR="00D67EB8" w:rsidRPr="009118AB">
        <w:rPr>
          <w:i/>
        </w:rPr>
        <w:t>Abs. </w:t>
      </w:r>
      <w:r w:rsidR="00715690" w:rsidRPr="009118AB">
        <w:rPr>
          <w:i/>
        </w:rPr>
        <w:t xml:space="preserve">6 ersetzt durch </w:t>
      </w:r>
      <w:r w:rsidR="00D67EB8" w:rsidRPr="009118AB">
        <w:rPr>
          <w:i/>
        </w:rPr>
        <w:t>Art. </w:t>
      </w:r>
      <w:r w:rsidR="00715690" w:rsidRPr="009118AB">
        <w:rPr>
          <w:i/>
        </w:rPr>
        <w:t xml:space="preserve">47 </w:t>
      </w:r>
      <w:r w:rsidR="00D67EB8" w:rsidRPr="009118AB">
        <w:rPr>
          <w:i/>
        </w:rPr>
        <w:t>Nr. </w:t>
      </w:r>
      <w:r w:rsidR="00715690" w:rsidRPr="009118AB">
        <w:rPr>
          <w:i/>
        </w:rPr>
        <w:t xml:space="preserve">2 </w:t>
      </w:r>
      <w:r w:rsidR="00715690" w:rsidRPr="009118AB">
        <w:rPr>
          <w:i/>
          <w:spacing w:val="2"/>
        </w:rPr>
        <w:t>des G. vom 18. Dezember 2015</w:t>
      </w:r>
      <w:r w:rsidR="007D0EAE" w:rsidRPr="009118AB">
        <w:rPr>
          <w:i/>
          <w:spacing w:val="2"/>
        </w:rPr>
        <w:t> (I)</w:t>
      </w:r>
      <w:r w:rsidR="00715690" w:rsidRPr="009118AB">
        <w:rPr>
          <w:i/>
          <w:spacing w:val="2"/>
        </w:rPr>
        <w:t xml:space="preserve"> (B.S. vom 30. Dezember 2015, Err. vom 13. Januar 2016)</w:t>
      </w:r>
      <w:r w:rsidR="00D67EB8" w:rsidRPr="009118AB">
        <w:rPr>
          <w:i/>
          <w:spacing w:val="2"/>
        </w:rPr>
        <w:t> - </w:t>
      </w:r>
      <w:r w:rsidR="00B52789" w:rsidRPr="009118AB">
        <w:rPr>
          <w:i/>
          <w:spacing w:val="2"/>
        </w:rPr>
        <w:t>anwendbar auf Aktien oder Anteile, die Gesellschaften im Laufe eines Besteuerungszeitraums ausgeben, der ab dem 1. Januar 2016 beginnt</w:t>
      </w:r>
      <w:r w:rsidR="00D67EB8" w:rsidRPr="009118AB">
        <w:rPr>
          <w:i/>
          <w:spacing w:val="2"/>
        </w:rPr>
        <w:t> - </w:t>
      </w:r>
      <w:r w:rsidR="00697516" w:rsidRPr="009118AB">
        <w:rPr>
          <w:i/>
          <w:spacing w:val="2"/>
        </w:rPr>
        <w:t xml:space="preserve">und abgeändert durch </w:t>
      </w:r>
      <w:r w:rsidR="00D67EB8" w:rsidRPr="009118AB">
        <w:rPr>
          <w:i/>
          <w:spacing w:val="2"/>
        </w:rPr>
        <w:t>Art. </w:t>
      </w:r>
      <w:r w:rsidR="00697516" w:rsidRPr="009118AB">
        <w:rPr>
          <w:rFonts w:ascii="Times New Roman Italique" w:hAnsi="Times New Roman Italique"/>
          <w:i/>
          <w:spacing w:val="2"/>
        </w:rPr>
        <w:t>2 Buchstabe f) des G.</w:t>
      </w:r>
      <w:r w:rsidR="00697516" w:rsidRPr="009118AB">
        <w:rPr>
          <w:rFonts w:ascii="Times New Roman Italique" w:hAnsi="Times New Roman Italique"/>
          <w:i/>
          <w:spacing w:val="-2"/>
        </w:rPr>
        <w:t xml:space="preserve"> vom 17. Dezember 2017 (B.S. vom 22. Dezember 2017)</w:t>
      </w:r>
      <w:r w:rsidR="00D67EB8" w:rsidRPr="009118AB">
        <w:rPr>
          <w:rFonts w:ascii="Times New Roman Italique" w:hAnsi="Times New Roman Italique"/>
          <w:i/>
          <w:spacing w:val="-2"/>
        </w:rPr>
        <w:t> - </w:t>
      </w:r>
      <w:r w:rsidR="00697516" w:rsidRPr="009118AB">
        <w:rPr>
          <w:rFonts w:ascii="Times New Roman Italique" w:hAnsi="Times New Roman Italique"/>
          <w:i/>
          <w:spacing w:val="-2"/>
        </w:rPr>
        <w:t>wirksam ab dem Steuerjahr 2017</w:t>
      </w:r>
      <w:r w:rsidR="00FD68E8" w:rsidRPr="009118AB">
        <w:rPr>
          <w:rFonts w:ascii="Times New Roman Italique" w:hAnsi="Times New Roman Italique"/>
          <w:i/>
          <w:spacing w:val="-2"/>
        </w:rPr>
        <w:t> -,</w:t>
      </w:r>
      <w:r w:rsidR="00A44AD9" w:rsidRPr="009118AB">
        <w:rPr>
          <w:rFonts w:ascii="Times New Roman Italique" w:hAnsi="Times New Roman Italique"/>
          <w:i/>
          <w:spacing w:val="-2"/>
        </w:rPr>
        <w:t xml:space="preserve"> </w:t>
      </w:r>
      <w:r w:rsidR="00D67EB8" w:rsidRPr="009118AB">
        <w:rPr>
          <w:rFonts w:ascii="Times New Roman Italique" w:hAnsi="Times New Roman Italique"/>
          <w:i/>
          <w:spacing w:val="-2"/>
        </w:rPr>
        <w:t>Art. </w:t>
      </w:r>
      <w:r w:rsidR="00A44AD9" w:rsidRPr="009118AB">
        <w:rPr>
          <w:rFonts w:ascii="Times New Roman Italique" w:hAnsi="Times New Roman Italique"/>
          <w:i/>
          <w:spacing w:val="-2"/>
        </w:rPr>
        <w:t xml:space="preserve">20 </w:t>
      </w:r>
      <w:r w:rsidR="00D67EB8" w:rsidRPr="009118AB">
        <w:rPr>
          <w:rFonts w:ascii="Times New Roman Italique" w:hAnsi="Times New Roman Italique"/>
          <w:i/>
          <w:spacing w:val="-2"/>
        </w:rPr>
        <w:t>Nr. </w:t>
      </w:r>
      <w:r w:rsidR="00A44AD9" w:rsidRPr="009118AB">
        <w:rPr>
          <w:rFonts w:ascii="Times New Roman Italique" w:hAnsi="Times New Roman Italique"/>
          <w:i/>
          <w:spacing w:val="-2"/>
        </w:rPr>
        <w:t>7</w:t>
      </w:r>
      <w:r w:rsidR="00A44AD9" w:rsidRPr="009118AB">
        <w:rPr>
          <w:i/>
          <w:iCs/>
          <w:spacing w:val="-2"/>
        </w:rPr>
        <w:t xml:space="preserve"> des G. vom 17. März 2019 (III) (B.S. vom 10. Mai 2019)</w:t>
      </w:r>
      <w:r w:rsidR="00D67EB8" w:rsidRPr="009118AB">
        <w:rPr>
          <w:i/>
          <w:iCs/>
          <w:spacing w:val="-2"/>
        </w:rPr>
        <w:t> - </w:t>
      </w:r>
      <w:r w:rsidR="00A44AD9" w:rsidRPr="009118AB">
        <w:rPr>
          <w:i/>
          <w:iCs/>
          <w:spacing w:val="-2"/>
        </w:rPr>
        <w:t>in Kraft am 1. Mai 2019</w:t>
      </w:r>
      <w:r w:rsidR="00D67EB8" w:rsidRPr="009118AB">
        <w:rPr>
          <w:i/>
          <w:iCs/>
          <w:spacing w:val="-2"/>
        </w:rPr>
        <w:t> - </w:t>
      </w:r>
      <w:r w:rsidR="003D0BB2" w:rsidRPr="009118AB">
        <w:rPr>
          <w:i/>
          <w:iCs/>
          <w:spacing w:val="-2"/>
        </w:rPr>
        <w:t xml:space="preserve">und </w:t>
      </w:r>
      <w:r w:rsidR="00D67EB8" w:rsidRPr="009118AB">
        <w:rPr>
          <w:i/>
          <w:iCs/>
          <w:spacing w:val="-2"/>
        </w:rPr>
        <w:t>Art. </w:t>
      </w:r>
      <w:r w:rsidR="003D0BB2" w:rsidRPr="009118AB">
        <w:rPr>
          <w:i/>
          <w:iCs/>
          <w:spacing w:val="-2"/>
        </w:rPr>
        <w:t>26</w:t>
      </w:r>
      <w:r w:rsidR="003D0BB2" w:rsidRPr="009118AB">
        <w:rPr>
          <w:i/>
          <w:iCs/>
        </w:rPr>
        <w:t xml:space="preserve"> Buchstabe g) des G. vom 23. Februar 2022 (B.S. vom 4. April 2022)</w:t>
      </w:r>
      <w:r w:rsidR="00D67EB8" w:rsidRPr="009118AB">
        <w:rPr>
          <w:i/>
          <w:iCs/>
        </w:rPr>
        <w:t> - </w:t>
      </w:r>
      <w:r w:rsidR="003D0BB2" w:rsidRPr="009118AB">
        <w:rPr>
          <w:i/>
          <w:iCs/>
        </w:rPr>
        <w:t>in Kraft am 4. April 2022</w:t>
      </w:r>
      <w:r w:rsidR="003366D9" w:rsidRPr="009118AB">
        <w:rPr>
          <w:i/>
          <w:iCs/>
        </w:rPr>
        <w:t> -;</w:t>
      </w:r>
      <w:r w:rsidR="00285E7D" w:rsidRPr="009118AB">
        <w:rPr>
          <w:i/>
          <w:spacing w:val="-2"/>
        </w:rPr>
        <w:t xml:space="preserve"> </w:t>
      </w:r>
      <w:r w:rsidR="00D67EB8" w:rsidRPr="009118AB">
        <w:rPr>
          <w:i/>
          <w:spacing w:val="-2"/>
        </w:rPr>
        <w:t>§ </w:t>
      </w:r>
      <w:r w:rsidR="00285E7D" w:rsidRPr="009118AB">
        <w:rPr>
          <w:i/>
          <w:spacing w:val="-2"/>
        </w:rPr>
        <w:t xml:space="preserve">4 </w:t>
      </w:r>
      <w:r w:rsidR="00D67EB8" w:rsidRPr="009118AB">
        <w:rPr>
          <w:i/>
          <w:spacing w:val="-2"/>
        </w:rPr>
        <w:t>Abs. </w:t>
      </w:r>
      <w:r w:rsidR="00285E7D" w:rsidRPr="009118AB">
        <w:rPr>
          <w:i/>
          <w:spacing w:val="-2"/>
        </w:rPr>
        <w:t xml:space="preserve">1 einleitende Bestimmung abgeändert durch </w:t>
      </w:r>
      <w:r w:rsidR="00D67EB8" w:rsidRPr="009118AB">
        <w:rPr>
          <w:i/>
          <w:spacing w:val="-2"/>
        </w:rPr>
        <w:t>Art. </w:t>
      </w:r>
      <w:r w:rsidR="00285E7D" w:rsidRPr="009118AB">
        <w:rPr>
          <w:i/>
          <w:spacing w:val="-2"/>
        </w:rPr>
        <w:t xml:space="preserve">38 </w:t>
      </w:r>
      <w:r w:rsidR="00D67EB8" w:rsidRPr="009118AB">
        <w:rPr>
          <w:i/>
          <w:spacing w:val="-2"/>
        </w:rPr>
        <w:t>Nr. </w:t>
      </w:r>
      <w:r w:rsidR="00285E7D" w:rsidRPr="009118AB">
        <w:rPr>
          <w:i/>
          <w:spacing w:val="-2"/>
        </w:rPr>
        <w:t>20 erster bis dritter Gedankenstrich des G. vom 18. Dezember 2016</w:t>
      </w:r>
      <w:r w:rsidR="004E359B" w:rsidRPr="009118AB">
        <w:rPr>
          <w:i/>
          <w:spacing w:val="-2"/>
        </w:rPr>
        <w:t> (I)</w:t>
      </w:r>
      <w:r w:rsidR="00285E7D" w:rsidRPr="009118AB">
        <w:rPr>
          <w:i/>
          <w:spacing w:val="-2"/>
        </w:rPr>
        <w:t xml:space="preserve"> (B.S. vom 20. Dezember 2016)</w:t>
      </w:r>
      <w:r w:rsidR="00D67EB8" w:rsidRPr="009118AB">
        <w:rPr>
          <w:i/>
          <w:spacing w:val="-2"/>
        </w:rPr>
        <w:t> - </w:t>
      </w:r>
      <w:r w:rsidR="00285E7D" w:rsidRPr="009118AB">
        <w:rPr>
          <w:i/>
          <w:spacing w:val="-2"/>
        </w:rPr>
        <w:t>in Kraft ab dem Steuerjahr 2017</w:t>
      </w:r>
      <w:r w:rsidR="00D67EB8" w:rsidRPr="009118AB">
        <w:rPr>
          <w:i/>
          <w:spacing w:val="-2"/>
        </w:rPr>
        <w:t> - </w:t>
      </w:r>
      <w:r w:rsidR="003D0BB2" w:rsidRPr="009118AB">
        <w:rPr>
          <w:i/>
          <w:spacing w:val="-2"/>
        </w:rPr>
        <w:t xml:space="preserve">und </w:t>
      </w:r>
      <w:r w:rsidR="00D67EB8" w:rsidRPr="009118AB">
        <w:rPr>
          <w:i/>
          <w:spacing w:val="-2"/>
        </w:rPr>
        <w:t>Art. </w:t>
      </w:r>
      <w:r w:rsidR="003D0BB2" w:rsidRPr="009118AB">
        <w:rPr>
          <w:i/>
          <w:spacing w:val="-2"/>
        </w:rPr>
        <w:t>26</w:t>
      </w:r>
      <w:r w:rsidR="003D0BB2" w:rsidRPr="009118AB">
        <w:rPr>
          <w:i/>
          <w:iCs/>
        </w:rPr>
        <w:t xml:space="preserve"> Buchstabe h) des G. vom 23. Februar 2022 (B.S. vom 4. April 2022)</w:t>
      </w:r>
      <w:r w:rsidR="00D67EB8" w:rsidRPr="009118AB">
        <w:rPr>
          <w:i/>
          <w:iCs/>
        </w:rPr>
        <w:t> - </w:t>
      </w:r>
      <w:r w:rsidR="003D0BB2" w:rsidRPr="009118AB">
        <w:rPr>
          <w:i/>
          <w:iCs/>
        </w:rPr>
        <w:t>in Kraft am 4. April 2022</w:t>
      </w:r>
      <w:r w:rsidR="003366D9" w:rsidRPr="009118AB">
        <w:rPr>
          <w:i/>
          <w:iCs/>
        </w:rPr>
        <w:t> -;</w:t>
      </w:r>
      <w:r w:rsidR="00285E7D" w:rsidRPr="009118AB">
        <w:rPr>
          <w:i/>
          <w:spacing w:val="-2"/>
        </w:rPr>
        <w:t xml:space="preserve"> </w:t>
      </w:r>
      <w:r w:rsidR="00D67EB8" w:rsidRPr="009118AB">
        <w:rPr>
          <w:i/>
          <w:spacing w:val="-2"/>
        </w:rPr>
        <w:t>§ </w:t>
      </w:r>
      <w:r w:rsidR="00285E7D" w:rsidRPr="009118AB">
        <w:rPr>
          <w:i/>
          <w:spacing w:val="-2"/>
        </w:rPr>
        <w:t xml:space="preserve">4 </w:t>
      </w:r>
      <w:r w:rsidR="00D67EB8" w:rsidRPr="009118AB">
        <w:rPr>
          <w:i/>
          <w:spacing w:val="-2"/>
        </w:rPr>
        <w:t>Abs. </w:t>
      </w:r>
      <w:r w:rsidR="00285E7D" w:rsidRPr="009118AB">
        <w:rPr>
          <w:i/>
          <w:spacing w:val="-2"/>
        </w:rPr>
        <w:t xml:space="preserve">1 erster Gedankenstrich abgeändert durch </w:t>
      </w:r>
      <w:r w:rsidR="00D67EB8" w:rsidRPr="009118AB">
        <w:rPr>
          <w:i/>
          <w:spacing w:val="-2"/>
        </w:rPr>
        <w:t>Art. </w:t>
      </w:r>
      <w:r w:rsidR="00285E7D" w:rsidRPr="009118AB">
        <w:rPr>
          <w:i/>
          <w:spacing w:val="-2"/>
        </w:rPr>
        <w:t xml:space="preserve">38 </w:t>
      </w:r>
      <w:r w:rsidR="00D67EB8" w:rsidRPr="009118AB">
        <w:rPr>
          <w:i/>
          <w:spacing w:val="-2"/>
        </w:rPr>
        <w:t>Nr. </w:t>
      </w:r>
      <w:r w:rsidR="00285E7D" w:rsidRPr="009118AB">
        <w:rPr>
          <w:i/>
          <w:spacing w:val="-2"/>
        </w:rPr>
        <w:t>21 des</w:t>
      </w:r>
      <w:r w:rsidR="00285E7D" w:rsidRPr="009118AB">
        <w:rPr>
          <w:i/>
        </w:rPr>
        <w:t xml:space="preserve"> G. </w:t>
      </w:r>
      <w:r w:rsidR="00285E7D" w:rsidRPr="009118AB">
        <w:rPr>
          <w:rFonts w:ascii="Times New Roman Italique" w:hAnsi="Times New Roman Italique"/>
          <w:i/>
          <w:spacing w:val="-2"/>
        </w:rPr>
        <w:t>vom 18. Dezember 2016</w:t>
      </w:r>
      <w:r w:rsidR="004E359B" w:rsidRPr="009118AB">
        <w:rPr>
          <w:rFonts w:ascii="Times New Roman Italique" w:hAnsi="Times New Roman Italique"/>
          <w:i/>
          <w:spacing w:val="-2"/>
        </w:rPr>
        <w:t> (I)</w:t>
      </w:r>
      <w:r w:rsidR="00285E7D" w:rsidRPr="009118AB">
        <w:rPr>
          <w:rFonts w:ascii="Times New Roman Italique" w:hAnsi="Times New Roman Italique"/>
          <w:i/>
          <w:spacing w:val="-2"/>
        </w:rPr>
        <w:t xml:space="preserve"> (B.S. vom 20. Dezember 2016)</w:t>
      </w:r>
      <w:r w:rsidR="00D67EB8" w:rsidRPr="009118AB">
        <w:rPr>
          <w:rFonts w:ascii="Times New Roman Italique" w:hAnsi="Times New Roman Italique"/>
          <w:i/>
          <w:spacing w:val="-2"/>
        </w:rPr>
        <w:t> - </w:t>
      </w:r>
      <w:r w:rsidR="00285E7D" w:rsidRPr="009118AB">
        <w:rPr>
          <w:rFonts w:ascii="Times New Roman Italique" w:hAnsi="Times New Roman Italique"/>
          <w:i/>
          <w:spacing w:val="-2"/>
        </w:rPr>
        <w:t>in Kraft ab dem Steuerjahr 2017</w:t>
      </w:r>
      <w:r w:rsidR="003366D9" w:rsidRPr="009118AB">
        <w:rPr>
          <w:rFonts w:ascii="Times New Roman Italique" w:hAnsi="Times New Roman Italique"/>
          <w:i/>
          <w:spacing w:val="-2"/>
        </w:rPr>
        <w:t> </w:t>
      </w:r>
      <w:r w:rsidR="003366D9" w:rsidRPr="009118AB">
        <w:rPr>
          <w:rFonts w:ascii="Times New Roman Italique" w:hAnsi="Times New Roman Italique" w:hint="eastAsia"/>
          <w:i/>
          <w:spacing w:val="-2"/>
        </w:rPr>
        <w:t>-;</w:t>
      </w:r>
      <w:r w:rsidR="00285E7D"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285E7D" w:rsidRPr="009118AB">
        <w:rPr>
          <w:rFonts w:ascii="Times New Roman Italique" w:hAnsi="Times New Roman Italique"/>
          <w:i/>
          <w:spacing w:val="-2"/>
        </w:rPr>
        <w:t xml:space="preserve">4 </w:t>
      </w:r>
      <w:r w:rsidR="00D67EB8" w:rsidRPr="009118AB">
        <w:rPr>
          <w:rFonts w:ascii="Times New Roman Italique" w:hAnsi="Times New Roman Italique"/>
          <w:i/>
          <w:spacing w:val="-2"/>
        </w:rPr>
        <w:t>Abs. </w:t>
      </w:r>
      <w:r w:rsidR="00285E7D" w:rsidRPr="009118AB">
        <w:rPr>
          <w:rFonts w:ascii="Times New Roman Italique" w:hAnsi="Times New Roman Italique"/>
          <w:i/>
          <w:spacing w:val="-2"/>
        </w:rPr>
        <w:t xml:space="preserve">1 zweiter Gedankenstrich abgeändert durch </w:t>
      </w:r>
      <w:r w:rsidR="00D67EB8" w:rsidRPr="009118AB">
        <w:rPr>
          <w:rFonts w:ascii="Times New Roman Italique" w:hAnsi="Times New Roman Italique"/>
          <w:i/>
          <w:spacing w:val="-2"/>
        </w:rPr>
        <w:t>Art. </w:t>
      </w:r>
      <w:r w:rsidR="00285E7D" w:rsidRPr="009118AB">
        <w:rPr>
          <w:rFonts w:ascii="Times New Roman Italique" w:hAnsi="Times New Roman Italique"/>
          <w:i/>
          <w:spacing w:val="-2"/>
        </w:rPr>
        <w:t xml:space="preserve">38 </w:t>
      </w:r>
      <w:r w:rsidR="00D67EB8" w:rsidRPr="009118AB">
        <w:rPr>
          <w:rFonts w:ascii="Times New Roman Italique" w:hAnsi="Times New Roman Italique"/>
          <w:i/>
          <w:spacing w:val="-2"/>
        </w:rPr>
        <w:t>Nr. </w:t>
      </w:r>
      <w:r w:rsidR="00285E7D" w:rsidRPr="009118AB">
        <w:rPr>
          <w:rFonts w:ascii="Times New Roman Italique" w:hAnsi="Times New Roman Italique"/>
          <w:i/>
          <w:spacing w:val="-2"/>
        </w:rPr>
        <w:t>22 des G. vom 18. Dezember 2016</w:t>
      </w:r>
      <w:r w:rsidR="004E359B" w:rsidRPr="009118AB">
        <w:rPr>
          <w:rFonts w:ascii="Times New Roman Italique" w:hAnsi="Times New Roman Italique"/>
          <w:i/>
          <w:spacing w:val="-2"/>
        </w:rPr>
        <w:t> (I)</w:t>
      </w:r>
      <w:r w:rsidR="00285E7D" w:rsidRPr="009118AB">
        <w:rPr>
          <w:rFonts w:ascii="Times New Roman Italique" w:hAnsi="Times New Roman Italique"/>
          <w:i/>
          <w:spacing w:val="-2"/>
        </w:rPr>
        <w:t xml:space="preserve"> (B.S. vom 20. Dezember 2016)</w:t>
      </w:r>
      <w:r w:rsidR="00D67EB8" w:rsidRPr="009118AB">
        <w:rPr>
          <w:rFonts w:ascii="Times New Roman Italique" w:hAnsi="Times New Roman Italique"/>
          <w:i/>
          <w:spacing w:val="-2"/>
        </w:rPr>
        <w:t> - </w:t>
      </w:r>
      <w:r w:rsidR="00285E7D" w:rsidRPr="009118AB">
        <w:rPr>
          <w:rFonts w:ascii="Times New Roman Italique" w:hAnsi="Times New Roman Italique"/>
          <w:i/>
          <w:spacing w:val="-2"/>
        </w:rPr>
        <w:t>in Kraft ab dem Steuerjahr 2017</w:t>
      </w:r>
      <w:r w:rsidR="003366D9" w:rsidRPr="009118AB">
        <w:rPr>
          <w:rFonts w:ascii="Times New Roman Italique" w:hAnsi="Times New Roman Italique"/>
          <w:i/>
          <w:spacing w:val="-2"/>
        </w:rPr>
        <w:t> -;</w:t>
      </w:r>
      <w:r w:rsidR="00285E7D"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285E7D" w:rsidRPr="009118AB">
        <w:rPr>
          <w:rFonts w:ascii="Times New Roman Italique" w:hAnsi="Times New Roman Italique"/>
          <w:i/>
          <w:spacing w:val="-2"/>
        </w:rPr>
        <w:t xml:space="preserve">4 </w:t>
      </w:r>
      <w:r w:rsidR="00D67EB8" w:rsidRPr="009118AB">
        <w:rPr>
          <w:rFonts w:ascii="Times New Roman Italique" w:hAnsi="Times New Roman Italique"/>
          <w:i/>
          <w:spacing w:val="-2"/>
        </w:rPr>
        <w:t>Abs. </w:t>
      </w:r>
      <w:r w:rsidR="00441165" w:rsidRPr="009118AB">
        <w:rPr>
          <w:rFonts w:ascii="Times New Roman Italique" w:hAnsi="Times New Roman Italique"/>
          <w:i/>
          <w:spacing w:val="-2"/>
        </w:rPr>
        <w:t>2</w:t>
      </w:r>
      <w:r w:rsidR="00285E7D" w:rsidRPr="009118AB">
        <w:rPr>
          <w:i/>
        </w:rPr>
        <w:t xml:space="preserve"> eingefügt durch </w:t>
      </w:r>
      <w:r w:rsidR="00D67EB8" w:rsidRPr="009118AB">
        <w:rPr>
          <w:i/>
        </w:rPr>
        <w:t>Art. </w:t>
      </w:r>
      <w:r w:rsidR="00285E7D" w:rsidRPr="009118AB">
        <w:rPr>
          <w:i/>
        </w:rPr>
        <w:t xml:space="preserve">38 </w:t>
      </w:r>
      <w:r w:rsidR="00D67EB8" w:rsidRPr="009118AB">
        <w:rPr>
          <w:i/>
        </w:rPr>
        <w:t>Nr. </w:t>
      </w:r>
      <w:r w:rsidR="00285E7D" w:rsidRPr="009118AB">
        <w:rPr>
          <w:i/>
        </w:rPr>
        <w:t>23 des G. vom 18. Dezember 2016</w:t>
      </w:r>
      <w:r w:rsidR="004E359B" w:rsidRPr="009118AB">
        <w:rPr>
          <w:i/>
        </w:rPr>
        <w:t> (I)</w:t>
      </w:r>
      <w:r w:rsidR="00285E7D" w:rsidRPr="009118AB">
        <w:rPr>
          <w:i/>
        </w:rPr>
        <w:t xml:space="preserve"> (B.S. vom 20. Dezember 2016)</w:t>
      </w:r>
      <w:r w:rsidR="00D67EB8" w:rsidRPr="009118AB">
        <w:rPr>
          <w:i/>
        </w:rPr>
        <w:t> - </w:t>
      </w:r>
      <w:r w:rsidR="00285E7D" w:rsidRPr="009118AB">
        <w:rPr>
          <w:i/>
        </w:rPr>
        <w:t>in Kraft ab dem Steuerjahr 2017</w:t>
      </w:r>
      <w:r w:rsidR="003366D9" w:rsidRPr="009118AB">
        <w:rPr>
          <w:i/>
        </w:rPr>
        <w:t> -;</w:t>
      </w:r>
      <w:r w:rsidR="00285E7D" w:rsidRPr="009118AB">
        <w:rPr>
          <w:i/>
        </w:rPr>
        <w:t xml:space="preserve"> </w:t>
      </w:r>
      <w:r w:rsidR="00D67EB8" w:rsidRPr="009118AB">
        <w:rPr>
          <w:i/>
        </w:rPr>
        <w:t>§ </w:t>
      </w:r>
      <w:r w:rsidR="00285E7D" w:rsidRPr="009118AB">
        <w:rPr>
          <w:i/>
        </w:rPr>
        <w:t xml:space="preserve">5 </w:t>
      </w:r>
      <w:r w:rsidR="00D67EB8" w:rsidRPr="009118AB">
        <w:rPr>
          <w:i/>
        </w:rPr>
        <w:t>Abs. </w:t>
      </w:r>
      <w:r w:rsidR="00285E7D" w:rsidRPr="009118AB">
        <w:rPr>
          <w:i/>
        </w:rPr>
        <w:t xml:space="preserve">1 ersetzt durch </w:t>
      </w:r>
      <w:r w:rsidR="00D67EB8" w:rsidRPr="009118AB">
        <w:rPr>
          <w:i/>
        </w:rPr>
        <w:t>Art. </w:t>
      </w:r>
      <w:r w:rsidR="00285E7D" w:rsidRPr="009118AB">
        <w:rPr>
          <w:i/>
        </w:rPr>
        <w:t xml:space="preserve">38 </w:t>
      </w:r>
      <w:r w:rsidR="00D67EB8" w:rsidRPr="009118AB">
        <w:rPr>
          <w:i/>
        </w:rPr>
        <w:t>Nr. </w:t>
      </w:r>
      <w:r w:rsidR="00285E7D" w:rsidRPr="009118AB">
        <w:rPr>
          <w:i/>
        </w:rPr>
        <w:t>24 des G. vom 18. Dezember 2016</w:t>
      </w:r>
      <w:r w:rsidR="004E359B" w:rsidRPr="009118AB">
        <w:rPr>
          <w:i/>
        </w:rPr>
        <w:t> (I)</w:t>
      </w:r>
      <w:r w:rsidR="00A44AD9" w:rsidRPr="009118AB">
        <w:rPr>
          <w:i/>
        </w:rPr>
        <w:t xml:space="preserve"> (B.S. vom 20. Dezember 2016)</w:t>
      </w:r>
      <w:r w:rsidR="00D67EB8" w:rsidRPr="009118AB">
        <w:rPr>
          <w:i/>
        </w:rPr>
        <w:t> - </w:t>
      </w:r>
      <w:r w:rsidR="00A44AD9" w:rsidRPr="009118AB">
        <w:rPr>
          <w:i/>
        </w:rPr>
        <w:t>in Kraft ab dem Steuerjahr 2017</w:t>
      </w:r>
      <w:r w:rsidR="00D67EB8" w:rsidRPr="009118AB">
        <w:rPr>
          <w:i/>
        </w:rPr>
        <w:t> - </w:t>
      </w:r>
      <w:r w:rsidR="003D0BB2" w:rsidRPr="009118AB">
        <w:rPr>
          <w:i/>
        </w:rPr>
        <w:t xml:space="preserve">und abgeändert durch </w:t>
      </w:r>
      <w:r w:rsidR="00D67EB8" w:rsidRPr="009118AB">
        <w:rPr>
          <w:i/>
        </w:rPr>
        <w:t>Art. </w:t>
      </w:r>
      <w:r w:rsidR="003D0BB2" w:rsidRPr="009118AB">
        <w:rPr>
          <w:i/>
        </w:rPr>
        <w:t>26</w:t>
      </w:r>
      <w:r w:rsidR="003D0BB2" w:rsidRPr="009118AB">
        <w:rPr>
          <w:i/>
          <w:iCs/>
        </w:rPr>
        <w:t xml:space="preserve"> Buchstabe i) des G. vom 23. Februar 2022 (B.S. vom 4. April 2022)</w:t>
      </w:r>
      <w:r w:rsidR="00D67EB8" w:rsidRPr="009118AB">
        <w:rPr>
          <w:i/>
          <w:iCs/>
        </w:rPr>
        <w:t> - </w:t>
      </w:r>
      <w:r w:rsidR="003D0BB2" w:rsidRPr="009118AB">
        <w:rPr>
          <w:i/>
          <w:iCs/>
        </w:rPr>
        <w:t>in Kraft am 4. April 2022</w:t>
      </w:r>
      <w:r w:rsidR="003366D9" w:rsidRPr="009118AB">
        <w:rPr>
          <w:i/>
          <w:iCs/>
        </w:rPr>
        <w:t> -;</w:t>
      </w:r>
      <w:r w:rsidR="00285E7D" w:rsidRPr="009118AB">
        <w:rPr>
          <w:i/>
        </w:rPr>
        <w:t xml:space="preserve"> </w:t>
      </w:r>
      <w:r w:rsidR="00D67EB8" w:rsidRPr="009118AB">
        <w:rPr>
          <w:i/>
        </w:rPr>
        <w:t>§ </w:t>
      </w:r>
      <w:r w:rsidR="00285E7D" w:rsidRPr="009118AB">
        <w:rPr>
          <w:i/>
        </w:rPr>
        <w:t xml:space="preserve">5 </w:t>
      </w:r>
      <w:r w:rsidR="00D67EB8" w:rsidRPr="009118AB">
        <w:rPr>
          <w:i/>
        </w:rPr>
        <w:t>Abs. </w:t>
      </w:r>
      <w:r w:rsidR="00285E7D" w:rsidRPr="009118AB">
        <w:rPr>
          <w:i/>
        </w:rPr>
        <w:t xml:space="preserve">2 abgeändert durch </w:t>
      </w:r>
      <w:r w:rsidR="00D67EB8" w:rsidRPr="009118AB">
        <w:rPr>
          <w:i/>
        </w:rPr>
        <w:t>Art. </w:t>
      </w:r>
      <w:r w:rsidR="00285E7D" w:rsidRPr="009118AB">
        <w:rPr>
          <w:i/>
        </w:rPr>
        <w:t xml:space="preserve">38 </w:t>
      </w:r>
      <w:r w:rsidR="00D67EB8" w:rsidRPr="009118AB">
        <w:rPr>
          <w:i/>
        </w:rPr>
        <w:t>Nr. </w:t>
      </w:r>
      <w:r w:rsidR="00285E7D" w:rsidRPr="009118AB">
        <w:rPr>
          <w:i/>
        </w:rPr>
        <w:t>25 des G. vom 18. Dezember 2016</w:t>
      </w:r>
      <w:r w:rsidR="004E359B" w:rsidRPr="009118AB">
        <w:rPr>
          <w:i/>
        </w:rPr>
        <w:t> (I)</w:t>
      </w:r>
      <w:r w:rsidR="00285E7D" w:rsidRPr="009118AB">
        <w:rPr>
          <w:i/>
        </w:rPr>
        <w:t xml:space="preserve"> (B.S. vom 20. Dezember 2016)</w:t>
      </w:r>
      <w:r w:rsidR="00D67EB8" w:rsidRPr="009118AB">
        <w:rPr>
          <w:i/>
        </w:rPr>
        <w:t> - </w:t>
      </w:r>
      <w:r w:rsidR="00285E7D" w:rsidRPr="009118AB">
        <w:rPr>
          <w:i/>
        </w:rPr>
        <w:t>in Kraft ab dem Steuerjahr 2017</w:t>
      </w:r>
      <w:r w:rsidR="00D67EB8" w:rsidRPr="009118AB">
        <w:rPr>
          <w:i/>
        </w:rPr>
        <w:t> - </w:t>
      </w:r>
      <w:r w:rsidR="00697516" w:rsidRPr="009118AB">
        <w:rPr>
          <w:i/>
        </w:rPr>
        <w:t xml:space="preserve">und </w:t>
      </w:r>
      <w:r w:rsidR="00D67EB8" w:rsidRPr="009118AB">
        <w:rPr>
          <w:i/>
        </w:rPr>
        <w:t>Art. </w:t>
      </w:r>
      <w:r w:rsidR="00697516" w:rsidRPr="009118AB">
        <w:rPr>
          <w:rFonts w:ascii="Times New Roman Italique" w:hAnsi="Times New Roman Italique"/>
          <w:i/>
          <w:spacing w:val="2"/>
        </w:rPr>
        <w:t>2 Buchstabe h) des G. vom 17. Dezember 2017 (B.S. vom 22. Dezember 2017)</w:t>
      </w:r>
      <w:r w:rsidR="00D67EB8" w:rsidRPr="009118AB">
        <w:rPr>
          <w:rFonts w:ascii="Times New Roman Italique" w:hAnsi="Times New Roman Italique"/>
          <w:i/>
          <w:spacing w:val="2"/>
        </w:rPr>
        <w:t> - </w:t>
      </w:r>
      <w:r w:rsidR="00697516" w:rsidRPr="009118AB">
        <w:rPr>
          <w:rFonts w:ascii="Times New Roman Italique" w:hAnsi="Times New Roman Italique"/>
          <w:i/>
          <w:spacing w:val="2"/>
        </w:rPr>
        <w:t>wirksam ab dem Steuerjahr 2017</w:t>
      </w:r>
      <w:r w:rsidR="003366D9" w:rsidRPr="009118AB">
        <w:rPr>
          <w:rFonts w:ascii="Times New Roman Italique" w:hAnsi="Times New Roman Italique"/>
          <w:i/>
          <w:spacing w:val="2"/>
        </w:rPr>
        <w:t> -;</w:t>
      </w:r>
      <w:r w:rsidR="00285E7D" w:rsidRPr="009118AB">
        <w:rPr>
          <w:i/>
        </w:rPr>
        <w:t xml:space="preserve"> </w:t>
      </w:r>
      <w:r w:rsidR="00D67EB8" w:rsidRPr="009118AB">
        <w:rPr>
          <w:i/>
        </w:rPr>
        <w:t>§ </w:t>
      </w:r>
      <w:r w:rsidR="00285E7D" w:rsidRPr="009118AB">
        <w:rPr>
          <w:i/>
        </w:rPr>
        <w:t>5 neue</w:t>
      </w:r>
      <w:r w:rsidR="002761ED" w:rsidRPr="009118AB">
        <w:rPr>
          <w:i/>
        </w:rPr>
        <w:t xml:space="preserve"> Absatz </w:t>
      </w:r>
      <w:r w:rsidR="00285E7D" w:rsidRPr="009118AB">
        <w:rPr>
          <w:i/>
        </w:rPr>
        <w:t xml:space="preserve">3 eingefügt durch </w:t>
      </w:r>
      <w:r w:rsidR="00D67EB8" w:rsidRPr="009118AB">
        <w:rPr>
          <w:i/>
        </w:rPr>
        <w:t>Art. </w:t>
      </w:r>
      <w:r w:rsidR="00285E7D" w:rsidRPr="009118AB">
        <w:rPr>
          <w:i/>
        </w:rPr>
        <w:t xml:space="preserve">38 </w:t>
      </w:r>
      <w:r w:rsidR="00D67EB8" w:rsidRPr="009118AB">
        <w:rPr>
          <w:i/>
        </w:rPr>
        <w:t>Nr. </w:t>
      </w:r>
      <w:r w:rsidR="00285E7D" w:rsidRPr="009118AB">
        <w:rPr>
          <w:i/>
        </w:rPr>
        <w:t>26 des G. vom 18. Dezember 2016</w:t>
      </w:r>
      <w:r w:rsidR="004E359B" w:rsidRPr="009118AB">
        <w:rPr>
          <w:i/>
        </w:rPr>
        <w:t> (I)</w:t>
      </w:r>
      <w:r w:rsidR="00285E7D" w:rsidRPr="009118AB">
        <w:rPr>
          <w:i/>
        </w:rPr>
        <w:t xml:space="preserve"> (B.S. vom 20. Dezember 2016)</w:t>
      </w:r>
      <w:r w:rsidR="00D67EB8" w:rsidRPr="009118AB">
        <w:rPr>
          <w:i/>
        </w:rPr>
        <w:t> - </w:t>
      </w:r>
      <w:r w:rsidR="00285E7D" w:rsidRPr="009118AB">
        <w:rPr>
          <w:i/>
        </w:rPr>
        <w:t>in Kraft ab dem Steuerjahr 2017</w:t>
      </w:r>
      <w:r w:rsidR="003366D9" w:rsidRPr="009118AB">
        <w:rPr>
          <w:i/>
        </w:rPr>
        <w:t> -;</w:t>
      </w:r>
      <w:r w:rsidR="002761ED" w:rsidRPr="009118AB">
        <w:rPr>
          <w:i/>
        </w:rPr>
        <w:t xml:space="preserve"> </w:t>
      </w:r>
      <w:r w:rsidR="00D67EB8" w:rsidRPr="009118AB">
        <w:rPr>
          <w:i/>
        </w:rPr>
        <w:t>§ </w:t>
      </w:r>
      <w:r w:rsidR="002761ED" w:rsidRPr="009118AB">
        <w:rPr>
          <w:i/>
        </w:rPr>
        <w:t xml:space="preserve">5 neuer Absatz 4 eingefügt durch </w:t>
      </w:r>
      <w:r w:rsidR="00D67EB8" w:rsidRPr="009118AB">
        <w:rPr>
          <w:i/>
        </w:rPr>
        <w:t>Art. </w:t>
      </w:r>
      <w:r w:rsidR="002761ED" w:rsidRPr="009118AB">
        <w:rPr>
          <w:i/>
        </w:rPr>
        <w:t xml:space="preserve">38 </w:t>
      </w:r>
      <w:r w:rsidR="00D67EB8" w:rsidRPr="009118AB">
        <w:rPr>
          <w:i/>
        </w:rPr>
        <w:t>Nr. </w:t>
      </w:r>
      <w:r w:rsidR="002761ED" w:rsidRPr="009118AB">
        <w:rPr>
          <w:i/>
        </w:rPr>
        <w:t>26 des G. vom 18. Dezember 2016 (I) (B.S. vom 20. Dezember 2016)</w:t>
      </w:r>
      <w:r w:rsidR="00D67EB8" w:rsidRPr="009118AB">
        <w:rPr>
          <w:i/>
        </w:rPr>
        <w:t> - </w:t>
      </w:r>
      <w:r w:rsidR="002761ED" w:rsidRPr="009118AB">
        <w:rPr>
          <w:i/>
        </w:rPr>
        <w:t>in Kraft ab dem Steuerjahr 2017</w:t>
      </w:r>
      <w:r w:rsidR="00D67EB8" w:rsidRPr="009118AB">
        <w:rPr>
          <w:i/>
        </w:rPr>
        <w:t> - </w:t>
      </w:r>
      <w:r w:rsidR="002761ED" w:rsidRPr="009118AB">
        <w:rPr>
          <w:i/>
        </w:rPr>
        <w:t xml:space="preserve">und abgeändert durch </w:t>
      </w:r>
      <w:r w:rsidR="00D67EB8" w:rsidRPr="009118AB">
        <w:rPr>
          <w:i/>
        </w:rPr>
        <w:t>Art. </w:t>
      </w:r>
      <w:r w:rsidR="002761ED" w:rsidRPr="009118AB">
        <w:rPr>
          <w:i/>
        </w:rPr>
        <w:t>26</w:t>
      </w:r>
      <w:r w:rsidR="002761ED" w:rsidRPr="009118AB">
        <w:rPr>
          <w:i/>
          <w:iCs/>
        </w:rPr>
        <w:t xml:space="preserve"> Buchstabe j) des G. vom 23. Februar 2022 (B.S. vom 4. April 2022)</w:t>
      </w:r>
      <w:r w:rsidR="00D67EB8" w:rsidRPr="009118AB">
        <w:rPr>
          <w:i/>
          <w:iCs/>
        </w:rPr>
        <w:t> - </w:t>
      </w:r>
      <w:r w:rsidR="002761ED" w:rsidRPr="009118AB">
        <w:rPr>
          <w:i/>
          <w:iCs/>
        </w:rPr>
        <w:t>in Kraft am 4. April 2022</w:t>
      </w:r>
      <w:r w:rsidR="003366D9" w:rsidRPr="009118AB">
        <w:rPr>
          <w:i/>
          <w:iCs/>
        </w:rPr>
        <w:t> -;</w:t>
      </w:r>
      <w:r w:rsidR="002761ED" w:rsidRPr="009118AB">
        <w:rPr>
          <w:i/>
        </w:rPr>
        <w:t xml:space="preserve"> </w:t>
      </w:r>
      <w:r w:rsidR="00D67EB8" w:rsidRPr="009118AB">
        <w:rPr>
          <w:i/>
        </w:rPr>
        <w:t>§ </w:t>
      </w:r>
      <w:r w:rsidR="002761ED" w:rsidRPr="009118AB">
        <w:rPr>
          <w:i/>
        </w:rPr>
        <w:t xml:space="preserve">5 neuer Absatz 5 eingefügt durch </w:t>
      </w:r>
      <w:r w:rsidR="00D67EB8" w:rsidRPr="009118AB">
        <w:rPr>
          <w:i/>
        </w:rPr>
        <w:t>Art. </w:t>
      </w:r>
      <w:r w:rsidR="002761ED" w:rsidRPr="009118AB">
        <w:rPr>
          <w:i/>
        </w:rPr>
        <w:t xml:space="preserve">38 </w:t>
      </w:r>
      <w:r w:rsidR="00D67EB8" w:rsidRPr="009118AB">
        <w:rPr>
          <w:i/>
        </w:rPr>
        <w:t>Nr. </w:t>
      </w:r>
      <w:r w:rsidR="002761ED" w:rsidRPr="009118AB">
        <w:rPr>
          <w:i/>
        </w:rPr>
        <w:t>26 des G. vom 18. Dezember 2016 (I) (B.S. vom 20. Dezember 2016)</w:t>
      </w:r>
      <w:r w:rsidR="00D67EB8" w:rsidRPr="009118AB">
        <w:rPr>
          <w:i/>
        </w:rPr>
        <w:t> - </w:t>
      </w:r>
      <w:r w:rsidR="002761ED" w:rsidRPr="009118AB">
        <w:rPr>
          <w:i/>
        </w:rPr>
        <w:t>in Kraft ab dem Steuerjahr 2017</w:t>
      </w:r>
      <w:r w:rsidR="003366D9" w:rsidRPr="009118AB">
        <w:rPr>
          <w:i/>
        </w:rPr>
        <w:t> -;</w:t>
      </w:r>
      <w:r w:rsidR="00285E7D" w:rsidRPr="009118AB">
        <w:rPr>
          <w:i/>
        </w:rPr>
        <w:t xml:space="preserve"> </w:t>
      </w:r>
      <w:r w:rsidR="00D67EB8" w:rsidRPr="009118AB">
        <w:rPr>
          <w:i/>
        </w:rPr>
        <w:t>§ </w:t>
      </w:r>
      <w:r w:rsidR="00285E7D" w:rsidRPr="009118AB">
        <w:rPr>
          <w:i/>
        </w:rPr>
        <w:t xml:space="preserve">5 </w:t>
      </w:r>
      <w:r w:rsidR="00D67EB8" w:rsidRPr="009118AB">
        <w:rPr>
          <w:i/>
        </w:rPr>
        <w:t>Abs. </w:t>
      </w:r>
      <w:r w:rsidR="00285E7D" w:rsidRPr="009118AB">
        <w:rPr>
          <w:i/>
        </w:rPr>
        <w:t xml:space="preserve">6 ersetzt durch </w:t>
      </w:r>
      <w:r w:rsidR="00D67EB8" w:rsidRPr="009118AB">
        <w:rPr>
          <w:i/>
        </w:rPr>
        <w:t>Art. </w:t>
      </w:r>
      <w:r w:rsidR="00285E7D" w:rsidRPr="009118AB">
        <w:rPr>
          <w:i/>
        </w:rPr>
        <w:t xml:space="preserve">38 </w:t>
      </w:r>
      <w:r w:rsidR="00D67EB8" w:rsidRPr="009118AB">
        <w:rPr>
          <w:i/>
        </w:rPr>
        <w:t>Nr. </w:t>
      </w:r>
      <w:r w:rsidR="00285E7D" w:rsidRPr="009118AB">
        <w:rPr>
          <w:i/>
        </w:rPr>
        <w:t>27 des G. vom 18. Dezember 2016</w:t>
      </w:r>
      <w:r w:rsidR="004E359B" w:rsidRPr="009118AB">
        <w:rPr>
          <w:i/>
        </w:rPr>
        <w:t> (I)</w:t>
      </w:r>
      <w:r w:rsidR="00285E7D" w:rsidRPr="009118AB">
        <w:rPr>
          <w:i/>
        </w:rPr>
        <w:t xml:space="preserve"> </w:t>
      </w:r>
      <w:r w:rsidR="00285E7D" w:rsidRPr="009118AB">
        <w:rPr>
          <w:i/>
        </w:rPr>
        <w:lastRenderedPageBreak/>
        <w:t>(B.S. vom 20. Dezember 2016)</w:t>
      </w:r>
      <w:r w:rsidR="00D67EB8" w:rsidRPr="009118AB">
        <w:rPr>
          <w:i/>
        </w:rPr>
        <w:t> - </w:t>
      </w:r>
      <w:r w:rsidR="00285E7D" w:rsidRPr="009118AB">
        <w:rPr>
          <w:i/>
        </w:rPr>
        <w:t>in Kraft ab dem Steuerjahr 2017</w:t>
      </w:r>
      <w:r w:rsidR="003366D9" w:rsidRPr="009118AB">
        <w:rPr>
          <w:i/>
        </w:rPr>
        <w:t> -;</w:t>
      </w:r>
      <w:r w:rsidR="00285E7D" w:rsidRPr="009118AB">
        <w:rPr>
          <w:i/>
        </w:rPr>
        <w:t xml:space="preserve"> </w:t>
      </w:r>
      <w:r w:rsidR="00D67EB8" w:rsidRPr="009118AB">
        <w:rPr>
          <w:i/>
        </w:rPr>
        <w:t>§ </w:t>
      </w:r>
      <w:r w:rsidR="00285E7D" w:rsidRPr="009118AB">
        <w:rPr>
          <w:i/>
        </w:rPr>
        <w:t xml:space="preserve">5 </w:t>
      </w:r>
      <w:r w:rsidR="00D67EB8" w:rsidRPr="009118AB">
        <w:rPr>
          <w:i/>
        </w:rPr>
        <w:t>Abs. </w:t>
      </w:r>
      <w:r w:rsidR="00285E7D" w:rsidRPr="009118AB">
        <w:rPr>
          <w:i/>
        </w:rPr>
        <w:t xml:space="preserve">7 ersetzt durch </w:t>
      </w:r>
      <w:r w:rsidR="00D67EB8" w:rsidRPr="009118AB">
        <w:rPr>
          <w:i/>
        </w:rPr>
        <w:t>Art. </w:t>
      </w:r>
      <w:r w:rsidR="00285E7D" w:rsidRPr="009118AB">
        <w:rPr>
          <w:i/>
        </w:rPr>
        <w:t xml:space="preserve">38 </w:t>
      </w:r>
      <w:r w:rsidR="00D67EB8" w:rsidRPr="009118AB">
        <w:rPr>
          <w:i/>
        </w:rPr>
        <w:t>Nr. </w:t>
      </w:r>
      <w:r w:rsidR="00285E7D" w:rsidRPr="009118AB">
        <w:rPr>
          <w:i/>
        </w:rPr>
        <w:t>28 des G. vom 18. Dezember 2016</w:t>
      </w:r>
      <w:r w:rsidR="004E359B" w:rsidRPr="009118AB">
        <w:rPr>
          <w:i/>
        </w:rPr>
        <w:t> (I)</w:t>
      </w:r>
      <w:r w:rsidR="00285E7D" w:rsidRPr="009118AB">
        <w:rPr>
          <w:i/>
        </w:rPr>
        <w:t xml:space="preserve"> (B.S. vom 20. Dezember 2016)</w:t>
      </w:r>
      <w:r w:rsidR="00D67EB8" w:rsidRPr="009118AB">
        <w:rPr>
          <w:i/>
        </w:rPr>
        <w:t> - </w:t>
      </w:r>
      <w:r w:rsidR="00285E7D" w:rsidRPr="009118AB">
        <w:rPr>
          <w:i/>
        </w:rPr>
        <w:t>in Kraft ab dem Steuerjahr 2017</w:t>
      </w:r>
      <w:r w:rsidR="003366D9" w:rsidRPr="009118AB">
        <w:rPr>
          <w:i/>
        </w:rPr>
        <w:t> -;</w:t>
      </w:r>
      <w:r w:rsidR="00285E7D" w:rsidRPr="009118AB">
        <w:rPr>
          <w:i/>
        </w:rPr>
        <w:t xml:space="preserve"> </w:t>
      </w:r>
      <w:r w:rsidR="00D67EB8" w:rsidRPr="009118AB">
        <w:rPr>
          <w:i/>
        </w:rPr>
        <w:t>§ </w:t>
      </w:r>
      <w:r w:rsidR="00900614" w:rsidRPr="009118AB">
        <w:rPr>
          <w:i/>
        </w:rPr>
        <w:t xml:space="preserve">5 </w:t>
      </w:r>
      <w:r w:rsidR="00D67EB8" w:rsidRPr="009118AB">
        <w:rPr>
          <w:i/>
        </w:rPr>
        <w:t>Abs. </w:t>
      </w:r>
      <w:r w:rsidR="00900614" w:rsidRPr="009118AB">
        <w:rPr>
          <w:i/>
        </w:rPr>
        <w:t xml:space="preserve">8 ersetzt durch </w:t>
      </w:r>
      <w:r w:rsidR="00D67EB8" w:rsidRPr="009118AB">
        <w:rPr>
          <w:i/>
        </w:rPr>
        <w:t>Art. </w:t>
      </w:r>
      <w:r w:rsidR="00900614" w:rsidRPr="009118AB">
        <w:rPr>
          <w:i/>
          <w:iCs/>
        </w:rPr>
        <w:t xml:space="preserve">28 </w:t>
      </w:r>
      <w:r w:rsidR="00D67EB8" w:rsidRPr="009118AB">
        <w:rPr>
          <w:i/>
          <w:iCs/>
        </w:rPr>
        <w:t>Nr. </w:t>
      </w:r>
      <w:r w:rsidR="00900614" w:rsidRPr="009118AB">
        <w:rPr>
          <w:i/>
          <w:iCs/>
        </w:rPr>
        <w:t>4 des G. vom 26. März 2018 (B.S. vom 30. März 2018)</w:t>
      </w:r>
      <w:r w:rsidR="00D67EB8" w:rsidRPr="009118AB">
        <w:rPr>
          <w:i/>
          <w:iCs/>
        </w:rPr>
        <w:t> - </w:t>
      </w:r>
      <w:r w:rsidR="00555370" w:rsidRPr="009118AB">
        <w:rPr>
          <w:i/>
          <w:iCs/>
        </w:rPr>
        <w:t>wirksam ab dem Steuerjahr 2019</w:t>
      </w:r>
      <w:r w:rsidR="00D67EB8" w:rsidRPr="009118AB">
        <w:rPr>
          <w:i/>
          <w:iCs/>
        </w:rPr>
        <w:t> - </w:t>
      </w:r>
      <w:r w:rsidR="00555370" w:rsidRPr="009118AB">
        <w:rPr>
          <w:i/>
          <w:iCs/>
        </w:rPr>
        <w:t xml:space="preserve">und abgeändert durch </w:t>
      </w:r>
      <w:r w:rsidR="00D67EB8" w:rsidRPr="009118AB">
        <w:rPr>
          <w:i/>
          <w:iCs/>
        </w:rPr>
        <w:t>Art. </w:t>
      </w:r>
      <w:r w:rsidR="00555370" w:rsidRPr="009118AB">
        <w:rPr>
          <w:i/>
          <w:iCs/>
        </w:rPr>
        <w:t xml:space="preserve">10 </w:t>
      </w:r>
      <w:r w:rsidR="00D67EB8" w:rsidRPr="009118AB">
        <w:rPr>
          <w:i/>
          <w:iCs/>
        </w:rPr>
        <w:t>Nr. </w:t>
      </w:r>
      <w:r w:rsidR="00555370" w:rsidRPr="009118AB">
        <w:rPr>
          <w:i/>
          <w:iCs/>
        </w:rPr>
        <w:t>3</w:t>
      </w:r>
      <w:r w:rsidR="00555370" w:rsidRPr="009118AB">
        <w:rPr>
          <w:i/>
          <w:spacing w:val="-2"/>
        </w:rPr>
        <w:t xml:space="preserve"> </w:t>
      </w:r>
      <w:r w:rsidR="00555370" w:rsidRPr="009118AB">
        <w:rPr>
          <w:i/>
          <w:iCs/>
          <w:spacing w:val="2"/>
        </w:rPr>
        <w:t>des G. vom 2</w:t>
      </w:r>
      <w:r w:rsidR="00306781" w:rsidRPr="009118AB">
        <w:rPr>
          <w:i/>
          <w:iCs/>
          <w:spacing w:val="2"/>
        </w:rPr>
        <w:t>8</w:t>
      </w:r>
      <w:r w:rsidR="00555370" w:rsidRPr="009118AB">
        <w:rPr>
          <w:i/>
          <w:iCs/>
          <w:spacing w:val="2"/>
        </w:rPr>
        <w:t xml:space="preserve">. April 2019 (B.S. vom </w:t>
      </w:r>
      <w:r w:rsidR="00306781" w:rsidRPr="009118AB">
        <w:rPr>
          <w:i/>
          <w:iCs/>
          <w:spacing w:val="2"/>
        </w:rPr>
        <w:t>6</w:t>
      </w:r>
      <w:r w:rsidR="00555370" w:rsidRPr="009118AB">
        <w:rPr>
          <w:i/>
          <w:iCs/>
          <w:spacing w:val="2"/>
        </w:rPr>
        <w:t>. Mai 2019)</w:t>
      </w:r>
      <w:r w:rsidR="00D67EB8" w:rsidRPr="009118AB">
        <w:rPr>
          <w:i/>
          <w:iCs/>
          <w:spacing w:val="2"/>
        </w:rPr>
        <w:t> - </w:t>
      </w:r>
      <w:r w:rsidR="00555370" w:rsidRPr="009118AB">
        <w:rPr>
          <w:i/>
          <w:iCs/>
          <w:spacing w:val="2"/>
        </w:rPr>
        <w:t>wirksam ab dem Steuerjahr 2020</w:t>
      </w:r>
      <w:r w:rsidR="003366D9" w:rsidRPr="009118AB">
        <w:rPr>
          <w:i/>
          <w:iCs/>
          <w:spacing w:val="2"/>
        </w:rPr>
        <w:t> -;</w:t>
      </w:r>
      <w:r w:rsidR="0060708F" w:rsidRPr="009118AB">
        <w:rPr>
          <w:i/>
          <w:iCs/>
        </w:rPr>
        <w:t xml:space="preserve"> </w:t>
      </w:r>
      <w:r w:rsidR="00D67EB8" w:rsidRPr="009118AB">
        <w:rPr>
          <w:i/>
        </w:rPr>
        <w:t>§ </w:t>
      </w:r>
      <w:r w:rsidR="00285E7D" w:rsidRPr="009118AB">
        <w:rPr>
          <w:i/>
        </w:rPr>
        <w:t xml:space="preserve">5 </w:t>
      </w:r>
      <w:r w:rsidR="00D67EB8" w:rsidRPr="009118AB">
        <w:rPr>
          <w:i/>
        </w:rPr>
        <w:t>Abs. </w:t>
      </w:r>
      <w:r w:rsidR="00285E7D" w:rsidRPr="009118AB">
        <w:rPr>
          <w:i/>
        </w:rPr>
        <w:t xml:space="preserve">9 abgeändert durch </w:t>
      </w:r>
      <w:r w:rsidR="00D67EB8" w:rsidRPr="009118AB">
        <w:rPr>
          <w:i/>
        </w:rPr>
        <w:t>Art. </w:t>
      </w:r>
      <w:r w:rsidR="00285E7D" w:rsidRPr="009118AB">
        <w:rPr>
          <w:i/>
        </w:rPr>
        <w:t xml:space="preserve">38 </w:t>
      </w:r>
      <w:r w:rsidR="00D67EB8" w:rsidRPr="009118AB">
        <w:rPr>
          <w:i/>
        </w:rPr>
        <w:t>Nr. </w:t>
      </w:r>
      <w:r w:rsidR="00285E7D" w:rsidRPr="009118AB">
        <w:rPr>
          <w:i/>
        </w:rPr>
        <w:t>29 des G. vom 18. Dezember 2016</w:t>
      </w:r>
      <w:r w:rsidR="004E359B" w:rsidRPr="009118AB">
        <w:rPr>
          <w:i/>
        </w:rPr>
        <w:t> (I)</w:t>
      </w:r>
      <w:r w:rsidR="00285E7D" w:rsidRPr="009118AB">
        <w:rPr>
          <w:i/>
        </w:rPr>
        <w:t xml:space="preserve"> (B.S. vom 20. Dezember 2016)</w:t>
      </w:r>
      <w:r w:rsidR="00D67EB8" w:rsidRPr="009118AB">
        <w:rPr>
          <w:i/>
        </w:rPr>
        <w:t> - </w:t>
      </w:r>
      <w:r w:rsidR="00285E7D" w:rsidRPr="009118AB">
        <w:rPr>
          <w:i/>
        </w:rPr>
        <w:t>in Kraft ab dem Steuerjahr 2017</w:t>
      </w:r>
      <w:r w:rsidR="003366D9" w:rsidRPr="009118AB">
        <w:rPr>
          <w:i/>
        </w:rPr>
        <w:t> -;</w:t>
      </w:r>
      <w:r w:rsidR="00285E7D" w:rsidRPr="009118AB">
        <w:rPr>
          <w:i/>
        </w:rPr>
        <w:t xml:space="preserve"> </w:t>
      </w:r>
      <w:r w:rsidR="00D67EB8" w:rsidRPr="009118AB">
        <w:rPr>
          <w:i/>
        </w:rPr>
        <w:t>§ </w:t>
      </w:r>
      <w:r w:rsidR="00900614" w:rsidRPr="009118AB">
        <w:rPr>
          <w:i/>
        </w:rPr>
        <w:t xml:space="preserve">5 </w:t>
      </w:r>
      <w:r w:rsidR="00D67EB8" w:rsidRPr="009118AB">
        <w:rPr>
          <w:i/>
        </w:rPr>
        <w:t>Abs. </w:t>
      </w:r>
      <w:r w:rsidR="00900614" w:rsidRPr="009118AB">
        <w:rPr>
          <w:i/>
        </w:rPr>
        <w:t xml:space="preserve">10 eingefügt durch </w:t>
      </w:r>
      <w:r w:rsidR="00D67EB8" w:rsidRPr="009118AB">
        <w:rPr>
          <w:i/>
        </w:rPr>
        <w:t>Art. </w:t>
      </w:r>
      <w:r w:rsidR="00900614" w:rsidRPr="009118AB">
        <w:rPr>
          <w:i/>
          <w:iCs/>
        </w:rPr>
        <w:t xml:space="preserve">28 </w:t>
      </w:r>
      <w:r w:rsidR="00D67EB8" w:rsidRPr="009118AB">
        <w:rPr>
          <w:i/>
          <w:iCs/>
        </w:rPr>
        <w:t>Nr. </w:t>
      </w:r>
      <w:r w:rsidR="00900614" w:rsidRPr="009118AB">
        <w:rPr>
          <w:i/>
          <w:iCs/>
        </w:rPr>
        <w:t>5 des G. vom 26. März 2018 (B.S. vom 30. März 2018)</w:t>
      </w:r>
      <w:r w:rsidR="00D67EB8" w:rsidRPr="009118AB">
        <w:rPr>
          <w:i/>
          <w:iCs/>
        </w:rPr>
        <w:t> - </w:t>
      </w:r>
      <w:r w:rsidR="00900614" w:rsidRPr="009118AB">
        <w:rPr>
          <w:i/>
          <w:iCs/>
        </w:rPr>
        <w:t>wirksam ab dem Steuerjahr 2019</w:t>
      </w:r>
      <w:r w:rsidR="00D67EB8" w:rsidRPr="009118AB">
        <w:rPr>
          <w:i/>
          <w:iCs/>
        </w:rPr>
        <w:t> - </w:t>
      </w:r>
      <w:r w:rsidR="00555370" w:rsidRPr="009118AB">
        <w:rPr>
          <w:i/>
          <w:iCs/>
        </w:rPr>
        <w:t xml:space="preserve">und ersetzt durch </w:t>
      </w:r>
      <w:r w:rsidR="00D67EB8" w:rsidRPr="009118AB">
        <w:rPr>
          <w:i/>
          <w:iCs/>
        </w:rPr>
        <w:t>Art. </w:t>
      </w:r>
      <w:r w:rsidR="00555370" w:rsidRPr="009118AB">
        <w:rPr>
          <w:i/>
          <w:iCs/>
        </w:rPr>
        <w:t xml:space="preserve">10 </w:t>
      </w:r>
      <w:r w:rsidR="00D67EB8" w:rsidRPr="009118AB">
        <w:rPr>
          <w:i/>
          <w:iCs/>
        </w:rPr>
        <w:t>Nr. </w:t>
      </w:r>
      <w:r w:rsidR="00555370" w:rsidRPr="009118AB">
        <w:rPr>
          <w:i/>
          <w:iCs/>
        </w:rPr>
        <w:t>4</w:t>
      </w:r>
      <w:r w:rsidR="00555370" w:rsidRPr="009118AB">
        <w:rPr>
          <w:i/>
          <w:spacing w:val="-2"/>
        </w:rPr>
        <w:t xml:space="preserve"> </w:t>
      </w:r>
      <w:r w:rsidR="00555370" w:rsidRPr="009118AB">
        <w:rPr>
          <w:i/>
          <w:iCs/>
          <w:spacing w:val="2"/>
        </w:rPr>
        <w:t>des G. vom 2</w:t>
      </w:r>
      <w:r w:rsidR="00306781" w:rsidRPr="009118AB">
        <w:rPr>
          <w:i/>
          <w:iCs/>
          <w:spacing w:val="2"/>
        </w:rPr>
        <w:t>8</w:t>
      </w:r>
      <w:r w:rsidR="00555370" w:rsidRPr="009118AB">
        <w:rPr>
          <w:i/>
          <w:iCs/>
          <w:spacing w:val="2"/>
        </w:rPr>
        <w:t xml:space="preserve">. April 2019 (B.S. vom </w:t>
      </w:r>
      <w:r w:rsidR="00306781" w:rsidRPr="009118AB">
        <w:rPr>
          <w:i/>
          <w:iCs/>
          <w:spacing w:val="2"/>
        </w:rPr>
        <w:t>6</w:t>
      </w:r>
      <w:r w:rsidR="00555370" w:rsidRPr="009118AB">
        <w:rPr>
          <w:i/>
          <w:iCs/>
          <w:spacing w:val="2"/>
        </w:rPr>
        <w:t>. Mai 2019)</w:t>
      </w:r>
      <w:r w:rsidR="00D67EB8" w:rsidRPr="009118AB">
        <w:rPr>
          <w:i/>
          <w:iCs/>
          <w:spacing w:val="2"/>
        </w:rPr>
        <w:t> - </w:t>
      </w:r>
      <w:r w:rsidR="00555370" w:rsidRPr="009118AB">
        <w:rPr>
          <w:i/>
          <w:iCs/>
          <w:spacing w:val="2"/>
        </w:rPr>
        <w:t>wirksam ab dem Steuerjahr 2020</w:t>
      </w:r>
      <w:r w:rsidR="003366D9" w:rsidRPr="009118AB">
        <w:rPr>
          <w:i/>
          <w:iCs/>
          <w:spacing w:val="2"/>
        </w:rPr>
        <w:t> -;</w:t>
      </w:r>
      <w:r w:rsidR="00900614" w:rsidRPr="009118AB">
        <w:rPr>
          <w:i/>
          <w:iCs/>
        </w:rPr>
        <w:t xml:space="preserve"> </w:t>
      </w:r>
      <w:r w:rsidR="00D67EB8" w:rsidRPr="009118AB">
        <w:rPr>
          <w:i/>
        </w:rPr>
        <w:t>§ </w:t>
      </w:r>
      <w:r w:rsidR="00285E7D" w:rsidRPr="009118AB">
        <w:rPr>
          <w:i/>
        </w:rPr>
        <w:t xml:space="preserve">6 </w:t>
      </w:r>
      <w:r w:rsidR="00D67EB8" w:rsidRPr="009118AB">
        <w:rPr>
          <w:i/>
        </w:rPr>
        <w:t>Abs. </w:t>
      </w:r>
      <w:r w:rsidR="00285E7D" w:rsidRPr="009118AB">
        <w:rPr>
          <w:i/>
        </w:rPr>
        <w:t xml:space="preserve">2 abgeändert durch </w:t>
      </w:r>
      <w:r w:rsidR="00D67EB8" w:rsidRPr="009118AB">
        <w:rPr>
          <w:i/>
        </w:rPr>
        <w:t>Art. </w:t>
      </w:r>
      <w:r w:rsidR="00285E7D" w:rsidRPr="009118AB">
        <w:rPr>
          <w:i/>
        </w:rPr>
        <w:t xml:space="preserve">38 </w:t>
      </w:r>
      <w:r w:rsidR="00D67EB8" w:rsidRPr="009118AB">
        <w:rPr>
          <w:i/>
        </w:rPr>
        <w:t>Nr. </w:t>
      </w:r>
      <w:r w:rsidR="00285E7D" w:rsidRPr="009118AB">
        <w:rPr>
          <w:i/>
        </w:rPr>
        <w:t>31 des G. vom 18. Dezember 2016</w:t>
      </w:r>
      <w:r w:rsidR="004E359B" w:rsidRPr="009118AB">
        <w:rPr>
          <w:i/>
        </w:rPr>
        <w:t> (I)</w:t>
      </w:r>
      <w:r w:rsidR="00285E7D" w:rsidRPr="009118AB">
        <w:rPr>
          <w:i/>
        </w:rPr>
        <w:t xml:space="preserve"> (B.S. vom 20. Dezember 2016)</w:t>
      </w:r>
      <w:r w:rsidR="00D67EB8" w:rsidRPr="009118AB">
        <w:rPr>
          <w:i/>
        </w:rPr>
        <w:t> - </w:t>
      </w:r>
      <w:r w:rsidR="00285E7D" w:rsidRPr="009118AB">
        <w:rPr>
          <w:i/>
        </w:rPr>
        <w:t>in Kraft ab dem Steuerjahr 2017</w:t>
      </w:r>
      <w:r w:rsidR="00FD68E8" w:rsidRPr="009118AB">
        <w:rPr>
          <w:i/>
        </w:rPr>
        <w:t> -]</w:t>
      </w:r>
    </w:p>
    <w:p w14:paraId="685BACE3" w14:textId="77777777" w:rsidR="00564D02" w:rsidRPr="009118AB" w:rsidRDefault="00564D02" w:rsidP="00423363">
      <w:pPr>
        <w:autoSpaceDE w:val="0"/>
        <w:autoSpaceDN w:val="0"/>
        <w:adjustRightInd w:val="0"/>
        <w:jc w:val="both"/>
        <w:rPr>
          <w:i/>
        </w:rPr>
      </w:pPr>
    </w:p>
    <w:p w14:paraId="2004749B" w14:textId="77777777" w:rsidR="00564D02" w:rsidRPr="009118AB" w:rsidRDefault="00564D02" w:rsidP="00423363">
      <w:pPr>
        <w:autoSpaceDE w:val="0"/>
        <w:autoSpaceDN w:val="0"/>
        <w:adjustRightInd w:val="0"/>
        <w:jc w:val="both"/>
      </w:pPr>
    </w:p>
    <w:p w14:paraId="65FA269D" w14:textId="77777777" w:rsidR="001F116B" w:rsidRPr="009118AB" w:rsidRDefault="001F116B">
      <w:pPr>
        <w:rPr>
          <w:rFonts w:eastAsia="Calibri"/>
        </w:rPr>
      </w:pPr>
      <w:r w:rsidRPr="009118AB">
        <w:rPr>
          <w:rFonts w:eastAsia="Calibri"/>
        </w:rPr>
        <w:br w:type="page"/>
      </w:r>
    </w:p>
    <w:p w14:paraId="48A839BD" w14:textId="2F98E745" w:rsidR="00564D02" w:rsidRPr="009118AB" w:rsidRDefault="00564D02" w:rsidP="00564D02">
      <w:pPr>
        <w:autoSpaceDE w:val="0"/>
        <w:autoSpaceDN w:val="0"/>
        <w:adjustRightInd w:val="0"/>
        <w:jc w:val="both"/>
        <w:rPr>
          <w:rFonts w:eastAsia="Calibri"/>
        </w:rPr>
      </w:pPr>
      <w:r w:rsidRPr="009118AB">
        <w:rPr>
          <w:rFonts w:eastAsia="Calibri"/>
        </w:rPr>
        <w:lastRenderedPageBreak/>
        <w:t>[Unterabschnitt 2</w:t>
      </w:r>
      <w:r w:rsidRPr="009118AB">
        <w:rPr>
          <w:rFonts w:eastAsia="Calibri"/>
          <w:i/>
        </w:rPr>
        <w:t>septies</w:t>
      </w:r>
      <w:r w:rsidRPr="009118AB">
        <w:rPr>
          <w:rFonts w:eastAsia="Calibri"/>
        </w:rPr>
        <w:t>/1</w:t>
      </w:r>
      <w:r w:rsidR="00D67EB8" w:rsidRPr="009118AB">
        <w:rPr>
          <w:rFonts w:eastAsia="Calibri"/>
        </w:rPr>
        <w:t> - </w:t>
      </w:r>
      <w:r w:rsidRPr="009118AB">
        <w:rPr>
          <w:rFonts w:eastAsia="Calibri"/>
        </w:rPr>
        <w:t>Ermäßigung für Minderwerte, die bei Gesamtverteilung des Gesellschaftsvermögens eines privaten Kapitalanlagefonds mit fixem Kapital gebucht werden]</w:t>
      </w:r>
    </w:p>
    <w:p w14:paraId="78BBE64B" w14:textId="77777777" w:rsidR="00564D02" w:rsidRPr="009118AB" w:rsidRDefault="00564D02" w:rsidP="00564D02">
      <w:pPr>
        <w:autoSpaceDE w:val="0"/>
        <w:autoSpaceDN w:val="0"/>
        <w:adjustRightInd w:val="0"/>
        <w:jc w:val="both"/>
        <w:rPr>
          <w:rFonts w:eastAsia="Calibri"/>
        </w:rPr>
      </w:pPr>
    </w:p>
    <w:p w14:paraId="5B7EB4E5" w14:textId="381AF06E" w:rsidR="00564D02" w:rsidRPr="009118AB" w:rsidRDefault="00564D02" w:rsidP="00564D02">
      <w:pPr>
        <w:jc w:val="both"/>
        <w:rPr>
          <w:i/>
        </w:rPr>
      </w:pPr>
      <w:r w:rsidRPr="009118AB">
        <w:rPr>
          <w:rFonts w:eastAsia="Calibri"/>
          <w:i/>
        </w:rPr>
        <w:t xml:space="preserve">[Unterteilung Unterabschnitt 2septies/1 eingefügt durch </w:t>
      </w:r>
      <w:r w:rsidR="00D67EB8" w:rsidRPr="009118AB">
        <w:rPr>
          <w:rFonts w:eastAsia="Calibri"/>
          <w:i/>
        </w:rPr>
        <w:t>Art. </w:t>
      </w:r>
      <w:r w:rsidRPr="009118AB">
        <w:rPr>
          <w:rFonts w:eastAsia="Calibri"/>
          <w:i/>
        </w:rPr>
        <w:t xml:space="preserve">47 </w:t>
      </w:r>
      <w:r w:rsidRPr="009118AB">
        <w:rPr>
          <w:i/>
        </w:rPr>
        <w:t>des G. vom 26. März 2018 (B.S. vom 30. März 2018)</w:t>
      </w:r>
      <w:r w:rsidR="00D67EB8" w:rsidRPr="009118AB">
        <w:rPr>
          <w:i/>
        </w:rPr>
        <w:t> - </w:t>
      </w:r>
      <w:r w:rsidR="007E5233" w:rsidRPr="009118AB">
        <w:rPr>
          <w:i/>
        </w:rPr>
        <w:t>anwendbar ab dem Steuerjahr 2019</w:t>
      </w:r>
      <w:r w:rsidR="00FD68E8" w:rsidRPr="009118AB">
        <w:rPr>
          <w:i/>
        </w:rPr>
        <w:t> -]</w:t>
      </w:r>
    </w:p>
    <w:p w14:paraId="26EE9387" w14:textId="77777777" w:rsidR="00564D02" w:rsidRPr="009118AB" w:rsidRDefault="00564D02" w:rsidP="00380D7D">
      <w:pPr>
        <w:tabs>
          <w:tab w:val="left" w:pos="2550"/>
        </w:tabs>
        <w:autoSpaceDE w:val="0"/>
        <w:autoSpaceDN w:val="0"/>
        <w:adjustRightInd w:val="0"/>
      </w:pPr>
    </w:p>
    <w:p w14:paraId="299E6FD2" w14:textId="77777777" w:rsidR="00564D02" w:rsidRPr="009118AB" w:rsidRDefault="00564D02" w:rsidP="00380D7D">
      <w:pPr>
        <w:tabs>
          <w:tab w:val="left" w:pos="2550"/>
        </w:tabs>
        <w:autoSpaceDE w:val="0"/>
        <w:autoSpaceDN w:val="0"/>
        <w:adjustRightInd w:val="0"/>
      </w:pPr>
    </w:p>
    <w:p w14:paraId="3E349398" w14:textId="6C3258B9" w:rsidR="007E5233" w:rsidRPr="009118AB" w:rsidRDefault="007E5233" w:rsidP="007E5233">
      <w:pPr>
        <w:autoSpaceDE w:val="0"/>
        <w:autoSpaceDN w:val="0"/>
        <w:adjustRightInd w:val="0"/>
        <w:jc w:val="both"/>
      </w:pPr>
      <w:r w:rsidRPr="009118AB">
        <w:tab/>
      </w:r>
      <w:r w:rsidR="00564D02" w:rsidRPr="009118AB">
        <w:t>[</w:t>
      </w:r>
      <w:r w:rsidR="00D67EB8" w:rsidRPr="009118AB">
        <w:rPr>
          <w:b/>
        </w:rPr>
        <w:t>Art. </w:t>
      </w:r>
      <w:r w:rsidRPr="009118AB">
        <w:rPr>
          <w:b/>
        </w:rPr>
        <w:t>145</w:t>
      </w:r>
      <w:r w:rsidRPr="009118AB">
        <w:rPr>
          <w:b/>
          <w:vertAlign w:val="superscript"/>
        </w:rPr>
        <w:t>26/1</w:t>
      </w:r>
      <w:r w:rsidR="00D67EB8" w:rsidRPr="009118AB">
        <w:t> - § </w:t>
      </w:r>
      <w:r w:rsidRPr="009118AB">
        <w:t>1</w:t>
      </w:r>
      <w:r w:rsidR="00D67EB8" w:rsidRPr="009118AB">
        <w:t> - </w:t>
      </w:r>
      <w:r w:rsidRPr="009118AB">
        <w:t>Eine Steuerermäßigung wird für Minderwerte auf Aktien oder Anteile eines in Artikel 298 des Gesetzes vom 19. April 2014 über alternative Organismen für gemeinsame Anlagen und ihre Verwalter erwähnten, ab dem 1. Januar 2018 errichteten privaten Kapitalanlagefonds mit fixem Kapital gewährt, die während des Besteuerungszeitraums beim Steuerpflichtigen anlässlich der Gesamtverteilung des Gesellschaftsvermögens eines privaten Kapitalanlagefonds mit fixem Kapital gebucht werden.</w:t>
      </w:r>
    </w:p>
    <w:p w14:paraId="020F12ED" w14:textId="77777777" w:rsidR="007E5233" w:rsidRPr="009118AB" w:rsidRDefault="007E5233" w:rsidP="007E5233">
      <w:pPr>
        <w:tabs>
          <w:tab w:val="left" w:pos="2550"/>
        </w:tabs>
        <w:autoSpaceDE w:val="0"/>
        <w:autoSpaceDN w:val="0"/>
        <w:adjustRightInd w:val="0"/>
        <w:jc w:val="both"/>
      </w:pPr>
    </w:p>
    <w:p w14:paraId="1755C65F" w14:textId="77777777" w:rsidR="007E5233" w:rsidRPr="009118AB" w:rsidRDefault="007E5233" w:rsidP="007E5233">
      <w:pPr>
        <w:autoSpaceDE w:val="0"/>
        <w:autoSpaceDN w:val="0"/>
        <w:adjustRightInd w:val="0"/>
        <w:jc w:val="both"/>
      </w:pPr>
      <w:r w:rsidRPr="009118AB">
        <w:tab/>
        <w:t>Der gebuchte Minderwert entspricht der Plusdifferenz zwischen einerseits dem vom Steuerpflichtigen eingezahlten Kapital auf Aktien oder Anteile des privaten Kapitalanlagefonds mit fixem Kapital und andererseits den vom Steuerpflichtigen anlässlich der Gesamtverteilung des Gesellschaftsvermögens des privaten Kapitalanlagefonds mit fixem Kapital erhaltenen Beträge zuzüglich zuvor vom Steuerpflichtigen erhaltener Dividenden des privaten Kapitalanlagefonds mit fixem Kapital.</w:t>
      </w:r>
    </w:p>
    <w:p w14:paraId="50A7EDCD" w14:textId="77777777" w:rsidR="007E5233" w:rsidRPr="009118AB" w:rsidRDefault="007E5233" w:rsidP="007E5233">
      <w:pPr>
        <w:tabs>
          <w:tab w:val="left" w:pos="2550"/>
        </w:tabs>
        <w:autoSpaceDE w:val="0"/>
        <w:autoSpaceDN w:val="0"/>
        <w:adjustRightInd w:val="0"/>
        <w:jc w:val="both"/>
      </w:pPr>
    </w:p>
    <w:p w14:paraId="555AA04C" w14:textId="77777777" w:rsidR="007E5233" w:rsidRPr="009118AB" w:rsidRDefault="007E5233" w:rsidP="007E5233">
      <w:pPr>
        <w:autoSpaceDE w:val="0"/>
        <w:autoSpaceDN w:val="0"/>
        <w:adjustRightInd w:val="0"/>
        <w:jc w:val="both"/>
      </w:pPr>
      <w:r w:rsidRPr="009118AB">
        <w:tab/>
        <w:t>Die Steuerermäßigung ist weder auf Minderwerte anwendbar, die auf Aktien oder Anteile gebucht werden, für die eine in Artikel 14526 oder 14527 erwähnte Steuerermäßigung gewährt wurde, noch auf Minderwerte, die aus einer Teilverteilung des Gesellschaftsvermögens hervorgehen.</w:t>
      </w:r>
    </w:p>
    <w:p w14:paraId="10C460C0" w14:textId="77777777" w:rsidR="007E5233" w:rsidRPr="009118AB" w:rsidRDefault="007E5233" w:rsidP="007E5233">
      <w:pPr>
        <w:tabs>
          <w:tab w:val="left" w:pos="2550"/>
        </w:tabs>
        <w:autoSpaceDE w:val="0"/>
        <w:autoSpaceDN w:val="0"/>
        <w:adjustRightInd w:val="0"/>
        <w:jc w:val="both"/>
      </w:pPr>
    </w:p>
    <w:p w14:paraId="58C050C2" w14:textId="48D1B26E" w:rsidR="007E5233" w:rsidRPr="009118AB" w:rsidRDefault="007E5233" w:rsidP="007E5233">
      <w:pPr>
        <w:autoSpaceDE w:val="0"/>
        <w:autoSpaceDN w:val="0"/>
        <w:adjustRightInd w:val="0"/>
        <w:jc w:val="both"/>
      </w:pPr>
      <w:r w:rsidRPr="009118AB">
        <w:tab/>
      </w:r>
      <w:r w:rsidR="00D67EB8" w:rsidRPr="009118AB">
        <w:t>§ </w:t>
      </w:r>
      <w:r w:rsidRPr="009118AB">
        <w:t>2</w:t>
      </w:r>
      <w:r w:rsidR="00D67EB8" w:rsidRPr="009118AB">
        <w:t> - </w:t>
      </w:r>
      <w:r w:rsidRPr="009118AB">
        <w:t xml:space="preserve">In </w:t>
      </w:r>
      <w:r w:rsidR="00D67EB8" w:rsidRPr="009118AB">
        <w:t>§ </w:t>
      </w:r>
      <w:r w:rsidRPr="009118AB">
        <w:t>1 erwähnte Minderwerte kommen für die Steuerermäßigung nur bis zu einem Betrag von 25.000 EUR pro Besteuerungszeitraum in Betracht. Dieser Betrag wird nicht gemäß Artikel 178 indexiert.</w:t>
      </w:r>
    </w:p>
    <w:p w14:paraId="64E7065B" w14:textId="77777777" w:rsidR="007E5233" w:rsidRPr="009118AB" w:rsidRDefault="007E5233" w:rsidP="007E5233">
      <w:pPr>
        <w:tabs>
          <w:tab w:val="left" w:pos="2550"/>
        </w:tabs>
        <w:autoSpaceDE w:val="0"/>
        <w:autoSpaceDN w:val="0"/>
        <w:adjustRightInd w:val="0"/>
        <w:jc w:val="both"/>
      </w:pPr>
    </w:p>
    <w:p w14:paraId="0DEBAFC5" w14:textId="77777777" w:rsidR="007E5233" w:rsidRPr="009118AB" w:rsidRDefault="007E5233" w:rsidP="007E5233">
      <w:pPr>
        <w:autoSpaceDE w:val="0"/>
        <w:autoSpaceDN w:val="0"/>
        <w:adjustRightInd w:val="0"/>
        <w:jc w:val="both"/>
      </w:pPr>
      <w:r w:rsidRPr="009118AB">
        <w:tab/>
        <w:t xml:space="preserve">Die Steuerermäßigung beträgt 25 Prozent der in Betracht kommenden Minderwerte. </w:t>
      </w:r>
    </w:p>
    <w:p w14:paraId="25C2E2D3" w14:textId="77777777" w:rsidR="007E5233" w:rsidRPr="009118AB" w:rsidRDefault="007E5233" w:rsidP="007E5233">
      <w:pPr>
        <w:tabs>
          <w:tab w:val="left" w:pos="2550"/>
        </w:tabs>
        <w:autoSpaceDE w:val="0"/>
        <w:autoSpaceDN w:val="0"/>
        <w:adjustRightInd w:val="0"/>
        <w:jc w:val="both"/>
      </w:pPr>
    </w:p>
    <w:p w14:paraId="40846C5A" w14:textId="18E51FA4" w:rsidR="00715690" w:rsidRPr="009118AB" w:rsidRDefault="007E5233" w:rsidP="007E5233">
      <w:pPr>
        <w:autoSpaceDE w:val="0"/>
        <w:autoSpaceDN w:val="0"/>
        <w:adjustRightInd w:val="0"/>
        <w:jc w:val="both"/>
      </w:pPr>
      <w:r w:rsidRPr="009118AB">
        <w:tab/>
      </w:r>
      <w:r w:rsidR="00D67EB8" w:rsidRPr="009118AB">
        <w:t>§ </w:t>
      </w:r>
      <w:r w:rsidRPr="009118AB">
        <w:t>3</w:t>
      </w:r>
      <w:r w:rsidR="00D67EB8" w:rsidRPr="009118AB">
        <w:t> - </w:t>
      </w:r>
      <w:r w:rsidRPr="009118AB">
        <w:t xml:space="preserve">Der König bestimmt, wie der Nachweis erbracht wird, dass die Minderwerte den in </w:t>
      </w:r>
      <w:r w:rsidR="00D67EB8" w:rsidRPr="009118AB">
        <w:t>§ </w:t>
      </w:r>
      <w:r w:rsidRPr="009118AB">
        <w:t>1 erwähnten Bedingungen entsprechen.</w:t>
      </w:r>
      <w:r w:rsidR="00564D02" w:rsidRPr="009118AB">
        <w:t>]</w:t>
      </w:r>
      <w:r w:rsidR="00380D7D" w:rsidRPr="009118AB">
        <w:tab/>
      </w:r>
    </w:p>
    <w:p w14:paraId="333D9F46" w14:textId="77777777" w:rsidR="00715690" w:rsidRPr="009118AB" w:rsidRDefault="00715690" w:rsidP="007E5233">
      <w:pPr>
        <w:autoSpaceDE w:val="0"/>
        <w:autoSpaceDN w:val="0"/>
        <w:adjustRightInd w:val="0"/>
        <w:jc w:val="both"/>
      </w:pPr>
    </w:p>
    <w:p w14:paraId="5E140D74" w14:textId="4BF0C760" w:rsidR="007E5233" w:rsidRPr="009118AB" w:rsidRDefault="007E5233" w:rsidP="007E5233">
      <w:pPr>
        <w:jc w:val="both"/>
        <w:rPr>
          <w:i/>
        </w:rPr>
      </w:pPr>
      <w:r w:rsidRPr="009118AB">
        <w:rPr>
          <w:i/>
        </w:rPr>
        <w:t>[</w:t>
      </w:r>
      <w:r w:rsidR="00D67EB8" w:rsidRPr="009118AB">
        <w:rPr>
          <w:i/>
        </w:rPr>
        <w:t>Art. </w:t>
      </w:r>
      <w:r w:rsidRPr="009118AB">
        <w:rPr>
          <w:i/>
        </w:rPr>
        <w:t>145</w:t>
      </w:r>
      <w:r w:rsidRPr="009118AB">
        <w:rPr>
          <w:i/>
          <w:vertAlign w:val="superscript"/>
        </w:rPr>
        <w:t>26/1</w:t>
      </w:r>
      <w:r w:rsidRPr="009118AB">
        <w:rPr>
          <w:i/>
        </w:rPr>
        <w:t xml:space="preserve"> eingefügt durch </w:t>
      </w:r>
      <w:r w:rsidR="00D67EB8" w:rsidRPr="009118AB">
        <w:rPr>
          <w:rFonts w:eastAsia="Calibri"/>
          <w:i/>
        </w:rPr>
        <w:t>Art. </w:t>
      </w:r>
      <w:r w:rsidRPr="009118AB">
        <w:rPr>
          <w:rFonts w:eastAsia="Calibri"/>
          <w:i/>
        </w:rPr>
        <w:t xml:space="preserve">48 </w:t>
      </w:r>
      <w:r w:rsidRPr="009118AB">
        <w:rPr>
          <w:i/>
        </w:rPr>
        <w:t>des G. vom 26. März </w:t>
      </w:r>
      <w:r w:rsidR="00B3148A" w:rsidRPr="009118AB">
        <w:rPr>
          <w:i/>
        </w:rPr>
        <w:t>2018 (B.S. vom 30. März 2018)</w:t>
      </w:r>
      <w:r w:rsidR="00D67EB8" w:rsidRPr="009118AB">
        <w:rPr>
          <w:i/>
        </w:rPr>
        <w:t> - </w:t>
      </w:r>
      <w:r w:rsidRPr="009118AB">
        <w:rPr>
          <w:i/>
        </w:rPr>
        <w:t>anwendbar ab dem Steuerjahr 2019</w:t>
      </w:r>
      <w:r w:rsidR="00FD68E8" w:rsidRPr="009118AB">
        <w:rPr>
          <w:i/>
        </w:rPr>
        <w:t> -]</w:t>
      </w:r>
    </w:p>
    <w:p w14:paraId="425510DA" w14:textId="0AA1D439" w:rsidR="00477B8F" w:rsidRPr="009118AB" w:rsidRDefault="00380D7D" w:rsidP="0060708F">
      <w:pPr>
        <w:autoSpaceDE w:val="0"/>
        <w:autoSpaceDN w:val="0"/>
        <w:adjustRightInd w:val="0"/>
        <w:jc w:val="center"/>
      </w:pPr>
      <w:r w:rsidRPr="009118AB">
        <w:br w:type="page"/>
      </w:r>
      <w:r w:rsidR="00477B8F" w:rsidRPr="009118AB">
        <w:lastRenderedPageBreak/>
        <w:t>[Unterabschnitt </w:t>
      </w:r>
      <w:r w:rsidR="00D74862" w:rsidRPr="009118AB">
        <w:t>2</w:t>
      </w:r>
      <w:r w:rsidR="00477B8F" w:rsidRPr="009118AB">
        <w:rPr>
          <w:i/>
          <w:iCs/>
        </w:rPr>
        <w:t>octies</w:t>
      </w:r>
      <w:r w:rsidR="00D67EB8" w:rsidRPr="009118AB">
        <w:t> - </w:t>
      </w:r>
      <w:r w:rsidR="00DD52E4" w:rsidRPr="009118AB">
        <w:t>[</w:t>
      </w:r>
      <w:r w:rsidR="00886AFE" w:rsidRPr="009118AB">
        <w:rPr>
          <w:rFonts w:eastAsia="Calibri"/>
        </w:rPr>
        <w:t>Ermäßigung für den Erwerb neuer Aktien oder Anteile von expandierenden Unternehmen</w:t>
      </w:r>
      <w:r w:rsidR="00D67EB8" w:rsidRPr="009118AB">
        <w:rPr>
          <w:rFonts w:eastAsia="Calibri"/>
        </w:rPr>
        <w:t> - </w:t>
      </w:r>
      <w:r w:rsidR="00886AFE" w:rsidRPr="009118AB">
        <w:rPr>
          <w:rFonts w:eastAsia="Calibri"/>
        </w:rPr>
        <w:t>Rücknahme der Ermäßigung</w:t>
      </w:r>
      <w:r w:rsidR="00DD52E4" w:rsidRPr="009118AB">
        <w:t>]</w:t>
      </w:r>
      <w:r w:rsidR="004565B9" w:rsidRPr="009118AB">
        <w:t>]</w:t>
      </w:r>
    </w:p>
    <w:p w14:paraId="547462BF" w14:textId="77777777" w:rsidR="00477B8F" w:rsidRPr="009118AB" w:rsidRDefault="00477B8F" w:rsidP="00477B8F">
      <w:pPr>
        <w:autoSpaceDE w:val="0"/>
        <w:autoSpaceDN w:val="0"/>
        <w:adjustRightInd w:val="0"/>
        <w:jc w:val="both"/>
      </w:pPr>
    </w:p>
    <w:p w14:paraId="0FFD1447" w14:textId="5959DB42" w:rsidR="00477B8F" w:rsidRPr="009118AB" w:rsidRDefault="00477B8F" w:rsidP="00477B8F">
      <w:pPr>
        <w:autoSpaceDE w:val="0"/>
        <w:autoSpaceDN w:val="0"/>
        <w:adjustRightInd w:val="0"/>
        <w:jc w:val="both"/>
      </w:pPr>
      <w:r w:rsidRPr="009118AB">
        <w:rPr>
          <w:i/>
          <w:iCs/>
        </w:rPr>
        <w:t>[</w:t>
      </w:r>
      <w:r w:rsidR="004565B9" w:rsidRPr="009118AB">
        <w:rPr>
          <w:i/>
          <w:iCs/>
        </w:rPr>
        <w:t xml:space="preserve">Unterteilung </w:t>
      </w:r>
      <w:r w:rsidRPr="009118AB">
        <w:rPr>
          <w:i/>
          <w:iCs/>
        </w:rPr>
        <w:t>Unterabschnitt </w:t>
      </w:r>
      <w:r w:rsidR="00D74862" w:rsidRPr="009118AB">
        <w:rPr>
          <w:i/>
          <w:iCs/>
        </w:rPr>
        <w:t>2</w:t>
      </w:r>
      <w:r w:rsidRPr="009118AB">
        <w:rPr>
          <w:i/>
          <w:iCs/>
        </w:rPr>
        <w:t xml:space="preserve">octies eingefügt durch </w:t>
      </w:r>
      <w:r w:rsidR="00D67EB8" w:rsidRPr="009118AB">
        <w:rPr>
          <w:i/>
          <w:iCs/>
        </w:rPr>
        <w:t>Art. </w:t>
      </w:r>
      <w:r w:rsidRPr="009118AB">
        <w:rPr>
          <w:i/>
          <w:iCs/>
        </w:rPr>
        <w:t>116 des G. vom 8. April 2003 (B.S. vom 17. April 2003)</w:t>
      </w:r>
      <w:r w:rsidR="00886AFE" w:rsidRPr="009118AB">
        <w:rPr>
          <w:i/>
          <w:iCs/>
        </w:rPr>
        <w:t xml:space="preserve">, </w:t>
      </w:r>
      <w:r w:rsidR="00DD52E4" w:rsidRPr="009118AB">
        <w:rPr>
          <w:i/>
          <w:iCs/>
        </w:rPr>
        <w:t xml:space="preserve">aufgehoben durch </w:t>
      </w:r>
      <w:r w:rsidR="00D67EB8" w:rsidRPr="009118AB">
        <w:rPr>
          <w:i/>
          <w:iCs/>
        </w:rPr>
        <w:t>Art. </w:t>
      </w:r>
      <w:r w:rsidR="004B29D4" w:rsidRPr="009118AB">
        <w:rPr>
          <w:i/>
          <w:iCs/>
        </w:rPr>
        <w:t>33</w:t>
      </w:r>
      <w:r w:rsidR="004B29D4" w:rsidRPr="009118AB">
        <w:rPr>
          <w:i/>
        </w:rPr>
        <w:t xml:space="preserve"> des G. vom 8. Mai 2014 (B.S. vom 28. Mai 2014)</w:t>
      </w:r>
      <w:r w:rsidR="00D67EB8" w:rsidRPr="009118AB">
        <w:rPr>
          <w:i/>
        </w:rPr>
        <w:t> - </w:t>
      </w:r>
      <w:r w:rsidR="004B29D4" w:rsidRPr="009118AB">
        <w:rPr>
          <w:i/>
          <w:iCs/>
        </w:rPr>
        <w:t>anwendbar ab dem Steuerjahr 2015</w:t>
      </w:r>
      <w:r w:rsidR="00D67EB8" w:rsidRPr="009118AB">
        <w:rPr>
          <w:i/>
          <w:iCs/>
        </w:rPr>
        <w:t> - </w:t>
      </w:r>
      <w:r w:rsidR="00886AFE" w:rsidRPr="009118AB">
        <w:rPr>
          <w:i/>
          <w:iCs/>
        </w:rPr>
        <w:t xml:space="preserve">und wieder aufgenommen durch </w:t>
      </w:r>
      <w:r w:rsidR="00D67EB8" w:rsidRPr="009118AB">
        <w:rPr>
          <w:i/>
          <w:iCs/>
        </w:rPr>
        <w:t>Art. </w:t>
      </w:r>
      <w:r w:rsidR="00886AFE" w:rsidRPr="009118AB">
        <w:rPr>
          <w:i/>
          <w:iCs/>
        </w:rPr>
        <w:t>29 des G. vom 26. März 2018 (B.S. vom 30. März 2018)</w:t>
      </w:r>
      <w:r w:rsidR="00D67EB8" w:rsidRPr="009118AB">
        <w:rPr>
          <w:i/>
          <w:iCs/>
        </w:rPr>
        <w:t> - </w:t>
      </w:r>
      <w:r w:rsidR="00886AFE" w:rsidRPr="009118AB">
        <w:rPr>
          <w:i/>
          <w:iCs/>
        </w:rPr>
        <w:t>wirksam ab dem Steuerjahr 2019</w:t>
      </w:r>
      <w:r w:rsidR="00FD68E8" w:rsidRPr="009118AB">
        <w:rPr>
          <w:i/>
          <w:iCs/>
        </w:rPr>
        <w:t> -]</w:t>
      </w:r>
    </w:p>
    <w:p w14:paraId="7AFFA7EE" w14:textId="77777777" w:rsidR="00477B8F" w:rsidRPr="009118AB" w:rsidRDefault="00477B8F" w:rsidP="00477B8F">
      <w:pPr>
        <w:autoSpaceDE w:val="0"/>
        <w:autoSpaceDN w:val="0"/>
        <w:adjustRightInd w:val="0"/>
        <w:jc w:val="both"/>
      </w:pPr>
    </w:p>
    <w:p w14:paraId="3CDA41E2" w14:textId="77777777" w:rsidR="00477B8F" w:rsidRPr="009118AB" w:rsidRDefault="00477B8F" w:rsidP="00477B8F">
      <w:pPr>
        <w:autoSpaceDE w:val="0"/>
        <w:autoSpaceDN w:val="0"/>
        <w:adjustRightInd w:val="0"/>
        <w:jc w:val="both"/>
      </w:pPr>
    </w:p>
    <w:p w14:paraId="1C1E4EA6" w14:textId="77E3D3BF" w:rsidR="00886AFE" w:rsidRPr="009118AB" w:rsidRDefault="00477B8F" w:rsidP="00886AFE">
      <w:pPr>
        <w:autoSpaceDE w:val="0"/>
        <w:autoSpaceDN w:val="0"/>
        <w:adjustRightInd w:val="0"/>
        <w:jc w:val="both"/>
      </w:pPr>
      <w:r w:rsidRPr="009118AB">
        <w:tab/>
      </w:r>
      <w:r w:rsidR="00DC317E" w:rsidRPr="009118AB">
        <w:t>[</w:t>
      </w:r>
      <w:r w:rsidR="00D67EB8" w:rsidRPr="009118AB">
        <w:rPr>
          <w:b/>
          <w:bCs/>
        </w:rPr>
        <w:t>Art. </w:t>
      </w:r>
      <w:r w:rsidRPr="009118AB">
        <w:rPr>
          <w:b/>
          <w:bCs/>
        </w:rPr>
        <w:t>145</w:t>
      </w:r>
      <w:r w:rsidRPr="009118AB">
        <w:rPr>
          <w:b/>
          <w:bCs/>
          <w:vertAlign w:val="superscript"/>
        </w:rPr>
        <w:t>27</w:t>
      </w:r>
      <w:r w:rsidR="00D67EB8" w:rsidRPr="009118AB">
        <w:t> - </w:t>
      </w:r>
      <w:r w:rsidR="00DD52E4" w:rsidRPr="009118AB">
        <w:t>[</w:t>
      </w:r>
      <w:r w:rsidR="00D67EB8" w:rsidRPr="009118AB">
        <w:t>§ </w:t>
      </w:r>
      <w:r w:rsidR="00886AFE" w:rsidRPr="009118AB">
        <w:t>1</w:t>
      </w:r>
      <w:r w:rsidR="00D67EB8" w:rsidRPr="009118AB">
        <w:t> - </w:t>
      </w:r>
      <w:r w:rsidR="00886AFE" w:rsidRPr="009118AB">
        <w:t>Eine Steuerermäßigung wird für Summen gewährt, die gezahlt werden für:</w:t>
      </w:r>
    </w:p>
    <w:p w14:paraId="51BBFE16" w14:textId="77777777" w:rsidR="00886AFE" w:rsidRPr="009118AB" w:rsidRDefault="00886AFE" w:rsidP="00886AFE">
      <w:pPr>
        <w:autoSpaceDE w:val="0"/>
        <w:autoSpaceDN w:val="0"/>
        <w:adjustRightInd w:val="0"/>
        <w:jc w:val="both"/>
      </w:pPr>
    </w:p>
    <w:p w14:paraId="340F6C48" w14:textId="7C1A0917" w:rsidR="00886AFE" w:rsidRPr="009118AB" w:rsidRDefault="00886AFE" w:rsidP="00886AFE">
      <w:pPr>
        <w:autoSpaceDE w:val="0"/>
        <w:autoSpaceDN w:val="0"/>
        <w:adjustRightInd w:val="0"/>
        <w:jc w:val="both"/>
      </w:pPr>
      <w:r w:rsidRPr="009118AB">
        <w:tab/>
      </w:r>
      <w:r w:rsidRPr="009118AB">
        <w:rPr>
          <w:i/>
        </w:rPr>
        <w:t xml:space="preserve">a) </w:t>
      </w:r>
      <w:r w:rsidRPr="009118AB">
        <w:t xml:space="preserve">mit Geldeinlagen erworbene neue Namensaktien oder -anteile, die einen Teil des </w:t>
      </w:r>
      <w:r w:rsidR="004F3415" w:rsidRPr="009118AB">
        <w:t>[K</w:t>
      </w:r>
      <w:r w:rsidRPr="009118AB">
        <w:t>apitals</w:t>
      </w:r>
      <w:r w:rsidR="004F3415" w:rsidRPr="009118AB">
        <w:t>]</w:t>
      </w:r>
      <w:r w:rsidRPr="009118AB">
        <w:t xml:space="preserve"> einer in </w:t>
      </w:r>
      <w:r w:rsidR="00D67EB8" w:rsidRPr="009118AB">
        <w:t>§ </w:t>
      </w:r>
      <w:r w:rsidRPr="009118AB">
        <w:t>2 Absatz 1 erwähnten Gesells</w:t>
      </w:r>
      <w:r w:rsidR="00A9519E" w:rsidRPr="009118AB">
        <w:t>chaft vertreten, die der Steuer</w:t>
      </w:r>
      <w:r w:rsidRPr="009118AB">
        <w:t>pflichtige anlässlich einer Kapitalerhöhung im fünften, sechsten, siebten, achten, neunten oder zehnten Jahr nach ihrer Gründung entweder direkt oder über eine Crowdfunding-Plattform gezeichnet hat und die er vollständig eingezahlt hat,</w:t>
      </w:r>
    </w:p>
    <w:p w14:paraId="4EB9DB46" w14:textId="77777777" w:rsidR="00886AFE" w:rsidRPr="009118AB" w:rsidRDefault="00886AFE" w:rsidP="00886AFE">
      <w:pPr>
        <w:autoSpaceDE w:val="0"/>
        <w:autoSpaceDN w:val="0"/>
        <w:adjustRightInd w:val="0"/>
        <w:jc w:val="both"/>
      </w:pPr>
    </w:p>
    <w:p w14:paraId="4B1DF375" w14:textId="3F16955A" w:rsidR="00886AFE" w:rsidRPr="009118AB" w:rsidRDefault="00886AFE" w:rsidP="00886AFE">
      <w:pPr>
        <w:autoSpaceDE w:val="0"/>
        <w:autoSpaceDN w:val="0"/>
        <w:adjustRightInd w:val="0"/>
        <w:jc w:val="both"/>
      </w:pPr>
      <w:r w:rsidRPr="009118AB">
        <w:tab/>
      </w:r>
      <w:r w:rsidRPr="009118AB">
        <w:rPr>
          <w:i/>
        </w:rPr>
        <w:t>b)</w:t>
      </w:r>
      <w:r w:rsidRPr="009118AB">
        <w:t xml:space="preserve"> </w:t>
      </w:r>
      <w:r w:rsidR="003D0BB2" w:rsidRPr="009118AB">
        <w:t>[neue Anlageinstrumente, die von einer in Artikel 2 Absatz 1 Buchstabe q der Verordnung (EU) 2020/1503 des Europäischen Parlaments und des Rates vom 7. Oktober 2020 über Europäische Schwarmfinanzierungsdienstleister für Unternehmen und zur Änderung der Verordnung (EU) 2017/1129 und der Richtlinie (EU) 2019/1937 erwähnten Zweckgesellschaft ausgegeben worden sind und die der Steuerpflichtige über eine Crowdfunding-Plattform gezeichnet hat, vorausgesetzt, die Zweckgesellschaft investiert die Zahlungen der Steuerpflichtigen</w:t>
      </w:r>
      <w:r w:rsidR="00D67EB8" w:rsidRPr="009118AB">
        <w:t> - </w:t>
      </w:r>
      <w:r w:rsidR="003D0BB2" w:rsidRPr="009118AB">
        <w:t>gegebenenfalls nach Abzug einer Entschädigung für ihre Vermittlerrolle</w:t>
      </w:r>
      <w:r w:rsidR="00D67EB8" w:rsidRPr="009118AB">
        <w:t> - </w:t>
      </w:r>
      <w:r w:rsidR="003D0BB2" w:rsidRPr="009118AB">
        <w:t xml:space="preserve">direkt in neue Namensaktien oder -anteile, die einen Teil des Kapitals einer in </w:t>
      </w:r>
      <w:r w:rsidR="00D67EB8" w:rsidRPr="009118AB">
        <w:t>§ </w:t>
      </w:r>
      <w:r w:rsidR="003D0BB2" w:rsidRPr="009118AB">
        <w:t>2 Absatz 1 erwähnten Gesellschaft vertreten, die anlässlich einer Kapitalerhöhung im fünften, sechsten, siebten, achten, neunten oder zehnten Jahr nach ihrer Gründung ausgegeben werden und vollständig eingezahlt werden. Emittenten von Aktienzertifikaten werden Zweckgesellschaften gleichgesetzt.]</w:t>
      </w:r>
    </w:p>
    <w:p w14:paraId="57119FFA" w14:textId="77777777" w:rsidR="00886AFE" w:rsidRPr="009118AB" w:rsidRDefault="00886AFE" w:rsidP="00886AFE">
      <w:pPr>
        <w:autoSpaceDE w:val="0"/>
        <w:autoSpaceDN w:val="0"/>
        <w:adjustRightInd w:val="0"/>
        <w:jc w:val="both"/>
      </w:pPr>
    </w:p>
    <w:p w14:paraId="5A3316CE" w14:textId="0CB69503" w:rsidR="00886AFE" w:rsidRPr="009118AB" w:rsidRDefault="00886AFE" w:rsidP="00886AFE">
      <w:pPr>
        <w:autoSpaceDE w:val="0"/>
        <w:autoSpaceDN w:val="0"/>
        <w:adjustRightInd w:val="0"/>
        <w:jc w:val="both"/>
      </w:pPr>
      <w:r w:rsidRPr="009118AB">
        <w:tab/>
        <w:t xml:space="preserve">Die in Absatz 1 erwähnte Crowdfunding-Plattform ist eine belgische Plattform oder eine Plattform, die dem Recht eines anderen Mitgliedstaates des Europäischen Wirtschaftsraums unterliegt wie in Artikel 14526 </w:t>
      </w:r>
      <w:r w:rsidR="00D67EB8" w:rsidRPr="009118AB">
        <w:t>§ </w:t>
      </w:r>
      <w:r w:rsidRPr="009118AB">
        <w:t>1 Absatz 2 erwähnt.</w:t>
      </w:r>
    </w:p>
    <w:p w14:paraId="74FEC6A2" w14:textId="77777777" w:rsidR="00886AFE" w:rsidRPr="009118AB" w:rsidRDefault="00886AFE" w:rsidP="00886AFE">
      <w:pPr>
        <w:autoSpaceDE w:val="0"/>
        <w:autoSpaceDN w:val="0"/>
        <w:adjustRightInd w:val="0"/>
        <w:jc w:val="both"/>
      </w:pPr>
    </w:p>
    <w:p w14:paraId="6D1720F8" w14:textId="77777777" w:rsidR="00886AFE" w:rsidRPr="009118AB" w:rsidRDefault="00886AFE" w:rsidP="00886AFE">
      <w:pPr>
        <w:autoSpaceDE w:val="0"/>
        <w:autoSpaceDN w:val="0"/>
        <w:adjustRightInd w:val="0"/>
        <w:jc w:val="both"/>
      </w:pPr>
      <w:r w:rsidRPr="009118AB">
        <w:tab/>
        <w:t>Für die Anwendung des vorliegenden Artikels gilt, dass eine Gesellschaft an dem Datum gegründet worden ist, an dem der Errichtungsakt bei der Kanzlei des Handelsgerichts hinterlegt worden ist oder eine entsprechende Registrierungsformalität in einem anderen Mitgliedstaat des Europäischen Wirtschaftsraums erfolgt ist.</w:t>
      </w:r>
    </w:p>
    <w:p w14:paraId="2B58CE7E" w14:textId="77777777" w:rsidR="00886AFE" w:rsidRPr="009118AB" w:rsidRDefault="00886AFE" w:rsidP="00886AFE">
      <w:pPr>
        <w:autoSpaceDE w:val="0"/>
        <w:autoSpaceDN w:val="0"/>
        <w:adjustRightInd w:val="0"/>
        <w:jc w:val="both"/>
      </w:pPr>
    </w:p>
    <w:p w14:paraId="7603884A" w14:textId="40F1CD53" w:rsidR="00886AFE" w:rsidRPr="009118AB" w:rsidRDefault="00886AFE" w:rsidP="00886AFE">
      <w:pPr>
        <w:autoSpaceDE w:val="0"/>
        <w:autoSpaceDN w:val="0"/>
        <w:adjustRightInd w:val="0"/>
        <w:jc w:val="both"/>
      </w:pPr>
      <w:r w:rsidRPr="009118AB">
        <w:tab/>
        <w:t>Besteht die Tätigkeit der Gesellschaft in der Fortführung einer Tätigkeit, die vorher von einer natürlichen Person oder einer anderen juristischen Person ausgeübt wurde, gilt in Abweichung von Absatz 3, dass die Gesellschaft zu dem Zeitpunkt gegründet worden ist, zu dem diese natürliche Person die erste Eintragung in der Zentralen Datenbank der Unternehmen veranlasst hat beziehungsweise zu dem der Errichtungsakt dieser anderen juristischen Person bei der Kanzlei des Handelsgerichts hinterlegt worden ist oder zu dem diese natürliche Person oder diese andere juristische Person eine entsprechende Registrierungsformalität in einem anderen Mitgliedstaat des Europäischen Wirtschaftsraums durchgeführt hat.</w:t>
      </w:r>
    </w:p>
    <w:p w14:paraId="00908456" w14:textId="77777777" w:rsidR="0085032A" w:rsidRPr="009118AB" w:rsidRDefault="00886AFE" w:rsidP="00886AFE">
      <w:pPr>
        <w:autoSpaceDE w:val="0"/>
        <w:autoSpaceDN w:val="0"/>
        <w:adjustRightInd w:val="0"/>
        <w:jc w:val="both"/>
      </w:pPr>
      <w:r w:rsidRPr="009118AB">
        <w:tab/>
      </w:r>
    </w:p>
    <w:p w14:paraId="5BC9675D" w14:textId="3CA58F45" w:rsidR="00886AFE" w:rsidRPr="009118AB" w:rsidRDefault="0085032A" w:rsidP="003D0BB2">
      <w:r w:rsidRPr="009118AB">
        <w:br w:type="page"/>
      </w:r>
      <w:r w:rsidRPr="009118AB">
        <w:lastRenderedPageBreak/>
        <w:tab/>
      </w:r>
      <w:r w:rsidR="00D67EB8" w:rsidRPr="009118AB">
        <w:t>§ </w:t>
      </w:r>
      <w:r w:rsidR="00886AFE" w:rsidRPr="009118AB">
        <w:t>2</w:t>
      </w:r>
      <w:r w:rsidR="00D67EB8" w:rsidRPr="009118AB">
        <w:t> - </w:t>
      </w:r>
      <w:r w:rsidR="00886AFE" w:rsidRPr="009118AB">
        <w:t>Vorliegender Artikel ist auf Aktien oder Anteile einer Gesellschaft anwendbar, die gleichzeitig alle folgenden Bedingungen erfüllt:</w:t>
      </w:r>
    </w:p>
    <w:p w14:paraId="588F4A94" w14:textId="77777777" w:rsidR="00886AFE" w:rsidRPr="009118AB" w:rsidRDefault="00886AFE" w:rsidP="00886AFE">
      <w:pPr>
        <w:autoSpaceDE w:val="0"/>
        <w:autoSpaceDN w:val="0"/>
        <w:adjustRightInd w:val="0"/>
        <w:jc w:val="both"/>
      </w:pPr>
    </w:p>
    <w:p w14:paraId="0C2CE9E8" w14:textId="3AADC203" w:rsidR="00886AFE" w:rsidRPr="009118AB" w:rsidRDefault="00886AFE" w:rsidP="00886AFE">
      <w:pPr>
        <w:autoSpaceDE w:val="0"/>
        <w:autoSpaceDN w:val="0"/>
        <w:adjustRightInd w:val="0"/>
        <w:jc w:val="both"/>
      </w:pPr>
      <w:r w:rsidRPr="009118AB">
        <w:tab/>
        <w:t xml:space="preserve">1. Die Gesellschaft ist eine inländische Gesellschaft oder eine Gesellschaft, deren </w:t>
      </w:r>
      <w:r w:rsidR="004F3415" w:rsidRPr="009118AB">
        <w:t>[…]</w:t>
      </w:r>
      <w:r w:rsidRPr="009118AB">
        <w:t xml:space="preserve"> Hauptniederlassung oder Geschäftsführungs- oder Verwaltungssitz in einem anderen Mitgliedstaat des Europäischen Wirtschaftsraums liegt und die über eine in Artikel 229 erwähnte belgische Niederlassung verfügt.</w:t>
      </w:r>
    </w:p>
    <w:p w14:paraId="32163077" w14:textId="77777777" w:rsidR="00886AFE" w:rsidRPr="009118AB" w:rsidRDefault="00886AFE" w:rsidP="00886AFE">
      <w:pPr>
        <w:autoSpaceDE w:val="0"/>
        <w:autoSpaceDN w:val="0"/>
        <w:adjustRightInd w:val="0"/>
        <w:jc w:val="both"/>
      </w:pPr>
    </w:p>
    <w:p w14:paraId="184E0E23" w14:textId="31592835" w:rsidR="00886AFE" w:rsidRPr="009118AB" w:rsidRDefault="00886AFE" w:rsidP="00886AFE">
      <w:pPr>
        <w:autoSpaceDE w:val="0"/>
        <w:autoSpaceDN w:val="0"/>
        <w:adjustRightInd w:val="0"/>
        <w:jc w:val="both"/>
      </w:pPr>
      <w:r w:rsidRPr="009118AB">
        <w:tab/>
        <w:t xml:space="preserve">2. Die Gesellschaft gilt </w:t>
      </w:r>
      <w:r w:rsidR="00FD68E8" w:rsidRPr="009118AB">
        <w:t>[...</w:t>
      </w:r>
      <w:r w:rsidR="004F3415" w:rsidRPr="009118AB">
        <w:t>]</w:t>
      </w:r>
      <w:r w:rsidRPr="009118AB">
        <w:t xml:space="preserve"> für das Steuerjahr, das sich auf den Besteuerungszeitraum bezieht, in dem die Kapitaleinlage erfolgt, als kleine Gesellschaft.</w:t>
      </w:r>
    </w:p>
    <w:p w14:paraId="05812471" w14:textId="77777777" w:rsidR="00886AFE" w:rsidRPr="009118AB" w:rsidRDefault="00886AFE" w:rsidP="00886AFE">
      <w:pPr>
        <w:autoSpaceDE w:val="0"/>
        <w:autoSpaceDN w:val="0"/>
        <w:adjustRightInd w:val="0"/>
        <w:jc w:val="both"/>
      </w:pPr>
    </w:p>
    <w:p w14:paraId="465FC0B7" w14:textId="77777777" w:rsidR="00886AFE" w:rsidRPr="009118AB" w:rsidRDefault="00886AFE" w:rsidP="00886AFE">
      <w:pPr>
        <w:autoSpaceDE w:val="0"/>
        <w:autoSpaceDN w:val="0"/>
        <w:adjustRightInd w:val="0"/>
        <w:jc w:val="both"/>
      </w:pPr>
      <w:r w:rsidRPr="009118AB">
        <w:tab/>
        <w:t>3. Die Gesellschaft beschäftigt im Rahmen von Arbeitsverträgen mindestens zehn Personen in Vollzeitgleichwerten.</w:t>
      </w:r>
    </w:p>
    <w:p w14:paraId="62711920" w14:textId="77777777" w:rsidR="00886AFE" w:rsidRPr="009118AB" w:rsidRDefault="00886AFE" w:rsidP="00886AFE">
      <w:pPr>
        <w:autoSpaceDE w:val="0"/>
        <w:autoSpaceDN w:val="0"/>
        <w:adjustRightInd w:val="0"/>
        <w:jc w:val="both"/>
      </w:pPr>
    </w:p>
    <w:p w14:paraId="27DDC900" w14:textId="77777777" w:rsidR="00886AFE" w:rsidRPr="009118AB" w:rsidRDefault="00886AFE" w:rsidP="00886AFE">
      <w:pPr>
        <w:autoSpaceDE w:val="0"/>
        <w:autoSpaceDN w:val="0"/>
        <w:adjustRightInd w:val="0"/>
        <w:jc w:val="both"/>
      </w:pPr>
      <w:r w:rsidRPr="009118AB">
        <w:tab/>
        <w:t>4. Über die letzten beiden Steuerjahre vor Einzahlung der Aktien:</w:t>
      </w:r>
    </w:p>
    <w:p w14:paraId="0274DFD1" w14:textId="77777777" w:rsidR="00886AFE" w:rsidRPr="009118AB" w:rsidRDefault="00886AFE" w:rsidP="00886AFE">
      <w:pPr>
        <w:autoSpaceDE w:val="0"/>
        <w:autoSpaceDN w:val="0"/>
        <w:adjustRightInd w:val="0"/>
        <w:jc w:val="both"/>
      </w:pPr>
    </w:p>
    <w:p w14:paraId="58BB0E18" w14:textId="77777777" w:rsidR="00886AFE" w:rsidRPr="009118AB" w:rsidRDefault="00886AFE" w:rsidP="00886AFE">
      <w:pPr>
        <w:autoSpaceDE w:val="0"/>
        <w:autoSpaceDN w:val="0"/>
        <w:adjustRightInd w:val="0"/>
        <w:jc w:val="both"/>
      </w:pPr>
      <w:r w:rsidRPr="009118AB">
        <w:tab/>
        <w:t>(i) ist der Jahresumsatz der Gesellschaft pro Steuerjahr durchschnittlich um mindestens 10 Prozent gestiegen oder</w:t>
      </w:r>
    </w:p>
    <w:p w14:paraId="1B189F44" w14:textId="77777777" w:rsidR="00886AFE" w:rsidRPr="009118AB" w:rsidRDefault="00886AFE" w:rsidP="00886AFE">
      <w:pPr>
        <w:autoSpaceDE w:val="0"/>
        <w:autoSpaceDN w:val="0"/>
        <w:adjustRightInd w:val="0"/>
        <w:jc w:val="both"/>
      </w:pPr>
    </w:p>
    <w:p w14:paraId="1AA2B771" w14:textId="77777777" w:rsidR="00886AFE" w:rsidRPr="009118AB" w:rsidRDefault="00886AFE" w:rsidP="00886AFE">
      <w:pPr>
        <w:autoSpaceDE w:val="0"/>
        <w:autoSpaceDN w:val="0"/>
        <w:adjustRightInd w:val="0"/>
        <w:jc w:val="both"/>
      </w:pPr>
      <w:r w:rsidRPr="009118AB">
        <w:tab/>
        <w:t>(ii) ist die Anzahl im Rahmen von Arbeitsverträgen beschäfti</w:t>
      </w:r>
      <w:r w:rsidR="00F00A71" w:rsidRPr="009118AB">
        <w:t>gte Personen in Vollzeit-gleich</w:t>
      </w:r>
      <w:r w:rsidRPr="009118AB">
        <w:t>werten pro Steuerjahr durchschnittlich um mindestens 10 Prozent gestiegen.</w:t>
      </w:r>
    </w:p>
    <w:p w14:paraId="6F642551" w14:textId="77777777" w:rsidR="00886AFE" w:rsidRPr="009118AB" w:rsidRDefault="00886AFE" w:rsidP="00886AFE">
      <w:pPr>
        <w:autoSpaceDE w:val="0"/>
        <w:autoSpaceDN w:val="0"/>
        <w:adjustRightInd w:val="0"/>
        <w:jc w:val="both"/>
      </w:pPr>
    </w:p>
    <w:p w14:paraId="6FF88843" w14:textId="77777777" w:rsidR="00886AFE" w:rsidRPr="009118AB" w:rsidRDefault="00886AFE" w:rsidP="00886AFE">
      <w:pPr>
        <w:autoSpaceDE w:val="0"/>
        <w:autoSpaceDN w:val="0"/>
        <w:adjustRightInd w:val="0"/>
        <w:jc w:val="both"/>
      </w:pPr>
      <w:r w:rsidRPr="009118AB">
        <w:tab/>
        <w:t>5. Die Gesellschaft ist nicht anlässlich einer Fusion oder einer Aufspaltung von Gesellschaften gegründet worden.</w:t>
      </w:r>
    </w:p>
    <w:p w14:paraId="2C906BA6" w14:textId="77777777" w:rsidR="00886AFE" w:rsidRPr="009118AB" w:rsidRDefault="00886AFE" w:rsidP="00886AFE">
      <w:pPr>
        <w:autoSpaceDE w:val="0"/>
        <w:autoSpaceDN w:val="0"/>
        <w:adjustRightInd w:val="0"/>
        <w:jc w:val="both"/>
      </w:pPr>
    </w:p>
    <w:p w14:paraId="3B7E9C24" w14:textId="77777777" w:rsidR="00886AFE" w:rsidRPr="009118AB" w:rsidRDefault="00886AFE" w:rsidP="00886AFE">
      <w:pPr>
        <w:autoSpaceDE w:val="0"/>
        <w:autoSpaceDN w:val="0"/>
        <w:adjustRightInd w:val="0"/>
        <w:jc w:val="both"/>
      </w:pPr>
      <w:r w:rsidRPr="009118AB">
        <w:tab/>
        <w:t>6. Die Gesellschaft ist keine Investment-, Geldanlage- oder Finanzierungsgesellschaft.</w:t>
      </w:r>
    </w:p>
    <w:p w14:paraId="0338ECF2" w14:textId="77777777" w:rsidR="00886AFE" w:rsidRPr="009118AB" w:rsidRDefault="00886AFE" w:rsidP="00886AFE">
      <w:pPr>
        <w:autoSpaceDE w:val="0"/>
        <w:autoSpaceDN w:val="0"/>
        <w:adjustRightInd w:val="0"/>
        <w:jc w:val="both"/>
      </w:pPr>
    </w:p>
    <w:p w14:paraId="39E6A78D" w14:textId="008AF11A" w:rsidR="00886AFE" w:rsidRPr="009118AB" w:rsidRDefault="00886AFE" w:rsidP="00886AFE">
      <w:pPr>
        <w:autoSpaceDE w:val="0"/>
        <w:autoSpaceDN w:val="0"/>
        <w:adjustRightInd w:val="0"/>
        <w:jc w:val="both"/>
      </w:pPr>
      <w:r w:rsidRPr="009118AB">
        <w:tab/>
        <w:t xml:space="preserve">7. Die Gesellschaft ist weder eine Gesellschaft, deren Hauptgesellschaftszweck oder Haupttätigkeit darin besteht, unbewegliche Güter für eigene Rechnung zu bauen, zu erwerben, zu verwalten, umzubauen, zu verkaufen oder zu vermieten oder Beteiligungen an Gesellschaften mit einem ähnlichen Zweck zu halten, noch eine Gesellschaft, in der unbewegliche Güter oder andere dingliche Rechte an solchen Gütern untergebracht sind, deren Nutzer natürliche Personen, die in der Gesellschaft ein Mandat oder Funktionen wie in Artikel 32 Absatz 1 </w:t>
      </w:r>
      <w:r w:rsidR="00D67EB8" w:rsidRPr="009118AB">
        <w:t>Nr. </w:t>
      </w:r>
      <w:r w:rsidRPr="009118AB">
        <w:t>1 erwähnt ausüben, ihr Ehepartner oder ihre Kinder, wenn diese Personen oder ihr Ehepartner das gesetzliche Nutzungsrecht an den Einkünften dieser Kinder haben, sind.</w:t>
      </w:r>
    </w:p>
    <w:p w14:paraId="60B6A96F" w14:textId="77777777" w:rsidR="00886AFE" w:rsidRPr="009118AB" w:rsidRDefault="00886AFE" w:rsidP="00886AFE">
      <w:pPr>
        <w:autoSpaceDE w:val="0"/>
        <w:autoSpaceDN w:val="0"/>
        <w:adjustRightInd w:val="0"/>
        <w:jc w:val="both"/>
      </w:pPr>
    </w:p>
    <w:p w14:paraId="5A8EF6AB" w14:textId="77777777" w:rsidR="00886AFE" w:rsidRPr="009118AB" w:rsidRDefault="00886AFE" w:rsidP="00886AFE">
      <w:pPr>
        <w:autoSpaceDE w:val="0"/>
        <w:autoSpaceDN w:val="0"/>
        <w:adjustRightInd w:val="0"/>
        <w:jc w:val="both"/>
      </w:pPr>
      <w:r w:rsidRPr="009118AB">
        <w:tab/>
        <w:t>8. Die Gesellschaft ist keine Gesellschaft, die gegründet worden ist, um Geschäfts-führungs- oder Verwaltungsverträge abzuschließen, oder die den Großteil ihrer Einnahmen aus Geschäftsführungs- oder Verwaltungsverträgen bezieht.</w:t>
      </w:r>
    </w:p>
    <w:p w14:paraId="3999D4D0" w14:textId="77777777" w:rsidR="00886AFE" w:rsidRPr="009118AB" w:rsidRDefault="00886AFE" w:rsidP="00886AFE">
      <w:pPr>
        <w:autoSpaceDE w:val="0"/>
        <w:autoSpaceDN w:val="0"/>
        <w:adjustRightInd w:val="0"/>
        <w:jc w:val="both"/>
      </w:pPr>
    </w:p>
    <w:p w14:paraId="5D860F78" w14:textId="77777777" w:rsidR="00886AFE" w:rsidRPr="009118AB" w:rsidRDefault="00886AFE" w:rsidP="00886AFE">
      <w:pPr>
        <w:autoSpaceDE w:val="0"/>
        <w:autoSpaceDN w:val="0"/>
        <w:adjustRightInd w:val="0"/>
        <w:jc w:val="both"/>
      </w:pPr>
      <w:r w:rsidRPr="009118AB">
        <w:tab/>
        <w:t>9. Die Gesellschaft ist keine börsennotierte Gesellschaft.</w:t>
      </w:r>
    </w:p>
    <w:p w14:paraId="7B0C5B9C" w14:textId="77777777" w:rsidR="00886AFE" w:rsidRPr="009118AB" w:rsidRDefault="00886AFE" w:rsidP="00886AFE">
      <w:pPr>
        <w:autoSpaceDE w:val="0"/>
        <w:autoSpaceDN w:val="0"/>
        <w:adjustRightInd w:val="0"/>
        <w:jc w:val="both"/>
      </w:pPr>
    </w:p>
    <w:p w14:paraId="24237AE4" w14:textId="77777777" w:rsidR="00886AFE" w:rsidRPr="009118AB" w:rsidRDefault="00886AFE" w:rsidP="00886AFE">
      <w:pPr>
        <w:autoSpaceDE w:val="0"/>
        <w:autoSpaceDN w:val="0"/>
        <w:adjustRightInd w:val="0"/>
        <w:jc w:val="both"/>
      </w:pPr>
      <w:r w:rsidRPr="009118AB">
        <w:tab/>
        <w:t>10. Die Gesellschaft hat noch keine Kapitalherabsetzung durchgeführt, außer Kapitalherabsetzungen zum Ausgleich erlittener Verluste oder zur Bildung von Rücklagen zur Deckung voraussehbarer Verluste, oder noch keine Dividenden ausgeschüttet.</w:t>
      </w:r>
    </w:p>
    <w:p w14:paraId="002E4331" w14:textId="77777777" w:rsidR="00886AFE" w:rsidRPr="009118AB" w:rsidRDefault="00886AFE" w:rsidP="00886AFE">
      <w:pPr>
        <w:autoSpaceDE w:val="0"/>
        <w:autoSpaceDN w:val="0"/>
        <w:adjustRightInd w:val="0"/>
        <w:jc w:val="both"/>
      </w:pPr>
    </w:p>
    <w:p w14:paraId="09D4516C" w14:textId="77777777" w:rsidR="00886AFE" w:rsidRPr="009118AB" w:rsidRDefault="00886AFE" w:rsidP="00886AFE">
      <w:pPr>
        <w:autoSpaceDE w:val="0"/>
        <w:autoSpaceDN w:val="0"/>
        <w:adjustRightInd w:val="0"/>
        <w:jc w:val="both"/>
      </w:pPr>
      <w:r w:rsidRPr="009118AB">
        <w:tab/>
        <w:t>11. Die Gesellschaft ist nicht Gegenstand eines Gesamtinsolvenzverfahrens oder befindet sich nicht in den Bedingungen für ein Gesamtinsolvenzverfahren.</w:t>
      </w:r>
    </w:p>
    <w:p w14:paraId="31444C91" w14:textId="77777777" w:rsidR="00886AFE" w:rsidRPr="009118AB" w:rsidRDefault="00886AFE" w:rsidP="00886AFE">
      <w:pPr>
        <w:autoSpaceDE w:val="0"/>
        <w:autoSpaceDN w:val="0"/>
        <w:adjustRightInd w:val="0"/>
        <w:jc w:val="both"/>
      </w:pPr>
    </w:p>
    <w:p w14:paraId="243A1E99" w14:textId="77777777" w:rsidR="00886AFE" w:rsidRPr="009118AB" w:rsidRDefault="00886AFE" w:rsidP="00886AFE">
      <w:pPr>
        <w:autoSpaceDE w:val="0"/>
        <w:autoSpaceDN w:val="0"/>
        <w:adjustRightInd w:val="0"/>
        <w:jc w:val="both"/>
      </w:pPr>
      <w:r w:rsidRPr="009118AB">
        <w:lastRenderedPageBreak/>
        <w:tab/>
        <w:t>12. Die Gesellschaft verwendet die erhaltenen Summen weder, um Dividenden auszuschütten oder Aktien oder Anteile zu erwerben, noch, um Darlehen zu gewähren.</w:t>
      </w:r>
    </w:p>
    <w:p w14:paraId="64B4AC8F" w14:textId="77777777" w:rsidR="00886AFE" w:rsidRPr="009118AB" w:rsidRDefault="00886AFE" w:rsidP="00886AFE">
      <w:pPr>
        <w:autoSpaceDE w:val="0"/>
        <w:autoSpaceDN w:val="0"/>
        <w:adjustRightInd w:val="0"/>
        <w:jc w:val="both"/>
      </w:pPr>
    </w:p>
    <w:p w14:paraId="024CCB66" w14:textId="30AE6969" w:rsidR="00886AFE" w:rsidRPr="009118AB" w:rsidRDefault="00886AFE" w:rsidP="00886AFE">
      <w:pPr>
        <w:autoSpaceDE w:val="0"/>
        <w:autoSpaceDN w:val="0"/>
        <w:adjustRightInd w:val="0"/>
        <w:jc w:val="both"/>
      </w:pPr>
      <w:r w:rsidRPr="009118AB">
        <w:tab/>
        <w:t xml:space="preserve">13. Nach Zahlung der in </w:t>
      </w:r>
      <w:r w:rsidR="00D67EB8" w:rsidRPr="009118AB">
        <w:t>§ </w:t>
      </w:r>
      <w:r w:rsidRPr="009118AB">
        <w:t>1 Absatz 1 Buchstabe</w:t>
      </w:r>
      <w:r w:rsidR="004565B9" w:rsidRPr="009118AB">
        <w:t> </w:t>
      </w:r>
      <w:r w:rsidRPr="009118AB">
        <w:rPr>
          <w:i/>
        </w:rPr>
        <w:t>a)</w:t>
      </w:r>
      <w:r w:rsidRPr="009118AB">
        <w:t xml:space="preserve"> und </w:t>
      </w:r>
      <w:r w:rsidRPr="009118AB">
        <w:rPr>
          <w:i/>
        </w:rPr>
        <w:t>b)</w:t>
      </w:r>
      <w:r w:rsidRPr="009118AB">
        <w:t xml:space="preserve"> erwähnten Summen durch den Steuerpflichtigen </w:t>
      </w:r>
      <w:r w:rsidR="003D0BB2" w:rsidRPr="009118AB">
        <w:t>[</w:t>
      </w:r>
      <w:r w:rsidRPr="009118AB">
        <w:t xml:space="preserve">beziehungsweise </w:t>
      </w:r>
      <w:r w:rsidR="003D0BB2" w:rsidRPr="009118AB">
        <w:t xml:space="preserve">die Zweckgesellschaft] </w:t>
      </w:r>
      <w:r w:rsidRPr="009118AB">
        <w:t xml:space="preserve">hat die Gesellschaft durch die Anwendung des vorliegenden Artikels nicht </w:t>
      </w:r>
      <w:r w:rsidR="00117CDF" w:rsidRPr="009118AB">
        <w:t>[</w:t>
      </w:r>
      <w:r w:rsidRPr="009118AB">
        <w:t xml:space="preserve">mehr als </w:t>
      </w:r>
      <w:r w:rsidR="00117CDF" w:rsidRPr="009118AB">
        <w:t>1.0</w:t>
      </w:r>
      <w:r w:rsidRPr="009118AB">
        <w:t>00.000 EUR</w:t>
      </w:r>
      <w:r w:rsidR="00117CDF" w:rsidRPr="009118AB">
        <w:t>]</w:t>
      </w:r>
      <w:r w:rsidRPr="009118AB">
        <w:t xml:space="preserve"> erhalten. Dieser Höchstbetrag wird um den über die Anwendung von Artikel 14526 tatsächlich erhaltenen Betrag verringert.</w:t>
      </w:r>
    </w:p>
    <w:p w14:paraId="5723B0F7" w14:textId="77777777" w:rsidR="00886AFE" w:rsidRPr="009118AB" w:rsidRDefault="00886AFE" w:rsidP="00886AFE">
      <w:pPr>
        <w:autoSpaceDE w:val="0"/>
        <w:autoSpaceDN w:val="0"/>
        <w:adjustRightInd w:val="0"/>
        <w:jc w:val="both"/>
      </w:pPr>
    </w:p>
    <w:p w14:paraId="0F48D452" w14:textId="01797D27" w:rsidR="00886AFE" w:rsidRPr="009118AB" w:rsidRDefault="00886AFE" w:rsidP="00886AFE">
      <w:pPr>
        <w:autoSpaceDE w:val="0"/>
        <w:autoSpaceDN w:val="0"/>
        <w:adjustRightInd w:val="0"/>
        <w:jc w:val="both"/>
      </w:pPr>
      <w:r w:rsidRPr="009118AB">
        <w:tab/>
        <w:t xml:space="preserve">Für die Anwendung von Absatz 1 </w:t>
      </w:r>
      <w:r w:rsidR="00D67EB8" w:rsidRPr="009118AB">
        <w:t>Nr. </w:t>
      </w:r>
      <w:r w:rsidRPr="009118AB">
        <w:t xml:space="preserve">3 wird ein Unternehmensleiter für die Berechnung der Vollzeitgleichwerte als ein Vollzeitgleichwert berücksichtigt, sofern er in Anwendung von Artikel 12 </w:t>
      </w:r>
      <w:r w:rsidR="00D67EB8" w:rsidRPr="009118AB">
        <w:t>§ </w:t>
      </w:r>
      <w:r w:rsidRPr="009118AB">
        <w:t xml:space="preserve">1 des Königlichen Erlasses </w:t>
      </w:r>
      <w:r w:rsidR="00D67EB8" w:rsidRPr="009118AB">
        <w:t>Nr. </w:t>
      </w:r>
      <w:r w:rsidRPr="009118AB">
        <w:t>38 vom 27. Juli 1967 zur Einführung des Sozialstatuts der Selbständigen für diese Tätigkeit Sozialbeiträge zu leisten hat.</w:t>
      </w:r>
    </w:p>
    <w:p w14:paraId="7805F712" w14:textId="77777777" w:rsidR="00886AFE" w:rsidRPr="009118AB" w:rsidRDefault="00886AFE" w:rsidP="00886AFE">
      <w:pPr>
        <w:autoSpaceDE w:val="0"/>
        <w:autoSpaceDN w:val="0"/>
        <w:adjustRightInd w:val="0"/>
        <w:jc w:val="both"/>
      </w:pPr>
    </w:p>
    <w:p w14:paraId="17E470F7" w14:textId="67972BB0" w:rsidR="00886AFE" w:rsidRPr="009118AB" w:rsidRDefault="00886AFE" w:rsidP="00886AFE">
      <w:pPr>
        <w:autoSpaceDE w:val="0"/>
        <w:autoSpaceDN w:val="0"/>
        <w:adjustRightInd w:val="0"/>
        <w:jc w:val="both"/>
      </w:pPr>
      <w:r w:rsidRPr="009118AB">
        <w:tab/>
        <w:t xml:space="preserve">Die in Absatz 1 </w:t>
      </w:r>
      <w:r w:rsidR="00D67EB8" w:rsidRPr="009118AB">
        <w:t>Nr. </w:t>
      </w:r>
      <w:r w:rsidRPr="009118AB">
        <w:t>3 erwähnte Bedingung muss von der Gesellschaft während zwölf Monaten nach Einzahlung der Aktien der Gesellschaft eingehalten werden.</w:t>
      </w:r>
    </w:p>
    <w:p w14:paraId="31CE7E49" w14:textId="77777777" w:rsidR="00886AFE" w:rsidRPr="009118AB" w:rsidRDefault="00886AFE" w:rsidP="00886AFE">
      <w:pPr>
        <w:autoSpaceDE w:val="0"/>
        <w:autoSpaceDN w:val="0"/>
        <w:adjustRightInd w:val="0"/>
        <w:jc w:val="both"/>
      </w:pPr>
    </w:p>
    <w:p w14:paraId="59CF8618" w14:textId="54E4E733" w:rsidR="00886AFE" w:rsidRPr="009118AB" w:rsidRDefault="00886AFE" w:rsidP="00886AFE">
      <w:pPr>
        <w:autoSpaceDE w:val="0"/>
        <w:autoSpaceDN w:val="0"/>
        <w:adjustRightInd w:val="0"/>
        <w:jc w:val="both"/>
      </w:pPr>
      <w:r w:rsidRPr="009118AB">
        <w:tab/>
        <w:t xml:space="preserve">Die in Absatz 1 </w:t>
      </w:r>
      <w:r w:rsidR="00D67EB8" w:rsidRPr="009118AB">
        <w:t>Nr. </w:t>
      </w:r>
      <w:r w:rsidRPr="009118AB">
        <w:t>6 bis 8 und 12 erwähnten Bedingungen müssen von der Gesellschaft während achtundvierzig Monaten nach Einzahlung der Aktien der Gesellschaft eingehalten werden.</w:t>
      </w:r>
    </w:p>
    <w:p w14:paraId="09581CD1" w14:textId="77777777" w:rsidR="00886AFE" w:rsidRPr="009118AB" w:rsidRDefault="00886AFE" w:rsidP="00886AFE">
      <w:pPr>
        <w:autoSpaceDE w:val="0"/>
        <w:autoSpaceDN w:val="0"/>
        <w:adjustRightInd w:val="0"/>
        <w:jc w:val="both"/>
      </w:pPr>
    </w:p>
    <w:p w14:paraId="14562617" w14:textId="77777777" w:rsidR="00886AFE" w:rsidRPr="009118AB" w:rsidRDefault="00886AFE" w:rsidP="00886AFE">
      <w:pPr>
        <w:autoSpaceDE w:val="0"/>
        <w:autoSpaceDN w:val="0"/>
        <w:adjustRightInd w:val="0"/>
        <w:jc w:val="both"/>
      </w:pPr>
      <w:r w:rsidRPr="009118AB">
        <w:tab/>
        <w:t>Die Steuerermäßigung ist nicht anwendbar auf:</w:t>
      </w:r>
    </w:p>
    <w:p w14:paraId="4800019E" w14:textId="77777777" w:rsidR="00886AFE" w:rsidRPr="009118AB" w:rsidRDefault="00886AFE" w:rsidP="00886AFE">
      <w:pPr>
        <w:autoSpaceDE w:val="0"/>
        <w:autoSpaceDN w:val="0"/>
        <w:adjustRightInd w:val="0"/>
        <w:jc w:val="both"/>
      </w:pPr>
    </w:p>
    <w:p w14:paraId="434AEC41" w14:textId="7C70C236" w:rsidR="00886AFE" w:rsidRPr="009118AB" w:rsidRDefault="00886AFE" w:rsidP="00886AFE">
      <w:pPr>
        <w:autoSpaceDE w:val="0"/>
        <w:autoSpaceDN w:val="0"/>
        <w:adjustRightInd w:val="0"/>
        <w:jc w:val="both"/>
      </w:pPr>
      <w:r w:rsidRPr="009118AB">
        <w:tab/>
        <w:t xml:space="preserve">1. Ausgaben, die für die Anwendung von Artikel 1451 </w:t>
      </w:r>
      <w:r w:rsidR="00D67EB8" w:rsidRPr="009118AB">
        <w:t>Nr. </w:t>
      </w:r>
      <w:r w:rsidRPr="009118AB">
        <w:t>4 oder 14532 berücksichtigt werden,</w:t>
      </w:r>
    </w:p>
    <w:p w14:paraId="2C565BFF" w14:textId="77777777" w:rsidR="00886AFE" w:rsidRPr="009118AB" w:rsidRDefault="00886AFE" w:rsidP="00886AFE">
      <w:pPr>
        <w:autoSpaceDE w:val="0"/>
        <w:autoSpaceDN w:val="0"/>
        <w:adjustRightInd w:val="0"/>
        <w:jc w:val="both"/>
      </w:pPr>
    </w:p>
    <w:p w14:paraId="08140C13" w14:textId="78BE606C" w:rsidR="00886AFE" w:rsidRPr="009118AB" w:rsidRDefault="00886AFE" w:rsidP="00886AFE">
      <w:pPr>
        <w:autoSpaceDE w:val="0"/>
        <w:autoSpaceDN w:val="0"/>
        <w:adjustRightInd w:val="0"/>
        <w:jc w:val="both"/>
      </w:pPr>
      <w:r w:rsidRPr="009118AB">
        <w:tab/>
        <w:t xml:space="preserve">2. Summen, die gezahlt werden für den direkten Erwerb oder den Erwerb über eine in </w:t>
      </w:r>
      <w:r w:rsidR="00D67EB8" w:rsidRPr="009118AB">
        <w:t>§ </w:t>
      </w:r>
      <w:r w:rsidRPr="009118AB">
        <w:t>1 Absatz 1 Buchstabe</w:t>
      </w:r>
      <w:r w:rsidR="004565B9" w:rsidRPr="009118AB">
        <w:t> </w:t>
      </w:r>
      <w:r w:rsidRPr="009118AB">
        <w:rPr>
          <w:i/>
        </w:rPr>
        <w:t>a)</w:t>
      </w:r>
      <w:r w:rsidRPr="009118AB">
        <w:t xml:space="preserve"> erwähnte Crowdfunding-Plattform </w:t>
      </w:r>
      <w:r w:rsidR="0087395E" w:rsidRPr="009118AB">
        <w:t xml:space="preserve">[oder über eine in </w:t>
      </w:r>
      <w:r w:rsidR="00D67EB8" w:rsidRPr="009118AB">
        <w:t>§ </w:t>
      </w:r>
      <w:r w:rsidR="0087395E" w:rsidRPr="009118AB">
        <w:t>1 Absatz 1 Buchstabe </w:t>
      </w:r>
      <w:r w:rsidR="0087395E" w:rsidRPr="009118AB">
        <w:rPr>
          <w:i/>
          <w:iCs/>
        </w:rPr>
        <w:t>b)</w:t>
      </w:r>
      <w:r w:rsidR="0087395E" w:rsidRPr="009118AB">
        <w:t xml:space="preserve"> erwähnte Zweckgesellschaft]</w:t>
      </w:r>
      <w:r w:rsidRPr="009118AB">
        <w:t xml:space="preserve"> von Aktien oder Anteilen einer Gesellschaft:</w:t>
      </w:r>
    </w:p>
    <w:p w14:paraId="041FDE7E" w14:textId="77777777" w:rsidR="00886AFE" w:rsidRPr="009118AB" w:rsidRDefault="00886AFE" w:rsidP="00886AFE">
      <w:pPr>
        <w:autoSpaceDE w:val="0"/>
        <w:autoSpaceDN w:val="0"/>
        <w:adjustRightInd w:val="0"/>
        <w:jc w:val="both"/>
      </w:pPr>
    </w:p>
    <w:p w14:paraId="55A733FB" w14:textId="77777777" w:rsidR="00886AFE" w:rsidRPr="009118AB" w:rsidRDefault="00886AFE" w:rsidP="00886AFE">
      <w:pPr>
        <w:autoSpaceDE w:val="0"/>
        <w:autoSpaceDN w:val="0"/>
        <w:adjustRightInd w:val="0"/>
        <w:jc w:val="both"/>
      </w:pPr>
      <w:r w:rsidRPr="009118AB">
        <w:tab/>
      </w:r>
      <w:r w:rsidRPr="009118AB">
        <w:rPr>
          <w:i/>
        </w:rPr>
        <w:t>a)</w:t>
      </w:r>
      <w:r w:rsidRPr="009118AB">
        <w:t xml:space="preserve"> in der der Steuerpflichtige zum Zeitpunkt der Kapitaleinlage direkt oder indirekt ein in Artikel 32 Absatz 1 erwähnter Unternehmensleiter ist,</w:t>
      </w:r>
    </w:p>
    <w:p w14:paraId="0A820478" w14:textId="77777777" w:rsidR="00886AFE" w:rsidRPr="009118AB" w:rsidRDefault="00886AFE" w:rsidP="00886AFE">
      <w:pPr>
        <w:autoSpaceDE w:val="0"/>
        <w:autoSpaceDN w:val="0"/>
        <w:adjustRightInd w:val="0"/>
        <w:jc w:val="both"/>
      </w:pPr>
    </w:p>
    <w:p w14:paraId="38F232BB" w14:textId="77777777" w:rsidR="00886AFE" w:rsidRPr="009118AB" w:rsidRDefault="00886AFE" w:rsidP="00886AFE">
      <w:pPr>
        <w:autoSpaceDE w:val="0"/>
        <w:autoSpaceDN w:val="0"/>
        <w:adjustRightInd w:val="0"/>
        <w:jc w:val="both"/>
      </w:pPr>
      <w:r w:rsidRPr="009118AB">
        <w:tab/>
      </w:r>
      <w:r w:rsidRPr="009118AB">
        <w:rPr>
          <w:i/>
        </w:rPr>
        <w:t>b)</w:t>
      </w:r>
      <w:r w:rsidRPr="009118AB">
        <w:t xml:space="preserve"> in der der Steuerpflichtige direkt oder indirekt ein in Artikel 32 Absatz 1 erwähnter Unternehmensleiter ist, außer wenn er dafür keinerlei Vergütung bezieht,</w:t>
      </w:r>
    </w:p>
    <w:p w14:paraId="3E91002F" w14:textId="77777777" w:rsidR="00886AFE" w:rsidRPr="009118AB" w:rsidRDefault="00886AFE" w:rsidP="00886AFE">
      <w:pPr>
        <w:autoSpaceDE w:val="0"/>
        <w:autoSpaceDN w:val="0"/>
        <w:adjustRightInd w:val="0"/>
        <w:jc w:val="both"/>
      </w:pPr>
    </w:p>
    <w:p w14:paraId="5BC0D327" w14:textId="6E757F8B" w:rsidR="00886AFE" w:rsidRPr="009118AB" w:rsidRDefault="00886AFE" w:rsidP="00886AFE">
      <w:pPr>
        <w:autoSpaceDE w:val="0"/>
        <w:autoSpaceDN w:val="0"/>
        <w:adjustRightInd w:val="0"/>
        <w:jc w:val="both"/>
      </w:pPr>
      <w:r w:rsidRPr="009118AB">
        <w:tab/>
      </w:r>
      <w:r w:rsidRPr="009118AB">
        <w:rPr>
          <w:i/>
        </w:rPr>
        <w:t>c)</w:t>
      </w:r>
      <w:r w:rsidRPr="009118AB">
        <w:t xml:space="preserve"> in der der Steuerpflichtige </w:t>
      </w:r>
      <w:r w:rsidR="00555370" w:rsidRPr="009118AB">
        <w:t>[...]</w:t>
      </w:r>
      <w:r w:rsidRPr="009118AB">
        <w:t xml:space="preserve"> als ständiger Vertreter einer anderen Gesellschaft das Mandat eines Verwalters, Geschäftsführers, Liquidators oder eine ähnliche Funktion ausübt,</w:t>
      </w:r>
    </w:p>
    <w:p w14:paraId="0F717555" w14:textId="77777777" w:rsidR="00886AFE" w:rsidRPr="009118AB" w:rsidRDefault="00886AFE" w:rsidP="00886AFE">
      <w:pPr>
        <w:autoSpaceDE w:val="0"/>
        <w:autoSpaceDN w:val="0"/>
        <w:adjustRightInd w:val="0"/>
        <w:jc w:val="both"/>
      </w:pPr>
    </w:p>
    <w:p w14:paraId="0EAF0284" w14:textId="4CB6B756" w:rsidR="00886AFE" w:rsidRPr="009118AB" w:rsidRDefault="00886AFE" w:rsidP="00886AFE">
      <w:pPr>
        <w:autoSpaceDE w:val="0"/>
        <w:autoSpaceDN w:val="0"/>
        <w:adjustRightInd w:val="0"/>
        <w:jc w:val="both"/>
      </w:pPr>
      <w:r w:rsidRPr="009118AB">
        <w:tab/>
      </w:r>
      <w:r w:rsidRPr="009118AB">
        <w:rPr>
          <w:i/>
        </w:rPr>
        <w:t>d)</w:t>
      </w:r>
      <w:r w:rsidRPr="009118AB">
        <w:t xml:space="preserve"> die </w:t>
      </w:r>
      <w:r w:rsidR="00555370" w:rsidRPr="009118AB">
        <w:t>[...]</w:t>
      </w:r>
      <w:r w:rsidRPr="009118AB">
        <w:t xml:space="preserve"> einen Unter</w:t>
      </w:r>
      <w:r w:rsidR="00F00A71" w:rsidRPr="009118AB">
        <w:t>nehmens- oder Bevollmächtigungs</w:t>
      </w:r>
      <w:r w:rsidRPr="009118AB">
        <w:t>vertrag mit einer anderen Gesellschaft, deren Aktionär der Steuerpflichtige ist, abgeschlossen hat, durch den diese andere Gesellschaft sich verpflichtet hat, gegen Vergütung eine leitende Tätigkeit der täglichen Geschäftsführung kommerzieller, finanzieller oder technischer Art in der ersten Gesellschaft zu übernehmen,</w:t>
      </w:r>
    </w:p>
    <w:p w14:paraId="6B00441D" w14:textId="77777777" w:rsidR="00886AFE" w:rsidRPr="009118AB" w:rsidRDefault="00886AFE" w:rsidP="00886AFE">
      <w:pPr>
        <w:autoSpaceDE w:val="0"/>
        <w:autoSpaceDN w:val="0"/>
        <w:adjustRightInd w:val="0"/>
        <w:jc w:val="both"/>
      </w:pPr>
    </w:p>
    <w:p w14:paraId="0441F54A" w14:textId="37684BD2" w:rsidR="00886AFE" w:rsidRPr="009118AB" w:rsidRDefault="00886AFE" w:rsidP="00886AFE">
      <w:pPr>
        <w:autoSpaceDE w:val="0"/>
        <w:autoSpaceDN w:val="0"/>
        <w:adjustRightInd w:val="0"/>
        <w:jc w:val="both"/>
      </w:pPr>
      <w:r w:rsidRPr="009118AB">
        <w:tab/>
        <w:t xml:space="preserve">3. Summen, die gezahlt werden für den direkten Erwerb oder den Erwerb über eine in </w:t>
      </w:r>
      <w:r w:rsidR="00D67EB8" w:rsidRPr="009118AB">
        <w:t>§ </w:t>
      </w:r>
      <w:r w:rsidRPr="009118AB">
        <w:t>1 Absatz 1 Buchstabe</w:t>
      </w:r>
      <w:r w:rsidR="004565B9" w:rsidRPr="009118AB">
        <w:t> </w:t>
      </w:r>
      <w:r w:rsidRPr="009118AB">
        <w:rPr>
          <w:i/>
        </w:rPr>
        <w:t>a)</w:t>
      </w:r>
      <w:r w:rsidRPr="009118AB">
        <w:t xml:space="preserve"> erwähnte Crowdfunding-Plattform </w:t>
      </w:r>
      <w:r w:rsidR="0087395E" w:rsidRPr="009118AB">
        <w:t xml:space="preserve">[oder über eine in </w:t>
      </w:r>
      <w:r w:rsidR="00D67EB8" w:rsidRPr="009118AB">
        <w:t>§ </w:t>
      </w:r>
      <w:r w:rsidR="0087395E" w:rsidRPr="009118AB">
        <w:t>1 Absatz 1 Buchstabe </w:t>
      </w:r>
      <w:r w:rsidR="0087395E" w:rsidRPr="009118AB">
        <w:rPr>
          <w:i/>
          <w:iCs/>
        </w:rPr>
        <w:t>b)</w:t>
      </w:r>
      <w:r w:rsidR="0087395E" w:rsidRPr="009118AB">
        <w:t xml:space="preserve"> erwähnte Zweckgesellschaft]</w:t>
      </w:r>
      <w:r w:rsidRPr="009118AB">
        <w:t xml:space="preserve"> von Aktien oder Anteilen einer Gesellschaft, was den Teil dieser Aktien oder Anteile betrifft, durch den der Steuerpflichtige einen Anteil von mehr als 30 Prozent am </w:t>
      </w:r>
      <w:r w:rsidR="004F3415" w:rsidRPr="009118AB">
        <w:t>[K</w:t>
      </w:r>
      <w:r w:rsidRPr="009118AB">
        <w:t>apital</w:t>
      </w:r>
      <w:r w:rsidR="004F3415" w:rsidRPr="009118AB">
        <w:t>]</w:t>
      </w:r>
      <w:r w:rsidRPr="009118AB">
        <w:t xml:space="preserve"> dieser Gesellschaft erhält.</w:t>
      </w:r>
    </w:p>
    <w:p w14:paraId="716BC8F5" w14:textId="77777777" w:rsidR="00886AFE" w:rsidRPr="009118AB" w:rsidRDefault="00886AFE" w:rsidP="00886AFE">
      <w:pPr>
        <w:autoSpaceDE w:val="0"/>
        <w:autoSpaceDN w:val="0"/>
        <w:adjustRightInd w:val="0"/>
        <w:jc w:val="both"/>
      </w:pPr>
    </w:p>
    <w:p w14:paraId="4F095E3B" w14:textId="045F8437" w:rsidR="00886AFE" w:rsidRPr="009118AB" w:rsidRDefault="00886AFE" w:rsidP="00886AFE">
      <w:pPr>
        <w:autoSpaceDE w:val="0"/>
        <w:autoSpaceDN w:val="0"/>
        <w:adjustRightInd w:val="0"/>
        <w:jc w:val="both"/>
      </w:pPr>
      <w:r w:rsidRPr="009118AB">
        <w:tab/>
        <w:t xml:space="preserve">Zahlungen für die in </w:t>
      </w:r>
      <w:r w:rsidR="00D67EB8" w:rsidRPr="009118AB">
        <w:t>§ </w:t>
      </w:r>
      <w:r w:rsidRPr="009118AB">
        <w:t xml:space="preserve">1 Absatz 1 Buchstabe </w:t>
      </w:r>
      <w:r w:rsidRPr="009118AB">
        <w:rPr>
          <w:i/>
        </w:rPr>
        <w:t>a)</w:t>
      </w:r>
      <w:r w:rsidRPr="009118AB">
        <w:t xml:space="preserve"> erwähnten Aktien oder Anteile und die in </w:t>
      </w:r>
      <w:r w:rsidR="00D67EB8" w:rsidRPr="009118AB">
        <w:t>§ </w:t>
      </w:r>
      <w:r w:rsidRPr="009118AB">
        <w:t>1 Absatz 1 Buchstabe</w:t>
      </w:r>
      <w:r w:rsidR="004565B9" w:rsidRPr="009118AB">
        <w:t> </w:t>
      </w:r>
      <w:r w:rsidRPr="009118AB">
        <w:rPr>
          <w:i/>
        </w:rPr>
        <w:t>b)</w:t>
      </w:r>
      <w:r w:rsidRPr="009118AB">
        <w:t xml:space="preserve"> erwähnten Anlageinstrumente kommen für die Steuerermäßigung nur bis zu einem Betrag von 100.000 EUR pro Besteuerungszeitraum in Betracht. Dieser Betrag von 100.000 EUR pro Besteuerungszeitraum wird gegebenenfalls um den Betrag der Zahlungen verringert, die für den betreffenden Besteuerungszeitraum für die Anwendung von Artikel 14526 berücksichtigt werden.</w:t>
      </w:r>
    </w:p>
    <w:p w14:paraId="3570E7C2" w14:textId="77777777" w:rsidR="00886AFE" w:rsidRPr="009118AB" w:rsidRDefault="00886AFE" w:rsidP="00886AFE">
      <w:pPr>
        <w:autoSpaceDE w:val="0"/>
        <w:autoSpaceDN w:val="0"/>
        <w:adjustRightInd w:val="0"/>
        <w:jc w:val="both"/>
      </w:pPr>
    </w:p>
    <w:p w14:paraId="4777CDA6" w14:textId="7F652EFB" w:rsidR="00886AFE" w:rsidRPr="009118AB" w:rsidRDefault="00886AFE" w:rsidP="00886AFE">
      <w:pPr>
        <w:autoSpaceDE w:val="0"/>
        <w:autoSpaceDN w:val="0"/>
        <w:adjustRightInd w:val="0"/>
        <w:jc w:val="both"/>
      </w:pPr>
      <w:r w:rsidRPr="009118AB">
        <w:tab/>
        <w:t xml:space="preserve">Die Steuerermäßigung entspricht 25 Prozent des Betrags, der nach Abzug der in </w:t>
      </w:r>
      <w:r w:rsidR="00D67EB8" w:rsidRPr="009118AB">
        <w:t>§ </w:t>
      </w:r>
      <w:r w:rsidRPr="009118AB">
        <w:t>1 Absatz 1 Buchstabe b) erwähnten Entschädigungen und anderer eventueller diesbezüglicher Kosten zu berücksichtigen ist.</w:t>
      </w:r>
    </w:p>
    <w:p w14:paraId="5A1940C8" w14:textId="77777777" w:rsidR="00886AFE" w:rsidRPr="009118AB" w:rsidRDefault="00886AFE" w:rsidP="00886AFE">
      <w:pPr>
        <w:autoSpaceDE w:val="0"/>
        <w:autoSpaceDN w:val="0"/>
        <w:adjustRightInd w:val="0"/>
        <w:jc w:val="both"/>
      </w:pPr>
    </w:p>
    <w:p w14:paraId="15D70C94" w14:textId="77777777" w:rsidR="00886AFE" w:rsidRPr="009118AB" w:rsidRDefault="00886AFE" w:rsidP="00886AFE">
      <w:pPr>
        <w:autoSpaceDE w:val="0"/>
        <w:autoSpaceDN w:val="0"/>
        <w:adjustRightInd w:val="0"/>
        <w:jc w:val="both"/>
      </w:pPr>
      <w:r w:rsidRPr="009118AB">
        <w:tab/>
        <w:t>In vorliegendem Paragraphen erwähnte Eurobeträge werden nicht gemäß Artikel 178 indexiert.</w:t>
      </w:r>
    </w:p>
    <w:p w14:paraId="760A4E06" w14:textId="77777777" w:rsidR="00886AFE" w:rsidRPr="009118AB" w:rsidRDefault="00886AFE" w:rsidP="00886AFE">
      <w:pPr>
        <w:autoSpaceDE w:val="0"/>
        <w:autoSpaceDN w:val="0"/>
        <w:adjustRightInd w:val="0"/>
        <w:jc w:val="both"/>
      </w:pPr>
    </w:p>
    <w:p w14:paraId="0460283B" w14:textId="6B862162" w:rsidR="00886AFE" w:rsidRPr="009118AB" w:rsidRDefault="00886AFE" w:rsidP="00886AFE">
      <w:pPr>
        <w:autoSpaceDE w:val="0"/>
        <w:autoSpaceDN w:val="0"/>
        <w:adjustRightInd w:val="0"/>
        <w:jc w:val="both"/>
      </w:pPr>
      <w:r w:rsidRPr="009118AB">
        <w:tab/>
      </w:r>
      <w:r w:rsidR="00D67EB8" w:rsidRPr="009118AB">
        <w:t>§ </w:t>
      </w:r>
      <w:r w:rsidRPr="009118AB">
        <w:t>3</w:t>
      </w:r>
      <w:r w:rsidR="00D67EB8" w:rsidRPr="009118AB">
        <w:t> - </w:t>
      </w:r>
      <w:r w:rsidRPr="009118AB">
        <w:t xml:space="preserve">Zahlungen für die in </w:t>
      </w:r>
      <w:r w:rsidR="00D67EB8" w:rsidRPr="009118AB">
        <w:t>§ </w:t>
      </w:r>
      <w:r w:rsidRPr="009118AB">
        <w:t>1 Absatz 1 Buchstabe</w:t>
      </w:r>
      <w:r w:rsidR="004565B9" w:rsidRPr="009118AB">
        <w:t> </w:t>
      </w:r>
      <w:r w:rsidRPr="009118AB">
        <w:rPr>
          <w:i/>
        </w:rPr>
        <w:t>a)</w:t>
      </w:r>
      <w:r w:rsidRPr="009118AB">
        <w:t xml:space="preserve"> erwähnten Aktien oder Anteile oder die in </w:t>
      </w:r>
      <w:r w:rsidR="00D67EB8" w:rsidRPr="009118AB">
        <w:t>§ </w:t>
      </w:r>
      <w:r w:rsidRPr="009118AB">
        <w:t>1 Absatz 1 Buchstabe</w:t>
      </w:r>
      <w:r w:rsidR="004565B9" w:rsidRPr="009118AB">
        <w:t> </w:t>
      </w:r>
      <w:r w:rsidRPr="009118AB">
        <w:rPr>
          <w:i/>
        </w:rPr>
        <w:t>b)</w:t>
      </w:r>
      <w:r w:rsidRPr="009118AB">
        <w:t xml:space="preserve"> erwähnten Anlageinstrumente werden für die Steuerermäßigung berücksichtigt unter der Bedingung, dass die in </w:t>
      </w:r>
      <w:r w:rsidR="00D67EB8" w:rsidRPr="009118AB">
        <w:t>§ </w:t>
      </w:r>
      <w:r w:rsidRPr="009118AB">
        <w:t xml:space="preserve">2 Absatz 1 erwähnte Gesellschaft </w:t>
      </w:r>
      <w:r w:rsidR="0087395E" w:rsidRPr="009118AB">
        <w:t xml:space="preserve">[oder die in </w:t>
      </w:r>
      <w:r w:rsidR="00D67EB8" w:rsidRPr="009118AB">
        <w:t>§ </w:t>
      </w:r>
      <w:r w:rsidR="0087395E" w:rsidRPr="009118AB">
        <w:t>1 Absatz 1 Buchstabe </w:t>
      </w:r>
      <w:r w:rsidR="0087395E" w:rsidRPr="009118AB">
        <w:rPr>
          <w:i/>
          <w:iCs/>
        </w:rPr>
        <w:t>b)</w:t>
      </w:r>
      <w:r w:rsidR="0087395E" w:rsidRPr="009118AB">
        <w:t xml:space="preserve"> erwähnte Zweckgesellschaft]</w:t>
      </w:r>
      <w:r w:rsidRPr="009118AB">
        <w:t xml:space="preserve"> dem Steuerpflichtigen zur Untermauerung seiner Erklärung zur Steuer der natürlichen Personen des Besteuerungszeitraums, in dem die Einzahlung getätigt wurde, einen Nachweis übermittelt, aus dem hervorgeht:</w:t>
      </w:r>
    </w:p>
    <w:p w14:paraId="77F41035" w14:textId="77777777" w:rsidR="00886AFE" w:rsidRPr="009118AB" w:rsidRDefault="00886AFE" w:rsidP="00886AFE">
      <w:pPr>
        <w:autoSpaceDE w:val="0"/>
        <w:autoSpaceDN w:val="0"/>
        <w:adjustRightInd w:val="0"/>
        <w:jc w:val="both"/>
      </w:pPr>
    </w:p>
    <w:p w14:paraId="691ECAF8" w14:textId="77777777" w:rsidR="00886AFE" w:rsidRPr="009118AB" w:rsidRDefault="00886AFE" w:rsidP="00886AFE">
      <w:pPr>
        <w:autoSpaceDE w:val="0"/>
        <w:autoSpaceDN w:val="0"/>
        <w:adjustRightInd w:val="0"/>
        <w:jc w:val="both"/>
      </w:pPr>
      <w:r w:rsidRPr="009118AB">
        <w:tab/>
        <w:t>- dass die in den Paragraphen 1 und 2 vorgesehenen Bedingungen erfüllt sind,</w:t>
      </w:r>
    </w:p>
    <w:p w14:paraId="5D5D86E6" w14:textId="77777777" w:rsidR="00886AFE" w:rsidRPr="009118AB" w:rsidRDefault="00886AFE" w:rsidP="00886AFE">
      <w:pPr>
        <w:autoSpaceDE w:val="0"/>
        <w:autoSpaceDN w:val="0"/>
        <w:adjustRightInd w:val="0"/>
        <w:jc w:val="both"/>
      </w:pPr>
    </w:p>
    <w:p w14:paraId="680D1A97" w14:textId="77777777" w:rsidR="00886AFE" w:rsidRPr="009118AB" w:rsidRDefault="00886AFE" w:rsidP="00886AFE">
      <w:pPr>
        <w:autoSpaceDE w:val="0"/>
        <w:autoSpaceDN w:val="0"/>
        <w:adjustRightInd w:val="0"/>
        <w:jc w:val="both"/>
      </w:pPr>
      <w:r w:rsidRPr="009118AB">
        <w:tab/>
        <w:t>- dass der Steuerpflichtige die Aktien oder Anteile oder die Anlageinstrumente in dem betreffenden Besteuerungszeitraum erworben hat und dass sie am Ende dieses Besteuerungs-zeitraums noch in seinem Besitz sind.</w:t>
      </w:r>
    </w:p>
    <w:p w14:paraId="59C2086B" w14:textId="77777777" w:rsidR="00886AFE" w:rsidRPr="009118AB" w:rsidRDefault="00886AFE" w:rsidP="00886AFE">
      <w:pPr>
        <w:autoSpaceDE w:val="0"/>
        <w:autoSpaceDN w:val="0"/>
        <w:adjustRightInd w:val="0"/>
        <w:jc w:val="both"/>
      </w:pPr>
    </w:p>
    <w:p w14:paraId="03C9CA7D" w14:textId="21A7AF2C" w:rsidR="00886AFE" w:rsidRPr="009118AB" w:rsidRDefault="00886AFE" w:rsidP="00886AFE">
      <w:pPr>
        <w:autoSpaceDE w:val="0"/>
        <w:autoSpaceDN w:val="0"/>
        <w:adjustRightInd w:val="0"/>
        <w:jc w:val="both"/>
      </w:pPr>
      <w:r w:rsidRPr="009118AB">
        <w:tab/>
      </w:r>
      <w:r w:rsidR="00D67EB8" w:rsidRPr="009118AB">
        <w:t>§ </w:t>
      </w:r>
      <w:r w:rsidRPr="009118AB">
        <w:t>4</w:t>
      </w:r>
      <w:r w:rsidR="00D67EB8" w:rsidRPr="009118AB">
        <w:t> - </w:t>
      </w:r>
      <w:r w:rsidRPr="009118AB">
        <w:t xml:space="preserve">Die Aufrechterhaltung der in </w:t>
      </w:r>
      <w:r w:rsidR="00D67EB8" w:rsidRPr="009118AB">
        <w:t>§ </w:t>
      </w:r>
      <w:r w:rsidRPr="009118AB">
        <w:t xml:space="preserve">1 erwähnten Steuerermäßigung unterliegt der Bedingung, dass die Gesellschaft </w:t>
      </w:r>
      <w:r w:rsidR="0087395E" w:rsidRPr="009118AB">
        <w:t>[</w:t>
      </w:r>
      <w:r w:rsidRPr="009118AB">
        <w:t xml:space="preserve">oder </w:t>
      </w:r>
      <w:r w:rsidR="0087395E" w:rsidRPr="009118AB">
        <w:t>die Zweckgesellschaft]</w:t>
      </w:r>
      <w:r w:rsidRPr="009118AB">
        <w:t xml:space="preserve"> dem Steuerpflichtigen zur Untermauerung seiner Erklärungen zur Steuer der natürlichen Personen der vier folgenden Besteuerungszeiträume nach dem Besteuerungszeitraum, für den die Steuerermäßigung gewährt wird, den Nachweis übermittelt, dass er weiterhin im Besitz der betreffenden in </w:t>
      </w:r>
      <w:r w:rsidR="00D67EB8" w:rsidRPr="009118AB">
        <w:t>§ </w:t>
      </w:r>
      <w:r w:rsidRPr="009118AB">
        <w:t>1 Absatz 1 Buchstabe</w:t>
      </w:r>
      <w:r w:rsidR="004565B9" w:rsidRPr="009118AB">
        <w:t> </w:t>
      </w:r>
      <w:r w:rsidRPr="009118AB">
        <w:rPr>
          <w:i/>
        </w:rPr>
        <w:t>a)</w:t>
      </w:r>
      <w:r w:rsidRPr="009118AB">
        <w:t xml:space="preserve"> erwähnten Aktien oder Anteile oder der betreffenden in </w:t>
      </w:r>
      <w:r w:rsidR="00D67EB8" w:rsidRPr="009118AB">
        <w:t>§ </w:t>
      </w:r>
      <w:r w:rsidRPr="009118AB">
        <w:t>1 Absatz 1 Buchstabe</w:t>
      </w:r>
      <w:r w:rsidR="004565B9" w:rsidRPr="009118AB">
        <w:t> </w:t>
      </w:r>
      <w:r w:rsidRPr="009118AB">
        <w:rPr>
          <w:i/>
        </w:rPr>
        <w:t>b)</w:t>
      </w:r>
      <w:r w:rsidRPr="009118AB">
        <w:t xml:space="preserve"> erwähnten Anlageinstrumente ist. Diese Bedingung muss ab dem Besteuerungs-zeitraum, in dem der Steuerpflichtige verstirbt, nicht mehr erfüllt werden.</w:t>
      </w:r>
    </w:p>
    <w:p w14:paraId="6F69DA2D" w14:textId="77777777" w:rsidR="00886AFE" w:rsidRPr="009118AB" w:rsidRDefault="00886AFE" w:rsidP="00886AFE">
      <w:pPr>
        <w:autoSpaceDE w:val="0"/>
        <w:autoSpaceDN w:val="0"/>
        <w:adjustRightInd w:val="0"/>
        <w:jc w:val="both"/>
      </w:pPr>
    </w:p>
    <w:p w14:paraId="4AE3D61A" w14:textId="05C5FBAD" w:rsidR="00886AFE" w:rsidRPr="009118AB" w:rsidRDefault="00886AFE" w:rsidP="00886AFE">
      <w:pPr>
        <w:autoSpaceDE w:val="0"/>
        <w:autoSpaceDN w:val="0"/>
        <w:adjustRightInd w:val="0"/>
        <w:jc w:val="both"/>
      </w:pPr>
      <w:r w:rsidRPr="009118AB">
        <w:tab/>
        <w:t xml:space="preserve">Sind </w:t>
      </w:r>
      <w:r w:rsidR="00693BFA" w:rsidRPr="009118AB">
        <w:t xml:space="preserve">[die betreffenden in </w:t>
      </w:r>
      <w:r w:rsidR="00D67EB8" w:rsidRPr="009118AB">
        <w:t>§ </w:t>
      </w:r>
      <w:r w:rsidR="00693BFA" w:rsidRPr="009118AB">
        <w:t>1 Absatz 1 Buchstabe </w:t>
      </w:r>
      <w:r w:rsidR="00693BFA" w:rsidRPr="009118AB">
        <w:rPr>
          <w:i/>
          <w:iCs/>
        </w:rPr>
        <w:t>a)</w:t>
      </w:r>
      <w:r w:rsidR="00693BFA" w:rsidRPr="009118AB">
        <w:t xml:space="preserve"> und </w:t>
      </w:r>
      <w:r w:rsidR="00693BFA" w:rsidRPr="009118AB">
        <w:rPr>
          <w:i/>
          <w:iCs/>
        </w:rPr>
        <w:t>b)</w:t>
      </w:r>
      <w:r w:rsidR="00693BFA" w:rsidRPr="009118AB">
        <w:t xml:space="preserve"> erwähnten Aktien oder Anteile]</w:t>
      </w:r>
      <w:r w:rsidRPr="009118AB">
        <w:t xml:space="preserve"> oder die betreffenden in </w:t>
      </w:r>
      <w:r w:rsidR="00D67EB8" w:rsidRPr="009118AB">
        <w:t>§ </w:t>
      </w:r>
      <w:r w:rsidRPr="009118AB">
        <w:t>1 Absatz</w:t>
      </w:r>
      <w:r w:rsidR="004565B9" w:rsidRPr="009118AB">
        <w:t> </w:t>
      </w:r>
      <w:r w:rsidRPr="009118AB">
        <w:t>1 Buchstabe</w:t>
      </w:r>
      <w:r w:rsidR="004565B9" w:rsidRPr="009118AB">
        <w:t> </w:t>
      </w:r>
      <w:r w:rsidRPr="009118AB">
        <w:rPr>
          <w:i/>
        </w:rPr>
        <w:t>b)</w:t>
      </w:r>
      <w:r w:rsidRPr="009118AB">
        <w:t xml:space="preserve"> erwähnten Anlageinstrumente innerhalb achtundvierzig Monaten nach ihrem Erwerb Gegenstand einer anderen Übertragung als einer Übertragung von Todes wegen, wird die Gesamtsteuer in Bezug auf die Einkünfte des Besteuerungszeitraums der Übertragung um einen Betrag erhöht, der so viele Male ein Achtundvierzigstel der Steuerermäßigung beträgt, die gemäß </w:t>
      </w:r>
      <w:r w:rsidR="00D67EB8" w:rsidRPr="009118AB">
        <w:t>§ </w:t>
      </w:r>
      <w:r w:rsidRPr="009118AB">
        <w:t xml:space="preserve">1 tatsächlich </w:t>
      </w:r>
      <w:r w:rsidR="00693BFA" w:rsidRPr="009118AB">
        <w:t>[für diese Aktien oder Anteile oder die Anlageinstrumente dieser Aktien oder Anteile oder diese Anlageinstrumente]</w:t>
      </w:r>
      <w:r w:rsidRPr="009118AB">
        <w:t xml:space="preserve"> gewährt wurde, wie ganze Monate bis zum Ende des Zeitraums von achtundvierzig Monaten übrig bleiben.</w:t>
      </w:r>
    </w:p>
    <w:p w14:paraId="219970B3" w14:textId="77777777" w:rsidR="00886AFE" w:rsidRPr="009118AB" w:rsidRDefault="00886AFE" w:rsidP="00886AFE">
      <w:pPr>
        <w:autoSpaceDE w:val="0"/>
        <w:autoSpaceDN w:val="0"/>
        <w:adjustRightInd w:val="0"/>
        <w:jc w:val="both"/>
      </w:pPr>
    </w:p>
    <w:p w14:paraId="168540EC" w14:textId="3DBF29D5" w:rsidR="00886AFE" w:rsidRPr="009118AB" w:rsidRDefault="00886AFE" w:rsidP="00886AFE">
      <w:pPr>
        <w:autoSpaceDE w:val="0"/>
        <w:autoSpaceDN w:val="0"/>
        <w:adjustRightInd w:val="0"/>
        <w:jc w:val="both"/>
      </w:pPr>
      <w:r w:rsidRPr="009118AB">
        <w:tab/>
        <w:t xml:space="preserve">Unter der in Absatz 2 erwähnten "Übertragung" versteht man ebenfalls die Beendigung der Liquidation der Gesellschaft, in die investiert worden ist, </w:t>
      </w:r>
      <w:r w:rsidR="0087395E" w:rsidRPr="009118AB">
        <w:t>[oder der Zweckgesellschaft]</w:t>
      </w:r>
      <w:r w:rsidRPr="009118AB">
        <w:t>.</w:t>
      </w:r>
    </w:p>
    <w:p w14:paraId="11185290" w14:textId="77777777" w:rsidR="00886AFE" w:rsidRPr="009118AB" w:rsidRDefault="00886AFE" w:rsidP="00886AFE">
      <w:pPr>
        <w:autoSpaceDE w:val="0"/>
        <w:autoSpaceDN w:val="0"/>
        <w:adjustRightInd w:val="0"/>
        <w:jc w:val="both"/>
      </w:pPr>
    </w:p>
    <w:p w14:paraId="6D2413F5" w14:textId="77777777" w:rsidR="00886AFE" w:rsidRPr="009118AB" w:rsidRDefault="00886AFE" w:rsidP="00886AFE">
      <w:pPr>
        <w:autoSpaceDE w:val="0"/>
        <w:autoSpaceDN w:val="0"/>
        <w:adjustRightInd w:val="0"/>
        <w:jc w:val="both"/>
      </w:pPr>
      <w:r w:rsidRPr="009118AB">
        <w:tab/>
        <w:t>Ist die Beendigung der Liquidation Folge der Eröffnung des Konkurses über die Gesellschaft, in die investiert worden ist, muss die in Absatz 1 erwähnte Bedingung ab dem Besteuerungszeitraum, in dem die Beendigung der Liquidation infolge der Konkurseröffnung stattgefunden hat, nicht mehr erfüllt werden.</w:t>
      </w:r>
    </w:p>
    <w:p w14:paraId="1C1EA04F" w14:textId="77777777" w:rsidR="00886AFE" w:rsidRPr="009118AB" w:rsidRDefault="00886AFE" w:rsidP="00886AFE">
      <w:pPr>
        <w:autoSpaceDE w:val="0"/>
        <w:autoSpaceDN w:val="0"/>
        <w:adjustRightInd w:val="0"/>
        <w:jc w:val="both"/>
      </w:pPr>
    </w:p>
    <w:p w14:paraId="5DF8A561" w14:textId="0E09C31E" w:rsidR="00886AFE" w:rsidRPr="009118AB" w:rsidRDefault="00886AFE" w:rsidP="00886AFE">
      <w:pPr>
        <w:autoSpaceDE w:val="0"/>
        <w:autoSpaceDN w:val="0"/>
        <w:adjustRightInd w:val="0"/>
        <w:jc w:val="both"/>
      </w:pPr>
      <w:r w:rsidRPr="009118AB">
        <w:tab/>
        <w:t xml:space="preserve">Die in </w:t>
      </w:r>
      <w:r w:rsidR="00D67EB8" w:rsidRPr="009118AB">
        <w:t>§ </w:t>
      </w:r>
      <w:r w:rsidRPr="009118AB">
        <w:t xml:space="preserve">1 erwähnte Steuerermäßigung wird nur unter der Bedingung aufrechterhalten, dass die in </w:t>
      </w:r>
      <w:r w:rsidR="00D67EB8" w:rsidRPr="009118AB">
        <w:t>§ </w:t>
      </w:r>
      <w:r w:rsidRPr="009118AB">
        <w:t xml:space="preserve">2 Absatz 3, 4 </w:t>
      </w:r>
      <w:r w:rsidR="00555370" w:rsidRPr="009118AB">
        <w:t xml:space="preserve">[und 5 </w:t>
      </w:r>
      <w:r w:rsidR="00D67EB8" w:rsidRPr="009118AB">
        <w:t>Nr. </w:t>
      </w:r>
      <w:r w:rsidR="00555370" w:rsidRPr="009118AB">
        <w:t>2 Buchstabe </w:t>
      </w:r>
      <w:r w:rsidR="00555370" w:rsidRPr="009118AB">
        <w:rPr>
          <w:i/>
          <w:iCs/>
        </w:rPr>
        <w:t>b)</w:t>
      </w:r>
      <w:r w:rsidR="00555370" w:rsidRPr="009118AB">
        <w:t xml:space="preserve"> bis </w:t>
      </w:r>
      <w:r w:rsidR="00555370" w:rsidRPr="009118AB">
        <w:rPr>
          <w:i/>
          <w:iCs/>
        </w:rPr>
        <w:t>d)</w:t>
      </w:r>
      <w:r w:rsidR="00555370" w:rsidRPr="009118AB">
        <w:t>]</w:t>
      </w:r>
      <w:r w:rsidRPr="009118AB">
        <w:t xml:space="preserve"> erwähnten Bedingungen eingehalten werden.</w:t>
      </w:r>
    </w:p>
    <w:p w14:paraId="26ED5A4C" w14:textId="77777777" w:rsidR="00886AFE" w:rsidRPr="009118AB" w:rsidRDefault="00886AFE" w:rsidP="00886AFE">
      <w:pPr>
        <w:autoSpaceDE w:val="0"/>
        <w:autoSpaceDN w:val="0"/>
        <w:adjustRightInd w:val="0"/>
        <w:jc w:val="both"/>
      </w:pPr>
    </w:p>
    <w:p w14:paraId="7AADEA33" w14:textId="7CBE57E9" w:rsidR="00886AFE" w:rsidRPr="009118AB" w:rsidRDefault="00886AFE" w:rsidP="00886AFE">
      <w:pPr>
        <w:autoSpaceDE w:val="0"/>
        <w:autoSpaceDN w:val="0"/>
        <w:adjustRightInd w:val="0"/>
        <w:jc w:val="both"/>
      </w:pPr>
      <w:r w:rsidRPr="009118AB">
        <w:tab/>
        <w:t xml:space="preserve">Wird die in </w:t>
      </w:r>
      <w:r w:rsidR="00D67EB8" w:rsidRPr="009118AB">
        <w:t>§ </w:t>
      </w:r>
      <w:r w:rsidRPr="009118AB">
        <w:t xml:space="preserve">2 Absatz 3 und 4 erwähnte Bedingung nicht während zwölf beziehungsweise achtundvierzig Monaten nach der Einzahlung der Aktien oder Anteile der Gesellschaft eingehalten, wird die Gesamtsteuer in Bezug auf die Einkünfte des Besteuerungszeitraums, in dem festgestellt wird, dass diese Bedingung nicht eingehalten wird, um einen Betrag erhöht, der so viele Male ein Zwölftel beziehungsweise ein Achtundvierzigstel der Steuerermäßigung beträgt, die gemäß </w:t>
      </w:r>
      <w:r w:rsidR="00D67EB8" w:rsidRPr="009118AB">
        <w:t>§ </w:t>
      </w:r>
      <w:r w:rsidRPr="009118AB">
        <w:t>1 tatsächlich für diese Aktien oder Anteile oder Anlageinstrumente gewährt wurde, wie ganze Monate ab dem Datum, an dem die Bedingung nicht eingehalten wird, bis zum Ende des Zeitraums von zwölf beziehungsweise achtundvierzig Monaten übrig bleiben.</w:t>
      </w:r>
    </w:p>
    <w:p w14:paraId="7CFEA980" w14:textId="77777777" w:rsidR="00886AFE" w:rsidRPr="009118AB" w:rsidRDefault="00886AFE" w:rsidP="00886AFE">
      <w:pPr>
        <w:autoSpaceDE w:val="0"/>
        <w:autoSpaceDN w:val="0"/>
        <w:adjustRightInd w:val="0"/>
        <w:jc w:val="both"/>
      </w:pPr>
    </w:p>
    <w:p w14:paraId="50B980D2" w14:textId="00AB11EB" w:rsidR="00886AFE" w:rsidRPr="009118AB" w:rsidRDefault="00886AFE" w:rsidP="00886AFE">
      <w:pPr>
        <w:autoSpaceDE w:val="0"/>
        <w:autoSpaceDN w:val="0"/>
        <w:adjustRightInd w:val="0"/>
        <w:jc w:val="both"/>
      </w:pPr>
      <w:r w:rsidRPr="009118AB">
        <w:tab/>
      </w:r>
      <w:r w:rsidR="00555370" w:rsidRPr="009118AB">
        <w:t xml:space="preserve">[Wird eine der in </w:t>
      </w:r>
      <w:r w:rsidR="00D67EB8" w:rsidRPr="009118AB">
        <w:t>§ </w:t>
      </w:r>
      <w:r w:rsidR="00555370" w:rsidRPr="009118AB">
        <w:t xml:space="preserve">2 Absatz 5 </w:t>
      </w:r>
      <w:r w:rsidR="00D67EB8" w:rsidRPr="009118AB">
        <w:t>Nr. </w:t>
      </w:r>
      <w:r w:rsidR="00555370" w:rsidRPr="009118AB">
        <w:t>2 Buchstabe </w:t>
      </w:r>
      <w:r w:rsidR="00555370" w:rsidRPr="009118AB">
        <w:rPr>
          <w:i/>
          <w:iCs/>
        </w:rPr>
        <w:t>b)</w:t>
      </w:r>
      <w:r w:rsidR="00555370" w:rsidRPr="009118AB">
        <w:t xml:space="preserve"> bis </w:t>
      </w:r>
      <w:r w:rsidR="00555370" w:rsidRPr="009118AB">
        <w:rPr>
          <w:i/>
          <w:iCs/>
        </w:rPr>
        <w:t>d)</w:t>
      </w:r>
      <w:r w:rsidR="00555370" w:rsidRPr="009118AB">
        <w:t xml:space="preserve"> erwähnten Bedingungen nicht während achtundvierzig Monaten nach der Einzahlung der Aktien oder Anteile der Gesellschaft eingehalten, wird die Gesamtsteuer in Bezug auf die Einkünfte des Besteuerungszeitraums, in dem festgestellt wird, dass diese Bedingung nicht eingehalten wird, um einen Betrag erhöht, der so viele Male ein Achtundvierzigstel der Steuerermäßigung beträgt, die gemäß </w:t>
      </w:r>
      <w:r w:rsidR="00D67EB8" w:rsidRPr="009118AB">
        <w:t>§ </w:t>
      </w:r>
      <w:r w:rsidR="00555370" w:rsidRPr="009118AB">
        <w:t>1 tatsächlich für diese Aktien, Anteile oder Anlageinstrumente gewährt wurde, wie ganze Monate ab dem Datum, an dem die Bedingung nicht eingehalten wird, bis zum Ende des Zeitraums von achtundvierzig Monaten übrig bleiben.]</w:t>
      </w:r>
    </w:p>
    <w:p w14:paraId="778FD2B9" w14:textId="77777777" w:rsidR="00886AFE" w:rsidRPr="009118AB" w:rsidRDefault="00886AFE" w:rsidP="00886AFE">
      <w:pPr>
        <w:autoSpaceDE w:val="0"/>
        <w:autoSpaceDN w:val="0"/>
        <w:adjustRightInd w:val="0"/>
        <w:jc w:val="both"/>
      </w:pPr>
    </w:p>
    <w:p w14:paraId="63940CA0" w14:textId="19F2B176" w:rsidR="00477B8F" w:rsidRPr="009118AB" w:rsidRDefault="00886AFE" w:rsidP="00886AFE">
      <w:pPr>
        <w:autoSpaceDE w:val="0"/>
        <w:autoSpaceDN w:val="0"/>
        <w:adjustRightInd w:val="0"/>
        <w:jc w:val="both"/>
      </w:pPr>
      <w:r w:rsidRPr="009118AB">
        <w:tab/>
      </w:r>
      <w:r w:rsidR="00D67EB8" w:rsidRPr="009118AB">
        <w:t>§ </w:t>
      </w:r>
      <w:r w:rsidRPr="009118AB">
        <w:t>5</w:t>
      </w:r>
      <w:r w:rsidR="00D67EB8" w:rsidRPr="009118AB">
        <w:t> - </w:t>
      </w:r>
      <w:r w:rsidRPr="009118AB">
        <w:t xml:space="preserve">Der König bestimmt, wie der in den Paragraphen 3 und 4 Absatz 1 erwähnte Nachweis und der Nachweis, dass mindestens eines der in </w:t>
      </w:r>
      <w:r w:rsidR="00D67EB8" w:rsidRPr="009118AB">
        <w:t>§ </w:t>
      </w:r>
      <w:r w:rsidRPr="009118AB">
        <w:t xml:space="preserve">2 Absatz 1 </w:t>
      </w:r>
      <w:r w:rsidR="00D67EB8" w:rsidRPr="009118AB">
        <w:t>Nr. </w:t>
      </w:r>
      <w:r w:rsidRPr="009118AB">
        <w:t>4 erwähnten Kriterien erfüllt ist, zu erbringen ist.</w:t>
      </w:r>
      <w:r w:rsidR="00DD52E4" w:rsidRPr="009118AB">
        <w:t>]</w:t>
      </w:r>
      <w:r w:rsidR="00477B8F" w:rsidRPr="009118AB">
        <w:t>]</w:t>
      </w:r>
    </w:p>
    <w:p w14:paraId="41B5350F" w14:textId="77777777" w:rsidR="00477B8F" w:rsidRPr="009118AB" w:rsidRDefault="00477B8F" w:rsidP="00477B8F">
      <w:pPr>
        <w:autoSpaceDE w:val="0"/>
        <w:autoSpaceDN w:val="0"/>
        <w:adjustRightInd w:val="0"/>
        <w:jc w:val="both"/>
      </w:pPr>
    </w:p>
    <w:p w14:paraId="187DB160" w14:textId="4B0162CA" w:rsidR="008A712B" w:rsidRPr="009118AB" w:rsidRDefault="00F00A71" w:rsidP="00693BFA">
      <w:pPr>
        <w:autoSpaceDE w:val="0"/>
        <w:autoSpaceDN w:val="0"/>
        <w:adjustRightInd w:val="0"/>
        <w:jc w:val="both"/>
      </w:pPr>
      <w:r w:rsidRPr="009118AB">
        <w:rPr>
          <w:i/>
          <w:iCs/>
        </w:rPr>
        <w:t>[</w:t>
      </w:r>
      <w:r w:rsidR="00D67EB8" w:rsidRPr="009118AB">
        <w:rPr>
          <w:i/>
          <w:iCs/>
        </w:rPr>
        <w:t>Art. </w:t>
      </w:r>
      <w:r w:rsidRPr="009118AB">
        <w:rPr>
          <w:i/>
          <w:iCs/>
        </w:rPr>
        <w:t>145</w:t>
      </w:r>
      <w:r w:rsidRPr="009118AB">
        <w:rPr>
          <w:i/>
          <w:iCs/>
          <w:vertAlign w:val="superscript"/>
        </w:rPr>
        <w:t>27</w:t>
      </w:r>
      <w:r w:rsidRPr="009118AB">
        <w:rPr>
          <w:i/>
          <w:iCs/>
        </w:rPr>
        <w:t xml:space="preserve"> eingefügt durch </w:t>
      </w:r>
      <w:r w:rsidR="00D67EB8" w:rsidRPr="009118AB">
        <w:rPr>
          <w:i/>
          <w:iCs/>
        </w:rPr>
        <w:t>Art. </w:t>
      </w:r>
      <w:r w:rsidRPr="009118AB">
        <w:rPr>
          <w:i/>
          <w:iCs/>
        </w:rPr>
        <w:t xml:space="preserve">116 des G. vom 8. April 2003 (B.S. vom 17. April 2003), aufgehoben durch </w:t>
      </w:r>
      <w:r w:rsidR="00D67EB8" w:rsidRPr="009118AB">
        <w:rPr>
          <w:i/>
          <w:iCs/>
        </w:rPr>
        <w:t>Art. </w:t>
      </w:r>
      <w:r w:rsidRPr="009118AB">
        <w:rPr>
          <w:i/>
          <w:iCs/>
        </w:rPr>
        <w:t>33</w:t>
      </w:r>
      <w:r w:rsidRPr="009118AB">
        <w:rPr>
          <w:i/>
        </w:rPr>
        <w:t xml:space="preserve"> des G. vom 8. Mai 2014 (B.S. vom 28. Mai 2014)</w:t>
      </w:r>
      <w:r w:rsidR="00D67EB8" w:rsidRPr="009118AB">
        <w:rPr>
          <w:i/>
        </w:rPr>
        <w:t> - </w:t>
      </w:r>
      <w:r w:rsidRPr="009118AB">
        <w:rPr>
          <w:i/>
          <w:iCs/>
        </w:rPr>
        <w:t>anwendbar ab dem Steuerjahr 2015</w:t>
      </w:r>
      <w:r w:rsidR="00D67EB8" w:rsidRPr="009118AB">
        <w:rPr>
          <w:i/>
          <w:iCs/>
        </w:rPr>
        <w:t> - </w:t>
      </w:r>
      <w:r w:rsidRPr="009118AB">
        <w:rPr>
          <w:i/>
          <w:iCs/>
        </w:rPr>
        <w:t xml:space="preserve">und wieder aufgenommen durch </w:t>
      </w:r>
      <w:r w:rsidR="00D67EB8" w:rsidRPr="009118AB">
        <w:rPr>
          <w:i/>
          <w:iCs/>
        </w:rPr>
        <w:t>Art. </w:t>
      </w:r>
      <w:r w:rsidRPr="009118AB">
        <w:rPr>
          <w:i/>
          <w:iCs/>
        </w:rPr>
        <w:t>30 des G. vom 26. März 2018 (B.S. vom 30. März 2018)</w:t>
      </w:r>
      <w:r w:rsidR="00D67EB8" w:rsidRPr="009118AB">
        <w:rPr>
          <w:i/>
          <w:iCs/>
        </w:rPr>
        <w:t> - </w:t>
      </w:r>
      <w:r w:rsidRPr="009118AB">
        <w:rPr>
          <w:i/>
          <w:iCs/>
        </w:rPr>
        <w:t>wirksam ab dem Steuerjahr 2019</w:t>
      </w:r>
      <w:r w:rsidR="003366D9" w:rsidRPr="009118AB">
        <w:rPr>
          <w:i/>
          <w:iCs/>
        </w:rPr>
        <w:t> -;</w:t>
      </w:r>
      <w:r w:rsidR="004F3415" w:rsidRPr="009118AB">
        <w:rPr>
          <w:i/>
          <w:iCs/>
        </w:rPr>
        <w:t xml:space="preserve"> </w:t>
      </w:r>
      <w:r w:rsidR="00D67EB8" w:rsidRPr="009118AB">
        <w:rPr>
          <w:i/>
          <w:iCs/>
        </w:rPr>
        <w:t>§ </w:t>
      </w:r>
      <w:r w:rsidR="004F3415" w:rsidRPr="009118AB">
        <w:rPr>
          <w:i/>
          <w:iCs/>
        </w:rPr>
        <w:t xml:space="preserve">1 </w:t>
      </w:r>
      <w:r w:rsidR="00D67EB8" w:rsidRPr="009118AB">
        <w:rPr>
          <w:i/>
          <w:iCs/>
        </w:rPr>
        <w:t>Abs. </w:t>
      </w:r>
      <w:r w:rsidR="004F3415" w:rsidRPr="009118AB">
        <w:rPr>
          <w:i/>
          <w:iCs/>
        </w:rPr>
        <w:t xml:space="preserve">1 Buchstabe a) abgeändert durch </w:t>
      </w:r>
      <w:r w:rsidR="00D67EB8" w:rsidRPr="009118AB">
        <w:rPr>
          <w:i/>
          <w:iCs/>
        </w:rPr>
        <w:t>Art. </w:t>
      </w:r>
      <w:r w:rsidR="004F3415" w:rsidRPr="009118AB">
        <w:rPr>
          <w:i/>
          <w:iCs/>
        </w:rPr>
        <w:t xml:space="preserve">21 </w:t>
      </w:r>
      <w:r w:rsidR="00D67EB8" w:rsidRPr="009118AB">
        <w:rPr>
          <w:i/>
          <w:iCs/>
        </w:rPr>
        <w:t>Nr. </w:t>
      </w:r>
      <w:r w:rsidR="004F3415" w:rsidRPr="009118AB">
        <w:rPr>
          <w:i/>
          <w:iCs/>
        </w:rPr>
        <w:t>1</w:t>
      </w:r>
      <w:r w:rsidR="004F3415" w:rsidRPr="009118AB">
        <w:rPr>
          <w:i/>
          <w:iCs/>
          <w:spacing w:val="-2"/>
        </w:rPr>
        <w:t xml:space="preserve"> des G. vom 17. März 2019 (III) (B.S. vom 10. Mai 2019)</w:t>
      </w:r>
      <w:r w:rsidR="00D67EB8" w:rsidRPr="009118AB">
        <w:rPr>
          <w:i/>
          <w:iCs/>
          <w:spacing w:val="-2"/>
        </w:rPr>
        <w:t> - </w:t>
      </w:r>
      <w:r w:rsidR="004F3415" w:rsidRPr="009118AB">
        <w:rPr>
          <w:i/>
          <w:iCs/>
          <w:spacing w:val="-2"/>
        </w:rPr>
        <w:t>in Kraft am 1. Mai 2019</w:t>
      </w:r>
      <w:r w:rsidR="003366D9" w:rsidRPr="009118AB">
        <w:rPr>
          <w:i/>
          <w:iCs/>
          <w:spacing w:val="-2"/>
        </w:rPr>
        <w:t> -;</w:t>
      </w:r>
      <w:r w:rsidR="004F3415" w:rsidRPr="009118AB">
        <w:rPr>
          <w:i/>
          <w:iCs/>
          <w:spacing w:val="-2"/>
        </w:rPr>
        <w:t xml:space="preserve"> </w:t>
      </w:r>
      <w:r w:rsidR="00D67EB8" w:rsidRPr="009118AB">
        <w:rPr>
          <w:i/>
          <w:iCs/>
        </w:rPr>
        <w:t>§ </w:t>
      </w:r>
      <w:r w:rsidR="0087395E" w:rsidRPr="009118AB">
        <w:rPr>
          <w:i/>
          <w:iCs/>
        </w:rPr>
        <w:t xml:space="preserve">1 </w:t>
      </w:r>
      <w:r w:rsidR="00D67EB8" w:rsidRPr="009118AB">
        <w:rPr>
          <w:i/>
          <w:iCs/>
        </w:rPr>
        <w:t>Abs. </w:t>
      </w:r>
      <w:r w:rsidR="0087395E" w:rsidRPr="009118AB">
        <w:rPr>
          <w:i/>
          <w:iCs/>
        </w:rPr>
        <w:t xml:space="preserve">1 Buchstabe b) ersetzt durch </w:t>
      </w:r>
      <w:r w:rsidR="00D67EB8" w:rsidRPr="009118AB">
        <w:rPr>
          <w:i/>
          <w:iCs/>
        </w:rPr>
        <w:t>Art. </w:t>
      </w:r>
      <w:r w:rsidR="0087395E" w:rsidRPr="009118AB">
        <w:rPr>
          <w:i/>
          <w:iCs/>
        </w:rPr>
        <w:t>27 Buchstabe a) des G. vom 23.</w:t>
      </w:r>
      <w:r w:rsidR="0008052F" w:rsidRPr="009118AB">
        <w:rPr>
          <w:i/>
          <w:iCs/>
        </w:rPr>
        <w:t> </w:t>
      </w:r>
      <w:r w:rsidR="0087395E" w:rsidRPr="009118AB">
        <w:rPr>
          <w:i/>
          <w:iCs/>
        </w:rPr>
        <w:t>Februar</w:t>
      </w:r>
      <w:r w:rsidR="0008052F" w:rsidRPr="009118AB">
        <w:rPr>
          <w:i/>
          <w:iCs/>
        </w:rPr>
        <w:t> </w:t>
      </w:r>
      <w:r w:rsidR="0087395E" w:rsidRPr="009118AB">
        <w:rPr>
          <w:i/>
          <w:iCs/>
        </w:rPr>
        <w:t>2022 (B.S. vom 4.</w:t>
      </w:r>
      <w:r w:rsidR="0008052F" w:rsidRPr="009118AB">
        <w:rPr>
          <w:i/>
          <w:iCs/>
        </w:rPr>
        <w:t> </w:t>
      </w:r>
      <w:r w:rsidR="0087395E" w:rsidRPr="009118AB">
        <w:rPr>
          <w:i/>
          <w:iCs/>
        </w:rPr>
        <w:t>April</w:t>
      </w:r>
      <w:r w:rsidR="0008052F" w:rsidRPr="009118AB">
        <w:rPr>
          <w:i/>
          <w:iCs/>
        </w:rPr>
        <w:t> </w:t>
      </w:r>
      <w:r w:rsidR="0087395E" w:rsidRPr="009118AB">
        <w:rPr>
          <w:i/>
          <w:iCs/>
        </w:rPr>
        <w:t>2022)</w:t>
      </w:r>
      <w:r w:rsidR="00D67EB8" w:rsidRPr="009118AB">
        <w:rPr>
          <w:i/>
          <w:iCs/>
        </w:rPr>
        <w:t> - </w:t>
      </w:r>
      <w:r w:rsidR="0087395E" w:rsidRPr="009118AB">
        <w:rPr>
          <w:i/>
          <w:iCs/>
        </w:rPr>
        <w:t>in Kraft am 4.</w:t>
      </w:r>
      <w:r w:rsidR="0008052F" w:rsidRPr="009118AB">
        <w:rPr>
          <w:i/>
          <w:iCs/>
        </w:rPr>
        <w:t> </w:t>
      </w:r>
      <w:r w:rsidR="0087395E" w:rsidRPr="009118AB">
        <w:rPr>
          <w:i/>
          <w:iCs/>
        </w:rPr>
        <w:t>April</w:t>
      </w:r>
      <w:r w:rsidR="0008052F" w:rsidRPr="009118AB">
        <w:rPr>
          <w:i/>
          <w:iCs/>
        </w:rPr>
        <w:t> </w:t>
      </w:r>
      <w:r w:rsidR="0087395E" w:rsidRPr="009118AB">
        <w:rPr>
          <w:i/>
          <w:iCs/>
        </w:rPr>
        <w:t>2022</w:t>
      </w:r>
      <w:r w:rsidR="003366D9" w:rsidRPr="009118AB">
        <w:rPr>
          <w:i/>
          <w:iCs/>
        </w:rPr>
        <w:t> -;</w:t>
      </w:r>
      <w:r w:rsidR="0087395E" w:rsidRPr="009118AB">
        <w:rPr>
          <w:i/>
          <w:iCs/>
          <w:spacing w:val="-2"/>
        </w:rPr>
        <w:t xml:space="preserve"> </w:t>
      </w:r>
      <w:r w:rsidR="00D67EB8" w:rsidRPr="009118AB">
        <w:rPr>
          <w:i/>
          <w:iCs/>
          <w:spacing w:val="-2"/>
        </w:rPr>
        <w:t>§ </w:t>
      </w:r>
      <w:r w:rsidR="008145EC" w:rsidRPr="009118AB">
        <w:rPr>
          <w:i/>
          <w:iCs/>
          <w:spacing w:val="-2"/>
        </w:rPr>
        <w:t>2</w:t>
      </w:r>
      <w:r w:rsidR="004F3415" w:rsidRPr="009118AB">
        <w:rPr>
          <w:i/>
          <w:iCs/>
          <w:spacing w:val="-2"/>
        </w:rPr>
        <w:t xml:space="preserve"> </w:t>
      </w:r>
      <w:r w:rsidR="00D67EB8" w:rsidRPr="009118AB">
        <w:rPr>
          <w:i/>
          <w:iCs/>
          <w:spacing w:val="-2"/>
        </w:rPr>
        <w:t>Abs. </w:t>
      </w:r>
      <w:r w:rsidR="004F3415" w:rsidRPr="009118AB">
        <w:rPr>
          <w:i/>
          <w:iCs/>
          <w:spacing w:val="-2"/>
        </w:rPr>
        <w:t xml:space="preserve">1 </w:t>
      </w:r>
      <w:r w:rsidR="00D67EB8" w:rsidRPr="009118AB">
        <w:rPr>
          <w:i/>
          <w:iCs/>
          <w:spacing w:val="-2"/>
        </w:rPr>
        <w:t>Nr. </w:t>
      </w:r>
      <w:r w:rsidR="004F3415" w:rsidRPr="009118AB">
        <w:rPr>
          <w:i/>
          <w:iCs/>
          <w:spacing w:val="-2"/>
        </w:rPr>
        <w:t xml:space="preserve">1 abgeändert durch </w:t>
      </w:r>
      <w:r w:rsidR="00D67EB8" w:rsidRPr="009118AB">
        <w:rPr>
          <w:i/>
          <w:iCs/>
          <w:spacing w:val="-2"/>
        </w:rPr>
        <w:t>Art. </w:t>
      </w:r>
      <w:r w:rsidR="004F3415" w:rsidRPr="009118AB">
        <w:rPr>
          <w:i/>
          <w:iCs/>
          <w:spacing w:val="-2"/>
        </w:rPr>
        <w:t xml:space="preserve">21 </w:t>
      </w:r>
      <w:r w:rsidR="00D67EB8" w:rsidRPr="009118AB">
        <w:rPr>
          <w:i/>
          <w:iCs/>
          <w:spacing w:val="-2"/>
        </w:rPr>
        <w:t>Nr. </w:t>
      </w:r>
      <w:r w:rsidR="004F3415" w:rsidRPr="009118AB">
        <w:rPr>
          <w:i/>
          <w:iCs/>
          <w:spacing w:val="-2"/>
        </w:rPr>
        <w:t>2 des G. vom 17. März 2019 (III) (B.S. vom 10. Mai 2019)</w:t>
      </w:r>
      <w:r w:rsidR="00D67EB8" w:rsidRPr="009118AB">
        <w:rPr>
          <w:i/>
          <w:iCs/>
          <w:spacing w:val="-2"/>
        </w:rPr>
        <w:t> - </w:t>
      </w:r>
      <w:r w:rsidR="004F3415" w:rsidRPr="009118AB">
        <w:rPr>
          <w:i/>
          <w:iCs/>
          <w:spacing w:val="-2"/>
        </w:rPr>
        <w:t>in Kraft am 1. Mai 2019</w:t>
      </w:r>
      <w:r w:rsidR="003366D9" w:rsidRPr="009118AB">
        <w:rPr>
          <w:i/>
          <w:iCs/>
          <w:spacing w:val="-2"/>
        </w:rPr>
        <w:t> -;</w:t>
      </w:r>
      <w:r w:rsidR="004F3415" w:rsidRPr="009118AB">
        <w:rPr>
          <w:i/>
          <w:iCs/>
          <w:spacing w:val="-2"/>
        </w:rPr>
        <w:t xml:space="preserve"> </w:t>
      </w:r>
      <w:r w:rsidR="00D67EB8" w:rsidRPr="009118AB">
        <w:rPr>
          <w:i/>
          <w:iCs/>
          <w:spacing w:val="-2"/>
        </w:rPr>
        <w:t>§ </w:t>
      </w:r>
      <w:r w:rsidR="004F3415" w:rsidRPr="009118AB">
        <w:rPr>
          <w:i/>
          <w:iCs/>
          <w:spacing w:val="-2"/>
        </w:rPr>
        <w:t xml:space="preserve">2 </w:t>
      </w:r>
      <w:r w:rsidR="00D67EB8" w:rsidRPr="009118AB">
        <w:rPr>
          <w:i/>
          <w:iCs/>
          <w:spacing w:val="-2"/>
        </w:rPr>
        <w:t>Abs. </w:t>
      </w:r>
      <w:r w:rsidR="004F3415" w:rsidRPr="009118AB">
        <w:rPr>
          <w:i/>
          <w:iCs/>
          <w:spacing w:val="-2"/>
        </w:rPr>
        <w:t xml:space="preserve">1 </w:t>
      </w:r>
      <w:r w:rsidR="00D67EB8" w:rsidRPr="009118AB">
        <w:rPr>
          <w:i/>
          <w:iCs/>
          <w:spacing w:val="-2"/>
        </w:rPr>
        <w:t>Nr. </w:t>
      </w:r>
      <w:r w:rsidR="004F3415" w:rsidRPr="009118AB">
        <w:rPr>
          <w:i/>
          <w:iCs/>
          <w:spacing w:val="-2"/>
        </w:rPr>
        <w:t xml:space="preserve">2 abgeändert durch </w:t>
      </w:r>
      <w:r w:rsidR="00D67EB8" w:rsidRPr="009118AB">
        <w:rPr>
          <w:i/>
          <w:iCs/>
          <w:spacing w:val="-2"/>
        </w:rPr>
        <w:t>Art. </w:t>
      </w:r>
      <w:r w:rsidR="004F3415" w:rsidRPr="009118AB">
        <w:rPr>
          <w:i/>
          <w:iCs/>
          <w:spacing w:val="-2"/>
        </w:rPr>
        <w:t xml:space="preserve">21 </w:t>
      </w:r>
      <w:r w:rsidR="00D67EB8" w:rsidRPr="009118AB">
        <w:rPr>
          <w:i/>
          <w:iCs/>
          <w:spacing w:val="-2"/>
        </w:rPr>
        <w:t>Nr. </w:t>
      </w:r>
      <w:r w:rsidR="004F3415" w:rsidRPr="009118AB">
        <w:rPr>
          <w:i/>
          <w:iCs/>
          <w:spacing w:val="-2"/>
        </w:rPr>
        <w:t>3 des G. vom 17. März 2019 (III) (B.S. vom 10. Mai 2019)</w:t>
      </w:r>
      <w:r w:rsidR="00D67EB8" w:rsidRPr="009118AB">
        <w:rPr>
          <w:i/>
          <w:iCs/>
          <w:spacing w:val="-2"/>
        </w:rPr>
        <w:t> - </w:t>
      </w:r>
      <w:r w:rsidR="004F3415" w:rsidRPr="009118AB">
        <w:rPr>
          <w:i/>
          <w:iCs/>
          <w:spacing w:val="-2"/>
        </w:rPr>
        <w:t>in Kraft am 1. Mai 2019</w:t>
      </w:r>
      <w:r w:rsidR="003366D9" w:rsidRPr="009118AB">
        <w:rPr>
          <w:i/>
          <w:iCs/>
          <w:spacing w:val="-2"/>
        </w:rPr>
        <w:t> -</w:t>
      </w:r>
      <w:r w:rsidR="00FD68E8" w:rsidRPr="009118AB">
        <w:rPr>
          <w:i/>
          <w:iCs/>
          <w:spacing w:val="-2"/>
        </w:rPr>
        <w:t xml:space="preserve"> und Art. 12</w:t>
      </w:r>
      <w:r w:rsidR="00FD68E8" w:rsidRPr="009118AB">
        <w:rPr>
          <w:i/>
          <w:iCs/>
        </w:rPr>
        <w:t xml:space="preserve"> des G. vom 5. Juli 2022 (B.S. vom 15. Juli 2022)</w:t>
      </w:r>
      <w:r w:rsidR="003366D9" w:rsidRPr="009118AB">
        <w:rPr>
          <w:i/>
          <w:iCs/>
          <w:spacing w:val="-2"/>
        </w:rPr>
        <w:t>;</w:t>
      </w:r>
      <w:r w:rsidR="004F3415" w:rsidRPr="009118AB">
        <w:rPr>
          <w:i/>
          <w:iCs/>
          <w:spacing w:val="-2"/>
        </w:rPr>
        <w:t xml:space="preserve"> </w:t>
      </w:r>
      <w:r w:rsidR="00D67EB8" w:rsidRPr="009118AB">
        <w:rPr>
          <w:i/>
          <w:iCs/>
          <w:spacing w:val="-2"/>
        </w:rPr>
        <w:t>§ </w:t>
      </w:r>
      <w:r w:rsidR="00117CDF" w:rsidRPr="009118AB">
        <w:rPr>
          <w:i/>
          <w:iCs/>
          <w:spacing w:val="-2"/>
        </w:rPr>
        <w:t xml:space="preserve">2 </w:t>
      </w:r>
      <w:r w:rsidR="00D67EB8" w:rsidRPr="009118AB">
        <w:rPr>
          <w:i/>
          <w:iCs/>
          <w:spacing w:val="-2"/>
        </w:rPr>
        <w:t>Abs. </w:t>
      </w:r>
      <w:r w:rsidR="00117CDF" w:rsidRPr="009118AB">
        <w:rPr>
          <w:i/>
          <w:iCs/>
          <w:spacing w:val="-2"/>
        </w:rPr>
        <w:t xml:space="preserve">1 </w:t>
      </w:r>
      <w:r w:rsidR="00D67EB8" w:rsidRPr="009118AB">
        <w:rPr>
          <w:i/>
          <w:iCs/>
          <w:spacing w:val="-2"/>
        </w:rPr>
        <w:t>Nr. </w:t>
      </w:r>
      <w:r w:rsidR="00117CDF" w:rsidRPr="009118AB">
        <w:rPr>
          <w:i/>
          <w:iCs/>
          <w:spacing w:val="-2"/>
        </w:rPr>
        <w:t xml:space="preserve">13 abgeändert durch </w:t>
      </w:r>
      <w:r w:rsidR="00D67EB8" w:rsidRPr="009118AB">
        <w:rPr>
          <w:i/>
          <w:iCs/>
          <w:spacing w:val="-2"/>
        </w:rPr>
        <w:t>Art. </w:t>
      </w:r>
      <w:r w:rsidR="00117CDF" w:rsidRPr="009118AB">
        <w:rPr>
          <w:i/>
          <w:iCs/>
          <w:spacing w:val="-2"/>
        </w:rPr>
        <w:t xml:space="preserve">27 </w:t>
      </w:r>
      <w:r w:rsidR="00117CDF" w:rsidRPr="009118AB">
        <w:rPr>
          <w:i/>
        </w:rPr>
        <w:t>des G. vom 27. Dezember 2021 (B.S. vom 31. Dezember 2021)</w:t>
      </w:r>
      <w:r w:rsidR="00D67EB8" w:rsidRPr="009118AB">
        <w:rPr>
          <w:i/>
        </w:rPr>
        <w:t> - </w:t>
      </w:r>
      <w:r w:rsidR="00117CDF" w:rsidRPr="009118AB">
        <w:rPr>
          <w:i/>
        </w:rPr>
        <w:t>in Kraft am 31. Dezember 2021 und anwendbar auf Summen, die ab dem 1. Januar 2021 für den Erwerb von Aktien oder Anteilen einer Gesellschaft gezahlt werden</w:t>
      </w:r>
      <w:r w:rsidR="00D67EB8" w:rsidRPr="009118AB">
        <w:rPr>
          <w:i/>
        </w:rPr>
        <w:t> - </w:t>
      </w:r>
      <w:r w:rsidR="0087395E" w:rsidRPr="009118AB">
        <w:rPr>
          <w:i/>
        </w:rPr>
        <w:t xml:space="preserve">und </w:t>
      </w:r>
      <w:r w:rsidR="00D67EB8" w:rsidRPr="009118AB">
        <w:rPr>
          <w:i/>
        </w:rPr>
        <w:t>Art. </w:t>
      </w:r>
      <w:r w:rsidR="0087395E" w:rsidRPr="009118AB">
        <w:rPr>
          <w:i/>
        </w:rPr>
        <w:t xml:space="preserve">27 </w:t>
      </w:r>
      <w:r w:rsidR="0087395E" w:rsidRPr="009118AB">
        <w:rPr>
          <w:i/>
          <w:iCs/>
        </w:rPr>
        <w:t>Buchstabe b) des G. vom 23. Februar 2022 (B.S. vom 4. April 2022)</w:t>
      </w:r>
      <w:r w:rsidR="00D67EB8" w:rsidRPr="009118AB">
        <w:rPr>
          <w:i/>
          <w:iCs/>
        </w:rPr>
        <w:t> - </w:t>
      </w:r>
      <w:r w:rsidR="0087395E" w:rsidRPr="009118AB">
        <w:rPr>
          <w:i/>
          <w:iCs/>
        </w:rPr>
        <w:t>in Kraft am 4. April 2022</w:t>
      </w:r>
      <w:r w:rsidR="003366D9" w:rsidRPr="009118AB">
        <w:rPr>
          <w:i/>
          <w:iCs/>
        </w:rPr>
        <w:t> -;</w:t>
      </w:r>
      <w:r w:rsidR="00117CDF" w:rsidRPr="009118AB">
        <w:rPr>
          <w:i/>
        </w:rPr>
        <w:t xml:space="preserve"> </w:t>
      </w:r>
      <w:r w:rsidR="00D67EB8" w:rsidRPr="009118AB">
        <w:rPr>
          <w:i/>
          <w:spacing w:val="-2"/>
        </w:rPr>
        <w:t>§ </w:t>
      </w:r>
      <w:r w:rsidR="0087395E" w:rsidRPr="009118AB">
        <w:rPr>
          <w:i/>
          <w:spacing w:val="-2"/>
        </w:rPr>
        <w:t xml:space="preserve">2 </w:t>
      </w:r>
      <w:r w:rsidR="00D67EB8" w:rsidRPr="009118AB">
        <w:rPr>
          <w:i/>
          <w:spacing w:val="-2"/>
        </w:rPr>
        <w:t>Abs. </w:t>
      </w:r>
      <w:r w:rsidR="0087395E" w:rsidRPr="009118AB">
        <w:rPr>
          <w:i/>
          <w:spacing w:val="-2"/>
        </w:rPr>
        <w:t xml:space="preserve">5 </w:t>
      </w:r>
      <w:r w:rsidR="00D67EB8" w:rsidRPr="009118AB">
        <w:rPr>
          <w:i/>
          <w:spacing w:val="-2"/>
        </w:rPr>
        <w:t>Nr. </w:t>
      </w:r>
      <w:r w:rsidR="0087395E" w:rsidRPr="009118AB">
        <w:rPr>
          <w:i/>
          <w:spacing w:val="-2"/>
        </w:rPr>
        <w:t xml:space="preserve">2 einziger Absatz einleitende Bestimmung abgeändert durch </w:t>
      </w:r>
      <w:r w:rsidR="00D67EB8" w:rsidRPr="009118AB">
        <w:rPr>
          <w:i/>
          <w:spacing w:val="-2"/>
        </w:rPr>
        <w:t>Art. </w:t>
      </w:r>
      <w:r w:rsidR="0087395E" w:rsidRPr="009118AB">
        <w:rPr>
          <w:i/>
          <w:spacing w:val="-2"/>
        </w:rPr>
        <w:t xml:space="preserve">27 </w:t>
      </w:r>
      <w:r w:rsidR="0087395E" w:rsidRPr="009118AB">
        <w:rPr>
          <w:i/>
          <w:iCs/>
        </w:rPr>
        <w:t>Buchstabe c) des G. vom 23. Februar 2022 (B.S. vom 4. April 2022)</w:t>
      </w:r>
      <w:r w:rsidR="00D67EB8" w:rsidRPr="009118AB">
        <w:rPr>
          <w:i/>
          <w:iCs/>
        </w:rPr>
        <w:t> - </w:t>
      </w:r>
      <w:r w:rsidR="0087395E" w:rsidRPr="009118AB">
        <w:rPr>
          <w:i/>
          <w:iCs/>
        </w:rPr>
        <w:t>in Kraft am 4. April 2022</w:t>
      </w:r>
      <w:r w:rsidR="003366D9" w:rsidRPr="009118AB">
        <w:rPr>
          <w:i/>
          <w:iCs/>
        </w:rPr>
        <w:t> -;</w:t>
      </w:r>
      <w:r w:rsidR="0087395E" w:rsidRPr="009118AB">
        <w:rPr>
          <w:i/>
          <w:spacing w:val="-2"/>
        </w:rPr>
        <w:t xml:space="preserve"> </w:t>
      </w:r>
      <w:r w:rsidR="00D67EB8" w:rsidRPr="009118AB">
        <w:rPr>
          <w:i/>
          <w:spacing w:val="-2"/>
        </w:rPr>
        <w:t>§ </w:t>
      </w:r>
      <w:r w:rsidR="00555370" w:rsidRPr="009118AB">
        <w:rPr>
          <w:i/>
          <w:spacing w:val="-2"/>
        </w:rPr>
        <w:t xml:space="preserve">2 </w:t>
      </w:r>
      <w:r w:rsidR="00D67EB8" w:rsidRPr="009118AB">
        <w:rPr>
          <w:i/>
          <w:spacing w:val="-2"/>
        </w:rPr>
        <w:t>Abs. </w:t>
      </w:r>
      <w:r w:rsidR="00555370" w:rsidRPr="009118AB">
        <w:rPr>
          <w:i/>
          <w:spacing w:val="-2"/>
        </w:rPr>
        <w:t xml:space="preserve">5 </w:t>
      </w:r>
      <w:r w:rsidR="00D67EB8" w:rsidRPr="009118AB">
        <w:rPr>
          <w:i/>
          <w:spacing w:val="-2"/>
        </w:rPr>
        <w:t>Nr. </w:t>
      </w:r>
      <w:r w:rsidR="00555370" w:rsidRPr="009118AB">
        <w:rPr>
          <w:i/>
          <w:spacing w:val="-2"/>
        </w:rPr>
        <w:t xml:space="preserve">2 einziger Absatz Buchstabe c) abgeändert durch </w:t>
      </w:r>
      <w:r w:rsidR="00D67EB8" w:rsidRPr="009118AB">
        <w:rPr>
          <w:i/>
          <w:spacing w:val="-2"/>
        </w:rPr>
        <w:t>Art. </w:t>
      </w:r>
      <w:r w:rsidR="00555370" w:rsidRPr="009118AB">
        <w:rPr>
          <w:i/>
          <w:spacing w:val="-2"/>
        </w:rPr>
        <w:t xml:space="preserve">11 </w:t>
      </w:r>
      <w:r w:rsidR="00D67EB8" w:rsidRPr="009118AB">
        <w:rPr>
          <w:i/>
          <w:spacing w:val="-2"/>
        </w:rPr>
        <w:t>Nr. </w:t>
      </w:r>
      <w:r w:rsidR="00555370" w:rsidRPr="009118AB">
        <w:rPr>
          <w:i/>
          <w:spacing w:val="-2"/>
        </w:rPr>
        <w:t xml:space="preserve">1 </w:t>
      </w:r>
      <w:r w:rsidR="00555370" w:rsidRPr="009118AB">
        <w:rPr>
          <w:i/>
          <w:iCs/>
          <w:spacing w:val="2"/>
        </w:rPr>
        <w:t xml:space="preserve">des </w:t>
      </w:r>
      <w:r w:rsidR="00555370" w:rsidRPr="009118AB">
        <w:rPr>
          <w:i/>
          <w:iCs/>
          <w:spacing w:val="2"/>
        </w:rPr>
        <w:lastRenderedPageBreak/>
        <w:t>G. vom 2</w:t>
      </w:r>
      <w:r w:rsidR="00306781" w:rsidRPr="009118AB">
        <w:rPr>
          <w:i/>
          <w:iCs/>
          <w:spacing w:val="2"/>
        </w:rPr>
        <w:t>8</w:t>
      </w:r>
      <w:r w:rsidR="00555370" w:rsidRPr="009118AB">
        <w:rPr>
          <w:i/>
          <w:iCs/>
          <w:spacing w:val="2"/>
        </w:rPr>
        <w:t xml:space="preserve">. April 2019 (B.S. vom </w:t>
      </w:r>
      <w:r w:rsidR="00306781" w:rsidRPr="009118AB">
        <w:rPr>
          <w:i/>
          <w:iCs/>
          <w:spacing w:val="2"/>
        </w:rPr>
        <w:t>6</w:t>
      </w:r>
      <w:r w:rsidR="00555370" w:rsidRPr="009118AB">
        <w:rPr>
          <w:i/>
          <w:iCs/>
          <w:spacing w:val="2"/>
        </w:rPr>
        <w:t>. Mai 2019)</w:t>
      </w:r>
      <w:r w:rsidR="00D67EB8" w:rsidRPr="009118AB">
        <w:rPr>
          <w:i/>
          <w:iCs/>
          <w:spacing w:val="2"/>
        </w:rPr>
        <w:t> - </w:t>
      </w:r>
      <w:r w:rsidR="00555370" w:rsidRPr="009118AB">
        <w:rPr>
          <w:i/>
          <w:iCs/>
          <w:spacing w:val="2"/>
        </w:rPr>
        <w:t>wirksam ab dem Steuerjahr 2020</w:t>
      </w:r>
      <w:r w:rsidR="003366D9" w:rsidRPr="009118AB">
        <w:rPr>
          <w:i/>
          <w:iCs/>
          <w:spacing w:val="2"/>
        </w:rPr>
        <w:t> -;</w:t>
      </w:r>
      <w:r w:rsidR="00FA2809" w:rsidRPr="009118AB">
        <w:rPr>
          <w:i/>
          <w:iCs/>
          <w:spacing w:val="2"/>
        </w:rPr>
        <w:t xml:space="preserve"> </w:t>
      </w:r>
      <w:r w:rsidR="00D67EB8" w:rsidRPr="009118AB">
        <w:rPr>
          <w:i/>
          <w:spacing w:val="-2"/>
        </w:rPr>
        <w:t>§ </w:t>
      </w:r>
      <w:r w:rsidR="00FA2809" w:rsidRPr="009118AB">
        <w:rPr>
          <w:i/>
          <w:spacing w:val="-2"/>
        </w:rPr>
        <w:t xml:space="preserve">2 </w:t>
      </w:r>
      <w:r w:rsidR="00D67EB8" w:rsidRPr="009118AB">
        <w:rPr>
          <w:i/>
          <w:spacing w:val="-2"/>
        </w:rPr>
        <w:t>Abs. </w:t>
      </w:r>
      <w:r w:rsidR="00FA2809" w:rsidRPr="009118AB">
        <w:rPr>
          <w:i/>
          <w:spacing w:val="-2"/>
        </w:rPr>
        <w:t xml:space="preserve">5 </w:t>
      </w:r>
      <w:r w:rsidR="00D67EB8" w:rsidRPr="009118AB">
        <w:rPr>
          <w:i/>
          <w:spacing w:val="-2"/>
        </w:rPr>
        <w:t>Nr. </w:t>
      </w:r>
      <w:r w:rsidR="00FA2809" w:rsidRPr="009118AB">
        <w:rPr>
          <w:i/>
          <w:spacing w:val="-2"/>
        </w:rPr>
        <w:t xml:space="preserve">2 einziger Absatz Buchstabe d) abgeändert durch </w:t>
      </w:r>
      <w:r w:rsidR="00D67EB8" w:rsidRPr="009118AB">
        <w:rPr>
          <w:i/>
          <w:spacing w:val="-2"/>
        </w:rPr>
        <w:t>Art. </w:t>
      </w:r>
      <w:r w:rsidR="00FA2809" w:rsidRPr="009118AB">
        <w:rPr>
          <w:i/>
          <w:spacing w:val="-2"/>
        </w:rPr>
        <w:t xml:space="preserve">11 </w:t>
      </w:r>
      <w:r w:rsidR="00D67EB8" w:rsidRPr="009118AB">
        <w:rPr>
          <w:i/>
          <w:spacing w:val="-2"/>
        </w:rPr>
        <w:t>Nr. </w:t>
      </w:r>
      <w:r w:rsidR="00FA2809" w:rsidRPr="009118AB">
        <w:rPr>
          <w:i/>
          <w:spacing w:val="-2"/>
        </w:rPr>
        <w:t xml:space="preserve">2 </w:t>
      </w:r>
      <w:r w:rsidR="00FA2809" w:rsidRPr="009118AB">
        <w:rPr>
          <w:i/>
          <w:iCs/>
          <w:spacing w:val="2"/>
        </w:rPr>
        <w:t>des G. vom 2</w:t>
      </w:r>
      <w:r w:rsidR="00306781" w:rsidRPr="009118AB">
        <w:rPr>
          <w:i/>
          <w:iCs/>
          <w:spacing w:val="2"/>
        </w:rPr>
        <w:t>8</w:t>
      </w:r>
      <w:r w:rsidR="00FA2809" w:rsidRPr="009118AB">
        <w:rPr>
          <w:i/>
          <w:iCs/>
          <w:spacing w:val="2"/>
        </w:rPr>
        <w:t xml:space="preserve">. April 2019 (B.S. vom </w:t>
      </w:r>
      <w:r w:rsidR="00306781" w:rsidRPr="009118AB">
        <w:rPr>
          <w:i/>
          <w:iCs/>
          <w:spacing w:val="2"/>
        </w:rPr>
        <w:t>6</w:t>
      </w:r>
      <w:r w:rsidR="00FA2809" w:rsidRPr="009118AB">
        <w:rPr>
          <w:i/>
          <w:iCs/>
          <w:spacing w:val="2"/>
        </w:rPr>
        <w:t>. Mai 2019)</w:t>
      </w:r>
      <w:r w:rsidR="00D67EB8" w:rsidRPr="009118AB">
        <w:rPr>
          <w:i/>
          <w:iCs/>
          <w:spacing w:val="2"/>
        </w:rPr>
        <w:t> - </w:t>
      </w:r>
      <w:r w:rsidR="00FA2809" w:rsidRPr="009118AB">
        <w:rPr>
          <w:i/>
          <w:iCs/>
          <w:spacing w:val="2"/>
        </w:rPr>
        <w:t>wirksam ab dem Steuerjahr 2020</w:t>
      </w:r>
      <w:r w:rsidR="003366D9" w:rsidRPr="009118AB">
        <w:rPr>
          <w:i/>
          <w:iCs/>
          <w:spacing w:val="2"/>
        </w:rPr>
        <w:t> -;</w:t>
      </w:r>
      <w:r w:rsidR="00FA2809" w:rsidRPr="009118AB">
        <w:rPr>
          <w:i/>
          <w:iCs/>
          <w:spacing w:val="2"/>
        </w:rPr>
        <w:t xml:space="preserve"> </w:t>
      </w:r>
      <w:r w:rsidR="00D67EB8" w:rsidRPr="009118AB">
        <w:rPr>
          <w:i/>
          <w:iCs/>
          <w:spacing w:val="-2"/>
        </w:rPr>
        <w:t>§ </w:t>
      </w:r>
      <w:r w:rsidR="004F3415" w:rsidRPr="009118AB">
        <w:rPr>
          <w:i/>
          <w:iCs/>
          <w:spacing w:val="-2"/>
        </w:rPr>
        <w:t xml:space="preserve">2 </w:t>
      </w:r>
      <w:r w:rsidR="00D67EB8" w:rsidRPr="009118AB">
        <w:rPr>
          <w:i/>
          <w:iCs/>
          <w:spacing w:val="-2"/>
        </w:rPr>
        <w:t>Abs. </w:t>
      </w:r>
      <w:r w:rsidR="004F3415" w:rsidRPr="009118AB">
        <w:rPr>
          <w:i/>
          <w:iCs/>
          <w:spacing w:val="-2"/>
        </w:rPr>
        <w:t xml:space="preserve">5 </w:t>
      </w:r>
      <w:r w:rsidR="00D67EB8" w:rsidRPr="009118AB">
        <w:rPr>
          <w:i/>
          <w:iCs/>
          <w:spacing w:val="-2"/>
        </w:rPr>
        <w:t>Nr. </w:t>
      </w:r>
      <w:r w:rsidR="004F3415" w:rsidRPr="009118AB">
        <w:rPr>
          <w:i/>
          <w:iCs/>
          <w:spacing w:val="-2"/>
        </w:rPr>
        <w:t xml:space="preserve">3 abgeändert durch </w:t>
      </w:r>
      <w:r w:rsidR="00D67EB8" w:rsidRPr="009118AB">
        <w:rPr>
          <w:i/>
          <w:iCs/>
          <w:spacing w:val="-2"/>
        </w:rPr>
        <w:t>Art. </w:t>
      </w:r>
      <w:r w:rsidR="004F3415" w:rsidRPr="009118AB">
        <w:rPr>
          <w:i/>
          <w:iCs/>
          <w:spacing w:val="-2"/>
        </w:rPr>
        <w:t xml:space="preserve">21 </w:t>
      </w:r>
      <w:r w:rsidR="00D67EB8" w:rsidRPr="009118AB">
        <w:rPr>
          <w:i/>
          <w:iCs/>
          <w:spacing w:val="-2"/>
        </w:rPr>
        <w:t>Nr. </w:t>
      </w:r>
      <w:r w:rsidR="004F3415" w:rsidRPr="009118AB">
        <w:rPr>
          <w:i/>
          <w:iCs/>
          <w:spacing w:val="-2"/>
        </w:rPr>
        <w:t>4 des G. vom 17. März 2019 (III) (B.S. vom 10. Mai 2019)</w:t>
      </w:r>
      <w:r w:rsidR="00D67EB8" w:rsidRPr="009118AB">
        <w:rPr>
          <w:i/>
          <w:iCs/>
          <w:spacing w:val="-2"/>
        </w:rPr>
        <w:t> - </w:t>
      </w:r>
      <w:r w:rsidR="004F3415" w:rsidRPr="009118AB">
        <w:rPr>
          <w:i/>
          <w:iCs/>
          <w:spacing w:val="-2"/>
        </w:rPr>
        <w:t>in Kraft am 1. Mai 2019</w:t>
      </w:r>
      <w:r w:rsidR="00D67EB8" w:rsidRPr="009118AB">
        <w:rPr>
          <w:i/>
          <w:iCs/>
          <w:spacing w:val="-2"/>
        </w:rPr>
        <w:t> - </w:t>
      </w:r>
      <w:r w:rsidR="0087395E" w:rsidRPr="009118AB">
        <w:rPr>
          <w:i/>
          <w:iCs/>
          <w:spacing w:val="-2"/>
        </w:rPr>
        <w:t xml:space="preserve">und </w:t>
      </w:r>
      <w:r w:rsidR="00D67EB8" w:rsidRPr="009118AB">
        <w:rPr>
          <w:i/>
          <w:iCs/>
          <w:spacing w:val="-2"/>
        </w:rPr>
        <w:t>Art. </w:t>
      </w:r>
      <w:r w:rsidR="0087395E" w:rsidRPr="009118AB">
        <w:rPr>
          <w:i/>
          <w:iCs/>
          <w:spacing w:val="-2"/>
        </w:rPr>
        <w:t xml:space="preserve">27 </w:t>
      </w:r>
      <w:r w:rsidR="0087395E" w:rsidRPr="009118AB">
        <w:rPr>
          <w:i/>
          <w:iCs/>
        </w:rPr>
        <w:t>Buchstabe d) des G. vom 23. Februar 2022 (B.S. vom 4. April 2022)</w:t>
      </w:r>
      <w:r w:rsidR="00D67EB8" w:rsidRPr="009118AB">
        <w:rPr>
          <w:i/>
          <w:iCs/>
        </w:rPr>
        <w:t> - </w:t>
      </w:r>
      <w:r w:rsidR="0087395E" w:rsidRPr="009118AB">
        <w:rPr>
          <w:i/>
          <w:iCs/>
        </w:rPr>
        <w:t>in Kraft am 4. April 2022</w:t>
      </w:r>
      <w:r w:rsidR="003366D9" w:rsidRPr="009118AB">
        <w:rPr>
          <w:i/>
          <w:iCs/>
        </w:rPr>
        <w:t> -;</w:t>
      </w:r>
      <w:r w:rsidR="00FA2809" w:rsidRPr="009118AB">
        <w:rPr>
          <w:i/>
          <w:iCs/>
          <w:spacing w:val="-2"/>
        </w:rPr>
        <w:t xml:space="preserve"> </w:t>
      </w:r>
      <w:r w:rsidR="00D67EB8" w:rsidRPr="009118AB">
        <w:rPr>
          <w:i/>
          <w:iCs/>
          <w:spacing w:val="-2"/>
        </w:rPr>
        <w:t>§ </w:t>
      </w:r>
      <w:r w:rsidR="0087395E" w:rsidRPr="009118AB">
        <w:rPr>
          <w:i/>
          <w:iCs/>
          <w:spacing w:val="-2"/>
        </w:rPr>
        <w:t xml:space="preserve">3 einziger Absatz einleitende Bestimmung abgeändert durch </w:t>
      </w:r>
      <w:r w:rsidR="00D67EB8" w:rsidRPr="009118AB">
        <w:rPr>
          <w:i/>
          <w:iCs/>
          <w:spacing w:val="-2"/>
        </w:rPr>
        <w:t>Art. </w:t>
      </w:r>
      <w:r w:rsidR="0087395E" w:rsidRPr="009118AB">
        <w:rPr>
          <w:i/>
          <w:iCs/>
          <w:spacing w:val="-2"/>
        </w:rPr>
        <w:t xml:space="preserve">27 </w:t>
      </w:r>
      <w:r w:rsidR="0087395E" w:rsidRPr="009118AB">
        <w:rPr>
          <w:i/>
          <w:iCs/>
        </w:rPr>
        <w:t>Buchstabe e) des G. vom 23. Februar 2022 (B.S. vom 4. April 2022)</w:t>
      </w:r>
      <w:r w:rsidR="00D67EB8" w:rsidRPr="009118AB">
        <w:rPr>
          <w:i/>
          <w:iCs/>
        </w:rPr>
        <w:t> - </w:t>
      </w:r>
      <w:r w:rsidR="0087395E" w:rsidRPr="009118AB">
        <w:rPr>
          <w:i/>
          <w:iCs/>
        </w:rPr>
        <w:t>in Kraft am 4. April 2022</w:t>
      </w:r>
      <w:r w:rsidR="003366D9" w:rsidRPr="009118AB">
        <w:rPr>
          <w:i/>
          <w:iCs/>
        </w:rPr>
        <w:t> -;</w:t>
      </w:r>
      <w:r w:rsidR="0087395E" w:rsidRPr="009118AB">
        <w:rPr>
          <w:i/>
          <w:iCs/>
          <w:spacing w:val="-2"/>
        </w:rPr>
        <w:t xml:space="preserve"> </w:t>
      </w:r>
      <w:r w:rsidR="00D67EB8" w:rsidRPr="009118AB">
        <w:rPr>
          <w:i/>
          <w:iCs/>
          <w:spacing w:val="-2"/>
        </w:rPr>
        <w:t>§ </w:t>
      </w:r>
      <w:r w:rsidR="0087395E" w:rsidRPr="009118AB">
        <w:rPr>
          <w:i/>
          <w:iCs/>
          <w:spacing w:val="-2"/>
        </w:rPr>
        <w:t xml:space="preserve">4 </w:t>
      </w:r>
      <w:r w:rsidR="00D67EB8" w:rsidRPr="009118AB">
        <w:rPr>
          <w:i/>
          <w:iCs/>
          <w:spacing w:val="-2"/>
        </w:rPr>
        <w:t>Abs. </w:t>
      </w:r>
      <w:r w:rsidR="0087395E" w:rsidRPr="009118AB">
        <w:rPr>
          <w:i/>
          <w:iCs/>
          <w:spacing w:val="-2"/>
        </w:rPr>
        <w:t xml:space="preserve">1 abgeändert durch </w:t>
      </w:r>
      <w:r w:rsidR="00D67EB8" w:rsidRPr="009118AB">
        <w:rPr>
          <w:i/>
          <w:iCs/>
          <w:spacing w:val="-2"/>
        </w:rPr>
        <w:t>Art. </w:t>
      </w:r>
      <w:r w:rsidR="0087395E" w:rsidRPr="009118AB">
        <w:rPr>
          <w:i/>
          <w:iCs/>
          <w:spacing w:val="-2"/>
        </w:rPr>
        <w:t xml:space="preserve">27 </w:t>
      </w:r>
      <w:r w:rsidR="0087395E" w:rsidRPr="009118AB">
        <w:rPr>
          <w:i/>
          <w:iCs/>
        </w:rPr>
        <w:t>Buchstabe f) des G. vom 23. Februar 2022 (B.S. vom 4. April 2022)</w:t>
      </w:r>
      <w:r w:rsidR="00D67EB8" w:rsidRPr="009118AB">
        <w:rPr>
          <w:i/>
          <w:iCs/>
        </w:rPr>
        <w:t> - </w:t>
      </w:r>
      <w:r w:rsidR="0087395E" w:rsidRPr="009118AB">
        <w:rPr>
          <w:i/>
          <w:iCs/>
        </w:rPr>
        <w:t>in Kraft am 4. April 2022</w:t>
      </w:r>
      <w:r w:rsidR="003366D9" w:rsidRPr="009118AB">
        <w:rPr>
          <w:i/>
          <w:iCs/>
        </w:rPr>
        <w:t> -;</w:t>
      </w:r>
      <w:r w:rsidR="0087395E" w:rsidRPr="009118AB">
        <w:rPr>
          <w:i/>
          <w:iCs/>
          <w:spacing w:val="-2"/>
        </w:rPr>
        <w:t xml:space="preserve"> </w:t>
      </w:r>
      <w:r w:rsidR="00D67EB8" w:rsidRPr="009118AB">
        <w:rPr>
          <w:i/>
          <w:iCs/>
          <w:spacing w:val="-2"/>
        </w:rPr>
        <w:t>§ </w:t>
      </w:r>
      <w:r w:rsidR="00693BFA" w:rsidRPr="009118AB">
        <w:rPr>
          <w:i/>
          <w:iCs/>
          <w:spacing w:val="-2"/>
        </w:rPr>
        <w:t xml:space="preserve">4 </w:t>
      </w:r>
      <w:r w:rsidR="00D67EB8" w:rsidRPr="009118AB">
        <w:rPr>
          <w:i/>
          <w:iCs/>
          <w:spacing w:val="-2"/>
        </w:rPr>
        <w:t>Abs. </w:t>
      </w:r>
      <w:r w:rsidR="00693BFA" w:rsidRPr="009118AB">
        <w:rPr>
          <w:i/>
          <w:iCs/>
          <w:spacing w:val="-2"/>
        </w:rPr>
        <w:t xml:space="preserve">2 abgeändert durch </w:t>
      </w:r>
      <w:r w:rsidR="00D67EB8" w:rsidRPr="009118AB">
        <w:rPr>
          <w:i/>
          <w:iCs/>
          <w:spacing w:val="-2"/>
        </w:rPr>
        <w:t>Art. </w:t>
      </w:r>
      <w:r w:rsidR="00693BFA" w:rsidRPr="009118AB">
        <w:rPr>
          <w:i/>
          <w:iCs/>
          <w:spacing w:val="-2"/>
        </w:rPr>
        <w:t>33</w:t>
      </w:r>
      <w:r w:rsidR="00693BFA" w:rsidRPr="009118AB">
        <w:rPr>
          <w:i/>
        </w:rPr>
        <w:t xml:space="preserve"> des G. vom 27. Juni 2021 (B.S. vom 30. Juni 2021)</w:t>
      </w:r>
      <w:r w:rsidR="00693BFA" w:rsidRPr="009118AB">
        <w:rPr>
          <w:i/>
          <w:iCs/>
          <w:spacing w:val="-2"/>
        </w:rPr>
        <w:t xml:space="preserve">; </w:t>
      </w:r>
      <w:r w:rsidR="00D67EB8" w:rsidRPr="009118AB">
        <w:rPr>
          <w:i/>
          <w:iCs/>
          <w:spacing w:val="-2"/>
        </w:rPr>
        <w:t>§ </w:t>
      </w:r>
      <w:r w:rsidR="0087395E" w:rsidRPr="009118AB">
        <w:rPr>
          <w:i/>
          <w:iCs/>
          <w:spacing w:val="-2"/>
        </w:rPr>
        <w:t xml:space="preserve">4 </w:t>
      </w:r>
      <w:r w:rsidR="00D67EB8" w:rsidRPr="009118AB">
        <w:rPr>
          <w:i/>
          <w:iCs/>
          <w:spacing w:val="-2"/>
        </w:rPr>
        <w:t>Abs. </w:t>
      </w:r>
      <w:r w:rsidR="0087395E" w:rsidRPr="009118AB">
        <w:rPr>
          <w:i/>
          <w:iCs/>
          <w:spacing w:val="-2"/>
        </w:rPr>
        <w:t xml:space="preserve">3 abgeändert durch </w:t>
      </w:r>
      <w:r w:rsidR="00D67EB8" w:rsidRPr="009118AB">
        <w:rPr>
          <w:i/>
          <w:iCs/>
          <w:spacing w:val="-2"/>
        </w:rPr>
        <w:t>Art. </w:t>
      </w:r>
      <w:r w:rsidR="0087395E" w:rsidRPr="009118AB">
        <w:rPr>
          <w:i/>
          <w:iCs/>
          <w:spacing w:val="-2"/>
        </w:rPr>
        <w:t xml:space="preserve">27 </w:t>
      </w:r>
      <w:r w:rsidR="0087395E" w:rsidRPr="009118AB">
        <w:rPr>
          <w:i/>
          <w:iCs/>
        </w:rPr>
        <w:t>Buchstabe g) des G. vom 23. Februar 2022 (B.S. vom 4. April 2022)</w:t>
      </w:r>
      <w:r w:rsidR="00D67EB8" w:rsidRPr="009118AB">
        <w:rPr>
          <w:i/>
          <w:iCs/>
        </w:rPr>
        <w:t> - </w:t>
      </w:r>
      <w:r w:rsidR="0087395E" w:rsidRPr="009118AB">
        <w:rPr>
          <w:i/>
          <w:iCs/>
        </w:rPr>
        <w:t>in Kraft am 4. April 2022</w:t>
      </w:r>
      <w:r w:rsidR="003366D9" w:rsidRPr="009118AB">
        <w:rPr>
          <w:i/>
          <w:iCs/>
        </w:rPr>
        <w:t> -;</w:t>
      </w:r>
      <w:r w:rsidR="0087395E" w:rsidRPr="009118AB">
        <w:rPr>
          <w:i/>
          <w:iCs/>
          <w:spacing w:val="-2"/>
        </w:rPr>
        <w:t xml:space="preserve"> </w:t>
      </w:r>
      <w:r w:rsidR="00D67EB8" w:rsidRPr="009118AB">
        <w:rPr>
          <w:i/>
          <w:iCs/>
          <w:spacing w:val="-2"/>
        </w:rPr>
        <w:t>§ </w:t>
      </w:r>
      <w:r w:rsidR="00FA2809" w:rsidRPr="009118AB">
        <w:rPr>
          <w:i/>
          <w:iCs/>
          <w:spacing w:val="-2"/>
        </w:rPr>
        <w:t xml:space="preserve">4 </w:t>
      </w:r>
      <w:r w:rsidR="00D67EB8" w:rsidRPr="009118AB">
        <w:rPr>
          <w:i/>
          <w:iCs/>
          <w:spacing w:val="-2"/>
        </w:rPr>
        <w:t>Abs. </w:t>
      </w:r>
      <w:r w:rsidR="00FA2809" w:rsidRPr="009118AB">
        <w:rPr>
          <w:i/>
          <w:iCs/>
          <w:spacing w:val="-2"/>
        </w:rPr>
        <w:t xml:space="preserve">5 abgeändert durch </w:t>
      </w:r>
      <w:r w:rsidR="00D67EB8" w:rsidRPr="009118AB">
        <w:rPr>
          <w:i/>
          <w:iCs/>
          <w:spacing w:val="-2"/>
        </w:rPr>
        <w:t>Art. </w:t>
      </w:r>
      <w:r w:rsidR="00FA2809" w:rsidRPr="009118AB">
        <w:rPr>
          <w:i/>
          <w:iCs/>
          <w:spacing w:val="-2"/>
        </w:rPr>
        <w:t xml:space="preserve">11 </w:t>
      </w:r>
      <w:r w:rsidR="00D67EB8" w:rsidRPr="009118AB">
        <w:rPr>
          <w:i/>
          <w:iCs/>
          <w:spacing w:val="-2"/>
        </w:rPr>
        <w:t>Nr. </w:t>
      </w:r>
      <w:r w:rsidR="00FA2809" w:rsidRPr="009118AB">
        <w:rPr>
          <w:i/>
          <w:iCs/>
          <w:spacing w:val="-2"/>
        </w:rPr>
        <w:t>3</w:t>
      </w:r>
      <w:r w:rsidR="00FA2809" w:rsidRPr="009118AB">
        <w:rPr>
          <w:i/>
          <w:spacing w:val="-2"/>
        </w:rPr>
        <w:t xml:space="preserve"> </w:t>
      </w:r>
      <w:r w:rsidR="00FA2809" w:rsidRPr="009118AB">
        <w:rPr>
          <w:i/>
          <w:iCs/>
          <w:spacing w:val="2"/>
        </w:rPr>
        <w:t>des G. vom 2</w:t>
      </w:r>
      <w:r w:rsidR="00306781" w:rsidRPr="009118AB">
        <w:rPr>
          <w:i/>
          <w:iCs/>
          <w:spacing w:val="2"/>
        </w:rPr>
        <w:t>8</w:t>
      </w:r>
      <w:r w:rsidR="00FA2809" w:rsidRPr="009118AB">
        <w:rPr>
          <w:i/>
          <w:iCs/>
          <w:spacing w:val="2"/>
        </w:rPr>
        <w:t xml:space="preserve">. April 2019 (B.S. vom </w:t>
      </w:r>
      <w:r w:rsidR="00306781" w:rsidRPr="009118AB">
        <w:rPr>
          <w:i/>
          <w:iCs/>
          <w:spacing w:val="2"/>
        </w:rPr>
        <w:t>6</w:t>
      </w:r>
      <w:r w:rsidR="00FA2809" w:rsidRPr="009118AB">
        <w:rPr>
          <w:i/>
          <w:iCs/>
          <w:spacing w:val="2"/>
        </w:rPr>
        <w:t>. Mai 2019)</w:t>
      </w:r>
      <w:r w:rsidR="00D67EB8" w:rsidRPr="009118AB">
        <w:rPr>
          <w:i/>
          <w:iCs/>
          <w:spacing w:val="2"/>
        </w:rPr>
        <w:t> - </w:t>
      </w:r>
      <w:r w:rsidR="00FA2809" w:rsidRPr="009118AB">
        <w:rPr>
          <w:i/>
          <w:iCs/>
          <w:spacing w:val="2"/>
        </w:rPr>
        <w:t>wirksam ab dem Steuerjahr 2020</w:t>
      </w:r>
      <w:r w:rsidR="003366D9" w:rsidRPr="009118AB">
        <w:rPr>
          <w:i/>
          <w:iCs/>
          <w:spacing w:val="2"/>
        </w:rPr>
        <w:t> -;</w:t>
      </w:r>
      <w:r w:rsidR="00FA2809" w:rsidRPr="009118AB">
        <w:rPr>
          <w:i/>
          <w:iCs/>
          <w:spacing w:val="2"/>
        </w:rPr>
        <w:t xml:space="preserve"> </w:t>
      </w:r>
      <w:r w:rsidR="00D67EB8" w:rsidRPr="009118AB">
        <w:rPr>
          <w:i/>
          <w:iCs/>
          <w:spacing w:val="2"/>
        </w:rPr>
        <w:t>§ </w:t>
      </w:r>
      <w:r w:rsidR="00FA2809" w:rsidRPr="009118AB">
        <w:rPr>
          <w:i/>
          <w:iCs/>
          <w:spacing w:val="2"/>
        </w:rPr>
        <w:t xml:space="preserve">4 </w:t>
      </w:r>
      <w:r w:rsidR="00D67EB8" w:rsidRPr="009118AB">
        <w:rPr>
          <w:i/>
          <w:iCs/>
          <w:spacing w:val="2"/>
        </w:rPr>
        <w:t>Abs. </w:t>
      </w:r>
      <w:r w:rsidR="00FA2809" w:rsidRPr="009118AB">
        <w:rPr>
          <w:i/>
          <w:iCs/>
          <w:spacing w:val="2"/>
        </w:rPr>
        <w:t xml:space="preserve">7 ersetzt durch </w:t>
      </w:r>
      <w:r w:rsidR="00D67EB8" w:rsidRPr="009118AB">
        <w:rPr>
          <w:i/>
          <w:iCs/>
          <w:spacing w:val="2"/>
        </w:rPr>
        <w:t>Art. </w:t>
      </w:r>
      <w:r w:rsidR="00FA2809" w:rsidRPr="009118AB">
        <w:rPr>
          <w:i/>
          <w:iCs/>
          <w:spacing w:val="2"/>
        </w:rPr>
        <w:t xml:space="preserve">11 </w:t>
      </w:r>
      <w:r w:rsidR="00D67EB8" w:rsidRPr="009118AB">
        <w:rPr>
          <w:i/>
          <w:iCs/>
          <w:spacing w:val="2"/>
        </w:rPr>
        <w:t>Nr. </w:t>
      </w:r>
      <w:r w:rsidR="00FA2809" w:rsidRPr="009118AB">
        <w:rPr>
          <w:i/>
          <w:iCs/>
          <w:spacing w:val="2"/>
        </w:rPr>
        <w:t>4</w:t>
      </w:r>
      <w:r w:rsidR="00FA2809" w:rsidRPr="009118AB">
        <w:rPr>
          <w:i/>
          <w:spacing w:val="-2"/>
        </w:rPr>
        <w:t xml:space="preserve"> </w:t>
      </w:r>
      <w:r w:rsidR="00FA2809" w:rsidRPr="009118AB">
        <w:rPr>
          <w:i/>
          <w:iCs/>
          <w:spacing w:val="2"/>
        </w:rPr>
        <w:t>des G. vom 2</w:t>
      </w:r>
      <w:r w:rsidR="00306781" w:rsidRPr="009118AB">
        <w:rPr>
          <w:i/>
          <w:iCs/>
          <w:spacing w:val="2"/>
        </w:rPr>
        <w:t>8</w:t>
      </w:r>
      <w:r w:rsidR="00FA2809" w:rsidRPr="009118AB">
        <w:rPr>
          <w:i/>
          <w:iCs/>
          <w:spacing w:val="2"/>
        </w:rPr>
        <w:t xml:space="preserve">. April 2019 (B.S. vom </w:t>
      </w:r>
      <w:r w:rsidR="00306781" w:rsidRPr="009118AB">
        <w:rPr>
          <w:i/>
          <w:iCs/>
          <w:spacing w:val="2"/>
        </w:rPr>
        <w:t>6</w:t>
      </w:r>
      <w:r w:rsidR="00FA2809" w:rsidRPr="009118AB">
        <w:rPr>
          <w:i/>
          <w:iCs/>
          <w:spacing w:val="2"/>
        </w:rPr>
        <w:t>. Mai 2019)</w:t>
      </w:r>
      <w:r w:rsidR="00D67EB8" w:rsidRPr="009118AB">
        <w:rPr>
          <w:i/>
          <w:iCs/>
          <w:spacing w:val="2"/>
        </w:rPr>
        <w:t> - </w:t>
      </w:r>
      <w:r w:rsidR="00FA2809" w:rsidRPr="009118AB">
        <w:rPr>
          <w:i/>
          <w:iCs/>
          <w:spacing w:val="2"/>
        </w:rPr>
        <w:t>wirksam ab dem Steuerjahr 2020</w:t>
      </w:r>
      <w:r w:rsidR="00FD68E8" w:rsidRPr="009118AB">
        <w:rPr>
          <w:i/>
          <w:iCs/>
          <w:spacing w:val="2"/>
        </w:rPr>
        <w:t> -]</w:t>
      </w:r>
      <w:r w:rsidR="008A712B" w:rsidRPr="009118AB">
        <w:br w:type="page"/>
      </w:r>
    </w:p>
    <w:p w14:paraId="00118DB3" w14:textId="60CED09D" w:rsidR="00AD7D47" w:rsidRPr="009118AB" w:rsidRDefault="00903D1D" w:rsidP="00C81589">
      <w:pPr>
        <w:autoSpaceDE w:val="0"/>
        <w:autoSpaceDN w:val="0"/>
        <w:adjustRightInd w:val="0"/>
        <w:jc w:val="center"/>
      </w:pPr>
      <w:r w:rsidRPr="009118AB">
        <w:lastRenderedPageBreak/>
        <w:t xml:space="preserve"> </w:t>
      </w:r>
      <w:r w:rsidR="00477B8F" w:rsidRPr="009118AB">
        <w:t>[Unterabschnitt </w:t>
      </w:r>
      <w:r w:rsidR="00D74862" w:rsidRPr="009118AB">
        <w:t>2</w:t>
      </w:r>
      <w:r w:rsidR="00477B8F" w:rsidRPr="009118AB">
        <w:rPr>
          <w:i/>
          <w:iCs/>
        </w:rPr>
        <w:t>nonies</w:t>
      </w:r>
      <w:r w:rsidR="00D67EB8" w:rsidRPr="009118AB">
        <w:t> - </w:t>
      </w:r>
      <w:r w:rsidR="00AD7D47" w:rsidRPr="009118AB">
        <w:t>[Ermäßigung für Ausgaben für den Erwerb eines Elektro</w:t>
      </w:r>
      <w:r w:rsidR="00AD7D47" w:rsidRPr="009118AB">
        <w:softHyphen/>
        <w:t>fahrzeugs oder die Installation einer Ladesäule für Elektrofahrzeuge]</w:t>
      </w:r>
    </w:p>
    <w:p w14:paraId="3C75CDE4" w14:textId="77777777" w:rsidR="00AD7D47" w:rsidRPr="009118AB" w:rsidRDefault="00AD7D47" w:rsidP="00AD7D47">
      <w:pPr>
        <w:autoSpaceDE w:val="0"/>
        <w:autoSpaceDN w:val="0"/>
        <w:adjustRightInd w:val="0"/>
        <w:jc w:val="both"/>
      </w:pPr>
    </w:p>
    <w:p w14:paraId="0E6870B6" w14:textId="0F6B06EE" w:rsidR="00AD7D47" w:rsidRPr="009118AB" w:rsidRDefault="00AD7D47" w:rsidP="00AD7D47">
      <w:pPr>
        <w:autoSpaceDE w:val="0"/>
        <w:autoSpaceDN w:val="0"/>
        <w:adjustRightInd w:val="0"/>
        <w:jc w:val="both"/>
        <w:rPr>
          <w:iCs/>
        </w:rPr>
      </w:pPr>
      <w:r w:rsidRPr="009118AB">
        <w:rPr>
          <w:i/>
          <w:iCs/>
        </w:rPr>
        <w:t>[Unterabschnitt </w:t>
      </w:r>
      <w:r w:rsidR="00D74862" w:rsidRPr="009118AB">
        <w:rPr>
          <w:i/>
          <w:iCs/>
        </w:rPr>
        <w:t>2</w:t>
      </w:r>
      <w:r w:rsidRPr="009118AB">
        <w:rPr>
          <w:i/>
          <w:iCs/>
        </w:rPr>
        <w:t xml:space="preserve">nonies mit </w:t>
      </w:r>
      <w:r w:rsidR="00D67EB8" w:rsidRPr="009118AB">
        <w:rPr>
          <w:i/>
          <w:iCs/>
        </w:rPr>
        <w:t>Art. </w:t>
      </w:r>
      <w:r w:rsidRPr="009118AB">
        <w:rPr>
          <w:i/>
          <w:iCs/>
        </w:rPr>
        <w:t>145</w:t>
      </w:r>
      <w:r w:rsidR="00AF11D2" w:rsidRPr="009118AB">
        <w:rPr>
          <w:i/>
          <w:iCs/>
          <w:vertAlign w:val="superscript"/>
        </w:rPr>
        <w:t>28</w:t>
      </w:r>
      <w:r w:rsidRPr="009118AB">
        <w:rPr>
          <w:i/>
          <w:iCs/>
        </w:rPr>
        <w:t xml:space="preserve"> eingefügt durch </w:t>
      </w:r>
      <w:r w:rsidR="00D67EB8" w:rsidRPr="009118AB">
        <w:rPr>
          <w:i/>
          <w:iCs/>
        </w:rPr>
        <w:t>Art. </w:t>
      </w:r>
      <w:r w:rsidR="00AF11D2" w:rsidRPr="009118AB">
        <w:rPr>
          <w:i/>
          <w:iCs/>
        </w:rPr>
        <w:t>44</w:t>
      </w:r>
      <w:r w:rsidRPr="009118AB">
        <w:rPr>
          <w:i/>
          <w:iCs/>
        </w:rPr>
        <w:t xml:space="preserve"> des G. vom </w:t>
      </w:r>
      <w:r w:rsidR="00AF11D2" w:rsidRPr="009118AB">
        <w:rPr>
          <w:i/>
          <w:iCs/>
        </w:rPr>
        <w:t>6</w:t>
      </w:r>
      <w:r w:rsidRPr="009118AB">
        <w:rPr>
          <w:i/>
          <w:iCs/>
        </w:rPr>
        <w:t>. </w:t>
      </w:r>
      <w:r w:rsidR="00AF11D2" w:rsidRPr="009118AB">
        <w:rPr>
          <w:i/>
          <w:iCs/>
        </w:rPr>
        <w:t>Juli</w:t>
      </w:r>
      <w:r w:rsidRPr="009118AB">
        <w:rPr>
          <w:i/>
          <w:iCs/>
        </w:rPr>
        <w:t> 200</w:t>
      </w:r>
      <w:r w:rsidR="00AF11D2" w:rsidRPr="009118AB">
        <w:rPr>
          <w:i/>
          <w:iCs/>
        </w:rPr>
        <w:t>4</w:t>
      </w:r>
      <w:r w:rsidRPr="009118AB">
        <w:rPr>
          <w:i/>
          <w:iCs/>
        </w:rPr>
        <w:t xml:space="preserve"> (B.S.</w:t>
      </w:r>
      <w:r w:rsidR="00AF11D2" w:rsidRPr="009118AB">
        <w:rPr>
          <w:i/>
          <w:iCs/>
        </w:rPr>
        <w:t> </w:t>
      </w:r>
      <w:r w:rsidRPr="009118AB">
        <w:rPr>
          <w:i/>
          <w:iCs/>
        </w:rPr>
        <w:t xml:space="preserve">vom </w:t>
      </w:r>
      <w:r w:rsidR="00AF11D2" w:rsidRPr="009118AB">
        <w:rPr>
          <w:i/>
          <w:iCs/>
        </w:rPr>
        <w:t>15</w:t>
      </w:r>
      <w:r w:rsidRPr="009118AB">
        <w:rPr>
          <w:i/>
          <w:iCs/>
        </w:rPr>
        <w:t>. </w:t>
      </w:r>
      <w:r w:rsidR="00AF11D2" w:rsidRPr="009118AB">
        <w:rPr>
          <w:i/>
          <w:iCs/>
        </w:rPr>
        <w:t>Juli</w:t>
      </w:r>
      <w:r w:rsidRPr="009118AB">
        <w:rPr>
          <w:i/>
          <w:iCs/>
        </w:rPr>
        <w:t> 200</w:t>
      </w:r>
      <w:r w:rsidR="00AF11D2" w:rsidRPr="009118AB">
        <w:rPr>
          <w:i/>
          <w:iCs/>
        </w:rPr>
        <w:t>4</w:t>
      </w:r>
      <w:r w:rsidRPr="009118AB">
        <w:rPr>
          <w:i/>
          <w:iCs/>
        </w:rPr>
        <w:t xml:space="preserve">); Überschrift von Unterabschnitt </w:t>
      </w:r>
      <w:r w:rsidR="00D74862" w:rsidRPr="009118AB">
        <w:rPr>
          <w:i/>
          <w:iCs/>
        </w:rPr>
        <w:t>2</w:t>
      </w:r>
      <w:r w:rsidRPr="009118AB">
        <w:rPr>
          <w:i/>
          <w:iCs/>
        </w:rPr>
        <w:t xml:space="preserve">nonies ersetzt durch </w:t>
      </w:r>
      <w:r w:rsidR="00D67EB8" w:rsidRPr="009118AB">
        <w:rPr>
          <w:i/>
          <w:iCs/>
        </w:rPr>
        <w:t>Art. </w:t>
      </w:r>
      <w:r w:rsidRPr="009118AB">
        <w:rPr>
          <w:i/>
          <w:iCs/>
        </w:rPr>
        <w:t>122 des G. vom 23. Dezember 2009 (B.S. vom 30. Dezember 2009)</w:t>
      </w:r>
      <w:r w:rsidR="00D67EB8" w:rsidRPr="009118AB">
        <w:rPr>
          <w:i/>
          <w:iCs/>
        </w:rPr>
        <w:t> - </w:t>
      </w:r>
      <w:r w:rsidRPr="009118AB">
        <w:rPr>
          <w:i/>
          <w:iCs/>
        </w:rPr>
        <w:t>anwendbar auf die in den Jahren 2010 bis 2012 gezahlten Ausgaben</w:t>
      </w:r>
      <w:r w:rsidR="00FD68E8" w:rsidRPr="009118AB">
        <w:rPr>
          <w:i/>
          <w:iCs/>
        </w:rPr>
        <w:t> -]</w:t>
      </w:r>
    </w:p>
    <w:p w14:paraId="57B89ECD" w14:textId="77777777" w:rsidR="00AD7D47" w:rsidRPr="009118AB" w:rsidRDefault="00AD7D47" w:rsidP="00477B8F">
      <w:pPr>
        <w:autoSpaceDE w:val="0"/>
        <w:autoSpaceDN w:val="0"/>
        <w:adjustRightInd w:val="0"/>
        <w:jc w:val="both"/>
      </w:pPr>
    </w:p>
    <w:p w14:paraId="60B11083" w14:textId="77777777" w:rsidR="00477B8F" w:rsidRPr="009118AB" w:rsidRDefault="00477B8F" w:rsidP="00477B8F">
      <w:pPr>
        <w:autoSpaceDE w:val="0"/>
        <w:autoSpaceDN w:val="0"/>
        <w:adjustRightInd w:val="0"/>
        <w:jc w:val="both"/>
      </w:pPr>
    </w:p>
    <w:p w14:paraId="03D35CF7" w14:textId="70FC139E" w:rsidR="00AD7D47" w:rsidRPr="009118AB" w:rsidRDefault="00477B8F" w:rsidP="00AD7D47">
      <w:pPr>
        <w:jc w:val="both"/>
      </w:pPr>
      <w:r w:rsidRPr="009118AB">
        <w:tab/>
      </w:r>
      <w:r w:rsidR="00D67EB8" w:rsidRPr="009118AB">
        <w:rPr>
          <w:b/>
          <w:bCs/>
        </w:rPr>
        <w:t>Art. </w:t>
      </w:r>
      <w:r w:rsidRPr="009118AB">
        <w:rPr>
          <w:b/>
          <w:bCs/>
        </w:rPr>
        <w:t>145</w:t>
      </w:r>
      <w:r w:rsidRPr="009118AB">
        <w:rPr>
          <w:b/>
          <w:bCs/>
          <w:vertAlign w:val="superscript"/>
        </w:rPr>
        <w:t>28</w:t>
      </w:r>
      <w:r w:rsidR="00D67EB8" w:rsidRPr="009118AB">
        <w:t> - </w:t>
      </w:r>
      <w:r w:rsidR="00AD7D47" w:rsidRPr="009118AB">
        <w:t>[</w:t>
      </w:r>
      <w:r w:rsidR="00D67EB8" w:rsidRPr="009118AB">
        <w:t>§ </w:t>
      </w:r>
      <w:r w:rsidR="00AD7D47" w:rsidRPr="009118AB">
        <w:t>1</w:t>
      </w:r>
      <w:r w:rsidR="00D67EB8" w:rsidRPr="009118AB">
        <w:t> - </w:t>
      </w:r>
      <w:r w:rsidR="00AD7D47" w:rsidRPr="009118AB">
        <w:t>Für Ausgaben, die während des Besteuerungszeitraums tatsächlich gezahlt werden für den Erwerb in Neuzustand [eines Personenkraftwagens, eines Kombiwagens oder eines Kleinbusses oder] eines Motorrads, eines dreirädrigen Kraftrads oder eines vierrädrigen Kraftrads, so wie diese Fahrzeuge in den Vorschriften über die Zulassung von Motorfahrzeugen beschrieben sind, wird eine Steuerermäßigung gewährt unter der Bedingung, dass:</w:t>
      </w:r>
    </w:p>
    <w:p w14:paraId="5EA22E5E" w14:textId="77777777" w:rsidR="00AD7D47" w:rsidRPr="009118AB" w:rsidRDefault="00AD7D47" w:rsidP="00AD7D47">
      <w:pPr>
        <w:jc w:val="both"/>
      </w:pPr>
    </w:p>
    <w:p w14:paraId="0ED9C6A9" w14:textId="77777777" w:rsidR="00AD7D47" w:rsidRPr="009118AB" w:rsidRDefault="00C81589" w:rsidP="00AD7D47">
      <w:pPr>
        <w:jc w:val="both"/>
      </w:pPr>
      <w:r w:rsidRPr="009118AB">
        <w:rPr>
          <w:i/>
        </w:rPr>
        <w:tab/>
      </w:r>
      <w:r w:rsidR="00AD7D47" w:rsidRPr="009118AB">
        <w:rPr>
          <w:i/>
        </w:rPr>
        <w:t>a)</w:t>
      </w:r>
      <w:r w:rsidR="00AD7D47" w:rsidRPr="009118AB">
        <w:t xml:space="preserve"> sie ausschließlich mit einem Elektromotor angetrieben werden,</w:t>
      </w:r>
    </w:p>
    <w:p w14:paraId="53A6F432" w14:textId="77777777" w:rsidR="00AD7D47" w:rsidRPr="009118AB" w:rsidRDefault="00AD7D47" w:rsidP="00AD7D47">
      <w:pPr>
        <w:jc w:val="both"/>
      </w:pPr>
    </w:p>
    <w:p w14:paraId="46F301D9" w14:textId="77777777" w:rsidR="00AD7D47" w:rsidRPr="009118AB" w:rsidRDefault="00C81589" w:rsidP="00AD7D47">
      <w:pPr>
        <w:jc w:val="both"/>
      </w:pPr>
      <w:r w:rsidRPr="009118AB">
        <w:rPr>
          <w:i/>
        </w:rPr>
        <w:tab/>
      </w:r>
      <w:r w:rsidR="00AD7D47" w:rsidRPr="009118AB">
        <w:rPr>
          <w:i/>
        </w:rPr>
        <w:t>b)</w:t>
      </w:r>
      <w:r w:rsidR="00AD7D47" w:rsidRPr="009118AB">
        <w:t xml:space="preserve"> sie zur Beförderung von mindestens zwei Personen geeignet sind,</w:t>
      </w:r>
    </w:p>
    <w:p w14:paraId="739AB9F2" w14:textId="77777777" w:rsidR="00AD7D47" w:rsidRPr="009118AB" w:rsidRDefault="00AD7D47" w:rsidP="00AD7D47">
      <w:pPr>
        <w:jc w:val="both"/>
      </w:pPr>
    </w:p>
    <w:p w14:paraId="11DC6A22" w14:textId="77777777" w:rsidR="00AD7D47" w:rsidRPr="009118AB" w:rsidRDefault="00C81589" w:rsidP="00AD7D47">
      <w:pPr>
        <w:jc w:val="both"/>
      </w:pPr>
      <w:r w:rsidRPr="009118AB">
        <w:rPr>
          <w:i/>
        </w:rPr>
        <w:tab/>
      </w:r>
      <w:r w:rsidR="00AD7D47" w:rsidRPr="009118AB">
        <w:rPr>
          <w:i/>
        </w:rPr>
        <w:t>c)</w:t>
      </w:r>
      <w:r w:rsidR="00AD7D47" w:rsidRPr="009118AB">
        <w:t xml:space="preserve"> für ihr Führen der Besitz eines für Fahrzeuge der Klasse A oder B gültigen belgischen Führerscheins oder eines gleichwertigen europäischen oder ausländischen Führerscheins erforderlich ist.</w:t>
      </w:r>
    </w:p>
    <w:p w14:paraId="4FE05F82" w14:textId="77777777" w:rsidR="00AD7D47" w:rsidRPr="009118AB" w:rsidRDefault="00AD7D47" w:rsidP="00AD7D47">
      <w:pPr>
        <w:jc w:val="both"/>
      </w:pPr>
    </w:p>
    <w:p w14:paraId="6DBCF12A" w14:textId="77777777" w:rsidR="00AD7D47" w:rsidRPr="009118AB" w:rsidRDefault="00C81589" w:rsidP="00AD7D47">
      <w:pPr>
        <w:jc w:val="both"/>
      </w:pPr>
      <w:r w:rsidRPr="009118AB">
        <w:tab/>
      </w:r>
      <w:r w:rsidR="003D020D" w:rsidRPr="009118AB">
        <w:t>[Die Steuerermäßigung ist nicht anwendbar auf Ausgaben, die für die Anwendung der Rechnungsermäßigung erwähnt in Artikel 147 des Programmgesetzes vom 27. April 2007, so wie er vor seiner Aufhebung durch Artikel 70 des Gesetzes vom 28. Dezember 2011 bestand, in Betracht kommen.]</w:t>
      </w:r>
    </w:p>
    <w:p w14:paraId="047CCA87" w14:textId="77777777" w:rsidR="00AD7D47" w:rsidRPr="009118AB" w:rsidRDefault="00AD7D47" w:rsidP="00AD7D47">
      <w:pPr>
        <w:jc w:val="both"/>
      </w:pPr>
    </w:p>
    <w:p w14:paraId="427250AB" w14:textId="77777777" w:rsidR="00AD7D47" w:rsidRPr="009118AB" w:rsidRDefault="00C81589" w:rsidP="00AD7D47">
      <w:pPr>
        <w:jc w:val="both"/>
      </w:pPr>
      <w:r w:rsidRPr="009118AB">
        <w:tab/>
      </w:r>
      <w:r w:rsidR="00AD7D47" w:rsidRPr="009118AB">
        <w:t>[Bei Erwerb eines Motorrads, eines dreirädrigen Kraftrads oder eines vierrädrigen Kraftrads beträgt die Steuerermäßigung 15 Prozent des Anschaffungswertes mit einem Höchstbetrag von:]</w:t>
      </w:r>
    </w:p>
    <w:p w14:paraId="368D8FBB" w14:textId="77777777" w:rsidR="00AD7D47" w:rsidRPr="009118AB" w:rsidRDefault="00AD7D47" w:rsidP="00AD7D47">
      <w:pPr>
        <w:jc w:val="both"/>
      </w:pPr>
    </w:p>
    <w:p w14:paraId="6FCFCA14" w14:textId="77777777" w:rsidR="00AD7D47" w:rsidRPr="009118AB" w:rsidRDefault="00C81589" w:rsidP="00AD7D47">
      <w:pPr>
        <w:jc w:val="both"/>
      </w:pPr>
      <w:r w:rsidRPr="009118AB">
        <w:tab/>
      </w:r>
      <w:r w:rsidR="00AD7D47" w:rsidRPr="009118AB">
        <w:t>- 3.280 EUR bei Erwerb eines vierrädrigen Kraftrads,</w:t>
      </w:r>
    </w:p>
    <w:p w14:paraId="1188569B" w14:textId="77777777" w:rsidR="00AD7D47" w:rsidRPr="009118AB" w:rsidRDefault="00AD7D47" w:rsidP="00AD7D47">
      <w:pPr>
        <w:jc w:val="both"/>
      </w:pPr>
    </w:p>
    <w:p w14:paraId="366F3D2B" w14:textId="77777777" w:rsidR="00AD7D47" w:rsidRPr="009118AB" w:rsidRDefault="00C81589" w:rsidP="00AD7D47">
      <w:pPr>
        <w:jc w:val="both"/>
      </w:pPr>
      <w:r w:rsidRPr="009118AB">
        <w:tab/>
      </w:r>
      <w:r w:rsidR="00AD7D47" w:rsidRPr="009118AB">
        <w:t>- 2.000 EUR bei Erwerb eines Motorrads oder eines dreirädrigen Kraftrads.</w:t>
      </w:r>
    </w:p>
    <w:p w14:paraId="648A71B0" w14:textId="77777777" w:rsidR="00AD7D47" w:rsidRPr="009118AB" w:rsidRDefault="00AD7D47" w:rsidP="00AD7D47">
      <w:pPr>
        <w:jc w:val="both"/>
      </w:pPr>
    </w:p>
    <w:p w14:paraId="2E384953" w14:textId="77777777" w:rsidR="00AD7D47" w:rsidRPr="009118AB" w:rsidRDefault="00C81589" w:rsidP="00AD7D47">
      <w:pPr>
        <w:jc w:val="both"/>
      </w:pPr>
      <w:r w:rsidRPr="009118AB">
        <w:tab/>
      </w:r>
      <w:r w:rsidR="00AD7D47" w:rsidRPr="009118AB">
        <w:t>[Bei Erwerb eines ausschließlich mit einem Elektromotor angetriebenen Personen</w:t>
      </w:r>
      <w:r w:rsidR="00AD7D47" w:rsidRPr="009118AB">
        <w:softHyphen/>
        <w:t>kraftwagens, Kombiwagens oder Kleinbusses beträgt die Steuerermäßigung für die in den Jahren 2010 bis 2012 gezahlten Ausgaben 30 Prozent des Anschaffungswertes mit einem Höchstbetrag von 6.500 EUR.]</w:t>
      </w:r>
    </w:p>
    <w:p w14:paraId="4061CD91" w14:textId="77777777" w:rsidR="003D020D" w:rsidRPr="009118AB" w:rsidRDefault="003D020D" w:rsidP="00AD7D47">
      <w:pPr>
        <w:jc w:val="both"/>
      </w:pPr>
    </w:p>
    <w:p w14:paraId="03181A68" w14:textId="77777777" w:rsidR="003D020D" w:rsidRPr="009118AB" w:rsidRDefault="003D020D" w:rsidP="00AD7D47">
      <w:pPr>
        <w:jc w:val="both"/>
      </w:pPr>
      <w:r w:rsidRPr="009118AB">
        <w:tab/>
        <w:t>[</w:t>
      </w:r>
      <w:r w:rsidR="004B29D4" w:rsidRPr="009118AB">
        <w:t>Wird eine gemeinsame Veranlagung festgelegt, wird die Steuerermäßigung entsprechend dem gemäß Artikel 130 besteuerten Einkommen jedes Ehepartners in der Gesamtheit der gemäß Artikel 130 besteuerten Einkünfte der beiden Ehepartner proportional aufgeteilt.</w:t>
      </w:r>
      <w:r w:rsidRPr="009118AB">
        <w:t>]</w:t>
      </w:r>
    </w:p>
    <w:p w14:paraId="4EB9BC61" w14:textId="77777777" w:rsidR="00AD7D47" w:rsidRPr="009118AB" w:rsidRDefault="00AD7D47" w:rsidP="00AD7D47">
      <w:pPr>
        <w:jc w:val="both"/>
      </w:pPr>
    </w:p>
    <w:p w14:paraId="467CC2B6" w14:textId="631FCBD5" w:rsidR="00AD7D47" w:rsidRPr="009118AB" w:rsidRDefault="00C81589" w:rsidP="00AD7D47">
      <w:pPr>
        <w:autoSpaceDE w:val="0"/>
        <w:autoSpaceDN w:val="0"/>
        <w:adjustRightInd w:val="0"/>
        <w:jc w:val="both"/>
      </w:pPr>
      <w:r w:rsidRPr="009118AB">
        <w:tab/>
      </w:r>
      <w:r w:rsidR="00D67EB8" w:rsidRPr="009118AB">
        <w:t>§ </w:t>
      </w:r>
      <w:r w:rsidR="00AD7D47" w:rsidRPr="009118AB">
        <w:t>2</w:t>
      </w:r>
      <w:r w:rsidR="00D67EB8" w:rsidRPr="009118AB">
        <w:t> - </w:t>
      </w:r>
      <w:r w:rsidR="00AD7D47" w:rsidRPr="009118AB">
        <w:t>Der König bestimmt die Modalitäten der Anwendung der Steuerermäßigung und die Art, wie der Nachweis erbracht werden muss, dass das Fahrzeug den vorgeschriebenen Bedingungen entspricht.]</w:t>
      </w:r>
    </w:p>
    <w:p w14:paraId="3B46990F" w14:textId="77777777" w:rsidR="00AD7D47" w:rsidRPr="009118AB" w:rsidRDefault="00AD7D47" w:rsidP="00AD7D47">
      <w:pPr>
        <w:autoSpaceDE w:val="0"/>
        <w:autoSpaceDN w:val="0"/>
        <w:adjustRightInd w:val="0"/>
        <w:jc w:val="both"/>
      </w:pPr>
    </w:p>
    <w:p w14:paraId="0B15D5F9" w14:textId="563A2F3F" w:rsidR="00AD7D47" w:rsidRPr="009118AB" w:rsidRDefault="00C81589" w:rsidP="00AD7D47">
      <w:pPr>
        <w:autoSpaceDE w:val="0"/>
        <w:autoSpaceDN w:val="0"/>
        <w:adjustRightInd w:val="0"/>
        <w:jc w:val="both"/>
      </w:pPr>
      <w:r w:rsidRPr="009118AB">
        <w:tab/>
      </w:r>
      <w:r w:rsidR="00AD7D47" w:rsidRPr="009118AB">
        <w:t>[</w:t>
      </w:r>
      <w:r w:rsidR="00D67EB8" w:rsidRPr="009118AB">
        <w:t>§ </w:t>
      </w:r>
      <w:r w:rsidR="00AD7D47" w:rsidRPr="009118AB">
        <w:t>3</w:t>
      </w:r>
      <w:r w:rsidR="00D67EB8" w:rsidRPr="009118AB">
        <w:t> - </w:t>
      </w:r>
      <w:r w:rsidR="002C63D0" w:rsidRPr="009118AB">
        <w:t>[</w:t>
      </w:r>
      <w:r w:rsidR="002C63D0" w:rsidRPr="009118AB">
        <w:rPr>
          <w:lang w:eastAsia="fr-BE"/>
        </w:rPr>
        <w:t xml:space="preserve">Die in </w:t>
      </w:r>
      <w:r w:rsidR="00D67EB8" w:rsidRPr="009118AB">
        <w:rPr>
          <w:lang w:eastAsia="fr-BE"/>
        </w:rPr>
        <w:t>§ </w:t>
      </w:r>
      <w:r w:rsidR="002C63D0" w:rsidRPr="009118AB">
        <w:rPr>
          <w:lang w:eastAsia="fr-BE"/>
        </w:rPr>
        <w:t xml:space="preserve">1 erwähnte Steuerermäßigung ist nicht anwendbar, wenn der Steuerpflichtige während desselben Besteuerungszeitraums </w:t>
      </w:r>
      <w:r w:rsidR="007131B9" w:rsidRPr="009118AB">
        <w:rPr>
          <w:lang w:eastAsia="fr-BE"/>
        </w:rPr>
        <w:t>[...]</w:t>
      </w:r>
      <w:r w:rsidR="002C63D0" w:rsidRPr="009118AB">
        <w:rPr>
          <w:lang w:eastAsia="fr-BE"/>
        </w:rPr>
        <w:t xml:space="preserve"> ein Mobilitätsbudget in Anwendung des Gesetzes vom 17. März 2019 über die Einführung eines Mobilitätsbudgets erhält.</w:t>
      </w:r>
      <w:r w:rsidR="002C63D0" w:rsidRPr="009118AB">
        <w:t>]</w:t>
      </w:r>
      <w:r w:rsidR="00AD7D47" w:rsidRPr="009118AB">
        <w:t>]</w:t>
      </w:r>
    </w:p>
    <w:p w14:paraId="5FBE69A7" w14:textId="77777777" w:rsidR="00AD7D47" w:rsidRPr="009118AB" w:rsidRDefault="00AD7D47" w:rsidP="00AD7D47">
      <w:pPr>
        <w:autoSpaceDE w:val="0"/>
        <w:autoSpaceDN w:val="0"/>
        <w:adjustRightInd w:val="0"/>
        <w:jc w:val="both"/>
        <w:rPr>
          <w:i/>
        </w:rPr>
      </w:pPr>
    </w:p>
    <w:p w14:paraId="26E80E5A" w14:textId="3B86267B" w:rsidR="00AD7D47" w:rsidRPr="009118AB" w:rsidRDefault="00AD7D47" w:rsidP="00AD7D47">
      <w:pPr>
        <w:autoSpaceDE w:val="0"/>
        <w:autoSpaceDN w:val="0"/>
        <w:adjustRightInd w:val="0"/>
        <w:jc w:val="both"/>
        <w:rPr>
          <w:rFonts w:ascii="Times New Roman Italique" w:hAnsi="Times New Roman Italique"/>
          <w:spacing w:val="-2"/>
        </w:rPr>
      </w:pPr>
      <w:r w:rsidRPr="009118AB">
        <w:rPr>
          <w:i/>
        </w:rPr>
        <w:t>[</w:t>
      </w:r>
      <w:r w:rsidR="00D67EB8" w:rsidRPr="009118AB">
        <w:rPr>
          <w:i/>
        </w:rPr>
        <w:t>Art. </w:t>
      </w:r>
      <w:r w:rsidRPr="009118AB">
        <w:rPr>
          <w:i/>
        </w:rPr>
        <w:t>145</w:t>
      </w:r>
      <w:r w:rsidRPr="009118AB">
        <w:rPr>
          <w:bCs/>
          <w:i/>
          <w:vertAlign w:val="superscript"/>
        </w:rPr>
        <w:t>28</w:t>
      </w:r>
      <w:r w:rsidRPr="009118AB">
        <w:rPr>
          <w:i/>
        </w:rPr>
        <w:t xml:space="preserve"> aufgehoben durch </w:t>
      </w:r>
      <w:r w:rsidR="00D67EB8" w:rsidRPr="009118AB">
        <w:rPr>
          <w:i/>
        </w:rPr>
        <w:t>Art. </w:t>
      </w:r>
      <w:r w:rsidRPr="009118AB">
        <w:rPr>
          <w:i/>
        </w:rPr>
        <w:t>79 des G. vom 27.</w:t>
      </w:r>
      <w:r w:rsidR="007C3858" w:rsidRPr="009118AB">
        <w:rPr>
          <w:i/>
        </w:rPr>
        <w:t> </w:t>
      </w:r>
      <w:r w:rsidRPr="009118AB">
        <w:rPr>
          <w:i/>
        </w:rPr>
        <w:t>April</w:t>
      </w:r>
      <w:r w:rsidR="007C3858" w:rsidRPr="009118AB">
        <w:rPr>
          <w:i/>
        </w:rPr>
        <w:t> </w:t>
      </w:r>
      <w:r w:rsidRPr="009118AB">
        <w:rPr>
          <w:i/>
        </w:rPr>
        <w:t>20</w:t>
      </w:r>
      <w:r w:rsidR="00B3148A" w:rsidRPr="009118AB">
        <w:rPr>
          <w:i/>
        </w:rPr>
        <w:t>07</w:t>
      </w:r>
      <w:r w:rsidR="007C3858" w:rsidRPr="009118AB">
        <w:rPr>
          <w:i/>
        </w:rPr>
        <w:t> </w:t>
      </w:r>
      <w:r w:rsidR="00B3148A" w:rsidRPr="009118AB">
        <w:rPr>
          <w:i/>
        </w:rPr>
        <w:t>(I) (B.S. vom 8.</w:t>
      </w:r>
      <w:r w:rsidR="007C3858" w:rsidRPr="009118AB">
        <w:rPr>
          <w:i/>
        </w:rPr>
        <w:t> </w:t>
      </w:r>
      <w:r w:rsidR="00B3148A" w:rsidRPr="009118AB">
        <w:rPr>
          <w:i/>
        </w:rPr>
        <w:t>Mai</w:t>
      </w:r>
      <w:r w:rsidR="007C3858" w:rsidRPr="009118AB">
        <w:rPr>
          <w:i/>
        </w:rPr>
        <w:t> </w:t>
      </w:r>
      <w:r w:rsidR="00B3148A" w:rsidRPr="009118AB">
        <w:rPr>
          <w:i/>
        </w:rPr>
        <w:t>2007)</w:t>
      </w:r>
      <w:r w:rsidR="00D67EB8" w:rsidRPr="009118AB">
        <w:rPr>
          <w:i/>
        </w:rPr>
        <w:t> - </w:t>
      </w:r>
      <w:r w:rsidRPr="009118AB">
        <w:rPr>
          <w:i/>
        </w:rPr>
        <w:t>anwendbar</w:t>
      </w:r>
      <w:r w:rsidRPr="009118AB">
        <w:t xml:space="preserve"> </w:t>
      </w:r>
      <w:r w:rsidRPr="009118AB">
        <w:rPr>
          <w:i/>
        </w:rPr>
        <w:t>im Falle des Erwerbs eines Personenkraftwagens, eines Kombiwagens oder eines Kleinbusses ab dem 1. Juli 2007</w:t>
      </w:r>
      <w:r w:rsidR="00D67EB8" w:rsidRPr="009118AB">
        <w:rPr>
          <w:i/>
        </w:rPr>
        <w:t> - </w:t>
      </w:r>
      <w:r w:rsidRPr="009118AB">
        <w:rPr>
          <w:i/>
        </w:rPr>
        <w:t xml:space="preserve">und wieder aufgenommen durch </w:t>
      </w:r>
      <w:r w:rsidR="00D67EB8" w:rsidRPr="009118AB">
        <w:rPr>
          <w:i/>
          <w:iCs/>
        </w:rPr>
        <w:t>Art. </w:t>
      </w:r>
      <w:r w:rsidRPr="009118AB">
        <w:rPr>
          <w:i/>
          <w:iCs/>
        </w:rPr>
        <w:t>20 des G. vom 22. Dezember 2009 (I) (B.S. vom 31. Dezember 2009)</w:t>
      </w:r>
      <w:r w:rsidR="00D67EB8" w:rsidRPr="009118AB">
        <w:rPr>
          <w:i/>
          <w:iCs/>
        </w:rPr>
        <w:t> - </w:t>
      </w:r>
      <w:r w:rsidRPr="009118AB">
        <w:rPr>
          <w:i/>
          <w:iCs/>
        </w:rPr>
        <w:t>anwendbar ab dem 1. Januar 2010 im Falle des Erwerbs eines Elektrofahrzeugs erwähnt in Artikel 145</w:t>
      </w:r>
      <w:r w:rsidRPr="009118AB">
        <w:rPr>
          <w:i/>
          <w:iCs/>
          <w:vertAlign w:val="superscript"/>
        </w:rPr>
        <w:t>28</w:t>
      </w:r>
      <w:r w:rsidRPr="009118AB">
        <w:rPr>
          <w:i/>
          <w:iCs/>
        </w:rPr>
        <w:t xml:space="preserve"> des Einkommensteuergesetzbuches 1992, so wie er durch Artikel 20 des vorliegenden Gesetzes wieder aufgenommen wird</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einleitende Bestimmung abgeändert durch </w:t>
      </w:r>
      <w:r w:rsidR="00D67EB8" w:rsidRPr="009118AB">
        <w:rPr>
          <w:i/>
          <w:iCs/>
        </w:rPr>
        <w:t>Art. </w:t>
      </w:r>
      <w:r w:rsidRPr="009118AB">
        <w:rPr>
          <w:i/>
          <w:iCs/>
        </w:rPr>
        <w:t>123 Buchstabe a) des G. vom 23. Dezember 2009 (B.S. vom 30. Dezember 2009)</w:t>
      </w:r>
      <w:r w:rsidR="00D67EB8" w:rsidRPr="009118AB">
        <w:rPr>
          <w:i/>
          <w:iCs/>
        </w:rPr>
        <w:t> - </w:t>
      </w:r>
      <w:r w:rsidRPr="009118AB">
        <w:rPr>
          <w:i/>
          <w:iCs/>
        </w:rPr>
        <w:t>anwendbar auf die in den Jahren 2010 bis 2012 gezahlten Ausgaben</w:t>
      </w:r>
      <w:r w:rsidR="003366D9" w:rsidRPr="009118AB">
        <w:rPr>
          <w:i/>
          <w:iCs/>
        </w:rPr>
        <w:t> -;</w:t>
      </w:r>
      <w:r w:rsidRPr="009118AB">
        <w:rPr>
          <w:i/>
          <w:iCs/>
        </w:rPr>
        <w:t xml:space="preserve"> </w:t>
      </w:r>
      <w:r w:rsidR="00D67EB8" w:rsidRPr="009118AB">
        <w:rPr>
          <w:i/>
          <w:iCs/>
        </w:rPr>
        <w:t>§ </w:t>
      </w:r>
      <w:r w:rsidR="003D020D" w:rsidRPr="009118AB">
        <w:rPr>
          <w:i/>
          <w:iCs/>
        </w:rPr>
        <w:t xml:space="preserve">1 </w:t>
      </w:r>
      <w:r w:rsidR="00D67EB8" w:rsidRPr="009118AB">
        <w:rPr>
          <w:i/>
          <w:iCs/>
        </w:rPr>
        <w:t>Abs. </w:t>
      </w:r>
      <w:r w:rsidR="003D020D" w:rsidRPr="009118AB">
        <w:rPr>
          <w:i/>
          <w:iCs/>
        </w:rPr>
        <w:t xml:space="preserve">2 ersetzt durch </w:t>
      </w:r>
      <w:r w:rsidR="00D67EB8" w:rsidRPr="009118AB">
        <w:rPr>
          <w:i/>
          <w:iCs/>
        </w:rPr>
        <w:t>Art. </w:t>
      </w:r>
      <w:r w:rsidR="003D020D" w:rsidRPr="009118AB">
        <w:rPr>
          <w:i/>
          <w:iCs/>
        </w:rPr>
        <w:t xml:space="preserve">21 </w:t>
      </w:r>
      <w:r w:rsidR="00D67EB8" w:rsidRPr="009118AB">
        <w:rPr>
          <w:i/>
          <w:iCs/>
        </w:rPr>
        <w:t>Nr. </w:t>
      </w:r>
      <w:r w:rsidR="003D020D" w:rsidRPr="009118AB">
        <w:rPr>
          <w:i/>
          <w:iCs/>
        </w:rPr>
        <w:t>1 des G. vom 13. Dezember 2012 (B.S. vom 20. Dezember 2012)</w:t>
      </w:r>
      <w:r w:rsidR="00D67EB8" w:rsidRPr="009118AB">
        <w:rPr>
          <w:i/>
          <w:iCs/>
        </w:rPr>
        <w:t> - </w:t>
      </w:r>
      <w:r w:rsidR="003D020D" w:rsidRPr="009118AB">
        <w:rPr>
          <w:i/>
          <w:iCs/>
        </w:rPr>
        <w:t>in Kraft ab dem Steuerjahr 2013</w:t>
      </w:r>
      <w:r w:rsidR="003366D9" w:rsidRPr="009118AB">
        <w:rPr>
          <w:i/>
          <w:iCs/>
        </w:rPr>
        <w:t> -;</w:t>
      </w:r>
      <w:r w:rsidR="003D020D"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3 einleitende Bestimmung ersetzt durch </w:t>
      </w:r>
      <w:r w:rsidR="00D67EB8" w:rsidRPr="009118AB">
        <w:rPr>
          <w:i/>
          <w:iCs/>
        </w:rPr>
        <w:t>Art. </w:t>
      </w:r>
      <w:r w:rsidRPr="009118AB">
        <w:rPr>
          <w:i/>
          <w:iCs/>
        </w:rPr>
        <w:t>123 Buchstabe b) des G. vom 23. Dezember 2009 (B.S. vom 30. Dezember 2009)</w:t>
      </w:r>
      <w:r w:rsidR="00D67EB8" w:rsidRPr="009118AB">
        <w:rPr>
          <w:i/>
          <w:iCs/>
        </w:rPr>
        <w:t> - </w:t>
      </w:r>
      <w:r w:rsidRPr="009118AB">
        <w:rPr>
          <w:i/>
          <w:iCs/>
        </w:rPr>
        <w:t>anwendbar auf die in den Jahren 2010 bis 2012 gezahlten Ausgaben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4 eingefügt durch </w:t>
      </w:r>
      <w:r w:rsidR="00D67EB8" w:rsidRPr="009118AB">
        <w:rPr>
          <w:i/>
          <w:iCs/>
        </w:rPr>
        <w:t>Art. </w:t>
      </w:r>
      <w:r w:rsidRPr="009118AB">
        <w:rPr>
          <w:i/>
          <w:iCs/>
        </w:rPr>
        <w:t>123 Buchstabe c) des G. vom 23. Dezember 2009 (B.S. vom 30. Dezember 2009)</w:t>
      </w:r>
      <w:r w:rsidR="00D67EB8" w:rsidRPr="009118AB">
        <w:rPr>
          <w:i/>
          <w:iCs/>
        </w:rPr>
        <w:t> - </w:t>
      </w:r>
      <w:r w:rsidRPr="009118AB">
        <w:rPr>
          <w:i/>
          <w:iCs/>
        </w:rPr>
        <w:t>anwendbar auf die in den Jahren 2010 bis 2012 gezahlten Ausgaben</w:t>
      </w:r>
      <w:r w:rsidR="003366D9" w:rsidRPr="009118AB">
        <w:rPr>
          <w:i/>
          <w:iCs/>
        </w:rPr>
        <w:t> -;</w:t>
      </w:r>
      <w:r w:rsidRPr="009118AB">
        <w:rPr>
          <w:i/>
          <w:iCs/>
        </w:rPr>
        <w:t xml:space="preserve"> </w:t>
      </w:r>
      <w:r w:rsidR="00D67EB8" w:rsidRPr="009118AB">
        <w:rPr>
          <w:i/>
          <w:iCs/>
        </w:rPr>
        <w:t>§ </w:t>
      </w:r>
      <w:r w:rsidR="003D020D" w:rsidRPr="009118AB">
        <w:rPr>
          <w:i/>
          <w:iCs/>
        </w:rPr>
        <w:t xml:space="preserve">1 </w:t>
      </w:r>
      <w:r w:rsidR="00D67EB8" w:rsidRPr="009118AB">
        <w:rPr>
          <w:i/>
          <w:iCs/>
        </w:rPr>
        <w:t>Abs. </w:t>
      </w:r>
      <w:r w:rsidR="003D020D" w:rsidRPr="009118AB">
        <w:rPr>
          <w:i/>
          <w:iCs/>
        </w:rPr>
        <w:t xml:space="preserve">5 eingefügt durch </w:t>
      </w:r>
      <w:r w:rsidR="00D67EB8" w:rsidRPr="009118AB">
        <w:rPr>
          <w:i/>
          <w:iCs/>
        </w:rPr>
        <w:t>Art. </w:t>
      </w:r>
      <w:r w:rsidR="003D020D" w:rsidRPr="009118AB">
        <w:rPr>
          <w:i/>
          <w:iCs/>
        </w:rPr>
        <w:t xml:space="preserve">21 </w:t>
      </w:r>
      <w:r w:rsidR="00D67EB8" w:rsidRPr="009118AB">
        <w:rPr>
          <w:i/>
          <w:iCs/>
        </w:rPr>
        <w:t>Nr. </w:t>
      </w:r>
      <w:r w:rsidR="003D020D" w:rsidRPr="009118AB">
        <w:rPr>
          <w:i/>
          <w:iCs/>
        </w:rPr>
        <w:t>2 des G. vom 13.</w:t>
      </w:r>
      <w:r w:rsidR="00916AEA">
        <w:rPr>
          <w:i/>
          <w:iCs/>
        </w:rPr>
        <w:t> </w:t>
      </w:r>
      <w:r w:rsidR="003D020D" w:rsidRPr="009118AB">
        <w:rPr>
          <w:i/>
          <w:iCs/>
        </w:rPr>
        <w:t>Dezember 2012 (B.S. vom 20. Dezember 2012)</w:t>
      </w:r>
      <w:r w:rsidR="00D67EB8" w:rsidRPr="009118AB">
        <w:rPr>
          <w:i/>
          <w:iCs/>
        </w:rPr>
        <w:t> - </w:t>
      </w:r>
      <w:r w:rsidR="003D020D" w:rsidRPr="009118AB">
        <w:rPr>
          <w:i/>
          <w:iCs/>
        </w:rPr>
        <w:t>in Kraft ab dem Steuerjahr 2013</w:t>
      </w:r>
      <w:r w:rsidR="00D67EB8" w:rsidRPr="009118AB">
        <w:rPr>
          <w:i/>
          <w:iCs/>
        </w:rPr>
        <w:t> - </w:t>
      </w:r>
      <w:r w:rsidR="009D34AE" w:rsidRPr="009118AB">
        <w:rPr>
          <w:i/>
          <w:iCs/>
        </w:rPr>
        <w:t xml:space="preserve">und ersetzt durch </w:t>
      </w:r>
      <w:r w:rsidR="00D67EB8" w:rsidRPr="009118AB">
        <w:rPr>
          <w:i/>
          <w:iCs/>
        </w:rPr>
        <w:t>Art. </w:t>
      </w:r>
      <w:r w:rsidR="009D34AE" w:rsidRPr="009118AB">
        <w:rPr>
          <w:i/>
          <w:iCs/>
        </w:rPr>
        <w:t>34</w:t>
      </w:r>
      <w:r w:rsidR="009D34AE" w:rsidRPr="009118AB">
        <w:rPr>
          <w:i/>
        </w:rPr>
        <w:t xml:space="preserve"> des G. vom 8. Mai 2014 (B.S. vom 28. Mai 2014)</w:t>
      </w:r>
      <w:r w:rsidR="00D67EB8" w:rsidRPr="009118AB">
        <w:rPr>
          <w:i/>
        </w:rPr>
        <w:t> - </w:t>
      </w:r>
      <w:r w:rsidR="009D34AE" w:rsidRPr="009118AB">
        <w:rPr>
          <w:i/>
          <w:iCs/>
        </w:rPr>
        <w:t>anwendbar ab dem Steuerjahr 2015</w:t>
      </w:r>
      <w:r w:rsidR="003366D9" w:rsidRPr="009118AB">
        <w:rPr>
          <w:i/>
          <w:iCs/>
        </w:rPr>
        <w:t> -;</w:t>
      </w:r>
      <w:r w:rsidR="003D020D" w:rsidRPr="009118AB">
        <w:rPr>
          <w:i/>
          <w:iCs/>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123 Buchstabe</w:t>
      </w:r>
      <w:r w:rsidR="007C3858" w:rsidRPr="009118AB">
        <w:rPr>
          <w:i/>
          <w:iCs/>
        </w:rPr>
        <w:t> </w:t>
      </w:r>
      <w:r w:rsidRPr="009118AB">
        <w:rPr>
          <w:i/>
          <w:iCs/>
        </w:rPr>
        <w:t xml:space="preserve">d) des G. vom </w:t>
      </w:r>
      <w:r w:rsidRPr="009118AB">
        <w:rPr>
          <w:rFonts w:ascii="Times New Roman Italique" w:hAnsi="Times New Roman Italique"/>
          <w:i/>
          <w:iCs/>
          <w:spacing w:val="-2"/>
        </w:rPr>
        <w:t>23. Dezember 2009 (B.S. vom 30. Dezember 2009)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in den Jahren 2010 bis 2012 gezahlten Ausgaben</w:t>
      </w:r>
      <w:r w:rsidR="00D67EB8" w:rsidRPr="009118AB">
        <w:rPr>
          <w:rFonts w:ascii="Times New Roman Italique" w:hAnsi="Times New Roman Italique"/>
          <w:i/>
          <w:iCs/>
          <w:spacing w:val="-2"/>
        </w:rPr>
        <w:t> -</w:t>
      </w:r>
      <w:r w:rsidR="007131B9" w:rsidRPr="009118AB">
        <w:rPr>
          <w:rFonts w:ascii="Times New Roman Italique" w:hAnsi="Times New Roman Italique"/>
          <w:i/>
          <w:iCs/>
          <w:spacing w:val="-2"/>
        </w:rPr>
        <w:t>,</w:t>
      </w:r>
      <w:r w:rsidR="002C63D0" w:rsidRPr="009118AB">
        <w:rPr>
          <w:rFonts w:ascii="Times New Roman Italique" w:hAnsi="Times New Roman Italique"/>
          <w:i/>
          <w:iCs/>
          <w:spacing w:val="-2"/>
        </w:rPr>
        <w:t xml:space="preserve"> ersetzt durch </w:t>
      </w:r>
      <w:r w:rsidR="00D67EB8" w:rsidRPr="009118AB">
        <w:rPr>
          <w:rFonts w:ascii="Times New Roman Italique" w:hAnsi="Times New Roman Italique"/>
          <w:i/>
          <w:iCs/>
          <w:spacing w:val="-2"/>
        </w:rPr>
        <w:t>Art. </w:t>
      </w:r>
      <w:r w:rsidR="002C63D0" w:rsidRPr="009118AB">
        <w:rPr>
          <w:rFonts w:ascii="Times New Roman Italique" w:hAnsi="Times New Roman Italique"/>
          <w:i/>
          <w:iCs/>
          <w:spacing w:val="-2"/>
        </w:rPr>
        <w:t>35</w:t>
      </w:r>
      <w:r w:rsidR="002C63D0" w:rsidRPr="009118AB">
        <w:rPr>
          <w:i/>
          <w:iCs/>
          <w:spacing w:val="-2"/>
        </w:rPr>
        <w:t xml:space="preserve"> des G. vom 21. Januar 2022 (B.S. vom 28. Januar 2022)</w:t>
      </w:r>
      <w:r w:rsidR="00D67EB8" w:rsidRPr="009118AB">
        <w:rPr>
          <w:i/>
          <w:iCs/>
          <w:spacing w:val="-2"/>
        </w:rPr>
        <w:t> - </w:t>
      </w:r>
      <w:r w:rsidR="002C63D0" w:rsidRPr="009118AB">
        <w:rPr>
          <w:i/>
          <w:iCs/>
          <w:spacing w:val="-2"/>
        </w:rPr>
        <w:t>wirksam mit 1. Januar 2022</w:t>
      </w:r>
      <w:r w:rsidR="00FD68E8" w:rsidRPr="009118AB">
        <w:rPr>
          <w:i/>
          <w:iCs/>
          <w:spacing w:val="-2"/>
        </w:rPr>
        <w:t> -</w:t>
      </w:r>
      <w:r w:rsidR="007131B9" w:rsidRPr="009118AB">
        <w:rPr>
          <w:i/>
          <w:iCs/>
          <w:spacing w:val="-2"/>
        </w:rPr>
        <w:t xml:space="preserve"> und a</w:t>
      </w:r>
      <w:r w:rsidR="007C3858" w:rsidRPr="009118AB">
        <w:rPr>
          <w:i/>
          <w:iCs/>
          <w:spacing w:val="-2"/>
        </w:rPr>
        <w:t>bgeändert</w:t>
      </w:r>
      <w:r w:rsidR="007131B9" w:rsidRPr="009118AB">
        <w:rPr>
          <w:i/>
          <w:iCs/>
          <w:spacing w:val="-2"/>
        </w:rPr>
        <w:t xml:space="preserve"> durch Art. 13 des G. vom 5. Juli 2022 (B.S. vom 15. Juli 2022) - wirksam mit 1. Januar 2022 -</w:t>
      </w:r>
      <w:r w:rsidR="00FD68E8" w:rsidRPr="009118AB">
        <w:rPr>
          <w:i/>
          <w:iCs/>
          <w:spacing w:val="-2"/>
        </w:rPr>
        <w:t>]</w:t>
      </w:r>
    </w:p>
    <w:p w14:paraId="2F7B4EA4" w14:textId="62EE9EC5" w:rsidR="00477B8F" w:rsidRPr="009118AB" w:rsidRDefault="00477B8F" w:rsidP="009D34AE">
      <w:pPr>
        <w:autoSpaceDE w:val="0"/>
        <w:autoSpaceDN w:val="0"/>
        <w:adjustRightInd w:val="0"/>
        <w:jc w:val="center"/>
      </w:pPr>
      <w:r w:rsidRPr="009118AB">
        <w:br w:type="page"/>
      </w:r>
      <w:r w:rsidRPr="009118AB">
        <w:lastRenderedPageBreak/>
        <w:t>[Unterabschnitt </w:t>
      </w:r>
      <w:r w:rsidR="00D74862" w:rsidRPr="009118AB">
        <w:t>2</w:t>
      </w:r>
      <w:r w:rsidRPr="009118AB">
        <w:rPr>
          <w:i/>
          <w:iCs/>
        </w:rPr>
        <w:t>decies</w:t>
      </w:r>
      <w:r w:rsidR="00D67EB8" w:rsidRPr="009118AB">
        <w:t> - </w:t>
      </w:r>
      <w:r w:rsidR="009D34AE" w:rsidRPr="009118AB">
        <w:t>[…]</w:t>
      </w:r>
    </w:p>
    <w:p w14:paraId="2884A90B" w14:textId="77777777" w:rsidR="00477B8F" w:rsidRPr="009118AB" w:rsidRDefault="00477B8F" w:rsidP="00477B8F">
      <w:pPr>
        <w:autoSpaceDE w:val="0"/>
        <w:autoSpaceDN w:val="0"/>
        <w:adjustRightInd w:val="0"/>
        <w:jc w:val="both"/>
      </w:pPr>
    </w:p>
    <w:p w14:paraId="0455DF12" w14:textId="4F26C852" w:rsidR="00477B8F" w:rsidRPr="009118AB" w:rsidRDefault="00477B8F" w:rsidP="00477B8F">
      <w:pPr>
        <w:autoSpaceDE w:val="0"/>
        <w:autoSpaceDN w:val="0"/>
        <w:adjustRightInd w:val="0"/>
        <w:jc w:val="both"/>
      </w:pPr>
      <w:r w:rsidRPr="009118AB">
        <w:rPr>
          <w:i/>
          <w:iCs/>
        </w:rPr>
        <w:t>[Unterabschnitt </w:t>
      </w:r>
      <w:r w:rsidR="00D74862" w:rsidRPr="009118AB">
        <w:rPr>
          <w:i/>
          <w:iCs/>
        </w:rPr>
        <w:t>2</w:t>
      </w:r>
      <w:r w:rsidRPr="009118AB">
        <w:rPr>
          <w:i/>
          <w:iCs/>
        </w:rPr>
        <w:t xml:space="preserve">decies mit </w:t>
      </w:r>
      <w:r w:rsidR="00D67EB8" w:rsidRPr="009118AB">
        <w:rPr>
          <w:i/>
          <w:iCs/>
        </w:rPr>
        <w:t>Art. </w:t>
      </w:r>
      <w:r w:rsidRPr="009118AB">
        <w:rPr>
          <w:i/>
          <w:iCs/>
        </w:rPr>
        <w:t>145</w:t>
      </w:r>
      <w:r w:rsidRPr="009118AB">
        <w:rPr>
          <w:i/>
          <w:iCs/>
          <w:vertAlign w:val="superscript"/>
        </w:rPr>
        <w:t>29</w:t>
      </w:r>
      <w:r w:rsidRPr="009118AB">
        <w:rPr>
          <w:i/>
          <w:iCs/>
        </w:rPr>
        <w:t xml:space="preserve"> eingefügt durch </w:t>
      </w:r>
      <w:r w:rsidR="00D67EB8" w:rsidRPr="009118AB">
        <w:rPr>
          <w:i/>
          <w:iCs/>
        </w:rPr>
        <w:t>Art. </w:t>
      </w:r>
      <w:r w:rsidRPr="009118AB">
        <w:rPr>
          <w:i/>
          <w:iCs/>
        </w:rPr>
        <w:t>156 des G. vom 27. Dezember 2005 (I) (B.S. vom 30. Dezember 2005)</w:t>
      </w:r>
      <w:r w:rsidR="009D34AE" w:rsidRPr="009118AB">
        <w:rPr>
          <w:i/>
          <w:iCs/>
        </w:rPr>
        <w:t xml:space="preserve"> und aufgehoben durch </w:t>
      </w:r>
      <w:r w:rsidR="00D67EB8" w:rsidRPr="009118AB">
        <w:rPr>
          <w:i/>
          <w:iCs/>
        </w:rPr>
        <w:t>Art. </w:t>
      </w:r>
      <w:r w:rsidR="009D34AE" w:rsidRPr="009118AB">
        <w:rPr>
          <w:i/>
          <w:iCs/>
        </w:rPr>
        <w:t>35</w:t>
      </w:r>
      <w:r w:rsidR="009D34AE" w:rsidRPr="009118AB">
        <w:rPr>
          <w:i/>
        </w:rPr>
        <w:t xml:space="preserve"> des G. vom 8. Mai 2014 (B.S. vom 28. Mai 2014)</w:t>
      </w:r>
      <w:r w:rsidR="00D67EB8" w:rsidRPr="009118AB">
        <w:rPr>
          <w:i/>
        </w:rPr>
        <w:t> - </w:t>
      </w:r>
      <w:r w:rsidR="009D34AE" w:rsidRPr="009118AB">
        <w:rPr>
          <w:i/>
          <w:iCs/>
        </w:rPr>
        <w:t>anwendbar ab dem Steuerjahr 2015</w:t>
      </w:r>
      <w:r w:rsidR="00FD68E8" w:rsidRPr="009118AB">
        <w:rPr>
          <w:i/>
          <w:iCs/>
        </w:rPr>
        <w:t> -]</w:t>
      </w:r>
    </w:p>
    <w:p w14:paraId="6D5B615F" w14:textId="77777777" w:rsidR="00477B8F" w:rsidRPr="009118AB" w:rsidRDefault="00477B8F" w:rsidP="00477B8F">
      <w:pPr>
        <w:autoSpaceDE w:val="0"/>
        <w:autoSpaceDN w:val="0"/>
        <w:adjustRightInd w:val="0"/>
        <w:jc w:val="both"/>
      </w:pPr>
    </w:p>
    <w:p w14:paraId="65B35D50" w14:textId="77777777" w:rsidR="00477B8F" w:rsidRPr="009118AB" w:rsidRDefault="00477B8F" w:rsidP="00477B8F">
      <w:pPr>
        <w:autoSpaceDE w:val="0"/>
        <w:autoSpaceDN w:val="0"/>
        <w:adjustRightInd w:val="0"/>
        <w:jc w:val="both"/>
      </w:pPr>
    </w:p>
    <w:p w14:paraId="2D0FC42B" w14:textId="5E9F3429" w:rsidR="00477B8F" w:rsidRPr="009118AB" w:rsidRDefault="00477B8F" w:rsidP="009D34AE">
      <w:pPr>
        <w:autoSpaceDE w:val="0"/>
        <w:autoSpaceDN w:val="0"/>
        <w:adjustRightInd w:val="0"/>
        <w:jc w:val="both"/>
      </w:pPr>
      <w:r w:rsidRPr="009118AB">
        <w:tab/>
      </w:r>
      <w:r w:rsidR="00D67EB8" w:rsidRPr="009118AB">
        <w:rPr>
          <w:b/>
          <w:bCs/>
        </w:rPr>
        <w:t>Art. </w:t>
      </w:r>
      <w:r w:rsidRPr="009118AB">
        <w:rPr>
          <w:b/>
          <w:bCs/>
        </w:rPr>
        <w:t>145</w:t>
      </w:r>
      <w:r w:rsidRPr="009118AB">
        <w:rPr>
          <w:b/>
          <w:bCs/>
          <w:vertAlign w:val="superscript"/>
        </w:rPr>
        <w:t>29</w:t>
      </w:r>
      <w:r w:rsidR="00D67EB8" w:rsidRPr="009118AB">
        <w:t> - </w:t>
      </w:r>
      <w:r w:rsidR="009D34AE" w:rsidRPr="009118AB">
        <w:t>[..</w:t>
      </w:r>
      <w:r w:rsidRPr="009118AB">
        <w:t>.]</w:t>
      </w:r>
      <w:r w:rsidR="009D34AE" w:rsidRPr="009118AB">
        <w:t>]</w:t>
      </w:r>
    </w:p>
    <w:p w14:paraId="50E573FF" w14:textId="665A531C" w:rsidR="00477B8F" w:rsidRPr="009118AB" w:rsidRDefault="00477B8F" w:rsidP="00851408">
      <w:pPr>
        <w:autoSpaceDE w:val="0"/>
        <w:autoSpaceDN w:val="0"/>
        <w:adjustRightInd w:val="0"/>
        <w:jc w:val="center"/>
      </w:pPr>
      <w:r w:rsidRPr="009118AB">
        <w:br w:type="page"/>
      </w:r>
      <w:r w:rsidRPr="009118AB">
        <w:lastRenderedPageBreak/>
        <w:t>[Unterabschnitt </w:t>
      </w:r>
      <w:r w:rsidR="00D74862" w:rsidRPr="009118AB">
        <w:t>2</w:t>
      </w:r>
      <w:r w:rsidRPr="009118AB">
        <w:rPr>
          <w:i/>
          <w:iCs/>
        </w:rPr>
        <w:t>undecies</w:t>
      </w:r>
      <w:r w:rsidR="00D67EB8" w:rsidRPr="009118AB">
        <w:t> - </w:t>
      </w:r>
      <w:r w:rsidRPr="009118AB">
        <w:t>Ermäßigung für Ausgaben für die Renovierung von Wohnungen, die zu einem günstigen Mietpreis vermietet werden</w:t>
      </w:r>
    </w:p>
    <w:p w14:paraId="0D9FD754" w14:textId="77777777" w:rsidR="00477B8F" w:rsidRPr="009118AB" w:rsidRDefault="00477B8F" w:rsidP="00477B8F">
      <w:pPr>
        <w:autoSpaceDE w:val="0"/>
        <w:autoSpaceDN w:val="0"/>
        <w:adjustRightInd w:val="0"/>
        <w:jc w:val="both"/>
      </w:pPr>
    </w:p>
    <w:p w14:paraId="48147540" w14:textId="2D20B656" w:rsidR="00477B8F" w:rsidRPr="009118AB" w:rsidRDefault="00477B8F" w:rsidP="00477B8F">
      <w:pPr>
        <w:autoSpaceDE w:val="0"/>
        <w:autoSpaceDN w:val="0"/>
        <w:adjustRightInd w:val="0"/>
        <w:jc w:val="both"/>
      </w:pPr>
      <w:r w:rsidRPr="009118AB">
        <w:rPr>
          <w:i/>
          <w:iCs/>
        </w:rPr>
        <w:t xml:space="preserve">[Unterabschnitt </w:t>
      </w:r>
      <w:r w:rsidR="00D74862" w:rsidRPr="009118AB">
        <w:rPr>
          <w:i/>
          <w:iCs/>
        </w:rPr>
        <w:t>2</w:t>
      </w:r>
      <w:r w:rsidRPr="009118AB">
        <w:rPr>
          <w:i/>
          <w:iCs/>
        </w:rPr>
        <w:t xml:space="preserve">undecies mit </w:t>
      </w:r>
      <w:r w:rsidR="00D67EB8" w:rsidRPr="009118AB">
        <w:rPr>
          <w:i/>
          <w:iCs/>
        </w:rPr>
        <w:t>Art. </w:t>
      </w:r>
      <w:r w:rsidRPr="009118AB">
        <w:rPr>
          <w:i/>
          <w:iCs/>
        </w:rPr>
        <w:t>145</w:t>
      </w:r>
      <w:r w:rsidRPr="009118AB">
        <w:rPr>
          <w:i/>
          <w:iCs/>
          <w:vertAlign w:val="superscript"/>
        </w:rPr>
        <w:t>30</w:t>
      </w:r>
      <w:r w:rsidRPr="009118AB">
        <w:rPr>
          <w:i/>
          <w:iCs/>
        </w:rPr>
        <w:t xml:space="preserve"> eingefügt durch </w:t>
      </w:r>
      <w:r w:rsidR="00D67EB8" w:rsidRPr="009118AB">
        <w:rPr>
          <w:i/>
          <w:iCs/>
        </w:rPr>
        <w:t>Art. </w:t>
      </w:r>
      <w:r w:rsidRPr="009118AB">
        <w:rPr>
          <w:i/>
          <w:iCs/>
        </w:rPr>
        <w:t xml:space="preserve">14 des G. (I) vom 27. Dezember 2006 </w:t>
      </w:r>
      <w:r w:rsidR="00522F1A" w:rsidRPr="009118AB">
        <w:rPr>
          <w:i/>
          <w:iCs/>
        </w:rPr>
        <w:t xml:space="preserve">(I) </w:t>
      </w:r>
      <w:r w:rsidRPr="009118AB">
        <w:rPr>
          <w:i/>
          <w:iCs/>
        </w:rPr>
        <w:t>(B.S. vom 28. Dezember 2006)</w:t>
      </w:r>
      <w:r w:rsidR="00D67EB8" w:rsidRPr="009118AB">
        <w:rPr>
          <w:i/>
          <w:iCs/>
        </w:rPr>
        <w:t> - </w:t>
      </w:r>
      <w:r w:rsidRPr="009118AB">
        <w:rPr>
          <w:i/>
          <w:iCs/>
        </w:rPr>
        <w:t>in Kraft ab dem Steuerjahr 2008</w:t>
      </w:r>
      <w:r w:rsidR="00FD68E8" w:rsidRPr="009118AB">
        <w:rPr>
          <w:i/>
          <w:iCs/>
        </w:rPr>
        <w:t> -]</w:t>
      </w:r>
    </w:p>
    <w:p w14:paraId="53E2F9E1" w14:textId="77777777" w:rsidR="00477B8F" w:rsidRPr="009118AB" w:rsidRDefault="00477B8F" w:rsidP="00477B8F">
      <w:pPr>
        <w:autoSpaceDE w:val="0"/>
        <w:autoSpaceDN w:val="0"/>
        <w:adjustRightInd w:val="0"/>
        <w:jc w:val="both"/>
      </w:pPr>
    </w:p>
    <w:p w14:paraId="45992094" w14:textId="77777777" w:rsidR="00851408" w:rsidRPr="009118AB" w:rsidRDefault="00851408" w:rsidP="00CE53B4">
      <w:pPr>
        <w:autoSpaceDE w:val="0"/>
        <w:autoSpaceDN w:val="0"/>
        <w:adjustRightInd w:val="0"/>
        <w:jc w:val="both"/>
      </w:pPr>
    </w:p>
    <w:p w14:paraId="1E83A090" w14:textId="76706962" w:rsidR="00477B8F" w:rsidRPr="009118AB" w:rsidRDefault="00D67EB8" w:rsidP="00CE53B4">
      <w:pPr>
        <w:autoSpaceDE w:val="0"/>
        <w:autoSpaceDN w:val="0"/>
        <w:adjustRightInd w:val="0"/>
        <w:ind w:firstLine="708"/>
        <w:jc w:val="both"/>
      </w:pPr>
      <w:r w:rsidRPr="009118AB">
        <w:rPr>
          <w:b/>
        </w:rPr>
        <w:t>Art. </w:t>
      </w:r>
      <w:r w:rsidR="00477B8F" w:rsidRPr="009118AB">
        <w:rPr>
          <w:b/>
        </w:rPr>
        <w:t>145</w:t>
      </w:r>
      <w:r w:rsidR="00477B8F" w:rsidRPr="009118AB">
        <w:rPr>
          <w:b/>
          <w:vertAlign w:val="superscript"/>
        </w:rPr>
        <w:t>30</w:t>
      </w:r>
      <w:r w:rsidRPr="009118AB">
        <w:t> - </w:t>
      </w:r>
      <w:r w:rsidR="00477B8F" w:rsidRPr="009118AB">
        <w:t>Für Ausgaben, die tatsächlich während des Besteuerungszeitraums für die Renovierung einer in Belgien gelegenen Wohnung, deren Eigentümer, Besitzer, Erbpächter, Erbbauberechtigter oder Nießbraucher der Steuerpflichtige ist und die er über eine Agentur für Sozialwohnungen vermietet, gezahlt werden, wird eine Steuerermäßigung gewährt.</w:t>
      </w:r>
    </w:p>
    <w:p w14:paraId="3AB38323" w14:textId="77777777" w:rsidR="00477B8F" w:rsidRPr="009118AB" w:rsidRDefault="00477B8F" w:rsidP="00CE53B4">
      <w:pPr>
        <w:autoSpaceDE w:val="0"/>
        <w:autoSpaceDN w:val="0"/>
        <w:adjustRightInd w:val="0"/>
        <w:jc w:val="both"/>
      </w:pPr>
    </w:p>
    <w:p w14:paraId="13BAB2DB" w14:textId="77777777" w:rsidR="00477B8F" w:rsidRPr="009118AB" w:rsidRDefault="00477B8F" w:rsidP="00CE53B4">
      <w:pPr>
        <w:autoSpaceDE w:val="0"/>
        <w:autoSpaceDN w:val="0"/>
        <w:adjustRightInd w:val="0"/>
        <w:ind w:firstLine="708"/>
        <w:jc w:val="both"/>
      </w:pPr>
      <w:r w:rsidRPr="009118AB">
        <w:t>Die Steuerermäßigung ist nicht anwendbar auf Ausgaben, die:</w:t>
      </w:r>
    </w:p>
    <w:p w14:paraId="7C6C2690" w14:textId="77777777" w:rsidR="00477B8F" w:rsidRPr="009118AB" w:rsidRDefault="00477B8F" w:rsidP="00CE53B4">
      <w:pPr>
        <w:autoSpaceDE w:val="0"/>
        <w:autoSpaceDN w:val="0"/>
        <w:adjustRightInd w:val="0"/>
        <w:jc w:val="both"/>
      </w:pPr>
    </w:p>
    <w:p w14:paraId="5C106C8E" w14:textId="77777777" w:rsidR="00477B8F" w:rsidRPr="009118AB" w:rsidRDefault="00477B8F" w:rsidP="00CE53B4">
      <w:pPr>
        <w:autoSpaceDE w:val="0"/>
        <w:autoSpaceDN w:val="0"/>
        <w:adjustRightInd w:val="0"/>
        <w:ind w:firstLine="708"/>
        <w:jc w:val="both"/>
      </w:pPr>
      <w:r w:rsidRPr="009118AB">
        <w:rPr>
          <w:i/>
          <w:iCs/>
        </w:rPr>
        <w:t>a)</w:t>
      </w:r>
      <w:r w:rsidRPr="009118AB">
        <w:t xml:space="preserve"> als tatsächliche Werbungskosten be</w:t>
      </w:r>
      <w:r w:rsidR="009132B2" w:rsidRPr="009118AB">
        <w:t>rücksichtig</w:t>
      </w:r>
      <w:r w:rsidRPr="009118AB">
        <w:t>t werden,</w:t>
      </w:r>
    </w:p>
    <w:p w14:paraId="7D21625E" w14:textId="77777777" w:rsidR="00477B8F" w:rsidRPr="009118AB" w:rsidRDefault="00477B8F" w:rsidP="00CE53B4">
      <w:pPr>
        <w:autoSpaceDE w:val="0"/>
        <w:autoSpaceDN w:val="0"/>
        <w:adjustRightInd w:val="0"/>
        <w:jc w:val="both"/>
      </w:pPr>
    </w:p>
    <w:p w14:paraId="04C7A7BD" w14:textId="77777777" w:rsidR="00477B8F" w:rsidRPr="009118AB" w:rsidRDefault="00477B8F" w:rsidP="00CE53B4">
      <w:pPr>
        <w:autoSpaceDE w:val="0"/>
        <w:autoSpaceDN w:val="0"/>
        <w:adjustRightInd w:val="0"/>
        <w:ind w:firstLine="708"/>
        <w:jc w:val="both"/>
      </w:pPr>
      <w:r w:rsidRPr="009118AB">
        <w:rPr>
          <w:i/>
          <w:iCs/>
        </w:rPr>
        <w:t>b)</w:t>
      </w:r>
      <w:r w:rsidRPr="009118AB">
        <w:t xml:space="preserve"> zu dem in Artikel 69 erwähnten Investitionsabzug berechtigen,</w:t>
      </w:r>
    </w:p>
    <w:p w14:paraId="7A7AAD3D" w14:textId="77777777" w:rsidR="00477B8F" w:rsidRPr="009118AB" w:rsidRDefault="00477B8F" w:rsidP="00CE53B4">
      <w:pPr>
        <w:autoSpaceDE w:val="0"/>
        <w:autoSpaceDN w:val="0"/>
        <w:adjustRightInd w:val="0"/>
        <w:jc w:val="both"/>
      </w:pPr>
    </w:p>
    <w:p w14:paraId="4F54E41C" w14:textId="77777777" w:rsidR="00477B8F" w:rsidRPr="009118AB" w:rsidRDefault="00477B8F" w:rsidP="00CE53B4">
      <w:pPr>
        <w:autoSpaceDE w:val="0"/>
        <w:autoSpaceDN w:val="0"/>
        <w:adjustRightInd w:val="0"/>
        <w:ind w:firstLine="708"/>
        <w:jc w:val="both"/>
      </w:pPr>
      <w:r w:rsidRPr="009118AB">
        <w:rPr>
          <w:i/>
          <w:iCs/>
        </w:rPr>
        <w:t>c)</w:t>
      </w:r>
      <w:r w:rsidRPr="009118AB">
        <w:t xml:space="preserve"> bei der Anwendung </w:t>
      </w:r>
      <w:r w:rsidR="00730055" w:rsidRPr="009118AB">
        <w:t>[von Artikel </w:t>
      </w:r>
      <w:r w:rsidRPr="009118AB">
        <w:t>145</w:t>
      </w:r>
      <w:r w:rsidRPr="009118AB">
        <w:rPr>
          <w:vertAlign w:val="superscript"/>
        </w:rPr>
        <w:t>25</w:t>
      </w:r>
      <w:r w:rsidR="00730055" w:rsidRPr="009118AB">
        <w:t xml:space="preserve">] </w:t>
      </w:r>
      <w:r w:rsidRPr="009118AB">
        <w:t>berücksichtigt werden.</w:t>
      </w:r>
    </w:p>
    <w:p w14:paraId="06BFF632" w14:textId="77777777" w:rsidR="00477B8F" w:rsidRPr="009118AB" w:rsidRDefault="00477B8F" w:rsidP="00CE53B4">
      <w:pPr>
        <w:autoSpaceDE w:val="0"/>
        <w:autoSpaceDN w:val="0"/>
        <w:adjustRightInd w:val="0"/>
        <w:jc w:val="both"/>
      </w:pPr>
    </w:p>
    <w:p w14:paraId="0D547E7C" w14:textId="77777777" w:rsidR="00477B8F" w:rsidRPr="009118AB" w:rsidRDefault="00477B8F" w:rsidP="00CE53B4">
      <w:pPr>
        <w:autoSpaceDE w:val="0"/>
        <w:autoSpaceDN w:val="0"/>
        <w:adjustRightInd w:val="0"/>
        <w:ind w:firstLine="708"/>
        <w:jc w:val="both"/>
      </w:pPr>
      <w:r w:rsidRPr="009118AB">
        <w:t>Die Steuerermäßigung wird unter folgenden Bedingungen gewährt:</w:t>
      </w:r>
    </w:p>
    <w:p w14:paraId="7D8515DD" w14:textId="77777777" w:rsidR="00477B8F" w:rsidRPr="009118AB" w:rsidRDefault="00477B8F" w:rsidP="00CE53B4">
      <w:pPr>
        <w:autoSpaceDE w:val="0"/>
        <w:autoSpaceDN w:val="0"/>
        <w:adjustRightInd w:val="0"/>
        <w:jc w:val="both"/>
      </w:pPr>
    </w:p>
    <w:p w14:paraId="75A4AFAD" w14:textId="77777777" w:rsidR="00477B8F" w:rsidRPr="009118AB" w:rsidRDefault="00477B8F" w:rsidP="00CE53B4">
      <w:pPr>
        <w:autoSpaceDE w:val="0"/>
        <w:autoSpaceDN w:val="0"/>
        <w:adjustRightInd w:val="0"/>
        <w:ind w:firstLine="708"/>
        <w:jc w:val="both"/>
      </w:pPr>
      <w:r w:rsidRPr="009118AB">
        <w:t>1. Zum Zeitpunkt des Beginns der Arbeiten ist die Wohnung seit mindestens fünfzehn Jahren in Gebrauch genommen.</w:t>
      </w:r>
    </w:p>
    <w:p w14:paraId="49F46B5F" w14:textId="77777777" w:rsidR="00477B8F" w:rsidRPr="009118AB" w:rsidRDefault="00477B8F" w:rsidP="00CE53B4">
      <w:pPr>
        <w:autoSpaceDE w:val="0"/>
        <w:autoSpaceDN w:val="0"/>
        <w:adjustRightInd w:val="0"/>
        <w:jc w:val="both"/>
      </w:pPr>
    </w:p>
    <w:p w14:paraId="40C7E82A" w14:textId="77777777" w:rsidR="00477B8F" w:rsidRPr="009118AB" w:rsidRDefault="00477B8F" w:rsidP="00CE53B4">
      <w:pPr>
        <w:autoSpaceDE w:val="0"/>
        <w:autoSpaceDN w:val="0"/>
        <w:adjustRightInd w:val="0"/>
        <w:ind w:firstLine="708"/>
        <w:jc w:val="both"/>
      </w:pPr>
      <w:r w:rsidRPr="009118AB">
        <w:t>2. Die Gesamtkosten der Arbeiten einschließlich Mehrwertsteuer betragen mindestens 7.500 EUR.</w:t>
      </w:r>
    </w:p>
    <w:p w14:paraId="50226621" w14:textId="77777777" w:rsidR="00477B8F" w:rsidRPr="009118AB" w:rsidRDefault="00477B8F" w:rsidP="00CE53B4">
      <w:pPr>
        <w:autoSpaceDE w:val="0"/>
        <w:autoSpaceDN w:val="0"/>
        <w:adjustRightInd w:val="0"/>
        <w:jc w:val="both"/>
      </w:pPr>
    </w:p>
    <w:p w14:paraId="52B4D5C8" w14:textId="77777777" w:rsidR="00477B8F" w:rsidRPr="009118AB" w:rsidRDefault="00477B8F" w:rsidP="00CE53B4">
      <w:pPr>
        <w:autoSpaceDE w:val="0"/>
        <w:autoSpaceDN w:val="0"/>
        <w:adjustRightInd w:val="0"/>
        <w:ind w:firstLine="708"/>
        <w:jc w:val="both"/>
      </w:pPr>
      <w:r w:rsidRPr="009118AB">
        <w:t>3. Die Leistungen in Bezug auf diese Arbeiten</w:t>
      </w:r>
      <w:r w:rsidR="00ED7721" w:rsidRPr="009118AB">
        <w:t xml:space="preserve"> [werden für den Steuerpflichtigen erbracht und ihm in Rechnung gestellt].</w:t>
      </w:r>
    </w:p>
    <w:p w14:paraId="7E7A32AB" w14:textId="77777777" w:rsidR="00477B8F" w:rsidRPr="009118AB" w:rsidRDefault="00477B8F" w:rsidP="00CE53B4">
      <w:pPr>
        <w:autoSpaceDE w:val="0"/>
        <w:autoSpaceDN w:val="0"/>
        <w:adjustRightInd w:val="0"/>
        <w:jc w:val="both"/>
      </w:pPr>
    </w:p>
    <w:p w14:paraId="30F6C23B" w14:textId="77777777" w:rsidR="00477B8F" w:rsidRPr="009118AB" w:rsidRDefault="00477B8F" w:rsidP="00CE53B4">
      <w:pPr>
        <w:autoSpaceDE w:val="0"/>
        <w:autoSpaceDN w:val="0"/>
        <w:adjustRightInd w:val="0"/>
        <w:ind w:firstLine="708"/>
        <w:jc w:val="both"/>
      </w:pPr>
      <w:r w:rsidRPr="009118AB">
        <w:t>Die Steuerermäßigung wird für einen Zeitraum von neun aufeinander folgenden Besteuerungszeiträumen gewährt, in denen das Katastereinkommen der Wohnung in den steuerpflichtigen Einkünften enthalten ist, und zwar zu 5 Prozent der tatsächlich getätigten Ausgaben für jeden der Besteuerungszeiträume, mit einem jährlichen Höchstbetrag von 750 EUR und solange die Wohnung unter den vorgegebenen Bedingungen vermietet wird.</w:t>
      </w:r>
    </w:p>
    <w:p w14:paraId="058631DF" w14:textId="77777777" w:rsidR="00477B8F" w:rsidRPr="009118AB" w:rsidRDefault="00477B8F" w:rsidP="00CE53B4">
      <w:pPr>
        <w:autoSpaceDE w:val="0"/>
        <w:autoSpaceDN w:val="0"/>
        <w:adjustRightInd w:val="0"/>
        <w:jc w:val="both"/>
      </w:pPr>
    </w:p>
    <w:p w14:paraId="0833E2B9" w14:textId="77777777" w:rsidR="00477B8F" w:rsidRPr="009118AB" w:rsidRDefault="003D020D" w:rsidP="00CE53B4">
      <w:pPr>
        <w:autoSpaceDE w:val="0"/>
        <w:autoSpaceDN w:val="0"/>
        <w:adjustRightInd w:val="0"/>
        <w:ind w:firstLine="708"/>
        <w:jc w:val="both"/>
      </w:pPr>
      <w:r w:rsidRPr="009118AB">
        <w:t>[</w:t>
      </w:r>
      <w:r w:rsidR="00730055" w:rsidRPr="009118AB">
        <w:t>Wird eine gemeinsame Veranlagung festgelegt, wird die Steuerermäßigung entsprechend dem gemäß Artikel 130 besteuerten Einkommen jedes Ehepartners in der Gesamtheit der gemäß Artikel 130 besteuerten Einkünfte der beiden Ehepartner proportional aufgeteilt.</w:t>
      </w:r>
      <w:r w:rsidRPr="009118AB">
        <w:t>]</w:t>
      </w:r>
    </w:p>
    <w:p w14:paraId="498D9B36" w14:textId="77777777" w:rsidR="00477B8F" w:rsidRPr="009118AB" w:rsidRDefault="00477B8F" w:rsidP="00CE53B4">
      <w:pPr>
        <w:autoSpaceDE w:val="0"/>
        <w:autoSpaceDN w:val="0"/>
        <w:adjustRightInd w:val="0"/>
        <w:jc w:val="both"/>
      </w:pPr>
    </w:p>
    <w:p w14:paraId="588855CF" w14:textId="47A2C5F8" w:rsidR="00477B8F" w:rsidRPr="009118AB" w:rsidRDefault="00477B8F" w:rsidP="00CE53B4">
      <w:pPr>
        <w:autoSpaceDE w:val="0"/>
        <w:autoSpaceDN w:val="0"/>
        <w:adjustRightInd w:val="0"/>
        <w:ind w:firstLine="708"/>
        <w:jc w:val="both"/>
      </w:pPr>
      <w:r w:rsidRPr="009118AB">
        <w:t xml:space="preserve">Der König bestimmt durch einen im Ministerrat beratenen Erlass die Art der in Absatz 3 </w:t>
      </w:r>
      <w:r w:rsidR="00D67EB8" w:rsidRPr="009118AB">
        <w:t>Nr. </w:t>
      </w:r>
      <w:r w:rsidRPr="009118AB">
        <w:t>3 erwähnten Leistungen.</w:t>
      </w:r>
    </w:p>
    <w:p w14:paraId="0150D552" w14:textId="77777777" w:rsidR="00477B8F" w:rsidRPr="009118AB" w:rsidRDefault="00477B8F" w:rsidP="00CE53B4">
      <w:pPr>
        <w:autoSpaceDE w:val="0"/>
        <w:autoSpaceDN w:val="0"/>
        <w:adjustRightInd w:val="0"/>
        <w:jc w:val="both"/>
      </w:pPr>
    </w:p>
    <w:p w14:paraId="15146C94" w14:textId="77777777" w:rsidR="00477B8F" w:rsidRPr="009118AB" w:rsidRDefault="00477B8F" w:rsidP="00CE53B4">
      <w:pPr>
        <w:autoSpaceDE w:val="0"/>
        <w:autoSpaceDN w:val="0"/>
        <w:adjustRightInd w:val="0"/>
        <w:ind w:firstLine="708"/>
        <w:jc w:val="both"/>
      </w:pPr>
      <w:r w:rsidRPr="009118AB">
        <w:t>Er reicht bei den Gesetzgebenden Kammern, wenn sie versammelt sind, unverzüglich und sonst, sobald die nächste Sitzungsperiode eröffnet ist, einen Gesetzentwurf ein zur Bestätigung der Erlasse in Ausführung von vorhergehendem Absatz.</w:t>
      </w:r>
    </w:p>
    <w:p w14:paraId="4B962FAD" w14:textId="77777777" w:rsidR="00477B8F" w:rsidRPr="009118AB" w:rsidRDefault="00477B8F" w:rsidP="00CE53B4">
      <w:pPr>
        <w:autoSpaceDE w:val="0"/>
        <w:autoSpaceDN w:val="0"/>
        <w:adjustRightInd w:val="0"/>
        <w:jc w:val="both"/>
      </w:pPr>
    </w:p>
    <w:p w14:paraId="5BAFD0E2" w14:textId="77777777" w:rsidR="009132B2" w:rsidRPr="009118AB" w:rsidRDefault="009132B2" w:rsidP="00CE53B4">
      <w:pPr>
        <w:autoSpaceDE w:val="0"/>
        <w:autoSpaceDN w:val="0"/>
        <w:adjustRightInd w:val="0"/>
        <w:ind w:firstLine="708"/>
        <w:jc w:val="both"/>
      </w:pPr>
      <w:r w:rsidRPr="009118AB">
        <w:br w:type="page"/>
      </w:r>
      <w:r w:rsidR="00477B8F" w:rsidRPr="009118AB">
        <w:lastRenderedPageBreak/>
        <w:t>Der König bestimmt ebenfalls die Modalitäten der Anwendung der Ermäßigung.]</w:t>
      </w:r>
    </w:p>
    <w:p w14:paraId="02ED45C6" w14:textId="77777777" w:rsidR="009132B2" w:rsidRPr="009118AB" w:rsidRDefault="009132B2" w:rsidP="00CE53B4">
      <w:pPr>
        <w:autoSpaceDE w:val="0"/>
        <w:autoSpaceDN w:val="0"/>
        <w:adjustRightInd w:val="0"/>
        <w:ind w:firstLine="708"/>
        <w:jc w:val="both"/>
      </w:pPr>
    </w:p>
    <w:p w14:paraId="639A5DF9" w14:textId="206875A3" w:rsidR="009132B2" w:rsidRPr="009118AB" w:rsidRDefault="009132B2" w:rsidP="009132B2">
      <w:pPr>
        <w:autoSpaceDE w:val="0"/>
        <w:autoSpaceDN w:val="0"/>
        <w:adjustRightInd w:val="0"/>
        <w:jc w:val="both"/>
      </w:pPr>
      <w:r w:rsidRPr="009118AB">
        <w:rPr>
          <w:i/>
        </w:rPr>
        <w:t>[</w:t>
      </w:r>
      <w:r w:rsidR="00D67EB8" w:rsidRPr="009118AB">
        <w:rPr>
          <w:i/>
        </w:rPr>
        <w:t>Art. </w:t>
      </w:r>
      <w:r w:rsidRPr="009118AB">
        <w:rPr>
          <w:i/>
        </w:rPr>
        <w:t>145</w:t>
      </w:r>
      <w:r w:rsidRPr="009118AB">
        <w:rPr>
          <w:i/>
          <w:vertAlign w:val="superscript"/>
        </w:rPr>
        <w:t>30</w:t>
      </w:r>
      <w:r w:rsidR="007012C7" w:rsidRPr="009118AB">
        <w:rPr>
          <w:i/>
          <w:vertAlign w:val="superscript"/>
        </w:rPr>
        <w:t xml:space="preserve"> </w:t>
      </w:r>
      <w:r w:rsidR="00D67EB8" w:rsidRPr="009118AB">
        <w:rPr>
          <w:i/>
          <w:iCs/>
        </w:rPr>
        <w:t>Abs. </w:t>
      </w:r>
      <w:r w:rsidR="003D020D" w:rsidRPr="009118AB">
        <w:rPr>
          <w:i/>
          <w:iCs/>
        </w:rPr>
        <w:t xml:space="preserve">2 Buchstabe c) abgeändert durch </w:t>
      </w:r>
      <w:r w:rsidR="00D67EB8" w:rsidRPr="009118AB">
        <w:rPr>
          <w:i/>
          <w:iCs/>
        </w:rPr>
        <w:t>Art. </w:t>
      </w:r>
      <w:r w:rsidR="003D020D" w:rsidRPr="009118AB">
        <w:rPr>
          <w:i/>
          <w:iCs/>
        </w:rPr>
        <w:t xml:space="preserve">22 </w:t>
      </w:r>
      <w:r w:rsidR="00D67EB8" w:rsidRPr="009118AB">
        <w:rPr>
          <w:i/>
          <w:iCs/>
        </w:rPr>
        <w:t>Nr. </w:t>
      </w:r>
      <w:r w:rsidR="003D020D" w:rsidRPr="009118AB">
        <w:rPr>
          <w:i/>
          <w:iCs/>
        </w:rPr>
        <w:t>1 des G. vom 13.</w:t>
      </w:r>
      <w:r w:rsidR="00730055" w:rsidRPr="009118AB">
        <w:rPr>
          <w:i/>
          <w:iCs/>
        </w:rPr>
        <w:t> </w:t>
      </w:r>
      <w:r w:rsidR="003D020D" w:rsidRPr="009118AB">
        <w:rPr>
          <w:i/>
          <w:iCs/>
        </w:rPr>
        <w:t>Dezember 2012 (B.S. vom 20. Dezember 2012)</w:t>
      </w:r>
      <w:r w:rsidR="00D67EB8" w:rsidRPr="009118AB">
        <w:rPr>
          <w:i/>
          <w:iCs/>
        </w:rPr>
        <w:t> - </w:t>
      </w:r>
      <w:r w:rsidR="003D020D" w:rsidRPr="009118AB">
        <w:rPr>
          <w:i/>
          <w:iCs/>
        </w:rPr>
        <w:t>in Kraft ab dem Steuerjahr 2013</w:t>
      </w:r>
      <w:r w:rsidR="00D67EB8" w:rsidRPr="009118AB">
        <w:rPr>
          <w:i/>
          <w:iCs/>
        </w:rPr>
        <w:t> - </w:t>
      </w:r>
      <w:r w:rsidR="00730055" w:rsidRPr="009118AB">
        <w:rPr>
          <w:i/>
          <w:iCs/>
        </w:rPr>
        <w:t xml:space="preserve">und </w:t>
      </w:r>
      <w:r w:rsidR="00D67EB8" w:rsidRPr="009118AB">
        <w:rPr>
          <w:i/>
          <w:iCs/>
        </w:rPr>
        <w:t>Art. </w:t>
      </w:r>
      <w:r w:rsidR="00730055" w:rsidRPr="009118AB">
        <w:rPr>
          <w:i/>
          <w:iCs/>
        </w:rPr>
        <w:t xml:space="preserve">36 </w:t>
      </w:r>
      <w:r w:rsidR="00D67EB8" w:rsidRPr="009118AB">
        <w:rPr>
          <w:i/>
          <w:iCs/>
        </w:rPr>
        <w:t>Nr. </w:t>
      </w:r>
      <w:r w:rsidR="00730055" w:rsidRPr="009118AB">
        <w:rPr>
          <w:i/>
          <w:iCs/>
        </w:rPr>
        <w:t>1</w:t>
      </w:r>
      <w:r w:rsidR="00730055" w:rsidRPr="009118AB">
        <w:rPr>
          <w:i/>
        </w:rPr>
        <w:t xml:space="preserve"> des G. vom 8. Mai 2014 (B.S. vom 28. Mai 2014)</w:t>
      </w:r>
      <w:r w:rsidR="00D67EB8" w:rsidRPr="009118AB">
        <w:rPr>
          <w:i/>
        </w:rPr>
        <w:t> - </w:t>
      </w:r>
      <w:r w:rsidR="00730055" w:rsidRPr="009118AB">
        <w:rPr>
          <w:i/>
          <w:iCs/>
        </w:rPr>
        <w:t>anwendbar ab dem Steuerjahr 2015</w:t>
      </w:r>
      <w:r w:rsidR="003366D9" w:rsidRPr="009118AB">
        <w:rPr>
          <w:i/>
          <w:iCs/>
        </w:rPr>
        <w:t> -;</w:t>
      </w:r>
      <w:r w:rsidR="003D020D" w:rsidRPr="009118AB">
        <w:rPr>
          <w:i/>
          <w:iCs/>
        </w:rPr>
        <w:t xml:space="preserve"> </w:t>
      </w:r>
      <w:r w:rsidR="00D67EB8" w:rsidRPr="009118AB">
        <w:rPr>
          <w:i/>
          <w:iCs/>
        </w:rPr>
        <w:t>Abs. </w:t>
      </w:r>
      <w:r w:rsidR="00ED7721" w:rsidRPr="009118AB">
        <w:rPr>
          <w:i/>
          <w:iCs/>
        </w:rPr>
        <w:t xml:space="preserve">3 </w:t>
      </w:r>
      <w:r w:rsidR="00D67EB8" w:rsidRPr="009118AB">
        <w:rPr>
          <w:i/>
          <w:iCs/>
        </w:rPr>
        <w:t>Nr. </w:t>
      </w:r>
      <w:r w:rsidR="00ED7721" w:rsidRPr="009118AB">
        <w:rPr>
          <w:i/>
          <w:iCs/>
        </w:rPr>
        <w:t xml:space="preserve">3 abgeändert durch </w:t>
      </w:r>
      <w:r w:rsidR="00D67EB8" w:rsidRPr="009118AB">
        <w:rPr>
          <w:i/>
          <w:iCs/>
        </w:rPr>
        <w:t>Art. </w:t>
      </w:r>
      <w:r w:rsidR="00ED7721" w:rsidRPr="009118AB">
        <w:rPr>
          <w:i/>
          <w:iCs/>
        </w:rPr>
        <w:t>80 des G. vom 14. April 2011 (B.S. vom 6. Mai 2011)</w:t>
      </w:r>
      <w:r w:rsidR="00D67EB8" w:rsidRPr="009118AB">
        <w:rPr>
          <w:i/>
          <w:iCs/>
        </w:rPr>
        <w:t> - </w:t>
      </w:r>
      <w:r w:rsidR="00ED7721" w:rsidRPr="009118AB">
        <w:rPr>
          <w:i/>
          <w:iCs/>
        </w:rPr>
        <w:t>anwendbar auf Arbeiten, die ab dem 1. Januar 2011 ausgeführt werden</w:t>
      </w:r>
      <w:r w:rsidR="003366D9" w:rsidRPr="009118AB">
        <w:rPr>
          <w:i/>
          <w:iCs/>
        </w:rPr>
        <w:t> -;</w:t>
      </w:r>
      <w:r w:rsidR="003D020D" w:rsidRPr="009118AB">
        <w:rPr>
          <w:i/>
          <w:iCs/>
        </w:rPr>
        <w:t xml:space="preserve"> </w:t>
      </w:r>
      <w:r w:rsidR="00D67EB8" w:rsidRPr="009118AB">
        <w:rPr>
          <w:i/>
          <w:iCs/>
        </w:rPr>
        <w:t>Abs. </w:t>
      </w:r>
      <w:r w:rsidR="003D020D" w:rsidRPr="009118AB">
        <w:rPr>
          <w:i/>
          <w:iCs/>
        </w:rPr>
        <w:t xml:space="preserve">5 ersetzt durch </w:t>
      </w:r>
      <w:r w:rsidR="00D67EB8" w:rsidRPr="009118AB">
        <w:rPr>
          <w:i/>
          <w:iCs/>
        </w:rPr>
        <w:t>Art. </w:t>
      </w:r>
      <w:r w:rsidR="00730055" w:rsidRPr="009118AB">
        <w:rPr>
          <w:i/>
          <w:iCs/>
        </w:rPr>
        <w:t>36</w:t>
      </w:r>
      <w:r w:rsidR="003D020D" w:rsidRPr="009118AB">
        <w:rPr>
          <w:i/>
          <w:iCs/>
        </w:rPr>
        <w:t xml:space="preserve"> </w:t>
      </w:r>
      <w:r w:rsidR="00D67EB8" w:rsidRPr="009118AB">
        <w:rPr>
          <w:i/>
          <w:iCs/>
        </w:rPr>
        <w:t>Nr. </w:t>
      </w:r>
      <w:r w:rsidR="003D020D" w:rsidRPr="009118AB">
        <w:rPr>
          <w:i/>
          <w:iCs/>
        </w:rPr>
        <w:t>2</w:t>
      </w:r>
      <w:r w:rsidR="00730055" w:rsidRPr="009118AB">
        <w:rPr>
          <w:i/>
        </w:rPr>
        <w:t xml:space="preserve"> des G. vom 8. Mai 2014 (B.S. vom 28. Mai 2014)</w:t>
      </w:r>
      <w:r w:rsidR="00D67EB8" w:rsidRPr="009118AB">
        <w:rPr>
          <w:i/>
        </w:rPr>
        <w:t> - </w:t>
      </w:r>
      <w:r w:rsidR="00730055" w:rsidRPr="009118AB">
        <w:rPr>
          <w:i/>
          <w:iCs/>
        </w:rPr>
        <w:t>anwendbar ab dem Steuerjahr 2015</w:t>
      </w:r>
      <w:r w:rsidR="00FD68E8" w:rsidRPr="009118AB">
        <w:rPr>
          <w:i/>
          <w:iCs/>
        </w:rPr>
        <w:t> -]</w:t>
      </w:r>
    </w:p>
    <w:p w14:paraId="3413F745" w14:textId="72582CD4" w:rsidR="00477B8F" w:rsidRPr="009118AB" w:rsidRDefault="00477B8F" w:rsidP="00BE03C8">
      <w:pPr>
        <w:autoSpaceDE w:val="0"/>
        <w:autoSpaceDN w:val="0"/>
        <w:adjustRightInd w:val="0"/>
        <w:jc w:val="center"/>
      </w:pPr>
      <w:r w:rsidRPr="009118AB">
        <w:br w:type="page"/>
      </w:r>
      <w:r w:rsidRPr="009118AB">
        <w:lastRenderedPageBreak/>
        <w:t>[Unterabschnitt </w:t>
      </w:r>
      <w:r w:rsidR="00D74862" w:rsidRPr="009118AB">
        <w:t>2</w:t>
      </w:r>
      <w:r w:rsidRPr="009118AB">
        <w:rPr>
          <w:i/>
          <w:iCs/>
        </w:rPr>
        <w:t>duodecies</w:t>
      </w:r>
      <w:r w:rsidR="00D67EB8" w:rsidRPr="009118AB">
        <w:t> - </w:t>
      </w:r>
      <w:r w:rsidRPr="009118AB">
        <w:t>Ermäßigung für Ausgaben für die Absicherung von Wohnungen gegen Einbruch oder Brand</w:t>
      </w:r>
    </w:p>
    <w:p w14:paraId="7D01EC6D" w14:textId="77777777" w:rsidR="00477B8F" w:rsidRPr="009118AB" w:rsidRDefault="00477B8F" w:rsidP="00477B8F">
      <w:pPr>
        <w:autoSpaceDE w:val="0"/>
        <w:autoSpaceDN w:val="0"/>
        <w:adjustRightInd w:val="0"/>
        <w:jc w:val="both"/>
      </w:pPr>
    </w:p>
    <w:p w14:paraId="4DD8140C" w14:textId="578940CC" w:rsidR="00477B8F" w:rsidRPr="009118AB" w:rsidRDefault="00477B8F" w:rsidP="00477B8F">
      <w:pPr>
        <w:autoSpaceDE w:val="0"/>
        <w:autoSpaceDN w:val="0"/>
        <w:adjustRightInd w:val="0"/>
        <w:jc w:val="both"/>
      </w:pPr>
      <w:r w:rsidRPr="009118AB">
        <w:rPr>
          <w:i/>
          <w:iCs/>
        </w:rPr>
        <w:t xml:space="preserve">[Unterabschnitt </w:t>
      </w:r>
      <w:r w:rsidR="00D74862" w:rsidRPr="009118AB">
        <w:rPr>
          <w:i/>
          <w:iCs/>
        </w:rPr>
        <w:t>2</w:t>
      </w:r>
      <w:r w:rsidRPr="009118AB">
        <w:rPr>
          <w:i/>
          <w:iCs/>
        </w:rPr>
        <w:t xml:space="preserve">duodecies mit </w:t>
      </w:r>
      <w:r w:rsidR="00D67EB8" w:rsidRPr="009118AB">
        <w:rPr>
          <w:i/>
          <w:iCs/>
        </w:rPr>
        <w:t>Art. </w:t>
      </w:r>
      <w:r w:rsidRPr="009118AB">
        <w:rPr>
          <w:i/>
          <w:iCs/>
        </w:rPr>
        <w:t>145</w:t>
      </w:r>
      <w:r w:rsidRPr="009118AB">
        <w:rPr>
          <w:i/>
          <w:iCs/>
          <w:vertAlign w:val="superscript"/>
        </w:rPr>
        <w:t>31</w:t>
      </w:r>
      <w:r w:rsidRPr="009118AB">
        <w:rPr>
          <w:i/>
          <w:iCs/>
        </w:rPr>
        <w:t xml:space="preserve"> eingefügt durch </w:t>
      </w:r>
      <w:r w:rsidR="00D67EB8" w:rsidRPr="009118AB">
        <w:rPr>
          <w:i/>
          <w:iCs/>
        </w:rPr>
        <w:t>Art. </w:t>
      </w:r>
      <w:r w:rsidRPr="009118AB">
        <w:rPr>
          <w:i/>
          <w:iCs/>
        </w:rPr>
        <w:t>15 des G. (I) vom 27. Dezember 2006</w:t>
      </w:r>
      <w:r w:rsidR="00522F1A" w:rsidRPr="009118AB">
        <w:rPr>
          <w:i/>
          <w:iCs/>
        </w:rPr>
        <w:t xml:space="preserve"> (I)</w:t>
      </w:r>
      <w:r w:rsidRPr="009118AB">
        <w:rPr>
          <w:i/>
          <w:iCs/>
        </w:rPr>
        <w:t xml:space="preserve"> (B.S. vom 28. Dezember 2006)</w:t>
      </w:r>
      <w:r w:rsidR="00D67EB8" w:rsidRPr="009118AB">
        <w:rPr>
          <w:i/>
          <w:iCs/>
        </w:rPr>
        <w:t> - </w:t>
      </w:r>
      <w:r w:rsidRPr="009118AB">
        <w:rPr>
          <w:i/>
          <w:iCs/>
        </w:rPr>
        <w:t>in Kraft ab dem Steuerjahr 2008</w:t>
      </w:r>
      <w:r w:rsidR="00FD68E8" w:rsidRPr="009118AB">
        <w:rPr>
          <w:i/>
          <w:iCs/>
        </w:rPr>
        <w:t> -]</w:t>
      </w:r>
    </w:p>
    <w:p w14:paraId="7585F356" w14:textId="77777777" w:rsidR="00477B8F" w:rsidRPr="009118AB" w:rsidRDefault="00477B8F" w:rsidP="00477B8F">
      <w:pPr>
        <w:autoSpaceDE w:val="0"/>
        <w:autoSpaceDN w:val="0"/>
        <w:adjustRightInd w:val="0"/>
        <w:jc w:val="both"/>
      </w:pPr>
    </w:p>
    <w:p w14:paraId="2ED5286C" w14:textId="77777777" w:rsidR="00BE03C8" w:rsidRPr="009118AB" w:rsidRDefault="00BE03C8" w:rsidP="00477B8F">
      <w:pPr>
        <w:autoSpaceDE w:val="0"/>
        <w:autoSpaceDN w:val="0"/>
        <w:adjustRightInd w:val="0"/>
        <w:jc w:val="both"/>
      </w:pPr>
    </w:p>
    <w:p w14:paraId="427C8C94" w14:textId="001BEF9B" w:rsidR="00C442F8" w:rsidRPr="009118AB" w:rsidRDefault="009132B2" w:rsidP="00C442F8">
      <w:pPr>
        <w:jc w:val="both"/>
      </w:pPr>
      <w:r w:rsidRPr="009118AB">
        <w:rPr>
          <w:b/>
        </w:rPr>
        <w:tab/>
      </w:r>
      <w:r w:rsidR="00D67EB8" w:rsidRPr="009118AB">
        <w:rPr>
          <w:b/>
        </w:rPr>
        <w:t>Art. </w:t>
      </w:r>
      <w:r w:rsidR="00477B8F" w:rsidRPr="009118AB">
        <w:rPr>
          <w:b/>
        </w:rPr>
        <w:t>145</w:t>
      </w:r>
      <w:r w:rsidR="00477B8F" w:rsidRPr="009118AB">
        <w:rPr>
          <w:b/>
          <w:vertAlign w:val="superscript"/>
        </w:rPr>
        <w:t>31</w:t>
      </w:r>
      <w:r w:rsidR="00D67EB8" w:rsidRPr="009118AB">
        <w:t> - </w:t>
      </w:r>
      <w:r w:rsidR="00C442F8" w:rsidRPr="009118AB">
        <w:t>Für Ausgaben, die tatsächlich während des Besteuerungszeitraums für die Absicherung gegen Einbruch oder Brand einer Wohnung, deren Eigentümer, Besitzer, Erbpächter, Erbbauberechtigter, Nießbraucher oder Mieter der Steuerpflichtige ist, gezahlt werden, wird eine Steuerermäßigung gewährt.</w:t>
      </w:r>
    </w:p>
    <w:p w14:paraId="3F29DF56" w14:textId="77777777" w:rsidR="00C442F8" w:rsidRPr="009118AB" w:rsidRDefault="00C442F8" w:rsidP="00C442F8">
      <w:pPr>
        <w:jc w:val="both"/>
      </w:pPr>
    </w:p>
    <w:p w14:paraId="4469AA5A" w14:textId="77777777" w:rsidR="00C442F8" w:rsidRPr="009118AB" w:rsidRDefault="009132B2" w:rsidP="00C442F8">
      <w:pPr>
        <w:jc w:val="both"/>
      </w:pPr>
      <w:r w:rsidRPr="009118AB">
        <w:tab/>
      </w:r>
      <w:r w:rsidR="00C442F8" w:rsidRPr="009118AB">
        <w:t>Die Steuerermäßigung ist nicht anwendbar auf Ausgaben, die:</w:t>
      </w:r>
    </w:p>
    <w:p w14:paraId="24B91CCF" w14:textId="77777777" w:rsidR="00C442F8" w:rsidRPr="009118AB" w:rsidRDefault="00C442F8" w:rsidP="00C442F8">
      <w:pPr>
        <w:jc w:val="both"/>
      </w:pPr>
    </w:p>
    <w:p w14:paraId="6C92EA11" w14:textId="77777777" w:rsidR="00C442F8" w:rsidRPr="009118AB" w:rsidRDefault="009132B2" w:rsidP="00C442F8">
      <w:pPr>
        <w:jc w:val="both"/>
      </w:pPr>
      <w:r w:rsidRPr="009118AB">
        <w:rPr>
          <w:i/>
          <w:iCs/>
        </w:rPr>
        <w:tab/>
      </w:r>
      <w:r w:rsidR="00C442F8" w:rsidRPr="009118AB">
        <w:rPr>
          <w:i/>
          <w:iCs/>
        </w:rPr>
        <w:t>a)</w:t>
      </w:r>
      <w:r w:rsidR="00C442F8" w:rsidRPr="009118AB">
        <w:t xml:space="preserve"> als tatsächliche Werbungskosten </w:t>
      </w:r>
      <w:r w:rsidRPr="009118AB">
        <w:t>[berücksichtigt werden]</w:t>
      </w:r>
      <w:r w:rsidR="00C442F8" w:rsidRPr="009118AB">
        <w:t>,</w:t>
      </w:r>
    </w:p>
    <w:p w14:paraId="5B2A8935" w14:textId="77777777" w:rsidR="00C442F8" w:rsidRPr="009118AB" w:rsidRDefault="00C442F8" w:rsidP="00C442F8">
      <w:pPr>
        <w:jc w:val="both"/>
      </w:pPr>
    </w:p>
    <w:p w14:paraId="09DE99FD" w14:textId="77777777" w:rsidR="00C442F8" w:rsidRPr="009118AB" w:rsidRDefault="009132B2" w:rsidP="00C442F8">
      <w:pPr>
        <w:jc w:val="both"/>
      </w:pPr>
      <w:r w:rsidRPr="009118AB">
        <w:rPr>
          <w:i/>
          <w:iCs/>
        </w:rPr>
        <w:tab/>
      </w:r>
      <w:r w:rsidR="00C442F8" w:rsidRPr="009118AB">
        <w:rPr>
          <w:i/>
          <w:iCs/>
        </w:rPr>
        <w:t>b)</w:t>
      </w:r>
      <w:r w:rsidR="00C442F8" w:rsidRPr="009118AB">
        <w:t xml:space="preserve"> zu dem in Artikel 69 erwähnten Investitionsabzug berechtigen,</w:t>
      </w:r>
    </w:p>
    <w:p w14:paraId="3BC62952" w14:textId="77777777" w:rsidR="00C442F8" w:rsidRPr="009118AB" w:rsidRDefault="00C442F8" w:rsidP="00C442F8">
      <w:pPr>
        <w:jc w:val="both"/>
      </w:pPr>
    </w:p>
    <w:p w14:paraId="3C2C0149" w14:textId="77777777" w:rsidR="00C442F8" w:rsidRPr="009118AB" w:rsidRDefault="009132B2" w:rsidP="00C442F8">
      <w:pPr>
        <w:jc w:val="both"/>
      </w:pPr>
      <w:r w:rsidRPr="009118AB">
        <w:rPr>
          <w:i/>
          <w:iCs/>
        </w:rPr>
        <w:tab/>
      </w:r>
      <w:r w:rsidR="00C442F8" w:rsidRPr="009118AB">
        <w:rPr>
          <w:i/>
          <w:iCs/>
        </w:rPr>
        <w:t>c)</w:t>
      </w:r>
      <w:r w:rsidR="00C442F8" w:rsidRPr="009118AB">
        <w:t xml:space="preserve"> bei der Anwendung </w:t>
      </w:r>
      <w:r w:rsidR="00FD559E" w:rsidRPr="009118AB">
        <w:t>[der Artikel] </w:t>
      </w:r>
      <w:r w:rsidR="00C442F8" w:rsidRPr="009118AB">
        <w:t>145</w:t>
      </w:r>
      <w:r w:rsidR="00C442F8" w:rsidRPr="009118AB">
        <w:rPr>
          <w:vertAlign w:val="superscript"/>
        </w:rPr>
        <w:t>25</w:t>
      </w:r>
      <w:r w:rsidR="00C442F8" w:rsidRPr="009118AB">
        <w:t xml:space="preserve"> oder 145</w:t>
      </w:r>
      <w:r w:rsidR="00C442F8" w:rsidRPr="009118AB">
        <w:rPr>
          <w:vertAlign w:val="superscript"/>
        </w:rPr>
        <w:t>30</w:t>
      </w:r>
      <w:r w:rsidR="00C442F8" w:rsidRPr="009118AB">
        <w:t xml:space="preserve"> berücksichtigt werden.</w:t>
      </w:r>
    </w:p>
    <w:p w14:paraId="7F3A26D5" w14:textId="77777777" w:rsidR="00C442F8" w:rsidRPr="009118AB" w:rsidRDefault="00C442F8" w:rsidP="00C442F8">
      <w:pPr>
        <w:jc w:val="both"/>
      </w:pPr>
    </w:p>
    <w:p w14:paraId="74F0A6FF" w14:textId="77777777" w:rsidR="00C442F8" w:rsidRPr="009118AB" w:rsidRDefault="009132B2" w:rsidP="00C442F8">
      <w:pPr>
        <w:jc w:val="both"/>
      </w:pPr>
      <w:r w:rsidRPr="009118AB">
        <w:tab/>
      </w:r>
      <w:r w:rsidR="00C442F8" w:rsidRPr="009118AB">
        <w:t xml:space="preserve">Die Steuerermäßigung beträgt </w:t>
      </w:r>
      <w:r w:rsidR="004D0E9A" w:rsidRPr="009118AB">
        <w:t>[3</w:t>
      </w:r>
      <w:r w:rsidR="00C442F8" w:rsidRPr="009118AB">
        <w:t>0 Prozent</w:t>
      </w:r>
      <w:r w:rsidR="004D0E9A" w:rsidRPr="009118AB">
        <w:t>]</w:t>
      </w:r>
      <w:r w:rsidR="00C442F8" w:rsidRPr="009118AB">
        <w:t xml:space="preserve"> der in Absatz 1 erwähnten Ausgaben.</w:t>
      </w:r>
    </w:p>
    <w:p w14:paraId="4F437AF3" w14:textId="77777777" w:rsidR="00C442F8" w:rsidRPr="009118AB" w:rsidRDefault="00C442F8" w:rsidP="00C442F8">
      <w:pPr>
        <w:jc w:val="both"/>
      </w:pPr>
    </w:p>
    <w:p w14:paraId="6AD08EEC" w14:textId="77777777" w:rsidR="00C442F8" w:rsidRPr="009118AB" w:rsidRDefault="009132B2" w:rsidP="00C442F8">
      <w:pPr>
        <w:jc w:val="both"/>
      </w:pPr>
      <w:r w:rsidRPr="009118AB">
        <w:tab/>
      </w:r>
      <w:r w:rsidR="00C442F8" w:rsidRPr="009118AB">
        <w:t xml:space="preserve">Der Gesamtbetrag der Steuerermäßigung darf pro Besteuerungszeitraum </w:t>
      </w:r>
      <w:r w:rsidR="005D15A0" w:rsidRPr="009118AB">
        <w:t>[50</w:t>
      </w:r>
      <w:r w:rsidR="00C442F8" w:rsidRPr="009118AB">
        <w:t>0 EUR</w:t>
      </w:r>
      <w:r w:rsidR="005D15A0" w:rsidRPr="009118AB">
        <w:t>]</w:t>
      </w:r>
      <w:r w:rsidR="00C442F8" w:rsidRPr="009118AB">
        <w:t xml:space="preserve"> pro Wohnung nicht übersteigen.</w:t>
      </w:r>
    </w:p>
    <w:p w14:paraId="5E07DAFC" w14:textId="77777777" w:rsidR="00C442F8" w:rsidRPr="009118AB" w:rsidRDefault="00C442F8" w:rsidP="00C442F8">
      <w:pPr>
        <w:jc w:val="both"/>
      </w:pPr>
    </w:p>
    <w:p w14:paraId="6E68DB12" w14:textId="77777777" w:rsidR="00C442F8" w:rsidRPr="009118AB" w:rsidRDefault="009132B2" w:rsidP="00542363">
      <w:pPr>
        <w:jc w:val="both"/>
      </w:pPr>
      <w:r w:rsidRPr="009118AB">
        <w:tab/>
      </w:r>
      <w:r w:rsidR="00542363" w:rsidRPr="009118AB">
        <w:t>[</w:t>
      </w:r>
      <w:r w:rsidR="00FD559E" w:rsidRPr="009118AB">
        <w:t>Wird eine gemeinsame Veranlagung festgelegt, wird die Steuerermäßigung entsprechend dem gemäß Artikel 130 besteuerten Einkommen jedes Ehepartners in der Gesamtheit der gemäß Artikel 130 besteuerten Einkünfte der beiden Ehepartner proportional aufgeteilt.</w:t>
      </w:r>
      <w:r w:rsidR="00542363" w:rsidRPr="009118AB">
        <w:t>]</w:t>
      </w:r>
    </w:p>
    <w:p w14:paraId="47A94676" w14:textId="77777777" w:rsidR="00C442F8" w:rsidRPr="009118AB" w:rsidRDefault="00C442F8" w:rsidP="00C442F8">
      <w:pPr>
        <w:jc w:val="both"/>
      </w:pPr>
    </w:p>
    <w:p w14:paraId="4400FFB3" w14:textId="77777777" w:rsidR="00C442F8" w:rsidRPr="009118AB" w:rsidRDefault="009132B2" w:rsidP="00C442F8">
      <w:pPr>
        <w:jc w:val="both"/>
      </w:pPr>
      <w:r w:rsidRPr="009118AB">
        <w:tab/>
      </w:r>
      <w:r w:rsidR="00C442F8" w:rsidRPr="009118AB">
        <w:t>Der König legt die Bedingungen fest, denen die Arbeiten in Bezug auf die in Absatz 1 erwähnten Ausgaben unterliegen.</w:t>
      </w:r>
    </w:p>
    <w:p w14:paraId="755E3FE7" w14:textId="77777777" w:rsidR="00C442F8" w:rsidRPr="009118AB" w:rsidRDefault="00C442F8" w:rsidP="00C442F8">
      <w:pPr>
        <w:jc w:val="both"/>
      </w:pPr>
    </w:p>
    <w:p w14:paraId="3BC684DE" w14:textId="77777777" w:rsidR="00C442F8" w:rsidRPr="009118AB" w:rsidRDefault="009132B2" w:rsidP="00C442F8">
      <w:pPr>
        <w:jc w:val="both"/>
      </w:pPr>
      <w:r w:rsidRPr="009118AB">
        <w:tab/>
      </w:r>
      <w:r w:rsidR="00C442F8" w:rsidRPr="009118AB">
        <w:t>Er reicht bei den Gesetzgebenden Kammern, wenn sie versammelt sind, unverzüglich und sonst, sobald die nächste Sitzungsperiode eröffnet ist, einen Gesetzentwurf ein zur Bestätigung der Erlasse in Ausführung von vorhergehendem Absatz.</w:t>
      </w:r>
    </w:p>
    <w:p w14:paraId="49E40D8B" w14:textId="77777777" w:rsidR="00C442F8" w:rsidRPr="009118AB" w:rsidRDefault="00C442F8" w:rsidP="00C442F8">
      <w:pPr>
        <w:jc w:val="both"/>
      </w:pPr>
    </w:p>
    <w:p w14:paraId="4CE85F9E" w14:textId="77777777" w:rsidR="00C442F8" w:rsidRPr="009118AB" w:rsidRDefault="009132B2" w:rsidP="00C442F8">
      <w:pPr>
        <w:jc w:val="both"/>
      </w:pPr>
      <w:r w:rsidRPr="009118AB">
        <w:tab/>
      </w:r>
      <w:r w:rsidR="00C442F8" w:rsidRPr="009118AB">
        <w:t>Der König bestimmt ebenfalls die Modalitäten der Anwendung der Ermäßigung.]</w:t>
      </w:r>
    </w:p>
    <w:p w14:paraId="09A90D3D" w14:textId="77777777" w:rsidR="00C442F8" w:rsidRPr="009118AB" w:rsidRDefault="00C442F8" w:rsidP="00C442F8">
      <w:pPr>
        <w:jc w:val="both"/>
      </w:pPr>
    </w:p>
    <w:p w14:paraId="356D92A9" w14:textId="3C2F8BB0" w:rsidR="00C442F8" w:rsidRPr="009118AB" w:rsidRDefault="00C442F8" w:rsidP="00C442F8">
      <w:pPr>
        <w:jc w:val="both"/>
      </w:pPr>
      <w:r w:rsidRPr="009118AB">
        <w:rPr>
          <w:i/>
        </w:rPr>
        <w:t>[</w:t>
      </w:r>
      <w:r w:rsidR="00D67EB8" w:rsidRPr="009118AB">
        <w:rPr>
          <w:i/>
        </w:rPr>
        <w:t>Art. </w:t>
      </w:r>
      <w:r w:rsidRPr="009118AB">
        <w:rPr>
          <w:i/>
        </w:rPr>
        <w:t>145</w:t>
      </w:r>
      <w:r w:rsidRPr="009118AB">
        <w:rPr>
          <w:i/>
          <w:vertAlign w:val="superscript"/>
        </w:rPr>
        <w:t>31</w:t>
      </w:r>
      <w:r w:rsidRPr="009118AB">
        <w:rPr>
          <w:i/>
        </w:rPr>
        <w:t xml:space="preserve"> </w:t>
      </w:r>
      <w:r w:rsidR="00D67EB8" w:rsidRPr="009118AB">
        <w:rPr>
          <w:i/>
        </w:rPr>
        <w:t>Abs. </w:t>
      </w:r>
      <w:r w:rsidR="009132B2" w:rsidRPr="009118AB">
        <w:rPr>
          <w:i/>
        </w:rPr>
        <w:t xml:space="preserve">2 Buchstabe a) abgeändert durch </w:t>
      </w:r>
      <w:r w:rsidR="00D67EB8" w:rsidRPr="009118AB">
        <w:rPr>
          <w:i/>
        </w:rPr>
        <w:t>Art. </w:t>
      </w:r>
      <w:r w:rsidR="009132B2" w:rsidRPr="009118AB">
        <w:rPr>
          <w:i/>
        </w:rPr>
        <w:t>22</w:t>
      </w:r>
      <w:r w:rsidR="009132B2" w:rsidRPr="009118AB">
        <w:rPr>
          <w:i/>
          <w:iCs/>
        </w:rPr>
        <w:t xml:space="preserve"> des </w:t>
      </w:r>
      <w:r w:rsidR="00DC1F9F" w:rsidRPr="009118AB">
        <w:rPr>
          <w:i/>
          <w:iCs/>
        </w:rPr>
        <w:t>G. vom 22. Dezember 2009 (I)</w:t>
      </w:r>
      <w:r w:rsidR="009132B2" w:rsidRPr="009118AB">
        <w:rPr>
          <w:i/>
          <w:iCs/>
        </w:rPr>
        <w:t xml:space="preserve"> (B.S. vom 31. Dezember 2009); </w:t>
      </w:r>
      <w:r w:rsidR="00D67EB8" w:rsidRPr="009118AB">
        <w:rPr>
          <w:i/>
          <w:iCs/>
        </w:rPr>
        <w:t>Abs. </w:t>
      </w:r>
      <w:r w:rsidR="00542363" w:rsidRPr="009118AB">
        <w:rPr>
          <w:i/>
          <w:iCs/>
        </w:rPr>
        <w:t xml:space="preserve">2 Buchstabe c) abgeändert durch </w:t>
      </w:r>
      <w:r w:rsidR="00D67EB8" w:rsidRPr="009118AB">
        <w:rPr>
          <w:i/>
          <w:iCs/>
        </w:rPr>
        <w:t>Art. </w:t>
      </w:r>
      <w:r w:rsidR="00542363" w:rsidRPr="009118AB">
        <w:rPr>
          <w:i/>
          <w:iCs/>
        </w:rPr>
        <w:t xml:space="preserve">23 </w:t>
      </w:r>
      <w:r w:rsidR="00D67EB8" w:rsidRPr="009118AB">
        <w:rPr>
          <w:i/>
          <w:iCs/>
        </w:rPr>
        <w:t>Nr. </w:t>
      </w:r>
      <w:r w:rsidR="00542363" w:rsidRPr="009118AB">
        <w:rPr>
          <w:i/>
          <w:iCs/>
        </w:rPr>
        <w:t>1 des G. vom 13. Dezember 2012 (B.S. vom 20. Dezember 2012)</w:t>
      </w:r>
      <w:r w:rsidR="00D67EB8" w:rsidRPr="009118AB">
        <w:rPr>
          <w:i/>
          <w:iCs/>
        </w:rPr>
        <w:t> - </w:t>
      </w:r>
      <w:r w:rsidR="00542363" w:rsidRPr="009118AB">
        <w:rPr>
          <w:i/>
          <w:iCs/>
        </w:rPr>
        <w:t>in Kraft ab dem Steuerjahr 2013</w:t>
      </w:r>
      <w:r w:rsidR="00D67EB8" w:rsidRPr="009118AB">
        <w:rPr>
          <w:i/>
          <w:iCs/>
        </w:rPr>
        <w:t> - </w:t>
      </w:r>
      <w:r w:rsidR="00FD559E" w:rsidRPr="009118AB">
        <w:rPr>
          <w:i/>
          <w:iCs/>
        </w:rPr>
        <w:t xml:space="preserve">und </w:t>
      </w:r>
      <w:r w:rsidR="00D67EB8" w:rsidRPr="009118AB">
        <w:rPr>
          <w:i/>
          <w:iCs/>
        </w:rPr>
        <w:t>Art. </w:t>
      </w:r>
      <w:r w:rsidR="00FD559E" w:rsidRPr="009118AB">
        <w:rPr>
          <w:i/>
          <w:iCs/>
        </w:rPr>
        <w:t xml:space="preserve">37 </w:t>
      </w:r>
      <w:r w:rsidR="00D67EB8" w:rsidRPr="009118AB">
        <w:rPr>
          <w:i/>
          <w:iCs/>
        </w:rPr>
        <w:t>Nr. </w:t>
      </w:r>
      <w:r w:rsidR="00FD559E" w:rsidRPr="009118AB">
        <w:rPr>
          <w:i/>
          <w:iCs/>
        </w:rPr>
        <w:t>1</w:t>
      </w:r>
      <w:r w:rsidR="00FD559E" w:rsidRPr="009118AB">
        <w:rPr>
          <w:i/>
        </w:rPr>
        <w:t xml:space="preserve"> des G. vom 8. Mai 2014 (B.S. vom 28. Mai 2014)</w:t>
      </w:r>
      <w:r w:rsidR="00D67EB8" w:rsidRPr="009118AB">
        <w:rPr>
          <w:i/>
        </w:rPr>
        <w:t> - </w:t>
      </w:r>
      <w:r w:rsidR="00FD559E" w:rsidRPr="009118AB">
        <w:rPr>
          <w:i/>
          <w:iCs/>
        </w:rPr>
        <w:t>anwendbar ab dem Steuerjahr 2015</w:t>
      </w:r>
      <w:r w:rsidR="003366D9" w:rsidRPr="009118AB">
        <w:rPr>
          <w:i/>
          <w:iCs/>
        </w:rPr>
        <w:t> -;</w:t>
      </w:r>
      <w:r w:rsidR="00542363" w:rsidRPr="009118AB">
        <w:rPr>
          <w:i/>
          <w:iCs/>
        </w:rPr>
        <w:t xml:space="preserve"> </w:t>
      </w:r>
      <w:r w:rsidR="00D67EB8" w:rsidRPr="009118AB">
        <w:rPr>
          <w:i/>
          <w:iCs/>
        </w:rPr>
        <w:t>Abs. </w:t>
      </w:r>
      <w:r w:rsidR="00542363" w:rsidRPr="009118AB">
        <w:rPr>
          <w:i/>
          <w:iCs/>
        </w:rPr>
        <w:t xml:space="preserve">3 abgeändert durch </w:t>
      </w:r>
      <w:r w:rsidR="00D67EB8" w:rsidRPr="009118AB">
        <w:rPr>
          <w:i/>
          <w:iCs/>
        </w:rPr>
        <w:t>Art. </w:t>
      </w:r>
      <w:r w:rsidR="00542363" w:rsidRPr="009118AB">
        <w:rPr>
          <w:i/>
          <w:iCs/>
        </w:rPr>
        <w:t xml:space="preserve">23 </w:t>
      </w:r>
      <w:r w:rsidR="00D67EB8" w:rsidRPr="009118AB">
        <w:rPr>
          <w:i/>
          <w:iCs/>
        </w:rPr>
        <w:t>Nr. </w:t>
      </w:r>
      <w:r w:rsidR="00542363" w:rsidRPr="009118AB">
        <w:rPr>
          <w:i/>
          <w:iCs/>
        </w:rPr>
        <w:t>2 des G. vom 13. Dezember 2012 (B.S. vom 20. Dezember 2012)</w:t>
      </w:r>
      <w:r w:rsidR="00D67EB8" w:rsidRPr="009118AB">
        <w:rPr>
          <w:i/>
          <w:iCs/>
        </w:rPr>
        <w:t> - </w:t>
      </w:r>
      <w:r w:rsidR="00542363" w:rsidRPr="009118AB">
        <w:rPr>
          <w:i/>
          <w:iCs/>
        </w:rPr>
        <w:t>anwendbar auf Ausgaben, die während eines an das Steuer</w:t>
      </w:r>
      <w:r w:rsidR="00542363" w:rsidRPr="009118AB">
        <w:rPr>
          <w:i/>
          <w:iCs/>
        </w:rPr>
        <w:softHyphen/>
        <w:t>jahr 2013 oder an ein späteres Steuerjahr gebundenen Besteuerungszeitraums tatsächlich gezahlt werden</w:t>
      </w:r>
      <w:r w:rsidR="003366D9" w:rsidRPr="009118AB">
        <w:rPr>
          <w:i/>
          <w:iCs/>
        </w:rPr>
        <w:t> -;</w:t>
      </w:r>
      <w:r w:rsidR="00542363" w:rsidRPr="009118AB">
        <w:rPr>
          <w:i/>
          <w:iCs/>
        </w:rPr>
        <w:t xml:space="preserve"> </w:t>
      </w:r>
      <w:r w:rsidR="00D67EB8" w:rsidRPr="009118AB">
        <w:rPr>
          <w:i/>
        </w:rPr>
        <w:t>Abs. </w:t>
      </w:r>
      <w:r w:rsidRPr="009118AB">
        <w:rPr>
          <w:i/>
        </w:rPr>
        <w:t xml:space="preserve">4 abgeändert durch </w:t>
      </w:r>
      <w:r w:rsidR="00D67EB8" w:rsidRPr="009118AB">
        <w:rPr>
          <w:i/>
        </w:rPr>
        <w:t>Art. </w:t>
      </w:r>
      <w:r w:rsidRPr="009118AB">
        <w:rPr>
          <w:i/>
        </w:rPr>
        <w:t>55 des G. vom 8. Juni 2008 (B.S. vom 16. Juni 2008)</w:t>
      </w:r>
      <w:r w:rsidR="00D67EB8" w:rsidRPr="009118AB">
        <w:rPr>
          <w:i/>
        </w:rPr>
        <w:t> - </w:t>
      </w:r>
      <w:r w:rsidR="005D15A0" w:rsidRPr="009118AB">
        <w:rPr>
          <w:i/>
        </w:rPr>
        <w:t>anwendbar ab dem Steuerjahr 2010</w:t>
      </w:r>
      <w:r w:rsidR="003366D9" w:rsidRPr="009118AB">
        <w:rPr>
          <w:i/>
        </w:rPr>
        <w:t> -;</w:t>
      </w:r>
      <w:r w:rsidR="00542363" w:rsidRPr="009118AB">
        <w:rPr>
          <w:i/>
        </w:rPr>
        <w:t xml:space="preserve"> </w:t>
      </w:r>
      <w:r w:rsidR="00D67EB8" w:rsidRPr="009118AB">
        <w:rPr>
          <w:i/>
        </w:rPr>
        <w:t>Abs. </w:t>
      </w:r>
      <w:r w:rsidR="00542363" w:rsidRPr="009118AB">
        <w:rPr>
          <w:i/>
        </w:rPr>
        <w:t xml:space="preserve">5 ersetzt durch </w:t>
      </w:r>
      <w:r w:rsidR="00D67EB8" w:rsidRPr="009118AB">
        <w:rPr>
          <w:i/>
        </w:rPr>
        <w:t>Art. </w:t>
      </w:r>
      <w:r w:rsidR="00FD559E" w:rsidRPr="009118AB">
        <w:rPr>
          <w:i/>
        </w:rPr>
        <w:t>37</w:t>
      </w:r>
      <w:r w:rsidR="00542363" w:rsidRPr="009118AB">
        <w:rPr>
          <w:i/>
        </w:rPr>
        <w:t xml:space="preserve"> </w:t>
      </w:r>
      <w:r w:rsidR="00D67EB8" w:rsidRPr="009118AB">
        <w:rPr>
          <w:i/>
        </w:rPr>
        <w:t>Nr. </w:t>
      </w:r>
      <w:r w:rsidR="00FD559E" w:rsidRPr="009118AB">
        <w:rPr>
          <w:i/>
        </w:rPr>
        <w:t>2 des G. vom 8. Mai 2014 (B.S. vom 28. Mai 2014)</w:t>
      </w:r>
      <w:r w:rsidR="00D67EB8" w:rsidRPr="009118AB">
        <w:rPr>
          <w:i/>
        </w:rPr>
        <w:t> - </w:t>
      </w:r>
      <w:r w:rsidR="00FD559E" w:rsidRPr="009118AB">
        <w:rPr>
          <w:i/>
          <w:iCs/>
        </w:rPr>
        <w:t>anwendbar ab dem Steuerjahr 2015</w:t>
      </w:r>
      <w:r w:rsidR="00FD68E8" w:rsidRPr="009118AB">
        <w:rPr>
          <w:i/>
          <w:iCs/>
        </w:rPr>
        <w:t> -]</w:t>
      </w:r>
    </w:p>
    <w:p w14:paraId="47A02B65" w14:textId="77777777" w:rsidR="00C442F8" w:rsidRPr="009118AB" w:rsidRDefault="00C442F8" w:rsidP="00C442F8">
      <w:pPr>
        <w:jc w:val="both"/>
      </w:pPr>
    </w:p>
    <w:p w14:paraId="66AD9EE6" w14:textId="0F5162C6" w:rsidR="005D4281" w:rsidRPr="009118AB" w:rsidRDefault="005D4281" w:rsidP="00FD559E">
      <w:pPr>
        <w:jc w:val="center"/>
      </w:pPr>
      <w:r w:rsidRPr="009118AB">
        <w:br w:type="page"/>
      </w:r>
      <w:r w:rsidRPr="009118AB">
        <w:lastRenderedPageBreak/>
        <w:t xml:space="preserve">[Unterabschnitt </w:t>
      </w:r>
      <w:r w:rsidR="00D74862" w:rsidRPr="009118AB">
        <w:t>2</w:t>
      </w:r>
      <w:r w:rsidRPr="009118AB">
        <w:rPr>
          <w:i/>
        </w:rPr>
        <w:t>terdecies</w:t>
      </w:r>
      <w:r w:rsidR="00D67EB8" w:rsidRPr="009118AB">
        <w:t> - </w:t>
      </w:r>
      <w:r w:rsidRPr="009118AB">
        <w:t>Ermäßigung für Ausgaben zugunsten von Entwicklungsfonds</w:t>
      </w:r>
      <w:r w:rsidR="00D67EB8" w:rsidRPr="009118AB">
        <w:t> - </w:t>
      </w:r>
      <w:r w:rsidRPr="009118AB">
        <w:t>Rücknahme der Ermäßigung</w:t>
      </w:r>
    </w:p>
    <w:p w14:paraId="2DB5DC43" w14:textId="77777777" w:rsidR="005D4281" w:rsidRPr="009118AB" w:rsidRDefault="005D4281" w:rsidP="005D4281">
      <w:pPr>
        <w:jc w:val="center"/>
      </w:pPr>
    </w:p>
    <w:p w14:paraId="34CFAFBC" w14:textId="5C9F6745" w:rsidR="005D4281" w:rsidRPr="009118AB" w:rsidRDefault="005D4281" w:rsidP="005D4281">
      <w:pPr>
        <w:jc w:val="both"/>
        <w:rPr>
          <w:i/>
        </w:rPr>
      </w:pPr>
      <w:r w:rsidRPr="009118AB">
        <w:rPr>
          <w:i/>
        </w:rPr>
        <w:t>[Unterabschnit</w:t>
      </w:r>
      <w:r w:rsidR="006E3C14" w:rsidRPr="009118AB">
        <w:rPr>
          <w:i/>
        </w:rPr>
        <w:t>t</w:t>
      </w:r>
      <w:r w:rsidRPr="009118AB">
        <w:rPr>
          <w:i/>
        </w:rPr>
        <w:t xml:space="preserve"> </w:t>
      </w:r>
      <w:r w:rsidR="00D74862" w:rsidRPr="009118AB">
        <w:rPr>
          <w:i/>
        </w:rPr>
        <w:t>2</w:t>
      </w:r>
      <w:r w:rsidRPr="009118AB">
        <w:rPr>
          <w:i/>
        </w:rPr>
        <w:t xml:space="preserve">terdecies mit </w:t>
      </w:r>
      <w:r w:rsidR="00D67EB8" w:rsidRPr="009118AB">
        <w:rPr>
          <w:i/>
        </w:rPr>
        <w:t>Art. </w:t>
      </w:r>
      <w:r w:rsidRPr="009118AB">
        <w:rPr>
          <w:i/>
        </w:rPr>
        <w:t xml:space="preserve">145/32 eingefügt durch </w:t>
      </w:r>
      <w:r w:rsidR="00D67EB8" w:rsidRPr="009118AB">
        <w:rPr>
          <w:i/>
        </w:rPr>
        <w:t>Art. </w:t>
      </w:r>
      <w:r w:rsidRPr="009118AB">
        <w:rPr>
          <w:i/>
        </w:rPr>
        <w:t>4 des G. vom 1. Juni 2008 (B.S. vom 4. Juli 2008)</w:t>
      </w:r>
      <w:r w:rsidR="00D67EB8" w:rsidRPr="009118AB">
        <w:rPr>
          <w:i/>
        </w:rPr>
        <w:t> - </w:t>
      </w:r>
      <w:r w:rsidR="00A67DBD" w:rsidRPr="009118AB">
        <w:rPr>
          <w:i/>
        </w:rPr>
        <w:t>in Kraft ab dem 4. Juli 2008</w:t>
      </w:r>
      <w:r w:rsidR="00FD68E8" w:rsidRPr="009118AB">
        <w:rPr>
          <w:i/>
        </w:rPr>
        <w:t> -]</w:t>
      </w:r>
    </w:p>
    <w:p w14:paraId="1E959E62" w14:textId="77777777" w:rsidR="005D4281" w:rsidRPr="009118AB" w:rsidRDefault="005D4281" w:rsidP="005D4281">
      <w:pPr>
        <w:jc w:val="both"/>
      </w:pPr>
    </w:p>
    <w:p w14:paraId="6CE9DC55" w14:textId="77777777" w:rsidR="00585486" w:rsidRPr="009118AB" w:rsidRDefault="00585486" w:rsidP="005D4281">
      <w:pPr>
        <w:jc w:val="both"/>
      </w:pPr>
    </w:p>
    <w:p w14:paraId="62B694B3" w14:textId="7CDE67C6" w:rsidR="00EF3DAB" w:rsidRPr="009118AB" w:rsidRDefault="00585486" w:rsidP="00EF3DAB">
      <w:pPr>
        <w:jc w:val="both"/>
      </w:pPr>
      <w:r w:rsidRPr="009118AB">
        <w:tab/>
      </w:r>
      <w:r w:rsidR="00D67EB8" w:rsidRPr="009118AB">
        <w:rPr>
          <w:b/>
        </w:rPr>
        <w:t>Art. </w:t>
      </w:r>
      <w:r w:rsidRPr="009118AB">
        <w:rPr>
          <w:b/>
        </w:rPr>
        <w:t>145/32</w:t>
      </w:r>
      <w:r w:rsidR="00D67EB8" w:rsidRPr="009118AB">
        <w:t> - </w:t>
      </w:r>
      <w:r w:rsidR="00EF3DAB" w:rsidRPr="009118AB">
        <w:t>[</w:t>
      </w:r>
      <w:r w:rsidR="00D67EB8" w:rsidRPr="009118AB">
        <w:t>§ </w:t>
      </w:r>
      <w:r w:rsidR="00EF3DAB" w:rsidRPr="009118AB">
        <w:t>1</w:t>
      </w:r>
      <w:r w:rsidR="00D67EB8" w:rsidRPr="009118AB">
        <w:t> - </w:t>
      </w:r>
      <w:r w:rsidR="00EF3DAB" w:rsidRPr="009118AB">
        <w:t>Bei der Zeichnung von Namensaktien, die ausgegeben werden von einem zugelassenen Entwicklungsfonds wie im Gesetz vom 1. Juni 2008 zur Einführung einer Steuerermäßigung für Beteiligungen in Form von Aktien an Entwicklungsfonds für Mikro</w:t>
      </w:r>
      <w:r w:rsidR="00EF3DAB" w:rsidRPr="009118AB">
        <w:softHyphen/>
        <w:t>finanzierung in Entwicklungsländern und zur Festlegung der Bedingungen für die Zulassung als Entwicklungsfonds erwähnt, wird eine Steuerermäßigung für Summen gewährt, die während des Besteuerungszeitraums für ihren Erwerb gezahlt werden.</w:t>
      </w:r>
    </w:p>
    <w:p w14:paraId="11737F8E" w14:textId="77777777" w:rsidR="00EF3DAB" w:rsidRPr="009118AB" w:rsidRDefault="00EF3DAB" w:rsidP="00EF3DAB">
      <w:pPr>
        <w:jc w:val="both"/>
      </w:pPr>
    </w:p>
    <w:p w14:paraId="16F12CFA" w14:textId="77777777" w:rsidR="00EF3DAB" w:rsidRPr="009118AB" w:rsidRDefault="00C81589" w:rsidP="00EF3DAB">
      <w:pPr>
        <w:jc w:val="both"/>
      </w:pPr>
      <w:r w:rsidRPr="009118AB">
        <w:tab/>
      </w:r>
      <w:r w:rsidR="00EF3DAB" w:rsidRPr="009118AB">
        <w:t>Die gezahlten Summen müssen jedoch mindestens 250 EUR betragen.</w:t>
      </w:r>
    </w:p>
    <w:p w14:paraId="3D5723C0" w14:textId="77777777" w:rsidR="00EF3DAB" w:rsidRPr="009118AB" w:rsidRDefault="00EF3DAB" w:rsidP="00EF3DAB">
      <w:pPr>
        <w:jc w:val="both"/>
      </w:pPr>
    </w:p>
    <w:p w14:paraId="530347AD" w14:textId="77777777" w:rsidR="00EF3DAB" w:rsidRPr="009118AB" w:rsidRDefault="00C81589" w:rsidP="00EF3DAB">
      <w:pPr>
        <w:jc w:val="both"/>
      </w:pPr>
      <w:r w:rsidRPr="009118AB">
        <w:tab/>
      </w:r>
      <w:r w:rsidR="00EF3DAB" w:rsidRPr="009118AB">
        <w:t>Die Steuerermäßigung wird unter folgenden Bedingungen und Modalitäten gewährt:</w:t>
      </w:r>
    </w:p>
    <w:p w14:paraId="3FE1AA43" w14:textId="77777777" w:rsidR="00EF3DAB" w:rsidRPr="009118AB" w:rsidRDefault="00EF3DAB" w:rsidP="00EF3DAB">
      <w:pPr>
        <w:jc w:val="both"/>
      </w:pPr>
    </w:p>
    <w:p w14:paraId="4F4DB431" w14:textId="77777777" w:rsidR="00EF3DAB" w:rsidRPr="009118AB" w:rsidRDefault="00C81589" w:rsidP="00EF3DAB">
      <w:pPr>
        <w:jc w:val="both"/>
      </w:pPr>
      <w:r w:rsidRPr="009118AB">
        <w:tab/>
      </w:r>
      <w:r w:rsidR="00EF3DAB" w:rsidRPr="009118AB">
        <w:t>1. Die Aktien müssen außer im Todesfall ohne Unterbrechung während mindestens sechzig Monaten im Besitz des Zeichners bleiben.</w:t>
      </w:r>
    </w:p>
    <w:p w14:paraId="73068C32" w14:textId="77777777" w:rsidR="00EF3DAB" w:rsidRPr="009118AB" w:rsidRDefault="00EF3DAB" w:rsidP="00EF3DAB">
      <w:pPr>
        <w:jc w:val="both"/>
      </w:pPr>
    </w:p>
    <w:p w14:paraId="5D3D568B" w14:textId="77777777" w:rsidR="00EF3DAB" w:rsidRPr="009118AB" w:rsidRDefault="00C81589" w:rsidP="00EF3DAB">
      <w:pPr>
        <w:jc w:val="both"/>
      </w:pPr>
      <w:r w:rsidRPr="009118AB">
        <w:tab/>
      </w:r>
      <w:r w:rsidR="00EF3DAB" w:rsidRPr="009118AB">
        <w:t>2. Bei einer Veräußerung während des Zeitraums von sechzig Monaten hat der neue Besitzer keinen Anspruch auf die Steuerermäßigung.</w:t>
      </w:r>
    </w:p>
    <w:p w14:paraId="152E006B" w14:textId="77777777" w:rsidR="00EF3DAB" w:rsidRPr="009118AB" w:rsidRDefault="00EF3DAB" w:rsidP="00EF3DAB">
      <w:pPr>
        <w:jc w:val="both"/>
      </w:pPr>
    </w:p>
    <w:p w14:paraId="20D2CE42" w14:textId="77777777" w:rsidR="00EF3DAB" w:rsidRPr="009118AB" w:rsidRDefault="00C81589" w:rsidP="00EF3DAB">
      <w:pPr>
        <w:jc w:val="both"/>
      </w:pPr>
      <w:r w:rsidRPr="009118AB">
        <w:tab/>
      </w:r>
      <w:r w:rsidR="00EF3DAB" w:rsidRPr="009118AB">
        <w:t>3. Falls der Zeichner verstirbt, wird die vorher erhaltene Steuerermäßigung beibe</w:t>
      </w:r>
      <w:r w:rsidR="00EF3DAB" w:rsidRPr="009118AB">
        <w:softHyphen/>
        <w:t>halten.</w:t>
      </w:r>
    </w:p>
    <w:p w14:paraId="523F7518" w14:textId="77777777" w:rsidR="00EF3DAB" w:rsidRPr="009118AB" w:rsidRDefault="00EF3DAB" w:rsidP="00EF3DAB">
      <w:pPr>
        <w:jc w:val="both"/>
      </w:pPr>
    </w:p>
    <w:p w14:paraId="677BFF9F" w14:textId="609ADD00" w:rsidR="00EF3DAB" w:rsidRPr="009118AB" w:rsidRDefault="00C81589" w:rsidP="00EF3DAB">
      <w:pPr>
        <w:jc w:val="both"/>
      </w:pPr>
      <w:r w:rsidRPr="009118AB">
        <w:tab/>
      </w:r>
      <w:r w:rsidR="00EF3DAB" w:rsidRPr="009118AB">
        <w:t xml:space="preserve">4. Der Zeichner legt seiner Erklärung zur Steuer der natürlichen Personen den in </w:t>
      </w:r>
      <w:r w:rsidR="00D67EB8" w:rsidRPr="009118AB">
        <w:t>§ </w:t>
      </w:r>
      <w:r w:rsidR="00EF3DAB" w:rsidRPr="009118AB">
        <w:t>3 erwähnten Beleg bei.</w:t>
      </w:r>
    </w:p>
    <w:p w14:paraId="1B0A51CD" w14:textId="77777777" w:rsidR="00EF3DAB" w:rsidRPr="009118AB" w:rsidRDefault="00EF3DAB" w:rsidP="00EF3DAB">
      <w:pPr>
        <w:jc w:val="both"/>
      </w:pPr>
    </w:p>
    <w:p w14:paraId="75F0F38C" w14:textId="77777777" w:rsidR="00EF3DAB" w:rsidRPr="009118AB" w:rsidRDefault="00C81589" w:rsidP="00EF3DAB">
      <w:pPr>
        <w:jc w:val="both"/>
      </w:pPr>
      <w:r w:rsidRPr="009118AB">
        <w:tab/>
      </w:r>
      <w:r w:rsidR="00EF3DAB" w:rsidRPr="009118AB">
        <w:t>Die Steuerermäßigung beträgt 5 Prozent der tatsächlich getätigten Zahlungen mit einem Höchstbetrag von 210 EUR pro Besteuerungszeitraum.</w:t>
      </w:r>
    </w:p>
    <w:p w14:paraId="37BC260A" w14:textId="77777777" w:rsidR="00EF3DAB" w:rsidRPr="009118AB" w:rsidRDefault="00EF3DAB" w:rsidP="00EF3DAB">
      <w:pPr>
        <w:jc w:val="both"/>
      </w:pPr>
    </w:p>
    <w:p w14:paraId="480C21ED" w14:textId="77777777" w:rsidR="00EF3DAB" w:rsidRPr="009118AB" w:rsidRDefault="00C81589" w:rsidP="00EF3DAB">
      <w:pPr>
        <w:jc w:val="both"/>
      </w:pPr>
      <w:r w:rsidRPr="009118AB">
        <w:tab/>
      </w:r>
      <w:r w:rsidR="00EF3DAB" w:rsidRPr="009118AB">
        <w:t>Jeder Ehepartner hat Anspruch auf die Ermäßigung, wenn die Aktien auf seinen eigenen Namen ausgegeben werden.</w:t>
      </w:r>
    </w:p>
    <w:p w14:paraId="147E6834" w14:textId="77777777" w:rsidR="00EF3DAB" w:rsidRPr="009118AB" w:rsidRDefault="00EF3DAB" w:rsidP="00EF3DAB">
      <w:pPr>
        <w:jc w:val="both"/>
      </w:pPr>
    </w:p>
    <w:p w14:paraId="507043F8" w14:textId="65D838AE" w:rsidR="00EF3DAB" w:rsidRPr="009118AB" w:rsidRDefault="00C81589" w:rsidP="00EF3DAB">
      <w:pPr>
        <w:jc w:val="both"/>
      </w:pPr>
      <w:r w:rsidRPr="009118AB">
        <w:tab/>
      </w:r>
      <w:r w:rsidR="00D67EB8" w:rsidRPr="009118AB">
        <w:t>§ </w:t>
      </w:r>
      <w:r w:rsidR="00EF3DAB" w:rsidRPr="009118AB">
        <w:t>2</w:t>
      </w:r>
      <w:r w:rsidR="00D67EB8" w:rsidRPr="009118AB">
        <w:t> - </w:t>
      </w:r>
      <w:r w:rsidR="00EF3DAB" w:rsidRPr="009118AB">
        <w:t xml:space="preserve">Wurde die in </w:t>
      </w:r>
      <w:r w:rsidR="00D67EB8" w:rsidRPr="009118AB">
        <w:t>§ </w:t>
      </w:r>
      <w:r w:rsidR="00EF3DAB" w:rsidRPr="009118AB">
        <w:t xml:space="preserve">1 Absatz 2 </w:t>
      </w:r>
      <w:r w:rsidR="00D67EB8" w:rsidRPr="009118AB">
        <w:t>Nr. </w:t>
      </w:r>
      <w:r w:rsidR="00EF3DAB" w:rsidRPr="009118AB">
        <w:t xml:space="preserve">1 erwähnte Bedingung in einem der Jahre, das dem Jahr der Zahlung folgt, nicht eingehalten, weil der Zeichner die Aktien innerhalb sechzig Monaten nach ihrem Erwerb veräußert hat, wird </w:t>
      </w:r>
      <w:r w:rsidR="009D3AF6" w:rsidRPr="009118AB">
        <w:t>[</w:t>
      </w:r>
      <w:r w:rsidR="00EF3DAB" w:rsidRPr="009118AB">
        <w:t xml:space="preserve">die </w:t>
      </w:r>
      <w:r w:rsidR="009D3AF6" w:rsidRPr="009118AB">
        <w:t>Gesamts</w:t>
      </w:r>
      <w:r w:rsidR="00EF3DAB" w:rsidRPr="009118AB">
        <w:t>teuer</w:t>
      </w:r>
      <w:r w:rsidR="009D3AF6" w:rsidRPr="009118AB">
        <w:t>]</w:t>
      </w:r>
      <w:r w:rsidR="00EF3DAB" w:rsidRPr="009118AB">
        <w:t xml:space="preserve"> in Bezug auf die Einkünfte des betreffenden Jahres um einen Betrag erhöht, der so viele Male ein Sechzigstel der gemäß </w:t>
      </w:r>
      <w:r w:rsidR="00D67EB8" w:rsidRPr="009118AB">
        <w:t>§ </w:t>
      </w:r>
      <w:r w:rsidR="00EF3DAB" w:rsidRPr="009118AB">
        <w:t>1 tatsächlich erhaltenen Steuerermäßigung beträgt, wie ganze Monate bis zum Ende des Zeitraums von sechzig Monaten übrig bleiben.</w:t>
      </w:r>
    </w:p>
    <w:p w14:paraId="7DEC59F5" w14:textId="77777777" w:rsidR="00EF3DAB" w:rsidRPr="009118AB" w:rsidRDefault="00EF3DAB" w:rsidP="00EF3DAB">
      <w:pPr>
        <w:jc w:val="both"/>
      </w:pPr>
    </w:p>
    <w:p w14:paraId="6F43F62D" w14:textId="246D9C7E" w:rsidR="00EF3DAB" w:rsidRPr="009118AB" w:rsidRDefault="00C81589" w:rsidP="00EF3DAB">
      <w:pPr>
        <w:jc w:val="both"/>
      </w:pPr>
      <w:r w:rsidRPr="009118AB">
        <w:tab/>
      </w:r>
      <w:r w:rsidR="00D67EB8" w:rsidRPr="009118AB">
        <w:t>§ </w:t>
      </w:r>
      <w:r w:rsidR="00EF3DAB" w:rsidRPr="009118AB">
        <w:t>3</w:t>
      </w:r>
      <w:r w:rsidR="00D67EB8" w:rsidRPr="009118AB">
        <w:t> - </w:t>
      </w:r>
      <w:r w:rsidR="00EF3DAB" w:rsidRPr="009118AB">
        <w:t>Jeder zugelassene Entwicklungsfonds erstellt jährlich vor dem 31. März des Steuerjahres einen Beleg und sendet ein Exemplar an den Zeichner und ein weiteres an den Besteuerungsdienst, der für diesen zuständig ist; dieser Beleg enthält folgende Angaben:</w:t>
      </w:r>
    </w:p>
    <w:p w14:paraId="1D480506" w14:textId="77777777" w:rsidR="00EF3DAB" w:rsidRPr="009118AB" w:rsidRDefault="00EF3DAB" w:rsidP="00EF3DAB">
      <w:pPr>
        <w:jc w:val="both"/>
      </w:pPr>
    </w:p>
    <w:p w14:paraId="6EF58793" w14:textId="77777777" w:rsidR="00EF3DAB" w:rsidRPr="009118AB" w:rsidRDefault="00C81589" w:rsidP="00EF3DAB">
      <w:pPr>
        <w:jc w:val="both"/>
      </w:pPr>
      <w:r w:rsidRPr="009118AB">
        <w:tab/>
      </w:r>
      <w:r w:rsidR="00EF3DAB" w:rsidRPr="009118AB">
        <w:t>- für das Erwerbsjahr: Beträge, die zur Ermäßigung berechtigen, Betrag der anzuwen</w:t>
      </w:r>
      <w:r w:rsidR="00EF3DAB" w:rsidRPr="009118AB">
        <w:softHyphen/>
        <w:t>denden Ermäßigung und Bestätigung, dass die Aktien am 31. Dezember des betreffenden Jahres noch immer im Besitz des Zeichners sind,</w:t>
      </w:r>
    </w:p>
    <w:p w14:paraId="5C5F0EC8" w14:textId="77777777" w:rsidR="00EF3DAB" w:rsidRPr="009118AB" w:rsidRDefault="00EF3DAB" w:rsidP="00EF3DAB">
      <w:pPr>
        <w:jc w:val="both"/>
      </w:pPr>
    </w:p>
    <w:p w14:paraId="45C6FC93" w14:textId="77777777" w:rsidR="00EF3DAB" w:rsidRPr="009118AB" w:rsidRDefault="00C81589" w:rsidP="00EF3DAB">
      <w:pPr>
        <w:jc w:val="both"/>
      </w:pPr>
      <w:r w:rsidRPr="009118AB">
        <w:lastRenderedPageBreak/>
        <w:tab/>
      </w:r>
      <w:r w:rsidR="00EF3DAB" w:rsidRPr="009118AB">
        <w:t>- für das Todesjahr des Zeichners: Betrag, der den Rechtsnachfolgern zuerkannt wurde,</w:t>
      </w:r>
    </w:p>
    <w:p w14:paraId="7DD47F25" w14:textId="77777777" w:rsidR="00EF3DAB" w:rsidRPr="009118AB" w:rsidRDefault="00EF3DAB" w:rsidP="00EF3DAB">
      <w:pPr>
        <w:jc w:val="both"/>
      </w:pPr>
    </w:p>
    <w:p w14:paraId="5C1EB649" w14:textId="77777777" w:rsidR="00EF3DAB" w:rsidRPr="009118AB" w:rsidRDefault="00C81589" w:rsidP="00EF3DAB">
      <w:pPr>
        <w:jc w:val="both"/>
      </w:pPr>
      <w:r w:rsidRPr="009118AB">
        <w:tab/>
      </w:r>
      <w:r w:rsidR="00EF3DAB" w:rsidRPr="009118AB">
        <w:t>- für das Jahr des Ablaufs der Frist von sechzig Monaten: je nach Fall Bestätigung, dass die Aktien entweder bis zum Ende der Frist im Besitz des Zeichners geblieben sind oder dass sie Gegenstand einer Veräußerung vor Ablauf der Frist waren mit Angabe der noch nicht verstrichenen Monate, die für die Berechnung der Rücknahme der Ermäßigung berücksichtigt werden,</w:t>
      </w:r>
    </w:p>
    <w:p w14:paraId="2143F480" w14:textId="77777777" w:rsidR="00EF3DAB" w:rsidRPr="009118AB" w:rsidRDefault="00EF3DAB" w:rsidP="00EF3DAB">
      <w:pPr>
        <w:jc w:val="both"/>
      </w:pPr>
    </w:p>
    <w:p w14:paraId="47078E25" w14:textId="77777777" w:rsidR="00477B8F" w:rsidRPr="009118AB" w:rsidRDefault="00C81589" w:rsidP="00EF3DAB">
      <w:pPr>
        <w:jc w:val="both"/>
      </w:pPr>
      <w:r w:rsidRPr="009118AB">
        <w:tab/>
      </w:r>
      <w:r w:rsidR="00EF3DAB" w:rsidRPr="009118AB">
        <w:t>- für das Jahr der Veräußerung: wenn sie im Laufe eines Jahres vor dem Jahr des Ablaufs der Frist von sechzig Monaten erfolgt, Anzahl noch nicht verstrichener Monate, die für die Berechnung der Rücknahme der Ermäßigung berücksichtigt werden.</w:t>
      </w:r>
      <w:r w:rsidR="005D4281" w:rsidRPr="009118AB">
        <w:t>]</w:t>
      </w:r>
      <w:r w:rsidR="00EF3DAB" w:rsidRPr="009118AB">
        <w:t>]</w:t>
      </w:r>
    </w:p>
    <w:p w14:paraId="07E4EB66" w14:textId="77777777" w:rsidR="00EF3DAB" w:rsidRPr="009118AB" w:rsidRDefault="00EF3DAB" w:rsidP="00EF3DAB">
      <w:pPr>
        <w:jc w:val="both"/>
      </w:pPr>
    </w:p>
    <w:p w14:paraId="7427663E" w14:textId="29896FEE" w:rsidR="00EF3DAB" w:rsidRPr="009118AB" w:rsidRDefault="00EF3DAB" w:rsidP="00EF3DAB">
      <w:pPr>
        <w:jc w:val="both"/>
      </w:pPr>
      <w:r w:rsidRPr="009118AB">
        <w:rPr>
          <w:i/>
        </w:rPr>
        <w:t>[</w:t>
      </w:r>
      <w:r w:rsidR="00D67EB8" w:rsidRPr="009118AB">
        <w:rPr>
          <w:i/>
        </w:rPr>
        <w:t>Art. </w:t>
      </w:r>
      <w:r w:rsidRPr="009118AB">
        <w:rPr>
          <w:i/>
        </w:rPr>
        <w:t>145</w:t>
      </w:r>
      <w:r w:rsidR="00FA7A34" w:rsidRPr="009118AB">
        <w:rPr>
          <w:i/>
        </w:rPr>
        <w:t>/32</w:t>
      </w:r>
      <w:r w:rsidRPr="009118AB">
        <w:rPr>
          <w:i/>
        </w:rPr>
        <w:t xml:space="preserve"> ersetzt durch </w:t>
      </w:r>
      <w:r w:rsidR="00D67EB8" w:rsidRPr="009118AB">
        <w:rPr>
          <w:i/>
        </w:rPr>
        <w:t>Art. </w:t>
      </w:r>
      <w:r w:rsidRPr="009118AB">
        <w:rPr>
          <w:i/>
        </w:rPr>
        <w:t>2 des G. vom 21. Dezember 2009 (B.S. vom 31. Dezember 2009)</w:t>
      </w:r>
      <w:r w:rsidR="00D67EB8" w:rsidRPr="009118AB">
        <w:rPr>
          <w:i/>
        </w:rPr>
        <w:t> - </w:t>
      </w:r>
      <w:r w:rsidR="00A2600F" w:rsidRPr="009118AB">
        <w:rPr>
          <w:i/>
        </w:rPr>
        <w:t xml:space="preserve">anwendbar auf die ab dem </w:t>
      </w:r>
      <w:r w:rsidRPr="009118AB">
        <w:rPr>
          <w:i/>
        </w:rPr>
        <w:t xml:space="preserve">1. Januar 2010 </w:t>
      </w:r>
      <w:r w:rsidR="00A2600F" w:rsidRPr="009118AB">
        <w:rPr>
          <w:i/>
        </w:rPr>
        <w:t>gezahlten Summen</w:t>
      </w:r>
      <w:r w:rsidR="003366D9" w:rsidRPr="009118AB">
        <w:rPr>
          <w:i/>
        </w:rPr>
        <w:t> -;</w:t>
      </w:r>
      <w:r w:rsidR="009D3AF6" w:rsidRPr="009118AB">
        <w:rPr>
          <w:i/>
        </w:rPr>
        <w:t xml:space="preserve"> </w:t>
      </w:r>
      <w:r w:rsidR="00D67EB8" w:rsidRPr="009118AB">
        <w:rPr>
          <w:i/>
        </w:rPr>
        <w:t>§ </w:t>
      </w:r>
      <w:r w:rsidR="009D3AF6" w:rsidRPr="009118AB">
        <w:rPr>
          <w:i/>
        </w:rPr>
        <w:t xml:space="preserve">2 abgeändert durch </w:t>
      </w:r>
      <w:r w:rsidR="00D67EB8" w:rsidRPr="009118AB">
        <w:rPr>
          <w:i/>
        </w:rPr>
        <w:t>Art. </w:t>
      </w:r>
      <w:r w:rsidR="009D3AF6" w:rsidRPr="009118AB">
        <w:rPr>
          <w:i/>
        </w:rPr>
        <w:t>38 des G. vom 8. Mai 2014 (B.S. vom 28. Mai 2014)</w:t>
      </w:r>
      <w:r w:rsidR="00D67EB8" w:rsidRPr="009118AB">
        <w:rPr>
          <w:i/>
        </w:rPr>
        <w:t> - </w:t>
      </w:r>
      <w:r w:rsidR="009D3AF6" w:rsidRPr="009118AB">
        <w:rPr>
          <w:i/>
          <w:iCs/>
        </w:rPr>
        <w:t>anwendbar ab dem Steuerjahr 2015</w:t>
      </w:r>
      <w:r w:rsidR="00FD68E8" w:rsidRPr="009118AB">
        <w:rPr>
          <w:i/>
          <w:iCs/>
        </w:rPr>
        <w:t> -]</w:t>
      </w:r>
    </w:p>
    <w:p w14:paraId="268A4F96" w14:textId="77777777" w:rsidR="00EF3DAB" w:rsidRPr="009118AB" w:rsidRDefault="00EF3DAB" w:rsidP="00EF3DAB">
      <w:pPr>
        <w:jc w:val="both"/>
        <w:rPr>
          <w:i/>
        </w:rPr>
      </w:pPr>
    </w:p>
    <w:p w14:paraId="231BF919" w14:textId="77777777" w:rsidR="00EF3DAB" w:rsidRPr="009118AB" w:rsidRDefault="00EF3DAB" w:rsidP="00EF3DAB">
      <w:pPr>
        <w:jc w:val="both"/>
        <w:rPr>
          <w:i/>
        </w:rPr>
      </w:pPr>
    </w:p>
    <w:p w14:paraId="032FF220" w14:textId="263444AD" w:rsidR="00542363" w:rsidRPr="009118AB" w:rsidRDefault="00542363" w:rsidP="00EF3DAB">
      <w:pPr>
        <w:jc w:val="center"/>
      </w:pPr>
      <w:r w:rsidRPr="009118AB">
        <w:br w:type="page"/>
      </w:r>
      <w:r w:rsidRPr="009118AB">
        <w:lastRenderedPageBreak/>
        <w:t>[Unterabschnitt 2</w:t>
      </w:r>
      <w:r w:rsidRPr="009118AB">
        <w:rPr>
          <w:i/>
        </w:rPr>
        <w:t>quaterdecies</w:t>
      </w:r>
      <w:r w:rsidR="00D67EB8" w:rsidRPr="009118AB">
        <w:t> - </w:t>
      </w:r>
      <w:r w:rsidRPr="009118AB">
        <w:t>Steuerermäßigung für unentgeltliche Zuwendungen]</w:t>
      </w:r>
    </w:p>
    <w:p w14:paraId="61687862" w14:textId="77777777" w:rsidR="00542363" w:rsidRPr="009118AB" w:rsidRDefault="00542363" w:rsidP="00EF3DAB">
      <w:pPr>
        <w:jc w:val="center"/>
      </w:pPr>
    </w:p>
    <w:p w14:paraId="7FDF41BC" w14:textId="13DAFA45" w:rsidR="00542363" w:rsidRPr="009118AB" w:rsidRDefault="00542363" w:rsidP="00542363">
      <w:pPr>
        <w:jc w:val="both"/>
        <w:rPr>
          <w:i/>
          <w:iCs/>
        </w:rPr>
      </w:pPr>
      <w:r w:rsidRPr="009118AB">
        <w:rPr>
          <w:i/>
        </w:rPr>
        <w:t>[</w:t>
      </w:r>
      <w:r w:rsidR="00FF68D0" w:rsidRPr="009118AB">
        <w:rPr>
          <w:i/>
        </w:rPr>
        <w:t xml:space="preserve">Unterteilung </w:t>
      </w:r>
      <w:r w:rsidRPr="009118AB">
        <w:rPr>
          <w:i/>
        </w:rPr>
        <w:t xml:space="preserve">Unterabschnitt 2quaterdecies eingefügt durch </w:t>
      </w:r>
      <w:r w:rsidR="00D67EB8" w:rsidRPr="009118AB">
        <w:rPr>
          <w:i/>
        </w:rPr>
        <w:t>Art. </w:t>
      </w:r>
      <w:r w:rsidRPr="009118AB">
        <w:rPr>
          <w:i/>
        </w:rPr>
        <w:t>24</w:t>
      </w:r>
      <w:r w:rsidRPr="009118AB">
        <w:rPr>
          <w:i/>
          <w:iCs/>
        </w:rPr>
        <w:t xml:space="preserve"> des G. vom 13.</w:t>
      </w:r>
      <w:r w:rsidR="00FF68D0" w:rsidRPr="009118AB">
        <w:rPr>
          <w:i/>
          <w:iCs/>
        </w:rPr>
        <w:t> </w:t>
      </w:r>
      <w:r w:rsidRPr="009118AB">
        <w:rPr>
          <w:i/>
          <w:iCs/>
        </w:rPr>
        <w:t>Dezember 2012 (B.S. vom 20. Dezember 2012)</w:t>
      </w:r>
      <w:r w:rsidR="00D67EB8" w:rsidRPr="009118AB">
        <w:rPr>
          <w:i/>
          <w:iCs/>
        </w:rPr>
        <w:t> - </w:t>
      </w:r>
      <w:r w:rsidRPr="009118AB">
        <w:rPr>
          <w:i/>
          <w:iCs/>
        </w:rPr>
        <w:t>in Kraft ab dem Steuerjahr 2013</w:t>
      </w:r>
      <w:r w:rsidR="00FD68E8" w:rsidRPr="009118AB">
        <w:rPr>
          <w:i/>
          <w:iCs/>
        </w:rPr>
        <w:t> -]</w:t>
      </w:r>
    </w:p>
    <w:p w14:paraId="32E9BCFD" w14:textId="77777777" w:rsidR="00542363" w:rsidRPr="009118AB" w:rsidRDefault="00542363" w:rsidP="00542363">
      <w:pPr>
        <w:jc w:val="both"/>
        <w:rPr>
          <w:iCs/>
        </w:rPr>
      </w:pPr>
    </w:p>
    <w:p w14:paraId="4C03FAC5" w14:textId="77777777" w:rsidR="00542363" w:rsidRPr="009118AB" w:rsidRDefault="00542363" w:rsidP="00542363">
      <w:pPr>
        <w:jc w:val="both"/>
        <w:rPr>
          <w:iCs/>
        </w:rPr>
      </w:pPr>
    </w:p>
    <w:p w14:paraId="4FB82EA2" w14:textId="71A108FD" w:rsidR="00542363" w:rsidRPr="009118AB" w:rsidRDefault="00542363" w:rsidP="00542363">
      <w:pPr>
        <w:ind w:firstLine="708"/>
        <w:jc w:val="both"/>
      </w:pPr>
      <w:r w:rsidRPr="009118AB">
        <w:rPr>
          <w:iCs/>
        </w:rPr>
        <w:t>[</w:t>
      </w:r>
      <w:r w:rsidR="00D67EB8" w:rsidRPr="009118AB">
        <w:rPr>
          <w:b/>
        </w:rPr>
        <w:t>Art. </w:t>
      </w:r>
      <w:r w:rsidRPr="009118AB">
        <w:rPr>
          <w:b/>
        </w:rPr>
        <w:t>145</w:t>
      </w:r>
      <w:r w:rsidRPr="009118AB">
        <w:rPr>
          <w:b/>
          <w:vertAlign w:val="superscript"/>
        </w:rPr>
        <w:t>33</w:t>
      </w:r>
      <w:r w:rsidR="00D67EB8" w:rsidRPr="009118AB">
        <w:t> - § </w:t>
      </w:r>
      <w:r w:rsidRPr="009118AB">
        <w:t>1</w:t>
      </w:r>
      <w:r w:rsidR="00D67EB8" w:rsidRPr="009118AB">
        <w:t> - </w:t>
      </w:r>
      <w:r w:rsidRPr="009118AB">
        <w:t>Für folgende Ausgaben, die tatsächlich während des Besteue</w:t>
      </w:r>
      <w:r w:rsidRPr="009118AB">
        <w:softHyphen/>
        <w:t>rungszeitraums gezahlt werden, wird eine Steuerermäßigung gewährt:</w:t>
      </w:r>
    </w:p>
    <w:p w14:paraId="67E1D93C" w14:textId="77777777" w:rsidR="00542363" w:rsidRPr="009118AB" w:rsidRDefault="00542363" w:rsidP="00542363">
      <w:pPr>
        <w:jc w:val="both"/>
      </w:pPr>
    </w:p>
    <w:p w14:paraId="5E57D193" w14:textId="77777777" w:rsidR="00542363" w:rsidRPr="009118AB" w:rsidRDefault="00542363" w:rsidP="00542363">
      <w:pPr>
        <w:ind w:firstLine="708"/>
        <w:jc w:val="both"/>
      </w:pPr>
      <w:r w:rsidRPr="009118AB">
        <w:t>1. unentgeltliche Geldzuwendungen:</w:t>
      </w:r>
    </w:p>
    <w:p w14:paraId="6A0FDB20" w14:textId="77777777" w:rsidR="00542363" w:rsidRPr="009118AB" w:rsidRDefault="00542363" w:rsidP="00542363">
      <w:pPr>
        <w:jc w:val="both"/>
      </w:pPr>
    </w:p>
    <w:p w14:paraId="7D565BF3" w14:textId="51F1E291" w:rsidR="00542363" w:rsidRPr="009118AB" w:rsidRDefault="00542363" w:rsidP="00542363">
      <w:pPr>
        <w:ind w:firstLine="708"/>
        <w:jc w:val="both"/>
      </w:pPr>
      <w:r w:rsidRPr="009118AB">
        <w:rPr>
          <w:i/>
        </w:rPr>
        <w:t>a)</w:t>
      </w:r>
      <w:r w:rsidRPr="009118AB">
        <w:t xml:space="preserve"> an Einrichtungen, die in den Geltungsbereich des Dekrets vom 12. Juni 1991 (Universitäten in der Flämischen Gemeinschaft) oder des Dekrets vom 5. September 1994 (Universitätsstudien und akademische Grade in der Französischen Gemeinschaft) fallen, </w:t>
      </w:r>
      <w:r w:rsidR="007928E5" w:rsidRPr="009118AB">
        <w:t xml:space="preserve">[an Hochschulen, die in den Geltungsbereich des Dekrets der Flämischen Gemeinschaft vom 20. Dezember 2013 (Bestätigung der Dekretsbestimmungen über das Hochschulwesen, kodifiziert am 11. Oktober 2013), des Dekrets der Französischen Gemeinschaft vom 7. November 2013 (Bestimmung der Hochschullandschaft und der akademischen Organisation der Studien) oder des Sonderdekrets der Deutschsprachigen Gemeinschaft vom 21. Februar 2005 zur Schaffung einer autonomen Hochschule fallen,] </w:t>
      </w:r>
      <w:r w:rsidRPr="009118AB">
        <w:t>an zugelassene Universitätskrankenhäuser oder an ähnliche Einrichtungen eines anderen Mitgliedstaates des Europäischen Wirtschaftsraums</w:t>
      </w:r>
      <w:r w:rsidR="00467314" w:rsidRPr="009118AB">
        <w:t xml:space="preserve"> [und an juristische Personen, die die Form einer Stiftung haben und </w:t>
      </w:r>
      <w:r w:rsidR="00A74ECF" w:rsidRPr="009118AB">
        <w:t>[</w:t>
      </w:r>
      <w:r w:rsidR="00A74ECF" w:rsidRPr="009118AB">
        <w:rPr>
          <w:rFonts w:eastAsia="Calibri"/>
          <w:lang w:eastAsia="en-US"/>
        </w:rPr>
        <w:t>durch vorerwähnte zugelassene Universi</w:t>
      </w:r>
      <w:r w:rsidR="00A74ECF" w:rsidRPr="009118AB">
        <w:rPr>
          <w:rFonts w:eastAsia="Calibri"/>
          <w:lang w:eastAsia="en-US"/>
        </w:rPr>
        <w:softHyphen/>
        <w:t>tätskrankenhäuser oder ähnliche Einrichtungen eines anderen Mitgliedstaates des Europäischen Wirtschaftsraums speziell dafür gegründet wurden]</w:t>
      </w:r>
      <w:r w:rsidR="00467314" w:rsidRPr="009118AB">
        <w:t>, die in einem karitativen Rahmen erhaltenen Gelder, einschließlich der unentgeltlichen Geldzuwendungen, zu verwalten]</w:t>
      </w:r>
      <w:r w:rsidRPr="009118AB">
        <w:t>,</w:t>
      </w:r>
    </w:p>
    <w:p w14:paraId="751266BF" w14:textId="77777777" w:rsidR="00542363" w:rsidRPr="009118AB" w:rsidRDefault="00542363" w:rsidP="00542363">
      <w:pPr>
        <w:jc w:val="both"/>
      </w:pPr>
    </w:p>
    <w:p w14:paraId="5DFC95C3" w14:textId="58BA5628" w:rsidR="00542363" w:rsidRPr="009118AB" w:rsidRDefault="00542363" w:rsidP="00542363">
      <w:pPr>
        <w:ind w:firstLine="708"/>
        <w:jc w:val="both"/>
      </w:pPr>
      <w:r w:rsidRPr="009118AB">
        <w:rPr>
          <w:i/>
        </w:rPr>
        <w:t>b)</w:t>
      </w:r>
      <w:r w:rsidRPr="009118AB">
        <w:t> an königliche Akademien, an den "Föderalen Fonds für wissenschaftliche Forschung</w:t>
      </w:r>
      <w:r w:rsidR="00D67EB8" w:rsidRPr="009118AB">
        <w:t> - </w:t>
      </w:r>
      <w:r w:rsidRPr="009118AB">
        <w:t>Federaal Fonds voor Wetenschappelijk Onderzoek</w:t>
      </w:r>
      <w:r w:rsidR="00D67EB8" w:rsidRPr="009118AB">
        <w:t> - </w:t>
      </w:r>
      <w:r w:rsidRPr="009118AB">
        <w:t>Fonds fédéral de la Recherche scientifique</w:t>
      </w:r>
      <w:r w:rsidR="00D67EB8" w:rsidRPr="009118AB">
        <w:t> - </w:t>
      </w:r>
      <w:r w:rsidRPr="009118AB">
        <w:t>FFWF/FFWO/FFRS", an den "Fonds voor Wetenschappelijk Onderzoek Vlaanderen</w:t>
      </w:r>
      <w:r w:rsidR="00D67EB8" w:rsidRPr="009118AB">
        <w:t> - </w:t>
      </w:r>
      <w:r w:rsidRPr="009118AB">
        <w:t>FWO", an den "Fonds de la Recherche scientifique</w:t>
      </w:r>
      <w:r w:rsidR="00D67EB8" w:rsidRPr="009118AB">
        <w:t> - </w:t>
      </w:r>
      <w:r w:rsidRPr="009118AB">
        <w:t>FNRS</w:t>
      </w:r>
      <w:r w:rsidR="00D67EB8" w:rsidRPr="009118AB">
        <w:t> - </w:t>
      </w:r>
      <w:r w:rsidRPr="009118AB">
        <w:t>FRS</w:t>
      </w:r>
      <w:r w:rsidRPr="009118AB">
        <w:noBreakHyphen/>
        <w:t xml:space="preserve">FNRS" und an Einrichtungen für wissenschaftliche Forschung, die </w:t>
      </w:r>
      <w:r w:rsidR="00A74ECF" w:rsidRPr="009118AB">
        <w:t>[</w:t>
      </w:r>
      <w:r w:rsidR="00A74ECF" w:rsidRPr="009118AB">
        <w:rPr>
          <w:rFonts w:eastAsia="Calibri"/>
          <w:lang w:eastAsia="en-US"/>
        </w:rPr>
        <w:t>vom Minister der Finanzen oder von seinem Beauftragten]</w:t>
      </w:r>
      <w:r w:rsidRPr="009118AB">
        <w:t xml:space="preserve"> und von dem für Wissenschaftspolitik und -planung zuständigen Minister zugelassen sind, oder an ähnliche Einrichtungen eines anderen Mitgliedstaates des Europäischen Wirtschaftsraums, die auf vergleichbare Weise zugelassen sind, ausschließlich der Einrichtungen, die unmittelbar mit politischen Parteien oder Listen verbunden sind,</w:t>
      </w:r>
    </w:p>
    <w:p w14:paraId="3E0A34BA" w14:textId="77777777" w:rsidR="00542363" w:rsidRPr="009118AB" w:rsidRDefault="00542363" w:rsidP="00542363">
      <w:pPr>
        <w:jc w:val="both"/>
      </w:pPr>
    </w:p>
    <w:p w14:paraId="2895AA13" w14:textId="7FAD13E3" w:rsidR="00542363" w:rsidRPr="009118AB" w:rsidRDefault="00542363" w:rsidP="00542363">
      <w:pPr>
        <w:ind w:firstLine="708"/>
        <w:jc w:val="both"/>
      </w:pPr>
      <w:r w:rsidRPr="009118AB">
        <w:rPr>
          <w:i/>
        </w:rPr>
        <w:t>c)</w:t>
      </w:r>
      <w:r w:rsidRPr="009118AB">
        <w:t> an öffentliche Sozialhilfezentren</w:t>
      </w:r>
      <w:r w:rsidR="00C77021" w:rsidRPr="009118AB">
        <w:t xml:space="preserve"> [</w:t>
      </w:r>
      <w:r w:rsidR="00C77021" w:rsidRPr="009118AB">
        <w:rPr>
          <w:lang w:eastAsia="fr-BE"/>
        </w:rPr>
        <w:t>sowie an Partnerschaften mit Rechtspersönlichkeit zwischen ausschließlich öffentlichen Sozialhilfezentren</w:t>
      </w:r>
      <w:r w:rsidR="00C77021" w:rsidRPr="009118AB">
        <w:t>]</w:t>
      </w:r>
      <w:r w:rsidRPr="009118AB">
        <w:t>,</w:t>
      </w:r>
    </w:p>
    <w:p w14:paraId="10AA60F7" w14:textId="77777777" w:rsidR="00542363" w:rsidRPr="009118AB" w:rsidRDefault="00542363" w:rsidP="00542363">
      <w:pPr>
        <w:jc w:val="both"/>
      </w:pPr>
    </w:p>
    <w:p w14:paraId="735690D6" w14:textId="6BD48C7C" w:rsidR="00542363" w:rsidRPr="009118AB" w:rsidRDefault="00542363" w:rsidP="00542363">
      <w:pPr>
        <w:ind w:firstLine="708"/>
        <w:jc w:val="both"/>
      </w:pPr>
      <w:r w:rsidRPr="009118AB">
        <w:rPr>
          <w:i/>
        </w:rPr>
        <w:t>d)</w:t>
      </w:r>
      <w:r w:rsidRPr="009118AB">
        <w:t xml:space="preserve"> an kulturelle Einrichtungen, die </w:t>
      </w:r>
      <w:r w:rsidR="00A74ECF" w:rsidRPr="009118AB">
        <w:t>[</w:t>
      </w:r>
      <w:r w:rsidR="00A74ECF" w:rsidRPr="009118AB">
        <w:rPr>
          <w:rFonts w:eastAsia="Calibri"/>
          <w:lang w:eastAsia="en-US"/>
        </w:rPr>
        <w:t xml:space="preserve">vom Minister der Finanzen oder von seinem Beauftragten] </w:t>
      </w:r>
      <w:r w:rsidRPr="009118AB">
        <w:t>zugelassen sind und die in Belgien ansässig sind und einen Einflussbereich haben, der sich auf eine der Gemeinschaften oder auf das ganze Land erstreckt, oder an kulturelle Einrichtungen, die in einem anderen Mitgliedstaat des Europäischen Wirtschaftsraums ansässig sind und einen Einflussbereich haben, der sich auf einen Gliedstaat oder eine Region des betreffenden Staates oder auf das ganze Land erstreckt, und die auf vergleichbare Weise zugelassen sind,</w:t>
      </w:r>
    </w:p>
    <w:p w14:paraId="5AFF48EB" w14:textId="77777777" w:rsidR="00542363" w:rsidRPr="009118AB" w:rsidRDefault="00542363" w:rsidP="00542363">
      <w:pPr>
        <w:jc w:val="both"/>
      </w:pPr>
    </w:p>
    <w:p w14:paraId="0E9D3DDC" w14:textId="71C8F29E" w:rsidR="00542363" w:rsidRPr="009118AB" w:rsidRDefault="00542363" w:rsidP="00542363">
      <w:pPr>
        <w:ind w:firstLine="708"/>
        <w:jc w:val="both"/>
      </w:pPr>
      <w:r w:rsidRPr="009118AB">
        <w:rPr>
          <w:i/>
        </w:rPr>
        <w:t>e)</w:t>
      </w:r>
      <w:r w:rsidRPr="009118AB">
        <w:t xml:space="preserve"> an Einrichtungen, die Kriegsopfer, Behinderte, Betagte, geschützte Minderjährige oder Bedürftige unterstützen und die nach Stellungnahme der beratenden Organe des Staates </w:t>
      </w:r>
      <w:r w:rsidRPr="009118AB">
        <w:lastRenderedPageBreak/>
        <w:t xml:space="preserve">oder der Gemeinschaften, die für diese Unterstützung zuständig sind, von den zuständigen Organen des Staates oder der Gemeinschaften, denen diese Einrichtungen unterstehen, zugelassen sind und die für die Anwendung des Steuergesetzes </w:t>
      </w:r>
      <w:r w:rsidR="00A74ECF" w:rsidRPr="009118AB">
        <w:t>[</w:t>
      </w:r>
      <w:r w:rsidR="00A74ECF" w:rsidRPr="009118AB">
        <w:rPr>
          <w:rFonts w:eastAsia="Calibri"/>
          <w:lang w:eastAsia="en-US"/>
        </w:rPr>
        <w:t xml:space="preserve">vom Minister der Finanzen oder von seinem Beauftragten] </w:t>
      </w:r>
      <w:r w:rsidRPr="009118AB">
        <w:t>zugelassen sind, oder an ähnliche Einrichtungen eines anderen Mitgliedstaates des Europäischen Wirtschaftsraums, die auf vergleichbare Weise zugelassen sind,</w:t>
      </w:r>
    </w:p>
    <w:p w14:paraId="415AD645" w14:textId="77777777" w:rsidR="00542363" w:rsidRPr="009118AB" w:rsidRDefault="00542363" w:rsidP="00542363">
      <w:pPr>
        <w:jc w:val="both"/>
      </w:pPr>
    </w:p>
    <w:p w14:paraId="54DAFB7E" w14:textId="0CC0DADF" w:rsidR="00542363" w:rsidRPr="009118AB" w:rsidRDefault="00542363" w:rsidP="00542363">
      <w:pPr>
        <w:ind w:firstLine="708"/>
        <w:jc w:val="both"/>
      </w:pPr>
      <w:r w:rsidRPr="009118AB">
        <w:rPr>
          <w:i/>
        </w:rPr>
        <w:t>f) </w:t>
      </w:r>
      <w:r w:rsidR="009827FE" w:rsidRPr="009118AB">
        <w:t>[an das Belgische Rote Kreuz oder an einen nationalen Verband des Roten Kreuzes in einem anderen Mitgliedstaat des Europäischen Wirtschaftsraums, an die König-Balduin-Stiftung, an das Europäische Zentrum für vermisste und sexuell ausgebeutete Kinder</w:t>
      </w:r>
      <w:r w:rsidR="00D67EB8" w:rsidRPr="009118AB">
        <w:t> - </w:t>
      </w:r>
      <w:r w:rsidR="009827FE" w:rsidRPr="009118AB">
        <w:t>Bel</w:t>
      </w:r>
      <w:r w:rsidR="009827FE" w:rsidRPr="009118AB">
        <w:softHyphen/>
        <w:t>gien</w:t>
      </w:r>
      <w:r w:rsidR="00D67EB8" w:rsidRPr="009118AB">
        <w:t> - </w:t>
      </w:r>
      <w:r w:rsidR="009827FE" w:rsidRPr="009118AB">
        <w:t>Stiftung nach belgischem Recht, an den Palast der Schönen Künste, an das Königliche Theater der Monnaie und an das Nationalorchester von Belgien,]</w:t>
      </w:r>
    </w:p>
    <w:p w14:paraId="6FEEF639" w14:textId="77777777" w:rsidR="00542363" w:rsidRPr="009118AB" w:rsidRDefault="00542363" w:rsidP="00542363">
      <w:pPr>
        <w:jc w:val="both"/>
      </w:pPr>
    </w:p>
    <w:p w14:paraId="3D68E6A9" w14:textId="1BBB8B78" w:rsidR="00542363" w:rsidRPr="009118AB" w:rsidRDefault="00542363" w:rsidP="00542363">
      <w:pPr>
        <w:ind w:firstLine="708"/>
        <w:jc w:val="both"/>
      </w:pPr>
      <w:r w:rsidRPr="009118AB">
        <w:rPr>
          <w:i/>
        </w:rPr>
        <w:t>g)</w:t>
      </w:r>
      <w:r w:rsidRPr="009118AB">
        <w:t> </w:t>
      </w:r>
      <w:r w:rsidR="00C77021" w:rsidRPr="009118AB">
        <w:t>[</w:t>
      </w:r>
      <w:r w:rsidR="00C77021" w:rsidRPr="009118AB">
        <w:rPr>
          <w:lang w:eastAsia="fr-BE"/>
        </w:rPr>
        <w:t>an die regionalen Katastrophenfonds und ihre administrativen Organe zur Beschaffung von Finanzmitteln, an die provinzialen Katastrophenfonds</w:t>
      </w:r>
      <w:r w:rsidR="00C77021" w:rsidRPr="009118AB">
        <w:t>]</w:t>
      </w:r>
      <w:r w:rsidRPr="009118AB">
        <w:t xml:space="preserve"> sowie an Einrichtungen, die geschaffen werden, um Opfern von Naturkatastrophen</w:t>
      </w:r>
      <w:r w:rsidR="00C77021" w:rsidRPr="009118AB">
        <w:t xml:space="preserve"> [...]</w:t>
      </w:r>
      <w:r w:rsidRPr="009118AB">
        <w:t xml:space="preserve"> zu helfen, und die als solche </w:t>
      </w:r>
      <w:r w:rsidR="00A74ECF" w:rsidRPr="009118AB">
        <w:t>[</w:t>
      </w:r>
      <w:r w:rsidR="00A74ECF" w:rsidRPr="009118AB">
        <w:rPr>
          <w:rFonts w:eastAsia="Calibri"/>
          <w:lang w:eastAsia="en-US"/>
        </w:rPr>
        <w:t xml:space="preserve">vom Minister der Finanzen oder von seinem Beauftragten] </w:t>
      </w:r>
      <w:r w:rsidRPr="009118AB">
        <w:t>zugelassen sind, oder an ähnliche Einrichtungen eines anderen Mitgliedstaates des Europäischen Wirtschaftsraums, die auf vergleichbare Weise zugelassen sind,</w:t>
      </w:r>
    </w:p>
    <w:p w14:paraId="7C65C845" w14:textId="77777777" w:rsidR="00542363" w:rsidRPr="009118AB" w:rsidRDefault="00542363" w:rsidP="00542363">
      <w:pPr>
        <w:jc w:val="both"/>
      </w:pPr>
    </w:p>
    <w:p w14:paraId="67C0E7F7" w14:textId="77777777" w:rsidR="00542363" w:rsidRPr="009118AB" w:rsidRDefault="00542363" w:rsidP="00542363">
      <w:pPr>
        <w:ind w:firstLine="708"/>
        <w:jc w:val="both"/>
      </w:pPr>
      <w:r w:rsidRPr="009118AB">
        <w:rPr>
          <w:i/>
        </w:rPr>
        <w:t>h)</w:t>
      </w:r>
      <w:r w:rsidRPr="009118AB">
        <w:t> an beschützte Werkstätten, die in Ausführung der Rechtsvorschriften über die soziale Wiedereingliederung der Behinderten von der Regionalregierung oder der zuständigen Einrichtung geschaffen werden oder zugelassen sind, oder an ähnliche Einrichtungen eines anderen Mitgliedstaates des Europäischen Wirtschaftsraums, die auf vergleichbare Weise zugelassen sind,</w:t>
      </w:r>
    </w:p>
    <w:p w14:paraId="6E8FD3F5" w14:textId="77777777" w:rsidR="00542363" w:rsidRPr="009118AB" w:rsidRDefault="00542363" w:rsidP="00542363">
      <w:pPr>
        <w:jc w:val="both"/>
      </w:pPr>
    </w:p>
    <w:p w14:paraId="1EC3470E" w14:textId="22F707AF" w:rsidR="00542363" w:rsidRPr="009118AB" w:rsidRDefault="00542363" w:rsidP="00542363">
      <w:pPr>
        <w:ind w:firstLine="708"/>
        <w:jc w:val="both"/>
      </w:pPr>
      <w:r w:rsidRPr="009118AB">
        <w:rPr>
          <w:i/>
        </w:rPr>
        <w:t>i)</w:t>
      </w:r>
      <w:r w:rsidRPr="009118AB">
        <w:t xml:space="preserve"> an Einrichtungen, deren Aufgabe die Erhaltung der Natur oder der Umweltschutz ist und die als solche </w:t>
      </w:r>
      <w:r w:rsidR="00A74ECF" w:rsidRPr="009118AB">
        <w:t>[</w:t>
      </w:r>
      <w:r w:rsidR="00A74ECF" w:rsidRPr="009118AB">
        <w:rPr>
          <w:rFonts w:eastAsia="Calibri"/>
          <w:lang w:eastAsia="en-US"/>
        </w:rPr>
        <w:t xml:space="preserve">vom Minister der Finanzen oder von seinem Beauftragten] </w:t>
      </w:r>
      <w:r w:rsidRPr="009118AB">
        <w:t>und von dem für Umwelt zuständigen Minister zugelassen sind, oder an ähnliche Einrichtungen eines anderen Mitgliedstaates des Europäischen Wirtschaftsraums, die auf vergleichbare Weise zugelassen sind,</w:t>
      </w:r>
    </w:p>
    <w:p w14:paraId="4489B10A" w14:textId="77777777" w:rsidR="00542363" w:rsidRPr="009118AB" w:rsidRDefault="00542363" w:rsidP="00542363">
      <w:pPr>
        <w:jc w:val="both"/>
      </w:pPr>
    </w:p>
    <w:p w14:paraId="71599503" w14:textId="0913CA41" w:rsidR="00542363" w:rsidRPr="009118AB" w:rsidRDefault="00542363" w:rsidP="00542363">
      <w:pPr>
        <w:ind w:firstLine="708"/>
        <w:jc w:val="both"/>
      </w:pPr>
      <w:r w:rsidRPr="009118AB">
        <w:rPr>
          <w:i/>
        </w:rPr>
        <w:t>j)</w:t>
      </w:r>
      <w:r w:rsidRPr="009118AB">
        <w:t xml:space="preserve"> an Einrichtungen, deren Zweck darin besteht, Denkmäler und Landschaften zu erhalten oder zu schützen, deren Einflussbereich sich auf das ganze Land, eine der Regionen oder die Deutschsprachige Gemeinschaft erstreckt und die </w:t>
      </w:r>
      <w:r w:rsidR="00A74ECF" w:rsidRPr="009118AB">
        <w:t>[</w:t>
      </w:r>
      <w:r w:rsidR="00A74ECF" w:rsidRPr="009118AB">
        <w:rPr>
          <w:rFonts w:eastAsia="Calibri"/>
          <w:lang w:eastAsia="en-US"/>
        </w:rPr>
        <w:t xml:space="preserve">vom Minister der Finanzen oder von seinem Beauftragten] </w:t>
      </w:r>
      <w:r w:rsidRPr="009118AB">
        <w:t>zugelassen sind, oder an ähnliche Einrichtungen eines anderen Mitgliedstaates des Europäischen Wirtschaftsraums, die auf vergleichbare Weise zugelassen sind,</w:t>
      </w:r>
    </w:p>
    <w:p w14:paraId="14B67FC4" w14:textId="77777777" w:rsidR="00542363" w:rsidRPr="009118AB" w:rsidRDefault="00542363" w:rsidP="00542363">
      <w:pPr>
        <w:jc w:val="both"/>
      </w:pPr>
    </w:p>
    <w:p w14:paraId="3850366E" w14:textId="4E7621AD" w:rsidR="00542363" w:rsidRPr="009118AB" w:rsidRDefault="00542363" w:rsidP="00542363">
      <w:pPr>
        <w:ind w:firstLine="708"/>
        <w:jc w:val="both"/>
      </w:pPr>
      <w:r w:rsidRPr="009118AB">
        <w:rPr>
          <w:i/>
        </w:rPr>
        <w:t>k)</w:t>
      </w:r>
      <w:r w:rsidRPr="009118AB">
        <w:t xml:space="preserve"> an Vereinigungen ohne Gewinnerzielungsabsicht, deren Zweck darin besteht, Tierheime zu betreiben, die die in Artikel 5 des Gesetzes vom 14. August 1986 über den Schutz und das Wohlbefinden der Tiere </w:t>
      </w:r>
      <w:r w:rsidR="00C77021" w:rsidRPr="009118AB">
        <w:t>[</w:t>
      </w:r>
      <w:r w:rsidR="00C77021" w:rsidRPr="009118AB">
        <w:rPr>
          <w:lang w:eastAsia="fr-BE"/>
        </w:rPr>
        <w:t>oder in Artikel D.32 des Wallonischen Gesetzbuches über den Tierschutz</w:t>
      </w:r>
      <w:r w:rsidR="00C77021" w:rsidRPr="009118AB">
        <w:t xml:space="preserve">] </w:t>
      </w:r>
      <w:r w:rsidRPr="009118AB">
        <w:t>vorgesehene Zulassung erhalten haben und die die vom König auf Vorschlag des Ministers der Finanzen festgelegten Bedingungen erfüllen, oder an ähnliche Vereinigungen eines anderen Mitgliedstaates des Europäischen Wirtschaftsraums, die auf vergleichbare Weise zugelassen sind,</w:t>
      </w:r>
    </w:p>
    <w:p w14:paraId="7844E496" w14:textId="77777777" w:rsidR="00542363" w:rsidRPr="009118AB" w:rsidRDefault="00542363" w:rsidP="00542363">
      <w:pPr>
        <w:jc w:val="both"/>
      </w:pPr>
    </w:p>
    <w:p w14:paraId="06024B67" w14:textId="770D6CAB" w:rsidR="00542363" w:rsidRPr="009118AB" w:rsidRDefault="00542363" w:rsidP="00542363">
      <w:pPr>
        <w:ind w:firstLine="708"/>
        <w:jc w:val="both"/>
      </w:pPr>
      <w:r w:rsidRPr="009118AB">
        <w:rPr>
          <w:i/>
        </w:rPr>
        <w:t>l)</w:t>
      </w:r>
      <w:r w:rsidRPr="009118AB">
        <w:t xml:space="preserve"> an Einrichtungen, die im Bereich der nachhaltigen Entwicklung im Sinne des Gesetzes vom 5. Mai 1997 über die Koordinierung der föderalen Politik der nachhaltigen Entwicklung tätig sind und als solche </w:t>
      </w:r>
      <w:r w:rsidR="00A74ECF" w:rsidRPr="009118AB">
        <w:t>[</w:t>
      </w:r>
      <w:r w:rsidR="00A74ECF" w:rsidRPr="009118AB">
        <w:rPr>
          <w:rFonts w:eastAsia="Calibri"/>
          <w:lang w:eastAsia="en-US"/>
        </w:rPr>
        <w:t xml:space="preserve">vom Minister der Finanzen oder von seinem </w:t>
      </w:r>
      <w:r w:rsidR="00A74ECF" w:rsidRPr="009118AB">
        <w:rPr>
          <w:rFonts w:eastAsia="Calibri"/>
          <w:lang w:eastAsia="en-US"/>
        </w:rPr>
        <w:lastRenderedPageBreak/>
        <w:t xml:space="preserve">Beauftragten] </w:t>
      </w:r>
      <w:r w:rsidRPr="009118AB">
        <w:t>und von dem für nachhaltige Entwicklung zuständigen Minister zugelassen sind, oder an ähnliche Einrichtungen eines anderen Mitgliedstaates des Europäischen Wirtschaftsraums, die auf vergleichbare Weise zugelassen sind,</w:t>
      </w:r>
    </w:p>
    <w:p w14:paraId="21135A1A" w14:textId="77777777" w:rsidR="00542363" w:rsidRPr="009118AB" w:rsidRDefault="00542363" w:rsidP="00542363">
      <w:pPr>
        <w:jc w:val="both"/>
      </w:pPr>
    </w:p>
    <w:p w14:paraId="7E746D4F" w14:textId="52BA04AB" w:rsidR="00542363" w:rsidRPr="009118AB" w:rsidRDefault="00542363" w:rsidP="00542363">
      <w:pPr>
        <w:ind w:firstLine="708"/>
        <w:jc w:val="both"/>
      </w:pPr>
      <w:r w:rsidRPr="009118AB">
        <w:t xml:space="preserve">2. unentgeltliche Geldzuwendungen an Einrichtungen, die Entwicklungsländern Hilfe leisten und als solche </w:t>
      </w:r>
      <w:r w:rsidR="00A74ECF" w:rsidRPr="009118AB">
        <w:t>[</w:t>
      </w:r>
      <w:r w:rsidR="00A74ECF" w:rsidRPr="009118AB">
        <w:rPr>
          <w:rFonts w:eastAsia="Calibri"/>
          <w:lang w:eastAsia="en-US"/>
        </w:rPr>
        <w:t xml:space="preserve">vom Minister der Finanzen oder von seinem Beauftragten] </w:t>
      </w:r>
      <w:r w:rsidRPr="009118AB">
        <w:t>und von dem für Entwicklungs</w:t>
      </w:r>
      <w:r w:rsidRPr="009118AB">
        <w:softHyphen/>
        <w:t>zusammenarbeit zuständigen Minister zugelassen sind, oder an ähnliche Einrichtungen eines anderen Mitgliedstaates des Europäischen Wirtschaftsraums, die auf vergleichbare Weise zugelassen sind,</w:t>
      </w:r>
    </w:p>
    <w:p w14:paraId="5392760B" w14:textId="77777777" w:rsidR="00542363" w:rsidRPr="009118AB" w:rsidRDefault="00542363" w:rsidP="00542363">
      <w:pPr>
        <w:jc w:val="both"/>
      </w:pPr>
    </w:p>
    <w:p w14:paraId="34C77810" w14:textId="5D0BCBFB" w:rsidR="00542363" w:rsidRPr="009118AB" w:rsidRDefault="00542363" w:rsidP="00542363">
      <w:pPr>
        <w:ind w:firstLine="708"/>
        <w:jc w:val="both"/>
      </w:pPr>
      <w:r w:rsidRPr="009118AB">
        <w:t xml:space="preserve">3. unentgeltliche Geldzuwendungen an Vereinigungen und Einrichtungen, die Opfern schwerer Industrieunfälle Hilfe leisten und als solche </w:t>
      </w:r>
      <w:r w:rsidR="00A74ECF" w:rsidRPr="009118AB">
        <w:t>[</w:t>
      </w:r>
      <w:r w:rsidR="00A74ECF" w:rsidRPr="009118AB">
        <w:rPr>
          <w:rFonts w:eastAsia="Calibri"/>
          <w:lang w:eastAsia="en-US"/>
        </w:rPr>
        <w:t xml:space="preserve">vom Minister der Finanzen oder von seinem Beauftragten] </w:t>
      </w:r>
      <w:r w:rsidRPr="009118AB">
        <w:t>und vom Minister der Auswärtigen Angelegenheiten zugelassen sind, oder an ähnliche Vereinigungen und Einrichtungen eines anderen Mitgliedstaates des Europäischen Wirtschaftsraums, die auf vergleichbare Weise zugelassen sind,</w:t>
      </w:r>
    </w:p>
    <w:p w14:paraId="6355BF26" w14:textId="77777777" w:rsidR="00542363" w:rsidRPr="009118AB" w:rsidRDefault="00542363" w:rsidP="00542363">
      <w:pPr>
        <w:jc w:val="both"/>
      </w:pPr>
    </w:p>
    <w:p w14:paraId="6B92FDA1" w14:textId="77777777" w:rsidR="00542363" w:rsidRPr="009118AB" w:rsidRDefault="00542363" w:rsidP="00542363">
      <w:pPr>
        <w:ind w:firstLine="708"/>
        <w:jc w:val="both"/>
      </w:pPr>
      <w:r w:rsidRPr="009118AB">
        <w:t>4. unentgeltliche Zuwendungen an Staatsmuseen und unentgeltliche Zuwendungen an die Gemeinschaften, Regionen, Provinzen, Gemeinden und öffentlichen Sozialhilfezentren, unter der Bedingung, dass sie ihren Museen bereitgestellt werden</w:t>
      </w:r>
    </w:p>
    <w:p w14:paraId="0118E7C1" w14:textId="77777777" w:rsidR="00542363" w:rsidRPr="009118AB" w:rsidRDefault="00542363" w:rsidP="00542363">
      <w:pPr>
        <w:jc w:val="both"/>
      </w:pPr>
    </w:p>
    <w:p w14:paraId="337F77B5" w14:textId="77777777" w:rsidR="00542363" w:rsidRPr="009118AB" w:rsidRDefault="00542363" w:rsidP="00542363">
      <w:pPr>
        <w:ind w:firstLine="708"/>
        <w:jc w:val="both"/>
      </w:pPr>
      <w:r w:rsidRPr="009118AB">
        <w:rPr>
          <w:i/>
        </w:rPr>
        <w:t>a)</w:t>
      </w:r>
      <w:r w:rsidRPr="009118AB">
        <w:t> entweder in der Form von Geldzuwendungen</w:t>
      </w:r>
    </w:p>
    <w:p w14:paraId="3C20351F" w14:textId="77777777" w:rsidR="00542363" w:rsidRPr="009118AB" w:rsidRDefault="00542363" w:rsidP="00542363">
      <w:pPr>
        <w:jc w:val="both"/>
      </w:pPr>
    </w:p>
    <w:p w14:paraId="3AA2A77D" w14:textId="023347D9" w:rsidR="00542363" w:rsidRPr="009118AB" w:rsidRDefault="00542363" w:rsidP="00542363">
      <w:pPr>
        <w:ind w:firstLine="708"/>
        <w:jc w:val="both"/>
      </w:pPr>
      <w:r w:rsidRPr="009118AB">
        <w:rPr>
          <w:i/>
        </w:rPr>
        <w:t>b)</w:t>
      </w:r>
      <w:r w:rsidRPr="009118AB">
        <w:t xml:space="preserve"> oder in der Form von Kunstgegenständen, für die der Minister der Finanzen gemäß </w:t>
      </w:r>
      <w:r w:rsidR="00D67EB8" w:rsidRPr="009118AB">
        <w:t>§ </w:t>
      </w:r>
      <w:r w:rsidRPr="009118AB">
        <w:t>4 die Anerkennung erteilt, dass sie zum beweglichen Kulturerbe des Landes gehören oder internationales Ansehen genießen.</w:t>
      </w:r>
    </w:p>
    <w:p w14:paraId="0D0031A4" w14:textId="77777777" w:rsidR="00542363" w:rsidRPr="009118AB" w:rsidRDefault="00542363" w:rsidP="00542363">
      <w:pPr>
        <w:jc w:val="both"/>
      </w:pPr>
    </w:p>
    <w:p w14:paraId="5B7D2224" w14:textId="41A1EA84" w:rsidR="00542363" w:rsidRPr="009118AB" w:rsidRDefault="004E4766" w:rsidP="00542363">
      <w:pPr>
        <w:ind w:firstLine="708"/>
        <w:jc w:val="both"/>
      </w:pPr>
      <w:r>
        <w:t>[</w:t>
      </w:r>
      <w:r w:rsidRPr="009541B3">
        <w:t>Die Steuerermäßigung für die in Absatz 1 erwähnten unentgeltlichen Zuwendungen wird gewährt unter der Bedingung, dass sie mindestens 25 EUR betragen und durch eine Bescheinigung nachgewiesen werden, die die in Absatz 1 Nr. 1 bis 4 erwähnten Stellen dem Steuerpflichtigen ausstellen müssen, der die unentgeltlichen Zuwendungen gemacht hat.</w:t>
      </w:r>
      <w:r>
        <w:t>]</w:t>
      </w:r>
    </w:p>
    <w:p w14:paraId="6A939671" w14:textId="77777777" w:rsidR="00542363" w:rsidRPr="009118AB" w:rsidRDefault="00542363" w:rsidP="00542363">
      <w:pPr>
        <w:jc w:val="both"/>
      </w:pPr>
    </w:p>
    <w:p w14:paraId="3AFF6550" w14:textId="77777777" w:rsidR="00542363" w:rsidRPr="009118AB" w:rsidRDefault="00542363" w:rsidP="00542363">
      <w:pPr>
        <w:ind w:firstLine="708"/>
        <w:jc w:val="both"/>
      </w:pPr>
      <w:r w:rsidRPr="009118AB">
        <w:t>Die Steuerermäßigung beträgt 45 Prozent der tatsächlich gemachten unentgeltlichen Zuwendungen.</w:t>
      </w:r>
    </w:p>
    <w:p w14:paraId="72DE75FE" w14:textId="77777777" w:rsidR="00542363" w:rsidRPr="009118AB" w:rsidRDefault="00542363" w:rsidP="00542363">
      <w:pPr>
        <w:jc w:val="both"/>
      </w:pPr>
    </w:p>
    <w:p w14:paraId="5B61797F" w14:textId="77777777" w:rsidR="00542363" w:rsidRPr="009118AB" w:rsidRDefault="00542363" w:rsidP="00542363">
      <w:pPr>
        <w:ind w:firstLine="708"/>
        <w:jc w:val="both"/>
      </w:pPr>
      <w:r w:rsidRPr="009118AB">
        <w:t>Der Gesamtbetrag unentgeltlicher Zuwendungen, für den die Steuerermäßigung gewährt wird, darf pro Besteuerungszeitraum weder 10 Prozent der Gesamtheit der Netto</w:t>
      </w:r>
      <w:r w:rsidRPr="009118AB">
        <w:softHyphen/>
        <w:t xml:space="preserve">einkünfte </w:t>
      </w:r>
      <w:r w:rsidR="005D2C56" w:rsidRPr="009118AB">
        <w:t>[</w:t>
      </w:r>
      <w:r w:rsidR="009D3AF6" w:rsidRPr="009118AB">
        <w:t xml:space="preserve">ausschließlich der </w:t>
      </w:r>
      <w:r w:rsidR="008234DF" w:rsidRPr="009118AB">
        <w:t>[gemäß Artikel 171]</w:t>
      </w:r>
      <w:r w:rsidR="009D3AF6" w:rsidRPr="009118AB">
        <w:t xml:space="preserve"> besteuerten Einkünfte] </w:t>
      </w:r>
      <w:r w:rsidRPr="009118AB">
        <w:t>noch 250.000 EUR übersteigen.</w:t>
      </w:r>
    </w:p>
    <w:p w14:paraId="457EF074" w14:textId="77777777" w:rsidR="00542363" w:rsidRPr="009118AB" w:rsidRDefault="00542363" w:rsidP="00542363">
      <w:pPr>
        <w:jc w:val="both"/>
      </w:pPr>
    </w:p>
    <w:p w14:paraId="31DB5A86" w14:textId="77777777" w:rsidR="00542363" w:rsidRPr="009118AB" w:rsidRDefault="009D3AF6" w:rsidP="00542363">
      <w:pPr>
        <w:ind w:firstLine="708"/>
        <w:jc w:val="both"/>
      </w:pPr>
      <w:r w:rsidRPr="009118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472C8BFD" w14:textId="77777777" w:rsidR="00542363" w:rsidRPr="009118AB" w:rsidRDefault="00542363" w:rsidP="00542363">
      <w:pPr>
        <w:jc w:val="both"/>
      </w:pPr>
    </w:p>
    <w:p w14:paraId="1303436D" w14:textId="5B89B5E9" w:rsidR="00542363" w:rsidRPr="009118AB" w:rsidRDefault="00D67EB8" w:rsidP="00542363">
      <w:pPr>
        <w:ind w:firstLine="708"/>
        <w:jc w:val="both"/>
      </w:pPr>
      <w:r w:rsidRPr="009118AB">
        <w:t>§ </w:t>
      </w:r>
      <w:r w:rsidR="00542363" w:rsidRPr="009118AB">
        <w:t>2</w:t>
      </w:r>
      <w:r w:rsidRPr="009118AB">
        <w:t> - </w:t>
      </w:r>
      <w:r w:rsidR="00542363" w:rsidRPr="009118AB">
        <w:t>Der König legt die Verpflichtungen und Formalitäten fest, die die Beschenkten erfüllen müssen, damit die Steuerermäßigung auf die unentgeltlichen Zuwendungen anwendbar ist.</w:t>
      </w:r>
    </w:p>
    <w:p w14:paraId="7F3E7041" w14:textId="77777777" w:rsidR="00542363" w:rsidRPr="009118AB" w:rsidRDefault="00542363" w:rsidP="00542363">
      <w:pPr>
        <w:jc w:val="both"/>
      </w:pPr>
    </w:p>
    <w:p w14:paraId="19656EA4" w14:textId="149F816B" w:rsidR="00542363" w:rsidRPr="009118AB" w:rsidRDefault="00C4172B" w:rsidP="00542363">
      <w:pPr>
        <w:ind w:firstLine="708"/>
        <w:jc w:val="both"/>
      </w:pPr>
      <w:r>
        <w:t>[</w:t>
      </w:r>
      <w:r w:rsidRPr="009541B3">
        <w:t xml:space="preserve">In Abweichung von § 1 Absatz 2 müssen in § 1 Absatz 1 Nr. 1 bis 3 erwähnte unentgeltliche Zuwendungen an Vereinigungen oder Einrichtungen eines anderen </w:t>
      </w:r>
      <w:r w:rsidRPr="009541B3">
        <w:lastRenderedPageBreak/>
        <w:t>Mitgliedstaates des Europäischen Wirtschaftsraums nicht durch eine Bescheinigung nachgewiesen werden. Die Steuerpflichtigen müssen jedoch den Nachweis zur Verfügung der Verwaltung halten, dass die unentgeltliche Zuwendung tatsächlich gezahlt wurde und dass die Vereinigung oder Einrichtung eines anderen Mitgliedstaates einer in demselben Artikel erwähnten belgischen Vereinigung oder Einrichtung ähnlich ist und gegebenenfalls dass die Vereinigung oder Einrichtung eines anderen Mitgliedstaates auf vergleichbare Weise zugelassen ist, das heißt gemäß denselben Bedingungen wie den in § 3 Absatz 1 und 2 erwähnten Bedingungen.</w:t>
      </w:r>
      <w:r>
        <w:t>]</w:t>
      </w:r>
    </w:p>
    <w:p w14:paraId="63525B53" w14:textId="77777777" w:rsidR="00542363" w:rsidRPr="009118AB" w:rsidRDefault="00542363" w:rsidP="00542363">
      <w:pPr>
        <w:jc w:val="both"/>
      </w:pPr>
    </w:p>
    <w:p w14:paraId="69865F82" w14:textId="2AD84F1D" w:rsidR="00542363" w:rsidRPr="009118AB" w:rsidRDefault="00D67EB8" w:rsidP="00542363">
      <w:pPr>
        <w:ind w:firstLine="708"/>
        <w:jc w:val="both"/>
      </w:pPr>
      <w:r w:rsidRPr="009118AB">
        <w:t>§ </w:t>
      </w:r>
      <w:r w:rsidR="00542363" w:rsidRPr="009118AB">
        <w:t>3</w:t>
      </w:r>
      <w:r w:rsidRPr="009118AB">
        <w:t> - </w:t>
      </w:r>
      <w:r w:rsidR="00542363" w:rsidRPr="009118AB">
        <w:t xml:space="preserve">Der König legt die Bedingungen und die Weise fest, wie in </w:t>
      </w:r>
      <w:r w:rsidRPr="009118AB">
        <w:t>§ </w:t>
      </w:r>
      <w:r w:rsidR="00542363" w:rsidRPr="009118AB">
        <w:t xml:space="preserve">1 Absatz 1 </w:t>
      </w:r>
      <w:r w:rsidRPr="009118AB">
        <w:t>Nr. </w:t>
      </w:r>
      <w:r w:rsidR="00542363" w:rsidRPr="009118AB">
        <w:t>1 Buchstabe </w:t>
      </w:r>
      <w:r w:rsidR="00542363" w:rsidRPr="009118AB">
        <w:rPr>
          <w:i/>
        </w:rPr>
        <w:t>b)</w:t>
      </w:r>
      <w:r w:rsidR="00542363" w:rsidRPr="009118AB">
        <w:t xml:space="preserve">, </w:t>
      </w:r>
      <w:r w:rsidR="00542363" w:rsidRPr="009118AB">
        <w:rPr>
          <w:i/>
        </w:rPr>
        <w:t>d)</w:t>
      </w:r>
      <w:r w:rsidR="00542363" w:rsidRPr="009118AB">
        <w:t xml:space="preserve">, </w:t>
      </w:r>
      <w:r w:rsidR="00542363" w:rsidRPr="009118AB">
        <w:rPr>
          <w:i/>
        </w:rPr>
        <w:t>e)</w:t>
      </w:r>
      <w:r w:rsidR="00542363" w:rsidRPr="009118AB">
        <w:t xml:space="preserve">, </w:t>
      </w:r>
      <w:r w:rsidR="00542363" w:rsidRPr="009118AB">
        <w:rPr>
          <w:i/>
        </w:rPr>
        <w:t>g)</w:t>
      </w:r>
      <w:r w:rsidR="00542363" w:rsidRPr="009118AB">
        <w:t xml:space="preserve">, </w:t>
      </w:r>
      <w:r w:rsidR="00542363" w:rsidRPr="009118AB">
        <w:rPr>
          <w:i/>
        </w:rPr>
        <w:t>i)</w:t>
      </w:r>
      <w:r w:rsidR="00542363" w:rsidRPr="009118AB">
        <w:t xml:space="preserve"> bis </w:t>
      </w:r>
      <w:r w:rsidR="00542363" w:rsidRPr="009118AB">
        <w:rPr>
          <w:i/>
        </w:rPr>
        <w:t>l)</w:t>
      </w:r>
      <w:r w:rsidR="00542363" w:rsidRPr="009118AB">
        <w:t xml:space="preserve">, </w:t>
      </w:r>
      <w:r w:rsidRPr="009118AB">
        <w:t>Nr. </w:t>
      </w:r>
      <w:r w:rsidR="00542363" w:rsidRPr="009118AB">
        <w:t xml:space="preserve">2 und </w:t>
      </w:r>
      <w:r w:rsidRPr="009118AB">
        <w:t>Nr. </w:t>
      </w:r>
      <w:r w:rsidR="00542363" w:rsidRPr="009118AB">
        <w:t>3 erwähnte Vereinigungen und Einrichtungen, die in Belgien ansässig sind, zugelassen werden.</w:t>
      </w:r>
    </w:p>
    <w:p w14:paraId="630AEEB1" w14:textId="77777777" w:rsidR="00542363" w:rsidRPr="009118AB" w:rsidRDefault="00542363" w:rsidP="00542363">
      <w:pPr>
        <w:jc w:val="both"/>
      </w:pPr>
    </w:p>
    <w:p w14:paraId="3573EECB" w14:textId="77777777" w:rsidR="00542363" w:rsidRPr="009118AB" w:rsidRDefault="00542363" w:rsidP="00542363">
      <w:pPr>
        <w:ind w:firstLine="708"/>
        <w:jc w:val="both"/>
      </w:pPr>
      <w:r w:rsidRPr="009118AB">
        <w:t>Übt eine Vereinigung oder Einrichtung mehr als eine der in vorerwähnten Bestimmungen erwähnten Tätigkeiten aus, muss sie die Bedingungen für jede dieser Tätigkeiten erfüllen, um zugelassen werden zu können.</w:t>
      </w:r>
    </w:p>
    <w:p w14:paraId="3B9CAA34" w14:textId="77777777" w:rsidR="00542363" w:rsidRPr="009118AB" w:rsidRDefault="00542363" w:rsidP="00542363">
      <w:pPr>
        <w:jc w:val="both"/>
      </w:pPr>
    </w:p>
    <w:p w14:paraId="043A592C" w14:textId="2B369673" w:rsidR="00542363" w:rsidRPr="009118AB" w:rsidRDefault="00542363" w:rsidP="00542363">
      <w:pPr>
        <w:ind w:firstLine="708"/>
        <w:jc w:val="both"/>
      </w:pPr>
      <w:r w:rsidRPr="009118AB">
        <w:t xml:space="preserve">Übt eine Vereinigung oder Einrichtung unter ihren Tätigkeiten eine in </w:t>
      </w:r>
      <w:r w:rsidR="00D67EB8" w:rsidRPr="009118AB">
        <w:t>§ </w:t>
      </w:r>
      <w:r w:rsidRPr="009118AB">
        <w:t xml:space="preserve">1 Absatz 1 </w:t>
      </w:r>
      <w:r w:rsidR="00D67EB8" w:rsidRPr="009118AB">
        <w:t>Nr. </w:t>
      </w:r>
      <w:r w:rsidRPr="009118AB">
        <w:t>1 Buchstabe </w:t>
      </w:r>
      <w:r w:rsidRPr="009118AB">
        <w:rPr>
          <w:i/>
        </w:rPr>
        <w:t>d)</w:t>
      </w:r>
      <w:r w:rsidRPr="009118AB">
        <w:t xml:space="preserve"> oder </w:t>
      </w:r>
      <w:r w:rsidRPr="009118AB">
        <w:rPr>
          <w:i/>
        </w:rPr>
        <w:t>j)</w:t>
      </w:r>
      <w:r w:rsidRPr="009118AB">
        <w:t xml:space="preserve"> erwähnte Tätigkeit aus, muss sie </w:t>
      </w:r>
      <w:r w:rsidR="00A74ECF" w:rsidRPr="009118AB">
        <w:t>[</w:t>
      </w:r>
      <w:r w:rsidR="00A74ECF" w:rsidRPr="009118AB">
        <w:rPr>
          <w:rFonts w:eastAsia="Calibri"/>
          <w:lang w:eastAsia="en-US"/>
        </w:rPr>
        <w:t xml:space="preserve">vom Minister der Finanzen oder von seinem Beauftragten] </w:t>
      </w:r>
      <w:r w:rsidRPr="009118AB">
        <w:t>zugelassen werden.</w:t>
      </w:r>
    </w:p>
    <w:p w14:paraId="4D7B9D03" w14:textId="77777777" w:rsidR="00542363" w:rsidRPr="009118AB" w:rsidRDefault="00542363" w:rsidP="00542363">
      <w:pPr>
        <w:jc w:val="both"/>
      </w:pPr>
    </w:p>
    <w:p w14:paraId="1A43667E" w14:textId="40AB16B1" w:rsidR="00542363" w:rsidRPr="009118AB" w:rsidRDefault="00D67EB8" w:rsidP="00542363">
      <w:pPr>
        <w:ind w:firstLine="708"/>
        <w:jc w:val="both"/>
      </w:pPr>
      <w:r w:rsidRPr="009118AB">
        <w:t>§ </w:t>
      </w:r>
      <w:r w:rsidR="00542363" w:rsidRPr="009118AB">
        <w:t>4</w:t>
      </w:r>
      <w:r w:rsidRPr="009118AB">
        <w:t> - </w:t>
      </w:r>
      <w:r w:rsidR="00542363" w:rsidRPr="009118AB">
        <w:t xml:space="preserve">Der Minister der Finanzen erteilt die Anerkennung, dass in </w:t>
      </w:r>
      <w:r w:rsidRPr="009118AB">
        <w:t>§ </w:t>
      </w:r>
      <w:r w:rsidR="00542363" w:rsidRPr="009118AB">
        <w:t xml:space="preserve">1 Absatz 1 </w:t>
      </w:r>
      <w:r w:rsidRPr="009118AB">
        <w:t>Nr. </w:t>
      </w:r>
      <w:r w:rsidR="00542363" w:rsidRPr="009118AB">
        <w:t>4 Buchstabe </w:t>
      </w:r>
      <w:r w:rsidR="00542363" w:rsidRPr="009118AB">
        <w:rPr>
          <w:i/>
        </w:rPr>
        <w:t>b)</w:t>
      </w:r>
      <w:r w:rsidR="00542363" w:rsidRPr="009118AB">
        <w:t xml:space="preserve"> erwähnte Kunstgegenstände zum beweglichen Kulturerbe des Landes gehören oder internationales Ansehen genießen, und legt ihren Geldwert fest. Die Steuerermäßigung wird nach Verhältnis des auf diese Weise festgelegten Geldwertes gewährt.</w:t>
      </w:r>
    </w:p>
    <w:p w14:paraId="26BFA08E" w14:textId="77777777" w:rsidR="00542363" w:rsidRPr="009118AB" w:rsidRDefault="00542363" w:rsidP="00542363">
      <w:pPr>
        <w:jc w:val="both"/>
      </w:pPr>
    </w:p>
    <w:p w14:paraId="207F2494" w14:textId="77777777" w:rsidR="00542363" w:rsidRPr="009118AB" w:rsidRDefault="00542363" w:rsidP="00542363">
      <w:pPr>
        <w:ind w:firstLine="708"/>
        <w:jc w:val="both"/>
      </w:pPr>
      <w:r w:rsidRPr="009118AB">
        <w:t xml:space="preserve">Die in Artikel 83-4 des Erbschaftssteuergesetzbuches erwähnte Sonderkommission erteilt dem Minister der Finanzen ein bindendes Gutachten über: </w:t>
      </w:r>
    </w:p>
    <w:p w14:paraId="48AB160F" w14:textId="77777777" w:rsidR="00542363" w:rsidRPr="009118AB" w:rsidRDefault="00542363" w:rsidP="00542363">
      <w:pPr>
        <w:jc w:val="both"/>
      </w:pPr>
    </w:p>
    <w:p w14:paraId="667A248C" w14:textId="77777777" w:rsidR="00542363" w:rsidRPr="009118AB" w:rsidRDefault="00542363" w:rsidP="00542363">
      <w:pPr>
        <w:ind w:firstLine="708"/>
        <w:jc w:val="both"/>
      </w:pPr>
      <w:r w:rsidRPr="009118AB">
        <w:t>1. die Frage, ob angebotene Kunstgegenstände zum beweglichen Kulturerbe des Landes gehören oder internationales Ansehen genießen,</w:t>
      </w:r>
    </w:p>
    <w:p w14:paraId="76D90CA9" w14:textId="77777777" w:rsidR="00542363" w:rsidRPr="009118AB" w:rsidRDefault="00542363" w:rsidP="00542363">
      <w:pPr>
        <w:jc w:val="both"/>
      </w:pPr>
    </w:p>
    <w:p w14:paraId="7FC7AE9F" w14:textId="77777777" w:rsidR="00542363" w:rsidRPr="009118AB" w:rsidRDefault="00542363" w:rsidP="00542363">
      <w:pPr>
        <w:ind w:firstLine="708"/>
        <w:jc w:val="both"/>
      </w:pPr>
      <w:r w:rsidRPr="009118AB">
        <w:t>2. die Zulässigkeit der Schenkung,</w:t>
      </w:r>
    </w:p>
    <w:p w14:paraId="2A82F416" w14:textId="77777777" w:rsidR="00542363" w:rsidRPr="009118AB" w:rsidRDefault="00542363" w:rsidP="00542363">
      <w:pPr>
        <w:jc w:val="both"/>
      </w:pPr>
    </w:p>
    <w:p w14:paraId="7CDAC03D" w14:textId="77777777" w:rsidR="00542363" w:rsidRPr="009118AB" w:rsidRDefault="00542363" w:rsidP="00542363">
      <w:pPr>
        <w:ind w:firstLine="708"/>
        <w:jc w:val="both"/>
      </w:pPr>
      <w:r w:rsidRPr="009118AB">
        <w:t>3. den Geldwert des angebotenen Kunstgegenstands.</w:t>
      </w:r>
    </w:p>
    <w:p w14:paraId="6F0DD29A" w14:textId="77777777" w:rsidR="00542363" w:rsidRPr="009118AB" w:rsidRDefault="00542363" w:rsidP="00542363">
      <w:pPr>
        <w:jc w:val="both"/>
      </w:pPr>
    </w:p>
    <w:p w14:paraId="00555443" w14:textId="77777777" w:rsidR="00542363" w:rsidRPr="009118AB" w:rsidRDefault="00542363" w:rsidP="00542363">
      <w:pPr>
        <w:ind w:firstLine="708"/>
        <w:jc w:val="both"/>
      </w:pPr>
      <w:r w:rsidRPr="009118AB">
        <w:t>Die Kosten der Schätzung werden vom Steuerpflichtigen vorgestreckt.</w:t>
      </w:r>
    </w:p>
    <w:p w14:paraId="648E3A9F" w14:textId="77777777" w:rsidR="00542363" w:rsidRPr="009118AB" w:rsidRDefault="00542363" w:rsidP="00542363">
      <w:pPr>
        <w:jc w:val="both"/>
      </w:pPr>
    </w:p>
    <w:p w14:paraId="3F6BCD04" w14:textId="77777777" w:rsidR="00542363" w:rsidRPr="009118AB" w:rsidRDefault="00542363" w:rsidP="00542363">
      <w:pPr>
        <w:ind w:firstLine="708"/>
        <w:jc w:val="both"/>
      </w:pPr>
      <w:r w:rsidRPr="009118AB">
        <w:t>Die in Absatz 1 erwähnte Anerkennung durch den Minister der Finanzen und der dort erwähnte festgelegte Geldwert gelten für einen Zeitraum von sechs Monaten ab der Notifizierung dieser Anerkennung und dieses Geldwertes durch Einschreibebrief an den Steuerpflichtigen.</w:t>
      </w:r>
    </w:p>
    <w:p w14:paraId="25A4DFDB" w14:textId="77777777" w:rsidR="00542363" w:rsidRPr="009118AB" w:rsidRDefault="00542363" w:rsidP="00542363">
      <w:pPr>
        <w:jc w:val="both"/>
      </w:pPr>
    </w:p>
    <w:p w14:paraId="412CA063" w14:textId="77777777" w:rsidR="00542363" w:rsidRPr="009118AB" w:rsidRDefault="00542363" w:rsidP="00542363">
      <w:pPr>
        <w:ind w:firstLine="708"/>
        <w:jc w:val="both"/>
      </w:pPr>
      <w:r w:rsidRPr="009118AB">
        <w:t>Die Kosten der Schätzung des Kunstgegenstands werden dem Steuerpflichtigen erstattet, sobald er den Nachweis erbracht hat, dass die Schenkung innerhalb der im vorhergehenden Absatz angegebenen Frist erfolgt ist.</w:t>
      </w:r>
    </w:p>
    <w:p w14:paraId="6811C8E9" w14:textId="77777777" w:rsidR="00542363" w:rsidRPr="009118AB" w:rsidRDefault="00542363" w:rsidP="00542363">
      <w:pPr>
        <w:jc w:val="both"/>
      </w:pPr>
    </w:p>
    <w:p w14:paraId="0D556F69" w14:textId="54E33F1D" w:rsidR="00542363" w:rsidRPr="009118AB" w:rsidRDefault="00542363" w:rsidP="00542363">
      <w:pPr>
        <w:jc w:val="both"/>
      </w:pPr>
      <w:r w:rsidRPr="009118AB">
        <w:tab/>
        <w:t>Der König legt die Modalitäten der Vorstreckung und Erstattung der Schätzungskosten fest.]</w:t>
      </w:r>
    </w:p>
    <w:p w14:paraId="2CF9196C" w14:textId="6B510E90" w:rsidR="00A74ECF" w:rsidRPr="009118AB" w:rsidRDefault="00A74ECF" w:rsidP="00542363">
      <w:pPr>
        <w:jc w:val="both"/>
      </w:pPr>
    </w:p>
    <w:p w14:paraId="1FA88B59" w14:textId="4F18A96C" w:rsidR="00A74ECF" w:rsidRPr="009118AB" w:rsidRDefault="00A74ECF" w:rsidP="00542363">
      <w:pPr>
        <w:jc w:val="both"/>
      </w:pPr>
      <w:r w:rsidRPr="009118AB">
        <w:lastRenderedPageBreak/>
        <w:tab/>
        <w:t>[</w:t>
      </w:r>
      <w:r w:rsidR="00D67EB8" w:rsidRPr="009118AB">
        <w:rPr>
          <w:rFonts w:eastAsia="Calibri"/>
          <w:lang w:eastAsia="en-US"/>
        </w:rPr>
        <w:t>§ </w:t>
      </w:r>
      <w:r w:rsidRPr="009118AB">
        <w:rPr>
          <w:rFonts w:eastAsia="Calibri"/>
          <w:lang w:eastAsia="en-US"/>
        </w:rPr>
        <w:t>5</w:t>
      </w:r>
      <w:r w:rsidR="00D67EB8" w:rsidRPr="009118AB">
        <w:rPr>
          <w:rFonts w:eastAsia="Calibri"/>
          <w:lang w:eastAsia="en-US"/>
        </w:rPr>
        <w:t> - </w:t>
      </w:r>
      <w:r w:rsidRPr="009118AB">
        <w:rPr>
          <w:rFonts w:eastAsia="Calibri"/>
          <w:lang w:eastAsia="en-US"/>
        </w:rPr>
        <w:t>Der vom Minister der Finanzen bestimmte Beauftragte erstattet diesem Minister im Rahmen der Beauftragung jedes Jahr Bericht über die im vorhergehenden Jahr zugelassenen Einrichtungen.</w:t>
      </w:r>
      <w:r w:rsidRPr="009118AB">
        <w:t>]</w:t>
      </w:r>
    </w:p>
    <w:p w14:paraId="219FBDAD" w14:textId="77777777" w:rsidR="00542363" w:rsidRPr="009118AB" w:rsidRDefault="00542363" w:rsidP="00542363">
      <w:pPr>
        <w:jc w:val="both"/>
      </w:pPr>
    </w:p>
    <w:p w14:paraId="083C67F9" w14:textId="2B3D57A3" w:rsidR="003B08AD" w:rsidRPr="009118AB" w:rsidRDefault="00542363" w:rsidP="00542363">
      <w:pPr>
        <w:jc w:val="both"/>
        <w:rPr>
          <w:rFonts w:ascii="Times New Roman Italique" w:hAnsi="Times New Roman Italique"/>
          <w:i/>
          <w:iCs/>
          <w:spacing w:val="-2"/>
        </w:rPr>
      </w:pPr>
      <w:r w:rsidRPr="009118AB">
        <w:rPr>
          <w:i/>
        </w:rPr>
        <w:t>[</w:t>
      </w:r>
      <w:r w:rsidR="00D67EB8" w:rsidRPr="009118AB">
        <w:rPr>
          <w:i/>
        </w:rPr>
        <w:t>Art. </w:t>
      </w:r>
      <w:r w:rsidRPr="009118AB">
        <w:rPr>
          <w:i/>
        </w:rPr>
        <w:t>145</w:t>
      </w:r>
      <w:r w:rsidRPr="009118AB">
        <w:rPr>
          <w:i/>
          <w:vertAlign w:val="superscript"/>
        </w:rPr>
        <w:t>33</w:t>
      </w:r>
      <w:r w:rsidRPr="009118AB">
        <w:rPr>
          <w:i/>
        </w:rPr>
        <w:t xml:space="preserve"> eingefügt durch </w:t>
      </w:r>
      <w:r w:rsidR="00D67EB8" w:rsidRPr="009118AB">
        <w:rPr>
          <w:i/>
        </w:rPr>
        <w:t>Art. </w:t>
      </w:r>
      <w:r w:rsidRPr="009118AB">
        <w:rPr>
          <w:i/>
        </w:rPr>
        <w:t>25</w:t>
      </w:r>
      <w:r w:rsidR="003B08AD" w:rsidRPr="009118AB">
        <w:rPr>
          <w:i/>
          <w:iCs/>
        </w:rPr>
        <w:t xml:space="preserve"> des G. vom 13. Dezember 2012 (B.S. vom 20. Dezember 2012)</w:t>
      </w:r>
      <w:r w:rsidR="00D67EB8" w:rsidRPr="009118AB">
        <w:rPr>
          <w:i/>
          <w:iCs/>
        </w:rPr>
        <w:t> - </w:t>
      </w:r>
      <w:r w:rsidR="003B08AD" w:rsidRPr="009118AB">
        <w:rPr>
          <w:i/>
          <w:iCs/>
        </w:rPr>
        <w:t>in Kraft ab dem Steuerjahr 2013</w:t>
      </w:r>
      <w:r w:rsidR="003366D9" w:rsidRPr="009118AB">
        <w:rPr>
          <w:i/>
          <w:iCs/>
        </w:rPr>
        <w:t> -;</w:t>
      </w:r>
      <w:r w:rsidR="009827FE" w:rsidRPr="009118AB">
        <w:rPr>
          <w:i/>
          <w:iCs/>
        </w:rPr>
        <w:t xml:space="preserve"> </w:t>
      </w:r>
      <w:r w:rsidR="00D67EB8" w:rsidRPr="009118AB">
        <w:rPr>
          <w:i/>
          <w:iCs/>
        </w:rPr>
        <w:t>§ </w:t>
      </w:r>
      <w:r w:rsidR="00B3148A" w:rsidRPr="009118AB">
        <w:rPr>
          <w:i/>
          <w:iCs/>
        </w:rPr>
        <w:t xml:space="preserve">1 </w:t>
      </w:r>
      <w:r w:rsidR="00D67EB8" w:rsidRPr="009118AB">
        <w:rPr>
          <w:i/>
          <w:iCs/>
        </w:rPr>
        <w:t>Abs. </w:t>
      </w:r>
      <w:r w:rsidR="00B3148A" w:rsidRPr="009118AB">
        <w:rPr>
          <w:i/>
          <w:iCs/>
        </w:rPr>
        <w:t xml:space="preserve">1 </w:t>
      </w:r>
      <w:r w:rsidR="00D67EB8" w:rsidRPr="009118AB">
        <w:rPr>
          <w:i/>
          <w:iCs/>
        </w:rPr>
        <w:t>Nr. </w:t>
      </w:r>
      <w:r w:rsidR="00B3148A" w:rsidRPr="009118AB">
        <w:rPr>
          <w:i/>
          <w:iCs/>
        </w:rPr>
        <w:t>1 einziger Absatz </w:t>
      </w:r>
      <w:r w:rsidR="007928E5" w:rsidRPr="009118AB">
        <w:rPr>
          <w:i/>
          <w:iCs/>
        </w:rPr>
        <w:t xml:space="preserve">Buchstabe a) abgeändert durch </w:t>
      </w:r>
      <w:r w:rsidR="00D67EB8" w:rsidRPr="009118AB">
        <w:rPr>
          <w:i/>
          <w:iCs/>
        </w:rPr>
        <w:t>Art. </w:t>
      </w:r>
      <w:r w:rsidR="007928E5" w:rsidRPr="009118AB">
        <w:rPr>
          <w:i/>
          <w:iCs/>
        </w:rPr>
        <w:t>2 des G. vom 10. Juli 2016 (B.S. vom 22. Juli 2016)</w:t>
      </w:r>
      <w:r w:rsidR="00D67EB8" w:rsidRPr="009118AB">
        <w:rPr>
          <w:i/>
          <w:iCs/>
        </w:rPr>
        <w:t> - </w:t>
      </w:r>
      <w:r w:rsidR="002B0B9D" w:rsidRPr="009118AB">
        <w:rPr>
          <w:i/>
          <w:iCs/>
        </w:rPr>
        <w:t>anwendbar ab dem Steuerjahr 2016</w:t>
      </w:r>
      <w:r w:rsidR="00FD68E8" w:rsidRPr="009118AB">
        <w:rPr>
          <w:i/>
          <w:iCs/>
        </w:rPr>
        <w:t> -,</w:t>
      </w:r>
      <w:r w:rsidR="00467314" w:rsidRPr="009118AB">
        <w:rPr>
          <w:i/>
          <w:iCs/>
        </w:rPr>
        <w:t xml:space="preserve"> </w:t>
      </w:r>
      <w:r w:rsidR="00D67EB8" w:rsidRPr="009118AB">
        <w:rPr>
          <w:i/>
          <w:iCs/>
        </w:rPr>
        <w:t>Art. </w:t>
      </w:r>
      <w:r w:rsidR="00467314" w:rsidRPr="009118AB">
        <w:rPr>
          <w:i/>
          <w:iCs/>
        </w:rPr>
        <w:t>2 des G. vom 4. Mai 2018 (B.S. vom 16. Mai 2018)</w:t>
      </w:r>
      <w:r w:rsidR="00D67EB8" w:rsidRPr="009118AB">
        <w:rPr>
          <w:i/>
          <w:iCs/>
        </w:rPr>
        <w:t> - </w:t>
      </w:r>
      <w:r w:rsidR="005D0B8D" w:rsidRPr="009118AB">
        <w:rPr>
          <w:i/>
          <w:iCs/>
        </w:rPr>
        <w:t>wirksam ab dem Steuerjahr 2018</w:t>
      </w:r>
      <w:r w:rsidR="00D67EB8" w:rsidRPr="009118AB">
        <w:rPr>
          <w:i/>
          <w:iCs/>
        </w:rPr>
        <w:t> - </w:t>
      </w:r>
      <w:r w:rsidR="00A74ECF" w:rsidRPr="009118AB">
        <w:rPr>
          <w:i/>
          <w:iCs/>
        </w:rPr>
        <w:t xml:space="preserve">und </w:t>
      </w:r>
      <w:r w:rsidR="00D67EB8" w:rsidRPr="009118AB">
        <w:rPr>
          <w:i/>
          <w:iCs/>
        </w:rPr>
        <w:t>Art. </w:t>
      </w:r>
      <w:r w:rsidR="00A74ECF" w:rsidRPr="009118AB">
        <w:rPr>
          <w:i/>
          <w:iCs/>
        </w:rPr>
        <w:t>17 des G. vom 2. Mai 2019 (IV) (B.S. vom 15. Mai 2019)</w:t>
      </w:r>
      <w:r w:rsidR="007928E5" w:rsidRPr="009118AB">
        <w:rPr>
          <w:i/>
          <w:iCs/>
        </w:rPr>
        <w:t xml:space="preserve">; </w:t>
      </w:r>
      <w:r w:rsidR="00D67EB8" w:rsidRPr="009118AB">
        <w:rPr>
          <w:i/>
          <w:iCs/>
        </w:rPr>
        <w:t>§ </w:t>
      </w:r>
      <w:r w:rsidR="00A74ECF" w:rsidRPr="009118AB">
        <w:rPr>
          <w:i/>
          <w:iCs/>
        </w:rPr>
        <w:t xml:space="preserve">1 </w:t>
      </w:r>
      <w:r w:rsidR="00D67EB8" w:rsidRPr="009118AB">
        <w:rPr>
          <w:i/>
          <w:iCs/>
        </w:rPr>
        <w:t>Abs. </w:t>
      </w:r>
      <w:r w:rsidR="00A74ECF" w:rsidRPr="009118AB">
        <w:rPr>
          <w:i/>
          <w:iCs/>
        </w:rPr>
        <w:t xml:space="preserve">1 </w:t>
      </w:r>
      <w:r w:rsidR="00D67EB8" w:rsidRPr="009118AB">
        <w:rPr>
          <w:i/>
          <w:iCs/>
        </w:rPr>
        <w:t>Nr. </w:t>
      </w:r>
      <w:r w:rsidR="00A74ECF" w:rsidRPr="009118AB">
        <w:rPr>
          <w:i/>
          <w:iCs/>
        </w:rPr>
        <w:t xml:space="preserve">1 einziger Absatz Buchstabe b) abgeändert durch </w:t>
      </w:r>
      <w:r w:rsidR="00D67EB8" w:rsidRPr="009118AB">
        <w:rPr>
          <w:i/>
          <w:iCs/>
        </w:rPr>
        <w:t>Art. </w:t>
      </w:r>
      <w:r w:rsidR="00A74ECF" w:rsidRPr="009118AB">
        <w:rPr>
          <w:i/>
          <w:iCs/>
        </w:rPr>
        <w:t xml:space="preserve">18 </w:t>
      </w:r>
      <w:r w:rsidR="00D67EB8" w:rsidRPr="009118AB">
        <w:rPr>
          <w:i/>
          <w:iCs/>
        </w:rPr>
        <w:t>Nr. </w:t>
      </w:r>
      <w:r w:rsidR="00A74ECF" w:rsidRPr="009118AB">
        <w:rPr>
          <w:i/>
          <w:iCs/>
        </w:rPr>
        <w:t xml:space="preserve">1 des G. vom 2. Mai 2019 (IV) (B.S. vom 15. Mai 2019); </w:t>
      </w:r>
      <w:r w:rsidR="00D67EB8" w:rsidRPr="009118AB">
        <w:rPr>
          <w:i/>
          <w:iCs/>
        </w:rPr>
        <w:t>§ </w:t>
      </w:r>
      <w:r w:rsidR="00C77021" w:rsidRPr="009118AB">
        <w:rPr>
          <w:i/>
          <w:iCs/>
        </w:rPr>
        <w:t xml:space="preserve">1 </w:t>
      </w:r>
      <w:r w:rsidR="00D67EB8" w:rsidRPr="009118AB">
        <w:rPr>
          <w:i/>
          <w:iCs/>
        </w:rPr>
        <w:t>Abs. </w:t>
      </w:r>
      <w:r w:rsidR="00C77021" w:rsidRPr="009118AB">
        <w:rPr>
          <w:i/>
          <w:iCs/>
        </w:rPr>
        <w:t xml:space="preserve">1 </w:t>
      </w:r>
      <w:r w:rsidR="00D67EB8" w:rsidRPr="009118AB">
        <w:rPr>
          <w:i/>
          <w:iCs/>
        </w:rPr>
        <w:t>Nr. </w:t>
      </w:r>
      <w:r w:rsidR="00C77021" w:rsidRPr="009118AB">
        <w:rPr>
          <w:i/>
          <w:iCs/>
        </w:rPr>
        <w:t xml:space="preserve">1 einziger Absatz Buchstabe c) abgeändert durch </w:t>
      </w:r>
      <w:r w:rsidR="00D67EB8" w:rsidRPr="009118AB">
        <w:rPr>
          <w:i/>
          <w:iCs/>
        </w:rPr>
        <w:t>Art. </w:t>
      </w:r>
      <w:r w:rsidR="00C77021" w:rsidRPr="009118AB">
        <w:rPr>
          <w:i/>
          <w:iCs/>
        </w:rPr>
        <w:t xml:space="preserve">36 </w:t>
      </w:r>
      <w:r w:rsidR="00D67EB8" w:rsidRPr="009118AB">
        <w:rPr>
          <w:i/>
          <w:iCs/>
        </w:rPr>
        <w:t>Nr. </w:t>
      </w:r>
      <w:r w:rsidR="00C77021" w:rsidRPr="009118AB">
        <w:rPr>
          <w:i/>
          <w:iCs/>
        </w:rPr>
        <w:t>1 des G. vom 21. Januar 2022 (B.S. vom 28. Januar 2022)</w:t>
      </w:r>
      <w:r w:rsidR="00D67EB8" w:rsidRPr="009118AB">
        <w:rPr>
          <w:i/>
          <w:iCs/>
        </w:rPr>
        <w:t> - </w:t>
      </w:r>
      <w:r w:rsidR="00C77021" w:rsidRPr="009118AB">
        <w:rPr>
          <w:i/>
          <w:iCs/>
          <w:lang w:eastAsia="fr-BE"/>
        </w:rPr>
        <w:t>anwendbar</w:t>
      </w:r>
      <w:r w:rsidR="00C77021" w:rsidRPr="009118AB">
        <w:rPr>
          <w:i/>
          <w:iCs/>
        </w:rPr>
        <w:t> </w:t>
      </w:r>
      <w:r w:rsidR="00C77021" w:rsidRPr="009118AB">
        <w:rPr>
          <w:i/>
          <w:iCs/>
          <w:lang w:eastAsia="fr-BE"/>
        </w:rPr>
        <w:t>auf die ab dem 1. Januar 2022 gemachten unentgeltlichen Zuwendungen</w:t>
      </w:r>
      <w:r w:rsidR="003366D9" w:rsidRPr="009118AB">
        <w:rPr>
          <w:i/>
          <w:iCs/>
          <w:lang w:eastAsia="fr-BE"/>
        </w:rPr>
        <w:t> -;</w:t>
      </w:r>
      <w:r w:rsidR="00C77021" w:rsidRPr="009118AB">
        <w:rPr>
          <w:i/>
          <w:iCs/>
        </w:rPr>
        <w:t xml:space="preserve"> </w:t>
      </w:r>
      <w:r w:rsidR="00D67EB8" w:rsidRPr="009118AB">
        <w:rPr>
          <w:i/>
          <w:iCs/>
        </w:rPr>
        <w:t>§ </w:t>
      </w:r>
      <w:r w:rsidR="00A74ECF" w:rsidRPr="009118AB">
        <w:rPr>
          <w:i/>
          <w:iCs/>
        </w:rPr>
        <w:t xml:space="preserve">1 </w:t>
      </w:r>
      <w:r w:rsidR="00D67EB8" w:rsidRPr="009118AB">
        <w:rPr>
          <w:i/>
          <w:iCs/>
        </w:rPr>
        <w:t>Abs. </w:t>
      </w:r>
      <w:r w:rsidR="00A74ECF" w:rsidRPr="009118AB">
        <w:rPr>
          <w:i/>
          <w:iCs/>
        </w:rPr>
        <w:t xml:space="preserve">1 </w:t>
      </w:r>
      <w:r w:rsidR="00D67EB8" w:rsidRPr="009118AB">
        <w:rPr>
          <w:i/>
          <w:iCs/>
        </w:rPr>
        <w:t>Nr. </w:t>
      </w:r>
      <w:r w:rsidR="00A74ECF" w:rsidRPr="009118AB">
        <w:rPr>
          <w:i/>
          <w:iCs/>
        </w:rPr>
        <w:t xml:space="preserve">1 einziger Absatz Buchstabe d) abgeändert durch </w:t>
      </w:r>
      <w:r w:rsidR="00D67EB8" w:rsidRPr="009118AB">
        <w:rPr>
          <w:i/>
          <w:iCs/>
        </w:rPr>
        <w:t>Art. </w:t>
      </w:r>
      <w:r w:rsidR="00A74ECF" w:rsidRPr="009118AB">
        <w:rPr>
          <w:i/>
          <w:iCs/>
        </w:rPr>
        <w:t xml:space="preserve">18 </w:t>
      </w:r>
      <w:r w:rsidR="00D67EB8" w:rsidRPr="009118AB">
        <w:rPr>
          <w:i/>
          <w:iCs/>
        </w:rPr>
        <w:t>Nr. </w:t>
      </w:r>
      <w:r w:rsidR="0099625C" w:rsidRPr="009118AB">
        <w:rPr>
          <w:i/>
          <w:iCs/>
        </w:rPr>
        <w:t>2</w:t>
      </w:r>
      <w:r w:rsidR="00A74ECF" w:rsidRPr="009118AB">
        <w:rPr>
          <w:i/>
          <w:iCs/>
        </w:rPr>
        <w:t xml:space="preserve"> des G. vom 2. Mai 2019 (IV) (B.S. vom 15. Mai 2019); </w:t>
      </w:r>
      <w:r w:rsidR="00D67EB8" w:rsidRPr="009118AB">
        <w:rPr>
          <w:i/>
          <w:iCs/>
        </w:rPr>
        <w:t>§ </w:t>
      </w:r>
      <w:r w:rsidR="00A74ECF" w:rsidRPr="009118AB">
        <w:rPr>
          <w:i/>
          <w:iCs/>
        </w:rPr>
        <w:t xml:space="preserve">1 </w:t>
      </w:r>
      <w:r w:rsidR="00D67EB8" w:rsidRPr="009118AB">
        <w:rPr>
          <w:i/>
          <w:iCs/>
        </w:rPr>
        <w:t>Abs. </w:t>
      </w:r>
      <w:r w:rsidR="00A74ECF" w:rsidRPr="009118AB">
        <w:rPr>
          <w:i/>
          <w:iCs/>
        </w:rPr>
        <w:t xml:space="preserve">1 </w:t>
      </w:r>
      <w:r w:rsidR="00D67EB8" w:rsidRPr="009118AB">
        <w:rPr>
          <w:i/>
          <w:iCs/>
        </w:rPr>
        <w:t>Nr. </w:t>
      </w:r>
      <w:r w:rsidR="00A74ECF" w:rsidRPr="009118AB">
        <w:rPr>
          <w:i/>
          <w:iCs/>
        </w:rPr>
        <w:t xml:space="preserve">1 einziger Absatz Buchstabe e) abgeändert durch </w:t>
      </w:r>
      <w:r w:rsidR="00D67EB8" w:rsidRPr="009118AB">
        <w:rPr>
          <w:i/>
          <w:iCs/>
        </w:rPr>
        <w:t>Art. </w:t>
      </w:r>
      <w:r w:rsidR="00A74ECF" w:rsidRPr="009118AB">
        <w:rPr>
          <w:i/>
          <w:iCs/>
        </w:rPr>
        <w:t xml:space="preserve">18 </w:t>
      </w:r>
      <w:r w:rsidR="00D67EB8" w:rsidRPr="009118AB">
        <w:rPr>
          <w:i/>
          <w:iCs/>
        </w:rPr>
        <w:t>Nr. </w:t>
      </w:r>
      <w:r w:rsidR="00A74ECF" w:rsidRPr="009118AB">
        <w:rPr>
          <w:i/>
          <w:iCs/>
        </w:rPr>
        <w:t xml:space="preserve">3 des G. vom 2. Mai 2019 (IV) (B.S. vom 15. Mai 2019); </w:t>
      </w:r>
      <w:r w:rsidR="00D67EB8" w:rsidRPr="009118AB">
        <w:rPr>
          <w:i/>
          <w:iCs/>
        </w:rPr>
        <w:t>§ </w:t>
      </w:r>
      <w:r w:rsidR="009827FE" w:rsidRPr="009118AB">
        <w:rPr>
          <w:i/>
          <w:iCs/>
        </w:rPr>
        <w:t xml:space="preserve">1 </w:t>
      </w:r>
      <w:r w:rsidR="00D67EB8" w:rsidRPr="009118AB">
        <w:rPr>
          <w:i/>
          <w:iCs/>
        </w:rPr>
        <w:t>Abs. </w:t>
      </w:r>
      <w:r w:rsidR="009827FE" w:rsidRPr="009118AB">
        <w:rPr>
          <w:i/>
          <w:iCs/>
        </w:rPr>
        <w:t xml:space="preserve">1 </w:t>
      </w:r>
      <w:r w:rsidR="00D67EB8" w:rsidRPr="009118AB">
        <w:rPr>
          <w:i/>
          <w:iCs/>
        </w:rPr>
        <w:t>Nr. </w:t>
      </w:r>
      <w:r w:rsidR="009827FE" w:rsidRPr="009118AB">
        <w:rPr>
          <w:i/>
          <w:iCs/>
        </w:rPr>
        <w:t xml:space="preserve">1 einziger Absatz Buchstabe f) ersetzt durch </w:t>
      </w:r>
      <w:r w:rsidR="00D67EB8" w:rsidRPr="009118AB">
        <w:rPr>
          <w:i/>
          <w:iCs/>
        </w:rPr>
        <w:t>Art. </w:t>
      </w:r>
      <w:r w:rsidR="00B17C7E" w:rsidRPr="009118AB">
        <w:rPr>
          <w:i/>
          <w:iCs/>
        </w:rPr>
        <w:t>5 des G. vom 21. Dezember 2013 </w:t>
      </w:r>
      <w:r w:rsidR="00BC39CF" w:rsidRPr="009118AB">
        <w:rPr>
          <w:i/>
          <w:iCs/>
        </w:rPr>
        <w:t xml:space="preserve">(II) (B.S. vom </w:t>
      </w:r>
      <w:r w:rsidR="00D7685A" w:rsidRPr="009118AB">
        <w:rPr>
          <w:i/>
          <w:iCs/>
        </w:rPr>
        <w:t>31. Dezember </w:t>
      </w:r>
      <w:r w:rsidR="00BC39CF" w:rsidRPr="009118AB">
        <w:rPr>
          <w:i/>
          <w:iCs/>
        </w:rPr>
        <w:t>2013)</w:t>
      </w:r>
      <w:r w:rsidR="00D67EB8" w:rsidRPr="009118AB">
        <w:rPr>
          <w:i/>
          <w:iCs/>
        </w:rPr>
        <w:t> - </w:t>
      </w:r>
      <w:r w:rsidR="0083079A" w:rsidRPr="009118AB">
        <w:rPr>
          <w:i/>
          <w:iCs/>
        </w:rPr>
        <w:t>anwendbar auf die ab dem 1. Januar 2014 gemachten unentgeltlichen Zuwendungen</w:t>
      </w:r>
      <w:r w:rsidR="003366D9" w:rsidRPr="009118AB">
        <w:rPr>
          <w:i/>
          <w:iCs/>
        </w:rPr>
        <w:t> -;</w:t>
      </w:r>
      <w:r w:rsidR="009D3AF6" w:rsidRPr="009118AB">
        <w:rPr>
          <w:i/>
          <w:iCs/>
        </w:rPr>
        <w:t xml:space="preserve"> </w:t>
      </w:r>
      <w:r w:rsidR="00D67EB8" w:rsidRPr="009118AB">
        <w:rPr>
          <w:i/>
          <w:iCs/>
        </w:rPr>
        <w:t>§ </w:t>
      </w:r>
      <w:r w:rsidR="00A74ECF" w:rsidRPr="009118AB">
        <w:rPr>
          <w:i/>
          <w:iCs/>
        </w:rPr>
        <w:t xml:space="preserve">1 </w:t>
      </w:r>
      <w:r w:rsidR="00D67EB8" w:rsidRPr="009118AB">
        <w:rPr>
          <w:i/>
          <w:iCs/>
        </w:rPr>
        <w:t>Abs. </w:t>
      </w:r>
      <w:r w:rsidR="00A74ECF" w:rsidRPr="009118AB">
        <w:rPr>
          <w:i/>
          <w:iCs/>
        </w:rPr>
        <w:t xml:space="preserve">1 </w:t>
      </w:r>
      <w:r w:rsidR="00D67EB8" w:rsidRPr="009118AB">
        <w:rPr>
          <w:i/>
          <w:iCs/>
        </w:rPr>
        <w:t>Nr. </w:t>
      </w:r>
      <w:r w:rsidR="00A74ECF" w:rsidRPr="009118AB">
        <w:rPr>
          <w:i/>
          <w:iCs/>
        </w:rPr>
        <w:t xml:space="preserve">1 einziger Absatz Buchstabe g) abgeändert durch </w:t>
      </w:r>
      <w:r w:rsidR="00D67EB8" w:rsidRPr="009118AB">
        <w:rPr>
          <w:i/>
          <w:iCs/>
        </w:rPr>
        <w:t>Art. </w:t>
      </w:r>
      <w:r w:rsidR="00A74ECF" w:rsidRPr="009118AB">
        <w:rPr>
          <w:i/>
          <w:iCs/>
        </w:rPr>
        <w:t xml:space="preserve">18 </w:t>
      </w:r>
      <w:r w:rsidR="00D67EB8" w:rsidRPr="009118AB">
        <w:rPr>
          <w:i/>
          <w:iCs/>
        </w:rPr>
        <w:t>Nr. </w:t>
      </w:r>
      <w:r w:rsidR="00A74ECF" w:rsidRPr="009118AB">
        <w:rPr>
          <w:i/>
          <w:iCs/>
        </w:rPr>
        <w:t>4 des G. vom 2. Mai 2019 (IV) (B.S. vom 15. Mai 2019)</w:t>
      </w:r>
      <w:r w:rsidR="00FF2115" w:rsidRPr="009118AB">
        <w:rPr>
          <w:i/>
          <w:iCs/>
        </w:rPr>
        <w:t xml:space="preserve"> und </w:t>
      </w:r>
      <w:r w:rsidR="00D67EB8" w:rsidRPr="009118AB">
        <w:rPr>
          <w:i/>
          <w:iCs/>
        </w:rPr>
        <w:t>Art. </w:t>
      </w:r>
      <w:r w:rsidR="00FF2115" w:rsidRPr="009118AB">
        <w:rPr>
          <w:i/>
          <w:iCs/>
        </w:rPr>
        <w:t xml:space="preserve">36 </w:t>
      </w:r>
      <w:r w:rsidR="00D67EB8" w:rsidRPr="009118AB">
        <w:rPr>
          <w:i/>
          <w:iCs/>
        </w:rPr>
        <w:t>Nr. </w:t>
      </w:r>
      <w:r w:rsidR="00FF2115" w:rsidRPr="009118AB">
        <w:rPr>
          <w:i/>
          <w:iCs/>
        </w:rPr>
        <w:t>2 des G. vom 21. Januar 2022 (B.S. vom 28. Januar 2022)</w:t>
      </w:r>
      <w:r w:rsidR="00A74ECF" w:rsidRPr="009118AB">
        <w:rPr>
          <w:i/>
          <w:iCs/>
        </w:rPr>
        <w:t xml:space="preserve">; </w:t>
      </w:r>
      <w:r w:rsidR="00D67EB8" w:rsidRPr="009118AB">
        <w:rPr>
          <w:i/>
          <w:iCs/>
        </w:rPr>
        <w:t>§ </w:t>
      </w:r>
      <w:r w:rsidR="00A74ECF" w:rsidRPr="009118AB">
        <w:rPr>
          <w:i/>
          <w:iCs/>
        </w:rPr>
        <w:t xml:space="preserve">1 </w:t>
      </w:r>
      <w:r w:rsidR="00D67EB8" w:rsidRPr="009118AB">
        <w:rPr>
          <w:i/>
          <w:iCs/>
        </w:rPr>
        <w:t>Abs. </w:t>
      </w:r>
      <w:r w:rsidR="00A74ECF" w:rsidRPr="009118AB">
        <w:rPr>
          <w:i/>
          <w:iCs/>
        </w:rPr>
        <w:t xml:space="preserve">1 </w:t>
      </w:r>
      <w:r w:rsidR="00D67EB8" w:rsidRPr="009118AB">
        <w:rPr>
          <w:i/>
          <w:iCs/>
        </w:rPr>
        <w:t>Nr. </w:t>
      </w:r>
      <w:r w:rsidR="00A74ECF" w:rsidRPr="009118AB">
        <w:rPr>
          <w:i/>
          <w:iCs/>
        </w:rPr>
        <w:t xml:space="preserve">1 einziger Absatz Buchstabe i) abgeändert durch </w:t>
      </w:r>
      <w:r w:rsidR="00D67EB8" w:rsidRPr="009118AB">
        <w:rPr>
          <w:i/>
          <w:iCs/>
        </w:rPr>
        <w:t>Art. </w:t>
      </w:r>
      <w:r w:rsidR="00A74ECF" w:rsidRPr="009118AB">
        <w:rPr>
          <w:i/>
          <w:iCs/>
        </w:rPr>
        <w:t xml:space="preserve">18 </w:t>
      </w:r>
      <w:r w:rsidR="00D67EB8" w:rsidRPr="009118AB">
        <w:rPr>
          <w:i/>
          <w:iCs/>
        </w:rPr>
        <w:t>Nr. </w:t>
      </w:r>
      <w:r w:rsidR="00A74ECF" w:rsidRPr="009118AB">
        <w:rPr>
          <w:i/>
          <w:iCs/>
        </w:rPr>
        <w:t xml:space="preserve">5 des G. vom 2. Mai 2019 (IV) (B.S. vom 15. Mai 2019); </w:t>
      </w:r>
      <w:r w:rsidR="00D67EB8" w:rsidRPr="009118AB">
        <w:rPr>
          <w:i/>
          <w:iCs/>
        </w:rPr>
        <w:t>§ </w:t>
      </w:r>
      <w:r w:rsidR="0099625C" w:rsidRPr="009118AB">
        <w:rPr>
          <w:i/>
          <w:iCs/>
        </w:rPr>
        <w:t xml:space="preserve">1 </w:t>
      </w:r>
      <w:r w:rsidR="00D67EB8" w:rsidRPr="009118AB">
        <w:rPr>
          <w:i/>
          <w:iCs/>
        </w:rPr>
        <w:t>Abs. </w:t>
      </w:r>
      <w:r w:rsidR="0099625C" w:rsidRPr="009118AB">
        <w:rPr>
          <w:i/>
          <w:iCs/>
        </w:rPr>
        <w:t xml:space="preserve">1 </w:t>
      </w:r>
      <w:r w:rsidR="00D67EB8" w:rsidRPr="009118AB">
        <w:rPr>
          <w:i/>
          <w:iCs/>
        </w:rPr>
        <w:t>Nr. </w:t>
      </w:r>
      <w:r w:rsidR="005064AE" w:rsidRPr="009118AB">
        <w:rPr>
          <w:i/>
          <w:iCs/>
        </w:rPr>
        <w:t>1 einzige</w:t>
      </w:r>
      <w:r w:rsidR="0099625C" w:rsidRPr="009118AB">
        <w:rPr>
          <w:i/>
          <w:iCs/>
        </w:rPr>
        <w:t>r Absatz Buchstabe </w:t>
      </w:r>
      <w:r w:rsidR="005064AE" w:rsidRPr="009118AB">
        <w:rPr>
          <w:i/>
          <w:iCs/>
        </w:rPr>
        <w:t>j</w:t>
      </w:r>
      <w:r w:rsidR="0099625C" w:rsidRPr="009118AB">
        <w:rPr>
          <w:i/>
          <w:iCs/>
        </w:rPr>
        <w:t xml:space="preserve">) abgeändert durch </w:t>
      </w:r>
      <w:r w:rsidR="00D67EB8" w:rsidRPr="009118AB">
        <w:rPr>
          <w:i/>
          <w:iCs/>
        </w:rPr>
        <w:t>Art. </w:t>
      </w:r>
      <w:r w:rsidR="0099625C" w:rsidRPr="009118AB">
        <w:rPr>
          <w:i/>
          <w:iCs/>
        </w:rPr>
        <w:t xml:space="preserve">18 </w:t>
      </w:r>
      <w:r w:rsidR="00D67EB8" w:rsidRPr="009118AB">
        <w:rPr>
          <w:i/>
          <w:iCs/>
        </w:rPr>
        <w:t>Nr. </w:t>
      </w:r>
      <w:r w:rsidR="005064AE" w:rsidRPr="009118AB">
        <w:rPr>
          <w:i/>
          <w:iCs/>
        </w:rPr>
        <w:t>6</w:t>
      </w:r>
      <w:r w:rsidR="0099625C" w:rsidRPr="009118AB">
        <w:rPr>
          <w:i/>
          <w:iCs/>
        </w:rPr>
        <w:t xml:space="preserve"> des G. vom 2. Mai 2019 (IV) (B.S. vom 15. Mai </w:t>
      </w:r>
      <w:r w:rsidR="005064AE" w:rsidRPr="009118AB">
        <w:rPr>
          <w:i/>
          <w:iCs/>
        </w:rPr>
        <w:t xml:space="preserve">2019); </w:t>
      </w:r>
      <w:r w:rsidR="00D67EB8" w:rsidRPr="009118AB">
        <w:rPr>
          <w:i/>
          <w:iCs/>
        </w:rPr>
        <w:t>§ </w:t>
      </w:r>
      <w:r w:rsidR="00FF2115" w:rsidRPr="009118AB">
        <w:rPr>
          <w:i/>
          <w:iCs/>
        </w:rPr>
        <w:t xml:space="preserve">1 </w:t>
      </w:r>
      <w:r w:rsidR="00D67EB8" w:rsidRPr="009118AB">
        <w:rPr>
          <w:i/>
          <w:iCs/>
        </w:rPr>
        <w:t>Abs. </w:t>
      </w:r>
      <w:r w:rsidR="00FF2115" w:rsidRPr="009118AB">
        <w:rPr>
          <w:i/>
          <w:iCs/>
        </w:rPr>
        <w:t xml:space="preserve">1 </w:t>
      </w:r>
      <w:r w:rsidR="00D67EB8" w:rsidRPr="009118AB">
        <w:rPr>
          <w:i/>
          <w:iCs/>
        </w:rPr>
        <w:t>Nr. </w:t>
      </w:r>
      <w:r w:rsidR="00FF2115" w:rsidRPr="009118AB">
        <w:rPr>
          <w:i/>
          <w:iCs/>
        </w:rPr>
        <w:t xml:space="preserve">1 einziger Absatz Buchstabe k) abgeändert durch </w:t>
      </w:r>
      <w:r w:rsidR="00D67EB8" w:rsidRPr="009118AB">
        <w:rPr>
          <w:i/>
          <w:iCs/>
        </w:rPr>
        <w:t>Art. </w:t>
      </w:r>
      <w:r w:rsidR="00FF2115" w:rsidRPr="009118AB">
        <w:rPr>
          <w:i/>
          <w:iCs/>
        </w:rPr>
        <w:t xml:space="preserve">36 </w:t>
      </w:r>
      <w:r w:rsidR="00D67EB8" w:rsidRPr="009118AB">
        <w:rPr>
          <w:i/>
          <w:iCs/>
        </w:rPr>
        <w:t>Nr. </w:t>
      </w:r>
      <w:r w:rsidR="00FF2115" w:rsidRPr="009118AB">
        <w:rPr>
          <w:i/>
          <w:iCs/>
        </w:rPr>
        <w:t>3 des G. vom 21. Januar 2022 (B.S. vom 28. Januar 2022</w:t>
      </w:r>
      <w:r w:rsidR="002B3614" w:rsidRPr="009118AB">
        <w:rPr>
          <w:i/>
          <w:iCs/>
        </w:rPr>
        <w:t>, Err. vom 7. März 2022</w:t>
      </w:r>
      <w:r w:rsidR="00FF2115" w:rsidRPr="009118AB">
        <w:rPr>
          <w:i/>
          <w:iCs/>
        </w:rPr>
        <w:t>)</w:t>
      </w:r>
      <w:r w:rsidR="00D67EB8" w:rsidRPr="009118AB">
        <w:rPr>
          <w:i/>
          <w:iCs/>
        </w:rPr>
        <w:t> - </w:t>
      </w:r>
      <w:r w:rsidR="002B3614" w:rsidRPr="009118AB">
        <w:rPr>
          <w:i/>
          <w:iCs/>
          <w:lang w:eastAsia="fr-BE"/>
        </w:rPr>
        <w:t>wirksam mit 1. Januar 2019</w:t>
      </w:r>
      <w:r w:rsidR="003366D9" w:rsidRPr="009118AB">
        <w:rPr>
          <w:i/>
          <w:iCs/>
          <w:lang w:eastAsia="fr-BE"/>
        </w:rPr>
        <w:t> -;</w:t>
      </w:r>
      <w:r w:rsidR="00FF2115" w:rsidRPr="009118AB">
        <w:rPr>
          <w:i/>
          <w:iCs/>
        </w:rPr>
        <w:t xml:space="preserve"> </w:t>
      </w:r>
      <w:r w:rsidR="00D67EB8" w:rsidRPr="009118AB">
        <w:rPr>
          <w:i/>
          <w:iCs/>
        </w:rPr>
        <w:t>§ </w:t>
      </w:r>
      <w:r w:rsidR="005064AE" w:rsidRPr="009118AB">
        <w:rPr>
          <w:i/>
          <w:iCs/>
        </w:rPr>
        <w:t xml:space="preserve">1 </w:t>
      </w:r>
      <w:r w:rsidR="00D67EB8" w:rsidRPr="009118AB">
        <w:rPr>
          <w:i/>
          <w:iCs/>
        </w:rPr>
        <w:t>Abs. </w:t>
      </w:r>
      <w:r w:rsidR="005064AE" w:rsidRPr="009118AB">
        <w:rPr>
          <w:i/>
          <w:iCs/>
        </w:rPr>
        <w:t xml:space="preserve">1 </w:t>
      </w:r>
      <w:r w:rsidR="00D67EB8" w:rsidRPr="009118AB">
        <w:rPr>
          <w:i/>
          <w:iCs/>
        </w:rPr>
        <w:t>Nr. </w:t>
      </w:r>
      <w:r w:rsidR="005064AE" w:rsidRPr="009118AB">
        <w:rPr>
          <w:i/>
          <w:iCs/>
        </w:rPr>
        <w:t xml:space="preserve">1 einziger Absatz Buchstabe l) abgeändert durch </w:t>
      </w:r>
      <w:r w:rsidR="00D67EB8" w:rsidRPr="009118AB">
        <w:rPr>
          <w:i/>
          <w:iCs/>
        </w:rPr>
        <w:t>Art. </w:t>
      </w:r>
      <w:r w:rsidR="005064AE" w:rsidRPr="009118AB">
        <w:rPr>
          <w:i/>
          <w:iCs/>
        </w:rPr>
        <w:t xml:space="preserve">18 </w:t>
      </w:r>
      <w:r w:rsidR="00D67EB8" w:rsidRPr="009118AB">
        <w:rPr>
          <w:i/>
          <w:iCs/>
        </w:rPr>
        <w:t>Nr. </w:t>
      </w:r>
      <w:r w:rsidR="005064AE" w:rsidRPr="009118AB">
        <w:rPr>
          <w:i/>
          <w:iCs/>
        </w:rPr>
        <w:t xml:space="preserve">7 des G. vom 2. Mai 2019 (IV) (B.S. vom 15. Mai 2019); </w:t>
      </w:r>
      <w:r w:rsidR="00D67EB8" w:rsidRPr="009118AB">
        <w:rPr>
          <w:i/>
          <w:iCs/>
        </w:rPr>
        <w:t>§ </w:t>
      </w:r>
      <w:r w:rsidR="0099625C" w:rsidRPr="009118AB">
        <w:rPr>
          <w:i/>
          <w:iCs/>
        </w:rPr>
        <w:t xml:space="preserve">1 </w:t>
      </w:r>
      <w:r w:rsidR="00D67EB8" w:rsidRPr="009118AB">
        <w:rPr>
          <w:i/>
          <w:iCs/>
        </w:rPr>
        <w:t>Abs. </w:t>
      </w:r>
      <w:r w:rsidR="0099625C" w:rsidRPr="009118AB">
        <w:rPr>
          <w:i/>
          <w:iCs/>
        </w:rPr>
        <w:t xml:space="preserve">1 </w:t>
      </w:r>
      <w:r w:rsidR="00D67EB8" w:rsidRPr="009118AB">
        <w:rPr>
          <w:i/>
          <w:iCs/>
        </w:rPr>
        <w:t>Nr. </w:t>
      </w:r>
      <w:r w:rsidR="005064AE" w:rsidRPr="009118AB">
        <w:rPr>
          <w:i/>
          <w:iCs/>
        </w:rPr>
        <w:t xml:space="preserve">2 </w:t>
      </w:r>
      <w:r w:rsidR="0099625C" w:rsidRPr="009118AB">
        <w:rPr>
          <w:i/>
          <w:iCs/>
        </w:rPr>
        <w:t xml:space="preserve">abgeändert durch </w:t>
      </w:r>
      <w:r w:rsidR="00D67EB8" w:rsidRPr="009118AB">
        <w:rPr>
          <w:i/>
          <w:iCs/>
        </w:rPr>
        <w:t>Art. </w:t>
      </w:r>
      <w:r w:rsidR="0099625C" w:rsidRPr="009118AB">
        <w:rPr>
          <w:i/>
          <w:iCs/>
        </w:rPr>
        <w:t xml:space="preserve">18 </w:t>
      </w:r>
      <w:r w:rsidR="00D67EB8" w:rsidRPr="009118AB">
        <w:rPr>
          <w:i/>
          <w:iCs/>
        </w:rPr>
        <w:t>Nr. </w:t>
      </w:r>
      <w:r w:rsidR="005064AE" w:rsidRPr="009118AB">
        <w:rPr>
          <w:i/>
          <w:iCs/>
        </w:rPr>
        <w:t>8</w:t>
      </w:r>
      <w:r w:rsidR="0099625C" w:rsidRPr="009118AB">
        <w:rPr>
          <w:i/>
          <w:iCs/>
        </w:rPr>
        <w:t xml:space="preserve"> des G. vom 2. Mai 2019 (IV) (B.S. vom 15. Mai </w:t>
      </w:r>
      <w:r w:rsidR="005064AE" w:rsidRPr="009118AB">
        <w:rPr>
          <w:i/>
          <w:iCs/>
        </w:rPr>
        <w:t xml:space="preserve">2019); </w:t>
      </w:r>
      <w:r w:rsidR="00D67EB8" w:rsidRPr="009118AB">
        <w:rPr>
          <w:i/>
          <w:iCs/>
        </w:rPr>
        <w:t>§ </w:t>
      </w:r>
      <w:r w:rsidR="0099625C" w:rsidRPr="009118AB">
        <w:rPr>
          <w:i/>
          <w:iCs/>
        </w:rPr>
        <w:t xml:space="preserve">1 </w:t>
      </w:r>
      <w:r w:rsidR="00D67EB8" w:rsidRPr="009118AB">
        <w:rPr>
          <w:i/>
          <w:iCs/>
        </w:rPr>
        <w:t>Abs. </w:t>
      </w:r>
      <w:r w:rsidR="0099625C" w:rsidRPr="009118AB">
        <w:rPr>
          <w:i/>
          <w:iCs/>
        </w:rPr>
        <w:t xml:space="preserve">1 </w:t>
      </w:r>
      <w:r w:rsidR="00D67EB8" w:rsidRPr="009118AB">
        <w:rPr>
          <w:i/>
          <w:iCs/>
        </w:rPr>
        <w:t>Nr. </w:t>
      </w:r>
      <w:r w:rsidR="005064AE" w:rsidRPr="009118AB">
        <w:rPr>
          <w:i/>
          <w:iCs/>
        </w:rPr>
        <w:t xml:space="preserve">3 </w:t>
      </w:r>
      <w:r w:rsidR="0099625C" w:rsidRPr="009118AB">
        <w:rPr>
          <w:i/>
          <w:iCs/>
        </w:rPr>
        <w:t xml:space="preserve">abgeändert durch </w:t>
      </w:r>
      <w:r w:rsidR="00D67EB8" w:rsidRPr="009118AB">
        <w:rPr>
          <w:i/>
          <w:iCs/>
        </w:rPr>
        <w:t>Art. </w:t>
      </w:r>
      <w:r w:rsidR="0099625C" w:rsidRPr="009118AB">
        <w:rPr>
          <w:i/>
          <w:iCs/>
        </w:rPr>
        <w:t xml:space="preserve">18 </w:t>
      </w:r>
      <w:r w:rsidR="00D67EB8" w:rsidRPr="009118AB">
        <w:rPr>
          <w:i/>
          <w:iCs/>
        </w:rPr>
        <w:t>Nr. </w:t>
      </w:r>
      <w:r w:rsidR="005064AE" w:rsidRPr="009118AB">
        <w:rPr>
          <w:i/>
          <w:iCs/>
        </w:rPr>
        <w:t>9</w:t>
      </w:r>
      <w:r w:rsidR="0099625C" w:rsidRPr="009118AB">
        <w:rPr>
          <w:i/>
          <w:iCs/>
        </w:rPr>
        <w:t xml:space="preserve"> des G. vom 2. Mai 2019 (IV) (B.S. vom 15. Mai </w:t>
      </w:r>
      <w:r w:rsidR="005064AE" w:rsidRPr="009118AB">
        <w:rPr>
          <w:i/>
          <w:iCs/>
        </w:rPr>
        <w:t>2019);</w:t>
      </w:r>
      <w:r w:rsidR="00364B1B">
        <w:rPr>
          <w:i/>
          <w:iCs/>
        </w:rPr>
        <w:t xml:space="preserve"> § 1 Abs. 2 </w:t>
      </w:r>
      <w:r w:rsidR="00617F8A">
        <w:rPr>
          <w:i/>
          <w:iCs/>
          <w:spacing w:val="-2"/>
        </w:rPr>
        <w:t>ersetz</w:t>
      </w:r>
      <w:r w:rsidR="00364B1B" w:rsidRPr="003E131B">
        <w:rPr>
          <w:i/>
          <w:iCs/>
          <w:spacing w:val="-2"/>
        </w:rPr>
        <w:t>t durch Art. </w:t>
      </w:r>
      <w:r w:rsidR="00364B1B">
        <w:rPr>
          <w:i/>
          <w:iCs/>
          <w:spacing w:val="-2"/>
        </w:rPr>
        <w:t>66</w:t>
      </w:r>
      <w:r w:rsidR="00364B1B" w:rsidRPr="003E131B">
        <w:rPr>
          <w:i/>
          <w:iCs/>
          <w:spacing w:val="-2"/>
        </w:rPr>
        <w:t xml:space="preserve"> des G. vom 28. Dezember 2023 (B.S. vom 29. Dezember 2023)</w:t>
      </w:r>
      <w:r w:rsidR="00364B1B">
        <w:rPr>
          <w:i/>
          <w:iCs/>
          <w:spacing w:val="-2"/>
        </w:rPr>
        <w:t xml:space="preserve"> - in </w:t>
      </w:r>
      <w:r w:rsidR="00364B1B" w:rsidRPr="00364B1B">
        <w:rPr>
          <w:i/>
          <w:iCs/>
          <w:spacing w:val="-2"/>
        </w:rPr>
        <w:t xml:space="preserve">Kraft </w:t>
      </w:r>
      <w:r w:rsidR="00364B1B" w:rsidRPr="00364B1B">
        <w:rPr>
          <w:i/>
          <w:iCs/>
        </w:rPr>
        <w:t xml:space="preserve">am </w:t>
      </w:r>
      <w:r w:rsidR="00617F8A">
        <w:rPr>
          <w:i/>
          <w:iCs/>
        </w:rPr>
        <w:t>29. Dezember 2023</w:t>
      </w:r>
      <w:r w:rsidR="00364B1B" w:rsidRPr="00364B1B">
        <w:rPr>
          <w:i/>
          <w:iCs/>
        </w:rPr>
        <w:t xml:space="preserve"> und anwendbar auf die ab dem 1. Januar 2024 gemachten unentgeltlichen Zuwendungen -</w:t>
      </w:r>
      <w:r w:rsidR="00364B1B" w:rsidRPr="00364B1B">
        <w:rPr>
          <w:i/>
          <w:iCs/>
          <w:spacing w:val="-2"/>
        </w:rPr>
        <w:t>;</w:t>
      </w:r>
      <w:r w:rsidR="005064AE" w:rsidRPr="00364B1B">
        <w:rPr>
          <w:i/>
          <w:iCs/>
        </w:rPr>
        <w:t xml:space="preserve"> </w:t>
      </w:r>
      <w:r w:rsidR="00D67EB8" w:rsidRPr="00364B1B">
        <w:rPr>
          <w:i/>
          <w:iCs/>
        </w:rPr>
        <w:t>§ </w:t>
      </w:r>
      <w:r w:rsidR="009D3AF6" w:rsidRPr="00364B1B">
        <w:rPr>
          <w:i/>
          <w:iCs/>
        </w:rPr>
        <w:t xml:space="preserve">1 </w:t>
      </w:r>
      <w:r w:rsidR="00D67EB8" w:rsidRPr="00364B1B">
        <w:rPr>
          <w:i/>
          <w:iCs/>
        </w:rPr>
        <w:t>Abs. </w:t>
      </w:r>
      <w:r w:rsidR="009D3AF6" w:rsidRPr="00364B1B">
        <w:rPr>
          <w:i/>
          <w:iCs/>
        </w:rPr>
        <w:t>4 abgeändert durch</w:t>
      </w:r>
      <w:r w:rsidR="009D3AF6" w:rsidRPr="009118AB">
        <w:rPr>
          <w:i/>
          <w:iCs/>
        </w:rPr>
        <w:t xml:space="preserve"> </w:t>
      </w:r>
      <w:r w:rsidR="00D67EB8" w:rsidRPr="009118AB">
        <w:rPr>
          <w:i/>
          <w:iCs/>
        </w:rPr>
        <w:t>Art. </w:t>
      </w:r>
      <w:r w:rsidR="009D3AF6" w:rsidRPr="009118AB">
        <w:rPr>
          <w:i/>
          <w:iCs/>
        </w:rPr>
        <w:t xml:space="preserve">39 </w:t>
      </w:r>
      <w:r w:rsidR="00D67EB8" w:rsidRPr="009118AB">
        <w:rPr>
          <w:i/>
          <w:iCs/>
        </w:rPr>
        <w:t>Nr. </w:t>
      </w:r>
      <w:r w:rsidR="009D3AF6" w:rsidRPr="009118AB">
        <w:rPr>
          <w:i/>
          <w:iCs/>
        </w:rPr>
        <w:t>1</w:t>
      </w:r>
      <w:r w:rsidR="009D3AF6" w:rsidRPr="009118AB">
        <w:rPr>
          <w:i/>
        </w:rPr>
        <w:t xml:space="preserve"> des G. vom 8. Mai 2014 (B.S. vom 28. Mai 2014)</w:t>
      </w:r>
      <w:r w:rsidR="00D67EB8" w:rsidRPr="009118AB">
        <w:rPr>
          <w:i/>
        </w:rPr>
        <w:t> - </w:t>
      </w:r>
      <w:r w:rsidR="009D3AF6" w:rsidRPr="009118AB">
        <w:rPr>
          <w:i/>
          <w:iCs/>
        </w:rPr>
        <w:t xml:space="preserve">anwendbar ab dem </w:t>
      </w:r>
      <w:r w:rsidR="009D3AF6" w:rsidRPr="009118AB">
        <w:rPr>
          <w:rFonts w:ascii="Times New Roman Italique" w:hAnsi="Times New Roman Italique"/>
          <w:i/>
          <w:iCs/>
          <w:spacing w:val="-2"/>
        </w:rPr>
        <w:t>Steuerjahr 2015</w:t>
      </w:r>
      <w:r w:rsidR="00FD68E8" w:rsidRPr="009118AB">
        <w:rPr>
          <w:rFonts w:ascii="Times New Roman Italique" w:hAnsi="Times New Roman Italique"/>
          <w:i/>
          <w:iCs/>
          <w:spacing w:val="-2"/>
        </w:rPr>
        <w:t> -,</w:t>
      </w:r>
      <w:r w:rsidR="008234DF"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8234DF" w:rsidRPr="009118AB">
        <w:rPr>
          <w:rFonts w:ascii="Times New Roman Italique" w:hAnsi="Times New Roman Italique"/>
          <w:i/>
          <w:iCs/>
          <w:spacing w:val="-2"/>
        </w:rPr>
        <w:t>65</w:t>
      </w:r>
      <w:r w:rsidR="008234DF" w:rsidRPr="009118AB">
        <w:rPr>
          <w:rFonts w:ascii="Times New Roman Italique" w:hAnsi="Times New Roman Italique"/>
          <w:i/>
          <w:spacing w:val="-2"/>
        </w:rPr>
        <w:t xml:space="preserve"> des G. vom 26. Dezember 2015 (II) (B.S. vom 30. Dezember 2015)</w:t>
      </w:r>
      <w:r w:rsidR="00D67EB8" w:rsidRPr="009118AB">
        <w:rPr>
          <w:rFonts w:ascii="Times New Roman Italique" w:hAnsi="Times New Roman Italique"/>
          <w:spacing w:val="-2"/>
        </w:rPr>
        <w:t> - </w:t>
      </w:r>
      <w:r w:rsidR="008234DF" w:rsidRPr="009118AB">
        <w:rPr>
          <w:rFonts w:ascii="Times New Roman Italique" w:hAnsi="Times New Roman Italique"/>
          <w:i/>
          <w:spacing w:val="-2"/>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rFonts w:ascii="Times New Roman Italique" w:hAnsi="Times New Roman Italique"/>
          <w:i/>
          <w:spacing w:val="-2"/>
        </w:rPr>
        <w:t> - </w:t>
      </w:r>
      <w:r w:rsidR="008D7185" w:rsidRPr="009118AB">
        <w:rPr>
          <w:rFonts w:ascii="Times New Roman Italique" w:hAnsi="Times New Roman Italique"/>
          <w:i/>
          <w:spacing w:val="-2"/>
        </w:rPr>
        <w:t xml:space="preserve">und </w:t>
      </w:r>
      <w:r w:rsidR="00D67EB8" w:rsidRPr="009118AB">
        <w:rPr>
          <w:rFonts w:ascii="Times New Roman Italique" w:hAnsi="Times New Roman Italique"/>
          <w:i/>
          <w:spacing w:val="-2"/>
        </w:rPr>
        <w:t>Art. </w:t>
      </w:r>
      <w:r w:rsidR="008D7185" w:rsidRPr="009118AB">
        <w:rPr>
          <w:rFonts w:ascii="Times New Roman Italique" w:hAnsi="Times New Roman Italique" w:hint="eastAsia"/>
          <w:i/>
          <w:spacing w:val="-2"/>
        </w:rPr>
        <w:t>8</w:t>
      </w:r>
      <w:r w:rsidR="008D7185" w:rsidRPr="009118AB">
        <w:rPr>
          <w:rFonts w:ascii="Times New Roman Italique" w:hAnsi="Times New Roman Italique"/>
          <w:i/>
          <w:spacing w:val="-2"/>
        </w:rPr>
        <w:t>1</w:t>
      </w:r>
      <w:r w:rsidR="008D7185" w:rsidRPr="009118AB">
        <w:rPr>
          <w:i/>
        </w:rPr>
        <w:t xml:space="preserve"> des G. vom 25. Dezember 2016</w:t>
      </w:r>
      <w:r w:rsidR="001022BB" w:rsidRPr="009118AB">
        <w:rPr>
          <w:i/>
        </w:rPr>
        <w:t> (I)</w:t>
      </w:r>
      <w:r w:rsidR="008D7185" w:rsidRPr="009118AB">
        <w:rPr>
          <w:i/>
        </w:rPr>
        <w:t xml:space="preserve"> (B.S. vom 29. Dezember 2016)</w:t>
      </w:r>
      <w:r w:rsidR="00D67EB8" w:rsidRPr="009118AB">
        <w:rPr>
          <w:i/>
        </w:rPr>
        <w:t> - </w:t>
      </w:r>
      <w:r w:rsidR="008D7185" w:rsidRPr="009118AB">
        <w:rPr>
          <w:i/>
        </w:rPr>
        <w:t>in Kraft am 1. Januar 2017 und anwendbar auf die ab dem 1. Januar 2017 verwirklichten Mehrwerte</w:t>
      </w:r>
      <w:r w:rsidR="003366D9" w:rsidRPr="009118AB">
        <w:rPr>
          <w:i/>
        </w:rPr>
        <w:t> -;</w:t>
      </w:r>
      <w:r w:rsidR="009D3AF6"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9D3AF6"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9D3AF6" w:rsidRPr="009118AB">
        <w:rPr>
          <w:rFonts w:ascii="Times New Roman Italique" w:hAnsi="Times New Roman Italique"/>
          <w:i/>
          <w:iCs/>
          <w:spacing w:val="-2"/>
        </w:rPr>
        <w:t xml:space="preserve">5 ersetzt durch </w:t>
      </w:r>
      <w:r w:rsidR="00D67EB8" w:rsidRPr="009118AB">
        <w:rPr>
          <w:rFonts w:ascii="Times New Roman Italique" w:hAnsi="Times New Roman Italique"/>
          <w:i/>
          <w:iCs/>
          <w:spacing w:val="-2"/>
        </w:rPr>
        <w:t>Art. </w:t>
      </w:r>
      <w:r w:rsidR="009D3AF6" w:rsidRPr="009118AB">
        <w:rPr>
          <w:rFonts w:ascii="Times New Roman Italique" w:hAnsi="Times New Roman Italique"/>
          <w:i/>
          <w:iCs/>
          <w:spacing w:val="-2"/>
        </w:rPr>
        <w:t xml:space="preserve">39 </w:t>
      </w:r>
      <w:r w:rsidR="00D67EB8" w:rsidRPr="009118AB">
        <w:rPr>
          <w:rFonts w:ascii="Times New Roman Italique" w:hAnsi="Times New Roman Italique"/>
          <w:i/>
          <w:iCs/>
          <w:spacing w:val="-2"/>
        </w:rPr>
        <w:t>Nr. </w:t>
      </w:r>
      <w:r w:rsidR="009D3AF6" w:rsidRPr="009118AB">
        <w:rPr>
          <w:rFonts w:ascii="Times New Roman Italique" w:hAnsi="Times New Roman Italique"/>
          <w:i/>
          <w:iCs/>
          <w:spacing w:val="-2"/>
        </w:rPr>
        <w:t>2</w:t>
      </w:r>
      <w:r w:rsidR="009D3AF6" w:rsidRPr="009118AB">
        <w:rPr>
          <w:rFonts w:ascii="Times New Roman Italique" w:hAnsi="Times New Roman Italique"/>
          <w:i/>
          <w:spacing w:val="-2"/>
        </w:rPr>
        <w:t xml:space="preserve"> des G. vom 8. Mai 2014 (B.S. vom 28. Mai 2014)</w:t>
      </w:r>
      <w:r w:rsidR="00D67EB8" w:rsidRPr="009118AB">
        <w:rPr>
          <w:rFonts w:ascii="Times New Roman Italique" w:hAnsi="Times New Roman Italique"/>
          <w:i/>
          <w:spacing w:val="-2"/>
        </w:rPr>
        <w:t> - </w:t>
      </w:r>
      <w:r w:rsidR="009D3AF6" w:rsidRPr="009118AB">
        <w:rPr>
          <w:rFonts w:ascii="Times New Roman Italique" w:hAnsi="Times New Roman Italique"/>
          <w:i/>
          <w:iCs/>
          <w:spacing w:val="-2"/>
        </w:rPr>
        <w:t>anwendbar ab</w:t>
      </w:r>
      <w:r w:rsidR="002B0B9D" w:rsidRPr="009118AB">
        <w:rPr>
          <w:rFonts w:ascii="Times New Roman Italique" w:hAnsi="Times New Roman Italique"/>
          <w:i/>
          <w:iCs/>
          <w:spacing w:val="-2"/>
        </w:rPr>
        <w:t xml:space="preserve"> dem Steuerjahr 2015</w:t>
      </w:r>
      <w:r w:rsidR="003366D9" w:rsidRPr="009118AB">
        <w:rPr>
          <w:rFonts w:ascii="Times New Roman Italique" w:hAnsi="Times New Roman Italique"/>
          <w:i/>
          <w:iCs/>
          <w:spacing w:val="-2"/>
        </w:rPr>
        <w:t> -;</w:t>
      </w:r>
      <w:r w:rsidR="0026118B">
        <w:rPr>
          <w:rFonts w:ascii="Times New Roman Italique" w:hAnsi="Times New Roman Italique"/>
          <w:i/>
          <w:iCs/>
          <w:spacing w:val="-2"/>
        </w:rPr>
        <w:t xml:space="preserve"> </w:t>
      </w:r>
      <w:r w:rsidR="0026118B">
        <w:rPr>
          <w:i/>
          <w:iCs/>
        </w:rPr>
        <w:t xml:space="preserve">§ 2 Abs. 2 </w:t>
      </w:r>
      <w:r w:rsidR="00617F8A">
        <w:rPr>
          <w:i/>
          <w:iCs/>
          <w:spacing w:val="-2"/>
        </w:rPr>
        <w:t>ersetz</w:t>
      </w:r>
      <w:r w:rsidR="0026118B" w:rsidRPr="003E131B">
        <w:rPr>
          <w:i/>
          <w:iCs/>
          <w:spacing w:val="-2"/>
        </w:rPr>
        <w:t>t durch Art. </w:t>
      </w:r>
      <w:r w:rsidR="0026118B">
        <w:rPr>
          <w:i/>
          <w:iCs/>
          <w:spacing w:val="-2"/>
        </w:rPr>
        <w:t>67</w:t>
      </w:r>
      <w:r w:rsidR="0026118B" w:rsidRPr="003E131B">
        <w:rPr>
          <w:i/>
          <w:iCs/>
          <w:spacing w:val="-2"/>
        </w:rPr>
        <w:t xml:space="preserve"> des G. vom 28. Dezember 2023 (B.S. vom 29. Dezember 2023)</w:t>
      </w:r>
      <w:r w:rsidR="0026118B">
        <w:rPr>
          <w:i/>
          <w:iCs/>
          <w:spacing w:val="-2"/>
        </w:rPr>
        <w:t xml:space="preserve"> - in </w:t>
      </w:r>
      <w:r w:rsidR="0026118B" w:rsidRPr="00364B1B">
        <w:rPr>
          <w:i/>
          <w:iCs/>
          <w:spacing w:val="-2"/>
        </w:rPr>
        <w:t xml:space="preserve">Kraft </w:t>
      </w:r>
      <w:r w:rsidR="0026118B" w:rsidRPr="00364B1B">
        <w:rPr>
          <w:i/>
          <w:iCs/>
        </w:rPr>
        <w:t xml:space="preserve">am </w:t>
      </w:r>
      <w:r w:rsidR="00B56934">
        <w:rPr>
          <w:i/>
          <w:iCs/>
        </w:rPr>
        <w:t>29. Dezember 2023</w:t>
      </w:r>
      <w:r w:rsidR="0026118B" w:rsidRPr="00364B1B">
        <w:rPr>
          <w:i/>
          <w:iCs/>
        </w:rPr>
        <w:t xml:space="preserve"> und anwendbar auf die ab dem 1. Januar 2024 gemachten unentgeltlichen Zuwendungen -</w:t>
      </w:r>
      <w:r w:rsidR="0026118B" w:rsidRPr="00364B1B">
        <w:rPr>
          <w:i/>
          <w:iCs/>
          <w:spacing w:val="-2"/>
        </w:rPr>
        <w:t>;</w:t>
      </w:r>
      <w:r w:rsidR="005064AE"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5064AE"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Abs. </w:t>
      </w:r>
      <w:r w:rsidR="005064AE" w:rsidRPr="009118AB">
        <w:rPr>
          <w:rFonts w:ascii="Times New Roman Italique" w:hAnsi="Times New Roman Italique"/>
          <w:i/>
          <w:iCs/>
          <w:spacing w:val="-2"/>
        </w:rPr>
        <w:t xml:space="preserve">3 abgeändert durch </w:t>
      </w:r>
      <w:r w:rsidR="00D67EB8" w:rsidRPr="009118AB">
        <w:rPr>
          <w:rFonts w:ascii="Times New Roman Italique" w:hAnsi="Times New Roman Italique"/>
          <w:i/>
          <w:iCs/>
          <w:spacing w:val="-2"/>
        </w:rPr>
        <w:t>Art. </w:t>
      </w:r>
      <w:r w:rsidR="005064AE" w:rsidRPr="009118AB">
        <w:rPr>
          <w:rFonts w:ascii="Times New Roman Italique" w:hAnsi="Times New Roman Italique"/>
          <w:i/>
          <w:iCs/>
          <w:spacing w:val="-2"/>
        </w:rPr>
        <w:t xml:space="preserve">18 </w:t>
      </w:r>
      <w:r w:rsidR="00D67EB8" w:rsidRPr="009118AB">
        <w:rPr>
          <w:rFonts w:ascii="Times New Roman Italique" w:hAnsi="Times New Roman Italique"/>
          <w:i/>
          <w:iCs/>
          <w:spacing w:val="-2"/>
        </w:rPr>
        <w:t>Nr. </w:t>
      </w:r>
      <w:r w:rsidR="00A87BDA" w:rsidRPr="009118AB">
        <w:rPr>
          <w:rFonts w:ascii="Times New Roman Italique" w:hAnsi="Times New Roman Italique"/>
          <w:i/>
          <w:iCs/>
          <w:spacing w:val="-2"/>
        </w:rPr>
        <w:t>10 des G. vom 2.</w:t>
      </w:r>
      <w:r w:rsidR="00A87BDA" w:rsidRPr="009118AB">
        <w:rPr>
          <w:rFonts w:ascii="Times New Roman Italique" w:hAnsi="Times New Roman Italique" w:hint="eastAsia"/>
          <w:i/>
          <w:iCs/>
          <w:spacing w:val="-2"/>
        </w:rPr>
        <w:t> </w:t>
      </w:r>
      <w:r w:rsidR="00A87BDA" w:rsidRPr="009118AB">
        <w:rPr>
          <w:rFonts w:ascii="Times New Roman Italique" w:hAnsi="Times New Roman Italique"/>
          <w:i/>
          <w:iCs/>
          <w:spacing w:val="-2"/>
        </w:rPr>
        <w:t>Mai</w:t>
      </w:r>
      <w:r w:rsidR="00A87BDA" w:rsidRPr="009118AB">
        <w:rPr>
          <w:rFonts w:ascii="Times New Roman Italique" w:hAnsi="Times New Roman Italique" w:hint="eastAsia"/>
          <w:i/>
          <w:iCs/>
          <w:spacing w:val="-2"/>
        </w:rPr>
        <w:t> </w:t>
      </w:r>
      <w:r w:rsidR="005064AE" w:rsidRPr="009118AB">
        <w:rPr>
          <w:rFonts w:ascii="Times New Roman Italique" w:hAnsi="Times New Roman Italique"/>
          <w:i/>
          <w:iCs/>
          <w:spacing w:val="-2"/>
        </w:rPr>
        <w:t>2019</w:t>
      </w:r>
      <w:r w:rsidR="005064AE" w:rsidRPr="009118AB">
        <w:rPr>
          <w:rFonts w:ascii="Times New Roman Italique" w:hAnsi="Times New Roman Italique" w:hint="eastAsia"/>
          <w:i/>
          <w:iCs/>
          <w:spacing w:val="-2"/>
        </w:rPr>
        <w:t> </w:t>
      </w:r>
      <w:r w:rsidR="00A87BDA" w:rsidRPr="009118AB">
        <w:rPr>
          <w:rFonts w:ascii="Times New Roman Italique" w:hAnsi="Times New Roman Italique"/>
          <w:i/>
          <w:iCs/>
          <w:spacing w:val="-2"/>
        </w:rPr>
        <w:t>(IV) (B.S. vom 15.</w:t>
      </w:r>
      <w:r w:rsidR="00A87BDA" w:rsidRPr="009118AB">
        <w:rPr>
          <w:rFonts w:ascii="Times New Roman Italique" w:hAnsi="Times New Roman Italique" w:hint="eastAsia"/>
          <w:i/>
          <w:iCs/>
          <w:spacing w:val="-2"/>
        </w:rPr>
        <w:t> </w:t>
      </w:r>
      <w:r w:rsidR="00A87BDA" w:rsidRPr="009118AB">
        <w:rPr>
          <w:rFonts w:ascii="Times New Roman Italique" w:hAnsi="Times New Roman Italique"/>
          <w:i/>
          <w:iCs/>
          <w:spacing w:val="-2"/>
        </w:rPr>
        <w:t>Mai</w:t>
      </w:r>
      <w:r w:rsidR="00A87BDA" w:rsidRPr="009118AB">
        <w:rPr>
          <w:rFonts w:ascii="Times New Roman Italique" w:hAnsi="Times New Roman Italique" w:hint="eastAsia"/>
          <w:i/>
          <w:iCs/>
          <w:spacing w:val="-2"/>
        </w:rPr>
        <w:t> </w:t>
      </w:r>
      <w:r w:rsidR="005064AE" w:rsidRPr="009118AB">
        <w:rPr>
          <w:rFonts w:ascii="Times New Roman Italique" w:hAnsi="Times New Roman Italique"/>
          <w:i/>
          <w:iCs/>
          <w:spacing w:val="-2"/>
        </w:rPr>
        <w:t xml:space="preserve">2019); </w:t>
      </w:r>
      <w:r w:rsidR="00D67EB8" w:rsidRPr="009118AB">
        <w:rPr>
          <w:rFonts w:ascii="Times New Roman Italique" w:hAnsi="Times New Roman Italique"/>
          <w:i/>
          <w:iCs/>
          <w:spacing w:val="-2"/>
        </w:rPr>
        <w:t>§ </w:t>
      </w:r>
      <w:r w:rsidR="005064AE" w:rsidRPr="009118AB">
        <w:rPr>
          <w:rFonts w:ascii="Times New Roman Italique" w:hAnsi="Times New Roman Italique"/>
          <w:i/>
          <w:iCs/>
          <w:spacing w:val="-2"/>
        </w:rPr>
        <w:t xml:space="preserve">5 eingefügt durch </w:t>
      </w:r>
      <w:r w:rsidR="00D67EB8" w:rsidRPr="009118AB">
        <w:rPr>
          <w:rFonts w:ascii="Times New Roman Italique" w:hAnsi="Times New Roman Italique"/>
          <w:i/>
          <w:iCs/>
          <w:spacing w:val="-2"/>
        </w:rPr>
        <w:t>Art. </w:t>
      </w:r>
      <w:r w:rsidR="005064AE" w:rsidRPr="009118AB">
        <w:rPr>
          <w:rFonts w:ascii="Times New Roman Italique" w:hAnsi="Times New Roman Italique"/>
          <w:i/>
          <w:iCs/>
          <w:spacing w:val="-2"/>
        </w:rPr>
        <w:t>19</w:t>
      </w:r>
      <w:r w:rsidR="005064AE" w:rsidRPr="009118AB">
        <w:rPr>
          <w:i/>
          <w:iCs/>
        </w:rPr>
        <w:t xml:space="preserve"> des G. vom 2. Mai 2019 (IV) (B.S. vom 15. Mai 2019)</w:t>
      </w:r>
      <w:r w:rsidR="003B08AD" w:rsidRPr="009118AB">
        <w:rPr>
          <w:rFonts w:ascii="Times New Roman Italique" w:hAnsi="Times New Roman Italique"/>
          <w:i/>
          <w:iCs/>
          <w:spacing w:val="-2"/>
        </w:rPr>
        <w:t>]</w:t>
      </w:r>
    </w:p>
    <w:p w14:paraId="106D71EF" w14:textId="77777777" w:rsidR="003B08AD" w:rsidRPr="009118AB" w:rsidRDefault="003B08AD" w:rsidP="00542363">
      <w:pPr>
        <w:jc w:val="both"/>
      </w:pPr>
    </w:p>
    <w:p w14:paraId="51B89353" w14:textId="77777777" w:rsidR="003B08AD" w:rsidRPr="009118AB" w:rsidRDefault="003B08AD" w:rsidP="00542363">
      <w:pPr>
        <w:jc w:val="both"/>
      </w:pPr>
    </w:p>
    <w:p w14:paraId="30F8A527" w14:textId="2896D4A0" w:rsidR="003B08AD" w:rsidRPr="009118AB" w:rsidRDefault="003B08AD" w:rsidP="003B08AD">
      <w:pPr>
        <w:jc w:val="center"/>
      </w:pPr>
      <w:r w:rsidRPr="009118AB">
        <w:br w:type="page"/>
      </w:r>
      <w:r w:rsidRPr="009118AB">
        <w:lastRenderedPageBreak/>
        <w:t>[Unterabschnitt 2</w:t>
      </w:r>
      <w:r w:rsidRPr="009118AB">
        <w:rPr>
          <w:i/>
        </w:rPr>
        <w:t>quinquedecies</w:t>
      </w:r>
      <w:r w:rsidR="00D67EB8" w:rsidRPr="009118AB">
        <w:t> - </w:t>
      </w:r>
      <w:r w:rsidRPr="009118AB">
        <w:t>Steuerermäßigung für Entlohnungen eines Hausangestellten]</w:t>
      </w:r>
    </w:p>
    <w:p w14:paraId="4DE4A661" w14:textId="77777777" w:rsidR="003B08AD" w:rsidRPr="009118AB" w:rsidRDefault="003B08AD" w:rsidP="003B08AD">
      <w:pPr>
        <w:jc w:val="center"/>
      </w:pPr>
    </w:p>
    <w:p w14:paraId="57CFAF94" w14:textId="2576D26E" w:rsidR="003B08AD" w:rsidRPr="009118AB" w:rsidRDefault="003B08AD" w:rsidP="003B08AD">
      <w:pPr>
        <w:jc w:val="both"/>
        <w:rPr>
          <w:i/>
          <w:iCs/>
        </w:rPr>
      </w:pPr>
      <w:r w:rsidRPr="009118AB">
        <w:rPr>
          <w:i/>
        </w:rPr>
        <w:t>[</w:t>
      </w:r>
      <w:r w:rsidR="00FF68D0" w:rsidRPr="009118AB">
        <w:rPr>
          <w:i/>
        </w:rPr>
        <w:t xml:space="preserve">Unterteilung </w:t>
      </w:r>
      <w:r w:rsidRPr="009118AB">
        <w:rPr>
          <w:i/>
        </w:rPr>
        <w:t xml:space="preserve">Unterabschnitt 2quinquedecies eingefügt durch </w:t>
      </w:r>
      <w:r w:rsidR="00D67EB8" w:rsidRPr="009118AB">
        <w:rPr>
          <w:i/>
        </w:rPr>
        <w:t>Art. </w:t>
      </w:r>
      <w:r w:rsidRPr="009118AB">
        <w:rPr>
          <w:i/>
        </w:rPr>
        <w:t>26</w:t>
      </w:r>
      <w:r w:rsidRPr="009118AB">
        <w:rPr>
          <w:i/>
          <w:iCs/>
        </w:rPr>
        <w:t xml:space="preserve"> des G. vom 13.</w:t>
      </w:r>
      <w:r w:rsidR="00FF68D0" w:rsidRPr="009118AB">
        <w:rPr>
          <w:i/>
          <w:iCs/>
        </w:rPr>
        <w:t> </w:t>
      </w:r>
      <w:r w:rsidRPr="009118AB">
        <w:rPr>
          <w:i/>
          <w:iCs/>
        </w:rPr>
        <w:t>Dezember 2012 (B.S. vom 20. Dezember 2012)</w:t>
      </w:r>
      <w:r w:rsidR="00D67EB8" w:rsidRPr="009118AB">
        <w:rPr>
          <w:i/>
          <w:iCs/>
        </w:rPr>
        <w:t> - </w:t>
      </w:r>
      <w:r w:rsidRPr="009118AB">
        <w:rPr>
          <w:i/>
          <w:iCs/>
        </w:rPr>
        <w:t>in Kraft ab dem Steuerjahr 2013</w:t>
      </w:r>
      <w:r w:rsidR="00FD68E8" w:rsidRPr="009118AB">
        <w:rPr>
          <w:i/>
          <w:iCs/>
        </w:rPr>
        <w:t> -]</w:t>
      </w:r>
    </w:p>
    <w:p w14:paraId="558FA086" w14:textId="77777777" w:rsidR="003B08AD" w:rsidRPr="009118AB" w:rsidRDefault="003B08AD" w:rsidP="003B08AD">
      <w:pPr>
        <w:jc w:val="both"/>
        <w:rPr>
          <w:iCs/>
        </w:rPr>
      </w:pPr>
    </w:p>
    <w:p w14:paraId="020E13C5" w14:textId="77777777" w:rsidR="003B08AD" w:rsidRPr="009118AB" w:rsidRDefault="003B08AD" w:rsidP="003B08AD">
      <w:pPr>
        <w:jc w:val="both"/>
        <w:rPr>
          <w:iCs/>
        </w:rPr>
      </w:pPr>
    </w:p>
    <w:p w14:paraId="71190CEF" w14:textId="193C9924" w:rsidR="003B08AD" w:rsidRPr="009118AB" w:rsidRDefault="003B08AD" w:rsidP="003B08AD">
      <w:pPr>
        <w:ind w:firstLine="708"/>
        <w:jc w:val="both"/>
      </w:pPr>
      <w:r w:rsidRPr="009118AB">
        <w:rPr>
          <w:iCs/>
        </w:rPr>
        <w:t>[</w:t>
      </w:r>
      <w:r w:rsidR="00D67EB8" w:rsidRPr="009118AB">
        <w:rPr>
          <w:b/>
        </w:rPr>
        <w:t>Art. </w:t>
      </w:r>
      <w:r w:rsidRPr="009118AB">
        <w:rPr>
          <w:b/>
        </w:rPr>
        <w:t>145</w:t>
      </w:r>
      <w:r w:rsidRPr="009118AB">
        <w:rPr>
          <w:b/>
          <w:vertAlign w:val="superscript"/>
        </w:rPr>
        <w:t>34</w:t>
      </w:r>
      <w:r w:rsidR="00D67EB8" w:rsidRPr="009118AB">
        <w:t> - </w:t>
      </w:r>
      <w:r w:rsidRPr="009118AB">
        <w:t>Für Entlohnungen, die einem Hausangestellten tatsächlich während des Besteuerungszeitraums gezahlt oder zuerkannt werden, einschließlich der Beiträge in Bezug auf diese Entlohnungen, die aufgrund der sozialen Rechtsvorschriften geschuldet werden, wird eine Steuerermäßigung gewährt.</w:t>
      </w:r>
    </w:p>
    <w:p w14:paraId="691218A5" w14:textId="77777777" w:rsidR="003B08AD" w:rsidRPr="009118AB" w:rsidRDefault="003B08AD" w:rsidP="003B08AD">
      <w:pPr>
        <w:jc w:val="both"/>
      </w:pPr>
    </w:p>
    <w:p w14:paraId="76487164" w14:textId="77777777" w:rsidR="003B08AD" w:rsidRPr="009118AB" w:rsidRDefault="003B08AD" w:rsidP="003B08AD">
      <w:pPr>
        <w:ind w:firstLine="708"/>
        <w:jc w:val="both"/>
      </w:pPr>
      <w:r w:rsidRPr="009118AB">
        <w:t>Die Steuerermäßigung wird unter folgenden Bedingungen gewährt:</w:t>
      </w:r>
    </w:p>
    <w:p w14:paraId="54330868" w14:textId="77777777" w:rsidR="003B08AD" w:rsidRPr="009118AB" w:rsidRDefault="003B08AD" w:rsidP="003B08AD">
      <w:pPr>
        <w:jc w:val="both"/>
      </w:pPr>
    </w:p>
    <w:p w14:paraId="44D65A05" w14:textId="77777777" w:rsidR="003B08AD" w:rsidRPr="009118AB" w:rsidRDefault="003B08AD" w:rsidP="003B08AD">
      <w:pPr>
        <w:ind w:firstLine="708"/>
        <w:jc w:val="both"/>
      </w:pPr>
      <w:r w:rsidRPr="009118AB">
        <w:t>1. Die Entlohnungen betragen mindestens 2.450 EUR pro Besteuerungszeitraum und unterliegen der Regelung der sozialen Sicherheit.</w:t>
      </w:r>
    </w:p>
    <w:p w14:paraId="6E483C4B" w14:textId="77777777" w:rsidR="003B08AD" w:rsidRPr="009118AB" w:rsidRDefault="003B08AD" w:rsidP="003B08AD">
      <w:pPr>
        <w:jc w:val="both"/>
      </w:pPr>
    </w:p>
    <w:p w14:paraId="643DF837" w14:textId="77777777" w:rsidR="003B08AD" w:rsidRPr="009118AB" w:rsidRDefault="003B08AD" w:rsidP="003B08AD">
      <w:pPr>
        <w:ind w:firstLine="708"/>
        <w:jc w:val="both"/>
      </w:pPr>
      <w:r w:rsidRPr="009118AB">
        <w:t>2. Der Hausangestellte ist zum Zeitpunkt seiner Einstellung seit mindestens sechs Monaten berechtigt, eine Entschädigung als Vollarbeitsloser oder das Existenzminimum zu beziehen.</w:t>
      </w:r>
    </w:p>
    <w:p w14:paraId="38683045" w14:textId="77777777" w:rsidR="003B08AD" w:rsidRPr="009118AB" w:rsidRDefault="003B08AD" w:rsidP="003B08AD">
      <w:pPr>
        <w:jc w:val="both"/>
      </w:pPr>
    </w:p>
    <w:p w14:paraId="10109C30" w14:textId="77777777" w:rsidR="003B08AD" w:rsidRPr="009118AB" w:rsidRDefault="003B08AD" w:rsidP="003B08AD">
      <w:pPr>
        <w:ind w:firstLine="708"/>
        <w:jc w:val="both"/>
      </w:pPr>
      <w:r w:rsidRPr="009118AB">
        <w:t>3. Zum Zeitpunkt der Einstellung schreibt sich der Steuerpflichtige beim Landesamt für soziale Sicherheit als Arbeitgeber für Hauspersonal ein und diese Einschreibung ist die erste in dieser Eigenschaft seit dem 1. Januar 1980.</w:t>
      </w:r>
    </w:p>
    <w:p w14:paraId="68449E19" w14:textId="77777777" w:rsidR="003B08AD" w:rsidRPr="009118AB" w:rsidRDefault="003B08AD" w:rsidP="003B08AD">
      <w:pPr>
        <w:jc w:val="both"/>
      </w:pPr>
    </w:p>
    <w:p w14:paraId="2B721BEB" w14:textId="77777777" w:rsidR="003B08AD" w:rsidRPr="009118AB" w:rsidRDefault="003B08AD" w:rsidP="003B08AD">
      <w:pPr>
        <w:ind w:firstLine="708"/>
        <w:jc w:val="both"/>
      </w:pPr>
      <w:r w:rsidRPr="009118AB">
        <w:t>4. Nur Entlohnungen eines einzigen Hausangestellten werden berücksichtigt.</w:t>
      </w:r>
    </w:p>
    <w:p w14:paraId="53A5E35B" w14:textId="77777777" w:rsidR="003B08AD" w:rsidRPr="009118AB" w:rsidRDefault="003B08AD" w:rsidP="003B08AD">
      <w:pPr>
        <w:jc w:val="both"/>
      </w:pPr>
    </w:p>
    <w:p w14:paraId="1E1003DC" w14:textId="62F95087" w:rsidR="003B08AD" w:rsidRPr="009118AB" w:rsidRDefault="003B08AD" w:rsidP="003B08AD">
      <w:pPr>
        <w:ind w:firstLine="708"/>
        <w:jc w:val="both"/>
      </w:pPr>
      <w:r w:rsidRPr="009118AB">
        <w:t xml:space="preserve">Die in Absatz 2 </w:t>
      </w:r>
      <w:r w:rsidR="00D67EB8" w:rsidRPr="009118AB">
        <w:t>Nr. </w:t>
      </w:r>
      <w:r w:rsidRPr="009118AB">
        <w:t>2 und 3 vorgesehenen Bedingungen sind nicht anwendbar, wenn der Steuerpflichtige am 1. Juli 1986 bereits seit mindestens einem Jahr einen Hausangestellten beschäftigte.</w:t>
      </w:r>
    </w:p>
    <w:p w14:paraId="6770D4AE" w14:textId="77777777" w:rsidR="003B08AD" w:rsidRPr="009118AB" w:rsidRDefault="003B08AD" w:rsidP="003B08AD">
      <w:pPr>
        <w:jc w:val="both"/>
      </w:pPr>
    </w:p>
    <w:p w14:paraId="6E9BF52B" w14:textId="55CC9A55" w:rsidR="003B08AD" w:rsidRPr="009118AB" w:rsidRDefault="003B08AD" w:rsidP="003B08AD">
      <w:pPr>
        <w:ind w:firstLine="708"/>
        <w:jc w:val="both"/>
      </w:pPr>
      <w:r w:rsidRPr="009118AB">
        <w:t xml:space="preserve">Nach Beendigung des Arbeitsvertrags wird die Steuerermäßigung für Entlohnungen eines Hausangestellten, der die in Absatz 2 </w:t>
      </w:r>
      <w:r w:rsidR="00D67EB8" w:rsidRPr="009118AB">
        <w:t>Nr. </w:t>
      </w:r>
      <w:r w:rsidRPr="009118AB">
        <w:t>2 erwähnte Bedingung erfüllt, weiterhin bewilligt, wenn der Steuerpflichtige innerhalb dreier Monate einen anderen Hausangestellten anstellt, der diese Bedingungen erfüllt.</w:t>
      </w:r>
    </w:p>
    <w:p w14:paraId="70196A47" w14:textId="77777777" w:rsidR="003B08AD" w:rsidRPr="009118AB" w:rsidRDefault="003B08AD" w:rsidP="003B08AD">
      <w:pPr>
        <w:jc w:val="both"/>
      </w:pPr>
    </w:p>
    <w:p w14:paraId="1A0F2925" w14:textId="77777777" w:rsidR="003B08AD" w:rsidRPr="009118AB" w:rsidRDefault="003B08AD" w:rsidP="003B08AD">
      <w:pPr>
        <w:ind w:firstLine="708"/>
        <w:jc w:val="both"/>
      </w:pPr>
      <w:r w:rsidRPr="009118AB">
        <w:t>Der Betrag, für den die Steuerermäßigung gewährt wird, beläuft sich auf 50 Prozent der Entlohnungen, die während des Besteuerungszeitraums gezahlt oder zuerkannt werden, und darf pro Besteuerungszeitraum 5.000 EUR nicht übersteigen.</w:t>
      </w:r>
    </w:p>
    <w:p w14:paraId="52AA33F3" w14:textId="77777777" w:rsidR="003B08AD" w:rsidRPr="009118AB" w:rsidRDefault="003B08AD" w:rsidP="003B08AD">
      <w:pPr>
        <w:jc w:val="both"/>
      </w:pPr>
    </w:p>
    <w:p w14:paraId="6697E45D" w14:textId="77777777" w:rsidR="003B08AD" w:rsidRPr="009118AB" w:rsidRDefault="003B08AD" w:rsidP="003B08AD">
      <w:pPr>
        <w:ind w:firstLine="708"/>
        <w:jc w:val="both"/>
      </w:pPr>
      <w:r w:rsidRPr="009118AB">
        <w:t>Die Steuerermäßigung beträgt 30 Prozent des in Betracht kommenden Betrags.</w:t>
      </w:r>
    </w:p>
    <w:p w14:paraId="6C20C3FC" w14:textId="77777777" w:rsidR="003B08AD" w:rsidRPr="009118AB" w:rsidRDefault="003B08AD" w:rsidP="003B08AD">
      <w:pPr>
        <w:jc w:val="both"/>
      </w:pPr>
    </w:p>
    <w:p w14:paraId="400B9295" w14:textId="77777777" w:rsidR="003B08AD" w:rsidRPr="009118AB" w:rsidRDefault="003B08AD" w:rsidP="003B08AD">
      <w:pPr>
        <w:jc w:val="both"/>
      </w:pPr>
      <w:r w:rsidRPr="009118AB">
        <w:tab/>
      </w:r>
      <w:r w:rsidR="000D01E3" w:rsidRPr="009118AB">
        <w:t>[Wird eine gemeinsame Veranlagung festgelegt, wird die Steuerermäßigung entsprechend dem gemäß Artikel 130 besteuerten Einkommen jedes Ehepartners in der Gesamtheit der gemäß Artikel 130 besteuerten Einkünfte der beiden Ehepartner proportional aufgeteilt.]</w:t>
      </w:r>
      <w:r w:rsidRPr="009118AB">
        <w:t>]</w:t>
      </w:r>
    </w:p>
    <w:p w14:paraId="170337AC" w14:textId="77777777" w:rsidR="003B08AD" w:rsidRPr="009118AB" w:rsidRDefault="003B08AD" w:rsidP="003B08AD">
      <w:pPr>
        <w:jc w:val="both"/>
      </w:pPr>
    </w:p>
    <w:p w14:paraId="717B7748" w14:textId="1C3181E9" w:rsidR="003B08AD" w:rsidRPr="009118AB" w:rsidRDefault="003B08AD" w:rsidP="003B08AD">
      <w:pPr>
        <w:jc w:val="both"/>
        <w:rPr>
          <w:i/>
          <w:iCs/>
        </w:rPr>
      </w:pPr>
      <w:r w:rsidRPr="009118AB">
        <w:rPr>
          <w:i/>
        </w:rPr>
        <w:t>[</w:t>
      </w:r>
      <w:r w:rsidR="00D67EB8" w:rsidRPr="009118AB">
        <w:rPr>
          <w:i/>
        </w:rPr>
        <w:t>Art. </w:t>
      </w:r>
      <w:r w:rsidRPr="009118AB">
        <w:rPr>
          <w:i/>
        </w:rPr>
        <w:t>145</w:t>
      </w:r>
      <w:r w:rsidRPr="009118AB">
        <w:rPr>
          <w:i/>
          <w:vertAlign w:val="superscript"/>
        </w:rPr>
        <w:t>34</w:t>
      </w:r>
      <w:r w:rsidRPr="009118AB">
        <w:rPr>
          <w:i/>
        </w:rPr>
        <w:t xml:space="preserve"> eingefügt durch </w:t>
      </w:r>
      <w:r w:rsidR="00D67EB8" w:rsidRPr="009118AB">
        <w:rPr>
          <w:i/>
        </w:rPr>
        <w:t>Art. </w:t>
      </w:r>
      <w:r w:rsidRPr="009118AB">
        <w:rPr>
          <w:i/>
        </w:rPr>
        <w:t>27</w:t>
      </w:r>
      <w:r w:rsidRPr="009118AB">
        <w:rPr>
          <w:i/>
          <w:iCs/>
        </w:rPr>
        <w:t xml:space="preserve"> des G. vom 13. Dezember 2012 (B.S. vom 20. Dezember 2012)</w:t>
      </w:r>
      <w:r w:rsidR="00D67EB8" w:rsidRPr="009118AB">
        <w:rPr>
          <w:i/>
          <w:iCs/>
        </w:rPr>
        <w:t> - </w:t>
      </w:r>
      <w:r w:rsidRPr="009118AB">
        <w:rPr>
          <w:i/>
          <w:iCs/>
        </w:rPr>
        <w:t>in Kraft ab dem Steuerjahr 2013</w:t>
      </w:r>
      <w:r w:rsidR="003366D9" w:rsidRPr="009118AB">
        <w:rPr>
          <w:i/>
          <w:iCs/>
        </w:rPr>
        <w:t> -;</w:t>
      </w:r>
      <w:r w:rsidR="000D01E3" w:rsidRPr="009118AB">
        <w:rPr>
          <w:i/>
          <w:iCs/>
        </w:rPr>
        <w:t xml:space="preserve"> </w:t>
      </w:r>
      <w:r w:rsidR="00D67EB8" w:rsidRPr="009118AB">
        <w:rPr>
          <w:i/>
          <w:iCs/>
        </w:rPr>
        <w:t>Abs. </w:t>
      </w:r>
      <w:r w:rsidR="000D01E3" w:rsidRPr="009118AB">
        <w:rPr>
          <w:i/>
          <w:iCs/>
        </w:rPr>
        <w:t xml:space="preserve">7 ersetzt durch </w:t>
      </w:r>
      <w:r w:rsidR="00D67EB8" w:rsidRPr="009118AB">
        <w:rPr>
          <w:i/>
          <w:iCs/>
        </w:rPr>
        <w:t>Art. </w:t>
      </w:r>
      <w:r w:rsidR="000D01E3" w:rsidRPr="009118AB">
        <w:rPr>
          <w:i/>
          <w:iCs/>
        </w:rPr>
        <w:t>40</w:t>
      </w:r>
      <w:r w:rsidR="000D01E3" w:rsidRPr="009118AB">
        <w:rPr>
          <w:i/>
        </w:rPr>
        <w:t xml:space="preserve"> des G. vom 8. Mai 2014 (B.S. vom 28. Mai 2014)</w:t>
      </w:r>
      <w:r w:rsidR="00D67EB8" w:rsidRPr="009118AB">
        <w:rPr>
          <w:i/>
        </w:rPr>
        <w:t> - </w:t>
      </w:r>
      <w:r w:rsidR="000D01E3" w:rsidRPr="009118AB">
        <w:rPr>
          <w:i/>
          <w:iCs/>
        </w:rPr>
        <w:t>anwendbar ab dem Steuerjahr 2015</w:t>
      </w:r>
      <w:r w:rsidR="00FD68E8" w:rsidRPr="009118AB">
        <w:rPr>
          <w:i/>
          <w:iCs/>
        </w:rPr>
        <w:t> -]</w:t>
      </w:r>
    </w:p>
    <w:p w14:paraId="289BEF08" w14:textId="1B4F3438" w:rsidR="003B08AD" w:rsidRPr="009118AB" w:rsidRDefault="003B08AD" w:rsidP="003B08AD">
      <w:pPr>
        <w:jc w:val="center"/>
      </w:pPr>
      <w:r w:rsidRPr="009118AB">
        <w:rPr>
          <w:iCs/>
        </w:rPr>
        <w:br w:type="page"/>
      </w:r>
      <w:r w:rsidRPr="009118AB">
        <w:rPr>
          <w:iCs/>
        </w:rPr>
        <w:lastRenderedPageBreak/>
        <w:t>[</w:t>
      </w:r>
      <w:r w:rsidRPr="009118AB">
        <w:t>Unterabschnitt 2</w:t>
      </w:r>
      <w:r w:rsidRPr="009118AB">
        <w:rPr>
          <w:i/>
        </w:rPr>
        <w:t>sexdecies</w:t>
      </w:r>
      <w:r w:rsidR="00D67EB8" w:rsidRPr="009118AB">
        <w:t> - </w:t>
      </w:r>
      <w:r w:rsidRPr="009118AB">
        <w:t>Steuerermäßigung für Kinderbetreuung]</w:t>
      </w:r>
    </w:p>
    <w:p w14:paraId="012DD2B6" w14:textId="77777777" w:rsidR="003B08AD" w:rsidRPr="009118AB" w:rsidRDefault="003B08AD" w:rsidP="003B08AD">
      <w:pPr>
        <w:jc w:val="center"/>
      </w:pPr>
    </w:p>
    <w:p w14:paraId="55F94A8F" w14:textId="7F9EAFDF" w:rsidR="003B08AD" w:rsidRPr="009118AB" w:rsidRDefault="003B08AD" w:rsidP="003B08AD">
      <w:pPr>
        <w:jc w:val="both"/>
        <w:rPr>
          <w:i/>
          <w:iCs/>
        </w:rPr>
      </w:pPr>
      <w:r w:rsidRPr="009118AB">
        <w:rPr>
          <w:i/>
        </w:rPr>
        <w:t>[</w:t>
      </w:r>
      <w:r w:rsidR="00FF68D0" w:rsidRPr="009118AB">
        <w:rPr>
          <w:i/>
        </w:rPr>
        <w:t xml:space="preserve">Unterteilung </w:t>
      </w:r>
      <w:r w:rsidRPr="009118AB">
        <w:rPr>
          <w:i/>
        </w:rPr>
        <w:t xml:space="preserve">Unterabschnitt 2sexdecies eingefügt durch </w:t>
      </w:r>
      <w:r w:rsidR="00D67EB8" w:rsidRPr="009118AB">
        <w:rPr>
          <w:i/>
        </w:rPr>
        <w:t>Art. </w:t>
      </w:r>
      <w:r w:rsidRPr="009118AB">
        <w:rPr>
          <w:i/>
        </w:rPr>
        <w:t>28</w:t>
      </w:r>
      <w:r w:rsidRPr="009118AB">
        <w:rPr>
          <w:i/>
          <w:iCs/>
        </w:rPr>
        <w:t xml:space="preserve"> des G. vom 13.</w:t>
      </w:r>
      <w:r w:rsidR="00BE49C8" w:rsidRPr="009118AB">
        <w:rPr>
          <w:i/>
          <w:iCs/>
        </w:rPr>
        <w:t> D</w:t>
      </w:r>
      <w:r w:rsidRPr="009118AB">
        <w:rPr>
          <w:i/>
          <w:iCs/>
        </w:rPr>
        <w:t>ezember</w:t>
      </w:r>
      <w:r w:rsidR="00BE49C8" w:rsidRPr="009118AB">
        <w:rPr>
          <w:i/>
          <w:iCs/>
        </w:rPr>
        <w:t> </w:t>
      </w:r>
      <w:r w:rsidRPr="009118AB">
        <w:rPr>
          <w:i/>
          <w:iCs/>
        </w:rPr>
        <w:t>2012 (B.S. vom 20. Dezember 2012)</w:t>
      </w:r>
      <w:r w:rsidR="00D67EB8" w:rsidRPr="009118AB">
        <w:rPr>
          <w:i/>
          <w:iCs/>
        </w:rPr>
        <w:t> - </w:t>
      </w:r>
      <w:r w:rsidRPr="009118AB">
        <w:rPr>
          <w:i/>
          <w:iCs/>
        </w:rPr>
        <w:t>in Kraft ab dem Steuerjahr 2013</w:t>
      </w:r>
      <w:r w:rsidR="00FD68E8" w:rsidRPr="009118AB">
        <w:rPr>
          <w:i/>
          <w:iCs/>
        </w:rPr>
        <w:t> -]</w:t>
      </w:r>
    </w:p>
    <w:p w14:paraId="57AE43DD" w14:textId="77777777" w:rsidR="003B08AD" w:rsidRPr="009118AB" w:rsidRDefault="003B08AD" w:rsidP="003B08AD">
      <w:pPr>
        <w:jc w:val="both"/>
        <w:rPr>
          <w:iCs/>
        </w:rPr>
      </w:pPr>
    </w:p>
    <w:p w14:paraId="536E5A83" w14:textId="77777777" w:rsidR="003B08AD" w:rsidRPr="009118AB" w:rsidRDefault="003B08AD" w:rsidP="003B08AD">
      <w:pPr>
        <w:jc w:val="both"/>
        <w:rPr>
          <w:iCs/>
        </w:rPr>
      </w:pPr>
    </w:p>
    <w:p w14:paraId="238F7F27" w14:textId="3AFD29CD" w:rsidR="00DE2B4D" w:rsidRPr="009118AB" w:rsidRDefault="003B08AD" w:rsidP="00C1103C">
      <w:pPr>
        <w:ind w:firstLine="708"/>
        <w:jc w:val="both"/>
        <w:rPr>
          <w:iCs/>
        </w:rPr>
      </w:pPr>
      <w:r w:rsidRPr="009118AB">
        <w:rPr>
          <w:iCs/>
        </w:rPr>
        <w:t>[</w:t>
      </w:r>
      <w:r w:rsidR="00D67EB8" w:rsidRPr="009118AB">
        <w:rPr>
          <w:b/>
        </w:rPr>
        <w:t>Art. </w:t>
      </w:r>
      <w:r w:rsidRPr="009118AB">
        <w:rPr>
          <w:b/>
        </w:rPr>
        <w:t>145</w:t>
      </w:r>
      <w:r w:rsidRPr="009118AB">
        <w:rPr>
          <w:b/>
          <w:vertAlign w:val="superscript"/>
        </w:rPr>
        <w:t>35</w:t>
      </w:r>
      <w:r w:rsidR="00D67EB8" w:rsidRPr="009118AB">
        <w:t> - </w:t>
      </w:r>
      <w:r w:rsidR="00DE2B4D" w:rsidRPr="009118AB">
        <w:rPr>
          <w:iCs/>
        </w:rPr>
        <w:t>Eine Steuerermäßigung wird für Ausgaben gewährt, die tatsächlich während des Besteuerungszeitraums für die Betreuung eines oder mehrerer Kinder gezahlt oder zuerkannt werden:</w:t>
      </w:r>
    </w:p>
    <w:p w14:paraId="530DC7AB" w14:textId="77777777" w:rsidR="00DE2B4D" w:rsidRPr="009118AB" w:rsidRDefault="00DE2B4D" w:rsidP="00DE2B4D">
      <w:pPr>
        <w:jc w:val="both"/>
        <w:rPr>
          <w:iCs/>
        </w:rPr>
      </w:pPr>
    </w:p>
    <w:p w14:paraId="52B1D66B" w14:textId="2060FD29" w:rsidR="00DE2B4D" w:rsidRPr="009118AB" w:rsidRDefault="00C1103C" w:rsidP="00DE2B4D">
      <w:pPr>
        <w:jc w:val="both"/>
        <w:rPr>
          <w:iCs/>
        </w:rPr>
      </w:pPr>
      <w:r w:rsidRPr="009118AB">
        <w:rPr>
          <w:iCs/>
        </w:rPr>
        <w:tab/>
      </w:r>
      <w:r w:rsidR="00DE2B4D" w:rsidRPr="009118AB">
        <w:rPr>
          <w:iCs/>
        </w:rPr>
        <w:t>- die entweder der Steuerpflichtige zu Lasten hat</w:t>
      </w:r>
    </w:p>
    <w:p w14:paraId="0B7BA4E9" w14:textId="77777777" w:rsidR="00DE2B4D" w:rsidRPr="009118AB" w:rsidRDefault="00DE2B4D" w:rsidP="00DE2B4D">
      <w:pPr>
        <w:jc w:val="both"/>
        <w:rPr>
          <w:iCs/>
        </w:rPr>
      </w:pPr>
    </w:p>
    <w:p w14:paraId="2172308D" w14:textId="11E662D2" w:rsidR="00DE2B4D" w:rsidRPr="009118AB" w:rsidRDefault="00C1103C" w:rsidP="00DE2B4D">
      <w:pPr>
        <w:jc w:val="both"/>
        <w:rPr>
          <w:iCs/>
        </w:rPr>
      </w:pPr>
      <w:r w:rsidRPr="009118AB">
        <w:rPr>
          <w:iCs/>
        </w:rPr>
        <w:tab/>
      </w:r>
      <w:r w:rsidR="00DE2B4D" w:rsidRPr="009118AB">
        <w:rPr>
          <w:iCs/>
        </w:rPr>
        <w:t>- oder für die dem Steuerpflichtigen in Anwendung von Artikel 132</w:t>
      </w:r>
      <w:r w:rsidR="00DE2B4D" w:rsidRPr="009118AB">
        <w:rPr>
          <w:i/>
          <w:iCs/>
        </w:rPr>
        <w:t>bis</w:t>
      </w:r>
      <w:r w:rsidR="00DE2B4D" w:rsidRPr="009118AB">
        <w:rPr>
          <w:iCs/>
        </w:rPr>
        <w:t xml:space="preserve"> die Hälfte der in Artikel 132 Absatz 1 </w:t>
      </w:r>
      <w:r w:rsidR="00D67EB8" w:rsidRPr="009118AB">
        <w:rPr>
          <w:iCs/>
        </w:rPr>
        <w:t>Nr. </w:t>
      </w:r>
      <w:r w:rsidR="00DE2B4D" w:rsidRPr="009118AB">
        <w:rPr>
          <w:iCs/>
        </w:rPr>
        <w:t>1 bis 5 erwähnten Zuschläge zum Steuerfreibetrag zuerkannt wird.</w:t>
      </w:r>
    </w:p>
    <w:p w14:paraId="34BD43A7" w14:textId="77777777" w:rsidR="00DE2B4D" w:rsidRPr="009118AB" w:rsidRDefault="00DE2B4D" w:rsidP="00DE2B4D">
      <w:pPr>
        <w:jc w:val="both"/>
        <w:rPr>
          <w:iCs/>
        </w:rPr>
      </w:pPr>
    </w:p>
    <w:p w14:paraId="5BD91A82" w14:textId="08EFF44C" w:rsidR="00DE2B4D" w:rsidRPr="009118AB" w:rsidRDefault="00C1103C" w:rsidP="00DE2B4D">
      <w:pPr>
        <w:jc w:val="both"/>
        <w:rPr>
          <w:iCs/>
        </w:rPr>
      </w:pPr>
      <w:r w:rsidRPr="009118AB">
        <w:rPr>
          <w:iCs/>
        </w:rPr>
        <w:tab/>
      </w:r>
      <w:r w:rsidR="00DE2B4D" w:rsidRPr="009118AB">
        <w:rPr>
          <w:iCs/>
        </w:rPr>
        <w:t>Die Steuerermäßigung wird unter folgenden Bedingungen gewährt:</w:t>
      </w:r>
    </w:p>
    <w:p w14:paraId="32DAD9F3" w14:textId="77777777" w:rsidR="00DE2B4D" w:rsidRPr="009118AB" w:rsidRDefault="00DE2B4D" w:rsidP="00DE2B4D">
      <w:pPr>
        <w:jc w:val="both"/>
        <w:rPr>
          <w:iCs/>
        </w:rPr>
      </w:pPr>
    </w:p>
    <w:p w14:paraId="10E80843" w14:textId="787BBA1C" w:rsidR="00DE2B4D" w:rsidRPr="009118AB" w:rsidRDefault="00C1103C" w:rsidP="00DE2B4D">
      <w:pPr>
        <w:jc w:val="both"/>
        <w:rPr>
          <w:iCs/>
        </w:rPr>
      </w:pPr>
      <w:r w:rsidRPr="009118AB">
        <w:rPr>
          <w:iCs/>
        </w:rPr>
        <w:tab/>
      </w:r>
      <w:r w:rsidR="00DE2B4D" w:rsidRPr="009118AB">
        <w:rPr>
          <w:iCs/>
        </w:rPr>
        <w:t>1. Die Ausgaben beziehen sich auf die Bezahlung der Kinderbetreuung im Europäischen Wirtschaftsraum außerhalb der normalen Unterrichtsstunden, in denen das Kind unterrichtet wird, und müssen für Kinder getätigt werden, die jünger als [vierzehn Jahre] sind.</w:t>
      </w:r>
    </w:p>
    <w:p w14:paraId="3091A2AB" w14:textId="77777777" w:rsidR="00DE2B4D" w:rsidRPr="009118AB" w:rsidRDefault="00DE2B4D" w:rsidP="00DE2B4D">
      <w:pPr>
        <w:jc w:val="both"/>
        <w:rPr>
          <w:iCs/>
        </w:rPr>
      </w:pPr>
    </w:p>
    <w:p w14:paraId="5E1A5A07" w14:textId="3D9FAE59" w:rsidR="00DE2B4D" w:rsidRPr="009118AB" w:rsidRDefault="00C1103C" w:rsidP="00DE2B4D">
      <w:pPr>
        <w:jc w:val="both"/>
        <w:rPr>
          <w:iCs/>
        </w:rPr>
      </w:pPr>
      <w:r w:rsidRPr="009118AB">
        <w:rPr>
          <w:iCs/>
        </w:rPr>
        <w:tab/>
      </w:r>
      <w:r w:rsidR="00DE2B4D" w:rsidRPr="009118AB">
        <w:rPr>
          <w:iCs/>
        </w:rPr>
        <w:t>2. Der Steuerpflichtige bezieht Berufseinkünfte.</w:t>
      </w:r>
    </w:p>
    <w:p w14:paraId="33FCAB91" w14:textId="77777777" w:rsidR="00DE2B4D" w:rsidRPr="009118AB" w:rsidRDefault="00DE2B4D" w:rsidP="00DE2B4D">
      <w:pPr>
        <w:jc w:val="both"/>
        <w:rPr>
          <w:iCs/>
        </w:rPr>
      </w:pPr>
    </w:p>
    <w:p w14:paraId="7F4E982A" w14:textId="6B05E043" w:rsidR="00DE2B4D" w:rsidRPr="009118AB" w:rsidRDefault="00C1103C" w:rsidP="00DE2B4D">
      <w:pPr>
        <w:jc w:val="both"/>
        <w:rPr>
          <w:iCs/>
        </w:rPr>
      </w:pPr>
      <w:r w:rsidRPr="009118AB">
        <w:rPr>
          <w:iCs/>
        </w:rPr>
        <w:tab/>
      </w:r>
      <w:r w:rsidR="00DE2B4D" w:rsidRPr="009118AB">
        <w:rPr>
          <w:iCs/>
        </w:rPr>
        <w:t>3. Die Ausgaben werden gezahlt:</w:t>
      </w:r>
    </w:p>
    <w:p w14:paraId="05306FD5" w14:textId="77777777" w:rsidR="00DE2B4D" w:rsidRPr="009118AB" w:rsidRDefault="00DE2B4D" w:rsidP="00DE2B4D">
      <w:pPr>
        <w:jc w:val="both"/>
        <w:rPr>
          <w:iCs/>
        </w:rPr>
      </w:pPr>
    </w:p>
    <w:p w14:paraId="2E3EF980" w14:textId="5B795FC0" w:rsidR="00DE2B4D" w:rsidRPr="009118AB" w:rsidRDefault="00C1103C" w:rsidP="00DE2B4D">
      <w:pPr>
        <w:jc w:val="both"/>
        <w:rPr>
          <w:iCs/>
        </w:rPr>
      </w:pPr>
      <w:r w:rsidRPr="009118AB">
        <w:rPr>
          <w:i/>
          <w:iCs/>
        </w:rPr>
        <w:tab/>
      </w:r>
      <w:r w:rsidR="00DE2B4D" w:rsidRPr="009118AB">
        <w:rPr>
          <w:i/>
          <w:iCs/>
        </w:rPr>
        <w:t>a)</w:t>
      </w:r>
      <w:r w:rsidR="00DE2B4D" w:rsidRPr="009118AB">
        <w:rPr>
          <w:iCs/>
        </w:rPr>
        <w:t> entweder an Einrichtungen oder Betreuungszentren, die [zugelassen, anerkannt, bezuschusst oder kontrolliert] werden [oder denen ein Qualitätszeichen zuerkannt worden ist]:</w:t>
      </w:r>
    </w:p>
    <w:p w14:paraId="40F6630A" w14:textId="77777777" w:rsidR="00DE2B4D" w:rsidRPr="009118AB" w:rsidRDefault="00DE2B4D" w:rsidP="00DE2B4D">
      <w:pPr>
        <w:jc w:val="both"/>
        <w:rPr>
          <w:iCs/>
        </w:rPr>
      </w:pPr>
    </w:p>
    <w:p w14:paraId="474251AC" w14:textId="5A5B3ADD" w:rsidR="00DE2B4D" w:rsidRPr="009118AB" w:rsidRDefault="00C1103C" w:rsidP="00DE2B4D">
      <w:pPr>
        <w:jc w:val="both"/>
        <w:rPr>
          <w:iCs/>
        </w:rPr>
      </w:pPr>
      <w:r w:rsidRPr="009118AB">
        <w:rPr>
          <w:iCs/>
        </w:rPr>
        <w:tab/>
      </w:r>
      <w:r w:rsidR="00DE2B4D" w:rsidRPr="009118AB">
        <w:rPr>
          <w:iCs/>
        </w:rPr>
        <w:t>- von der Regierung der Deutschsprachigen Gemeinschaft, dem "Office de la Naissance et de l'Enfance" oder "</w:t>
      </w:r>
      <w:r w:rsidR="00693BFA" w:rsidRPr="009118AB">
        <w:rPr>
          <w:iCs/>
        </w:rPr>
        <w:t>[</w:t>
      </w:r>
      <w:r w:rsidR="00693BFA" w:rsidRPr="009118AB">
        <w:t>Opgroeien regie]</w:t>
      </w:r>
      <w:r w:rsidR="00DE2B4D" w:rsidRPr="009118AB">
        <w:rPr>
          <w:iCs/>
        </w:rPr>
        <w:t>"</w:t>
      </w:r>
    </w:p>
    <w:p w14:paraId="5644018F" w14:textId="77777777" w:rsidR="00DE2B4D" w:rsidRPr="009118AB" w:rsidRDefault="00DE2B4D" w:rsidP="00DE2B4D">
      <w:pPr>
        <w:jc w:val="both"/>
        <w:rPr>
          <w:iCs/>
        </w:rPr>
      </w:pPr>
    </w:p>
    <w:p w14:paraId="09FCAF22" w14:textId="78EE229F" w:rsidR="00DE2B4D" w:rsidRPr="009118AB" w:rsidRDefault="00C1103C" w:rsidP="00DE2B4D">
      <w:pPr>
        <w:jc w:val="both"/>
        <w:rPr>
          <w:iCs/>
        </w:rPr>
      </w:pPr>
      <w:r w:rsidRPr="009118AB">
        <w:rPr>
          <w:iCs/>
        </w:rPr>
        <w:tab/>
      </w:r>
      <w:r w:rsidR="00DE2B4D" w:rsidRPr="009118AB">
        <w:rPr>
          <w:iCs/>
        </w:rPr>
        <w:t>- oder von lokalen öffentlichen Behörden, öffentlichen Behörden der Gemeinschaften, die nicht im ersten Gedankenstrich erwähnt sind, oder öffentlichen Behörden der Regionen</w:t>
      </w:r>
    </w:p>
    <w:p w14:paraId="3DD75935" w14:textId="77777777" w:rsidR="00DE2B4D" w:rsidRPr="009118AB" w:rsidRDefault="00DE2B4D" w:rsidP="00DE2B4D">
      <w:pPr>
        <w:jc w:val="both"/>
        <w:rPr>
          <w:iCs/>
        </w:rPr>
      </w:pPr>
    </w:p>
    <w:p w14:paraId="09862664" w14:textId="62B33501" w:rsidR="00DE2B4D" w:rsidRPr="009118AB" w:rsidRDefault="00C1103C" w:rsidP="00DE2B4D">
      <w:pPr>
        <w:jc w:val="both"/>
        <w:rPr>
          <w:iCs/>
        </w:rPr>
      </w:pPr>
      <w:r w:rsidRPr="009118AB">
        <w:rPr>
          <w:iCs/>
        </w:rPr>
        <w:tab/>
      </w:r>
      <w:r w:rsidR="00DE2B4D" w:rsidRPr="009118AB">
        <w:rPr>
          <w:iCs/>
        </w:rPr>
        <w:t>- oder von ausländischen öffentlichen Einrichtungen, die in einem anderen Mitgliedstaat des Europäischen Wirtschaftsraums ansässig sind,</w:t>
      </w:r>
    </w:p>
    <w:p w14:paraId="7A7B7F86" w14:textId="77777777" w:rsidR="00DE2B4D" w:rsidRPr="009118AB" w:rsidRDefault="00DE2B4D" w:rsidP="00DE2B4D">
      <w:pPr>
        <w:jc w:val="both"/>
        <w:rPr>
          <w:iCs/>
        </w:rPr>
      </w:pPr>
    </w:p>
    <w:p w14:paraId="6ED83688" w14:textId="10056253" w:rsidR="00DE2B4D" w:rsidRPr="009118AB" w:rsidRDefault="00C1103C" w:rsidP="00DE2B4D">
      <w:pPr>
        <w:jc w:val="both"/>
        <w:rPr>
          <w:iCs/>
        </w:rPr>
      </w:pPr>
      <w:r w:rsidRPr="009118AB">
        <w:rPr>
          <w:i/>
          <w:iCs/>
        </w:rPr>
        <w:tab/>
      </w:r>
      <w:r w:rsidR="00DE2B4D" w:rsidRPr="009118AB">
        <w:rPr>
          <w:i/>
          <w:iCs/>
        </w:rPr>
        <w:t>b)</w:t>
      </w:r>
      <w:r w:rsidR="00DE2B4D" w:rsidRPr="009118AB">
        <w:rPr>
          <w:iCs/>
        </w:rPr>
        <w:t> oder an selbständige Aufnahmefamilien oder an Kindertagesstätten, die von den in Buchstabe </w:t>
      </w:r>
      <w:r w:rsidR="00DE2B4D" w:rsidRPr="009118AB">
        <w:rPr>
          <w:i/>
          <w:iCs/>
        </w:rPr>
        <w:t>a)</w:t>
      </w:r>
      <w:r w:rsidR="00DE2B4D" w:rsidRPr="009118AB">
        <w:rPr>
          <w:iCs/>
        </w:rPr>
        <w:t xml:space="preserve"> erster oder dritter Gedankenstrich erwähnten Stellen beaufsichtigt werden,</w:t>
      </w:r>
    </w:p>
    <w:p w14:paraId="77B0ED2C" w14:textId="77777777" w:rsidR="00DE2B4D" w:rsidRPr="009118AB" w:rsidRDefault="00DE2B4D" w:rsidP="00DE2B4D">
      <w:pPr>
        <w:jc w:val="both"/>
        <w:rPr>
          <w:iCs/>
        </w:rPr>
      </w:pPr>
    </w:p>
    <w:p w14:paraId="5987B53B" w14:textId="3999C067" w:rsidR="00DE2B4D" w:rsidRPr="009118AB" w:rsidRDefault="00C1103C" w:rsidP="00DE2B4D">
      <w:pPr>
        <w:jc w:val="both"/>
        <w:rPr>
          <w:iCs/>
        </w:rPr>
      </w:pPr>
      <w:r w:rsidRPr="009118AB">
        <w:rPr>
          <w:i/>
          <w:iCs/>
        </w:rPr>
        <w:tab/>
      </w:r>
      <w:r w:rsidR="00DE2B4D" w:rsidRPr="009118AB">
        <w:rPr>
          <w:i/>
          <w:iCs/>
        </w:rPr>
        <w:t>c)</w:t>
      </w:r>
      <w:r w:rsidR="00DE2B4D" w:rsidRPr="009118AB">
        <w:rPr>
          <w:iCs/>
        </w:rPr>
        <w:t> oder an Schulen, die im Europäischen Wirtschaftsraum ansässig sind, oder an Einrichtungen oder Betreuungsstellen, die mit der Schule oder dem Schulträger verbunden sind,</w:t>
      </w:r>
    </w:p>
    <w:p w14:paraId="46408933" w14:textId="77777777" w:rsidR="00DE2B4D" w:rsidRPr="009118AB" w:rsidRDefault="00DE2B4D" w:rsidP="00DE2B4D">
      <w:pPr>
        <w:jc w:val="both"/>
        <w:rPr>
          <w:iCs/>
        </w:rPr>
      </w:pPr>
    </w:p>
    <w:p w14:paraId="34DC5187" w14:textId="5A76F660" w:rsidR="00DE2B4D" w:rsidRPr="009118AB" w:rsidRDefault="00C1103C" w:rsidP="00DE2B4D">
      <w:pPr>
        <w:jc w:val="both"/>
        <w:rPr>
          <w:iCs/>
        </w:rPr>
      </w:pPr>
      <w:r w:rsidRPr="009118AB">
        <w:rPr>
          <w:iCs/>
        </w:rPr>
        <w:tab/>
      </w:r>
      <w:r w:rsidR="00DE2B4D" w:rsidRPr="009118AB">
        <w:rPr>
          <w:iCs/>
        </w:rPr>
        <w:t>[</w:t>
      </w:r>
      <w:r w:rsidR="00DE2B4D" w:rsidRPr="009118AB">
        <w:rPr>
          <w:i/>
          <w:iCs/>
        </w:rPr>
        <w:t>d)</w:t>
      </w:r>
      <w:r w:rsidR="00DE2B4D" w:rsidRPr="009118AB">
        <w:rPr>
          <w:iCs/>
        </w:rPr>
        <w:t> oder an Organisationen, die im Europäischen Wirtschaftsraum ansässig sind und eine häusliche Betreuung für kranke Kinder durch berufliche Betreuer organisieren, oder an selbständige Betreuer, die kranke Kinder im Rahmen ihrer Berufstätigkeit, die sie im Europäischen Wirtschaftsraum ausüben, betreuen.]</w:t>
      </w:r>
    </w:p>
    <w:p w14:paraId="03308662" w14:textId="77777777" w:rsidR="00DE2B4D" w:rsidRPr="009118AB" w:rsidRDefault="00DE2B4D" w:rsidP="00DE2B4D">
      <w:pPr>
        <w:jc w:val="both"/>
        <w:rPr>
          <w:iCs/>
        </w:rPr>
      </w:pPr>
    </w:p>
    <w:p w14:paraId="77A00503" w14:textId="4A702667" w:rsidR="00DE2B4D" w:rsidRPr="009118AB" w:rsidRDefault="00C1103C" w:rsidP="00DE2B4D">
      <w:pPr>
        <w:jc w:val="both"/>
        <w:rPr>
          <w:iCs/>
        </w:rPr>
      </w:pPr>
      <w:r w:rsidRPr="009118AB">
        <w:rPr>
          <w:iCs/>
        </w:rPr>
        <w:tab/>
      </w:r>
      <w:r w:rsidR="00DE2B4D" w:rsidRPr="009118AB">
        <w:rPr>
          <w:iCs/>
        </w:rPr>
        <w:t xml:space="preserve">[4. Die Ausgaben werden durch die Bescheinigung nachgewiesen, die die in </w:t>
      </w:r>
      <w:r w:rsidR="00D67EB8" w:rsidRPr="009118AB">
        <w:rPr>
          <w:iCs/>
        </w:rPr>
        <w:t>Nr. </w:t>
      </w:r>
      <w:r w:rsidR="00DE2B4D" w:rsidRPr="009118AB">
        <w:rPr>
          <w:iCs/>
        </w:rPr>
        <w:t xml:space="preserve">3 erwähnten Stellen, die auf belgischem Staatsgebiet ansässig sind, dem Steuerpflichtigen </w:t>
      </w:r>
      <w:r w:rsidR="00DE2B4D" w:rsidRPr="009118AB">
        <w:rPr>
          <w:iCs/>
        </w:rPr>
        <w:lastRenderedPageBreak/>
        <w:t>ausstellen müssen, der die Ausgaben getätigt hat. Das Muster dieser Bescheinigung wird vom König festgelegt.]</w:t>
      </w:r>
    </w:p>
    <w:p w14:paraId="50ED32C3" w14:textId="77777777" w:rsidR="00DE2B4D" w:rsidRPr="009118AB" w:rsidRDefault="00DE2B4D" w:rsidP="00DE2B4D">
      <w:pPr>
        <w:jc w:val="both"/>
        <w:rPr>
          <w:iCs/>
        </w:rPr>
      </w:pPr>
    </w:p>
    <w:p w14:paraId="36C1382F" w14:textId="3DDC4155" w:rsidR="00DE2B4D" w:rsidRPr="009118AB" w:rsidRDefault="00C1103C" w:rsidP="00DE2B4D">
      <w:pPr>
        <w:jc w:val="both"/>
        <w:rPr>
          <w:iCs/>
        </w:rPr>
      </w:pPr>
      <w:r w:rsidRPr="009118AB">
        <w:rPr>
          <w:iCs/>
        </w:rPr>
        <w:tab/>
      </w:r>
      <w:r w:rsidR="00DE2B4D" w:rsidRPr="009118AB">
        <w:rPr>
          <w:iCs/>
        </w:rPr>
        <w:t xml:space="preserve">In Abweichung von Absatz 2 </w:t>
      </w:r>
      <w:r w:rsidR="00D67EB8" w:rsidRPr="009118AB">
        <w:rPr>
          <w:iCs/>
        </w:rPr>
        <w:t>Nr. </w:t>
      </w:r>
      <w:r w:rsidR="00DE2B4D" w:rsidRPr="009118AB">
        <w:rPr>
          <w:iCs/>
        </w:rPr>
        <w:t>1 wird für Ausgaben für die Betreuung von Kindern mit schwerer Behinderung [unter einundzwanzig Jahren] unter denselben Bedingungen ebenfalls eine Steuerermäßigung gewährt.</w:t>
      </w:r>
    </w:p>
    <w:p w14:paraId="2D9538A5" w14:textId="77777777" w:rsidR="00DE2B4D" w:rsidRPr="009118AB" w:rsidRDefault="00DE2B4D" w:rsidP="00DE2B4D">
      <w:pPr>
        <w:jc w:val="both"/>
        <w:rPr>
          <w:iCs/>
        </w:rPr>
      </w:pPr>
    </w:p>
    <w:p w14:paraId="50AAD60D" w14:textId="140306CC" w:rsidR="00DE2B4D" w:rsidRPr="009118AB" w:rsidRDefault="00C1103C" w:rsidP="00DE2B4D">
      <w:pPr>
        <w:jc w:val="both"/>
        <w:rPr>
          <w:iCs/>
        </w:rPr>
      </w:pPr>
      <w:r w:rsidRPr="009118AB">
        <w:rPr>
          <w:iCs/>
        </w:rPr>
        <w:tab/>
      </w:r>
      <w:r w:rsidR="00DE2B4D" w:rsidRPr="009118AB">
        <w:rPr>
          <w:iCs/>
        </w:rPr>
        <w:t>Für die Anwendung des vorliegenden Artikels versteht man unter "Kind mit schwerer Behinderung" ein Kind, das auf der Grundlage eines der folgenden Kriterien Anrecht auf erhöhte Kinderzulagen hat:</w:t>
      </w:r>
    </w:p>
    <w:p w14:paraId="44E28ED5" w14:textId="77777777" w:rsidR="00DE2B4D" w:rsidRPr="009118AB" w:rsidRDefault="00DE2B4D" w:rsidP="00DE2B4D">
      <w:pPr>
        <w:jc w:val="both"/>
        <w:rPr>
          <w:iCs/>
        </w:rPr>
      </w:pPr>
    </w:p>
    <w:p w14:paraId="428E609D" w14:textId="53286A98" w:rsidR="00DE2B4D" w:rsidRPr="009118AB" w:rsidRDefault="00C1103C" w:rsidP="00DE2B4D">
      <w:pPr>
        <w:jc w:val="both"/>
        <w:rPr>
          <w:iCs/>
        </w:rPr>
      </w:pPr>
      <w:r w:rsidRPr="009118AB">
        <w:rPr>
          <w:iCs/>
        </w:rPr>
        <w:tab/>
      </w:r>
      <w:r w:rsidR="00DE2B4D" w:rsidRPr="009118AB">
        <w:rPr>
          <w:iCs/>
        </w:rPr>
        <w:t>1. entweder eine körperliche oder geistige Unfähigkeit von mehr als 80 Prozent mit einem Selbständigkeitsgrad von sieben bis neun Punkten aufweisen, der anhand des Leitfadens gemessen wird, der dem Königlichen Erlass vom 3. Mai 1991 zur Ausführung der Artikel 47, 56</w:t>
      </w:r>
      <w:r w:rsidR="00DE2B4D" w:rsidRPr="009118AB">
        <w:rPr>
          <w:i/>
          <w:iCs/>
        </w:rPr>
        <w:t>septies</w:t>
      </w:r>
      <w:r w:rsidR="00DE2B4D" w:rsidRPr="009118AB">
        <w:rPr>
          <w:iCs/>
        </w:rPr>
        <w:t xml:space="preserve"> und 63 der koordinierten Gesetze über die Familienbeihilfen für Lohnempfänger und des Artikels 96 des Gesetzes vom 29. Dezember 1990 zur Festlegung sozialer Bestimmungen beigefügt ist,</w:t>
      </w:r>
    </w:p>
    <w:p w14:paraId="6B1D3BB4" w14:textId="77777777" w:rsidR="00DE2B4D" w:rsidRPr="009118AB" w:rsidRDefault="00DE2B4D" w:rsidP="00DE2B4D">
      <w:pPr>
        <w:jc w:val="both"/>
        <w:rPr>
          <w:iCs/>
        </w:rPr>
      </w:pPr>
    </w:p>
    <w:p w14:paraId="5B884BF8" w14:textId="508E22AF" w:rsidR="00DE2B4D" w:rsidRPr="009118AB" w:rsidRDefault="00C1103C" w:rsidP="00DE2B4D">
      <w:pPr>
        <w:jc w:val="both"/>
        <w:rPr>
          <w:iCs/>
        </w:rPr>
      </w:pPr>
      <w:r w:rsidRPr="009118AB">
        <w:rPr>
          <w:iCs/>
        </w:rPr>
        <w:tab/>
      </w:r>
      <w:r w:rsidR="00DE2B4D" w:rsidRPr="009118AB">
        <w:rPr>
          <w:iCs/>
        </w:rPr>
        <w:t>2. oder eine Gesamtanzahl von mindestens fünfzehn Punkten aufweisen, die festgelegt wird nach der sozialmedizinischen Tabelle gemäß dem Königlichen Erlass vom 28. März 2003 zur Ausführung der Artikel 47, 56</w:t>
      </w:r>
      <w:r w:rsidR="00DE2B4D" w:rsidRPr="009118AB">
        <w:rPr>
          <w:i/>
          <w:iCs/>
        </w:rPr>
        <w:t>septies</w:t>
      </w:r>
      <w:r w:rsidR="00DE2B4D" w:rsidRPr="009118AB">
        <w:rPr>
          <w:iCs/>
        </w:rPr>
        <w:t xml:space="preserve"> und 63 der koordinierten Gesetze über die Familienbeihilfen für Lohnempfänger und des Artikels 88 des Programmgesetzes (I) vom 24. Dezember 2002.</w:t>
      </w:r>
    </w:p>
    <w:p w14:paraId="16D7525F" w14:textId="77777777" w:rsidR="00DE2B4D" w:rsidRPr="009118AB" w:rsidRDefault="00DE2B4D" w:rsidP="00DE2B4D">
      <w:pPr>
        <w:jc w:val="both"/>
        <w:rPr>
          <w:iCs/>
        </w:rPr>
      </w:pPr>
    </w:p>
    <w:p w14:paraId="5D7FC1DA" w14:textId="6BC0D5BB" w:rsidR="00DE2B4D" w:rsidRPr="009118AB" w:rsidRDefault="00C1103C" w:rsidP="00DE2B4D">
      <w:pPr>
        <w:jc w:val="both"/>
        <w:rPr>
          <w:iCs/>
        </w:rPr>
      </w:pPr>
      <w:r w:rsidRPr="009118AB">
        <w:rPr>
          <w:iCs/>
        </w:rPr>
        <w:tab/>
      </w:r>
      <w:r w:rsidR="00DE2B4D" w:rsidRPr="009118AB">
        <w:rPr>
          <w:iCs/>
        </w:rPr>
        <w:t xml:space="preserve">Die Steuerermäßigung für Kinderbetreuung kann nicht gleichzeitig mit der Erhöhung des Steuerfreibetrags gemäß Artikel 132 Absatz 1 </w:t>
      </w:r>
      <w:r w:rsidR="00D67EB8" w:rsidRPr="009118AB">
        <w:rPr>
          <w:iCs/>
        </w:rPr>
        <w:t>Nr. </w:t>
      </w:r>
      <w:r w:rsidR="00DE2B4D" w:rsidRPr="009118AB">
        <w:rPr>
          <w:iCs/>
        </w:rPr>
        <w:t xml:space="preserve">6 angewandt werden. </w:t>
      </w:r>
    </w:p>
    <w:p w14:paraId="093CC302" w14:textId="77777777" w:rsidR="00DE2B4D" w:rsidRPr="009118AB" w:rsidRDefault="00DE2B4D" w:rsidP="00DE2B4D">
      <w:pPr>
        <w:jc w:val="both"/>
        <w:rPr>
          <w:iCs/>
        </w:rPr>
      </w:pPr>
    </w:p>
    <w:p w14:paraId="7B11CC09" w14:textId="18ABEE70" w:rsidR="00DE2B4D" w:rsidRPr="009118AB" w:rsidRDefault="00C1103C" w:rsidP="00DE2B4D">
      <w:pPr>
        <w:jc w:val="both"/>
        <w:rPr>
          <w:iCs/>
        </w:rPr>
      </w:pPr>
      <w:r w:rsidRPr="009118AB">
        <w:rPr>
          <w:iCs/>
        </w:rPr>
        <w:tab/>
      </w:r>
      <w:r w:rsidR="00DE2B4D" w:rsidRPr="009118AB">
        <w:rPr>
          <w:iCs/>
        </w:rPr>
        <w:t>[Der Höchstbetrag der Ausgaben, die für die Ermäßigung in Betracht kommen, beläuft sich pro Betreuungstag und pro Kind auf [8,</w:t>
      </w:r>
      <w:r w:rsidR="00187DC6" w:rsidRPr="009118AB">
        <w:rPr>
          <w:iCs/>
        </w:rPr>
        <w:t>4</w:t>
      </w:r>
      <w:r w:rsidR="00DE2B4D" w:rsidRPr="009118AB">
        <w:rPr>
          <w:iCs/>
        </w:rPr>
        <w:t>0 EUR].]</w:t>
      </w:r>
    </w:p>
    <w:p w14:paraId="74CD6AD4" w14:textId="77777777" w:rsidR="00DE2B4D" w:rsidRPr="009118AB" w:rsidRDefault="00DE2B4D" w:rsidP="00DE2B4D">
      <w:pPr>
        <w:jc w:val="both"/>
        <w:rPr>
          <w:iCs/>
        </w:rPr>
      </w:pPr>
    </w:p>
    <w:p w14:paraId="07884712" w14:textId="7D3711E0" w:rsidR="00DE2B4D" w:rsidRPr="009118AB" w:rsidRDefault="00C1103C" w:rsidP="00DE2B4D">
      <w:pPr>
        <w:jc w:val="both"/>
        <w:rPr>
          <w:iCs/>
        </w:rPr>
      </w:pPr>
      <w:r w:rsidRPr="009118AB">
        <w:rPr>
          <w:iCs/>
        </w:rPr>
        <w:tab/>
      </w:r>
      <w:r w:rsidR="00DE2B4D" w:rsidRPr="009118AB">
        <w:rPr>
          <w:iCs/>
        </w:rPr>
        <w:t>Die Steuerermäßigung beträgt 45 Prozent der tatsächlich getätigten Ausgaben, die gegebenenfalls gemäß vorhergehendem Absatz begrenzt werden.</w:t>
      </w:r>
    </w:p>
    <w:p w14:paraId="121B415A" w14:textId="77777777" w:rsidR="00DE2B4D" w:rsidRPr="009118AB" w:rsidRDefault="00DE2B4D" w:rsidP="00DE2B4D">
      <w:pPr>
        <w:jc w:val="both"/>
        <w:rPr>
          <w:iCs/>
        </w:rPr>
      </w:pPr>
    </w:p>
    <w:p w14:paraId="3AA6DBEF" w14:textId="44B5C219" w:rsidR="00DE2B4D" w:rsidRPr="009118AB" w:rsidRDefault="00C1103C" w:rsidP="00DE2B4D">
      <w:pPr>
        <w:jc w:val="both"/>
        <w:rPr>
          <w:iCs/>
        </w:rPr>
      </w:pPr>
      <w:r w:rsidRPr="009118AB">
        <w:rPr>
          <w:iCs/>
        </w:rPr>
        <w:tab/>
      </w:r>
      <w:r w:rsidR="00DE2B4D" w:rsidRPr="009118AB">
        <w:rPr>
          <w:iCs/>
        </w:rPr>
        <w:t>[Wenn dem Steuerpflichtigen der in Artikel 133 Absatz 2 erwähnte zusätzliche Zuschlag gewährt wird, wird eine zusätzliche Steuerermäßigung zu folgenden Sätzen gewährt:</w:t>
      </w:r>
    </w:p>
    <w:p w14:paraId="2E50292E" w14:textId="77777777" w:rsidR="00DE2B4D" w:rsidRPr="009118AB" w:rsidRDefault="00DE2B4D" w:rsidP="00DE2B4D">
      <w:pPr>
        <w:jc w:val="both"/>
        <w:rPr>
          <w:iCs/>
        </w:rPr>
      </w:pPr>
    </w:p>
    <w:p w14:paraId="54489CE1" w14:textId="0BE41F83" w:rsidR="00DE2B4D" w:rsidRPr="009118AB" w:rsidRDefault="00C1103C" w:rsidP="00DE2B4D">
      <w:pPr>
        <w:jc w:val="both"/>
        <w:rPr>
          <w:iCs/>
        </w:rPr>
      </w:pPr>
      <w:r w:rsidRPr="009118AB">
        <w:rPr>
          <w:iCs/>
        </w:rPr>
        <w:tab/>
      </w:r>
      <w:r w:rsidR="00DE2B4D" w:rsidRPr="009118AB">
        <w:rPr>
          <w:iCs/>
        </w:rPr>
        <w:t>1. wenn der zusätzliche Zuschlag gemäß Artikel 133 Absatz 3 erster Gedankenstrich festgelegt wird: 30 Prozent,</w:t>
      </w:r>
    </w:p>
    <w:p w14:paraId="00B75569" w14:textId="77777777" w:rsidR="00DE2B4D" w:rsidRPr="009118AB" w:rsidRDefault="00DE2B4D" w:rsidP="00DE2B4D">
      <w:pPr>
        <w:jc w:val="both"/>
        <w:rPr>
          <w:iCs/>
        </w:rPr>
      </w:pPr>
    </w:p>
    <w:p w14:paraId="14543F51" w14:textId="4999A3AE" w:rsidR="00DE2B4D" w:rsidRPr="009118AB" w:rsidRDefault="00C1103C" w:rsidP="00DE2B4D">
      <w:pPr>
        <w:jc w:val="both"/>
        <w:rPr>
          <w:iCs/>
        </w:rPr>
      </w:pPr>
      <w:r w:rsidRPr="009118AB">
        <w:rPr>
          <w:iCs/>
        </w:rPr>
        <w:tab/>
      </w:r>
      <w:r w:rsidR="00DE2B4D" w:rsidRPr="009118AB">
        <w:rPr>
          <w:iCs/>
        </w:rPr>
        <w:t>2. wenn der zusätzliche Zuschlag gemäß Artikel 133 Absatz 3 zweiter Gedankenstrich festgelegt wird: 30 Prozent, multipliziert mit dem in Artikel 133 Absatz 3 zweiter Gedanken</w:t>
      </w:r>
      <w:r w:rsidR="00DE2B4D" w:rsidRPr="009118AB">
        <w:rPr>
          <w:iCs/>
        </w:rPr>
        <w:softHyphen/>
        <w:t>strich erwähnten Bruch.]</w:t>
      </w:r>
    </w:p>
    <w:p w14:paraId="7F0DB34E" w14:textId="77777777" w:rsidR="00DE2B4D" w:rsidRPr="009118AB" w:rsidRDefault="00DE2B4D" w:rsidP="00DE2B4D">
      <w:pPr>
        <w:jc w:val="both"/>
        <w:rPr>
          <w:iCs/>
        </w:rPr>
      </w:pPr>
    </w:p>
    <w:p w14:paraId="4BA4BB79" w14:textId="262921CE" w:rsidR="00DE2B4D" w:rsidRPr="009118AB" w:rsidRDefault="00C1103C" w:rsidP="00DE2B4D">
      <w:pPr>
        <w:jc w:val="both"/>
        <w:rPr>
          <w:iCs/>
        </w:rPr>
      </w:pPr>
      <w:r w:rsidRPr="009118AB">
        <w:rPr>
          <w:iCs/>
        </w:rPr>
        <w:tab/>
      </w:r>
      <w:r w:rsidR="00DE2B4D" w:rsidRPr="009118AB">
        <w:rPr>
          <w:iCs/>
        </w:rPr>
        <w:t>[Der Teil der gemäß Absatz 8 gewährten zusätzlichen Steuerermäßigung, der nach Anwendung von Artikel 178/1 nicht angerechnet werden konnte, wird in eine erstattungsfähige Steuergutschrift umgewandelt.]</w:t>
      </w:r>
    </w:p>
    <w:p w14:paraId="09B8E40E" w14:textId="77777777" w:rsidR="00DE2B4D" w:rsidRPr="009118AB" w:rsidRDefault="00DE2B4D" w:rsidP="00DE2B4D">
      <w:pPr>
        <w:jc w:val="both"/>
        <w:rPr>
          <w:iCs/>
        </w:rPr>
      </w:pPr>
    </w:p>
    <w:p w14:paraId="1511B16C" w14:textId="13029C47" w:rsidR="00DE2B4D" w:rsidRPr="009118AB" w:rsidRDefault="00C1103C" w:rsidP="00DE2B4D">
      <w:pPr>
        <w:jc w:val="both"/>
        <w:rPr>
          <w:iCs/>
        </w:rPr>
      </w:pPr>
      <w:r w:rsidRPr="009118AB">
        <w:rPr>
          <w:iCs/>
        </w:rPr>
        <w:tab/>
      </w:r>
      <w:r w:rsidR="00DE2B4D" w:rsidRPr="009118AB">
        <w:rPr>
          <w:iCs/>
        </w:rPr>
        <w:t xml:space="preserve">[Wird eine gemeinsame Veranlagung festgelegt, wird die Steuerermäßigung entsprechend dem gemäß Artikel 130 besteuerten Einkommen jedes Ehepartners in der </w:t>
      </w:r>
      <w:r w:rsidR="00DE2B4D" w:rsidRPr="009118AB">
        <w:rPr>
          <w:iCs/>
        </w:rPr>
        <w:lastRenderedPageBreak/>
        <w:t>Gesamtheit der gemäß Artikel 130 besteuerten Einkünfte der beiden Ehepartner proportional aufgeteilt.]</w:t>
      </w:r>
    </w:p>
    <w:p w14:paraId="4AF11825" w14:textId="77777777" w:rsidR="008571C7" w:rsidRPr="009118AB" w:rsidRDefault="008571C7" w:rsidP="008571C7">
      <w:pPr>
        <w:jc w:val="both"/>
        <w:rPr>
          <w:iCs/>
        </w:rPr>
      </w:pPr>
    </w:p>
    <w:p w14:paraId="57539458" w14:textId="66320B5C" w:rsidR="008571C7" w:rsidRPr="009118AB" w:rsidRDefault="00C1103C" w:rsidP="008571C7">
      <w:pPr>
        <w:jc w:val="both"/>
        <w:rPr>
          <w:iCs/>
        </w:rPr>
      </w:pPr>
      <w:r w:rsidRPr="009118AB">
        <w:rPr>
          <w:iCs/>
        </w:rPr>
        <w:tab/>
      </w:r>
      <w:r w:rsidR="008571C7" w:rsidRPr="009118AB">
        <w:rPr>
          <w:iCs/>
        </w:rPr>
        <w:t>[...]]</w:t>
      </w:r>
    </w:p>
    <w:p w14:paraId="3C6EC7E4" w14:textId="77777777" w:rsidR="008571C7" w:rsidRPr="009118AB" w:rsidRDefault="008571C7" w:rsidP="008571C7">
      <w:pPr>
        <w:jc w:val="both"/>
        <w:rPr>
          <w:iCs/>
        </w:rPr>
      </w:pPr>
    </w:p>
    <w:p w14:paraId="00F73A18" w14:textId="3E1410F9" w:rsidR="008571C7" w:rsidRPr="009118AB" w:rsidRDefault="00C1103C" w:rsidP="008571C7">
      <w:pPr>
        <w:jc w:val="both"/>
        <w:rPr>
          <w:iCs/>
        </w:rPr>
      </w:pPr>
      <w:r w:rsidRPr="009118AB">
        <w:rPr>
          <w:iCs/>
        </w:rPr>
        <w:tab/>
      </w:r>
      <w:r w:rsidR="008571C7" w:rsidRPr="009118AB">
        <w:rPr>
          <w:iCs/>
        </w:rPr>
        <w:t>[</w:t>
      </w:r>
      <w:r w:rsidR="00187DC6" w:rsidRPr="009118AB">
        <w:rPr>
          <w:iCs/>
        </w:rPr>
        <w:t>..</w:t>
      </w:r>
      <w:r w:rsidR="008571C7" w:rsidRPr="009118AB">
        <w:rPr>
          <w:iCs/>
        </w:rPr>
        <w:t>.]</w:t>
      </w:r>
    </w:p>
    <w:p w14:paraId="277C4A0A" w14:textId="77777777" w:rsidR="008571C7" w:rsidRPr="009118AB" w:rsidRDefault="008571C7" w:rsidP="008571C7">
      <w:pPr>
        <w:jc w:val="both"/>
        <w:rPr>
          <w:iCs/>
        </w:rPr>
      </w:pPr>
    </w:p>
    <w:p w14:paraId="663138A0" w14:textId="4B1CD009" w:rsidR="008571C7" w:rsidRPr="009118AB" w:rsidRDefault="008571C7" w:rsidP="008571C7">
      <w:pPr>
        <w:jc w:val="both"/>
        <w:rPr>
          <w:iCs/>
          <w:spacing w:val="-2"/>
        </w:rPr>
      </w:pPr>
      <w:r w:rsidRPr="009118AB">
        <w:rPr>
          <w:i/>
          <w:iCs/>
        </w:rPr>
        <w:t>[</w:t>
      </w:r>
      <w:r w:rsidR="00D67EB8" w:rsidRPr="009118AB">
        <w:rPr>
          <w:i/>
          <w:iCs/>
        </w:rPr>
        <w:t>Art. </w:t>
      </w:r>
      <w:r w:rsidRPr="009118AB">
        <w:rPr>
          <w:i/>
          <w:iCs/>
        </w:rPr>
        <w:t>145</w:t>
      </w:r>
      <w:r w:rsidRPr="009118AB">
        <w:rPr>
          <w:i/>
          <w:iCs/>
          <w:vertAlign w:val="superscript"/>
        </w:rPr>
        <w:t>35</w:t>
      </w:r>
      <w:r w:rsidRPr="009118AB">
        <w:rPr>
          <w:i/>
          <w:iCs/>
        </w:rPr>
        <w:t xml:space="preserve"> eingefügt durch </w:t>
      </w:r>
      <w:r w:rsidR="00D67EB8" w:rsidRPr="009118AB">
        <w:rPr>
          <w:i/>
          <w:iCs/>
        </w:rPr>
        <w:t>Art. </w:t>
      </w:r>
      <w:r w:rsidRPr="009118AB">
        <w:rPr>
          <w:i/>
          <w:iCs/>
        </w:rPr>
        <w:t>29 des G. vom 13. Dezember 2012 (B.S. vom 20. Dezember 2012)</w:t>
      </w:r>
      <w:r w:rsidR="00D67EB8" w:rsidRPr="009118AB">
        <w:rPr>
          <w:i/>
          <w:iCs/>
        </w:rPr>
        <w:t> - </w:t>
      </w:r>
      <w:r w:rsidRPr="009118AB">
        <w:rPr>
          <w:i/>
          <w:iCs/>
        </w:rPr>
        <w:t>in Kraft ab dem Steuerjahr 2013</w:t>
      </w:r>
      <w:r w:rsidR="003366D9" w:rsidRPr="009118AB">
        <w:rPr>
          <w:i/>
          <w:iCs/>
        </w:rPr>
        <w:t> -;</w:t>
      </w:r>
      <w:r w:rsidRPr="009118AB">
        <w:rPr>
          <w:i/>
          <w:iCs/>
        </w:rPr>
        <w:t xml:space="preserve"> </w:t>
      </w:r>
      <w:r w:rsidR="00D67EB8" w:rsidRPr="009118AB">
        <w:rPr>
          <w:i/>
          <w:iCs/>
        </w:rPr>
        <w:t>Abs. </w:t>
      </w:r>
      <w:r w:rsidRPr="009118AB">
        <w:rPr>
          <w:i/>
          <w:iCs/>
        </w:rPr>
        <w:t xml:space="preserve">2 </w:t>
      </w:r>
      <w:r w:rsidR="00D67EB8" w:rsidRPr="009118AB">
        <w:rPr>
          <w:i/>
          <w:iCs/>
        </w:rPr>
        <w:t>Nr. </w:t>
      </w:r>
      <w:r w:rsidRPr="009118AB">
        <w:rPr>
          <w:i/>
          <w:iCs/>
        </w:rPr>
        <w:t xml:space="preserve">1 abgeändert durch </w:t>
      </w:r>
      <w:r w:rsidR="00D67EB8" w:rsidRPr="009118AB">
        <w:rPr>
          <w:i/>
          <w:iCs/>
        </w:rPr>
        <w:t>Art. </w:t>
      </w:r>
      <w:r w:rsidRPr="009118AB">
        <w:rPr>
          <w:i/>
          <w:iCs/>
        </w:rPr>
        <w:t xml:space="preserve">8 </w:t>
      </w:r>
      <w:r w:rsidR="00D67EB8" w:rsidRPr="009118AB">
        <w:rPr>
          <w:i/>
          <w:iCs/>
        </w:rPr>
        <w:t>Nr. </w:t>
      </w:r>
      <w:r w:rsidRPr="009118AB">
        <w:rPr>
          <w:i/>
          <w:iCs/>
        </w:rPr>
        <w:t>1 des G. vom 20. Dezember 2020 (I) (B.S. vom 30. Dezember 2020)</w:t>
      </w:r>
      <w:r w:rsidR="00D67EB8" w:rsidRPr="009118AB">
        <w:rPr>
          <w:i/>
          <w:iCs/>
        </w:rPr>
        <w:t> - </w:t>
      </w:r>
      <w:r w:rsidRPr="009118AB">
        <w:rPr>
          <w:i/>
          <w:iCs/>
        </w:rPr>
        <w:t>in Kraft am 30. Dezember 2020 und anwendbar ab dem Steuerjahr 2021</w:t>
      </w:r>
      <w:r w:rsidR="003366D9" w:rsidRPr="009118AB">
        <w:rPr>
          <w:i/>
          <w:iCs/>
        </w:rPr>
        <w:t> -;</w:t>
      </w:r>
      <w:r w:rsidRPr="009118AB">
        <w:rPr>
          <w:i/>
          <w:iCs/>
        </w:rPr>
        <w:t xml:space="preserve"> </w:t>
      </w:r>
      <w:r w:rsidR="00D67EB8" w:rsidRPr="009118AB">
        <w:rPr>
          <w:i/>
          <w:iCs/>
        </w:rPr>
        <w:t>Abs. </w:t>
      </w:r>
      <w:r w:rsidRPr="009118AB">
        <w:rPr>
          <w:i/>
          <w:iCs/>
        </w:rPr>
        <w:t xml:space="preserve">2 </w:t>
      </w:r>
      <w:r w:rsidR="00D67EB8" w:rsidRPr="009118AB">
        <w:rPr>
          <w:i/>
          <w:iCs/>
        </w:rPr>
        <w:t>Nr. </w:t>
      </w:r>
      <w:r w:rsidRPr="009118AB">
        <w:rPr>
          <w:i/>
          <w:iCs/>
        </w:rPr>
        <w:t xml:space="preserve">3 einziger Absatz Buchstabe a) einziger Absatz einleitende Bestimmung abgeändert durch </w:t>
      </w:r>
      <w:r w:rsidR="00D67EB8" w:rsidRPr="009118AB">
        <w:rPr>
          <w:i/>
          <w:iCs/>
        </w:rPr>
        <w:t>Art. </w:t>
      </w:r>
      <w:r w:rsidRPr="009118AB">
        <w:rPr>
          <w:i/>
          <w:iCs/>
        </w:rPr>
        <w:t>42 des G. vom 18. Dezember 2015 (II) (B.S. vom 28. Dezember 2015)</w:t>
      </w:r>
      <w:r w:rsidR="00D67EB8" w:rsidRPr="009118AB">
        <w:rPr>
          <w:i/>
          <w:iCs/>
        </w:rPr>
        <w:t> - </w:t>
      </w:r>
      <w:r w:rsidRPr="009118AB">
        <w:rPr>
          <w:i/>
          <w:iCs/>
        </w:rPr>
        <w:t>anwendbar ab dem 1. April 2014</w:t>
      </w:r>
      <w:r w:rsidR="00D67EB8" w:rsidRPr="009118AB">
        <w:rPr>
          <w:i/>
          <w:iCs/>
        </w:rPr>
        <w:t> - </w:t>
      </w:r>
      <w:r w:rsidRPr="009118AB">
        <w:rPr>
          <w:i/>
          <w:iCs/>
        </w:rPr>
        <w:t xml:space="preserve">und </w:t>
      </w:r>
      <w:r w:rsidR="00D67EB8" w:rsidRPr="009118AB">
        <w:rPr>
          <w:i/>
          <w:iCs/>
        </w:rPr>
        <w:t>Art. </w:t>
      </w:r>
      <w:r w:rsidRPr="009118AB">
        <w:rPr>
          <w:i/>
          <w:iCs/>
        </w:rPr>
        <w:t xml:space="preserve">8 </w:t>
      </w:r>
      <w:r w:rsidR="00D67EB8" w:rsidRPr="009118AB">
        <w:rPr>
          <w:i/>
          <w:iCs/>
        </w:rPr>
        <w:t>Nr. </w:t>
      </w:r>
      <w:r w:rsidRPr="009118AB">
        <w:rPr>
          <w:i/>
          <w:iCs/>
        </w:rPr>
        <w:t>2 des G. vom 20. Dezember 2020 (I) (B.S. vom 30. Dezember 2020)</w:t>
      </w:r>
      <w:r w:rsidR="00D67EB8" w:rsidRPr="009118AB">
        <w:rPr>
          <w:i/>
          <w:iCs/>
        </w:rPr>
        <w:t> - </w:t>
      </w:r>
      <w:r w:rsidRPr="009118AB">
        <w:rPr>
          <w:i/>
          <w:iCs/>
        </w:rPr>
        <w:t>anwendbar ab dem Steuerjahr 2022</w:t>
      </w:r>
      <w:r w:rsidR="003366D9" w:rsidRPr="009118AB">
        <w:rPr>
          <w:i/>
          <w:iCs/>
        </w:rPr>
        <w:t> -;</w:t>
      </w:r>
      <w:r w:rsidRPr="009118AB">
        <w:rPr>
          <w:i/>
          <w:iCs/>
        </w:rPr>
        <w:t xml:space="preserve"> </w:t>
      </w:r>
      <w:r w:rsidR="00D67EB8" w:rsidRPr="009118AB">
        <w:rPr>
          <w:i/>
          <w:iCs/>
        </w:rPr>
        <w:t>Abs. </w:t>
      </w:r>
      <w:r w:rsidR="00693BFA" w:rsidRPr="009118AB">
        <w:rPr>
          <w:i/>
          <w:iCs/>
        </w:rPr>
        <w:t xml:space="preserve">2 </w:t>
      </w:r>
      <w:r w:rsidR="00D67EB8" w:rsidRPr="009118AB">
        <w:rPr>
          <w:i/>
          <w:iCs/>
        </w:rPr>
        <w:t>Nr. </w:t>
      </w:r>
      <w:r w:rsidR="00693BFA" w:rsidRPr="009118AB">
        <w:rPr>
          <w:i/>
          <w:iCs/>
        </w:rPr>
        <w:t xml:space="preserve">3 einziger Absatz Buchstabe a) einziger Absatz erster Gedankenstrich abgeändert durch </w:t>
      </w:r>
      <w:r w:rsidR="00D67EB8" w:rsidRPr="009118AB">
        <w:rPr>
          <w:i/>
          <w:iCs/>
        </w:rPr>
        <w:t>Art. </w:t>
      </w:r>
      <w:r w:rsidR="00693BFA" w:rsidRPr="009118AB">
        <w:rPr>
          <w:i/>
          <w:iCs/>
        </w:rPr>
        <w:t>34 des G. vom 27. Juni 2021 (B.S. vom 30. Juni 2021)</w:t>
      </w:r>
      <w:r w:rsidR="00D67EB8" w:rsidRPr="009118AB">
        <w:rPr>
          <w:i/>
          <w:iCs/>
        </w:rPr>
        <w:t> - </w:t>
      </w:r>
      <w:r w:rsidR="00693BFA" w:rsidRPr="009118AB">
        <w:rPr>
          <w:i/>
          <w:iCs/>
        </w:rPr>
        <w:t>anwendbar ab dem Einkommensjahr 2021</w:t>
      </w:r>
      <w:r w:rsidR="003366D9" w:rsidRPr="009118AB">
        <w:rPr>
          <w:i/>
          <w:iCs/>
        </w:rPr>
        <w:t> -;</w:t>
      </w:r>
      <w:r w:rsidR="00693BFA" w:rsidRPr="009118AB">
        <w:rPr>
          <w:i/>
          <w:iCs/>
        </w:rPr>
        <w:t xml:space="preserve"> </w:t>
      </w:r>
      <w:r w:rsidR="00D67EB8" w:rsidRPr="009118AB">
        <w:rPr>
          <w:i/>
          <w:iCs/>
        </w:rPr>
        <w:t>Abs. </w:t>
      </w:r>
      <w:r w:rsidRPr="009118AB">
        <w:rPr>
          <w:i/>
          <w:iCs/>
        </w:rPr>
        <w:t xml:space="preserve">2 </w:t>
      </w:r>
      <w:r w:rsidR="00D67EB8" w:rsidRPr="009118AB">
        <w:rPr>
          <w:i/>
          <w:iCs/>
        </w:rPr>
        <w:t>Nr. </w:t>
      </w:r>
      <w:r w:rsidRPr="009118AB">
        <w:rPr>
          <w:i/>
          <w:iCs/>
        </w:rPr>
        <w:t xml:space="preserve">3 einziger Absatz Buchstabe d) eingefügt durch </w:t>
      </w:r>
      <w:r w:rsidR="00D67EB8" w:rsidRPr="009118AB">
        <w:rPr>
          <w:i/>
          <w:iCs/>
        </w:rPr>
        <w:t>Art. </w:t>
      </w:r>
      <w:r w:rsidRPr="009118AB">
        <w:rPr>
          <w:i/>
          <w:iCs/>
        </w:rPr>
        <w:t xml:space="preserve">8 </w:t>
      </w:r>
      <w:r w:rsidR="00D67EB8" w:rsidRPr="009118AB">
        <w:rPr>
          <w:i/>
          <w:iCs/>
        </w:rPr>
        <w:t>Nr. </w:t>
      </w:r>
      <w:r w:rsidRPr="009118AB">
        <w:rPr>
          <w:i/>
          <w:iCs/>
        </w:rPr>
        <w:t>3 des G. vom 20. Dezember 2020 (I) (B.S. vom 30. Dezember 2020)</w:t>
      </w:r>
      <w:r w:rsidR="00D67EB8" w:rsidRPr="009118AB">
        <w:rPr>
          <w:i/>
          <w:iCs/>
        </w:rPr>
        <w:t> - </w:t>
      </w:r>
      <w:r w:rsidRPr="009118AB">
        <w:rPr>
          <w:i/>
          <w:iCs/>
        </w:rPr>
        <w:t>in Kraft am 30. Dezember 2020 und anwendbar ab dem Steuerjahr 2021</w:t>
      </w:r>
      <w:r w:rsidR="003366D9" w:rsidRPr="009118AB">
        <w:rPr>
          <w:i/>
          <w:iCs/>
        </w:rPr>
        <w:t> -;</w:t>
      </w:r>
      <w:r w:rsidRPr="009118AB">
        <w:rPr>
          <w:i/>
          <w:iCs/>
        </w:rPr>
        <w:t xml:space="preserve"> </w:t>
      </w:r>
      <w:r w:rsidR="00D67EB8" w:rsidRPr="009118AB">
        <w:rPr>
          <w:i/>
          <w:iCs/>
        </w:rPr>
        <w:t>Abs. </w:t>
      </w:r>
      <w:r w:rsidRPr="009118AB">
        <w:rPr>
          <w:i/>
          <w:iCs/>
        </w:rPr>
        <w:t xml:space="preserve">2 </w:t>
      </w:r>
      <w:r w:rsidR="00D67EB8" w:rsidRPr="009118AB">
        <w:rPr>
          <w:i/>
          <w:iCs/>
        </w:rPr>
        <w:t>Nr. </w:t>
      </w:r>
      <w:r w:rsidRPr="009118AB">
        <w:rPr>
          <w:i/>
          <w:iCs/>
        </w:rPr>
        <w:t xml:space="preserve">4 eingefügt durch </w:t>
      </w:r>
      <w:r w:rsidR="00D67EB8" w:rsidRPr="009118AB">
        <w:rPr>
          <w:i/>
          <w:iCs/>
        </w:rPr>
        <w:t>Art. </w:t>
      </w:r>
      <w:r w:rsidRPr="009118AB">
        <w:rPr>
          <w:i/>
          <w:iCs/>
        </w:rPr>
        <w:t xml:space="preserve">8 </w:t>
      </w:r>
      <w:r w:rsidR="00D67EB8" w:rsidRPr="009118AB">
        <w:rPr>
          <w:i/>
          <w:iCs/>
        </w:rPr>
        <w:t>Nr. </w:t>
      </w:r>
      <w:r w:rsidRPr="009118AB">
        <w:rPr>
          <w:i/>
          <w:iCs/>
        </w:rPr>
        <w:t>4 des G. vom 20. Dezember 2020 (I) (B.S. vom 30. Dezember 2020)</w:t>
      </w:r>
      <w:r w:rsidR="00D67EB8" w:rsidRPr="009118AB">
        <w:rPr>
          <w:i/>
          <w:iCs/>
        </w:rPr>
        <w:t> - </w:t>
      </w:r>
      <w:r w:rsidRPr="009118AB">
        <w:rPr>
          <w:i/>
          <w:iCs/>
        </w:rPr>
        <w:t>in Kraft am 30. Dezember 2020 und anwendbar auf die ab dem 1. Januar 2021 getätigten Ausgaben für Kinderbetreuung</w:t>
      </w:r>
      <w:r w:rsidR="003366D9" w:rsidRPr="009118AB">
        <w:rPr>
          <w:i/>
          <w:iCs/>
        </w:rPr>
        <w:t> -;</w:t>
      </w:r>
      <w:r w:rsidRPr="009118AB">
        <w:rPr>
          <w:i/>
          <w:iCs/>
        </w:rPr>
        <w:t xml:space="preserve"> </w:t>
      </w:r>
      <w:r w:rsidR="00D67EB8" w:rsidRPr="009118AB">
        <w:rPr>
          <w:i/>
          <w:iCs/>
        </w:rPr>
        <w:t>Abs. </w:t>
      </w:r>
      <w:r w:rsidRPr="009118AB">
        <w:rPr>
          <w:i/>
          <w:iCs/>
        </w:rPr>
        <w:t xml:space="preserve">3 abgeändert durch </w:t>
      </w:r>
      <w:r w:rsidR="00D67EB8" w:rsidRPr="009118AB">
        <w:rPr>
          <w:i/>
          <w:iCs/>
        </w:rPr>
        <w:t>Art. </w:t>
      </w:r>
      <w:r w:rsidRPr="009118AB">
        <w:rPr>
          <w:i/>
          <w:iCs/>
        </w:rPr>
        <w:t xml:space="preserve">8 </w:t>
      </w:r>
      <w:r w:rsidR="00D67EB8" w:rsidRPr="009118AB">
        <w:rPr>
          <w:i/>
          <w:iCs/>
        </w:rPr>
        <w:t>Nr. </w:t>
      </w:r>
      <w:r w:rsidRPr="009118AB">
        <w:rPr>
          <w:i/>
          <w:iCs/>
        </w:rPr>
        <w:t>5 des G. vom 20. Dezember 2020 (I) (B.S. vom 30. Dezember 2020)</w:t>
      </w:r>
      <w:r w:rsidR="00D67EB8" w:rsidRPr="009118AB">
        <w:rPr>
          <w:i/>
          <w:iCs/>
        </w:rPr>
        <w:t> - </w:t>
      </w:r>
      <w:r w:rsidRPr="009118AB">
        <w:rPr>
          <w:i/>
          <w:iCs/>
        </w:rPr>
        <w:t>in Kraft am 30. Dezember 2020 und anwendbar ab dem Steuerjahr 2021</w:t>
      </w:r>
      <w:r w:rsidR="003366D9" w:rsidRPr="009118AB">
        <w:rPr>
          <w:i/>
          <w:iCs/>
        </w:rPr>
        <w:t> -;</w:t>
      </w:r>
      <w:r w:rsidRPr="009118AB">
        <w:rPr>
          <w:i/>
          <w:iCs/>
        </w:rPr>
        <w:t xml:space="preserve"> </w:t>
      </w:r>
      <w:r w:rsidR="00D67EB8" w:rsidRPr="009118AB">
        <w:rPr>
          <w:i/>
          <w:iCs/>
        </w:rPr>
        <w:t>Abs. </w:t>
      </w:r>
      <w:r w:rsidRPr="009118AB">
        <w:rPr>
          <w:i/>
          <w:iCs/>
        </w:rPr>
        <w:t xml:space="preserve">6 ersetzt durch </w:t>
      </w:r>
      <w:r w:rsidR="00D67EB8" w:rsidRPr="009118AB">
        <w:rPr>
          <w:i/>
          <w:iCs/>
        </w:rPr>
        <w:t>Art. </w:t>
      </w:r>
      <w:r w:rsidRPr="009118AB">
        <w:rPr>
          <w:i/>
          <w:iCs/>
        </w:rPr>
        <w:t xml:space="preserve">8 </w:t>
      </w:r>
      <w:r w:rsidR="00D67EB8" w:rsidRPr="009118AB">
        <w:rPr>
          <w:i/>
          <w:iCs/>
        </w:rPr>
        <w:t>Nr. </w:t>
      </w:r>
      <w:r w:rsidRPr="009118AB">
        <w:rPr>
          <w:i/>
          <w:iCs/>
        </w:rPr>
        <w:t>6 des G. vom 20. Dezember 2020 (I) (B.S. vom 30. Dezember 2020)</w:t>
      </w:r>
      <w:r w:rsidR="00D67EB8" w:rsidRPr="009118AB">
        <w:rPr>
          <w:i/>
          <w:iCs/>
        </w:rPr>
        <w:t> - </w:t>
      </w:r>
      <w:r w:rsidRPr="009118AB">
        <w:rPr>
          <w:i/>
          <w:iCs/>
        </w:rPr>
        <w:t>in Kraft am 30. Dezember 2020 und anwendbar ab dem Steuerjahr 2021</w:t>
      </w:r>
      <w:r w:rsidR="00D67EB8" w:rsidRPr="009118AB">
        <w:rPr>
          <w:i/>
          <w:iCs/>
        </w:rPr>
        <w:t> - </w:t>
      </w:r>
      <w:r w:rsidRPr="009118AB">
        <w:rPr>
          <w:i/>
          <w:iCs/>
        </w:rPr>
        <w:t xml:space="preserve">und abgeändert durch </w:t>
      </w:r>
      <w:r w:rsidR="00D67EB8" w:rsidRPr="009118AB">
        <w:rPr>
          <w:i/>
          <w:iCs/>
        </w:rPr>
        <w:t>Art. </w:t>
      </w:r>
      <w:r w:rsidRPr="009118AB">
        <w:rPr>
          <w:i/>
          <w:iCs/>
        </w:rPr>
        <w:t xml:space="preserve">8 </w:t>
      </w:r>
      <w:r w:rsidR="00D67EB8" w:rsidRPr="009118AB">
        <w:rPr>
          <w:i/>
          <w:iCs/>
        </w:rPr>
        <w:t>Nr. </w:t>
      </w:r>
      <w:r w:rsidRPr="009118AB">
        <w:rPr>
          <w:i/>
          <w:iCs/>
        </w:rPr>
        <w:t>7 des G. vom 20. Dezember 2020 (I) (B.S. vom 30. Dezember 2020)</w:t>
      </w:r>
      <w:r w:rsidR="00D67EB8" w:rsidRPr="009118AB">
        <w:rPr>
          <w:i/>
          <w:iCs/>
        </w:rPr>
        <w:t> - </w:t>
      </w:r>
      <w:r w:rsidRPr="009118AB">
        <w:rPr>
          <w:i/>
          <w:iCs/>
        </w:rPr>
        <w:t>anwendbar ab dem Steuerjahr 2022</w:t>
      </w:r>
      <w:r w:rsidR="00D67EB8" w:rsidRPr="009118AB">
        <w:rPr>
          <w:i/>
          <w:iCs/>
        </w:rPr>
        <w:t> - </w:t>
      </w:r>
      <w:r w:rsidR="00187DC6" w:rsidRPr="009118AB">
        <w:rPr>
          <w:i/>
          <w:iCs/>
        </w:rPr>
        <w:t xml:space="preserve">und </w:t>
      </w:r>
      <w:r w:rsidR="00D67EB8" w:rsidRPr="009118AB">
        <w:rPr>
          <w:i/>
          <w:iCs/>
        </w:rPr>
        <w:t>Art. </w:t>
      </w:r>
      <w:r w:rsidR="00187DC6" w:rsidRPr="009118AB">
        <w:rPr>
          <w:i/>
          <w:iCs/>
        </w:rPr>
        <w:t xml:space="preserve">24 </w:t>
      </w:r>
      <w:r w:rsidR="00D67EB8" w:rsidRPr="009118AB">
        <w:rPr>
          <w:i/>
          <w:iCs/>
        </w:rPr>
        <w:t>Nr. </w:t>
      </w:r>
      <w:r w:rsidR="00187DC6" w:rsidRPr="009118AB">
        <w:rPr>
          <w:i/>
          <w:iCs/>
        </w:rPr>
        <w:t>1</w:t>
      </w:r>
      <w:r w:rsidR="00187DC6" w:rsidRPr="009118AB">
        <w:rPr>
          <w:i/>
        </w:rPr>
        <w:t xml:space="preserve"> des G. vom 27. Dezember 2021 (B.S. vom 31. Dezember 2021)</w:t>
      </w:r>
      <w:r w:rsidR="00D67EB8" w:rsidRPr="009118AB">
        <w:rPr>
          <w:i/>
        </w:rPr>
        <w:t> - </w:t>
      </w:r>
      <w:r w:rsidR="00187DC6" w:rsidRPr="009118AB">
        <w:rPr>
          <w:i/>
        </w:rPr>
        <w:t>in Kraft am 31. Dezember 2021 und anwendbar ab dem Steuerjahr 2022</w:t>
      </w:r>
      <w:r w:rsidR="003366D9" w:rsidRPr="009118AB">
        <w:rPr>
          <w:i/>
        </w:rPr>
        <w:t> -;</w:t>
      </w:r>
      <w:r w:rsidRPr="009118AB">
        <w:rPr>
          <w:i/>
          <w:iCs/>
        </w:rPr>
        <w:t xml:space="preserve"> neuer Absatz 8 eingefügt durch </w:t>
      </w:r>
      <w:r w:rsidR="00D67EB8" w:rsidRPr="009118AB">
        <w:rPr>
          <w:i/>
          <w:iCs/>
        </w:rPr>
        <w:t>Art. </w:t>
      </w:r>
      <w:r w:rsidRPr="009118AB">
        <w:rPr>
          <w:i/>
          <w:iCs/>
        </w:rPr>
        <w:t>67 Buchstabe a) des G. vom 26. März 2018 (B.S. vom 30. März 2018)</w:t>
      </w:r>
      <w:r w:rsidR="00D67EB8" w:rsidRPr="009118AB">
        <w:rPr>
          <w:i/>
          <w:iCs/>
        </w:rPr>
        <w:t> - </w:t>
      </w:r>
      <w:r w:rsidRPr="009118AB">
        <w:rPr>
          <w:i/>
          <w:iCs/>
        </w:rPr>
        <w:t>wirksam ab dem Steuerjahr 2018</w:t>
      </w:r>
      <w:r w:rsidR="003366D9" w:rsidRPr="009118AB">
        <w:rPr>
          <w:i/>
          <w:iCs/>
        </w:rPr>
        <w:t> -;</w:t>
      </w:r>
      <w:r w:rsidRPr="009118AB">
        <w:rPr>
          <w:i/>
          <w:iCs/>
        </w:rPr>
        <w:t xml:space="preserve"> neuer Absatz 9 eingefügt durch </w:t>
      </w:r>
      <w:r w:rsidR="00D67EB8" w:rsidRPr="009118AB">
        <w:rPr>
          <w:i/>
          <w:iCs/>
        </w:rPr>
        <w:t>Art. </w:t>
      </w:r>
      <w:r w:rsidRPr="009118AB">
        <w:rPr>
          <w:i/>
          <w:iCs/>
        </w:rPr>
        <w:t>67 Buchstabe b) des G. vom 26. März 2018 (B.S. vom 30. März 2018)</w:t>
      </w:r>
      <w:r w:rsidR="00D67EB8" w:rsidRPr="009118AB">
        <w:rPr>
          <w:i/>
          <w:iCs/>
        </w:rPr>
        <w:t> - </w:t>
      </w:r>
      <w:r w:rsidRPr="009118AB">
        <w:rPr>
          <w:i/>
          <w:iCs/>
        </w:rPr>
        <w:t>wirksam ab dem Steuerjahr 2018</w:t>
      </w:r>
      <w:r w:rsidR="003366D9" w:rsidRPr="009118AB">
        <w:rPr>
          <w:i/>
          <w:iCs/>
        </w:rPr>
        <w:t> -;</w:t>
      </w:r>
      <w:r w:rsidRPr="009118AB">
        <w:rPr>
          <w:i/>
          <w:iCs/>
        </w:rPr>
        <w:t xml:space="preserve"> </w:t>
      </w:r>
      <w:r w:rsidR="00D67EB8" w:rsidRPr="009118AB">
        <w:rPr>
          <w:i/>
          <w:iCs/>
        </w:rPr>
        <w:t>Abs. </w:t>
      </w:r>
      <w:r w:rsidRPr="009118AB">
        <w:rPr>
          <w:i/>
          <w:iCs/>
        </w:rPr>
        <w:t xml:space="preserve">10 (früherer Absatz 8) ersetzt durch </w:t>
      </w:r>
      <w:r w:rsidR="00D67EB8" w:rsidRPr="009118AB">
        <w:rPr>
          <w:i/>
          <w:iCs/>
        </w:rPr>
        <w:t>Art. </w:t>
      </w:r>
      <w:r w:rsidRPr="009118AB">
        <w:rPr>
          <w:i/>
          <w:iCs/>
        </w:rPr>
        <w:t>41 des G. vom 8. Mai 2014 (B.S. vom 28. Mai 2014)</w:t>
      </w:r>
      <w:r w:rsidR="00D67EB8" w:rsidRPr="009118AB">
        <w:rPr>
          <w:i/>
          <w:iCs/>
        </w:rPr>
        <w:t> - </w:t>
      </w:r>
      <w:r w:rsidRPr="009118AB">
        <w:rPr>
          <w:i/>
          <w:iCs/>
        </w:rPr>
        <w:t>anwendbar ab dem Steuerjahr 2015</w:t>
      </w:r>
      <w:r w:rsidR="003366D9" w:rsidRPr="009118AB">
        <w:rPr>
          <w:i/>
          <w:iCs/>
        </w:rPr>
        <w:t> -;</w:t>
      </w:r>
      <w:r w:rsidRPr="009118AB">
        <w:rPr>
          <w:i/>
          <w:iCs/>
        </w:rPr>
        <w:t xml:space="preserve"> früherer Absatz 11 aufgehoben durch </w:t>
      </w:r>
      <w:r w:rsidR="00D67EB8" w:rsidRPr="009118AB">
        <w:rPr>
          <w:i/>
          <w:iCs/>
        </w:rPr>
        <w:t>Art. </w:t>
      </w:r>
      <w:r w:rsidRPr="009118AB">
        <w:rPr>
          <w:i/>
          <w:iCs/>
        </w:rPr>
        <w:t xml:space="preserve">8 </w:t>
      </w:r>
      <w:r w:rsidR="00D67EB8" w:rsidRPr="009118AB">
        <w:rPr>
          <w:i/>
          <w:iCs/>
        </w:rPr>
        <w:t>Nr. </w:t>
      </w:r>
      <w:r w:rsidRPr="009118AB">
        <w:rPr>
          <w:i/>
          <w:iCs/>
        </w:rPr>
        <w:t xml:space="preserve">9 des G. </w:t>
      </w:r>
      <w:r w:rsidRPr="009118AB">
        <w:rPr>
          <w:i/>
          <w:iCs/>
          <w:spacing w:val="-2"/>
        </w:rPr>
        <w:t>vom 20. Dezember 2020 (I) (B.S. vom 30. Dezember 2020)</w:t>
      </w:r>
      <w:r w:rsidR="00D67EB8" w:rsidRPr="009118AB">
        <w:rPr>
          <w:i/>
          <w:iCs/>
          <w:spacing w:val="-2"/>
        </w:rPr>
        <w:t> - </w:t>
      </w:r>
      <w:r w:rsidRPr="009118AB">
        <w:rPr>
          <w:i/>
          <w:iCs/>
          <w:spacing w:val="-2"/>
        </w:rPr>
        <w:t>in Kraft am 30. Dezember 2020 und anwendba</w:t>
      </w:r>
      <w:r w:rsidR="00F36ACE" w:rsidRPr="009118AB">
        <w:rPr>
          <w:i/>
          <w:iCs/>
          <w:spacing w:val="-2"/>
        </w:rPr>
        <w:t>r</w:t>
      </w:r>
      <w:r w:rsidRPr="009118AB">
        <w:rPr>
          <w:i/>
          <w:iCs/>
          <w:spacing w:val="-2"/>
        </w:rPr>
        <w:t xml:space="preserve"> auf die ab dem 1. Januar 2021 getätigten Ausgaben für Kinderbetreuung</w:t>
      </w:r>
      <w:r w:rsidR="003366D9" w:rsidRPr="009118AB">
        <w:rPr>
          <w:i/>
          <w:iCs/>
          <w:spacing w:val="-2"/>
        </w:rPr>
        <w:t> -;</w:t>
      </w:r>
      <w:r w:rsidRPr="009118AB">
        <w:rPr>
          <w:i/>
          <w:iCs/>
          <w:spacing w:val="-2"/>
        </w:rPr>
        <w:t xml:space="preserve"> </w:t>
      </w:r>
      <w:r w:rsidR="00187DC6" w:rsidRPr="009118AB">
        <w:rPr>
          <w:i/>
          <w:iCs/>
          <w:spacing w:val="-2"/>
        </w:rPr>
        <w:t>früher</w:t>
      </w:r>
      <w:r w:rsidRPr="009118AB">
        <w:rPr>
          <w:i/>
          <w:iCs/>
          <w:spacing w:val="-2"/>
        </w:rPr>
        <w:t>er Absatz 1</w:t>
      </w:r>
      <w:r w:rsidR="00AB1447" w:rsidRPr="009118AB">
        <w:rPr>
          <w:i/>
          <w:iCs/>
          <w:spacing w:val="-2"/>
        </w:rPr>
        <w:t>2</w:t>
      </w:r>
      <w:r w:rsidR="00187DC6" w:rsidRPr="009118AB">
        <w:rPr>
          <w:i/>
          <w:iCs/>
          <w:spacing w:val="-2"/>
        </w:rPr>
        <w:t xml:space="preserve"> </w:t>
      </w:r>
      <w:r w:rsidRPr="009118AB">
        <w:rPr>
          <w:i/>
          <w:iCs/>
          <w:spacing w:val="-2"/>
        </w:rPr>
        <w:t xml:space="preserve">eingefügt durch </w:t>
      </w:r>
      <w:r w:rsidR="00D67EB8" w:rsidRPr="009118AB">
        <w:rPr>
          <w:i/>
          <w:iCs/>
          <w:spacing w:val="-2"/>
        </w:rPr>
        <w:t>Art. </w:t>
      </w:r>
      <w:r w:rsidRPr="009118AB">
        <w:rPr>
          <w:i/>
          <w:iCs/>
          <w:spacing w:val="-2"/>
        </w:rPr>
        <w:t xml:space="preserve">8 </w:t>
      </w:r>
      <w:r w:rsidR="00D67EB8" w:rsidRPr="009118AB">
        <w:rPr>
          <w:i/>
          <w:iCs/>
          <w:spacing w:val="-2"/>
        </w:rPr>
        <w:t>Nr. </w:t>
      </w:r>
      <w:r w:rsidRPr="009118AB">
        <w:rPr>
          <w:i/>
          <w:iCs/>
          <w:spacing w:val="-2"/>
        </w:rPr>
        <w:t>10 des G. vom 20. Dezember 2020 (I) (B.S. vom 30. Dezember 2020)</w:t>
      </w:r>
      <w:r w:rsidR="00D67EB8" w:rsidRPr="009118AB">
        <w:rPr>
          <w:i/>
          <w:iCs/>
          <w:spacing w:val="-2"/>
        </w:rPr>
        <w:t> - </w:t>
      </w:r>
      <w:r w:rsidRPr="009118AB">
        <w:rPr>
          <w:i/>
          <w:iCs/>
          <w:spacing w:val="-2"/>
        </w:rPr>
        <w:t>anwendbar ab dem Steuerjahr 2022</w:t>
      </w:r>
      <w:r w:rsidR="00D67EB8" w:rsidRPr="009118AB">
        <w:rPr>
          <w:i/>
          <w:iCs/>
          <w:spacing w:val="-2"/>
        </w:rPr>
        <w:t> - </w:t>
      </w:r>
      <w:r w:rsidR="00187DC6" w:rsidRPr="009118AB">
        <w:rPr>
          <w:i/>
          <w:iCs/>
          <w:spacing w:val="-2"/>
        </w:rPr>
        <w:t xml:space="preserve">und aufgehoben durch </w:t>
      </w:r>
      <w:r w:rsidR="00D67EB8" w:rsidRPr="009118AB">
        <w:rPr>
          <w:i/>
          <w:iCs/>
          <w:spacing w:val="-2"/>
        </w:rPr>
        <w:t>Art. </w:t>
      </w:r>
      <w:r w:rsidR="00187DC6" w:rsidRPr="009118AB">
        <w:rPr>
          <w:i/>
          <w:iCs/>
          <w:spacing w:val="-2"/>
        </w:rPr>
        <w:t xml:space="preserve">24 </w:t>
      </w:r>
      <w:r w:rsidR="00D67EB8" w:rsidRPr="009118AB">
        <w:rPr>
          <w:i/>
          <w:iCs/>
          <w:spacing w:val="-2"/>
        </w:rPr>
        <w:t>Nr. </w:t>
      </w:r>
      <w:r w:rsidR="00187DC6" w:rsidRPr="009118AB">
        <w:rPr>
          <w:i/>
          <w:iCs/>
          <w:spacing w:val="-2"/>
        </w:rPr>
        <w:t>2</w:t>
      </w:r>
      <w:r w:rsidR="00187DC6" w:rsidRPr="009118AB">
        <w:rPr>
          <w:i/>
        </w:rPr>
        <w:t xml:space="preserve"> des G. vom 27. Dezember 2021 (B.S. vom 31. Dezember 2021)</w:t>
      </w:r>
      <w:r w:rsidR="00D67EB8" w:rsidRPr="009118AB">
        <w:rPr>
          <w:i/>
        </w:rPr>
        <w:t> - </w:t>
      </w:r>
      <w:r w:rsidR="00187DC6" w:rsidRPr="009118AB">
        <w:rPr>
          <w:i/>
        </w:rPr>
        <w:t>in Kraft am 31. Dezember 2021 und anwendbar ab dem Steuerjahr 2022</w:t>
      </w:r>
      <w:r w:rsidR="00FD68E8" w:rsidRPr="009118AB">
        <w:rPr>
          <w:i/>
        </w:rPr>
        <w:t> -]</w:t>
      </w:r>
    </w:p>
    <w:p w14:paraId="1C45734C" w14:textId="47B33D45" w:rsidR="00DE2B4D" w:rsidRPr="009118AB" w:rsidRDefault="00DE2B4D" w:rsidP="00DE2B4D">
      <w:pPr>
        <w:jc w:val="both"/>
        <w:rPr>
          <w:iCs/>
        </w:rPr>
      </w:pPr>
    </w:p>
    <w:p w14:paraId="6CC5B1F2" w14:textId="77777777" w:rsidR="003B08AD" w:rsidRPr="009118AB" w:rsidRDefault="003B08AD" w:rsidP="003B08AD">
      <w:pPr>
        <w:jc w:val="both"/>
      </w:pPr>
    </w:p>
    <w:p w14:paraId="77487949" w14:textId="6553A6A3" w:rsidR="00250EBA" w:rsidRPr="009118AB" w:rsidRDefault="003B08AD" w:rsidP="003B08AD">
      <w:pPr>
        <w:jc w:val="center"/>
      </w:pPr>
      <w:r w:rsidRPr="009118AB">
        <w:br w:type="page"/>
      </w:r>
      <w:r w:rsidRPr="009118AB">
        <w:lastRenderedPageBreak/>
        <w:t>[Unterabschnitt 2</w:t>
      </w:r>
      <w:r w:rsidRPr="009118AB">
        <w:rPr>
          <w:i/>
        </w:rPr>
        <w:t>septdecies</w:t>
      </w:r>
      <w:r w:rsidR="00D67EB8" w:rsidRPr="009118AB">
        <w:t> - </w:t>
      </w:r>
      <w:r w:rsidRPr="009118AB">
        <w:t>Steuerermäßigung für Instandhaltung und Restaurierung von Denkmälern und Landschaften, die unter Denk</w:t>
      </w:r>
      <w:r w:rsidRPr="009118AB">
        <w:softHyphen/>
        <w:t>malschutz stehen]</w:t>
      </w:r>
    </w:p>
    <w:p w14:paraId="3261E6C6" w14:textId="77777777" w:rsidR="00250EBA" w:rsidRPr="009118AB" w:rsidRDefault="00250EBA" w:rsidP="003B08AD">
      <w:pPr>
        <w:jc w:val="center"/>
      </w:pPr>
    </w:p>
    <w:p w14:paraId="70DEFA24" w14:textId="7C875D7C" w:rsidR="00250EBA" w:rsidRPr="009118AB" w:rsidRDefault="00250EBA" w:rsidP="00250EBA">
      <w:pPr>
        <w:jc w:val="both"/>
        <w:rPr>
          <w:i/>
          <w:iCs/>
        </w:rPr>
      </w:pPr>
      <w:r w:rsidRPr="009118AB">
        <w:rPr>
          <w:i/>
        </w:rPr>
        <w:t>[</w:t>
      </w:r>
      <w:r w:rsidR="00FF68D0" w:rsidRPr="009118AB">
        <w:rPr>
          <w:i/>
        </w:rPr>
        <w:t xml:space="preserve">Unterteilung </w:t>
      </w:r>
      <w:r w:rsidRPr="009118AB">
        <w:rPr>
          <w:i/>
        </w:rPr>
        <w:t xml:space="preserve">Unterabschnitt 2septdecies eingefügt durch </w:t>
      </w:r>
      <w:r w:rsidR="00D67EB8" w:rsidRPr="009118AB">
        <w:rPr>
          <w:i/>
        </w:rPr>
        <w:t>Art. </w:t>
      </w:r>
      <w:r w:rsidRPr="009118AB">
        <w:rPr>
          <w:i/>
        </w:rPr>
        <w:t>30</w:t>
      </w:r>
      <w:r w:rsidRPr="009118AB">
        <w:rPr>
          <w:i/>
          <w:iCs/>
        </w:rPr>
        <w:t xml:space="preserve"> des G. vom 13.</w:t>
      </w:r>
      <w:r w:rsidR="00FF68D0" w:rsidRPr="009118AB">
        <w:rPr>
          <w:i/>
          <w:iCs/>
        </w:rPr>
        <w:t> </w:t>
      </w:r>
      <w:r w:rsidRPr="009118AB">
        <w:rPr>
          <w:i/>
          <w:iCs/>
        </w:rPr>
        <w:t>Dezember 2012 (B.S. vom 20. Dezember 2012)</w:t>
      </w:r>
      <w:r w:rsidR="00D67EB8" w:rsidRPr="009118AB">
        <w:rPr>
          <w:i/>
          <w:iCs/>
        </w:rPr>
        <w:t> - </w:t>
      </w:r>
      <w:r w:rsidRPr="009118AB">
        <w:rPr>
          <w:i/>
          <w:iCs/>
        </w:rPr>
        <w:t>in Kraft ab dem Steuerjahr 2013</w:t>
      </w:r>
      <w:r w:rsidR="00FD68E8" w:rsidRPr="009118AB">
        <w:rPr>
          <w:i/>
          <w:iCs/>
        </w:rPr>
        <w:t> -]</w:t>
      </w:r>
    </w:p>
    <w:p w14:paraId="352F2A78" w14:textId="77777777" w:rsidR="00250EBA" w:rsidRPr="009118AB" w:rsidRDefault="00250EBA" w:rsidP="00250EBA">
      <w:pPr>
        <w:jc w:val="both"/>
        <w:rPr>
          <w:iCs/>
        </w:rPr>
      </w:pPr>
    </w:p>
    <w:p w14:paraId="6D7D0CF1" w14:textId="77777777" w:rsidR="00250EBA" w:rsidRPr="009118AB" w:rsidRDefault="00250EBA" w:rsidP="00250EBA">
      <w:pPr>
        <w:jc w:val="both"/>
        <w:rPr>
          <w:iCs/>
        </w:rPr>
      </w:pPr>
    </w:p>
    <w:p w14:paraId="71666119" w14:textId="064AAEDE" w:rsidR="00250EBA" w:rsidRPr="009118AB" w:rsidRDefault="00250EBA" w:rsidP="00250EBA">
      <w:pPr>
        <w:ind w:firstLine="708"/>
        <w:jc w:val="both"/>
      </w:pPr>
      <w:r w:rsidRPr="009118AB">
        <w:rPr>
          <w:iCs/>
        </w:rPr>
        <w:t>[</w:t>
      </w:r>
      <w:r w:rsidR="00D67EB8" w:rsidRPr="009118AB">
        <w:rPr>
          <w:b/>
        </w:rPr>
        <w:t>Art. </w:t>
      </w:r>
      <w:r w:rsidRPr="009118AB">
        <w:rPr>
          <w:b/>
        </w:rPr>
        <w:t>145</w:t>
      </w:r>
      <w:r w:rsidRPr="009118AB">
        <w:rPr>
          <w:b/>
          <w:vertAlign w:val="superscript"/>
        </w:rPr>
        <w:t>36</w:t>
      </w:r>
      <w:r w:rsidR="00D67EB8" w:rsidRPr="009118AB">
        <w:rPr>
          <w:b/>
        </w:rPr>
        <w:t> - </w:t>
      </w:r>
      <w:r w:rsidRPr="009118AB">
        <w:t>Eine Steuerermäßigung wird für den nicht durch Zuschüsse gedeckten Teil der Ausgaben gewährt, die der Eigentümer von nicht vermieteten bebauten unbeweg</w:t>
      </w:r>
      <w:r w:rsidRPr="009118AB">
        <w:softHyphen/>
        <w:t>lichen Gütern, Teilen von bebauten unbeweglichen Gütern oder Landschaften, die gemäß den Rechtsvorschriften über die Erhaltung von Denkmälern und Landschaften oder gemäß ähnlichen Rechtsvorschriften eines anderen Mitgliedstaates des Europäischen Wirtschafts</w:t>
      </w:r>
      <w:r w:rsidRPr="009118AB">
        <w:softHyphen/>
        <w:t>raums unter Denkmalschutz stehen, getätigt hat, um sie instand zu halten beziehungsweise zu restaurieren, sofern diese unbeweglichen Güter, Teile von unbeweglichen Gütern oder Landschaften für die Öffentlichkeit zugänglich sind.</w:t>
      </w:r>
    </w:p>
    <w:p w14:paraId="7FA7FD7B" w14:textId="77777777" w:rsidR="00250EBA" w:rsidRPr="009118AB" w:rsidRDefault="00250EBA" w:rsidP="00250EBA">
      <w:pPr>
        <w:jc w:val="both"/>
      </w:pPr>
    </w:p>
    <w:p w14:paraId="6AB44C32" w14:textId="77777777" w:rsidR="00250EBA" w:rsidRPr="009118AB" w:rsidRDefault="00250EBA" w:rsidP="00250EBA">
      <w:pPr>
        <w:ind w:firstLine="708"/>
        <w:jc w:val="both"/>
      </w:pPr>
      <w:r w:rsidRPr="009118AB">
        <w:t>Die Steuerermäßigung ist nicht anwendbar auf Ausgaben, die:</w:t>
      </w:r>
    </w:p>
    <w:p w14:paraId="21DC0563" w14:textId="77777777" w:rsidR="00250EBA" w:rsidRPr="009118AB" w:rsidRDefault="00250EBA" w:rsidP="00250EBA">
      <w:pPr>
        <w:jc w:val="both"/>
      </w:pPr>
    </w:p>
    <w:p w14:paraId="10C77E09" w14:textId="77777777" w:rsidR="00250EBA" w:rsidRPr="009118AB" w:rsidRDefault="00250EBA" w:rsidP="00250EBA">
      <w:pPr>
        <w:ind w:firstLine="708"/>
        <w:jc w:val="both"/>
      </w:pPr>
      <w:r w:rsidRPr="009118AB">
        <w:rPr>
          <w:i/>
        </w:rPr>
        <w:t>a)</w:t>
      </w:r>
      <w:r w:rsidRPr="009118AB">
        <w:t> als tatsächliche Werbungskosten berücksichtigt werden,</w:t>
      </w:r>
    </w:p>
    <w:p w14:paraId="503AD54B" w14:textId="77777777" w:rsidR="00250EBA" w:rsidRPr="009118AB" w:rsidRDefault="00250EBA" w:rsidP="00250EBA">
      <w:pPr>
        <w:jc w:val="both"/>
      </w:pPr>
    </w:p>
    <w:p w14:paraId="7C1576A8" w14:textId="77777777" w:rsidR="00250EBA" w:rsidRPr="009118AB" w:rsidRDefault="00250EBA" w:rsidP="00250EBA">
      <w:pPr>
        <w:ind w:firstLine="708"/>
        <w:jc w:val="both"/>
      </w:pPr>
      <w:r w:rsidRPr="009118AB">
        <w:rPr>
          <w:i/>
        </w:rPr>
        <w:t>b)</w:t>
      </w:r>
      <w:r w:rsidRPr="009118AB">
        <w:t> zu dem in Artikel 69 erwähnten Investitionsabzug berechtigen,</w:t>
      </w:r>
    </w:p>
    <w:p w14:paraId="5E76181F" w14:textId="77777777" w:rsidR="00250EBA" w:rsidRPr="009118AB" w:rsidRDefault="00250EBA" w:rsidP="00250EBA">
      <w:pPr>
        <w:jc w:val="both"/>
      </w:pPr>
    </w:p>
    <w:p w14:paraId="7388384C" w14:textId="77777777" w:rsidR="00250EBA" w:rsidRPr="009118AB" w:rsidRDefault="00250EBA" w:rsidP="00250EBA">
      <w:pPr>
        <w:ind w:firstLine="708"/>
        <w:jc w:val="both"/>
      </w:pPr>
      <w:r w:rsidRPr="009118AB">
        <w:rPr>
          <w:i/>
        </w:rPr>
        <w:t>c)</w:t>
      </w:r>
      <w:r w:rsidRPr="009118AB">
        <w:t> </w:t>
      </w:r>
      <w:r w:rsidR="00F83F8A" w:rsidRPr="009118AB">
        <w:t>[für die Anwendung der Artikel 145</w:t>
      </w:r>
      <w:r w:rsidR="00F83F8A" w:rsidRPr="009118AB">
        <w:rPr>
          <w:vertAlign w:val="superscript"/>
        </w:rPr>
        <w:t>25</w:t>
      </w:r>
      <w:r w:rsidR="00F83F8A" w:rsidRPr="009118AB">
        <w:t>, 145</w:t>
      </w:r>
      <w:r w:rsidR="00F83F8A" w:rsidRPr="009118AB">
        <w:rPr>
          <w:vertAlign w:val="superscript"/>
        </w:rPr>
        <w:t>30</w:t>
      </w:r>
      <w:r w:rsidR="00F83F8A" w:rsidRPr="009118AB">
        <w:t xml:space="preserve"> und 145</w:t>
      </w:r>
      <w:r w:rsidR="00F83F8A" w:rsidRPr="009118AB">
        <w:rPr>
          <w:vertAlign w:val="superscript"/>
        </w:rPr>
        <w:t>31</w:t>
      </w:r>
      <w:r w:rsidR="00F83F8A" w:rsidRPr="009118AB">
        <w:t xml:space="preserve"> in Betracht kommen.]</w:t>
      </w:r>
    </w:p>
    <w:p w14:paraId="4BE4B00C" w14:textId="77777777" w:rsidR="00250EBA" w:rsidRPr="009118AB" w:rsidRDefault="00250EBA" w:rsidP="00250EBA">
      <w:pPr>
        <w:jc w:val="both"/>
      </w:pPr>
    </w:p>
    <w:p w14:paraId="1F42A0B1" w14:textId="77777777" w:rsidR="00250EBA" w:rsidRPr="009118AB" w:rsidRDefault="00250EBA" w:rsidP="00250EBA">
      <w:pPr>
        <w:ind w:firstLine="708"/>
        <w:jc w:val="both"/>
      </w:pPr>
      <w:r w:rsidRPr="009118AB">
        <w:t>Der Betrag, für den die Steuerermäßigung gewährt wird, beläuft sich auf 50 Prozent der Ausgaben, die während des Besteuerungszeitraums tatsächlich gezahlt werden, und darf pro Besteuerungszeitraum 25.000 EUR nicht übersteigen.</w:t>
      </w:r>
    </w:p>
    <w:p w14:paraId="5A1B6218" w14:textId="77777777" w:rsidR="00250EBA" w:rsidRPr="009118AB" w:rsidRDefault="00250EBA" w:rsidP="00250EBA">
      <w:pPr>
        <w:jc w:val="both"/>
      </w:pPr>
    </w:p>
    <w:p w14:paraId="678F0A9C" w14:textId="77777777" w:rsidR="00250EBA" w:rsidRPr="009118AB" w:rsidRDefault="00250EBA" w:rsidP="00250EBA">
      <w:pPr>
        <w:ind w:firstLine="708"/>
        <w:jc w:val="both"/>
      </w:pPr>
      <w:r w:rsidRPr="009118AB">
        <w:t>Die Steuerermäßigung beträgt 30 Prozent des in Betracht kommenden Betrags.</w:t>
      </w:r>
    </w:p>
    <w:p w14:paraId="7596DEFB" w14:textId="77777777" w:rsidR="00250EBA" w:rsidRPr="009118AB" w:rsidRDefault="00250EBA" w:rsidP="00250EBA">
      <w:pPr>
        <w:jc w:val="both"/>
      </w:pPr>
    </w:p>
    <w:p w14:paraId="37F53AFF" w14:textId="77777777" w:rsidR="00250EBA" w:rsidRPr="009118AB" w:rsidRDefault="00F83F8A" w:rsidP="00250EBA">
      <w:pPr>
        <w:ind w:firstLine="708"/>
        <w:jc w:val="both"/>
      </w:pPr>
      <w:r w:rsidRPr="009118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55E50D32" w14:textId="77777777" w:rsidR="00250EBA" w:rsidRPr="009118AB" w:rsidRDefault="00250EBA" w:rsidP="00250EBA">
      <w:pPr>
        <w:jc w:val="both"/>
      </w:pPr>
    </w:p>
    <w:p w14:paraId="4F3818B8" w14:textId="77777777" w:rsidR="00F92348" w:rsidRPr="009118AB" w:rsidRDefault="00250EBA" w:rsidP="00250EBA">
      <w:pPr>
        <w:jc w:val="both"/>
      </w:pPr>
      <w:r w:rsidRPr="009118AB">
        <w:tab/>
      </w:r>
      <w:r w:rsidR="00F83F8A" w:rsidRPr="009118AB">
        <w:t>[In Absatz 1 erwähnte Ausgaben sind Ausgaben, die nach vorheriger Zustimmung der zuständigen Behörde getätigt werden, um diese Güter oder einen Teil davon instand zu halten, in ihren früheren Zustand wiederherzustellen oder in historischer, künstlerischer, wissen</w:t>
      </w:r>
      <w:r w:rsidR="00F83F8A" w:rsidRPr="009118AB">
        <w:softHyphen/>
        <w:t>schaftlicher oder ästhetischer Hinsicht aufzuwerten.]</w:t>
      </w:r>
      <w:r w:rsidR="00F92348" w:rsidRPr="009118AB">
        <w:t>]</w:t>
      </w:r>
    </w:p>
    <w:p w14:paraId="361937B7" w14:textId="77777777" w:rsidR="00F92348" w:rsidRPr="009118AB" w:rsidRDefault="00F92348" w:rsidP="00250EBA">
      <w:pPr>
        <w:jc w:val="both"/>
      </w:pPr>
    </w:p>
    <w:p w14:paraId="007B3E67" w14:textId="77777777" w:rsidR="00F92348" w:rsidRPr="009118AB" w:rsidRDefault="00F92348" w:rsidP="00F92348">
      <w:pPr>
        <w:jc w:val="both"/>
      </w:pPr>
      <w:r w:rsidRPr="009118AB">
        <w:tab/>
        <w:t>[Für die Anwendung des vorliegenden Artikels gelten bebaute unbewegliche Güter, Teile von bebauten unbeweglichen Gütern oder Landschaften als für die Öffentlichkeit zugänglich, wenn sie von der zuständigen Behörde als solche anerkannt sind.</w:t>
      </w:r>
    </w:p>
    <w:p w14:paraId="13159D82" w14:textId="77777777" w:rsidR="00F92348" w:rsidRPr="009118AB" w:rsidRDefault="00F92348" w:rsidP="00F92348">
      <w:pPr>
        <w:jc w:val="both"/>
      </w:pPr>
    </w:p>
    <w:p w14:paraId="3F483E86" w14:textId="77777777" w:rsidR="00250EBA" w:rsidRPr="009118AB" w:rsidRDefault="00F92348" w:rsidP="00F92348">
      <w:pPr>
        <w:jc w:val="both"/>
      </w:pPr>
      <w:r w:rsidRPr="009118AB">
        <w:tab/>
        <w:t>Der König bestimmt die Modalitäten für die Anwendung der Steuerermäßigung.</w:t>
      </w:r>
      <w:r w:rsidR="00250EBA" w:rsidRPr="009118AB">
        <w:t>]</w:t>
      </w:r>
    </w:p>
    <w:p w14:paraId="519365CB" w14:textId="77777777" w:rsidR="00250EBA" w:rsidRPr="009118AB" w:rsidRDefault="00250EBA" w:rsidP="00250EBA">
      <w:pPr>
        <w:jc w:val="both"/>
      </w:pPr>
    </w:p>
    <w:p w14:paraId="1EB50D71" w14:textId="3C57092D" w:rsidR="00FF68D0" w:rsidRPr="009118AB" w:rsidRDefault="00250EBA" w:rsidP="00FF68D0">
      <w:pPr>
        <w:jc w:val="both"/>
        <w:rPr>
          <w:i/>
          <w:iCs/>
        </w:rPr>
      </w:pPr>
      <w:r w:rsidRPr="009118AB">
        <w:rPr>
          <w:i/>
        </w:rPr>
        <w:t>[</w:t>
      </w:r>
      <w:r w:rsidR="00D67EB8" w:rsidRPr="009118AB">
        <w:rPr>
          <w:i/>
        </w:rPr>
        <w:t>Art. </w:t>
      </w:r>
      <w:r w:rsidRPr="009118AB">
        <w:rPr>
          <w:i/>
        </w:rPr>
        <w:t>145</w:t>
      </w:r>
      <w:r w:rsidRPr="009118AB">
        <w:rPr>
          <w:i/>
          <w:vertAlign w:val="superscript"/>
        </w:rPr>
        <w:t>36</w:t>
      </w:r>
      <w:r w:rsidRPr="009118AB">
        <w:rPr>
          <w:i/>
        </w:rPr>
        <w:t xml:space="preserve"> eingefügt durch </w:t>
      </w:r>
      <w:r w:rsidR="00D67EB8" w:rsidRPr="009118AB">
        <w:rPr>
          <w:i/>
        </w:rPr>
        <w:t>Art. </w:t>
      </w:r>
      <w:r w:rsidRPr="009118AB">
        <w:rPr>
          <w:i/>
        </w:rPr>
        <w:t>31</w:t>
      </w:r>
      <w:r w:rsidRPr="009118AB">
        <w:rPr>
          <w:i/>
          <w:iCs/>
        </w:rPr>
        <w:t xml:space="preserve"> des G. vom 13. Dezember 2012 (B.S. vom 20. Dezember 2012)</w:t>
      </w:r>
      <w:r w:rsidR="00D67EB8" w:rsidRPr="009118AB">
        <w:rPr>
          <w:i/>
          <w:iCs/>
        </w:rPr>
        <w:t> - </w:t>
      </w:r>
      <w:r w:rsidRPr="009118AB">
        <w:rPr>
          <w:i/>
          <w:iCs/>
        </w:rPr>
        <w:t>in Kraft ab dem Steuerjahr 2013</w:t>
      </w:r>
      <w:r w:rsidR="003366D9" w:rsidRPr="009118AB">
        <w:rPr>
          <w:i/>
          <w:iCs/>
        </w:rPr>
        <w:t> -;</w:t>
      </w:r>
      <w:r w:rsidR="00F83F8A" w:rsidRPr="009118AB">
        <w:rPr>
          <w:i/>
          <w:iCs/>
        </w:rPr>
        <w:t xml:space="preserve"> </w:t>
      </w:r>
      <w:r w:rsidR="00D67EB8" w:rsidRPr="009118AB">
        <w:rPr>
          <w:i/>
          <w:iCs/>
        </w:rPr>
        <w:t>Abs. </w:t>
      </w:r>
      <w:r w:rsidR="00F83F8A" w:rsidRPr="009118AB">
        <w:rPr>
          <w:i/>
          <w:iCs/>
        </w:rPr>
        <w:t xml:space="preserve">2 Buchstabe c) ersetzt durch </w:t>
      </w:r>
      <w:r w:rsidR="00D67EB8" w:rsidRPr="009118AB">
        <w:rPr>
          <w:i/>
          <w:iCs/>
        </w:rPr>
        <w:t>Art. </w:t>
      </w:r>
      <w:r w:rsidR="00F83F8A" w:rsidRPr="009118AB">
        <w:rPr>
          <w:i/>
          <w:iCs/>
        </w:rPr>
        <w:t xml:space="preserve">42 </w:t>
      </w:r>
      <w:r w:rsidR="00D67EB8" w:rsidRPr="009118AB">
        <w:rPr>
          <w:i/>
          <w:iCs/>
        </w:rPr>
        <w:t>Nr. </w:t>
      </w:r>
      <w:r w:rsidR="00F83F8A" w:rsidRPr="009118AB">
        <w:rPr>
          <w:i/>
          <w:iCs/>
        </w:rPr>
        <w:t>1</w:t>
      </w:r>
      <w:r w:rsidR="00F83F8A" w:rsidRPr="009118AB">
        <w:rPr>
          <w:i/>
        </w:rPr>
        <w:t xml:space="preserve"> des G. vom 8. Mai 2014 (B.S. vom 28. Mai 2014)</w:t>
      </w:r>
      <w:r w:rsidR="00D67EB8" w:rsidRPr="009118AB">
        <w:rPr>
          <w:i/>
        </w:rPr>
        <w:t> - </w:t>
      </w:r>
      <w:r w:rsidR="00F83F8A" w:rsidRPr="009118AB">
        <w:rPr>
          <w:i/>
          <w:iCs/>
        </w:rPr>
        <w:t>anwendbar ab dem Steuerjahr 2015</w:t>
      </w:r>
      <w:r w:rsidR="003366D9" w:rsidRPr="009118AB">
        <w:rPr>
          <w:i/>
          <w:iCs/>
        </w:rPr>
        <w:t> -;</w:t>
      </w:r>
      <w:r w:rsidR="00F83F8A" w:rsidRPr="009118AB">
        <w:rPr>
          <w:i/>
          <w:iCs/>
        </w:rPr>
        <w:t xml:space="preserve"> </w:t>
      </w:r>
      <w:r w:rsidR="00D67EB8" w:rsidRPr="009118AB">
        <w:rPr>
          <w:i/>
          <w:iCs/>
        </w:rPr>
        <w:t>Abs. </w:t>
      </w:r>
      <w:r w:rsidR="00F83F8A" w:rsidRPr="009118AB">
        <w:rPr>
          <w:i/>
          <w:iCs/>
        </w:rPr>
        <w:t xml:space="preserve">5 ersetzt durch </w:t>
      </w:r>
      <w:r w:rsidR="00D67EB8" w:rsidRPr="009118AB">
        <w:rPr>
          <w:i/>
          <w:iCs/>
        </w:rPr>
        <w:t>Art. </w:t>
      </w:r>
      <w:r w:rsidR="00F83F8A" w:rsidRPr="009118AB">
        <w:rPr>
          <w:i/>
          <w:iCs/>
        </w:rPr>
        <w:t xml:space="preserve">42 </w:t>
      </w:r>
      <w:r w:rsidR="00D67EB8" w:rsidRPr="009118AB">
        <w:rPr>
          <w:i/>
          <w:iCs/>
        </w:rPr>
        <w:t>Nr. </w:t>
      </w:r>
      <w:r w:rsidR="00F83F8A" w:rsidRPr="009118AB">
        <w:rPr>
          <w:i/>
          <w:iCs/>
        </w:rPr>
        <w:t>2</w:t>
      </w:r>
      <w:r w:rsidR="00F83F8A" w:rsidRPr="009118AB">
        <w:rPr>
          <w:i/>
        </w:rPr>
        <w:t xml:space="preserve"> des G. vom 8. Mai 2014 (B.S. vom </w:t>
      </w:r>
      <w:r w:rsidR="00F83F8A" w:rsidRPr="009118AB">
        <w:rPr>
          <w:i/>
        </w:rPr>
        <w:lastRenderedPageBreak/>
        <w:t>28. Mai 2014)</w:t>
      </w:r>
      <w:r w:rsidR="00D67EB8" w:rsidRPr="009118AB">
        <w:rPr>
          <w:i/>
        </w:rPr>
        <w:t> - </w:t>
      </w:r>
      <w:r w:rsidR="00F83F8A" w:rsidRPr="009118AB">
        <w:rPr>
          <w:i/>
          <w:iCs/>
        </w:rPr>
        <w:t>anwendbar ab dem Steuerjahr 2015</w:t>
      </w:r>
      <w:r w:rsidR="003366D9" w:rsidRPr="009118AB">
        <w:rPr>
          <w:i/>
          <w:iCs/>
        </w:rPr>
        <w:t> -;</w:t>
      </w:r>
      <w:r w:rsidR="00F83F8A" w:rsidRPr="009118AB">
        <w:rPr>
          <w:i/>
          <w:iCs/>
        </w:rPr>
        <w:t xml:space="preserve"> </w:t>
      </w:r>
      <w:r w:rsidR="00D67EB8" w:rsidRPr="009118AB">
        <w:rPr>
          <w:i/>
          <w:iCs/>
        </w:rPr>
        <w:t>Abs. </w:t>
      </w:r>
      <w:r w:rsidR="00F83F8A" w:rsidRPr="009118AB">
        <w:rPr>
          <w:i/>
          <w:iCs/>
        </w:rPr>
        <w:t xml:space="preserve">6 ersetzt durch </w:t>
      </w:r>
      <w:r w:rsidR="00D67EB8" w:rsidRPr="009118AB">
        <w:rPr>
          <w:i/>
          <w:iCs/>
        </w:rPr>
        <w:t>Art. </w:t>
      </w:r>
      <w:r w:rsidR="00F83F8A" w:rsidRPr="009118AB">
        <w:rPr>
          <w:i/>
          <w:iCs/>
        </w:rPr>
        <w:t xml:space="preserve">42 </w:t>
      </w:r>
      <w:r w:rsidR="00D67EB8" w:rsidRPr="009118AB">
        <w:rPr>
          <w:i/>
          <w:iCs/>
        </w:rPr>
        <w:t>Nr. </w:t>
      </w:r>
      <w:r w:rsidR="00F83F8A" w:rsidRPr="009118AB">
        <w:rPr>
          <w:i/>
          <w:iCs/>
        </w:rPr>
        <w:t>3</w:t>
      </w:r>
      <w:r w:rsidR="00F83F8A" w:rsidRPr="009118AB">
        <w:rPr>
          <w:i/>
        </w:rPr>
        <w:t xml:space="preserve"> des G. vom 8. Mai 2014 (B.S. vom 28. Mai 2014)</w:t>
      </w:r>
      <w:r w:rsidR="00D67EB8" w:rsidRPr="009118AB">
        <w:rPr>
          <w:i/>
        </w:rPr>
        <w:t> - </w:t>
      </w:r>
      <w:r w:rsidR="00F83F8A" w:rsidRPr="009118AB">
        <w:rPr>
          <w:i/>
          <w:iCs/>
        </w:rPr>
        <w:t>anwendbar ab dem Steuerjahr 2015</w:t>
      </w:r>
      <w:r w:rsidR="003366D9" w:rsidRPr="009118AB">
        <w:rPr>
          <w:i/>
          <w:iCs/>
        </w:rPr>
        <w:t> -;</w:t>
      </w:r>
      <w:r w:rsidR="00F83F8A" w:rsidRPr="009118AB">
        <w:rPr>
          <w:i/>
          <w:iCs/>
        </w:rPr>
        <w:t xml:space="preserve"> </w:t>
      </w:r>
      <w:r w:rsidR="00D67EB8" w:rsidRPr="009118AB">
        <w:rPr>
          <w:i/>
          <w:iCs/>
        </w:rPr>
        <w:t>Abs. </w:t>
      </w:r>
      <w:r w:rsidR="00F83F8A" w:rsidRPr="009118AB">
        <w:rPr>
          <w:i/>
          <w:iCs/>
        </w:rPr>
        <w:t xml:space="preserve">7 und 8 eingefügt durch </w:t>
      </w:r>
      <w:r w:rsidR="00D67EB8" w:rsidRPr="009118AB">
        <w:rPr>
          <w:i/>
          <w:iCs/>
        </w:rPr>
        <w:t>Art. </w:t>
      </w:r>
      <w:r w:rsidR="00F83F8A" w:rsidRPr="009118AB">
        <w:rPr>
          <w:i/>
          <w:iCs/>
        </w:rPr>
        <w:t xml:space="preserve">42 </w:t>
      </w:r>
      <w:r w:rsidR="00D67EB8" w:rsidRPr="009118AB">
        <w:rPr>
          <w:i/>
          <w:iCs/>
        </w:rPr>
        <w:t>Nr. </w:t>
      </w:r>
      <w:r w:rsidR="00F83F8A" w:rsidRPr="009118AB">
        <w:rPr>
          <w:i/>
          <w:iCs/>
        </w:rPr>
        <w:t>4</w:t>
      </w:r>
      <w:r w:rsidR="00F83F8A" w:rsidRPr="009118AB">
        <w:rPr>
          <w:i/>
        </w:rPr>
        <w:t xml:space="preserve"> des G. vom 8. Mai 2014 (B.S. vom 28. Mai 2014)</w:t>
      </w:r>
      <w:r w:rsidR="00D67EB8" w:rsidRPr="009118AB">
        <w:rPr>
          <w:i/>
        </w:rPr>
        <w:t> - </w:t>
      </w:r>
      <w:r w:rsidR="00F83F8A" w:rsidRPr="009118AB">
        <w:rPr>
          <w:i/>
          <w:iCs/>
        </w:rPr>
        <w:t>anwendbar ab dem Steuerjahr 2015</w:t>
      </w:r>
      <w:r w:rsidR="00FD68E8" w:rsidRPr="009118AB">
        <w:rPr>
          <w:i/>
          <w:iCs/>
        </w:rPr>
        <w:t> -]</w:t>
      </w:r>
    </w:p>
    <w:p w14:paraId="22D162B9" w14:textId="48DB9DEE" w:rsidR="00F92348" w:rsidRPr="009118AB" w:rsidRDefault="00EF3DAB" w:rsidP="00F92348">
      <w:pPr>
        <w:jc w:val="center"/>
      </w:pPr>
      <w:r w:rsidRPr="009118AB">
        <w:br w:type="page"/>
      </w:r>
      <w:r w:rsidR="00F92348" w:rsidRPr="009118AB">
        <w:lastRenderedPageBreak/>
        <w:t>[Unterabschnitt 2</w:t>
      </w:r>
      <w:r w:rsidR="00F92348" w:rsidRPr="009118AB">
        <w:rPr>
          <w:i/>
        </w:rPr>
        <w:t>octodecies</w:t>
      </w:r>
      <w:r w:rsidR="00D67EB8" w:rsidRPr="009118AB">
        <w:t> - </w:t>
      </w:r>
      <w:r w:rsidR="00F92348" w:rsidRPr="009118AB">
        <w:t>Steuerermäßigung für die eigene Wohnung]</w:t>
      </w:r>
    </w:p>
    <w:p w14:paraId="55C50F4C" w14:textId="77777777" w:rsidR="00F92348" w:rsidRPr="009118AB" w:rsidRDefault="00F92348" w:rsidP="00F92348">
      <w:pPr>
        <w:jc w:val="center"/>
      </w:pPr>
    </w:p>
    <w:p w14:paraId="03E8CA61" w14:textId="3192598F" w:rsidR="00F92348" w:rsidRPr="009118AB" w:rsidRDefault="00F92348" w:rsidP="00F92348">
      <w:pPr>
        <w:jc w:val="both"/>
        <w:rPr>
          <w:iCs/>
        </w:rPr>
      </w:pPr>
      <w:r w:rsidRPr="009118AB">
        <w:rPr>
          <w:i/>
        </w:rPr>
        <w:t xml:space="preserve">[Unterteilung Unterabschnitt 2octodecies eingefügt durch </w:t>
      </w:r>
      <w:r w:rsidR="00D67EB8" w:rsidRPr="009118AB">
        <w:rPr>
          <w:i/>
        </w:rPr>
        <w:t>Art. </w:t>
      </w:r>
      <w:r w:rsidRPr="009118AB">
        <w:rPr>
          <w:i/>
        </w:rPr>
        <w:t>43 des G. vom 8. Mai 2014 (B.S. vom 28. Mai 2014)</w:t>
      </w:r>
      <w:r w:rsidR="00D67EB8" w:rsidRPr="009118AB">
        <w:rPr>
          <w:i/>
        </w:rPr>
        <w:t> - </w:t>
      </w:r>
      <w:r w:rsidRPr="009118AB">
        <w:rPr>
          <w:i/>
          <w:iCs/>
        </w:rPr>
        <w:t>anwendbar ab dem Steuerjahr 2015</w:t>
      </w:r>
      <w:r w:rsidR="00FD68E8" w:rsidRPr="009118AB">
        <w:rPr>
          <w:i/>
          <w:iCs/>
        </w:rPr>
        <w:t> -]</w:t>
      </w:r>
    </w:p>
    <w:p w14:paraId="14A890B5" w14:textId="77777777" w:rsidR="00F92348" w:rsidRPr="009118AB" w:rsidRDefault="00F92348" w:rsidP="00F92348">
      <w:pPr>
        <w:jc w:val="both"/>
        <w:rPr>
          <w:iCs/>
        </w:rPr>
      </w:pPr>
    </w:p>
    <w:p w14:paraId="21C41C57" w14:textId="77777777" w:rsidR="00F92348" w:rsidRPr="009118AB" w:rsidRDefault="00F92348" w:rsidP="00F92348">
      <w:pPr>
        <w:jc w:val="both"/>
        <w:rPr>
          <w:iCs/>
        </w:rPr>
      </w:pPr>
    </w:p>
    <w:p w14:paraId="7B7FEC00" w14:textId="14DDADD5" w:rsidR="00F92348" w:rsidRPr="009118AB" w:rsidRDefault="00F92348" w:rsidP="00F92348">
      <w:pPr>
        <w:jc w:val="both"/>
      </w:pPr>
      <w:r w:rsidRPr="009118AB">
        <w:rPr>
          <w:iCs/>
        </w:rPr>
        <w:tab/>
        <w:t>[</w:t>
      </w:r>
      <w:r w:rsidR="00D67EB8" w:rsidRPr="009118AB">
        <w:rPr>
          <w:b/>
        </w:rPr>
        <w:t>Art. </w:t>
      </w:r>
      <w:r w:rsidRPr="009118AB">
        <w:rPr>
          <w:b/>
        </w:rPr>
        <w:t>145</w:t>
      </w:r>
      <w:r w:rsidRPr="009118AB">
        <w:rPr>
          <w:b/>
          <w:vertAlign w:val="superscript"/>
        </w:rPr>
        <w:t>37</w:t>
      </w:r>
      <w:r w:rsidR="00D67EB8" w:rsidRPr="009118AB">
        <w:t> - § </w:t>
      </w:r>
      <w:r w:rsidRPr="009118AB">
        <w:t>1</w:t>
      </w:r>
      <w:r w:rsidR="00D67EB8" w:rsidRPr="009118AB">
        <w:t> - </w:t>
      </w:r>
      <w:r w:rsidRPr="009118AB">
        <w:t>Für folgende Ausgaben, die während des Besteuerungszeitraums tatsächlich gezahlt worden sind, wird eine Steuerermäßigung gewährt:</w:t>
      </w:r>
    </w:p>
    <w:p w14:paraId="758DB741" w14:textId="77777777" w:rsidR="00F92348" w:rsidRPr="009118AB" w:rsidRDefault="00F92348" w:rsidP="00F92348">
      <w:pPr>
        <w:jc w:val="both"/>
      </w:pPr>
    </w:p>
    <w:p w14:paraId="58BC312C" w14:textId="77777777" w:rsidR="00F92348" w:rsidRPr="009118AB" w:rsidRDefault="00F92348" w:rsidP="00F92348">
      <w:pPr>
        <w:jc w:val="both"/>
      </w:pPr>
      <w:r w:rsidRPr="009118AB">
        <w:tab/>
        <w:t>- Zinsen und Summen, die für Tilgung oder Wiederherstellung einer Hypothekenanleihe gezahlt worden sind, die spezifisch für Erwerb oder Erhaltung einer einzigen Wohnung aufgenommen wurde,</w:t>
      </w:r>
    </w:p>
    <w:p w14:paraId="46B748DD" w14:textId="77777777" w:rsidR="00F92348" w:rsidRPr="009118AB" w:rsidRDefault="00F92348" w:rsidP="00F92348">
      <w:pPr>
        <w:jc w:val="both"/>
      </w:pPr>
    </w:p>
    <w:p w14:paraId="00732500" w14:textId="77777777" w:rsidR="00F92348" w:rsidRPr="009118AB" w:rsidRDefault="00F92348" w:rsidP="00F92348">
      <w:pPr>
        <w:jc w:val="both"/>
      </w:pPr>
      <w:r w:rsidRPr="009118AB">
        <w:tab/>
        <w:t>- Beiträge zu einer Alters- und Todesfallzusatzversicherung, die der Steuerpflichtige in Ausführung eines Lebensversicherungsvertrags, den er individuell abgeschlossen hat ausschließlich für die Wiederherstellung einer solchen oder als Sicherheit für eine solche Hypothekenanleihe, definitiv gezahlt hat für die Bildung einer Rente oder eines Kapitals zu Lebzeiten oder im Todesfall.</w:t>
      </w:r>
    </w:p>
    <w:p w14:paraId="5C5F14E4" w14:textId="77777777" w:rsidR="00F92348" w:rsidRPr="009118AB" w:rsidRDefault="00F92348" w:rsidP="00F92348">
      <w:pPr>
        <w:jc w:val="both"/>
      </w:pPr>
    </w:p>
    <w:p w14:paraId="46B148E5" w14:textId="77777777" w:rsidR="00F92348" w:rsidRPr="009118AB" w:rsidRDefault="00F92348" w:rsidP="00F92348">
      <w:pPr>
        <w:jc w:val="both"/>
      </w:pPr>
      <w:r w:rsidRPr="009118AB">
        <w:tab/>
        <w:t>In Absatz 1 erwähnte Zinsen, Summen und Beiträge kommen für die Ermäßigung nur in Betracht, wenn die Wohnung, für die diese Ausgaben getätigt worden sind, zum Zeitpunkt dieser Ausgaben die eigene Wohnung des Steuerpflichtigen ist.</w:t>
      </w:r>
    </w:p>
    <w:p w14:paraId="1A4644DF" w14:textId="77777777" w:rsidR="00F92348" w:rsidRPr="009118AB" w:rsidRDefault="00F92348" w:rsidP="00F92348">
      <w:pPr>
        <w:jc w:val="both"/>
      </w:pPr>
    </w:p>
    <w:p w14:paraId="14CCE406" w14:textId="399107BA" w:rsidR="00F92348" w:rsidRPr="009118AB" w:rsidRDefault="00F92348" w:rsidP="00F92348">
      <w:pPr>
        <w:jc w:val="both"/>
      </w:pPr>
      <w:r w:rsidRPr="009118AB">
        <w:tab/>
      </w:r>
      <w:r w:rsidR="00D67EB8" w:rsidRPr="009118AB">
        <w:t>§ </w:t>
      </w:r>
      <w:r w:rsidRPr="009118AB">
        <w:t>2</w:t>
      </w:r>
      <w:r w:rsidR="00D67EB8" w:rsidRPr="009118AB">
        <w:t> - </w:t>
      </w:r>
      <w:r w:rsidRPr="009118AB">
        <w:t xml:space="preserve">Der Betrag der in </w:t>
      </w:r>
      <w:r w:rsidR="00D67EB8" w:rsidRPr="009118AB">
        <w:t>§ </w:t>
      </w:r>
      <w:r w:rsidRPr="009118AB">
        <w:t>1 erwähnten Zinsen, Summen und Beiträge, der für die Steuerermäßigung berücksichtigt wird, darf pro Steuerpflichtigen und pro Besteuerungs</w:t>
      </w:r>
      <w:r w:rsidRPr="009118AB">
        <w:softHyphen/>
        <w:t>zeitraum nicht mehr als 1.500 EUR betragen.</w:t>
      </w:r>
    </w:p>
    <w:p w14:paraId="135478D3" w14:textId="77777777" w:rsidR="00F92348" w:rsidRPr="009118AB" w:rsidRDefault="00F92348" w:rsidP="00F92348">
      <w:pPr>
        <w:jc w:val="both"/>
      </w:pPr>
    </w:p>
    <w:p w14:paraId="2AABE46F" w14:textId="77777777" w:rsidR="00F92348" w:rsidRPr="009118AB" w:rsidRDefault="00F92348" w:rsidP="00F92348">
      <w:pPr>
        <w:jc w:val="both"/>
      </w:pPr>
      <w:r w:rsidRPr="009118AB">
        <w:tab/>
        <w:t>Der in Absatz 1 erwähnte Betrag wird in den ersten zehn Besteuerungszeiträumen ab dem Besteuerungszeitraum des Abschlusses des Anleihevertrags um 500 EUR erhöht.</w:t>
      </w:r>
    </w:p>
    <w:p w14:paraId="1F674F7E" w14:textId="77777777" w:rsidR="00F92348" w:rsidRPr="009118AB" w:rsidRDefault="00F92348" w:rsidP="00F92348">
      <w:pPr>
        <w:jc w:val="both"/>
      </w:pPr>
    </w:p>
    <w:p w14:paraId="59614E18" w14:textId="77777777" w:rsidR="00F92348" w:rsidRPr="009118AB" w:rsidRDefault="00F92348" w:rsidP="00F92348">
      <w:pPr>
        <w:jc w:val="both"/>
      </w:pPr>
      <w:r w:rsidRPr="009118AB">
        <w:tab/>
        <w:t>Der in Absatz 2 erwähnte Betrag wird um 50 EUR erhöht, wenn der Steuerpflichtige am 1. Januar des Jahres nach dem Jahr des Abschlusses des Anleihevertrags drei oder mehr als drei Kinder zu Lasten hat.</w:t>
      </w:r>
    </w:p>
    <w:p w14:paraId="04FDC6D7" w14:textId="77777777" w:rsidR="00F92348" w:rsidRPr="009118AB" w:rsidRDefault="00F92348" w:rsidP="00F92348">
      <w:pPr>
        <w:jc w:val="both"/>
      </w:pPr>
    </w:p>
    <w:p w14:paraId="16C1CA99" w14:textId="77777777" w:rsidR="00F92348" w:rsidRPr="009118AB" w:rsidRDefault="00F92348" w:rsidP="00F92348">
      <w:pPr>
        <w:jc w:val="both"/>
      </w:pPr>
      <w:r w:rsidRPr="009118AB">
        <w:tab/>
        <w:t>Für die Anwendung von Absatz 3 werden Kinder, die als behindert gelten, doppelt gezählt.</w:t>
      </w:r>
    </w:p>
    <w:p w14:paraId="238614AB" w14:textId="77777777" w:rsidR="00F92348" w:rsidRPr="009118AB" w:rsidRDefault="00F92348" w:rsidP="00F92348">
      <w:pPr>
        <w:jc w:val="both"/>
      </w:pPr>
    </w:p>
    <w:p w14:paraId="69D3A9BA" w14:textId="77777777" w:rsidR="00F92348" w:rsidRPr="009118AB" w:rsidRDefault="00F92348" w:rsidP="00F92348">
      <w:pPr>
        <w:jc w:val="both"/>
      </w:pPr>
      <w:r w:rsidRPr="009118AB">
        <w:tab/>
        <w:t>In den Absätzen 2 und 3 erwähnte Erhöhungen werden ab dem ersten Besteuerungs</w:t>
      </w:r>
      <w:r w:rsidRPr="009118AB">
        <w:softHyphen/>
        <w:t>zeitraum, in dem der Steuerpflichtige Eigentümer, Besitzer, Erbpächter, Erbbauberechtigter oder Nießbraucher einer zweiten Wohnung wird, nicht angewandt. Die Situation wird am 31. Dezember des Besteuerungszeitraums beurteilt.</w:t>
      </w:r>
    </w:p>
    <w:p w14:paraId="78233AF4" w14:textId="77777777" w:rsidR="00F92348" w:rsidRPr="009118AB" w:rsidRDefault="00F92348" w:rsidP="00F92348">
      <w:pPr>
        <w:jc w:val="both"/>
      </w:pPr>
    </w:p>
    <w:p w14:paraId="7A99A28A" w14:textId="77777777" w:rsidR="00F92348" w:rsidRPr="009118AB" w:rsidRDefault="00F92348" w:rsidP="00F92348">
      <w:pPr>
        <w:jc w:val="both"/>
      </w:pPr>
      <w:r w:rsidRPr="009118AB">
        <w:tab/>
        <w:t>Wird eine gemeinsame Veranlagung festgelegt und haben beide Ehepartner Ausgaben getätigt, die zur Steuerermäßigung berechtigen, können die Ehepartner diese Ausgaben in den in den vorhergehenden Absätzen erwähnten Grenzen frei aufteilen.</w:t>
      </w:r>
    </w:p>
    <w:p w14:paraId="72FD8ABB" w14:textId="77777777" w:rsidR="00F92348" w:rsidRPr="009118AB" w:rsidRDefault="00F92348" w:rsidP="00F92348">
      <w:pPr>
        <w:jc w:val="both"/>
      </w:pPr>
    </w:p>
    <w:p w14:paraId="03C018DB" w14:textId="041C2E2A" w:rsidR="00F92348" w:rsidRPr="009118AB" w:rsidRDefault="00F92348" w:rsidP="00F92348">
      <w:pPr>
        <w:jc w:val="both"/>
      </w:pPr>
      <w:r w:rsidRPr="009118AB">
        <w:tab/>
      </w:r>
      <w:r w:rsidR="00D67EB8" w:rsidRPr="009118AB">
        <w:t>§ </w:t>
      </w:r>
      <w:r w:rsidRPr="009118AB">
        <w:t>3</w:t>
      </w:r>
      <w:r w:rsidR="00D67EB8" w:rsidRPr="009118AB">
        <w:t> - </w:t>
      </w:r>
      <w:r w:rsidRPr="009118AB">
        <w:t>Die Steuerermäßigung wird zu dem für den Steuerpflichtigen höchsten Steuersatz wie in Artikel 130 erwähnt berechnet, mit einem Mindestsatz von 30 Prozent. Falls die für die Ermäßigung zu berücksichtigenden Ausgaben sich auf mehr als einen Steuersatz beziehen, wird für jeden Teil dieser Summen und Beiträge der entsprechende Steuersatz berücksichtigt.</w:t>
      </w:r>
    </w:p>
    <w:p w14:paraId="7B8632D7" w14:textId="77777777" w:rsidR="00F92348" w:rsidRPr="009118AB" w:rsidRDefault="00F92348" w:rsidP="00F92348">
      <w:pPr>
        <w:jc w:val="both"/>
      </w:pPr>
    </w:p>
    <w:p w14:paraId="66596587" w14:textId="1AE53879" w:rsidR="00F92348" w:rsidRPr="009118AB" w:rsidRDefault="00F92348" w:rsidP="00F92348">
      <w:pPr>
        <w:jc w:val="both"/>
      </w:pPr>
      <w:r w:rsidRPr="009118AB">
        <w:tab/>
      </w:r>
      <w:r w:rsidR="00D67EB8" w:rsidRPr="009118AB">
        <w:t>§ </w:t>
      </w:r>
      <w:r w:rsidRPr="009118AB">
        <w:t>4</w:t>
      </w:r>
      <w:r w:rsidR="00D67EB8" w:rsidRPr="009118AB">
        <w:t> - </w:t>
      </w:r>
      <w:r w:rsidRPr="009118AB">
        <w:t>Die Steuerermäßigung kann in eine erstattungsfähige Steuergutschrift umgewandelt werden, wenn gleichzeitig folgende Bedingungen erfüllt sind:</w:t>
      </w:r>
    </w:p>
    <w:p w14:paraId="0E98DCF7" w14:textId="77777777" w:rsidR="00F92348" w:rsidRPr="009118AB" w:rsidRDefault="00F92348" w:rsidP="00F92348">
      <w:pPr>
        <w:jc w:val="both"/>
      </w:pPr>
    </w:p>
    <w:p w14:paraId="196198F2" w14:textId="77777777" w:rsidR="00F92348" w:rsidRPr="009118AB" w:rsidRDefault="00F92348" w:rsidP="00F92348">
      <w:pPr>
        <w:jc w:val="both"/>
      </w:pPr>
      <w:r w:rsidRPr="009118AB">
        <w:tab/>
        <w:t>1. Die Anleihe ist vor dem 1. Januar 2015 aufgenommen worden.</w:t>
      </w:r>
    </w:p>
    <w:p w14:paraId="50352BA5" w14:textId="77777777" w:rsidR="00F92348" w:rsidRPr="009118AB" w:rsidRDefault="00F92348" w:rsidP="00F92348">
      <w:pPr>
        <w:jc w:val="both"/>
      </w:pPr>
    </w:p>
    <w:p w14:paraId="22D82778" w14:textId="77777777" w:rsidR="00F92348" w:rsidRPr="009118AB" w:rsidRDefault="00F92348" w:rsidP="00F92348">
      <w:pPr>
        <w:jc w:val="both"/>
      </w:pPr>
      <w:r w:rsidRPr="009118AB">
        <w:tab/>
        <w:t>2. Eine gemeinsame Veranlagung wird festgelegt.</w:t>
      </w:r>
    </w:p>
    <w:p w14:paraId="596EE7DB" w14:textId="77777777" w:rsidR="00F92348" w:rsidRPr="009118AB" w:rsidRDefault="00F92348" w:rsidP="00F92348">
      <w:pPr>
        <w:jc w:val="both"/>
      </w:pPr>
    </w:p>
    <w:p w14:paraId="0EC19E6B" w14:textId="77777777" w:rsidR="00F92348" w:rsidRPr="009118AB" w:rsidRDefault="00F92348" w:rsidP="00F92348">
      <w:pPr>
        <w:jc w:val="both"/>
      </w:pPr>
      <w:r w:rsidRPr="009118AB">
        <w:tab/>
        <w:t>3. Das gemäß Artikel 130 besteuerte Einkommen des Steuerpflichtigen ist niedriger als die Summe des ihm in Anwendung von Artikel 131 zuerkannten Steuerfreibetrags und des gemäß den Paragraphen 1 und 2 bestimmten Betrags, für den die Steuerermäßigung gewährt werden kann.</w:t>
      </w:r>
    </w:p>
    <w:p w14:paraId="34E72AE4" w14:textId="77777777" w:rsidR="00F92348" w:rsidRPr="009118AB" w:rsidRDefault="00F92348" w:rsidP="00F92348">
      <w:pPr>
        <w:jc w:val="both"/>
      </w:pPr>
    </w:p>
    <w:p w14:paraId="23653343" w14:textId="77777777" w:rsidR="00F92348" w:rsidRPr="009118AB" w:rsidRDefault="00F92348" w:rsidP="00F92348">
      <w:pPr>
        <w:jc w:val="both"/>
      </w:pPr>
      <w:r w:rsidRPr="009118AB">
        <w:tab/>
        <w:t>Die Steuergutschrift wird jedoch auf die Plusdifferenz begrenzt zwischen:</w:t>
      </w:r>
    </w:p>
    <w:p w14:paraId="7C6C6149" w14:textId="77777777" w:rsidR="00F92348" w:rsidRPr="009118AB" w:rsidRDefault="00F92348" w:rsidP="00F92348">
      <w:pPr>
        <w:jc w:val="both"/>
      </w:pPr>
    </w:p>
    <w:p w14:paraId="64DD2674" w14:textId="327C76F2" w:rsidR="00F92348" w:rsidRPr="009118AB" w:rsidRDefault="00F92348" w:rsidP="00F92348">
      <w:pPr>
        <w:jc w:val="both"/>
      </w:pPr>
      <w:r w:rsidRPr="009118AB">
        <w:tab/>
        <w:t xml:space="preserve">1. dem gemäß den Paragraphen 2 und 3 bestimmten Betrag der Steuerermäßigung, jedoch mit Ausnahme der Anwendung des Mindestsatzes von 30 Prozent für die in </w:t>
      </w:r>
      <w:r w:rsidR="00D67EB8" w:rsidRPr="009118AB">
        <w:t>§ </w:t>
      </w:r>
      <w:r w:rsidRPr="009118AB">
        <w:t>1 erwähnten Ausgaben, die gegebenenfalls auf den Betrag des gemäß Artikel 130 besteuerten Einkommens begrenzt werden, und</w:t>
      </w:r>
    </w:p>
    <w:p w14:paraId="13191094" w14:textId="77777777" w:rsidR="00F92348" w:rsidRPr="009118AB" w:rsidRDefault="00F92348" w:rsidP="00F92348">
      <w:pPr>
        <w:jc w:val="both"/>
      </w:pPr>
    </w:p>
    <w:p w14:paraId="439DA87A" w14:textId="77777777" w:rsidR="00F92348" w:rsidRPr="009118AB" w:rsidRDefault="00F92348" w:rsidP="00F92348">
      <w:pPr>
        <w:jc w:val="both"/>
      </w:pPr>
      <w:r w:rsidRPr="009118AB">
        <w:tab/>
        <w:t>2. der Summe:</w:t>
      </w:r>
    </w:p>
    <w:p w14:paraId="12551854" w14:textId="77777777" w:rsidR="00F92348" w:rsidRPr="009118AB" w:rsidRDefault="00F92348" w:rsidP="00F92348">
      <w:pPr>
        <w:jc w:val="both"/>
      </w:pPr>
    </w:p>
    <w:p w14:paraId="65931758" w14:textId="77777777" w:rsidR="00F92348" w:rsidRPr="009118AB" w:rsidRDefault="00F92348" w:rsidP="00F92348">
      <w:pPr>
        <w:jc w:val="both"/>
      </w:pPr>
      <w:r w:rsidRPr="009118AB">
        <w:tab/>
        <w:t>- des Betrags der Steuerermäßigung, der auf den Gesamtbetrag der regionalen Zuschlaghundertstel und regionalen Steuererhöhungen, verringert um die regionalen Steuersenkungen, und auf den Saldo der föderalen Steuer der natürlichen Personen angerechnet worden ist,</w:t>
      </w:r>
    </w:p>
    <w:p w14:paraId="56F37A16" w14:textId="77777777" w:rsidR="00F92348" w:rsidRPr="009118AB" w:rsidRDefault="00F92348" w:rsidP="00F92348">
      <w:pPr>
        <w:jc w:val="both"/>
      </w:pPr>
    </w:p>
    <w:p w14:paraId="559F8624" w14:textId="77777777" w:rsidR="00F92348" w:rsidRPr="009118AB" w:rsidRDefault="00F92348" w:rsidP="00F92348">
      <w:pPr>
        <w:jc w:val="both"/>
      </w:pPr>
      <w:r w:rsidRPr="009118AB">
        <w:tab/>
        <w:t>- des Betrags der Steuerermäßigungen, die in Anwendung der Artikel 146 bis 154, 155 und 156 gewährt worden sind,</w:t>
      </w:r>
    </w:p>
    <w:p w14:paraId="63E9FF59" w14:textId="77777777" w:rsidR="00F92348" w:rsidRPr="009118AB" w:rsidRDefault="00F92348" w:rsidP="00F92348">
      <w:pPr>
        <w:jc w:val="both"/>
      </w:pPr>
    </w:p>
    <w:p w14:paraId="22F5E53B" w14:textId="77777777" w:rsidR="00F92348" w:rsidRPr="009118AB" w:rsidRDefault="00F92348" w:rsidP="00F92348">
      <w:pPr>
        <w:jc w:val="both"/>
      </w:pPr>
      <w:r w:rsidRPr="009118AB">
        <w:tab/>
        <w:t>- des Betrags der anderen regionalen Steuerermäßigungen, der auf den Gesamtbetrag der regionalen Zuschlaghundertstel und regionalen Steuererhöhungen, verringert um die regionalen Steuersenkungen, und auf den Saldo der föderalen Steuer der natürlichen Personen angerechnet worden ist,</w:t>
      </w:r>
    </w:p>
    <w:p w14:paraId="4E67D17D" w14:textId="77777777" w:rsidR="00F92348" w:rsidRPr="009118AB" w:rsidRDefault="00F92348" w:rsidP="00F92348">
      <w:pPr>
        <w:jc w:val="both"/>
      </w:pPr>
    </w:p>
    <w:p w14:paraId="7FDC8611" w14:textId="77777777" w:rsidR="00F92348" w:rsidRPr="009118AB" w:rsidRDefault="00F92348" w:rsidP="00F92348">
      <w:pPr>
        <w:jc w:val="both"/>
      </w:pPr>
      <w:r w:rsidRPr="009118AB">
        <w:tab/>
        <w:t>- des Betrags, der auf die in den Artikeln 145</w:t>
      </w:r>
      <w:r w:rsidRPr="009118AB">
        <w:rPr>
          <w:vertAlign w:val="superscript"/>
        </w:rPr>
        <w:t>1</w:t>
      </w:r>
      <w:r w:rsidRPr="009118AB">
        <w:t xml:space="preserve"> bis 145</w:t>
      </w:r>
      <w:r w:rsidRPr="009118AB">
        <w:rPr>
          <w:vertAlign w:val="superscript"/>
        </w:rPr>
        <w:t>16</w:t>
      </w:r>
      <w:r w:rsidRPr="009118AB">
        <w:t>, 145</w:t>
      </w:r>
      <w:r w:rsidRPr="009118AB">
        <w:rPr>
          <w:vertAlign w:val="superscript"/>
        </w:rPr>
        <w:t>24</w:t>
      </w:r>
      <w:r w:rsidRPr="009118AB">
        <w:t>, 145</w:t>
      </w:r>
      <w:r w:rsidRPr="009118AB">
        <w:rPr>
          <w:vertAlign w:val="superscript"/>
        </w:rPr>
        <w:t>28</w:t>
      </w:r>
      <w:r w:rsidRPr="009118AB">
        <w:t>, 145</w:t>
      </w:r>
      <w:r w:rsidRPr="009118AB">
        <w:rPr>
          <w:vertAlign w:val="superscript"/>
        </w:rPr>
        <w:t>32</w:t>
      </w:r>
      <w:r w:rsidRPr="009118AB">
        <w:t xml:space="preserve"> bis 145</w:t>
      </w:r>
      <w:r w:rsidRPr="009118AB">
        <w:rPr>
          <w:vertAlign w:val="superscript"/>
        </w:rPr>
        <w:t>35</w:t>
      </w:r>
      <w:r w:rsidRPr="009118AB">
        <w:t xml:space="preserve"> und 154</w:t>
      </w:r>
      <w:r w:rsidRPr="009118AB">
        <w:rPr>
          <w:i/>
        </w:rPr>
        <w:t>bis</w:t>
      </w:r>
      <w:r w:rsidRPr="009118AB">
        <w:t xml:space="preserve"> erwähnten Steuerermäßigungen angerechnet worden ist.</w:t>
      </w:r>
    </w:p>
    <w:p w14:paraId="4A103C53" w14:textId="77777777" w:rsidR="00F92348" w:rsidRPr="009118AB" w:rsidRDefault="00F92348" w:rsidP="00F92348">
      <w:pPr>
        <w:jc w:val="both"/>
      </w:pPr>
    </w:p>
    <w:p w14:paraId="6BE7299F" w14:textId="77777777" w:rsidR="00F92348" w:rsidRPr="009118AB" w:rsidRDefault="00F92348" w:rsidP="00F92348">
      <w:pPr>
        <w:jc w:val="both"/>
      </w:pPr>
      <w:r w:rsidRPr="009118AB">
        <w:tab/>
        <w:t>Der gemäß vorhergehendem Absatz bestimmte Betrag wird darüber hinaus auf die vom anderen Ehepartner geschuldete Gesamtsteuer begrenzt.]</w:t>
      </w:r>
    </w:p>
    <w:p w14:paraId="1E34A110" w14:textId="77777777" w:rsidR="00F92348" w:rsidRPr="009118AB" w:rsidRDefault="00F92348" w:rsidP="00F92348">
      <w:pPr>
        <w:jc w:val="both"/>
      </w:pPr>
    </w:p>
    <w:p w14:paraId="6413B6A8" w14:textId="6CB73830" w:rsidR="00F92348" w:rsidRPr="009118AB" w:rsidRDefault="00F92348" w:rsidP="00F92348">
      <w:pPr>
        <w:jc w:val="both"/>
        <w:rPr>
          <w:i/>
        </w:rPr>
      </w:pPr>
      <w:r w:rsidRPr="009118AB">
        <w:rPr>
          <w:i/>
        </w:rPr>
        <w:t>[</w:t>
      </w:r>
      <w:r w:rsidR="00D67EB8" w:rsidRPr="009118AB">
        <w:rPr>
          <w:i/>
        </w:rPr>
        <w:t>Art. </w:t>
      </w:r>
      <w:r w:rsidRPr="009118AB">
        <w:rPr>
          <w:i/>
        </w:rPr>
        <w:t>145</w:t>
      </w:r>
      <w:r w:rsidR="003B1F4F" w:rsidRPr="009118AB">
        <w:rPr>
          <w:i/>
          <w:vertAlign w:val="superscript"/>
        </w:rPr>
        <w:t>37</w:t>
      </w:r>
      <w:r w:rsidR="003B1F4F" w:rsidRPr="009118AB">
        <w:rPr>
          <w:i/>
        </w:rPr>
        <w:t xml:space="preserve"> eingefügt durch </w:t>
      </w:r>
      <w:r w:rsidR="00D67EB8" w:rsidRPr="009118AB">
        <w:rPr>
          <w:i/>
        </w:rPr>
        <w:t>Art. </w:t>
      </w:r>
      <w:r w:rsidR="003B1F4F" w:rsidRPr="009118AB">
        <w:rPr>
          <w:i/>
        </w:rPr>
        <w:t>44 des G. vom 8. Mai</w:t>
      </w:r>
      <w:r w:rsidR="00B3148A" w:rsidRPr="009118AB">
        <w:rPr>
          <w:i/>
        </w:rPr>
        <w:t> 2014 (B.S. vom 28. Mai 2014)</w:t>
      </w:r>
      <w:r w:rsidR="00D67EB8" w:rsidRPr="009118AB">
        <w:rPr>
          <w:i/>
        </w:rPr>
        <w:t> - </w:t>
      </w:r>
      <w:r w:rsidR="003B1F4F" w:rsidRPr="009118AB">
        <w:rPr>
          <w:i/>
          <w:iCs/>
        </w:rPr>
        <w:t>anwendbar ab dem Steuerjahr 2015</w:t>
      </w:r>
      <w:r w:rsidR="00FD68E8" w:rsidRPr="009118AB">
        <w:rPr>
          <w:i/>
          <w:iCs/>
        </w:rPr>
        <w:t> -]</w:t>
      </w:r>
    </w:p>
    <w:p w14:paraId="63532EAF" w14:textId="77777777" w:rsidR="006937BB" w:rsidRPr="009118AB" w:rsidRDefault="006937BB" w:rsidP="00F92348">
      <w:pPr>
        <w:jc w:val="both"/>
      </w:pPr>
    </w:p>
    <w:p w14:paraId="0932DFBF" w14:textId="77777777" w:rsidR="006937BB" w:rsidRPr="009118AB" w:rsidRDefault="006937BB">
      <w:r w:rsidRPr="009118AB">
        <w:br w:type="page"/>
      </w:r>
    </w:p>
    <w:p w14:paraId="7FBE52A3" w14:textId="3EFC7C35" w:rsidR="00F92348" w:rsidRPr="009118AB" w:rsidRDefault="00F92348" w:rsidP="00F92348">
      <w:pPr>
        <w:jc w:val="both"/>
      </w:pPr>
      <w:r w:rsidRPr="009118AB">
        <w:lastRenderedPageBreak/>
        <w:tab/>
      </w:r>
      <w:r w:rsidR="003B1F4F" w:rsidRPr="009118AB">
        <w:t>[</w:t>
      </w:r>
      <w:r w:rsidR="00D67EB8" w:rsidRPr="009118AB">
        <w:rPr>
          <w:b/>
        </w:rPr>
        <w:t>Art. </w:t>
      </w:r>
      <w:r w:rsidRPr="009118AB">
        <w:rPr>
          <w:b/>
        </w:rPr>
        <w:t>145</w:t>
      </w:r>
      <w:r w:rsidRPr="009118AB">
        <w:rPr>
          <w:b/>
          <w:vertAlign w:val="superscript"/>
        </w:rPr>
        <w:t>38</w:t>
      </w:r>
      <w:r w:rsidR="00D67EB8" w:rsidRPr="009118AB">
        <w:t> - § </w:t>
      </w:r>
      <w:r w:rsidRPr="009118AB">
        <w:t>1</w:t>
      </w:r>
      <w:r w:rsidR="00D67EB8" w:rsidRPr="009118AB">
        <w:t> - </w:t>
      </w:r>
      <w:r w:rsidRPr="009118AB">
        <w:t>Die in Artikel 145</w:t>
      </w:r>
      <w:r w:rsidRPr="009118AB">
        <w:rPr>
          <w:vertAlign w:val="superscript"/>
        </w:rPr>
        <w:t>37</w:t>
      </w:r>
      <w:r w:rsidRPr="009118AB">
        <w:t xml:space="preserve"> erwähnte Ermäßigung wird unter folgenden Bedingungen gewährt:</w:t>
      </w:r>
    </w:p>
    <w:p w14:paraId="43753685" w14:textId="77777777" w:rsidR="00F92348" w:rsidRPr="009118AB" w:rsidRDefault="00F92348" w:rsidP="00F92348">
      <w:pPr>
        <w:jc w:val="both"/>
      </w:pPr>
    </w:p>
    <w:p w14:paraId="02B9572D" w14:textId="77777777" w:rsidR="00F92348" w:rsidRPr="009118AB" w:rsidRDefault="00F92348" w:rsidP="00F92348">
      <w:pPr>
        <w:jc w:val="both"/>
      </w:pPr>
      <w:r w:rsidRPr="009118AB">
        <w:tab/>
        <w:t>1. Die Ausgaben müssen für die Wohnung getätigt werden, die am 31. Dezember des Jahres des Abschlusses des Anleihevertrags die einzige Wohnung des Steuerpflichtigen ist und die er an diesem Datum persönlich bewohnt.</w:t>
      </w:r>
    </w:p>
    <w:p w14:paraId="1B51F812" w14:textId="77777777" w:rsidR="00F92348" w:rsidRPr="009118AB" w:rsidRDefault="00F92348" w:rsidP="00F92348">
      <w:pPr>
        <w:jc w:val="both"/>
      </w:pPr>
    </w:p>
    <w:p w14:paraId="32A69027" w14:textId="006C219E" w:rsidR="00F92348" w:rsidRPr="009118AB" w:rsidRDefault="00F92348" w:rsidP="00F92348">
      <w:pPr>
        <w:jc w:val="both"/>
      </w:pPr>
      <w:r w:rsidRPr="009118AB">
        <w:tab/>
        <w:t>2. Die Hypothekenanleihe und der Lebensversicherungsvertrag erwähnt in Artikel 145</w:t>
      </w:r>
      <w:r w:rsidRPr="009118AB">
        <w:rPr>
          <w:vertAlign w:val="superscript"/>
        </w:rPr>
        <w:t>37</w:t>
      </w:r>
      <w:r w:rsidRPr="009118AB">
        <w:t xml:space="preserve"> </w:t>
      </w:r>
      <w:r w:rsidR="00D67EB8" w:rsidRPr="009118AB">
        <w:t>§ </w:t>
      </w:r>
      <w:r w:rsidRPr="009118AB">
        <w:t>1 werden vom Steuerpflichtigen bei einem Institut, dessen Sitz im Europäischen Wirtschaftsraum liegt, aufgenommen beziehungsweise abgeschlossen für Erwerb oder Erhaltung seiner eigenen Wohnung in einem Mitgliedstaat des Europäischen Wirtschaftsraums.</w:t>
      </w:r>
    </w:p>
    <w:p w14:paraId="3AF4E8D5" w14:textId="77777777" w:rsidR="00F92348" w:rsidRPr="009118AB" w:rsidRDefault="00F92348" w:rsidP="00F92348">
      <w:pPr>
        <w:jc w:val="both"/>
      </w:pPr>
    </w:p>
    <w:p w14:paraId="609503DA" w14:textId="77777777" w:rsidR="00F92348" w:rsidRPr="009118AB" w:rsidRDefault="00F92348" w:rsidP="00F92348">
      <w:pPr>
        <w:jc w:val="both"/>
      </w:pPr>
      <w:r w:rsidRPr="009118AB">
        <w:tab/>
        <w:t>3. Die Hypothekenanleihe ist ab dem 1. Januar 2005 aufgenommen worden und hat eine Laufzeit von mindestens zehn Jahren.</w:t>
      </w:r>
    </w:p>
    <w:p w14:paraId="4FC19F2E" w14:textId="77777777" w:rsidR="00F92348" w:rsidRPr="009118AB" w:rsidRDefault="00F92348" w:rsidP="00F92348">
      <w:pPr>
        <w:jc w:val="both"/>
      </w:pPr>
    </w:p>
    <w:p w14:paraId="52049182" w14:textId="77777777" w:rsidR="00F92348" w:rsidRPr="009118AB" w:rsidRDefault="00F92348" w:rsidP="00F92348">
      <w:pPr>
        <w:jc w:val="both"/>
      </w:pPr>
      <w:r w:rsidRPr="009118AB">
        <w:tab/>
        <w:t>4. Der Lebensversicherungsvertrag ist abgeschlossen worden:</w:t>
      </w:r>
    </w:p>
    <w:p w14:paraId="144F145A" w14:textId="77777777" w:rsidR="00F92348" w:rsidRPr="009118AB" w:rsidRDefault="00F92348" w:rsidP="00F92348">
      <w:pPr>
        <w:jc w:val="both"/>
      </w:pPr>
    </w:p>
    <w:p w14:paraId="38CC784B" w14:textId="77777777" w:rsidR="00F92348" w:rsidRPr="009118AB" w:rsidRDefault="00F92348" w:rsidP="00F92348">
      <w:pPr>
        <w:jc w:val="both"/>
      </w:pPr>
      <w:r w:rsidRPr="009118AB">
        <w:tab/>
      </w:r>
      <w:r w:rsidRPr="009118AB">
        <w:rPr>
          <w:i/>
        </w:rPr>
        <w:t>a)</w:t>
      </w:r>
      <w:r w:rsidRPr="009118AB">
        <w:t> vom Steuerpflichtigen, der ausschließlich sich selbst versichert hat,</w:t>
      </w:r>
    </w:p>
    <w:p w14:paraId="172FA68C" w14:textId="77777777" w:rsidR="00F92348" w:rsidRPr="009118AB" w:rsidRDefault="00F92348" w:rsidP="00F92348">
      <w:pPr>
        <w:jc w:val="both"/>
      </w:pPr>
    </w:p>
    <w:p w14:paraId="1A14FF69" w14:textId="77777777" w:rsidR="00F92348" w:rsidRPr="009118AB" w:rsidRDefault="00F92348" w:rsidP="00F92348">
      <w:pPr>
        <w:jc w:val="both"/>
      </w:pPr>
      <w:r w:rsidRPr="009118AB">
        <w:tab/>
      </w:r>
      <w:r w:rsidRPr="009118AB">
        <w:rPr>
          <w:i/>
        </w:rPr>
        <w:t>b)</w:t>
      </w:r>
      <w:r w:rsidRPr="009118AB">
        <w:t> vor dem Alter von fünfundsechzig Jahren; Verträge, die über den ursprünglich vorgesehenen Zeitraum hinaus verlängert, wieder in Kraft gesetzt, geändert oder erhöht werden, nachdem der Versicherte das Alter von fünfundsechzig Jahren erreicht hat, gelten nicht als vor diesem Alter abgeschlossen,</w:t>
      </w:r>
    </w:p>
    <w:p w14:paraId="32971B9D" w14:textId="77777777" w:rsidR="00F92348" w:rsidRPr="009118AB" w:rsidRDefault="00F92348" w:rsidP="00F92348">
      <w:pPr>
        <w:jc w:val="both"/>
      </w:pPr>
    </w:p>
    <w:p w14:paraId="6A0B1FEA" w14:textId="77777777" w:rsidR="00F92348" w:rsidRPr="009118AB" w:rsidRDefault="00F92348" w:rsidP="00F92348">
      <w:pPr>
        <w:jc w:val="both"/>
      </w:pPr>
      <w:r w:rsidRPr="009118AB">
        <w:tab/>
      </w:r>
      <w:r w:rsidRPr="009118AB">
        <w:rPr>
          <w:i/>
        </w:rPr>
        <w:t>c)</w:t>
      </w:r>
      <w:r w:rsidRPr="009118AB">
        <w:t> für eine Mindestdauer von zehn Jahren, wenn er Vorteile zu Lebzeiten vorsieht.</w:t>
      </w:r>
    </w:p>
    <w:p w14:paraId="47D43198" w14:textId="77777777" w:rsidR="00F92348" w:rsidRPr="009118AB" w:rsidRDefault="00F92348" w:rsidP="00F92348">
      <w:pPr>
        <w:jc w:val="both"/>
      </w:pPr>
    </w:p>
    <w:p w14:paraId="327F690A" w14:textId="1A7E0DCD" w:rsidR="00F92348" w:rsidRPr="009118AB" w:rsidRDefault="00F92348" w:rsidP="00F92348">
      <w:pPr>
        <w:jc w:val="both"/>
      </w:pPr>
      <w:r w:rsidRPr="009118AB">
        <w:tab/>
        <w:t xml:space="preserve">5. Die Vorteile des in </w:t>
      </w:r>
      <w:r w:rsidR="00D67EB8" w:rsidRPr="009118AB">
        <w:t>Nr. </w:t>
      </w:r>
      <w:r w:rsidRPr="009118AB">
        <w:t>4 erwähnten Vertrags werden bestimmt:</w:t>
      </w:r>
    </w:p>
    <w:p w14:paraId="5CED6FC9" w14:textId="77777777" w:rsidR="00F92348" w:rsidRPr="009118AB" w:rsidRDefault="00F92348" w:rsidP="00F92348">
      <w:pPr>
        <w:jc w:val="both"/>
      </w:pPr>
    </w:p>
    <w:p w14:paraId="1BE652FB" w14:textId="77777777" w:rsidR="00F92348" w:rsidRPr="009118AB" w:rsidRDefault="00F92348" w:rsidP="00F92348">
      <w:pPr>
        <w:jc w:val="both"/>
      </w:pPr>
      <w:r w:rsidRPr="009118AB">
        <w:tab/>
      </w:r>
      <w:r w:rsidRPr="009118AB">
        <w:rPr>
          <w:i/>
        </w:rPr>
        <w:t>a)</w:t>
      </w:r>
      <w:r w:rsidRPr="009118AB">
        <w:t> zu Lebzeiten zugunsten des Steuerpflichtigen ab dem Alter von fünfundsechzig Jahren,</w:t>
      </w:r>
    </w:p>
    <w:p w14:paraId="6E0A1C4E" w14:textId="77777777" w:rsidR="00F92348" w:rsidRPr="009118AB" w:rsidRDefault="00F92348" w:rsidP="00F92348">
      <w:pPr>
        <w:jc w:val="both"/>
      </w:pPr>
    </w:p>
    <w:p w14:paraId="14ECD439" w14:textId="77777777" w:rsidR="00F92348" w:rsidRPr="009118AB" w:rsidRDefault="00F92348" w:rsidP="00F92348">
      <w:pPr>
        <w:jc w:val="both"/>
      </w:pPr>
      <w:r w:rsidRPr="009118AB">
        <w:tab/>
      </w:r>
      <w:r w:rsidRPr="009118AB">
        <w:rPr>
          <w:i/>
        </w:rPr>
        <w:t>b)</w:t>
      </w:r>
      <w:r w:rsidRPr="009118AB">
        <w:t> im Todesfall zugunsten der Personen, die infolge des Todes des Versicherten das Volleigentum oder den Nießbrauch dieser Wohnung erhalten.</w:t>
      </w:r>
    </w:p>
    <w:p w14:paraId="5C965A29" w14:textId="77777777" w:rsidR="00F92348" w:rsidRPr="009118AB" w:rsidRDefault="00F92348" w:rsidP="00F92348">
      <w:pPr>
        <w:jc w:val="both"/>
      </w:pPr>
    </w:p>
    <w:p w14:paraId="0F0DAD5D" w14:textId="7D52F9F6" w:rsidR="00F92348" w:rsidRPr="009118AB" w:rsidRDefault="00F92348" w:rsidP="00F92348">
      <w:pPr>
        <w:jc w:val="both"/>
      </w:pPr>
      <w:r w:rsidRPr="009118AB">
        <w:tab/>
        <w:t xml:space="preserve">Bei der Bestimmung, ob die Wohnung des Steuerpflichtigen am 31. Dezember des Jahres des Abschlusses des Anleihevertrags die einzige Wohnung ist, die er persönlich bewohnt, wird für die Anwendung von Absatz 1 </w:t>
      </w:r>
      <w:r w:rsidR="00D67EB8" w:rsidRPr="009118AB">
        <w:t>Nr. </w:t>
      </w:r>
      <w:r w:rsidRPr="009118AB">
        <w:t>1 Folgendes nicht berücksichtigt:</w:t>
      </w:r>
    </w:p>
    <w:p w14:paraId="1AC093CA" w14:textId="77777777" w:rsidR="00F92348" w:rsidRPr="009118AB" w:rsidRDefault="00F92348" w:rsidP="00F92348">
      <w:pPr>
        <w:jc w:val="both"/>
      </w:pPr>
    </w:p>
    <w:p w14:paraId="68F27F67" w14:textId="77777777" w:rsidR="00F92348" w:rsidRPr="009118AB" w:rsidRDefault="00F92348" w:rsidP="00F92348">
      <w:pPr>
        <w:jc w:val="both"/>
      </w:pPr>
      <w:r w:rsidRPr="009118AB">
        <w:tab/>
        <w:t>1. andere Wohnungen, deren Miteigentümer, bloßer Eigentümer oder Nießbraucher er aufgrund einer Erbschaft ist,</w:t>
      </w:r>
    </w:p>
    <w:p w14:paraId="3A0E7626" w14:textId="77777777" w:rsidR="00F92348" w:rsidRPr="009118AB" w:rsidRDefault="00F92348" w:rsidP="00F92348">
      <w:pPr>
        <w:jc w:val="both"/>
      </w:pPr>
    </w:p>
    <w:p w14:paraId="57D76094" w14:textId="77777777" w:rsidR="00F92348" w:rsidRPr="009118AB" w:rsidRDefault="00F92348" w:rsidP="00F92348">
      <w:pPr>
        <w:jc w:val="both"/>
      </w:pPr>
      <w:r w:rsidRPr="009118AB">
        <w:tab/>
        <w:t>2. eine andere Wohnung, die an diesem Datum auf dem Immobilienmarkt zum Verkauf angeboten wird und spätestens am 31. Dezember des Jahres nach dem Jahr des Abschlusses des Anleihevertrags auch tatsächlich verkauft worden ist,</w:t>
      </w:r>
    </w:p>
    <w:p w14:paraId="7CA0E042" w14:textId="77777777" w:rsidR="00F92348" w:rsidRPr="009118AB" w:rsidRDefault="00F92348" w:rsidP="00F92348">
      <w:pPr>
        <w:jc w:val="both"/>
      </w:pPr>
    </w:p>
    <w:p w14:paraId="42C843A8" w14:textId="77777777" w:rsidR="00F92348" w:rsidRPr="009118AB" w:rsidRDefault="00F92348" w:rsidP="00F92348">
      <w:pPr>
        <w:jc w:val="both"/>
      </w:pPr>
      <w:r w:rsidRPr="009118AB">
        <w:tab/>
        <w:t>3. die Tatsache, dass der Steuerpflichtige die Wohnung nicht persönlich bewohnt:</w:t>
      </w:r>
    </w:p>
    <w:p w14:paraId="17D84B4A" w14:textId="77777777" w:rsidR="00F92348" w:rsidRPr="009118AB" w:rsidRDefault="00F92348" w:rsidP="00F92348">
      <w:pPr>
        <w:jc w:val="both"/>
      </w:pPr>
    </w:p>
    <w:p w14:paraId="5FCD25C1" w14:textId="77777777" w:rsidR="00F92348" w:rsidRPr="009118AB" w:rsidRDefault="00F92348" w:rsidP="00F92348">
      <w:pPr>
        <w:jc w:val="both"/>
      </w:pPr>
      <w:r w:rsidRPr="009118AB">
        <w:tab/>
      </w:r>
      <w:r w:rsidRPr="009118AB">
        <w:rPr>
          <w:i/>
        </w:rPr>
        <w:t>a)</w:t>
      </w:r>
      <w:r w:rsidRPr="009118AB">
        <w:t> aus beruflichen oder sozialen Gründen,</w:t>
      </w:r>
    </w:p>
    <w:p w14:paraId="5C2E4F14" w14:textId="77777777" w:rsidR="00F92348" w:rsidRPr="009118AB" w:rsidRDefault="00F92348" w:rsidP="00F92348">
      <w:pPr>
        <w:jc w:val="both"/>
      </w:pPr>
    </w:p>
    <w:p w14:paraId="779C96AB" w14:textId="77777777" w:rsidR="00F92348" w:rsidRPr="009118AB" w:rsidRDefault="00F92348" w:rsidP="00F92348">
      <w:pPr>
        <w:jc w:val="both"/>
      </w:pPr>
      <w:r w:rsidRPr="009118AB">
        <w:lastRenderedPageBreak/>
        <w:tab/>
      </w:r>
      <w:r w:rsidRPr="009118AB">
        <w:rPr>
          <w:i/>
        </w:rPr>
        <w:t>b)</w:t>
      </w:r>
      <w:r w:rsidRPr="009118AB">
        <w:t> weil er aufgrund gesetzlicher oder vertraglicher Hindernisse die Wohnung an diesem Datum unmöglich selbst bewohnen kann,</w:t>
      </w:r>
    </w:p>
    <w:p w14:paraId="4D4D073F" w14:textId="77777777" w:rsidR="00F92348" w:rsidRPr="009118AB" w:rsidRDefault="00F92348" w:rsidP="00F92348">
      <w:pPr>
        <w:jc w:val="both"/>
      </w:pPr>
    </w:p>
    <w:p w14:paraId="1F1BCFBC" w14:textId="77777777" w:rsidR="00F92348" w:rsidRPr="009118AB" w:rsidRDefault="00F92348" w:rsidP="00F92348">
      <w:pPr>
        <w:jc w:val="both"/>
      </w:pPr>
      <w:r w:rsidRPr="009118AB">
        <w:tab/>
      </w:r>
      <w:r w:rsidRPr="009118AB">
        <w:rPr>
          <w:i/>
        </w:rPr>
        <w:t>c)</w:t>
      </w:r>
      <w:r w:rsidRPr="009118AB">
        <w:t> weil er aufgrund des Standes der Bau- oder Renovierungsarbeiten nicht in der Lage ist, die Wohnung tatsächlich an diesem Datum zu bewohnen.</w:t>
      </w:r>
    </w:p>
    <w:p w14:paraId="08FD1C98" w14:textId="77777777" w:rsidR="00F92348" w:rsidRPr="009118AB" w:rsidRDefault="00F92348" w:rsidP="00F92348">
      <w:pPr>
        <w:jc w:val="both"/>
      </w:pPr>
    </w:p>
    <w:p w14:paraId="713E96A8" w14:textId="77777777" w:rsidR="00F92348" w:rsidRPr="009118AB" w:rsidRDefault="00F92348" w:rsidP="00F92348">
      <w:pPr>
        <w:jc w:val="both"/>
      </w:pPr>
      <w:r w:rsidRPr="009118AB">
        <w:tab/>
        <w:t>Die Steuerermäßigung kann nicht mehr gewährt werden:</w:t>
      </w:r>
    </w:p>
    <w:p w14:paraId="0926A804" w14:textId="77777777" w:rsidR="00F92348" w:rsidRPr="009118AB" w:rsidRDefault="00F92348" w:rsidP="00F92348">
      <w:pPr>
        <w:jc w:val="both"/>
      </w:pPr>
    </w:p>
    <w:p w14:paraId="2B085408" w14:textId="50760EE4" w:rsidR="00F92348" w:rsidRPr="009118AB" w:rsidRDefault="00F92348" w:rsidP="00F92348">
      <w:pPr>
        <w:jc w:val="both"/>
      </w:pPr>
      <w:r w:rsidRPr="009118AB">
        <w:tab/>
        <w:t xml:space="preserve">1. ab dem Jahr nach dem Jahr des Abschlusses des Anleihevertrags, wenn am 31. Dezember dieses Jahres die in vorhergehendem Absatz </w:t>
      </w:r>
      <w:r w:rsidR="00D67EB8" w:rsidRPr="009118AB">
        <w:t>Nr. </w:t>
      </w:r>
      <w:r w:rsidRPr="009118AB">
        <w:t>2 erwähnte andere Wohnung nicht tatsächlich verkauft worden ist,</w:t>
      </w:r>
    </w:p>
    <w:p w14:paraId="798C81AE" w14:textId="77777777" w:rsidR="00F92348" w:rsidRPr="009118AB" w:rsidRDefault="00F92348" w:rsidP="00F92348">
      <w:pPr>
        <w:jc w:val="both"/>
      </w:pPr>
    </w:p>
    <w:p w14:paraId="1E57FB0E" w14:textId="77777777" w:rsidR="00F92348" w:rsidRPr="009118AB" w:rsidRDefault="00F92348" w:rsidP="00F92348">
      <w:pPr>
        <w:jc w:val="both"/>
      </w:pPr>
      <w:r w:rsidRPr="009118AB">
        <w:tab/>
        <w:t>2. ab dem zweiten Jahr nach dem Jahr des Abschlusses des Anleihevertrags, wenn der Steuerpflichtige am 31. Dezember dieses Jahres die Wohnung, für die die Anleihe aufgenommen wird, nicht persönlich bewohnt, außer wenn er sie aus beruflichen oder sozialen Gründen nicht selbst bewohnt.</w:t>
      </w:r>
    </w:p>
    <w:p w14:paraId="304711E4" w14:textId="77777777" w:rsidR="00F92348" w:rsidRPr="009118AB" w:rsidRDefault="00F92348" w:rsidP="00F92348">
      <w:pPr>
        <w:jc w:val="both"/>
      </w:pPr>
    </w:p>
    <w:p w14:paraId="31862E72" w14:textId="4AE42ED7" w:rsidR="00F92348" w:rsidRPr="009118AB" w:rsidRDefault="00F92348" w:rsidP="00F92348">
      <w:pPr>
        <w:jc w:val="both"/>
      </w:pPr>
      <w:r w:rsidRPr="009118AB">
        <w:tab/>
        <w:t xml:space="preserve">Wenn die Steuerermäßigung in Anwendung von vorhergehendem Absatz </w:t>
      </w:r>
      <w:r w:rsidR="00D67EB8" w:rsidRPr="009118AB">
        <w:t>Nr. </w:t>
      </w:r>
      <w:r w:rsidRPr="009118AB">
        <w:t xml:space="preserve">2 während eines oder mehrerer Besteuerungszeiträume nicht gewährt werden konnte und der Steuerpflichtige die Wohnung, für die die Anleihe aufgenommen wird, am 31. Dezember des Besteuerungszeitraums, in dem die in Absatz 2 </w:t>
      </w:r>
      <w:r w:rsidR="00D67EB8" w:rsidRPr="009118AB">
        <w:t>Nr. </w:t>
      </w:r>
      <w:r w:rsidRPr="009118AB">
        <w:t>3 Buchstabe </w:t>
      </w:r>
      <w:r w:rsidRPr="009118AB">
        <w:rPr>
          <w:i/>
        </w:rPr>
        <w:t>b)</w:t>
      </w:r>
      <w:r w:rsidRPr="009118AB">
        <w:t xml:space="preserve"> und </w:t>
      </w:r>
      <w:r w:rsidRPr="009118AB">
        <w:rPr>
          <w:i/>
        </w:rPr>
        <w:t>c)</w:t>
      </w:r>
      <w:r w:rsidRPr="009118AB">
        <w:t xml:space="preserve"> erwähnten Hindernisse weggefallen sind, persönlich bewohnt, kann die Steuerermäßigung ab diesem Besteuerungszeitraum erneut gewährt werden.</w:t>
      </w:r>
    </w:p>
    <w:p w14:paraId="03B0A45C" w14:textId="77777777" w:rsidR="00F92348" w:rsidRPr="009118AB" w:rsidRDefault="00F92348" w:rsidP="00F92348">
      <w:pPr>
        <w:jc w:val="both"/>
      </w:pPr>
    </w:p>
    <w:p w14:paraId="2A9E01D7" w14:textId="688C39C0" w:rsidR="00F92348" w:rsidRPr="009118AB" w:rsidRDefault="00F92348" w:rsidP="00F92348">
      <w:pPr>
        <w:jc w:val="both"/>
      </w:pPr>
      <w:r w:rsidRPr="009118AB">
        <w:tab/>
      </w:r>
      <w:r w:rsidR="00D67EB8" w:rsidRPr="009118AB">
        <w:t>§ </w:t>
      </w:r>
      <w:r w:rsidRPr="009118AB">
        <w:t>2</w:t>
      </w:r>
      <w:r w:rsidR="00D67EB8" w:rsidRPr="009118AB">
        <w:t> - </w:t>
      </w:r>
      <w:r w:rsidRPr="009118AB">
        <w:t>In Artikel 145</w:t>
      </w:r>
      <w:r w:rsidRPr="009118AB">
        <w:rPr>
          <w:vertAlign w:val="superscript"/>
        </w:rPr>
        <w:t>37</w:t>
      </w:r>
      <w:r w:rsidRPr="009118AB">
        <w:t xml:space="preserve"> </w:t>
      </w:r>
      <w:r w:rsidR="00D67EB8" w:rsidRPr="009118AB">
        <w:t>§ </w:t>
      </w:r>
      <w:r w:rsidRPr="009118AB">
        <w:t>1 erwähnte Anleihen gelten als spezifisch aufgenommen für Erwerb oder Erhaltung einer Wohnung, wenn sie abgeschlossen werden, um:</w:t>
      </w:r>
    </w:p>
    <w:p w14:paraId="0AB95339" w14:textId="77777777" w:rsidR="00F92348" w:rsidRPr="009118AB" w:rsidRDefault="00F92348" w:rsidP="00F92348">
      <w:pPr>
        <w:jc w:val="both"/>
      </w:pPr>
    </w:p>
    <w:p w14:paraId="02BA7B71" w14:textId="77777777" w:rsidR="00F92348" w:rsidRPr="009118AB" w:rsidRDefault="00F92348" w:rsidP="00F92348">
      <w:pPr>
        <w:jc w:val="both"/>
      </w:pPr>
      <w:r w:rsidRPr="009118AB">
        <w:tab/>
        <w:t>1. ein unbewegliches Gut zu kaufen,</w:t>
      </w:r>
    </w:p>
    <w:p w14:paraId="471E4756" w14:textId="77777777" w:rsidR="00F92348" w:rsidRPr="009118AB" w:rsidRDefault="00F92348" w:rsidP="00F92348">
      <w:pPr>
        <w:jc w:val="both"/>
      </w:pPr>
    </w:p>
    <w:p w14:paraId="6FA38B4E" w14:textId="77777777" w:rsidR="00F92348" w:rsidRPr="009118AB" w:rsidRDefault="00F92348" w:rsidP="00F92348">
      <w:pPr>
        <w:jc w:val="both"/>
      </w:pPr>
      <w:r w:rsidRPr="009118AB">
        <w:tab/>
        <w:t>2. ein unbewegliches Gut zu bauen,</w:t>
      </w:r>
    </w:p>
    <w:p w14:paraId="702410BD" w14:textId="77777777" w:rsidR="00F92348" w:rsidRPr="009118AB" w:rsidRDefault="00F92348" w:rsidP="00F92348">
      <w:pPr>
        <w:jc w:val="both"/>
      </w:pPr>
    </w:p>
    <w:p w14:paraId="32A327F5" w14:textId="77777777" w:rsidR="00F92348" w:rsidRPr="009118AB" w:rsidRDefault="00F92348" w:rsidP="00F92348">
      <w:pPr>
        <w:jc w:val="both"/>
      </w:pPr>
      <w:r w:rsidRPr="009118AB">
        <w:tab/>
        <w:t>3. ein unbewegliches Gut ganz oder teilweise zu renovieren,</w:t>
      </w:r>
    </w:p>
    <w:p w14:paraId="3840C13D" w14:textId="77777777" w:rsidR="00F92348" w:rsidRPr="009118AB" w:rsidRDefault="00F92348" w:rsidP="00F92348">
      <w:pPr>
        <w:jc w:val="both"/>
      </w:pPr>
    </w:p>
    <w:p w14:paraId="274215D5" w14:textId="7AD1A3DC" w:rsidR="00F92348" w:rsidRPr="009118AB" w:rsidRDefault="00F92348" w:rsidP="00F92348">
      <w:pPr>
        <w:jc w:val="both"/>
      </w:pPr>
      <w:r w:rsidRPr="009118AB">
        <w:tab/>
        <w:t>4. die Erbschafts- oder Schenkungssteuer in Bezug auf die in Artikel 145</w:t>
      </w:r>
      <w:r w:rsidRPr="009118AB">
        <w:rPr>
          <w:vertAlign w:val="superscript"/>
        </w:rPr>
        <w:t>37</w:t>
      </w:r>
      <w:r w:rsidRPr="009118AB">
        <w:t xml:space="preserve"> </w:t>
      </w:r>
      <w:r w:rsidR="00D67EB8" w:rsidRPr="009118AB">
        <w:t>§ </w:t>
      </w:r>
      <w:r w:rsidRPr="009118AB">
        <w:t>1 erwähnte Wohnung zu zahlen, bei verspäteter Zahlung geschuldete Verzugszinsen ausgenommen.</w:t>
      </w:r>
    </w:p>
    <w:p w14:paraId="2D4C4999" w14:textId="77777777" w:rsidR="00F92348" w:rsidRPr="009118AB" w:rsidRDefault="00F92348" w:rsidP="00F92348">
      <w:pPr>
        <w:jc w:val="both"/>
      </w:pPr>
    </w:p>
    <w:p w14:paraId="62B0356B" w14:textId="0E681622" w:rsidR="00F92348" w:rsidRPr="009118AB" w:rsidRDefault="00F92348" w:rsidP="00F92348">
      <w:pPr>
        <w:jc w:val="both"/>
      </w:pPr>
      <w:r w:rsidRPr="009118AB">
        <w:tab/>
        <w:t xml:space="preserve">In Bezug auf die in Absatz 1 </w:t>
      </w:r>
      <w:r w:rsidR="00D67EB8" w:rsidRPr="009118AB">
        <w:t>Nr. </w:t>
      </w:r>
      <w:r w:rsidRPr="009118AB">
        <w:t xml:space="preserve">3 erwähnte Renovierung sind die diesbezüglichen Dienstleistungen diejenigen, die in Tabelle A Rubrik XXXI der Anlage zum Königlichen Erlass </w:t>
      </w:r>
      <w:r w:rsidR="00D67EB8" w:rsidRPr="009118AB">
        <w:t>Nr. </w:t>
      </w:r>
      <w:r w:rsidRPr="009118AB">
        <w:t>20 vom 20. Juli 1970 zur Festlegung der Mehrwertsteuersätze und zur Einteilung der Güter und Dienstleistungen nach diesen Sätzen erwähnt sind.</w:t>
      </w:r>
    </w:p>
    <w:p w14:paraId="1CFE249D" w14:textId="77777777" w:rsidR="00F92348" w:rsidRPr="009118AB" w:rsidRDefault="00F92348" w:rsidP="00F92348">
      <w:pPr>
        <w:jc w:val="both"/>
      </w:pPr>
    </w:p>
    <w:p w14:paraId="5CCF4D3C" w14:textId="4BE16151" w:rsidR="00F92348" w:rsidRPr="009118AB" w:rsidRDefault="00F92348" w:rsidP="00F92348">
      <w:pPr>
        <w:jc w:val="both"/>
      </w:pPr>
      <w:r w:rsidRPr="009118AB">
        <w:tab/>
      </w:r>
      <w:r w:rsidR="00D67EB8" w:rsidRPr="009118AB">
        <w:t>§ </w:t>
      </w:r>
      <w:r w:rsidRPr="009118AB">
        <w:t>3</w:t>
      </w:r>
      <w:r w:rsidR="00D67EB8" w:rsidRPr="009118AB">
        <w:t> - </w:t>
      </w:r>
      <w:r w:rsidRPr="009118AB">
        <w:t>Der König bestimmt die Modalitäten der Anwendung der in Artikel 145</w:t>
      </w:r>
      <w:r w:rsidRPr="009118AB">
        <w:rPr>
          <w:vertAlign w:val="superscript"/>
        </w:rPr>
        <w:t>37</w:t>
      </w:r>
      <w:r w:rsidR="003B1F4F" w:rsidRPr="009118AB">
        <w:t xml:space="preserve"> erwähnten Ermäßigung.]</w:t>
      </w:r>
    </w:p>
    <w:p w14:paraId="17D2EB77" w14:textId="77777777" w:rsidR="003B1F4F" w:rsidRPr="009118AB" w:rsidRDefault="003B1F4F" w:rsidP="00F92348">
      <w:pPr>
        <w:jc w:val="both"/>
      </w:pPr>
    </w:p>
    <w:p w14:paraId="3D77C8B6" w14:textId="58C06CA7" w:rsidR="003B1F4F" w:rsidRPr="009118AB" w:rsidRDefault="003B1F4F" w:rsidP="00F92348">
      <w:pPr>
        <w:jc w:val="both"/>
        <w:rPr>
          <w:i/>
        </w:rPr>
      </w:pPr>
      <w:r w:rsidRPr="009118AB">
        <w:rPr>
          <w:i/>
        </w:rPr>
        <w:t>[</w:t>
      </w:r>
      <w:r w:rsidR="00D67EB8" w:rsidRPr="009118AB">
        <w:rPr>
          <w:i/>
        </w:rPr>
        <w:t>Art. </w:t>
      </w:r>
      <w:r w:rsidRPr="009118AB">
        <w:rPr>
          <w:i/>
        </w:rPr>
        <w:t>145</w:t>
      </w:r>
      <w:r w:rsidRPr="009118AB">
        <w:rPr>
          <w:i/>
          <w:vertAlign w:val="superscript"/>
        </w:rPr>
        <w:t>38</w:t>
      </w:r>
      <w:r w:rsidRPr="009118AB">
        <w:rPr>
          <w:i/>
        </w:rPr>
        <w:t xml:space="preserve"> eingefügt durch </w:t>
      </w:r>
      <w:r w:rsidR="00D67EB8" w:rsidRPr="009118AB">
        <w:rPr>
          <w:i/>
        </w:rPr>
        <w:t>Art. </w:t>
      </w:r>
      <w:r w:rsidRPr="009118AB">
        <w:rPr>
          <w:i/>
        </w:rPr>
        <w:t>45 des G. vom 8. Mai</w:t>
      </w:r>
      <w:r w:rsidR="00B3148A" w:rsidRPr="009118AB">
        <w:rPr>
          <w:i/>
        </w:rPr>
        <w:t> 2014 (B.S. vom 28. Mai 2014)</w:t>
      </w:r>
      <w:r w:rsidR="00D67EB8" w:rsidRPr="009118AB">
        <w:rPr>
          <w:i/>
        </w:rPr>
        <w:t> - </w:t>
      </w:r>
      <w:r w:rsidRPr="009118AB">
        <w:rPr>
          <w:i/>
          <w:iCs/>
        </w:rPr>
        <w:t>anwendbar ab dem Steuerjahr 2015</w:t>
      </w:r>
      <w:r w:rsidR="00FD68E8" w:rsidRPr="009118AB">
        <w:rPr>
          <w:i/>
          <w:iCs/>
        </w:rPr>
        <w:t> -]</w:t>
      </w:r>
    </w:p>
    <w:p w14:paraId="375BCF60" w14:textId="77777777" w:rsidR="00F92348" w:rsidRPr="009118AB" w:rsidRDefault="00F92348" w:rsidP="00F92348">
      <w:pPr>
        <w:spacing w:after="200" w:line="276" w:lineRule="auto"/>
      </w:pPr>
    </w:p>
    <w:p w14:paraId="582F66DF" w14:textId="063E0576" w:rsidR="00F92348" w:rsidRPr="009118AB" w:rsidRDefault="00F92348" w:rsidP="00F92348">
      <w:pPr>
        <w:jc w:val="both"/>
      </w:pPr>
      <w:r w:rsidRPr="009118AB">
        <w:lastRenderedPageBreak/>
        <w:tab/>
      </w:r>
      <w:r w:rsidR="003B1F4F" w:rsidRPr="009118AB">
        <w:t>[</w:t>
      </w:r>
      <w:r w:rsidR="00D67EB8" w:rsidRPr="009118AB">
        <w:rPr>
          <w:b/>
        </w:rPr>
        <w:t>Art. </w:t>
      </w:r>
      <w:r w:rsidRPr="009118AB">
        <w:rPr>
          <w:b/>
        </w:rPr>
        <w:t>145</w:t>
      </w:r>
      <w:r w:rsidRPr="009118AB">
        <w:rPr>
          <w:b/>
          <w:vertAlign w:val="superscript"/>
        </w:rPr>
        <w:t>39</w:t>
      </w:r>
      <w:r w:rsidR="00D67EB8" w:rsidRPr="009118AB">
        <w:t> - </w:t>
      </w:r>
      <w:r w:rsidRPr="009118AB">
        <w:t>In Grenzen und unter Bedingungen, die in Artikel 145</w:t>
      </w:r>
      <w:r w:rsidRPr="009118AB">
        <w:rPr>
          <w:vertAlign w:val="superscript"/>
        </w:rPr>
        <w:t>40</w:t>
      </w:r>
      <w:r w:rsidRPr="009118AB">
        <w:t xml:space="preserve"> vorgesehen sind, wird eine Steuerermäßigung gewährt, die auf folgende Ausgaben berechnet wird, die während des Besteuerungszeitraums tatsächlich gezahlt worden sind:</w:t>
      </w:r>
    </w:p>
    <w:p w14:paraId="2D8A606A" w14:textId="77777777" w:rsidR="00F92348" w:rsidRPr="009118AB" w:rsidRDefault="00F92348" w:rsidP="00F92348">
      <w:pPr>
        <w:jc w:val="both"/>
      </w:pPr>
    </w:p>
    <w:p w14:paraId="30A18F76" w14:textId="77777777" w:rsidR="00F92348" w:rsidRPr="009118AB" w:rsidRDefault="00F92348" w:rsidP="00F92348">
      <w:pPr>
        <w:jc w:val="both"/>
      </w:pPr>
      <w:r w:rsidRPr="009118AB">
        <w:tab/>
        <w:t>1. als Beiträge zu einer Alters- und Todesfallzusatzversicherung, die der Steuerpflichtige in Ausführung eines Lebensversicherungsvertrags, den er individuell abgeschlossen hat, definitiv in einem Mitgliedstaat des Europäischen Wirtschaftsraums gezahlt hat für die Bildung einer Rente oder eines Kapitals zu Lebzeiten oder im Todesfall, wenn dieses Kapital für die Wiederherstellung einer oder als Sicherheit für eine Anleihe dient, die spezifisch für Erwerb oder Erhaltung einer in einem Mitgliedstaat des Europäischen Wirtschaftsraums gelegenen Wohnung aufgenommen wurde, die zum Zeitpunkt der Zahlung dieser Beiträge die eigene Wohnung des Steuerpflichtigen ist,</w:t>
      </w:r>
    </w:p>
    <w:p w14:paraId="41096A40" w14:textId="77777777" w:rsidR="00F92348" w:rsidRPr="009118AB" w:rsidRDefault="00F92348" w:rsidP="00F92348">
      <w:pPr>
        <w:jc w:val="both"/>
      </w:pPr>
    </w:p>
    <w:p w14:paraId="213DDE90" w14:textId="77777777" w:rsidR="00F92348" w:rsidRPr="009118AB" w:rsidRDefault="00F92348" w:rsidP="00F92348">
      <w:pPr>
        <w:jc w:val="both"/>
      </w:pPr>
      <w:r w:rsidRPr="009118AB">
        <w:tab/>
        <w:t>2. als Summen, die für Tilgung oder Wiederherstellung einer Hypothekenanleihe gezahlt worden sind, die spezifisch für Bau, Erwerb oder Umbau einer in einem Mitgliedstaat des Europäischen Wirtschaftsraums gelegenen Wohnung aufgenommen wurde, die zum Zeitpunkt der Zahlung die eigene Wohnung des Steuerpflichtigen ist.</w:t>
      </w:r>
    </w:p>
    <w:p w14:paraId="5D8FEE76" w14:textId="77777777" w:rsidR="00F92348" w:rsidRPr="009118AB" w:rsidRDefault="00F92348" w:rsidP="00F92348">
      <w:pPr>
        <w:jc w:val="both"/>
      </w:pPr>
    </w:p>
    <w:p w14:paraId="75BC0EE3" w14:textId="77777777" w:rsidR="00F92348" w:rsidRPr="009118AB" w:rsidRDefault="00F92348" w:rsidP="00F92348">
      <w:pPr>
        <w:jc w:val="both"/>
      </w:pPr>
      <w:r w:rsidRPr="009118AB">
        <w:tab/>
        <w:t>Die Steuerermäßigung wird zum</w:t>
      </w:r>
      <w:r w:rsidR="003B1F4F" w:rsidRPr="009118AB">
        <w:t xml:space="preserve"> Satz von 30 Prozent berechnet.]</w:t>
      </w:r>
    </w:p>
    <w:p w14:paraId="4A941B7E" w14:textId="77777777" w:rsidR="003B1F4F" w:rsidRPr="009118AB" w:rsidRDefault="003B1F4F" w:rsidP="00F92348">
      <w:pPr>
        <w:jc w:val="both"/>
      </w:pPr>
    </w:p>
    <w:p w14:paraId="2EEF8286" w14:textId="6A8BD20B" w:rsidR="003B1F4F" w:rsidRPr="009118AB" w:rsidRDefault="003B1F4F" w:rsidP="003B1F4F">
      <w:pPr>
        <w:jc w:val="both"/>
        <w:rPr>
          <w:i/>
        </w:rPr>
      </w:pPr>
      <w:r w:rsidRPr="009118AB">
        <w:rPr>
          <w:i/>
        </w:rPr>
        <w:t>[</w:t>
      </w:r>
      <w:r w:rsidR="00D67EB8" w:rsidRPr="009118AB">
        <w:rPr>
          <w:i/>
        </w:rPr>
        <w:t>Art. </w:t>
      </w:r>
      <w:r w:rsidRPr="009118AB">
        <w:rPr>
          <w:i/>
        </w:rPr>
        <w:t>145</w:t>
      </w:r>
      <w:r w:rsidRPr="009118AB">
        <w:rPr>
          <w:i/>
          <w:vertAlign w:val="superscript"/>
        </w:rPr>
        <w:t>39</w:t>
      </w:r>
      <w:r w:rsidRPr="009118AB">
        <w:rPr>
          <w:i/>
        </w:rPr>
        <w:t xml:space="preserve"> eingefügt durch </w:t>
      </w:r>
      <w:r w:rsidR="00D67EB8" w:rsidRPr="009118AB">
        <w:rPr>
          <w:i/>
        </w:rPr>
        <w:t>Art. </w:t>
      </w:r>
      <w:r w:rsidRPr="009118AB">
        <w:rPr>
          <w:i/>
        </w:rPr>
        <w:t>46 des G. vom 8. Mai 2014 (B.S. vom 28. Mai 2014)</w:t>
      </w:r>
      <w:r w:rsidR="00D67EB8" w:rsidRPr="009118AB">
        <w:rPr>
          <w:i/>
        </w:rPr>
        <w:t> - </w:t>
      </w:r>
      <w:r w:rsidRPr="009118AB">
        <w:rPr>
          <w:i/>
          <w:iCs/>
        </w:rPr>
        <w:t>anwendbar ab dem Steuerjahr 2015</w:t>
      </w:r>
      <w:r w:rsidR="00FD68E8" w:rsidRPr="009118AB">
        <w:rPr>
          <w:i/>
          <w:iCs/>
        </w:rPr>
        <w:t> -]</w:t>
      </w:r>
    </w:p>
    <w:p w14:paraId="356F08AD" w14:textId="77777777" w:rsidR="003B1F4F" w:rsidRPr="009118AB" w:rsidRDefault="003B1F4F" w:rsidP="00F92348">
      <w:pPr>
        <w:jc w:val="both"/>
      </w:pPr>
    </w:p>
    <w:p w14:paraId="7FAC9EF3" w14:textId="77777777" w:rsidR="00F92348" w:rsidRPr="009118AB" w:rsidRDefault="00F92348" w:rsidP="00F92348">
      <w:pPr>
        <w:jc w:val="both"/>
      </w:pPr>
    </w:p>
    <w:p w14:paraId="1C5AC2C5" w14:textId="4EE6267C" w:rsidR="00F92348" w:rsidRPr="009118AB" w:rsidRDefault="003B1F4F" w:rsidP="00F92348">
      <w:pPr>
        <w:jc w:val="both"/>
      </w:pPr>
      <w:r w:rsidRPr="009118AB">
        <w:tab/>
        <w:t>[</w:t>
      </w:r>
      <w:r w:rsidR="00D67EB8" w:rsidRPr="009118AB">
        <w:rPr>
          <w:b/>
        </w:rPr>
        <w:t>Art. </w:t>
      </w:r>
      <w:r w:rsidR="00F92348" w:rsidRPr="009118AB">
        <w:rPr>
          <w:b/>
        </w:rPr>
        <w:t>145</w:t>
      </w:r>
      <w:r w:rsidR="00F92348" w:rsidRPr="009118AB">
        <w:rPr>
          <w:b/>
          <w:vertAlign w:val="superscript"/>
        </w:rPr>
        <w:t>40</w:t>
      </w:r>
      <w:r w:rsidR="00D67EB8" w:rsidRPr="009118AB">
        <w:t> - § </w:t>
      </w:r>
      <w:r w:rsidR="00F92348" w:rsidRPr="009118AB">
        <w:t>1</w:t>
      </w:r>
      <w:r w:rsidR="00D67EB8" w:rsidRPr="009118AB">
        <w:t> - </w:t>
      </w:r>
      <w:r w:rsidR="00F92348" w:rsidRPr="009118AB">
        <w:t>In Artikel 145</w:t>
      </w:r>
      <w:r w:rsidR="00F92348" w:rsidRPr="009118AB">
        <w:rPr>
          <w:vertAlign w:val="superscript"/>
        </w:rPr>
        <w:t>39</w:t>
      </w:r>
      <w:r w:rsidR="00F92348" w:rsidRPr="009118AB">
        <w:t xml:space="preserve"> Absatz 1 </w:t>
      </w:r>
      <w:r w:rsidR="00D67EB8" w:rsidRPr="009118AB">
        <w:t>Nr. </w:t>
      </w:r>
      <w:r w:rsidR="00F92348" w:rsidRPr="009118AB">
        <w:t>1 erwähnte Beiträge werden für die Steuerermäßigung berücksichtigt unter der Bedingung:</w:t>
      </w:r>
    </w:p>
    <w:p w14:paraId="60EEC805" w14:textId="77777777" w:rsidR="00F92348" w:rsidRPr="009118AB" w:rsidRDefault="00F92348" w:rsidP="00F92348">
      <w:pPr>
        <w:jc w:val="both"/>
      </w:pPr>
    </w:p>
    <w:p w14:paraId="437C5A75" w14:textId="77777777" w:rsidR="00F92348" w:rsidRPr="009118AB" w:rsidRDefault="00F92348" w:rsidP="00F92348">
      <w:pPr>
        <w:jc w:val="both"/>
      </w:pPr>
      <w:r w:rsidRPr="009118AB">
        <w:tab/>
        <w:t>1. dass der Lebensversicherungsvertrag abgeschlossen wird:</w:t>
      </w:r>
    </w:p>
    <w:p w14:paraId="14A710E6" w14:textId="77777777" w:rsidR="00F92348" w:rsidRPr="009118AB" w:rsidRDefault="00F92348" w:rsidP="00F92348">
      <w:pPr>
        <w:jc w:val="both"/>
      </w:pPr>
    </w:p>
    <w:p w14:paraId="68400B96" w14:textId="77777777" w:rsidR="00F92348" w:rsidRPr="009118AB" w:rsidRDefault="00F92348" w:rsidP="00F92348">
      <w:pPr>
        <w:jc w:val="both"/>
      </w:pPr>
      <w:r w:rsidRPr="009118AB">
        <w:tab/>
      </w:r>
      <w:r w:rsidRPr="009118AB">
        <w:rPr>
          <w:i/>
        </w:rPr>
        <w:t>a)</w:t>
      </w:r>
      <w:r w:rsidRPr="009118AB">
        <w:t> vom Steuerpflichtigen, der zudem ausschließlich sich selbst versichert hat,</w:t>
      </w:r>
    </w:p>
    <w:p w14:paraId="7C0976FE" w14:textId="77777777" w:rsidR="00F92348" w:rsidRPr="009118AB" w:rsidRDefault="00F92348" w:rsidP="00F92348">
      <w:pPr>
        <w:jc w:val="both"/>
      </w:pPr>
    </w:p>
    <w:p w14:paraId="1226F7FF" w14:textId="77777777" w:rsidR="00F92348" w:rsidRPr="009118AB" w:rsidRDefault="00F92348" w:rsidP="00F92348">
      <w:pPr>
        <w:jc w:val="both"/>
      </w:pPr>
      <w:r w:rsidRPr="009118AB">
        <w:tab/>
      </w:r>
      <w:r w:rsidRPr="009118AB">
        <w:rPr>
          <w:i/>
        </w:rPr>
        <w:t>b)</w:t>
      </w:r>
      <w:r w:rsidRPr="009118AB">
        <w:t> vor dem Alter von fünfundsechzig Jahren; Verträge, die über den ursprünglich vorgesehenen Zeitraum hinaus verlängert, wieder in Kraft gesetzt, geändert oder erhöht werden, nachdem der Versicherte das Alter von fünfundsechzig Jahren erreicht hat, gelten nicht als vor diesem Alter abgeschlossen,</w:t>
      </w:r>
    </w:p>
    <w:p w14:paraId="7C049FB7" w14:textId="77777777" w:rsidR="00F92348" w:rsidRPr="009118AB" w:rsidRDefault="00F92348" w:rsidP="00F92348">
      <w:pPr>
        <w:jc w:val="both"/>
      </w:pPr>
    </w:p>
    <w:p w14:paraId="58702484" w14:textId="77777777" w:rsidR="00F92348" w:rsidRPr="009118AB" w:rsidRDefault="00F92348" w:rsidP="00F92348">
      <w:pPr>
        <w:jc w:val="both"/>
      </w:pPr>
      <w:r w:rsidRPr="009118AB">
        <w:tab/>
      </w:r>
      <w:r w:rsidRPr="009118AB">
        <w:rPr>
          <w:i/>
        </w:rPr>
        <w:t>c)</w:t>
      </w:r>
      <w:r w:rsidRPr="009118AB">
        <w:t> für eine Mindestdauer von zehn Jahren, wenn er Vorteile zu Lebzeiten vorsieht,</w:t>
      </w:r>
    </w:p>
    <w:p w14:paraId="6135D1AA" w14:textId="77777777" w:rsidR="00F92348" w:rsidRPr="009118AB" w:rsidRDefault="00F92348" w:rsidP="00F92348">
      <w:pPr>
        <w:jc w:val="both"/>
      </w:pPr>
    </w:p>
    <w:p w14:paraId="68B94E4E" w14:textId="77777777" w:rsidR="00F92348" w:rsidRPr="009118AB" w:rsidRDefault="00F92348" w:rsidP="00F92348">
      <w:pPr>
        <w:jc w:val="both"/>
      </w:pPr>
      <w:r w:rsidRPr="009118AB">
        <w:tab/>
        <w:t>2. dass die Vorteile des Vertrags bestimmt werden:</w:t>
      </w:r>
    </w:p>
    <w:p w14:paraId="27FE0797" w14:textId="77777777" w:rsidR="00F92348" w:rsidRPr="009118AB" w:rsidRDefault="00F92348" w:rsidP="00F92348">
      <w:pPr>
        <w:jc w:val="both"/>
      </w:pPr>
    </w:p>
    <w:p w14:paraId="5775EBFE" w14:textId="77777777" w:rsidR="00F92348" w:rsidRPr="009118AB" w:rsidRDefault="00F92348" w:rsidP="00F92348">
      <w:pPr>
        <w:jc w:val="both"/>
      </w:pPr>
      <w:r w:rsidRPr="009118AB">
        <w:tab/>
      </w:r>
      <w:r w:rsidRPr="009118AB">
        <w:rPr>
          <w:i/>
        </w:rPr>
        <w:t>a)</w:t>
      </w:r>
      <w:r w:rsidRPr="009118AB">
        <w:t> zu Lebzeiten zugunsten des Steuerpflichtigen ab dem Alter von fünfundsechzig Jahren,</w:t>
      </w:r>
    </w:p>
    <w:p w14:paraId="61EB5BB1" w14:textId="77777777" w:rsidR="00F92348" w:rsidRPr="009118AB" w:rsidRDefault="00F92348" w:rsidP="00F92348">
      <w:pPr>
        <w:jc w:val="both"/>
      </w:pPr>
    </w:p>
    <w:p w14:paraId="1D298F23" w14:textId="77777777" w:rsidR="00F92348" w:rsidRPr="009118AB" w:rsidRDefault="00F92348" w:rsidP="00F92348">
      <w:pPr>
        <w:jc w:val="both"/>
      </w:pPr>
      <w:r w:rsidRPr="009118AB">
        <w:tab/>
      </w:r>
      <w:r w:rsidRPr="009118AB">
        <w:rPr>
          <w:i/>
        </w:rPr>
        <w:t>b)</w:t>
      </w:r>
      <w:r w:rsidRPr="009118AB">
        <w:t> im Todesfall:</w:t>
      </w:r>
    </w:p>
    <w:p w14:paraId="5E64F287" w14:textId="77777777" w:rsidR="00F92348" w:rsidRPr="009118AB" w:rsidRDefault="00F92348" w:rsidP="00F92348">
      <w:pPr>
        <w:jc w:val="both"/>
      </w:pPr>
    </w:p>
    <w:p w14:paraId="61B90373" w14:textId="77777777" w:rsidR="00F92348" w:rsidRPr="009118AB" w:rsidRDefault="00F92348" w:rsidP="00F92348">
      <w:pPr>
        <w:jc w:val="both"/>
      </w:pPr>
      <w:r w:rsidRPr="009118AB">
        <w:tab/>
        <w:t>- bis zu dem versicherten Kapital, das für die Wiederherstellung der oder als Sicherheit für die Anleihe dient, zugunsten der Personen, die infolge des Todes des Versicherten das Volleigentum oder den Nießbrauch dieses unbeweglichen Gutes erhalten,</w:t>
      </w:r>
    </w:p>
    <w:p w14:paraId="11C64DE3" w14:textId="77777777" w:rsidR="00F92348" w:rsidRPr="009118AB" w:rsidRDefault="00F92348" w:rsidP="00F92348">
      <w:pPr>
        <w:jc w:val="both"/>
      </w:pPr>
    </w:p>
    <w:p w14:paraId="7FA6C1A5" w14:textId="77777777" w:rsidR="00F92348" w:rsidRPr="009118AB" w:rsidRDefault="00F92348" w:rsidP="00F92348">
      <w:pPr>
        <w:jc w:val="both"/>
      </w:pPr>
      <w:r w:rsidRPr="009118AB">
        <w:lastRenderedPageBreak/>
        <w:tab/>
        <w:t>- bis zu dem versicherten Kapital, das nicht für die Wiederherstellung der oder als Sicherheit für die Anleihe dient, zugunsten des Ehepartners oder von Verwandten bis zum zweiten Grad des Steuerpflichtigen,</w:t>
      </w:r>
    </w:p>
    <w:p w14:paraId="3B5FE262" w14:textId="77777777" w:rsidR="00F92348" w:rsidRPr="009118AB" w:rsidRDefault="00F92348" w:rsidP="00F92348">
      <w:pPr>
        <w:jc w:val="both"/>
      </w:pPr>
    </w:p>
    <w:p w14:paraId="687CA4CA" w14:textId="1DABFD55" w:rsidR="00F92348" w:rsidRPr="009118AB" w:rsidRDefault="00F92348" w:rsidP="00F92348">
      <w:pPr>
        <w:jc w:val="both"/>
      </w:pPr>
      <w:r w:rsidRPr="009118AB">
        <w:tab/>
        <w:t xml:space="preserve">3. dass diese Beiträge weder ganz noch teilweise für die Anwendung der Artikel 52 </w:t>
      </w:r>
      <w:r w:rsidR="00D67EB8" w:rsidRPr="009118AB">
        <w:t>Nr. </w:t>
      </w:r>
      <w:r w:rsidRPr="009118AB">
        <w:t>7</w:t>
      </w:r>
      <w:r w:rsidRPr="009118AB">
        <w:rPr>
          <w:i/>
        </w:rPr>
        <w:t>bis</w:t>
      </w:r>
      <w:r w:rsidRPr="009118AB">
        <w:t xml:space="preserve"> oder 145</w:t>
      </w:r>
      <w:r w:rsidRPr="009118AB">
        <w:rPr>
          <w:vertAlign w:val="superscript"/>
        </w:rPr>
        <w:t>37</w:t>
      </w:r>
      <w:r w:rsidRPr="009118AB">
        <w:t xml:space="preserve"> berücksichtigt werden können.</w:t>
      </w:r>
    </w:p>
    <w:p w14:paraId="10CAB566" w14:textId="77777777" w:rsidR="00F92348" w:rsidRPr="009118AB" w:rsidRDefault="00F92348" w:rsidP="00F92348">
      <w:pPr>
        <w:jc w:val="both"/>
      </w:pPr>
    </w:p>
    <w:p w14:paraId="4B9DBFA1" w14:textId="567344DA" w:rsidR="00F92348" w:rsidRPr="009118AB" w:rsidRDefault="00F92348" w:rsidP="00F92348">
      <w:pPr>
        <w:jc w:val="both"/>
      </w:pPr>
      <w:r w:rsidRPr="009118AB">
        <w:tab/>
      </w:r>
      <w:r w:rsidR="00D67EB8" w:rsidRPr="009118AB">
        <w:t>§ </w:t>
      </w:r>
      <w:r w:rsidRPr="009118AB">
        <w:t>2</w:t>
      </w:r>
      <w:r w:rsidR="00D67EB8" w:rsidRPr="009118AB">
        <w:t> - </w:t>
      </w:r>
      <w:r w:rsidRPr="009118AB">
        <w:t>In Artikel 145</w:t>
      </w:r>
      <w:r w:rsidRPr="009118AB">
        <w:rPr>
          <w:vertAlign w:val="superscript"/>
        </w:rPr>
        <w:t>39</w:t>
      </w:r>
      <w:r w:rsidRPr="009118AB">
        <w:t xml:space="preserve"> Absatz 1 </w:t>
      </w:r>
      <w:r w:rsidR="00D67EB8" w:rsidRPr="009118AB">
        <w:t>Nr. </w:t>
      </w:r>
      <w:r w:rsidRPr="009118AB">
        <w:t>2 erwähnte Summen, die für Tilgung oder Wiederherstellung einer Hypothekenanleihe gezahlt werden, werden für die Steuer</w:t>
      </w:r>
      <w:r w:rsidRPr="009118AB">
        <w:softHyphen/>
        <w:t>ermäßigung berücksichtigt unter der Bedingung:</w:t>
      </w:r>
    </w:p>
    <w:p w14:paraId="7DCD5874" w14:textId="77777777" w:rsidR="00F92348" w:rsidRPr="009118AB" w:rsidRDefault="00F92348" w:rsidP="00F92348">
      <w:pPr>
        <w:jc w:val="both"/>
      </w:pPr>
    </w:p>
    <w:p w14:paraId="49C75998" w14:textId="77777777" w:rsidR="00F92348" w:rsidRPr="009118AB" w:rsidRDefault="00F92348" w:rsidP="00F92348">
      <w:pPr>
        <w:jc w:val="both"/>
      </w:pPr>
      <w:r w:rsidRPr="009118AB">
        <w:tab/>
        <w:t>1. dass die Anleihe für eine Laufzeit von mindestens zehn Jahren bei einem Institut, dessen Sitz im Europäischen Wirtschaftsraum liegt, aufgenommen wird,</w:t>
      </w:r>
    </w:p>
    <w:p w14:paraId="7FC4F501" w14:textId="77777777" w:rsidR="00F92348" w:rsidRPr="009118AB" w:rsidRDefault="00F92348" w:rsidP="00F92348">
      <w:pPr>
        <w:jc w:val="both"/>
      </w:pPr>
    </w:p>
    <w:p w14:paraId="41F830EF" w14:textId="77777777" w:rsidR="00F92348" w:rsidRPr="009118AB" w:rsidRDefault="00F92348" w:rsidP="00F92348">
      <w:pPr>
        <w:jc w:val="both"/>
      </w:pPr>
      <w:r w:rsidRPr="009118AB">
        <w:tab/>
        <w:t>2. dass diese Summen für die Anwendung von Artikel 145</w:t>
      </w:r>
      <w:r w:rsidRPr="009118AB">
        <w:rPr>
          <w:vertAlign w:val="superscript"/>
        </w:rPr>
        <w:t>37</w:t>
      </w:r>
      <w:r w:rsidRPr="009118AB">
        <w:t xml:space="preserve"> nicht in Betracht kommen.</w:t>
      </w:r>
    </w:p>
    <w:p w14:paraId="697A072E" w14:textId="77777777" w:rsidR="00F92348" w:rsidRPr="009118AB" w:rsidRDefault="00F92348" w:rsidP="00F92348">
      <w:pPr>
        <w:jc w:val="both"/>
      </w:pPr>
    </w:p>
    <w:p w14:paraId="09725F0F" w14:textId="2DAAD1A4" w:rsidR="00F92348" w:rsidRPr="009118AB" w:rsidRDefault="00F92348" w:rsidP="00F92348">
      <w:pPr>
        <w:jc w:val="both"/>
      </w:pPr>
      <w:r w:rsidRPr="009118AB">
        <w:tab/>
        <w:t>In Artikel 145</w:t>
      </w:r>
      <w:r w:rsidRPr="009118AB">
        <w:rPr>
          <w:vertAlign w:val="superscript"/>
        </w:rPr>
        <w:t>39</w:t>
      </w:r>
      <w:r w:rsidRPr="009118AB">
        <w:t xml:space="preserve"> Absatz 1 </w:t>
      </w:r>
      <w:r w:rsidR="00D67EB8" w:rsidRPr="009118AB">
        <w:t>Nr. </w:t>
      </w:r>
      <w:r w:rsidRPr="009118AB">
        <w:t>2 erwähnte Zahlungen werden für die Gewährung der Ermäßigung nur berücksichtigt in dem Maße, wie sie sich auf den ersten Teilbetrag von 50.000 EUR des Anfangsbetrags der für diese Wohnung aufgenommenen Anleihen beziehen.</w:t>
      </w:r>
    </w:p>
    <w:p w14:paraId="03B572C8" w14:textId="77777777" w:rsidR="00F92348" w:rsidRPr="009118AB" w:rsidRDefault="00F92348" w:rsidP="00F92348">
      <w:pPr>
        <w:jc w:val="both"/>
      </w:pPr>
    </w:p>
    <w:p w14:paraId="63011C33" w14:textId="77777777" w:rsidR="00F92348" w:rsidRPr="009118AB" w:rsidRDefault="00F92348" w:rsidP="00F92348">
      <w:pPr>
        <w:jc w:val="both"/>
      </w:pPr>
      <w:r w:rsidRPr="009118AB">
        <w:tab/>
        <w:t>Für Anleihen, die vor dem 1. Januar 2001 aufgenommen wurden, beläuft sich der in vorhergehendem Absatz erwähnte erste Teilbetrag auf 2.000.000 BEF. Dieser Betrag wird gemäß Artikel 178 indexiert, so wie er für das Steuerjahr anwendbar war, das sich auf den Besteuerungszeitraum bezieht, in dem die Anleihe aufgenommen wurde, und anschließend in Euro umgerechnet.</w:t>
      </w:r>
    </w:p>
    <w:p w14:paraId="3CA3BD8C" w14:textId="77777777" w:rsidR="00F92348" w:rsidRPr="009118AB" w:rsidRDefault="00F92348" w:rsidP="00F92348">
      <w:pPr>
        <w:jc w:val="both"/>
      </w:pPr>
    </w:p>
    <w:p w14:paraId="70AB88B6" w14:textId="73740FA5" w:rsidR="00F92348" w:rsidRPr="009118AB" w:rsidRDefault="00F92348" w:rsidP="00F92348">
      <w:pPr>
        <w:jc w:val="both"/>
      </w:pPr>
      <w:r w:rsidRPr="009118AB">
        <w:tab/>
      </w:r>
      <w:r w:rsidR="00D67EB8" w:rsidRPr="009118AB">
        <w:t>§ </w:t>
      </w:r>
      <w:r w:rsidRPr="009118AB">
        <w:t>3</w:t>
      </w:r>
      <w:r w:rsidR="00D67EB8" w:rsidRPr="009118AB">
        <w:t> - </w:t>
      </w:r>
      <w:r w:rsidRPr="009118AB">
        <w:t>In Artikel 145</w:t>
      </w:r>
      <w:r w:rsidRPr="009118AB">
        <w:rPr>
          <w:vertAlign w:val="superscript"/>
        </w:rPr>
        <w:t>39</w:t>
      </w:r>
      <w:r w:rsidRPr="009118AB">
        <w:t xml:space="preserve"> Absatz 1 erwähnte Beiträge und Summen, die gegebenenfalls gemäß den Paragraphen 1 und 2 begrenzt werden, werden für die Steuerermäßigung berücksichtigt in dem Maße, wie diese Ausgaben die Plusdifferenz zwischen folgenden Beträgen nicht übersteigen:</w:t>
      </w:r>
    </w:p>
    <w:p w14:paraId="7FA89AAF" w14:textId="77777777" w:rsidR="00F92348" w:rsidRPr="009118AB" w:rsidRDefault="00F92348" w:rsidP="00F92348">
      <w:pPr>
        <w:jc w:val="both"/>
      </w:pPr>
    </w:p>
    <w:p w14:paraId="0243336C" w14:textId="77777777" w:rsidR="00F92348" w:rsidRPr="009118AB" w:rsidRDefault="00F92348" w:rsidP="00F92348">
      <w:pPr>
        <w:jc w:val="both"/>
      </w:pPr>
      <w:r w:rsidRPr="009118AB">
        <w:tab/>
        <w:t>- einerseits 15 Prozent des ersten Teilbetrags von 1.250 EUR der Gesamtheit der Berufseinkünfte ausschließlich der gemäß Artikel 171 besteuerten Berufseinkünfte und 6 Prozent der restlichen Berufseinkünfte, wobei ein Höchstbetrag von 1.500 EUR gilt,</w:t>
      </w:r>
    </w:p>
    <w:p w14:paraId="671875D9" w14:textId="77777777" w:rsidR="00F92348" w:rsidRPr="009118AB" w:rsidRDefault="00F92348" w:rsidP="00F92348">
      <w:pPr>
        <w:jc w:val="both"/>
      </w:pPr>
    </w:p>
    <w:p w14:paraId="306DE7D8" w14:textId="73252AF5" w:rsidR="00F92348" w:rsidRPr="009118AB" w:rsidRDefault="00F92348" w:rsidP="00F92348">
      <w:pPr>
        <w:jc w:val="both"/>
      </w:pPr>
      <w:r w:rsidRPr="009118AB">
        <w:tab/>
        <w:t>- und andererseits dem Betrag, für den in Anwendung von Artikel 145</w:t>
      </w:r>
      <w:r w:rsidRPr="009118AB">
        <w:rPr>
          <w:vertAlign w:val="superscript"/>
        </w:rPr>
        <w:t>37</w:t>
      </w:r>
      <w:r w:rsidRPr="009118AB">
        <w:t xml:space="preserve"> eine Steuerermäßigung gewährt wurde, ohne Berücksichtigung der eventuellen Erhöhungen wie in </w:t>
      </w:r>
      <w:r w:rsidR="00D67EB8" w:rsidRPr="009118AB">
        <w:t>§ </w:t>
      </w:r>
      <w:r w:rsidRPr="009118AB">
        <w:t>2 Absatz 2 und 3 des vorerwähnten Artikels erwähnt.</w:t>
      </w:r>
    </w:p>
    <w:p w14:paraId="03640411" w14:textId="77777777" w:rsidR="00F92348" w:rsidRPr="009118AB" w:rsidRDefault="00F92348" w:rsidP="00F92348">
      <w:pPr>
        <w:jc w:val="both"/>
      </w:pPr>
    </w:p>
    <w:p w14:paraId="2EFCB54D" w14:textId="1470DA67" w:rsidR="00F92348" w:rsidRPr="009118AB" w:rsidRDefault="00F92348" w:rsidP="00F92348">
      <w:pPr>
        <w:jc w:val="both"/>
      </w:pPr>
      <w:r w:rsidRPr="009118AB">
        <w:tab/>
      </w:r>
      <w:r w:rsidR="00D67EB8" w:rsidRPr="009118AB">
        <w:t>§ </w:t>
      </w:r>
      <w:r w:rsidRPr="009118AB">
        <w:t>4</w:t>
      </w:r>
      <w:r w:rsidR="00D67EB8" w:rsidRPr="009118AB">
        <w:t> - </w:t>
      </w:r>
      <w:r w:rsidRPr="009118AB">
        <w:t xml:space="preserve">Beiträge und Prämien, die in Ausführung von Lebensversicherungsverträgen gezahlt werden, die vor dem 1. Januar 2009 abgeschlossen wurden und für die Wiederherstellung einer oder als Sicherheit für eine Anleihe dienen, die für Erwerb oder Erhaltung eines unbeweglichen Gutes aufgenommen wurde, und der Begünstigungsklausel erwähnt in </w:t>
      </w:r>
      <w:r w:rsidR="00D67EB8" w:rsidRPr="009118AB">
        <w:t>§ </w:t>
      </w:r>
      <w:r w:rsidRPr="009118AB">
        <w:t xml:space="preserve">1 Absatz 1 </w:t>
      </w:r>
      <w:r w:rsidR="00D67EB8" w:rsidRPr="009118AB">
        <w:t>Nr. </w:t>
      </w:r>
      <w:r w:rsidRPr="009118AB">
        <w:t>2 nicht entsprechen, werden trotzdem für die Steuerermäßigung berücksichtigt, sofern diese Verträge der Begünstigungsklausel, so wie sie in Artikel 145</w:t>
      </w:r>
      <w:r w:rsidRPr="009118AB">
        <w:rPr>
          <w:vertAlign w:val="superscript"/>
        </w:rPr>
        <w:t>4</w:t>
      </w:r>
      <w:r w:rsidRPr="009118AB">
        <w:t xml:space="preserve"> bestand, bevor er durch Artikel 173 des Gesetzes vom 27. Dezember 2005 zur Festlegung verschiedener Bestimmungen und Artikel 114 des Gesetzes vom 22. Dezember 2008 zur Festlegung verschiedener Bestimmungen (I) abgeändert wurde, entsprechen.</w:t>
      </w:r>
    </w:p>
    <w:p w14:paraId="2FC41C7F" w14:textId="77777777" w:rsidR="00F92348" w:rsidRPr="009118AB" w:rsidRDefault="00F92348" w:rsidP="00F92348">
      <w:pPr>
        <w:jc w:val="both"/>
      </w:pPr>
    </w:p>
    <w:p w14:paraId="1185FF98" w14:textId="77777777" w:rsidR="00995C2A" w:rsidRPr="009118AB" w:rsidRDefault="00995C2A">
      <w:r w:rsidRPr="009118AB">
        <w:br w:type="page"/>
      </w:r>
    </w:p>
    <w:p w14:paraId="5CAB1A52" w14:textId="266DB671" w:rsidR="00F92348" w:rsidRPr="009118AB" w:rsidRDefault="00F92348" w:rsidP="00F92348">
      <w:pPr>
        <w:jc w:val="both"/>
      </w:pPr>
      <w:r w:rsidRPr="009118AB">
        <w:lastRenderedPageBreak/>
        <w:tab/>
      </w:r>
      <w:r w:rsidR="00D67EB8" w:rsidRPr="009118AB">
        <w:t>§ </w:t>
      </w:r>
      <w:r w:rsidRPr="009118AB">
        <w:t>5</w:t>
      </w:r>
      <w:r w:rsidR="00D67EB8" w:rsidRPr="009118AB">
        <w:t> - </w:t>
      </w:r>
      <w:r w:rsidRPr="009118AB">
        <w:t>Der König bestimmt die Modalitäten für die Anwendung der Steuerermäßig</w:t>
      </w:r>
      <w:r w:rsidR="003B1F4F" w:rsidRPr="009118AB">
        <w:t>ung.]</w:t>
      </w:r>
    </w:p>
    <w:p w14:paraId="2B1DAD28" w14:textId="77777777" w:rsidR="00F92348" w:rsidRPr="009118AB" w:rsidRDefault="00F92348" w:rsidP="00F92348">
      <w:pPr>
        <w:jc w:val="both"/>
      </w:pPr>
    </w:p>
    <w:p w14:paraId="2C88AA8E" w14:textId="27CEF4E3" w:rsidR="003B1F4F" w:rsidRPr="009118AB" w:rsidRDefault="003B1F4F" w:rsidP="003B1F4F">
      <w:pPr>
        <w:jc w:val="both"/>
        <w:rPr>
          <w:i/>
        </w:rPr>
      </w:pPr>
      <w:r w:rsidRPr="009118AB">
        <w:rPr>
          <w:i/>
        </w:rPr>
        <w:t>[</w:t>
      </w:r>
      <w:r w:rsidR="00D67EB8" w:rsidRPr="009118AB">
        <w:rPr>
          <w:i/>
        </w:rPr>
        <w:t>Art. </w:t>
      </w:r>
      <w:r w:rsidRPr="009118AB">
        <w:rPr>
          <w:i/>
        </w:rPr>
        <w:t>145</w:t>
      </w:r>
      <w:r w:rsidRPr="009118AB">
        <w:rPr>
          <w:i/>
          <w:vertAlign w:val="superscript"/>
        </w:rPr>
        <w:t>40</w:t>
      </w:r>
      <w:r w:rsidRPr="009118AB">
        <w:rPr>
          <w:i/>
        </w:rPr>
        <w:t xml:space="preserve"> eingefügt durch </w:t>
      </w:r>
      <w:r w:rsidR="00D67EB8" w:rsidRPr="009118AB">
        <w:rPr>
          <w:i/>
        </w:rPr>
        <w:t>Art. </w:t>
      </w:r>
      <w:r w:rsidRPr="009118AB">
        <w:rPr>
          <w:i/>
        </w:rPr>
        <w:t>47 des G. vom 8. Mai 2014</w:t>
      </w:r>
      <w:r w:rsidR="00B3148A" w:rsidRPr="009118AB">
        <w:rPr>
          <w:i/>
        </w:rPr>
        <w:t xml:space="preserve"> (B.S. vom 28. Mai 2014)</w:t>
      </w:r>
      <w:r w:rsidR="00D67EB8" w:rsidRPr="009118AB">
        <w:rPr>
          <w:i/>
        </w:rPr>
        <w:t> - </w:t>
      </w:r>
      <w:r w:rsidRPr="009118AB">
        <w:rPr>
          <w:i/>
          <w:iCs/>
        </w:rPr>
        <w:t>anwendbar ab dem Steuerjahr 2015</w:t>
      </w:r>
      <w:r w:rsidR="00FD68E8" w:rsidRPr="009118AB">
        <w:rPr>
          <w:i/>
          <w:iCs/>
        </w:rPr>
        <w:t> -]</w:t>
      </w:r>
    </w:p>
    <w:p w14:paraId="1203C6F5" w14:textId="77777777" w:rsidR="00F92348" w:rsidRPr="009118AB" w:rsidRDefault="00F92348" w:rsidP="00F92348">
      <w:pPr>
        <w:jc w:val="both"/>
      </w:pPr>
    </w:p>
    <w:p w14:paraId="35F44F6A" w14:textId="77777777" w:rsidR="003B1F4F" w:rsidRPr="009118AB" w:rsidRDefault="003B1F4F" w:rsidP="00F92348">
      <w:pPr>
        <w:jc w:val="both"/>
        <w:rPr>
          <w:b/>
        </w:rPr>
      </w:pPr>
    </w:p>
    <w:p w14:paraId="78976800" w14:textId="598EEA20" w:rsidR="00F92348" w:rsidRPr="009118AB" w:rsidRDefault="00F92348" w:rsidP="00F92348">
      <w:pPr>
        <w:jc w:val="both"/>
      </w:pPr>
      <w:r w:rsidRPr="009118AB">
        <w:tab/>
      </w:r>
      <w:r w:rsidR="003B1F4F" w:rsidRPr="009118AB">
        <w:t>[</w:t>
      </w:r>
      <w:r w:rsidR="00D67EB8" w:rsidRPr="009118AB">
        <w:rPr>
          <w:b/>
        </w:rPr>
        <w:t>Art. </w:t>
      </w:r>
      <w:r w:rsidRPr="009118AB">
        <w:rPr>
          <w:b/>
        </w:rPr>
        <w:t>145</w:t>
      </w:r>
      <w:r w:rsidRPr="009118AB">
        <w:rPr>
          <w:b/>
          <w:vertAlign w:val="superscript"/>
        </w:rPr>
        <w:t>41</w:t>
      </w:r>
      <w:r w:rsidR="00D67EB8" w:rsidRPr="009118AB">
        <w:t> - </w:t>
      </w:r>
      <w:r w:rsidRPr="009118AB">
        <w:t>Vorliegender Artikel ist auf die in Artikel 145</w:t>
      </w:r>
      <w:r w:rsidRPr="009118AB">
        <w:rPr>
          <w:vertAlign w:val="superscript"/>
        </w:rPr>
        <w:t>39</w:t>
      </w:r>
      <w:r w:rsidRPr="009118AB">
        <w:t xml:space="preserve"> erwähnten Ausgaben anwendbar, wenn diese Ausgaben Folgendes betreffen:</w:t>
      </w:r>
    </w:p>
    <w:p w14:paraId="637DC7AD" w14:textId="77777777" w:rsidR="00F92348" w:rsidRPr="009118AB" w:rsidRDefault="00F92348" w:rsidP="00F92348">
      <w:pPr>
        <w:jc w:val="both"/>
      </w:pPr>
    </w:p>
    <w:p w14:paraId="6B622577" w14:textId="77777777" w:rsidR="00F92348" w:rsidRPr="009118AB" w:rsidRDefault="00F92348" w:rsidP="00F92348">
      <w:pPr>
        <w:jc w:val="both"/>
      </w:pPr>
      <w:r w:rsidRPr="009118AB">
        <w:tab/>
        <w:t>1. Anleihen, die für Bau, Erwerb oder Umbau der eigenen Wohnung aufgenommen wurden und vor dem 1. Januar 1993 abgeschlossen wurden,</w:t>
      </w:r>
    </w:p>
    <w:p w14:paraId="2F443C78" w14:textId="77777777" w:rsidR="00F92348" w:rsidRPr="009118AB" w:rsidRDefault="00F92348" w:rsidP="00F92348">
      <w:pPr>
        <w:jc w:val="both"/>
      </w:pPr>
    </w:p>
    <w:p w14:paraId="67D09358" w14:textId="63EF56F4" w:rsidR="00F92348" w:rsidRPr="009118AB" w:rsidRDefault="00F92348" w:rsidP="00F92348">
      <w:pPr>
        <w:jc w:val="both"/>
      </w:pPr>
      <w:r w:rsidRPr="009118AB">
        <w:tab/>
        <w:t xml:space="preserve">2. Lebensversicherungsverträge, die ausschließlich für die Wiederherstellung einer oder als Sicherheit für eine in </w:t>
      </w:r>
      <w:r w:rsidR="00D67EB8" w:rsidRPr="009118AB">
        <w:t>Nr. </w:t>
      </w:r>
      <w:r w:rsidRPr="009118AB">
        <w:t>1 erwähnte Hypothekenanleihe dienen.</w:t>
      </w:r>
    </w:p>
    <w:p w14:paraId="47B1894F" w14:textId="77777777" w:rsidR="00F92348" w:rsidRPr="009118AB" w:rsidRDefault="00F92348" w:rsidP="00F92348">
      <w:pPr>
        <w:jc w:val="both"/>
      </w:pPr>
    </w:p>
    <w:p w14:paraId="00ED7C96" w14:textId="77777777" w:rsidR="00F92348" w:rsidRPr="009118AB" w:rsidRDefault="00F92348" w:rsidP="00F92348">
      <w:pPr>
        <w:jc w:val="both"/>
      </w:pPr>
      <w:r w:rsidRPr="009118AB">
        <w:tab/>
        <w:t>In diesen Fällen:</w:t>
      </w:r>
    </w:p>
    <w:p w14:paraId="31D134A6" w14:textId="77777777" w:rsidR="00F92348" w:rsidRPr="009118AB" w:rsidRDefault="00F92348" w:rsidP="00F92348">
      <w:pPr>
        <w:jc w:val="both"/>
      </w:pPr>
    </w:p>
    <w:p w14:paraId="41DD99F3" w14:textId="11D8072B" w:rsidR="00F92348" w:rsidRPr="009118AB" w:rsidRDefault="00F92348" w:rsidP="00F92348">
      <w:pPr>
        <w:jc w:val="both"/>
      </w:pPr>
      <w:r w:rsidRPr="009118AB">
        <w:tab/>
        <w:t>1. werden Summen, die für Tilgung oder Wiederherstellung einer Hypothekenanleihe gezahlt werden, in Bezug auf Anleihen, die bis zum 31. Dezember 1988 aufgenommen wurden, für die in Artikel 145</w:t>
      </w:r>
      <w:r w:rsidRPr="009118AB">
        <w:rPr>
          <w:vertAlign w:val="superscript"/>
        </w:rPr>
        <w:t>39</w:t>
      </w:r>
      <w:r w:rsidRPr="009118AB">
        <w:t xml:space="preserve"> erwähnte Steuerermäßigung nur unter den in Artikel 516 </w:t>
      </w:r>
      <w:r w:rsidR="00D67EB8" w:rsidRPr="009118AB">
        <w:t>§ </w:t>
      </w:r>
      <w:r w:rsidRPr="009118AB">
        <w:t xml:space="preserve">1 </w:t>
      </w:r>
      <w:r w:rsidR="00D67EB8" w:rsidRPr="009118AB">
        <w:t>Nr. </w:t>
      </w:r>
      <w:r w:rsidRPr="009118AB">
        <w:t>1 erwähnten Bedingungen berücksichtigt,</w:t>
      </w:r>
    </w:p>
    <w:p w14:paraId="6D67D5DB" w14:textId="77777777" w:rsidR="00F92348" w:rsidRPr="009118AB" w:rsidRDefault="00F92348" w:rsidP="00F92348">
      <w:pPr>
        <w:jc w:val="both"/>
      </w:pPr>
    </w:p>
    <w:p w14:paraId="43841B29" w14:textId="62362A6E" w:rsidR="00F92348" w:rsidRPr="009118AB" w:rsidRDefault="00F92348" w:rsidP="00F92348">
      <w:pPr>
        <w:jc w:val="both"/>
      </w:pPr>
      <w:r w:rsidRPr="009118AB">
        <w:tab/>
        <w:t>2. werden Summen, die für Tilgung oder Wiederherstellung einer Hypothekenanleihe gezahlt werden, in Abweichung von Artikel 145</w:t>
      </w:r>
      <w:r w:rsidRPr="009118AB">
        <w:rPr>
          <w:vertAlign w:val="superscript"/>
        </w:rPr>
        <w:t>40</w:t>
      </w:r>
      <w:r w:rsidRPr="009118AB">
        <w:t xml:space="preserve"> </w:t>
      </w:r>
      <w:r w:rsidR="00D67EB8" w:rsidRPr="009118AB">
        <w:t>§ </w:t>
      </w:r>
      <w:r w:rsidRPr="009118AB">
        <w:t>2 Absatz 2 für die Steuerermäßigung in den Grenzen wie erwähnt in Artikel 516 §</w:t>
      </w:r>
      <w:r w:rsidR="00D67EB8" w:rsidRPr="009118AB">
        <w:t>§ </w:t>
      </w:r>
      <w:r w:rsidRPr="009118AB">
        <w:t>1 und 2 Absatz 2, so wie dieser Absatz vor seiner Aufhebung durch Artikel 99 des Gesetzes vom 8. Mai 2014 bestand, berücksichtigt,</w:t>
      </w:r>
    </w:p>
    <w:p w14:paraId="3E12BD40" w14:textId="77777777" w:rsidR="00F92348" w:rsidRPr="009118AB" w:rsidRDefault="00F92348" w:rsidP="00F92348">
      <w:pPr>
        <w:jc w:val="both"/>
      </w:pPr>
    </w:p>
    <w:p w14:paraId="6FF3136B" w14:textId="3F286313" w:rsidR="00F92348" w:rsidRPr="009118AB" w:rsidRDefault="00F92348" w:rsidP="00F92348">
      <w:pPr>
        <w:jc w:val="both"/>
      </w:pPr>
      <w:r w:rsidRPr="009118AB">
        <w:tab/>
        <w:t>3. wird die Steuerermäßigung in Abweichung von Artikel 145</w:t>
      </w:r>
      <w:r w:rsidRPr="009118AB">
        <w:rPr>
          <w:vertAlign w:val="superscript"/>
        </w:rPr>
        <w:t>39</w:t>
      </w:r>
      <w:r w:rsidRPr="009118AB">
        <w:t xml:space="preserve"> Absatz 2 zu dem gemäß Artikel 145</w:t>
      </w:r>
      <w:r w:rsidRPr="009118AB">
        <w:rPr>
          <w:vertAlign w:val="superscript"/>
        </w:rPr>
        <w:t>37</w:t>
      </w:r>
      <w:r w:rsidRPr="009118AB">
        <w:t xml:space="preserve"> </w:t>
      </w:r>
      <w:r w:rsidR="00D67EB8" w:rsidRPr="009118AB">
        <w:t>§ </w:t>
      </w:r>
      <w:r w:rsidRPr="009118AB">
        <w:t>3 bestimmten Satz berechnet für:</w:t>
      </w:r>
    </w:p>
    <w:p w14:paraId="5B3CE189" w14:textId="77777777" w:rsidR="00F92348" w:rsidRPr="009118AB" w:rsidRDefault="00F92348" w:rsidP="00F92348">
      <w:pPr>
        <w:jc w:val="both"/>
      </w:pPr>
    </w:p>
    <w:p w14:paraId="49A533BD" w14:textId="0AA25DDA" w:rsidR="00F92348" w:rsidRPr="009118AB" w:rsidRDefault="00F92348" w:rsidP="00F92348">
      <w:pPr>
        <w:jc w:val="both"/>
      </w:pPr>
      <w:r w:rsidRPr="009118AB">
        <w:tab/>
        <w:t>- die in Artikel 145</w:t>
      </w:r>
      <w:r w:rsidRPr="009118AB">
        <w:rPr>
          <w:vertAlign w:val="superscript"/>
        </w:rPr>
        <w:t>39</w:t>
      </w:r>
      <w:r w:rsidRPr="009118AB">
        <w:t xml:space="preserve"> Absatz 1 </w:t>
      </w:r>
      <w:r w:rsidR="00D67EB8" w:rsidRPr="009118AB">
        <w:t>Nr. </w:t>
      </w:r>
      <w:r w:rsidRPr="009118AB">
        <w:t>1 erwähnten Beiträge zu individuellen Lebensversicherungen, die ausschließlich für die Wiederherstellung einer oder als Sicherheit für eine in Artikel 145</w:t>
      </w:r>
      <w:r w:rsidRPr="009118AB">
        <w:rPr>
          <w:vertAlign w:val="superscript"/>
        </w:rPr>
        <w:t>39</w:t>
      </w:r>
      <w:r w:rsidRPr="009118AB">
        <w:t xml:space="preserve"> Absatz 1 </w:t>
      </w:r>
      <w:r w:rsidR="00D67EB8" w:rsidRPr="009118AB">
        <w:t>Nr. </w:t>
      </w:r>
      <w:r w:rsidRPr="009118AB">
        <w:t xml:space="preserve">2 erwähnte Hypothekenanleihe dienen, in dem Maße, wie sie sich auf den ersten Teilbetrag der Anleihen beziehen, der gemäß Artikel 516 </w:t>
      </w:r>
      <w:r w:rsidR="00D67EB8" w:rsidRPr="009118AB">
        <w:t>§ </w:t>
      </w:r>
      <w:r w:rsidRPr="009118AB">
        <w:t>3, so wie er vor seiner Aufhebung durch Artikel 99 des Gesetzes vom 8. Mai 2014 bestand, bestimmt wird,</w:t>
      </w:r>
    </w:p>
    <w:p w14:paraId="61BEB3DF" w14:textId="77777777" w:rsidR="00F92348" w:rsidRPr="009118AB" w:rsidRDefault="00F92348" w:rsidP="00F92348">
      <w:pPr>
        <w:jc w:val="both"/>
      </w:pPr>
    </w:p>
    <w:p w14:paraId="6C076686" w14:textId="02870941" w:rsidR="00F92348" w:rsidRPr="009118AB" w:rsidRDefault="00F92348" w:rsidP="00F92348">
      <w:pPr>
        <w:jc w:val="both"/>
      </w:pPr>
      <w:r w:rsidRPr="009118AB">
        <w:tab/>
        <w:t>- die in Artikel 145</w:t>
      </w:r>
      <w:r w:rsidRPr="009118AB">
        <w:rPr>
          <w:vertAlign w:val="superscript"/>
        </w:rPr>
        <w:t>39</w:t>
      </w:r>
      <w:r w:rsidRPr="009118AB">
        <w:t xml:space="preserve"> Absatz 1 </w:t>
      </w:r>
      <w:r w:rsidR="00D67EB8" w:rsidRPr="009118AB">
        <w:t>Nr. </w:t>
      </w:r>
      <w:r w:rsidRPr="009118AB">
        <w:t>2 erwähnten Summen, die für Tilgung oder Wiederherstellung von Hypothekenanleihen gezahlt werden.</w:t>
      </w:r>
    </w:p>
    <w:p w14:paraId="72F50DD3" w14:textId="77777777" w:rsidR="00F92348" w:rsidRPr="009118AB" w:rsidRDefault="00F92348" w:rsidP="00F92348">
      <w:pPr>
        <w:jc w:val="both"/>
      </w:pPr>
    </w:p>
    <w:p w14:paraId="3E204E44" w14:textId="52AB384B" w:rsidR="00F92348" w:rsidRPr="009118AB" w:rsidRDefault="00F92348" w:rsidP="00F92348">
      <w:pPr>
        <w:jc w:val="both"/>
      </w:pPr>
      <w:r w:rsidRPr="009118AB">
        <w:tab/>
        <w:t>Wenn die Anwendung der Artikel 86 Absatz 1, 87 und 88 hinsichtlich eines vor dem 1. Januar 1989 auf den Namen nur eines der Ehepartner abgeschlossenen Vertrags zur Folge hat, dass die in Artikel 145</w:t>
      </w:r>
      <w:r w:rsidRPr="009118AB">
        <w:rPr>
          <w:vertAlign w:val="superscript"/>
        </w:rPr>
        <w:t>39</w:t>
      </w:r>
      <w:r w:rsidRPr="009118AB">
        <w:t xml:space="preserve"> Absatz 1 erwähnten Beiträge und Summen nicht zu einer Steuerermäßigung oder einer erhöhten Steuerermäßigung zugunsten dieses Ehepartners in den in Artikel 145</w:t>
      </w:r>
      <w:r w:rsidRPr="009118AB">
        <w:rPr>
          <w:vertAlign w:val="superscript"/>
        </w:rPr>
        <w:t>40</w:t>
      </w:r>
      <w:r w:rsidRPr="009118AB">
        <w:t xml:space="preserve"> </w:t>
      </w:r>
      <w:r w:rsidR="00D67EB8" w:rsidRPr="009118AB">
        <w:t>§ </w:t>
      </w:r>
      <w:r w:rsidRPr="009118AB">
        <w:t xml:space="preserve">3 erwähnten Grenzen führen, darf die Differenz ohne Teilung des Vertrags in denselben Grenzen zu einer zusätzlichen Ermäßigung zugunsten </w:t>
      </w:r>
      <w:r w:rsidR="003B1F4F" w:rsidRPr="009118AB">
        <w:t>des anderen Ehepartners führen.]</w:t>
      </w:r>
    </w:p>
    <w:p w14:paraId="78674EDB" w14:textId="77777777" w:rsidR="003B1F4F" w:rsidRPr="009118AB" w:rsidRDefault="003B1F4F" w:rsidP="00F92348">
      <w:pPr>
        <w:jc w:val="both"/>
      </w:pPr>
    </w:p>
    <w:p w14:paraId="2E4924B1" w14:textId="065EAB67" w:rsidR="003B1F4F" w:rsidRPr="009118AB" w:rsidRDefault="003B1F4F" w:rsidP="003B1F4F">
      <w:pPr>
        <w:jc w:val="both"/>
        <w:rPr>
          <w:rFonts w:ascii="Times New Roman Italique" w:hAnsi="Times New Roman Italique"/>
          <w:i/>
          <w:spacing w:val="-2"/>
        </w:rPr>
      </w:pPr>
      <w:r w:rsidRPr="009118AB">
        <w:rPr>
          <w:rFonts w:ascii="Times New Roman Italique" w:hAnsi="Times New Roman Italique"/>
          <w:i/>
        </w:rPr>
        <w:t>[</w:t>
      </w:r>
      <w:r w:rsidR="00D67EB8" w:rsidRPr="009118AB">
        <w:rPr>
          <w:rFonts w:ascii="Times New Roman Italique" w:hAnsi="Times New Roman Italique"/>
          <w:i/>
        </w:rPr>
        <w:t>Art. </w:t>
      </w:r>
      <w:r w:rsidRPr="009118AB">
        <w:rPr>
          <w:rFonts w:ascii="Times New Roman Italique" w:hAnsi="Times New Roman Italique"/>
          <w:i/>
        </w:rPr>
        <w:t>145</w:t>
      </w:r>
      <w:r w:rsidRPr="009118AB">
        <w:rPr>
          <w:rFonts w:ascii="Times New Roman Italique" w:hAnsi="Times New Roman Italique"/>
          <w:i/>
          <w:vertAlign w:val="superscript"/>
        </w:rPr>
        <w:t>41</w:t>
      </w:r>
      <w:r w:rsidRPr="009118AB">
        <w:rPr>
          <w:rFonts w:ascii="Times New Roman Italique" w:hAnsi="Times New Roman Italique"/>
          <w:i/>
        </w:rPr>
        <w:t xml:space="preserve"> eingefügt durch </w:t>
      </w:r>
      <w:r w:rsidR="00D67EB8" w:rsidRPr="009118AB">
        <w:rPr>
          <w:rFonts w:ascii="Times New Roman Italique" w:hAnsi="Times New Roman Italique"/>
          <w:i/>
        </w:rPr>
        <w:t>Art. </w:t>
      </w:r>
      <w:r w:rsidRPr="009118AB">
        <w:rPr>
          <w:rFonts w:ascii="Times New Roman Italique" w:hAnsi="Times New Roman Italique"/>
          <w:i/>
        </w:rPr>
        <w:t>48 des G. vom 8. Mai</w:t>
      </w:r>
      <w:r w:rsidR="00B3148A" w:rsidRPr="009118AB">
        <w:rPr>
          <w:rFonts w:ascii="Times New Roman Italique" w:hAnsi="Times New Roman Italique"/>
          <w:i/>
        </w:rPr>
        <w:t> 2014 (B.S. vom 28. Mai 2014)</w:t>
      </w:r>
      <w:r w:rsidR="00D67EB8" w:rsidRPr="009118AB">
        <w:rPr>
          <w:rFonts w:ascii="Times New Roman Italique" w:hAnsi="Times New Roman Italique"/>
          <w:i/>
        </w:rPr>
        <w:t> - </w:t>
      </w:r>
      <w:r w:rsidRPr="009118AB">
        <w:rPr>
          <w:rFonts w:ascii="Times New Roman Italique" w:hAnsi="Times New Roman Italique"/>
          <w:i/>
          <w:iCs/>
        </w:rPr>
        <w:t>anwendbar</w:t>
      </w:r>
      <w:r w:rsidRPr="009118AB">
        <w:rPr>
          <w:rFonts w:ascii="Times New Roman Italique" w:hAnsi="Times New Roman Italique"/>
          <w:i/>
          <w:iCs/>
          <w:spacing w:val="-2"/>
        </w:rPr>
        <w:t xml:space="preserve"> ab dem Steuerjahr 2015</w:t>
      </w:r>
      <w:r w:rsidR="00FD68E8" w:rsidRPr="009118AB">
        <w:rPr>
          <w:rFonts w:ascii="Times New Roman Italique" w:hAnsi="Times New Roman Italique"/>
          <w:i/>
          <w:iCs/>
          <w:spacing w:val="-2"/>
        </w:rPr>
        <w:t> -]</w:t>
      </w:r>
    </w:p>
    <w:p w14:paraId="47115AF7" w14:textId="77777777" w:rsidR="006937BB" w:rsidRPr="009118AB" w:rsidRDefault="006937BB" w:rsidP="00F92348">
      <w:pPr>
        <w:jc w:val="both"/>
      </w:pPr>
    </w:p>
    <w:p w14:paraId="7FDB8633" w14:textId="77777777" w:rsidR="003B1F4F" w:rsidRPr="009118AB" w:rsidRDefault="00F92348" w:rsidP="00F92348">
      <w:pPr>
        <w:jc w:val="both"/>
      </w:pPr>
      <w:r w:rsidRPr="009118AB">
        <w:lastRenderedPageBreak/>
        <w:tab/>
      </w:r>
    </w:p>
    <w:p w14:paraId="23B855E1" w14:textId="036C3106" w:rsidR="00F92348" w:rsidRPr="009118AB" w:rsidRDefault="003B1F4F" w:rsidP="00F92348">
      <w:pPr>
        <w:jc w:val="both"/>
      </w:pPr>
      <w:r w:rsidRPr="009118AB">
        <w:tab/>
        <w:t>[</w:t>
      </w:r>
      <w:r w:rsidR="00D67EB8" w:rsidRPr="009118AB">
        <w:rPr>
          <w:b/>
        </w:rPr>
        <w:t>Art. </w:t>
      </w:r>
      <w:r w:rsidR="00F92348" w:rsidRPr="009118AB">
        <w:rPr>
          <w:b/>
        </w:rPr>
        <w:t>145</w:t>
      </w:r>
      <w:r w:rsidR="00F92348" w:rsidRPr="009118AB">
        <w:rPr>
          <w:b/>
          <w:vertAlign w:val="superscript"/>
        </w:rPr>
        <w:t>42</w:t>
      </w:r>
      <w:r w:rsidR="00D67EB8" w:rsidRPr="009118AB">
        <w:t> - </w:t>
      </w:r>
      <w:r w:rsidR="00F92348" w:rsidRPr="009118AB">
        <w:t>Vorliegender Artikel ist auf die in Artikel 145</w:t>
      </w:r>
      <w:r w:rsidR="00F92348" w:rsidRPr="009118AB">
        <w:rPr>
          <w:vertAlign w:val="superscript"/>
        </w:rPr>
        <w:t>39</w:t>
      </w:r>
      <w:r w:rsidR="00F92348" w:rsidRPr="009118AB">
        <w:t xml:space="preserve"> erwähnten Ausgaben anwendbar, wenn diese Ausgaben Folgendes betreffen:</w:t>
      </w:r>
    </w:p>
    <w:p w14:paraId="71C35C3F" w14:textId="77777777" w:rsidR="00F92348" w:rsidRPr="009118AB" w:rsidRDefault="00F92348" w:rsidP="00F92348">
      <w:pPr>
        <w:jc w:val="both"/>
      </w:pPr>
    </w:p>
    <w:p w14:paraId="6EB6CFF9" w14:textId="77777777" w:rsidR="00F92348" w:rsidRPr="009118AB" w:rsidRDefault="00F92348" w:rsidP="00F92348">
      <w:pPr>
        <w:jc w:val="both"/>
      </w:pPr>
      <w:r w:rsidRPr="009118AB">
        <w:tab/>
        <w:t>1. Hypothekenanleihen, die aufgenommen wurden:</w:t>
      </w:r>
    </w:p>
    <w:p w14:paraId="765583A8" w14:textId="77777777" w:rsidR="00F92348" w:rsidRPr="009118AB" w:rsidRDefault="00F92348" w:rsidP="00F92348">
      <w:pPr>
        <w:jc w:val="both"/>
      </w:pPr>
    </w:p>
    <w:p w14:paraId="49A8BC24" w14:textId="77777777" w:rsidR="00F92348" w:rsidRPr="009118AB" w:rsidRDefault="00F92348" w:rsidP="00F92348">
      <w:pPr>
        <w:jc w:val="both"/>
      </w:pPr>
      <w:r w:rsidRPr="009118AB">
        <w:tab/>
      </w:r>
      <w:r w:rsidRPr="009118AB">
        <w:rPr>
          <w:i/>
        </w:rPr>
        <w:t>a)</w:t>
      </w:r>
      <w:r w:rsidRPr="009118AB">
        <w:t> ab dem 1. Januar 1993 und vor dem 1. Januar 2005 für Bau, Erwerb oder Umbau einer im Europäischen Wirtschaftsraum gelegenen Wohnung, die zum Zeitpunkt des Abschlusses der Anleihe die einzige Wohnung im Besitz des Steuerpflichtigen ist,</w:t>
      </w:r>
    </w:p>
    <w:p w14:paraId="69469182" w14:textId="77777777" w:rsidR="00F92348" w:rsidRPr="009118AB" w:rsidRDefault="00F92348" w:rsidP="00F92348">
      <w:pPr>
        <w:jc w:val="both"/>
      </w:pPr>
    </w:p>
    <w:p w14:paraId="53491FA9" w14:textId="77777777" w:rsidR="00F92348" w:rsidRPr="009118AB" w:rsidRDefault="00F92348" w:rsidP="00F92348">
      <w:pPr>
        <w:jc w:val="both"/>
      </w:pPr>
      <w:r w:rsidRPr="009118AB">
        <w:tab/>
      </w:r>
      <w:r w:rsidRPr="009118AB">
        <w:rPr>
          <w:i/>
        </w:rPr>
        <w:t>b)</w:t>
      </w:r>
      <w:r w:rsidRPr="009118AB">
        <w:t> ab dem 1. Januar 2005 für Bau, Erwerb oder Umbau einer im Europäischen Wirtschaftsraum gelegenen Wohnung, die zum Zeitpunkt des Abschlusses der Anleihe die einzige Wohnung im Besitz des Steuerpflichtigen ist, wobei zu diesem Zeitpunkt für dieselbe Wohnung eine andere Hypothekenanleihe besteht, die für den Abzug von Zinsen von Hypothekenanleihen oder für das Bausparen in Betracht kommt,</w:t>
      </w:r>
    </w:p>
    <w:p w14:paraId="375084C4" w14:textId="77777777" w:rsidR="00F92348" w:rsidRPr="009118AB" w:rsidRDefault="00F92348" w:rsidP="00F92348">
      <w:pPr>
        <w:jc w:val="both"/>
      </w:pPr>
    </w:p>
    <w:p w14:paraId="27021C09" w14:textId="2CB695E0" w:rsidR="00F92348" w:rsidRPr="009118AB" w:rsidRDefault="00F92348" w:rsidP="00F92348">
      <w:pPr>
        <w:jc w:val="both"/>
      </w:pPr>
      <w:r w:rsidRPr="009118AB">
        <w:tab/>
        <w:t xml:space="preserve">2. Lebensversicherungsverträge, die ausschließlich für die Wiederherstellung einer oder als Sicherheit für eine in </w:t>
      </w:r>
      <w:r w:rsidR="00D67EB8" w:rsidRPr="009118AB">
        <w:t>Nr. </w:t>
      </w:r>
      <w:r w:rsidRPr="009118AB">
        <w:t>1 erwähnte Hypothekenanleihe dienen.</w:t>
      </w:r>
    </w:p>
    <w:p w14:paraId="16FA4E07" w14:textId="77777777" w:rsidR="00F92348" w:rsidRPr="009118AB" w:rsidRDefault="00F92348" w:rsidP="00F92348">
      <w:pPr>
        <w:jc w:val="both"/>
      </w:pPr>
    </w:p>
    <w:p w14:paraId="1B902455" w14:textId="77777777" w:rsidR="00F92348" w:rsidRPr="009118AB" w:rsidRDefault="00F92348" w:rsidP="00F92348">
      <w:pPr>
        <w:jc w:val="both"/>
      </w:pPr>
      <w:r w:rsidRPr="009118AB">
        <w:tab/>
        <w:t>In diesen Fällen:</w:t>
      </w:r>
    </w:p>
    <w:p w14:paraId="03CE96CA" w14:textId="77777777" w:rsidR="00F92348" w:rsidRPr="009118AB" w:rsidRDefault="00F92348" w:rsidP="00F92348">
      <w:pPr>
        <w:jc w:val="both"/>
      </w:pPr>
    </w:p>
    <w:p w14:paraId="277B88EB" w14:textId="1ECDB2FF" w:rsidR="00F92348" w:rsidRPr="009118AB" w:rsidRDefault="00F92348" w:rsidP="00F92348">
      <w:pPr>
        <w:jc w:val="both"/>
      </w:pPr>
      <w:r w:rsidRPr="009118AB">
        <w:tab/>
        <w:t>1. werden in Artikel 145</w:t>
      </w:r>
      <w:r w:rsidRPr="009118AB">
        <w:rPr>
          <w:vertAlign w:val="superscript"/>
        </w:rPr>
        <w:t>39</w:t>
      </w:r>
      <w:r w:rsidRPr="009118AB">
        <w:t xml:space="preserve"> Absatz 1 </w:t>
      </w:r>
      <w:r w:rsidR="00D67EB8" w:rsidRPr="009118AB">
        <w:t>Nr. </w:t>
      </w:r>
      <w:r w:rsidRPr="009118AB">
        <w:t>2 erwähnte Summen, die für Tilgung oder Wiederherstellung einer Hypothekenanleihe gezahlt werden, in Abweichung von Artikel 145</w:t>
      </w:r>
      <w:r w:rsidRPr="009118AB">
        <w:rPr>
          <w:vertAlign w:val="superscript"/>
        </w:rPr>
        <w:t>40</w:t>
      </w:r>
      <w:r w:rsidRPr="009118AB">
        <w:t xml:space="preserve"> </w:t>
      </w:r>
      <w:r w:rsidR="00D67EB8" w:rsidRPr="009118AB">
        <w:t>§ </w:t>
      </w:r>
      <w:r w:rsidRPr="009118AB">
        <w:t>2 Absatz 2 für die Steuerermäßigung berücksichtigt in dem Maße, wie sie sich auf den ersten Teilbetrag von 50.000 EUR, 52.500 EUR, 55.000 EUR, 60.000 EUR oder 65.000 EUR des Anfangsbetrags der für die einzige Wohnung aufgenommenen Anleihen beziehen, je nachdem ob der Steuerpflichtige am 1. Januar des Jahres nach dem Jahr des Abschlusses des Anleihevertrags kein Kind oder ein, zwei, drei beziehungsweise mehr als drei Kinder zu Lasten hat,</w:t>
      </w:r>
    </w:p>
    <w:p w14:paraId="4940686D" w14:textId="77777777" w:rsidR="00F92348" w:rsidRPr="009118AB" w:rsidRDefault="00F92348" w:rsidP="00F92348">
      <w:pPr>
        <w:jc w:val="both"/>
      </w:pPr>
    </w:p>
    <w:p w14:paraId="46F2FB42" w14:textId="64C3F361" w:rsidR="00F92348" w:rsidRPr="009118AB" w:rsidRDefault="00F92348" w:rsidP="00F92348">
      <w:pPr>
        <w:jc w:val="both"/>
      </w:pPr>
      <w:r w:rsidRPr="009118AB">
        <w:tab/>
        <w:t>2. wird in Abweichung von Artikel 145</w:t>
      </w:r>
      <w:r w:rsidRPr="009118AB">
        <w:rPr>
          <w:vertAlign w:val="superscript"/>
        </w:rPr>
        <w:t>39</w:t>
      </w:r>
      <w:r w:rsidRPr="009118AB">
        <w:t xml:space="preserve"> Absatz 2 die Steuerermäßigung zu dem gemäß Artikel 145</w:t>
      </w:r>
      <w:r w:rsidRPr="009118AB">
        <w:rPr>
          <w:vertAlign w:val="superscript"/>
        </w:rPr>
        <w:t>37</w:t>
      </w:r>
      <w:r w:rsidRPr="009118AB">
        <w:t xml:space="preserve"> </w:t>
      </w:r>
      <w:r w:rsidR="00D67EB8" w:rsidRPr="009118AB">
        <w:t>§ </w:t>
      </w:r>
      <w:r w:rsidRPr="009118AB">
        <w:t>3 bestimmten Satz berechnet für:</w:t>
      </w:r>
    </w:p>
    <w:p w14:paraId="729DEEC3" w14:textId="77777777" w:rsidR="00F92348" w:rsidRPr="009118AB" w:rsidRDefault="00F92348" w:rsidP="00F92348">
      <w:pPr>
        <w:jc w:val="both"/>
      </w:pPr>
    </w:p>
    <w:p w14:paraId="2FDD9C3D" w14:textId="13EC7444" w:rsidR="00F92348" w:rsidRPr="009118AB" w:rsidRDefault="00F92348" w:rsidP="00F92348">
      <w:pPr>
        <w:jc w:val="both"/>
      </w:pPr>
      <w:r w:rsidRPr="009118AB">
        <w:tab/>
        <w:t>- die in Artikel 145</w:t>
      </w:r>
      <w:r w:rsidRPr="009118AB">
        <w:rPr>
          <w:vertAlign w:val="superscript"/>
        </w:rPr>
        <w:t>39</w:t>
      </w:r>
      <w:r w:rsidRPr="009118AB">
        <w:t xml:space="preserve"> Absatz 1 </w:t>
      </w:r>
      <w:r w:rsidR="00D67EB8" w:rsidRPr="009118AB">
        <w:t>Nr. </w:t>
      </w:r>
      <w:r w:rsidRPr="009118AB">
        <w:t>1 erwähnten Beiträge zu individuellen Lebensversicherungen, die ausschließlich für die Wiederherstellung einer oder als Sicherheit für eine in Artikel 145</w:t>
      </w:r>
      <w:r w:rsidRPr="009118AB">
        <w:rPr>
          <w:vertAlign w:val="superscript"/>
        </w:rPr>
        <w:t>39</w:t>
      </w:r>
      <w:r w:rsidRPr="009118AB">
        <w:t xml:space="preserve"> Absatz 1 </w:t>
      </w:r>
      <w:r w:rsidR="00D67EB8" w:rsidRPr="009118AB">
        <w:t>Nr. </w:t>
      </w:r>
      <w:r w:rsidRPr="009118AB">
        <w:t xml:space="preserve">2 erwähnte Hypothekenanleihe dienen, in dem Maße, wie sie sich auf den ersten Teilbetrag der Anleihen beziehen, der gemäß </w:t>
      </w:r>
      <w:r w:rsidR="00D67EB8" w:rsidRPr="009118AB">
        <w:t>Nr. </w:t>
      </w:r>
      <w:r w:rsidRPr="009118AB">
        <w:t>1 bestimmt wird,</w:t>
      </w:r>
    </w:p>
    <w:p w14:paraId="63BF8B20" w14:textId="77777777" w:rsidR="00F92348" w:rsidRPr="009118AB" w:rsidRDefault="00F92348" w:rsidP="00F92348">
      <w:pPr>
        <w:jc w:val="both"/>
      </w:pPr>
    </w:p>
    <w:p w14:paraId="464948F4" w14:textId="1C6D6887" w:rsidR="00F92348" w:rsidRPr="009118AB" w:rsidRDefault="00F92348" w:rsidP="00F92348">
      <w:pPr>
        <w:jc w:val="both"/>
      </w:pPr>
      <w:r w:rsidRPr="009118AB">
        <w:tab/>
        <w:t>- die in Artikel 145</w:t>
      </w:r>
      <w:r w:rsidRPr="009118AB">
        <w:rPr>
          <w:vertAlign w:val="superscript"/>
        </w:rPr>
        <w:t>39</w:t>
      </w:r>
      <w:r w:rsidRPr="009118AB">
        <w:t xml:space="preserve"> Absatz 1 </w:t>
      </w:r>
      <w:r w:rsidR="00D67EB8" w:rsidRPr="009118AB">
        <w:t>Nr. </w:t>
      </w:r>
      <w:r w:rsidRPr="009118AB">
        <w:t>2 erwähnten Summen, die für Tilgung oder Wiederherstellung von Hypothekenanleihen gezahlt werden.</w:t>
      </w:r>
    </w:p>
    <w:p w14:paraId="04809BED" w14:textId="77777777" w:rsidR="00F92348" w:rsidRPr="009118AB" w:rsidRDefault="00F92348" w:rsidP="00F92348">
      <w:pPr>
        <w:jc w:val="both"/>
      </w:pPr>
    </w:p>
    <w:p w14:paraId="54EA7A0F" w14:textId="0DE826A4" w:rsidR="00F92348" w:rsidRPr="009118AB" w:rsidRDefault="00F92348" w:rsidP="00F92348">
      <w:pPr>
        <w:jc w:val="both"/>
      </w:pPr>
      <w:r w:rsidRPr="009118AB">
        <w:tab/>
        <w:t xml:space="preserve">Für Anleihen, die vor dem 1. Januar 2001 aufgenommen wurden, beläuft sich der in Absatz 2 </w:t>
      </w:r>
      <w:r w:rsidR="00D67EB8" w:rsidRPr="009118AB">
        <w:t>Nr. </w:t>
      </w:r>
      <w:r w:rsidRPr="009118AB">
        <w:t>1 erwähnte erste Teilbetrag auf 2.000.000 BEF, 2.100.000 BEF, 2.200.000 BEF, 2.400.000 BEF beziehungsweise 2.600.000 BEF. Diese Beträge werden gemäß Artikel 178 indexiert, so wie er für das Steuerjahr anwendbar war, das sich auf den Besteuerungszeitraum bezieht, in dem die Anleihe aufgenommen wurde, und anschließend in Euro umgerechnet.</w:t>
      </w:r>
    </w:p>
    <w:p w14:paraId="42597CAC" w14:textId="77777777" w:rsidR="00F92348" w:rsidRPr="009118AB" w:rsidRDefault="00F92348" w:rsidP="00F92348">
      <w:pPr>
        <w:jc w:val="both"/>
      </w:pPr>
    </w:p>
    <w:p w14:paraId="7E10A98C" w14:textId="2988CAFC" w:rsidR="00F92348" w:rsidRPr="009118AB" w:rsidRDefault="003B1F4F" w:rsidP="00F92348">
      <w:pPr>
        <w:jc w:val="both"/>
      </w:pPr>
      <w:r w:rsidRPr="009118AB">
        <w:br w:type="page"/>
      </w:r>
      <w:r w:rsidR="00F92348" w:rsidRPr="009118AB">
        <w:lastRenderedPageBreak/>
        <w:tab/>
        <w:t xml:space="preserve">Für die Anwendung von Absatz 1 </w:t>
      </w:r>
      <w:r w:rsidR="00D67EB8" w:rsidRPr="009118AB">
        <w:t>Nr. </w:t>
      </w:r>
      <w:r w:rsidR="00F92348" w:rsidRPr="009118AB">
        <w:t>1 Buchstabe </w:t>
      </w:r>
      <w:r w:rsidR="00F92348" w:rsidRPr="009118AB">
        <w:rPr>
          <w:i/>
        </w:rPr>
        <w:t>b)</w:t>
      </w:r>
      <w:r w:rsidR="00F92348" w:rsidRPr="009118AB">
        <w:t xml:space="preserve"> gilt als:</w:t>
      </w:r>
    </w:p>
    <w:p w14:paraId="6045629C" w14:textId="77777777" w:rsidR="00F92348" w:rsidRPr="009118AB" w:rsidRDefault="00F92348" w:rsidP="00F92348">
      <w:pPr>
        <w:jc w:val="both"/>
      </w:pPr>
    </w:p>
    <w:p w14:paraId="60E4D329" w14:textId="4B8F7617" w:rsidR="00F92348" w:rsidRPr="009118AB" w:rsidRDefault="00F92348" w:rsidP="00F92348">
      <w:pPr>
        <w:jc w:val="both"/>
      </w:pPr>
      <w:r w:rsidRPr="009118AB">
        <w:tab/>
        <w:t xml:space="preserve">1. Abzug von Zinsen von Hypothekenanleihen: der Vorteil erwähnt in Artikel 104 </w:t>
      </w:r>
      <w:r w:rsidR="00D67EB8" w:rsidRPr="009118AB">
        <w:t>Nr. </w:t>
      </w:r>
      <w:r w:rsidRPr="009118AB">
        <w:t>9, so wie er vor seiner Abänderung durch das Programmgesetz vom 27. Dezember 2004 bestand und aufgrund von Artikel 526 anwendbar geblieben ist, und erwähnt in Artikel 145</w:t>
      </w:r>
      <w:r w:rsidRPr="009118AB">
        <w:rPr>
          <w:vertAlign w:val="superscript"/>
        </w:rPr>
        <w:t>45</w:t>
      </w:r>
      <w:r w:rsidRPr="009118AB">
        <w:t>,</w:t>
      </w:r>
    </w:p>
    <w:p w14:paraId="4585B997" w14:textId="77777777" w:rsidR="00F92348" w:rsidRPr="009118AB" w:rsidRDefault="00F92348" w:rsidP="00F92348">
      <w:pPr>
        <w:jc w:val="both"/>
      </w:pPr>
    </w:p>
    <w:p w14:paraId="362DACB3" w14:textId="23880C26" w:rsidR="00F92348" w:rsidRPr="009118AB" w:rsidRDefault="00F92348" w:rsidP="00F92348">
      <w:pPr>
        <w:jc w:val="both"/>
      </w:pPr>
      <w:r w:rsidRPr="009118AB">
        <w:tab/>
        <w:t>2. Bausparen: die erhöhte Ermäßigung erwähnt in den Artikeln 145</w:t>
      </w:r>
      <w:r w:rsidRPr="009118AB">
        <w:rPr>
          <w:vertAlign w:val="superscript"/>
        </w:rPr>
        <w:t>17</w:t>
      </w:r>
      <w:r w:rsidRPr="009118AB">
        <w:t xml:space="preserve"> bis 145</w:t>
      </w:r>
      <w:r w:rsidRPr="009118AB">
        <w:rPr>
          <w:vertAlign w:val="superscript"/>
        </w:rPr>
        <w:t>20</w:t>
      </w:r>
      <w:r w:rsidRPr="009118AB">
        <w:t>, so wie sie vor ihrer Aufhebung durch Artikel 400 des Programmgesetzes vom 27. Dezember 2004 bestanden und aufgrund von Artikel 526 anwendbar geblieben sind, und erwähnt in Artikel 145</w:t>
      </w:r>
      <w:r w:rsidRPr="009118AB">
        <w:rPr>
          <w:vertAlign w:val="superscript"/>
        </w:rPr>
        <w:t>41</w:t>
      </w:r>
      <w:r w:rsidR="003B1F4F" w:rsidRPr="009118AB">
        <w:t xml:space="preserve"> Absatz 2 </w:t>
      </w:r>
      <w:r w:rsidR="00D67EB8" w:rsidRPr="009118AB">
        <w:t>Nr. </w:t>
      </w:r>
      <w:r w:rsidR="003B1F4F" w:rsidRPr="009118AB">
        <w:t>3 oder Absatz 2.]</w:t>
      </w:r>
    </w:p>
    <w:p w14:paraId="11471683" w14:textId="77777777" w:rsidR="003B1F4F" w:rsidRPr="009118AB" w:rsidRDefault="003B1F4F" w:rsidP="00F92348">
      <w:pPr>
        <w:jc w:val="both"/>
      </w:pPr>
    </w:p>
    <w:p w14:paraId="6F375E01" w14:textId="19B66EFF" w:rsidR="003B1F4F" w:rsidRPr="009118AB" w:rsidRDefault="003B1F4F" w:rsidP="003B1F4F">
      <w:pPr>
        <w:jc w:val="both"/>
        <w:rPr>
          <w:i/>
        </w:rPr>
      </w:pPr>
      <w:r w:rsidRPr="009118AB">
        <w:rPr>
          <w:i/>
        </w:rPr>
        <w:t>[</w:t>
      </w:r>
      <w:r w:rsidR="00D67EB8" w:rsidRPr="009118AB">
        <w:rPr>
          <w:i/>
        </w:rPr>
        <w:t>Art. </w:t>
      </w:r>
      <w:r w:rsidRPr="009118AB">
        <w:rPr>
          <w:i/>
        </w:rPr>
        <w:t>145</w:t>
      </w:r>
      <w:r w:rsidRPr="009118AB">
        <w:rPr>
          <w:i/>
          <w:vertAlign w:val="superscript"/>
        </w:rPr>
        <w:t>42</w:t>
      </w:r>
      <w:r w:rsidRPr="009118AB">
        <w:rPr>
          <w:i/>
        </w:rPr>
        <w:t xml:space="preserve"> eingefügt durch </w:t>
      </w:r>
      <w:r w:rsidR="00D67EB8" w:rsidRPr="009118AB">
        <w:rPr>
          <w:i/>
        </w:rPr>
        <w:t>Art. </w:t>
      </w:r>
      <w:r w:rsidRPr="009118AB">
        <w:rPr>
          <w:i/>
        </w:rPr>
        <w:t>49 des G. vom 8. Mai</w:t>
      </w:r>
      <w:r w:rsidR="00B3148A" w:rsidRPr="009118AB">
        <w:rPr>
          <w:i/>
        </w:rPr>
        <w:t> 2014 (B.S. vom 28. Mai 2014)</w:t>
      </w:r>
      <w:r w:rsidR="00D67EB8" w:rsidRPr="009118AB">
        <w:rPr>
          <w:i/>
        </w:rPr>
        <w:t> - </w:t>
      </w:r>
      <w:r w:rsidRPr="009118AB">
        <w:rPr>
          <w:i/>
          <w:iCs/>
        </w:rPr>
        <w:t>anwendbar ab dem Steuerjahr 2015</w:t>
      </w:r>
      <w:r w:rsidR="00FD68E8" w:rsidRPr="009118AB">
        <w:rPr>
          <w:i/>
          <w:iCs/>
        </w:rPr>
        <w:t> -]</w:t>
      </w:r>
    </w:p>
    <w:p w14:paraId="3A1E31F7" w14:textId="77777777" w:rsidR="003B1F4F" w:rsidRPr="009118AB" w:rsidRDefault="003B1F4F" w:rsidP="00F92348">
      <w:pPr>
        <w:jc w:val="both"/>
      </w:pPr>
    </w:p>
    <w:p w14:paraId="336FB642" w14:textId="77777777" w:rsidR="00F92348" w:rsidRPr="009118AB" w:rsidRDefault="00F92348" w:rsidP="00F92348">
      <w:pPr>
        <w:jc w:val="both"/>
      </w:pPr>
    </w:p>
    <w:p w14:paraId="5FAFE089" w14:textId="619563C1" w:rsidR="00F92348" w:rsidRPr="009118AB" w:rsidRDefault="00F92348" w:rsidP="00F92348">
      <w:pPr>
        <w:jc w:val="both"/>
      </w:pPr>
      <w:r w:rsidRPr="009118AB">
        <w:tab/>
      </w:r>
      <w:r w:rsidR="003B1F4F" w:rsidRPr="009118AB">
        <w:t>[</w:t>
      </w:r>
      <w:r w:rsidR="00D67EB8" w:rsidRPr="009118AB">
        <w:rPr>
          <w:b/>
        </w:rPr>
        <w:t>Art. </w:t>
      </w:r>
      <w:r w:rsidRPr="009118AB">
        <w:rPr>
          <w:b/>
        </w:rPr>
        <w:t>145</w:t>
      </w:r>
      <w:r w:rsidRPr="009118AB">
        <w:rPr>
          <w:b/>
          <w:vertAlign w:val="superscript"/>
        </w:rPr>
        <w:t>43</w:t>
      </w:r>
      <w:r w:rsidR="00D67EB8" w:rsidRPr="009118AB">
        <w:t> - </w:t>
      </w:r>
      <w:r w:rsidRPr="009118AB">
        <w:t>Eine Steuerermäßigung wird gewährt für:</w:t>
      </w:r>
    </w:p>
    <w:p w14:paraId="7945CA72" w14:textId="77777777" w:rsidR="00F92348" w:rsidRPr="009118AB" w:rsidRDefault="00F92348" w:rsidP="00F92348">
      <w:pPr>
        <w:jc w:val="both"/>
      </w:pPr>
    </w:p>
    <w:p w14:paraId="05748016" w14:textId="77777777" w:rsidR="00F92348" w:rsidRPr="009118AB" w:rsidRDefault="00F92348" w:rsidP="00F92348">
      <w:pPr>
        <w:jc w:val="both"/>
      </w:pPr>
      <w:r w:rsidRPr="009118AB">
        <w:tab/>
        <w:t>1. Zinsen auf Schulden, die vor dem 1. Januar 2015 spezifisch für Erwerb oder Erhaltung der Wohnung gemacht wurden, die zum Zeitpunkt der Zahlung dieser Zinsen die eigene Wohnung des Steuerpflichtigen ist, deren Einkommen vor Anwendung von Artikel 12 in seinen steuerpflichtigen Einkünften aus unbeweglichen Gütern enthalten ist, ausschließlich der Zinsen, die für die in Artikel 145</w:t>
      </w:r>
      <w:r w:rsidRPr="009118AB">
        <w:rPr>
          <w:vertAlign w:val="superscript"/>
        </w:rPr>
        <w:t>37</w:t>
      </w:r>
      <w:r w:rsidRPr="009118AB">
        <w:t xml:space="preserve"> erwähnte Steuerermäßigung in Betracht kommen,</w:t>
      </w:r>
    </w:p>
    <w:p w14:paraId="61628B74" w14:textId="77777777" w:rsidR="00F92348" w:rsidRPr="009118AB" w:rsidRDefault="00F92348" w:rsidP="00F92348">
      <w:pPr>
        <w:jc w:val="both"/>
      </w:pPr>
    </w:p>
    <w:p w14:paraId="1C8CDB93" w14:textId="1B99400F" w:rsidR="00F92348" w:rsidRPr="009118AB" w:rsidRDefault="00F92348" w:rsidP="00F92348">
      <w:pPr>
        <w:jc w:val="both"/>
      </w:pPr>
      <w:r w:rsidRPr="009118AB">
        <w:tab/>
        <w:t xml:space="preserve">2. Gebühren und Wert damit gleichgesetzter Lasten für den Erwerb eines Erbpachtrechts, Erbbaurechts oder gleichartiger Rechte an unbeweglichen Gütern, die keine in Artikel 10 </w:t>
      </w:r>
      <w:r w:rsidR="00D67EB8" w:rsidRPr="009118AB">
        <w:t>§ </w:t>
      </w:r>
      <w:r w:rsidRPr="009118AB">
        <w:t xml:space="preserve">2 erwähnten Nutzungsrechte an der in </w:t>
      </w:r>
      <w:r w:rsidR="00D67EB8" w:rsidRPr="009118AB">
        <w:t>Nr. </w:t>
      </w:r>
      <w:r w:rsidRPr="009118AB">
        <w:t>1 erwähnten Wohnung sind.</w:t>
      </w:r>
    </w:p>
    <w:p w14:paraId="62D06899" w14:textId="77777777" w:rsidR="00F92348" w:rsidRPr="009118AB" w:rsidRDefault="00F92348" w:rsidP="00F92348">
      <w:pPr>
        <w:jc w:val="both"/>
      </w:pPr>
    </w:p>
    <w:p w14:paraId="70499962" w14:textId="77777777" w:rsidR="00F92348" w:rsidRPr="009118AB" w:rsidRDefault="00F92348" w:rsidP="00F92348">
      <w:pPr>
        <w:jc w:val="both"/>
      </w:pPr>
      <w:r w:rsidRPr="009118AB">
        <w:tab/>
        <w:t>In Absatz 1 erwähnte Zinsen und Gebühren kommen für die Steuerermäßigung in Betracht, sofern sie das Nettoeinkommen aus den unbeweglichen Gütern des Steuer</w:t>
      </w:r>
      <w:r w:rsidRPr="009118AB">
        <w:softHyphen/>
        <w:t>pflichtigen nicht übersteigen.</w:t>
      </w:r>
    </w:p>
    <w:p w14:paraId="528E42B4" w14:textId="77777777" w:rsidR="00F92348" w:rsidRPr="009118AB" w:rsidRDefault="00F92348" w:rsidP="00F92348">
      <w:pPr>
        <w:jc w:val="both"/>
      </w:pPr>
    </w:p>
    <w:p w14:paraId="36A1E834" w14:textId="77777777" w:rsidR="00F92348" w:rsidRPr="009118AB" w:rsidRDefault="00F92348" w:rsidP="00F92348">
      <w:pPr>
        <w:jc w:val="both"/>
      </w:pPr>
      <w:r w:rsidRPr="009118AB">
        <w:tab/>
        <w:t>Der gemäß Absatz 2 bestimmte Betrag der Zinsen und Gebühren wird verringert um:</w:t>
      </w:r>
    </w:p>
    <w:p w14:paraId="7C55F38B" w14:textId="77777777" w:rsidR="00F92348" w:rsidRPr="009118AB" w:rsidRDefault="00F92348" w:rsidP="00F92348">
      <w:pPr>
        <w:jc w:val="both"/>
      </w:pPr>
    </w:p>
    <w:p w14:paraId="086D27D7" w14:textId="77777777" w:rsidR="00F92348" w:rsidRPr="009118AB" w:rsidRDefault="00F92348" w:rsidP="00F92348">
      <w:pPr>
        <w:jc w:val="both"/>
      </w:pPr>
      <w:r w:rsidRPr="009118AB">
        <w:tab/>
        <w:t>1. den Betrag dieser Zinsen und Gebühren im Verhältnis des Nettoeinkommens aus den im Ausland gelegenen unbeweglichen Gütern, das aufgrund von internationalen Abkommen zur Vermeidung der Doppelbesteuerung steuerfrei ist, im gesamten Nettoeinkommen aus den unbeweglichen Gütern,</w:t>
      </w:r>
    </w:p>
    <w:p w14:paraId="5E9E1ED2" w14:textId="77777777" w:rsidR="00F92348" w:rsidRPr="009118AB" w:rsidRDefault="00F92348" w:rsidP="00F92348">
      <w:pPr>
        <w:jc w:val="both"/>
      </w:pPr>
    </w:p>
    <w:p w14:paraId="73115592" w14:textId="0FD93D41" w:rsidR="00F92348" w:rsidRPr="009118AB" w:rsidRDefault="00F92348" w:rsidP="00F92348">
      <w:pPr>
        <w:jc w:val="both"/>
      </w:pPr>
      <w:r w:rsidRPr="009118AB">
        <w:tab/>
        <w:t xml:space="preserve">2. die Hälfte des Betrags dieser Zinsen und Gebühren im Verhältnis des Nettoeinkommens aus nicht in </w:t>
      </w:r>
      <w:r w:rsidR="00D67EB8" w:rsidRPr="009118AB">
        <w:t>Nr. </w:t>
      </w:r>
      <w:r w:rsidRPr="009118AB">
        <w:t>1 erwähnten im Ausland gelegenen unbeweglichen Gütern im gesamten Nettoeinkommen aus den unbeweglichen Gütern.</w:t>
      </w:r>
    </w:p>
    <w:p w14:paraId="7B0CC8D5" w14:textId="77777777" w:rsidR="00F92348" w:rsidRPr="009118AB" w:rsidRDefault="00F92348" w:rsidP="00F92348">
      <w:pPr>
        <w:jc w:val="both"/>
      </w:pPr>
    </w:p>
    <w:p w14:paraId="34818AE4" w14:textId="38DDEB98" w:rsidR="00F92348" w:rsidRPr="009118AB" w:rsidRDefault="00F92348" w:rsidP="00F92348">
      <w:pPr>
        <w:jc w:val="both"/>
      </w:pPr>
      <w:r w:rsidRPr="009118AB">
        <w:tab/>
        <w:t>Die Steuerermäßigung wird zu dem gemäß Artikel 145</w:t>
      </w:r>
      <w:r w:rsidRPr="009118AB">
        <w:rPr>
          <w:vertAlign w:val="superscript"/>
        </w:rPr>
        <w:t>37</w:t>
      </w:r>
      <w:r w:rsidRPr="009118AB">
        <w:t xml:space="preserve"> </w:t>
      </w:r>
      <w:r w:rsidR="00D67EB8" w:rsidRPr="009118AB">
        <w:t>§ </w:t>
      </w:r>
      <w:r w:rsidRPr="009118AB">
        <w:t>3 bestimmten Satz auf den Betrag der Zinsen und Gebühren berechnet, die gemäß den vorhergehenden Absätzen berücksichtigt werden können.</w:t>
      </w:r>
    </w:p>
    <w:p w14:paraId="68BA1BE0" w14:textId="77777777" w:rsidR="00F92348" w:rsidRPr="009118AB" w:rsidRDefault="00F92348" w:rsidP="00F92348">
      <w:pPr>
        <w:jc w:val="both"/>
      </w:pPr>
    </w:p>
    <w:p w14:paraId="46CC526A" w14:textId="77777777" w:rsidR="00F92348" w:rsidRPr="009118AB" w:rsidRDefault="00F92348" w:rsidP="00F92348">
      <w:pPr>
        <w:jc w:val="both"/>
      </w:pPr>
      <w:r w:rsidRPr="009118AB">
        <w:tab/>
        <w:t>Wird eine gemeinsame Veranlagung festgelegt:</w:t>
      </w:r>
    </w:p>
    <w:p w14:paraId="278297E2" w14:textId="77777777" w:rsidR="00F92348" w:rsidRPr="009118AB" w:rsidRDefault="00F92348" w:rsidP="00F92348">
      <w:pPr>
        <w:jc w:val="both"/>
      </w:pPr>
    </w:p>
    <w:p w14:paraId="580977BE" w14:textId="77777777" w:rsidR="00F92348" w:rsidRPr="009118AB" w:rsidRDefault="00F92348" w:rsidP="00F92348">
      <w:pPr>
        <w:jc w:val="both"/>
      </w:pPr>
      <w:r w:rsidRPr="009118AB">
        <w:tab/>
        <w:t>- werden in Absatz 1 erwähnte Zinsen und Gebühren und das Nettoeinkommen aus den unbeweglichen Gütern der beiden Ehepartner addiert,</w:t>
      </w:r>
    </w:p>
    <w:p w14:paraId="7E43882A" w14:textId="77777777" w:rsidR="00F92348" w:rsidRPr="009118AB" w:rsidRDefault="00F92348" w:rsidP="00F92348">
      <w:pPr>
        <w:jc w:val="both"/>
      </w:pPr>
    </w:p>
    <w:p w14:paraId="7FCBB2C8" w14:textId="77777777" w:rsidR="00F92348" w:rsidRPr="009118AB" w:rsidRDefault="00F92348" w:rsidP="00F92348">
      <w:pPr>
        <w:jc w:val="both"/>
      </w:pPr>
      <w:r w:rsidRPr="009118AB">
        <w:tab/>
        <w:t>- wird der Betrag, auf den die Steuerermäßigung berechnet wird, entsprechend dem gemäß Artikel 130 besteuerten Einkommen jedes Ehepartners in der Gesamtheit der gemäß Artikel 130 besteuerten Einkünfte der beiden Ehep</w:t>
      </w:r>
      <w:r w:rsidR="003B1F4F" w:rsidRPr="009118AB">
        <w:t>artner proportional aufgeteilt.]</w:t>
      </w:r>
    </w:p>
    <w:p w14:paraId="4496A8DA" w14:textId="77777777" w:rsidR="003B1F4F" w:rsidRPr="009118AB" w:rsidRDefault="003B1F4F" w:rsidP="00F92348">
      <w:pPr>
        <w:jc w:val="both"/>
      </w:pPr>
    </w:p>
    <w:p w14:paraId="62D89952" w14:textId="7FF4A537" w:rsidR="003B1F4F" w:rsidRPr="009118AB" w:rsidRDefault="003B1F4F" w:rsidP="003B1F4F">
      <w:pPr>
        <w:jc w:val="both"/>
        <w:rPr>
          <w:i/>
        </w:rPr>
      </w:pPr>
      <w:r w:rsidRPr="009118AB">
        <w:rPr>
          <w:i/>
        </w:rPr>
        <w:t>[</w:t>
      </w:r>
      <w:r w:rsidR="00D67EB8" w:rsidRPr="009118AB">
        <w:rPr>
          <w:i/>
        </w:rPr>
        <w:t>Art. </w:t>
      </w:r>
      <w:r w:rsidRPr="009118AB">
        <w:rPr>
          <w:i/>
        </w:rPr>
        <w:t>145</w:t>
      </w:r>
      <w:r w:rsidR="00803E87" w:rsidRPr="009118AB">
        <w:rPr>
          <w:i/>
          <w:vertAlign w:val="superscript"/>
        </w:rPr>
        <w:t>43</w:t>
      </w:r>
      <w:r w:rsidRPr="009118AB">
        <w:rPr>
          <w:i/>
        </w:rPr>
        <w:t xml:space="preserve"> eingefügt durch </w:t>
      </w:r>
      <w:r w:rsidR="00D67EB8" w:rsidRPr="009118AB">
        <w:rPr>
          <w:i/>
        </w:rPr>
        <w:t>Art. </w:t>
      </w:r>
      <w:r w:rsidR="00803E87" w:rsidRPr="009118AB">
        <w:rPr>
          <w:i/>
        </w:rPr>
        <w:t>50</w:t>
      </w:r>
      <w:r w:rsidRPr="009118AB">
        <w:rPr>
          <w:i/>
        </w:rPr>
        <w:t xml:space="preserve"> des G. vom 8. Mai</w:t>
      </w:r>
      <w:r w:rsidR="00B3148A" w:rsidRPr="009118AB">
        <w:rPr>
          <w:i/>
        </w:rPr>
        <w:t> 2014 (B.S. vom 28. Mai 2014)</w:t>
      </w:r>
      <w:r w:rsidR="00D67EB8" w:rsidRPr="009118AB">
        <w:rPr>
          <w:i/>
        </w:rPr>
        <w:t> - </w:t>
      </w:r>
      <w:r w:rsidRPr="009118AB">
        <w:rPr>
          <w:i/>
          <w:iCs/>
        </w:rPr>
        <w:t>anwendbar ab dem Steuerjahr 2015</w:t>
      </w:r>
      <w:r w:rsidR="00FD68E8" w:rsidRPr="009118AB">
        <w:rPr>
          <w:i/>
          <w:iCs/>
        </w:rPr>
        <w:t> -]</w:t>
      </w:r>
    </w:p>
    <w:p w14:paraId="2A7ECEBC" w14:textId="77777777" w:rsidR="003B1F4F" w:rsidRPr="009118AB" w:rsidRDefault="003B1F4F" w:rsidP="00F92348">
      <w:pPr>
        <w:jc w:val="both"/>
      </w:pPr>
    </w:p>
    <w:p w14:paraId="5DCDC402" w14:textId="77777777" w:rsidR="00F92348" w:rsidRPr="009118AB" w:rsidRDefault="00F92348" w:rsidP="00F92348">
      <w:pPr>
        <w:jc w:val="both"/>
      </w:pPr>
    </w:p>
    <w:p w14:paraId="39E56608" w14:textId="1B764351" w:rsidR="00F92348" w:rsidRPr="009118AB" w:rsidRDefault="00F92348" w:rsidP="00F92348">
      <w:pPr>
        <w:jc w:val="both"/>
      </w:pPr>
      <w:r w:rsidRPr="009118AB">
        <w:tab/>
      </w:r>
      <w:r w:rsidR="00803E87" w:rsidRPr="009118AB">
        <w:t>[</w:t>
      </w:r>
      <w:r w:rsidR="00D67EB8" w:rsidRPr="009118AB">
        <w:rPr>
          <w:b/>
        </w:rPr>
        <w:t>Art. </w:t>
      </w:r>
      <w:r w:rsidRPr="009118AB">
        <w:rPr>
          <w:b/>
        </w:rPr>
        <w:t>145</w:t>
      </w:r>
      <w:r w:rsidRPr="009118AB">
        <w:rPr>
          <w:b/>
          <w:vertAlign w:val="superscript"/>
        </w:rPr>
        <w:t>44</w:t>
      </w:r>
      <w:r w:rsidR="00D67EB8" w:rsidRPr="009118AB">
        <w:t> - § </w:t>
      </w:r>
      <w:r w:rsidRPr="009118AB">
        <w:t>1</w:t>
      </w:r>
      <w:r w:rsidR="00D67EB8" w:rsidRPr="009118AB">
        <w:t> - </w:t>
      </w:r>
      <w:r w:rsidRPr="009118AB">
        <w:t>Vorliegender Artikel ist anwendbar, wenn Anleihen, die spezifisch für Erwerb oder Erhaltung der eigenen Wohnung aufgenommen wurden, abgeschlossen wurden:</w:t>
      </w:r>
    </w:p>
    <w:p w14:paraId="30880A90" w14:textId="77777777" w:rsidR="00F92348" w:rsidRPr="009118AB" w:rsidRDefault="00F92348" w:rsidP="00F92348">
      <w:pPr>
        <w:jc w:val="both"/>
      </w:pPr>
    </w:p>
    <w:p w14:paraId="6E09FEFE" w14:textId="77777777" w:rsidR="00F92348" w:rsidRPr="009118AB" w:rsidRDefault="00F92348" w:rsidP="00F92348">
      <w:pPr>
        <w:jc w:val="both"/>
      </w:pPr>
      <w:r w:rsidRPr="009118AB">
        <w:tab/>
      </w:r>
      <w:r w:rsidRPr="009118AB">
        <w:rPr>
          <w:i/>
        </w:rPr>
        <w:t>a)</w:t>
      </w:r>
      <w:r w:rsidRPr="009118AB">
        <w:t> vor dem 1. Januar 2005,</w:t>
      </w:r>
    </w:p>
    <w:p w14:paraId="10883775" w14:textId="77777777" w:rsidR="00F92348" w:rsidRPr="009118AB" w:rsidRDefault="00F92348" w:rsidP="00F92348">
      <w:pPr>
        <w:jc w:val="both"/>
      </w:pPr>
    </w:p>
    <w:p w14:paraId="54C44D9B" w14:textId="77777777" w:rsidR="00F92348" w:rsidRPr="009118AB" w:rsidRDefault="00F92348" w:rsidP="00F92348">
      <w:pPr>
        <w:jc w:val="both"/>
      </w:pPr>
      <w:r w:rsidRPr="009118AB">
        <w:tab/>
      </w:r>
      <w:r w:rsidRPr="009118AB">
        <w:rPr>
          <w:i/>
        </w:rPr>
        <w:t>b)</w:t>
      </w:r>
      <w:r w:rsidRPr="009118AB">
        <w:t> ab dem 1. Januar 2005, wobei zu diesem Zeitpunkt für dieselbe Wohnung eine andere in Buchstabe </w:t>
      </w:r>
      <w:r w:rsidRPr="009118AB">
        <w:rPr>
          <w:i/>
        </w:rPr>
        <w:t>a)</w:t>
      </w:r>
      <w:r w:rsidRPr="009118AB">
        <w:t xml:space="preserve"> erwähnte Anleihe besteht, die für den in Artikel 14 erwähnten Abzug von Zinsen oder für die Anwendung des vorliegenden Artikels in Betracht kommt.</w:t>
      </w:r>
    </w:p>
    <w:p w14:paraId="09E225CD" w14:textId="77777777" w:rsidR="00F92348" w:rsidRPr="009118AB" w:rsidRDefault="00F92348" w:rsidP="00F92348">
      <w:pPr>
        <w:jc w:val="both"/>
      </w:pPr>
    </w:p>
    <w:p w14:paraId="43D0F1EE" w14:textId="00E0165C" w:rsidR="00F92348" w:rsidRPr="009118AB" w:rsidRDefault="00F92348" w:rsidP="00F92348">
      <w:pPr>
        <w:jc w:val="both"/>
      </w:pPr>
      <w:r w:rsidRPr="009118AB">
        <w:tab/>
      </w:r>
      <w:r w:rsidR="00D67EB8" w:rsidRPr="009118AB">
        <w:t>§ </w:t>
      </w:r>
      <w:r w:rsidRPr="009118AB">
        <w:t>2</w:t>
      </w:r>
      <w:r w:rsidR="00D67EB8" w:rsidRPr="009118AB">
        <w:t> - </w:t>
      </w:r>
      <w:r w:rsidRPr="009118AB">
        <w:t xml:space="preserve">In den in </w:t>
      </w:r>
      <w:r w:rsidR="00D67EB8" w:rsidRPr="009118AB">
        <w:t>§ </w:t>
      </w:r>
      <w:r w:rsidRPr="009118AB">
        <w:t>1 erwähnten Fällen wird eine Steuerermäßigung für folgende Ausgaben und Lasten gewährt, die während des Besteuerungszeitraums gezahlt oder getragen wurden:</w:t>
      </w:r>
    </w:p>
    <w:p w14:paraId="41DE03BD" w14:textId="77777777" w:rsidR="00F92348" w:rsidRPr="009118AB" w:rsidRDefault="00F92348" w:rsidP="00F92348">
      <w:pPr>
        <w:jc w:val="both"/>
      </w:pPr>
    </w:p>
    <w:p w14:paraId="7D42400D" w14:textId="4F228490" w:rsidR="00F92348" w:rsidRPr="009118AB" w:rsidRDefault="00F92348" w:rsidP="00F92348">
      <w:pPr>
        <w:jc w:val="both"/>
      </w:pPr>
      <w:r w:rsidRPr="009118AB">
        <w:tab/>
        <w:t xml:space="preserve">- Zinsen der in </w:t>
      </w:r>
      <w:r w:rsidR="00D67EB8" w:rsidRPr="009118AB">
        <w:t>§ </w:t>
      </w:r>
      <w:r w:rsidRPr="009118AB">
        <w:t>1 erwähnten Anleihen,</w:t>
      </w:r>
    </w:p>
    <w:p w14:paraId="71A01D1E" w14:textId="77777777" w:rsidR="00F92348" w:rsidRPr="009118AB" w:rsidRDefault="00F92348" w:rsidP="00F92348">
      <w:pPr>
        <w:jc w:val="both"/>
      </w:pPr>
    </w:p>
    <w:p w14:paraId="268A0568" w14:textId="2C70841A" w:rsidR="00F92348" w:rsidRPr="009118AB" w:rsidRDefault="00F92348" w:rsidP="00F92348">
      <w:pPr>
        <w:jc w:val="both"/>
      </w:pPr>
      <w:r w:rsidRPr="009118AB">
        <w:tab/>
        <w:t xml:space="preserve">- Gebühren und Wert damit gleichgesetzter Lasten für den Erwerb eines Erbpachtrechts, Erbbaurechts oder gleichartiger Rechte an unbeweglichen Gütern, die keine in Artikel 10 </w:t>
      </w:r>
      <w:r w:rsidR="00D67EB8" w:rsidRPr="009118AB">
        <w:t>§ </w:t>
      </w:r>
      <w:r w:rsidRPr="009118AB">
        <w:t>2 erwähnten Nutzungsrechte an der eigenen Wohnung sind, für die die im ersten Gedankenstrich erwähnten Zinsen gezahlt wurden.</w:t>
      </w:r>
    </w:p>
    <w:p w14:paraId="17FE23DA" w14:textId="77777777" w:rsidR="00F92348" w:rsidRPr="009118AB" w:rsidRDefault="00F92348" w:rsidP="00F92348">
      <w:pPr>
        <w:jc w:val="both"/>
      </w:pPr>
    </w:p>
    <w:p w14:paraId="0BB21719" w14:textId="77777777" w:rsidR="00F92348" w:rsidRPr="009118AB" w:rsidRDefault="00F92348" w:rsidP="00F92348">
      <w:pPr>
        <w:jc w:val="both"/>
      </w:pPr>
      <w:r w:rsidRPr="009118AB">
        <w:tab/>
        <w:t>Zinsen und Gebühren kommen für die Steuerermäßigung in Betracht, wenn die Wohnung, für die sie gezahlt oder getragen wurden, zu diesem Zeitpunkt die eigene Wohnung des Steuerpflichtigen ist, deren Einkommen vor Anwendung von Artikel 12 in den steuerpflichtigen Einkünften aus unbeweglichen Gütern des Steuerpflichtigen enthalten sind.</w:t>
      </w:r>
    </w:p>
    <w:p w14:paraId="4A2CD6B3" w14:textId="77777777" w:rsidR="00F92348" w:rsidRPr="009118AB" w:rsidRDefault="00F92348" w:rsidP="00F92348">
      <w:pPr>
        <w:jc w:val="both"/>
      </w:pPr>
    </w:p>
    <w:p w14:paraId="353568D8" w14:textId="77777777" w:rsidR="00F92348" w:rsidRPr="009118AB" w:rsidRDefault="00F92348" w:rsidP="00F92348">
      <w:pPr>
        <w:jc w:val="both"/>
      </w:pPr>
      <w:r w:rsidRPr="009118AB">
        <w:tab/>
        <w:t>Zinsen und Gebühren kommen für die Steuerermäßigung jedoch nur in Betracht in dem Maße, wie:</w:t>
      </w:r>
    </w:p>
    <w:p w14:paraId="5D03FBD0" w14:textId="77777777" w:rsidR="00F92348" w:rsidRPr="009118AB" w:rsidRDefault="00F92348" w:rsidP="00F92348">
      <w:pPr>
        <w:jc w:val="both"/>
      </w:pPr>
    </w:p>
    <w:p w14:paraId="7CE03021" w14:textId="77777777" w:rsidR="00F92348" w:rsidRPr="009118AB" w:rsidRDefault="00F92348" w:rsidP="00F92348">
      <w:pPr>
        <w:jc w:val="both"/>
      </w:pPr>
      <w:r w:rsidRPr="009118AB">
        <w:tab/>
        <w:t>1. sie nicht für die in Artikel 145</w:t>
      </w:r>
      <w:r w:rsidRPr="009118AB">
        <w:rPr>
          <w:vertAlign w:val="superscript"/>
        </w:rPr>
        <w:t>43</w:t>
      </w:r>
      <w:r w:rsidRPr="009118AB">
        <w:t xml:space="preserve"> erwähnte Steuerermäßigung berücksichtigt werden,</w:t>
      </w:r>
    </w:p>
    <w:p w14:paraId="3FA34C76" w14:textId="77777777" w:rsidR="00F92348" w:rsidRPr="009118AB" w:rsidRDefault="00F92348" w:rsidP="00F92348">
      <w:pPr>
        <w:jc w:val="both"/>
      </w:pPr>
    </w:p>
    <w:p w14:paraId="76B9290D" w14:textId="59BDFDF5" w:rsidR="00F92348" w:rsidRPr="009118AB" w:rsidRDefault="00F92348" w:rsidP="00F92348">
      <w:pPr>
        <w:jc w:val="both"/>
      </w:pPr>
      <w:r w:rsidRPr="009118AB">
        <w:tab/>
        <w:t xml:space="preserve">2. sie das gemäß den Artikeln 7 </w:t>
      </w:r>
      <w:r w:rsidR="00D67EB8" w:rsidRPr="009118AB">
        <w:t>§ </w:t>
      </w:r>
      <w:r w:rsidRPr="009118AB">
        <w:t xml:space="preserve">1 </w:t>
      </w:r>
      <w:r w:rsidR="00D67EB8" w:rsidRPr="009118AB">
        <w:t>Nr. </w:t>
      </w:r>
      <w:r w:rsidRPr="009118AB">
        <w:t>1 Buchstabe </w:t>
      </w:r>
      <w:r w:rsidRPr="009118AB">
        <w:rPr>
          <w:i/>
        </w:rPr>
        <w:t>a)</w:t>
      </w:r>
      <w:r w:rsidRPr="009118AB">
        <w:t xml:space="preserve"> erster Gedankenstrich, 8 bis 11, 13, 15 und 518 bestimmte Einkommen der eigenen Wohnung nicht übersteigen.</w:t>
      </w:r>
    </w:p>
    <w:p w14:paraId="3868BDED" w14:textId="77777777" w:rsidR="00F92348" w:rsidRPr="009118AB" w:rsidRDefault="00F92348" w:rsidP="00F92348">
      <w:pPr>
        <w:jc w:val="both"/>
      </w:pPr>
    </w:p>
    <w:p w14:paraId="254AFDA6" w14:textId="77777777" w:rsidR="00F92348" w:rsidRPr="009118AB" w:rsidRDefault="00F92348" w:rsidP="00F92348">
      <w:pPr>
        <w:jc w:val="both"/>
      </w:pPr>
      <w:r w:rsidRPr="009118AB">
        <w:tab/>
        <w:t>Die Steuerermäßigung beträgt 12,5 Prozent der berücksichtigten Zinsen und Gebühren.</w:t>
      </w:r>
    </w:p>
    <w:p w14:paraId="48F186E5" w14:textId="77777777" w:rsidR="00F92348" w:rsidRPr="009118AB" w:rsidRDefault="00F92348" w:rsidP="00F92348">
      <w:pPr>
        <w:jc w:val="both"/>
      </w:pPr>
    </w:p>
    <w:p w14:paraId="52086FC8" w14:textId="77777777" w:rsidR="00903D1D" w:rsidRPr="009118AB" w:rsidRDefault="00903D1D">
      <w:r w:rsidRPr="009118AB">
        <w:br w:type="page"/>
      </w:r>
    </w:p>
    <w:p w14:paraId="74D0E4DE" w14:textId="2FBBC885" w:rsidR="00F92348" w:rsidRPr="009118AB" w:rsidRDefault="00F92348" w:rsidP="00F92348">
      <w:pPr>
        <w:jc w:val="both"/>
      </w:pPr>
      <w:r w:rsidRPr="009118AB">
        <w:lastRenderedPageBreak/>
        <w:tab/>
        <w:t>Wird eine gemeinsame Veranlagung festgelegt, wird die Steuerermäßigung für beide Ehepartner zusammen berechnet. Die derart berechnete Steuerermäßigung wird entsprechend dem gemäß Artikel 130 besteuerten Einkommen jedes Ehepartners in der Gesamtheit der gemäß Artikel 130 besteuerten Einkünfte der beiden Ehep</w:t>
      </w:r>
      <w:r w:rsidR="00803E87" w:rsidRPr="009118AB">
        <w:t>artner proportional aufgeteilt.]</w:t>
      </w:r>
    </w:p>
    <w:p w14:paraId="0CE90526" w14:textId="77777777" w:rsidR="00803E87" w:rsidRPr="009118AB" w:rsidRDefault="00803E87" w:rsidP="00F92348">
      <w:pPr>
        <w:jc w:val="both"/>
      </w:pPr>
    </w:p>
    <w:p w14:paraId="627736E1" w14:textId="4A6CDE3B" w:rsidR="00803E87" w:rsidRPr="009118AB" w:rsidRDefault="00803E87" w:rsidP="00803E87">
      <w:pPr>
        <w:jc w:val="both"/>
        <w:rPr>
          <w:rFonts w:ascii="Times New Roman Italique" w:hAnsi="Times New Roman Italique"/>
          <w:i/>
        </w:rPr>
      </w:pPr>
      <w:r w:rsidRPr="009118AB">
        <w:rPr>
          <w:rFonts w:ascii="Times New Roman Italique" w:hAnsi="Times New Roman Italique"/>
          <w:i/>
        </w:rPr>
        <w:t>[</w:t>
      </w:r>
      <w:r w:rsidR="00D67EB8" w:rsidRPr="009118AB">
        <w:rPr>
          <w:rFonts w:ascii="Times New Roman Italique" w:hAnsi="Times New Roman Italique"/>
          <w:i/>
        </w:rPr>
        <w:t>Art. </w:t>
      </w:r>
      <w:r w:rsidRPr="009118AB">
        <w:rPr>
          <w:rFonts w:ascii="Times New Roman Italique" w:hAnsi="Times New Roman Italique"/>
          <w:i/>
        </w:rPr>
        <w:t>145</w:t>
      </w:r>
      <w:r w:rsidRPr="009118AB">
        <w:rPr>
          <w:rFonts w:ascii="Times New Roman Italique" w:hAnsi="Times New Roman Italique"/>
          <w:i/>
          <w:vertAlign w:val="superscript"/>
        </w:rPr>
        <w:t>44</w:t>
      </w:r>
      <w:r w:rsidRPr="009118AB">
        <w:rPr>
          <w:rFonts w:ascii="Times New Roman Italique" w:hAnsi="Times New Roman Italique"/>
          <w:i/>
        </w:rPr>
        <w:t xml:space="preserve"> eingefügt durch </w:t>
      </w:r>
      <w:r w:rsidR="00D67EB8" w:rsidRPr="009118AB">
        <w:rPr>
          <w:rFonts w:ascii="Times New Roman Italique" w:hAnsi="Times New Roman Italique"/>
          <w:i/>
        </w:rPr>
        <w:t>Art. </w:t>
      </w:r>
      <w:r w:rsidRPr="009118AB">
        <w:rPr>
          <w:rFonts w:ascii="Times New Roman Italique" w:hAnsi="Times New Roman Italique"/>
          <w:i/>
        </w:rPr>
        <w:t>51 des G. vom 8. Mai 2014 (B.S. vom 28. Mai 2014)</w:t>
      </w:r>
      <w:r w:rsidR="00D67EB8" w:rsidRPr="009118AB">
        <w:rPr>
          <w:rFonts w:ascii="Times New Roman Italique" w:hAnsi="Times New Roman Italique"/>
          <w:i/>
        </w:rPr>
        <w:t> - </w:t>
      </w:r>
      <w:r w:rsidRPr="009118AB">
        <w:rPr>
          <w:rFonts w:ascii="Times New Roman Italique" w:hAnsi="Times New Roman Italique"/>
          <w:i/>
          <w:iCs/>
        </w:rPr>
        <w:t>anwendbar ab dem Steuerjahr 2015</w:t>
      </w:r>
      <w:r w:rsidR="00FD68E8" w:rsidRPr="009118AB">
        <w:rPr>
          <w:rFonts w:ascii="Times New Roman Italique" w:hAnsi="Times New Roman Italique"/>
          <w:i/>
          <w:iCs/>
        </w:rPr>
        <w:t> -]</w:t>
      </w:r>
    </w:p>
    <w:p w14:paraId="128138CC" w14:textId="77777777" w:rsidR="00803E87" w:rsidRPr="009118AB" w:rsidRDefault="00803E87" w:rsidP="00F92348">
      <w:pPr>
        <w:jc w:val="both"/>
        <w:rPr>
          <w:i/>
        </w:rPr>
      </w:pPr>
    </w:p>
    <w:p w14:paraId="026CA289" w14:textId="77777777" w:rsidR="00F92348" w:rsidRPr="009118AB" w:rsidRDefault="00F92348" w:rsidP="00F92348">
      <w:pPr>
        <w:jc w:val="both"/>
      </w:pPr>
    </w:p>
    <w:p w14:paraId="1CA40CA2" w14:textId="51BAC495" w:rsidR="00F92348" w:rsidRPr="009118AB" w:rsidRDefault="00F92348" w:rsidP="00F92348">
      <w:pPr>
        <w:jc w:val="both"/>
      </w:pPr>
      <w:r w:rsidRPr="009118AB">
        <w:tab/>
      </w:r>
      <w:r w:rsidR="00803E87" w:rsidRPr="009118AB">
        <w:t>[</w:t>
      </w:r>
      <w:r w:rsidR="00D67EB8" w:rsidRPr="009118AB">
        <w:rPr>
          <w:b/>
        </w:rPr>
        <w:t>Art. </w:t>
      </w:r>
      <w:r w:rsidRPr="009118AB">
        <w:rPr>
          <w:b/>
        </w:rPr>
        <w:t>145</w:t>
      </w:r>
      <w:r w:rsidRPr="009118AB">
        <w:rPr>
          <w:b/>
          <w:vertAlign w:val="superscript"/>
        </w:rPr>
        <w:t>45</w:t>
      </w:r>
      <w:r w:rsidR="00D67EB8" w:rsidRPr="009118AB">
        <w:t> - § </w:t>
      </w:r>
      <w:r w:rsidRPr="009118AB">
        <w:t>1</w:t>
      </w:r>
      <w:r w:rsidR="00D67EB8" w:rsidRPr="009118AB">
        <w:t> - </w:t>
      </w:r>
      <w:r w:rsidRPr="009118AB">
        <w:t>Vorliegender Artikel ist anwendbar, wenn:</w:t>
      </w:r>
    </w:p>
    <w:p w14:paraId="5C85526F" w14:textId="77777777" w:rsidR="00F92348" w:rsidRPr="009118AB" w:rsidRDefault="00F92348" w:rsidP="00F92348">
      <w:pPr>
        <w:jc w:val="both"/>
      </w:pPr>
    </w:p>
    <w:p w14:paraId="01B843EB" w14:textId="77777777" w:rsidR="00F92348" w:rsidRPr="009118AB" w:rsidRDefault="00F92348" w:rsidP="00F92348">
      <w:pPr>
        <w:jc w:val="both"/>
      </w:pPr>
      <w:r w:rsidRPr="009118AB">
        <w:tab/>
        <w:t>1. Anleihen, die für Erwerb oder Erhaltung der Wohnung, die am 31. Dezember des Besteuerungszeitraums die einzige Wohnung des Steuerpflichtigen ist, aufgenommen wurden, abgeschlossen wurden:</w:t>
      </w:r>
    </w:p>
    <w:p w14:paraId="15124ED0" w14:textId="77777777" w:rsidR="00F92348" w:rsidRPr="009118AB" w:rsidRDefault="00F92348" w:rsidP="00F92348">
      <w:pPr>
        <w:jc w:val="both"/>
      </w:pPr>
    </w:p>
    <w:p w14:paraId="7A663D21" w14:textId="77777777" w:rsidR="00F92348" w:rsidRPr="009118AB" w:rsidRDefault="00F92348" w:rsidP="00F92348">
      <w:pPr>
        <w:jc w:val="both"/>
      </w:pPr>
      <w:r w:rsidRPr="009118AB">
        <w:tab/>
      </w:r>
      <w:r w:rsidRPr="009118AB">
        <w:rPr>
          <w:i/>
        </w:rPr>
        <w:t>a)</w:t>
      </w:r>
      <w:r w:rsidRPr="009118AB">
        <w:t> ab dem 1. Mai 1986 und vor dem 1. Januar 2005,</w:t>
      </w:r>
    </w:p>
    <w:p w14:paraId="3F441B57" w14:textId="77777777" w:rsidR="00F92348" w:rsidRPr="009118AB" w:rsidRDefault="00F92348" w:rsidP="00F92348">
      <w:pPr>
        <w:jc w:val="both"/>
      </w:pPr>
    </w:p>
    <w:p w14:paraId="32D9B84A" w14:textId="77777777" w:rsidR="00F92348" w:rsidRPr="009118AB" w:rsidRDefault="00F92348" w:rsidP="00F92348">
      <w:pPr>
        <w:jc w:val="both"/>
      </w:pPr>
      <w:r w:rsidRPr="009118AB">
        <w:tab/>
      </w:r>
      <w:r w:rsidRPr="009118AB">
        <w:rPr>
          <w:i/>
        </w:rPr>
        <w:t>b)</w:t>
      </w:r>
      <w:r w:rsidRPr="009118AB">
        <w:t> ab dem 1. Januar 2005, wobei zu diesem Zeitpunkt für dieselbe Wohnung eine andere Hypothekenanleihe besteht, die für den Abzug von Zinsen von Hypothekenanleihen oder für das Bausparen in Betracht kommt,</w:t>
      </w:r>
    </w:p>
    <w:p w14:paraId="657FC6FF" w14:textId="77777777" w:rsidR="00F92348" w:rsidRPr="009118AB" w:rsidRDefault="00F92348" w:rsidP="00F92348">
      <w:pPr>
        <w:jc w:val="both"/>
      </w:pPr>
    </w:p>
    <w:p w14:paraId="720215DA" w14:textId="77777777" w:rsidR="00F92348" w:rsidRPr="009118AB" w:rsidRDefault="00F92348" w:rsidP="00F92348">
      <w:pPr>
        <w:jc w:val="both"/>
      </w:pPr>
      <w:r w:rsidRPr="009118AB">
        <w:tab/>
        <w:t>2. die Wohnung, für die die Hypothekenanleihen aufgenommen wurden, zum Zeitpunkt der Zahlung der Zinsen die eigene Wohnung des Steuerpflichtigen ist.</w:t>
      </w:r>
    </w:p>
    <w:p w14:paraId="550D37A4" w14:textId="77777777" w:rsidR="00F92348" w:rsidRPr="009118AB" w:rsidRDefault="00F92348" w:rsidP="00F92348">
      <w:pPr>
        <w:jc w:val="both"/>
      </w:pPr>
    </w:p>
    <w:p w14:paraId="771C7AB2" w14:textId="0B389B61" w:rsidR="00F92348" w:rsidRPr="009118AB" w:rsidRDefault="00F92348" w:rsidP="00F92348">
      <w:pPr>
        <w:jc w:val="both"/>
      </w:pPr>
      <w:r w:rsidRPr="009118AB">
        <w:tab/>
        <w:t xml:space="preserve">Für die Anwendung von Absatz 1 </w:t>
      </w:r>
      <w:r w:rsidR="00D67EB8" w:rsidRPr="009118AB">
        <w:t>Nr. </w:t>
      </w:r>
      <w:r w:rsidRPr="009118AB">
        <w:t>1 Buchstabe </w:t>
      </w:r>
      <w:r w:rsidRPr="009118AB">
        <w:rPr>
          <w:i/>
        </w:rPr>
        <w:t>b)</w:t>
      </w:r>
      <w:r w:rsidRPr="009118AB">
        <w:t xml:space="preserve"> gilt als:</w:t>
      </w:r>
    </w:p>
    <w:p w14:paraId="1A9C02FD" w14:textId="77777777" w:rsidR="00F92348" w:rsidRPr="009118AB" w:rsidRDefault="00F92348" w:rsidP="00F92348">
      <w:pPr>
        <w:jc w:val="both"/>
      </w:pPr>
    </w:p>
    <w:p w14:paraId="6E2B755B" w14:textId="40A73CB1" w:rsidR="00F92348" w:rsidRPr="009118AB" w:rsidRDefault="00F92348" w:rsidP="00F92348">
      <w:pPr>
        <w:jc w:val="both"/>
      </w:pPr>
      <w:r w:rsidRPr="009118AB">
        <w:tab/>
        <w:t xml:space="preserve">1. Abzug von Zinsen von Hypothekenanleihen: der Steuervorteil erwähnt in Artikel 104 </w:t>
      </w:r>
      <w:r w:rsidR="00D67EB8" w:rsidRPr="009118AB">
        <w:t>Nr. </w:t>
      </w:r>
      <w:r w:rsidRPr="009118AB">
        <w:t>9, so wie er vor seiner Abänderung durch das Programmgesetz vom 27. Dezember 2004 bestand und aufgrund von Artikel 526 anwendbar geblieben ist, und erwähnt in vorliegendem Artikel,</w:t>
      </w:r>
    </w:p>
    <w:p w14:paraId="14420EE9" w14:textId="77777777" w:rsidR="00F92348" w:rsidRPr="009118AB" w:rsidRDefault="00F92348" w:rsidP="00F92348">
      <w:pPr>
        <w:jc w:val="both"/>
      </w:pPr>
    </w:p>
    <w:p w14:paraId="4542B505" w14:textId="4F5F9111" w:rsidR="00F92348" w:rsidRPr="009118AB" w:rsidRDefault="00F92348" w:rsidP="00F92348">
      <w:pPr>
        <w:jc w:val="both"/>
      </w:pPr>
      <w:r w:rsidRPr="009118AB">
        <w:tab/>
        <w:t>2. Bausparen: die erhöhte Ermäßigung erwähnt in den Artikeln 145</w:t>
      </w:r>
      <w:r w:rsidRPr="009118AB">
        <w:rPr>
          <w:vertAlign w:val="superscript"/>
        </w:rPr>
        <w:t>17</w:t>
      </w:r>
      <w:r w:rsidRPr="009118AB">
        <w:t xml:space="preserve"> bis 145</w:t>
      </w:r>
      <w:r w:rsidRPr="009118AB">
        <w:rPr>
          <w:vertAlign w:val="superscript"/>
        </w:rPr>
        <w:t>20</w:t>
      </w:r>
      <w:r w:rsidRPr="009118AB">
        <w:t>, so wie sie vor ihrer Aufhebung durch Artikel 400 des Programmgesetzes vom 27. Dezember 2004 bestanden und aufgrund von Artikel 526 anwendbar geblieben sind, und erwähnt in Artikel 145</w:t>
      </w:r>
      <w:r w:rsidRPr="009118AB">
        <w:rPr>
          <w:vertAlign w:val="superscript"/>
        </w:rPr>
        <w:t>41</w:t>
      </w:r>
      <w:r w:rsidRPr="009118AB">
        <w:t xml:space="preserve"> Absatz 2 </w:t>
      </w:r>
      <w:r w:rsidR="00D67EB8" w:rsidRPr="009118AB">
        <w:t>Nr. </w:t>
      </w:r>
      <w:r w:rsidRPr="009118AB">
        <w:t>3 und Artikel 145</w:t>
      </w:r>
      <w:r w:rsidRPr="009118AB">
        <w:rPr>
          <w:vertAlign w:val="superscript"/>
        </w:rPr>
        <w:t>42</w:t>
      </w:r>
      <w:r w:rsidRPr="009118AB">
        <w:t xml:space="preserve"> Absatz 2.</w:t>
      </w:r>
    </w:p>
    <w:p w14:paraId="2B275962" w14:textId="77777777" w:rsidR="00F92348" w:rsidRPr="009118AB" w:rsidRDefault="00F92348" w:rsidP="00F92348">
      <w:pPr>
        <w:jc w:val="both"/>
      </w:pPr>
    </w:p>
    <w:p w14:paraId="1F9CD2E7" w14:textId="7AD10F52" w:rsidR="00F92348" w:rsidRPr="009118AB" w:rsidRDefault="00F92348" w:rsidP="00F92348">
      <w:pPr>
        <w:jc w:val="both"/>
      </w:pPr>
      <w:r w:rsidRPr="009118AB">
        <w:tab/>
      </w:r>
      <w:r w:rsidR="00D67EB8" w:rsidRPr="009118AB">
        <w:t>§ </w:t>
      </w:r>
      <w:r w:rsidRPr="009118AB">
        <w:t>2</w:t>
      </w:r>
      <w:r w:rsidR="00D67EB8" w:rsidRPr="009118AB">
        <w:t> - </w:t>
      </w:r>
      <w:r w:rsidRPr="009118AB">
        <w:t xml:space="preserve">Für Zinsen der in </w:t>
      </w:r>
      <w:r w:rsidR="00D67EB8" w:rsidRPr="009118AB">
        <w:t>§ </w:t>
      </w:r>
      <w:r w:rsidRPr="009118AB">
        <w:t>1 erwähnten Hypothekenanleihen, die zum Zeitpunkt gezahlt worden sind, zu dem die Wohnung, für die die Anleihen aufgenommen wurden, die eigene Wohnung des Steuerpflichtigen ist, wird eine Steuerermäßigung unter folgenden Bedingungen gewährt:</w:t>
      </w:r>
    </w:p>
    <w:p w14:paraId="5E53BAA3" w14:textId="77777777" w:rsidR="00F92348" w:rsidRPr="009118AB" w:rsidRDefault="00F92348" w:rsidP="00F92348">
      <w:pPr>
        <w:jc w:val="both"/>
      </w:pPr>
    </w:p>
    <w:p w14:paraId="4D2BED6F" w14:textId="77777777" w:rsidR="00F92348" w:rsidRPr="009118AB" w:rsidRDefault="00F92348" w:rsidP="00F92348">
      <w:pPr>
        <w:jc w:val="both"/>
      </w:pPr>
      <w:r w:rsidRPr="009118AB">
        <w:tab/>
        <w:t>1. Die Hypothekenanleihe wird für eine Mindestdauer von zehn Jahren aufgenommen.</w:t>
      </w:r>
    </w:p>
    <w:p w14:paraId="29409C95" w14:textId="77777777" w:rsidR="00F92348" w:rsidRPr="009118AB" w:rsidRDefault="00F92348" w:rsidP="00F92348">
      <w:pPr>
        <w:jc w:val="both"/>
      </w:pPr>
    </w:p>
    <w:p w14:paraId="2EC3D121" w14:textId="77777777" w:rsidR="00F92348" w:rsidRPr="009118AB" w:rsidRDefault="00F92348" w:rsidP="00F92348">
      <w:pPr>
        <w:jc w:val="both"/>
      </w:pPr>
      <w:r w:rsidRPr="009118AB">
        <w:tab/>
        <w:t>2. Die Hypothekenanleihe wird vom Steuerpflichtigen aufgenommen, um eine im Europäischen Wirtschaftsraum gelegene Wohnung, die am 31. Dezember des Besteuerungs</w:t>
      </w:r>
      <w:r w:rsidRPr="009118AB">
        <w:softHyphen/>
        <w:t>zeitraums die einzige Wohnung im Besitz des Steuerpflichtigen ist,</w:t>
      </w:r>
    </w:p>
    <w:p w14:paraId="293AA007" w14:textId="77777777" w:rsidR="00F92348" w:rsidRPr="009118AB" w:rsidRDefault="00F92348" w:rsidP="00F92348">
      <w:pPr>
        <w:jc w:val="both"/>
      </w:pPr>
    </w:p>
    <w:p w14:paraId="4919F97E" w14:textId="77777777" w:rsidR="00F92348" w:rsidRPr="009118AB" w:rsidRDefault="00F92348" w:rsidP="00F92348">
      <w:pPr>
        <w:jc w:val="both"/>
      </w:pPr>
      <w:r w:rsidRPr="009118AB">
        <w:tab/>
      </w:r>
      <w:r w:rsidRPr="009118AB">
        <w:rPr>
          <w:i/>
        </w:rPr>
        <w:t>a)</w:t>
      </w:r>
      <w:r w:rsidRPr="009118AB">
        <w:t> zu bauen,</w:t>
      </w:r>
    </w:p>
    <w:p w14:paraId="04854585" w14:textId="77777777" w:rsidR="00F92348" w:rsidRPr="009118AB" w:rsidRDefault="00F92348" w:rsidP="00F92348">
      <w:pPr>
        <w:jc w:val="both"/>
      </w:pPr>
    </w:p>
    <w:p w14:paraId="07C8C4A1" w14:textId="77777777" w:rsidR="00F92348" w:rsidRPr="009118AB" w:rsidRDefault="00F92348" w:rsidP="00F92348">
      <w:pPr>
        <w:jc w:val="both"/>
      </w:pPr>
      <w:r w:rsidRPr="009118AB">
        <w:lastRenderedPageBreak/>
        <w:tab/>
      </w:r>
      <w:r w:rsidRPr="009118AB">
        <w:rPr>
          <w:i/>
        </w:rPr>
        <w:t>b)</w:t>
      </w:r>
      <w:r w:rsidRPr="009118AB">
        <w:t> in Neuzustand zu erwerben; diese Bedingung ist erfüllt, wenn der Verkäufer dem Steuerpflichtigen die Wohnung unter Anwendung der Mehrwertsteuer abtritt,</w:t>
      </w:r>
    </w:p>
    <w:p w14:paraId="3C2C08A4" w14:textId="77777777" w:rsidR="00F92348" w:rsidRPr="009118AB" w:rsidRDefault="00F92348" w:rsidP="00F92348">
      <w:pPr>
        <w:jc w:val="both"/>
      </w:pPr>
    </w:p>
    <w:p w14:paraId="00543F3E" w14:textId="77777777" w:rsidR="00F92348" w:rsidRPr="009118AB" w:rsidRDefault="00F92348" w:rsidP="00F92348">
      <w:pPr>
        <w:jc w:val="both"/>
      </w:pPr>
      <w:r w:rsidRPr="009118AB">
        <w:tab/>
      </w:r>
      <w:r w:rsidRPr="009118AB">
        <w:rPr>
          <w:i/>
        </w:rPr>
        <w:t>c)</w:t>
      </w:r>
      <w:r w:rsidRPr="009118AB">
        <w:t> ganz oder teilweise zu renovieren, unter der Bedingung, dass das Gut bewohnt ist:</w:t>
      </w:r>
    </w:p>
    <w:p w14:paraId="3B0AE1D3" w14:textId="77777777" w:rsidR="00F92348" w:rsidRPr="009118AB" w:rsidRDefault="00F92348" w:rsidP="00F92348">
      <w:pPr>
        <w:jc w:val="both"/>
      </w:pPr>
    </w:p>
    <w:p w14:paraId="2B862D41" w14:textId="77777777" w:rsidR="00F92348" w:rsidRPr="009118AB" w:rsidRDefault="00F92348" w:rsidP="00F92348">
      <w:pPr>
        <w:jc w:val="both"/>
      </w:pPr>
      <w:r w:rsidRPr="009118AB">
        <w:tab/>
        <w:t>- seit mindestens zwanzig Jahren bei Abschluss des Anleihevertrags für die vor dem 1. November 1995 aufgenommenen Hypothekenanleihen,</w:t>
      </w:r>
    </w:p>
    <w:p w14:paraId="5582D10E" w14:textId="77777777" w:rsidR="00F92348" w:rsidRPr="009118AB" w:rsidRDefault="00F92348" w:rsidP="00F92348">
      <w:pPr>
        <w:jc w:val="both"/>
      </w:pPr>
    </w:p>
    <w:p w14:paraId="169AFA01" w14:textId="77777777" w:rsidR="00F92348" w:rsidRPr="009118AB" w:rsidRDefault="00F92348" w:rsidP="00F92348">
      <w:pPr>
        <w:jc w:val="both"/>
      </w:pPr>
      <w:r w:rsidRPr="009118AB">
        <w:tab/>
        <w:t>- seit mindestens fünfzehn Jahren bei Abschluss des Anleihevertrags für die ab dem 1. November 1995 aufgenommenen Hypothekenanleihen.</w:t>
      </w:r>
    </w:p>
    <w:p w14:paraId="5275ABC3" w14:textId="77777777" w:rsidR="00F92348" w:rsidRPr="009118AB" w:rsidRDefault="00F92348" w:rsidP="00F92348">
      <w:pPr>
        <w:jc w:val="both"/>
      </w:pPr>
    </w:p>
    <w:p w14:paraId="074B48E9" w14:textId="77777777" w:rsidR="00F92348" w:rsidRPr="009118AB" w:rsidRDefault="00F92348" w:rsidP="00F92348">
      <w:pPr>
        <w:jc w:val="both"/>
      </w:pPr>
      <w:r w:rsidRPr="009118AB">
        <w:tab/>
        <w:t>3. In Bezug auf die vollständige oder teilweise Renovierung der Wohnung:</w:t>
      </w:r>
    </w:p>
    <w:p w14:paraId="6E38C9CA" w14:textId="77777777" w:rsidR="00F92348" w:rsidRPr="009118AB" w:rsidRDefault="00F92348" w:rsidP="00F92348">
      <w:pPr>
        <w:jc w:val="both"/>
      </w:pPr>
    </w:p>
    <w:p w14:paraId="13A23E9A" w14:textId="1E05AF34" w:rsidR="00F92348" w:rsidRPr="009118AB" w:rsidRDefault="00F92348" w:rsidP="00F92348">
      <w:pPr>
        <w:jc w:val="both"/>
      </w:pPr>
      <w:r w:rsidRPr="009118AB">
        <w:tab/>
      </w:r>
      <w:r w:rsidRPr="009118AB">
        <w:rPr>
          <w:i/>
        </w:rPr>
        <w:t>a)</w:t>
      </w:r>
      <w:r w:rsidRPr="009118AB">
        <w:t xml:space="preserve"> müssen die Gesamtkosten der Arbeiten einschließlich Mehrwertsteuer mindestens 19.800 EUR betragen; wenn der gemäß </w:t>
      </w:r>
      <w:r w:rsidR="00D67EB8" w:rsidRPr="009118AB">
        <w:t>§ </w:t>
      </w:r>
      <w:r w:rsidRPr="009118AB">
        <w:t>3 Absatz 2 berechnete Teilbetrag der Anleihe höher als die Gesamtkosten der Arbeiten ist, wird dieser Teilbetrag jedoch nur in Höhe des Betrags dieser Kosten berücksichtigt,</w:t>
      </w:r>
    </w:p>
    <w:p w14:paraId="524842EE" w14:textId="77777777" w:rsidR="00F92348" w:rsidRPr="009118AB" w:rsidRDefault="00F92348" w:rsidP="00F92348">
      <w:pPr>
        <w:jc w:val="both"/>
      </w:pPr>
    </w:p>
    <w:p w14:paraId="393C8C03" w14:textId="77777777" w:rsidR="00F92348" w:rsidRPr="009118AB" w:rsidRDefault="00F92348" w:rsidP="00F92348">
      <w:pPr>
        <w:jc w:val="both"/>
      </w:pPr>
      <w:r w:rsidRPr="009118AB">
        <w:tab/>
      </w:r>
      <w:r w:rsidRPr="009118AB">
        <w:rPr>
          <w:i/>
        </w:rPr>
        <w:t>b)</w:t>
      </w:r>
      <w:r w:rsidRPr="009118AB">
        <w:t> werden Leistungen in Bezug auf diese Arbeiten, deren Art vom König bestimmt wird, für den Steuerpflichtigen erbracht und ihm in Rechnung gestellt.</w:t>
      </w:r>
    </w:p>
    <w:p w14:paraId="62D429FA" w14:textId="77777777" w:rsidR="00F92348" w:rsidRPr="009118AB" w:rsidRDefault="00F92348" w:rsidP="00F92348">
      <w:pPr>
        <w:jc w:val="both"/>
      </w:pPr>
    </w:p>
    <w:p w14:paraId="005B4254" w14:textId="2C47C466" w:rsidR="00F92348" w:rsidRPr="009118AB" w:rsidRDefault="00F92348" w:rsidP="00F92348">
      <w:pPr>
        <w:jc w:val="both"/>
      </w:pPr>
      <w:r w:rsidRPr="009118AB">
        <w:tab/>
      </w:r>
      <w:r w:rsidR="00D67EB8" w:rsidRPr="009118AB">
        <w:t>§ </w:t>
      </w:r>
      <w:r w:rsidRPr="009118AB">
        <w:t>3</w:t>
      </w:r>
      <w:r w:rsidR="00D67EB8" w:rsidRPr="009118AB">
        <w:t> - </w:t>
      </w:r>
      <w:r w:rsidRPr="009118AB">
        <w:t xml:space="preserve">In </w:t>
      </w:r>
      <w:r w:rsidR="00D67EB8" w:rsidRPr="009118AB">
        <w:t>§ </w:t>
      </w:r>
      <w:r w:rsidRPr="009118AB">
        <w:t>2 erwähnte Zinsen kommen für die Steuerermäßigung nur in Betracht in dem Maße, wie diese Zinsen zusammen mit den anderen in Artikel 145</w:t>
      </w:r>
      <w:r w:rsidRPr="009118AB">
        <w:rPr>
          <w:vertAlign w:val="superscript"/>
        </w:rPr>
        <w:t>43</w:t>
      </w:r>
      <w:r w:rsidRPr="009118AB">
        <w:t xml:space="preserve"> Absatz 1 erwähnten Zinsen und Gebühren das Nettoeinkommen aus den unbeweglichen Gütern des Steuerpflichtigen, erhöht um das gemäß den Artikeln 7 bis 11, 13, 15 und 518 bestimmte steuerpflichtige Einkommen der eigenen Wohnung, übersteigen. Wird eine gemeinsame Veranlagung festgelegt, werden die in Artikel 145</w:t>
      </w:r>
      <w:r w:rsidRPr="009118AB">
        <w:rPr>
          <w:vertAlign w:val="superscript"/>
        </w:rPr>
        <w:t>43</w:t>
      </w:r>
      <w:r w:rsidRPr="009118AB">
        <w:t xml:space="preserve"> Absatz 1 erwähnten Zinsen und Gebühren und das Einkommen aus den unbeweglichen Gütern der beiden Ehepartner zusammen berücksichtigt.</w:t>
      </w:r>
    </w:p>
    <w:p w14:paraId="480C3036" w14:textId="77777777" w:rsidR="00F92348" w:rsidRPr="009118AB" w:rsidRDefault="00F92348" w:rsidP="00F92348">
      <w:pPr>
        <w:jc w:val="both"/>
      </w:pPr>
    </w:p>
    <w:p w14:paraId="16A25B17" w14:textId="77777777" w:rsidR="00F92348" w:rsidRPr="009118AB" w:rsidRDefault="00F92348" w:rsidP="00F92348">
      <w:pPr>
        <w:jc w:val="both"/>
      </w:pPr>
      <w:r w:rsidRPr="009118AB">
        <w:tab/>
        <w:t>Darüber hinaus kommen die gemäß vorhergehendem Absatz begrenzten Zinsen für die Steuerermäßigung nur in Betracht in dem Maße, wie sie sich bei einer zu bauenden oder in Neustand zu erwerbenden Wohnung auf den ersten Teilbetrag von 50.000 EUR, 52.500 EUR, 55.000 EUR, 60.000 EUR oder 65.000 EUR des Anfangsbetrags der Anleihen oder bei einer zu renovierenden Wohnung auf den ersten Teilbetrag von 25.000 EUR, 26.250 EUR, 27.500 EUR, 30.000 EUR oder 32.500 EUR beziehen, je nachdem ob der Steuerpflichtige am 1. Januar des Jahres nach dem Jahr des Abschlusses des Anleihevertrags kein Kind oder ein, zwei, drei beziehungsweise mehr als drei Kinder zu Lasten hat.</w:t>
      </w:r>
    </w:p>
    <w:p w14:paraId="6D8D508D" w14:textId="77777777" w:rsidR="00F92348" w:rsidRPr="009118AB" w:rsidRDefault="00F92348" w:rsidP="00F92348">
      <w:pPr>
        <w:jc w:val="both"/>
      </w:pPr>
    </w:p>
    <w:p w14:paraId="61583133" w14:textId="1972AF8D" w:rsidR="00F92348" w:rsidRPr="009118AB" w:rsidRDefault="00F92348" w:rsidP="00F92348">
      <w:pPr>
        <w:jc w:val="both"/>
      </w:pPr>
      <w:r w:rsidRPr="009118AB">
        <w:tab/>
      </w:r>
      <w:r w:rsidR="00D67EB8" w:rsidRPr="009118AB">
        <w:t>§ </w:t>
      </w:r>
      <w:r w:rsidRPr="009118AB">
        <w:t>4</w:t>
      </w:r>
      <w:r w:rsidR="00D67EB8" w:rsidRPr="009118AB">
        <w:t> - </w:t>
      </w:r>
      <w:r w:rsidRPr="009118AB">
        <w:t>Der Vorteil wird während höchstens zwölf aufeinander folgender Besteuerungszeiträume gewährt, in denen das Einkommen der Wohnung, für die die Anleihen aufgenommen wurden, in dem gemäß den Artikeln 7 bis 11, 13 und 15 bestimmten Einkommen aus den unbeweglichen Gütern enthalten ist.</w:t>
      </w:r>
    </w:p>
    <w:p w14:paraId="0F6454A9" w14:textId="77777777" w:rsidR="00F92348" w:rsidRPr="009118AB" w:rsidRDefault="00F92348" w:rsidP="00F92348">
      <w:pPr>
        <w:jc w:val="both"/>
      </w:pPr>
    </w:p>
    <w:p w14:paraId="171096C9" w14:textId="04F7A612" w:rsidR="00F92348" w:rsidRPr="009118AB" w:rsidRDefault="00F92348" w:rsidP="00F92348">
      <w:pPr>
        <w:jc w:val="both"/>
      </w:pPr>
      <w:r w:rsidRPr="009118AB">
        <w:tab/>
        <w:t>Für jeden der ersten fünf Besteuerungszeiträume wird die Steuerermäßigung zu den gemäß Artikel 145</w:t>
      </w:r>
      <w:r w:rsidRPr="009118AB">
        <w:rPr>
          <w:vertAlign w:val="superscript"/>
        </w:rPr>
        <w:t>37</w:t>
      </w:r>
      <w:r w:rsidRPr="009118AB">
        <w:t xml:space="preserve"> </w:t>
      </w:r>
      <w:r w:rsidR="00D67EB8" w:rsidRPr="009118AB">
        <w:t>§ </w:t>
      </w:r>
      <w:r w:rsidRPr="009118AB">
        <w:t xml:space="preserve">3 bestimmten Satz auf 80 Prozent des gemäß </w:t>
      </w:r>
      <w:r w:rsidR="00D67EB8" w:rsidRPr="009118AB">
        <w:t>§ </w:t>
      </w:r>
      <w:r w:rsidRPr="009118AB">
        <w:t>3 bestimmten Betrags der Zinsen berechnet und für jeden der sieben folgenden Besteuerungszeiträume auf 70, 60, 50, 40, 30, 20 beziehungsweise 10 Prozent dieser Zinsen.</w:t>
      </w:r>
    </w:p>
    <w:p w14:paraId="72756A1E" w14:textId="77777777" w:rsidR="00F92348" w:rsidRPr="009118AB" w:rsidRDefault="00F92348" w:rsidP="00F92348">
      <w:pPr>
        <w:jc w:val="both"/>
      </w:pPr>
    </w:p>
    <w:p w14:paraId="1D74FD95" w14:textId="3791BCE0" w:rsidR="00F92348" w:rsidRPr="009118AB" w:rsidRDefault="00F92348" w:rsidP="00F92348">
      <w:pPr>
        <w:jc w:val="both"/>
      </w:pPr>
      <w:r w:rsidRPr="009118AB">
        <w:tab/>
      </w:r>
      <w:r w:rsidR="00D67EB8" w:rsidRPr="009118AB">
        <w:t>§ </w:t>
      </w:r>
      <w:r w:rsidRPr="009118AB">
        <w:t>5</w:t>
      </w:r>
      <w:r w:rsidR="00D67EB8" w:rsidRPr="009118AB">
        <w:t> - </w:t>
      </w:r>
      <w:r w:rsidRPr="009118AB">
        <w:t xml:space="preserve">Wird eine gemeinsame Veranlagung festgelegt, wird der Betrag, auf den die Steuerermäßigung berechnet wird, entsprechend dem gemäß Artikel 130 besteuerten </w:t>
      </w:r>
      <w:r w:rsidRPr="009118AB">
        <w:lastRenderedPageBreak/>
        <w:t>Einkommen jedes Ehepartners in der Gesamtheit der gemäß Artikel 130 besteuerten Einkünfte der beiden Ehepartner proportional aufgeteilt.</w:t>
      </w:r>
    </w:p>
    <w:p w14:paraId="2C30FA32" w14:textId="77777777" w:rsidR="00F92348" w:rsidRPr="009118AB" w:rsidRDefault="00F92348" w:rsidP="00F92348">
      <w:pPr>
        <w:jc w:val="both"/>
      </w:pPr>
    </w:p>
    <w:p w14:paraId="6DFB2B6D" w14:textId="5ABC39C8" w:rsidR="00F92348" w:rsidRPr="009118AB" w:rsidRDefault="00F92348" w:rsidP="00F92348">
      <w:pPr>
        <w:jc w:val="both"/>
      </w:pPr>
      <w:r w:rsidRPr="009118AB">
        <w:tab/>
      </w:r>
      <w:r w:rsidR="00D67EB8" w:rsidRPr="009118AB">
        <w:t>§ </w:t>
      </w:r>
      <w:r w:rsidRPr="009118AB">
        <w:t>6</w:t>
      </w:r>
      <w:r w:rsidR="00D67EB8" w:rsidRPr="009118AB">
        <w:t> - </w:t>
      </w:r>
      <w:r w:rsidRPr="009118AB">
        <w:t>Für Anleihen, die vor dem 1. Januar 2001 aufgenommen wurden:</w:t>
      </w:r>
    </w:p>
    <w:p w14:paraId="57BDD794" w14:textId="77777777" w:rsidR="00F92348" w:rsidRPr="009118AB" w:rsidRDefault="00F92348" w:rsidP="00F92348">
      <w:pPr>
        <w:jc w:val="both"/>
      </w:pPr>
    </w:p>
    <w:p w14:paraId="290420A9" w14:textId="72230145" w:rsidR="00F92348" w:rsidRPr="009118AB" w:rsidRDefault="00F92348" w:rsidP="00F92348">
      <w:pPr>
        <w:jc w:val="both"/>
      </w:pPr>
      <w:r w:rsidRPr="009118AB">
        <w:tab/>
        <w:t xml:space="preserve">1. betragen die in </w:t>
      </w:r>
      <w:r w:rsidR="00D67EB8" w:rsidRPr="009118AB">
        <w:t>§ </w:t>
      </w:r>
      <w:r w:rsidRPr="009118AB">
        <w:t xml:space="preserve">2 Absatz 1 </w:t>
      </w:r>
      <w:r w:rsidR="00D67EB8" w:rsidRPr="009118AB">
        <w:t>Nr. </w:t>
      </w:r>
      <w:r w:rsidRPr="009118AB">
        <w:t>3 erwähnten Gesamtkosten der Arbeiten einschließlich Mehrwertsteuer 800.000 BEF,</w:t>
      </w:r>
    </w:p>
    <w:p w14:paraId="1E65A958" w14:textId="77777777" w:rsidR="00F92348" w:rsidRPr="009118AB" w:rsidRDefault="00F92348" w:rsidP="00F92348">
      <w:pPr>
        <w:jc w:val="both"/>
      </w:pPr>
    </w:p>
    <w:p w14:paraId="3D1E666B" w14:textId="1DD42B78" w:rsidR="00F92348" w:rsidRPr="009118AB" w:rsidRDefault="00F92348" w:rsidP="00F92348">
      <w:pPr>
        <w:jc w:val="both"/>
      </w:pPr>
      <w:r w:rsidRPr="009118AB">
        <w:tab/>
        <w:t xml:space="preserve">2. betragen die in </w:t>
      </w:r>
      <w:r w:rsidR="00D67EB8" w:rsidRPr="009118AB">
        <w:t>§ </w:t>
      </w:r>
      <w:r w:rsidRPr="009118AB">
        <w:t xml:space="preserve">3 Absatz 3 </w:t>
      </w:r>
      <w:r w:rsidRPr="009118AB">
        <w:rPr>
          <w:i/>
        </w:rPr>
        <w:t>[sic, zu lesen ist: Absatz 2]</w:t>
      </w:r>
      <w:r w:rsidRPr="009118AB">
        <w:t xml:space="preserve"> erwähnten ersten Teilbeträge 2.000.000 BEF, 2.100.000 BEF, 2.200.000 BEF, 2.400.000 BEF und 2.600.000 BEF beziehungsweise 1.000.000 BEF, 1.050.000 BEF, 1.100.000 BEF, 1.200.000 BEF und 1.300.000 BEF.</w:t>
      </w:r>
    </w:p>
    <w:p w14:paraId="524BDB5B" w14:textId="77777777" w:rsidR="00F92348" w:rsidRPr="009118AB" w:rsidRDefault="00F92348" w:rsidP="00F92348">
      <w:pPr>
        <w:jc w:val="both"/>
      </w:pPr>
    </w:p>
    <w:p w14:paraId="432B0CA6" w14:textId="77777777" w:rsidR="00F92348" w:rsidRPr="009118AB" w:rsidRDefault="00F92348" w:rsidP="00F92348">
      <w:pPr>
        <w:jc w:val="both"/>
      </w:pPr>
      <w:r w:rsidRPr="009118AB">
        <w:tab/>
        <w:t>In vorhergehendem Absatz erwähnte Beträge werden gemäß Artikel 178 indexiert, so wie er für das Steuerjahr anwendbar war, das sich auf den Besteuerungszeitraum bezieht, in dem die Anleihe aufgenommen wurde, und an</w:t>
      </w:r>
      <w:r w:rsidR="00803E87" w:rsidRPr="009118AB">
        <w:t>schließend in Euro umgerechnet.]</w:t>
      </w:r>
    </w:p>
    <w:p w14:paraId="659106EE" w14:textId="77777777" w:rsidR="00803E87" w:rsidRPr="009118AB" w:rsidRDefault="00803E87" w:rsidP="00F92348">
      <w:pPr>
        <w:jc w:val="both"/>
      </w:pPr>
    </w:p>
    <w:p w14:paraId="07C3D55F" w14:textId="1ED7E4FD" w:rsidR="00803E87" w:rsidRPr="009118AB" w:rsidRDefault="00803E87" w:rsidP="00803E87">
      <w:pPr>
        <w:jc w:val="both"/>
        <w:rPr>
          <w:rFonts w:ascii="Times New Roman Italique" w:hAnsi="Times New Roman Italique"/>
          <w:i/>
        </w:rPr>
      </w:pPr>
      <w:r w:rsidRPr="009118AB">
        <w:rPr>
          <w:rFonts w:ascii="Times New Roman Italique" w:hAnsi="Times New Roman Italique"/>
          <w:i/>
        </w:rPr>
        <w:t>[</w:t>
      </w:r>
      <w:r w:rsidR="00D67EB8" w:rsidRPr="009118AB">
        <w:rPr>
          <w:rFonts w:ascii="Times New Roman Italique" w:hAnsi="Times New Roman Italique"/>
          <w:i/>
        </w:rPr>
        <w:t>Art. </w:t>
      </w:r>
      <w:r w:rsidRPr="009118AB">
        <w:rPr>
          <w:rFonts w:ascii="Times New Roman Italique" w:hAnsi="Times New Roman Italique"/>
          <w:i/>
        </w:rPr>
        <w:t>145</w:t>
      </w:r>
      <w:r w:rsidRPr="009118AB">
        <w:rPr>
          <w:rFonts w:ascii="Times New Roman Italique" w:hAnsi="Times New Roman Italique"/>
          <w:i/>
          <w:vertAlign w:val="superscript"/>
        </w:rPr>
        <w:t>45</w:t>
      </w:r>
      <w:r w:rsidRPr="009118AB">
        <w:rPr>
          <w:rFonts w:ascii="Times New Roman Italique" w:hAnsi="Times New Roman Italique"/>
          <w:i/>
        </w:rPr>
        <w:t xml:space="preserve"> eingefügt durch </w:t>
      </w:r>
      <w:r w:rsidR="00D67EB8" w:rsidRPr="009118AB">
        <w:rPr>
          <w:rFonts w:ascii="Times New Roman Italique" w:hAnsi="Times New Roman Italique"/>
          <w:i/>
        </w:rPr>
        <w:t>Art. </w:t>
      </w:r>
      <w:r w:rsidRPr="009118AB">
        <w:rPr>
          <w:rFonts w:ascii="Times New Roman Italique" w:hAnsi="Times New Roman Italique"/>
          <w:i/>
        </w:rPr>
        <w:t>5</w:t>
      </w:r>
      <w:r w:rsidR="00B0546E" w:rsidRPr="009118AB">
        <w:rPr>
          <w:rFonts w:ascii="Times New Roman Italique" w:hAnsi="Times New Roman Italique"/>
          <w:i/>
        </w:rPr>
        <w:t>2</w:t>
      </w:r>
      <w:r w:rsidRPr="009118AB">
        <w:rPr>
          <w:rFonts w:ascii="Times New Roman Italique" w:hAnsi="Times New Roman Italique"/>
          <w:i/>
        </w:rPr>
        <w:t xml:space="preserve"> des G. vom 8. Mai 2014 (B.S. vom 28. Mai 2014)</w:t>
      </w:r>
      <w:r w:rsidR="00D67EB8" w:rsidRPr="009118AB">
        <w:rPr>
          <w:rFonts w:ascii="Times New Roman Italique" w:hAnsi="Times New Roman Italique"/>
          <w:i/>
        </w:rPr>
        <w:t> - </w:t>
      </w:r>
      <w:r w:rsidRPr="009118AB">
        <w:rPr>
          <w:rFonts w:ascii="Times New Roman Italique" w:hAnsi="Times New Roman Italique"/>
          <w:i/>
          <w:iCs/>
        </w:rPr>
        <w:t>anwendbar ab dem Steuerjahr 2015</w:t>
      </w:r>
      <w:r w:rsidR="00FD68E8" w:rsidRPr="009118AB">
        <w:rPr>
          <w:rFonts w:ascii="Times New Roman Italique" w:hAnsi="Times New Roman Italique"/>
          <w:i/>
          <w:iCs/>
        </w:rPr>
        <w:t> -]</w:t>
      </w:r>
    </w:p>
    <w:p w14:paraId="7EDD491E" w14:textId="77777777" w:rsidR="00803E87" w:rsidRPr="009118AB" w:rsidRDefault="00803E87" w:rsidP="00F92348">
      <w:pPr>
        <w:jc w:val="both"/>
      </w:pPr>
    </w:p>
    <w:p w14:paraId="0A4AF92A" w14:textId="77777777" w:rsidR="00803E87" w:rsidRPr="009118AB" w:rsidRDefault="00803E87" w:rsidP="00F92348">
      <w:pPr>
        <w:jc w:val="both"/>
        <w:rPr>
          <w:b/>
        </w:rPr>
      </w:pPr>
    </w:p>
    <w:p w14:paraId="79457E12" w14:textId="50496541" w:rsidR="00F92348" w:rsidRPr="009118AB" w:rsidRDefault="00F92348" w:rsidP="00F92348">
      <w:pPr>
        <w:jc w:val="both"/>
      </w:pPr>
      <w:r w:rsidRPr="009118AB">
        <w:tab/>
      </w:r>
      <w:r w:rsidR="00803E87" w:rsidRPr="009118AB">
        <w:t>[</w:t>
      </w:r>
      <w:r w:rsidR="00D67EB8" w:rsidRPr="009118AB">
        <w:rPr>
          <w:b/>
        </w:rPr>
        <w:t>Art. </w:t>
      </w:r>
      <w:r w:rsidRPr="009118AB">
        <w:rPr>
          <w:b/>
        </w:rPr>
        <w:t>145</w:t>
      </w:r>
      <w:r w:rsidRPr="009118AB">
        <w:rPr>
          <w:b/>
          <w:vertAlign w:val="superscript"/>
        </w:rPr>
        <w:t>46</w:t>
      </w:r>
      <w:r w:rsidR="00D67EB8" w:rsidRPr="009118AB">
        <w:t> - § </w:t>
      </w:r>
      <w:r w:rsidRPr="009118AB">
        <w:t>1</w:t>
      </w:r>
      <w:r w:rsidR="00D67EB8" w:rsidRPr="009118AB">
        <w:t> - </w:t>
      </w:r>
      <w:r w:rsidRPr="009118AB">
        <w:t>Wenn der Steuerpflichtige:</w:t>
      </w:r>
    </w:p>
    <w:p w14:paraId="7A02731E" w14:textId="77777777" w:rsidR="00F92348" w:rsidRPr="009118AB" w:rsidRDefault="00F92348" w:rsidP="00F92348">
      <w:pPr>
        <w:jc w:val="both"/>
      </w:pPr>
    </w:p>
    <w:p w14:paraId="4B074C65" w14:textId="30D8F377" w:rsidR="00F92348" w:rsidRPr="009118AB" w:rsidRDefault="00F92348" w:rsidP="00F92348">
      <w:pPr>
        <w:jc w:val="both"/>
      </w:pPr>
      <w:r w:rsidRPr="009118AB">
        <w:tab/>
        <w:t xml:space="preserve">- zwischen dem 1. Januar 2005 und dem 31. Dezember 2013 eine Hypothekenanleihe für Erwerb oder Erhaltung einer Wohnung aufgenommen hat, wobei zu diesem Zeitpunkt für dieselbe Wohnung eine andere Anleihe bestand, die für das Bausparen oder für den Abzug von Zinsen von Hypothekenanleihen in Anwendung von Artikel 526 </w:t>
      </w:r>
      <w:r w:rsidR="00D67EB8" w:rsidRPr="009118AB">
        <w:t>§ </w:t>
      </w:r>
      <w:r w:rsidRPr="009118AB">
        <w:t>2, so wie er vor seiner Abänderung durch Artikel 101 des Gesetzes vom 8. Mai 2014 bestand, in Betracht kam und</w:t>
      </w:r>
    </w:p>
    <w:p w14:paraId="720A9A53" w14:textId="77777777" w:rsidR="00F92348" w:rsidRPr="009118AB" w:rsidRDefault="00F92348" w:rsidP="00F92348">
      <w:pPr>
        <w:jc w:val="both"/>
      </w:pPr>
    </w:p>
    <w:p w14:paraId="1BCF67FA" w14:textId="7574F851" w:rsidR="00F92348" w:rsidRPr="009118AB" w:rsidRDefault="00F92348" w:rsidP="00F92348">
      <w:pPr>
        <w:jc w:val="both"/>
      </w:pPr>
      <w:r w:rsidRPr="009118AB">
        <w:tab/>
        <w:t xml:space="preserve">- in seiner Erklärung in Bezug auf den Besteuerungszeitraum, in dem eine Anleihe ab dem 1. Januar 2005 aufgenommen wurde, angegeben hat, dass er für diese Anleihe oder den Lebensversicherungsvertrag, der ausschließlich für die Wiederherstellung der oder als Sicherheit für die vorerwähnte Anleihe dient, für die Anwendung des Abzugs für die einzige Wohnung erwähnt in Artikel 104 </w:t>
      </w:r>
      <w:r w:rsidR="00D67EB8" w:rsidRPr="009118AB">
        <w:t>Nr. </w:t>
      </w:r>
      <w:r w:rsidRPr="009118AB">
        <w:t>9, so wie er vor seiner Aufhebung durch Artikel 20 des Gesetzes vom 8. Mai 2014 bestand, optiert,</w:t>
      </w:r>
    </w:p>
    <w:p w14:paraId="7ED4A52D" w14:textId="77777777" w:rsidR="00F92348" w:rsidRPr="009118AB" w:rsidRDefault="00F92348" w:rsidP="00F92348">
      <w:pPr>
        <w:jc w:val="both"/>
      </w:pPr>
    </w:p>
    <w:p w14:paraId="3ED1BADD" w14:textId="3EE157C4" w:rsidR="00F92348" w:rsidRPr="009118AB" w:rsidRDefault="00F92348" w:rsidP="00F92348">
      <w:pPr>
        <w:jc w:val="both"/>
      </w:pPr>
      <w:r w:rsidRPr="009118AB">
        <w:tab/>
        <w:t>finden die Artikel 145</w:t>
      </w:r>
      <w:r w:rsidRPr="009118AB">
        <w:rPr>
          <w:vertAlign w:val="superscript"/>
        </w:rPr>
        <w:t>43</w:t>
      </w:r>
      <w:r w:rsidRPr="009118AB">
        <w:t>, 145</w:t>
      </w:r>
      <w:r w:rsidRPr="009118AB">
        <w:rPr>
          <w:vertAlign w:val="superscript"/>
        </w:rPr>
        <w:t>44</w:t>
      </w:r>
      <w:r w:rsidRPr="009118AB">
        <w:t xml:space="preserve"> und 145</w:t>
      </w:r>
      <w:r w:rsidRPr="009118AB">
        <w:rPr>
          <w:vertAlign w:val="superscript"/>
        </w:rPr>
        <w:t>45</w:t>
      </w:r>
      <w:r w:rsidRPr="009118AB">
        <w:t xml:space="preserve"> keine Anwendung mehr auf Zinsen in Bezug auf Anleihen, die spätestens am 31. Dezember 2013 für Erwerb oder Erhaltung derselben Wohnung aufgenommen wurden, und kommen die in Artikel 145</w:t>
      </w:r>
      <w:r w:rsidRPr="009118AB">
        <w:rPr>
          <w:vertAlign w:val="superscript"/>
        </w:rPr>
        <w:t>39</w:t>
      </w:r>
      <w:r w:rsidRPr="009118AB">
        <w:t xml:space="preserve"> erwähnten Ausgaben in Bezug auf Anleihen, die spätestens am 31. Dezember 2013 für Erwerb oder Erhaltung derselben Wohnung aufgenommen wurden, und auf Versicherungsverträge, die für die Wiederherstellung dieser oder als Sicherheit für diese Anleihen dienen, für die in diesem Artikel erwähnte Steuerermäßigung nicht mehr in Betracht.</w:t>
      </w:r>
    </w:p>
    <w:p w14:paraId="0EFA9285" w14:textId="77777777" w:rsidR="00F92348" w:rsidRPr="009118AB" w:rsidRDefault="00F92348" w:rsidP="00F92348">
      <w:pPr>
        <w:jc w:val="both"/>
      </w:pPr>
    </w:p>
    <w:p w14:paraId="3DD3B0D0" w14:textId="61C5F21C" w:rsidR="00F92348" w:rsidRPr="009118AB" w:rsidRDefault="00F92348" w:rsidP="00F92348">
      <w:pPr>
        <w:jc w:val="both"/>
      </w:pPr>
      <w:r w:rsidRPr="009118AB">
        <w:tab/>
      </w:r>
      <w:r w:rsidR="00D67EB8" w:rsidRPr="009118AB">
        <w:t>§ </w:t>
      </w:r>
      <w:r w:rsidRPr="009118AB">
        <w:t>2</w:t>
      </w:r>
      <w:r w:rsidR="00D67EB8" w:rsidRPr="009118AB">
        <w:t> - </w:t>
      </w:r>
      <w:r w:rsidRPr="009118AB">
        <w:t>Wenn der Steuerpflichtige ab dem 1. Januar 2014:</w:t>
      </w:r>
    </w:p>
    <w:p w14:paraId="7D32F3C0" w14:textId="77777777" w:rsidR="00F92348" w:rsidRPr="009118AB" w:rsidRDefault="00F92348" w:rsidP="00F92348">
      <w:pPr>
        <w:jc w:val="both"/>
      </w:pPr>
    </w:p>
    <w:p w14:paraId="26BE04F0" w14:textId="1E62F073" w:rsidR="00F92348" w:rsidRPr="009118AB" w:rsidRDefault="00F92348" w:rsidP="00F92348">
      <w:pPr>
        <w:jc w:val="both"/>
      </w:pPr>
      <w:r w:rsidRPr="009118AB">
        <w:tab/>
        <w:t>- eine Hypothekenanleihe für Erwerb oder Erhaltung einer in Artikel 145</w:t>
      </w:r>
      <w:r w:rsidRPr="009118AB">
        <w:rPr>
          <w:vertAlign w:val="superscript"/>
        </w:rPr>
        <w:t>38</w:t>
      </w:r>
      <w:r w:rsidRPr="009118AB">
        <w:t xml:space="preserve"> </w:t>
      </w:r>
      <w:r w:rsidR="00D67EB8" w:rsidRPr="009118AB">
        <w:t>§ </w:t>
      </w:r>
      <w:r w:rsidRPr="009118AB">
        <w:t xml:space="preserve">1 Absatz 1 </w:t>
      </w:r>
      <w:r w:rsidR="00D67EB8" w:rsidRPr="009118AB">
        <w:t>Nr. </w:t>
      </w:r>
      <w:r w:rsidRPr="009118AB">
        <w:t>1 erwähnten Wohnung aufnimmt, wobei zu diesem Zeitpunkt für dieselbe Wohnung eine andere Anleihe besteht, die für die Anwendung der Artikel 145</w:t>
      </w:r>
      <w:r w:rsidRPr="009118AB">
        <w:rPr>
          <w:vertAlign w:val="superscript"/>
        </w:rPr>
        <w:t>41</w:t>
      </w:r>
      <w:r w:rsidRPr="009118AB">
        <w:t xml:space="preserve"> </w:t>
      </w:r>
      <w:r w:rsidR="00D67EB8" w:rsidRPr="009118AB">
        <w:t>§ </w:t>
      </w:r>
      <w:r w:rsidRPr="009118AB">
        <w:t xml:space="preserve">1 Absatz 2 </w:t>
      </w:r>
      <w:r w:rsidR="00D67EB8" w:rsidRPr="009118AB">
        <w:t>Nr. </w:t>
      </w:r>
      <w:r w:rsidRPr="009118AB">
        <w:t>3, 145</w:t>
      </w:r>
      <w:r w:rsidRPr="009118AB">
        <w:rPr>
          <w:vertAlign w:val="superscript"/>
        </w:rPr>
        <w:t>42</w:t>
      </w:r>
      <w:r w:rsidRPr="009118AB">
        <w:t xml:space="preserve"> </w:t>
      </w:r>
      <w:r w:rsidR="00D67EB8" w:rsidRPr="009118AB">
        <w:t>§ </w:t>
      </w:r>
      <w:r w:rsidRPr="009118AB">
        <w:t xml:space="preserve">1 </w:t>
      </w:r>
      <w:r w:rsidRPr="009118AB">
        <w:lastRenderedPageBreak/>
        <w:t xml:space="preserve">Absatz 2 </w:t>
      </w:r>
      <w:r w:rsidR="00D67EB8" w:rsidRPr="009118AB">
        <w:t>Nr. </w:t>
      </w:r>
      <w:r w:rsidRPr="009118AB">
        <w:t>2 oder 145</w:t>
      </w:r>
      <w:r w:rsidRPr="009118AB">
        <w:rPr>
          <w:vertAlign w:val="superscript"/>
        </w:rPr>
        <w:t>45</w:t>
      </w:r>
      <w:r w:rsidRPr="009118AB">
        <w:t>, für die Ermäßigung für das Bausparen oder für die Ermäßigung für Zinsen von Hypothekenanleihen in Anwendung von Artikel 526 in Betracht kommt und</w:t>
      </w:r>
    </w:p>
    <w:p w14:paraId="62D02C26" w14:textId="77777777" w:rsidR="00F92348" w:rsidRPr="009118AB" w:rsidRDefault="00F92348" w:rsidP="00F92348">
      <w:pPr>
        <w:jc w:val="both"/>
      </w:pPr>
    </w:p>
    <w:p w14:paraId="673A9A26" w14:textId="47B8ECA0" w:rsidR="00F92348" w:rsidRPr="009118AB" w:rsidRDefault="00F92348" w:rsidP="00F92348">
      <w:pPr>
        <w:jc w:val="both"/>
      </w:pPr>
      <w:r w:rsidRPr="009118AB">
        <w:tab/>
        <w:t>- in seiner Erklärung in Bezug auf den Besteuerungszeitraum, in dem diese Anleihe aufgenommen wurde, oder in Bezug auf den Besteuerungszeitraum, in dem die Wohnung die eigene Wohnung des Steuerpflichtigen wird</w:t>
      </w:r>
      <w:r w:rsidR="00D67EB8" w:rsidRPr="009118AB">
        <w:t> - </w:t>
      </w:r>
      <w:r w:rsidRPr="009118AB">
        <w:t>sofern dieser Besteuerungszeitraum ein späterer Besteuerungszeitraum als derjenige ist, in dem die Anleihe aufgenommen wurde</w:t>
      </w:r>
      <w:r w:rsidR="00FD68E8" w:rsidRPr="009118AB">
        <w:t> -,</w:t>
      </w:r>
      <w:r w:rsidRPr="009118AB">
        <w:t xml:space="preserve"> die Anwendung der in Artikel 145</w:t>
      </w:r>
      <w:r w:rsidRPr="009118AB">
        <w:rPr>
          <w:vertAlign w:val="superscript"/>
        </w:rPr>
        <w:t>37</w:t>
      </w:r>
      <w:r w:rsidRPr="009118AB">
        <w:t xml:space="preserve"> erwähnten Steuerermäßigung für die ab dem 1. Januar 2014 aufgenommene Anleihe oder für den Lebensversicherungsvertrag, der ausschließlich für die Wiederherstellung dieser oder als Sicherheit für diese Anleihe dient, beantragt,</w:t>
      </w:r>
    </w:p>
    <w:p w14:paraId="4E3896AB" w14:textId="77777777" w:rsidR="00F92348" w:rsidRPr="009118AB" w:rsidRDefault="00F92348" w:rsidP="00F92348">
      <w:pPr>
        <w:jc w:val="both"/>
      </w:pPr>
    </w:p>
    <w:p w14:paraId="6BF9096B" w14:textId="77777777" w:rsidR="00F92348" w:rsidRPr="009118AB" w:rsidRDefault="00F92348" w:rsidP="00F92348">
      <w:pPr>
        <w:jc w:val="both"/>
      </w:pPr>
      <w:r w:rsidRPr="009118AB">
        <w:tab/>
        <w:t>finden die Artikel 145</w:t>
      </w:r>
      <w:r w:rsidRPr="009118AB">
        <w:rPr>
          <w:vertAlign w:val="superscript"/>
        </w:rPr>
        <w:t>43</w:t>
      </w:r>
      <w:r w:rsidRPr="009118AB">
        <w:t>, 145</w:t>
      </w:r>
      <w:r w:rsidRPr="009118AB">
        <w:rPr>
          <w:vertAlign w:val="superscript"/>
        </w:rPr>
        <w:t>44</w:t>
      </w:r>
      <w:r w:rsidRPr="009118AB">
        <w:t xml:space="preserve"> und 145</w:t>
      </w:r>
      <w:r w:rsidRPr="009118AB">
        <w:rPr>
          <w:vertAlign w:val="superscript"/>
        </w:rPr>
        <w:t>45</w:t>
      </w:r>
      <w:r w:rsidRPr="009118AB">
        <w:t xml:space="preserve"> keine Anwendung mehr auf Zinsen in Bezug auf Anleihen, die vorher für Erwerb oder Erhaltung derselben Wohnung aufgenommen wurden, und kommen die in Artikel 145</w:t>
      </w:r>
      <w:r w:rsidRPr="009118AB">
        <w:rPr>
          <w:vertAlign w:val="superscript"/>
        </w:rPr>
        <w:t>39</w:t>
      </w:r>
      <w:r w:rsidRPr="009118AB">
        <w:t xml:space="preserve"> erwähnten Ausgaben in Bezug auf Anleihen, die vorher für Erwerb oder Erhaltung derselben Wohnung aufgenommen wurden, und auf Versicherungsverträge, die für die Wiederherstellung dieser oder als Sicherheit für diese Anleihen dienen, für die in diesem Artikel erwähnte Steuerermäßigung nicht mehr in Betracht.</w:t>
      </w:r>
    </w:p>
    <w:p w14:paraId="4BEB2BE8" w14:textId="77777777" w:rsidR="00F92348" w:rsidRPr="009118AB" w:rsidRDefault="00F92348" w:rsidP="00F92348">
      <w:pPr>
        <w:jc w:val="both"/>
      </w:pPr>
    </w:p>
    <w:p w14:paraId="18003BA0" w14:textId="1587E976" w:rsidR="00F92348" w:rsidRPr="009118AB" w:rsidRDefault="00F92348" w:rsidP="00F92348">
      <w:pPr>
        <w:jc w:val="both"/>
      </w:pPr>
      <w:r w:rsidRPr="009118AB">
        <w:tab/>
      </w:r>
      <w:r w:rsidR="00D67EB8" w:rsidRPr="009118AB">
        <w:t>§ </w:t>
      </w:r>
      <w:r w:rsidRPr="009118AB">
        <w:t>3</w:t>
      </w:r>
      <w:r w:rsidR="00D67EB8" w:rsidRPr="009118AB">
        <w:t> - </w:t>
      </w:r>
      <w:r w:rsidRPr="009118AB">
        <w:t>Die in den vorhergehenden Paragraphen erwähnten Optionen sind definitiv, unwiderruflich und bindend für den Steuerpflichtigen.</w:t>
      </w:r>
    </w:p>
    <w:p w14:paraId="5BFC2285" w14:textId="77777777" w:rsidR="00F92348" w:rsidRPr="009118AB" w:rsidRDefault="00F92348" w:rsidP="00F92348">
      <w:pPr>
        <w:jc w:val="both"/>
      </w:pPr>
    </w:p>
    <w:p w14:paraId="72C52766" w14:textId="77777777" w:rsidR="00F92348" w:rsidRPr="009118AB" w:rsidRDefault="00F92348" w:rsidP="00F92348">
      <w:pPr>
        <w:jc w:val="both"/>
      </w:pPr>
      <w:r w:rsidRPr="009118AB">
        <w:tab/>
        <w:t>Wird eine gemeinsame Veranlagung festgelegt, müssen beide Steuerpfli</w:t>
      </w:r>
      <w:r w:rsidR="00803E87" w:rsidRPr="009118AB">
        <w:t>chtige dieselbe Option treffen.]</w:t>
      </w:r>
    </w:p>
    <w:p w14:paraId="10856127" w14:textId="77777777" w:rsidR="00803E87" w:rsidRPr="009118AB" w:rsidRDefault="00803E87" w:rsidP="00F92348">
      <w:pPr>
        <w:jc w:val="both"/>
      </w:pPr>
    </w:p>
    <w:p w14:paraId="67ECDAA0" w14:textId="378B8A2A" w:rsidR="00803E87" w:rsidRPr="009118AB" w:rsidRDefault="00803E87" w:rsidP="00803E87">
      <w:pPr>
        <w:jc w:val="both"/>
        <w:rPr>
          <w:rFonts w:ascii="Times New Roman Italique" w:hAnsi="Times New Roman Italique"/>
          <w:i/>
        </w:rPr>
      </w:pPr>
      <w:r w:rsidRPr="009118AB">
        <w:rPr>
          <w:rFonts w:ascii="Times New Roman Italique" w:hAnsi="Times New Roman Italique"/>
          <w:i/>
        </w:rPr>
        <w:t>[</w:t>
      </w:r>
      <w:r w:rsidR="00D67EB8" w:rsidRPr="009118AB">
        <w:rPr>
          <w:rFonts w:ascii="Times New Roman Italique" w:hAnsi="Times New Roman Italique"/>
          <w:i/>
        </w:rPr>
        <w:t>Art. </w:t>
      </w:r>
      <w:r w:rsidRPr="009118AB">
        <w:rPr>
          <w:rFonts w:ascii="Times New Roman Italique" w:hAnsi="Times New Roman Italique"/>
          <w:i/>
        </w:rPr>
        <w:t>145</w:t>
      </w:r>
      <w:r w:rsidRPr="009118AB">
        <w:rPr>
          <w:rFonts w:ascii="Times New Roman Italique" w:hAnsi="Times New Roman Italique"/>
          <w:i/>
          <w:vertAlign w:val="superscript"/>
        </w:rPr>
        <w:t>46</w:t>
      </w:r>
      <w:r w:rsidRPr="009118AB">
        <w:rPr>
          <w:rFonts w:ascii="Times New Roman Italique" w:hAnsi="Times New Roman Italique"/>
          <w:i/>
        </w:rPr>
        <w:t xml:space="preserve"> eingefügt durch </w:t>
      </w:r>
      <w:r w:rsidR="00D67EB8" w:rsidRPr="009118AB">
        <w:rPr>
          <w:rFonts w:ascii="Times New Roman Italique" w:hAnsi="Times New Roman Italique"/>
          <w:i/>
        </w:rPr>
        <w:t>Art. </w:t>
      </w:r>
      <w:r w:rsidRPr="009118AB">
        <w:rPr>
          <w:rFonts w:ascii="Times New Roman Italique" w:hAnsi="Times New Roman Italique"/>
          <w:i/>
        </w:rPr>
        <w:t>53 des G. vom 8. Mai 2014 (B.S. vom</w:t>
      </w:r>
      <w:r w:rsidR="00B3148A" w:rsidRPr="009118AB">
        <w:rPr>
          <w:rFonts w:ascii="Times New Roman Italique" w:hAnsi="Times New Roman Italique"/>
          <w:i/>
        </w:rPr>
        <w:t xml:space="preserve"> 28. Mai 2014)</w:t>
      </w:r>
      <w:r w:rsidR="00D67EB8" w:rsidRPr="009118AB">
        <w:rPr>
          <w:rFonts w:ascii="Times New Roman Italique" w:hAnsi="Times New Roman Italique"/>
          <w:i/>
        </w:rPr>
        <w:t> - </w:t>
      </w:r>
      <w:r w:rsidRPr="009118AB">
        <w:rPr>
          <w:rFonts w:ascii="Times New Roman Italique" w:hAnsi="Times New Roman Italique"/>
          <w:i/>
          <w:iCs/>
        </w:rPr>
        <w:t>anwendbar ab dem Steuerjahr 2015</w:t>
      </w:r>
      <w:r w:rsidR="00FD68E8" w:rsidRPr="009118AB">
        <w:rPr>
          <w:rFonts w:ascii="Times New Roman Italique" w:hAnsi="Times New Roman Italique"/>
          <w:i/>
          <w:iCs/>
        </w:rPr>
        <w:t> -]</w:t>
      </w:r>
    </w:p>
    <w:p w14:paraId="048C1494" w14:textId="77777777" w:rsidR="00715690" w:rsidRPr="009118AB" w:rsidRDefault="00715690" w:rsidP="00F92348">
      <w:pPr>
        <w:jc w:val="center"/>
      </w:pPr>
    </w:p>
    <w:p w14:paraId="0CFE2D30" w14:textId="77777777" w:rsidR="00715690" w:rsidRPr="009118AB" w:rsidRDefault="00715690" w:rsidP="00F92348">
      <w:pPr>
        <w:jc w:val="center"/>
      </w:pPr>
    </w:p>
    <w:p w14:paraId="0E183F7D" w14:textId="4AF09A9F" w:rsidR="006E6786" w:rsidRPr="009118AB" w:rsidRDefault="00E06806" w:rsidP="00F92348">
      <w:pPr>
        <w:jc w:val="center"/>
      </w:pPr>
      <w:r w:rsidRPr="009118AB">
        <w:br w:type="page"/>
      </w:r>
      <w:r w:rsidR="006E6786" w:rsidRPr="009118AB">
        <w:lastRenderedPageBreak/>
        <w:t>[Unterabschnitt 2</w:t>
      </w:r>
      <w:r w:rsidR="006E6786" w:rsidRPr="009118AB">
        <w:rPr>
          <w:i/>
        </w:rPr>
        <w:t>novodecies</w:t>
      </w:r>
      <w:r w:rsidR="00D67EB8" w:rsidRPr="009118AB">
        <w:t> - </w:t>
      </w:r>
      <w:r w:rsidR="006E6786" w:rsidRPr="009118AB">
        <w:t>Steuerermäßigung für Ausgaben für Dachisolation]</w:t>
      </w:r>
    </w:p>
    <w:p w14:paraId="534868F7" w14:textId="77777777" w:rsidR="006E6786" w:rsidRPr="009118AB" w:rsidRDefault="006E6786" w:rsidP="00F92348">
      <w:pPr>
        <w:jc w:val="center"/>
      </w:pPr>
    </w:p>
    <w:p w14:paraId="1BEF9B4F" w14:textId="5BDB2AF5" w:rsidR="006E6786" w:rsidRPr="009118AB" w:rsidRDefault="006E6786" w:rsidP="006E6786">
      <w:pPr>
        <w:jc w:val="both"/>
        <w:rPr>
          <w:i/>
          <w:iCs/>
        </w:rPr>
      </w:pPr>
      <w:r w:rsidRPr="009118AB">
        <w:rPr>
          <w:i/>
        </w:rPr>
        <w:t xml:space="preserve"> [Unterteilung Unterabschnitt 2novodecies eingefügt durch </w:t>
      </w:r>
      <w:r w:rsidR="00D67EB8" w:rsidRPr="009118AB">
        <w:rPr>
          <w:i/>
        </w:rPr>
        <w:t>Art. </w:t>
      </w:r>
      <w:r w:rsidRPr="009118AB">
        <w:rPr>
          <w:i/>
        </w:rPr>
        <w:t>54 des G. vom 8. Mai 2014 (B.S. vom 28. Mai 2014)</w:t>
      </w:r>
      <w:r w:rsidR="00D67EB8" w:rsidRPr="009118AB">
        <w:rPr>
          <w:i/>
        </w:rPr>
        <w:t> - </w:t>
      </w:r>
      <w:r w:rsidRPr="009118AB">
        <w:rPr>
          <w:i/>
          <w:iCs/>
        </w:rPr>
        <w:t>anwendbar ab dem Steuerjahr 2015</w:t>
      </w:r>
      <w:r w:rsidR="00FD68E8" w:rsidRPr="009118AB">
        <w:rPr>
          <w:i/>
          <w:iCs/>
        </w:rPr>
        <w:t> -]</w:t>
      </w:r>
    </w:p>
    <w:p w14:paraId="5225D56E" w14:textId="77777777" w:rsidR="006E6786" w:rsidRPr="009118AB" w:rsidRDefault="006E6786" w:rsidP="00F92348">
      <w:pPr>
        <w:jc w:val="center"/>
      </w:pPr>
    </w:p>
    <w:p w14:paraId="1079AB7D" w14:textId="77777777" w:rsidR="006E6786" w:rsidRPr="009118AB" w:rsidRDefault="006E6786" w:rsidP="00F92348">
      <w:pPr>
        <w:jc w:val="center"/>
      </w:pPr>
    </w:p>
    <w:p w14:paraId="26B49BAD" w14:textId="104BA8DB" w:rsidR="006E6786" w:rsidRPr="009118AB" w:rsidRDefault="006E6786" w:rsidP="006E6786">
      <w:pPr>
        <w:jc w:val="both"/>
      </w:pPr>
      <w:r w:rsidRPr="009118AB">
        <w:tab/>
        <w:t>[</w:t>
      </w:r>
      <w:r w:rsidR="00D67EB8" w:rsidRPr="009118AB">
        <w:rPr>
          <w:b/>
        </w:rPr>
        <w:t>Art. </w:t>
      </w:r>
      <w:r w:rsidRPr="009118AB">
        <w:rPr>
          <w:b/>
        </w:rPr>
        <w:t>145</w:t>
      </w:r>
      <w:r w:rsidRPr="009118AB">
        <w:rPr>
          <w:b/>
          <w:vertAlign w:val="superscript"/>
        </w:rPr>
        <w:t>47</w:t>
      </w:r>
      <w:r w:rsidR="00D67EB8" w:rsidRPr="009118AB">
        <w:t> - </w:t>
      </w:r>
      <w:r w:rsidRPr="009118AB">
        <w:t>Für Ausgaben, die während des Besteuerungszeitraums tatsächlich gezahlt werden für die Isolation des Daches einer Wohnung, deren Eigentümer, Besitzer, Erbpächter, Erbbauberechtigter, Nießbraucher oder Mieter der Steuerpflichtige ist, wird eine Steuerermäßigung gewährt.</w:t>
      </w:r>
    </w:p>
    <w:p w14:paraId="79C4F756" w14:textId="77777777" w:rsidR="006E6786" w:rsidRPr="009118AB" w:rsidRDefault="006E6786" w:rsidP="006E6786">
      <w:pPr>
        <w:jc w:val="both"/>
      </w:pPr>
    </w:p>
    <w:p w14:paraId="1451A6FD" w14:textId="77777777" w:rsidR="006E6786" w:rsidRPr="009118AB" w:rsidRDefault="006E6786" w:rsidP="006E6786">
      <w:pPr>
        <w:jc w:val="both"/>
      </w:pPr>
      <w:r w:rsidRPr="009118AB">
        <w:tab/>
        <w:t>Die Steuerermäßigung ist nicht anwendbar auf Ausgaben, die:</w:t>
      </w:r>
    </w:p>
    <w:p w14:paraId="1B7FFE6C" w14:textId="77777777" w:rsidR="006E6786" w:rsidRPr="009118AB" w:rsidRDefault="006E6786" w:rsidP="006E6786">
      <w:pPr>
        <w:jc w:val="both"/>
      </w:pPr>
    </w:p>
    <w:p w14:paraId="185025CA" w14:textId="77777777" w:rsidR="006E6786" w:rsidRPr="009118AB" w:rsidRDefault="006E6786" w:rsidP="006E6786">
      <w:pPr>
        <w:jc w:val="both"/>
      </w:pPr>
      <w:r w:rsidRPr="009118AB">
        <w:tab/>
      </w:r>
      <w:r w:rsidRPr="009118AB">
        <w:rPr>
          <w:i/>
        </w:rPr>
        <w:t>a)</w:t>
      </w:r>
      <w:r w:rsidRPr="009118AB">
        <w:t> als tatsächliche Werbungskosten berücksichtigt werden,</w:t>
      </w:r>
    </w:p>
    <w:p w14:paraId="55C684D5" w14:textId="77777777" w:rsidR="006E6786" w:rsidRPr="009118AB" w:rsidRDefault="006E6786" w:rsidP="006E6786">
      <w:pPr>
        <w:jc w:val="both"/>
      </w:pPr>
    </w:p>
    <w:p w14:paraId="3BE2C009" w14:textId="77777777" w:rsidR="006E6786" w:rsidRPr="009118AB" w:rsidRDefault="006E6786" w:rsidP="006E6786">
      <w:pPr>
        <w:jc w:val="both"/>
      </w:pPr>
      <w:r w:rsidRPr="009118AB">
        <w:tab/>
      </w:r>
      <w:r w:rsidRPr="009118AB">
        <w:rPr>
          <w:i/>
        </w:rPr>
        <w:t>b)</w:t>
      </w:r>
      <w:r w:rsidRPr="009118AB">
        <w:t> zu dem in Artikel 69 erwähnten Investitionsabzug berechtigen,</w:t>
      </w:r>
    </w:p>
    <w:p w14:paraId="04EDFF40" w14:textId="77777777" w:rsidR="006E6786" w:rsidRPr="009118AB" w:rsidRDefault="006E6786" w:rsidP="006E6786">
      <w:pPr>
        <w:jc w:val="both"/>
      </w:pPr>
    </w:p>
    <w:p w14:paraId="3965F5E5" w14:textId="77777777" w:rsidR="006E6786" w:rsidRPr="009118AB" w:rsidRDefault="006E6786" w:rsidP="006E6786">
      <w:pPr>
        <w:jc w:val="both"/>
      </w:pPr>
      <w:r w:rsidRPr="009118AB">
        <w:tab/>
      </w:r>
      <w:r w:rsidRPr="009118AB">
        <w:rPr>
          <w:i/>
        </w:rPr>
        <w:t>c)</w:t>
      </w:r>
      <w:r w:rsidRPr="009118AB">
        <w:t> für die Anwendung der Artikel 145</w:t>
      </w:r>
      <w:r w:rsidRPr="009118AB">
        <w:rPr>
          <w:vertAlign w:val="superscript"/>
        </w:rPr>
        <w:t>25</w:t>
      </w:r>
      <w:r w:rsidRPr="009118AB">
        <w:t>, 145</w:t>
      </w:r>
      <w:r w:rsidRPr="009118AB">
        <w:rPr>
          <w:vertAlign w:val="superscript"/>
        </w:rPr>
        <w:t>30</w:t>
      </w:r>
      <w:r w:rsidRPr="009118AB">
        <w:t>, 145</w:t>
      </w:r>
      <w:r w:rsidRPr="009118AB">
        <w:rPr>
          <w:vertAlign w:val="superscript"/>
        </w:rPr>
        <w:t>31</w:t>
      </w:r>
      <w:r w:rsidRPr="009118AB">
        <w:t xml:space="preserve"> oder 145</w:t>
      </w:r>
      <w:r w:rsidRPr="009118AB">
        <w:rPr>
          <w:vertAlign w:val="superscript"/>
        </w:rPr>
        <w:t>36</w:t>
      </w:r>
      <w:r w:rsidRPr="009118AB">
        <w:t xml:space="preserve"> in Betracht kommen,</w:t>
      </w:r>
    </w:p>
    <w:p w14:paraId="17971C26" w14:textId="77777777" w:rsidR="006E6786" w:rsidRPr="009118AB" w:rsidRDefault="006E6786" w:rsidP="006E6786">
      <w:pPr>
        <w:jc w:val="both"/>
      </w:pPr>
    </w:p>
    <w:p w14:paraId="1B1F9BFF" w14:textId="77777777" w:rsidR="006E6786" w:rsidRPr="009118AB" w:rsidRDefault="006E6786" w:rsidP="006E6786">
      <w:pPr>
        <w:jc w:val="both"/>
      </w:pPr>
      <w:r w:rsidRPr="009118AB">
        <w:tab/>
      </w:r>
      <w:r w:rsidRPr="009118AB">
        <w:rPr>
          <w:i/>
        </w:rPr>
        <w:t>d)</w:t>
      </w:r>
      <w:r w:rsidRPr="009118AB">
        <w:t> sich auf Arbeiten beziehen, die an einer Wohnung durchgeführt werden, deren Erstbezug weniger als fünf Jahre vor Beginn dieser Arbeiten liegt.</w:t>
      </w:r>
    </w:p>
    <w:p w14:paraId="26B05656" w14:textId="77777777" w:rsidR="006E6786" w:rsidRPr="009118AB" w:rsidRDefault="006E6786" w:rsidP="006E6786">
      <w:pPr>
        <w:jc w:val="both"/>
      </w:pPr>
    </w:p>
    <w:p w14:paraId="55ECECC5" w14:textId="77777777" w:rsidR="006E6786" w:rsidRPr="009118AB" w:rsidRDefault="006E6786" w:rsidP="006E6786">
      <w:pPr>
        <w:jc w:val="both"/>
      </w:pPr>
      <w:r w:rsidRPr="009118AB">
        <w:tab/>
        <w:t>Die Steuerermäßigung entspricht 30 Prozent der in Absatz 1 erwähnten tatsächlich gezahlten Ausgaben.</w:t>
      </w:r>
    </w:p>
    <w:p w14:paraId="7D441F00" w14:textId="77777777" w:rsidR="006E6786" w:rsidRPr="009118AB" w:rsidRDefault="006E6786" w:rsidP="006E6786">
      <w:pPr>
        <w:jc w:val="both"/>
      </w:pPr>
    </w:p>
    <w:p w14:paraId="3966303F" w14:textId="77777777" w:rsidR="006E6786" w:rsidRPr="009118AB" w:rsidRDefault="006E6786" w:rsidP="006E6786">
      <w:pPr>
        <w:jc w:val="both"/>
      </w:pPr>
      <w:r w:rsidRPr="009118AB">
        <w:tab/>
        <w:t>Der Gesamtbetrag der Steuerermäßigung darf pro Besteuerungszeitraum und pro Wohnung nicht mehr als 2.000 EUR betragen.</w:t>
      </w:r>
    </w:p>
    <w:p w14:paraId="2055B46F" w14:textId="77777777" w:rsidR="006E6786" w:rsidRPr="009118AB" w:rsidRDefault="006E6786" w:rsidP="006E6786">
      <w:pPr>
        <w:jc w:val="both"/>
      </w:pPr>
    </w:p>
    <w:p w14:paraId="12F7CE1C" w14:textId="77777777" w:rsidR="006E6786" w:rsidRPr="009118AB" w:rsidRDefault="006E6786" w:rsidP="006E6786">
      <w:pPr>
        <w:jc w:val="both"/>
      </w:pPr>
      <w:r w:rsidRPr="009118AB">
        <w:t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47AABC19" w14:textId="77777777" w:rsidR="006E6786" w:rsidRPr="009118AB" w:rsidRDefault="006E6786" w:rsidP="006E6786">
      <w:pPr>
        <w:jc w:val="both"/>
      </w:pPr>
    </w:p>
    <w:p w14:paraId="7BFEE032" w14:textId="77777777" w:rsidR="006E6786" w:rsidRPr="009118AB" w:rsidRDefault="006E6786" w:rsidP="006E6786">
      <w:pPr>
        <w:jc w:val="both"/>
      </w:pPr>
      <w:r w:rsidRPr="009118AB">
        <w:tab/>
        <w:t>Der König legt die Bedingungen fest, denen die Arbeiten in Bezug auf die in Absatz 1 erwähnten Ausgaben unterliegen.]</w:t>
      </w:r>
    </w:p>
    <w:p w14:paraId="7BEBEB8D" w14:textId="77777777" w:rsidR="006E6786" w:rsidRPr="009118AB" w:rsidRDefault="006E6786" w:rsidP="006E6786">
      <w:pPr>
        <w:jc w:val="both"/>
      </w:pPr>
    </w:p>
    <w:p w14:paraId="24B87723" w14:textId="1BC9ACF4" w:rsidR="006E6786" w:rsidRPr="009118AB" w:rsidRDefault="006E6786" w:rsidP="006E6786">
      <w:pPr>
        <w:jc w:val="both"/>
        <w:rPr>
          <w:rFonts w:ascii="Times New Roman Italique" w:hAnsi="Times New Roman Italique"/>
          <w:iCs/>
        </w:rPr>
      </w:pPr>
      <w:r w:rsidRPr="009118AB">
        <w:rPr>
          <w:rFonts w:ascii="Times New Roman Italique" w:hAnsi="Times New Roman Italique"/>
          <w:i/>
        </w:rPr>
        <w:t>[</w:t>
      </w:r>
      <w:r w:rsidR="00D67EB8" w:rsidRPr="009118AB">
        <w:rPr>
          <w:rFonts w:ascii="Times New Roman Italique" w:hAnsi="Times New Roman Italique"/>
          <w:i/>
        </w:rPr>
        <w:t>Art. </w:t>
      </w:r>
      <w:r w:rsidRPr="009118AB">
        <w:rPr>
          <w:rFonts w:ascii="Times New Roman Italique" w:hAnsi="Times New Roman Italique"/>
          <w:i/>
        </w:rPr>
        <w:t>145</w:t>
      </w:r>
      <w:r w:rsidRPr="009118AB">
        <w:rPr>
          <w:rFonts w:ascii="Times New Roman Italique" w:hAnsi="Times New Roman Italique"/>
          <w:i/>
          <w:vertAlign w:val="superscript"/>
        </w:rPr>
        <w:t>47</w:t>
      </w:r>
      <w:r w:rsidRPr="009118AB">
        <w:rPr>
          <w:rFonts w:ascii="Times New Roman Italique" w:hAnsi="Times New Roman Italique"/>
          <w:i/>
        </w:rPr>
        <w:t xml:space="preserve"> eingefügt durch </w:t>
      </w:r>
      <w:r w:rsidR="00D67EB8" w:rsidRPr="009118AB">
        <w:rPr>
          <w:rFonts w:ascii="Times New Roman Italique" w:hAnsi="Times New Roman Italique"/>
          <w:i/>
        </w:rPr>
        <w:t>Art. </w:t>
      </w:r>
      <w:r w:rsidRPr="009118AB">
        <w:rPr>
          <w:rFonts w:ascii="Times New Roman Italique" w:hAnsi="Times New Roman Italique"/>
          <w:i/>
        </w:rPr>
        <w:t>55 des G. vom 8. Mai</w:t>
      </w:r>
      <w:r w:rsidR="00B3148A" w:rsidRPr="009118AB">
        <w:rPr>
          <w:rFonts w:ascii="Times New Roman Italique" w:hAnsi="Times New Roman Italique"/>
          <w:i/>
        </w:rPr>
        <w:t> 2014 (B.S. vom 28. Mai 2014)</w:t>
      </w:r>
      <w:r w:rsidR="00D67EB8" w:rsidRPr="009118AB">
        <w:rPr>
          <w:rFonts w:ascii="Times New Roman Italique" w:hAnsi="Times New Roman Italique"/>
          <w:i/>
        </w:rPr>
        <w:t> - </w:t>
      </w:r>
      <w:r w:rsidRPr="009118AB">
        <w:rPr>
          <w:rFonts w:ascii="Times New Roman Italique" w:hAnsi="Times New Roman Italique"/>
          <w:i/>
          <w:iCs/>
        </w:rPr>
        <w:t>anwendbar ab dem Steuerjahr 2015</w:t>
      </w:r>
      <w:r w:rsidR="00FD68E8" w:rsidRPr="009118AB">
        <w:rPr>
          <w:rFonts w:ascii="Times New Roman Italique" w:hAnsi="Times New Roman Italique"/>
          <w:i/>
          <w:iCs/>
        </w:rPr>
        <w:t> -]</w:t>
      </w:r>
    </w:p>
    <w:p w14:paraId="4B34F4F8" w14:textId="49A6BCB0" w:rsidR="00903D1D" w:rsidRPr="009118AB" w:rsidRDefault="00903D1D">
      <w:pPr>
        <w:rPr>
          <w:rFonts w:ascii="Times New Roman Italique" w:hAnsi="Times New Roman Italique"/>
          <w:iCs/>
        </w:rPr>
      </w:pPr>
      <w:r w:rsidRPr="009118AB">
        <w:rPr>
          <w:rFonts w:ascii="Times New Roman Italique" w:hAnsi="Times New Roman Italique"/>
          <w:iCs/>
        </w:rPr>
        <w:br w:type="page"/>
      </w:r>
    </w:p>
    <w:p w14:paraId="7C2B6E3D" w14:textId="5E567E53" w:rsidR="00903D1D" w:rsidRPr="009118AB" w:rsidRDefault="00903D1D" w:rsidP="00903D1D">
      <w:pPr>
        <w:autoSpaceDE w:val="0"/>
        <w:autoSpaceDN w:val="0"/>
        <w:adjustRightInd w:val="0"/>
        <w:jc w:val="center"/>
      </w:pPr>
      <w:r w:rsidRPr="009118AB">
        <w:lastRenderedPageBreak/>
        <w:t>[Unterabschnitt 2</w:t>
      </w:r>
      <w:r w:rsidRPr="009118AB">
        <w:rPr>
          <w:i/>
        </w:rPr>
        <w:t>vicies</w:t>
      </w:r>
      <w:r w:rsidR="00D67EB8" w:rsidRPr="009118AB">
        <w:t> - </w:t>
      </w:r>
      <w:r w:rsidRPr="009118AB">
        <w:t>Ermäßigung für Ausgaben, die im Rahmen eines Adoptionsverfahrens getätigt werden]</w:t>
      </w:r>
    </w:p>
    <w:p w14:paraId="29310370" w14:textId="77777777" w:rsidR="00903D1D" w:rsidRPr="009118AB" w:rsidRDefault="00903D1D" w:rsidP="00903D1D">
      <w:pPr>
        <w:autoSpaceDE w:val="0"/>
        <w:autoSpaceDN w:val="0"/>
        <w:adjustRightInd w:val="0"/>
        <w:jc w:val="center"/>
      </w:pPr>
    </w:p>
    <w:p w14:paraId="585D9B1B" w14:textId="55912581" w:rsidR="00903D1D" w:rsidRPr="009118AB" w:rsidRDefault="00903D1D" w:rsidP="00903D1D">
      <w:pPr>
        <w:autoSpaceDE w:val="0"/>
        <w:autoSpaceDN w:val="0"/>
        <w:adjustRightInd w:val="0"/>
        <w:jc w:val="both"/>
        <w:rPr>
          <w:i/>
        </w:rPr>
      </w:pPr>
      <w:r w:rsidRPr="009118AB">
        <w:rPr>
          <w:i/>
        </w:rPr>
        <w:t xml:space="preserve">[Unterteilung Unterabschnitt 2vicies eingefügt durch </w:t>
      </w:r>
      <w:r w:rsidR="00D67EB8" w:rsidRPr="009118AB">
        <w:rPr>
          <w:i/>
        </w:rPr>
        <w:t>Art. </w:t>
      </w:r>
      <w:r w:rsidRPr="009118AB">
        <w:rPr>
          <w:i/>
        </w:rPr>
        <w:t>2 des G. vom 11. März 2018 (B.S. vom 23. März 2018)</w:t>
      </w:r>
      <w:r w:rsidR="00D67EB8" w:rsidRPr="009118AB">
        <w:rPr>
          <w:i/>
        </w:rPr>
        <w:t> - </w:t>
      </w:r>
      <w:r w:rsidRPr="009118AB">
        <w:rPr>
          <w:i/>
        </w:rPr>
        <w:t>anwendbar ab dem Steuerjahr 2019</w:t>
      </w:r>
      <w:r w:rsidR="00FD68E8" w:rsidRPr="009118AB">
        <w:rPr>
          <w:i/>
        </w:rPr>
        <w:t> -]</w:t>
      </w:r>
    </w:p>
    <w:p w14:paraId="1A143639" w14:textId="77777777" w:rsidR="00903D1D" w:rsidRPr="009118AB" w:rsidRDefault="00903D1D" w:rsidP="00903D1D">
      <w:pPr>
        <w:autoSpaceDE w:val="0"/>
        <w:autoSpaceDN w:val="0"/>
        <w:adjustRightInd w:val="0"/>
        <w:jc w:val="both"/>
      </w:pPr>
    </w:p>
    <w:p w14:paraId="1470F343" w14:textId="77777777" w:rsidR="00903D1D" w:rsidRPr="009118AB" w:rsidRDefault="00903D1D" w:rsidP="00903D1D">
      <w:pPr>
        <w:autoSpaceDE w:val="0"/>
        <w:autoSpaceDN w:val="0"/>
        <w:adjustRightInd w:val="0"/>
        <w:jc w:val="both"/>
      </w:pPr>
    </w:p>
    <w:p w14:paraId="4C3120EA" w14:textId="0545A276" w:rsidR="00903D1D" w:rsidRPr="009118AB" w:rsidRDefault="00903D1D" w:rsidP="00903D1D">
      <w:pPr>
        <w:ind w:firstLine="708"/>
        <w:jc w:val="both"/>
      </w:pPr>
      <w:r w:rsidRPr="009118AB">
        <w:tab/>
        <w:t>[</w:t>
      </w:r>
      <w:r w:rsidR="00D67EB8" w:rsidRPr="009118AB">
        <w:rPr>
          <w:b/>
        </w:rPr>
        <w:t>Art. </w:t>
      </w:r>
      <w:r w:rsidRPr="009118AB">
        <w:rPr>
          <w:b/>
        </w:rPr>
        <w:t>145</w:t>
      </w:r>
      <w:r w:rsidRPr="009118AB">
        <w:rPr>
          <w:b/>
          <w:vertAlign w:val="superscript"/>
        </w:rPr>
        <w:t>48</w:t>
      </w:r>
      <w:r w:rsidR="00D67EB8" w:rsidRPr="009118AB">
        <w:t> - </w:t>
      </w:r>
      <w:r w:rsidRPr="009118AB">
        <w:t>Für Ausgaben, die der Steuerpflichtige im Rahmen eines Adoptions</w:t>
      </w:r>
      <w:r w:rsidRPr="009118AB">
        <w:softHyphen/>
        <w:t>verfahrens getätigt hat, an dem ein zugelassener Adoptionsdienst beteiligt ist, wird eine Steuerermäßigung gewährt.</w:t>
      </w:r>
    </w:p>
    <w:p w14:paraId="13C8871A" w14:textId="77777777" w:rsidR="00903D1D" w:rsidRPr="009118AB" w:rsidRDefault="00903D1D" w:rsidP="00903D1D">
      <w:pPr>
        <w:jc w:val="both"/>
      </w:pPr>
    </w:p>
    <w:p w14:paraId="0EF3BEF9" w14:textId="77777777" w:rsidR="00903D1D" w:rsidRPr="009118AB" w:rsidRDefault="00903D1D" w:rsidP="00903D1D">
      <w:pPr>
        <w:ind w:firstLine="708"/>
        <w:jc w:val="both"/>
      </w:pPr>
      <w:r w:rsidRPr="009118AB">
        <w:t>Unter Ausgaben, die im Rahmen eines Adoptionsverfahrens getätigt werden, versteht man:</w:t>
      </w:r>
    </w:p>
    <w:p w14:paraId="37F217B8" w14:textId="77777777" w:rsidR="00903D1D" w:rsidRPr="009118AB" w:rsidRDefault="00903D1D" w:rsidP="00903D1D">
      <w:pPr>
        <w:jc w:val="both"/>
      </w:pPr>
    </w:p>
    <w:p w14:paraId="5D84CFB3" w14:textId="77777777" w:rsidR="00903D1D" w:rsidRPr="009118AB" w:rsidRDefault="00903D1D" w:rsidP="00903D1D">
      <w:pPr>
        <w:ind w:firstLine="708"/>
        <w:jc w:val="both"/>
        <w:rPr>
          <w:i/>
        </w:rPr>
      </w:pPr>
      <w:r w:rsidRPr="009118AB">
        <w:rPr>
          <w:i/>
        </w:rPr>
        <w:t>1. im Falle einer Inlandsadoption:</w:t>
      </w:r>
    </w:p>
    <w:p w14:paraId="4B20E868" w14:textId="77777777" w:rsidR="00903D1D" w:rsidRPr="009118AB" w:rsidRDefault="00903D1D" w:rsidP="00903D1D">
      <w:pPr>
        <w:jc w:val="both"/>
      </w:pPr>
    </w:p>
    <w:p w14:paraId="4880CA94" w14:textId="77777777" w:rsidR="00903D1D" w:rsidRPr="009118AB" w:rsidRDefault="00903D1D" w:rsidP="00903D1D">
      <w:pPr>
        <w:ind w:firstLine="708"/>
        <w:jc w:val="both"/>
      </w:pPr>
      <w:r w:rsidRPr="009118AB">
        <w:rPr>
          <w:i/>
        </w:rPr>
        <w:t>a)</w:t>
      </w:r>
      <w:r w:rsidRPr="009118AB">
        <w:t> Ausgaben in Zusammenhang mit dem Eignungsverfahren,</w:t>
      </w:r>
    </w:p>
    <w:p w14:paraId="0FE85FB8" w14:textId="77777777" w:rsidR="00903D1D" w:rsidRPr="009118AB" w:rsidRDefault="00903D1D" w:rsidP="00903D1D">
      <w:pPr>
        <w:jc w:val="both"/>
      </w:pPr>
    </w:p>
    <w:p w14:paraId="60ACC20D" w14:textId="77777777" w:rsidR="00903D1D" w:rsidRPr="009118AB" w:rsidRDefault="00903D1D" w:rsidP="00903D1D">
      <w:pPr>
        <w:ind w:firstLine="708"/>
        <w:jc w:val="both"/>
      </w:pPr>
      <w:r w:rsidRPr="009118AB">
        <w:rPr>
          <w:i/>
        </w:rPr>
        <w:t>b)</w:t>
      </w:r>
      <w:r w:rsidRPr="009118AB">
        <w:t> Ausgaben für Kosten, die von einem zugelassenen Adoptionsdienst in Rechnung gestellt werden,</w:t>
      </w:r>
    </w:p>
    <w:p w14:paraId="5E9D4D01" w14:textId="77777777" w:rsidR="00903D1D" w:rsidRPr="009118AB" w:rsidRDefault="00903D1D" w:rsidP="00903D1D">
      <w:pPr>
        <w:jc w:val="both"/>
      </w:pPr>
    </w:p>
    <w:p w14:paraId="53A008DD" w14:textId="77777777" w:rsidR="00903D1D" w:rsidRPr="009118AB" w:rsidRDefault="00903D1D" w:rsidP="00903D1D">
      <w:pPr>
        <w:ind w:firstLine="708"/>
        <w:jc w:val="both"/>
        <w:rPr>
          <w:i/>
        </w:rPr>
      </w:pPr>
      <w:r w:rsidRPr="009118AB">
        <w:rPr>
          <w:i/>
        </w:rPr>
        <w:t>2. im Falle einer internationalen Adoption:</w:t>
      </w:r>
    </w:p>
    <w:p w14:paraId="3D80D689" w14:textId="77777777" w:rsidR="00903D1D" w:rsidRPr="009118AB" w:rsidRDefault="00903D1D" w:rsidP="00903D1D">
      <w:pPr>
        <w:jc w:val="both"/>
      </w:pPr>
    </w:p>
    <w:p w14:paraId="12B30DDB" w14:textId="77777777" w:rsidR="00903D1D" w:rsidRPr="009118AB" w:rsidRDefault="00903D1D" w:rsidP="00903D1D">
      <w:pPr>
        <w:ind w:firstLine="708"/>
        <w:jc w:val="both"/>
      </w:pPr>
      <w:r w:rsidRPr="009118AB">
        <w:rPr>
          <w:i/>
        </w:rPr>
        <w:t>a)</w:t>
      </w:r>
      <w:r w:rsidRPr="009118AB">
        <w:t> Ausgaben in Zusammenhang mit dem Eignungsverfahren,</w:t>
      </w:r>
    </w:p>
    <w:p w14:paraId="7A2733FE" w14:textId="77777777" w:rsidR="00903D1D" w:rsidRPr="009118AB" w:rsidRDefault="00903D1D" w:rsidP="00903D1D">
      <w:pPr>
        <w:jc w:val="both"/>
      </w:pPr>
    </w:p>
    <w:p w14:paraId="4D028245" w14:textId="77777777" w:rsidR="00903D1D" w:rsidRPr="009118AB" w:rsidRDefault="00903D1D" w:rsidP="00903D1D">
      <w:pPr>
        <w:ind w:firstLine="708"/>
        <w:jc w:val="both"/>
      </w:pPr>
      <w:r w:rsidRPr="009118AB">
        <w:rPr>
          <w:i/>
        </w:rPr>
        <w:t>b)</w:t>
      </w:r>
      <w:r w:rsidRPr="009118AB">
        <w:t> Ausgaben für Kosten, die von einem in Belgien zugelassenen Adoptionsdienst in Rechnung gestellt werden,</w:t>
      </w:r>
    </w:p>
    <w:p w14:paraId="744C7997" w14:textId="77777777" w:rsidR="00903D1D" w:rsidRPr="009118AB" w:rsidRDefault="00903D1D" w:rsidP="00903D1D">
      <w:pPr>
        <w:ind w:firstLine="708"/>
        <w:jc w:val="both"/>
        <w:rPr>
          <w:i/>
        </w:rPr>
      </w:pPr>
    </w:p>
    <w:p w14:paraId="34E17E9B" w14:textId="77777777" w:rsidR="00903D1D" w:rsidRPr="009118AB" w:rsidRDefault="00903D1D" w:rsidP="00903D1D">
      <w:pPr>
        <w:ind w:firstLine="708"/>
        <w:jc w:val="both"/>
      </w:pPr>
      <w:r w:rsidRPr="009118AB">
        <w:rPr>
          <w:i/>
        </w:rPr>
        <w:t>c)</w:t>
      </w:r>
      <w:r w:rsidRPr="009118AB">
        <w:t> unter der Bedingung, dass die Adoption in Belgien anerkannt oder durch ein Urteil ausgesprochen wird, Ausgaben für Bearbeitungsgebühren im Herkunftsland des Adoptiv</w:t>
      </w:r>
      <w:r w:rsidRPr="009118AB">
        <w:softHyphen/>
        <w:t>kindes,</w:t>
      </w:r>
    </w:p>
    <w:p w14:paraId="49C2D7C0" w14:textId="77777777" w:rsidR="00903D1D" w:rsidRPr="009118AB" w:rsidRDefault="00903D1D" w:rsidP="00903D1D">
      <w:pPr>
        <w:jc w:val="both"/>
      </w:pPr>
    </w:p>
    <w:p w14:paraId="52DBB99D" w14:textId="77777777" w:rsidR="00903D1D" w:rsidRPr="009118AB" w:rsidRDefault="00903D1D" w:rsidP="00903D1D">
      <w:pPr>
        <w:ind w:firstLine="708"/>
        <w:jc w:val="both"/>
      </w:pPr>
      <w:r w:rsidRPr="009118AB">
        <w:rPr>
          <w:i/>
        </w:rPr>
        <w:t>d)</w:t>
      </w:r>
      <w:r w:rsidRPr="009118AB">
        <w:t> unter der Bedingung, dass die Adoption in Belgien anerkannt oder durch ein Urteil ausgesprochen wird, Ausgaben für eine Hin- und Rückreise des Adoptivelternteils, gegebenenfalls beider Adoptivelternteile, in das/aus dem Herkunftsland des Adoptivkindes und Kosten für die Beförderung des Adoptivkindes zum Wohnort des Adoptivelternteils oder der Adoptiveltern,</w:t>
      </w:r>
    </w:p>
    <w:p w14:paraId="526CA635" w14:textId="77777777" w:rsidR="00903D1D" w:rsidRPr="009118AB" w:rsidRDefault="00903D1D" w:rsidP="00903D1D">
      <w:pPr>
        <w:jc w:val="both"/>
      </w:pPr>
    </w:p>
    <w:p w14:paraId="2D3127DB" w14:textId="77777777" w:rsidR="00903D1D" w:rsidRPr="009118AB" w:rsidRDefault="00903D1D" w:rsidP="00903D1D">
      <w:pPr>
        <w:ind w:firstLine="708"/>
        <w:jc w:val="both"/>
      </w:pPr>
      <w:r w:rsidRPr="009118AB">
        <w:rPr>
          <w:i/>
        </w:rPr>
        <w:t>e)</w:t>
      </w:r>
      <w:r w:rsidRPr="009118AB">
        <w:t> unter der Bedingung, dass die Adoption in Belgien anerkannt oder durch ein Urteil ausgesprochen wird, Ausgaben für den Aufenthalt des Adoptivelternteils, gegebenenfalls beider Adoptivelternteile, im Herkunftsland des Adoptivkindes.</w:t>
      </w:r>
    </w:p>
    <w:p w14:paraId="51D2C5EA" w14:textId="77777777" w:rsidR="00903D1D" w:rsidRPr="009118AB" w:rsidRDefault="00903D1D" w:rsidP="00903D1D">
      <w:pPr>
        <w:jc w:val="both"/>
      </w:pPr>
    </w:p>
    <w:p w14:paraId="1DFF752E" w14:textId="77777777" w:rsidR="00903D1D" w:rsidRPr="009118AB" w:rsidRDefault="00903D1D" w:rsidP="00903D1D">
      <w:pPr>
        <w:ind w:firstLine="708"/>
        <w:jc w:val="both"/>
      </w:pPr>
      <w:r w:rsidRPr="009118AB">
        <w:t>Die Steuerermäßigung wird in dem Besteuerungszeitraum gewährt, in dem das Adoptionsverfahren abgeschlossen wird, für Ausgaben, die in diesem Besteuerungszeitraum und in den fünf vorhergehenden Besteuerungszeiträumen getätigt worden sind.</w:t>
      </w:r>
    </w:p>
    <w:p w14:paraId="6C3F3103" w14:textId="77777777" w:rsidR="00903D1D" w:rsidRPr="009118AB" w:rsidRDefault="00903D1D" w:rsidP="00903D1D">
      <w:pPr>
        <w:jc w:val="both"/>
      </w:pPr>
    </w:p>
    <w:p w14:paraId="4F482EFC" w14:textId="77777777" w:rsidR="00903D1D" w:rsidRPr="009118AB" w:rsidRDefault="00903D1D" w:rsidP="00903D1D">
      <w:pPr>
        <w:ind w:firstLine="708"/>
        <w:jc w:val="both"/>
      </w:pPr>
      <w:r w:rsidRPr="009118AB">
        <w:t>Die Steuerermäßigung beträgt 20 Prozent der in Betracht kommenden Ausgaben. Sie kann nicht mehr als 4.000 EUR pro Adoptionsverfahren betragen. Wird das Adoptions</w:t>
      </w:r>
      <w:r w:rsidRPr="009118AB">
        <w:softHyphen/>
        <w:t>verfahren durch zwei Steuerpflichtige eingeleitet, wird dieser Höchstbetrag für jeden dieser Steuerpflichtigen auf die Hälfte begrenzt.</w:t>
      </w:r>
    </w:p>
    <w:p w14:paraId="1F3F4CCB" w14:textId="77777777" w:rsidR="00903D1D" w:rsidRPr="009118AB" w:rsidRDefault="00903D1D" w:rsidP="00903D1D">
      <w:pPr>
        <w:jc w:val="both"/>
      </w:pPr>
    </w:p>
    <w:p w14:paraId="5A71DA04" w14:textId="77777777" w:rsidR="00903D1D" w:rsidRPr="009118AB" w:rsidRDefault="00903D1D" w:rsidP="00903D1D">
      <w:pPr>
        <w:ind w:firstLine="708"/>
        <w:jc w:val="both"/>
      </w:pPr>
      <w:r w:rsidRPr="009118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5CC5B639" w14:textId="77777777" w:rsidR="00903D1D" w:rsidRPr="009118AB" w:rsidRDefault="00903D1D" w:rsidP="00903D1D">
      <w:pPr>
        <w:jc w:val="both"/>
      </w:pPr>
    </w:p>
    <w:p w14:paraId="27ECA2B1" w14:textId="77777777" w:rsidR="00903D1D" w:rsidRPr="009118AB" w:rsidRDefault="00903D1D" w:rsidP="00903D1D">
      <w:pPr>
        <w:autoSpaceDE w:val="0"/>
        <w:autoSpaceDN w:val="0"/>
        <w:adjustRightInd w:val="0"/>
        <w:ind w:firstLine="708"/>
        <w:jc w:val="both"/>
      </w:pPr>
      <w:r w:rsidRPr="009118AB">
        <w:t>Der König legt genauere Bedingungen fest, die die in Absatz 2 erwähnten Ausgaben erfüllen müssen, um zu der Steuerermäßigung zu berechtigen. Er kann pro Herkunftsland oder Gruppe von Herkunftsländern für die in Absatz 2 Buchstabe </w:t>
      </w:r>
      <w:r w:rsidRPr="009118AB">
        <w:rPr>
          <w:i/>
        </w:rPr>
        <w:t>e)</w:t>
      </w:r>
      <w:r w:rsidRPr="009118AB">
        <w:t xml:space="preserve"> erwähnten Ausgaben für den Aufenthalt einen Höchstbetrag pro Tag festlegen. Der König bestimmt ebenfalls, wann das Adoptionsverfahren als abgeschlossen gilt.]</w:t>
      </w:r>
    </w:p>
    <w:p w14:paraId="3C2A2F0D" w14:textId="77777777" w:rsidR="00903D1D" w:rsidRPr="009118AB" w:rsidRDefault="00903D1D" w:rsidP="00903D1D">
      <w:pPr>
        <w:autoSpaceDE w:val="0"/>
        <w:autoSpaceDN w:val="0"/>
        <w:adjustRightInd w:val="0"/>
        <w:jc w:val="center"/>
      </w:pPr>
    </w:p>
    <w:p w14:paraId="395BDBE4" w14:textId="2F246BDE" w:rsidR="00903D1D" w:rsidRPr="009118AB" w:rsidRDefault="00903D1D" w:rsidP="00903D1D">
      <w:pPr>
        <w:autoSpaceDE w:val="0"/>
        <w:autoSpaceDN w:val="0"/>
        <w:adjustRightInd w:val="0"/>
        <w:jc w:val="both"/>
        <w:rPr>
          <w:i/>
        </w:rPr>
      </w:pPr>
      <w:r w:rsidRPr="009118AB">
        <w:rPr>
          <w:i/>
        </w:rPr>
        <w:t>[</w:t>
      </w:r>
      <w:r w:rsidR="00D67EB8" w:rsidRPr="009118AB">
        <w:rPr>
          <w:i/>
        </w:rPr>
        <w:t>Art. </w:t>
      </w:r>
      <w:r w:rsidRPr="009118AB">
        <w:rPr>
          <w:i/>
        </w:rPr>
        <w:t>145</w:t>
      </w:r>
      <w:r w:rsidRPr="009118AB">
        <w:rPr>
          <w:i/>
          <w:vertAlign w:val="superscript"/>
        </w:rPr>
        <w:t xml:space="preserve">48 </w:t>
      </w:r>
      <w:r w:rsidRPr="009118AB">
        <w:rPr>
          <w:i/>
        </w:rPr>
        <w:t xml:space="preserve">eingefügt durch </w:t>
      </w:r>
      <w:r w:rsidR="00D67EB8" w:rsidRPr="009118AB">
        <w:rPr>
          <w:i/>
        </w:rPr>
        <w:t>Art. </w:t>
      </w:r>
      <w:r w:rsidRPr="009118AB">
        <w:rPr>
          <w:i/>
        </w:rPr>
        <w:t>3 des G. vom 11. März 2018 (B.S. vom 23. März 2018)</w:t>
      </w:r>
      <w:r w:rsidR="00D67EB8" w:rsidRPr="009118AB">
        <w:rPr>
          <w:i/>
        </w:rPr>
        <w:t> - </w:t>
      </w:r>
      <w:r w:rsidRPr="009118AB">
        <w:rPr>
          <w:i/>
        </w:rPr>
        <w:t>anwendbar ab dem Steuerjahr 2019</w:t>
      </w:r>
      <w:r w:rsidR="00FD68E8" w:rsidRPr="009118AB">
        <w:rPr>
          <w:i/>
        </w:rPr>
        <w:t> -]</w:t>
      </w:r>
    </w:p>
    <w:p w14:paraId="79DEDD16" w14:textId="77777777" w:rsidR="00B447E8" w:rsidRPr="009118AB" w:rsidRDefault="00B447E8">
      <w:r w:rsidRPr="009118AB">
        <w:br w:type="page"/>
      </w:r>
    </w:p>
    <w:p w14:paraId="3A269EB0" w14:textId="22A2D6A1" w:rsidR="00B447E8" w:rsidRPr="009118AB" w:rsidRDefault="00B447E8" w:rsidP="00B447E8">
      <w:pPr>
        <w:jc w:val="center"/>
      </w:pPr>
      <w:r w:rsidRPr="009118AB">
        <w:lastRenderedPageBreak/>
        <w:t>[Unterabschnitt 2</w:t>
      </w:r>
      <w:r w:rsidRPr="009118AB">
        <w:rPr>
          <w:i/>
          <w:iCs/>
        </w:rPr>
        <w:t>vicies semel</w:t>
      </w:r>
      <w:r w:rsidR="00D67EB8" w:rsidRPr="009118AB">
        <w:t> - </w:t>
      </w:r>
      <w:r w:rsidRPr="009118AB">
        <w:t>Ermäßigung für Rechtsschutzversicherungsprämien]</w:t>
      </w:r>
    </w:p>
    <w:p w14:paraId="56293A5D" w14:textId="77777777" w:rsidR="00B447E8" w:rsidRPr="009118AB" w:rsidRDefault="00B447E8" w:rsidP="00B447E8">
      <w:pPr>
        <w:jc w:val="center"/>
      </w:pPr>
    </w:p>
    <w:p w14:paraId="24672AB3" w14:textId="0A1A4D91" w:rsidR="00B447E8" w:rsidRPr="009118AB" w:rsidRDefault="00B447E8" w:rsidP="00B447E8">
      <w:pPr>
        <w:jc w:val="both"/>
        <w:rPr>
          <w:rFonts w:ascii="Times New Roman Italique" w:hAnsi="Times New Roman Italique"/>
        </w:rPr>
      </w:pPr>
      <w:r w:rsidRPr="009118AB">
        <w:rPr>
          <w:i/>
        </w:rPr>
        <w:t xml:space="preserve">[Unterteilung Unterabschnitt 2vicies semel eingefügt durch </w:t>
      </w:r>
      <w:r w:rsidR="00D67EB8" w:rsidRPr="009118AB">
        <w:rPr>
          <w:i/>
        </w:rPr>
        <w:t>Art. </w:t>
      </w:r>
      <w:r w:rsidRPr="009118AB">
        <w:rPr>
          <w:i/>
        </w:rPr>
        <w:t>14</w:t>
      </w:r>
      <w:r w:rsidRPr="009118AB">
        <w:rPr>
          <w:rFonts w:ascii="Times New Roman Italique" w:hAnsi="Times New Roman Italique"/>
          <w:i/>
        </w:rPr>
        <w:t xml:space="preserve"> des G. vom 22. April 2019</w:t>
      </w:r>
      <w:r w:rsidR="00E9160D" w:rsidRPr="009118AB">
        <w:rPr>
          <w:rFonts w:ascii="Times New Roman Italique" w:hAnsi="Times New Roman Italique"/>
          <w:i/>
        </w:rPr>
        <w:t> (I)</w:t>
      </w:r>
      <w:r w:rsidRPr="009118AB">
        <w:rPr>
          <w:rFonts w:ascii="Times New Roman Italique" w:hAnsi="Times New Roman Italique"/>
          <w:i/>
        </w:rPr>
        <w:t xml:space="preserve"> (B.S. vom 8. Mai 2019)</w:t>
      </w:r>
      <w:r w:rsidR="00D67EB8" w:rsidRPr="009118AB">
        <w:rPr>
          <w:rFonts w:ascii="Times New Roman Italique" w:hAnsi="Times New Roman Italique"/>
          <w:i/>
        </w:rPr>
        <w:t> - </w:t>
      </w:r>
      <w:r w:rsidRPr="009118AB">
        <w:rPr>
          <w:rFonts w:ascii="Times New Roman Italique" w:hAnsi="Times New Roman Italique"/>
          <w:i/>
        </w:rPr>
        <w:t>anwendbar ab dem Steuerjahr 2020 auf die ab dem 1. September 2019 gezahlten Prämien</w:t>
      </w:r>
      <w:r w:rsidR="00FD68E8" w:rsidRPr="009118AB">
        <w:rPr>
          <w:rFonts w:ascii="Times New Roman Italique" w:hAnsi="Times New Roman Italique"/>
          <w:i/>
        </w:rPr>
        <w:t> -]</w:t>
      </w:r>
    </w:p>
    <w:p w14:paraId="704FB5C2" w14:textId="77777777" w:rsidR="00B447E8" w:rsidRPr="009118AB" w:rsidRDefault="00B447E8" w:rsidP="00B447E8">
      <w:pPr>
        <w:jc w:val="both"/>
        <w:rPr>
          <w:rFonts w:ascii="Times New Roman Italique" w:hAnsi="Times New Roman Italique"/>
        </w:rPr>
      </w:pPr>
    </w:p>
    <w:p w14:paraId="49577722" w14:textId="77777777" w:rsidR="00B447E8" w:rsidRPr="009118AB" w:rsidRDefault="00B447E8" w:rsidP="00B447E8">
      <w:pPr>
        <w:jc w:val="both"/>
        <w:rPr>
          <w:rFonts w:ascii="Times New Roman Italique" w:hAnsi="Times New Roman Italique"/>
        </w:rPr>
      </w:pPr>
    </w:p>
    <w:p w14:paraId="6E8B8469" w14:textId="089CE29C" w:rsidR="00B447E8" w:rsidRPr="009118AB" w:rsidRDefault="00B447E8" w:rsidP="00B447E8">
      <w:pPr>
        <w:ind w:firstLine="708"/>
        <w:jc w:val="both"/>
      </w:pPr>
      <w:r w:rsidRPr="009118AB">
        <w:rPr>
          <w:rFonts w:ascii="Times New Roman Italique" w:hAnsi="Times New Roman Italique"/>
        </w:rPr>
        <w:tab/>
      </w:r>
      <w:r w:rsidRPr="009118AB">
        <w:t>[</w:t>
      </w:r>
      <w:r w:rsidR="00D67EB8" w:rsidRPr="009118AB">
        <w:rPr>
          <w:b/>
        </w:rPr>
        <w:t>Art. </w:t>
      </w:r>
      <w:r w:rsidRPr="009118AB">
        <w:rPr>
          <w:b/>
        </w:rPr>
        <w:t>145</w:t>
      </w:r>
      <w:r w:rsidRPr="009118AB">
        <w:rPr>
          <w:b/>
          <w:vertAlign w:val="superscript"/>
        </w:rPr>
        <w:t>49</w:t>
      </w:r>
      <w:r w:rsidR="00D67EB8" w:rsidRPr="009118AB">
        <w:t> - § </w:t>
      </w:r>
      <w:r w:rsidRPr="009118AB">
        <w:t>1</w:t>
      </w:r>
      <w:r w:rsidR="00D67EB8" w:rsidRPr="009118AB">
        <w:t> - </w:t>
      </w:r>
      <w:r w:rsidRPr="009118AB">
        <w:t>Eine Steuerermäßigung wird für Prämien gewährt, die der Steuerpflichtige während des Besteuerungszeitraums tatsächlich gezahlt hat für einen Rechtsschutzversicherungsvertrag im Sinne von Artikel 154 des Gesetzes vom 4. April 2014 über die Versicherungen, den er individuell bei einem Versicherungsunternehmen abgeschlossen hat, das im Europäischen Wirtschaftsraum ansässig ist, und der alle in Kapitel 2 des Gesetzes vom 22. April 2019 zur Erleichterung des Zugangs zu einer Rechts</w:t>
      </w:r>
      <w:r w:rsidRPr="009118AB">
        <w:softHyphen/>
        <w:t>schutzversicherung erwähnten Bedingungen erfüllt.</w:t>
      </w:r>
    </w:p>
    <w:p w14:paraId="79639CB6" w14:textId="77777777" w:rsidR="00B447E8" w:rsidRPr="009118AB" w:rsidRDefault="00B447E8" w:rsidP="00B447E8">
      <w:pPr>
        <w:jc w:val="both"/>
      </w:pPr>
    </w:p>
    <w:p w14:paraId="7D7FF9F5" w14:textId="77777777" w:rsidR="00B447E8" w:rsidRPr="009118AB" w:rsidRDefault="00B447E8" w:rsidP="00B447E8">
      <w:pPr>
        <w:ind w:firstLine="708"/>
        <w:jc w:val="both"/>
      </w:pPr>
      <w:r w:rsidRPr="009118AB">
        <w:t>In Absatz 1 erwähnte Zahlungen kommen für die Steuerermäßigung nur bis zu einem Betrag von 195 EUR pro Besteuerungszeitraum in Betracht.</w:t>
      </w:r>
    </w:p>
    <w:p w14:paraId="31A53859" w14:textId="77777777" w:rsidR="00B447E8" w:rsidRPr="009118AB" w:rsidRDefault="00B447E8" w:rsidP="00B447E8">
      <w:pPr>
        <w:jc w:val="both"/>
      </w:pPr>
    </w:p>
    <w:p w14:paraId="2A6F6A0D" w14:textId="77777777" w:rsidR="00B447E8" w:rsidRPr="009118AB" w:rsidRDefault="00B447E8" w:rsidP="00B447E8">
      <w:pPr>
        <w:ind w:firstLine="708"/>
        <w:jc w:val="both"/>
      </w:pPr>
      <w:r w:rsidRPr="009118AB">
        <w:t>Die Steuerermäßigung beträgt 40 Prozent des in Betracht kommenden Betrags.</w:t>
      </w:r>
    </w:p>
    <w:p w14:paraId="0F4445A6" w14:textId="77777777" w:rsidR="00B447E8" w:rsidRPr="009118AB" w:rsidRDefault="00B447E8" w:rsidP="00B447E8">
      <w:pPr>
        <w:jc w:val="both"/>
      </w:pPr>
    </w:p>
    <w:p w14:paraId="4930AB60" w14:textId="0536049A" w:rsidR="00B447E8" w:rsidRPr="009118AB" w:rsidRDefault="00D67EB8" w:rsidP="00B447E8">
      <w:pPr>
        <w:ind w:firstLine="708"/>
        <w:jc w:val="both"/>
      </w:pPr>
      <w:r w:rsidRPr="009118AB">
        <w:t>§ </w:t>
      </w:r>
      <w:r w:rsidR="00B447E8" w:rsidRPr="009118AB">
        <w:t>2</w:t>
      </w:r>
      <w:r w:rsidRPr="009118AB">
        <w:t> - </w:t>
      </w:r>
      <w:r w:rsidR="00B447E8" w:rsidRPr="009118AB">
        <w:t>Die Steuerermäßigung wird auf der Grundlage einer jährlichen Bescheinigung gewährt, die der Versicherer ausstellt und in der bestätigt wird, dass der Vertrag alle in Kapitel 2 des Gesetzes vom 22. April 2019 zur Erleichterung des Zugangs zu einer Rechtsschutz</w:t>
      </w:r>
      <w:r w:rsidR="00B447E8" w:rsidRPr="009118AB">
        <w:softHyphen/>
        <w:t>versicherung erwähnten Bedingungen erfüllt.</w:t>
      </w:r>
    </w:p>
    <w:p w14:paraId="6B2B52F2" w14:textId="77777777" w:rsidR="00B447E8" w:rsidRPr="009118AB" w:rsidRDefault="00B447E8" w:rsidP="00B447E8">
      <w:pPr>
        <w:jc w:val="both"/>
      </w:pPr>
    </w:p>
    <w:p w14:paraId="71C7ABB0" w14:textId="77777777" w:rsidR="00B447E8" w:rsidRPr="009118AB" w:rsidRDefault="00B447E8" w:rsidP="00B447E8">
      <w:pPr>
        <w:ind w:firstLine="708"/>
        <w:jc w:val="both"/>
      </w:pPr>
      <w:r w:rsidRPr="009118AB">
        <w:t xml:space="preserve">Der König bestimmt Form und Inhalt der in Absatz 1 erwähnten Bescheinigung und die Frist, innerhalb deren die Bescheinigung ausgestellt werden muss.] </w:t>
      </w:r>
    </w:p>
    <w:p w14:paraId="211802B2" w14:textId="77777777" w:rsidR="00B447E8" w:rsidRPr="009118AB" w:rsidRDefault="00B447E8" w:rsidP="00B447E8">
      <w:pPr>
        <w:ind w:firstLine="708"/>
        <w:jc w:val="both"/>
      </w:pPr>
    </w:p>
    <w:p w14:paraId="18F73803" w14:textId="5FD2700E" w:rsidR="000E0042" w:rsidRPr="009118AB" w:rsidRDefault="00B447E8" w:rsidP="00B447E8">
      <w:pPr>
        <w:jc w:val="both"/>
        <w:rPr>
          <w:rFonts w:ascii="Times New Roman Italique" w:hAnsi="Times New Roman Italique"/>
          <w:iCs/>
        </w:rPr>
      </w:pPr>
      <w:r w:rsidRPr="009118AB">
        <w:rPr>
          <w:i/>
        </w:rPr>
        <w:t>[</w:t>
      </w:r>
      <w:r w:rsidR="00D67EB8" w:rsidRPr="009118AB">
        <w:rPr>
          <w:i/>
        </w:rPr>
        <w:t>Art. </w:t>
      </w:r>
      <w:r w:rsidRPr="009118AB">
        <w:rPr>
          <w:i/>
        </w:rPr>
        <w:t>145</w:t>
      </w:r>
      <w:r w:rsidRPr="009118AB">
        <w:rPr>
          <w:i/>
          <w:vertAlign w:val="superscript"/>
        </w:rPr>
        <w:t>49</w:t>
      </w:r>
      <w:r w:rsidRPr="009118AB">
        <w:rPr>
          <w:i/>
        </w:rPr>
        <w:t xml:space="preserve"> eingefügt durch </w:t>
      </w:r>
      <w:r w:rsidR="00D67EB8" w:rsidRPr="009118AB">
        <w:rPr>
          <w:i/>
        </w:rPr>
        <w:t>Art. </w:t>
      </w:r>
      <w:r w:rsidRPr="009118AB">
        <w:rPr>
          <w:i/>
        </w:rPr>
        <w:t>15</w:t>
      </w:r>
      <w:r w:rsidRPr="009118AB">
        <w:rPr>
          <w:rFonts w:ascii="Times New Roman Italique" w:hAnsi="Times New Roman Italique"/>
          <w:i/>
        </w:rPr>
        <w:t xml:space="preserve"> des G. vom 22. April 2019</w:t>
      </w:r>
      <w:r w:rsidR="00E9160D" w:rsidRPr="009118AB">
        <w:rPr>
          <w:rFonts w:ascii="Times New Roman Italique" w:hAnsi="Times New Roman Italique"/>
          <w:i/>
        </w:rPr>
        <w:t> (I)</w:t>
      </w:r>
      <w:r w:rsidRPr="009118AB">
        <w:rPr>
          <w:rFonts w:ascii="Times New Roman Italique" w:hAnsi="Times New Roman Italique"/>
          <w:i/>
        </w:rPr>
        <w:t xml:space="preserve"> (B.S. vom 8. Mai 2019)</w:t>
      </w:r>
      <w:r w:rsidR="00D67EB8" w:rsidRPr="009118AB">
        <w:rPr>
          <w:rFonts w:ascii="Times New Roman Italique" w:hAnsi="Times New Roman Italique"/>
          <w:i/>
        </w:rPr>
        <w:t> - </w:t>
      </w:r>
      <w:r w:rsidRPr="009118AB">
        <w:rPr>
          <w:rFonts w:ascii="Times New Roman Italique" w:hAnsi="Times New Roman Italique"/>
          <w:i/>
        </w:rPr>
        <w:t>anwendbar ab dem Steuerjahr 2020 auf die ab dem 1. September 2019 gezahlten Prämien</w:t>
      </w:r>
      <w:r w:rsidR="00FD68E8" w:rsidRPr="009118AB">
        <w:rPr>
          <w:rFonts w:ascii="Times New Roman Italique" w:hAnsi="Times New Roman Italique"/>
          <w:i/>
        </w:rPr>
        <w:t> -]</w:t>
      </w:r>
    </w:p>
    <w:p w14:paraId="4C954918" w14:textId="77777777" w:rsidR="000E0042" w:rsidRPr="009118AB" w:rsidRDefault="000E0042" w:rsidP="00B447E8">
      <w:pPr>
        <w:jc w:val="both"/>
        <w:rPr>
          <w:rFonts w:ascii="Times New Roman Italique" w:hAnsi="Times New Roman Italique"/>
          <w:iCs/>
        </w:rPr>
      </w:pPr>
    </w:p>
    <w:p w14:paraId="2E87ED1E" w14:textId="77777777" w:rsidR="000E0042" w:rsidRPr="009118AB" w:rsidRDefault="000E0042" w:rsidP="00B447E8">
      <w:pPr>
        <w:jc w:val="both"/>
        <w:rPr>
          <w:rFonts w:ascii="Times New Roman Italique" w:hAnsi="Times New Roman Italique"/>
          <w:iCs/>
        </w:rPr>
      </w:pPr>
    </w:p>
    <w:p w14:paraId="357AFC66" w14:textId="77777777" w:rsidR="000E0042" w:rsidRPr="009118AB" w:rsidRDefault="000E0042">
      <w:pPr>
        <w:rPr>
          <w:rFonts w:ascii="Times New Roman Italique" w:hAnsi="Times New Roman Italique"/>
          <w:iCs/>
        </w:rPr>
      </w:pPr>
      <w:r w:rsidRPr="009118AB">
        <w:rPr>
          <w:rFonts w:ascii="Times New Roman Italique" w:hAnsi="Times New Roman Italique"/>
          <w:iCs/>
        </w:rPr>
        <w:br w:type="page"/>
      </w:r>
    </w:p>
    <w:p w14:paraId="6337E545" w14:textId="3AFA1C3B" w:rsidR="000E0042" w:rsidRPr="009118AB" w:rsidRDefault="000E0042" w:rsidP="000E0042">
      <w:pPr>
        <w:jc w:val="center"/>
        <w:rPr>
          <w:rFonts w:eastAsia="Calibri"/>
          <w:lang w:eastAsia="en-US"/>
        </w:rPr>
      </w:pPr>
      <w:r w:rsidRPr="009118AB">
        <w:lastRenderedPageBreak/>
        <w:t>[</w:t>
      </w:r>
      <w:r w:rsidRPr="009118AB">
        <w:rPr>
          <w:rFonts w:eastAsia="Calibri"/>
          <w:szCs w:val="22"/>
          <w:lang w:eastAsia="en-US"/>
        </w:rPr>
        <w:t>Unterabschnitt 2</w:t>
      </w:r>
      <w:r w:rsidRPr="009118AB">
        <w:rPr>
          <w:rFonts w:eastAsia="Calibri"/>
          <w:i/>
          <w:iCs/>
          <w:szCs w:val="22"/>
          <w:lang w:eastAsia="en-US"/>
        </w:rPr>
        <w:t>vicies bis</w:t>
      </w:r>
      <w:r w:rsidR="00D67EB8" w:rsidRPr="009118AB">
        <w:rPr>
          <w:rFonts w:eastAsia="Calibri"/>
          <w:szCs w:val="22"/>
          <w:lang w:eastAsia="en-US"/>
        </w:rPr>
        <w:t> - </w:t>
      </w:r>
      <w:r w:rsidRPr="009118AB">
        <w:rPr>
          <w:rFonts w:eastAsia="Calibri"/>
          <w:szCs w:val="22"/>
          <w:lang w:eastAsia="en-US"/>
        </w:rPr>
        <w:t>Steuerermäßigung für Ausgaben für die Installation einer Ladestation]</w:t>
      </w:r>
    </w:p>
    <w:p w14:paraId="72637D07" w14:textId="1266630A" w:rsidR="000E0042" w:rsidRPr="009118AB" w:rsidRDefault="000E0042" w:rsidP="000E0042">
      <w:pPr>
        <w:jc w:val="both"/>
        <w:rPr>
          <w:rFonts w:eastAsia="Calibri"/>
          <w:lang w:eastAsia="en-US"/>
        </w:rPr>
      </w:pPr>
    </w:p>
    <w:p w14:paraId="7CF237BE" w14:textId="50884EDD" w:rsidR="000E0042" w:rsidRPr="009118AB" w:rsidRDefault="000E0042" w:rsidP="000E0042">
      <w:pPr>
        <w:jc w:val="both"/>
        <w:rPr>
          <w:rFonts w:eastAsia="Calibri"/>
          <w:i/>
          <w:iCs/>
          <w:lang w:eastAsia="en-US"/>
        </w:rPr>
      </w:pPr>
      <w:r w:rsidRPr="009118AB">
        <w:rPr>
          <w:rFonts w:eastAsia="Calibri"/>
          <w:i/>
          <w:iCs/>
          <w:lang w:eastAsia="en-US"/>
        </w:rPr>
        <w:t xml:space="preserve">[Unterteilung Unterabschnitt 2vicies bis eingefügt durch </w:t>
      </w:r>
      <w:r w:rsidR="00D67EB8" w:rsidRPr="009118AB">
        <w:rPr>
          <w:rFonts w:eastAsia="Calibri"/>
          <w:i/>
          <w:iCs/>
          <w:lang w:eastAsia="en-US"/>
        </w:rPr>
        <w:t>Art. </w:t>
      </w:r>
      <w:r w:rsidRPr="009118AB">
        <w:rPr>
          <w:rFonts w:eastAsia="Calibri"/>
          <w:i/>
          <w:iCs/>
          <w:lang w:eastAsia="en-US"/>
        </w:rPr>
        <w:t>15 des G. vom 25. November 2021 (B.S. vom 3. Dezember 2021)</w:t>
      </w:r>
      <w:r w:rsidR="00D67EB8" w:rsidRPr="009118AB">
        <w:rPr>
          <w:rFonts w:eastAsia="Calibri"/>
          <w:i/>
          <w:iCs/>
          <w:lang w:eastAsia="en-US"/>
        </w:rPr>
        <w:t> - </w:t>
      </w:r>
      <w:r w:rsidRPr="009118AB">
        <w:rPr>
          <w:rFonts w:eastAsia="Calibri"/>
          <w:i/>
          <w:iCs/>
          <w:lang w:eastAsia="en-US"/>
        </w:rPr>
        <w:t>wirksam mit 1. September 2021</w:t>
      </w:r>
      <w:r w:rsidR="00FD68E8" w:rsidRPr="009118AB">
        <w:rPr>
          <w:rFonts w:eastAsia="Calibri"/>
          <w:i/>
          <w:iCs/>
          <w:lang w:eastAsia="en-US"/>
        </w:rPr>
        <w:t> -]</w:t>
      </w:r>
    </w:p>
    <w:p w14:paraId="6DC06422" w14:textId="7B55B40E" w:rsidR="000E0042" w:rsidRPr="009118AB" w:rsidRDefault="000E0042" w:rsidP="000E0042">
      <w:pPr>
        <w:jc w:val="both"/>
        <w:rPr>
          <w:rFonts w:eastAsia="Calibri"/>
          <w:lang w:eastAsia="en-US"/>
        </w:rPr>
      </w:pPr>
    </w:p>
    <w:p w14:paraId="21E9756C" w14:textId="77777777" w:rsidR="000E0042" w:rsidRPr="009118AB" w:rsidRDefault="000E0042" w:rsidP="000E0042">
      <w:pPr>
        <w:jc w:val="both"/>
        <w:rPr>
          <w:rFonts w:eastAsia="Calibri"/>
          <w:lang w:eastAsia="en-US"/>
        </w:rPr>
      </w:pPr>
    </w:p>
    <w:p w14:paraId="504F008D" w14:textId="67A477B9" w:rsidR="000E0042" w:rsidRPr="009118AB" w:rsidRDefault="000E0042" w:rsidP="000E0042">
      <w:pPr>
        <w:jc w:val="both"/>
        <w:rPr>
          <w:rFonts w:eastAsia="Calibri"/>
          <w:lang w:eastAsia="en-US"/>
        </w:rPr>
      </w:pPr>
      <w:r w:rsidRPr="009118AB">
        <w:rPr>
          <w:rFonts w:eastAsia="Calibri"/>
          <w:szCs w:val="22"/>
          <w:lang w:eastAsia="en-US"/>
        </w:rPr>
        <w:tab/>
      </w:r>
      <w:r w:rsidRPr="009118AB">
        <w:rPr>
          <w:rFonts w:eastAsia="Calibri"/>
          <w:bCs/>
          <w:szCs w:val="22"/>
          <w:lang w:eastAsia="en-US"/>
        </w:rPr>
        <w:t>[</w:t>
      </w:r>
      <w:r w:rsidR="00D67EB8" w:rsidRPr="009118AB">
        <w:rPr>
          <w:rFonts w:eastAsia="Calibri"/>
          <w:b/>
          <w:bCs/>
          <w:szCs w:val="22"/>
          <w:lang w:eastAsia="en-US"/>
        </w:rPr>
        <w:t>Art. </w:t>
      </w:r>
      <w:r w:rsidRPr="009118AB">
        <w:rPr>
          <w:rFonts w:eastAsia="Calibri"/>
          <w:b/>
          <w:bCs/>
          <w:szCs w:val="22"/>
          <w:lang w:eastAsia="en-US"/>
        </w:rPr>
        <w:t>145</w:t>
      </w:r>
      <w:r w:rsidRPr="009118AB">
        <w:rPr>
          <w:rFonts w:eastAsia="Calibri"/>
          <w:b/>
          <w:bCs/>
          <w:szCs w:val="22"/>
          <w:vertAlign w:val="superscript"/>
          <w:lang w:eastAsia="en-US"/>
        </w:rPr>
        <w:t>50</w:t>
      </w:r>
      <w:r w:rsidR="00D67EB8" w:rsidRPr="009118AB">
        <w:rPr>
          <w:rFonts w:eastAsia="Calibri"/>
          <w:szCs w:val="22"/>
          <w:lang w:eastAsia="en-US"/>
        </w:rPr>
        <w:t> - § </w:t>
      </w:r>
      <w:r w:rsidRPr="009118AB">
        <w:rPr>
          <w:rFonts w:eastAsia="Calibri"/>
          <w:szCs w:val="22"/>
          <w:lang w:eastAsia="en-US"/>
        </w:rPr>
        <w:t>1</w:t>
      </w:r>
      <w:r w:rsidR="00D67EB8" w:rsidRPr="009118AB">
        <w:rPr>
          <w:rFonts w:eastAsia="Calibri"/>
          <w:szCs w:val="22"/>
          <w:lang w:eastAsia="en-US"/>
        </w:rPr>
        <w:t> - </w:t>
      </w:r>
      <w:r w:rsidRPr="009118AB">
        <w:rPr>
          <w:rFonts w:eastAsia="Calibri"/>
          <w:szCs w:val="22"/>
          <w:lang w:eastAsia="en-US"/>
        </w:rPr>
        <w:t xml:space="preserve">Für Ausgaben, die während des Besteuerungszeitraums vom Steuerpflichtigen tatsächlich gezahlt werden für die Installation einer </w:t>
      </w:r>
      <w:r w:rsidR="00FF2115" w:rsidRPr="009118AB">
        <w:rPr>
          <w:rFonts w:eastAsia="Calibri"/>
          <w:szCs w:val="22"/>
          <w:lang w:eastAsia="en-US"/>
        </w:rPr>
        <w:t xml:space="preserve">[festen] </w:t>
      </w:r>
      <w:r w:rsidRPr="009118AB">
        <w:rPr>
          <w:rFonts w:eastAsia="Calibri"/>
          <w:szCs w:val="22"/>
          <w:lang w:eastAsia="en-US"/>
        </w:rPr>
        <w:t>Ladestation für Elektrofahrzeuge in oder in unmittelbarer Nähe der Wohnung, wo der Steuerpflichtige am 1. Januar des Steuerjahres seinen Wohnsitz festgelegt hat, wird eine Steuerermäßigung gewährt.</w:t>
      </w:r>
    </w:p>
    <w:p w14:paraId="01D4FEF6" w14:textId="77777777" w:rsidR="000E0042" w:rsidRPr="009118AB" w:rsidRDefault="000E0042" w:rsidP="000E0042">
      <w:pPr>
        <w:jc w:val="both"/>
        <w:rPr>
          <w:rFonts w:eastAsia="Calibri"/>
          <w:lang w:eastAsia="en-US"/>
        </w:rPr>
      </w:pPr>
    </w:p>
    <w:p w14:paraId="6345DFC2" w14:textId="77777777" w:rsidR="000E0042" w:rsidRPr="009118AB" w:rsidRDefault="000E0042" w:rsidP="000E0042">
      <w:pPr>
        <w:jc w:val="both"/>
        <w:rPr>
          <w:rFonts w:eastAsia="Calibri"/>
          <w:lang w:eastAsia="en-US"/>
        </w:rPr>
      </w:pPr>
      <w:r w:rsidRPr="009118AB">
        <w:rPr>
          <w:rFonts w:eastAsia="Calibri"/>
          <w:szCs w:val="22"/>
          <w:lang w:eastAsia="en-US"/>
        </w:rPr>
        <w:tab/>
        <w:t>Die in Absatz 1 erwähnten Ausgaben umfassen die Ausgaben für den Kauf im Neuzustand einer Ladestation und deren Installation sowie die Ausgaben für die Kontrolle dieser Installation.</w:t>
      </w:r>
    </w:p>
    <w:p w14:paraId="0AA5FEC2" w14:textId="77777777" w:rsidR="000E0042" w:rsidRPr="009118AB" w:rsidRDefault="000E0042" w:rsidP="000E0042">
      <w:pPr>
        <w:jc w:val="both"/>
        <w:rPr>
          <w:rFonts w:eastAsia="Calibri"/>
          <w:lang w:eastAsia="en-US"/>
        </w:rPr>
      </w:pPr>
    </w:p>
    <w:p w14:paraId="1D2B0476" w14:textId="77777777" w:rsidR="000E0042" w:rsidRPr="009118AB" w:rsidRDefault="000E0042" w:rsidP="000E0042">
      <w:pPr>
        <w:jc w:val="both"/>
        <w:rPr>
          <w:rFonts w:eastAsia="Calibri"/>
          <w:lang w:eastAsia="en-US"/>
        </w:rPr>
      </w:pPr>
      <w:r w:rsidRPr="009118AB">
        <w:rPr>
          <w:rFonts w:eastAsia="Calibri"/>
          <w:szCs w:val="22"/>
          <w:lang w:eastAsia="en-US"/>
        </w:rPr>
        <w:tab/>
        <w:t>Die in Absatz 1 erwähnten Ausgaben müssen im Zeitraum vom 1. September 2021 bis zum 31. August 2024 einschließlich gezahlt werden.</w:t>
      </w:r>
    </w:p>
    <w:p w14:paraId="1656EE3F" w14:textId="77777777" w:rsidR="000E0042" w:rsidRPr="009118AB" w:rsidRDefault="000E0042" w:rsidP="000E0042">
      <w:pPr>
        <w:jc w:val="both"/>
        <w:rPr>
          <w:rFonts w:eastAsia="Calibri"/>
          <w:lang w:eastAsia="en-US"/>
        </w:rPr>
      </w:pPr>
    </w:p>
    <w:p w14:paraId="1FFEB663" w14:textId="77777777" w:rsidR="000E0042" w:rsidRPr="009118AB" w:rsidRDefault="000E0042" w:rsidP="000E0042">
      <w:pPr>
        <w:jc w:val="both"/>
        <w:rPr>
          <w:rFonts w:eastAsia="Calibri"/>
          <w:lang w:eastAsia="en-US"/>
        </w:rPr>
      </w:pPr>
      <w:r w:rsidRPr="009118AB">
        <w:rPr>
          <w:rFonts w:eastAsia="Calibri"/>
          <w:szCs w:val="22"/>
          <w:lang w:eastAsia="en-US"/>
        </w:rPr>
        <w:tab/>
        <w:t>Die Steuerermäßigung wird gewährt, wenn alle folgenden Bedingungen erfüllt sind:</w:t>
      </w:r>
    </w:p>
    <w:p w14:paraId="09A7C318" w14:textId="77777777" w:rsidR="000E0042" w:rsidRPr="009118AB" w:rsidRDefault="000E0042" w:rsidP="000E0042">
      <w:pPr>
        <w:jc w:val="both"/>
        <w:rPr>
          <w:rFonts w:eastAsia="Calibri"/>
          <w:lang w:eastAsia="en-US"/>
        </w:rPr>
      </w:pPr>
    </w:p>
    <w:p w14:paraId="03F41C01" w14:textId="2D65ABA5" w:rsidR="000E0042" w:rsidRPr="009118AB" w:rsidRDefault="000E0042" w:rsidP="000E0042">
      <w:pPr>
        <w:jc w:val="both"/>
        <w:rPr>
          <w:rFonts w:eastAsia="Calibri"/>
          <w:lang w:eastAsia="en-US"/>
        </w:rPr>
      </w:pPr>
      <w:r w:rsidRPr="009118AB">
        <w:rPr>
          <w:rFonts w:eastAsia="Calibri"/>
          <w:szCs w:val="22"/>
          <w:lang w:eastAsia="en-US"/>
        </w:rPr>
        <w:tab/>
        <w:t>1. Die Ladestation kann über ein standardisiertes Protokoll digital mit einem Managementsystem</w:t>
      </w:r>
      <w:r w:rsidR="00D67EB8" w:rsidRPr="009118AB">
        <w:rPr>
          <w:rFonts w:eastAsia="Calibri"/>
          <w:szCs w:val="22"/>
          <w:lang w:eastAsia="en-US"/>
        </w:rPr>
        <w:t> - </w:t>
      </w:r>
      <w:r w:rsidRPr="009118AB">
        <w:rPr>
          <w:rFonts w:eastAsia="Calibri"/>
          <w:szCs w:val="22"/>
          <w:lang w:eastAsia="en-US"/>
        </w:rPr>
        <w:t>spätestens am 1. Januar 2023 auch mit einem Managementsystem Dritter</w:t>
      </w:r>
      <w:r w:rsidR="00D67EB8" w:rsidRPr="009118AB">
        <w:rPr>
          <w:rFonts w:eastAsia="Calibri"/>
          <w:szCs w:val="22"/>
          <w:lang w:eastAsia="en-US"/>
        </w:rPr>
        <w:t> - </w:t>
      </w:r>
      <w:r w:rsidRPr="009118AB">
        <w:rPr>
          <w:rFonts w:eastAsia="Calibri"/>
          <w:szCs w:val="22"/>
          <w:lang w:eastAsia="en-US"/>
        </w:rPr>
        <w:t>verbunden werden, das über Ladezeit und Ladekapazität der Ladestation Auskunft geben kann</w:t>
      </w:r>
      <w:r w:rsidR="002B3614" w:rsidRPr="009118AB">
        <w:rPr>
          <w:rFonts w:eastAsia="Calibri"/>
          <w:szCs w:val="22"/>
          <w:lang w:eastAsia="en-US"/>
        </w:rPr>
        <w:t xml:space="preserve"> [</w:t>
      </w:r>
      <w:r w:rsidR="002B3614" w:rsidRPr="009118AB">
        <w:rPr>
          <w:lang w:eastAsia="fr-BE"/>
        </w:rPr>
        <w:t>und das Meldungen über die tatsächliche Ladekapazität und Statusmeldungen zurücksenden kann</w:t>
      </w:r>
      <w:r w:rsidR="002B3614" w:rsidRPr="009118AB">
        <w:rPr>
          <w:rFonts w:eastAsia="Calibri"/>
          <w:szCs w:val="22"/>
          <w:lang w:eastAsia="en-US"/>
        </w:rPr>
        <w:t>]</w:t>
      </w:r>
      <w:r w:rsidRPr="009118AB">
        <w:rPr>
          <w:rFonts w:eastAsia="Calibri"/>
          <w:szCs w:val="22"/>
          <w:lang w:eastAsia="en-US"/>
        </w:rPr>
        <w:t>, wobei diese Verbindung den Nutzern frei zur Verfügung gestellt wird. Das weiter oben erwähnte standardisierte Protokoll ist entweder vom Typ OCPP oder ein eigenes Protokoll, dessen Beschreibung in den technischen Dokumenten der Ladestation enthalten ist, oder entspricht einem anderen internationalen Standard, der für diese Verbindung entwickelt wird. Die Verbindungsart ist in den technischen Spezifikationen der Ladestation angegeben.</w:t>
      </w:r>
    </w:p>
    <w:p w14:paraId="46E31340" w14:textId="77777777" w:rsidR="000E0042" w:rsidRPr="009118AB" w:rsidRDefault="000E0042" w:rsidP="000E0042">
      <w:pPr>
        <w:jc w:val="both"/>
        <w:rPr>
          <w:rFonts w:eastAsia="Calibri"/>
          <w:lang w:eastAsia="en-US"/>
        </w:rPr>
      </w:pPr>
    </w:p>
    <w:p w14:paraId="106663A2" w14:textId="77777777" w:rsidR="000E0042" w:rsidRPr="009118AB" w:rsidRDefault="000E0042" w:rsidP="000E0042">
      <w:pPr>
        <w:jc w:val="both"/>
        <w:rPr>
          <w:rFonts w:eastAsia="Calibri"/>
          <w:lang w:eastAsia="en-US"/>
        </w:rPr>
      </w:pPr>
      <w:r w:rsidRPr="009118AB">
        <w:rPr>
          <w:rFonts w:eastAsia="Calibri"/>
          <w:szCs w:val="22"/>
          <w:lang w:eastAsia="en-US"/>
        </w:rPr>
        <w:tab/>
        <w:t>2. Die Ladestation verwendet nur Strom, der auf der Grundlage eines Vertrags mit einem Elektrizitätsversorger geliefert wird, der sich verpflichtet, nur Strom zu liefern, der aus erneuerbaren Energiequellen erzeugt wird, oder der vor Ort durch erneuerbare Energiequellen erzeugt wird.</w:t>
      </w:r>
    </w:p>
    <w:p w14:paraId="4308E81C" w14:textId="77777777" w:rsidR="000E0042" w:rsidRPr="009118AB" w:rsidRDefault="000E0042" w:rsidP="000E0042">
      <w:pPr>
        <w:jc w:val="both"/>
        <w:rPr>
          <w:rFonts w:eastAsia="Calibri"/>
          <w:lang w:eastAsia="en-US"/>
        </w:rPr>
      </w:pPr>
    </w:p>
    <w:p w14:paraId="47BD6518" w14:textId="77777777" w:rsidR="000E0042" w:rsidRPr="009118AB" w:rsidRDefault="000E0042" w:rsidP="000E0042">
      <w:pPr>
        <w:jc w:val="both"/>
        <w:rPr>
          <w:rFonts w:eastAsia="Calibri"/>
          <w:lang w:eastAsia="en-US"/>
        </w:rPr>
      </w:pPr>
      <w:r w:rsidRPr="009118AB">
        <w:rPr>
          <w:rFonts w:eastAsia="Calibri"/>
          <w:szCs w:val="22"/>
          <w:lang w:eastAsia="en-US"/>
        </w:rPr>
        <w:tab/>
        <w:t>3. Die Installation ist von einer zugelassenen Prüfstelle abgenommen worden.</w:t>
      </w:r>
    </w:p>
    <w:p w14:paraId="47DC2B46" w14:textId="77777777" w:rsidR="000E0042" w:rsidRPr="009118AB" w:rsidRDefault="000E0042" w:rsidP="000E0042">
      <w:pPr>
        <w:jc w:val="both"/>
        <w:rPr>
          <w:rFonts w:eastAsia="Calibri"/>
          <w:lang w:eastAsia="en-US"/>
        </w:rPr>
      </w:pPr>
    </w:p>
    <w:p w14:paraId="6475094C" w14:textId="77777777" w:rsidR="000E0042" w:rsidRPr="009118AB" w:rsidRDefault="000E0042" w:rsidP="000E0042">
      <w:pPr>
        <w:jc w:val="both"/>
        <w:rPr>
          <w:rFonts w:eastAsia="Calibri"/>
          <w:lang w:eastAsia="en-US"/>
        </w:rPr>
      </w:pPr>
      <w:r w:rsidRPr="009118AB">
        <w:rPr>
          <w:rFonts w:eastAsia="Calibri"/>
          <w:szCs w:val="22"/>
          <w:lang w:eastAsia="en-US"/>
        </w:rPr>
        <w:tab/>
        <w:t>4. Der Steuerpflichtige hat die Steuerermäßigung nicht für einen vorhergehenden Besteuerungszeitraum beantragt.</w:t>
      </w:r>
    </w:p>
    <w:p w14:paraId="78F2A5E3" w14:textId="77777777" w:rsidR="000E0042" w:rsidRPr="009118AB" w:rsidRDefault="000E0042" w:rsidP="000E0042">
      <w:pPr>
        <w:jc w:val="both"/>
        <w:rPr>
          <w:rFonts w:eastAsia="Calibri"/>
          <w:lang w:eastAsia="en-US"/>
        </w:rPr>
      </w:pPr>
    </w:p>
    <w:p w14:paraId="0FD2EA48" w14:textId="26E4B79C" w:rsidR="000E0042" w:rsidRPr="009118AB" w:rsidRDefault="000E0042" w:rsidP="000E0042">
      <w:pPr>
        <w:jc w:val="both"/>
        <w:rPr>
          <w:rFonts w:eastAsia="Calibri"/>
          <w:lang w:eastAsia="en-US"/>
        </w:rPr>
      </w:pPr>
      <w:r w:rsidRPr="009118AB">
        <w:rPr>
          <w:rFonts w:eastAsia="Calibri"/>
          <w:szCs w:val="22"/>
          <w:lang w:eastAsia="en-US"/>
        </w:rPr>
        <w:tab/>
        <w:t xml:space="preserve">Die in Absatz 4 </w:t>
      </w:r>
      <w:r w:rsidR="00D67EB8" w:rsidRPr="009118AB">
        <w:rPr>
          <w:rFonts w:eastAsia="Calibri"/>
          <w:szCs w:val="22"/>
          <w:lang w:eastAsia="en-US"/>
        </w:rPr>
        <w:t>Nr. </w:t>
      </w:r>
      <w:r w:rsidRPr="009118AB">
        <w:rPr>
          <w:rFonts w:eastAsia="Calibri"/>
          <w:szCs w:val="22"/>
          <w:lang w:eastAsia="en-US"/>
        </w:rPr>
        <w:t>2 erwähnte Bedingung muss am 1. Januar des Steuerjahres erfüllt sein, das sich auf den Besteuerungszeitraum bezieht, in dem die in Absatz 1 erwähnten Ausgaben getätigt werden.</w:t>
      </w:r>
    </w:p>
    <w:p w14:paraId="29728687" w14:textId="77777777" w:rsidR="000E0042" w:rsidRPr="009118AB" w:rsidRDefault="000E0042" w:rsidP="000E0042">
      <w:pPr>
        <w:jc w:val="both"/>
        <w:rPr>
          <w:rFonts w:eastAsia="Calibri"/>
          <w:lang w:eastAsia="en-US"/>
        </w:rPr>
      </w:pPr>
    </w:p>
    <w:p w14:paraId="299FAFA1" w14:textId="77777777" w:rsidR="000E0042" w:rsidRPr="009118AB" w:rsidRDefault="000E0042" w:rsidP="000E0042">
      <w:pPr>
        <w:jc w:val="both"/>
        <w:rPr>
          <w:rFonts w:eastAsia="Calibri"/>
          <w:lang w:eastAsia="en-US"/>
        </w:rPr>
      </w:pPr>
      <w:r w:rsidRPr="009118AB">
        <w:rPr>
          <w:rFonts w:eastAsia="Calibri"/>
          <w:szCs w:val="22"/>
          <w:lang w:eastAsia="en-US"/>
        </w:rPr>
        <w:tab/>
        <w:t>Die Steuerermäßigung ist nicht anwendbar auf Ausgaben, die:</w:t>
      </w:r>
    </w:p>
    <w:p w14:paraId="6E216B02" w14:textId="77777777" w:rsidR="000E0042" w:rsidRPr="009118AB" w:rsidRDefault="000E0042" w:rsidP="000E0042">
      <w:pPr>
        <w:jc w:val="both"/>
        <w:rPr>
          <w:rFonts w:eastAsia="Calibri"/>
          <w:lang w:eastAsia="en-US"/>
        </w:rPr>
      </w:pPr>
    </w:p>
    <w:p w14:paraId="13131C6C" w14:textId="77777777" w:rsidR="000E0042" w:rsidRPr="009118AB" w:rsidRDefault="000E0042" w:rsidP="000E0042">
      <w:pPr>
        <w:jc w:val="both"/>
        <w:rPr>
          <w:rFonts w:eastAsia="Calibri"/>
          <w:lang w:eastAsia="en-US"/>
        </w:rPr>
      </w:pPr>
      <w:r w:rsidRPr="009118AB">
        <w:rPr>
          <w:rFonts w:eastAsia="Calibri"/>
          <w:szCs w:val="22"/>
          <w:lang w:eastAsia="en-US"/>
        </w:rPr>
        <w:tab/>
        <w:t>1. als tatsächliche Werbungskosten berücksichtigt werden,</w:t>
      </w:r>
    </w:p>
    <w:p w14:paraId="5F3615E7" w14:textId="77777777" w:rsidR="000E0042" w:rsidRPr="009118AB" w:rsidRDefault="000E0042" w:rsidP="000E0042">
      <w:pPr>
        <w:jc w:val="both"/>
        <w:rPr>
          <w:rFonts w:eastAsia="Calibri"/>
          <w:lang w:eastAsia="en-US"/>
        </w:rPr>
      </w:pPr>
    </w:p>
    <w:p w14:paraId="38F32160" w14:textId="77777777" w:rsidR="000E0042" w:rsidRPr="009118AB" w:rsidRDefault="000E0042" w:rsidP="000E0042">
      <w:pPr>
        <w:jc w:val="both"/>
        <w:rPr>
          <w:rFonts w:eastAsia="Calibri"/>
          <w:lang w:eastAsia="en-US"/>
        </w:rPr>
      </w:pPr>
      <w:r w:rsidRPr="009118AB">
        <w:rPr>
          <w:rFonts w:eastAsia="Calibri"/>
          <w:szCs w:val="22"/>
          <w:lang w:eastAsia="en-US"/>
        </w:rPr>
        <w:tab/>
        <w:t>2. zu dem in Artikel 69 erwähnten Investitionsabzug berechtigen,</w:t>
      </w:r>
    </w:p>
    <w:p w14:paraId="62542D46" w14:textId="77777777" w:rsidR="000E0042" w:rsidRPr="009118AB" w:rsidRDefault="000E0042" w:rsidP="000E0042">
      <w:pPr>
        <w:jc w:val="both"/>
        <w:rPr>
          <w:rFonts w:eastAsia="Calibri"/>
          <w:lang w:eastAsia="en-US"/>
        </w:rPr>
      </w:pPr>
    </w:p>
    <w:p w14:paraId="5259C89F" w14:textId="77777777" w:rsidR="000E0042" w:rsidRPr="009118AB" w:rsidRDefault="000E0042" w:rsidP="000E0042">
      <w:pPr>
        <w:jc w:val="both"/>
        <w:rPr>
          <w:rFonts w:eastAsia="Calibri"/>
          <w:lang w:eastAsia="en-US"/>
        </w:rPr>
      </w:pPr>
      <w:r w:rsidRPr="009118AB">
        <w:rPr>
          <w:rFonts w:eastAsia="Calibri"/>
          <w:szCs w:val="22"/>
          <w:lang w:eastAsia="en-US"/>
        </w:rPr>
        <w:tab/>
        <w:t>3. vom Arbeitgeber des Steuerpflichtigen oder von der juristischen Person, deren Unternehmensleiter der Steuerpflichtige ist, als eigene Ausgaben dieses Arbeitgebers oder dieser juristischen Person erstattet werden.</w:t>
      </w:r>
    </w:p>
    <w:p w14:paraId="59724EB5" w14:textId="77777777" w:rsidR="000E0042" w:rsidRPr="009118AB" w:rsidRDefault="000E0042" w:rsidP="000E0042">
      <w:pPr>
        <w:jc w:val="both"/>
        <w:rPr>
          <w:rFonts w:eastAsia="Calibri"/>
          <w:lang w:eastAsia="en-US"/>
        </w:rPr>
      </w:pPr>
    </w:p>
    <w:p w14:paraId="11425285" w14:textId="5545983E" w:rsidR="000E0042" w:rsidRPr="009118AB" w:rsidRDefault="000E0042" w:rsidP="000E0042">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2</w:t>
      </w:r>
      <w:r w:rsidR="00D67EB8" w:rsidRPr="009118AB">
        <w:rPr>
          <w:rFonts w:eastAsia="Calibri"/>
          <w:szCs w:val="22"/>
          <w:lang w:eastAsia="en-US"/>
        </w:rPr>
        <w:t> - </w:t>
      </w:r>
      <w:r w:rsidRPr="009118AB">
        <w:rPr>
          <w:rFonts w:eastAsia="Calibri"/>
          <w:szCs w:val="22"/>
          <w:lang w:eastAsia="en-US"/>
        </w:rPr>
        <w:t xml:space="preserve">Der Betrag, für den die Steuerermäßigung gewährt wird, kann pro Ladestation und Steuerpflichtigen </w:t>
      </w:r>
      <w:r w:rsidR="007433D3" w:rsidRPr="009118AB">
        <w:rPr>
          <w:rFonts w:eastAsia="Calibri"/>
          <w:szCs w:val="22"/>
          <w:lang w:eastAsia="en-US"/>
        </w:rPr>
        <w:t>[</w:t>
      </w:r>
      <w:r w:rsidRPr="009118AB">
        <w:rPr>
          <w:rFonts w:eastAsia="Calibri"/>
          <w:szCs w:val="22"/>
          <w:lang w:eastAsia="en-US"/>
        </w:rPr>
        <w:t>1.</w:t>
      </w:r>
      <w:r w:rsidR="007433D3" w:rsidRPr="009118AB">
        <w:rPr>
          <w:rFonts w:eastAsia="Calibri"/>
          <w:szCs w:val="22"/>
          <w:lang w:eastAsia="en-US"/>
        </w:rPr>
        <w:t>75</w:t>
      </w:r>
      <w:r w:rsidRPr="009118AB">
        <w:rPr>
          <w:rFonts w:eastAsia="Calibri"/>
          <w:szCs w:val="22"/>
          <w:lang w:eastAsia="en-US"/>
        </w:rPr>
        <w:t>0 EUR</w:t>
      </w:r>
      <w:r w:rsidR="007433D3" w:rsidRPr="009118AB">
        <w:rPr>
          <w:rFonts w:eastAsia="Calibri"/>
          <w:szCs w:val="22"/>
          <w:lang w:eastAsia="en-US"/>
        </w:rPr>
        <w:t>]</w:t>
      </w:r>
      <w:r w:rsidRPr="009118AB">
        <w:rPr>
          <w:rFonts w:eastAsia="Calibri"/>
          <w:szCs w:val="22"/>
          <w:lang w:eastAsia="en-US"/>
        </w:rPr>
        <w:t xml:space="preserve"> </w:t>
      </w:r>
      <w:r w:rsidR="007433D3" w:rsidRPr="009118AB">
        <w:rPr>
          <w:rFonts w:eastAsia="Calibri"/>
          <w:szCs w:val="22"/>
          <w:lang w:eastAsia="en-US"/>
        </w:rPr>
        <w:t>[</w:t>
      </w:r>
      <w:r w:rsidR="007433D3" w:rsidRPr="009118AB">
        <w:t>oder pro bidirektionale Ladestation und Steuerpflichtigen 8.000 EUR</w:t>
      </w:r>
      <w:r w:rsidR="007433D3" w:rsidRPr="009118AB">
        <w:rPr>
          <w:rFonts w:eastAsia="Calibri"/>
          <w:szCs w:val="22"/>
          <w:lang w:eastAsia="en-US"/>
        </w:rPr>
        <w:t xml:space="preserve">] </w:t>
      </w:r>
      <w:r w:rsidRPr="009118AB">
        <w:rPr>
          <w:rFonts w:eastAsia="Calibri"/>
          <w:szCs w:val="22"/>
          <w:lang w:eastAsia="en-US"/>
        </w:rPr>
        <w:t xml:space="preserve">nicht übersteigen. </w:t>
      </w:r>
      <w:r w:rsidR="007433D3" w:rsidRPr="009118AB">
        <w:rPr>
          <w:rFonts w:eastAsia="Calibri"/>
          <w:szCs w:val="22"/>
          <w:lang w:eastAsia="en-US"/>
        </w:rPr>
        <w:t>[</w:t>
      </w:r>
      <w:r w:rsidRPr="009118AB">
        <w:rPr>
          <w:rFonts w:eastAsia="Calibri"/>
          <w:szCs w:val="22"/>
          <w:lang w:eastAsia="en-US"/>
        </w:rPr>
        <w:t>Diese Betr</w:t>
      </w:r>
      <w:r w:rsidR="007433D3" w:rsidRPr="009118AB">
        <w:rPr>
          <w:rFonts w:eastAsia="Calibri"/>
          <w:szCs w:val="22"/>
          <w:lang w:eastAsia="en-US"/>
        </w:rPr>
        <w:t>äge</w:t>
      </w:r>
      <w:r w:rsidRPr="009118AB">
        <w:rPr>
          <w:rFonts w:eastAsia="Calibri"/>
          <w:szCs w:val="22"/>
          <w:lang w:eastAsia="en-US"/>
        </w:rPr>
        <w:t xml:space="preserve"> w</w:t>
      </w:r>
      <w:r w:rsidR="007433D3" w:rsidRPr="009118AB">
        <w:rPr>
          <w:rFonts w:eastAsia="Calibri"/>
          <w:szCs w:val="22"/>
          <w:lang w:eastAsia="en-US"/>
        </w:rPr>
        <w:t>e</w:t>
      </w:r>
      <w:r w:rsidRPr="009118AB">
        <w:rPr>
          <w:rFonts w:eastAsia="Calibri"/>
          <w:szCs w:val="22"/>
          <w:lang w:eastAsia="en-US"/>
        </w:rPr>
        <w:t>rd</w:t>
      </w:r>
      <w:r w:rsidR="007433D3" w:rsidRPr="009118AB">
        <w:rPr>
          <w:rFonts w:eastAsia="Calibri"/>
          <w:szCs w:val="22"/>
          <w:lang w:eastAsia="en-US"/>
        </w:rPr>
        <w:t>en</w:t>
      </w:r>
      <w:r w:rsidRPr="009118AB">
        <w:rPr>
          <w:rFonts w:eastAsia="Calibri"/>
          <w:szCs w:val="22"/>
          <w:lang w:eastAsia="en-US"/>
        </w:rPr>
        <w:t xml:space="preserve"> nicht</w:t>
      </w:r>
      <w:r w:rsidR="007433D3" w:rsidRPr="009118AB">
        <w:rPr>
          <w:rFonts w:eastAsia="Calibri"/>
          <w:szCs w:val="22"/>
          <w:lang w:eastAsia="en-US"/>
        </w:rPr>
        <w:t>]</w:t>
      </w:r>
      <w:r w:rsidRPr="009118AB">
        <w:rPr>
          <w:rFonts w:eastAsia="Calibri"/>
          <w:szCs w:val="22"/>
          <w:lang w:eastAsia="en-US"/>
        </w:rPr>
        <w:t xml:space="preserve"> gemäß Artikel 178 indexiert.</w:t>
      </w:r>
    </w:p>
    <w:p w14:paraId="386466D9" w14:textId="77777777" w:rsidR="000E0042" w:rsidRPr="009118AB" w:rsidRDefault="000E0042" w:rsidP="000E0042">
      <w:pPr>
        <w:jc w:val="both"/>
        <w:rPr>
          <w:rFonts w:eastAsia="Calibri"/>
          <w:lang w:eastAsia="en-US"/>
        </w:rPr>
      </w:pPr>
    </w:p>
    <w:p w14:paraId="7ECA64F3" w14:textId="77777777" w:rsidR="000E0042" w:rsidRPr="009118AB" w:rsidRDefault="000E0042" w:rsidP="000E0042">
      <w:pPr>
        <w:jc w:val="both"/>
        <w:rPr>
          <w:rFonts w:eastAsia="Calibri"/>
          <w:lang w:eastAsia="en-US"/>
        </w:rPr>
      </w:pPr>
      <w:r w:rsidRPr="009118AB">
        <w:rPr>
          <w:rFonts w:eastAsia="Calibri"/>
          <w:szCs w:val="22"/>
          <w:lang w:eastAsia="en-US"/>
        </w:rPr>
        <w:tab/>
        <w:t>Die Steuerermäßigung beträgt:</w:t>
      </w:r>
    </w:p>
    <w:p w14:paraId="358FC17A" w14:textId="77777777" w:rsidR="000E0042" w:rsidRPr="009118AB" w:rsidRDefault="000E0042" w:rsidP="000E0042">
      <w:pPr>
        <w:jc w:val="both"/>
        <w:rPr>
          <w:rFonts w:eastAsia="Calibri"/>
          <w:lang w:eastAsia="en-US"/>
        </w:rPr>
      </w:pPr>
    </w:p>
    <w:p w14:paraId="66FE4141" w14:textId="77777777" w:rsidR="000E0042" w:rsidRPr="009118AB" w:rsidRDefault="000E0042" w:rsidP="000E0042">
      <w:pPr>
        <w:jc w:val="both"/>
        <w:rPr>
          <w:rFonts w:eastAsia="Calibri"/>
          <w:lang w:eastAsia="en-US"/>
        </w:rPr>
      </w:pPr>
      <w:r w:rsidRPr="009118AB">
        <w:rPr>
          <w:rFonts w:eastAsia="Calibri"/>
          <w:szCs w:val="22"/>
          <w:lang w:eastAsia="en-US"/>
        </w:rPr>
        <w:tab/>
        <w:t>- 45 Prozent der in Betracht kommenden Ausgaben, die 2021 oder 2022 gezahlt werden,</w:t>
      </w:r>
    </w:p>
    <w:p w14:paraId="431A55F2" w14:textId="77777777" w:rsidR="000E0042" w:rsidRPr="009118AB" w:rsidRDefault="000E0042" w:rsidP="000E0042">
      <w:pPr>
        <w:jc w:val="both"/>
        <w:rPr>
          <w:rFonts w:eastAsia="Calibri"/>
          <w:lang w:eastAsia="en-US"/>
        </w:rPr>
      </w:pPr>
    </w:p>
    <w:p w14:paraId="645FFE00" w14:textId="77777777" w:rsidR="000E0042" w:rsidRPr="009118AB" w:rsidRDefault="000E0042" w:rsidP="000E0042">
      <w:pPr>
        <w:jc w:val="both"/>
        <w:rPr>
          <w:rFonts w:eastAsia="Calibri"/>
          <w:lang w:eastAsia="en-US"/>
        </w:rPr>
      </w:pPr>
      <w:r w:rsidRPr="009118AB">
        <w:rPr>
          <w:rFonts w:eastAsia="Calibri"/>
          <w:szCs w:val="22"/>
          <w:lang w:eastAsia="en-US"/>
        </w:rPr>
        <w:tab/>
        <w:t>- 30 Prozent der in Betracht kommenden Ausgaben, die 2023 gezahlt werden,</w:t>
      </w:r>
    </w:p>
    <w:p w14:paraId="51A04514" w14:textId="77777777" w:rsidR="000E0042" w:rsidRPr="009118AB" w:rsidRDefault="000E0042" w:rsidP="000E0042">
      <w:pPr>
        <w:jc w:val="both"/>
        <w:rPr>
          <w:rFonts w:eastAsia="Calibri"/>
          <w:lang w:eastAsia="en-US"/>
        </w:rPr>
      </w:pPr>
    </w:p>
    <w:p w14:paraId="0C86EC81" w14:textId="77777777" w:rsidR="000E0042" w:rsidRPr="009118AB" w:rsidRDefault="000E0042" w:rsidP="000E0042">
      <w:pPr>
        <w:jc w:val="both"/>
        <w:rPr>
          <w:rFonts w:eastAsia="Calibri"/>
          <w:lang w:eastAsia="en-US"/>
        </w:rPr>
      </w:pPr>
      <w:r w:rsidRPr="009118AB">
        <w:rPr>
          <w:rFonts w:eastAsia="Calibri"/>
          <w:szCs w:val="22"/>
          <w:lang w:eastAsia="en-US"/>
        </w:rPr>
        <w:tab/>
        <w:t>- 15 Prozent der in Betracht kommenden Ausgaben, die 2024 gezahlt werden.</w:t>
      </w:r>
    </w:p>
    <w:p w14:paraId="2F2BDB58" w14:textId="77777777" w:rsidR="000E0042" w:rsidRPr="009118AB" w:rsidRDefault="000E0042" w:rsidP="000E0042">
      <w:pPr>
        <w:jc w:val="both"/>
        <w:rPr>
          <w:rFonts w:eastAsia="Calibri"/>
          <w:lang w:eastAsia="en-US"/>
        </w:rPr>
      </w:pPr>
    </w:p>
    <w:p w14:paraId="408A8793" w14:textId="77777777" w:rsidR="000E0042" w:rsidRPr="009118AB" w:rsidRDefault="000E0042" w:rsidP="000E0042">
      <w:pPr>
        <w:jc w:val="both"/>
        <w:rPr>
          <w:rFonts w:eastAsia="Calibri"/>
          <w:lang w:eastAsia="en-US"/>
        </w:rPr>
      </w:pPr>
      <w:r w:rsidRPr="009118AB">
        <w:rPr>
          <w:rFonts w:eastAsia="Calibri"/>
          <w:szCs w:val="22"/>
          <w:lang w:eastAsia="en-US"/>
        </w:rPr>
        <w:t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1D7FEC9E" w14:textId="77777777" w:rsidR="000E0042" w:rsidRPr="009118AB" w:rsidRDefault="000E0042" w:rsidP="000E0042">
      <w:pPr>
        <w:jc w:val="both"/>
        <w:rPr>
          <w:rFonts w:eastAsia="Calibri"/>
          <w:lang w:eastAsia="en-US"/>
        </w:rPr>
      </w:pPr>
    </w:p>
    <w:p w14:paraId="4FA5378C" w14:textId="17C5A867" w:rsidR="000E0042" w:rsidRPr="009118AB" w:rsidRDefault="000E0042" w:rsidP="000E0042">
      <w:pPr>
        <w:jc w:val="both"/>
        <w:rPr>
          <w:rFonts w:eastAsia="Calibri"/>
          <w:lang w:eastAsia="en-US"/>
        </w:rPr>
      </w:pPr>
      <w:r w:rsidRPr="009118AB">
        <w:rPr>
          <w:rFonts w:eastAsia="Calibri"/>
          <w:szCs w:val="22"/>
          <w:lang w:eastAsia="en-US"/>
        </w:rPr>
        <w:tab/>
      </w:r>
      <w:r w:rsidR="00D67EB8" w:rsidRPr="009118AB">
        <w:rPr>
          <w:rFonts w:eastAsia="Calibri"/>
          <w:szCs w:val="22"/>
          <w:lang w:eastAsia="en-US"/>
        </w:rPr>
        <w:t>§ </w:t>
      </w:r>
      <w:r w:rsidRPr="009118AB">
        <w:rPr>
          <w:rFonts w:eastAsia="Calibri"/>
          <w:szCs w:val="22"/>
          <w:lang w:eastAsia="en-US"/>
        </w:rPr>
        <w:t>3</w:t>
      </w:r>
      <w:r w:rsidR="00D67EB8" w:rsidRPr="009118AB">
        <w:rPr>
          <w:rFonts w:eastAsia="Calibri"/>
          <w:szCs w:val="22"/>
          <w:lang w:eastAsia="en-US"/>
        </w:rPr>
        <w:t> - </w:t>
      </w:r>
      <w:r w:rsidRPr="009118AB">
        <w:rPr>
          <w:rFonts w:eastAsia="Calibri"/>
          <w:szCs w:val="22"/>
          <w:lang w:eastAsia="en-US"/>
        </w:rPr>
        <w:t>Der Steuerpflichtige hält folgende Unterlagen zur Verfügung der Verwaltung:</w:t>
      </w:r>
    </w:p>
    <w:p w14:paraId="1050E103" w14:textId="77777777" w:rsidR="000E0042" w:rsidRPr="009118AB" w:rsidRDefault="000E0042" w:rsidP="000E0042">
      <w:pPr>
        <w:jc w:val="both"/>
        <w:rPr>
          <w:rFonts w:eastAsia="Calibri"/>
          <w:lang w:eastAsia="en-US"/>
        </w:rPr>
      </w:pPr>
    </w:p>
    <w:p w14:paraId="09D4D9D4" w14:textId="41CAC75C" w:rsidR="000E0042" w:rsidRPr="009118AB" w:rsidRDefault="000E0042" w:rsidP="000E0042">
      <w:pPr>
        <w:jc w:val="both"/>
        <w:rPr>
          <w:rFonts w:eastAsia="Calibri"/>
          <w:lang w:eastAsia="en-US"/>
        </w:rPr>
      </w:pPr>
      <w:r w:rsidRPr="009118AB">
        <w:rPr>
          <w:rFonts w:eastAsia="Calibri"/>
          <w:szCs w:val="22"/>
          <w:lang w:eastAsia="en-US"/>
        </w:rPr>
        <w:tab/>
        <w:t xml:space="preserve">1. Rechnungen für die in </w:t>
      </w:r>
      <w:r w:rsidR="00D67EB8" w:rsidRPr="009118AB">
        <w:rPr>
          <w:rFonts w:eastAsia="Calibri"/>
          <w:szCs w:val="22"/>
          <w:lang w:eastAsia="en-US"/>
        </w:rPr>
        <w:t>§ </w:t>
      </w:r>
      <w:r w:rsidRPr="009118AB">
        <w:rPr>
          <w:rFonts w:eastAsia="Calibri"/>
          <w:szCs w:val="22"/>
          <w:lang w:eastAsia="en-US"/>
        </w:rPr>
        <w:t>1 Absatz 2 erwähnten Ausgaben,</w:t>
      </w:r>
    </w:p>
    <w:p w14:paraId="45B55429" w14:textId="77777777" w:rsidR="000E0042" w:rsidRPr="009118AB" w:rsidRDefault="000E0042" w:rsidP="000E0042">
      <w:pPr>
        <w:jc w:val="both"/>
        <w:rPr>
          <w:rFonts w:eastAsia="Calibri"/>
          <w:lang w:eastAsia="en-US"/>
        </w:rPr>
      </w:pPr>
    </w:p>
    <w:p w14:paraId="586A80EF" w14:textId="3C3A277B" w:rsidR="000E0042" w:rsidRPr="009118AB" w:rsidRDefault="000E0042" w:rsidP="000E0042">
      <w:pPr>
        <w:jc w:val="both"/>
        <w:rPr>
          <w:rFonts w:eastAsia="Calibri"/>
          <w:lang w:eastAsia="en-US"/>
        </w:rPr>
      </w:pPr>
      <w:r w:rsidRPr="009118AB">
        <w:rPr>
          <w:rFonts w:eastAsia="Calibri"/>
          <w:szCs w:val="22"/>
          <w:lang w:eastAsia="en-US"/>
        </w:rPr>
        <w:tab/>
        <w:t xml:space="preserve">2. Nachweis über die Zahlung der in </w:t>
      </w:r>
      <w:r w:rsidR="00D67EB8" w:rsidRPr="009118AB">
        <w:rPr>
          <w:rFonts w:eastAsia="Calibri"/>
          <w:szCs w:val="22"/>
          <w:lang w:eastAsia="en-US"/>
        </w:rPr>
        <w:t>§ </w:t>
      </w:r>
      <w:r w:rsidRPr="009118AB">
        <w:rPr>
          <w:rFonts w:eastAsia="Calibri"/>
          <w:szCs w:val="22"/>
          <w:lang w:eastAsia="en-US"/>
        </w:rPr>
        <w:t>1 Absatz 2 erwähnten Ausgaben,</w:t>
      </w:r>
    </w:p>
    <w:p w14:paraId="08E13B14" w14:textId="77777777" w:rsidR="000E0042" w:rsidRPr="009118AB" w:rsidRDefault="000E0042" w:rsidP="000E0042">
      <w:pPr>
        <w:jc w:val="both"/>
        <w:rPr>
          <w:rFonts w:eastAsia="Calibri"/>
          <w:lang w:eastAsia="en-US"/>
        </w:rPr>
      </w:pPr>
    </w:p>
    <w:p w14:paraId="43A4111B" w14:textId="6A99393F" w:rsidR="000E0042" w:rsidRPr="009118AB" w:rsidRDefault="000E0042" w:rsidP="000E0042">
      <w:pPr>
        <w:jc w:val="both"/>
        <w:rPr>
          <w:rFonts w:eastAsia="Calibri"/>
          <w:lang w:eastAsia="en-US"/>
        </w:rPr>
      </w:pPr>
      <w:r w:rsidRPr="009118AB">
        <w:rPr>
          <w:rFonts w:eastAsia="Calibri"/>
          <w:szCs w:val="22"/>
          <w:lang w:eastAsia="en-US"/>
        </w:rPr>
        <w:tab/>
        <w:t xml:space="preserve">3. Belege, die es ermöglichen festzustellen, dass die Ladestation die in </w:t>
      </w:r>
      <w:r w:rsidR="00D67EB8" w:rsidRPr="009118AB">
        <w:rPr>
          <w:rFonts w:eastAsia="Calibri"/>
          <w:szCs w:val="22"/>
          <w:lang w:eastAsia="en-US"/>
        </w:rPr>
        <w:t>§ </w:t>
      </w:r>
      <w:r w:rsidRPr="009118AB">
        <w:rPr>
          <w:rFonts w:eastAsia="Calibri"/>
          <w:szCs w:val="22"/>
          <w:lang w:eastAsia="en-US"/>
        </w:rPr>
        <w:t xml:space="preserve">1 Absatz 4 </w:t>
      </w:r>
      <w:r w:rsidR="00D67EB8" w:rsidRPr="009118AB">
        <w:rPr>
          <w:rFonts w:eastAsia="Calibri"/>
          <w:szCs w:val="22"/>
          <w:lang w:eastAsia="en-US"/>
        </w:rPr>
        <w:t>Nr. </w:t>
      </w:r>
      <w:r w:rsidRPr="009118AB">
        <w:rPr>
          <w:rFonts w:eastAsia="Calibri"/>
          <w:szCs w:val="22"/>
          <w:lang w:eastAsia="en-US"/>
        </w:rPr>
        <w:t>1 und 2 erwähnten Bedingungen erfüllt,</w:t>
      </w:r>
    </w:p>
    <w:p w14:paraId="08312469" w14:textId="77777777" w:rsidR="000E0042" w:rsidRPr="009118AB" w:rsidRDefault="000E0042" w:rsidP="000E0042">
      <w:pPr>
        <w:jc w:val="both"/>
        <w:rPr>
          <w:rFonts w:eastAsia="Calibri"/>
          <w:lang w:eastAsia="en-US"/>
        </w:rPr>
      </w:pPr>
    </w:p>
    <w:p w14:paraId="604E7D53" w14:textId="1EA25A91" w:rsidR="000E0042" w:rsidRPr="009118AB" w:rsidRDefault="000E0042" w:rsidP="000E0042">
      <w:pPr>
        <w:jc w:val="both"/>
        <w:rPr>
          <w:rFonts w:eastAsia="Calibri"/>
          <w:lang w:eastAsia="en-US"/>
        </w:rPr>
      </w:pPr>
      <w:r w:rsidRPr="009118AB">
        <w:rPr>
          <w:rFonts w:eastAsia="Calibri"/>
          <w:szCs w:val="22"/>
          <w:lang w:eastAsia="en-US"/>
        </w:rPr>
        <w:tab/>
        <w:t xml:space="preserve">4. Bescheinigung, die im Rahmen der in </w:t>
      </w:r>
      <w:r w:rsidR="00D67EB8" w:rsidRPr="009118AB">
        <w:rPr>
          <w:rFonts w:eastAsia="Calibri"/>
          <w:szCs w:val="22"/>
          <w:lang w:eastAsia="en-US"/>
        </w:rPr>
        <w:t>§ </w:t>
      </w:r>
      <w:r w:rsidRPr="009118AB">
        <w:rPr>
          <w:rFonts w:eastAsia="Calibri"/>
          <w:szCs w:val="22"/>
          <w:lang w:eastAsia="en-US"/>
        </w:rPr>
        <w:t xml:space="preserve">1 Absatz 4 </w:t>
      </w:r>
      <w:r w:rsidR="00D67EB8" w:rsidRPr="009118AB">
        <w:rPr>
          <w:rFonts w:eastAsia="Calibri"/>
          <w:szCs w:val="22"/>
          <w:lang w:eastAsia="en-US"/>
        </w:rPr>
        <w:t>Nr. </w:t>
      </w:r>
      <w:r w:rsidRPr="009118AB">
        <w:rPr>
          <w:rFonts w:eastAsia="Calibri"/>
          <w:szCs w:val="22"/>
          <w:lang w:eastAsia="en-US"/>
        </w:rPr>
        <w:t>3 erwähnten Prüfung ausgestellt wird.</w:t>
      </w:r>
    </w:p>
    <w:p w14:paraId="3E2AC74C" w14:textId="77777777" w:rsidR="000E0042" w:rsidRPr="009118AB" w:rsidRDefault="000E0042" w:rsidP="000E0042">
      <w:pPr>
        <w:jc w:val="both"/>
        <w:rPr>
          <w:rFonts w:eastAsia="Calibri"/>
          <w:lang w:eastAsia="en-US"/>
        </w:rPr>
      </w:pPr>
    </w:p>
    <w:p w14:paraId="0901DF33" w14:textId="77777777" w:rsidR="000E0042" w:rsidRPr="009118AB" w:rsidRDefault="000E0042" w:rsidP="000E0042">
      <w:pPr>
        <w:jc w:val="both"/>
        <w:rPr>
          <w:rFonts w:eastAsia="Calibri"/>
          <w:szCs w:val="22"/>
          <w:lang w:eastAsia="en-US"/>
        </w:rPr>
      </w:pPr>
      <w:r w:rsidRPr="009118AB">
        <w:rPr>
          <w:rFonts w:eastAsia="Calibri"/>
          <w:szCs w:val="22"/>
          <w:lang w:eastAsia="en-US"/>
        </w:rPr>
        <w:tab/>
        <w:t>Auf der Rechnung für die Installation der Ladestation ist die Adresse angegeben, an der die Ladestation installiert ist.]</w:t>
      </w:r>
    </w:p>
    <w:p w14:paraId="78238FE9" w14:textId="77777777" w:rsidR="007433D3" w:rsidRPr="009118AB" w:rsidRDefault="007433D3" w:rsidP="000E0042">
      <w:pPr>
        <w:jc w:val="both"/>
        <w:rPr>
          <w:rFonts w:eastAsia="Calibri"/>
          <w:szCs w:val="22"/>
          <w:lang w:eastAsia="en-US"/>
        </w:rPr>
      </w:pPr>
    </w:p>
    <w:p w14:paraId="5DFABDB6" w14:textId="69B4D989" w:rsidR="007433D3" w:rsidRPr="009118AB" w:rsidRDefault="007433D3" w:rsidP="000E0042">
      <w:pPr>
        <w:jc w:val="both"/>
        <w:rPr>
          <w:rFonts w:eastAsia="Calibri"/>
          <w:szCs w:val="22"/>
          <w:lang w:eastAsia="en-US"/>
        </w:rPr>
      </w:pPr>
      <w:r w:rsidRPr="009118AB">
        <w:rPr>
          <w:rFonts w:eastAsia="Calibri"/>
          <w:szCs w:val="22"/>
          <w:lang w:eastAsia="en-US"/>
        </w:rPr>
        <w:tab/>
        <w:t>[</w:t>
      </w:r>
      <w:r w:rsidRPr="009118AB">
        <w:t>§ 4 - Damit der Steuerpflichtige die in § 2 erwähnte Steuerermäßigung erhalten kann, muss er seiner Einkommensteuererklärung für das Steuerjahr, das sich auf den Besteuerungszeitraum bezieht, für den er die Steuerermäßigung beantragt, die Rechnung für die Installation der Ladestation und die im Rahmen der in § 1 Absatz 4 Nr. 3 erwähnten Prüfung ausgestellte Bescheinigung beifügen.</w:t>
      </w:r>
      <w:r w:rsidRPr="009118AB">
        <w:rPr>
          <w:rFonts w:eastAsia="Calibri"/>
          <w:szCs w:val="22"/>
          <w:lang w:eastAsia="en-US"/>
        </w:rPr>
        <w:t>]</w:t>
      </w:r>
    </w:p>
    <w:p w14:paraId="4E3CA8C6" w14:textId="77777777" w:rsidR="000E0042" w:rsidRPr="009118AB" w:rsidRDefault="000E0042" w:rsidP="000E0042">
      <w:pPr>
        <w:jc w:val="both"/>
        <w:rPr>
          <w:rFonts w:eastAsia="Calibri"/>
          <w:szCs w:val="22"/>
          <w:lang w:eastAsia="en-US"/>
        </w:rPr>
      </w:pPr>
    </w:p>
    <w:p w14:paraId="1CA189AD" w14:textId="717878A1" w:rsidR="00903D1D" w:rsidRPr="009118AB" w:rsidRDefault="000E0042" w:rsidP="000E0042">
      <w:pPr>
        <w:jc w:val="both"/>
      </w:pPr>
      <w:r w:rsidRPr="009118AB">
        <w:rPr>
          <w:rFonts w:eastAsia="Calibri"/>
          <w:i/>
          <w:iCs/>
          <w:szCs w:val="22"/>
          <w:lang w:eastAsia="en-US"/>
        </w:rPr>
        <w:t>[</w:t>
      </w:r>
      <w:r w:rsidR="00D67EB8" w:rsidRPr="009118AB">
        <w:rPr>
          <w:rFonts w:eastAsia="Calibri"/>
          <w:i/>
          <w:iCs/>
          <w:szCs w:val="22"/>
          <w:lang w:eastAsia="en-US"/>
        </w:rPr>
        <w:t>Art. </w:t>
      </w:r>
      <w:r w:rsidRPr="009118AB">
        <w:rPr>
          <w:rFonts w:eastAsia="Calibri"/>
          <w:i/>
          <w:iCs/>
          <w:szCs w:val="22"/>
          <w:lang w:eastAsia="en-US"/>
        </w:rPr>
        <w:t>145</w:t>
      </w:r>
      <w:r w:rsidRPr="009118AB">
        <w:rPr>
          <w:rFonts w:eastAsia="Calibri"/>
          <w:i/>
          <w:iCs/>
          <w:szCs w:val="22"/>
          <w:vertAlign w:val="superscript"/>
          <w:lang w:eastAsia="en-US"/>
        </w:rPr>
        <w:t>50</w:t>
      </w:r>
      <w:r w:rsidRPr="009118AB">
        <w:rPr>
          <w:rFonts w:eastAsia="Calibri"/>
          <w:i/>
          <w:iCs/>
          <w:szCs w:val="22"/>
          <w:lang w:eastAsia="en-US"/>
        </w:rPr>
        <w:t xml:space="preserve"> eingefügt durch </w:t>
      </w:r>
      <w:r w:rsidR="00D67EB8" w:rsidRPr="009118AB">
        <w:rPr>
          <w:rFonts w:eastAsia="Calibri"/>
          <w:i/>
          <w:iCs/>
          <w:szCs w:val="22"/>
          <w:lang w:eastAsia="en-US"/>
        </w:rPr>
        <w:t>Art. </w:t>
      </w:r>
      <w:r w:rsidRPr="009118AB">
        <w:rPr>
          <w:rFonts w:eastAsia="Calibri"/>
          <w:i/>
          <w:iCs/>
          <w:szCs w:val="22"/>
          <w:lang w:eastAsia="en-US"/>
        </w:rPr>
        <w:t>16</w:t>
      </w:r>
      <w:r w:rsidRPr="009118AB">
        <w:rPr>
          <w:rFonts w:eastAsia="Calibri"/>
          <w:i/>
          <w:iCs/>
          <w:lang w:eastAsia="en-US"/>
        </w:rPr>
        <w:t xml:space="preserve"> des G. vom 25. November 2021 (B.S. vom 3. Dezember 2021)</w:t>
      </w:r>
      <w:r w:rsidR="00D67EB8" w:rsidRPr="009118AB">
        <w:rPr>
          <w:rFonts w:eastAsia="Calibri"/>
          <w:i/>
          <w:iCs/>
          <w:lang w:eastAsia="en-US"/>
        </w:rPr>
        <w:t> - </w:t>
      </w:r>
      <w:r w:rsidRPr="009118AB">
        <w:rPr>
          <w:rFonts w:eastAsia="Calibri"/>
          <w:i/>
          <w:iCs/>
          <w:lang w:eastAsia="en-US"/>
        </w:rPr>
        <w:t>wirksam mit 1. September 2021</w:t>
      </w:r>
      <w:r w:rsidR="003366D9" w:rsidRPr="009118AB">
        <w:rPr>
          <w:rFonts w:eastAsia="Calibri"/>
          <w:i/>
          <w:iCs/>
          <w:lang w:eastAsia="en-US"/>
        </w:rPr>
        <w:t> -;</w:t>
      </w:r>
      <w:r w:rsidR="002B3614" w:rsidRPr="009118AB">
        <w:rPr>
          <w:rFonts w:eastAsia="Calibri"/>
          <w:i/>
          <w:iCs/>
          <w:lang w:eastAsia="en-US"/>
        </w:rPr>
        <w:t xml:space="preserve"> </w:t>
      </w:r>
      <w:r w:rsidR="007433D3" w:rsidRPr="009118AB">
        <w:rPr>
          <w:rFonts w:eastAsia="Calibri"/>
          <w:i/>
          <w:iCs/>
          <w:lang w:eastAsia="en-US"/>
        </w:rPr>
        <w:t xml:space="preserve">§ 1 </w:t>
      </w:r>
      <w:r w:rsidR="00D67EB8" w:rsidRPr="009118AB">
        <w:rPr>
          <w:rFonts w:eastAsia="Calibri"/>
          <w:i/>
          <w:iCs/>
          <w:lang w:eastAsia="en-US"/>
        </w:rPr>
        <w:t>Abs. </w:t>
      </w:r>
      <w:r w:rsidR="002B3614" w:rsidRPr="009118AB">
        <w:rPr>
          <w:rFonts w:eastAsia="Calibri"/>
          <w:i/>
          <w:iCs/>
          <w:lang w:eastAsia="en-US"/>
        </w:rPr>
        <w:t xml:space="preserve">1 abgeändert durch </w:t>
      </w:r>
      <w:r w:rsidR="00D67EB8" w:rsidRPr="009118AB">
        <w:rPr>
          <w:rFonts w:eastAsia="Calibri"/>
          <w:i/>
          <w:iCs/>
          <w:lang w:eastAsia="en-US"/>
        </w:rPr>
        <w:t>Art. </w:t>
      </w:r>
      <w:r w:rsidR="002B3614" w:rsidRPr="009118AB">
        <w:rPr>
          <w:rFonts w:eastAsia="Calibri"/>
          <w:i/>
          <w:iCs/>
          <w:lang w:eastAsia="en-US"/>
        </w:rPr>
        <w:t xml:space="preserve">37 </w:t>
      </w:r>
      <w:r w:rsidR="00D67EB8" w:rsidRPr="009118AB">
        <w:rPr>
          <w:rFonts w:eastAsia="Calibri"/>
          <w:i/>
          <w:iCs/>
          <w:lang w:eastAsia="en-US"/>
        </w:rPr>
        <w:t>Nr. </w:t>
      </w:r>
      <w:r w:rsidR="002B3614" w:rsidRPr="009118AB">
        <w:rPr>
          <w:rFonts w:eastAsia="Calibri"/>
          <w:i/>
          <w:iCs/>
          <w:lang w:eastAsia="en-US"/>
        </w:rPr>
        <w:t>1</w:t>
      </w:r>
      <w:r w:rsidR="002B3614" w:rsidRPr="009118AB">
        <w:rPr>
          <w:i/>
          <w:iCs/>
        </w:rPr>
        <w:t xml:space="preserve"> des G. vom 21. Januar 2022 (B.S. vom 28. Januar 2022)</w:t>
      </w:r>
      <w:r w:rsidR="00D67EB8" w:rsidRPr="009118AB">
        <w:rPr>
          <w:rFonts w:eastAsia="Calibri"/>
          <w:i/>
          <w:iCs/>
          <w:szCs w:val="22"/>
          <w:lang w:eastAsia="en-US"/>
        </w:rPr>
        <w:t> - </w:t>
      </w:r>
      <w:r w:rsidR="002B3614" w:rsidRPr="009118AB">
        <w:rPr>
          <w:rFonts w:eastAsia="Calibri"/>
          <w:i/>
          <w:iCs/>
          <w:szCs w:val="22"/>
          <w:lang w:eastAsia="en-US"/>
        </w:rPr>
        <w:t>wirksam mit 1. September 2021</w:t>
      </w:r>
      <w:r w:rsidR="003366D9" w:rsidRPr="009118AB">
        <w:rPr>
          <w:rFonts w:eastAsia="Calibri"/>
          <w:i/>
          <w:iCs/>
          <w:szCs w:val="22"/>
          <w:lang w:eastAsia="en-US"/>
        </w:rPr>
        <w:t> -;</w:t>
      </w:r>
      <w:r w:rsidR="002B3614" w:rsidRPr="009118AB">
        <w:rPr>
          <w:rFonts w:eastAsia="Calibri"/>
          <w:i/>
          <w:iCs/>
          <w:szCs w:val="22"/>
          <w:lang w:eastAsia="en-US"/>
        </w:rPr>
        <w:t xml:space="preserve"> </w:t>
      </w:r>
      <w:r w:rsidR="007433D3" w:rsidRPr="009118AB">
        <w:rPr>
          <w:rFonts w:eastAsia="Calibri"/>
          <w:i/>
          <w:iCs/>
          <w:szCs w:val="22"/>
          <w:lang w:eastAsia="en-US"/>
        </w:rPr>
        <w:t xml:space="preserve">§ 1 </w:t>
      </w:r>
      <w:r w:rsidR="00D67EB8" w:rsidRPr="009118AB">
        <w:rPr>
          <w:rFonts w:eastAsia="Calibri"/>
          <w:i/>
          <w:iCs/>
          <w:szCs w:val="22"/>
          <w:lang w:eastAsia="en-US"/>
        </w:rPr>
        <w:t>Abs. </w:t>
      </w:r>
      <w:r w:rsidR="002B3614" w:rsidRPr="009118AB">
        <w:rPr>
          <w:rFonts w:eastAsia="Calibri"/>
          <w:i/>
          <w:iCs/>
          <w:szCs w:val="22"/>
          <w:lang w:eastAsia="en-US"/>
        </w:rPr>
        <w:t xml:space="preserve">4 </w:t>
      </w:r>
      <w:r w:rsidR="00D67EB8" w:rsidRPr="009118AB">
        <w:rPr>
          <w:rFonts w:eastAsia="Calibri"/>
          <w:i/>
          <w:iCs/>
          <w:szCs w:val="22"/>
          <w:lang w:eastAsia="en-US"/>
        </w:rPr>
        <w:t>Nr. </w:t>
      </w:r>
      <w:r w:rsidR="002B3614" w:rsidRPr="009118AB">
        <w:rPr>
          <w:rFonts w:eastAsia="Calibri"/>
          <w:i/>
          <w:iCs/>
          <w:szCs w:val="22"/>
          <w:lang w:eastAsia="en-US"/>
        </w:rPr>
        <w:t xml:space="preserve">1 abgeändert durch </w:t>
      </w:r>
      <w:r w:rsidR="00D67EB8" w:rsidRPr="009118AB">
        <w:rPr>
          <w:rFonts w:eastAsia="Calibri"/>
          <w:i/>
          <w:iCs/>
          <w:szCs w:val="22"/>
          <w:lang w:eastAsia="en-US"/>
        </w:rPr>
        <w:t>Art. </w:t>
      </w:r>
      <w:r w:rsidR="002B3614" w:rsidRPr="009118AB">
        <w:rPr>
          <w:rFonts w:eastAsia="Calibri"/>
          <w:i/>
          <w:iCs/>
          <w:szCs w:val="22"/>
          <w:lang w:eastAsia="en-US"/>
        </w:rPr>
        <w:t xml:space="preserve">37 </w:t>
      </w:r>
      <w:r w:rsidR="00D67EB8" w:rsidRPr="009118AB">
        <w:rPr>
          <w:rFonts w:eastAsia="Calibri"/>
          <w:i/>
          <w:iCs/>
          <w:szCs w:val="22"/>
          <w:lang w:eastAsia="en-US"/>
        </w:rPr>
        <w:t>Nr. </w:t>
      </w:r>
      <w:r w:rsidR="002B3614" w:rsidRPr="009118AB">
        <w:rPr>
          <w:rFonts w:eastAsia="Calibri"/>
          <w:i/>
          <w:iCs/>
          <w:szCs w:val="22"/>
          <w:lang w:eastAsia="en-US"/>
        </w:rPr>
        <w:t>2</w:t>
      </w:r>
      <w:r w:rsidR="002B3614" w:rsidRPr="009118AB">
        <w:rPr>
          <w:i/>
          <w:iCs/>
        </w:rPr>
        <w:t xml:space="preserve"> des G. vom 21. Januar 2022 (B.S. vom 28. Januar 2022)</w:t>
      </w:r>
      <w:r w:rsidR="00D67EB8" w:rsidRPr="009118AB">
        <w:rPr>
          <w:rFonts w:eastAsia="Calibri"/>
          <w:i/>
          <w:iCs/>
          <w:szCs w:val="22"/>
          <w:lang w:eastAsia="en-US"/>
        </w:rPr>
        <w:t> - </w:t>
      </w:r>
      <w:r w:rsidR="002B3614" w:rsidRPr="009118AB">
        <w:rPr>
          <w:rFonts w:eastAsia="Calibri"/>
          <w:i/>
          <w:iCs/>
          <w:szCs w:val="22"/>
          <w:lang w:eastAsia="en-US"/>
        </w:rPr>
        <w:t>wirksam mit 1. September 2021</w:t>
      </w:r>
      <w:r w:rsidR="00FD68E8" w:rsidRPr="009118AB">
        <w:rPr>
          <w:rFonts w:eastAsia="Calibri"/>
          <w:i/>
          <w:iCs/>
          <w:szCs w:val="22"/>
          <w:lang w:eastAsia="en-US"/>
        </w:rPr>
        <w:t> -</w:t>
      </w:r>
      <w:r w:rsidR="007433D3" w:rsidRPr="009118AB">
        <w:rPr>
          <w:rFonts w:eastAsia="Calibri"/>
          <w:i/>
          <w:iCs/>
          <w:szCs w:val="22"/>
          <w:lang w:eastAsia="en-US"/>
        </w:rPr>
        <w:t xml:space="preserve">; § 2 Abs. 1 </w:t>
      </w:r>
      <w:r w:rsidR="007433D3" w:rsidRPr="009118AB">
        <w:rPr>
          <w:rFonts w:eastAsia="Calibri"/>
          <w:i/>
          <w:iCs/>
          <w:szCs w:val="22"/>
          <w:lang w:eastAsia="en-US"/>
        </w:rPr>
        <w:lastRenderedPageBreak/>
        <w:t>abgeändert durch Art. 44 Nr. 1</w:t>
      </w:r>
      <w:r w:rsidR="007433D3" w:rsidRPr="009118AB">
        <w:rPr>
          <w:i/>
          <w:iCs/>
        </w:rPr>
        <w:t xml:space="preserve"> des G. vom 20. November 2022 (B.S. vom 30. November 2022) - in Kraft am 1. Januar 2022 - und Art. 44 Nr. 2 des G. vom 20. November 2022 (B.S. vom 30. November 2022) - in Kraft am 1. Januar 2023 -; § 4 eingefügt durch Art. 44 Nr. 3 des G. vom 20. November 2022 (B.S. vom 30. November 2022) - in Kraft am 1. Januar 2023 -</w:t>
      </w:r>
      <w:r w:rsidR="00FD68E8" w:rsidRPr="009118AB">
        <w:rPr>
          <w:rFonts w:eastAsia="Calibri"/>
          <w:i/>
          <w:iCs/>
          <w:szCs w:val="22"/>
          <w:lang w:eastAsia="en-US"/>
        </w:rPr>
        <w:t>]</w:t>
      </w:r>
      <w:r w:rsidR="00903D1D" w:rsidRPr="009118AB">
        <w:br w:type="page"/>
      </w:r>
    </w:p>
    <w:p w14:paraId="7D437679" w14:textId="637A62C4" w:rsidR="00477B8F" w:rsidRPr="009118AB" w:rsidRDefault="00477B8F" w:rsidP="006E6786">
      <w:pPr>
        <w:jc w:val="center"/>
        <w:rPr>
          <w:i/>
          <w:iCs/>
        </w:rPr>
      </w:pPr>
      <w:r w:rsidRPr="009118AB">
        <w:lastRenderedPageBreak/>
        <w:t>Unterabschnitt </w:t>
      </w:r>
      <w:r w:rsidR="00D74862" w:rsidRPr="009118AB">
        <w:t>3</w:t>
      </w:r>
      <w:r w:rsidR="00D67EB8" w:rsidRPr="009118AB">
        <w:t> - </w:t>
      </w:r>
      <w:r w:rsidRPr="009118AB">
        <w:t>Ermäßigung für Pensionen und Ersatzeinkünfte</w:t>
      </w:r>
    </w:p>
    <w:p w14:paraId="20250123" w14:textId="77777777" w:rsidR="00477B8F" w:rsidRPr="009118AB" w:rsidRDefault="00477B8F" w:rsidP="00477B8F">
      <w:pPr>
        <w:autoSpaceDE w:val="0"/>
        <w:autoSpaceDN w:val="0"/>
        <w:adjustRightInd w:val="0"/>
        <w:jc w:val="center"/>
      </w:pPr>
    </w:p>
    <w:p w14:paraId="46A954E3" w14:textId="77777777" w:rsidR="00477B8F" w:rsidRPr="009118AB" w:rsidRDefault="00477B8F" w:rsidP="00477B8F">
      <w:pPr>
        <w:autoSpaceDE w:val="0"/>
        <w:autoSpaceDN w:val="0"/>
        <w:adjustRightInd w:val="0"/>
        <w:jc w:val="both"/>
      </w:pPr>
    </w:p>
    <w:p w14:paraId="692A52A4" w14:textId="54A79800" w:rsidR="00060039" w:rsidRPr="009118AB" w:rsidRDefault="00477B8F" w:rsidP="00060039">
      <w:pPr>
        <w:autoSpaceDE w:val="0"/>
        <w:autoSpaceDN w:val="0"/>
        <w:adjustRightInd w:val="0"/>
        <w:jc w:val="both"/>
      </w:pPr>
      <w:r w:rsidRPr="009118AB">
        <w:tab/>
      </w:r>
      <w:r w:rsidR="00D67EB8" w:rsidRPr="009118AB">
        <w:rPr>
          <w:b/>
          <w:bCs/>
        </w:rPr>
        <w:t>Art. </w:t>
      </w:r>
      <w:r w:rsidRPr="009118AB">
        <w:rPr>
          <w:b/>
          <w:bCs/>
        </w:rPr>
        <w:t>146</w:t>
      </w:r>
      <w:r w:rsidR="00D67EB8" w:rsidRPr="009118AB">
        <w:t> - </w:t>
      </w:r>
      <w:r w:rsidR="00060039" w:rsidRPr="009118AB">
        <w:t>Für die Anwendung des vorliegenden Unterabschnitts versteht man unter:</w:t>
      </w:r>
    </w:p>
    <w:p w14:paraId="17B1570A" w14:textId="77777777" w:rsidR="00060039" w:rsidRPr="009118AB" w:rsidRDefault="00060039" w:rsidP="00060039">
      <w:pPr>
        <w:autoSpaceDE w:val="0"/>
        <w:autoSpaceDN w:val="0"/>
        <w:adjustRightInd w:val="0"/>
        <w:jc w:val="both"/>
      </w:pPr>
    </w:p>
    <w:p w14:paraId="0964DEF9" w14:textId="77777777" w:rsidR="00060039" w:rsidRPr="009118AB" w:rsidRDefault="00FC6806" w:rsidP="00060039">
      <w:pPr>
        <w:autoSpaceDE w:val="0"/>
        <w:autoSpaceDN w:val="0"/>
        <w:adjustRightInd w:val="0"/>
        <w:jc w:val="both"/>
      </w:pPr>
      <w:r w:rsidRPr="009118AB">
        <w:tab/>
      </w:r>
      <w:r w:rsidR="00060039" w:rsidRPr="009118AB">
        <w:t>1. Pensionen: in Artikel 34 erwähnte Pensionen, Renten und als solche geltende Zulagen […],</w:t>
      </w:r>
    </w:p>
    <w:p w14:paraId="7DCA9CBE" w14:textId="77777777" w:rsidR="00060039" w:rsidRPr="009118AB" w:rsidRDefault="00060039" w:rsidP="00060039">
      <w:pPr>
        <w:autoSpaceDE w:val="0"/>
        <w:autoSpaceDN w:val="0"/>
        <w:adjustRightInd w:val="0"/>
        <w:jc w:val="both"/>
      </w:pPr>
    </w:p>
    <w:p w14:paraId="60EC1E41" w14:textId="77777777" w:rsidR="00060039" w:rsidRPr="009118AB" w:rsidRDefault="00FC6806" w:rsidP="00060039">
      <w:pPr>
        <w:autoSpaceDE w:val="0"/>
        <w:autoSpaceDN w:val="0"/>
        <w:adjustRightInd w:val="0"/>
        <w:jc w:val="both"/>
      </w:pPr>
      <w:r w:rsidRPr="009118AB">
        <w:tab/>
      </w:r>
      <w:r w:rsidR="00060039" w:rsidRPr="009118AB">
        <w:t>2. […]</w:t>
      </w:r>
    </w:p>
    <w:p w14:paraId="5D519FEB" w14:textId="77777777" w:rsidR="00060039" w:rsidRPr="009118AB" w:rsidRDefault="00060039" w:rsidP="00060039">
      <w:pPr>
        <w:autoSpaceDE w:val="0"/>
        <w:autoSpaceDN w:val="0"/>
        <w:adjustRightInd w:val="0"/>
        <w:jc w:val="both"/>
      </w:pPr>
    </w:p>
    <w:p w14:paraId="1F70E153" w14:textId="77777777" w:rsidR="00060039" w:rsidRPr="009118AB" w:rsidRDefault="00FC6806" w:rsidP="00060039">
      <w:pPr>
        <w:autoSpaceDE w:val="0"/>
        <w:autoSpaceDN w:val="0"/>
        <w:adjustRightInd w:val="0"/>
        <w:jc w:val="both"/>
      </w:pPr>
      <w:r w:rsidRPr="009118AB">
        <w:tab/>
      </w:r>
      <w:r w:rsidR="00060039" w:rsidRPr="009118AB">
        <w:t>[2</w:t>
      </w:r>
      <w:r w:rsidR="00060039" w:rsidRPr="009118AB">
        <w:rPr>
          <w:i/>
          <w:iCs/>
        </w:rPr>
        <w:t>bis</w:t>
      </w:r>
      <w:r w:rsidR="00060039" w:rsidRPr="009118AB">
        <w:t>. [...]]</w:t>
      </w:r>
    </w:p>
    <w:p w14:paraId="4880F6A8" w14:textId="77777777" w:rsidR="00060039" w:rsidRPr="009118AB" w:rsidRDefault="00060039" w:rsidP="00060039">
      <w:pPr>
        <w:autoSpaceDE w:val="0"/>
        <w:autoSpaceDN w:val="0"/>
        <w:adjustRightInd w:val="0"/>
        <w:jc w:val="both"/>
      </w:pPr>
    </w:p>
    <w:p w14:paraId="16836C24" w14:textId="234644AB" w:rsidR="00060039" w:rsidRPr="009118AB" w:rsidRDefault="00FC6806" w:rsidP="00060039">
      <w:pPr>
        <w:autoSpaceDE w:val="0"/>
        <w:autoSpaceDN w:val="0"/>
        <w:adjustRightInd w:val="0"/>
        <w:jc w:val="both"/>
      </w:pPr>
      <w:r w:rsidRPr="009118AB">
        <w:tab/>
      </w:r>
      <w:r w:rsidR="00060039" w:rsidRPr="009118AB">
        <w:t>3. Arbeitslosengeld: gesetzliche und außergesetzliche Beihilfen jeglicher Art, die als vollständige Entschädigung oder Teilentschädigung für einen zeitweiligen Lohnausfall aufgrund einer unfreiwilligen Voll- oder Teilarbeitslosigkeit bezogen werden, [jedoch ausschließlich der [in Artikel 31</w:t>
      </w:r>
      <w:r w:rsidR="00060039" w:rsidRPr="009118AB">
        <w:rPr>
          <w:i/>
        </w:rPr>
        <w:t>bis</w:t>
      </w:r>
      <w:r w:rsidR="00060039" w:rsidRPr="009118AB">
        <w:t xml:space="preserve"> Absatz </w:t>
      </w:r>
      <w:r w:rsidR="00AC5CB5" w:rsidRPr="009118AB">
        <w:t>2</w:t>
      </w:r>
      <w:r w:rsidR="00060039" w:rsidRPr="009118AB">
        <w:t xml:space="preserve"> </w:t>
      </w:r>
      <w:r w:rsidR="00D67EB8" w:rsidRPr="009118AB">
        <w:t>Nr. </w:t>
      </w:r>
      <w:r w:rsidR="00060039" w:rsidRPr="009118AB">
        <w:t>1</w:t>
      </w:r>
      <w:r w:rsidR="00AC5CB5" w:rsidRPr="009118AB">
        <w:t>]</w:t>
      </w:r>
      <w:r w:rsidR="00060039" w:rsidRPr="009118AB">
        <w:t xml:space="preserve"> erwähnten Beihilfen,] [...] [und das Einkommen, das für Leistungen bezogen wird, die im Rahmen eines LBA</w:t>
      </w:r>
      <w:r w:rsidR="00060039" w:rsidRPr="009118AB">
        <w:noBreakHyphen/>
        <w:t xml:space="preserve">Arbeitsvertrags erbracht werden, [und zwar bis zum Restbetrag, der nach Anwendung von Artikel 38 </w:t>
      </w:r>
      <w:r w:rsidR="00D67EB8" w:rsidRPr="009118AB">
        <w:t>§ </w:t>
      </w:r>
      <w:r w:rsidR="00060039" w:rsidRPr="009118AB">
        <w:t xml:space="preserve">1 Absatz 1 </w:t>
      </w:r>
      <w:r w:rsidR="00D67EB8" w:rsidRPr="009118AB">
        <w:t>Nr. </w:t>
      </w:r>
      <w:r w:rsidR="00060039" w:rsidRPr="009118AB">
        <w:t>13 übrig bleibt]],</w:t>
      </w:r>
    </w:p>
    <w:p w14:paraId="4AD86423" w14:textId="77777777" w:rsidR="00060039" w:rsidRPr="009118AB" w:rsidRDefault="00060039" w:rsidP="00060039">
      <w:pPr>
        <w:autoSpaceDE w:val="0"/>
        <w:autoSpaceDN w:val="0"/>
        <w:adjustRightInd w:val="0"/>
        <w:jc w:val="both"/>
      </w:pPr>
    </w:p>
    <w:p w14:paraId="6A86825B" w14:textId="77777777" w:rsidR="00060039" w:rsidRPr="009118AB" w:rsidRDefault="00FC6806" w:rsidP="00060039">
      <w:pPr>
        <w:autoSpaceDE w:val="0"/>
        <w:autoSpaceDN w:val="0"/>
        <w:adjustRightInd w:val="0"/>
        <w:jc w:val="both"/>
      </w:pPr>
      <w:r w:rsidRPr="009118AB">
        <w:tab/>
      </w:r>
      <w:r w:rsidR="00060039" w:rsidRPr="009118AB">
        <w:t>4. gesetzlichen Krankheits- und Invaliditätsentschädigungen: Entschädigungen, die in Ausführung der Rechtsvorschriften über Kranken</w:t>
      </w:r>
      <w:r w:rsidR="00060039" w:rsidRPr="009118AB">
        <w:noBreakHyphen/>
        <w:t xml:space="preserve"> oder Invalidenversicherung bewilligt werden,</w:t>
      </w:r>
    </w:p>
    <w:p w14:paraId="4543CFA0" w14:textId="77777777" w:rsidR="00060039" w:rsidRPr="009118AB" w:rsidRDefault="00060039" w:rsidP="00060039">
      <w:pPr>
        <w:autoSpaceDE w:val="0"/>
        <w:autoSpaceDN w:val="0"/>
        <w:adjustRightInd w:val="0"/>
        <w:jc w:val="both"/>
      </w:pPr>
    </w:p>
    <w:p w14:paraId="5580FC8C" w14:textId="026D1813" w:rsidR="00060039" w:rsidRPr="009118AB" w:rsidRDefault="00FC6806" w:rsidP="00060039">
      <w:pPr>
        <w:autoSpaceDE w:val="0"/>
        <w:autoSpaceDN w:val="0"/>
        <w:adjustRightInd w:val="0"/>
        <w:jc w:val="both"/>
      </w:pPr>
      <w:r w:rsidRPr="009118AB">
        <w:tab/>
      </w:r>
      <w:r w:rsidR="00060039" w:rsidRPr="009118AB">
        <w:t>5. anderen Ersatzeinkünften: Entschädigungen jeglicher Art, die als vollständige Entschädigung oder Teilentschädigung für einen zeitweiligen Gewinn-, Profit- oder Lohnausfall bezogen werden, ausschließlich der [in den Nummern 3 und] 4 erwähnten Ersatzeinkünfte [und, in Ermangelung der Wiederaufnahme der Arbeit bei einem anderen Arbeitgeber oder in Ermangelung der Wiederaufnahme der Arbeit als Selbständiger, der in Artikel 31</w:t>
      </w:r>
      <w:r w:rsidR="00060039" w:rsidRPr="009118AB">
        <w:rPr>
          <w:i/>
          <w:iCs/>
        </w:rPr>
        <w:t>bis</w:t>
      </w:r>
      <w:r w:rsidR="00060039" w:rsidRPr="009118AB">
        <w:t xml:space="preserve"> Absatz 1 </w:t>
      </w:r>
      <w:r w:rsidR="00D67EB8" w:rsidRPr="009118AB">
        <w:t>Nr. </w:t>
      </w:r>
      <w:r w:rsidR="00060039" w:rsidRPr="009118AB">
        <w:t>2 erwähnten Zusatzentschädigungen].</w:t>
      </w:r>
    </w:p>
    <w:p w14:paraId="50657561" w14:textId="77777777" w:rsidR="00060039" w:rsidRPr="009118AB" w:rsidRDefault="00060039" w:rsidP="00060039">
      <w:pPr>
        <w:autoSpaceDE w:val="0"/>
        <w:autoSpaceDN w:val="0"/>
        <w:adjustRightInd w:val="0"/>
        <w:jc w:val="both"/>
      </w:pPr>
    </w:p>
    <w:p w14:paraId="5F54E101" w14:textId="3007AAC3" w:rsidR="00060039" w:rsidRPr="009118AB" w:rsidRDefault="00060039" w:rsidP="00060039">
      <w:pPr>
        <w:autoSpaceDE w:val="0"/>
        <w:autoSpaceDN w:val="0"/>
        <w:adjustRightInd w:val="0"/>
        <w:jc w:val="both"/>
        <w:rPr>
          <w:iCs/>
        </w:rPr>
      </w:pPr>
      <w:r w:rsidRPr="009118AB">
        <w:rPr>
          <w:i/>
          <w:iCs/>
        </w:rPr>
        <w:t>[</w:t>
      </w:r>
      <w:r w:rsidR="00D67EB8" w:rsidRPr="009118AB">
        <w:rPr>
          <w:i/>
          <w:iCs/>
        </w:rPr>
        <w:t>Art. </w:t>
      </w:r>
      <w:r w:rsidRPr="009118AB">
        <w:rPr>
          <w:i/>
          <w:iCs/>
        </w:rPr>
        <w:t xml:space="preserve">146 einziger Absatz </w:t>
      </w:r>
      <w:r w:rsidR="00D67EB8" w:rsidRPr="009118AB">
        <w:rPr>
          <w:i/>
          <w:iCs/>
        </w:rPr>
        <w:t>Nr. </w:t>
      </w:r>
      <w:r w:rsidRPr="009118AB">
        <w:rPr>
          <w:i/>
          <w:iCs/>
        </w:rPr>
        <w:t xml:space="preserve">1 abgeändert durch </w:t>
      </w:r>
      <w:r w:rsidR="00D67EB8" w:rsidRPr="009118AB">
        <w:rPr>
          <w:i/>
          <w:iCs/>
        </w:rPr>
        <w:t>Art. </w:t>
      </w:r>
      <w:r w:rsidRPr="009118AB">
        <w:rPr>
          <w:i/>
          <w:iCs/>
        </w:rPr>
        <w:t xml:space="preserve">34 </w:t>
      </w:r>
      <w:r w:rsidR="00D67EB8" w:rsidRPr="009118AB">
        <w:rPr>
          <w:i/>
          <w:iCs/>
        </w:rPr>
        <w:t>Nr. </w:t>
      </w:r>
      <w:r w:rsidRPr="009118AB">
        <w:rPr>
          <w:i/>
          <w:iCs/>
        </w:rPr>
        <w:t>1 des G. vom 10. August 2001 (B.S. vom 20. September 2001)</w:t>
      </w:r>
      <w:r w:rsidR="00D67EB8" w:rsidRPr="009118AB">
        <w:rPr>
          <w:i/>
          <w:iCs/>
        </w:rPr>
        <w:t> - </w:t>
      </w:r>
      <w:r w:rsidRPr="009118AB">
        <w:rPr>
          <w:i/>
          <w:iCs/>
        </w:rPr>
        <w:t>in Kraft ab dem Steuerjahr 2005</w:t>
      </w:r>
      <w:r w:rsidR="00FD68E8" w:rsidRPr="009118AB">
        <w:rPr>
          <w:i/>
          <w:iCs/>
        </w:rPr>
        <w:t> -,</w:t>
      </w:r>
      <w:r w:rsidRPr="009118AB">
        <w:rPr>
          <w:i/>
          <w:iCs/>
        </w:rPr>
        <w:t xml:space="preserve"> </w:t>
      </w:r>
      <w:r w:rsidR="00D67EB8" w:rsidRPr="009118AB">
        <w:rPr>
          <w:i/>
          <w:iCs/>
        </w:rPr>
        <w:t>Art. </w:t>
      </w:r>
      <w:r w:rsidRPr="009118AB">
        <w:rPr>
          <w:i/>
          <w:iCs/>
        </w:rPr>
        <w:t xml:space="preserve">95 Buchstabe A </w:t>
      </w:r>
      <w:r w:rsidR="00D67EB8" w:rsidRPr="009118AB">
        <w:rPr>
          <w:i/>
          <w:iCs/>
        </w:rPr>
        <w:t>Nr. </w:t>
      </w:r>
      <w:r w:rsidRPr="009118AB">
        <w:rPr>
          <w:i/>
          <w:iCs/>
        </w:rPr>
        <w:t>1 des G. vom 23. Dezember 2005 (B.S. vom 30. Dezember 2005)</w:t>
      </w:r>
      <w:r w:rsidR="00D67EB8" w:rsidRPr="009118AB">
        <w:rPr>
          <w:i/>
          <w:iCs/>
        </w:rPr>
        <w:t> - </w:t>
      </w:r>
      <w:r w:rsidRPr="009118AB">
        <w:rPr>
          <w:i/>
          <w:iCs/>
        </w:rPr>
        <w:t>in Kraft ab dem Steuerjahr</w:t>
      </w:r>
      <w:r w:rsidR="00FC6806" w:rsidRPr="009118AB">
        <w:rPr>
          <w:i/>
          <w:iCs/>
        </w:rPr>
        <w:t> </w:t>
      </w:r>
      <w:r w:rsidRPr="009118AB">
        <w:rPr>
          <w:i/>
          <w:iCs/>
        </w:rPr>
        <w:t>2005</w:t>
      </w:r>
      <w:r w:rsidR="00FD68E8" w:rsidRPr="009118AB">
        <w:rPr>
          <w:i/>
          <w:iCs/>
        </w:rPr>
        <w:t> -,</w:t>
      </w:r>
      <w:r w:rsidRPr="009118AB">
        <w:rPr>
          <w:i/>
          <w:iCs/>
        </w:rPr>
        <w:t xml:space="preserve"> </w:t>
      </w:r>
      <w:r w:rsidR="00D67EB8" w:rsidRPr="009118AB">
        <w:rPr>
          <w:i/>
          <w:iCs/>
        </w:rPr>
        <w:t>Art. </w:t>
      </w:r>
      <w:r w:rsidRPr="009118AB">
        <w:rPr>
          <w:i/>
          <w:iCs/>
        </w:rPr>
        <w:t xml:space="preserve">43 </w:t>
      </w:r>
      <w:r w:rsidR="00D67EB8" w:rsidRPr="009118AB">
        <w:rPr>
          <w:i/>
          <w:iCs/>
        </w:rPr>
        <w:t>Nr. </w:t>
      </w:r>
      <w:r w:rsidRPr="009118AB">
        <w:rPr>
          <w:i/>
          <w:iCs/>
        </w:rPr>
        <w:t>1 des G. vom 20. Juli 2006 (II) (B.</w:t>
      </w:r>
      <w:r w:rsidR="00B3148A" w:rsidRPr="009118AB">
        <w:rPr>
          <w:i/>
          <w:iCs/>
        </w:rPr>
        <w:t>S. vom 28. Juli 2006)</w:t>
      </w:r>
      <w:r w:rsidR="00D67EB8" w:rsidRPr="009118AB">
        <w:rPr>
          <w:i/>
          <w:iCs/>
        </w:rPr>
        <w:t> - </w:t>
      </w:r>
      <w:r w:rsidRPr="009118AB">
        <w:rPr>
          <w:i/>
          <w:iCs/>
        </w:rPr>
        <w:t>anwendbar ab</w:t>
      </w:r>
      <w:r w:rsidR="00FC6806" w:rsidRPr="009118AB">
        <w:rPr>
          <w:i/>
          <w:iCs/>
        </w:rPr>
        <w:t xml:space="preserve"> dem Steuerjahr 2006</w:t>
      </w:r>
      <w:r w:rsidR="00D67EB8" w:rsidRPr="009118AB">
        <w:rPr>
          <w:i/>
          <w:iCs/>
        </w:rPr>
        <w:t> - </w:t>
      </w:r>
      <w:r w:rsidR="00FC6806" w:rsidRPr="009118AB">
        <w:rPr>
          <w:i/>
          <w:iCs/>
        </w:rPr>
        <w:t xml:space="preserve">und </w:t>
      </w:r>
      <w:r w:rsidR="00D67EB8" w:rsidRPr="009118AB">
        <w:rPr>
          <w:i/>
          <w:iCs/>
        </w:rPr>
        <w:t>Art. </w:t>
      </w:r>
      <w:r w:rsidR="00FC6806" w:rsidRPr="009118AB">
        <w:rPr>
          <w:i/>
          <w:iCs/>
        </w:rPr>
        <w:t>36 Buchstabe </w:t>
      </w:r>
      <w:r w:rsidRPr="009118AB">
        <w:rPr>
          <w:i/>
          <w:iCs/>
        </w:rPr>
        <w:t>a) des G. vom 17. Mai 2007 (B.S. vom 19. Juni 2007)</w:t>
      </w:r>
      <w:r w:rsidR="00D67EB8" w:rsidRPr="009118AB">
        <w:rPr>
          <w:i/>
          <w:iCs/>
        </w:rPr>
        <w:t> - </w:t>
      </w:r>
      <w:r w:rsidRPr="009118AB">
        <w:rPr>
          <w:i/>
          <w:iCs/>
        </w:rPr>
        <w:t xml:space="preserve">anwendbar </w:t>
      </w:r>
      <w:r w:rsidRPr="009118AB">
        <w:rPr>
          <w:i/>
        </w:rPr>
        <w:t>auf die ab dem 1. Januar 2007 gezahlten oder zuerkannten Einkünfte</w:t>
      </w:r>
      <w:r w:rsidR="003366D9" w:rsidRPr="009118AB">
        <w:rPr>
          <w:i/>
        </w:rPr>
        <w:t> -;</w:t>
      </w:r>
      <w:r w:rsidRPr="009118AB">
        <w:rPr>
          <w:i/>
          <w:iCs/>
        </w:rPr>
        <w:t xml:space="preserve"> ein</w:t>
      </w:r>
      <w:r w:rsidR="00FC6806" w:rsidRPr="009118AB">
        <w:rPr>
          <w:i/>
          <w:iCs/>
        </w:rPr>
        <w:t xml:space="preserve">ziger Absatz </w:t>
      </w:r>
      <w:r w:rsidR="00D67EB8" w:rsidRPr="009118AB">
        <w:rPr>
          <w:i/>
          <w:iCs/>
        </w:rPr>
        <w:t>Nr. </w:t>
      </w:r>
      <w:r w:rsidR="00FC6806" w:rsidRPr="009118AB">
        <w:rPr>
          <w:i/>
          <w:iCs/>
        </w:rPr>
        <w:t xml:space="preserve">2 aufgehoben durch </w:t>
      </w:r>
      <w:r w:rsidR="00D67EB8" w:rsidRPr="009118AB">
        <w:rPr>
          <w:i/>
          <w:iCs/>
        </w:rPr>
        <w:t>Art. </w:t>
      </w:r>
      <w:r w:rsidR="00FC6806" w:rsidRPr="009118AB">
        <w:rPr>
          <w:i/>
          <w:iCs/>
        </w:rPr>
        <w:t>36 Buchstabe </w:t>
      </w:r>
      <w:r w:rsidRPr="009118AB">
        <w:rPr>
          <w:i/>
          <w:iCs/>
        </w:rPr>
        <w:t>b) des G.</w:t>
      </w:r>
      <w:r w:rsidR="00FC6806" w:rsidRPr="009118AB">
        <w:rPr>
          <w:i/>
          <w:iCs/>
        </w:rPr>
        <w:t xml:space="preserve"> </w:t>
      </w:r>
      <w:r w:rsidRPr="009118AB">
        <w:rPr>
          <w:i/>
          <w:iCs/>
        </w:rPr>
        <w:t>vom 17. Mai 2007 (B.S. vom 19. Juni 2007)</w:t>
      </w:r>
      <w:r w:rsidR="00D67EB8" w:rsidRPr="009118AB">
        <w:rPr>
          <w:i/>
          <w:iCs/>
        </w:rPr>
        <w:t> - </w:t>
      </w:r>
      <w:r w:rsidRPr="009118AB">
        <w:rPr>
          <w:i/>
          <w:iCs/>
        </w:rPr>
        <w:t xml:space="preserve">anwendbar </w:t>
      </w:r>
      <w:r w:rsidRPr="009118AB">
        <w:rPr>
          <w:i/>
        </w:rPr>
        <w:t>auf die ab dem 1. Januar 2007 gezahlten oder zuerkannten Einkünfte</w:t>
      </w:r>
      <w:r w:rsidR="003366D9" w:rsidRPr="009118AB">
        <w:rPr>
          <w:i/>
        </w:rPr>
        <w:t> -;</w:t>
      </w:r>
      <w:r w:rsidRPr="009118AB">
        <w:rPr>
          <w:i/>
          <w:iCs/>
        </w:rPr>
        <w:t xml:space="preserve"> einziger Absatz </w:t>
      </w:r>
      <w:r w:rsidR="00D67EB8" w:rsidRPr="009118AB">
        <w:rPr>
          <w:i/>
          <w:iCs/>
        </w:rPr>
        <w:t>Nr. </w:t>
      </w:r>
      <w:r w:rsidRPr="009118AB">
        <w:rPr>
          <w:i/>
          <w:iCs/>
        </w:rPr>
        <w:t>2bis einge</w:t>
      </w:r>
      <w:r w:rsidR="00660FC3" w:rsidRPr="009118AB">
        <w:rPr>
          <w:i/>
          <w:iCs/>
        </w:rPr>
        <w:t xml:space="preserve">fügt durch </w:t>
      </w:r>
      <w:r w:rsidR="00D67EB8" w:rsidRPr="009118AB">
        <w:rPr>
          <w:i/>
          <w:iCs/>
        </w:rPr>
        <w:t>Art. </w:t>
      </w:r>
      <w:r w:rsidR="00660FC3" w:rsidRPr="009118AB">
        <w:rPr>
          <w:i/>
          <w:iCs/>
        </w:rPr>
        <w:t xml:space="preserve">34 </w:t>
      </w:r>
      <w:r w:rsidR="00D67EB8" w:rsidRPr="009118AB">
        <w:rPr>
          <w:i/>
          <w:iCs/>
        </w:rPr>
        <w:t>Nr. </w:t>
      </w:r>
      <w:r w:rsidR="00660FC3" w:rsidRPr="009118AB">
        <w:rPr>
          <w:i/>
          <w:iCs/>
        </w:rPr>
        <w:t xml:space="preserve">2 des G. </w:t>
      </w:r>
      <w:r w:rsidRPr="009118AB">
        <w:rPr>
          <w:i/>
          <w:iCs/>
        </w:rPr>
        <w:t>vom 10. August 2001 (B.S. vom 20. September 200</w:t>
      </w:r>
      <w:r w:rsidR="00660FC3" w:rsidRPr="009118AB">
        <w:rPr>
          <w:i/>
          <w:iCs/>
        </w:rPr>
        <w:t>1)</w:t>
      </w:r>
      <w:r w:rsidR="00D67EB8" w:rsidRPr="009118AB">
        <w:rPr>
          <w:i/>
          <w:iCs/>
        </w:rPr>
        <w:t> - </w:t>
      </w:r>
      <w:r w:rsidR="00660FC3" w:rsidRPr="009118AB">
        <w:rPr>
          <w:i/>
          <w:iCs/>
        </w:rPr>
        <w:t>in Kraft ab dem Steuerjahr </w:t>
      </w:r>
      <w:r w:rsidRPr="009118AB">
        <w:rPr>
          <w:i/>
          <w:iCs/>
        </w:rPr>
        <w:t>2005</w:t>
      </w:r>
      <w:r w:rsidR="00D67EB8" w:rsidRPr="009118AB">
        <w:rPr>
          <w:i/>
          <w:iCs/>
        </w:rPr>
        <w:t> - </w:t>
      </w:r>
      <w:r w:rsidRPr="009118AB">
        <w:rPr>
          <w:i/>
          <w:iCs/>
        </w:rPr>
        <w:t xml:space="preserve">und aufgehoben durch </w:t>
      </w:r>
      <w:r w:rsidR="00D67EB8" w:rsidRPr="009118AB">
        <w:rPr>
          <w:i/>
          <w:iCs/>
        </w:rPr>
        <w:t>Art. </w:t>
      </w:r>
      <w:r w:rsidRPr="009118AB">
        <w:rPr>
          <w:i/>
          <w:iCs/>
        </w:rPr>
        <w:t xml:space="preserve">95 Buchstabe A </w:t>
      </w:r>
      <w:r w:rsidR="00D67EB8" w:rsidRPr="009118AB">
        <w:rPr>
          <w:i/>
          <w:iCs/>
        </w:rPr>
        <w:t>Nr. </w:t>
      </w:r>
      <w:r w:rsidRPr="009118AB">
        <w:rPr>
          <w:i/>
          <w:iCs/>
        </w:rPr>
        <w:t>2 des G. vom 23. Dezember 2005 (B.S. vom 30. Dezember 2005)</w:t>
      </w:r>
      <w:r w:rsidR="00D67EB8" w:rsidRPr="009118AB">
        <w:rPr>
          <w:i/>
          <w:iCs/>
        </w:rPr>
        <w:t> - </w:t>
      </w:r>
      <w:r w:rsidRPr="009118AB">
        <w:rPr>
          <w:i/>
          <w:iCs/>
        </w:rPr>
        <w:t>in Kraft ab dem Steuerjahr 2005</w:t>
      </w:r>
      <w:r w:rsidR="003366D9" w:rsidRPr="009118AB">
        <w:rPr>
          <w:i/>
          <w:iCs/>
        </w:rPr>
        <w:t> -;</w:t>
      </w:r>
      <w:r w:rsidRPr="009118AB">
        <w:rPr>
          <w:i/>
          <w:iCs/>
        </w:rPr>
        <w:t xml:space="preserve"> einziger Absatz </w:t>
      </w:r>
      <w:r w:rsidR="00D67EB8" w:rsidRPr="009118AB">
        <w:rPr>
          <w:i/>
          <w:iCs/>
        </w:rPr>
        <w:t>Nr. </w:t>
      </w:r>
      <w:r w:rsidRPr="009118AB">
        <w:rPr>
          <w:i/>
          <w:iCs/>
        </w:rPr>
        <w:t xml:space="preserve">3 abgeändert durch </w:t>
      </w:r>
      <w:r w:rsidR="00D67EB8" w:rsidRPr="009118AB">
        <w:rPr>
          <w:i/>
          <w:iCs/>
        </w:rPr>
        <w:t>Art. </w:t>
      </w:r>
      <w:r w:rsidRPr="009118AB">
        <w:rPr>
          <w:i/>
          <w:iCs/>
        </w:rPr>
        <w:t xml:space="preserve">10 des G. vom 30. März 1994 (B.S. vom 31. März 1994), </w:t>
      </w:r>
      <w:r w:rsidR="00D67EB8" w:rsidRPr="009118AB">
        <w:rPr>
          <w:i/>
          <w:iCs/>
        </w:rPr>
        <w:t>Art. </w:t>
      </w:r>
      <w:r w:rsidRPr="009118AB">
        <w:rPr>
          <w:i/>
          <w:iCs/>
        </w:rPr>
        <w:t>95 des G. vom 21. Dezember 1994 (B.S. vom 23. Dezember 1994)</w:t>
      </w:r>
      <w:r w:rsidR="00D67EB8" w:rsidRPr="009118AB">
        <w:rPr>
          <w:i/>
          <w:iCs/>
        </w:rPr>
        <w:t> - </w:t>
      </w:r>
      <w:r w:rsidRPr="009118AB">
        <w:rPr>
          <w:i/>
          <w:iCs/>
        </w:rPr>
        <w:t>in Kraft ab dem Steuerjahr 1995</w:t>
      </w:r>
      <w:r w:rsidR="00FD68E8" w:rsidRPr="009118AB">
        <w:rPr>
          <w:i/>
          <w:iCs/>
        </w:rPr>
        <w:t> -,</w:t>
      </w:r>
      <w:r w:rsidRPr="009118AB">
        <w:rPr>
          <w:i/>
          <w:iCs/>
        </w:rPr>
        <w:t xml:space="preserve">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31 des G. vom 7. April 1999 (B.S. vom 20. April 1999)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2000</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84</w:t>
      </w:r>
      <w:r w:rsidRPr="009118AB">
        <w:rPr>
          <w:i/>
          <w:iCs/>
          <w:spacing w:val="2"/>
        </w:rPr>
        <w:t xml:space="preserve"> des G. vom 28. April 2003 (B.S. vom 15. Mai 2003)</w:t>
      </w:r>
      <w:r w:rsidR="00D67EB8" w:rsidRPr="009118AB">
        <w:rPr>
          <w:i/>
          <w:iCs/>
          <w:spacing w:val="2"/>
        </w:rPr>
        <w:t> - </w:t>
      </w:r>
      <w:r w:rsidRPr="009118AB">
        <w:rPr>
          <w:i/>
          <w:iCs/>
          <w:spacing w:val="2"/>
        </w:rPr>
        <w:t>anwendbar ab dem 1. Januar 2004</w:t>
      </w:r>
      <w:r w:rsidR="00FD68E8" w:rsidRPr="009118AB">
        <w:rPr>
          <w:i/>
          <w:iCs/>
          <w:spacing w:val="2"/>
        </w:rPr>
        <w:t> -,</w:t>
      </w:r>
      <w:r w:rsidR="00AC5CB5" w:rsidRPr="009118AB">
        <w:rPr>
          <w:i/>
          <w:iCs/>
          <w:spacing w:val="2"/>
        </w:rPr>
        <w:t xml:space="preserve"> </w:t>
      </w:r>
      <w:r w:rsidR="00D67EB8" w:rsidRPr="009118AB">
        <w:rPr>
          <w:i/>
          <w:iCs/>
          <w:spacing w:val="2"/>
        </w:rPr>
        <w:t>Art. </w:t>
      </w:r>
      <w:r w:rsidR="00660FC3" w:rsidRPr="009118AB">
        <w:rPr>
          <w:i/>
          <w:iCs/>
        </w:rPr>
        <w:t xml:space="preserve">122 des G. (I) vom 22. Dezember 2008 (II) (B.S. </w:t>
      </w:r>
      <w:r w:rsidRPr="009118AB">
        <w:rPr>
          <w:i/>
          <w:iCs/>
        </w:rPr>
        <w:t>vom 29. Dezember 2008)</w:t>
      </w:r>
      <w:r w:rsidR="00D67EB8" w:rsidRPr="009118AB">
        <w:rPr>
          <w:i/>
          <w:iCs/>
        </w:rPr>
        <w:t> - </w:t>
      </w:r>
      <w:r w:rsidRPr="009118AB">
        <w:rPr>
          <w:i/>
          <w:iCs/>
        </w:rPr>
        <w:t>anwendbar ab dem Steuerjahr 2009</w:t>
      </w:r>
      <w:r w:rsidR="00D67EB8" w:rsidRPr="009118AB">
        <w:rPr>
          <w:i/>
          <w:iCs/>
        </w:rPr>
        <w:t> - </w:t>
      </w:r>
      <w:r w:rsidR="00AC5CB5" w:rsidRPr="009118AB">
        <w:rPr>
          <w:i/>
          <w:iCs/>
        </w:rPr>
        <w:t xml:space="preserve">und </w:t>
      </w:r>
      <w:r w:rsidR="00D67EB8" w:rsidRPr="009118AB">
        <w:rPr>
          <w:i/>
          <w:iCs/>
        </w:rPr>
        <w:t>Art. </w:t>
      </w:r>
      <w:r w:rsidR="00AC5CB5" w:rsidRPr="009118AB">
        <w:rPr>
          <w:i/>
          <w:iCs/>
        </w:rPr>
        <w:t>104</w:t>
      </w:r>
      <w:r w:rsidR="00AC5CB5" w:rsidRPr="009118AB">
        <w:rPr>
          <w:i/>
        </w:rPr>
        <w:t xml:space="preserve"> des G. (I) vom 26. Dezember 2015</w:t>
      </w:r>
      <w:r w:rsidR="00856C91" w:rsidRPr="009118AB">
        <w:t> </w:t>
      </w:r>
      <w:r w:rsidR="00856C91" w:rsidRPr="009118AB">
        <w:rPr>
          <w:i/>
        </w:rPr>
        <w:t>(I)</w:t>
      </w:r>
      <w:r w:rsidR="00AC5CB5" w:rsidRPr="009118AB">
        <w:rPr>
          <w:i/>
        </w:rPr>
        <w:t xml:space="preserve"> (B.S. vom </w:t>
      </w:r>
      <w:r w:rsidR="00AC5CB5" w:rsidRPr="009118AB">
        <w:rPr>
          <w:i/>
        </w:rPr>
        <w:lastRenderedPageBreak/>
        <w:t>30. Dezember 2015)</w:t>
      </w:r>
      <w:r w:rsidR="00D67EB8" w:rsidRPr="009118AB">
        <w:rPr>
          <w:i/>
        </w:rPr>
        <w:t> - </w:t>
      </w:r>
      <w:r w:rsidR="00660FC3" w:rsidRPr="009118AB">
        <w:rPr>
          <w:i/>
          <w:iCs/>
        </w:rPr>
        <w:t>in Kraft ab dem Steuerjahr 2017</w:t>
      </w:r>
      <w:r w:rsidR="003366D9" w:rsidRPr="009118AB">
        <w:rPr>
          <w:i/>
          <w:iCs/>
        </w:rPr>
        <w:t> -;</w:t>
      </w:r>
      <w:r w:rsidRPr="009118AB">
        <w:rPr>
          <w:i/>
          <w:iCs/>
        </w:rPr>
        <w:t xml:space="preserve"> einziger Abs</w:t>
      </w:r>
      <w:r w:rsidR="00660FC3" w:rsidRPr="009118AB">
        <w:rPr>
          <w:i/>
          <w:iCs/>
        </w:rPr>
        <w:t xml:space="preserve">atz </w:t>
      </w:r>
      <w:r w:rsidR="00D67EB8" w:rsidRPr="009118AB">
        <w:rPr>
          <w:i/>
          <w:iCs/>
        </w:rPr>
        <w:t>Nr. </w:t>
      </w:r>
      <w:r w:rsidR="00660FC3" w:rsidRPr="009118AB">
        <w:rPr>
          <w:i/>
          <w:iCs/>
        </w:rPr>
        <w:t xml:space="preserve">5 abgeändert durch </w:t>
      </w:r>
      <w:r w:rsidR="00D67EB8" w:rsidRPr="009118AB">
        <w:rPr>
          <w:i/>
          <w:iCs/>
        </w:rPr>
        <w:t>Art. </w:t>
      </w:r>
      <w:r w:rsidR="00660FC3" w:rsidRPr="009118AB">
        <w:rPr>
          <w:i/>
          <w:iCs/>
        </w:rPr>
        <w:t xml:space="preserve">43 </w:t>
      </w:r>
      <w:r w:rsidR="00D67EB8" w:rsidRPr="009118AB">
        <w:rPr>
          <w:i/>
          <w:iCs/>
        </w:rPr>
        <w:t>Nr. </w:t>
      </w:r>
      <w:r w:rsidRPr="009118AB">
        <w:rPr>
          <w:i/>
          <w:iCs/>
        </w:rPr>
        <w:t>3 des G. vom 20. Juli 2006 (II) (B.S. vom 28. Juli 2006</w:t>
      </w:r>
      <w:r w:rsidR="00660FC3" w:rsidRPr="009118AB">
        <w:rPr>
          <w:i/>
          <w:iCs/>
        </w:rPr>
        <w:t>)</w:t>
      </w:r>
      <w:r w:rsidR="00D67EB8" w:rsidRPr="009118AB">
        <w:rPr>
          <w:i/>
          <w:iCs/>
        </w:rPr>
        <w:t> - </w:t>
      </w:r>
      <w:r w:rsidR="00660FC3" w:rsidRPr="009118AB">
        <w:rPr>
          <w:i/>
          <w:iCs/>
        </w:rPr>
        <w:t>anwendbar ab dem Steuerjahr </w:t>
      </w:r>
      <w:r w:rsidRPr="009118AB">
        <w:rPr>
          <w:i/>
          <w:iCs/>
        </w:rPr>
        <w:t>2006</w:t>
      </w:r>
      <w:r w:rsidR="00D67EB8" w:rsidRPr="009118AB">
        <w:rPr>
          <w:i/>
          <w:iCs/>
        </w:rPr>
        <w:t> - </w:t>
      </w:r>
      <w:r w:rsidRPr="009118AB">
        <w:rPr>
          <w:i/>
          <w:iCs/>
        </w:rPr>
        <w:t xml:space="preserve">und </w:t>
      </w:r>
      <w:r w:rsidR="00D67EB8" w:rsidRPr="009118AB">
        <w:rPr>
          <w:i/>
          <w:iCs/>
        </w:rPr>
        <w:t>Art. </w:t>
      </w:r>
      <w:r w:rsidR="00660FC3" w:rsidRPr="009118AB">
        <w:rPr>
          <w:i/>
          <w:iCs/>
        </w:rPr>
        <w:t xml:space="preserve">282 </w:t>
      </w:r>
      <w:r w:rsidR="00D67EB8" w:rsidRPr="009118AB">
        <w:rPr>
          <w:i/>
          <w:iCs/>
        </w:rPr>
        <w:t>Nr. </w:t>
      </w:r>
      <w:r w:rsidR="00660FC3" w:rsidRPr="009118AB">
        <w:rPr>
          <w:i/>
          <w:iCs/>
        </w:rPr>
        <w:t>2 des G. </w:t>
      </w:r>
      <w:r w:rsidRPr="009118AB">
        <w:rPr>
          <w:i/>
          <w:iCs/>
        </w:rPr>
        <w:t>(I) vom 27. Dezember 2006 (II) (B.S.</w:t>
      </w:r>
      <w:r w:rsidR="00660FC3" w:rsidRPr="009118AB">
        <w:rPr>
          <w:i/>
          <w:iCs/>
        </w:rPr>
        <w:t xml:space="preserve"> </w:t>
      </w:r>
      <w:r w:rsidRPr="009118AB">
        <w:rPr>
          <w:i/>
          <w:iCs/>
        </w:rPr>
        <w:t>vom 28. Dezember 2006)</w:t>
      </w:r>
      <w:r w:rsidR="00D67EB8" w:rsidRPr="009118AB">
        <w:rPr>
          <w:i/>
          <w:iCs/>
        </w:rPr>
        <w:t> - </w:t>
      </w:r>
      <w:r w:rsidRPr="009118AB">
        <w:rPr>
          <w:i/>
          <w:iCs/>
        </w:rPr>
        <w:t>anwendbar auf die ab dem 1. Januar 2006 gezahlten oder zuerkannten Zusatzentschädigungen</w:t>
      </w:r>
      <w:r w:rsidR="00FD68E8" w:rsidRPr="009118AB">
        <w:rPr>
          <w:i/>
          <w:iCs/>
        </w:rPr>
        <w:t> -]</w:t>
      </w:r>
    </w:p>
    <w:p w14:paraId="5648CA3D" w14:textId="77777777" w:rsidR="00060039" w:rsidRPr="009118AB" w:rsidRDefault="00060039" w:rsidP="00060039">
      <w:pPr>
        <w:autoSpaceDE w:val="0"/>
        <w:autoSpaceDN w:val="0"/>
        <w:adjustRightInd w:val="0"/>
        <w:jc w:val="both"/>
        <w:rPr>
          <w:iCs/>
        </w:rPr>
      </w:pPr>
    </w:p>
    <w:p w14:paraId="41836F0F" w14:textId="77777777" w:rsidR="00060039" w:rsidRPr="009118AB" w:rsidRDefault="00060039" w:rsidP="00060039">
      <w:pPr>
        <w:autoSpaceDE w:val="0"/>
        <w:autoSpaceDN w:val="0"/>
        <w:adjustRightInd w:val="0"/>
        <w:jc w:val="both"/>
      </w:pPr>
    </w:p>
    <w:p w14:paraId="6A4877AD" w14:textId="05E7C70F" w:rsidR="006A5462" w:rsidRPr="009118AB" w:rsidRDefault="00477B8F" w:rsidP="006A5462">
      <w:pPr>
        <w:autoSpaceDE w:val="0"/>
        <w:autoSpaceDN w:val="0"/>
        <w:adjustRightInd w:val="0"/>
        <w:jc w:val="both"/>
      </w:pPr>
      <w:r w:rsidRPr="009118AB">
        <w:tab/>
      </w:r>
      <w:r w:rsidR="00D67EB8" w:rsidRPr="009118AB">
        <w:rPr>
          <w:b/>
          <w:bCs/>
        </w:rPr>
        <w:t>Art. </w:t>
      </w:r>
      <w:r w:rsidRPr="009118AB">
        <w:rPr>
          <w:b/>
          <w:bCs/>
        </w:rPr>
        <w:t>147</w:t>
      </w:r>
      <w:r w:rsidR="00D67EB8" w:rsidRPr="009118AB">
        <w:t> - </w:t>
      </w:r>
      <w:r w:rsidR="006A5462" w:rsidRPr="009118AB">
        <w:t>[Auf [die gemäß den Artikeln 130 bis 145 bestimmte Steuer] in Bezug auf Pensionen und Ersatzeinkünfte werden folgende Ermäßigungen gewährt:</w:t>
      </w:r>
    </w:p>
    <w:p w14:paraId="792410E5" w14:textId="77777777" w:rsidR="006A5462" w:rsidRPr="009118AB" w:rsidRDefault="006A5462" w:rsidP="006A5462">
      <w:pPr>
        <w:autoSpaceDE w:val="0"/>
        <w:autoSpaceDN w:val="0"/>
        <w:adjustRightInd w:val="0"/>
        <w:jc w:val="both"/>
      </w:pPr>
    </w:p>
    <w:p w14:paraId="77A9145A" w14:textId="12A3F5B1" w:rsidR="006A5462" w:rsidRPr="009118AB" w:rsidRDefault="006A5462" w:rsidP="0010484B">
      <w:pPr>
        <w:autoSpaceDE w:val="0"/>
        <w:autoSpaceDN w:val="0"/>
        <w:adjustRightInd w:val="0"/>
        <w:ind w:firstLine="709"/>
        <w:jc w:val="both"/>
      </w:pPr>
      <w:r w:rsidRPr="009118AB">
        <w:t xml:space="preserve">1. wenn das Nettoeinkommen ausschließlich aus Pensionen oder anderen Ersatzeinkünften besteht: </w:t>
      </w:r>
      <w:r w:rsidR="00EE5FC8" w:rsidRPr="009118AB">
        <w:t>[eine Grundermäßigung von 1.148,93 EUR und eine ergänzende Ermäßigung von 236,38 EUR</w:t>
      </w:r>
      <w:r w:rsidRPr="009118AB">
        <w:t>],</w:t>
      </w:r>
    </w:p>
    <w:p w14:paraId="2C7EC7F1" w14:textId="77777777" w:rsidR="00995C2A" w:rsidRPr="009118AB" w:rsidRDefault="00995C2A"/>
    <w:p w14:paraId="16C93D26" w14:textId="11629114" w:rsidR="006A5462" w:rsidRPr="009118AB" w:rsidRDefault="006A5462" w:rsidP="0010484B">
      <w:pPr>
        <w:autoSpaceDE w:val="0"/>
        <w:autoSpaceDN w:val="0"/>
        <w:adjustRightInd w:val="0"/>
        <w:ind w:firstLine="709"/>
        <w:jc w:val="both"/>
      </w:pPr>
      <w:r w:rsidRPr="009118AB">
        <w:t xml:space="preserve">2. [wenn das Nettoeinkommen teilweise aus Pensionen oder anderen Ersatzeinkünften besteht: ein Teil </w:t>
      </w:r>
      <w:r w:rsidR="00EE5FC8" w:rsidRPr="009118AB">
        <w:t>[</w:t>
      </w:r>
      <w:r w:rsidRPr="009118AB">
        <w:t>de</w:t>
      </w:r>
      <w:r w:rsidR="00EE5FC8" w:rsidRPr="009118AB">
        <w:t>r</w:t>
      </w:r>
      <w:r w:rsidRPr="009118AB">
        <w:t xml:space="preserve"> in </w:t>
      </w:r>
      <w:r w:rsidR="00D67EB8" w:rsidRPr="009118AB">
        <w:t>Nr. </w:t>
      </w:r>
      <w:r w:rsidRPr="009118AB">
        <w:t>1 erwähnten Betr</w:t>
      </w:r>
      <w:r w:rsidR="00EE5FC8" w:rsidRPr="009118AB">
        <w:t>äge]</w:t>
      </w:r>
      <w:r w:rsidRPr="009118AB">
        <w:t>, wobei dieser Teil proportional ist zum Verhältnis zwischen einerseits dem Nettobetrag der Pensionen und der anderen Ersatzeinkünfte und andererseits dem Betrag des Nettoeinkommens ausschließlich:</w:t>
      </w:r>
    </w:p>
    <w:p w14:paraId="413B910E" w14:textId="77777777" w:rsidR="006A5462" w:rsidRPr="009118AB" w:rsidRDefault="006A5462" w:rsidP="006A5462">
      <w:pPr>
        <w:autoSpaceDE w:val="0"/>
        <w:autoSpaceDN w:val="0"/>
        <w:adjustRightInd w:val="0"/>
        <w:jc w:val="both"/>
      </w:pPr>
    </w:p>
    <w:p w14:paraId="25388D0C" w14:textId="612AEA90" w:rsidR="006A5462" w:rsidRPr="009118AB" w:rsidRDefault="006A5462" w:rsidP="0010484B">
      <w:pPr>
        <w:autoSpaceDE w:val="0"/>
        <w:autoSpaceDN w:val="0"/>
        <w:adjustRightInd w:val="0"/>
        <w:ind w:firstLine="709"/>
        <w:jc w:val="both"/>
      </w:pPr>
      <w:r w:rsidRPr="009118AB">
        <w:rPr>
          <w:i/>
          <w:iCs/>
        </w:rPr>
        <w:t>a)</w:t>
      </w:r>
      <w:r w:rsidRPr="009118AB">
        <w:t xml:space="preserve"> [des Lohns, der beim neuen Arbeitgeber bezogen wird, oder des Einkommens, das aus einer neuen Berufstätigkeit als Selbständiger bezogen wird, im Falle des Bezugs einer in Artikel 31</w:t>
      </w:r>
      <w:r w:rsidRPr="009118AB">
        <w:rPr>
          <w:i/>
        </w:rPr>
        <w:t>bis</w:t>
      </w:r>
      <w:r w:rsidRPr="009118AB">
        <w:t xml:space="preserve"> Absatz 1 </w:t>
      </w:r>
      <w:r w:rsidR="00D67EB8" w:rsidRPr="009118AB">
        <w:t>Nr. </w:t>
      </w:r>
      <w:r w:rsidRPr="009118AB">
        <w:t>1 zweiter Gedankenstrich erwähnten Zusatzentschädigung,]</w:t>
      </w:r>
    </w:p>
    <w:p w14:paraId="0587B95D" w14:textId="77777777" w:rsidR="006A5462" w:rsidRPr="009118AB" w:rsidRDefault="006A5462" w:rsidP="006A5462">
      <w:pPr>
        <w:autoSpaceDE w:val="0"/>
        <w:autoSpaceDN w:val="0"/>
        <w:adjustRightInd w:val="0"/>
        <w:jc w:val="both"/>
      </w:pPr>
    </w:p>
    <w:p w14:paraId="42DEDA82" w14:textId="5EC62015" w:rsidR="006A5462" w:rsidRPr="009118AB" w:rsidRDefault="006A5462" w:rsidP="0010484B">
      <w:pPr>
        <w:autoSpaceDE w:val="0"/>
        <w:autoSpaceDN w:val="0"/>
        <w:adjustRightInd w:val="0"/>
        <w:ind w:firstLine="709"/>
        <w:jc w:val="both"/>
      </w:pPr>
      <w:r w:rsidRPr="009118AB">
        <w:rPr>
          <w:i/>
          <w:iCs/>
        </w:rPr>
        <w:t>b)</w:t>
      </w:r>
      <w:r w:rsidRPr="009118AB">
        <w:t xml:space="preserve"> Einkünften aus Tätigkeiten im Falle des Bezugs durch einen Steuerpflichtigen, der das gesetzliche Ruhestandsalter erreicht hat, einer gesetzlichen Pension, </w:t>
      </w:r>
      <w:r w:rsidR="00EE5FC8" w:rsidRPr="009118AB">
        <w:t>[die sich auf nicht mehr als 10.160 EUR beläuft]</w:t>
      </w:r>
      <w:r w:rsidRPr="009118AB">
        <w:t>, oder im Falle des Bezugs einer Hinterbliebenen</w:t>
      </w:r>
      <w:r w:rsidRPr="009118AB">
        <w:softHyphen/>
        <w:t>pension [oder einer Übergangsentschädigung],]</w:t>
      </w:r>
    </w:p>
    <w:p w14:paraId="71C9B592" w14:textId="77777777" w:rsidR="00EE5FC8" w:rsidRPr="009118AB" w:rsidRDefault="00EE5FC8" w:rsidP="0010484B">
      <w:pPr>
        <w:autoSpaceDE w:val="0"/>
        <w:autoSpaceDN w:val="0"/>
        <w:adjustRightInd w:val="0"/>
        <w:ind w:firstLine="709"/>
        <w:jc w:val="both"/>
      </w:pPr>
    </w:p>
    <w:p w14:paraId="62478A1D" w14:textId="4E055291" w:rsidR="00EE5FC8" w:rsidRPr="009118AB" w:rsidRDefault="00EE5FC8" w:rsidP="0010484B">
      <w:pPr>
        <w:autoSpaceDE w:val="0"/>
        <w:autoSpaceDN w:val="0"/>
        <w:adjustRightInd w:val="0"/>
        <w:ind w:firstLine="709"/>
        <w:jc w:val="both"/>
      </w:pPr>
      <w:r w:rsidRPr="009118AB">
        <w:t>[</w:t>
      </w:r>
      <w:r w:rsidRPr="009118AB">
        <w:rPr>
          <w:i/>
          <w:iCs/>
        </w:rPr>
        <w:t>c)</w:t>
      </w:r>
      <w:r w:rsidRPr="009118AB">
        <w:t> eines Teils der Einkünfte aus Tätigkeiten im Falle des Bezugs durch einen Steuerpflichtigen, der das gesetzliche Ruhestandsalter erreicht hat, einer gesetzlichen Pension, die sich auf mehr als 10.160 EUR, aber nicht mehr als 14.900 EUR beläuft,]</w:t>
      </w:r>
    </w:p>
    <w:p w14:paraId="7A719021" w14:textId="77777777" w:rsidR="006A5462" w:rsidRPr="009118AB" w:rsidRDefault="006A5462" w:rsidP="006A5462">
      <w:pPr>
        <w:autoSpaceDE w:val="0"/>
        <w:autoSpaceDN w:val="0"/>
        <w:adjustRightInd w:val="0"/>
        <w:jc w:val="both"/>
      </w:pPr>
    </w:p>
    <w:p w14:paraId="71B33932" w14:textId="77777777" w:rsidR="006A5462" w:rsidRPr="009118AB" w:rsidRDefault="006A5462" w:rsidP="0010484B">
      <w:pPr>
        <w:autoSpaceDE w:val="0"/>
        <w:autoSpaceDN w:val="0"/>
        <w:adjustRightInd w:val="0"/>
        <w:ind w:firstLine="709"/>
        <w:jc w:val="both"/>
      </w:pPr>
      <w:r w:rsidRPr="009118AB">
        <w:t>3. [...]</w:t>
      </w:r>
    </w:p>
    <w:p w14:paraId="03A63312" w14:textId="77777777" w:rsidR="006A5462" w:rsidRPr="009118AB" w:rsidRDefault="006A5462" w:rsidP="006A5462">
      <w:pPr>
        <w:autoSpaceDE w:val="0"/>
        <w:autoSpaceDN w:val="0"/>
        <w:adjustRightInd w:val="0"/>
        <w:jc w:val="both"/>
      </w:pPr>
    </w:p>
    <w:p w14:paraId="1A01EF6A" w14:textId="77777777" w:rsidR="006A5462" w:rsidRPr="009118AB" w:rsidRDefault="006A5462" w:rsidP="0010484B">
      <w:pPr>
        <w:autoSpaceDE w:val="0"/>
        <w:autoSpaceDN w:val="0"/>
        <w:adjustRightInd w:val="0"/>
        <w:ind w:firstLine="709"/>
        <w:jc w:val="both"/>
      </w:pPr>
      <w:r w:rsidRPr="009118AB">
        <w:t>4. [...]</w:t>
      </w:r>
    </w:p>
    <w:p w14:paraId="574A7FFC" w14:textId="77777777" w:rsidR="006A5462" w:rsidRPr="009118AB" w:rsidRDefault="006A5462" w:rsidP="006A5462">
      <w:pPr>
        <w:autoSpaceDE w:val="0"/>
        <w:autoSpaceDN w:val="0"/>
        <w:adjustRightInd w:val="0"/>
        <w:jc w:val="both"/>
      </w:pPr>
    </w:p>
    <w:p w14:paraId="601CD584" w14:textId="77777777" w:rsidR="006A5462" w:rsidRPr="009118AB" w:rsidRDefault="006A5462" w:rsidP="0010484B">
      <w:pPr>
        <w:autoSpaceDE w:val="0"/>
        <w:autoSpaceDN w:val="0"/>
        <w:adjustRightInd w:val="0"/>
        <w:ind w:firstLine="709"/>
        <w:jc w:val="both"/>
      </w:pPr>
      <w:r w:rsidRPr="009118AB">
        <w:t>5. […]</w:t>
      </w:r>
    </w:p>
    <w:p w14:paraId="4D38032B" w14:textId="77777777" w:rsidR="006A5462" w:rsidRPr="009118AB" w:rsidRDefault="006A5462" w:rsidP="006A5462">
      <w:pPr>
        <w:autoSpaceDE w:val="0"/>
        <w:autoSpaceDN w:val="0"/>
        <w:adjustRightInd w:val="0"/>
        <w:jc w:val="both"/>
      </w:pPr>
    </w:p>
    <w:p w14:paraId="78DE56C5" w14:textId="77777777" w:rsidR="006A5462" w:rsidRPr="009118AB" w:rsidRDefault="006A5462" w:rsidP="0010484B">
      <w:pPr>
        <w:autoSpaceDE w:val="0"/>
        <w:autoSpaceDN w:val="0"/>
        <w:adjustRightInd w:val="0"/>
        <w:ind w:firstLine="709"/>
        <w:jc w:val="both"/>
      </w:pPr>
      <w:r w:rsidRPr="009118AB">
        <w:t>6. […]</w:t>
      </w:r>
    </w:p>
    <w:p w14:paraId="04B3AEB8" w14:textId="77777777" w:rsidR="006A5462" w:rsidRPr="009118AB" w:rsidRDefault="006A5462" w:rsidP="006A5462">
      <w:pPr>
        <w:autoSpaceDE w:val="0"/>
        <w:autoSpaceDN w:val="0"/>
        <w:adjustRightInd w:val="0"/>
        <w:jc w:val="both"/>
      </w:pPr>
    </w:p>
    <w:p w14:paraId="7C4272BA" w14:textId="3546FF17" w:rsidR="006A5462" w:rsidRPr="009118AB" w:rsidRDefault="006A5462" w:rsidP="0010484B">
      <w:pPr>
        <w:autoSpaceDE w:val="0"/>
        <w:autoSpaceDN w:val="0"/>
        <w:adjustRightInd w:val="0"/>
        <w:ind w:firstLine="709"/>
        <w:jc w:val="both"/>
      </w:pPr>
      <w:r w:rsidRPr="009118AB">
        <w:t>7. [wenn das Nettoeinkommen ausschließlich aus Arbeitslosengeld besteht: [</w:t>
      </w:r>
      <w:r w:rsidR="00075A7D" w:rsidRPr="009118AB">
        <w:rPr>
          <w:rFonts w:eastAsia="Calibri"/>
          <w:kern w:val="2"/>
          <w:szCs w:val="22"/>
          <w:lang w:eastAsia="en-US"/>
          <w14:ligatures w14:val="standardContextual"/>
        </w:rPr>
        <w:t>eine Grundermäßigung von 1.148,93 EUR und eine ergänzende Ermäßigung von 236,38 EUR</w:t>
      </w:r>
      <w:r w:rsidRPr="009118AB">
        <w:t>],]</w:t>
      </w:r>
    </w:p>
    <w:p w14:paraId="1C383804" w14:textId="77777777" w:rsidR="006A5462" w:rsidRPr="009118AB" w:rsidRDefault="006A5462" w:rsidP="006A5462">
      <w:pPr>
        <w:autoSpaceDE w:val="0"/>
        <w:autoSpaceDN w:val="0"/>
        <w:adjustRightInd w:val="0"/>
        <w:jc w:val="both"/>
      </w:pPr>
    </w:p>
    <w:p w14:paraId="33C9C167" w14:textId="246EB1F2" w:rsidR="006A5462" w:rsidRPr="009118AB" w:rsidRDefault="006A5462" w:rsidP="0010484B">
      <w:pPr>
        <w:autoSpaceDE w:val="0"/>
        <w:autoSpaceDN w:val="0"/>
        <w:adjustRightInd w:val="0"/>
        <w:ind w:firstLine="709"/>
        <w:jc w:val="both"/>
      </w:pPr>
      <w:r w:rsidRPr="009118AB">
        <w:t>8. wenn das Nettoeinkommen teilweise [aus Arbeitslosengeld besteht]: ein Teil [de</w:t>
      </w:r>
      <w:r w:rsidR="00075A7D" w:rsidRPr="009118AB">
        <w:t>r</w:t>
      </w:r>
      <w:r w:rsidRPr="009118AB">
        <w:t xml:space="preserve"> in </w:t>
      </w:r>
      <w:r w:rsidR="00D67EB8" w:rsidRPr="009118AB">
        <w:t>Nr. </w:t>
      </w:r>
      <w:r w:rsidRPr="009118AB">
        <w:t>7 erwähnten Betr</w:t>
      </w:r>
      <w:r w:rsidR="00075A7D" w:rsidRPr="009118AB">
        <w:t>äge</w:t>
      </w:r>
      <w:r w:rsidRPr="009118AB">
        <w:t>], wobei dieser Teil proportional zum Verhältnis zwischen einerseits dem Nettobetrag [des Arbeitslosengeldes] und andererseits dem Betrag des Nettoeinkommens ist,</w:t>
      </w:r>
    </w:p>
    <w:p w14:paraId="5E0D5EFD" w14:textId="77777777" w:rsidR="006A5462" w:rsidRPr="009118AB" w:rsidRDefault="006A5462" w:rsidP="006A5462">
      <w:pPr>
        <w:autoSpaceDE w:val="0"/>
        <w:autoSpaceDN w:val="0"/>
        <w:adjustRightInd w:val="0"/>
        <w:jc w:val="both"/>
      </w:pPr>
    </w:p>
    <w:p w14:paraId="4201F031" w14:textId="00DC4D66" w:rsidR="006A5462" w:rsidRPr="009118AB" w:rsidRDefault="006A5462" w:rsidP="0010484B">
      <w:pPr>
        <w:autoSpaceDE w:val="0"/>
        <w:autoSpaceDN w:val="0"/>
        <w:adjustRightInd w:val="0"/>
        <w:ind w:firstLine="709"/>
        <w:jc w:val="both"/>
      </w:pPr>
      <w:r w:rsidRPr="009118AB">
        <w:t xml:space="preserve">9. wenn das Nettoeinkommen ausschließlich aus gesetzlichen Krankheits- und Invaliditätsentschädigungen besteht: </w:t>
      </w:r>
      <w:r w:rsidR="00FA353A" w:rsidRPr="009118AB">
        <w:t>[</w:t>
      </w:r>
      <w:r w:rsidRPr="009118AB">
        <w:t>1.5</w:t>
      </w:r>
      <w:r w:rsidR="00EE5FC8" w:rsidRPr="009118AB">
        <w:t>41</w:t>
      </w:r>
      <w:r w:rsidRPr="009118AB">
        <w:t>,</w:t>
      </w:r>
      <w:r w:rsidR="00EE5FC8" w:rsidRPr="009118AB">
        <w:t>69</w:t>
      </w:r>
      <w:r w:rsidRPr="009118AB">
        <w:t> EUR</w:t>
      </w:r>
      <w:r w:rsidR="00FA353A" w:rsidRPr="009118AB">
        <w:t>]</w:t>
      </w:r>
      <w:r w:rsidRPr="009118AB">
        <w:t>,</w:t>
      </w:r>
    </w:p>
    <w:p w14:paraId="5F68714C" w14:textId="77777777" w:rsidR="006A5462" w:rsidRPr="009118AB" w:rsidRDefault="006A5462" w:rsidP="006A5462">
      <w:pPr>
        <w:autoSpaceDE w:val="0"/>
        <w:autoSpaceDN w:val="0"/>
        <w:adjustRightInd w:val="0"/>
        <w:jc w:val="both"/>
      </w:pPr>
    </w:p>
    <w:p w14:paraId="44CF6739" w14:textId="23987CD4" w:rsidR="006A5462" w:rsidRPr="009118AB" w:rsidRDefault="006A5462" w:rsidP="0010484B">
      <w:pPr>
        <w:autoSpaceDE w:val="0"/>
        <w:autoSpaceDN w:val="0"/>
        <w:adjustRightInd w:val="0"/>
        <w:ind w:firstLine="709"/>
        <w:jc w:val="both"/>
      </w:pPr>
      <w:r w:rsidRPr="009118AB">
        <w:t>10. wenn das Nettoeinkommen teilweise aus gesetzlichen Krankheits- und Invaliditäts</w:t>
      </w:r>
      <w:r w:rsidRPr="009118AB">
        <w:softHyphen/>
        <w:t xml:space="preserve">entschädigungen besteht: ein Teil des in </w:t>
      </w:r>
      <w:r w:rsidR="00D67EB8" w:rsidRPr="009118AB">
        <w:t>Nr. </w:t>
      </w:r>
      <w:r w:rsidRPr="009118AB">
        <w:t>9 erwähnten Betrags, wobei dieser Teil proportional zum Verhältnis zwischen einerseits dem Nettobetrag der gesetzlichen Krankheits- und Invaliditätsentschädigungen und andererseits dem Betrag des Nettoeinkommens ist.]</w:t>
      </w:r>
    </w:p>
    <w:p w14:paraId="63B7BDC9" w14:textId="77777777" w:rsidR="006A5462" w:rsidRPr="009118AB" w:rsidRDefault="006A5462" w:rsidP="006A5462">
      <w:pPr>
        <w:autoSpaceDE w:val="0"/>
        <w:autoSpaceDN w:val="0"/>
        <w:adjustRightInd w:val="0"/>
        <w:jc w:val="both"/>
      </w:pPr>
    </w:p>
    <w:p w14:paraId="1AF8BE2F" w14:textId="225639AB" w:rsidR="006A5462" w:rsidRPr="009118AB" w:rsidRDefault="006A5462" w:rsidP="0010484B">
      <w:pPr>
        <w:autoSpaceDE w:val="0"/>
        <w:autoSpaceDN w:val="0"/>
        <w:adjustRightInd w:val="0"/>
        <w:ind w:firstLine="709"/>
        <w:jc w:val="both"/>
      </w:pPr>
      <w:r w:rsidRPr="009118AB">
        <w:t xml:space="preserve">[Als Einkünfte aus Tätigkeiten erwähnt in Absatz 1 </w:t>
      </w:r>
      <w:r w:rsidR="00D67EB8" w:rsidRPr="009118AB">
        <w:t>Nr. </w:t>
      </w:r>
      <w:r w:rsidRPr="009118AB">
        <w:t>2 gelten Berufseinkünfte abzüg</w:t>
      </w:r>
      <w:r w:rsidRPr="009118AB">
        <w:softHyphen/>
        <w:t>lich:</w:t>
      </w:r>
    </w:p>
    <w:p w14:paraId="53A4D5B5" w14:textId="77777777" w:rsidR="006A5462" w:rsidRPr="009118AB" w:rsidRDefault="0010484B" w:rsidP="006A5462">
      <w:pPr>
        <w:autoSpaceDE w:val="0"/>
        <w:autoSpaceDN w:val="0"/>
        <w:adjustRightInd w:val="0"/>
        <w:jc w:val="both"/>
      </w:pPr>
      <w:r w:rsidRPr="009118AB">
        <w:tab/>
      </w:r>
    </w:p>
    <w:p w14:paraId="75A76947" w14:textId="7ABADC78" w:rsidR="006A5462" w:rsidRPr="009118AB" w:rsidRDefault="006A5462" w:rsidP="0010484B">
      <w:pPr>
        <w:autoSpaceDE w:val="0"/>
        <w:autoSpaceDN w:val="0"/>
        <w:adjustRightInd w:val="0"/>
        <w:ind w:firstLine="709"/>
        <w:jc w:val="both"/>
      </w:pPr>
      <w:r w:rsidRPr="009118AB">
        <w:t xml:space="preserve">1. der in Artikel 23 </w:t>
      </w:r>
      <w:r w:rsidR="00D67EB8" w:rsidRPr="009118AB">
        <w:t>§ </w:t>
      </w:r>
      <w:r w:rsidRPr="009118AB">
        <w:t xml:space="preserve">1 </w:t>
      </w:r>
      <w:r w:rsidR="00D67EB8" w:rsidRPr="009118AB">
        <w:t>Nr. </w:t>
      </w:r>
      <w:r w:rsidRPr="009118AB">
        <w:t>5 erwähnten Einkünfte,</w:t>
      </w:r>
    </w:p>
    <w:p w14:paraId="327EB18B" w14:textId="77777777" w:rsidR="006A5462" w:rsidRPr="009118AB" w:rsidRDefault="006A5462" w:rsidP="006A5462">
      <w:pPr>
        <w:autoSpaceDE w:val="0"/>
        <w:autoSpaceDN w:val="0"/>
        <w:adjustRightInd w:val="0"/>
        <w:jc w:val="both"/>
      </w:pPr>
    </w:p>
    <w:p w14:paraId="416DF8F0" w14:textId="77777777" w:rsidR="006A5462" w:rsidRPr="009118AB" w:rsidRDefault="006A5462" w:rsidP="0010484B">
      <w:pPr>
        <w:autoSpaceDE w:val="0"/>
        <w:autoSpaceDN w:val="0"/>
        <w:adjustRightInd w:val="0"/>
        <w:ind w:firstLine="709"/>
        <w:jc w:val="both"/>
      </w:pPr>
      <w:r w:rsidRPr="009118AB">
        <w:t>2. der Entschädigungen, die als vollständige Entschädigung oder Teilentschädigung für einen zeitweiligen Einkommensausfall bezogen werden.]</w:t>
      </w:r>
    </w:p>
    <w:p w14:paraId="32F3E80E" w14:textId="77777777" w:rsidR="006A5462" w:rsidRPr="009118AB" w:rsidRDefault="006A5462" w:rsidP="006A5462">
      <w:pPr>
        <w:autoSpaceDE w:val="0"/>
        <w:autoSpaceDN w:val="0"/>
        <w:adjustRightInd w:val="0"/>
        <w:jc w:val="both"/>
      </w:pPr>
    </w:p>
    <w:p w14:paraId="521A24E5" w14:textId="77777777" w:rsidR="006A5462" w:rsidRPr="009118AB" w:rsidRDefault="006A5462" w:rsidP="0010484B">
      <w:pPr>
        <w:autoSpaceDE w:val="0"/>
        <w:autoSpaceDN w:val="0"/>
        <w:adjustRightInd w:val="0"/>
        <w:ind w:firstLine="709"/>
        <w:jc w:val="both"/>
      </w:pPr>
      <w:r w:rsidRPr="009118AB">
        <w:t>[...]</w:t>
      </w:r>
    </w:p>
    <w:p w14:paraId="1E91E13A" w14:textId="77777777" w:rsidR="00EE5FC8" w:rsidRPr="009118AB" w:rsidRDefault="00EE5FC8" w:rsidP="0010484B">
      <w:pPr>
        <w:autoSpaceDE w:val="0"/>
        <w:autoSpaceDN w:val="0"/>
        <w:adjustRightInd w:val="0"/>
        <w:ind w:firstLine="709"/>
        <w:jc w:val="both"/>
      </w:pPr>
    </w:p>
    <w:p w14:paraId="4B3564D7" w14:textId="79B4AA88" w:rsidR="00EE5FC8" w:rsidRPr="009118AB" w:rsidRDefault="00EE5FC8" w:rsidP="00EE5FC8">
      <w:pPr>
        <w:ind w:firstLine="708"/>
        <w:jc w:val="both"/>
      </w:pPr>
      <w:r w:rsidRPr="009118AB">
        <w:t xml:space="preserve">[Für die Anwendung von Absatz 1 </w:t>
      </w:r>
      <w:r w:rsidR="00D67EB8" w:rsidRPr="009118AB">
        <w:t>Nr. </w:t>
      </w:r>
      <w:r w:rsidRPr="009118AB">
        <w:t>2 Buchstabe </w:t>
      </w:r>
      <w:r w:rsidRPr="009118AB">
        <w:rPr>
          <w:i/>
          <w:iCs/>
        </w:rPr>
        <w:t>c)</w:t>
      </w:r>
      <w:r w:rsidRPr="009118AB">
        <w:t xml:space="preserve"> wird der Teil der Einkünfte aus Tätigkeiten, der aus dem Nettoeinkommen ausgeschlossen wird, entsprechend dem Verhältnis zwischen einerseits der Differenz zwischen 14.900 EUR und der gesetzlichen Pension und andererseits der Differenz zwischen 14.900 EUR und 10.160 EUR festgelegt.</w:t>
      </w:r>
    </w:p>
    <w:p w14:paraId="5A6A5D67" w14:textId="77777777" w:rsidR="00EE5FC8" w:rsidRPr="009118AB" w:rsidRDefault="00EE5FC8" w:rsidP="00EE5FC8">
      <w:pPr>
        <w:jc w:val="both"/>
      </w:pPr>
    </w:p>
    <w:p w14:paraId="5D7A3720" w14:textId="2DF80C99" w:rsidR="00EE5FC8" w:rsidRPr="009118AB" w:rsidRDefault="00EE5FC8" w:rsidP="00EE5FC8">
      <w:pPr>
        <w:autoSpaceDE w:val="0"/>
        <w:autoSpaceDN w:val="0"/>
        <w:adjustRightInd w:val="0"/>
        <w:ind w:firstLine="709"/>
        <w:jc w:val="both"/>
      </w:pPr>
      <w:r w:rsidRPr="009118AB">
        <w:t xml:space="preserve">Wenn für ein bestimmtes Steuerjahr die Steuer auf Pensionen und andere Ersatzeinkünfte </w:t>
      </w:r>
      <w:r w:rsidR="0041690E" w:rsidRPr="009118AB">
        <w:t>[</w:t>
      </w:r>
      <w:r w:rsidR="0041690E" w:rsidRPr="009118AB">
        <w:rPr>
          <w:rFonts w:eastAsia="Calibri"/>
          <w:kern w:val="2"/>
          <w:szCs w:val="22"/>
          <w:lang w:eastAsia="en-US"/>
          <w14:ligatures w14:val="standardContextual"/>
        </w:rPr>
        <w:t>oder auf Arbeitslosengeld</w:t>
      </w:r>
      <w:r w:rsidR="0041690E" w:rsidRPr="009118AB">
        <w:t xml:space="preserve">] </w:t>
      </w:r>
      <w:r w:rsidRPr="009118AB">
        <w:t xml:space="preserve">nach Anwendung des vorliegenden Abschnitts für einen Steuerpflichtigen mit einem steuerpflichtigen Einkommen von 10.160 EUR, das sich ausschließlich aus Pensionen und anderen Ersatzeinkünften </w:t>
      </w:r>
      <w:r w:rsidR="0041690E" w:rsidRPr="009118AB">
        <w:t>[</w:t>
      </w:r>
      <w:r w:rsidR="0041690E" w:rsidRPr="009118AB">
        <w:rPr>
          <w:rFonts w:eastAsia="Calibri"/>
          <w:kern w:val="2"/>
          <w:szCs w:val="22"/>
          <w:lang w:eastAsia="en-US"/>
          <w14:ligatures w14:val="standardContextual"/>
        </w:rPr>
        <w:t>oder aus Arbeitslosengeld</w:t>
      </w:r>
      <w:r w:rsidR="0041690E" w:rsidRPr="009118AB">
        <w:t xml:space="preserve">] </w:t>
      </w:r>
      <w:r w:rsidRPr="009118AB">
        <w:t xml:space="preserve">zusammensetzt, nicht auf null herabgesetzt wird, erhöht der König </w:t>
      </w:r>
      <w:r w:rsidR="0041690E" w:rsidRPr="009118AB">
        <w:t>[</w:t>
      </w:r>
      <w:r w:rsidR="0041690E" w:rsidRPr="009118AB">
        <w:rPr>
          <w:rFonts w:eastAsia="Calibri"/>
          <w:kern w:val="2"/>
          <w:szCs w:val="22"/>
          <w:lang w:eastAsia="en-US"/>
          <w14:ligatures w14:val="standardContextual"/>
        </w:rPr>
        <w:t xml:space="preserve">die in Absatz 1 </w:t>
      </w:r>
      <w:r w:rsidR="00D67EB8" w:rsidRPr="009118AB">
        <w:rPr>
          <w:rFonts w:eastAsia="Calibri"/>
          <w:kern w:val="2"/>
          <w:szCs w:val="22"/>
          <w:lang w:eastAsia="en-US"/>
          <w14:ligatures w14:val="standardContextual"/>
        </w:rPr>
        <w:t>Nr. </w:t>
      </w:r>
      <w:r w:rsidR="0041690E" w:rsidRPr="009118AB">
        <w:rPr>
          <w:rFonts w:eastAsia="Calibri"/>
          <w:kern w:val="2"/>
          <w:szCs w:val="22"/>
          <w:lang w:eastAsia="en-US"/>
          <w14:ligatures w14:val="standardContextual"/>
        </w:rPr>
        <w:t>1 und 7 erwähnten Beträge</w:t>
      </w:r>
      <w:r w:rsidR="0041690E" w:rsidRPr="009118AB">
        <w:t>]</w:t>
      </w:r>
      <w:r w:rsidRPr="009118AB">
        <w:t xml:space="preserve"> der ergänzenden Ermäßigung bis zum erforderlichen Betrag, damit die Steuer für vorerwähnten Steuerpflichtigen doch noch auf null herabgesetzt wird. </w:t>
      </w:r>
      <w:r w:rsidR="0041690E" w:rsidRPr="009118AB">
        <w:t>[</w:t>
      </w:r>
      <w:r w:rsidRPr="009118AB">
        <w:t>Diese erhöhte</w:t>
      </w:r>
      <w:r w:rsidR="0041690E" w:rsidRPr="009118AB">
        <w:t>n</w:t>
      </w:r>
      <w:r w:rsidRPr="009118AB">
        <w:t xml:space="preserve"> Betr</w:t>
      </w:r>
      <w:r w:rsidR="0041690E" w:rsidRPr="009118AB">
        <w:t>ä</w:t>
      </w:r>
      <w:r w:rsidRPr="009118AB">
        <w:t>g</w:t>
      </w:r>
      <w:r w:rsidR="0041690E" w:rsidRPr="009118AB">
        <w:t>e</w:t>
      </w:r>
      <w:r w:rsidRPr="009118AB">
        <w:t xml:space="preserve"> </w:t>
      </w:r>
      <w:r w:rsidR="0041690E" w:rsidRPr="009118AB">
        <w:t>sind]</w:t>
      </w:r>
      <w:r w:rsidRPr="009118AB">
        <w:t xml:space="preserve"> nur für das betreffende Steuerjahr anwendbar.]</w:t>
      </w:r>
    </w:p>
    <w:p w14:paraId="50064DCA" w14:textId="77777777" w:rsidR="006A5462" w:rsidRPr="009118AB" w:rsidRDefault="006A5462" w:rsidP="006A5462">
      <w:pPr>
        <w:autoSpaceDE w:val="0"/>
        <w:autoSpaceDN w:val="0"/>
        <w:adjustRightInd w:val="0"/>
        <w:jc w:val="both"/>
      </w:pPr>
    </w:p>
    <w:p w14:paraId="1CE32E1A" w14:textId="69E7684F" w:rsidR="006A5462" w:rsidRPr="009118AB" w:rsidRDefault="006A5462" w:rsidP="006A5462">
      <w:pPr>
        <w:autoSpaceDE w:val="0"/>
        <w:autoSpaceDN w:val="0"/>
        <w:adjustRightInd w:val="0"/>
        <w:jc w:val="both"/>
      </w:pPr>
      <w:r w:rsidRPr="009118AB">
        <w:rPr>
          <w:i/>
          <w:iCs/>
        </w:rPr>
        <w:t>[</w:t>
      </w:r>
      <w:r w:rsidR="00D67EB8" w:rsidRPr="009118AB">
        <w:rPr>
          <w:i/>
          <w:iCs/>
        </w:rPr>
        <w:t>Art. </w:t>
      </w:r>
      <w:r w:rsidRPr="009118AB">
        <w:rPr>
          <w:i/>
          <w:iCs/>
        </w:rPr>
        <w:t xml:space="preserve">147 ersetzt durch </w:t>
      </w:r>
      <w:r w:rsidR="00D67EB8" w:rsidRPr="009118AB">
        <w:rPr>
          <w:i/>
          <w:iCs/>
        </w:rPr>
        <w:t>Art. </w:t>
      </w:r>
      <w:r w:rsidRPr="009118AB">
        <w:rPr>
          <w:i/>
          <w:iCs/>
        </w:rPr>
        <w:t xml:space="preserve">35 des G. vom 10. August 2001 (B.S. vom 20. September 2001); </w:t>
      </w:r>
      <w:r w:rsidR="00D67EB8" w:rsidRPr="009118AB">
        <w:rPr>
          <w:i/>
          <w:iCs/>
        </w:rPr>
        <w:t>Abs. </w:t>
      </w:r>
      <w:r w:rsidRPr="009118AB">
        <w:rPr>
          <w:i/>
          <w:iCs/>
        </w:rPr>
        <w:t xml:space="preserve">1 einleitende Bestimmung abgeändert durch </w:t>
      </w:r>
      <w:r w:rsidR="00D67EB8" w:rsidRPr="009118AB">
        <w:rPr>
          <w:i/>
          <w:iCs/>
        </w:rPr>
        <w:t>Art. </w:t>
      </w:r>
      <w:r w:rsidRPr="009118AB">
        <w:rPr>
          <w:i/>
          <w:iCs/>
        </w:rPr>
        <w:t>56</w:t>
      </w:r>
      <w:r w:rsidRPr="009118AB">
        <w:rPr>
          <w:i/>
        </w:rPr>
        <w:t xml:space="preserve"> des G. vom 8. Mai</w:t>
      </w:r>
      <w:r w:rsidR="00E951F6" w:rsidRPr="009118AB">
        <w:rPr>
          <w:i/>
        </w:rPr>
        <w:t> 2014 (B.S. vom 28. Mai 2014)</w:t>
      </w:r>
      <w:r w:rsidR="00D67EB8" w:rsidRPr="009118AB">
        <w:rPr>
          <w:i/>
        </w:rPr>
        <w:t> - </w:t>
      </w:r>
      <w:r w:rsidRPr="009118AB">
        <w:rPr>
          <w:i/>
          <w:iCs/>
        </w:rPr>
        <w:t>anwendbar ab dem Steuerjahr 2015</w:t>
      </w:r>
      <w:r w:rsidR="003366D9" w:rsidRPr="009118AB">
        <w:rPr>
          <w:i/>
          <w:iCs/>
        </w:rPr>
        <w:t> -;</w:t>
      </w:r>
      <w:r w:rsidRPr="009118AB">
        <w:rPr>
          <w:i/>
          <w:iCs/>
        </w:rPr>
        <w:t xml:space="preserve"> </w:t>
      </w:r>
      <w:r w:rsidR="00D67EB8" w:rsidRPr="009118AB">
        <w:rPr>
          <w:i/>
          <w:iCs/>
        </w:rPr>
        <w:t>Abs. </w:t>
      </w:r>
      <w:r w:rsidR="00FA353A" w:rsidRPr="009118AB">
        <w:rPr>
          <w:i/>
          <w:iCs/>
        </w:rPr>
        <w:t xml:space="preserve">1 </w:t>
      </w:r>
      <w:r w:rsidR="00D67EB8" w:rsidRPr="009118AB">
        <w:rPr>
          <w:i/>
          <w:iCs/>
        </w:rPr>
        <w:t>Nr. </w:t>
      </w:r>
      <w:r w:rsidR="00FA353A" w:rsidRPr="009118AB">
        <w:rPr>
          <w:i/>
          <w:iCs/>
        </w:rPr>
        <w:t xml:space="preserve">1 abgeändert durch </w:t>
      </w:r>
      <w:r w:rsidR="00D67EB8" w:rsidRPr="009118AB">
        <w:rPr>
          <w:i/>
          <w:iCs/>
        </w:rPr>
        <w:t>Art. </w:t>
      </w:r>
      <w:r w:rsidR="00FA353A" w:rsidRPr="009118AB">
        <w:rPr>
          <w:i/>
          <w:iCs/>
        </w:rPr>
        <w:t xml:space="preserve">149 </w:t>
      </w:r>
      <w:r w:rsidR="00D67EB8" w:rsidRPr="009118AB">
        <w:rPr>
          <w:i/>
          <w:iCs/>
        </w:rPr>
        <w:t>Nr. </w:t>
      </w:r>
      <w:r w:rsidR="00FA353A" w:rsidRPr="009118AB">
        <w:rPr>
          <w:i/>
          <w:iCs/>
        </w:rPr>
        <w:t>1 des G. vom 26. Dezember 2015 (II) (B.S. vom 30. Dezember 2015)</w:t>
      </w:r>
      <w:r w:rsidR="00D67EB8" w:rsidRPr="009118AB">
        <w:rPr>
          <w:i/>
          <w:iCs/>
        </w:rPr>
        <w:t> - </w:t>
      </w:r>
      <w:r w:rsidR="00FA353A" w:rsidRPr="009118AB">
        <w:rPr>
          <w:i/>
          <w:iCs/>
        </w:rPr>
        <w:t>in Kraft ab dem Steuerjahr 2020</w:t>
      </w:r>
      <w:r w:rsidR="00D67EB8" w:rsidRPr="009118AB">
        <w:rPr>
          <w:i/>
          <w:iCs/>
        </w:rPr>
        <w:t> - </w:t>
      </w:r>
      <w:r w:rsidR="00EE5FC8" w:rsidRPr="009118AB">
        <w:rPr>
          <w:i/>
          <w:iCs/>
        </w:rPr>
        <w:t xml:space="preserve">und </w:t>
      </w:r>
      <w:r w:rsidR="00D67EB8" w:rsidRPr="009118AB">
        <w:rPr>
          <w:i/>
          <w:iCs/>
        </w:rPr>
        <w:t>Art. </w:t>
      </w:r>
      <w:r w:rsidR="00EE5FC8" w:rsidRPr="009118AB">
        <w:rPr>
          <w:i/>
          <w:iCs/>
        </w:rPr>
        <w:t xml:space="preserve">13 </w:t>
      </w:r>
      <w:r w:rsidR="00D67EB8" w:rsidRPr="009118AB">
        <w:rPr>
          <w:i/>
          <w:iCs/>
        </w:rPr>
        <w:t>Nr. </w:t>
      </w:r>
      <w:r w:rsidR="00EE5FC8" w:rsidRPr="009118AB">
        <w:rPr>
          <w:i/>
          <w:iCs/>
        </w:rPr>
        <w:t>1</w:t>
      </w:r>
      <w:r w:rsidR="00EE5FC8" w:rsidRPr="009118AB">
        <w:rPr>
          <w:i/>
        </w:rPr>
        <w:t xml:space="preserve"> des G. vom 23. März 2</w:t>
      </w:r>
      <w:r w:rsidR="00E951F6" w:rsidRPr="009118AB">
        <w:rPr>
          <w:i/>
        </w:rPr>
        <w:t>019 (B.S. vom 5. April 2019)</w:t>
      </w:r>
      <w:r w:rsidR="00D67EB8" w:rsidRPr="009118AB">
        <w:rPr>
          <w:i/>
        </w:rPr>
        <w:t> - </w:t>
      </w:r>
      <w:r w:rsidR="00EE5FC8" w:rsidRPr="009118AB">
        <w:rPr>
          <w:i/>
        </w:rPr>
        <w:t>anwendbar ab dem Steuerjahr 2020</w:t>
      </w:r>
      <w:r w:rsidR="003366D9" w:rsidRPr="009118AB">
        <w:rPr>
          <w:i/>
        </w:rPr>
        <w:t> -;</w:t>
      </w:r>
      <w:r w:rsidR="00FA353A"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ersetzt durch </w:t>
      </w:r>
      <w:r w:rsidR="00D67EB8" w:rsidRPr="009118AB">
        <w:rPr>
          <w:i/>
          <w:iCs/>
        </w:rPr>
        <w:t>Art. </w:t>
      </w:r>
      <w:r w:rsidRPr="009118AB">
        <w:rPr>
          <w:i/>
          <w:iCs/>
        </w:rPr>
        <w:t xml:space="preserve">37 </w:t>
      </w:r>
      <w:r w:rsidR="00D67EB8" w:rsidRPr="009118AB">
        <w:rPr>
          <w:i/>
          <w:iCs/>
        </w:rPr>
        <w:t>Nr. </w:t>
      </w:r>
      <w:r w:rsidRPr="009118AB">
        <w:rPr>
          <w:i/>
          <w:iCs/>
        </w:rPr>
        <w:t>1 des G. vom 17. Mai 2007 (B.S. vom 19. Juni 2007)</w:t>
      </w:r>
      <w:r w:rsidR="00D67EB8" w:rsidRPr="009118AB">
        <w:rPr>
          <w:i/>
          <w:iCs/>
        </w:rPr>
        <w:t> - </w:t>
      </w:r>
      <w:r w:rsidRPr="009118AB">
        <w:rPr>
          <w:i/>
          <w:iCs/>
        </w:rPr>
        <w:t xml:space="preserve">anwendbar </w:t>
      </w:r>
      <w:r w:rsidRPr="009118AB">
        <w:rPr>
          <w:i/>
        </w:rPr>
        <w:t>auf die ab dem 1. Januar 2007 gezahlten oder zuerkannten Einkünfte</w:t>
      </w:r>
      <w:r w:rsidR="003366D9" w:rsidRPr="009118AB">
        <w:rPr>
          <w:i/>
        </w:rPr>
        <w:t> -;</w:t>
      </w:r>
      <w:r w:rsidRPr="009118AB">
        <w:rPr>
          <w:i/>
          <w:iCs/>
        </w:rPr>
        <w:t xml:space="preserve"> </w:t>
      </w:r>
      <w:r w:rsidR="00D67EB8" w:rsidRPr="009118AB">
        <w:rPr>
          <w:i/>
          <w:iCs/>
        </w:rPr>
        <w:t>Abs. </w:t>
      </w:r>
      <w:r w:rsidR="00EE5FC8" w:rsidRPr="009118AB">
        <w:rPr>
          <w:i/>
          <w:iCs/>
        </w:rPr>
        <w:t xml:space="preserve">1 </w:t>
      </w:r>
      <w:r w:rsidR="00D67EB8" w:rsidRPr="009118AB">
        <w:rPr>
          <w:i/>
          <w:iCs/>
        </w:rPr>
        <w:t>Nr. </w:t>
      </w:r>
      <w:r w:rsidR="00EE5FC8" w:rsidRPr="009118AB">
        <w:rPr>
          <w:i/>
          <w:iCs/>
        </w:rPr>
        <w:t xml:space="preserve">2 einziger Absatz einleitende Bestimmung abgeändert durch </w:t>
      </w:r>
      <w:r w:rsidR="00D67EB8" w:rsidRPr="009118AB">
        <w:rPr>
          <w:i/>
          <w:iCs/>
        </w:rPr>
        <w:t>Art. </w:t>
      </w:r>
      <w:r w:rsidR="00EE5FC8" w:rsidRPr="009118AB">
        <w:rPr>
          <w:i/>
          <w:iCs/>
        </w:rPr>
        <w:t xml:space="preserve">13 </w:t>
      </w:r>
      <w:r w:rsidR="00D67EB8" w:rsidRPr="009118AB">
        <w:rPr>
          <w:i/>
          <w:iCs/>
        </w:rPr>
        <w:t>Nr. </w:t>
      </w:r>
      <w:r w:rsidR="00EE5FC8" w:rsidRPr="009118AB">
        <w:rPr>
          <w:i/>
          <w:iCs/>
        </w:rPr>
        <w:t>2</w:t>
      </w:r>
      <w:r w:rsidR="00EE5FC8" w:rsidRPr="009118AB">
        <w:rPr>
          <w:i/>
        </w:rPr>
        <w:t xml:space="preserve"> des G. vom 23. März 201</w:t>
      </w:r>
      <w:r w:rsidR="00E951F6" w:rsidRPr="009118AB">
        <w:rPr>
          <w:i/>
        </w:rPr>
        <w:t>9 (B.S. vom 5. April 2019)</w:t>
      </w:r>
      <w:r w:rsidR="00D67EB8" w:rsidRPr="009118AB">
        <w:rPr>
          <w:i/>
        </w:rPr>
        <w:t> - </w:t>
      </w:r>
      <w:r w:rsidR="00EE5FC8" w:rsidRPr="009118AB">
        <w:rPr>
          <w:i/>
        </w:rPr>
        <w:t>anwendbar ab dem Steuerjahr 2020</w:t>
      </w:r>
      <w:r w:rsidR="003366D9" w:rsidRPr="009118AB">
        <w:rPr>
          <w:i/>
        </w:rPr>
        <w:t> -;</w:t>
      </w:r>
      <w:r w:rsidR="00EE5FC8" w:rsidRPr="009118AB">
        <w:rPr>
          <w:i/>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einziger Absatz Buchstabe a)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105 </w:t>
      </w:r>
      <w:r w:rsidRPr="009118AB">
        <w:rPr>
          <w:rFonts w:ascii="Times New Roman Italique" w:hAnsi="Times New Roman Italique"/>
          <w:i/>
          <w:spacing w:val="-2"/>
        </w:rPr>
        <w:t>des G. (I) vom 26. Dezember 2015 (I) (B.S. vom 30. Dezember 2015)</w:t>
      </w:r>
      <w:r w:rsidR="00D67EB8" w:rsidRPr="009118AB">
        <w:rPr>
          <w:rFonts w:ascii="Times New Roman Italique" w:hAnsi="Times New Roman Italique"/>
          <w:i/>
          <w:spacing w:val="-2"/>
        </w:rPr>
        <w:t> - </w:t>
      </w:r>
      <w:r w:rsidRPr="009118AB">
        <w:rPr>
          <w:rFonts w:ascii="Times New Roman Italique" w:hAnsi="Times New Roman Italique"/>
          <w:i/>
          <w:spacing w:val="-2"/>
        </w:rPr>
        <w:t>anwendbar auf Betriebszuschläge und Zusatzentschädigungen, die ab dem 1. Januar 2016 gezahlt oder zuerkannt werden, sofern sie sich nicht auf Zeiträume beziehen, die vor diesem Datum liegen</w:t>
      </w:r>
      <w:r w:rsidR="003366D9" w:rsidRPr="009118AB">
        <w:rPr>
          <w:rFonts w:ascii="Times New Roman Italique" w:hAnsi="Times New Roman Italique"/>
          <w:i/>
          <w:spacing w:val="-2"/>
        </w:rPr>
        <w:t> </w:t>
      </w:r>
      <w:r w:rsidR="003366D9" w:rsidRPr="009118AB">
        <w:rPr>
          <w:rFonts w:ascii="Times New Roman Italique" w:hAnsi="Times New Roman Italique" w:hint="eastAsia"/>
          <w:i/>
          <w:spacing w:val="-2"/>
        </w:rPr>
        <w:t>-;</w:t>
      </w:r>
      <w:r w:rsidRPr="009118AB">
        <w:rPr>
          <w:rFonts w:ascii="Times New Roman Italique" w:hAnsi="Times New Roman Italique"/>
          <w:i/>
          <w:iCs/>
          <w:spacing w:val="-2"/>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einziger Absatz Buchstabe b) </w:t>
      </w:r>
      <w:r w:rsidR="00EE5FC8" w:rsidRPr="009118AB">
        <w:rPr>
          <w:i/>
          <w:iCs/>
        </w:rPr>
        <w:t>abgeänder</w:t>
      </w:r>
      <w:r w:rsidRPr="009118AB">
        <w:rPr>
          <w:i/>
          <w:iCs/>
        </w:rPr>
        <w:t xml:space="preserve">t durch </w:t>
      </w:r>
      <w:r w:rsidR="00D67EB8" w:rsidRPr="009118AB">
        <w:rPr>
          <w:i/>
          <w:iCs/>
        </w:rPr>
        <w:t>Art. </w:t>
      </w:r>
      <w:r w:rsidRPr="009118AB">
        <w:rPr>
          <w:i/>
          <w:iCs/>
        </w:rPr>
        <w:t>43 des G. vom 18. Dezember 2015 (II) (B.S. vom 28. Dezember 2015)</w:t>
      </w:r>
      <w:r w:rsidR="00D67EB8" w:rsidRPr="009118AB">
        <w:rPr>
          <w:i/>
          <w:iCs/>
        </w:rPr>
        <w:t> - </w:t>
      </w:r>
      <w:r w:rsidRPr="009118AB">
        <w:rPr>
          <w:i/>
          <w:iCs/>
        </w:rPr>
        <w:t>anwendbar auf die ab dem 1. Januar 2015 gezahlten oder zuerkannten Einkünfte</w:t>
      </w:r>
      <w:r w:rsidR="00D67EB8" w:rsidRPr="009118AB">
        <w:rPr>
          <w:i/>
          <w:iCs/>
        </w:rPr>
        <w:t> - </w:t>
      </w:r>
      <w:r w:rsidR="00EE5FC8" w:rsidRPr="009118AB">
        <w:rPr>
          <w:i/>
          <w:iCs/>
        </w:rPr>
        <w:t xml:space="preserve">und </w:t>
      </w:r>
      <w:r w:rsidR="00D67EB8" w:rsidRPr="009118AB">
        <w:rPr>
          <w:i/>
          <w:iCs/>
        </w:rPr>
        <w:t>Art. </w:t>
      </w:r>
      <w:r w:rsidR="00EE5FC8" w:rsidRPr="009118AB">
        <w:rPr>
          <w:i/>
          <w:iCs/>
        </w:rPr>
        <w:t xml:space="preserve">13 </w:t>
      </w:r>
      <w:r w:rsidR="00D67EB8" w:rsidRPr="009118AB">
        <w:rPr>
          <w:i/>
          <w:iCs/>
        </w:rPr>
        <w:t>Nr. </w:t>
      </w:r>
      <w:r w:rsidR="00EE5FC8" w:rsidRPr="009118AB">
        <w:rPr>
          <w:i/>
          <w:iCs/>
        </w:rPr>
        <w:t>3</w:t>
      </w:r>
      <w:r w:rsidR="00EE5FC8" w:rsidRPr="009118AB">
        <w:rPr>
          <w:i/>
        </w:rPr>
        <w:t xml:space="preserve"> des G. vom 23. März </w:t>
      </w:r>
      <w:r w:rsidR="00E951F6" w:rsidRPr="009118AB">
        <w:rPr>
          <w:i/>
        </w:rPr>
        <w:t>2019 (B.S. vom 5. April 2019)</w:t>
      </w:r>
      <w:r w:rsidR="00D67EB8" w:rsidRPr="009118AB">
        <w:rPr>
          <w:i/>
        </w:rPr>
        <w:t> - </w:t>
      </w:r>
      <w:r w:rsidR="00EE5FC8" w:rsidRPr="009118AB">
        <w:rPr>
          <w:i/>
        </w:rPr>
        <w:t>anwendbar ab dem Steuerjahr 2020</w:t>
      </w:r>
      <w:r w:rsidR="003366D9" w:rsidRPr="009118AB">
        <w:rPr>
          <w:i/>
        </w:rPr>
        <w:t> -;</w:t>
      </w:r>
      <w:r w:rsidR="00EE5FC8" w:rsidRPr="009118AB">
        <w:rPr>
          <w:i/>
        </w:rPr>
        <w:t xml:space="preserve"> </w:t>
      </w:r>
      <w:r w:rsidR="00D67EB8" w:rsidRPr="009118AB">
        <w:rPr>
          <w:i/>
        </w:rPr>
        <w:t>Abs. </w:t>
      </w:r>
      <w:r w:rsidR="00EE5FC8" w:rsidRPr="009118AB">
        <w:rPr>
          <w:i/>
        </w:rPr>
        <w:t xml:space="preserve">1 </w:t>
      </w:r>
      <w:r w:rsidR="00D67EB8" w:rsidRPr="009118AB">
        <w:rPr>
          <w:i/>
        </w:rPr>
        <w:t>Nr. </w:t>
      </w:r>
      <w:r w:rsidR="00EE5FC8" w:rsidRPr="009118AB">
        <w:rPr>
          <w:i/>
        </w:rPr>
        <w:t xml:space="preserve">2 einziger Absatz Buchstabe c) eingefügt durch </w:t>
      </w:r>
      <w:r w:rsidR="00D67EB8" w:rsidRPr="009118AB">
        <w:rPr>
          <w:i/>
        </w:rPr>
        <w:t>Art. </w:t>
      </w:r>
      <w:r w:rsidR="00EE5FC8" w:rsidRPr="009118AB">
        <w:rPr>
          <w:i/>
        </w:rPr>
        <w:t xml:space="preserve">13 </w:t>
      </w:r>
      <w:r w:rsidR="00D67EB8" w:rsidRPr="009118AB">
        <w:rPr>
          <w:i/>
        </w:rPr>
        <w:t>Nr. </w:t>
      </w:r>
      <w:r w:rsidR="00EE5FC8" w:rsidRPr="009118AB">
        <w:rPr>
          <w:i/>
        </w:rPr>
        <w:t>4 des G. vom 23. März 2</w:t>
      </w:r>
      <w:r w:rsidR="00E951F6" w:rsidRPr="009118AB">
        <w:rPr>
          <w:i/>
        </w:rPr>
        <w:t>019 (B.S. vom 5. April 2019)</w:t>
      </w:r>
      <w:r w:rsidR="00D67EB8" w:rsidRPr="009118AB">
        <w:rPr>
          <w:i/>
        </w:rPr>
        <w:t> - </w:t>
      </w:r>
      <w:r w:rsidR="00EE5FC8" w:rsidRPr="009118AB">
        <w:rPr>
          <w:i/>
        </w:rPr>
        <w:t>anwendbar ab dem Steuerjahr 2020</w:t>
      </w:r>
      <w:r w:rsidR="003366D9" w:rsidRPr="009118AB">
        <w:rPr>
          <w:i/>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3 aufgehoben durch </w:t>
      </w:r>
      <w:r w:rsidR="00D67EB8" w:rsidRPr="009118AB">
        <w:rPr>
          <w:i/>
          <w:iCs/>
        </w:rPr>
        <w:t>Art. </w:t>
      </w:r>
      <w:r w:rsidRPr="009118AB">
        <w:rPr>
          <w:i/>
          <w:iCs/>
        </w:rPr>
        <w:t xml:space="preserve">96 Buchstabe A </w:t>
      </w:r>
      <w:r w:rsidR="00D67EB8" w:rsidRPr="009118AB">
        <w:rPr>
          <w:i/>
          <w:iCs/>
        </w:rPr>
        <w:t>Nr. </w:t>
      </w:r>
      <w:r w:rsidRPr="009118AB">
        <w:rPr>
          <w:i/>
          <w:iCs/>
        </w:rPr>
        <w:t>2 des G. vom 23. Dezember 2005 (B.S. vom 30. Dezember 2005)</w:t>
      </w:r>
      <w:r w:rsidR="00D67EB8" w:rsidRPr="009118AB">
        <w:rPr>
          <w:i/>
          <w:iCs/>
        </w:rPr>
        <w:t> - </w:t>
      </w:r>
      <w:r w:rsidRPr="009118AB">
        <w:rPr>
          <w:i/>
          <w:iCs/>
        </w:rPr>
        <w:t xml:space="preserve">in Kraft ab </w:t>
      </w:r>
      <w:r w:rsidRPr="009118AB">
        <w:rPr>
          <w:i/>
          <w:iCs/>
        </w:rPr>
        <w:lastRenderedPageBreak/>
        <w:t>dem Steuerjahr 2006</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4 aufgehoben durch </w:t>
      </w:r>
      <w:r w:rsidR="00D67EB8" w:rsidRPr="009118AB">
        <w:rPr>
          <w:i/>
          <w:iCs/>
        </w:rPr>
        <w:t>Art. </w:t>
      </w:r>
      <w:r w:rsidRPr="009118AB">
        <w:rPr>
          <w:i/>
          <w:iCs/>
        </w:rPr>
        <w:t xml:space="preserve">96 Buchstabe A </w:t>
      </w:r>
      <w:r w:rsidR="00D67EB8" w:rsidRPr="009118AB">
        <w:rPr>
          <w:i/>
          <w:iCs/>
        </w:rPr>
        <w:t>Nr. </w:t>
      </w:r>
      <w:r w:rsidRPr="009118AB">
        <w:rPr>
          <w:i/>
          <w:iCs/>
        </w:rPr>
        <w:t>2 des G. vom 23. Dezember 2005 (B.S. vom 30. Dezember 2005)</w:t>
      </w:r>
      <w:r w:rsidR="00D67EB8" w:rsidRPr="009118AB">
        <w:rPr>
          <w:i/>
          <w:iCs/>
        </w:rPr>
        <w:t> - </w:t>
      </w:r>
      <w:r w:rsidRPr="009118AB">
        <w:rPr>
          <w:i/>
          <w:iCs/>
        </w:rPr>
        <w:t>in Kraft ab dem Steuerjahr 2006</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5 aufgehoben durch </w:t>
      </w:r>
      <w:r w:rsidR="00D67EB8" w:rsidRPr="009118AB">
        <w:rPr>
          <w:i/>
          <w:iCs/>
        </w:rPr>
        <w:t>Art. </w:t>
      </w:r>
      <w:r w:rsidRPr="009118AB">
        <w:rPr>
          <w:i/>
          <w:iCs/>
        </w:rPr>
        <w:t>23 Buchstabe a) des G. vom 22. Dezember 2009 (I) (B.S. vom 31. Dezember 2009)</w:t>
      </w:r>
      <w:r w:rsidR="00D67EB8" w:rsidRPr="009118AB">
        <w:rPr>
          <w:i/>
          <w:iCs/>
        </w:rPr>
        <w:t> - </w:t>
      </w:r>
      <w:r w:rsidRPr="009118AB">
        <w:rPr>
          <w:i/>
          <w:iCs/>
        </w:rPr>
        <w:t>anwendbar ab dem Steuerjahr 2010</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6 aufgehoben durch </w:t>
      </w:r>
      <w:r w:rsidR="00D67EB8" w:rsidRPr="009118AB">
        <w:rPr>
          <w:i/>
          <w:iCs/>
        </w:rPr>
        <w:t>Art. </w:t>
      </w:r>
      <w:r w:rsidRPr="009118AB">
        <w:rPr>
          <w:i/>
          <w:iCs/>
        </w:rPr>
        <w:t>23 Buchstabe a) des G. vom 22. Dezember 2009 (I) (B.S. vom 31. Dezember 2009)</w:t>
      </w:r>
      <w:r w:rsidR="00D67EB8" w:rsidRPr="009118AB">
        <w:rPr>
          <w:i/>
          <w:iCs/>
        </w:rPr>
        <w:t> - </w:t>
      </w:r>
      <w:r w:rsidRPr="009118AB">
        <w:rPr>
          <w:i/>
          <w:iCs/>
        </w:rPr>
        <w:t>anwendbar ab dem Steuerjahr 2010</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7 ersetzt durch </w:t>
      </w:r>
      <w:r w:rsidR="00D67EB8" w:rsidRPr="009118AB">
        <w:rPr>
          <w:i/>
          <w:iCs/>
        </w:rPr>
        <w:t>Art. </w:t>
      </w:r>
      <w:r w:rsidRPr="009118AB">
        <w:rPr>
          <w:i/>
          <w:iCs/>
        </w:rPr>
        <w:t>23 Buchstabe b) des G. vom 22. Dezember 2009 (I)</w:t>
      </w:r>
      <w:r w:rsidR="00EE5FC8" w:rsidRPr="009118AB">
        <w:rPr>
          <w:i/>
          <w:iCs/>
        </w:rPr>
        <w:t xml:space="preserve"> (B.S. vom 31. Dezember 2009)</w:t>
      </w:r>
      <w:r w:rsidR="00D67EB8" w:rsidRPr="009118AB">
        <w:rPr>
          <w:i/>
          <w:iCs/>
        </w:rPr>
        <w:t> - </w:t>
      </w:r>
      <w:r w:rsidRPr="009118AB">
        <w:rPr>
          <w:i/>
          <w:iCs/>
        </w:rPr>
        <w:t>anwendbar ab dem Steuerjahr 2010</w:t>
      </w:r>
      <w:r w:rsidR="00D67EB8" w:rsidRPr="009118AB">
        <w:rPr>
          <w:i/>
          <w:iCs/>
        </w:rPr>
        <w:t> - </w:t>
      </w:r>
      <w:r w:rsidR="00FA353A" w:rsidRPr="009118AB">
        <w:rPr>
          <w:i/>
          <w:iCs/>
        </w:rPr>
        <w:t xml:space="preserve">und abgeändert durch </w:t>
      </w:r>
      <w:r w:rsidR="00D67EB8" w:rsidRPr="009118AB">
        <w:rPr>
          <w:i/>
          <w:iCs/>
        </w:rPr>
        <w:t>Art. </w:t>
      </w:r>
      <w:r w:rsidR="00FA353A" w:rsidRPr="009118AB">
        <w:rPr>
          <w:i/>
          <w:iCs/>
        </w:rPr>
        <w:t xml:space="preserve">149 </w:t>
      </w:r>
      <w:r w:rsidR="00D67EB8" w:rsidRPr="009118AB">
        <w:rPr>
          <w:i/>
          <w:iCs/>
        </w:rPr>
        <w:t>Nr. </w:t>
      </w:r>
      <w:r w:rsidR="00FA353A" w:rsidRPr="009118AB">
        <w:rPr>
          <w:i/>
          <w:iCs/>
        </w:rPr>
        <w:t>1 des G. vom 26. Dezember 2015 (II) (B.S. vom 30. Dezember 2015)</w:t>
      </w:r>
      <w:r w:rsidR="00D67EB8" w:rsidRPr="009118AB">
        <w:rPr>
          <w:i/>
          <w:iCs/>
        </w:rPr>
        <w:t> - </w:t>
      </w:r>
      <w:r w:rsidR="00FA353A" w:rsidRPr="009118AB">
        <w:rPr>
          <w:i/>
          <w:iCs/>
        </w:rPr>
        <w:t>in Kraft ab dem Steuerjahr 2020</w:t>
      </w:r>
      <w:r w:rsidR="00D67EB8" w:rsidRPr="009118AB">
        <w:rPr>
          <w:i/>
          <w:iCs/>
        </w:rPr>
        <w:t> - </w:t>
      </w:r>
      <w:r w:rsidR="0041690E" w:rsidRPr="009118AB">
        <w:rPr>
          <w:i/>
          <w:iCs/>
        </w:rPr>
        <w:t xml:space="preserve">und </w:t>
      </w:r>
      <w:r w:rsidR="00D67EB8" w:rsidRPr="009118AB">
        <w:rPr>
          <w:i/>
          <w:iCs/>
        </w:rPr>
        <w:t>Art. </w:t>
      </w:r>
      <w:r w:rsidR="0041690E" w:rsidRPr="009118AB">
        <w:rPr>
          <w:i/>
          <w:iCs/>
        </w:rPr>
        <w:t xml:space="preserve">4 </w:t>
      </w:r>
      <w:r w:rsidR="00D67EB8" w:rsidRPr="009118AB">
        <w:rPr>
          <w:i/>
          <w:iCs/>
        </w:rPr>
        <w:t>Nr. </w:t>
      </w:r>
      <w:r w:rsidR="0041690E" w:rsidRPr="009118AB">
        <w:rPr>
          <w:i/>
          <w:iCs/>
        </w:rPr>
        <w:t>1 des G. vom 17. März 2022 (B.S. vom 25. März 2022)</w:t>
      </w:r>
      <w:r w:rsidR="00D67EB8" w:rsidRPr="009118AB">
        <w:rPr>
          <w:i/>
          <w:iCs/>
        </w:rPr>
        <w:t> - </w:t>
      </w:r>
      <w:r w:rsidR="0041690E" w:rsidRPr="009118AB">
        <w:rPr>
          <w:i/>
          <w:iCs/>
        </w:rPr>
        <w:t>anwendbar ab dem Steuerjahr 2023</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8 abgeändert durch </w:t>
      </w:r>
      <w:r w:rsidR="00D67EB8" w:rsidRPr="009118AB">
        <w:rPr>
          <w:i/>
          <w:iCs/>
        </w:rPr>
        <w:t>Art. </w:t>
      </w:r>
      <w:r w:rsidRPr="009118AB">
        <w:rPr>
          <w:i/>
          <w:iCs/>
        </w:rPr>
        <w:t xml:space="preserve">9 </w:t>
      </w:r>
      <w:r w:rsidR="00D67EB8" w:rsidRPr="009118AB">
        <w:rPr>
          <w:i/>
          <w:iCs/>
        </w:rPr>
        <w:t>Nr. </w:t>
      </w:r>
      <w:r w:rsidRPr="009118AB">
        <w:rPr>
          <w:i/>
          <w:iCs/>
        </w:rPr>
        <w:t>4 des G. vom 27. März 2009 (B.S. vom 7. April 2009)</w:t>
      </w:r>
      <w:r w:rsidR="00D67EB8" w:rsidRPr="009118AB">
        <w:rPr>
          <w:i/>
          <w:iCs/>
        </w:rPr>
        <w:t> - </w:t>
      </w:r>
      <w:r w:rsidRPr="009118AB">
        <w:rPr>
          <w:i/>
          <w:iCs/>
        </w:rPr>
        <w:t>anwendbar ab dem Steuerjahr 2010</w:t>
      </w:r>
      <w:r w:rsidR="00FD68E8" w:rsidRPr="009118AB">
        <w:rPr>
          <w:i/>
          <w:iCs/>
        </w:rPr>
        <w:t> -,</w:t>
      </w:r>
      <w:r w:rsidRPr="009118AB">
        <w:rPr>
          <w:i/>
          <w:iCs/>
        </w:rPr>
        <w:t xml:space="preserve"> </w:t>
      </w:r>
      <w:r w:rsidR="00D67EB8" w:rsidRPr="009118AB">
        <w:rPr>
          <w:i/>
          <w:iCs/>
        </w:rPr>
        <w:t>Art. </w:t>
      </w:r>
      <w:r w:rsidRPr="009118AB">
        <w:rPr>
          <w:i/>
          <w:iCs/>
        </w:rPr>
        <w:t>23 Buchstabe c) des G. vom 22. Dezember 2009 (I) (B.S. vom 31. Dezember 2009)</w:t>
      </w:r>
      <w:r w:rsidR="00D67EB8" w:rsidRPr="009118AB">
        <w:rPr>
          <w:i/>
          <w:iCs/>
        </w:rPr>
        <w:t> - </w:t>
      </w:r>
      <w:r w:rsidRPr="009118AB">
        <w:rPr>
          <w:i/>
          <w:iCs/>
        </w:rPr>
        <w:t>anwendbar ab dem Steuerjahr 2010</w:t>
      </w:r>
      <w:r w:rsidR="00D67EB8" w:rsidRPr="009118AB">
        <w:rPr>
          <w:i/>
          <w:iCs/>
        </w:rPr>
        <w:t> - </w:t>
      </w:r>
      <w:r w:rsidR="0041690E" w:rsidRPr="009118AB">
        <w:rPr>
          <w:i/>
          <w:iCs/>
        </w:rPr>
        <w:t xml:space="preserve">und </w:t>
      </w:r>
      <w:r w:rsidR="00D67EB8" w:rsidRPr="009118AB">
        <w:rPr>
          <w:i/>
          <w:iCs/>
        </w:rPr>
        <w:t>Art. </w:t>
      </w:r>
      <w:r w:rsidR="0041690E" w:rsidRPr="009118AB">
        <w:rPr>
          <w:i/>
          <w:iCs/>
        </w:rPr>
        <w:t xml:space="preserve">4 </w:t>
      </w:r>
      <w:r w:rsidR="00D67EB8" w:rsidRPr="009118AB">
        <w:rPr>
          <w:i/>
          <w:iCs/>
        </w:rPr>
        <w:t>Nr. </w:t>
      </w:r>
      <w:r w:rsidR="0041690E" w:rsidRPr="009118AB">
        <w:rPr>
          <w:i/>
          <w:iCs/>
        </w:rPr>
        <w:t>2 des G. vom 17. März 2022 (B.S. vom 25. März 2022)</w:t>
      </w:r>
      <w:r w:rsidR="00D67EB8" w:rsidRPr="009118AB">
        <w:rPr>
          <w:i/>
          <w:iCs/>
        </w:rPr>
        <w:t> - </w:t>
      </w:r>
      <w:r w:rsidR="0041690E" w:rsidRPr="009118AB">
        <w:rPr>
          <w:i/>
          <w:iCs/>
        </w:rPr>
        <w:t>anwendbar ab dem Steuerjahr 2023</w:t>
      </w:r>
      <w:r w:rsidR="003366D9" w:rsidRPr="009118AB">
        <w:rPr>
          <w:i/>
          <w:iCs/>
        </w:rPr>
        <w:t> -;</w:t>
      </w:r>
      <w:r w:rsidRPr="009118AB">
        <w:rPr>
          <w:i/>
          <w:iCs/>
        </w:rPr>
        <w:t xml:space="preserve"> </w:t>
      </w:r>
      <w:r w:rsidR="00D67EB8" w:rsidRPr="009118AB">
        <w:rPr>
          <w:i/>
          <w:iCs/>
        </w:rPr>
        <w:t>Abs. </w:t>
      </w:r>
      <w:r w:rsidR="008F5DCA" w:rsidRPr="009118AB">
        <w:rPr>
          <w:i/>
          <w:iCs/>
        </w:rPr>
        <w:t xml:space="preserve">1 </w:t>
      </w:r>
      <w:r w:rsidR="00D67EB8" w:rsidRPr="009118AB">
        <w:rPr>
          <w:i/>
          <w:iCs/>
        </w:rPr>
        <w:t>Nr. </w:t>
      </w:r>
      <w:r w:rsidR="008F5DCA" w:rsidRPr="009118AB">
        <w:rPr>
          <w:i/>
          <w:iCs/>
        </w:rPr>
        <w:t xml:space="preserve">9 abgeändert durch </w:t>
      </w:r>
      <w:r w:rsidR="00D67EB8" w:rsidRPr="009118AB">
        <w:rPr>
          <w:i/>
          <w:iCs/>
        </w:rPr>
        <w:t>Art. </w:t>
      </w:r>
      <w:r w:rsidR="008F5DCA" w:rsidRPr="009118AB">
        <w:rPr>
          <w:i/>
          <w:iCs/>
        </w:rPr>
        <w:t xml:space="preserve">149 </w:t>
      </w:r>
      <w:r w:rsidR="00D67EB8" w:rsidRPr="009118AB">
        <w:rPr>
          <w:i/>
          <w:iCs/>
        </w:rPr>
        <w:t>Nr. </w:t>
      </w:r>
      <w:r w:rsidR="008F5DCA" w:rsidRPr="009118AB">
        <w:rPr>
          <w:i/>
          <w:iCs/>
        </w:rPr>
        <w:t>2 des G. vom 26. Dezember 2015 (II) (B.S. vom 30. Dezember 2015)</w:t>
      </w:r>
      <w:r w:rsidR="00D67EB8" w:rsidRPr="009118AB">
        <w:rPr>
          <w:i/>
          <w:iCs/>
        </w:rPr>
        <w:t> - </w:t>
      </w:r>
      <w:r w:rsidR="008F5DCA" w:rsidRPr="009118AB">
        <w:rPr>
          <w:i/>
          <w:iCs/>
        </w:rPr>
        <w:t>in Kraft ab dem Steuerjahr 2020</w:t>
      </w:r>
      <w:r w:rsidR="00D67EB8" w:rsidRPr="009118AB">
        <w:rPr>
          <w:i/>
          <w:iCs/>
        </w:rPr>
        <w:t> - </w:t>
      </w:r>
      <w:r w:rsidR="00EE5FC8" w:rsidRPr="009118AB">
        <w:rPr>
          <w:i/>
          <w:iCs/>
        </w:rPr>
        <w:t xml:space="preserve">und </w:t>
      </w:r>
      <w:r w:rsidR="00D67EB8" w:rsidRPr="009118AB">
        <w:rPr>
          <w:i/>
          <w:iCs/>
        </w:rPr>
        <w:t>Art. </w:t>
      </w:r>
      <w:r w:rsidR="00EE5FC8" w:rsidRPr="009118AB">
        <w:rPr>
          <w:i/>
          <w:iCs/>
        </w:rPr>
        <w:t xml:space="preserve">13 </w:t>
      </w:r>
      <w:r w:rsidR="00D67EB8" w:rsidRPr="009118AB">
        <w:rPr>
          <w:i/>
          <w:iCs/>
        </w:rPr>
        <w:t>Nr. </w:t>
      </w:r>
      <w:r w:rsidR="00EE5FC8" w:rsidRPr="009118AB">
        <w:rPr>
          <w:i/>
          <w:iCs/>
        </w:rPr>
        <w:t>5</w:t>
      </w:r>
      <w:r w:rsidR="00EE5FC8" w:rsidRPr="009118AB">
        <w:rPr>
          <w:i/>
        </w:rPr>
        <w:t xml:space="preserve"> des G. vom 23. März 2</w:t>
      </w:r>
      <w:r w:rsidR="00E951F6" w:rsidRPr="009118AB">
        <w:rPr>
          <w:i/>
        </w:rPr>
        <w:t>019 (B.S. vom 5. April 2019)</w:t>
      </w:r>
      <w:r w:rsidR="00D67EB8" w:rsidRPr="009118AB">
        <w:rPr>
          <w:i/>
        </w:rPr>
        <w:t> - </w:t>
      </w:r>
      <w:r w:rsidR="00EE5FC8" w:rsidRPr="009118AB">
        <w:rPr>
          <w:i/>
        </w:rPr>
        <w:t>anwendbar ab dem Steuerjahr 2020</w:t>
      </w:r>
      <w:r w:rsidR="003366D9" w:rsidRPr="009118AB">
        <w:rPr>
          <w:i/>
        </w:rPr>
        <w:t> -;</w:t>
      </w:r>
      <w:r w:rsidR="008F5DCA"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 xml:space="preserve">37 </w:t>
      </w:r>
      <w:r w:rsidR="00D67EB8" w:rsidRPr="009118AB">
        <w:rPr>
          <w:i/>
          <w:iCs/>
        </w:rPr>
        <w:t>Nr. </w:t>
      </w:r>
      <w:r w:rsidRPr="009118AB">
        <w:rPr>
          <w:i/>
          <w:iCs/>
        </w:rPr>
        <w:t>2 des G. vom 17. Mai 2007 (B.S. vom 19. Juni 2007)</w:t>
      </w:r>
      <w:r w:rsidR="00D67EB8" w:rsidRPr="009118AB">
        <w:rPr>
          <w:i/>
          <w:iCs/>
        </w:rPr>
        <w:t> - </w:t>
      </w:r>
      <w:r w:rsidRPr="009118AB">
        <w:rPr>
          <w:i/>
          <w:iCs/>
        </w:rPr>
        <w:t xml:space="preserve">anwendbar </w:t>
      </w:r>
      <w:r w:rsidRPr="009118AB">
        <w:rPr>
          <w:i/>
        </w:rPr>
        <w:t>auf die ab dem 1. Januar 2007 gezahlte</w:t>
      </w:r>
      <w:r w:rsidR="0005083B" w:rsidRPr="009118AB">
        <w:rPr>
          <w:i/>
        </w:rPr>
        <w:t>n oder zuerkannten Einkünfte</w:t>
      </w:r>
      <w:r w:rsidR="003366D9" w:rsidRPr="009118AB">
        <w:rPr>
          <w:i/>
        </w:rPr>
        <w:t> -;</w:t>
      </w:r>
      <w:r w:rsidR="0005083B" w:rsidRPr="009118AB">
        <w:rPr>
          <w:i/>
        </w:rPr>
        <w:t xml:space="preserve"> </w:t>
      </w:r>
      <w:r w:rsidR="0041690E" w:rsidRPr="009118AB">
        <w:rPr>
          <w:i/>
        </w:rPr>
        <w:t xml:space="preserve">früherer </w:t>
      </w:r>
      <w:r w:rsidRPr="009118AB">
        <w:rPr>
          <w:i/>
        </w:rPr>
        <w:t>Abs</w:t>
      </w:r>
      <w:r w:rsidR="0041690E" w:rsidRPr="009118AB">
        <w:rPr>
          <w:i/>
        </w:rPr>
        <w:t>atz</w:t>
      </w:r>
      <w:r w:rsidRPr="009118AB">
        <w:rPr>
          <w:i/>
        </w:rPr>
        <w:t xml:space="preserve"> 3 eingefügt durch </w:t>
      </w:r>
      <w:r w:rsidR="00D67EB8" w:rsidRPr="009118AB">
        <w:rPr>
          <w:i/>
          <w:iCs/>
        </w:rPr>
        <w:t>Art. </w:t>
      </w:r>
      <w:r w:rsidRPr="009118AB">
        <w:rPr>
          <w:i/>
          <w:iCs/>
        </w:rPr>
        <w:t xml:space="preserve">9 </w:t>
      </w:r>
      <w:r w:rsidR="00D67EB8" w:rsidRPr="009118AB">
        <w:rPr>
          <w:i/>
          <w:iCs/>
        </w:rPr>
        <w:t>Nr. </w:t>
      </w:r>
      <w:r w:rsidRPr="009118AB">
        <w:rPr>
          <w:i/>
          <w:iCs/>
        </w:rPr>
        <w:t>5 des G. vom 27. März 2009 (B.S. vom 7. April 2009)</w:t>
      </w:r>
      <w:r w:rsidR="00D67EB8" w:rsidRPr="009118AB">
        <w:rPr>
          <w:i/>
          <w:iCs/>
        </w:rPr>
        <w:t> - </w:t>
      </w:r>
      <w:r w:rsidRPr="009118AB">
        <w:rPr>
          <w:i/>
          <w:iCs/>
        </w:rPr>
        <w:t>anwendbar ab dem Steuerjahr 2010</w:t>
      </w:r>
      <w:r w:rsidR="00D67EB8" w:rsidRPr="009118AB">
        <w:rPr>
          <w:i/>
          <w:iCs/>
        </w:rPr>
        <w:t> - </w:t>
      </w:r>
      <w:r w:rsidRPr="009118AB">
        <w:rPr>
          <w:i/>
          <w:iCs/>
        </w:rPr>
        <w:t xml:space="preserve">und aufgehoben durch </w:t>
      </w:r>
      <w:r w:rsidR="00D67EB8" w:rsidRPr="009118AB">
        <w:rPr>
          <w:i/>
          <w:iCs/>
        </w:rPr>
        <w:t>Art. </w:t>
      </w:r>
      <w:r w:rsidRPr="009118AB">
        <w:rPr>
          <w:i/>
          <w:iCs/>
        </w:rPr>
        <w:t>23 Buchstabe d) des G. vom 22. Dezember 2009 (I)</w:t>
      </w:r>
      <w:r w:rsidR="00B3148A" w:rsidRPr="009118AB">
        <w:rPr>
          <w:i/>
          <w:iCs/>
        </w:rPr>
        <w:t xml:space="preserve"> (B.S. vom 31. Dezember 2009)</w:t>
      </w:r>
      <w:r w:rsidR="00D67EB8" w:rsidRPr="009118AB">
        <w:rPr>
          <w:i/>
          <w:iCs/>
        </w:rPr>
        <w:t> - </w:t>
      </w:r>
      <w:r w:rsidRPr="009118AB">
        <w:rPr>
          <w:i/>
          <w:iCs/>
        </w:rPr>
        <w:t>anwendbar ab dem Steuerjahr 2010</w:t>
      </w:r>
      <w:r w:rsidR="003366D9" w:rsidRPr="009118AB">
        <w:rPr>
          <w:i/>
          <w:iCs/>
        </w:rPr>
        <w:t> -;</w:t>
      </w:r>
      <w:r w:rsidR="0005083B" w:rsidRPr="009118AB">
        <w:rPr>
          <w:i/>
          <w:iCs/>
        </w:rPr>
        <w:t xml:space="preserve"> </w:t>
      </w:r>
      <w:r w:rsidR="0041690E" w:rsidRPr="009118AB">
        <w:rPr>
          <w:i/>
          <w:iCs/>
        </w:rPr>
        <w:t xml:space="preserve">neuer </w:t>
      </w:r>
      <w:r w:rsidR="0005083B" w:rsidRPr="009118AB">
        <w:rPr>
          <w:i/>
          <w:iCs/>
        </w:rPr>
        <w:t>Abs</w:t>
      </w:r>
      <w:r w:rsidR="0041690E" w:rsidRPr="009118AB">
        <w:rPr>
          <w:i/>
          <w:iCs/>
        </w:rPr>
        <w:t>atz</w:t>
      </w:r>
      <w:r w:rsidR="0005083B" w:rsidRPr="009118AB">
        <w:rPr>
          <w:i/>
          <w:iCs/>
        </w:rPr>
        <w:t xml:space="preserve"> 3 eingefügt durch </w:t>
      </w:r>
      <w:r w:rsidR="00D67EB8" w:rsidRPr="009118AB">
        <w:rPr>
          <w:i/>
          <w:iCs/>
        </w:rPr>
        <w:t>Art. </w:t>
      </w:r>
      <w:r w:rsidR="0005083B" w:rsidRPr="009118AB">
        <w:rPr>
          <w:i/>
          <w:iCs/>
        </w:rPr>
        <w:t xml:space="preserve">13 </w:t>
      </w:r>
      <w:r w:rsidR="00D67EB8" w:rsidRPr="009118AB">
        <w:rPr>
          <w:i/>
          <w:iCs/>
        </w:rPr>
        <w:t>Nr. </w:t>
      </w:r>
      <w:r w:rsidR="0005083B" w:rsidRPr="009118AB">
        <w:rPr>
          <w:i/>
          <w:iCs/>
        </w:rPr>
        <w:t>6</w:t>
      </w:r>
      <w:r w:rsidR="0005083B" w:rsidRPr="009118AB">
        <w:rPr>
          <w:i/>
        </w:rPr>
        <w:t xml:space="preserve"> des G. vom 23. März 2</w:t>
      </w:r>
      <w:r w:rsidR="00E951F6" w:rsidRPr="009118AB">
        <w:rPr>
          <w:i/>
        </w:rPr>
        <w:t>019 (B.S. vom 5. April 2019)</w:t>
      </w:r>
      <w:r w:rsidR="00D67EB8" w:rsidRPr="009118AB">
        <w:rPr>
          <w:i/>
        </w:rPr>
        <w:t> - </w:t>
      </w:r>
      <w:r w:rsidR="0005083B" w:rsidRPr="009118AB">
        <w:rPr>
          <w:i/>
        </w:rPr>
        <w:t>anwendbar ab dem Steuerjahr 2020</w:t>
      </w:r>
      <w:r w:rsidR="003366D9" w:rsidRPr="009118AB">
        <w:rPr>
          <w:i/>
        </w:rPr>
        <w:t> -;</w:t>
      </w:r>
      <w:r w:rsidR="0041690E" w:rsidRPr="009118AB">
        <w:rPr>
          <w:i/>
        </w:rPr>
        <w:t xml:space="preserve"> </w:t>
      </w:r>
      <w:r w:rsidR="00D67EB8" w:rsidRPr="009118AB">
        <w:rPr>
          <w:i/>
          <w:iCs/>
        </w:rPr>
        <w:t>Abs. </w:t>
      </w:r>
      <w:r w:rsidR="0041690E" w:rsidRPr="009118AB">
        <w:rPr>
          <w:i/>
          <w:iCs/>
        </w:rPr>
        <w:t xml:space="preserve">4 eingefügt durch </w:t>
      </w:r>
      <w:r w:rsidR="00D67EB8" w:rsidRPr="009118AB">
        <w:rPr>
          <w:i/>
          <w:iCs/>
        </w:rPr>
        <w:t>Art. </w:t>
      </w:r>
      <w:r w:rsidR="0041690E" w:rsidRPr="009118AB">
        <w:rPr>
          <w:i/>
          <w:iCs/>
        </w:rPr>
        <w:t xml:space="preserve">13 </w:t>
      </w:r>
      <w:r w:rsidR="00D67EB8" w:rsidRPr="009118AB">
        <w:rPr>
          <w:i/>
          <w:iCs/>
        </w:rPr>
        <w:t>Nr. </w:t>
      </w:r>
      <w:r w:rsidR="0041690E" w:rsidRPr="009118AB">
        <w:rPr>
          <w:i/>
          <w:iCs/>
        </w:rPr>
        <w:t>6</w:t>
      </w:r>
      <w:r w:rsidR="0041690E" w:rsidRPr="009118AB">
        <w:rPr>
          <w:i/>
        </w:rPr>
        <w:t xml:space="preserve"> des G. vom 23. März 2019 (B.S. vom 5. April 2019)</w:t>
      </w:r>
      <w:r w:rsidR="00D67EB8" w:rsidRPr="009118AB">
        <w:rPr>
          <w:i/>
        </w:rPr>
        <w:t> - </w:t>
      </w:r>
      <w:r w:rsidR="0041690E" w:rsidRPr="009118AB">
        <w:rPr>
          <w:i/>
        </w:rPr>
        <w:t>anwendbar ab dem Steuerjahr 2020</w:t>
      </w:r>
      <w:r w:rsidR="00D67EB8" w:rsidRPr="009118AB">
        <w:rPr>
          <w:i/>
        </w:rPr>
        <w:t> - </w:t>
      </w:r>
      <w:r w:rsidR="0041690E" w:rsidRPr="009118AB">
        <w:rPr>
          <w:i/>
        </w:rPr>
        <w:t xml:space="preserve">und abgeändert durch </w:t>
      </w:r>
      <w:r w:rsidR="00D67EB8" w:rsidRPr="009118AB">
        <w:rPr>
          <w:i/>
        </w:rPr>
        <w:t>Art. </w:t>
      </w:r>
      <w:r w:rsidR="0041690E" w:rsidRPr="009118AB">
        <w:rPr>
          <w:i/>
        </w:rPr>
        <w:t xml:space="preserve">4 </w:t>
      </w:r>
      <w:r w:rsidR="00D67EB8" w:rsidRPr="009118AB">
        <w:rPr>
          <w:i/>
        </w:rPr>
        <w:t>Nr. </w:t>
      </w:r>
      <w:r w:rsidR="0041690E" w:rsidRPr="009118AB">
        <w:rPr>
          <w:i/>
        </w:rPr>
        <w:t>3 Buchstabe a) bis d)</w:t>
      </w:r>
      <w:r w:rsidR="0041690E" w:rsidRPr="009118AB">
        <w:rPr>
          <w:i/>
          <w:iCs/>
        </w:rPr>
        <w:t xml:space="preserve"> des G. vom 17. März 2022 (B.S. vom 25. März 2022)</w:t>
      </w:r>
      <w:r w:rsidR="00D67EB8" w:rsidRPr="009118AB">
        <w:rPr>
          <w:i/>
          <w:iCs/>
        </w:rPr>
        <w:t> - </w:t>
      </w:r>
      <w:r w:rsidR="0041690E" w:rsidRPr="009118AB">
        <w:rPr>
          <w:i/>
          <w:iCs/>
        </w:rPr>
        <w:t>anwendbar ab dem Steuerjahr 2023</w:t>
      </w:r>
      <w:r w:rsidR="00FD68E8" w:rsidRPr="009118AB">
        <w:rPr>
          <w:i/>
          <w:iCs/>
        </w:rPr>
        <w:t> -]</w:t>
      </w:r>
    </w:p>
    <w:p w14:paraId="526C6E9D" w14:textId="77777777" w:rsidR="00477B8F" w:rsidRPr="009118AB" w:rsidRDefault="00477B8F" w:rsidP="00477B8F">
      <w:pPr>
        <w:autoSpaceDE w:val="0"/>
        <w:autoSpaceDN w:val="0"/>
        <w:adjustRightInd w:val="0"/>
        <w:jc w:val="both"/>
      </w:pPr>
    </w:p>
    <w:p w14:paraId="24DC6EB4" w14:textId="77777777" w:rsidR="008F5DCA" w:rsidRPr="009118AB" w:rsidRDefault="008F5DCA" w:rsidP="00477B8F">
      <w:pPr>
        <w:autoSpaceDE w:val="0"/>
        <w:autoSpaceDN w:val="0"/>
        <w:adjustRightInd w:val="0"/>
        <w:jc w:val="both"/>
      </w:pPr>
    </w:p>
    <w:p w14:paraId="378FB7EC" w14:textId="4839C78A"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148</w:t>
      </w:r>
      <w:r w:rsidR="00D67EB8" w:rsidRPr="009118AB">
        <w:t> - </w:t>
      </w:r>
      <w:r w:rsidRPr="009118AB">
        <w:t>[...]</w:t>
      </w:r>
    </w:p>
    <w:p w14:paraId="1F8FABFB" w14:textId="77777777" w:rsidR="00477B8F" w:rsidRPr="009118AB" w:rsidRDefault="00477B8F" w:rsidP="00477B8F">
      <w:pPr>
        <w:autoSpaceDE w:val="0"/>
        <w:autoSpaceDN w:val="0"/>
        <w:adjustRightInd w:val="0"/>
        <w:jc w:val="both"/>
      </w:pPr>
    </w:p>
    <w:p w14:paraId="65C58E74" w14:textId="71B57AE5"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148 aufgehoben durch </w:t>
      </w:r>
      <w:r w:rsidR="00D67EB8" w:rsidRPr="009118AB">
        <w:rPr>
          <w:i/>
          <w:iCs/>
        </w:rPr>
        <w:t>Art. </w:t>
      </w:r>
      <w:r w:rsidRPr="009118AB">
        <w:rPr>
          <w:i/>
          <w:iCs/>
        </w:rPr>
        <w:t>27 des G. vom 30. März 1994 (B.S. vom 31. März 1994)]</w:t>
      </w:r>
    </w:p>
    <w:p w14:paraId="66F6E2E9" w14:textId="77777777" w:rsidR="00477B8F" w:rsidRPr="009118AB" w:rsidRDefault="00477B8F" w:rsidP="00477B8F">
      <w:pPr>
        <w:autoSpaceDE w:val="0"/>
        <w:autoSpaceDN w:val="0"/>
        <w:adjustRightInd w:val="0"/>
        <w:jc w:val="both"/>
      </w:pPr>
    </w:p>
    <w:p w14:paraId="286BFEA1" w14:textId="77777777" w:rsidR="00477B8F" w:rsidRPr="009118AB" w:rsidRDefault="00477B8F" w:rsidP="00477B8F">
      <w:pPr>
        <w:autoSpaceDE w:val="0"/>
        <w:autoSpaceDN w:val="0"/>
        <w:adjustRightInd w:val="0"/>
        <w:jc w:val="both"/>
      </w:pPr>
    </w:p>
    <w:p w14:paraId="6C4B3B53" w14:textId="475C0480"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149</w:t>
      </w:r>
      <w:r w:rsidR="00D67EB8" w:rsidRPr="009118AB">
        <w:t> - </w:t>
      </w:r>
      <w:r w:rsidRPr="009118AB">
        <w:t>[</w:t>
      </w:r>
      <w:r w:rsidR="00B44982" w:rsidRPr="009118AB">
        <w:t>..</w:t>
      </w:r>
      <w:r w:rsidRPr="009118AB">
        <w:t>.]</w:t>
      </w:r>
    </w:p>
    <w:p w14:paraId="1D2FDB03" w14:textId="77777777" w:rsidR="00477B8F" w:rsidRPr="009118AB" w:rsidRDefault="00477B8F" w:rsidP="00477B8F">
      <w:pPr>
        <w:autoSpaceDE w:val="0"/>
        <w:autoSpaceDN w:val="0"/>
        <w:adjustRightInd w:val="0"/>
        <w:jc w:val="both"/>
      </w:pPr>
    </w:p>
    <w:p w14:paraId="4FF1BF4E" w14:textId="343931B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149 </w:t>
      </w:r>
      <w:r w:rsidR="00B44982" w:rsidRPr="009118AB">
        <w:rPr>
          <w:i/>
          <w:iCs/>
        </w:rPr>
        <w:t xml:space="preserve">aufgehoben durch </w:t>
      </w:r>
      <w:r w:rsidR="00D67EB8" w:rsidRPr="009118AB">
        <w:rPr>
          <w:i/>
          <w:iCs/>
        </w:rPr>
        <w:t>Art. </w:t>
      </w:r>
      <w:r w:rsidR="00B44982" w:rsidRPr="009118AB">
        <w:rPr>
          <w:i/>
          <w:iCs/>
        </w:rPr>
        <w:t>10 des G. vom 27. März 2009 (B.S. vom 7. April 2009)</w:t>
      </w:r>
      <w:r w:rsidR="00D67EB8" w:rsidRPr="009118AB">
        <w:rPr>
          <w:i/>
          <w:iCs/>
        </w:rPr>
        <w:t> - </w:t>
      </w:r>
      <w:r w:rsidR="00B44982" w:rsidRPr="009118AB">
        <w:rPr>
          <w:i/>
          <w:iCs/>
        </w:rPr>
        <w:t>anwendbar ab dem Steuerjahr 2010</w:t>
      </w:r>
      <w:r w:rsidR="00FD68E8" w:rsidRPr="009118AB">
        <w:rPr>
          <w:i/>
          <w:iCs/>
        </w:rPr>
        <w:t> -]</w:t>
      </w:r>
    </w:p>
    <w:p w14:paraId="0844FC8A" w14:textId="77777777" w:rsidR="00477B8F" w:rsidRPr="009118AB" w:rsidRDefault="00477B8F" w:rsidP="00477B8F">
      <w:pPr>
        <w:autoSpaceDE w:val="0"/>
        <w:autoSpaceDN w:val="0"/>
        <w:adjustRightInd w:val="0"/>
        <w:jc w:val="both"/>
      </w:pPr>
    </w:p>
    <w:p w14:paraId="5998EE82" w14:textId="77777777" w:rsidR="00477B8F" w:rsidRPr="009118AB" w:rsidRDefault="00477B8F" w:rsidP="00477B8F">
      <w:pPr>
        <w:autoSpaceDE w:val="0"/>
        <w:autoSpaceDN w:val="0"/>
        <w:adjustRightInd w:val="0"/>
        <w:jc w:val="both"/>
      </w:pPr>
    </w:p>
    <w:p w14:paraId="5B02C9CA" w14:textId="54B1DD35"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150</w:t>
      </w:r>
      <w:r w:rsidR="00D67EB8" w:rsidRPr="009118AB">
        <w:t> - </w:t>
      </w:r>
      <w:r w:rsidRPr="009118AB">
        <w:t xml:space="preserve">[Wird eine gemeinsame Veranlagung festgelegt, werden die in vorliegendem Unterabschnitt vorgesehenen Ermäßigungen und Grenzen, </w:t>
      </w:r>
      <w:r w:rsidR="00B44982" w:rsidRPr="009118AB">
        <w:t>[</w:t>
      </w:r>
      <w:r w:rsidR="001123B7" w:rsidRPr="009118AB">
        <w:t>…]</w:t>
      </w:r>
      <w:r w:rsidRPr="009118AB">
        <w:t xml:space="preserve"> pro Steuerpflichtigen berechnet.</w:t>
      </w:r>
    </w:p>
    <w:p w14:paraId="15043F0D" w14:textId="77777777" w:rsidR="00C2438B" w:rsidRPr="009118AB" w:rsidRDefault="00C2438B" w:rsidP="00F61280">
      <w:pPr>
        <w:autoSpaceDE w:val="0"/>
        <w:autoSpaceDN w:val="0"/>
        <w:adjustRightInd w:val="0"/>
        <w:jc w:val="both"/>
      </w:pPr>
    </w:p>
    <w:p w14:paraId="5EF38214" w14:textId="77777777" w:rsidR="00477B8F" w:rsidRPr="009118AB" w:rsidRDefault="00477B8F" w:rsidP="00F61280">
      <w:pPr>
        <w:autoSpaceDE w:val="0"/>
        <w:autoSpaceDN w:val="0"/>
        <w:adjustRightInd w:val="0"/>
        <w:jc w:val="both"/>
      </w:pPr>
      <w:r w:rsidRPr="009118AB">
        <w:tab/>
        <w:t>[</w:t>
      </w:r>
      <w:r w:rsidR="001123B7" w:rsidRPr="009118AB">
        <w:t>..</w:t>
      </w:r>
      <w:r w:rsidR="00B44982" w:rsidRPr="009118AB">
        <w:t>.</w:t>
      </w:r>
      <w:r w:rsidRPr="009118AB">
        <w:t>]]</w:t>
      </w:r>
    </w:p>
    <w:p w14:paraId="3ED2277C" w14:textId="77777777" w:rsidR="00477B8F" w:rsidRPr="009118AB" w:rsidRDefault="00477B8F" w:rsidP="00477B8F">
      <w:pPr>
        <w:autoSpaceDE w:val="0"/>
        <w:autoSpaceDN w:val="0"/>
        <w:adjustRightInd w:val="0"/>
        <w:jc w:val="both"/>
      </w:pPr>
    </w:p>
    <w:p w14:paraId="1F41A14E" w14:textId="4D1BFFB2" w:rsidR="00477B8F" w:rsidRPr="009118AB" w:rsidRDefault="00477B8F" w:rsidP="00477B8F">
      <w:pPr>
        <w:autoSpaceDE w:val="0"/>
        <w:autoSpaceDN w:val="0"/>
        <w:adjustRightInd w:val="0"/>
        <w:jc w:val="both"/>
        <w:rPr>
          <w:rFonts w:ascii="Times New Roman Italique" w:hAnsi="Times New Roman Italique"/>
          <w:spacing w:val="-2"/>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150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37 des G. vom 10. August 2001 (B.S. vom 20. September 2001)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2005</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97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des G. vom 23. Dezember 2005 (B.S. vom 30. Dezember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w:t>
      </w:r>
      <w:r w:rsidR="00B44982" w:rsidRPr="009118AB">
        <w:rPr>
          <w:rFonts w:ascii="Times New Roman Italique" w:hAnsi="Times New Roman Italique"/>
          <w:i/>
          <w:iCs/>
          <w:spacing w:val="-2"/>
        </w:rPr>
        <w:t xml:space="preserve"> Kraft ab dem Steuerjahr 2006</w:t>
      </w:r>
      <w:r w:rsidR="00FD68E8" w:rsidRPr="009118AB">
        <w:rPr>
          <w:rFonts w:ascii="Times New Roman Italique" w:hAnsi="Times New Roman Italique"/>
          <w:i/>
          <w:iCs/>
          <w:spacing w:val="-2"/>
        </w:rPr>
        <w:t> -,</w:t>
      </w:r>
      <w:r w:rsidR="00B4498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B44982" w:rsidRPr="009118AB">
        <w:rPr>
          <w:rFonts w:ascii="Times New Roman Italique" w:hAnsi="Times New Roman Italique"/>
          <w:i/>
          <w:iCs/>
          <w:spacing w:val="-2"/>
        </w:rPr>
        <w:t xml:space="preserve">11 </w:t>
      </w:r>
      <w:r w:rsidR="00D67EB8" w:rsidRPr="009118AB">
        <w:rPr>
          <w:rFonts w:ascii="Times New Roman Italique" w:hAnsi="Times New Roman Italique"/>
          <w:i/>
          <w:iCs/>
          <w:spacing w:val="-2"/>
        </w:rPr>
        <w:lastRenderedPageBreak/>
        <w:t>Nr. </w:t>
      </w:r>
      <w:r w:rsidR="00B44982" w:rsidRPr="009118AB">
        <w:rPr>
          <w:rFonts w:ascii="Times New Roman Italique" w:hAnsi="Times New Roman Italique"/>
          <w:i/>
          <w:iCs/>
          <w:spacing w:val="-2"/>
        </w:rPr>
        <w:t>1 des G. vom 27. März 2009 (B.S. vom 7. April 2009)</w:t>
      </w:r>
      <w:r w:rsidR="00D67EB8" w:rsidRPr="009118AB">
        <w:rPr>
          <w:rFonts w:ascii="Times New Roman Italique" w:hAnsi="Times New Roman Italique"/>
          <w:i/>
          <w:iCs/>
          <w:spacing w:val="-2"/>
        </w:rPr>
        <w:t> - </w:t>
      </w:r>
      <w:r w:rsidR="00B44982" w:rsidRPr="009118AB">
        <w:rPr>
          <w:rFonts w:ascii="Times New Roman Italique" w:hAnsi="Times New Roman Italique"/>
          <w:i/>
          <w:iCs/>
          <w:spacing w:val="-2"/>
        </w:rPr>
        <w:t>anwendbar ab dem Steuerjahr 2010</w:t>
      </w:r>
      <w:r w:rsidR="00D67EB8" w:rsidRPr="009118AB">
        <w:rPr>
          <w:rFonts w:ascii="Times New Roman Italique" w:hAnsi="Times New Roman Italique"/>
          <w:i/>
          <w:iCs/>
          <w:spacing w:val="-2"/>
        </w:rPr>
        <w:t> - </w:t>
      </w:r>
      <w:r w:rsidR="001123B7"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1123B7" w:rsidRPr="009118AB">
        <w:rPr>
          <w:rFonts w:ascii="Times New Roman Italique" w:hAnsi="Times New Roman Italique"/>
          <w:i/>
          <w:iCs/>
          <w:spacing w:val="-2"/>
        </w:rPr>
        <w:t xml:space="preserve">24 </w:t>
      </w:r>
      <w:r w:rsidR="00D67EB8" w:rsidRPr="009118AB">
        <w:rPr>
          <w:rFonts w:ascii="Times New Roman Italique" w:hAnsi="Times New Roman Italique"/>
          <w:i/>
          <w:iCs/>
          <w:spacing w:val="-2"/>
        </w:rPr>
        <w:t>Nr. </w:t>
      </w:r>
      <w:r w:rsidR="001123B7" w:rsidRPr="009118AB">
        <w:rPr>
          <w:rFonts w:ascii="Times New Roman Italique" w:hAnsi="Times New Roman Italique"/>
          <w:i/>
          <w:iCs/>
          <w:spacing w:val="-2"/>
        </w:rPr>
        <w:t xml:space="preserve">1 des </w:t>
      </w:r>
      <w:r w:rsidR="00DC1F9F" w:rsidRPr="009118AB">
        <w:rPr>
          <w:rFonts w:ascii="Times New Roman Italique" w:hAnsi="Times New Roman Italique"/>
          <w:i/>
          <w:iCs/>
          <w:spacing w:val="-2"/>
        </w:rPr>
        <w:t>G. vom 22. Dezember 2009 (I)</w:t>
      </w:r>
      <w:r w:rsidR="001123B7" w:rsidRPr="009118AB">
        <w:rPr>
          <w:rFonts w:ascii="Times New Roman Italique" w:hAnsi="Times New Roman Italique"/>
          <w:i/>
          <w:iCs/>
          <w:spacing w:val="-2"/>
        </w:rPr>
        <w:t xml:space="preserve"> (B.S. vom 31. Dezember 2009)</w:t>
      </w:r>
      <w:r w:rsidR="00D67EB8" w:rsidRPr="009118AB">
        <w:rPr>
          <w:rFonts w:ascii="Times New Roman Italique" w:hAnsi="Times New Roman Italique"/>
          <w:i/>
          <w:iCs/>
          <w:spacing w:val="-2"/>
        </w:rPr>
        <w:t> - </w:t>
      </w:r>
      <w:r w:rsidR="001123B7" w:rsidRPr="009118AB">
        <w:rPr>
          <w:rFonts w:ascii="Times New Roman Italique" w:hAnsi="Times New Roman Italique"/>
          <w:i/>
          <w:iCs/>
          <w:spacing w:val="-2"/>
        </w:rPr>
        <w:t>anwendbar ab dem Steuerjahr 2010</w:t>
      </w:r>
      <w:r w:rsidR="003366D9" w:rsidRPr="009118AB">
        <w:rPr>
          <w:rFonts w:ascii="Times New Roman Italique" w:hAnsi="Times New Roman Italique"/>
          <w:i/>
          <w:iCs/>
          <w:spacing w:val="-2"/>
        </w:rPr>
        <w:t> -;</w:t>
      </w:r>
      <w:r w:rsidR="00B44982" w:rsidRPr="009118AB">
        <w:rPr>
          <w:rFonts w:ascii="Times New Roman Italique" w:hAnsi="Times New Roman Italique"/>
          <w:i/>
          <w:iCs/>
          <w:spacing w:val="-2"/>
        </w:rPr>
        <w:t xml:space="preserve"> </w:t>
      </w:r>
      <w:r w:rsidR="00C2438B" w:rsidRPr="009118AB">
        <w:rPr>
          <w:rFonts w:ascii="Times New Roman Italique" w:hAnsi="Times New Roman Italique"/>
          <w:i/>
          <w:iCs/>
          <w:spacing w:val="-2"/>
        </w:rPr>
        <w:t xml:space="preserve">frühere </w:t>
      </w:r>
      <w:r w:rsidRPr="009118AB">
        <w:rPr>
          <w:rFonts w:ascii="Times New Roman Italique" w:hAnsi="Times New Roman Italique"/>
          <w:i/>
          <w:iCs/>
          <w:spacing w:val="-2"/>
        </w:rPr>
        <w:t>Abs</w:t>
      </w:r>
      <w:r w:rsidR="00C2438B" w:rsidRPr="009118AB">
        <w:rPr>
          <w:rFonts w:ascii="Times New Roman Italique" w:hAnsi="Times New Roman Italique"/>
          <w:i/>
          <w:iCs/>
          <w:spacing w:val="-2"/>
        </w:rPr>
        <w:t>ätze</w:t>
      </w:r>
      <w:r w:rsidRPr="009118AB">
        <w:rPr>
          <w:rFonts w:ascii="Times New Roman Italique" w:hAnsi="Times New Roman Italique"/>
          <w:i/>
          <w:iCs/>
          <w:spacing w:val="-2"/>
        </w:rPr>
        <w:t> 2</w:t>
      </w:r>
      <w:r w:rsidR="00C2438B" w:rsidRPr="009118AB">
        <w:rPr>
          <w:rFonts w:ascii="Times New Roman Italique" w:hAnsi="Times New Roman Italique"/>
          <w:i/>
          <w:iCs/>
          <w:spacing w:val="-2"/>
        </w:rPr>
        <w:t xml:space="preserve"> und 3</w:t>
      </w:r>
      <w:r w:rsidRPr="009118AB">
        <w:rPr>
          <w:rFonts w:ascii="Times New Roman Italique" w:hAnsi="Times New Roman Italique"/>
          <w:i/>
          <w:iCs/>
          <w:spacing w:val="-2"/>
        </w:rPr>
        <w:t xml:space="preserve"> </w:t>
      </w:r>
      <w:r w:rsidR="001123B7" w:rsidRPr="009118AB">
        <w:rPr>
          <w:rFonts w:ascii="Times New Roman Italique" w:hAnsi="Times New Roman Italique"/>
          <w:i/>
          <w:iCs/>
          <w:spacing w:val="-2"/>
        </w:rPr>
        <w:t xml:space="preserve">aufgehoben durch </w:t>
      </w:r>
      <w:r w:rsidR="00D67EB8" w:rsidRPr="009118AB">
        <w:rPr>
          <w:rFonts w:ascii="Times New Roman Italique" w:hAnsi="Times New Roman Italique"/>
          <w:i/>
          <w:iCs/>
          <w:spacing w:val="-2"/>
        </w:rPr>
        <w:t>Art. </w:t>
      </w:r>
      <w:r w:rsidR="001123B7" w:rsidRPr="009118AB">
        <w:rPr>
          <w:rFonts w:ascii="Times New Roman Italique" w:hAnsi="Times New Roman Italique"/>
          <w:i/>
          <w:iCs/>
          <w:spacing w:val="-2"/>
        </w:rPr>
        <w:t xml:space="preserve">24 </w:t>
      </w:r>
      <w:r w:rsidR="00D67EB8" w:rsidRPr="009118AB">
        <w:rPr>
          <w:rFonts w:ascii="Times New Roman Italique" w:hAnsi="Times New Roman Italique"/>
          <w:i/>
          <w:iCs/>
          <w:spacing w:val="-2"/>
        </w:rPr>
        <w:t>Nr. </w:t>
      </w:r>
      <w:r w:rsidR="001123B7" w:rsidRPr="009118AB">
        <w:rPr>
          <w:rFonts w:ascii="Times New Roman Italique" w:hAnsi="Times New Roman Italique"/>
          <w:i/>
          <w:iCs/>
          <w:spacing w:val="-2"/>
        </w:rPr>
        <w:t xml:space="preserve">2 des </w:t>
      </w:r>
      <w:r w:rsidR="00DC1F9F" w:rsidRPr="009118AB">
        <w:rPr>
          <w:rFonts w:ascii="Times New Roman Italique" w:hAnsi="Times New Roman Italique"/>
          <w:i/>
          <w:iCs/>
          <w:spacing w:val="-2"/>
        </w:rPr>
        <w:t>G. vom 22. Dezember 2009 (I)</w:t>
      </w:r>
      <w:r w:rsidR="001123B7" w:rsidRPr="009118AB">
        <w:rPr>
          <w:rFonts w:ascii="Times New Roman Italique" w:hAnsi="Times New Roman Italique"/>
          <w:i/>
          <w:iCs/>
          <w:spacing w:val="-2"/>
        </w:rPr>
        <w:t xml:space="preserve"> (B.S. vom 31. Dezember 2009)</w:t>
      </w:r>
      <w:r w:rsidR="00D67EB8" w:rsidRPr="009118AB">
        <w:rPr>
          <w:rFonts w:ascii="Times New Roman Italique" w:hAnsi="Times New Roman Italique"/>
          <w:i/>
          <w:iCs/>
          <w:spacing w:val="-2"/>
        </w:rPr>
        <w:t> - </w:t>
      </w:r>
      <w:r w:rsidR="001123B7" w:rsidRPr="009118AB">
        <w:rPr>
          <w:rFonts w:ascii="Times New Roman Italique" w:hAnsi="Times New Roman Italique"/>
          <w:i/>
          <w:iCs/>
          <w:spacing w:val="-2"/>
        </w:rPr>
        <w:t>anwendbar ab dem Steuerjahr 2010</w:t>
      </w:r>
      <w:r w:rsidR="00FD68E8" w:rsidRPr="009118AB">
        <w:rPr>
          <w:rFonts w:ascii="Times New Roman Italique" w:hAnsi="Times New Roman Italique"/>
          <w:i/>
          <w:iCs/>
          <w:spacing w:val="-2"/>
        </w:rPr>
        <w:t> -]</w:t>
      </w:r>
    </w:p>
    <w:p w14:paraId="33D5FE56" w14:textId="77777777" w:rsidR="00477B8F" w:rsidRPr="009118AB" w:rsidRDefault="00477B8F" w:rsidP="00477B8F">
      <w:pPr>
        <w:autoSpaceDE w:val="0"/>
        <w:autoSpaceDN w:val="0"/>
        <w:adjustRightInd w:val="0"/>
        <w:jc w:val="both"/>
      </w:pPr>
    </w:p>
    <w:p w14:paraId="338AEA48" w14:textId="77777777" w:rsidR="00477B8F" w:rsidRPr="009118AB" w:rsidRDefault="00477B8F" w:rsidP="00477B8F">
      <w:pPr>
        <w:autoSpaceDE w:val="0"/>
        <w:autoSpaceDN w:val="0"/>
        <w:adjustRightInd w:val="0"/>
        <w:jc w:val="both"/>
      </w:pPr>
    </w:p>
    <w:p w14:paraId="734A991B" w14:textId="49078751"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151</w:t>
      </w:r>
      <w:r w:rsidR="00D67EB8" w:rsidRPr="009118AB">
        <w:t> - </w:t>
      </w:r>
      <w:r w:rsidRPr="009118AB">
        <w:t xml:space="preserve">[Beträgt das steuerpflichtige Einkommen 18.600 EUR oder mehr, </w:t>
      </w:r>
      <w:r w:rsidR="00B44982" w:rsidRPr="009118AB">
        <w:t xml:space="preserve">[werden die </w:t>
      </w:r>
      <w:r w:rsidR="001123B7" w:rsidRPr="009118AB">
        <w:t>[…]</w:t>
      </w:r>
      <w:r w:rsidR="00B44982" w:rsidRPr="009118AB">
        <w:t xml:space="preserve"> Ermä</w:t>
      </w:r>
      <w:r w:rsidR="00B44982" w:rsidRPr="009118AB">
        <w:softHyphen/>
        <w:t xml:space="preserve">ßigungen für Arbeitslosengeld] </w:t>
      </w:r>
      <w:r w:rsidRPr="009118AB">
        <w:t xml:space="preserve">nicht gewährt, außer wenn es sich um Arbeitslosengeld handelt, das Arbeitslosen zuerkannt wird, die am 1. Januar des Steuerjahres 58 Jahre oder älter sind, und das eine Alterszulage enthält. Liegt das steuerpflichtige Einkommen zwischen 14.900 EUR und 18.600 EUR, </w:t>
      </w:r>
      <w:r w:rsidR="00B44982" w:rsidRPr="009118AB">
        <w:t xml:space="preserve">[werden diese Ermäßigungen] </w:t>
      </w:r>
      <w:r w:rsidRPr="009118AB">
        <w:t>nur zu einem Teil gewährt, der entsprechend dem Verhältnis zwischen einerseits der Differenz zwischen 18.600 EUR und dem steuerpflichtigen Einkommen und andererseits der Differenz zwischen 18.600 EUR und 14.900 EUR festgelegt wird.]</w:t>
      </w:r>
    </w:p>
    <w:p w14:paraId="0FE08F8E" w14:textId="77777777" w:rsidR="00477B8F" w:rsidRPr="009118AB" w:rsidRDefault="00477B8F" w:rsidP="00477B8F">
      <w:pPr>
        <w:autoSpaceDE w:val="0"/>
        <w:autoSpaceDN w:val="0"/>
        <w:adjustRightInd w:val="0"/>
        <w:jc w:val="both"/>
      </w:pPr>
    </w:p>
    <w:p w14:paraId="34F0000C" w14:textId="4ED47D91" w:rsidR="003B5E60"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151 ersetzt durch </w:t>
      </w:r>
      <w:r w:rsidR="00D67EB8" w:rsidRPr="009118AB">
        <w:rPr>
          <w:i/>
          <w:iCs/>
        </w:rPr>
        <w:t>Art. </w:t>
      </w:r>
      <w:r w:rsidRPr="009118AB">
        <w:rPr>
          <w:i/>
          <w:iCs/>
        </w:rPr>
        <w:t>38 des G. vom 10. August 2001 (B.S. vom 20. September 2001)</w:t>
      </w:r>
      <w:r w:rsidR="00D67EB8" w:rsidRPr="009118AB">
        <w:rPr>
          <w:i/>
          <w:iCs/>
        </w:rPr>
        <w:t> - </w:t>
      </w:r>
      <w:r w:rsidRPr="009118AB">
        <w:rPr>
          <w:i/>
          <w:iCs/>
        </w:rPr>
        <w:t>in Kraft ab dem Steuerjahr 2005</w:t>
      </w:r>
      <w:r w:rsidR="00D67EB8" w:rsidRPr="009118AB">
        <w:rPr>
          <w:i/>
          <w:iCs/>
        </w:rPr>
        <w:t> - </w:t>
      </w:r>
      <w:r w:rsidR="00B44982" w:rsidRPr="009118AB">
        <w:rPr>
          <w:i/>
          <w:iCs/>
        </w:rPr>
        <w:t xml:space="preserve">und abgeändert durch </w:t>
      </w:r>
      <w:r w:rsidR="00D67EB8" w:rsidRPr="009118AB">
        <w:rPr>
          <w:i/>
          <w:iCs/>
        </w:rPr>
        <w:t>Art. </w:t>
      </w:r>
      <w:r w:rsidR="00B44982" w:rsidRPr="009118AB">
        <w:rPr>
          <w:i/>
          <w:iCs/>
        </w:rPr>
        <w:t xml:space="preserve">12 </w:t>
      </w:r>
      <w:r w:rsidR="00D67EB8" w:rsidRPr="009118AB">
        <w:rPr>
          <w:i/>
          <w:iCs/>
        </w:rPr>
        <w:t>Nr. </w:t>
      </w:r>
      <w:r w:rsidR="00B44982" w:rsidRPr="009118AB">
        <w:rPr>
          <w:i/>
          <w:iCs/>
        </w:rPr>
        <w:t>1 und 2 des G. vom 27. März 2009 (B.S. vom 7. April 2009)</w:t>
      </w:r>
      <w:r w:rsidR="00D67EB8" w:rsidRPr="009118AB">
        <w:rPr>
          <w:i/>
          <w:iCs/>
        </w:rPr>
        <w:t> - </w:t>
      </w:r>
      <w:r w:rsidR="00B44982" w:rsidRPr="009118AB">
        <w:rPr>
          <w:i/>
          <w:iCs/>
        </w:rPr>
        <w:t>anwendbar ab dem Steuerjahr 2010</w:t>
      </w:r>
      <w:r w:rsidR="00D67EB8" w:rsidRPr="009118AB">
        <w:rPr>
          <w:i/>
          <w:iCs/>
        </w:rPr>
        <w:t> - </w:t>
      </w:r>
      <w:r w:rsidR="001123B7" w:rsidRPr="009118AB">
        <w:rPr>
          <w:i/>
          <w:iCs/>
        </w:rPr>
        <w:t xml:space="preserve">und </w:t>
      </w:r>
      <w:r w:rsidR="00D67EB8" w:rsidRPr="009118AB">
        <w:rPr>
          <w:i/>
          <w:iCs/>
        </w:rPr>
        <w:t>Art. </w:t>
      </w:r>
      <w:r w:rsidR="001123B7" w:rsidRPr="009118AB">
        <w:rPr>
          <w:i/>
          <w:iCs/>
        </w:rPr>
        <w:t xml:space="preserve">25 des </w:t>
      </w:r>
      <w:r w:rsidR="00DC1F9F" w:rsidRPr="009118AB">
        <w:rPr>
          <w:i/>
          <w:iCs/>
        </w:rPr>
        <w:t>G. vom 22. Dezember 2009 (I)</w:t>
      </w:r>
      <w:r w:rsidR="001123B7" w:rsidRPr="009118AB">
        <w:rPr>
          <w:i/>
          <w:iCs/>
        </w:rPr>
        <w:t xml:space="preserve"> (B.S. vom 31. Dezember 2009)</w:t>
      </w:r>
      <w:r w:rsidR="00D67EB8" w:rsidRPr="009118AB">
        <w:rPr>
          <w:i/>
          <w:iCs/>
        </w:rPr>
        <w:t> - </w:t>
      </w:r>
      <w:r w:rsidR="001123B7" w:rsidRPr="009118AB">
        <w:rPr>
          <w:i/>
          <w:iCs/>
        </w:rPr>
        <w:t>anwendbar ab dem Steuerjahr 2010</w:t>
      </w:r>
      <w:r w:rsidR="00FD68E8" w:rsidRPr="009118AB">
        <w:rPr>
          <w:i/>
          <w:iCs/>
        </w:rPr>
        <w:t> -]</w:t>
      </w:r>
    </w:p>
    <w:p w14:paraId="763E8E71" w14:textId="77777777" w:rsidR="00F61280" w:rsidRPr="009118AB" w:rsidRDefault="00F61280" w:rsidP="00477B8F">
      <w:pPr>
        <w:autoSpaceDE w:val="0"/>
        <w:autoSpaceDN w:val="0"/>
        <w:adjustRightInd w:val="0"/>
        <w:jc w:val="both"/>
      </w:pPr>
    </w:p>
    <w:p w14:paraId="58EB8D32" w14:textId="77777777" w:rsidR="00F61280" w:rsidRPr="009118AB" w:rsidRDefault="00F61280" w:rsidP="00477B8F">
      <w:pPr>
        <w:autoSpaceDE w:val="0"/>
        <w:autoSpaceDN w:val="0"/>
        <w:adjustRightInd w:val="0"/>
        <w:jc w:val="both"/>
      </w:pPr>
    </w:p>
    <w:p w14:paraId="6D68FA05" w14:textId="2C8FAC33" w:rsidR="0005083B" w:rsidRPr="009118AB" w:rsidRDefault="0005083B" w:rsidP="00477B8F">
      <w:pPr>
        <w:autoSpaceDE w:val="0"/>
        <w:autoSpaceDN w:val="0"/>
        <w:adjustRightInd w:val="0"/>
        <w:jc w:val="both"/>
      </w:pPr>
      <w:r w:rsidRPr="009118AB">
        <w:tab/>
        <w:t>[</w:t>
      </w:r>
      <w:r w:rsidR="00D67EB8" w:rsidRPr="009118AB">
        <w:rPr>
          <w:b/>
        </w:rPr>
        <w:t>Art. </w:t>
      </w:r>
      <w:r w:rsidRPr="009118AB">
        <w:rPr>
          <w:b/>
        </w:rPr>
        <w:t>151/1</w:t>
      </w:r>
      <w:r w:rsidR="00D67EB8" w:rsidRPr="009118AB">
        <w:t> - </w:t>
      </w:r>
      <w:r w:rsidRPr="009118AB">
        <w:t xml:space="preserve">Die ergänzenden Ermäßigungen für Pensionen und andere Ersatzeinkünfte </w:t>
      </w:r>
      <w:r w:rsidR="0041690E" w:rsidRPr="009118AB">
        <w:t>[</w:t>
      </w:r>
      <w:r w:rsidR="0041690E" w:rsidRPr="009118AB">
        <w:rPr>
          <w:rFonts w:eastAsia="Calibri"/>
          <w:kern w:val="2"/>
          <w:szCs w:val="22"/>
          <w:lang w:eastAsia="en-US"/>
          <w14:ligatures w14:val="standardContextual"/>
        </w:rPr>
        <w:t>und für Arbeitslosengeld</w:t>
      </w:r>
      <w:r w:rsidR="0041690E" w:rsidRPr="009118AB">
        <w:t xml:space="preserve">] </w:t>
      </w:r>
      <w:r w:rsidRPr="009118AB">
        <w:t>werden nicht gewährt, wenn das steuerpflichtige Einkommen 14.900 EUR oder mehr beträgt. Liegt das steuerpflichtige Einkommen zwischen 10.160 EUR und 14.900 EUR, werden diese Ermäßigungen nur zu einem Teil gewährt, der entsprechend dem Verhältnis zwischen einerseits der Differenz zwischen 14.900 EUR und dem steuerpflichtigen Einkommen und andererseits der Differenz zwischen 14.900 EUR und 10.160 EUR festgelegt wird.]</w:t>
      </w:r>
    </w:p>
    <w:p w14:paraId="0F360F9D" w14:textId="77777777" w:rsidR="0005083B" w:rsidRPr="009118AB" w:rsidRDefault="0005083B" w:rsidP="00477B8F">
      <w:pPr>
        <w:autoSpaceDE w:val="0"/>
        <w:autoSpaceDN w:val="0"/>
        <w:adjustRightInd w:val="0"/>
        <w:jc w:val="both"/>
      </w:pPr>
    </w:p>
    <w:p w14:paraId="2801BAA0" w14:textId="2300A905" w:rsidR="0005083B" w:rsidRPr="009118AB" w:rsidRDefault="0005083B" w:rsidP="00477B8F">
      <w:pPr>
        <w:autoSpaceDE w:val="0"/>
        <w:autoSpaceDN w:val="0"/>
        <w:adjustRightInd w:val="0"/>
        <w:jc w:val="both"/>
        <w:rPr>
          <w:i/>
        </w:rPr>
      </w:pPr>
      <w:r w:rsidRPr="009118AB">
        <w:rPr>
          <w:i/>
        </w:rPr>
        <w:t>[</w:t>
      </w:r>
      <w:r w:rsidR="00D67EB8" w:rsidRPr="009118AB">
        <w:rPr>
          <w:i/>
        </w:rPr>
        <w:t>Art. </w:t>
      </w:r>
      <w:r w:rsidRPr="009118AB">
        <w:rPr>
          <w:i/>
        </w:rPr>
        <w:t xml:space="preserve">151/1 eingefügt durch </w:t>
      </w:r>
      <w:r w:rsidR="00D67EB8" w:rsidRPr="009118AB">
        <w:rPr>
          <w:i/>
        </w:rPr>
        <w:t>Art. </w:t>
      </w:r>
      <w:r w:rsidRPr="009118AB">
        <w:rPr>
          <w:i/>
        </w:rPr>
        <w:t>14 des G. vom 23. März 2</w:t>
      </w:r>
      <w:r w:rsidR="00E951F6" w:rsidRPr="009118AB">
        <w:rPr>
          <w:i/>
        </w:rPr>
        <w:t>019 (B.S. vom 5. April 2019)</w:t>
      </w:r>
      <w:r w:rsidR="00D67EB8" w:rsidRPr="009118AB">
        <w:rPr>
          <w:i/>
        </w:rPr>
        <w:t> - </w:t>
      </w:r>
      <w:r w:rsidRPr="009118AB">
        <w:rPr>
          <w:i/>
        </w:rPr>
        <w:t>anwendbar ab dem Steuerjahr 2020</w:t>
      </w:r>
      <w:r w:rsidR="00D67EB8" w:rsidRPr="009118AB">
        <w:rPr>
          <w:i/>
        </w:rPr>
        <w:t> - </w:t>
      </w:r>
      <w:r w:rsidR="001761B1" w:rsidRPr="009118AB">
        <w:rPr>
          <w:i/>
        </w:rPr>
        <w:t xml:space="preserve">und abgeändert durch </w:t>
      </w:r>
      <w:r w:rsidR="00D67EB8" w:rsidRPr="009118AB">
        <w:rPr>
          <w:i/>
        </w:rPr>
        <w:t>Art. </w:t>
      </w:r>
      <w:r w:rsidR="001761B1" w:rsidRPr="009118AB">
        <w:rPr>
          <w:i/>
        </w:rPr>
        <w:t xml:space="preserve">5 </w:t>
      </w:r>
      <w:r w:rsidR="001761B1" w:rsidRPr="009118AB">
        <w:rPr>
          <w:i/>
          <w:iCs/>
        </w:rPr>
        <w:t>des G. vom 17. März 2022 (B.S. vom 25. März 2022)</w:t>
      </w:r>
      <w:r w:rsidR="00D67EB8" w:rsidRPr="009118AB">
        <w:rPr>
          <w:i/>
          <w:iCs/>
        </w:rPr>
        <w:t> - </w:t>
      </w:r>
      <w:r w:rsidR="001761B1" w:rsidRPr="009118AB">
        <w:rPr>
          <w:i/>
          <w:iCs/>
        </w:rPr>
        <w:t>anwendbar ab dem Steuerjahr 2023</w:t>
      </w:r>
      <w:r w:rsidR="00FD68E8" w:rsidRPr="009118AB">
        <w:rPr>
          <w:i/>
          <w:iCs/>
        </w:rPr>
        <w:t> -]</w:t>
      </w:r>
    </w:p>
    <w:p w14:paraId="486E3BDC" w14:textId="77777777" w:rsidR="0005083B" w:rsidRPr="009118AB" w:rsidRDefault="0005083B" w:rsidP="00477B8F">
      <w:pPr>
        <w:autoSpaceDE w:val="0"/>
        <w:autoSpaceDN w:val="0"/>
        <w:adjustRightInd w:val="0"/>
        <w:jc w:val="both"/>
        <w:rPr>
          <w:i/>
        </w:rPr>
      </w:pPr>
    </w:p>
    <w:p w14:paraId="0F3CCBF9" w14:textId="77777777" w:rsidR="0005083B" w:rsidRPr="009118AB" w:rsidRDefault="0005083B" w:rsidP="00477B8F">
      <w:pPr>
        <w:autoSpaceDE w:val="0"/>
        <w:autoSpaceDN w:val="0"/>
        <w:adjustRightInd w:val="0"/>
        <w:jc w:val="both"/>
      </w:pPr>
    </w:p>
    <w:p w14:paraId="5F9492A6" w14:textId="6A2D7E09" w:rsidR="00477B8F" w:rsidRPr="009118AB" w:rsidRDefault="00477B8F" w:rsidP="00477B8F">
      <w:pPr>
        <w:autoSpaceDE w:val="0"/>
        <w:autoSpaceDN w:val="0"/>
        <w:adjustRightInd w:val="0"/>
        <w:jc w:val="both"/>
        <w:rPr>
          <w:spacing w:val="-4"/>
        </w:rPr>
      </w:pPr>
      <w:r w:rsidRPr="009118AB">
        <w:rPr>
          <w:spacing w:val="-4"/>
        </w:rPr>
        <w:tab/>
      </w:r>
      <w:r w:rsidR="00D67EB8" w:rsidRPr="009118AB">
        <w:rPr>
          <w:b/>
          <w:bCs/>
          <w:spacing w:val="-4"/>
        </w:rPr>
        <w:t>Art. </w:t>
      </w:r>
      <w:r w:rsidRPr="009118AB">
        <w:rPr>
          <w:b/>
          <w:bCs/>
          <w:spacing w:val="-4"/>
        </w:rPr>
        <w:t>152</w:t>
      </w:r>
      <w:r w:rsidR="00D67EB8" w:rsidRPr="009118AB">
        <w:rPr>
          <w:spacing w:val="-4"/>
        </w:rPr>
        <w:t> - </w:t>
      </w:r>
      <w:r w:rsidRPr="009118AB">
        <w:rPr>
          <w:spacing w:val="-4"/>
        </w:rPr>
        <w:t xml:space="preserve">[Beträgt das steuerpflichtige Einkommen 29.800 EUR oder mehr, werden nicht </w:t>
      </w:r>
      <w:r w:rsidR="00903D1D" w:rsidRPr="009118AB">
        <w:rPr>
          <w:spacing w:val="-4"/>
        </w:rPr>
        <w:t>[</w:t>
      </w:r>
      <w:r w:rsidRPr="009118AB">
        <w:rPr>
          <w:spacing w:val="-4"/>
        </w:rPr>
        <w:t xml:space="preserve">in </w:t>
      </w:r>
      <w:r w:rsidR="0005083B" w:rsidRPr="009118AB">
        <w:rPr>
          <w:spacing w:val="-4"/>
        </w:rPr>
        <w:t xml:space="preserve">den </w:t>
      </w:r>
      <w:r w:rsidRPr="009118AB">
        <w:rPr>
          <w:spacing w:val="-4"/>
        </w:rPr>
        <w:t>Artikel</w:t>
      </w:r>
      <w:r w:rsidR="0005083B" w:rsidRPr="009118AB">
        <w:rPr>
          <w:spacing w:val="-4"/>
        </w:rPr>
        <w:t>n</w:t>
      </w:r>
      <w:r w:rsidRPr="009118AB">
        <w:rPr>
          <w:spacing w:val="-4"/>
        </w:rPr>
        <w:t xml:space="preserve"> 151 </w:t>
      </w:r>
      <w:r w:rsidR="0005083B" w:rsidRPr="009118AB">
        <w:rPr>
          <w:spacing w:val="-4"/>
        </w:rPr>
        <w:t xml:space="preserve">und 151/1] </w:t>
      </w:r>
      <w:r w:rsidRPr="009118AB">
        <w:rPr>
          <w:spacing w:val="-4"/>
        </w:rPr>
        <w:t>erwähnte Ermäßigungen nur zu einem Drittel gewährt. Liegt das steuer</w:t>
      </w:r>
      <w:r w:rsidR="001123B7" w:rsidRPr="009118AB">
        <w:rPr>
          <w:spacing w:val="-4"/>
        </w:rPr>
        <w:softHyphen/>
      </w:r>
      <w:r w:rsidRPr="009118AB">
        <w:rPr>
          <w:spacing w:val="-4"/>
        </w:rPr>
        <w:t>pflich</w:t>
      </w:r>
      <w:r w:rsidR="001123B7" w:rsidRPr="009118AB">
        <w:rPr>
          <w:spacing w:val="-4"/>
        </w:rPr>
        <w:softHyphen/>
      </w:r>
      <w:r w:rsidRPr="009118AB">
        <w:rPr>
          <w:spacing w:val="-4"/>
        </w:rPr>
        <w:t>tige Einkommen zwischen 14.900 EUR und 29.800 EUR wird diese Grenze von einem Drittel um einen Teil der bleibenden zwei Drittel erhöht, der entsprechend dem Verhältnis zwis</w:t>
      </w:r>
      <w:r w:rsidR="001123B7" w:rsidRPr="009118AB">
        <w:rPr>
          <w:spacing w:val="-4"/>
        </w:rPr>
        <w:softHyphen/>
      </w:r>
      <w:r w:rsidRPr="009118AB">
        <w:rPr>
          <w:spacing w:val="-4"/>
        </w:rPr>
        <w:t>chen einerseits der Differenz zwischen 29.800 EUR und dem steuerpflichtigen Ein</w:t>
      </w:r>
      <w:r w:rsidR="001123B7" w:rsidRPr="009118AB">
        <w:rPr>
          <w:spacing w:val="-4"/>
        </w:rPr>
        <w:softHyphen/>
      </w:r>
      <w:r w:rsidRPr="009118AB">
        <w:rPr>
          <w:spacing w:val="-4"/>
        </w:rPr>
        <w:t>kommen und andererseits der Differenz zwischen 29.800 EUR und 14.900 EUR festgelegt wird.]</w:t>
      </w:r>
    </w:p>
    <w:p w14:paraId="61CAE230" w14:textId="77777777" w:rsidR="00477B8F" w:rsidRPr="009118AB" w:rsidRDefault="00477B8F" w:rsidP="00477B8F">
      <w:pPr>
        <w:autoSpaceDE w:val="0"/>
        <w:autoSpaceDN w:val="0"/>
        <w:adjustRightInd w:val="0"/>
        <w:jc w:val="both"/>
      </w:pPr>
    </w:p>
    <w:p w14:paraId="3F543D41" w14:textId="01785755"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152 ersetzt durch </w:t>
      </w:r>
      <w:r w:rsidR="00D67EB8" w:rsidRPr="009118AB">
        <w:rPr>
          <w:i/>
          <w:iCs/>
        </w:rPr>
        <w:t>Art. </w:t>
      </w:r>
      <w:r w:rsidRPr="009118AB">
        <w:rPr>
          <w:i/>
          <w:iCs/>
        </w:rPr>
        <w:t>39 des G. vom 10. August 2001 (B.S. vom 20. September 2001)</w:t>
      </w:r>
      <w:r w:rsidR="00D67EB8" w:rsidRPr="009118AB">
        <w:rPr>
          <w:i/>
          <w:iCs/>
        </w:rPr>
        <w:t> - </w:t>
      </w:r>
      <w:r w:rsidRPr="009118AB">
        <w:rPr>
          <w:i/>
          <w:iCs/>
        </w:rPr>
        <w:t>in Kraft ab dem Steuerjahr 2005</w:t>
      </w:r>
      <w:r w:rsidR="00D67EB8" w:rsidRPr="009118AB">
        <w:rPr>
          <w:i/>
          <w:iCs/>
        </w:rPr>
        <w:t> - </w:t>
      </w:r>
      <w:r w:rsidR="0005083B" w:rsidRPr="009118AB">
        <w:rPr>
          <w:i/>
          <w:iCs/>
        </w:rPr>
        <w:t xml:space="preserve">und abgeändert durch </w:t>
      </w:r>
      <w:r w:rsidR="00D67EB8" w:rsidRPr="009118AB">
        <w:rPr>
          <w:i/>
          <w:iCs/>
        </w:rPr>
        <w:t>Art. </w:t>
      </w:r>
      <w:r w:rsidR="0005083B" w:rsidRPr="009118AB">
        <w:rPr>
          <w:i/>
          <w:iCs/>
        </w:rPr>
        <w:t>15</w:t>
      </w:r>
      <w:r w:rsidR="0005083B" w:rsidRPr="009118AB">
        <w:rPr>
          <w:i/>
        </w:rPr>
        <w:t xml:space="preserve"> des G. vom 23. März 2</w:t>
      </w:r>
      <w:r w:rsidR="00E951F6" w:rsidRPr="009118AB">
        <w:rPr>
          <w:i/>
        </w:rPr>
        <w:t>019 (B.S. vom 5. April 2019)</w:t>
      </w:r>
      <w:r w:rsidR="00D67EB8" w:rsidRPr="009118AB">
        <w:rPr>
          <w:i/>
        </w:rPr>
        <w:t> - </w:t>
      </w:r>
      <w:r w:rsidR="0005083B" w:rsidRPr="009118AB">
        <w:rPr>
          <w:i/>
        </w:rPr>
        <w:t>anwendbar ab dem Steuerjahr 2020</w:t>
      </w:r>
      <w:r w:rsidR="00FD68E8" w:rsidRPr="009118AB">
        <w:rPr>
          <w:i/>
        </w:rPr>
        <w:t> -]</w:t>
      </w:r>
    </w:p>
    <w:p w14:paraId="1DBEBD15" w14:textId="77777777" w:rsidR="0004051F" w:rsidRPr="009118AB" w:rsidRDefault="0004051F" w:rsidP="00477B8F">
      <w:pPr>
        <w:autoSpaceDE w:val="0"/>
        <w:autoSpaceDN w:val="0"/>
        <w:adjustRightInd w:val="0"/>
        <w:jc w:val="both"/>
        <w:rPr>
          <w:i/>
          <w:iCs/>
        </w:rPr>
      </w:pPr>
    </w:p>
    <w:p w14:paraId="396899A2" w14:textId="77777777" w:rsidR="0004051F" w:rsidRPr="009118AB" w:rsidRDefault="0004051F" w:rsidP="00477B8F">
      <w:pPr>
        <w:autoSpaceDE w:val="0"/>
        <w:autoSpaceDN w:val="0"/>
        <w:adjustRightInd w:val="0"/>
        <w:jc w:val="both"/>
      </w:pPr>
    </w:p>
    <w:p w14:paraId="141CA595" w14:textId="77777777" w:rsidR="0028505A" w:rsidRPr="009118AB" w:rsidRDefault="0028505A">
      <w:r w:rsidRPr="009118AB">
        <w:br w:type="page"/>
      </w:r>
    </w:p>
    <w:p w14:paraId="6C7384BD" w14:textId="4635AC37" w:rsidR="005E058E" w:rsidRPr="009118AB" w:rsidRDefault="00DB6F38" w:rsidP="00E606D0">
      <w:pPr>
        <w:jc w:val="both"/>
      </w:pPr>
      <w:r w:rsidRPr="009118AB">
        <w:lastRenderedPageBreak/>
        <w:tab/>
      </w:r>
      <w:r w:rsidR="004E4B0C" w:rsidRPr="009118AB">
        <w:t xml:space="preserve"> </w:t>
      </w:r>
      <w:r w:rsidR="008F5DCA" w:rsidRPr="009118AB">
        <w:t>[</w:t>
      </w:r>
      <w:r w:rsidR="00D67EB8" w:rsidRPr="009118AB">
        <w:rPr>
          <w:b/>
        </w:rPr>
        <w:t>Art. </w:t>
      </w:r>
      <w:r w:rsidR="008F5DCA" w:rsidRPr="009118AB">
        <w:rPr>
          <w:b/>
        </w:rPr>
        <w:t>152</w:t>
      </w:r>
      <w:r w:rsidR="008F5DCA" w:rsidRPr="009118AB">
        <w:rPr>
          <w:b/>
          <w:i/>
        </w:rPr>
        <w:t>bis</w:t>
      </w:r>
      <w:r w:rsidR="00D67EB8" w:rsidRPr="009118AB">
        <w:t> - </w:t>
      </w:r>
      <w:r w:rsidR="005E058E" w:rsidRPr="009118AB">
        <w:t>[...]]</w:t>
      </w:r>
    </w:p>
    <w:p w14:paraId="26B83DDF" w14:textId="77777777" w:rsidR="005E058E" w:rsidRPr="009118AB" w:rsidRDefault="005E058E" w:rsidP="005E058E">
      <w:pPr>
        <w:autoSpaceDE w:val="0"/>
        <w:autoSpaceDN w:val="0"/>
        <w:adjustRightInd w:val="0"/>
        <w:jc w:val="both"/>
      </w:pPr>
    </w:p>
    <w:p w14:paraId="052A6D8E" w14:textId="1F96176E" w:rsidR="005E058E" w:rsidRPr="009118AB" w:rsidRDefault="005E058E" w:rsidP="005E058E">
      <w:pPr>
        <w:autoSpaceDE w:val="0"/>
        <w:autoSpaceDN w:val="0"/>
        <w:adjustRightInd w:val="0"/>
        <w:jc w:val="both"/>
        <w:rPr>
          <w:rFonts w:ascii="Times New Roman Italique" w:hAnsi="Times New Roman Italique"/>
          <w:i/>
          <w:iCs/>
          <w:spacing w:val="-2"/>
        </w:rPr>
      </w:pPr>
      <w:r w:rsidRPr="009118AB">
        <w:rPr>
          <w:rFonts w:ascii="Times New Roman Italique" w:hAnsi="Times New Roman Italique"/>
          <w:i/>
          <w:spacing w:val="-2"/>
        </w:rPr>
        <w:t>[</w:t>
      </w:r>
      <w:r w:rsidR="00D67EB8" w:rsidRPr="009118AB">
        <w:rPr>
          <w:rFonts w:ascii="Times New Roman Italique" w:hAnsi="Times New Roman Italique"/>
          <w:i/>
          <w:spacing w:val="-2"/>
        </w:rPr>
        <w:t>Art. </w:t>
      </w:r>
      <w:r w:rsidRPr="009118AB">
        <w:rPr>
          <w:rFonts w:ascii="Times New Roman Italique" w:hAnsi="Times New Roman Italique"/>
          <w:i/>
          <w:spacing w:val="-2"/>
        </w:rPr>
        <w:t xml:space="preserve">152bis eingefügt durch </w:t>
      </w:r>
      <w:r w:rsidR="00D67EB8" w:rsidRPr="009118AB">
        <w:rPr>
          <w:rFonts w:ascii="Times New Roman Italique" w:hAnsi="Times New Roman Italique"/>
          <w:i/>
          <w:spacing w:val="-2"/>
        </w:rPr>
        <w:t>Art. </w:t>
      </w:r>
      <w:r w:rsidRPr="009118AB">
        <w:rPr>
          <w:rFonts w:ascii="Times New Roman Italique" w:hAnsi="Times New Roman Italique"/>
          <w:i/>
          <w:spacing w:val="-2"/>
        </w:rPr>
        <w:t xml:space="preserve">65 des G. vom 8. Juni </w:t>
      </w:r>
      <w:r w:rsidR="00B3148A" w:rsidRPr="009118AB">
        <w:rPr>
          <w:rFonts w:ascii="Times New Roman Italique" w:hAnsi="Times New Roman Italique"/>
          <w:i/>
          <w:spacing w:val="-2"/>
        </w:rPr>
        <w:t>2008 (B.S. vom 16. Juni 2008)</w:t>
      </w:r>
      <w:r w:rsidR="00D67EB8" w:rsidRPr="009118AB">
        <w:rPr>
          <w:rFonts w:ascii="Times New Roman Italique" w:hAnsi="Times New Roman Italique"/>
          <w:i/>
          <w:spacing w:val="-2"/>
        </w:rPr>
        <w:t> - </w:t>
      </w:r>
      <w:r w:rsidRPr="009118AB">
        <w:rPr>
          <w:rFonts w:ascii="Times New Roman Italique" w:hAnsi="Times New Roman Italique"/>
          <w:i/>
          <w:spacing w:val="-2"/>
        </w:rPr>
        <w:t>anwendbar ab dem Steuerjahr 2009</w:t>
      </w:r>
      <w:r w:rsidR="00D67EB8" w:rsidRPr="009118AB">
        <w:rPr>
          <w:rFonts w:ascii="Times New Roman Italique" w:hAnsi="Times New Roman Italique"/>
          <w:i/>
          <w:spacing w:val="-2"/>
        </w:rPr>
        <w:t> - </w:t>
      </w:r>
      <w:r w:rsidRPr="009118AB">
        <w:rPr>
          <w:rFonts w:ascii="Times New Roman Italique" w:hAnsi="Times New Roman Italique"/>
          <w:i/>
          <w:iCs/>
          <w:spacing w:val="-2"/>
        </w:rPr>
        <w:t xml:space="preserve">und aufgehoben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151 des G. vom 26. Dezember 2015 (II) (B.S. vom 30. Dezember 2015)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2020</w:t>
      </w:r>
      <w:r w:rsidR="00FD68E8" w:rsidRPr="009118AB">
        <w:rPr>
          <w:rFonts w:ascii="Times New Roman Italique" w:hAnsi="Times New Roman Italique"/>
          <w:i/>
          <w:iCs/>
          <w:spacing w:val="-2"/>
        </w:rPr>
        <w:t> -]</w:t>
      </w:r>
    </w:p>
    <w:p w14:paraId="47B99662" w14:textId="77777777" w:rsidR="008F5DCA" w:rsidRPr="009118AB" w:rsidRDefault="008F5DCA" w:rsidP="00477B8F">
      <w:pPr>
        <w:autoSpaceDE w:val="0"/>
        <w:autoSpaceDN w:val="0"/>
        <w:adjustRightInd w:val="0"/>
        <w:jc w:val="both"/>
      </w:pPr>
    </w:p>
    <w:p w14:paraId="35CB177A" w14:textId="77777777" w:rsidR="008F5DCA" w:rsidRPr="009118AB" w:rsidRDefault="008F5DCA" w:rsidP="00477B8F">
      <w:pPr>
        <w:autoSpaceDE w:val="0"/>
        <w:autoSpaceDN w:val="0"/>
        <w:adjustRightInd w:val="0"/>
        <w:jc w:val="both"/>
      </w:pPr>
    </w:p>
    <w:p w14:paraId="4B50700C" w14:textId="4C4C59C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153</w:t>
      </w:r>
      <w:r w:rsidR="00D67EB8" w:rsidRPr="009118AB">
        <w:t> - </w:t>
      </w:r>
      <w:r w:rsidRPr="009118AB">
        <w:t xml:space="preserve">Keine der in vorliegendem Unterabschnitt vorgesehenen Ermäßigungen darf den Anteil </w:t>
      </w:r>
      <w:r w:rsidR="0065700B" w:rsidRPr="009118AB">
        <w:t xml:space="preserve">[der gemäß den Artikeln 130 bis 145 bestimmten Steuer] </w:t>
      </w:r>
      <w:r w:rsidRPr="009118AB">
        <w:t>in Bezug auf die Einkünfte, aufgrund deren sie gewährt wird, übersteigen.</w:t>
      </w:r>
    </w:p>
    <w:p w14:paraId="67E75632" w14:textId="77777777" w:rsidR="00477B8F" w:rsidRPr="009118AB" w:rsidRDefault="00477B8F" w:rsidP="00477B8F">
      <w:pPr>
        <w:autoSpaceDE w:val="0"/>
        <w:autoSpaceDN w:val="0"/>
        <w:adjustRightInd w:val="0"/>
        <w:jc w:val="both"/>
      </w:pPr>
    </w:p>
    <w:p w14:paraId="30E2B433" w14:textId="0E273990" w:rsidR="0065700B" w:rsidRPr="009118AB" w:rsidRDefault="0065700B" w:rsidP="00477B8F">
      <w:pPr>
        <w:autoSpaceDE w:val="0"/>
        <w:autoSpaceDN w:val="0"/>
        <w:adjustRightInd w:val="0"/>
        <w:jc w:val="both"/>
        <w:rPr>
          <w:i/>
        </w:rPr>
      </w:pPr>
      <w:r w:rsidRPr="009118AB">
        <w:rPr>
          <w:i/>
        </w:rPr>
        <w:t>[</w:t>
      </w:r>
      <w:r w:rsidR="00D67EB8" w:rsidRPr="009118AB">
        <w:rPr>
          <w:i/>
        </w:rPr>
        <w:t>Art. </w:t>
      </w:r>
      <w:r w:rsidRPr="009118AB">
        <w:rPr>
          <w:i/>
        </w:rPr>
        <w:t xml:space="preserve">153 abgeändert durch </w:t>
      </w:r>
      <w:r w:rsidR="00D67EB8" w:rsidRPr="009118AB">
        <w:rPr>
          <w:i/>
        </w:rPr>
        <w:t>Art. </w:t>
      </w:r>
      <w:r w:rsidR="006E62C1" w:rsidRPr="009118AB">
        <w:rPr>
          <w:i/>
        </w:rPr>
        <w:t>57 des G. vom 8. </w:t>
      </w:r>
      <w:r w:rsidRPr="009118AB">
        <w:rPr>
          <w:i/>
        </w:rPr>
        <w:t>Mai</w:t>
      </w:r>
      <w:r w:rsidR="006E62C1" w:rsidRPr="009118AB">
        <w:rPr>
          <w:i/>
        </w:rPr>
        <w:t> 2014 (B.S. vom 28. Mai 2014)</w:t>
      </w:r>
      <w:r w:rsidR="00D67EB8" w:rsidRPr="009118AB">
        <w:rPr>
          <w:i/>
        </w:rPr>
        <w:t> - </w:t>
      </w:r>
      <w:r w:rsidRPr="009118AB">
        <w:rPr>
          <w:i/>
        </w:rPr>
        <w:t>anwendbar ab dem Steuerjahr 2015</w:t>
      </w:r>
      <w:r w:rsidR="00FD68E8" w:rsidRPr="009118AB">
        <w:rPr>
          <w:i/>
        </w:rPr>
        <w:t> -]</w:t>
      </w:r>
    </w:p>
    <w:p w14:paraId="0427E1EC" w14:textId="77777777" w:rsidR="0065700B" w:rsidRPr="009118AB" w:rsidRDefault="0065700B" w:rsidP="00477B8F">
      <w:pPr>
        <w:autoSpaceDE w:val="0"/>
        <w:autoSpaceDN w:val="0"/>
        <w:adjustRightInd w:val="0"/>
        <w:jc w:val="both"/>
        <w:rPr>
          <w:i/>
        </w:rPr>
      </w:pPr>
    </w:p>
    <w:p w14:paraId="0912C29A" w14:textId="77777777" w:rsidR="00477B8F" w:rsidRPr="009118AB" w:rsidRDefault="00477B8F" w:rsidP="00D81EA7">
      <w:pPr>
        <w:autoSpaceDE w:val="0"/>
        <w:autoSpaceDN w:val="0"/>
        <w:adjustRightInd w:val="0"/>
        <w:jc w:val="both"/>
      </w:pPr>
    </w:p>
    <w:p w14:paraId="74C9E0D5" w14:textId="36F870EB" w:rsidR="00D634EC" w:rsidRPr="00064F9D" w:rsidRDefault="00477B8F" w:rsidP="00064F9D">
      <w:pPr>
        <w:ind w:firstLine="708"/>
        <w:jc w:val="both"/>
      </w:pPr>
      <w:r w:rsidRPr="009118AB">
        <w:tab/>
      </w:r>
      <w:r w:rsidR="00D67EB8" w:rsidRPr="009118AB">
        <w:rPr>
          <w:b/>
          <w:bCs/>
        </w:rPr>
        <w:t>Art. </w:t>
      </w:r>
      <w:r w:rsidRPr="009118AB">
        <w:rPr>
          <w:b/>
          <w:bCs/>
        </w:rPr>
        <w:t>154</w:t>
      </w:r>
      <w:r w:rsidR="00D67EB8" w:rsidRPr="009118AB">
        <w:t> - </w:t>
      </w:r>
      <w:r w:rsidR="00D634EC" w:rsidRPr="00064F9D">
        <w:t>[§ 1 - [Eine zusätzliche Ermäßigung wird gewährt, wenn die Gesamtheit der Nettoeinkünfte sich ausschließlich zusammensetzt aus:</w:t>
      </w:r>
    </w:p>
    <w:p w14:paraId="7FC34E93" w14:textId="77777777" w:rsidR="00D634EC" w:rsidRPr="00064F9D" w:rsidRDefault="00D634EC" w:rsidP="00064F9D">
      <w:pPr>
        <w:autoSpaceDE w:val="0"/>
        <w:autoSpaceDN w:val="0"/>
        <w:adjustRightInd w:val="0"/>
        <w:ind w:firstLine="709"/>
        <w:jc w:val="both"/>
      </w:pPr>
    </w:p>
    <w:p w14:paraId="02AA5FB5" w14:textId="77777777" w:rsidR="00D634EC" w:rsidRPr="00064F9D" w:rsidRDefault="00D634EC" w:rsidP="00064F9D">
      <w:pPr>
        <w:autoSpaceDE w:val="0"/>
        <w:autoSpaceDN w:val="0"/>
        <w:adjustRightInd w:val="0"/>
        <w:ind w:firstLine="709"/>
        <w:jc w:val="both"/>
      </w:pPr>
      <w:r w:rsidRPr="00064F9D">
        <w:t>1. Arbeitslosengeld,</w:t>
      </w:r>
    </w:p>
    <w:p w14:paraId="5D26516F" w14:textId="77777777" w:rsidR="00D634EC" w:rsidRPr="00064F9D" w:rsidRDefault="00D634EC" w:rsidP="00064F9D">
      <w:pPr>
        <w:autoSpaceDE w:val="0"/>
        <w:autoSpaceDN w:val="0"/>
        <w:adjustRightInd w:val="0"/>
        <w:ind w:firstLine="709"/>
        <w:jc w:val="both"/>
      </w:pPr>
    </w:p>
    <w:p w14:paraId="220EEF63" w14:textId="77777777" w:rsidR="00D634EC" w:rsidRPr="00064F9D" w:rsidRDefault="00D634EC" w:rsidP="00064F9D">
      <w:pPr>
        <w:autoSpaceDE w:val="0"/>
        <w:autoSpaceDN w:val="0"/>
        <w:adjustRightInd w:val="0"/>
        <w:ind w:firstLine="709"/>
        <w:jc w:val="both"/>
      </w:pPr>
      <w:r w:rsidRPr="00064F9D">
        <w:t>2. einerseits Arbeitslosengeld und andererseits Pensionen, gesetzlichen Krankheits- und Invaliditätsentschädigungen oder anderen Ersatzeinkünften.]</w:t>
      </w:r>
    </w:p>
    <w:p w14:paraId="32026E33" w14:textId="77777777" w:rsidR="00D634EC" w:rsidRPr="00064F9D" w:rsidRDefault="00D634EC" w:rsidP="00064F9D">
      <w:pPr>
        <w:autoSpaceDE w:val="0"/>
        <w:autoSpaceDN w:val="0"/>
        <w:adjustRightInd w:val="0"/>
        <w:ind w:firstLine="709"/>
        <w:jc w:val="both"/>
      </w:pPr>
    </w:p>
    <w:p w14:paraId="224A6E13" w14:textId="77777777" w:rsidR="00D634EC" w:rsidRPr="00064F9D" w:rsidRDefault="00D634EC" w:rsidP="00064F9D">
      <w:pPr>
        <w:autoSpaceDE w:val="0"/>
        <w:autoSpaceDN w:val="0"/>
        <w:adjustRightInd w:val="0"/>
        <w:ind w:firstLine="709"/>
        <w:jc w:val="both"/>
      </w:pPr>
      <w:r w:rsidRPr="00064F9D">
        <w:t>Die zusätzliche Ermäßigung wird gemäß den in den nachfolgenden Paragraphen festge</w:t>
      </w:r>
      <w:r w:rsidRPr="00064F9D">
        <w:softHyphen/>
        <w:t>legten Regeln berechnet.</w:t>
      </w:r>
    </w:p>
    <w:p w14:paraId="1C6D96B0" w14:textId="77777777" w:rsidR="00D634EC" w:rsidRPr="00064F9D" w:rsidRDefault="00D634EC" w:rsidP="00064F9D">
      <w:pPr>
        <w:autoSpaceDE w:val="0"/>
        <w:autoSpaceDN w:val="0"/>
        <w:adjustRightInd w:val="0"/>
        <w:ind w:firstLine="709"/>
        <w:jc w:val="both"/>
      </w:pPr>
    </w:p>
    <w:p w14:paraId="333A91DD" w14:textId="01B394CE" w:rsidR="00D634EC" w:rsidRPr="00064F9D" w:rsidRDefault="00D634EC" w:rsidP="00064F9D">
      <w:pPr>
        <w:autoSpaceDE w:val="0"/>
        <w:autoSpaceDN w:val="0"/>
        <w:adjustRightInd w:val="0"/>
        <w:ind w:firstLine="709"/>
        <w:jc w:val="both"/>
      </w:pPr>
      <w:r w:rsidRPr="00064F9D">
        <w:t>§ 2 - Die zusätzliche Ermäßigung entspricht [60 Prozent] der Steuer, die nach Anwendung [der Artikel 147 bis 153] übrig bleibt, wenn die Gesamtheit der Nettoeinkünfte sich ausschließlich zusammensetzt aus:</w:t>
      </w:r>
    </w:p>
    <w:p w14:paraId="68FAA067" w14:textId="77777777" w:rsidR="00D634EC" w:rsidRPr="00064F9D" w:rsidRDefault="00D634EC" w:rsidP="00064F9D">
      <w:pPr>
        <w:autoSpaceDE w:val="0"/>
        <w:autoSpaceDN w:val="0"/>
        <w:adjustRightInd w:val="0"/>
        <w:ind w:firstLine="709"/>
        <w:jc w:val="both"/>
      </w:pPr>
    </w:p>
    <w:p w14:paraId="71E87671" w14:textId="77777777" w:rsidR="00D634EC" w:rsidRPr="00064F9D" w:rsidRDefault="00D634EC" w:rsidP="00064F9D">
      <w:pPr>
        <w:autoSpaceDE w:val="0"/>
        <w:autoSpaceDN w:val="0"/>
        <w:adjustRightInd w:val="0"/>
        <w:ind w:firstLine="709"/>
        <w:jc w:val="both"/>
      </w:pPr>
      <w:r w:rsidRPr="00064F9D">
        <w:t>1. [Arbeitslosengeld und wenn der Betrag dieser Beihilfen den Höchstbetrag des gesetzlichen Arbeitslosengeldes, der während der ersten zwölf Monate Vollarbeitslosigkeit zuerkannt werden kann, nicht übersteigt,</w:t>
      </w:r>
    </w:p>
    <w:p w14:paraId="7E14C3E2" w14:textId="77777777" w:rsidR="00D634EC" w:rsidRPr="00064F9D" w:rsidRDefault="00D634EC" w:rsidP="00064F9D">
      <w:pPr>
        <w:autoSpaceDE w:val="0"/>
        <w:autoSpaceDN w:val="0"/>
        <w:adjustRightInd w:val="0"/>
        <w:ind w:firstLine="709"/>
        <w:jc w:val="both"/>
      </w:pPr>
    </w:p>
    <w:p w14:paraId="7DABB899" w14:textId="77777777" w:rsidR="00D634EC" w:rsidRPr="00064F9D" w:rsidRDefault="00D634EC" w:rsidP="00064F9D">
      <w:pPr>
        <w:autoSpaceDE w:val="0"/>
        <w:autoSpaceDN w:val="0"/>
        <w:adjustRightInd w:val="0"/>
        <w:ind w:firstLine="709"/>
        <w:jc w:val="both"/>
      </w:pPr>
      <w:r w:rsidRPr="00064F9D">
        <w:t>2. einerseits Arbeitslosengeld und andererseits Pensionen, gesetzlichen Krankheits- und Invaliditätsentschädigungen oder anderen Ersatzeinkünften und wenn der Gesamtbetrag dieser Einkünfte 10.160 EUR nicht übersteigt.]</w:t>
      </w:r>
    </w:p>
    <w:p w14:paraId="3FD5BD65" w14:textId="77777777" w:rsidR="00D634EC" w:rsidRPr="00064F9D" w:rsidRDefault="00D634EC" w:rsidP="00064F9D">
      <w:pPr>
        <w:autoSpaceDE w:val="0"/>
        <w:autoSpaceDN w:val="0"/>
        <w:adjustRightInd w:val="0"/>
        <w:ind w:firstLine="709"/>
        <w:jc w:val="both"/>
      </w:pPr>
    </w:p>
    <w:p w14:paraId="05CF9041" w14:textId="77777777" w:rsidR="00D634EC" w:rsidRPr="00064F9D" w:rsidRDefault="00D634EC" w:rsidP="00064F9D">
      <w:pPr>
        <w:autoSpaceDE w:val="0"/>
        <w:autoSpaceDN w:val="0"/>
        <w:adjustRightInd w:val="0"/>
        <w:ind w:firstLine="709"/>
        <w:jc w:val="both"/>
      </w:pPr>
      <w:r w:rsidRPr="00064F9D">
        <w:t>3. […].</w:t>
      </w:r>
    </w:p>
    <w:p w14:paraId="06DDC8CF" w14:textId="77777777" w:rsidR="00D634EC" w:rsidRPr="00064F9D" w:rsidRDefault="00D634EC" w:rsidP="00064F9D">
      <w:pPr>
        <w:autoSpaceDE w:val="0"/>
        <w:autoSpaceDN w:val="0"/>
        <w:adjustRightInd w:val="0"/>
        <w:ind w:firstLine="709"/>
        <w:jc w:val="both"/>
      </w:pPr>
    </w:p>
    <w:p w14:paraId="056D73B6" w14:textId="77777777" w:rsidR="00D634EC" w:rsidRPr="00064F9D" w:rsidRDefault="00D634EC" w:rsidP="00064F9D">
      <w:pPr>
        <w:autoSpaceDE w:val="0"/>
        <w:autoSpaceDN w:val="0"/>
        <w:adjustRightInd w:val="0"/>
        <w:ind w:firstLine="709"/>
        <w:jc w:val="both"/>
      </w:pPr>
      <w:r w:rsidRPr="00064F9D">
        <w:t>Wird eine gemeinsame Veranlagung festgelegt, wird für die Anwendung von Absatz 1 die Gesamtheit der Nettoeinkünfte der beiden Ehepartner berücksichtigt.</w:t>
      </w:r>
    </w:p>
    <w:p w14:paraId="52FCBDAB" w14:textId="77777777" w:rsidR="00D634EC" w:rsidRPr="00064F9D" w:rsidRDefault="00D634EC" w:rsidP="00064F9D">
      <w:pPr>
        <w:autoSpaceDE w:val="0"/>
        <w:autoSpaceDN w:val="0"/>
        <w:adjustRightInd w:val="0"/>
        <w:ind w:firstLine="709"/>
        <w:jc w:val="both"/>
      </w:pPr>
    </w:p>
    <w:p w14:paraId="45053DEF" w14:textId="6BE6629B" w:rsidR="00D634EC" w:rsidRPr="00064F9D" w:rsidRDefault="00D634EC" w:rsidP="00064F9D">
      <w:pPr>
        <w:autoSpaceDE w:val="0"/>
        <w:autoSpaceDN w:val="0"/>
        <w:adjustRightInd w:val="0"/>
        <w:ind w:firstLine="709"/>
        <w:jc w:val="both"/>
      </w:pPr>
      <w:r w:rsidRPr="00064F9D">
        <w:t>§ 3 - [In Fällen, die nicht in § 2 erwähnt sind, und wenn die Gesamtheit der Netto</w:t>
      </w:r>
      <w:r w:rsidRPr="00064F9D">
        <w:softHyphen/>
        <w:t>einkünfte sich ausschließlich aus Arbeitslosengeld zusammensetzt, entspricht die zusätzliche Ermäßigung [60 Prozent] der Plusdifferenz zwischen:</w:t>
      </w:r>
    </w:p>
    <w:p w14:paraId="7525DA7B" w14:textId="77777777" w:rsidR="00D634EC" w:rsidRPr="00064F9D" w:rsidRDefault="00D634EC" w:rsidP="00064F9D">
      <w:pPr>
        <w:autoSpaceDE w:val="0"/>
        <w:autoSpaceDN w:val="0"/>
        <w:adjustRightInd w:val="0"/>
        <w:ind w:firstLine="709"/>
        <w:jc w:val="both"/>
      </w:pPr>
    </w:p>
    <w:p w14:paraId="483B86A9" w14:textId="77777777" w:rsidR="00D634EC" w:rsidRPr="00064F9D" w:rsidRDefault="00D634EC" w:rsidP="00064F9D">
      <w:pPr>
        <w:autoSpaceDE w:val="0"/>
        <w:autoSpaceDN w:val="0"/>
        <w:adjustRightInd w:val="0"/>
        <w:ind w:firstLine="709"/>
        <w:jc w:val="both"/>
      </w:pPr>
      <w:r w:rsidRPr="00064F9D">
        <w:t>1. dem Steuerbetrag, der nach Anwendung der Artikel 147 bis 153 übrig bleibt, und</w:t>
      </w:r>
    </w:p>
    <w:p w14:paraId="2EA9E37A" w14:textId="77777777" w:rsidR="00D634EC" w:rsidRPr="00064F9D" w:rsidRDefault="00D634EC" w:rsidP="00064F9D">
      <w:pPr>
        <w:autoSpaceDE w:val="0"/>
        <w:autoSpaceDN w:val="0"/>
        <w:adjustRightInd w:val="0"/>
        <w:ind w:firstLine="709"/>
        <w:jc w:val="both"/>
      </w:pPr>
    </w:p>
    <w:p w14:paraId="4688903E" w14:textId="77777777" w:rsidR="00D634EC" w:rsidRPr="00064F9D" w:rsidRDefault="00D634EC" w:rsidP="00064F9D">
      <w:pPr>
        <w:autoSpaceDE w:val="0"/>
        <w:autoSpaceDN w:val="0"/>
        <w:adjustRightInd w:val="0"/>
        <w:ind w:firstLine="709"/>
        <w:jc w:val="both"/>
      </w:pPr>
      <w:r w:rsidRPr="00064F9D">
        <w:lastRenderedPageBreak/>
        <w:t>2. der Differenz zwischen dem Arbeitslosengeld und dem [gemäß § 2 Absatz 1 Nr. 1] anwendbaren Höchstbetrag.]</w:t>
      </w:r>
    </w:p>
    <w:p w14:paraId="00127AF6" w14:textId="77777777" w:rsidR="00D634EC" w:rsidRPr="00064F9D" w:rsidRDefault="00D634EC" w:rsidP="00064F9D">
      <w:pPr>
        <w:autoSpaceDE w:val="0"/>
        <w:autoSpaceDN w:val="0"/>
        <w:adjustRightInd w:val="0"/>
        <w:ind w:firstLine="709"/>
        <w:jc w:val="both"/>
      </w:pPr>
    </w:p>
    <w:p w14:paraId="6003DA13" w14:textId="77777777" w:rsidR="00D634EC" w:rsidRPr="00064F9D" w:rsidRDefault="00D634EC" w:rsidP="00064F9D">
      <w:pPr>
        <w:autoSpaceDE w:val="0"/>
        <w:autoSpaceDN w:val="0"/>
        <w:adjustRightInd w:val="0"/>
        <w:ind w:firstLine="709"/>
        <w:jc w:val="both"/>
      </w:pPr>
      <w:r w:rsidRPr="00064F9D">
        <w:t>[…]</w:t>
      </w:r>
    </w:p>
    <w:p w14:paraId="0ED1F947" w14:textId="77777777" w:rsidR="00D634EC" w:rsidRPr="00064F9D" w:rsidRDefault="00D634EC" w:rsidP="00064F9D">
      <w:pPr>
        <w:autoSpaceDE w:val="0"/>
        <w:autoSpaceDN w:val="0"/>
        <w:adjustRightInd w:val="0"/>
        <w:ind w:firstLine="709"/>
        <w:jc w:val="both"/>
      </w:pPr>
    </w:p>
    <w:p w14:paraId="2854C8E6" w14:textId="77777777" w:rsidR="00D634EC" w:rsidRPr="00064F9D" w:rsidRDefault="00D634EC" w:rsidP="00064F9D">
      <w:pPr>
        <w:autoSpaceDE w:val="0"/>
        <w:autoSpaceDN w:val="0"/>
        <w:adjustRightInd w:val="0"/>
        <w:ind w:firstLine="709"/>
        <w:jc w:val="both"/>
      </w:pPr>
      <w:r w:rsidRPr="00064F9D">
        <w:t>Wird eine gemeinsame Veranlagung festgelegt, wird für die Anwendung von Absatz 1 sowohl die Gesamtheit der Nettoeinkünfte als auch der Betrag der übrig bleibenden Steuer der beiden Ehepartner berücksichtigt.</w:t>
      </w:r>
    </w:p>
    <w:p w14:paraId="57ABEA8F" w14:textId="77777777" w:rsidR="00D634EC" w:rsidRPr="00064F9D" w:rsidRDefault="00D634EC" w:rsidP="00064F9D">
      <w:pPr>
        <w:autoSpaceDE w:val="0"/>
        <w:autoSpaceDN w:val="0"/>
        <w:adjustRightInd w:val="0"/>
        <w:ind w:firstLine="709"/>
        <w:jc w:val="both"/>
      </w:pPr>
    </w:p>
    <w:p w14:paraId="795242F7" w14:textId="77777777" w:rsidR="00D634EC" w:rsidRPr="00064F9D" w:rsidRDefault="00D634EC" w:rsidP="00064F9D">
      <w:pPr>
        <w:autoSpaceDE w:val="0"/>
        <w:autoSpaceDN w:val="0"/>
        <w:adjustRightInd w:val="0"/>
        <w:ind w:firstLine="709"/>
        <w:jc w:val="both"/>
      </w:pPr>
      <w:r w:rsidRPr="00064F9D">
        <w:t>Die derart berechnete zusätzliche Ermäßigung wird proportional auf den Betrag der Steuer jedes Ehepartners, die nach Anwendung [der Artikel 147 bis 153] übrig bleibt, aufgeteilt.</w:t>
      </w:r>
    </w:p>
    <w:p w14:paraId="63E007D2" w14:textId="77777777" w:rsidR="00D634EC" w:rsidRPr="00064F9D" w:rsidRDefault="00D634EC" w:rsidP="00064F9D">
      <w:pPr>
        <w:autoSpaceDE w:val="0"/>
        <w:autoSpaceDN w:val="0"/>
        <w:adjustRightInd w:val="0"/>
        <w:ind w:firstLine="709"/>
        <w:jc w:val="both"/>
      </w:pPr>
    </w:p>
    <w:p w14:paraId="2498FA81" w14:textId="77777777" w:rsidR="00D634EC" w:rsidRPr="00064F9D" w:rsidRDefault="00D634EC" w:rsidP="00064F9D">
      <w:pPr>
        <w:autoSpaceDE w:val="0"/>
        <w:autoSpaceDN w:val="0"/>
        <w:adjustRightInd w:val="0"/>
        <w:ind w:firstLine="709"/>
        <w:jc w:val="both"/>
      </w:pPr>
      <w:r w:rsidRPr="00064F9D">
        <w:t>[…]]</w:t>
      </w:r>
    </w:p>
    <w:p w14:paraId="1BCED9F8" w14:textId="77777777" w:rsidR="00D634EC" w:rsidRPr="00064F9D" w:rsidRDefault="00D634EC" w:rsidP="00064F9D">
      <w:pPr>
        <w:autoSpaceDE w:val="0"/>
        <w:autoSpaceDN w:val="0"/>
        <w:adjustRightInd w:val="0"/>
        <w:ind w:firstLine="709"/>
        <w:jc w:val="both"/>
      </w:pPr>
    </w:p>
    <w:p w14:paraId="698CADEC" w14:textId="4380DCE4" w:rsidR="00D634EC" w:rsidRPr="00064F9D" w:rsidRDefault="00D634EC" w:rsidP="00064F9D">
      <w:pPr>
        <w:autoSpaceDE w:val="0"/>
        <w:autoSpaceDN w:val="0"/>
        <w:adjustRightInd w:val="0"/>
        <w:ind w:firstLine="709"/>
        <w:jc w:val="both"/>
      </w:pPr>
      <w:r w:rsidRPr="00064F9D">
        <w:t>[§ 3/1 - In Fällen, die nicht [in § 2] erwähnt sind, und wenn die Gesamtheit der Nettoeinkünfte [sich ausschließlich aus einerseits Arbeitslosen</w:t>
      </w:r>
      <w:r w:rsidRPr="00064F9D">
        <w:softHyphen/>
        <w:t>geld und andererseits Pensionen, gesetzlichen Krankheits- und Invaliditätsentschädigungen oder anderen Ersatzeinkünften zusammensetzt], [entspricht die zusätzliche Ermäßigung [</w:t>
      </w:r>
      <w:r w:rsidR="009A2825" w:rsidRPr="00064F9D">
        <w:t>6</w:t>
      </w:r>
      <w:r w:rsidRPr="00064F9D">
        <w:rPr>
          <w:rFonts w:eastAsia="Calibri"/>
          <w:kern w:val="2"/>
          <w:lang w:eastAsia="en-US"/>
          <w14:ligatures w14:val="standardContextual"/>
        </w:rPr>
        <w:t>0 Prozent</w:t>
      </w:r>
      <w:r w:rsidRPr="00064F9D">
        <w:t>] der Plusdifferenz] zwischen:</w:t>
      </w:r>
    </w:p>
    <w:p w14:paraId="54F924BA" w14:textId="77777777" w:rsidR="00D634EC" w:rsidRPr="00064F9D" w:rsidRDefault="00D634EC" w:rsidP="00064F9D">
      <w:pPr>
        <w:autoSpaceDE w:val="0"/>
        <w:autoSpaceDN w:val="0"/>
        <w:adjustRightInd w:val="0"/>
        <w:ind w:firstLine="709"/>
        <w:jc w:val="both"/>
      </w:pPr>
    </w:p>
    <w:p w14:paraId="7502E648" w14:textId="77777777" w:rsidR="00D634EC" w:rsidRPr="00064F9D" w:rsidRDefault="00D634EC" w:rsidP="00064F9D">
      <w:pPr>
        <w:autoSpaceDE w:val="0"/>
        <w:autoSpaceDN w:val="0"/>
        <w:adjustRightInd w:val="0"/>
        <w:ind w:firstLine="709"/>
        <w:jc w:val="both"/>
      </w:pPr>
      <w:r w:rsidRPr="00064F9D">
        <w:t>1. dem Steuerbetrag, der nach Anwendung der Artikel 147 bis 153 übrig bleibt, und</w:t>
      </w:r>
    </w:p>
    <w:p w14:paraId="0B495BE2" w14:textId="77777777" w:rsidR="00D634EC" w:rsidRPr="00064F9D" w:rsidRDefault="00D634EC" w:rsidP="00064F9D">
      <w:pPr>
        <w:autoSpaceDE w:val="0"/>
        <w:autoSpaceDN w:val="0"/>
        <w:adjustRightInd w:val="0"/>
        <w:ind w:firstLine="709"/>
        <w:jc w:val="both"/>
      </w:pPr>
    </w:p>
    <w:p w14:paraId="1856AD2B" w14:textId="77777777" w:rsidR="00D634EC" w:rsidRPr="00064F9D" w:rsidRDefault="00D634EC" w:rsidP="00064F9D">
      <w:pPr>
        <w:autoSpaceDE w:val="0"/>
        <w:autoSpaceDN w:val="0"/>
        <w:adjustRightInd w:val="0"/>
        <w:ind w:firstLine="709"/>
        <w:jc w:val="both"/>
      </w:pPr>
      <w:r w:rsidRPr="00064F9D">
        <w:t>2. [90 Prozent der Differenz zwischen dem Betrag der Ersatzeinkünfte und gegebenenfalls der Pensionen und 10.160 EUR.]</w:t>
      </w:r>
    </w:p>
    <w:p w14:paraId="503E09B6" w14:textId="77777777" w:rsidR="00D634EC" w:rsidRPr="00064F9D" w:rsidRDefault="00D634EC" w:rsidP="00064F9D">
      <w:pPr>
        <w:autoSpaceDE w:val="0"/>
        <w:autoSpaceDN w:val="0"/>
        <w:adjustRightInd w:val="0"/>
        <w:ind w:firstLine="709"/>
        <w:jc w:val="both"/>
      </w:pPr>
    </w:p>
    <w:p w14:paraId="770762B5" w14:textId="77777777" w:rsidR="00D634EC" w:rsidRPr="00064F9D" w:rsidRDefault="00D634EC" w:rsidP="00064F9D">
      <w:pPr>
        <w:autoSpaceDE w:val="0"/>
        <w:autoSpaceDN w:val="0"/>
        <w:adjustRightInd w:val="0"/>
        <w:ind w:firstLine="709"/>
        <w:jc w:val="both"/>
      </w:pPr>
      <w:r w:rsidRPr="00064F9D">
        <w:t>Die zusätzliche Ermäßigung wird gegebenenfalls proportional zum Anteil der Steuer, der nach Anwendung der Artikel 147 bis 153 übrig bleibt und sich auf Pensionen oder andere Ersatzeinkünfte, auf Arbeitslosengeld beziehungsweise auf gesetzliche Krankheits- und Invaliditätsentschädigungen bezieht, und zum Gesamtbetrag der Steuer, der nach Anwendung der Artikel 147 bis 153 übrig bleibt, aufgeteilt.</w:t>
      </w:r>
    </w:p>
    <w:p w14:paraId="7162A08E" w14:textId="77777777" w:rsidR="00D634EC" w:rsidRPr="00064F9D" w:rsidRDefault="00D634EC" w:rsidP="00064F9D">
      <w:pPr>
        <w:autoSpaceDE w:val="0"/>
        <w:autoSpaceDN w:val="0"/>
        <w:adjustRightInd w:val="0"/>
        <w:ind w:firstLine="709"/>
        <w:jc w:val="both"/>
      </w:pPr>
    </w:p>
    <w:p w14:paraId="6FB64984" w14:textId="77777777" w:rsidR="00D634EC" w:rsidRPr="00064F9D" w:rsidRDefault="00D634EC" w:rsidP="00064F9D">
      <w:pPr>
        <w:autoSpaceDE w:val="0"/>
        <w:autoSpaceDN w:val="0"/>
        <w:adjustRightInd w:val="0"/>
        <w:ind w:firstLine="709"/>
        <w:jc w:val="both"/>
      </w:pPr>
      <w:r w:rsidRPr="00064F9D">
        <w:t>Wird eine gemeinsame Veranlagung festgelegt, wird für die Anwendung von Absatz 1 sowohl die Gesamtheit der Nettoeinkünfte als auch der Betrag der übrig bleibenden Steuer der beiden Ehepartner berücksichtigt.</w:t>
      </w:r>
    </w:p>
    <w:p w14:paraId="3F2F3661" w14:textId="77777777" w:rsidR="00D634EC" w:rsidRPr="00064F9D" w:rsidRDefault="00D634EC" w:rsidP="00064F9D">
      <w:pPr>
        <w:autoSpaceDE w:val="0"/>
        <w:autoSpaceDN w:val="0"/>
        <w:adjustRightInd w:val="0"/>
        <w:ind w:firstLine="709"/>
        <w:jc w:val="both"/>
      </w:pPr>
    </w:p>
    <w:p w14:paraId="1145F099" w14:textId="77777777" w:rsidR="00D634EC" w:rsidRPr="00064F9D" w:rsidRDefault="00D634EC" w:rsidP="00064F9D">
      <w:pPr>
        <w:autoSpaceDE w:val="0"/>
        <w:autoSpaceDN w:val="0"/>
        <w:adjustRightInd w:val="0"/>
        <w:ind w:firstLine="709"/>
        <w:jc w:val="both"/>
      </w:pPr>
      <w:r w:rsidRPr="00064F9D">
        <w:t>Die derart berechnete zusätzliche Ermäßigung wird proportional auf den Betrag der Steuer jedes Ehepartners, die nach Anwendung der Artikel 147 bis 153 übrig bleibt, aufgeteilt.]</w:t>
      </w:r>
    </w:p>
    <w:p w14:paraId="432BCA64" w14:textId="77777777" w:rsidR="00D634EC" w:rsidRPr="00064F9D" w:rsidRDefault="00D634EC" w:rsidP="00064F9D">
      <w:pPr>
        <w:autoSpaceDE w:val="0"/>
        <w:autoSpaceDN w:val="0"/>
        <w:adjustRightInd w:val="0"/>
        <w:ind w:firstLine="709"/>
        <w:jc w:val="both"/>
      </w:pPr>
    </w:p>
    <w:p w14:paraId="020029A3" w14:textId="77777777" w:rsidR="00D634EC" w:rsidRPr="00064F9D" w:rsidRDefault="00D634EC" w:rsidP="00064F9D">
      <w:pPr>
        <w:autoSpaceDE w:val="0"/>
        <w:autoSpaceDN w:val="0"/>
        <w:adjustRightInd w:val="0"/>
        <w:ind w:firstLine="709"/>
        <w:jc w:val="both"/>
      </w:pPr>
      <w:r w:rsidRPr="00064F9D">
        <w:t>[…]</w:t>
      </w:r>
    </w:p>
    <w:p w14:paraId="5B49F461" w14:textId="77777777" w:rsidR="00D634EC" w:rsidRPr="00064F9D" w:rsidRDefault="00D634EC" w:rsidP="00064F9D">
      <w:pPr>
        <w:autoSpaceDE w:val="0"/>
        <w:autoSpaceDN w:val="0"/>
        <w:adjustRightInd w:val="0"/>
        <w:ind w:firstLine="709"/>
        <w:jc w:val="both"/>
      </w:pPr>
    </w:p>
    <w:p w14:paraId="3F3126DA" w14:textId="79AC6BBF" w:rsidR="00D634EC" w:rsidRPr="00064F9D" w:rsidRDefault="00D634EC" w:rsidP="00064F9D">
      <w:pPr>
        <w:autoSpaceDE w:val="0"/>
        <w:autoSpaceDN w:val="0"/>
        <w:adjustRightInd w:val="0"/>
        <w:ind w:firstLine="709"/>
        <w:jc w:val="both"/>
      </w:pPr>
      <w:r w:rsidRPr="00064F9D">
        <w:t>[§ 4 - [Für die Steuerjahre 2020 und folgende wird der in § 2 Absatz 1 Nr. 1 erwähnte Höchstbetrag auf der Grundlage der Beträge des gesetzlichen Arbeitslosengeldes für das vierte Jahr vor dem Steuerjahr festgelegt.]]</w:t>
      </w:r>
    </w:p>
    <w:p w14:paraId="5BAC3C1B" w14:textId="77777777" w:rsidR="00D634EC" w:rsidRPr="00064F9D" w:rsidRDefault="00D634EC" w:rsidP="00064F9D">
      <w:pPr>
        <w:autoSpaceDE w:val="0"/>
        <w:autoSpaceDN w:val="0"/>
        <w:adjustRightInd w:val="0"/>
        <w:ind w:firstLine="709"/>
        <w:jc w:val="both"/>
      </w:pPr>
    </w:p>
    <w:p w14:paraId="798AB983" w14:textId="3201E15A" w:rsidR="00D634EC" w:rsidRPr="00064F9D" w:rsidRDefault="00D634EC" w:rsidP="00064F9D">
      <w:pPr>
        <w:autoSpaceDE w:val="0"/>
        <w:autoSpaceDN w:val="0"/>
        <w:adjustRightInd w:val="0"/>
        <w:jc w:val="both"/>
        <w:rPr>
          <w:iCs/>
        </w:rPr>
      </w:pPr>
      <w:r w:rsidRPr="00064F9D">
        <w:rPr>
          <w:i/>
          <w:iCs/>
        </w:rPr>
        <w:t xml:space="preserve">[Art. 154 aufgehoben durch Art. 6 des G. vom 17. März 2022 (B.S. vom 25. März 2022) - anwendbar ab dem Steuerjahr 2023 -, selbst widerrufen durch Art. 67 des G. vom 5. Juli 2022 (B.S. vom 15. Juli 2022) - in Kraft am 1. Januar 2022 -; Art. 154 ersetzt durch Art. 38 des G. vom 17. Mai 2007 (B.S. vom 19. Juni 2007) - anwendbar </w:t>
      </w:r>
      <w:r w:rsidRPr="00064F9D">
        <w:rPr>
          <w:i/>
        </w:rPr>
        <w:t xml:space="preserve">auf die ab dem 1. Januar 2007 gezahlten oder zuerkannten Einkünfte -; § 1 Abs. 1 ersetzt durch Art. 16 Nr. 1 </w:t>
      </w:r>
      <w:r w:rsidRPr="00064F9D">
        <w:rPr>
          <w:i/>
        </w:rPr>
        <w:lastRenderedPageBreak/>
        <w:t xml:space="preserve">des G. vom 23. März 2019 (B.S. vom 5. April 2019) - anwendbar ab dem Steuerjahr 2020 -; § 2 Abs. 1 einleitende Bestimmung abgeändert </w:t>
      </w:r>
      <w:r w:rsidRPr="00064F9D">
        <w:rPr>
          <w:i/>
          <w:iCs/>
        </w:rPr>
        <w:t>durch Art. 123 Nr. 1 des G. (I) vom 22. Dezember 2008 (II) (B.S. vom 29. Dezember 2008) - anwendbar auf die ab dem 1. Januar 2007 gezahlten oder zuerkannten Einkünfte -</w:t>
      </w:r>
      <w:r w:rsidR="009A2825" w:rsidRPr="00064F9D">
        <w:rPr>
          <w:i/>
          <w:iCs/>
        </w:rPr>
        <w:t>,</w:t>
      </w:r>
      <w:r w:rsidRPr="00064F9D">
        <w:rPr>
          <w:i/>
          <w:iCs/>
        </w:rPr>
        <w:t xml:space="preserve"> Art. 68 Nr. 1 Buchstabe a) des G. vom 5. Juli 2022 (B.S. vom 15. Juli 2022) - anwendbar a</w:t>
      </w:r>
      <w:r w:rsidR="009D6F3E" w:rsidRPr="00064F9D">
        <w:rPr>
          <w:i/>
          <w:iCs/>
        </w:rPr>
        <w:t>b</w:t>
      </w:r>
      <w:r w:rsidRPr="00064F9D">
        <w:rPr>
          <w:i/>
          <w:iCs/>
        </w:rPr>
        <w:t xml:space="preserve"> dem Steuerjahr 2024 -</w:t>
      </w:r>
      <w:r w:rsidR="009A2825" w:rsidRPr="00064F9D">
        <w:rPr>
          <w:i/>
          <w:iCs/>
        </w:rPr>
        <w:t xml:space="preserve"> und Art. 68 Nr. 2 des G. vom 5. Juli 2022 (B.S. vom 15. Juli 2022) - anwendbar a</w:t>
      </w:r>
      <w:r w:rsidR="009D6F3E" w:rsidRPr="00064F9D">
        <w:rPr>
          <w:i/>
          <w:iCs/>
        </w:rPr>
        <w:t>b</w:t>
      </w:r>
      <w:r w:rsidR="009A2825" w:rsidRPr="00064F9D">
        <w:rPr>
          <w:i/>
          <w:iCs/>
        </w:rPr>
        <w:t xml:space="preserve"> dem Steuerjahr 2025 -</w:t>
      </w:r>
      <w:r w:rsidRPr="00064F9D">
        <w:rPr>
          <w:i/>
          <w:iCs/>
        </w:rPr>
        <w:t>;</w:t>
      </w:r>
      <w:r w:rsidRPr="00064F9D">
        <w:rPr>
          <w:i/>
        </w:rPr>
        <w:t xml:space="preserve"> § 2 Abs. 1 Nr. 1 und 2 ersetzt durch Art. 16 Nr. 2 des G. vom 23. März 2019 (B.S. vom 5. April 2019) - anwendbar ab dem Steuerjahr 2020 -; § 2 Abs. 1 Nr. 3 aufgehoben durch Art. 16 Nr. 3 des G. vom 23. März 2019 (B.S. vom 5. April 2019) - anwendbar ab dem Steuerjahr 2020 -; § 3 Abs. 1 ersetzt durch Art. 44 Buchstabe a)</w:t>
      </w:r>
      <w:r w:rsidRPr="00064F9D">
        <w:rPr>
          <w:i/>
          <w:iCs/>
        </w:rPr>
        <w:t xml:space="preserve"> des G. vom 18. Dezember 2015 (II) (B.S. vom 28. Dezember 2015) - in Kraft ab dem Steuerjahr 2016 -</w:t>
      </w:r>
      <w:r w:rsidR="0028505A" w:rsidRPr="00064F9D">
        <w:rPr>
          <w:i/>
          <w:iCs/>
        </w:rPr>
        <w:t>; § 3 Abs. 1 einleitende Bestimmung</w:t>
      </w:r>
      <w:r w:rsidRPr="00064F9D">
        <w:rPr>
          <w:i/>
          <w:iCs/>
        </w:rPr>
        <w:t xml:space="preserve"> abgeändert durch Art. 68 Nr. 1 Buchstabe b) des G. vom 5. Juli 2022 (B.S. vom 15. Juli 2022) - anwendbar a</w:t>
      </w:r>
      <w:r w:rsidR="009D6F3E" w:rsidRPr="00064F9D">
        <w:rPr>
          <w:i/>
          <w:iCs/>
        </w:rPr>
        <w:t>b</w:t>
      </w:r>
      <w:r w:rsidRPr="00064F9D">
        <w:rPr>
          <w:i/>
          <w:iCs/>
        </w:rPr>
        <w:t xml:space="preserve"> dem Steuerjahr 2024 - und Art. 68 Nr. 2 des G. vom 5. Juli 2022 (B.S. vom 15. Juli 2022) - anwendbar a</w:t>
      </w:r>
      <w:r w:rsidR="009D6F3E" w:rsidRPr="00064F9D">
        <w:rPr>
          <w:i/>
          <w:iCs/>
        </w:rPr>
        <w:t>b</w:t>
      </w:r>
      <w:r w:rsidRPr="00064F9D">
        <w:rPr>
          <w:i/>
          <w:iCs/>
        </w:rPr>
        <w:t xml:space="preserve"> dem Steuerjahr 2025 -;</w:t>
      </w:r>
      <w:r w:rsidRPr="00064F9D">
        <w:rPr>
          <w:i/>
        </w:rPr>
        <w:t xml:space="preserve"> § 3 Abs. 1 Nr. 2 abgeändert durch Art. 16 Nr. 4 des G. vom 23. März 2019 (B.S. vom 5. April 2019) - anwendbar ab dem Steuerjahr 2020 -; § 3 früherer Absatz 2 aufgehoben durch Art. 94 Nr. 2 des G. vom 10. August 2015 (B.S. vom 18. August 2015) - anwendbar ab dem Steuerjahr 2016 -, selbst widerrufen durch Art. 67</w:t>
      </w:r>
      <w:r w:rsidRPr="00064F9D">
        <w:rPr>
          <w:i/>
          <w:iCs/>
        </w:rPr>
        <w:t xml:space="preserve"> des G. vom 18. Dezember 2015 (II) (B.S. vom 28. Dezember 2015),</w:t>
      </w:r>
      <w:r w:rsidRPr="00064F9D">
        <w:rPr>
          <w:i/>
        </w:rPr>
        <w:t xml:space="preserve"> und durch Art. 44 Buchstabe b)</w:t>
      </w:r>
      <w:r w:rsidRPr="00064F9D">
        <w:rPr>
          <w:i/>
          <w:iCs/>
        </w:rPr>
        <w:t xml:space="preserve"> des G. vom 18. Dezember 2015 (II) (B.S. vom 28. Dezember 2015) - in Kraft ab dem Steuerjahr 2016 -;</w:t>
      </w:r>
      <w:r w:rsidRPr="00064F9D">
        <w:rPr>
          <w:i/>
        </w:rPr>
        <w:t xml:space="preserve"> § 3 Abs. 3 abgeändert durch </w:t>
      </w:r>
      <w:r w:rsidRPr="00064F9D">
        <w:rPr>
          <w:i/>
          <w:iCs/>
        </w:rPr>
        <w:t>Art. 123 Nr. 1 des G. (I) vom 22. Dezember 2008 (II) (B.S. vom 29. Dezember 2008) - anwendbar auf die ab dem 1. Januar 2007 gezahlten oder zuerkannten Einkünfte -;</w:t>
      </w:r>
      <w:r w:rsidRPr="00064F9D">
        <w:rPr>
          <w:i/>
        </w:rPr>
        <w:t xml:space="preserve"> § 3 Abs. 4 aufgehoben </w:t>
      </w:r>
      <w:r w:rsidRPr="00064F9D">
        <w:rPr>
          <w:i/>
          <w:iCs/>
        </w:rPr>
        <w:t xml:space="preserve">durch Art. 123 Nr. 2 des G. (I) vom 22. Dezember 2008 (II) (B.S. vom 29. Dezember 2008) - anwendbar auf die ab dem 1. Januar 2007 gezahlten oder zuerkannten Einkünfte -; § 3/1 eingefügt durch Art. 44 Buchstabe c) des G. vom 18. Dezember 2015 (II) (B.S. vom </w:t>
      </w:r>
      <w:r w:rsidRPr="00064F9D">
        <w:rPr>
          <w:rFonts w:ascii="Times New Roman Italique" w:hAnsi="Times New Roman Italique"/>
          <w:i/>
          <w:iCs/>
          <w:spacing w:val="-2"/>
        </w:rPr>
        <w:t xml:space="preserve">28. Dezember 2015) - in Kraft ab dem Steuerjahr 2016 -; § 3/1 Abs. 1 einleitende Bestimmung abgeändert durch Art. 10 Nr. 1 des G. vom </w:t>
      </w:r>
      <w:r w:rsidRPr="00064F9D">
        <w:rPr>
          <w:rFonts w:ascii="Times New Roman Italique" w:hAnsi="Times New Roman Italique"/>
          <w:i/>
          <w:iCs/>
          <w:spacing w:val="2"/>
        </w:rPr>
        <w:t>22. Oktober 2017 (B.S. vom 18. Dezember 2017) - anwendbar ab dem Steuerjahr 2018 -, Art. 16 Nr. 5</w:t>
      </w:r>
      <w:r w:rsidRPr="00064F9D">
        <w:rPr>
          <w:rFonts w:ascii="Times New Roman Italique" w:hAnsi="Times New Roman Italique"/>
          <w:i/>
          <w:spacing w:val="2"/>
        </w:rPr>
        <w:t xml:space="preserve"> des G. vom 23. März 2019 (B.S. vom 5. April 2019) - anwendbar ab dem Steuerjahr 2020 -</w:t>
      </w:r>
      <w:r w:rsidR="009A2825" w:rsidRPr="00064F9D">
        <w:rPr>
          <w:rFonts w:ascii="Times New Roman Italique" w:hAnsi="Times New Roman Italique"/>
          <w:i/>
          <w:spacing w:val="2"/>
        </w:rPr>
        <w:t>,</w:t>
      </w:r>
      <w:r w:rsidRPr="00064F9D">
        <w:rPr>
          <w:rFonts w:ascii="Times New Roman Italique" w:hAnsi="Times New Roman Italique"/>
          <w:i/>
          <w:spacing w:val="2"/>
        </w:rPr>
        <w:t xml:space="preserve"> </w:t>
      </w:r>
      <w:r w:rsidRPr="00064F9D">
        <w:rPr>
          <w:i/>
          <w:iCs/>
          <w:spacing w:val="2"/>
        </w:rPr>
        <w:t>Art. 68 Nr. 1 Buchstabe c) des G. vom 5. Juli 2022 (B.S. vom 15. Juli 2022) - anwendbar a</w:t>
      </w:r>
      <w:r w:rsidR="009D6F3E" w:rsidRPr="00064F9D">
        <w:rPr>
          <w:i/>
          <w:iCs/>
          <w:spacing w:val="2"/>
        </w:rPr>
        <w:t>b</w:t>
      </w:r>
      <w:r w:rsidRPr="00064F9D">
        <w:rPr>
          <w:i/>
          <w:iCs/>
        </w:rPr>
        <w:t xml:space="preserve"> dem Steuerjahr 2024 -</w:t>
      </w:r>
      <w:r w:rsidR="009A2825" w:rsidRPr="00064F9D">
        <w:rPr>
          <w:i/>
          <w:iCs/>
        </w:rPr>
        <w:t xml:space="preserve"> und Art. 68 Nr. 2 des G. vom 5. Juli 2022 (B.S. vom 15. Juli 2022) - anwendbar a</w:t>
      </w:r>
      <w:r w:rsidR="009D6F3E" w:rsidRPr="00064F9D">
        <w:rPr>
          <w:i/>
          <w:iCs/>
        </w:rPr>
        <w:t>b</w:t>
      </w:r>
      <w:r w:rsidR="009A2825" w:rsidRPr="00064F9D">
        <w:rPr>
          <w:i/>
          <w:iCs/>
        </w:rPr>
        <w:t xml:space="preserve"> dem Steuerjahr 2025 -</w:t>
      </w:r>
      <w:r w:rsidRPr="00064F9D">
        <w:rPr>
          <w:rFonts w:ascii="Times New Roman Italique" w:hAnsi="Times New Roman Italique"/>
          <w:i/>
          <w:spacing w:val="-2"/>
        </w:rPr>
        <w:t>;</w:t>
      </w:r>
      <w:r w:rsidRPr="00064F9D">
        <w:rPr>
          <w:rFonts w:ascii="Times New Roman Italique" w:hAnsi="Times New Roman Italique"/>
          <w:i/>
          <w:iCs/>
          <w:spacing w:val="-2"/>
        </w:rPr>
        <w:t xml:space="preserve"> § 3/1</w:t>
      </w:r>
      <w:r w:rsidRPr="00064F9D">
        <w:rPr>
          <w:i/>
          <w:iCs/>
        </w:rPr>
        <w:t xml:space="preserve"> Abs. 1 Nr. 2 ersetzt durch Art. 16 Nr. 6</w:t>
      </w:r>
      <w:r w:rsidRPr="00064F9D">
        <w:rPr>
          <w:i/>
        </w:rPr>
        <w:t xml:space="preserve"> des G. vom 23. März 2019 (B.S. vom 5. April 2019) - anwendbar ab dem Steuerjahr 2020 -;</w:t>
      </w:r>
      <w:r w:rsidRPr="00064F9D">
        <w:rPr>
          <w:i/>
          <w:iCs/>
        </w:rPr>
        <w:t xml:space="preserve"> früherer Paragraph 4 eingefügt durch Art. 94 Nr. 3</w:t>
      </w:r>
      <w:r w:rsidRPr="00064F9D">
        <w:rPr>
          <w:i/>
        </w:rPr>
        <w:t xml:space="preserve"> des G. vom 10. August 2015 (B.S. vom 18. August 2015) - anwendbar ab dem Steuerjahr 2016 -, selbst widerrufen durch Art. 67</w:t>
      </w:r>
      <w:r w:rsidRPr="00064F9D">
        <w:rPr>
          <w:i/>
          <w:iCs/>
        </w:rPr>
        <w:t xml:space="preserve"> des G. vom 18. Dezember 2015 (II) (B.S. vom 28. Dezember 2015)</w:t>
      </w:r>
      <w:r w:rsidRPr="00064F9D">
        <w:rPr>
          <w:i/>
        </w:rPr>
        <w:t>; § </w:t>
      </w:r>
      <w:r w:rsidRPr="00064F9D">
        <w:rPr>
          <w:i/>
          <w:iCs/>
        </w:rPr>
        <w:t>4 eingefügt durch Art. 5 des G. vom 19. Dezember 2014 (B.S. vom 29. Dezember 2014) - anwendbar ab dem Steuerjahr 2015 -, umnummeriert zu § 5 durch Art. 94 Nr. 3</w:t>
      </w:r>
      <w:r w:rsidRPr="00064F9D">
        <w:rPr>
          <w:i/>
        </w:rPr>
        <w:t xml:space="preserve"> des G. vom 10. August 2015 (B.S. vom 18. August 2015) - anwendbar ab dem Steuerjahr 2016 -, selbst widerrufen durch Art. 67</w:t>
      </w:r>
      <w:r w:rsidRPr="00064F9D">
        <w:rPr>
          <w:i/>
          <w:iCs/>
        </w:rPr>
        <w:t xml:space="preserve"> des G. vom 18. Dezember 2015 (II) (B.S. vom 28. Dezember 2015), und ersetzt durch Art. 16 Nr. 7</w:t>
      </w:r>
      <w:r w:rsidRPr="00064F9D">
        <w:rPr>
          <w:i/>
        </w:rPr>
        <w:t xml:space="preserve"> des G. vom 23. März 2019 (B.S. vom 5. April 2019) - anwendbar ab dem Steuerjahr 2020 -]</w:t>
      </w:r>
    </w:p>
    <w:p w14:paraId="59FBD165" w14:textId="77777777" w:rsidR="00D634EC" w:rsidRPr="00064F9D" w:rsidRDefault="00D634EC" w:rsidP="00064F9D">
      <w:pPr>
        <w:autoSpaceDE w:val="0"/>
        <w:autoSpaceDN w:val="0"/>
        <w:adjustRightInd w:val="0"/>
        <w:ind w:firstLine="709"/>
        <w:jc w:val="both"/>
        <w:rPr>
          <w:iCs/>
        </w:rPr>
      </w:pPr>
    </w:p>
    <w:p w14:paraId="1E438AB0" w14:textId="77777777" w:rsidR="00D634EC" w:rsidRPr="00064F9D" w:rsidRDefault="00D634EC" w:rsidP="00064F9D">
      <w:pPr>
        <w:autoSpaceDE w:val="0"/>
        <w:autoSpaceDN w:val="0"/>
        <w:adjustRightInd w:val="0"/>
        <w:ind w:firstLine="709"/>
        <w:jc w:val="both"/>
        <w:rPr>
          <w:iCs/>
        </w:rPr>
      </w:pPr>
    </w:p>
    <w:p w14:paraId="23F60795" w14:textId="63DDF561" w:rsidR="009A2825" w:rsidRPr="009118AB" w:rsidRDefault="009A2825" w:rsidP="009A2825">
      <w:pPr>
        <w:autoSpaceDE w:val="0"/>
        <w:autoSpaceDN w:val="0"/>
        <w:adjustRightInd w:val="0"/>
        <w:jc w:val="both"/>
        <w:rPr>
          <w:sz w:val="20"/>
        </w:rPr>
      </w:pPr>
      <w:r w:rsidRPr="009118AB">
        <w:rPr>
          <w:iCs/>
          <w:sz w:val="20"/>
          <w:szCs w:val="20"/>
        </w:rPr>
        <w:t>Ab dem Steuerjahr 2026 (gemäß Art. 71 Abs. 16</w:t>
      </w:r>
      <w:r w:rsidRPr="009118AB">
        <w:rPr>
          <w:i/>
          <w:iCs/>
          <w:sz w:val="20"/>
        </w:rPr>
        <w:t xml:space="preserve"> </w:t>
      </w:r>
      <w:r w:rsidRPr="009118AB">
        <w:rPr>
          <w:sz w:val="20"/>
        </w:rPr>
        <w:t>des G. vom 5. Juli 2022 (B.S. vom 15. Juli 2022)) lautet Art. 154 wie folgt:</w:t>
      </w:r>
    </w:p>
    <w:p w14:paraId="308DA364" w14:textId="77777777" w:rsidR="009A2825" w:rsidRPr="009118AB" w:rsidRDefault="009A2825" w:rsidP="009A2825">
      <w:pPr>
        <w:autoSpaceDE w:val="0"/>
        <w:autoSpaceDN w:val="0"/>
        <w:adjustRightInd w:val="0"/>
        <w:jc w:val="both"/>
        <w:rPr>
          <w:sz w:val="20"/>
        </w:rPr>
      </w:pPr>
    </w:p>
    <w:p w14:paraId="44C1F903" w14:textId="77777777" w:rsidR="009A2825" w:rsidRPr="009118AB" w:rsidRDefault="009A2825" w:rsidP="009A2825">
      <w:pPr>
        <w:autoSpaceDE w:val="0"/>
        <w:autoSpaceDN w:val="0"/>
        <w:adjustRightInd w:val="0"/>
        <w:jc w:val="both"/>
        <w:rPr>
          <w:sz w:val="20"/>
        </w:rPr>
      </w:pPr>
      <w:r w:rsidRPr="009118AB">
        <w:rPr>
          <w:sz w:val="20"/>
        </w:rPr>
        <w:t>"Art. 154 - [§ 1 - [Eine zusätzliche Ermäßigung wird gewährt, wenn die Gesamtheit der Nettoeinkünfte sich ausschließlich zusammensetzt aus:</w:t>
      </w:r>
    </w:p>
    <w:p w14:paraId="607ABF14" w14:textId="77777777" w:rsidR="009A2825" w:rsidRPr="009118AB" w:rsidRDefault="009A2825" w:rsidP="009A2825">
      <w:pPr>
        <w:autoSpaceDE w:val="0"/>
        <w:autoSpaceDN w:val="0"/>
        <w:adjustRightInd w:val="0"/>
        <w:jc w:val="both"/>
        <w:rPr>
          <w:sz w:val="20"/>
        </w:rPr>
      </w:pPr>
    </w:p>
    <w:p w14:paraId="60015E0C" w14:textId="77777777" w:rsidR="009A2825" w:rsidRPr="009118AB" w:rsidRDefault="009A2825" w:rsidP="009A2825">
      <w:pPr>
        <w:autoSpaceDE w:val="0"/>
        <w:autoSpaceDN w:val="0"/>
        <w:adjustRightInd w:val="0"/>
        <w:jc w:val="both"/>
        <w:rPr>
          <w:sz w:val="20"/>
        </w:rPr>
      </w:pPr>
      <w:r w:rsidRPr="009118AB">
        <w:rPr>
          <w:sz w:val="20"/>
        </w:rPr>
        <w:t>1. Arbeitslosengeld,</w:t>
      </w:r>
    </w:p>
    <w:p w14:paraId="2F81CEE6" w14:textId="77777777" w:rsidR="009A2825" w:rsidRPr="009118AB" w:rsidRDefault="009A2825" w:rsidP="009A2825">
      <w:pPr>
        <w:autoSpaceDE w:val="0"/>
        <w:autoSpaceDN w:val="0"/>
        <w:adjustRightInd w:val="0"/>
        <w:jc w:val="both"/>
        <w:rPr>
          <w:sz w:val="20"/>
        </w:rPr>
      </w:pPr>
    </w:p>
    <w:p w14:paraId="21EB0D8C" w14:textId="77777777" w:rsidR="009A2825" w:rsidRPr="009118AB" w:rsidRDefault="009A2825" w:rsidP="009A2825">
      <w:pPr>
        <w:autoSpaceDE w:val="0"/>
        <w:autoSpaceDN w:val="0"/>
        <w:adjustRightInd w:val="0"/>
        <w:jc w:val="both"/>
        <w:rPr>
          <w:sz w:val="20"/>
        </w:rPr>
      </w:pPr>
      <w:r w:rsidRPr="009118AB">
        <w:rPr>
          <w:sz w:val="20"/>
        </w:rPr>
        <w:lastRenderedPageBreak/>
        <w:t>2. einerseits Arbeitslosengeld und andererseits Pensionen, gesetzlichen Krankheits- und Invaliditätsentschädigungen oder anderen Ersatzeinkünften.]</w:t>
      </w:r>
    </w:p>
    <w:p w14:paraId="51736BFB" w14:textId="77777777" w:rsidR="009A2825" w:rsidRPr="009118AB" w:rsidRDefault="009A2825" w:rsidP="009A2825">
      <w:pPr>
        <w:autoSpaceDE w:val="0"/>
        <w:autoSpaceDN w:val="0"/>
        <w:adjustRightInd w:val="0"/>
        <w:jc w:val="both"/>
        <w:rPr>
          <w:sz w:val="20"/>
        </w:rPr>
      </w:pPr>
    </w:p>
    <w:p w14:paraId="540257E5" w14:textId="77777777" w:rsidR="009A2825" w:rsidRPr="009118AB" w:rsidRDefault="009A2825" w:rsidP="009A2825">
      <w:pPr>
        <w:autoSpaceDE w:val="0"/>
        <w:autoSpaceDN w:val="0"/>
        <w:adjustRightInd w:val="0"/>
        <w:jc w:val="both"/>
        <w:rPr>
          <w:sz w:val="20"/>
        </w:rPr>
      </w:pPr>
      <w:r w:rsidRPr="009118AB">
        <w:rPr>
          <w:sz w:val="20"/>
        </w:rPr>
        <w:t>Die zusätzliche Ermäßigung wird gemäß den in den nachfolgenden Paragraphen festge</w:t>
      </w:r>
      <w:r w:rsidRPr="009118AB">
        <w:rPr>
          <w:sz w:val="20"/>
        </w:rPr>
        <w:softHyphen/>
        <w:t>legten Regeln berechnet.</w:t>
      </w:r>
    </w:p>
    <w:p w14:paraId="78F2D29D" w14:textId="77777777" w:rsidR="009A2825" w:rsidRPr="009118AB" w:rsidRDefault="009A2825" w:rsidP="009A2825">
      <w:pPr>
        <w:autoSpaceDE w:val="0"/>
        <w:autoSpaceDN w:val="0"/>
        <w:adjustRightInd w:val="0"/>
        <w:jc w:val="both"/>
        <w:rPr>
          <w:sz w:val="20"/>
        </w:rPr>
      </w:pPr>
    </w:p>
    <w:p w14:paraId="1686DCDB" w14:textId="4CD41447" w:rsidR="009A2825" w:rsidRPr="009118AB" w:rsidRDefault="009A2825" w:rsidP="009A2825">
      <w:pPr>
        <w:autoSpaceDE w:val="0"/>
        <w:autoSpaceDN w:val="0"/>
        <w:adjustRightInd w:val="0"/>
        <w:jc w:val="both"/>
        <w:rPr>
          <w:sz w:val="20"/>
        </w:rPr>
      </w:pPr>
      <w:r w:rsidRPr="009118AB">
        <w:rPr>
          <w:sz w:val="20"/>
        </w:rPr>
        <w:t>§ 2 - Die zusätzliche Ermäßigung entspricht [40 Prozent] der Steuer, die nach Anwendung [der Artikel 147 bis 153] übrig bleibt, wenn die Gesamtheit der Nettoeinkünfte sich ausschließlich zusammensetzt aus:</w:t>
      </w:r>
    </w:p>
    <w:p w14:paraId="4ED36EF0" w14:textId="77777777" w:rsidR="009A2825" w:rsidRPr="009118AB" w:rsidRDefault="009A2825" w:rsidP="009A2825">
      <w:pPr>
        <w:autoSpaceDE w:val="0"/>
        <w:autoSpaceDN w:val="0"/>
        <w:adjustRightInd w:val="0"/>
        <w:jc w:val="both"/>
        <w:rPr>
          <w:sz w:val="20"/>
        </w:rPr>
      </w:pPr>
    </w:p>
    <w:p w14:paraId="2053BB91" w14:textId="77777777" w:rsidR="009A2825" w:rsidRPr="009118AB" w:rsidRDefault="009A2825" w:rsidP="009A2825">
      <w:pPr>
        <w:autoSpaceDE w:val="0"/>
        <w:autoSpaceDN w:val="0"/>
        <w:adjustRightInd w:val="0"/>
        <w:jc w:val="both"/>
        <w:rPr>
          <w:sz w:val="20"/>
        </w:rPr>
      </w:pPr>
      <w:r w:rsidRPr="009118AB">
        <w:rPr>
          <w:sz w:val="20"/>
        </w:rPr>
        <w:t>1. [Arbeitslosengeld und wenn der Betrag dieser Beihilfen den Höchstbetrag des gesetzlichen Arbeitslosengeldes, der während der ersten zwölf Monate Vollarbeitslosigkeit zuerkannt werden kann, nicht übersteigt,</w:t>
      </w:r>
    </w:p>
    <w:p w14:paraId="474F5D00" w14:textId="77777777" w:rsidR="009A2825" w:rsidRPr="009118AB" w:rsidRDefault="009A2825" w:rsidP="009A2825">
      <w:pPr>
        <w:autoSpaceDE w:val="0"/>
        <w:autoSpaceDN w:val="0"/>
        <w:adjustRightInd w:val="0"/>
        <w:jc w:val="both"/>
        <w:rPr>
          <w:sz w:val="20"/>
        </w:rPr>
      </w:pPr>
    </w:p>
    <w:p w14:paraId="4AAFB319" w14:textId="77777777" w:rsidR="009A2825" w:rsidRPr="009118AB" w:rsidRDefault="009A2825" w:rsidP="009A2825">
      <w:pPr>
        <w:autoSpaceDE w:val="0"/>
        <w:autoSpaceDN w:val="0"/>
        <w:adjustRightInd w:val="0"/>
        <w:jc w:val="both"/>
        <w:rPr>
          <w:sz w:val="20"/>
        </w:rPr>
      </w:pPr>
      <w:r w:rsidRPr="009118AB">
        <w:rPr>
          <w:sz w:val="20"/>
        </w:rPr>
        <w:t>2. einerseits Arbeitslosengeld und andererseits Pensionen, gesetzlichen Krankheits- und Invaliditätsentschädigungen oder anderen Ersatzeinkünften und wenn der Gesamtbetrag dieser Einkünfte 10.160 EUR nicht übersteigt.]</w:t>
      </w:r>
    </w:p>
    <w:p w14:paraId="5176A7B6" w14:textId="77777777" w:rsidR="009A2825" w:rsidRPr="009118AB" w:rsidRDefault="009A2825" w:rsidP="009A2825">
      <w:pPr>
        <w:autoSpaceDE w:val="0"/>
        <w:autoSpaceDN w:val="0"/>
        <w:adjustRightInd w:val="0"/>
        <w:jc w:val="both"/>
        <w:rPr>
          <w:sz w:val="20"/>
        </w:rPr>
      </w:pPr>
    </w:p>
    <w:p w14:paraId="500CE4F5" w14:textId="77777777" w:rsidR="009A2825" w:rsidRPr="009118AB" w:rsidRDefault="009A2825" w:rsidP="009A2825">
      <w:pPr>
        <w:autoSpaceDE w:val="0"/>
        <w:autoSpaceDN w:val="0"/>
        <w:adjustRightInd w:val="0"/>
        <w:jc w:val="both"/>
        <w:rPr>
          <w:sz w:val="20"/>
        </w:rPr>
      </w:pPr>
      <w:r w:rsidRPr="009118AB">
        <w:rPr>
          <w:sz w:val="20"/>
        </w:rPr>
        <w:t>3. […].</w:t>
      </w:r>
    </w:p>
    <w:p w14:paraId="19B85DCD" w14:textId="77777777" w:rsidR="009A2825" w:rsidRPr="009118AB" w:rsidRDefault="009A2825" w:rsidP="009A2825">
      <w:pPr>
        <w:autoSpaceDE w:val="0"/>
        <w:autoSpaceDN w:val="0"/>
        <w:adjustRightInd w:val="0"/>
        <w:jc w:val="both"/>
        <w:rPr>
          <w:sz w:val="20"/>
        </w:rPr>
      </w:pPr>
    </w:p>
    <w:p w14:paraId="50F3504C" w14:textId="77777777" w:rsidR="009A2825" w:rsidRPr="009118AB" w:rsidRDefault="009A2825" w:rsidP="009A2825">
      <w:pPr>
        <w:autoSpaceDE w:val="0"/>
        <w:autoSpaceDN w:val="0"/>
        <w:adjustRightInd w:val="0"/>
        <w:jc w:val="both"/>
        <w:rPr>
          <w:sz w:val="20"/>
        </w:rPr>
      </w:pPr>
      <w:r w:rsidRPr="009118AB">
        <w:rPr>
          <w:sz w:val="20"/>
        </w:rPr>
        <w:t>Wird eine gemeinsame Veranlagung festgelegt, wird für die Anwendung von Absatz 1 die Gesamtheit der Nettoeinkünfte der beiden Ehepartner berücksichtigt.</w:t>
      </w:r>
    </w:p>
    <w:p w14:paraId="215C50BF" w14:textId="77777777" w:rsidR="009A2825" w:rsidRPr="009118AB" w:rsidRDefault="009A2825" w:rsidP="009A2825">
      <w:pPr>
        <w:autoSpaceDE w:val="0"/>
        <w:autoSpaceDN w:val="0"/>
        <w:adjustRightInd w:val="0"/>
        <w:jc w:val="both"/>
        <w:rPr>
          <w:sz w:val="20"/>
        </w:rPr>
      </w:pPr>
    </w:p>
    <w:p w14:paraId="2862765C" w14:textId="0DBF73A5" w:rsidR="009A2825" w:rsidRPr="009118AB" w:rsidRDefault="009A2825" w:rsidP="009A2825">
      <w:pPr>
        <w:autoSpaceDE w:val="0"/>
        <w:autoSpaceDN w:val="0"/>
        <w:adjustRightInd w:val="0"/>
        <w:jc w:val="both"/>
        <w:rPr>
          <w:sz w:val="20"/>
        </w:rPr>
      </w:pPr>
      <w:r w:rsidRPr="009118AB">
        <w:rPr>
          <w:sz w:val="20"/>
        </w:rPr>
        <w:t>§ 3 - [In Fällen, die nicht in § 2 erwähnt sind, und wenn die Gesamtheit der Netto</w:t>
      </w:r>
      <w:r w:rsidRPr="009118AB">
        <w:rPr>
          <w:sz w:val="20"/>
        </w:rPr>
        <w:softHyphen/>
        <w:t>einkünfte sich ausschließlich aus Arbeitslosengeld zusammensetzt, entspricht die zusätzliche Ermäßigung [40 Prozent] der Plusdifferenz zwischen:</w:t>
      </w:r>
    </w:p>
    <w:p w14:paraId="64635FD7" w14:textId="77777777" w:rsidR="009A2825" w:rsidRPr="009118AB" w:rsidRDefault="009A2825" w:rsidP="009A2825">
      <w:pPr>
        <w:autoSpaceDE w:val="0"/>
        <w:autoSpaceDN w:val="0"/>
        <w:adjustRightInd w:val="0"/>
        <w:jc w:val="both"/>
        <w:rPr>
          <w:sz w:val="20"/>
        </w:rPr>
      </w:pPr>
    </w:p>
    <w:p w14:paraId="5360B2B1" w14:textId="77777777" w:rsidR="009A2825" w:rsidRPr="009118AB" w:rsidRDefault="009A2825" w:rsidP="009A2825">
      <w:pPr>
        <w:autoSpaceDE w:val="0"/>
        <w:autoSpaceDN w:val="0"/>
        <w:adjustRightInd w:val="0"/>
        <w:jc w:val="both"/>
        <w:rPr>
          <w:sz w:val="20"/>
        </w:rPr>
      </w:pPr>
      <w:r w:rsidRPr="009118AB">
        <w:rPr>
          <w:sz w:val="20"/>
        </w:rPr>
        <w:t>1. dem Steuerbetrag, der nach Anwendung der Artikel 147 bis 153 übrig bleibt, und</w:t>
      </w:r>
    </w:p>
    <w:p w14:paraId="3FB4063E" w14:textId="77777777" w:rsidR="009A2825" w:rsidRPr="009118AB" w:rsidRDefault="009A2825" w:rsidP="009A2825">
      <w:pPr>
        <w:autoSpaceDE w:val="0"/>
        <w:autoSpaceDN w:val="0"/>
        <w:adjustRightInd w:val="0"/>
        <w:jc w:val="both"/>
        <w:rPr>
          <w:sz w:val="20"/>
        </w:rPr>
      </w:pPr>
    </w:p>
    <w:p w14:paraId="78605F79" w14:textId="77777777" w:rsidR="009A2825" w:rsidRPr="009118AB" w:rsidRDefault="009A2825" w:rsidP="009A2825">
      <w:pPr>
        <w:autoSpaceDE w:val="0"/>
        <w:autoSpaceDN w:val="0"/>
        <w:adjustRightInd w:val="0"/>
        <w:jc w:val="both"/>
        <w:rPr>
          <w:sz w:val="20"/>
        </w:rPr>
      </w:pPr>
      <w:r w:rsidRPr="009118AB">
        <w:rPr>
          <w:sz w:val="20"/>
        </w:rPr>
        <w:t>2. der Differenz zwischen dem Arbeitslosengeld und dem [gemäß § 2 Absatz 1 Nr. 1] anwendbaren Höchstbetrag.]</w:t>
      </w:r>
    </w:p>
    <w:p w14:paraId="243B94D4" w14:textId="77777777" w:rsidR="009A2825" w:rsidRPr="009118AB" w:rsidRDefault="009A2825" w:rsidP="009A2825">
      <w:pPr>
        <w:autoSpaceDE w:val="0"/>
        <w:autoSpaceDN w:val="0"/>
        <w:adjustRightInd w:val="0"/>
        <w:jc w:val="both"/>
        <w:rPr>
          <w:sz w:val="20"/>
        </w:rPr>
      </w:pPr>
    </w:p>
    <w:p w14:paraId="1CC943D6" w14:textId="77777777" w:rsidR="009A2825" w:rsidRPr="009118AB" w:rsidRDefault="009A2825" w:rsidP="009A2825">
      <w:pPr>
        <w:autoSpaceDE w:val="0"/>
        <w:autoSpaceDN w:val="0"/>
        <w:adjustRightInd w:val="0"/>
        <w:jc w:val="both"/>
        <w:rPr>
          <w:sz w:val="20"/>
        </w:rPr>
      </w:pPr>
      <w:r w:rsidRPr="009118AB">
        <w:rPr>
          <w:sz w:val="20"/>
        </w:rPr>
        <w:t>[…]</w:t>
      </w:r>
    </w:p>
    <w:p w14:paraId="703C32C5" w14:textId="77777777" w:rsidR="009A2825" w:rsidRPr="009118AB" w:rsidRDefault="009A2825" w:rsidP="009A2825">
      <w:pPr>
        <w:autoSpaceDE w:val="0"/>
        <w:autoSpaceDN w:val="0"/>
        <w:adjustRightInd w:val="0"/>
        <w:jc w:val="both"/>
        <w:rPr>
          <w:sz w:val="20"/>
        </w:rPr>
      </w:pPr>
    </w:p>
    <w:p w14:paraId="50749B16" w14:textId="77777777" w:rsidR="009A2825" w:rsidRPr="009118AB" w:rsidRDefault="009A2825" w:rsidP="009A2825">
      <w:pPr>
        <w:autoSpaceDE w:val="0"/>
        <w:autoSpaceDN w:val="0"/>
        <w:adjustRightInd w:val="0"/>
        <w:jc w:val="both"/>
        <w:rPr>
          <w:sz w:val="20"/>
        </w:rPr>
      </w:pPr>
      <w:r w:rsidRPr="009118AB">
        <w:rPr>
          <w:sz w:val="20"/>
        </w:rPr>
        <w:t>Wird eine gemeinsame Veranlagung festgelegt, wird für die Anwendung von Absatz 1 sowohl die Gesamtheit der Nettoeinkünfte als auch der Betrag der übrig bleibenden Steuer der beiden Ehepartner berücksichtigt.</w:t>
      </w:r>
    </w:p>
    <w:p w14:paraId="246E8E02" w14:textId="77777777" w:rsidR="009A2825" w:rsidRPr="009118AB" w:rsidRDefault="009A2825" w:rsidP="009A2825">
      <w:pPr>
        <w:autoSpaceDE w:val="0"/>
        <w:autoSpaceDN w:val="0"/>
        <w:adjustRightInd w:val="0"/>
        <w:jc w:val="both"/>
        <w:rPr>
          <w:sz w:val="20"/>
        </w:rPr>
      </w:pPr>
    </w:p>
    <w:p w14:paraId="404AB599" w14:textId="77777777" w:rsidR="009A2825" w:rsidRPr="009118AB" w:rsidRDefault="009A2825" w:rsidP="009A2825">
      <w:pPr>
        <w:autoSpaceDE w:val="0"/>
        <w:autoSpaceDN w:val="0"/>
        <w:adjustRightInd w:val="0"/>
        <w:jc w:val="both"/>
        <w:rPr>
          <w:sz w:val="20"/>
        </w:rPr>
      </w:pPr>
      <w:r w:rsidRPr="009118AB">
        <w:rPr>
          <w:sz w:val="20"/>
        </w:rPr>
        <w:t>Die derart berechnete zusätzliche Ermäßigung wird proportional auf den Betrag der Steuer jedes Ehepartners, die nach Anwendung [der Artikel 147 bis 153] übrig bleibt, aufgeteilt.</w:t>
      </w:r>
    </w:p>
    <w:p w14:paraId="0D258461" w14:textId="77777777" w:rsidR="009A2825" w:rsidRPr="009118AB" w:rsidRDefault="009A2825" w:rsidP="009A2825">
      <w:pPr>
        <w:autoSpaceDE w:val="0"/>
        <w:autoSpaceDN w:val="0"/>
        <w:adjustRightInd w:val="0"/>
        <w:jc w:val="both"/>
        <w:rPr>
          <w:sz w:val="20"/>
        </w:rPr>
      </w:pPr>
    </w:p>
    <w:p w14:paraId="73542FE3" w14:textId="77777777" w:rsidR="009A2825" w:rsidRPr="009118AB" w:rsidRDefault="009A2825" w:rsidP="009A2825">
      <w:pPr>
        <w:autoSpaceDE w:val="0"/>
        <w:autoSpaceDN w:val="0"/>
        <w:adjustRightInd w:val="0"/>
        <w:jc w:val="both"/>
        <w:rPr>
          <w:sz w:val="20"/>
        </w:rPr>
      </w:pPr>
      <w:r w:rsidRPr="009118AB">
        <w:rPr>
          <w:sz w:val="20"/>
        </w:rPr>
        <w:t>[…]]</w:t>
      </w:r>
    </w:p>
    <w:p w14:paraId="7FBE0F92" w14:textId="77777777" w:rsidR="009A2825" w:rsidRPr="009118AB" w:rsidRDefault="009A2825" w:rsidP="009A2825">
      <w:pPr>
        <w:autoSpaceDE w:val="0"/>
        <w:autoSpaceDN w:val="0"/>
        <w:adjustRightInd w:val="0"/>
        <w:jc w:val="both"/>
        <w:rPr>
          <w:sz w:val="20"/>
        </w:rPr>
      </w:pPr>
    </w:p>
    <w:p w14:paraId="39685AD6" w14:textId="4E2BB7BD" w:rsidR="009A2825" w:rsidRPr="009118AB" w:rsidRDefault="009A2825" w:rsidP="009A2825">
      <w:pPr>
        <w:autoSpaceDE w:val="0"/>
        <w:autoSpaceDN w:val="0"/>
        <w:adjustRightInd w:val="0"/>
        <w:jc w:val="both"/>
        <w:rPr>
          <w:sz w:val="20"/>
        </w:rPr>
      </w:pPr>
      <w:r w:rsidRPr="009118AB">
        <w:rPr>
          <w:sz w:val="20"/>
        </w:rPr>
        <w:t>[§ 3/1 - In Fällen, die nicht [in § 2] erwähnt sind, und wenn die Gesamtheit der Nettoeinkünfte [sich ausschließlich aus einerseits Arbeitslosen</w:t>
      </w:r>
      <w:r w:rsidRPr="009118AB">
        <w:rPr>
          <w:sz w:val="20"/>
        </w:rPr>
        <w:softHyphen/>
        <w:t>geld und andererseits Pensionen, gesetzlichen Krankheits- und Invaliditätsentschädigungen oder anderen Ersatzeinkünften zusammensetzt], [entspricht die zusätzliche Ermäßigung</w:t>
      </w:r>
      <w:r w:rsidRPr="009118AB">
        <w:t xml:space="preserve"> </w:t>
      </w:r>
      <w:r w:rsidRPr="009118AB">
        <w:rPr>
          <w:sz w:val="20"/>
          <w:szCs w:val="20"/>
        </w:rPr>
        <w:t>[4</w:t>
      </w:r>
      <w:r w:rsidRPr="009118AB">
        <w:rPr>
          <w:rFonts w:eastAsia="Calibri"/>
          <w:kern w:val="2"/>
          <w:sz w:val="20"/>
          <w:szCs w:val="18"/>
          <w:lang w:eastAsia="en-US"/>
          <w14:ligatures w14:val="standardContextual"/>
        </w:rPr>
        <w:t>0 Prozent</w:t>
      </w:r>
      <w:r w:rsidRPr="009118AB">
        <w:rPr>
          <w:sz w:val="20"/>
          <w:szCs w:val="20"/>
        </w:rPr>
        <w:t xml:space="preserve">] </w:t>
      </w:r>
      <w:r w:rsidRPr="009118AB">
        <w:rPr>
          <w:sz w:val="20"/>
        </w:rPr>
        <w:t>der Plusdifferenz] zwischen:</w:t>
      </w:r>
    </w:p>
    <w:p w14:paraId="737194E3" w14:textId="77777777" w:rsidR="009A2825" w:rsidRPr="009118AB" w:rsidRDefault="009A2825" w:rsidP="009A2825">
      <w:pPr>
        <w:autoSpaceDE w:val="0"/>
        <w:autoSpaceDN w:val="0"/>
        <w:adjustRightInd w:val="0"/>
        <w:jc w:val="both"/>
        <w:rPr>
          <w:sz w:val="20"/>
        </w:rPr>
      </w:pPr>
    </w:p>
    <w:p w14:paraId="6769BDCD" w14:textId="77777777" w:rsidR="009A2825" w:rsidRPr="009118AB" w:rsidRDefault="009A2825" w:rsidP="009A2825">
      <w:pPr>
        <w:autoSpaceDE w:val="0"/>
        <w:autoSpaceDN w:val="0"/>
        <w:adjustRightInd w:val="0"/>
        <w:jc w:val="both"/>
        <w:rPr>
          <w:sz w:val="20"/>
        </w:rPr>
      </w:pPr>
      <w:r w:rsidRPr="009118AB">
        <w:rPr>
          <w:sz w:val="20"/>
        </w:rPr>
        <w:t>1. dem Steuerbetrag, der nach Anwendung der Artikel 147 bis 153 übrig bleibt, und</w:t>
      </w:r>
    </w:p>
    <w:p w14:paraId="5EA34CB2" w14:textId="77777777" w:rsidR="009A2825" w:rsidRPr="009118AB" w:rsidRDefault="009A2825" w:rsidP="009A2825">
      <w:pPr>
        <w:autoSpaceDE w:val="0"/>
        <w:autoSpaceDN w:val="0"/>
        <w:adjustRightInd w:val="0"/>
        <w:jc w:val="both"/>
        <w:rPr>
          <w:sz w:val="20"/>
        </w:rPr>
      </w:pPr>
    </w:p>
    <w:p w14:paraId="39C21FBB" w14:textId="77777777" w:rsidR="009A2825" w:rsidRPr="009118AB" w:rsidRDefault="009A2825" w:rsidP="009A2825">
      <w:pPr>
        <w:autoSpaceDE w:val="0"/>
        <w:autoSpaceDN w:val="0"/>
        <w:adjustRightInd w:val="0"/>
        <w:jc w:val="both"/>
        <w:rPr>
          <w:sz w:val="20"/>
        </w:rPr>
      </w:pPr>
      <w:r w:rsidRPr="009118AB">
        <w:rPr>
          <w:sz w:val="20"/>
        </w:rPr>
        <w:t>2. [90 Prozent der Differenz zwischen dem Betrag der Ersatzeinkünfte und gegebenenfalls der Pensionen und 10.160 EUR.]</w:t>
      </w:r>
    </w:p>
    <w:p w14:paraId="67482551" w14:textId="77777777" w:rsidR="009A2825" w:rsidRPr="009118AB" w:rsidRDefault="009A2825" w:rsidP="009A2825">
      <w:pPr>
        <w:autoSpaceDE w:val="0"/>
        <w:autoSpaceDN w:val="0"/>
        <w:adjustRightInd w:val="0"/>
        <w:jc w:val="both"/>
        <w:rPr>
          <w:sz w:val="20"/>
        </w:rPr>
      </w:pPr>
    </w:p>
    <w:p w14:paraId="55CC9334" w14:textId="77777777" w:rsidR="009A2825" w:rsidRPr="009118AB" w:rsidRDefault="009A2825" w:rsidP="009A2825">
      <w:pPr>
        <w:autoSpaceDE w:val="0"/>
        <w:autoSpaceDN w:val="0"/>
        <w:adjustRightInd w:val="0"/>
        <w:jc w:val="both"/>
        <w:rPr>
          <w:sz w:val="20"/>
        </w:rPr>
      </w:pPr>
      <w:r w:rsidRPr="009118AB">
        <w:rPr>
          <w:sz w:val="20"/>
        </w:rPr>
        <w:t>Die zusätzliche Ermäßigung wird gegebenenfalls proportional zum Anteil der Steuer, der nach Anwendung der Artikel 147 bis 153 übrig bleibt und sich auf Pensionen oder andere Ersatzeinkünfte, auf Arbeitslosengeld beziehungsweise auf gesetzliche Krankheits- und Invaliditätsentschädigungen bezieht, und zum Gesamtbetrag der Steuer, der nach Anwendung der Artikel 147 bis 153 übrig bleibt, aufgeteilt.</w:t>
      </w:r>
    </w:p>
    <w:p w14:paraId="2438189F" w14:textId="77777777" w:rsidR="009A2825" w:rsidRPr="009118AB" w:rsidRDefault="009A2825" w:rsidP="009A2825">
      <w:pPr>
        <w:autoSpaceDE w:val="0"/>
        <w:autoSpaceDN w:val="0"/>
        <w:adjustRightInd w:val="0"/>
        <w:jc w:val="both"/>
        <w:rPr>
          <w:sz w:val="20"/>
        </w:rPr>
      </w:pPr>
    </w:p>
    <w:p w14:paraId="1715405D" w14:textId="77777777" w:rsidR="009A2825" w:rsidRPr="009118AB" w:rsidRDefault="009A2825" w:rsidP="009A2825">
      <w:pPr>
        <w:autoSpaceDE w:val="0"/>
        <w:autoSpaceDN w:val="0"/>
        <w:adjustRightInd w:val="0"/>
        <w:jc w:val="both"/>
        <w:rPr>
          <w:sz w:val="20"/>
        </w:rPr>
      </w:pPr>
      <w:r w:rsidRPr="009118AB">
        <w:rPr>
          <w:sz w:val="20"/>
        </w:rPr>
        <w:t>Wird eine gemeinsame Veranlagung festgelegt, wird für die Anwendung von Absatz 1 sowohl die Gesamtheit der Nettoeinkünfte als auch der Betrag der übrig bleibenden Steuer der beiden Ehepartner berücksichtigt.</w:t>
      </w:r>
    </w:p>
    <w:p w14:paraId="2552F6E5" w14:textId="77777777" w:rsidR="009A2825" w:rsidRPr="009118AB" w:rsidRDefault="009A2825" w:rsidP="009A2825">
      <w:pPr>
        <w:autoSpaceDE w:val="0"/>
        <w:autoSpaceDN w:val="0"/>
        <w:adjustRightInd w:val="0"/>
        <w:jc w:val="both"/>
        <w:rPr>
          <w:sz w:val="20"/>
        </w:rPr>
      </w:pPr>
    </w:p>
    <w:p w14:paraId="7AD67120" w14:textId="77777777" w:rsidR="009A2825" w:rsidRPr="009118AB" w:rsidRDefault="009A2825" w:rsidP="009A2825">
      <w:pPr>
        <w:autoSpaceDE w:val="0"/>
        <w:autoSpaceDN w:val="0"/>
        <w:adjustRightInd w:val="0"/>
        <w:jc w:val="both"/>
        <w:rPr>
          <w:sz w:val="20"/>
        </w:rPr>
      </w:pPr>
      <w:r w:rsidRPr="009118AB">
        <w:rPr>
          <w:sz w:val="20"/>
        </w:rPr>
        <w:t>Die derart berechnete zusätzliche Ermäßigung wird proportional auf den Betrag der Steuer jedes Ehepartners, die nach Anwendung der Artikel 147 bis 153 übrig bleibt, aufgeteilt.]</w:t>
      </w:r>
    </w:p>
    <w:p w14:paraId="0FBED2D6" w14:textId="77777777" w:rsidR="009A2825" w:rsidRPr="009118AB" w:rsidRDefault="009A2825" w:rsidP="009A2825">
      <w:pPr>
        <w:autoSpaceDE w:val="0"/>
        <w:autoSpaceDN w:val="0"/>
        <w:adjustRightInd w:val="0"/>
        <w:jc w:val="both"/>
        <w:rPr>
          <w:sz w:val="20"/>
        </w:rPr>
      </w:pPr>
    </w:p>
    <w:p w14:paraId="26AB191C" w14:textId="77777777" w:rsidR="009A2825" w:rsidRPr="009118AB" w:rsidRDefault="009A2825" w:rsidP="009A2825">
      <w:pPr>
        <w:autoSpaceDE w:val="0"/>
        <w:autoSpaceDN w:val="0"/>
        <w:adjustRightInd w:val="0"/>
        <w:jc w:val="both"/>
        <w:rPr>
          <w:sz w:val="20"/>
        </w:rPr>
      </w:pPr>
      <w:r w:rsidRPr="009118AB">
        <w:rPr>
          <w:sz w:val="20"/>
        </w:rPr>
        <w:t>[…]</w:t>
      </w:r>
    </w:p>
    <w:p w14:paraId="0CEF17F3" w14:textId="77777777" w:rsidR="009A2825" w:rsidRPr="009118AB" w:rsidRDefault="009A2825" w:rsidP="009A2825">
      <w:pPr>
        <w:autoSpaceDE w:val="0"/>
        <w:autoSpaceDN w:val="0"/>
        <w:adjustRightInd w:val="0"/>
        <w:jc w:val="both"/>
        <w:rPr>
          <w:sz w:val="20"/>
        </w:rPr>
      </w:pPr>
    </w:p>
    <w:p w14:paraId="4B767169" w14:textId="77777777" w:rsidR="009A2825" w:rsidRPr="009118AB" w:rsidRDefault="009A2825" w:rsidP="009A2825">
      <w:pPr>
        <w:autoSpaceDE w:val="0"/>
        <w:autoSpaceDN w:val="0"/>
        <w:adjustRightInd w:val="0"/>
        <w:jc w:val="both"/>
        <w:rPr>
          <w:sz w:val="20"/>
        </w:rPr>
      </w:pPr>
      <w:r w:rsidRPr="009118AB">
        <w:rPr>
          <w:sz w:val="20"/>
        </w:rPr>
        <w:lastRenderedPageBreak/>
        <w:t>[§ 4 - [Für die Steuerjahre 2020 und folgende wird der in § 2 Absatz 1 Nr. 1 erwähnte Höchstbetrag auf der Grundlage der Beträge des gesetzlichen Arbeitslosengeldes für das vierte Jahr vor dem Steuerjahr festgelegt.]]</w:t>
      </w:r>
    </w:p>
    <w:p w14:paraId="19E9A276" w14:textId="77777777" w:rsidR="009A2825" w:rsidRPr="009118AB" w:rsidRDefault="009A2825" w:rsidP="009A2825">
      <w:pPr>
        <w:autoSpaceDE w:val="0"/>
        <w:autoSpaceDN w:val="0"/>
        <w:adjustRightInd w:val="0"/>
        <w:jc w:val="both"/>
        <w:rPr>
          <w:sz w:val="20"/>
        </w:rPr>
      </w:pPr>
    </w:p>
    <w:p w14:paraId="330A5020" w14:textId="6ECFE6CF" w:rsidR="009A2825" w:rsidRPr="009118AB" w:rsidRDefault="009A2825" w:rsidP="009A2825">
      <w:pPr>
        <w:autoSpaceDE w:val="0"/>
        <w:autoSpaceDN w:val="0"/>
        <w:adjustRightInd w:val="0"/>
        <w:jc w:val="both"/>
        <w:rPr>
          <w:iCs/>
          <w:sz w:val="20"/>
        </w:rPr>
      </w:pPr>
      <w:r w:rsidRPr="009118AB">
        <w:rPr>
          <w:i/>
          <w:iCs/>
          <w:sz w:val="20"/>
        </w:rPr>
        <w:t xml:space="preserve">[Art. 154 aufgehoben durch Art. 6 des G. vom 17. März 2022 (B.S. vom 25. März 2022) - anwendbar ab dem Steuerjahr 2023 -, selbst widerrufen durch Art. 67 des G. vom 5. Juli 2022 (B.S. vom 15. Juli 2022) - in Kraft am 1. Januar 2022 -; Art. 154 ersetzt durch Art. 38 des G. vom 17. Mai 2007 (B.S. vom 19. Juni 2007) - anwendbar </w:t>
      </w:r>
      <w:r w:rsidRPr="009118AB">
        <w:rPr>
          <w:i/>
          <w:sz w:val="20"/>
        </w:rPr>
        <w:t xml:space="preserve">auf die ab dem 1. Januar 2007 gezahlten oder zuerkannten Einkünfte -; § 1 Abs. 1 ersetzt durch Art. 16 Nr. 1 des G. vom 23. März 2019 (B.S. vom 5. April 2019) - anwendbar ab dem Steuerjahr 2020 -; § 2 Abs. 1 einleitende Bestimmung abgeändert </w:t>
      </w:r>
      <w:r w:rsidRPr="009118AB">
        <w:rPr>
          <w:i/>
          <w:iCs/>
          <w:sz w:val="20"/>
        </w:rPr>
        <w:t>durch Art. 123 Nr. 1 des G. (I) vom 22. Dezember 2008 (II) (B.S. vom 29. Dezember 2008) - anwendbar auf die ab dem 1. Januar 2007 gezahlten oder zuerkannten Einkünfte -, Art. 68 Nr. 1 Buchstabe a) des G. vom 5. Juli 2022 (B.S. vom 15. Juli 2022) - anwendbar a</w:t>
      </w:r>
      <w:r w:rsidR="009D6F3E" w:rsidRPr="009118AB">
        <w:rPr>
          <w:i/>
          <w:iCs/>
          <w:sz w:val="20"/>
        </w:rPr>
        <w:t>b</w:t>
      </w:r>
      <w:r w:rsidRPr="009118AB">
        <w:rPr>
          <w:i/>
          <w:iCs/>
          <w:sz w:val="20"/>
        </w:rPr>
        <w:t xml:space="preserve"> dem Steuerjahr 2024 -, Art. 68 Nr. 2 des G. vom 5. Juli 2022 (B.S. vom 15. Juli 2022) - anwendbar a</w:t>
      </w:r>
      <w:r w:rsidR="009D6F3E" w:rsidRPr="009118AB">
        <w:rPr>
          <w:i/>
          <w:iCs/>
          <w:sz w:val="20"/>
        </w:rPr>
        <w:t>b</w:t>
      </w:r>
      <w:r w:rsidRPr="009118AB">
        <w:rPr>
          <w:i/>
          <w:iCs/>
          <w:sz w:val="20"/>
        </w:rPr>
        <w:t xml:space="preserve"> dem Steuerjahr 2025 - und Art. 68 Nr. 3 des G. vom 5. Juli 2022 (B.S. vom 15. Juli 2022) - anwendbar a</w:t>
      </w:r>
      <w:r w:rsidR="009D6F3E" w:rsidRPr="009118AB">
        <w:rPr>
          <w:i/>
          <w:iCs/>
          <w:sz w:val="20"/>
        </w:rPr>
        <w:t>b</w:t>
      </w:r>
      <w:r w:rsidRPr="009118AB">
        <w:rPr>
          <w:i/>
          <w:iCs/>
          <w:sz w:val="20"/>
        </w:rPr>
        <w:t xml:space="preserve"> dem Steuerjahr 2026 -;</w:t>
      </w:r>
      <w:r w:rsidRPr="009118AB">
        <w:rPr>
          <w:i/>
          <w:sz w:val="20"/>
        </w:rPr>
        <w:t xml:space="preserve"> § 2 Abs. 1 Nr. 1 und 2 ersetzt durch Art. 16 Nr. 2 des G. vom 23. März 2019 (B.S. vom 5. April 2019) - anwendbar ab dem Steuerjahr 2020 -; § 2 Abs. 1 Nr. 3 aufgehoben durch Art. 16 Nr. 3 des G. vom 23. März 2019 (B.S. vom 5. April 2019) - anwendbar ab dem Steuerjahr 2020 -; § 3 Abs. 1 ersetzt durch Art. 44 Buchstabe a)</w:t>
      </w:r>
      <w:r w:rsidRPr="009118AB">
        <w:rPr>
          <w:i/>
          <w:iCs/>
          <w:sz w:val="20"/>
        </w:rPr>
        <w:t xml:space="preserve"> des G. vom 18. Dezember 2015 (II) (B.S. vom 28. Dezember 2015) - in Kraft ab dem Steuerjahr 2016 -</w:t>
      </w:r>
      <w:r w:rsidR="0028505A" w:rsidRPr="009118AB">
        <w:rPr>
          <w:i/>
          <w:iCs/>
          <w:sz w:val="20"/>
        </w:rPr>
        <w:t>; § 3 Abs. 1 einleitende Bestimmung</w:t>
      </w:r>
      <w:r w:rsidRPr="009118AB">
        <w:rPr>
          <w:i/>
          <w:iCs/>
          <w:sz w:val="20"/>
        </w:rPr>
        <w:t xml:space="preserve"> abgeändert durch Art. 68 Nr. 1 Buchstabe b) des G. vom 5. Juli 2022 (B.S. vom 15. Juli 2022) - anwendbar a</w:t>
      </w:r>
      <w:r w:rsidR="009D6F3E" w:rsidRPr="009118AB">
        <w:rPr>
          <w:i/>
          <w:iCs/>
          <w:sz w:val="20"/>
        </w:rPr>
        <w:t>b</w:t>
      </w:r>
      <w:r w:rsidRPr="009118AB">
        <w:rPr>
          <w:i/>
          <w:iCs/>
          <w:sz w:val="20"/>
        </w:rPr>
        <w:t xml:space="preserve"> dem Steuerjahr 2024 -, Art. 68 Nr. 2 des G. vom 5. Juli 2022 (B.S. vom 15. Juli 2022) - anwendbar a</w:t>
      </w:r>
      <w:r w:rsidR="009D6F3E" w:rsidRPr="009118AB">
        <w:rPr>
          <w:i/>
          <w:iCs/>
          <w:sz w:val="20"/>
        </w:rPr>
        <w:t>b</w:t>
      </w:r>
      <w:r w:rsidRPr="009118AB">
        <w:rPr>
          <w:i/>
          <w:iCs/>
          <w:sz w:val="20"/>
        </w:rPr>
        <w:t xml:space="preserve"> dem Steuerjahr 2025 - und Art. 68 Nr. 3 des G. vom 5. Juli 2022 (B.S. vom 15. Juli 2022) - anwendbar a</w:t>
      </w:r>
      <w:r w:rsidR="009D6F3E" w:rsidRPr="009118AB">
        <w:rPr>
          <w:i/>
          <w:iCs/>
          <w:sz w:val="20"/>
        </w:rPr>
        <w:t>b</w:t>
      </w:r>
      <w:r w:rsidRPr="009118AB">
        <w:rPr>
          <w:i/>
          <w:iCs/>
          <w:sz w:val="20"/>
        </w:rPr>
        <w:t xml:space="preserve"> dem Steuerjahr 2026 -;</w:t>
      </w:r>
      <w:r w:rsidRPr="009118AB">
        <w:rPr>
          <w:i/>
          <w:sz w:val="20"/>
        </w:rPr>
        <w:t xml:space="preserve"> § 3 Abs. 1 Nr. 2 abgeändert durch Art. 16 Nr. 4 des G. vom 23. März 2019 (B.S. vom 5. April 2019) - anwendbar ab dem Steuerjahr 2020 -; § 3 früherer Absatz 2 aufgehoben durch Art. 94 Nr. 2 des G. vom 10. August 2015 (B.S. vom 18. August 2015) - anwendbar ab dem Steuerjahr 2016 -, selbst widerrufen durch Art. 67</w:t>
      </w:r>
      <w:r w:rsidRPr="009118AB">
        <w:rPr>
          <w:i/>
          <w:iCs/>
          <w:sz w:val="20"/>
        </w:rPr>
        <w:t xml:space="preserve"> des G. vom 18. Dezember 2015 (II) (B.S. vom 28. Dezember 2015),</w:t>
      </w:r>
      <w:r w:rsidRPr="009118AB">
        <w:rPr>
          <w:i/>
          <w:sz w:val="20"/>
        </w:rPr>
        <w:t xml:space="preserve"> und durch Art. 44 Buchstabe b)</w:t>
      </w:r>
      <w:r w:rsidRPr="009118AB">
        <w:rPr>
          <w:i/>
          <w:iCs/>
          <w:sz w:val="20"/>
        </w:rPr>
        <w:t xml:space="preserve"> des G. vom 18. Dezember 2015 (II) (B.S. vom 28. Dezember 2015) - in Kraft ab dem Steuerjahr 2016 -;</w:t>
      </w:r>
      <w:r w:rsidRPr="009118AB">
        <w:rPr>
          <w:i/>
          <w:sz w:val="20"/>
        </w:rPr>
        <w:t xml:space="preserve"> § 3 Abs. 3 abgeändert durch </w:t>
      </w:r>
      <w:r w:rsidRPr="009118AB">
        <w:rPr>
          <w:i/>
          <w:iCs/>
          <w:sz w:val="20"/>
        </w:rPr>
        <w:t>Art. 123 Nr. 1 des G. (I) vom 22. Dezember 2008 (II) (B.S. vom 29. Dezember 2008) - anwendbar auf die ab dem 1. Januar 2007 gezahlten oder zuerkannten Einkünfte -;</w:t>
      </w:r>
      <w:r w:rsidRPr="009118AB">
        <w:rPr>
          <w:i/>
          <w:sz w:val="20"/>
        </w:rPr>
        <w:t xml:space="preserve"> § 3 Abs. 4 aufgehoben </w:t>
      </w:r>
      <w:r w:rsidRPr="009118AB">
        <w:rPr>
          <w:i/>
          <w:iCs/>
          <w:sz w:val="20"/>
        </w:rPr>
        <w:t xml:space="preserve">durch Art. 123 Nr. 2 des G. (I) vom 22. Dezember 2008 (II) (B.S. vom 29. Dezember 2008) - anwendbar auf die ab dem 1. Januar 2007 gezahlten oder zuerkannten Einkünfte -; § 3/1 eingefügt durch Art. 44 Buchstabe c) des G. vom 18. Dezember 2015 (II) (B.S. vom </w:t>
      </w:r>
      <w:r w:rsidRPr="009118AB">
        <w:rPr>
          <w:rFonts w:ascii="Times New Roman Italique" w:hAnsi="Times New Roman Italique"/>
          <w:i/>
          <w:iCs/>
          <w:spacing w:val="-2"/>
          <w:sz w:val="20"/>
        </w:rPr>
        <w:t>28. Dezember 2015) - in Kraft ab dem Steuerjahr 2016 -; § 3/1 Abs. 1 einleitende Bestimmung abgeändert durch Art. 10 Nr. 1 des G. vom 22. Oktober 2017 (B.S. vom 18. Dezember 2017) - anwendbar ab dem Steuerjahr 2018 -, Art. 16 Nr. 5</w:t>
      </w:r>
      <w:r w:rsidRPr="009118AB">
        <w:rPr>
          <w:rFonts w:ascii="Times New Roman Italique" w:hAnsi="Times New Roman Italique"/>
          <w:i/>
          <w:spacing w:val="-2"/>
          <w:sz w:val="20"/>
        </w:rPr>
        <w:t xml:space="preserve"> des G. vom 23. März 2019 (B.S. vom 5. April 2019) - anwendbar ab dem Steuerjahr 2020 -, </w:t>
      </w:r>
      <w:r w:rsidRPr="009118AB">
        <w:rPr>
          <w:i/>
          <w:iCs/>
          <w:sz w:val="20"/>
        </w:rPr>
        <w:t>Art. 68 Nr. 1 Buchstabe c) des G. vom 5. Juli 2022 (B.S. vom 15. Juli 2022) - anwendbar a</w:t>
      </w:r>
      <w:r w:rsidR="009D6F3E" w:rsidRPr="009118AB">
        <w:rPr>
          <w:i/>
          <w:iCs/>
          <w:sz w:val="20"/>
        </w:rPr>
        <w:t>b</w:t>
      </w:r>
      <w:r w:rsidRPr="009118AB">
        <w:rPr>
          <w:i/>
          <w:iCs/>
          <w:sz w:val="20"/>
        </w:rPr>
        <w:t xml:space="preserve"> dem Steuerjahr 2024 -</w:t>
      </w:r>
      <w:r w:rsidR="00CC01C6" w:rsidRPr="009118AB">
        <w:rPr>
          <w:i/>
          <w:iCs/>
          <w:sz w:val="20"/>
        </w:rPr>
        <w:t>,</w:t>
      </w:r>
      <w:r w:rsidRPr="009118AB">
        <w:rPr>
          <w:i/>
          <w:iCs/>
          <w:sz w:val="20"/>
        </w:rPr>
        <w:t xml:space="preserve"> Art. 68 Nr. 2 des G. vom 5. Juli 2022 (B.S. vom 15. Juli 2022) - anwendbar a</w:t>
      </w:r>
      <w:r w:rsidR="009D6F3E" w:rsidRPr="009118AB">
        <w:rPr>
          <w:i/>
          <w:iCs/>
          <w:sz w:val="20"/>
        </w:rPr>
        <w:t>b</w:t>
      </w:r>
      <w:r w:rsidRPr="009118AB">
        <w:rPr>
          <w:i/>
          <w:iCs/>
          <w:sz w:val="20"/>
        </w:rPr>
        <w:t xml:space="preserve"> dem Steuerjahr 2025 - und Art. 68 Nr. 3 des G. vom 5. Juli 2022 (B.S. vom 15. Juli 2022) - anwendbar a</w:t>
      </w:r>
      <w:r w:rsidR="009D6F3E" w:rsidRPr="009118AB">
        <w:rPr>
          <w:i/>
          <w:iCs/>
          <w:sz w:val="20"/>
        </w:rPr>
        <w:t>b</w:t>
      </w:r>
      <w:r w:rsidRPr="009118AB">
        <w:rPr>
          <w:i/>
          <w:iCs/>
          <w:sz w:val="20"/>
        </w:rPr>
        <w:t xml:space="preserve"> dem Steuerjahr 2026 -</w:t>
      </w:r>
      <w:r w:rsidRPr="009118AB">
        <w:rPr>
          <w:rFonts w:ascii="Times New Roman Italique" w:hAnsi="Times New Roman Italique"/>
          <w:i/>
          <w:spacing w:val="-2"/>
          <w:sz w:val="20"/>
        </w:rPr>
        <w:t>;</w:t>
      </w:r>
      <w:r w:rsidRPr="009118AB">
        <w:rPr>
          <w:rFonts w:ascii="Times New Roman Italique" w:hAnsi="Times New Roman Italique"/>
          <w:i/>
          <w:iCs/>
          <w:spacing w:val="-2"/>
          <w:sz w:val="20"/>
        </w:rPr>
        <w:t xml:space="preserve"> § 3/1</w:t>
      </w:r>
      <w:r w:rsidRPr="009118AB">
        <w:rPr>
          <w:i/>
          <w:iCs/>
          <w:sz w:val="20"/>
        </w:rPr>
        <w:t xml:space="preserve"> Abs. 1 Nr. 2 ersetzt durch Art. 16 Nr. 6</w:t>
      </w:r>
      <w:r w:rsidRPr="009118AB">
        <w:rPr>
          <w:i/>
          <w:sz w:val="20"/>
        </w:rPr>
        <w:t xml:space="preserve"> des G. vom 23. März 2019 (B.S. vom 5. April 2019) - anwendbar ab dem Steuerjahr 2020 -;</w:t>
      </w:r>
      <w:r w:rsidRPr="009118AB">
        <w:rPr>
          <w:i/>
          <w:iCs/>
          <w:sz w:val="20"/>
        </w:rPr>
        <w:t xml:space="preserve"> früherer Paragraph 4 eingefügt durch Art. 94 Nr. 3</w:t>
      </w:r>
      <w:r w:rsidRPr="009118AB">
        <w:rPr>
          <w:i/>
          <w:sz w:val="20"/>
        </w:rPr>
        <w:t xml:space="preserve"> des G. vom 10. August 2015 (B.S. vom 18. August 2015) - anwendbar ab dem Steuerjahr 2016 -, selbst widerrufen durch Art. 67</w:t>
      </w:r>
      <w:r w:rsidRPr="009118AB">
        <w:rPr>
          <w:i/>
          <w:iCs/>
          <w:sz w:val="20"/>
        </w:rPr>
        <w:t xml:space="preserve"> des G. vom 18. Dezember 2015 (II) (B.S. vom 28. Dezember 2015)</w:t>
      </w:r>
      <w:r w:rsidRPr="009118AB">
        <w:rPr>
          <w:i/>
          <w:sz w:val="20"/>
        </w:rPr>
        <w:t>; § </w:t>
      </w:r>
      <w:r w:rsidRPr="009118AB">
        <w:rPr>
          <w:i/>
          <w:iCs/>
          <w:sz w:val="20"/>
        </w:rPr>
        <w:t>4 eingefügt durch Art. 5 des G. vom 19. Dezember 2014 (B.S. vom 29. Dezember 2014) - anwendbar ab dem Steuerjahr 2015 -, umnummeriert zu § 5 durch Art. 94 Nr. 3</w:t>
      </w:r>
      <w:r w:rsidRPr="009118AB">
        <w:rPr>
          <w:i/>
          <w:sz w:val="20"/>
        </w:rPr>
        <w:t xml:space="preserve"> des G. vom 10. August 2015 (B.S. vom 18. August 2015) - anwendbar ab dem Steuerjahr 2016 -, selbst widerrufen durch Art. 67</w:t>
      </w:r>
      <w:r w:rsidRPr="009118AB">
        <w:rPr>
          <w:i/>
          <w:iCs/>
          <w:sz w:val="20"/>
        </w:rPr>
        <w:t xml:space="preserve"> des G. vom 18. Dezember 2015 (II) (B.S. vom 28. Dezember 2015), und ersetzt durch Art. 16 Nr. 7</w:t>
      </w:r>
      <w:r w:rsidRPr="009118AB">
        <w:rPr>
          <w:i/>
          <w:sz w:val="20"/>
        </w:rPr>
        <w:t xml:space="preserve"> des G. vom 23. März 2019 (B.S. vom 5. April 2019) - anwendbar ab dem Steuerjahr 2020 -]</w:t>
      </w:r>
      <w:r w:rsidRPr="009118AB">
        <w:rPr>
          <w:iCs/>
          <w:sz w:val="20"/>
        </w:rPr>
        <w:t>"</w:t>
      </w:r>
    </w:p>
    <w:p w14:paraId="2DB0AB80" w14:textId="77777777" w:rsidR="009A2825" w:rsidRPr="009118AB" w:rsidRDefault="009A2825" w:rsidP="009A2825">
      <w:pPr>
        <w:autoSpaceDE w:val="0"/>
        <w:autoSpaceDN w:val="0"/>
        <w:adjustRightInd w:val="0"/>
        <w:jc w:val="both"/>
        <w:rPr>
          <w:iCs/>
          <w:sz w:val="20"/>
        </w:rPr>
      </w:pPr>
    </w:p>
    <w:p w14:paraId="0C8C273B" w14:textId="0F93E5FC" w:rsidR="009A2825" w:rsidRPr="009118AB" w:rsidRDefault="009A2825" w:rsidP="009A2825">
      <w:pPr>
        <w:autoSpaceDE w:val="0"/>
        <w:autoSpaceDN w:val="0"/>
        <w:adjustRightInd w:val="0"/>
        <w:jc w:val="both"/>
        <w:rPr>
          <w:iCs/>
          <w:sz w:val="20"/>
        </w:rPr>
      </w:pPr>
    </w:p>
    <w:p w14:paraId="50009D16" w14:textId="078D000A" w:rsidR="009A2825" w:rsidRPr="009118AB" w:rsidRDefault="009A2825" w:rsidP="009A2825">
      <w:pPr>
        <w:autoSpaceDE w:val="0"/>
        <w:autoSpaceDN w:val="0"/>
        <w:adjustRightInd w:val="0"/>
        <w:jc w:val="both"/>
        <w:rPr>
          <w:sz w:val="20"/>
        </w:rPr>
      </w:pPr>
      <w:r w:rsidRPr="009118AB">
        <w:rPr>
          <w:iCs/>
          <w:sz w:val="20"/>
          <w:szCs w:val="20"/>
        </w:rPr>
        <w:t>Ab dem Steuerjahr 2027 (gemäß Art. 71 Abs. 17</w:t>
      </w:r>
      <w:r w:rsidRPr="009118AB">
        <w:rPr>
          <w:i/>
          <w:iCs/>
          <w:sz w:val="20"/>
        </w:rPr>
        <w:t xml:space="preserve"> </w:t>
      </w:r>
      <w:r w:rsidRPr="009118AB">
        <w:rPr>
          <w:sz w:val="20"/>
        </w:rPr>
        <w:t>des G. vom 5. Juli 2022 (B.S. vom 15. Juli 2022)) lautet Art. 154 wie folgt:</w:t>
      </w:r>
    </w:p>
    <w:p w14:paraId="4297472F" w14:textId="77777777" w:rsidR="009A2825" w:rsidRPr="009118AB" w:rsidRDefault="009A2825" w:rsidP="009A2825">
      <w:pPr>
        <w:autoSpaceDE w:val="0"/>
        <w:autoSpaceDN w:val="0"/>
        <w:adjustRightInd w:val="0"/>
        <w:jc w:val="both"/>
        <w:rPr>
          <w:sz w:val="20"/>
        </w:rPr>
      </w:pPr>
    </w:p>
    <w:p w14:paraId="4092A905" w14:textId="77777777" w:rsidR="009A2825" w:rsidRPr="009118AB" w:rsidRDefault="009A2825" w:rsidP="009A2825">
      <w:pPr>
        <w:autoSpaceDE w:val="0"/>
        <w:autoSpaceDN w:val="0"/>
        <w:adjustRightInd w:val="0"/>
        <w:jc w:val="both"/>
        <w:rPr>
          <w:sz w:val="20"/>
        </w:rPr>
      </w:pPr>
      <w:r w:rsidRPr="009118AB">
        <w:rPr>
          <w:sz w:val="20"/>
        </w:rPr>
        <w:t>"Art. 154 - [§ 1 - [Eine zusätzliche Ermäßigung wird gewährt, wenn die Gesamtheit der Nettoeinkünfte sich ausschließlich zusammensetzt aus:</w:t>
      </w:r>
    </w:p>
    <w:p w14:paraId="556B0194" w14:textId="77777777" w:rsidR="009A2825" w:rsidRPr="009118AB" w:rsidRDefault="009A2825" w:rsidP="009A2825">
      <w:pPr>
        <w:autoSpaceDE w:val="0"/>
        <w:autoSpaceDN w:val="0"/>
        <w:adjustRightInd w:val="0"/>
        <w:jc w:val="both"/>
        <w:rPr>
          <w:sz w:val="20"/>
        </w:rPr>
      </w:pPr>
    </w:p>
    <w:p w14:paraId="05285FAA" w14:textId="77777777" w:rsidR="009A2825" w:rsidRPr="009118AB" w:rsidRDefault="009A2825" w:rsidP="009A2825">
      <w:pPr>
        <w:autoSpaceDE w:val="0"/>
        <w:autoSpaceDN w:val="0"/>
        <w:adjustRightInd w:val="0"/>
        <w:jc w:val="both"/>
        <w:rPr>
          <w:sz w:val="20"/>
        </w:rPr>
      </w:pPr>
      <w:r w:rsidRPr="009118AB">
        <w:rPr>
          <w:sz w:val="20"/>
        </w:rPr>
        <w:t>1. Arbeitslosengeld,</w:t>
      </w:r>
    </w:p>
    <w:p w14:paraId="78EAA883" w14:textId="77777777" w:rsidR="009A2825" w:rsidRPr="009118AB" w:rsidRDefault="009A2825" w:rsidP="009A2825">
      <w:pPr>
        <w:autoSpaceDE w:val="0"/>
        <w:autoSpaceDN w:val="0"/>
        <w:adjustRightInd w:val="0"/>
        <w:jc w:val="both"/>
        <w:rPr>
          <w:sz w:val="20"/>
        </w:rPr>
      </w:pPr>
    </w:p>
    <w:p w14:paraId="5D4FACCA" w14:textId="77777777" w:rsidR="009A2825" w:rsidRPr="009118AB" w:rsidRDefault="009A2825" w:rsidP="009A2825">
      <w:pPr>
        <w:autoSpaceDE w:val="0"/>
        <w:autoSpaceDN w:val="0"/>
        <w:adjustRightInd w:val="0"/>
        <w:jc w:val="both"/>
        <w:rPr>
          <w:sz w:val="20"/>
        </w:rPr>
      </w:pPr>
      <w:r w:rsidRPr="009118AB">
        <w:rPr>
          <w:sz w:val="20"/>
        </w:rPr>
        <w:t>2. einerseits Arbeitslosengeld und andererseits Pensionen, gesetzlichen Krankheits- und Invaliditätsentschädigungen oder anderen Ersatzeinkünften.]</w:t>
      </w:r>
    </w:p>
    <w:p w14:paraId="54A49D52" w14:textId="77777777" w:rsidR="009A2825" w:rsidRPr="009118AB" w:rsidRDefault="009A2825" w:rsidP="009A2825">
      <w:pPr>
        <w:autoSpaceDE w:val="0"/>
        <w:autoSpaceDN w:val="0"/>
        <w:adjustRightInd w:val="0"/>
        <w:jc w:val="both"/>
        <w:rPr>
          <w:sz w:val="20"/>
        </w:rPr>
      </w:pPr>
    </w:p>
    <w:p w14:paraId="4A3427C2" w14:textId="77777777" w:rsidR="009A2825" w:rsidRPr="009118AB" w:rsidRDefault="009A2825" w:rsidP="009A2825">
      <w:pPr>
        <w:autoSpaceDE w:val="0"/>
        <w:autoSpaceDN w:val="0"/>
        <w:adjustRightInd w:val="0"/>
        <w:jc w:val="both"/>
        <w:rPr>
          <w:sz w:val="20"/>
        </w:rPr>
      </w:pPr>
      <w:r w:rsidRPr="009118AB">
        <w:rPr>
          <w:sz w:val="20"/>
        </w:rPr>
        <w:t>Die zusätzliche Ermäßigung wird gemäß den in den nachfolgenden Paragraphen festge</w:t>
      </w:r>
      <w:r w:rsidRPr="009118AB">
        <w:rPr>
          <w:sz w:val="20"/>
        </w:rPr>
        <w:softHyphen/>
        <w:t>legten Regeln berechnet.</w:t>
      </w:r>
    </w:p>
    <w:p w14:paraId="4DE61691" w14:textId="77777777" w:rsidR="009A2825" w:rsidRPr="009118AB" w:rsidRDefault="009A2825" w:rsidP="009A2825">
      <w:pPr>
        <w:autoSpaceDE w:val="0"/>
        <w:autoSpaceDN w:val="0"/>
        <w:adjustRightInd w:val="0"/>
        <w:jc w:val="both"/>
        <w:rPr>
          <w:sz w:val="20"/>
        </w:rPr>
      </w:pPr>
    </w:p>
    <w:p w14:paraId="0EFC9165" w14:textId="1121AF1D" w:rsidR="009A2825" w:rsidRPr="009118AB" w:rsidRDefault="009A2825" w:rsidP="009A2825">
      <w:pPr>
        <w:autoSpaceDE w:val="0"/>
        <w:autoSpaceDN w:val="0"/>
        <w:adjustRightInd w:val="0"/>
        <w:jc w:val="both"/>
        <w:rPr>
          <w:sz w:val="20"/>
        </w:rPr>
      </w:pPr>
      <w:r w:rsidRPr="009118AB">
        <w:rPr>
          <w:sz w:val="20"/>
        </w:rPr>
        <w:lastRenderedPageBreak/>
        <w:t>§ 2 - Die zusätzliche Ermäßigung entspricht [20 Prozent] der Steuer, die nach Anwendung [der Artikel 147 bis 153] übrig bleibt, wenn die Gesamtheit der Nettoeinkünfte sich ausschließlich zusammensetzt aus:</w:t>
      </w:r>
    </w:p>
    <w:p w14:paraId="0A628592" w14:textId="77777777" w:rsidR="009A2825" w:rsidRPr="009118AB" w:rsidRDefault="009A2825" w:rsidP="009A2825">
      <w:pPr>
        <w:autoSpaceDE w:val="0"/>
        <w:autoSpaceDN w:val="0"/>
        <w:adjustRightInd w:val="0"/>
        <w:jc w:val="both"/>
        <w:rPr>
          <w:sz w:val="20"/>
        </w:rPr>
      </w:pPr>
    </w:p>
    <w:p w14:paraId="00AAD629" w14:textId="77777777" w:rsidR="009A2825" w:rsidRPr="009118AB" w:rsidRDefault="009A2825" w:rsidP="009A2825">
      <w:pPr>
        <w:autoSpaceDE w:val="0"/>
        <w:autoSpaceDN w:val="0"/>
        <w:adjustRightInd w:val="0"/>
        <w:jc w:val="both"/>
        <w:rPr>
          <w:sz w:val="20"/>
        </w:rPr>
      </w:pPr>
      <w:r w:rsidRPr="009118AB">
        <w:rPr>
          <w:sz w:val="20"/>
        </w:rPr>
        <w:t>1. [Arbeitslosengeld und wenn der Betrag dieser Beihilfen den Höchstbetrag des gesetzlichen Arbeitslosengeldes, der während der ersten zwölf Monate Vollarbeitslosigkeit zuerkannt werden kann, nicht übersteigt,</w:t>
      </w:r>
    </w:p>
    <w:p w14:paraId="34E68523" w14:textId="77777777" w:rsidR="009A2825" w:rsidRPr="009118AB" w:rsidRDefault="009A2825" w:rsidP="009A2825">
      <w:pPr>
        <w:autoSpaceDE w:val="0"/>
        <w:autoSpaceDN w:val="0"/>
        <w:adjustRightInd w:val="0"/>
        <w:jc w:val="both"/>
        <w:rPr>
          <w:sz w:val="20"/>
        </w:rPr>
      </w:pPr>
    </w:p>
    <w:p w14:paraId="0A8E69EF" w14:textId="77777777" w:rsidR="009A2825" w:rsidRPr="009118AB" w:rsidRDefault="009A2825" w:rsidP="009A2825">
      <w:pPr>
        <w:autoSpaceDE w:val="0"/>
        <w:autoSpaceDN w:val="0"/>
        <w:adjustRightInd w:val="0"/>
        <w:jc w:val="both"/>
        <w:rPr>
          <w:sz w:val="20"/>
        </w:rPr>
      </w:pPr>
      <w:r w:rsidRPr="009118AB">
        <w:rPr>
          <w:sz w:val="20"/>
        </w:rPr>
        <w:t>2. einerseits Arbeitslosengeld und andererseits Pensionen, gesetzlichen Krankheits- und Invaliditätsentschädigungen oder anderen Ersatzeinkünften und wenn der Gesamtbetrag dieser Einkünfte 10.160 EUR nicht übersteigt.]</w:t>
      </w:r>
    </w:p>
    <w:p w14:paraId="1482A91E" w14:textId="77777777" w:rsidR="009A2825" w:rsidRPr="009118AB" w:rsidRDefault="009A2825" w:rsidP="009A2825">
      <w:pPr>
        <w:autoSpaceDE w:val="0"/>
        <w:autoSpaceDN w:val="0"/>
        <w:adjustRightInd w:val="0"/>
        <w:jc w:val="both"/>
        <w:rPr>
          <w:sz w:val="20"/>
        </w:rPr>
      </w:pPr>
    </w:p>
    <w:p w14:paraId="739E90F7" w14:textId="77777777" w:rsidR="009A2825" w:rsidRPr="009118AB" w:rsidRDefault="009A2825" w:rsidP="009A2825">
      <w:pPr>
        <w:autoSpaceDE w:val="0"/>
        <w:autoSpaceDN w:val="0"/>
        <w:adjustRightInd w:val="0"/>
        <w:jc w:val="both"/>
        <w:rPr>
          <w:sz w:val="20"/>
        </w:rPr>
      </w:pPr>
      <w:r w:rsidRPr="009118AB">
        <w:rPr>
          <w:sz w:val="20"/>
        </w:rPr>
        <w:t>3. […].</w:t>
      </w:r>
    </w:p>
    <w:p w14:paraId="252C4A9B" w14:textId="77777777" w:rsidR="009A2825" w:rsidRPr="009118AB" w:rsidRDefault="009A2825" w:rsidP="009A2825">
      <w:pPr>
        <w:autoSpaceDE w:val="0"/>
        <w:autoSpaceDN w:val="0"/>
        <w:adjustRightInd w:val="0"/>
        <w:jc w:val="both"/>
        <w:rPr>
          <w:sz w:val="20"/>
        </w:rPr>
      </w:pPr>
    </w:p>
    <w:p w14:paraId="2F36E9B6" w14:textId="77777777" w:rsidR="009A2825" w:rsidRPr="009118AB" w:rsidRDefault="009A2825" w:rsidP="009A2825">
      <w:pPr>
        <w:autoSpaceDE w:val="0"/>
        <w:autoSpaceDN w:val="0"/>
        <w:adjustRightInd w:val="0"/>
        <w:jc w:val="both"/>
        <w:rPr>
          <w:sz w:val="20"/>
        </w:rPr>
      </w:pPr>
      <w:r w:rsidRPr="009118AB">
        <w:rPr>
          <w:sz w:val="20"/>
        </w:rPr>
        <w:t>Wird eine gemeinsame Veranlagung festgelegt, wird für die Anwendung von Absatz 1 die Gesamtheit der Nettoeinkünfte der beiden Ehepartner berücksichtigt.</w:t>
      </w:r>
    </w:p>
    <w:p w14:paraId="68B0B6F1" w14:textId="77777777" w:rsidR="009A2825" w:rsidRPr="009118AB" w:rsidRDefault="009A2825" w:rsidP="009A2825">
      <w:pPr>
        <w:autoSpaceDE w:val="0"/>
        <w:autoSpaceDN w:val="0"/>
        <w:adjustRightInd w:val="0"/>
        <w:jc w:val="both"/>
        <w:rPr>
          <w:sz w:val="20"/>
        </w:rPr>
      </w:pPr>
    </w:p>
    <w:p w14:paraId="5E6734DC" w14:textId="27A83604" w:rsidR="009A2825" w:rsidRPr="009118AB" w:rsidRDefault="009A2825" w:rsidP="009A2825">
      <w:pPr>
        <w:autoSpaceDE w:val="0"/>
        <w:autoSpaceDN w:val="0"/>
        <w:adjustRightInd w:val="0"/>
        <w:jc w:val="both"/>
        <w:rPr>
          <w:sz w:val="20"/>
        </w:rPr>
      </w:pPr>
      <w:r w:rsidRPr="009118AB">
        <w:rPr>
          <w:sz w:val="20"/>
        </w:rPr>
        <w:t>§ 3 - [In Fällen, die nicht in § 2 erwähnt sind, und wenn die Gesamtheit der Netto</w:t>
      </w:r>
      <w:r w:rsidRPr="009118AB">
        <w:rPr>
          <w:sz w:val="20"/>
        </w:rPr>
        <w:softHyphen/>
        <w:t>einkünfte sich ausschließlich aus Arbeitslosengeld zusammensetzt, entspricht die zusätzliche Ermäßigung [20 Prozent] der Plusdifferenz zwischen:</w:t>
      </w:r>
    </w:p>
    <w:p w14:paraId="3863B8AF" w14:textId="77777777" w:rsidR="009A2825" w:rsidRPr="009118AB" w:rsidRDefault="009A2825" w:rsidP="009A2825">
      <w:pPr>
        <w:autoSpaceDE w:val="0"/>
        <w:autoSpaceDN w:val="0"/>
        <w:adjustRightInd w:val="0"/>
        <w:jc w:val="both"/>
        <w:rPr>
          <w:sz w:val="20"/>
        </w:rPr>
      </w:pPr>
    </w:p>
    <w:p w14:paraId="64B0E677" w14:textId="77777777" w:rsidR="009A2825" w:rsidRPr="009118AB" w:rsidRDefault="009A2825" w:rsidP="009A2825">
      <w:pPr>
        <w:autoSpaceDE w:val="0"/>
        <w:autoSpaceDN w:val="0"/>
        <w:adjustRightInd w:val="0"/>
        <w:jc w:val="both"/>
        <w:rPr>
          <w:sz w:val="20"/>
        </w:rPr>
      </w:pPr>
      <w:r w:rsidRPr="009118AB">
        <w:rPr>
          <w:sz w:val="20"/>
        </w:rPr>
        <w:t>1. dem Steuerbetrag, der nach Anwendung der Artikel 147 bis 153 übrig bleibt, und</w:t>
      </w:r>
    </w:p>
    <w:p w14:paraId="71865BB6" w14:textId="77777777" w:rsidR="009A2825" w:rsidRPr="009118AB" w:rsidRDefault="009A2825" w:rsidP="009A2825">
      <w:pPr>
        <w:autoSpaceDE w:val="0"/>
        <w:autoSpaceDN w:val="0"/>
        <w:adjustRightInd w:val="0"/>
        <w:jc w:val="both"/>
        <w:rPr>
          <w:sz w:val="20"/>
        </w:rPr>
      </w:pPr>
    </w:p>
    <w:p w14:paraId="4A795851" w14:textId="77777777" w:rsidR="009A2825" w:rsidRPr="009118AB" w:rsidRDefault="009A2825" w:rsidP="009A2825">
      <w:pPr>
        <w:autoSpaceDE w:val="0"/>
        <w:autoSpaceDN w:val="0"/>
        <w:adjustRightInd w:val="0"/>
        <w:jc w:val="both"/>
        <w:rPr>
          <w:sz w:val="20"/>
        </w:rPr>
      </w:pPr>
      <w:r w:rsidRPr="009118AB">
        <w:rPr>
          <w:sz w:val="20"/>
        </w:rPr>
        <w:t>2. der Differenz zwischen dem Arbeitslosengeld und dem [gemäß § 2 Absatz 1 Nr. 1] anwendbaren Höchstbetrag.]</w:t>
      </w:r>
    </w:p>
    <w:p w14:paraId="2C3DF75D" w14:textId="77777777" w:rsidR="009A2825" w:rsidRPr="009118AB" w:rsidRDefault="009A2825" w:rsidP="009A2825">
      <w:pPr>
        <w:autoSpaceDE w:val="0"/>
        <w:autoSpaceDN w:val="0"/>
        <w:adjustRightInd w:val="0"/>
        <w:jc w:val="both"/>
        <w:rPr>
          <w:sz w:val="20"/>
        </w:rPr>
      </w:pPr>
    </w:p>
    <w:p w14:paraId="60477FC1" w14:textId="77777777" w:rsidR="009A2825" w:rsidRPr="009118AB" w:rsidRDefault="009A2825" w:rsidP="009A2825">
      <w:pPr>
        <w:autoSpaceDE w:val="0"/>
        <w:autoSpaceDN w:val="0"/>
        <w:adjustRightInd w:val="0"/>
        <w:jc w:val="both"/>
        <w:rPr>
          <w:sz w:val="20"/>
        </w:rPr>
      </w:pPr>
      <w:r w:rsidRPr="009118AB">
        <w:rPr>
          <w:sz w:val="20"/>
        </w:rPr>
        <w:t>[…]</w:t>
      </w:r>
    </w:p>
    <w:p w14:paraId="31FCE834" w14:textId="77777777" w:rsidR="009A2825" w:rsidRPr="009118AB" w:rsidRDefault="009A2825" w:rsidP="009A2825">
      <w:pPr>
        <w:autoSpaceDE w:val="0"/>
        <w:autoSpaceDN w:val="0"/>
        <w:adjustRightInd w:val="0"/>
        <w:jc w:val="both"/>
        <w:rPr>
          <w:sz w:val="20"/>
        </w:rPr>
      </w:pPr>
    </w:p>
    <w:p w14:paraId="4E64EB9B" w14:textId="77777777" w:rsidR="009A2825" w:rsidRPr="009118AB" w:rsidRDefault="009A2825" w:rsidP="009A2825">
      <w:pPr>
        <w:autoSpaceDE w:val="0"/>
        <w:autoSpaceDN w:val="0"/>
        <w:adjustRightInd w:val="0"/>
        <w:jc w:val="both"/>
        <w:rPr>
          <w:sz w:val="20"/>
        </w:rPr>
      </w:pPr>
      <w:r w:rsidRPr="009118AB">
        <w:rPr>
          <w:sz w:val="20"/>
        </w:rPr>
        <w:t>Wird eine gemeinsame Veranlagung festgelegt, wird für die Anwendung von Absatz 1 sowohl die Gesamtheit der Nettoeinkünfte als auch der Betrag der übrig bleibenden Steuer der beiden Ehepartner berücksichtigt.</w:t>
      </w:r>
    </w:p>
    <w:p w14:paraId="10AF758C" w14:textId="77777777" w:rsidR="009A2825" w:rsidRPr="009118AB" w:rsidRDefault="009A2825" w:rsidP="009A2825">
      <w:pPr>
        <w:autoSpaceDE w:val="0"/>
        <w:autoSpaceDN w:val="0"/>
        <w:adjustRightInd w:val="0"/>
        <w:jc w:val="both"/>
        <w:rPr>
          <w:sz w:val="20"/>
        </w:rPr>
      </w:pPr>
    </w:p>
    <w:p w14:paraId="363D4657" w14:textId="77777777" w:rsidR="009A2825" w:rsidRPr="009118AB" w:rsidRDefault="009A2825" w:rsidP="009A2825">
      <w:pPr>
        <w:autoSpaceDE w:val="0"/>
        <w:autoSpaceDN w:val="0"/>
        <w:adjustRightInd w:val="0"/>
        <w:jc w:val="both"/>
        <w:rPr>
          <w:sz w:val="20"/>
        </w:rPr>
      </w:pPr>
      <w:r w:rsidRPr="009118AB">
        <w:rPr>
          <w:sz w:val="20"/>
        </w:rPr>
        <w:t>Die derart berechnete zusätzliche Ermäßigung wird proportional auf den Betrag der Steuer jedes Ehepartners, die nach Anwendung [der Artikel 147 bis 153] übrig bleibt, aufgeteilt.</w:t>
      </w:r>
    </w:p>
    <w:p w14:paraId="67C04035" w14:textId="77777777" w:rsidR="009A2825" w:rsidRPr="009118AB" w:rsidRDefault="009A2825" w:rsidP="009A2825">
      <w:pPr>
        <w:autoSpaceDE w:val="0"/>
        <w:autoSpaceDN w:val="0"/>
        <w:adjustRightInd w:val="0"/>
        <w:jc w:val="both"/>
        <w:rPr>
          <w:sz w:val="20"/>
        </w:rPr>
      </w:pPr>
    </w:p>
    <w:p w14:paraId="556C31D4" w14:textId="77777777" w:rsidR="009A2825" w:rsidRPr="009118AB" w:rsidRDefault="009A2825" w:rsidP="009A2825">
      <w:pPr>
        <w:autoSpaceDE w:val="0"/>
        <w:autoSpaceDN w:val="0"/>
        <w:adjustRightInd w:val="0"/>
        <w:jc w:val="both"/>
        <w:rPr>
          <w:sz w:val="20"/>
        </w:rPr>
      </w:pPr>
      <w:r w:rsidRPr="009118AB">
        <w:rPr>
          <w:sz w:val="20"/>
        </w:rPr>
        <w:t>[…]]</w:t>
      </w:r>
    </w:p>
    <w:p w14:paraId="32C08688" w14:textId="77777777" w:rsidR="009A2825" w:rsidRPr="009118AB" w:rsidRDefault="009A2825" w:rsidP="009A2825">
      <w:pPr>
        <w:autoSpaceDE w:val="0"/>
        <w:autoSpaceDN w:val="0"/>
        <w:adjustRightInd w:val="0"/>
        <w:jc w:val="both"/>
        <w:rPr>
          <w:sz w:val="20"/>
        </w:rPr>
      </w:pPr>
    </w:p>
    <w:p w14:paraId="1EF5D431" w14:textId="0887B83E" w:rsidR="009A2825" w:rsidRPr="009118AB" w:rsidRDefault="009A2825" w:rsidP="009A2825">
      <w:pPr>
        <w:autoSpaceDE w:val="0"/>
        <w:autoSpaceDN w:val="0"/>
        <w:adjustRightInd w:val="0"/>
        <w:jc w:val="both"/>
        <w:rPr>
          <w:sz w:val="20"/>
        </w:rPr>
      </w:pPr>
      <w:r w:rsidRPr="009118AB">
        <w:rPr>
          <w:sz w:val="20"/>
        </w:rPr>
        <w:t>[§ 3/1 - In Fällen, die nicht [in § 2] erwähnt sind, und wenn die Gesamtheit der Nettoeinkünfte [sich ausschließlich aus einerseits Arbeitslosen</w:t>
      </w:r>
      <w:r w:rsidRPr="009118AB">
        <w:rPr>
          <w:sz w:val="20"/>
        </w:rPr>
        <w:softHyphen/>
        <w:t>geld und andererseits Pensionen, gesetzlichen Krankheits- und Invaliditätsentschädigungen oder anderen Ersatzeinkünften zusammensetzt], [entspricht die zusätzliche Ermäßigung</w:t>
      </w:r>
      <w:r w:rsidRPr="009118AB">
        <w:t xml:space="preserve"> </w:t>
      </w:r>
      <w:r w:rsidRPr="009118AB">
        <w:rPr>
          <w:sz w:val="20"/>
          <w:szCs w:val="20"/>
        </w:rPr>
        <w:t>[2</w:t>
      </w:r>
      <w:r w:rsidRPr="009118AB">
        <w:rPr>
          <w:rFonts w:eastAsia="Calibri"/>
          <w:kern w:val="2"/>
          <w:sz w:val="20"/>
          <w:szCs w:val="18"/>
          <w:lang w:eastAsia="en-US"/>
          <w14:ligatures w14:val="standardContextual"/>
        </w:rPr>
        <w:t>0 Prozent</w:t>
      </w:r>
      <w:r w:rsidRPr="009118AB">
        <w:rPr>
          <w:sz w:val="20"/>
          <w:szCs w:val="20"/>
        </w:rPr>
        <w:t xml:space="preserve">] </w:t>
      </w:r>
      <w:r w:rsidRPr="009118AB">
        <w:rPr>
          <w:sz w:val="20"/>
        </w:rPr>
        <w:t>der Plusdifferenz] zwischen:</w:t>
      </w:r>
    </w:p>
    <w:p w14:paraId="57DA2BE6" w14:textId="77777777" w:rsidR="009A2825" w:rsidRPr="009118AB" w:rsidRDefault="009A2825" w:rsidP="009A2825">
      <w:pPr>
        <w:autoSpaceDE w:val="0"/>
        <w:autoSpaceDN w:val="0"/>
        <w:adjustRightInd w:val="0"/>
        <w:jc w:val="both"/>
        <w:rPr>
          <w:sz w:val="20"/>
        </w:rPr>
      </w:pPr>
    </w:p>
    <w:p w14:paraId="67D2F70F" w14:textId="77777777" w:rsidR="009A2825" w:rsidRPr="009118AB" w:rsidRDefault="009A2825" w:rsidP="009A2825">
      <w:pPr>
        <w:autoSpaceDE w:val="0"/>
        <w:autoSpaceDN w:val="0"/>
        <w:adjustRightInd w:val="0"/>
        <w:jc w:val="both"/>
        <w:rPr>
          <w:sz w:val="20"/>
        </w:rPr>
      </w:pPr>
      <w:r w:rsidRPr="009118AB">
        <w:rPr>
          <w:sz w:val="20"/>
        </w:rPr>
        <w:t>1. dem Steuerbetrag, der nach Anwendung der Artikel 147 bis 153 übrig bleibt, und</w:t>
      </w:r>
    </w:p>
    <w:p w14:paraId="235CF8DB" w14:textId="77777777" w:rsidR="009A2825" w:rsidRPr="009118AB" w:rsidRDefault="009A2825" w:rsidP="009A2825">
      <w:pPr>
        <w:autoSpaceDE w:val="0"/>
        <w:autoSpaceDN w:val="0"/>
        <w:adjustRightInd w:val="0"/>
        <w:jc w:val="both"/>
        <w:rPr>
          <w:sz w:val="20"/>
        </w:rPr>
      </w:pPr>
    </w:p>
    <w:p w14:paraId="40C3AD72" w14:textId="77777777" w:rsidR="009A2825" w:rsidRPr="009118AB" w:rsidRDefault="009A2825" w:rsidP="009A2825">
      <w:pPr>
        <w:autoSpaceDE w:val="0"/>
        <w:autoSpaceDN w:val="0"/>
        <w:adjustRightInd w:val="0"/>
        <w:jc w:val="both"/>
        <w:rPr>
          <w:sz w:val="20"/>
        </w:rPr>
      </w:pPr>
      <w:r w:rsidRPr="009118AB">
        <w:rPr>
          <w:sz w:val="20"/>
        </w:rPr>
        <w:t>2. [90 Prozent der Differenz zwischen dem Betrag der Ersatzeinkünfte und gegebenenfalls der Pensionen und 10.160 EUR.]</w:t>
      </w:r>
    </w:p>
    <w:p w14:paraId="2DE1B79F" w14:textId="77777777" w:rsidR="009A2825" w:rsidRPr="009118AB" w:rsidRDefault="009A2825" w:rsidP="009A2825">
      <w:pPr>
        <w:autoSpaceDE w:val="0"/>
        <w:autoSpaceDN w:val="0"/>
        <w:adjustRightInd w:val="0"/>
        <w:jc w:val="both"/>
        <w:rPr>
          <w:sz w:val="20"/>
        </w:rPr>
      </w:pPr>
    </w:p>
    <w:p w14:paraId="474E13FF" w14:textId="77777777" w:rsidR="009A2825" w:rsidRPr="009118AB" w:rsidRDefault="009A2825" w:rsidP="009A2825">
      <w:pPr>
        <w:autoSpaceDE w:val="0"/>
        <w:autoSpaceDN w:val="0"/>
        <w:adjustRightInd w:val="0"/>
        <w:jc w:val="both"/>
        <w:rPr>
          <w:sz w:val="20"/>
        </w:rPr>
      </w:pPr>
      <w:r w:rsidRPr="009118AB">
        <w:rPr>
          <w:sz w:val="20"/>
        </w:rPr>
        <w:t>Die zusätzliche Ermäßigung wird gegebenenfalls proportional zum Anteil der Steuer, der nach Anwendung der Artikel 147 bis 153 übrig bleibt und sich auf Pensionen oder andere Ersatzeinkünfte, auf Arbeitslosengeld beziehungsweise auf gesetzliche Krankheits- und Invaliditätsentschädigungen bezieht, und zum Gesamtbetrag der Steuer, der nach Anwendung der Artikel 147 bis 153 übrig bleibt, aufgeteilt.</w:t>
      </w:r>
    </w:p>
    <w:p w14:paraId="1961F12F" w14:textId="77777777" w:rsidR="009A2825" w:rsidRPr="009118AB" w:rsidRDefault="009A2825" w:rsidP="009A2825">
      <w:pPr>
        <w:autoSpaceDE w:val="0"/>
        <w:autoSpaceDN w:val="0"/>
        <w:adjustRightInd w:val="0"/>
        <w:jc w:val="both"/>
        <w:rPr>
          <w:sz w:val="20"/>
        </w:rPr>
      </w:pPr>
    </w:p>
    <w:p w14:paraId="5D6E5FDB" w14:textId="77777777" w:rsidR="009A2825" w:rsidRPr="009118AB" w:rsidRDefault="009A2825" w:rsidP="009A2825">
      <w:pPr>
        <w:autoSpaceDE w:val="0"/>
        <w:autoSpaceDN w:val="0"/>
        <w:adjustRightInd w:val="0"/>
        <w:jc w:val="both"/>
        <w:rPr>
          <w:sz w:val="20"/>
        </w:rPr>
      </w:pPr>
      <w:r w:rsidRPr="009118AB">
        <w:rPr>
          <w:sz w:val="20"/>
        </w:rPr>
        <w:t>Wird eine gemeinsame Veranlagung festgelegt, wird für die Anwendung von Absatz 1 sowohl die Gesamtheit der Nettoeinkünfte als auch der Betrag der übrig bleibenden Steuer der beiden Ehepartner berücksichtigt.</w:t>
      </w:r>
    </w:p>
    <w:p w14:paraId="6E602ED8" w14:textId="77777777" w:rsidR="009A2825" w:rsidRPr="009118AB" w:rsidRDefault="009A2825" w:rsidP="009A2825">
      <w:pPr>
        <w:autoSpaceDE w:val="0"/>
        <w:autoSpaceDN w:val="0"/>
        <w:adjustRightInd w:val="0"/>
        <w:jc w:val="both"/>
        <w:rPr>
          <w:sz w:val="20"/>
        </w:rPr>
      </w:pPr>
    </w:p>
    <w:p w14:paraId="7AF20FF3" w14:textId="77777777" w:rsidR="009A2825" w:rsidRPr="009118AB" w:rsidRDefault="009A2825" w:rsidP="009A2825">
      <w:pPr>
        <w:autoSpaceDE w:val="0"/>
        <w:autoSpaceDN w:val="0"/>
        <w:adjustRightInd w:val="0"/>
        <w:jc w:val="both"/>
        <w:rPr>
          <w:sz w:val="20"/>
        </w:rPr>
      </w:pPr>
      <w:r w:rsidRPr="009118AB">
        <w:rPr>
          <w:sz w:val="20"/>
        </w:rPr>
        <w:t>Die derart berechnete zusätzliche Ermäßigung wird proportional auf den Betrag der Steuer jedes Ehepartners, die nach Anwendung der Artikel 147 bis 153 übrig bleibt, aufgeteilt.]</w:t>
      </w:r>
    </w:p>
    <w:p w14:paraId="335AC44E" w14:textId="77777777" w:rsidR="009A2825" w:rsidRPr="009118AB" w:rsidRDefault="009A2825" w:rsidP="009A2825">
      <w:pPr>
        <w:autoSpaceDE w:val="0"/>
        <w:autoSpaceDN w:val="0"/>
        <w:adjustRightInd w:val="0"/>
        <w:jc w:val="both"/>
        <w:rPr>
          <w:sz w:val="20"/>
        </w:rPr>
      </w:pPr>
    </w:p>
    <w:p w14:paraId="3C29B4E2" w14:textId="77777777" w:rsidR="009A2825" w:rsidRPr="009118AB" w:rsidRDefault="009A2825" w:rsidP="009A2825">
      <w:pPr>
        <w:autoSpaceDE w:val="0"/>
        <w:autoSpaceDN w:val="0"/>
        <w:adjustRightInd w:val="0"/>
        <w:jc w:val="both"/>
        <w:rPr>
          <w:sz w:val="20"/>
        </w:rPr>
      </w:pPr>
      <w:r w:rsidRPr="009118AB">
        <w:rPr>
          <w:sz w:val="20"/>
        </w:rPr>
        <w:t>[…]</w:t>
      </w:r>
    </w:p>
    <w:p w14:paraId="270D260F" w14:textId="77777777" w:rsidR="009A2825" w:rsidRPr="009118AB" w:rsidRDefault="009A2825" w:rsidP="009A2825">
      <w:pPr>
        <w:autoSpaceDE w:val="0"/>
        <w:autoSpaceDN w:val="0"/>
        <w:adjustRightInd w:val="0"/>
        <w:jc w:val="both"/>
        <w:rPr>
          <w:sz w:val="20"/>
        </w:rPr>
      </w:pPr>
    </w:p>
    <w:p w14:paraId="3E79CCC4" w14:textId="77777777" w:rsidR="009A2825" w:rsidRPr="009118AB" w:rsidRDefault="009A2825" w:rsidP="009A2825">
      <w:pPr>
        <w:autoSpaceDE w:val="0"/>
        <w:autoSpaceDN w:val="0"/>
        <w:adjustRightInd w:val="0"/>
        <w:jc w:val="both"/>
        <w:rPr>
          <w:sz w:val="20"/>
        </w:rPr>
      </w:pPr>
      <w:r w:rsidRPr="009118AB">
        <w:rPr>
          <w:sz w:val="20"/>
        </w:rPr>
        <w:t>[§ 4 - [Für die Steuerjahre 2020 und folgende wird der in § 2 Absatz 1 Nr. 1 erwähnte Höchstbetrag auf der Grundlage der Beträge des gesetzlichen Arbeitslosengeldes für das vierte Jahr vor dem Steuerjahr festgelegt.]]</w:t>
      </w:r>
    </w:p>
    <w:p w14:paraId="61B14156" w14:textId="77777777" w:rsidR="009A2825" w:rsidRPr="009118AB" w:rsidRDefault="009A2825" w:rsidP="009A2825">
      <w:pPr>
        <w:autoSpaceDE w:val="0"/>
        <w:autoSpaceDN w:val="0"/>
        <w:adjustRightInd w:val="0"/>
        <w:jc w:val="both"/>
        <w:rPr>
          <w:sz w:val="20"/>
        </w:rPr>
      </w:pPr>
    </w:p>
    <w:p w14:paraId="68245AAE" w14:textId="19C4D23C" w:rsidR="009A2825" w:rsidRPr="009118AB" w:rsidRDefault="009A2825" w:rsidP="009A2825">
      <w:pPr>
        <w:autoSpaceDE w:val="0"/>
        <w:autoSpaceDN w:val="0"/>
        <w:adjustRightInd w:val="0"/>
        <w:jc w:val="both"/>
        <w:rPr>
          <w:iCs/>
          <w:sz w:val="20"/>
        </w:rPr>
      </w:pPr>
      <w:r w:rsidRPr="009118AB">
        <w:rPr>
          <w:i/>
          <w:iCs/>
          <w:sz w:val="20"/>
        </w:rPr>
        <w:t xml:space="preserve">[Art. 154 aufgehoben durch Art. 6 des G. vom 17. März 2022 (B.S. vom 25. März 2022) - anwendbar ab dem Steuerjahr 2023 -, selbst widerrufen durch Art. 67 des G. vom 5. Juli 2022 (B.S. vom 15. Juli 2022) - in Kraft am </w:t>
      </w:r>
      <w:r w:rsidRPr="009118AB">
        <w:rPr>
          <w:i/>
          <w:iCs/>
          <w:sz w:val="20"/>
        </w:rPr>
        <w:lastRenderedPageBreak/>
        <w:t xml:space="preserve">1. Januar 2022 -; Art. 154 ersetzt durch Art. 38 des G. vom 17. Mai 2007 (B.S. vom 19. Juni 2007) - anwendbar </w:t>
      </w:r>
      <w:r w:rsidRPr="009118AB">
        <w:rPr>
          <w:i/>
          <w:sz w:val="20"/>
        </w:rPr>
        <w:t xml:space="preserve">auf die ab dem 1. Januar 2007 gezahlten oder zuerkannten Einkünfte -; § 1 Abs. 1 ersetzt durch Art. 16 Nr. 1 des G. vom 23. März 2019 (B.S. vom 5. April 2019) - anwendbar ab dem Steuerjahr 2020 -; § 2 Abs. 1 einleitende Bestimmung abgeändert </w:t>
      </w:r>
      <w:r w:rsidRPr="009118AB">
        <w:rPr>
          <w:i/>
          <w:iCs/>
          <w:sz w:val="20"/>
        </w:rPr>
        <w:t>durch Art. 123 Nr. 1 des G. (I) vom 22. Dezember 2008 (II) (B.S. vom 29. Dezember 2008) - anwendbar auf die ab dem 1. Januar 2007 gezahlten oder zuerkannten Einkünfte -, Art. 68 Nr. 1 Buchstabe a) des G. vom 5. Juli 2022 (B.S. vom 15. Juli 2022) - anwendbar a</w:t>
      </w:r>
      <w:r w:rsidR="009D6F3E" w:rsidRPr="009118AB">
        <w:rPr>
          <w:i/>
          <w:iCs/>
          <w:sz w:val="20"/>
        </w:rPr>
        <w:t>b</w:t>
      </w:r>
      <w:r w:rsidRPr="009118AB">
        <w:rPr>
          <w:i/>
          <w:iCs/>
          <w:sz w:val="20"/>
        </w:rPr>
        <w:t xml:space="preserve"> dem Steuerjahr 2024 -, Art. 68 Nr. 2 des G. vom 5. Juli 2022 (B.S. vom 15. Juli 2022) - anwendbar a</w:t>
      </w:r>
      <w:r w:rsidR="009D6F3E" w:rsidRPr="009118AB">
        <w:rPr>
          <w:i/>
          <w:iCs/>
          <w:sz w:val="20"/>
        </w:rPr>
        <w:t>b</w:t>
      </w:r>
      <w:r w:rsidRPr="009118AB">
        <w:rPr>
          <w:i/>
          <w:iCs/>
          <w:sz w:val="20"/>
        </w:rPr>
        <w:t xml:space="preserve"> dem Steuerjahr 2025 -, Art. 68 Nr. 3 des G. vom 5. Juli 2022 (B.S. vom 15. Juli 2022) - anwendbar a</w:t>
      </w:r>
      <w:r w:rsidR="009D6F3E" w:rsidRPr="009118AB">
        <w:rPr>
          <w:i/>
          <w:iCs/>
          <w:sz w:val="20"/>
        </w:rPr>
        <w:t>b</w:t>
      </w:r>
      <w:r w:rsidRPr="009118AB">
        <w:rPr>
          <w:i/>
          <w:iCs/>
          <w:sz w:val="20"/>
        </w:rPr>
        <w:t xml:space="preserve"> dem Steuerjahr 2026 - und Art. 68 Nr. 4 des G. vom 5. Juli 2022 (B.S. vom 15. Juli 2022) - anwendbar a</w:t>
      </w:r>
      <w:r w:rsidR="009D6F3E" w:rsidRPr="009118AB">
        <w:rPr>
          <w:i/>
          <w:iCs/>
          <w:sz w:val="20"/>
        </w:rPr>
        <w:t>b</w:t>
      </w:r>
      <w:r w:rsidRPr="009118AB">
        <w:rPr>
          <w:i/>
          <w:iCs/>
          <w:sz w:val="20"/>
        </w:rPr>
        <w:t xml:space="preserve"> dem Steuerjahr 2027 -;</w:t>
      </w:r>
      <w:r w:rsidRPr="009118AB">
        <w:rPr>
          <w:i/>
          <w:sz w:val="20"/>
        </w:rPr>
        <w:t xml:space="preserve"> § 2 Abs. 1 Nr. 1 und 2 ersetzt durch Art. 16 Nr. 2 des G. vom 23. März 2019 (B.S. vom 5. April 2019) - anwendbar ab dem Steuerjahr 2020 -; § 2 Abs. 1 Nr. 3 aufgehoben durch Art. 16 Nr. 3 des G. vom 23. März 2019 (B.S. vom 5. April 2019) - anwendbar ab dem Steuerjahr 2020 -; § 3 Abs. 1 ersetzt durch Art. 44 Buchstabe a)</w:t>
      </w:r>
      <w:r w:rsidRPr="009118AB">
        <w:rPr>
          <w:i/>
          <w:iCs/>
          <w:sz w:val="20"/>
        </w:rPr>
        <w:t xml:space="preserve"> des G. vom 18. Dezember 2015 (II) (B.S. vom 28. Dezember 2015) - in Kraft ab dem Steuerjahr 2016 -</w:t>
      </w:r>
      <w:r w:rsidR="0028505A" w:rsidRPr="009118AB">
        <w:rPr>
          <w:i/>
          <w:iCs/>
          <w:sz w:val="20"/>
        </w:rPr>
        <w:t>; § 3 Abs. 1 einleitende Bestimmung</w:t>
      </w:r>
      <w:r w:rsidRPr="009118AB">
        <w:rPr>
          <w:i/>
          <w:iCs/>
          <w:sz w:val="20"/>
        </w:rPr>
        <w:t xml:space="preserve"> abgeändert durch Art. 68 Nr. 1 Buchstabe b) des G. vom 5. Juli 2022 (B.S. vom 15. Juli 2022) - anwendbar a</w:t>
      </w:r>
      <w:r w:rsidR="009D6F3E" w:rsidRPr="009118AB">
        <w:rPr>
          <w:i/>
          <w:iCs/>
          <w:sz w:val="20"/>
        </w:rPr>
        <w:t>b</w:t>
      </w:r>
      <w:r w:rsidRPr="009118AB">
        <w:rPr>
          <w:i/>
          <w:iCs/>
          <w:sz w:val="20"/>
        </w:rPr>
        <w:t xml:space="preserve"> dem Steuerjahr 2024 -, Art. 68 Nr. 2 des G. vom 5. Juli 2022 (B.S. vom 15. Juli 2022) - anwendbar a</w:t>
      </w:r>
      <w:r w:rsidR="009D6F3E" w:rsidRPr="009118AB">
        <w:rPr>
          <w:i/>
          <w:iCs/>
          <w:sz w:val="20"/>
        </w:rPr>
        <w:t>b</w:t>
      </w:r>
      <w:r w:rsidRPr="009118AB">
        <w:rPr>
          <w:i/>
          <w:iCs/>
          <w:sz w:val="20"/>
        </w:rPr>
        <w:t xml:space="preserve"> dem Steuerjahr 2025 -, Art. 68 Nr. 3 des G. vom 5. Juli 2022 (B.S. vom 15. Juli 2022) - anwendbar a</w:t>
      </w:r>
      <w:r w:rsidR="009D6F3E" w:rsidRPr="009118AB">
        <w:rPr>
          <w:i/>
          <w:iCs/>
          <w:sz w:val="20"/>
        </w:rPr>
        <w:t>b</w:t>
      </w:r>
      <w:r w:rsidRPr="009118AB">
        <w:rPr>
          <w:i/>
          <w:iCs/>
          <w:sz w:val="20"/>
        </w:rPr>
        <w:t xml:space="preserve"> dem Steuerjahr 2026 - und Art. 68 Nr. 4 des G. vom 5. Juli 2022 (B.S. vom 15. Juli 2022) - anwendbar a</w:t>
      </w:r>
      <w:r w:rsidR="009D6F3E" w:rsidRPr="009118AB">
        <w:rPr>
          <w:i/>
          <w:iCs/>
          <w:sz w:val="20"/>
        </w:rPr>
        <w:t>b</w:t>
      </w:r>
      <w:r w:rsidRPr="009118AB">
        <w:rPr>
          <w:i/>
          <w:iCs/>
          <w:sz w:val="20"/>
        </w:rPr>
        <w:t xml:space="preserve"> dem Steuerjahr 2027 -;</w:t>
      </w:r>
      <w:r w:rsidRPr="009118AB">
        <w:rPr>
          <w:i/>
          <w:sz w:val="20"/>
        </w:rPr>
        <w:t xml:space="preserve"> § 3 Abs. 1 Nr. 2 abgeändert durch Art. 16 Nr. 4 des G. vom 23. März 2019 (B.S. vom 5.</w:t>
      </w:r>
      <w:r w:rsidR="009D6F3E" w:rsidRPr="009118AB">
        <w:rPr>
          <w:i/>
          <w:sz w:val="20"/>
        </w:rPr>
        <w:t> </w:t>
      </w:r>
      <w:r w:rsidRPr="009118AB">
        <w:rPr>
          <w:i/>
          <w:sz w:val="20"/>
        </w:rPr>
        <w:t>April 2019) - anwendbar ab dem Steuerjahr 2020 -; § 3 früherer Absatz 2 aufgehoben durch Art. 94 Nr. 2 des G. vom 10. August 2015 (B.S. vom 18. August 2015) - anwendbar ab dem Steuerjahr 2016 -, selbst widerrufen durch Art. 67</w:t>
      </w:r>
      <w:r w:rsidRPr="009118AB">
        <w:rPr>
          <w:i/>
          <w:iCs/>
          <w:sz w:val="20"/>
        </w:rPr>
        <w:t xml:space="preserve"> des G. vom 18. Dezember 2015 (II) (B.S. vom 28. Dezember 2015),</w:t>
      </w:r>
      <w:r w:rsidRPr="009118AB">
        <w:rPr>
          <w:i/>
          <w:sz w:val="20"/>
        </w:rPr>
        <w:t xml:space="preserve"> und durch Art. 44 Buchstabe b)</w:t>
      </w:r>
      <w:r w:rsidRPr="009118AB">
        <w:rPr>
          <w:i/>
          <w:iCs/>
          <w:sz w:val="20"/>
        </w:rPr>
        <w:t xml:space="preserve"> des G. vom 18. Dezember 2015 (II) (B.S. vom 28. Dezember 2015) - in Kraft ab dem Steuerjahr 2016 -;</w:t>
      </w:r>
      <w:r w:rsidRPr="009118AB">
        <w:rPr>
          <w:i/>
          <w:sz w:val="20"/>
        </w:rPr>
        <w:t xml:space="preserve"> § 3 Abs. 3 abgeändert durch </w:t>
      </w:r>
      <w:r w:rsidRPr="009118AB">
        <w:rPr>
          <w:i/>
          <w:iCs/>
          <w:sz w:val="20"/>
        </w:rPr>
        <w:t>Art. 123 Nr. 1 des G. (I) vom 22. Dezember 2008 (II) (B.S. vom 29. Dezember 2008) - anwendbar auf die ab dem 1. Januar 2007 gezahlten oder zuerkannten Einkünfte -;</w:t>
      </w:r>
      <w:r w:rsidRPr="009118AB">
        <w:rPr>
          <w:i/>
          <w:sz w:val="20"/>
        </w:rPr>
        <w:t xml:space="preserve"> § 3 Abs. 4 aufgehoben </w:t>
      </w:r>
      <w:r w:rsidRPr="009118AB">
        <w:rPr>
          <w:i/>
          <w:iCs/>
          <w:sz w:val="20"/>
        </w:rPr>
        <w:t xml:space="preserve">durch Art. 123 Nr. 2 des G. (I) vom 22. Dezember 2008 (II) (B.S. vom 29. Dezember 2008) - anwendbar auf die ab dem 1. Januar 2007 gezahlten oder zuerkannten Einkünfte -; § 3/1 eingefügt durch Art. 44 Buchstabe c) des G. vom 18. Dezember 2015 (II) (B.S. vom </w:t>
      </w:r>
      <w:r w:rsidRPr="009118AB">
        <w:rPr>
          <w:rFonts w:ascii="Times New Roman Italique" w:hAnsi="Times New Roman Italique"/>
          <w:i/>
          <w:iCs/>
          <w:spacing w:val="-2"/>
          <w:sz w:val="20"/>
        </w:rPr>
        <w:t>28. Dezember 2015) - in Kraft ab dem Steuerjahr 2016 -; § 3/1 Abs. 1 einleitende Bestimmung abgeändert durch Art. 10 Nr. 1 des G. vom 22. Oktober 2017 (B.S. vom 18. Dezember 2017) - anwendbar ab dem Steuerjahr 2018 -, Art. 16 Nr. 5</w:t>
      </w:r>
      <w:r w:rsidRPr="009118AB">
        <w:rPr>
          <w:rFonts w:ascii="Times New Roman Italique" w:hAnsi="Times New Roman Italique"/>
          <w:i/>
          <w:spacing w:val="-2"/>
          <w:sz w:val="20"/>
        </w:rPr>
        <w:t xml:space="preserve"> des G. vom 23. März 2019 (B.S. vom 5. April 2019) - anwendbar ab dem Steuerjahr 2020 -, </w:t>
      </w:r>
      <w:r w:rsidRPr="009118AB">
        <w:rPr>
          <w:i/>
          <w:iCs/>
          <w:sz w:val="20"/>
        </w:rPr>
        <w:t>Art. 68 Nr. 1 Buchstabe c) des G. vom 5. Juli 2022 (B.S. vom 15. Juli 2022) - anwendbar a</w:t>
      </w:r>
      <w:r w:rsidR="009D6F3E" w:rsidRPr="009118AB">
        <w:rPr>
          <w:i/>
          <w:iCs/>
          <w:sz w:val="20"/>
        </w:rPr>
        <w:t>b</w:t>
      </w:r>
      <w:r w:rsidRPr="009118AB">
        <w:rPr>
          <w:i/>
          <w:iCs/>
          <w:sz w:val="20"/>
        </w:rPr>
        <w:t xml:space="preserve"> dem Steuerjahr 2024 -</w:t>
      </w:r>
      <w:r w:rsidR="00CC01C6" w:rsidRPr="009118AB">
        <w:rPr>
          <w:i/>
          <w:iCs/>
          <w:sz w:val="20"/>
        </w:rPr>
        <w:t>,</w:t>
      </w:r>
      <w:r w:rsidRPr="009118AB">
        <w:rPr>
          <w:i/>
          <w:iCs/>
          <w:sz w:val="20"/>
        </w:rPr>
        <w:t xml:space="preserve"> Art. 68 Nr. 2 des G. vom 5. Juli 2022 (B.S. vom 15. Juli 2022) - anwendbar a</w:t>
      </w:r>
      <w:r w:rsidR="009D6F3E" w:rsidRPr="009118AB">
        <w:rPr>
          <w:i/>
          <w:iCs/>
          <w:sz w:val="20"/>
        </w:rPr>
        <w:t>b</w:t>
      </w:r>
      <w:r w:rsidRPr="009118AB">
        <w:rPr>
          <w:i/>
          <w:iCs/>
          <w:sz w:val="20"/>
        </w:rPr>
        <w:t xml:space="preserve"> dem Steuerjahr 2025 -, Art. 68 Nr. 3 des G. vom 5. Juli 2022 (B.S. vom 15. Juli 2022) - anwendbar a</w:t>
      </w:r>
      <w:r w:rsidR="009D6F3E" w:rsidRPr="009118AB">
        <w:rPr>
          <w:i/>
          <w:iCs/>
          <w:sz w:val="20"/>
        </w:rPr>
        <w:t>b</w:t>
      </w:r>
      <w:r w:rsidRPr="009118AB">
        <w:rPr>
          <w:i/>
          <w:iCs/>
          <w:sz w:val="20"/>
        </w:rPr>
        <w:t xml:space="preserve"> dem Steuerjahr 2026 - und Art. 68 Nr. 4 des G. vom 5. Juli 2022 (B.S. vom 15. Juli 2022) - anwendbar a</w:t>
      </w:r>
      <w:r w:rsidR="009D6F3E" w:rsidRPr="009118AB">
        <w:rPr>
          <w:i/>
          <w:iCs/>
          <w:sz w:val="20"/>
        </w:rPr>
        <w:t>b</w:t>
      </w:r>
      <w:r w:rsidRPr="009118AB">
        <w:rPr>
          <w:i/>
          <w:iCs/>
          <w:sz w:val="20"/>
        </w:rPr>
        <w:t xml:space="preserve"> dem Steuerjahr 2027 -</w:t>
      </w:r>
      <w:r w:rsidRPr="009118AB">
        <w:rPr>
          <w:rFonts w:ascii="Times New Roman Italique" w:hAnsi="Times New Roman Italique"/>
          <w:i/>
          <w:spacing w:val="-2"/>
          <w:sz w:val="20"/>
        </w:rPr>
        <w:t>;</w:t>
      </w:r>
      <w:r w:rsidRPr="009118AB">
        <w:rPr>
          <w:rFonts w:ascii="Times New Roman Italique" w:hAnsi="Times New Roman Italique"/>
          <w:i/>
          <w:iCs/>
          <w:spacing w:val="-2"/>
          <w:sz w:val="20"/>
        </w:rPr>
        <w:t xml:space="preserve"> § 3/1</w:t>
      </w:r>
      <w:r w:rsidRPr="009118AB">
        <w:rPr>
          <w:i/>
          <w:iCs/>
          <w:sz w:val="20"/>
        </w:rPr>
        <w:t xml:space="preserve"> Abs. 1 Nr. 2 ersetzt durch Art. 16 Nr. 6</w:t>
      </w:r>
      <w:r w:rsidRPr="009118AB">
        <w:rPr>
          <w:i/>
          <w:sz w:val="20"/>
        </w:rPr>
        <w:t xml:space="preserve"> des G. vom 23. März 2019 (B.S. vom 5. April 2019) - anwendbar ab dem Steuerjahr 2020 -;</w:t>
      </w:r>
      <w:r w:rsidRPr="009118AB">
        <w:rPr>
          <w:i/>
          <w:iCs/>
          <w:sz w:val="20"/>
        </w:rPr>
        <w:t xml:space="preserve"> früherer Paragraph 4 eingefügt durch Art. 94 Nr. 3</w:t>
      </w:r>
      <w:r w:rsidRPr="009118AB">
        <w:rPr>
          <w:i/>
          <w:sz w:val="20"/>
        </w:rPr>
        <w:t xml:space="preserve"> des G. vom 10. August 2015 (B.S. vom 18. August 2015) - anwendbar ab dem Steuerjahr 2016 -, selbst widerrufen durch Art. 67</w:t>
      </w:r>
      <w:r w:rsidRPr="009118AB">
        <w:rPr>
          <w:i/>
          <w:iCs/>
          <w:sz w:val="20"/>
        </w:rPr>
        <w:t xml:space="preserve"> des G. vom 18. Dezember 2015 (II) (B.S. vom 28. Dezember 2015)</w:t>
      </w:r>
      <w:r w:rsidRPr="009118AB">
        <w:rPr>
          <w:i/>
          <w:sz w:val="20"/>
        </w:rPr>
        <w:t>; § </w:t>
      </w:r>
      <w:r w:rsidRPr="009118AB">
        <w:rPr>
          <w:i/>
          <w:iCs/>
          <w:sz w:val="20"/>
        </w:rPr>
        <w:t>4 eingefügt durch Art. 5 des G. vom 19. Dezember 2014 (B.S. vom 29. Dezember 2014) - anwendbar ab dem Steuerjahr 2015 -, umnummeriert zu § 5 durch Art. 94 Nr. 3</w:t>
      </w:r>
      <w:r w:rsidRPr="009118AB">
        <w:rPr>
          <w:i/>
          <w:sz w:val="20"/>
        </w:rPr>
        <w:t xml:space="preserve"> des G. vom 10. August 2015 (B.S. vom 18. August 2015) - anwendbar ab dem Steuerjahr 2016 -, selbst widerrufen durch Art. 67</w:t>
      </w:r>
      <w:r w:rsidRPr="009118AB">
        <w:rPr>
          <w:i/>
          <w:iCs/>
          <w:sz w:val="20"/>
        </w:rPr>
        <w:t xml:space="preserve"> des G. vom 18. Dezember 2015 (II) (B.S. vom 28. Dezember 2015), und ersetzt durch Art. 16 Nr. 7</w:t>
      </w:r>
      <w:r w:rsidRPr="009118AB">
        <w:rPr>
          <w:i/>
          <w:sz w:val="20"/>
        </w:rPr>
        <w:t xml:space="preserve"> des G. vom 23. März 2019 (B.S. vom 5. April 2019) - anwendbar ab dem Steuerjahr 2020 -]</w:t>
      </w:r>
      <w:r w:rsidRPr="009118AB">
        <w:rPr>
          <w:iCs/>
          <w:sz w:val="20"/>
        </w:rPr>
        <w:t>"</w:t>
      </w:r>
    </w:p>
    <w:p w14:paraId="4150B370" w14:textId="77777777" w:rsidR="009A2825" w:rsidRPr="009118AB" w:rsidRDefault="009A2825" w:rsidP="009A2825">
      <w:pPr>
        <w:autoSpaceDE w:val="0"/>
        <w:autoSpaceDN w:val="0"/>
        <w:adjustRightInd w:val="0"/>
        <w:jc w:val="both"/>
        <w:rPr>
          <w:iCs/>
          <w:sz w:val="20"/>
        </w:rPr>
      </w:pPr>
    </w:p>
    <w:p w14:paraId="6DB0191A" w14:textId="77777777" w:rsidR="009A2825" w:rsidRPr="009118AB" w:rsidRDefault="009A2825" w:rsidP="009A2825">
      <w:pPr>
        <w:autoSpaceDE w:val="0"/>
        <w:autoSpaceDN w:val="0"/>
        <w:adjustRightInd w:val="0"/>
        <w:jc w:val="both"/>
        <w:rPr>
          <w:iCs/>
          <w:sz w:val="20"/>
        </w:rPr>
      </w:pPr>
    </w:p>
    <w:p w14:paraId="77B067DA" w14:textId="232D22BF" w:rsidR="009A2825" w:rsidRPr="009118AB" w:rsidRDefault="009A2825" w:rsidP="009A2825">
      <w:pPr>
        <w:autoSpaceDE w:val="0"/>
        <w:autoSpaceDN w:val="0"/>
        <w:adjustRightInd w:val="0"/>
        <w:jc w:val="both"/>
        <w:rPr>
          <w:sz w:val="20"/>
        </w:rPr>
      </w:pPr>
      <w:r w:rsidRPr="009118AB">
        <w:rPr>
          <w:iCs/>
          <w:sz w:val="20"/>
          <w:szCs w:val="20"/>
        </w:rPr>
        <w:t>Ab dem Steuerjahr 2028 (gemäß Art. 71 Abs. 18</w:t>
      </w:r>
      <w:r w:rsidRPr="009118AB">
        <w:rPr>
          <w:i/>
          <w:iCs/>
          <w:sz w:val="20"/>
        </w:rPr>
        <w:t xml:space="preserve"> </w:t>
      </w:r>
      <w:r w:rsidRPr="009118AB">
        <w:rPr>
          <w:sz w:val="20"/>
        </w:rPr>
        <w:t>des G. vom 5. Juli 2022 (B.S. vom 15. Juli 2022)) lautet Art. 154 wie folgt:</w:t>
      </w:r>
    </w:p>
    <w:p w14:paraId="458CFC53" w14:textId="77777777" w:rsidR="009A2825" w:rsidRPr="009118AB" w:rsidRDefault="009A2825" w:rsidP="009A2825">
      <w:pPr>
        <w:autoSpaceDE w:val="0"/>
        <w:autoSpaceDN w:val="0"/>
        <w:adjustRightInd w:val="0"/>
        <w:jc w:val="both"/>
        <w:rPr>
          <w:sz w:val="20"/>
        </w:rPr>
      </w:pPr>
    </w:p>
    <w:p w14:paraId="4CB8C5CE" w14:textId="3C20B9DA" w:rsidR="009A2825" w:rsidRPr="009118AB" w:rsidRDefault="009A2825" w:rsidP="009A2825">
      <w:pPr>
        <w:autoSpaceDE w:val="0"/>
        <w:autoSpaceDN w:val="0"/>
        <w:adjustRightInd w:val="0"/>
        <w:jc w:val="both"/>
        <w:rPr>
          <w:sz w:val="20"/>
        </w:rPr>
      </w:pPr>
      <w:r w:rsidRPr="009118AB">
        <w:rPr>
          <w:sz w:val="20"/>
        </w:rPr>
        <w:t>"Art. 154 - [...]</w:t>
      </w:r>
    </w:p>
    <w:p w14:paraId="76C14723" w14:textId="77777777" w:rsidR="009A2825" w:rsidRPr="009118AB" w:rsidRDefault="009A2825" w:rsidP="009A2825">
      <w:pPr>
        <w:autoSpaceDE w:val="0"/>
        <w:autoSpaceDN w:val="0"/>
        <w:adjustRightInd w:val="0"/>
        <w:jc w:val="both"/>
        <w:rPr>
          <w:sz w:val="20"/>
        </w:rPr>
      </w:pPr>
    </w:p>
    <w:p w14:paraId="0C3C24A0" w14:textId="41703F73" w:rsidR="009A2825" w:rsidRPr="009118AB" w:rsidRDefault="009A2825" w:rsidP="009A2825">
      <w:pPr>
        <w:autoSpaceDE w:val="0"/>
        <w:autoSpaceDN w:val="0"/>
        <w:adjustRightInd w:val="0"/>
        <w:jc w:val="both"/>
        <w:rPr>
          <w:sz w:val="20"/>
        </w:rPr>
      </w:pPr>
      <w:r w:rsidRPr="009118AB">
        <w:rPr>
          <w:i/>
          <w:iCs/>
          <w:sz w:val="20"/>
        </w:rPr>
        <w:t>[Art. 154 aufgehoben durch Art. 68 Nr. 5 des G. vom 5. Juli 2022 (B.S. vom 15. Juli 2022) - anwendbar a</w:t>
      </w:r>
      <w:r w:rsidR="009D6F3E" w:rsidRPr="009118AB">
        <w:rPr>
          <w:i/>
          <w:iCs/>
          <w:sz w:val="20"/>
        </w:rPr>
        <w:t>b</w:t>
      </w:r>
      <w:r w:rsidRPr="009118AB">
        <w:rPr>
          <w:i/>
          <w:iCs/>
          <w:sz w:val="20"/>
        </w:rPr>
        <w:t xml:space="preserve"> dem Steuerjahr 2028 -]</w:t>
      </w:r>
      <w:r w:rsidRPr="009118AB">
        <w:rPr>
          <w:sz w:val="20"/>
        </w:rPr>
        <w:t>"</w:t>
      </w:r>
    </w:p>
    <w:p w14:paraId="1F90947B" w14:textId="77777777" w:rsidR="009A2825" w:rsidRPr="009118AB" w:rsidRDefault="009A2825" w:rsidP="009A2825">
      <w:pPr>
        <w:autoSpaceDE w:val="0"/>
        <w:autoSpaceDN w:val="0"/>
        <w:adjustRightInd w:val="0"/>
        <w:jc w:val="both"/>
        <w:rPr>
          <w:sz w:val="20"/>
        </w:rPr>
      </w:pPr>
    </w:p>
    <w:p w14:paraId="094FE0E0" w14:textId="77777777" w:rsidR="009A2825" w:rsidRPr="009118AB" w:rsidRDefault="009A2825" w:rsidP="009A2825">
      <w:pPr>
        <w:autoSpaceDE w:val="0"/>
        <w:autoSpaceDN w:val="0"/>
        <w:adjustRightInd w:val="0"/>
        <w:jc w:val="both"/>
        <w:rPr>
          <w:i/>
          <w:iCs/>
          <w:sz w:val="20"/>
        </w:rPr>
      </w:pPr>
    </w:p>
    <w:p w14:paraId="67895EE1" w14:textId="77777777" w:rsidR="009A2825" w:rsidRPr="009118AB" w:rsidRDefault="009A2825" w:rsidP="009A2825">
      <w:pPr>
        <w:autoSpaceDE w:val="0"/>
        <w:autoSpaceDN w:val="0"/>
        <w:adjustRightInd w:val="0"/>
        <w:jc w:val="both"/>
        <w:rPr>
          <w:sz w:val="20"/>
        </w:rPr>
      </w:pPr>
    </w:p>
    <w:p w14:paraId="237C6EB9" w14:textId="77777777" w:rsidR="009A2825" w:rsidRPr="009118AB" w:rsidRDefault="009A2825" w:rsidP="009A2825">
      <w:pPr>
        <w:autoSpaceDE w:val="0"/>
        <w:autoSpaceDN w:val="0"/>
        <w:adjustRightInd w:val="0"/>
        <w:jc w:val="both"/>
        <w:rPr>
          <w:iCs/>
          <w:sz w:val="20"/>
        </w:rPr>
      </w:pPr>
    </w:p>
    <w:p w14:paraId="45719EC3" w14:textId="77777777" w:rsidR="00D634EC" w:rsidRPr="009118AB" w:rsidRDefault="00D634EC" w:rsidP="00D634EC">
      <w:pPr>
        <w:autoSpaceDE w:val="0"/>
        <w:autoSpaceDN w:val="0"/>
        <w:adjustRightInd w:val="0"/>
        <w:jc w:val="both"/>
        <w:rPr>
          <w:iCs/>
          <w:sz w:val="20"/>
        </w:rPr>
      </w:pPr>
    </w:p>
    <w:p w14:paraId="385203C0" w14:textId="53D3902C" w:rsidR="00D634EC" w:rsidRPr="009118AB" w:rsidRDefault="00D634EC" w:rsidP="00D81EA7">
      <w:pPr>
        <w:autoSpaceDE w:val="0"/>
        <w:autoSpaceDN w:val="0"/>
        <w:adjustRightInd w:val="0"/>
        <w:jc w:val="both"/>
        <w:rPr>
          <w:iCs/>
          <w:sz w:val="20"/>
          <w:szCs w:val="20"/>
        </w:rPr>
      </w:pPr>
    </w:p>
    <w:p w14:paraId="5E46803A" w14:textId="77777777" w:rsidR="00715690" w:rsidRPr="009118AB" w:rsidRDefault="00715690" w:rsidP="00477B8F">
      <w:pPr>
        <w:autoSpaceDE w:val="0"/>
        <w:autoSpaceDN w:val="0"/>
        <w:adjustRightInd w:val="0"/>
        <w:jc w:val="center"/>
      </w:pPr>
    </w:p>
    <w:p w14:paraId="51B22BBA" w14:textId="77777777" w:rsidR="00715690" w:rsidRPr="009118AB" w:rsidRDefault="00715690" w:rsidP="00477B8F">
      <w:pPr>
        <w:autoSpaceDE w:val="0"/>
        <w:autoSpaceDN w:val="0"/>
        <w:adjustRightInd w:val="0"/>
        <w:jc w:val="center"/>
      </w:pPr>
    </w:p>
    <w:p w14:paraId="3B4465AC" w14:textId="0D9726B0" w:rsidR="00477B8F" w:rsidRPr="009118AB" w:rsidRDefault="00715690" w:rsidP="00477B8F">
      <w:pPr>
        <w:autoSpaceDE w:val="0"/>
        <w:autoSpaceDN w:val="0"/>
        <w:adjustRightInd w:val="0"/>
        <w:jc w:val="center"/>
      </w:pPr>
      <w:r w:rsidRPr="009118AB">
        <w:br w:type="page"/>
      </w:r>
      <w:r w:rsidR="00477B8F" w:rsidRPr="009118AB">
        <w:lastRenderedPageBreak/>
        <w:t>[</w:t>
      </w:r>
      <w:r w:rsidR="009A2825" w:rsidRPr="009118AB">
        <w:t>[</w:t>
      </w:r>
      <w:r w:rsidR="00266979" w:rsidRPr="009118AB">
        <w:t>Unterabschnitt </w:t>
      </w:r>
      <w:r w:rsidR="00D74862" w:rsidRPr="009118AB">
        <w:t>3</w:t>
      </w:r>
      <w:r w:rsidR="00477B8F" w:rsidRPr="009118AB">
        <w:rPr>
          <w:i/>
          <w:iCs/>
        </w:rPr>
        <w:t>bis</w:t>
      </w:r>
      <w:r w:rsidR="00D67EB8" w:rsidRPr="009118AB">
        <w:t> - </w:t>
      </w:r>
      <w:r w:rsidR="00477B8F" w:rsidRPr="009118AB">
        <w:t>Ermäßigung für Entlohnungen aufgrund geleisteter Überarbeit, die zu einer Lohnzulage berechtigt</w:t>
      </w:r>
    </w:p>
    <w:p w14:paraId="49FD4EED" w14:textId="77777777" w:rsidR="00477B8F" w:rsidRPr="009118AB" w:rsidRDefault="00477B8F" w:rsidP="00477B8F">
      <w:pPr>
        <w:autoSpaceDE w:val="0"/>
        <w:autoSpaceDN w:val="0"/>
        <w:adjustRightInd w:val="0"/>
        <w:jc w:val="both"/>
      </w:pPr>
    </w:p>
    <w:p w14:paraId="15C9B2F7" w14:textId="2D77C20E" w:rsidR="00477B8F" w:rsidRPr="009118AB" w:rsidRDefault="00477B8F" w:rsidP="00477B8F">
      <w:pPr>
        <w:autoSpaceDE w:val="0"/>
        <w:autoSpaceDN w:val="0"/>
        <w:adjustRightInd w:val="0"/>
        <w:jc w:val="both"/>
        <w:rPr>
          <w:i/>
          <w:iCs/>
        </w:rPr>
      </w:pPr>
      <w:r w:rsidRPr="009118AB">
        <w:rPr>
          <w:i/>
          <w:iCs/>
        </w:rPr>
        <w:t xml:space="preserve">[Unterabschnitt </w:t>
      </w:r>
      <w:r w:rsidR="00D74862" w:rsidRPr="009118AB">
        <w:rPr>
          <w:i/>
          <w:iCs/>
        </w:rPr>
        <w:t>3</w:t>
      </w:r>
      <w:r w:rsidRPr="009118AB">
        <w:rPr>
          <w:i/>
          <w:iCs/>
        </w:rPr>
        <w:t xml:space="preserve">bis mit </w:t>
      </w:r>
      <w:r w:rsidR="00D67EB8" w:rsidRPr="009118AB">
        <w:rPr>
          <w:i/>
          <w:iCs/>
        </w:rPr>
        <w:t>Art. </w:t>
      </w:r>
      <w:r w:rsidRPr="009118AB">
        <w:rPr>
          <w:i/>
          <w:iCs/>
        </w:rPr>
        <w:t xml:space="preserve">154bis eingefügt durch </w:t>
      </w:r>
      <w:r w:rsidR="00D67EB8" w:rsidRPr="009118AB">
        <w:rPr>
          <w:i/>
          <w:iCs/>
        </w:rPr>
        <w:t>Art. </w:t>
      </w:r>
      <w:r w:rsidRPr="009118AB">
        <w:rPr>
          <w:i/>
          <w:iCs/>
        </w:rPr>
        <w:t>23 des G. vom 3. Juli 2005 (B.S.</w:t>
      </w:r>
      <w:r w:rsidR="005A23EB" w:rsidRPr="009118AB">
        <w:rPr>
          <w:i/>
          <w:iCs/>
        </w:rPr>
        <w:t> </w:t>
      </w:r>
      <w:r w:rsidRPr="009118AB">
        <w:rPr>
          <w:i/>
          <w:iCs/>
        </w:rPr>
        <w:t>vom 19. Juli 2005)</w:t>
      </w:r>
      <w:r w:rsidR="00D67EB8" w:rsidRPr="009118AB">
        <w:rPr>
          <w:i/>
          <w:iCs/>
        </w:rPr>
        <w:t> - </w:t>
      </w:r>
      <w:r w:rsidRPr="009118AB">
        <w:rPr>
          <w:i/>
          <w:iCs/>
        </w:rPr>
        <w:t>anwendbar auf Schicht- und Nachtarbeitszulagen und auf Entlohnungen in Bezug auf Überarbeit, die ab dem 1. Juli 2005 gezahlt oder zuerkannt werden</w:t>
      </w:r>
      <w:r w:rsidR="00FD68E8" w:rsidRPr="009118AB">
        <w:rPr>
          <w:i/>
          <w:iCs/>
        </w:rPr>
        <w:t> -]</w:t>
      </w:r>
    </w:p>
    <w:p w14:paraId="75E3718A" w14:textId="77777777" w:rsidR="00477B8F" w:rsidRPr="009118AB" w:rsidRDefault="00477B8F" w:rsidP="00477B8F">
      <w:pPr>
        <w:autoSpaceDE w:val="0"/>
        <w:autoSpaceDN w:val="0"/>
        <w:adjustRightInd w:val="0"/>
        <w:jc w:val="both"/>
        <w:rPr>
          <w:i/>
          <w:iCs/>
        </w:rPr>
      </w:pPr>
    </w:p>
    <w:p w14:paraId="3187A3BC" w14:textId="77777777" w:rsidR="00477B8F" w:rsidRPr="009118AB" w:rsidRDefault="00477B8F" w:rsidP="00477B8F">
      <w:pPr>
        <w:autoSpaceDE w:val="0"/>
        <w:autoSpaceDN w:val="0"/>
        <w:adjustRightInd w:val="0"/>
        <w:jc w:val="both"/>
      </w:pPr>
    </w:p>
    <w:p w14:paraId="3BA12CA7" w14:textId="36C0FB5D" w:rsidR="002F780C" w:rsidRPr="009118AB" w:rsidRDefault="00477B8F" w:rsidP="002F780C">
      <w:pPr>
        <w:autoSpaceDE w:val="0"/>
        <w:autoSpaceDN w:val="0"/>
        <w:adjustRightInd w:val="0"/>
        <w:jc w:val="both"/>
      </w:pPr>
      <w:r w:rsidRPr="009118AB">
        <w:tab/>
      </w:r>
      <w:r w:rsidR="00D67EB8" w:rsidRPr="009118AB">
        <w:rPr>
          <w:b/>
        </w:rPr>
        <w:t>Art. </w:t>
      </w:r>
      <w:r w:rsidRPr="009118AB">
        <w:rPr>
          <w:b/>
        </w:rPr>
        <w:t>154</w:t>
      </w:r>
      <w:r w:rsidRPr="009118AB">
        <w:rPr>
          <w:b/>
          <w:i/>
          <w:iCs/>
        </w:rPr>
        <w:t>bis</w:t>
      </w:r>
      <w:r w:rsidR="00D67EB8" w:rsidRPr="009118AB">
        <w:t> - </w:t>
      </w:r>
      <w:r w:rsidR="002F780C" w:rsidRPr="009118AB">
        <w:t xml:space="preserve">[Eine Steuerermäßigung wird Arbeitnehmern gewährt, die im Besteuerungszeitraum Überarbeit geleistet haben, die aufgrund von Artikel 29 des Gesetzes vom 16. März 1971 über die Arbeit oder von Artikel 7 des Königlichen Erlasses </w:t>
      </w:r>
      <w:r w:rsidR="00D67EB8" w:rsidRPr="009118AB">
        <w:t>Nr. </w:t>
      </w:r>
      <w:r w:rsidR="002F780C" w:rsidRPr="009118AB">
        <w:t>213 vom 26. September 1983 über die Arbeitszeit in den Unternehmen, die der Paritätischen Kommission für das Bauwesen unterstehen, zu einer Lohnzulage berechtigt, und die:</w:t>
      </w:r>
    </w:p>
    <w:p w14:paraId="313AD5D7" w14:textId="77777777" w:rsidR="002F780C" w:rsidRPr="009118AB" w:rsidRDefault="002F780C" w:rsidP="002F780C">
      <w:pPr>
        <w:autoSpaceDE w:val="0"/>
        <w:autoSpaceDN w:val="0"/>
        <w:adjustRightInd w:val="0"/>
        <w:jc w:val="both"/>
      </w:pPr>
    </w:p>
    <w:p w14:paraId="392A6469" w14:textId="77777777" w:rsidR="002F780C" w:rsidRPr="009118AB" w:rsidRDefault="003E1F78" w:rsidP="002F780C">
      <w:pPr>
        <w:autoSpaceDE w:val="0"/>
        <w:autoSpaceDN w:val="0"/>
        <w:adjustRightInd w:val="0"/>
        <w:jc w:val="both"/>
      </w:pPr>
      <w:r w:rsidRPr="009118AB">
        <w:tab/>
      </w:r>
      <w:r w:rsidR="002F780C" w:rsidRPr="009118AB">
        <w:t>- entweder dem Gesetz vom 16. März 1971 über die Arbeit unterliegen und von einem Arbeitgeber beschäftigt werden, der dem Gesetz vom 5. Dezember 1968 über die kollektiven Arbeitsabkommen und die paritätischen Kommissionen unterliegt,</w:t>
      </w:r>
    </w:p>
    <w:p w14:paraId="2A5AD8AD" w14:textId="77777777" w:rsidR="002F780C" w:rsidRPr="009118AB" w:rsidRDefault="002F780C" w:rsidP="002F780C">
      <w:pPr>
        <w:autoSpaceDE w:val="0"/>
        <w:autoSpaceDN w:val="0"/>
        <w:adjustRightInd w:val="0"/>
        <w:jc w:val="both"/>
      </w:pPr>
    </w:p>
    <w:p w14:paraId="7A373817" w14:textId="77777777" w:rsidR="002F780C" w:rsidRPr="009118AB" w:rsidRDefault="003E1F78" w:rsidP="002F780C">
      <w:pPr>
        <w:autoSpaceDE w:val="0"/>
        <w:autoSpaceDN w:val="0"/>
        <w:adjustRightInd w:val="0"/>
        <w:jc w:val="both"/>
      </w:pPr>
      <w:r w:rsidRPr="009118AB">
        <w:tab/>
      </w:r>
      <w:r w:rsidR="002F780C" w:rsidRPr="009118AB">
        <w:t>- oder als vertraglich oder statutarisch angestellte Arbeitnehmer von einem der folgen</w:t>
      </w:r>
      <w:r w:rsidR="002F780C" w:rsidRPr="009118AB">
        <w:softHyphen/>
        <w:t xml:space="preserve">den autonomen öffentlichen Unternehmen beschäftigt werden: der öffentlich-rechtlichen Aktiengesellschaft Belgacom, [der öffentlich-rechtlichen Aktiengesellschaft </w:t>
      </w:r>
      <w:r w:rsidR="000E467D" w:rsidRPr="009118AB">
        <w:t>[bp</w:t>
      </w:r>
      <w:r w:rsidR="002F780C" w:rsidRPr="009118AB">
        <w:t>ost</w:t>
      </w:r>
      <w:r w:rsidR="000E467D" w:rsidRPr="009118AB">
        <w:t>]</w:t>
      </w:r>
      <w:r w:rsidR="002F780C" w:rsidRPr="009118AB">
        <w:t xml:space="preserve">,] </w:t>
      </w:r>
      <w:r w:rsidR="008353ED" w:rsidRPr="009118AB">
        <w:t>[…]</w:t>
      </w:r>
      <w:r w:rsidR="002F780C" w:rsidRPr="009118AB">
        <w:t xml:space="preserve"> der öffentlich-rechtlichen Aktiengesellschaft NGBE und der öffentlich-rechtlich</w:t>
      </w:r>
      <w:r w:rsidR="008353ED" w:rsidRPr="009118AB">
        <w:t>en Aktien</w:t>
      </w:r>
      <w:r w:rsidR="008353ED" w:rsidRPr="009118AB">
        <w:softHyphen/>
        <w:t>gesellschaft Infrabel,</w:t>
      </w:r>
      <w:r w:rsidR="002F780C" w:rsidRPr="009118AB">
        <w:t>]</w:t>
      </w:r>
    </w:p>
    <w:p w14:paraId="336FC2FE" w14:textId="77777777" w:rsidR="008353ED" w:rsidRPr="009118AB" w:rsidRDefault="008353ED" w:rsidP="002F780C">
      <w:pPr>
        <w:autoSpaceDE w:val="0"/>
        <w:autoSpaceDN w:val="0"/>
        <w:adjustRightInd w:val="0"/>
        <w:jc w:val="both"/>
      </w:pPr>
    </w:p>
    <w:p w14:paraId="61984ED5" w14:textId="77777777" w:rsidR="008353ED" w:rsidRPr="009118AB" w:rsidRDefault="008353ED" w:rsidP="002F780C">
      <w:pPr>
        <w:autoSpaceDE w:val="0"/>
        <w:autoSpaceDN w:val="0"/>
        <w:adjustRightInd w:val="0"/>
        <w:jc w:val="both"/>
      </w:pPr>
      <w:r w:rsidRPr="009118AB">
        <w:tab/>
        <w:t>[- oder als vertraglich oder statutarisch angestellte Arbeitnehmer von der öffentlich-rechtlichen Aktiengesellschaft HR Rail beschäftigt werden.]</w:t>
      </w:r>
    </w:p>
    <w:p w14:paraId="2B1522F0" w14:textId="77777777" w:rsidR="002F780C" w:rsidRPr="009118AB" w:rsidRDefault="002F780C" w:rsidP="002F780C">
      <w:pPr>
        <w:autoSpaceDE w:val="0"/>
        <w:autoSpaceDN w:val="0"/>
        <w:adjustRightInd w:val="0"/>
        <w:jc w:val="both"/>
      </w:pPr>
    </w:p>
    <w:p w14:paraId="64EA17B1" w14:textId="77777777" w:rsidR="002F780C" w:rsidRPr="009118AB" w:rsidRDefault="003E1F78" w:rsidP="002F780C">
      <w:pPr>
        <w:autoSpaceDE w:val="0"/>
        <w:autoSpaceDN w:val="0"/>
        <w:adjustRightInd w:val="0"/>
        <w:jc w:val="both"/>
      </w:pPr>
      <w:r w:rsidRPr="009118AB">
        <w:tab/>
      </w:r>
      <w:r w:rsidR="002F780C" w:rsidRPr="009118AB">
        <w:t>Die Steuerermäßigung beträgt 24,75 Prozent der Summe der Beträge, die als Berechnungsgrundlage für die Lohnzulage in Bezug auf die Stunden, die der Arbeitnehmer im Besteuerungszeitraum als Überarbeit geleistet hat, gedient haben. Werden mehr als [hundertdreißig Stunden] Überarbeit geleistet, wird diese Summe nur zu einem Anteil berücksichtigt, der dem Verhältnis zwischen einerseits [hundertdreißig Stunden] und andererseits der Gesamtheit der als Überarbeit geleisteten Stunden entspricht.</w:t>
      </w:r>
    </w:p>
    <w:p w14:paraId="039BDE96" w14:textId="77777777" w:rsidR="00CB2F34" w:rsidRPr="009118AB" w:rsidRDefault="00CB2F34" w:rsidP="002F780C">
      <w:pPr>
        <w:autoSpaceDE w:val="0"/>
        <w:autoSpaceDN w:val="0"/>
        <w:adjustRightInd w:val="0"/>
        <w:jc w:val="both"/>
      </w:pPr>
    </w:p>
    <w:p w14:paraId="27502DA0" w14:textId="770E8DBB" w:rsidR="00BD33B2" w:rsidRPr="009118AB" w:rsidRDefault="00BD33B2" w:rsidP="002F780C">
      <w:pPr>
        <w:autoSpaceDE w:val="0"/>
        <w:autoSpaceDN w:val="0"/>
        <w:adjustRightInd w:val="0"/>
        <w:jc w:val="both"/>
      </w:pPr>
      <w:r w:rsidRPr="009118AB">
        <w:tab/>
        <w:t xml:space="preserve">[Die in Absatz 2 bestimmte Höchstanzahl von hundertdreißig Stunden Überarbeit wird </w:t>
      </w:r>
      <w:r w:rsidR="00E712E1" w:rsidRPr="009118AB">
        <w:t>[</w:t>
      </w:r>
      <w:r w:rsidR="008074B0" w:rsidRPr="009118AB">
        <w:t>für die Steuerjahre 2020, 2021, 2023, 2024 und 2025</w:t>
      </w:r>
      <w:r w:rsidR="00E712E1" w:rsidRPr="009118AB">
        <w:t>]</w:t>
      </w:r>
      <w:r w:rsidRPr="009118AB">
        <w:t xml:space="preserve"> auf hundertachtzig Stunden erhöht. </w:t>
      </w:r>
      <w:r w:rsidR="00E712E1" w:rsidRPr="009118AB">
        <w:t>[...]</w:t>
      </w:r>
      <w:r w:rsidRPr="009118AB">
        <w:t>]</w:t>
      </w:r>
      <w:r w:rsidR="00E712E1" w:rsidRPr="009118AB">
        <w:t xml:space="preserve"> [Die in Absatz 2 bestimmte Höchstanzahl von hundertdreißig Stunden Überarbeit wird für das Steuerjahr 2022 ebenfalls auf hundertachtzig Stunden erhöht, sofern diese fünfzig zusätzlichen Stunden Überarbeit im Zeitraum vom 1. Juli 2021 bis zum 31. Dezember 2021 einschließlich geleistet werden; dies gilt auch </w:t>
      </w:r>
      <w:r w:rsidR="008074B0" w:rsidRPr="009118AB">
        <w:t>[</w:t>
      </w:r>
      <w:r w:rsidR="00E712E1" w:rsidRPr="009118AB">
        <w:t>für das Steuerjahr 202</w:t>
      </w:r>
      <w:r w:rsidR="008074B0" w:rsidRPr="009118AB">
        <w:t>6]</w:t>
      </w:r>
      <w:r w:rsidR="00E712E1" w:rsidRPr="009118AB">
        <w:t xml:space="preserve">, sofern sowohl das Grundkontingent von hundertdreißig Stunden als auch diese fünfzig zusätzlichen Stunden Überarbeit </w:t>
      </w:r>
      <w:r w:rsidR="008074B0" w:rsidRPr="009118AB">
        <w:t>[</w:t>
      </w:r>
      <w:r w:rsidR="00E712E1" w:rsidRPr="009118AB">
        <w:t>im Zeitraum vom 1. Januar 202</w:t>
      </w:r>
      <w:r w:rsidR="008074B0" w:rsidRPr="009118AB">
        <w:t>5</w:t>
      </w:r>
      <w:r w:rsidR="00E712E1" w:rsidRPr="009118AB">
        <w:t xml:space="preserve"> bis zum 30. Juni 202</w:t>
      </w:r>
      <w:r w:rsidR="008074B0" w:rsidRPr="009118AB">
        <w:t>5]</w:t>
      </w:r>
      <w:r w:rsidR="00E712E1" w:rsidRPr="009118AB">
        <w:t xml:space="preserve"> einschließlich geleistet werden.]</w:t>
      </w:r>
    </w:p>
    <w:p w14:paraId="19876FF3" w14:textId="77777777" w:rsidR="00BD33B2" w:rsidRPr="009118AB" w:rsidRDefault="00BD33B2" w:rsidP="002F780C">
      <w:pPr>
        <w:autoSpaceDE w:val="0"/>
        <w:autoSpaceDN w:val="0"/>
        <w:adjustRightInd w:val="0"/>
        <w:jc w:val="both"/>
      </w:pPr>
    </w:p>
    <w:p w14:paraId="10721DFE" w14:textId="77777777" w:rsidR="008035C5" w:rsidRPr="00700308" w:rsidRDefault="00CB2F34" w:rsidP="008035C5">
      <w:pPr>
        <w:ind w:firstLine="708"/>
        <w:jc w:val="both"/>
      </w:pPr>
      <w:r w:rsidRPr="009118AB">
        <w:t>[</w:t>
      </w:r>
      <w:r w:rsidR="008035C5" w:rsidRPr="00700308">
        <w:t>Die in Absatz 2 bestimmte Höchstanzahl von hundertdreißig Stunden Überarbeit wird erhöht auf:</w:t>
      </w:r>
    </w:p>
    <w:p w14:paraId="04F5531F" w14:textId="77777777" w:rsidR="008035C5" w:rsidRPr="00700308" w:rsidRDefault="008035C5" w:rsidP="008035C5">
      <w:pPr>
        <w:jc w:val="both"/>
      </w:pPr>
    </w:p>
    <w:p w14:paraId="5282886E" w14:textId="77777777" w:rsidR="008035C5" w:rsidRPr="00700308" w:rsidRDefault="008035C5" w:rsidP="008035C5">
      <w:pPr>
        <w:ind w:firstLine="708"/>
        <w:jc w:val="both"/>
      </w:pPr>
      <w:r w:rsidRPr="00700308">
        <w:t xml:space="preserve">- hundertachtzig Stunden für Arbeitnehmer, die von Arbeitgebern beschäftigt werden, die Immobilienarbeiten ausführen, unter der Bedingung, dass diese Arbeitgeber ein elektronisches System zur Registrierung der Anwesenheiten benutzen, das in Kapitel 5 </w:t>
      </w:r>
      <w:r w:rsidRPr="00700308">
        <w:lastRenderedPageBreak/>
        <w:t>Abschnitt 4 des Gesetzes vom 4. August 1996 über das Wohlbefinden der Arbeitnehmer bei der Ausführung ihrer Arbeit erwähnt ist,</w:t>
      </w:r>
    </w:p>
    <w:p w14:paraId="74B8B854" w14:textId="77777777" w:rsidR="008035C5" w:rsidRPr="00700308" w:rsidRDefault="008035C5" w:rsidP="008035C5">
      <w:pPr>
        <w:jc w:val="both"/>
      </w:pPr>
    </w:p>
    <w:p w14:paraId="0DB6C895" w14:textId="6D845C95" w:rsidR="00D95CC9" w:rsidRPr="009118AB" w:rsidRDefault="008035C5" w:rsidP="008035C5">
      <w:pPr>
        <w:ind w:firstLine="708"/>
        <w:jc w:val="both"/>
      </w:pPr>
      <w:r w:rsidRPr="00700308">
        <w:t>- zweihundertachtzig Stunden für Arbeitnehmer, die von Arbeitgebern beschäftigt werden, die hauptsächlich Straßenarbeiten - mit Ausnahme von Arbeiten zum Verlegen von unterirdischen Leitungen und Kabeln - oder Eisenbahnarbeiten ausführen und denen von den Behörden vorgeschrieben wird, am Wochenende, an Feiertagen oder nachts zu arbeiten, unter der Bedingung, dass diese Arbeitgeber ein elektronisches System zur Registrierung der Anwesenheiten benutzen, das in Kapitel 5 Abschnitt 4 des Gesetzes vom 4. August 1996 über das Wohlbefinden der Arbeitnehmer bei der Ausführung ihrer Arbeit erwähnt ist, und unter der Bedingung und in dem Maße, wie diese Arbeitnehmer während der für diese Arbeitgeber geleisteten Überstunden tatsächlich Straßenarbeiten oder Eisenbahnarbeiten ausgeführt haben, für die die Behörden vorschreiben, dass am Wochenende, an Feiertagen oder nachts gearbeitet werden muss. Der König kann die Modalitäten für die Anwendung des vorliegenden Gedankenstrichs festlegen.</w:t>
      </w:r>
      <w:r w:rsidR="00D95CC9" w:rsidRPr="009118AB">
        <w:t>]</w:t>
      </w:r>
    </w:p>
    <w:p w14:paraId="3839B66D" w14:textId="77777777" w:rsidR="00D95CC9" w:rsidRPr="009118AB" w:rsidRDefault="00D95CC9" w:rsidP="00D95CC9">
      <w:pPr>
        <w:jc w:val="both"/>
      </w:pPr>
    </w:p>
    <w:p w14:paraId="19183337" w14:textId="77777777" w:rsidR="00CB2F34" w:rsidRPr="009118AB" w:rsidRDefault="00D95CC9" w:rsidP="00D95CC9">
      <w:pPr>
        <w:ind w:firstLine="708"/>
        <w:jc w:val="both"/>
      </w:pPr>
      <w:r w:rsidRPr="009118AB">
        <w:t>[Die in Absatz 2 bestimmte Höchstanzahl von hundertdreißig Stunden Überarbeit wird auf dreihundertsechzig Stunden erhöht für Arbeitnehmer, die von Arbeitgebern beschäftigt werden, die der Paritätischen Kommission für das Hotelgewerbe oder der Paritätischen Kommission für Leiharbeit unterstehen, sofern der Entleiher der Paritätischen Kommission für das Hotelgewerbe untersteht.</w:t>
      </w:r>
      <w:r w:rsidR="00CB2F34" w:rsidRPr="009118AB">
        <w:t>]</w:t>
      </w:r>
    </w:p>
    <w:p w14:paraId="5071809F" w14:textId="77777777" w:rsidR="002F780C" w:rsidRPr="009118AB" w:rsidRDefault="002F780C" w:rsidP="002F780C">
      <w:pPr>
        <w:autoSpaceDE w:val="0"/>
        <w:autoSpaceDN w:val="0"/>
        <w:adjustRightInd w:val="0"/>
        <w:jc w:val="both"/>
      </w:pPr>
    </w:p>
    <w:p w14:paraId="612097D1" w14:textId="77777777" w:rsidR="002F780C" w:rsidRPr="009118AB" w:rsidRDefault="003E1F78" w:rsidP="002F780C">
      <w:pPr>
        <w:autoSpaceDE w:val="0"/>
        <w:autoSpaceDN w:val="0"/>
        <w:adjustRightInd w:val="0"/>
        <w:jc w:val="both"/>
      </w:pPr>
      <w:r w:rsidRPr="009118AB">
        <w:tab/>
      </w:r>
      <w:r w:rsidR="002F780C" w:rsidRPr="009118AB">
        <w:t>[Der König kann durch einen im Ministerrat beratenen Erlass den in Absatz 2 erwähnten Prozentsatz erhöhen auf höchstens:</w:t>
      </w:r>
    </w:p>
    <w:p w14:paraId="3A6D23FD" w14:textId="77777777" w:rsidR="002F780C" w:rsidRPr="009118AB" w:rsidRDefault="002F780C" w:rsidP="002F780C">
      <w:pPr>
        <w:autoSpaceDE w:val="0"/>
        <w:autoSpaceDN w:val="0"/>
        <w:adjustRightInd w:val="0"/>
        <w:jc w:val="both"/>
      </w:pPr>
    </w:p>
    <w:p w14:paraId="080A6C71" w14:textId="77777777" w:rsidR="002F780C" w:rsidRPr="009118AB" w:rsidRDefault="003E1F78" w:rsidP="002F780C">
      <w:pPr>
        <w:autoSpaceDE w:val="0"/>
        <w:autoSpaceDN w:val="0"/>
        <w:adjustRightInd w:val="0"/>
        <w:jc w:val="both"/>
      </w:pPr>
      <w:r w:rsidRPr="009118AB">
        <w:tab/>
      </w:r>
      <w:r w:rsidR="002F780C" w:rsidRPr="009118AB">
        <w:t>- 66,81 Prozent für geleistete Stunden, auf die eine gesetzliche Lohnzulage von 20 Prozent anwendbar ist,</w:t>
      </w:r>
    </w:p>
    <w:p w14:paraId="12EEE220" w14:textId="77777777" w:rsidR="002F780C" w:rsidRPr="009118AB" w:rsidRDefault="002F780C" w:rsidP="002F780C">
      <w:pPr>
        <w:autoSpaceDE w:val="0"/>
        <w:autoSpaceDN w:val="0"/>
        <w:adjustRightInd w:val="0"/>
        <w:jc w:val="both"/>
      </w:pPr>
    </w:p>
    <w:p w14:paraId="7165AC81" w14:textId="77777777" w:rsidR="002F780C" w:rsidRPr="009118AB" w:rsidRDefault="003E1F78" w:rsidP="002F780C">
      <w:pPr>
        <w:autoSpaceDE w:val="0"/>
        <w:autoSpaceDN w:val="0"/>
        <w:adjustRightInd w:val="0"/>
        <w:jc w:val="both"/>
      </w:pPr>
      <w:r w:rsidRPr="009118AB">
        <w:tab/>
      </w:r>
      <w:r w:rsidR="002F780C" w:rsidRPr="009118AB">
        <w:t>- 57,75 Prozent für geleistete Stunden, auf die eine gesetzliche Lohnzulage von 50 oder 100 Prozent anwendbar ist.]</w:t>
      </w:r>
    </w:p>
    <w:p w14:paraId="6497CA9F" w14:textId="77777777" w:rsidR="002F780C" w:rsidRPr="009118AB" w:rsidRDefault="002F780C" w:rsidP="002F780C">
      <w:pPr>
        <w:autoSpaceDE w:val="0"/>
        <w:autoSpaceDN w:val="0"/>
        <w:adjustRightInd w:val="0"/>
        <w:jc w:val="both"/>
      </w:pPr>
    </w:p>
    <w:p w14:paraId="2E45160C" w14:textId="42634B3F" w:rsidR="002F780C" w:rsidRPr="009118AB" w:rsidRDefault="003E1F78" w:rsidP="002F780C">
      <w:pPr>
        <w:autoSpaceDE w:val="0"/>
        <w:autoSpaceDN w:val="0"/>
        <w:adjustRightInd w:val="0"/>
        <w:jc w:val="both"/>
      </w:pPr>
      <w:r w:rsidRPr="009118AB">
        <w:tab/>
      </w:r>
      <w:r w:rsidR="002F780C" w:rsidRPr="009118AB">
        <w:t>[</w:t>
      </w:r>
      <w:r w:rsidR="00BD33B2" w:rsidRPr="009118AB">
        <w:t xml:space="preserve">Der König reicht bei der Abgeordnetenkammer, wenn sie versammelt ist, unverzüglich und sonst, sobald die nächste Sitzungsperiode eröffnet ist, einen Gesetzentwurf ein zur Bestätigung der Erlasse zur Ausführung </w:t>
      </w:r>
      <w:r w:rsidR="00E712E1" w:rsidRPr="009118AB">
        <w:t>[von</w:t>
      </w:r>
      <w:r w:rsidR="00BD33B2" w:rsidRPr="009118AB">
        <w:t xml:space="preserve"> Abs</w:t>
      </w:r>
      <w:r w:rsidR="00E712E1" w:rsidRPr="009118AB">
        <w:t>atz </w:t>
      </w:r>
      <w:r w:rsidR="00BD33B2" w:rsidRPr="009118AB">
        <w:t>6</w:t>
      </w:r>
      <w:r w:rsidR="00E712E1" w:rsidRPr="009118AB">
        <w:t>]</w:t>
      </w:r>
      <w:r w:rsidR="00BD33B2" w:rsidRPr="009118AB">
        <w:t xml:space="preserve">. Diese Erlasse sind nicht länger wirksam, wenn sie nicht binnen zwölf Monaten nach dem Datum ihrer Veröffentlichung im </w:t>
      </w:r>
      <w:r w:rsidR="00BD33B2" w:rsidRPr="009118AB">
        <w:rPr>
          <w:i/>
          <w:iCs/>
        </w:rPr>
        <w:t>Belgischen Staatsblatt</w:t>
      </w:r>
      <w:r w:rsidR="00BD33B2" w:rsidRPr="009118AB">
        <w:t xml:space="preserve"> durch Gesetz bestätigt worden sind. Die Bestätigung wird wirksam mit diesem Datum. Erfolgt diese Bestätigung nicht in vorerwähnter Frist, wird davon ausgegangen, dass die betreffenden Erlasse nie wirksam geworden sind.</w:t>
      </w:r>
      <w:r w:rsidR="002F780C" w:rsidRPr="009118AB">
        <w:t>]</w:t>
      </w:r>
    </w:p>
    <w:p w14:paraId="2B6B8D7F" w14:textId="77777777" w:rsidR="002F780C" w:rsidRPr="009118AB" w:rsidRDefault="002F780C" w:rsidP="002F780C">
      <w:pPr>
        <w:autoSpaceDE w:val="0"/>
        <w:autoSpaceDN w:val="0"/>
        <w:adjustRightInd w:val="0"/>
        <w:jc w:val="both"/>
      </w:pPr>
    </w:p>
    <w:p w14:paraId="58201162" w14:textId="0342EE3E" w:rsidR="002F780C" w:rsidRPr="009118AB" w:rsidRDefault="003E1F78" w:rsidP="002F780C">
      <w:pPr>
        <w:autoSpaceDE w:val="0"/>
        <w:autoSpaceDN w:val="0"/>
        <w:adjustRightInd w:val="0"/>
        <w:jc w:val="both"/>
      </w:pPr>
      <w:r w:rsidRPr="009118AB">
        <w:tab/>
      </w:r>
      <w:r w:rsidR="00107B43" w:rsidRPr="009118AB">
        <w:t xml:space="preserve">[Die Steuerermäßigung darf jedoch die Staatssteuer auf den Nettobetrag der in Artikel 30 </w:t>
      </w:r>
      <w:r w:rsidR="00D67EB8" w:rsidRPr="009118AB">
        <w:t>Nr. </w:t>
      </w:r>
      <w:r w:rsidR="00107B43" w:rsidRPr="009118AB">
        <w:t>1 erwähnten Entlohnungen, die gemäß Artikel 130 besteuert werden, ausschließlich der Entschädigungen, die als vollständige Entschädigung oder Teilentschädigung für einen zeitweiligen Lohnausfall bezogen werden, nicht übersteigen.]</w:t>
      </w:r>
      <w:r w:rsidR="002F780C" w:rsidRPr="009118AB">
        <w:t>]</w:t>
      </w:r>
    </w:p>
    <w:p w14:paraId="6147CB0B" w14:textId="77777777" w:rsidR="00D95CC9" w:rsidRPr="009118AB" w:rsidRDefault="00D95CC9" w:rsidP="002F780C">
      <w:pPr>
        <w:autoSpaceDE w:val="0"/>
        <w:autoSpaceDN w:val="0"/>
        <w:adjustRightInd w:val="0"/>
        <w:jc w:val="both"/>
      </w:pPr>
    </w:p>
    <w:p w14:paraId="1A455B29" w14:textId="77777777" w:rsidR="00F669C2" w:rsidRPr="009118AB" w:rsidRDefault="00D95CC9" w:rsidP="00F669C2">
      <w:pPr>
        <w:jc w:val="both"/>
      </w:pPr>
      <w:r w:rsidRPr="009118AB">
        <w:tab/>
        <w:t>[</w:t>
      </w:r>
      <w:r w:rsidR="00F669C2" w:rsidRPr="009118AB">
        <w:t>Die Steuerermäßigung ist nicht auf Überarbeit anwendbar:</w:t>
      </w:r>
    </w:p>
    <w:p w14:paraId="71C6F887" w14:textId="77777777" w:rsidR="00F669C2" w:rsidRPr="009118AB" w:rsidRDefault="00F669C2" w:rsidP="00F669C2">
      <w:pPr>
        <w:jc w:val="both"/>
      </w:pPr>
    </w:p>
    <w:p w14:paraId="79393B91" w14:textId="4F8BB1B2" w:rsidR="00F669C2" w:rsidRPr="009118AB" w:rsidRDefault="00F669C2" w:rsidP="00F669C2">
      <w:pPr>
        <w:jc w:val="both"/>
      </w:pPr>
      <w:r w:rsidRPr="009118AB">
        <w:tab/>
      </w:r>
      <w:r w:rsidRPr="009118AB">
        <w:rPr>
          <w:i/>
        </w:rPr>
        <w:t>a)</w:t>
      </w:r>
      <w:r w:rsidRPr="009118AB">
        <w:t xml:space="preserve"> die für die Anwendung von Artikel 38 </w:t>
      </w:r>
      <w:r w:rsidR="00D67EB8" w:rsidRPr="009118AB">
        <w:t>§ </w:t>
      </w:r>
      <w:r w:rsidRPr="009118AB">
        <w:t xml:space="preserve">1 Absatz 1 </w:t>
      </w:r>
      <w:r w:rsidR="00D67EB8" w:rsidRPr="009118AB">
        <w:t>Nr. </w:t>
      </w:r>
      <w:r w:rsidRPr="009118AB">
        <w:t>30 in Betracht kommt,</w:t>
      </w:r>
    </w:p>
    <w:p w14:paraId="23AF1281" w14:textId="77777777" w:rsidR="00F669C2" w:rsidRPr="009118AB" w:rsidRDefault="00F669C2" w:rsidP="00F669C2">
      <w:pPr>
        <w:jc w:val="both"/>
      </w:pPr>
    </w:p>
    <w:p w14:paraId="7F211209" w14:textId="77777777" w:rsidR="008035C5" w:rsidRDefault="008035C5">
      <w:r>
        <w:br w:type="page"/>
      </w:r>
    </w:p>
    <w:p w14:paraId="0E6596D7" w14:textId="79DF1B23" w:rsidR="00D95CC9" w:rsidRPr="009118AB" w:rsidRDefault="00F669C2" w:rsidP="00F669C2">
      <w:pPr>
        <w:autoSpaceDE w:val="0"/>
        <w:autoSpaceDN w:val="0"/>
        <w:adjustRightInd w:val="0"/>
        <w:jc w:val="both"/>
      </w:pPr>
      <w:r w:rsidRPr="009118AB">
        <w:lastRenderedPageBreak/>
        <w:tab/>
      </w:r>
      <w:r w:rsidRPr="009118AB">
        <w:rPr>
          <w:i/>
        </w:rPr>
        <w:t>b)</w:t>
      </w:r>
      <w:r w:rsidRPr="009118AB">
        <w:t> für die die Steuer auf die damit verbundene Entlohnung in Anwendung von Arti</w:t>
      </w:r>
      <w:r w:rsidRPr="009118AB">
        <w:softHyphen/>
        <w:t>kel 155 oder 156 verringert wird.</w:t>
      </w:r>
      <w:r w:rsidR="00D95CC9" w:rsidRPr="009118AB">
        <w:t>]</w:t>
      </w:r>
    </w:p>
    <w:p w14:paraId="6A585D84" w14:textId="77777777" w:rsidR="002F780C" w:rsidRPr="009118AB" w:rsidRDefault="002F780C" w:rsidP="002F780C">
      <w:pPr>
        <w:autoSpaceDE w:val="0"/>
        <w:autoSpaceDN w:val="0"/>
        <w:adjustRightInd w:val="0"/>
        <w:jc w:val="both"/>
      </w:pPr>
    </w:p>
    <w:p w14:paraId="5B087F9F" w14:textId="5EF5942F" w:rsidR="002F780C" w:rsidRPr="009118AB" w:rsidRDefault="002F780C" w:rsidP="002F780C">
      <w:pPr>
        <w:autoSpaceDE w:val="0"/>
        <w:autoSpaceDN w:val="0"/>
        <w:adjustRightInd w:val="0"/>
        <w:jc w:val="both"/>
      </w:pPr>
      <w:r w:rsidRPr="009118AB">
        <w:rPr>
          <w:i/>
          <w:iCs/>
        </w:rPr>
        <w:t>[</w:t>
      </w:r>
      <w:r w:rsidR="00D67EB8" w:rsidRPr="009118AB">
        <w:rPr>
          <w:i/>
          <w:iCs/>
        </w:rPr>
        <w:t>Art. </w:t>
      </w:r>
      <w:r w:rsidRPr="009118AB">
        <w:rPr>
          <w:i/>
          <w:iCs/>
        </w:rPr>
        <w:t xml:space="preserve">154bis </w:t>
      </w:r>
      <w:r w:rsidR="00D67EB8" w:rsidRPr="009118AB">
        <w:rPr>
          <w:i/>
          <w:iCs/>
        </w:rPr>
        <w:t>Abs. </w:t>
      </w:r>
      <w:r w:rsidRPr="009118AB">
        <w:rPr>
          <w:i/>
          <w:iCs/>
        </w:rPr>
        <w:t xml:space="preserve">1 ersetzt durch </w:t>
      </w:r>
      <w:r w:rsidR="00D67EB8" w:rsidRPr="009118AB">
        <w:rPr>
          <w:i/>
          <w:iCs/>
        </w:rPr>
        <w:t>Art. </w:t>
      </w:r>
      <w:r w:rsidRPr="009118AB">
        <w:rPr>
          <w:i/>
          <w:iCs/>
        </w:rPr>
        <w:t xml:space="preserve">13 </w:t>
      </w:r>
      <w:r w:rsidR="00D67EB8" w:rsidRPr="009118AB">
        <w:rPr>
          <w:i/>
          <w:iCs/>
        </w:rPr>
        <w:t>Nr. </w:t>
      </w:r>
      <w:r w:rsidRPr="009118AB">
        <w:rPr>
          <w:i/>
          <w:iCs/>
        </w:rPr>
        <w:t>1 des G. vom 27. März 2009 (B.S. vom 7. April 2009)</w:t>
      </w:r>
      <w:r w:rsidR="00D67EB8" w:rsidRPr="009118AB">
        <w:rPr>
          <w:i/>
          <w:iCs/>
        </w:rPr>
        <w:t> - </w:t>
      </w:r>
      <w:r w:rsidRPr="009118AB">
        <w:rPr>
          <w:i/>
          <w:iCs/>
        </w:rPr>
        <w:t>wirksam mit 1. Januar 2009</w:t>
      </w:r>
      <w:r w:rsidR="003366D9" w:rsidRPr="009118AB">
        <w:rPr>
          <w:i/>
          <w:iCs/>
        </w:rPr>
        <w:t> -;</w:t>
      </w:r>
      <w:r w:rsidRPr="009118AB">
        <w:rPr>
          <w:i/>
          <w:iCs/>
        </w:rPr>
        <w:t xml:space="preserve"> </w:t>
      </w:r>
      <w:r w:rsidR="00D67EB8" w:rsidRPr="009118AB">
        <w:rPr>
          <w:i/>
          <w:iCs/>
        </w:rPr>
        <w:t>Abs. </w:t>
      </w:r>
      <w:r w:rsidRPr="009118AB">
        <w:rPr>
          <w:i/>
          <w:iCs/>
        </w:rPr>
        <w:t>1 zweiter Gedan</w:t>
      </w:r>
      <w:r w:rsidR="00907966" w:rsidRPr="009118AB">
        <w:rPr>
          <w:i/>
          <w:iCs/>
        </w:rPr>
        <w:t xml:space="preserve">kenstrich abgeändert durch </w:t>
      </w:r>
      <w:r w:rsidR="00D67EB8" w:rsidRPr="009118AB">
        <w:rPr>
          <w:i/>
          <w:iCs/>
        </w:rPr>
        <w:t>Art. </w:t>
      </w:r>
      <w:r w:rsidR="00907966" w:rsidRPr="009118AB">
        <w:rPr>
          <w:i/>
          <w:iCs/>
        </w:rPr>
        <w:t xml:space="preserve">13 </w:t>
      </w:r>
      <w:r w:rsidR="00D67EB8" w:rsidRPr="009118AB">
        <w:rPr>
          <w:i/>
          <w:iCs/>
        </w:rPr>
        <w:t>Nr. </w:t>
      </w:r>
      <w:r w:rsidRPr="009118AB">
        <w:rPr>
          <w:i/>
          <w:iCs/>
        </w:rPr>
        <w:t>3 des G. vom 27. März 2009 (B.S. vom 7. April 2009)</w:t>
      </w:r>
      <w:r w:rsidR="00D67EB8" w:rsidRPr="009118AB">
        <w:rPr>
          <w:i/>
          <w:iCs/>
        </w:rPr>
        <w:t> - </w:t>
      </w:r>
      <w:r w:rsidRPr="009118AB">
        <w:rPr>
          <w:i/>
          <w:iCs/>
        </w:rPr>
        <w:t>in Kraft am 1. Januar 2010</w:t>
      </w:r>
      <w:r w:rsidR="00FD68E8" w:rsidRPr="009118AB">
        <w:rPr>
          <w:i/>
          <w:iCs/>
        </w:rPr>
        <w:t> -,</w:t>
      </w:r>
      <w:r w:rsidR="000E467D" w:rsidRPr="009118AB">
        <w:rPr>
          <w:i/>
          <w:iCs/>
        </w:rPr>
        <w:t xml:space="preserve"> </w:t>
      </w:r>
      <w:r w:rsidR="00D67EB8" w:rsidRPr="009118AB">
        <w:rPr>
          <w:i/>
          <w:iCs/>
        </w:rPr>
        <w:t>Art. </w:t>
      </w:r>
      <w:r w:rsidR="000E467D" w:rsidRPr="009118AB">
        <w:rPr>
          <w:i/>
          <w:iCs/>
        </w:rPr>
        <w:t xml:space="preserve">3 des G. vom 7. November 2011 </w:t>
      </w:r>
      <w:r w:rsidR="007B6928" w:rsidRPr="009118AB">
        <w:rPr>
          <w:i/>
          <w:iCs/>
        </w:rPr>
        <w:t xml:space="preserve">(I) </w:t>
      </w:r>
      <w:r w:rsidR="000E467D" w:rsidRPr="009118AB">
        <w:rPr>
          <w:i/>
          <w:iCs/>
        </w:rPr>
        <w:t>(B.S. vom 10. November 2011)</w:t>
      </w:r>
      <w:r w:rsidR="008353ED" w:rsidRPr="009118AB">
        <w:rPr>
          <w:i/>
          <w:iCs/>
        </w:rPr>
        <w:t xml:space="preserve"> und </w:t>
      </w:r>
      <w:r w:rsidR="00D67EB8" w:rsidRPr="009118AB">
        <w:rPr>
          <w:i/>
          <w:iCs/>
        </w:rPr>
        <w:t>Art. </w:t>
      </w:r>
      <w:r w:rsidR="008353ED" w:rsidRPr="009118AB">
        <w:rPr>
          <w:i/>
          <w:iCs/>
        </w:rPr>
        <w:t xml:space="preserve">69 </w:t>
      </w:r>
      <w:r w:rsidR="00D67EB8" w:rsidRPr="009118AB">
        <w:rPr>
          <w:i/>
          <w:iCs/>
        </w:rPr>
        <w:t>Nr. </w:t>
      </w:r>
      <w:r w:rsidR="008353ED" w:rsidRPr="009118AB">
        <w:rPr>
          <w:i/>
          <w:iCs/>
        </w:rPr>
        <w:t>1 des K.E. vom 11. Dezember 2013 (B.S. vom 16. Dezember 2013)</w:t>
      </w:r>
      <w:r w:rsidR="00D67EB8" w:rsidRPr="009118AB">
        <w:rPr>
          <w:i/>
          <w:iCs/>
        </w:rPr>
        <w:t> - </w:t>
      </w:r>
      <w:r w:rsidR="008353ED" w:rsidRPr="009118AB">
        <w:rPr>
          <w:i/>
          <w:iCs/>
        </w:rPr>
        <w:t>in Kraft am 1. Januar 2014</w:t>
      </w:r>
      <w:r w:rsidR="003366D9" w:rsidRPr="009118AB">
        <w:rPr>
          <w:i/>
          <w:iCs/>
        </w:rPr>
        <w:t> -;</w:t>
      </w:r>
      <w:r w:rsidRPr="009118AB">
        <w:rPr>
          <w:i/>
          <w:iCs/>
        </w:rPr>
        <w:t xml:space="preserve"> </w:t>
      </w:r>
      <w:r w:rsidR="00D67EB8" w:rsidRPr="009118AB">
        <w:rPr>
          <w:i/>
          <w:iCs/>
        </w:rPr>
        <w:t>Abs. </w:t>
      </w:r>
      <w:r w:rsidR="008353ED" w:rsidRPr="009118AB">
        <w:rPr>
          <w:i/>
          <w:iCs/>
        </w:rPr>
        <w:t>1 drit</w:t>
      </w:r>
      <w:r w:rsidR="007B141F" w:rsidRPr="009118AB">
        <w:rPr>
          <w:i/>
          <w:iCs/>
        </w:rPr>
        <w:t>t</w:t>
      </w:r>
      <w:r w:rsidR="008353ED" w:rsidRPr="009118AB">
        <w:rPr>
          <w:i/>
          <w:iCs/>
        </w:rPr>
        <w:t xml:space="preserve">er Gedankenstrich eingefügt durch </w:t>
      </w:r>
      <w:r w:rsidR="00D67EB8" w:rsidRPr="009118AB">
        <w:rPr>
          <w:i/>
          <w:iCs/>
        </w:rPr>
        <w:t>Art. </w:t>
      </w:r>
      <w:r w:rsidR="008353ED" w:rsidRPr="009118AB">
        <w:rPr>
          <w:i/>
          <w:iCs/>
        </w:rPr>
        <w:t xml:space="preserve">69 </w:t>
      </w:r>
      <w:r w:rsidR="00D67EB8" w:rsidRPr="009118AB">
        <w:rPr>
          <w:i/>
          <w:iCs/>
        </w:rPr>
        <w:t>Nr. </w:t>
      </w:r>
      <w:r w:rsidR="008353ED" w:rsidRPr="009118AB">
        <w:rPr>
          <w:i/>
          <w:iCs/>
        </w:rPr>
        <w:t>2 des K.E. vom 11. Dezember 2013 (B.S. vom 16. Dezember 2013)</w:t>
      </w:r>
      <w:r w:rsidR="00D67EB8" w:rsidRPr="009118AB">
        <w:rPr>
          <w:i/>
          <w:iCs/>
        </w:rPr>
        <w:t> - </w:t>
      </w:r>
      <w:r w:rsidR="008353ED" w:rsidRPr="009118AB">
        <w:rPr>
          <w:i/>
          <w:iCs/>
        </w:rPr>
        <w:t>in Kraft am 1. Januar 2014</w:t>
      </w:r>
      <w:r w:rsidR="003366D9" w:rsidRPr="009118AB">
        <w:rPr>
          <w:i/>
          <w:iCs/>
        </w:rPr>
        <w:t> -;</w:t>
      </w:r>
      <w:r w:rsidR="008353ED"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 xml:space="preserve">13 </w:t>
      </w:r>
      <w:r w:rsidR="00D67EB8" w:rsidRPr="009118AB">
        <w:rPr>
          <w:i/>
          <w:iCs/>
        </w:rPr>
        <w:t>Nr. </w:t>
      </w:r>
      <w:r w:rsidRPr="009118AB">
        <w:rPr>
          <w:i/>
          <w:iCs/>
        </w:rPr>
        <w:t>2 des G. vom 27. März 2009 (B.S. vom 7. April 2009)</w:t>
      </w:r>
      <w:r w:rsidR="00D67EB8" w:rsidRPr="009118AB">
        <w:rPr>
          <w:i/>
          <w:iCs/>
        </w:rPr>
        <w:t> - </w:t>
      </w:r>
      <w:r w:rsidRPr="009118AB">
        <w:rPr>
          <w:i/>
          <w:iCs/>
        </w:rPr>
        <w:t>wirksam mit 1. Januar 2009</w:t>
      </w:r>
      <w:r w:rsidR="00D67EB8" w:rsidRPr="009118AB">
        <w:rPr>
          <w:i/>
          <w:iCs/>
        </w:rPr>
        <w:t> - </w:t>
      </w:r>
      <w:r w:rsidRPr="009118AB">
        <w:rPr>
          <w:i/>
          <w:iCs/>
        </w:rPr>
        <w:t xml:space="preserve">und </w:t>
      </w:r>
      <w:r w:rsidR="00D67EB8" w:rsidRPr="009118AB">
        <w:rPr>
          <w:i/>
          <w:iCs/>
        </w:rPr>
        <w:t>Art. </w:t>
      </w:r>
      <w:r w:rsidRPr="009118AB">
        <w:rPr>
          <w:i/>
          <w:iCs/>
        </w:rPr>
        <w:t xml:space="preserve">13 </w:t>
      </w:r>
      <w:r w:rsidR="00D67EB8" w:rsidRPr="009118AB">
        <w:rPr>
          <w:i/>
          <w:iCs/>
        </w:rPr>
        <w:t>Nr. </w:t>
      </w:r>
      <w:r w:rsidRPr="009118AB">
        <w:rPr>
          <w:i/>
          <w:iCs/>
        </w:rPr>
        <w:t>4 des G. vom 27. März 2009 (B.S. vom 7. April 2009)</w:t>
      </w:r>
      <w:r w:rsidR="00D67EB8" w:rsidRPr="009118AB">
        <w:rPr>
          <w:i/>
          <w:iCs/>
        </w:rPr>
        <w:t> - </w:t>
      </w:r>
      <w:r w:rsidRPr="009118AB">
        <w:rPr>
          <w:i/>
          <w:iCs/>
        </w:rPr>
        <w:t>in Kraft am 1. Januar 2010</w:t>
      </w:r>
      <w:r w:rsidR="003366D9" w:rsidRPr="009118AB">
        <w:rPr>
          <w:i/>
          <w:iCs/>
        </w:rPr>
        <w:t> -;</w:t>
      </w:r>
      <w:r w:rsidR="00BD33B2" w:rsidRPr="009118AB">
        <w:rPr>
          <w:i/>
          <w:iCs/>
        </w:rPr>
        <w:t xml:space="preserve"> neuer Absatz 3 eingefügt durch </w:t>
      </w:r>
      <w:r w:rsidR="00D67EB8" w:rsidRPr="009118AB">
        <w:rPr>
          <w:i/>
          <w:iCs/>
        </w:rPr>
        <w:t>Art. </w:t>
      </w:r>
      <w:r w:rsidR="00BD33B2" w:rsidRPr="009118AB">
        <w:rPr>
          <w:i/>
          <w:iCs/>
        </w:rPr>
        <w:t xml:space="preserve">6 </w:t>
      </w:r>
      <w:r w:rsidR="00D67EB8" w:rsidRPr="009118AB">
        <w:rPr>
          <w:i/>
          <w:iCs/>
        </w:rPr>
        <w:t>Nr. </w:t>
      </w:r>
      <w:r w:rsidR="00BD33B2" w:rsidRPr="009118AB">
        <w:rPr>
          <w:i/>
          <w:iCs/>
        </w:rPr>
        <w:t>1</w:t>
      </w:r>
      <w:r w:rsidR="00BD33B2" w:rsidRPr="009118AB">
        <w:rPr>
          <w:i/>
        </w:rPr>
        <w:t xml:space="preserve"> des G. vom 23. März 2019 (B.S. vom 5. April 2019)</w:t>
      </w:r>
      <w:r w:rsidR="00D67EB8" w:rsidRPr="009118AB">
        <w:rPr>
          <w:i/>
        </w:rPr>
        <w:t> - </w:t>
      </w:r>
      <w:r w:rsidR="00BD33B2" w:rsidRPr="009118AB">
        <w:rPr>
          <w:i/>
        </w:rPr>
        <w:t>wirksam mit 1. Januar 2019</w:t>
      </w:r>
      <w:r w:rsidR="00D67EB8" w:rsidRPr="009118AB">
        <w:rPr>
          <w:i/>
        </w:rPr>
        <w:t> - </w:t>
      </w:r>
      <w:r w:rsidR="00E712E1" w:rsidRPr="009118AB">
        <w:rPr>
          <w:i/>
        </w:rPr>
        <w:t xml:space="preserve">und abgeändert durch </w:t>
      </w:r>
      <w:r w:rsidR="00D67EB8" w:rsidRPr="009118AB">
        <w:rPr>
          <w:i/>
        </w:rPr>
        <w:t>Art. </w:t>
      </w:r>
      <w:r w:rsidR="00E712E1" w:rsidRPr="009118AB">
        <w:rPr>
          <w:i/>
        </w:rPr>
        <w:t xml:space="preserve">18 </w:t>
      </w:r>
      <w:r w:rsidR="00D67EB8" w:rsidRPr="009118AB">
        <w:rPr>
          <w:i/>
        </w:rPr>
        <w:t>Nr. </w:t>
      </w:r>
      <w:r w:rsidR="00E712E1" w:rsidRPr="009118AB">
        <w:rPr>
          <w:i/>
        </w:rPr>
        <w:t>1 bis 3 des G. vom 12. Dezember 2021 (B.S. vom 31. Dezember 2021)</w:t>
      </w:r>
      <w:r w:rsidR="00D67EB8" w:rsidRPr="009118AB">
        <w:rPr>
          <w:i/>
        </w:rPr>
        <w:t> - </w:t>
      </w:r>
      <w:r w:rsidR="00E712E1" w:rsidRPr="009118AB">
        <w:rPr>
          <w:i/>
        </w:rPr>
        <w:t>wirksam mit 1. Juli 2021</w:t>
      </w:r>
      <w:r w:rsidR="003366D9" w:rsidRPr="009118AB">
        <w:rPr>
          <w:i/>
        </w:rPr>
        <w:t> -</w:t>
      </w:r>
      <w:r w:rsidR="008074B0" w:rsidRPr="009118AB">
        <w:rPr>
          <w:i/>
        </w:rPr>
        <w:t xml:space="preserve"> und Art. 6 Nr. 1 bis 3 des G. vom 31. Juli 2023 (III) (B.S. vom 5. September 2023) - in Kraft </w:t>
      </w:r>
      <w:r w:rsidR="008074B0" w:rsidRPr="009118AB">
        <w:rPr>
          <w:i/>
          <w:iCs/>
        </w:rPr>
        <w:t>am 1. Juli 2023 und anwendbar auf die ab diesem Datum gezahlten oder zuerkannten Entlohnungen -</w:t>
      </w:r>
      <w:r w:rsidR="003366D9" w:rsidRPr="009118AB">
        <w:rPr>
          <w:i/>
        </w:rPr>
        <w:t>;</w:t>
      </w:r>
      <w:r w:rsidRPr="009118AB">
        <w:rPr>
          <w:i/>
          <w:iCs/>
        </w:rPr>
        <w:t xml:space="preserve"> </w:t>
      </w:r>
      <w:r w:rsidR="00CB2F34" w:rsidRPr="009118AB">
        <w:rPr>
          <w:i/>
          <w:iCs/>
        </w:rPr>
        <w:t>neuer Absatz </w:t>
      </w:r>
      <w:r w:rsidR="00BD33B2" w:rsidRPr="009118AB">
        <w:rPr>
          <w:i/>
          <w:iCs/>
        </w:rPr>
        <w:t>4</w:t>
      </w:r>
      <w:r w:rsidR="00CB2F34" w:rsidRPr="009118AB">
        <w:rPr>
          <w:i/>
          <w:iCs/>
        </w:rPr>
        <w:t xml:space="preserve"> eingefügt durch </w:t>
      </w:r>
      <w:r w:rsidR="00D67EB8" w:rsidRPr="009118AB">
        <w:rPr>
          <w:i/>
          <w:iCs/>
        </w:rPr>
        <w:t>Art. </w:t>
      </w:r>
      <w:r w:rsidR="00CB2F34" w:rsidRPr="009118AB">
        <w:rPr>
          <w:i/>
          <w:iCs/>
        </w:rPr>
        <w:t>50 des G. (I) vom 26. Dezember 2013 (II) (B.S. vom 31. Dezember 2013)</w:t>
      </w:r>
      <w:r w:rsidR="00D67EB8" w:rsidRPr="009118AB">
        <w:rPr>
          <w:i/>
          <w:iCs/>
        </w:rPr>
        <w:t> - </w:t>
      </w:r>
      <w:r w:rsidR="00005AA3" w:rsidRPr="009118AB">
        <w:rPr>
          <w:i/>
          <w:iCs/>
        </w:rPr>
        <w:t>in Kraft ab dem 1. </w:t>
      </w:r>
      <w:r w:rsidR="00F20A88" w:rsidRPr="009118AB">
        <w:rPr>
          <w:i/>
          <w:iCs/>
        </w:rPr>
        <w:t>Januar</w:t>
      </w:r>
      <w:r w:rsidR="00005AA3" w:rsidRPr="009118AB">
        <w:rPr>
          <w:i/>
          <w:iCs/>
        </w:rPr>
        <w:t> 2014</w:t>
      </w:r>
      <w:r w:rsidR="00F20A88" w:rsidRPr="009118AB">
        <w:rPr>
          <w:i/>
          <w:iCs/>
        </w:rPr>
        <w:t>, mit Ausnahme der Bestimmungen, die sich auf Immobilienarbeiten beziehen, die am 1. April 2014 in Kraft treten</w:t>
      </w:r>
      <w:r w:rsidR="00D67EB8" w:rsidRPr="009118AB">
        <w:rPr>
          <w:i/>
          <w:iCs/>
        </w:rPr>
        <w:t> - </w:t>
      </w:r>
      <w:r w:rsidR="007011FA" w:rsidRPr="009118AB">
        <w:rPr>
          <w:rFonts w:ascii="Times New Roman Italique" w:hAnsi="Times New Roman Italique"/>
          <w:i/>
          <w:iCs/>
          <w:spacing w:val="2"/>
        </w:rPr>
        <w:t xml:space="preserve">und ersetzt durch </w:t>
      </w:r>
      <w:r w:rsidR="00D67EB8" w:rsidRPr="009118AB">
        <w:rPr>
          <w:rFonts w:ascii="Times New Roman Italique" w:hAnsi="Times New Roman Italique"/>
          <w:i/>
          <w:iCs/>
          <w:spacing w:val="2"/>
        </w:rPr>
        <w:t>Art. </w:t>
      </w:r>
      <w:r w:rsidR="008035C5">
        <w:rPr>
          <w:rFonts w:ascii="Times New Roman Italique" w:hAnsi="Times New Roman Italique"/>
          <w:i/>
          <w:iCs/>
          <w:spacing w:val="2"/>
        </w:rPr>
        <w:t xml:space="preserve">29 </w:t>
      </w:r>
      <w:r w:rsidR="008035C5">
        <w:rPr>
          <w:i/>
          <w:iCs/>
          <w:spacing w:val="2"/>
        </w:rPr>
        <w:t>des G. vom 27. Dezember 2021 (B.S. vom 31. Dezember 2021), selbst widerrufen durch Art. 64</w:t>
      </w:r>
      <w:r w:rsidR="008035C5" w:rsidRPr="00F16AE8">
        <w:rPr>
          <w:i/>
          <w:iCs/>
          <w:spacing w:val="2"/>
        </w:rPr>
        <w:t xml:space="preserve"> des G. vom 12. Mai 2024 (B.S. vom 29. Mai 2024) - in Kraft am 1. Juni 2024 und anwendbar auf die ab diesem Datum geleistete Überarbeit -</w:t>
      </w:r>
      <w:r w:rsidR="008035C5">
        <w:rPr>
          <w:i/>
          <w:iCs/>
          <w:spacing w:val="2"/>
        </w:rPr>
        <w:t>,</w:t>
      </w:r>
      <w:r w:rsidR="008035C5" w:rsidRPr="009118AB">
        <w:rPr>
          <w:i/>
          <w:iCs/>
          <w:spacing w:val="2"/>
        </w:rPr>
        <w:t xml:space="preserve"> und </w:t>
      </w:r>
      <w:r w:rsidR="008035C5">
        <w:rPr>
          <w:i/>
          <w:iCs/>
          <w:spacing w:val="2"/>
        </w:rPr>
        <w:t xml:space="preserve">erneut </w:t>
      </w:r>
      <w:r w:rsidR="008035C5" w:rsidRPr="009118AB">
        <w:rPr>
          <w:i/>
          <w:iCs/>
          <w:spacing w:val="2"/>
        </w:rPr>
        <w:t xml:space="preserve">ersetzt durch </w:t>
      </w:r>
      <w:r w:rsidR="008035C5" w:rsidRPr="009118AB">
        <w:rPr>
          <w:rFonts w:ascii="Times New Roman Italique" w:hAnsi="Times New Roman Italique"/>
          <w:i/>
          <w:iCs/>
          <w:spacing w:val="2"/>
        </w:rPr>
        <w:t>Art. </w:t>
      </w:r>
      <w:r w:rsidR="008035C5">
        <w:rPr>
          <w:rFonts w:ascii="Times New Roman Italique" w:hAnsi="Times New Roman Italique"/>
          <w:i/>
          <w:iCs/>
          <w:spacing w:val="2"/>
        </w:rPr>
        <w:t>65</w:t>
      </w:r>
      <w:r w:rsidR="008035C5" w:rsidRPr="00D67484">
        <w:rPr>
          <w:rFonts w:ascii="Times New Roman Italique" w:hAnsi="Times New Roman Italique"/>
          <w:i/>
          <w:iCs/>
          <w:spacing w:val="2"/>
        </w:rPr>
        <w:t xml:space="preserve"> des G. vom 12. Mai 2024 (B.S. vom 29. Mai 2024)</w:t>
      </w:r>
      <w:r w:rsidR="008035C5">
        <w:rPr>
          <w:rFonts w:ascii="Times New Roman Italique" w:hAnsi="Times New Roman Italique" w:hint="eastAsia"/>
          <w:i/>
          <w:iCs/>
          <w:spacing w:val="2"/>
        </w:rPr>
        <w:t> </w:t>
      </w:r>
      <w:r w:rsidR="008035C5">
        <w:rPr>
          <w:rFonts w:ascii="Times New Roman Italique" w:hAnsi="Times New Roman Italique"/>
          <w:i/>
          <w:iCs/>
          <w:spacing w:val="2"/>
        </w:rPr>
        <w:t>-</w:t>
      </w:r>
      <w:r w:rsidR="008035C5">
        <w:rPr>
          <w:rFonts w:ascii="Times New Roman Italique" w:hAnsi="Times New Roman Italique" w:hint="eastAsia"/>
          <w:i/>
          <w:iCs/>
          <w:spacing w:val="2"/>
        </w:rPr>
        <w:t> </w:t>
      </w:r>
      <w:r w:rsidR="008035C5">
        <w:rPr>
          <w:rFonts w:ascii="Times New Roman Italique" w:hAnsi="Times New Roman Italique"/>
          <w:i/>
          <w:iCs/>
          <w:spacing w:val="2"/>
        </w:rPr>
        <w:t>in Kraft am 1.</w:t>
      </w:r>
      <w:r w:rsidR="008035C5">
        <w:rPr>
          <w:rFonts w:ascii="Times New Roman Italique" w:hAnsi="Times New Roman Italique" w:hint="eastAsia"/>
          <w:i/>
          <w:iCs/>
          <w:spacing w:val="2"/>
        </w:rPr>
        <w:t> </w:t>
      </w:r>
      <w:r w:rsidR="008035C5">
        <w:rPr>
          <w:rFonts w:ascii="Times New Roman Italique" w:hAnsi="Times New Roman Italique"/>
          <w:i/>
          <w:iCs/>
          <w:spacing w:val="2"/>
        </w:rPr>
        <w:t>Juni</w:t>
      </w:r>
      <w:r w:rsidR="008035C5">
        <w:rPr>
          <w:rFonts w:ascii="Times New Roman Italique" w:hAnsi="Times New Roman Italique" w:hint="eastAsia"/>
          <w:i/>
          <w:iCs/>
          <w:spacing w:val="2"/>
        </w:rPr>
        <w:t> </w:t>
      </w:r>
      <w:r w:rsidR="008035C5">
        <w:rPr>
          <w:rFonts w:ascii="Times New Roman Italique" w:hAnsi="Times New Roman Italique"/>
          <w:i/>
          <w:iCs/>
          <w:spacing w:val="2"/>
        </w:rPr>
        <w:t xml:space="preserve">2024 und </w:t>
      </w:r>
      <w:r w:rsidR="008035C5" w:rsidRPr="00D67484">
        <w:rPr>
          <w:rFonts w:ascii="Times New Roman Italique" w:hAnsi="Times New Roman Italique"/>
          <w:i/>
          <w:iCs/>
          <w:spacing w:val="2"/>
        </w:rPr>
        <w:t>anwendbar auf die ab diesem Datum geleistete Überarbeit</w:t>
      </w:r>
      <w:r w:rsidR="008035C5">
        <w:rPr>
          <w:rFonts w:ascii="Times New Roman Italique" w:hAnsi="Times New Roman Italique" w:hint="eastAsia"/>
          <w:i/>
          <w:iCs/>
          <w:spacing w:val="2"/>
        </w:rPr>
        <w:t> </w:t>
      </w:r>
      <w:r w:rsidR="008035C5">
        <w:rPr>
          <w:rFonts w:ascii="Times New Roman Italique" w:hAnsi="Times New Roman Italique"/>
          <w:i/>
          <w:iCs/>
          <w:spacing w:val="2"/>
        </w:rPr>
        <w:t>-</w:t>
      </w:r>
      <w:r w:rsidR="003366D9" w:rsidRPr="009118AB">
        <w:rPr>
          <w:rFonts w:ascii="Times New Roman Italique" w:hAnsi="Times New Roman Italique"/>
          <w:i/>
          <w:iCs/>
          <w:spacing w:val="2"/>
        </w:rPr>
        <w:t>;</w:t>
      </w:r>
      <w:r w:rsidR="00CB2F34" w:rsidRPr="009118AB">
        <w:rPr>
          <w:rFonts w:ascii="Times New Roman Italique" w:hAnsi="Times New Roman Italique"/>
          <w:i/>
          <w:iCs/>
          <w:spacing w:val="2"/>
        </w:rPr>
        <w:t xml:space="preserve"> </w:t>
      </w:r>
      <w:r w:rsidR="00BD33B2" w:rsidRPr="009118AB">
        <w:rPr>
          <w:rFonts w:ascii="Times New Roman Italique" w:hAnsi="Times New Roman Italique"/>
          <w:i/>
          <w:iCs/>
          <w:spacing w:val="2"/>
        </w:rPr>
        <w:t>neuer Absatz</w:t>
      </w:r>
      <w:r w:rsidR="00771A0F" w:rsidRPr="009118AB">
        <w:rPr>
          <w:rFonts w:ascii="Times New Roman Italique" w:hAnsi="Times New Roman Italique"/>
          <w:i/>
          <w:iCs/>
          <w:spacing w:val="2"/>
        </w:rPr>
        <w:t> </w:t>
      </w:r>
      <w:r w:rsidR="00BD33B2" w:rsidRPr="009118AB">
        <w:rPr>
          <w:rFonts w:ascii="Times New Roman Italique" w:hAnsi="Times New Roman Italique"/>
          <w:i/>
          <w:iCs/>
          <w:spacing w:val="2"/>
        </w:rPr>
        <w:t xml:space="preserve">5 </w:t>
      </w:r>
      <w:r w:rsidR="007011FA" w:rsidRPr="009118AB">
        <w:rPr>
          <w:rFonts w:ascii="Times New Roman Italique" w:hAnsi="Times New Roman Italique"/>
          <w:i/>
          <w:iCs/>
          <w:spacing w:val="2"/>
        </w:rPr>
        <w:t xml:space="preserve">eingefügt durch </w:t>
      </w:r>
      <w:r w:rsidR="00D67EB8" w:rsidRPr="009118AB">
        <w:rPr>
          <w:rFonts w:ascii="Times New Roman Italique" w:hAnsi="Times New Roman Italique"/>
          <w:i/>
          <w:iCs/>
          <w:spacing w:val="2"/>
        </w:rPr>
        <w:t>Art. </w:t>
      </w:r>
      <w:r w:rsidR="007011FA" w:rsidRPr="009118AB">
        <w:rPr>
          <w:rFonts w:ascii="Times New Roman Italique" w:hAnsi="Times New Roman Italique"/>
          <w:i/>
          <w:iCs/>
          <w:spacing w:val="2"/>
        </w:rPr>
        <w:t xml:space="preserve">33 </w:t>
      </w:r>
      <w:r w:rsidR="00D67EB8" w:rsidRPr="009118AB">
        <w:rPr>
          <w:rFonts w:ascii="Times New Roman Italique" w:hAnsi="Times New Roman Italique"/>
          <w:i/>
          <w:iCs/>
          <w:spacing w:val="2"/>
        </w:rPr>
        <w:t>Nr. </w:t>
      </w:r>
      <w:r w:rsidR="004962AF" w:rsidRPr="009118AB">
        <w:rPr>
          <w:rFonts w:ascii="Times New Roman Italique" w:hAnsi="Times New Roman Italique"/>
          <w:i/>
          <w:iCs/>
          <w:spacing w:val="2"/>
        </w:rPr>
        <w:t>1</w:t>
      </w:r>
      <w:r w:rsidR="007011FA" w:rsidRPr="009118AB">
        <w:rPr>
          <w:rFonts w:ascii="Times New Roman Italique" w:hAnsi="Times New Roman Italique"/>
          <w:i/>
          <w:spacing w:val="2"/>
        </w:rPr>
        <w:t xml:space="preserve"> des G. vom 16. November 2015 (B.S. vom 26. November 2015)</w:t>
      </w:r>
      <w:r w:rsidR="00D67EB8" w:rsidRPr="009118AB">
        <w:rPr>
          <w:rFonts w:ascii="Times New Roman Italique" w:hAnsi="Times New Roman Italique"/>
          <w:i/>
          <w:spacing w:val="2"/>
        </w:rPr>
        <w:t> - </w:t>
      </w:r>
      <w:r w:rsidR="007011FA" w:rsidRPr="009118AB">
        <w:rPr>
          <w:rFonts w:ascii="Times New Roman Italique" w:hAnsi="Times New Roman Italique"/>
          <w:i/>
          <w:iCs/>
          <w:spacing w:val="2"/>
        </w:rPr>
        <w:t>anwendbar ab dem Steuerjahr 2016</w:t>
      </w:r>
      <w:r w:rsidR="003366D9" w:rsidRPr="009118AB">
        <w:rPr>
          <w:rFonts w:ascii="Times New Roman Italique" w:hAnsi="Times New Roman Italique"/>
          <w:i/>
          <w:iCs/>
          <w:spacing w:val="2"/>
        </w:rPr>
        <w:t> -;</w:t>
      </w:r>
      <w:r w:rsidR="007011FA" w:rsidRPr="009118AB">
        <w:rPr>
          <w:i/>
          <w:iCs/>
        </w:rPr>
        <w:t xml:space="preserve"> </w:t>
      </w:r>
      <w:r w:rsidR="00D67EB8" w:rsidRPr="009118AB">
        <w:rPr>
          <w:i/>
          <w:iCs/>
        </w:rPr>
        <w:t>Abs. </w:t>
      </w:r>
      <w:r w:rsidR="00BD33B2" w:rsidRPr="009118AB">
        <w:rPr>
          <w:i/>
          <w:iCs/>
        </w:rPr>
        <w:t>6</w:t>
      </w:r>
      <w:r w:rsidR="00CB2F34" w:rsidRPr="009118AB">
        <w:rPr>
          <w:i/>
          <w:iCs/>
        </w:rPr>
        <w:t xml:space="preserve"> (früherer </w:t>
      </w:r>
      <w:r w:rsidRPr="009118AB">
        <w:rPr>
          <w:i/>
          <w:iCs/>
        </w:rPr>
        <w:t>Absatz</w:t>
      </w:r>
      <w:r w:rsidR="00CB2F34" w:rsidRPr="009118AB">
        <w:rPr>
          <w:i/>
          <w:iCs/>
        </w:rPr>
        <w:t> </w:t>
      </w:r>
      <w:r w:rsidRPr="009118AB">
        <w:rPr>
          <w:i/>
          <w:iCs/>
        </w:rPr>
        <w:t>3</w:t>
      </w:r>
      <w:r w:rsidR="00CB2F34" w:rsidRPr="009118AB">
        <w:rPr>
          <w:i/>
          <w:iCs/>
        </w:rPr>
        <w:t>)</w:t>
      </w:r>
      <w:r w:rsidRPr="009118AB">
        <w:rPr>
          <w:i/>
          <w:iCs/>
        </w:rPr>
        <w:t xml:space="preserve"> eingefügt durch </w:t>
      </w:r>
      <w:r w:rsidR="00D67EB8" w:rsidRPr="009118AB">
        <w:rPr>
          <w:i/>
          <w:iCs/>
        </w:rPr>
        <w:t>Art. </w:t>
      </w:r>
      <w:r w:rsidRPr="009118AB">
        <w:rPr>
          <w:i/>
          <w:iCs/>
        </w:rPr>
        <w:t>16 des G.</w:t>
      </w:r>
      <w:r w:rsidR="00AC1257" w:rsidRPr="009118AB">
        <w:rPr>
          <w:i/>
          <w:iCs/>
        </w:rPr>
        <w:t> </w:t>
      </w:r>
      <w:r w:rsidRPr="009118AB">
        <w:rPr>
          <w:i/>
          <w:iCs/>
        </w:rPr>
        <w:t>(I) vom 27. Dezember 2006 (I) (B.S. vom 28. Dezember 2006)</w:t>
      </w:r>
      <w:r w:rsidR="00D67EB8" w:rsidRPr="009118AB">
        <w:rPr>
          <w:i/>
          <w:iCs/>
        </w:rPr>
        <w:t> - </w:t>
      </w:r>
      <w:r w:rsidRPr="009118AB">
        <w:rPr>
          <w:i/>
          <w:iCs/>
        </w:rPr>
        <w:t>anwendbar auf die ab dem 1. April 2007 gezahlten oder zuerkannten Entlohnungen für Stunden, die als Überarbeit geleistet werden</w:t>
      </w:r>
      <w:r w:rsidR="00D67EB8" w:rsidRPr="009118AB">
        <w:rPr>
          <w:i/>
          <w:iCs/>
        </w:rPr>
        <w:t> - </w:t>
      </w:r>
      <w:r w:rsidRPr="009118AB">
        <w:rPr>
          <w:i/>
          <w:iCs/>
        </w:rPr>
        <w:t xml:space="preserve">und ersetzt durch </w:t>
      </w:r>
      <w:r w:rsidR="00D67EB8" w:rsidRPr="009118AB">
        <w:rPr>
          <w:i/>
          <w:iCs/>
        </w:rPr>
        <w:t>Art. </w:t>
      </w:r>
      <w:r w:rsidR="00F16AE8">
        <w:rPr>
          <w:i/>
          <w:iCs/>
        </w:rPr>
        <w:t>29 des G. vom 27. Dezember 2021 (B.S. vom 31. Dezember 2021), selbst widerrufen durch Art. 64</w:t>
      </w:r>
      <w:r w:rsidR="00F16AE8" w:rsidRPr="00F16AE8">
        <w:rPr>
          <w:i/>
          <w:iCs/>
        </w:rPr>
        <w:t xml:space="preserve"> des G. vom 12. Mai 2024 (B.S. vom 29. Mai 2024) -</w:t>
      </w:r>
      <w:r w:rsidR="00F16AE8" w:rsidRPr="00F16AE8">
        <w:t xml:space="preserve"> </w:t>
      </w:r>
      <w:r w:rsidR="00F16AE8">
        <w:rPr>
          <w:i/>
          <w:iCs/>
        </w:rPr>
        <w:t xml:space="preserve">in Kraft am 1. Juni 2024 und </w:t>
      </w:r>
      <w:r w:rsidR="00F16AE8" w:rsidRPr="00F16AE8">
        <w:rPr>
          <w:i/>
          <w:iCs/>
        </w:rPr>
        <w:t xml:space="preserve">anwendbar auf die ab diesem Datum geleistete Überarbeit </w:t>
      </w:r>
      <w:r w:rsidR="00F16AE8">
        <w:rPr>
          <w:i/>
          <w:iCs/>
        </w:rPr>
        <w:t>-, und erneut ersetzt durch Art. 65</w:t>
      </w:r>
      <w:r w:rsidR="00F16AE8" w:rsidRPr="00F16AE8">
        <w:rPr>
          <w:i/>
          <w:iCs/>
        </w:rPr>
        <w:t xml:space="preserve"> des G. vom 12. Mai 2024 (B.S. vom 29. Mai 2024) - in Kraft am 1. Juni 2024 und anwendbar auf die ab diesem Datum geleistete Überarbeit -</w:t>
      </w:r>
      <w:r w:rsidR="003366D9" w:rsidRPr="009118AB">
        <w:rPr>
          <w:i/>
        </w:rPr>
        <w:t>;</w:t>
      </w:r>
      <w:r w:rsidRPr="009118AB">
        <w:rPr>
          <w:i/>
          <w:iCs/>
        </w:rPr>
        <w:t xml:space="preserve"> neuer Absatz </w:t>
      </w:r>
      <w:r w:rsidR="00BD33B2" w:rsidRPr="009118AB">
        <w:rPr>
          <w:i/>
          <w:iCs/>
        </w:rPr>
        <w:t>7</w:t>
      </w:r>
      <w:r w:rsidRPr="009118AB">
        <w:rPr>
          <w:i/>
          <w:iCs/>
        </w:rPr>
        <w:t xml:space="preserve"> eingefügt durch </w:t>
      </w:r>
      <w:r w:rsidR="00D67EB8" w:rsidRPr="009118AB">
        <w:rPr>
          <w:i/>
          <w:iCs/>
        </w:rPr>
        <w:t>Art. </w:t>
      </w:r>
      <w:r w:rsidRPr="009118AB">
        <w:rPr>
          <w:i/>
          <w:iCs/>
        </w:rPr>
        <w:t xml:space="preserve">25 </w:t>
      </w:r>
      <w:r w:rsidR="00D67EB8" w:rsidRPr="009118AB">
        <w:rPr>
          <w:i/>
          <w:iCs/>
        </w:rPr>
        <w:t>Nr. </w:t>
      </w:r>
      <w:r w:rsidRPr="009118AB">
        <w:rPr>
          <w:i/>
          <w:iCs/>
        </w:rPr>
        <w:t>2 des G. vom 17. Mai 2007 (B.S. vom 19. Juni 2007)</w:t>
      </w:r>
      <w:r w:rsidR="00D67EB8" w:rsidRPr="009118AB">
        <w:rPr>
          <w:i/>
          <w:iCs/>
        </w:rPr>
        <w:t> - </w:t>
      </w:r>
      <w:r w:rsidRPr="009118AB">
        <w:rPr>
          <w:i/>
          <w:iCs/>
        </w:rPr>
        <w:t xml:space="preserve">anwendbar </w:t>
      </w:r>
      <w:r w:rsidRPr="009118AB">
        <w:rPr>
          <w:i/>
        </w:rPr>
        <w:t>auf die ab dem 1. April 2007 gezahlten oder zuerkannten Entlohnungen für Stunden, die als Überarbeit geleistet werden</w:t>
      </w:r>
      <w:r w:rsidR="00FD68E8" w:rsidRPr="009118AB">
        <w:rPr>
          <w:i/>
        </w:rPr>
        <w:t> -,</w:t>
      </w:r>
      <w:r w:rsidR="00BD33B2" w:rsidRPr="009118AB">
        <w:rPr>
          <w:i/>
        </w:rPr>
        <w:t xml:space="preserve"> ersetzt durch </w:t>
      </w:r>
      <w:r w:rsidR="00D67EB8" w:rsidRPr="009118AB">
        <w:rPr>
          <w:i/>
        </w:rPr>
        <w:t>Art. </w:t>
      </w:r>
      <w:r w:rsidR="00BD33B2" w:rsidRPr="009118AB">
        <w:rPr>
          <w:i/>
        </w:rPr>
        <w:t xml:space="preserve">6 </w:t>
      </w:r>
      <w:r w:rsidR="00D67EB8" w:rsidRPr="009118AB">
        <w:rPr>
          <w:i/>
        </w:rPr>
        <w:t>Nr. </w:t>
      </w:r>
      <w:r w:rsidR="00BD33B2" w:rsidRPr="009118AB">
        <w:rPr>
          <w:i/>
        </w:rPr>
        <w:t>2 des G. vom 23. März 2019 (B.S. vom 5. April 2019)</w:t>
      </w:r>
      <w:r w:rsidR="00D67EB8" w:rsidRPr="009118AB">
        <w:rPr>
          <w:i/>
        </w:rPr>
        <w:t> - </w:t>
      </w:r>
      <w:r w:rsidR="00BD33B2" w:rsidRPr="009118AB">
        <w:rPr>
          <w:i/>
        </w:rPr>
        <w:t>wirksam mit 1. Januar 2019</w:t>
      </w:r>
      <w:r w:rsidR="00D67EB8" w:rsidRPr="009118AB">
        <w:rPr>
          <w:i/>
        </w:rPr>
        <w:t> - </w:t>
      </w:r>
      <w:r w:rsidR="00E712E1" w:rsidRPr="009118AB">
        <w:rPr>
          <w:i/>
        </w:rPr>
        <w:t xml:space="preserve">und abgeändert durch </w:t>
      </w:r>
      <w:r w:rsidR="00D67EB8" w:rsidRPr="009118AB">
        <w:rPr>
          <w:i/>
        </w:rPr>
        <w:t>Art. </w:t>
      </w:r>
      <w:r w:rsidR="00E712E1" w:rsidRPr="009118AB">
        <w:rPr>
          <w:i/>
        </w:rPr>
        <w:t xml:space="preserve">18 </w:t>
      </w:r>
      <w:r w:rsidR="00D67EB8" w:rsidRPr="009118AB">
        <w:rPr>
          <w:i/>
        </w:rPr>
        <w:t>Nr. </w:t>
      </w:r>
      <w:r w:rsidR="00E712E1" w:rsidRPr="009118AB">
        <w:rPr>
          <w:i/>
        </w:rPr>
        <w:t>4 des G. vom 12. Dezember 2021 (B.S. vom 31. Dezember 2021)</w:t>
      </w:r>
      <w:r w:rsidR="00D67EB8" w:rsidRPr="009118AB">
        <w:rPr>
          <w:i/>
        </w:rPr>
        <w:t> - </w:t>
      </w:r>
      <w:r w:rsidR="00E712E1" w:rsidRPr="009118AB">
        <w:rPr>
          <w:i/>
        </w:rPr>
        <w:t>wirksam mit 1. Juli 2021</w:t>
      </w:r>
      <w:r w:rsidR="003366D9" w:rsidRPr="009118AB">
        <w:rPr>
          <w:i/>
        </w:rPr>
        <w:t> -;</w:t>
      </w:r>
      <w:r w:rsidR="00107B43" w:rsidRPr="009118AB">
        <w:rPr>
          <w:i/>
          <w:iCs/>
        </w:rPr>
        <w:t xml:space="preserve"> </w:t>
      </w:r>
      <w:r w:rsidR="00D67EB8" w:rsidRPr="009118AB">
        <w:rPr>
          <w:i/>
          <w:iCs/>
        </w:rPr>
        <w:t>Abs. </w:t>
      </w:r>
      <w:r w:rsidR="00BD33B2" w:rsidRPr="009118AB">
        <w:rPr>
          <w:i/>
          <w:iCs/>
        </w:rPr>
        <w:t>8</w:t>
      </w:r>
      <w:r w:rsidR="00107B43" w:rsidRPr="009118AB">
        <w:rPr>
          <w:i/>
          <w:iCs/>
        </w:rPr>
        <w:t xml:space="preserve"> ersetzt durch </w:t>
      </w:r>
      <w:r w:rsidR="00D67EB8" w:rsidRPr="009118AB">
        <w:rPr>
          <w:i/>
          <w:iCs/>
        </w:rPr>
        <w:t>Art. </w:t>
      </w:r>
      <w:r w:rsidR="00107B43" w:rsidRPr="009118AB">
        <w:rPr>
          <w:i/>
          <w:iCs/>
        </w:rPr>
        <w:t>59</w:t>
      </w:r>
      <w:r w:rsidR="00107B43" w:rsidRPr="009118AB">
        <w:rPr>
          <w:i/>
        </w:rPr>
        <w:t xml:space="preserve"> des G. vom 8. Mai</w:t>
      </w:r>
      <w:r w:rsidR="00BD33B2" w:rsidRPr="009118AB">
        <w:rPr>
          <w:i/>
        </w:rPr>
        <w:t> 2014 (B.S. vom 28. Mai 2014)</w:t>
      </w:r>
      <w:r w:rsidR="00D67EB8" w:rsidRPr="009118AB">
        <w:rPr>
          <w:i/>
        </w:rPr>
        <w:t> - </w:t>
      </w:r>
      <w:r w:rsidR="00107B43" w:rsidRPr="009118AB">
        <w:rPr>
          <w:i/>
          <w:iCs/>
        </w:rPr>
        <w:t>anwendbar ab dem Steuerjahr 2015</w:t>
      </w:r>
      <w:r w:rsidR="003366D9" w:rsidRPr="009118AB">
        <w:rPr>
          <w:i/>
          <w:iCs/>
        </w:rPr>
        <w:t> -;</w:t>
      </w:r>
      <w:r w:rsidR="00BC13B1" w:rsidRPr="009118AB">
        <w:rPr>
          <w:i/>
          <w:iCs/>
        </w:rPr>
        <w:t xml:space="preserve"> </w:t>
      </w:r>
      <w:r w:rsidR="00D67EB8" w:rsidRPr="009118AB">
        <w:rPr>
          <w:i/>
          <w:iCs/>
        </w:rPr>
        <w:t>Abs. </w:t>
      </w:r>
      <w:r w:rsidR="00BD33B2" w:rsidRPr="009118AB">
        <w:rPr>
          <w:i/>
          <w:iCs/>
        </w:rPr>
        <w:t>9</w:t>
      </w:r>
      <w:r w:rsidR="00BC13B1" w:rsidRPr="009118AB">
        <w:rPr>
          <w:i/>
          <w:iCs/>
        </w:rPr>
        <w:t xml:space="preserve"> eingefügt durch </w:t>
      </w:r>
      <w:r w:rsidR="00D67EB8" w:rsidRPr="009118AB">
        <w:rPr>
          <w:i/>
          <w:iCs/>
        </w:rPr>
        <w:t>Art. </w:t>
      </w:r>
      <w:r w:rsidR="00F84D1F" w:rsidRPr="009118AB">
        <w:rPr>
          <w:i/>
          <w:iCs/>
        </w:rPr>
        <w:t xml:space="preserve">33 </w:t>
      </w:r>
      <w:r w:rsidR="00D67EB8" w:rsidRPr="009118AB">
        <w:rPr>
          <w:i/>
          <w:iCs/>
        </w:rPr>
        <w:t>Nr. </w:t>
      </w:r>
      <w:r w:rsidR="00F84D1F" w:rsidRPr="009118AB">
        <w:rPr>
          <w:i/>
          <w:iCs/>
        </w:rPr>
        <w:t>2</w:t>
      </w:r>
      <w:r w:rsidR="00F84D1F" w:rsidRPr="009118AB">
        <w:rPr>
          <w:i/>
        </w:rPr>
        <w:t xml:space="preserve"> des G. vom 16. November 2015 (B.S. vom 26. November 2015)</w:t>
      </w:r>
      <w:r w:rsidR="00D67EB8" w:rsidRPr="009118AB">
        <w:rPr>
          <w:i/>
          <w:iCs/>
        </w:rPr>
        <w:t> - </w:t>
      </w:r>
      <w:r w:rsidR="00F84D1F" w:rsidRPr="009118AB">
        <w:rPr>
          <w:i/>
          <w:iCs/>
        </w:rPr>
        <w:t>anwendbar ab dem Steuerjahr 2016</w:t>
      </w:r>
      <w:r w:rsidR="00D67EB8" w:rsidRPr="009118AB">
        <w:rPr>
          <w:i/>
          <w:iCs/>
        </w:rPr>
        <w:t> - </w:t>
      </w:r>
      <w:r w:rsidR="00F669C2" w:rsidRPr="009118AB">
        <w:rPr>
          <w:i/>
          <w:iCs/>
        </w:rPr>
        <w:t xml:space="preserve">und ersetzt durch </w:t>
      </w:r>
      <w:r w:rsidR="00D67EB8" w:rsidRPr="009118AB">
        <w:rPr>
          <w:i/>
          <w:iCs/>
        </w:rPr>
        <w:t>Art. </w:t>
      </w:r>
      <w:r w:rsidR="00F669C2" w:rsidRPr="009118AB">
        <w:rPr>
          <w:i/>
          <w:iCs/>
        </w:rPr>
        <w:t>120 des G. vom 25. Dezember 2017 (IV)</w:t>
      </w:r>
      <w:r w:rsidR="00B3148A" w:rsidRPr="009118AB">
        <w:rPr>
          <w:i/>
          <w:iCs/>
        </w:rPr>
        <w:t xml:space="preserve"> (B.S. vom 29. Dezember 2017)</w:t>
      </w:r>
      <w:r w:rsidR="00D67EB8" w:rsidRPr="009118AB">
        <w:rPr>
          <w:i/>
          <w:iCs/>
        </w:rPr>
        <w:t> - </w:t>
      </w:r>
      <w:r w:rsidR="00F669C2" w:rsidRPr="009118AB">
        <w:rPr>
          <w:i/>
          <w:iCs/>
        </w:rPr>
        <w:t>anwendbar ab dem Steuerjahr 2018</w:t>
      </w:r>
      <w:r w:rsidR="00FD68E8" w:rsidRPr="009118AB">
        <w:rPr>
          <w:i/>
          <w:iCs/>
        </w:rPr>
        <w:t> -]</w:t>
      </w:r>
    </w:p>
    <w:p w14:paraId="7014DB76" w14:textId="77777777" w:rsidR="002F780C" w:rsidRPr="009118AB" w:rsidRDefault="002F780C" w:rsidP="00820866">
      <w:pPr>
        <w:autoSpaceDE w:val="0"/>
        <w:autoSpaceDN w:val="0"/>
        <w:adjustRightInd w:val="0"/>
        <w:jc w:val="both"/>
      </w:pPr>
    </w:p>
    <w:p w14:paraId="6B3442DD" w14:textId="2CCE2D22" w:rsidR="00477B8F" w:rsidRPr="009118AB" w:rsidRDefault="00477B8F" w:rsidP="000D2B58">
      <w:pPr>
        <w:autoSpaceDE w:val="0"/>
        <w:autoSpaceDN w:val="0"/>
        <w:adjustRightInd w:val="0"/>
        <w:jc w:val="center"/>
      </w:pPr>
      <w:r w:rsidRPr="009118AB">
        <w:br w:type="page"/>
      </w:r>
      <w:r w:rsidRPr="009118AB">
        <w:lastRenderedPageBreak/>
        <w:t>Unterabschnitt </w:t>
      </w:r>
      <w:r w:rsidR="00D74862" w:rsidRPr="009118AB">
        <w:t>4</w:t>
      </w:r>
      <w:r w:rsidR="00D67EB8" w:rsidRPr="009118AB">
        <w:t> - </w:t>
      </w:r>
      <w:r w:rsidRPr="009118AB">
        <w:t>Ermäßigung für Einkünfte ausländischer Herkunft</w:t>
      </w:r>
    </w:p>
    <w:p w14:paraId="4EF60202" w14:textId="77777777" w:rsidR="00477B8F" w:rsidRPr="009118AB" w:rsidRDefault="00477B8F" w:rsidP="00477B8F">
      <w:pPr>
        <w:autoSpaceDE w:val="0"/>
        <w:autoSpaceDN w:val="0"/>
        <w:adjustRightInd w:val="0"/>
        <w:jc w:val="both"/>
      </w:pPr>
    </w:p>
    <w:p w14:paraId="4EB7EBF4" w14:textId="77777777" w:rsidR="00477B8F" w:rsidRPr="009118AB" w:rsidRDefault="00477B8F" w:rsidP="00477B8F">
      <w:pPr>
        <w:autoSpaceDE w:val="0"/>
        <w:autoSpaceDN w:val="0"/>
        <w:adjustRightInd w:val="0"/>
        <w:jc w:val="both"/>
      </w:pPr>
    </w:p>
    <w:p w14:paraId="00E3D8B2" w14:textId="7C141FB7"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155</w:t>
      </w:r>
      <w:r w:rsidR="00D67EB8" w:rsidRPr="009118AB">
        <w:t> - </w:t>
      </w:r>
      <w:r w:rsidRPr="009118AB">
        <w:t>Einkünfte, die aufgrund internationaler Abkommen zur Vermeidung der Doppelbesteuerung steuerfrei sind, werden für die Festlegung der Steuer berücksichtigt, wobei die Steuer jedoch im Verhältnis zum Anteil der steuerfreien Einkünfte an der Gesamtheit der Einkünfte ermäßigt wird.</w:t>
      </w:r>
    </w:p>
    <w:p w14:paraId="3FFCCB1A" w14:textId="77777777" w:rsidR="00477B8F" w:rsidRPr="009118AB" w:rsidRDefault="00477B8F" w:rsidP="00477B8F">
      <w:pPr>
        <w:autoSpaceDE w:val="0"/>
        <w:autoSpaceDN w:val="0"/>
        <w:adjustRightInd w:val="0"/>
        <w:jc w:val="both"/>
      </w:pPr>
    </w:p>
    <w:p w14:paraId="60088541" w14:textId="77777777" w:rsidR="00364376" w:rsidRPr="009118AB" w:rsidRDefault="00477B8F" w:rsidP="00364376">
      <w:pPr>
        <w:jc w:val="both"/>
      </w:pPr>
      <w:r w:rsidRPr="009118AB">
        <w:tab/>
        <w:t>[</w:t>
      </w:r>
      <w:r w:rsidR="00364376" w:rsidRPr="009118AB">
        <w:t>Dies gilt ebenfalls für:</w:t>
      </w:r>
    </w:p>
    <w:p w14:paraId="41ECE7A1" w14:textId="77777777" w:rsidR="00364376" w:rsidRPr="009118AB" w:rsidRDefault="00364376" w:rsidP="00364376">
      <w:pPr>
        <w:jc w:val="both"/>
      </w:pPr>
    </w:p>
    <w:p w14:paraId="387EDD3C" w14:textId="77777777" w:rsidR="00364376" w:rsidRPr="009118AB" w:rsidRDefault="00364376" w:rsidP="00364376">
      <w:pPr>
        <w:jc w:val="both"/>
      </w:pPr>
      <w:r w:rsidRPr="009118AB">
        <w:tab/>
        <w:t>- Einkünfte, die aufgrund anderer internationaler Verträge oder Abkommen steuerfrei sind, sofern sie eine Progressionsvorbehaltsklausel vorsehen,</w:t>
      </w:r>
    </w:p>
    <w:p w14:paraId="75FA2727" w14:textId="77777777" w:rsidR="00364376" w:rsidRPr="009118AB" w:rsidRDefault="00364376" w:rsidP="00364376">
      <w:pPr>
        <w:jc w:val="both"/>
      </w:pPr>
    </w:p>
    <w:p w14:paraId="18BCF3A3" w14:textId="77777777" w:rsidR="00477B8F" w:rsidRPr="009118AB" w:rsidRDefault="00364376" w:rsidP="00364376">
      <w:pPr>
        <w:autoSpaceDE w:val="0"/>
        <w:autoSpaceDN w:val="0"/>
        <w:adjustRightInd w:val="0"/>
        <w:jc w:val="both"/>
      </w:pPr>
      <w:r w:rsidRPr="009118AB">
        <w:tab/>
        <w:t>- Berufseinkünfte, die Mitgliedern und ehemaligen Mitgliedern des Europäischen Par</w:t>
      </w:r>
      <w:r w:rsidRPr="009118AB">
        <w:softHyphen/>
        <w:t xml:space="preserve">laments oder ihren Rechtsnachfolgern gezahlt oder zuerkannt werden und der europäischen </w:t>
      </w:r>
      <w:r w:rsidR="00DA57A2" w:rsidRPr="009118AB">
        <w:t>Gemeinschaftssteuer unterliegen,</w:t>
      </w:r>
      <w:r w:rsidR="00477B8F" w:rsidRPr="009118AB">
        <w:t>]</w:t>
      </w:r>
    </w:p>
    <w:p w14:paraId="23DB806B" w14:textId="77777777" w:rsidR="00DA57A2" w:rsidRPr="009118AB" w:rsidRDefault="00DA57A2" w:rsidP="00364376">
      <w:pPr>
        <w:autoSpaceDE w:val="0"/>
        <w:autoSpaceDN w:val="0"/>
        <w:adjustRightInd w:val="0"/>
        <w:jc w:val="both"/>
      </w:pPr>
    </w:p>
    <w:p w14:paraId="36DA584C" w14:textId="77777777" w:rsidR="00DA57A2" w:rsidRPr="009118AB" w:rsidRDefault="00DA57A2" w:rsidP="00364376">
      <w:pPr>
        <w:autoSpaceDE w:val="0"/>
        <w:autoSpaceDN w:val="0"/>
        <w:adjustRightInd w:val="0"/>
        <w:jc w:val="both"/>
      </w:pPr>
      <w:r w:rsidRPr="009118AB">
        <w:tab/>
        <w:t>[- Entlohnungen, die von ausländischen oder internationalen Rechtsprechungsorganen oder Instanzen mit gerichtlichen Aufgaben wie im Gesetz vom 29. März 2004 über die Zusammenarbeit mit dem Internationalen Strafgerichtshof und den internationalen Strafgerichten erwähnt gezahlt oder zuerkannt werden.]</w:t>
      </w:r>
    </w:p>
    <w:p w14:paraId="717A23C3" w14:textId="77777777" w:rsidR="00477B8F" w:rsidRPr="009118AB" w:rsidRDefault="00477B8F" w:rsidP="00477B8F">
      <w:pPr>
        <w:autoSpaceDE w:val="0"/>
        <w:autoSpaceDN w:val="0"/>
        <w:adjustRightInd w:val="0"/>
        <w:jc w:val="both"/>
      </w:pPr>
    </w:p>
    <w:p w14:paraId="75BAECF8" w14:textId="77777777" w:rsidR="00477B8F" w:rsidRPr="009118AB" w:rsidRDefault="00477B8F" w:rsidP="00477B8F">
      <w:pPr>
        <w:autoSpaceDE w:val="0"/>
        <w:autoSpaceDN w:val="0"/>
        <w:adjustRightInd w:val="0"/>
        <w:jc w:val="both"/>
      </w:pPr>
      <w:r w:rsidRPr="009118AB">
        <w:tab/>
        <w:t>[Wird eine gemeinsame Veranlagung festgelegt, wird die Ermäßigung pro Steuerpflichtigen auf die Gesamtheit seiner Nettoeinkünfte berechnet.]</w:t>
      </w:r>
    </w:p>
    <w:p w14:paraId="1F21CD1F" w14:textId="77777777" w:rsidR="00477B8F" w:rsidRPr="009118AB" w:rsidRDefault="00477B8F" w:rsidP="00477B8F">
      <w:pPr>
        <w:autoSpaceDE w:val="0"/>
        <w:autoSpaceDN w:val="0"/>
        <w:adjustRightInd w:val="0"/>
        <w:jc w:val="both"/>
      </w:pPr>
    </w:p>
    <w:p w14:paraId="6EC6EECF" w14:textId="1D285C15"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155</w:t>
      </w:r>
      <w:r w:rsidR="001B66B6" w:rsidRPr="009118AB">
        <w:rPr>
          <w:i/>
          <w:iCs/>
        </w:rPr>
        <w:t xml:space="preserve"> neuer Absatz 2 eingefügt durch </w:t>
      </w:r>
      <w:r w:rsidR="00D67EB8" w:rsidRPr="009118AB">
        <w:rPr>
          <w:i/>
          <w:iCs/>
        </w:rPr>
        <w:t>Art. </w:t>
      </w:r>
      <w:r w:rsidRPr="009118AB">
        <w:rPr>
          <w:i/>
          <w:iCs/>
        </w:rPr>
        <w:t>1</w:t>
      </w:r>
      <w:r w:rsidR="001B66B6" w:rsidRPr="009118AB">
        <w:rPr>
          <w:i/>
          <w:iCs/>
        </w:rPr>
        <w:t>75 des G. vom 27. Dezember 2005 </w:t>
      </w:r>
      <w:r w:rsidRPr="009118AB">
        <w:rPr>
          <w:i/>
          <w:iCs/>
        </w:rPr>
        <w:t>(II) (B.S.</w:t>
      </w:r>
      <w:r w:rsidR="001B66B6" w:rsidRPr="009118AB">
        <w:rPr>
          <w:i/>
          <w:iCs/>
        </w:rPr>
        <w:t xml:space="preserve"> </w:t>
      </w:r>
      <w:r w:rsidRPr="009118AB">
        <w:rPr>
          <w:i/>
          <w:iCs/>
        </w:rPr>
        <w:t>vom 30. Dezember 200</w:t>
      </w:r>
      <w:r w:rsidR="001B66B6" w:rsidRPr="009118AB">
        <w:rPr>
          <w:i/>
          <w:iCs/>
        </w:rPr>
        <w:t>5)</w:t>
      </w:r>
      <w:r w:rsidR="00D67EB8" w:rsidRPr="009118AB">
        <w:rPr>
          <w:i/>
          <w:iCs/>
        </w:rPr>
        <w:t> - </w:t>
      </w:r>
      <w:r w:rsidR="001B66B6" w:rsidRPr="009118AB">
        <w:rPr>
          <w:i/>
          <w:iCs/>
        </w:rPr>
        <w:t>in Kraft ab dem Steuerjahr </w:t>
      </w:r>
      <w:r w:rsidRPr="009118AB">
        <w:rPr>
          <w:i/>
          <w:iCs/>
        </w:rPr>
        <w:t>2006</w:t>
      </w:r>
      <w:r w:rsidR="00D67EB8" w:rsidRPr="009118AB">
        <w:rPr>
          <w:i/>
          <w:iCs/>
        </w:rPr>
        <w:t> - </w:t>
      </w:r>
      <w:r w:rsidR="001B66B6" w:rsidRPr="009118AB">
        <w:rPr>
          <w:i/>
          <w:iCs/>
        </w:rPr>
        <w:t xml:space="preserve">und ersetzt durch </w:t>
      </w:r>
      <w:r w:rsidR="00D67EB8" w:rsidRPr="009118AB">
        <w:rPr>
          <w:i/>
          <w:iCs/>
        </w:rPr>
        <w:t>Art. </w:t>
      </w:r>
      <w:r w:rsidR="00364376" w:rsidRPr="009118AB">
        <w:rPr>
          <w:i/>
          <w:iCs/>
        </w:rPr>
        <w:t xml:space="preserve">26 des </w:t>
      </w:r>
      <w:r w:rsidR="001B66B6" w:rsidRPr="009118AB">
        <w:rPr>
          <w:i/>
          <w:iCs/>
        </w:rPr>
        <w:t>G. vom 22. Dezember 2009 </w:t>
      </w:r>
      <w:r w:rsidR="00DC1F9F" w:rsidRPr="009118AB">
        <w:rPr>
          <w:i/>
          <w:iCs/>
        </w:rPr>
        <w:t>(I)</w:t>
      </w:r>
      <w:r w:rsidR="00364376" w:rsidRPr="009118AB">
        <w:rPr>
          <w:i/>
          <w:iCs/>
        </w:rPr>
        <w:t xml:space="preserve"> (B.S. vom 31. Dezember 2009)</w:t>
      </w:r>
      <w:r w:rsidR="00D67EB8" w:rsidRPr="009118AB">
        <w:rPr>
          <w:i/>
          <w:iCs/>
        </w:rPr>
        <w:t> - </w:t>
      </w:r>
      <w:r w:rsidR="00364376" w:rsidRPr="009118AB">
        <w:rPr>
          <w:i/>
          <w:iCs/>
        </w:rPr>
        <w:t>anwendbar ab dem Steuerjahr 2010</w:t>
      </w:r>
      <w:r w:rsidR="003366D9" w:rsidRPr="009118AB">
        <w:rPr>
          <w:i/>
          <w:iCs/>
        </w:rPr>
        <w:t> -;</w:t>
      </w:r>
      <w:r w:rsidRPr="009118AB">
        <w:rPr>
          <w:i/>
          <w:iCs/>
        </w:rPr>
        <w:t xml:space="preserve"> </w:t>
      </w:r>
      <w:r w:rsidR="00D67EB8" w:rsidRPr="009118AB">
        <w:rPr>
          <w:i/>
          <w:iCs/>
        </w:rPr>
        <w:t>Abs. </w:t>
      </w:r>
      <w:r w:rsidR="00DA57A2" w:rsidRPr="009118AB">
        <w:rPr>
          <w:i/>
          <w:iCs/>
        </w:rPr>
        <w:t xml:space="preserve">2 dritter Gedankenstrich eingefügt durch </w:t>
      </w:r>
      <w:r w:rsidR="00D67EB8" w:rsidRPr="009118AB">
        <w:rPr>
          <w:i/>
          <w:iCs/>
        </w:rPr>
        <w:t>Art. </w:t>
      </w:r>
      <w:r w:rsidR="00DA57A2" w:rsidRPr="009118AB">
        <w:rPr>
          <w:i/>
          <w:iCs/>
        </w:rPr>
        <w:t>7 des G. vom 25. Dezember 2017 (II) (B.S. vom 29. Dezember 2017)</w:t>
      </w:r>
      <w:r w:rsidR="00D67EB8" w:rsidRPr="009118AB">
        <w:rPr>
          <w:i/>
          <w:iCs/>
        </w:rPr>
        <w:t> - </w:t>
      </w:r>
      <w:r w:rsidR="00DA57A2" w:rsidRPr="009118AB">
        <w:rPr>
          <w:i/>
          <w:iCs/>
        </w:rPr>
        <w:t xml:space="preserve">in Kraft am 29. Dezember 2017 und anwendbar </w:t>
      </w:r>
      <w:r w:rsidR="00DA57A2" w:rsidRPr="009118AB">
        <w:rPr>
          <w:i/>
        </w:rPr>
        <w:t>auf die ab dem 1. Januar 2017 gezahlten oder zuerkannten Entlohnungen</w:t>
      </w:r>
      <w:r w:rsidR="003366D9" w:rsidRPr="009118AB">
        <w:rPr>
          <w:i/>
        </w:rPr>
        <w:t> -;</w:t>
      </w:r>
      <w:r w:rsidR="00DA57A2" w:rsidRPr="009118AB">
        <w:rPr>
          <w:i/>
          <w:iCs/>
        </w:rPr>
        <w:t xml:space="preserve"> </w:t>
      </w:r>
      <w:r w:rsidR="00D67EB8" w:rsidRPr="009118AB">
        <w:rPr>
          <w:i/>
          <w:iCs/>
        </w:rPr>
        <w:t>Abs. </w:t>
      </w:r>
      <w:r w:rsidRPr="009118AB">
        <w:rPr>
          <w:i/>
          <w:iCs/>
        </w:rPr>
        <w:t>3 (früherer Absatz</w:t>
      </w:r>
      <w:r w:rsidR="005A23EB" w:rsidRPr="009118AB">
        <w:rPr>
          <w:i/>
          <w:iCs/>
        </w:rPr>
        <w:t> </w:t>
      </w:r>
      <w:r w:rsidRPr="009118AB">
        <w:rPr>
          <w:i/>
          <w:iCs/>
        </w:rPr>
        <w:t xml:space="preserve">2) eingefügt durch </w:t>
      </w:r>
      <w:r w:rsidR="00D67EB8" w:rsidRPr="009118AB">
        <w:rPr>
          <w:i/>
          <w:iCs/>
        </w:rPr>
        <w:t>Art. </w:t>
      </w:r>
      <w:r w:rsidRPr="009118AB">
        <w:rPr>
          <w:i/>
          <w:iCs/>
        </w:rPr>
        <w:t>41 des G. vom 10. August 2001 (B.S.</w:t>
      </w:r>
      <w:r w:rsidRPr="009118AB">
        <w:rPr>
          <w:i/>
          <w:iCs/>
          <w:spacing w:val="-5"/>
        </w:rPr>
        <w:t xml:space="preserve"> vom 20. September 200</w:t>
      </w:r>
      <w:r w:rsidR="001B66B6" w:rsidRPr="009118AB">
        <w:rPr>
          <w:i/>
          <w:iCs/>
          <w:spacing w:val="-5"/>
        </w:rPr>
        <w:t>1)</w:t>
      </w:r>
      <w:r w:rsidR="00D67EB8" w:rsidRPr="009118AB">
        <w:rPr>
          <w:i/>
          <w:iCs/>
          <w:spacing w:val="-5"/>
        </w:rPr>
        <w:t> - </w:t>
      </w:r>
      <w:r w:rsidR="001B66B6" w:rsidRPr="009118AB">
        <w:rPr>
          <w:i/>
          <w:iCs/>
          <w:spacing w:val="-5"/>
        </w:rPr>
        <w:t>in Kraft ab dem Steuerjahr </w:t>
      </w:r>
      <w:r w:rsidRPr="009118AB">
        <w:rPr>
          <w:i/>
          <w:iCs/>
          <w:spacing w:val="-5"/>
        </w:rPr>
        <w:t>2005</w:t>
      </w:r>
      <w:r w:rsidR="00FD68E8" w:rsidRPr="009118AB">
        <w:rPr>
          <w:i/>
          <w:iCs/>
          <w:spacing w:val="-5"/>
        </w:rPr>
        <w:t> -]</w:t>
      </w:r>
    </w:p>
    <w:p w14:paraId="60C45F27" w14:textId="77777777" w:rsidR="00477B8F" w:rsidRPr="009118AB" w:rsidRDefault="00477B8F" w:rsidP="00477B8F">
      <w:pPr>
        <w:autoSpaceDE w:val="0"/>
        <w:autoSpaceDN w:val="0"/>
        <w:adjustRightInd w:val="0"/>
        <w:jc w:val="both"/>
      </w:pPr>
    </w:p>
    <w:p w14:paraId="688340FE" w14:textId="77777777" w:rsidR="00477B8F" w:rsidRPr="009118AB" w:rsidRDefault="00477B8F" w:rsidP="00477B8F">
      <w:pPr>
        <w:autoSpaceDE w:val="0"/>
        <w:autoSpaceDN w:val="0"/>
        <w:adjustRightInd w:val="0"/>
        <w:jc w:val="both"/>
      </w:pPr>
    </w:p>
    <w:p w14:paraId="0E614AB6" w14:textId="5AB7A6C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156</w:t>
      </w:r>
      <w:r w:rsidR="00D67EB8" w:rsidRPr="009118AB">
        <w:t> - </w:t>
      </w:r>
      <w:r w:rsidRPr="009118AB">
        <w:t xml:space="preserve">Um die Hälfte wird der Teil </w:t>
      </w:r>
      <w:r w:rsidR="00107B43" w:rsidRPr="009118AB">
        <w:t xml:space="preserve">[der gemäß den Artikeln 130 bis 145, 146 bis 154, 169 und 170 berechneten Steuer] </w:t>
      </w:r>
      <w:r w:rsidRPr="009118AB">
        <w:t>ermäßigt, der proportional übereinstimmt mit:</w:t>
      </w:r>
    </w:p>
    <w:p w14:paraId="457BD3F3" w14:textId="77777777" w:rsidR="00477B8F" w:rsidRPr="009118AB" w:rsidRDefault="00477B8F" w:rsidP="00477B8F">
      <w:pPr>
        <w:autoSpaceDE w:val="0"/>
        <w:autoSpaceDN w:val="0"/>
        <w:adjustRightInd w:val="0"/>
        <w:jc w:val="both"/>
      </w:pPr>
    </w:p>
    <w:p w14:paraId="3A7EF515" w14:textId="77777777" w:rsidR="00477B8F" w:rsidRPr="009118AB" w:rsidRDefault="00477B8F" w:rsidP="00477B8F">
      <w:pPr>
        <w:autoSpaceDE w:val="0"/>
        <w:autoSpaceDN w:val="0"/>
        <w:adjustRightInd w:val="0"/>
        <w:jc w:val="both"/>
      </w:pPr>
      <w:r w:rsidRPr="009118AB">
        <w:tab/>
        <w:t>1. Einkünften aus unbeweglichen Gütern, die im Ausland gelegen sind,</w:t>
      </w:r>
    </w:p>
    <w:p w14:paraId="338CFE5F" w14:textId="77777777" w:rsidR="00477B8F" w:rsidRPr="009118AB" w:rsidRDefault="00477B8F" w:rsidP="00477B8F">
      <w:pPr>
        <w:autoSpaceDE w:val="0"/>
        <w:autoSpaceDN w:val="0"/>
        <w:adjustRightInd w:val="0"/>
        <w:jc w:val="both"/>
      </w:pPr>
    </w:p>
    <w:p w14:paraId="430750E3" w14:textId="77777777" w:rsidR="00477B8F" w:rsidRPr="009118AB" w:rsidRDefault="00477B8F" w:rsidP="00477B8F">
      <w:pPr>
        <w:autoSpaceDE w:val="0"/>
        <w:autoSpaceDN w:val="0"/>
        <w:adjustRightInd w:val="0"/>
        <w:jc w:val="both"/>
      </w:pPr>
      <w:r w:rsidRPr="009118AB">
        <w:tab/>
        <w:t>2. im Ausland erzielten und besteuerten Berufseinkünften ausschließlich der Einkünfte aus Kapitalvermögen und beweglichen Gütern, die der Steuerpflichtige zur Ausübung seiner Berufstätigkeit in Einrichtungen, über die er in Belgien verfügt, nutzt; in Bezug auf Entlohnungen [von Unternehmensleitern] ist vorliegende Bestimmung nur in dem Maße anwendbar, wie diese Einkünfte auf die Ergebnisse von den im Ausland gelegenen Einrichtungen angerechnet werden aufgrund der von den Empfängern zugunsten dieser Einrichtungen ausgeübten Tätigkeit,</w:t>
      </w:r>
    </w:p>
    <w:p w14:paraId="0AB6EE28" w14:textId="77777777" w:rsidR="00477B8F" w:rsidRPr="009118AB" w:rsidRDefault="00477B8F" w:rsidP="00477B8F">
      <w:pPr>
        <w:autoSpaceDE w:val="0"/>
        <w:autoSpaceDN w:val="0"/>
        <w:adjustRightInd w:val="0"/>
        <w:jc w:val="both"/>
      </w:pPr>
    </w:p>
    <w:p w14:paraId="26DB3845" w14:textId="77777777" w:rsidR="001B66B6" w:rsidRPr="009118AB" w:rsidRDefault="00477B8F" w:rsidP="00477B8F">
      <w:pPr>
        <w:autoSpaceDE w:val="0"/>
        <w:autoSpaceDN w:val="0"/>
        <w:adjustRightInd w:val="0"/>
        <w:jc w:val="both"/>
      </w:pPr>
      <w:r w:rsidRPr="009118AB">
        <w:tab/>
      </w:r>
    </w:p>
    <w:p w14:paraId="430A6A56" w14:textId="77777777" w:rsidR="00477B8F" w:rsidRPr="009118AB" w:rsidRDefault="001B66B6" w:rsidP="001B66B6">
      <w:pPr>
        <w:autoSpaceDE w:val="0"/>
        <w:autoSpaceDN w:val="0"/>
        <w:adjustRightInd w:val="0"/>
        <w:ind w:firstLine="709"/>
        <w:jc w:val="both"/>
      </w:pPr>
      <w:r w:rsidRPr="009118AB">
        <w:br w:type="page"/>
      </w:r>
      <w:r w:rsidR="00477B8F" w:rsidRPr="009118AB">
        <w:lastRenderedPageBreak/>
        <w:t>3. nachstehenden verschiedenen Einkünften:</w:t>
      </w:r>
    </w:p>
    <w:p w14:paraId="019E32B9" w14:textId="77777777" w:rsidR="00477B8F" w:rsidRPr="009118AB" w:rsidRDefault="00477B8F" w:rsidP="00477B8F">
      <w:pPr>
        <w:autoSpaceDE w:val="0"/>
        <w:autoSpaceDN w:val="0"/>
        <w:adjustRightInd w:val="0"/>
        <w:jc w:val="both"/>
      </w:pPr>
    </w:p>
    <w:p w14:paraId="2D0C8FA4"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im Ausland erzielte und besteuerte Gewinne oder Profite,</w:t>
      </w:r>
    </w:p>
    <w:p w14:paraId="55EF5567" w14:textId="77777777" w:rsidR="00477B8F" w:rsidRPr="009118AB" w:rsidRDefault="00477B8F" w:rsidP="00477B8F">
      <w:pPr>
        <w:autoSpaceDE w:val="0"/>
        <w:autoSpaceDN w:val="0"/>
        <w:adjustRightInd w:val="0"/>
        <w:jc w:val="both"/>
      </w:pPr>
    </w:p>
    <w:p w14:paraId="59AC390E"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Preise, Zuschüsse, Renten oder Pensionen zu Lasten ausländischer öffentlicher Behörden oder öffentlicher Einrichtungen,</w:t>
      </w:r>
    </w:p>
    <w:p w14:paraId="3F15AE25" w14:textId="77777777" w:rsidR="00477B8F" w:rsidRPr="009118AB" w:rsidRDefault="00477B8F" w:rsidP="00477B8F">
      <w:pPr>
        <w:autoSpaceDE w:val="0"/>
        <w:autoSpaceDN w:val="0"/>
        <w:adjustRightInd w:val="0"/>
        <w:jc w:val="both"/>
      </w:pPr>
    </w:p>
    <w:p w14:paraId="3DC69609" w14:textId="77777777" w:rsidR="00477B8F" w:rsidRPr="009118AB" w:rsidRDefault="00477B8F" w:rsidP="00477B8F">
      <w:pPr>
        <w:autoSpaceDE w:val="0"/>
        <w:autoSpaceDN w:val="0"/>
        <w:adjustRightInd w:val="0"/>
        <w:jc w:val="both"/>
      </w:pPr>
      <w:r w:rsidRPr="009118AB">
        <w:tab/>
      </w:r>
      <w:r w:rsidRPr="009118AB">
        <w:rPr>
          <w:i/>
          <w:iCs/>
        </w:rPr>
        <w:t>c)</w:t>
      </w:r>
      <w:r w:rsidRPr="009118AB">
        <w:t xml:space="preserve"> Unterhaltsleistungen zu Lasten von Nicht-Einwohnern des Königreichs.</w:t>
      </w:r>
    </w:p>
    <w:p w14:paraId="0676B3E2" w14:textId="77777777" w:rsidR="00477B8F" w:rsidRPr="009118AB" w:rsidRDefault="00477B8F" w:rsidP="00477B8F">
      <w:pPr>
        <w:autoSpaceDE w:val="0"/>
        <w:autoSpaceDN w:val="0"/>
        <w:adjustRightInd w:val="0"/>
        <w:jc w:val="both"/>
      </w:pPr>
    </w:p>
    <w:p w14:paraId="12DFAC10" w14:textId="77777777" w:rsidR="00477B8F" w:rsidRPr="009118AB" w:rsidRDefault="00477B8F" w:rsidP="00477B8F">
      <w:pPr>
        <w:autoSpaceDE w:val="0"/>
        <w:autoSpaceDN w:val="0"/>
        <w:adjustRightInd w:val="0"/>
        <w:jc w:val="both"/>
      </w:pPr>
      <w:r w:rsidRPr="009118AB">
        <w:tab/>
        <w:t>[Wird eine gemeinsame Veranlagung festgelegt, wird die Ermäßigung pro Steuerpflichtigen auf die Gesamtheit seiner Nettoeinkünfte berechnet.]</w:t>
      </w:r>
    </w:p>
    <w:p w14:paraId="29D895D0" w14:textId="77777777" w:rsidR="00477B8F" w:rsidRPr="009118AB" w:rsidRDefault="00477B8F" w:rsidP="00477B8F">
      <w:pPr>
        <w:autoSpaceDE w:val="0"/>
        <w:autoSpaceDN w:val="0"/>
        <w:adjustRightInd w:val="0"/>
        <w:jc w:val="both"/>
      </w:pPr>
    </w:p>
    <w:p w14:paraId="74F828A5" w14:textId="202EBCC4"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156 </w:t>
      </w:r>
      <w:r w:rsidR="00D67EB8" w:rsidRPr="009118AB">
        <w:rPr>
          <w:i/>
          <w:iCs/>
        </w:rPr>
        <w:t>Abs. </w:t>
      </w:r>
      <w:r w:rsidR="008D088E" w:rsidRPr="009118AB">
        <w:rPr>
          <w:i/>
          <w:iCs/>
        </w:rPr>
        <w:t xml:space="preserve">1 einleitende Bestimmung abgeändert durch </w:t>
      </w:r>
      <w:r w:rsidR="00D67EB8" w:rsidRPr="009118AB">
        <w:rPr>
          <w:i/>
          <w:iCs/>
        </w:rPr>
        <w:t>Art. </w:t>
      </w:r>
      <w:r w:rsidR="008D088E" w:rsidRPr="009118AB">
        <w:rPr>
          <w:i/>
          <w:iCs/>
        </w:rPr>
        <w:t>60</w:t>
      </w:r>
      <w:r w:rsidR="008D088E" w:rsidRPr="009118AB">
        <w:rPr>
          <w:i/>
        </w:rPr>
        <w:t xml:space="preserve"> des G. vom 8. Mai 2014 (B.S. vom 28. Mai 2014)</w:t>
      </w:r>
      <w:r w:rsidR="00D67EB8" w:rsidRPr="009118AB">
        <w:rPr>
          <w:i/>
        </w:rPr>
        <w:t> - </w:t>
      </w:r>
      <w:r w:rsidR="008D088E" w:rsidRPr="009118AB">
        <w:rPr>
          <w:i/>
          <w:iCs/>
        </w:rPr>
        <w:t>anwendbar ab dem Steuerjahr 2015</w:t>
      </w:r>
      <w:r w:rsidR="003366D9" w:rsidRPr="009118AB">
        <w:rPr>
          <w:i/>
          <w:iCs/>
        </w:rPr>
        <w:t> -;</w:t>
      </w:r>
      <w:r w:rsidR="008D088E"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abgeändert durch </w:t>
      </w:r>
      <w:r w:rsidR="00D67EB8" w:rsidRPr="009118AB">
        <w:rPr>
          <w:i/>
          <w:iCs/>
        </w:rPr>
        <w:t>Art. </w:t>
      </w:r>
      <w:r w:rsidRPr="009118AB">
        <w:rPr>
          <w:i/>
          <w:iCs/>
        </w:rPr>
        <w:t>48 des K.E. vom 20. Dezember 1996 (B.S. vom 31. Dezember 1996)</w:t>
      </w:r>
      <w:r w:rsidR="00D67EB8" w:rsidRPr="009118AB">
        <w:rPr>
          <w:i/>
          <w:iCs/>
        </w:rPr>
        <w:t> - </w:t>
      </w:r>
      <w:r w:rsidRPr="009118AB">
        <w:rPr>
          <w:i/>
          <w:iCs/>
        </w:rPr>
        <w:t>in Kraft ab dem Steuerjahr 1998</w:t>
      </w:r>
      <w:r w:rsidR="003366D9" w:rsidRPr="009118AB">
        <w:rPr>
          <w:i/>
          <w:iCs/>
        </w:rPr>
        <w:t> -;</w:t>
      </w:r>
      <w:r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42 des G. vom 10. August 2001 (B.S. vom 20. September 2001)</w:t>
      </w:r>
      <w:r w:rsidR="00D67EB8" w:rsidRPr="009118AB">
        <w:rPr>
          <w:i/>
          <w:iCs/>
        </w:rPr>
        <w:t> - </w:t>
      </w:r>
      <w:r w:rsidRPr="009118AB">
        <w:rPr>
          <w:i/>
          <w:iCs/>
        </w:rPr>
        <w:t>in Kraft ab dem Steuerjahr 2005</w:t>
      </w:r>
      <w:r w:rsidR="00FD68E8" w:rsidRPr="009118AB">
        <w:rPr>
          <w:i/>
          <w:iCs/>
        </w:rPr>
        <w:t> -]</w:t>
      </w:r>
    </w:p>
    <w:p w14:paraId="6F3C4B35" w14:textId="43B7B102" w:rsidR="00A84047" w:rsidRPr="009118AB" w:rsidRDefault="00477B8F" w:rsidP="00A84047">
      <w:pPr>
        <w:jc w:val="center"/>
      </w:pPr>
      <w:r w:rsidRPr="009118AB">
        <w:br w:type="page"/>
      </w:r>
      <w:r w:rsidR="00A84047" w:rsidRPr="009118AB">
        <w:lastRenderedPageBreak/>
        <w:t>[Unterabschnitt </w:t>
      </w:r>
      <w:r w:rsidR="00D74862" w:rsidRPr="009118AB">
        <w:t>4</w:t>
      </w:r>
      <w:r w:rsidR="00A84047" w:rsidRPr="009118AB">
        <w:rPr>
          <w:i/>
        </w:rPr>
        <w:t>bis</w:t>
      </w:r>
      <w:r w:rsidR="00D67EB8" w:rsidRPr="009118AB">
        <w:t> - </w:t>
      </w:r>
      <w:r w:rsidR="00A84047" w:rsidRPr="009118AB">
        <w:t>Umwandlung von Ermäßigungen in eine erstattungsfähige Steuergutschrift</w:t>
      </w:r>
    </w:p>
    <w:p w14:paraId="771E2776" w14:textId="77777777" w:rsidR="00A84047" w:rsidRPr="009118AB" w:rsidRDefault="00A84047" w:rsidP="00A84047">
      <w:pPr>
        <w:jc w:val="center"/>
      </w:pPr>
    </w:p>
    <w:p w14:paraId="5ADCD9C5" w14:textId="432898E8" w:rsidR="00A84047" w:rsidRPr="009118AB" w:rsidRDefault="00A84047" w:rsidP="00A84047">
      <w:pPr>
        <w:jc w:val="both"/>
        <w:rPr>
          <w:i/>
        </w:rPr>
      </w:pPr>
      <w:r w:rsidRPr="009118AB">
        <w:rPr>
          <w:i/>
        </w:rPr>
        <w:t xml:space="preserve">[Unterabschnitt </w:t>
      </w:r>
      <w:r w:rsidR="00D74862" w:rsidRPr="009118AB">
        <w:rPr>
          <w:i/>
        </w:rPr>
        <w:t>4</w:t>
      </w:r>
      <w:r w:rsidRPr="009118AB">
        <w:rPr>
          <w:i/>
        </w:rPr>
        <w:t xml:space="preserve">bis mit </w:t>
      </w:r>
      <w:r w:rsidR="00D67EB8" w:rsidRPr="009118AB">
        <w:rPr>
          <w:i/>
        </w:rPr>
        <w:t>Art. </w:t>
      </w:r>
      <w:r w:rsidRPr="009118AB">
        <w:rPr>
          <w:i/>
        </w:rPr>
        <w:t xml:space="preserve">156bis eingefügt durch </w:t>
      </w:r>
      <w:r w:rsidR="00D67EB8" w:rsidRPr="009118AB">
        <w:rPr>
          <w:i/>
        </w:rPr>
        <w:t>Art. </w:t>
      </w:r>
      <w:r w:rsidRPr="009118AB">
        <w:rPr>
          <w:i/>
        </w:rPr>
        <w:t>70 des G. vom 8. Juni 2008 (B.S. vom 16. Juni 2008)</w:t>
      </w:r>
      <w:r w:rsidR="00D67EB8" w:rsidRPr="009118AB">
        <w:rPr>
          <w:i/>
        </w:rPr>
        <w:t> - </w:t>
      </w:r>
      <w:r w:rsidRPr="009118AB">
        <w:rPr>
          <w:i/>
        </w:rPr>
        <w:t>anwendbar ab dem Steuerjahr 2009</w:t>
      </w:r>
      <w:r w:rsidR="00FD68E8" w:rsidRPr="009118AB">
        <w:rPr>
          <w:i/>
        </w:rPr>
        <w:t> -]</w:t>
      </w:r>
    </w:p>
    <w:p w14:paraId="659B36CD" w14:textId="77777777" w:rsidR="00A84047" w:rsidRPr="009118AB" w:rsidRDefault="00A84047" w:rsidP="00A84047">
      <w:pPr>
        <w:jc w:val="both"/>
      </w:pPr>
    </w:p>
    <w:p w14:paraId="0E924751" w14:textId="77777777" w:rsidR="00A84047" w:rsidRPr="009118AB" w:rsidRDefault="00A84047" w:rsidP="00A84047">
      <w:pPr>
        <w:jc w:val="both"/>
      </w:pPr>
    </w:p>
    <w:p w14:paraId="1CC6B709" w14:textId="31DB479C" w:rsidR="006A2667" w:rsidRPr="009118AB" w:rsidRDefault="00AD3B13" w:rsidP="008D088E">
      <w:pPr>
        <w:autoSpaceDE w:val="0"/>
        <w:autoSpaceDN w:val="0"/>
        <w:adjustRightInd w:val="0"/>
        <w:jc w:val="both"/>
        <w:rPr>
          <w:iCs/>
        </w:rPr>
      </w:pPr>
      <w:r w:rsidRPr="009118AB">
        <w:rPr>
          <w:b/>
        </w:rPr>
        <w:tab/>
      </w:r>
      <w:r w:rsidR="00D67EB8" w:rsidRPr="009118AB">
        <w:rPr>
          <w:b/>
        </w:rPr>
        <w:t>Art. </w:t>
      </w:r>
      <w:r w:rsidR="008E2E49" w:rsidRPr="009118AB">
        <w:rPr>
          <w:b/>
        </w:rPr>
        <w:t>156</w:t>
      </w:r>
      <w:r w:rsidR="008E2E49" w:rsidRPr="009118AB">
        <w:rPr>
          <w:b/>
          <w:i/>
        </w:rPr>
        <w:t>bis</w:t>
      </w:r>
      <w:r w:rsidR="00D67EB8" w:rsidRPr="009118AB">
        <w:t> - </w:t>
      </w:r>
      <w:r w:rsidR="008D088E" w:rsidRPr="009118AB">
        <w:rPr>
          <w:iCs/>
        </w:rPr>
        <w:t>[..</w:t>
      </w:r>
      <w:r w:rsidR="006A2667" w:rsidRPr="009118AB">
        <w:rPr>
          <w:iCs/>
        </w:rPr>
        <w:t>.</w:t>
      </w:r>
      <w:r w:rsidR="008D088E" w:rsidRPr="009118AB">
        <w:rPr>
          <w:iCs/>
        </w:rPr>
        <w:t>]</w:t>
      </w:r>
      <w:r w:rsidR="006A2667" w:rsidRPr="009118AB">
        <w:rPr>
          <w:iCs/>
        </w:rPr>
        <w:t>]</w:t>
      </w:r>
    </w:p>
    <w:p w14:paraId="0E688820" w14:textId="77777777" w:rsidR="006A2667" w:rsidRPr="009118AB" w:rsidRDefault="006A2667" w:rsidP="006A2667">
      <w:pPr>
        <w:autoSpaceDE w:val="0"/>
        <w:autoSpaceDN w:val="0"/>
        <w:adjustRightInd w:val="0"/>
        <w:jc w:val="both"/>
        <w:rPr>
          <w:iCs/>
        </w:rPr>
      </w:pPr>
    </w:p>
    <w:p w14:paraId="5B3ADB69" w14:textId="283C912F" w:rsidR="006A2667" w:rsidRPr="009118AB" w:rsidRDefault="006A2667" w:rsidP="006A2667">
      <w:pPr>
        <w:autoSpaceDE w:val="0"/>
        <w:autoSpaceDN w:val="0"/>
        <w:adjustRightInd w:val="0"/>
        <w:jc w:val="both"/>
        <w:rPr>
          <w:iCs/>
        </w:rPr>
      </w:pPr>
      <w:r w:rsidRPr="009118AB">
        <w:rPr>
          <w:i/>
          <w:iCs/>
        </w:rPr>
        <w:t>[</w:t>
      </w:r>
      <w:r w:rsidR="00D67EB8" w:rsidRPr="009118AB">
        <w:rPr>
          <w:i/>
          <w:iCs/>
        </w:rPr>
        <w:t>Art. </w:t>
      </w:r>
      <w:r w:rsidRPr="009118AB">
        <w:rPr>
          <w:i/>
          <w:iCs/>
        </w:rPr>
        <w:t xml:space="preserve">156bis </w:t>
      </w:r>
      <w:r w:rsidR="008D088E" w:rsidRPr="009118AB">
        <w:rPr>
          <w:i/>
          <w:iCs/>
        </w:rPr>
        <w:t xml:space="preserve">aufgehoben durch </w:t>
      </w:r>
      <w:r w:rsidR="00D67EB8" w:rsidRPr="009118AB">
        <w:rPr>
          <w:i/>
          <w:iCs/>
        </w:rPr>
        <w:t>Art. </w:t>
      </w:r>
      <w:r w:rsidR="008D088E" w:rsidRPr="009118AB">
        <w:rPr>
          <w:i/>
          <w:iCs/>
        </w:rPr>
        <w:t>61</w:t>
      </w:r>
      <w:r w:rsidR="008D088E" w:rsidRPr="009118AB">
        <w:rPr>
          <w:i/>
        </w:rPr>
        <w:t xml:space="preserve"> des G. vom 8. Mai</w:t>
      </w:r>
      <w:r w:rsidR="00B3148A" w:rsidRPr="009118AB">
        <w:rPr>
          <w:i/>
        </w:rPr>
        <w:t> 2014 (B.S. vom 28. Mai 2014)</w:t>
      </w:r>
      <w:r w:rsidR="00D67EB8" w:rsidRPr="009118AB">
        <w:rPr>
          <w:i/>
        </w:rPr>
        <w:t> - </w:t>
      </w:r>
      <w:r w:rsidR="008D088E" w:rsidRPr="009118AB">
        <w:rPr>
          <w:i/>
          <w:iCs/>
        </w:rPr>
        <w:t>anwendbar ab dem Steuerjahr 2015</w:t>
      </w:r>
      <w:r w:rsidR="00FD68E8" w:rsidRPr="009118AB">
        <w:rPr>
          <w:i/>
          <w:iCs/>
        </w:rPr>
        <w:t> -]</w:t>
      </w:r>
    </w:p>
    <w:p w14:paraId="7C00364A" w14:textId="77777777" w:rsidR="006A2667" w:rsidRPr="009118AB" w:rsidRDefault="006A2667" w:rsidP="006A2667">
      <w:pPr>
        <w:autoSpaceDE w:val="0"/>
        <w:autoSpaceDN w:val="0"/>
        <w:adjustRightInd w:val="0"/>
        <w:jc w:val="both"/>
        <w:rPr>
          <w:iCs/>
        </w:rPr>
      </w:pPr>
    </w:p>
    <w:p w14:paraId="2F2FAB59" w14:textId="77777777" w:rsidR="006B686E" w:rsidRPr="009118AB" w:rsidRDefault="006B686E" w:rsidP="00A84047">
      <w:pPr>
        <w:autoSpaceDE w:val="0"/>
        <w:autoSpaceDN w:val="0"/>
        <w:adjustRightInd w:val="0"/>
        <w:jc w:val="both"/>
      </w:pPr>
    </w:p>
    <w:p w14:paraId="52CD2F8D" w14:textId="54D20831" w:rsidR="00477B8F" w:rsidRPr="009118AB" w:rsidRDefault="00AD3B13" w:rsidP="00A84047">
      <w:pPr>
        <w:autoSpaceDE w:val="0"/>
        <w:autoSpaceDN w:val="0"/>
        <w:adjustRightInd w:val="0"/>
        <w:jc w:val="center"/>
      </w:pPr>
      <w:r w:rsidRPr="009118AB">
        <w:br w:type="page"/>
      </w:r>
      <w:r w:rsidR="00477B8F" w:rsidRPr="009118AB">
        <w:lastRenderedPageBreak/>
        <w:t>Unterabschnitt </w:t>
      </w:r>
      <w:r w:rsidR="00D74862" w:rsidRPr="009118AB">
        <w:t>5</w:t>
      </w:r>
      <w:r w:rsidR="00D67EB8" w:rsidRPr="009118AB">
        <w:t> - </w:t>
      </w:r>
      <w:r w:rsidR="00477B8F" w:rsidRPr="009118AB">
        <w:t>Erhöhung bei ausbleibender oder unzureichender Vorauszahlung</w:t>
      </w:r>
    </w:p>
    <w:p w14:paraId="24A6133C" w14:textId="77777777" w:rsidR="00477B8F" w:rsidRPr="009118AB" w:rsidRDefault="00477B8F" w:rsidP="00477B8F">
      <w:pPr>
        <w:autoSpaceDE w:val="0"/>
        <w:autoSpaceDN w:val="0"/>
        <w:adjustRightInd w:val="0"/>
        <w:jc w:val="both"/>
      </w:pPr>
    </w:p>
    <w:p w14:paraId="123CA490" w14:textId="77777777" w:rsidR="00477B8F" w:rsidRPr="009118AB" w:rsidRDefault="00477B8F" w:rsidP="00477B8F">
      <w:pPr>
        <w:autoSpaceDE w:val="0"/>
        <w:autoSpaceDN w:val="0"/>
        <w:adjustRightInd w:val="0"/>
        <w:jc w:val="both"/>
      </w:pPr>
    </w:p>
    <w:p w14:paraId="3B81F1E5" w14:textId="1032CA0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157</w:t>
      </w:r>
      <w:r w:rsidR="00D67EB8" w:rsidRPr="009118AB">
        <w:t> - </w:t>
      </w:r>
      <w:r w:rsidRPr="009118AB">
        <w:t xml:space="preserve">In dem Maße, wie </w:t>
      </w:r>
      <w:r w:rsidR="008D088E" w:rsidRPr="009118AB">
        <w:t xml:space="preserve">[die Gesamtsteuer] </w:t>
      </w:r>
      <w:r w:rsidRPr="009118AB">
        <w:t xml:space="preserve">in Bezug auf Gewinne, Profite [und in Artikel 30 </w:t>
      </w:r>
      <w:r w:rsidR="00D67EB8" w:rsidRPr="009118AB">
        <w:t>Nr. </w:t>
      </w:r>
      <w:r w:rsidRPr="009118AB">
        <w:t>2 und 3 erwähnte Entlohnungen] nicht per Vorabzug erhoben wurde und sie in dem Jahr, in dem die Einkünfte erzielt wurden, nicht per Vorauszahlung entrichtet wurde, wird sie um einen gemäß den Bestimmungen des vorliegenden Unterabschnitts festgelegten Betrag erhöht.</w:t>
      </w:r>
    </w:p>
    <w:p w14:paraId="03299FE8" w14:textId="77777777" w:rsidR="00477B8F" w:rsidRPr="009118AB" w:rsidRDefault="00477B8F" w:rsidP="00477B8F">
      <w:pPr>
        <w:autoSpaceDE w:val="0"/>
        <w:autoSpaceDN w:val="0"/>
        <w:adjustRightInd w:val="0"/>
        <w:jc w:val="both"/>
      </w:pPr>
    </w:p>
    <w:p w14:paraId="6EE84638" w14:textId="77777777" w:rsidR="00477B8F" w:rsidRPr="009118AB" w:rsidRDefault="00477B8F" w:rsidP="00477B8F">
      <w:pPr>
        <w:autoSpaceDE w:val="0"/>
        <w:autoSpaceDN w:val="0"/>
        <w:adjustRightInd w:val="0"/>
        <w:jc w:val="both"/>
      </w:pPr>
      <w:r w:rsidRPr="009118AB">
        <w:tab/>
        <w:t>[Ein Überschuss an Vorauszahlungen, die von einem Ehepartner getätigt werden, der in Anwendung von Artikel 86 einen Teil seiner Gewinne oder Profite dem mithelfenden Ehepartner zuerkennt, kommt von Rechts wegen dem mithelfenden Ehepartner zugute.]</w:t>
      </w:r>
    </w:p>
    <w:p w14:paraId="5FDAC25D" w14:textId="77777777" w:rsidR="00477B8F" w:rsidRPr="009118AB" w:rsidRDefault="00477B8F" w:rsidP="00477B8F">
      <w:pPr>
        <w:autoSpaceDE w:val="0"/>
        <w:autoSpaceDN w:val="0"/>
        <w:adjustRightInd w:val="0"/>
        <w:jc w:val="both"/>
      </w:pPr>
    </w:p>
    <w:p w14:paraId="665F4977" w14:textId="6221B816"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157 </w:t>
      </w:r>
      <w:r w:rsidR="00D67EB8" w:rsidRPr="009118AB">
        <w:rPr>
          <w:i/>
          <w:iCs/>
        </w:rPr>
        <w:t>Abs. </w:t>
      </w:r>
      <w:r w:rsidRPr="009118AB">
        <w:rPr>
          <w:i/>
          <w:iCs/>
        </w:rPr>
        <w:t xml:space="preserve">1 abgeändert durch </w:t>
      </w:r>
      <w:r w:rsidR="00D67EB8" w:rsidRPr="009118AB">
        <w:rPr>
          <w:i/>
          <w:iCs/>
        </w:rPr>
        <w:t>Art. </w:t>
      </w:r>
      <w:r w:rsidRPr="009118AB">
        <w:rPr>
          <w:i/>
          <w:iCs/>
        </w:rPr>
        <w:t>48 des K.E. vom 20. Dezember 1996 (B.S. vom 31. Dezember 1996)</w:t>
      </w:r>
      <w:r w:rsidR="00D67EB8" w:rsidRPr="009118AB">
        <w:rPr>
          <w:i/>
          <w:iCs/>
        </w:rPr>
        <w:t> - </w:t>
      </w:r>
      <w:r w:rsidRPr="009118AB">
        <w:rPr>
          <w:i/>
          <w:iCs/>
        </w:rPr>
        <w:t>in Kraft ab dem Steuerjahr 1996</w:t>
      </w:r>
      <w:r w:rsidR="00FD68E8" w:rsidRPr="009118AB">
        <w:rPr>
          <w:i/>
          <w:iCs/>
        </w:rPr>
        <w:t> -,</w:t>
      </w:r>
      <w:r w:rsidRPr="009118AB">
        <w:rPr>
          <w:i/>
          <w:iCs/>
        </w:rPr>
        <w:t xml:space="preserve"> </w:t>
      </w:r>
      <w:r w:rsidR="00D67EB8" w:rsidRPr="009118AB">
        <w:rPr>
          <w:i/>
          <w:iCs/>
        </w:rPr>
        <w:t>Art. </w:t>
      </w:r>
      <w:r w:rsidRPr="009118AB">
        <w:rPr>
          <w:i/>
          <w:iCs/>
        </w:rPr>
        <w:t xml:space="preserve">25 des G. (I) vom </w:t>
      </w:r>
      <w:r w:rsidRPr="009118AB">
        <w:rPr>
          <w:i/>
          <w:iCs/>
          <w:spacing w:val="2"/>
        </w:rPr>
        <w:t>24. Dezember 2002</w:t>
      </w:r>
      <w:r w:rsidR="00D86BCC" w:rsidRPr="009118AB">
        <w:rPr>
          <w:i/>
          <w:iCs/>
          <w:spacing w:val="2"/>
        </w:rPr>
        <w:t xml:space="preserve"> (I)</w:t>
      </w:r>
      <w:r w:rsidRPr="009118AB">
        <w:rPr>
          <w:i/>
          <w:iCs/>
          <w:spacing w:val="2"/>
        </w:rPr>
        <w:t xml:space="preserve"> (B.S. vom 31. Dezember 2002)</w:t>
      </w:r>
      <w:r w:rsidR="00D67EB8" w:rsidRPr="009118AB">
        <w:rPr>
          <w:i/>
          <w:iCs/>
          <w:spacing w:val="2"/>
        </w:rPr>
        <w:t> - </w:t>
      </w:r>
      <w:r w:rsidRPr="009118AB">
        <w:rPr>
          <w:i/>
          <w:iCs/>
          <w:spacing w:val="2"/>
        </w:rPr>
        <w:t>in Kraft ab dem Steuerjahr 2004</w:t>
      </w:r>
      <w:r w:rsidR="00D67EB8" w:rsidRPr="009118AB">
        <w:rPr>
          <w:i/>
          <w:iCs/>
          <w:spacing w:val="2"/>
        </w:rPr>
        <w:t> - </w:t>
      </w:r>
      <w:r w:rsidR="008D088E" w:rsidRPr="009118AB">
        <w:rPr>
          <w:i/>
          <w:iCs/>
        </w:rPr>
        <w:t xml:space="preserve">und </w:t>
      </w:r>
      <w:r w:rsidR="00D67EB8" w:rsidRPr="009118AB">
        <w:rPr>
          <w:i/>
          <w:iCs/>
        </w:rPr>
        <w:t>Art. </w:t>
      </w:r>
      <w:r w:rsidR="008D088E" w:rsidRPr="009118AB">
        <w:rPr>
          <w:i/>
          <w:iCs/>
        </w:rPr>
        <w:t>62 des G. vom 8. Mai 2014 (B.S. vom 28. Mai 2014)</w:t>
      </w:r>
      <w:r w:rsidR="00D67EB8" w:rsidRPr="009118AB">
        <w:rPr>
          <w:i/>
          <w:iCs/>
        </w:rPr>
        <w:t> - </w:t>
      </w:r>
      <w:r w:rsidR="008D088E" w:rsidRPr="009118AB">
        <w:rPr>
          <w:i/>
          <w:iCs/>
        </w:rPr>
        <w:t>anwendbar ab dem Steuerjahr 2015</w:t>
      </w:r>
      <w:r w:rsidR="003366D9" w:rsidRPr="009118AB">
        <w:rPr>
          <w:i/>
          <w:iCs/>
        </w:rPr>
        <w:t> -;</w:t>
      </w:r>
      <w:r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43 des G. vom</w:t>
      </w:r>
      <w:r w:rsidRPr="009118AB">
        <w:rPr>
          <w:i/>
          <w:iCs/>
          <w:spacing w:val="2"/>
        </w:rPr>
        <w:t xml:space="preserve"> 10. August 2001 (B.S. vom 20. September 2001)</w:t>
      </w:r>
      <w:r w:rsidR="00D67EB8" w:rsidRPr="009118AB">
        <w:rPr>
          <w:i/>
          <w:iCs/>
          <w:spacing w:val="2"/>
        </w:rPr>
        <w:t> - </w:t>
      </w:r>
      <w:r w:rsidRPr="009118AB">
        <w:rPr>
          <w:i/>
          <w:iCs/>
        </w:rPr>
        <w:t>in Kraft ab dem Steuerjahr 2005</w:t>
      </w:r>
      <w:r w:rsidR="00FD68E8" w:rsidRPr="009118AB">
        <w:rPr>
          <w:i/>
          <w:iCs/>
        </w:rPr>
        <w:t> -]</w:t>
      </w:r>
    </w:p>
    <w:p w14:paraId="709258B5" w14:textId="77777777" w:rsidR="00477B8F" w:rsidRPr="009118AB" w:rsidRDefault="00477B8F" w:rsidP="00477B8F">
      <w:pPr>
        <w:autoSpaceDE w:val="0"/>
        <w:autoSpaceDN w:val="0"/>
        <w:adjustRightInd w:val="0"/>
        <w:jc w:val="both"/>
      </w:pPr>
    </w:p>
    <w:p w14:paraId="396208F9" w14:textId="77777777" w:rsidR="00477B8F" w:rsidRPr="009118AB" w:rsidRDefault="00477B8F" w:rsidP="00477B8F">
      <w:pPr>
        <w:autoSpaceDE w:val="0"/>
        <w:autoSpaceDN w:val="0"/>
        <w:adjustRightInd w:val="0"/>
        <w:jc w:val="both"/>
      </w:pPr>
    </w:p>
    <w:p w14:paraId="00FEFD9F" w14:textId="71C7E4BE"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158</w:t>
      </w:r>
      <w:r w:rsidR="00D67EB8" w:rsidRPr="009118AB">
        <w:t> - </w:t>
      </w:r>
      <w:r w:rsidRPr="009118AB">
        <w:t xml:space="preserve">Zur Festlegung des Steuerbetrags, auf den die Erhöhung berechnet wird, werden Gewinne, Profite [und in Artikel 30 </w:t>
      </w:r>
      <w:r w:rsidR="00D67EB8" w:rsidRPr="009118AB">
        <w:t>Nr. </w:t>
      </w:r>
      <w:r w:rsidRPr="009118AB">
        <w:t xml:space="preserve">2 und 3 erwähnte Entlohnungen] und diesbezügliche Kosten und Abzüge getrennt berücksichtigt und wird </w:t>
      </w:r>
      <w:r w:rsidR="008D088E" w:rsidRPr="009118AB">
        <w:t>[</w:t>
      </w:r>
      <w:r w:rsidRPr="009118AB">
        <w:t xml:space="preserve">die </w:t>
      </w:r>
      <w:r w:rsidR="008D088E" w:rsidRPr="009118AB">
        <w:t>Gesamts</w:t>
      </w:r>
      <w:r w:rsidRPr="009118AB">
        <w:t>teuer</w:t>
      </w:r>
      <w:r w:rsidR="008D088E" w:rsidRPr="009118AB">
        <w:t>]</w:t>
      </w:r>
      <w:r w:rsidRPr="009118AB">
        <w:t xml:space="preserve"> in Bezug auf diese Einkünfte gegebenenfalls um den diesbezüglichen </w:t>
      </w:r>
      <w:r w:rsidR="00601BC7" w:rsidRPr="009118AB">
        <w:t>[…]</w:t>
      </w:r>
      <w:r w:rsidRPr="009118AB">
        <w:t xml:space="preserve"> Mobiliensteuervorabzug, Berufssteuervorabzug[, den diesbezüglichen Pauschalanteil ausländischer Steuer und </w:t>
      </w:r>
      <w:r w:rsidR="00364376" w:rsidRPr="009118AB">
        <w:t>[</w:t>
      </w:r>
      <w:r w:rsidRPr="009118AB">
        <w:t>die diesbezügliche</w:t>
      </w:r>
      <w:r w:rsidR="00364376" w:rsidRPr="009118AB">
        <w:t>n</w:t>
      </w:r>
      <w:r w:rsidRPr="009118AB">
        <w:t xml:space="preserve"> Steuergutschrift</w:t>
      </w:r>
      <w:r w:rsidR="00364376" w:rsidRPr="009118AB">
        <w:t>en]</w:t>
      </w:r>
      <w:r w:rsidRPr="009118AB">
        <w:t>] ermäßigt.</w:t>
      </w:r>
    </w:p>
    <w:p w14:paraId="515462F9" w14:textId="77777777" w:rsidR="00477B8F" w:rsidRPr="009118AB" w:rsidRDefault="00477B8F" w:rsidP="00477B8F">
      <w:pPr>
        <w:autoSpaceDE w:val="0"/>
        <w:autoSpaceDN w:val="0"/>
        <w:adjustRightInd w:val="0"/>
        <w:jc w:val="both"/>
      </w:pPr>
    </w:p>
    <w:p w14:paraId="2D65DCBA" w14:textId="0EAE87FE"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158 abgeändert durch </w:t>
      </w:r>
      <w:r w:rsidR="00D67EB8" w:rsidRPr="009118AB">
        <w:rPr>
          <w:i/>
          <w:iCs/>
        </w:rPr>
        <w:t>Art. </w:t>
      </w:r>
      <w:r w:rsidRPr="009118AB">
        <w:rPr>
          <w:i/>
          <w:iCs/>
        </w:rPr>
        <w:t>8 des G. vom 20. Dezember 1995 (B.S. vom 23. Dezember 1995)</w:t>
      </w:r>
      <w:r w:rsidR="00D67EB8" w:rsidRPr="009118AB">
        <w:rPr>
          <w:i/>
          <w:iCs/>
        </w:rPr>
        <w:t> - </w:t>
      </w:r>
      <w:r w:rsidRPr="009118AB">
        <w:rPr>
          <w:i/>
          <w:iCs/>
        </w:rPr>
        <w:t>in Kraft ab dem Steuerjahr 1997</w:t>
      </w:r>
      <w:r w:rsidR="00FD68E8" w:rsidRPr="009118AB">
        <w:rPr>
          <w:i/>
          <w:iCs/>
        </w:rPr>
        <w:t> -,</w:t>
      </w:r>
      <w:r w:rsidRPr="009118AB">
        <w:rPr>
          <w:i/>
          <w:iCs/>
        </w:rPr>
        <w:t xml:space="preserve"> </w:t>
      </w:r>
      <w:r w:rsidR="00D67EB8" w:rsidRPr="009118AB">
        <w:rPr>
          <w:i/>
          <w:iCs/>
        </w:rPr>
        <w:t>Art. </w:t>
      </w:r>
      <w:r w:rsidRPr="009118AB">
        <w:rPr>
          <w:i/>
          <w:iCs/>
        </w:rPr>
        <w:t>48 des K.E. vom 20. Dezember 1996 (B.S. vom 31. Dezember 1996)</w:t>
      </w:r>
      <w:r w:rsidR="00D67EB8" w:rsidRPr="009118AB">
        <w:rPr>
          <w:i/>
          <w:iCs/>
        </w:rPr>
        <w:t> - </w:t>
      </w:r>
      <w:r w:rsidRPr="009118AB">
        <w:rPr>
          <w:i/>
          <w:iCs/>
        </w:rPr>
        <w:t>in Kraft ab dem Steuerjahr 1998</w:t>
      </w:r>
      <w:r w:rsidR="00FD68E8" w:rsidRPr="009118AB">
        <w:rPr>
          <w:i/>
          <w:iCs/>
        </w:rPr>
        <w:t> -,</w:t>
      </w:r>
      <w:r w:rsidRPr="009118AB">
        <w:rPr>
          <w:i/>
          <w:iCs/>
        </w:rPr>
        <w:t xml:space="preserve"> </w:t>
      </w:r>
      <w:r w:rsidR="00D67EB8" w:rsidRPr="009118AB">
        <w:rPr>
          <w:i/>
          <w:iCs/>
        </w:rPr>
        <w:t>Art. </w:t>
      </w:r>
      <w:r w:rsidRPr="009118AB">
        <w:rPr>
          <w:i/>
          <w:iCs/>
        </w:rPr>
        <w:t xml:space="preserve">26 des G. (I) vom 24. Dezember 2002 </w:t>
      </w:r>
      <w:r w:rsidR="00D86BCC" w:rsidRPr="009118AB">
        <w:rPr>
          <w:i/>
          <w:iCs/>
        </w:rPr>
        <w:t xml:space="preserve">(I) </w:t>
      </w:r>
      <w:r w:rsidRPr="009118AB">
        <w:rPr>
          <w:i/>
          <w:iCs/>
        </w:rPr>
        <w:t>(B.S. vom 31. Dezember 2002)</w:t>
      </w:r>
      <w:r w:rsidR="00D67EB8" w:rsidRPr="009118AB">
        <w:rPr>
          <w:i/>
          <w:iCs/>
        </w:rPr>
        <w:t> - </w:t>
      </w:r>
      <w:r w:rsidRPr="009118AB">
        <w:rPr>
          <w:i/>
          <w:iCs/>
        </w:rPr>
        <w:t>in Kraft ab dem Steuerjahr 2004</w:t>
      </w:r>
      <w:r w:rsidR="00FD68E8" w:rsidRPr="009118AB">
        <w:rPr>
          <w:i/>
          <w:iCs/>
        </w:rPr>
        <w:t> -,</w:t>
      </w:r>
      <w:r w:rsidR="00364376" w:rsidRPr="009118AB">
        <w:rPr>
          <w:i/>
          <w:iCs/>
        </w:rPr>
        <w:t xml:space="preserve"> </w:t>
      </w:r>
      <w:r w:rsidR="00D67EB8" w:rsidRPr="009118AB">
        <w:rPr>
          <w:i/>
          <w:iCs/>
        </w:rPr>
        <w:t>Art. </w:t>
      </w:r>
      <w:r w:rsidR="00364376" w:rsidRPr="009118AB">
        <w:rPr>
          <w:i/>
          <w:iCs/>
        </w:rPr>
        <w:t xml:space="preserve">27 des </w:t>
      </w:r>
      <w:r w:rsidR="00DC1F9F" w:rsidRPr="009118AB">
        <w:rPr>
          <w:i/>
          <w:iCs/>
        </w:rPr>
        <w:t>G. vom 22. Dezember 2009 (I)</w:t>
      </w:r>
      <w:r w:rsidR="00364376" w:rsidRPr="009118AB">
        <w:rPr>
          <w:i/>
          <w:iCs/>
        </w:rPr>
        <w:t xml:space="preserve"> (B.S. vom 31. Dezember 2009)</w:t>
      </w:r>
      <w:r w:rsidR="00182C3B" w:rsidRPr="009118AB">
        <w:rPr>
          <w:i/>
          <w:iCs/>
        </w:rPr>
        <w:t xml:space="preserve"> </w:t>
      </w:r>
      <w:r w:rsidR="00601BC7" w:rsidRPr="009118AB">
        <w:rPr>
          <w:i/>
          <w:iCs/>
        </w:rPr>
        <w:t xml:space="preserve">und </w:t>
      </w:r>
      <w:r w:rsidR="00D67EB8" w:rsidRPr="009118AB">
        <w:rPr>
          <w:i/>
          <w:iCs/>
        </w:rPr>
        <w:t>Art. </w:t>
      </w:r>
      <w:r w:rsidR="00601BC7" w:rsidRPr="009118AB">
        <w:rPr>
          <w:i/>
          <w:iCs/>
        </w:rPr>
        <w:t>63</w:t>
      </w:r>
      <w:r w:rsidR="00601BC7" w:rsidRPr="009118AB">
        <w:rPr>
          <w:i/>
        </w:rPr>
        <w:t xml:space="preserve"> des G. vom 8. Mai 2014 (B.S. vom 28. Mai 2014)</w:t>
      </w:r>
      <w:r w:rsidR="00D67EB8" w:rsidRPr="009118AB">
        <w:rPr>
          <w:i/>
        </w:rPr>
        <w:t> - </w:t>
      </w:r>
      <w:r w:rsidR="00601BC7" w:rsidRPr="009118AB">
        <w:rPr>
          <w:i/>
          <w:iCs/>
        </w:rPr>
        <w:t>anwendbar ab dem Steuerjahr 2015</w:t>
      </w:r>
      <w:r w:rsidR="00FD68E8" w:rsidRPr="009118AB">
        <w:rPr>
          <w:i/>
          <w:iCs/>
        </w:rPr>
        <w:t> -]</w:t>
      </w:r>
    </w:p>
    <w:p w14:paraId="37D18A96" w14:textId="77777777" w:rsidR="00477B8F" w:rsidRPr="009118AB" w:rsidRDefault="00477B8F" w:rsidP="00477B8F">
      <w:pPr>
        <w:autoSpaceDE w:val="0"/>
        <w:autoSpaceDN w:val="0"/>
        <w:adjustRightInd w:val="0"/>
        <w:jc w:val="both"/>
      </w:pPr>
    </w:p>
    <w:p w14:paraId="7CBE6D1D" w14:textId="77777777" w:rsidR="00477B8F" w:rsidRPr="009118AB" w:rsidRDefault="00477B8F" w:rsidP="00477B8F">
      <w:pPr>
        <w:autoSpaceDE w:val="0"/>
        <w:autoSpaceDN w:val="0"/>
        <w:adjustRightInd w:val="0"/>
        <w:jc w:val="both"/>
      </w:pPr>
    </w:p>
    <w:p w14:paraId="306CDC76" w14:textId="4421AA0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159</w:t>
      </w:r>
      <w:r w:rsidR="00D67EB8" w:rsidRPr="009118AB">
        <w:t> - </w:t>
      </w:r>
      <w:r w:rsidRPr="009118AB">
        <w:t>Die Erhöhung entspricht der Plusdifferenz zwischen:</w:t>
      </w:r>
    </w:p>
    <w:p w14:paraId="5B525622" w14:textId="77777777" w:rsidR="00477B8F" w:rsidRPr="009118AB" w:rsidRDefault="00477B8F" w:rsidP="00477B8F">
      <w:pPr>
        <w:autoSpaceDE w:val="0"/>
        <w:autoSpaceDN w:val="0"/>
        <w:adjustRightInd w:val="0"/>
        <w:jc w:val="both"/>
      </w:pPr>
    </w:p>
    <w:p w14:paraId="00BF4A32" w14:textId="77777777" w:rsidR="00477B8F" w:rsidRPr="009118AB" w:rsidRDefault="00477B8F" w:rsidP="00477B8F">
      <w:pPr>
        <w:autoSpaceDE w:val="0"/>
        <w:autoSpaceDN w:val="0"/>
        <w:adjustRightInd w:val="0"/>
        <w:jc w:val="both"/>
      </w:pPr>
      <w:r w:rsidRPr="009118AB">
        <w:tab/>
        <w:t>1. dem Steuerbetrag, auf den die Erhöhung berechn</w:t>
      </w:r>
      <w:r w:rsidR="004341FC" w:rsidRPr="009118AB">
        <w:t xml:space="preserve">et wird, multipliziert mit 2,25 </w:t>
      </w:r>
      <w:r w:rsidRPr="009118AB">
        <w:t>mal dem Richtsatz und</w:t>
      </w:r>
    </w:p>
    <w:p w14:paraId="458E0C99" w14:textId="77777777" w:rsidR="00477B8F" w:rsidRPr="009118AB" w:rsidRDefault="00477B8F" w:rsidP="00477B8F">
      <w:pPr>
        <w:autoSpaceDE w:val="0"/>
        <w:autoSpaceDN w:val="0"/>
        <w:adjustRightInd w:val="0"/>
        <w:jc w:val="both"/>
      </w:pPr>
    </w:p>
    <w:p w14:paraId="75861868" w14:textId="77777777" w:rsidR="00477B8F" w:rsidRPr="009118AB" w:rsidRDefault="00477B8F" w:rsidP="00477B8F">
      <w:pPr>
        <w:autoSpaceDE w:val="0"/>
        <w:autoSpaceDN w:val="0"/>
        <w:adjustRightInd w:val="0"/>
        <w:jc w:val="both"/>
      </w:pPr>
      <w:r w:rsidRPr="009118AB">
        <w:tab/>
        <w:t xml:space="preserve">2. dem Betrag der Vorauszahlungen multipliziert mit 3 mal, 2,5 mal, 2 mal und 1,5 mal dem Richtsatz, je nachdem ob diese Zahlungen spätestens am 10. April, 10. Juli, 10. Oktober beziehungsweise 20. Dezember des Jahres vor dem Jahr, dessen Jahreszahl das Steuerjahr bestimmt, geleistet wurden. </w:t>
      </w:r>
    </w:p>
    <w:p w14:paraId="34633662" w14:textId="77777777" w:rsidR="00477B8F" w:rsidRPr="009118AB" w:rsidRDefault="00477B8F" w:rsidP="00477B8F">
      <w:pPr>
        <w:autoSpaceDE w:val="0"/>
        <w:autoSpaceDN w:val="0"/>
        <w:adjustRightInd w:val="0"/>
        <w:jc w:val="both"/>
      </w:pPr>
    </w:p>
    <w:p w14:paraId="5D2A16F4" w14:textId="77777777" w:rsidR="00477B8F" w:rsidRPr="009118AB" w:rsidRDefault="00477B8F" w:rsidP="00477B8F">
      <w:pPr>
        <w:autoSpaceDE w:val="0"/>
        <w:autoSpaceDN w:val="0"/>
        <w:adjustRightInd w:val="0"/>
        <w:jc w:val="both"/>
      </w:pPr>
    </w:p>
    <w:p w14:paraId="32BF882D" w14:textId="4563BE9A"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160</w:t>
      </w:r>
      <w:r w:rsidR="00D67EB8" w:rsidRPr="009118AB">
        <w:t> - </w:t>
      </w:r>
      <w:r w:rsidRPr="009118AB">
        <w:t>Die gemäß Artikel 159 berechnete Erhöhung wird zu 90 Prozent ihres Betrags berücksichtigt.</w:t>
      </w:r>
    </w:p>
    <w:p w14:paraId="78D7F1A6" w14:textId="2FC5179F" w:rsidR="00D15494" w:rsidRPr="009118AB" w:rsidRDefault="00477B8F" w:rsidP="00D15494">
      <w:pPr>
        <w:autoSpaceDE w:val="0"/>
        <w:autoSpaceDN w:val="0"/>
        <w:adjustRightInd w:val="0"/>
        <w:jc w:val="both"/>
      </w:pPr>
      <w:r w:rsidRPr="009118AB">
        <w:br w:type="page"/>
      </w:r>
      <w:r w:rsidRPr="009118AB">
        <w:lastRenderedPageBreak/>
        <w:tab/>
      </w:r>
      <w:r w:rsidR="00D67EB8" w:rsidRPr="009118AB">
        <w:rPr>
          <w:b/>
          <w:bCs/>
        </w:rPr>
        <w:t>Art. </w:t>
      </w:r>
      <w:r w:rsidRPr="009118AB">
        <w:rPr>
          <w:b/>
          <w:bCs/>
        </w:rPr>
        <w:t>161</w:t>
      </w:r>
      <w:r w:rsidR="00D67EB8" w:rsidRPr="009118AB">
        <w:t> - </w:t>
      </w:r>
      <w:r w:rsidR="00D15494" w:rsidRPr="009118AB">
        <w:t>[Der Richtsatz ist der gegebenenfalls auf die kleinere ganze Zahl abgerundete Zinssatz der Spitzenrefinanzierungsfazilität der Europäischen Zentralbank am 1. Januar des Jahres vor dem Jahr, dessen Jahreszahl das Steuerjahr bestimmt</w:t>
      </w:r>
      <w:r w:rsidR="00EB0CFE" w:rsidRPr="009118AB">
        <w:t>[, ohne dass dieser Richtsatz unter 1 Prozent liegen darf]</w:t>
      </w:r>
      <w:r w:rsidR="00D15494" w:rsidRPr="009118AB">
        <w:t>.]</w:t>
      </w:r>
    </w:p>
    <w:p w14:paraId="0F5E5C34" w14:textId="77777777" w:rsidR="00D15494" w:rsidRPr="009118AB" w:rsidRDefault="00D15494" w:rsidP="00D15494">
      <w:pPr>
        <w:autoSpaceDE w:val="0"/>
        <w:autoSpaceDN w:val="0"/>
        <w:adjustRightInd w:val="0"/>
        <w:jc w:val="both"/>
      </w:pPr>
    </w:p>
    <w:p w14:paraId="3203E3C6" w14:textId="22B1E5B9" w:rsidR="00D15494" w:rsidRPr="009118AB" w:rsidRDefault="00D15494" w:rsidP="00D15494">
      <w:pPr>
        <w:autoSpaceDE w:val="0"/>
        <w:autoSpaceDN w:val="0"/>
        <w:adjustRightInd w:val="0"/>
        <w:jc w:val="both"/>
      </w:pPr>
      <w:r w:rsidRPr="009118AB">
        <w:rPr>
          <w:i/>
          <w:iCs/>
        </w:rPr>
        <w:t>[</w:t>
      </w:r>
      <w:r w:rsidR="00D67EB8" w:rsidRPr="009118AB">
        <w:rPr>
          <w:i/>
          <w:iCs/>
        </w:rPr>
        <w:t>Art. </w:t>
      </w:r>
      <w:r w:rsidRPr="009118AB">
        <w:rPr>
          <w:i/>
          <w:iCs/>
        </w:rPr>
        <w:t xml:space="preserve">161 ersetzt durch </w:t>
      </w:r>
      <w:r w:rsidR="00D67EB8" w:rsidRPr="009118AB">
        <w:rPr>
          <w:i/>
          <w:iCs/>
        </w:rPr>
        <w:t>Art. </w:t>
      </w:r>
      <w:r w:rsidRPr="009118AB">
        <w:rPr>
          <w:i/>
          <w:iCs/>
        </w:rPr>
        <w:t xml:space="preserve">1 </w:t>
      </w:r>
      <w:r w:rsidR="00D67EB8" w:rsidRPr="009118AB">
        <w:rPr>
          <w:i/>
          <w:iCs/>
        </w:rPr>
        <w:t>Nr. </w:t>
      </w:r>
      <w:r w:rsidRPr="009118AB">
        <w:rPr>
          <w:i/>
          <w:iCs/>
        </w:rPr>
        <w:t>1 des K.E. vom 20. Juli 2000 (I) (B.S. vom 30. August 2000)</w:t>
      </w:r>
      <w:r w:rsidR="00D67EB8" w:rsidRPr="009118AB">
        <w:rPr>
          <w:i/>
          <w:iCs/>
        </w:rPr>
        <w:t> - </w:t>
      </w:r>
      <w:r w:rsidRPr="009118AB">
        <w:rPr>
          <w:i/>
          <w:iCs/>
        </w:rPr>
        <w:t>in Kraft ab dem 1. Januar 2002</w:t>
      </w:r>
      <w:r w:rsidR="00D67EB8" w:rsidRPr="009118AB">
        <w:rPr>
          <w:i/>
          <w:iCs/>
        </w:rPr>
        <w:t> - </w:t>
      </w:r>
      <w:r w:rsidRPr="009118AB">
        <w:rPr>
          <w:i/>
          <w:iCs/>
        </w:rPr>
        <w:t xml:space="preserve">und abgeändert durch </w:t>
      </w:r>
      <w:r w:rsidR="00D67EB8" w:rsidRPr="009118AB">
        <w:rPr>
          <w:i/>
          <w:iCs/>
        </w:rPr>
        <w:t>Art. </w:t>
      </w:r>
      <w:r w:rsidRPr="009118AB">
        <w:rPr>
          <w:i/>
          <w:iCs/>
        </w:rPr>
        <w:t>21 des G. (II) vom 3. August 2016 (VI) (B.S. vom 16. August 2016)</w:t>
      </w:r>
      <w:r w:rsidR="00D67EB8" w:rsidRPr="009118AB">
        <w:rPr>
          <w:i/>
          <w:iCs/>
        </w:rPr>
        <w:t> - </w:t>
      </w:r>
      <w:r w:rsidRPr="009118AB">
        <w:rPr>
          <w:i/>
          <w:iCs/>
        </w:rPr>
        <w:t>in Kraft ab dem Steuerjahr 2018</w:t>
      </w:r>
      <w:r w:rsidR="00FD68E8" w:rsidRPr="009118AB">
        <w:rPr>
          <w:i/>
          <w:iCs/>
        </w:rPr>
        <w:t> -]</w:t>
      </w:r>
    </w:p>
    <w:p w14:paraId="5A45F533" w14:textId="77777777" w:rsidR="00D15494" w:rsidRPr="009118AB" w:rsidRDefault="00D15494" w:rsidP="00477B8F">
      <w:pPr>
        <w:autoSpaceDE w:val="0"/>
        <w:autoSpaceDN w:val="0"/>
        <w:adjustRightInd w:val="0"/>
        <w:jc w:val="both"/>
      </w:pPr>
    </w:p>
    <w:p w14:paraId="48DC904D" w14:textId="77777777" w:rsidR="00A66BEE" w:rsidRPr="009118AB" w:rsidRDefault="00A66BEE" w:rsidP="00477B8F">
      <w:pPr>
        <w:autoSpaceDE w:val="0"/>
        <w:autoSpaceDN w:val="0"/>
        <w:adjustRightInd w:val="0"/>
        <w:jc w:val="both"/>
      </w:pPr>
    </w:p>
    <w:p w14:paraId="5098AD98" w14:textId="436CCBB9" w:rsidR="00D15494" w:rsidRPr="009118AB" w:rsidRDefault="00477B8F" w:rsidP="00D15494">
      <w:pPr>
        <w:autoSpaceDE w:val="0"/>
        <w:autoSpaceDN w:val="0"/>
        <w:adjustRightInd w:val="0"/>
        <w:jc w:val="both"/>
      </w:pPr>
      <w:r w:rsidRPr="009118AB">
        <w:tab/>
      </w:r>
      <w:r w:rsidR="00D67EB8" w:rsidRPr="009118AB">
        <w:rPr>
          <w:b/>
          <w:bCs/>
        </w:rPr>
        <w:t>Art. </w:t>
      </w:r>
      <w:r w:rsidRPr="009118AB">
        <w:rPr>
          <w:b/>
          <w:bCs/>
        </w:rPr>
        <w:t>162</w:t>
      </w:r>
      <w:r w:rsidR="00D67EB8" w:rsidRPr="009118AB">
        <w:t> - </w:t>
      </w:r>
      <w:r w:rsidR="00D15494" w:rsidRPr="009118AB">
        <w:t xml:space="preserve">Wenn die am Finanzmarkt geltenden Zinssätze es rechtfertigen, kann der König durch einen im Ministerrat beratenen Erlass </w:t>
      </w:r>
      <w:r w:rsidR="00555BD8" w:rsidRPr="009118AB">
        <w:t>[...]</w:t>
      </w:r>
      <w:r w:rsidR="00D15494" w:rsidRPr="009118AB">
        <w:t xml:space="preserve"> einen höheren oder niedrigeren Erhöhungsprozentsatz festlegen </w:t>
      </w:r>
      <w:r w:rsidR="00555BD8" w:rsidRPr="009118AB">
        <w:t>[...]</w:t>
      </w:r>
      <w:r w:rsidR="00D15494" w:rsidRPr="009118AB">
        <w:t>.</w:t>
      </w:r>
    </w:p>
    <w:p w14:paraId="0C486EF9" w14:textId="77777777" w:rsidR="00D15494" w:rsidRPr="009118AB" w:rsidRDefault="00D15494" w:rsidP="00D15494">
      <w:pPr>
        <w:autoSpaceDE w:val="0"/>
        <w:autoSpaceDN w:val="0"/>
        <w:adjustRightInd w:val="0"/>
        <w:jc w:val="both"/>
      </w:pPr>
    </w:p>
    <w:p w14:paraId="51D5F643" w14:textId="77777777" w:rsidR="00D15494" w:rsidRPr="009118AB" w:rsidRDefault="00D15494" w:rsidP="00856ADD">
      <w:pPr>
        <w:autoSpaceDE w:val="0"/>
        <w:autoSpaceDN w:val="0"/>
        <w:adjustRightInd w:val="0"/>
        <w:ind w:firstLine="709"/>
        <w:jc w:val="both"/>
      </w:pPr>
      <w:r w:rsidRPr="009118AB">
        <w:t xml:space="preserve">Keine Erhöhung wird auf Vorauszahlungen angewandt, die unter Bedingungen und gemäß Modalitäten, die in Ausführung von Artikel 167 bestimmt werden, spätestens im Monat nach Veröffentlichung des entsprechenden Erlasses im </w:t>
      </w:r>
      <w:r w:rsidRPr="009118AB">
        <w:rPr>
          <w:i/>
          <w:iCs/>
        </w:rPr>
        <w:t>Belgischen Staatsblatt</w:t>
      </w:r>
      <w:r w:rsidRPr="009118AB">
        <w:t xml:space="preserve"> als Zahlung von geschuldeten Steuern geleistet werden.</w:t>
      </w:r>
    </w:p>
    <w:p w14:paraId="18553DD6" w14:textId="77777777" w:rsidR="00555BD8" w:rsidRPr="009118AB" w:rsidRDefault="00555BD8" w:rsidP="00D15494">
      <w:pPr>
        <w:autoSpaceDE w:val="0"/>
        <w:autoSpaceDN w:val="0"/>
        <w:adjustRightInd w:val="0"/>
        <w:jc w:val="both"/>
      </w:pPr>
    </w:p>
    <w:p w14:paraId="1931F7E3" w14:textId="78081F8E" w:rsidR="00555BD8" w:rsidRPr="009118AB" w:rsidRDefault="00555BD8" w:rsidP="00856ADD">
      <w:pPr>
        <w:autoSpaceDE w:val="0"/>
        <w:autoSpaceDN w:val="0"/>
        <w:adjustRightInd w:val="0"/>
        <w:ind w:firstLine="709"/>
        <w:jc w:val="both"/>
      </w:pPr>
      <w:r w:rsidRPr="009118AB">
        <w:t>[</w:t>
      </w:r>
      <w:r w:rsidR="00016024" w:rsidRPr="009118AB">
        <w:t xml:space="preserve">Der König reicht bei der Abgeordnetenkammer, wenn sie versammelt ist, unverzüglich und sonst, sobald die nächste Sitzungsperiode eröffnet ist, einen Gesetzentwurf ein zur Bestätigung der Erlasse zur Ausführung des vorhergehenden Absatzes. Es wird davon ausgegangen, dass diese Erlasse nicht wirksam geworden sind, wenn sie nicht binnen zwölf Monaten nach dem Datum ihrer Veröffentlichung im </w:t>
      </w:r>
      <w:r w:rsidR="00016024" w:rsidRPr="009118AB">
        <w:rPr>
          <w:i/>
          <w:iCs/>
        </w:rPr>
        <w:t>Belgischen Staatsblatt</w:t>
      </w:r>
      <w:r w:rsidR="00016024" w:rsidRPr="009118AB">
        <w:t xml:space="preserve"> durch Gesetz bestätigt worden sind.</w:t>
      </w:r>
      <w:r w:rsidRPr="009118AB">
        <w:t>]</w:t>
      </w:r>
    </w:p>
    <w:p w14:paraId="2CFF7B56" w14:textId="77777777" w:rsidR="00555BD8" w:rsidRPr="009118AB" w:rsidRDefault="00555BD8" w:rsidP="00D15494">
      <w:pPr>
        <w:autoSpaceDE w:val="0"/>
        <w:autoSpaceDN w:val="0"/>
        <w:adjustRightInd w:val="0"/>
        <w:jc w:val="both"/>
      </w:pPr>
    </w:p>
    <w:p w14:paraId="602B4ABD" w14:textId="67AA7399" w:rsidR="00555BD8" w:rsidRPr="009118AB" w:rsidRDefault="00555BD8" w:rsidP="00D15494">
      <w:pPr>
        <w:autoSpaceDE w:val="0"/>
        <w:autoSpaceDN w:val="0"/>
        <w:adjustRightInd w:val="0"/>
        <w:jc w:val="both"/>
        <w:rPr>
          <w:i/>
          <w:iCs/>
        </w:rPr>
      </w:pPr>
      <w:r w:rsidRPr="009118AB">
        <w:rPr>
          <w:i/>
          <w:iCs/>
        </w:rPr>
        <w:t>[</w:t>
      </w:r>
      <w:r w:rsidR="00D67EB8" w:rsidRPr="009118AB">
        <w:rPr>
          <w:i/>
          <w:iCs/>
        </w:rPr>
        <w:t>Art. </w:t>
      </w:r>
      <w:r w:rsidRPr="009118AB">
        <w:rPr>
          <w:i/>
          <w:iCs/>
        </w:rPr>
        <w:t xml:space="preserve">162 </w:t>
      </w:r>
      <w:r w:rsidR="00D67EB8" w:rsidRPr="009118AB">
        <w:rPr>
          <w:i/>
          <w:iCs/>
        </w:rPr>
        <w:t>Abs. </w:t>
      </w:r>
      <w:r w:rsidRPr="009118AB">
        <w:rPr>
          <w:i/>
          <w:iCs/>
        </w:rPr>
        <w:t xml:space="preserve">1 abgeändert durch </w:t>
      </w:r>
      <w:r w:rsidR="00D67EB8" w:rsidRPr="009118AB">
        <w:rPr>
          <w:i/>
          <w:iCs/>
        </w:rPr>
        <w:t>Art. </w:t>
      </w:r>
      <w:r w:rsidRPr="009118AB">
        <w:rPr>
          <w:i/>
          <w:iCs/>
        </w:rPr>
        <w:t xml:space="preserve">22 </w:t>
      </w:r>
      <w:r w:rsidR="00D67EB8" w:rsidRPr="009118AB">
        <w:rPr>
          <w:i/>
          <w:iCs/>
        </w:rPr>
        <w:t>Nr. </w:t>
      </w:r>
      <w:r w:rsidRPr="009118AB">
        <w:rPr>
          <w:i/>
          <w:iCs/>
        </w:rPr>
        <w:t>1 des G. (II) vom 3. August 2016 (VI) (B.S. vom 16. August 2016)</w:t>
      </w:r>
      <w:r w:rsidR="00D67EB8" w:rsidRPr="009118AB">
        <w:rPr>
          <w:i/>
          <w:iCs/>
        </w:rPr>
        <w:t> - </w:t>
      </w:r>
      <w:r w:rsidRPr="009118AB">
        <w:rPr>
          <w:i/>
          <w:iCs/>
        </w:rPr>
        <w:t>in Kraft ab dem Steuerjahr 2018</w:t>
      </w:r>
      <w:r w:rsidR="003366D9" w:rsidRPr="009118AB">
        <w:rPr>
          <w:i/>
          <w:iCs/>
        </w:rPr>
        <w:t> -;</w:t>
      </w:r>
      <w:r w:rsidRPr="009118AB">
        <w:rPr>
          <w:i/>
          <w:iCs/>
        </w:rPr>
        <w:t xml:space="preserve"> </w:t>
      </w:r>
      <w:r w:rsidR="00D67EB8" w:rsidRPr="009118AB">
        <w:rPr>
          <w:i/>
          <w:iCs/>
        </w:rPr>
        <w:t>Abs. </w:t>
      </w:r>
      <w:r w:rsidRPr="009118AB">
        <w:rPr>
          <w:i/>
          <w:iCs/>
        </w:rPr>
        <w:t xml:space="preserve">3 eingefügt durch </w:t>
      </w:r>
      <w:r w:rsidR="00D67EB8" w:rsidRPr="009118AB">
        <w:rPr>
          <w:i/>
          <w:iCs/>
        </w:rPr>
        <w:t>Art. </w:t>
      </w:r>
      <w:r w:rsidRPr="009118AB">
        <w:rPr>
          <w:i/>
          <w:iCs/>
        </w:rPr>
        <w:t xml:space="preserve">22 </w:t>
      </w:r>
      <w:r w:rsidR="00D67EB8" w:rsidRPr="009118AB">
        <w:rPr>
          <w:i/>
          <w:iCs/>
        </w:rPr>
        <w:t>Nr. </w:t>
      </w:r>
      <w:r w:rsidRPr="009118AB">
        <w:rPr>
          <w:i/>
          <w:iCs/>
        </w:rPr>
        <w:t>2 des G. (II) vom 3. August 2016 (VI) (B.S. vom 16. August 2016)</w:t>
      </w:r>
      <w:r w:rsidR="00D67EB8" w:rsidRPr="009118AB">
        <w:rPr>
          <w:i/>
          <w:iCs/>
        </w:rPr>
        <w:t> - </w:t>
      </w:r>
      <w:r w:rsidRPr="009118AB">
        <w:rPr>
          <w:i/>
          <w:iCs/>
        </w:rPr>
        <w:t>in Kraft ab dem Steuerjahr 2018</w:t>
      </w:r>
      <w:r w:rsidR="00D67EB8" w:rsidRPr="009118AB">
        <w:rPr>
          <w:i/>
          <w:iCs/>
        </w:rPr>
        <w:t> - </w:t>
      </w:r>
      <w:r w:rsidR="00016024" w:rsidRPr="009118AB">
        <w:rPr>
          <w:i/>
          <w:iCs/>
        </w:rPr>
        <w:t xml:space="preserve">und ersetzt durch </w:t>
      </w:r>
      <w:r w:rsidR="00D67EB8" w:rsidRPr="009118AB">
        <w:rPr>
          <w:i/>
          <w:iCs/>
        </w:rPr>
        <w:t>Art. </w:t>
      </w:r>
      <w:r w:rsidR="00016024" w:rsidRPr="009118AB">
        <w:rPr>
          <w:i/>
          <w:iCs/>
        </w:rPr>
        <w:t>29 des G. vom 2. Mai 2019 (III) (B.S. vom 1</w:t>
      </w:r>
      <w:r w:rsidR="009B37FC" w:rsidRPr="009118AB">
        <w:rPr>
          <w:i/>
          <w:iCs/>
        </w:rPr>
        <w:t>5</w:t>
      </w:r>
      <w:r w:rsidR="00016024" w:rsidRPr="009118AB">
        <w:rPr>
          <w:i/>
          <w:iCs/>
        </w:rPr>
        <w:t>. Mai 2019)</w:t>
      </w:r>
      <w:r w:rsidR="00D67EB8" w:rsidRPr="009118AB">
        <w:rPr>
          <w:i/>
          <w:iCs/>
        </w:rPr>
        <w:t> - </w:t>
      </w:r>
      <w:r w:rsidR="00016024" w:rsidRPr="009118AB">
        <w:rPr>
          <w:i/>
          <w:iCs/>
        </w:rPr>
        <w:t>anwendbar auf die ab dem 1. Januar 2019 ergangenen Erlasse</w:t>
      </w:r>
      <w:r w:rsidR="00FD68E8" w:rsidRPr="009118AB">
        <w:rPr>
          <w:i/>
          <w:iCs/>
        </w:rPr>
        <w:t> -]</w:t>
      </w:r>
    </w:p>
    <w:p w14:paraId="77DF0CD9" w14:textId="77777777" w:rsidR="00555BD8" w:rsidRPr="009118AB" w:rsidRDefault="00555BD8" w:rsidP="00D15494">
      <w:pPr>
        <w:autoSpaceDE w:val="0"/>
        <w:autoSpaceDN w:val="0"/>
        <w:adjustRightInd w:val="0"/>
        <w:jc w:val="both"/>
      </w:pPr>
    </w:p>
    <w:p w14:paraId="42FCD904" w14:textId="77777777" w:rsidR="00856ADD" w:rsidRPr="009118AB" w:rsidRDefault="00856ADD" w:rsidP="00477B8F">
      <w:pPr>
        <w:autoSpaceDE w:val="0"/>
        <w:autoSpaceDN w:val="0"/>
        <w:adjustRightInd w:val="0"/>
        <w:jc w:val="both"/>
      </w:pPr>
    </w:p>
    <w:p w14:paraId="791E55C7" w14:textId="633E0525" w:rsidR="00555BD8" w:rsidRPr="009118AB" w:rsidRDefault="00477B8F" w:rsidP="00555BD8">
      <w:pPr>
        <w:autoSpaceDE w:val="0"/>
        <w:autoSpaceDN w:val="0"/>
        <w:adjustRightInd w:val="0"/>
        <w:jc w:val="both"/>
      </w:pPr>
      <w:r w:rsidRPr="009118AB">
        <w:tab/>
      </w:r>
      <w:r w:rsidR="00D67EB8" w:rsidRPr="009118AB">
        <w:rPr>
          <w:b/>
          <w:bCs/>
        </w:rPr>
        <w:t>Art. </w:t>
      </w:r>
      <w:r w:rsidRPr="009118AB">
        <w:rPr>
          <w:b/>
          <w:bCs/>
        </w:rPr>
        <w:t>163</w:t>
      </w:r>
      <w:r w:rsidR="00D67EB8" w:rsidRPr="009118AB">
        <w:t> - </w:t>
      </w:r>
      <w:r w:rsidR="00555BD8" w:rsidRPr="009118AB">
        <w:t xml:space="preserve">Keine Erhöhung wird geschuldet, wenn der gemäß den Artikeln 159 und 160 berechnete Betrag der Erhöhung niedriger als </w:t>
      </w:r>
      <w:r w:rsidR="00F55815" w:rsidRPr="009118AB">
        <w:t xml:space="preserve">[0,5 </w:t>
      </w:r>
      <w:r w:rsidR="00555BD8" w:rsidRPr="009118AB">
        <w:t>Prozent</w:t>
      </w:r>
      <w:r w:rsidR="00F55815" w:rsidRPr="009118AB">
        <w:t>]</w:t>
      </w:r>
      <w:r w:rsidR="00555BD8" w:rsidRPr="009118AB">
        <w:t xml:space="preserve"> der Steuer, auf deren Grundlage sie berechnet wird, oder als [5</w:t>
      </w:r>
      <w:r w:rsidR="00F55815" w:rsidRPr="009118AB">
        <w:t>0</w:t>
      </w:r>
      <w:r w:rsidR="00555BD8" w:rsidRPr="009118AB">
        <w:t> EUR] ist.</w:t>
      </w:r>
    </w:p>
    <w:p w14:paraId="1BCD9FA4" w14:textId="77777777" w:rsidR="00555BD8" w:rsidRPr="009118AB" w:rsidRDefault="00555BD8" w:rsidP="00555BD8">
      <w:pPr>
        <w:autoSpaceDE w:val="0"/>
        <w:autoSpaceDN w:val="0"/>
        <w:adjustRightInd w:val="0"/>
        <w:jc w:val="both"/>
      </w:pPr>
    </w:p>
    <w:p w14:paraId="3A72233B" w14:textId="51F99908" w:rsidR="00555BD8" w:rsidRPr="009118AB" w:rsidRDefault="00555BD8" w:rsidP="00555BD8">
      <w:pPr>
        <w:autoSpaceDE w:val="0"/>
        <w:autoSpaceDN w:val="0"/>
        <w:adjustRightInd w:val="0"/>
        <w:jc w:val="both"/>
      </w:pPr>
      <w:r w:rsidRPr="009118AB">
        <w:rPr>
          <w:i/>
          <w:iCs/>
        </w:rPr>
        <w:t>[</w:t>
      </w:r>
      <w:r w:rsidR="00D67EB8" w:rsidRPr="009118AB">
        <w:rPr>
          <w:i/>
          <w:iCs/>
        </w:rPr>
        <w:t>Art. </w:t>
      </w:r>
      <w:r w:rsidRPr="009118AB">
        <w:rPr>
          <w:i/>
          <w:iCs/>
        </w:rPr>
        <w:t xml:space="preserve">163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r w:rsidR="00F55815" w:rsidRPr="009118AB">
        <w:rPr>
          <w:i/>
          <w:iCs/>
        </w:rPr>
        <w:t xml:space="preserve"> und durch </w:t>
      </w:r>
      <w:r w:rsidR="00D67EB8" w:rsidRPr="009118AB">
        <w:rPr>
          <w:i/>
          <w:iCs/>
        </w:rPr>
        <w:t>Art. </w:t>
      </w:r>
      <w:r w:rsidR="00F55815" w:rsidRPr="009118AB">
        <w:rPr>
          <w:i/>
          <w:iCs/>
        </w:rPr>
        <w:t>23 des G. (II) vom 3. August 2016 (VI) (B.S. vom 16. August 2016)</w:t>
      </w:r>
      <w:r w:rsidR="00D67EB8" w:rsidRPr="009118AB">
        <w:rPr>
          <w:i/>
          <w:iCs/>
        </w:rPr>
        <w:t> - </w:t>
      </w:r>
      <w:r w:rsidR="00F55815" w:rsidRPr="009118AB">
        <w:rPr>
          <w:i/>
          <w:iCs/>
        </w:rPr>
        <w:t>in Kraft ab dem Steuerjahr 2018</w:t>
      </w:r>
      <w:r w:rsidR="00FD68E8" w:rsidRPr="009118AB">
        <w:rPr>
          <w:i/>
          <w:iCs/>
        </w:rPr>
        <w:t> -]</w:t>
      </w:r>
    </w:p>
    <w:p w14:paraId="47BE614E" w14:textId="77777777" w:rsidR="00555BD8" w:rsidRPr="009118AB" w:rsidRDefault="00555BD8" w:rsidP="00555BD8">
      <w:pPr>
        <w:autoSpaceDE w:val="0"/>
        <w:autoSpaceDN w:val="0"/>
        <w:adjustRightInd w:val="0"/>
        <w:jc w:val="both"/>
      </w:pPr>
    </w:p>
    <w:p w14:paraId="6DA7C320" w14:textId="77777777" w:rsidR="00477B8F" w:rsidRPr="009118AB" w:rsidRDefault="00477B8F" w:rsidP="00477B8F">
      <w:pPr>
        <w:autoSpaceDE w:val="0"/>
        <w:autoSpaceDN w:val="0"/>
        <w:adjustRightInd w:val="0"/>
        <w:jc w:val="both"/>
      </w:pPr>
    </w:p>
    <w:p w14:paraId="42934238" w14:textId="77777777" w:rsidR="00016024" w:rsidRPr="009118AB" w:rsidRDefault="00016024">
      <w:r w:rsidRPr="009118AB">
        <w:br w:type="page"/>
      </w:r>
    </w:p>
    <w:p w14:paraId="57F5A201" w14:textId="368F7C66" w:rsidR="00477B8F" w:rsidRPr="009118AB" w:rsidRDefault="00477B8F" w:rsidP="00477B8F">
      <w:pPr>
        <w:autoSpaceDE w:val="0"/>
        <w:autoSpaceDN w:val="0"/>
        <w:adjustRightInd w:val="0"/>
        <w:jc w:val="both"/>
      </w:pPr>
      <w:r w:rsidRPr="009118AB">
        <w:lastRenderedPageBreak/>
        <w:tab/>
      </w:r>
      <w:r w:rsidR="00D67EB8" w:rsidRPr="009118AB">
        <w:rPr>
          <w:b/>
          <w:bCs/>
        </w:rPr>
        <w:t>Art. </w:t>
      </w:r>
      <w:r w:rsidRPr="009118AB">
        <w:rPr>
          <w:b/>
          <w:bCs/>
        </w:rPr>
        <w:t>164</w:t>
      </w:r>
      <w:r w:rsidR="00D67EB8" w:rsidRPr="009118AB">
        <w:t> - </w:t>
      </w:r>
      <w:r w:rsidRPr="009118AB">
        <w:t xml:space="preserve">Keine Erhöhung wird auf die Steuer geschuldet, die sich auf Gewinne, Profite [und in Artikel 30 </w:t>
      </w:r>
      <w:r w:rsidR="00D67EB8" w:rsidRPr="009118AB">
        <w:t>Nr. </w:t>
      </w:r>
      <w:r w:rsidRPr="009118AB">
        <w:t>2 und 3 erwähnte Entlohnungen] bezieht, die in den drei ersten Jahren der Ausübung der Berufstätigkeit von Personen, [...] die erstmals einen selbständigen Beruf ausüben, erzielt werden. Das Jahr, in dem die Tätigkeit erstmals ausgeübt wird, wird als ganzes Jahr gezählt.</w:t>
      </w:r>
    </w:p>
    <w:p w14:paraId="0554D21D" w14:textId="77777777" w:rsidR="00477B8F" w:rsidRPr="009118AB" w:rsidRDefault="00477B8F" w:rsidP="00477B8F">
      <w:pPr>
        <w:autoSpaceDE w:val="0"/>
        <w:autoSpaceDN w:val="0"/>
        <w:adjustRightInd w:val="0"/>
        <w:jc w:val="both"/>
      </w:pPr>
    </w:p>
    <w:p w14:paraId="220D5C88" w14:textId="4FF9C28C"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164 abgeändert durch </w:t>
      </w:r>
      <w:r w:rsidR="00D67EB8" w:rsidRPr="009118AB">
        <w:rPr>
          <w:i/>
          <w:iCs/>
        </w:rPr>
        <w:t>Art. </w:t>
      </w:r>
      <w:r w:rsidRPr="009118AB">
        <w:rPr>
          <w:i/>
          <w:iCs/>
        </w:rPr>
        <w:t>48 des K.E. vom 20. Dezember 1996 (B.S. vom 31. Dezember 1996)</w:t>
      </w:r>
      <w:r w:rsidR="00D67EB8" w:rsidRPr="009118AB">
        <w:rPr>
          <w:i/>
          <w:iCs/>
        </w:rPr>
        <w:t> - </w:t>
      </w:r>
      <w:r w:rsidRPr="009118AB">
        <w:rPr>
          <w:i/>
          <w:iCs/>
        </w:rPr>
        <w:t>in Kraft ab dem Steuerjahr 1998</w:t>
      </w:r>
      <w:r w:rsidR="00FD68E8" w:rsidRPr="009118AB">
        <w:rPr>
          <w:i/>
          <w:iCs/>
        </w:rPr>
        <w:t> -,</w:t>
      </w:r>
      <w:r w:rsidRPr="009118AB">
        <w:rPr>
          <w:i/>
          <w:iCs/>
        </w:rPr>
        <w:t xml:space="preserve"> </w:t>
      </w:r>
      <w:r w:rsidR="00D67EB8" w:rsidRPr="009118AB">
        <w:rPr>
          <w:i/>
          <w:iCs/>
        </w:rPr>
        <w:t>Art. </w:t>
      </w:r>
      <w:r w:rsidRPr="009118AB">
        <w:rPr>
          <w:i/>
          <w:iCs/>
        </w:rPr>
        <w:t xml:space="preserve">2 des G. vom 6. Juli 1997 (I) (B.S. vom 11. Oktober 1997) und </w:t>
      </w:r>
      <w:r w:rsidR="00D67EB8" w:rsidRPr="009118AB">
        <w:rPr>
          <w:i/>
          <w:iCs/>
        </w:rPr>
        <w:t>Art. </w:t>
      </w:r>
      <w:r w:rsidRPr="009118AB">
        <w:rPr>
          <w:i/>
          <w:iCs/>
        </w:rPr>
        <w:t xml:space="preserve">27 des G. (I) vom 24. Dezember 2002 </w:t>
      </w:r>
      <w:r w:rsidR="00D86BCC" w:rsidRPr="009118AB">
        <w:rPr>
          <w:i/>
          <w:iCs/>
        </w:rPr>
        <w:t xml:space="preserve">(I) </w:t>
      </w:r>
      <w:r w:rsidRPr="009118AB">
        <w:rPr>
          <w:i/>
          <w:iCs/>
        </w:rPr>
        <w:t>(B.S. vom 31. Dezember 2002)</w:t>
      </w:r>
      <w:r w:rsidR="00D67EB8" w:rsidRPr="009118AB">
        <w:rPr>
          <w:i/>
          <w:iCs/>
        </w:rPr>
        <w:t> - </w:t>
      </w:r>
      <w:r w:rsidRPr="009118AB">
        <w:rPr>
          <w:i/>
          <w:iCs/>
        </w:rPr>
        <w:t>in Kraft ab dem Steuerjahr 2004</w:t>
      </w:r>
      <w:r w:rsidR="00FD68E8" w:rsidRPr="009118AB">
        <w:rPr>
          <w:i/>
          <w:iCs/>
        </w:rPr>
        <w:t> -]</w:t>
      </w:r>
    </w:p>
    <w:p w14:paraId="75A39782" w14:textId="77777777" w:rsidR="00477B8F" w:rsidRPr="009118AB" w:rsidRDefault="00477B8F" w:rsidP="00477B8F">
      <w:pPr>
        <w:autoSpaceDE w:val="0"/>
        <w:autoSpaceDN w:val="0"/>
        <w:adjustRightInd w:val="0"/>
        <w:jc w:val="both"/>
      </w:pPr>
    </w:p>
    <w:p w14:paraId="1FF848B8" w14:textId="77777777" w:rsidR="00477B8F" w:rsidRPr="009118AB" w:rsidRDefault="00477B8F" w:rsidP="00477B8F">
      <w:pPr>
        <w:autoSpaceDE w:val="0"/>
        <w:autoSpaceDN w:val="0"/>
        <w:adjustRightInd w:val="0"/>
        <w:jc w:val="both"/>
      </w:pPr>
    </w:p>
    <w:p w14:paraId="130A834D" w14:textId="3D14FCA7"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165</w:t>
      </w:r>
      <w:r w:rsidR="00D67EB8" w:rsidRPr="009118AB">
        <w:t> - </w:t>
      </w:r>
      <w:r w:rsidRPr="009118AB">
        <w:t xml:space="preserve">Für die Anwendung des vorliegenden Unterabschnitts beträgt </w:t>
      </w:r>
      <w:r w:rsidR="00601BC7" w:rsidRPr="009118AB">
        <w:t>[die Gesamtsteuer 106 Prozent].</w:t>
      </w:r>
    </w:p>
    <w:p w14:paraId="155BED41" w14:textId="77777777" w:rsidR="005A23EB" w:rsidRPr="009118AB" w:rsidRDefault="005A23EB" w:rsidP="00477B8F">
      <w:pPr>
        <w:autoSpaceDE w:val="0"/>
        <w:autoSpaceDN w:val="0"/>
        <w:adjustRightInd w:val="0"/>
        <w:jc w:val="both"/>
      </w:pPr>
    </w:p>
    <w:p w14:paraId="02A986A5" w14:textId="6BB55E3F" w:rsidR="00364376" w:rsidRPr="009118AB" w:rsidRDefault="00601BC7" w:rsidP="00477B8F">
      <w:pPr>
        <w:autoSpaceDE w:val="0"/>
        <w:autoSpaceDN w:val="0"/>
        <w:adjustRightInd w:val="0"/>
        <w:jc w:val="both"/>
        <w:rPr>
          <w:i/>
        </w:rPr>
      </w:pPr>
      <w:r w:rsidRPr="009118AB">
        <w:rPr>
          <w:i/>
        </w:rPr>
        <w:t>[</w:t>
      </w:r>
      <w:r w:rsidR="00D67EB8" w:rsidRPr="009118AB">
        <w:rPr>
          <w:i/>
        </w:rPr>
        <w:t>Art. </w:t>
      </w:r>
      <w:r w:rsidRPr="009118AB">
        <w:rPr>
          <w:i/>
        </w:rPr>
        <w:t xml:space="preserve">165 abgeändert durch </w:t>
      </w:r>
      <w:r w:rsidR="00D67EB8" w:rsidRPr="009118AB">
        <w:rPr>
          <w:i/>
        </w:rPr>
        <w:t>Art. </w:t>
      </w:r>
      <w:r w:rsidRPr="009118AB">
        <w:rPr>
          <w:i/>
        </w:rPr>
        <w:t>64 des G. vom 8. Mai</w:t>
      </w:r>
      <w:r w:rsidR="00B3148A" w:rsidRPr="009118AB">
        <w:rPr>
          <w:i/>
        </w:rPr>
        <w:t> 2014 (B.S. vom 28. Mai 2014)</w:t>
      </w:r>
      <w:r w:rsidR="00D67EB8" w:rsidRPr="009118AB">
        <w:rPr>
          <w:i/>
        </w:rPr>
        <w:t> - </w:t>
      </w:r>
      <w:r w:rsidRPr="009118AB">
        <w:rPr>
          <w:i/>
          <w:iCs/>
        </w:rPr>
        <w:t>anwendbar ab dem Steuerjahr 2015</w:t>
      </w:r>
      <w:r w:rsidR="00FD68E8" w:rsidRPr="009118AB">
        <w:rPr>
          <w:i/>
          <w:iCs/>
        </w:rPr>
        <w:t> -]</w:t>
      </w:r>
    </w:p>
    <w:p w14:paraId="3C9F2BFA" w14:textId="77777777" w:rsidR="00601BC7" w:rsidRPr="009118AB" w:rsidRDefault="00601BC7" w:rsidP="00477B8F">
      <w:pPr>
        <w:autoSpaceDE w:val="0"/>
        <w:autoSpaceDN w:val="0"/>
        <w:adjustRightInd w:val="0"/>
        <w:jc w:val="both"/>
      </w:pPr>
    </w:p>
    <w:p w14:paraId="4166ECF7" w14:textId="77777777" w:rsidR="00F55815" w:rsidRPr="009118AB" w:rsidRDefault="00F55815" w:rsidP="00477B8F">
      <w:pPr>
        <w:autoSpaceDE w:val="0"/>
        <w:autoSpaceDN w:val="0"/>
        <w:adjustRightInd w:val="0"/>
        <w:jc w:val="both"/>
      </w:pPr>
    </w:p>
    <w:p w14:paraId="249D93BA" w14:textId="09C27CBE" w:rsidR="00C353C9" w:rsidRPr="009118AB" w:rsidRDefault="00477B8F" w:rsidP="00C353C9">
      <w:pPr>
        <w:autoSpaceDE w:val="0"/>
        <w:autoSpaceDN w:val="0"/>
        <w:adjustRightInd w:val="0"/>
        <w:jc w:val="both"/>
      </w:pPr>
      <w:r w:rsidRPr="009118AB">
        <w:tab/>
      </w:r>
      <w:r w:rsidR="00D67EB8" w:rsidRPr="009118AB">
        <w:rPr>
          <w:b/>
          <w:bCs/>
        </w:rPr>
        <w:t>Art. </w:t>
      </w:r>
      <w:r w:rsidRPr="009118AB">
        <w:rPr>
          <w:b/>
          <w:bCs/>
        </w:rPr>
        <w:t>166</w:t>
      </w:r>
      <w:r w:rsidR="00D67EB8" w:rsidRPr="009118AB">
        <w:t> - </w:t>
      </w:r>
      <w:r w:rsidR="00C353C9" w:rsidRPr="009118AB">
        <w:t xml:space="preserve">[Für die Anwendung des vorliegenden Unterabschnitts umfassen Gewinne, Profite und in Artikel 30 </w:t>
      </w:r>
      <w:r w:rsidR="00D67EB8" w:rsidRPr="009118AB">
        <w:t>Nr. </w:t>
      </w:r>
      <w:r w:rsidR="00C353C9" w:rsidRPr="009118AB">
        <w:t>2 und 3 erwähnte Entlohnungen nicht:</w:t>
      </w:r>
    </w:p>
    <w:p w14:paraId="4C3911CC" w14:textId="77777777" w:rsidR="00C353C9" w:rsidRPr="009118AB" w:rsidRDefault="00C353C9" w:rsidP="00C353C9">
      <w:pPr>
        <w:jc w:val="both"/>
      </w:pPr>
    </w:p>
    <w:p w14:paraId="446CA709" w14:textId="77777777" w:rsidR="00C353C9" w:rsidRPr="009118AB" w:rsidRDefault="00C353C9" w:rsidP="00C353C9">
      <w:pPr>
        <w:jc w:val="both"/>
      </w:pPr>
      <w:r w:rsidRPr="009118AB">
        <w:tab/>
        <w:t>1. die Entschädigungen, die als vollständige Entschädigung oder Teilentschädigung für einen zeitweiligen Gewinn-, Lohn- oder Profitausfall bezogen werden,</w:t>
      </w:r>
    </w:p>
    <w:p w14:paraId="1750DBA4" w14:textId="77777777" w:rsidR="00C353C9" w:rsidRPr="009118AB" w:rsidRDefault="00C353C9" w:rsidP="00C353C9">
      <w:pPr>
        <w:jc w:val="both"/>
      </w:pPr>
    </w:p>
    <w:p w14:paraId="1406CE1D" w14:textId="77777777" w:rsidR="00477B8F" w:rsidRPr="009118AB" w:rsidRDefault="00C353C9" w:rsidP="00C353C9">
      <w:pPr>
        <w:autoSpaceDE w:val="0"/>
        <w:autoSpaceDN w:val="0"/>
        <w:adjustRightInd w:val="0"/>
        <w:jc w:val="both"/>
      </w:pPr>
      <w:r w:rsidRPr="009118AB">
        <w:tab/>
        <w:t>2. die Einkünfte, die gemäß Artikel 171 besteuert werden.]</w:t>
      </w:r>
    </w:p>
    <w:p w14:paraId="641DF677" w14:textId="77777777" w:rsidR="00C353C9" w:rsidRPr="009118AB" w:rsidRDefault="00C353C9" w:rsidP="00C353C9">
      <w:pPr>
        <w:autoSpaceDE w:val="0"/>
        <w:autoSpaceDN w:val="0"/>
        <w:adjustRightInd w:val="0"/>
        <w:jc w:val="both"/>
      </w:pPr>
    </w:p>
    <w:p w14:paraId="6C851B74" w14:textId="5D1589C7"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166 </w:t>
      </w:r>
      <w:r w:rsidR="00C353C9" w:rsidRPr="009118AB">
        <w:rPr>
          <w:i/>
          <w:iCs/>
        </w:rPr>
        <w:t xml:space="preserve">ersetzt durch </w:t>
      </w:r>
      <w:r w:rsidR="00D67EB8" w:rsidRPr="009118AB">
        <w:rPr>
          <w:i/>
          <w:iCs/>
        </w:rPr>
        <w:t>Art. </w:t>
      </w:r>
      <w:r w:rsidR="00C353C9" w:rsidRPr="009118AB">
        <w:rPr>
          <w:i/>
          <w:iCs/>
        </w:rPr>
        <w:t>65</w:t>
      </w:r>
      <w:r w:rsidR="00C353C9" w:rsidRPr="009118AB">
        <w:rPr>
          <w:i/>
        </w:rPr>
        <w:t xml:space="preserve"> des G. vom 8. Mai 2014 (B.S. vom 28. Mai 2014)</w:t>
      </w:r>
      <w:r w:rsidR="00D67EB8" w:rsidRPr="009118AB">
        <w:rPr>
          <w:i/>
        </w:rPr>
        <w:t> - </w:t>
      </w:r>
      <w:r w:rsidR="00C353C9" w:rsidRPr="009118AB">
        <w:rPr>
          <w:i/>
          <w:iCs/>
        </w:rPr>
        <w:t>anwendbar ab dem Steuerjahr 2015</w:t>
      </w:r>
      <w:r w:rsidR="00FD68E8" w:rsidRPr="009118AB">
        <w:rPr>
          <w:i/>
          <w:iCs/>
        </w:rPr>
        <w:t> -]</w:t>
      </w:r>
    </w:p>
    <w:p w14:paraId="497B2461" w14:textId="77777777" w:rsidR="00477B8F" w:rsidRPr="009118AB" w:rsidRDefault="00477B8F" w:rsidP="00477B8F">
      <w:pPr>
        <w:autoSpaceDE w:val="0"/>
        <w:autoSpaceDN w:val="0"/>
        <w:adjustRightInd w:val="0"/>
        <w:jc w:val="both"/>
      </w:pPr>
    </w:p>
    <w:p w14:paraId="142F852B" w14:textId="77777777" w:rsidR="00477B8F" w:rsidRPr="009118AB" w:rsidRDefault="00477B8F" w:rsidP="00477B8F">
      <w:pPr>
        <w:autoSpaceDE w:val="0"/>
        <w:autoSpaceDN w:val="0"/>
        <w:adjustRightInd w:val="0"/>
        <w:jc w:val="both"/>
      </w:pPr>
    </w:p>
    <w:p w14:paraId="7E14739F" w14:textId="1191906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167</w:t>
      </w:r>
      <w:r w:rsidR="00D67EB8" w:rsidRPr="009118AB">
        <w:t> - </w:t>
      </w:r>
      <w:r w:rsidRPr="009118AB">
        <w:t>Der König bestimmt Bedingungen und Modalitäten zur Ausführung der Artikel 157 bis 166 und legt diejenigen fest, die zur Vermeidung des Verfalls von den Steuerpflichtigen eingehalten werden müssen.</w:t>
      </w:r>
    </w:p>
    <w:p w14:paraId="71A49305" w14:textId="77777777" w:rsidR="00477B8F" w:rsidRPr="009118AB" w:rsidRDefault="00477B8F" w:rsidP="00477B8F">
      <w:pPr>
        <w:autoSpaceDE w:val="0"/>
        <w:autoSpaceDN w:val="0"/>
        <w:adjustRightInd w:val="0"/>
        <w:jc w:val="both"/>
      </w:pPr>
    </w:p>
    <w:p w14:paraId="51A9152F" w14:textId="6FC7A599" w:rsidR="00477B8F" w:rsidRPr="009118AB" w:rsidRDefault="00477B8F" w:rsidP="00477B8F">
      <w:pPr>
        <w:autoSpaceDE w:val="0"/>
        <w:autoSpaceDN w:val="0"/>
        <w:adjustRightInd w:val="0"/>
        <w:jc w:val="both"/>
      </w:pPr>
      <w:r w:rsidRPr="009118AB">
        <w:tab/>
        <w:t xml:space="preserve">Er bestimmt ebenfalls die besonderen Regeln, die anwendbar sind, wenn Gewinne, Profite oder [in Artikel 30 </w:t>
      </w:r>
      <w:r w:rsidR="00D67EB8" w:rsidRPr="009118AB">
        <w:t>Nr. </w:t>
      </w:r>
      <w:r w:rsidRPr="009118AB">
        <w:t>2 und 3 erwähnte Entlohnungen] sich entweder auf einen kürzeren oder längeren Zeitraum als zwölf Monate oder auf ein Geschäftsjahr, das an einem anderen Datum als dem 31. Dezember abgeschlossen wird, oder auf eine saisonbedingte Tätigkeit beziehen.</w:t>
      </w:r>
    </w:p>
    <w:p w14:paraId="5E9E9B57" w14:textId="77777777" w:rsidR="00477B8F" w:rsidRPr="009118AB" w:rsidRDefault="00477B8F" w:rsidP="00477B8F">
      <w:pPr>
        <w:autoSpaceDE w:val="0"/>
        <w:autoSpaceDN w:val="0"/>
        <w:adjustRightInd w:val="0"/>
        <w:jc w:val="both"/>
      </w:pPr>
    </w:p>
    <w:p w14:paraId="05BA4EB2" w14:textId="05B72E08"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167 </w:t>
      </w:r>
      <w:r w:rsidR="00D67EB8" w:rsidRPr="009118AB">
        <w:rPr>
          <w:i/>
          <w:iCs/>
        </w:rPr>
        <w:t>Abs. </w:t>
      </w:r>
      <w:r w:rsidRPr="009118AB">
        <w:rPr>
          <w:i/>
          <w:iCs/>
        </w:rPr>
        <w:t xml:space="preserve">2 abgeändert durch </w:t>
      </w:r>
      <w:r w:rsidR="00D67EB8" w:rsidRPr="009118AB">
        <w:rPr>
          <w:i/>
          <w:iCs/>
        </w:rPr>
        <w:t>Art. </w:t>
      </w:r>
      <w:r w:rsidRPr="009118AB">
        <w:rPr>
          <w:i/>
          <w:iCs/>
        </w:rPr>
        <w:t>48 des K.E. vom 20. Dezember 1996 (B.S. vom 31. Dezember 1996)</w:t>
      </w:r>
      <w:r w:rsidR="00D67EB8" w:rsidRPr="009118AB">
        <w:rPr>
          <w:i/>
          <w:iCs/>
        </w:rPr>
        <w:t> - </w:t>
      </w:r>
      <w:r w:rsidRPr="009118AB">
        <w:rPr>
          <w:i/>
          <w:iCs/>
        </w:rPr>
        <w:t>in Kraft ab dem Steuerjahr 1998</w:t>
      </w:r>
      <w:r w:rsidR="00D67EB8" w:rsidRPr="009118AB">
        <w:rPr>
          <w:i/>
          <w:iCs/>
        </w:rPr>
        <w:t> - </w:t>
      </w:r>
      <w:r w:rsidRPr="009118AB">
        <w:rPr>
          <w:i/>
          <w:iCs/>
        </w:rPr>
        <w:t xml:space="preserve">und </w:t>
      </w:r>
      <w:r w:rsidR="00D67EB8" w:rsidRPr="009118AB">
        <w:rPr>
          <w:i/>
          <w:iCs/>
        </w:rPr>
        <w:t>Art. </w:t>
      </w:r>
      <w:r w:rsidRPr="009118AB">
        <w:rPr>
          <w:i/>
          <w:iCs/>
        </w:rPr>
        <w:t xml:space="preserve">29 des G. (I) vom 24. Dezember 2002 </w:t>
      </w:r>
      <w:r w:rsidR="00D86BCC" w:rsidRPr="009118AB">
        <w:rPr>
          <w:i/>
          <w:iCs/>
        </w:rPr>
        <w:t xml:space="preserve">(I) </w:t>
      </w:r>
      <w:r w:rsidRPr="009118AB">
        <w:rPr>
          <w:i/>
          <w:iCs/>
        </w:rPr>
        <w:t>(B.S. vom 31. Dezember 2002)</w:t>
      </w:r>
      <w:r w:rsidR="00D67EB8" w:rsidRPr="009118AB">
        <w:rPr>
          <w:i/>
          <w:iCs/>
        </w:rPr>
        <w:t> - </w:t>
      </w:r>
      <w:r w:rsidRPr="009118AB">
        <w:rPr>
          <w:i/>
          <w:iCs/>
        </w:rPr>
        <w:t>in Kraft ab dem Steuerjahr 2004</w:t>
      </w:r>
      <w:r w:rsidR="00FD68E8" w:rsidRPr="009118AB">
        <w:rPr>
          <w:i/>
          <w:iCs/>
        </w:rPr>
        <w:t> -]</w:t>
      </w:r>
    </w:p>
    <w:p w14:paraId="5769C054" w14:textId="77777777" w:rsidR="00477B8F" w:rsidRPr="009118AB" w:rsidRDefault="00477B8F" w:rsidP="00477B8F">
      <w:pPr>
        <w:autoSpaceDE w:val="0"/>
        <w:autoSpaceDN w:val="0"/>
        <w:adjustRightInd w:val="0"/>
        <w:jc w:val="both"/>
      </w:pPr>
    </w:p>
    <w:p w14:paraId="0F04432A" w14:textId="77777777" w:rsidR="00477B8F" w:rsidRPr="009118AB" w:rsidRDefault="00477B8F" w:rsidP="00477B8F">
      <w:pPr>
        <w:autoSpaceDE w:val="0"/>
        <w:autoSpaceDN w:val="0"/>
        <w:adjustRightInd w:val="0"/>
        <w:jc w:val="both"/>
      </w:pPr>
    </w:p>
    <w:p w14:paraId="31C085E1" w14:textId="10A9707D" w:rsidR="003D5A67" w:rsidRPr="009118AB" w:rsidRDefault="00477B8F" w:rsidP="00477B8F">
      <w:pPr>
        <w:autoSpaceDE w:val="0"/>
        <w:autoSpaceDN w:val="0"/>
        <w:adjustRightInd w:val="0"/>
        <w:jc w:val="both"/>
      </w:pPr>
      <w:r w:rsidRPr="009118AB">
        <w:tab/>
      </w:r>
      <w:r w:rsidR="00D67EB8" w:rsidRPr="009118AB">
        <w:rPr>
          <w:b/>
          <w:bCs/>
        </w:rPr>
        <w:t>Art. </w:t>
      </w:r>
      <w:r w:rsidRPr="009118AB">
        <w:rPr>
          <w:b/>
          <w:bCs/>
        </w:rPr>
        <w:t>168</w:t>
      </w:r>
      <w:r w:rsidR="00D67EB8" w:rsidRPr="009118AB">
        <w:t> - </w:t>
      </w:r>
      <w:r w:rsidRPr="009118AB">
        <w:t>Der König kann ganz oder teilweise von der Erhöhung absehen, wenn die Steuervorauszahlung gemäß Modalitäten, unter Bedingungen und in Fristen, die Er festlegt, erfolgt.</w:t>
      </w:r>
    </w:p>
    <w:p w14:paraId="41DCE846" w14:textId="77777777" w:rsidR="003D5A67" w:rsidRPr="009118AB" w:rsidRDefault="003D5A67">
      <w:r w:rsidRPr="009118AB">
        <w:br w:type="page"/>
      </w:r>
    </w:p>
    <w:p w14:paraId="52C78F9C" w14:textId="5F10C054" w:rsidR="003D5A67" w:rsidRPr="009118AB" w:rsidRDefault="003D5A67" w:rsidP="003D5A67">
      <w:pPr>
        <w:autoSpaceDE w:val="0"/>
        <w:autoSpaceDN w:val="0"/>
        <w:adjustRightInd w:val="0"/>
        <w:jc w:val="center"/>
      </w:pPr>
      <w:r w:rsidRPr="009118AB">
        <w:lastRenderedPageBreak/>
        <w:t>[Unterabschnitt 6</w:t>
      </w:r>
      <w:r w:rsidR="00D67EB8" w:rsidRPr="009118AB">
        <w:t> - </w:t>
      </w:r>
      <w:r w:rsidRPr="009118AB">
        <w:t>Erhöhung bei Überschreitung der Beihilfehöchstintensität infolge des rückwirkenden Abzugs von beruflichen Verlusten]</w:t>
      </w:r>
    </w:p>
    <w:p w14:paraId="4CDD26C4" w14:textId="77777777" w:rsidR="003D5A67" w:rsidRPr="009118AB" w:rsidRDefault="003D5A67" w:rsidP="003D5A67">
      <w:pPr>
        <w:autoSpaceDE w:val="0"/>
        <w:autoSpaceDN w:val="0"/>
        <w:adjustRightInd w:val="0"/>
        <w:jc w:val="center"/>
      </w:pPr>
    </w:p>
    <w:p w14:paraId="5B2517E6" w14:textId="0AB6518B" w:rsidR="003D5A67" w:rsidRPr="009118AB" w:rsidRDefault="003D5A67" w:rsidP="003D5A67">
      <w:pPr>
        <w:autoSpaceDE w:val="0"/>
        <w:autoSpaceDN w:val="0"/>
        <w:adjustRightInd w:val="0"/>
        <w:jc w:val="both"/>
        <w:rPr>
          <w:spacing w:val="-2"/>
        </w:rPr>
      </w:pPr>
      <w:r w:rsidRPr="009118AB">
        <w:rPr>
          <w:i/>
          <w:iCs/>
        </w:rPr>
        <w:t xml:space="preserve">[Unterteilung Unterabschnitt 6 eingefügt durch </w:t>
      </w:r>
      <w:r w:rsidR="00D67EB8" w:rsidRPr="009118AB">
        <w:rPr>
          <w:i/>
          <w:iCs/>
        </w:rPr>
        <w:t>Art. </w:t>
      </w:r>
      <w:r w:rsidRPr="009118AB">
        <w:rPr>
          <w:i/>
          <w:iCs/>
        </w:rPr>
        <w:t>87</w:t>
      </w:r>
      <w:r w:rsidRPr="009118AB">
        <w:rPr>
          <w:i/>
          <w:iCs/>
          <w:spacing w:val="-2"/>
        </w:rPr>
        <w:t xml:space="preserve"> des G. vom 11. Februar 2019 (B.S. vom 22. März 2020)</w:t>
      </w:r>
      <w:r w:rsidR="00D67EB8" w:rsidRPr="009118AB">
        <w:rPr>
          <w:i/>
          <w:iCs/>
          <w:spacing w:val="-2"/>
        </w:rPr>
        <w:t> - </w:t>
      </w:r>
      <w:r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p>
    <w:p w14:paraId="3912C592" w14:textId="77777777" w:rsidR="003D5A67" w:rsidRPr="009118AB" w:rsidRDefault="003D5A67" w:rsidP="003D5A67">
      <w:pPr>
        <w:autoSpaceDE w:val="0"/>
        <w:autoSpaceDN w:val="0"/>
        <w:adjustRightInd w:val="0"/>
        <w:jc w:val="both"/>
        <w:rPr>
          <w:spacing w:val="-2"/>
        </w:rPr>
      </w:pPr>
    </w:p>
    <w:p w14:paraId="203244E9" w14:textId="77777777" w:rsidR="003D5A67" w:rsidRPr="009118AB" w:rsidRDefault="003D5A67" w:rsidP="003D5A67">
      <w:pPr>
        <w:autoSpaceDE w:val="0"/>
        <w:autoSpaceDN w:val="0"/>
        <w:adjustRightInd w:val="0"/>
        <w:jc w:val="both"/>
        <w:rPr>
          <w:spacing w:val="-2"/>
        </w:rPr>
      </w:pPr>
    </w:p>
    <w:p w14:paraId="438A7470" w14:textId="002F399C" w:rsidR="003D5A67" w:rsidRPr="009118AB" w:rsidRDefault="003D5A67" w:rsidP="003D5A67">
      <w:pPr>
        <w:jc w:val="both"/>
      </w:pPr>
      <w:r w:rsidRPr="009118AB">
        <w:rPr>
          <w:spacing w:val="-2"/>
        </w:rPr>
        <w:tab/>
        <w:t>[</w:t>
      </w:r>
      <w:r w:rsidR="00D67EB8" w:rsidRPr="009118AB">
        <w:rPr>
          <w:b/>
          <w:bCs/>
        </w:rPr>
        <w:t>Art. </w:t>
      </w:r>
      <w:r w:rsidRPr="009118AB">
        <w:rPr>
          <w:b/>
          <w:bCs/>
        </w:rPr>
        <w:t>168/1</w:t>
      </w:r>
      <w:r w:rsidR="00D67EB8" w:rsidRPr="009118AB">
        <w:t> - § </w:t>
      </w:r>
      <w:r w:rsidRPr="009118AB">
        <w:t>1</w:t>
      </w:r>
      <w:r w:rsidR="00D67EB8" w:rsidRPr="009118AB">
        <w:t> - </w:t>
      </w:r>
      <w:r w:rsidRPr="009118AB">
        <w:t>Wenn ein Steuerpflichtiger für den rückwirkenden Abzug von beruf</w:t>
      </w:r>
      <w:r w:rsidRPr="009118AB">
        <w:softHyphen/>
        <w:t xml:space="preserve">lichen Verlusten in Anwendung von Artikel 78 </w:t>
      </w:r>
      <w:r w:rsidR="00D67EB8" w:rsidRPr="009118AB">
        <w:t>§ </w:t>
      </w:r>
      <w:r w:rsidRPr="009118AB">
        <w:t xml:space="preserve">2 optiert hat und infolge dieses Abzugs der Steuerüberschuss in Anwendung von Artikel 375/1 von Rechts wegen nachgelassen wird, wird die Gesamtsteuer des Besteuerungszeitraums, für den die in </w:t>
      </w:r>
      <w:r w:rsidR="00D67EB8" w:rsidRPr="009118AB">
        <w:t>§ </w:t>
      </w:r>
      <w:r w:rsidRPr="009118AB">
        <w:t xml:space="preserve">2 beschriebene alternative Berechnung gemäß Absatz 2 desselben Paragraphen zuletzt vorgenommen worden ist, um den gemäß </w:t>
      </w:r>
      <w:r w:rsidR="00D67EB8" w:rsidRPr="009118AB">
        <w:t>§ </w:t>
      </w:r>
      <w:r w:rsidRPr="009118AB">
        <w:t>3 festgelegten Betrag erhöht.</w:t>
      </w:r>
    </w:p>
    <w:p w14:paraId="31A1C5B4" w14:textId="77777777" w:rsidR="003D5A67" w:rsidRPr="009118AB" w:rsidRDefault="003D5A67" w:rsidP="003D5A67">
      <w:pPr>
        <w:jc w:val="both"/>
      </w:pPr>
    </w:p>
    <w:p w14:paraId="262A5C24" w14:textId="5AD5CDE9" w:rsidR="003D5A67" w:rsidRPr="009118AB" w:rsidRDefault="003D5A67" w:rsidP="003D5A67">
      <w:pPr>
        <w:jc w:val="both"/>
      </w:pPr>
      <w:r w:rsidRPr="009118AB">
        <w:tab/>
      </w:r>
      <w:r w:rsidR="00D67EB8" w:rsidRPr="009118AB">
        <w:t>§ </w:t>
      </w:r>
      <w:r w:rsidRPr="009118AB">
        <w:t>2</w:t>
      </w:r>
      <w:r w:rsidR="00D67EB8" w:rsidRPr="009118AB">
        <w:t> - </w:t>
      </w:r>
      <w:r w:rsidRPr="009118AB">
        <w:t>Wenn ein Steuerpflichtiger für den rückwirkenden Abzug von beruflichen Ver</w:t>
      </w:r>
      <w:r w:rsidRPr="009118AB">
        <w:softHyphen/>
        <w:t xml:space="preserve">lusten in Anwendung von Artikel 78 </w:t>
      </w:r>
      <w:r w:rsidR="00D67EB8" w:rsidRPr="009118AB">
        <w:t>§ </w:t>
      </w:r>
      <w:r w:rsidRPr="009118AB">
        <w:t xml:space="preserve">2 optiert hat, werden alternative Berechnungen der vom Steuerpflichtigen geschuldeten Steuer vorgenommen, wobei diese Steuer jeweils so bestimmt wird, als ob der Steuerpflichtige nicht für den rückwirkenden Verlustabzug optiert hätte, wobei die beruflichen Verluste, die tatsächlich von den Berufseinkünften der drei vorherigen Besteuerungszeiträume abgezogen worden sind, gemäß Artikel 78 </w:t>
      </w:r>
      <w:r w:rsidR="00D67EB8" w:rsidRPr="009118AB">
        <w:t>§ </w:t>
      </w:r>
      <w:r w:rsidRPr="009118AB">
        <w:t>1 nacheinander von den Berufseinkünften der folgenden Besteuerungszeiträume abgezogen werden.</w:t>
      </w:r>
    </w:p>
    <w:p w14:paraId="421D8B13" w14:textId="77777777" w:rsidR="003D5A67" w:rsidRPr="009118AB" w:rsidRDefault="003D5A67" w:rsidP="003D5A67">
      <w:pPr>
        <w:jc w:val="both"/>
      </w:pPr>
    </w:p>
    <w:p w14:paraId="026D2203" w14:textId="07F1D97C" w:rsidR="003D5A67" w:rsidRPr="009118AB" w:rsidRDefault="003D5A67" w:rsidP="003D5A67">
      <w:pPr>
        <w:jc w:val="both"/>
      </w:pPr>
      <w:r w:rsidRPr="009118AB">
        <w:tab/>
        <w:t xml:space="preserve">Die alternative Berechnung wird für jeden Besteuerungszeitraum ab dem dritten Besteuerungszeitraum vorgenommen, der dem Besteuerungszeitraum vorangeht, in dem die in Artikel 78 </w:t>
      </w:r>
      <w:r w:rsidR="00D67EB8" w:rsidRPr="009118AB">
        <w:t>§ </w:t>
      </w:r>
      <w:r w:rsidRPr="009118AB">
        <w:t>2 erwähnten Schäden definitiv festgestellt sind, bis zum Besteuerungszeitraum, in dem:</w:t>
      </w:r>
    </w:p>
    <w:p w14:paraId="2FBE72DB" w14:textId="77777777" w:rsidR="003D5A67" w:rsidRPr="009118AB" w:rsidRDefault="003D5A67" w:rsidP="003D5A67">
      <w:pPr>
        <w:jc w:val="both"/>
      </w:pPr>
    </w:p>
    <w:p w14:paraId="38490404" w14:textId="77777777" w:rsidR="003D5A67" w:rsidRPr="009118AB" w:rsidRDefault="003D5A67" w:rsidP="003D5A67">
      <w:pPr>
        <w:jc w:val="both"/>
      </w:pPr>
      <w:r w:rsidRPr="009118AB">
        <w:tab/>
        <w:t>- entweder der kumulierte Betrag der beruflichen Verluste, die in den alternativen Berechnungen gemäß Artikel 78 abgezogen werden, dem Betrag der beruflichen Verluste entspricht, die in demselben Besteuerungszeitraum in Anwendung von Artikel 78 tatsächlich von den Berufseinkünften abgezogen worden sind,</w:t>
      </w:r>
    </w:p>
    <w:p w14:paraId="642BF0BB" w14:textId="77777777" w:rsidR="003D5A67" w:rsidRPr="009118AB" w:rsidRDefault="003D5A67" w:rsidP="003D5A67">
      <w:pPr>
        <w:jc w:val="both"/>
      </w:pPr>
    </w:p>
    <w:p w14:paraId="04BF29A0" w14:textId="77777777" w:rsidR="003D5A67" w:rsidRPr="009118AB" w:rsidRDefault="003D5A67" w:rsidP="003D5A67">
      <w:pPr>
        <w:jc w:val="both"/>
      </w:pPr>
      <w:r w:rsidRPr="009118AB">
        <w:tab/>
        <w:t>- oder die landwirtschaftliche Tätigkeit eingestellt wird.</w:t>
      </w:r>
    </w:p>
    <w:p w14:paraId="34ACA3FC" w14:textId="77777777" w:rsidR="003D5A67" w:rsidRPr="009118AB" w:rsidRDefault="003D5A67" w:rsidP="003D5A67">
      <w:pPr>
        <w:jc w:val="both"/>
      </w:pPr>
    </w:p>
    <w:p w14:paraId="5E1BD19D" w14:textId="2F1097FF" w:rsidR="003D5A67" w:rsidRPr="009118AB" w:rsidRDefault="003D5A67" w:rsidP="003D5A67">
      <w:pPr>
        <w:jc w:val="both"/>
      </w:pPr>
      <w:r w:rsidRPr="009118AB">
        <w:tab/>
      </w:r>
      <w:r w:rsidR="00D67EB8" w:rsidRPr="009118AB">
        <w:t>§ </w:t>
      </w:r>
      <w:r w:rsidRPr="009118AB">
        <w:t>3</w:t>
      </w:r>
      <w:r w:rsidR="00D67EB8" w:rsidRPr="009118AB">
        <w:t> - </w:t>
      </w:r>
      <w:r w:rsidRPr="009118AB">
        <w:t>Die Erhöhung entspricht der Plusdifferenz zwischen:</w:t>
      </w:r>
    </w:p>
    <w:p w14:paraId="6C45506B" w14:textId="77777777" w:rsidR="003D5A67" w:rsidRPr="009118AB" w:rsidRDefault="003D5A67" w:rsidP="003D5A67">
      <w:pPr>
        <w:jc w:val="both"/>
      </w:pPr>
    </w:p>
    <w:p w14:paraId="3A2B17A7" w14:textId="365C7DA2" w:rsidR="003D5A67" w:rsidRPr="009118AB" w:rsidRDefault="003D5A67" w:rsidP="003D5A67">
      <w:pPr>
        <w:jc w:val="both"/>
      </w:pPr>
      <w:r w:rsidRPr="009118AB">
        <w:tab/>
        <w:t>- dem Bruttosubventionsäquivalent des Vorteils, der mit dem gemäß Artikel 375/1 infolge des rückwirkenden Abzugs von beruflichen Verlusten angewandten Nachlass ver</w:t>
      </w:r>
      <w:r w:rsidRPr="009118AB">
        <w:softHyphen/>
        <w:t xml:space="preserve">bunden ist, berechnet auf der Grundlage der Differenz zwischen den reellen Berechnungen der Steuer und den gemäß </w:t>
      </w:r>
      <w:r w:rsidR="00D67EB8" w:rsidRPr="009118AB">
        <w:t>§ </w:t>
      </w:r>
      <w:r w:rsidRPr="009118AB">
        <w:t>2 vorgenommenen alternativen Berechnungen der Steuer und</w:t>
      </w:r>
    </w:p>
    <w:p w14:paraId="22372209" w14:textId="77777777" w:rsidR="003D5A67" w:rsidRPr="009118AB" w:rsidRDefault="003D5A67" w:rsidP="003D5A67">
      <w:pPr>
        <w:jc w:val="both"/>
      </w:pPr>
    </w:p>
    <w:p w14:paraId="382167DF" w14:textId="77777777" w:rsidR="003D5A67" w:rsidRPr="009118AB" w:rsidRDefault="003D5A67" w:rsidP="003D5A67">
      <w:pPr>
        <w:jc w:val="both"/>
      </w:pPr>
      <w:r w:rsidRPr="009118AB">
        <w:tab/>
        <w:t>- dem Schadensbetrag, der im Verhältnis zur verfügbaren Beihilfeintensität begrenzt ist.</w:t>
      </w:r>
    </w:p>
    <w:p w14:paraId="749A9D1E" w14:textId="77777777" w:rsidR="003D5A67" w:rsidRPr="009118AB" w:rsidRDefault="003D5A67" w:rsidP="003D5A67">
      <w:pPr>
        <w:jc w:val="both"/>
      </w:pPr>
    </w:p>
    <w:p w14:paraId="6A8A7032" w14:textId="6E4345DC" w:rsidR="003D5A67" w:rsidRPr="009118AB" w:rsidRDefault="003D5A67" w:rsidP="003D5A67">
      <w:pPr>
        <w:jc w:val="both"/>
      </w:pPr>
      <w:r w:rsidRPr="009118AB">
        <w:tab/>
        <w:t xml:space="preserve">Für die Anwendung von Absatz 1 versteht man unter verfügbarer Beihilfeintensität die Beihilfehöchstintensität wie in Artikel 25 der Verordnung (EU) </w:t>
      </w:r>
      <w:r w:rsidR="00D67EB8" w:rsidRPr="009118AB">
        <w:t>Nr. </w:t>
      </w:r>
      <w:r w:rsidRPr="009118AB">
        <w:t xml:space="preserve">702/2014 der Kommission vom 25. Juni 2004 zur Feststellung der Vereinbarkeit bestimmter Arten von Beihilfen im Agrar- und Forstsektor und in ländlichen Gebieten mit dem Binnenmarkt in Anwendung der Artikel 107 und 108 des Vertrags über die Arbeitsweise der Europäischen Union beschrieben, </w:t>
      </w:r>
      <w:r w:rsidRPr="009118AB">
        <w:lastRenderedPageBreak/>
        <w:t>gegebenenfalls abzüglich der Beihilfeintensität der Regionalbeihilfe, die als Ausgleich für d</w:t>
      </w:r>
      <w:r w:rsidR="00E951F6" w:rsidRPr="009118AB">
        <w:t xml:space="preserve">ie in den Artikeln 76 </w:t>
      </w:r>
      <w:r w:rsidR="00D67EB8" w:rsidRPr="009118AB">
        <w:t>§ </w:t>
      </w:r>
      <w:r w:rsidR="00E951F6" w:rsidRPr="009118AB">
        <w:t xml:space="preserve">2 oder </w:t>
      </w:r>
      <w:r w:rsidRPr="009118AB">
        <w:t xml:space="preserve">206 </w:t>
      </w:r>
      <w:r w:rsidR="00D67EB8" w:rsidRPr="009118AB">
        <w:t>§ </w:t>
      </w:r>
      <w:r w:rsidRPr="009118AB">
        <w:t>4 erwähnten Schäden gewährt wird.</w:t>
      </w:r>
    </w:p>
    <w:p w14:paraId="5BFF285F" w14:textId="77777777" w:rsidR="003D5A67" w:rsidRPr="009118AB" w:rsidRDefault="003D5A67" w:rsidP="003D5A67">
      <w:pPr>
        <w:jc w:val="both"/>
      </w:pPr>
    </w:p>
    <w:p w14:paraId="66BCA82A" w14:textId="6CC4420B" w:rsidR="003D5A67" w:rsidRPr="009118AB" w:rsidRDefault="003D5A67" w:rsidP="003D5A67">
      <w:pPr>
        <w:autoSpaceDE w:val="0"/>
        <w:autoSpaceDN w:val="0"/>
        <w:adjustRightInd w:val="0"/>
        <w:jc w:val="both"/>
        <w:rPr>
          <w:spacing w:val="-2"/>
        </w:rPr>
      </w:pPr>
      <w:r w:rsidRPr="009118AB">
        <w:tab/>
      </w:r>
      <w:r w:rsidR="00D67EB8" w:rsidRPr="009118AB">
        <w:t>§ </w:t>
      </w:r>
      <w:r w:rsidRPr="009118AB">
        <w:t>4</w:t>
      </w:r>
      <w:r w:rsidR="00D67EB8" w:rsidRPr="009118AB">
        <w:t> - </w:t>
      </w:r>
      <w:r w:rsidRPr="009118AB">
        <w:t xml:space="preserve">Der König legt die Modalitäten für die Bestimmung des in </w:t>
      </w:r>
      <w:r w:rsidR="00D67EB8" w:rsidRPr="009118AB">
        <w:t>§ </w:t>
      </w:r>
      <w:r w:rsidRPr="009118AB">
        <w:t xml:space="preserve">3 erwähnten Bruttosubventionsäquivalents des Vorteils, der mit dem gemäß Artikel 375/1 infolge des rückwirkenden Abzugs von beruflichen Verlusten angewandten Nachlass verbunden ist, und des in </w:t>
      </w:r>
      <w:r w:rsidR="00D67EB8" w:rsidRPr="009118AB">
        <w:t>§ </w:t>
      </w:r>
      <w:r w:rsidRPr="009118AB">
        <w:t>3 erwähnten Betrags der Erhöhung fest. Dieses Bruttosubventionsäquivalent und diese Erhöhung werden in Anwendung der einschlägigen Bestimmungen der vorerwähnten Verord</w:t>
      </w:r>
      <w:r w:rsidRPr="009118AB">
        <w:softHyphen/>
        <w:t xml:space="preserve">nung (EU) </w:t>
      </w:r>
      <w:r w:rsidR="00D67EB8" w:rsidRPr="009118AB">
        <w:t>Nr. </w:t>
      </w:r>
      <w:r w:rsidRPr="009118AB">
        <w:t>702/2014 und anderer einschlägiger Bestimmungen europäischen Rechts bestimmt.</w:t>
      </w:r>
      <w:r w:rsidRPr="009118AB">
        <w:rPr>
          <w:spacing w:val="-2"/>
        </w:rPr>
        <w:t>]</w:t>
      </w:r>
    </w:p>
    <w:p w14:paraId="6E8C436C" w14:textId="77777777" w:rsidR="003D5A67" w:rsidRPr="009118AB" w:rsidRDefault="003D5A67" w:rsidP="003D5A67">
      <w:pPr>
        <w:autoSpaceDE w:val="0"/>
        <w:autoSpaceDN w:val="0"/>
        <w:adjustRightInd w:val="0"/>
        <w:jc w:val="both"/>
        <w:rPr>
          <w:spacing w:val="-2"/>
        </w:rPr>
      </w:pPr>
    </w:p>
    <w:p w14:paraId="16038338" w14:textId="656D82D2" w:rsidR="003D5A67" w:rsidRPr="009118AB" w:rsidRDefault="003D5A67" w:rsidP="003D5A67">
      <w:pPr>
        <w:autoSpaceDE w:val="0"/>
        <w:autoSpaceDN w:val="0"/>
        <w:adjustRightInd w:val="0"/>
        <w:jc w:val="both"/>
        <w:rPr>
          <w:i/>
          <w:iCs/>
        </w:rPr>
      </w:pPr>
      <w:r w:rsidRPr="009118AB">
        <w:rPr>
          <w:i/>
          <w:iCs/>
          <w:spacing w:val="-2"/>
        </w:rPr>
        <w:t>[</w:t>
      </w:r>
      <w:r w:rsidR="00D67EB8" w:rsidRPr="009118AB">
        <w:rPr>
          <w:i/>
          <w:iCs/>
          <w:spacing w:val="-2"/>
        </w:rPr>
        <w:t>Art. </w:t>
      </w:r>
      <w:r w:rsidRPr="009118AB">
        <w:rPr>
          <w:i/>
          <w:iCs/>
          <w:spacing w:val="-2"/>
        </w:rPr>
        <w:t xml:space="preserve">168/1 eingefügt durch </w:t>
      </w:r>
      <w:r w:rsidR="00D67EB8" w:rsidRPr="009118AB">
        <w:rPr>
          <w:i/>
          <w:iCs/>
          <w:spacing w:val="-2"/>
        </w:rPr>
        <w:t>Art. </w:t>
      </w:r>
      <w:r w:rsidRPr="009118AB">
        <w:rPr>
          <w:i/>
          <w:iCs/>
          <w:spacing w:val="-2"/>
        </w:rPr>
        <w:t>88 des G. vom 11. Februar 2019 (B.S. vom 22. März 2020)</w:t>
      </w:r>
      <w:r w:rsidR="00D67EB8" w:rsidRPr="009118AB">
        <w:rPr>
          <w:i/>
          <w:iCs/>
          <w:spacing w:val="-2"/>
        </w:rPr>
        <w:t> - </w:t>
      </w:r>
      <w:r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p>
    <w:p w14:paraId="1FCDADEC" w14:textId="6146AB63" w:rsidR="00477B8F" w:rsidRPr="009118AB" w:rsidRDefault="00477B8F" w:rsidP="00C1294A">
      <w:pPr>
        <w:autoSpaceDE w:val="0"/>
        <w:autoSpaceDN w:val="0"/>
        <w:adjustRightInd w:val="0"/>
        <w:jc w:val="center"/>
      </w:pPr>
      <w:r w:rsidRPr="009118AB">
        <w:br w:type="page"/>
      </w:r>
      <w:r w:rsidRPr="009118AB">
        <w:rPr>
          <w:i/>
          <w:iCs/>
        </w:rPr>
        <w:lastRenderedPageBreak/>
        <w:t>Abschnitt </w:t>
      </w:r>
      <w:r w:rsidR="00D74862" w:rsidRPr="009118AB">
        <w:rPr>
          <w:i/>
          <w:iCs/>
        </w:rPr>
        <w:t>2</w:t>
      </w:r>
      <w:r w:rsidR="00D67EB8" w:rsidRPr="009118AB">
        <w:rPr>
          <w:i/>
          <w:iCs/>
        </w:rPr>
        <w:t> - </w:t>
      </w:r>
      <w:r w:rsidRPr="009118AB">
        <w:t>Besondere Besteuerungssysteme</w:t>
      </w:r>
    </w:p>
    <w:p w14:paraId="30960184" w14:textId="77777777" w:rsidR="00477B8F" w:rsidRPr="009118AB" w:rsidRDefault="00477B8F" w:rsidP="00C1294A">
      <w:pPr>
        <w:autoSpaceDE w:val="0"/>
        <w:autoSpaceDN w:val="0"/>
        <w:adjustRightInd w:val="0"/>
        <w:jc w:val="center"/>
      </w:pPr>
    </w:p>
    <w:p w14:paraId="05C4E313" w14:textId="77777777" w:rsidR="00477B8F" w:rsidRPr="009118AB" w:rsidRDefault="00477B8F" w:rsidP="00C1294A">
      <w:pPr>
        <w:autoSpaceDE w:val="0"/>
        <w:autoSpaceDN w:val="0"/>
        <w:adjustRightInd w:val="0"/>
        <w:jc w:val="center"/>
      </w:pPr>
    </w:p>
    <w:p w14:paraId="6D47F344" w14:textId="3664B32B" w:rsidR="00477B8F" w:rsidRPr="009118AB" w:rsidRDefault="00477B8F" w:rsidP="00C1294A">
      <w:pPr>
        <w:autoSpaceDE w:val="0"/>
        <w:autoSpaceDN w:val="0"/>
        <w:adjustRightInd w:val="0"/>
        <w:jc w:val="center"/>
      </w:pPr>
      <w:r w:rsidRPr="009118AB">
        <w:t>Unterabschnitt </w:t>
      </w:r>
      <w:r w:rsidR="00D74862" w:rsidRPr="009118AB">
        <w:t>1</w:t>
      </w:r>
      <w:r w:rsidR="00D67EB8" w:rsidRPr="009118AB">
        <w:t> - </w:t>
      </w:r>
      <w:r w:rsidRPr="009118AB">
        <w:t>Umwandlung bestimmter Kapitalien, Zulagen und Rückkaufswerte in Leibrenten</w:t>
      </w:r>
    </w:p>
    <w:p w14:paraId="7C4C6DB6" w14:textId="77777777" w:rsidR="00477B8F" w:rsidRPr="009118AB" w:rsidRDefault="00477B8F" w:rsidP="00477B8F">
      <w:pPr>
        <w:autoSpaceDE w:val="0"/>
        <w:autoSpaceDN w:val="0"/>
        <w:adjustRightInd w:val="0"/>
        <w:jc w:val="both"/>
      </w:pPr>
    </w:p>
    <w:p w14:paraId="1B19E29E" w14:textId="77777777" w:rsidR="00477B8F" w:rsidRPr="009118AB" w:rsidRDefault="00477B8F" w:rsidP="00477B8F">
      <w:pPr>
        <w:autoSpaceDE w:val="0"/>
        <w:autoSpaceDN w:val="0"/>
        <w:adjustRightInd w:val="0"/>
        <w:jc w:val="both"/>
      </w:pPr>
    </w:p>
    <w:p w14:paraId="4B1798D8" w14:textId="22D5C3C7" w:rsidR="00F42D04" w:rsidRPr="009118AB" w:rsidRDefault="00477B8F" w:rsidP="00E606D0">
      <w:pPr>
        <w:tabs>
          <w:tab w:val="left" w:pos="851"/>
        </w:tabs>
        <w:jc w:val="both"/>
      </w:pPr>
      <w:r w:rsidRPr="009118AB">
        <w:tab/>
      </w:r>
      <w:r w:rsidR="00D67EB8" w:rsidRPr="009118AB">
        <w:rPr>
          <w:b/>
          <w:bCs/>
        </w:rPr>
        <w:t>Art. </w:t>
      </w:r>
      <w:r w:rsidRPr="009118AB">
        <w:rPr>
          <w:b/>
          <w:bCs/>
        </w:rPr>
        <w:t>169</w:t>
      </w:r>
      <w:r w:rsidR="00D67EB8" w:rsidRPr="009118AB">
        <w:t> - </w:t>
      </w:r>
      <w:r w:rsidR="00D67EB8" w:rsidRPr="009118AB">
        <w:rPr>
          <w:iCs/>
        </w:rPr>
        <w:t>§ </w:t>
      </w:r>
      <w:r w:rsidR="00F42D04" w:rsidRPr="009118AB">
        <w:rPr>
          <w:iCs/>
        </w:rPr>
        <w:t>1</w:t>
      </w:r>
      <w:r w:rsidR="00D67EB8" w:rsidRPr="009118AB">
        <w:rPr>
          <w:iCs/>
        </w:rPr>
        <w:t> - </w:t>
      </w:r>
      <w:r w:rsidR="00F42D04" w:rsidRPr="009118AB">
        <w:rPr>
          <w:iCs/>
        </w:rPr>
        <w:t>[</w:t>
      </w:r>
      <w:r w:rsidR="00F42D04" w:rsidRPr="009118AB">
        <w:t>Nachstehend erwähnte Kapitalien werden für die Festlegung der steuer</w:t>
      </w:r>
      <w:r w:rsidR="00F42D04" w:rsidRPr="009118AB">
        <w:softHyphen/>
        <w:t>pflichtigen Grundlage nur bis zum Betrag der Leibrente berücksichtigt, die aus der Umwandlung dieser Kapitalien und Rückkaufswerte entsprechend Koeffizienten, die vom König durch einen im Ministerrat beratenen Erlass festgelegt werden und nicht mehr als 5 Prozent betragen dürfen, hervorgehen würde:</w:t>
      </w:r>
    </w:p>
    <w:p w14:paraId="634F8151" w14:textId="77777777" w:rsidR="00F42D04" w:rsidRPr="009118AB" w:rsidRDefault="00F42D04" w:rsidP="00E606D0">
      <w:pPr>
        <w:tabs>
          <w:tab w:val="left" w:pos="851"/>
        </w:tabs>
        <w:autoSpaceDE w:val="0"/>
        <w:autoSpaceDN w:val="0"/>
        <w:adjustRightInd w:val="0"/>
        <w:jc w:val="both"/>
      </w:pPr>
    </w:p>
    <w:p w14:paraId="7C20DB03" w14:textId="77777777" w:rsidR="00F42D04" w:rsidRPr="009118AB" w:rsidRDefault="00E606D0" w:rsidP="00E606D0">
      <w:pPr>
        <w:tabs>
          <w:tab w:val="left" w:pos="851"/>
        </w:tabs>
        <w:autoSpaceDE w:val="0"/>
        <w:autoSpaceDN w:val="0"/>
        <w:adjustRightInd w:val="0"/>
        <w:jc w:val="both"/>
      </w:pPr>
      <w:r w:rsidRPr="009118AB">
        <w:tab/>
      </w:r>
      <w:r w:rsidR="00F42D04" w:rsidRPr="009118AB">
        <w:t>1. Kapitalien, die als vollständige Entschädigung oder Teilentschädigung für einen dauerhaften Ausfall der Berufseinkünfte anzusehen sind,</w:t>
      </w:r>
    </w:p>
    <w:p w14:paraId="137EF316" w14:textId="77777777" w:rsidR="00F42D04" w:rsidRPr="009118AB" w:rsidRDefault="00F42D04" w:rsidP="00E606D0">
      <w:pPr>
        <w:tabs>
          <w:tab w:val="left" w:pos="851"/>
        </w:tabs>
        <w:autoSpaceDE w:val="0"/>
        <w:autoSpaceDN w:val="0"/>
        <w:adjustRightInd w:val="0"/>
        <w:jc w:val="both"/>
      </w:pPr>
    </w:p>
    <w:p w14:paraId="0840432D" w14:textId="77777777" w:rsidR="00F42D04" w:rsidRPr="009118AB" w:rsidRDefault="00E606D0" w:rsidP="00E606D0">
      <w:pPr>
        <w:tabs>
          <w:tab w:val="left" w:pos="851"/>
        </w:tabs>
        <w:autoSpaceDE w:val="0"/>
        <w:autoSpaceDN w:val="0"/>
        <w:adjustRightInd w:val="0"/>
        <w:jc w:val="both"/>
      </w:pPr>
      <w:r w:rsidRPr="009118AB">
        <w:tab/>
      </w:r>
      <w:r w:rsidR="00F42D04" w:rsidRPr="009118AB">
        <w:t>2. Kapitalien, die bei normalem Vertragsablauf oder bei Tod des Versicherten ausgezahlt werden, und Rückkaufswerte, die in einem der fünf Jahre vor dem normalen Vertragsablauf ausgezahlt werden, sofern es sich um Kapitalien und Rückkaufswerte handelt, die gezahlt werden aufgrund:</w:t>
      </w:r>
    </w:p>
    <w:p w14:paraId="245DC0F5" w14:textId="77777777" w:rsidR="00F42D04" w:rsidRPr="009118AB" w:rsidRDefault="00F42D04" w:rsidP="00E606D0">
      <w:pPr>
        <w:tabs>
          <w:tab w:val="left" w:pos="851"/>
        </w:tabs>
        <w:autoSpaceDE w:val="0"/>
        <w:autoSpaceDN w:val="0"/>
        <w:adjustRightInd w:val="0"/>
        <w:jc w:val="both"/>
      </w:pPr>
    </w:p>
    <w:p w14:paraId="3BC045E7" w14:textId="106DB7EC" w:rsidR="00F42D04" w:rsidRPr="009118AB" w:rsidRDefault="00E606D0" w:rsidP="00E606D0">
      <w:pPr>
        <w:tabs>
          <w:tab w:val="left" w:pos="851"/>
        </w:tabs>
        <w:autoSpaceDE w:val="0"/>
        <w:autoSpaceDN w:val="0"/>
        <w:adjustRightInd w:val="0"/>
        <w:jc w:val="both"/>
      </w:pPr>
      <w:r w:rsidRPr="009118AB">
        <w:rPr>
          <w:i/>
        </w:rPr>
        <w:tab/>
      </w:r>
      <w:r w:rsidR="00F42D04" w:rsidRPr="009118AB">
        <w:rPr>
          <w:i/>
        </w:rPr>
        <w:t>a)</w:t>
      </w:r>
      <w:r w:rsidR="00F42D04" w:rsidRPr="009118AB">
        <w:t> von ergänzenden Pensionen gemäß Artikel 52</w:t>
      </w:r>
      <w:r w:rsidR="00F42D04" w:rsidRPr="009118AB">
        <w:rPr>
          <w:i/>
        </w:rPr>
        <w:t>bis</w:t>
      </w:r>
      <w:r w:rsidR="00F42D04" w:rsidRPr="009118AB">
        <w:t xml:space="preserve"> des Königlichen Erlasses </w:t>
      </w:r>
      <w:r w:rsidR="00D67EB8" w:rsidRPr="009118AB">
        <w:t>Nr. </w:t>
      </w:r>
      <w:r w:rsidR="00F42D04" w:rsidRPr="009118AB">
        <w:t>72 vom 10. November 1967 über die Ruhestands- und Hinterbliebenenpensionen für Selbständige, so wie er vor seiner Ersetzung durch Artikel 70 des Programmgesetzes vom 24. Dezember 2002 anwendbar war, oder von ergänzenden Pensionen erwähnt in Titel II Kapitel 1 Abschnitt 4 des Programmgesetzes vom 24. Dezember 2002,</w:t>
      </w:r>
    </w:p>
    <w:p w14:paraId="5A469305" w14:textId="77777777" w:rsidR="00F42D04" w:rsidRPr="009118AB" w:rsidRDefault="00F42D04" w:rsidP="00E606D0">
      <w:pPr>
        <w:tabs>
          <w:tab w:val="left" w:pos="851"/>
        </w:tabs>
        <w:autoSpaceDE w:val="0"/>
        <w:autoSpaceDN w:val="0"/>
        <w:adjustRightInd w:val="0"/>
        <w:jc w:val="both"/>
      </w:pPr>
    </w:p>
    <w:p w14:paraId="60831A6E" w14:textId="7878A55C" w:rsidR="00F42D04" w:rsidRPr="009118AB" w:rsidRDefault="00E606D0" w:rsidP="00E606D0">
      <w:pPr>
        <w:tabs>
          <w:tab w:val="left" w:pos="851"/>
        </w:tabs>
        <w:autoSpaceDE w:val="0"/>
        <w:autoSpaceDN w:val="0"/>
        <w:adjustRightInd w:val="0"/>
        <w:jc w:val="both"/>
        <w:rPr>
          <w:iCs/>
        </w:rPr>
      </w:pPr>
      <w:r w:rsidRPr="009118AB">
        <w:rPr>
          <w:i/>
        </w:rPr>
        <w:tab/>
      </w:r>
      <w:r w:rsidR="00F42D04" w:rsidRPr="009118AB">
        <w:rPr>
          <w:i/>
        </w:rPr>
        <w:t>b)</w:t>
      </w:r>
      <w:r w:rsidR="00F42D04" w:rsidRPr="009118AB">
        <w:t xml:space="preserve"> von individuell abgeschlossenen Lebensversicherungsverträgen, die keine in Artikel 34 </w:t>
      </w:r>
      <w:r w:rsidR="00D67EB8" w:rsidRPr="009118AB">
        <w:t>§ </w:t>
      </w:r>
      <w:r w:rsidR="00F42D04" w:rsidRPr="009118AB">
        <w:t xml:space="preserve">1 </w:t>
      </w:r>
      <w:r w:rsidR="00D67EB8" w:rsidRPr="009118AB">
        <w:t>Nr. </w:t>
      </w:r>
      <w:r w:rsidR="00F42D04" w:rsidRPr="009118AB">
        <w:t>2 Absatz 1 Buchstabe </w:t>
      </w:r>
      <w:r w:rsidR="00F42D04" w:rsidRPr="009118AB">
        <w:rPr>
          <w:i/>
        </w:rPr>
        <w:t>c)</w:t>
      </w:r>
      <w:r w:rsidR="00F42D04" w:rsidRPr="009118AB">
        <w:t xml:space="preserve"> erwähnten individuellen Weiterführungen einer Pensionsvereinbarung und keine in Artikel 145</w:t>
      </w:r>
      <w:r w:rsidR="00F42D04" w:rsidRPr="009118AB">
        <w:rPr>
          <w:vertAlign w:val="superscript"/>
        </w:rPr>
        <w:t>16</w:t>
      </w:r>
      <w:r w:rsidR="00F42D04" w:rsidRPr="009118AB">
        <w:t xml:space="preserve"> </w:t>
      </w:r>
      <w:r w:rsidR="00D67EB8" w:rsidRPr="009118AB">
        <w:t>Nr. </w:t>
      </w:r>
      <w:r w:rsidR="00F42D04" w:rsidRPr="009118AB">
        <w:t>3 erwähnten Sparversicherungsverträge sind, dies bis zum Betrag, der für die Wiederherstellung einer oder als Sicherheit für eine Hypothekenanleihe dient.]</w:t>
      </w:r>
    </w:p>
    <w:p w14:paraId="2099D238" w14:textId="77777777" w:rsidR="00F42D04" w:rsidRPr="009118AB" w:rsidRDefault="00F42D04" w:rsidP="00E606D0">
      <w:pPr>
        <w:tabs>
          <w:tab w:val="left" w:pos="851"/>
        </w:tabs>
        <w:autoSpaceDE w:val="0"/>
        <w:autoSpaceDN w:val="0"/>
        <w:adjustRightInd w:val="0"/>
        <w:jc w:val="both"/>
        <w:rPr>
          <w:iCs/>
        </w:rPr>
      </w:pPr>
    </w:p>
    <w:p w14:paraId="4822632B" w14:textId="2DCDE580" w:rsidR="00F42D04" w:rsidRPr="009118AB" w:rsidRDefault="00E606D0" w:rsidP="00E606D0">
      <w:pPr>
        <w:tabs>
          <w:tab w:val="left" w:pos="851"/>
        </w:tabs>
        <w:autoSpaceDE w:val="0"/>
        <w:autoSpaceDN w:val="0"/>
        <w:adjustRightInd w:val="0"/>
        <w:jc w:val="both"/>
        <w:rPr>
          <w:iCs/>
        </w:rPr>
      </w:pPr>
      <w:r w:rsidRPr="009118AB">
        <w:rPr>
          <w:iCs/>
        </w:rPr>
        <w:tab/>
      </w:r>
      <w:r w:rsidR="00F42D04" w:rsidRPr="009118AB">
        <w:rPr>
          <w:iCs/>
        </w:rPr>
        <w:t xml:space="preserve">[Dieselbe Umwandlungsregelung ist anwendbar auf den ersten Teilbetrag von 50.000 EUR des Kapitals oder des Rückkaufswertes einer in [Artikel 34 </w:t>
      </w:r>
      <w:r w:rsidR="00D67EB8" w:rsidRPr="009118AB">
        <w:rPr>
          <w:iCs/>
        </w:rPr>
        <w:t>§ </w:t>
      </w:r>
      <w:r w:rsidR="00F42D04" w:rsidRPr="009118AB">
        <w:rPr>
          <w:iCs/>
        </w:rPr>
        <w:t xml:space="preserve">1 </w:t>
      </w:r>
      <w:r w:rsidR="00D67EB8" w:rsidRPr="009118AB">
        <w:rPr>
          <w:iCs/>
        </w:rPr>
        <w:t>Nr. </w:t>
      </w:r>
      <w:r w:rsidR="00F42D04" w:rsidRPr="009118AB">
        <w:rPr>
          <w:iCs/>
        </w:rPr>
        <w:t>2 Absatz 1 Buchstabe </w:t>
      </w:r>
      <w:r w:rsidR="00F42D04" w:rsidRPr="009118AB">
        <w:rPr>
          <w:i/>
          <w:iCs/>
        </w:rPr>
        <w:t>a)</w:t>
      </w:r>
      <w:r w:rsidR="00F42D04" w:rsidRPr="009118AB">
        <w:rPr>
          <w:iCs/>
        </w:rPr>
        <w:t xml:space="preserve"> bis </w:t>
      </w:r>
      <w:r w:rsidR="00F42D04" w:rsidRPr="009118AB">
        <w:rPr>
          <w:i/>
          <w:iCs/>
        </w:rPr>
        <w:t>c/1)</w:t>
      </w:r>
      <w:r w:rsidR="00F42D04" w:rsidRPr="009118AB">
        <w:t>]</w:t>
      </w:r>
      <w:r w:rsidR="00F42D04" w:rsidRPr="009118AB">
        <w:rPr>
          <w:iCs/>
        </w:rPr>
        <w:t xml:space="preserve"> [</w:t>
      </w:r>
      <w:r w:rsidR="00F42D04" w:rsidRPr="009118AB">
        <w:t xml:space="preserve">und </w:t>
      </w:r>
      <w:r w:rsidR="00D67EB8" w:rsidRPr="009118AB">
        <w:t>Nr. </w:t>
      </w:r>
      <w:r w:rsidR="00F42D04" w:rsidRPr="009118AB">
        <w:t>2</w:t>
      </w:r>
      <w:r w:rsidR="00F42D04" w:rsidRPr="009118AB">
        <w:rPr>
          <w:i/>
        </w:rPr>
        <w:t>ter</w:t>
      </w:r>
      <w:r w:rsidR="00F42D04" w:rsidRPr="009118AB">
        <w:rPr>
          <w:iCs/>
        </w:rPr>
        <w:t>] erwähnten ergänzenden Pension, die Gegenstand von Leistungsvorschüssen war oder als Sicherheit für eine Anleihe oder für die Wiederherstellung einer Hypothekenanleihe diente, sofern diese Vorschüsse gewährt oder diese Anleihen aufgenommen wurden, um die [in einem Mitgliedstaat des Europäischen Wirtschaftsraums] gelegene einzige Wohnung, die ausschließlich zur persönlichen Nutzung des Anleiheschuldners und seiner Haushaltsmitglieder bestimmt ist, zu bauen, zu erwerben, umzubauen, zu verbessern oder instand zu setzen.]</w:t>
      </w:r>
    </w:p>
    <w:p w14:paraId="6A4344A1" w14:textId="77777777" w:rsidR="00F42D04" w:rsidRPr="009118AB" w:rsidRDefault="00F42D04" w:rsidP="00E606D0">
      <w:pPr>
        <w:tabs>
          <w:tab w:val="left" w:pos="851"/>
        </w:tabs>
        <w:autoSpaceDE w:val="0"/>
        <w:autoSpaceDN w:val="0"/>
        <w:adjustRightInd w:val="0"/>
        <w:jc w:val="both"/>
        <w:rPr>
          <w:iCs/>
        </w:rPr>
      </w:pPr>
    </w:p>
    <w:p w14:paraId="31ACD6CA" w14:textId="4D682478" w:rsidR="00DF0C53" w:rsidRPr="009118AB" w:rsidRDefault="00E606D0" w:rsidP="00E606D0">
      <w:pPr>
        <w:tabs>
          <w:tab w:val="left" w:pos="851"/>
        </w:tabs>
        <w:autoSpaceDE w:val="0"/>
        <w:autoSpaceDN w:val="0"/>
        <w:adjustRightInd w:val="0"/>
        <w:jc w:val="both"/>
        <w:rPr>
          <w:iCs/>
        </w:rPr>
      </w:pPr>
      <w:r w:rsidRPr="009118AB">
        <w:rPr>
          <w:iCs/>
        </w:rPr>
        <w:tab/>
      </w:r>
      <w:r w:rsidR="00F42D04" w:rsidRPr="009118AB">
        <w:rPr>
          <w:iCs/>
        </w:rPr>
        <w:t>[</w:t>
      </w:r>
      <w:r w:rsidR="00DF0C53" w:rsidRPr="009118AB">
        <w:rPr>
          <w:iCs/>
        </w:rPr>
        <w:t>In Abweichung von Absatz 1 werden Kapitalien von ergänzenden Pensionen, die gemäß Artikel 52</w:t>
      </w:r>
      <w:r w:rsidR="00DF0C53" w:rsidRPr="009118AB">
        <w:rPr>
          <w:i/>
          <w:iCs/>
        </w:rPr>
        <w:t>bis</w:t>
      </w:r>
      <w:r w:rsidR="00DF0C53" w:rsidRPr="009118AB">
        <w:rPr>
          <w:iCs/>
        </w:rPr>
        <w:t xml:space="preserve"> des Königlichen Erlasses </w:t>
      </w:r>
      <w:r w:rsidR="00D67EB8" w:rsidRPr="009118AB">
        <w:rPr>
          <w:iCs/>
        </w:rPr>
        <w:t>Nr. </w:t>
      </w:r>
      <w:r w:rsidR="00DF0C53" w:rsidRPr="009118AB">
        <w:rPr>
          <w:iCs/>
        </w:rPr>
        <w:t xml:space="preserve">72 vom 10. November 1967 über die Ruhestands- und Hinterbliebenenpensionen für Selbständige, so wie er in Kraft war, bevor er durch Artikel 70 des Programmgesetzes vom 24. Dezember 2002 ersetzt wurde, zuerkannt werden, oder von ergänzenden Pensionen erwähnt in Titel II Kapitel 1 Abschnitt 4 des Programmgesetzes vom 24. Dezember 2002 für die Festlegung der steuerpflichtigen Grundlage nur bis zum Betrag der Leibrente berücksichtigt, die aus der Umwandlung von 80 Prozent </w:t>
      </w:r>
      <w:r w:rsidR="00DF0C53" w:rsidRPr="009118AB">
        <w:rPr>
          <w:iCs/>
        </w:rPr>
        <w:lastRenderedPageBreak/>
        <w:t>dieser Kapitalien entsprechend Koeffizienten, die in Absatz 1 erwähnt sind, hervorgehen würde, in dem Maße, wie sie:</w:t>
      </w:r>
    </w:p>
    <w:p w14:paraId="4EB8D85A" w14:textId="77777777" w:rsidR="00DF0C53" w:rsidRPr="009118AB" w:rsidRDefault="00DF0C53" w:rsidP="00E606D0">
      <w:pPr>
        <w:tabs>
          <w:tab w:val="left" w:pos="851"/>
        </w:tabs>
        <w:autoSpaceDE w:val="0"/>
        <w:autoSpaceDN w:val="0"/>
        <w:adjustRightInd w:val="0"/>
        <w:jc w:val="both"/>
        <w:rPr>
          <w:iCs/>
        </w:rPr>
      </w:pPr>
    </w:p>
    <w:p w14:paraId="2450CDC9" w14:textId="77777777" w:rsidR="00DF0C53" w:rsidRPr="009118AB" w:rsidRDefault="00E606D0" w:rsidP="00E606D0">
      <w:pPr>
        <w:tabs>
          <w:tab w:val="left" w:pos="851"/>
        </w:tabs>
        <w:autoSpaceDE w:val="0"/>
        <w:autoSpaceDN w:val="0"/>
        <w:adjustRightInd w:val="0"/>
        <w:jc w:val="both"/>
        <w:rPr>
          <w:iCs/>
        </w:rPr>
      </w:pPr>
      <w:r w:rsidRPr="009118AB">
        <w:rPr>
          <w:iCs/>
        </w:rPr>
        <w:tab/>
      </w:r>
      <w:r w:rsidR="00DF0C53" w:rsidRPr="009118AB">
        <w:rPr>
          <w:iCs/>
        </w:rPr>
        <w:t>entweder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w:t>
      </w:r>
    </w:p>
    <w:p w14:paraId="4AF370BC" w14:textId="77777777" w:rsidR="00DF0C53" w:rsidRPr="009118AB" w:rsidRDefault="00DF0C53" w:rsidP="00E606D0">
      <w:pPr>
        <w:tabs>
          <w:tab w:val="left" w:pos="851"/>
        </w:tabs>
        <w:autoSpaceDE w:val="0"/>
        <w:autoSpaceDN w:val="0"/>
        <w:adjustRightInd w:val="0"/>
        <w:jc w:val="both"/>
        <w:rPr>
          <w:iCs/>
        </w:rPr>
      </w:pPr>
    </w:p>
    <w:p w14:paraId="7838B888" w14:textId="77777777" w:rsidR="00F42D04" w:rsidRPr="009118AB" w:rsidRDefault="00E606D0" w:rsidP="00E606D0">
      <w:pPr>
        <w:tabs>
          <w:tab w:val="left" w:pos="851"/>
        </w:tabs>
        <w:autoSpaceDE w:val="0"/>
        <w:autoSpaceDN w:val="0"/>
        <w:adjustRightInd w:val="0"/>
        <w:jc w:val="both"/>
        <w:rPr>
          <w:iCs/>
        </w:rPr>
      </w:pPr>
      <w:r w:rsidRPr="009118AB">
        <w:rPr>
          <w:iCs/>
        </w:rPr>
        <w:tab/>
      </w:r>
      <w:r w:rsidR="00DF0C53" w:rsidRPr="009118AB">
        <w:rPr>
          <w:iCs/>
        </w:rPr>
        <w:t>oder zu Lebzeiten frühestens bei Erreichen des Alters, in dem gemäß den geltenden Rechtsvorschriften in Sachen Pensionen die Bedingungen für eine vollständige Laufbahn erfüllt sind, dem Empfänger, der mindestens bis zu diesem Alter tatsächlich aktiv geblieben ist, ausgezahlt werden oder im Todesfall nach Erreichen des Alters, in dem die Bedingungen für eine vollständige Laufbahn erfüllt sind, wenn der Verstorbene bis zu diesem Alter tatsächlich aktiv geblieben ist, ausgezahlt werden.</w:t>
      </w:r>
      <w:r w:rsidR="00F42D04" w:rsidRPr="009118AB">
        <w:rPr>
          <w:iCs/>
        </w:rPr>
        <w:t>]</w:t>
      </w:r>
    </w:p>
    <w:p w14:paraId="330C2A40" w14:textId="77777777" w:rsidR="00F42D04" w:rsidRPr="009118AB" w:rsidRDefault="00F42D04" w:rsidP="00E606D0">
      <w:pPr>
        <w:tabs>
          <w:tab w:val="left" w:pos="851"/>
        </w:tabs>
        <w:autoSpaceDE w:val="0"/>
        <w:autoSpaceDN w:val="0"/>
        <w:adjustRightInd w:val="0"/>
        <w:jc w:val="both"/>
        <w:rPr>
          <w:iCs/>
        </w:rPr>
      </w:pPr>
    </w:p>
    <w:p w14:paraId="74BDA201" w14:textId="77777777" w:rsidR="00DF0C53" w:rsidRPr="009118AB" w:rsidRDefault="00E606D0" w:rsidP="00E606D0">
      <w:pPr>
        <w:tabs>
          <w:tab w:val="left" w:pos="851"/>
        </w:tabs>
        <w:autoSpaceDE w:val="0"/>
        <w:autoSpaceDN w:val="0"/>
        <w:adjustRightInd w:val="0"/>
        <w:jc w:val="both"/>
        <w:rPr>
          <w:iCs/>
        </w:rPr>
      </w:pPr>
      <w:r w:rsidRPr="009118AB">
        <w:rPr>
          <w:iCs/>
        </w:rPr>
        <w:tab/>
      </w:r>
      <w:r w:rsidR="00F42D04" w:rsidRPr="009118AB">
        <w:rPr>
          <w:iCs/>
        </w:rPr>
        <w:t>[</w:t>
      </w:r>
      <w:r w:rsidR="00DF0C53" w:rsidRPr="009118AB">
        <w:rPr>
          <w:iCs/>
        </w:rPr>
        <w:t>In Abweichung von Absatz 2 wird der erste Teilbetrag, auf den die Umwandlungs</w:t>
      </w:r>
      <w:r w:rsidR="00DF0C53" w:rsidRPr="009118AB">
        <w:rPr>
          <w:iCs/>
        </w:rPr>
        <w:softHyphen/>
        <w:t>regelung anwendbar ist, nur zu 80 Prozent berücksichtigt, wenn die in diesem Absatz erwähnten Kapitalien:</w:t>
      </w:r>
    </w:p>
    <w:p w14:paraId="29FCE884" w14:textId="77777777" w:rsidR="00DF0C53" w:rsidRPr="009118AB" w:rsidRDefault="00DF0C53" w:rsidP="00E606D0">
      <w:pPr>
        <w:tabs>
          <w:tab w:val="left" w:pos="851"/>
        </w:tabs>
        <w:autoSpaceDE w:val="0"/>
        <w:autoSpaceDN w:val="0"/>
        <w:adjustRightInd w:val="0"/>
        <w:jc w:val="both"/>
        <w:rPr>
          <w:iCs/>
        </w:rPr>
      </w:pPr>
    </w:p>
    <w:p w14:paraId="6670D602" w14:textId="77777777" w:rsidR="00DF0C53" w:rsidRPr="009118AB" w:rsidRDefault="00E606D0" w:rsidP="00E606D0">
      <w:pPr>
        <w:tabs>
          <w:tab w:val="left" w:pos="851"/>
        </w:tabs>
        <w:autoSpaceDE w:val="0"/>
        <w:autoSpaceDN w:val="0"/>
        <w:adjustRightInd w:val="0"/>
        <w:jc w:val="both"/>
        <w:rPr>
          <w:iCs/>
        </w:rPr>
      </w:pPr>
      <w:r w:rsidRPr="009118AB">
        <w:rPr>
          <w:iCs/>
        </w:rPr>
        <w:tab/>
      </w:r>
      <w:r w:rsidR="00DF0C53" w:rsidRPr="009118AB">
        <w:rPr>
          <w:iCs/>
        </w:rPr>
        <w:t>entweder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w:t>
      </w:r>
    </w:p>
    <w:p w14:paraId="11CF0490" w14:textId="77777777" w:rsidR="00DF0C53" w:rsidRPr="009118AB" w:rsidRDefault="00DF0C53" w:rsidP="00E606D0">
      <w:pPr>
        <w:tabs>
          <w:tab w:val="left" w:pos="851"/>
        </w:tabs>
        <w:autoSpaceDE w:val="0"/>
        <w:autoSpaceDN w:val="0"/>
        <w:adjustRightInd w:val="0"/>
        <w:jc w:val="both"/>
        <w:rPr>
          <w:iCs/>
        </w:rPr>
      </w:pPr>
    </w:p>
    <w:p w14:paraId="4DEEC920" w14:textId="77777777" w:rsidR="00F42D04" w:rsidRPr="009118AB" w:rsidRDefault="00E606D0" w:rsidP="00E606D0">
      <w:pPr>
        <w:tabs>
          <w:tab w:val="left" w:pos="851"/>
        </w:tabs>
        <w:autoSpaceDE w:val="0"/>
        <w:autoSpaceDN w:val="0"/>
        <w:adjustRightInd w:val="0"/>
        <w:jc w:val="both"/>
        <w:rPr>
          <w:iCs/>
        </w:rPr>
      </w:pPr>
      <w:r w:rsidRPr="009118AB">
        <w:rPr>
          <w:iCs/>
        </w:rPr>
        <w:tab/>
      </w:r>
      <w:r w:rsidR="00DF0C53" w:rsidRPr="009118AB">
        <w:rPr>
          <w:iCs/>
        </w:rPr>
        <w:t>oder zu Lebzeiten frühestens bei Erreichen des Alters, in dem gemäß den geltenden Rechtsvorschriften in Sachen Pensionen die Bedingungen für eine vollständige Laufbahn erfüllt sind, dem Empfänger, der mindestens bis zu diesem Alter tatsächlich aktiv geblieben ist, ausgezahlt werden oder im Todesfall nach Erreichen des Alters, in dem die Bedingungen für eine vollständige Laufbahn erfüllt sind, wenn der Verstorbene bis zu diesem Alter tatsächlich aktiv geblieben ist, ausgezahlt werden.</w:t>
      </w:r>
      <w:r w:rsidR="00F42D04" w:rsidRPr="009118AB">
        <w:rPr>
          <w:iCs/>
        </w:rPr>
        <w:t>]</w:t>
      </w:r>
    </w:p>
    <w:p w14:paraId="5CA6AF09" w14:textId="77777777" w:rsidR="00F42D04" w:rsidRPr="009118AB" w:rsidRDefault="00F42D04" w:rsidP="00E606D0">
      <w:pPr>
        <w:tabs>
          <w:tab w:val="left" w:pos="851"/>
        </w:tabs>
        <w:autoSpaceDE w:val="0"/>
        <w:autoSpaceDN w:val="0"/>
        <w:adjustRightInd w:val="0"/>
        <w:jc w:val="both"/>
        <w:rPr>
          <w:iCs/>
        </w:rPr>
      </w:pPr>
    </w:p>
    <w:p w14:paraId="0195C104" w14:textId="73E523AE" w:rsidR="00F42D04" w:rsidRPr="009118AB" w:rsidRDefault="00E606D0" w:rsidP="00E606D0">
      <w:pPr>
        <w:tabs>
          <w:tab w:val="left" w:pos="851"/>
        </w:tabs>
        <w:autoSpaceDE w:val="0"/>
        <w:autoSpaceDN w:val="0"/>
        <w:adjustRightInd w:val="0"/>
        <w:jc w:val="both"/>
        <w:rPr>
          <w:iCs/>
        </w:rPr>
      </w:pPr>
      <w:r w:rsidRPr="009118AB">
        <w:rPr>
          <w:iCs/>
        </w:rPr>
        <w:tab/>
      </w:r>
      <w:r w:rsidR="00D67EB8" w:rsidRPr="009118AB">
        <w:rPr>
          <w:iCs/>
        </w:rPr>
        <w:t>§ </w:t>
      </w:r>
      <w:r w:rsidR="00F42D04" w:rsidRPr="009118AB">
        <w:rPr>
          <w:iCs/>
        </w:rPr>
        <w:t>2</w:t>
      </w:r>
      <w:r w:rsidR="00D67EB8" w:rsidRPr="009118AB">
        <w:rPr>
          <w:iCs/>
        </w:rPr>
        <w:t> - </w:t>
      </w:r>
      <w:r w:rsidR="00F42D04" w:rsidRPr="009118AB">
        <w:rPr>
          <w:iCs/>
        </w:rPr>
        <w:t>[Ab dem Datum der Zahlung oder Zuerkennung des Kapitals oder des Rückkaufswertes wird die Umwandlungsrente für jeden Besteuerungszeitraum zusammen mit den anderen Einkünften besteuert:</w:t>
      </w:r>
    </w:p>
    <w:p w14:paraId="691A7AA3" w14:textId="77777777" w:rsidR="00F42D04" w:rsidRPr="009118AB" w:rsidRDefault="00F42D04" w:rsidP="00E606D0">
      <w:pPr>
        <w:tabs>
          <w:tab w:val="left" w:pos="851"/>
        </w:tabs>
        <w:autoSpaceDE w:val="0"/>
        <w:autoSpaceDN w:val="0"/>
        <w:adjustRightInd w:val="0"/>
        <w:jc w:val="both"/>
        <w:rPr>
          <w:iCs/>
        </w:rPr>
      </w:pPr>
    </w:p>
    <w:p w14:paraId="37DFA44C" w14:textId="7C2FFED9" w:rsidR="00F42D04" w:rsidRPr="009118AB" w:rsidRDefault="00E606D0" w:rsidP="00E606D0">
      <w:pPr>
        <w:tabs>
          <w:tab w:val="left" w:pos="851"/>
        </w:tabs>
        <w:autoSpaceDE w:val="0"/>
        <w:autoSpaceDN w:val="0"/>
        <w:adjustRightInd w:val="0"/>
        <w:jc w:val="both"/>
        <w:rPr>
          <w:iCs/>
        </w:rPr>
      </w:pPr>
      <w:r w:rsidRPr="009118AB">
        <w:rPr>
          <w:i/>
          <w:iCs/>
        </w:rPr>
        <w:tab/>
      </w:r>
      <w:r w:rsidR="00F42D04" w:rsidRPr="009118AB">
        <w:rPr>
          <w:i/>
          <w:iCs/>
        </w:rPr>
        <w:t>a)</w:t>
      </w:r>
      <w:r w:rsidR="00F42D04" w:rsidRPr="009118AB">
        <w:rPr>
          <w:iCs/>
        </w:rPr>
        <w:t xml:space="preserve"> wenn die Umwandlungsrente gemäß den Bestimmungen von </w:t>
      </w:r>
      <w:r w:rsidR="00D67EB8" w:rsidRPr="009118AB">
        <w:rPr>
          <w:iCs/>
        </w:rPr>
        <w:t>§ </w:t>
      </w:r>
      <w:r w:rsidR="00F42D04" w:rsidRPr="009118AB">
        <w:rPr>
          <w:iCs/>
        </w:rPr>
        <w:t>1 5 Prozent beträgt, während zehn aufeinander folgender Besteuerungszeiträume oder bis zum Besteuerungszeitraum, in dem der Empfänger verstirbt, wenn dieses Ereignis vor Ablauf dieses Zeitraums von zehn Besteuerungszeiträumen eintritt,</w:t>
      </w:r>
    </w:p>
    <w:p w14:paraId="19AEB7D3" w14:textId="77777777" w:rsidR="00F42D04" w:rsidRPr="009118AB" w:rsidRDefault="00F42D04" w:rsidP="00E606D0">
      <w:pPr>
        <w:tabs>
          <w:tab w:val="left" w:pos="851"/>
        </w:tabs>
        <w:rPr>
          <w:i/>
          <w:iCs/>
        </w:rPr>
      </w:pPr>
    </w:p>
    <w:p w14:paraId="5ECEE6AD" w14:textId="77777777" w:rsidR="00F42D04" w:rsidRPr="009118AB" w:rsidRDefault="00E606D0" w:rsidP="00E606D0">
      <w:pPr>
        <w:tabs>
          <w:tab w:val="left" w:pos="851"/>
        </w:tabs>
        <w:autoSpaceDE w:val="0"/>
        <w:autoSpaceDN w:val="0"/>
        <w:adjustRightInd w:val="0"/>
        <w:jc w:val="both"/>
        <w:rPr>
          <w:iCs/>
        </w:rPr>
      </w:pPr>
      <w:r w:rsidRPr="009118AB">
        <w:rPr>
          <w:i/>
          <w:iCs/>
        </w:rPr>
        <w:tab/>
      </w:r>
      <w:r w:rsidR="00F42D04" w:rsidRPr="009118AB">
        <w:rPr>
          <w:i/>
          <w:iCs/>
        </w:rPr>
        <w:t>b)</w:t>
      </w:r>
      <w:r w:rsidR="00F42D04" w:rsidRPr="009118AB">
        <w:rPr>
          <w:iCs/>
        </w:rPr>
        <w:t xml:space="preserve"> wenn die Umwandlungsrente gemäß denselben Bestimmungen unter 5 Prozent liegt, während dreizehn aufeinander folgender Besteuerungszeiträume oder bis zum Besteuerungszeitraum, in dem der Empfänger verstirbt, wenn dieses Ereignis vor Ablauf dieses Zeitraums von dreizehn Besteuerungszeiträumen eintritt.]</w:t>
      </w:r>
    </w:p>
    <w:p w14:paraId="4274708F" w14:textId="77777777" w:rsidR="00F42D04" w:rsidRPr="009118AB" w:rsidRDefault="00F42D04" w:rsidP="00E606D0">
      <w:pPr>
        <w:tabs>
          <w:tab w:val="left" w:pos="851"/>
        </w:tabs>
        <w:autoSpaceDE w:val="0"/>
        <w:autoSpaceDN w:val="0"/>
        <w:adjustRightInd w:val="0"/>
        <w:jc w:val="both"/>
        <w:rPr>
          <w:iCs/>
        </w:rPr>
      </w:pPr>
    </w:p>
    <w:p w14:paraId="080F0581" w14:textId="1EB24658" w:rsidR="00F42D04" w:rsidRPr="009118AB" w:rsidRDefault="00F42D04" w:rsidP="00E606D0">
      <w:pPr>
        <w:tabs>
          <w:tab w:val="left" w:pos="851"/>
        </w:tabs>
        <w:autoSpaceDE w:val="0"/>
        <w:autoSpaceDN w:val="0"/>
        <w:adjustRightInd w:val="0"/>
        <w:jc w:val="both"/>
      </w:pPr>
      <w:r w:rsidRPr="009118AB">
        <w:rPr>
          <w:i/>
          <w:iCs/>
        </w:rPr>
        <w:t>[</w:t>
      </w:r>
      <w:r w:rsidR="00D67EB8" w:rsidRPr="009118AB">
        <w:rPr>
          <w:i/>
          <w:iCs/>
        </w:rPr>
        <w:t>Art. </w:t>
      </w:r>
      <w:r w:rsidRPr="009118AB">
        <w:rPr>
          <w:i/>
          <w:iCs/>
        </w:rPr>
        <w:t xml:space="preserve">169 </w:t>
      </w:r>
      <w:r w:rsidR="00D67EB8" w:rsidRPr="009118AB">
        <w:rPr>
          <w:i/>
          <w:iCs/>
        </w:rPr>
        <w:t>§ </w:t>
      </w:r>
      <w:r w:rsidRPr="009118AB">
        <w:rPr>
          <w:i/>
          <w:iCs/>
        </w:rPr>
        <w:t xml:space="preserve">1 </w:t>
      </w:r>
      <w:r w:rsidR="00D67EB8" w:rsidRPr="009118AB">
        <w:rPr>
          <w:i/>
          <w:iCs/>
        </w:rPr>
        <w:t>Abs. </w:t>
      </w:r>
      <w:r w:rsidRPr="009118AB">
        <w:rPr>
          <w:i/>
          <w:iCs/>
        </w:rPr>
        <w:t xml:space="preserve">1 ersetzt durch </w:t>
      </w:r>
      <w:r w:rsidR="00D67EB8" w:rsidRPr="009118AB">
        <w:rPr>
          <w:i/>
          <w:iCs/>
        </w:rPr>
        <w:t>Art. </w:t>
      </w:r>
      <w:r w:rsidRPr="009118AB">
        <w:rPr>
          <w:i/>
          <w:iCs/>
        </w:rPr>
        <w:t>66</w:t>
      </w:r>
      <w:r w:rsidRPr="009118AB">
        <w:rPr>
          <w:i/>
        </w:rPr>
        <w:t xml:space="preserve"> des G. vom 8. Mai 2014 (B.S. vom 28. Mai 2014)</w:t>
      </w:r>
      <w:r w:rsidR="00D67EB8" w:rsidRPr="009118AB">
        <w:rPr>
          <w:i/>
        </w:rPr>
        <w:t> - </w:t>
      </w:r>
      <w:r w:rsidRPr="009118AB">
        <w:rPr>
          <w:i/>
          <w:iCs/>
        </w:rPr>
        <w:t>anwendbar ab dem Steuerjahr 2015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ersetzt durch </w:t>
      </w:r>
      <w:r w:rsidR="00D67EB8" w:rsidRPr="009118AB">
        <w:rPr>
          <w:i/>
          <w:iCs/>
        </w:rPr>
        <w:t>Art. </w:t>
      </w:r>
      <w:r w:rsidRPr="009118AB">
        <w:rPr>
          <w:i/>
          <w:iCs/>
        </w:rPr>
        <w:t>85 des G. vom 28. April 2003 (B.S. vom 15. Mai 2003)</w:t>
      </w:r>
      <w:r w:rsidR="00D67EB8" w:rsidRPr="009118AB">
        <w:rPr>
          <w:i/>
          <w:iCs/>
        </w:rPr>
        <w:t> - </w:t>
      </w:r>
      <w:r w:rsidRPr="009118AB">
        <w:rPr>
          <w:i/>
          <w:iCs/>
        </w:rPr>
        <w:t xml:space="preserve">anwendbar auf Leibrenten, Renten, Entschädigungen, andere als in </w:t>
      </w:r>
      <w:r w:rsidR="00D67EB8" w:rsidRPr="009118AB">
        <w:rPr>
          <w:i/>
          <w:iCs/>
        </w:rPr>
        <w:t>Art. </w:t>
      </w:r>
      <w:r w:rsidRPr="009118AB">
        <w:rPr>
          <w:i/>
          <w:iCs/>
        </w:rPr>
        <w:t xml:space="preserve">23 </w:t>
      </w:r>
      <w:r w:rsidR="00D67EB8" w:rsidRPr="009118AB">
        <w:rPr>
          <w:i/>
          <w:iCs/>
        </w:rPr>
        <w:t>§ </w:t>
      </w:r>
      <w:r w:rsidRPr="009118AB">
        <w:rPr>
          <w:i/>
          <w:iCs/>
        </w:rPr>
        <w:t xml:space="preserve">3 Buchstabe A </w:t>
      </w:r>
      <w:r w:rsidR="00D67EB8" w:rsidRPr="009118AB">
        <w:rPr>
          <w:i/>
          <w:iCs/>
        </w:rPr>
        <w:t>Nr. </w:t>
      </w:r>
      <w:r w:rsidRPr="009118AB">
        <w:rPr>
          <w:i/>
          <w:iCs/>
        </w:rPr>
        <w:t xml:space="preserve">6 erwähnte Kapitalien, Rückkaufswerte von </w:t>
      </w:r>
      <w:r w:rsidRPr="009118AB">
        <w:rPr>
          <w:rFonts w:ascii="Times New Roman Italique" w:hAnsi="Times New Roman Italique"/>
          <w:i/>
          <w:iCs/>
          <w:spacing w:val="-2"/>
        </w:rPr>
        <w:t xml:space="preserve">Lebensversicherungsverträgen, Pensionen und ergänzende Pensionen, die </w:t>
      </w:r>
      <w:r w:rsidRPr="009118AB">
        <w:rPr>
          <w:rFonts w:ascii="Times New Roman Italique" w:hAnsi="Times New Roman Italique"/>
          <w:i/>
          <w:iCs/>
          <w:spacing w:val="-2"/>
        </w:rPr>
        <w:lastRenderedPageBreak/>
        <w:t>ab dem 1. Januar 2004 ausgezahlt werden</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352 des G. (I) vom 27. Dezember 2006 (II) (B.S. vom 28. Dezember 2006)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2007</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Pr="009118AB">
        <w:rPr>
          <w:rFonts w:ascii="Times New Roman Italique" w:hAnsi="Times New Roman Italique" w:hint="eastAsia"/>
          <w:i/>
          <w:iCs/>
          <w:spacing w:val="-2"/>
        </w:rPr>
        <w:t>6</w:t>
      </w:r>
      <w:r w:rsidRPr="009118AB">
        <w:rPr>
          <w:rFonts w:ascii="Times New Roman Italique" w:hAnsi="Times New Roman Italique"/>
          <w:i/>
          <w:iCs/>
          <w:spacing w:val="-2"/>
        </w:rPr>
        <w:t>0 des G. vom 18. Februar 2018 (B.S. vom 30. März 2018)</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anwendbar ab dem </w:t>
      </w:r>
      <w:r w:rsidRPr="009118AB">
        <w:rPr>
          <w:i/>
          <w:iCs/>
          <w:spacing w:val="-2"/>
        </w:rPr>
        <w:t>Steuerjahr 2019</w:t>
      </w:r>
      <w:r w:rsidR="00D67EB8" w:rsidRPr="009118AB">
        <w:rPr>
          <w:i/>
          <w:iCs/>
          <w:spacing w:val="-2"/>
        </w:rPr>
        <w:t> - </w:t>
      </w:r>
      <w:r w:rsidRPr="009118AB">
        <w:rPr>
          <w:i/>
          <w:iCs/>
          <w:spacing w:val="-2"/>
        </w:rPr>
        <w:t xml:space="preserve">und </w:t>
      </w:r>
      <w:r w:rsidR="00D67EB8" w:rsidRPr="009118AB">
        <w:rPr>
          <w:i/>
          <w:iCs/>
          <w:spacing w:val="-2"/>
        </w:rPr>
        <w:t>Art. </w:t>
      </w:r>
      <w:r w:rsidRPr="009118AB">
        <w:rPr>
          <w:i/>
          <w:iCs/>
          <w:spacing w:val="-2"/>
        </w:rPr>
        <w:t>48 des G. vom 6. Dezember 2018 (B.S. vom 27. Dezember 2018)</w:t>
      </w:r>
      <w:r w:rsidR="00D67EB8" w:rsidRPr="009118AB">
        <w:rPr>
          <w:i/>
          <w:iCs/>
          <w:spacing w:val="-2"/>
        </w:rPr>
        <w:t> - </w:t>
      </w:r>
      <w:r w:rsidRPr="009118AB">
        <w:rPr>
          <w:i/>
          <w:iCs/>
          <w:spacing w:val="-2"/>
        </w:rPr>
        <w:t>in Kraft a</w:t>
      </w:r>
      <w:r w:rsidR="009D6F3E" w:rsidRPr="009118AB">
        <w:rPr>
          <w:i/>
          <w:iCs/>
          <w:spacing w:val="-2"/>
        </w:rPr>
        <w:t>b</w:t>
      </w:r>
      <w:r w:rsidRPr="009118AB">
        <w:rPr>
          <w:i/>
          <w:iCs/>
          <w:spacing w:val="-2"/>
        </w:rPr>
        <w:t xml:space="preserve"> dem Steuerjahr 2020</w:t>
      </w:r>
      <w:r w:rsidR="003366D9" w:rsidRPr="009118AB">
        <w:rPr>
          <w:i/>
          <w:iCs/>
          <w:spacing w:val="-2"/>
        </w:rPr>
        <w:t> -;</w:t>
      </w:r>
      <w:r w:rsidRPr="009118AB">
        <w:rPr>
          <w:i/>
          <w:iCs/>
          <w:spacing w:val="-2"/>
        </w:rPr>
        <w:t xml:space="preserve"> </w:t>
      </w:r>
      <w:r w:rsidR="00D67EB8" w:rsidRPr="009118AB">
        <w:rPr>
          <w:i/>
          <w:iCs/>
          <w:spacing w:val="-2"/>
        </w:rPr>
        <w:t>§ </w:t>
      </w:r>
      <w:r w:rsidRPr="009118AB">
        <w:rPr>
          <w:i/>
          <w:iCs/>
          <w:spacing w:val="-2"/>
        </w:rPr>
        <w:t xml:space="preserve">1 </w:t>
      </w:r>
      <w:r w:rsidR="00D67EB8" w:rsidRPr="009118AB">
        <w:rPr>
          <w:i/>
          <w:iCs/>
          <w:spacing w:val="-2"/>
        </w:rPr>
        <w:t>Abs. </w:t>
      </w:r>
      <w:r w:rsidRPr="009118AB">
        <w:rPr>
          <w:i/>
          <w:iCs/>
          <w:spacing w:val="-2"/>
        </w:rPr>
        <w:t xml:space="preserve">3 eingefügt durch </w:t>
      </w:r>
      <w:r w:rsidR="00D67EB8" w:rsidRPr="009118AB">
        <w:rPr>
          <w:i/>
          <w:iCs/>
          <w:spacing w:val="-2"/>
        </w:rPr>
        <w:t>Art. </w:t>
      </w:r>
      <w:r w:rsidRPr="009118AB">
        <w:rPr>
          <w:i/>
          <w:iCs/>
          <w:spacing w:val="-2"/>
        </w:rPr>
        <w:t xml:space="preserve">101 des G. vom </w:t>
      </w:r>
      <w:r w:rsidRPr="009118AB">
        <w:rPr>
          <w:i/>
          <w:iCs/>
        </w:rPr>
        <w:t>23. Dezember 2005 (B.S. vom 30. Dezember 2005)</w:t>
      </w:r>
      <w:r w:rsidR="00D67EB8" w:rsidRPr="009118AB">
        <w:rPr>
          <w:i/>
          <w:iCs/>
        </w:rPr>
        <w:t> - </w:t>
      </w:r>
      <w:r w:rsidRPr="009118AB">
        <w:rPr>
          <w:i/>
          <w:iCs/>
        </w:rPr>
        <w:t>anwendbar auf die ab dem 1. Januar 2006 ausgezahlten Kapitalien</w:t>
      </w:r>
      <w:r w:rsidR="00D67EB8" w:rsidRPr="009118AB">
        <w:rPr>
          <w:i/>
          <w:iCs/>
        </w:rPr>
        <w:t> - </w:t>
      </w:r>
      <w:r w:rsidRPr="009118AB">
        <w:rPr>
          <w:i/>
          <w:iCs/>
        </w:rPr>
        <w:t xml:space="preserve">und </w:t>
      </w:r>
      <w:r w:rsidR="00DF0C53" w:rsidRPr="009118AB">
        <w:rPr>
          <w:i/>
          <w:iCs/>
        </w:rPr>
        <w:t xml:space="preserve">ersetzt durch </w:t>
      </w:r>
      <w:r w:rsidR="00D67EB8" w:rsidRPr="009118AB">
        <w:rPr>
          <w:i/>
          <w:iCs/>
        </w:rPr>
        <w:t>Art. </w:t>
      </w:r>
      <w:r w:rsidR="00DF0C53" w:rsidRPr="009118AB">
        <w:rPr>
          <w:i/>
          <w:iCs/>
        </w:rPr>
        <w:t xml:space="preserve">3 </w:t>
      </w:r>
      <w:r w:rsidR="00D67EB8" w:rsidRPr="009118AB">
        <w:rPr>
          <w:i/>
          <w:iCs/>
        </w:rPr>
        <w:t>Nr. </w:t>
      </w:r>
      <w:r w:rsidR="00DF0C53" w:rsidRPr="009118AB">
        <w:rPr>
          <w:i/>
          <w:iCs/>
        </w:rPr>
        <w:t>1 des G. vom 27. Februar 2019 (B.S. vom 15. März 2019)</w:t>
      </w:r>
      <w:r w:rsidR="00D67EB8" w:rsidRPr="009118AB">
        <w:rPr>
          <w:i/>
          <w:iCs/>
        </w:rPr>
        <w:t> - </w:t>
      </w:r>
      <w:r w:rsidR="00DF0C53" w:rsidRPr="009118AB">
        <w:rPr>
          <w:i/>
          <w:iCs/>
        </w:rPr>
        <w:t>wirksam mit 1. Januar 2019 und anwendbar auf die ab dem 1. Januar 2019 getätigten Zahlungen von Kapitalien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4 eingefügt durch </w:t>
      </w:r>
      <w:r w:rsidR="00D67EB8" w:rsidRPr="009118AB">
        <w:rPr>
          <w:i/>
          <w:iCs/>
        </w:rPr>
        <w:t>Art. </w:t>
      </w:r>
      <w:r w:rsidRPr="009118AB">
        <w:rPr>
          <w:i/>
          <w:iCs/>
        </w:rPr>
        <w:t>101 des G. vom 23. Dezember 2005 (B.S. vom 30. Dezember 2005)</w:t>
      </w:r>
      <w:r w:rsidR="00D67EB8" w:rsidRPr="009118AB">
        <w:rPr>
          <w:i/>
          <w:iCs/>
        </w:rPr>
        <w:t> - </w:t>
      </w:r>
      <w:r w:rsidRPr="009118AB">
        <w:rPr>
          <w:i/>
          <w:iCs/>
        </w:rPr>
        <w:t>anwendbar auf die ab dem 1. Januar 2006 ausgezahlten Kapitalien</w:t>
      </w:r>
      <w:r w:rsidR="00D67EB8" w:rsidRPr="009118AB">
        <w:rPr>
          <w:i/>
          <w:iCs/>
        </w:rPr>
        <w:t> - </w:t>
      </w:r>
      <w:r w:rsidRPr="009118AB">
        <w:rPr>
          <w:i/>
          <w:iCs/>
        </w:rPr>
        <w:t xml:space="preserve">und ersetzt durch </w:t>
      </w:r>
      <w:r w:rsidR="00D67EB8" w:rsidRPr="009118AB">
        <w:rPr>
          <w:i/>
          <w:iCs/>
        </w:rPr>
        <w:t>Art. </w:t>
      </w:r>
      <w:r w:rsidR="00DF0C53" w:rsidRPr="009118AB">
        <w:rPr>
          <w:i/>
          <w:iCs/>
        </w:rPr>
        <w:t>3</w:t>
      </w:r>
      <w:r w:rsidRPr="009118AB">
        <w:rPr>
          <w:i/>
          <w:iCs/>
        </w:rPr>
        <w:t xml:space="preserve"> </w:t>
      </w:r>
      <w:r w:rsidR="00D67EB8" w:rsidRPr="009118AB">
        <w:rPr>
          <w:i/>
          <w:iCs/>
        </w:rPr>
        <w:t>Nr. </w:t>
      </w:r>
      <w:r w:rsidRPr="009118AB">
        <w:rPr>
          <w:i/>
          <w:iCs/>
        </w:rPr>
        <w:t>2</w:t>
      </w:r>
      <w:r w:rsidR="00DF0C53" w:rsidRPr="009118AB">
        <w:rPr>
          <w:i/>
          <w:iCs/>
        </w:rPr>
        <w:t xml:space="preserve"> des G. vom 27. Februar 2019 (B.S. vom 15. März 2019)</w:t>
      </w:r>
      <w:r w:rsidR="00D67EB8" w:rsidRPr="009118AB">
        <w:rPr>
          <w:i/>
          <w:iCs/>
        </w:rPr>
        <w:t> - </w:t>
      </w:r>
      <w:r w:rsidR="00DF0C53" w:rsidRPr="009118AB">
        <w:rPr>
          <w:i/>
          <w:iCs/>
        </w:rPr>
        <w:t>wirksam mit 1. Januar 2019 und anwendbar auf die ab dem 1. Januar 2019 getätigten Zahlungen von Kapitalien</w:t>
      </w:r>
      <w:r w:rsidR="003366D9" w:rsidRPr="009118AB">
        <w:rPr>
          <w:i/>
          <w:iCs/>
        </w:rPr>
        <w:t> -;</w:t>
      </w:r>
      <w:r w:rsidRPr="009118AB">
        <w:rPr>
          <w:i/>
          <w:iCs/>
        </w:rPr>
        <w:t xml:space="preserve"> </w:t>
      </w:r>
      <w:r w:rsidR="00D67EB8" w:rsidRPr="009118AB">
        <w:rPr>
          <w:i/>
          <w:iCs/>
        </w:rPr>
        <w:t>§ </w:t>
      </w:r>
      <w:r w:rsidRPr="009118AB">
        <w:rPr>
          <w:i/>
          <w:iCs/>
        </w:rPr>
        <w:t xml:space="preserve">2 ersetzt durch </w:t>
      </w:r>
      <w:r w:rsidR="00D67EB8" w:rsidRPr="009118AB">
        <w:rPr>
          <w:i/>
          <w:iCs/>
        </w:rPr>
        <w:t>Art. </w:t>
      </w:r>
      <w:r w:rsidRPr="009118AB">
        <w:rPr>
          <w:i/>
          <w:iCs/>
        </w:rPr>
        <w:t xml:space="preserve">14 </w:t>
      </w:r>
      <w:r w:rsidR="00D67EB8" w:rsidRPr="009118AB">
        <w:rPr>
          <w:i/>
          <w:iCs/>
        </w:rPr>
        <w:t>Nr. </w:t>
      </w:r>
      <w:r w:rsidRPr="009118AB">
        <w:rPr>
          <w:i/>
          <w:iCs/>
        </w:rPr>
        <w:t>2 des G. vom 28. Juli 1992 (B.S. vom 31. Juli 1992)</w:t>
      </w:r>
      <w:r w:rsidR="00D67EB8" w:rsidRPr="009118AB">
        <w:rPr>
          <w:i/>
          <w:iCs/>
        </w:rPr>
        <w:t> - </w:t>
      </w:r>
      <w:r w:rsidRPr="009118AB">
        <w:rPr>
          <w:i/>
          <w:iCs/>
        </w:rPr>
        <w:t>in Kraft ab dem Steuerjahr 1993</w:t>
      </w:r>
      <w:r w:rsidR="00FD68E8" w:rsidRPr="009118AB">
        <w:rPr>
          <w:i/>
          <w:iCs/>
        </w:rPr>
        <w:t> -]</w:t>
      </w:r>
    </w:p>
    <w:p w14:paraId="4352DA63" w14:textId="77777777" w:rsidR="00F42D04" w:rsidRPr="009118AB" w:rsidRDefault="00F42D04" w:rsidP="00E606D0">
      <w:pPr>
        <w:tabs>
          <w:tab w:val="left" w:pos="851"/>
        </w:tabs>
        <w:autoSpaceDE w:val="0"/>
        <w:autoSpaceDN w:val="0"/>
        <w:adjustRightInd w:val="0"/>
        <w:jc w:val="both"/>
      </w:pPr>
    </w:p>
    <w:p w14:paraId="5C90EE77" w14:textId="77777777" w:rsidR="00BB3D8A" w:rsidRPr="009118AB" w:rsidRDefault="00BB3D8A" w:rsidP="00E606D0">
      <w:pPr>
        <w:tabs>
          <w:tab w:val="left" w:pos="851"/>
        </w:tabs>
        <w:autoSpaceDE w:val="0"/>
        <w:autoSpaceDN w:val="0"/>
        <w:adjustRightInd w:val="0"/>
        <w:jc w:val="both"/>
      </w:pPr>
    </w:p>
    <w:p w14:paraId="3F1937A7" w14:textId="52CFFC4A"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170</w:t>
      </w:r>
      <w:r w:rsidR="00D67EB8" w:rsidRPr="009118AB">
        <w:rPr>
          <w:b/>
          <w:bCs/>
        </w:rPr>
        <w:t> - </w:t>
      </w:r>
      <w:r w:rsidRPr="009118AB">
        <w:t xml:space="preserve">Umfassen Einkünfte ein in </w:t>
      </w:r>
      <w:r w:rsidR="008234DF" w:rsidRPr="009118AB">
        <w:t xml:space="preserve">[Artikel 90 Absatz 1 </w:t>
      </w:r>
      <w:r w:rsidR="00D67EB8" w:rsidRPr="009118AB">
        <w:t>Nr. </w:t>
      </w:r>
      <w:r w:rsidR="008234DF" w:rsidRPr="009118AB">
        <w:t xml:space="preserve">3] </w:t>
      </w:r>
      <w:r w:rsidRPr="009118AB">
        <w:t>erwähntes Kapital, wird dieses Kapital für die Steuerberechnung nur bis zum Betrag der Jahresunterhaltsleistung berücksichtigt, die durch dieses Kapital ersetzt wird.</w:t>
      </w:r>
    </w:p>
    <w:p w14:paraId="4578D523" w14:textId="77777777" w:rsidR="00511D95" w:rsidRPr="009118AB" w:rsidRDefault="00511D95" w:rsidP="00511D95">
      <w:pPr>
        <w:autoSpaceDE w:val="0"/>
        <w:autoSpaceDN w:val="0"/>
        <w:adjustRightInd w:val="0"/>
        <w:jc w:val="both"/>
      </w:pPr>
    </w:p>
    <w:p w14:paraId="479586E4" w14:textId="2C7CA716" w:rsidR="00477B8F" w:rsidRPr="009118AB" w:rsidRDefault="00477B8F" w:rsidP="00511D95">
      <w:pPr>
        <w:autoSpaceDE w:val="0"/>
        <w:autoSpaceDN w:val="0"/>
        <w:adjustRightInd w:val="0"/>
        <w:jc w:val="both"/>
      </w:pPr>
      <w:r w:rsidRPr="009118AB">
        <w:tab/>
        <w:t xml:space="preserve">Der Betrag der Jahresunterhaltsleistung, der für die Steuerberechnung zu berücksichtigen ist, wird festgelegt, indem einer der in Artikel 169 </w:t>
      </w:r>
      <w:r w:rsidR="00D67EB8" w:rsidRPr="009118AB">
        <w:t>§ </w:t>
      </w:r>
      <w:r w:rsidRPr="009118AB">
        <w:t>1 vorgesehenen Umwandlungskoeffizienten auf das Kapital angewandt wird.</w:t>
      </w:r>
    </w:p>
    <w:p w14:paraId="4E64B73D" w14:textId="77777777" w:rsidR="00477B8F" w:rsidRPr="009118AB" w:rsidRDefault="00477B8F" w:rsidP="00477B8F">
      <w:pPr>
        <w:autoSpaceDE w:val="0"/>
        <w:autoSpaceDN w:val="0"/>
        <w:adjustRightInd w:val="0"/>
        <w:jc w:val="both"/>
      </w:pPr>
    </w:p>
    <w:p w14:paraId="08D673E8" w14:textId="77777777" w:rsidR="00477B8F" w:rsidRPr="009118AB" w:rsidRDefault="00477B8F" w:rsidP="00477B8F">
      <w:pPr>
        <w:autoSpaceDE w:val="0"/>
        <w:autoSpaceDN w:val="0"/>
        <w:adjustRightInd w:val="0"/>
        <w:jc w:val="both"/>
      </w:pPr>
      <w:r w:rsidRPr="009118AB">
        <w:tab/>
        <w:t>Ab dem Datum der Zahlung oder Zuerkennung dieses Kapitals und bis zum Todestag des Empfängers werden 80 Prozent des Betrags der Jahresunterhaltsleistung für jeden Besteuerungszeitraum zusammen mit den anderen Einkünften besteuert.</w:t>
      </w:r>
    </w:p>
    <w:p w14:paraId="26294F78" w14:textId="77777777" w:rsidR="008234DF" w:rsidRPr="009118AB" w:rsidRDefault="008234DF" w:rsidP="00477B8F">
      <w:pPr>
        <w:autoSpaceDE w:val="0"/>
        <w:autoSpaceDN w:val="0"/>
        <w:adjustRightInd w:val="0"/>
        <w:jc w:val="center"/>
      </w:pPr>
    </w:p>
    <w:p w14:paraId="19DA6D50" w14:textId="372AF4FC" w:rsidR="008234DF" w:rsidRPr="009118AB" w:rsidRDefault="008234DF" w:rsidP="008234DF">
      <w:pPr>
        <w:autoSpaceDE w:val="0"/>
        <w:autoSpaceDN w:val="0"/>
        <w:adjustRightInd w:val="0"/>
        <w:jc w:val="both"/>
        <w:rPr>
          <w:i/>
        </w:rPr>
      </w:pPr>
      <w:r w:rsidRPr="009118AB">
        <w:rPr>
          <w:i/>
        </w:rPr>
        <w:t>[</w:t>
      </w:r>
      <w:r w:rsidR="00D67EB8" w:rsidRPr="009118AB">
        <w:rPr>
          <w:i/>
        </w:rPr>
        <w:t>Art. </w:t>
      </w:r>
      <w:r w:rsidRPr="009118AB">
        <w:rPr>
          <w:i/>
        </w:rPr>
        <w:t xml:space="preserve">170 </w:t>
      </w:r>
      <w:r w:rsidR="00D67EB8" w:rsidRPr="009118AB">
        <w:rPr>
          <w:i/>
        </w:rPr>
        <w:t>Abs. </w:t>
      </w:r>
      <w:r w:rsidRPr="009118AB">
        <w:rPr>
          <w:i/>
        </w:rPr>
        <w:t xml:space="preserve">1 abgeändert durch </w:t>
      </w:r>
      <w:r w:rsidR="00D67EB8" w:rsidRPr="009118AB">
        <w:rPr>
          <w:i/>
        </w:rPr>
        <w:t>Art. </w:t>
      </w:r>
      <w:r w:rsidRPr="009118AB">
        <w:rPr>
          <w:i/>
        </w:rPr>
        <w:t>66 des G. vom 26. Dezember 2015 (II) (B.S. vom 30. Dezember 2015)</w:t>
      </w:r>
      <w:r w:rsidR="00D67EB8" w:rsidRPr="009118AB">
        <w:t> - </w:t>
      </w:r>
      <w:r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6BA04ACF" w14:textId="77777777" w:rsidR="008234DF" w:rsidRPr="009118AB" w:rsidRDefault="008234DF" w:rsidP="00477B8F">
      <w:pPr>
        <w:autoSpaceDE w:val="0"/>
        <w:autoSpaceDN w:val="0"/>
        <w:adjustRightInd w:val="0"/>
        <w:jc w:val="center"/>
        <w:rPr>
          <w:i/>
        </w:rPr>
      </w:pPr>
    </w:p>
    <w:p w14:paraId="7F62E29A" w14:textId="71A1A307" w:rsidR="00477B8F" w:rsidRPr="009118AB" w:rsidRDefault="00477B8F" w:rsidP="00477B8F">
      <w:pPr>
        <w:autoSpaceDE w:val="0"/>
        <w:autoSpaceDN w:val="0"/>
        <w:adjustRightInd w:val="0"/>
        <w:jc w:val="center"/>
      </w:pPr>
      <w:r w:rsidRPr="009118AB">
        <w:br w:type="page"/>
      </w:r>
      <w:r w:rsidRPr="009118AB">
        <w:lastRenderedPageBreak/>
        <w:t>Unterabschnitt </w:t>
      </w:r>
      <w:r w:rsidR="00D74862" w:rsidRPr="009118AB">
        <w:t>2</w:t>
      </w:r>
      <w:r w:rsidR="00D67EB8" w:rsidRPr="009118AB">
        <w:t> - </w:t>
      </w:r>
      <w:r w:rsidRPr="009118AB">
        <w:t>Getrennte Veranlagungen</w:t>
      </w:r>
    </w:p>
    <w:p w14:paraId="0F9C3472" w14:textId="77777777" w:rsidR="00477B8F" w:rsidRPr="009118AB" w:rsidRDefault="00477B8F" w:rsidP="00477B8F">
      <w:pPr>
        <w:autoSpaceDE w:val="0"/>
        <w:autoSpaceDN w:val="0"/>
        <w:adjustRightInd w:val="0"/>
        <w:jc w:val="both"/>
        <w:rPr>
          <w:i/>
          <w:iCs/>
        </w:rPr>
      </w:pPr>
    </w:p>
    <w:p w14:paraId="7694AEAF" w14:textId="77777777" w:rsidR="004D063D" w:rsidRPr="009118AB" w:rsidRDefault="004D063D" w:rsidP="00477B8F">
      <w:pPr>
        <w:autoSpaceDE w:val="0"/>
        <w:autoSpaceDN w:val="0"/>
        <w:adjustRightInd w:val="0"/>
        <w:jc w:val="both"/>
      </w:pPr>
    </w:p>
    <w:p w14:paraId="40FE7565" w14:textId="2C43AB0E" w:rsidR="00873CDF" w:rsidRPr="009118AB" w:rsidRDefault="00D67EB8" w:rsidP="00E606D0">
      <w:pPr>
        <w:autoSpaceDE w:val="0"/>
        <w:autoSpaceDN w:val="0"/>
        <w:adjustRightInd w:val="0"/>
        <w:ind w:firstLine="709"/>
        <w:jc w:val="both"/>
        <w:rPr>
          <w:iCs/>
        </w:rPr>
      </w:pPr>
      <w:r w:rsidRPr="009118AB">
        <w:rPr>
          <w:b/>
          <w:bCs/>
        </w:rPr>
        <w:t>Art. </w:t>
      </w:r>
      <w:r w:rsidR="00477B8F" w:rsidRPr="009118AB">
        <w:rPr>
          <w:b/>
          <w:bCs/>
        </w:rPr>
        <w:t>171</w:t>
      </w:r>
      <w:r w:rsidRPr="009118AB">
        <w:t> - </w:t>
      </w:r>
      <w:r w:rsidR="00873CDF" w:rsidRPr="009118AB">
        <w:rPr>
          <w:iCs/>
        </w:rPr>
        <w:t>[</w:t>
      </w:r>
      <w:r w:rsidR="00873CDF" w:rsidRPr="009118AB">
        <w:t xml:space="preserve">In Abweichung von den Artikeln 130 bis 145 und 146 bis 156 sind getrennt steuerpflichtig, außer wenn die derart berechnete Steuer, erhöht um die Staatssteuer in Bezug auf die anderen Einkünfte, höher ist als die gemäß den vorerwähnten Artikeln berechnete Steuer in Bezug auf die [in den Artikeln 17 </w:t>
      </w:r>
      <w:r w:rsidRPr="009118AB">
        <w:t>§ </w:t>
      </w:r>
      <w:r w:rsidR="00873CDF" w:rsidRPr="009118AB">
        <w:t xml:space="preserve">1 </w:t>
      </w:r>
      <w:r w:rsidRPr="009118AB">
        <w:t>Nr. </w:t>
      </w:r>
      <w:r w:rsidR="00873CDF" w:rsidRPr="009118AB">
        <w:t xml:space="preserve">1 bis 3 und 90 Absatz 1 </w:t>
      </w:r>
      <w:r w:rsidRPr="009118AB">
        <w:t>Nr. </w:t>
      </w:r>
      <w:r w:rsidR="00873CDF" w:rsidRPr="009118AB">
        <w:t xml:space="preserve">6 und 9] erwähnten Einkünfte und auf die aufgrund von [Artikel 90 Absatz 1 </w:t>
      </w:r>
      <w:r w:rsidRPr="009118AB">
        <w:t>Nr. </w:t>
      </w:r>
      <w:r w:rsidR="00873CDF" w:rsidRPr="009118AB">
        <w:t>1] steuerpflichtigen Mehrwerte auf Wertpapiere und Effekten, erhöht um die Staatssteuer in Bezug auf die Gesamtheit der anderen steuerpflichtigen Einkünfte:]</w:t>
      </w:r>
    </w:p>
    <w:p w14:paraId="7CEA8D69" w14:textId="77777777" w:rsidR="00873CDF" w:rsidRPr="009118AB" w:rsidRDefault="00873CDF" w:rsidP="00873CDF">
      <w:pPr>
        <w:autoSpaceDE w:val="0"/>
        <w:autoSpaceDN w:val="0"/>
        <w:adjustRightInd w:val="0"/>
        <w:jc w:val="both"/>
        <w:rPr>
          <w:iCs/>
        </w:rPr>
      </w:pPr>
    </w:p>
    <w:p w14:paraId="4D4000A9" w14:textId="77777777" w:rsidR="00873CDF" w:rsidRPr="009118AB" w:rsidRDefault="00873CDF" w:rsidP="00E606D0">
      <w:pPr>
        <w:autoSpaceDE w:val="0"/>
        <w:autoSpaceDN w:val="0"/>
        <w:adjustRightInd w:val="0"/>
        <w:ind w:firstLine="709"/>
        <w:jc w:val="both"/>
        <w:rPr>
          <w:iCs/>
        </w:rPr>
      </w:pPr>
      <w:r w:rsidRPr="009118AB">
        <w:rPr>
          <w:iCs/>
        </w:rPr>
        <w:t>1. zum Steuersatz von 33 Prozent:</w:t>
      </w:r>
    </w:p>
    <w:p w14:paraId="2B6635A1" w14:textId="77777777" w:rsidR="00873CDF" w:rsidRPr="009118AB" w:rsidRDefault="00873CDF" w:rsidP="00873CDF">
      <w:pPr>
        <w:autoSpaceDE w:val="0"/>
        <w:autoSpaceDN w:val="0"/>
        <w:adjustRightInd w:val="0"/>
        <w:jc w:val="both"/>
        <w:rPr>
          <w:iCs/>
        </w:rPr>
      </w:pPr>
      <w:r w:rsidRPr="009118AB">
        <w:rPr>
          <w:iCs/>
        </w:rPr>
        <w:tab/>
      </w:r>
    </w:p>
    <w:p w14:paraId="0B2419FD" w14:textId="0D4B47EE" w:rsidR="00873CDF" w:rsidRPr="009118AB" w:rsidRDefault="00873CDF" w:rsidP="00E606D0">
      <w:pPr>
        <w:autoSpaceDE w:val="0"/>
        <w:autoSpaceDN w:val="0"/>
        <w:adjustRightInd w:val="0"/>
        <w:ind w:firstLine="709"/>
        <w:jc w:val="both"/>
        <w:rPr>
          <w:iCs/>
        </w:rPr>
      </w:pPr>
      <w:r w:rsidRPr="003441F1">
        <w:rPr>
          <w:i/>
          <w:iCs/>
        </w:rPr>
        <w:t>a)</w:t>
      </w:r>
      <w:r w:rsidRPr="003441F1">
        <w:rPr>
          <w:iCs/>
        </w:rPr>
        <w:t xml:space="preserve"> [</w:t>
      </w:r>
      <w:r w:rsidRPr="003441F1">
        <w:t xml:space="preserve">in Artikel 90 Absatz 1 </w:t>
      </w:r>
      <w:r w:rsidR="00D67EB8" w:rsidRPr="003441F1">
        <w:t>Nr. </w:t>
      </w:r>
      <w:r w:rsidRPr="003441F1">
        <w:t>1, 9 erster Gedankenstrich und 12</w:t>
      </w:r>
      <w:r w:rsidR="003441F1" w:rsidRPr="003441F1">
        <w:t>]</w:t>
      </w:r>
      <w:r w:rsidRPr="003441F1">
        <w:t xml:space="preserve"> erwähnte verschiedene Einkünfte,</w:t>
      </w:r>
    </w:p>
    <w:p w14:paraId="609DFBF4" w14:textId="77777777" w:rsidR="00555B76" w:rsidRDefault="00555B76" w:rsidP="00E606D0">
      <w:pPr>
        <w:autoSpaceDE w:val="0"/>
        <w:autoSpaceDN w:val="0"/>
        <w:adjustRightInd w:val="0"/>
        <w:ind w:firstLine="709"/>
        <w:jc w:val="both"/>
        <w:rPr>
          <w:i/>
          <w:iCs/>
        </w:rPr>
      </w:pPr>
    </w:p>
    <w:p w14:paraId="0C5A147C" w14:textId="0F057D20" w:rsidR="00873CDF" w:rsidRPr="009118AB" w:rsidRDefault="00873CDF" w:rsidP="00E606D0">
      <w:pPr>
        <w:autoSpaceDE w:val="0"/>
        <w:autoSpaceDN w:val="0"/>
        <w:adjustRightInd w:val="0"/>
        <w:ind w:firstLine="709"/>
        <w:jc w:val="both"/>
        <w:rPr>
          <w:iCs/>
        </w:rPr>
      </w:pPr>
      <w:r w:rsidRPr="009118AB">
        <w:rPr>
          <w:i/>
          <w:iCs/>
        </w:rPr>
        <w:t>b)</w:t>
      </w:r>
      <w:r w:rsidRPr="009118AB">
        <w:rPr>
          <w:iCs/>
        </w:rPr>
        <w:t xml:space="preserve"> in [Artikel 90 Absatz 1 </w:t>
      </w:r>
      <w:r w:rsidR="00D67EB8" w:rsidRPr="009118AB">
        <w:rPr>
          <w:iCs/>
        </w:rPr>
        <w:t>Nr. </w:t>
      </w:r>
      <w:r w:rsidRPr="009118AB">
        <w:rPr>
          <w:iCs/>
        </w:rPr>
        <w:t>8] erwähnte Mehrwerte, wenn die Güter, auf die sie sich beziehen, innerhalb fünf Jahren nach ihrem Erwerb veräußert werden,</w:t>
      </w:r>
    </w:p>
    <w:p w14:paraId="76D09A02" w14:textId="77777777" w:rsidR="00873CDF" w:rsidRPr="009118AB" w:rsidRDefault="00873CDF" w:rsidP="00873CDF">
      <w:pPr>
        <w:autoSpaceDE w:val="0"/>
        <w:autoSpaceDN w:val="0"/>
        <w:adjustRightInd w:val="0"/>
        <w:jc w:val="both"/>
        <w:rPr>
          <w:iCs/>
        </w:rPr>
      </w:pPr>
    </w:p>
    <w:p w14:paraId="3BB14211" w14:textId="10AF4BE6" w:rsidR="00873CDF" w:rsidRPr="009118AB" w:rsidRDefault="00873CDF" w:rsidP="00E606D0">
      <w:pPr>
        <w:autoSpaceDE w:val="0"/>
        <w:autoSpaceDN w:val="0"/>
        <w:adjustRightInd w:val="0"/>
        <w:ind w:firstLine="709"/>
        <w:jc w:val="both"/>
        <w:rPr>
          <w:iCs/>
        </w:rPr>
      </w:pPr>
      <w:r w:rsidRPr="009118AB">
        <w:rPr>
          <w:iCs/>
        </w:rPr>
        <w:t>[</w:t>
      </w:r>
      <w:r w:rsidRPr="009118AB">
        <w:rPr>
          <w:i/>
          <w:iCs/>
        </w:rPr>
        <w:t>c)</w:t>
      </w:r>
      <w:r w:rsidRPr="009118AB">
        <w:rPr>
          <w:iCs/>
        </w:rPr>
        <w:t xml:space="preserve"> unbeschadet der Anwendung [</w:t>
      </w:r>
      <w:r w:rsidRPr="009118AB">
        <w:t xml:space="preserve">von </w:t>
      </w:r>
      <w:r w:rsidR="00D67EB8" w:rsidRPr="009118AB">
        <w:t>Nr. </w:t>
      </w:r>
      <w:r w:rsidRPr="009118AB">
        <w:t>2 Buchstabe </w:t>
      </w:r>
      <w:r w:rsidRPr="009118AB">
        <w:rPr>
          <w:i/>
        </w:rPr>
        <w:t>a)</w:t>
      </w:r>
      <w:r w:rsidRPr="009118AB">
        <w:t xml:space="preserve"> und </w:t>
      </w:r>
      <w:r w:rsidR="00D67EB8" w:rsidRPr="009118AB">
        <w:t>Nr. </w:t>
      </w:r>
      <w:r w:rsidRPr="009118AB">
        <w:t>4 Buchstabe </w:t>
      </w:r>
      <w:r w:rsidRPr="009118AB">
        <w:rPr>
          <w:i/>
        </w:rPr>
        <w:t>b)</w:t>
      </w:r>
      <w:r w:rsidRPr="009118AB">
        <w:rPr>
          <w:iCs/>
        </w:rPr>
        <w:t xml:space="preserve">], in Artikel 28 Absatz 1 </w:t>
      </w:r>
      <w:r w:rsidR="00D67EB8" w:rsidRPr="009118AB">
        <w:rPr>
          <w:iCs/>
        </w:rPr>
        <w:t>Nr. </w:t>
      </w:r>
      <w:r w:rsidRPr="009118AB">
        <w:rPr>
          <w:iCs/>
        </w:rPr>
        <w:t xml:space="preserve">1 erwähnte Einstellungsmehrwerte auf immaterielle Anlagen und in den Artikeln 25 </w:t>
      </w:r>
      <w:r w:rsidR="00D67EB8" w:rsidRPr="009118AB">
        <w:rPr>
          <w:iCs/>
        </w:rPr>
        <w:t>Nr. </w:t>
      </w:r>
      <w:r w:rsidRPr="009118AB">
        <w:rPr>
          <w:iCs/>
        </w:rPr>
        <w:t>6 Buchstabe </w:t>
      </w:r>
      <w:r w:rsidRPr="009118AB">
        <w:rPr>
          <w:i/>
          <w:iCs/>
        </w:rPr>
        <w:t>a)</w:t>
      </w:r>
      <w:r w:rsidRPr="009118AB">
        <w:rPr>
          <w:iCs/>
        </w:rPr>
        <w:t xml:space="preserve"> und 27 Absatz 2 </w:t>
      </w:r>
      <w:r w:rsidR="00D67EB8" w:rsidRPr="009118AB">
        <w:rPr>
          <w:iCs/>
        </w:rPr>
        <w:t>Nr. </w:t>
      </w:r>
      <w:r w:rsidRPr="009118AB">
        <w:rPr>
          <w:iCs/>
        </w:rPr>
        <w:t>4 Buchstabe </w:t>
      </w:r>
      <w:r w:rsidRPr="009118AB">
        <w:rPr>
          <w:i/>
          <w:iCs/>
        </w:rPr>
        <w:t>a)</w:t>
      </w:r>
      <w:r w:rsidRPr="009118AB">
        <w:rPr>
          <w:iCs/>
        </w:rPr>
        <w:t xml:space="preserve"> erwähnte Entschädigungen, die als Ausgleich für eine Verringerung der Tätigkeit bezogen werden, in dem Maße, wie sie die steuerpflichtigen Nettogewinne oder -profite aus der nicht mehr ausgeübten Tätigkeit, die während vier Jahren vor dem Jahr der Einstellung oder der Verringerung der Tätigkeit erzielt wurden, nicht übersteigen.</w:t>
      </w:r>
    </w:p>
    <w:p w14:paraId="1A4060C4" w14:textId="77777777" w:rsidR="00873CDF" w:rsidRPr="009118AB" w:rsidRDefault="00873CDF" w:rsidP="00873CDF">
      <w:pPr>
        <w:autoSpaceDE w:val="0"/>
        <w:autoSpaceDN w:val="0"/>
        <w:adjustRightInd w:val="0"/>
        <w:jc w:val="both"/>
        <w:rPr>
          <w:iCs/>
        </w:rPr>
      </w:pPr>
    </w:p>
    <w:p w14:paraId="32CD09D5" w14:textId="7FFC603C" w:rsidR="00873CDF" w:rsidRPr="009118AB" w:rsidRDefault="00873CDF" w:rsidP="00E606D0">
      <w:pPr>
        <w:autoSpaceDE w:val="0"/>
        <w:autoSpaceDN w:val="0"/>
        <w:adjustRightInd w:val="0"/>
        <w:ind w:firstLine="709"/>
        <w:jc w:val="both"/>
        <w:rPr>
          <w:iCs/>
        </w:rPr>
      </w:pPr>
      <w:r w:rsidRPr="009118AB">
        <w:rPr>
          <w:iCs/>
        </w:rPr>
        <w:t xml:space="preserve">Unter steuerpflichtigen Nettogewinnen oder -profiten jedes in vorhergehendem Absatz erwähnten Jahres versteht man die gemäß Artikel 23 </w:t>
      </w:r>
      <w:r w:rsidR="00D67EB8" w:rsidRPr="009118AB">
        <w:rPr>
          <w:iCs/>
        </w:rPr>
        <w:t>§ </w:t>
      </w:r>
      <w:r w:rsidRPr="009118AB">
        <w:rPr>
          <w:iCs/>
        </w:rPr>
        <w:t xml:space="preserve">2 </w:t>
      </w:r>
      <w:r w:rsidR="00D67EB8" w:rsidRPr="009118AB">
        <w:rPr>
          <w:iCs/>
        </w:rPr>
        <w:t>Nr. </w:t>
      </w:r>
      <w:r w:rsidRPr="009118AB">
        <w:rPr>
          <w:iCs/>
        </w:rPr>
        <w:t>1 festgelegten Einkünfte, mit Ausnahme jedoch der gemäß vorliegendem Unterabschnitt getrennt besteuerten Einkünfte,]</w:t>
      </w:r>
    </w:p>
    <w:p w14:paraId="7EFF06EB" w14:textId="77777777" w:rsidR="00873CDF" w:rsidRPr="009118AB" w:rsidRDefault="00873CDF" w:rsidP="00873CDF">
      <w:pPr>
        <w:autoSpaceDE w:val="0"/>
        <w:autoSpaceDN w:val="0"/>
        <w:adjustRightInd w:val="0"/>
        <w:jc w:val="both"/>
        <w:rPr>
          <w:iCs/>
        </w:rPr>
      </w:pPr>
    </w:p>
    <w:p w14:paraId="18B95DB5" w14:textId="58A1700F" w:rsidR="00873CDF" w:rsidRPr="009118AB" w:rsidRDefault="00873CDF" w:rsidP="00E606D0">
      <w:pPr>
        <w:autoSpaceDE w:val="0"/>
        <w:autoSpaceDN w:val="0"/>
        <w:adjustRightInd w:val="0"/>
        <w:ind w:firstLine="709"/>
        <w:jc w:val="both"/>
        <w:rPr>
          <w:iCs/>
        </w:rPr>
      </w:pPr>
      <w:r w:rsidRPr="009118AB">
        <w:rPr>
          <w:iCs/>
        </w:rPr>
        <w:t>[</w:t>
      </w:r>
      <w:r w:rsidRPr="009118AB">
        <w:rPr>
          <w:i/>
          <w:iCs/>
        </w:rPr>
        <w:t>d)</w:t>
      </w:r>
      <w:r w:rsidRPr="009118AB">
        <w:rPr>
          <w:iCs/>
        </w:rPr>
        <w:t xml:space="preserve"> [in [</w:t>
      </w:r>
      <w:r w:rsidR="00D67EB8" w:rsidRPr="009118AB">
        <w:rPr>
          <w:iCs/>
        </w:rPr>
        <w:t>Nr. </w:t>
      </w:r>
      <w:r w:rsidRPr="009118AB">
        <w:rPr>
          <w:iCs/>
        </w:rPr>
        <w:t>2</w:t>
      </w:r>
      <w:r w:rsidRPr="009118AB">
        <w:rPr>
          <w:i/>
          <w:iCs/>
        </w:rPr>
        <w:t>quater</w:t>
      </w:r>
      <w:r w:rsidRPr="009118AB">
        <w:rPr>
          <w:iCs/>
        </w:rPr>
        <w:t>, 3</w:t>
      </w:r>
      <w:r w:rsidRPr="009118AB">
        <w:rPr>
          <w:i/>
          <w:iCs/>
        </w:rPr>
        <w:t>bis</w:t>
      </w:r>
      <w:r w:rsidRPr="009118AB">
        <w:rPr>
          <w:iCs/>
        </w:rPr>
        <w:t xml:space="preserve"> Buchstabe </w:t>
      </w:r>
      <w:r w:rsidRPr="009118AB">
        <w:rPr>
          <w:i/>
          <w:iCs/>
        </w:rPr>
        <w:t>b)</w:t>
      </w:r>
      <w:r w:rsidRPr="009118AB">
        <w:rPr>
          <w:iCs/>
        </w:rPr>
        <w:t xml:space="preserve"> und 4 Buchstabe </w:t>
      </w:r>
      <w:r w:rsidRPr="009118AB">
        <w:rPr>
          <w:i/>
          <w:iCs/>
        </w:rPr>
        <w:t>f)</w:t>
      </w:r>
      <w:r w:rsidRPr="009118AB">
        <w:rPr>
          <w:iCs/>
        </w:rPr>
        <w:t>] erwähnte Kapitalien und Rückkaufswerte in dem Maße, wie sie durch die in Artikel 145</w:t>
      </w:r>
      <w:r w:rsidRPr="009118AB">
        <w:rPr>
          <w:iCs/>
          <w:vertAlign w:val="superscript"/>
        </w:rPr>
        <w:t>1</w:t>
      </w:r>
      <w:r w:rsidRPr="009118AB">
        <w:rPr>
          <w:iCs/>
        </w:rPr>
        <w:t xml:space="preserve"> </w:t>
      </w:r>
      <w:r w:rsidR="00D67EB8" w:rsidRPr="009118AB">
        <w:rPr>
          <w:iCs/>
        </w:rPr>
        <w:t>Nr. </w:t>
      </w:r>
      <w:r w:rsidRPr="009118AB">
        <w:rPr>
          <w:iCs/>
        </w:rPr>
        <w:t>1 erwähnten persönlichen Beiträge gebildet werden und nicht unter den in [</w:t>
      </w:r>
      <w:r w:rsidR="00D67EB8" w:rsidRPr="009118AB">
        <w:rPr>
          <w:iCs/>
        </w:rPr>
        <w:t>Nr. </w:t>
      </w:r>
      <w:r w:rsidRPr="009118AB">
        <w:rPr>
          <w:iCs/>
        </w:rPr>
        <w:t>2</w:t>
      </w:r>
      <w:r w:rsidRPr="009118AB">
        <w:rPr>
          <w:i/>
          <w:iCs/>
        </w:rPr>
        <w:t>quater</w:t>
      </w:r>
      <w:r w:rsidRPr="009118AB">
        <w:rPr>
          <w:iCs/>
        </w:rPr>
        <w:t>, 3</w:t>
      </w:r>
      <w:r w:rsidRPr="009118AB">
        <w:rPr>
          <w:i/>
          <w:iCs/>
        </w:rPr>
        <w:t>bis</w:t>
      </w:r>
      <w:r w:rsidRPr="009118AB">
        <w:rPr>
          <w:iCs/>
        </w:rPr>
        <w:t xml:space="preserve"> Buchstabe </w:t>
      </w:r>
      <w:r w:rsidRPr="009118AB">
        <w:rPr>
          <w:i/>
          <w:iCs/>
        </w:rPr>
        <w:t>b)</w:t>
      </w:r>
      <w:r w:rsidRPr="009118AB">
        <w:rPr>
          <w:iCs/>
        </w:rPr>
        <w:t xml:space="preserve"> und 4 Buchstabe </w:t>
      </w:r>
      <w:r w:rsidRPr="009118AB">
        <w:rPr>
          <w:i/>
          <w:iCs/>
        </w:rPr>
        <w:t>f)</w:t>
      </w:r>
      <w:r w:rsidRPr="009118AB">
        <w:rPr>
          <w:iCs/>
        </w:rPr>
        <w:t>] erwähnten Bedingungen ausgezahlt werden,]]</w:t>
      </w:r>
    </w:p>
    <w:p w14:paraId="1A4CB7CE" w14:textId="77777777" w:rsidR="00873CDF" w:rsidRPr="009118AB" w:rsidRDefault="00873CDF" w:rsidP="00873CDF">
      <w:pPr>
        <w:autoSpaceDE w:val="0"/>
        <w:autoSpaceDN w:val="0"/>
        <w:adjustRightInd w:val="0"/>
        <w:jc w:val="both"/>
        <w:rPr>
          <w:iCs/>
        </w:rPr>
      </w:pPr>
    </w:p>
    <w:p w14:paraId="0C342584" w14:textId="32D2BB28" w:rsidR="00873CDF" w:rsidRPr="009118AB" w:rsidRDefault="00873CDF" w:rsidP="00E606D0">
      <w:pPr>
        <w:autoSpaceDE w:val="0"/>
        <w:autoSpaceDN w:val="0"/>
        <w:adjustRightInd w:val="0"/>
        <w:ind w:firstLine="709"/>
        <w:jc w:val="both"/>
        <w:rPr>
          <w:iCs/>
        </w:rPr>
      </w:pPr>
      <w:r w:rsidRPr="009118AB">
        <w:rPr>
          <w:iCs/>
        </w:rPr>
        <w:t>[</w:t>
      </w:r>
      <w:r w:rsidRPr="009118AB">
        <w:rPr>
          <w:i/>
          <w:iCs/>
        </w:rPr>
        <w:t>e)</w:t>
      </w:r>
      <w:r w:rsidRPr="009118AB">
        <w:rPr>
          <w:iCs/>
        </w:rPr>
        <w:t xml:space="preserve"> [</w:t>
      </w:r>
      <w:r w:rsidR="002012F2" w:rsidRPr="009118AB">
        <w:rPr>
          <w:iCs/>
        </w:rPr>
        <w:t>[</w:t>
      </w:r>
      <w:r w:rsidR="002012F2" w:rsidRPr="009118AB">
        <w:t>Entlohnungen für Leistungen, die während höchstens fünfzig Tagen pro Jahr erbracht werden, die Gelegenheitsarbeitnehmern gezahlt oder zuerkannt werden</w:t>
      </w:r>
      <w:r w:rsidR="002012F2" w:rsidRPr="009118AB">
        <w:rPr>
          <w:iCs/>
        </w:rPr>
        <w:t>]</w:t>
      </w:r>
      <w:r w:rsidRPr="009118AB">
        <w:rPr>
          <w:iCs/>
        </w:rPr>
        <w:t>, die bei einem Arbeitgeber beschäftigt sind, der der Paritätischen Kommission für das Hotelgewerbe oder der Paritätischen Kommission für Leiharbeit untersteht, sofern der Entleiher der Paritätischen Kommission für das Hotelgewerbe untersteht, vorausgesetzt, dass Arbeitgeber und Arbeitnehmer einen Arbeitsvertrag für einen befristeten Zeitraum oder einen Arbeitsvertrag für eine genau bestimmte Arbeit für höchstens zwei aufeinander folgende Tage geschlossen haben, für die die Sozialversicherungsbeiträge auf der Grundlage der in Artikel 31</w:t>
      </w:r>
      <w:r w:rsidRPr="009118AB">
        <w:rPr>
          <w:i/>
          <w:iCs/>
        </w:rPr>
        <w:t>ter</w:t>
      </w:r>
      <w:r w:rsidRPr="009118AB">
        <w:rPr>
          <w:iCs/>
        </w:rPr>
        <w:t xml:space="preserve"> Absatz 2 des Königlichen Erlasses vom 28. November 1969 zur Ausführung des Gesetzes vom 27. Juni 1969 zur Revision des Erlassgesetzes vom 28. Dezember 1944 über die soziale Sicherheit der Arbeitnehmer erwähnten Stunden- oder Tagespauschale berechnet werden</w:t>
      </w:r>
      <w:r w:rsidR="002012F2" w:rsidRPr="009118AB">
        <w:rPr>
          <w:iCs/>
        </w:rPr>
        <w:t>[</w:t>
      </w:r>
      <w:r w:rsidR="002012F2" w:rsidRPr="009118AB">
        <w:t>, und Urlaubsgeld, das aufgrund der vorerwähnten Leistungen zuerkannt wird</w:t>
      </w:r>
      <w:r w:rsidR="002012F2" w:rsidRPr="009118AB">
        <w:rPr>
          <w:iCs/>
        </w:rPr>
        <w:t>]</w:t>
      </w:r>
      <w:r w:rsidRPr="009118AB">
        <w:rPr>
          <w:iCs/>
        </w:rPr>
        <w:t>,]]</w:t>
      </w:r>
    </w:p>
    <w:p w14:paraId="478FFDF6" w14:textId="77777777" w:rsidR="00873CDF" w:rsidRPr="009118AB" w:rsidRDefault="00873CDF" w:rsidP="00873CDF">
      <w:pPr>
        <w:autoSpaceDE w:val="0"/>
        <w:autoSpaceDN w:val="0"/>
        <w:adjustRightInd w:val="0"/>
        <w:jc w:val="both"/>
        <w:rPr>
          <w:iCs/>
        </w:rPr>
      </w:pPr>
    </w:p>
    <w:p w14:paraId="7A0EAB5E" w14:textId="0652EFAF" w:rsidR="00873CDF" w:rsidRPr="009118AB" w:rsidRDefault="00873CDF" w:rsidP="00E606D0">
      <w:pPr>
        <w:autoSpaceDE w:val="0"/>
        <w:autoSpaceDN w:val="0"/>
        <w:adjustRightInd w:val="0"/>
        <w:ind w:firstLine="709"/>
        <w:jc w:val="both"/>
        <w:rPr>
          <w:iCs/>
        </w:rPr>
      </w:pPr>
      <w:r w:rsidRPr="009118AB">
        <w:rPr>
          <w:iCs/>
        </w:rPr>
        <w:lastRenderedPageBreak/>
        <w:t>[</w:t>
      </w:r>
      <w:r w:rsidRPr="009118AB">
        <w:rPr>
          <w:i/>
          <w:iCs/>
        </w:rPr>
        <w:t>f)</w:t>
      </w:r>
      <w:r w:rsidRPr="009118AB">
        <w:rPr>
          <w:iCs/>
        </w:rPr>
        <w:t xml:space="preserve"> in </w:t>
      </w:r>
      <w:r w:rsidR="00D67EB8" w:rsidRPr="009118AB">
        <w:rPr>
          <w:iCs/>
        </w:rPr>
        <w:t>Nr. </w:t>
      </w:r>
      <w:r w:rsidRPr="009118AB">
        <w:rPr>
          <w:iCs/>
        </w:rPr>
        <w:t>2 Buchstabe </w:t>
      </w:r>
      <w:r w:rsidRPr="009118AB">
        <w:rPr>
          <w:i/>
          <w:iCs/>
        </w:rPr>
        <w:t>d)</w:t>
      </w:r>
      <w:r w:rsidRPr="009118AB">
        <w:rPr>
          <w:iCs/>
        </w:rPr>
        <w:t xml:space="preserve"> erwähnte Rückkaufswerte, wenn sie auf andere Weise ausgezahlt werden,]</w:t>
      </w:r>
    </w:p>
    <w:p w14:paraId="1FD12FA9" w14:textId="77777777" w:rsidR="00873CDF" w:rsidRPr="009118AB" w:rsidRDefault="00873CDF" w:rsidP="00873CDF">
      <w:pPr>
        <w:autoSpaceDE w:val="0"/>
        <w:autoSpaceDN w:val="0"/>
        <w:adjustRightInd w:val="0"/>
        <w:jc w:val="both"/>
        <w:rPr>
          <w:iCs/>
        </w:rPr>
      </w:pPr>
    </w:p>
    <w:p w14:paraId="371E1946" w14:textId="42F158E2" w:rsidR="00873CDF" w:rsidRPr="009118AB" w:rsidRDefault="00873CDF" w:rsidP="00E606D0">
      <w:pPr>
        <w:autoSpaceDE w:val="0"/>
        <w:autoSpaceDN w:val="0"/>
        <w:adjustRightInd w:val="0"/>
        <w:ind w:firstLine="709"/>
        <w:jc w:val="both"/>
        <w:rPr>
          <w:iCs/>
        </w:rPr>
      </w:pPr>
      <w:r w:rsidRPr="009118AB">
        <w:rPr>
          <w:iCs/>
        </w:rPr>
        <w:t>[</w:t>
      </w:r>
      <w:r w:rsidRPr="009118AB">
        <w:rPr>
          <w:i/>
          <w:iCs/>
        </w:rPr>
        <w:t xml:space="preserve">g) </w:t>
      </w:r>
      <w:r w:rsidRPr="009118AB">
        <w:rPr>
          <w:iCs/>
        </w:rPr>
        <w:t xml:space="preserve">[in </w:t>
      </w:r>
      <w:r w:rsidR="00D67EB8" w:rsidRPr="009118AB">
        <w:rPr>
          <w:iCs/>
        </w:rPr>
        <w:t>Nr. </w:t>
      </w:r>
      <w:r w:rsidRPr="009118AB">
        <w:rPr>
          <w:iCs/>
        </w:rPr>
        <w:t>1</w:t>
      </w:r>
      <w:r w:rsidRPr="009118AB">
        <w:rPr>
          <w:i/>
          <w:iCs/>
        </w:rPr>
        <w:t>bis</w:t>
      </w:r>
      <w:r w:rsidRPr="009118AB">
        <w:rPr>
          <w:iCs/>
        </w:rPr>
        <w:t xml:space="preserve"> erwähnte] Sparguthaben, Kapitalien und Rückkaufswerte, wenn sie auf andere Weise ausgezahlt werden,]</w:t>
      </w:r>
    </w:p>
    <w:p w14:paraId="18BC52B9" w14:textId="77777777" w:rsidR="00873CDF" w:rsidRPr="009118AB" w:rsidRDefault="00873CDF" w:rsidP="00873CDF">
      <w:pPr>
        <w:autoSpaceDE w:val="0"/>
        <w:autoSpaceDN w:val="0"/>
        <w:adjustRightInd w:val="0"/>
        <w:jc w:val="both"/>
        <w:rPr>
          <w:iCs/>
        </w:rPr>
      </w:pPr>
    </w:p>
    <w:p w14:paraId="0BBE30D8" w14:textId="560C0FA1" w:rsidR="00873CDF" w:rsidRPr="009118AB" w:rsidRDefault="00873CDF" w:rsidP="00E606D0">
      <w:pPr>
        <w:autoSpaceDE w:val="0"/>
        <w:autoSpaceDN w:val="0"/>
        <w:adjustRightInd w:val="0"/>
        <w:ind w:firstLine="709"/>
        <w:jc w:val="both"/>
        <w:rPr>
          <w:iCs/>
        </w:rPr>
      </w:pPr>
      <w:r w:rsidRPr="009118AB">
        <w:rPr>
          <w:iCs/>
        </w:rPr>
        <w:t>[</w:t>
      </w:r>
      <w:r w:rsidRPr="009118AB">
        <w:rPr>
          <w:i/>
          <w:iCs/>
        </w:rPr>
        <w:t>h)</w:t>
      </w:r>
      <w:r w:rsidRPr="009118AB">
        <w:rPr>
          <w:iCs/>
        </w:rPr>
        <w:t xml:space="preserve"> in </w:t>
      </w:r>
      <w:r w:rsidR="00D67EB8" w:rsidRPr="009118AB">
        <w:rPr>
          <w:iCs/>
        </w:rPr>
        <w:t>Nr. </w:t>
      </w:r>
      <w:r w:rsidRPr="009118AB">
        <w:rPr>
          <w:iCs/>
        </w:rPr>
        <w:t>4 Buchstabe </w:t>
      </w:r>
      <w:r w:rsidRPr="009118AB">
        <w:rPr>
          <w:i/>
          <w:iCs/>
        </w:rPr>
        <w:t>g)</w:t>
      </w:r>
      <w:r w:rsidRPr="009118AB">
        <w:rPr>
          <w:iCs/>
        </w:rPr>
        <w:t xml:space="preserve"> erwähnte Kapitalien, die als Pensionen gelten, wenn sie unter den in </w:t>
      </w:r>
      <w:r w:rsidR="00D67EB8" w:rsidRPr="009118AB">
        <w:rPr>
          <w:iCs/>
        </w:rPr>
        <w:t>Nr. </w:t>
      </w:r>
      <w:r w:rsidRPr="009118AB">
        <w:rPr>
          <w:iCs/>
        </w:rPr>
        <w:t>4 Buchstabe </w:t>
      </w:r>
      <w:r w:rsidRPr="009118AB">
        <w:rPr>
          <w:i/>
          <w:iCs/>
        </w:rPr>
        <w:t>g)</w:t>
      </w:r>
      <w:r w:rsidRPr="009118AB">
        <w:rPr>
          <w:iCs/>
        </w:rPr>
        <w:t xml:space="preserve"> er</w:t>
      </w:r>
      <w:r w:rsidRPr="009118AB">
        <w:rPr>
          <w:iCs/>
        </w:rPr>
        <w:softHyphen/>
        <w:t xml:space="preserve">wähnten Bedingungen vom Arbeitgeber oder Unternehmen an einen anderen Empfänger als den in </w:t>
      </w:r>
      <w:r w:rsidR="00D67EB8" w:rsidRPr="009118AB">
        <w:rPr>
          <w:iCs/>
        </w:rPr>
        <w:t>Nr. </w:t>
      </w:r>
      <w:r w:rsidRPr="009118AB">
        <w:rPr>
          <w:iCs/>
        </w:rPr>
        <w:t>4 Buchstabe </w:t>
      </w:r>
      <w:r w:rsidRPr="009118AB">
        <w:rPr>
          <w:i/>
          <w:iCs/>
        </w:rPr>
        <w:t>g)</w:t>
      </w:r>
      <w:r w:rsidRPr="009118AB">
        <w:rPr>
          <w:iCs/>
        </w:rPr>
        <w:t xml:space="preserve"> erwähnten Empfänger gezahlt werden, ohne dass sie durch vorhergehende Zahlungen gebildet wurden,]</w:t>
      </w:r>
    </w:p>
    <w:p w14:paraId="1A647356" w14:textId="77777777" w:rsidR="00873CDF" w:rsidRPr="009118AB" w:rsidRDefault="00873CDF" w:rsidP="00873CDF">
      <w:pPr>
        <w:autoSpaceDE w:val="0"/>
        <w:autoSpaceDN w:val="0"/>
        <w:adjustRightInd w:val="0"/>
        <w:jc w:val="both"/>
        <w:rPr>
          <w:iCs/>
        </w:rPr>
      </w:pPr>
    </w:p>
    <w:p w14:paraId="1AA96BCF" w14:textId="01D6100A" w:rsidR="00873CDF" w:rsidRPr="009118AB" w:rsidRDefault="00873CDF" w:rsidP="00E606D0">
      <w:pPr>
        <w:autoSpaceDE w:val="0"/>
        <w:autoSpaceDN w:val="0"/>
        <w:adjustRightInd w:val="0"/>
        <w:ind w:firstLine="709"/>
        <w:jc w:val="both"/>
        <w:rPr>
          <w:iCs/>
        </w:rPr>
      </w:pPr>
      <w:r w:rsidRPr="009118AB">
        <w:rPr>
          <w:i/>
          <w:iCs/>
        </w:rPr>
        <w:t>i)</w:t>
      </w:r>
      <w:r w:rsidRPr="009118AB">
        <w:rPr>
          <w:iCs/>
        </w:rPr>
        <w:t xml:space="preserve"> [Berufseinkünfte</w:t>
      </w:r>
      <w:r w:rsidR="00D67EB8" w:rsidRPr="009118AB">
        <w:rPr>
          <w:iCs/>
        </w:rPr>
        <w:t> - </w:t>
      </w:r>
      <w:r w:rsidRPr="009118AB">
        <w:rPr>
          <w:iCs/>
        </w:rPr>
        <w:t>mit Ausnahme der Entlohnungen von Unternehmensleitern</w:t>
      </w:r>
      <w:r w:rsidR="00FD68E8" w:rsidRPr="009118AB">
        <w:rPr>
          <w:iCs/>
        </w:rPr>
        <w:t> -,</w:t>
      </w:r>
      <w:r w:rsidRPr="009118AB">
        <w:rPr>
          <w:iCs/>
        </w:rPr>
        <w:t xml:space="preserve"> die folgenden Personen gezahlt oder zuerkannt werden, für einen Höchstbetrag von 12.300 EUR brutto pro Besteuerungszeitraum:]</w:t>
      </w:r>
    </w:p>
    <w:p w14:paraId="70999533" w14:textId="77777777" w:rsidR="00873CDF" w:rsidRPr="009118AB" w:rsidRDefault="00873CDF" w:rsidP="00873CDF">
      <w:pPr>
        <w:autoSpaceDE w:val="0"/>
        <w:autoSpaceDN w:val="0"/>
        <w:adjustRightInd w:val="0"/>
        <w:jc w:val="both"/>
        <w:rPr>
          <w:iCs/>
        </w:rPr>
      </w:pPr>
    </w:p>
    <w:p w14:paraId="4EFDBDC9" w14:textId="0F725E99" w:rsidR="00873CDF" w:rsidRPr="009118AB" w:rsidRDefault="00873CDF" w:rsidP="00E606D0">
      <w:pPr>
        <w:autoSpaceDE w:val="0"/>
        <w:autoSpaceDN w:val="0"/>
        <w:adjustRightInd w:val="0"/>
        <w:ind w:firstLine="709"/>
        <w:jc w:val="both"/>
        <w:rPr>
          <w:iCs/>
        </w:rPr>
      </w:pPr>
      <w:r w:rsidRPr="009118AB">
        <w:rPr>
          <w:iCs/>
        </w:rPr>
        <w:t>- Sportlern [für ihre] sportlichen Aktivitäten, sofern sie am 1. Januar des Steuer</w:t>
      </w:r>
      <w:r w:rsidRPr="009118AB">
        <w:rPr>
          <w:iCs/>
        </w:rPr>
        <w:softHyphen/>
        <w:t xml:space="preserve">jahres mindestens </w:t>
      </w:r>
      <w:r w:rsidR="007C4C1C" w:rsidRPr="009118AB">
        <w:rPr>
          <w:iCs/>
        </w:rPr>
        <w:t>[</w:t>
      </w:r>
      <w:r w:rsidRPr="009118AB">
        <w:rPr>
          <w:iCs/>
        </w:rPr>
        <w:t>2</w:t>
      </w:r>
      <w:r w:rsidR="007C4C1C" w:rsidRPr="009118AB">
        <w:rPr>
          <w:iCs/>
        </w:rPr>
        <w:t>3</w:t>
      </w:r>
      <w:r w:rsidRPr="009118AB">
        <w:rPr>
          <w:iCs/>
        </w:rPr>
        <w:t> Jahre</w:t>
      </w:r>
      <w:r w:rsidR="007C4C1C" w:rsidRPr="009118AB">
        <w:rPr>
          <w:iCs/>
        </w:rPr>
        <w:t>]</w:t>
      </w:r>
      <w:r w:rsidRPr="009118AB">
        <w:rPr>
          <w:iCs/>
        </w:rPr>
        <w:t xml:space="preserve"> alt sind,</w:t>
      </w:r>
    </w:p>
    <w:p w14:paraId="7766B663" w14:textId="77777777" w:rsidR="00873CDF" w:rsidRPr="009118AB" w:rsidRDefault="00873CDF" w:rsidP="00873CDF">
      <w:pPr>
        <w:autoSpaceDE w:val="0"/>
        <w:autoSpaceDN w:val="0"/>
        <w:adjustRightInd w:val="0"/>
        <w:jc w:val="both"/>
        <w:rPr>
          <w:iCs/>
        </w:rPr>
      </w:pPr>
    </w:p>
    <w:p w14:paraId="3A6FE329" w14:textId="77777777" w:rsidR="00873CDF" w:rsidRPr="009118AB" w:rsidRDefault="00873CDF" w:rsidP="00E606D0">
      <w:pPr>
        <w:autoSpaceDE w:val="0"/>
        <w:autoSpaceDN w:val="0"/>
        <w:adjustRightInd w:val="0"/>
        <w:ind w:firstLine="709"/>
        <w:jc w:val="both"/>
        <w:rPr>
          <w:iCs/>
        </w:rPr>
      </w:pPr>
      <w:r w:rsidRPr="009118AB">
        <w:rPr>
          <w:iCs/>
        </w:rPr>
        <w:t>- Schiedsrichtern [für ihre] Tätigkeiten als Schiedsrichter bei Sportwettkämpfen,</w:t>
      </w:r>
    </w:p>
    <w:p w14:paraId="716A64A6" w14:textId="77777777" w:rsidR="00873CDF" w:rsidRPr="009118AB" w:rsidRDefault="00873CDF" w:rsidP="00873CDF">
      <w:pPr>
        <w:autoSpaceDE w:val="0"/>
        <w:autoSpaceDN w:val="0"/>
        <w:adjustRightInd w:val="0"/>
        <w:jc w:val="both"/>
        <w:rPr>
          <w:iCs/>
        </w:rPr>
      </w:pPr>
    </w:p>
    <w:p w14:paraId="19A41C75" w14:textId="77777777" w:rsidR="00873CDF" w:rsidRPr="009118AB" w:rsidRDefault="00873CDF" w:rsidP="00E606D0">
      <w:pPr>
        <w:autoSpaceDE w:val="0"/>
        <w:autoSpaceDN w:val="0"/>
        <w:adjustRightInd w:val="0"/>
        <w:ind w:firstLine="709"/>
        <w:jc w:val="both"/>
        <w:rPr>
          <w:iCs/>
        </w:rPr>
      </w:pPr>
      <w:r w:rsidRPr="009118AB">
        <w:rPr>
          <w:iCs/>
        </w:rPr>
        <w:t>- Ausbildern, Trainern und Betreuern [für ihre ausbildende, betreuende oder unterstützende Tätigkeit] zugunsten von Sportlern,</w:t>
      </w:r>
    </w:p>
    <w:p w14:paraId="47E47A90" w14:textId="77777777" w:rsidR="00873CDF" w:rsidRPr="009118AB" w:rsidRDefault="00873CDF" w:rsidP="00873CDF">
      <w:pPr>
        <w:autoSpaceDE w:val="0"/>
        <w:autoSpaceDN w:val="0"/>
        <w:adjustRightInd w:val="0"/>
        <w:jc w:val="both"/>
        <w:rPr>
          <w:iCs/>
        </w:rPr>
      </w:pPr>
    </w:p>
    <w:p w14:paraId="233EB9C9" w14:textId="77777777" w:rsidR="00873CDF" w:rsidRPr="009118AB" w:rsidRDefault="00873CDF" w:rsidP="00E606D0">
      <w:pPr>
        <w:autoSpaceDE w:val="0"/>
        <w:autoSpaceDN w:val="0"/>
        <w:adjustRightInd w:val="0"/>
        <w:ind w:firstLine="709"/>
        <w:jc w:val="both"/>
        <w:rPr>
          <w:iCs/>
        </w:rPr>
      </w:pPr>
      <w:r w:rsidRPr="009118AB">
        <w:rPr>
          <w:iCs/>
        </w:rPr>
        <w:t>unter der Bedingung, dass sie aufgrund einer anderen Berufstätigkeit Berufseinkünfte beziehen, deren steuerpflichtiger Gesamtbruttobetrag höher ist als der steuerpflichtige Gesamt</w:t>
      </w:r>
      <w:r w:rsidRPr="009118AB">
        <w:rPr>
          <w:iCs/>
        </w:rPr>
        <w:softHyphen/>
        <w:t>bruttobetrag der Berufseinkünfte, [die sie aufgrund der Gesamtheit ihrer vorerwähnten Tätigkeiten im Sport</w:t>
      </w:r>
      <w:r w:rsidRPr="009118AB">
        <w:rPr>
          <w:iCs/>
        </w:rPr>
        <w:softHyphen/>
        <w:t>sektor beziehen],]</w:t>
      </w:r>
    </w:p>
    <w:p w14:paraId="386A14D5" w14:textId="77777777" w:rsidR="00873CDF" w:rsidRPr="009118AB" w:rsidRDefault="00873CDF" w:rsidP="00873CDF">
      <w:pPr>
        <w:autoSpaceDE w:val="0"/>
        <w:autoSpaceDN w:val="0"/>
        <w:adjustRightInd w:val="0"/>
        <w:jc w:val="both"/>
        <w:rPr>
          <w:iCs/>
        </w:rPr>
      </w:pPr>
    </w:p>
    <w:p w14:paraId="58AE0DCA" w14:textId="1B79E956" w:rsidR="00873CDF" w:rsidRPr="009118AB" w:rsidRDefault="00873CDF" w:rsidP="00E606D0">
      <w:pPr>
        <w:autoSpaceDE w:val="0"/>
        <w:autoSpaceDN w:val="0"/>
        <w:adjustRightInd w:val="0"/>
        <w:ind w:firstLine="709"/>
        <w:jc w:val="both"/>
        <w:rPr>
          <w:iCs/>
        </w:rPr>
      </w:pPr>
      <w:r w:rsidRPr="009118AB">
        <w:rPr>
          <w:iCs/>
        </w:rPr>
        <w:t>[</w:t>
      </w:r>
      <w:r w:rsidRPr="009118AB">
        <w:rPr>
          <w:i/>
        </w:rPr>
        <w:t>j)</w:t>
      </w:r>
      <w:r w:rsidRPr="009118AB">
        <w:t xml:space="preserve"> in </w:t>
      </w:r>
      <w:r w:rsidR="00D67EB8" w:rsidRPr="009118AB">
        <w:t>Nr. </w:t>
      </w:r>
      <w:r w:rsidRPr="009118AB">
        <w:t>2 Buchstabe </w:t>
      </w:r>
      <w:r w:rsidRPr="009118AB">
        <w:rPr>
          <w:i/>
        </w:rPr>
        <w:t>c)</w:t>
      </w:r>
      <w:r w:rsidRPr="009118AB">
        <w:t xml:space="preserve"> erwähnte Kapitalien und Rückkaufswerte, wenn sie auf andere Weise ausgezahlt werden,</w:t>
      </w:r>
      <w:r w:rsidRPr="009118AB">
        <w:rPr>
          <w:iCs/>
        </w:rPr>
        <w:t>]</w:t>
      </w:r>
    </w:p>
    <w:p w14:paraId="2853D321" w14:textId="77777777" w:rsidR="00873CDF" w:rsidRPr="009118AB" w:rsidRDefault="00873CDF" w:rsidP="00873CDF">
      <w:pPr>
        <w:autoSpaceDE w:val="0"/>
        <w:autoSpaceDN w:val="0"/>
        <w:adjustRightInd w:val="0"/>
        <w:jc w:val="both"/>
        <w:rPr>
          <w:iCs/>
        </w:rPr>
      </w:pPr>
    </w:p>
    <w:p w14:paraId="32D75D2D" w14:textId="2ECD4178" w:rsidR="00873CDF" w:rsidRPr="009118AB" w:rsidRDefault="00873CDF" w:rsidP="00E606D0">
      <w:pPr>
        <w:autoSpaceDE w:val="0"/>
        <w:autoSpaceDN w:val="0"/>
        <w:adjustRightInd w:val="0"/>
        <w:ind w:firstLine="709"/>
        <w:jc w:val="both"/>
        <w:rPr>
          <w:iCs/>
        </w:rPr>
      </w:pPr>
      <w:r w:rsidRPr="009118AB">
        <w:rPr>
          <w:iCs/>
        </w:rPr>
        <w:t>[1</w:t>
      </w:r>
      <w:r w:rsidRPr="009118AB">
        <w:rPr>
          <w:i/>
          <w:iCs/>
        </w:rPr>
        <w:t>bis</w:t>
      </w:r>
      <w:r w:rsidRPr="009118AB">
        <w:rPr>
          <w:iCs/>
        </w:rPr>
        <w:t>. [zum Steuersatz von 8 Prozent: Sparguthaben, Kapitalien und Rückkaufswerte, die im Rahmen des Pensionssparens durch die in Artikel 145</w:t>
      </w:r>
      <w:r w:rsidRPr="009118AB">
        <w:rPr>
          <w:iCs/>
          <w:vertAlign w:val="superscript"/>
        </w:rPr>
        <w:t>1</w:t>
      </w:r>
      <w:r w:rsidRPr="009118AB">
        <w:rPr>
          <w:iCs/>
        </w:rPr>
        <w:t xml:space="preserve"> </w:t>
      </w:r>
      <w:r w:rsidR="00D67EB8" w:rsidRPr="009118AB">
        <w:rPr>
          <w:iCs/>
        </w:rPr>
        <w:t>Nr. </w:t>
      </w:r>
      <w:r w:rsidRPr="009118AB">
        <w:rPr>
          <w:iCs/>
        </w:rPr>
        <w:t>5 erwähnten Zahlungen gebildet werden, wenn sie dem Empfänger anlässlich seiner Versetzung in den Ruhestand am normalen Datum oder in einem der fünf Jahre vor diesem Datum oder anlässlich des Todes der Person, deren Rechtsnachfolger er ist, ausgezahlt werden,]]</w:t>
      </w:r>
    </w:p>
    <w:p w14:paraId="0B1E4611" w14:textId="77777777" w:rsidR="00873CDF" w:rsidRPr="009118AB" w:rsidRDefault="00873CDF" w:rsidP="00873CDF">
      <w:pPr>
        <w:autoSpaceDE w:val="0"/>
        <w:autoSpaceDN w:val="0"/>
        <w:adjustRightInd w:val="0"/>
        <w:jc w:val="both"/>
        <w:rPr>
          <w:iCs/>
        </w:rPr>
      </w:pPr>
    </w:p>
    <w:p w14:paraId="2372AEED" w14:textId="77777777" w:rsidR="00873CDF" w:rsidRPr="009118AB" w:rsidRDefault="00873CDF" w:rsidP="00E606D0">
      <w:pPr>
        <w:autoSpaceDE w:val="0"/>
        <w:autoSpaceDN w:val="0"/>
        <w:adjustRightInd w:val="0"/>
        <w:ind w:firstLine="709"/>
        <w:jc w:val="both"/>
        <w:rPr>
          <w:iCs/>
        </w:rPr>
      </w:pPr>
      <w:r w:rsidRPr="009118AB">
        <w:rPr>
          <w:iCs/>
        </w:rPr>
        <w:t>2. [zum Steuersatz von 10 Prozent:</w:t>
      </w:r>
    </w:p>
    <w:p w14:paraId="01AD8F25" w14:textId="77777777" w:rsidR="00873CDF" w:rsidRPr="009118AB" w:rsidRDefault="00873CDF" w:rsidP="00873CDF">
      <w:pPr>
        <w:autoSpaceDE w:val="0"/>
        <w:autoSpaceDN w:val="0"/>
        <w:adjustRightInd w:val="0"/>
        <w:jc w:val="both"/>
        <w:rPr>
          <w:iCs/>
        </w:rPr>
      </w:pPr>
    </w:p>
    <w:p w14:paraId="7A593822" w14:textId="4CB864AA" w:rsidR="00873CDF" w:rsidRPr="009118AB" w:rsidRDefault="00873CDF" w:rsidP="00E606D0">
      <w:pPr>
        <w:autoSpaceDE w:val="0"/>
        <w:autoSpaceDN w:val="0"/>
        <w:adjustRightInd w:val="0"/>
        <w:ind w:firstLine="709"/>
        <w:jc w:val="both"/>
      </w:pPr>
      <w:r w:rsidRPr="009118AB">
        <w:rPr>
          <w:i/>
          <w:iCs/>
        </w:rPr>
        <w:t>a)</w:t>
      </w:r>
      <w:r w:rsidRPr="009118AB">
        <w:rPr>
          <w:iCs/>
        </w:rPr>
        <w:t xml:space="preserve"> [</w:t>
      </w:r>
      <w:r w:rsidRPr="009118AB">
        <w:t xml:space="preserve">in Artikel 28 Absatz 1 </w:t>
      </w:r>
      <w:r w:rsidR="00D67EB8" w:rsidRPr="009118AB">
        <w:t>Nr. </w:t>
      </w:r>
      <w:r w:rsidRPr="009118AB">
        <w:t>1 erwähnte Einstellungsmehrwerte, die anlässlich der Einstellung der Tätigkeit ab dem Alter von sechzig Jahren oder aufgrund des Todes oder anlässlich einer zwangsweisen definitiven Einstellung verwirklicht oder festgestellt werden auf:</w:t>
      </w:r>
    </w:p>
    <w:p w14:paraId="4BCB6B50" w14:textId="77777777" w:rsidR="00873CDF" w:rsidRPr="009118AB" w:rsidRDefault="00873CDF" w:rsidP="00873CDF">
      <w:pPr>
        <w:autoSpaceDE w:val="0"/>
        <w:autoSpaceDN w:val="0"/>
        <w:adjustRightInd w:val="0"/>
        <w:jc w:val="both"/>
      </w:pPr>
    </w:p>
    <w:p w14:paraId="55E0A950" w14:textId="239A8325" w:rsidR="00873CDF" w:rsidRPr="009118AB" w:rsidRDefault="00873CDF" w:rsidP="00E606D0">
      <w:pPr>
        <w:autoSpaceDE w:val="0"/>
        <w:autoSpaceDN w:val="0"/>
        <w:adjustRightInd w:val="0"/>
        <w:ind w:firstLine="709"/>
        <w:jc w:val="both"/>
      </w:pPr>
      <w:r w:rsidRPr="009118AB">
        <w:t xml:space="preserve">- immaterielle Anlagen in dem Maße, wie sie die in </w:t>
      </w:r>
      <w:r w:rsidR="00D67EB8" w:rsidRPr="009118AB">
        <w:t>Nr. </w:t>
      </w:r>
      <w:r w:rsidRPr="009118AB">
        <w:t>1 Buchstabe </w:t>
      </w:r>
      <w:r w:rsidRPr="009118AB">
        <w:rPr>
          <w:i/>
        </w:rPr>
        <w:t>c)</w:t>
      </w:r>
      <w:r w:rsidRPr="009118AB">
        <w:t xml:space="preserve"> erwähnte Grenze nicht übersteigen,</w:t>
      </w:r>
    </w:p>
    <w:p w14:paraId="26CC4652" w14:textId="77777777" w:rsidR="00873CDF" w:rsidRPr="009118AB" w:rsidRDefault="00873CDF" w:rsidP="00873CDF">
      <w:pPr>
        <w:autoSpaceDE w:val="0"/>
        <w:autoSpaceDN w:val="0"/>
        <w:adjustRightInd w:val="0"/>
        <w:jc w:val="both"/>
      </w:pPr>
    </w:p>
    <w:p w14:paraId="05B26C9E" w14:textId="77777777" w:rsidR="00873CDF" w:rsidRPr="009118AB" w:rsidRDefault="00873CDF" w:rsidP="00E606D0">
      <w:pPr>
        <w:autoSpaceDE w:val="0"/>
        <w:autoSpaceDN w:val="0"/>
        <w:adjustRightInd w:val="0"/>
        <w:ind w:firstLine="709"/>
        <w:jc w:val="both"/>
      </w:pPr>
      <w:r w:rsidRPr="009118AB">
        <w:t>- Aktiva, die keine immateriellen Anlagen sind.</w:t>
      </w:r>
    </w:p>
    <w:p w14:paraId="28FD9F0D" w14:textId="77777777" w:rsidR="00873CDF" w:rsidRPr="009118AB" w:rsidRDefault="00873CDF" w:rsidP="00873CDF">
      <w:pPr>
        <w:autoSpaceDE w:val="0"/>
        <w:autoSpaceDN w:val="0"/>
        <w:adjustRightInd w:val="0"/>
        <w:jc w:val="both"/>
      </w:pPr>
    </w:p>
    <w:p w14:paraId="24CB6B4C" w14:textId="6A8244BD" w:rsidR="00873CDF" w:rsidRPr="009118AB" w:rsidRDefault="00873CDF" w:rsidP="00E606D0">
      <w:pPr>
        <w:autoSpaceDE w:val="0"/>
        <w:autoSpaceDN w:val="0"/>
        <w:adjustRightInd w:val="0"/>
        <w:ind w:firstLine="709"/>
        <w:jc w:val="both"/>
        <w:rPr>
          <w:iCs/>
        </w:rPr>
      </w:pPr>
      <w:r w:rsidRPr="009118AB">
        <w:t xml:space="preserve">Unter zwangsweiser definitiver Einstellung versteht man die definitive Einstellung, die die Folge eines Schadensfalls, einer Enteignung, einer Eigentumsrequirierung oder eines </w:t>
      </w:r>
      <w:r w:rsidRPr="009118AB">
        <w:lastRenderedPageBreak/>
        <w:t xml:space="preserve">anderen ähnlichen Ereignisses ist, ebenso wie die definitive Einstellung, die die Folge einer in Artikel 135 Absatz 1 </w:t>
      </w:r>
      <w:r w:rsidR="00D67EB8" w:rsidRPr="009118AB">
        <w:t>Nr. </w:t>
      </w:r>
      <w:r w:rsidRPr="009118AB">
        <w:t>1 erwähnten Behinderung ist,</w:t>
      </w:r>
      <w:r w:rsidRPr="009118AB">
        <w:rPr>
          <w:iCs/>
        </w:rPr>
        <w:t>]</w:t>
      </w:r>
    </w:p>
    <w:p w14:paraId="2AE01794" w14:textId="77777777" w:rsidR="00873CDF" w:rsidRPr="009118AB" w:rsidRDefault="00873CDF" w:rsidP="00873CDF">
      <w:pPr>
        <w:autoSpaceDE w:val="0"/>
        <w:autoSpaceDN w:val="0"/>
        <w:adjustRightInd w:val="0"/>
        <w:jc w:val="both"/>
        <w:rPr>
          <w:iCs/>
        </w:rPr>
      </w:pPr>
    </w:p>
    <w:p w14:paraId="71F561DA" w14:textId="2176B960" w:rsidR="00873CDF" w:rsidRPr="009118AB" w:rsidRDefault="00873CDF" w:rsidP="00E606D0">
      <w:pPr>
        <w:autoSpaceDE w:val="0"/>
        <w:autoSpaceDN w:val="0"/>
        <w:adjustRightInd w:val="0"/>
        <w:ind w:firstLine="709"/>
        <w:jc w:val="both"/>
        <w:rPr>
          <w:iCs/>
        </w:rPr>
      </w:pPr>
      <w:r w:rsidRPr="009118AB">
        <w:rPr>
          <w:i/>
          <w:iCs/>
        </w:rPr>
        <w:t>b)</w:t>
      </w:r>
      <w:r w:rsidRPr="009118AB">
        <w:rPr>
          <w:iCs/>
        </w:rPr>
        <w:t xml:space="preserve"> [in </w:t>
      </w:r>
      <w:r w:rsidR="00D67EB8" w:rsidRPr="009118AB">
        <w:rPr>
          <w:iCs/>
        </w:rPr>
        <w:t>Nr. </w:t>
      </w:r>
      <w:r w:rsidRPr="009118AB">
        <w:rPr>
          <w:iCs/>
        </w:rPr>
        <w:t>4 Buchstabe </w:t>
      </w:r>
      <w:r w:rsidRPr="009118AB">
        <w:rPr>
          <w:i/>
          <w:iCs/>
        </w:rPr>
        <w:t>f)</w:t>
      </w:r>
      <w:r w:rsidRPr="009118AB">
        <w:rPr>
          <w:iCs/>
        </w:rPr>
        <w:t xml:space="preserve"> erwähnte Kapitalien und Rückkaufswerte in dem Maße, </w:t>
      </w:r>
    </w:p>
    <w:p w14:paraId="6DB7E745" w14:textId="77777777" w:rsidR="00873CDF" w:rsidRPr="009118AB" w:rsidRDefault="00873CDF" w:rsidP="00873CDF">
      <w:pPr>
        <w:autoSpaceDE w:val="0"/>
        <w:autoSpaceDN w:val="0"/>
        <w:adjustRightInd w:val="0"/>
        <w:jc w:val="both"/>
        <w:rPr>
          <w:iCs/>
        </w:rPr>
      </w:pPr>
    </w:p>
    <w:p w14:paraId="433044AB" w14:textId="67F73382" w:rsidR="00873CDF" w:rsidRPr="009118AB" w:rsidRDefault="00873CDF" w:rsidP="00E606D0">
      <w:pPr>
        <w:autoSpaceDE w:val="0"/>
        <w:autoSpaceDN w:val="0"/>
        <w:adjustRightInd w:val="0"/>
        <w:ind w:firstLine="709"/>
        <w:jc w:val="both"/>
        <w:rPr>
          <w:iCs/>
        </w:rPr>
      </w:pPr>
      <w:r w:rsidRPr="009118AB">
        <w:rPr>
          <w:iCs/>
        </w:rPr>
        <w:t>- wie sie durch die in Artikel 145</w:t>
      </w:r>
      <w:r w:rsidRPr="009118AB">
        <w:rPr>
          <w:iCs/>
          <w:vertAlign w:val="superscript"/>
        </w:rPr>
        <w:t>1</w:t>
      </w:r>
      <w:r w:rsidRPr="009118AB">
        <w:rPr>
          <w:iCs/>
        </w:rPr>
        <w:t xml:space="preserve"> </w:t>
      </w:r>
      <w:r w:rsidR="00D67EB8" w:rsidRPr="009118AB">
        <w:rPr>
          <w:iCs/>
        </w:rPr>
        <w:t>Nr. </w:t>
      </w:r>
      <w:r w:rsidRPr="009118AB">
        <w:rPr>
          <w:iCs/>
        </w:rPr>
        <w:t>1 erwähnten persönlichen Beiträge gebildet werden und unter den in [</w:t>
      </w:r>
      <w:r w:rsidR="00D67EB8" w:rsidRPr="009118AB">
        <w:rPr>
          <w:iCs/>
        </w:rPr>
        <w:t>Nr. </w:t>
      </w:r>
      <w:r w:rsidRPr="009118AB">
        <w:rPr>
          <w:iCs/>
        </w:rPr>
        <w:t>2</w:t>
      </w:r>
      <w:r w:rsidRPr="009118AB">
        <w:rPr>
          <w:i/>
          <w:iCs/>
        </w:rPr>
        <w:t>quater</w:t>
      </w:r>
      <w:r w:rsidRPr="009118AB">
        <w:rPr>
          <w:iCs/>
        </w:rPr>
        <w:t>, 3</w:t>
      </w:r>
      <w:r w:rsidRPr="009118AB">
        <w:rPr>
          <w:i/>
          <w:iCs/>
        </w:rPr>
        <w:t>bis</w:t>
      </w:r>
      <w:r w:rsidRPr="009118AB">
        <w:rPr>
          <w:iCs/>
        </w:rPr>
        <w:t xml:space="preserve"> und 4 Buchstabe </w:t>
      </w:r>
      <w:r w:rsidRPr="009118AB">
        <w:rPr>
          <w:i/>
          <w:iCs/>
        </w:rPr>
        <w:t>f)</w:t>
      </w:r>
      <w:r w:rsidRPr="009118AB">
        <w:rPr>
          <w:iCs/>
        </w:rPr>
        <w:t>] erwähnten Bedingungen ausgezahlt werden,</w:t>
      </w:r>
    </w:p>
    <w:p w14:paraId="2DC71EAD" w14:textId="77777777" w:rsidR="00873CDF" w:rsidRPr="009118AB" w:rsidRDefault="00873CDF" w:rsidP="00873CDF">
      <w:pPr>
        <w:autoSpaceDE w:val="0"/>
        <w:autoSpaceDN w:val="0"/>
        <w:adjustRightInd w:val="0"/>
        <w:jc w:val="both"/>
        <w:rPr>
          <w:iCs/>
        </w:rPr>
      </w:pPr>
    </w:p>
    <w:p w14:paraId="4AF0A26C" w14:textId="77777777" w:rsidR="00873CDF" w:rsidRPr="009118AB" w:rsidRDefault="00873CDF" w:rsidP="00E606D0">
      <w:pPr>
        <w:autoSpaceDE w:val="0"/>
        <w:autoSpaceDN w:val="0"/>
        <w:adjustRightInd w:val="0"/>
        <w:ind w:firstLine="709"/>
        <w:jc w:val="both"/>
        <w:rPr>
          <w:iCs/>
        </w:rPr>
      </w:pPr>
      <w:r w:rsidRPr="009118AB">
        <w:rPr>
          <w:iCs/>
        </w:rPr>
        <w:t>- [wie es sich um Kapitalien handelt, die durch Arbeitgeber- oder Unternehmens</w:t>
      </w:r>
      <w:r w:rsidRPr="009118AB">
        <w:rPr>
          <w:iCs/>
        </w:rPr>
        <w:softHyphen/>
        <w:t>beiträge gebildet werden und zu Lebzeiten frühestens bei Erreichen des gesetzlichen Ruhe</w:t>
      </w:r>
      <w:r w:rsidRPr="009118AB">
        <w:rPr>
          <w:iCs/>
        </w:rPr>
        <w:softHyphen/>
        <w:t>standsalters dem Empfänger, der mindestens bis zu diesem Alter tatsächlich aktiv geblieben ist, ausgezahlt werden oder im Todesfall nach Erreichen des gesetzlichen Ruhestandsalters, wenn der Verstorbene bis zu diesem Alter tatsächlich aktiv geblieben ist, ausgezahlt werden,]]</w:t>
      </w:r>
    </w:p>
    <w:p w14:paraId="0C93DF55" w14:textId="77777777" w:rsidR="00873CDF" w:rsidRPr="009118AB" w:rsidRDefault="00873CDF" w:rsidP="00873CDF">
      <w:pPr>
        <w:autoSpaceDE w:val="0"/>
        <w:autoSpaceDN w:val="0"/>
        <w:adjustRightInd w:val="0"/>
        <w:jc w:val="both"/>
        <w:rPr>
          <w:iCs/>
        </w:rPr>
      </w:pPr>
    </w:p>
    <w:p w14:paraId="1FEB680B" w14:textId="77777777" w:rsidR="00563019" w:rsidRPr="009118AB" w:rsidRDefault="00563019" w:rsidP="00E606D0">
      <w:pPr>
        <w:autoSpaceDE w:val="0"/>
        <w:autoSpaceDN w:val="0"/>
        <w:adjustRightInd w:val="0"/>
        <w:ind w:firstLine="709"/>
        <w:jc w:val="both"/>
        <w:rPr>
          <w:iCs/>
        </w:rPr>
      </w:pPr>
      <w:r w:rsidRPr="009118AB">
        <w:rPr>
          <w:iCs/>
        </w:rPr>
        <w:t>[- wie es sich um Kapitalien handelt, die durch Arbeitgeber- oder Unternehmensbeiträge gebildet werden und zu Lebzeiten frühestens bei Erreichen des Alters, in dem gemäß den geltenden Rechtsvorschriften in Sachen Pensionen die Bedingungen für eine vollständige Laufbahn erfüllt sind, dem Empfänger, der mindestens bis zu diesem Alter tatsächlich aktiv geblieben ist, ausgezahlt werden oder im Todesfall nach Erreichen des Alters, in dem die Bedingungen für eine vollständige Laufbahn erfüllt sind, wenn der Verstorbene bis zu diesem Alter tatsächlich aktiv geblieben ist, ausgezahlt werden,]</w:t>
      </w:r>
    </w:p>
    <w:p w14:paraId="25032F43" w14:textId="77777777" w:rsidR="00563019" w:rsidRPr="009118AB" w:rsidRDefault="00563019" w:rsidP="00873CDF">
      <w:pPr>
        <w:autoSpaceDE w:val="0"/>
        <w:autoSpaceDN w:val="0"/>
        <w:adjustRightInd w:val="0"/>
        <w:jc w:val="both"/>
        <w:rPr>
          <w:iCs/>
        </w:rPr>
      </w:pPr>
    </w:p>
    <w:p w14:paraId="0638D8D6" w14:textId="36E918B1" w:rsidR="00873CDF" w:rsidRPr="009118AB" w:rsidRDefault="00873CDF" w:rsidP="00E606D0">
      <w:pPr>
        <w:autoSpaceDE w:val="0"/>
        <w:autoSpaceDN w:val="0"/>
        <w:adjustRightInd w:val="0"/>
        <w:ind w:firstLine="709"/>
        <w:jc w:val="both"/>
        <w:rPr>
          <w:iCs/>
        </w:rPr>
      </w:pPr>
      <w:r w:rsidRPr="009118AB">
        <w:rPr>
          <w:i/>
          <w:iCs/>
        </w:rPr>
        <w:t>c)</w:t>
      </w:r>
      <w:r w:rsidRPr="009118AB">
        <w:rPr>
          <w:iCs/>
        </w:rPr>
        <w:t xml:space="preserve"> [</w:t>
      </w:r>
      <w:r w:rsidRPr="009118AB">
        <w:t xml:space="preserve">Kapitalien und Rückkaufswerte, die in </w:t>
      </w:r>
      <w:r w:rsidR="003A4B89" w:rsidRPr="009118AB">
        <w:t>[</w:t>
      </w:r>
      <w:r w:rsidRPr="009118AB">
        <w:t xml:space="preserve">Artikel 34 </w:t>
      </w:r>
      <w:r w:rsidR="00D67EB8" w:rsidRPr="009118AB">
        <w:t>§ </w:t>
      </w:r>
      <w:r w:rsidRPr="009118AB">
        <w:t xml:space="preserve">1 </w:t>
      </w:r>
      <w:r w:rsidR="00D67EB8" w:rsidRPr="009118AB">
        <w:t>Nr. </w:t>
      </w:r>
      <w:r w:rsidRPr="009118AB">
        <w:t xml:space="preserve">2 Absatz 1 Buchstabe c/1 und </w:t>
      </w:r>
      <w:r w:rsidR="00D67EB8" w:rsidRPr="009118AB">
        <w:t>Nr. </w:t>
      </w:r>
      <w:r w:rsidRPr="009118AB">
        <w:t>2</w:t>
      </w:r>
      <w:r w:rsidRPr="009118AB">
        <w:rPr>
          <w:i/>
        </w:rPr>
        <w:t>ter</w:t>
      </w:r>
      <w:r w:rsidRPr="009118AB">
        <w:rPr>
          <w:iCs/>
        </w:rPr>
        <w:t>]</w:t>
      </w:r>
      <w:r w:rsidRPr="009118AB">
        <w:t xml:space="preserve"> erwähnte Einkünfte bilden, die nicht gemäß Artikel 169 </w:t>
      </w:r>
      <w:r w:rsidR="00D67EB8" w:rsidRPr="009118AB">
        <w:t>§ </w:t>
      </w:r>
      <w:r w:rsidRPr="009118AB">
        <w:t>1 steuerpflichtig sind, wenn sie dem Empfänger zu Lebzeiten ausgezahlt werden ab dem Alter, an dem er die Bedingungen erfüllt, um seine Ruhestandspension zu erhalten, ob vorzeitig oder nicht, oder anlässlich des Todes der Person, deren Rechtsnachfolger er ist,</w:t>
      </w:r>
      <w:r w:rsidRPr="009118AB">
        <w:rPr>
          <w:iCs/>
        </w:rPr>
        <w:t>]</w:t>
      </w:r>
    </w:p>
    <w:p w14:paraId="4DE345C2" w14:textId="77777777" w:rsidR="00873CDF" w:rsidRPr="009118AB" w:rsidRDefault="00873CDF" w:rsidP="00873CDF">
      <w:pPr>
        <w:autoSpaceDE w:val="0"/>
        <w:autoSpaceDN w:val="0"/>
        <w:adjustRightInd w:val="0"/>
        <w:jc w:val="both"/>
        <w:rPr>
          <w:iCs/>
        </w:rPr>
      </w:pPr>
    </w:p>
    <w:p w14:paraId="22F81046" w14:textId="5EBE687C" w:rsidR="00873CDF" w:rsidRPr="009118AB" w:rsidRDefault="00873CDF" w:rsidP="00E606D0">
      <w:pPr>
        <w:autoSpaceDE w:val="0"/>
        <w:autoSpaceDN w:val="0"/>
        <w:adjustRightInd w:val="0"/>
        <w:ind w:firstLine="709"/>
        <w:jc w:val="both"/>
        <w:rPr>
          <w:iCs/>
        </w:rPr>
      </w:pPr>
      <w:r w:rsidRPr="009118AB">
        <w:rPr>
          <w:i/>
          <w:iCs/>
        </w:rPr>
        <w:t>d)</w:t>
      </w:r>
      <w:r w:rsidRPr="009118AB">
        <w:rPr>
          <w:iCs/>
        </w:rPr>
        <w:t xml:space="preserve"> [Kapitalien und Rückkaufswerte [</w:t>
      </w:r>
      <w:r w:rsidRPr="009118AB">
        <w:t>der Lebensversicherungs</w:t>
      </w:r>
      <w:r w:rsidRPr="009118AB">
        <w:softHyphen/>
        <w:t xml:space="preserve">verträge, die durch die in Artikel 34 </w:t>
      </w:r>
      <w:r w:rsidR="00D67EB8" w:rsidRPr="009118AB">
        <w:t>§ </w:t>
      </w:r>
      <w:r w:rsidRPr="009118AB">
        <w:t xml:space="preserve">1 </w:t>
      </w:r>
      <w:r w:rsidR="00D67EB8" w:rsidRPr="009118AB">
        <w:t>Nr. </w:t>
      </w:r>
      <w:r w:rsidRPr="009118AB">
        <w:t>2 Absatz 1 Buchstabe </w:t>
      </w:r>
      <w:r w:rsidRPr="009118AB">
        <w:rPr>
          <w:i/>
        </w:rPr>
        <w:t>d)</w:t>
      </w:r>
      <w:r w:rsidRPr="009118AB">
        <w:t xml:space="preserve"> und </w:t>
      </w:r>
      <w:r w:rsidRPr="009118AB">
        <w:rPr>
          <w:i/>
        </w:rPr>
        <w:t>e)</w:t>
      </w:r>
      <w:r w:rsidRPr="009118AB">
        <w:t xml:space="preserve"> erwähnten Beiträge gebildet werden,</w:t>
      </w:r>
      <w:r w:rsidRPr="009118AB">
        <w:rPr>
          <w:iCs/>
        </w:rPr>
        <w:t xml:space="preserve">] wenn diese Kapitalien bei Tod des Versicherten oder bei normalem Vertragsablauf ausgezahlt werden oder wenn diese Rückkaufswerte in einem der fünf Jahre vor dem normalen Vertragsablauf ausgezahlt werden, in dem Maße, wie diese Kapitalien und Rückkaufswerte nicht für die Wiederherstellung einer oder als Sicherheit für eine Hypothekenanleihe dienen. Einbegriffen sind ebenfalls Kapitalien und Rückkaufswerte, die einem Arbeitnehmer oder einem nicht in Artikel 195 </w:t>
      </w:r>
      <w:r w:rsidR="00D67EB8" w:rsidRPr="009118AB">
        <w:rPr>
          <w:iCs/>
        </w:rPr>
        <w:t>§ </w:t>
      </w:r>
      <w:r w:rsidRPr="009118AB">
        <w:rPr>
          <w:iCs/>
        </w:rPr>
        <w:t>1 erwähnten Unternehmensleiter zuerkannt werden und aus einer individuellen ergänzenden Pensionsvereinbarung hervorgehen, wenn:</w:t>
      </w:r>
    </w:p>
    <w:p w14:paraId="21951D61" w14:textId="77777777" w:rsidR="00873CDF" w:rsidRPr="009118AB" w:rsidRDefault="00873CDF" w:rsidP="00873CDF">
      <w:pPr>
        <w:autoSpaceDE w:val="0"/>
        <w:autoSpaceDN w:val="0"/>
        <w:adjustRightInd w:val="0"/>
        <w:jc w:val="both"/>
        <w:rPr>
          <w:iCs/>
        </w:rPr>
      </w:pPr>
    </w:p>
    <w:p w14:paraId="7094E4CE" w14:textId="77777777" w:rsidR="00873CDF" w:rsidRPr="009118AB" w:rsidRDefault="00873CDF" w:rsidP="00E606D0">
      <w:pPr>
        <w:autoSpaceDE w:val="0"/>
        <w:autoSpaceDN w:val="0"/>
        <w:adjustRightInd w:val="0"/>
        <w:ind w:firstLine="709"/>
        <w:jc w:val="both"/>
        <w:rPr>
          <w:iCs/>
        </w:rPr>
      </w:pPr>
      <w:r w:rsidRPr="009118AB">
        <w:rPr>
          <w:iCs/>
        </w:rPr>
        <w:t>- für diesen Arbeitnehmer während der Dauer dieser individuellen ergänzenden Pensionsvereinbarung im Unternehmen keine kollektive ergänzende Pensionsvereinbarung besteht oder bestand,</w:t>
      </w:r>
    </w:p>
    <w:p w14:paraId="1B1AB97C" w14:textId="77777777" w:rsidR="00873CDF" w:rsidRPr="009118AB" w:rsidRDefault="00873CDF" w:rsidP="00873CDF">
      <w:pPr>
        <w:autoSpaceDE w:val="0"/>
        <w:autoSpaceDN w:val="0"/>
        <w:adjustRightInd w:val="0"/>
        <w:jc w:val="both"/>
        <w:rPr>
          <w:iCs/>
        </w:rPr>
      </w:pPr>
    </w:p>
    <w:p w14:paraId="6B4A8D41" w14:textId="77777777" w:rsidR="00873CDF" w:rsidRPr="009118AB" w:rsidRDefault="00873CDF" w:rsidP="00E606D0">
      <w:pPr>
        <w:autoSpaceDE w:val="0"/>
        <w:autoSpaceDN w:val="0"/>
        <w:adjustRightInd w:val="0"/>
        <w:ind w:firstLine="709"/>
        <w:jc w:val="both"/>
        <w:rPr>
          <w:iCs/>
        </w:rPr>
      </w:pPr>
      <w:r w:rsidRPr="009118AB">
        <w:rPr>
          <w:iCs/>
        </w:rPr>
        <w:t>- dieser Unternehmensleiter während der Dauer der individuellen ergänzenden Pensionsvereinbarung in keinem Besteuerungszeitraum regelmäßig entlohnt wurde,]</w:t>
      </w:r>
    </w:p>
    <w:p w14:paraId="2619F432" w14:textId="77777777" w:rsidR="00873CDF" w:rsidRPr="009118AB" w:rsidRDefault="00873CDF" w:rsidP="00873CDF">
      <w:pPr>
        <w:autoSpaceDE w:val="0"/>
        <w:autoSpaceDN w:val="0"/>
        <w:adjustRightInd w:val="0"/>
        <w:jc w:val="both"/>
        <w:rPr>
          <w:iCs/>
        </w:rPr>
      </w:pPr>
    </w:p>
    <w:p w14:paraId="4CB9E620" w14:textId="77777777" w:rsidR="00873CDF" w:rsidRPr="009118AB" w:rsidRDefault="00873CDF" w:rsidP="00E606D0">
      <w:pPr>
        <w:autoSpaceDE w:val="0"/>
        <w:autoSpaceDN w:val="0"/>
        <w:adjustRightInd w:val="0"/>
        <w:ind w:firstLine="709"/>
        <w:jc w:val="both"/>
        <w:rPr>
          <w:iCs/>
        </w:rPr>
      </w:pPr>
      <w:r w:rsidRPr="009118AB">
        <w:rPr>
          <w:i/>
          <w:iCs/>
        </w:rPr>
        <w:t>e)</w:t>
      </w:r>
      <w:r w:rsidRPr="009118AB">
        <w:rPr>
          <w:iCs/>
        </w:rPr>
        <w:t xml:space="preserve"> […]]</w:t>
      </w:r>
    </w:p>
    <w:p w14:paraId="12BE29CD" w14:textId="77777777" w:rsidR="00873CDF" w:rsidRPr="009118AB" w:rsidRDefault="00873CDF" w:rsidP="00873CDF">
      <w:pPr>
        <w:autoSpaceDE w:val="0"/>
        <w:autoSpaceDN w:val="0"/>
        <w:adjustRightInd w:val="0"/>
        <w:jc w:val="both"/>
        <w:rPr>
          <w:iCs/>
        </w:rPr>
      </w:pPr>
    </w:p>
    <w:p w14:paraId="24565E96" w14:textId="77777777" w:rsidR="00873CDF" w:rsidRPr="009118AB" w:rsidRDefault="00873CDF" w:rsidP="00E606D0">
      <w:pPr>
        <w:autoSpaceDE w:val="0"/>
        <w:autoSpaceDN w:val="0"/>
        <w:adjustRightInd w:val="0"/>
        <w:ind w:firstLine="709"/>
        <w:jc w:val="both"/>
        <w:rPr>
          <w:iCs/>
        </w:rPr>
      </w:pPr>
      <w:r w:rsidRPr="009118AB">
        <w:rPr>
          <w:iCs/>
        </w:rPr>
        <w:t>[</w:t>
      </w:r>
      <w:r w:rsidRPr="009118AB">
        <w:rPr>
          <w:i/>
          <w:iCs/>
        </w:rPr>
        <w:t>f)</w:t>
      </w:r>
      <w:r w:rsidRPr="009118AB">
        <w:rPr>
          <w:iCs/>
        </w:rPr>
        <w:t xml:space="preserve"> […]]</w:t>
      </w:r>
    </w:p>
    <w:p w14:paraId="2077746A" w14:textId="77777777" w:rsidR="00873CDF" w:rsidRPr="009118AB" w:rsidRDefault="00873CDF" w:rsidP="00873CDF">
      <w:pPr>
        <w:autoSpaceDE w:val="0"/>
        <w:autoSpaceDN w:val="0"/>
        <w:adjustRightInd w:val="0"/>
        <w:jc w:val="both"/>
        <w:rPr>
          <w:iCs/>
        </w:rPr>
      </w:pPr>
    </w:p>
    <w:p w14:paraId="7172B63B" w14:textId="77777777" w:rsidR="008D35CF" w:rsidRPr="009118AB" w:rsidRDefault="00873CDF" w:rsidP="008D35CF">
      <w:pPr>
        <w:autoSpaceDE w:val="0"/>
        <w:autoSpaceDN w:val="0"/>
        <w:adjustRightInd w:val="0"/>
        <w:ind w:firstLine="709"/>
        <w:jc w:val="both"/>
        <w:rPr>
          <w:iCs/>
        </w:rPr>
      </w:pPr>
      <w:r w:rsidRPr="009118AB">
        <w:rPr>
          <w:iCs/>
        </w:rPr>
        <w:lastRenderedPageBreak/>
        <w:t>[2</w:t>
      </w:r>
      <w:r w:rsidRPr="009118AB">
        <w:rPr>
          <w:i/>
          <w:iCs/>
        </w:rPr>
        <w:t>bis</w:t>
      </w:r>
      <w:r w:rsidRPr="009118AB">
        <w:rPr>
          <w:iCs/>
        </w:rPr>
        <w:t>. [</w:t>
      </w:r>
      <w:r w:rsidR="008D35CF" w:rsidRPr="009118AB">
        <w:rPr>
          <w:iCs/>
        </w:rPr>
        <w:t>zum Steuersatz von 15 Prozent:</w:t>
      </w:r>
    </w:p>
    <w:p w14:paraId="58C5FC87" w14:textId="77777777" w:rsidR="008D35CF" w:rsidRPr="009118AB" w:rsidRDefault="008D35CF" w:rsidP="008D35CF">
      <w:pPr>
        <w:autoSpaceDE w:val="0"/>
        <w:autoSpaceDN w:val="0"/>
        <w:adjustRightInd w:val="0"/>
        <w:ind w:firstLine="709"/>
        <w:jc w:val="both"/>
        <w:rPr>
          <w:iCs/>
        </w:rPr>
      </w:pPr>
    </w:p>
    <w:p w14:paraId="3E75B410" w14:textId="77777777" w:rsidR="008D35CF" w:rsidRPr="009118AB" w:rsidRDefault="008D35CF" w:rsidP="008D35CF">
      <w:pPr>
        <w:autoSpaceDE w:val="0"/>
        <w:autoSpaceDN w:val="0"/>
        <w:adjustRightInd w:val="0"/>
        <w:ind w:firstLine="709"/>
        <w:jc w:val="both"/>
        <w:rPr>
          <w:iCs/>
        </w:rPr>
      </w:pPr>
      <w:r w:rsidRPr="009118AB">
        <w:rPr>
          <w:i/>
          <w:iCs/>
        </w:rPr>
        <w:t>a)</w:t>
      </w:r>
      <w:r w:rsidRPr="009118AB">
        <w:rPr>
          <w:iCs/>
        </w:rPr>
        <w:t> in Artikel 17 § 1 Nr. 5 erwähnte Einkünfte, die nicht in Artikel 37 Absatz 1 bis 3 erwähnt sind,</w:t>
      </w:r>
    </w:p>
    <w:p w14:paraId="4489AEAB" w14:textId="77777777" w:rsidR="008D35CF" w:rsidRPr="009118AB" w:rsidRDefault="008D35CF" w:rsidP="008D35CF">
      <w:pPr>
        <w:autoSpaceDE w:val="0"/>
        <w:autoSpaceDN w:val="0"/>
        <w:adjustRightInd w:val="0"/>
        <w:ind w:firstLine="709"/>
        <w:jc w:val="both"/>
        <w:rPr>
          <w:iCs/>
        </w:rPr>
      </w:pPr>
    </w:p>
    <w:p w14:paraId="21B9CAC5" w14:textId="70FE9C54" w:rsidR="00873CDF" w:rsidRPr="009118AB" w:rsidRDefault="008D35CF" w:rsidP="008D35CF">
      <w:pPr>
        <w:autoSpaceDE w:val="0"/>
        <w:autoSpaceDN w:val="0"/>
        <w:adjustRightInd w:val="0"/>
        <w:ind w:firstLine="709"/>
        <w:jc w:val="both"/>
        <w:rPr>
          <w:iCs/>
        </w:rPr>
      </w:pPr>
      <w:r w:rsidRPr="009118AB">
        <w:rPr>
          <w:i/>
          <w:iCs/>
        </w:rPr>
        <w:t>b)</w:t>
      </w:r>
      <w:r w:rsidRPr="009118AB">
        <w:rPr>
          <w:iCs/>
        </w:rPr>
        <w:t> der erste Teilbetrag in Höhe des in Artikel 37 Absatz 2 erwähnten Betrags, der 30 Prozent oder 37.500 EUR nicht übersteigt, unbeschadet der Anwendung von Artikel 37 Absatz 3, oder in Höhe des in Artikel 551 erwähnten Betrags der in Artikel 17 § 1 Nr. 5 erwähnten Einkünfte, die aus der Abtretung von oder der Vergabe einer Lizenz für Urheberrechte und verwandte Schutzrechte hervorgehen oder über eine in Artikel I.16 § 1 Nr. 4 bis 6 des Wirtschaftsrechtsgesetzbuches erwähnte Organisation bezogen werden,</w:t>
      </w:r>
      <w:r w:rsidR="00873CDF" w:rsidRPr="009118AB">
        <w:rPr>
          <w:iCs/>
        </w:rPr>
        <w:t>]]</w:t>
      </w:r>
    </w:p>
    <w:p w14:paraId="6FA4AD3F" w14:textId="77777777" w:rsidR="00873CDF" w:rsidRPr="009118AB" w:rsidRDefault="00873CDF" w:rsidP="00873CDF">
      <w:pPr>
        <w:autoSpaceDE w:val="0"/>
        <w:autoSpaceDN w:val="0"/>
        <w:adjustRightInd w:val="0"/>
        <w:jc w:val="both"/>
        <w:rPr>
          <w:iCs/>
        </w:rPr>
      </w:pPr>
    </w:p>
    <w:p w14:paraId="1B97473F" w14:textId="77777777" w:rsidR="00873CDF" w:rsidRPr="009118AB" w:rsidRDefault="00873CDF" w:rsidP="00E606D0">
      <w:pPr>
        <w:autoSpaceDE w:val="0"/>
        <w:autoSpaceDN w:val="0"/>
        <w:adjustRightInd w:val="0"/>
        <w:ind w:firstLine="709"/>
        <w:jc w:val="both"/>
        <w:rPr>
          <w:iCs/>
        </w:rPr>
      </w:pPr>
      <w:r w:rsidRPr="009118AB">
        <w:rPr>
          <w:iCs/>
        </w:rPr>
        <w:t>[2</w:t>
      </w:r>
      <w:r w:rsidRPr="009118AB">
        <w:rPr>
          <w:i/>
          <w:iCs/>
        </w:rPr>
        <w:t>ter</w:t>
      </w:r>
      <w:r w:rsidRPr="009118AB">
        <w:rPr>
          <w:iCs/>
        </w:rPr>
        <w:t>. […]]</w:t>
      </w:r>
    </w:p>
    <w:p w14:paraId="1594EB05" w14:textId="77777777" w:rsidR="00873CDF" w:rsidRPr="009118AB" w:rsidRDefault="00873CDF" w:rsidP="00873CDF">
      <w:pPr>
        <w:autoSpaceDE w:val="0"/>
        <w:autoSpaceDN w:val="0"/>
        <w:adjustRightInd w:val="0"/>
        <w:jc w:val="both"/>
        <w:rPr>
          <w:iCs/>
        </w:rPr>
      </w:pPr>
    </w:p>
    <w:p w14:paraId="0D08DBF6" w14:textId="129162E7" w:rsidR="00873CDF" w:rsidRPr="009118AB" w:rsidRDefault="00873CDF" w:rsidP="00E606D0">
      <w:pPr>
        <w:autoSpaceDE w:val="0"/>
        <w:autoSpaceDN w:val="0"/>
        <w:adjustRightInd w:val="0"/>
        <w:ind w:firstLine="709"/>
        <w:jc w:val="both"/>
        <w:rPr>
          <w:iCs/>
        </w:rPr>
      </w:pPr>
      <w:r w:rsidRPr="009118AB">
        <w:rPr>
          <w:iCs/>
        </w:rPr>
        <w:t>[2</w:t>
      </w:r>
      <w:r w:rsidRPr="009118AB">
        <w:rPr>
          <w:i/>
          <w:iCs/>
        </w:rPr>
        <w:t>quater</w:t>
      </w:r>
      <w:r w:rsidRPr="009118AB">
        <w:rPr>
          <w:iCs/>
        </w:rPr>
        <w:t xml:space="preserve">. zum Steuersatz von 18 Prozent in </w:t>
      </w:r>
      <w:r w:rsidR="00D67EB8" w:rsidRPr="009118AB">
        <w:rPr>
          <w:iCs/>
        </w:rPr>
        <w:t>Nr. </w:t>
      </w:r>
      <w:r w:rsidRPr="009118AB">
        <w:rPr>
          <w:iCs/>
        </w:rPr>
        <w:t>4 Buchstabe </w:t>
      </w:r>
      <w:r w:rsidRPr="009118AB">
        <w:rPr>
          <w:i/>
          <w:iCs/>
        </w:rPr>
        <w:t>f)</w:t>
      </w:r>
      <w:r w:rsidRPr="009118AB">
        <w:rPr>
          <w:iCs/>
        </w:rPr>
        <w:t xml:space="preserve"> erwähnte Kapitalien und Rückkaufswerte in dem Maße, wie es sich um Kapitalien handelt, die durch Arbeitgeber- oder Unternehmensbeiträge gebildet werden und zu Lebzeiten dem Arbeitnehmer oder Unternehmensleiter im Alter von einundsechzig Jahren ausgezahlt werden,]</w:t>
      </w:r>
    </w:p>
    <w:p w14:paraId="27EB283D" w14:textId="77777777" w:rsidR="00873CDF" w:rsidRPr="009118AB" w:rsidRDefault="00873CDF" w:rsidP="00873CDF">
      <w:pPr>
        <w:autoSpaceDE w:val="0"/>
        <w:autoSpaceDN w:val="0"/>
        <w:adjustRightInd w:val="0"/>
        <w:jc w:val="both"/>
        <w:rPr>
          <w:iCs/>
        </w:rPr>
      </w:pPr>
    </w:p>
    <w:p w14:paraId="037364A9" w14:textId="27937658" w:rsidR="00873CDF" w:rsidRPr="009118AB" w:rsidRDefault="00873CDF" w:rsidP="00E606D0">
      <w:pPr>
        <w:autoSpaceDE w:val="0"/>
        <w:autoSpaceDN w:val="0"/>
        <w:adjustRightInd w:val="0"/>
        <w:ind w:firstLine="709"/>
        <w:jc w:val="both"/>
        <w:rPr>
          <w:iCs/>
        </w:rPr>
      </w:pPr>
      <w:r w:rsidRPr="009118AB">
        <w:rPr>
          <w:iCs/>
        </w:rPr>
        <w:t>3. [[zum Steuersatz von [30 Prozent]] Einkünfte aus Kapitalvermögen und beweglichen Gütern, die nicht in [</w:t>
      </w:r>
      <w:r w:rsidR="00D67EB8" w:rsidRPr="009118AB">
        <w:t>Nr. </w:t>
      </w:r>
      <w:r w:rsidRPr="009118AB">
        <w:t>2</w:t>
      </w:r>
      <w:r w:rsidRPr="009118AB">
        <w:rPr>
          <w:i/>
        </w:rPr>
        <w:t>bis</w:t>
      </w:r>
      <w:r w:rsidRPr="009118AB">
        <w:t xml:space="preserve"> und [3</w:t>
      </w:r>
      <w:r w:rsidRPr="009118AB">
        <w:rPr>
          <w:i/>
        </w:rPr>
        <w:t>quater</w:t>
      </w:r>
      <w:r w:rsidRPr="009118AB">
        <w:t xml:space="preserve"> bis 3</w:t>
      </w:r>
      <w:r w:rsidRPr="009118AB">
        <w:rPr>
          <w:i/>
        </w:rPr>
        <w:t>septies</w:t>
      </w:r>
      <w:r w:rsidRPr="009118AB">
        <w:rPr>
          <w:iCs/>
        </w:rPr>
        <w:t xml:space="preserve">]] erwähnt sind, und in [Artikel 90 Absatz 1 </w:t>
      </w:r>
      <w:r w:rsidR="00D67EB8" w:rsidRPr="009118AB">
        <w:rPr>
          <w:iCs/>
        </w:rPr>
        <w:t>Nr. </w:t>
      </w:r>
      <w:r w:rsidRPr="009118AB">
        <w:rPr>
          <w:iCs/>
        </w:rPr>
        <w:t>5 bis 7] erwähnte verschiedene Einkünfte,]</w:t>
      </w:r>
    </w:p>
    <w:p w14:paraId="7CE95938" w14:textId="77777777" w:rsidR="00873CDF" w:rsidRPr="009118AB" w:rsidRDefault="00873CDF" w:rsidP="00873CDF">
      <w:pPr>
        <w:autoSpaceDE w:val="0"/>
        <w:autoSpaceDN w:val="0"/>
        <w:adjustRightInd w:val="0"/>
        <w:jc w:val="both"/>
        <w:rPr>
          <w:iCs/>
        </w:rPr>
      </w:pPr>
    </w:p>
    <w:p w14:paraId="38C97278" w14:textId="77777777" w:rsidR="00785F3D" w:rsidRPr="003441F1" w:rsidRDefault="00873CDF" w:rsidP="00785F3D">
      <w:pPr>
        <w:ind w:firstLine="708"/>
        <w:jc w:val="both"/>
        <w:rPr>
          <w:rFonts w:eastAsia="Calibri"/>
          <w:lang w:eastAsia="en-US"/>
        </w:rPr>
      </w:pPr>
      <w:r w:rsidRPr="003441F1">
        <w:rPr>
          <w:iCs/>
        </w:rPr>
        <w:t>[3</w:t>
      </w:r>
      <w:r w:rsidRPr="003441F1">
        <w:rPr>
          <w:i/>
          <w:iCs/>
        </w:rPr>
        <w:t>bis.</w:t>
      </w:r>
      <w:r w:rsidRPr="003441F1">
        <w:rPr>
          <w:iCs/>
        </w:rPr>
        <w:t xml:space="preserve"> [</w:t>
      </w:r>
      <w:r w:rsidR="00785F3D" w:rsidRPr="003441F1">
        <w:rPr>
          <w:rFonts w:eastAsia="Calibri"/>
          <w:szCs w:val="22"/>
          <w:lang w:eastAsia="en-US"/>
        </w:rPr>
        <w:t>zum Steuersatz von 20 Prozent:</w:t>
      </w:r>
    </w:p>
    <w:p w14:paraId="23394415" w14:textId="77777777" w:rsidR="00785F3D" w:rsidRPr="003441F1" w:rsidRDefault="00785F3D" w:rsidP="00785F3D">
      <w:pPr>
        <w:jc w:val="both"/>
        <w:rPr>
          <w:rFonts w:eastAsia="Calibri"/>
          <w:lang w:eastAsia="en-US"/>
        </w:rPr>
      </w:pPr>
    </w:p>
    <w:p w14:paraId="66F58EFA" w14:textId="492AE0E9" w:rsidR="00785F3D" w:rsidRPr="003441F1" w:rsidRDefault="00785F3D" w:rsidP="00785F3D">
      <w:pPr>
        <w:ind w:firstLine="708"/>
        <w:jc w:val="both"/>
        <w:rPr>
          <w:rFonts w:eastAsia="Calibri"/>
          <w:lang w:eastAsia="en-US"/>
        </w:rPr>
      </w:pPr>
      <w:r w:rsidRPr="003441F1">
        <w:rPr>
          <w:rFonts w:eastAsia="Calibri"/>
          <w:i/>
          <w:iCs/>
          <w:szCs w:val="22"/>
          <w:lang w:eastAsia="en-US"/>
        </w:rPr>
        <w:t>a)</w:t>
      </w:r>
      <w:r w:rsidRPr="003441F1">
        <w:rPr>
          <w:rFonts w:eastAsia="Calibri"/>
          <w:szCs w:val="22"/>
          <w:lang w:eastAsia="en-US"/>
        </w:rPr>
        <w:t xml:space="preserve"> [in Artikel 90 Absatz 1 </w:t>
      </w:r>
      <w:r w:rsidR="00D67EB8" w:rsidRPr="003441F1">
        <w:rPr>
          <w:rFonts w:eastAsia="Calibri"/>
          <w:szCs w:val="22"/>
          <w:lang w:eastAsia="en-US"/>
        </w:rPr>
        <w:t>Nr. </w:t>
      </w:r>
      <w:r w:rsidRPr="003441F1">
        <w:rPr>
          <w:rFonts w:eastAsia="Calibri"/>
          <w:szCs w:val="22"/>
          <w:lang w:eastAsia="en-US"/>
        </w:rPr>
        <w:t>1</w:t>
      </w:r>
      <w:r w:rsidRPr="003441F1">
        <w:rPr>
          <w:rFonts w:eastAsia="Calibri"/>
          <w:i/>
          <w:iCs/>
          <w:szCs w:val="22"/>
          <w:lang w:eastAsia="en-US"/>
        </w:rPr>
        <w:t>bis</w:t>
      </w:r>
      <w:r w:rsidRPr="003441F1">
        <w:rPr>
          <w:rFonts w:eastAsia="Calibri"/>
          <w:szCs w:val="22"/>
          <w:lang w:eastAsia="en-US"/>
        </w:rPr>
        <w:t xml:space="preserve"> und 1</w:t>
      </w:r>
      <w:r w:rsidRPr="003441F1">
        <w:rPr>
          <w:rFonts w:eastAsia="Calibri"/>
          <w:i/>
          <w:iCs/>
          <w:szCs w:val="22"/>
          <w:lang w:eastAsia="en-US"/>
        </w:rPr>
        <w:t>ter</w:t>
      </w:r>
      <w:r w:rsidRPr="003441F1">
        <w:rPr>
          <w:rFonts w:eastAsia="Calibri"/>
          <w:szCs w:val="22"/>
          <w:lang w:eastAsia="en-US"/>
        </w:rPr>
        <w:t xml:space="preserve"> erwähnte verschiedene Einkünfte,]</w:t>
      </w:r>
    </w:p>
    <w:p w14:paraId="757AF33F" w14:textId="77777777" w:rsidR="00785F3D" w:rsidRPr="003441F1" w:rsidRDefault="00785F3D" w:rsidP="00785F3D">
      <w:pPr>
        <w:jc w:val="both"/>
        <w:rPr>
          <w:rFonts w:eastAsia="Calibri"/>
          <w:lang w:eastAsia="en-US"/>
        </w:rPr>
      </w:pPr>
    </w:p>
    <w:p w14:paraId="08D29D58" w14:textId="4B4849FB" w:rsidR="00785F3D" w:rsidRPr="003441F1" w:rsidRDefault="00785F3D" w:rsidP="00785F3D">
      <w:pPr>
        <w:ind w:firstLine="708"/>
        <w:jc w:val="both"/>
        <w:rPr>
          <w:rFonts w:eastAsia="Calibri"/>
          <w:lang w:eastAsia="en-US"/>
        </w:rPr>
      </w:pPr>
      <w:r w:rsidRPr="003441F1">
        <w:rPr>
          <w:rFonts w:eastAsia="Calibri"/>
          <w:i/>
          <w:iCs/>
          <w:szCs w:val="22"/>
          <w:lang w:eastAsia="en-US"/>
        </w:rPr>
        <w:t>b)</w:t>
      </w:r>
      <w:r w:rsidRPr="003441F1">
        <w:rPr>
          <w:rFonts w:eastAsia="Calibri"/>
          <w:szCs w:val="22"/>
          <w:lang w:eastAsia="en-US"/>
        </w:rPr>
        <w:t xml:space="preserve"> in </w:t>
      </w:r>
      <w:r w:rsidR="00D67EB8" w:rsidRPr="003441F1">
        <w:rPr>
          <w:rFonts w:eastAsia="Calibri"/>
          <w:szCs w:val="22"/>
          <w:lang w:eastAsia="en-US"/>
        </w:rPr>
        <w:t>Nr. </w:t>
      </w:r>
      <w:r w:rsidRPr="003441F1">
        <w:rPr>
          <w:rFonts w:eastAsia="Calibri"/>
          <w:szCs w:val="22"/>
          <w:lang w:eastAsia="en-US"/>
        </w:rPr>
        <w:t>4 Buchstabe </w:t>
      </w:r>
      <w:r w:rsidRPr="003441F1">
        <w:rPr>
          <w:rFonts w:eastAsia="Calibri"/>
          <w:i/>
          <w:iCs/>
          <w:szCs w:val="22"/>
          <w:lang w:eastAsia="en-US"/>
        </w:rPr>
        <w:t>f)</w:t>
      </w:r>
      <w:r w:rsidRPr="003441F1">
        <w:rPr>
          <w:rFonts w:eastAsia="Calibri"/>
          <w:szCs w:val="22"/>
          <w:lang w:eastAsia="en-US"/>
        </w:rPr>
        <w:t xml:space="preserve"> erwähnte Kapitalien und Rückkaufswerte in dem Maße, wie es sich um Kapitalien handelt, die durch Arbeitgeber- oder Unternehmensbeiträge gebildet werden und zu Lebzeiten ausgezahlt werden:</w:t>
      </w:r>
    </w:p>
    <w:p w14:paraId="12EAEA59" w14:textId="77777777" w:rsidR="00785F3D" w:rsidRPr="003441F1" w:rsidRDefault="00785F3D" w:rsidP="00785F3D">
      <w:pPr>
        <w:jc w:val="both"/>
        <w:rPr>
          <w:rFonts w:eastAsia="Calibri"/>
          <w:lang w:eastAsia="en-US"/>
        </w:rPr>
      </w:pPr>
    </w:p>
    <w:p w14:paraId="592D26B5" w14:textId="77777777" w:rsidR="00785F3D" w:rsidRPr="003441F1" w:rsidRDefault="00785F3D" w:rsidP="00785F3D">
      <w:pPr>
        <w:ind w:firstLine="708"/>
        <w:jc w:val="both"/>
        <w:rPr>
          <w:rFonts w:eastAsia="Calibri"/>
          <w:lang w:eastAsia="en-US"/>
        </w:rPr>
      </w:pPr>
      <w:r w:rsidRPr="003441F1">
        <w:rPr>
          <w:rFonts w:eastAsia="Calibri"/>
          <w:szCs w:val="22"/>
          <w:lang w:eastAsia="en-US"/>
        </w:rPr>
        <w:t>- dem Arbeitnehmer oder Unternehmensleiter im Alter von sechzig Jahren,</w:t>
      </w:r>
    </w:p>
    <w:p w14:paraId="3432C772" w14:textId="77777777" w:rsidR="00785F3D" w:rsidRPr="003441F1" w:rsidRDefault="00785F3D" w:rsidP="00785F3D">
      <w:pPr>
        <w:jc w:val="both"/>
        <w:rPr>
          <w:rFonts w:eastAsia="Calibri"/>
          <w:lang w:eastAsia="en-US"/>
        </w:rPr>
      </w:pPr>
    </w:p>
    <w:p w14:paraId="5AF5891A" w14:textId="18B05D39" w:rsidR="00873CDF" w:rsidRPr="009118AB" w:rsidRDefault="00785F3D" w:rsidP="00785F3D">
      <w:pPr>
        <w:autoSpaceDE w:val="0"/>
        <w:autoSpaceDN w:val="0"/>
        <w:adjustRightInd w:val="0"/>
        <w:ind w:firstLine="709"/>
        <w:jc w:val="both"/>
        <w:rPr>
          <w:iCs/>
        </w:rPr>
      </w:pPr>
      <w:r w:rsidRPr="003441F1">
        <w:rPr>
          <w:rFonts w:eastAsia="Calibri"/>
          <w:szCs w:val="22"/>
          <w:lang w:eastAsia="en-US"/>
        </w:rPr>
        <w:t xml:space="preserve">- dem Arbeitnehmer anlässlich der Versetzung in den Ruhestand wie in Artikel 27 </w:t>
      </w:r>
      <w:r w:rsidR="00D67EB8" w:rsidRPr="003441F1">
        <w:rPr>
          <w:rFonts w:eastAsia="Calibri"/>
          <w:szCs w:val="22"/>
          <w:lang w:eastAsia="en-US"/>
        </w:rPr>
        <w:t>§ </w:t>
      </w:r>
      <w:r w:rsidRPr="003441F1">
        <w:rPr>
          <w:rFonts w:eastAsia="Calibri"/>
          <w:szCs w:val="22"/>
          <w:lang w:eastAsia="en-US"/>
        </w:rPr>
        <w:t>3 des Gesetzes vom 28. April 2003 über ergänzende Pensionen und das Besteuerungssystem für diese Pensionen und für bestimmte Zusatzleistungen im Bereich der sozialen Sicherheit erwähnt</w:t>
      </w:r>
      <w:r w:rsidR="00290818" w:rsidRPr="003441F1">
        <w:rPr>
          <w:rFonts w:eastAsia="Calibri"/>
          <w:szCs w:val="22"/>
          <w:lang w:eastAsia="en-US"/>
        </w:rPr>
        <w:t xml:space="preserve">[, so wie und sofern er aufgrund von </w:t>
      </w:r>
      <w:r w:rsidR="007131B9" w:rsidRPr="003441F1">
        <w:rPr>
          <w:rFonts w:eastAsia="Calibri"/>
          <w:szCs w:val="22"/>
          <w:lang w:eastAsia="en-US"/>
        </w:rPr>
        <w:t>[</w:t>
      </w:r>
      <w:r w:rsidR="00290818" w:rsidRPr="003441F1">
        <w:rPr>
          <w:rFonts w:eastAsia="Calibri"/>
          <w:szCs w:val="22"/>
          <w:lang w:eastAsia="en-US"/>
        </w:rPr>
        <w:t>Artikel </w:t>
      </w:r>
      <w:r w:rsidR="007131B9" w:rsidRPr="003441F1">
        <w:rPr>
          <w:rFonts w:eastAsia="Calibri"/>
          <w:szCs w:val="22"/>
          <w:lang w:eastAsia="en-US"/>
        </w:rPr>
        <w:t>10</w:t>
      </w:r>
      <w:r w:rsidR="00290818" w:rsidRPr="003441F1">
        <w:rPr>
          <w:rFonts w:eastAsia="Calibri"/>
          <w:szCs w:val="22"/>
          <w:lang w:eastAsia="en-US"/>
        </w:rPr>
        <w:t>4 Absatz 2 und 3</w:t>
      </w:r>
      <w:r w:rsidR="007131B9" w:rsidRPr="003441F1">
        <w:rPr>
          <w:rFonts w:eastAsia="Calibri"/>
          <w:szCs w:val="22"/>
          <w:lang w:eastAsia="en-US"/>
        </w:rPr>
        <w:t>]</w:t>
      </w:r>
      <w:r w:rsidR="00290818" w:rsidRPr="003441F1">
        <w:rPr>
          <w:rFonts w:eastAsia="Calibri"/>
          <w:szCs w:val="22"/>
          <w:lang w:eastAsia="en-US"/>
        </w:rPr>
        <w:t xml:space="preserve"> des Programmgesetzes vom 27. Dezember 2021 in Kraft bleibt,] </w:t>
      </w:r>
      <w:r w:rsidRPr="003441F1">
        <w:rPr>
          <w:rFonts w:eastAsia="Calibri"/>
          <w:szCs w:val="22"/>
          <w:lang w:eastAsia="en-US"/>
        </w:rPr>
        <w:t>vor Erreichen des Alters von einundsechzig Jahren,</w:t>
      </w:r>
      <w:r w:rsidR="00873CDF" w:rsidRPr="003441F1">
        <w:rPr>
          <w:iCs/>
        </w:rPr>
        <w:t>]]</w:t>
      </w:r>
    </w:p>
    <w:p w14:paraId="1899972B" w14:textId="77777777" w:rsidR="00873CDF" w:rsidRPr="009118AB" w:rsidRDefault="00873CDF" w:rsidP="00873CDF">
      <w:pPr>
        <w:autoSpaceDE w:val="0"/>
        <w:autoSpaceDN w:val="0"/>
        <w:adjustRightInd w:val="0"/>
        <w:jc w:val="both"/>
        <w:rPr>
          <w:iCs/>
        </w:rPr>
      </w:pPr>
    </w:p>
    <w:p w14:paraId="5749159A" w14:textId="2134F4D8" w:rsidR="00873CDF" w:rsidRPr="009118AB" w:rsidRDefault="00873CDF" w:rsidP="00E606D0">
      <w:pPr>
        <w:autoSpaceDE w:val="0"/>
        <w:autoSpaceDN w:val="0"/>
        <w:adjustRightInd w:val="0"/>
        <w:ind w:firstLine="709"/>
        <w:jc w:val="both"/>
        <w:rPr>
          <w:iCs/>
        </w:rPr>
      </w:pPr>
      <w:r w:rsidRPr="009118AB">
        <w:rPr>
          <w:iCs/>
        </w:rPr>
        <w:t>[3</w:t>
      </w:r>
      <w:r w:rsidRPr="009118AB">
        <w:rPr>
          <w:i/>
          <w:iCs/>
        </w:rPr>
        <w:t>ter.</w:t>
      </w:r>
      <w:r w:rsidRPr="009118AB">
        <w:rPr>
          <w:iCs/>
        </w:rPr>
        <w:t xml:space="preserve"> [zum Steuersatz, der auf Einkünfte aus Kapitalvermögen und beweglichen Gütern und auf Lose erwähnt in [Artikel 90 Absatz 1 </w:t>
      </w:r>
      <w:r w:rsidR="00D67EB8" w:rsidRPr="009118AB">
        <w:rPr>
          <w:iCs/>
        </w:rPr>
        <w:t>Nr. </w:t>
      </w:r>
      <w:r w:rsidRPr="009118AB">
        <w:rPr>
          <w:iCs/>
        </w:rPr>
        <w:t xml:space="preserve">6] anwendbar ist, in [Artikel 90 Absatz 1 </w:t>
      </w:r>
      <w:r w:rsidR="00D67EB8" w:rsidRPr="009118AB">
        <w:rPr>
          <w:iCs/>
        </w:rPr>
        <w:t>Nr. </w:t>
      </w:r>
      <w:r w:rsidRPr="009118AB">
        <w:rPr>
          <w:iCs/>
        </w:rPr>
        <w:t>11] erwähnte Entschädigungen für fehlende Kupons oder für fehlende Lose,]]</w:t>
      </w:r>
    </w:p>
    <w:p w14:paraId="29CE8BA4" w14:textId="77777777" w:rsidR="00873CDF" w:rsidRPr="009118AB" w:rsidRDefault="00873CDF" w:rsidP="00873CDF">
      <w:pPr>
        <w:autoSpaceDE w:val="0"/>
        <w:autoSpaceDN w:val="0"/>
        <w:adjustRightInd w:val="0"/>
        <w:jc w:val="both"/>
        <w:rPr>
          <w:iCs/>
        </w:rPr>
      </w:pPr>
    </w:p>
    <w:p w14:paraId="73CFCC1F" w14:textId="0ED1BFA5" w:rsidR="00873CDF" w:rsidRPr="009118AB" w:rsidRDefault="00873CDF" w:rsidP="00E606D0">
      <w:pPr>
        <w:autoSpaceDE w:val="0"/>
        <w:autoSpaceDN w:val="0"/>
        <w:adjustRightInd w:val="0"/>
        <w:ind w:firstLine="709"/>
        <w:jc w:val="both"/>
      </w:pPr>
      <w:r w:rsidRPr="009118AB">
        <w:rPr>
          <w:iCs/>
        </w:rPr>
        <w:t>[3</w:t>
      </w:r>
      <w:r w:rsidRPr="009118AB">
        <w:rPr>
          <w:i/>
          <w:iCs/>
        </w:rPr>
        <w:t>quater</w:t>
      </w:r>
      <w:r w:rsidRPr="009118AB">
        <w:rPr>
          <w:iCs/>
        </w:rPr>
        <w:t>. [</w:t>
      </w:r>
      <w:r w:rsidRPr="009118AB">
        <w:t xml:space="preserve">zum Steuersatz von 15 Prozent Dividenden, die ausgeschüttet werden von einer Investmentgesellschaft mit fixem Kapital erwähnt in den Artikeln 195 Absatz 1 und 288 </w:t>
      </w:r>
      <w:r w:rsidR="00D67EB8" w:rsidRPr="009118AB">
        <w:t>§ </w:t>
      </w:r>
      <w:r w:rsidRPr="009118AB">
        <w:t xml:space="preserve">1 des Gesetzes vom 19. April 2014 über alternative Organismen für gemeinsame Anlagen und ihre Verwalter, die als ausschließlichen Zweck gemeinsame Anlagen in der in Artikel 183 Absatz 1 </w:t>
      </w:r>
      <w:r w:rsidR="00D67EB8" w:rsidRPr="009118AB">
        <w:t>Nr. </w:t>
      </w:r>
      <w:r w:rsidRPr="009118AB">
        <w:t xml:space="preserve">3 des vorerwähnten Gesetzes erwähnten Kategorie "Immobilien" hat, von einer ähnlichen Investmentgesellschaft erwähnt in Teil III Buch I Titel III des vorerwähnten </w:t>
      </w:r>
      <w:r w:rsidRPr="009118AB">
        <w:lastRenderedPageBreak/>
        <w:t xml:space="preserve">Gesetzes oder von einer beaufsichtigten Immobiliengesellschaft, ungeachtet dessen, ob diese Investmentgesellschaft oder diese beaufsichtigte Immobiliengesellschaft ihre Wertpapiere in Belgien öffentlich anbietet, und sofern aufgrund von Artikel 338 oder einer entsprechenden Regelung ein Informationsaustausch durch den betreffenden Mitgliedstaat organisiert wird, in dem Maße, wie </w:t>
      </w:r>
      <w:r w:rsidR="00DA38FD" w:rsidRPr="009118AB">
        <w:t>[</w:t>
      </w:r>
      <w:r w:rsidRPr="009118AB">
        <w:t xml:space="preserve">mindestens </w:t>
      </w:r>
      <w:r w:rsidR="0076682C" w:rsidRPr="009118AB">
        <w:t>8</w:t>
      </w:r>
      <w:r w:rsidRPr="009118AB">
        <w:t>0 Prozent der Immobilien</w:t>
      </w:r>
      <w:r w:rsidR="00DA38FD" w:rsidRPr="009118AB">
        <w:t>]</w:t>
      </w:r>
      <w:r w:rsidRPr="009118AB">
        <w:t xml:space="preserve"> im Sinne von Artikel 2 </w:t>
      </w:r>
      <w:r w:rsidR="00D67EB8" w:rsidRPr="009118AB">
        <w:t>Nr. </w:t>
      </w:r>
      <w:r w:rsidRPr="009118AB">
        <w:t>20 des Königlichen Erlasses vom 7. Dezember 2010 über Immobilieninvestmentgesellschaften mit fixem Kapital oder</w:t>
      </w:r>
      <w:r w:rsidR="00D67EB8" w:rsidRPr="009118AB">
        <w:t> - </w:t>
      </w:r>
      <w:r w:rsidRPr="009118AB">
        <w:t>hinsichtlich einer beaufsichtigten Immobiliengesellschaft</w:t>
      </w:r>
      <w:r w:rsidR="00D67EB8" w:rsidRPr="009118AB">
        <w:t> - </w:t>
      </w:r>
      <w:r w:rsidRPr="009118AB">
        <w:t xml:space="preserve">von Artikel 2 </w:t>
      </w:r>
      <w:r w:rsidR="00D67EB8" w:rsidRPr="009118AB">
        <w:t>Nr. </w:t>
      </w:r>
      <w:r w:rsidRPr="009118AB">
        <w:t>5 des Gesetzes vom 12. Mai 2014 über die beaufsichtigten Immobiliengesellschaften durch diese Investmentgesellschaft oder durch diese beaufsichtigte Immobiliengesellschaft direkt oder indirekt in unbewegliche Güter investiert werden, die in einem Mitgliedstaat des Europäischen Wirtschaftsraums gelegen sind und ausschließlich oder hauptsächlich als eine an die Wohn- oder Gesundheitspflege angepasste Wohneinheit genutzt werden oder zur Nutzung als solche bestimmt sind.</w:t>
      </w:r>
    </w:p>
    <w:p w14:paraId="05D6AE49" w14:textId="77777777" w:rsidR="00873CDF" w:rsidRPr="009118AB" w:rsidRDefault="00873CDF" w:rsidP="00873CDF">
      <w:pPr>
        <w:autoSpaceDE w:val="0"/>
        <w:autoSpaceDN w:val="0"/>
        <w:adjustRightInd w:val="0"/>
        <w:jc w:val="both"/>
      </w:pPr>
    </w:p>
    <w:p w14:paraId="17E8E516" w14:textId="54EF5E69" w:rsidR="00873CDF" w:rsidRPr="009118AB" w:rsidRDefault="00873CDF" w:rsidP="00E606D0">
      <w:pPr>
        <w:autoSpaceDE w:val="0"/>
        <w:autoSpaceDN w:val="0"/>
        <w:adjustRightInd w:val="0"/>
        <w:ind w:firstLine="709"/>
        <w:jc w:val="both"/>
      </w:pPr>
      <w:r w:rsidRPr="009118AB">
        <w:t>Bei Immobilien, die nicht ausschließlich als eine an die Wohn- oder Gesund</w:t>
      </w:r>
      <w:r w:rsidRPr="009118AB">
        <w:softHyphen/>
        <w:t>heitspflege angepasste Wohneinheit genutzt werden oder zur Nutzung als solche bestimmt sind oder die nur während eines Teils des Besteuerungszeitraums als solche genutzt werden oder zur Nutzung als solche bestimmt sind, werden für die Festlegung des in Absatz 1 erwähnten Prozentsatzes nur die anteilige Zeit und Fläche, die tatsächlich zur Wohn- oder Gesundheitspflege genutzt werden, berücksichtigt.</w:t>
      </w:r>
    </w:p>
    <w:p w14:paraId="7E05B8AF" w14:textId="3C8B09E9" w:rsidR="00DA38FD" w:rsidRPr="009118AB" w:rsidRDefault="00DA38FD" w:rsidP="00E606D0">
      <w:pPr>
        <w:autoSpaceDE w:val="0"/>
        <w:autoSpaceDN w:val="0"/>
        <w:adjustRightInd w:val="0"/>
        <w:ind w:firstLine="709"/>
        <w:jc w:val="both"/>
      </w:pPr>
    </w:p>
    <w:p w14:paraId="3D07FEB2" w14:textId="1509B385" w:rsidR="00DA38FD" w:rsidRPr="009118AB" w:rsidRDefault="00DA38FD" w:rsidP="00E606D0">
      <w:pPr>
        <w:autoSpaceDE w:val="0"/>
        <w:autoSpaceDN w:val="0"/>
        <w:adjustRightInd w:val="0"/>
        <w:ind w:firstLine="709"/>
        <w:jc w:val="both"/>
      </w:pPr>
      <w:r w:rsidRPr="009118AB">
        <w:t>[</w:t>
      </w:r>
      <w:r w:rsidRPr="009118AB">
        <w:rPr>
          <w:rFonts w:eastAsia="Calibri"/>
          <w:szCs w:val="22"/>
          <w:lang w:eastAsia="en-US"/>
        </w:rPr>
        <w:t>Die Festlegung des in Absatz 1 erwähnten Prozentsatzes erfolgt, indem die Werte der Bewertungen und Aktualisierungen im Sinne von Artikel 29 des Königlichen Erlasses vom 7. Dezember 2010 über Immobilieninvestmentgesellschaften mit fixem Kapital oder</w:t>
      </w:r>
      <w:r w:rsidR="00D67EB8" w:rsidRPr="009118AB">
        <w:rPr>
          <w:rFonts w:eastAsia="Calibri"/>
          <w:szCs w:val="22"/>
          <w:lang w:eastAsia="en-US"/>
        </w:rPr>
        <w:t> - </w:t>
      </w:r>
      <w:r w:rsidRPr="009118AB">
        <w:rPr>
          <w:rFonts w:eastAsia="Calibri"/>
          <w:szCs w:val="22"/>
          <w:lang w:eastAsia="en-US"/>
        </w:rPr>
        <w:t>hinsichtlich einer beaufsichtigten Immobiliengesellschaft</w:t>
      </w:r>
      <w:r w:rsidR="00D67EB8" w:rsidRPr="009118AB">
        <w:rPr>
          <w:rFonts w:eastAsia="Calibri"/>
          <w:szCs w:val="22"/>
          <w:lang w:eastAsia="en-US"/>
        </w:rPr>
        <w:t> - </w:t>
      </w:r>
      <w:r w:rsidRPr="009118AB">
        <w:rPr>
          <w:rFonts w:eastAsia="Calibri"/>
          <w:szCs w:val="22"/>
          <w:lang w:eastAsia="en-US"/>
        </w:rPr>
        <w:t>gemäß Artikel 47 des Gesetzes vom 12. Mai 2014 über die beaufsichtigten Immobiliengesellschaften, die sich auf unbewegliche Güter beziehen, die in einem Mitgliedstaat des Europäischen Wirtschaftsraums gelegen sind und ausschließlich oder hauptsächlich als eine an die Wohn- oder Gesundheitspflege angepasste Wohneinheit genutzt werden oder zur Nutzung als solche bestimmt sind, zu den verschiedenen Bezugszeitpunkten addiert werden und durch den Gesamtwert dieser Bewertungen und Aktualisierungen zu den verschiedenen Bezugszeit</w:t>
      </w:r>
      <w:r w:rsidRPr="009118AB">
        <w:rPr>
          <w:rFonts w:eastAsia="Calibri"/>
          <w:szCs w:val="22"/>
          <w:lang w:eastAsia="en-US"/>
        </w:rPr>
        <w:softHyphen/>
        <w:t>punkten geteilt werden.]</w:t>
      </w:r>
    </w:p>
    <w:p w14:paraId="5CA94A2B" w14:textId="77777777" w:rsidR="00873CDF" w:rsidRPr="009118AB" w:rsidRDefault="00873CDF" w:rsidP="00873CDF">
      <w:pPr>
        <w:autoSpaceDE w:val="0"/>
        <w:autoSpaceDN w:val="0"/>
        <w:adjustRightInd w:val="0"/>
        <w:jc w:val="both"/>
      </w:pPr>
    </w:p>
    <w:p w14:paraId="658F30E8" w14:textId="77777777" w:rsidR="00873CDF" w:rsidRPr="009118AB" w:rsidRDefault="00873CDF" w:rsidP="00E606D0">
      <w:pPr>
        <w:autoSpaceDE w:val="0"/>
        <w:autoSpaceDN w:val="0"/>
        <w:adjustRightInd w:val="0"/>
        <w:ind w:firstLine="709"/>
        <w:jc w:val="both"/>
        <w:rPr>
          <w:iCs/>
        </w:rPr>
      </w:pPr>
      <w:r w:rsidRPr="009118AB">
        <w:t>Der König bestimmt, wie der Nachweis zu erbringen ist, dass die vorstehenden Bedingungen erfüllt sind,</w:t>
      </w:r>
      <w:r w:rsidRPr="009118AB">
        <w:rPr>
          <w:iCs/>
        </w:rPr>
        <w:t>]]</w:t>
      </w:r>
    </w:p>
    <w:p w14:paraId="41541397" w14:textId="77777777" w:rsidR="00873CDF" w:rsidRPr="009118AB" w:rsidRDefault="00873CDF" w:rsidP="00873CDF">
      <w:pPr>
        <w:autoSpaceDE w:val="0"/>
        <w:autoSpaceDN w:val="0"/>
        <w:adjustRightInd w:val="0"/>
        <w:jc w:val="both"/>
        <w:rPr>
          <w:iCs/>
        </w:rPr>
      </w:pPr>
    </w:p>
    <w:p w14:paraId="5180637E" w14:textId="5676629A" w:rsidR="00873CDF" w:rsidRPr="009118AB" w:rsidRDefault="00873CDF" w:rsidP="00E606D0">
      <w:pPr>
        <w:autoSpaceDE w:val="0"/>
        <w:autoSpaceDN w:val="0"/>
        <w:adjustRightInd w:val="0"/>
        <w:ind w:firstLine="709"/>
        <w:jc w:val="both"/>
        <w:rPr>
          <w:iCs/>
        </w:rPr>
      </w:pPr>
      <w:r w:rsidRPr="009118AB">
        <w:rPr>
          <w:iCs/>
        </w:rPr>
        <w:t>[3</w:t>
      </w:r>
      <w:r w:rsidRPr="009118AB">
        <w:rPr>
          <w:i/>
          <w:iCs/>
        </w:rPr>
        <w:t>quinquies</w:t>
      </w:r>
      <w:r w:rsidRPr="009118AB">
        <w:rPr>
          <w:iCs/>
        </w:rPr>
        <w:t>. [</w:t>
      </w:r>
      <w:r w:rsidRPr="009118AB">
        <w:t xml:space="preserve">zum Steuersatz von 15 Prozent [in Artikel 21 Absatz 1 </w:t>
      </w:r>
      <w:r w:rsidR="00D67EB8" w:rsidRPr="009118AB">
        <w:t>Nr. </w:t>
      </w:r>
      <w:r w:rsidRPr="009118AB">
        <w:t xml:space="preserve">5] erwähnte Einkünfte aus Spareinlagen in dem Maße, wie sie die in </w:t>
      </w:r>
      <w:r w:rsidR="00D67EB8" w:rsidRPr="009118AB">
        <w:t>Nr. </w:t>
      </w:r>
      <w:r w:rsidRPr="009118AB">
        <w:t>5 des vorerwähnten Artikels festgelegten Grenzen überschreiten,]]</w:t>
      </w:r>
    </w:p>
    <w:p w14:paraId="4575B83B" w14:textId="77777777" w:rsidR="00873CDF" w:rsidRPr="009118AB" w:rsidRDefault="00873CDF" w:rsidP="00873CDF">
      <w:pPr>
        <w:autoSpaceDE w:val="0"/>
        <w:autoSpaceDN w:val="0"/>
        <w:adjustRightInd w:val="0"/>
        <w:jc w:val="both"/>
        <w:rPr>
          <w:iCs/>
        </w:rPr>
      </w:pPr>
    </w:p>
    <w:p w14:paraId="50299902" w14:textId="0882730B" w:rsidR="00873CDF" w:rsidRPr="009118AB" w:rsidRDefault="00873CDF" w:rsidP="00E606D0">
      <w:pPr>
        <w:autoSpaceDE w:val="0"/>
        <w:autoSpaceDN w:val="0"/>
        <w:adjustRightInd w:val="0"/>
        <w:ind w:firstLine="709"/>
        <w:jc w:val="both"/>
        <w:rPr>
          <w:iCs/>
        </w:rPr>
      </w:pPr>
      <w:r w:rsidRPr="009118AB">
        <w:rPr>
          <w:iCs/>
        </w:rPr>
        <w:t>[3</w:t>
      </w:r>
      <w:r w:rsidRPr="009118AB">
        <w:rPr>
          <w:i/>
          <w:iCs/>
        </w:rPr>
        <w:t>sexies</w:t>
      </w:r>
      <w:r w:rsidRPr="009118AB">
        <w:rPr>
          <w:iCs/>
        </w:rPr>
        <w:t xml:space="preserve">. zum Steuersatz von 20 oder 15 Prozent in Artikel 269 </w:t>
      </w:r>
      <w:r w:rsidR="00D67EB8" w:rsidRPr="009118AB">
        <w:rPr>
          <w:iCs/>
        </w:rPr>
        <w:t>§ </w:t>
      </w:r>
      <w:r w:rsidRPr="009118AB">
        <w:rPr>
          <w:iCs/>
        </w:rPr>
        <w:t>2 erwähnte Dividenden, je nachdem ob sie bei der Gewinnausschüttung des zweiten Geschäftsjahres nach dem der Einlage oder später gewährt oder zuerkannt werden,][</w:t>
      </w:r>
      <w:r w:rsidRPr="009118AB">
        <w:t xml:space="preserve"> oder, wenn sie von einem in Artikel 298 des Gesetzes vom 19. April 2014 über alternative Organismen für gemeinsame Anlagen und ihre Verwalter erwähnten privaten Kapitalanlagefonds mit fixem Kapital ausgeschüttet werden, sofern und in dem Maße, wie sie aus Dividenden hervorgehen, die für den in Artikel 269 </w:t>
      </w:r>
      <w:r w:rsidR="00D67EB8" w:rsidRPr="009118AB">
        <w:t>§ </w:t>
      </w:r>
      <w:r w:rsidRPr="009118AB">
        <w:t xml:space="preserve">2 Absatz 2 </w:t>
      </w:r>
      <w:r w:rsidR="00D67EB8" w:rsidRPr="009118AB">
        <w:t>Nr. </w:t>
      </w:r>
      <w:r w:rsidRPr="009118AB">
        <w:t>1 beziehungsweise 2 erwähnten Satz in Betracht kommen,</w:t>
      </w:r>
      <w:r w:rsidRPr="009118AB">
        <w:rPr>
          <w:iCs/>
        </w:rPr>
        <w:t>]</w:t>
      </w:r>
    </w:p>
    <w:p w14:paraId="66DFB8F1" w14:textId="77777777" w:rsidR="00873CDF" w:rsidRPr="009118AB" w:rsidRDefault="00873CDF" w:rsidP="00873CDF">
      <w:pPr>
        <w:autoSpaceDE w:val="0"/>
        <w:autoSpaceDN w:val="0"/>
        <w:adjustRightInd w:val="0"/>
        <w:jc w:val="both"/>
        <w:rPr>
          <w:iCs/>
        </w:rPr>
      </w:pPr>
    </w:p>
    <w:p w14:paraId="2FC6DFE0" w14:textId="77777777" w:rsidR="00873CDF" w:rsidRPr="009118AB" w:rsidRDefault="00873CDF" w:rsidP="00E606D0">
      <w:pPr>
        <w:autoSpaceDE w:val="0"/>
        <w:autoSpaceDN w:val="0"/>
        <w:adjustRightInd w:val="0"/>
        <w:ind w:firstLine="709"/>
        <w:jc w:val="both"/>
        <w:rPr>
          <w:iCs/>
        </w:rPr>
      </w:pPr>
      <w:r w:rsidRPr="009118AB">
        <w:rPr>
          <w:iCs/>
        </w:rPr>
        <w:t>[</w:t>
      </w:r>
      <w:r w:rsidRPr="009118AB">
        <w:t>3</w:t>
      </w:r>
      <w:r w:rsidRPr="009118AB">
        <w:rPr>
          <w:i/>
        </w:rPr>
        <w:t>septies</w:t>
      </w:r>
      <w:r w:rsidRPr="009118AB">
        <w:t>. zum Steuersatz von 5 oder [20 Prozent] Dividenden, die nicht in Artikel 209 erwähnt sind, in dem Maße, wie sie infolge einer Herabsetzung [der in Artikel 184</w:t>
      </w:r>
      <w:r w:rsidRPr="009118AB">
        <w:rPr>
          <w:i/>
        </w:rPr>
        <w:t>quater</w:t>
      </w:r>
      <w:r w:rsidRPr="009118AB">
        <w:t xml:space="preserve"> oder </w:t>
      </w:r>
      <w:r w:rsidRPr="009118AB">
        <w:lastRenderedPageBreak/>
        <w:t>in Artikel 541 erwähnten Liquidations</w:t>
      </w:r>
      <w:r w:rsidRPr="009118AB">
        <w:softHyphen/>
        <w:t>rücklage] zuerkannt oder ausgeschüttet werden, oder im Ausland vereinnahmte oder bezogene Dividenden in dem Maße, wie sie infolge ähnlicher Bestimmungen oder infolge von Bestimmungen mit gleichwertigen Auswirkungen eines anderen Mitgliedstaats des Europäischen Wirtschaftsraums zuerkannt oder ausgeschüttet werden, und je nachdem, ob der Teil dieser Rücklagen, der herabgesetzt wird, [unter den in Artikel 184</w:t>
      </w:r>
      <w:r w:rsidRPr="009118AB">
        <w:rPr>
          <w:i/>
        </w:rPr>
        <w:t>quater</w:t>
      </w:r>
      <w:r w:rsidRPr="009118AB">
        <w:t xml:space="preserve"> Absatz 3 oder in Artikel 541 erwähnten Bedingungen] während eines Zeitraums von mindestens fünf Jahren beziehungsweise von weniger als fünf Jahren ab dem letzten Tag des betreffenden Besteuerungszeitraums bewahrt worden ist,]</w:t>
      </w:r>
    </w:p>
    <w:p w14:paraId="7B87648C" w14:textId="77777777" w:rsidR="00873CDF" w:rsidRPr="009118AB" w:rsidRDefault="00873CDF" w:rsidP="00873CDF">
      <w:pPr>
        <w:autoSpaceDE w:val="0"/>
        <w:autoSpaceDN w:val="0"/>
        <w:adjustRightInd w:val="0"/>
        <w:jc w:val="both"/>
        <w:rPr>
          <w:iCs/>
        </w:rPr>
      </w:pPr>
    </w:p>
    <w:p w14:paraId="14293657" w14:textId="77777777" w:rsidR="00873CDF" w:rsidRPr="009118AB" w:rsidRDefault="00873CDF" w:rsidP="00E606D0">
      <w:pPr>
        <w:autoSpaceDE w:val="0"/>
        <w:autoSpaceDN w:val="0"/>
        <w:adjustRightInd w:val="0"/>
        <w:ind w:firstLine="709"/>
        <w:jc w:val="both"/>
        <w:rPr>
          <w:iCs/>
        </w:rPr>
      </w:pPr>
      <w:r w:rsidRPr="009118AB">
        <w:rPr>
          <w:iCs/>
        </w:rPr>
        <w:t>4. zum Steuersatz von 16,5 Prozent:</w:t>
      </w:r>
    </w:p>
    <w:p w14:paraId="0C16553E" w14:textId="77777777" w:rsidR="00873CDF" w:rsidRPr="009118AB" w:rsidRDefault="00873CDF" w:rsidP="00873CDF">
      <w:pPr>
        <w:autoSpaceDE w:val="0"/>
        <w:autoSpaceDN w:val="0"/>
        <w:adjustRightInd w:val="0"/>
        <w:jc w:val="both"/>
        <w:rPr>
          <w:iCs/>
        </w:rPr>
      </w:pPr>
    </w:p>
    <w:p w14:paraId="4FD0D063" w14:textId="7F064C9B" w:rsidR="00873CDF" w:rsidRPr="009118AB" w:rsidRDefault="00873CDF" w:rsidP="00E606D0">
      <w:pPr>
        <w:autoSpaceDE w:val="0"/>
        <w:autoSpaceDN w:val="0"/>
        <w:adjustRightInd w:val="0"/>
        <w:ind w:firstLine="709"/>
        <w:jc w:val="both"/>
        <w:rPr>
          <w:iCs/>
        </w:rPr>
      </w:pPr>
      <w:r w:rsidRPr="009118AB">
        <w:rPr>
          <w:i/>
          <w:iCs/>
        </w:rPr>
        <w:t>a)</w:t>
      </w:r>
      <w:r w:rsidRPr="009118AB">
        <w:rPr>
          <w:iCs/>
        </w:rPr>
        <w:t xml:space="preserve"> [</w:t>
      </w:r>
      <w:r w:rsidRPr="009118AB">
        <w:t xml:space="preserve">unbeschadet der Anwendung von </w:t>
      </w:r>
      <w:r w:rsidR="00D67EB8" w:rsidRPr="009118AB">
        <w:t>Nr. </w:t>
      </w:r>
      <w:r w:rsidRPr="009118AB">
        <w:t>2 Buchstabe </w:t>
      </w:r>
      <w:r w:rsidRPr="009118AB">
        <w:rPr>
          <w:i/>
        </w:rPr>
        <w:t>a)</w:t>
      </w:r>
      <w:r w:rsidRPr="009118AB">
        <w:rPr>
          <w:iCs/>
        </w:rPr>
        <w:t xml:space="preserve">] Mehrwerte, die auf Sachanlagen oder Finanzanlagen, die zum Zeitpunkt ihrer Veräußerung seit mehr als fünf Jahren zur Ausübung der Berufstätigkeit genutzt werden [und für die nicht für die in Artikel 47 erwähnte gestaffelte Besteuerung optiert wurde], und auf andere Aktien oder Anteile, die seit mehr als fünf Jahren erworben sind, verwirklicht werden. </w:t>
      </w:r>
    </w:p>
    <w:p w14:paraId="18D74DE5" w14:textId="77777777" w:rsidR="00873CDF" w:rsidRPr="009118AB" w:rsidRDefault="00873CDF" w:rsidP="00873CDF">
      <w:pPr>
        <w:autoSpaceDE w:val="0"/>
        <w:autoSpaceDN w:val="0"/>
        <w:adjustRightInd w:val="0"/>
        <w:jc w:val="both"/>
        <w:rPr>
          <w:iCs/>
        </w:rPr>
      </w:pPr>
    </w:p>
    <w:p w14:paraId="16D3FB33" w14:textId="77777777" w:rsidR="00873CDF" w:rsidRPr="009118AB" w:rsidRDefault="00873CDF" w:rsidP="00E606D0">
      <w:pPr>
        <w:autoSpaceDE w:val="0"/>
        <w:autoSpaceDN w:val="0"/>
        <w:adjustRightInd w:val="0"/>
        <w:ind w:firstLine="709"/>
        <w:jc w:val="both"/>
        <w:rPr>
          <w:iCs/>
        </w:rPr>
      </w:pPr>
      <w:r w:rsidRPr="009118AB">
        <w:rPr>
          <w:iCs/>
        </w:rPr>
        <w:t>Die in vorhergehendem Absatz vorgesehene Bedingung in Bezug auf die fünfjährige Anlage gilt jedoch nicht, wenn die Mehrwerte anlässlich der vollständigen und definitiven Einstellung der Berufstätigkeit oder eines oder mehrerer Teile davon verwirklicht werden,</w:t>
      </w:r>
    </w:p>
    <w:p w14:paraId="5D587F0F" w14:textId="77777777" w:rsidR="00873CDF" w:rsidRPr="009118AB" w:rsidRDefault="00873CDF" w:rsidP="00873CDF">
      <w:pPr>
        <w:autoSpaceDE w:val="0"/>
        <w:autoSpaceDN w:val="0"/>
        <w:adjustRightInd w:val="0"/>
        <w:jc w:val="both"/>
        <w:rPr>
          <w:iCs/>
        </w:rPr>
      </w:pPr>
    </w:p>
    <w:p w14:paraId="270F50BF" w14:textId="6DB6D420" w:rsidR="00873CDF" w:rsidRPr="009118AB" w:rsidRDefault="00873CDF" w:rsidP="00E606D0">
      <w:pPr>
        <w:autoSpaceDE w:val="0"/>
        <w:autoSpaceDN w:val="0"/>
        <w:adjustRightInd w:val="0"/>
        <w:ind w:firstLine="709"/>
        <w:jc w:val="both"/>
      </w:pPr>
      <w:r w:rsidRPr="009118AB">
        <w:rPr>
          <w:i/>
          <w:iCs/>
        </w:rPr>
        <w:t>b)</w:t>
      </w:r>
      <w:r w:rsidRPr="009118AB">
        <w:rPr>
          <w:iCs/>
        </w:rPr>
        <w:t xml:space="preserve"> [</w:t>
      </w:r>
      <w:r w:rsidRPr="009118AB">
        <w:t xml:space="preserve">in </w:t>
      </w:r>
      <w:r w:rsidR="00D67EB8" w:rsidRPr="009118AB">
        <w:t>Nr. </w:t>
      </w:r>
      <w:r w:rsidRPr="009118AB">
        <w:t>1 Buchstabe </w:t>
      </w:r>
      <w:r w:rsidRPr="009118AB">
        <w:rPr>
          <w:i/>
        </w:rPr>
        <w:t>c)</w:t>
      </w:r>
      <w:r w:rsidRPr="009118AB">
        <w:t xml:space="preserve"> erwähnte Entschädigungen, die anlässlich einer Handlung, die ab dem Alter von sechzig Jahren durchgeführt wird, oder aufgrund des Todes oder anlässlich einer Zwangshandlung erzielt werden.</w:t>
      </w:r>
    </w:p>
    <w:p w14:paraId="11997140" w14:textId="77777777" w:rsidR="00873CDF" w:rsidRPr="009118AB" w:rsidRDefault="00873CDF" w:rsidP="00873CDF">
      <w:pPr>
        <w:autoSpaceDE w:val="0"/>
        <w:autoSpaceDN w:val="0"/>
        <w:adjustRightInd w:val="0"/>
        <w:jc w:val="both"/>
      </w:pPr>
    </w:p>
    <w:p w14:paraId="469A7120" w14:textId="77777777" w:rsidR="00873CDF" w:rsidRPr="009118AB" w:rsidRDefault="00873CDF" w:rsidP="00E606D0">
      <w:pPr>
        <w:autoSpaceDE w:val="0"/>
        <w:autoSpaceDN w:val="0"/>
        <w:adjustRightInd w:val="0"/>
        <w:ind w:firstLine="709"/>
        <w:jc w:val="both"/>
        <w:rPr>
          <w:iCs/>
        </w:rPr>
      </w:pPr>
      <w:r w:rsidRPr="009118AB">
        <w:t>Unter Zwangshandlung versteht man die Handlung, die die Folge eines Schadensfalls, einer Enteignung, einer Eigentumsrequirierung oder eines anderen ähnlichen Ereignisses ist,</w:t>
      </w:r>
      <w:r w:rsidRPr="009118AB">
        <w:rPr>
          <w:iCs/>
        </w:rPr>
        <w:t>]</w:t>
      </w:r>
    </w:p>
    <w:p w14:paraId="2DF2C067" w14:textId="77777777" w:rsidR="00873CDF" w:rsidRPr="009118AB" w:rsidRDefault="00873CDF" w:rsidP="00873CDF">
      <w:pPr>
        <w:autoSpaceDE w:val="0"/>
        <w:autoSpaceDN w:val="0"/>
        <w:adjustRightInd w:val="0"/>
        <w:jc w:val="both"/>
        <w:rPr>
          <w:iCs/>
        </w:rPr>
      </w:pPr>
    </w:p>
    <w:p w14:paraId="68DC1090" w14:textId="5D9403D5" w:rsidR="002B3614" w:rsidRPr="009118AB" w:rsidRDefault="002B3614" w:rsidP="00873CDF">
      <w:pPr>
        <w:autoSpaceDE w:val="0"/>
        <w:autoSpaceDN w:val="0"/>
        <w:adjustRightInd w:val="0"/>
        <w:jc w:val="both"/>
        <w:rPr>
          <w:lang w:eastAsia="fr-BE"/>
        </w:rPr>
      </w:pPr>
      <w:r w:rsidRPr="009118AB">
        <w:rPr>
          <w:iCs/>
        </w:rPr>
        <w:tab/>
        <w:t>[</w:t>
      </w:r>
      <w:r w:rsidRPr="009118AB">
        <w:rPr>
          <w:i/>
          <w:iCs/>
          <w:lang w:eastAsia="fr-BE"/>
        </w:rPr>
        <w:t>b/1)</w:t>
      </w:r>
      <w:r w:rsidRPr="009118AB">
        <w:rPr>
          <w:lang w:eastAsia="fr-BE"/>
        </w:rPr>
        <w:t xml:space="preserve"> in Artikel 90 Absatz 1 </w:t>
      </w:r>
      <w:r w:rsidR="00D67EB8" w:rsidRPr="009118AB">
        <w:rPr>
          <w:lang w:eastAsia="fr-BE"/>
        </w:rPr>
        <w:t>Nr. </w:t>
      </w:r>
      <w:r w:rsidRPr="009118AB">
        <w:rPr>
          <w:lang w:eastAsia="fr-BE"/>
        </w:rPr>
        <w:t>2</w:t>
      </w:r>
      <w:r w:rsidRPr="009118AB">
        <w:rPr>
          <w:i/>
          <w:lang w:eastAsia="fr-BE"/>
        </w:rPr>
        <w:t>bis</w:t>
      </w:r>
      <w:r w:rsidRPr="009118AB">
        <w:rPr>
          <w:lang w:eastAsia="fr-BE"/>
        </w:rPr>
        <w:t xml:space="preserve"> erwähnte Preisgelder,]</w:t>
      </w:r>
    </w:p>
    <w:p w14:paraId="51964D06" w14:textId="77777777" w:rsidR="002B3614" w:rsidRPr="009118AB" w:rsidRDefault="002B3614" w:rsidP="00873CDF">
      <w:pPr>
        <w:autoSpaceDE w:val="0"/>
        <w:autoSpaceDN w:val="0"/>
        <w:adjustRightInd w:val="0"/>
        <w:jc w:val="both"/>
        <w:rPr>
          <w:iCs/>
        </w:rPr>
      </w:pPr>
    </w:p>
    <w:p w14:paraId="54CBF8D9" w14:textId="1BB0C5C5" w:rsidR="00873CDF" w:rsidRPr="009118AB" w:rsidRDefault="00873CDF" w:rsidP="00E606D0">
      <w:pPr>
        <w:autoSpaceDE w:val="0"/>
        <w:autoSpaceDN w:val="0"/>
        <w:adjustRightInd w:val="0"/>
        <w:ind w:firstLine="709"/>
        <w:jc w:val="both"/>
        <w:rPr>
          <w:iCs/>
        </w:rPr>
      </w:pPr>
      <w:r w:rsidRPr="009118AB">
        <w:rPr>
          <w:i/>
          <w:iCs/>
        </w:rPr>
        <w:t>c)</w:t>
      </w:r>
      <w:r w:rsidRPr="009118AB">
        <w:rPr>
          <w:iCs/>
        </w:rPr>
        <w:t xml:space="preserve"> in [Artikel 90 Absatz 1 </w:t>
      </w:r>
      <w:r w:rsidR="00D67EB8" w:rsidRPr="009118AB">
        <w:rPr>
          <w:iCs/>
        </w:rPr>
        <w:t>Nr. </w:t>
      </w:r>
      <w:r w:rsidRPr="009118AB">
        <w:rPr>
          <w:iCs/>
        </w:rPr>
        <w:t>2] erwähnte Preise, Zuschüsse, Renten und Pensionen,</w:t>
      </w:r>
    </w:p>
    <w:p w14:paraId="301676F9" w14:textId="77777777" w:rsidR="00873CDF" w:rsidRPr="009118AB" w:rsidRDefault="00873CDF" w:rsidP="00873CDF">
      <w:pPr>
        <w:autoSpaceDE w:val="0"/>
        <w:autoSpaceDN w:val="0"/>
        <w:adjustRightInd w:val="0"/>
        <w:jc w:val="both"/>
        <w:rPr>
          <w:iCs/>
        </w:rPr>
      </w:pPr>
    </w:p>
    <w:p w14:paraId="68DEF5A3" w14:textId="78AF32CF" w:rsidR="00873CDF" w:rsidRPr="009118AB" w:rsidRDefault="00873CDF" w:rsidP="00E606D0">
      <w:pPr>
        <w:autoSpaceDE w:val="0"/>
        <w:autoSpaceDN w:val="0"/>
        <w:adjustRightInd w:val="0"/>
        <w:ind w:firstLine="709"/>
        <w:jc w:val="both"/>
        <w:rPr>
          <w:iCs/>
        </w:rPr>
      </w:pPr>
      <w:r w:rsidRPr="009118AB">
        <w:rPr>
          <w:i/>
          <w:iCs/>
        </w:rPr>
        <w:t>d)</w:t>
      </w:r>
      <w:r w:rsidRPr="009118AB">
        <w:rPr>
          <w:iCs/>
        </w:rPr>
        <w:t xml:space="preserve"> in [Artikel 90 Absatz 1 </w:t>
      </w:r>
      <w:r w:rsidR="00D67EB8" w:rsidRPr="009118AB">
        <w:rPr>
          <w:iCs/>
        </w:rPr>
        <w:t>Nr. </w:t>
      </w:r>
      <w:r w:rsidRPr="009118AB">
        <w:rPr>
          <w:iCs/>
        </w:rPr>
        <w:t>8] erwähnte Mehrwerte, wenn die Güter, auf die sie sich beziehen, später als fünf Jahre nach ihrem Erwerb veräußert werden,</w:t>
      </w:r>
    </w:p>
    <w:p w14:paraId="4C825D7C" w14:textId="77777777" w:rsidR="00873CDF" w:rsidRPr="009118AB" w:rsidRDefault="00873CDF" w:rsidP="00873CDF">
      <w:pPr>
        <w:autoSpaceDE w:val="0"/>
        <w:autoSpaceDN w:val="0"/>
        <w:adjustRightInd w:val="0"/>
        <w:jc w:val="both"/>
        <w:rPr>
          <w:iCs/>
        </w:rPr>
      </w:pPr>
      <w:r w:rsidRPr="009118AB">
        <w:rPr>
          <w:iCs/>
        </w:rPr>
        <w:tab/>
      </w:r>
    </w:p>
    <w:p w14:paraId="40492DC5" w14:textId="6C0260B6" w:rsidR="00873CDF" w:rsidRPr="009118AB" w:rsidRDefault="00873CDF" w:rsidP="00E606D0">
      <w:pPr>
        <w:autoSpaceDE w:val="0"/>
        <w:autoSpaceDN w:val="0"/>
        <w:adjustRightInd w:val="0"/>
        <w:ind w:firstLine="709"/>
        <w:jc w:val="both"/>
        <w:rPr>
          <w:iCs/>
        </w:rPr>
      </w:pPr>
      <w:r w:rsidRPr="009118AB">
        <w:rPr>
          <w:i/>
          <w:iCs/>
        </w:rPr>
        <w:t>e)</w:t>
      </w:r>
      <w:r w:rsidRPr="009118AB">
        <w:rPr>
          <w:iCs/>
        </w:rPr>
        <w:t xml:space="preserve"> [in [Artikel 90 Absatz 1 </w:t>
      </w:r>
      <w:r w:rsidR="00D67EB8" w:rsidRPr="009118AB">
        <w:rPr>
          <w:iCs/>
        </w:rPr>
        <w:t>Nr. </w:t>
      </w:r>
      <w:r w:rsidRPr="009118AB">
        <w:rPr>
          <w:iCs/>
        </w:rPr>
        <w:t>9 zweiter Gedankenstrich und 10] erwähnte Mehrwerte,</w:t>
      </w:r>
    </w:p>
    <w:p w14:paraId="526DC298" w14:textId="77777777" w:rsidR="00873CDF" w:rsidRPr="009118AB" w:rsidRDefault="00873CDF" w:rsidP="00873CDF">
      <w:pPr>
        <w:autoSpaceDE w:val="0"/>
        <w:autoSpaceDN w:val="0"/>
        <w:adjustRightInd w:val="0"/>
        <w:jc w:val="both"/>
        <w:rPr>
          <w:iCs/>
        </w:rPr>
      </w:pPr>
    </w:p>
    <w:p w14:paraId="57CF2DDD" w14:textId="2868BB12" w:rsidR="00873CDF" w:rsidRPr="009118AB" w:rsidRDefault="00873CDF" w:rsidP="00E606D0">
      <w:pPr>
        <w:autoSpaceDE w:val="0"/>
        <w:autoSpaceDN w:val="0"/>
        <w:adjustRightInd w:val="0"/>
        <w:ind w:firstLine="709"/>
        <w:jc w:val="both"/>
        <w:rPr>
          <w:iCs/>
        </w:rPr>
      </w:pPr>
      <w:r w:rsidRPr="009118AB">
        <w:rPr>
          <w:i/>
          <w:iCs/>
        </w:rPr>
        <w:t>f)</w:t>
      </w:r>
      <w:r w:rsidRPr="009118AB">
        <w:rPr>
          <w:iCs/>
        </w:rPr>
        <w:t xml:space="preserve"> [Kapitalien und Rückkaufswerte, die in Artikel 34 </w:t>
      </w:r>
      <w:r w:rsidR="00D67EB8" w:rsidRPr="009118AB">
        <w:rPr>
          <w:iCs/>
        </w:rPr>
        <w:t>§ </w:t>
      </w:r>
      <w:r w:rsidRPr="009118AB">
        <w:rPr>
          <w:iCs/>
        </w:rPr>
        <w:t xml:space="preserve">1 </w:t>
      </w:r>
      <w:r w:rsidR="00D67EB8" w:rsidRPr="009118AB">
        <w:rPr>
          <w:iCs/>
        </w:rPr>
        <w:t>Nr. </w:t>
      </w:r>
      <w:r w:rsidRPr="009118AB">
        <w:rPr>
          <w:iCs/>
        </w:rPr>
        <w:t>2 Absatz 1 Buchstabe </w:t>
      </w:r>
      <w:r w:rsidRPr="009118AB">
        <w:rPr>
          <w:i/>
          <w:iCs/>
        </w:rPr>
        <w:t>a)</w:t>
      </w:r>
      <w:r w:rsidRPr="009118AB">
        <w:rPr>
          <w:iCs/>
        </w:rPr>
        <w:t xml:space="preserve"> bis </w:t>
      </w:r>
      <w:r w:rsidRPr="009118AB">
        <w:rPr>
          <w:i/>
          <w:iCs/>
        </w:rPr>
        <w:t>c)</w:t>
      </w:r>
      <w:r w:rsidRPr="009118AB">
        <w:rPr>
          <w:iCs/>
        </w:rPr>
        <w:t xml:space="preserve"> erwähnte Einkünfte bilden, wenn sie nicht gemäß Artikel 169 </w:t>
      </w:r>
      <w:r w:rsidR="00D67EB8" w:rsidRPr="009118AB">
        <w:rPr>
          <w:iCs/>
        </w:rPr>
        <w:t>§ </w:t>
      </w:r>
      <w:r w:rsidRPr="009118AB">
        <w:rPr>
          <w:iCs/>
        </w:rPr>
        <w:t>1 steuerpflichtig sind und sie dem Empfänger anlässlich seiner Versetzung in den Ruhestand [oder zu Lebzeiten ab dem Alter von zweiundsechzig Jahren] oder anlässlich des Todes der Person, deren Rechtsnachfolger er ist, ausgezahlt werden, ausschließlich:</w:t>
      </w:r>
    </w:p>
    <w:p w14:paraId="421F5FA9" w14:textId="77777777" w:rsidR="00873CDF" w:rsidRPr="009118AB" w:rsidRDefault="00873CDF" w:rsidP="00873CDF">
      <w:pPr>
        <w:autoSpaceDE w:val="0"/>
        <w:autoSpaceDN w:val="0"/>
        <w:adjustRightInd w:val="0"/>
        <w:jc w:val="both"/>
        <w:rPr>
          <w:iCs/>
        </w:rPr>
      </w:pPr>
    </w:p>
    <w:p w14:paraId="48A5B135" w14:textId="7AF85B10" w:rsidR="00873CDF" w:rsidRPr="009118AB" w:rsidRDefault="00873CDF" w:rsidP="00E606D0">
      <w:pPr>
        <w:autoSpaceDE w:val="0"/>
        <w:autoSpaceDN w:val="0"/>
        <w:adjustRightInd w:val="0"/>
        <w:ind w:firstLine="709"/>
        <w:jc w:val="both"/>
        <w:rPr>
          <w:iCs/>
        </w:rPr>
      </w:pPr>
      <w:r w:rsidRPr="009118AB">
        <w:rPr>
          <w:iCs/>
        </w:rPr>
        <w:t>- der Kapitalien oder Rückkaufswerte, die durch die in Artikel 145</w:t>
      </w:r>
      <w:r w:rsidRPr="009118AB">
        <w:rPr>
          <w:iCs/>
          <w:vertAlign w:val="superscript"/>
        </w:rPr>
        <w:t>1</w:t>
      </w:r>
      <w:r w:rsidRPr="009118AB">
        <w:rPr>
          <w:iCs/>
        </w:rPr>
        <w:t xml:space="preserve"> </w:t>
      </w:r>
      <w:r w:rsidR="00D67EB8" w:rsidRPr="009118AB">
        <w:rPr>
          <w:iCs/>
        </w:rPr>
        <w:t>Nr. </w:t>
      </w:r>
      <w:r w:rsidRPr="009118AB">
        <w:rPr>
          <w:iCs/>
        </w:rPr>
        <w:t>1 erwähnten persönlichen Beiträge gebildet werden,</w:t>
      </w:r>
    </w:p>
    <w:p w14:paraId="178C1DCA" w14:textId="77777777" w:rsidR="00873CDF" w:rsidRPr="009118AB" w:rsidRDefault="00873CDF" w:rsidP="00873CDF">
      <w:pPr>
        <w:autoSpaceDE w:val="0"/>
        <w:autoSpaceDN w:val="0"/>
        <w:adjustRightInd w:val="0"/>
        <w:jc w:val="both"/>
        <w:rPr>
          <w:iCs/>
        </w:rPr>
      </w:pPr>
    </w:p>
    <w:p w14:paraId="755F988F" w14:textId="4EE194C6" w:rsidR="00873CDF" w:rsidRPr="009118AB" w:rsidRDefault="00873CDF" w:rsidP="00E606D0">
      <w:pPr>
        <w:autoSpaceDE w:val="0"/>
        <w:autoSpaceDN w:val="0"/>
        <w:adjustRightInd w:val="0"/>
        <w:ind w:firstLine="709"/>
        <w:jc w:val="both"/>
        <w:rPr>
          <w:iCs/>
        </w:rPr>
      </w:pPr>
      <w:r w:rsidRPr="009118AB">
        <w:rPr>
          <w:iCs/>
        </w:rPr>
        <w:t xml:space="preserve">- der Kapitalien und Rückkaufswerte, die aufgrund einer im Gesetz vom 28. April 2003 über ergänzende Pensionen und das Besteuerungssystem für diese Pensionen und für bestimmte Zusatzleistungen im Bereich der sozialen Sicherheit erwähnten individuellen ergänzenden Pensionsvereinbarung entweder einem in Artikel 31 erwähnten Arbeitnehmer zuerkannt </w:t>
      </w:r>
      <w:r w:rsidRPr="009118AB">
        <w:rPr>
          <w:iCs/>
        </w:rPr>
        <w:lastRenderedPageBreak/>
        <w:t xml:space="preserve">werden, wenn während der Dauer der individuellen ergänzenden Pensionsvereinbarung im Unternehmen keine kollektive ergänzende Pensionsvereinbarung bestand, die die Bedingungen des vorerwähnten Gesetzes erfüllt, oder einem in Artikel 32 erwähnten Unternehmensleiter zuerkannt werden, der während der Dauer der individuellen ergänzenden Pensionsvereinbarung keine Entlohnungen erhalten hat, die die Bedingungen von Artikel 195 </w:t>
      </w:r>
      <w:r w:rsidR="00D67EB8" w:rsidRPr="009118AB">
        <w:rPr>
          <w:iCs/>
        </w:rPr>
        <w:t>§ </w:t>
      </w:r>
      <w:r w:rsidRPr="009118AB">
        <w:rPr>
          <w:iCs/>
        </w:rPr>
        <w:t>1 Absatz 2 erfüllen,]</w:t>
      </w:r>
    </w:p>
    <w:p w14:paraId="6F6C9F68" w14:textId="77777777" w:rsidR="00873CDF" w:rsidRPr="009118AB" w:rsidRDefault="00873CDF" w:rsidP="00873CDF">
      <w:pPr>
        <w:autoSpaceDE w:val="0"/>
        <w:autoSpaceDN w:val="0"/>
        <w:adjustRightInd w:val="0"/>
        <w:jc w:val="both"/>
        <w:rPr>
          <w:iCs/>
        </w:rPr>
      </w:pPr>
    </w:p>
    <w:p w14:paraId="352C438E" w14:textId="77777777" w:rsidR="00873CDF" w:rsidRPr="009118AB" w:rsidRDefault="00873CDF" w:rsidP="00E606D0">
      <w:pPr>
        <w:autoSpaceDE w:val="0"/>
        <w:autoSpaceDN w:val="0"/>
        <w:adjustRightInd w:val="0"/>
        <w:ind w:firstLine="709"/>
        <w:jc w:val="both"/>
        <w:rPr>
          <w:iCs/>
        </w:rPr>
      </w:pPr>
      <w:r w:rsidRPr="009118AB">
        <w:rPr>
          <w:iCs/>
        </w:rPr>
        <w:t>[- [der Kapitalien, die durch Arbeitgeber- oder Unternehmensbeiträge gebildet werden und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w:t>
      </w:r>
    </w:p>
    <w:p w14:paraId="7E287247" w14:textId="77777777" w:rsidR="00873CDF" w:rsidRPr="009118AB" w:rsidRDefault="00873CDF" w:rsidP="00873CDF">
      <w:pPr>
        <w:autoSpaceDE w:val="0"/>
        <w:autoSpaceDN w:val="0"/>
        <w:adjustRightInd w:val="0"/>
        <w:jc w:val="both"/>
        <w:rPr>
          <w:iCs/>
        </w:rPr>
      </w:pPr>
    </w:p>
    <w:p w14:paraId="70B509DF" w14:textId="77777777" w:rsidR="00563019" w:rsidRPr="009118AB" w:rsidRDefault="00563019" w:rsidP="00E606D0">
      <w:pPr>
        <w:autoSpaceDE w:val="0"/>
        <w:autoSpaceDN w:val="0"/>
        <w:adjustRightInd w:val="0"/>
        <w:ind w:firstLine="709"/>
        <w:jc w:val="both"/>
        <w:rPr>
          <w:iCs/>
        </w:rPr>
      </w:pPr>
      <w:r w:rsidRPr="009118AB">
        <w:rPr>
          <w:iCs/>
        </w:rPr>
        <w:t>[- der Kapitalien, die durch Arbeitgeber- oder Unternehmensbeiträge gebildet werden und zu Lebzeiten frühestens bei Erreichen des Alters, in dem gemäß den geltenden Rechtsvorschriften in Sachen Pensionen die Bedingungen für eine vollständige Laufbahn erfüllt sind, dem Empfänger, der mindestens bis zu diesem Alter tatsächlich aktiv geblieben ist, ausgezahlt werden oder im Todesfall nach Erreichen des Alters, in dem die Bedingungen für eine vollständige Laufbahn erfüllt sind, wenn der Verstorbene bis zu diesem Alter tatsächlich aktiv geblieben ist, ausgezahlt werden,]</w:t>
      </w:r>
    </w:p>
    <w:p w14:paraId="6C48A86B" w14:textId="77777777" w:rsidR="00563019" w:rsidRPr="009118AB" w:rsidRDefault="00563019" w:rsidP="00873CDF">
      <w:pPr>
        <w:autoSpaceDE w:val="0"/>
        <w:autoSpaceDN w:val="0"/>
        <w:adjustRightInd w:val="0"/>
        <w:jc w:val="both"/>
        <w:rPr>
          <w:iCs/>
        </w:rPr>
      </w:pPr>
    </w:p>
    <w:p w14:paraId="3A720D2E" w14:textId="028573D5" w:rsidR="00873CDF" w:rsidRPr="009118AB" w:rsidRDefault="00873CDF" w:rsidP="00E606D0">
      <w:pPr>
        <w:autoSpaceDE w:val="0"/>
        <w:autoSpaceDN w:val="0"/>
        <w:adjustRightInd w:val="0"/>
        <w:ind w:firstLine="709"/>
        <w:jc w:val="both"/>
        <w:rPr>
          <w:iCs/>
        </w:rPr>
      </w:pPr>
      <w:r w:rsidRPr="009118AB">
        <w:rPr>
          <w:iCs/>
        </w:rPr>
        <w:t xml:space="preserve">[- der Kapitalien, die durch Arbeitgeberbeiträge gebildet werden und unter den [in </w:t>
      </w:r>
      <w:r w:rsidR="00D67EB8" w:rsidRPr="009118AB">
        <w:rPr>
          <w:iCs/>
        </w:rPr>
        <w:t>Nr. </w:t>
      </w:r>
      <w:r w:rsidRPr="009118AB">
        <w:rPr>
          <w:iCs/>
        </w:rPr>
        <w:t>3</w:t>
      </w:r>
      <w:r w:rsidRPr="009118AB">
        <w:rPr>
          <w:i/>
          <w:iCs/>
        </w:rPr>
        <w:t>bis</w:t>
      </w:r>
      <w:r w:rsidRPr="009118AB">
        <w:rPr>
          <w:iCs/>
        </w:rPr>
        <w:t xml:space="preserve"> Buchstabe </w:t>
      </w:r>
      <w:r w:rsidRPr="009118AB">
        <w:rPr>
          <w:i/>
          <w:iCs/>
        </w:rPr>
        <w:t>b)</w:t>
      </w:r>
      <w:r w:rsidRPr="009118AB">
        <w:rPr>
          <w:iCs/>
        </w:rPr>
        <w:t xml:space="preserve"> zweiter Gedankenstrich] erwähnten Bedingungen ausgezahlt werden,]</w:t>
      </w:r>
    </w:p>
    <w:p w14:paraId="44705E60" w14:textId="77777777" w:rsidR="00873CDF" w:rsidRPr="009118AB" w:rsidRDefault="00873CDF" w:rsidP="00873CDF">
      <w:pPr>
        <w:autoSpaceDE w:val="0"/>
        <w:autoSpaceDN w:val="0"/>
        <w:adjustRightInd w:val="0"/>
        <w:jc w:val="both"/>
        <w:rPr>
          <w:iCs/>
        </w:rPr>
      </w:pPr>
    </w:p>
    <w:p w14:paraId="25E1595A" w14:textId="77777777" w:rsidR="00873CDF" w:rsidRPr="009118AB" w:rsidRDefault="00873CDF" w:rsidP="00E606D0">
      <w:pPr>
        <w:autoSpaceDE w:val="0"/>
        <w:autoSpaceDN w:val="0"/>
        <w:adjustRightInd w:val="0"/>
        <w:ind w:firstLine="709"/>
        <w:jc w:val="both"/>
        <w:rPr>
          <w:iCs/>
        </w:rPr>
      </w:pPr>
      <w:r w:rsidRPr="009118AB">
        <w:rPr>
          <w:iCs/>
        </w:rPr>
        <w:t>[</w:t>
      </w:r>
      <w:r w:rsidRPr="009118AB">
        <w:rPr>
          <w:i/>
          <w:iCs/>
        </w:rPr>
        <w:t>fbis)</w:t>
      </w:r>
      <w:r w:rsidRPr="009118AB">
        <w:rPr>
          <w:iCs/>
        </w:rPr>
        <w:t xml:space="preserve"> [...]],</w:t>
      </w:r>
    </w:p>
    <w:p w14:paraId="512D8851" w14:textId="77777777" w:rsidR="00873CDF" w:rsidRPr="009118AB" w:rsidRDefault="00873CDF" w:rsidP="00873CDF">
      <w:pPr>
        <w:autoSpaceDE w:val="0"/>
        <w:autoSpaceDN w:val="0"/>
        <w:adjustRightInd w:val="0"/>
        <w:jc w:val="both"/>
        <w:rPr>
          <w:iCs/>
        </w:rPr>
      </w:pPr>
    </w:p>
    <w:p w14:paraId="5AD37539" w14:textId="2ECD1B77" w:rsidR="00873CDF" w:rsidRPr="009118AB" w:rsidRDefault="00873CDF" w:rsidP="00E606D0">
      <w:pPr>
        <w:autoSpaceDE w:val="0"/>
        <w:autoSpaceDN w:val="0"/>
        <w:adjustRightInd w:val="0"/>
        <w:ind w:firstLine="709"/>
        <w:jc w:val="both"/>
        <w:rPr>
          <w:iCs/>
        </w:rPr>
      </w:pPr>
      <w:r w:rsidRPr="009118AB">
        <w:rPr>
          <w:i/>
          <w:iCs/>
        </w:rPr>
        <w:t>g)</w:t>
      </w:r>
      <w:r w:rsidRPr="009118AB">
        <w:rPr>
          <w:iCs/>
        </w:rPr>
        <w:t xml:space="preserve"> [Kapitalien, die als Pensionen gelten, wenn sie vom Unternehmen einem in Artikel 32 Absatz 1 </w:t>
      </w:r>
      <w:r w:rsidR="00D67EB8" w:rsidRPr="009118AB">
        <w:rPr>
          <w:iCs/>
        </w:rPr>
        <w:t>Nr. </w:t>
      </w:r>
      <w:r w:rsidRPr="009118AB">
        <w:rPr>
          <w:iCs/>
        </w:rPr>
        <w:t xml:space="preserve">1 erwähnten Unternehmensleiter, der den Selbständigenstatus besitzt und der in Artikel 3 </w:t>
      </w:r>
      <w:r w:rsidR="00D67EB8" w:rsidRPr="009118AB">
        <w:rPr>
          <w:iCs/>
        </w:rPr>
        <w:t>§ </w:t>
      </w:r>
      <w:r w:rsidRPr="009118AB">
        <w:rPr>
          <w:iCs/>
        </w:rPr>
        <w:t xml:space="preserve">1 Absatz 4 des Königlichen Erlasses </w:t>
      </w:r>
      <w:r w:rsidR="00D67EB8" w:rsidRPr="009118AB">
        <w:rPr>
          <w:iCs/>
        </w:rPr>
        <w:t>Nr. </w:t>
      </w:r>
      <w:r w:rsidRPr="009118AB">
        <w:rPr>
          <w:iCs/>
        </w:rPr>
        <w:t>38 vom 27. Juli 1967 erwähnt ist, frühestens anlässlich seiner Versetzung in den Ruhestand am normalen Datum oder in einem der fünf Jahre vor diesem Datum [ausgezahlt werden oder wenn diese Kapitalien anlässlich seines Todes der Person, die sein Rechtsnachfolger ist, ausgezahlt werden], ohne dass sie durch vorhergehende Zahlungen gebildet wurden,]</w:t>
      </w:r>
    </w:p>
    <w:p w14:paraId="7D44F7D3" w14:textId="77777777" w:rsidR="00873CDF" w:rsidRPr="009118AB" w:rsidRDefault="00873CDF" w:rsidP="00873CDF">
      <w:pPr>
        <w:autoSpaceDE w:val="0"/>
        <w:autoSpaceDN w:val="0"/>
        <w:adjustRightInd w:val="0"/>
        <w:jc w:val="both"/>
        <w:rPr>
          <w:iCs/>
        </w:rPr>
      </w:pPr>
    </w:p>
    <w:p w14:paraId="59E45DF9" w14:textId="77777777" w:rsidR="00873CDF" w:rsidRPr="009118AB" w:rsidRDefault="00873CDF" w:rsidP="00E606D0">
      <w:pPr>
        <w:autoSpaceDE w:val="0"/>
        <w:autoSpaceDN w:val="0"/>
        <w:adjustRightInd w:val="0"/>
        <w:ind w:firstLine="709"/>
        <w:jc w:val="both"/>
        <w:rPr>
          <w:iCs/>
        </w:rPr>
      </w:pPr>
      <w:r w:rsidRPr="009118AB">
        <w:rPr>
          <w:i/>
          <w:iCs/>
        </w:rPr>
        <w:t>h)</w:t>
      </w:r>
      <w:r w:rsidRPr="009118AB">
        <w:rPr>
          <w:iCs/>
        </w:rPr>
        <w:t xml:space="preserve"> der Rückkauf des kapitalisierten Wertes eines Teils der gesetzlichen Ruhestands- oder Hinterbliebenenpension,</w:t>
      </w:r>
    </w:p>
    <w:p w14:paraId="28F61145" w14:textId="77777777" w:rsidR="00873CDF" w:rsidRPr="009118AB" w:rsidRDefault="00873CDF" w:rsidP="00873CDF">
      <w:pPr>
        <w:autoSpaceDE w:val="0"/>
        <w:autoSpaceDN w:val="0"/>
        <w:adjustRightInd w:val="0"/>
        <w:jc w:val="both"/>
        <w:rPr>
          <w:iCs/>
        </w:rPr>
      </w:pPr>
    </w:p>
    <w:p w14:paraId="0301488E" w14:textId="6F5FD197" w:rsidR="00873CDF" w:rsidRPr="009118AB" w:rsidRDefault="00873CDF" w:rsidP="00E606D0">
      <w:pPr>
        <w:autoSpaceDE w:val="0"/>
        <w:autoSpaceDN w:val="0"/>
        <w:adjustRightInd w:val="0"/>
        <w:ind w:firstLine="709"/>
        <w:jc w:val="both"/>
        <w:rPr>
          <w:iCs/>
        </w:rPr>
      </w:pPr>
      <w:r w:rsidRPr="009118AB">
        <w:rPr>
          <w:i/>
          <w:iCs/>
        </w:rPr>
        <w:t>i)</w:t>
      </w:r>
      <w:r w:rsidRPr="009118AB">
        <w:rPr>
          <w:iCs/>
        </w:rPr>
        <w:t xml:space="preserve"> [</w:t>
      </w:r>
      <w:r w:rsidRPr="009118AB">
        <w:t xml:space="preserve">von den Europäischen Gemeinschaften als Beihilfen für den Agrarsektor eingeführte Prämien und Entschädigungen, die nicht in </w:t>
      </w:r>
      <w:r w:rsidR="00D67EB8" w:rsidRPr="009118AB">
        <w:t>Nr. </w:t>
      </w:r>
      <w:r w:rsidRPr="009118AB">
        <w:t>4</w:t>
      </w:r>
      <w:r w:rsidRPr="009118AB">
        <w:rPr>
          <w:i/>
        </w:rPr>
        <w:t>bis</w:t>
      </w:r>
      <w:r w:rsidRPr="009118AB">
        <w:t xml:space="preserve"> erwähnt sind,</w:t>
      </w:r>
      <w:r w:rsidRPr="009118AB">
        <w:rPr>
          <w:iCs/>
        </w:rPr>
        <w:t>]</w:t>
      </w:r>
    </w:p>
    <w:p w14:paraId="634923CF" w14:textId="77777777" w:rsidR="00873CDF" w:rsidRPr="009118AB" w:rsidRDefault="00873CDF" w:rsidP="00873CDF">
      <w:pPr>
        <w:autoSpaceDE w:val="0"/>
        <w:autoSpaceDN w:val="0"/>
        <w:adjustRightInd w:val="0"/>
        <w:jc w:val="both"/>
        <w:rPr>
          <w:iCs/>
        </w:rPr>
      </w:pPr>
    </w:p>
    <w:p w14:paraId="07EFAD32" w14:textId="5AABDE07" w:rsidR="00873CDF" w:rsidRPr="009118AB" w:rsidRDefault="00873CDF" w:rsidP="00E606D0">
      <w:pPr>
        <w:autoSpaceDE w:val="0"/>
        <w:autoSpaceDN w:val="0"/>
        <w:adjustRightInd w:val="0"/>
        <w:ind w:firstLine="709"/>
        <w:jc w:val="both"/>
        <w:rPr>
          <w:iCs/>
        </w:rPr>
      </w:pPr>
      <w:r w:rsidRPr="009118AB">
        <w:rPr>
          <w:iCs/>
        </w:rPr>
        <w:t>[</w:t>
      </w:r>
      <w:r w:rsidRPr="009118AB">
        <w:rPr>
          <w:i/>
          <w:iCs/>
        </w:rPr>
        <w:t>j)</w:t>
      </w:r>
      <w:r w:rsidRPr="009118AB">
        <w:rPr>
          <w:iCs/>
        </w:rPr>
        <w:t xml:space="preserve"> [in Artikel 30 </w:t>
      </w:r>
      <w:r w:rsidR="00D67EB8" w:rsidRPr="009118AB">
        <w:rPr>
          <w:iCs/>
        </w:rPr>
        <w:t>Nr. </w:t>
      </w:r>
      <w:r w:rsidRPr="009118AB">
        <w:rPr>
          <w:iCs/>
        </w:rPr>
        <w:t xml:space="preserve">1 erwähnte Entlohnungen], die Sportlern für eine in dieser Eigenschaft ausgeübte Tätigkeit gezahlt oder zuerkannt werden, sofern sie am 1. Januar des Steuerjahres mindestens 16 Jahre alt und jünger als </w:t>
      </w:r>
      <w:r w:rsidR="007C4C1C" w:rsidRPr="009118AB">
        <w:rPr>
          <w:iCs/>
        </w:rPr>
        <w:t>[</w:t>
      </w:r>
      <w:r w:rsidRPr="009118AB">
        <w:rPr>
          <w:iCs/>
        </w:rPr>
        <w:t>2</w:t>
      </w:r>
      <w:r w:rsidR="007C4C1C" w:rsidRPr="009118AB">
        <w:rPr>
          <w:iCs/>
        </w:rPr>
        <w:t>3</w:t>
      </w:r>
      <w:r w:rsidRPr="009118AB">
        <w:rPr>
          <w:iCs/>
        </w:rPr>
        <w:t> Jahr</w:t>
      </w:r>
      <w:r w:rsidR="007C4C1C" w:rsidRPr="009118AB">
        <w:rPr>
          <w:iCs/>
        </w:rPr>
        <w:t>e]</w:t>
      </w:r>
      <w:r w:rsidRPr="009118AB">
        <w:rPr>
          <w:iCs/>
        </w:rPr>
        <w:t xml:space="preserve"> sind, [für einen Höchstbetrag von 12.300 EUR brutto] pro Besteuerungszeitraum,]</w:t>
      </w:r>
    </w:p>
    <w:p w14:paraId="10D41E59" w14:textId="77777777" w:rsidR="00873CDF" w:rsidRPr="009118AB" w:rsidRDefault="00873CDF" w:rsidP="00873CDF">
      <w:pPr>
        <w:autoSpaceDE w:val="0"/>
        <w:autoSpaceDN w:val="0"/>
        <w:adjustRightInd w:val="0"/>
        <w:jc w:val="both"/>
        <w:rPr>
          <w:iCs/>
        </w:rPr>
      </w:pPr>
    </w:p>
    <w:p w14:paraId="349D053D" w14:textId="77777777" w:rsidR="00873CDF" w:rsidRPr="009118AB" w:rsidRDefault="00873CDF" w:rsidP="00E606D0">
      <w:pPr>
        <w:autoSpaceDE w:val="0"/>
        <w:autoSpaceDN w:val="0"/>
        <w:adjustRightInd w:val="0"/>
        <w:ind w:firstLine="709"/>
        <w:jc w:val="both"/>
        <w:rPr>
          <w:iCs/>
        </w:rPr>
      </w:pPr>
      <w:r w:rsidRPr="009118AB">
        <w:rPr>
          <w:iCs/>
        </w:rPr>
        <w:t>[</w:t>
      </w:r>
      <w:r w:rsidRPr="009118AB">
        <w:rPr>
          <w:i/>
          <w:iCs/>
        </w:rPr>
        <w:t>k)</w:t>
      </w:r>
      <w:r w:rsidRPr="009118AB">
        <w:rPr>
          <w:iCs/>
        </w:rPr>
        <w:t> [die in Artikel 4 des Königlichen Erlasses vom 23. März 2012 zur Schaffung eines Impulsfonds für die Allgemeinmedizin und zur Festlegung der Arbeitsweise dieses Fonds erwähnte Prämie,]]</w:t>
      </w:r>
    </w:p>
    <w:p w14:paraId="06DEC4E3" w14:textId="77777777" w:rsidR="00873CDF" w:rsidRPr="009118AB" w:rsidRDefault="00873CDF" w:rsidP="00873CDF">
      <w:pPr>
        <w:autoSpaceDE w:val="0"/>
        <w:autoSpaceDN w:val="0"/>
        <w:adjustRightInd w:val="0"/>
        <w:jc w:val="both"/>
        <w:rPr>
          <w:iCs/>
        </w:rPr>
      </w:pPr>
    </w:p>
    <w:p w14:paraId="2B33F622" w14:textId="77777777" w:rsidR="00873CDF" w:rsidRPr="009118AB" w:rsidRDefault="00873CDF" w:rsidP="00E606D0">
      <w:pPr>
        <w:autoSpaceDE w:val="0"/>
        <w:autoSpaceDN w:val="0"/>
        <w:adjustRightInd w:val="0"/>
        <w:ind w:firstLine="709"/>
        <w:jc w:val="both"/>
        <w:rPr>
          <w:iCs/>
        </w:rPr>
      </w:pPr>
      <w:r w:rsidRPr="009118AB">
        <w:rPr>
          <w:iCs/>
        </w:rPr>
        <w:lastRenderedPageBreak/>
        <w:t>[</w:t>
      </w:r>
      <w:r w:rsidRPr="009118AB">
        <w:t>4</w:t>
      </w:r>
      <w:r w:rsidRPr="009118AB">
        <w:rPr>
          <w:i/>
        </w:rPr>
        <w:t>bis</w:t>
      </w:r>
      <w:r w:rsidRPr="009118AB">
        <w:t>. [zum Steuersatz von 12,5 Prozent Prämien und Zahlungen, die Landwirten im Rahmen der Stützungsregelungen "Direktzahlungen", die durch die europäischen Vorschriften im Agrarsektor eingeführt wurden, direkt zuerkannt werden,]]</w:t>
      </w:r>
    </w:p>
    <w:p w14:paraId="03763CA3" w14:textId="77777777" w:rsidR="00873CDF" w:rsidRPr="009118AB" w:rsidRDefault="00873CDF" w:rsidP="00873CDF">
      <w:pPr>
        <w:autoSpaceDE w:val="0"/>
        <w:autoSpaceDN w:val="0"/>
        <w:adjustRightInd w:val="0"/>
        <w:jc w:val="both"/>
        <w:rPr>
          <w:iCs/>
        </w:rPr>
      </w:pPr>
    </w:p>
    <w:p w14:paraId="6A00FB39" w14:textId="75AF20B9" w:rsidR="00873CDF" w:rsidRPr="009118AB" w:rsidRDefault="00873CDF" w:rsidP="00E606D0">
      <w:pPr>
        <w:autoSpaceDE w:val="0"/>
        <w:autoSpaceDN w:val="0"/>
        <w:adjustRightInd w:val="0"/>
        <w:ind w:firstLine="709"/>
        <w:jc w:val="both"/>
        <w:rPr>
          <w:iCs/>
        </w:rPr>
      </w:pPr>
      <w:r w:rsidRPr="009118AB">
        <w:rPr>
          <w:iCs/>
        </w:rPr>
        <w:t xml:space="preserve">5. zum Durchschnittssteuersatz in Bezug auf die Gesamtheit der steuerpflichtigen Einkünfte des letzten vorhergehenden Jahres, in dem der Steuerpflichtige </w:t>
      </w:r>
      <w:r w:rsidR="000634A1" w:rsidRPr="009118AB">
        <w:rPr>
          <w:iCs/>
        </w:rPr>
        <w:t>[</w:t>
      </w:r>
      <w:r w:rsidR="000634A1" w:rsidRPr="009118AB">
        <w:t>zwölf Monate steuerpflichtige Berufseinkünfte]</w:t>
      </w:r>
      <w:r w:rsidR="000634A1" w:rsidRPr="009118AB">
        <w:rPr>
          <w:iCs/>
        </w:rPr>
        <w:t xml:space="preserve"> </w:t>
      </w:r>
      <w:r w:rsidRPr="009118AB">
        <w:rPr>
          <w:iCs/>
        </w:rPr>
        <w:t>hatte[</w:t>
      </w:r>
      <w:r w:rsidRPr="009118AB">
        <w:t>, der auf der Grundlage der in Anwendung der Artikel 130 bis 145 und 146 bis 154 geschuldeten Steuer, verringert um die in den Artikeln 145</w:t>
      </w:r>
      <w:r w:rsidRPr="009118AB">
        <w:rPr>
          <w:vertAlign w:val="superscript"/>
        </w:rPr>
        <w:t>1</w:t>
      </w:r>
      <w:r w:rsidRPr="009118AB">
        <w:t xml:space="preserve"> bis 145</w:t>
      </w:r>
      <w:r w:rsidRPr="009118AB">
        <w:rPr>
          <w:vertAlign w:val="superscript"/>
        </w:rPr>
        <w:t>16</w:t>
      </w:r>
      <w:r w:rsidRPr="009118AB">
        <w:t>, 145</w:t>
      </w:r>
      <w:r w:rsidRPr="009118AB">
        <w:rPr>
          <w:vertAlign w:val="superscript"/>
        </w:rPr>
        <w:t>24</w:t>
      </w:r>
      <w:r w:rsidRPr="009118AB">
        <w:t>, [145</w:t>
      </w:r>
      <w:r w:rsidRPr="009118AB">
        <w:rPr>
          <w:vertAlign w:val="superscript"/>
        </w:rPr>
        <w:t>26</w:t>
      </w:r>
      <w:r w:rsidRPr="009118AB">
        <w:t xml:space="preserve"> bis 145</w:t>
      </w:r>
      <w:r w:rsidRPr="009118AB">
        <w:rPr>
          <w:vertAlign w:val="superscript"/>
        </w:rPr>
        <w:t>28</w:t>
      </w:r>
      <w:r w:rsidRPr="009118AB">
        <w:t>], 145</w:t>
      </w:r>
      <w:r w:rsidRPr="009118AB">
        <w:rPr>
          <w:vertAlign w:val="superscript"/>
        </w:rPr>
        <w:t>32</w:t>
      </w:r>
      <w:r w:rsidRPr="009118AB">
        <w:t xml:space="preserve"> [bis 145</w:t>
      </w:r>
      <w:r w:rsidRPr="009118AB">
        <w:rPr>
          <w:vertAlign w:val="superscript"/>
        </w:rPr>
        <w:t>35</w:t>
      </w:r>
      <w:r w:rsidRPr="009118AB">
        <w:t>,</w:t>
      </w:r>
      <w:r w:rsidR="0023427B" w:rsidRPr="009118AB">
        <w:t xml:space="preserve"> [</w:t>
      </w:r>
      <w:r w:rsidR="00642026" w:rsidRPr="009118AB">
        <w:rPr>
          <w:rFonts w:eastAsia="Calibri"/>
          <w:szCs w:val="22"/>
          <w:lang w:eastAsia="en-US"/>
        </w:rPr>
        <w:t>145</w:t>
      </w:r>
      <w:r w:rsidR="00642026" w:rsidRPr="009118AB">
        <w:rPr>
          <w:rFonts w:eastAsia="Calibri"/>
          <w:szCs w:val="22"/>
          <w:vertAlign w:val="superscript"/>
          <w:lang w:eastAsia="en-US"/>
        </w:rPr>
        <w:t>48</w:t>
      </w:r>
      <w:r w:rsidR="00642026" w:rsidRPr="009118AB">
        <w:rPr>
          <w:rFonts w:eastAsia="Calibri"/>
          <w:szCs w:val="22"/>
          <w:lang w:eastAsia="en-US"/>
        </w:rPr>
        <w:t xml:space="preserve"> bis 145</w:t>
      </w:r>
      <w:r w:rsidR="00642026" w:rsidRPr="009118AB">
        <w:rPr>
          <w:rFonts w:eastAsia="Calibri"/>
          <w:szCs w:val="22"/>
          <w:vertAlign w:val="superscript"/>
          <w:lang w:eastAsia="en-US"/>
        </w:rPr>
        <w:t>50</w:t>
      </w:r>
      <w:r w:rsidR="00642026" w:rsidRPr="009118AB">
        <w:rPr>
          <w:rFonts w:eastAsia="Calibri"/>
          <w:szCs w:val="22"/>
          <w:lang w:eastAsia="en-US"/>
        </w:rPr>
        <w:t xml:space="preserve"> und 154</w:t>
      </w:r>
      <w:r w:rsidR="00642026" w:rsidRPr="009118AB">
        <w:rPr>
          <w:rFonts w:eastAsia="Calibri"/>
          <w:i/>
          <w:iCs/>
          <w:szCs w:val="22"/>
          <w:lang w:eastAsia="en-US"/>
        </w:rPr>
        <w:t>bis</w:t>
      </w:r>
      <w:r w:rsidR="0023427B" w:rsidRPr="009118AB">
        <w:t>]</w:t>
      </w:r>
      <w:r w:rsidR="005B7E1A" w:rsidRPr="009118AB">
        <w:t>]</w:t>
      </w:r>
      <w:r w:rsidRPr="009118AB">
        <w:t xml:space="preserve"> erwähnten Steuerermäßigungen, berechnet wird</w:t>
      </w:r>
      <w:r w:rsidRPr="009118AB">
        <w:rPr>
          <w:iCs/>
        </w:rPr>
        <w:t>]:</w:t>
      </w:r>
    </w:p>
    <w:p w14:paraId="42B2BAE2" w14:textId="77777777" w:rsidR="00873CDF" w:rsidRPr="009118AB" w:rsidRDefault="00873CDF" w:rsidP="00873CDF">
      <w:pPr>
        <w:autoSpaceDE w:val="0"/>
        <w:autoSpaceDN w:val="0"/>
        <w:adjustRightInd w:val="0"/>
        <w:jc w:val="both"/>
        <w:rPr>
          <w:iCs/>
        </w:rPr>
      </w:pPr>
    </w:p>
    <w:p w14:paraId="5DB84FA2" w14:textId="3275635A" w:rsidR="00873CDF" w:rsidRPr="009118AB" w:rsidRDefault="00873CDF" w:rsidP="00E606D0">
      <w:pPr>
        <w:autoSpaceDE w:val="0"/>
        <w:autoSpaceDN w:val="0"/>
        <w:adjustRightInd w:val="0"/>
        <w:ind w:firstLine="709"/>
        <w:jc w:val="both"/>
        <w:rPr>
          <w:iCs/>
        </w:rPr>
      </w:pPr>
      <w:r w:rsidRPr="009118AB">
        <w:rPr>
          <w:i/>
          <w:iCs/>
        </w:rPr>
        <w:t>a)</w:t>
      </w:r>
      <w:r w:rsidRPr="009118AB">
        <w:rPr>
          <w:iCs/>
        </w:rPr>
        <w:t xml:space="preserve"> Entschädigungen, […] die vertragsgemäß oder nicht vertragsgemäß gezahlt werden aufgrund der Einstellung der Arbeit oder der Beendigung eines Arbeitsvertrags</w:t>
      </w:r>
      <w:r w:rsidR="00D85DB4" w:rsidRPr="009118AB">
        <w:rPr>
          <w:iCs/>
        </w:rPr>
        <w:t xml:space="preserve"> </w:t>
      </w:r>
      <w:r w:rsidR="008132B3" w:rsidRPr="009118AB">
        <w:rPr>
          <w:iCs/>
        </w:rPr>
        <w:t>[</w:t>
      </w:r>
      <w:r w:rsidR="00D85DB4" w:rsidRPr="009118AB">
        <w:t>...</w:t>
      </w:r>
      <w:r w:rsidR="008132B3" w:rsidRPr="009118AB">
        <w:t>]</w:t>
      </w:r>
      <w:r w:rsidRPr="009118AB">
        <w:rPr>
          <w:iCs/>
        </w:rPr>
        <w:t>,</w:t>
      </w:r>
      <w:r w:rsidR="008132B3" w:rsidRPr="009118AB">
        <w:rPr>
          <w:iCs/>
        </w:rPr>
        <w:t xml:space="preserve"> </w:t>
      </w:r>
    </w:p>
    <w:p w14:paraId="02D3EA66" w14:textId="77777777" w:rsidR="00873CDF" w:rsidRPr="009118AB" w:rsidRDefault="00873CDF" w:rsidP="00873CDF">
      <w:pPr>
        <w:autoSpaceDE w:val="0"/>
        <w:autoSpaceDN w:val="0"/>
        <w:adjustRightInd w:val="0"/>
        <w:jc w:val="both"/>
        <w:rPr>
          <w:iCs/>
        </w:rPr>
      </w:pPr>
    </w:p>
    <w:p w14:paraId="16D3F7CA" w14:textId="36C8CE65" w:rsidR="00873CDF" w:rsidRPr="009118AB" w:rsidRDefault="00873CDF" w:rsidP="00E606D0">
      <w:pPr>
        <w:autoSpaceDE w:val="0"/>
        <w:autoSpaceDN w:val="0"/>
        <w:adjustRightInd w:val="0"/>
        <w:ind w:firstLine="709"/>
        <w:jc w:val="both"/>
        <w:rPr>
          <w:iCs/>
        </w:rPr>
      </w:pPr>
      <w:r w:rsidRPr="009118AB">
        <w:rPr>
          <w:i/>
          <w:iCs/>
        </w:rPr>
        <w:t>b)</w:t>
      </w:r>
      <w:r w:rsidRPr="009118AB">
        <w:rPr>
          <w:iCs/>
        </w:rPr>
        <w:t xml:space="preserve"> [</w:t>
      </w:r>
      <w:r w:rsidRPr="009118AB">
        <w:t xml:space="preserve">als vollständige Entschädigung oder Teilentschädigung für einen zeitweiligen Ausfall von Berufseinkünften bezogene Entschädigungen wie in den Artikeln 25 einziger Absatz </w:t>
      </w:r>
      <w:r w:rsidR="00D67EB8" w:rsidRPr="009118AB">
        <w:t>Nr. </w:t>
      </w:r>
      <w:r w:rsidRPr="009118AB">
        <w:t>6 Buchstabe </w:t>
      </w:r>
      <w:r w:rsidRPr="009118AB">
        <w:rPr>
          <w:i/>
        </w:rPr>
        <w:t>b)</w:t>
      </w:r>
      <w:r w:rsidRPr="009118AB">
        <w:t xml:space="preserve">, 27 Absatz 2 </w:t>
      </w:r>
      <w:r w:rsidR="00D67EB8" w:rsidRPr="009118AB">
        <w:t>Nr. </w:t>
      </w:r>
      <w:r w:rsidRPr="009118AB">
        <w:t>4 Buchstabe </w:t>
      </w:r>
      <w:r w:rsidRPr="009118AB">
        <w:rPr>
          <w:i/>
        </w:rPr>
        <w:t>b)</w:t>
      </w:r>
      <w:r w:rsidR="00594E96" w:rsidRPr="009118AB">
        <w:t>[</w:t>
      </w:r>
      <w:r w:rsidR="00594E96" w:rsidRPr="009118AB">
        <w:rPr>
          <w:lang w:eastAsia="fr-BE"/>
        </w:rPr>
        <w:t xml:space="preserve">, 32 Absatz 2 </w:t>
      </w:r>
      <w:r w:rsidR="00D67EB8" w:rsidRPr="009118AB">
        <w:rPr>
          <w:lang w:eastAsia="fr-BE"/>
        </w:rPr>
        <w:t>Nr. </w:t>
      </w:r>
      <w:r w:rsidR="00594E96" w:rsidRPr="009118AB">
        <w:rPr>
          <w:lang w:eastAsia="fr-BE"/>
        </w:rPr>
        <w:t>2 und 33 Absatz 3</w:t>
      </w:r>
      <w:r w:rsidR="00594E96" w:rsidRPr="009118AB">
        <w:t xml:space="preserve">] </w:t>
      </w:r>
      <w:r w:rsidRPr="009118AB">
        <w:t>erwähnt und</w:t>
      </w:r>
      <w:r w:rsidRPr="009118AB">
        <w:rPr>
          <w:iCs/>
        </w:rPr>
        <w:t>] in den Artikeln 31 und 34 erwähnte Entlohnungen, Pensionen, Renten oder Zulagen, deren Zahlung oder Zuerkennung durch Verschulden einer öffentlichen Behörde oder aufgrund des Vorhandenseins einer Streitsache erst nach Ablauf des Besteuerungszeitraums erfolgte, auf den sie sich tatsächlich beziehen,</w:t>
      </w:r>
    </w:p>
    <w:p w14:paraId="5CD5C4B8" w14:textId="77777777" w:rsidR="00873CDF" w:rsidRPr="009118AB" w:rsidRDefault="00873CDF" w:rsidP="00873CDF">
      <w:pPr>
        <w:autoSpaceDE w:val="0"/>
        <w:autoSpaceDN w:val="0"/>
        <w:adjustRightInd w:val="0"/>
        <w:jc w:val="both"/>
        <w:rPr>
          <w:i/>
          <w:iCs/>
        </w:rPr>
      </w:pPr>
    </w:p>
    <w:p w14:paraId="0FE8AA80" w14:textId="120BD63A" w:rsidR="00873CDF" w:rsidRPr="009118AB" w:rsidRDefault="00873CDF" w:rsidP="00E606D0">
      <w:pPr>
        <w:autoSpaceDE w:val="0"/>
        <w:autoSpaceDN w:val="0"/>
        <w:adjustRightInd w:val="0"/>
        <w:ind w:firstLine="709"/>
        <w:jc w:val="both"/>
        <w:rPr>
          <w:iCs/>
        </w:rPr>
      </w:pPr>
      <w:r w:rsidRPr="009118AB">
        <w:rPr>
          <w:i/>
          <w:iCs/>
        </w:rPr>
        <w:t>c)</w:t>
      </w:r>
      <w:r w:rsidRPr="009118AB">
        <w:rPr>
          <w:iCs/>
        </w:rPr>
        <w:t xml:space="preserve"> [in Artikel 28 Absatz 1 </w:t>
      </w:r>
      <w:r w:rsidR="00D67EB8" w:rsidRPr="009118AB">
        <w:rPr>
          <w:iCs/>
        </w:rPr>
        <w:t>Nr. </w:t>
      </w:r>
      <w:r w:rsidRPr="009118AB">
        <w:rPr>
          <w:iCs/>
        </w:rPr>
        <w:t>2 und 3 Buchstabe </w:t>
      </w:r>
      <w:r w:rsidRPr="009118AB">
        <w:rPr>
          <w:i/>
          <w:iCs/>
        </w:rPr>
        <w:t>a)</w:t>
      </w:r>
      <w:r w:rsidRPr="009118AB">
        <w:rPr>
          <w:iCs/>
        </w:rPr>
        <w:t xml:space="preserve"> erwähnte] Gewinne oder Profite aus einer vorherigen Berufstätigkeit,</w:t>
      </w:r>
    </w:p>
    <w:p w14:paraId="6BE1BA4D" w14:textId="77777777" w:rsidR="00873CDF" w:rsidRPr="009118AB" w:rsidRDefault="00873CDF" w:rsidP="00873CDF">
      <w:pPr>
        <w:autoSpaceDE w:val="0"/>
        <w:autoSpaceDN w:val="0"/>
        <w:adjustRightInd w:val="0"/>
        <w:jc w:val="both"/>
        <w:rPr>
          <w:iCs/>
        </w:rPr>
      </w:pPr>
    </w:p>
    <w:p w14:paraId="4DB518F4" w14:textId="77777777" w:rsidR="00873CDF" w:rsidRPr="009118AB" w:rsidRDefault="00873CDF" w:rsidP="00E606D0">
      <w:pPr>
        <w:autoSpaceDE w:val="0"/>
        <w:autoSpaceDN w:val="0"/>
        <w:adjustRightInd w:val="0"/>
        <w:ind w:firstLine="709"/>
        <w:jc w:val="both"/>
        <w:rPr>
          <w:iCs/>
        </w:rPr>
      </w:pPr>
      <w:r w:rsidRPr="009118AB">
        <w:rPr>
          <w:iCs/>
        </w:rPr>
        <w:t>[</w:t>
      </w:r>
      <w:r w:rsidRPr="009118AB">
        <w:rPr>
          <w:i/>
          <w:iCs/>
        </w:rPr>
        <w:t>d)</w:t>
      </w:r>
      <w:r w:rsidRPr="009118AB">
        <w:rPr>
          <w:iCs/>
        </w:rPr>
        <w:t xml:space="preserve"> Entschädigungen, die vom Fonds für die Entschädigung der bei Unter</w:t>
      </w:r>
      <w:r w:rsidRPr="009118AB">
        <w:rPr>
          <w:iCs/>
        </w:rPr>
        <w:softHyphen/>
        <w:t>nehmensschließungen entlassenen Arbeitnehmer nach Ablauf des Besteuerungszeitraums, auf den diese Entschädigungen sich tatsächlich beziehen, gezahlt werden,]</w:t>
      </w:r>
    </w:p>
    <w:p w14:paraId="378B2195" w14:textId="77777777" w:rsidR="00873CDF" w:rsidRPr="009118AB" w:rsidRDefault="00873CDF" w:rsidP="00873CDF">
      <w:pPr>
        <w:autoSpaceDE w:val="0"/>
        <w:autoSpaceDN w:val="0"/>
        <w:adjustRightInd w:val="0"/>
        <w:jc w:val="both"/>
        <w:rPr>
          <w:iCs/>
        </w:rPr>
      </w:pPr>
    </w:p>
    <w:p w14:paraId="6F941BE8" w14:textId="77777777" w:rsidR="00873CDF" w:rsidRPr="009118AB" w:rsidRDefault="00873CDF" w:rsidP="00E606D0">
      <w:pPr>
        <w:autoSpaceDE w:val="0"/>
        <w:autoSpaceDN w:val="0"/>
        <w:adjustRightInd w:val="0"/>
        <w:ind w:firstLine="709"/>
        <w:jc w:val="both"/>
        <w:rPr>
          <w:iCs/>
        </w:rPr>
      </w:pPr>
      <w:r w:rsidRPr="009118AB">
        <w:rPr>
          <w:iCs/>
        </w:rPr>
        <w:t>[</w:t>
      </w:r>
      <w:r w:rsidRPr="009118AB">
        <w:rPr>
          <w:i/>
          <w:iCs/>
        </w:rPr>
        <w:t>e)</w:t>
      </w:r>
      <w:r w:rsidRPr="009118AB">
        <w:rPr>
          <w:iCs/>
        </w:rPr>
        <w:t xml:space="preserve"> EGKS-Entschädigungen, die durch das Landesamt für Arbeitsbeschaffung auf</w:t>
      </w:r>
      <w:r w:rsidRPr="009118AB">
        <w:rPr>
          <w:iCs/>
        </w:rPr>
        <w:softHyphen/>
        <w:t>grund der Umstrukturierung oder Schließung eines Unternehmens nach Ablauf des Besteuerungs</w:t>
      </w:r>
      <w:r w:rsidRPr="009118AB">
        <w:rPr>
          <w:iCs/>
        </w:rPr>
        <w:softHyphen/>
        <w:t>zeitraums, auf den die Entschädigungen sich tatsächlich beziehen, gezahlt werden,]</w:t>
      </w:r>
    </w:p>
    <w:p w14:paraId="1FFF77C3" w14:textId="77777777" w:rsidR="00873CDF" w:rsidRPr="009118AB" w:rsidRDefault="00873CDF" w:rsidP="00873CDF">
      <w:pPr>
        <w:autoSpaceDE w:val="0"/>
        <w:autoSpaceDN w:val="0"/>
        <w:adjustRightInd w:val="0"/>
        <w:jc w:val="both"/>
        <w:rPr>
          <w:iCs/>
        </w:rPr>
      </w:pPr>
    </w:p>
    <w:p w14:paraId="26A23DA5" w14:textId="77777777" w:rsidR="00873CDF" w:rsidRPr="009118AB" w:rsidRDefault="00873CDF" w:rsidP="00E606D0">
      <w:pPr>
        <w:autoSpaceDE w:val="0"/>
        <w:autoSpaceDN w:val="0"/>
        <w:adjustRightInd w:val="0"/>
        <w:ind w:firstLine="709"/>
        <w:jc w:val="both"/>
        <w:rPr>
          <w:iCs/>
        </w:rPr>
      </w:pPr>
      <w:r w:rsidRPr="009118AB">
        <w:rPr>
          <w:iCs/>
        </w:rPr>
        <w:t>[</w:t>
      </w:r>
      <w:r w:rsidRPr="009118AB">
        <w:rPr>
          <w:i/>
          <w:iCs/>
        </w:rPr>
        <w:t>f)</w:t>
      </w:r>
      <w:r w:rsidRPr="009118AB">
        <w:rPr>
          <w:iCs/>
        </w:rPr>
        <w:t xml:space="preserve"> in Titel IV Kapitel V Abschnitt 3 des Gesetzes vom 23. Dezember 2005 über den Solidaritätspakt zwischen den Generationen erwähnte Wiederbeschäftigungs</w:t>
      </w:r>
      <w:r w:rsidRPr="009118AB">
        <w:rPr>
          <w:iCs/>
        </w:rPr>
        <w:softHyphen/>
        <w:t>entschä</w:t>
      </w:r>
      <w:r w:rsidRPr="009118AB">
        <w:rPr>
          <w:iCs/>
        </w:rPr>
        <w:softHyphen/>
        <w:t>digungen,]</w:t>
      </w:r>
    </w:p>
    <w:p w14:paraId="3923B98F" w14:textId="77777777" w:rsidR="00873CDF" w:rsidRPr="009118AB" w:rsidRDefault="00873CDF" w:rsidP="00873CDF">
      <w:pPr>
        <w:autoSpaceDE w:val="0"/>
        <w:autoSpaceDN w:val="0"/>
        <w:adjustRightInd w:val="0"/>
        <w:jc w:val="both"/>
        <w:rPr>
          <w:iCs/>
        </w:rPr>
      </w:pPr>
    </w:p>
    <w:p w14:paraId="2A927BE4" w14:textId="5AE886F4" w:rsidR="00873CDF" w:rsidRPr="009118AB" w:rsidRDefault="00873CDF" w:rsidP="00E606D0">
      <w:pPr>
        <w:autoSpaceDE w:val="0"/>
        <w:autoSpaceDN w:val="0"/>
        <w:adjustRightInd w:val="0"/>
        <w:ind w:firstLine="709"/>
        <w:jc w:val="both"/>
        <w:rPr>
          <w:iCs/>
        </w:rPr>
      </w:pPr>
      <w:r w:rsidRPr="009118AB">
        <w:rPr>
          <w:iCs/>
        </w:rPr>
        <w:t>6. zum Steuersatz in Bezug auf die Gesamtheit der anderen steuerpflichtigen Einkünfte[</w:t>
      </w:r>
      <w:r w:rsidRPr="009118AB">
        <w:t>, der auf der Grundlage der in Anwendung der Artikel 130 bis 145 und 146 bis 154 geschuldeten Steuer, verringert um die in den Artikeln 145</w:t>
      </w:r>
      <w:r w:rsidRPr="009118AB">
        <w:rPr>
          <w:vertAlign w:val="superscript"/>
        </w:rPr>
        <w:t>1</w:t>
      </w:r>
      <w:r w:rsidRPr="009118AB">
        <w:t xml:space="preserve"> bis 145</w:t>
      </w:r>
      <w:r w:rsidRPr="009118AB">
        <w:rPr>
          <w:vertAlign w:val="superscript"/>
        </w:rPr>
        <w:t>16</w:t>
      </w:r>
      <w:r w:rsidRPr="009118AB">
        <w:t>, 145</w:t>
      </w:r>
      <w:r w:rsidRPr="009118AB">
        <w:rPr>
          <w:vertAlign w:val="superscript"/>
        </w:rPr>
        <w:t>24</w:t>
      </w:r>
      <w:r w:rsidRPr="009118AB">
        <w:t>, [145</w:t>
      </w:r>
      <w:r w:rsidRPr="009118AB">
        <w:rPr>
          <w:vertAlign w:val="superscript"/>
        </w:rPr>
        <w:t>26</w:t>
      </w:r>
      <w:r w:rsidRPr="009118AB">
        <w:t xml:space="preserve"> bis 145</w:t>
      </w:r>
      <w:r w:rsidRPr="009118AB">
        <w:rPr>
          <w:vertAlign w:val="superscript"/>
        </w:rPr>
        <w:t>28</w:t>
      </w:r>
      <w:r w:rsidRPr="009118AB">
        <w:t>], 145</w:t>
      </w:r>
      <w:r w:rsidRPr="009118AB">
        <w:rPr>
          <w:vertAlign w:val="superscript"/>
        </w:rPr>
        <w:t>32</w:t>
      </w:r>
      <w:r w:rsidRPr="009118AB">
        <w:t xml:space="preserve"> [bis 145</w:t>
      </w:r>
      <w:r w:rsidRPr="009118AB">
        <w:rPr>
          <w:vertAlign w:val="superscript"/>
        </w:rPr>
        <w:t>35</w:t>
      </w:r>
      <w:r w:rsidRPr="009118AB">
        <w:t xml:space="preserve">, </w:t>
      </w:r>
      <w:r w:rsidR="0023427B" w:rsidRPr="009118AB">
        <w:t>[</w:t>
      </w:r>
      <w:r w:rsidR="00642026" w:rsidRPr="009118AB">
        <w:rPr>
          <w:rFonts w:eastAsia="Calibri"/>
          <w:szCs w:val="22"/>
          <w:lang w:eastAsia="en-US"/>
        </w:rPr>
        <w:t>145</w:t>
      </w:r>
      <w:r w:rsidR="00642026" w:rsidRPr="009118AB">
        <w:rPr>
          <w:rFonts w:eastAsia="Calibri"/>
          <w:szCs w:val="22"/>
          <w:vertAlign w:val="superscript"/>
          <w:lang w:eastAsia="en-US"/>
        </w:rPr>
        <w:t>48</w:t>
      </w:r>
      <w:r w:rsidR="00642026" w:rsidRPr="009118AB">
        <w:rPr>
          <w:rFonts w:eastAsia="Calibri"/>
          <w:szCs w:val="22"/>
          <w:lang w:eastAsia="en-US"/>
        </w:rPr>
        <w:t xml:space="preserve"> bis 145</w:t>
      </w:r>
      <w:r w:rsidR="00642026" w:rsidRPr="009118AB">
        <w:rPr>
          <w:rFonts w:eastAsia="Calibri"/>
          <w:szCs w:val="22"/>
          <w:vertAlign w:val="superscript"/>
          <w:lang w:eastAsia="en-US"/>
        </w:rPr>
        <w:t>50</w:t>
      </w:r>
      <w:r w:rsidR="00642026" w:rsidRPr="009118AB">
        <w:rPr>
          <w:rFonts w:eastAsia="Calibri"/>
          <w:szCs w:val="22"/>
          <w:lang w:eastAsia="en-US"/>
        </w:rPr>
        <w:t xml:space="preserve"> und 154</w:t>
      </w:r>
      <w:r w:rsidR="00642026" w:rsidRPr="009118AB">
        <w:rPr>
          <w:rFonts w:eastAsia="Calibri"/>
          <w:i/>
          <w:iCs/>
          <w:szCs w:val="22"/>
          <w:lang w:eastAsia="en-US"/>
        </w:rPr>
        <w:t>bis</w:t>
      </w:r>
      <w:r w:rsidR="0023427B" w:rsidRPr="009118AB">
        <w:t>]</w:t>
      </w:r>
      <w:r w:rsidR="005B7E1A" w:rsidRPr="009118AB">
        <w:t>]</w:t>
      </w:r>
      <w:r w:rsidRPr="009118AB">
        <w:t xml:space="preserve"> erwähnten Steuerermäßigungen, berechnet wird]</w:t>
      </w:r>
      <w:r w:rsidRPr="009118AB">
        <w:rPr>
          <w:iCs/>
        </w:rPr>
        <w:t>:</w:t>
      </w:r>
    </w:p>
    <w:p w14:paraId="50A7A49B" w14:textId="77777777" w:rsidR="00873CDF" w:rsidRPr="009118AB" w:rsidRDefault="00873CDF" w:rsidP="00873CDF">
      <w:pPr>
        <w:autoSpaceDE w:val="0"/>
        <w:autoSpaceDN w:val="0"/>
        <w:adjustRightInd w:val="0"/>
        <w:jc w:val="both"/>
        <w:rPr>
          <w:iCs/>
        </w:rPr>
      </w:pPr>
    </w:p>
    <w:p w14:paraId="4A62B2CA" w14:textId="77777777" w:rsidR="00873CDF" w:rsidRPr="009118AB" w:rsidRDefault="00873CDF" w:rsidP="00E606D0">
      <w:pPr>
        <w:autoSpaceDE w:val="0"/>
        <w:autoSpaceDN w:val="0"/>
        <w:adjustRightInd w:val="0"/>
        <w:ind w:firstLine="709"/>
        <w:jc w:val="both"/>
        <w:rPr>
          <w:iCs/>
        </w:rPr>
      </w:pPr>
      <w:r w:rsidRPr="009118AB">
        <w:rPr>
          <w:iCs/>
        </w:rPr>
        <w:t>- [Urlaubsgeld, das im Laufe des Jahres, in dem der Arbeitnehmer [oder der im Rahmen eines Arbeitsvertrags beschäftigte Unternehmensleiter] seinen Arbeitgeber verlässt, gebildet und dem Arbeitnehmer oder Unternehmensleiter gezahlt wird,]</w:t>
      </w:r>
    </w:p>
    <w:p w14:paraId="4771B91D" w14:textId="77777777" w:rsidR="00873CDF" w:rsidRPr="009118AB" w:rsidRDefault="00873CDF" w:rsidP="00873CDF">
      <w:pPr>
        <w:autoSpaceDE w:val="0"/>
        <w:autoSpaceDN w:val="0"/>
        <w:adjustRightInd w:val="0"/>
        <w:jc w:val="both"/>
        <w:rPr>
          <w:iCs/>
        </w:rPr>
      </w:pPr>
    </w:p>
    <w:p w14:paraId="70D75D2E" w14:textId="506275AA" w:rsidR="00873CDF" w:rsidRPr="009118AB" w:rsidRDefault="00873CDF" w:rsidP="00E606D0">
      <w:pPr>
        <w:autoSpaceDE w:val="0"/>
        <w:autoSpaceDN w:val="0"/>
        <w:adjustRightInd w:val="0"/>
        <w:ind w:firstLine="709"/>
        <w:jc w:val="both"/>
        <w:rPr>
          <w:iCs/>
        </w:rPr>
      </w:pPr>
      <w:r w:rsidRPr="009118AB">
        <w:rPr>
          <w:iCs/>
        </w:rPr>
        <w:t xml:space="preserve">- in Artikel 23 </w:t>
      </w:r>
      <w:r w:rsidR="00D67EB8" w:rsidRPr="009118AB">
        <w:rPr>
          <w:iCs/>
        </w:rPr>
        <w:t>§ </w:t>
      </w:r>
      <w:r w:rsidRPr="009118AB">
        <w:rPr>
          <w:iCs/>
        </w:rPr>
        <w:t xml:space="preserve">1 </w:t>
      </w:r>
      <w:r w:rsidR="00D67EB8" w:rsidRPr="009118AB">
        <w:rPr>
          <w:iCs/>
        </w:rPr>
        <w:t>Nr. </w:t>
      </w:r>
      <w:r w:rsidRPr="009118AB">
        <w:rPr>
          <w:iCs/>
        </w:rPr>
        <w:t>2 erwähnte Profite, die sich auf Leistungen beziehen, die während eines Zeitraums von mehr als zwölf Monaten erbracht wurden, und deren Betrag durch Verschulden einer öffentlichen Behörde nicht im Jahr der Leistungserbringung gezahlt wurde, sondern einmalig entrichtet wurde, und zwar ausschließlich für den Teil, der die Vergütung einer zwölfmonatigen Leistungserbringung proportional übersteigt,</w:t>
      </w:r>
    </w:p>
    <w:p w14:paraId="111EB123" w14:textId="77777777" w:rsidR="00873CDF" w:rsidRPr="009118AB" w:rsidRDefault="00873CDF" w:rsidP="00873CDF">
      <w:pPr>
        <w:autoSpaceDE w:val="0"/>
        <w:autoSpaceDN w:val="0"/>
        <w:adjustRightInd w:val="0"/>
        <w:jc w:val="both"/>
        <w:rPr>
          <w:iCs/>
        </w:rPr>
      </w:pPr>
    </w:p>
    <w:p w14:paraId="617E5644" w14:textId="345376D3" w:rsidR="00873CDF" w:rsidRPr="009118AB" w:rsidRDefault="00873CDF" w:rsidP="00E606D0">
      <w:pPr>
        <w:autoSpaceDE w:val="0"/>
        <w:autoSpaceDN w:val="0"/>
        <w:adjustRightInd w:val="0"/>
        <w:ind w:firstLine="709"/>
        <w:jc w:val="both"/>
        <w:rPr>
          <w:iCs/>
        </w:rPr>
      </w:pPr>
      <w:r w:rsidRPr="009118AB">
        <w:rPr>
          <w:iCs/>
        </w:rPr>
        <w:t xml:space="preserve">- in [Artikel 90 Absatz 1 </w:t>
      </w:r>
      <w:r w:rsidR="00D67EB8" w:rsidRPr="009118AB">
        <w:rPr>
          <w:iCs/>
        </w:rPr>
        <w:t>Nr. </w:t>
      </w:r>
      <w:r w:rsidRPr="009118AB">
        <w:rPr>
          <w:iCs/>
        </w:rPr>
        <w:t>4] erwähnte Unterhaltsleistungen,</w:t>
      </w:r>
    </w:p>
    <w:p w14:paraId="46C064A4" w14:textId="77777777" w:rsidR="00873CDF" w:rsidRPr="009118AB" w:rsidRDefault="00873CDF" w:rsidP="00873CDF">
      <w:pPr>
        <w:autoSpaceDE w:val="0"/>
        <w:autoSpaceDN w:val="0"/>
        <w:adjustRightInd w:val="0"/>
        <w:jc w:val="both"/>
        <w:rPr>
          <w:iCs/>
        </w:rPr>
      </w:pPr>
    </w:p>
    <w:p w14:paraId="5DE1BDAB" w14:textId="4FCE87B0" w:rsidR="00873CDF" w:rsidRPr="009118AB" w:rsidRDefault="00873CDF" w:rsidP="00E606D0">
      <w:pPr>
        <w:autoSpaceDE w:val="0"/>
        <w:autoSpaceDN w:val="0"/>
        <w:adjustRightInd w:val="0"/>
        <w:ind w:firstLine="709"/>
        <w:jc w:val="both"/>
        <w:rPr>
          <w:iCs/>
        </w:rPr>
      </w:pPr>
      <w:r w:rsidRPr="009118AB">
        <w:rPr>
          <w:iCs/>
        </w:rPr>
        <w:t>[- [[</w:t>
      </w:r>
      <w:r w:rsidRPr="009118AB">
        <w:t xml:space="preserve">in Artikel 31 Absatz 2 </w:t>
      </w:r>
      <w:r w:rsidR="00D67EB8" w:rsidRPr="009118AB">
        <w:t>Nr. </w:t>
      </w:r>
      <w:r w:rsidRPr="009118AB">
        <w:t>1 und 4 und Artikel 34 erwähnte Entlohnungen und Pensionen</w:t>
      </w:r>
      <w:r w:rsidRPr="009118AB">
        <w:rPr>
          <w:iCs/>
        </w:rPr>
        <w:t>] des Monats Dezember, die infolge eines Beschlusses einer öffentlichen Behörde, die Entlohnungen [</w:t>
      </w:r>
      <w:r w:rsidRPr="009118AB">
        <w:t>oder die Pensionen</w:t>
      </w:r>
      <w:r w:rsidRPr="009118AB">
        <w:rPr>
          <w:iCs/>
        </w:rPr>
        <w:t>] des Monats Dezember künftig im Laufe dieses Monats Dezember anstatt im Laufe des Monats Januar des nachfolgenden Jahres zu zahlen oder zuzuerkennen, von dieser öffentlichen Behörde erstmals im Laufe dieses Monats Dezember anstatt im Laufe des Monats Januar des nachfolgenden Jahres gezahlt oder zuerkannt werden,]]</w:t>
      </w:r>
    </w:p>
    <w:p w14:paraId="38363E03" w14:textId="77777777" w:rsidR="00873CDF" w:rsidRPr="009118AB" w:rsidRDefault="00873CDF" w:rsidP="00873CDF">
      <w:pPr>
        <w:autoSpaceDE w:val="0"/>
        <w:autoSpaceDN w:val="0"/>
        <w:adjustRightInd w:val="0"/>
        <w:jc w:val="both"/>
        <w:rPr>
          <w:iCs/>
        </w:rPr>
      </w:pPr>
    </w:p>
    <w:p w14:paraId="13F5BA5B" w14:textId="522739FB" w:rsidR="00873CDF" w:rsidRPr="009118AB" w:rsidRDefault="00873CDF" w:rsidP="00E606D0">
      <w:pPr>
        <w:autoSpaceDE w:val="0"/>
        <w:autoSpaceDN w:val="0"/>
        <w:adjustRightInd w:val="0"/>
        <w:ind w:firstLine="709"/>
        <w:jc w:val="both"/>
        <w:rPr>
          <w:iCs/>
        </w:rPr>
      </w:pPr>
      <w:r w:rsidRPr="009118AB">
        <w:rPr>
          <w:iCs/>
        </w:rPr>
        <w:t>[7. zum Steuersatz von 10,38 Prozent: regionale Wiederbeschäftigungsprämien, die aufgrund eines Dekrets oder einer Ordonnanz, das/die vor dem 1. Januar 2006 ausgefertigt wurde, oder eines vor demselben Datum ergangenen Erlasses für den Zeitraum und unter den Bedingungen vorgesehen in demselben Dekret, derselben Ordonnanz oder demselben Erlass älteren Arbeitnehmern gezahlt oder zuerkannt werden, die von einem Unternehmen in Schwierigkeiten oder in Umstrukturierung entlassen wurden und nach einem Arbeitslosigkeitszeitraum von einem neuen Arbeitgeber wieder beschäftigt werden, sofern die Bruttoprämie nicht mehr als 120 EUR pro Monat beträgt. Für die Anwendung der vorliegenden Bestimmung haben die Begriffe "älterer Arbeitnehmer", "Unternehmen in Schwierigkeiten oder in Umstrukturierung" und "neuer Arbeitgeber" dieselbe Bedeutung wie in dem/der erwähnten Dekret, Ordonnanz oder Erlass</w:t>
      </w:r>
      <w:r w:rsidR="00594E96" w:rsidRPr="009118AB">
        <w:rPr>
          <w:iCs/>
        </w:rPr>
        <w:t>,</w:t>
      </w:r>
      <w:r w:rsidRPr="009118AB">
        <w:rPr>
          <w:iCs/>
        </w:rPr>
        <w:t>]</w:t>
      </w:r>
    </w:p>
    <w:p w14:paraId="7840E497" w14:textId="77777777" w:rsidR="00594E96" w:rsidRPr="009118AB" w:rsidRDefault="00594E96" w:rsidP="00E606D0">
      <w:pPr>
        <w:autoSpaceDE w:val="0"/>
        <w:autoSpaceDN w:val="0"/>
        <w:adjustRightInd w:val="0"/>
        <w:ind w:firstLine="709"/>
        <w:jc w:val="both"/>
        <w:rPr>
          <w:iCs/>
        </w:rPr>
      </w:pPr>
    </w:p>
    <w:p w14:paraId="2C39BFB8" w14:textId="5572D3C5" w:rsidR="00594E96" w:rsidRPr="009118AB" w:rsidRDefault="00594E96" w:rsidP="00E606D0">
      <w:pPr>
        <w:autoSpaceDE w:val="0"/>
        <w:autoSpaceDN w:val="0"/>
        <w:adjustRightInd w:val="0"/>
        <w:ind w:firstLine="709"/>
        <w:jc w:val="both"/>
        <w:rPr>
          <w:iCs/>
        </w:rPr>
      </w:pPr>
      <w:r w:rsidRPr="009118AB">
        <w:rPr>
          <w:iCs/>
        </w:rPr>
        <w:t>[</w:t>
      </w:r>
      <w:r w:rsidRPr="009118AB">
        <w:rPr>
          <w:lang w:eastAsia="fr-BE"/>
        </w:rPr>
        <w:t>8. zum Steuersatz von 0 Prozent: in den Nummern 1 bis 7 erwähnte Einkünfte, für die die Steuer in Anwendung von Artikel 155 ermäßigt würde, wenn sie gemäß Artikel 130 besteuert würden.</w:t>
      </w:r>
      <w:r w:rsidRPr="009118AB">
        <w:rPr>
          <w:iCs/>
        </w:rPr>
        <w:t>]</w:t>
      </w:r>
    </w:p>
    <w:p w14:paraId="54FAF08D" w14:textId="77777777" w:rsidR="00873CDF" w:rsidRPr="009118AB" w:rsidRDefault="00873CDF" w:rsidP="00873CDF">
      <w:pPr>
        <w:autoSpaceDE w:val="0"/>
        <w:autoSpaceDN w:val="0"/>
        <w:adjustRightInd w:val="0"/>
        <w:jc w:val="both"/>
        <w:rPr>
          <w:b/>
          <w:iCs/>
        </w:rPr>
      </w:pPr>
    </w:p>
    <w:p w14:paraId="39EB339B" w14:textId="30823967" w:rsidR="00873CDF" w:rsidRPr="009118AB" w:rsidRDefault="00873CDF" w:rsidP="00873CDF">
      <w:pPr>
        <w:autoSpaceDE w:val="0"/>
        <w:autoSpaceDN w:val="0"/>
        <w:adjustRightInd w:val="0"/>
        <w:jc w:val="both"/>
      </w:pPr>
      <w:r w:rsidRPr="009118AB">
        <w:rPr>
          <w:i/>
          <w:iCs/>
        </w:rPr>
        <w:t>[</w:t>
      </w:r>
      <w:r w:rsidR="00D67EB8" w:rsidRPr="009118AB">
        <w:rPr>
          <w:i/>
          <w:iCs/>
        </w:rPr>
        <w:t>Art. </w:t>
      </w:r>
      <w:r w:rsidRPr="009118AB">
        <w:rPr>
          <w:i/>
          <w:iCs/>
        </w:rPr>
        <w:t xml:space="preserve">171 einziger Absatz einleitende Bestimmung ersetzt durch </w:t>
      </w:r>
      <w:r w:rsidR="00D67EB8" w:rsidRPr="009118AB">
        <w:rPr>
          <w:i/>
          <w:iCs/>
        </w:rPr>
        <w:t>Art. </w:t>
      </w:r>
      <w:r w:rsidRPr="009118AB">
        <w:rPr>
          <w:i/>
          <w:iCs/>
        </w:rPr>
        <w:t xml:space="preserve">67 </w:t>
      </w:r>
      <w:r w:rsidR="00D67EB8" w:rsidRPr="009118AB">
        <w:rPr>
          <w:i/>
          <w:iCs/>
        </w:rPr>
        <w:t>Nr. </w:t>
      </w:r>
      <w:r w:rsidRPr="009118AB">
        <w:rPr>
          <w:i/>
          <w:iCs/>
        </w:rPr>
        <w:t>1</w:t>
      </w:r>
      <w:r w:rsidRPr="009118AB">
        <w:rPr>
          <w:i/>
        </w:rPr>
        <w:t xml:space="preserve"> des G. vom 8. Mai 2014 (B.S. vom 28. Mai 2014)</w:t>
      </w:r>
      <w:r w:rsidR="00D67EB8" w:rsidRPr="009118AB">
        <w:rPr>
          <w:i/>
        </w:rPr>
        <w:t> - </w:t>
      </w:r>
      <w:r w:rsidRPr="009118AB">
        <w:rPr>
          <w:i/>
          <w:iCs/>
        </w:rPr>
        <w:t>anwendbar ab dem Steuerjahr 2015</w:t>
      </w:r>
      <w:r w:rsidR="00D67EB8" w:rsidRPr="009118AB">
        <w:rPr>
          <w:i/>
          <w:iCs/>
        </w:rPr>
        <w:t> - </w:t>
      </w:r>
      <w:r w:rsidRPr="009118AB">
        <w:rPr>
          <w:i/>
          <w:iCs/>
        </w:rPr>
        <w:t xml:space="preserve">und abgeändert durch </w:t>
      </w:r>
      <w:r w:rsidR="00D67EB8" w:rsidRPr="009118AB">
        <w:rPr>
          <w:i/>
          <w:iCs/>
        </w:rPr>
        <w:t>Art. </w:t>
      </w:r>
      <w:r w:rsidRPr="009118AB">
        <w:rPr>
          <w:i/>
          <w:iCs/>
        </w:rPr>
        <w:t xml:space="preserve">67 </w:t>
      </w:r>
      <w:r w:rsidR="00D67EB8" w:rsidRPr="009118AB">
        <w:rPr>
          <w:i/>
          <w:iCs/>
        </w:rPr>
        <w:t>Nr. </w:t>
      </w:r>
      <w:r w:rsidRPr="009118AB">
        <w:rPr>
          <w:i/>
          <w:iCs/>
        </w:rPr>
        <w:t>1 des G. vom 26. Dezember 2015 (II) (B.S. vom 30. Dezember 2015)</w:t>
      </w:r>
      <w:r w:rsidR="00D67EB8" w:rsidRPr="009118AB">
        <w:rPr>
          <w:i/>
          <w:iCs/>
        </w:rPr>
        <w:t> - </w:t>
      </w:r>
      <w:r w:rsidRPr="009118AB">
        <w:rPr>
          <w:i/>
          <w:iCs/>
        </w:rPr>
        <w:t xml:space="preserve">anwendbar auf Mehrwerte, die auf börsennotierte Aktien oder Anteile, </w:t>
      </w:r>
      <w:r w:rsidRPr="00AE1D14">
        <w:rPr>
          <w:i/>
          <w:iCs/>
        </w:rPr>
        <w:t>Optionen, Optionsscheine oder andere börsennotierte Finanzinstrumente verwirklicht werden, die entweder ab dem 1. Januar 2016 entgeltlich erworben werden oder im Falle eines Leerverkaufs ab dem 1. Januar 2016 verkauft werden</w:t>
      </w:r>
      <w:r w:rsidR="003366D9" w:rsidRPr="00AE1D14">
        <w:rPr>
          <w:i/>
          <w:iCs/>
        </w:rPr>
        <w:t> -;</w:t>
      </w:r>
      <w:r w:rsidRPr="00AE1D14">
        <w:rPr>
          <w:i/>
          <w:iCs/>
        </w:rPr>
        <w:t xml:space="preserve"> einziger Absatz </w:t>
      </w:r>
      <w:r w:rsidR="00D67EB8" w:rsidRPr="00AE1D14">
        <w:rPr>
          <w:i/>
          <w:iCs/>
        </w:rPr>
        <w:t>Nr. </w:t>
      </w:r>
      <w:r w:rsidRPr="00AE1D14">
        <w:rPr>
          <w:i/>
          <w:iCs/>
        </w:rPr>
        <w:t xml:space="preserve">1 einziger Absatz Buchstabe a) abgeändert durch </w:t>
      </w:r>
      <w:r w:rsidR="00D67EB8" w:rsidRPr="00AE1D14">
        <w:rPr>
          <w:i/>
          <w:iCs/>
        </w:rPr>
        <w:t>Art. </w:t>
      </w:r>
      <w:r w:rsidRPr="00AE1D14">
        <w:rPr>
          <w:i/>
          <w:iCs/>
        </w:rPr>
        <w:t>135</w:t>
      </w:r>
      <w:r w:rsidRPr="00AE1D14">
        <w:rPr>
          <w:iCs/>
        </w:rPr>
        <w:t xml:space="preserve"> </w:t>
      </w:r>
      <w:r w:rsidR="00022A68" w:rsidRPr="00AE1D14">
        <w:rPr>
          <w:i/>
          <w:iCs/>
        </w:rPr>
        <w:t>des G. (IV) vom 25. April 2007 </w:t>
      </w:r>
      <w:r w:rsidRPr="00AE1D14">
        <w:rPr>
          <w:i/>
          <w:iCs/>
        </w:rPr>
        <w:t>(I) (B.S. vom 8. Mai 2007)</w:t>
      </w:r>
      <w:r w:rsidR="00D67EB8" w:rsidRPr="00AE1D14">
        <w:rPr>
          <w:i/>
          <w:iCs/>
        </w:rPr>
        <w:t> - </w:t>
      </w:r>
      <w:r w:rsidRPr="00AE1D14">
        <w:rPr>
          <w:i/>
          <w:iCs/>
        </w:rPr>
        <w:t>anwendbar auf die ab dem 1. Januar 2007 gezahlten oder zuerkannten Vergütungen und Entlohnungen</w:t>
      </w:r>
      <w:r w:rsidR="00FD68E8" w:rsidRPr="00AE1D14">
        <w:rPr>
          <w:i/>
          <w:iCs/>
        </w:rPr>
        <w:t> -,</w:t>
      </w:r>
      <w:r w:rsidRPr="00AE1D14">
        <w:rPr>
          <w:i/>
          <w:iCs/>
        </w:rPr>
        <w:t xml:space="preserve"> </w:t>
      </w:r>
      <w:r w:rsidR="00D67EB8" w:rsidRPr="00AE1D14">
        <w:rPr>
          <w:i/>
          <w:iCs/>
        </w:rPr>
        <w:t>Art. </w:t>
      </w:r>
      <w:r w:rsidRPr="00AE1D14">
        <w:rPr>
          <w:i/>
          <w:iCs/>
        </w:rPr>
        <w:t>10 Buchstabe a) des G. vom 11. Dezember 2008 (B.S. vom 12. Januar 2009)</w:t>
      </w:r>
      <w:r w:rsidR="00D67EB8" w:rsidRPr="00AE1D14">
        <w:rPr>
          <w:i/>
          <w:iCs/>
        </w:rPr>
        <w:t> - </w:t>
      </w:r>
      <w:r w:rsidRPr="00AE1D14">
        <w:rPr>
          <w:i/>
          <w:iCs/>
        </w:rPr>
        <w:t>anwendbar auf Vorgänge oder Verlegungen, die ab dem 12. Januar 2009 statt</w:t>
      </w:r>
      <w:r w:rsidRPr="00AE1D14">
        <w:rPr>
          <w:i/>
          <w:iCs/>
        </w:rPr>
        <w:softHyphen/>
        <w:t>finden</w:t>
      </w:r>
      <w:r w:rsidR="00FD68E8" w:rsidRPr="00AE1D14">
        <w:rPr>
          <w:i/>
          <w:iCs/>
        </w:rPr>
        <w:t> -,</w:t>
      </w:r>
      <w:r w:rsidRPr="00AE1D14">
        <w:rPr>
          <w:i/>
          <w:iCs/>
        </w:rPr>
        <w:t xml:space="preserve"> </w:t>
      </w:r>
      <w:r w:rsidR="00D67EB8" w:rsidRPr="00AE1D14">
        <w:rPr>
          <w:i/>
          <w:iCs/>
        </w:rPr>
        <w:t>Art. </w:t>
      </w:r>
      <w:r w:rsidRPr="00AE1D14">
        <w:rPr>
          <w:i/>
          <w:iCs/>
        </w:rPr>
        <w:t xml:space="preserve">67 </w:t>
      </w:r>
      <w:r w:rsidR="00D67EB8" w:rsidRPr="00AE1D14">
        <w:rPr>
          <w:i/>
          <w:iCs/>
        </w:rPr>
        <w:t>Nr. </w:t>
      </w:r>
      <w:r w:rsidRPr="00AE1D14">
        <w:rPr>
          <w:i/>
          <w:iCs/>
        </w:rPr>
        <w:t>2 des G. vom 26. Dezember 2015 (II)</w:t>
      </w:r>
      <w:r w:rsidR="00252578" w:rsidRPr="00AE1D14">
        <w:rPr>
          <w:i/>
          <w:iCs/>
        </w:rPr>
        <w:t xml:space="preserve"> (B.S. vom 30. Dezember 2015)</w:t>
      </w:r>
      <w:r w:rsidR="00D67EB8" w:rsidRPr="00AE1D14">
        <w:rPr>
          <w:i/>
          <w:iCs/>
        </w:rPr>
        <w:t> - </w:t>
      </w:r>
      <w:r w:rsidRPr="00AE1D14">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AE1D14">
        <w:rPr>
          <w:i/>
          <w:iCs/>
        </w:rPr>
        <w:t> -,</w:t>
      </w:r>
      <w:r w:rsidRPr="00AE1D14">
        <w:rPr>
          <w:i/>
          <w:iCs/>
        </w:rPr>
        <w:t xml:space="preserve"> </w:t>
      </w:r>
      <w:r w:rsidR="00D67EB8" w:rsidRPr="00AE1D14">
        <w:rPr>
          <w:i/>
          <w:iCs/>
        </w:rPr>
        <w:t>Art. </w:t>
      </w:r>
      <w:r w:rsidRPr="00AE1D14">
        <w:rPr>
          <w:i/>
          <w:iCs/>
        </w:rPr>
        <w:t>82 des G. vom 25. Dezember 2016 (I) (B.S. vom 29. Dezember 2016)</w:t>
      </w:r>
      <w:r w:rsidR="00D67EB8" w:rsidRPr="00AE1D14">
        <w:rPr>
          <w:i/>
          <w:iCs/>
        </w:rPr>
        <w:t> - </w:t>
      </w:r>
      <w:r w:rsidRPr="00AE1D14">
        <w:rPr>
          <w:i/>
          <w:iCs/>
        </w:rPr>
        <w:t>in Kraft am 1. Januar 2017 und anwendbar auf die ab dem 1. Januar 2017 verwirklichten Mehrwerte</w:t>
      </w:r>
      <w:r w:rsidR="00D67EB8" w:rsidRPr="00AE1D14">
        <w:rPr>
          <w:i/>
          <w:iCs/>
        </w:rPr>
        <w:t> - </w:t>
      </w:r>
      <w:r w:rsidRPr="00AE1D14">
        <w:rPr>
          <w:i/>
          <w:iCs/>
        </w:rPr>
        <w:t xml:space="preserve">und </w:t>
      </w:r>
      <w:r w:rsidR="00AE1D14" w:rsidRPr="00AE1D14">
        <w:rPr>
          <w:i/>
          <w:iCs/>
        </w:rPr>
        <w:t xml:space="preserve">ersetzt durch </w:t>
      </w:r>
      <w:r w:rsidR="00D67EB8" w:rsidRPr="00AE1D14">
        <w:rPr>
          <w:i/>
          <w:iCs/>
        </w:rPr>
        <w:t>Art. </w:t>
      </w:r>
      <w:r w:rsidRPr="00AE1D14">
        <w:rPr>
          <w:i/>
          <w:iCs/>
        </w:rPr>
        <w:t xml:space="preserve">50 </w:t>
      </w:r>
      <w:r w:rsidR="00D67EB8" w:rsidRPr="00AE1D14">
        <w:rPr>
          <w:i/>
          <w:iCs/>
        </w:rPr>
        <w:t>Nr. </w:t>
      </w:r>
      <w:r w:rsidRPr="00AE1D14">
        <w:rPr>
          <w:i/>
          <w:iCs/>
        </w:rPr>
        <w:t>1 des G. vom 18. Juli 2018 (B.S. vom 26. Juli 2018)</w:t>
      </w:r>
      <w:r w:rsidR="00D67EB8" w:rsidRPr="00AE1D14">
        <w:rPr>
          <w:i/>
          <w:iCs/>
        </w:rPr>
        <w:t> - </w:t>
      </w:r>
      <w:r w:rsidRPr="00AE1D14">
        <w:rPr>
          <w:i/>
        </w:rPr>
        <w:t>anwendbar</w:t>
      </w:r>
      <w:r w:rsidRPr="00AE1D14">
        <w:rPr>
          <w:i/>
          <w:iCs/>
        </w:rPr>
        <w:t xml:space="preserve"> auf die </w:t>
      </w:r>
      <w:r w:rsidRPr="00AE1D14">
        <w:rPr>
          <w:i/>
        </w:rPr>
        <w:t>ab dem 1. Januar 2018 erzielten oder bezogenen Einkünfte</w:t>
      </w:r>
      <w:r w:rsidR="003366D9" w:rsidRPr="00AE1D14">
        <w:rPr>
          <w:i/>
        </w:rPr>
        <w:t> -</w:t>
      </w:r>
      <w:r w:rsidR="00AE1D14" w:rsidRPr="00AE1D14">
        <w:rPr>
          <w:i/>
        </w:rPr>
        <w:t xml:space="preserve">, selbst bedingt </w:t>
      </w:r>
      <w:r w:rsidR="00AE1D14" w:rsidRPr="00AE1D14">
        <w:rPr>
          <w:i/>
          <w:iCs/>
        </w:rPr>
        <w:t xml:space="preserve">für nichtig erklärt durch </w:t>
      </w:r>
      <w:r w:rsidR="00AE1D14" w:rsidRPr="00AE1D14">
        <w:rPr>
          <w:i/>
        </w:rPr>
        <w:t>Entscheid Nr. 53/2020 des Verfassungsgerichtshofes vom 23. April 2020 (B.S. vom 20. Mai 2020)</w:t>
      </w:r>
      <w:r w:rsidR="003366D9" w:rsidRPr="00AE1D14">
        <w:rPr>
          <w:i/>
        </w:rPr>
        <w:t>;</w:t>
      </w:r>
      <w:r w:rsidRPr="00AE1D14">
        <w:rPr>
          <w:i/>
          <w:iCs/>
        </w:rPr>
        <w:t xml:space="preserve"> einziger Absatz </w:t>
      </w:r>
      <w:r w:rsidR="00D67EB8" w:rsidRPr="00AE1D14">
        <w:rPr>
          <w:i/>
          <w:iCs/>
        </w:rPr>
        <w:t>Nr. </w:t>
      </w:r>
      <w:r w:rsidRPr="00AE1D14">
        <w:rPr>
          <w:i/>
          <w:iCs/>
        </w:rPr>
        <w:t xml:space="preserve">1 einziger Absatz Buchstabe b) abgeändert durch </w:t>
      </w:r>
      <w:r w:rsidR="00D67EB8" w:rsidRPr="00AE1D14">
        <w:rPr>
          <w:i/>
          <w:iCs/>
        </w:rPr>
        <w:t>Art. </w:t>
      </w:r>
      <w:r w:rsidRPr="00AE1D14">
        <w:rPr>
          <w:i/>
          <w:iCs/>
        </w:rPr>
        <w:t xml:space="preserve">67 </w:t>
      </w:r>
      <w:r w:rsidR="00D67EB8" w:rsidRPr="00AE1D14">
        <w:rPr>
          <w:i/>
          <w:iCs/>
        </w:rPr>
        <w:t>Nr. </w:t>
      </w:r>
      <w:r w:rsidRPr="00AE1D14">
        <w:rPr>
          <w:i/>
          <w:iCs/>
        </w:rPr>
        <w:t>3 des G. vom 26. Dezember 2015 (II) (B.S. vom 30. Dezember 2015)</w:t>
      </w:r>
      <w:r w:rsidR="00D67EB8" w:rsidRPr="00AE1D14">
        <w:rPr>
          <w:i/>
          <w:iCs/>
        </w:rPr>
        <w:t> - </w:t>
      </w:r>
      <w:r w:rsidRPr="00AE1D14">
        <w:rPr>
          <w:i/>
          <w:iCs/>
        </w:rPr>
        <w:t xml:space="preserve">anwendbar auf Mehrwerte, die auf börsennotierte Aktien oder Anteile, Optionen, Optionsscheine oder andere </w:t>
      </w:r>
      <w:r w:rsidRPr="00AE1D14">
        <w:rPr>
          <w:i/>
          <w:iCs/>
        </w:rPr>
        <w:lastRenderedPageBreak/>
        <w:t>börsennotierte Finanzinstrumente verwirklicht werden, die entweder ab dem 1. Januar 2016 entgeltlich erworben werden oder im Falle eines Leerverkaufs ab dem 1. Januar 2016 verkauft werden</w:t>
      </w:r>
      <w:r w:rsidR="003366D9" w:rsidRPr="00AE1D14">
        <w:rPr>
          <w:i/>
          <w:iCs/>
        </w:rPr>
        <w:t> -;</w:t>
      </w:r>
      <w:r w:rsidRPr="00AE1D14">
        <w:rPr>
          <w:i/>
          <w:iCs/>
        </w:rPr>
        <w:t xml:space="preserve"> </w:t>
      </w:r>
      <w:r w:rsidR="002B3614" w:rsidRPr="00AE1D14">
        <w:rPr>
          <w:i/>
          <w:iCs/>
        </w:rPr>
        <w:t xml:space="preserve">einziger Absatz </w:t>
      </w:r>
      <w:r w:rsidR="00D67EB8" w:rsidRPr="00AE1D14">
        <w:rPr>
          <w:i/>
          <w:iCs/>
        </w:rPr>
        <w:t>Nr. </w:t>
      </w:r>
      <w:r w:rsidR="00271EEB" w:rsidRPr="00AE1D14">
        <w:rPr>
          <w:i/>
          <w:iCs/>
        </w:rPr>
        <w:t>4</w:t>
      </w:r>
      <w:r w:rsidR="002B3614" w:rsidRPr="00AE1D14">
        <w:rPr>
          <w:i/>
          <w:iCs/>
        </w:rPr>
        <w:t xml:space="preserve"> einziger Absatz Buchstabe b/1) eingefügt durch </w:t>
      </w:r>
      <w:r w:rsidR="00D67EB8" w:rsidRPr="00AE1D14">
        <w:rPr>
          <w:i/>
          <w:iCs/>
        </w:rPr>
        <w:t>Art. </w:t>
      </w:r>
      <w:r w:rsidR="002B3614" w:rsidRPr="00AE1D14">
        <w:rPr>
          <w:i/>
          <w:iCs/>
        </w:rPr>
        <w:t>38 des G. vom 21. Januar 2022 (B.S. vom 28. Januar 2022)</w:t>
      </w:r>
      <w:r w:rsidR="00D67EB8" w:rsidRPr="00AE1D14">
        <w:rPr>
          <w:i/>
          <w:iCs/>
        </w:rPr>
        <w:t> - </w:t>
      </w:r>
      <w:r w:rsidR="002B3614" w:rsidRPr="00AE1D14">
        <w:rPr>
          <w:i/>
          <w:iCs/>
        </w:rPr>
        <w:t>in Kraft am 31. Dezember 2021 und anwendbar ab dem Steuerjahr 2022</w:t>
      </w:r>
      <w:r w:rsidR="003366D9" w:rsidRPr="00AE1D14">
        <w:rPr>
          <w:i/>
          <w:iCs/>
        </w:rPr>
        <w:t> -;</w:t>
      </w:r>
      <w:r w:rsidR="002B3614" w:rsidRPr="00AE1D14">
        <w:rPr>
          <w:i/>
          <w:iCs/>
        </w:rPr>
        <w:t xml:space="preserve"> </w:t>
      </w:r>
      <w:r w:rsidRPr="00AE1D14">
        <w:rPr>
          <w:i/>
          <w:iCs/>
        </w:rPr>
        <w:t xml:space="preserve">einziger Absatz </w:t>
      </w:r>
      <w:r w:rsidR="00D67EB8" w:rsidRPr="00AE1D14">
        <w:rPr>
          <w:i/>
          <w:iCs/>
        </w:rPr>
        <w:t>Nr. </w:t>
      </w:r>
      <w:r w:rsidRPr="00AE1D14">
        <w:rPr>
          <w:i/>
          <w:iCs/>
        </w:rPr>
        <w:t xml:space="preserve">1 einziger Absatz Buchstabe c) eingefügt durch </w:t>
      </w:r>
      <w:r w:rsidR="00D67EB8" w:rsidRPr="00AE1D14">
        <w:rPr>
          <w:i/>
          <w:iCs/>
        </w:rPr>
        <w:t>Art. </w:t>
      </w:r>
      <w:r w:rsidRPr="00AE1D14">
        <w:rPr>
          <w:i/>
          <w:iCs/>
        </w:rPr>
        <w:t xml:space="preserve">15 </w:t>
      </w:r>
      <w:r w:rsidR="00D67EB8" w:rsidRPr="00AE1D14">
        <w:rPr>
          <w:i/>
          <w:iCs/>
        </w:rPr>
        <w:t>Nr. </w:t>
      </w:r>
      <w:r w:rsidRPr="00AE1D14">
        <w:rPr>
          <w:i/>
          <w:iCs/>
        </w:rPr>
        <w:t>1 des G. vom 28. Juli 1992 (B.S. vom 31. Juli 1992)</w:t>
      </w:r>
      <w:r w:rsidR="00D67EB8" w:rsidRPr="00AE1D14">
        <w:rPr>
          <w:i/>
          <w:iCs/>
        </w:rPr>
        <w:t> - </w:t>
      </w:r>
      <w:r w:rsidRPr="00AE1D14">
        <w:rPr>
          <w:i/>
          <w:iCs/>
        </w:rPr>
        <w:t>anwendbar auf Einstellungsmehrwerte ab dem 6. April 1992 und Entschädigungen aufgrund von Handlungen ab dem 6. April 1992</w:t>
      </w:r>
      <w:r w:rsidR="00D67EB8" w:rsidRPr="00AE1D14">
        <w:rPr>
          <w:i/>
          <w:iCs/>
        </w:rPr>
        <w:t> - </w:t>
      </w:r>
      <w:r w:rsidRPr="00AE1D14">
        <w:rPr>
          <w:i/>
          <w:iCs/>
        </w:rPr>
        <w:t xml:space="preserve">und abgeändert durch </w:t>
      </w:r>
      <w:r w:rsidR="00D67EB8" w:rsidRPr="00AE1D14">
        <w:rPr>
          <w:i/>
          <w:iCs/>
        </w:rPr>
        <w:t>Art. </w:t>
      </w:r>
      <w:r w:rsidRPr="00AE1D14">
        <w:rPr>
          <w:i/>
          <w:iCs/>
        </w:rPr>
        <w:t xml:space="preserve">14 </w:t>
      </w:r>
      <w:r w:rsidR="00D67EB8" w:rsidRPr="00AE1D14">
        <w:rPr>
          <w:i/>
          <w:iCs/>
        </w:rPr>
        <w:t>Nr. </w:t>
      </w:r>
      <w:r w:rsidRPr="00AE1D14">
        <w:rPr>
          <w:i/>
          <w:iCs/>
        </w:rPr>
        <w:t>1</w:t>
      </w:r>
      <w:r w:rsidRPr="00AE1D14">
        <w:rPr>
          <w:i/>
        </w:rPr>
        <w:t xml:space="preserve"> </w:t>
      </w:r>
      <w:r w:rsidRPr="00AE1D14">
        <w:rPr>
          <w:i/>
          <w:iCs/>
        </w:rPr>
        <w:t>des G. vom 25. Dezember 2017 (III) (B.S. vom 29. Dezember 2017)</w:t>
      </w:r>
      <w:r w:rsidR="00D67EB8" w:rsidRPr="00AE1D14">
        <w:rPr>
          <w:i/>
          <w:iCs/>
        </w:rPr>
        <w:t> - </w:t>
      </w:r>
      <w:r w:rsidRPr="00AE1D14">
        <w:rPr>
          <w:i/>
          <w:iCs/>
        </w:rPr>
        <w:t>in Kraft am 1. Januar 2018 und anwendbar ab dem Steuerjahr 2019, das sich auf einen Besteuerungszeitraum bezieht, der frühestens am 1. Januar 2018 beginnt</w:t>
      </w:r>
      <w:r w:rsidR="003366D9" w:rsidRPr="00AE1D14">
        <w:rPr>
          <w:i/>
          <w:iCs/>
        </w:rPr>
        <w:t> -;</w:t>
      </w:r>
      <w:r w:rsidRPr="00AE1D14">
        <w:rPr>
          <w:i/>
          <w:iCs/>
        </w:rPr>
        <w:t xml:space="preserve"> einziger Absatz </w:t>
      </w:r>
      <w:r w:rsidR="00D67EB8" w:rsidRPr="00AE1D14">
        <w:rPr>
          <w:i/>
          <w:iCs/>
        </w:rPr>
        <w:t>Nr. </w:t>
      </w:r>
      <w:r w:rsidRPr="00AE1D14">
        <w:rPr>
          <w:i/>
          <w:iCs/>
        </w:rPr>
        <w:t xml:space="preserve">1 einziger Absatz Buchstabe d) eingefügt durch </w:t>
      </w:r>
      <w:r w:rsidR="00D67EB8" w:rsidRPr="00AE1D14">
        <w:rPr>
          <w:i/>
          <w:iCs/>
        </w:rPr>
        <w:t>Art. </w:t>
      </w:r>
      <w:r w:rsidRPr="00AE1D14">
        <w:rPr>
          <w:i/>
          <w:iCs/>
        </w:rPr>
        <w:t xml:space="preserve">89 </w:t>
      </w:r>
      <w:r w:rsidR="00D67EB8" w:rsidRPr="00AE1D14">
        <w:rPr>
          <w:i/>
          <w:iCs/>
        </w:rPr>
        <w:t>Nr. </w:t>
      </w:r>
      <w:r w:rsidRPr="00AE1D14">
        <w:rPr>
          <w:i/>
          <w:iCs/>
        </w:rPr>
        <w:t>1 des G. vom 28. Dezember 1992 (B.S. vom 31. Dezember 1992)</w:t>
      </w:r>
      <w:r w:rsidR="00D67EB8" w:rsidRPr="00AE1D14">
        <w:rPr>
          <w:i/>
          <w:iCs/>
        </w:rPr>
        <w:t> - </w:t>
      </w:r>
      <w:r w:rsidRPr="00AE1D14">
        <w:rPr>
          <w:i/>
          <w:iCs/>
        </w:rPr>
        <w:t>anwendbar ab dem Steuerjahr 1994</w:t>
      </w:r>
      <w:r w:rsidR="00FD68E8" w:rsidRPr="00AE1D14">
        <w:rPr>
          <w:i/>
          <w:iCs/>
        </w:rPr>
        <w:t> -,</w:t>
      </w:r>
      <w:r w:rsidRPr="00AE1D14">
        <w:rPr>
          <w:i/>
          <w:iCs/>
        </w:rPr>
        <w:t xml:space="preserve"> ersetzt durch </w:t>
      </w:r>
      <w:r w:rsidR="00D67EB8" w:rsidRPr="00AE1D14">
        <w:rPr>
          <w:i/>
          <w:iCs/>
        </w:rPr>
        <w:t>Art. </w:t>
      </w:r>
      <w:r w:rsidRPr="00AE1D14">
        <w:rPr>
          <w:i/>
          <w:iCs/>
        </w:rPr>
        <w:t xml:space="preserve">86 </w:t>
      </w:r>
      <w:r w:rsidR="00D67EB8" w:rsidRPr="00AE1D14">
        <w:rPr>
          <w:i/>
          <w:iCs/>
        </w:rPr>
        <w:t>Nr. </w:t>
      </w:r>
      <w:r w:rsidRPr="00AE1D14">
        <w:rPr>
          <w:i/>
          <w:iCs/>
        </w:rPr>
        <w:t>1 des G. vom 28. April 2003 (B.S. vom 15. Mai 2003)</w:t>
      </w:r>
      <w:r w:rsidR="00D67EB8" w:rsidRPr="00AE1D14">
        <w:rPr>
          <w:i/>
          <w:iCs/>
        </w:rPr>
        <w:t> - </w:t>
      </w:r>
      <w:r w:rsidRPr="00AE1D14">
        <w:rPr>
          <w:i/>
          <w:iCs/>
        </w:rPr>
        <w:t xml:space="preserve">anwendbar auf Leibrenten, Renten, Entschädigungen, andere als in </w:t>
      </w:r>
      <w:r w:rsidR="00D67EB8" w:rsidRPr="00AE1D14">
        <w:rPr>
          <w:i/>
          <w:iCs/>
        </w:rPr>
        <w:t>Art. </w:t>
      </w:r>
      <w:r w:rsidRPr="00AE1D14">
        <w:rPr>
          <w:i/>
          <w:iCs/>
        </w:rPr>
        <w:t xml:space="preserve">23 </w:t>
      </w:r>
      <w:r w:rsidR="00D67EB8" w:rsidRPr="00AE1D14">
        <w:rPr>
          <w:i/>
          <w:iCs/>
        </w:rPr>
        <w:t>§ </w:t>
      </w:r>
      <w:r w:rsidRPr="00AE1D14">
        <w:rPr>
          <w:i/>
          <w:iCs/>
        </w:rPr>
        <w:t xml:space="preserve">3 Buchstabe A </w:t>
      </w:r>
      <w:r w:rsidR="00D67EB8" w:rsidRPr="00AE1D14">
        <w:rPr>
          <w:i/>
          <w:iCs/>
        </w:rPr>
        <w:t>Nr. </w:t>
      </w:r>
      <w:r w:rsidRPr="00AE1D14">
        <w:rPr>
          <w:i/>
          <w:iCs/>
        </w:rPr>
        <w:t>6 erwähnte Kapitalien, Rückkaufswerte von Lebensversicherungs</w:t>
      </w:r>
      <w:r w:rsidRPr="00AE1D14">
        <w:rPr>
          <w:i/>
          <w:iCs/>
        </w:rPr>
        <w:softHyphen/>
        <w:t>verträgen, Pensionen und ergänzende Pensionen, die ab dem 1. Januar 2004 ausgezahlt werden</w:t>
      </w:r>
      <w:r w:rsidR="00D67EB8" w:rsidRPr="00AE1D14">
        <w:rPr>
          <w:i/>
          <w:iCs/>
        </w:rPr>
        <w:t> - </w:t>
      </w:r>
      <w:r w:rsidRPr="00AE1D14">
        <w:rPr>
          <w:i/>
          <w:iCs/>
        </w:rPr>
        <w:t xml:space="preserve">und abgeändert durch </w:t>
      </w:r>
      <w:r w:rsidR="00D67EB8" w:rsidRPr="00AE1D14">
        <w:rPr>
          <w:i/>
          <w:iCs/>
        </w:rPr>
        <w:t>Art. </w:t>
      </w:r>
      <w:r w:rsidRPr="00AE1D14">
        <w:rPr>
          <w:i/>
          <w:iCs/>
        </w:rPr>
        <w:t xml:space="preserve">64 </w:t>
      </w:r>
      <w:r w:rsidR="00D67EB8" w:rsidRPr="00AE1D14">
        <w:rPr>
          <w:i/>
          <w:iCs/>
        </w:rPr>
        <w:t>Nr. </w:t>
      </w:r>
      <w:r w:rsidRPr="00AE1D14">
        <w:rPr>
          <w:i/>
          <w:iCs/>
        </w:rPr>
        <w:t>1 des G. vom 22. Juni 2012 (B.S. vom 28. Juni 2012)</w:t>
      </w:r>
      <w:r w:rsidR="00D67EB8" w:rsidRPr="00AE1D14">
        <w:rPr>
          <w:i/>
          <w:iCs/>
        </w:rPr>
        <w:t> - </w:t>
      </w:r>
      <w:r w:rsidRPr="00AE1D14">
        <w:rPr>
          <w:i/>
          <w:iCs/>
        </w:rPr>
        <w:t>anwendbar auf die ab dem 1. Juli 2013 gezahlten oder zuerkannten Kapitalien und Rückkaufswerte</w:t>
      </w:r>
      <w:r w:rsidR="00D67EB8" w:rsidRPr="00AE1D14">
        <w:rPr>
          <w:i/>
          <w:iCs/>
        </w:rPr>
        <w:t> - </w:t>
      </w:r>
      <w:r w:rsidRPr="00AE1D14">
        <w:rPr>
          <w:i/>
          <w:iCs/>
        </w:rPr>
        <w:t xml:space="preserve">und </w:t>
      </w:r>
      <w:r w:rsidR="00D67EB8" w:rsidRPr="00AE1D14">
        <w:rPr>
          <w:i/>
          <w:iCs/>
        </w:rPr>
        <w:t>Art. </w:t>
      </w:r>
      <w:r w:rsidRPr="00AE1D14">
        <w:rPr>
          <w:i/>
          <w:iCs/>
        </w:rPr>
        <w:t xml:space="preserve">38 </w:t>
      </w:r>
      <w:r w:rsidR="00D67EB8" w:rsidRPr="00AE1D14">
        <w:rPr>
          <w:i/>
          <w:iCs/>
        </w:rPr>
        <w:t>Nr. </w:t>
      </w:r>
      <w:r w:rsidRPr="00AE1D14">
        <w:rPr>
          <w:i/>
          <w:iCs/>
        </w:rPr>
        <w:t>1 des G. vom 1. Juli 2016 (B.S. vom 4. Juli 2016)</w:t>
      </w:r>
      <w:r w:rsidR="00D67EB8" w:rsidRPr="00AE1D14">
        <w:rPr>
          <w:i/>
          <w:iCs/>
        </w:rPr>
        <w:t> - </w:t>
      </w:r>
      <w:r w:rsidRPr="00AE1D14">
        <w:rPr>
          <w:i/>
          <w:iCs/>
        </w:rPr>
        <w:t>anwendbar auf die ab dem 1. Juli 2016 gezahlten oder zuerkannten Einkünfte</w:t>
      </w:r>
      <w:r w:rsidR="003366D9" w:rsidRPr="00AE1D14">
        <w:rPr>
          <w:i/>
          <w:iCs/>
        </w:rPr>
        <w:t> -;</w:t>
      </w:r>
      <w:r w:rsidRPr="00AE1D14">
        <w:rPr>
          <w:i/>
          <w:iCs/>
        </w:rPr>
        <w:t xml:space="preserve"> einziger Absatz </w:t>
      </w:r>
      <w:r w:rsidR="00D67EB8" w:rsidRPr="00AE1D14">
        <w:rPr>
          <w:i/>
          <w:iCs/>
        </w:rPr>
        <w:t>Nr. </w:t>
      </w:r>
      <w:r w:rsidRPr="00AE1D14">
        <w:rPr>
          <w:i/>
          <w:iCs/>
        </w:rPr>
        <w:t xml:space="preserve">1 einziger Absatz Buchstabe e) eingefügt durch </w:t>
      </w:r>
      <w:r w:rsidR="00D67EB8" w:rsidRPr="00AE1D14">
        <w:rPr>
          <w:i/>
          <w:iCs/>
        </w:rPr>
        <w:t>Art. </w:t>
      </w:r>
      <w:r w:rsidRPr="00AE1D14">
        <w:rPr>
          <w:i/>
          <w:iCs/>
        </w:rPr>
        <w:t xml:space="preserve">89 </w:t>
      </w:r>
      <w:r w:rsidR="00D67EB8" w:rsidRPr="00AE1D14">
        <w:rPr>
          <w:i/>
          <w:iCs/>
        </w:rPr>
        <w:t>Nr. </w:t>
      </w:r>
      <w:r w:rsidRPr="00AE1D14">
        <w:rPr>
          <w:i/>
          <w:iCs/>
        </w:rPr>
        <w:t>1 des G. vom 28. Dezember 1992 (B.S. vom 31. Dezember 1992)</w:t>
      </w:r>
      <w:r w:rsidR="00D67EB8" w:rsidRPr="00AE1D14">
        <w:rPr>
          <w:i/>
          <w:iCs/>
        </w:rPr>
        <w:t> - </w:t>
      </w:r>
      <w:r w:rsidRPr="00AE1D14">
        <w:rPr>
          <w:i/>
          <w:iCs/>
        </w:rPr>
        <w:t>anwendbar ab dem Steuerjahr</w:t>
      </w:r>
      <w:r w:rsidR="00AE1D14">
        <w:rPr>
          <w:i/>
          <w:iCs/>
        </w:rPr>
        <w:t> </w:t>
      </w:r>
      <w:r w:rsidRPr="00AE1D14">
        <w:rPr>
          <w:i/>
          <w:iCs/>
        </w:rPr>
        <w:t>1994</w:t>
      </w:r>
      <w:r w:rsidR="00FD68E8" w:rsidRPr="00AE1D14">
        <w:rPr>
          <w:i/>
          <w:iCs/>
        </w:rPr>
        <w:t> -,</w:t>
      </w:r>
      <w:r w:rsidRPr="00AE1D14">
        <w:rPr>
          <w:i/>
          <w:iCs/>
        </w:rPr>
        <w:t xml:space="preserve"> aufgehoben durch </w:t>
      </w:r>
      <w:r w:rsidR="00D67EB8" w:rsidRPr="00AE1D14">
        <w:rPr>
          <w:i/>
          <w:iCs/>
        </w:rPr>
        <w:t>Art. </w:t>
      </w:r>
      <w:r w:rsidRPr="00AE1D14">
        <w:rPr>
          <w:i/>
          <w:iCs/>
        </w:rPr>
        <w:t xml:space="preserve">86 </w:t>
      </w:r>
      <w:r w:rsidR="00D67EB8" w:rsidRPr="00AE1D14">
        <w:rPr>
          <w:i/>
          <w:iCs/>
        </w:rPr>
        <w:t>Nr. </w:t>
      </w:r>
      <w:r w:rsidRPr="00AE1D14">
        <w:rPr>
          <w:i/>
          <w:iCs/>
        </w:rPr>
        <w:t>2 des G. vom 28. April 2003 (B.S. vom 15. Mai 2003)</w:t>
      </w:r>
      <w:r w:rsidR="00D67EB8" w:rsidRPr="00AE1D14">
        <w:rPr>
          <w:i/>
          <w:iCs/>
        </w:rPr>
        <w:t> - </w:t>
      </w:r>
      <w:r w:rsidRPr="00AE1D14">
        <w:rPr>
          <w:i/>
          <w:iCs/>
        </w:rPr>
        <w:t xml:space="preserve">anwendbar auf Leibrenten, Renten, Entschädigungen, andere als in </w:t>
      </w:r>
      <w:r w:rsidR="00D67EB8" w:rsidRPr="00AE1D14">
        <w:rPr>
          <w:i/>
          <w:iCs/>
        </w:rPr>
        <w:t>Art. </w:t>
      </w:r>
      <w:r w:rsidRPr="00AE1D14">
        <w:rPr>
          <w:i/>
          <w:iCs/>
        </w:rPr>
        <w:t xml:space="preserve">23 </w:t>
      </w:r>
      <w:r w:rsidR="00D67EB8" w:rsidRPr="00AE1D14">
        <w:rPr>
          <w:i/>
          <w:iCs/>
        </w:rPr>
        <w:t>§ </w:t>
      </w:r>
      <w:r w:rsidRPr="00AE1D14">
        <w:rPr>
          <w:i/>
          <w:iCs/>
        </w:rPr>
        <w:t xml:space="preserve">3 Buchstabe A </w:t>
      </w:r>
      <w:r w:rsidR="00D67EB8" w:rsidRPr="00AE1D14">
        <w:rPr>
          <w:i/>
          <w:iCs/>
        </w:rPr>
        <w:t>Nr. </w:t>
      </w:r>
      <w:r w:rsidRPr="00AE1D14">
        <w:rPr>
          <w:i/>
          <w:iCs/>
        </w:rPr>
        <w:t>6 erwähnte Kapitalien, Rückkaufswerte von Lebensversicherungsver</w:t>
      </w:r>
      <w:r w:rsidRPr="00AE1D14">
        <w:rPr>
          <w:i/>
          <w:iCs/>
        </w:rPr>
        <w:softHyphen/>
        <w:t>trägen, Pensionen und ergänzende Pensionen, die ab dem 1. Januar 2004 ausgezahlt werden</w:t>
      </w:r>
      <w:r w:rsidR="00FD68E8" w:rsidRPr="00AE1D14">
        <w:rPr>
          <w:i/>
          <w:iCs/>
        </w:rPr>
        <w:t> -,</w:t>
      </w:r>
      <w:r w:rsidRPr="00AE1D14">
        <w:rPr>
          <w:i/>
          <w:iCs/>
        </w:rPr>
        <w:t xml:space="preserve"> wieder aufgenommen durch </w:t>
      </w:r>
      <w:r w:rsidR="00D67EB8" w:rsidRPr="00AE1D14">
        <w:rPr>
          <w:i/>
          <w:iCs/>
        </w:rPr>
        <w:t>Art. </w:t>
      </w:r>
      <w:r w:rsidRPr="00AE1D14">
        <w:rPr>
          <w:i/>
          <w:iCs/>
        </w:rPr>
        <w:t>6 des G. vom 11. November 2013 (B.S. vom 27. November 2013)</w:t>
      </w:r>
      <w:r w:rsidR="00D67EB8" w:rsidRPr="00AE1D14">
        <w:rPr>
          <w:i/>
          <w:iCs/>
        </w:rPr>
        <w:t> - </w:t>
      </w:r>
      <w:r w:rsidRPr="00AE1D14">
        <w:rPr>
          <w:i/>
          <w:iCs/>
        </w:rPr>
        <w:t>wirksam mit 1. Oktober 2013</w:t>
      </w:r>
      <w:r w:rsidR="00D67EB8" w:rsidRPr="00AE1D14">
        <w:rPr>
          <w:i/>
          <w:iCs/>
        </w:rPr>
        <w:t> - </w:t>
      </w:r>
      <w:r w:rsidR="00935D10" w:rsidRPr="00AE1D14">
        <w:rPr>
          <w:i/>
          <w:iCs/>
        </w:rPr>
        <w:t xml:space="preserve">und abgeändert durch </w:t>
      </w:r>
      <w:r w:rsidR="00D67EB8" w:rsidRPr="00AE1D14">
        <w:rPr>
          <w:i/>
          <w:iCs/>
        </w:rPr>
        <w:t>Art. </w:t>
      </w:r>
      <w:r w:rsidR="00935D10" w:rsidRPr="00AE1D14">
        <w:rPr>
          <w:i/>
          <w:iCs/>
        </w:rPr>
        <w:t>11</w:t>
      </w:r>
      <w:r w:rsidR="00935D10" w:rsidRPr="00AE1D14">
        <w:rPr>
          <w:i/>
        </w:rPr>
        <w:t xml:space="preserve"> des G. vom 2. Mai 2019 (III) (B.S. vom 1</w:t>
      </w:r>
      <w:r w:rsidR="004A76B1" w:rsidRPr="00AE1D14">
        <w:rPr>
          <w:i/>
        </w:rPr>
        <w:t>5</w:t>
      </w:r>
      <w:r w:rsidR="00935D10" w:rsidRPr="00AE1D14">
        <w:rPr>
          <w:i/>
        </w:rPr>
        <w:t>. Mai 2019)</w:t>
      </w:r>
      <w:r w:rsidR="00D67EB8" w:rsidRPr="00AE1D14">
        <w:rPr>
          <w:i/>
        </w:rPr>
        <w:t> - </w:t>
      </w:r>
      <w:r w:rsidR="00935D10" w:rsidRPr="00AE1D14">
        <w:rPr>
          <w:i/>
        </w:rPr>
        <w:t>anwendbar auf die ab dem 1. Januar 2019 gezahlten oder zuerkannten Einkünfte</w:t>
      </w:r>
      <w:r w:rsidR="003366D9" w:rsidRPr="00AE1D14">
        <w:rPr>
          <w:i/>
        </w:rPr>
        <w:t> -;</w:t>
      </w:r>
      <w:r w:rsidRPr="00AE1D14">
        <w:rPr>
          <w:i/>
          <w:iCs/>
        </w:rPr>
        <w:t xml:space="preserve"> einziger Absatz </w:t>
      </w:r>
      <w:r w:rsidR="00D67EB8" w:rsidRPr="00AE1D14">
        <w:rPr>
          <w:i/>
          <w:iCs/>
        </w:rPr>
        <w:t>Nr. </w:t>
      </w:r>
      <w:r w:rsidRPr="00AE1D14">
        <w:rPr>
          <w:i/>
          <w:iCs/>
        </w:rPr>
        <w:t xml:space="preserve">1 einziger Absatz Buchstabe f) eingefügt durch </w:t>
      </w:r>
      <w:r w:rsidR="00D67EB8" w:rsidRPr="00AE1D14">
        <w:rPr>
          <w:i/>
          <w:iCs/>
        </w:rPr>
        <w:t>Art. </w:t>
      </w:r>
      <w:r w:rsidRPr="00AE1D14">
        <w:rPr>
          <w:i/>
          <w:iCs/>
        </w:rPr>
        <w:t xml:space="preserve">89 </w:t>
      </w:r>
      <w:r w:rsidR="00D67EB8" w:rsidRPr="00AE1D14">
        <w:rPr>
          <w:i/>
          <w:iCs/>
        </w:rPr>
        <w:t>Nr. </w:t>
      </w:r>
      <w:r w:rsidRPr="00AE1D14">
        <w:rPr>
          <w:i/>
          <w:iCs/>
        </w:rPr>
        <w:t>1 des G. vom 28. Dezember 1992 (B.S. vom 31. Dezember 1992)</w:t>
      </w:r>
      <w:r w:rsidR="00D67EB8" w:rsidRPr="00AE1D14">
        <w:rPr>
          <w:i/>
          <w:iCs/>
        </w:rPr>
        <w:t> - </w:t>
      </w:r>
      <w:r w:rsidRPr="00AE1D14">
        <w:rPr>
          <w:i/>
          <w:iCs/>
        </w:rPr>
        <w:t>anwendbar ab dem Steuerjahr 1993</w:t>
      </w:r>
      <w:r w:rsidR="003366D9" w:rsidRPr="00AE1D14">
        <w:rPr>
          <w:i/>
          <w:iCs/>
        </w:rPr>
        <w:t> -;</w:t>
      </w:r>
      <w:r w:rsidRPr="00AE1D14">
        <w:rPr>
          <w:i/>
          <w:iCs/>
        </w:rPr>
        <w:t xml:space="preserve"> einziger Absatz </w:t>
      </w:r>
      <w:r w:rsidR="00D67EB8" w:rsidRPr="00AE1D14">
        <w:rPr>
          <w:i/>
          <w:iCs/>
        </w:rPr>
        <w:t>Nr. </w:t>
      </w:r>
      <w:r w:rsidRPr="00AE1D14">
        <w:rPr>
          <w:i/>
          <w:iCs/>
        </w:rPr>
        <w:t xml:space="preserve">1 einziger Absatz Buchstabe g) eingefügt durch </w:t>
      </w:r>
      <w:r w:rsidR="00D67EB8" w:rsidRPr="00AE1D14">
        <w:rPr>
          <w:i/>
          <w:iCs/>
        </w:rPr>
        <w:t>Art. </w:t>
      </w:r>
      <w:r w:rsidRPr="00AE1D14">
        <w:rPr>
          <w:i/>
          <w:iCs/>
        </w:rPr>
        <w:t xml:space="preserve">89 </w:t>
      </w:r>
      <w:r w:rsidR="00D67EB8" w:rsidRPr="00AE1D14">
        <w:rPr>
          <w:i/>
          <w:iCs/>
        </w:rPr>
        <w:t>Nr. </w:t>
      </w:r>
      <w:r w:rsidRPr="00AE1D14">
        <w:rPr>
          <w:i/>
          <w:iCs/>
        </w:rPr>
        <w:t>1 des G. vom 28. Dezember 1992 (B.S. vom 31. Dezember 1992)</w:t>
      </w:r>
      <w:r w:rsidR="00D67EB8" w:rsidRPr="00AE1D14">
        <w:rPr>
          <w:i/>
          <w:iCs/>
        </w:rPr>
        <w:t> - </w:t>
      </w:r>
      <w:r w:rsidRPr="00AE1D14">
        <w:rPr>
          <w:i/>
          <w:iCs/>
        </w:rPr>
        <w:t>anwendbar ab dem Steuerjahr 1993</w:t>
      </w:r>
      <w:r w:rsidR="00D67EB8" w:rsidRPr="00AE1D14">
        <w:rPr>
          <w:i/>
          <w:iCs/>
        </w:rPr>
        <w:t> - </w:t>
      </w:r>
      <w:r w:rsidRPr="00AE1D14">
        <w:rPr>
          <w:i/>
          <w:iCs/>
        </w:rPr>
        <w:t xml:space="preserve">und abgeändert durch </w:t>
      </w:r>
      <w:r w:rsidR="00D67EB8" w:rsidRPr="00AE1D14">
        <w:rPr>
          <w:i/>
          <w:iCs/>
        </w:rPr>
        <w:t>Art. </w:t>
      </w:r>
      <w:r w:rsidRPr="00AE1D14">
        <w:rPr>
          <w:i/>
          <w:iCs/>
        </w:rPr>
        <w:t>109 Buchstabe a) des G. vom 19. Dezember 2014 (B.S. vom 29. Dezember 2014)</w:t>
      </w:r>
      <w:r w:rsidR="00D67EB8" w:rsidRPr="00AE1D14">
        <w:rPr>
          <w:i/>
          <w:iCs/>
        </w:rPr>
        <w:t> - </w:t>
      </w:r>
      <w:r w:rsidRPr="00AE1D14">
        <w:rPr>
          <w:i/>
          <w:iCs/>
        </w:rPr>
        <w:t>anwendbar ab dem Steuerjahr 2016</w:t>
      </w:r>
      <w:r w:rsidR="003366D9" w:rsidRPr="00AE1D14">
        <w:rPr>
          <w:i/>
          <w:iCs/>
        </w:rPr>
        <w:t> -;</w:t>
      </w:r>
      <w:r w:rsidRPr="00AE1D14">
        <w:rPr>
          <w:i/>
          <w:iCs/>
        </w:rPr>
        <w:t xml:space="preserve"> einziger Absatz </w:t>
      </w:r>
      <w:r w:rsidR="00D67EB8" w:rsidRPr="00AE1D14">
        <w:rPr>
          <w:i/>
          <w:iCs/>
        </w:rPr>
        <w:t>Nr. </w:t>
      </w:r>
      <w:r w:rsidRPr="00AE1D14">
        <w:rPr>
          <w:i/>
          <w:iCs/>
        </w:rPr>
        <w:t xml:space="preserve">1 einziger Absatz Buchstabe h) eingefügt durch </w:t>
      </w:r>
      <w:r w:rsidR="00D67EB8" w:rsidRPr="00AE1D14">
        <w:rPr>
          <w:i/>
          <w:iCs/>
        </w:rPr>
        <w:t>Art. </w:t>
      </w:r>
      <w:r w:rsidRPr="00AE1D14">
        <w:rPr>
          <w:i/>
          <w:iCs/>
        </w:rPr>
        <w:t xml:space="preserve">86 </w:t>
      </w:r>
      <w:r w:rsidR="00D67EB8" w:rsidRPr="00AE1D14">
        <w:rPr>
          <w:i/>
          <w:iCs/>
        </w:rPr>
        <w:t>Nr. </w:t>
      </w:r>
      <w:r w:rsidRPr="00AE1D14">
        <w:rPr>
          <w:i/>
          <w:iCs/>
        </w:rPr>
        <w:t>3 des G. vom 28. April 2003 (B.S. vom 15. Mai 2003)</w:t>
      </w:r>
      <w:r w:rsidR="00D67EB8" w:rsidRPr="00AE1D14">
        <w:rPr>
          <w:i/>
          <w:iCs/>
        </w:rPr>
        <w:t> - </w:t>
      </w:r>
      <w:r w:rsidRPr="00AE1D14">
        <w:rPr>
          <w:i/>
          <w:iCs/>
        </w:rPr>
        <w:t xml:space="preserve">anwendbar auf Leibrenten, Renten, Entschädigungen, andere als in </w:t>
      </w:r>
      <w:r w:rsidR="00D67EB8" w:rsidRPr="00AE1D14">
        <w:rPr>
          <w:i/>
          <w:iCs/>
        </w:rPr>
        <w:t>Art. </w:t>
      </w:r>
      <w:r w:rsidRPr="00AE1D14">
        <w:rPr>
          <w:i/>
          <w:iCs/>
        </w:rPr>
        <w:t xml:space="preserve">23 </w:t>
      </w:r>
      <w:r w:rsidR="00D67EB8" w:rsidRPr="00AE1D14">
        <w:rPr>
          <w:i/>
          <w:iCs/>
        </w:rPr>
        <w:t>§ </w:t>
      </w:r>
      <w:r w:rsidRPr="00AE1D14">
        <w:rPr>
          <w:i/>
          <w:iCs/>
        </w:rPr>
        <w:t xml:space="preserve">3 Buchstabe A </w:t>
      </w:r>
      <w:r w:rsidR="00D67EB8" w:rsidRPr="00AE1D14">
        <w:rPr>
          <w:i/>
          <w:iCs/>
        </w:rPr>
        <w:t>Nr. </w:t>
      </w:r>
      <w:r w:rsidRPr="00AE1D14">
        <w:rPr>
          <w:i/>
          <w:iCs/>
        </w:rPr>
        <w:t>6 erwähnte Kapitalien, Rückkaufswerte von Lebensversicherungs</w:t>
      </w:r>
      <w:r w:rsidRPr="00AE1D14">
        <w:rPr>
          <w:i/>
          <w:iCs/>
        </w:rPr>
        <w:softHyphen/>
        <w:t>verträgen, Pensionen und ergänzende Pensionen, die ab dem 1. Januar 2004 ausgezahlt werden</w:t>
      </w:r>
      <w:r w:rsidR="003366D9" w:rsidRPr="00AE1D14">
        <w:rPr>
          <w:i/>
          <w:iCs/>
        </w:rPr>
        <w:t> -;</w:t>
      </w:r>
      <w:r w:rsidRPr="00AE1D14">
        <w:rPr>
          <w:i/>
          <w:iCs/>
        </w:rPr>
        <w:t xml:space="preserve"> einziger Absatz </w:t>
      </w:r>
      <w:r w:rsidR="00D67EB8" w:rsidRPr="00AE1D14">
        <w:rPr>
          <w:i/>
          <w:iCs/>
        </w:rPr>
        <w:t>Nr. </w:t>
      </w:r>
      <w:r w:rsidRPr="00AE1D14">
        <w:rPr>
          <w:i/>
          <w:iCs/>
        </w:rPr>
        <w:t>1 einziger Absatz Buchstabe</w:t>
      </w:r>
      <w:r w:rsidR="008721A5" w:rsidRPr="00AE1D14">
        <w:rPr>
          <w:i/>
          <w:iCs/>
        </w:rPr>
        <w:t> </w:t>
      </w:r>
      <w:r w:rsidRPr="00AE1D14">
        <w:rPr>
          <w:i/>
          <w:iCs/>
        </w:rPr>
        <w:t xml:space="preserve">i) eingefügt durch </w:t>
      </w:r>
      <w:r w:rsidR="00D67EB8" w:rsidRPr="00AE1D14">
        <w:rPr>
          <w:i/>
          <w:iCs/>
        </w:rPr>
        <w:t>Art. </w:t>
      </w:r>
      <w:r w:rsidRPr="00AE1D14">
        <w:rPr>
          <w:i/>
          <w:iCs/>
        </w:rPr>
        <w:t>2 Buchstabe a) des G. vom 4. Mai 2007 (B.S. vom 15. Mai 2007)</w:t>
      </w:r>
      <w:r w:rsidR="00D67EB8" w:rsidRPr="00AE1D14">
        <w:rPr>
          <w:i/>
          <w:iCs/>
        </w:rPr>
        <w:t> - </w:t>
      </w:r>
      <w:r w:rsidRPr="00AE1D14">
        <w:rPr>
          <w:i/>
          <w:iCs/>
        </w:rPr>
        <w:t>anwendbar auf die ab dem 1. Januar 2008 gezahlten oder zuerkannten Einkünfte</w:t>
      </w:r>
      <w:r w:rsidR="003366D9" w:rsidRPr="00AE1D14">
        <w:rPr>
          <w:i/>
          <w:iCs/>
        </w:rPr>
        <w:t> -;</w:t>
      </w:r>
      <w:r w:rsidRPr="00AE1D14">
        <w:rPr>
          <w:i/>
          <w:iCs/>
        </w:rPr>
        <w:t xml:space="preserve"> einziger Absatz </w:t>
      </w:r>
      <w:r w:rsidR="00D67EB8" w:rsidRPr="00AE1D14">
        <w:rPr>
          <w:i/>
          <w:iCs/>
        </w:rPr>
        <w:t>Nr. </w:t>
      </w:r>
      <w:r w:rsidRPr="00AE1D14">
        <w:rPr>
          <w:i/>
          <w:iCs/>
        </w:rPr>
        <w:t xml:space="preserve">1 einziger Absatz Buchstabe i) einziger Absatz einleitende Bestimmung ersetzt durch </w:t>
      </w:r>
      <w:r w:rsidR="00D67EB8" w:rsidRPr="00AE1D14">
        <w:rPr>
          <w:i/>
          <w:iCs/>
        </w:rPr>
        <w:t>Art. </w:t>
      </w:r>
      <w:r w:rsidRPr="00AE1D14">
        <w:rPr>
          <w:i/>
          <w:iCs/>
        </w:rPr>
        <w:t xml:space="preserve">28 </w:t>
      </w:r>
      <w:r w:rsidR="00D67EB8" w:rsidRPr="00AE1D14">
        <w:rPr>
          <w:i/>
          <w:iCs/>
        </w:rPr>
        <w:t>Nr. </w:t>
      </w:r>
      <w:r w:rsidRPr="00AE1D14">
        <w:rPr>
          <w:i/>
          <w:iCs/>
        </w:rPr>
        <w:t>1</w:t>
      </w:r>
      <w:r w:rsidRPr="00AE1D14">
        <w:rPr>
          <w:iCs/>
        </w:rPr>
        <w:t xml:space="preserve"> </w:t>
      </w:r>
      <w:r w:rsidRPr="00AE1D14">
        <w:rPr>
          <w:i/>
          <w:iCs/>
        </w:rPr>
        <w:t>des G. vom 22. Dezember 2009</w:t>
      </w:r>
      <w:r w:rsidR="00645469" w:rsidRPr="00AE1D14">
        <w:rPr>
          <w:i/>
          <w:iCs/>
        </w:rPr>
        <w:t> </w:t>
      </w:r>
      <w:r w:rsidRPr="00AE1D14">
        <w:rPr>
          <w:i/>
          <w:iCs/>
        </w:rPr>
        <w:t>(I) (B.S. vom 31. Dezember 2009)</w:t>
      </w:r>
      <w:r w:rsidR="00D67EB8" w:rsidRPr="00AE1D14">
        <w:rPr>
          <w:i/>
          <w:iCs/>
        </w:rPr>
        <w:t> - </w:t>
      </w:r>
      <w:r w:rsidRPr="00AE1D14">
        <w:rPr>
          <w:i/>
          <w:iCs/>
        </w:rPr>
        <w:t>anwendbar auf die ab dem 1. Januar 2009 gezahlten oder zuerkannten Einkünfte</w:t>
      </w:r>
      <w:r w:rsidR="003366D9" w:rsidRPr="00AE1D14">
        <w:rPr>
          <w:i/>
          <w:iCs/>
        </w:rPr>
        <w:t> -;</w:t>
      </w:r>
      <w:r w:rsidRPr="00AE1D14">
        <w:rPr>
          <w:i/>
          <w:iCs/>
        </w:rPr>
        <w:t xml:space="preserve"> einziger Absatz </w:t>
      </w:r>
      <w:r w:rsidR="00D67EB8" w:rsidRPr="00AE1D14">
        <w:rPr>
          <w:i/>
          <w:iCs/>
        </w:rPr>
        <w:t>Nr. </w:t>
      </w:r>
      <w:r w:rsidRPr="00AE1D14">
        <w:rPr>
          <w:i/>
          <w:iCs/>
        </w:rPr>
        <w:t xml:space="preserve">1 einziger Absatz Buchstabe i) einziger Absatz erster Gedankenstrich abgeändert durch </w:t>
      </w:r>
      <w:r w:rsidR="00D67EB8" w:rsidRPr="00AE1D14">
        <w:rPr>
          <w:i/>
          <w:iCs/>
        </w:rPr>
        <w:t>Art. </w:t>
      </w:r>
      <w:r w:rsidRPr="00AE1D14">
        <w:rPr>
          <w:i/>
          <w:iCs/>
        </w:rPr>
        <w:t xml:space="preserve">28 </w:t>
      </w:r>
      <w:r w:rsidR="00D67EB8" w:rsidRPr="00AE1D14">
        <w:rPr>
          <w:i/>
          <w:iCs/>
        </w:rPr>
        <w:t>Nr. </w:t>
      </w:r>
      <w:r w:rsidRPr="00AE1D14">
        <w:rPr>
          <w:i/>
          <w:iCs/>
        </w:rPr>
        <w:t>2</w:t>
      </w:r>
      <w:r w:rsidRPr="00AE1D14">
        <w:rPr>
          <w:iCs/>
        </w:rPr>
        <w:t xml:space="preserve"> </w:t>
      </w:r>
      <w:r w:rsidRPr="00AE1D14">
        <w:rPr>
          <w:i/>
          <w:iCs/>
        </w:rPr>
        <w:t>des G. vom 22. Dezember 2009 (I)</w:t>
      </w:r>
      <w:r w:rsidR="00252578" w:rsidRPr="00AE1D14">
        <w:rPr>
          <w:i/>
          <w:iCs/>
        </w:rPr>
        <w:t xml:space="preserve"> (B.S. vom 31. Dezember 2009)</w:t>
      </w:r>
      <w:r w:rsidR="00D67EB8" w:rsidRPr="00AE1D14">
        <w:rPr>
          <w:i/>
          <w:iCs/>
        </w:rPr>
        <w:t> - </w:t>
      </w:r>
      <w:r w:rsidRPr="00AE1D14">
        <w:rPr>
          <w:i/>
          <w:iCs/>
        </w:rPr>
        <w:t>anwendbar auf die ab dem 1. Januar 2008 gezahlten oder zuerkannten Einkünfte</w:t>
      </w:r>
      <w:r w:rsidR="00D67EB8" w:rsidRPr="00AE1D14">
        <w:rPr>
          <w:i/>
          <w:iCs/>
        </w:rPr>
        <w:t> - </w:t>
      </w:r>
      <w:r w:rsidR="007C4C1C" w:rsidRPr="00AE1D14">
        <w:rPr>
          <w:i/>
          <w:iCs/>
        </w:rPr>
        <w:t xml:space="preserve">und </w:t>
      </w:r>
      <w:r w:rsidR="00D67EB8" w:rsidRPr="00AE1D14">
        <w:rPr>
          <w:i/>
          <w:iCs/>
        </w:rPr>
        <w:t>Art. </w:t>
      </w:r>
      <w:r w:rsidR="007C4C1C" w:rsidRPr="00AE1D14">
        <w:rPr>
          <w:i/>
          <w:iCs/>
        </w:rPr>
        <w:t xml:space="preserve">4 </w:t>
      </w:r>
      <w:r w:rsidR="00D67EB8" w:rsidRPr="00AE1D14">
        <w:rPr>
          <w:i/>
          <w:iCs/>
        </w:rPr>
        <w:t>Nr. </w:t>
      </w:r>
      <w:r w:rsidR="007C4C1C" w:rsidRPr="00AE1D14">
        <w:rPr>
          <w:i/>
          <w:iCs/>
        </w:rPr>
        <w:t>1</w:t>
      </w:r>
      <w:r w:rsidR="007C4C1C" w:rsidRPr="00AE1D14">
        <w:rPr>
          <w:i/>
        </w:rPr>
        <w:t xml:space="preserve"> des G. vom 27. Dezember 2021 (B.S. vom 31. Dezember 2021)</w:t>
      </w:r>
      <w:r w:rsidR="00D67EB8" w:rsidRPr="00AE1D14">
        <w:rPr>
          <w:i/>
        </w:rPr>
        <w:t> - </w:t>
      </w:r>
      <w:r w:rsidR="007C4C1C" w:rsidRPr="00AE1D14">
        <w:rPr>
          <w:i/>
        </w:rPr>
        <w:t>anwendbar ab dem 1. Januar 2022</w:t>
      </w:r>
      <w:r w:rsidR="003366D9" w:rsidRPr="00AE1D14">
        <w:rPr>
          <w:i/>
        </w:rPr>
        <w:t> -;</w:t>
      </w:r>
      <w:r w:rsidR="007C4C1C" w:rsidRPr="00AE1D14">
        <w:rPr>
          <w:i/>
          <w:iCs/>
        </w:rPr>
        <w:t xml:space="preserve"> einziger Absatz </w:t>
      </w:r>
      <w:r w:rsidR="00D67EB8" w:rsidRPr="00AE1D14">
        <w:rPr>
          <w:i/>
          <w:iCs/>
        </w:rPr>
        <w:t>Nr. </w:t>
      </w:r>
      <w:r w:rsidR="007C4C1C" w:rsidRPr="00AE1D14">
        <w:rPr>
          <w:i/>
          <w:iCs/>
        </w:rPr>
        <w:t xml:space="preserve">1 einziger </w:t>
      </w:r>
      <w:r w:rsidR="007C4C1C" w:rsidRPr="00AE1D14">
        <w:rPr>
          <w:i/>
          <w:iCs/>
        </w:rPr>
        <w:lastRenderedPageBreak/>
        <w:t xml:space="preserve">Absatz Buchstabe i) einziger Absatz zweiter und dritter Gedankenstrich abgeändert durch </w:t>
      </w:r>
      <w:r w:rsidR="00D67EB8" w:rsidRPr="00AE1D14">
        <w:rPr>
          <w:i/>
          <w:iCs/>
        </w:rPr>
        <w:t>Art. </w:t>
      </w:r>
      <w:r w:rsidR="007C4C1C" w:rsidRPr="00AE1D14">
        <w:rPr>
          <w:i/>
          <w:iCs/>
        </w:rPr>
        <w:t xml:space="preserve">28 </w:t>
      </w:r>
      <w:r w:rsidR="00D67EB8" w:rsidRPr="00AE1D14">
        <w:rPr>
          <w:i/>
          <w:iCs/>
        </w:rPr>
        <w:t>Nr. </w:t>
      </w:r>
      <w:r w:rsidR="007C4C1C" w:rsidRPr="00AE1D14">
        <w:rPr>
          <w:i/>
          <w:iCs/>
        </w:rPr>
        <w:t>2</w:t>
      </w:r>
      <w:r w:rsidR="007C4C1C" w:rsidRPr="00AE1D14">
        <w:rPr>
          <w:iCs/>
        </w:rPr>
        <w:t xml:space="preserve"> </w:t>
      </w:r>
      <w:r w:rsidR="007C4C1C" w:rsidRPr="00AE1D14">
        <w:rPr>
          <w:i/>
          <w:iCs/>
        </w:rPr>
        <w:t>des G. vom 22. Dezember 2009 (I) (B.S. vom 31. Dezember 2009)</w:t>
      </w:r>
      <w:r w:rsidR="00D67EB8" w:rsidRPr="00AE1D14">
        <w:rPr>
          <w:i/>
          <w:iCs/>
        </w:rPr>
        <w:t> - </w:t>
      </w:r>
      <w:r w:rsidR="007C4C1C" w:rsidRPr="00AE1D14">
        <w:rPr>
          <w:i/>
          <w:iCs/>
        </w:rPr>
        <w:t>anwendbar auf die ab dem 1. Januar 2008 gezahlten oder zuerkannten Einkünfte</w:t>
      </w:r>
      <w:r w:rsidR="003366D9" w:rsidRPr="00AE1D14">
        <w:rPr>
          <w:i/>
          <w:iCs/>
        </w:rPr>
        <w:t> -;</w:t>
      </w:r>
      <w:r w:rsidRPr="00AE1D14">
        <w:rPr>
          <w:i/>
          <w:iCs/>
        </w:rPr>
        <w:t xml:space="preserve"> einziger Absatz </w:t>
      </w:r>
      <w:r w:rsidR="00D67EB8" w:rsidRPr="00AE1D14">
        <w:rPr>
          <w:i/>
          <w:iCs/>
        </w:rPr>
        <w:t>Nr. </w:t>
      </w:r>
      <w:r w:rsidRPr="00AE1D14">
        <w:rPr>
          <w:i/>
          <w:iCs/>
        </w:rPr>
        <w:t xml:space="preserve">1 einziger Absatz Buchstabe i) in fine abgeändert durch </w:t>
      </w:r>
      <w:r w:rsidR="00D67EB8" w:rsidRPr="00AE1D14">
        <w:rPr>
          <w:i/>
          <w:iCs/>
        </w:rPr>
        <w:t>Art. </w:t>
      </w:r>
      <w:r w:rsidRPr="00AE1D14">
        <w:rPr>
          <w:i/>
          <w:iCs/>
        </w:rPr>
        <w:t xml:space="preserve">28 </w:t>
      </w:r>
      <w:r w:rsidR="00D67EB8" w:rsidRPr="00AE1D14">
        <w:rPr>
          <w:i/>
          <w:iCs/>
        </w:rPr>
        <w:t>Nr. </w:t>
      </w:r>
      <w:r w:rsidRPr="00AE1D14">
        <w:rPr>
          <w:i/>
          <w:iCs/>
        </w:rPr>
        <w:t>3</w:t>
      </w:r>
      <w:r w:rsidRPr="00AE1D14">
        <w:rPr>
          <w:iCs/>
        </w:rPr>
        <w:t xml:space="preserve"> </w:t>
      </w:r>
      <w:r w:rsidRPr="00AE1D14">
        <w:rPr>
          <w:i/>
          <w:iCs/>
        </w:rPr>
        <w:t>des G. vom 22. Dezember 2009 (I) (B.S. vom 31. Dezember 2009)</w:t>
      </w:r>
      <w:r w:rsidR="00D67EB8" w:rsidRPr="00AE1D14">
        <w:rPr>
          <w:i/>
          <w:iCs/>
        </w:rPr>
        <w:t> - </w:t>
      </w:r>
      <w:r w:rsidRPr="00AE1D14">
        <w:rPr>
          <w:i/>
          <w:iCs/>
        </w:rPr>
        <w:t>anwendbar auf die ab dem 1. Januar 2009 gezahlten oder zuerkannten Einkünfte</w:t>
      </w:r>
      <w:r w:rsidR="003366D9" w:rsidRPr="00AE1D14">
        <w:rPr>
          <w:i/>
          <w:iCs/>
        </w:rPr>
        <w:t> -;</w:t>
      </w:r>
      <w:r w:rsidRPr="00AE1D14">
        <w:rPr>
          <w:i/>
          <w:iCs/>
        </w:rPr>
        <w:t xml:space="preserve"> einziger Absatz </w:t>
      </w:r>
      <w:r w:rsidR="00D67EB8" w:rsidRPr="00AE1D14">
        <w:rPr>
          <w:i/>
          <w:iCs/>
        </w:rPr>
        <w:t>Nr. </w:t>
      </w:r>
      <w:r w:rsidRPr="00AE1D14">
        <w:rPr>
          <w:i/>
          <w:iCs/>
        </w:rPr>
        <w:t xml:space="preserve">1 einziger Absatz Buchstabe j) eingefügt durch </w:t>
      </w:r>
      <w:r w:rsidR="00D67EB8" w:rsidRPr="00AE1D14">
        <w:rPr>
          <w:i/>
          <w:iCs/>
        </w:rPr>
        <w:t>Art. </w:t>
      </w:r>
      <w:r w:rsidRPr="00AE1D14">
        <w:rPr>
          <w:i/>
          <w:iCs/>
        </w:rPr>
        <w:t xml:space="preserve">61 </w:t>
      </w:r>
      <w:r w:rsidR="00D67EB8" w:rsidRPr="00AE1D14">
        <w:rPr>
          <w:i/>
          <w:iCs/>
        </w:rPr>
        <w:t>Nr. </w:t>
      </w:r>
      <w:r w:rsidRPr="00AE1D14">
        <w:rPr>
          <w:i/>
          <w:iCs/>
        </w:rPr>
        <w:t>1 des G. vom 18. Februar 2018 (B.S. vom 30. März 2018)</w:t>
      </w:r>
      <w:r w:rsidR="00D67EB8" w:rsidRPr="00AE1D14">
        <w:rPr>
          <w:i/>
          <w:iCs/>
        </w:rPr>
        <w:t> - </w:t>
      </w:r>
      <w:r w:rsidRPr="00AE1D14">
        <w:rPr>
          <w:i/>
          <w:iCs/>
        </w:rPr>
        <w:t>anwendbar ab dem Steuerjahr 2019</w:t>
      </w:r>
      <w:r w:rsidR="003366D9" w:rsidRPr="00AE1D14">
        <w:rPr>
          <w:i/>
          <w:iCs/>
        </w:rPr>
        <w:t> -;</w:t>
      </w:r>
      <w:r w:rsidRPr="00AE1D14">
        <w:rPr>
          <w:i/>
          <w:iCs/>
        </w:rPr>
        <w:t xml:space="preserve"> einziger Absatz </w:t>
      </w:r>
      <w:r w:rsidR="00D67EB8" w:rsidRPr="00AE1D14">
        <w:rPr>
          <w:i/>
          <w:iCs/>
        </w:rPr>
        <w:t>Nr. </w:t>
      </w:r>
      <w:r w:rsidRPr="00AE1D14">
        <w:rPr>
          <w:i/>
          <w:iCs/>
        </w:rPr>
        <w:t xml:space="preserve">1bis eingefügt durch </w:t>
      </w:r>
      <w:r w:rsidR="00D67EB8" w:rsidRPr="00AE1D14">
        <w:rPr>
          <w:i/>
          <w:iCs/>
        </w:rPr>
        <w:t>Art. </w:t>
      </w:r>
      <w:r w:rsidRPr="00AE1D14">
        <w:rPr>
          <w:i/>
          <w:iCs/>
        </w:rPr>
        <w:t xml:space="preserve">109 Buchstabe b) des G. vom 19. Dezember 2014 (B.S. vom </w:t>
      </w:r>
      <w:r w:rsidRPr="00AE1D14">
        <w:rPr>
          <w:rFonts w:ascii="Times New Roman Italique" w:hAnsi="Times New Roman Italique"/>
          <w:i/>
          <w:iCs/>
          <w:spacing w:val="-2"/>
        </w:rPr>
        <w:t>29. Dezember 2014)</w:t>
      </w:r>
      <w:r w:rsidR="00D67EB8" w:rsidRPr="00AE1D14">
        <w:rPr>
          <w:rFonts w:ascii="Times New Roman Italique" w:hAnsi="Times New Roman Italique"/>
          <w:i/>
          <w:iCs/>
          <w:spacing w:val="-2"/>
        </w:rPr>
        <w:t> - </w:t>
      </w:r>
      <w:r w:rsidRPr="00AE1D14">
        <w:rPr>
          <w:rFonts w:ascii="Times New Roman Italique" w:hAnsi="Times New Roman Italique"/>
          <w:i/>
          <w:iCs/>
          <w:spacing w:val="-2"/>
        </w:rPr>
        <w:t>anwendbar ab dem Steuerjahr 2016</w:t>
      </w:r>
      <w:r w:rsidR="00D67EB8" w:rsidRPr="00AE1D14">
        <w:rPr>
          <w:rFonts w:ascii="Times New Roman Italique" w:hAnsi="Times New Roman Italique"/>
          <w:i/>
          <w:iCs/>
          <w:spacing w:val="-2"/>
        </w:rPr>
        <w:t> - </w:t>
      </w:r>
      <w:r w:rsidRPr="00AE1D14">
        <w:rPr>
          <w:rFonts w:ascii="Times New Roman Italique" w:hAnsi="Times New Roman Italique"/>
          <w:i/>
          <w:iCs/>
          <w:spacing w:val="-2"/>
        </w:rPr>
        <w:t xml:space="preserve">und ersetzt durch </w:t>
      </w:r>
      <w:r w:rsidR="00D67EB8" w:rsidRPr="00AE1D14">
        <w:rPr>
          <w:rFonts w:ascii="Times New Roman Italique" w:hAnsi="Times New Roman Italique"/>
          <w:i/>
          <w:iCs/>
          <w:spacing w:val="-2"/>
        </w:rPr>
        <w:t>Art. </w:t>
      </w:r>
      <w:r w:rsidRPr="00AE1D14">
        <w:rPr>
          <w:rFonts w:ascii="Times New Roman Italique" w:hAnsi="Times New Roman Italique"/>
          <w:i/>
          <w:iCs/>
          <w:spacing w:val="-2"/>
        </w:rPr>
        <w:t>110 des G. vom 19. Dezember 2014 (B.S. vom 29. Dezember 2014)</w:t>
      </w:r>
      <w:r w:rsidR="00D67EB8" w:rsidRPr="00AE1D14">
        <w:rPr>
          <w:rFonts w:ascii="Times New Roman Italique" w:hAnsi="Times New Roman Italique"/>
          <w:i/>
          <w:iCs/>
          <w:spacing w:val="-2"/>
        </w:rPr>
        <w:t> - </w:t>
      </w:r>
      <w:r w:rsidRPr="00AE1D14">
        <w:rPr>
          <w:rFonts w:ascii="Times New Roman Italique" w:hAnsi="Times New Roman Italique"/>
          <w:i/>
          <w:iCs/>
          <w:spacing w:val="-2"/>
        </w:rPr>
        <w:t>anwendbar ab dem Steuerjahr 2018</w:t>
      </w:r>
      <w:r w:rsidR="003366D9" w:rsidRPr="00AE1D14">
        <w:rPr>
          <w:rFonts w:ascii="Times New Roman Italique" w:hAnsi="Times New Roman Italique"/>
          <w:i/>
          <w:iCs/>
          <w:spacing w:val="-2"/>
        </w:rPr>
        <w:t> -;</w:t>
      </w:r>
      <w:r w:rsidRPr="00AE1D14">
        <w:rPr>
          <w:rFonts w:ascii="Times New Roman Italique" w:hAnsi="Times New Roman Italique"/>
          <w:i/>
          <w:iCs/>
          <w:spacing w:val="-2"/>
        </w:rPr>
        <w:t xml:space="preserve"> einziger Absatz </w:t>
      </w:r>
      <w:r w:rsidR="00D67EB8" w:rsidRPr="00AE1D14">
        <w:rPr>
          <w:rFonts w:ascii="Times New Roman Italique" w:hAnsi="Times New Roman Italique"/>
          <w:i/>
          <w:iCs/>
          <w:spacing w:val="-2"/>
        </w:rPr>
        <w:t>Nr. </w:t>
      </w:r>
      <w:r w:rsidRPr="00AE1D14">
        <w:rPr>
          <w:rFonts w:ascii="Times New Roman Italique" w:hAnsi="Times New Roman Italique"/>
          <w:i/>
          <w:iCs/>
          <w:spacing w:val="-2"/>
        </w:rPr>
        <w:t xml:space="preserve">2 ersetzt durch </w:t>
      </w:r>
      <w:r w:rsidR="00D67EB8" w:rsidRPr="00AE1D14">
        <w:rPr>
          <w:rFonts w:ascii="Times New Roman Italique" w:hAnsi="Times New Roman Italique"/>
          <w:i/>
          <w:iCs/>
          <w:spacing w:val="-2"/>
        </w:rPr>
        <w:t>Art. </w:t>
      </w:r>
      <w:r w:rsidRPr="00AE1D14">
        <w:rPr>
          <w:rFonts w:ascii="Times New Roman Italique" w:hAnsi="Times New Roman Italique"/>
          <w:i/>
          <w:iCs/>
          <w:spacing w:val="-2"/>
        </w:rPr>
        <w:t xml:space="preserve">89 </w:t>
      </w:r>
      <w:r w:rsidR="00D67EB8" w:rsidRPr="00AE1D14">
        <w:rPr>
          <w:rFonts w:ascii="Times New Roman Italique" w:hAnsi="Times New Roman Italique"/>
          <w:i/>
          <w:iCs/>
          <w:spacing w:val="-2"/>
        </w:rPr>
        <w:t>Nr. </w:t>
      </w:r>
      <w:r w:rsidRPr="00AE1D14">
        <w:rPr>
          <w:rFonts w:ascii="Times New Roman Italique" w:hAnsi="Times New Roman Italique"/>
          <w:i/>
          <w:iCs/>
          <w:spacing w:val="-2"/>
        </w:rPr>
        <w:t>2 des G. vom 28. Dezember 1992 (B.S. vom</w:t>
      </w:r>
      <w:r w:rsidRPr="00AE1D14">
        <w:rPr>
          <w:i/>
          <w:iCs/>
        </w:rPr>
        <w:t xml:space="preserve"> 31. Dezember 1992)</w:t>
      </w:r>
      <w:r w:rsidR="00D67EB8" w:rsidRPr="00AE1D14">
        <w:rPr>
          <w:i/>
          <w:iCs/>
        </w:rPr>
        <w:t> - </w:t>
      </w:r>
      <w:r w:rsidRPr="00AE1D14">
        <w:rPr>
          <w:i/>
          <w:iCs/>
        </w:rPr>
        <w:t>anwendbar, was Buchstabe a), d) und e) betrifft, ab dem Steuerjahr 1993 und, was Buchstabe b) und c) betrifft, ab dem Steuerjahr 1994</w:t>
      </w:r>
      <w:r w:rsidR="003366D9" w:rsidRPr="00AE1D14">
        <w:rPr>
          <w:i/>
          <w:iCs/>
        </w:rPr>
        <w:t> -;</w:t>
      </w:r>
      <w:r w:rsidRPr="00AE1D14">
        <w:rPr>
          <w:i/>
          <w:iCs/>
        </w:rPr>
        <w:t xml:space="preserve"> einziger Absatz </w:t>
      </w:r>
      <w:r w:rsidR="00D67EB8" w:rsidRPr="00AE1D14">
        <w:rPr>
          <w:i/>
          <w:iCs/>
        </w:rPr>
        <w:t>Nr. </w:t>
      </w:r>
      <w:r w:rsidRPr="00AE1D14">
        <w:rPr>
          <w:i/>
          <w:iCs/>
        </w:rPr>
        <w:t xml:space="preserve">2 einziger Absatz Buchstabe a) aufgehoben durch </w:t>
      </w:r>
      <w:r w:rsidR="00D67EB8" w:rsidRPr="00AE1D14">
        <w:rPr>
          <w:i/>
          <w:iCs/>
        </w:rPr>
        <w:t>Art. </w:t>
      </w:r>
      <w:r w:rsidRPr="00AE1D14">
        <w:rPr>
          <w:i/>
          <w:iCs/>
        </w:rPr>
        <w:t xml:space="preserve">30 </w:t>
      </w:r>
      <w:r w:rsidR="00D67EB8" w:rsidRPr="00AE1D14">
        <w:rPr>
          <w:i/>
          <w:iCs/>
        </w:rPr>
        <w:t>Nr. </w:t>
      </w:r>
      <w:r w:rsidRPr="00AE1D14">
        <w:rPr>
          <w:i/>
          <w:iCs/>
        </w:rPr>
        <w:t>1 des G. vom 24. Dezember 1993 (B.S. vom 31. Dezember 1993)</w:t>
      </w:r>
      <w:r w:rsidR="00D67EB8" w:rsidRPr="00AE1D14">
        <w:rPr>
          <w:i/>
          <w:iCs/>
        </w:rPr>
        <w:t> - </w:t>
      </w:r>
      <w:r w:rsidRPr="00AE1D14">
        <w:rPr>
          <w:i/>
          <w:iCs/>
        </w:rPr>
        <w:t>in Kraft ab dem Steuerjahr 1995</w:t>
      </w:r>
      <w:r w:rsidR="00D67EB8" w:rsidRPr="00AE1D14">
        <w:rPr>
          <w:i/>
          <w:iCs/>
        </w:rPr>
        <w:t> - </w:t>
      </w:r>
      <w:r w:rsidRPr="00AE1D14">
        <w:rPr>
          <w:i/>
          <w:iCs/>
        </w:rPr>
        <w:t xml:space="preserve">und wieder aufgenommen durch </w:t>
      </w:r>
      <w:r w:rsidR="00D67EB8" w:rsidRPr="00AE1D14">
        <w:rPr>
          <w:i/>
          <w:iCs/>
        </w:rPr>
        <w:t>Art. </w:t>
      </w:r>
      <w:r w:rsidRPr="00AE1D14">
        <w:rPr>
          <w:i/>
          <w:iCs/>
        </w:rPr>
        <w:t xml:space="preserve">14 </w:t>
      </w:r>
      <w:r w:rsidR="00D67EB8" w:rsidRPr="00AE1D14">
        <w:rPr>
          <w:i/>
          <w:iCs/>
        </w:rPr>
        <w:t>Nr. </w:t>
      </w:r>
      <w:r w:rsidRPr="00AE1D14">
        <w:rPr>
          <w:i/>
          <w:iCs/>
        </w:rPr>
        <w:t>2</w:t>
      </w:r>
      <w:r w:rsidRPr="00AE1D14">
        <w:rPr>
          <w:i/>
        </w:rPr>
        <w:t xml:space="preserve"> </w:t>
      </w:r>
      <w:r w:rsidRPr="00AE1D14">
        <w:rPr>
          <w:i/>
          <w:iCs/>
        </w:rPr>
        <w:t>des G. vom 25. Dezember 2017 (III) (B.S. vom 29. Dezember 2017)</w:t>
      </w:r>
      <w:r w:rsidR="00D67EB8" w:rsidRPr="00AE1D14">
        <w:rPr>
          <w:i/>
          <w:iCs/>
        </w:rPr>
        <w:t> - </w:t>
      </w:r>
      <w:r w:rsidRPr="00AE1D14">
        <w:rPr>
          <w:i/>
          <w:iCs/>
        </w:rPr>
        <w:t>in Kraft am 1. Januar 2018 und anwendbar ab dem Steuerjahr 2019, das sich auf einen Besteuerungszeitraum bezieht, der frühestens am 1. Januar 2018 beginnt</w:t>
      </w:r>
      <w:r w:rsidR="003366D9" w:rsidRPr="00AE1D14">
        <w:rPr>
          <w:i/>
          <w:iCs/>
        </w:rPr>
        <w:t> -;</w:t>
      </w:r>
      <w:r w:rsidRPr="00AE1D14">
        <w:rPr>
          <w:i/>
          <w:iCs/>
        </w:rPr>
        <w:t xml:space="preserve"> einziger Absatz </w:t>
      </w:r>
      <w:r w:rsidR="00D67EB8" w:rsidRPr="00AE1D14">
        <w:rPr>
          <w:i/>
          <w:iCs/>
        </w:rPr>
        <w:t>Nr. </w:t>
      </w:r>
      <w:r w:rsidRPr="00AE1D14">
        <w:rPr>
          <w:i/>
          <w:iCs/>
        </w:rPr>
        <w:t xml:space="preserve">2 einziger Absatz Buchstabe b) ersetzt durch </w:t>
      </w:r>
      <w:r w:rsidR="00D67EB8" w:rsidRPr="00AE1D14">
        <w:rPr>
          <w:i/>
          <w:iCs/>
        </w:rPr>
        <w:t>Art. </w:t>
      </w:r>
      <w:r w:rsidRPr="00AE1D14">
        <w:rPr>
          <w:i/>
          <w:iCs/>
        </w:rPr>
        <w:t xml:space="preserve">102 </w:t>
      </w:r>
      <w:r w:rsidR="00D67EB8" w:rsidRPr="00AE1D14">
        <w:rPr>
          <w:i/>
          <w:iCs/>
        </w:rPr>
        <w:t>Nr. </w:t>
      </w:r>
      <w:r w:rsidRPr="00AE1D14">
        <w:rPr>
          <w:i/>
          <w:iCs/>
        </w:rPr>
        <w:t>1 des G. vom 23. Dezember 2005 (B.S. vom 30. Dezember 2005)</w:t>
      </w:r>
      <w:r w:rsidR="00D67EB8" w:rsidRPr="00AE1D14">
        <w:rPr>
          <w:i/>
          <w:iCs/>
        </w:rPr>
        <w:t> - </w:t>
      </w:r>
      <w:r w:rsidRPr="00AE1D14">
        <w:rPr>
          <w:i/>
          <w:iCs/>
        </w:rPr>
        <w:t>anwendbar auf die ab dem 1. Januar 2006 ausgezahlten Kapitalien</w:t>
      </w:r>
      <w:r w:rsidR="003366D9" w:rsidRPr="00AE1D14">
        <w:rPr>
          <w:i/>
          <w:iCs/>
        </w:rPr>
        <w:t> -;</w:t>
      </w:r>
      <w:r w:rsidRPr="00AE1D14">
        <w:rPr>
          <w:i/>
          <w:iCs/>
        </w:rPr>
        <w:t xml:space="preserve"> einziger Absatz </w:t>
      </w:r>
      <w:r w:rsidR="00D67EB8" w:rsidRPr="00AE1D14">
        <w:rPr>
          <w:i/>
          <w:iCs/>
        </w:rPr>
        <w:t>Nr. </w:t>
      </w:r>
      <w:r w:rsidRPr="00AE1D14">
        <w:rPr>
          <w:i/>
          <w:iCs/>
        </w:rPr>
        <w:t xml:space="preserve">2 einziger Absatz Buchstabe b) einziger Absatz erster Gedankenstrich abgeändert durch </w:t>
      </w:r>
      <w:r w:rsidR="00D67EB8" w:rsidRPr="00AE1D14">
        <w:rPr>
          <w:i/>
          <w:iCs/>
        </w:rPr>
        <w:t>Art. </w:t>
      </w:r>
      <w:r w:rsidRPr="00AE1D14">
        <w:rPr>
          <w:i/>
          <w:iCs/>
        </w:rPr>
        <w:t xml:space="preserve">64 </w:t>
      </w:r>
      <w:r w:rsidR="00D67EB8" w:rsidRPr="00AE1D14">
        <w:rPr>
          <w:i/>
          <w:iCs/>
        </w:rPr>
        <w:t>Nr. </w:t>
      </w:r>
      <w:r w:rsidRPr="00AE1D14">
        <w:rPr>
          <w:i/>
          <w:iCs/>
        </w:rPr>
        <w:t>2 des G. vom 22. Juni 2012 (B.S. vom 28. Juni 2012)</w:t>
      </w:r>
      <w:r w:rsidR="00D67EB8" w:rsidRPr="00AE1D14">
        <w:rPr>
          <w:i/>
          <w:iCs/>
        </w:rPr>
        <w:t> - </w:t>
      </w:r>
      <w:r w:rsidRPr="00AE1D14">
        <w:rPr>
          <w:i/>
          <w:iCs/>
        </w:rPr>
        <w:t>anwendbar auf die ab dem 1. Juli 2013 gezahlten oder zuerkannten Kapitalien und Rückkaufswerte</w:t>
      </w:r>
      <w:r w:rsidR="003366D9" w:rsidRPr="00AE1D14">
        <w:rPr>
          <w:i/>
          <w:iCs/>
        </w:rPr>
        <w:t> -;</w:t>
      </w:r>
      <w:r w:rsidRPr="00AE1D14">
        <w:rPr>
          <w:i/>
          <w:iCs/>
        </w:rPr>
        <w:t xml:space="preserve"> einziger Absatz </w:t>
      </w:r>
      <w:r w:rsidR="00D67EB8" w:rsidRPr="00AE1D14">
        <w:rPr>
          <w:i/>
          <w:iCs/>
        </w:rPr>
        <w:t>Nr. </w:t>
      </w:r>
      <w:r w:rsidRPr="00AE1D14">
        <w:rPr>
          <w:i/>
          <w:iCs/>
        </w:rPr>
        <w:t xml:space="preserve">2 einziger Absatz Buchstabe b) einziger Absatz zweiter Gedankenstrich ersetzt durch </w:t>
      </w:r>
      <w:r w:rsidR="00D67EB8" w:rsidRPr="00AE1D14">
        <w:rPr>
          <w:i/>
          <w:iCs/>
        </w:rPr>
        <w:t>Art. </w:t>
      </w:r>
      <w:r w:rsidRPr="00AE1D14">
        <w:rPr>
          <w:i/>
          <w:iCs/>
        </w:rPr>
        <w:t>125 Buchstabe a) des G.</w:t>
      </w:r>
      <w:r w:rsidR="00645469" w:rsidRPr="00AE1D14">
        <w:rPr>
          <w:i/>
          <w:iCs/>
        </w:rPr>
        <w:t> </w:t>
      </w:r>
      <w:r w:rsidRPr="00AE1D14">
        <w:rPr>
          <w:i/>
          <w:iCs/>
        </w:rPr>
        <w:t>(I) vom 22. Dezember 2008</w:t>
      </w:r>
      <w:r w:rsidR="00022A68" w:rsidRPr="00AE1D14">
        <w:rPr>
          <w:i/>
          <w:iCs/>
        </w:rPr>
        <w:t> </w:t>
      </w:r>
      <w:r w:rsidRPr="00AE1D14">
        <w:rPr>
          <w:i/>
          <w:iCs/>
        </w:rPr>
        <w:t>(II) (B.S. vom 29. Dezember 2008)</w:t>
      </w:r>
      <w:r w:rsidR="00D67EB8" w:rsidRPr="00AE1D14">
        <w:rPr>
          <w:i/>
          <w:iCs/>
        </w:rPr>
        <w:t> - </w:t>
      </w:r>
      <w:r w:rsidRPr="00AE1D14">
        <w:rPr>
          <w:i/>
          <w:iCs/>
        </w:rPr>
        <w:t>anwendbar auf die ab dem 1. Januar 2009 gezahlten oder zuerkannten Leistungen</w:t>
      </w:r>
      <w:r w:rsidR="003366D9" w:rsidRPr="00AE1D14">
        <w:rPr>
          <w:i/>
          <w:iCs/>
        </w:rPr>
        <w:t> -;</w:t>
      </w:r>
      <w:r w:rsidRPr="00AE1D14">
        <w:rPr>
          <w:i/>
          <w:iCs/>
        </w:rPr>
        <w:t xml:space="preserve"> </w:t>
      </w:r>
      <w:r w:rsidR="00563019" w:rsidRPr="00AE1D14">
        <w:rPr>
          <w:i/>
          <w:iCs/>
        </w:rPr>
        <w:t xml:space="preserve">einziger Absatz </w:t>
      </w:r>
      <w:r w:rsidR="00D67EB8" w:rsidRPr="00AE1D14">
        <w:rPr>
          <w:i/>
          <w:iCs/>
        </w:rPr>
        <w:t>Nr. </w:t>
      </w:r>
      <w:r w:rsidR="00563019" w:rsidRPr="00AE1D14">
        <w:rPr>
          <w:i/>
          <w:iCs/>
        </w:rPr>
        <w:t xml:space="preserve">2 einziger Absatz Buchstabe b) einziger Absatz </w:t>
      </w:r>
      <w:r w:rsidR="00563019" w:rsidRPr="00AE1D14">
        <w:rPr>
          <w:rFonts w:ascii="Times New Roman Italique" w:hAnsi="Times New Roman Italique"/>
          <w:i/>
          <w:iCs/>
          <w:spacing w:val="2"/>
        </w:rPr>
        <w:t xml:space="preserve">dritter Gedankenstrich eingefügt durch </w:t>
      </w:r>
      <w:r w:rsidR="00D67EB8" w:rsidRPr="00AE1D14">
        <w:rPr>
          <w:rFonts w:ascii="Times New Roman Italique" w:hAnsi="Times New Roman Italique"/>
          <w:i/>
          <w:iCs/>
          <w:spacing w:val="2"/>
        </w:rPr>
        <w:t>Art. </w:t>
      </w:r>
      <w:r w:rsidR="00563019" w:rsidRPr="00AE1D14">
        <w:rPr>
          <w:rFonts w:ascii="Times New Roman Italique" w:hAnsi="Times New Roman Italique"/>
          <w:i/>
          <w:iCs/>
          <w:spacing w:val="2"/>
        </w:rPr>
        <w:t xml:space="preserve">2 </w:t>
      </w:r>
      <w:r w:rsidR="00D67EB8" w:rsidRPr="00AE1D14">
        <w:rPr>
          <w:rFonts w:ascii="Times New Roman Italique" w:hAnsi="Times New Roman Italique"/>
          <w:i/>
          <w:iCs/>
          <w:spacing w:val="2"/>
        </w:rPr>
        <w:t>Nr. </w:t>
      </w:r>
      <w:r w:rsidR="00563019" w:rsidRPr="00AE1D14">
        <w:rPr>
          <w:rFonts w:ascii="Times New Roman Italique" w:hAnsi="Times New Roman Italique"/>
          <w:i/>
          <w:iCs/>
          <w:spacing w:val="2"/>
        </w:rPr>
        <w:t>1 des G. vom 27. Februar 2019 (B.S. vom 15. März 2019)</w:t>
      </w:r>
      <w:r w:rsidR="00D67EB8" w:rsidRPr="00AE1D14">
        <w:rPr>
          <w:rFonts w:ascii="Times New Roman Italique" w:hAnsi="Times New Roman Italique"/>
          <w:i/>
          <w:iCs/>
          <w:spacing w:val="2"/>
        </w:rPr>
        <w:t> - </w:t>
      </w:r>
      <w:r w:rsidR="00563019" w:rsidRPr="00AE1D14">
        <w:rPr>
          <w:rFonts w:ascii="Times New Roman Italique" w:hAnsi="Times New Roman Italique"/>
          <w:i/>
          <w:iCs/>
          <w:spacing w:val="2"/>
        </w:rPr>
        <w:t>wirksam mit 1. Januar 2019 und anwendbar auf die ab dem 1. Januar 2019 getätigten Zahlungen von Kapitalien</w:t>
      </w:r>
      <w:r w:rsidR="003366D9" w:rsidRPr="00AE1D14">
        <w:rPr>
          <w:rFonts w:ascii="Times New Roman Italique" w:hAnsi="Times New Roman Italique"/>
          <w:i/>
          <w:iCs/>
          <w:spacing w:val="2"/>
        </w:rPr>
        <w:t> -;</w:t>
      </w:r>
      <w:r w:rsidR="00563019" w:rsidRPr="00AE1D14">
        <w:rPr>
          <w:rFonts w:ascii="Times New Roman Italique" w:hAnsi="Times New Roman Italique"/>
          <w:i/>
          <w:iCs/>
          <w:spacing w:val="2"/>
        </w:rPr>
        <w:t xml:space="preserve"> </w:t>
      </w:r>
      <w:r w:rsidRPr="00AE1D14">
        <w:rPr>
          <w:rFonts w:ascii="Times New Roman Italique" w:hAnsi="Times New Roman Italique"/>
          <w:i/>
          <w:iCs/>
          <w:spacing w:val="2"/>
        </w:rPr>
        <w:t xml:space="preserve">einziger Absatz </w:t>
      </w:r>
      <w:r w:rsidR="00D67EB8" w:rsidRPr="00AE1D14">
        <w:rPr>
          <w:rFonts w:ascii="Times New Roman Italique" w:hAnsi="Times New Roman Italique"/>
          <w:i/>
          <w:iCs/>
          <w:spacing w:val="2"/>
        </w:rPr>
        <w:t>Nr. </w:t>
      </w:r>
      <w:r w:rsidRPr="00AE1D14">
        <w:rPr>
          <w:rFonts w:ascii="Times New Roman Italique" w:hAnsi="Times New Roman Italique"/>
          <w:i/>
          <w:iCs/>
          <w:spacing w:val="2"/>
        </w:rPr>
        <w:t xml:space="preserve">2 einziger Absatz Buchstabe c) aufgehoben durch </w:t>
      </w:r>
      <w:r w:rsidR="00D67EB8" w:rsidRPr="00AE1D14">
        <w:rPr>
          <w:rFonts w:ascii="Times New Roman Italique" w:hAnsi="Times New Roman Italique"/>
          <w:i/>
          <w:iCs/>
          <w:spacing w:val="2"/>
        </w:rPr>
        <w:t>Art. </w:t>
      </w:r>
      <w:r w:rsidRPr="00AE1D14">
        <w:rPr>
          <w:rFonts w:ascii="Times New Roman Italique" w:hAnsi="Times New Roman Italique"/>
          <w:i/>
          <w:iCs/>
          <w:spacing w:val="2"/>
        </w:rPr>
        <w:t xml:space="preserve">86 </w:t>
      </w:r>
      <w:r w:rsidR="00D67EB8" w:rsidRPr="00AE1D14">
        <w:rPr>
          <w:rFonts w:ascii="Times New Roman Italique" w:hAnsi="Times New Roman Italique"/>
          <w:i/>
          <w:iCs/>
          <w:spacing w:val="2"/>
        </w:rPr>
        <w:t>Nr. </w:t>
      </w:r>
      <w:r w:rsidRPr="00AE1D14">
        <w:rPr>
          <w:rFonts w:ascii="Times New Roman Italique" w:hAnsi="Times New Roman Italique"/>
          <w:i/>
          <w:iCs/>
          <w:spacing w:val="2"/>
        </w:rPr>
        <w:t xml:space="preserve">5 des G. vom 28. April 2003 </w:t>
      </w:r>
      <w:r w:rsidRPr="00AE1D14">
        <w:rPr>
          <w:i/>
          <w:iCs/>
        </w:rPr>
        <w:t>(B.S. vom 15. Mai 2003)</w:t>
      </w:r>
      <w:r w:rsidR="00D67EB8" w:rsidRPr="00AE1D14">
        <w:rPr>
          <w:i/>
          <w:iCs/>
        </w:rPr>
        <w:t> - </w:t>
      </w:r>
      <w:r w:rsidRPr="00AE1D14">
        <w:rPr>
          <w:i/>
          <w:iCs/>
        </w:rPr>
        <w:t xml:space="preserve">anwendbar auf Leibrenten, Renten, Entschädigungen, andere als in </w:t>
      </w:r>
      <w:r w:rsidR="00D67EB8" w:rsidRPr="00AE1D14">
        <w:rPr>
          <w:i/>
          <w:iCs/>
        </w:rPr>
        <w:t>Art. </w:t>
      </w:r>
      <w:r w:rsidRPr="00AE1D14">
        <w:rPr>
          <w:i/>
          <w:iCs/>
        </w:rPr>
        <w:t xml:space="preserve">23 </w:t>
      </w:r>
      <w:r w:rsidR="00D67EB8" w:rsidRPr="00AE1D14">
        <w:rPr>
          <w:i/>
          <w:iCs/>
        </w:rPr>
        <w:t>§ </w:t>
      </w:r>
      <w:r w:rsidRPr="00AE1D14">
        <w:rPr>
          <w:i/>
          <w:iCs/>
        </w:rPr>
        <w:t xml:space="preserve">3 Buchstabe A </w:t>
      </w:r>
      <w:r w:rsidR="00D67EB8" w:rsidRPr="00AE1D14">
        <w:rPr>
          <w:i/>
          <w:iCs/>
        </w:rPr>
        <w:t>Nr. </w:t>
      </w:r>
      <w:r w:rsidRPr="00AE1D14">
        <w:rPr>
          <w:i/>
          <w:iCs/>
        </w:rPr>
        <w:t>6 erwähnte Kapitalien, Rückkaufswerte von Lebensversicherungs</w:t>
      </w:r>
      <w:r w:rsidRPr="00AE1D14">
        <w:rPr>
          <w:i/>
          <w:iCs/>
        </w:rPr>
        <w:softHyphen/>
        <w:t xml:space="preserve">verträgen, </w:t>
      </w:r>
      <w:r w:rsidRPr="00AE1D14">
        <w:rPr>
          <w:rFonts w:ascii="Times New Roman Italique" w:hAnsi="Times New Roman Italique"/>
          <w:i/>
          <w:iCs/>
          <w:spacing w:val="-2"/>
        </w:rPr>
        <w:t>Pensionen und ergänzende Pensionen, die ab dem 1. Januar 2004 ausgezahlt werden</w:t>
      </w:r>
      <w:r w:rsidR="00FD68E8" w:rsidRPr="00AE1D14">
        <w:rPr>
          <w:rFonts w:ascii="Times New Roman Italique" w:hAnsi="Times New Roman Italique"/>
          <w:i/>
          <w:iCs/>
          <w:spacing w:val="-2"/>
        </w:rPr>
        <w:t> </w:t>
      </w:r>
      <w:r w:rsidR="00FD68E8" w:rsidRPr="00AE1D14">
        <w:rPr>
          <w:rFonts w:ascii="Times New Roman Italique" w:hAnsi="Times New Roman Italique" w:hint="eastAsia"/>
          <w:i/>
          <w:iCs/>
          <w:spacing w:val="-2"/>
        </w:rPr>
        <w:t>-,</w:t>
      </w:r>
      <w:r w:rsidRPr="00AE1D14">
        <w:rPr>
          <w:rFonts w:ascii="Times New Roman Italique" w:hAnsi="Times New Roman Italique"/>
          <w:i/>
          <w:iCs/>
          <w:spacing w:val="-2"/>
        </w:rPr>
        <w:t xml:space="preserve"> wieder aufgenommen durch </w:t>
      </w:r>
      <w:r w:rsidR="00D67EB8" w:rsidRPr="00AE1D14">
        <w:rPr>
          <w:rFonts w:ascii="Times New Roman Italique" w:hAnsi="Times New Roman Italique"/>
          <w:i/>
          <w:iCs/>
          <w:spacing w:val="-2"/>
        </w:rPr>
        <w:t>Art. </w:t>
      </w:r>
      <w:r w:rsidRPr="00AE1D14">
        <w:rPr>
          <w:rFonts w:ascii="Times New Roman Italique" w:hAnsi="Times New Roman Italique"/>
          <w:i/>
          <w:iCs/>
          <w:spacing w:val="-2"/>
        </w:rPr>
        <w:t xml:space="preserve">61 </w:t>
      </w:r>
      <w:r w:rsidR="00D67EB8" w:rsidRPr="00AE1D14">
        <w:rPr>
          <w:rFonts w:ascii="Times New Roman Italique" w:hAnsi="Times New Roman Italique"/>
          <w:i/>
          <w:iCs/>
          <w:spacing w:val="-2"/>
        </w:rPr>
        <w:t>Nr. </w:t>
      </w:r>
      <w:r w:rsidRPr="00AE1D14">
        <w:rPr>
          <w:rFonts w:ascii="Times New Roman Italique" w:hAnsi="Times New Roman Italique"/>
          <w:i/>
          <w:iCs/>
          <w:spacing w:val="-2"/>
        </w:rPr>
        <w:t>2 des G. vom 18. Februar 2018 (B.S. vom 30. März 2018)</w:t>
      </w:r>
      <w:r w:rsidR="00D67EB8" w:rsidRPr="00AE1D14">
        <w:rPr>
          <w:rFonts w:ascii="Times New Roman Italique" w:hAnsi="Times New Roman Italique"/>
          <w:i/>
          <w:iCs/>
          <w:spacing w:val="-2"/>
        </w:rPr>
        <w:t> - </w:t>
      </w:r>
      <w:r w:rsidRPr="00AE1D14">
        <w:rPr>
          <w:rFonts w:ascii="Times New Roman Italique" w:hAnsi="Times New Roman Italique"/>
          <w:i/>
          <w:iCs/>
          <w:spacing w:val="-2"/>
        </w:rPr>
        <w:t>anwendbar ab dem Steuerjahr 2019</w:t>
      </w:r>
      <w:r w:rsidR="00D67EB8" w:rsidRPr="00AE1D14">
        <w:rPr>
          <w:rFonts w:ascii="Times New Roman Italique" w:hAnsi="Times New Roman Italique"/>
          <w:i/>
          <w:iCs/>
          <w:spacing w:val="-2"/>
        </w:rPr>
        <w:t> - </w:t>
      </w:r>
      <w:r w:rsidR="00645469" w:rsidRPr="00AE1D14">
        <w:rPr>
          <w:rFonts w:ascii="Times New Roman Italique" w:hAnsi="Times New Roman Italique"/>
          <w:i/>
          <w:iCs/>
          <w:spacing w:val="-2"/>
        </w:rPr>
        <w:t xml:space="preserve">und abgeändert durch </w:t>
      </w:r>
      <w:r w:rsidR="00D67EB8" w:rsidRPr="00AE1D14">
        <w:rPr>
          <w:rFonts w:ascii="Times New Roman Italique" w:hAnsi="Times New Roman Italique"/>
          <w:i/>
          <w:iCs/>
          <w:spacing w:val="-2"/>
        </w:rPr>
        <w:t>Art. </w:t>
      </w:r>
      <w:r w:rsidR="00645469" w:rsidRPr="00AE1D14">
        <w:rPr>
          <w:rFonts w:ascii="Times New Roman Italique" w:hAnsi="Times New Roman Italique"/>
          <w:i/>
          <w:iCs/>
          <w:spacing w:val="-2"/>
        </w:rPr>
        <w:t>49 des G. vom 6. Dezember 2018 (B.S. vom 27. Dezember 2018)</w:t>
      </w:r>
      <w:r w:rsidR="00D67EB8" w:rsidRPr="00AE1D14">
        <w:rPr>
          <w:rFonts w:ascii="Times New Roman Italique" w:hAnsi="Times New Roman Italique"/>
          <w:i/>
          <w:iCs/>
          <w:spacing w:val="-2"/>
        </w:rPr>
        <w:t> - </w:t>
      </w:r>
      <w:r w:rsidR="00645469" w:rsidRPr="00AE1D14">
        <w:rPr>
          <w:rFonts w:ascii="Times New Roman Italique" w:hAnsi="Times New Roman Italique"/>
          <w:i/>
          <w:iCs/>
          <w:spacing w:val="-2"/>
        </w:rPr>
        <w:t>in Kraft a</w:t>
      </w:r>
      <w:r w:rsidR="009D6F3E" w:rsidRPr="00AE1D14">
        <w:rPr>
          <w:rFonts w:ascii="Times New Roman Italique" w:hAnsi="Times New Roman Italique"/>
          <w:i/>
          <w:iCs/>
          <w:spacing w:val="-2"/>
        </w:rPr>
        <w:t>b</w:t>
      </w:r>
      <w:r w:rsidR="00645469" w:rsidRPr="00AE1D14">
        <w:rPr>
          <w:rFonts w:ascii="Times New Roman Italique" w:hAnsi="Times New Roman Italique"/>
          <w:i/>
          <w:iCs/>
          <w:spacing w:val="-2"/>
        </w:rPr>
        <w:t xml:space="preserve"> dem </w:t>
      </w:r>
      <w:r w:rsidR="00645469" w:rsidRPr="00AE1D14">
        <w:rPr>
          <w:i/>
          <w:iCs/>
        </w:rPr>
        <w:t>Steuerjahr</w:t>
      </w:r>
      <w:r w:rsidR="00563019" w:rsidRPr="00AE1D14">
        <w:rPr>
          <w:i/>
          <w:iCs/>
        </w:rPr>
        <w:t> </w:t>
      </w:r>
      <w:r w:rsidR="00645469" w:rsidRPr="00AE1D14">
        <w:rPr>
          <w:i/>
          <w:iCs/>
        </w:rPr>
        <w:t>2020</w:t>
      </w:r>
      <w:r w:rsidR="003366D9" w:rsidRPr="00AE1D14">
        <w:rPr>
          <w:i/>
          <w:iCs/>
        </w:rPr>
        <w:t> -;</w:t>
      </w:r>
      <w:r w:rsidRPr="00AE1D14">
        <w:rPr>
          <w:i/>
          <w:iCs/>
        </w:rPr>
        <w:t xml:space="preserve"> einziger Absatz </w:t>
      </w:r>
      <w:r w:rsidR="00D67EB8" w:rsidRPr="00AE1D14">
        <w:rPr>
          <w:i/>
          <w:iCs/>
        </w:rPr>
        <w:t>Nr. </w:t>
      </w:r>
      <w:r w:rsidRPr="00AE1D14">
        <w:rPr>
          <w:i/>
          <w:iCs/>
        </w:rPr>
        <w:t xml:space="preserve">2 einziger Absatz Buchstabe d) ersetzt durch </w:t>
      </w:r>
      <w:r w:rsidR="00D67EB8" w:rsidRPr="00AE1D14">
        <w:rPr>
          <w:i/>
          <w:iCs/>
        </w:rPr>
        <w:t>Art. </w:t>
      </w:r>
      <w:r w:rsidRPr="00AE1D14">
        <w:rPr>
          <w:i/>
          <w:iCs/>
        </w:rPr>
        <w:t xml:space="preserve">86 </w:t>
      </w:r>
      <w:r w:rsidR="00D67EB8" w:rsidRPr="00AE1D14">
        <w:rPr>
          <w:i/>
          <w:iCs/>
        </w:rPr>
        <w:t>Nr. </w:t>
      </w:r>
      <w:r w:rsidRPr="00AE1D14">
        <w:rPr>
          <w:i/>
          <w:iCs/>
        </w:rPr>
        <w:t>6 des G. vom 28. April</w:t>
      </w:r>
      <w:r w:rsidR="00252578" w:rsidRPr="00AE1D14">
        <w:rPr>
          <w:i/>
          <w:iCs/>
        </w:rPr>
        <w:t> 2003 (B.S. vom 15. Mai 2003)</w:t>
      </w:r>
      <w:r w:rsidR="00D67EB8" w:rsidRPr="00AE1D14">
        <w:rPr>
          <w:i/>
          <w:iCs/>
        </w:rPr>
        <w:t> - </w:t>
      </w:r>
      <w:r w:rsidRPr="00AE1D14">
        <w:rPr>
          <w:i/>
          <w:iCs/>
        </w:rPr>
        <w:t xml:space="preserve">anwendbar auf Leibrenten, Renten, Entschädigungen, andere als in </w:t>
      </w:r>
      <w:r w:rsidR="00D67EB8" w:rsidRPr="00AE1D14">
        <w:rPr>
          <w:i/>
          <w:iCs/>
        </w:rPr>
        <w:t>Art. </w:t>
      </w:r>
      <w:r w:rsidRPr="00AE1D14">
        <w:rPr>
          <w:i/>
          <w:iCs/>
        </w:rPr>
        <w:t xml:space="preserve">23 </w:t>
      </w:r>
      <w:r w:rsidR="00D67EB8" w:rsidRPr="00AE1D14">
        <w:rPr>
          <w:i/>
          <w:iCs/>
        </w:rPr>
        <w:t>§ </w:t>
      </w:r>
      <w:r w:rsidRPr="00AE1D14">
        <w:rPr>
          <w:i/>
          <w:iCs/>
        </w:rPr>
        <w:t xml:space="preserve">3 Buchstabe A </w:t>
      </w:r>
      <w:r w:rsidR="00D67EB8" w:rsidRPr="00AE1D14">
        <w:rPr>
          <w:i/>
          <w:iCs/>
        </w:rPr>
        <w:t>Nr. </w:t>
      </w:r>
      <w:r w:rsidRPr="00AE1D14">
        <w:rPr>
          <w:i/>
          <w:iCs/>
        </w:rPr>
        <w:t>6 erwähnte Kapitalien, Rückkaufswerte von Lebensversicherungs</w:t>
      </w:r>
      <w:r w:rsidRPr="00AE1D14">
        <w:rPr>
          <w:i/>
          <w:iCs/>
        </w:rPr>
        <w:softHyphen/>
        <w:t>verträgen, Pensionen und ergänzende Pensionen, die ab dem 1. Januar 2004 ausgezahlt werden</w:t>
      </w:r>
      <w:r w:rsidR="00D67EB8" w:rsidRPr="00AE1D14">
        <w:rPr>
          <w:i/>
          <w:iCs/>
        </w:rPr>
        <w:t> - </w:t>
      </w:r>
      <w:r w:rsidRPr="00AE1D14">
        <w:rPr>
          <w:i/>
          <w:iCs/>
        </w:rPr>
        <w:t xml:space="preserve">und abgeändert durch </w:t>
      </w:r>
      <w:r w:rsidR="00D67EB8" w:rsidRPr="00AE1D14">
        <w:rPr>
          <w:i/>
          <w:iCs/>
        </w:rPr>
        <w:t>Art. </w:t>
      </w:r>
      <w:r w:rsidRPr="00AE1D14">
        <w:rPr>
          <w:i/>
          <w:iCs/>
        </w:rPr>
        <w:t>402 des G. vom 27. Dezember 2004 (B.S. vom 31. Dezember 2004)</w:t>
      </w:r>
      <w:r w:rsidR="00D67EB8" w:rsidRPr="00AE1D14">
        <w:rPr>
          <w:i/>
          <w:iCs/>
        </w:rPr>
        <w:t> - </w:t>
      </w:r>
      <w:r w:rsidRPr="00AE1D14">
        <w:rPr>
          <w:i/>
          <w:iCs/>
        </w:rPr>
        <w:t>anwendbar auf Hypotheken</w:t>
      </w:r>
      <w:r w:rsidRPr="00AE1D14">
        <w:rPr>
          <w:i/>
          <w:iCs/>
        </w:rPr>
        <w:softHyphen/>
        <w:t xml:space="preserve">anleihen, die ab dem 1. Januar 2005 aufgenommen werden zwecks Erwerb oder Erhalt der Wohnung erwähnt in Artikel 104 </w:t>
      </w:r>
      <w:r w:rsidR="00D67EB8" w:rsidRPr="00AE1D14">
        <w:rPr>
          <w:i/>
          <w:iCs/>
        </w:rPr>
        <w:t>Nr. </w:t>
      </w:r>
      <w:r w:rsidRPr="00AE1D14">
        <w:rPr>
          <w:i/>
          <w:iCs/>
        </w:rPr>
        <w:t>9 des Einkommensteuer</w:t>
      </w:r>
      <w:r w:rsidRPr="00AE1D14">
        <w:rPr>
          <w:i/>
          <w:iCs/>
        </w:rPr>
        <w:softHyphen/>
        <w:t>gesetzbuches 1992, so wie er durch Artikel 394 des Programmgesetzes abgeändert worden ist, und auf Lebens</w:t>
      </w:r>
      <w:r w:rsidRPr="00AE1D14">
        <w:rPr>
          <w:i/>
          <w:iCs/>
        </w:rPr>
        <w:softHyphen/>
        <w:t>versicherungs</w:t>
      </w:r>
      <w:r w:rsidRPr="00AE1D14">
        <w:rPr>
          <w:i/>
          <w:iCs/>
        </w:rPr>
        <w:softHyphen/>
        <w:t>verträge, die ausschließlich für die Wiederherstellung einer solchen oder als Sicherheit für eine solche Hypothekenanleihe dienen</w:t>
      </w:r>
      <w:r w:rsidR="00D67EB8" w:rsidRPr="00AE1D14">
        <w:rPr>
          <w:i/>
          <w:iCs/>
        </w:rPr>
        <w:t> - </w:t>
      </w:r>
      <w:r w:rsidRPr="00AE1D14">
        <w:rPr>
          <w:i/>
          <w:iCs/>
        </w:rPr>
        <w:t xml:space="preserve">und </w:t>
      </w:r>
      <w:r w:rsidR="00D67EB8" w:rsidRPr="00AE1D14">
        <w:rPr>
          <w:i/>
          <w:iCs/>
        </w:rPr>
        <w:t>Art. </w:t>
      </w:r>
      <w:r w:rsidRPr="00AE1D14">
        <w:rPr>
          <w:i/>
          <w:iCs/>
        </w:rPr>
        <w:t xml:space="preserve">67 </w:t>
      </w:r>
      <w:r w:rsidR="00D67EB8" w:rsidRPr="00AE1D14">
        <w:rPr>
          <w:i/>
          <w:iCs/>
        </w:rPr>
        <w:t>Nr. </w:t>
      </w:r>
      <w:r w:rsidRPr="00AE1D14">
        <w:rPr>
          <w:i/>
          <w:iCs/>
        </w:rPr>
        <w:t>2</w:t>
      </w:r>
      <w:r w:rsidRPr="00AE1D14">
        <w:rPr>
          <w:i/>
        </w:rPr>
        <w:t xml:space="preserve"> des G. vom 8. Mai 2014 (B.S. vom 28. Mai 2014)</w:t>
      </w:r>
      <w:r w:rsidR="00D67EB8" w:rsidRPr="00AE1D14">
        <w:rPr>
          <w:i/>
        </w:rPr>
        <w:t> - </w:t>
      </w:r>
      <w:r w:rsidRPr="00AE1D14">
        <w:rPr>
          <w:i/>
          <w:iCs/>
        </w:rPr>
        <w:t>anwendbar ab dem Steuerjahr 2015</w:t>
      </w:r>
      <w:r w:rsidR="003366D9" w:rsidRPr="00AE1D14">
        <w:rPr>
          <w:i/>
          <w:iCs/>
        </w:rPr>
        <w:t> -;</w:t>
      </w:r>
      <w:r w:rsidRPr="00AE1D14">
        <w:rPr>
          <w:i/>
          <w:iCs/>
        </w:rPr>
        <w:t xml:space="preserve"> einziger Absatz </w:t>
      </w:r>
      <w:r w:rsidR="00D67EB8" w:rsidRPr="00AE1D14">
        <w:rPr>
          <w:i/>
          <w:iCs/>
        </w:rPr>
        <w:t>Nr. </w:t>
      </w:r>
      <w:r w:rsidRPr="00AE1D14">
        <w:rPr>
          <w:i/>
          <w:iCs/>
        </w:rPr>
        <w:t xml:space="preserve">2 einziger Absatz Buchstabe e) aufgehoben durch </w:t>
      </w:r>
      <w:r w:rsidR="00D67EB8" w:rsidRPr="00AE1D14">
        <w:rPr>
          <w:i/>
          <w:iCs/>
        </w:rPr>
        <w:lastRenderedPageBreak/>
        <w:t>Art. </w:t>
      </w:r>
      <w:r w:rsidRPr="00AE1D14">
        <w:rPr>
          <w:i/>
          <w:iCs/>
        </w:rPr>
        <w:t>109 Buchstabe c) des G. vom 19. Dezember 20</w:t>
      </w:r>
      <w:r w:rsidR="008839ED" w:rsidRPr="00AE1D14">
        <w:rPr>
          <w:i/>
          <w:iCs/>
        </w:rPr>
        <w:t>14 (B.S. vom 29. Dezember 2014)</w:t>
      </w:r>
      <w:r w:rsidR="00D67EB8" w:rsidRPr="00AE1D14">
        <w:rPr>
          <w:i/>
          <w:iCs/>
        </w:rPr>
        <w:t> - </w:t>
      </w:r>
      <w:r w:rsidRPr="00AE1D14">
        <w:rPr>
          <w:i/>
          <w:iCs/>
        </w:rPr>
        <w:t>anwendbar ab dem Steuerjahr 2016</w:t>
      </w:r>
      <w:r w:rsidR="003366D9" w:rsidRPr="00AE1D14">
        <w:rPr>
          <w:i/>
          <w:iCs/>
        </w:rPr>
        <w:t> -;</w:t>
      </w:r>
      <w:r w:rsidRPr="00AE1D14">
        <w:rPr>
          <w:i/>
          <w:iCs/>
        </w:rPr>
        <w:t xml:space="preserve"> einziger Absatz </w:t>
      </w:r>
      <w:r w:rsidR="00D67EB8" w:rsidRPr="00AE1D14">
        <w:rPr>
          <w:i/>
          <w:iCs/>
        </w:rPr>
        <w:t>Nr. </w:t>
      </w:r>
      <w:r w:rsidRPr="00AE1D14">
        <w:rPr>
          <w:i/>
          <w:iCs/>
        </w:rPr>
        <w:t xml:space="preserve">2 einziger Absatz Buchstabe f) eingefügt durch </w:t>
      </w:r>
      <w:r w:rsidR="00D67EB8" w:rsidRPr="00AE1D14">
        <w:rPr>
          <w:i/>
          <w:iCs/>
        </w:rPr>
        <w:t>Art. </w:t>
      </w:r>
      <w:r w:rsidRPr="00AE1D14">
        <w:rPr>
          <w:i/>
          <w:iCs/>
        </w:rPr>
        <w:t>5 des G. vom 24. Dezember 2002</w:t>
      </w:r>
      <w:r w:rsidR="00D85DB4" w:rsidRPr="00AE1D14">
        <w:rPr>
          <w:i/>
          <w:iCs/>
        </w:rPr>
        <w:t> </w:t>
      </w:r>
      <w:r w:rsidRPr="00AE1D14">
        <w:rPr>
          <w:i/>
          <w:iCs/>
        </w:rPr>
        <w:t>(II) (B.S.</w:t>
      </w:r>
      <w:r w:rsidR="00D85DB4" w:rsidRPr="00AE1D14">
        <w:rPr>
          <w:i/>
          <w:iCs/>
        </w:rPr>
        <w:t xml:space="preserve"> </w:t>
      </w:r>
      <w:r w:rsidRPr="00AE1D14">
        <w:rPr>
          <w:i/>
          <w:iCs/>
        </w:rPr>
        <w:t>vom 31. Dezember 2002)</w:t>
      </w:r>
      <w:r w:rsidR="00D67EB8" w:rsidRPr="00AE1D14">
        <w:rPr>
          <w:i/>
          <w:iCs/>
        </w:rPr>
        <w:t> - </w:t>
      </w:r>
      <w:r w:rsidRPr="00AE1D14">
        <w:rPr>
          <w:i/>
          <w:iCs/>
        </w:rPr>
        <w:t xml:space="preserve">anwendbar auf Einkünfte, die zuerkannt oder ausgeschüttet werden, oder als solche anzusehen sind ab dem 1. Januar 2002, insofern, wenn es sich um in </w:t>
      </w:r>
      <w:r w:rsidR="00D67EB8" w:rsidRPr="00AE1D14">
        <w:rPr>
          <w:i/>
          <w:iCs/>
        </w:rPr>
        <w:t>Art. </w:t>
      </w:r>
      <w:r w:rsidRPr="00AE1D14">
        <w:rPr>
          <w:i/>
          <w:iCs/>
        </w:rPr>
        <w:t>209 des Einkommensteuergesetzbuches 1992 erwähnte Verrichtungen handelt, die Liquidation nicht vor dem 25. März 2002 beendet wurde</w:t>
      </w:r>
      <w:r w:rsidR="00D67EB8" w:rsidRPr="00AE1D14">
        <w:rPr>
          <w:i/>
          <w:iCs/>
        </w:rPr>
        <w:t> - </w:t>
      </w:r>
      <w:r w:rsidRPr="00AE1D14">
        <w:rPr>
          <w:i/>
          <w:iCs/>
        </w:rPr>
        <w:t xml:space="preserve">und aufgehoben durch </w:t>
      </w:r>
      <w:r w:rsidR="00D67EB8" w:rsidRPr="00AE1D14">
        <w:rPr>
          <w:i/>
          <w:iCs/>
        </w:rPr>
        <w:t>Art. </w:t>
      </w:r>
      <w:r w:rsidRPr="00AE1D14">
        <w:rPr>
          <w:i/>
          <w:iCs/>
        </w:rPr>
        <w:t>3 Buchstabe a) des G. vom 28. Juni</w:t>
      </w:r>
      <w:r w:rsidR="00252578" w:rsidRPr="00AE1D14">
        <w:rPr>
          <w:i/>
          <w:iCs/>
        </w:rPr>
        <w:t> 2013 (B.S. vom 1. Juli 2013)</w:t>
      </w:r>
      <w:r w:rsidR="00D67EB8" w:rsidRPr="00AE1D14">
        <w:rPr>
          <w:i/>
          <w:iCs/>
        </w:rPr>
        <w:t> - </w:t>
      </w:r>
      <w:r w:rsidRPr="00AE1D14">
        <w:rPr>
          <w:i/>
          <w:iCs/>
        </w:rPr>
        <w:t>anwendbar auf die ab dem 1. Oktober 2014 zuerkannten oder ausgeschütteten Einkünfte</w:t>
      </w:r>
      <w:r w:rsidR="003366D9" w:rsidRPr="00AE1D14">
        <w:rPr>
          <w:i/>
          <w:iCs/>
        </w:rPr>
        <w:t> -;</w:t>
      </w:r>
      <w:r w:rsidRPr="00AE1D14">
        <w:rPr>
          <w:i/>
          <w:iCs/>
        </w:rPr>
        <w:t xml:space="preserve"> einziger Absatz </w:t>
      </w:r>
      <w:r w:rsidR="00D67EB8" w:rsidRPr="00AE1D14">
        <w:rPr>
          <w:i/>
          <w:iCs/>
        </w:rPr>
        <w:t>Nr. </w:t>
      </w:r>
      <w:r w:rsidRPr="00AE1D14">
        <w:rPr>
          <w:i/>
          <w:iCs/>
        </w:rPr>
        <w:t xml:space="preserve">2bis eingefügt durch </w:t>
      </w:r>
      <w:r w:rsidR="00D67EB8" w:rsidRPr="00AE1D14">
        <w:rPr>
          <w:i/>
          <w:iCs/>
        </w:rPr>
        <w:t>Art. </w:t>
      </w:r>
      <w:r w:rsidRPr="00AE1D14">
        <w:rPr>
          <w:i/>
          <w:iCs/>
        </w:rPr>
        <w:t xml:space="preserve">30 </w:t>
      </w:r>
      <w:r w:rsidR="00D67EB8" w:rsidRPr="00AE1D14">
        <w:rPr>
          <w:i/>
          <w:iCs/>
        </w:rPr>
        <w:t>Nr. </w:t>
      </w:r>
      <w:r w:rsidRPr="00AE1D14">
        <w:rPr>
          <w:i/>
          <w:iCs/>
        </w:rPr>
        <w:t>2 des G. vom 24. Dezember 1993 (B.S. vom 31. Dezember 1993)</w:t>
      </w:r>
      <w:r w:rsidR="00D67EB8" w:rsidRPr="00AE1D14">
        <w:rPr>
          <w:i/>
          <w:iCs/>
        </w:rPr>
        <w:t> - </w:t>
      </w:r>
      <w:r w:rsidRPr="00AE1D14">
        <w:rPr>
          <w:i/>
          <w:iCs/>
        </w:rPr>
        <w:t>anwendbar ab dem Steuerjahr 1995</w:t>
      </w:r>
      <w:r w:rsidR="00D67EB8" w:rsidRPr="00AE1D14">
        <w:rPr>
          <w:i/>
          <w:iCs/>
        </w:rPr>
        <w:t> - </w:t>
      </w:r>
      <w:r w:rsidRPr="00AE1D14">
        <w:rPr>
          <w:i/>
          <w:iCs/>
        </w:rPr>
        <w:t xml:space="preserve">und ersetzt durch </w:t>
      </w:r>
      <w:r w:rsidR="00D67EB8" w:rsidRPr="00AE1D14">
        <w:rPr>
          <w:i/>
          <w:iCs/>
        </w:rPr>
        <w:t>Art. </w:t>
      </w:r>
      <w:r w:rsidR="008D35CF" w:rsidRPr="00AE1D14">
        <w:rPr>
          <w:i/>
          <w:iCs/>
        </w:rPr>
        <w:t>103</w:t>
      </w:r>
      <w:r w:rsidR="008D35CF" w:rsidRPr="00AE1D14">
        <w:rPr>
          <w:bCs/>
          <w:i/>
          <w:iCs/>
        </w:rPr>
        <w:t xml:space="preserve"> des G. vom 26. Dezember 2022</w:t>
      </w:r>
      <w:r w:rsidR="00236038" w:rsidRPr="00AE1D14">
        <w:rPr>
          <w:bCs/>
          <w:i/>
          <w:iCs/>
        </w:rPr>
        <w:t> (I)</w:t>
      </w:r>
      <w:r w:rsidR="008D35CF" w:rsidRPr="00AE1D14">
        <w:rPr>
          <w:bCs/>
          <w:i/>
          <w:iCs/>
        </w:rPr>
        <w:t xml:space="preserve"> (B.S. vom 30. Dezember 2022) - in Kraft am 1. Januar 2023 und anwendbar auf die ab dem 1. Januar 2023 gezahlten oder zuerkannten Einkünfte -</w:t>
      </w:r>
      <w:r w:rsidR="003366D9" w:rsidRPr="00AE1D14">
        <w:rPr>
          <w:i/>
          <w:iCs/>
        </w:rPr>
        <w:t>;</w:t>
      </w:r>
      <w:r w:rsidRPr="00AE1D14">
        <w:rPr>
          <w:i/>
          <w:iCs/>
        </w:rPr>
        <w:t xml:space="preserve"> einziger Absatz </w:t>
      </w:r>
      <w:r w:rsidR="00D67EB8" w:rsidRPr="00AE1D14">
        <w:rPr>
          <w:i/>
          <w:iCs/>
        </w:rPr>
        <w:t>Nr. </w:t>
      </w:r>
      <w:r w:rsidRPr="00AE1D14">
        <w:rPr>
          <w:i/>
          <w:iCs/>
        </w:rPr>
        <w:t xml:space="preserve">2ter eingefügt durch </w:t>
      </w:r>
      <w:r w:rsidR="00D67EB8" w:rsidRPr="00AE1D14">
        <w:rPr>
          <w:i/>
          <w:iCs/>
        </w:rPr>
        <w:t>Art. </w:t>
      </w:r>
      <w:r w:rsidRPr="00AE1D14">
        <w:rPr>
          <w:i/>
          <w:iCs/>
        </w:rPr>
        <w:t xml:space="preserve">27 </w:t>
      </w:r>
      <w:r w:rsidR="00D67EB8" w:rsidRPr="00AE1D14">
        <w:rPr>
          <w:i/>
          <w:iCs/>
        </w:rPr>
        <w:t>Nr. </w:t>
      </w:r>
      <w:r w:rsidRPr="00AE1D14">
        <w:rPr>
          <w:i/>
          <w:iCs/>
        </w:rPr>
        <w:t>3 des G. vom 28. Dezember 2011 (B.S. vom 30. Dezember 2011)</w:t>
      </w:r>
      <w:r w:rsidR="00D67EB8" w:rsidRPr="00AE1D14">
        <w:rPr>
          <w:i/>
          <w:iCs/>
        </w:rPr>
        <w:t> - </w:t>
      </w:r>
      <w:r w:rsidRPr="00AE1D14">
        <w:rPr>
          <w:i/>
          <w:iCs/>
        </w:rPr>
        <w:t>anwendbar auf die ab dem 1. Januar 2012 zuerkannten oder ausgeschütteten Einkünfte</w:t>
      </w:r>
      <w:r w:rsidR="00D67EB8" w:rsidRPr="00AE1D14">
        <w:rPr>
          <w:i/>
          <w:iCs/>
        </w:rPr>
        <w:t> - </w:t>
      </w:r>
      <w:r w:rsidRPr="00AE1D14">
        <w:rPr>
          <w:i/>
          <w:iCs/>
        </w:rPr>
        <w:t xml:space="preserve">und aufgehoben durch </w:t>
      </w:r>
      <w:r w:rsidR="00D67EB8" w:rsidRPr="00AE1D14">
        <w:rPr>
          <w:i/>
          <w:iCs/>
        </w:rPr>
        <w:t>Art. </w:t>
      </w:r>
      <w:r w:rsidRPr="00AE1D14">
        <w:rPr>
          <w:i/>
          <w:iCs/>
        </w:rPr>
        <w:t>80 Buchstabe b) des G. vom 27. Dezember 2012 (B.S. vom 31. Dezember 2012)</w:t>
      </w:r>
      <w:r w:rsidR="00D67EB8" w:rsidRPr="00AE1D14">
        <w:rPr>
          <w:i/>
          <w:iCs/>
        </w:rPr>
        <w:t> - </w:t>
      </w:r>
      <w:r w:rsidRPr="00AE1D14">
        <w:rPr>
          <w:i/>
          <w:iCs/>
        </w:rPr>
        <w:t>anwendbar auf die ab dem 1. Januar 2013 zuerkannten oder ausgeschütteten Einkünfte</w:t>
      </w:r>
      <w:r w:rsidR="003366D9" w:rsidRPr="00AE1D14">
        <w:rPr>
          <w:i/>
          <w:iCs/>
        </w:rPr>
        <w:t> -;</w:t>
      </w:r>
      <w:r w:rsidRPr="00AE1D14">
        <w:rPr>
          <w:i/>
          <w:iCs/>
        </w:rPr>
        <w:t xml:space="preserve"> einziger Absatz </w:t>
      </w:r>
      <w:r w:rsidR="00D67EB8" w:rsidRPr="00AE1D14">
        <w:rPr>
          <w:i/>
          <w:iCs/>
        </w:rPr>
        <w:t>Nr. </w:t>
      </w:r>
      <w:r w:rsidRPr="00AE1D14">
        <w:rPr>
          <w:i/>
          <w:iCs/>
        </w:rPr>
        <w:t xml:space="preserve">2quater eingefügt durch </w:t>
      </w:r>
      <w:r w:rsidR="00D67EB8" w:rsidRPr="00AE1D14">
        <w:rPr>
          <w:i/>
          <w:iCs/>
        </w:rPr>
        <w:t>Art. </w:t>
      </w:r>
      <w:r w:rsidRPr="00AE1D14">
        <w:rPr>
          <w:i/>
          <w:iCs/>
        </w:rPr>
        <w:t xml:space="preserve">64 </w:t>
      </w:r>
      <w:r w:rsidR="00D67EB8" w:rsidRPr="00AE1D14">
        <w:rPr>
          <w:i/>
          <w:iCs/>
        </w:rPr>
        <w:t>Nr. </w:t>
      </w:r>
      <w:r w:rsidRPr="00AE1D14">
        <w:rPr>
          <w:i/>
          <w:iCs/>
        </w:rPr>
        <w:t>3 des G. vom 22. Juni 2012 (B.S. vom 28. Juni 2012)</w:t>
      </w:r>
      <w:r w:rsidR="00D67EB8" w:rsidRPr="00AE1D14">
        <w:rPr>
          <w:i/>
          <w:iCs/>
        </w:rPr>
        <w:t> - </w:t>
      </w:r>
      <w:r w:rsidRPr="00AE1D14">
        <w:rPr>
          <w:i/>
          <w:iCs/>
        </w:rPr>
        <w:t>anwendbar auf die ab dem 1. Juli 2013 gezahlten oder zuerkannten Kapitalien und Rückkaufswerte</w:t>
      </w:r>
      <w:r w:rsidR="003366D9" w:rsidRPr="00AE1D14">
        <w:rPr>
          <w:i/>
          <w:iCs/>
        </w:rPr>
        <w:t> -;</w:t>
      </w:r>
      <w:r w:rsidRPr="00AE1D14">
        <w:rPr>
          <w:i/>
          <w:iCs/>
        </w:rPr>
        <w:t xml:space="preserve"> einziger Absatz </w:t>
      </w:r>
      <w:r w:rsidR="00D67EB8" w:rsidRPr="00AE1D14">
        <w:rPr>
          <w:i/>
          <w:iCs/>
        </w:rPr>
        <w:t>Nr. </w:t>
      </w:r>
      <w:r w:rsidRPr="00AE1D14">
        <w:rPr>
          <w:i/>
          <w:iCs/>
        </w:rPr>
        <w:t xml:space="preserve">3 ersetzt durch </w:t>
      </w:r>
      <w:r w:rsidR="00D67EB8" w:rsidRPr="00AE1D14">
        <w:rPr>
          <w:i/>
          <w:iCs/>
        </w:rPr>
        <w:t>Art. </w:t>
      </w:r>
      <w:r w:rsidRPr="00AE1D14">
        <w:rPr>
          <w:i/>
          <w:iCs/>
        </w:rPr>
        <w:t>80 Buchstabe c) des G. vom 27. Dezember 2012 (B.S. vom 31. Dezember 2012)</w:t>
      </w:r>
      <w:r w:rsidR="00D67EB8" w:rsidRPr="00AE1D14">
        <w:rPr>
          <w:i/>
          <w:iCs/>
        </w:rPr>
        <w:t> - </w:t>
      </w:r>
      <w:r w:rsidRPr="00AE1D14">
        <w:rPr>
          <w:i/>
          <w:iCs/>
        </w:rPr>
        <w:t>anwendbar auf die ab dem 1. Januar 2013 zuerkannten oder ausgeschütteten Einkünfte</w:t>
      </w:r>
      <w:r w:rsidR="00D67EB8" w:rsidRPr="00AE1D14">
        <w:rPr>
          <w:i/>
          <w:iCs/>
        </w:rPr>
        <w:t> - </w:t>
      </w:r>
      <w:r w:rsidRPr="00AE1D14">
        <w:rPr>
          <w:i/>
          <w:iCs/>
        </w:rPr>
        <w:t xml:space="preserve">und abgeändert durch </w:t>
      </w:r>
      <w:r w:rsidR="00D67EB8" w:rsidRPr="00AE1D14">
        <w:rPr>
          <w:i/>
          <w:iCs/>
        </w:rPr>
        <w:t>Art. </w:t>
      </w:r>
      <w:r w:rsidRPr="00AE1D14">
        <w:rPr>
          <w:i/>
          <w:iCs/>
        </w:rPr>
        <w:t>43 Buchstabe a) des G. vom 19. Dezember 2014 (B.S. vom 29. Dezember 2014)</w:t>
      </w:r>
      <w:r w:rsidR="00D67EB8" w:rsidRPr="00AE1D14">
        <w:rPr>
          <w:i/>
          <w:iCs/>
        </w:rPr>
        <w:t> - </w:t>
      </w:r>
      <w:r w:rsidRPr="00AE1D14">
        <w:rPr>
          <w:i/>
          <w:iCs/>
        </w:rPr>
        <w:t>anwendbar auf die ab dem 1. Januar 2015 zuerkannten oder ausgeschütteten Einkünfte</w:t>
      </w:r>
      <w:r w:rsidR="00FD68E8" w:rsidRPr="00AE1D14">
        <w:rPr>
          <w:i/>
          <w:iCs/>
        </w:rPr>
        <w:t> -,</w:t>
      </w:r>
      <w:r w:rsidRPr="00AE1D14">
        <w:rPr>
          <w:i/>
          <w:iCs/>
        </w:rPr>
        <w:t xml:space="preserve"> </w:t>
      </w:r>
      <w:r w:rsidR="00D67EB8" w:rsidRPr="00AE1D14">
        <w:rPr>
          <w:i/>
          <w:iCs/>
        </w:rPr>
        <w:t>Art. </w:t>
      </w:r>
      <w:r w:rsidRPr="00AE1D14">
        <w:rPr>
          <w:i/>
          <w:iCs/>
        </w:rPr>
        <w:t xml:space="preserve">67 </w:t>
      </w:r>
      <w:r w:rsidR="00D67EB8" w:rsidRPr="00AE1D14">
        <w:rPr>
          <w:i/>
          <w:iCs/>
        </w:rPr>
        <w:t>Nr. </w:t>
      </w:r>
      <w:r w:rsidRPr="00AE1D14">
        <w:rPr>
          <w:i/>
          <w:iCs/>
        </w:rPr>
        <w:t>4 des G. vom 26. Dezember 2015 (II) (B.S. vom 30. Dezember 2015)</w:t>
      </w:r>
      <w:r w:rsidR="00D67EB8" w:rsidRPr="00AE1D14">
        <w:rPr>
          <w:i/>
          <w:iCs/>
        </w:rPr>
        <w:t> - </w:t>
      </w:r>
      <w:r w:rsidRPr="00AE1D14">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AE1D14">
        <w:rPr>
          <w:i/>
          <w:iCs/>
        </w:rPr>
        <w:t> -,</w:t>
      </w:r>
      <w:r w:rsidRPr="00AE1D14">
        <w:rPr>
          <w:i/>
          <w:iCs/>
        </w:rPr>
        <w:t xml:space="preserve"> </w:t>
      </w:r>
      <w:r w:rsidR="00D67EB8" w:rsidRPr="00AE1D14">
        <w:rPr>
          <w:i/>
          <w:iCs/>
        </w:rPr>
        <w:t>Art. </w:t>
      </w:r>
      <w:r w:rsidRPr="00AE1D14">
        <w:rPr>
          <w:i/>
          <w:iCs/>
        </w:rPr>
        <w:t xml:space="preserve">91 </w:t>
      </w:r>
      <w:r w:rsidR="00D67EB8" w:rsidRPr="00AE1D14">
        <w:rPr>
          <w:i/>
          <w:iCs/>
        </w:rPr>
        <w:t>Nr. </w:t>
      </w:r>
      <w:r w:rsidRPr="00AE1D14">
        <w:rPr>
          <w:i/>
          <w:iCs/>
        </w:rPr>
        <w:t>1 des G. vom 26. Dezember 2015 (II) (B.S. vom 30. Dezember 2015)</w:t>
      </w:r>
      <w:r w:rsidR="00D67EB8" w:rsidRPr="00AE1D14">
        <w:rPr>
          <w:i/>
          <w:iCs/>
        </w:rPr>
        <w:t> - </w:t>
      </w:r>
      <w:r w:rsidRPr="00AE1D14">
        <w:rPr>
          <w:i/>
          <w:iCs/>
        </w:rPr>
        <w:t>anwendbar auf die ab dem 1. Januar 2016 gezahlten oder zuerkannten Einkünfte</w:t>
      </w:r>
      <w:r w:rsidR="00D67EB8" w:rsidRPr="00AE1D14">
        <w:rPr>
          <w:i/>
          <w:iCs/>
        </w:rPr>
        <w:t> - </w:t>
      </w:r>
      <w:r w:rsidRPr="00AE1D14">
        <w:rPr>
          <w:i/>
          <w:iCs/>
        </w:rPr>
        <w:t xml:space="preserve">und </w:t>
      </w:r>
      <w:r w:rsidR="00D67EB8" w:rsidRPr="00AE1D14">
        <w:rPr>
          <w:i/>
          <w:iCs/>
        </w:rPr>
        <w:t>Art. </w:t>
      </w:r>
      <w:r w:rsidRPr="00AE1D14">
        <w:rPr>
          <w:i/>
          <w:iCs/>
        </w:rPr>
        <w:t xml:space="preserve">93 </w:t>
      </w:r>
      <w:r w:rsidR="00D67EB8" w:rsidRPr="00AE1D14">
        <w:rPr>
          <w:i/>
          <w:iCs/>
        </w:rPr>
        <w:t>Nr. </w:t>
      </w:r>
      <w:r w:rsidRPr="00AE1D14">
        <w:rPr>
          <w:i/>
          <w:iCs/>
        </w:rPr>
        <w:t>1</w:t>
      </w:r>
      <w:r w:rsidRPr="00AE1D14">
        <w:rPr>
          <w:i/>
        </w:rPr>
        <w:t xml:space="preserve"> des G. vom 25. Dezember 2016 (I) (B.S. vom 29. Dezember 2016)</w:t>
      </w:r>
      <w:r w:rsidR="00D67EB8" w:rsidRPr="00AE1D14">
        <w:rPr>
          <w:i/>
        </w:rPr>
        <w:t> - </w:t>
      </w:r>
      <w:r w:rsidRPr="00AE1D14">
        <w:rPr>
          <w:i/>
        </w:rPr>
        <w:t>in Kraft am 1. Januar 2017 und anwendbar auf die ab dem 1. Januar 2017 gezahlten oder zuerkannten Einkünfte</w:t>
      </w:r>
      <w:r w:rsidR="003366D9" w:rsidRPr="00AE1D14">
        <w:rPr>
          <w:i/>
        </w:rPr>
        <w:t> -;</w:t>
      </w:r>
      <w:r w:rsidRPr="00AE1D14">
        <w:rPr>
          <w:i/>
          <w:iCs/>
        </w:rPr>
        <w:t xml:space="preserve"> einziger Absatz </w:t>
      </w:r>
      <w:r w:rsidR="00D67EB8" w:rsidRPr="00AE1D14">
        <w:rPr>
          <w:i/>
          <w:iCs/>
        </w:rPr>
        <w:t>Nr. </w:t>
      </w:r>
      <w:r w:rsidRPr="00AE1D14">
        <w:rPr>
          <w:i/>
          <w:iCs/>
        </w:rPr>
        <w:t xml:space="preserve">3bis eingefügt durch </w:t>
      </w:r>
      <w:r w:rsidR="00D67EB8" w:rsidRPr="00AE1D14">
        <w:rPr>
          <w:i/>
          <w:iCs/>
        </w:rPr>
        <w:t>Art. </w:t>
      </w:r>
      <w:r w:rsidRPr="00AE1D14">
        <w:rPr>
          <w:i/>
          <w:iCs/>
        </w:rPr>
        <w:t xml:space="preserve">13 </w:t>
      </w:r>
      <w:r w:rsidR="00D67EB8" w:rsidRPr="00AE1D14">
        <w:rPr>
          <w:i/>
          <w:iCs/>
        </w:rPr>
        <w:t>Nr. </w:t>
      </w:r>
      <w:r w:rsidRPr="00AE1D14">
        <w:rPr>
          <w:i/>
          <w:iCs/>
        </w:rPr>
        <w:t>3 des G. vom 30. März 1994 (B.S. vom 31. März 1994)</w:t>
      </w:r>
      <w:r w:rsidR="00D67EB8" w:rsidRPr="00AE1D14">
        <w:rPr>
          <w:i/>
          <w:iCs/>
        </w:rPr>
        <w:t> - </w:t>
      </w:r>
      <w:r w:rsidRPr="00AE1D14">
        <w:rPr>
          <w:i/>
          <w:iCs/>
        </w:rPr>
        <w:t>anwendbar ab dem Steuerjahr 1995</w:t>
      </w:r>
      <w:r w:rsidR="00FD68E8" w:rsidRPr="00AE1D14">
        <w:rPr>
          <w:i/>
          <w:iCs/>
        </w:rPr>
        <w:t> -,</w:t>
      </w:r>
      <w:r w:rsidRPr="00AE1D14">
        <w:rPr>
          <w:i/>
          <w:iCs/>
        </w:rPr>
        <w:t xml:space="preserve"> aufgehoben durch </w:t>
      </w:r>
      <w:r w:rsidR="00D67EB8" w:rsidRPr="00AE1D14">
        <w:rPr>
          <w:i/>
          <w:iCs/>
        </w:rPr>
        <w:t>Art. </w:t>
      </w:r>
      <w:r w:rsidRPr="00AE1D14">
        <w:rPr>
          <w:i/>
          <w:iCs/>
        </w:rPr>
        <w:t xml:space="preserve">27 </w:t>
      </w:r>
      <w:r w:rsidR="00D67EB8" w:rsidRPr="00AE1D14">
        <w:rPr>
          <w:i/>
          <w:iCs/>
        </w:rPr>
        <w:t>Nr. </w:t>
      </w:r>
      <w:r w:rsidRPr="00AE1D14">
        <w:rPr>
          <w:i/>
          <w:iCs/>
        </w:rPr>
        <w:t>4 des G. vom 28. Dezember 2011 (B.S. vom 30. Dezember 2011)</w:t>
      </w:r>
      <w:r w:rsidR="00D67EB8" w:rsidRPr="00AE1D14">
        <w:rPr>
          <w:i/>
          <w:iCs/>
        </w:rPr>
        <w:t> - </w:t>
      </w:r>
      <w:r w:rsidRPr="00AE1D14">
        <w:rPr>
          <w:i/>
          <w:iCs/>
        </w:rPr>
        <w:t>anwendbar auf die ab dem 1. Januar 2012 zuerkannten oder ausgeschütteten Einkünfte</w:t>
      </w:r>
      <w:r w:rsidR="00FD68E8" w:rsidRPr="00AE1D14">
        <w:rPr>
          <w:i/>
          <w:iCs/>
        </w:rPr>
        <w:t> -,</w:t>
      </w:r>
      <w:r w:rsidRPr="00AE1D14">
        <w:rPr>
          <w:i/>
          <w:iCs/>
        </w:rPr>
        <w:t xml:space="preserve"> wieder aufgenommen durch </w:t>
      </w:r>
      <w:r w:rsidR="00D67EB8" w:rsidRPr="00AE1D14">
        <w:rPr>
          <w:i/>
          <w:iCs/>
        </w:rPr>
        <w:t>Art. </w:t>
      </w:r>
      <w:r w:rsidRPr="00AE1D14">
        <w:rPr>
          <w:i/>
          <w:iCs/>
        </w:rPr>
        <w:t xml:space="preserve">64 </w:t>
      </w:r>
      <w:r w:rsidR="00D67EB8" w:rsidRPr="00AE1D14">
        <w:rPr>
          <w:i/>
          <w:iCs/>
        </w:rPr>
        <w:t>Nr. </w:t>
      </w:r>
      <w:r w:rsidRPr="00AE1D14">
        <w:rPr>
          <w:i/>
          <w:iCs/>
        </w:rPr>
        <w:t>4 des G. vom 22. Juni 2012 (B.S. vom 28. Juni 2012)</w:t>
      </w:r>
      <w:r w:rsidR="00D67EB8" w:rsidRPr="00AE1D14">
        <w:rPr>
          <w:i/>
          <w:iCs/>
        </w:rPr>
        <w:t> - </w:t>
      </w:r>
      <w:r w:rsidRPr="00AE1D14">
        <w:rPr>
          <w:i/>
          <w:iCs/>
        </w:rPr>
        <w:t>anwendbar auf die ab dem 1. Juli 2013 gezahlten oder zuerkannten Kapitalien und Rückkaufswerte</w:t>
      </w:r>
      <w:r w:rsidR="00FD68E8" w:rsidRPr="00AE1D14">
        <w:rPr>
          <w:i/>
          <w:iCs/>
        </w:rPr>
        <w:t> -,</w:t>
      </w:r>
      <w:r w:rsidRPr="00AE1D14">
        <w:rPr>
          <w:i/>
          <w:iCs/>
        </w:rPr>
        <w:t xml:space="preserve"> ersetzt durch </w:t>
      </w:r>
      <w:r w:rsidR="00D67EB8" w:rsidRPr="00AE1D14">
        <w:rPr>
          <w:i/>
          <w:iCs/>
        </w:rPr>
        <w:t>Art. </w:t>
      </w:r>
      <w:r w:rsidRPr="00AE1D14">
        <w:rPr>
          <w:i/>
          <w:iCs/>
        </w:rPr>
        <w:t xml:space="preserve">50 </w:t>
      </w:r>
      <w:r w:rsidR="00D67EB8" w:rsidRPr="00AE1D14">
        <w:rPr>
          <w:i/>
          <w:iCs/>
        </w:rPr>
        <w:t>Nr. </w:t>
      </w:r>
      <w:r w:rsidRPr="00AE1D14">
        <w:rPr>
          <w:i/>
          <w:iCs/>
        </w:rPr>
        <w:t>2 des G. vom 18. Juli 2018 (B.S. vom 26. Juli 2018)</w:t>
      </w:r>
      <w:r w:rsidR="00D67EB8" w:rsidRPr="00AE1D14">
        <w:rPr>
          <w:i/>
          <w:iCs/>
        </w:rPr>
        <w:t> - </w:t>
      </w:r>
      <w:r w:rsidRPr="00AE1D14">
        <w:rPr>
          <w:i/>
        </w:rPr>
        <w:t>wirksam auf die ab dem 1. Juli 2016 gezahlten oder zuerkannten Einkünfte</w:t>
      </w:r>
      <w:r w:rsidR="00FD68E8" w:rsidRPr="00AE1D14">
        <w:rPr>
          <w:i/>
        </w:rPr>
        <w:t> -,</w:t>
      </w:r>
      <w:r w:rsidR="00022A68" w:rsidRPr="00AE1D14">
        <w:rPr>
          <w:i/>
          <w:iCs/>
        </w:rPr>
        <w:t xml:space="preserve"> </w:t>
      </w:r>
      <w:r w:rsidR="007630C7" w:rsidRPr="00AE1D14">
        <w:rPr>
          <w:i/>
        </w:rPr>
        <w:t xml:space="preserve">selbst bedingt </w:t>
      </w:r>
      <w:r w:rsidR="00022A68" w:rsidRPr="00AE1D14">
        <w:rPr>
          <w:i/>
          <w:iCs/>
        </w:rPr>
        <w:t xml:space="preserve">für nichtig erklärt durch </w:t>
      </w:r>
      <w:r w:rsidR="00022A68" w:rsidRPr="00AE1D14">
        <w:rPr>
          <w:i/>
        </w:rPr>
        <w:t xml:space="preserve">Entscheid </w:t>
      </w:r>
      <w:r w:rsidR="00D67EB8" w:rsidRPr="00AE1D14">
        <w:rPr>
          <w:i/>
        </w:rPr>
        <w:t>Nr. </w:t>
      </w:r>
      <w:r w:rsidR="00022A68" w:rsidRPr="00AE1D14">
        <w:rPr>
          <w:i/>
        </w:rPr>
        <w:t xml:space="preserve">53/2020 des Verfassungsgerichtshofes vom 23. April 2020 (B.S. vom 20. Mai 2020), und </w:t>
      </w:r>
      <w:r w:rsidR="008839ED" w:rsidRPr="00AE1D14">
        <w:rPr>
          <w:i/>
        </w:rPr>
        <w:t>erneut</w:t>
      </w:r>
      <w:r w:rsidR="00022A68" w:rsidRPr="00AE1D14">
        <w:rPr>
          <w:i/>
        </w:rPr>
        <w:t xml:space="preserve"> ersetzt durch </w:t>
      </w:r>
      <w:r w:rsidR="00D67EB8" w:rsidRPr="00AE1D14">
        <w:rPr>
          <w:i/>
        </w:rPr>
        <w:t>Art. </w:t>
      </w:r>
      <w:r w:rsidR="00022A68" w:rsidRPr="00AE1D14">
        <w:rPr>
          <w:i/>
        </w:rPr>
        <w:t xml:space="preserve">64 </w:t>
      </w:r>
      <w:r w:rsidR="00D67EB8" w:rsidRPr="00AE1D14">
        <w:rPr>
          <w:i/>
        </w:rPr>
        <w:t>Nr. </w:t>
      </w:r>
      <w:r w:rsidR="00022A68" w:rsidRPr="00AE1D14">
        <w:rPr>
          <w:i/>
        </w:rPr>
        <w:t>1</w:t>
      </w:r>
      <w:r w:rsidR="00022A68" w:rsidRPr="00AE1D14">
        <w:rPr>
          <w:i/>
          <w:iCs/>
        </w:rPr>
        <w:t xml:space="preserve"> des G. vom 24. Dezember 2020 (B.S. vom 31. Dezember 2020)</w:t>
      </w:r>
      <w:r w:rsidR="00D67EB8" w:rsidRPr="00AE1D14">
        <w:rPr>
          <w:i/>
          <w:iCs/>
        </w:rPr>
        <w:t> - </w:t>
      </w:r>
      <w:r w:rsidR="00022A68" w:rsidRPr="00AE1D14">
        <w:rPr>
          <w:i/>
          <w:iCs/>
        </w:rPr>
        <w:t xml:space="preserve">in Kraft am 1. Januar 2021 und </w:t>
      </w:r>
      <w:r w:rsidR="0053046B" w:rsidRPr="00AE1D14">
        <w:rPr>
          <w:i/>
          <w:iCs/>
        </w:rPr>
        <w:t>wirksam für die ab dem 1. Juli 2016 gezahlten oder zuerkannten Einkünfte</w:t>
      </w:r>
      <w:r w:rsidR="003366D9" w:rsidRPr="00AE1D14">
        <w:rPr>
          <w:i/>
          <w:iCs/>
        </w:rPr>
        <w:t> -;</w:t>
      </w:r>
      <w:r w:rsidRPr="00AE1D14">
        <w:rPr>
          <w:i/>
          <w:iCs/>
        </w:rPr>
        <w:t xml:space="preserve"> einziger Absatz </w:t>
      </w:r>
      <w:r w:rsidR="00D67EB8" w:rsidRPr="00AE1D14">
        <w:rPr>
          <w:i/>
          <w:iCs/>
        </w:rPr>
        <w:t>Nr. </w:t>
      </w:r>
      <w:r w:rsidRPr="00AE1D14">
        <w:rPr>
          <w:i/>
          <w:iCs/>
        </w:rPr>
        <w:t>3bis einziger Absatz Buchstabe</w:t>
      </w:r>
      <w:r w:rsidRPr="00AE1D14">
        <w:rPr>
          <w:rFonts w:hint="eastAsia"/>
          <w:i/>
          <w:iCs/>
        </w:rPr>
        <w:t> </w:t>
      </w:r>
      <w:r w:rsidRPr="00AE1D14">
        <w:rPr>
          <w:i/>
          <w:iCs/>
        </w:rPr>
        <w:t xml:space="preserve">a) aufgehoben durch </w:t>
      </w:r>
      <w:r w:rsidR="00D67EB8" w:rsidRPr="00AE1D14">
        <w:rPr>
          <w:i/>
          <w:iCs/>
        </w:rPr>
        <w:t>Art. </w:t>
      </w:r>
      <w:r w:rsidRPr="00AE1D14">
        <w:rPr>
          <w:i/>
          <w:iCs/>
        </w:rPr>
        <w:t xml:space="preserve">50 </w:t>
      </w:r>
      <w:r w:rsidR="00D67EB8" w:rsidRPr="00AE1D14">
        <w:rPr>
          <w:i/>
          <w:iCs/>
        </w:rPr>
        <w:t>Nr. </w:t>
      </w:r>
      <w:r w:rsidRPr="00AE1D14">
        <w:rPr>
          <w:i/>
          <w:iCs/>
        </w:rPr>
        <w:t>3 des G. vom 18. Juli 2018 (B.S. vom 26. Juli 2018)</w:t>
      </w:r>
      <w:r w:rsidR="00D67EB8" w:rsidRPr="00AE1D14">
        <w:rPr>
          <w:i/>
          <w:iCs/>
        </w:rPr>
        <w:t> - </w:t>
      </w:r>
      <w:r w:rsidRPr="00AE1D14">
        <w:rPr>
          <w:i/>
        </w:rPr>
        <w:t>anwendbar</w:t>
      </w:r>
      <w:r w:rsidRPr="00AE1D14">
        <w:rPr>
          <w:i/>
          <w:iCs/>
        </w:rPr>
        <w:t xml:space="preserve"> auf die </w:t>
      </w:r>
      <w:r w:rsidRPr="00AE1D14">
        <w:rPr>
          <w:i/>
        </w:rPr>
        <w:t>ab dem 1. Januar 2018 erzielten oder bezogenen Einkünfte</w:t>
      </w:r>
      <w:r w:rsidR="00FD68E8" w:rsidRPr="00AE1D14">
        <w:rPr>
          <w:i/>
        </w:rPr>
        <w:t> -,</w:t>
      </w:r>
      <w:r w:rsidR="0053046B" w:rsidRPr="00AE1D14">
        <w:rPr>
          <w:i/>
          <w:iCs/>
        </w:rPr>
        <w:t xml:space="preserve"> </w:t>
      </w:r>
      <w:r w:rsidR="007630C7" w:rsidRPr="00AE1D14">
        <w:rPr>
          <w:i/>
        </w:rPr>
        <w:t xml:space="preserve">selbst bedingt </w:t>
      </w:r>
      <w:r w:rsidR="0053046B" w:rsidRPr="00AE1D14">
        <w:rPr>
          <w:i/>
          <w:iCs/>
        </w:rPr>
        <w:t xml:space="preserve">für nichtig erklärt durch </w:t>
      </w:r>
      <w:r w:rsidR="0053046B" w:rsidRPr="00AE1D14">
        <w:rPr>
          <w:i/>
        </w:rPr>
        <w:t xml:space="preserve">Entscheid </w:t>
      </w:r>
      <w:r w:rsidR="00D67EB8" w:rsidRPr="00AE1D14">
        <w:rPr>
          <w:i/>
        </w:rPr>
        <w:t>Nr. </w:t>
      </w:r>
      <w:r w:rsidR="0053046B" w:rsidRPr="00AE1D14">
        <w:rPr>
          <w:i/>
        </w:rPr>
        <w:t xml:space="preserve">53/2020 des Verfassungsgerichtshofes vom 23. April 2020 (B.S. vom 20. Mai 2020), </w:t>
      </w:r>
      <w:r w:rsidR="007630C7" w:rsidRPr="00AE1D14">
        <w:rPr>
          <w:i/>
        </w:rPr>
        <w:t xml:space="preserve">erneut </w:t>
      </w:r>
      <w:r w:rsidR="0053046B" w:rsidRPr="00AE1D14">
        <w:rPr>
          <w:i/>
        </w:rPr>
        <w:t xml:space="preserve">aufgehoben durch </w:t>
      </w:r>
      <w:r w:rsidR="00D67EB8" w:rsidRPr="00AE1D14">
        <w:rPr>
          <w:i/>
        </w:rPr>
        <w:t>Art. </w:t>
      </w:r>
      <w:r w:rsidR="0053046B" w:rsidRPr="00AE1D14">
        <w:rPr>
          <w:i/>
        </w:rPr>
        <w:t xml:space="preserve">64 </w:t>
      </w:r>
      <w:r w:rsidR="00D67EB8" w:rsidRPr="00AE1D14">
        <w:rPr>
          <w:i/>
        </w:rPr>
        <w:t>Nr. </w:t>
      </w:r>
      <w:r w:rsidR="0053046B" w:rsidRPr="00AE1D14">
        <w:rPr>
          <w:i/>
        </w:rPr>
        <w:t>2</w:t>
      </w:r>
      <w:r w:rsidR="0053046B" w:rsidRPr="00AE1D14">
        <w:rPr>
          <w:i/>
          <w:iCs/>
        </w:rPr>
        <w:t xml:space="preserve"> des G. vom 24. Dezember 2020 (B.S. vom 31. Dezember 2020)</w:t>
      </w:r>
      <w:r w:rsidR="00D67EB8" w:rsidRPr="00AE1D14">
        <w:rPr>
          <w:i/>
          <w:iCs/>
        </w:rPr>
        <w:t> - </w:t>
      </w:r>
      <w:r w:rsidR="0053046B" w:rsidRPr="00AE1D14">
        <w:rPr>
          <w:i/>
          <w:iCs/>
        </w:rPr>
        <w:t xml:space="preserve">in Kraft am 1. Januar 2018 und anwendbar auf die ab dem </w:t>
      </w:r>
      <w:r w:rsidR="0053046B" w:rsidRPr="00AE1D14">
        <w:rPr>
          <w:i/>
          <w:iCs/>
        </w:rPr>
        <w:lastRenderedPageBreak/>
        <w:t>1. Januar 20</w:t>
      </w:r>
      <w:r w:rsidR="007630C7" w:rsidRPr="00AE1D14">
        <w:rPr>
          <w:i/>
          <w:iCs/>
        </w:rPr>
        <w:t>18</w:t>
      </w:r>
      <w:r w:rsidR="0053046B" w:rsidRPr="00AE1D14">
        <w:rPr>
          <w:i/>
          <w:iCs/>
        </w:rPr>
        <w:t xml:space="preserve"> erzielten oder bezogenen Einkünfte</w:t>
      </w:r>
      <w:r w:rsidR="00D67EB8" w:rsidRPr="00AE1D14">
        <w:rPr>
          <w:i/>
          <w:iCs/>
        </w:rPr>
        <w:t> - </w:t>
      </w:r>
      <w:r w:rsidR="008C16A3" w:rsidRPr="00AE1D14">
        <w:rPr>
          <w:i/>
          <w:iCs/>
        </w:rPr>
        <w:t xml:space="preserve">und wieder aufgenommen durch </w:t>
      </w:r>
      <w:r w:rsidR="00D67EB8" w:rsidRPr="00AE1D14">
        <w:rPr>
          <w:i/>
          <w:iCs/>
        </w:rPr>
        <w:t>Art. </w:t>
      </w:r>
      <w:r w:rsidR="008C16A3" w:rsidRPr="00AE1D14">
        <w:rPr>
          <w:i/>
          <w:iCs/>
        </w:rPr>
        <w:t xml:space="preserve">64 </w:t>
      </w:r>
      <w:r w:rsidR="00D67EB8" w:rsidRPr="00AE1D14">
        <w:rPr>
          <w:i/>
          <w:iCs/>
        </w:rPr>
        <w:t>Nr. </w:t>
      </w:r>
      <w:r w:rsidR="008C16A3" w:rsidRPr="00AE1D14">
        <w:rPr>
          <w:i/>
          <w:iCs/>
        </w:rPr>
        <w:t>3 des G. vom 24. Dezember 2020 (B.S. vom 31. Dezember 2020)</w:t>
      </w:r>
      <w:r w:rsidR="00D67EB8" w:rsidRPr="00AE1D14">
        <w:rPr>
          <w:i/>
          <w:iCs/>
        </w:rPr>
        <w:t> - </w:t>
      </w:r>
      <w:r w:rsidR="008C16A3" w:rsidRPr="00AE1D14">
        <w:rPr>
          <w:i/>
          <w:iCs/>
        </w:rPr>
        <w:t>in Kraft am 1. Januar 2021 und anwendbar auf die ab dem 1. Januar 2021 erzielten oder bezogenen Einkünfte</w:t>
      </w:r>
      <w:r w:rsidR="003366D9" w:rsidRPr="00AE1D14">
        <w:rPr>
          <w:i/>
          <w:iCs/>
        </w:rPr>
        <w:t> -;</w:t>
      </w:r>
      <w:r w:rsidRPr="00AE1D14">
        <w:rPr>
          <w:i/>
        </w:rPr>
        <w:t xml:space="preserve"> </w:t>
      </w:r>
      <w:r w:rsidR="00861BD7" w:rsidRPr="00AE1D14">
        <w:rPr>
          <w:i/>
          <w:iCs/>
        </w:rPr>
        <w:t xml:space="preserve">einziger Absatz </w:t>
      </w:r>
      <w:r w:rsidR="00D67EB8" w:rsidRPr="00AE1D14">
        <w:rPr>
          <w:i/>
          <w:iCs/>
        </w:rPr>
        <w:t>Nr. </w:t>
      </w:r>
      <w:r w:rsidR="00861BD7" w:rsidRPr="00AE1D14">
        <w:rPr>
          <w:i/>
          <w:iCs/>
        </w:rPr>
        <w:t>3bis einziger Absatz Buchstabe</w:t>
      </w:r>
      <w:r w:rsidR="00861BD7" w:rsidRPr="00AE1D14">
        <w:rPr>
          <w:rFonts w:hint="eastAsia"/>
          <w:i/>
          <w:iCs/>
        </w:rPr>
        <w:t> </w:t>
      </w:r>
      <w:r w:rsidR="00861BD7" w:rsidRPr="00AE1D14">
        <w:rPr>
          <w:i/>
          <w:iCs/>
        </w:rPr>
        <w:t xml:space="preserve">b) einziger Absatz zweiter Gedankenstrich abgeändert durch </w:t>
      </w:r>
      <w:r w:rsidR="00D67EB8" w:rsidRPr="00AE1D14">
        <w:rPr>
          <w:i/>
          <w:iCs/>
        </w:rPr>
        <w:t>Art. </w:t>
      </w:r>
      <w:r w:rsidR="00861BD7" w:rsidRPr="00AE1D14">
        <w:rPr>
          <w:i/>
          <w:iCs/>
        </w:rPr>
        <w:t>11</w:t>
      </w:r>
      <w:r w:rsidR="00861BD7" w:rsidRPr="00AE1D14">
        <w:rPr>
          <w:i/>
        </w:rPr>
        <w:t xml:space="preserve"> des G. vom 27. Dezember 2021 (B.S. vom 31. Dezember 2021)</w:t>
      </w:r>
      <w:r w:rsidR="00D67EB8" w:rsidRPr="00AE1D14">
        <w:rPr>
          <w:i/>
        </w:rPr>
        <w:t> - </w:t>
      </w:r>
      <w:r w:rsidR="00861BD7" w:rsidRPr="00AE1D14">
        <w:rPr>
          <w:i/>
        </w:rPr>
        <w:t>anwendbar ab dem 1. Januar 2022</w:t>
      </w:r>
      <w:r w:rsidR="003366D9" w:rsidRPr="00AE1D14">
        <w:rPr>
          <w:i/>
        </w:rPr>
        <w:t> -</w:t>
      </w:r>
      <w:r w:rsidR="007131B9" w:rsidRPr="00AE1D14">
        <w:rPr>
          <w:i/>
        </w:rPr>
        <w:t xml:space="preserve"> und Art. 14</w:t>
      </w:r>
      <w:r w:rsidR="007131B9" w:rsidRPr="00AE1D14">
        <w:rPr>
          <w:i/>
          <w:iCs/>
        </w:rPr>
        <w:t xml:space="preserve"> des G. vom 5. Juli 2022 (B.S. vom 15. Juli 2022) - wirksam mit 1. Januar 2022 -</w:t>
      </w:r>
      <w:r w:rsidR="003366D9" w:rsidRPr="00AE1D14">
        <w:rPr>
          <w:i/>
        </w:rPr>
        <w:t>;</w:t>
      </w:r>
      <w:r w:rsidR="00861BD7" w:rsidRPr="00AE1D14">
        <w:rPr>
          <w:i/>
          <w:iCs/>
        </w:rPr>
        <w:t> </w:t>
      </w:r>
      <w:r w:rsidRPr="00AE1D14">
        <w:rPr>
          <w:i/>
          <w:iCs/>
        </w:rPr>
        <w:t xml:space="preserve">einziger Absatz </w:t>
      </w:r>
      <w:r w:rsidR="00D67EB8" w:rsidRPr="00AE1D14">
        <w:rPr>
          <w:i/>
          <w:iCs/>
        </w:rPr>
        <w:t>Nr. </w:t>
      </w:r>
      <w:r w:rsidRPr="00AE1D14">
        <w:rPr>
          <w:i/>
          <w:iCs/>
        </w:rPr>
        <w:t xml:space="preserve">3ter eingefügt durch </w:t>
      </w:r>
      <w:r w:rsidR="00D67EB8" w:rsidRPr="00AE1D14">
        <w:rPr>
          <w:rFonts w:ascii="Times New Roman Italique" w:hAnsi="Times New Roman Italique"/>
          <w:i/>
          <w:iCs/>
          <w:spacing w:val="-2"/>
        </w:rPr>
        <w:t>Art. </w:t>
      </w:r>
      <w:r w:rsidRPr="00AE1D14">
        <w:rPr>
          <w:rFonts w:ascii="Times New Roman Italique" w:hAnsi="Times New Roman Italique"/>
          <w:i/>
          <w:iCs/>
          <w:spacing w:val="-2"/>
        </w:rPr>
        <w:t>47 des G. vom 10. März 1</w:t>
      </w:r>
      <w:r w:rsidR="00252578" w:rsidRPr="00AE1D14">
        <w:rPr>
          <w:rFonts w:ascii="Times New Roman Italique" w:hAnsi="Times New Roman Italique"/>
          <w:i/>
          <w:iCs/>
          <w:spacing w:val="-2"/>
        </w:rPr>
        <w:t>999 (B.S. vom 14. April 1999)</w:t>
      </w:r>
      <w:r w:rsidR="00D67EB8" w:rsidRPr="00AE1D14">
        <w:rPr>
          <w:rFonts w:ascii="Times New Roman Italique" w:hAnsi="Times New Roman Italique"/>
          <w:i/>
          <w:iCs/>
          <w:spacing w:val="-2"/>
        </w:rPr>
        <w:t> - </w:t>
      </w:r>
      <w:r w:rsidRPr="00AE1D14">
        <w:rPr>
          <w:rFonts w:ascii="Times New Roman Italique" w:hAnsi="Times New Roman Italique"/>
          <w:i/>
          <w:iCs/>
          <w:spacing w:val="-2"/>
        </w:rPr>
        <w:t>in Kraft ab dem 14. April 1999</w:t>
      </w:r>
      <w:r w:rsidR="00FD68E8" w:rsidRPr="00AE1D14">
        <w:rPr>
          <w:rFonts w:ascii="Times New Roman Italique" w:hAnsi="Times New Roman Italique"/>
          <w:i/>
          <w:iCs/>
          <w:spacing w:val="-2"/>
        </w:rPr>
        <w:t> -,</w:t>
      </w:r>
      <w:r w:rsidRPr="00AE1D14">
        <w:rPr>
          <w:i/>
          <w:iCs/>
        </w:rPr>
        <w:t xml:space="preserve"> ersetzt durch </w:t>
      </w:r>
      <w:r w:rsidR="00D67EB8" w:rsidRPr="00AE1D14">
        <w:rPr>
          <w:i/>
          <w:iCs/>
        </w:rPr>
        <w:t>Art. </w:t>
      </w:r>
      <w:r w:rsidRPr="00AE1D14">
        <w:rPr>
          <w:i/>
          <w:iCs/>
        </w:rPr>
        <w:t>45 des G. vom 18. Dezember 2015 (II) (B.S. vom 28. Dezember 2015)</w:t>
      </w:r>
      <w:r w:rsidR="00D67EB8" w:rsidRPr="00AE1D14">
        <w:rPr>
          <w:i/>
          <w:iCs/>
        </w:rPr>
        <w:t> - </w:t>
      </w:r>
      <w:r w:rsidRPr="00AE1D14">
        <w:rPr>
          <w:i/>
          <w:iCs/>
        </w:rPr>
        <w:t>in Kraft ab dem Steuerjahr 2016</w:t>
      </w:r>
      <w:r w:rsidR="00D67EB8" w:rsidRPr="00AE1D14">
        <w:rPr>
          <w:i/>
          <w:iCs/>
        </w:rPr>
        <w:t> - </w:t>
      </w:r>
      <w:r w:rsidRPr="00AE1D14">
        <w:rPr>
          <w:i/>
          <w:iCs/>
        </w:rPr>
        <w:t xml:space="preserve">und abgeändert durch </w:t>
      </w:r>
      <w:r w:rsidR="00D67EB8" w:rsidRPr="00AE1D14">
        <w:rPr>
          <w:i/>
          <w:iCs/>
        </w:rPr>
        <w:t>Art. </w:t>
      </w:r>
      <w:r w:rsidRPr="00AE1D14">
        <w:rPr>
          <w:i/>
          <w:iCs/>
        </w:rPr>
        <w:t xml:space="preserve">67 </w:t>
      </w:r>
      <w:r w:rsidR="00D67EB8" w:rsidRPr="00AE1D14">
        <w:rPr>
          <w:i/>
          <w:iCs/>
        </w:rPr>
        <w:t>Nr. </w:t>
      </w:r>
      <w:r w:rsidRPr="00AE1D14">
        <w:rPr>
          <w:i/>
          <w:iCs/>
        </w:rPr>
        <w:t>5 des G. vom 26. Dezember 2015 (II) (B.S. vom 30. Dezember 2015)</w:t>
      </w:r>
      <w:r w:rsidR="00D67EB8" w:rsidRPr="00AE1D14">
        <w:rPr>
          <w:i/>
          <w:iCs/>
        </w:rPr>
        <w:t> - </w:t>
      </w:r>
      <w:r w:rsidRPr="00AE1D14">
        <w:rPr>
          <w:i/>
          <w:iCs/>
        </w:rPr>
        <w:t>anwendbar auf Mehr</w:t>
      </w:r>
      <w:r w:rsidR="00645469" w:rsidRPr="00AE1D14">
        <w:rPr>
          <w:i/>
          <w:iCs/>
        </w:rPr>
        <w:softHyphen/>
      </w:r>
      <w:r w:rsidRPr="00AE1D14">
        <w:rPr>
          <w:i/>
          <w:iCs/>
        </w:rPr>
        <w:t>werte, die auf börsennotierte Aktien oder Anteile, Optionen, Optionsscheine oder andere börsennotierte Finanz</w:t>
      </w:r>
      <w:r w:rsidR="00645469" w:rsidRPr="00AE1D14">
        <w:rPr>
          <w:i/>
          <w:iCs/>
        </w:rPr>
        <w:softHyphen/>
      </w:r>
      <w:r w:rsidRPr="00AE1D14">
        <w:rPr>
          <w:i/>
          <w:iCs/>
        </w:rPr>
        <w:t>instrumente verwirklicht werden, die entweder ab dem 1. Januar 2016 entgeltlich erworben werden oder im Falle eines Leerverkaufs ab dem 1. Januar 2016 verkauft werden</w:t>
      </w:r>
      <w:r w:rsidR="003366D9" w:rsidRPr="00AE1D14">
        <w:rPr>
          <w:i/>
          <w:iCs/>
        </w:rPr>
        <w:t> -;</w:t>
      </w:r>
      <w:r w:rsidRPr="00AE1D14">
        <w:rPr>
          <w:i/>
          <w:iCs/>
        </w:rPr>
        <w:t xml:space="preserve"> einziger Absatz </w:t>
      </w:r>
      <w:r w:rsidR="00D67EB8" w:rsidRPr="00AE1D14">
        <w:rPr>
          <w:i/>
          <w:iCs/>
        </w:rPr>
        <w:t>Nr. </w:t>
      </w:r>
      <w:r w:rsidRPr="00AE1D14">
        <w:rPr>
          <w:i/>
          <w:iCs/>
        </w:rPr>
        <w:t xml:space="preserve">3quater eingefügt durch </w:t>
      </w:r>
      <w:r w:rsidR="00D67EB8" w:rsidRPr="00AE1D14">
        <w:rPr>
          <w:i/>
          <w:iCs/>
        </w:rPr>
        <w:t>Art. </w:t>
      </w:r>
      <w:r w:rsidRPr="00AE1D14">
        <w:rPr>
          <w:i/>
          <w:iCs/>
        </w:rPr>
        <w:t>3</w:t>
      </w:r>
      <w:r w:rsidR="00007E0E" w:rsidRPr="00AE1D14">
        <w:rPr>
          <w:i/>
          <w:iCs/>
        </w:rPr>
        <w:t>18 des G. </w:t>
      </w:r>
      <w:r w:rsidRPr="00AE1D14">
        <w:rPr>
          <w:i/>
          <w:iCs/>
        </w:rPr>
        <w:t>(I) vom 27. Dezember 2006 (II) (B.S. vom 28. Dezember 2006)</w:t>
      </w:r>
      <w:r w:rsidR="00D67EB8" w:rsidRPr="00AE1D14">
        <w:rPr>
          <w:i/>
          <w:iCs/>
        </w:rPr>
        <w:t> - </w:t>
      </w:r>
      <w:r w:rsidRPr="00AE1D14">
        <w:rPr>
          <w:i/>
          <w:iCs/>
        </w:rPr>
        <w:t>in Kraft ab dem 1. Januar 2007</w:t>
      </w:r>
      <w:r w:rsidR="00FD68E8" w:rsidRPr="00AE1D14">
        <w:rPr>
          <w:i/>
          <w:iCs/>
        </w:rPr>
        <w:t> -,</w:t>
      </w:r>
      <w:r w:rsidRPr="00AE1D14">
        <w:rPr>
          <w:i/>
          <w:iCs/>
        </w:rPr>
        <w:t xml:space="preserve"> aufgehoben durch </w:t>
      </w:r>
      <w:r w:rsidR="00D67EB8" w:rsidRPr="00AE1D14">
        <w:rPr>
          <w:i/>
          <w:iCs/>
        </w:rPr>
        <w:t>Art. </w:t>
      </w:r>
      <w:r w:rsidRPr="00AE1D14">
        <w:rPr>
          <w:i/>
          <w:iCs/>
        </w:rPr>
        <w:t xml:space="preserve">91 </w:t>
      </w:r>
      <w:r w:rsidR="00D67EB8" w:rsidRPr="00AE1D14">
        <w:rPr>
          <w:i/>
          <w:iCs/>
        </w:rPr>
        <w:t>Nr. </w:t>
      </w:r>
      <w:r w:rsidRPr="00AE1D14">
        <w:rPr>
          <w:i/>
          <w:iCs/>
        </w:rPr>
        <w:t>2 des G. vom 26. Dezember 2015 (II) (B.S. vom 30. Dezember 2015)</w:t>
      </w:r>
      <w:r w:rsidR="00D67EB8" w:rsidRPr="00AE1D14">
        <w:rPr>
          <w:i/>
          <w:iCs/>
        </w:rPr>
        <w:t> - </w:t>
      </w:r>
      <w:r w:rsidRPr="00AE1D14">
        <w:rPr>
          <w:i/>
          <w:iCs/>
        </w:rPr>
        <w:t>anwendbar auf die ab dem 1. Januar 2016 gezahlten oder zuerkannten Einkünfte</w:t>
      </w:r>
      <w:r w:rsidR="00D67EB8" w:rsidRPr="00AE1D14">
        <w:rPr>
          <w:i/>
          <w:iCs/>
        </w:rPr>
        <w:t> - </w:t>
      </w:r>
      <w:r w:rsidRPr="00AE1D14">
        <w:rPr>
          <w:i/>
          <w:iCs/>
        </w:rPr>
        <w:t xml:space="preserve">und wieder aufgenommen durch </w:t>
      </w:r>
      <w:r w:rsidR="00D67EB8" w:rsidRPr="00AE1D14">
        <w:rPr>
          <w:i/>
          <w:iCs/>
        </w:rPr>
        <w:t>Art. </w:t>
      </w:r>
      <w:r w:rsidRPr="00AE1D14">
        <w:rPr>
          <w:i/>
          <w:iCs/>
        </w:rPr>
        <w:t>89 des G. vom 18. Dezember 2016 (I) (B.S. vom 20. Dezember 2016)</w:t>
      </w:r>
      <w:r w:rsidR="00D67EB8" w:rsidRPr="00AE1D14">
        <w:rPr>
          <w:i/>
          <w:iCs/>
        </w:rPr>
        <w:t> - </w:t>
      </w:r>
      <w:r w:rsidRPr="00AE1D14">
        <w:rPr>
          <w:i/>
          <w:iCs/>
        </w:rPr>
        <w:t>anwendbar auf die ab dem 1. Januar 2017 gezahlten oder zuerkannten Einkünfte</w:t>
      </w:r>
      <w:r w:rsidR="003366D9" w:rsidRPr="00AE1D14">
        <w:rPr>
          <w:i/>
          <w:iCs/>
        </w:rPr>
        <w:t> -;</w:t>
      </w:r>
      <w:r w:rsidR="00DA38FD" w:rsidRPr="00AE1D14">
        <w:rPr>
          <w:i/>
          <w:iCs/>
        </w:rPr>
        <w:t xml:space="preserve"> einziger Absatz </w:t>
      </w:r>
      <w:r w:rsidR="00D67EB8" w:rsidRPr="00AE1D14">
        <w:rPr>
          <w:i/>
          <w:iCs/>
        </w:rPr>
        <w:t>Nr. </w:t>
      </w:r>
      <w:r w:rsidR="00DA38FD" w:rsidRPr="00AE1D14">
        <w:rPr>
          <w:i/>
          <w:iCs/>
        </w:rPr>
        <w:t xml:space="preserve">3quater </w:t>
      </w:r>
      <w:r w:rsidR="00D67EB8" w:rsidRPr="00AE1D14">
        <w:rPr>
          <w:i/>
          <w:iCs/>
        </w:rPr>
        <w:t>Abs. </w:t>
      </w:r>
      <w:r w:rsidR="00DA38FD" w:rsidRPr="00AE1D14">
        <w:rPr>
          <w:i/>
          <w:iCs/>
        </w:rPr>
        <w:t xml:space="preserve">1 abgeändert durch </w:t>
      </w:r>
      <w:r w:rsidR="00D67EB8" w:rsidRPr="00AE1D14">
        <w:rPr>
          <w:i/>
          <w:iCs/>
        </w:rPr>
        <w:t>Art. </w:t>
      </w:r>
      <w:r w:rsidR="00DA38FD" w:rsidRPr="00AE1D14">
        <w:rPr>
          <w:i/>
          <w:iCs/>
        </w:rPr>
        <w:t xml:space="preserve">20 </w:t>
      </w:r>
      <w:r w:rsidR="00D67EB8" w:rsidRPr="00AE1D14">
        <w:rPr>
          <w:i/>
          <w:iCs/>
        </w:rPr>
        <w:t>Nr. </w:t>
      </w:r>
      <w:r w:rsidR="00DA38FD" w:rsidRPr="00AE1D14">
        <w:rPr>
          <w:i/>
          <w:iCs/>
        </w:rPr>
        <w:t>1</w:t>
      </w:r>
      <w:r w:rsidR="00DA38FD" w:rsidRPr="00AE1D14">
        <w:rPr>
          <w:i/>
        </w:rPr>
        <w:t xml:space="preserve"> des G. vom 27. Dezember 2021 (B.S. vom 31. Dezember 2021)</w:t>
      </w:r>
      <w:r w:rsidR="00D67EB8" w:rsidRPr="00AE1D14">
        <w:rPr>
          <w:i/>
        </w:rPr>
        <w:t> - </w:t>
      </w:r>
      <w:r w:rsidR="00DA38FD" w:rsidRPr="00AE1D14">
        <w:rPr>
          <w:i/>
        </w:rPr>
        <w:t>anwendbar auf die ab dem 1. Januar 2022 gezahlten oder zuerkannten Einkünfte</w:t>
      </w:r>
      <w:r w:rsidR="003366D9" w:rsidRPr="00AE1D14">
        <w:rPr>
          <w:i/>
        </w:rPr>
        <w:t> -;</w:t>
      </w:r>
      <w:r w:rsidR="00DA38FD" w:rsidRPr="00AE1D14">
        <w:rPr>
          <w:i/>
        </w:rPr>
        <w:t xml:space="preserve"> einziger Absatz </w:t>
      </w:r>
      <w:r w:rsidR="00D67EB8" w:rsidRPr="00AE1D14">
        <w:rPr>
          <w:i/>
        </w:rPr>
        <w:t>Nr. </w:t>
      </w:r>
      <w:r w:rsidR="00DA38FD" w:rsidRPr="00AE1D14">
        <w:rPr>
          <w:i/>
        </w:rPr>
        <w:t xml:space="preserve">3quater neuer Absatz 3 eingefügt durch </w:t>
      </w:r>
      <w:r w:rsidR="00D67EB8" w:rsidRPr="00AE1D14">
        <w:rPr>
          <w:i/>
        </w:rPr>
        <w:t>Art. </w:t>
      </w:r>
      <w:r w:rsidR="00DA38FD" w:rsidRPr="00AE1D14">
        <w:rPr>
          <w:i/>
        </w:rPr>
        <w:t xml:space="preserve">20 </w:t>
      </w:r>
      <w:r w:rsidR="00D67EB8" w:rsidRPr="00AE1D14">
        <w:rPr>
          <w:i/>
        </w:rPr>
        <w:t>Nr. </w:t>
      </w:r>
      <w:r w:rsidR="00DA38FD" w:rsidRPr="00AE1D14">
        <w:rPr>
          <w:i/>
        </w:rPr>
        <w:t>2 des G. vom 27. Dezember 2021 (B.S. vom 31. Dezember 2021)</w:t>
      </w:r>
      <w:r w:rsidR="00D67EB8" w:rsidRPr="00AE1D14">
        <w:rPr>
          <w:i/>
        </w:rPr>
        <w:t> - </w:t>
      </w:r>
      <w:r w:rsidR="00DA38FD" w:rsidRPr="00AE1D14">
        <w:rPr>
          <w:i/>
        </w:rPr>
        <w:t>anwendbar auf die ab dem 1. Januar 2022 gezahlten oder zuerkannten Einkünfte</w:t>
      </w:r>
      <w:r w:rsidR="003366D9" w:rsidRPr="00AE1D14">
        <w:rPr>
          <w:i/>
        </w:rPr>
        <w:t> -;</w:t>
      </w:r>
      <w:r w:rsidRPr="00AE1D14">
        <w:rPr>
          <w:i/>
          <w:iCs/>
        </w:rPr>
        <w:t xml:space="preserve"> einziger Absatz </w:t>
      </w:r>
      <w:r w:rsidR="00D67EB8" w:rsidRPr="00AE1D14">
        <w:rPr>
          <w:i/>
          <w:iCs/>
        </w:rPr>
        <w:t>Nr. </w:t>
      </w:r>
      <w:r w:rsidRPr="00AE1D14">
        <w:rPr>
          <w:i/>
          <w:iCs/>
        </w:rPr>
        <w:t xml:space="preserve">3quinquies eingefügt durch </w:t>
      </w:r>
      <w:r w:rsidR="00D67EB8" w:rsidRPr="00AE1D14">
        <w:rPr>
          <w:i/>
          <w:iCs/>
        </w:rPr>
        <w:t>Art. </w:t>
      </w:r>
      <w:r w:rsidRPr="00AE1D14">
        <w:rPr>
          <w:i/>
          <w:iCs/>
        </w:rPr>
        <w:t xml:space="preserve">27 </w:t>
      </w:r>
      <w:r w:rsidR="00D67EB8" w:rsidRPr="00AE1D14">
        <w:rPr>
          <w:i/>
          <w:iCs/>
        </w:rPr>
        <w:t>Nr. </w:t>
      </w:r>
      <w:r w:rsidRPr="00AE1D14">
        <w:rPr>
          <w:i/>
          <w:iCs/>
        </w:rPr>
        <w:t>6 des G. vom 28. Dezember 2011 (B.S. vom 30. Dezember 2011)</w:t>
      </w:r>
      <w:r w:rsidR="00D67EB8" w:rsidRPr="00AE1D14">
        <w:rPr>
          <w:i/>
          <w:iCs/>
        </w:rPr>
        <w:t> - </w:t>
      </w:r>
      <w:r w:rsidRPr="00AE1D14">
        <w:rPr>
          <w:i/>
          <w:iCs/>
        </w:rPr>
        <w:t>anwendbar auf die ab dem 1. Januar 2012 zuerkannten oder ausgeschütteten Einkünfte</w:t>
      </w:r>
      <w:r w:rsidR="00FD68E8" w:rsidRPr="00AE1D14">
        <w:rPr>
          <w:i/>
          <w:iCs/>
        </w:rPr>
        <w:t> -,</w:t>
      </w:r>
      <w:r w:rsidRPr="00AE1D14">
        <w:rPr>
          <w:i/>
          <w:iCs/>
        </w:rPr>
        <w:t xml:space="preserve"> selbst für nichtig erklärt durch Entscheid </w:t>
      </w:r>
      <w:r w:rsidR="00D67EB8" w:rsidRPr="00AE1D14">
        <w:rPr>
          <w:i/>
          <w:iCs/>
        </w:rPr>
        <w:t>Nr. </w:t>
      </w:r>
      <w:r w:rsidRPr="00AE1D14">
        <w:rPr>
          <w:i/>
          <w:iCs/>
        </w:rPr>
        <w:t xml:space="preserve">7/2014 des Verfassungsgerichtshofes vom 23. Januar 2014 (B.S. vom 17. April 2014), wieder aufgenommen durch </w:t>
      </w:r>
      <w:r w:rsidR="00D67EB8" w:rsidRPr="00AE1D14">
        <w:rPr>
          <w:i/>
          <w:iCs/>
        </w:rPr>
        <w:t>Art. </w:t>
      </w:r>
      <w:r w:rsidRPr="00AE1D14">
        <w:rPr>
          <w:i/>
          <w:iCs/>
        </w:rPr>
        <w:t>171 des G. vom 25. April 2014 (B.S. vom 7. Mai 2014)</w:t>
      </w:r>
      <w:r w:rsidR="00D67EB8" w:rsidRPr="00AE1D14">
        <w:rPr>
          <w:i/>
          <w:iCs/>
        </w:rPr>
        <w:t> - </w:t>
      </w:r>
      <w:r w:rsidRPr="00AE1D14">
        <w:rPr>
          <w:i/>
          <w:iCs/>
        </w:rPr>
        <w:t>wirksam auf die ab dem 1. Januar 2012 zuerkannten oder ausgeschütteten Einkünfte</w:t>
      </w:r>
      <w:r w:rsidR="00D67EB8" w:rsidRPr="00AE1D14">
        <w:rPr>
          <w:i/>
          <w:iCs/>
        </w:rPr>
        <w:t> - </w:t>
      </w:r>
      <w:r w:rsidRPr="00AE1D14">
        <w:rPr>
          <w:i/>
          <w:iCs/>
        </w:rPr>
        <w:t xml:space="preserve">und abgeändert durch </w:t>
      </w:r>
      <w:r w:rsidR="00D67EB8" w:rsidRPr="00AE1D14">
        <w:rPr>
          <w:i/>
          <w:iCs/>
        </w:rPr>
        <w:t>Art. </w:t>
      </w:r>
      <w:r w:rsidRPr="00AE1D14">
        <w:rPr>
          <w:i/>
          <w:iCs/>
        </w:rPr>
        <w:t>105 des G. vom 25. Dezember 2017 (IV) (B.S. vom 29. Dezember 2017)</w:t>
      </w:r>
      <w:r w:rsidR="00D67EB8" w:rsidRPr="00AE1D14">
        <w:rPr>
          <w:i/>
        </w:rPr>
        <w:t> - </w:t>
      </w:r>
      <w:r w:rsidRPr="00AE1D14">
        <w:rPr>
          <w:i/>
        </w:rPr>
        <w:t>anwendbar ab dem 30. Dezember 2016</w:t>
      </w:r>
      <w:r w:rsidR="003366D9" w:rsidRPr="00AE1D14">
        <w:rPr>
          <w:i/>
        </w:rPr>
        <w:t> -;</w:t>
      </w:r>
      <w:r w:rsidRPr="00AE1D14">
        <w:rPr>
          <w:i/>
          <w:iCs/>
        </w:rPr>
        <w:t xml:space="preserve"> einziger Absatz </w:t>
      </w:r>
      <w:r w:rsidR="00D67EB8" w:rsidRPr="00AE1D14">
        <w:rPr>
          <w:i/>
          <w:iCs/>
        </w:rPr>
        <w:t>Nr. </w:t>
      </w:r>
      <w:r w:rsidRPr="00AE1D14">
        <w:rPr>
          <w:i/>
          <w:iCs/>
        </w:rPr>
        <w:t xml:space="preserve">3sexies eingefügt durch </w:t>
      </w:r>
      <w:r w:rsidR="00D67EB8" w:rsidRPr="00AE1D14">
        <w:rPr>
          <w:i/>
          <w:iCs/>
        </w:rPr>
        <w:t>Art. </w:t>
      </w:r>
      <w:r w:rsidRPr="00AE1D14">
        <w:rPr>
          <w:i/>
          <w:iCs/>
        </w:rPr>
        <w:t>3 Buchstabe b) des G. vom 28. Juni 2013 (B.S. vom 1. Juli 2013)</w:t>
      </w:r>
      <w:r w:rsidR="00D67EB8" w:rsidRPr="00AE1D14">
        <w:rPr>
          <w:i/>
          <w:iCs/>
        </w:rPr>
        <w:t> - </w:t>
      </w:r>
      <w:r w:rsidRPr="00AE1D14">
        <w:rPr>
          <w:i/>
          <w:iCs/>
        </w:rPr>
        <w:t>anwendbar auf die ab dem 1. Juli 2013 getätigten Einlagen</w:t>
      </w:r>
      <w:r w:rsidR="00D67EB8" w:rsidRPr="00AE1D14">
        <w:rPr>
          <w:i/>
          <w:iCs/>
        </w:rPr>
        <w:t> - </w:t>
      </w:r>
      <w:r w:rsidRPr="00AE1D14">
        <w:rPr>
          <w:i/>
          <w:iCs/>
        </w:rPr>
        <w:t xml:space="preserve">und abgeändert durch </w:t>
      </w:r>
      <w:r w:rsidR="00D67EB8" w:rsidRPr="00AE1D14">
        <w:rPr>
          <w:i/>
          <w:iCs/>
        </w:rPr>
        <w:t>Art. </w:t>
      </w:r>
      <w:r w:rsidRPr="00AE1D14">
        <w:rPr>
          <w:i/>
          <w:iCs/>
        </w:rPr>
        <w:t xml:space="preserve">49 </w:t>
      </w:r>
      <w:r w:rsidRPr="00AE1D14">
        <w:rPr>
          <w:i/>
        </w:rPr>
        <w:t>des G. vom 26. März 2018 (B.S. vom 30. März 2018)</w:t>
      </w:r>
      <w:r w:rsidR="00D67EB8" w:rsidRPr="00AE1D14">
        <w:rPr>
          <w:i/>
        </w:rPr>
        <w:t> - </w:t>
      </w:r>
      <w:r w:rsidRPr="00AE1D14">
        <w:rPr>
          <w:i/>
        </w:rPr>
        <w:t>anwendbar auf die ab dem 1. Januar 2018 zuerkannten oder ausgeschütteten Einkünfte</w:t>
      </w:r>
      <w:r w:rsidR="003366D9" w:rsidRPr="00AE1D14">
        <w:rPr>
          <w:i/>
        </w:rPr>
        <w:t> -;</w:t>
      </w:r>
      <w:r w:rsidRPr="00AE1D14">
        <w:rPr>
          <w:i/>
          <w:iCs/>
        </w:rPr>
        <w:t xml:space="preserve"> einziger Absatz </w:t>
      </w:r>
      <w:r w:rsidR="00D67EB8" w:rsidRPr="00AE1D14">
        <w:rPr>
          <w:i/>
          <w:iCs/>
        </w:rPr>
        <w:t>Nr. </w:t>
      </w:r>
      <w:r w:rsidRPr="00AE1D14">
        <w:rPr>
          <w:i/>
          <w:iCs/>
        </w:rPr>
        <w:t>3septies</w:t>
      </w:r>
      <w:r w:rsidRPr="009118AB">
        <w:rPr>
          <w:i/>
          <w:iCs/>
        </w:rPr>
        <w:t xml:space="preserve"> eingefügt durch </w:t>
      </w:r>
      <w:r w:rsidR="00D67EB8" w:rsidRPr="009118AB">
        <w:rPr>
          <w:i/>
          <w:iCs/>
        </w:rPr>
        <w:t>Art. </w:t>
      </w:r>
      <w:r w:rsidRPr="009118AB">
        <w:rPr>
          <w:i/>
          <w:iCs/>
        </w:rPr>
        <w:t>43 Buchstabe b) des G. vom 19. Dezember 2014 (B.S. vom 29. Dezember 2014)</w:t>
      </w:r>
      <w:r w:rsidR="00D67EB8" w:rsidRPr="009118AB">
        <w:rPr>
          <w:i/>
          <w:iCs/>
        </w:rPr>
        <w:t> - </w:t>
      </w:r>
      <w:r w:rsidRPr="009118AB">
        <w:rPr>
          <w:i/>
          <w:iCs/>
        </w:rPr>
        <w:t>anwendbar auf die ab dem 1. Januar 2015 zuerkannten oder ausgeschütteten Einkünfte</w:t>
      </w:r>
      <w:r w:rsidR="00D67EB8" w:rsidRPr="009118AB">
        <w:rPr>
          <w:i/>
          <w:iCs/>
        </w:rPr>
        <w:t> - </w:t>
      </w:r>
      <w:r w:rsidRPr="009118AB">
        <w:rPr>
          <w:i/>
          <w:iCs/>
        </w:rPr>
        <w:t xml:space="preserve">und abgeändert durch </w:t>
      </w:r>
      <w:r w:rsidR="00D67EB8" w:rsidRPr="009118AB">
        <w:rPr>
          <w:i/>
          <w:iCs/>
        </w:rPr>
        <w:t>Art. </w:t>
      </w:r>
      <w:r w:rsidRPr="009118AB">
        <w:rPr>
          <w:i/>
          <w:iCs/>
        </w:rPr>
        <w:t xml:space="preserve">78 </w:t>
      </w:r>
      <w:r w:rsidR="00D67EB8" w:rsidRPr="009118AB">
        <w:rPr>
          <w:i/>
          <w:iCs/>
        </w:rPr>
        <w:t>Nr. </w:t>
      </w:r>
      <w:r w:rsidRPr="009118AB">
        <w:rPr>
          <w:i/>
          <w:iCs/>
        </w:rPr>
        <w:t>1 und 2 des G. vom 10. August 2015 (B.S. vom 18. August 2015)</w:t>
      </w:r>
      <w:r w:rsidR="00D67EB8" w:rsidRPr="009118AB">
        <w:rPr>
          <w:i/>
          <w:iCs/>
        </w:rPr>
        <w:t> - </w:t>
      </w:r>
      <w:r w:rsidRPr="009118AB">
        <w:rPr>
          <w:i/>
          <w:iCs/>
        </w:rPr>
        <w:t>in Kraft ab dem 18. August 2015</w:t>
      </w:r>
      <w:r w:rsidR="00FD68E8" w:rsidRPr="009118AB">
        <w:rPr>
          <w:i/>
          <w:iCs/>
        </w:rPr>
        <w:t> -,</w:t>
      </w:r>
      <w:r w:rsidRPr="009118AB">
        <w:rPr>
          <w:i/>
          <w:iCs/>
        </w:rPr>
        <w:t xml:space="preserve"> </w:t>
      </w:r>
      <w:r w:rsidR="00D67EB8" w:rsidRPr="009118AB">
        <w:rPr>
          <w:i/>
          <w:iCs/>
        </w:rPr>
        <w:t>Art. </w:t>
      </w:r>
      <w:r w:rsidRPr="009118AB">
        <w:rPr>
          <w:i/>
          <w:iCs/>
        </w:rPr>
        <w:t xml:space="preserve">91 </w:t>
      </w:r>
      <w:r w:rsidR="00D67EB8" w:rsidRPr="009118AB">
        <w:rPr>
          <w:i/>
          <w:iCs/>
        </w:rPr>
        <w:t>Nr. </w:t>
      </w:r>
      <w:r w:rsidRPr="009118AB">
        <w:rPr>
          <w:i/>
          <w:iCs/>
        </w:rPr>
        <w:t>3 des G. vom 26. Dezember 2015 (II) (B.S. vom 30. Dezember 2015)</w:t>
      </w:r>
      <w:r w:rsidR="00D67EB8" w:rsidRPr="009118AB">
        <w:rPr>
          <w:i/>
          <w:iCs/>
        </w:rPr>
        <w:t> - </w:t>
      </w:r>
      <w:r w:rsidRPr="009118AB">
        <w:rPr>
          <w:i/>
          <w:iCs/>
        </w:rPr>
        <w:t>anwendbar auf die ab dem 1. Januar 2016 gezahlten oder zuerkannten Einkünfte</w:t>
      </w:r>
      <w:r w:rsidR="00D67EB8" w:rsidRPr="009118AB">
        <w:rPr>
          <w:i/>
          <w:iCs/>
        </w:rPr>
        <w:t> - </w:t>
      </w:r>
      <w:r w:rsidRPr="009118AB">
        <w:rPr>
          <w:i/>
          <w:iCs/>
        </w:rPr>
        <w:t xml:space="preserve">und </w:t>
      </w:r>
      <w:r w:rsidR="00D67EB8" w:rsidRPr="009118AB">
        <w:rPr>
          <w:i/>
          <w:iCs/>
        </w:rPr>
        <w:t>Art. </w:t>
      </w:r>
      <w:r w:rsidRPr="009118AB">
        <w:rPr>
          <w:i/>
          <w:iCs/>
        </w:rPr>
        <w:t xml:space="preserve">93 </w:t>
      </w:r>
      <w:r w:rsidR="00D67EB8" w:rsidRPr="009118AB">
        <w:rPr>
          <w:i/>
          <w:iCs/>
        </w:rPr>
        <w:t>Nr. </w:t>
      </w:r>
      <w:r w:rsidRPr="009118AB">
        <w:rPr>
          <w:i/>
          <w:iCs/>
        </w:rPr>
        <w:t>2</w:t>
      </w:r>
      <w:r w:rsidRPr="009118AB">
        <w:rPr>
          <w:i/>
        </w:rPr>
        <w:t xml:space="preserve"> des G. vom 25. Dezember 2016 (I) (B.S. vom 29. Dezember 2016)</w:t>
      </w:r>
      <w:r w:rsidR="00D67EB8" w:rsidRPr="009118AB">
        <w:rPr>
          <w:i/>
        </w:rPr>
        <w:t> - </w:t>
      </w:r>
      <w:r w:rsidRPr="009118AB">
        <w:rPr>
          <w:i/>
        </w:rPr>
        <w:t>in Kraft am 1. Januar 2017 und anwendbar auf Liquidationsrücklagen, die für einen Besteuerungszeitraum gebildet werden, der frühestens an das Steuerjahr 2018 gebunden ist</w:t>
      </w:r>
      <w:r w:rsidR="003366D9" w:rsidRPr="009118AB">
        <w:rPr>
          <w:i/>
        </w:rPr>
        <w:t> -;</w:t>
      </w:r>
      <w:r w:rsidRPr="009118AB">
        <w:rPr>
          <w:i/>
          <w:iCs/>
        </w:rPr>
        <w:t xml:space="preserve"> einziger Absatz </w:t>
      </w:r>
      <w:r w:rsidR="00D67EB8" w:rsidRPr="009118AB">
        <w:rPr>
          <w:i/>
          <w:iCs/>
        </w:rPr>
        <w:t>Nr. </w:t>
      </w:r>
      <w:r w:rsidRPr="009118AB">
        <w:rPr>
          <w:i/>
          <w:iCs/>
        </w:rPr>
        <w:t xml:space="preserve">4 einziger Absatz Buchstabe a) </w:t>
      </w:r>
      <w:r w:rsidR="00D67EB8" w:rsidRPr="009118AB">
        <w:rPr>
          <w:i/>
          <w:iCs/>
        </w:rPr>
        <w:t>Abs. </w:t>
      </w:r>
      <w:r w:rsidRPr="009118AB">
        <w:rPr>
          <w:i/>
          <w:iCs/>
        </w:rPr>
        <w:t xml:space="preserve">1 abgeändert durch </w:t>
      </w:r>
      <w:r w:rsidR="00D67EB8" w:rsidRPr="009118AB">
        <w:rPr>
          <w:i/>
          <w:iCs/>
        </w:rPr>
        <w:t>Art. </w:t>
      </w:r>
      <w:r w:rsidRPr="009118AB">
        <w:rPr>
          <w:i/>
          <w:iCs/>
        </w:rPr>
        <w:t xml:space="preserve">24 </w:t>
      </w:r>
      <w:r w:rsidR="00D67EB8" w:rsidRPr="009118AB">
        <w:rPr>
          <w:i/>
          <w:iCs/>
        </w:rPr>
        <w:t>Nr. </w:t>
      </w:r>
      <w:r w:rsidRPr="009118AB">
        <w:rPr>
          <w:i/>
          <w:iCs/>
        </w:rPr>
        <w:t>1 des G. vom 6. Juli </w:t>
      </w:r>
      <w:r w:rsidR="008C16A3" w:rsidRPr="009118AB">
        <w:rPr>
          <w:i/>
          <w:iCs/>
        </w:rPr>
        <w:t>1994 (B.S. vom 16. Juli 1994)</w:t>
      </w:r>
      <w:r w:rsidR="00D67EB8" w:rsidRPr="009118AB">
        <w:rPr>
          <w:i/>
          <w:iCs/>
        </w:rPr>
        <w:t> - </w:t>
      </w:r>
      <w:r w:rsidRPr="009118AB">
        <w:rPr>
          <w:i/>
          <w:iCs/>
        </w:rPr>
        <w:t>a</w:t>
      </w:r>
      <w:r w:rsidR="008C16A3" w:rsidRPr="009118AB">
        <w:rPr>
          <w:i/>
          <w:iCs/>
        </w:rPr>
        <w:t>nwendbar ab dem Steuerjahr 1992</w:t>
      </w:r>
      <w:r w:rsidR="00D67EB8" w:rsidRPr="009118AB">
        <w:rPr>
          <w:i/>
          <w:iCs/>
        </w:rPr>
        <w:t> - </w:t>
      </w:r>
      <w:r w:rsidRPr="009118AB">
        <w:rPr>
          <w:i/>
          <w:iCs/>
        </w:rPr>
        <w:t xml:space="preserve">und </w:t>
      </w:r>
      <w:r w:rsidR="00D67EB8" w:rsidRPr="009118AB">
        <w:rPr>
          <w:i/>
          <w:iCs/>
        </w:rPr>
        <w:t>Art. </w:t>
      </w:r>
      <w:r w:rsidRPr="009118AB">
        <w:rPr>
          <w:i/>
          <w:iCs/>
        </w:rPr>
        <w:t xml:space="preserve">14 </w:t>
      </w:r>
      <w:r w:rsidR="00D67EB8" w:rsidRPr="009118AB">
        <w:rPr>
          <w:i/>
          <w:iCs/>
        </w:rPr>
        <w:t>Nr. </w:t>
      </w:r>
      <w:r w:rsidRPr="009118AB">
        <w:rPr>
          <w:i/>
          <w:iCs/>
        </w:rPr>
        <w:t>3</w:t>
      </w:r>
      <w:r w:rsidRPr="009118AB">
        <w:rPr>
          <w:i/>
        </w:rPr>
        <w:t xml:space="preserve"> </w:t>
      </w:r>
      <w:r w:rsidRPr="009118AB">
        <w:rPr>
          <w:i/>
          <w:iCs/>
        </w:rPr>
        <w:t>des G. vom 25. Dezember 2017 (III) (B.S. vom 29. Dezember 2017)</w:t>
      </w:r>
      <w:r w:rsidR="00D67EB8" w:rsidRPr="009118AB">
        <w:rPr>
          <w:i/>
          <w:iCs/>
        </w:rPr>
        <w:t> - </w:t>
      </w:r>
      <w:r w:rsidRPr="009118AB">
        <w:rPr>
          <w:i/>
          <w:iCs/>
        </w:rPr>
        <w:t xml:space="preserve">in Kraft am 1. Januar 2018 und anwendbar ab dem Steuerjahr 2019, das sich auf einen Besteuerungszeitraum bezieht, der </w:t>
      </w:r>
      <w:r w:rsidRPr="009118AB">
        <w:rPr>
          <w:i/>
          <w:iCs/>
        </w:rPr>
        <w:lastRenderedPageBreak/>
        <w:t>frühestens am 1. Januar 2018 beginnt</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b) ersetzt durch </w:t>
      </w:r>
      <w:r w:rsidR="00D67EB8" w:rsidRPr="009118AB">
        <w:rPr>
          <w:i/>
          <w:iCs/>
        </w:rPr>
        <w:t>Art. </w:t>
      </w:r>
      <w:r w:rsidRPr="009118AB">
        <w:rPr>
          <w:i/>
          <w:iCs/>
        </w:rPr>
        <w:t xml:space="preserve">14 </w:t>
      </w:r>
      <w:r w:rsidR="00D67EB8" w:rsidRPr="009118AB">
        <w:rPr>
          <w:i/>
          <w:iCs/>
        </w:rPr>
        <w:t>Nr. </w:t>
      </w:r>
      <w:r w:rsidRPr="009118AB">
        <w:rPr>
          <w:i/>
          <w:iCs/>
        </w:rPr>
        <w:t>4</w:t>
      </w:r>
      <w:r w:rsidRPr="009118AB">
        <w:rPr>
          <w:i/>
        </w:rPr>
        <w:t xml:space="preserve"> </w:t>
      </w:r>
      <w:r w:rsidRPr="009118AB">
        <w:rPr>
          <w:i/>
          <w:iCs/>
        </w:rPr>
        <w:t>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3366D9" w:rsidRPr="009118AB">
        <w:rPr>
          <w:i/>
          <w:iCs/>
        </w:rPr>
        <w:t> -;</w:t>
      </w:r>
      <w:r w:rsidRPr="009118AB">
        <w:rPr>
          <w:i/>
          <w:iCs/>
        </w:rPr>
        <w:t xml:space="preserve"> </w:t>
      </w:r>
      <w:r w:rsidR="00271EEB" w:rsidRPr="009118AB">
        <w:rPr>
          <w:i/>
          <w:iCs/>
        </w:rPr>
        <w:t xml:space="preserve">einziger Absatz </w:t>
      </w:r>
      <w:r w:rsidR="00D67EB8" w:rsidRPr="009118AB">
        <w:rPr>
          <w:i/>
          <w:iCs/>
        </w:rPr>
        <w:t>Nr. </w:t>
      </w:r>
      <w:r w:rsidR="00271EEB" w:rsidRPr="009118AB">
        <w:rPr>
          <w:i/>
          <w:iCs/>
        </w:rPr>
        <w:t xml:space="preserve">4 einziger Absatz Buchstabe b/1) eingefügt durch </w:t>
      </w:r>
      <w:r w:rsidR="00D67EB8" w:rsidRPr="009118AB">
        <w:rPr>
          <w:i/>
          <w:iCs/>
        </w:rPr>
        <w:t>Art. </w:t>
      </w:r>
      <w:r w:rsidR="00271EEB" w:rsidRPr="009118AB">
        <w:rPr>
          <w:i/>
          <w:iCs/>
        </w:rPr>
        <w:t>38 des G. vom 21. Januar 2022 (B.S. vom 28. Januar 2022)</w:t>
      </w:r>
      <w:r w:rsidR="00D67EB8" w:rsidRPr="009118AB">
        <w:rPr>
          <w:i/>
          <w:iCs/>
        </w:rPr>
        <w:t> - </w:t>
      </w:r>
      <w:r w:rsidR="00271EEB" w:rsidRPr="009118AB">
        <w:rPr>
          <w:i/>
          <w:iCs/>
        </w:rPr>
        <w:t>in Kraft am 31. Dezember 2021 und anwendbar ab dem Steuerjahr 2022</w:t>
      </w:r>
      <w:r w:rsidR="003366D9" w:rsidRPr="009118AB">
        <w:rPr>
          <w:i/>
          <w:iCs/>
        </w:rPr>
        <w:t> -;</w:t>
      </w:r>
      <w:r w:rsidR="00271EEB" w:rsidRPr="009118AB">
        <w:rPr>
          <w:i/>
          <w:iCs/>
        </w:rPr>
        <w:t xml:space="preserve"> </w:t>
      </w:r>
      <w:r w:rsidRPr="009118AB">
        <w:rPr>
          <w:i/>
          <w:iCs/>
        </w:rPr>
        <w:t xml:space="preserve">einziger Absatz </w:t>
      </w:r>
      <w:r w:rsidR="00D67EB8" w:rsidRPr="009118AB">
        <w:rPr>
          <w:i/>
          <w:iCs/>
        </w:rPr>
        <w:t>Nr. </w:t>
      </w:r>
      <w:r w:rsidRPr="009118AB">
        <w:rPr>
          <w:i/>
          <w:iCs/>
        </w:rPr>
        <w:t xml:space="preserve">4 einziger Absatz Buchstabe c) abgeändert durch </w:t>
      </w:r>
      <w:r w:rsidR="00D67EB8" w:rsidRPr="009118AB">
        <w:rPr>
          <w:i/>
          <w:iCs/>
        </w:rPr>
        <w:t>Art. </w:t>
      </w:r>
      <w:r w:rsidRPr="009118AB">
        <w:rPr>
          <w:i/>
          <w:iCs/>
        </w:rPr>
        <w:t xml:space="preserve">67 </w:t>
      </w:r>
      <w:r w:rsidR="00D67EB8" w:rsidRPr="009118AB">
        <w:rPr>
          <w:i/>
          <w:iCs/>
        </w:rPr>
        <w:t>Nr. </w:t>
      </w:r>
      <w:r w:rsidRPr="009118AB">
        <w:rPr>
          <w:i/>
          <w:iCs/>
        </w:rPr>
        <w:t>6 des G. vom 26. Dezember 2015 (II) (B.S. vom 30. Dezember 2015)</w:t>
      </w:r>
      <w:r w:rsidR="00D67EB8" w:rsidRPr="009118AB">
        <w:rPr>
          <w:i/>
          <w:iCs/>
        </w:rPr>
        <w:t> - </w:t>
      </w:r>
      <w:r w:rsidRPr="009118AB">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d) abgeändert durch </w:t>
      </w:r>
      <w:r w:rsidR="00D67EB8" w:rsidRPr="009118AB">
        <w:rPr>
          <w:i/>
          <w:iCs/>
        </w:rPr>
        <w:t>Art. </w:t>
      </w:r>
      <w:r w:rsidRPr="009118AB">
        <w:rPr>
          <w:i/>
          <w:iCs/>
        </w:rPr>
        <w:t xml:space="preserve">67 </w:t>
      </w:r>
      <w:r w:rsidR="00D67EB8" w:rsidRPr="009118AB">
        <w:rPr>
          <w:i/>
          <w:iCs/>
        </w:rPr>
        <w:t>Nr. </w:t>
      </w:r>
      <w:r w:rsidRPr="009118AB">
        <w:rPr>
          <w:i/>
          <w:iCs/>
        </w:rPr>
        <w:t>7 des G. vom 26. Dezember 2015 (II) (B.S. vom 30. Dezember 2015)</w:t>
      </w:r>
      <w:r w:rsidR="00D67EB8" w:rsidRPr="009118AB">
        <w:rPr>
          <w:i/>
          <w:iCs/>
        </w:rPr>
        <w:t> - </w:t>
      </w:r>
      <w:r w:rsidRPr="009118AB">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e) abgeändert durch </w:t>
      </w:r>
      <w:r w:rsidR="00D67EB8" w:rsidRPr="009118AB">
        <w:rPr>
          <w:i/>
          <w:iCs/>
        </w:rPr>
        <w:t>Art. </w:t>
      </w:r>
      <w:r w:rsidRPr="009118AB">
        <w:rPr>
          <w:i/>
          <w:iCs/>
        </w:rPr>
        <w:t>19 des K.E. vom 20. Dezember 1996 (B.S. vom 31. Dezember 1996)</w:t>
      </w:r>
      <w:r w:rsidR="00D67EB8" w:rsidRPr="009118AB">
        <w:rPr>
          <w:i/>
          <w:iCs/>
        </w:rPr>
        <w:t> - </w:t>
      </w:r>
      <w:r w:rsidRPr="009118AB">
        <w:rPr>
          <w:i/>
          <w:iCs/>
        </w:rPr>
        <w:t>in Kraft ab dem 1. Januar 1997</w:t>
      </w:r>
      <w:r w:rsidR="00FD68E8" w:rsidRPr="009118AB">
        <w:rPr>
          <w:i/>
          <w:iCs/>
        </w:rPr>
        <w:t> -,</w:t>
      </w:r>
      <w:r w:rsidRPr="009118AB">
        <w:rPr>
          <w:i/>
          <w:iCs/>
        </w:rPr>
        <w:t xml:space="preserve"> </w:t>
      </w:r>
      <w:r w:rsidR="00D67EB8" w:rsidRPr="009118AB">
        <w:rPr>
          <w:i/>
          <w:iCs/>
        </w:rPr>
        <w:t>Art. </w:t>
      </w:r>
      <w:r w:rsidRPr="009118AB">
        <w:rPr>
          <w:i/>
          <w:iCs/>
        </w:rPr>
        <w:t>10 Buchstabe b)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Pr="009118AB">
        <w:rPr>
          <w:i/>
          <w:iCs/>
        </w:rPr>
        <w:t xml:space="preserve">und </w:t>
      </w:r>
      <w:r w:rsidR="00D67EB8" w:rsidRPr="009118AB">
        <w:rPr>
          <w:i/>
          <w:iCs/>
        </w:rPr>
        <w:t>Art. </w:t>
      </w:r>
      <w:r w:rsidRPr="009118AB">
        <w:rPr>
          <w:i/>
          <w:iCs/>
        </w:rPr>
        <w:t xml:space="preserve">67 </w:t>
      </w:r>
      <w:r w:rsidR="00D67EB8" w:rsidRPr="009118AB">
        <w:rPr>
          <w:i/>
          <w:iCs/>
        </w:rPr>
        <w:t>Nr. </w:t>
      </w:r>
      <w:r w:rsidRPr="009118AB">
        <w:rPr>
          <w:i/>
          <w:iCs/>
        </w:rPr>
        <w:t>8 des G. vom 26. Dezember 2015 (II) (B.S. vom 30. Dezember 2015)</w:t>
      </w:r>
      <w:r w:rsidR="00D67EB8" w:rsidRPr="009118AB">
        <w:rPr>
          <w:i/>
          <w:iCs/>
        </w:rPr>
        <w:t> - </w:t>
      </w:r>
      <w:r w:rsidRPr="009118AB">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f) ersetzt durch </w:t>
      </w:r>
      <w:r w:rsidR="00D67EB8" w:rsidRPr="009118AB">
        <w:rPr>
          <w:i/>
          <w:iCs/>
        </w:rPr>
        <w:t>Art. </w:t>
      </w:r>
      <w:r w:rsidRPr="009118AB">
        <w:rPr>
          <w:i/>
          <w:iCs/>
        </w:rPr>
        <w:t xml:space="preserve">86 </w:t>
      </w:r>
      <w:r w:rsidR="00D67EB8" w:rsidRPr="009118AB">
        <w:rPr>
          <w:i/>
          <w:iCs/>
        </w:rPr>
        <w:t>Nr. </w:t>
      </w:r>
      <w:r w:rsidRPr="009118AB">
        <w:rPr>
          <w:i/>
          <w:iCs/>
        </w:rPr>
        <w:t>7 des G. vom 28. April 2003 (B.S. vom 15. Mai 2003)</w:t>
      </w:r>
      <w:r w:rsidR="00D67EB8" w:rsidRPr="009118AB">
        <w:rPr>
          <w:i/>
          <w:iCs/>
        </w:rPr>
        <w:t> - </w:t>
      </w:r>
      <w:r w:rsidRPr="009118AB">
        <w:rPr>
          <w:i/>
          <w:iCs/>
        </w:rPr>
        <w:t xml:space="preserve">anwendbar auf Leibrenten, Renten, Entschädigungen, andere als in </w:t>
      </w:r>
      <w:r w:rsidR="00D67EB8" w:rsidRPr="009118AB">
        <w:rPr>
          <w:i/>
          <w:iCs/>
        </w:rPr>
        <w:t>Art. </w:t>
      </w:r>
      <w:r w:rsidRPr="009118AB">
        <w:rPr>
          <w:i/>
          <w:iCs/>
        </w:rPr>
        <w:t xml:space="preserve">23 </w:t>
      </w:r>
      <w:r w:rsidR="00D67EB8" w:rsidRPr="009118AB">
        <w:rPr>
          <w:i/>
          <w:iCs/>
        </w:rPr>
        <w:t>§ </w:t>
      </w:r>
      <w:r w:rsidRPr="009118AB">
        <w:rPr>
          <w:i/>
          <w:iCs/>
        </w:rPr>
        <w:t xml:space="preserve">3 Buchstabe A </w:t>
      </w:r>
      <w:r w:rsidR="00D67EB8" w:rsidRPr="009118AB">
        <w:rPr>
          <w:i/>
          <w:iCs/>
        </w:rPr>
        <w:t>Nr. </w:t>
      </w:r>
      <w:r w:rsidRPr="009118AB">
        <w:rPr>
          <w:i/>
          <w:iCs/>
        </w:rPr>
        <w:t>6 erwähnte Kapitalien, Rückkaufswerte von Lebens</w:t>
      </w:r>
      <w:r w:rsidRPr="009118AB">
        <w:rPr>
          <w:i/>
          <w:iCs/>
        </w:rPr>
        <w:softHyphen/>
        <w:t>versicherungs</w:t>
      </w:r>
      <w:r w:rsidRPr="009118AB">
        <w:rPr>
          <w:i/>
          <w:iCs/>
        </w:rPr>
        <w:softHyphen/>
        <w:t>verträgen, Pensionen und ergänzende Pensionen, die ab dem 1. Januar 2004 ausgezahlt werden</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f) einziger Absatz einleitende Bestimmung abgeändert durch </w:t>
      </w:r>
      <w:r w:rsidR="00D67EB8" w:rsidRPr="009118AB">
        <w:rPr>
          <w:i/>
          <w:iCs/>
        </w:rPr>
        <w:t>Art. </w:t>
      </w:r>
      <w:r w:rsidRPr="009118AB">
        <w:rPr>
          <w:i/>
          <w:iCs/>
        </w:rPr>
        <w:t xml:space="preserve">64 </w:t>
      </w:r>
      <w:r w:rsidR="00D67EB8" w:rsidRPr="009118AB">
        <w:rPr>
          <w:i/>
          <w:iCs/>
        </w:rPr>
        <w:t>Nr. </w:t>
      </w:r>
      <w:r w:rsidRPr="009118AB">
        <w:rPr>
          <w:i/>
          <w:iCs/>
        </w:rPr>
        <w:t>5 Buchstabe</w:t>
      </w:r>
      <w:r w:rsidR="00645469" w:rsidRPr="009118AB">
        <w:rPr>
          <w:i/>
          <w:iCs/>
        </w:rPr>
        <w:t> </w:t>
      </w:r>
      <w:r w:rsidRPr="009118AB">
        <w:rPr>
          <w:i/>
          <w:iCs/>
        </w:rPr>
        <w:t>a) des G. vom 22. Juni 2012 (B.S. vom 28. Juni 2012)</w:t>
      </w:r>
      <w:r w:rsidR="00D67EB8" w:rsidRPr="009118AB">
        <w:rPr>
          <w:i/>
          <w:iCs/>
        </w:rPr>
        <w:t> - </w:t>
      </w:r>
      <w:r w:rsidRPr="009118AB">
        <w:rPr>
          <w:i/>
          <w:iCs/>
        </w:rPr>
        <w:t>anwendbar auf die ab dem 1. Juli 2013 gezahlten oder zuerkannten Kapitalien und Rückkaufswerte</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f) einziger Absatz dritter Gedankenstrich eingefügt durch </w:t>
      </w:r>
      <w:r w:rsidR="00D67EB8" w:rsidRPr="009118AB">
        <w:rPr>
          <w:i/>
          <w:iCs/>
        </w:rPr>
        <w:t>Art. </w:t>
      </w:r>
      <w:r w:rsidRPr="009118AB">
        <w:rPr>
          <w:i/>
          <w:iCs/>
        </w:rPr>
        <w:t xml:space="preserve">102 </w:t>
      </w:r>
      <w:r w:rsidR="00D67EB8" w:rsidRPr="009118AB">
        <w:rPr>
          <w:i/>
          <w:iCs/>
        </w:rPr>
        <w:t>Nr. </w:t>
      </w:r>
      <w:r w:rsidRPr="009118AB">
        <w:rPr>
          <w:i/>
          <w:iCs/>
        </w:rPr>
        <w:t>2 des G. vom 23. Dezember 2005 (B.S. vom 30. Dezember 2005)</w:t>
      </w:r>
      <w:r w:rsidR="00D67EB8" w:rsidRPr="009118AB">
        <w:rPr>
          <w:i/>
          <w:iCs/>
        </w:rPr>
        <w:t> - </w:t>
      </w:r>
      <w:r w:rsidRPr="009118AB">
        <w:rPr>
          <w:i/>
          <w:iCs/>
        </w:rPr>
        <w:t>anwendbar auf die ab dem 1. Januar 2006 ausgezahlten Kapitalien</w:t>
      </w:r>
      <w:r w:rsidR="00D67EB8" w:rsidRPr="009118AB">
        <w:rPr>
          <w:i/>
          <w:iCs/>
        </w:rPr>
        <w:t> - </w:t>
      </w:r>
      <w:r w:rsidRPr="009118AB">
        <w:rPr>
          <w:i/>
          <w:iCs/>
        </w:rPr>
        <w:t xml:space="preserve">und ersetzt durch </w:t>
      </w:r>
      <w:r w:rsidR="00D67EB8" w:rsidRPr="009118AB">
        <w:rPr>
          <w:i/>
          <w:iCs/>
        </w:rPr>
        <w:t>Art. </w:t>
      </w:r>
      <w:r w:rsidRPr="009118AB">
        <w:rPr>
          <w:i/>
          <w:iCs/>
        </w:rPr>
        <w:t>125 Buchstabe b) des G. (I) vom 22. Dezember 2008 (II) (B.S. vom 29. Dezember 2008)</w:t>
      </w:r>
      <w:r w:rsidR="00D67EB8" w:rsidRPr="009118AB">
        <w:rPr>
          <w:i/>
          <w:iCs/>
        </w:rPr>
        <w:t> - </w:t>
      </w:r>
      <w:r w:rsidRPr="009118AB">
        <w:rPr>
          <w:i/>
          <w:iCs/>
        </w:rPr>
        <w:t>anwendbar auf die ab dem 1. Januar 2009 gezahlten oder zuerkannten Leistungen</w:t>
      </w:r>
      <w:r w:rsidR="003366D9" w:rsidRPr="009118AB">
        <w:rPr>
          <w:i/>
          <w:iCs/>
        </w:rPr>
        <w:t> -;</w:t>
      </w:r>
      <w:r w:rsidR="00563019" w:rsidRPr="009118AB">
        <w:rPr>
          <w:i/>
          <w:iCs/>
        </w:rPr>
        <w:t xml:space="preserve"> einziger Absatz </w:t>
      </w:r>
      <w:r w:rsidR="00D67EB8" w:rsidRPr="009118AB">
        <w:rPr>
          <w:i/>
          <w:iCs/>
        </w:rPr>
        <w:t>Nr. </w:t>
      </w:r>
      <w:r w:rsidR="00563019" w:rsidRPr="009118AB">
        <w:rPr>
          <w:i/>
          <w:iCs/>
        </w:rPr>
        <w:t xml:space="preserve">4 einziger Absatz Buchstabe f) einziger Absatz neuer vierter Gedankenstrich eingefügt durch </w:t>
      </w:r>
      <w:r w:rsidR="00D67EB8" w:rsidRPr="009118AB">
        <w:rPr>
          <w:i/>
          <w:iCs/>
        </w:rPr>
        <w:t>Art. </w:t>
      </w:r>
      <w:r w:rsidR="00563019" w:rsidRPr="009118AB">
        <w:rPr>
          <w:i/>
          <w:iCs/>
        </w:rPr>
        <w:t xml:space="preserve">2 </w:t>
      </w:r>
      <w:r w:rsidR="00D67EB8" w:rsidRPr="009118AB">
        <w:rPr>
          <w:i/>
          <w:iCs/>
        </w:rPr>
        <w:t>Nr. </w:t>
      </w:r>
      <w:r w:rsidR="00563019" w:rsidRPr="009118AB">
        <w:rPr>
          <w:i/>
          <w:iCs/>
        </w:rPr>
        <w:t>2 des G. vom 27. Februar 2019 (B.S. vom 15. März 2019)</w:t>
      </w:r>
      <w:r w:rsidR="00D67EB8" w:rsidRPr="009118AB">
        <w:rPr>
          <w:i/>
          <w:iCs/>
        </w:rPr>
        <w:t> - </w:t>
      </w:r>
      <w:r w:rsidR="00563019" w:rsidRPr="009118AB">
        <w:rPr>
          <w:i/>
          <w:iCs/>
        </w:rPr>
        <w:t>wirksam mit 1. Januar 2019 und anwendbar auf die ab dem 1. Januar 2019 getätigten Zahlungen von Kapitalien</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f) einziger Absatz </w:t>
      </w:r>
      <w:r w:rsidR="00563019" w:rsidRPr="009118AB">
        <w:rPr>
          <w:i/>
          <w:iCs/>
        </w:rPr>
        <w:t>neuer fünft</w:t>
      </w:r>
      <w:r w:rsidRPr="009118AB">
        <w:rPr>
          <w:i/>
          <w:iCs/>
        </w:rPr>
        <w:t xml:space="preserve">er Gedankenstrich eingefügt durch </w:t>
      </w:r>
      <w:r w:rsidR="00D67EB8" w:rsidRPr="009118AB">
        <w:rPr>
          <w:i/>
          <w:iCs/>
        </w:rPr>
        <w:t>Art. </w:t>
      </w:r>
      <w:r w:rsidRPr="009118AB">
        <w:rPr>
          <w:i/>
          <w:iCs/>
        </w:rPr>
        <w:t xml:space="preserve">64 </w:t>
      </w:r>
      <w:r w:rsidR="00D67EB8" w:rsidRPr="009118AB">
        <w:rPr>
          <w:i/>
          <w:iCs/>
        </w:rPr>
        <w:t>Nr. </w:t>
      </w:r>
      <w:r w:rsidRPr="009118AB">
        <w:rPr>
          <w:i/>
          <w:iCs/>
        </w:rPr>
        <w:t>5 Buchstabe b) des G. vom 22. Juni 2012 (B.S. vom 28. Juni 2012)</w:t>
      </w:r>
      <w:r w:rsidR="00D67EB8" w:rsidRPr="009118AB">
        <w:rPr>
          <w:i/>
          <w:iCs/>
        </w:rPr>
        <w:t> - </w:t>
      </w:r>
      <w:r w:rsidRPr="009118AB">
        <w:rPr>
          <w:i/>
          <w:iCs/>
        </w:rPr>
        <w:t>anwendbar auf die ab dem 1. Juli 2013 gezahlten oder zuerkannten Kapitalien und Rückkaufswerte</w:t>
      </w:r>
      <w:r w:rsidR="00D67EB8" w:rsidRPr="009118AB">
        <w:rPr>
          <w:i/>
          <w:iCs/>
        </w:rPr>
        <w:t> - </w:t>
      </w:r>
      <w:r w:rsidRPr="009118AB">
        <w:rPr>
          <w:i/>
          <w:iCs/>
        </w:rPr>
        <w:t xml:space="preserve">und abgeändert durch </w:t>
      </w:r>
      <w:r w:rsidR="00D67EB8" w:rsidRPr="009118AB">
        <w:rPr>
          <w:i/>
          <w:iCs/>
        </w:rPr>
        <w:t>Art. </w:t>
      </w:r>
      <w:r w:rsidRPr="009118AB">
        <w:rPr>
          <w:i/>
          <w:iCs/>
        </w:rPr>
        <w:t xml:space="preserve">38 </w:t>
      </w:r>
      <w:r w:rsidR="00D67EB8" w:rsidRPr="009118AB">
        <w:rPr>
          <w:i/>
          <w:iCs/>
        </w:rPr>
        <w:t>Nr. </w:t>
      </w:r>
      <w:r w:rsidRPr="009118AB">
        <w:rPr>
          <w:i/>
          <w:iCs/>
        </w:rPr>
        <w:t>3 des G. vom 1. Juli 2016 (B.S. vom 4. Juli 2016)</w:t>
      </w:r>
      <w:r w:rsidR="00D67EB8" w:rsidRPr="009118AB">
        <w:rPr>
          <w:i/>
          <w:iCs/>
        </w:rPr>
        <w:t> - </w:t>
      </w:r>
      <w:r w:rsidRPr="009118AB">
        <w:rPr>
          <w:i/>
          <w:iCs/>
        </w:rPr>
        <w:t>anwendbar auf die ab dem 1. Juli 2016 gezahlten oder zuerkannten Einkünfte</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fbis) eingefügt durch </w:t>
      </w:r>
      <w:r w:rsidR="00D67EB8" w:rsidRPr="009118AB">
        <w:rPr>
          <w:i/>
          <w:iCs/>
        </w:rPr>
        <w:t>Art. </w:t>
      </w:r>
      <w:r w:rsidRPr="009118AB">
        <w:rPr>
          <w:i/>
          <w:iCs/>
        </w:rPr>
        <w:t xml:space="preserve">15 </w:t>
      </w:r>
      <w:r w:rsidR="00D67EB8" w:rsidRPr="009118AB">
        <w:rPr>
          <w:i/>
          <w:iCs/>
        </w:rPr>
        <w:t>Nr. </w:t>
      </w:r>
      <w:r w:rsidRPr="009118AB">
        <w:rPr>
          <w:i/>
          <w:iCs/>
        </w:rPr>
        <w:t>3 des G. vom 28. Juli 1992 (B.S. vom 31. Juli 1992)</w:t>
      </w:r>
      <w:r w:rsidR="00D67EB8" w:rsidRPr="009118AB">
        <w:rPr>
          <w:i/>
          <w:iCs/>
        </w:rPr>
        <w:t> - </w:t>
      </w:r>
      <w:r w:rsidRPr="009118AB">
        <w:rPr>
          <w:i/>
          <w:iCs/>
        </w:rPr>
        <w:t>anwendbar auf Kapitalien und Rückkaufswerte, die ab dem 1. August 1995 ausgezahlt werden</w:t>
      </w:r>
      <w:r w:rsidR="00D67EB8" w:rsidRPr="009118AB">
        <w:rPr>
          <w:i/>
          <w:iCs/>
        </w:rPr>
        <w:t> - </w:t>
      </w:r>
      <w:r w:rsidRPr="009118AB">
        <w:rPr>
          <w:i/>
          <w:iCs/>
        </w:rPr>
        <w:t xml:space="preserve">und aufgehoben durch </w:t>
      </w:r>
      <w:r w:rsidR="00D67EB8" w:rsidRPr="009118AB">
        <w:rPr>
          <w:i/>
          <w:iCs/>
        </w:rPr>
        <w:t>Art. </w:t>
      </w:r>
      <w:r w:rsidRPr="009118AB">
        <w:rPr>
          <w:i/>
          <w:iCs/>
        </w:rPr>
        <w:t xml:space="preserve">89 </w:t>
      </w:r>
      <w:r w:rsidR="00D67EB8" w:rsidRPr="009118AB">
        <w:rPr>
          <w:i/>
          <w:iCs/>
        </w:rPr>
        <w:t>Nr. </w:t>
      </w:r>
      <w:r w:rsidRPr="009118AB">
        <w:rPr>
          <w:i/>
          <w:iCs/>
        </w:rPr>
        <w:t>4 des G. vom 28. Dezember 1992 (B.S. vom 31. Dezember 1992)</w:t>
      </w:r>
      <w:r w:rsidR="00D67EB8" w:rsidRPr="009118AB">
        <w:rPr>
          <w:i/>
          <w:iCs/>
        </w:rPr>
        <w:t> - </w:t>
      </w:r>
      <w:r w:rsidRPr="009118AB">
        <w:rPr>
          <w:i/>
          <w:iCs/>
        </w:rPr>
        <w:t>anwendbar ab dem Steuerjahr 1993</w:t>
      </w:r>
      <w:r w:rsidR="003366D9" w:rsidRPr="009118AB">
        <w:rPr>
          <w:i/>
          <w:iCs/>
        </w:rPr>
        <w:t> -;</w:t>
      </w:r>
      <w:r w:rsidRPr="009118AB">
        <w:rPr>
          <w:i/>
          <w:iCs/>
        </w:rPr>
        <w:t xml:space="preserve"> einziger Absatz </w:t>
      </w:r>
      <w:r w:rsidR="00D67EB8" w:rsidRPr="009118AB">
        <w:rPr>
          <w:i/>
          <w:iCs/>
        </w:rPr>
        <w:t>Nr. </w:t>
      </w:r>
      <w:r w:rsidRPr="009118AB">
        <w:rPr>
          <w:i/>
          <w:iCs/>
        </w:rPr>
        <w:t xml:space="preserve">4 </w:t>
      </w:r>
      <w:r w:rsidRPr="009118AB">
        <w:rPr>
          <w:i/>
          <w:iCs/>
        </w:rPr>
        <w:lastRenderedPageBreak/>
        <w:t xml:space="preserve">einziger Absatz Buchstabe g) ersetzt durch </w:t>
      </w:r>
      <w:r w:rsidR="00D67EB8" w:rsidRPr="009118AB">
        <w:rPr>
          <w:i/>
          <w:iCs/>
        </w:rPr>
        <w:t>Art. </w:t>
      </w:r>
      <w:r w:rsidRPr="009118AB">
        <w:rPr>
          <w:i/>
          <w:iCs/>
        </w:rPr>
        <w:t xml:space="preserve">86 </w:t>
      </w:r>
      <w:r w:rsidR="00D67EB8" w:rsidRPr="009118AB">
        <w:rPr>
          <w:i/>
          <w:iCs/>
        </w:rPr>
        <w:t>Nr. </w:t>
      </w:r>
      <w:r w:rsidRPr="009118AB">
        <w:rPr>
          <w:i/>
          <w:iCs/>
        </w:rPr>
        <w:t>8 des G. vom 28. April 2003 (B.S. vom 15. Mai 2003)</w:t>
      </w:r>
      <w:r w:rsidR="00D67EB8" w:rsidRPr="009118AB">
        <w:rPr>
          <w:i/>
          <w:iCs/>
        </w:rPr>
        <w:t> - </w:t>
      </w:r>
      <w:r w:rsidRPr="009118AB">
        <w:rPr>
          <w:i/>
          <w:iCs/>
        </w:rPr>
        <w:t xml:space="preserve">anwendbar auf Leibrenten, Renten, Entschädigungen, andere als in </w:t>
      </w:r>
      <w:r w:rsidR="00D67EB8" w:rsidRPr="009118AB">
        <w:rPr>
          <w:i/>
          <w:iCs/>
        </w:rPr>
        <w:t>Art. </w:t>
      </w:r>
      <w:r w:rsidRPr="009118AB">
        <w:rPr>
          <w:i/>
          <w:iCs/>
        </w:rPr>
        <w:t xml:space="preserve">23 </w:t>
      </w:r>
      <w:r w:rsidR="00D67EB8" w:rsidRPr="009118AB">
        <w:rPr>
          <w:i/>
          <w:iCs/>
        </w:rPr>
        <w:t>§ </w:t>
      </w:r>
      <w:r w:rsidRPr="009118AB">
        <w:rPr>
          <w:i/>
          <w:iCs/>
        </w:rPr>
        <w:t xml:space="preserve">3 Buchstabe A </w:t>
      </w:r>
      <w:r w:rsidR="00D67EB8" w:rsidRPr="009118AB">
        <w:rPr>
          <w:i/>
          <w:iCs/>
        </w:rPr>
        <w:t>Nr. </w:t>
      </w:r>
      <w:r w:rsidRPr="009118AB">
        <w:rPr>
          <w:i/>
          <w:iCs/>
        </w:rPr>
        <w:t>6 erwähnte Kapitalien, Rückkaufswerte von Lebensversi</w:t>
      </w:r>
      <w:r w:rsidRPr="009118AB">
        <w:rPr>
          <w:i/>
          <w:iCs/>
        </w:rPr>
        <w:softHyphen/>
        <w:t>cherungs</w:t>
      </w:r>
      <w:r w:rsidRPr="009118AB">
        <w:rPr>
          <w:i/>
          <w:iCs/>
        </w:rPr>
        <w:softHyphen/>
        <w:t>verträgen, Pensionen und ergänzende Pensionen, die ab dem 1. Januar 2004 ausgezahlt werden</w:t>
      </w:r>
      <w:r w:rsidR="00D67EB8" w:rsidRPr="009118AB">
        <w:rPr>
          <w:i/>
          <w:iCs/>
        </w:rPr>
        <w:t> - </w:t>
      </w:r>
      <w:r w:rsidRPr="009118AB">
        <w:rPr>
          <w:i/>
          <w:iCs/>
        </w:rPr>
        <w:t xml:space="preserve">und abgeändert durch </w:t>
      </w:r>
      <w:r w:rsidR="00D67EB8" w:rsidRPr="009118AB">
        <w:rPr>
          <w:i/>
          <w:iCs/>
        </w:rPr>
        <w:t>Art. </w:t>
      </w:r>
      <w:r w:rsidRPr="009118AB">
        <w:rPr>
          <w:i/>
          <w:iCs/>
        </w:rPr>
        <w:t>176 des G. vom 27. Dezember 2005</w:t>
      </w:r>
      <w:r w:rsidR="00563019" w:rsidRPr="009118AB">
        <w:rPr>
          <w:i/>
          <w:iCs/>
        </w:rPr>
        <w:t> </w:t>
      </w:r>
      <w:r w:rsidRPr="009118AB">
        <w:rPr>
          <w:i/>
          <w:iCs/>
        </w:rPr>
        <w:t>(II) (B.S. vom 30. Dezember 2005)</w:t>
      </w:r>
      <w:r w:rsidR="00D67EB8" w:rsidRPr="009118AB">
        <w:rPr>
          <w:i/>
          <w:iCs/>
        </w:rPr>
        <w:t> - </w:t>
      </w:r>
      <w:r w:rsidRPr="009118AB">
        <w:rPr>
          <w:i/>
          <w:iCs/>
        </w:rPr>
        <w:t>anwendbar auf Leibrenten und Pensionen, ergänzende Pensionen, Renten, Kapitalien, Sparguthaben und Rückkaufswerte, die ab dem 1. Januar 2006 ausgezahlt werden</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i) aufgehoben durch </w:t>
      </w:r>
      <w:r w:rsidR="00D67EB8" w:rsidRPr="009118AB">
        <w:rPr>
          <w:i/>
          <w:iCs/>
        </w:rPr>
        <w:t>Art. </w:t>
      </w:r>
      <w:r w:rsidRPr="009118AB">
        <w:rPr>
          <w:i/>
          <w:iCs/>
        </w:rPr>
        <w:t xml:space="preserve">89 </w:t>
      </w:r>
      <w:r w:rsidR="00D67EB8" w:rsidRPr="009118AB">
        <w:rPr>
          <w:i/>
          <w:iCs/>
        </w:rPr>
        <w:t>Nr. </w:t>
      </w:r>
      <w:r w:rsidRPr="009118AB">
        <w:rPr>
          <w:i/>
          <w:iCs/>
        </w:rPr>
        <w:t>6 des G. vom 28. Dezember 1992 (B.S. vom 31. Dezember 1992)</w:t>
      </w:r>
      <w:r w:rsidR="00D67EB8" w:rsidRPr="009118AB">
        <w:rPr>
          <w:i/>
          <w:iCs/>
        </w:rPr>
        <w:t> - </w:t>
      </w:r>
      <w:r w:rsidRPr="009118AB">
        <w:rPr>
          <w:i/>
          <w:iCs/>
        </w:rPr>
        <w:t>anwendbar ab dem Steuerjahr 1993</w:t>
      </w:r>
      <w:r w:rsidR="00FD68E8" w:rsidRPr="009118AB">
        <w:rPr>
          <w:i/>
          <w:iCs/>
        </w:rPr>
        <w:t> -,</w:t>
      </w:r>
      <w:r w:rsidRPr="009118AB">
        <w:rPr>
          <w:i/>
          <w:iCs/>
        </w:rPr>
        <w:t xml:space="preserve"> wieder aufgenommen durch </w:t>
      </w:r>
      <w:r w:rsidR="00D67EB8" w:rsidRPr="009118AB">
        <w:rPr>
          <w:i/>
          <w:iCs/>
        </w:rPr>
        <w:t>Art. </w:t>
      </w:r>
      <w:r w:rsidRPr="009118AB">
        <w:rPr>
          <w:i/>
          <w:iCs/>
        </w:rPr>
        <w:t xml:space="preserve">30 </w:t>
      </w:r>
      <w:r w:rsidR="00D67EB8" w:rsidRPr="009118AB">
        <w:rPr>
          <w:i/>
          <w:iCs/>
        </w:rPr>
        <w:t>Nr. </w:t>
      </w:r>
      <w:r w:rsidRPr="009118AB">
        <w:rPr>
          <w:i/>
          <w:iCs/>
        </w:rPr>
        <w:t>3 des G. vom 24. Dezember 1993 (B.S. vom 31. Dezember 1993)</w:t>
      </w:r>
      <w:r w:rsidR="00D67EB8" w:rsidRPr="009118AB">
        <w:rPr>
          <w:i/>
          <w:iCs/>
        </w:rPr>
        <w:t> - </w:t>
      </w:r>
      <w:r w:rsidRPr="009118AB">
        <w:rPr>
          <w:i/>
          <w:iCs/>
        </w:rPr>
        <w:t>anwendbar ab dem Steuerjahr 1994</w:t>
      </w:r>
      <w:r w:rsidR="00D67EB8" w:rsidRPr="009118AB">
        <w:rPr>
          <w:i/>
          <w:iCs/>
        </w:rPr>
        <w:t> - </w:t>
      </w:r>
      <w:r w:rsidRPr="009118AB">
        <w:rPr>
          <w:i/>
          <w:iCs/>
        </w:rPr>
        <w:t xml:space="preserve">und ersetzt durch </w:t>
      </w:r>
      <w:r w:rsidR="00D67EB8" w:rsidRPr="009118AB">
        <w:rPr>
          <w:i/>
          <w:iCs/>
        </w:rPr>
        <w:t>Art. </w:t>
      </w:r>
      <w:r w:rsidRPr="009118AB">
        <w:rPr>
          <w:i/>
          <w:iCs/>
        </w:rPr>
        <w:t xml:space="preserve">52 </w:t>
      </w:r>
      <w:r w:rsidR="00D67EB8" w:rsidRPr="009118AB">
        <w:rPr>
          <w:i/>
          <w:iCs/>
        </w:rPr>
        <w:t>Nr. </w:t>
      </w:r>
      <w:r w:rsidRPr="009118AB">
        <w:rPr>
          <w:i/>
          <w:iCs/>
        </w:rPr>
        <w:t>1 des G. vom 19. Dezember 2014 (B.S. vom 29. Dezember 2014)</w:t>
      </w:r>
      <w:r w:rsidR="00D67EB8" w:rsidRPr="009118AB">
        <w:rPr>
          <w:i/>
          <w:iCs/>
        </w:rPr>
        <w:t> - </w:t>
      </w:r>
      <w:r w:rsidRPr="009118AB">
        <w:rPr>
          <w:i/>
          <w:iCs/>
        </w:rPr>
        <w:t>anwendbar auf die ab 2015 gezahlten Prämien</w:t>
      </w:r>
      <w:r w:rsidR="003366D9" w:rsidRPr="009118AB">
        <w:rPr>
          <w:i/>
          <w:iCs/>
        </w:rPr>
        <w:t> -;</w:t>
      </w:r>
      <w:r w:rsidRPr="009118AB">
        <w:rPr>
          <w:i/>
          <w:iCs/>
        </w:rPr>
        <w:t xml:space="preserve"> einziger Absatz </w:t>
      </w:r>
      <w:r w:rsidR="00D67EB8" w:rsidRPr="009118AB">
        <w:rPr>
          <w:i/>
          <w:iCs/>
        </w:rPr>
        <w:t>Nr. </w:t>
      </w:r>
      <w:r w:rsidRPr="009118AB">
        <w:rPr>
          <w:i/>
          <w:iCs/>
        </w:rPr>
        <w:t xml:space="preserve">4 einziger Absatz Buchstabe j) eingefügt durch </w:t>
      </w:r>
      <w:r w:rsidR="00D67EB8" w:rsidRPr="009118AB">
        <w:rPr>
          <w:i/>
          <w:iCs/>
        </w:rPr>
        <w:t>Art. </w:t>
      </w:r>
      <w:r w:rsidRPr="009118AB">
        <w:rPr>
          <w:i/>
          <w:iCs/>
        </w:rPr>
        <w:t>2 Buchstabe b) des G. vom 4. Mai 2007 (B.S. vom 15. Mai 2007)</w:t>
      </w:r>
      <w:r w:rsidR="00D67EB8" w:rsidRPr="009118AB">
        <w:rPr>
          <w:i/>
          <w:iCs/>
        </w:rPr>
        <w:t> - </w:t>
      </w:r>
      <w:r w:rsidRPr="009118AB">
        <w:rPr>
          <w:i/>
          <w:iCs/>
        </w:rPr>
        <w:t>anwendbar auf die ab dem 1. Januar 2008 gezahlten oder zuerkannten Einkünfte</w:t>
      </w:r>
      <w:r w:rsidR="00D67EB8" w:rsidRPr="009118AB">
        <w:rPr>
          <w:i/>
          <w:iCs/>
        </w:rPr>
        <w:t> - </w:t>
      </w:r>
      <w:r w:rsidRPr="009118AB">
        <w:rPr>
          <w:i/>
          <w:iCs/>
        </w:rPr>
        <w:t xml:space="preserve">und abgeändert durch </w:t>
      </w:r>
      <w:r w:rsidR="00D67EB8" w:rsidRPr="009118AB">
        <w:rPr>
          <w:i/>
          <w:iCs/>
        </w:rPr>
        <w:t>Art. </w:t>
      </w:r>
      <w:r w:rsidRPr="009118AB">
        <w:rPr>
          <w:i/>
          <w:iCs/>
        </w:rPr>
        <w:t xml:space="preserve">28 </w:t>
      </w:r>
      <w:r w:rsidR="00D67EB8" w:rsidRPr="009118AB">
        <w:rPr>
          <w:i/>
          <w:iCs/>
        </w:rPr>
        <w:t>Nr. </w:t>
      </w:r>
      <w:r w:rsidRPr="009118AB">
        <w:rPr>
          <w:i/>
          <w:iCs/>
        </w:rPr>
        <w:t>4</w:t>
      </w:r>
      <w:r w:rsidRPr="009118AB">
        <w:rPr>
          <w:iCs/>
        </w:rPr>
        <w:t xml:space="preserve"> </w:t>
      </w:r>
      <w:r w:rsidRPr="009118AB">
        <w:rPr>
          <w:i/>
          <w:iCs/>
        </w:rPr>
        <w:t>des G. vom 22. Dezember 2009</w:t>
      </w:r>
      <w:r w:rsidR="00D85DB4" w:rsidRPr="009118AB">
        <w:rPr>
          <w:i/>
          <w:iCs/>
        </w:rPr>
        <w:t> </w:t>
      </w:r>
      <w:r w:rsidRPr="009118AB">
        <w:rPr>
          <w:i/>
          <w:iCs/>
        </w:rPr>
        <w:t>(I) (B.S. vom 31. Dezember 2009)</w:t>
      </w:r>
      <w:r w:rsidR="00D67EB8" w:rsidRPr="009118AB">
        <w:rPr>
          <w:i/>
          <w:iCs/>
        </w:rPr>
        <w:t> - </w:t>
      </w:r>
      <w:r w:rsidRPr="009118AB">
        <w:rPr>
          <w:i/>
          <w:iCs/>
        </w:rPr>
        <w:t>anwendbar auf die ab dem 1. Januar 2009 gezahlten oder zuerkannten Einkünfte</w:t>
      </w:r>
      <w:r w:rsidR="00D67EB8" w:rsidRPr="009118AB">
        <w:rPr>
          <w:i/>
          <w:iCs/>
        </w:rPr>
        <w:t> - </w:t>
      </w:r>
      <w:r w:rsidR="002071F0" w:rsidRPr="009118AB">
        <w:rPr>
          <w:i/>
          <w:iCs/>
        </w:rPr>
        <w:t xml:space="preserve">und </w:t>
      </w:r>
      <w:r w:rsidR="00D67EB8" w:rsidRPr="009118AB">
        <w:rPr>
          <w:i/>
          <w:iCs/>
        </w:rPr>
        <w:t>Art. </w:t>
      </w:r>
      <w:r w:rsidR="002071F0" w:rsidRPr="009118AB">
        <w:rPr>
          <w:i/>
          <w:iCs/>
        </w:rPr>
        <w:t xml:space="preserve">4 </w:t>
      </w:r>
      <w:r w:rsidR="00D67EB8" w:rsidRPr="009118AB">
        <w:rPr>
          <w:i/>
          <w:iCs/>
        </w:rPr>
        <w:t>Nr. </w:t>
      </w:r>
      <w:r w:rsidR="002071F0" w:rsidRPr="009118AB">
        <w:rPr>
          <w:i/>
          <w:iCs/>
        </w:rPr>
        <w:t>2</w:t>
      </w:r>
      <w:r w:rsidR="002071F0" w:rsidRPr="009118AB">
        <w:rPr>
          <w:i/>
        </w:rPr>
        <w:t xml:space="preserve"> des G. vom 27. Dezember 2021 (B.S. vom 31. Dezember 2021)</w:t>
      </w:r>
      <w:r w:rsidR="00D67EB8" w:rsidRPr="009118AB">
        <w:rPr>
          <w:i/>
        </w:rPr>
        <w:t> - </w:t>
      </w:r>
      <w:r w:rsidR="002071F0" w:rsidRPr="009118AB">
        <w:rPr>
          <w:i/>
        </w:rPr>
        <w:t>anwendbar ab dem 1. Januar 2022</w:t>
      </w:r>
      <w:r w:rsidR="003366D9" w:rsidRPr="009118AB">
        <w:rPr>
          <w:i/>
        </w:rPr>
        <w:t> -;</w:t>
      </w:r>
      <w:r w:rsidRPr="009118AB">
        <w:rPr>
          <w:i/>
          <w:iCs/>
        </w:rPr>
        <w:t xml:space="preserve"> einziger Absatz </w:t>
      </w:r>
      <w:r w:rsidR="00D67EB8" w:rsidRPr="009118AB">
        <w:rPr>
          <w:i/>
          <w:iCs/>
        </w:rPr>
        <w:t>Nr. </w:t>
      </w:r>
      <w:r w:rsidRPr="009118AB">
        <w:rPr>
          <w:i/>
          <w:iCs/>
        </w:rPr>
        <w:t xml:space="preserve">4 einziger Absatz Buchstabe k) eingefügt durch </w:t>
      </w:r>
      <w:r w:rsidR="00D67EB8" w:rsidRPr="009118AB">
        <w:rPr>
          <w:i/>
          <w:iCs/>
        </w:rPr>
        <w:t>Art. </w:t>
      </w:r>
      <w:r w:rsidRPr="009118AB">
        <w:rPr>
          <w:i/>
          <w:iCs/>
        </w:rPr>
        <w:t>2 des G. vom 7. November 2011 (II) (B.S. vom 16. November 2011)</w:t>
      </w:r>
      <w:r w:rsidR="00D67EB8" w:rsidRPr="009118AB">
        <w:rPr>
          <w:i/>
          <w:iCs/>
        </w:rPr>
        <w:t> - </w:t>
      </w:r>
      <w:r w:rsidRPr="009118AB">
        <w:rPr>
          <w:i/>
          <w:iCs/>
        </w:rPr>
        <w:t>anwendbar ab dem Steuerjahr 2012</w:t>
      </w:r>
      <w:r w:rsidR="00D67EB8" w:rsidRPr="009118AB">
        <w:rPr>
          <w:i/>
          <w:iCs/>
        </w:rPr>
        <w:t> - </w:t>
      </w:r>
      <w:r w:rsidRPr="009118AB">
        <w:rPr>
          <w:i/>
          <w:iCs/>
        </w:rPr>
        <w:t xml:space="preserve">und ersetzt durch </w:t>
      </w:r>
      <w:r w:rsidR="00D67EB8" w:rsidRPr="009118AB">
        <w:rPr>
          <w:i/>
          <w:iCs/>
        </w:rPr>
        <w:t>Art. </w:t>
      </w:r>
      <w:r w:rsidRPr="009118AB">
        <w:rPr>
          <w:i/>
          <w:iCs/>
        </w:rPr>
        <w:t>33 des G. vom 13. Dezember 2012 (B.S. vom 20. Dezember 2012)</w:t>
      </w:r>
      <w:r w:rsidR="00D67EB8" w:rsidRPr="009118AB">
        <w:rPr>
          <w:i/>
          <w:iCs/>
        </w:rPr>
        <w:t> - </w:t>
      </w:r>
      <w:r w:rsidRPr="009118AB">
        <w:rPr>
          <w:i/>
          <w:iCs/>
        </w:rPr>
        <w:t>wirksam mit 1. April 2012</w:t>
      </w:r>
      <w:r w:rsidR="003366D9" w:rsidRPr="009118AB">
        <w:rPr>
          <w:i/>
          <w:iCs/>
        </w:rPr>
        <w:t> -;</w:t>
      </w:r>
      <w:r w:rsidRPr="009118AB">
        <w:rPr>
          <w:i/>
          <w:iCs/>
        </w:rPr>
        <w:t xml:space="preserve"> einziger Absatz </w:t>
      </w:r>
      <w:r w:rsidR="00D67EB8" w:rsidRPr="009118AB">
        <w:rPr>
          <w:i/>
          <w:iCs/>
        </w:rPr>
        <w:t>Nr. </w:t>
      </w:r>
      <w:r w:rsidRPr="009118AB">
        <w:rPr>
          <w:i/>
          <w:iCs/>
        </w:rPr>
        <w:t xml:space="preserve">4bis eingefügt durch </w:t>
      </w:r>
      <w:r w:rsidR="00D67EB8" w:rsidRPr="009118AB">
        <w:rPr>
          <w:i/>
          <w:iCs/>
        </w:rPr>
        <w:t>Art. </w:t>
      </w:r>
      <w:r w:rsidRPr="009118AB">
        <w:rPr>
          <w:i/>
          <w:iCs/>
        </w:rPr>
        <w:t xml:space="preserve">52 </w:t>
      </w:r>
      <w:r w:rsidR="00D67EB8" w:rsidRPr="009118AB">
        <w:rPr>
          <w:i/>
          <w:iCs/>
        </w:rPr>
        <w:t>Nr. </w:t>
      </w:r>
      <w:r w:rsidRPr="009118AB">
        <w:rPr>
          <w:i/>
          <w:iCs/>
        </w:rPr>
        <w:t>2 des G. vom 19. Dezember 2014 (B.S. vom 29. Dezember 2014)</w:t>
      </w:r>
      <w:r w:rsidR="00D67EB8" w:rsidRPr="009118AB">
        <w:rPr>
          <w:i/>
          <w:iCs/>
        </w:rPr>
        <w:t> - </w:t>
      </w:r>
      <w:r w:rsidRPr="009118AB">
        <w:rPr>
          <w:i/>
          <w:iCs/>
        </w:rPr>
        <w:t>anwendbar auf die ab 2015 gezahlten Prämien</w:t>
      </w:r>
      <w:r w:rsidR="00D67EB8" w:rsidRPr="009118AB">
        <w:rPr>
          <w:i/>
          <w:iCs/>
        </w:rPr>
        <w:t> - </w:t>
      </w:r>
      <w:r w:rsidRPr="009118AB">
        <w:rPr>
          <w:i/>
          <w:iCs/>
        </w:rPr>
        <w:t xml:space="preserve">und ersetzt durch </w:t>
      </w:r>
      <w:r w:rsidR="00D67EB8" w:rsidRPr="009118AB">
        <w:rPr>
          <w:i/>
          <w:iCs/>
        </w:rPr>
        <w:t>Art. </w:t>
      </w:r>
      <w:r w:rsidRPr="009118AB">
        <w:rPr>
          <w:i/>
          <w:iCs/>
        </w:rPr>
        <w:t>70 des G. vom 18. Dezember 2015 (II) (B.S. vom 28. Dezember 2015)</w:t>
      </w:r>
      <w:r w:rsidR="00D67EB8" w:rsidRPr="009118AB">
        <w:rPr>
          <w:i/>
          <w:iCs/>
        </w:rPr>
        <w:t> - </w:t>
      </w:r>
      <w:r w:rsidRPr="009118AB">
        <w:rPr>
          <w:i/>
          <w:iCs/>
        </w:rPr>
        <w:t>anwendbar ab dem Steuerjahr 2016</w:t>
      </w:r>
      <w:r w:rsidR="003366D9" w:rsidRPr="009118AB">
        <w:rPr>
          <w:i/>
          <w:iCs/>
        </w:rPr>
        <w:t> -;</w:t>
      </w:r>
      <w:r w:rsidRPr="009118AB">
        <w:rPr>
          <w:i/>
          <w:iCs/>
        </w:rPr>
        <w:t xml:space="preserve"> einziger Absatz </w:t>
      </w:r>
      <w:r w:rsidR="00D67EB8" w:rsidRPr="009118AB">
        <w:rPr>
          <w:i/>
          <w:iCs/>
        </w:rPr>
        <w:t>Nr. </w:t>
      </w:r>
      <w:r w:rsidRPr="009118AB">
        <w:rPr>
          <w:i/>
          <w:iCs/>
        </w:rPr>
        <w:t xml:space="preserve">5 einziger Absatz einleitende Bestimmung abgeändert durch </w:t>
      </w:r>
      <w:r w:rsidR="00D67EB8" w:rsidRPr="009118AB">
        <w:rPr>
          <w:i/>
          <w:iCs/>
        </w:rPr>
        <w:t>Art. </w:t>
      </w:r>
      <w:r w:rsidRPr="009118AB">
        <w:rPr>
          <w:i/>
          <w:iCs/>
        </w:rPr>
        <w:t xml:space="preserve">67 </w:t>
      </w:r>
      <w:r w:rsidR="00D67EB8" w:rsidRPr="009118AB">
        <w:rPr>
          <w:i/>
          <w:iCs/>
        </w:rPr>
        <w:t>Nr. </w:t>
      </w:r>
      <w:r w:rsidRPr="009118AB">
        <w:rPr>
          <w:i/>
          <w:iCs/>
        </w:rPr>
        <w:t>3</w:t>
      </w:r>
      <w:r w:rsidRPr="009118AB">
        <w:rPr>
          <w:i/>
        </w:rPr>
        <w:t xml:space="preserve"> des G. vom 8. Mai 2014 (B.S. vom 28. Mai 2014)</w:t>
      </w:r>
      <w:r w:rsidR="00D67EB8" w:rsidRPr="009118AB">
        <w:rPr>
          <w:i/>
        </w:rPr>
        <w:t> - </w:t>
      </w:r>
      <w:r w:rsidRPr="009118AB">
        <w:rPr>
          <w:i/>
          <w:iCs/>
        </w:rPr>
        <w:t>anwendbar, wenn das letzte vorhergehende Jahr, in dem der Steuerpflichtige eine normale Berufstätigkeit hatte, an das Steuerjahr 2015 oder ein späteres Steuerjahr gebunden ist</w:t>
      </w:r>
      <w:r w:rsidR="00FD68E8" w:rsidRPr="009118AB">
        <w:rPr>
          <w:i/>
          <w:iCs/>
        </w:rPr>
        <w:t> -,</w:t>
      </w:r>
      <w:r w:rsidRPr="009118AB">
        <w:rPr>
          <w:i/>
          <w:iCs/>
        </w:rPr>
        <w:t xml:space="preserve"> </w:t>
      </w:r>
      <w:r w:rsidR="00D67EB8" w:rsidRPr="009118AB">
        <w:rPr>
          <w:i/>
          <w:iCs/>
        </w:rPr>
        <w:t>Art. </w:t>
      </w:r>
      <w:r w:rsidRPr="009118AB">
        <w:rPr>
          <w:i/>
          <w:iCs/>
        </w:rPr>
        <w:t>49 des G. vom 10. August 2015 (B.S. vom 18. August 2015)</w:t>
      </w:r>
      <w:r w:rsidR="00D67EB8" w:rsidRPr="009118AB">
        <w:rPr>
          <w:i/>
          <w:iCs/>
        </w:rPr>
        <w:t> - </w:t>
      </w:r>
      <w:r w:rsidRPr="009118AB">
        <w:rPr>
          <w:i/>
          <w:iCs/>
        </w:rPr>
        <w:t>anwendbar ab dem Steuerjahr 2016</w:t>
      </w:r>
      <w:r w:rsidR="00FD68E8" w:rsidRPr="009118AB">
        <w:rPr>
          <w:i/>
          <w:iCs/>
        </w:rPr>
        <w:t> -,</w:t>
      </w:r>
      <w:r w:rsidRPr="009118AB">
        <w:rPr>
          <w:i/>
          <w:iCs/>
        </w:rPr>
        <w:t xml:space="preserve"> </w:t>
      </w:r>
      <w:r w:rsidR="00D67EB8" w:rsidRPr="009118AB">
        <w:rPr>
          <w:i/>
          <w:iCs/>
        </w:rPr>
        <w:t>Art. </w:t>
      </w:r>
      <w:r w:rsidRPr="009118AB">
        <w:rPr>
          <w:i/>
          <w:iCs/>
        </w:rPr>
        <w:t>4</w:t>
      </w:r>
      <w:r w:rsidRPr="009118AB">
        <w:rPr>
          <w:i/>
        </w:rPr>
        <w:t xml:space="preserve"> des G. vom 11. März 2018 (B.S. vom 23. März 2018)</w:t>
      </w:r>
      <w:r w:rsidR="00D67EB8" w:rsidRPr="009118AB">
        <w:rPr>
          <w:i/>
        </w:rPr>
        <w:t> - </w:t>
      </w:r>
      <w:r w:rsidRPr="009118AB">
        <w:rPr>
          <w:i/>
        </w:rPr>
        <w:t>anwendbar ab dem Steuerjahr 2019</w:t>
      </w:r>
      <w:r w:rsidR="00FD68E8" w:rsidRPr="009118AB">
        <w:rPr>
          <w:i/>
        </w:rPr>
        <w:t> -,</w:t>
      </w:r>
      <w:r w:rsidRPr="009118AB">
        <w:rPr>
          <w:i/>
          <w:iCs/>
        </w:rPr>
        <w:t xml:space="preserve"> </w:t>
      </w:r>
      <w:r w:rsidR="00D67EB8" w:rsidRPr="009118AB">
        <w:rPr>
          <w:i/>
          <w:iCs/>
        </w:rPr>
        <w:t>Art. </w:t>
      </w:r>
      <w:r w:rsidRPr="009118AB">
        <w:rPr>
          <w:i/>
          <w:iCs/>
        </w:rPr>
        <w:t xml:space="preserve">31 </w:t>
      </w:r>
      <w:r w:rsidR="00D67EB8" w:rsidRPr="009118AB">
        <w:rPr>
          <w:i/>
          <w:iCs/>
        </w:rPr>
        <w:t>Nr. </w:t>
      </w:r>
      <w:r w:rsidRPr="009118AB">
        <w:rPr>
          <w:i/>
          <w:iCs/>
        </w:rPr>
        <w:t>1 des G. vom 26. März 2018 (B.S. vom 30. März 2018)</w:t>
      </w:r>
      <w:r w:rsidR="00D67EB8" w:rsidRPr="009118AB">
        <w:rPr>
          <w:i/>
          <w:iCs/>
        </w:rPr>
        <w:t> - </w:t>
      </w:r>
      <w:r w:rsidRPr="009118AB">
        <w:rPr>
          <w:i/>
          <w:iCs/>
        </w:rPr>
        <w:t>wirksam ab dem Steuerjahr 2019</w:t>
      </w:r>
      <w:r w:rsidR="00FD68E8" w:rsidRPr="009118AB">
        <w:rPr>
          <w:i/>
          <w:iCs/>
        </w:rPr>
        <w:t> -,</w:t>
      </w:r>
      <w:r w:rsidR="000634A1" w:rsidRPr="009118AB">
        <w:rPr>
          <w:i/>
          <w:iCs/>
        </w:rPr>
        <w:t xml:space="preserve"> </w:t>
      </w:r>
      <w:r w:rsidR="00D67EB8" w:rsidRPr="009118AB">
        <w:rPr>
          <w:i/>
          <w:iCs/>
        </w:rPr>
        <w:t>Art. </w:t>
      </w:r>
      <w:r w:rsidR="000634A1" w:rsidRPr="009118AB">
        <w:rPr>
          <w:i/>
          <w:iCs/>
        </w:rPr>
        <w:t>2</w:t>
      </w:r>
      <w:r w:rsidR="000634A1" w:rsidRPr="009118AB">
        <w:rPr>
          <w:i/>
        </w:rPr>
        <w:t xml:space="preserve"> des G. vom 7. April 2019 (II) (B.S. vom </w:t>
      </w:r>
      <w:r w:rsidR="00C23694" w:rsidRPr="009118AB">
        <w:rPr>
          <w:i/>
        </w:rPr>
        <w:t>3. Mai</w:t>
      </w:r>
      <w:r w:rsidR="000634A1" w:rsidRPr="009118AB">
        <w:rPr>
          <w:i/>
        </w:rPr>
        <w:t> 2019)</w:t>
      </w:r>
      <w:r w:rsidR="00D67EB8" w:rsidRPr="009118AB">
        <w:rPr>
          <w:i/>
        </w:rPr>
        <w:t> - </w:t>
      </w:r>
      <w:r w:rsidR="000634A1" w:rsidRPr="009118AB">
        <w:rPr>
          <w:i/>
        </w:rPr>
        <w:t>anwendbar ab dem Steuerjahr 2019</w:t>
      </w:r>
      <w:r w:rsidR="00FD68E8" w:rsidRPr="009118AB">
        <w:rPr>
          <w:i/>
        </w:rPr>
        <w:t> -,</w:t>
      </w:r>
      <w:r w:rsidR="00642026" w:rsidRPr="009118AB">
        <w:rPr>
          <w:i/>
        </w:rPr>
        <w:t xml:space="preserve"> </w:t>
      </w:r>
      <w:r w:rsidR="00D67EB8" w:rsidRPr="009118AB">
        <w:rPr>
          <w:i/>
        </w:rPr>
        <w:t>Art. </w:t>
      </w:r>
      <w:r w:rsidR="0023427B" w:rsidRPr="009118AB">
        <w:rPr>
          <w:i/>
        </w:rPr>
        <w:t>16</w:t>
      </w:r>
      <w:r w:rsidR="0023427B" w:rsidRPr="009118AB">
        <w:rPr>
          <w:rFonts w:ascii="Times New Roman Italique" w:hAnsi="Times New Roman Italique"/>
          <w:i/>
        </w:rPr>
        <w:t xml:space="preserve"> des G. vom 22. April 2019</w:t>
      </w:r>
      <w:r w:rsidR="00E9160D" w:rsidRPr="009118AB">
        <w:rPr>
          <w:rFonts w:ascii="Times New Roman Italique" w:hAnsi="Times New Roman Italique"/>
          <w:i/>
        </w:rPr>
        <w:t> (I)</w:t>
      </w:r>
      <w:r w:rsidR="0023427B" w:rsidRPr="009118AB">
        <w:rPr>
          <w:rFonts w:ascii="Times New Roman Italique" w:hAnsi="Times New Roman Italique"/>
          <w:i/>
        </w:rPr>
        <w:t xml:space="preserve"> (B.S. vom 8. Mai 2019)</w:t>
      </w:r>
      <w:r w:rsidR="00D67EB8" w:rsidRPr="009118AB">
        <w:rPr>
          <w:rFonts w:ascii="Times New Roman Italique" w:hAnsi="Times New Roman Italique"/>
          <w:i/>
        </w:rPr>
        <w:t> - </w:t>
      </w:r>
      <w:r w:rsidR="0023427B" w:rsidRPr="009118AB">
        <w:rPr>
          <w:rFonts w:ascii="Times New Roman Italique" w:hAnsi="Times New Roman Italique"/>
          <w:i/>
        </w:rPr>
        <w:t>anwendbar ab dem Steuerjahr 2020 auf die ab dem 1. September 2019 gezahlten Prämien</w:t>
      </w:r>
      <w:r w:rsidR="00D67EB8" w:rsidRPr="009118AB">
        <w:rPr>
          <w:rFonts w:ascii="Times New Roman Italique" w:hAnsi="Times New Roman Italique"/>
          <w:i/>
        </w:rPr>
        <w:t> - </w:t>
      </w:r>
      <w:r w:rsidR="00642026" w:rsidRPr="009118AB">
        <w:rPr>
          <w:rFonts w:ascii="Times New Roman Italique" w:hAnsi="Times New Roman Italique"/>
          <w:i/>
        </w:rPr>
        <w:t xml:space="preserve">und </w:t>
      </w:r>
      <w:r w:rsidR="00D67EB8" w:rsidRPr="009118AB">
        <w:rPr>
          <w:rFonts w:ascii="Times New Roman Italique" w:hAnsi="Times New Roman Italique"/>
          <w:i/>
        </w:rPr>
        <w:t>Art. </w:t>
      </w:r>
      <w:r w:rsidR="00642026" w:rsidRPr="009118AB">
        <w:rPr>
          <w:rFonts w:ascii="Times New Roman Italique" w:hAnsi="Times New Roman Italique"/>
          <w:i/>
        </w:rPr>
        <w:t>17</w:t>
      </w:r>
      <w:r w:rsidR="00642026" w:rsidRPr="009118AB">
        <w:rPr>
          <w:rFonts w:eastAsia="Calibri"/>
          <w:i/>
          <w:iCs/>
          <w:lang w:eastAsia="en-US"/>
        </w:rPr>
        <w:t xml:space="preserve"> des G. vom 25. November 2021 (B.S. vom 3. Dezember 2021)</w:t>
      </w:r>
      <w:r w:rsidR="00D67EB8" w:rsidRPr="009118AB">
        <w:rPr>
          <w:rFonts w:eastAsia="Calibri"/>
          <w:i/>
          <w:iCs/>
          <w:lang w:eastAsia="en-US"/>
        </w:rPr>
        <w:t> - </w:t>
      </w:r>
      <w:r w:rsidR="00642026" w:rsidRPr="009118AB">
        <w:rPr>
          <w:rFonts w:eastAsia="Calibri"/>
          <w:i/>
          <w:iCs/>
          <w:lang w:eastAsia="en-US"/>
        </w:rPr>
        <w:t>wirksam mit 1. September 2021</w:t>
      </w:r>
      <w:r w:rsidR="003366D9" w:rsidRPr="009118AB">
        <w:rPr>
          <w:rFonts w:eastAsia="Calibri"/>
          <w:i/>
          <w:iCs/>
          <w:lang w:eastAsia="en-US"/>
        </w:rPr>
        <w:t> -;</w:t>
      </w:r>
      <w:r w:rsidRPr="009118AB">
        <w:rPr>
          <w:i/>
          <w:iCs/>
        </w:rPr>
        <w:t xml:space="preserve"> einziger Absatz </w:t>
      </w:r>
      <w:r w:rsidR="00D67EB8" w:rsidRPr="009118AB">
        <w:rPr>
          <w:i/>
          <w:iCs/>
        </w:rPr>
        <w:t>Nr. </w:t>
      </w:r>
      <w:r w:rsidRPr="009118AB">
        <w:rPr>
          <w:i/>
          <w:iCs/>
        </w:rPr>
        <w:t xml:space="preserve">5 einziger Absatz Buchstabe a) abgeändert durch </w:t>
      </w:r>
      <w:r w:rsidR="00D67EB8" w:rsidRPr="009118AB">
        <w:rPr>
          <w:i/>
          <w:iCs/>
        </w:rPr>
        <w:t>Art. </w:t>
      </w:r>
      <w:r w:rsidRPr="009118AB">
        <w:rPr>
          <w:i/>
          <w:iCs/>
        </w:rPr>
        <w:t xml:space="preserve">1 </w:t>
      </w:r>
      <w:r w:rsidRPr="009118AB">
        <w:rPr>
          <w:rFonts w:ascii="Times New Roman Italique" w:hAnsi="Times New Roman Italique"/>
          <w:i/>
          <w:iCs/>
          <w:spacing w:val="-2"/>
        </w:rPr>
        <w:t>des K.E. vom 20. Juli 2000 (II) (B.S. vom 30. August 2000)</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2002</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selbst</w:t>
      </w:r>
      <w:r w:rsidRPr="009118AB">
        <w:rPr>
          <w:i/>
          <w:iCs/>
        </w:rPr>
        <w:t xml:space="preserve">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D67EB8" w:rsidRPr="009118AB">
        <w:rPr>
          <w:i/>
          <w:iCs/>
        </w:rPr>
        <w:t> -</w:t>
      </w:r>
      <w:r w:rsidR="00033449" w:rsidRPr="009118AB">
        <w:rPr>
          <w:i/>
          <w:iCs/>
        </w:rPr>
        <w:t>,</w:t>
      </w:r>
      <w:r w:rsidR="00D67EB8" w:rsidRPr="009118AB">
        <w:rPr>
          <w:i/>
          <w:iCs/>
        </w:rPr>
        <w:t> </w:t>
      </w:r>
      <w:r w:rsidRPr="009118AB">
        <w:rPr>
          <w:i/>
          <w:iCs/>
        </w:rPr>
        <w:t xml:space="preserve">und durch </w:t>
      </w:r>
      <w:r w:rsidR="00D67EB8" w:rsidRPr="009118AB">
        <w:rPr>
          <w:i/>
          <w:iCs/>
        </w:rPr>
        <w:t>Art. </w:t>
      </w:r>
      <w:r w:rsidRPr="009118AB">
        <w:rPr>
          <w:i/>
          <w:iCs/>
        </w:rPr>
        <w:t>3 des G. vom 19. Juni 2011 (B.S. vom 28. Juni 2011)</w:t>
      </w:r>
      <w:r w:rsidR="00D67EB8" w:rsidRPr="009118AB">
        <w:rPr>
          <w:i/>
          <w:iCs/>
        </w:rPr>
        <w:t> - </w:t>
      </w:r>
      <w:r w:rsidRPr="009118AB">
        <w:rPr>
          <w:i/>
          <w:iCs/>
        </w:rPr>
        <w:t>anwendbar ab dem Steuerjahr 2013</w:t>
      </w:r>
      <w:r w:rsidR="00D67EB8" w:rsidRPr="009118AB">
        <w:rPr>
          <w:i/>
          <w:iCs/>
        </w:rPr>
        <w:t> -</w:t>
      </w:r>
      <w:r w:rsidR="00D85DB4" w:rsidRPr="009118AB">
        <w:rPr>
          <w:i/>
          <w:iCs/>
        </w:rPr>
        <w:t>,</w:t>
      </w:r>
      <w:r w:rsidR="00C030D3" w:rsidRPr="009118AB">
        <w:rPr>
          <w:i/>
          <w:iCs/>
        </w:rPr>
        <w:t xml:space="preserve"> </w:t>
      </w:r>
      <w:r w:rsidR="00D67EB8" w:rsidRPr="009118AB">
        <w:rPr>
          <w:i/>
          <w:iCs/>
        </w:rPr>
        <w:t>Art. </w:t>
      </w:r>
      <w:r w:rsidR="00C030D3" w:rsidRPr="009118AB">
        <w:rPr>
          <w:i/>
          <w:iCs/>
        </w:rPr>
        <w:t>27</w:t>
      </w:r>
      <w:r w:rsidR="00C030D3" w:rsidRPr="009118AB">
        <w:rPr>
          <w:i/>
        </w:rPr>
        <w:t xml:space="preserve"> des G. vom 7. April 2019 (I) (B.S. vom 19. April 2019)</w:t>
      </w:r>
      <w:r w:rsidR="00D85DB4" w:rsidRPr="009118AB">
        <w:rPr>
          <w:i/>
        </w:rPr>
        <w:t xml:space="preserve"> und Art. 11</w:t>
      </w:r>
      <w:r w:rsidR="00D85DB4" w:rsidRPr="009118AB">
        <w:rPr>
          <w:i/>
          <w:iCs/>
        </w:rPr>
        <w:t xml:space="preserve"> des G. vom 31. Juli 2023 (II) (B.S. vom 23. August 2023)</w:t>
      </w:r>
      <w:r w:rsidRPr="009118AB">
        <w:rPr>
          <w:i/>
          <w:iCs/>
        </w:rPr>
        <w:t xml:space="preserve">; einziger Absatz </w:t>
      </w:r>
      <w:r w:rsidR="00D67EB8" w:rsidRPr="009118AB">
        <w:rPr>
          <w:i/>
          <w:iCs/>
        </w:rPr>
        <w:t>Nr. </w:t>
      </w:r>
      <w:r w:rsidRPr="009118AB">
        <w:rPr>
          <w:i/>
          <w:iCs/>
        </w:rPr>
        <w:t xml:space="preserve">5 einziger Absatz Buchstabe b) abgeändert durch </w:t>
      </w:r>
      <w:r w:rsidR="00D67EB8" w:rsidRPr="009118AB">
        <w:rPr>
          <w:i/>
          <w:iCs/>
        </w:rPr>
        <w:t>Art. </w:t>
      </w:r>
      <w:r w:rsidRPr="009118AB">
        <w:rPr>
          <w:i/>
          <w:iCs/>
        </w:rPr>
        <w:t>72 des G. vom 26. März </w:t>
      </w:r>
      <w:r w:rsidR="00252578" w:rsidRPr="009118AB">
        <w:rPr>
          <w:i/>
          <w:iCs/>
        </w:rPr>
        <w:t>2018 (B.S. vom 30. März 2018)</w:t>
      </w:r>
      <w:r w:rsidR="00D67EB8" w:rsidRPr="009118AB">
        <w:rPr>
          <w:i/>
          <w:iCs/>
        </w:rPr>
        <w:t> - </w:t>
      </w:r>
      <w:r w:rsidRPr="009118AB">
        <w:rPr>
          <w:i/>
          <w:iCs/>
        </w:rPr>
        <w:t xml:space="preserve">in Kraft ab dem 1. Mai 2018 und anwendbar </w:t>
      </w:r>
      <w:r w:rsidRPr="009118AB">
        <w:rPr>
          <w:i/>
        </w:rPr>
        <w:t>auf die ab dem 1. Januar 2018 gezahlten oder zuerkannten Entschädigungen, ausgenommen auf Entschädigungen, die vor dem 1. Januar 2018 als vollständige Entschädi</w:t>
      </w:r>
      <w:r w:rsidRPr="009118AB">
        <w:rPr>
          <w:i/>
        </w:rPr>
        <w:softHyphen/>
        <w:t xml:space="preserve">gung oder Teilentschädigung für einen zeitweiligen Gewinn- oder Profitausfall festgestellt oder vermutet wurden, und auf Entschädigungen, die nach dem 1. Januar 2018 als vollständige Entschädigung oder Teilentschädigung für einen zeitweiligen Gewinn- oder Profitausfall festgestellt oder vermutet wurden und mit einem Besteuerungszeitraum verbunden sind, der vor Inkrafttreten des </w:t>
      </w:r>
      <w:r w:rsidRPr="009118AB">
        <w:rPr>
          <w:i/>
        </w:rPr>
        <w:lastRenderedPageBreak/>
        <w:t>Artikels 171 geendet hat</w:t>
      </w:r>
      <w:r w:rsidR="00D67EB8" w:rsidRPr="009118AB">
        <w:rPr>
          <w:i/>
          <w:iCs/>
        </w:rPr>
        <w:t> - </w:t>
      </w:r>
      <w:r w:rsidR="00594E96" w:rsidRPr="009118AB">
        <w:rPr>
          <w:i/>
          <w:iCs/>
        </w:rPr>
        <w:t xml:space="preserve">und </w:t>
      </w:r>
      <w:r w:rsidR="00D67EB8" w:rsidRPr="009118AB">
        <w:rPr>
          <w:i/>
          <w:iCs/>
        </w:rPr>
        <w:t>Art. </w:t>
      </w:r>
      <w:r w:rsidR="00594E96" w:rsidRPr="009118AB">
        <w:rPr>
          <w:i/>
          <w:iCs/>
        </w:rPr>
        <w:t>3 des G. vom 21. Januar 2022 (B.S. vom 28. Januar 2022)</w:t>
      </w:r>
      <w:r w:rsidR="00D67EB8" w:rsidRPr="009118AB">
        <w:rPr>
          <w:i/>
          <w:iCs/>
        </w:rPr>
        <w:t> - </w:t>
      </w:r>
      <w:r w:rsidR="00594E96" w:rsidRPr="009118AB">
        <w:rPr>
          <w:i/>
          <w:iCs/>
        </w:rPr>
        <w:t>anwendbar auf die ab dem 1. Januar 2022 gezahlten oder zuerkannten Einkünfte</w:t>
      </w:r>
      <w:r w:rsidR="003366D9" w:rsidRPr="009118AB">
        <w:rPr>
          <w:i/>
          <w:iCs/>
        </w:rPr>
        <w:t> -;</w:t>
      </w:r>
      <w:r w:rsidRPr="009118AB">
        <w:rPr>
          <w:i/>
          <w:iCs/>
        </w:rPr>
        <w:t xml:space="preserve"> einziger Absatz </w:t>
      </w:r>
      <w:r w:rsidR="00D67EB8" w:rsidRPr="009118AB">
        <w:rPr>
          <w:i/>
          <w:iCs/>
        </w:rPr>
        <w:t>Nr. </w:t>
      </w:r>
      <w:r w:rsidRPr="009118AB">
        <w:rPr>
          <w:i/>
          <w:iCs/>
        </w:rPr>
        <w:t xml:space="preserve">5 einziger Absatz Buchstabe c) abgeändert durch </w:t>
      </w:r>
      <w:r w:rsidR="00D67EB8" w:rsidRPr="009118AB">
        <w:rPr>
          <w:i/>
          <w:iCs/>
        </w:rPr>
        <w:t>Art. </w:t>
      </w:r>
      <w:r w:rsidRPr="009118AB">
        <w:rPr>
          <w:i/>
          <w:iCs/>
        </w:rPr>
        <w:t xml:space="preserve">24 </w:t>
      </w:r>
      <w:r w:rsidR="00D67EB8" w:rsidRPr="009118AB">
        <w:rPr>
          <w:i/>
          <w:iCs/>
        </w:rPr>
        <w:t>Nr. </w:t>
      </w:r>
      <w:r w:rsidRPr="009118AB">
        <w:rPr>
          <w:i/>
          <w:iCs/>
        </w:rPr>
        <w:t>3 des G. vom 6. Juli 1994 (B.S. vom 16. Juli 1994)</w:t>
      </w:r>
      <w:r w:rsidR="00D67EB8" w:rsidRPr="009118AB">
        <w:rPr>
          <w:i/>
          <w:iCs/>
        </w:rPr>
        <w:t> - </w:t>
      </w:r>
      <w:r w:rsidRPr="009118AB">
        <w:rPr>
          <w:i/>
          <w:iCs/>
        </w:rPr>
        <w:t xml:space="preserve">anwendbar </w:t>
      </w:r>
      <w:r w:rsidRPr="009118AB">
        <w:rPr>
          <w:rFonts w:ascii="Times New Roman Italique" w:hAnsi="Times New Roman Italique"/>
          <w:i/>
          <w:iCs/>
          <w:spacing w:val="2"/>
        </w:rPr>
        <w:t>ab dem Steuerjahr 1992</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5 einziger Absatz Buchstabe d)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 des G. vom 6. April 2000 (B.S. vom 16. Mai 2000)</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2001</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5 einziger Absatz Buchstabe e)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 des G. vom 6. April</w:t>
      </w:r>
      <w:r w:rsidR="00252578" w:rsidRPr="009118AB">
        <w:rPr>
          <w:rFonts w:ascii="Times New Roman Italique" w:hAnsi="Times New Roman Italique"/>
          <w:i/>
          <w:iCs/>
          <w:spacing w:val="2"/>
        </w:rPr>
        <w:t> 2000 (B.S. vom 16. Mai 2000)</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2001</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einziger Absatz</w:t>
      </w:r>
      <w:r w:rsidRPr="009118AB">
        <w:rPr>
          <w:i/>
          <w:iCs/>
        </w:rPr>
        <w:t xml:space="preserve"> </w:t>
      </w:r>
      <w:r w:rsidR="00D67EB8" w:rsidRPr="009118AB">
        <w:rPr>
          <w:i/>
          <w:iCs/>
        </w:rPr>
        <w:t>Nr. </w:t>
      </w:r>
      <w:r w:rsidRPr="009118AB">
        <w:rPr>
          <w:i/>
          <w:iCs/>
        </w:rPr>
        <w:t xml:space="preserve">5 einziger Absatz Buchstabe f) eingefügt durch </w:t>
      </w:r>
      <w:r w:rsidR="00D67EB8" w:rsidRPr="009118AB">
        <w:rPr>
          <w:i/>
          <w:iCs/>
        </w:rPr>
        <w:t>Art. </w:t>
      </w:r>
      <w:r w:rsidRPr="009118AB">
        <w:rPr>
          <w:i/>
          <w:iCs/>
        </w:rPr>
        <w:t xml:space="preserve">114 des G. vom 23. Dezember 2005 (B.S. vom 30. Dezember 2005, Err. vom 30. September 2008); einziger Absatz </w:t>
      </w:r>
      <w:r w:rsidR="00D67EB8" w:rsidRPr="009118AB">
        <w:rPr>
          <w:i/>
          <w:iCs/>
        </w:rPr>
        <w:t>Nr. </w:t>
      </w:r>
      <w:r w:rsidRPr="009118AB">
        <w:rPr>
          <w:i/>
          <w:iCs/>
        </w:rPr>
        <w:t xml:space="preserve">6 einziger Absatz einleitende Bestimmung abgeändert durch </w:t>
      </w:r>
      <w:r w:rsidR="00D67EB8" w:rsidRPr="009118AB">
        <w:rPr>
          <w:i/>
          <w:iCs/>
        </w:rPr>
        <w:t>Art. </w:t>
      </w:r>
      <w:r w:rsidRPr="009118AB">
        <w:rPr>
          <w:i/>
          <w:iCs/>
        </w:rPr>
        <w:t xml:space="preserve">67 </w:t>
      </w:r>
      <w:r w:rsidR="00D67EB8" w:rsidRPr="009118AB">
        <w:rPr>
          <w:i/>
          <w:iCs/>
        </w:rPr>
        <w:t>Nr. </w:t>
      </w:r>
      <w:r w:rsidRPr="009118AB">
        <w:rPr>
          <w:i/>
          <w:iCs/>
        </w:rPr>
        <w:t>4</w:t>
      </w:r>
      <w:r w:rsidRPr="009118AB">
        <w:rPr>
          <w:i/>
        </w:rPr>
        <w:t xml:space="preserve"> des G. vom 8. Mai 2014 (B.S. vom 28. Mai 2014)</w:t>
      </w:r>
      <w:r w:rsidR="00D67EB8" w:rsidRPr="009118AB">
        <w:rPr>
          <w:i/>
        </w:rPr>
        <w:t> - </w:t>
      </w:r>
      <w:r w:rsidR="00252578" w:rsidRPr="009118AB">
        <w:rPr>
          <w:i/>
          <w:iCs/>
        </w:rPr>
        <w:t xml:space="preserve">anwendbar </w:t>
      </w:r>
      <w:r w:rsidRPr="009118AB">
        <w:rPr>
          <w:i/>
          <w:iCs/>
        </w:rPr>
        <w:t>ab dem Steuerjahr 2015</w:t>
      </w:r>
      <w:r w:rsidR="00FD68E8" w:rsidRPr="009118AB">
        <w:rPr>
          <w:i/>
          <w:iCs/>
        </w:rPr>
        <w:t> -,</w:t>
      </w:r>
      <w:r w:rsidRPr="009118AB">
        <w:rPr>
          <w:i/>
          <w:iCs/>
        </w:rPr>
        <w:t xml:space="preserve"> </w:t>
      </w:r>
      <w:r w:rsidR="00D67EB8" w:rsidRPr="009118AB">
        <w:rPr>
          <w:i/>
          <w:iCs/>
        </w:rPr>
        <w:t>Art. </w:t>
      </w:r>
      <w:r w:rsidRPr="009118AB">
        <w:rPr>
          <w:i/>
          <w:iCs/>
        </w:rPr>
        <w:t>49 des G. vom 10. August 2015 (B.S. vom 18. August 2015)</w:t>
      </w:r>
      <w:r w:rsidR="00D67EB8" w:rsidRPr="009118AB">
        <w:rPr>
          <w:i/>
          <w:iCs/>
        </w:rPr>
        <w:t> - </w:t>
      </w:r>
      <w:r w:rsidRPr="009118AB">
        <w:rPr>
          <w:i/>
          <w:iCs/>
        </w:rPr>
        <w:t>anwendbar ab dem Steuerjahr 2016</w:t>
      </w:r>
      <w:r w:rsidR="00FD68E8" w:rsidRPr="009118AB">
        <w:rPr>
          <w:i/>
          <w:iCs/>
        </w:rPr>
        <w:t> -,</w:t>
      </w:r>
      <w:r w:rsidRPr="009118AB">
        <w:rPr>
          <w:i/>
          <w:iCs/>
        </w:rPr>
        <w:t xml:space="preserve"> </w:t>
      </w:r>
      <w:r w:rsidR="00D67EB8" w:rsidRPr="009118AB">
        <w:rPr>
          <w:i/>
          <w:iCs/>
        </w:rPr>
        <w:t>Art. </w:t>
      </w:r>
      <w:r w:rsidRPr="009118AB">
        <w:rPr>
          <w:rFonts w:hint="eastAsia"/>
          <w:i/>
          <w:iCs/>
        </w:rPr>
        <w:t>4</w:t>
      </w:r>
      <w:r w:rsidRPr="009118AB">
        <w:rPr>
          <w:i/>
        </w:rPr>
        <w:t xml:space="preserve"> des G. vom 11. März 2018 (B.S. vom 23. März 2018)</w:t>
      </w:r>
      <w:r w:rsidR="00D67EB8" w:rsidRPr="009118AB">
        <w:rPr>
          <w:i/>
        </w:rPr>
        <w:t> - </w:t>
      </w:r>
      <w:r w:rsidRPr="009118AB">
        <w:rPr>
          <w:i/>
        </w:rPr>
        <w:t>anwendbar ab dem Steuerjahr 2019</w:t>
      </w:r>
      <w:r w:rsidR="00FD68E8" w:rsidRPr="009118AB">
        <w:rPr>
          <w:i/>
        </w:rPr>
        <w:t> -,</w:t>
      </w:r>
      <w:r w:rsidRPr="009118AB">
        <w:rPr>
          <w:i/>
        </w:rPr>
        <w:t xml:space="preserve"> </w:t>
      </w:r>
      <w:r w:rsidR="00D67EB8" w:rsidRPr="009118AB">
        <w:rPr>
          <w:i/>
        </w:rPr>
        <w:t>Art. </w:t>
      </w:r>
      <w:r w:rsidRPr="009118AB">
        <w:rPr>
          <w:i/>
        </w:rPr>
        <w:t xml:space="preserve">31 </w:t>
      </w:r>
      <w:r w:rsidR="00D67EB8" w:rsidRPr="009118AB">
        <w:rPr>
          <w:i/>
        </w:rPr>
        <w:t>Nr. </w:t>
      </w:r>
      <w:r w:rsidRPr="009118AB">
        <w:rPr>
          <w:i/>
        </w:rPr>
        <w:t xml:space="preserve">2 </w:t>
      </w:r>
      <w:r w:rsidRPr="009118AB">
        <w:rPr>
          <w:i/>
          <w:iCs/>
        </w:rPr>
        <w:t>des G. vom 26. März 2018 (B.S. vom 30. März 2018)</w:t>
      </w:r>
      <w:r w:rsidR="00D67EB8" w:rsidRPr="009118AB">
        <w:rPr>
          <w:i/>
          <w:iCs/>
        </w:rPr>
        <w:t> - </w:t>
      </w:r>
      <w:r w:rsidRPr="009118AB">
        <w:rPr>
          <w:i/>
          <w:iCs/>
        </w:rPr>
        <w:t>wirksam ab dem Steuerjahr 2019</w:t>
      </w:r>
      <w:r w:rsidR="00FD68E8" w:rsidRPr="009118AB">
        <w:rPr>
          <w:i/>
          <w:iCs/>
        </w:rPr>
        <w:t> -,</w:t>
      </w:r>
      <w:r w:rsidR="0023427B" w:rsidRPr="009118AB">
        <w:rPr>
          <w:i/>
          <w:iCs/>
        </w:rPr>
        <w:t xml:space="preserve"> </w:t>
      </w:r>
      <w:r w:rsidR="00D67EB8" w:rsidRPr="009118AB">
        <w:rPr>
          <w:i/>
          <w:iCs/>
        </w:rPr>
        <w:t>Art. </w:t>
      </w:r>
      <w:r w:rsidR="0023427B" w:rsidRPr="009118AB">
        <w:rPr>
          <w:i/>
          <w:iCs/>
        </w:rPr>
        <w:t>16</w:t>
      </w:r>
      <w:r w:rsidR="0023427B" w:rsidRPr="009118AB">
        <w:rPr>
          <w:rFonts w:ascii="Times New Roman Italique" w:hAnsi="Times New Roman Italique"/>
          <w:i/>
        </w:rPr>
        <w:t xml:space="preserve"> des G. vom 22. April 2019</w:t>
      </w:r>
      <w:r w:rsidR="00E9160D" w:rsidRPr="009118AB">
        <w:rPr>
          <w:rFonts w:ascii="Times New Roman Italique" w:hAnsi="Times New Roman Italique"/>
          <w:i/>
        </w:rPr>
        <w:t> (I)</w:t>
      </w:r>
      <w:r w:rsidR="0023427B" w:rsidRPr="009118AB">
        <w:rPr>
          <w:rFonts w:ascii="Times New Roman Italique" w:hAnsi="Times New Roman Italique"/>
          <w:i/>
        </w:rPr>
        <w:t xml:space="preserve"> (B.S. vom 8. Mai 2019)</w:t>
      </w:r>
      <w:r w:rsidR="00D67EB8" w:rsidRPr="009118AB">
        <w:rPr>
          <w:rFonts w:ascii="Times New Roman Italique" w:hAnsi="Times New Roman Italique"/>
          <w:i/>
        </w:rPr>
        <w:t> - </w:t>
      </w:r>
      <w:r w:rsidR="0023427B" w:rsidRPr="009118AB">
        <w:rPr>
          <w:rFonts w:ascii="Times New Roman Italique" w:hAnsi="Times New Roman Italique"/>
          <w:i/>
        </w:rPr>
        <w:t>anwendbar ab dem Steuerjahr 2020 auf die ab dem 1. September 2019 gezahlten Prämien</w:t>
      </w:r>
      <w:r w:rsidR="00D67EB8" w:rsidRPr="009118AB">
        <w:rPr>
          <w:rFonts w:ascii="Times New Roman Italique" w:hAnsi="Times New Roman Italique"/>
          <w:i/>
        </w:rPr>
        <w:t> - </w:t>
      </w:r>
      <w:r w:rsidR="00642026" w:rsidRPr="009118AB">
        <w:rPr>
          <w:rFonts w:ascii="Times New Roman Italique" w:hAnsi="Times New Roman Italique"/>
          <w:i/>
        </w:rPr>
        <w:t xml:space="preserve">und </w:t>
      </w:r>
      <w:r w:rsidR="00D67EB8" w:rsidRPr="009118AB">
        <w:rPr>
          <w:rFonts w:ascii="Times New Roman Italique" w:hAnsi="Times New Roman Italique"/>
          <w:i/>
        </w:rPr>
        <w:t>Art. </w:t>
      </w:r>
      <w:r w:rsidR="00642026" w:rsidRPr="009118AB">
        <w:rPr>
          <w:rFonts w:ascii="Times New Roman Italique" w:hAnsi="Times New Roman Italique"/>
          <w:i/>
        </w:rPr>
        <w:t>17</w:t>
      </w:r>
      <w:r w:rsidR="00642026" w:rsidRPr="009118AB">
        <w:rPr>
          <w:rFonts w:eastAsia="Calibri"/>
          <w:i/>
          <w:iCs/>
          <w:lang w:eastAsia="en-US"/>
        </w:rPr>
        <w:t xml:space="preserve"> des G. vom 25. November 2021 (B.S. vom 3. Dezember 2021)</w:t>
      </w:r>
      <w:r w:rsidR="00D67EB8" w:rsidRPr="009118AB">
        <w:rPr>
          <w:rFonts w:eastAsia="Calibri"/>
          <w:i/>
          <w:iCs/>
          <w:lang w:eastAsia="en-US"/>
        </w:rPr>
        <w:t> - </w:t>
      </w:r>
      <w:r w:rsidR="00642026" w:rsidRPr="009118AB">
        <w:rPr>
          <w:rFonts w:eastAsia="Calibri"/>
          <w:i/>
          <w:iCs/>
          <w:lang w:eastAsia="en-US"/>
        </w:rPr>
        <w:t>wirksam mit 1. September 2021</w:t>
      </w:r>
      <w:r w:rsidR="003366D9" w:rsidRPr="009118AB">
        <w:rPr>
          <w:rFonts w:eastAsia="Calibri"/>
          <w:i/>
          <w:iCs/>
          <w:lang w:eastAsia="en-US"/>
        </w:rPr>
        <w:t> -;</w:t>
      </w:r>
      <w:r w:rsidRPr="009118AB">
        <w:rPr>
          <w:i/>
          <w:iCs/>
        </w:rPr>
        <w:t xml:space="preserve"> einziger Absatz </w:t>
      </w:r>
      <w:r w:rsidR="00D67EB8" w:rsidRPr="009118AB">
        <w:rPr>
          <w:i/>
          <w:iCs/>
        </w:rPr>
        <w:t>Nr. </w:t>
      </w:r>
      <w:r w:rsidRPr="009118AB">
        <w:rPr>
          <w:i/>
          <w:iCs/>
        </w:rPr>
        <w:t xml:space="preserve">6 einziger Absatz erster Gedankenstrich ersetzt durch </w:t>
      </w:r>
      <w:r w:rsidR="00D67EB8" w:rsidRPr="009118AB">
        <w:rPr>
          <w:i/>
          <w:iCs/>
        </w:rPr>
        <w:t>Art. </w:t>
      </w:r>
      <w:r w:rsidRPr="009118AB">
        <w:rPr>
          <w:i/>
          <w:iCs/>
        </w:rPr>
        <w:t>123 des G. vom 8. April 2003 (B.S. vom 17. April 2003)</w:t>
      </w:r>
      <w:r w:rsidR="00D67EB8" w:rsidRPr="009118AB">
        <w:rPr>
          <w:i/>
          <w:iCs/>
        </w:rPr>
        <w:t> - </w:t>
      </w:r>
      <w:r w:rsidRPr="009118AB">
        <w:rPr>
          <w:i/>
          <w:iCs/>
        </w:rPr>
        <w:t>in Kraft ab dem Steuerjahr 2003</w:t>
      </w:r>
      <w:r w:rsidR="00D67EB8" w:rsidRPr="009118AB">
        <w:rPr>
          <w:i/>
          <w:iCs/>
        </w:rPr>
        <w:t> - </w:t>
      </w:r>
      <w:r w:rsidRPr="009118AB">
        <w:rPr>
          <w:i/>
          <w:iCs/>
        </w:rPr>
        <w:t xml:space="preserve">und abgeändert durch </w:t>
      </w:r>
      <w:r w:rsidR="00D67EB8" w:rsidRPr="009118AB">
        <w:rPr>
          <w:i/>
          <w:iCs/>
        </w:rPr>
        <w:t>Art. </w:t>
      </w:r>
      <w:r w:rsidRPr="009118AB">
        <w:rPr>
          <w:i/>
          <w:iCs/>
        </w:rPr>
        <w:t>17 des G. vom 5. August 2003 (B.S. vom 7. August 2003)</w:t>
      </w:r>
      <w:r w:rsidR="00D67EB8" w:rsidRPr="009118AB">
        <w:rPr>
          <w:i/>
          <w:iCs/>
        </w:rPr>
        <w:t> - </w:t>
      </w:r>
      <w:r w:rsidRPr="009118AB">
        <w:rPr>
          <w:i/>
          <w:iCs/>
        </w:rPr>
        <w:t>in Kraft ab dem Steuerjahr 2003</w:t>
      </w:r>
      <w:r w:rsidR="003366D9" w:rsidRPr="009118AB">
        <w:rPr>
          <w:i/>
          <w:iCs/>
        </w:rPr>
        <w:t> -;</w:t>
      </w:r>
      <w:r w:rsidRPr="009118AB">
        <w:rPr>
          <w:i/>
          <w:iCs/>
        </w:rPr>
        <w:t xml:space="preserve"> einziger Absatz </w:t>
      </w:r>
      <w:r w:rsidR="00D67EB8" w:rsidRPr="009118AB">
        <w:rPr>
          <w:i/>
          <w:iCs/>
        </w:rPr>
        <w:t>Nr. </w:t>
      </w:r>
      <w:r w:rsidRPr="009118AB">
        <w:rPr>
          <w:i/>
          <w:iCs/>
        </w:rPr>
        <w:t xml:space="preserve">6 einziger Absatz dritter Gedankenstrich abgeändert durch </w:t>
      </w:r>
      <w:r w:rsidR="00D67EB8" w:rsidRPr="009118AB">
        <w:rPr>
          <w:i/>
          <w:iCs/>
        </w:rPr>
        <w:t>Art. </w:t>
      </w:r>
      <w:r w:rsidRPr="009118AB">
        <w:rPr>
          <w:i/>
          <w:iCs/>
        </w:rPr>
        <w:t xml:space="preserve">67 </w:t>
      </w:r>
      <w:r w:rsidR="00D67EB8" w:rsidRPr="009118AB">
        <w:rPr>
          <w:i/>
          <w:iCs/>
        </w:rPr>
        <w:t>Nr. </w:t>
      </w:r>
      <w:r w:rsidRPr="009118AB">
        <w:rPr>
          <w:i/>
          <w:iCs/>
        </w:rPr>
        <w:t>9 des G. vom 26. Dezember 2015 (II) (B.S. vom 30. Dezember 2015)</w:t>
      </w:r>
      <w:r w:rsidR="00D67EB8" w:rsidRPr="009118AB">
        <w:rPr>
          <w:i/>
          <w:iCs/>
        </w:rPr>
        <w:t> - </w:t>
      </w:r>
      <w:r w:rsidRPr="009118AB">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iCs/>
        </w:rPr>
        <w:t> -;</w:t>
      </w:r>
      <w:r w:rsidRPr="009118AB">
        <w:rPr>
          <w:i/>
          <w:iCs/>
        </w:rPr>
        <w:t xml:space="preserve"> einziger Absatz </w:t>
      </w:r>
      <w:r w:rsidR="00D67EB8" w:rsidRPr="009118AB">
        <w:rPr>
          <w:i/>
          <w:iCs/>
        </w:rPr>
        <w:t>Nr. </w:t>
      </w:r>
      <w:r w:rsidRPr="009118AB">
        <w:rPr>
          <w:i/>
          <w:iCs/>
        </w:rPr>
        <w:t xml:space="preserve">6 einziger Absatz vierter Gedankenstrich eingefügt durch </w:t>
      </w:r>
      <w:r w:rsidR="00D67EB8" w:rsidRPr="009118AB">
        <w:rPr>
          <w:i/>
          <w:iCs/>
        </w:rPr>
        <w:t>Art. </w:t>
      </w:r>
      <w:r w:rsidRPr="009118AB">
        <w:rPr>
          <w:i/>
          <w:iCs/>
        </w:rPr>
        <w:t>125 Buchstabe d) des G. (I) vom 22. Dezember 2008 (II) (B.S. vom 29. Dezember 2008)</w:t>
      </w:r>
      <w:r w:rsidR="00D67EB8" w:rsidRPr="009118AB">
        <w:rPr>
          <w:i/>
          <w:iCs/>
        </w:rPr>
        <w:t> - </w:t>
      </w:r>
      <w:r w:rsidRPr="009118AB">
        <w:rPr>
          <w:i/>
          <w:iCs/>
        </w:rPr>
        <w:t xml:space="preserve">anwendbar auf die ab dem 1. Januar 2008 gezahlten oder zuerkannten Einkünfte, ersetzt durch </w:t>
      </w:r>
      <w:r w:rsidR="00D67EB8" w:rsidRPr="009118AB">
        <w:rPr>
          <w:i/>
          <w:iCs/>
        </w:rPr>
        <w:t>Art. </w:t>
      </w:r>
      <w:r w:rsidRPr="009118AB">
        <w:rPr>
          <w:i/>
          <w:iCs/>
        </w:rPr>
        <w:t>25 des G. (I) vom 29. Dezember 2010 (B.S. vom 31. Dezember 2010)</w:t>
      </w:r>
      <w:r w:rsidR="00D67EB8" w:rsidRPr="009118AB">
        <w:rPr>
          <w:i/>
          <w:iCs/>
        </w:rPr>
        <w:t> - </w:t>
      </w:r>
      <w:r w:rsidRPr="009118AB">
        <w:rPr>
          <w:i/>
          <w:iCs/>
        </w:rPr>
        <w:t>anwendbar auf die ab dem 1. Januar 2010 gezahlten oder zuerkannten Einkünfte</w:t>
      </w:r>
      <w:r w:rsidR="00D67EB8" w:rsidRPr="009118AB">
        <w:rPr>
          <w:i/>
          <w:iCs/>
        </w:rPr>
        <w:t> - </w:t>
      </w:r>
      <w:r w:rsidRPr="009118AB">
        <w:rPr>
          <w:i/>
          <w:iCs/>
        </w:rPr>
        <w:t xml:space="preserve">und abgeändert durch </w:t>
      </w:r>
      <w:r w:rsidR="00D67EB8" w:rsidRPr="009118AB">
        <w:rPr>
          <w:i/>
          <w:iCs/>
        </w:rPr>
        <w:t>Art. </w:t>
      </w:r>
      <w:r w:rsidRPr="009118AB">
        <w:rPr>
          <w:i/>
          <w:iCs/>
        </w:rPr>
        <w:t>9 des G. vom 11. Juli 2018 (I) (B.S. vom 20. Juli 2018)</w:t>
      </w:r>
      <w:r w:rsidR="00D67EB8" w:rsidRPr="009118AB">
        <w:rPr>
          <w:i/>
          <w:iCs/>
        </w:rPr>
        <w:t> - </w:t>
      </w:r>
      <w:r w:rsidRPr="009118AB">
        <w:rPr>
          <w:i/>
          <w:iCs/>
        </w:rPr>
        <w:t xml:space="preserve">anwendbar auf die ab dem 1. Januar 2018 ausgezahlten oder zuerkannten Pensionen; einziger Absatz </w:t>
      </w:r>
      <w:r w:rsidR="00D67EB8" w:rsidRPr="009118AB">
        <w:rPr>
          <w:i/>
          <w:iCs/>
        </w:rPr>
        <w:t>Nr. </w:t>
      </w:r>
      <w:r w:rsidRPr="009118AB">
        <w:rPr>
          <w:i/>
          <w:iCs/>
        </w:rPr>
        <w:t xml:space="preserve">7 eingefügt durch </w:t>
      </w:r>
      <w:r w:rsidR="00D67EB8" w:rsidRPr="009118AB">
        <w:rPr>
          <w:i/>
          <w:iCs/>
        </w:rPr>
        <w:t>Art. </w:t>
      </w:r>
      <w:r w:rsidRPr="009118AB">
        <w:rPr>
          <w:i/>
          <w:iCs/>
        </w:rPr>
        <w:t>2 des G. vom 10. Juni 2006 (B.S. vom 27. Juni 2006)</w:t>
      </w:r>
      <w:r w:rsidR="00D67EB8" w:rsidRPr="009118AB">
        <w:rPr>
          <w:i/>
          <w:iCs/>
        </w:rPr>
        <w:t> - </w:t>
      </w:r>
      <w:r w:rsidRPr="009118AB">
        <w:rPr>
          <w:i/>
          <w:iCs/>
        </w:rPr>
        <w:t>anwendbar auf die ab dem 1. Juli 2005 gezahlten oder zuerkannten regionalen Wiederbeschäftigungsprämien</w:t>
      </w:r>
      <w:r w:rsidR="003366D9" w:rsidRPr="009118AB">
        <w:rPr>
          <w:i/>
          <w:iCs/>
        </w:rPr>
        <w:t> -;</w:t>
      </w:r>
      <w:r w:rsidR="00594E96" w:rsidRPr="009118AB">
        <w:rPr>
          <w:i/>
          <w:iCs/>
        </w:rPr>
        <w:t xml:space="preserve"> einziger Absatz </w:t>
      </w:r>
      <w:r w:rsidR="00D67EB8" w:rsidRPr="009118AB">
        <w:rPr>
          <w:i/>
          <w:iCs/>
        </w:rPr>
        <w:t>Nr. </w:t>
      </w:r>
      <w:r w:rsidR="00594E96" w:rsidRPr="009118AB">
        <w:rPr>
          <w:i/>
          <w:iCs/>
        </w:rPr>
        <w:t xml:space="preserve">8 eingefügt durch </w:t>
      </w:r>
      <w:r w:rsidR="00D67EB8" w:rsidRPr="009118AB">
        <w:rPr>
          <w:i/>
          <w:iCs/>
        </w:rPr>
        <w:t>Art. </w:t>
      </w:r>
      <w:r w:rsidR="00594E96" w:rsidRPr="009118AB">
        <w:rPr>
          <w:i/>
          <w:iCs/>
        </w:rPr>
        <w:t>5 des G. vom 21. Januar 2022 (B.S. vom 28. Januar 2022)</w:t>
      </w:r>
      <w:r w:rsidR="00D67EB8" w:rsidRPr="009118AB">
        <w:rPr>
          <w:i/>
          <w:iCs/>
        </w:rPr>
        <w:t> - </w:t>
      </w:r>
      <w:r w:rsidR="00594E96" w:rsidRPr="009118AB">
        <w:rPr>
          <w:i/>
          <w:iCs/>
        </w:rPr>
        <w:t>anwendbar ab dem Steuerjahr 2021</w:t>
      </w:r>
      <w:r w:rsidR="003366D9" w:rsidRPr="009118AB">
        <w:rPr>
          <w:i/>
          <w:iCs/>
        </w:rPr>
        <w:t> -</w:t>
      </w:r>
      <w:r w:rsidRPr="00984611">
        <w:rPr>
          <w:i/>
          <w:iCs/>
        </w:rPr>
        <w:t>]</w:t>
      </w:r>
    </w:p>
    <w:p w14:paraId="0F2787BF" w14:textId="77777777" w:rsidR="00ED3610" w:rsidRPr="009118AB" w:rsidRDefault="00ED3610" w:rsidP="00B4548B">
      <w:pPr>
        <w:autoSpaceDE w:val="0"/>
        <w:autoSpaceDN w:val="0"/>
        <w:adjustRightInd w:val="0"/>
        <w:jc w:val="both"/>
        <w:rPr>
          <w:iCs/>
        </w:rPr>
      </w:pPr>
    </w:p>
    <w:p w14:paraId="53F3C375" w14:textId="77777777" w:rsidR="00645469" w:rsidRPr="00531C1E" w:rsidRDefault="00645469" w:rsidP="00B4548B">
      <w:pPr>
        <w:autoSpaceDE w:val="0"/>
        <w:autoSpaceDN w:val="0"/>
        <w:adjustRightInd w:val="0"/>
        <w:jc w:val="both"/>
        <w:rPr>
          <w:iCs/>
        </w:rPr>
      </w:pPr>
    </w:p>
    <w:p w14:paraId="7533C004" w14:textId="115A791C" w:rsidR="00467B60" w:rsidRPr="00064F9D" w:rsidRDefault="00D435BF" w:rsidP="00467B60">
      <w:pPr>
        <w:autoSpaceDE w:val="0"/>
        <w:autoSpaceDN w:val="0"/>
        <w:adjustRightInd w:val="0"/>
        <w:jc w:val="both"/>
        <w:rPr>
          <w:iCs/>
        </w:rPr>
      </w:pPr>
      <w:r w:rsidRPr="00531C1E">
        <w:rPr>
          <w:iCs/>
        </w:rPr>
        <w:tab/>
      </w:r>
      <w:r w:rsidRPr="009118AB">
        <w:rPr>
          <w:iCs/>
        </w:rPr>
        <w:t>[</w:t>
      </w:r>
      <w:r w:rsidR="00D67EB8" w:rsidRPr="009118AB">
        <w:rPr>
          <w:b/>
          <w:iCs/>
        </w:rPr>
        <w:t>Art. </w:t>
      </w:r>
      <w:r w:rsidRPr="009118AB">
        <w:rPr>
          <w:b/>
          <w:iCs/>
        </w:rPr>
        <w:t>171/1</w:t>
      </w:r>
      <w:r w:rsidR="00D67EB8" w:rsidRPr="009118AB">
        <w:rPr>
          <w:b/>
          <w:iCs/>
        </w:rPr>
        <w:t> - </w:t>
      </w:r>
      <w:r w:rsidR="00467B60" w:rsidRPr="00064F9D">
        <w:rPr>
          <w:iCs/>
        </w:rPr>
        <w:t>[</w:t>
      </w:r>
      <w:r w:rsidR="00467B60" w:rsidRPr="00064F9D">
        <w:t>Artikel 171 ist nicht auf Entlohnungen anwendbar, die in Ausführung eines Flexi-Job-Arbeitsvertrags wie in Artikel 3 Nr. 4 des Gesetzes vom 16. November 2015 zur Festlegung verschiedener Bestimmungen im Bereich Soziales erwähnt gezahlt oder zuerkannt werden, die aber nicht in Anwendung von Artikel 38 § 1 Absatz 1 Nr. 29 steuerfrei sind, weil sie den in derselben Bestimmung vorgesehenen Höchstbetrag überschreiten.</w:t>
      </w:r>
      <w:r w:rsidR="00467B60" w:rsidRPr="00064F9D">
        <w:rPr>
          <w:iCs/>
        </w:rPr>
        <w:t>]]</w:t>
      </w:r>
    </w:p>
    <w:p w14:paraId="5D5A4E7D" w14:textId="77777777" w:rsidR="00467B60" w:rsidRPr="00064F9D" w:rsidRDefault="00467B60" w:rsidP="00467B60">
      <w:pPr>
        <w:autoSpaceDE w:val="0"/>
        <w:autoSpaceDN w:val="0"/>
        <w:adjustRightInd w:val="0"/>
        <w:jc w:val="both"/>
        <w:rPr>
          <w:iCs/>
        </w:rPr>
      </w:pPr>
    </w:p>
    <w:p w14:paraId="535817D0" w14:textId="51A875C4" w:rsidR="00467B60" w:rsidRDefault="00467B60" w:rsidP="00467B60">
      <w:pPr>
        <w:autoSpaceDE w:val="0"/>
        <w:autoSpaceDN w:val="0"/>
        <w:adjustRightInd w:val="0"/>
        <w:jc w:val="both"/>
      </w:pPr>
      <w:r w:rsidRPr="00064F9D">
        <w:rPr>
          <w:i/>
          <w:iCs/>
        </w:rPr>
        <w:t>[Art. 171/1 eingefügt durch Art. 68 des G. vom 26. Dezember 2015 (II) (B.S. vom 30. Dezember 2015)</w:t>
      </w:r>
      <w:r w:rsidRPr="00064F9D">
        <w:rPr>
          <w:iCs/>
        </w:rPr>
        <w:t> - </w:t>
      </w:r>
      <w:r w:rsidRPr="00064F9D">
        <w:rPr>
          <w:i/>
          <w:iCs/>
        </w:rPr>
        <w:t xml:space="preserve">anwendbar auf Mehrwerte, die auf börsennotierte Aktien oder Anteile, Optionen, Optionsscheine oder andere börsennotierte Finanzinstrumente verwirklicht werden, die entweder ab dem 1. Januar 2016 entgeltlich erworben werden oder im Falle eines </w:t>
      </w:r>
      <w:r w:rsidRPr="00064F9D">
        <w:rPr>
          <w:i/>
          <w:iCs/>
        </w:rPr>
        <w:lastRenderedPageBreak/>
        <w:t>Leerverkaufs ab dem 1. Januar 2016 verkauft werden -, aufgehoben durch Art. 83 des G. vom 25. Dezember 2016 (I) (B.S. vom 29. Dezember 2016) - in Kraft am 1. Januar 2017 und anwendbar auf die ab dem 1. Januar 2017 verwirklichten Mehrwerte - und wieder aufgenommen durch Art. 9 des G. vom 22. Dezember 2023 (II) (B.S. vom 29. Dezember 2023) - anwendbar ab dem Steuerjahr 2025 -]</w:t>
      </w:r>
    </w:p>
    <w:p w14:paraId="6B19A3A9" w14:textId="77777777" w:rsidR="00064F9D" w:rsidRPr="00064F9D" w:rsidRDefault="00064F9D" w:rsidP="00467B60">
      <w:pPr>
        <w:autoSpaceDE w:val="0"/>
        <w:autoSpaceDN w:val="0"/>
        <w:adjustRightInd w:val="0"/>
        <w:jc w:val="both"/>
        <w:rPr>
          <w:iCs/>
        </w:rPr>
      </w:pPr>
    </w:p>
    <w:p w14:paraId="675FB31A" w14:textId="75966199" w:rsidR="00467B60" w:rsidRPr="00064F9D" w:rsidRDefault="00467B60" w:rsidP="00467B60">
      <w:pPr>
        <w:autoSpaceDE w:val="0"/>
        <w:autoSpaceDN w:val="0"/>
        <w:adjustRightInd w:val="0"/>
        <w:jc w:val="both"/>
        <w:rPr>
          <w:iCs/>
        </w:rPr>
      </w:pPr>
    </w:p>
    <w:p w14:paraId="16765D2E" w14:textId="486C702F" w:rsidR="00477B8F" w:rsidRPr="009118AB" w:rsidRDefault="00477B8F" w:rsidP="00C1294A">
      <w:pPr>
        <w:autoSpaceDE w:val="0"/>
        <w:autoSpaceDN w:val="0"/>
        <w:adjustRightInd w:val="0"/>
        <w:jc w:val="both"/>
      </w:pPr>
      <w:r w:rsidRPr="009118AB">
        <w:tab/>
      </w:r>
      <w:r w:rsidR="00D67EB8" w:rsidRPr="009118AB">
        <w:rPr>
          <w:b/>
          <w:bCs/>
        </w:rPr>
        <w:t>Art. </w:t>
      </w:r>
      <w:r w:rsidRPr="009118AB">
        <w:rPr>
          <w:b/>
          <w:bCs/>
        </w:rPr>
        <w:t>172</w:t>
      </w:r>
      <w:r w:rsidR="00D67EB8" w:rsidRPr="009118AB">
        <w:t> - </w:t>
      </w:r>
      <w:r w:rsidRPr="009118AB">
        <w:t xml:space="preserve">Zur Festlegung des steuerpflichtigen Betrags der </w:t>
      </w:r>
      <w:r w:rsidR="00E81E18" w:rsidRPr="009118AB">
        <w:t xml:space="preserve">[in </w:t>
      </w:r>
      <w:r w:rsidR="00417D54" w:rsidRPr="009118AB">
        <w:t>A</w:t>
      </w:r>
      <w:r w:rsidR="00E81E18" w:rsidRPr="009118AB">
        <w:t>rtikel 171]</w:t>
      </w:r>
      <w:r w:rsidRPr="009118AB">
        <w:t xml:space="preserve"> erwähnten Einkünfte werden </w:t>
      </w:r>
      <w:r w:rsidR="00DC103F" w:rsidRPr="009118AB">
        <w:t>[</w:t>
      </w:r>
      <w:r w:rsidRPr="009118AB">
        <w:t>die Artikel 104 bis 1</w:t>
      </w:r>
      <w:r w:rsidR="00382AA8" w:rsidRPr="009118AB">
        <w:t>0</w:t>
      </w:r>
      <w:r w:rsidRPr="009118AB">
        <w:t>6] nicht angewandt.</w:t>
      </w:r>
    </w:p>
    <w:p w14:paraId="55E16F7F" w14:textId="77777777" w:rsidR="00477B8F" w:rsidRPr="009118AB" w:rsidRDefault="00477B8F" w:rsidP="00C1294A">
      <w:pPr>
        <w:autoSpaceDE w:val="0"/>
        <w:autoSpaceDN w:val="0"/>
        <w:adjustRightInd w:val="0"/>
        <w:jc w:val="both"/>
      </w:pPr>
    </w:p>
    <w:p w14:paraId="447F4768" w14:textId="53E81EB4" w:rsidR="00477B8F" w:rsidRPr="009118AB" w:rsidRDefault="00477B8F" w:rsidP="00C1294A">
      <w:pPr>
        <w:autoSpaceDE w:val="0"/>
        <w:autoSpaceDN w:val="0"/>
        <w:adjustRightInd w:val="0"/>
        <w:jc w:val="both"/>
      </w:pPr>
      <w:r w:rsidRPr="009118AB">
        <w:tab/>
        <w:t xml:space="preserve">Bei der Bestimmung, ob die in </w:t>
      </w:r>
      <w:r w:rsidR="00E81E18" w:rsidRPr="009118AB">
        <w:rPr>
          <w:iCs/>
        </w:rPr>
        <w:t xml:space="preserve">[Artikel 90 Absatz 1 </w:t>
      </w:r>
      <w:r w:rsidR="00D67EB8" w:rsidRPr="009118AB">
        <w:rPr>
          <w:iCs/>
        </w:rPr>
        <w:t>Nr. </w:t>
      </w:r>
      <w:r w:rsidR="00E81E18" w:rsidRPr="009118AB">
        <w:rPr>
          <w:iCs/>
        </w:rPr>
        <w:t xml:space="preserve">8] </w:t>
      </w:r>
      <w:r w:rsidRPr="009118AB">
        <w:t>Buchstabe </w:t>
      </w:r>
      <w:r w:rsidRPr="009118AB">
        <w:rPr>
          <w:i/>
          <w:iCs/>
        </w:rPr>
        <w:t>b)</w:t>
      </w:r>
      <w:r w:rsidRPr="009118AB">
        <w:t xml:space="preserve"> erwähnten Mehrwerte zum Steuersatz von 33 Prozent oder von 16,5 Prozent steuerpflichtig sind, wird der Erwerb des Gutes seitens des Schenkers berücksichtigt.</w:t>
      </w:r>
    </w:p>
    <w:p w14:paraId="61E34CAD" w14:textId="77777777" w:rsidR="00BF735C" w:rsidRPr="009118AB" w:rsidRDefault="00BF735C" w:rsidP="00C1294A">
      <w:pPr>
        <w:autoSpaceDE w:val="0"/>
        <w:autoSpaceDN w:val="0"/>
        <w:adjustRightInd w:val="0"/>
        <w:jc w:val="both"/>
      </w:pPr>
    </w:p>
    <w:p w14:paraId="68017844" w14:textId="061C1D64" w:rsidR="00BF735C" w:rsidRPr="009118AB" w:rsidRDefault="00BF735C" w:rsidP="00C1294A">
      <w:pPr>
        <w:autoSpaceDE w:val="0"/>
        <w:autoSpaceDN w:val="0"/>
        <w:adjustRightInd w:val="0"/>
        <w:jc w:val="both"/>
        <w:rPr>
          <w:spacing w:val="-2"/>
        </w:rPr>
      </w:pPr>
      <w:r w:rsidRPr="009118AB">
        <w:rPr>
          <w:spacing w:val="-2"/>
        </w:rPr>
        <w:tab/>
        <w:t xml:space="preserve">[Setzen in Artikel 171 </w:t>
      </w:r>
      <w:r w:rsidR="00D67EB8" w:rsidRPr="009118AB">
        <w:rPr>
          <w:spacing w:val="-2"/>
        </w:rPr>
        <w:t>Nr. </w:t>
      </w:r>
      <w:r w:rsidRPr="009118AB">
        <w:rPr>
          <w:spacing w:val="-2"/>
        </w:rPr>
        <w:t>1 Buchstabe </w:t>
      </w:r>
      <w:r w:rsidRPr="009118AB">
        <w:rPr>
          <w:i/>
          <w:spacing w:val="-2"/>
        </w:rPr>
        <w:t>i)</w:t>
      </w:r>
      <w:r w:rsidRPr="009118AB">
        <w:rPr>
          <w:spacing w:val="-2"/>
        </w:rPr>
        <w:t xml:space="preserve"> und 4 Buchstabe </w:t>
      </w:r>
      <w:r w:rsidRPr="009118AB">
        <w:rPr>
          <w:i/>
          <w:spacing w:val="-2"/>
        </w:rPr>
        <w:t>j)</w:t>
      </w:r>
      <w:r w:rsidRPr="009118AB">
        <w:rPr>
          <w:spacing w:val="-2"/>
        </w:rPr>
        <w:t xml:space="preserve"> erwähnte Einkünfte sich aus verschiedenen Bestandteilen zusammen, wird jeder dieser Bestandteile proportional auf den Bruttobetrag von 12.300 EUR angerechnet und anschließend wird der nicht angerechnete Rest</w:t>
      </w:r>
      <w:r w:rsidR="00B2095F" w:rsidRPr="009118AB">
        <w:rPr>
          <w:spacing w:val="-2"/>
        </w:rPr>
        <w:softHyphen/>
      </w:r>
      <w:r w:rsidRPr="009118AB">
        <w:rPr>
          <w:spacing w:val="-2"/>
        </w:rPr>
        <w:t>betrag gemäß dem Besteuerungssystem, das auf jeden dieser Bestandteile anwendbar ist, besteuert.]</w:t>
      </w:r>
    </w:p>
    <w:p w14:paraId="1B6FA65E" w14:textId="77777777" w:rsidR="00477B8F" w:rsidRPr="009118AB" w:rsidRDefault="00477B8F" w:rsidP="00C1294A">
      <w:pPr>
        <w:autoSpaceDE w:val="0"/>
        <w:autoSpaceDN w:val="0"/>
        <w:adjustRightInd w:val="0"/>
        <w:jc w:val="both"/>
      </w:pPr>
    </w:p>
    <w:p w14:paraId="254E1993" w14:textId="62BBD80B" w:rsidR="00477B8F" w:rsidRPr="009118AB" w:rsidRDefault="00477B8F" w:rsidP="00C1294A">
      <w:pPr>
        <w:autoSpaceDE w:val="0"/>
        <w:autoSpaceDN w:val="0"/>
        <w:adjustRightInd w:val="0"/>
        <w:jc w:val="both"/>
      </w:pPr>
      <w:r w:rsidRPr="009118AB">
        <w:rPr>
          <w:i/>
          <w:iCs/>
        </w:rPr>
        <w:t>[</w:t>
      </w:r>
      <w:r w:rsidR="00D67EB8" w:rsidRPr="009118AB">
        <w:rPr>
          <w:i/>
          <w:iCs/>
        </w:rPr>
        <w:t>Art. </w:t>
      </w:r>
      <w:r w:rsidRPr="009118AB">
        <w:rPr>
          <w:i/>
          <w:iCs/>
        </w:rPr>
        <w:t xml:space="preserve">172 </w:t>
      </w:r>
      <w:r w:rsidR="00D67EB8" w:rsidRPr="009118AB">
        <w:rPr>
          <w:i/>
          <w:iCs/>
        </w:rPr>
        <w:t>Abs. </w:t>
      </w:r>
      <w:r w:rsidRPr="009118AB">
        <w:rPr>
          <w:i/>
          <w:iCs/>
        </w:rPr>
        <w:t xml:space="preserve">1 abgeändert durch </w:t>
      </w:r>
      <w:r w:rsidR="00D67EB8" w:rsidRPr="009118AB">
        <w:rPr>
          <w:i/>
          <w:iCs/>
        </w:rPr>
        <w:t>Art. </w:t>
      </w:r>
      <w:r w:rsidRPr="009118AB">
        <w:rPr>
          <w:i/>
          <w:iCs/>
        </w:rPr>
        <w:t>90 des G. vom 28. Dezember 1992 (B.S. vom 31. Dezember 1992)</w:t>
      </w:r>
      <w:r w:rsidR="00D67EB8" w:rsidRPr="009118AB">
        <w:rPr>
          <w:i/>
          <w:iCs/>
        </w:rPr>
        <w:t> - </w:t>
      </w:r>
      <w:r w:rsidRPr="009118AB">
        <w:rPr>
          <w:i/>
          <w:iCs/>
        </w:rPr>
        <w:t>anwendbar ab dem Steuerjahr 1993</w:t>
      </w:r>
      <w:r w:rsidR="00FD68E8" w:rsidRPr="009118AB">
        <w:rPr>
          <w:i/>
          <w:iCs/>
        </w:rPr>
        <w:t> -,</w:t>
      </w:r>
      <w:r w:rsidR="00382AA8" w:rsidRPr="009118AB">
        <w:rPr>
          <w:i/>
          <w:iCs/>
        </w:rPr>
        <w:t xml:space="preserve"> </w:t>
      </w:r>
      <w:r w:rsidR="00D67EB8" w:rsidRPr="009118AB">
        <w:rPr>
          <w:i/>
          <w:iCs/>
        </w:rPr>
        <w:t>Art. </w:t>
      </w:r>
      <w:r w:rsidR="00382AA8" w:rsidRPr="009118AB">
        <w:rPr>
          <w:i/>
          <w:iCs/>
        </w:rPr>
        <w:t>68</w:t>
      </w:r>
      <w:r w:rsidR="00DC103F" w:rsidRPr="009118AB">
        <w:rPr>
          <w:i/>
          <w:iCs/>
        </w:rPr>
        <w:t xml:space="preserve"> des G. vom 8. </w:t>
      </w:r>
      <w:r w:rsidR="00382AA8" w:rsidRPr="009118AB">
        <w:rPr>
          <w:i/>
          <w:iCs/>
        </w:rPr>
        <w:t>Mai</w:t>
      </w:r>
      <w:r w:rsidR="00DC103F" w:rsidRPr="009118AB">
        <w:rPr>
          <w:i/>
          <w:iCs/>
        </w:rPr>
        <w:t> </w:t>
      </w:r>
      <w:r w:rsidR="00382AA8" w:rsidRPr="009118AB">
        <w:rPr>
          <w:i/>
          <w:iCs/>
        </w:rPr>
        <w:t>2014 (B.</w:t>
      </w:r>
      <w:r w:rsidR="00DC103F" w:rsidRPr="009118AB">
        <w:rPr>
          <w:i/>
          <w:iCs/>
        </w:rPr>
        <w:t>S. vom 28. Mai </w:t>
      </w:r>
      <w:r w:rsidR="00382AA8" w:rsidRPr="009118AB">
        <w:rPr>
          <w:i/>
          <w:iCs/>
        </w:rPr>
        <w:t>2014</w:t>
      </w:r>
      <w:r w:rsidR="00DC103F" w:rsidRPr="009118AB">
        <w:rPr>
          <w:i/>
          <w:iCs/>
        </w:rPr>
        <w:t>)</w:t>
      </w:r>
      <w:r w:rsidR="00D67EB8" w:rsidRPr="009118AB">
        <w:rPr>
          <w:i/>
          <w:iCs/>
        </w:rPr>
        <w:t> - </w:t>
      </w:r>
      <w:r w:rsidR="00DC103F" w:rsidRPr="009118AB">
        <w:rPr>
          <w:i/>
          <w:iCs/>
        </w:rPr>
        <w:t>anwendbar ab dem Steuerjahr </w:t>
      </w:r>
      <w:r w:rsidR="00382AA8" w:rsidRPr="009118AB">
        <w:rPr>
          <w:i/>
          <w:iCs/>
        </w:rPr>
        <w:t>2015</w:t>
      </w:r>
      <w:r w:rsidR="00FD68E8" w:rsidRPr="009118AB">
        <w:rPr>
          <w:i/>
          <w:iCs/>
        </w:rPr>
        <w:t> -,</w:t>
      </w:r>
      <w:r w:rsidR="00E81E18" w:rsidRPr="009118AB">
        <w:rPr>
          <w:i/>
          <w:iCs/>
        </w:rPr>
        <w:t xml:space="preserve"> </w:t>
      </w:r>
      <w:r w:rsidR="00D67EB8" w:rsidRPr="009118AB">
        <w:rPr>
          <w:i/>
          <w:iCs/>
        </w:rPr>
        <w:t>Art. </w:t>
      </w:r>
      <w:r w:rsidR="00E81E18" w:rsidRPr="009118AB">
        <w:rPr>
          <w:i/>
          <w:iCs/>
        </w:rPr>
        <w:t xml:space="preserve">69 </w:t>
      </w:r>
      <w:r w:rsidR="00D67EB8" w:rsidRPr="009118AB">
        <w:rPr>
          <w:i/>
          <w:iCs/>
        </w:rPr>
        <w:t>Nr. </w:t>
      </w:r>
      <w:r w:rsidR="00E81E18" w:rsidRPr="009118AB">
        <w:rPr>
          <w:i/>
          <w:iCs/>
        </w:rPr>
        <w:t>1</w:t>
      </w:r>
      <w:r w:rsidR="00E81E18" w:rsidRPr="009118AB">
        <w:rPr>
          <w:i/>
        </w:rPr>
        <w:t xml:space="preserve"> des G. vom 26. Dezember 2015 (II) (B.S. vom 30. Dezember 2015)</w:t>
      </w:r>
      <w:r w:rsidR="00D67EB8" w:rsidRPr="009118AB">
        <w:t> - </w:t>
      </w:r>
      <w:r w:rsidR="00E81E18"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417D54" w:rsidRPr="009118AB">
        <w:rPr>
          <w:i/>
        </w:rPr>
        <w:t xml:space="preserve">und </w:t>
      </w:r>
      <w:r w:rsidR="00D67EB8" w:rsidRPr="009118AB">
        <w:rPr>
          <w:i/>
        </w:rPr>
        <w:t>Art. </w:t>
      </w:r>
      <w:r w:rsidR="00417D54" w:rsidRPr="009118AB">
        <w:rPr>
          <w:i/>
        </w:rPr>
        <w:t>84 des G. vom 25. Dezember 2016</w:t>
      </w:r>
      <w:r w:rsidR="001022BB" w:rsidRPr="009118AB">
        <w:rPr>
          <w:i/>
        </w:rPr>
        <w:t> (I)</w:t>
      </w:r>
      <w:r w:rsidR="00417D54" w:rsidRPr="009118AB">
        <w:rPr>
          <w:i/>
        </w:rPr>
        <w:t xml:space="preserve"> (B.S. vom 29. Dezember 2016)</w:t>
      </w:r>
      <w:r w:rsidR="00D67EB8" w:rsidRPr="009118AB">
        <w:rPr>
          <w:i/>
        </w:rPr>
        <w:t> - </w:t>
      </w:r>
      <w:r w:rsidR="00417D54" w:rsidRPr="009118AB">
        <w:rPr>
          <w:i/>
        </w:rPr>
        <w:t>in Kraft am 1. Januar 2017 und anwendbar auf die ab dem 1. Januar 2017 verwirklichten Mehrwerte</w:t>
      </w:r>
      <w:r w:rsidR="003366D9" w:rsidRPr="009118AB">
        <w:rPr>
          <w:i/>
        </w:rPr>
        <w:t> -;</w:t>
      </w:r>
      <w:r w:rsidR="00E81E18" w:rsidRPr="009118AB">
        <w:rPr>
          <w:i/>
        </w:rPr>
        <w:t xml:space="preserve"> </w:t>
      </w:r>
      <w:r w:rsidR="00D67EB8" w:rsidRPr="009118AB">
        <w:rPr>
          <w:i/>
        </w:rPr>
        <w:t>Abs. </w:t>
      </w:r>
      <w:r w:rsidR="00E81E18" w:rsidRPr="009118AB">
        <w:rPr>
          <w:i/>
        </w:rPr>
        <w:t xml:space="preserve">2 abgeändert durch </w:t>
      </w:r>
      <w:r w:rsidR="00D67EB8" w:rsidRPr="009118AB">
        <w:rPr>
          <w:i/>
        </w:rPr>
        <w:t>Art. </w:t>
      </w:r>
      <w:r w:rsidR="00E81E18" w:rsidRPr="009118AB">
        <w:rPr>
          <w:i/>
        </w:rPr>
        <w:t xml:space="preserve">69 </w:t>
      </w:r>
      <w:r w:rsidR="00D67EB8" w:rsidRPr="009118AB">
        <w:rPr>
          <w:i/>
        </w:rPr>
        <w:t>Nr. </w:t>
      </w:r>
      <w:r w:rsidR="00E81E18" w:rsidRPr="009118AB">
        <w:rPr>
          <w:i/>
        </w:rPr>
        <w:t>2 des G. vom 26. Dezember 2015 (II) (B.S. vom 30. Dezember 2015)</w:t>
      </w:r>
      <w:r w:rsidR="00D67EB8" w:rsidRPr="009118AB">
        <w:t> - </w:t>
      </w:r>
      <w:r w:rsidR="00E81E18"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DC103F" w:rsidRPr="009118AB">
        <w:rPr>
          <w:i/>
          <w:iCs/>
        </w:rPr>
        <w:t xml:space="preserve"> </w:t>
      </w:r>
      <w:r w:rsidR="00D67EB8" w:rsidRPr="009118AB">
        <w:rPr>
          <w:i/>
          <w:iCs/>
        </w:rPr>
        <w:t>Abs. </w:t>
      </w:r>
      <w:r w:rsidR="00BF735C" w:rsidRPr="009118AB">
        <w:rPr>
          <w:i/>
          <w:iCs/>
        </w:rPr>
        <w:t xml:space="preserve">3 eingefügt durch </w:t>
      </w:r>
      <w:r w:rsidR="00D67EB8" w:rsidRPr="009118AB">
        <w:rPr>
          <w:i/>
          <w:iCs/>
        </w:rPr>
        <w:t>Art. </w:t>
      </w:r>
      <w:r w:rsidR="00BF735C" w:rsidRPr="009118AB">
        <w:rPr>
          <w:i/>
          <w:iCs/>
        </w:rPr>
        <w:t>29</w:t>
      </w:r>
      <w:r w:rsidR="00BF735C" w:rsidRPr="009118AB">
        <w:t xml:space="preserve"> </w:t>
      </w:r>
      <w:r w:rsidR="00BF735C" w:rsidRPr="009118AB">
        <w:rPr>
          <w:i/>
          <w:iCs/>
        </w:rPr>
        <w:t xml:space="preserve">des </w:t>
      </w:r>
      <w:r w:rsidR="00DC103F" w:rsidRPr="009118AB">
        <w:rPr>
          <w:i/>
          <w:iCs/>
        </w:rPr>
        <w:t>G. vom 22. Dezember 2009 </w:t>
      </w:r>
      <w:r w:rsidR="00DC1F9F" w:rsidRPr="009118AB">
        <w:rPr>
          <w:i/>
          <w:iCs/>
        </w:rPr>
        <w:t>(I)</w:t>
      </w:r>
      <w:r w:rsidR="00BF735C" w:rsidRPr="009118AB">
        <w:rPr>
          <w:i/>
          <w:iCs/>
        </w:rPr>
        <w:t xml:space="preserve"> (B.S. vom 31. Dezember 2009)</w:t>
      </w:r>
      <w:r w:rsidR="00D67EB8" w:rsidRPr="009118AB">
        <w:rPr>
          <w:i/>
          <w:iCs/>
        </w:rPr>
        <w:t> - </w:t>
      </w:r>
      <w:r w:rsidR="00BF735C" w:rsidRPr="009118AB">
        <w:rPr>
          <w:i/>
          <w:iCs/>
        </w:rPr>
        <w:t>anwendbar auf die ab dem 1. Januar 2009 gezahlten oder zuerkannten Einkünfte</w:t>
      </w:r>
      <w:r w:rsidR="00FD68E8" w:rsidRPr="009118AB">
        <w:rPr>
          <w:i/>
          <w:iCs/>
        </w:rPr>
        <w:t> -]</w:t>
      </w:r>
    </w:p>
    <w:p w14:paraId="4037E36F" w14:textId="77777777" w:rsidR="00477B8F" w:rsidRPr="009118AB" w:rsidRDefault="00477B8F" w:rsidP="00C1294A">
      <w:pPr>
        <w:autoSpaceDE w:val="0"/>
        <w:autoSpaceDN w:val="0"/>
        <w:adjustRightInd w:val="0"/>
        <w:jc w:val="both"/>
      </w:pPr>
    </w:p>
    <w:p w14:paraId="3B1CFAA8" w14:textId="77777777" w:rsidR="00477B8F" w:rsidRPr="009118AB" w:rsidRDefault="00477B8F" w:rsidP="00C1294A">
      <w:pPr>
        <w:autoSpaceDE w:val="0"/>
        <w:autoSpaceDN w:val="0"/>
        <w:adjustRightInd w:val="0"/>
        <w:jc w:val="both"/>
      </w:pPr>
    </w:p>
    <w:p w14:paraId="61C8D6FF" w14:textId="381ED2F0" w:rsidR="00477B8F" w:rsidRPr="009118AB" w:rsidRDefault="00477B8F" w:rsidP="00C1294A">
      <w:pPr>
        <w:autoSpaceDE w:val="0"/>
        <w:autoSpaceDN w:val="0"/>
        <w:adjustRightInd w:val="0"/>
        <w:jc w:val="both"/>
      </w:pPr>
      <w:r w:rsidRPr="009118AB">
        <w:tab/>
      </w:r>
      <w:r w:rsidR="00D67EB8" w:rsidRPr="009118AB">
        <w:rPr>
          <w:b/>
          <w:bCs/>
        </w:rPr>
        <w:t>Art. </w:t>
      </w:r>
      <w:r w:rsidRPr="009118AB">
        <w:rPr>
          <w:b/>
          <w:bCs/>
        </w:rPr>
        <w:t>173</w:t>
      </w:r>
      <w:r w:rsidR="00D67EB8" w:rsidRPr="009118AB">
        <w:t> - </w:t>
      </w:r>
      <w:r w:rsidRPr="009118AB">
        <w:t xml:space="preserve">Mehrwerte, die auf Finanzanlagen oder andere Aktien oder Anteile verwirklicht werden, unterliegen der Steuer </w:t>
      </w:r>
      <w:r w:rsidR="000925FD" w:rsidRPr="009118AB">
        <w:t xml:space="preserve">[zum Steuersatz von 10 oder 16,5 Prozent] </w:t>
      </w:r>
      <w:r w:rsidRPr="009118AB">
        <w:t xml:space="preserve">nur in dem Maße, wie ihr steuerpflichtiger Betrag den Gesamtbetrag der vorher auf dieselben Bestandteile zugelassenen Minderwerte abzüglich des Gesamtbetrags der Mehrwerte, die aufgrund von Artikel 24 Absatz 1 </w:t>
      </w:r>
      <w:r w:rsidR="00D67EB8" w:rsidRPr="009118AB">
        <w:t>Nr. </w:t>
      </w:r>
      <w:r w:rsidRPr="009118AB">
        <w:t>3 besteuert wurden, übersteigt.</w:t>
      </w:r>
    </w:p>
    <w:p w14:paraId="70ECD7EA" w14:textId="77777777" w:rsidR="00A253A5" w:rsidRPr="009118AB" w:rsidRDefault="00A253A5" w:rsidP="00C1294A">
      <w:pPr>
        <w:autoSpaceDE w:val="0"/>
        <w:autoSpaceDN w:val="0"/>
        <w:adjustRightInd w:val="0"/>
        <w:jc w:val="both"/>
      </w:pPr>
    </w:p>
    <w:p w14:paraId="256D422D" w14:textId="77777777" w:rsidR="00AE1D14" w:rsidRDefault="00AE1D14">
      <w:r>
        <w:br w:type="page"/>
      </w:r>
    </w:p>
    <w:p w14:paraId="49241FB2" w14:textId="3DEC184E" w:rsidR="00477B8F" w:rsidRPr="009118AB" w:rsidRDefault="00477B8F" w:rsidP="00C1294A">
      <w:pPr>
        <w:autoSpaceDE w:val="0"/>
        <w:autoSpaceDN w:val="0"/>
        <w:adjustRightInd w:val="0"/>
        <w:jc w:val="both"/>
      </w:pPr>
      <w:r w:rsidRPr="009118AB">
        <w:lastRenderedPageBreak/>
        <w:tab/>
        <w:t xml:space="preserve">Gegebenenfalls wird Artikel 42 angewandt, um zu bestimmen, ob die in Artikel 171 </w:t>
      </w:r>
      <w:r w:rsidR="00D67EB8" w:rsidRPr="009118AB">
        <w:t>Nr. </w:t>
      </w:r>
      <w:r w:rsidRPr="009118AB">
        <w:t>4 Buchstabe </w:t>
      </w:r>
      <w:r w:rsidRPr="009118AB">
        <w:rPr>
          <w:i/>
          <w:iCs/>
        </w:rPr>
        <w:t>a)</w:t>
      </w:r>
      <w:r w:rsidRPr="009118AB">
        <w:t xml:space="preserve"> erwähnten Aktiva veräußert wurden, nachdem sie mehr als fünf Jahre zur Ausübung der Berufstätigkeit genutzt worden sind.</w:t>
      </w:r>
    </w:p>
    <w:p w14:paraId="09E0DAE4" w14:textId="77777777" w:rsidR="000925FD" w:rsidRPr="009118AB" w:rsidRDefault="000925FD" w:rsidP="00C1294A">
      <w:pPr>
        <w:autoSpaceDE w:val="0"/>
        <w:autoSpaceDN w:val="0"/>
        <w:adjustRightInd w:val="0"/>
        <w:jc w:val="both"/>
      </w:pPr>
    </w:p>
    <w:p w14:paraId="123A0D89" w14:textId="75111DF3" w:rsidR="000925FD" w:rsidRPr="009118AB" w:rsidRDefault="000925FD" w:rsidP="00D65F67">
      <w:pPr>
        <w:autoSpaceDE w:val="0"/>
        <w:autoSpaceDN w:val="0"/>
        <w:adjustRightInd w:val="0"/>
        <w:jc w:val="both"/>
      </w:pPr>
      <w:r w:rsidRPr="009118AB">
        <w:rPr>
          <w:i/>
        </w:rPr>
        <w:t>[</w:t>
      </w:r>
      <w:r w:rsidR="00D67EB8" w:rsidRPr="009118AB">
        <w:rPr>
          <w:i/>
        </w:rPr>
        <w:t>Art. </w:t>
      </w:r>
      <w:r w:rsidRPr="009118AB">
        <w:rPr>
          <w:i/>
        </w:rPr>
        <w:t xml:space="preserve">173 </w:t>
      </w:r>
      <w:r w:rsidR="00D67EB8" w:rsidRPr="009118AB">
        <w:rPr>
          <w:i/>
        </w:rPr>
        <w:t>Abs. </w:t>
      </w:r>
      <w:r w:rsidRPr="009118AB">
        <w:rPr>
          <w:i/>
        </w:rPr>
        <w:t xml:space="preserve">1 abgeändert durch </w:t>
      </w:r>
      <w:r w:rsidR="00D67EB8" w:rsidRPr="009118AB">
        <w:rPr>
          <w:i/>
        </w:rPr>
        <w:t>Art. </w:t>
      </w:r>
      <w:r w:rsidRPr="009118AB">
        <w:rPr>
          <w:i/>
        </w:rPr>
        <w:t xml:space="preserve">15 </w:t>
      </w:r>
      <w:r w:rsidRPr="009118AB">
        <w:rPr>
          <w:i/>
          <w:iCs/>
        </w:rPr>
        <w:t>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p>
    <w:p w14:paraId="5825F6CB" w14:textId="77777777" w:rsidR="00DC317E" w:rsidRPr="009118AB" w:rsidRDefault="00DC317E"/>
    <w:p w14:paraId="4379A229" w14:textId="77777777" w:rsidR="00563019" w:rsidRPr="009118AB" w:rsidRDefault="00563019" w:rsidP="00D65F67">
      <w:pPr>
        <w:autoSpaceDE w:val="0"/>
        <w:autoSpaceDN w:val="0"/>
        <w:adjustRightInd w:val="0"/>
        <w:jc w:val="both"/>
        <w:rPr>
          <w:b/>
          <w:bCs/>
        </w:rPr>
      </w:pPr>
    </w:p>
    <w:p w14:paraId="2C4EE59F" w14:textId="257AC015" w:rsidR="00D65F67" w:rsidRPr="009118AB" w:rsidRDefault="00DC317E" w:rsidP="00D65F67">
      <w:pPr>
        <w:autoSpaceDE w:val="0"/>
        <w:autoSpaceDN w:val="0"/>
        <w:adjustRightInd w:val="0"/>
        <w:jc w:val="both"/>
      </w:pPr>
      <w:r w:rsidRPr="009118AB">
        <w:rPr>
          <w:b/>
          <w:bCs/>
        </w:rPr>
        <w:tab/>
      </w:r>
      <w:r w:rsidR="00D67EB8" w:rsidRPr="009118AB">
        <w:rPr>
          <w:b/>
          <w:bCs/>
        </w:rPr>
        <w:t>Art. </w:t>
      </w:r>
      <w:r w:rsidR="00477B8F" w:rsidRPr="009118AB">
        <w:rPr>
          <w:b/>
          <w:bCs/>
        </w:rPr>
        <w:t>174</w:t>
      </w:r>
      <w:r w:rsidR="00D67EB8" w:rsidRPr="009118AB">
        <w:t> - </w:t>
      </w:r>
      <w:r w:rsidR="00D65F67" w:rsidRPr="009118AB">
        <w:t xml:space="preserve">Die Bestimmungen [von Artikel 171 </w:t>
      </w:r>
      <w:r w:rsidR="00D67EB8" w:rsidRPr="009118AB">
        <w:t>Nr. </w:t>
      </w:r>
      <w:r w:rsidR="00D65F67" w:rsidRPr="009118AB">
        <w:t>1</w:t>
      </w:r>
      <w:r w:rsidR="00D65F67" w:rsidRPr="009118AB">
        <w:rPr>
          <w:i/>
        </w:rPr>
        <w:t>bis</w:t>
      </w:r>
      <w:r w:rsidR="00D65F67" w:rsidRPr="009118AB">
        <w:t>] sind außer im Todesfall nur anwendbar unter der Bedingung, dass:</w:t>
      </w:r>
    </w:p>
    <w:p w14:paraId="69CBDFB9" w14:textId="77777777" w:rsidR="00D65F67" w:rsidRPr="009118AB" w:rsidRDefault="00D65F67" w:rsidP="00D65F67">
      <w:pPr>
        <w:autoSpaceDE w:val="0"/>
        <w:autoSpaceDN w:val="0"/>
        <w:adjustRightInd w:val="0"/>
        <w:jc w:val="both"/>
      </w:pPr>
    </w:p>
    <w:p w14:paraId="4D52A9AD" w14:textId="5B7C5849" w:rsidR="00D65F67" w:rsidRPr="009118AB" w:rsidRDefault="007C6725" w:rsidP="00D65F67">
      <w:pPr>
        <w:autoSpaceDE w:val="0"/>
        <w:autoSpaceDN w:val="0"/>
        <w:adjustRightInd w:val="0"/>
        <w:jc w:val="both"/>
      </w:pPr>
      <w:r w:rsidRPr="009118AB">
        <w:tab/>
      </w:r>
      <w:r w:rsidR="00D65F67" w:rsidRPr="009118AB">
        <w:t>1. die [in Artikel 145</w:t>
      </w:r>
      <w:r w:rsidR="00D65F67" w:rsidRPr="009118AB">
        <w:rPr>
          <w:vertAlign w:val="superscript"/>
        </w:rPr>
        <w:t>9</w:t>
      </w:r>
      <w:r w:rsidR="00D65F67" w:rsidRPr="009118AB">
        <w:t xml:space="preserve"> Absatz 1 </w:t>
      </w:r>
      <w:r w:rsidR="00D67EB8" w:rsidRPr="009118AB">
        <w:t>Nr. </w:t>
      </w:r>
      <w:r w:rsidR="00D65F67" w:rsidRPr="009118AB">
        <w:t>1 Buchstabe </w:t>
      </w:r>
      <w:r w:rsidR="00D65F67" w:rsidRPr="009118AB">
        <w:rPr>
          <w:i/>
          <w:iCs/>
        </w:rPr>
        <w:t>b)</w:t>
      </w:r>
      <w:r w:rsidR="00D65F67" w:rsidRPr="009118AB">
        <w:t>] erwähnte Mindestdauer von zehn Jahren abgelaufen ist,</w:t>
      </w:r>
    </w:p>
    <w:p w14:paraId="77443A25" w14:textId="77777777" w:rsidR="00D65F67" w:rsidRPr="009118AB" w:rsidRDefault="00D65F67" w:rsidP="00D65F67">
      <w:pPr>
        <w:autoSpaceDE w:val="0"/>
        <w:autoSpaceDN w:val="0"/>
        <w:adjustRightInd w:val="0"/>
        <w:jc w:val="both"/>
      </w:pPr>
    </w:p>
    <w:p w14:paraId="0F7797A7" w14:textId="77777777" w:rsidR="00D65F67" w:rsidRPr="009118AB" w:rsidRDefault="007C6725" w:rsidP="00D65F67">
      <w:pPr>
        <w:autoSpaceDE w:val="0"/>
        <w:autoSpaceDN w:val="0"/>
        <w:adjustRightInd w:val="0"/>
        <w:jc w:val="both"/>
      </w:pPr>
      <w:r w:rsidRPr="009118AB">
        <w:tab/>
      </w:r>
      <w:r w:rsidR="00D65F67" w:rsidRPr="009118AB">
        <w:t>2. der Steuerpflichtige während mindestens fünf Besteuerungszeiträumen Zahlungen auf ein kollektives oder individuelles Sparkonto oder als Prämie einer Sparversicherung geleistet hat,</w:t>
      </w:r>
    </w:p>
    <w:p w14:paraId="7A019F08" w14:textId="77777777" w:rsidR="00D65F67" w:rsidRPr="009118AB" w:rsidRDefault="00D65F67" w:rsidP="00D65F67">
      <w:pPr>
        <w:autoSpaceDE w:val="0"/>
        <w:autoSpaceDN w:val="0"/>
        <w:adjustRightInd w:val="0"/>
        <w:jc w:val="both"/>
      </w:pPr>
    </w:p>
    <w:p w14:paraId="2B3EED0B" w14:textId="77777777" w:rsidR="00D65F67" w:rsidRPr="009118AB" w:rsidRDefault="007C6725" w:rsidP="00D65F67">
      <w:pPr>
        <w:autoSpaceDE w:val="0"/>
        <w:autoSpaceDN w:val="0"/>
        <w:adjustRightInd w:val="0"/>
        <w:jc w:val="both"/>
      </w:pPr>
      <w:r w:rsidRPr="009118AB">
        <w:tab/>
      </w:r>
      <w:r w:rsidR="00D65F67" w:rsidRPr="009118AB">
        <w:t>3. jede Zahlung während mindestens fünf Jahren investiert bleibt.</w:t>
      </w:r>
    </w:p>
    <w:p w14:paraId="281891A5" w14:textId="77777777" w:rsidR="00D65F67" w:rsidRPr="009118AB" w:rsidRDefault="00D65F67" w:rsidP="00D65F67">
      <w:pPr>
        <w:autoSpaceDE w:val="0"/>
        <w:autoSpaceDN w:val="0"/>
        <w:adjustRightInd w:val="0"/>
        <w:jc w:val="both"/>
      </w:pPr>
    </w:p>
    <w:p w14:paraId="519827D4" w14:textId="77777777" w:rsidR="00D65F67" w:rsidRPr="009118AB" w:rsidRDefault="007C6725" w:rsidP="00D65F67">
      <w:pPr>
        <w:autoSpaceDE w:val="0"/>
        <w:autoSpaceDN w:val="0"/>
        <w:adjustRightInd w:val="0"/>
        <w:jc w:val="both"/>
      </w:pPr>
      <w:r w:rsidRPr="009118AB">
        <w:tab/>
      </w:r>
      <w:r w:rsidR="00D65F67" w:rsidRPr="009118AB">
        <w:t>[...]</w:t>
      </w:r>
    </w:p>
    <w:p w14:paraId="553CD565" w14:textId="77777777" w:rsidR="00D65F67" w:rsidRPr="009118AB" w:rsidRDefault="00D65F67" w:rsidP="00D65F67">
      <w:pPr>
        <w:autoSpaceDE w:val="0"/>
        <w:autoSpaceDN w:val="0"/>
        <w:adjustRightInd w:val="0"/>
        <w:jc w:val="both"/>
      </w:pPr>
    </w:p>
    <w:p w14:paraId="19D35451" w14:textId="01CCE5AE" w:rsidR="00F669C2" w:rsidRPr="009118AB" w:rsidRDefault="00D65F67" w:rsidP="00D65F67">
      <w:pPr>
        <w:autoSpaceDE w:val="0"/>
        <w:autoSpaceDN w:val="0"/>
        <w:adjustRightInd w:val="0"/>
        <w:jc w:val="both"/>
        <w:rPr>
          <w:iCs/>
        </w:rPr>
      </w:pPr>
      <w:r w:rsidRPr="009118AB">
        <w:rPr>
          <w:i/>
          <w:iCs/>
        </w:rPr>
        <w:t>[</w:t>
      </w:r>
      <w:r w:rsidR="00D67EB8" w:rsidRPr="009118AB">
        <w:rPr>
          <w:i/>
          <w:iCs/>
        </w:rPr>
        <w:t>Art. </w:t>
      </w:r>
      <w:r w:rsidRPr="009118AB">
        <w:rPr>
          <w:i/>
          <w:iCs/>
        </w:rPr>
        <w:t xml:space="preserve">174 einziger Absatz einleitende Bestimmung abgeändert durch </w:t>
      </w:r>
      <w:r w:rsidR="00D67EB8" w:rsidRPr="009118AB">
        <w:rPr>
          <w:i/>
          <w:iCs/>
        </w:rPr>
        <w:t>Art. </w:t>
      </w:r>
      <w:r w:rsidRPr="009118AB">
        <w:rPr>
          <w:i/>
          <w:iCs/>
        </w:rPr>
        <w:t xml:space="preserve">91 </w:t>
      </w:r>
      <w:r w:rsidR="00D67EB8" w:rsidRPr="009118AB">
        <w:rPr>
          <w:i/>
          <w:iCs/>
        </w:rPr>
        <w:t>Nr. </w:t>
      </w:r>
      <w:r w:rsidRPr="009118AB">
        <w:rPr>
          <w:i/>
          <w:iCs/>
        </w:rPr>
        <w:t>1 des G. vom 28. Dezember 1992 (B.S. vom 31. Dezember 1992)</w:t>
      </w:r>
      <w:r w:rsidR="00D67EB8" w:rsidRPr="009118AB">
        <w:rPr>
          <w:i/>
          <w:iCs/>
        </w:rPr>
        <w:t> - </w:t>
      </w:r>
      <w:r w:rsidRPr="009118AB">
        <w:rPr>
          <w:i/>
          <w:iCs/>
        </w:rPr>
        <w:t>anwendbar ab dem Steuerjahr 1993</w:t>
      </w:r>
      <w:r w:rsidR="00D67EB8" w:rsidRPr="009118AB">
        <w:rPr>
          <w:i/>
          <w:iCs/>
        </w:rPr>
        <w:t> - </w:t>
      </w:r>
      <w:r w:rsidRPr="009118AB">
        <w:rPr>
          <w:i/>
          <w:iCs/>
        </w:rPr>
        <w:t xml:space="preserve">und </w:t>
      </w:r>
      <w:r w:rsidR="00D67EB8" w:rsidRPr="009118AB">
        <w:rPr>
          <w:i/>
          <w:iCs/>
        </w:rPr>
        <w:t>Art. </w:t>
      </w:r>
      <w:r w:rsidRPr="009118AB">
        <w:rPr>
          <w:i/>
          <w:iCs/>
        </w:rPr>
        <w:t>111 des G. vom 19. Dezember 2014 (B.S. vom 29. Dezember 2014)</w:t>
      </w:r>
      <w:r w:rsidR="00D67EB8" w:rsidRPr="009118AB">
        <w:rPr>
          <w:i/>
          <w:iCs/>
        </w:rPr>
        <w:t> - </w:t>
      </w:r>
      <w:r w:rsidRPr="009118AB">
        <w:rPr>
          <w:i/>
          <w:iCs/>
        </w:rPr>
        <w:t>anwendbar ab dem Steuerjahr 2016</w:t>
      </w:r>
      <w:r w:rsidR="003366D9" w:rsidRPr="009118AB">
        <w:rPr>
          <w:i/>
          <w:iCs/>
        </w:rPr>
        <w:t> -;</w:t>
      </w:r>
      <w:r w:rsidRPr="009118AB">
        <w:rPr>
          <w:i/>
          <w:iCs/>
        </w:rPr>
        <w:t xml:space="preserve"> einziger Absatz </w:t>
      </w:r>
      <w:r w:rsidR="00D67EB8" w:rsidRPr="009118AB">
        <w:rPr>
          <w:i/>
          <w:iCs/>
        </w:rPr>
        <w:t>Nr. </w:t>
      </w:r>
      <w:r w:rsidRPr="009118AB">
        <w:rPr>
          <w:i/>
          <w:iCs/>
        </w:rPr>
        <w:t xml:space="preserve">1 abgeändert durch </w:t>
      </w:r>
      <w:r w:rsidR="00D67EB8" w:rsidRPr="009118AB">
        <w:rPr>
          <w:i/>
          <w:iCs/>
        </w:rPr>
        <w:t>Art. </w:t>
      </w:r>
      <w:r w:rsidRPr="009118AB">
        <w:rPr>
          <w:i/>
          <w:iCs/>
        </w:rPr>
        <w:t xml:space="preserve">91 </w:t>
      </w:r>
      <w:r w:rsidR="00D67EB8" w:rsidRPr="009118AB">
        <w:rPr>
          <w:i/>
          <w:iCs/>
        </w:rPr>
        <w:t>Nr. </w:t>
      </w:r>
      <w:r w:rsidRPr="009118AB">
        <w:rPr>
          <w:i/>
          <w:iCs/>
        </w:rPr>
        <w:t>2 des G. vom 28. Dezember 1992 (B.S. vom 31. Dezember 1992)</w:t>
      </w:r>
      <w:r w:rsidR="00D67EB8" w:rsidRPr="009118AB">
        <w:rPr>
          <w:i/>
          <w:iCs/>
        </w:rPr>
        <w:t> - </w:t>
      </w:r>
      <w:r w:rsidRPr="009118AB">
        <w:rPr>
          <w:i/>
          <w:iCs/>
        </w:rPr>
        <w:t>anwendbar ab dem Steuerjahr 1993</w:t>
      </w:r>
      <w:r w:rsidR="003366D9" w:rsidRPr="009118AB">
        <w:rPr>
          <w:i/>
          <w:iCs/>
        </w:rPr>
        <w:t> -;</w:t>
      </w:r>
      <w:r w:rsidRPr="009118AB">
        <w:rPr>
          <w:i/>
          <w:iCs/>
        </w:rPr>
        <w:t xml:space="preserve"> früherer Absatz 2 aufgehoben durch </w:t>
      </w:r>
      <w:r w:rsidR="00D67EB8" w:rsidRPr="009118AB">
        <w:rPr>
          <w:i/>
          <w:iCs/>
        </w:rPr>
        <w:t>Art. </w:t>
      </w:r>
      <w:r w:rsidRPr="009118AB">
        <w:rPr>
          <w:i/>
          <w:iCs/>
        </w:rPr>
        <w:t xml:space="preserve">91 </w:t>
      </w:r>
      <w:r w:rsidR="00D67EB8" w:rsidRPr="009118AB">
        <w:rPr>
          <w:i/>
          <w:iCs/>
        </w:rPr>
        <w:t>Nr. </w:t>
      </w:r>
      <w:r w:rsidRPr="009118AB">
        <w:rPr>
          <w:i/>
          <w:iCs/>
        </w:rPr>
        <w:t>3 des G. vom 28. Dezember 1992 (B.S. vom 31. Dezember 1992)</w:t>
      </w:r>
      <w:r w:rsidR="00D67EB8" w:rsidRPr="009118AB">
        <w:rPr>
          <w:i/>
          <w:iCs/>
        </w:rPr>
        <w:t> - </w:t>
      </w:r>
      <w:r w:rsidRPr="009118AB">
        <w:rPr>
          <w:i/>
          <w:iCs/>
        </w:rPr>
        <w:t>anwendbar ab dem 1. Januar 1993</w:t>
      </w:r>
      <w:r w:rsidR="00FD68E8" w:rsidRPr="009118AB">
        <w:rPr>
          <w:i/>
          <w:iCs/>
        </w:rPr>
        <w:t> -]</w:t>
      </w:r>
    </w:p>
    <w:p w14:paraId="5B566BFC" w14:textId="245E03BD" w:rsidR="00F669C2" w:rsidRPr="009118AB" w:rsidRDefault="00F669C2" w:rsidP="00F669C2">
      <w:pPr>
        <w:autoSpaceDE w:val="0"/>
        <w:autoSpaceDN w:val="0"/>
        <w:adjustRightInd w:val="0"/>
        <w:jc w:val="center"/>
        <w:rPr>
          <w:iCs/>
        </w:rPr>
      </w:pPr>
      <w:r w:rsidRPr="009118AB">
        <w:rPr>
          <w:iCs/>
        </w:rPr>
        <w:br w:type="page"/>
      </w:r>
      <w:r w:rsidRPr="009118AB">
        <w:rPr>
          <w:iCs/>
        </w:rPr>
        <w:lastRenderedPageBreak/>
        <w:t>[</w:t>
      </w:r>
      <w:r w:rsidRPr="009118AB">
        <w:t>Unterabschnitt 3</w:t>
      </w:r>
      <w:r w:rsidR="00D67EB8" w:rsidRPr="009118AB">
        <w:t> - </w:t>
      </w:r>
      <w:r w:rsidR="00EA2D14" w:rsidRPr="009118AB">
        <w:t>[</w:t>
      </w:r>
      <w:r w:rsidRPr="009118AB">
        <w:t>Begrenzung der Vorteile im Verhältnis zur Dauer des Besteu</w:t>
      </w:r>
      <w:r w:rsidRPr="009118AB">
        <w:softHyphen/>
        <w:t>erungszeitraums</w:t>
      </w:r>
    </w:p>
    <w:p w14:paraId="1D79841B" w14:textId="77777777" w:rsidR="00F669C2" w:rsidRPr="009118AB" w:rsidRDefault="00F669C2" w:rsidP="00F669C2">
      <w:pPr>
        <w:autoSpaceDE w:val="0"/>
        <w:autoSpaceDN w:val="0"/>
        <w:adjustRightInd w:val="0"/>
        <w:jc w:val="center"/>
        <w:rPr>
          <w:iCs/>
        </w:rPr>
      </w:pPr>
    </w:p>
    <w:p w14:paraId="59CDC651" w14:textId="413927A4" w:rsidR="00F669C2" w:rsidRPr="009118AB" w:rsidRDefault="00F669C2" w:rsidP="00F669C2">
      <w:pPr>
        <w:autoSpaceDE w:val="0"/>
        <w:autoSpaceDN w:val="0"/>
        <w:adjustRightInd w:val="0"/>
        <w:jc w:val="both"/>
        <w:rPr>
          <w:rFonts w:ascii="Times New Roman Italique" w:hAnsi="Times New Roman Italique"/>
          <w:i/>
          <w:iCs/>
          <w:spacing w:val="-2"/>
        </w:rPr>
      </w:pPr>
      <w:r w:rsidRPr="009118AB">
        <w:rPr>
          <w:rFonts w:ascii="Times New Roman Italique" w:hAnsi="Times New Roman Italique"/>
          <w:i/>
          <w:iCs/>
          <w:spacing w:val="-2"/>
        </w:rPr>
        <w:t xml:space="preserve">[Unterabschnitt 3 mit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174/1 </w:t>
      </w:r>
      <w:r w:rsidRPr="009118AB">
        <w:rPr>
          <w:i/>
        </w:rPr>
        <w:t>eingefügt</w:t>
      </w:r>
      <w:r w:rsidRPr="009118AB">
        <w:rPr>
          <w:i/>
          <w:iCs/>
        </w:rPr>
        <w:t xml:space="preserve"> durch </w:t>
      </w:r>
      <w:r w:rsidR="00D67EB8" w:rsidRPr="009118AB">
        <w:rPr>
          <w:i/>
          <w:iCs/>
        </w:rPr>
        <w:t>Art. </w:t>
      </w:r>
      <w:r w:rsidRPr="009118AB">
        <w:rPr>
          <w:i/>
          <w:iCs/>
        </w:rPr>
        <w:t>28 des G. vom 28. Dezember 2011 (B.S. vom 30. Dezember 2011)</w:t>
      </w:r>
      <w:r w:rsidR="00D67EB8" w:rsidRPr="009118AB">
        <w:rPr>
          <w:i/>
          <w:iCs/>
        </w:rPr>
        <w:t> - </w:t>
      </w:r>
      <w:r w:rsidRPr="009118AB">
        <w:rPr>
          <w:i/>
          <w:iCs/>
        </w:rPr>
        <w:t>anwendbar auf die ab dem 1. Januar 2012 zuerkannten oder ausgeschütteten Einkünfte</w:t>
      </w:r>
      <w:r w:rsidR="00FD68E8" w:rsidRPr="009118AB">
        <w:rPr>
          <w:i/>
          <w:iCs/>
        </w:rPr>
        <w:t> -,</w:t>
      </w:r>
      <w:r w:rsidRPr="009118AB">
        <w:rPr>
          <w:i/>
          <w:iCs/>
        </w:rPr>
        <w:t xml:space="preserve"> </w:t>
      </w:r>
      <w:r w:rsidRPr="009118AB">
        <w:rPr>
          <w:bCs/>
          <w:i/>
        </w:rPr>
        <w:t xml:space="preserve">aufgehoben durch </w:t>
      </w:r>
      <w:r w:rsidR="00D67EB8" w:rsidRPr="009118AB">
        <w:rPr>
          <w:bCs/>
          <w:i/>
        </w:rPr>
        <w:t>Art. </w:t>
      </w:r>
      <w:r w:rsidRPr="009118AB">
        <w:rPr>
          <w:bCs/>
          <w:i/>
        </w:rPr>
        <w:t>82</w:t>
      </w:r>
      <w:r w:rsidRPr="009118AB">
        <w:rPr>
          <w:bCs/>
          <w:i/>
          <w:iCs/>
        </w:rPr>
        <w:t xml:space="preserve"> des G. vom 27. Dezember 2012 (B.S. vom 31. Dezember 2012)</w:t>
      </w:r>
      <w:r w:rsidR="00D67EB8" w:rsidRPr="009118AB">
        <w:rPr>
          <w:bCs/>
          <w:i/>
          <w:iCs/>
        </w:rPr>
        <w:t> - </w:t>
      </w:r>
      <w:r w:rsidRPr="009118AB">
        <w:rPr>
          <w:bCs/>
          <w:i/>
          <w:iCs/>
        </w:rPr>
        <w:t>anwendbar auf die ab dem 1. Januar 2013 zuerkannten oder ausgeschütteten Einkünfte</w:t>
      </w:r>
      <w:r w:rsidR="00D67EB8" w:rsidRPr="009118AB">
        <w:rPr>
          <w:bCs/>
          <w:i/>
          <w:iCs/>
        </w:rPr>
        <w:t> - </w:t>
      </w:r>
      <w:r w:rsidRPr="009118AB">
        <w:rPr>
          <w:bCs/>
          <w:i/>
          <w:iCs/>
        </w:rPr>
        <w:t xml:space="preserve">und wieder aufgenommen durch </w:t>
      </w:r>
      <w:r w:rsidR="00D67EB8" w:rsidRPr="009118AB">
        <w:rPr>
          <w:bCs/>
          <w:i/>
          <w:iCs/>
        </w:rPr>
        <w:t>Art. </w:t>
      </w:r>
      <w:r w:rsidR="00EA2D14" w:rsidRPr="009118AB">
        <w:rPr>
          <w:rFonts w:ascii="Times New Roman Italique" w:hAnsi="Times New Roman Italique"/>
          <w:i/>
          <w:iCs/>
          <w:spacing w:val="-2"/>
        </w:rPr>
        <w:t>121 des G. vom 25. Dezember 2017 (IV) (B.S. vom 29. Dezember 2017)</w:t>
      </w:r>
      <w:r w:rsidR="00D67EB8" w:rsidRPr="009118AB">
        <w:rPr>
          <w:rFonts w:ascii="Times New Roman Italique" w:hAnsi="Times New Roman Italique"/>
          <w:i/>
          <w:iCs/>
          <w:spacing w:val="-2"/>
        </w:rPr>
        <w:t> - </w:t>
      </w:r>
      <w:r w:rsidR="00EA2D14" w:rsidRPr="009118AB">
        <w:rPr>
          <w:rFonts w:ascii="Times New Roman Italique" w:hAnsi="Times New Roman Italique"/>
          <w:i/>
          <w:iCs/>
          <w:spacing w:val="-2"/>
        </w:rPr>
        <w:t>anwendbar ab dem Steuerjahr 2018</w:t>
      </w:r>
      <w:r w:rsidR="00FD68E8" w:rsidRPr="009118AB">
        <w:rPr>
          <w:rFonts w:ascii="Times New Roman Italique" w:hAnsi="Times New Roman Italique"/>
          <w:i/>
          <w:iCs/>
          <w:spacing w:val="-2"/>
        </w:rPr>
        <w:t> -]</w:t>
      </w:r>
    </w:p>
    <w:p w14:paraId="463DE858" w14:textId="77777777" w:rsidR="00D65F67" w:rsidRPr="009118AB" w:rsidRDefault="00D65F67" w:rsidP="00D65F67">
      <w:pPr>
        <w:autoSpaceDE w:val="0"/>
        <w:autoSpaceDN w:val="0"/>
        <w:adjustRightInd w:val="0"/>
        <w:jc w:val="both"/>
        <w:rPr>
          <w:iCs/>
        </w:rPr>
      </w:pPr>
    </w:p>
    <w:p w14:paraId="5007466B" w14:textId="77777777" w:rsidR="00D65F67" w:rsidRPr="009118AB" w:rsidRDefault="00D65F67" w:rsidP="00D65F67">
      <w:pPr>
        <w:autoSpaceDE w:val="0"/>
        <w:autoSpaceDN w:val="0"/>
        <w:adjustRightInd w:val="0"/>
        <w:jc w:val="both"/>
        <w:rPr>
          <w:sz w:val="20"/>
          <w:szCs w:val="20"/>
        </w:rPr>
      </w:pPr>
    </w:p>
    <w:p w14:paraId="42255787" w14:textId="5290668A" w:rsidR="00F669C2" w:rsidRPr="009118AB" w:rsidRDefault="00F669C2" w:rsidP="00EA2D14">
      <w:pPr>
        <w:autoSpaceDE w:val="0"/>
        <w:autoSpaceDN w:val="0"/>
        <w:adjustRightInd w:val="0"/>
        <w:jc w:val="both"/>
      </w:pPr>
      <w:r w:rsidRPr="009118AB">
        <w:rPr>
          <w:sz w:val="20"/>
          <w:szCs w:val="20"/>
        </w:rPr>
        <w:tab/>
      </w:r>
      <w:r w:rsidR="00D67EB8" w:rsidRPr="009118AB">
        <w:rPr>
          <w:b/>
        </w:rPr>
        <w:t>Art. </w:t>
      </w:r>
      <w:r w:rsidRPr="009118AB">
        <w:rPr>
          <w:b/>
        </w:rPr>
        <w:t>174/1</w:t>
      </w:r>
      <w:r w:rsidR="00D67EB8" w:rsidRPr="009118AB">
        <w:t> - </w:t>
      </w:r>
      <w:r w:rsidRPr="009118AB">
        <w:t xml:space="preserve">Wenn der Besteuerungszeitraum aus einem anderen Grund als dem Tod keinem vollständigen Kalenderjahr entspricht, werden die in den Artikeln 131, 132, 133, </w:t>
      </w:r>
      <w:r w:rsidR="005B333B" w:rsidRPr="009118AB">
        <w:t>[134 § 3 Absatz 2]</w:t>
      </w:r>
      <w:r w:rsidRPr="009118AB">
        <w:t xml:space="preserve">, 136, </w:t>
      </w:r>
      <w:r w:rsidR="00E77E60">
        <w:t>[...]</w:t>
      </w:r>
      <w:r w:rsidRPr="009118AB">
        <w:t xml:space="preserve"> 141, 142 Absatz 2, 143, 145 Absatz 2, 145</w:t>
      </w:r>
      <w:r w:rsidRPr="009118AB">
        <w:rPr>
          <w:vertAlign w:val="superscript"/>
        </w:rPr>
        <w:t>6</w:t>
      </w:r>
      <w:r w:rsidRPr="009118AB">
        <w:t xml:space="preserve"> Absatz 1 erster Gedankenstrich, 145</w:t>
      </w:r>
      <w:r w:rsidRPr="009118AB">
        <w:rPr>
          <w:vertAlign w:val="superscript"/>
        </w:rPr>
        <w:t>7</w:t>
      </w:r>
      <w:r w:rsidRPr="009118AB">
        <w:t xml:space="preserve"> </w:t>
      </w:r>
      <w:r w:rsidR="00D67EB8" w:rsidRPr="009118AB">
        <w:t>§ </w:t>
      </w:r>
      <w:r w:rsidRPr="009118AB">
        <w:t xml:space="preserve">1 Absatz 4, </w:t>
      </w:r>
      <w:r w:rsidR="000659DC" w:rsidRPr="009118AB">
        <w:t>[</w:t>
      </w:r>
      <w:r w:rsidR="000659DC" w:rsidRPr="009118AB">
        <w:rPr>
          <w:rFonts w:eastAsia="Calibri"/>
        </w:rPr>
        <w:t>145</w:t>
      </w:r>
      <w:r w:rsidR="000659DC" w:rsidRPr="009118AB">
        <w:rPr>
          <w:rFonts w:eastAsia="Calibri"/>
          <w:vertAlign w:val="superscript"/>
        </w:rPr>
        <w:t>8</w:t>
      </w:r>
      <w:r w:rsidR="000659DC" w:rsidRPr="009118AB">
        <w:rPr>
          <w:rFonts w:eastAsia="Calibri"/>
        </w:rPr>
        <w:t xml:space="preserve"> </w:t>
      </w:r>
      <w:r w:rsidR="00D67EB8" w:rsidRPr="009118AB">
        <w:rPr>
          <w:rFonts w:eastAsia="Calibri"/>
        </w:rPr>
        <w:t>§ </w:t>
      </w:r>
      <w:r w:rsidR="000659DC" w:rsidRPr="009118AB">
        <w:rPr>
          <w:rFonts w:eastAsia="Calibri"/>
        </w:rPr>
        <w:t>1 Absatz 2 und 3</w:t>
      </w:r>
      <w:r w:rsidR="000659DC" w:rsidRPr="009118AB">
        <w:t>]</w:t>
      </w:r>
      <w:r w:rsidRPr="009118AB">
        <w:t xml:space="preserve">, </w:t>
      </w:r>
      <w:r w:rsidR="0007201C" w:rsidRPr="009118AB">
        <w:t>[</w:t>
      </w:r>
      <w:r w:rsidR="0007201C" w:rsidRPr="009118AB">
        <w:rPr>
          <w:rFonts w:eastAsia="Calibri"/>
        </w:rPr>
        <w:t>145</w:t>
      </w:r>
      <w:r w:rsidR="0007201C" w:rsidRPr="009118AB">
        <w:rPr>
          <w:rFonts w:eastAsia="Calibri"/>
          <w:vertAlign w:val="superscript"/>
        </w:rPr>
        <w:t>26</w:t>
      </w:r>
      <w:r w:rsidR="0007201C" w:rsidRPr="009118AB">
        <w:rPr>
          <w:rFonts w:eastAsia="Calibri"/>
        </w:rPr>
        <w:t xml:space="preserve"> </w:t>
      </w:r>
      <w:r w:rsidR="00D67EB8" w:rsidRPr="009118AB">
        <w:rPr>
          <w:rFonts w:eastAsia="Calibri"/>
        </w:rPr>
        <w:t>§ </w:t>
      </w:r>
      <w:r w:rsidR="0007201C" w:rsidRPr="009118AB">
        <w:rPr>
          <w:rFonts w:eastAsia="Calibri"/>
        </w:rPr>
        <w:t>3 Absatz 4, 145</w:t>
      </w:r>
      <w:r w:rsidR="0007201C" w:rsidRPr="009118AB">
        <w:rPr>
          <w:rFonts w:eastAsia="Calibri"/>
          <w:vertAlign w:val="superscript"/>
        </w:rPr>
        <w:t>26/1</w:t>
      </w:r>
      <w:r w:rsidR="0007201C" w:rsidRPr="009118AB">
        <w:rPr>
          <w:rFonts w:eastAsia="Calibri"/>
        </w:rPr>
        <w:t xml:space="preserve"> </w:t>
      </w:r>
      <w:r w:rsidR="00D67EB8" w:rsidRPr="009118AB">
        <w:rPr>
          <w:rFonts w:eastAsia="Calibri"/>
        </w:rPr>
        <w:t>§ </w:t>
      </w:r>
      <w:r w:rsidR="0007201C" w:rsidRPr="009118AB">
        <w:rPr>
          <w:rFonts w:eastAsia="Calibri"/>
        </w:rPr>
        <w:t>2 Absatz 1</w:t>
      </w:r>
      <w:r w:rsidR="0007201C" w:rsidRPr="009118AB">
        <w:t>]</w:t>
      </w:r>
      <w:r w:rsidRPr="009118AB">
        <w:t xml:space="preserve">, </w:t>
      </w:r>
      <w:r w:rsidR="00F00A71" w:rsidRPr="009118AB">
        <w:t>[</w:t>
      </w:r>
      <w:r w:rsidR="00F00A71" w:rsidRPr="009118AB">
        <w:rPr>
          <w:rFonts w:eastAsia="Calibri"/>
        </w:rPr>
        <w:t>145</w:t>
      </w:r>
      <w:r w:rsidR="00F00A71" w:rsidRPr="009118AB">
        <w:rPr>
          <w:rFonts w:eastAsia="Calibri"/>
          <w:vertAlign w:val="superscript"/>
        </w:rPr>
        <w:t>27</w:t>
      </w:r>
      <w:r w:rsidR="00F00A71" w:rsidRPr="009118AB">
        <w:rPr>
          <w:rFonts w:eastAsia="Calibri"/>
        </w:rPr>
        <w:t xml:space="preserve"> </w:t>
      </w:r>
      <w:r w:rsidR="00D67EB8" w:rsidRPr="009118AB">
        <w:rPr>
          <w:rFonts w:eastAsia="Calibri"/>
        </w:rPr>
        <w:t>§ </w:t>
      </w:r>
      <w:r w:rsidR="00F00A71" w:rsidRPr="009118AB">
        <w:rPr>
          <w:rFonts w:eastAsia="Calibri"/>
        </w:rPr>
        <w:t>2 Absatz 6, 145</w:t>
      </w:r>
      <w:r w:rsidR="00F00A71" w:rsidRPr="009118AB">
        <w:rPr>
          <w:rFonts w:eastAsia="Calibri"/>
          <w:vertAlign w:val="superscript"/>
        </w:rPr>
        <w:t>28</w:t>
      </w:r>
      <w:r w:rsidR="00F00A71" w:rsidRPr="009118AB">
        <w:rPr>
          <w:rFonts w:eastAsia="Calibri"/>
        </w:rPr>
        <w:t xml:space="preserve"> </w:t>
      </w:r>
      <w:r w:rsidR="00D67EB8" w:rsidRPr="009118AB">
        <w:rPr>
          <w:rFonts w:eastAsia="Calibri"/>
        </w:rPr>
        <w:t>§ </w:t>
      </w:r>
      <w:r w:rsidR="00F00A71" w:rsidRPr="009118AB">
        <w:rPr>
          <w:rFonts w:eastAsia="Calibri"/>
        </w:rPr>
        <w:t>1 Absatz 3</w:t>
      </w:r>
      <w:r w:rsidR="00F00A71" w:rsidRPr="009118AB">
        <w:t>]</w:t>
      </w:r>
      <w:r w:rsidRPr="009118AB">
        <w:t>, 145</w:t>
      </w:r>
      <w:r w:rsidRPr="009118AB">
        <w:rPr>
          <w:vertAlign w:val="superscript"/>
        </w:rPr>
        <w:t>32</w:t>
      </w:r>
      <w:r w:rsidRPr="009118AB">
        <w:t xml:space="preserve"> </w:t>
      </w:r>
      <w:r w:rsidR="00D67EB8" w:rsidRPr="009118AB">
        <w:t>§ </w:t>
      </w:r>
      <w:r w:rsidRPr="009118AB">
        <w:t>1 Absatz 4, 145</w:t>
      </w:r>
      <w:r w:rsidRPr="009118AB">
        <w:rPr>
          <w:vertAlign w:val="superscript"/>
        </w:rPr>
        <w:t>33</w:t>
      </w:r>
      <w:r w:rsidRPr="009118AB">
        <w:t xml:space="preserve"> </w:t>
      </w:r>
      <w:r w:rsidR="00D67EB8" w:rsidRPr="009118AB">
        <w:t>§ </w:t>
      </w:r>
      <w:r w:rsidRPr="009118AB">
        <w:t>1 Absatz 4, 145</w:t>
      </w:r>
      <w:r w:rsidRPr="009118AB">
        <w:rPr>
          <w:vertAlign w:val="superscript"/>
        </w:rPr>
        <w:t>34</w:t>
      </w:r>
      <w:r w:rsidRPr="009118AB">
        <w:t xml:space="preserve"> Absatz 2 </w:t>
      </w:r>
      <w:r w:rsidR="00D67EB8" w:rsidRPr="009118AB">
        <w:t>Nr. </w:t>
      </w:r>
      <w:r w:rsidRPr="009118AB">
        <w:t xml:space="preserve">1 und Absatz 5, 147, </w:t>
      </w:r>
      <w:r w:rsidR="00BD47A8" w:rsidRPr="009118AB">
        <w:t>[151 bis 152, 154]</w:t>
      </w:r>
      <w:r w:rsidRPr="009118AB">
        <w:t xml:space="preserve">, </w:t>
      </w:r>
      <w:r w:rsidR="008D35CF" w:rsidRPr="009118AB">
        <w:t>[171 Nr. 1 Buchstabe </w:t>
      </w:r>
      <w:r w:rsidR="008D35CF" w:rsidRPr="009118AB">
        <w:rPr>
          <w:i/>
          <w:iCs/>
        </w:rPr>
        <w:t>i)</w:t>
      </w:r>
      <w:r w:rsidR="008D35CF" w:rsidRPr="009118AB">
        <w:t>, Nr. 2</w:t>
      </w:r>
      <w:r w:rsidR="008D35CF" w:rsidRPr="009118AB">
        <w:rPr>
          <w:i/>
          <w:iCs/>
        </w:rPr>
        <w:t>bis</w:t>
      </w:r>
      <w:r w:rsidR="008D35CF" w:rsidRPr="009118AB">
        <w:t xml:space="preserve"> zweiter Gedankenstrich und Nr. 4 Buchstabe </w:t>
      </w:r>
      <w:r w:rsidR="008D35CF" w:rsidRPr="009118AB">
        <w:rPr>
          <w:i/>
          <w:iCs/>
        </w:rPr>
        <w:t>j)</w:t>
      </w:r>
      <w:r w:rsidR="008D35CF" w:rsidRPr="009118AB">
        <w:t>]</w:t>
      </w:r>
      <w:r w:rsidRPr="009118AB">
        <w:t xml:space="preserve"> und 172 Absatz 3 erwähnten Beträge gegebenenfalls nach Anwendung von Artikel 178 und </w:t>
      </w:r>
      <w:r w:rsidR="007B14D2" w:rsidRPr="009118AB">
        <w:t>[der in Artikel 154 erwähnte Höchstbetrag]</w:t>
      </w:r>
      <w:r w:rsidRPr="009118AB">
        <w:t xml:space="preserve"> des gesetzlichen Arbeitslosengeldes im Verhältnis zur Dauer des Besteuerungszeitraums, ausgedrückt in Monaten, gegenüber zwölf Monaten proportional verringert.</w:t>
      </w:r>
    </w:p>
    <w:p w14:paraId="2D9BBC06" w14:textId="77777777" w:rsidR="00F669C2" w:rsidRPr="009118AB" w:rsidRDefault="00F669C2" w:rsidP="00F669C2">
      <w:pPr>
        <w:jc w:val="both"/>
      </w:pPr>
    </w:p>
    <w:p w14:paraId="4A88EDD3" w14:textId="77777777" w:rsidR="00F669C2" w:rsidRPr="009118AB" w:rsidRDefault="00F669C2" w:rsidP="00F669C2">
      <w:pPr>
        <w:jc w:val="both"/>
      </w:pPr>
      <w:r w:rsidRPr="009118AB">
        <w:tab/>
        <w:t>Bei der Bestimmung der in Monaten ausgedrückten Dauer des Besteuerungszeitraums zählt jeder Kalendermonat, dessen fünfzehnter Tag Teil des Besteuerungszeitraums ist, als vollständiger Monat.</w:t>
      </w:r>
    </w:p>
    <w:p w14:paraId="0218819C" w14:textId="77777777" w:rsidR="00F669C2" w:rsidRPr="009118AB" w:rsidRDefault="00F669C2" w:rsidP="00F669C2">
      <w:pPr>
        <w:jc w:val="both"/>
      </w:pPr>
    </w:p>
    <w:p w14:paraId="0130FBDE" w14:textId="77777777" w:rsidR="00F669C2" w:rsidRPr="009118AB" w:rsidRDefault="00F669C2" w:rsidP="00F669C2">
      <w:pPr>
        <w:jc w:val="both"/>
      </w:pPr>
      <w:r w:rsidRPr="009118AB">
        <w:tab/>
        <w:t>Die gemäß Absatz 1 verringerten Beträge werden auf das größere oder kleinere Vielfache von 10 EUR abgerundet, je nachdem ob die Ziffer der Einer 5 erreicht oder nicht.</w:t>
      </w:r>
    </w:p>
    <w:p w14:paraId="4F3B1DFC" w14:textId="77777777" w:rsidR="00F669C2" w:rsidRPr="009118AB" w:rsidRDefault="00F669C2" w:rsidP="00F669C2">
      <w:pPr>
        <w:jc w:val="both"/>
      </w:pPr>
    </w:p>
    <w:p w14:paraId="29FA2F13" w14:textId="6448B2D9" w:rsidR="00F669C2" w:rsidRPr="009118AB" w:rsidRDefault="00F669C2" w:rsidP="00F669C2">
      <w:pPr>
        <w:autoSpaceDE w:val="0"/>
        <w:autoSpaceDN w:val="0"/>
        <w:adjustRightInd w:val="0"/>
        <w:jc w:val="both"/>
      </w:pPr>
      <w:r w:rsidRPr="009118AB">
        <w:tab/>
        <w:t xml:space="preserve">In Abweichung von Absatz 3 werden die in Artikel 147 erwähnten Beträge </w:t>
      </w:r>
      <w:r w:rsidR="007B14D2" w:rsidRPr="009118AB">
        <w:t xml:space="preserve">[der Ermäßigungen] </w:t>
      </w:r>
      <w:r w:rsidRPr="009118AB">
        <w:t xml:space="preserve">und </w:t>
      </w:r>
      <w:r w:rsidR="007B14D2" w:rsidRPr="009118AB">
        <w:t>[der in Artikel 154 erwähnte Höchstbetrag]</w:t>
      </w:r>
      <w:r w:rsidRPr="009118AB">
        <w:t xml:space="preserve"> des gesetzlichen Arbeitslosengeldes, nachdem sie gemäß Absatz 1 verringert worden sind, auf den höheren oder niedrigeren Cent abgerundet, je nachdem ob die Ziffer der Tausendstel 5 erreicht oder nicht.]</w:t>
      </w:r>
      <w:r w:rsidR="00EA2D14" w:rsidRPr="009118AB">
        <w:t>]</w:t>
      </w:r>
    </w:p>
    <w:p w14:paraId="7DECAD29" w14:textId="77777777" w:rsidR="00F00A71" w:rsidRPr="009118AB" w:rsidRDefault="00F00A71" w:rsidP="00F669C2">
      <w:pPr>
        <w:autoSpaceDE w:val="0"/>
        <w:autoSpaceDN w:val="0"/>
        <w:adjustRightInd w:val="0"/>
        <w:jc w:val="both"/>
      </w:pPr>
    </w:p>
    <w:p w14:paraId="7BBC061C" w14:textId="492A2ABB" w:rsidR="00F00A71" w:rsidRPr="009118AB" w:rsidRDefault="00F00A71" w:rsidP="00F669C2">
      <w:pPr>
        <w:autoSpaceDE w:val="0"/>
        <w:autoSpaceDN w:val="0"/>
        <w:adjustRightInd w:val="0"/>
        <w:jc w:val="both"/>
        <w:rPr>
          <w:rFonts w:ascii="Times New Roman Italique" w:hAnsi="Times New Roman Italique"/>
          <w:i/>
          <w:spacing w:val="-2"/>
        </w:rPr>
      </w:pPr>
      <w:r w:rsidRPr="009118AB">
        <w:rPr>
          <w:rFonts w:ascii="Times New Roman Italique" w:hAnsi="Times New Roman Italique"/>
          <w:i/>
          <w:spacing w:val="-2"/>
        </w:rPr>
        <w:t>[</w:t>
      </w:r>
      <w:r w:rsidR="00D67EB8" w:rsidRPr="009118AB">
        <w:rPr>
          <w:rFonts w:ascii="Times New Roman Italique" w:hAnsi="Times New Roman Italique"/>
          <w:i/>
          <w:spacing w:val="-2"/>
        </w:rPr>
        <w:t>Art. </w:t>
      </w:r>
      <w:r w:rsidRPr="009118AB">
        <w:rPr>
          <w:rFonts w:ascii="Times New Roman Italique" w:hAnsi="Times New Roman Italique"/>
          <w:i/>
          <w:spacing w:val="-2"/>
        </w:rPr>
        <w:t xml:space="preserve">174/1 </w:t>
      </w:r>
      <w:r w:rsidR="00D67EB8" w:rsidRPr="009118AB">
        <w:rPr>
          <w:rFonts w:ascii="Times New Roman Italique" w:hAnsi="Times New Roman Italique"/>
          <w:i/>
          <w:spacing w:val="-2"/>
        </w:rPr>
        <w:t>Abs. </w:t>
      </w:r>
      <w:r w:rsidRPr="009118AB">
        <w:rPr>
          <w:rFonts w:ascii="Times New Roman Italique" w:hAnsi="Times New Roman Italique"/>
          <w:i/>
          <w:spacing w:val="-2"/>
        </w:rPr>
        <w:t xml:space="preserve">1 abgeändert durch </w:t>
      </w:r>
      <w:r w:rsidR="00D67EB8" w:rsidRPr="009118AB">
        <w:rPr>
          <w:rFonts w:ascii="Times New Roman Italique" w:hAnsi="Times New Roman Italique"/>
          <w:i/>
          <w:spacing w:val="-2"/>
        </w:rPr>
        <w:t>Art. </w:t>
      </w:r>
      <w:r w:rsidRPr="009118AB">
        <w:rPr>
          <w:rFonts w:ascii="Times New Roman Italique" w:hAnsi="Times New Roman Italique"/>
          <w:i/>
          <w:spacing w:val="-2"/>
        </w:rPr>
        <w:t>32</w:t>
      </w:r>
      <w:r w:rsidR="000659DC" w:rsidRPr="009118AB">
        <w:rPr>
          <w:rFonts w:ascii="Times New Roman Italique" w:hAnsi="Times New Roman Italique"/>
          <w:i/>
          <w:spacing w:val="-2"/>
        </w:rPr>
        <w:t xml:space="preserve">, </w:t>
      </w:r>
      <w:r w:rsidR="0007201C" w:rsidRPr="009118AB">
        <w:rPr>
          <w:rFonts w:ascii="Times New Roman Italique" w:hAnsi="Times New Roman Italique"/>
          <w:i/>
          <w:spacing w:val="-2"/>
        </w:rPr>
        <w:t>50</w:t>
      </w:r>
      <w:r w:rsidRPr="009118AB">
        <w:rPr>
          <w:rFonts w:ascii="Times New Roman Italique" w:hAnsi="Times New Roman Italique"/>
          <w:i/>
          <w:spacing w:val="-2"/>
        </w:rPr>
        <w:t xml:space="preserve"> </w:t>
      </w:r>
      <w:r w:rsidR="000659DC" w:rsidRPr="009118AB">
        <w:rPr>
          <w:rFonts w:ascii="Times New Roman Italique" w:hAnsi="Times New Roman Italique"/>
          <w:i/>
          <w:spacing w:val="-2"/>
        </w:rPr>
        <w:t xml:space="preserve">und 62 </w:t>
      </w:r>
      <w:r w:rsidRPr="009118AB">
        <w:rPr>
          <w:rFonts w:ascii="Times New Roman Italique" w:hAnsi="Times New Roman Italique"/>
          <w:i/>
          <w:iCs/>
          <w:spacing w:val="-2"/>
        </w:rPr>
        <w:t>des G. vom 26. März 2018 (B.S. vom 30. März 2018)</w:t>
      </w:r>
      <w:r w:rsidR="00D67EB8" w:rsidRPr="009118AB">
        <w:rPr>
          <w:rFonts w:ascii="Times New Roman Italique" w:hAnsi="Times New Roman Italique"/>
          <w:i/>
          <w:iCs/>
          <w:spacing w:val="-2"/>
        </w:rPr>
        <w:t> - </w:t>
      </w:r>
      <w:r w:rsidRPr="009118AB">
        <w:rPr>
          <w:rFonts w:ascii="Times New Roman Italique" w:hAnsi="Times New Roman Italique"/>
          <w:i/>
          <w:iCs/>
          <w:spacing w:val="-2"/>
        </w:rPr>
        <w:t>wirksam ab dem Steuerjahr 2019</w:t>
      </w:r>
      <w:r w:rsidR="00FD68E8" w:rsidRPr="009118AB">
        <w:rPr>
          <w:rFonts w:ascii="Times New Roman Italique" w:hAnsi="Times New Roman Italique"/>
          <w:i/>
          <w:iCs/>
          <w:spacing w:val="-2"/>
        </w:rPr>
        <w:t> -,</w:t>
      </w:r>
      <w:r w:rsidR="007B14D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7B14D2" w:rsidRPr="009118AB">
        <w:rPr>
          <w:rFonts w:ascii="Times New Roman Italique" w:hAnsi="Times New Roman Italique"/>
          <w:i/>
          <w:iCs/>
          <w:spacing w:val="-2"/>
        </w:rPr>
        <w:t xml:space="preserve">17 </w:t>
      </w:r>
      <w:r w:rsidR="00D67EB8" w:rsidRPr="009118AB">
        <w:rPr>
          <w:rFonts w:ascii="Times New Roman Italique" w:hAnsi="Times New Roman Italique"/>
          <w:i/>
          <w:iCs/>
          <w:spacing w:val="-2"/>
        </w:rPr>
        <w:t>Nr. </w:t>
      </w:r>
      <w:r w:rsidR="007B14D2" w:rsidRPr="009118AB">
        <w:rPr>
          <w:rFonts w:ascii="Times New Roman Italique" w:hAnsi="Times New Roman Italique"/>
          <w:i/>
          <w:iCs/>
          <w:spacing w:val="-2"/>
        </w:rPr>
        <w:t>1</w:t>
      </w:r>
      <w:r w:rsidR="007B14D2" w:rsidRPr="009118AB">
        <w:rPr>
          <w:rFonts w:ascii="Times New Roman Italique" w:hAnsi="Times New Roman Italique"/>
          <w:i/>
          <w:spacing w:val="-2"/>
        </w:rPr>
        <w:t xml:space="preserve"> des G. vom 23. März 2019 (B.S. vom 5. April 2019)</w:t>
      </w:r>
      <w:r w:rsidR="00D67EB8" w:rsidRPr="009118AB">
        <w:rPr>
          <w:rFonts w:ascii="Times New Roman Italique" w:hAnsi="Times New Roman Italique"/>
          <w:i/>
          <w:spacing w:val="-2"/>
        </w:rPr>
        <w:t> - </w:t>
      </w:r>
      <w:r w:rsidR="007B14D2" w:rsidRPr="009118AB">
        <w:rPr>
          <w:rFonts w:ascii="Times New Roman Italique" w:hAnsi="Times New Roman Italique"/>
          <w:i/>
          <w:spacing w:val="-2"/>
        </w:rPr>
        <w:t>anwendbar ab dem Steuerjahr 2020</w:t>
      </w:r>
      <w:r w:rsidR="00D67EB8" w:rsidRPr="009118AB">
        <w:rPr>
          <w:rFonts w:ascii="Times New Roman Italique" w:hAnsi="Times New Roman Italique"/>
          <w:i/>
          <w:spacing w:val="-2"/>
        </w:rPr>
        <w:t> -</w:t>
      </w:r>
      <w:r w:rsidR="001F15B0" w:rsidRPr="009118AB">
        <w:rPr>
          <w:rFonts w:ascii="Times New Roman Italique" w:hAnsi="Times New Roman Italique"/>
          <w:i/>
          <w:spacing w:val="-2"/>
        </w:rPr>
        <w:t>,</w:t>
      </w:r>
      <w:r w:rsidR="00B63A50" w:rsidRPr="009118AB">
        <w:rPr>
          <w:rFonts w:ascii="Times New Roman Italique" w:hAnsi="Times New Roman Italique"/>
          <w:i/>
          <w:spacing w:val="-2"/>
        </w:rPr>
        <w:t xml:space="preserve"> </w:t>
      </w:r>
      <w:r w:rsidR="00D67EB8" w:rsidRPr="009118AB">
        <w:rPr>
          <w:rFonts w:ascii="Times New Roman Italique" w:hAnsi="Times New Roman Italique"/>
          <w:i/>
          <w:spacing w:val="-2"/>
        </w:rPr>
        <w:t>Art. </w:t>
      </w:r>
      <w:r w:rsidR="00B63A50" w:rsidRPr="009118AB">
        <w:rPr>
          <w:rFonts w:ascii="Times New Roman Italique" w:hAnsi="Times New Roman Italique"/>
          <w:i/>
          <w:spacing w:val="-2"/>
        </w:rPr>
        <w:t xml:space="preserve">7 </w:t>
      </w:r>
      <w:r w:rsidR="00D67EB8" w:rsidRPr="009118AB">
        <w:rPr>
          <w:rFonts w:ascii="Times New Roman Italique" w:hAnsi="Times New Roman Italique"/>
          <w:i/>
          <w:spacing w:val="-2"/>
        </w:rPr>
        <w:t>Nr. </w:t>
      </w:r>
      <w:r w:rsidR="00B63A50" w:rsidRPr="009118AB">
        <w:rPr>
          <w:rFonts w:ascii="Times New Roman Italique" w:hAnsi="Times New Roman Italique"/>
          <w:i/>
          <w:spacing w:val="-2"/>
        </w:rPr>
        <w:t>1</w:t>
      </w:r>
      <w:r w:rsidR="00B63A50" w:rsidRPr="009118AB">
        <w:rPr>
          <w:rFonts w:ascii="Times New Roman Italique" w:hAnsi="Times New Roman Italique"/>
          <w:i/>
          <w:iCs/>
          <w:spacing w:val="-2"/>
        </w:rPr>
        <w:t xml:space="preserve"> des G. vom 17. März 2022 (B.S. vom 25. März 2022)</w:t>
      </w:r>
      <w:r w:rsidR="00D67EB8" w:rsidRPr="009118AB">
        <w:rPr>
          <w:rFonts w:ascii="Times New Roman Italique" w:hAnsi="Times New Roman Italique"/>
          <w:i/>
          <w:iCs/>
          <w:spacing w:val="-2"/>
        </w:rPr>
        <w:t> - </w:t>
      </w:r>
      <w:r w:rsidR="009626F5" w:rsidRPr="009118AB">
        <w:rPr>
          <w:rFonts w:ascii="Times New Roman Italique" w:hAnsi="Times New Roman Italique"/>
          <w:i/>
          <w:iCs/>
          <w:spacing w:val="-2"/>
        </w:rPr>
        <w:t>anwendbar ab dem Steuerjahr 2023</w:t>
      </w:r>
      <w:r w:rsidR="00FD68E8" w:rsidRPr="009118AB">
        <w:rPr>
          <w:rFonts w:ascii="Times New Roman Italique" w:hAnsi="Times New Roman Italique"/>
          <w:i/>
          <w:iCs/>
          <w:spacing w:val="-2"/>
        </w:rPr>
        <w:t> -,</w:t>
      </w:r>
      <w:r w:rsidR="00B63A50" w:rsidRPr="009118AB">
        <w:rPr>
          <w:rFonts w:ascii="Times New Roman Italique" w:hAnsi="Times New Roman Italique"/>
          <w:i/>
          <w:iCs/>
          <w:spacing w:val="-2"/>
        </w:rPr>
        <w:t xml:space="preserve"> selbst widerrufen durch </w:t>
      </w:r>
      <w:r w:rsidR="00D67EB8" w:rsidRPr="009118AB">
        <w:rPr>
          <w:rFonts w:ascii="Times New Roman Italique" w:hAnsi="Times New Roman Italique"/>
          <w:i/>
          <w:iCs/>
          <w:spacing w:val="-2"/>
        </w:rPr>
        <w:t>Art. </w:t>
      </w:r>
      <w:r w:rsidR="00B63A50" w:rsidRPr="009118AB">
        <w:rPr>
          <w:rFonts w:ascii="Times New Roman Italique" w:hAnsi="Times New Roman Italique"/>
          <w:i/>
          <w:iCs/>
          <w:spacing w:val="-2"/>
        </w:rPr>
        <w:t>67 des G. vom 5. Juli 2022 (B.S. vom 15. Juli 2022)</w:t>
      </w:r>
      <w:r w:rsidR="00D67EB8" w:rsidRPr="009118AB">
        <w:rPr>
          <w:rFonts w:ascii="Times New Roman Italique" w:hAnsi="Times New Roman Italique"/>
          <w:i/>
          <w:iCs/>
          <w:spacing w:val="-2"/>
        </w:rPr>
        <w:t> - </w:t>
      </w:r>
      <w:r w:rsidR="00EC4A8B" w:rsidRPr="009118AB">
        <w:rPr>
          <w:rFonts w:ascii="Times New Roman Italique" w:hAnsi="Times New Roman Italique"/>
          <w:i/>
          <w:iCs/>
          <w:spacing w:val="-2"/>
        </w:rPr>
        <w:t>in Kraft am 1. Januar 2022</w:t>
      </w:r>
      <w:r w:rsidR="003366D9" w:rsidRPr="009118AB">
        <w:rPr>
          <w:rFonts w:ascii="Times New Roman Italique" w:hAnsi="Times New Roman Italique"/>
          <w:i/>
          <w:iCs/>
          <w:spacing w:val="-2"/>
        </w:rPr>
        <w:t> -</w:t>
      </w:r>
      <w:r w:rsidR="001F15B0" w:rsidRPr="009118AB">
        <w:rPr>
          <w:rFonts w:ascii="Times New Roman Italique" w:hAnsi="Times New Roman Italique"/>
          <w:i/>
          <w:iCs/>
          <w:spacing w:val="-2"/>
        </w:rPr>
        <w:t>, und durch Art.</w:t>
      </w:r>
      <w:r w:rsidR="001F15B0" w:rsidRPr="009118AB">
        <w:rPr>
          <w:rFonts w:ascii="Times New Roman Italique" w:hAnsi="Times New Roman Italique" w:hint="eastAsia"/>
          <w:i/>
          <w:iCs/>
          <w:spacing w:val="-2"/>
        </w:rPr>
        <w:t> </w:t>
      </w:r>
      <w:r w:rsidR="001F15B0" w:rsidRPr="009118AB">
        <w:rPr>
          <w:rFonts w:ascii="Times New Roman Italique" w:hAnsi="Times New Roman Italique"/>
          <w:i/>
          <w:iCs/>
          <w:spacing w:val="-2"/>
        </w:rPr>
        <w:t>13</w:t>
      </w:r>
      <w:r w:rsidR="001F15B0" w:rsidRPr="009118AB">
        <w:rPr>
          <w:i/>
          <w:iCs/>
        </w:rPr>
        <w:t xml:space="preserve"> des G. vom 21. Dezember 2022 (II) (B.S. vom 29. Dezember 2022) - anwendbar ab dem Steuerjahr 2023 -</w:t>
      </w:r>
      <w:r w:rsidR="00E77E60">
        <w:rPr>
          <w:i/>
          <w:iCs/>
        </w:rPr>
        <w:t>,</w:t>
      </w:r>
      <w:r w:rsidR="008D35CF" w:rsidRPr="009118AB">
        <w:rPr>
          <w:i/>
          <w:iCs/>
        </w:rPr>
        <w:t xml:space="preserve"> Art. 104</w:t>
      </w:r>
      <w:r w:rsidR="008D35CF" w:rsidRPr="009118AB">
        <w:rPr>
          <w:bCs/>
          <w:i/>
          <w:iCs/>
        </w:rPr>
        <w:t xml:space="preserve"> des G. vom 26. Dezember 2022</w:t>
      </w:r>
      <w:r w:rsidR="00236038" w:rsidRPr="009118AB">
        <w:rPr>
          <w:bCs/>
          <w:i/>
          <w:iCs/>
        </w:rPr>
        <w:t> (I)</w:t>
      </w:r>
      <w:r w:rsidR="008D35CF" w:rsidRPr="009118AB">
        <w:rPr>
          <w:bCs/>
          <w:i/>
          <w:iCs/>
        </w:rPr>
        <w:t xml:space="preserve"> (B.S. vom 30. Dezember 2022) - in Kraft am 1. Januar 2023 und anwendbar auf die ab dem 1. Januar 2023 gezahlten oder zuerkannten Einkünfte -</w:t>
      </w:r>
      <w:r w:rsidR="00E77E60">
        <w:rPr>
          <w:bCs/>
          <w:i/>
          <w:iCs/>
        </w:rPr>
        <w:t xml:space="preserve"> und Art. 25</w:t>
      </w:r>
      <w:r w:rsidR="00E77E60" w:rsidRPr="00E77E60">
        <w:rPr>
          <w:bCs/>
          <w:i/>
          <w:iCs/>
        </w:rPr>
        <w:t xml:space="preserve"> des G. vom 22. Dezember 2023</w:t>
      </w:r>
      <w:r w:rsidR="00552005" w:rsidRPr="00552005">
        <w:rPr>
          <w:bCs/>
          <w:i/>
          <w:iCs/>
        </w:rPr>
        <w:t> (I)</w:t>
      </w:r>
      <w:r w:rsidR="00E77E60" w:rsidRPr="00E77E60">
        <w:rPr>
          <w:bCs/>
          <w:i/>
          <w:iCs/>
        </w:rPr>
        <w:t xml:space="preserve"> (B.S. vom 29. Dezember 2023) - </w:t>
      </w:r>
      <w:r w:rsidR="00712CA5">
        <w:rPr>
          <w:bCs/>
          <w:i/>
          <w:iCs/>
        </w:rPr>
        <w:t>in Kraft am 31. Dezember 2023 und anwendbar ab dem Steuerjahr 2024</w:t>
      </w:r>
      <w:r w:rsidR="00E77E60" w:rsidRPr="00E77E60">
        <w:rPr>
          <w:bCs/>
          <w:i/>
          <w:iCs/>
        </w:rPr>
        <w:t> -</w:t>
      </w:r>
      <w:r w:rsidR="003366D9" w:rsidRPr="009118AB">
        <w:rPr>
          <w:rFonts w:ascii="Times New Roman Italique" w:hAnsi="Times New Roman Italique"/>
          <w:i/>
          <w:iCs/>
          <w:spacing w:val="-2"/>
        </w:rPr>
        <w:t>;</w:t>
      </w:r>
      <w:r w:rsidR="007B14D2" w:rsidRPr="009118AB">
        <w:rPr>
          <w:rFonts w:ascii="Times New Roman Italique" w:hAnsi="Times New Roman Italique"/>
          <w:i/>
          <w:spacing w:val="-2"/>
        </w:rPr>
        <w:t xml:space="preserve"> </w:t>
      </w:r>
      <w:r w:rsidR="00D67EB8" w:rsidRPr="009118AB">
        <w:rPr>
          <w:rFonts w:ascii="Times New Roman Italique" w:hAnsi="Times New Roman Italique"/>
          <w:i/>
          <w:spacing w:val="-2"/>
        </w:rPr>
        <w:t>Abs. </w:t>
      </w:r>
      <w:r w:rsidR="007B14D2" w:rsidRPr="009118AB">
        <w:rPr>
          <w:rFonts w:ascii="Times New Roman Italique" w:hAnsi="Times New Roman Italique"/>
          <w:i/>
          <w:spacing w:val="-2"/>
        </w:rPr>
        <w:t xml:space="preserve">4 abgeändert durch </w:t>
      </w:r>
      <w:r w:rsidR="00D67EB8" w:rsidRPr="009118AB">
        <w:rPr>
          <w:rFonts w:ascii="Times New Roman Italique" w:hAnsi="Times New Roman Italique"/>
          <w:i/>
          <w:spacing w:val="-2"/>
        </w:rPr>
        <w:t>Art. </w:t>
      </w:r>
      <w:r w:rsidR="007B14D2" w:rsidRPr="009118AB">
        <w:rPr>
          <w:rFonts w:ascii="Times New Roman Italique" w:hAnsi="Times New Roman Italique"/>
          <w:i/>
          <w:spacing w:val="-2"/>
        </w:rPr>
        <w:t xml:space="preserve">17 </w:t>
      </w:r>
      <w:r w:rsidR="00D67EB8" w:rsidRPr="009118AB">
        <w:rPr>
          <w:rFonts w:ascii="Times New Roman Italique" w:hAnsi="Times New Roman Italique"/>
          <w:i/>
          <w:spacing w:val="-2"/>
        </w:rPr>
        <w:t>Nr. </w:t>
      </w:r>
      <w:r w:rsidR="007B14D2" w:rsidRPr="009118AB">
        <w:rPr>
          <w:rFonts w:ascii="Times New Roman Italique" w:hAnsi="Times New Roman Italique"/>
          <w:i/>
          <w:spacing w:val="-2"/>
        </w:rPr>
        <w:t>2 des G. vom 23. März 2019 (B.S. vom 5. April 2019)</w:t>
      </w:r>
      <w:r w:rsidR="00D67EB8" w:rsidRPr="009118AB">
        <w:rPr>
          <w:rFonts w:ascii="Times New Roman Italique" w:hAnsi="Times New Roman Italique"/>
          <w:i/>
          <w:spacing w:val="-2"/>
        </w:rPr>
        <w:t> - </w:t>
      </w:r>
      <w:r w:rsidR="007B14D2" w:rsidRPr="009118AB">
        <w:rPr>
          <w:rFonts w:ascii="Times New Roman Italique" w:hAnsi="Times New Roman Italique"/>
          <w:i/>
          <w:spacing w:val="-2"/>
        </w:rPr>
        <w:t>anwendbar ab dem Steuerjahr 2020</w:t>
      </w:r>
      <w:r w:rsidR="00D67EB8" w:rsidRPr="009118AB">
        <w:rPr>
          <w:rFonts w:ascii="Times New Roman Italique" w:hAnsi="Times New Roman Italique"/>
          <w:i/>
          <w:spacing w:val="-2"/>
        </w:rPr>
        <w:t> - </w:t>
      </w:r>
      <w:r w:rsidR="00B63A50" w:rsidRPr="009118AB">
        <w:rPr>
          <w:rFonts w:ascii="Times New Roman Italique" w:hAnsi="Times New Roman Italique"/>
          <w:i/>
          <w:spacing w:val="-2"/>
        </w:rPr>
        <w:t xml:space="preserve">und </w:t>
      </w:r>
      <w:r w:rsidR="00D67EB8" w:rsidRPr="009118AB">
        <w:rPr>
          <w:rFonts w:ascii="Times New Roman Italique" w:hAnsi="Times New Roman Italique"/>
          <w:i/>
          <w:spacing w:val="-2"/>
        </w:rPr>
        <w:t>Art. </w:t>
      </w:r>
      <w:r w:rsidR="00B63A50" w:rsidRPr="009118AB">
        <w:rPr>
          <w:rFonts w:ascii="Times New Roman Italique" w:hAnsi="Times New Roman Italique"/>
          <w:i/>
          <w:spacing w:val="-2"/>
        </w:rPr>
        <w:t xml:space="preserve">7 </w:t>
      </w:r>
      <w:r w:rsidR="00D67EB8" w:rsidRPr="009118AB">
        <w:rPr>
          <w:rFonts w:ascii="Times New Roman Italique" w:hAnsi="Times New Roman Italique"/>
          <w:i/>
          <w:spacing w:val="-2"/>
        </w:rPr>
        <w:t>Nr. </w:t>
      </w:r>
      <w:r w:rsidR="00B63A50" w:rsidRPr="009118AB">
        <w:rPr>
          <w:rFonts w:ascii="Times New Roman Italique" w:hAnsi="Times New Roman Italique"/>
          <w:i/>
          <w:spacing w:val="-2"/>
        </w:rPr>
        <w:t xml:space="preserve">2 </w:t>
      </w:r>
      <w:r w:rsidR="00B63A50" w:rsidRPr="009118AB">
        <w:rPr>
          <w:rFonts w:ascii="Times New Roman Italique" w:hAnsi="Times New Roman Italique"/>
          <w:i/>
          <w:iCs/>
          <w:spacing w:val="-2"/>
        </w:rPr>
        <w:t>des G. vom 17. März 2022 (B.S. vom 25. März 2022)</w:t>
      </w:r>
      <w:r w:rsidR="00D67EB8" w:rsidRPr="009118AB">
        <w:rPr>
          <w:rFonts w:ascii="Times New Roman Italique" w:hAnsi="Times New Roman Italique"/>
          <w:i/>
          <w:iCs/>
          <w:spacing w:val="-2"/>
        </w:rPr>
        <w:t> - </w:t>
      </w:r>
      <w:r w:rsidR="009626F5" w:rsidRPr="009118AB">
        <w:rPr>
          <w:rFonts w:ascii="Times New Roman Italique" w:hAnsi="Times New Roman Italique"/>
          <w:i/>
          <w:iCs/>
          <w:spacing w:val="-2"/>
        </w:rPr>
        <w:t>anwendbar ab dem Steuerjahr 2023</w:t>
      </w:r>
      <w:r w:rsidR="00FD68E8" w:rsidRPr="009118AB">
        <w:rPr>
          <w:rFonts w:ascii="Times New Roman Italique" w:hAnsi="Times New Roman Italique"/>
          <w:i/>
          <w:iCs/>
          <w:spacing w:val="-2"/>
        </w:rPr>
        <w:t> -,</w:t>
      </w:r>
      <w:r w:rsidR="00B63A50" w:rsidRPr="009118AB">
        <w:rPr>
          <w:rFonts w:ascii="Times New Roman Italique" w:hAnsi="Times New Roman Italique"/>
          <w:i/>
          <w:iCs/>
          <w:spacing w:val="-2"/>
        </w:rPr>
        <w:t xml:space="preserve"> selbst widerrufen durch </w:t>
      </w:r>
      <w:r w:rsidR="00D67EB8" w:rsidRPr="009118AB">
        <w:rPr>
          <w:rFonts w:ascii="Times New Roman Italique" w:hAnsi="Times New Roman Italique"/>
          <w:i/>
          <w:iCs/>
          <w:spacing w:val="-2"/>
        </w:rPr>
        <w:t>Art. </w:t>
      </w:r>
      <w:r w:rsidR="00B63A50" w:rsidRPr="009118AB">
        <w:rPr>
          <w:rFonts w:ascii="Times New Roman Italique" w:hAnsi="Times New Roman Italique"/>
          <w:i/>
          <w:iCs/>
          <w:spacing w:val="-2"/>
        </w:rPr>
        <w:t>67 des G. vom 5. Juli 2022 (B.S. vom 15. Juli 2022)</w:t>
      </w:r>
      <w:r w:rsidR="00D67EB8" w:rsidRPr="009118AB">
        <w:rPr>
          <w:rFonts w:ascii="Times New Roman Italique" w:hAnsi="Times New Roman Italique"/>
          <w:i/>
          <w:iCs/>
          <w:spacing w:val="-2"/>
        </w:rPr>
        <w:t> - </w:t>
      </w:r>
      <w:r w:rsidR="00EC4A8B" w:rsidRPr="009118AB">
        <w:rPr>
          <w:rFonts w:ascii="Times New Roman Italique" w:hAnsi="Times New Roman Italique"/>
          <w:i/>
          <w:iCs/>
          <w:spacing w:val="-2"/>
        </w:rPr>
        <w:t>in Kraft am 1. Januar 2022</w:t>
      </w:r>
      <w:r w:rsidR="00FD68E8" w:rsidRPr="009118AB">
        <w:rPr>
          <w:rFonts w:ascii="Times New Roman Italique" w:hAnsi="Times New Roman Italique"/>
          <w:i/>
          <w:iCs/>
          <w:spacing w:val="-2"/>
        </w:rPr>
        <w:t> -]</w:t>
      </w:r>
    </w:p>
    <w:p w14:paraId="74DD248C" w14:textId="08789DCA" w:rsidR="001F15B0" w:rsidRDefault="001F15B0">
      <w:pPr>
        <w:rPr>
          <w:iCs/>
          <w:sz w:val="20"/>
          <w:szCs w:val="20"/>
        </w:rPr>
      </w:pPr>
    </w:p>
    <w:p w14:paraId="31C8947D" w14:textId="77777777" w:rsidR="00E77E60" w:rsidRPr="009118AB" w:rsidRDefault="00E77E60">
      <w:pPr>
        <w:rPr>
          <w:iCs/>
          <w:sz w:val="20"/>
          <w:szCs w:val="20"/>
        </w:rPr>
      </w:pPr>
    </w:p>
    <w:p w14:paraId="7E62CBDC" w14:textId="5A61CC08" w:rsidR="009A2825" w:rsidRPr="009118AB" w:rsidRDefault="009A2825" w:rsidP="009A2825">
      <w:pPr>
        <w:autoSpaceDE w:val="0"/>
        <w:autoSpaceDN w:val="0"/>
        <w:adjustRightInd w:val="0"/>
        <w:jc w:val="both"/>
        <w:rPr>
          <w:sz w:val="20"/>
        </w:rPr>
      </w:pPr>
      <w:r w:rsidRPr="009118AB">
        <w:rPr>
          <w:iCs/>
          <w:sz w:val="20"/>
          <w:szCs w:val="20"/>
        </w:rPr>
        <w:t>Ab dem Steuerjahr 2028 (gemäß Art. 71 Abs. 18</w:t>
      </w:r>
      <w:r w:rsidRPr="009118AB">
        <w:rPr>
          <w:i/>
          <w:iCs/>
          <w:sz w:val="20"/>
        </w:rPr>
        <w:t xml:space="preserve"> </w:t>
      </w:r>
      <w:r w:rsidRPr="009118AB">
        <w:rPr>
          <w:sz w:val="20"/>
        </w:rPr>
        <w:t>des G. vom 5. Juli 2022 (B.S. vom 15. Juli 2022)) lautet Art. 174/1 wie folgt:</w:t>
      </w:r>
    </w:p>
    <w:p w14:paraId="2F33AF55" w14:textId="77777777" w:rsidR="009A2825" w:rsidRPr="009118AB" w:rsidRDefault="009A2825" w:rsidP="009A2825">
      <w:pPr>
        <w:autoSpaceDE w:val="0"/>
        <w:autoSpaceDN w:val="0"/>
        <w:adjustRightInd w:val="0"/>
        <w:jc w:val="both"/>
        <w:rPr>
          <w:sz w:val="20"/>
        </w:rPr>
      </w:pPr>
    </w:p>
    <w:p w14:paraId="3994490F" w14:textId="3B27E0B1" w:rsidR="009A2825" w:rsidRPr="009118AB" w:rsidRDefault="009A2825" w:rsidP="009A2825">
      <w:pPr>
        <w:autoSpaceDE w:val="0"/>
        <w:autoSpaceDN w:val="0"/>
        <w:adjustRightInd w:val="0"/>
        <w:jc w:val="both"/>
        <w:rPr>
          <w:sz w:val="20"/>
        </w:rPr>
      </w:pPr>
      <w:r w:rsidRPr="009118AB">
        <w:rPr>
          <w:sz w:val="20"/>
        </w:rPr>
        <w:t>"</w:t>
      </w:r>
      <w:r w:rsidRPr="009118AB">
        <w:rPr>
          <w:bCs/>
          <w:sz w:val="20"/>
        </w:rPr>
        <w:t>Art. 174/1 </w:t>
      </w:r>
      <w:r w:rsidRPr="009118AB">
        <w:rPr>
          <w:sz w:val="20"/>
        </w:rPr>
        <w:t xml:space="preserve">- Wenn der Besteuerungszeitraum aus einem anderen Grund als dem Tod keinem vollständigen Kalenderjahr entspricht, werden die in den Artikeln 131, 132, 133, </w:t>
      </w:r>
      <w:r w:rsidR="001F15B0" w:rsidRPr="009118AB">
        <w:rPr>
          <w:sz w:val="20"/>
        </w:rPr>
        <w:t>[134 § 3 Absatz 2]</w:t>
      </w:r>
      <w:r w:rsidRPr="009118AB">
        <w:rPr>
          <w:sz w:val="20"/>
        </w:rPr>
        <w:t xml:space="preserve">, 136, </w:t>
      </w:r>
      <w:r w:rsidR="00E77E60">
        <w:rPr>
          <w:sz w:val="20"/>
        </w:rPr>
        <w:t>[...]</w:t>
      </w:r>
      <w:r w:rsidRPr="009118AB">
        <w:rPr>
          <w:sz w:val="20"/>
        </w:rPr>
        <w:t xml:space="preserve"> 141, 142 Absatz 2, 143, 145 Absatz 2, 145</w:t>
      </w:r>
      <w:r w:rsidRPr="009118AB">
        <w:rPr>
          <w:sz w:val="20"/>
          <w:vertAlign w:val="superscript"/>
        </w:rPr>
        <w:t>6</w:t>
      </w:r>
      <w:r w:rsidRPr="009118AB">
        <w:rPr>
          <w:sz w:val="20"/>
        </w:rPr>
        <w:t xml:space="preserve"> Absatz 1 erster Gedankenstrich, 145</w:t>
      </w:r>
      <w:r w:rsidRPr="009118AB">
        <w:rPr>
          <w:sz w:val="20"/>
          <w:vertAlign w:val="superscript"/>
        </w:rPr>
        <w:t>7</w:t>
      </w:r>
      <w:r w:rsidRPr="009118AB">
        <w:rPr>
          <w:sz w:val="20"/>
        </w:rPr>
        <w:t xml:space="preserve"> § 1 Absatz 4, [145</w:t>
      </w:r>
      <w:r w:rsidRPr="009118AB">
        <w:rPr>
          <w:sz w:val="20"/>
          <w:vertAlign w:val="superscript"/>
        </w:rPr>
        <w:t>8</w:t>
      </w:r>
      <w:r w:rsidRPr="009118AB">
        <w:rPr>
          <w:sz w:val="20"/>
        </w:rPr>
        <w:t xml:space="preserve"> § 1 Absatz 2 und 3], [145</w:t>
      </w:r>
      <w:r w:rsidRPr="009118AB">
        <w:rPr>
          <w:sz w:val="20"/>
          <w:vertAlign w:val="superscript"/>
        </w:rPr>
        <w:t>26</w:t>
      </w:r>
      <w:r w:rsidRPr="009118AB">
        <w:rPr>
          <w:sz w:val="20"/>
        </w:rPr>
        <w:t xml:space="preserve"> § 3 Absatz 4, 145</w:t>
      </w:r>
      <w:r w:rsidRPr="009118AB">
        <w:rPr>
          <w:sz w:val="20"/>
          <w:vertAlign w:val="superscript"/>
        </w:rPr>
        <w:t>26/1</w:t>
      </w:r>
      <w:r w:rsidRPr="009118AB">
        <w:rPr>
          <w:sz w:val="20"/>
        </w:rPr>
        <w:t xml:space="preserve"> § 2 Absatz 1], [145</w:t>
      </w:r>
      <w:r w:rsidRPr="009118AB">
        <w:rPr>
          <w:sz w:val="20"/>
          <w:vertAlign w:val="superscript"/>
        </w:rPr>
        <w:t>27</w:t>
      </w:r>
      <w:r w:rsidRPr="009118AB">
        <w:rPr>
          <w:sz w:val="20"/>
        </w:rPr>
        <w:t xml:space="preserve"> § 2 Absatz 6, 145</w:t>
      </w:r>
      <w:r w:rsidRPr="009118AB">
        <w:rPr>
          <w:sz w:val="20"/>
          <w:vertAlign w:val="superscript"/>
        </w:rPr>
        <w:t>28</w:t>
      </w:r>
      <w:r w:rsidRPr="009118AB">
        <w:rPr>
          <w:sz w:val="20"/>
        </w:rPr>
        <w:t xml:space="preserve"> § 1 Absatz 3], 145</w:t>
      </w:r>
      <w:r w:rsidRPr="009118AB">
        <w:rPr>
          <w:sz w:val="20"/>
          <w:vertAlign w:val="superscript"/>
        </w:rPr>
        <w:t>32</w:t>
      </w:r>
      <w:r w:rsidRPr="009118AB">
        <w:rPr>
          <w:sz w:val="20"/>
        </w:rPr>
        <w:t xml:space="preserve"> § 1 Absatz 4, 145</w:t>
      </w:r>
      <w:r w:rsidRPr="009118AB">
        <w:rPr>
          <w:sz w:val="20"/>
          <w:vertAlign w:val="superscript"/>
        </w:rPr>
        <w:t>33</w:t>
      </w:r>
      <w:r w:rsidRPr="009118AB">
        <w:rPr>
          <w:sz w:val="20"/>
        </w:rPr>
        <w:t xml:space="preserve"> § 1 Absatz 4, 145</w:t>
      </w:r>
      <w:r w:rsidRPr="009118AB">
        <w:rPr>
          <w:sz w:val="20"/>
          <w:vertAlign w:val="superscript"/>
        </w:rPr>
        <w:t>34</w:t>
      </w:r>
      <w:r w:rsidRPr="009118AB">
        <w:rPr>
          <w:sz w:val="20"/>
        </w:rPr>
        <w:t xml:space="preserve"> Absatz 2 Nr. 1 und Absatz 5, 147, [151 bis 152], </w:t>
      </w:r>
      <w:r w:rsidR="008D35CF" w:rsidRPr="009118AB">
        <w:rPr>
          <w:sz w:val="20"/>
        </w:rPr>
        <w:t>[171 Nr. 1 Buchstabe </w:t>
      </w:r>
      <w:r w:rsidR="008D35CF" w:rsidRPr="009118AB">
        <w:rPr>
          <w:i/>
          <w:iCs/>
          <w:sz w:val="20"/>
        </w:rPr>
        <w:t>i)</w:t>
      </w:r>
      <w:r w:rsidR="008D35CF" w:rsidRPr="009118AB">
        <w:rPr>
          <w:sz w:val="20"/>
        </w:rPr>
        <w:t>, Nr. 2</w:t>
      </w:r>
      <w:r w:rsidR="008D35CF" w:rsidRPr="009118AB">
        <w:rPr>
          <w:i/>
          <w:iCs/>
          <w:sz w:val="20"/>
        </w:rPr>
        <w:t>bis</w:t>
      </w:r>
      <w:r w:rsidR="008D35CF" w:rsidRPr="009118AB">
        <w:rPr>
          <w:sz w:val="20"/>
        </w:rPr>
        <w:t xml:space="preserve"> zweiter Gedankenstrich und Nr. 4 Buchstabe </w:t>
      </w:r>
      <w:r w:rsidR="008D35CF" w:rsidRPr="009118AB">
        <w:rPr>
          <w:i/>
          <w:iCs/>
          <w:sz w:val="20"/>
        </w:rPr>
        <w:t>j)</w:t>
      </w:r>
      <w:r w:rsidR="008D35CF" w:rsidRPr="009118AB">
        <w:rPr>
          <w:sz w:val="20"/>
        </w:rPr>
        <w:t>]</w:t>
      </w:r>
      <w:r w:rsidRPr="009118AB">
        <w:rPr>
          <w:sz w:val="20"/>
        </w:rPr>
        <w:t xml:space="preserve"> und 172 Absatz 3 erwähnten Beträge gegebenenfalls nach Anwendung von Artikel 178 [...] im Verhältnis zur Dauer des Besteuerungszeitraums, ausgedrückt in Monaten, gegenüber zwölf Monaten proportional verringert.</w:t>
      </w:r>
    </w:p>
    <w:p w14:paraId="08C38950" w14:textId="77777777" w:rsidR="009A2825" w:rsidRPr="009118AB" w:rsidRDefault="009A2825" w:rsidP="009A2825">
      <w:pPr>
        <w:autoSpaceDE w:val="0"/>
        <w:autoSpaceDN w:val="0"/>
        <w:adjustRightInd w:val="0"/>
        <w:jc w:val="both"/>
        <w:rPr>
          <w:sz w:val="20"/>
        </w:rPr>
      </w:pPr>
    </w:p>
    <w:p w14:paraId="507772C4" w14:textId="48AB534A" w:rsidR="009A2825" w:rsidRPr="009118AB" w:rsidRDefault="009A2825" w:rsidP="009A2825">
      <w:pPr>
        <w:autoSpaceDE w:val="0"/>
        <w:autoSpaceDN w:val="0"/>
        <w:adjustRightInd w:val="0"/>
        <w:jc w:val="both"/>
        <w:rPr>
          <w:sz w:val="20"/>
        </w:rPr>
      </w:pPr>
      <w:r w:rsidRPr="009118AB">
        <w:rPr>
          <w:sz w:val="20"/>
        </w:rPr>
        <w:t>Bei der Bestimmung der in Monaten ausgedrückten Dauer des Besteuerungszeitraums zählt jeder Kalendermonat, dessen fünfzehnter Tag Teil des Besteuerungszeitraums ist, als vollständiger Monat.</w:t>
      </w:r>
    </w:p>
    <w:p w14:paraId="117AA598" w14:textId="77777777" w:rsidR="009A2825" w:rsidRPr="009118AB" w:rsidRDefault="009A2825" w:rsidP="009A2825">
      <w:pPr>
        <w:autoSpaceDE w:val="0"/>
        <w:autoSpaceDN w:val="0"/>
        <w:adjustRightInd w:val="0"/>
        <w:jc w:val="both"/>
        <w:rPr>
          <w:sz w:val="20"/>
        </w:rPr>
      </w:pPr>
    </w:p>
    <w:p w14:paraId="292F6A46" w14:textId="6FA711F3" w:rsidR="009A2825" w:rsidRPr="009118AB" w:rsidRDefault="009A2825" w:rsidP="009A2825">
      <w:pPr>
        <w:autoSpaceDE w:val="0"/>
        <w:autoSpaceDN w:val="0"/>
        <w:adjustRightInd w:val="0"/>
        <w:jc w:val="both"/>
        <w:rPr>
          <w:sz w:val="20"/>
        </w:rPr>
      </w:pPr>
      <w:r w:rsidRPr="009118AB">
        <w:rPr>
          <w:sz w:val="20"/>
        </w:rPr>
        <w:t>Die gemäß Absatz 1 verringerten Beträge werden auf das größere oder kleinere Vielfache von 10 EUR abgerundet, je nachdem ob die Ziffer der Einer 5 erreicht oder nicht.</w:t>
      </w:r>
    </w:p>
    <w:p w14:paraId="1B0CBFCC" w14:textId="77777777" w:rsidR="009A2825" w:rsidRPr="009118AB" w:rsidRDefault="009A2825" w:rsidP="009A2825">
      <w:pPr>
        <w:autoSpaceDE w:val="0"/>
        <w:autoSpaceDN w:val="0"/>
        <w:adjustRightInd w:val="0"/>
        <w:jc w:val="both"/>
        <w:rPr>
          <w:sz w:val="20"/>
        </w:rPr>
      </w:pPr>
    </w:p>
    <w:p w14:paraId="5326A9B5" w14:textId="1DC6A56D" w:rsidR="009A2825" w:rsidRPr="009118AB" w:rsidRDefault="009A2825" w:rsidP="009A2825">
      <w:pPr>
        <w:autoSpaceDE w:val="0"/>
        <w:autoSpaceDN w:val="0"/>
        <w:adjustRightInd w:val="0"/>
        <w:jc w:val="both"/>
        <w:rPr>
          <w:sz w:val="20"/>
        </w:rPr>
      </w:pPr>
      <w:r w:rsidRPr="009118AB">
        <w:rPr>
          <w:sz w:val="20"/>
        </w:rPr>
        <w:t>In Abweichung von Absatz 3 werden die in Artikel 147 erwähnten Beträge [der Ermäßigungen] [...], nachdem sie gemäß Absatz 1 verringert worden sind, auf den höheren oder niedrigeren Cent abgerundet, je nachdem ob die Ziffer der Tausendstel 5 erreicht oder nicht.]]</w:t>
      </w:r>
    </w:p>
    <w:p w14:paraId="0D49723A" w14:textId="77777777" w:rsidR="009A2825" w:rsidRPr="009118AB" w:rsidRDefault="009A2825" w:rsidP="009A2825">
      <w:pPr>
        <w:autoSpaceDE w:val="0"/>
        <w:autoSpaceDN w:val="0"/>
        <w:adjustRightInd w:val="0"/>
        <w:jc w:val="both"/>
        <w:rPr>
          <w:sz w:val="20"/>
        </w:rPr>
      </w:pPr>
    </w:p>
    <w:p w14:paraId="55AFDD02" w14:textId="11687D5E" w:rsidR="009A2825" w:rsidRPr="009118AB" w:rsidRDefault="009A2825" w:rsidP="009A2825">
      <w:pPr>
        <w:autoSpaceDE w:val="0"/>
        <w:autoSpaceDN w:val="0"/>
        <w:adjustRightInd w:val="0"/>
        <w:jc w:val="both"/>
        <w:rPr>
          <w:sz w:val="20"/>
        </w:rPr>
      </w:pPr>
      <w:r w:rsidRPr="009118AB">
        <w:rPr>
          <w:i/>
          <w:sz w:val="20"/>
        </w:rPr>
        <w:t xml:space="preserve">[Art. 174/1 Abs. 1 abgeändert durch Art. 32, 50 und 62 </w:t>
      </w:r>
      <w:r w:rsidRPr="009118AB">
        <w:rPr>
          <w:i/>
          <w:iCs/>
          <w:sz w:val="20"/>
        </w:rPr>
        <w:t>des G. vom 26. März 2018 (B.S. vom 30. März 2018) - wirksam ab dem Steuerjahr 2019 -, Art. 17 Nr. 1</w:t>
      </w:r>
      <w:r w:rsidRPr="009118AB">
        <w:rPr>
          <w:i/>
          <w:sz w:val="20"/>
        </w:rPr>
        <w:t xml:space="preserve"> des G. vom 23. März 2019 (B.S. vom 5. April 2019) - anwendbar ab dem Steuerjahr 2020 -, Art. 7 Nr. 1</w:t>
      </w:r>
      <w:r w:rsidRPr="009118AB">
        <w:rPr>
          <w:i/>
          <w:iCs/>
          <w:sz w:val="20"/>
        </w:rPr>
        <w:t xml:space="preserve"> des G. vom 17. März 2022 (B.S. vom 25. März 2022) - anwendbar ab dem Steuerjahr 2023 -, selbst widerrufen durch Art. 67 des G. vom 5. Juli 2022 (B.S. vom 15. Juli 2022) - in Kraft am 1. Januar 2022 -</w:t>
      </w:r>
      <w:r w:rsidR="00CC01C6" w:rsidRPr="009118AB">
        <w:rPr>
          <w:i/>
          <w:iCs/>
          <w:sz w:val="20"/>
        </w:rPr>
        <w:t>,</w:t>
      </w:r>
      <w:r w:rsidRPr="009118AB">
        <w:rPr>
          <w:i/>
          <w:iCs/>
          <w:sz w:val="20"/>
        </w:rPr>
        <w:t xml:space="preserve"> und</w:t>
      </w:r>
      <w:r w:rsidR="00CC01C6" w:rsidRPr="009118AB">
        <w:rPr>
          <w:i/>
          <w:iCs/>
          <w:sz w:val="20"/>
        </w:rPr>
        <w:t xml:space="preserve"> durch</w:t>
      </w:r>
      <w:r w:rsidRPr="009118AB">
        <w:rPr>
          <w:i/>
          <w:iCs/>
          <w:sz w:val="20"/>
        </w:rPr>
        <w:t xml:space="preserve"> Art. 69 Nr. 1 des G. vom 5. Juli 2022 (B.S. vom 15. Juli 2022) - anwendbar a</w:t>
      </w:r>
      <w:r w:rsidR="009D6F3E" w:rsidRPr="009118AB">
        <w:rPr>
          <w:i/>
          <w:iCs/>
          <w:sz w:val="20"/>
        </w:rPr>
        <w:t>b</w:t>
      </w:r>
      <w:r w:rsidRPr="009118AB">
        <w:rPr>
          <w:i/>
          <w:iCs/>
          <w:sz w:val="20"/>
        </w:rPr>
        <w:t xml:space="preserve"> dem Steuerjahr 2028 -</w:t>
      </w:r>
      <w:r w:rsidR="008D35CF" w:rsidRPr="009118AB">
        <w:rPr>
          <w:i/>
          <w:iCs/>
          <w:sz w:val="20"/>
        </w:rPr>
        <w:t>,</w:t>
      </w:r>
      <w:r w:rsidR="001F15B0" w:rsidRPr="009118AB">
        <w:rPr>
          <w:i/>
          <w:iCs/>
          <w:sz w:val="20"/>
        </w:rPr>
        <w:t xml:space="preserve"> Art. 13 des G. vom 21. Dezember 2022 (II) (B.S. vom 29. Dezember 2022) - anwendbar ab dem Steuerjahr 2023</w:t>
      </w:r>
      <w:r w:rsidR="008D35CF" w:rsidRPr="009118AB">
        <w:rPr>
          <w:i/>
          <w:iCs/>
          <w:sz w:val="20"/>
        </w:rPr>
        <w:t> -</w:t>
      </w:r>
      <w:r w:rsidR="00E77E60">
        <w:rPr>
          <w:i/>
          <w:iCs/>
          <w:sz w:val="20"/>
        </w:rPr>
        <w:t>,</w:t>
      </w:r>
      <w:r w:rsidR="008D35CF" w:rsidRPr="009118AB">
        <w:rPr>
          <w:i/>
          <w:iCs/>
          <w:sz w:val="20"/>
        </w:rPr>
        <w:t xml:space="preserve"> Art. 104</w:t>
      </w:r>
      <w:r w:rsidR="008D35CF" w:rsidRPr="009118AB">
        <w:rPr>
          <w:bCs/>
          <w:i/>
          <w:iCs/>
          <w:sz w:val="20"/>
        </w:rPr>
        <w:t xml:space="preserve"> des G. vom 26. Dezember 2022</w:t>
      </w:r>
      <w:r w:rsidR="00236038" w:rsidRPr="009118AB">
        <w:rPr>
          <w:bCs/>
          <w:i/>
          <w:iCs/>
          <w:sz w:val="20"/>
        </w:rPr>
        <w:t> (I)</w:t>
      </w:r>
      <w:r w:rsidR="008D35CF" w:rsidRPr="009118AB">
        <w:rPr>
          <w:bCs/>
          <w:i/>
          <w:iCs/>
          <w:sz w:val="20"/>
        </w:rPr>
        <w:t xml:space="preserve"> (B.S. vom 30. Dezember 2022) - in Kraft am 1. Januar 2023 und anwendbar auf die ab dem 1. Januar 2023 gezahlten oder zuerkannten Einkünfte -</w:t>
      </w:r>
      <w:r w:rsidR="00E77E60">
        <w:rPr>
          <w:bCs/>
          <w:i/>
          <w:iCs/>
          <w:sz w:val="20"/>
        </w:rPr>
        <w:t xml:space="preserve"> und Art. 25</w:t>
      </w:r>
      <w:r w:rsidR="00E77E60" w:rsidRPr="00E77E60">
        <w:rPr>
          <w:bCs/>
          <w:i/>
          <w:iCs/>
          <w:sz w:val="20"/>
        </w:rPr>
        <w:t xml:space="preserve"> des G. vom 22. Dezember 2023</w:t>
      </w:r>
      <w:r w:rsidR="00552005" w:rsidRPr="00552005">
        <w:rPr>
          <w:bCs/>
          <w:i/>
          <w:iCs/>
          <w:sz w:val="20"/>
        </w:rPr>
        <w:t> (I)</w:t>
      </w:r>
      <w:r w:rsidR="00E77E60" w:rsidRPr="00E77E60">
        <w:rPr>
          <w:bCs/>
          <w:i/>
          <w:iCs/>
          <w:sz w:val="20"/>
        </w:rPr>
        <w:t xml:space="preserve"> (B.S. vom 29. Dezember 2023) - in Kraft am 31. Dezember 2023 und anwendbar a</w:t>
      </w:r>
      <w:r w:rsidR="006166BA">
        <w:rPr>
          <w:bCs/>
          <w:i/>
          <w:iCs/>
          <w:sz w:val="20"/>
        </w:rPr>
        <w:t>b</w:t>
      </w:r>
      <w:r w:rsidR="00E77E60" w:rsidRPr="00E77E60">
        <w:rPr>
          <w:bCs/>
          <w:i/>
          <w:iCs/>
          <w:sz w:val="20"/>
        </w:rPr>
        <w:t xml:space="preserve"> dem Steuerjahr 2024 -</w:t>
      </w:r>
      <w:r w:rsidRPr="009118AB">
        <w:rPr>
          <w:i/>
          <w:iCs/>
          <w:sz w:val="20"/>
        </w:rPr>
        <w:t>;</w:t>
      </w:r>
      <w:r w:rsidRPr="009118AB">
        <w:rPr>
          <w:i/>
          <w:sz w:val="20"/>
        </w:rPr>
        <w:t xml:space="preserve"> Abs. 4 abgeändert durch Art. 17 Nr. 2 des G. vom 23. März 2019 (B.S. vom 5. April 2019) - anwendbar ab dem Steuerjahr 2020 -</w:t>
      </w:r>
      <w:r w:rsidR="002F4119" w:rsidRPr="009118AB">
        <w:rPr>
          <w:i/>
          <w:sz w:val="20"/>
        </w:rPr>
        <w:t>,</w:t>
      </w:r>
      <w:r w:rsidRPr="009118AB">
        <w:rPr>
          <w:i/>
          <w:sz w:val="20"/>
        </w:rPr>
        <w:t xml:space="preserve"> Art. 7 Nr. 2 </w:t>
      </w:r>
      <w:r w:rsidRPr="009118AB">
        <w:rPr>
          <w:i/>
          <w:iCs/>
          <w:sz w:val="20"/>
        </w:rPr>
        <w:t>des G. vom 17. März 2022 (B.S. vom 25. März 2022) - anwendbar ab dem Steuerjahr 2023 -, selbst widerrufen durch Art. 67 des G. vom 5. Juli 2022 (B.S. vom 15. Juli 2022) - in Kraft am 1. Januar 2022 -</w:t>
      </w:r>
      <w:r w:rsidR="00CC01C6" w:rsidRPr="009118AB">
        <w:rPr>
          <w:i/>
          <w:iCs/>
          <w:sz w:val="20"/>
        </w:rPr>
        <w:t>,</w:t>
      </w:r>
      <w:r w:rsidR="002F4119" w:rsidRPr="009118AB">
        <w:rPr>
          <w:i/>
          <w:iCs/>
          <w:sz w:val="20"/>
        </w:rPr>
        <w:t xml:space="preserve"> und</w:t>
      </w:r>
      <w:r w:rsidR="00CC01C6" w:rsidRPr="009118AB">
        <w:rPr>
          <w:i/>
          <w:iCs/>
          <w:sz w:val="20"/>
        </w:rPr>
        <w:t xml:space="preserve"> durch</w:t>
      </w:r>
      <w:r w:rsidR="002F4119" w:rsidRPr="009118AB">
        <w:rPr>
          <w:i/>
          <w:iCs/>
          <w:sz w:val="20"/>
        </w:rPr>
        <w:t xml:space="preserve"> Art. 69 Nr. 2 des G. vom 5. Juli 2022 (B.S. vom 15. Juli 2022) - anwendbar a</w:t>
      </w:r>
      <w:r w:rsidR="009D6F3E" w:rsidRPr="009118AB">
        <w:rPr>
          <w:i/>
          <w:iCs/>
          <w:sz w:val="20"/>
        </w:rPr>
        <w:t>b</w:t>
      </w:r>
      <w:r w:rsidR="002F4119" w:rsidRPr="009118AB">
        <w:rPr>
          <w:i/>
          <w:iCs/>
          <w:sz w:val="20"/>
        </w:rPr>
        <w:t xml:space="preserve"> dem Steuerjahr 2028 -</w:t>
      </w:r>
      <w:r w:rsidRPr="009118AB">
        <w:rPr>
          <w:i/>
          <w:iCs/>
          <w:sz w:val="20"/>
        </w:rPr>
        <w:t>]</w:t>
      </w:r>
      <w:r w:rsidRPr="009118AB">
        <w:rPr>
          <w:sz w:val="20"/>
        </w:rPr>
        <w:t>"</w:t>
      </w:r>
    </w:p>
    <w:p w14:paraId="791D9179" w14:textId="56BE6992" w:rsidR="009A2825" w:rsidRPr="009118AB" w:rsidRDefault="009A2825" w:rsidP="009A2825">
      <w:pPr>
        <w:autoSpaceDE w:val="0"/>
        <w:autoSpaceDN w:val="0"/>
        <w:adjustRightInd w:val="0"/>
      </w:pPr>
    </w:p>
    <w:p w14:paraId="776CF382" w14:textId="77777777" w:rsidR="00CC5F02" w:rsidRPr="009118AB" w:rsidRDefault="00CC5F02" w:rsidP="008B58C2">
      <w:pPr>
        <w:autoSpaceDE w:val="0"/>
        <w:autoSpaceDN w:val="0"/>
        <w:adjustRightInd w:val="0"/>
        <w:jc w:val="both"/>
      </w:pPr>
    </w:p>
    <w:p w14:paraId="29C6BED6" w14:textId="3A032D72" w:rsidR="00477B8F" w:rsidRPr="009118AB" w:rsidRDefault="00477B8F" w:rsidP="000F16ED">
      <w:pPr>
        <w:autoSpaceDE w:val="0"/>
        <w:autoSpaceDN w:val="0"/>
        <w:adjustRightInd w:val="0"/>
        <w:ind w:firstLine="708"/>
        <w:jc w:val="center"/>
      </w:pPr>
      <w:r w:rsidRPr="009118AB">
        <w:br w:type="page"/>
      </w:r>
      <w:r w:rsidRPr="009118AB">
        <w:rPr>
          <w:i/>
          <w:iCs/>
        </w:rPr>
        <w:lastRenderedPageBreak/>
        <w:t>Abschnitt </w:t>
      </w:r>
      <w:r w:rsidR="00D74862" w:rsidRPr="009118AB">
        <w:rPr>
          <w:i/>
          <w:iCs/>
        </w:rPr>
        <w:t>3</w:t>
      </w:r>
      <w:r w:rsidR="00D67EB8" w:rsidRPr="009118AB">
        <w:t> - </w:t>
      </w:r>
      <w:r w:rsidRPr="009118AB">
        <w:t>Vergütung für Steuervorauszahlung</w:t>
      </w:r>
    </w:p>
    <w:p w14:paraId="4893CDEA" w14:textId="77777777" w:rsidR="00477B8F" w:rsidRPr="009118AB" w:rsidRDefault="00477B8F" w:rsidP="00477B8F">
      <w:pPr>
        <w:autoSpaceDE w:val="0"/>
        <w:autoSpaceDN w:val="0"/>
        <w:adjustRightInd w:val="0"/>
      </w:pPr>
    </w:p>
    <w:p w14:paraId="694F705C" w14:textId="77777777" w:rsidR="00477B8F" w:rsidRPr="009118AB" w:rsidRDefault="00477B8F" w:rsidP="00477B8F">
      <w:pPr>
        <w:autoSpaceDE w:val="0"/>
        <w:autoSpaceDN w:val="0"/>
        <w:adjustRightInd w:val="0"/>
      </w:pPr>
    </w:p>
    <w:p w14:paraId="279657E9" w14:textId="1D8D8621"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175</w:t>
      </w:r>
      <w:r w:rsidR="00D67EB8" w:rsidRPr="009118AB">
        <w:t> - </w:t>
      </w:r>
      <w:r w:rsidR="00C8756B" w:rsidRPr="009118AB">
        <w:t>[Auf die auf 106 Prozent erhöhte Gesamtste</w:t>
      </w:r>
      <w:r w:rsidR="006340E1" w:rsidRPr="009118AB">
        <w:t xml:space="preserve">uer, die um die in den Artikeln [25/1, 27/1,] </w:t>
      </w:r>
      <w:r w:rsidR="00C030D3" w:rsidRPr="009118AB">
        <w:t>[</w:t>
      </w:r>
      <w:r w:rsidR="00D85DB4" w:rsidRPr="009118AB">
        <w:t>...</w:t>
      </w:r>
      <w:r w:rsidR="00C030D3" w:rsidRPr="009118AB">
        <w:t xml:space="preserve">] </w:t>
      </w:r>
      <w:r w:rsidR="002158DA" w:rsidRPr="009118AB">
        <w:t>[</w:t>
      </w:r>
      <w:r w:rsidR="00C8756B" w:rsidRPr="009118AB">
        <w:t>145</w:t>
      </w:r>
      <w:r w:rsidR="00C8756B" w:rsidRPr="009118AB">
        <w:rPr>
          <w:vertAlign w:val="superscript"/>
        </w:rPr>
        <w:t>7</w:t>
      </w:r>
      <w:r w:rsidR="00C8756B" w:rsidRPr="009118AB">
        <w:t xml:space="preserve"> </w:t>
      </w:r>
      <w:r w:rsidR="00D67EB8" w:rsidRPr="009118AB">
        <w:t>§ </w:t>
      </w:r>
      <w:r w:rsidR="00C8756B" w:rsidRPr="009118AB">
        <w:t>2</w:t>
      </w:r>
      <w:r w:rsidR="002158DA" w:rsidRPr="009118AB">
        <w:t>, 145</w:t>
      </w:r>
      <w:r w:rsidR="002158DA" w:rsidRPr="009118AB">
        <w:rPr>
          <w:vertAlign w:val="superscript"/>
        </w:rPr>
        <w:t>26</w:t>
      </w:r>
      <w:r w:rsidR="002158DA" w:rsidRPr="009118AB">
        <w:t xml:space="preserve"> </w:t>
      </w:r>
      <w:r w:rsidR="00D67EB8" w:rsidRPr="009118AB">
        <w:t>§ </w:t>
      </w:r>
      <w:r w:rsidR="002158DA" w:rsidRPr="009118AB">
        <w:t>5]</w:t>
      </w:r>
      <w:r w:rsidR="008A3E45" w:rsidRPr="009118AB">
        <w:t>[</w:t>
      </w:r>
      <w:r w:rsidR="008A3E45" w:rsidRPr="009118AB">
        <w:rPr>
          <w:rFonts w:eastAsia="Calibri"/>
        </w:rPr>
        <w:t>, 145</w:t>
      </w:r>
      <w:r w:rsidR="008A3E45" w:rsidRPr="009118AB">
        <w:rPr>
          <w:rFonts w:eastAsia="Calibri"/>
          <w:vertAlign w:val="superscript"/>
        </w:rPr>
        <w:t>27</w:t>
      </w:r>
      <w:r w:rsidR="008A3E45" w:rsidRPr="009118AB">
        <w:rPr>
          <w:rFonts w:eastAsia="Calibri"/>
        </w:rPr>
        <w:t xml:space="preserve"> </w:t>
      </w:r>
      <w:r w:rsidR="00D67EB8" w:rsidRPr="009118AB">
        <w:rPr>
          <w:rFonts w:eastAsia="Calibri"/>
        </w:rPr>
        <w:t>§ </w:t>
      </w:r>
      <w:r w:rsidR="008A3E45" w:rsidRPr="009118AB">
        <w:rPr>
          <w:rFonts w:eastAsia="Calibri"/>
        </w:rPr>
        <w:t>4</w:t>
      </w:r>
      <w:r w:rsidR="008A3E45" w:rsidRPr="009118AB">
        <w:t>]</w:t>
      </w:r>
      <w:r w:rsidR="00E24BB2" w:rsidRPr="009118AB">
        <w:t>[,</w:t>
      </w:r>
      <w:r w:rsidR="00C8756B" w:rsidRPr="009118AB">
        <w:t xml:space="preserve"> 145</w:t>
      </w:r>
      <w:r w:rsidR="00C8756B" w:rsidRPr="009118AB">
        <w:rPr>
          <w:vertAlign w:val="superscript"/>
        </w:rPr>
        <w:t>32</w:t>
      </w:r>
      <w:r w:rsidR="00C8756B" w:rsidRPr="009118AB">
        <w:t xml:space="preserve"> </w:t>
      </w:r>
      <w:r w:rsidR="00D67EB8" w:rsidRPr="009118AB">
        <w:t>§ </w:t>
      </w:r>
      <w:r w:rsidR="00C8756B" w:rsidRPr="009118AB">
        <w:t>2</w:t>
      </w:r>
      <w:r w:rsidR="00E24BB2" w:rsidRPr="009118AB">
        <w:t xml:space="preserve"> und 168/1]</w:t>
      </w:r>
      <w:r w:rsidR="00C8756B" w:rsidRPr="009118AB">
        <w:t xml:space="preserve"> erwähnten Erhöhungen erhöht wurde und ermäßigt wurde um]</w:t>
      </w:r>
    </w:p>
    <w:p w14:paraId="4DB73AFE" w14:textId="77777777" w:rsidR="00477B8F" w:rsidRPr="009118AB" w:rsidRDefault="00477B8F" w:rsidP="00477B8F">
      <w:pPr>
        <w:autoSpaceDE w:val="0"/>
        <w:autoSpaceDN w:val="0"/>
        <w:adjustRightInd w:val="0"/>
        <w:jc w:val="both"/>
      </w:pPr>
    </w:p>
    <w:p w14:paraId="095F08B4" w14:textId="77777777" w:rsidR="00477B8F" w:rsidRPr="009118AB" w:rsidRDefault="008A3E45" w:rsidP="00477B8F">
      <w:pPr>
        <w:autoSpaceDE w:val="0"/>
        <w:autoSpaceDN w:val="0"/>
        <w:adjustRightInd w:val="0"/>
        <w:jc w:val="both"/>
      </w:pPr>
      <w:r w:rsidRPr="009118AB">
        <w:tab/>
        <w:t xml:space="preserve">1. die als Vorabzug[, </w:t>
      </w:r>
      <w:r w:rsidR="00477B8F" w:rsidRPr="009118AB">
        <w:t xml:space="preserve">als Pauschalanteil ausländischer Steuer und als </w:t>
      </w:r>
      <w:r w:rsidR="00C8756B" w:rsidRPr="009118AB">
        <w:t xml:space="preserve">[föderale oder regionale] </w:t>
      </w:r>
      <w:r w:rsidR="00477B8F" w:rsidRPr="009118AB">
        <w:t>Steuergutschrift] anrechenbaren Beträge,</w:t>
      </w:r>
    </w:p>
    <w:p w14:paraId="1DDDA07C" w14:textId="77777777" w:rsidR="00477B8F" w:rsidRPr="009118AB" w:rsidRDefault="00477B8F" w:rsidP="00477B8F">
      <w:pPr>
        <w:autoSpaceDE w:val="0"/>
        <w:autoSpaceDN w:val="0"/>
        <w:adjustRightInd w:val="0"/>
        <w:jc w:val="both"/>
      </w:pPr>
    </w:p>
    <w:p w14:paraId="5A626646" w14:textId="77777777" w:rsidR="00477B8F" w:rsidRPr="009118AB" w:rsidRDefault="00477B8F" w:rsidP="00477B8F">
      <w:pPr>
        <w:autoSpaceDE w:val="0"/>
        <w:autoSpaceDN w:val="0"/>
        <w:adjustRightInd w:val="0"/>
        <w:jc w:val="both"/>
      </w:pPr>
      <w:r w:rsidRPr="009118AB">
        <w:tab/>
        <w:t>2. den Betrag der Vorauszahlungen, die notwendig sind, um die in Artikel 157 vorgesehene Erhöhung zu vermeiden,</w:t>
      </w:r>
    </w:p>
    <w:p w14:paraId="0BFA723C" w14:textId="77777777" w:rsidR="00477B8F" w:rsidRPr="009118AB" w:rsidRDefault="00477B8F" w:rsidP="00477B8F">
      <w:pPr>
        <w:autoSpaceDE w:val="0"/>
        <w:autoSpaceDN w:val="0"/>
        <w:adjustRightInd w:val="0"/>
        <w:jc w:val="both"/>
      </w:pPr>
    </w:p>
    <w:p w14:paraId="21FD235E" w14:textId="77777777" w:rsidR="00477B8F" w:rsidRPr="009118AB" w:rsidRDefault="00477B8F" w:rsidP="00477B8F">
      <w:pPr>
        <w:autoSpaceDE w:val="0"/>
        <w:autoSpaceDN w:val="0"/>
        <w:adjustRightInd w:val="0"/>
        <w:jc w:val="both"/>
      </w:pPr>
      <w:r w:rsidRPr="009118AB">
        <w:tab/>
        <w:t>wird eine Vergütung gewährt in dem Maße, wie diese Steuer gemäß der vom König festgelegten Weise per Vorauszahlung entrichtet wurde.</w:t>
      </w:r>
    </w:p>
    <w:p w14:paraId="07429023" w14:textId="77777777" w:rsidR="00477B8F" w:rsidRPr="009118AB" w:rsidRDefault="00477B8F" w:rsidP="00477B8F">
      <w:pPr>
        <w:autoSpaceDE w:val="0"/>
        <w:autoSpaceDN w:val="0"/>
        <w:adjustRightInd w:val="0"/>
        <w:jc w:val="both"/>
      </w:pPr>
    </w:p>
    <w:p w14:paraId="1FA05107" w14:textId="321C2511"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175 </w:t>
      </w:r>
      <w:r w:rsidR="00C8756B" w:rsidRPr="009118AB">
        <w:rPr>
          <w:i/>
          <w:iCs/>
        </w:rPr>
        <w:t xml:space="preserve">einziger Absatz einleitende Bestimmung ersetzt durch </w:t>
      </w:r>
      <w:r w:rsidR="00D67EB8" w:rsidRPr="009118AB">
        <w:rPr>
          <w:i/>
          <w:iCs/>
        </w:rPr>
        <w:t>Art. </w:t>
      </w:r>
      <w:r w:rsidR="00C8756B" w:rsidRPr="009118AB">
        <w:rPr>
          <w:i/>
          <w:iCs/>
        </w:rPr>
        <w:t xml:space="preserve">69 </w:t>
      </w:r>
      <w:r w:rsidR="00D67EB8" w:rsidRPr="009118AB">
        <w:rPr>
          <w:i/>
          <w:iCs/>
        </w:rPr>
        <w:t>Nr. </w:t>
      </w:r>
      <w:r w:rsidR="00C8756B" w:rsidRPr="009118AB">
        <w:rPr>
          <w:i/>
          <w:iCs/>
        </w:rPr>
        <w:t>1</w:t>
      </w:r>
      <w:r w:rsidR="00C8756B" w:rsidRPr="009118AB">
        <w:rPr>
          <w:i/>
        </w:rPr>
        <w:t xml:space="preserve"> des G. vom 8. Mai 2014 (B.S. vom 28. Mai 2014)</w:t>
      </w:r>
      <w:r w:rsidR="00D67EB8" w:rsidRPr="009118AB">
        <w:rPr>
          <w:i/>
        </w:rPr>
        <w:t> - </w:t>
      </w:r>
      <w:r w:rsidR="00C8756B" w:rsidRPr="009118AB">
        <w:rPr>
          <w:i/>
          <w:iCs/>
        </w:rPr>
        <w:t>anwendbar ab dem Steuerjahr 2015</w:t>
      </w:r>
      <w:r w:rsidR="00D67EB8" w:rsidRPr="009118AB">
        <w:rPr>
          <w:i/>
          <w:iCs/>
        </w:rPr>
        <w:t> - </w:t>
      </w:r>
      <w:r w:rsidR="002158DA" w:rsidRPr="009118AB">
        <w:rPr>
          <w:i/>
          <w:iCs/>
        </w:rPr>
        <w:t xml:space="preserve">und abgeändert durch </w:t>
      </w:r>
      <w:r w:rsidR="00D67EB8" w:rsidRPr="009118AB">
        <w:rPr>
          <w:i/>
          <w:iCs/>
        </w:rPr>
        <w:t>Art. </w:t>
      </w:r>
      <w:r w:rsidR="002158DA" w:rsidRPr="009118AB">
        <w:rPr>
          <w:i/>
          <w:iCs/>
        </w:rPr>
        <w:t>50 des G. vom 10. August 2015 (B.S. vom 18. August 2015)</w:t>
      </w:r>
      <w:r w:rsidR="00D67EB8" w:rsidRPr="009118AB">
        <w:rPr>
          <w:i/>
          <w:iCs/>
        </w:rPr>
        <w:t> - </w:t>
      </w:r>
      <w:r w:rsidR="002158DA" w:rsidRPr="009118AB">
        <w:rPr>
          <w:i/>
          <w:iCs/>
        </w:rPr>
        <w:t>anwendbar ab dem Steuerjahr 2016</w:t>
      </w:r>
      <w:r w:rsidR="00FD68E8" w:rsidRPr="009118AB">
        <w:rPr>
          <w:i/>
          <w:iCs/>
        </w:rPr>
        <w:t> -,</w:t>
      </w:r>
      <w:r w:rsidR="008A3E45" w:rsidRPr="009118AB">
        <w:rPr>
          <w:i/>
          <w:iCs/>
        </w:rPr>
        <w:t xml:space="preserve"> </w:t>
      </w:r>
      <w:r w:rsidR="00D67EB8" w:rsidRPr="009118AB">
        <w:rPr>
          <w:i/>
          <w:iCs/>
        </w:rPr>
        <w:t>Art. </w:t>
      </w:r>
      <w:r w:rsidR="008A3E45" w:rsidRPr="009118AB">
        <w:rPr>
          <w:i/>
          <w:iCs/>
        </w:rPr>
        <w:t>33 des G. vom 26. März 2018 (B.S. vom 30. März 2018)</w:t>
      </w:r>
      <w:r w:rsidR="00D67EB8" w:rsidRPr="009118AB">
        <w:rPr>
          <w:i/>
          <w:iCs/>
        </w:rPr>
        <w:t> - </w:t>
      </w:r>
      <w:r w:rsidR="008A3E45" w:rsidRPr="009118AB">
        <w:rPr>
          <w:i/>
          <w:iCs/>
        </w:rPr>
        <w:t>wirksam ab dem Steuerjahr 2019</w:t>
      </w:r>
      <w:r w:rsidR="00FD68E8" w:rsidRPr="009118AB">
        <w:rPr>
          <w:i/>
          <w:iCs/>
        </w:rPr>
        <w:t> -,</w:t>
      </w:r>
      <w:r w:rsidR="00E24BB2" w:rsidRPr="009118AB">
        <w:rPr>
          <w:i/>
          <w:iCs/>
        </w:rPr>
        <w:t xml:space="preserve"> </w:t>
      </w:r>
      <w:r w:rsidR="00D67EB8" w:rsidRPr="009118AB">
        <w:rPr>
          <w:i/>
          <w:iCs/>
        </w:rPr>
        <w:t>Art. </w:t>
      </w:r>
      <w:r w:rsidR="00E24BB2" w:rsidRPr="009118AB">
        <w:rPr>
          <w:i/>
          <w:iCs/>
        </w:rPr>
        <w:t>89</w:t>
      </w:r>
      <w:r w:rsidR="00E24BB2" w:rsidRPr="009118AB">
        <w:rPr>
          <w:i/>
          <w:iCs/>
          <w:spacing w:val="-2"/>
        </w:rPr>
        <w:t xml:space="preserve"> des G. vom 11. Februar 2019 (B.S. vom 22. März 2020)</w:t>
      </w:r>
      <w:r w:rsidR="00D67EB8" w:rsidRPr="009118AB">
        <w:rPr>
          <w:i/>
          <w:iCs/>
          <w:spacing w:val="-2"/>
        </w:rPr>
        <w:t> - </w:t>
      </w:r>
      <w:r w:rsidR="00E24BB2"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r w:rsidR="00C030D3" w:rsidRPr="009118AB">
        <w:rPr>
          <w:i/>
          <w:iCs/>
          <w:spacing w:val="-2"/>
        </w:rPr>
        <w:t xml:space="preserve"> </w:t>
      </w:r>
      <w:r w:rsidR="00D67EB8" w:rsidRPr="009118AB">
        <w:rPr>
          <w:i/>
          <w:iCs/>
          <w:spacing w:val="-2"/>
        </w:rPr>
        <w:t>Art. </w:t>
      </w:r>
      <w:r w:rsidR="00C030D3" w:rsidRPr="009118AB">
        <w:rPr>
          <w:i/>
          <w:iCs/>
          <w:spacing w:val="-2"/>
        </w:rPr>
        <w:t>28</w:t>
      </w:r>
      <w:r w:rsidR="00C030D3" w:rsidRPr="009118AB">
        <w:rPr>
          <w:i/>
        </w:rPr>
        <w:t xml:space="preserve"> des G. vom 7. April 2019 (I) (B.S. vom 19. April 2019)</w:t>
      </w:r>
      <w:r w:rsidR="00D85DB4" w:rsidRPr="009118AB">
        <w:rPr>
          <w:i/>
        </w:rPr>
        <w:t>,</w:t>
      </w:r>
      <w:r w:rsidR="006340E1" w:rsidRPr="009118AB">
        <w:rPr>
          <w:i/>
        </w:rPr>
        <w:t xml:space="preserve"> </w:t>
      </w:r>
      <w:r w:rsidR="00D67EB8" w:rsidRPr="009118AB">
        <w:rPr>
          <w:i/>
        </w:rPr>
        <w:t>Art. </w:t>
      </w:r>
      <w:r w:rsidR="006340E1" w:rsidRPr="009118AB">
        <w:rPr>
          <w:i/>
        </w:rPr>
        <w:t>10</w:t>
      </w:r>
      <w:r w:rsidR="006340E1" w:rsidRPr="009118AB">
        <w:rPr>
          <w:i/>
          <w:iCs/>
        </w:rPr>
        <w:t xml:space="preserve"> des G. vom 23. Juni 2020 (B.S. vom 1. Juli 2020)</w:t>
      </w:r>
      <w:r w:rsidR="00D85DB4" w:rsidRPr="009118AB">
        <w:rPr>
          <w:i/>
          <w:iCs/>
        </w:rPr>
        <w:t xml:space="preserve"> und Art. 12 des G. vom 31. Juli 2023 (II) (B.S. vom 23. August 2023)</w:t>
      </w:r>
      <w:r w:rsidR="00C8756B" w:rsidRPr="009118AB">
        <w:rPr>
          <w:i/>
          <w:iCs/>
        </w:rPr>
        <w:t xml:space="preserve">; </w:t>
      </w:r>
      <w:r w:rsidRPr="009118AB">
        <w:rPr>
          <w:i/>
          <w:iCs/>
        </w:rPr>
        <w:t xml:space="preserve">einziger Absatz </w:t>
      </w:r>
      <w:r w:rsidR="00D67EB8" w:rsidRPr="009118AB">
        <w:rPr>
          <w:i/>
          <w:iCs/>
        </w:rPr>
        <w:t>Nr. </w:t>
      </w:r>
      <w:r w:rsidRPr="009118AB">
        <w:rPr>
          <w:i/>
          <w:iCs/>
        </w:rPr>
        <w:t xml:space="preserve">1 abgeändert durch </w:t>
      </w:r>
      <w:r w:rsidR="00D67EB8" w:rsidRPr="009118AB">
        <w:rPr>
          <w:i/>
          <w:iCs/>
        </w:rPr>
        <w:t>Art. </w:t>
      </w:r>
      <w:r w:rsidRPr="009118AB">
        <w:rPr>
          <w:i/>
          <w:iCs/>
        </w:rPr>
        <w:t>10 des G. vom 20. Dezember 1995 (B.S.</w:t>
      </w:r>
      <w:r w:rsidR="001200B4" w:rsidRPr="009118AB">
        <w:rPr>
          <w:i/>
          <w:iCs/>
        </w:rPr>
        <w:t xml:space="preserve"> </w:t>
      </w:r>
      <w:r w:rsidRPr="009118AB">
        <w:rPr>
          <w:i/>
          <w:iCs/>
        </w:rPr>
        <w:t>vom 23. Dezember 1995)</w:t>
      </w:r>
      <w:r w:rsidR="00D67EB8" w:rsidRPr="009118AB">
        <w:rPr>
          <w:i/>
          <w:iCs/>
        </w:rPr>
        <w:t> - </w:t>
      </w:r>
      <w:r w:rsidRPr="009118AB">
        <w:rPr>
          <w:i/>
          <w:iCs/>
        </w:rPr>
        <w:t>anwendbar ab dem Steuerjahr 1997</w:t>
      </w:r>
      <w:r w:rsidR="00D67EB8" w:rsidRPr="009118AB">
        <w:rPr>
          <w:i/>
          <w:iCs/>
        </w:rPr>
        <w:t> - </w:t>
      </w:r>
      <w:r w:rsidR="00C8756B" w:rsidRPr="009118AB">
        <w:rPr>
          <w:i/>
          <w:iCs/>
        </w:rPr>
        <w:t xml:space="preserve">und </w:t>
      </w:r>
      <w:r w:rsidR="00D67EB8" w:rsidRPr="009118AB">
        <w:rPr>
          <w:i/>
          <w:iCs/>
        </w:rPr>
        <w:t>Art. </w:t>
      </w:r>
      <w:r w:rsidR="00C8756B" w:rsidRPr="009118AB">
        <w:rPr>
          <w:i/>
          <w:iCs/>
        </w:rPr>
        <w:t xml:space="preserve">69 </w:t>
      </w:r>
      <w:r w:rsidR="00D67EB8" w:rsidRPr="009118AB">
        <w:rPr>
          <w:i/>
          <w:iCs/>
        </w:rPr>
        <w:t>Nr. </w:t>
      </w:r>
      <w:r w:rsidR="00C8756B" w:rsidRPr="009118AB">
        <w:rPr>
          <w:i/>
          <w:iCs/>
        </w:rPr>
        <w:t>2</w:t>
      </w:r>
      <w:r w:rsidR="00C8756B" w:rsidRPr="009118AB">
        <w:rPr>
          <w:i/>
        </w:rPr>
        <w:t xml:space="preserve"> des G. vom 8. Mai</w:t>
      </w:r>
      <w:r w:rsidR="00A11EEF" w:rsidRPr="009118AB">
        <w:rPr>
          <w:i/>
        </w:rPr>
        <w:t> 2014 (B.S. vom 28. Mai 2014)</w:t>
      </w:r>
      <w:r w:rsidR="00D67EB8" w:rsidRPr="009118AB">
        <w:rPr>
          <w:i/>
        </w:rPr>
        <w:t> - </w:t>
      </w:r>
      <w:r w:rsidR="00C8756B" w:rsidRPr="009118AB">
        <w:rPr>
          <w:i/>
          <w:iCs/>
        </w:rPr>
        <w:t>anwendbar ab dem Steuerjahr 2015</w:t>
      </w:r>
      <w:r w:rsidR="00FD68E8" w:rsidRPr="009118AB">
        <w:rPr>
          <w:i/>
          <w:iCs/>
        </w:rPr>
        <w:t> -]</w:t>
      </w:r>
    </w:p>
    <w:p w14:paraId="645149DD" w14:textId="77777777" w:rsidR="00477B8F" w:rsidRPr="009118AB" w:rsidRDefault="00477B8F" w:rsidP="00477B8F">
      <w:pPr>
        <w:autoSpaceDE w:val="0"/>
        <w:autoSpaceDN w:val="0"/>
        <w:adjustRightInd w:val="0"/>
        <w:jc w:val="both"/>
      </w:pPr>
    </w:p>
    <w:p w14:paraId="1D8B98B3" w14:textId="77777777" w:rsidR="00477B8F" w:rsidRPr="009118AB" w:rsidRDefault="00477B8F" w:rsidP="00477B8F">
      <w:pPr>
        <w:autoSpaceDE w:val="0"/>
        <w:autoSpaceDN w:val="0"/>
        <w:adjustRightInd w:val="0"/>
        <w:jc w:val="both"/>
      </w:pPr>
    </w:p>
    <w:p w14:paraId="0F6DD6B5" w14:textId="5EE343A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176</w:t>
      </w:r>
      <w:r w:rsidR="00D67EB8" w:rsidRPr="009118AB">
        <w:t> - </w:t>
      </w:r>
      <w:r w:rsidRPr="009118AB">
        <w:t xml:space="preserve">Der Teil der in Artikel 157 erwähnten Vorauszahlungen, der den in Artikel 175 </w:t>
      </w:r>
      <w:r w:rsidR="00D67EB8" w:rsidRPr="009118AB">
        <w:t>Nr. </w:t>
      </w:r>
      <w:r w:rsidRPr="009118AB">
        <w:t>2 erwähnten Betrag übersteigt, wird als Vorauszahlung, die zu einer Vergütung berechtigt, berücksichtigt.</w:t>
      </w:r>
    </w:p>
    <w:p w14:paraId="03D2A2C4" w14:textId="77777777" w:rsidR="00477B8F" w:rsidRPr="009118AB" w:rsidRDefault="00477B8F" w:rsidP="00477B8F">
      <w:pPr>
        <w:autoSpaceDE w:val="0"/>
        <w:autoSpaceDN w:val="0"/>
        <w:adjustRightInd w:val="0"/>
        <w:jc w:val="both"/>
      </w:pPr>
    </w:p>
    <w:p w14:paraId="42BAF7D8" w14:textId="77777777" w:rsidR="00477B8F" w:rsidRPr="009118AB" w:rsidRDefault="00477B8F" w:rsidP="00477B8F">
      <w:pPr>
        <w:autoSpaceDE w:val="0"/>
        <w:autoSpaceDN w:val="0"/>
        <w:adjustRightInd w:val="0"/>
        <w:jc w:val="both"/>
      </w:pPr>
    </w:p>
    <w:p w14:paraId="19C2ED9E" w14:textId="62FCC35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177</w:t>
      </w:r>
      <w:r w:rsidR="00D67EB8" w:rsidRPr="009118AB">
        <w:t> - </w:t>
      </w:r>
      <w:r w:rsidRPr="009118AB">
        <w:t xml:space="preserve">Die in Artikel 175 erwähnte Vergütung entspricht dem Betrag der Vorauszahlungen multipliziert mit 1,5 mal, 1,25 mal, 1 mal und 0,75 mal dem in Artikel 161 erwähnten Richtsatz, je nachdem ob diese Zahlungen spätestens am 10. April, 10. Juli, 10. Oktober beziehungsweise 20. Dezember des Jahres vor dem Jahr, dessen Jahreszahl das Steuerjahr bestimmt, geleistet wurden. </w:t>
      </w:r>
    </w:p>
    <w:p w14:paraId="66227933" w14:textId="33F2EC9B" w:rsidR="00477B8F" w:rsidRPr="009118AB" w:rsidRDefault="00477B8F" w:rsidP="00311E0F">
      <w:pPr>
        <w:autoSpaceDE w:val="0"/>
        <w:autoSpaceDN w:val="0"/>
        <w:adjustRightInd w:val="0"/>
        <w:jc w:val="center"/>
      </w:pPr>
      <w:r w:rsidRPr="009118AB">
        <w:br w:type="page"/>
      </w:r>
      <w:r w:rsidRPr="009118AB">
        <w:rPr>
          <w:i/>
          <w:iCs/>
        </w:rPr>
        <w:lastRenderedPageBreak/>
        <w:t>Abschnitt </w:t>
      </w:r>
      <w:r w:rsidR="00D74862" w:rsidRPr="009118AB">
        <w:rPr>
          <w:i/>
          <w:iCs/>
        </w:rPr>
        <w:t>4</w:t>
      </w:r>
      <w:r w:rsidR="00D67EB8" w:rsidRPr="009118AB">
        <w:t> - </w:t>
      </w:r>
      <w:r w:rsidRPr="009118AB">
        <w:t>Jährliche Indexierung</w:t>
      </w:r>
    </w:p>
    <w:p w14:paraId="53907936" w14:textId="77777777" w:rsidR="00477B8F" w:rsidRPr="009118AB" w:rsidRDefault="00477B8F" w:rsidP="00477B8F">
      <w:pPr>
        <w:autoSpaceDE w:val="0"/>
        <w:autoSpaceDN w:val="0"/>
        <w:adjustRightInd w:val="0"/>
      </w:pPr>
    </w:p>
    <w:p w14:paraId="6886E4BB" w14:textId="77777777" w:rsidR="00477B8F" w:rsidRPr="009118AB" w:rsidRDefault="00477B8F" w:rsidP="00477B8F">
      <w:pPr>
        <w:autoSpaceDE w:val="0"/>
        <w:autoSpaceDN w:val="0"/>
        <w:adjustRightInd w:val="0"/>
      </w:pPr>
    </w:p>
    <w:p w14:paraId="4345B27A" w14:textId="6ABC82F7" w:rsidR="00467B60" w:rsidRPr="00064F9D" w:rsidRDefault="00477B8F" w:rsidP="00064F9D">
      <w:pPr>
        <w:autoSpaceDE w:val="0"/>
        <w:autoSpaceDN w:val="0"/>
        <w:adjustRightInd w:val="0"/>
        <w:jc w:val="both"/>
        <w:rPr>
          <w:iCs/>
        </w:rPr>
      </w:pPr>
      <w:r w:rsidRPr="009118AB">
        <w:tab/>
      </w:r>
      <w:r w:rsidR="00D67EB8" w:rsidRPr="009118AB">
        <w:rPr>
          <w:b/>
          <w:bCs/>
        </w:rPr>
        <w:t>Art. </w:t>
      </w:r>
      <w:r w:rsidRPr="009118AB">
        <w:rPr>
          <w:b/>
          <w:bCs/>
        </w:rPr>
        <w:t>178</w:t>
      </w:r>
      <w:r w:rsidR="00D67EB8" w:rsidRPr="009118AB">
        <w:t> - </w:t>
      </w:r>
      <w:r w:rsidR="00467B60" w:rsidRPr="00064F9D">
        <w:rPr>
          <w:iCs/>
        </w:rPr>
        <w:t xml:space="preserve">§ 1 - Beträge, die in vorliegendem Titel und in den diesbezüglichen besonderen Gesetzesbestimmungen [auf Euro] lauten, werden in Bezug auf die Einkommensgrenzen und </w:t>
      </w:r>
      <w:r w:rsidR="00467B60" w:rsidRPr="00064F9D">
        <w:rPr>
          <w:iCs/>
        </w:rPr>
        <w:noBreakHyphen/>
        <w:t>teilbeträge, Steuerbefreiungen, Ermäßigungen, Abzüge und deren Grenzen oder Einschränkungen jährlich und gleichzeitig an den Verbraucherpreisindex des Königreichs angepasst [unbeschadet jedoch der Anwendung der Bestimmungen von § 3].</w:t>
      </w:r>
    </w:p>
    <w:p w14:paraId="63DCC929" w14:textId="77777777" w:rsidR="00467B60" w:rsidRPr="00064F9D" w:rsidRDefault="00467B60" w:rsidP="00064F9D">
      <w:pPr>
        <w:autoSpaceDE w:val="0"/>
        <w:autoSpaceDN w:val="0"/>
        <w:adjustRightInd w:val="0"/>
        <w:ind w:firstLine="709"/>
        <w:jc w:val="both"/>
        <w:rPr>
          <w:iCs/>
        </w:rPr>
      </w:pPr>
    </w:p>
    <w:p w14:paraId="281E17BE" w14:textId="77777777" w:rsidR="00467B60" w:rsidRPr="00064F9D" w:rsidRDefault="00467B60" w:rsidP="00064F9D">
      <w:pPr>
        <w:autoSpaceDE w:val="0"/>
        <w:autoSpaceDN w:val="0"/>
        <w:adjustRightInd w:val="0"/>
        <w:ind w:firstLine="709"/>
        <w:jc w:val="both"/>
        <w:rPr>
          <w:iCs/>
        </w:rPr>
      </w:pPr>
      <w:r w:rsidRPr="00064F9D">
        <w:rPr>
          <w:iCs/>
        </w:rPr>
        <w:t>§ 2 - Die Anpassung wird mit dem Koeffizienten durchgeführt, der erhalten wird, indem der Durchschnittswert der Preisindexe des Jahres vor dem Jahr der Einkünfte durch den Durchschnittswert der Preisindexe des Jahres 1988 geteilt wird.</w:t>
      </w:r>
    </w:p>
    <w:p w14:paraId="25819271" w14:textId="77777777" w:rsidR="00467B60" w:rsidRPr="00064F9D" w:rsidRDefault="00467B60" w:rsidP="00064F9D">
      <w:pPr>
        <w:autoSpaceDE w:val="0"/>
        <w:autoSpaceDN w:val="0"/>
        <w:adjustRightInd w:val="0"/>
        <w:ind w:firstLine="709"/>
        <w:jc w:val="both"/>
        <w:rPr>
          <w:iCs/>
        </w:rPr>
      </w:pPr>
    </w:p>
    <w:p w14:paraId="76DBB84A" w14:textId="77777777" w:rsidR="00467B60" w:rsidRPr="00064F9D" w:rsidRDefault="00467B60" w:rsidP="00064F9D">
      <w:pPr>
        <w:autoSpaceDE w:val="0"/>
        <w:autoSpaceDN w:val="0"/>
        <w:adjustRightInd w:val="0"/>
        <w:ind w:firstLine="709"/>
        <w:jc w:val="both"/>
        <w:rPr>
          <w:iCs/>
        </w:rPr>
      </w:pPr>
      <w:r w:rsidRPr="00064F9D">
        <w:rPr>
          <w:iCs/>
        </w:rPr>
        <w:t>Bei der Berechnung des Koeffizienten wird auf folgende Weise abgerundet:</w:t>
      </w:r>
    </w:p>
    <w:p w14:paraId="6639D469" w14:textId="77777777" w:rsidR="00467B60" w:rsidRPr="00064F9D" w:rsidRDefault="00467B60" w:rsidP="00064F9D">
      <w:pPr>
        <w:autoSpaceDE w:val="0"/>
        <w:autoSpaceDN w:val="0"/>
        <w:adjustRightInd w:val="0"/>
        <w:ind w:firstLine="709"/>
        <w:jc w:val="both"/>
        <w:rPr>
          <w:iCs/>
        </w:rPr>
      </w:pPr>
    </w:p>
    <w:p w14:paraId="53969EC7" w14:textId="77777777" w:rsidR="00467B60" w:rsidRPr="00064F9D" w:rsidRDefault="00467B60" w:rsidP="00064F9D">
      <w:pPr>
        <w:autoSpaceDE w:val="0"/>
        <w:autoSpaceDN w:val="0"/>
        <w:adjustRightInd w:val="0"/>
        <w:ind w:firstLine="709"/>
        <w:jc w:val="both"/>
        <w:rPr>
          <w:iCs/>
        </w:rPr>
      </w:pPr>
      <w:r w:rsidRPr="00064F9D">
        <w:rPr>
          <w:iCs/>
        </w:rPr>
        <w:t>1. Der Durchschnittswert der Preisindexe wird auf das größere oder kleinere Hundertstel eines Punktes abgerundet, je nachdem ob die Ziffer der Tausendstel eines Punktes 5 erreicht oder nicht.</w:t>
      </w:r>
    </w:p>
    <w:p w14:paraId="545621F1" w14:textId="77777777" w:rsidR="00467B60" w:rsidRPr="00064F9D" w:rsidRDefault="00467B60" w:rsidP="00064F9D">
      <w:pPr>
        <w:autoSpaceDE w:val="0"/>
        <w:autoSpaceDN w:val="0"/>
        <w:adjustRightInd w:val="0"/>
        <w:ind w:firstLine="709"/>
        <w:jc w:val="both"/>
        <w:rPr>
          <w:iCs/>
        </w:rPr>
      </w:pPr>
    </w:p>
    <w:p w14:paraId="0760F8BD" w14:textId="77777777" w:rsidR="00467B60" w:rsidRPr="00064F9D" w:rsidRDefault="00467B60" w:rsidP="00064F9D">
      <w:pPr>
        <w:autoSpaceDE w:val="0"/>
        <w:autoSpaceDN w:val="0"/>
        <w:adjustRightInd w:val="0"/>
        <w:ind w:firstLine="709"/>
        <w:jc w:val="both"/>
        <w:rPr>
          <w:iCs/>
        </w:rPr>
      </w:pPr>
      <w:r w:rsidRPr="00064F9D">
        <w:rPr>
          <w:iCs/>
        </w:rPr>
        <w:t>2. Der Koeffizient wird auf das größere oder kleinere Zehntausendstel abgerundet, je nachdem ob die Ziffer der Hunderttausendstel 5 erreicht oder nicht.</w:t>
      </w:r>
    </w:p>
    <w:p w14:paraId="2E332A80" w14:textId="77777777" w:rsidR="00467B60" w:rsidRPr="00064F9D" w:rsidRDefault="00467B60" w:rsidP="00064F9D">
      <w:pPr>
        <w:autoSpaceDE w:val="0"/>
        <w:autoSpaceDN w:val="0"/>
        <w:adjustRightInd w:val="0"/>
        <w:ind w:firstLine="709"/>
        <w:jc w:val="both"/>
        <w:rPr>
          <w:iCs/>
        </w:rPr>
      </w:pPr>
    </w:p>
    <w:p w14:paraId="7BF2410B" w14:textId="77777777" w:rsidR="00467B60" w:rsidRPr="00064F9D" w:rsidRDefault="00467B60" w:rsidP="00064F9D">
      <w:pPr>
        <w:autoSpaceDE w:val="0"/>
        <w:autoSpaceDN w:val="0"/>
        <w:adjustRightInd w:val="0"/>
        <w:ind w:firstLine="709"/>
        <w:jc w:val="both"/>
        <w:rPr>
          <w:iCs/>
        </w:rPr>
      </w:pPr>
      <w:r w:rsidRPr="00064F9D">
        <w:rPr>
          <w:iCs/>
        </w:rPr>
        <w:t>[Nach Anwendung des Koeffizienten werden die Beträge [[mit Ausnahme der in den Artikeln 21 Absatz 1 Nr. 14, 66</w:t>
      </w:r>
      <w:r w:rsidRPr="00064F9D">
        <w:rPr>
          <w:i/>
          <w:iCs/>
        </w:rPr>
        <w:t>bis</w:t>
      </w:r>
      <w:r w:rsidRPr="00064F9D">
        <w:rPr>
          <w:iCs/>
        </w:rPr>
        <w:t xml:space="preserve"> Absatz 3 und 145</w:t>
      </w:r>
      <w:r w:rsidRPr="00064F9D">
        <w:rPr>
          <w:iCs/>
          <w:vertAlign w:val="superscript"/>
        </w:rPr>
        <w:t>35</w:t>
      </w:r>
      <w:r w:rsidRPr="00064F9D">
        <w:rPr>
          <w:iCs/>
        </w:rPr>
        <w:t xml:space="preserve"> Absatz 6 erwähnten Beträge, des in Artikel 38 § 1 Absatz 1 Nr. 14 Buchstabe </w:t>
      </w:r>
      <w:r w:rsidRPr="00064F9D">
        <w:rPr>
          <w:i/>
          <w:iCs/>
        </w:rPr>
        <w:t>a)</w:t>
      </w:r>
      <w:r w:rsidRPr="00064F9D">
        <w:rPr>
          <w:iCs/>
        </w:rPr>
        <w:t xml:space="preserve"> erwähnten Betrags der Kilometerentschädigung] und der in Artikel 147 erwähnten Beträge der Ermäßigungen] auf das größere oder kleinere Vielfache von 10 EUR abgerundet, je nachdem ob die Ziffer der Einer 5 erreicht oder nicht. [[Der in Artikel 38 § 1 Absatz 1 Nr. 14 Buchstabe </w:t>
      </w:r>
      <w:r w:rsidRPr="00064F9D">
        <w:rPr>
          <w:i/>
          <w:iCs/>
        </w:rPr>
        <w:t>a)</w:t>
      </w:r>
      <w:r w:rsidRPr="00064F9D">
        <w:rPr>
          <w:iCs/>
        </w:rPr>
        <w:t xml:space="preserve"> erwähnte Betrag der Kilometerentschädigung, der in Artikel 66</w:t>
      </w:r>
      <w:r w:rsidRPr="00064F9D">
        <w:rPr>
          <w:i/>
          <w:iCs/>
        </w:rPr>
        <w:t>bis</w:t>
      </w:r>
      <w:r w:rsidRPr="00064F9D">
        <w:rPr>
          <w:iCs/>
        </w:rPr>
        <w:t xml:space="preserve"> Absatz 3 erwähnte Betrag] [und die in Artikel 147 erwähnten Beträge der Ermäßigungen] werden auf den höheren oder niedrigeren Cent abgerundet, je nachdem ob die Ziffer der Tausendstel 5 erreicht oder nicht.] [Der in Artikel 145</w:t>
      </w:r>
      <w:r w:rsidRPr="00064F9D">
        <w:rPr>
          <w:iCs/>
          <w:vertAlign w:val="superscript"/>
        </w:rPr>
        <w:t>35</w:t>
      </w:r>
      <w:r w:rsidRPr="00064F9D">
        <w:rPr>
          <w:iCs/>
        </w:rPr>
        <w:t xml:space="preserve"> Absatz 6 erwähnte Betrag wird auf das höhere oder niedrigere Vielfache von 10 Cent abgerundet, je nachdem ob die Ziffer der Hundertstel 5 erreicht oder nicht.] [Der in Artikel 21 Absatz 1 Nr. 14 erwähnte Betrag wird auf den höheren oder niedrigeren Euro abgerundet, je nachdem ob die Ziffer der Centime 50 erreicht oder nicht.]</w:t>
      </w:r>
    </w:p>
    <w:p w14:paraId="17B64D51" w14:textId="77777777" w:rsidR="00467B60" w:rsidRPr="00064F9D" w:rsidRDefault="00467B60" w:rsidP="00064F9D">
      <w:pPr>
        <w:autoSpaceDE w:val="0"/>
        <w:autoSpaceDN w:val="0"/>
        <w:adjustRightInd w:val="0"/>
        <w:ind w:firstLine="709"/>
        <w:jc w:val="both"/>
        <w:rPr>
          <w:iCs/>
        </w:rPr>
      </w:pPr>
    </w:p>
    <w:p w14:paraId="47C0DBE4" w14:textId="77777777" w:rsidR="00467B60" w:rsidRPr="00064F9D" w:rsidRDefault="00467B60" w:rsidP="00064F9D">
      <w:pPr>
        <w:autoSpaceDE w:val="0"/>
        <w:autoSpaceDN w:val="0"/>
        <w:adjustRightInd w:val="0"/>
        <w:ind w:firstLine="709"/>
        <w:jc w:val="both"/>
        <w:rPr>
          <w:iCs/>
        </w:rPr>
      </w:pPr>
      <w:r w:rsidRPr="00064F9D">
        <w:rPr>
          <w:iCs/>
        </w:rPr>
        <w:t>[§ 3 - [In Abweichung von § 2 Absatz 1 wird außer in Bezug auf die [in den Artikeln 131 bis 133, [134 §§ 3 und 4]], 136 [und 141 bis 143] erwähnten Beträge die Anpassung durchgeführt:]</w:t>
      </w:r>
    </w:p>
    <w:p w14:paraId="4CC08DE6" w14:textId="77777777" w:rsidR="00467B60" w:rsidRPr="00064F9D" w:rsidRDefault="00467B60" w:rsidP="00064F9D">
      <w:pPr>
        <w:autoSpaceDE w:val="0"/>
        <w:autoSpaceDN w:val="0"/>
        <w:adjustRightInd w:val="0"/>
        <w:ind w:firstLine="709"/>
        <w:jc w:val="both"/>
        <w:rPr>
          <w:iCs/>
        </w:rPr>
      </w:pPr>
    </w:p>
    <w:p w14:paraId="121082C1" w14:textId="77777777" w:rsidR="00467B60" w:rsidRPr="00064F9D" w:rsidRDefault="00467B60" w:rsidP="00064F9D">
      <w:pPr>
        <w:autoSpaceDE w:val="0"/>
        <w:autoSpaceDN w:val="0"/>
        <w:adjustRightInd w:val="0"/>
        <w:ind w:firstLine="709"/>
        <w:jc w:val="both"/>
        <w:rPr>
          <w:iCs/>
        </w:rPr>
      </w:pPr>
      <w:r w:rsidRPr="00064F9D">
        <w:rPr>
          <w:iCs/>
        </w:rPr>
        <w:t>1. für die [Steuerjahre 1994 bis 1999] mit dem Koeffizienten, der erhalten wird, indem der Durchschnittswert der Preisindexe des Jahres 1991 durch den Durchschnittswert der Preisindexe des Jahres 1988 geteilt wird,</w:t>
      </w:r>
    </w:p>
    <w:p w14:paraId="1E74E38F" w14:textId="77777777" w:rsidR="00467B60" w:rsidRPr="00064F9D" w:rsidRDefault="00467B60" w:rsidP="00064F9D">
      <w:pPr>
        <w:autoSpaceDE w:val="0"/>
        <w:autoSpaceDN w:val="0"/>
        <w:adjustRightInd w:val="0"/>
        <w:ind w:firstLine="709"/>
        <w:jc w:val="both"/>
        <w:rPr>
          <w:iCs/>
        </w:rPr>
      </w:pPr>
    </w:p>
    <w:p w14:paraId="054A9655" w14:textId="77777777" w:rsidR="00467B60" w:rsidRPr="00064F9D" w:rsidRDefault="00467B60" w:rsidP="00064F9D">
      <w:pPr>
        <w:autoSpaceDE w:val="0"/>
        <w:autoSpaceDN w:val="0"/>
        <w:adjustRightInd w:val="0"/>
        <w:ind w:firstLine="709"/>
        <w:jc w:val="both"/>
        <w:rPr>
          <w:iCs/>
        </w:rPr>
      </w:pPr>
      <w:r w:rsidRPr="00064F9D">
        <w:rPr>
          <w:iCs/>
        </w:rPr>
        <w:t>2. für die [Steuerjahre 2000 und folgende]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geteilt wird.]</w:t>
      </w:r>
    </w:p>
    <w:p w14:paraId="1975E2E5" w14:textId="77777777" w:rsidR="00467B60" w:rsidRPr="00064F9D" w:rsidRDefault="00467B60" w:rsidP="00064F9D">
      <w:pPr>
        <w:autoSpaceDE w:val="0"/>
        <w:autoSpaceDN w:val="0"/>
        <w:adjustRightInd w:val="0"/>
        <w:ind w:firstLine="709"/>
        <w:jc w:val="both"/>
        <w:rPr>
          <w:iCs/>
        </w:rPr>
      </w:pPr>
    </w:p>
    <w:p w14:paraId="1935980E" w14:textId="77777777" w:rsidR="00467B60" w:rsidRPr="00064F9D" w:rsidRDefault="00467B60" w:rsidP="00064F9D">
      <w:pPr>
        <w:autoSpaceDE w:val="0"/>
        <w:autoSpaceDN w:val="0"/>
        <w:adjustRightInd w:val="0"/>
        <w:ind w:firstLine="709"/>
        <w:jc w:val="both"/>
        <w:rPr>
          <w:iCs/>
        </w:rPr>
      </w:pPr>
      <w:r w:rsidRPr="00064F9D">
        <w:rPr>
          <w:iCs/>
        </w:rPr>
        <w:lastRenderedPageBreak/>
        <w:t>[In Abweichung von Absatz 1 Nr. 2 wird in Bezug auf die in den Artikeln 21, 145</w:t>
      </w:r>
      <w:r w:rsidRPr="00064F9D">
        <w:rPr>
          <w:iCs/>
          <w:vertAlign w:val="superscript"/>
        </w:rPr>
        <w:t>6</w:t>
      </w:r>
      <w:r w:rsidRPr="00064F9D">
        <w:rPr>
          <w:iCs/>
        </w:rPr>
        <w:t xml:space="preserve"> bis 145</w:t>
      </w:r>
      <w:r w:rsidRPr="00064F9D">
        <w:rPr>
          <w:iCs/>
          <w:vertAlign w:val="superscript"/>
        </w:rPr>
        <w:t>8</w:t>
      </w:r>
      <w:r w:rsidRPr="00064F9D">
        <w:rPr>
          <w:iCs/>
        </w:rPr>
        <w:t>, 145</w:t>
      </w:r>
      <w:r w:rsidRPr="00064F9D">
        <w:rPr>
          <w:iCs/>
          <w:vertAlign w:val="superscript"/>
        </w:rPr>
        <w:t>24</w:t>
      </w:r>
      <w:r w:rsidRPr="00064F9D">
        <w:rPr>
          <w:iCs/>
        </w:rPr>
        <w:t xml:space="preserve"> § 1, 145</w:t>
      </w:r>
      <w:r w:rsidRPr="00064F9D">
        <w:rPr>
          <w:iCs/>
          <w:vertAlign w:val="superscript"/>
        </w:rPr>
        <w:t>28</w:t>
      </w:r>
      <w:r w:rsidRPr="00064F9D">
        <w:rPr>
          <w:iCs/>
        </w:rPr>
        <w:t>, 145</w:t>
      </w:r>
      <w:r w:rsidRPr="00064F9D">
        <w:rPr>
          <w:iCs/>
          <w:vertAlign w:val="superscript"/>
        </w:rPr>
        <w:t>32</w:t>
      </w:r>
      <w:r w:rsidRPr="00064F9D">
        <w:rPr>
          <w:iCs/>
        </w:rPr>
        <w:t>, 145</w:t>
      </w:r>
      <w:r w:rsidRPr="00064F9D">
        <w:rPr>
          <w:iCs/>
          <w:vertAlign w:val="superscript"/>
        </w:rPr>
        <w:t>33</w:t>
      </w:r>
      <w:r w:rsidRPr="00064F9D">
        <w:rPr>
          <w:iCs/>
        </w:rPr>
        <w:t>, 145</w:t>
      </w:r>
      <w:r w:rsidRPr="00064F9D">
        <w:rPr>
          <w:iCs/>
          <w:vertAlign w:val="superscript"/>
        </w:rPr>
        <w:t>34</w:t>
      </w:r>
      <w:r w:rsidRPr="00064F9D">
        <w:rPr>
          <w:iCs/>
        </w:rPr>
        <w:t xml:space="preserve"> Absatz 5, [145</w:t>
      </w:r>
      <w:r w:rsidRPr="00064F9D">
        <w:rPr>
          <w:iCs/>
          <w:vertAlign w:val="superscript"/>
        </w:rPr>
        <w:t>48</w:t>
      </w:r>
      <w:r w:rsidRPr="00064F9D">
        <w:rPr>
          <w:iCs/>
        </w:rPr>
        <w:t>] [und 145</w:t>
      </w:r>
      <w:r w:rsidRPr="00064F9D">
        <w:rPr>
          <w:iCs/>
          <w:vertAlign w:val="superscript"/>
        </w:rPr>
        <w:t>49</w:t>
      </w:r>
      <w:r w:rsidRPr="00064F9D">
        <w:rPr>
          <w:iCs/>
        </w:rPr>
        <w:t>] erwähn</w:t>
      </w:r>
      <w:r w:rsidRPr="00064F9D">
        <w:rPr>
          <w:iCs/>
        </w:rPr>
        <w:softHyphen/>
        <w:t>ten Beträge die Anpassung durchgeführt:</w:t>
      </w:r>
    </w:p>
    <w:p w14:paraId="38170C5B" w14:textId="77777777" w:rsidR="00467B60" w:rsidRPr="00064F9D" w:rsidRDefault="00467B60" w:rsidP="00064F9D">
      <w:pPr>
        <w:autoSpaceDE w:val="0"/>
        <w:autoSpaceDN w:val="0"/>
        <w:adjustRightInd w:val="0"/>
        <w:ind w:firstLine="709"/>
        <w:jc w:val="both"/>
        <w:rPr>
          <w:iCs/>
        </w:rPr>
      </w:pPr>
    </w:p>
    <w:p w14:paraId="6741CC88" w14:textId="77777777" w:rsidR="00467B60" w:rsidRPr="00064F9D" w:rsidRDefault="00467B60" w:rsidP="00064F9D">
      <w:pPr>
        <w:autoSpaceDE w:val="0"/>
        <w:autoSpaceDN w:val="0"/>
        <w:adjustRightInd w:val="0"/>
        <w:ind w:firstLine="709"/>
        <w:jc w:val="both"/>
        <w:rPr>
          <w:iCs/>
        </w:rPr>
      </w:pPr>
      <w:r w:rsidRPr="00064F9D">
        <w:rPr>
          <w:iCs/>
        </w:rPr>
        <w:t>1. für die Steuerjahre 2015 bis 2018 mit dem Koeffizienten, der erhalten wird, indem der Durchschnittswert der Preisindexe des Jahres 2012 durch den Durchschnittswert der Preisindexe des Jahres 1988, multipliziert mit dem Verhältnis zwischen den Durchschnitts</w:t>
      </w:r>
      <w:r w:rsidRPr="00064F9D">
        <w:rPr>
          <w:iCs/>
        </w:rPr>
        <w:softHyphen/>
        <w:t>werten der Preisindexe der Jahre 1997 und 1991, geteilt wird,</w:t>
      </w:r>
    </w:p>
    <w:p w14:paraId="62507690" w14:textId="77777777" w:rsidR="00467B60" w:rsidRPr="00064F9D" w:rsidRDefault="00467B60" w:rsidP="00064F9D">
      <w:pPr>
        <w:autoSpaceDE w:val="0"/>
        <w:autoSpaceDN w:val="0"/>
        <w:adjustRightInd w:val="0"/>
        <w:ind w:firstLine="709"/>
        <w:jc w:val="both"/>
        <w:rPr>
          <w:iCs/>
        </w:rPr>
      </w:pPr>
    </w:p>
    <w:p w14:paraId="43E16780" w14:textId="77777777" w:rsidR="00467B60" w:rsidRPr="00064F9D" w:rsidRDefault="00467B60" w:rsidP="00064F9D">
      <w:pPr>
        <w:autoSpaceDE w:val="0"/>
        <w:autoSpaceDN w:val="0"/>
        <w:adjustRightInd w:val="0"/>
        <w:ind w:firstLine="709"/>
        <w:jc w:val="both"/>
        <w:rPr>
          <w:iCs/>
        </w:rPr>
      </w:pPr>
      <w:r w:rsidRPr="00064F9D">
        <w:rPr>
          <w:iCs/>
        </w:rPr>
        <w:t>2. für die Steuerjahre 2019 [und 2020]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und mit dem Verhältnis zwischen den Durchschnittswerten der Preisindexe der Jahre 2016 und 2012, geteilt wird,]</w:t>
      </w:r>
    </w:p>
    <w:p w14:paraId="394C76A3" w14:textId="77777777" w:rsidR="00467B60" w:rsidRPr="00064F9D" w:rsidRDefault="00467B60" w:rsidP="00064F9D">
      <w:pPr>
        <w:autoSpaceDE w:val="0"/>
        <w:autoSpaceDN w:val="0"/>
        <w:adjustRightInd w:val="0"/>
        <w:ind w:firstLine="709"/>
        <w:jc w:val="both"/>
        <w:rPr>
          <w:iCs/>
        </w:rPr>
      </w:pPr>
    </w:p>
    <w:p w14:paraId="45701C96" w14:textId="77777777" w:rsidR="00467B60" w:rsidRPr="00064F9D" w:rsidRDefault="00467B60" w:rsidP="00064F9D">
      <w:pPr>
        <w:autoSpaceDE w:val="0"/>
        <w:autoSpaceDN w:val="0"/>
        <w:adjustRightInd w:val="0"/>
        <w:ind w:firstLine="709"/>
        <w:jc w:val="both"/>
        <w:rPr>
          <w:iCs/>
        </w:rPr>
      </w:pPr>
      <w:r w:rsidRPr="00064F9D">
        <w:rPr>
          <w:iCs/>
        </w:rPr>
        <w:t>[3. für die Steuerjahre 2021 bis 2024 mit dem Koeffizienten, der erhalten wird, indem der Durchschnittswert der Preisindexe des Jahres 2018 durch den Durchschnittswert der Preisindexe des Jahres 1988, multipliziert mit dem Verhältnis zwischen den Durchschnitts</w:t>
      </w:r>
      <w:r w:rsidRPr="00064F9D">
        <w:rPr>
          <w:iCs/>
        </w:rPr>
        <w:softHyphen/>
        <w:t>werten der Preisindexe der Jahre 1997 und 1991 und mit dem Verhältnis zwischen den Durchschnittswerten der Preisindexe der Jahre 2016 und 2012, geteilt wird,</w:t>
      </w:r>
    </w:p>
    <w:p w14:paraId="79058A5E" w14:textId="77777777" w:rsidR="00467B60" w:rsidRPr="00064F9D" w:rsidRDefault="00467B60" w:rsidP="00064F9D">
      <w:pPr>
        <w:autoSpaceDE w:val="0"/>
        <w:autoSpaceDN w:val="0"/>
        <w:adjustRightInd w:val="0"/>
        <w:ind w:firstLine="709"/>
        <w:jc w:val="both"/>
        <w:rPr>
          <w:iCs/>
        </w:rPr>
      </w:pPr>
    </w:p>
    <w:p w14:paraId="649A3D38" w14:textId="77777777" w:rsidR="00467B60" w:rsidRPr="00064F9D" w:rsidRDefault="00467B60" w:rsidP="00064F9D">
      <w:pPr>
        <w:autoSpaceDE w:val="0"/>
        <w:autoSpaceDN w:val="0"/>
        <w:adjustRightInd w:val="0"/>
        <w:ind w:firstLine="709"/>
        <w:jc w:val="both"/>
        <w:rPr>
          <w:iCs/>
        </w:rPr>
      </w:pPr>
      <w:r w:rsidRPr="00064F9D">
        <w:rPr>
          <w:iCs/>
        </w:rPr>
        <w:t>4. für die Steuerjahre 2025 und folgende mit dem Koeffizienten, der erhalten wird, indem der Durchschnittswert der Preisindexe des Jahres vor dem Jahr der Einkünfte durch den Durchschnittswert der Preisindexe des Jahres 1988, nacheinander multipliziert mit dem Verhältnis zwischen den Durchschnittswerten der Preisindexe der Jahre 1997 und 1991, mit dem Verhältnis zwischen den Durchschnittswerten der Preisindexe der Jahre 2016 und 2012 und mit dem Verhältnis zwischen den Durchschnittswerten der Preisindexe der Jahre 2022 und 2018, geteilt wird.]</w:t>
      </w:r>
    </w:p>
    <w:p w14:paraId="0C2B7DF7" w14:textId="77777777" w:rsidR="00467B60" w:rsidRPr="00064F9D" w:rsidRDefault="00467B60" w:rsidP="00064F9D">
      <w:pPr>
        <w:autoSpaceDE w:val="0"/>
        <w:autoSpaceDN w:val="0"/>
        <w:adjustRightInd w:val="0"/>
        <w:ind w:firstLine="709"/>
        <w:jc w:val="both"/>
        <w:rPr>
          <w:iCs/>
        </w:rPr>
      </w:pPr>
    </w:p>
    <w:p w14:paraId="7B8C206D" w14:textId="77777777" w:rsidR="00467B60" w:rsidRPr="00064F9D" w:rsidRDefault="00467B60" w:rsidP="00064F9D">
      <w:pPr>
        <w:autoSpaceDE w:val="0"/>
        <w:autoSpaceDN w:val="0"/>
        <w:adjustRightInd w:val="0"/>
        <w:ind w:firstLine="709"/>
        <w:jc w:val="both"/>
        <w:rPr>
          <w:iCs/>
        </w:rPr>
      </w:pPr>
      <w:r w:rsidRPr="00064F9D">
        <w:rPr>
          <w:iCs/>
        </w:rPr>
        <w:t>[In Abweichung von Absatz 1 Nr. 2 wird in Bezug auf die in den Artikeln 147, 151 bis 152 und 154 erwähnten Beträge die Anpassung durchgeführt:</w:t>
      </w:r>
    </w:p>
    <w:p w14:paraId="49C5028A" w14:textId="77777777" w:rsidR="00467B60" w:rsidRPr="00064F9D" w:rsidRDefault="00467B60" w:rsidP="00064F9D">
      <w:pPr>
        <w:autoSpaceDE w:val="0"/>
        <w:autoSpaceDN w:val="0"/>
        <w:adjustRightInd w:val="0"/>
        <w:ind w:firstLine="709"/>
        <w:jc w:val="both"/>
        <w:rPr>
          <w:iCs/>
        </w:rPr>
      </w:pPr>
    </w:p>
    <w:p w14:paraId="25FF353C" w14:textId="77777777" w:rsidR="00467B60" w:rsidRPr="00064F9D" w:rsidRDefault="00467B60" w:rsidP="00064F9D">
      <w:pPr>
        <w:autoSpaceDE w:val="0"/>
        <w:autoSpaceDN w:val="0"/>
        <w:adjustRightInd w:val="0"/>
        <w:ind w:firstLine="709"/>
        <w:jc w:val="both"/>
        <w:rPr>
          <w:iCs/>
        </w:rPr>
      </w:pPr>
      <w:r w:rsidRPr="00064F9D">
        <w:rPr>
          <w:iCs/>
        </w:rPr>
        <w:t>1. für die Steuerjahre 2015 bis 2018 mit dem Koeffizienten, der erhalten wird, indem der Durchschnittswert der Preisindexe des Jahres 2012 durch den Durchschnittswert der Preisindexe des Jahres 1988, multipliziert mit dem Verhältnis zwischen den Durchschnitts</w:t>
      </w:r>
      <w:r w:rsidRPr="00064F9D">
        <w:rPr>
          <w:iCs/>
        </w:rPr>
        <w:softHyphen/>
        <w:t>werten der Preisindexe der Jahre 1997 und 1991, geteilt wird,</w:t>
      </w:r>
    </w:p>
    <w:p w14:paraId="4AAA151D" w14:textId="77777777" w:rsidR="00467B60" w:rsidRPr="00064F9D" w:rsidRDefault="00467B60" w:rsidP="00064F9D">
      <w:pPr>
        <w:autoSpaceDE w:val="0"/>
        <w:autoSpaceDN w:val="0"/>
        <w:adjustRightInd w:val="0"/>
        <w:ind w:firstLine="709"/>
        <w:jc w:val="both"/>
        <w:rPr>
          <w:iCs/>
        </w:rPr>
      </w:pPr>
    </w:p>
    <w:p w14:paraId="79F8DCF6" w14:textId="77777777" w:rsidR="00467B60" w:rsidRPr="00064F9D" w:rsidRDefault="00467B60" w:rsidP="00064F9D">
      <w:pPr>
        <w:autoSpaceDE w:val="0"/>
        <w:autoSpaceDN w:val="0"/>
        <w:adjustRightInd w:val="0"/>
        <w:ind w:firstLine="709"/>
        <w:jc w:val="both"/>
        <w:rPr>
          <w:iCs/>
        </w:rPr>
      </w:pPr>
      <w:r w:rsidRPr="00064F9D">
        <w:rPr>
          <w:iCs/>
        </w:rPr>
        <w:t>2. für die Steuerjahre 2019 und folgende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und mit dem Verhältnis zwischen den Durchschnittswerten der Preisindexe der Jahre 2016 und 2012, geteilt wird.</w:t>
      </w:r>
    </w:p>
    <w:p w14:paraId="5B41CAFE" w14:textId="77777777" w:rsidR="00467B60" w:rsidRPr="00064F9D" w:rsidRDefault="00467B60" w:rsidP="00064F9D">
      <w:pPr>
        <w:autoSpaceDE w:val="0"/>
        <w:autoSpaceDN w:val="0"/>
        <w:adjustRightInd w:val="0"/>
        <w:ind w:firstLine="709"/>
        <w:jc w:val="both"/>
        <w:rPr>
          <w:iCs/>
        </w:rPr>
      </w:pPr>
    </w:p>
    <w:p w14:paraId="06155568" w14:textId="77777777" w:rsidR="00467B60" w:rsidRPr="00064F9D" w:rsidRDefault="00467B60" w:rsidP="00064F9D">
      <w:pPr>
        <w:autoSpaceDE w:val="0"/>
        <w:autoSpaceDN w:val="0"/>
        <w:adjustRightInd w:val="0"/>
        <w:ind w:firstLine="709"/>
        <w:jc w:val="both"/>
        <w:rPr>
          <w:iCs/>
        </w:rPr>
      </w:pPr>
      <w:r w:rsidRPr="00064F9D">
        <w:rPr>
          <w:iCs/>
        </w:rPr>
        <w:t>In Abweichung von Absatz 2 Nr. 3 werden die in Artikel 145</w:t>
      </w:r>
      <w:r w:rsidRPr="00064F9D">
        <w:rPr>
          <w:iCs/>
          <w:vertAlign w:val="superscript"/>
        </w:rPr>
        <w:t>8</w:t>
      </w:r>
      <w:r w:rsidRPr="00064F9D">
        <w:rPr>
          <w:iCs/>
        </w:rPr>
        <w:t xml:space="preserve"> § 1 Absatz 2 und 3 erwähnten Beträge für das Steuerjahr 2021 gemäß Absatz 3 Nr. 2 an den Verbraucher</w:t>
      </w:r>
      <w:r w:rsidRPr="00064F9D">
        <w:rPr>
          <w:iCs/>
        </w:rPr>
        <w:softHyphen/>
        <w:t>preisindex des Königreichs angepasst. Die so indexierten Beträge sind ebenfalls für die Steuerjahre 2022 bis 2024 anwendbar.]</w:t>
      </w:r>
    </w:p>
    <w:p w14:paraId="7B7A362B" w14:textId="77777777" w:rsidR="00467B60" w:rsidRPr="00064F9D" w:rsidRDefault="00467B60" w:rsidP="00064F9D">
      <w:pPr>
        <w:autoSpaceDE w:val="0"/>
        <w:autoSpaceDN w:val="0"/>
        <w:adjustRightInd w:val="0"/>
        <w:ind w:firstLine="709"/>
        <w:jc w:val="both"/>
        <w:rPr>
          <w:iCs/>
        </w:rPr>
      </w:pPr>
    </w:p>
    <w:p w14:paraId="1A7D0317" w14:textId="77777777" w:rsidR="00467B60" w:rsidRPr="00064F9D" w:rsidRDefault="00467B60" w:rsidP="00064F9D">
      <w:pPr>
        <w:autoSpaceDE w:val="0"/>
        <w:autoSpaceDN w:val="0"/>
        <w:adjustRightInd w:val="0"/>
        <w:ind w:firstLine="709"/>
        <w:jc w:val="both"/>
        <w:rPr>
          <w:iCs/>
        </w:rPr>
      </w:pPr>
      <w:r w:rsidRPr="00064F9D">
        <w:rPr>
          <w:iCs/>
        </w:rPr>
        <w:t xml:space="preserve">[§ 4] - [In Abweichung von § 2 Absatz 1 sind die [in Artikel 38 § 4] erwähnten Beträge an den Gesundheitsindex des Monats [Dezember 2021] gebunden. Die Beträge werden am </w:t>
      </w:r>
      <w:r w:rsidRPr="00064F9D">
        <w:rPr>
          <w:iCs/>
        </w:rPr>
        <w:lastRenderedPageBreak/>
        <w:t>1. Januar jeden Jahres gemäß folgender Formel angepasst: der Basisbetrag wird mit dem Gesundheitsindex des Monats September des Jahres vor dem Jahr, in dem der neue Betrag anwendbar sein wird, multipliziert und durch den Gesund</w:t>
      </w:r>
      <w:r w:rsidRPr="00064F9D">
        <w:rPr>
          <w:iCs/>
        </w:rPr>
        <w:softHyphen/>
        <w:t>heitsindex des Monats [Dezember 2021] geteilt.</w:t>
      </w:r>
    </w:p>
    <w:p w14:paraId="48EC3962" w14:textId="77777777" w:rsidR="00467B60" w:rsidRPr="00064F9D" w:rsidRDefault="00467B60" w:rsidP="00064F9D">
      <w:pPr>
        <w:autoSpaceDE w:val="0"/>
        <w:autoSpaceDN w:val="0"/>
        <w:adjustRightInd w:val="0"/>
        <w:ind w:firstLine="709"/>
        <w:jc w:val="both"/>
        <w:rPr>
          <w:iCs/>
        </w:rPr>
      </w:pPr>
    </w:p>
    <w:p w14:paraId="29624F00" w14:textId="77777777" w:rsidR="00467B60" w:rsidRPr="00064F9D" w:rsidRDefault="00467B60" w:rsidP="00064F9D">
      <w:pPr>
        <w:autoSpaceDE w:val="0"/>
        <w:autoSpaceDN w:val="0"/>
        <w:adjustRightInd w:val="0"/>
        <w:ind w:firstLine="709"/>
        <w:jc w:val="both"/>
        <w:rPr>
          <w:iCs/>
        </w:rPr>
      </w:pPr>
      <w:r w:rsidRPr="00064F9D">
        <w:rPr>
          <w:iCs/>
        </w:rPr>
        <w:t xml:space="preserve">Spätestens im Laufe des Monats Dezember jeden Jahres werden die für das folgende Kalenderjahr anwendbaren Beträge im </w:t>
      </w:r>
      <w:r w:rsidRPr="00064F9D">
        <w:rPr>
          <w:i/>
          <w:iCs/>
        </w:rPr>
        <w:t>Belgischen Staatsblatt</w:t>
      </w:r>
      <w:r w:rsidRPr="00064F9D">
        <w:rPr>
          <w:iCs/>
        </w:rPr>
        <w:t xml:space="preserve"> veröffentlicht. Der Föderale Öffentliche Dienst Finanzen teilt diese Information ebenfalls auf seiner Website mit.] </w:t>
      </w:r>
    </w:p>
    <w:p w14:paraId="3B7D8A24" w14:textId="77777777" w:rsidR="00467B60" w:rsidRPr="00064F9D" w:rsidRDefault="00467B60" w:rsidP="00064F9D">
      <w:pPr>
        <w:autoSpaceDE w:val="0"/>
        <w:autoSpaceDN w:val="0"/>
        <w:adjustRightInd w:val="0"/>
        <w:ind w:firstLine="709"/>
        <w:jc w:val="both"/>
        <w:rPr>
          <w:iCs/>
        </w:rPr>
      </w:pPr>
    </w:p>
    <w:p w14:paraId="5A296A6F" w14:textId="77777777" w:rsidR="00467B60" w:rsidRPr="00064F9D" w:rsidRDefault="00467B60" w:rsidP="00064F9D">
      <w:pPr>
        <w:autoSpaceDE w:val="0"/>
        <w:autoSpaceDN w:val="0"/>
        <w:adjustRightInd w:val="0"/>
        <w:ind w:firstLine="709"/>
        <w:jc w:val="both"/>
        <w:rPr>
          <w:iCs/>
        </w:rPr>
      </w:pPr>
      <w:r w:rsidRPr="00064F9D">
        <w:rPr>
          <w:iCs/>
        </w:rPr>
        <w:t>[§ 5 - [In Abweichung von § 1 werden folgende Beträge nicht indexiert:</w:t>
      </w:r>
    </w:p>
    <w:p w14:paraId="01E4F89F" w14:textId="77777777" w:rsidR="00467B60" w:rsidRPr="00064F9D" w:rsidRDefault="00467B60" w:rsidP="00064F9D">
      <w:pPr>
        <w:autoSpaceDE w:val="0"/>
        <w:autoSpaceDN w:val="0"/>
        <w:adjustRightInd w:val="0"/>
        <w:ind w:firstLine="709"/>
        <w:jc w:val="both"/>
        <w:rPr>
          <w:iCs/>
        </w:rPr>
      </w:pPr>
    </w:p>
    <w:p w14:paraId="4822AC80" w14:textId="0019BD80" w:rsidR="00467B60" w:rsidRPr="00064F9D" w:rsidRDefault="00467B60" w:rsidP="00064F9D">
      <w:pPr>
        <w:autoSpaceDE w:val="0"/>
        <w:autoSpaceDN w:val="0"/>
        <w:adjustRightInd w:val="0"/>
        <w:ind w:firstLine="709"/>
        <w:jc w:val="both"/>
        <w:rPr>
          <w:iCs/>
        </w:rPr>
      </w:pPr>
      <w:r w:rsidRPr="00064F9D">
        <w:rPr>
          <w:iCs/>
        </w:rPr>
        <w:t>1. die [in den Artikeln 38 § 1 Absatz 1 Nr. 29 und 38/1] erwähnten Beträge,</w:t>
      </w:r>
    </w:p>
    <w:p w14:paraId="754081F1" w14:textId="77777777" w:rsidR="00467B60" w:rsidRPr="00064F9D" w:rsidRDefault="00467B60" w:rsidP="00064F9D">
      <w:pPr>
        <w:autoSpaceDE w:val="0"/>
        <w:autoSpaceDN w:val="0"/>
        <w:adjustRightInd w:val="0"/>
        <w:ind w:firstLine="709"/>
        <w:jc w:val="both"/>
        <w:rPr>
          <w:iCs/>
        </w:rPr>
      </w:pPr>
    </w:p>
    <w:p w14:paraId="46C5EA6B" w14:textId="77777777" w:rsidR="00467B60" w:rsidRPr="00064F9D" w:rsidRDefault="00467B60" w:rsidP="00064F9D">
      <w:pPr>
        <w:autoSpaceDE w:val="0"/>
        <w:autoSpaceDN w:val="0"/>
        <w:adjustRightInd w:val="0"/>
        <w:ind w:firstLine="709"/>
        <w:jc w:val="both"/>
        <w:rPr>
          <w:iCs/>
        </w:rPr>
      </w:pPr>
      <w:r w:rsidRPr="00064F9D">
        <w:rPr>
          <w:iCs/>
        </w:rPr>
        <w:t>2. der in Artikel 53 Nr. 14 erwähnte Betrag,</w:t>
      </w:r>
    </w:p>
    <w:p w14:paraId="31BEEC0E" w14:textId="77777777" w:rsidR="00467B60" w:rsidRPr="00064F9D" w:rsidRDefault="00467B60" w:rsidP="00064F9D">
      <w:pPr>
        <w:autoSpaceDE w:val="0"/>
        <w:autoSpaceDN w:val="0"/>
        <w:adjustRightInd w:val="0"/>
        <w:ind w:firstLine="709"/>
        <w:jc w:val="both"/>
        <w:rPr>
          <w:iCs/>
        </w:rPr>
      </w:pPr>
    </w:p>
    <w:p w14:paraId="04729F1E" w14:textId="77777777" w:rsidR="00467B60" w:rsidRPr="00064F9D" w:rsidRDefault="00467B60" w:rsidP="00064F9D">
      <w:pPr>
        <w:autoSpaceDE w:val="0"/>
        <w:autoSpaceDN w:val="0"/>
        <w:adjustRightInd w:val="0"/>
        <w:ind w:firstLine="709"/>
        <w:jc w:val="both"/>
        <w:rPr>
          <w:iCs/>
        </w:rPr>
      </w:pPr>
      <w:r w:rsidRPr="00064F9D">
        <w:rPr>
          <w:iCs/>
        </w:rPr>
        <w:t>[2/1. der in Artikel 57 Absatz 4 erwähnte Betrag,]</w:t>
      </w:r>
    </w:p>
    <w:p w14:paraId="3C4F070F" w14:textId="77777777" w:rsidR="00467B60" w:rsidRPr="00064F9D" w:rsidRDefault="00467B60" w:rsidP="00064F9D">
      <w:pPr>
        <w:autoSpaceDE w:val="0"/>
        <w:autoSpaceDN w:val="0"/>
        <w:adjustRightInd w:val="0"/>
        <w:ind w:firstLine="709"/>
        <w:jc w:val="both"/>
        <w:rPr>
          <w:iCs/>
        </w:rPr>
      </w:pPr>
    </w:p>
    <w:p w14:paraId="3ECE9707" w14:textId="77777777" w:rsidR="00467B60" w:rsidRPr="00064F9D" w:rsidRDefault="00467B60" w:rsidP="00064F9D">
      <w:pPr>
        <w:autoSpaceDE w:val="0"/>
        <w:autoSpaceDN w:val="0"/>
        <w:adjustRightInd w:val="0"/>
        <w:ind w:firstLine="709"/>
        <w:jc w:val="both"/>
        <w:rPr>
          <w:iCs/>
        </w:rPr>
      </w:pPr>
      <w:r w:rsidRPr="00064F9D">
        <w:rPr>
          <w:iCs/>
        </w:rPr>
        <w:t>3. die in Artikel 67</w:t>
      </w:r>
      <w:r w:rsidRPr="00064F9D">
        <w:rPr>
          <w:i/>
          <w:iCs/>
        </w:rPr>
        <w:t>ter</w:t>
      </w:r>
      <w:r w:rsidRPr="00064F9D">
        <w:rPr>
          <w:iCs/>
        </w:rPr>
        <w:t xml:space="preserve"> § 1 erwähnten Beträge des Bruttotageslohns oder </w:t>
      </w:r>
      <w:r w:rsidRPr="00064F9D">
        <w:rPr>
          <w:iCs/>
        </w:rPr>
        <w:noBreakHyphen/>
        <w:t>stunden</w:t>
      </w:r>
      <w:r w:rsidRPr="00064F9D">
        <w:rPr>
          <w:iCs/>
        </w:rPr>
        <w:softHyphen/>
        <w:t>lohns,]]</w:t>
      </w:r>
    </w:p>
    <w:p w14:paraId="1684B373" w14:textId="77777777" w:rsidR="00467B60" w:rsidRPr="00064F9D" w:rsidRDefault="00467B60" w:rsidP="00064F9D">
      <w:pPr>
        <w:autoSpaceDE w:val="0"/>
        <w:autoSpaceDN w:val="0"/>
        <w:adjustRightInd w:val="0"/>
        <w:ind w:firstLine="709"/>
        <w:jc w:val="both"/>
        <w:rPr>
          <w:iCs/>
        </w:rPr>
      </w:pPr>
    </w:p>
    <w:p w14:paraId="7BE4F653" w14:textId="77777777" w:rsidR="00467B60" w:rsidRPr="00064F9D" w:rsidRDefault="00467B60" w:rsidP="00064F9D">
      <w:pPr>
        <w:autoSpaceDE w:val="0"/>
        <w:autoSpaceDN w:val="0"/>
        <w:adjustRightInd w:val="0"/>
        <w:ind w:firstLine="709"/>
        <w:jc w:val="both"/>
        <w:rPr>
          <w:iCs/>
        </w:rPr>
      </w:pPr>
      <w:r w:rsidRPr="00064F9D">
        <w:rPr>
          <w:iCs/>
        </w:rPr>
        <w:t>[3/1. der in Artikel 145 Absatz 2 erwähnte Betrag.]</w:t>
      </w:r>
    </w:p>
    <w:p w14:paraId="19CACD29" w14:textId="77777777" w:rsidR="00467B60" w:rsidRPr="00064F9D" w:rsidRDefault="00467B60" w:rsidP="00064F9D">
      <w:pPr>
        <w:autoSpaceDE w:val="0"/>
        <w:autoSpaceDN w:val="0"/>
        <w:adjustRightInd w:val="0"/>
        <w:ind w:firstLine="709"/>
        <w:jc w:val="both"/>
        <w:rPr>
          <w:iCs/>
        </w:rPr>
      </w:pPr>
    </w:p>
    <w:p w14:paraId="142D4CE1" w14:textId="77777777" w:rsidR="00467B60" w:rsidRPr="00064F9D" w:rsidRDefault="00467B60" w:rsidP="00064F9D">
      <w:pPr>
        <w:autoSpaceDE w:val="0"/>
        <w:autoSpaceDN w:val="0"/>
        <w:adjustRightInd w:val="0"/>
        <w:ind w:firstLine="709"/>
        <w:jc w:val="both"/>
        <w:rPr>
          <w:iCs/>
        </w:rPr>
      </w:pPr>
      <w:r w:rsidRPr="00064F9D">
        <w:rPr>
          <w:iCs/>
        </w:rPr>
        <w:t>[§ 6 - [In Abweichung von § 2 Absatz 1 ist der in Artikel 38 § 1 Absatz 1 Nr. 24 erwähnte Betrag an den Gesundheitsindex des Monats November 2012 (119,95) gebunden. Dieser Betrag wird am 1. Januar jeden Jahres gemäß folgender Formel angepasst: Der Basisbetrag wird mit dem Gesundheitsindex des Monats November des Jahres vor dem Jahr, in dem der neue Betrag anwendbar sein wird, multipliziert und durch den Gesundheitsindex des Monats November 2012 geteilt. Der so erhaltene Betrag wird auf den nächsthöheren Euro aufgerundet.]]</w:t>
      </w:r>
    </w:p>
    <w:p w14:paraId="28EB02F2" w14:textId="77777777" w:rsidR="00467B60" w:rsidRPr="00064F9D" w:rsidRDefault="00467B60" w:rsidP="00064F9D">
      <w:pPr>
        <w:autoSpaceDE w:val="0"/>
        <w:autoSpaceDN w:val="0"/>
        <w:adjustRightInd w:val="0"/>
        <w:ind w:firstLine="709"/>
        <w:jc w:val="both"/>
        <w:rPr>
          <w:iCs/>
        </w:rPr>
      </w:pPr>
    </w:p>
    <w:p w14:paraId="5ADCC206" w14:textId="77777777" w:rsidR="00467B60" w:rsidRPr="00064F9D" w:rsidRDefault="00467B60" w:rsidP="00064F9D">
      <w:pPr>
        <w:autoSpaceDE w:val="0"/>
        <w:autoSpaceDN w:val="0"/>
        <w:adjustRightInd w:val="0"/>
        <w:ind w:firstLine="709"/>
        <w:jc w:val="both"/>
        <w:rPr>
          <w:iCs/>
        </w:rPr>
      </w:pPr>
      <w:r w:rsidRPr="00064F9D">
        <w:rPr>
          <w:iCs/>
        </w:rPr>
        <w:t>[§ 7 - Mit Ausnahme für die in den Paragraphen 4 und 6 erwähnten Bestimmungen darf die Anwendung des vorliegenden Artikels nicht zu einem niedrigeren Betrag als der des vorhergehenden Jahres führen.]</w:t>
      </w:r>
    </w:p>
    <w:p w14:paraId="620C3E4A" w14:textId="77777777" w:rsidR="00467B60" w:rsidRPr="00064F9D" w:rsidRDefault="00467B60" w:rsidP="00064F9D">
      <w:pPr>
        <w:autoSpaceDE w:val="0"/>
        <w:autoSpaceDN w:val="0"/>
        <w:adjustRightInd w:val="0"/>
        <w:ind w:firstLine="709"/>
        <w:jc w:val="both"/>
        <w:rPr>
          <w:iCs/>
        </w:rPr>
      </w:pPr>
    </w:p>
    <w:p w14:paraId="0ABE7C1F" w14:textId="5CF93B16" w:rsidR="00467B60" w:rsidRPr="00064F9D" w:rsidRDefault="00467B60" w:rsidP="00064F9D">
      <w:pPr>
        <w:autoSpaceDE w:val="0"/>
        <w:autoSpaceDN w:val="0"/>
        <w:adjustRightInd w:val="0"/>
        <w:jc w:val="both"/>
      </w:pPr>
      <w:r w:rsidRPr="00064F9D">
        <w:rPr>
          <w:i/>
          <w:iCs/>
        </w:rPr>
        <w:t xml:space="preserve">[Art. 178 § 1 ergänzt durch Art. 5 Nr. 1 des G. vom 28. Dezember 1992 (B.S. vom 31. Dezember 1992) und abgeändert durch Art. 4 des K.E. vom 13. Juli 2001 (B.S. vom 11. August 2001) - in Kraft ab dem Steuerjahr 2002 -; § 2 Abs. 3 ersetzt durch Art. 4 Nr. 5 des K.E. vom 20. Juli 2000 (II) (B.S. vom 30. August 2000) - in Kraft ab dem Steuerjahr 2002 -, selbst abgeändert durch Art. 42 Nr. 3 des K.E. vom 13. Juli 2001 (B.S. vom 11. August 2001) - in Kraft ab dem 1. Januar 2002 -, und abgeändert durch Art. 28 des G. vom 27. März 2009 (B.S. vom 7. April 2009) - anwendbar ab dem Steuerjahr 2010 -, Art. 106 Nr. 1 und 2 des G. vom 25. Dezember 2017 (IV) (B.S. vom 29. Dezember 2017) - anwendbar auf die ab dem 1. Januar 2018 gezahlten oder zuerkannten Einkünfte -, Art. 18 Nr. 1 des G. vom 23. März 2019 (B.S. vom 5. April 2019) - anwendbar ab dem Steuerjahr 2020 -, Art. 12 des G. vom 28. April 2019 (B.S. vom 6. Mai 2019) - anwendbar auf die ab dem 1. Januar 2018 gezahlten oder bewilligten Entschädigungen - Art. 9 Nr. 1 und 2 des G. vom 20. Dezember 2020 (I) (B.S. vom 30. Dezember 2020) - in Kraft am 30. Dezember 2020 und anwendbar ab dem Steuerjahr 2021 - und Art. 15 Nr. 1 und 2 des G. vom 22. Dezember 2023 (I) (B.S. vom 29. Dezember 2023) - in Kraft am 31. Dezember 2023 und anwendbar ab dem Besteuerungszeitraum, der ab dem 1. Januar 2024 beginnt -; neuer Paragraph 3 eingefügt durch Art. 5 Nr. 2 des G. vom 28. Dezember 1992 (B.S. vom </w:t>
      </w:r>
      <w:r w:rsidRPr="00064F9D">
        <w:rPr>
          <w:i/>
          <w:iCs/>
        </w:rPr>
        <w:lastRenderedPageBreak/>
        <w:t>31. Dezember 1992); § 3 Abs. 1 (früherer einziger Absatz) einleitende Bestimmung ersetzt durch Art. 6 des G. vom 21. Juni 2002 (B.S. vom 20. Juli 2002) - in Kraft ab dem Steuerjahr 2002 - und abgeändert durch Art. 152 des G. vom 26. Dezember 2015 (II) (B.S. vom 30. Dezember 2015) - in Kraft ab dem Steuerjahr 2017 -, Art. 15 des G. vom 5. Juli 2022 (B.S. vom 15. Juli 2022) und Art. 26 des G. vom 22. Dezember 2023 (I) (B.S. vom 29. Dezember 2023) - in Kraft am 31. Dezember 2023 und anwendbar ab dem Steuerjahr 202</w:t>
      </w:r>
      <w:r w:rsidR="00CE2801" w:rsidRPr="00064F9D">
        <w:rPr>
          <w:i/>
          <w:iCs/>
        </w:rPr>
        <w:t>4</w:t>
      </w:r>
      <w:r w:rsidRPr="00064F9D">
        <w:rPr>
          <w:i/>
          <w:iCs/>
        </w:rPr>
        <w:t> -; § 3 Abs. 1 Nr. 1 abgeändert durch Art. 20 Nr. 1 des K.E. vom 20. Dezember 1996 (B.S. vom 31. Dezember 1996); § 3 Abs. 1 Nr. 2 abgeändert durch Art. 20 Nr. 2 des K.E. vom 20. Dezember 1996 (B.S. vom 31. Dezember 1996); § 3 Abs. 2 eingefügt durch Art. 6 des G. vom 19. Dezember 2014 (B.S. vom 29. Dezember 2014) - anwendbar ab dem Steuerjahr 2015 -; § 3 Abs. 2 einleitende Bestimmung abgeändert durch Art. 5 des G. vom 11. März 2018 (B.S. vom 23. März 2018) - anwendbar ab dem Steuerjahr 2019 -, Art. 18 Nr. 2 des G. vom 23. März 2019 (B.S. vom 5. April 2019) - anwendbar ab dem Steuerjahr 2020 -, Art. 17 des G. vom 22. April 2019 (I) (B.S. vom 8. Mai 2019) - anwendbar ab dem Steuerjahr 2020 auf die ab dem 1. September 2019 gezahlten Prämien - und Art. 2 Buchstabe a) des G. vom 20. Dezember 2020 (I) (B.S. vom 30. Dezember 2020) - in Kraft am 30. Dezember 2020 und anwendbar ab dem Steuerjahr 2021 -; § 3 Abs. 2 Nr. 2 abgeändert durch Art. 2 Buchstabe b) des G. vom 20. Dezember 2020 (I) (B.S. vom 30. Dezember 2020) - in Kraft am 30. Dezem</w:t>
      </w:r>
      <w:r w:rsidRPr="00064F9D">
        <w:rPr>
          <w:i/>
          <w:iCs/>
        </w:rPr>
        <w:softHyphen/>
        <w:t xml:space="preserve">ber 2020 und anwendbar ab dem Steuerjahr 2021 -; § 3 Abs. 2 Nr. 3 und 4 eingefügt durch Art. 2 Buchstabe e) des G. vom 20. Dezember 2020 (I) (B.S. vom 30. Dezember 2020) - in Kraft am 30. Dezember 2020 und anwendbar ab dem Steuerjahr 2021 -; § 3 Abs. 3 eingefügt durch Art. 2 Buchstabe f) des G. vom 20. Dezember 2020 (I) (B.S. vom 30. Dezember 2020) - in Kraft am 30. Dezember 2020 und anwendbar ab dem Steuerjahr 2021 - und abgeändert durch Art. 8 des G. vom 17. März 2022 (B.S. vom 25. März 2022) - anwendbar ab dem Steuerjahr 2023 -, selbst widerrufen durch Art. 67 des G. vom 5. Juli 2022 (B.S. vom 15. Juli 2022) - in Kraft am 1. Januar 2022 -; § 3 Abs. 4 eingefügt durch Art. 2 Buchstabe f) des G. vom 20. Dezember 2020 (I) (B.S. vom 30. Dezember 2020) - in Kraft am 30. Dezember 2020 und anwendbar ab dem Steuerjahr 2021 -; früherer Paragraph 3 umnummeriert zu § 4 durch Art. 5 Nr. 2 des G. vom 28. Dezember 1992 (B.S. vom 31. Dezember 1992), aufgehoben durch Art. 403 des G. vom 27. Dezember 2004 (B.S. vom 31. Dezember 2004) - in Kraft ab dem Steuerjahr 2006 - und wieder aufgenommen durch Art. 4 des G. vom 25. April 2007 (III) (B.S. vom 10. Mai 2007) - anwendbar auf die ab dem 1. Januar 2007 bewilligten pauschalen Kostenvergütungen -; § 4 Abs. 1 abgeändert durch Art. 4 Nr. 1 und 2 des G. vom 31. Juli 2023 (I) (B.S. vom 23. August 2023) - in Kraft am 1. Januar 2024 und anwendbar auf Vergütungen, die für Leistungen gezahlt oder zuerkannt werden, die ab diesem Datum erbracht werden -; § 5 eingefügt durch Art. 62 des G. vom 8. Juni 2008 (B.S. vom 16. Juni 2008) - wirksam mit 1. Januar 2008 - und ersetzt durch Art. 30 des G. vom 22. Dezember 2009 (I) (B.S. vom 31. Dezember 2009) - anwendbar ab dem </w:t>
      </w:r>
      <w:r w:rsidRPr="00064F9D">
        <w:rPr>
          <w:rFonts w:ascii="Times New Roman Italique" w:hAnsi="Times New Roman Italique"/>
          <w:i/>
          <w:iCs/>
          <w:spacing w:val="-2"/>
        </w:rPr>
        <w:t>Steuerjahr 2010 -; § 5 einziger Absatz Nr. 1 abgeändert durch Art. 10 des G. vom 22. Dezember 2023 (II) (B.S. vom 29. Dezember 2023) - anwendbar ab dem Steuerjahr 2025 -; § 5 einziger Absatz Nr. 2/1 eingefügt durch Art. 126</w:t>
      </w:r>
      <w:r w:rsidRPr="00064F9D">
        <w:rPr>
          <w:rFonts w:ascii="Times New Roman Italique" w:hAnsi="Times New Roman Italique"/>
          <w:bCs/>
          <w:i/>
          <w:iCs/>
          <w:spacing w:val="-2"/>
        </w:rPr>
        <w:t xml:space="preserve"> des G. vom 21. Januar 2022 (B.S. vom 28. Januar 2022); </w:t>
      </w:r>
      <w:r w:rsidRPr="00064F9D">
        <w:rPr>
          <w:rFonts w:ascii="Times New Roman Italique" w:hAnsi="Times New Roman Italique"/>
          <w:i/>
          <w:iCs/>
          <w:spacing w:val="-2"/>
        </w:rPr>
        <w:t>§ 5 einziger Absatz Nr. 3/1 eingefügt durch Art.</w:t>
      </w:r>
      <w:r w:rsidRPr="00064F9D">
        <w:rPr>
          <w:i/>
          <w:iCs/>
        </w:rPr>
        <w:t> 10 des G. vom 18. Dezember 2016 (II) (/B.S. vom 30. Dezember 2016) - anwendbar ab dem Steuerjahr 2018 -; § 6 eingefügt durch Art. 133 des G. (I) vom 22. Dezember 2008 (II) (B.S. vom 29. Dezember 2008) - anwendbar auf die ab dem 1. Januar 2008 gezahlten oder zuerkannten Vorteile - und ersetzt durch Art. 41 des G. vom 30. Juli 2013 (B.S. vom 1. August 2013) - anwendbar auf die ab dem 1. Januar 2013 gezahlten oder zuerkannten Vorteile -; § 7 eingefügt durch Art. 4 des G. vom 21. Dezember 2009 (B.S. vom 31. Dezember 2009) - in Kraft am 1. Januar 2010 -]</w:t>
      </w:r>
    </w:p>
    <w:p w14:paraId="3A0B9ED7" w14:textId="48AC5F91" w:rsidR="00467B60" w:rsidRPr="00064F9D" w:rsidRDefault="00467B60" w:rsidP="00064F9D">
      <w:pPr>
        <w:autoSpaceDE w:val="0"/>
        <w:autoSpaceDN w:val="0"/>
        <w:adjustRightInd w:val="0"/>
        <w:ind w:firstLine="709"/>
        <w:jc w:val="both"/>
        <w:rPr>
          <w:iCs/>
        </w:rPr>
      </w:pPr>
    </w:p>
    <w:p w14:paraId="0B91A193" w14:textId="08FF97E8" w:rsidR="00E77E60" w:rsidRPr="00064F9D" w:rsidRDefault="00E77E60" w:rsidP="00064F9D">
      <w:pPr>
        <w:ind w:firstLine="709"/>
        <w:rPr>
          <w:iCs/>
        </w:rPr>
      </w:pPr>
    </w:p>
    <w:p w14:paraId="2F531FBB" w14:textId="21BA851E" w:rsidR="002F4119" w:rsidRPr="009118AB" w:rsidRDefault="002F4119" w:rsidP="002F4119">
      <w:pPr>
        <w:autoSpaceDE w:val="0"/>
        <w:autoSpaceDN w:val="0"/>
        <w:adjustRightInd w:val="0"/>
        <w:jc w:val="both"/>
        <w:rPr>
          <w:sz w:val="20"/>
        </w:rPr>
      </w:pPr>
      <w:r w:rsidRPr="009118AB">
        <w:rPr>
          <w:iCs/>
          <w:sz w:val="20"/>
          <w:szCs w:val="20"/>
        </w:rPr>
        <w:t>Ab dem Steuerjahr 2028 (gemäß Art. 71 Abs. 18</w:t>
      </w:r>
      <w:r w:rsidRPr="009118AB">
        <w:rPr>
          <w:i/>
          <w:iCs/>
          <w:sz w:val="20"/>
        </w:rPr>
        <w:t xml:space="preserve"> </w:t>
      </w:r>
      <w:r w:rsidRPr="009118AB">
        <w:rPr>
          <w:sz w:val="20"/>
        </w:rPr>
        <w:t>des G. vom 5. Juli 2022 (B.S. vom 15. Juli 2022)) lautet Art. 178 wie folgt:</w:t>
      </w:r>
    </w:p>
    <w:p w14:paraId="22F5027B" w14:textId="77777777" w:rsidR="002F4119" w:rsidRPr="009118AB" w:rsidRDefault="002F4119" w:rsidP="002F4119">
      <w:pPr>
        <w:autoSpaceDE w:val="0"/>
        <w:autoSpaceDN w:val="0"/>
        <w:adjustRightInd w:val="0"/>
        <w:jc w:val="both"/>
        <w:rPr>
          <w:sz w:val="20"/>
        </w:rPr>
      </w:pPr>
    </w:p>
    <w:p w14:paraId="5C440E12" w14:textId="5DADA63A" w:rsidR="002F4119" w:rsidRPr="009118AB" w:rsidRDefault="002F4119" w:rsidP="002F4119">
      <w:pPr>
        <w:autoSpaceDE w:val="0"/>
        <w:autoSpaceDN w:val="0"/>
        <w:adjustRightInd w:val="0"/>
        <w:jc w:val="both"/>
        <w:rPr>
          <w:sz w:val="20"/>
        </w:rPr>
      </w:pPr>
      <w:r w:rsidRPr="009118AB">
        <w:rPr>
          <w:sz w:val="20"/>
        </w:rPr>
        <w:t xml:space="preserve">"Art. 178 - § 1 - Beträge, die in vorliegendem Titel und in den diesbezüglichen besonderen Gesetzesbestimmungen [auf Euro] lauten, werden in Bezug auf die Einkommensgrenzen und </w:t>
      </w:r>
      <w:r w:rsidRPr="009118AB">
        <w:rPr>
          <w:sz w:val="20"/>
        </w:rPr>
        <w:noBreakHyphen/>
        <w:t>teilbeträge, Steuerbefreiungen, Ermäßigungen, Abzüge und deren Grenzen oder Einschränkungen jährlich und gleichzeitig an den Verbraucherpreisindex des Königreichs angepasst [unbeschadet jedoch der Anwendung der Bestimmungen von § 3].</w:t>
      </w:r>
    </w:p>
    <w:p w14:paraId="39DCC24C" w14:textId="77777777" w:rsidR="002F4119" w:rsidRPr="009118AB" w:rsidRDefault="002F4119" w:rsidP="002F4119">
      <w:pPr>
        <w:autoSpaceDE w:val="0"/>
        <w:autoSpaceDN w:val="0"/>
        <w:adjustRightInd w:val="0"/>
        <w:jc w:val="both"/>
        <w:rPr>
          <w:sz w:val="20"/>
        </w:rPr>
      </w:pPr>
    </w:p>
    <w:p w14:paraId="6516BDD1" w14:textId="77777777" w:rsidR="002F4119" w:rsidRPr="009118AB" w:rsidRDefault="002F4119" w:rsidP="002F4119">
      <w:pPr>
        <w:autoSpaceDE w:val="0"/>
        <w:autoSpaceDN w:val="0"/>
        <w:adjustRightInd w:val="0"/>
        <w:jc w:val="both"/>
        <w:rPr>
          <w:sz w:val="20"/>
        </w:rPr>
      </w:pPr>
      <w:r w:rsidRPr="009118AB">
        <w:rPr>
          <w:sz w:val="20"/>
        </w:rPr>
        <w:t>§ 2 - Die Anpassung wird mit dem Koeffizienten durchgeführt, der erhalten wird, indem der Durchschnittswert der Preisindexe des Jahres vor dem Jahr der Einkünfte durch den Durchschnittswert der Preisindexe des Jahres 1988 geteilt wird.</w:t>
      </w:r>
    </w:p>
    <w:p w14:paraId="347CDD75" w14:textId="77777777" w:rsidR="002F4119" w:rsidRPr="009118AB" w:rsidRDefault="002F4119" w:rsidP="002F4119">
      <w:pPr>
        <w:autoSpaceDE w:val="0"/>
        <w:autoSpaceDN w:val="0"/>
        <w:adjustRightInd w:val="0"/>
        <w:jc w:val="both"/>
        <w:rPr>
          <w:sz w:val="20"/>
        </w:rPr>
      </w:pPr>
    </w:p>
    <w:p w14:paraId="3548A5E0" w14:textId="77777777" w:rsidR="002F4119" w:rsidRPr="009118AB" w:rsidRDefault="002F4119" w:rsidP="002F4119">
      <w:pPr>
        <w:autoSpaceDE w:val="0"/>
        <w:autoSpaceDN w:val="0"/>
        <w:adjustRightInd w:val="0"/>
        <w:jc w:val="both"/>
        <w:rPr>
          <w:sz w:val="20"/>
        </w:rPr>
      </w:pPr>
      <w:r w:rsidRPr="009118AB">
        <w:rPr>
          <w:sz w:val="20"/>
        </w:rPr>
        <w:t>Bei der Berechnung des Koeffizienten wird auf folgende Weise abgerundet:</w:t>
      </w:r>
    </w:p>
    <w:p w14:paraId="3F104A15" w14:textId="77777777" w:rsidR="002F4119" w:rsidRPr="009118AB" w:rsidRDefault="002F4119" w:rsidP="002F4119">
      <w:pPr>
        <w:autoSpaceDE w:val="0"/>
        <w:autoSpaceDN w:val="0"/>
        <w:adjustRightInd w:val="0"/>
        <w:jc w:val="both"/>
        <w:rPr>
          <w:sz w:val="20"/>
        </w:rPr>
      </w:pPr>
    </w:p>
    <w:p w14:paraId="6EF6DAF2" w14:textId="77777777" w:rsidR="002F4119" w:rsidRPr="009118AB" w:rsidRDefault="002F4119" w:rsidP="002F4119">
      <w:pPr>
        <w:autoSpaceDE w:val="0"/>
        <w:autoSpaceDN w:val="0"/>
        <w:adjustRightInd w:val="0"/>
        <w:jc w:val="both"/>
        <w:rPr>
          <w:sz w:val="20"/>
        </w:rPr>
      </w:pPr>
      <w:r w:rsidRPr="009118AB">
        <w:rPr>
          <w:sz w:val="20"/>
        </w:rPr>
        <w:t>1. Der Durchschnittswert der Preisindexe wird auf das größere oder kleinere Hundertstel eines Punktes abgerundet, je nachdem ob die Ziffer der Tausendstel eines Punktes 5 erreicht oder nicht.</w:t>
      </w:r>
    </w:p>
    <w:p w14:paraId="0F3A7585" w14:textId="77777777" w:rsidR="002F4119" w:rsidRPr="009118AB" w:rsidRDefault="002F4119" w:rsidP="002F4119">
      <w:pPr>
        <w:autoSpaceDE w:val="0"/>
        <w:autoSpaceDN w:val="0"/>
        <w:adjustRightInd w:val="0"/>
        <w:jc w:val="both"/>
        <w:rPr>
          <w:sz w:val="20"/>
        </w:rPr>
      </w:pPr>
    </w:p>
    <w:p w14:paraId="50BB2FAE" w14:textId="77777777" w:rsidR="002F4119" w:rsidRPr="009118AB" w:rsidRDefault="002F4119" w:rsidP="002F4119">
      <w:pPr>
        <w:autoSpaceDE w:val="0"/>
        <w:autoSpaceDN w:val="0"/>
        <w:adjustRightInd w:val="0"/>
        <w:jc w:val="both"/>
        <w:rPr>
          <w:sz w:val="20"/>
        </w:rPr>
      </w:pPr>
      <w:r w:rsidRPr="009118AB">
        <w:rPr>
          <w:sz w:val="20"/>
        </w:rPr>
        <w:t>2. Der Koeffizient wird auf das größere oder kleinere Zehntausendstel abgerundet, je nachdem ob die Ziffer der Hunderttausendstel 5 erreicht oder nicht.</w:t>
      </w:r>
    </w:p>
    <w:p w14:paraId="3821012D" w14:textId="77777777" w:rsidR="002F4119" w:rsidRPr="009118AB" w:rsidRDefault="002F4119" w:rsidP="002F4119">
      <w:pPr>
        <w:autoSpaceDE w:val="0"/>
        <w:autoSpaceDN w:val="0"/>
        <w:adjustRightInd w:val="0"/>
        <w:jc w:val="both"/>
        <w:rPr>
          <w:sz w:val="20"/>
        </w:rPr>
      </w:pPr>
    </w:p>
    <w:p w14:paraId="2AC91B0C" w14:textId="77777777" w:rsidR="004F265C" w:rsidRPr="009118AB" w:rsidRDefault="004F265C" w:rsidP="004F265C">
      <w:pPr>
        <w:autoSpaceDE w:val="0"/>
        <w:autoSpaceDN w:val="0"/>
        <w:adjustRightInd w:val="0"/>
        <w:jc w:val="both"/>
        <w:rPr>
          <w:sz w:val="20"/>
        </w:rPr>
      </w:pPr>
      <w:r w:rsidRPr="009118AB">
        <w:rPr>
          <w:sz w:val="20"/>
        </w:rPr>
        <w:t>[Nach Anwendung des Koeffizienten werden die Beträge [mit Ausnahme der in den Artikeln 21 Absatz 1 Nr. 14, [38 § 1 Absatz 1 Nr. 14 Buchstabe </w:t>
      </w:r>
      <w:r w:rsidRPr="009118AB">
        <w:rPr>
          <w:i/>
          <w:iCs/>
          <w:sz w:val="20"/>
        </w:rPr>
        <w:t>a)</w:t>
      </w:r>
      <w:r w:rsidRPr="009118AB">
        <w:rPr>
          <w:sz w:val="20"/>
        </w:rPr>
        <w:t>]</w:t>
      </w:r>
      <w:r w:rsidRPr="009118AB">
        <w:rPr>
          <w:iCs/>
          <w:sz w:val="20"/>
        </w:rPr>
        <w:t>[[</w:t>
      </w:r>
      <w:r w:rsidRPr="009118AB">
        <w:rPr>
          <w:sz w:val="20"/>
        </w:rPr>
        <w:t>, 66</w:t>
      </w:r>
      <w:r w:rsidRPr="009118AB">
        <w:rPr>
          <w:i/>
          <w:iCs/>
          <w:sz w:val="20"/>
        </w:rPr>
        <w:t>bis</w:t>
      </w:r>
      <w:r w:rsidRPr="009118AB">
        <w:rPr>
          <w:sz w:val="20"/>
        </w:rPr>
        <w:t xml:space="preserve"> Absatz 3 und 145</w:t>
      </w:r>
      <w:r w:rsidRPr="009118AB">
        <w:rPr>
          <w:sz w:val="20"/>
          <w:vertAlign w:val="superscript"/>
        </w:rPr>
        <w:t>35</w:t>
      </w:r>
      <w:r w:rsidRPr="009118AB">
        <w:rPr>
          <w:sz w:val="20"/>
        </w:rPr>
        <w:t xml:space="preserve"> Absatz 6 erwähnten Beträge] und der in Artikel 147 erwähnten Beträge der Ermäßigungen]] auf das größere oder kleinere Vielfache von 10 EUR abgerundet, je nachdem ob die Ziffer der Einer 5 erreicht oder nicht. In [den Artikeln 38 § 1 Absatz 1 Nr. 14 Buchstabe </w:t>
      </w:r>
      <w:r w:rsidRPr="009118AB">
        <w:rPr>
          <w:i/>
          <w:sz w:val="20"/>
        </w:rPr>
        <w:t>a)</w:t>
      </w:r>
      <w:r w:rsidRPr="009118AB">
        <w:rPr>
          <w:sz w:val="20"/>
        </w:rPr>
        <w:t xml:space="preserve"> [und 66</w:t>
      </w:r>
      <w:r w:rsidRPr="009118AB">
        <w:rPr>
          <w:i/>
          <w:iCs/>
          <w:sz w:val="20"/>
        </w:rPr>
        <w:t>bis</w:t>
      </w:r>
      <w:r w:rsidRPr="009118AB">
        <w:rPr>
          <w:sz w:val="20"/>
        </w:rPr>
        <w:t xml:space="preserve"> Absatz 3 erwähnte Beträge und die in Artikel 147 erwähnten Beträge der Ermäßigungen]] werden auf den höheren oder niedrigeren Cent abgerundet, je nachdem ob die Ziffer der Tausendstel 5 erreicht oder nicht.] [Der in Artikel 145</w:t>
      </w:r>
      <w:r w:rsidRPr="009118AB">
        <w:rPr>
          <w:sz w:val="20"/>
          <w:vertAlign w:val="superscript"/>
        </w:rPr>
        <w:t>35</w:t>
      </w:r>
      <w:r w:rsidRPr="009118AB">
        <w:rPr>
          <w:sz w:val="20"/>
        </w:rPr>
        <w:t xml:space="preserve"> Absatz 6 erwähnte Betrag wird auf das höhere oder niedrigere Vielfache von 10 Cent abgerundet, je nachdem ob die Ziffer der Hundertstel 5 erreicht oder nicht.] [Der in Artikel 21 Absatz 1 Nr. 14 erwähnte Betrag wird auf den höheren oder niedrigeren Euro abgerundet, je nachdem ob die Ziffer der Centime 50 erreicht oder nicht.]</w:t>
      </w:r>
    </w:p>
    <w:p w14:paraId="059A6472" w14:textId="77777777" w:rsidR="002F4119" w:rsidRPr="009118AB" w:rsidRDefault="002F4119" w:rsidP="002F4119">
      <w:pPr>
        <w:autoSpaceDE w:val="0"/>
        <w:autoSpaceDN w:val="0"/>
        <w:adjustRightInd w:val="0"/>
        <w:jc w:val="both"/>
        <w:rPr>
          <w:sz w:val="20"/>
        </w:rPr>
      </w:pPr>
    </w:p>
    <w:p w14:paraId="0F0C16E6" w14:textId="292F39C8" w:rsidR="002F4119" w:rsidRPr="009118AB" w:rsidRDefault="002F4119" w:rsidP="002F4119">
      <w:pPr>
        <w:autoSpaceDE w:val="0"/>
        <w:autoSpaceDN w:val="0"/>
        <w:adjustRightInd w:val="0"/>
        <w:jc w:val="both"/>
        <w:rPr>
          <w:sz w:val="20"/>
        </w:rPr>
      </w:pPr>
      <w:r w:rsidRPr="009118AB">
        <w:rPr>
          <w:sz w:val="20"/>
        </w:rPr>
        <w:t xml:space="preserve">[§ 3 - [In Abweichung von § 2 Absatz 1 wird außer in Bezug auf die [in den Artikeln 131 bis 133, [134 §§ 3 und 4]], 136 </w:t>
      </w:r>
      <w:r w:rsidR="00E77E60">
        <w:rPr>
          <w:sz w:val="20"/>
        </w:rPr>
        <w:t>[</w:t>
      </w:r>
      <w:r w:rsidRPr="009118AB">
        <w:rPr>
          <w:sz w:val="20"/>
        </w:rPr>
        <w:t>und 14</w:t>
      </w:r>
      <w:r w:rsidR="00E77E60">
        <w:rPr>
          <w:sz w:val="20"/>
        </w:rPr>
        <w:t>1</w:t>
      </w:r>
      <w:r w:rsidRPr="009118AB">
        <w:rPr>
          <w:sz w:val="20"/>
        </w:rPr>
        <w:t xml:space="preserve"> bis 143</w:t>
      </w:r>
      <w:r w:rsidR="00E77E60">
        <w:rPr>
          <w:sz w:val="20"/>
        </w:rPr>
        <w:t>]</w:t>
      </w:r>
      <w:r w:rsidRPr="009118AB">
        <w:rPr>
          <w:sz w:val="20"/>
        </w:rPr>
        <w:t xml:space="preserve"> erwähnten Beträge die Anpassung durchgeführt:]</w:t>
      </w:r>
    </w:p>
    <w:p w14:paraId="5DD732D8" w14:textId="77777777" w:rsidR="002F4119" w:rsidRPr="009118AB" w:rsidRDefault="002F4119" w:rsidP="002F4119">
      <w:pPr>
        <w:autoSpaceDE w:val="0"/>
        <w:autoSpaceDN w:val="0"/>
        <w:adjustRightInd w:val="0"/>
        <w:jc w:val="both"/>
        <w:rPr>
          <w:sz w:val="20"/>
        </w:rPr>
      </w:pPr>
    </w:p>
    <w:p w14:paraId="23C678A3" w14:textId="77777777" w:rsidR="002F4119" w:rsidRPr="009118AB" w:rsidRDefault="002F4119" w:rsidP="002F4119">
      <w:pPr>
        <w:autoSpaceDE w:val="0"/>
        <w:autoSpaceDN w:val="0"/>
        <w:adjustRightInd w:val="0"/>
        <w:jc w:val="both"/>
        <w:rPr>
          <w:sz w:val="20"/>
        </w:rPr>
      </w:pPr>
      <w:r w:rsidRPr="009118AB">
        <w:rPr>
          <w:sz w:val="20"/>
        </w:rPr>
        <w:t>1. für die [Steuerjahre 1994 bis 1999] mit dem Koeffizienten, der erhalten wird, indem der Durchschnittswert der Preisindexe des Jahres 1991 durch den Durchschnittswert der Preisindexe des Jahres 1988 geteilt wird,</w:t>
      </w:r>
    </w:p>
    <w:p w14:paraId="100EDBD6" w14:textId="77777777" w:rsidR="002F4119" w:rsidRPr="009118AB" w:rsidRDefault="002F4119" w:rsidP="002F4119">
      <w:pPr>
        <w:autoSpaceDE w:val="0"/>
        <w:autoSpaceDN w:val="0"/>
        <w:adjustRightInd w:val="0"/>
        <w:jc w:val="both"/>
        <w:rPr>
          <w:sz w:val="20"/>
        </w:rPr>
      </w:pPr>
    </w:p>
    <w:p w14:paraId="25145352" w14:textId="77777777" w:rsidR="002F4119" w:rsidRPr="009118AB" w:rsidRDefault="002F4119" w:rsidP="002F4119">
      <w:pPr>
        <w:autoSpaceDE w:val="0"/>
        <w:autoSpaceDN w:val="0"/>
        <w:adjustRightInd w:val="0"/>
        <w:jc w:val="both"/>
        <w:rPr>
          <w:sz w:val="20"/>
        </w:rPr>
      </w:pPr>
      <w:r w:rsidRPr="009118AB">
        <w:rPr>
          <w:sz w:val="20"/>
        </w:rPr>
        <w:t>2. für die [Steuerjahre 2000 und folgende]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geteilt wird.]</w:t>
      </w:r>
    </w:p>
    <w:p w14:paraId="17CD3B92" w14:textId="77777777" w:rsidR="002F4119" w:rsidRPr="009118AB" w:rsidRDefault="002F4119" w:rsidP="002F4119">
      <w:pPr>
        <w:autoSpaceDE w:val="0"/>
        <w:autoSpaceDN w:val="0"/>
        <w:adjustRightInd w:val="0"/>
        <w:jc w:val="both"/>
        <w:rPr>
          <w:sz w:val="20"/>
        </w:rPr>
      </w:pPr>
    </w:p>
    <w:p w14:paraId="53F2DE43" w14:textId="77777777" w:rsidR="002F4119" w:rsidRPr="009118AB" w:rsidRDefault="002F4119" w:rsidP="002F4119">
      <w:pPr>
        <w:autoSpaceDE w:val="0"/>
        <w:autoSpaceDN w:val="0"/>
        <w:adjustRightInd w:val="0"/>
        <w:jc w:val="both"/>
        <w:rPr>
          <w:sz w:val="20"/>
        </w:rPr>
      </w:pPr>
      <w:r w:rsidRPr="009118AB">
        <w:rPr>
          <w:sz w:val="20"/>
        </w:rPr>
        <w:t>[In Abweichung von Absatz 1 Nr. 2 wird in Bezug auf die in den Artikeln 21, 145</w:t>
      </w:r>
      <w:r w:rsidRPr="009118AB">
        <w:rPr>
          <w:sz w:val="20"/>
          <w:vertAlign w:val="superscript"/>
        </w:rPr>
        <w:t>6</w:t>
      </w:r>
      <w:r w:rsidRPr="009118AB">
        <w:rPr>
          <w:sz w:val="20"/>
        </w:rPr>
        <w:t xml:space="preserve"> bis 145</w:t>
      </w:r>
      <w:r w:rsidRPr="009118AB">
        <w:rPr>
          <w:sz w:val="20"/>
          <w:vertAlign w:val="superscript"/>
        </w:rPr>
        <w:t>8</w:t>
      </w:r>
      <w:r w:rsidRPr="009118AB">
        <w:rPr>
          <w:sz w:val="20"/>
        </w:rPr>
        <w:t>, 145</w:t>
      </w:r>
      <w:r w:rsidRPr="009118AB">
        <w:rPr>
          <w:sz w:val="20"/>
          <w:vertAlign w:val="superscript"/>
        </w:rPr>
        <w:t>24</w:t>
      </w:r>
      <w:r w:rsidRPr="009118AB">
        <w:rPr>
          <w:sz w:val="20"/>
        </w:rPr>
        <w:t xml:space="preserve"> § 1, 145</w:t>
      </w:r>
      <w:r w:rsidRPr="009118AB">
        <w:rPr>
          <w:sz w:val="20"/>
          <w:vertAlign w:val="superscript"/>
        </w:rPr>
        <w:t>28</w:t>
      </w:r>
      <w:r w:rsidRPr="009118AB">
        <w:rPr>
          <w:sz w:val="20"/>
        </w:rPr>
        <w:t>, 145</w:t>
      </w:r>
      <w:r w:rsidRPr="009118AB">
        <w:rPr>
          <w:sz w:val="20"/>
          <w:vertAlign w:val="superscript"/>
        </w:rPr>
        <w:t>32</w:t>
      </w:r>
      <w:r w:rsidRPr="009118AB">
        <w:rPr>
          <w:sz w:val="20"/>
        </w:rPr>
        <w:t>, 145</w:t>
      </w:r>
      <w:r w:rsidRPr="009118AB">
        <w:rPr>
          <w:sz w:val="20"/>
          <w:vertAlign w:val="superscript"/>
        </w:rPr>
        <w:t>33</w:t>
      </w:r>
      <w:r w:rsidRPr="009118AB">
        <w:rPr>
          <w:sz w:val="20"/>
        </w:rPr>
        <w:t>, 145</w:t>
      </w:r>
      <w:r w:rsidRPr="009118AB">
        <w:rPr>
          <w:sz w:val="20"/>
          <w:vertAlign w:val="superscript"/>
        </w:rPr>
        <w:t>34</w:t>
      </w:r>
      <w:r w:rsidRPr="009118AB">
        <w:rPr>
          <w:sz w:val="20"/>
        </w:rPr>
        <w:t xml:space="preserve"> Absatz 5, [145</w:t>
      </w:r>
      <w:r w:rsidRPr="009118AB">
        <w:rPr>
          <w:sz w:val="20"/>
          <w:vertAlign w:val="superscript"/>
        </w:rPr>
        <w:t>48</w:t>
      </w:r>
      <w:r w:rsidRPr="009118AB">
        <w:rPr>
          <w:sz w:val="20"/>
        </w:rPr>
        <w:t>] [und 145</w:t>
      </w:r>
      <w:r w:rsidRPr="009118AB">
        <w:rPr>
          <w:sz w:val="20"/>
          <w:vertAlign w:val="superscript"/>
        </w:rPr>
        <w:t>49</w:t>
      </w:r>
      <w:r w:rsidRPr="009118AB">
        <w:rPr>
          <w:sz w:val="20"/>
        </w:rPr>
        <w:t>] erwähn</w:t>
      </w:r>
      <w:r w:rsidRPr="009118AB">
        <w:rPr>
          <w:sz w:val="20"/>
        </w:rPr>
        <w:softHyphen/>
        <w:t>ten Beträge die Anpassung durchgeführt:</w:t>
      </w:r>
    </w:p>
    <w:p w14:paraId="27457FFE" w14:textId="77777777" w:rsidR="002F4119" w:rsidRPr="009118AB" w:rsidRDefault="002F4119" w:rsidP="002F4119">
      <w:pPr>
        <w:autoSpaceDE w:val="0"/>
        <w:autoSpaceDN w:val="0"/>
        <w:adjustRightInd w:val="0"/>
        <w:jc w:val="both"/>
        <w:rPr>
          <w:sz w:val="20"/>
        </w:rPr>
      </w:pPr>
    </w:p>
    <w:p w14:paraId="304BE9F9" w14:textId="77777777" w:rsidR="002F4119" w:rsidRPr="009118AB" w:rsidRDefault="002F4119" w:rsidP="002F4119">
      <w:pPr>
        <w:autoSpaceDE w:val="0"/>
        <w:autoSpaceDN w:val="0"/>
        <w:adjustRightInd w:val="0"/>
        <w:jc w:val="both"/>
        <w:rPr>
          <w:sz w:val="20"/>
        </w:rPr>
      </w:pPr>
      <w:r w:rsidRPr="009118AB">
        <w:rPr>
          <w:sz w:val="20"/>
        </w:rPr>
        <w:t>1. für die Steuerjahre 2015 bis 2018 mit dem Koeffizienten, der erhalten wird, indem der Durchschnittswert der Preisindexe des Jahres 2012 durch den Durchschnittswert der Preisindexe des Jahres 1988, multipliziert mit dem Verhältnis zwischen den Durchschnitts</w:t>
      </w:r>
      <w:r w:rsidRPr="009118AB">
        <w:rPr>
          <w:sz w:val="20"/>
        </w:rPr>
        <w:softHyphen/>
        <w:t>werten der Preisindexe der Jahre 1997 und 1991, geteilt wird,</w:t>
      </w:r>
    </w:p>
    <w:p w14:paraId="6B5BBFDC" w14:textId="77777777" w:rsidR="002F4119" w:rsidRPr="009118AB" w:rsidRDefault="002F4119" w:rsidP="002F4119">
      <w:pPr>
        <w:autoSpaceDE w:val="0"/>
        <w:autoSpaceDN w:val="0"/>
        <w:adjustRightInd w:val="0"/>
        <w:jc w:val="both"/>
        <w:rPr>
          <w:sz w:val="20"/>
        </w:rPr>
      </w:pPr>
    </w:p>
    <w:p w14:paraId="39DC42EC" w14:textId="77777777" w:rsidR="002F4119" w:rsidRPr="009118AB" w:rsidRDefault="002F4119" w:rsidP="002F4119">
      <w:pPr>
        <w:autoSpaceDE w:val="0"/>
        <w:autoSpaceDN w:val="0"/>
        <w:adjustRightInd w:val="0"/>
        <w:jc w:val="both"/>
        <w:rPr>
          <w:sz w:val="20"/>
        </w:rPr>
      </w:pPr>
      <w:r w:rsidRPr="009118AB">
        <w:rPr>
          <w:sz w:val="20"/>
        </w:rPr>
        <w:t>2. für die Steuerjahre 2019 [und 2020]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und mit dem Verhältnis zwischen den Durchschnittswerten der Preisindexe der Jahre 2016 und 2012, geteilt wird,]</w:t>
      </w:r>
    </w:p>
    <w:p w14:paraId="52003611" w14:textId="77777777" w:rsidR="002F4119" w:rsidRPr="009118AB" w:rsidRDefault="002F4119" w:rsidP="002F4119">
      <w:pPr>
        <w:autoSpaceDE w:val="0"/>
        <w:autoSpaceDN w:val="0"/>
        <w:adjustRightInd w:val="0"/>
        <w:jc w:val="both"/>
        <w:rPr>
          <w:sz w:val="20"/>
        </w:rPr>
      </w:pPr>
    </w:p>
    <w:p w14:paraId="6D271E50" w14:textId="77777777" w:rsidR="002F4119" w:rsidRPr="009118AB" w:rsidRDefault="002F4119" w:rsidP="002F4119">
      <w:pPr>
        <w:autoSpaceDE w:val="0"/>
        <w:autoSpaceDN w:val="0"/>
        <w:adjustRightInd w:val="0"/>
        <w:jc w:val="both"/>
        <w:rPr>
          <w:sz w:val="20"/>
        </w:rPr>
      </w:pPr>
      <w:r w:rsidRPr="009118AB">
        <w:rPr>
          <w:sz w:val="20"/>
        </w:rPr>
        <w:t>[3. für die Steuerjahre 2021 bis 2024 mit dem Koeffizienten, der erhalten wird, indem der Durchschnittswert der Preisindexe des Jahres 2018 durch den Durchschnittswert der Preisindexe des Jahres 1988, multipliziert mit dem Verhältnis zwischen den Durchschnitts</w:t>
      </w:r>
      <w:r w:rsidRPr="009118AB">
        <w:rPr>
          <w:sz w:val="20"/>
        </w:rPr>
        <w:softHyphen/>
        <w:t>werten der Preisindexe der Jahre 1997 und 1991 und mit dem Verhältnis zwischen den Durchschnittswerten der Preisindexe der Jahre 2016 und 2012, geteilt wird,</w:t>
      </w:r>
    </w:p>
    <w:p w14:paraId="10C2D1BC" w14:textId="77777777" w:rsidR="002F4119" w:rsidRPr="009118AB" w:rsidRDefault="002F4119" w:rsidP="002F4119">
      <w:pPr>
        <w:autoSpaceDE w:val="0"/>
        <w:autoSpaceDN w:val="0"/>
        <w:adjustRightInd w:val="0"/>
        <w:jc w:val="both"/>
        <w:rPr>
          <w:sz w:val="20"/>
        </w:rPr>
      </w:pPr>
    </w:p>
    <w:p w14:paraId="1CF4D7B7" w14:textId="77777777" w:rsidR="002F4119" w:rsidRPr="009118AB" w:rsidRDefault="002F4119" w:rsidP="002F4119">
      <w:pPr>
        <w:autoSpaceDE w:val="0"/>
        <w:autoSpaceDN w:val="0"/>
        <w:adjustRightInd w:val="0"/>
        <w:jc w:val="both"/>
        <w:rPr>
          <w:sz w:val="20"/>
        </w:rPr>
      </w:pPr>
      <w:r w:rsidRPr="009118AB">
        <w:rPr>
          <w:sz w:val="20"/>
        </w:rPr>
        <w:t>4. für die Steuerjahre 2025 und folgende mit dem Koeffizienten, der erhalten wird, indem der Durchschnittswert der Preisindexe des Jahres vor dem Jahr der Einkünfte durch den Durchschnittswert der Preisindexe des Jahres 1988, nacheinander multipliziert mit dem Verhältnis zwischen den Durchschnittswerten der Preisindexe der Jahre 1997 und 1991, mit dem Verhältnis zwischen den Durchschnittswerten der Preisindexe der Jahre 2016 und 2012 und mit dem Verhältnis zwischen den Durchschnittswerten der Preisindexe der Jahre 2022 und 2018, geteilt wird.]</w:t>
      </w:r>
    </w:p>
    <w:p w14:paraId="780446B8" w14:textId="77777777" w:rsidR="002F4119" w:rsidRPr="009118AB" w:rsidRDefault="002F4119" w:rsidP="002F4119">
      <w:pPr>
        <w:autoSpaceDE w:val="0"/>
        <w:autoSpaceDN w:val="0"/>
        <w:adjustRightInd w:val="0"/>
        <w:jc w:val="both"/>
        <w:rPr>
          <w:sz w:val="20"/>
        </w:rPr>
      </w:pPr>
    </w:p>
    <w:p w14:paraId="5719E65F" w14:textId="50735408" w:rsidR="002F4119" w:rsidRPr="009118AB" w:rsidRDefault="002F4119" w:rsidP="002F4119">
      <w:pPr>
        <w:autoSpaceDE w:val="0"/>
        <w:autoSpaceDN w:val="0"/>
        <w:adjustRightInd w:val="0"/>
        <w:jc w:val="both"/>
        <w:rPr>
          <w:sz w:val="20"/>
        </w:rPr>
      </w:pPr>
      <w:r w:rsidRPr="009118AB">
        <w:rPr>
          <w:sz w:val="20"/>
        </w:rPr>
        <w:t>[In Abweichung von Absatz 1 Nr. 2 wird in Bezug auf die [in den Artikeln 147 und 151 bis 152] erwähnten Beträge die Anpassung durchgeführt:</w:t>
      </w:r>
    </w:p>
    <w:p w14:paraId="17A7A926" w14:textId="77777777" w:rsidR="002F4119" w:rsidRPr="009118AB" w:rsidRDefault="002F4119" w:rsidP="002F4119">
      <w:pPr>
        <w:autoSpaceDE w:val="0"/>
        <w:autoSpaceDN w:val="0"/>
        <w:adjustRightInd w:val="0"/>
        <w:jc w:val="both"/>
        <w:rPr>
          <w:sz w:val="20"/>
        </w:rPr>
      </w:pPr>
    </w:p>
    <w:p w14:paraId="1610DA18" w14:textId="77777777" w:rsidR="002F4119" w:rsidRPr="009118AB" w:rsidRDefault="002F4119" w:rsidP="002F4119">
      <w:pPr>
        <w:autoSpaceDE w:val="0"/>
        <w:autoSpaceDN w:val="0"/>
        <w:adjustRightInd w:val="0"/>
        <w:jc w:val="both"/>
        <w:rPr>
          <w:sz w:val="20"/>
        </w:rPr>
      </w:pPr>
      <w:r w:rsidRPr="009118AB">
        <w:rPr>
          <w:sz w:val="20"/>
        </w:rPr>
        <w:t>1. für die Steuerjahre 2015 bis 2018 mit dem Koeffizienten, der erhalten wird, indem der Durchschnittswert der Preisindexe des Jahres 2012 durch den Durchschnittswert der Preisindexe des Jahres 1988, multipliziert mit dem Verhältnis zwischen den Durchschnitts</w:t>
      </w:r>
      <w:r w:rsidRPr="009118AB">
        <w:rPr>
          <w:sz w:val="20"/>
        </w:rPr>
        <w:softHyphen/>
        <w:t>werten der Preisindexe der Jahre 1997 und 1991, geteilt wird,</w:t>
      </w:r>
    </w:p>
    <w:p w14:paraId="1F8B828B" w14:textId="77777777" w:rsidR="002F4119" w:rsidRPr="009118AB" w:rsidRDefault="002F4119" w:rsidP="002F4119">
      <w:pPr>
        <w:autoSpaceDE w:val="0"/>
        <w:autoSpaceDN w:val="0"/>
        <w:adjustRightInd w:val="0"/>
        <w:jc w:val="both"/>
        <w:rPr>
          <w:sz w:val="20"/>
        </w:rPr>
      </w:pPr>
    </w:p>
    <w:p w14:paraId="461BCE56" w14:textId="77777777" w:rsidR="002F4119" w:rsidRPr="009118AB" w:rsidRDefault="002F4119" w:rsidP="002F4119">
      <w:pPr>
        <w:autoSpaceDE w:val="0"/>
        <w:autoSpaceDN w:val="0"/>
        <w:adjustRightInd w:val="0"/>
        <w:jc w:val="both"/>
        <w:rPr>
          <w:sz w:val="20"/>
        </w:rPr>
      </w:pPr>
      <w:r w:rsidRPr="009118AB">
        <w:rPr>
          <w:sz w:val="20"/>
        </w:rPr>
        <w:t>2. für die Steuerjahre 2019 und folgende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und mit dem Verhältnis zwischen den Durchschnittswerten der Preisindexe der Jahre 2016 und 2012, geteilt wird.</w:t>
      </w:r>
    </w:p>
    <w:p w14:paraId="33C789CB" w14:textId="77777777" w:rsidR="002F4119" w:rsidRPr="009118AB" w:rsidRDefault="002F4119" w:rsidP="002F4119">
      <w:pPr>
        <w:autoSpaceDE w:val="0"/>
        <w:autoSpaceDN w:val="0"/>
        <w:adjustRightInd w:val="0"/>
        <w:jc w:val="both"/>
        <w:rPr>
          <w:sz w:val="20"/>
        </w:rPr>
      </w:pPr>
    </w:p>
    <w:p w14:paraId="08FDEE57" w14:textId="77777777" w:rsidR="002F4119" w:rsidRPr="009118AB" w:rsidRDefault="002F4119" w:rsidP="002F4119">
      <w:pPr>
        <w:autoSpaceDE w:val="0"/>
        <w:autoSpaceDN w:val="0"/>
        <w:adjustRightInd w:val="0"/>
        <w:jc w:val="both"/>
        <w:rPr>
          <w:sz w:val="20"/>
        </w:rPr>
      </w:pPr>
      <w:r w:rsidRPr="009118AB">
        <w:rPr>
          <w:sz w:val="20"/>
        </w:rPr>
        <w:t>In Abweichung von Absatz 2 Nr. 3 werden die in Artikel 145</w:t>
      </w:r>
      <w:r w:rsidRPr="009118AB">
        <w:rPr>
          <w:sz w:val="20"/>
          <w:vertAlign w:val="superscript"/>
        </w:rPr>
        <w:t>8</w:t>
      </w:r>
      <w:r w:rsidRPr="009118AB">
        <w:rPr>
          <w:sz w:val="20"/>
        </w:rPr>
        <w:t xml:space="preserve"> § 1 Absatz 2 und 3 erwähnten Beträge für das Steuerjahr 2021 gemäß Absatz 3 Nr. 2 an den Verbraucher</w:t>
      </w:r>
      <w:r w:rsidRPr="009118AB">
        <w:rPr>
          <w:sz w:val="20"/>
        </w:rPr>
        <w:softHyphen/>
        <w:t>preisindex des Königreichs angepasst. Die so indexierten Beträge sind ebenfalls für die Steuerjahre 2022 bis 2024 anwendbar.]</w:t>
      </w:r>
    </w:p>
    <w:p w14:paraId="10AD3EEC" w14:textId="77777777" w:rsidR="002F4119" w:rsidRPr="009118AB" w:rsidRDefault="002F4119" w:rsidP="002F4119">
      <w:pPr>
        <w:autoSpaceDE w:val="0"/>
        <w:autoSpaceDN w:val="0"/>
        <w:adjustRightInd w:val="0"/>
        <w:jc w:val="both"/>
        <w:rPr>
          <w:sz w:val="20"/>
        </w:rPr>
      </w:pPr>
    </w:p>
    <w:p w14:paraId="6153A9DE" w14:textId="149CDF95" w:rsidR="002F4119" w:rsidRPr="009118AB" w:rsidRDefault="002F4119" w:rsidP="002F4119">
      <w:pPr>
        <w:autoSpaceDE w:val="0"/>
        <w:autoSpaceDN w:val="0"/>
        <w:adjustRightInd w:val="0"/>
        <w:jc w:val="both"/>
        <w:rPr>
          <w:sz w:val="20"/>
        </w:rPr>
      </w:pPr>
      <w:r w:rsidRPr="009118AB">
        <w:rPr>
          <w:sz w:val="20"/>
        </w:rPr>
        <w:t xml:space="preserve">[§ 4] - [In Abweichung von § 2 Absatz 1 sind die </w:t>
      </w:r>
      <w:r w:rsidR="005B4516" w:rsidRPr="009118AB">
        <w:rPr>
          <w:sz w:val="20"/>
        </w:rPr>
        <w:t>[in Artikel 38 § 4]</w:t>
      </w:r>
      <w:r w:rsidRPr="009118AB">
        <w:rPr>
          <w:sz w:val="20"/>
        </w:rPr>
        <w:t xml:space="preserve"> erwähnten Beträge an den Gesundheitsindex des Monats </w:t>
      </w:r>
      <w:r w:rsidR="005B4516" w:rsidRPr="009118AB">
        <w:rPr>
          <w:sz w:val="20"/>
        </w:rPr>
        <w:t>[Dezember 2021]</w:t>
      </w:r>
      <w:r w:rsidRPr="009118AB">
        <w:rPr>
          <w:sz w:val="20"/>
        </w:rPr>
        <w:t xml:space="preserve"> gebunden. Die Beträge werden am 1. Januar jeden Jahres gemäß folgender Formel angepasst: der Basisbetrag wird mit dem Gesundheitsindex des Monats September des Jahres vor dem Jahr, in dem der neue Betrag anwendbar sein wird, multipliziert und durch den Gesund</w:t>
      </w:r>
      <w:r w:rsidRPr="009118AB">
        <w:rPr>
          <w:sz w:val="20"/>
        </w:rPr>
        <w:softHyphen/>
        <w:t xml:space="preserve">heitsindex des Monats </w:t>
      </w:r>
      <w:r w:rsidR="005B4516" w:rsidRPr="009118AB">
        <w:rPr>
          <w:sz w:val="20"/>
        </w:rPr>
        <w:t>[Dezember 2021]</w:t>
      </w:r>
      <w:r w:rsidRPr="009118AB">
        <w:rPr>
          <w:sz w:val="20"/>
        </w:rPr>
        <w:t xml:space="preserve"> geteilt.</w:t>
      </w:r>
    </w:p>
    <w:p w14:paraId="61A88416" w14:textId="77777777" w:rsidR="002F4119" w:rsidRPr="009118AB" w:rsidRDefault="002F4119" w:rsidP="002F4119">
      <w:pPr>
        <w:autoSpaceDE w:val="0"/>
        <w:autoSpaceDN w:val="0"/>
        <w:adjustRightInd w:val="0"/>
        <w:jc w:val="both"/>
        <w:rPr>
          <w:sz w:val="20"/>
        </w:rPr>
      </w:pPr>
    </w:p>
    <w:p w14:paraId="18E0230D" w14:textId="77777777" w:rsidR="002F4119" w:rsidRPr="009118AB" w:rsidRDefault="002F4119" w:rsidP="002F4119">
      <w:pPr>
        <w:autoSpaceDE w:val="0"/>
        <w:autoSpaceDN w:val="0"/>
        <w:adjustRightInd w:val="0"/>
        <w:jc w:val="both"/>
        <w:rPr>
          <w:sz w:val="20"/>
        </w:rPr>
      </w:pPr>
      <w:r w:rsidRPr="009118AB">
        <w:rPr>
          <w:sz w:val="20"/>
        </w:rPr>
        <w:t xml:space="preserve">Spätestens im Laufe des Monats Dezember jeden Jahres werden die für das folgende Kalenderjahr anwendbaren Beträge im </w:t>
      </w:r>
      <w:r w:rsidRPr="009118AB">
        <w:rPr>
          <w:i/>
          <w:iCs/>
          <w:sz w:val="20"/>
        </w:rPr>
        <w:t>Belgischen Staatsblatt</w:t>
      </w:r>
      <w:r w:rsidRPr="009118AB">
        <w:rPr>
          <w:sz w:val="20"/>
        </w:rPr>
        <w:t xml:space="preserve"> veröffentlicht. Der Föderale Öffentliche Dienst Finanzen teilt diese Information ebenfalls auf seiner Website mit.] </w:t>
      </w:r>
    </w:p>
    <w:p w14:paraId="69AD6224" w14:textId="77777777" w:rsidR="002F4119" w:rsidRPr="009118AB" w:rsidRDefault="002F4119" w:rsidP="002F4119">
      <w:pPr>
        <w:autoSpaceDE w:val="0"/>
        <w:autoSpaceDN w:val="0"/>
        <w:adjustRightInd w:val="0"/>
        <w:jc w:val="both"/>
        <w:rPr>
          <w:sz w:val="20"/>
        </w:rPr>
      </w:pPr>
    </w:p>
    <w:p w14:paraId="3B9AF6AA" w14:textId="77777777" w:rsidR="002F4119" w:rsidRPr="009118AB" w:rsidRDefault="002F4119" w:rsidP="002F4119">
      <w:pPr>
        <w:autoSpaceDE w:val="0"/>
        <w:autoSpaceDN w:val="0"/>
        <w:adjustRightInd w:val="0"/>
        <w:jc w:val="both"/>
        <w:rPr>
          <w:sz w:val="20"/>
        </w:rPr>
      </w:pPr>
      <w:r w:rsidRPr="009118AB">
        <w:rPr>
          <w:sz w:val="20"/>
        </w:rPr>
        <w:t>[§ 5 - [In Abweichung von § 1 werden folgende Beträge nicht indexiert:</w:t>
      </w:r>
    </w:p>
    <w:p w14:paraId="42F5ADB3" w14:textId="77777777" w:rsidR="002F4119" w:rsidRPr="009118AB" w:rsidRDefault="002F4119" w:rsidP="002F4119">
      <w:pPr>
        <w:autoSpaceDE w:val="0"/>
        <w:autoSpaceDN w:val="0"/>
        <w:adjustRightInd w:val="0"/>
        <w:jc w:val="both"/>
        <w:rPr>
          <w:sz w:val="20"/>
        </w:rPr>
      </w:pPr>
    </w:p>
    <w:p w14:paraId="661592FA" w14:textId="0AB98475" w:rsidR="002F4119" w:rsidRPr="009118AB" w:rsidRDefault="002F4119" w:rsidP="002F4119">
      <w:pPr>
        <w:autoSpaceDE w:val="0"/>
        <w:autoSpaceDN w:val="0"/>
        <w:adjustRightInd w:val="0"/>
        <w:jc w:val="both"/>
        <w:rPr>
          <w:sz w:val="20"/>
        </w:rPr>
      </w:pPr>
      <w:r w:rsidRPr="009118AB">
        <w:rPr>
          <w:sz w:val="20"/>
        </w:rPr>
        <w:t xml:space="preserve">1. die </w:t>
      </w:r>
      <w:r w:rsidR="008E504A">
        <w:rPr>
          <w:sz w:val="20"/>
        </w:rPr>
        <w:t>[</w:t>
      </w:r>
      <w:r w:rsidR="008E504A" w:rsidRPr="008E504A">
        <w:rPr>
          <w:sz w:val="20"/>
        </w:rPr>
        <w:t>in den Artikeln 38 § 1 Absatz 1 Nr. 29 und 38/1</w:t>
      </w:r>
      <w:r w:rsidR="001B5217">
        <w:rPr>
          <w:sz w:val="20"/>
        </w:rPr>
        <w:t>]</w:t>
      </w:r>
      <w:r w:rsidRPr="009118AB">
        <w:rPr>
          <w:sz w:val="20"/>
        </w:rPr>
        <w:t xml:space="preserve"> erwähnten Beträge,</w:t>
      </w:r>
    </w:p>
    <w:p w14:paraId="64B470B0" w14:textId="77777777" w:rsidR="002F4119" w:rsidRPr="009118AB" w:rsidRDefault="002F4119" w:rsidP="002F4119">
      <w:pPr>
        <w:autoSpaceDE w:val="0"/>
        <w:autoSpaceDN w:val="0"/>
        <w:adjustRightInd w:val="0"/>
        <w:jc w:val="both"/>
        <w:rPr>
          <w:sz w:val="20"/>
        </w:rPr>
      </w:pPr>
    </w:p>
    <w:p w14:paraId="7953F10B" w14:textId="77777777" w:rsidR="002F4119" w:rsidRPr="009118AB" w:rsidRDefault="002F4119" w:rsidP="002F4119">
      <w:pPr>
        <w:autoSpaceDE w:val="0"/>
        <w:autoSpaceDN w:val="0"/>
        <w:adjustRightInd w:val="0"/>
        <w:jc w:val="both"/>
        <w:rPr>
          <w:sz w:val="20"/>
        </w:rPr>
      </w:pPr>
      <w:r w:rsidRPr="009118AB">
        <w:rPr>
          <w:sz w:val="20"/>
        </w:rPr>
        <w:t>2. der in Artikel 53 Nr. 14 erwähnte Betrag,</w:t>
      </w:r>
    </w:p>
    <w:p w14:paraId="24531C6C" w14:textId="77777777" w:rsidR="002F4119" w:rsidRPr="009118AB" w:rsidRDefault="002F4119" w:rsidP="002F4119">
      <w:pPr>
        <w:autoSpaceDE w:val="0"/>
        <w:autoSpaceDN w:val="0"/>
        <w:adjustRightInd w:val="0"/>
        <w:jc w:val="both"/>
        <w:rPr>
          <w:sz w:val="20"/>
        </w:rPr>
      </w:pPr>
    </w:p>
    <w:p w14:paraId="23762497" w14:textId="77777777" w:rsidR="002F4119" w:rsidRPr="009118AB" w:rsidRDefault="002F4119" w:rsidP="002F4119">
      <w:pPr>
        <w:autoSpaceDE w:val="0"/>
        <w:autoSpaceDN w:val="0"/>
        <w:adjustRightInd w:val="0"/>
        <w:jc w:val="both"/>
        <w:rPr>
          <w:sz w:val="20"/>
        </w:rPr>
      </w:pPr>
      <w:r w:rsidRPr="009118AB">
        <w:rPr>
          <w:sz w:val="20"/>
        </w:rPr>
        <w:t>[2/1. der in Artikel 57 Absatz 4 erwähnte Betrag,]</w:t>
      </w:r>
    </w:p>
    <w:p w14:paraId="06668808" w14:textId="77777777" w:rsidR="002F4119" w:rsidRPr="009118AB" w:rsidRDefault="002F4119" w:rsidP="002F4119">
      <w:pPr>
        <w:autoSpaceDE w:val="0"/>
        <w:autoSpaceDN w:val="0"/>
        <w:adjustRightInd w:val="0"/>
        <w:jc w:val="both"/>
        <w:rPr>
          <w:sz w:val="20"/>
        </w:rPr>
      </w:pPr>
    </w:p>
    <w:p w14:paraId="267D3FD9" w14:textId="77777777" w:rsidR="002F4119" w:rsidRPr="009118AB" w:rsidRDefault="002F4119" w:rsidP="002F4119">
      <w:pPr>
        <w:autoSpaceDE w:val="0"/>
        <w:autoSpaceDN w:val="0"/>
        <w:adjustRightInd w:val="0"/>
        <w:jc w:val="both"/>
        <w:rPr>
          <w:sz w:val="20"/>
        </w:rPr>
      </w:pPr>
      <w:r w:rsidRPr="009118AB">
        <w:rPr>
          <w:sz w:val="20"/>
        </w:rPr>
        <w:t>3. die in Artikel 67</w:t>
      </w:r>
      <w:r w:rsidRPr="009118AB">
        <w:rPr>
          <w:i/>
          <w:sz w:val="20"/>
        </w:rPr>
        <w:t>ter</w:t>
      </w:r>
      <w:r w:rsidRPr="009118AB">
        <w:rPr>
          <w:sz w:val="20"/>
        </w:rPr>
        <w:t xml:space="preserve"> § 1 erwähnten Beträge des Bruttotageslohns oder </w:t>
      </w:r>
      <w:r w:rsidRPr="009118AB">
        <w:rPr>
          <w:sz w:val="20"/>
        </w:rPr>
        <w:noBreakHyphen/>
        <w:t>stunden</w:t>
      </w:r>
      <w:r w:rsidRPr="009118AB">
        <w:rPr>
          <w:sz w:val="20"/>
        </w:rPr>
        <w:softHyphen/>
        <w:t>lohns,]]</w:t>
      </w:r>
    </w:p>
    <w:p w14:paraId="2E07305D" w14:textId="77777777" w:rsidR="002F4119" w:rsidRPr="009118AB" w:rsidRDefault="002F4119" w:rsidP="002F4119">
      <w:pPr>
        <w:autoSpaceDE w:val="0"/>
        <w:autoSpaceDN w:val="0"/>
        <w:adjustRightInd w:val="0"/>
        <w:jc w:val="both"/>
        <w:rPr>
          <w:sz w:val="20"/>
        </w:rPr>
      </w:pPr>
    </w:p>
    <w:p w14:paraId="64D73307" w14:textId="77777777" w:rsidR="002F4119" w:rsidRPr="009118AB" w:rsidRDefault="002F4119" w:rsidP="002F4119">
      <w:pPr>
        <w:autoSpaceDE w:val="0"/>
        <w:autoSpaceDN w:val="0"/>
        <w:adjustRightInd w:val="0"/>
        <w:jc w:val="both"/>
        <w:rPr>
          <w:sz w:val="20"/>
        </w:rPr>
      </w:pPr>
      <w:r w:rsidRPr="009118AB">
        <w:rPr>
          <w:sz w:val="20"/>
        </w:rPr>
        <w:t>[3/1. der in Artikel 145 Absatz 2 erwähnte Betrag.]</w:t>
      </w:r>
    </w:p>
    <w:p w14:paraId="2ECD8C2E" w14:textId="77777777" w:rsidR="002F4119" w:rsidRPr="009118AB" w:rsidRDefault="002F4119" w:rsidP="002F4119">
      <w:pPr>
        <w:autoSpaceDE w:val="0"/>
        <w:autoSpaceDN w:val="0"/>
        <w:adjustRightInd w:val="0"/>
        <w:jc w:val="both"/>
        <w:rPr>
          <w:sz w:val="20"/>
        </w:rPr>
      </w:pPr>
    </w:p>
    <w:p w14:paraId="1E87851F" w14:textId="77777777" w:rsidR="002F4119" w:rsidRPr="009118AB" w:rsidRDefault="002F4119" w:rsidP="002F4119">
      <w:pPr>
        <w:autoSpaceDE w:val="0"/>
        <w:autoSpaceDN w:val="0"/>
        <w:adjustRightInd w:val="0"/>
        <w:jc w:val="both"/>
        <w:rPr>
          <w:sz w:val="20"/>
        </w:rPr>
      </w:pPr>
      <w:r w:rsidRPr="009118AB">
        <w:rPr>
          <w:sz w:val="20"/>
        </w:rPr>
        <w:t>[§ 6 - [In Abweichung von § 2 Absatz 1 ist der in Artikel 38 § 1 Absatz 1 Nr. 24 erwähnte Betrag an den Gesundheitsindex des Monats November 2012 (119,95) gebunden. Dieser Betrag wird am 1. Januar jeden Jahres gemäß folgender Formel angepasst: Der Basisbetrag wird mit dem Gesundheitsindex des Monats November des Jahres vor dem Jahr, in dem der neue Betrag anwendbar sein wird, multipliziert und durch den Gesundheitsindex des Monats November 2012 geteilt. Der so erhaltene Betrag wird auf den nächsthöheren Euro aufgerundet.]]</w:t>
      </w:r>
    </w:p>
    <w:p w14:paraId="500AC9E2" w14:textId="77777777" w:rsidR="002F4119" w:rsidRPr="009118AB" w:rsidRDefault="002F4119" w:rsidP="002F4119">
      <w:pPr>
        <w:autoSpaceDE w:val="0"/>
        <w:autoSpaceDN w:val="0"/>
        <w:adjustRightInd w:val="0"/>
        <w:jc w:val="both"/>
        <w:rPr>
          <w:sz w:val="20"/>
        </w:rPr>
      </w:pPr>
    </w:p>
    <w:p w14:paraId="48EFB1DA" w14:textId="77777777" w:rsidR="002F4119" w:rsidRPr="009118AB" w:rsidRDefault="002F4119" w:rsidP="002F4119">
      <w:pPr>
        <w:autoSpaceDE w:val="0"/>
        <w:autoSpaceDN w:val="0"/>
        <w:adjustRightInd w:val="0"/>
        <w:jc w:val="both"/>
        <w:rPr>
          <w:sz w:val="20"/>
        </w:rPr>
      </w:pPr>
      <w:r w:rsidRPr="009118AB">
        <w:rPr>
          <w:sz w:val="20"/>
        </w:rPr>
        <w:t>[§ 7 - Mit Ausnahme für die in den Paragraphen 4 und 6 erwähnten Bestimmungen darf die Anwendung des vorliegenden Artikels nicht zu einem niedrigeren Betrag als der des vorhergehenden Jahres führen.]</w:t>
      </w:r>
    </w:p>
    <w:p w14:paraId="2E86CE5D" w14:textId="77777777" w:rsidR="002F4119" w:rsidRPr="009118AB" w:rsidRDefault="002F4119" w:rsidP="002F4119">
      <w:pPr>
        <w:autoSpaceDE w:val="0"/>
        <w:autoSpaceDN w:val="0"/>
        <w:adjustRightInd w:val="0"/>
        <w:jc w:val="both"/>
        <w:rPr>
          <w:sz w:val="20"/>
        </w:rPr>
      </w:pPr>
    </w:p>
    <w:p w14:paraId="04A79B48" w14:textId="4D98A293" w:rsidR="002F4119" w:rsidRPr="009118AB" w:rsidRDefault="002F4119" w:rsidP="002F4119">
      <w:pPr>
        <w:autoSpaceDE w:val="0"/>
        <w:autoSpaceDN w:val="0"/>
        <w:adjustRightInd w:val="0"/>
        <w:jc w:val="both"/>
        <w:rPr>
          <w:iCs/>
          <w:sz w:val="20"/>
        </w:rPr>
      </w:pPr>
      <w:r w:rsidRPr="009118AB">
        <w:rPr>
          <w:i/>
          <w:iCs/>
          <w:sz w:val="20"/>
        </w:rPr>
        <w:t>[Art. 178 § 1 ergänzt durch Art. 5 Nr. 1 des G. vom 28. Dezember 1992 (B.S. vom 31. Dezember 1992) und abgeändert durch Art. 4 des K.E. vom 13. Juli 2001 (B.S. vom 11. August 2001) - in Kraft ab dem Steuerjahr</w:t>
      </w:r>
      <w:r w:rsidR="004F265C" w:rsidRPr="009118AB">
        <w:rPr>
          <w:i/>
          <w:iCs/>
          <w:sz w:val="20"/>
        </w:rPr>
        <w:t> </w:t>
      </w:r>
      <w:r w:rsidRPr="009118AB">
        <w:rPr>
          <w:i/>
          <w:iCs/>
          <w:sz w:val="20"/>
        </w:rPr>
        <w:t xml:space="preserve">2002 -; § 2 Abs. 3 ersetzt durch Art. 4 Nr. 5 des K.E. vom 20. Juli 2000 (II) (B.S. vom 30. August 2000) - in Kraft ab dem Steuerjahr 2002 -, selbst abgeändert durch Art. 42 Nr. 3 des K.E. vom </w:t>
      </w:r>
      <w:r w:rsidRPr="009118AB">
        <w:rPr>
          <w:i/>
          <w:iCs/>
          <w:sz w:val="20"/>
        </w:rPr>
        <w:lastRenderedPageBreak/>
        <w:t>13. Juli 2001 (B.S. vom 11. August 2001) - in Kraft ab dem 1. Januar 2002 -, und abgeändert durch Art. 28 des G. vom 27. März 2009 (B.S. vom 7. April 2009) - anwendbar ab dem Steuerjahr 2010 -, Art. 106 Nr. 1 und 2 des G. vom 25. Dezember 2017 (IV) (B.S. vom 29. Dezember 2017) - </w:t>
      </w:r>
      <w:r w:rsidRPr="009118AB">
        <w:rPr>
          <w:i/>
          <w:sz w:val="20"/>
        </w:rPr>
        <w:t xml:space="preserve">anwendbar auf die ab dem 1. Januar 2018 gezahlten oder zuerkannten Einkünfte -, Art. 18 Nr. 1 des G. vom 23. März 2019 (B.S. vom 5. April 2019) - anwendbar ab dem Steuerjahr 2020 -, Art. 12 </w:t>
      </w:r>
      <w:r w:rsidRPr="009118AB">
        <w:rPr>
          <w:i/>
          <w:iCs/>
          <w:sz w:val="20"/>
        </w:rPr>
        <w:t>des G. vom 28. April 2019 (B.S. vom 6. Mai 2019) - anwendbar auf die ab dem 1. Januar 2018 gezahlten oder bewilligten Entschädigungen - und Art. 9 Nr. 1 und 2</w:t>
      </w:r>
      <w:r w:rsidRPr="009118AB">
        <w:rPr>
          <w:i/>
          <w:sz w:val="20"/>
        </w:rPr>
        <w:t xml:space="preserve"> des G. vom 20. Dezember 2020 (I) (B.S. vom 30. Dezember 2020) - in Kraft am 30. Dezember 2020 und anwendbar ab dem Steuerjahr 2021 -;</w:t>
      </w:r>
      <w:r w:rsidRPr="009118AB">
        <w:rPr>
          <w:i/>
          <w:iCs/>
          <w:sz w:val="20"/>
        </w:rPr>
        <w:t xml:space="preserve"> neuer Paragraph 3 eingefügt durch Art. 5 Nr. 2 des G. vom 28. Dezember 1992 (B.S. vom 31. Dezember 1992); § 3 Abs. 1 (früherer einziger Absatz) einleitende Bestimmung ersetzt durch Art. 6 des G. vom 21. Juni 2002 (B.S. vom 20. Juli 2002) - in Kraft ab dem Steuerjahr 2002 - und abgeändert durch Art. 152 des G. vom 26. Dezember 2015 (II) (B.S. vom 30. Dezember 2015) - in Kraft ab dem Steuerjahr 2017 -</w:t>
      </w:r>
      <w:r w:rsidR="002568B2">
        <w:rPr>
          <w:i/>
          <w:iCs/>
          <w:sz w:val="20"/>
        </w:rPr>
        <w:t>,</w:t>
      </w:r>
      <w:r w:rsidRPr="009118AB">
        <w:rPr>
          <w:i/>
          <w:iCs/>
          <w:sz w:val="20"/>
        </w:rPr>
        <w:t xml:space="preserve"> Art. 15 des G. vom 5. Juli 2022 (B.S. vom 15. Juli 2022)</w:t>
      </w:r>
      <w:r w:rsidR="002568B2">
        <w:rPr>
          <w:i/>
          <w:iCs/>
          <w:sz w:val="20"/>
        </w:rPr>
        <w:t xml:space="preserve"> und Art. 26</w:t>
      </w:r>
      <w:r w:rsidR="002568B2" w:rsidRPr="002568B2">
        <w:rPr>
          <w:i/>
          <w:iCs/>
          <w:sz w:val="20"/>
        </w:rPr>
        <w:t xml:space="preserve"> des G. vom 22. Dezember 2023</w:t>
      </w:r>
      <w:r w:rsidR="00552005" w:rsidRPr="00552005">
        <w:rPr>
          <w:i/>
          <w:iCs/>
          <w:sz w:val="20"/>
        </w:rPr>
        <w:t> (I)</w:t>
      </w:r>
      <w:r w:rsidR="002568B2" w:rsidRPr="002568B2">
        <w:rPr>
          <w:i/>
          <w:iCs/>
          <w:sz w:val="20"/>
        </w:rPr>
        <w:t xml:space="preserve"> (B.S. vom 29. Dezember 2023) - </w:t>
      </w:r>
      <w:r w:rsidR="00712CA5">
        <w:rPr>
          <w:i/>
          <w:iCs/>
          <w:sz w:val="20"/>
        </w:rPr>
        <w:t>in Kraft am 31. Dezember 2023 und anwendbar ab dem Steuerjahr 2024</w:t>
      </w:r>
      <w:r w:rsidR="002568B2" w:rsidRPr="002568B2">
        <w:rPr>
          <w:i/>
          <w:iCs/>
          <w:sz w:val="20"/>
        </w:rPr>
        <w:t> -</w:t>
      </w:r>
      <w:r w:rsidRPr="009118AB">
        <w:rPr>
          <w:i/>
          <w:iCs/>
          <w:sz w:val="20"/>
        </w:rPr>
        <w:t>; § 3 Abs. 1 Nr. 1 abgeändert durch Art. 20 Nr. 1 des K.E. vom 20. Dezember 1996 (B.S. vom 31. Dezember 1996); § 3 Abs. 1 Nr. 2 abgeändert durch Art. 20 Nr. 2 des K.E. vom 20. Dezember 1996 (B.S. vom 31. Dezember 1996); § 3 Abs. 2 eingefügt durch Art. 6 des G. vom 19. Dezember 2014 (B.S. vom 29. Dezember 2014) - anwendbar ab dem Steuerjahr 2015 -; § 3 Abs. 2 einleitende Bestimmung abgeändert durch Art. 5 des G. vom 11. März 2018 (B.S. vom 23. März 2018) - anwendbar ab dem Steuerjahr 2019 -, Art. 18 Nr. 2</w:t>
      </w:r>
      <w:r w:rsidRPr="009118AB">
        <w:rPr>
          <w:i/>
          <w:sz w:val="20"/>
        </w:rPr>
        <w:t xml:space="preserve"> des G. vom 23. März 2019 (B.S. vom 5. April 2019) - anwendbar ab dem Steuerjahr 2020 -, Art. 17 des G. vom 22. April 2019 (I) (B.S. vom 8. Mai 2019) - anwendbar ab dem Steuerjahr 2020 auf die ab dem 1. September 2019 gezahlten Prämien - und Art. 2 Buchstabe a) des G. vom 20. Dezember 2020 (I) (B.S. vom 30. Dezember 2020) - in Kraft am 30. Dezember 2020 und anwendbar ab dem Steuerjahr 2021 -;</w:t>
      </w:r>
      <w:r w:rsidRPr="009118AB">
        <w:rPr>
          <w:i/>
          <w:iCs/>
          <w:sz w:val="20"/>
        </w:rPr>
        <w:t xml:space="preserve"> § 3 Abs. 2 Nr. 2 abgeändert durch Art. 2</w:t>
      </w:r>
      <w:r w:rsidRPr="009118AB">
        <w:rPr>
          <w:i/>
          <w:sz w:val="20"/>
        </w:rPr>
        <w:t xml:space="preserve"> Buchstabe b) des G. vom 20. Dezember 2020 (I) (B.S. vom 30. Dezember 2020) - in Kraft am 30. Dezem</w:t>
      </w:r>
      <w:r w:rsidRPr="009118AB">
        <w:rPr>
          <w:i/>
          <w:sz w:val="20"/>
        </w:rPr>
        <w:softHyphen/>
        <w:t>ber 2020 und anwendbar ab dem Steuerjahr 2021 -; § 3 Abs. 2 Nr. 3 und 4 eingefügt durch Art. 2 Buchstabe e) des G. vom 20. Dezember 2020 (I) (B.S. vom 30. Dezember 2020) - in Kraft am 30. Dezember 2020 und anwendbar ab dem Steuerjahr 2021 -; § 3 Abs. 3 eingefügt durch Art. 2 Buchstabe f) des G. vom 20. Dezember 2020 (I) (B.S. vom 30. Dezember 2020) - in Kraft am 30. Dezember 2020 und anwendbar ab dem Steuerjahr 2021 - und abgeändert durch Art. 8</w:t>
      </w:r>
      <w:r w:rsidRPr="009118AB">
        <w:rPr>
          <w:i/>
          <w:iCs/>
          <w:sz w:val="20"/>
        </w:rPr>
        <w:t xml:space="preserve"> des G. vom 17. März 2022 (B.S. vom 25. März 2022) - anwendbar ab dem Steuerjahr 2023 -, selbst widerrufen durch Art. 67 des G. vom 5. Juli 2022 (B.S. vom 15. Juli 2022) - in Kraft am 1. Januar 2022 -; § 3 Abs. 3 einleitende Bestimmung abgeändert durch Art. 70 des G. vom 5. Juli 2022 (B.S. vom 15. Juli 2022) - anwendbar a</w:t>
      </w:r>
      <w:r w:rsidR="009D6F3E" w:rsidRPr="009118AB">
        <w:rPr>
          <w:i/>
          <w:iCs/>
          <w:sz w:val="20"/>
        </w:rPr>
        <w:t>b</w:t>
      </w:r>
      <w:r w:rsidRPr="009118AB">
        <w:rPr>
          <w:i/>
          <w:iCs/>
          <w:sz w:val="20"/>
        </w:rPr>
        <w:t xml:space="preserve"> dem Steuerjahr 2028 -;</w:t>
      </w:r>
      <w:r w:rsidRPr="009118AB">
        <w:rPr>
          <w:i/>
          <w:sz w:val="20"/>
        </w:rPr>
        <w:t xml:space="preserve"> § 3 Abs. 4 eingefügt durch Art. 2 Buchstabe f) des G. vom 20. Dezember 2020 (I) (B.S. vom 30. Dezember 2020) - in Kraft am 30. Dezember 2020 und anwendbar ab dem Steuerjahr 2021 -; </w:t>
      </w:r>
      <w:r w:rsidRPr="009118AB">
        <w:rPr>
          <w:i/>
          <w:iCs/>
          <w:sz w:val="20"/>
        </w:rPr>
        <w:t>früherer Paragraph 3 umnummeriert zu § 4 durch Art. 5 Nr. 2 des G.</w:t>
      </w:r>
      <w:r w:rsidR="005B4516" w:rsidRPr="009118AB">
        <w:rPr>
          <w:i/>
          <w:iCs/>
          <w:sz w:val="20"/>
        </w:rPr>
        <w:t xml:space="preserve"> </w:t>
      </w:r>
      <w:r w:rsidRPr="009118AB">
        <w:rPr>
          <w:i/>
          <w:iCs/>
          <w:sz w:val="20"/>
        </w:rPr>
        <w:t>vom 28. Dezember 1992 (B.S. vom 31. Dezember 1992), aufgehoben durch Art. 403 des G.</w:t>
      </w:r>
      <w:r w:rsidR="005B4516" w:rsidRPr="009118AB">
        <w:rPr>
          <w:i/>
          <w:iCs/>
          <w:sz w:val="20"/>
        </w:rPr>
        <w:t xml:space="preserve"> </w:t>
      </w:r>
      <w:r w:rsidRPr="009118AB">
        <w:rPr>
          <w:i/>
          <w:iCs/>
          <w:sz w:val="20"/>
        </w:rPr>
        <w:t xml:space="preserve">vom 27. Dezember 2004 (B.S. vom 31. Dezember 2004) - in Kraft ab dem Steuerjahr 2006 - und wieder aufgenommen durch Art. 4 des G. vom 25. April 2007 (III) (B.S. vom 10. Mai 2007) - anwendbar auf die ab dem 1. Januar 2007 bewilligten pauschalen Kostenvergütungen -; </w:t>
      </w:r>
      <w:r w:rsidR="005B4516" w:rsidRPr="009118AB">
        <w:rPr>
          <w:i/>
          <w:iCs/>
          <w:sz w:val="20"/>
        </w:rPr>
        <w:t xml:space="preserve">§ 4 Abs. 1 abgeändert durch Art. 4 Nr. 1 und 2 des G. vom 31. Juli 2023 (I) (B.S. vom 23. August 2023) - in Kraft am 1. Januar 2024 und anwendbar auf Vergütungen, die für Leistungen gezahlt oder zuerkannt werden, die ab diesem Datum erbracht werden -; </w:t>
      </w:r>
      <w:r w:rsidRPr="009118AB">
        <w:rPr>
          <w:i/>
          <w:iCs/>
          <w:sz w:val="20"/>
        </w:rPr>
        <w:t>§ 5 eingefügt durch Art. 62</w:t>
      </w:r>
      <w:r w:rsidRPr="009118AB">
        <w:rPr>
          <w:i/>
          <w:sz w:val="20"/>
        </w:rPr>
        <w:t xml:space="preserve"> des G. vom 8. Juni 2008 (B.S. vom 16. Juni 2008) - wirksam mit 1. Januar 2008 - und ersetzt durch Art. 30</w:t>
      </w:r>
      <w:r w:rsidRPr="009118AB">
        <w:rPr>
          <w:i/>
          <w:iCs/>
          <w:sz w:val="20"/>
        </w:rPr>
        <w:t xml:space="preserve"> des G. vom 22. Dezember 2009 (I) (B.S. vom 31. Dezember 2009) - anwendbar ab dem Steuerjahr 2010 -;</w:t>
      </w:r>
      <w:r w:rsidRPr="009118AB">
        <w:rPr>
          <w:i/>
          <w:sz w:val="20"/>
        </w:rPr>
        <w:t xml:space="preserve"> </w:t>
      </w:r>
      <w:r w:rsidR="008E504A">
        <w:rPr>
          <w:i/>
          <w:sz w:val="20"/>
        </w:rPr>
        <w:t>§ 5 einziger Absatz Nr. 1 abgeändert durch Art. 10</w:t>
      </w:r>
      <w:r w:rsidR="008E504A" w:rsidRPr="008E504A">
        <w:rPr>
          <w:i/>
          <w:iCs/>
          <w:sz w:val="20"/>
        </w:rPr>
        <w:t xml:space="preserve"> des G. vom 22. Dezember 2023 (II) (B.S. vom 29. Dezember 2023) - anwendbar ab dem Steuerjahr 2025 -</w:t>
      </w:r>
      <w:r w:rsidR="008E504A">
        <w:rPr>
          <w:i/>
          <w:iCs/>
          <w:sz w:val="20"/>
        </w:rPr>
        <w:t xml:space="preserve">; </w:t>
      </w:r>
      <w:r w:rsidRPr="009118AB">
        <w:rPr>
          <w:i/>
          <w:sz w:val="20"/>
        </w:rPr>
        <w:t>§ 5 einziger Absatz Nr. 2/1 eingefügt durch Art. 126</w:t>
      </w:r>
      <w:r w:rsidRPr="009118AB">
        <w:rPr>
          <w:bCs/>
          <w:i/>
          <w:iCs/>
          <w:sz w:val="20"/>
        </w:rPr>
        <w:t xml:space="preserve"> des G. vom 21. Januar 2022 (B.S. vom 28. Januar 2022); </w:t>
      </w:r>
      <w:r w:rsidRPr="009118AB">
        <w:rPr>
          <w:i/>
          <w:sz w:val="20"/>
        </w:rPr>
        <w:t>§ 5 einziger Absatz Nr. 3/1 eingefügt durch Art. 10</w:t>
      </w:r>
      <w:r w:rsidRPr="009118AB">
        <w:rPr>
          <w:i/>
          <w:iCs/>
          <w:sz w:val="20"/>
        </w:rPr>
        <w:t xml:space="preserve"> des G. vom 18. Dezember 2016 (II) (/B.S. vom 30. Dezember 2016) - anwendbar ab dem Steuerjahr 2018 -;</w:t>
      </w:r>
      <w:r w:rsidRPr="009118AB">
        <w:rPr>
          <w:i/>
          <w:sz w:val="20"/>
        </w:rPr>
        <w:t xml:space="preserve"> § 6 eingefügt durch Art. 133</w:t>
      </w:r>
      <w:r w:rsidRPr="009118AB">
        <w:rPr>
          <w:i/>
          <w:iCs/>
          <w:sz w:val="20"/>
        </w:rPr>
        <w:t xml:space="preserve"> des G. (I) vom 22. Dezember 2008 (II) (B.S. vom 29. Dezember 2008) - anwendbar auf die ab dem 1. Januar 2008 gezahlten oder zuerkannten Vorteile - und ersetzt durch Art. 41</w:t>
      </w:r>
      <w:r w:rsidRPr="009118AB">
        <w:rPr>
          <w:i/>
          <w:sz w:val="20"/>
        </w:rPr>
        <w:t xml:space="preserve"> des G. vom 30. Juli 2013 (B.S. vom 1. August 2013) - anwendbar auf die ab dem 1. Januar 2013 gezahlten oder zuerkannten Vorteile -;</w:t>
      </w:r>
      <w:r w:rsidRPr="009118AB">
        <w:rPr>
          <w:i/>
          <w:iCs/>
          <w:sz w:val="20"/>
        </w:rPr>
        <w:t xml:space="preserve"> § 7 eingefügt durch Art. 4</w:t>
      </w:r>
      <w:r w:rsidRPr="009118AB">
        <w:rPr>
          <w:i/>
          <w:sz w:val="20"/>
        </w:rPr>
        <w:t xml:space="preserve"> des G. vom 21. Dezember 2009 (B.S. vom 31. Dezember 2009) - in Kraft am 1. Januar 2010 -]</w:t>
      </w:r>
      <w:r w:rsidRPr="009118AB">
        <w:rPr>
          <w:iCs/>
          <w:sz w:val="20"/>
        </w:rPr>
        <w:t>"</w:t>
      </w:r>
    </w:p>
    <w:p w14:paraId="4649AE78" w14:textId="2CFCD64D" w:rsidR="002F4119" w:rsidRPr="009118AB" w:rsidRDefault="002F4119" w:rsidP="002F4119">
      <w:pPr>
        <w:autoSpaceDE w:val="0"/>
        <w:autoSpaceDN w:val="0"/>
        <w:adjustRightInd w:val="0"/>
        <w:jc w:val="both"/>
        <w:rPr>
          <w:iCs/>
        </w:rPr>
      </w:pPr>
    </w:p>
    <w:p w14:paraId="35BD53AA" w14:textId="5500A0DB" w:rsidR="00C8756B" w:rsidRPr="009118AB" w:rsidRDefault="00D40761" w:rsidP="00AA45C3">
      <w:pPr>
        <w:autoSpaceDE w:val="0"/>
        <w:autoSpaceDN w:val="0"/>
        <w:adjustRightInd w:val="0"/>
        <w:jc w:val="center"/>
      </w:pPr>
      <w:r w:rsidRPr="009118AB">
        <w:br w:type="page"/>
      </w:r>
      <w:r w:rsidR="00C8756B" w:rsidRPr="009118AB">
        <w:lastRenderedPageBreak/>
        <w:t>[</w:t>
      </w:r>
      <w:r w:rsidR="00C8756B" w:rsidRPr="009118AB">
        <w:rPr>
          <w:i/>
        </w:rPr>
        <w:t>Abschnitt 5</w:t>
      </w:r>
      <w:r w:rsidR="00D67EB8" w:rsidRPr="009118AB">
        <w:t> - </w:t>
      </w:r>
      <w:r w:rsidR="00C8756B" w:rsidRPr="009118AB">
        <w:t>Anrechnung der Steuerermäßigungen und Steuersenkungen]</w:t>
      </w:r>
    </w:p>
    <w:p w14:paraId="3B3F70EF" w14:textId="77777777" w:rsidR="00C8756B" w:rsidRPr="009118AB" w:rsidRDefault="00C8756B" w:rsidP="00311E0F">
      <w:pPr>
        <w:autoSpaceDE w:val="0"/>
        <w:autoSpaceDN w:val="0"/>
        <w:adjustRightInd w:val="0"/>
        <w:jc w:val="center"/>
      </w:pPr>
    </w:p>
    <w:p w14:paraId="0BDC41F1" w14:textId="235935A6" w:rsidR="00C8756B" w:rsidRPr="009118AB" w:rsidRDefault="00C8756B" w:rsidP="00C8756B">
      <w:pPr>
        <w:autoSpaceDE w:val="0"/>
        <w:autoSpaceDN w:val="0"/>
        <w:adjustRightInd w:val="0"/>
        <w:jc w:val="both"/>
        <w:rPr>
          <w:i/>
          <w:iCs/>
        </w:rPr>
      </w:pPr>
      <w:r w:rsidRPr="009118AB">
        <w:rPr>
          <w:i/>
        </w:rPr>
        <w:t xml:space="preserve">[Unterteilung Abschnitt 5 eingefügt durch </w:t>
      </w:r>
      <w:r w:rsidR="00D67EB8" w:rsidRPr="009118AB">
        <w:rPr>
          <w:i/>
        </w:rPr>
        <w:t>Art. </w:t>
      </w:r>
      <w:r w:rsidRPr="009118AB">
        <w:rPr>
          <w:i/>
        </w:rPr>
        <w:t>70 des G. vom 8. Mai 2014 (B.S. vom 28. Mai 2014)</w:t>
      </w:r>
      <w:r w:rsidR="00D67EB8" w:rsidRPr="009118AB">
        <w:rPr>
          <w:i/>
        </w:rPr>
        <w:t> - </w:t>
      </w:r>
      <w:r w:rsidRPr="009118AB">
        <w:rPr>
          <w:i/>
          <w:iCs/>
        </w:rPr>
        <w:t>anwendbar ab dem Steuerjahr 2015</w:t>
      </w:r>
      <w:r w:rsidR="00FD68E8" w:rsidRPr="009118AB">
        <w:rPr>
          <w:i/>
          <w:iCs/>
        </w:rPr>
        <w:t> -]</w:t>
      </w:r>
    </w:p>
    <w:p w14:paraId="1BDA681C" w14:textId="77777777" w:rsidR="00C8756B" w:rsidRPr="009118AB" w:rsidRDefault="00C8756B" w:rsidP="00C8756B">
      <w:pPr>
        <w:autoSpaceDE w:val="0"/>
        <w:autoSpaceDN w:val="0"/>
        <w:adjustRightInd w:val="0"/>
        <w:jc w:val="both"/>
        <w:rPr>
          <w:i/>
          <w:iCs/>
        </w:rPr>
      </w:pPr>
    </w:p>
    <w:p w14:paraId="24D8BE6F" w14:textId="77777777" w:rsidR="00C8756B" w:rsidRPr="009118AB" w:rsidRDefault="00C8756B" w:rsidP="00C8756B">
      <w:pPr>
        <w:autoSpaceDE w:val="0"/>
        <w:autoSpaceDN w:val="0"/>
        <w:adjustRightInd w:val="0"/>
        <w:jc w:val="both"/>
        <w:rPr>
          <w:iCs/>
        </w:rPr>
      </w:pPr>
    </w:p>
    <w:p w14:paraId="2A0E6E02" w14:textId="0B3F4188" w:rsidR="00CF38CA" w:rsidRPr="009118AB" w:rsidRDefault="00C8756B" w:rsidP="00CF38CA">
      <w:pPr>
        <w:jc w:val="both"/>
      </w:pPr>
      <w:r w:rsidRPr="009118AB">
        <w:rPr>
          <w:iCs/>
        </w:rPr>
        <w:tab/>
        <w:t>[</w:t>
      </w:r>
      <w:r w:rsidR="00D67EB8" w:rsidRPr="009118AB">
        <w:rPr>
          <w:b/>
        </w:rPr>
        <w:t>Art. </w:t>
      </w:r>
      <w:r w:rsidR="00CF38CA" w:rsidRPr="009118AB">
        <w:rPr>
          <w:b/>
        </w:rPr>
        <w:t>178/1</w:t>
      </w:r>
      <w:r w:rsidR="00D67EB8" w:rsidRPr="009118AB">
        <w:t> - § </w:t>
      </w:r>
      <w:r w:rsidR="00CF38CA" w:rsidRPr="009118AB">
        <w:t>1</w:t>
      </w:r>
      <w:r w:rsidR="00D67EB8" w:rsidRPr="009118AB">
        <w:t> - </w:t>
      </w:r>
      <w:r w:rsidR="00CF38CA" w:rsidRPr="009118AB">
        <w:t>In den Artikeln 145</w:t>
      </w:r>
      <w:r w:rsidR="00CF38CA" w:rsidRPr="009118AB">
        <w:rPr>
          <w:vertAlign w:val="superscript"/>
        </w:rPr>
        <w:t>1</w:t>
      </w:r>
      <w:r w:rsidR="00CF38CA" w:rsidRPr="009118AB">
        <w:t xml:space="preserve"> bis 145</w:t>
      </w:r>
      <w:r w:rsidR="00CF38CA" w:rsidRPr="009118AB">
        <w:rPr>
          <w:vertAlign w:val="superscript"/>
        </w:rPr>
        <w:t>16</w:t>
      </w:r>
      <w:r w:rsidR="00CF38CA" w:rsidRPr="009118AB">
        <w:t>, 145</w:t>
      </w:r>
      <w:r w:rsidR="00CF38CA" w:rsidRPr="009118AB">
        <w:rPr>
          <w:vertAlign w:val="superscript"/>
        </w:rPr>
        <w:t>24</w:t>
      </w:r>
      <w:r w:rsidR="00CF38CA" w:rsidRPr="009118AB">
        <w:t xml:space="preserve">, </w:t>
      </w:r>
      <w:r w:rsidR="00D167D5" w:rsidRPr="009118AB">
        <w:t>[</w:t>
      </w:r>
      <w:r w:rsidR="008A3E45" w:rsidRPr="009118AB">
        <w:rPr>
          <w:rFonts w:eastAsia="Calibri"/>
        </w:rPr>
        <w:t>145</w:t>
      </w:r>
      <w:r w:rsidR="008A3E45" w:rsidRPr="009118AB">
        <w:rPr>
          <w:rFonts w:eastAsia="Calibri"/>
          <w:vertAlign w:val="superscript"/>
        </w:rPr>
        <w:t>26</w:t>
      </w:r>
      <w:r w:rsidR="008A3E45" w:rsidRPr="009118AB">
        <w:rPr>
          <w:rFonts w:eastAsia="Calibri"/>
        </w:rPr>
        <w:t xml:space="preserve"> bis 145</w:t>
      </w:r>
      <w:r w:rsidR="008A3E45" w:rsidRPr="009118AB">
        <w:rPr>
          <w:rFonts w:eastAsia="Calibri"/>
          <w:vertAlign w:val="superscript"/>
        </w:rPr>
        <w:t>28</w:t>
      </w:r>
      <w:r w:rsidR="00D167D5" w:rsidRPr="009118AB">
        <w:t>]</w:t>
      </w:r>
      <w:r w:rsidR="00CF38CA" w:rsidRPr="009118AB">
        <w:t>, 145</w:t>
      </w:r>
      <w:r w:rsidR="00CF38CA" w:rsidRPr="009118AB">
        <w:rPr>
          <w:vertAlign w:val="superscript"/>
        </w:rPr>
        <w:t>32</w:t>
      </w:r>
      <w:r w:rsidR="00CF38CA" w:rsidRPr="009118AB">
        <w:t xml:space="preserve"> </w:t>
      </w:r>
      <w:r w:rsidR="00793869" w:rsidRPr="009118AB">
        <w:t>[bis 145</w:t>
      </w:r>
      <w:r w:rsidR="00793869" w:rsidRPr="009118AB">
        <w:rPr>
          <w:vertAlign w:val="superscript"/>
        </w:rPr>
        <w:t>35</w:t>
      </w:r>
      <w:r w:rsidR="00793869" w:rsidRPr="009118AB">
        <w:t xml:space="preserve">, </w:t>
      </w:r>
      <w:r w:rsidR="00FC588F" w:rsidRPr="009118AB">
        <w:t>[</w:t>
      </w:r>
      <w:r w:rsidR="00642026" w:rsidRPr="009118AB">
        <w:rPr>
          <w:rFonts w:eastAsia="Calibri"/>
          <w:szCs w:val="22"/>
          <w:lang w:eastAsia="en-US"/>
        </w:rPr>
        <w:t>145</w:t>
      </w:r>
      <w:r w:rsidR="00642026" w:rsidRPr="009118AB">
        <w:rPr>
          <w:rFonts w:eastAsia="Calibri"/>
          <w:szCs w:val="22"/>
          <w:vertAlign w:val="superscript"/>
          <w:lang w:eastAsia="en-US"/>
        </w:rPr>
        <w:t>48</w:t>
      </w:r>
      <w:r w:rsidR="00642026" w:rsidRPr="009118AB">
        <w:rPr>
          <w:rFonts w:eastAsia="Calibri"/>
          <w:szCs w:val="22"/>
          <w:lang w:eastAsia="en-US"/>
        </w:rPr>
        <w:t xml:space="preserve"> bis 145</w:t>
      </w:r>
      <w:r w:rsidR="00642026" w:rsidRPr="009118AB">
        <w:rPr>
          <w:rFonts w:eastAsia="Calibri"/>
          <w:szCs w:val="22"/>
          <w:vertAlign w:val="superscript"/>
          <w:lang w:eastAsia="en-US"/>
        </w:rPr>
        <w:t>50</w:t>
      </w:r>
      <w:r w:rsidR="00642026" w:rsidRPr="009118AB">
        <w:rPr>
          <w:rFonts w:eastAsia="Calibri"/>
          <w:szCs w:val="22"/>
          <w:lang w:eastAsia="en-US"/>
        </w:rPr>
        <w:t xml:space="preserve"> und 154</w:t>
      </w:r>
      <w:r w:rsidR="00642026" w:rsidRPr="009118AB">
        <w:rPr>
          <w:rFonts w:eastAsia="Calibri"/>
          <w:i/>
          <w:iCs/>
          <w:szCs w:val="22"/>
          <w:lang w:eastAsia="en-US"/>
        </w:rPr>
        <w:t>bis</w:t>
      </w:r>
      <w:r w:rsidR="00FC588F" w:rsidRPr="009118AB">
        <w:t>]</w:t>
      </w:r>
      <w:r w:rsidR="005B7E1A" w:rsidRPr="009118AB">
        <w:t>]</w:t>
      </w:r>
      <w:r w:rsidR="00CF38CA" w:rsidRPr="009118AB">
        <w:t xml:space="preserve"> erwähnte Steuerermäßigungen werden angerechnet auf die reduzierte Staatssteuer in Bezug auf die gemäß Artikel 130 besteuerten Einkünfte und auf die Steuer in Bezug auf die in den Artikeln 17 </w:t>
      </w:r>
      <w:r w:rsidR="00D67EB8" w:rsidRPr="009118AB">
        <w:t>§ </w:t>
      </w:r>
      <w:r w:rsidR="00CF38CA" w:rsidRPr="009118AB">
        <w:t xml:space="preserve">1 </w:t>
      </w:r>
      <w:r w:rsidR="00D67EB8" w:rsidRPr="009118AB">
        <w:t>Nr. </w:t>
      </w:r>
      <w:r w:rsidR="00CF38CA" w:rsidRPr="009118AB">
        <w:t xml:space="preserve">1 bis 3 </w:t>
      </w:r>
      <w:r w:rsidR="00D61E20" w:rsidRPr="009118AB">
        <w:t xml:space="preserve">[und 90 Absatz 1 </w:t>
      </w:r>
      <w:r w:rsidR="00D67EB8" w:rsidRPr="009118AB">
        <w:t>Nr. </w:t>
      </w:r>
      <w:r w:rsidR="00D61E20" w:rsidRPr="009118AB">
        <w:t xml:space="preserve">6 und </w:t>
      </w:r>
      <w:r w:rsidR="000F3808" w:rsidRPr="009118AB">
        <w:t>9</w:t>
      </w:r>
      <w:r w:rsidR="00D61E20" w:rsidRPr="009118AB">
        <w:t>]</w:t>
      </w:r>
      <w:r w:rsidR="00CF38CA" w:rsidRPr="009118AB">
        <w:t xml:space="preserve"> erwähnten Einkünfte und in Bezug auf die aufgrund von </w:t>
      </w:r>
      <w:r w:rsidR="00D61E20" w:rsidRPr="009118AB">
        <w:rPr>
          <w:iCs/>
        </w:rPr>
        <w:t xml:space="preserve">[Artikel 90 Absatz 1 </w:t>
      </w:r>
      <w:r w:rsidR="00D67EB8" w:rsidRPr="009118AB">
        <w:rPr>
          <w:iCs/>
        </w:rPr>
        <w:t>Nr. </w:t>
      </w:r>
      <w:r w:rsidR="00D61E20" w:rsidRPr="009118AB">
        <w:rPr>
          <w:iCs/>
        </w:rPr>
        <w:t xml:space="preserve">1] </w:t>
      </w:r>
      <w:r w:rsidR="00CF38CA" w:rsidRPr="009118AB">
        <w:t>steuerpflichtigen Mehrwerte auf Wertpapiere und Effekten, wenn sie gemäß Artikel 130 besteuert werden.</w:t>
      </w:r>
    </w:p>
    <w:p w14:paraId="069F19B9" w14:textId="77777777" w:rsidR="00CF38CA" w:rsidRPr="009118AB" w:rsidRDefault="00CF38CA" w:rsidP="00CF38CA">
      <w:pPr>
        <w:jc w:val="both"/>
      </w:pPr>
    </w:p>
    <w:p w14:paraId="20AA7D44" w14:textId="77777777" w:rsidR="00CF38CA" w:rsidRPr="009118AB" w:rsidRDefault="00CF38CA" w:rsidP="00CF38CA">
      <w:pPr>
        <w:jc w:val="both"/>
      </w:pPr>
      <w:r w:rsidRPr="009118AB">
        <w:tab/>
        <w:t>In Absatz 1 erwähnte Steuerermäßigungen, die nicht auf die dort erwähnte Steuer angerechnet werden können, werden auf die regionale Steuer der natürlichen Personen in Bezug auf die gemäß Artikel 130 besteuerten Einkünfte angerechnet.</w:t>
      </w:r>
    </w:p>
    <w:p w14:paraId="47944FE0" w14:textId="77777777" w:rsidR="00CF38CA" w:rsidRPr="009118AB" w:rsidRDefault="00CF38CA" w:rsidP="00CF38CA">
      <w:pPr>
        <w:jc w:val="both"/>
      </w:pPr>
    </w:p>
    <w:p w14:paraId="1FC92ABB" w14:textId="661F9948" w:rsidR="00CF38CA" w:rsidRPr="009118AB" w:rsidRDefault="00CF38CA" w:rsidP="00CF38CA">
      <w:pPr>
        <w:jc w:val="both"/>
      </w:pPr>
      <w:r w:rsidRPr="009118AB">
        <w:tab/>
      </w:r>
      <w:r w:rsidR="00D67EB8" w:rsidRPr="009118AB">
        <w:t>§ </w:t>
      </w:r>
      <w:r w:rsidRPr="009118AB">
        <w:t>2</w:t>
      </w:r>
      <w:r w:rsidR="00D67EB8" w:rsidRPr="009118AB">
        <w:t> - </w:t>
      </w:r>
      <w:r w:rsidRPr="009118AB">
        <w:t>Steuerermäßigungen und Steuersenkungen werden auf die Steuer in Bezug auf jede Einkommenskategorie im Verhältnis zu der Steuer in Bezug auf jede dieser Kategorien angerechnet.</w:t>
      </w:r>
    </w:p>
    <w:p w14:paraId="0379000F" w14:textId="77777777" w:rsidR="00CF38CA" w:rsidRPr="009118AB" w:rsidRDefault="00CF38CA" w:rsidP="00CF38CA">
      <w:pPr>
        <w:jc w:val="both"/>
      </w:pPr>
    </w:p>
    <w:p w14:paraId="5403F4CC" w14:textId="77777777" w:rsidR="00CF38CA" w:rsidRPr="009118AB" w:rsidRDefault="00CF38CA" w:rsidP="00CF38CA">
      <w:pPr>
        <w:jc w:val="both"/>
      </w:pPr>
      <w:r w:rsidRPr="009118AB">
        <w:tab/>
        <w:t>Steuerermäßigungen werden in nachstehend erwähnter Reihenfolge angerechnet:</w:t>
      </w:r>
    </w:p>
    <w:p w14:paraId="36D31C8A" w14:textId="77777777" w:rsidR="00CF38CA" w:rsidRPr="009118AB" w:rsidRDefault="00CF38CA" w:rsidP="00CF38CA">
      <w:pPr>
        <w:jc w:val="both"/>
      </w:pPr>
    </w:p>
    <w:p w14:paraId="5BFA9939" w14:textId="77777777" w:rsidR="00CF38CA" w:rsidRPr="009118AB" w:rsidRDefault="00CF38CA" w:rsidP="00CF38CA">
      <w:pPr>
        <w:jc w:val="both"/>
      </w:pPr>
      <w:r w:rsidRPr="009118AB">
        <w:tab/>
        <w:t>1. Zuerst werden Steuerermäßigungen, die weder in eine Steuergutschrift umgewandelt noch später besteuert werden können, in der Reihenfolge angerechnet, in der sie in vorliegendem Gesetzbuch aufgenommen sind.</w:t>
      </w:r>
    </w:p>
    <w:p w14:paraId="37D4F74D" w14:textId="77777777" w:rsidR="00CF38CA" w:rsidRPr="009118AB" w:rsidRDefault="00CF38CA" w:rsidP="00CF38CA">
      <w:pPr>
        <w:jc w:val="both"/>
      </w:pPr>
    </w:p>
    <w:p w14:paraId="0020056A" w14:textId="77777777" w:rsidR="00CF38CA" w:rsidRPr="009118AB" w:rsidRDefault="00CF38CA" w:rsidP="00CF38CA">
      <w:pPr>
        <w:jc w:val="both"/>
      </w:pPr>
      <w:r w:rsidRPr="009118AB">
        <w:tab/>
        <w:t>2. Anschließend werden Steuerermäßigungen, die nicht in eine Steuergutschrift umgewandelt, aber später besteuert werden können, in der Reihenfolge angerechnet, in der sie in vorliegendem Gesetzbuch aufgenommen sind.</w:t>
      </w:r>
    </w:p>
    <w:p w14:paraId="677C6F13" w14:textId="77777777" w:rsidR="00CF38CA" w:rsidRPr="009118AB" w:rsidRDefault="00CF38CA" w:rsidP="00CF38CA">
      <w:pPr>
        <w:jc w:val="both"/>
      </w:pPr>
    </w:p>
    <w:p w14:paraId="2BBE1541" w14:textId="77777777" w:rsidR="00C8756B" w:rsidRPr="009118AB" w:rsidRDefault="00CF38CA" w:rsidP="00CF38CA">
      <w:pPr>
        <w:autoSpaceDE w:val="0"/>
        <w:autoSpaceDN w:val="0"/>
        <w:adjustRightInd w:val="0"/>
        <w:jc w:val="both"/>
      </w:pPr>
      <w:r w:rsidRPr="009118AB">
        <w:tab/>
        <w:t>3. Schließlich werden Steuerermäßigungen, die in eine Steuergutschrift umgewandelt werden können, angerechnet.]</w:t>
      </w:r>
    </w:p>
    <w:p w14:paraId="36422F50" w14:textId="77777777" w:rsidR="00CF38CA" w:rsidRPr="009118AB" w:rsidRDefault="00CF38CA" w:rsidP="00CF38CA">
      <w:pPr>
        <w:autoSpaceDE w:val="0"/>
        <w:autoSpaceDN w:val="0"/>
        <w:adjustRightInd w:val="0"/>
        <w:jc w:val="both"/>
      </w:pPr>
    </w:p>
    <w:p w14:paraId="241DDB98" w14:textId="34D7426E" w:rsidR="00CF38CA" w:rsidRPr="009118AB" w:rsidRDefault="00CF38CA" w:rsidP="00CF38CA">
      <w:pPr>
        <w:autoSpaceDE w:val="0"/>
        <w:autoSpaceDN w:val="0"/>
        <w:adjustRightInd w:val="0"/>
        <w:jc w:val="both"/>
        <w:rPr>
          <w:i/>
          <w:iCs/>
        </w:rPr>
      </w:pPr>
      <w:r w:rsidRPr="009118AB">
        <w:rPr>
          <w:i/>
        </w:rPr>
        <w:t>[</w:t>
      </w:r>
      <w:r w:rsidR="00D67EB8" w:rsidRPr="009118AB">
        <w:rPr>
          <w:i/>
        </w:rPr>
        <w:t>Art. </w:t>
      </w:r>
      <w:r w:rsidRPr="009118AB">
        <w:rPr>
          <w:i/>
        </w:rPr>
        <w:t xml:space="preserve">178/1 eingefügt durch </w:t>
      </w:r>
      <w:r w:rsidR="00D67EB8" w:rsidRPr="009118AB">
        <w:rPr>
          <w:i/>
        </w:rPr>
        <w:t>Art. </w:t>
      </w:r>
      <w:r w:rsidRPr="009118AB">
        <w:rPr>
          <w:i/>
        </w:rPr>
        <w:t>71 des G. vom 8. Mai 2014 (B.S. vom 28. Mai 2014)</w:t>
      </w:r>
      <w:r w:rsidR="00D67EB8" w:rsidRPr="009118AB">
        <w:rPr>
          <w:i/>
        </w:rPr>
        <w:t> - </w:t>
      </w:r>
      <w:r w:rsidRPr="009118AB">
        <w:rPr>
          <w:i/>
          <w:iCs/>
        </w:rPr>
        <w:t>anwendbar ab dem Steuerjahr 2015</w:t>
      </w:r>
      <w:r w:rsidR="003366D9" w:rsidRPr="009118AB">
        <w:rPr>
          <w:i/>
          <w:iCs/>
        </w:rPr>
        <w:t> -;</w:t>
      </w:r>
      <w:r w:rsidR="00D167D5" w:rsidRPr="009118AB">
        <w:rPr>
          <w:i/>
          <w:iCs/>
        </w:rPr>
        <w:t xml:space="preserve"> </w:t>
      </w:r>
      <w:r w:rsidR="00D67EB8" w:rsidRPr="009118AB">
        <w:rPr>
          <w:i/>
          <w:iCs/>
        </w:rPr>
        <w:t>§ </w:t>
      </w:r>
      <w:r w:rsidR="00D167D5" w:rsidRPr="009118AB">
        <w:rPr>
          <w:i/>
          <w:iCs/>
        </w:rPr>
        <w:t xml:space="preserve">1 </w:t>
      </w:r>
      <w:r w:rsidR="00D67EB8" w:rsidRPr="009118AB">
        <w:rPr>
          <w:i/>
          <w:iCs/>
        </w:rPr>
        <w:t>Abs. </w:t>
      </w:r>
      <w:r w:rsidR="00D167D5" w:rsidRPr="009118AB">
        <w:rPr>
          <w:i/>
          <w:iCs/>
        </w:rPr>
        <w:t xml:space="preserve">1 abgeändert durch </w:t>
      </w:r>
      <w:r w:rsidR="00D67EB8" w:rsidRPr="009118AB">
        <w:rPr>
          <w:i/>
          <w:iCs/>
        </w:rPr>
        <w:t>Art. </w:t>
      </w:r>
      <w:r w:rsidR="00D167D5" w:rsidRPr="009118AB">
        <w:rPr>
          <w:i/>
          <w:iCs/>
        </w:rPr>
        <w:t>51 des G. vom 10. August 2015 (B.S. vom 18. August 2015)</w:t>
      </w:r>
      <w:r w:rsidR="00D67EB8" w:rsidRPr="009118AB">
        <w:rPr>
          <w:i/>
          <w:iCs/>
        </w:rPr>
        <w:t> - </w:t>
      </w:r>
      <w:r w:rsidR="00D167D5" w:rsidRPr="009118AB">
        <w:rPr>
          <w:i/>
          <w:iCs/>
        </w:rPr>
        <w:t>anwendbar ab dem Steuerjahr 2016</w:t>
      </w:r>
      <w:r w:rsidR="00FD68E8" w:rsidRPr="009118AB">
        <w:rPr>
          <w:i/>
          <w:iCs/>
        </w:rPr>
        <w:t> -,</w:t>
      </w:r>
      <w:r w:rsidR="00D61E20" w:rsidRPr="009118AB">
        <w:rPr>
          <w:i/>
          <w:iCs/>
        </w:rPr>
        <w:t xml:space="preserve"> </w:t>
      </w:r>
      <w:r w:rsidR="00D67EB8" w:rsidRPr="009118AB">
        <w:rPr>
          <w:i/>
          <w:iCs/>
        </w:rPr>
        <w:t>Art. </w:t>
      </w:r>
      <w:r w:rsidR="00D61E20" w:rsidRPr="009118AB">
        <w:rPr>
          <w:i/>
          <w:iCs/>
        </w:rPr>
        <w:t>70</w:t>
      </w:r>
      <w:r w:rsidR="00D61E20" w:rsidRPr="009118AB">
        <w:rPr>
          <w:i/>
        </w:rPr>
        <w:t xml:space="preserve"> des G. vom 26. Dezember 2015 (II) (B.S. vom 30. Dezember 2015)</w:t>
      </w:r>
      <w:r w:rsidR="00D67EB8" w:rsidRPr="009118AB">
        <w:t> - </w:t>
      </w:r>
      <w:r w:rsidR="00D61E20" w:rsidRPr="009118AB">
        <w:rPr>
          <w:i/>
        </w:rPr>
        <w:t xml:space="preserve">anwendbar auf Mehrwerte, die auf börsennotierte Aktien oder Anteile, Optionen, Optionsscheine oder andere börsennotierte Finanzinstrumente verwirklicht werden, die entweder ab dem 1. Januar 2016 </w:t>
      </w:r>
      <w:r w:rsidR="00D61E20" w:rsidRPr="009118AB">
        <w:rPr>
          <w:rFonts w:ascii="Times New Roman Italique" w:hAnsi="Times New Roman Italique"/>
          <w:i/>
          <w:spacing w:val="-2"/>
        </w:rPr>
        <w:t>entgeltlich erworben werden oder im Falle eines Leerverkaufs ab dem 1. Januar 2016 verkauft werden</w:t>
      </w:r>
      <w:r w:rsidR="00FD68E8" w:rsidRPr="009118AB">
        <w:rPr>
          <w:rFonts w:ascii="Times New Roman Italique" w:hAnsi="Times New Roman Italique"/>
          <w:i/>
          <w:spacing w:val="-2"/>
        </w:rPr>
        <w:t> -,</w:t>
      </w:r>
      <w:r w:rsidR="000F3808" w:rsidRPr="009118AB">
        <w:rPr>
          <w:rFonts w:ascii="Times New Roman Italique" w:hAnsi="Times New Roman Italique"/>
          <w:i/>
          <w:spacing w:val="-2"/>
        </w:rPr>
        <w:t xml:space="preserve"> </w:t>
      </w:r>
      <w:r w:rsidR="00D67EB8" w:rsidRPr="009118AB">
        <w:rPr>
          <w:rFonts w:ascii="Times New Roman Italique" w:hAnsi="Times New Roman Italique"/>
          <w:i/>
          <w:spacing w:val="-2"/>
        </w:rPr>
        <w:t>Art. </w:t>
      </w:r>
      <w:r w:rsidR="000F3808" w:rsidRPr="009118AB">
        <w:rPr>
          <w:rFonts w:ascii="Times New Roman Italique" w:hAnsi="Times New Roman Italique"/>
          <w:i/>
          <w:spacing w:val="-2"/>
        </w:rPr>
        <w:t>85 des G. vom 25. Dezember 2016</w:t>
      </w:r>
      <w:r w:rsidR="001022BB" w:rsidRPr="009118AB">
        <w:rPr>
          <w:rFonts w:ascii="Times New Roman Italique" w:hAnsi="Times New Roman Italique"/>
          <w:i/>
          <w:spacing w:val="-2"/>
        </w:rPr>
        <w:t> (I)</w:t>
      </w:r>
      <w:r w:rsidR="000F3808" w:rsidRPr="009118AB">
        <w:rPr>
          <w:rFonts w:ascii="Times New Roman Italique" w:hAnsi="Times New Roman Italique"/>
          <w:i/>
          <w:spacing w:val="-2"/>
        </w:rPr>
        <w:t xml:space="preserve"> (B.S. vom 29. Dezember 2016)</w:t>
      </w:r>
      <w:r w:rsidR="00D67EB8" w:rsidRPr="009118AB">
        <w:rPr>
          <w:rFonts w:ascii="Times New Roman Italique" w:hAnsi="Times New Roman Italique"/>
          <w:i/>
          <w:spacing w:val="-2"/>
        </w:rPr>
        <w:t> - </w:t>
      </w:r>
      <w:r w:rsidR="000F3808" w:rsidRPr="009118AB">
        <w:rPr>
          <w:rFonts w:ascii="Times New Roman Italique" w:hAnsi="Times New Roman Italique"/>
          <w:i/>
          <w:spacing w:val="-2"/>
        </w:rPr>
        <w:t>in Kraft am 1. Januar 2017 und anwendbar auf die ab dem 1. Januar 2017 verwirklichten Mehrwerte</w:t>
      </w:r>
      <w:r w:rsidR="00FD68E8" w:rsidRPr="009118AB">
        <w:rPr>
          <w:rFonts w:ascii="Times New Roman Italique" w:hAnsi="Times New Roman Italique"/>
          <w:i/>
          <w:spacing w:val="-2"/>
        </w:rPr>
        <w:t> -,</w:t>
      </w:r>
      <w:r w:rsidR="00B51AC9" w:rsidRPr="009118AB">
        <w:rPr>
          <w:i/>
        </w:rPr>
        <w:t xml:space="preserve"> </w:t>
      </w:r>
      <w:r w:rsidR="00D67EB8" w:rsidRPr="009118AB">
        <w:rPr>
          <w:i/>
        </w:rPr>
        <w:t>Art. </w:t>
      </w:r>
      <w:r w:rsidR="00793869" w:rsidRPr="009118AB">
        <w:rPr>
          <w:i/>
        </w:rPr>
        <w:t>6 des G. vom 11. März 2018 (B.S. vom 23. März 2018)</w:t>
      </w:r>
      <w:r w:rsidR="00D67EB8" w:rsidRPr="009118AB">
        <w:rPr>
          <w:i/>
        </w:rPr>
        <w:t> - </w:t>
      </w:r>
      <w:r w:rsidR="00793869" w:rsidRPr="009118AB">
        <w:rPr>
          <w:i/>
        </w:rPr>
        <w:t>anwendbar ab dem Steuerjahr 2019</w:t>
      </w:r>
      <w:r w:rsidR="00FD68E8" w:rsidRPr="009118AB">
        <w:rPr>
          <w:i/>
        </w:rPr>
        <w:t> -,</w:t>
      </w:r>
      <w:r w:rsidR="00B51AC9" w:rsidRPr="009118AB">
        <w:rPr>
          <w:i/>
        </w:rPr>
        <w:t xml:space="preserve"> </w:t>
      </w:r>
      <w:r w:rsidR="00D67EB8" w:rsidRPr="009118AB">
        <w:rPr>
          <w:i/>
        </w:rPr>
        <w:t>Art. </w:t>
      </w:r>
      <w:r w:rsidR="00B51AC9" w:rsidRPr="009118AB">
        <w:rPr>
          <w:i/>
        </w:rPr>
        <w:t xml:space="preserve">34 </w:t>
      </w:r>
      <w:r w:rsidR="00B51AC9" w:rsidRPr="009118AB">
        <w:rPr>
          <w:i/>
          <w:iCs/>
        </w:rPr>
        <w:t>des G. vom 26. März 2018 (B.S. vom 30. März 2018)</w:t>
      </w:r>
      <w:r w:rsidR="00D67EB8" w:rsidRPr="009118AB">
        <w:rPr>
          <w:i/>
          <w:iCs/>
        </w:rPr>
        <w:t> - </w:t>
      </w:r>
      <w:r w:rsidR="00FC588F" w:rsidRPr="009118AB">
        <w:rPr>
          <w:i/>
          <w:iCs/>
        </w:rPr>
        <w:t>wirksam ab dem Steuerjahr 2019</w:t>
      </w:r>
      <w:r w:rsidR="00FD68E8" w:rsidRPr="009118AB">
        <w:rPr>
          <w:i/>
          <w:iCs/>
        </w:rPr>
        <w:t> -,</w:t>
      </w:r>
      <w:r w:rsidR="00FC588F" w:rsidRPr="009118AB">
        <w:rPr>
          <w:i/>
          <w:iCs/>
        </w:rPr>
        <w:t xml:space="preserve"> </w:t>
      </w:r>
      <w:r w:rsidR="00D67EB8" w:rsidRPr="009118AB">
        <w:rPr>
          <w:i/>
          <w:iCs/>
        </w:rPr>
        <w:t>Art. </w:t>
      </w:r>
      <w:r w:rsidR="00FC588F" w:rsidRPr="009118AB">
        <w:rPr>
          <w:i/>
          <w:iCs/>
        </w:rPr>
        <w:t>18</w:t>
      </w:r>
      <w:r w:rsidR="00FC588F" w:rsidRPr="009118AB">
        <w:rPr>
          <w:rFonts w:ascii="Times New Roman Italique" w:hAnsi="Times New Roman Italique"/>
          <w:i/>
        </w:rPr>
        <w:t xml:space="preserve"> des G. vom 22. April 2019</w:t>
      </w:r>
      <w:r w:rsidR="00E9160D" w:rsidRPr="009118AB">
        <w:rPr>
          <w:rFonts w:ascii="Times New Roman Italique" w:hAnsi="Times New Roman Italique"/>
          <w:i/>
        </w:rPr>
        <w:t> (I)</w:t>
      </w:r>
      <w:r w:rsidR="00FC588F" w:rsidRPr="009118AB">
        <w:rPr>
          <w:rFonts w:ascii="Times New Roman Italique" w:hAnsi="Times New Roman Italique"/>
          <w:i/>
        </w:rPr>
        <w:t xml:space="preserve"> (B.S. vom 8. Mai 2019)</w:t>
      </w:r>
      <w:r w:rsidR="00D67EB8" w:rsidRPr="009118AB">
        <w:rPr>
          <w:rFonts w:ascii="Times New Roman Italique" w:hAnsi="Times New Roman Italique"/>
          <w:i/>
        </w:rPr>
        <w:t> - </w:t>
      </w:r>
      <w:r w:rsidR="00FC588F" w:rsidRPr="009118AB">
        <w:rPr>
          <w:rFonts w:ascii="Times New Roman Italique" w:hAnsi="Times New Roman Italique"/>
          <w:i/>
        </w:rPr>
        <w:t>anwendbar ab dem Steuerjahr 2020 auf die ab dem 1. September 2019 gezahlten Prämien</w:t>
      </w:r>
      <w:r w:rsidR="00D67EB8" w:rsidRPr="009118AB">
        <w:rPr>
          <w:rFonts w:ascii="Times New Roman Italique" w:hAnsi="Times New Roman Italique"/>
          <w:i/>
        </w:rPr>
        <w:t> - </w:t>
      </w:r>
      <w:r w:rsidR="00642026" w:rsidRPr="009118AB">
        <w:rPr>
          <w:rFonts w:ascii="Times New Roman Italique" w:hAnsi="Times New Roman Italique"/>
          <w:i/>
        </w:rPr>
        <w:t xml:space="preserve">und </w:t>
      </w:r>
      <w:r w:rsidR="00D67EB8" w:rsidRPr="009118AB">
        <w:rPr>
          <w:rFonts w:ascii="Times New Roman Italique" w:hAnsi="Times New Roman Italique"/>
          <w:i/>
        </w:rPr>
        <w:t>Art. </w:t>
      </w:r>
      <w:r w:rsidR="00642026" w:rsidRPr="009118AB">
        <w:rPr>
          <w:rFonts w:ascii="Times New Roman Italique" w:hAnsi="Times New Roman Italique"/>
          <w:i/>
        </w:rPr>
        <w:t>18</w:t>
      </w:r>
      <w:r w:rsidR="00642026" w:rsidRPr="009118AB">
        <w:rPr>
          <w:rFonts w:eastAsia="Calibri"/>
          <w:i/>
          <w:iCs/>
          <w:lang w:eastAsia="en-US"/>
        </w:rPr>
        <w:t xml:space="preserve"> des G. vom 25. November 2021 (B.S. vom 3. Dezember 2021)</w:t>
      </w:r>
      <w:r w:rsidR="00D67EB8" w:rsidRPr="009118AB">
        <w:rPr>
          <w:rFonts w:eastAsia="Calibri"/>
          <w:i/>
          <w:iCs/>
          <w:lang w:eastAsia="en-US"/>
        </w:rPr>
        <w:t> - </w:t>
      </w:r>
      <w:r w:rsidR="00642026" w:rsidRPr="009118AB">
        <w:rPr>
          <w:rFonts w:eastAsia="Calibri"/>
          <w:i/>
          <w:iCs/>
          <w:lang w:eastAsia="en-US"/>
        </w:rPr>
        <w:t>wirksam mit 1. September 2021</w:t>
      </w:r>
      <w:r w:rsidR="00FD68E8" w:rsidRPr="009118AB">
        <w:rPr>
          <w:rFonts w:eastAsia="Calibri"/>
          <w:i/>
          <w:iCs/>
          <w:lang w:eastAsia="en-US"/>
        </w:rPr>
        <w:t> -]</w:t>
      </w:r>
    </w:p>
    <w:p w14:paraId="287E0D4B" w14:textId="304298A3" w:rsidR="00477B8F" w:rsidRPr="009118AB" w:rsidRDefault="00477B8F" w:rsidP="00311E0F">
      <w:pPr>
        <w:autoSpaceDE w:val="0"/>
        <w:autoSpaceDN w:val="0"/>
        <w:adjustRightInd w:val="0"/>
        <w:jc w:val="center"/>
      </w:pPr>
      <w:r w:rsidRPr="009118AB">
        <w:br w:type="page"/>
      </w:r>
      <w:r w:rsidRPr="009118AB">
        <w:rPr>
          <w:b/>
          <w:bCs/>
        </w:rPr>
        <w:lastRenderedPageBreak/>
        <w:t>TITEL III</w:t>
      </w:r>
      <w:r w:rsidR="00D67EB8" w:rsidRPr="009118AB">
        <w:t> - </w:t>
      </w:r>
      <w:r w:rsidRPr="009118AB">
        <w:rPr>
          <w:b/>
          <w:bCs/>
          <w:i/>
          <w:iCs/>
        </w:rPr>
        <w:t>Gesellschaftssteuer</w:t>
      </w:r>
    </w:p>
    <w:p w14:paraId="06D0BD22" w14:textId="77777777" w:rsidR="00477B8F" w:rsidRPr="009118AB" w:rsidRDefault="00477B8F" w:rsidP="00311E0F">
      <w:pPr>
        <w:autoSpaceDE w:val="0"/>
        <w:autoSpaceDN w:val="0"/>
        <w:adjustRightInd w:val="0"/>
        <w:jc w:val="center"/>
      </w:pPr>
    </w:p>
    <w:p w14:paraId="10F46E63" w14:textId="77777777" w:rsidR="00477B8F" w:rsidRPr="009118AB" w:rsidRDefault="00477B8F" w:rsidP="00311E0F">
      <w:pPr>
        <w:autoSpaceDE w:val="0"/>
        <w:autoSpaceDN w:val="0"/>
        <w:adjustRightInd w:val="0"/>
        <w:jc w:val="center"/>
      </w:pPr>
    </w:p>
    <w:p w14:paraId="0C3B85D0" w14:textId="76183417" w:rsidR="00477B8F" w:rsidRPr="009118AB" w:rsidRDefault="00577EF8" w:rsidP="00311E0F">
      <w:pPr>
        <w:autoSpaceDE w:val="0"/>
        <w:autoSpaceDN w:val="0"/>
        <w:adjustRightInd w:val="0"/>
        <w:jc w:val="center"/>
      </w:pPr>
      <w:r w:rsidRPr="009118AB">
        <w:rPr>
          <w:b/>
          <w:bCs/>
        </w:rPr>
        <w:t>KAPITEL </w:t>
      </w:r>
      <w:r w:rsidR="007828ED" w:rsidRPr="009118AB">
        <w:rPr>
          <w:b/>
          <w:bCs/>
        </w:rPr>
        <w:t>1</w:t>
      </w:r>
      <w:r w:rsidR="00D67EB8" w:rsidRPr="009118AB">
        <w:t> - </w:t>
      </w:r>
      <w:r w:rsidR="00477B8F" w:rsidRPr="009118AB">
        <w:rPr>
          <w:i/>
          <w:iCs/>
        </w:rPr>
        <w:t>Steuerpflichtige Gesellschaften</w:t>
      </w:r>
    </w:p>
    <w:p w14:paraId="628938BA" w14:textId="77777777" w:rsidR="00477B8F" w:rsidRPr="009118AB" w:rsidRDefault="00477B8F" w:rsidP="00477B8F">
      <w:pPr>
        <w:autoSpaceDE w:val="0"/>
        <w:autoSpaceDN w:val="0"/>
        <w:adjustRightInd w:val="0"/>
      </w:pPr>
    </w:p>
    <w:p w14:paraId="4552324E" w14:textId="77777777" w:rsidR="00477B8F" w:rsidRPr="009118AB" w:rsidRDefault="00477B8F" w:rsidP="00477B8F">
      <w:pPr>
        <w:autoSpaceDE w:val="0"/>
        <w:autoSpaceDN w:val="0"/>
        <w:adjustRightInd w:val="0"/>
      </w:pPr>
    </w:p>
    <w:p w14:paraId="7D60A20A" w14:textId="45DF4CF0"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179</w:t>
      </w:r>
      <w:r w:rsidR="00D67EB8" w:rsidRPr="009118AB">
        <w:t> - </w:t>
      </w:r>
      <w:r w:rsidRPr="009118AB">
        <w:t xml:space="preserve">Der Gesellschaftssteuer unterliegen inländische Gesellschaften </w:t>
      </w:r>
      <w:r w:rsidR="006F62D6" w:rsidRPr="009118AB">
        <w:t>[…]</w:t>
      </w:r>
      <w:r w:rsidRPr="009118AB">
        <w:t xml:space="preserve"> [und in Artikel 8 des Gesetzes vom 27. Oktober 2006 über die Kontrolle der Einrichtungen der betrieblichen Altersversorgung erwähnte Organismen für die Finanzierung von Pensionen].</w:t>
      </w:r>
    </w:p>
    <w:p w14:paraId="7F355350" w14:textId="77777777" w:rsidR="00477B8F" w:rsidRPr="009118AB" w:rsidRDefault="00477B8F" w:rsidP="00477B8F">
      <w:pPr>
        <w:autoSpaceDE w:val="0"/>
        <w:autoSpaceDN w:val="0"/>
        <w:adjustRightInd w:val="0"/>
        <w:jc w:val="both"/>
      </w:pPr>
    </w:p>
    <w:p w14:paraId="3BCA23AA" w14:textId="5E0DD252"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179 abgeändert durch </w:t>
      </w:r>
      <w:r w:rsidR="00D67EB8" w:rsidRPr="009118AB">
        <w:rPr>
          <w:i/>
          <w:iCs/>
        </w:rPr>
        <w:t>Art. </w:t>
      </w:r>
      <w:r w:rsidRPr="009118AB">
        <w:rPr>
          <w:i/>
          <w:iCs/>
        </w:rPr>
        <w:t xml:space="preserve">319 des G. </w:t>
      </w:r>
      <w:r w:rsidR="0014743B" w:rsidRPr="009118AB">
        <w:rPr>
          <w:i/>
          <w:iCs/>
        </w:rPr>
        <w:t xml:space="preserve">(I) </w:t>
      </w:r>
      <w:r w:rsidRPr="009118AB">
        <w:rPr>
          <w:i/>
          <w:iCs/>
        </w:rPr>
        <w:t>vom 27. Dezember 2006 (I</w:t>
      </w:r>
      <w:r w:rsidR="0014743B" w:rsidRPr="009118AB">
        <w:rPr>
          <w:i/>
          <w:iCs/>
        </w:rPr>
        <w:t>I</w:t>
      </w:r>
      <w:r w:rsidRPr="009118AB">
        <w:rPr>
          <w:i/>
          <w:iCs/>
        </w:rPr>
        <w:t>) (B.S. vom 28. Dezember 2006)</w:t>
      </w:r>
      <w:r w:rsidR="00D67EB8" w:rsidRPr="009118AB">
        <w:rPr>
          <w:i/>
          <w:iCs/>
        </w:rPr>
        <w:t> - </w:t>
      </w:r>
      <w:r w:rsidRPr="009118AB">
        <w:rPr>
          <w:i/>
          <w:iCs/>
        </w:rPr>
        <w:t>in Kraft ab dem 1. Januar 2007 (Für die Anwendung der steuerrechtlichen Bestimmungen gilt für Organismen für gemeinsame Anlagen, auf die die Übergangsbestimmungen des Gesetzes vom 20. Juli 2004 über bestimmte Formen der gemeinsamen Portfolioverwaltung anwendbar sind, dass sie ab dem 1. Januar 2007 der Bestimmung unterliegen, die gemäß ihrer Satzung im Einkommensteuergesetzbuch 1992 verwendet wird.)</w:t>
      </w:r>
      <w:r w:rsidR="00D67EB8" w:rsidRPr="009118AB">
        <w:rPr>
          <w:i/>
          <w:iCs/>
        </w:rPr>
        <w:t> - </w:t>
      </w:r>
      <w:r w:rsidR="006F62D6" w:rsidRPr="009118AB">
        <w:rPr>
          <w:i/>
          <w:iCs/>
        </w:rPr>
        <w:t xml:space="preserve">und </w:t>
      </w:r>
      <w:r w:rsidR="00D67EB8" w:rsidRPr="009118AB">
        <w:rPr>
          <w:i/>
          <w:iCs/>
        </w:rPr>
        <w:t>Art. </w:t>
      </w:r>
      <w:r w:rsidR="006F62D6" w:rsidRPr="009118AB">
        <w:rPr>
          <w:i/>
          <w:iCs/>
        </w:rPr>
        <w:t>18 des G. vom 18. Dezember 2015 (II) (B.S. vom 28. Dezember 2015)</w:t>
      </w:r>
      <w:r w:rsidRPr="009118AB">
        <w:rPr>
          <w:i/>
          <w:iCs/>
        </w:rPr>
        <w:t>]</w:t>
      </w:r>
    </w:p>
    <w:p w14:paraId="54C7177C" w14:textId="77777777" w:rsidR="004674D2" w:rsidRPr="009118AB" w:rsidRDefault="004674D2" w:rsidP="00477B8F">
      <w:pPr>
        <w:autoSpaceDE w:val="0"/>
        <w:autoSpaceDN w:val="0"/>
        <w:adjustRightInd w:val="0"/>
        <w:jc w:val="both"/>
        <w:rPr>
          <w:i/>
          <w:iCs/>
        </w:rPr>
      </w:pPr>
    </w:p>
    <w:p w14:paraId="74DCCB02" w14:textId="77777777" w:rsidR="00477B8F" w:rsidRPr="009118AB" w:rsidRDefault="00477B8F" w:rsidP="00477B8F">
      <w:pPr>
        <w:autoSpaceDE w:val="0"/>
        <w:autoSpaceDN w:val="0"/>
        <w:adjustRightInd w:val="0"/>
        <w:jc w:val="both"/>
      </w:pPr>
    </w:p>
    <w:p w14:paraId="5564F932" w14:textId="4E560990" w:rsidR="00EA2EB8" w:rsidRPr="009118AB" w:rsidRDefault="00EA2EB8" w:rsidP="00477B8F">
      <w:pPr>
        <w:autoSpaceDE w:val="0"/>
        <w:autoSpaceDN w:val="0"/>
        <w:adjustRightInd w:val="0"/>
        <w:jc w:val="both"/>
      </w:pPr>
      <w:r w:rsidRPr="009118AB">
        <w:tab/>
        <w:t>[</w:t>
      </w:r>
      <w:r w:rsidR="00D67EB8" w:rsidRPr="009118AB">
        <w:rPr>
          <w:b/>
        </w:rPr>
        <w:t>Art. </w:t>
      </w:r>
      <w:r w:rsidRPr="009118AB">
        <w:rPr>
          <w:b/>
        </w:rPr>
        <w:t>179/1</w:t>
      </w:r>
      <w:r w:rsidR="00D67EB8" w:rsidRPr="009118AB">
        <w:t> - </w:t>
      </w:r>
      <w:r w:rsidR="00D72ADF" w:rsidRPr="009118AB">
        <w:t>[In Artikel 220 erwähnte Vereinigungen ohne Gewinnerzielungsabsicht und andere juristische Personen, die als in Betracht kommende Produktions</w:t>
      </w:r>
      <w:r w:rsidR="00D72ADF" w:rsidRPr="009118AB">
        <w:softHyphen/>
        <w:t xml:space="preserve">gesellschaft oder als in Betracht kommender Vermittler wie </w:t>
      </w:r>
      <w:r w:rsidR="002766A8" w:rsidRPr="009118AB">
        <w:t>[</w:t>
      </w:r>
      <w:r w:rsidR="00D72ADF" w:rsidRPr="009118AB">
        <w:t>in den Artikeln 194</w:t>
      </w:r>
      <w:r w:rsidR="00D72ADF" w:rsidRPr="009118AB">
        <w:rPr>
          <w:i/>
        </w:rPr>
        <w:t>ter</w:t>
      </w:r>
      <w:r w:rsidR="002766A8" w:rsidRPr="009118AB">
        <w:t>,</w:t>
      </w:r>
      <w:r w:rsidR="00D72ADF" w:rsidRPr="009118AB">
        <w:t xml:space="preserve"> 194</w:t>
      </w:r>
      <w:r w:rsidR="00D72ADF" w:rsidRPr="009118AB">
        <w:rPr>
          <w:i/>
        </w:rPr>
        <w:t>ter</w:t>
      </w:r>
      <w:r w:rsidR="00D72ADF" w:rsidRPr="009118AB">
        <w:t>/1</w:t>
      </w:r>
      <w:r w:rsidR="002766A8" w:rsidRPr="009118AB">
        <w:t xml:space="preserve"> und 194</w:t>
      </w:r>
      <w:r w:rsidR="002766A8" w:rsidRPr="009118AB">
        <w:rPr>
          <w:i/>
        </w:rPr>
        <w:t>ter</w:t>
      </w:r>
      <w:r w:rsidR="002766A8" w:rsidRPr="009118AB">
        <w:t>/3]</w:t>
      </w:r>
      <w:r w:rsidR="00D72ADF" w:rsidRPr="009118AB">
        <w:t xml:space="preserve"> erwähnt zugelassen sind, unterliegen]</w:t>
      </w:r>
      <w:r w:rsidRPr="009118AB">
        <w:t xml:space="preserve"> der Gesellschaftssteuer für das Steuerjahr, das sich auf einen Besteuerungszeitraum bezieht, in dem sie </w:t>
      </w:r>
      <w:r w:rsidR="002766A8" w:rsidRPr="009118AB">
        <w:t>[</w:t>
      </w:r>
      <w:r w:rsidRPr="009118AB">
        <w:t>in Anwendung von Artikel 194</w:t>
      </w:r>
      <w:r w:rsidRPr="009118AB">
        <w:rPr>
          <w:i/>
        </w:rPr>
        <w:t>ter</w:t>
      </w:r>
      <w:r w:rsidR="002766A8" w:rsidRPr="009118AB">
        <w:t>, 194</w:t>
      </w:r>
      <w:r w:rsidR="002766A8" w:rsidRPr="009118AB">
        <w:rPr>
          <w:i/>
        </w:rPr>
        <w:t>ter</w:t>
      </w:r>
      <w:r w:rsidR="002766A8" w:rsidRPr="009118AB">
        <w:t>/1 oder 194</w:t>
      </w:r>
      <w:r w:rsidR="002766A8" w:rsidRPr="009118AB">
        <w:rPr>
          <w:i/>
        </w:rPr>
        <w:t>ter</w:t>
      </w:r>
      <w:r w:rsidR="002766A8" w:rsidRPr="009118AB">
        <w:t>/3]</w:t>
      </w:r>
      <w:r w:rsidRPr="009118AB">
        <w:t xml:space="preserve"> ein Rahmenübereinkommen geschlossen haben, und für die drei darauf folgenden Steuerjahre.]</w:t>
      </w:r>
    </w:p>
    <w:p w14:paraId="1DB8DB8B" w14:textId="77777777" w:rsidR="00EA2EB8" w:rsidRPr="009118AB" w:rsidRDefault="00EA2EB8" w:rsidP="00477B8F">
      <w:pPr>
        <w:autoSpaceDE w:val="0"/>
        <w:autoSpaceDN w:val="0"/>
        <w:adjustRightInd w:val="0"/>
        <w:jc w:val="both"/>
      </w:pPr>
    </w:p>
    <w:p w14:paraId="57CB17F2" w14:textId="76C97628" w:rsidR="00EA2EB8" w:rsidRPr="009118AB" w:rsidRDefault="00EA2EB8" w:rsidP="00477B8F">
      <w:pPr>
        <w:autoSpaceDE w:val="0"/>
        <w:autoSpaceDN w:val="0"/>
        <w:adjustRightInd w:val="0"/>
        <w:jc w:val="both"/>
        <w:rPr>
          <w:i/>
        </w:rPr>
      </w:pPr>
      <w:r w:rsidRPr="009118AB">
        <w:rPr>
          <w:i/>
        </w:rPr>
        <w:t>[</w:t>
      </w:r>
      <w:r w:rsidR="00D67EB8" w:rsidRPr="009118AB">
        <w:rPr>
          <w:i/>
        </w:rPr>
        <w:t>Art. </w:t>
      </w:r>
      <w:r w:rsidRPr="009118AB">
        <w:rPr>
          <w:i/>
        </w:rPr>
        <w:t xml:space="preserve">179/1 eingefügt durch </w:t>
      </w:r>
      <w:r w:rsidR="00D67EB8" w:rsidRPr="009118AB">
        <w:rPr>
          <w:i/>
        </w:rPr>
        <w:t>Art. </w:t>
      </w:r>
      <w:r w:rsidRPr="009118AB">
        <w:rPr>
          <w:i/>
        </w:rPr>
        <w:t xml:space="preserve">2 des </w:t>
      </w:r>
      <w:r w:rsidR="00282021" w:rsidRPr="009118AB">
        <w:rPr>
          <w:i/>
        </w:rPr>
        <w:t>G</w:t>
      </w:r>
      <w:r w:rsidRPr="009118AB">
        <w:rPr>
          <w:i/>
        </w:rPr>
        <w:t>. vom 25. Dezember 2016 (I</w:t>
      </w:r>
      <w:r w:rsidR="002766A8" w:rsidRPr="009118AB">
        <w:rPr>
          <w:i/>
        </w:rPr>
        <w:t>V) (B.S. vom 17. Januar 2017)</w:t>
      </w:r>
      <w:r w:rsidR="00D67EB8" w:rsidRPr="009118AB">
        <w:rPr>
          <w:i/>
        </w:rPr>
        <w:t> - </w:t>
      </w:r>
      <w:r w:rsidRPr="009118AB">
        <w:rPr>
          <w:i/>
        </w:rPr>
        <w:t>in Kraft ab dem 17. Januar 2017 und anwendbar auf Rahmenüberein</w:t>
      </w:r>
      <w:r w:rsidR="002766A8" w:rsidRPr="009118AB">
        <w:rPr>
          <w:i/>
        </w:rPr>
        <w:softHyphen/>
      </w:r>
      <w:r w:rsidRPr="009118AB">
        <w:rPr>
          <w:i/>
        </w:rPr>
        <w:t xml:space="preserve">kommen, die ab dem </w:t>
      </w:r>
      <w:r w:rsidR="00E951F6" w:rsidRPr="009118AB">
        <w:rPr>
          <w:i/>
        </w:rPr>
        <w:t>1. Februar 2017</w:t>
      </w:r>
      <w:r w:rsidRPr="009118AB">
        <w:rPr>
          <w:i/>
        </w:rPr>
        <w:t xml:space="preserve"> unterzeichnet werden</w:t>
      </w:r>
      <w:r w:rsidR="00D67EB8" w:rsidRPr="009118AB">
        <w:rPr>
          <w:i/>
        </w:rPr>
        <w:t> - </w:t>
      </w:r>
      <w:r w:rsidR="00D72ADF" w:rsidRPr="009118AB">
        <w:rPr>
          <w:i/>
        </w:rPr>
        <w:t xml:space="preserve">und abgeändert durch </w:t>
      </w:r>
      <w:r w:rsidR="00D67EB8" w:rsidRPr="009118AB">
        <w:rPr>
          <w:i/>
        </w:rPr>
        <w:t>Art. </w:t>
      </w:r>
      <w:r w:rsidR="00D72ADF" w:rsidRPr="009118AB">
        <w:rPr>
          <w:i/>
        </w:rPr>
        <w:t>9</w:t>
      </w:r>
      <w:r w:rsidR="00D72ADF" w:rsidRPr="009118AB">
        <w:rPr>
          <w:i/>
          <w:iCs/>
        </w:rPr>
        <w:t xml:space="preserve"> des G. vom 25. Dezember 2017 (II) (B.S. vom 29. Dezember 2017)</w:t>
      </w:r>
      <w:r w:rsidR="002766A8" w:rsidRPr="009118AB">
        <w:rPr>
          <w:i/>
          <w:iCs/>
        </w:rPr>
        <w:t xml:space="preserve"> und </w:t>
      </w:r>
      <w:r w:rsidR="00D67EB8" w:rsidRPr="009118AB">
        <w:rPr>
          <w:i/>
          <w:iCs/>
        </w:rPr>
        <w:t>Art. </w:t>
      </w:r>
      <w:r w:rsidR="002766A8" w:rsidRPr="009118AB">
        <w:rPr>
          <w:i/>
          <w:iCs/>
        </w:rPr>
        <w:t xml:space="preserve">2 </w:t>
      </w:r>
      <w:r w:rsidR="00D67EB8" w:rsidRPr="009118AB">
        <w:rPr>
          <w:i/>
          <w:iCs/>
        </w:rPr>
        <w:t>Nr. </w:t>
      </w:r>
      <w:r w:rsidR="002766A8" w:rsidRPr="009118AB">
        <w:rPr>
          <w:i/>
          <w:iCs/>
        </w:rPr>
        <w:t>1 und 2 des G. vom 29. März 2019 (B.S. vom 16. April 2019)</w:t>
      </w:r>
      <w:r w:rsidR="00D67EB8" w:rsidRPr="009118AB">
        <w:rPr>
          <w:i/>
          <w:iCs/>
        </w:rPr>
        <w:t> - </w:t>
      </w:r>
      <w:r w:rsidR="002766A8" w:rsidRPr="009118AB">
        <w:rPr>
          <w:i/>
          <w:iCs/>
        </w:rPr>
        <w:t xml:space="preserve">in Kraft am 16. April 2014 und anwendbar </w:t>
      </w:r>
      <w:r w:rsidR="002766A8" w:rsidRPr="009118AB">
        <w:rPr>
          <w:i/>
        </w:rPr>
        <w:t xml:space="preserve">auf Rahmenübereinkommen, die ab dem ersten Tag des Monats unterzeichnet werden, der auf die Veröffentlichung einer Bekanntmachung des Finanzministers im </w:t>
      </w:r>
      <w:r w:rsidR="002766A8" w:rsidRPr="009118AB">
        <w:rPr>
          <w:i/>
          <w:iCs/>
        </w:rPr>
        <w:t>Belgischen Staatsblatt</w:t>
      </w:r>
      <w:r w:rsidR="002766A8" w:rsidRPr="009118AB">
        <w:rPr>
          <w:i/>
        </w:rPr>
        <w:t xml:space="preserve"> folgt, in der mitgeteilt wird, dass die beiden Bedingungen erfüllt sind</w:t>
      </w:r>
      <w:r w:rsidR="00FD68E8" w:rsidRPr="009118AB">
        <w:rPr>
          <w:i/>
        </w:rPr>
        <w:t> -]</w:t>
      </w:r>
    </w:p>
    <w:p w14:paraId="25627E73" w14:textId="77777777" w:rsidR="00EA2EB8" w:rsidRPr="009118AB" w:rsidRDefault="00EA2EB8" w:rsidP="00477B8F">
      <w:pPr>
        <w:autoSpaceDE w:val="0"/>
        <w:autoSpaceDN w:val="0"/>
        <w:adjustRightInd w:val="0"/>
        <w:jc w:val="both"/>
        <w:rPr>
          <w:i/>
        </w:rPr>
      </w:pPr>
    </w:p>
    <w:p w14:paraId="4E99CBF5" w14:textId="77777777" w:rsidR="00EA2EB8" w:rsidRPr="009118AB" w:rsidRDefault="00EA2EB8" w:rsidP="00477B8F">
      <w:pPr>
        <w:autoSpaceDE w:val="0"/>
        <w:autoSpaceDN w:val="0"/>
        <w:adjustRightInd w:val="0"/>
        <w:jc w:val="both"/>
        <w:rPr>
          <w:i/>
        </w:rPr>
      </w:pPr>
    </w:p>
    <w:p w14:paraId="7D324919" w14:textId="6B4ABDB7"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180</w:t>
      </w:r>
      <w:r w:rsidR="00D67EB8" w:rsidRPr="009118AB">
        <w:t> - </w:t>
      </w:r>
      <w:r w:rsidRPr="009118AB">
        <w:t>Der Gesellschaftssteuer unterliegen nicht:</w:t>
      </w:r>
    </w:p>
    <w:p w14:paraId="0D2B2EC9" w14:textId="77777777" w:rsidR="00477B8F" w:rsidRPr="009118AB" w:rsidRDefault="00477B8F" w:rsidP="00477B8F">
      <w:pPr>
        <w:autoSpaceDE w:val="0"/>
        <w:autoSpaceDN w:val="0"/>
        <w:adjustRightInd w:val="0"/>
        <w:jc w:val="both"/>
      </w:pPr>
    </w:p>
    <w:p w14:paraId="4CAE7B4F" w14:textId="77777777" w:rsidR="00E1571E" w:rsidRPr="009118AB" w:rsidRDefault="00477B8F" w:rsidP="00E1571E">
      <w:pPr>
        <w:ind w:firstLine="708"/>
        <w:jc w:val="both"/>
      </w:pPr>
      <w:r w:rsidRPr="009118AB">
        <w:t xml:space="preserve">1. </w:t>
      </w:r>
      <w:r w:rsidR="00A07488" w:rsidRPr="009118AB">
        <w:t>[</w:t>
      </w:r>
      <w:r w:rsidR="00E1571E" w:rsidRPr="009118AB">
        <w:t>in Absatz 2 erwähnte Interkommunale, Zusammenarbeitsverbände, Projektvereini</w:t>
      </w:r>
      <w:r w:rsidR="00E1571E" w:rsidRPr="009118AB">
        <w:softHyphen/>
        <w:t>gungen, autonome Gemeinderegien und Vereinigungen, die im Rahmen ihres Gesellschafts- beziehungsweise Vereinigungszwecks hauptsächlich:</w:t>
      </w:r>
    </w:p>
    <w:p w14:paraId="5CBD5892" w14:textId="77777777" w:rsidR="00E1571E" w:rsidRPr="009118AB" w:rsidRDefault="00E1571E" w:rsidP="00E1571E">
      <w:pPr>
        <w:jc w:val="both"/>
      </w:pPr>
    </w:p>
    <w:p w14:paraId="66FBAED4" w14:textId="77777777" w:rsidR="00E1571E" w:rsidRPr="009118AB" w:rsidRDefault="00E1571E" w:rsidP="00E1571E">
      <w:pPr>
        <w:ind w:firstLine="708"/>
        <w:jc w:val="both"/>
      </w:pPr>
      <w:r w:rsidRPr="009118AB">
        <w:t>- ein Krankenhaus wie in Artikel 2 des koordinierten Gesetzes vom 10. Juli 2008 über die Krankenhäuser und andere Pflegeeinrichtungen bestimmt betreiben,</w:t>
      </w:r>
    </w:p>
    <w:p w14:paraId="606EFA64" w14:textId="77777777" w:rsidR="00E1571E" w:rsidRPr="009118AB" w:rsidRDefault="00E1571E" w:rsidP="00E1571E">
      <w:pPr>
        <w:jc w:val="both"/>
      </w:pPr>
    </w:p>
    <w:p w14:paraId="1C88C671" w14:textId="77777777" w:rsidR="00477B8F" w:rsidRPr="009118AB" w:rsidRDefault="00E1571E" w:rsidP="00E1571E">
      <w:pPr>
        <w:autoSpaceDE w:val="0"/>
        <w:autoSpaceDN w:val="0"/>
        <w:adjustRightInd w:val="0"/>
        <w:ind w:firstLine="709"/>
        <w:jc w:val="both"/>
      </w:pPr>
      <w:r w:rsidRPr="009118AB">
        <w:t>- eine Einrichtung betreiben, die Kriegsopfer, Behinderte, Betagte, geschützte Minderjährige oder Bedürftige unterstützt,]</w:t>
      </w:r>
    </w:p>
    <w:p w14:paraId="4631970C" w14:textId="77777777" w:rsidR="00E1571E" w:rsidRPr="009118AB" w:rsidRDefault="00E1571E" w:rsidP="00E42395">
      <w:pPr>
        <w:autoSpaceDE w:val="0"/>
        <w:autoSpaceDN w:val="0"/>
        <w:adjustRightInd w:val="0"/>
        <w:ind w:firstLine="709"/>
        <w:jc w:val="both"/>
      </w:pPr>
    </w:p>
    <w:p w14:paraId="777C7176" w14:textId="77777777" w:rsidR="00477B8F" w:rsidRPr="009118AB" w:rsidRDefault="00477B8F" w:rsidP="00E42395">
      <w:pPr>
        <w:autoSpaceDE w:val="0"/>
        <w:autoSpaceDN w:val="0"/>
        <w:adjustRightInd w:val="0"/>
        <w:ind w:firstLine="709"/>
        <w:jc w:val="both"/>
      </w:pPr>
      <w:r w:rsidRPr="009118AB">
        <w:lastRenderedPageBreak/>
        <w:t>2. [</w:t>
      </w:r>
      <w:r w:rsidR="0031412F" w:rsidRPr="009118AB">
        <w:t>...</w:t>
      </w:r>
      <w:r w:rsidRPr="009118AB">
        <w:t>]</w:t>
      </w:r>
    </w:p>
    <w:p w14:paraId="7C19AE5B" w14:textId="77777777" w:rsidR="00477B8F" w:rsidRPr="009118AB" w:rsidRDefault="00477B8F" w:rsidP="00E42395">
      <w:pPr>
        <w:autoSpaceDE w:val="0"/>
        <w:autoSpaceDN w:val="0"/>
        <w:adjustRightInd w:val="0"/>
        <w:ind w:firstLine="709"/>
        <w:jc w:val="both"/>
      </w:pPr>
    </w:p>
    <w:p w14:paraId="0042C7E2" w14:textId="0E7E3854" w:rsidR="00477B8F" w:rsidRPr="009118AB" w:rsidRDefault="00477B8F" w:rsidP="00395544">
      <w:pPr>
        <w:tabs>
          <w:tab w:val="center" w:pos="4889"/>
        </w:tabs>
        <w:autoSpaceDE w:val="0"/>
        <w:autoSpaceDN w:val="0"/>
        <w:adjustRightInd w:val="0"/>
        <w:ind w:firstLine="709"/>
        <w:jc w:val="both"/>
      </w:pPr>
      <w:r w:rsidRPr="009118AB">
        <w:t xml:space="preserve">3. </w:t>
      </w:r>
      <w:r w:rsidR="007C3D86" w:rsidRPr="009118AB">
        <w:t>[</w:t>
      </w:r>
      <w:r w:rsidRPr="009118AB">
        <w:t>Delkredere,</w:t>
      </w:r>
      <w:r w:rsidR="007C3D86" w:rsidRPr="009118AB">
        <w:t>]</w:t>
      </w:r>
      <w:r w:rsidR="00395544" w:rsidRPr="009118AB">
        <w:tab/>
      </w:r>
    </w:p>
    <w:p w14:paraId="1CFACF18" w14:textId="77777777" w:rsidR="00477B8F" w:rsidRPr="009118AB" w:rsidRDefault="00477B8F" w:rsidP="00E42395">
      <w:pPr>
        <w:autoSpaceDE w:val="0"/>
        <w:autoSpaceDN w:val="0"/>
        <w:adjustRightInd w:val="0"/>
        <w:ind w:firstLine="709"/>
        <w:jc w:val="both"/>
      </w:pPr>
    </w:p>
    <w:p w14:paraId="5CE782B7" w14:textId="77777777" w:rsidR="00477B8F" w:rsidRPr="009118AB" w:rsidRDefault="00477B8F" w:rsidP="00E42395">
      <w:pPr>
        <w:autoSpaceDE w:val="0"/>
        <w:autoSpaceDN w:val="0"/>
        <w:adjustRightInd w:val="0"/>
        <w:ind w:firstLine="709"/>
        <w:jc w:val="both"/>
      </w:pPr>
      <w:r w:rsidRPr="009118AB">
        <w:t>4. die Belgische Gesellschaft zur Finanzierung der Industrie,</w:t>
      </w:r>
    </w:p>
    <w:p w14:paraId="388E9B25" w14:textId="77777777" w:rsidR="00477B8F" w:rsidRPr="009118AB" w:rsidRDefault="00477B8F" w:rsidP="00E42395">
      <w:pPr>
        <w:autoSpaceDE w:val="0"/>
        <w:autoSpaceDN w:val="0"/>
        <w:adjustRightInd w:val="0"/>
        <w:ind w:firstLine="709"/>
        <w:jc w:val="both"/>
      </w:pPr>
    </w:p>
    <w:p w14:paraId="51E2AD29" w14:textId="77777777" w:rsidR="00477B8F" w:rsidRPr="009118AB" w:rsidRDefault="00477B8F" w:rsidP="00E42395">
      <w:pPr>
        <w:autoSpaceDE w:val="0"/>
        <w:autoSpaceDN w:val="0"/>
        <w:adjustRightInd w:val="0"/>
        <w:ind w:firstLine="709"/>
        <w:jc w:val="both"/>
      </w:pPr>
      <w:r w:rsidRPr="009118AB">
        <w:t xml:space="preserve">5. [...] </w:t>
      </w:r>
    </w:p>
    <w:p w14:paraId="0019EC1E" w14:textId="77777777" w:rsidR="00477B8F" w:rsidRPr="009118AB" w:rsidRDefault="00477B8F" w:rsidP="00E42395">
      <w:pPr>
        <w:autoSpaceDE w:val="0"/>
        <w:autoSpaceDN w:val="0"/>
        <w:adjustRightInd w:val="0"/>
        <w:ind w:firstLine="709"/>
        <w:jc w:val="both"/>
      </w:pPr>
    </w:p>
    <w:p w14:paraId="7D83F5CA" w14:textId="0F850211" w:rsidR="00477B8F" w:rsidRPr="009118AB" w:rsidRDefault="00477B8F" w:rsidP="00E42395">
      <w:pPr>
        <w:autoSpaceDE w:val="0"/>
        <w:autoSpaceDN w:val="0"/>
        <w:adjustRightInd w:val="0"/>
        <w:ind w:firstLine="709"/>
        <w:jc w:val="both"/>
      </w:pPr>
      <w:r w:rsidRPr="009118AB">
        <w:t>[5</w:t>
      </w:r>
      <w:r w:rsidRPr="009118AB">
        <w:rPr>
          <w:i/>
          <w:iCs/>
        </w:rPr>
        <w:t>bis</w:t>
      </w:r>
      <w:r w:rsidRPr="009118AB">
        <w:t xml:space="preserve">. </w:t>
      </w:r>
      <w:r w:rsidR="001F15B0" w:rsidRPr="009118AB">
        <w:t>[der Beteiligungsfonds - Flandern, der Beteiligungsfonds - Wallonie und der Beteiligungsfonds - Brüssel,]</w:t>
      </w:r>
      <w:r w:rsidR="00C86872" w:rsidRPr="009118AB">
        <w:t>]</w:t>
      </w:r>
    </w:p>
    <w:p w14:paraId="4A793DBF" w14:textId="77777777" w:rsidR="00477B8F" w:rsidRPr="009118AB" w:rsidRDefault="00477B8F" w:rsidP="00E42395">
      <w:pPr>
        <w:autoSpaceDE w:val="0"/>
        <w:autoSpaceDN w:val="0"/>
        <w:adjustRightInd w:val="0"/>
        <w:ind w:firstLine="709"/>
        <w:jc w:val="both"/>
      </w:pPr>
    </w:p>
    <w:p w14:paraId="28429723" w14:textId="7D2CBDCC" w:rsidR="00477B8F" w:rsidRPr="009118AB" w:rsidRDefault="00477B8F" w:rsidP="00E42395">
      <w:pPr>
        <w:autoSpaceDE w:val="0"/>
        <w:autoSpaceDN w:val="0"/>
        <w:adjustRightInd w:val="0"/>
        <w:ind w:firstLine="709"/>
        <w:jc w:val="both"/>
      </w:pPr>
      <w:r w:rsidRPr="009118AB">
        <w:t xml:space="preserve">6. </w:t>
      </w:r>
      <w:r w:rsidR="007C3D86" w:rsidRPr="009118AB">
        <w:t>[</w:t>
      </w:r>
      <w:r w:rsidR="007C3D86" w:rsidRPr="009118AB">
        <w:rPr>
          <w:lang w:eastAsia="fr-BE"/>
        </w:rPr>
        <w:t>der Verkehrsbetreiber der Wallonie,</w:t>
      </w:r>
      <w:r w:rsidR="007C3D86" w:rsidRPr="009118AB">
        <w:t>]</w:t>
      </w:r>
    </w:p>
    <w:p w14:paraId="1DACEFE3" w14:textId="77777777" w:rsidR="00A253A5" w:rsidRPr="009118AB" w:rsidRDefault="00A253A5" w:rsidP="00E42395">
      <w:pPr>
        <w:autoSpaceDE w:val="0"/>
        <w:autoSpaceDN w:val="0"/>
        <w:adjustRightInd w:val="0"/>
        <w:ind w:firstLine="709"/>
      </w:pPr>
    </w:p>
    <w:p w14:paraId="0E7B8699" w14:textId="77777777" w:rsidR="00477B8F" w:rsidRPr="009118AB" w:rsidRDefault="00477B8F" w:rsidP="00E42395">
      <w:pPr>
        <w:autoSpaceDE w:val="0"/>
        <w:autoSpaceDN w:val="0"/>
        <w:adjustRightInd w:val="0"/>
        <w:ind w:firstLine="709"/>
      </w:pPr>
      <w:r w:rsidRPr="009118AB">
        <w:t xml:space="preserve">7. die </w:t>
      </w:r>
      <w:r w:rsidR="00117C1A" w:rsidRPr="009118AB">
        <w:t>"</w:t>
      </w:r>
      <w:r w:rsidRPr="009118AB">
        <w:t>Vlaamse Vervoermaatschappij</w:t>
      </w:r>
      <w:r w:rsidR="00117C1A" w:rsidRPr="009118AB">
        <w:t>"</w:t>
      </w:r>
      <w:r w:rsidRPr="009118AB">
        <w:t xml:space="preserve"> und die autonomen Betriebseinheiten innerhalb dieser Gesellschaft,</w:t>
      </w:r>
    </w:p>
    <w:p w14:paraId="33E758B9" w14:textId="77777777" w:rsidR="00477B8F" w:rsidRPr="009118AB" w:rsidRDefault="00477B8F" w:rsidP="00E42395">
      <w:pPr>
        <w:autoSpaceDE w:val="0"/>
        <w:autoSpaceDN w:val="0"/>
        <w:adjustRightInd w:val="0"/>
        <w:ind w:firstLine="709"/>
        <w:jc w:val="both"/>
      </w:pPr>
    </w:p>
    <w:p w14:paraId="4D439370" w14:textId="77777777" w:rsidR="00477B8F" w:rsidRPr="00A542A8" w:rsidRDefault="00477B8F" w:rsidP="00E42395">
      <w:pPr>
        <w:autoSpaceDE w:val="0"/>
        <w:autoSpaceDN w:val="0"/>
        <w:adjustRightInd w:val="0"/>
        <w:ind w:firstLine="709"/>
        <w:jc w:val="both"/>
      </w:pPr>
      <w:r w:rsidRPr="00A542A8">
        <w:t xml:space="preserve">8. die </w:t>
      </w:r>
      <w:r w:rsidR="00117C1A" w:rsidRPr="00A542A8">
        <w:t>"</w:t>
      </w:r>
      <w:r w:rsidRPr="00A542A8">
        <w:t>Société des transports intercommunaux de Bruxelles</w:t>
      </w:r>
      <w:r w:rsidR="00117C1A" w:rsidRPr="00A542A8">
        <w:t>"</w:t>
      </w:r>
      <w:r w:rsidRPr="00A542A8">
        <w:t>/</w:t>
      </w:r>
      <w:r w:rsidR="00117C1A" w:rsidRPr="00A542A8">
        <w:t>"</w:t>
      </w:r>
      <w:r w:rsidRPr="00A542A8">
        <w:t>Maatschappij voor het Intercommunaal Vervoer te Brussel</w:t>
      </w:r>
      <w:r w:rsidR="00117C1A" w:rsidRPr="00A542A8">
        <w:t>"</w:t>
      </w:r>
      <w:r w:rsidRPr="00A542A8">
        <w:t>,</w:t>
      </w:r>
    </w:p>
    <w:p w14:paraId="347C0E8C" w14:textId="77777777" w:rsidR="00477B8F" w:rsidRPr="00A542A8" w:rsidRDefault="00477B8F" w:rsidP="00E42395">
      <w:pPr>
        <w:autoSpaceDE w:val="0"/>
        <w:autoSpaceDN w:val="0"/>
        <w:adjustRightInd w:val="0"/>
        <w:ind w:firstLine="709"/>
        <w:jc w:val="both"/>
      </w:pPr>
    </w:p>
    <w:p w14:paraId="1646E90E" w14:textId="77777777" w:rsidR="00477B8F" w:rsidRPr="009118AB" w:rsidRDefault="00477B8F" w:rsidP="00E42395">
      <w:pPr>
        <w:autoSpaceDE w:val="0"/>
        <w:autoSpaceDN w:val="0"/>
        <w:adjustRightInd w:val="0"/>
        <w:ind w:firstLine="709"/>
        <w:jc w:val="both"/>
      </w:pPr>
      <w:r w:rsidRPr="009118AB">
        <w:t>9. die Abwasserreinigungsgesellschaften, die dem Gesetz vom 26. März 1971 unterliegen,</w:t>
      </w:r>
    </w:p>
    <w:p w14:paraId="3967698C" w14:textId="77777777" w:rsidR="00477B8F" w:rsidRPr="009118AB" w:rsidRDefault="00477B8F" w:rsidP="00E42395">
      <w:pPr>
        <w:autoSpaceDE w:val="0"/>
        <w:autoSpaceDN w:val="0"/>
        <w:adjustRightInd w:val="0"/>
        <w:ind w:firstLine="709"/>
        <w:jc w:val="both"/>
      </w:pPr>
    </w:p>
    <w:p w14:paraId="4F48E0D2" w14:textId="77777777" w:rsidR="00477B8F" w:rsidRPr="009118AB" w:rsidRDefault="00477B8F" w:rsidP="00E42395">
      <w:pPr>
        <w:autoSpaceDE w:val="0"/>
        <w:autoSpaceDN w:val="0"/>
        <w:adjustRightInd w:val="0"/>
        <w:ind w:firstLine="709"/>
        <w:jc w:val="both"/>
      </w:pPr>
      <w:r w:rsidRPr="009118AB">
        <w:t>[10. [...]]</w:t>
      </w:r>
    </w:p>
    <w:p w14:paraId="39E5C4A3" w14:textId="77777777" w:rsidR="00477B8F" w:rsidRPr="009118AB" w:rsidRDefault="00477B8F" w:rsidP="00E42395">
      <w:pPr>
        <w:autoSpaceDE w:val="0"/>
        <w:autoSpaceDN w:val="0"/>
        <w:adjustRightInd w:val="0"/>
        <w:ind w:firstLine="709"/>
        <w:jc w:val="both"/>
      </w:pPr>
    </w:p>
    <w:p w14:paraId="3EB56DB8" w14:textId="77777777" w:rsidR="00477B8F" w:rsidRPr="009118AB" w:rsidRDefault="00477B8F" w:rsidP="00E42395">
      <w:pPr>
        <w:autoSpaceDE w:val="0"/>
        <w:autoSpaceDN w:val="0"/>
        <w:adjustRightInd w:val="0"/>
        <w:ind w:firstLine="709"/>
        <w:jc w:val="both"/>
      </w:pPr>
      <w:r w:rsidRPr="009118AB">
        <w:t>[11.</w:t>
      </w:r>
      <w:r w:rsidR="00F73613" w:rsidRPr="009118AB">
        <w:t xml:space="preserve"> [die öffentlich-rechtliche Gesellschaft mit sozialer Zielsetzung Enabel, Belgische Entwicklungsagentur,]</w:t>
      </w:r>
      <w:r w:rsidRPr="009118AB">
        <w:t>]</w:t>
      </w:r>
    </w:p>
    <w:p w14:paraId="513EF0C7" w14:textId="77777777" w:rsidR="00477B8F" w:rsidRPr="009118AB" w:rsidRDefault="00477B8F" w:rsidP="00E42395">
      <w:pPr>
        <w:autoSpaceDE w:val="0"/>
        <w:autoSpaceDN w:val="0"/>
        <w:adjustRightInd w:val="0"/>
        <w:ind w:firstLine="709"/>
        <w:jc w:val="both"/>
      </w:pPr>
    </w:p>
    <w:p w14:paraId="76A7E053" w14:textId="77777777" w:rsidR="00477B8F" w:rsidRPr="009118AB" w:rsidRDefault="00477B8F" w:rsidP="00E42395">
      <w:pPr>
        <w:autoSpaceDE w:val="0"/>
        <w:autoSpaceDN w:val="0"/>
        <w:adjustRightInd w:val="0"/>
        <w:ind w:firstLine="709"/>
        <w:jc w:val="both"/>
      </w:pPr>
      <w:r w:rsidRPr="009118AB">
        <w:t>[12. die öffentlich</w:t>
      </w:r>
      <w:r w:rsidRPr="009118AB">
        <w:noBreakHyphen/>
        <w:t>rechtliche Aktiengesellschaft Infrabel,]</w:t>
      </w:r>
    </w:p>
    <w:p w14:paraId="2155CEC9" w14:textId="77777777" w:rsidR="00477B8F" w:rsidRPr="009118AB" w:rsidRDefault="00477B8F" w:rsidP="00E42395">
      <w:pPr>
        <w:autoSpaceDE w:val="0"/>
        <w:autoSpaceDN w:val="0"/>
        <w:adjustRightInd w:val="0"/>
        <w:ind w:firstLine="709"/>
        <w:jc w:val="both"/>
      </w:pPr>
    </w:p>
    <w:p w14:paraId="73EAA798" w14:textId="22FAB64D" w:rsidR="00477B8F" w:rsidRPr="009118AB" w:rsidRDefault="00477B8F" w:rsidP="00E42395">
      <w:pPr>
        <w:autoSpaceDE w:val="0"/>
        <w:autoSpaceDN w:val="0"/>
        <w:adjustRightInd w:val="0"/>
        <w:ind w:firstLine="709"/>
        <w:jc w:val="both"/>
      </w:pPr>
      <w:r w:rsidRPr="009118AB">
        <w:t>[13. </w:t>
      </w:r>
      <w:r w:rsidR="001937CB" w:rsidRPr="009118AB">
        <w:t>[die öffentlich-rechtliche Aktiengesellschaft ASEVA.]</w:t>
      </w:r>
      <w:r w:rsidRPr="009118AB">
        <w:t>]</w:t>
      </w:r>
    </w:p>
    <w:p w14:paraId="0C2C635D" w14:textId="77777777" w:rsidR="005758A6" w:rsidRPr="009118AB" w:rsidRDefault="005758A6" w:rsidP="00E42395">
      <w:pPr>
        <w:autoSpaceDE w:val="0"/>
        <w:autoSpaceDN w:val="0"/>
        <w:adjustRightInd w:val="0"/>
        <w:ind w:firstLine="709"/>
        <w:jc w:val="both"/>
      </w:pPr>
    </w:p>
    <w:p w14:paraId="1DECA50E" w14:textId="40629343" w:rsidR="005758A6" w:rsidRPr="009118AB" w:rsidRDefault="005758A6" w:rsidP="005758A6">
      <w:pPr>
        <w:ind w:firstLine="708"/>
        <w:jc w:val="both"/>
      </w:pPr>
      <w:r w:rsidRPr="009118AB">
        <w:t xml:space="preserve">[In Absatz 1 </w:t>
      </w:r>
      <w:r w:rsidR="00D67EB8" w:rsidRPr="009118AB">
        <w:t>Nr. </w:t>
      </w:r>
      <w:r w:rsidRPr="009118AB">
        <w:t>1 erwähnte Interkommunale, Zusammenarbeitsverbände, Projektver</w:t>
      </w:r>
      <w:r w:rsidRPr="009118AB">
        <w:softHyphen/>
        <w:t>einigungen, autonome Gemeinderegien und Vereinigungen sind:</w:t>
      </w:r>
    </w:p>
    <w:p w14:paraId="1A84BB64" w14:textId="77777777" w:rsidR="005758A6" w:rsidRPr="009118AB" w:rsidRDefault="005758A6" w:rsidP="005758A6">
      <w:pPr>
        <w:jc w:val="both"/>
      </w:pPr>
    </w:p>
    <w:p w14:paraId="7115B2BB" w14:textId="77777777" w:rsidR="005758A6" w:rsidRPr="009118AB" w:rsidRDefault="005758A6" w:rsidP="005758A6">
      <w:pPr>
        <w:ind w:firstLine="708"/>
        <w:jc w:val="both"/>
      </w:pPr>
      <w:r w:rsidRPr="009118AB">
        <w:rPr>
          <w:i/>
        </w:rPr>
        <w:t>a)</w:t>
      </w:r>
      <w:r w:rsidRPr="009118AB">
        <w:t> Interkommunale, die dem Gesetz vom 22. Dezember 1986 über die Inter</w:t>
      </w:r>
      <w:r w:rsidRPr="009118AB">
        <w:softHyphen/>
        <w:t>kommunalen unterliegen,</w:t>
      </w:r>
    </w:p>
    <w:p w14:paraId="6876B41B" w14:textId="77777777" w:rsidR="005758A6" w:rsidRPr="009118AB" w:rsidRDefault="005758A6" w:rsidP="005758A6">
      <w:pPr>
        <w:jc w:val="both"/>
      </w:pPr>
    </w:p>
    <w:p w14:paraId="2CE85989" w14:textId="77777777" w:rsidR="005758A6" w:rsidRPr="009118AB" w:rsidRDefault="005758A6" w:rsidP="005758A6">
      <w:pPr>
        <w:ind w:firstLine="708"/>
        <w:jc w:val="both"/>
      </w:pPr>
      <w:r w:rsidRPr="009118AB">
        <w:rPr>
          <w:i/>
        </w:rPr>
        <w:t>b)</w:t>
      </w:r>
      <w:r w:rsidRPr="009118AB">
        <w:t> Interkommunale, die dem Dekret der Wallonischen Region vom 19. Juli 2006 zur Abänderung des Buches V des ersten Teils des Kodex der lokalen Demokratie und der Dezentralisierung hinsichtlich der Formen der Zusammenarbeit zwischen Gemeinden unterliegen,</w:t>
      </w:r>
    </w:p>
    <w:p w14:paraId="68BF9B8F" w14:textId="77777777" w:rsidR="005758A6" w:rsidRPr="009118AB" w:rsidRDefault="005758A6" w:rsidP="005758A6">
      <w:pPr>
        <w:jc w:val="both"/>
      </w:pPr>
    </w:p>
    <w:p w14:paraId="19BF9F08" w14:textId="6DE507E7" w:rsidR="005758A6" w:rsidRPr="009118AB" w:rsidRDefault="005758A6" w:rsidP="005758A6">
      <w:pPr>
        <w:ind w:firstLine="708"/>
        <w:jc w:val="both"/>
      </w:pPr>
      <w:r w:rsidRPr="009118AB">
        <w:rPr>
          <w:i/>
        </w:rPr>
        <w:t>c)</w:t>
      </w:r>
      <w:r w:rsidRPr="009118AB">
        <w:t> Zusammenarbeitsverbände</w:t>
      </w:r>
      <w:r w:rsidR="00D67EB8" w:rsidRPr="009118AB">
        <w:t> - </w:t>
      </w:r>
      <w:r w:rsidRPr="009118AB">
        <w:t>mit Ausnahme interlokaler Vereinigungen</w:t>
      </w:r>
      <w:r w:rsidR="00FD68E8" w:rsidRPr="009118AB">
        <w:t> -,</w:t>
      </w:r>
      <w:r w:rsidRPr="009118AB">
        <w:t xml:space="preserve"> die dem Dekret der Flämischen Gemeinschaft vom 6. Juli 2001, das die Regelung der interkommunalen Zusammenarbeit betrifft, unterliegen,</w:t>
      </w:r>
    </w:p>
    <w:p w14:paraId="6744C6D4" w14:textId="77777777" w:rsidR="005758A6" w:rsidRPr="009118AB" w:rsidRDefault="005758A6" w:rsidP="005758A6">
      <w:pPr>
        <w:jc w:val="both"/>
      </w:pPr>
    </w:p>
    <w:p w14:paraId="548C9373" w14:textId="77777777" w:rsidR="005758A6" w:rsidRPr="009118AB" w:rsidRDefault="005758A6" w:rsidP="005758A6">
      <w:pPr>
        <w:ind w:firstLine="708"/>
        <w:jc w:val="both"/>
      </w:pPr>
      <w:r w:rsidRPr="009118AB">
        <w:rPr>
          <w:i/>
        </w:rPr>
        <w:t>d)</w:t>
      </w:r>
      <w:r w:rsidRPr="009118AB">
        <w:t> Projektvereinigungen, die dem Dekret der Wallonischen Region vom 19. Juli 2006 zur Abänderung des Buches V des ersten Teils des Kodex der lokalen Demokratie und der Dezentralisierung hinsichtlich der Formen der Zusammenarbeit zwischen Gemeinden unterliegen,</w:t>
      </w:r>
    </w:p>
    <w:p w14:paraId="300173DA" w14:textId="77777777" w:rsidR="005758A6" w:rsidRPr="009118AB" w:rsidRDefault="005758A6" w:rsidP="005758A6">
      <w:pPr>
        <w:jc w:val="both"/>
      </w:pPr>
    </w:p>
    <w:p w14:paraId="42C63A34" w14:textId="77777777" w:rsidR="005758A6" w:rsidRPr="009118AB" w:rsidRDefault="005758A6" w:rsidP="005758A6">
      <w:pPr>
        <w:ind w:firstLine="708"/>
        <w:jc w:val="both"/>
      </w:pPr>
      <w:r w:rsidRPr="009118AB">
        <w:rPr>
          <w:i/>
        </w:rPr>
        <w:t>e)</w:t>
      </w:r>
      <w:r w:rsidRPr="009118AB">
        <w:t> autonome Gemeinderegien, die dem neuen Gemeindegesetz vom 24. Juni 1988 unterliegen,</w:t>
      </w:r>
    </w:p>
    <w:p w14:paraId="49B3A5B8" w14:textId="77777777" w:rsidR="005758A6" w:rsidRPr="009118AB" w:rsidRDefault="005758A6" w:rsidP="005758A6">
      <w:pPr>
        <w:jc w:val="both"/>
      </w:pPr>
    </w:p>
    <w:p w14:paraId="0BE972F7" w14:textId="77777777" w:rsidR="005758A6" w:rsidRPr="009118AB" w:rsidRDefault="005758A6" w:rsidP="005758A6">
      <w:pPr>
        <w:ind w:firstLine="708"/>
        <w:jc w:val="both"/>
      </w:pPr>
      <w:r w:rsidRPr="009118AB">
        <w:rPr>
          <w:i/>
        </w:rPr>
        <w:t>f)</w:t>
      </w:r>
      <w:r w:rsidRPr="009118AB">
        <w:t> autonome Gemeinderegien, die dem Gemeindedekret der Flämischen Gemeinschaft vom 15. Juli 2005 unterliegen,</w:t>
      </w:r>
    </w:p>
    <w:p w14:paraId="15EC2F85" w14:textId="77777777" w:rsidR="005758A6" w:rsidRPr="009118AB" w:rsidRDefault="005758A6" w:rsidP="005758A6">
      <w:pPr>
        <w:jc w:val="both"/>
      </w:pPr>
    </w:p>
    <w:p w14:paraId="20E7C73A" w14:textId="77777777" w:rsidR="005758A6" w:rsidRPr="009118AB" w:rsidRDefault="005758A6" w:rsidP="005758A6">
      <w:pPr>
        <w:ind w:firstLine="708"/>
        <w:jc w:val="both"/>
      </w:pPr>
      <w:r w:rsidRPr="009118AB">
        <w:rPr>
          <w:i/>
        </w:rPr>
        <w:t>g)</w:t>
      </w:r>
      <w:r w:rsidRPr="009118AB">
        <w:t> Vereinigungen, die Kapitel XII des Grundlagengesetzes vom 8. Juli 1976 über die öffentlichen Sozialhilfezentren unterliegen,</w:t>
      </w:r>
    </w:p>
    <w:p w14:paraId="76D2C19A" w14:textId="77777777" w:rsidR="005758A6" w:rsidRPr="009118AB" w:rsidRDefault="005758A6" w:rsidP="005758A6">
      <w:pPr>
        <w:jc w:val="both"/>
      </w:pPr>
    </w:p>
    <w:p w14:paraId="0E5A205E" w14:textId="77777777" w:rsidR="005758A6" w:rsidRPr="009118AB" w:rsidRDefault="005758A6" w:rsidP="005758A6">
      <w:pPr>
        <w:autoSpaceDE w:val="0"/>
        <w:autoSpaceDN w:val="0"/>
        <w:adjustRightInd w:val="0"/>
        <w:ind w:firstLine="709"/>
        <w:jc w:val="both"/>
      </w:pPr>
      <w:r w:rsidRPr="009118AB">
        <w:rPr>
          <w:i/>
        </w:rPr>
        <w:t>h)</w:t>
      </w:r>
      <w:r w:rsidRPr="009118AB">
        <w:t> Vereinigungen, die Titel VIII des Dekrets der Flämischen Gemeinschaft vom 19. Dezember 2008, das die Organisation der öffentlichen Sozialhilfezentren betrifft, unter</w:t>
      </w:r>
      <w:r w:rsidRPr="009118AB">
        <w:softHyphen/>
        <w:t>liegen.]</w:t>
      </w:r>
    </w:p>
    <w:p w14:paraId="32986D86" w14:textId="77777777" w:rsidR="00477B8F" w:rsidRPr="009118AB" w:rsidRDefault="00477B8F" w:rsidP="00477B8F">
      <w:pPr>
        <w:autoSpaceDE w:val="0"/>
        <w:autoSpaceDN w:val="0"/>
        <w:adjustRightInd w:val="0"/>
        <w:jc w:val="both"/>
      </w:pPr>
    </w:p>
    <w:p w14:paraId="1CAE6A13" w14:textId="3A4644D6"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180 </w:t>
      </w:r>
      <w:r w:rsidR="00D67EB8" w:rsidRPr="009118AB">
        <w:rPr>
          <w:i/>
          <w:iCs/>
        </w:rPr>
        <w:t>Abs. </w:t>
      </w:r>
      <w:r w:rsidR="005758A6" w:rsidRPr="009118AB">
        <w:rPr>
          <w:i/>
          <w:iCs/>
        </w:rPr>
        <w:t xml:space="preserve">1 </w:t>
      </w:r>
      <w:r w:rsidR="00D67EB8" w:rsidRPr="009118AB">
        <w:rPr>
          <w:i/>
          <w:iCs/>
        </w:rPr>
        <w:t>Nr. </w:t>
      </w:r>
      <w:r w:rsidR="00A07488" w:rsidRPr="009118AB">
        <w:rPr>
          <w:i/>
          <w:iCs/>
        </w:rPr>
        <w:t xml:space="preserve">1 </w:t>
      </w:r>
      <w:r w:rsidR="008923BE" w:rsidRPr="009118AB">
        <w:rPr>
          <w:i/>
          <w:iCs/>
        </w:rPr>
        <w:t xml:space="preserve">aufgehoben durch </w:t>
      </w:r>
      <w:r w:rsidR="00D67EB8" w:rsidRPr="009118AB">
        <w:rPr>
          <w:i/>
          <w:iCs/>
        </w:rPr>
        <w:t>Art. </w:t>
      </w:r>
      <w:r w:rsidR="008923BE" w:rsidRPr="009118AB">
        <w:rPr>
          <w:i/>
          <w:iCs/>
        </w:rPr>
        <w:t xml:space="preserve">17 </w:t>
      </w:r>
      <w:r w:rsidR="008923BE" w:rsidRPr="009118AB">
        <w:rPr>
          <w:i/>
          <w:iCs/>
          <w:spacing w:val="-1"/>
        </w:rPr>
        <w:t>des G. vom 19. Dezember 2014 (B.S. vom 29. Dezember 2014)</w:t>
      </w:r>
      <w:r w:rsidR="00D67EB8" w:rsidRPr="009118AB">
        <w:rPr>
          <w:i/>
          <w:iCs/>
          <w:spacing w:val="-1"/>
        </w:rPr>
        <w:t> - </w:t>
      </w:r>
      <w:r w:rsidR="008923BE" w:rsidRPr="009118AB">
        <w:rPr>
          <w:i/>
          <w:iCs/>
          <w:spacing w:val="-1"/>
        </w:rPr>
        <w:t xml:space="preserve">in Kraft ab dem Steuerjahr 2015 und anwendbar auf Geschäftsjahre, die </w:t>
      </w:r>
      <w:r w:rsidR="008923BE" w:rsidRPr="009118AB">
        <w:rPr>
          <w:rFonts w:ascii="Times New Roman Italique" w:hAnsi="Times New Roman Italique"/>
          <w:i/>
          <w:iCs/>
          <w:spacing w:val="-2"/>
        </w:rPr>
        <w:t>frühestens am 1. Juli 2015 abgeschlossen werden</w:t>
      </w:r>
      <w:r w:rsidR="00D67EB8" w:rsidRPr="009118AB">
        <w:rPr>
          <w:rFonts w:ascii="Times New Roman Italique" w:hAnsi="Times New Roman Italique"/>
          <w:i/>
          <w:iCs/>
          <w:spacing w:val="-2"/>
        </w:rPr>
        <w:t> - </w:t>
      </w:r>
      <w:r w:rsidR="001A3CA8" w:rsidRPr="009118AB">
        <w:rPr>
          <w:rFonts w:ascii="Times New Roman Italique" w:hAnsi="Times New Roman Italique"/>
          <w:i/>
          <w:iCs/>
          <w:spacing w:val="-2"/>
        </w:rPr>
        <w:t xml:space="preserve">und wieder aufgenommen durch </w:t>
      </w:r>
      <w:r w:rsidR="00D67EB8" w:rsidRPr="009118AB">
        <w:rPr>
          <w:rFonts w:ascii="Times New Roman Italique" w:hAnsi="Times New Roman Italique"/>
          <w:i/>
          <w:iCs/>
          <w:spacing w:val="-2"/>
        </w:rPr>
        <w:t>Art. </w:t>
      </w:r>
      <w:r w:rsidR="001A3CA8" w:rsidRPr="009118AB">
        <w:rPr>
          <w:rFonts w:ascii="Times New Roman Italique" w:hAnsi="Times New Roman Italique"/>
          <w:i/>
          <w:iCs/>
          <w:spacing w:val="-2"/>
        </w:rPr>
        <w:t xml:space="preserve">86 </w:t>
      </w:r>
      <w:r w:rsidR="00D67EB8" w:rsidRPr="009118AB">
        <w:rPr>
          <w:rFonts w:ascii="Times New Roman Italique" w:hAnsi="Times New Roman Italique"/>
          <w:i/>
          <w:iCs/>
          <w:spacing w:val="-2"/>
        </w:rPr>
        <w:t>Nr. </w:t>
      </w:r>
      <w:r w:rsidR="001A3CA8" w:rsidRPr="009118AB">
        <w:rPr>
          <w:rFonts w:ascii="Times New Roman Italique" w:hAnsi="Times New Roman Italique"/>
          <w:i/>
          <w:iCs/>
          <w:spacing w:val="-2"/>
        </w:rPr>
        <w:t>1 des G. vom 10. August 2015 (B.S. vom 18. August 2015)</w:t>
      </w:r>
      <w:r w:rsidR="00D67EB8" w:rsidRPr="009118AB">
        <w:rPr>
          <w:rFonts w:ascii="Times New Roman Italique" w:hAnsi="Times New Roman Italique"/>
          <w:i/>
          <w:iCs/>
          <w:spacing w:val="-2"/>
        </w:rPr>
        <w:t> - </w:t>
      </w:r>
      <w:r w:rsidR="001A3CA8" w:rsidRPr="009118AB">
        <w:rPr>
          <w:rFonts w:ascii="Times New Roman Italique" w:hAnsi="Times New Roman Italique"/>
          <w:i/>
          <w:spacing w:val="-2"/>
        </w:rPr>
        <w:t>in Kraft ab dem Steuerjahr 2015 und anwendbar</w:t>
      </w:r>
      <w:r w:rsidR="001A3CA8" w:rsidRPr="009118AB">
        <w:rPr>
          <w:rFonts w:ascii="Times New Roman Italique" w:hAnsi="Times New Roman Italique"/>
          <w:i/>
          <w:iCs/>
          <w:spacing w:val="-2"/>
        </w:rPr>
        <w:t xml:space="preserve"> </w:t>
      </w:r>
      <w:r w:rsidR="001A3CA8" w:rsidRPr="009118AB">
        <w:rPr>
          <w:rFonts w:ascii="Times New Roman Italique" w:hAnsi="Times New Roman Italique"/>
          <w:i/>
          <w:spacing w:val="-2"/>
        </w:rPr>
        <w:t>auf Geschäftsjahre, die frühestens am 1. August 2015 abgeschlossen werden</w:t>
      </w:r>
      <w:r w:rsidR="003366D9" w:rsidRPr="009118AB">
        <w:rPr>
          <w:rFonts w:ascii="Times New Roman Italique" w:hAnsi="Times New Roman Italique"/>
          <w:i/>
          <w:iCs/>
          <w:spacing w:val="-2"/>
        </w:rPr>
        <w:t> -;</w:t>
      </w:r>
      <w:r w:rsidR="00A07488"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D256EA" w:rsidRPr="009118AB">
        <w:rPr>
          <w:rFonts w:ascii="Times New Roman Italique" w:hAnsi="Times New Roman Italique"/>
          <w:i/>
          <w:iCs/>
          <w:spacing w:val="-2"/>
        </w:rPr>
        <w:t>1</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w:t>
      </w:r>
      <w:r w:rsidR="0031412F" w:rsidRPr="009118AB">
        <w:rPr>
          <w:rFonts w:ascii="Times New Roman Italique" w:hAnsi="Times New Roman Italique"/>
          <w:i/>
          <w:iCs/>
          <w:spacing w:val="-2"/>
        </w:rPr>
        <w:t xml:space="preserve"> aufgehoben durch </w:t>
      </w:r>
      <w:r w:rsidR="00D67EB8" w:rsidRPr="009118AB">
        <w:rPr>
          <w:rFonts w:ascii="Times New Roman Italique" w:hAnsi="Times New Roman Italique"/>
          <w:i/>
          <w:iCs/>
          <w:spacing w:val="-2"/>
        </w:rPr>
        <w:t>Art. </w:t>
      </w:r>
      <w:r w:rsidR="0031412F" w:rsidRPr="009118AB">
        <w:rPr>
          <w:rFonts w:ascii="Times New Roman Italique" w:hAnsi="Times New Roman Italique"/>
          <w:i/>
          <w:iCs/>
          <w:spacing w:val="-2"/>
        </w:rPr>
        <w:t>2 des G. vom 29.</w:t>
      </w:r>
      <w:r w:rsidR="0031412F" w:rsidRPr="009118AB">
        <w:rPr>
          <w:rFonts w:ascii="Times New Roman Italique" w:hAnsi="Times New Roman Italique" w:hint="eastAsia"/>
          <w:i/>
          <w:iCs/>
          <w:spacing w:val="-2"/>
        </w:rPr>
        <w:t> </w:t>
      </w:r>
      <w:r w:rsidR="0031412F" w:rsidRPr="009118AB">
        <w:rPr>
          <w:rFonts w:ascii="Times New Roman Italique" w:hAnsi="Times New Roman Italique"/>
          <w:i/>
          <w:iCs/>
          <w:spacing w:val="-2"/>
        </w:rPr>
        <w:t>Mai</w:t>
      </w:r>
      <w:r w:rsidR="0031412F" w:rsidRPr="009118AB">
        <w:rPr>
          <w:rFonts w:ascii="Times New Roman Italique" w:hAnsi="Times New Roman Italique" w:hint="eastAsia"/>
          <w:i/>
          <w:iCs/>
          <w:spacing w:val="-2"/>
        </w:rPr>
        <w:t> </w:t>
      </w:r>
      <w:r w:rsidR="0031412F" w:rsidRPr="009118AB">
        <w:rPr>
          <w:rFonts w:ascii="Times New Roman Italique" w:hAnsi="Times New Roman Italique"/>
          <w:i/>
          <w:iCs/>
          <w:spacing w:val="-2"/>
        </w:rPr>
        <w:t>2018 (B.S. vom 11.</w:t>
      </w:r>
      <w:r w:rsidR="0031412F" w:rsidRPr="009118AB">
        <w:rPr>
          <w:rFonts w:ascii="Times New Roman Italique" w:hAnsi="Times New Roman Italique" w:hint="eastAsia"/>
          <w:i/>
          <w:iCs/>
          <w:spacing w:val="-2"/>
        </w:rPr>
        <w:t> </w:t>
      </w:r>
      <w:r w:rsidR="0031412F" w:rsidRPr="009118AB">
        <w:rPr>
          <w:rFonts w:ascii="Times New Roman Italique" w:hAnsi="Times New Roman Italique"/>
          <w:i/>
          <w:iCs/>
          <w:spacing w:val="-2"/>
        </w:rPr>
        <w:t>Juni</w:t>
      </w:r>
      <w:r w:rsidR="0031412F" w:rsidRPr="009118AB">
        <w:rPr>
          <w:rFonts w:ascii="Times New Roman Italique" w:hAnsi="Times New Roman Italique" w:hint="eastAsia"/>
          <w:i/>
          <w:iCs/>
          <w:spacing w:val="-2"/>
        </w:rPr>
        <w:t> </w:t>
      </w:r>
      <w:r w:rsidR="0031412F" w:rsidRPr="009118AB">
        <w:rPr>
          <w:rFonts w:ascii="Times New Roman Italique" w:hAnsi="Times New Roman Italique"/>
          <w:i/>
          <w:iCs/>
          <w:spacing w:val="-2"/>
        </w:rPr>
        <w:t>2018)</w:t>
      </w:r>
      <w:r w:rsidR="00D67EB8" w:rsidRPr="009118AB">
        <w:rPr>
          <w:rFonts w:ascii="Times New Roman Italique" w:hAnsi="Times New Roman Italique"/>
          <w:i/>
          <w:iCs/>
          <w:spacing w:val="-2"/>
        </w:rPr>
        <w:t> - </w:t>
      </w:r>
      <w:r w:rsidR="0031412F" w:rsidRPr="009118AB">
        <w:rPr>
          <w:rFonts w:ascii="Times New Roman Italique" w:hAnsi="Times New Roman Italique"/>
          <w:i/>
          <w:iCs/>
          <w:spacing w:val="-2"/>
        </w:rPr>
        <w:t>anwendbar ab dem Steuerjahr, das sich auf einen Besteuerungszeitraum bezieht, der frühestens am 1.</w:t>
      </w:r>
      <w:r w:rsidR="0031412F" w:rsidRPr="009118AB">
        <w:rPr>
          <w:rFonts w:ascii="Times New Roman Italique" w:hAnsi="Times New Roman Italique" w:hint="eastAsia"/>
          <w:i/>
          <w:iCs/>
          <w:spacing w:val="-2"/>
        </w:rPr>
        <w:t> </w:t>
      </w:r>
      <w:r w:rsidR="0031412F" w:rsidRPr="009118AB">
        <w:rPr>
          <w:rFonts w:ascii="Times New Roman Italique" w:hAnsi="Times New Roman Italique"/>
          <w:i/>
          <w:iCs/>
          <w:spacing w:val="-2"/>
        </w:rPr>
        <w:t>Januar</w:t>
      </w:r>
      <w:r w:rsidR="0031412F" w:rsidRPr="009118AB">
        <w:rPr>
          <w:rFonts w:ascii="Times New Roman Italique" w:hAnsi="Times New Roman Italique" w:hint="eastAsia"/>
          <w:i/>
          <w:iCs/>
          <w:spacing w:val="-2"/>
        </w:rPr>
        <w:t> </w:t>
      </w:r>
      <w:r w:rsidR="0031412F" w:rsidRPr="009118AB">
        <w:rPr>
          <w:rFonts w:ascii="Times New Roman Italique" w:hAnsi="Times New Roman Italique"/>
          <w:i/>
          <w:iCs/>
          <w:spacing w:val="-2"/>
        </w:rPr>
        <w:t>2018 endet</w:t>
      </w:r>
      <w:r w:rsidR="003366D9" w:rsidRPr="009118AB">
        <w:rPr>
          <w:rFonts w:ascii="Times New Roman Italique" w:hAnsi="Times New Roman Italique"/>
          <w:i/>
          <w:iCs/>
          <w:spacing w:val="-2"/>
        </w:rPr>
        <w:t> -;</w:t>
      </w:r>
      <w:r w:rsidRPr="009118AB">
        <w:rPr>
          <w:i/>
          <w:iCs/>
        </w:rPr>
        <w:t xml:space="preserve"> </w:t>
      </w:r>
      <w:r w:rsidR="00D67EB8" w:rsidRPr="009118AB">
        <w:rPr>
          <w:i/>
          <w:iCs/>
        </w:rPr>
        <w:t>Abs. </w:t>
      </w:r>
      <w:r w:rsidR="007C3D86" w:rsidRPr="009118AB">
        <w:rPr>
          <w:i/>
          <w:iCs/>
        </w:rPr>
        <w:t xml:space="preserve">1 </w:t>
      </w:r>
      <w:r w:rsidR="00D67EB8" w:rsidRPr="009118AB">
        <w:rPr>
          <w:i/>
          <w:iCs/>
        </w:rPr>
        <w:t>Nr. </w:t>
      </w:r>
      <w:r w:rsidR="007C3D86" w:rsidRPr="009118AB">
        <w:rPr>
          <w:i/>
          <w:iCs/>
        </w:rPr>
        <w:t xml:space="preserve">3 ersetzt durch </w:t>
      </w:r>
      <w:r w:rsidR="00D67EB8" w:rsidRPr="009118AB">
        <w:rPr>
          <w:i/>
          <w:iCs/>
        </w:rPr>
        <w:t>Art. </w:t>
      </w:r>
      <w:r w:rsidR="007C3D86" w:rsidRPr="009118AB">
        <w:rPr>
          <w:i/>
          <w:iCs/>
        </w:rPr>
        <w:t xml:space="preserve">39 </w:t>
      </w:r>
      <w:r w:rsidR="00D67EB8" w:rsidRPr="009118AB">
        <w:rPr>
          <w:i/>
          <w:iCs/>
        </w:rPr>
        <w:t>Nr. </w:t>
      </w:r>
      <w:r w:rsidR="007C3D86" w:rsidRPr="009118AB">
        <w:rPr>
          <w:i/>
          <w:iCs/>
        </w:rPr>
        <w:t xml:space="preserve">1 des G. vom 21. Januar 2022 (B.S. vom 28. Januar 2022); </w:t>
      </w:r>
      <w:r w:rsidR="00D67EB8" w:rsidRPr="009118AB">
        <w:rPr>
          <w:i/>
          <w:iCs/>
        </w:rPr>
        <w:t>Abs. </w:t>
      </w:r>
      <w:r w:rsidR="00D256EA" w:rsidRPr="009118AB">
        <w:rPr>
          <w:i/>
          <w:iCs/>
        </w:rPr>
        <w:t>1</w:t>
      </w:r>
      <w:r w:rsidRPr="009118AB">
        <w:rPr>
          <w:i/>
          <w:iCs/>
        </w:rPr>
        <w:t xml:space="preserve"> </w:t>
      </w:r>
      <w:r w:rsidR="00D67EB8" w:rsidRPr="009118AB">
        <w:rPr>
          <w:i/>
          <w:iCs/>
        </w:rPr>
        <w:t>Nr. </w:t>
      </w:r>
      <w:r w:rsidRPr="009118AB">
        <w:rPr>
          <w:i/>
          <w:iCs/>
        </w:rPr>
        <w:t xml:space="preserve">5 aufgehoben durch </w:t>
      </w:r>
      <w:r w:rsidR="00D67EB8" w:rsidRPr="009118AB">
        <w:rPr>
          <w:i/>
          <w:iCs/>
        </w:rPr>
        <w:t>Art. </w:t>
      </w:r>
      <w:r w:rsidRPr="009118AB">
        <w:rPr>
          <w:i/>
          <w:iCs/>
        </w:rPr>
        <w:t>45 des G. vom 19. April 2002 (B.S. vom 4. Mai 2002)</w:t>
      </w:r>
      <w:r w:rsidR="00D67EB8" w:rsidRPr="009118AB">
        <w:rPr>
          <w:i/>
          <w:iCs/>
        </w:rPr>
        <w:t> - </w:t>
      </w:r>
      <w:r w:rsidRPr="009118AB">
        <w:rPr>
          <w:i/>
          <w:iCs/>
        </w:rPr>
        <w:t>in Kraft ab dem 16. Juli 2002</w:t>
      </w:r>
      <w:r w:rsidR="003366D9" w:rsidRPr="009118AB">
        <w:rPr>
          <w:i/>
          <w:iCs/>
        </w:rPr>
        <w:t> -;</w:t>
      </w:r>
      <w:r w:rsidRPr="009118AB">
        <w:rPr>
          <w:i/>
          <w:iCs/>
        </w:rPr>
        <w:t xml:space="preserve"> </w:t>
      </w:r>
      <w:r w:rsidR="00D67EB8" w:rsidRPr="009118AB">
        <w:rPr>
          <w:i/>
          <w:iCs/>
        </w:rPr>
        <w:t>Abs. </w:t>
      </w:r>
      <w:r w:rsidR="00D256EA" w:rsidRPr="009118AB">
        <w:rPr>
          <w:i/>
          <w:iCs/>
        </w:rPr>
        <w:t>1</w:t>
      </w:r>
      <w:r w:rsidRPr="009118AB">
        <w:rPr>
          <w:i/>
          <w:iCs/>
        </w:rPr>
        <w:t xml:space="preserve"> </w:t>
      </w:r>
      <w:r w:rsidR="00D67EB8" w:rsidRPr="009118AB">
        <w:rPr>
          <w:i/>
          <w:iCs/>
        </w:rPr>
        <w:t>Nr. </w:t>
      </w:r>
      <w:r w:rsidRPr="009118AB">
        <w:rPr>
          <w:i/>
          <w:iCs/>
        </w:rPr>
        <w:t xml:space="preserve">5bis eingefügt durch </w:t>
      </w:r>
      <w:r w:rsidR="00D67EB8" w:rsidRPr="009118AB">
        <w:rPr>
          <w:i/>
          <w:iCs/>
        </w:rPr>
        <w:t>Art. </w:t>
      </w:r>
      <w:r w:rsidRPr="009118AB">
        <w:rPr>
          <w:i/>
          <w:iCs/>
        </w:rPr>
        <w:t>82 des G. vom 28. Juli 1992 (B.S. vom 31. Juli 1992)</w:t>
      </w:r>
      <w:r w:rsidR="00D67EB8" w:rsidRPr="009118AB">
        <w:rPr>
          <w:i/>
          <w:iCs/>
        </w:rPr>
        <w:t> - </w:t>
      </w:r>
      <w:r w:rsidRPr="009118AB">
        <w:rPr>
          <w:i/>
          <w:iCs/>
        </w:rPr>
        <w:t>in Kraft ab dem 1. Januar 1993</w:t>
      </w:r>
      <w:r w:rsidR="00D67EB8" w:rsidRPr="009118AB">
        <w:rPr>
          <w:i/>
          <w:iCs/>
          <w:spacing w:val="-5"/>
        </w:rPr>
        <w:t> - </w:t>
      </w:r>
      <w:r w:rsidR="00395544" w:rsidRPr="009118AB">
        <w:rPr>
          <w:i/>
          <w:iCs/>
          <w:spacing w:val="-5"/>
        </w:rPr>
        <w:t xml:space="preserve">und </w:t>
      </w:r>
      <w:r w:rsidR="001F15B0" w:rsidRPr="009118AB">
        <w:rPr>
          <w:i/>
          <w:iCs/>
          <w:spacing w:val="-5"/>
        </w:rPr>
        <w:t>ersetzt durch Art. 14</w:t>
      </w:r>
      <w:r w:rsidR="001F15B0" w:rsidRPr="009118AB">
        <w:rPr>
          <w:i/>
          <w:iCs/>
        </w:rPr>
        <w:t xml:space="preserve"> des G. vom 21. Dezember 2022 (II) (B.S. vom 29. Dezember 2022)</w:t>
      </w:r>
      <w:r w:rsidR="00395544" w:rsidRPr="009118AB">
        <w:rPr>
          <w:i/>
        </w:rPr>
        <w:t>;</w:t>
      </w:r>
      <w:r w:rsidRPr="009118AB">
        <w:rPr>
          <w:i/>
          <w:iCs/>
          <w:spacing w:val="-5"/>
        </w:rPr>
        <w:t xml:space="preserve"> </w:t>
      </w:r>
      <w:r w:rsidR="00D67EB8" w:rsidRPr="009118AB">
        <w:rPr>
          <w:i/>
          <w:iCs/>
          <w:spacing w:val="-5"/>
        </w:rPr>
        <w:t>Abs. </w:t>
      </w:r>
      <w:r w:rsidR="007C3D86" w:rsidRPr="009118AB">
        <w:rPr>
          <w:i/>
          <w:iCs/>
          <w:spacing w:val="-5"/>
        </w:rPr>
        <w:t xml:space="preserve">1 </w:t>
      </w:r>
      <w:r w:rsidR="00D67EB8" w:rsidRPr="009118AB">
        <w:rPr>
          <w:i/>
          <w:iCs/>
          <w:spacing w:val="-5"/>
        </w:rPr>
        <w:t>Nr. </w:t>
      </w:r>
      <w:r w:rsidR="007C3D86" w:rsidRPr="009118AB">
        <w:rPr>
          <w:i/>
          <w:iCs/>
          <w:spacing w:val="-5"/>
        </w:rPr>
        <w:t xml:space="preserve">6 ersetzt durch </w:t>
      </w:r>
      <w:r w:rsidR="00D67EB8" w:rsidRPr="009118AB">
        <w:rPr>
          <w:i/>
          <w:iCs/>
          <w:spacing w:val="-5"/>
        </w:rPr>
        <w:t>Art. </w:t>
      </w:r>
      <w:r w:rsidR="00B94A88" w:rsidRPr="009118AB">
        <w:rPr>
          <w:i/>
          <w:iCs/>
          <w:spacing w:val="-5"/>
        </w:rPr>
        <w:t xml:space="preserve">39 </w:t>
      </w:r>
      <w:r w:rsidR="00D67EB8" w:rsidRPr="009118AB">
        <w:rPr>
          <w:i/>
          <w:iCs/>
          <w:spacing w:val="-5"/>
        </w:rPr>
        <w:t>Nr. </w:t>
      </w:r>
      <w:r w:rsidR="00B94A88" w:rsidRPr="009118AB">
        <w:rPr>
          <w:i/>
          <w:iCs/>
          <w:spacing w:val="-5"/>
        </w:rPr>
        <w:t>2</w:t>
      </w:r>
      <w:r w:rsidR="007C3D86" w:rsidRPr="009118AB">
        <w:rPr>
          <w:i/>
          <w:iCs/>
        </w:rPr>
        <w:t xml:space="preserve"> des G. vom 21. Januar 2022 (B.S. vom 28. Januar 2022); </w:t>
      </w:r>
      <w:r w:rsidR="00D67EB8" w:rsidRPr="009118AB">
        <w:rPr>
          <w:i/>
          <w:iCs/>
          <w:spacing w:val="-5"/>
        </w:rPr>
        <w:t>Abs. </w:t>
      </w:r>
      <w:r w:rsidR="00D256EA" w:rsidRPr="009118AB">
        <w:rPr>
          <w:i/>
          <w:iCs/>
          <w:spacing w:val="-5"/>
        </w:rPr>
        <w:t>1</w:t>
      </w:r>
      <w:r w:rsidRPr="009118AB">
        <w:rPr>
          <w:i/>
          <w:iCs/>
          <w:spacing w:val="-5"/>
        </w:rPr>
        <w:t xml:space="preserve"> </w:t>
      </w:r>
      <w:r w:rsidR="00D67EB8" w:rsidRPr="009118AB">
        <w:rPr>
          <w:i/>
          <w:iCs/>
          <w:spacing w:val="-5"/>
        </w:rPr>
        <w:t>Nr. </w:t>
      </w:r>
      <w:r w:rsidRPr="009118AB">
        <w:rPr>
          <w:i/>
          <w:iCs/>
          <w:spacing w:val="-5"/>
        </w:rPr>
        <w:t xml:space="preserve">10 eingefügt durch </w:t>
      </w:r>
      <w:r w:rsidR="00D67EB8" w:rsidRPr="009118AB">
        <w:rPr>
          <w:i/>
          <w:iCs/>
          <w:spacing w:val="-5"/>
        </w:rPr>
        <w:t>Art. </w:t>
      </w:r>
      <w:r w:rsidRPr="009118AB">
        <w:rPr>
          <w:i/>
          <w:iCs/>
          <w:spacing w:val="-5"/>
        </w:rPr>
        <w:t>7 des G. vom 28. Dezember 1992 (B.S. vom 31. Dezember 1992)</w:t>
      </w:r>
      <w:r w:rsidR="00D67EB8" w:rsidRPr="009118AB">
        <w:rPr>
          <w:i/>
          <w:iCs/>
          <w:spacing w:val="-5"/>
        </w:rPr>
        <w:t> - </w:t>
      </w:r>
      <w:r w:rsidRPr="009118AB">
        <w:rPr>
          <w:i/>
          <w:iCs/>
          <w:spacing w:val="-5"/>
        </w:rPr>
        <w:t>in Kraft ab dem Steuerjahr 1992</w:t>
      </w:r>
      <w:r w:rsidR="00D67EB8" w:rsidRPr="009118AB">
        <w:rPr>
          <w:i/>
          <w:iCs/>
          <w:spacing w:val="-5"/>
        </w:rPr>
        <w:t> - </w:t>
      </w:r>
      <w:r w:rsidRPr="009118AB">
        <w:rPr>
          <w:i/>
          <w:iCs/>
          <w:spacing w:val="-5"/>
        </w:rPr>
        <w:t xml:space="preserve">und aufgehoben durch </w:t>
      </w:r>
      <w:r w:rsidR="00D67EB8" w:rsidRPr="009118AB">
        <w:rPr>
          <w:i/>
          <w:iCs/>
          <w:spacing w:val="-5"/>
        </w:rPr>
        <w:t>Art. </w:t>
      </w:r>
      <w:r w:rsidRPr="009118AB">
        <w:rPr>
          <w:i/>
          <w:iCs/>
          <w:spacing w:val="-5"/>
        </w:rPr>
        <w:t>31 Buchstabe b) des G. vom 12. August 2000 (I) (B.S. vom 7. September 2000)</w:t>
      </w:r>
      <w:r w:rsidR="00D67EB8" w:rsidRPr="009118AB">
        <w:rPr>
          <w:i/>
          <w:iCs/>
          <w:spacing w:val="-5"/>
        </w:rPr>
        <w:t> - </w:t>
      </w:r>
      <w:r w:rsidRPr="009118AB">
        <w:rPr>
          <w:i/>
          <w:iCs/>
          <w:spacing w:val="-5"/>
        </w:rPr>
        <w:t>in Kraft ab dem Steuerjahr 2000</w:t>
      </w:r>
      <w:r w:rsidR="003366D9" w:rsidRPr="009118AB">
        <w:rPr>
          <w:i/>
          <w:iCs/>
          <w:spacing w:val="-5"/>
        </w:rPr>
        <w:t> -;</w:t>
      </w:r>
      <w:r w:rsidRPr="009118AB">
        <w:rPr>
          <w:i/>
          <w:iCs/>
          <w:spacing w:val="-5"/>
        </w:rPr>
        <w:t xml:space="preserve"> </w:t>
      </w:r>
      <w:r w:rsidR="00D67EB8" w:rsidRPr="009118AB">
        <w:rPr>
          <w:i/>
          <w:iCs/>
          <w:spacing w:val="-5"/>
        </w:rPr>
        <w:t>Abs. </w:t>
      </w:r>
      <w:r w:rsidR="00D256EA" w:rsidRPr="009118AB">
        <w:rPr>
          <w:i/>
          <w:iCs/>
          <w:spacing w:val="-5"/>
        </w:rPr>
        <w:t>1</w:t>
      </w:r>
      <w:r w:rsidRPr="009118AB">
        <w:rPr>
          <w:i/>
          <w:iCs/>
          <w:spacing w:val="-5"/>
        </w:rPr>
        <w:t> </w:t>
      </w:r>
      <w:r w:rsidR="00D67EB8" w:rsidRPr="009118AB">
        <w:rPr>
          <w:i/>
          <w:iCs/>
          <w:spacing w:val="-5"/>
        </w:rPr>
        <w:t>Nr. </w:t>
      </w:r>
      <w:r w:rsidRPr="009118AB">
        <w:rPr>
          <w:i/>
          <w:iCs/>
          <w:spacing w:val="-5"/>
        </w:rPr>
        <w:t xml:space="preserve">11 eingefügt durch </w:t>
      </w:r>
      <w:r w:rsidR="00D67EB8" w:rsidRPr="009118AB">
        <w:rPr>
          <w:i/>
          <w:iCs/>
          <w:spacing w:val="-5"/>
        </w:rPr>
        <w:t>Art. </w:t>
      </w:r>
      <w:r w:rsidRPr="009118AB">
        <w:rPr>
          <w:i/>
          <w:iCs/>
          <w:spacing w:val="-5"/>
        </w:rPr>
        <w:t>32 des G. vom 21. Dezember 1998 (B.S. vom 30. Dezember 1998)</w:t>
      </w:r>
      <w:r w:rsidR="00D67EB8" w:rsidRPr="009118AB">
        <w:rPr>
          <w:i/>
          <w:iCs/>
          <w:spacing w:val="-5"/>
        </w:rPr>
        <w:t> - </w:t>
      </w:r>
      <w:r w:rsidRPr="009118AB">
        <w:rPr>
          <w:i/>
          <w:iCs/>
          <w:spacing w:val="-5"/>
        </w:rPr>
        <w:t>in Kraft ab dem 24. Februar 1999</w:t>
      </w:r>
      <w:r w:rsidR="00D67EB8" w:rsidRPr="009118AB">
        <w:rPr>
          <w:i/>
          <w:iCs/>
          <w:spacing w:val="-5"/>
        </w:rPr>
        <w:t> - </w:t>
      </w:r>
      <w:r w:rsidR="00F73613" w:rsidRPr="009118AB">
        <w:rPr>
          <w:i/>
          <w:iCs/>
          <w:spacing w:val="-5"/>
        </w:rPr>
        <w:t xml:space="preserve">und ersetzt durch </w:t>
      </w:r>
      <w:r w:rsidR="00D67EB8" w:rsidRPr="009118AB">
        <w:rPr>
          <w:i/>
          <w:iCs/>
          <w:spacing w:val="-5"/>
        </w:rPr>
        <w:t>Art. </w:t>
      </w:r>
      <w:r w:rsidR="00F73613" w:rsidRPr="009118AB">
        <w:rPr>
          <w:i/>
          <w:iCs/>
          <w:spacing w:val="-5"/>
        </w:rPr>
        <w:t>46 des G. vom 23. November 2017 (B.S. vom 11. Dezember 2017)</w:t>
      </w:r>
      <w:r w:rsidR="00D67EB8" w:rsidRPr="009118AB">
        <w:rPr>
          <w:i/>
          <w:iCs/>
          <w:spacing w:val="-5"/>
        </w:rPr>
        <w:t> - </w:t>
      </w:r>
      <w:r w:rsidR="00F73613" w:rsidRPr="009118AB">
        <w:rPr>
          <w:i/>
          <w:iCs/>
          <w:spacing w:val="-5"/>
        </w:rPr>
        <w:t>in Kraft am 1. Januar 2018</w:t>
      </w:r>
      <w:r w:rsidR="003366D9" w:rsidRPr="009118AB">
        <w:rPr>
          <w:i/>
          <w:iCs/>
          <w:spacing w:val="-5"/>
        </w:rPr>
        <w:t> -;</w:t>
      </w:r>
      <w:r w:rsidR="00E951F6" w:rsidRPr="009118AB">
        <w:rPr>
          <w:i/>
          <w:iCs/>
          <w:spacing w:val="-5"/>
        </w:rPr>
        <w:t xml:space="preserve"> </w:t>
      </w:r>
      <w:r w:rsidR="00D67EB8" w:rsidRPr="009118AB">
        <w:rPr>
          <w:i/>
          <w:iCs/>
          <w:spacing w:val="-5"/>
        </w:rPr>
        <w:t>Abs. </w:t>
      </w:r>
      <w:r w:rsidR="00D256EA" w:rsidRPr="009118AB">
        <w:rPr>
          <w:i/>
          <w:iCs/>
          <w:spacing w:val="-5"/>
        </w:rPr>
        <w:t>1</w:t>
      </w:r>
      <w:r w:rsidRPr="009118AB">
        <w:rPr>
          <w:i/>
          <w:iCs/>
          <w:spacing w:val="-5"/>
        </w:rPr>
        <w:t xml:space="preserve"> </w:t>
      </w:r>
      <w:r w:rsidR="00D67EB8" w:rsidRPr="009118AB">
        <w:rPr>
          <w:i/>
          <w:iCs/>
          <w:spacing w:val="-5"/>
        </w:rPr>
        <w:t>Nr. </w:t>
      </w:r>
      <w:r w:rsidRPr="009118AB">
        <w:rPr>
          <w:i/>
          <w:iCs/>
          <w:spacing w:val="-5"/>
        </w:rPr>
        <w:t xml:space="preserve">12 eingefügt durch </w:t>
      </w:r>
      <w:r w:rsidR="00D67EB8" w:rsidRPr="009118AB">
        <w:rPr>
          <w:i/>
          <w:iCs/>
          <w:spacing w:val="-5"/>
        </w:rPr>
        <w:t>Art. </w:t>
      </w:r>
      <w:r w:rsidRPr="009118AB">
        <w:rPr>
          <w:i/>
          <w:iCs/>
          <w:spacing w:val="-5"/>
        </w:rPr>
        <w:t xml:space="preserve">204 des G. vom 21. März 1991 (B.S. vom 27. März 1991), selbst eingefügt durch </w:t>
      </w:r>
      <w:r w:rsidR="00D67EB8" w:rsidRPr="009118AB">
        <w:rPr>
          <w:i/>
          <w:iCs/>
          <w:spacing w:val="-5"/>
        </w:rPr>
        <w:t>Art. </w:t>
      </w:r>
      <w:r w:rsidRPr="009118AB">
        <w:rPr>
          <w:i/>
          <w:iCs/>
          <w:spacing w:val="-5"/>
        </w:rPr>
        <w:t>5 des K.E.</w:t>
      </w:r>
      <w:r w:rsidR="00B741C5" w:rsidRPr="009118AB">
        <w:rPr>
          <w:i/>
          <w:iCs/>
          <w:spacing w:val="-5"/>
        </w:rPr>
        <w:t> </w:t>
      </w:r>
      <w:r w:rsidRPr="009118AB">
        <w:rPr>
          <w:i/>
          <w:iCs/>
          <w:spacing w:val="-5"/>
        </w:rPr>
        <w:t>vom 14. Juni 2004 (B.S. vom 24. Juni 2004)</w:t>
      </w:r>
      <w:r w:rsidR="00D67EB8" w:rsidRPr="009118AB">
        <w:rPr>
          <w:i/>
          <w:iCs/>
          <w:spacing w:val="-5"/>
        </w:rPr>
        <w:t> - </w:t>
      </w:r>
      <w:r w:rsidRPr="009118AB">
        <w:rPr>
          <w:i/>
          <w:iCs/>
          <w:spacing w:val="-5"/>
        </w:rPr>
        <w:t>in Kraft ab dem 17. Dezember 2004</w:t>
      </w:r>
      <w:r w:rsidR="003366D9" w:rsidRPr="009118AB">
        <w:rPr>
          <w:i/>
          <w:iCs/>
          <w:spacing w:val="-5"/>
        </w:rPr>
        <w:t> -;</w:t>
      </w:r>
      <w:r w:rsidRPr="009118AB">
        <w:rPr>
          <w:i/>
          <w:iCs/>
          <w:spacing w:val="-5"/>
        </w:rPr>
        <w:t xml:space="preserve"> </w:t>
      </w:r>
      <w:r w:rsidR="00D67EB8" w:rsidRPr="009118AB">
        <w:rPr>
          <w:i/>
          <w:iCs/>
          <w:spacing w:val="-5"/>
        </w:rPr>
        <w:t>Abs. </w:t>
      </w:r>
      <w:r w:rsidR="00D256EA" w:rsidRPr="009118AB">
        <w:rPr>
          <w:i/>
          <w:iCs/>
          <w:spacing w:val="-5"/>
        </w:rPr>
        <w:t>1</w:t>
      </w:r>
      <w:r w:rsidRPr="009118AB">
        <w:rPr>
          <w:i/>
          <w:iCs/>
          <w:spacing w:val="-5"/>
        </w:rPr>
        <w:t xml:space="preserve"> </w:t>
      </w:r>
      <w:r w:rsidR="00D67EB8" w:rsidRPr="009118AB">
        <w:rPr>
          <w:i/>
          <w:iCs/>
          <w:spacing w:val="-5"/>
        </w:rPr>
        <w:t>Nr. </w:t>
      </w:r>
      <w:r w:rsidRPr="009118AB">
        <w:rPr>
          <w:i/>
          <w:iCs/>
          <w:spacing w:val="-5"/>
        </w:rPr>
        <w:t xml:space="preserve">13 eingefügt durch </w:t>
      </w:r>
      <w:r w:rsidR="00D67EB8" w:rsidRPr="009118AB">
        <w:rPr>
          <w:i/>
          <w:iCs/>
          <w:spacing w:val="-5"/>
        </w:rPr>
        <w:t>Art. </w:t>
      </w:r>
      <w:r w:rsidRPr="009118AB">
        <w:rPr>
          <w:i/>
          <w:iCs/>
          <w:spacing w:val="-5"/>
        </w:rPr>
        <w:t xml:space="preserve">5 </w:t>
      </w:r>
      <w:r w:rsidRPr="009118AB">
        <w:rPr>
          <w:i/>
          <w:iCs/>
        </w:rPr>
        <w:t>des K.E. vom 10. November 2006 (B.S. vom 7. Dezember 2006)</w:t>
      </w:r>
      <w:r w:rsidR="00D67EB8" w:rsidRPr="009118AB">
        <w:rPr>
          <w:i/>
          <w:iCs/>
        </w:rPr>
        <w:t> - </w:t>
      </w:r>
      <w:r w:rsidRPr="009118AB">
        <w:rPr>
          <w:i/>
          <w:iCs/>
        </w:rPr>
        <w:t>in Kraft ab dem 1. Januar 2005</w:t>
      </w:r>
      <w:r w:rsidR="00FD68E8" w:rsidRPr="009118AB">
        <w:rPr>
          <w:i/>
          <w:iCs/>
          <w:spacing w:val="-5"/>
        </w:rPr>
        <w:t> -,</w:t>
      </w:r>
      <w:r w:rsidR="00B741C5" w:rsidRPr="009118AB">
        <w:rPr>
          <w:i/>
          <w:iCs/>
          <w:spacing w:val="-5"/>
        </w:rPr>
        <w:t xml:space="preserve"> aufgehoben durch </w:t>
      </w:r>
      <w:r w:rsidR="00D67EB8" w:rsidRPr="009118AB">
        <w:rPr>
          <w:i/>
          <w:iCs/>
          <w:spacing w:val="-5"/>
        </w:rPr>
        <w:t>Art. </w:t>
      </w:r>
      <w:r w:rsidR="00B741C5" w:rsidRPr="009118AB">
        <w:rPr>
          <w:i/>
          <w:iCs/>
          <w:spacing w:val="-5"/>
        </w:rPr>
        <w:t>18 des K.E. vom 28</w:t>
      </w:r>
      <w:r w:rsidR="00DD358E" w:rsidRPr="009118AB">
        <w:rPr>
          <w:i/>
          <w:iCs/>
          <w:spacing w:val="-5"/>
        </w:rPr>
        <w:t>.</w:t>
      </w:r>
      <w:r w:rsidR="00B741C5" w:rsidRPr="009118AB">
        <w:rPr>
          <w:i/>
          <w:iCs/>
          <w:spacing w:val="-5"/>
        </w:rPr>
        <w:t> September 2008 (B.S. vom 2. Oktober 2008)</w:t>
      </w:r>
      <w:r w:rsidR="00D67EB8" w:rsidRPr="009118AB">
        <w:rPr>
          <w:i/>
          <w:iCs/>
          <w:spacing w:val="-5"/>
        </w:rPr>
        <w:t> - </w:t>
      </w:r>
      <w:r w:rsidR="00B741C5" w:rsidRPr="009118AB">
        <w:rPr>
          <w:i/>
          <w:iCs/>
          <w:spacing w:val="-5"/>
        </w:rPr>
        <w:t>in Kraft ab dem 1. Januar 2009</w:t>
      </w:r>
      <w:r w:rsidR="00D67EB8" w:rsidRPr="009118AB">
        <w:rPr>
          <w:i/>
          <w:iCs/>
          <w:spacing w:val="-5"/>
        </w:rPr>
        <w:t> -</w:t>
      </w:r>
      <w:r w:rsidR="001937CB" w:rsidRPr="009118AB">
        <w:rPr>
          <w:i/>
          <w:iCs/>
          <w:spacing w:val="-5"/>
        </w:rPr>
        <w:t>,</w:t>
      </w:r>
      <w:r w:rsidR="00DD358E" w:rsidRPr="009118AB">
        <w:rPr>
          <w:i/>
          <w:iCs/>
        </w:rPr>
        <w:t xml:space="preserve"> wieder aufgenommen</w:t>
      </w:r>
      <w:r w:rsidRPr="009118AB">
        <w:rPr>
          <w:i/>
          <w:iCs/>
        </w:rPr>
        <w:t xml:space="preserve"> durch </w:t>
      </w:r>
      <w:r w:rsidR="00D67EB8" w:rsidRPr="009118AB">
        <w:rPr>
          <w:i/>
          <w:iCs/>
        </w:rPr>
        <w:t>Art. </w:t>
      </w:r>
      <w:r w:rsidRPr="009118AB">
        <w:rPr>
          <w:i/>
          <w:iCs/>
        </w:rPr>
        <w:t>40 des G. vom 26. Januar 2006 (B.S. vom 13. Februar 2006)</w:t>
      </w:r>
      <w:r w:rsidR="001937CB" w:rsidRPr="009118AB">
        <w:rPr>
          <w:i/>
          <w:iCs/>
        </w:rPr>
        <w:t xml:space="preserve"> und ersetzt durch Art. 55 des G. vom 21. Dezember 2023 (B.S. vom 28. Dezember 2023) - in Kraft am 1. Januar 2024 -</w:t>
      </w:r>
      <w:r w:rsidR="00D256EA" w:rsidRPr="009118AB">
        <w:rPr>
          <w:i/>
          <w:iCs/>
        </w:rPr>
        <w:t xml:space="preserve">; </w:t>
      </w:r>
      <w:r w:rsidR="00D67EB8" w:rsidRPr="009118AB">
        <w:rPr>
          <w:i/>
          <w:iCs/>
        </w:rPr>
        <w:t>Abs. </w:t>
      </w:r>
      <w:r w:rsidR="00D256EA" w:rsidRPr="009118AB">
        <w:rPr>
          <w:i/>
          <w:iCs/>
        </w:rPr>
        <w:t xml:space="preserve">2 eingefügt durch </w:t>
      </w:r>
      <w:r w:rsidR="00D67EB8" w:rsidRPr="009118AB">
        <w:rPr>
          <w:i/>
          <w:iCs/>
        </w:rPr>
        <w:t>Art. </w:t>
      </w:r>
      <w:r w:rsidR="00D256EA" w:rsidRPr="009118AB">
        <w:rPr>
          <w:i/>
          <w:iCs/>
        </w:rPr>
        <w:t xml:space="preserve">86 </w:t>
      </w:r>
      <w:r w:rsidR="00D67EB8" w:rsidRPr="009118AB">
        <w:rPr>
          <w:i/>
          <w:iCs/>
        </w:rPr>
        <w:t>Nr. </w:t>
      </w:r>
      <w:r w:rsidR="00D256EA" w:rsidRPr="009118AB">
        <w:rPr>
          <w:i/>
          <w:iCs/>
        </w:rPr>
        <w:t>2</w:t>
      </w:r>
      <w:r w:rsidR="00D256EA" w:rsidRPr="009118AB">
        <w:rPr>
          <w:i/>
          <w:iCs/>
          <w:spacing w:val="-1"/>
        </w:rPr>
        <w:t xml:space="preserve"> des G. vom 10. August 2015 (B.S. vom 18. August 2015)</w:t>
      </w:r>
      <w:r w:rsidR="00D67EB8" w:rsidRPr="009118AB">
        <w:rPr>
          <w:i/>
          <w:iCs/>
          <w:spacing w:val="-1"/>
        </w:rPr>
        <w:t> - </w:t>
      </w:r>
      <w:r w:rsidR="00D256EA" w:rsidRPr="009118AB">
        <w:rPr>
          <w:i/>
        </w:rPr>
        <w:t>in Kraft ab dem Steuerjahr 2015 und anwendbar</w:t>
      </w:r>
      <w:r w:rsidR="00D256EA" w:rsidRPr="009118AB">
        <w:rPr>
          <w:i/>
          <w:iCs/>
          <w:spacing w:val="-1"/>
        </w:rPr>
        <w:t xml:space="preserve"> </w:t>
      </w:r>
      <w:r w:rsidR="00D256EA" w:rsidRPr="009118AB">
        <w:rPr>
          <w:i/>
        </w:rPr>
        <w:t>auf Geschäftsjahre, die frühestens am 1. August 2015 abgeschlossen werden</w:t>
      </w:r>
      <w:r w:rsidR="00FD68E8" w:rsidRPr="009118AB">
        <w:rPr>
          <w:i/>
          <w:iCs/>
        </w:rPr>
        <w:t> -]</w:t>
      </w:r>
    </w:p>
    <w:p w14:paraId="6A281DD0" w14:textId="77777777" w:rsidR="00477B8F" w:rsidRPr="009118AB" w:rsidRDefault="00477B8F" w:rsidP="00477B8F">
      <w:pPr>
        <w:autoSpaceDE w:val="0"/>
        <w:autoSpaceDN w:val="0"/>
        <w:adjustRightInd w:val="0"/>
        <w:jc w:val="both"/>
      </w:pPr>
    </w:p>
    <w:p w14:paraId="200C9645" w14:textId="77777777" w:rsidR="00337C9D" w:rsidRPr="009118AB" w:rsidRDefault="00337C9D" w:rsidP="00477B8F">
      <w:pPr>
        <w:autoSpaceDE w:val="0"/>
        <w:autoSpaceDN w:val="0"/>
        <w:adjustRightInd w:val="0"/>
        <w:jc w:val="both"/>
      </w:pPr>
    </w:p>
    <w:p w14:paraId="0428B81F" w14:textId="77777777" w:rsidR="001937CB" w:rsidRPr="009118AB" w:rsidRDefault="00477B8F" w:rsidP="00477B8F">
      <w:pPr>
        <w:autoSpaceDE w:val="0"/>
        <w:autoSpaceDN w:val="0"/>
        <w:adjustRightInd w:val="0"/>
        <w:jc w:val="both"/>
      </w:pPr>
      <w:r w:rsidRPr="009118AB">
        <w:tab/>
      </w:r>
    </w:p>
    <w:p w14:paraId="20172BAB" w14:textId="77777777" w:rsidR="001937CB" w:rsidRPr="009118AB" w:rsidRDefault="001937CB">
      <w:r w:rsidRPr="009118AB">
        <w:br w:type="page"/>
      </w:r>
    </w:p>
    <w:p w14:paraId="1DEDA983" w14:textId="292C35C2" w:rsidR="00477B8F" w:rsidRPr="009118AB" w:rsidRDefault="00D67EB8" w:rsidP="001937CB">
      <w:pPr>
        <w:autoSpaceDE w:val="0"/>
        <w:autoSpaceDN w:val="0"/>
        <w:adjustRightInd w:val="0"/>
        <w:ind w:firstLine="709"/>
        <w:jc w:val="both"/>
      </w:pPr>
      <w:r w:rsidRPr="009118AB">
        <w:rPr>
          <w:b/>
          <w:bCs/>
        </w:rPr>
        <w:lastRenderedPageBreak/>
        <w:t>Art. </w:t>
      </w:r>
      <w:r w:rsidR="00477B8F" w:rsidRPr="009118AB">
        <w:rPr>
          <w:b/>
          <w:bCs/>
        </w:rPr>
        <w:t>181</w:t>
      </w:r>
      <w:r w:rsidRPr="009118AB">
        <w:t> - </w:t>
      </w:r>
      <w:r w:rsidR="00477B8F" w:rsidRPr="009118AB">
        <w:t>Der Gesellschaftssteuer unterliegen ebenfalls nicht Vereinigungen ohne Gewinnerzielungsabsicht und andere juristische Personen, die keine Gewinnerzielungsabsicht verfolgen und:</w:t>
      </w:r>
    </w:p>
    <w:p w14:paraId="418CD544" w14:textId="77777777" w:rsidR="00477B8F" w:rsidRPr="009118AB" w:rsidRDefault="00477B8F" w:rsidP="00477B8F">
      <w:pPr>
        <w:autoSpaceDE w:val="0"/>
        <w:autoSpaceDN w:val="0"/>
        <w:adjustRightInd w:val="0"/>
        <w:jc w:val="both"/>
      </w:pPr>
    </w:p>
    <w:p w14:paraId="52DE60E7" w14:textId="77777777" w:rsidR="00477B8F" w:rsidRPr="009118AB" w:rsidRDefault="00477B8F" w:rsidP="00477B8F">
      <w:pPr>
        <w:autoSpaceDE w:val="0"/>
        <w:autoSpaceDN w:val="0"/>
        <w:adjustRightInd w:val="0"/>
        <w:jc w:val="both"/>
      </w:pPr>
      <w:r w:rsidRPr="009118AB">
        <w:tab/>
        <w:t>1. deren ausschließlicher oder hauptsächlicher Zweck darin besteht, berufliche oder überberufliche Interessen ihrer Mitglieder zu untersuchen, zu schützen und zu fördern,</w:t>
      </w:r>
    </w:p>
    <w:p w14:paraId="38385788" w14:textId="77777777" w:rsidR="00477B8F" w:rsidRPr="009118AB" w:rsidRDefault="00477B8F" w:rsidP="00477B8F">
      <w:pPr>
        <w:autoSpaceDE w:val="0"/>
        <w:autoSpaceDN w:val="0"/>
        <w:adjustRightInd w:val="0"/>
        <w:jc w:val="both"/>
      </w:pPr>
    </w:p>
    <w:p w14:paraId="6482DF89" w14:textId="5118D169" w:rsidR="00477B8F" w:rsidRPr="009118AB" w:rsidRDefault="00477B8F" w:rsidP="00477B8F">
      <w:pPr>
        <w:autoSpaceDE w:val="0"/>
        <w:autoSpaceDN w:val="0"/>
        <w:adjustRightInd w:val="0"/>
        <w:jc w:val="both"/>
      </w:pPr>
      <w:r w:rsidRPr="009118AB">
        <w:tab/>
        <w:t xml:space="preserve">2. die in </w:t>
      </w:r>
      <w:r w:rsidR="00D67EB8" w:rsidRPr="009118AB">
        <w:t>Nr. </w:t>
      </w:r>
      <w:r w:rsidRPr="009118AB">
        <w:t>1 erwähnte juristische Personen fortführen oder aus ihnen hervorgehen, wenn ihr ausschließlicher oder hauptsächlicher Zweck entweder darin besteht, im Namen und für Rechnung ihrer Mitglieder die Verpflichtungen oder Formalitäten, die ihren Mitgliedern aufgrund der Tatsache, dass sie Personal beschäftigen, oder in Ausführung der steuerrechtlichen oder sozialen Rechtsvorschriften auferlegt sind, ganz oder teilweise zu erfüllen, oder wenn ihr ausschließlicher oder hauptsächlicher Zweck darin besteht, ihren Mitgliedern bei der Erfüllung dieser Verpflichtungen oder Formalitäten zu helfen,</w:t>
      </w:r>
    </w:p>
    <w:p w14:paraId="0BC67087" w14:textId="77777777" w:rsidR="00477B8F" w:rsidRPr="009118AB" w:rsidRDefault="00477B8F" w:rsidP="00477B8F">
      <w:pPr>
        <w:autoSpaceDE w:val="0"/>
        <w:autoSpaceDN w:val="0"/>
        <w:adjustRightInd w:val="0"/>
        <w:jc w:val="both"/>
      </w:pPr>
    </w:p>
    <w:p w14:paraId="56D791C8" w14:textId="77777777" w:rsidR="00477B8F" w:rsidRPr="009118AB" w:rsidRDefault="00477B8F" w:rsidP="00477B8F">
      <w:pPr>
        <w:autoSpaceDE w:val="0"/>
        <w:autoSpaceDN w:val="0"/>
        <w:adjustRightInd w:val="0"/>
        <w:jc w:val="both"/>
      </w:pPr>
      <w:r w:rsidRPr="009118AB">
        <w:tab/>
        <w:t>3. die zur Umsetzung der sozialen Rechtsvorschriften damit beauftragt sind, Gelder zur Bewilligung der durch diese Rechtsvorschriften vorgesehenen Vorteile zu vereinnahmen, zu zentralisieren, zu kapitalisieren und zu verteilen,</w:t>
      </w:r>
    </w:p>
    <w:p w14:paraId="27007BFA" w14:textId="77777777" w:rsidR="00477B8F" w:rsidRPr="009118AB" w:rsidRDefault="00477B8F" w:rsidP="00477B8F">
      <w:pPr>
        <w:autoSpaceDE w:val="0"/>
        <w:autoSpaceDN w:val="0"/>
        <w:adjustRightInd w:val="0"/>
        <w:jc w:val="both"/>
      </w:pPr>
    </w:p>
    <w:p w14:paraId="58A0E2E3" w14:textId="77777777" w:rsidR="00477B8F" w:rsidRPr="009118AB" w:rsidRDefault="00477B8F" w:rsidP="00477B8F">
      <w:pPr>
        <w:autoSpaceDE w:val="0"/>
        <w:autoSpaceDN w:val="0"/>
        <w:adjustRightInd w:val="0"/>
        <w:jc w:val="both"/>
      </w:pPr>
      <w:r w:rsidRPr="009118AB">
        <w:tab/>
        <w:t>4. deren ausschließlicher oder hauptsächlicher Zweck darin besteht, Unterricht zu erteilen oder das Unterrichtswesen zu unterstützen,</w:t>
      </w:r>
    </w:p>
    <w:p w14:paraId="2F2CF9BB" w14:textId="77777777" w:rsidR="00457916" w:rsidRPr="009118AB" w:rsidRDefault="00457916" w:rsidP="00477B8F">
      <w:pPr>
        <w:autoSpaceDE w:val="0"/>
        <w:autoSpaceDN w:val="0"/>
        <w:adjustRightInd w:val="0"/>
      </w:pPr>
    </w:p>
    <w:p w14:paraId="6B75378C" w14:textId="77777777" w:rsidR="00477B8F" w:rsidRPr="009118AB" w:rsidRDefault="00477B8F" w:rsidP="00457916">
      <w:pPr>
        <w:autoSpaceDE w:val="0"/>
        <w:autoSpaceDN w:val="0"/>
        <w:adjustRightInd w:val="0"/>
        <w:jc w:val="both"/>
      </w:pPr>
      <w:r w:rsidRPr="009118AB">
        <w:tab/>
        <w:t>5. deren ausschließlicher oder hauptsächlicher Zweck darin besteht, Messen oder Ausstellungen zu organisieren,</w:t>
      </w:r>
    </w:p>
    <w:p w14:paraId="0AE0F40B" w14:textId="77777777" w:rsidR="00477B8F" w:rsidRPr="009118AB" w:rsidRDefault="00477B8F" w:rsidP="00477B8F">
      <w:pPr>
        <w:autoSpaceDE w:val="0"/>
        <w:autoSpaceDN w:val="0"/>
        <w:adjustRightInd w:val="0"/>
        <w:jc w:val="both"/>
      </w:pPr>
    </w:p>
    <w:p w14:paraId="72FEF8F9" w14:textId="77777777" w:rsidR="00477B8F" w:rsidRPr="009118AB" w:rsidRDefault="00477B8F" w:rsidP="00477B8F">
      <w:pPr>
        <w:autoSpaceDE w:val="0"/>
        <w:autoSpaceDN w:val="0"/>
        <w:adjustRightInd w:val="0"/>
        <w:jc w:val="both"/>
      </w:pPr>
      <w:r w:rsidRPr="009118AB">
        <w:tab/>
        <w:t>6. die von den zuständigen Organen der Gemeinschaften als Familien</w:t>
      </w:r>
      <w:r w:rsidRPr="009118AB">
        <w:noBreakHyphen/>
        <w:t xml:space="preserve"> und Seniorenhilfsdienst zugelassen sind,</w:t>
      </w:r>
    </w:p>
    <w:p w14:paraId="3AA26464" w14:textId="77777777" w:rsidR="00477B8F" w:rsidRPr="009118AB" w:rsidRDefault="00477B8F" w:rsidP="00477B8F">
      <w:pPr>
        <w:autoSpaceDE w:val="0"/>
        <w:autoSpaceDN w:val="0"/>
        <w:adjustRightInd w:val="0"/>
        <w:jc w:val="both"/>
      </w:pPr>
    </w:p>
    <w:p w14:paraId="02F21498" w14:textId="016AA4B9" w:rsidR="00477B8F" w:rsidRPr="009118AB" w:rsidRDefault="00477B8F" w:rsidP="00477B8F">
      <w:pPr>
        <w:autoSpaceDE w:val="0"/>
        <w:autoSpaceDN w:val="0"/>
        <w:adjustRightInd w:val="0"/>
        <w:jc w:val="both"/>
      </w:pPr>
      <w:r w:rsidRPr="009118AB">
        <w:tab/>
        <w:t>7. [die für die Anwendung [</w:t>
      </w:r>
      <w:r w:rsidR="00E077D3" w:rsidRPr="009118AB">
        <w:t>von Artikel 145</w:t>
      </w:r>
      <w:r w:rsidR="00E077D3" w:rsidRPr="009118AB">
        <w:rPr>
          <w:vertAlign w:val="superscript"/>
        </w:rPr>
        <w:t>33</w:t>
      </w:r>
      <w:r w:rsidR="00E077D3" w:rsidRPr="009118AB">
        <w:t xml:space="preserve"> </w:t>
      </w:r>
      <w:r w:rsidR="00D67EB8" w:rsidRPr="009118AB">
        <w:t>§ </w:t>
      </w:r>
      <w:r w:rsidR="00E077D3" w:rsidRPr="009118AB">
        <w:t xml:space="preserve">1 Absatz 1 </w:t>
      </w:r>
      <w:r w:rsidR="00D67EB8" w:rsidRPr="009118AB">
        <w:t>Nr. </w:t>
      </w:r>
      <w:r w:rsidR="00E077D3" w:rsidRPr="009118AB">
        <w:t>1 Buchstabe </w:t>
      </w:r>
      <w:r w:rsidR="00E077D3" w:rsidRPr="009118AB">
        <w:rPr>
          <w:i/>
        </w:rPr>
        <w:t>b)</w:t>
      </w:r>
      <w:r w:rsidR="00E077D3" w:rsidRPr="009118AB">
        <w:t xml:space="preserve">, </w:t>
      </w:r>
      <w:r w:rsidR="00E077D3" w:rsidRPr="009118AB">
        <w:rPr>
          <w:i/>
        </w:rPr>
        <w:t>d)</w:t>
      </w:r>
      <w:r w:rsidR="00E077D3" w:rsidRPr="009118AB">
        <w:t xml:space="preserve">, </w:t>
      </w:r>
      <w:r w:rsidR="00E077D3" w:rsidRPr="009118AB">
        <w:rPr>
          <w:i/>
        </w:rPr>
        <w:t>e)</w:t>
      </w:r>
      <w:r w:rsidR="00E077D3" w:rsidRPr="009118AB">
        <w:t xml:space="preserve">, </w:t>
      </w:r>
      <w:r w:rsidR="00E077D3" w:rsidRPr="009118AB">
        <w:rPr>
          <w:i/>
        </w:rPr>
        <w:t>h)</w:t>
      </w:r>
      <w:r w:rsidR="00E077D3" w:rsidRPr="009118AB">
        <w:t xml:space="preserve"> bis </w:t>
      </w:r>
      <w:r w:rsidR="00E077D3" w:rsidRPr="009118AB">
        <w:rPr>
          <w:i/>
        </w:rPr>
        <w:t>l)</w:t>
      </w:r>
      <w:r w:rsidR="00E077D3" w:rsidRPr="009118AB">
        <w:t xml:space="preserve">, </w:t>
      </w:r>
      <w:r w:rsidR="00D67EB8" w:rsidRPr="009118AB">
        <w:t>Nr. </w:t>
      </w:r>
      <w:r w:rsidR="00E077D3" w:rsidRPr="009118AB">
        <w:t xml:space="preserve">2 und </w:t>
      </w:r>
      <w:r w:rsidR="00D67EB8" w:rsidRPr="009118AB">
        <w:t>Nr. </w:t>
      </w:r>
      <w:r w:rsidR="00E077D3" w:rsidRPr="009118AB">
        <w:t>3</w:t>
      </w:r>
      <w:r w:rsidRPr="009118AB">
        <w:t>] zugelassen sind oder wären, wenn sie es beantragen würden oder wenn sie alle Bedingungen erfüllen würden, denen die Zulassung unterliegt, ausschließlich der Bedingung, eine Tätigkeit auf nationaler Ebene auszuüben beziehungsweise einen Einflussbereich, der sich auf eine der Gemeinschaften oder Regionen oder auf das ganze Land erstreckt, zu haben,]</w:t>
      </w:r>
    </w:p>
    <w:p w14:paraId="1C0CAA8B" w14:textId="77777777" w:rsidR="00477B8F" w:rsidRPr="009118AB" w:rsidRDefault="00477B8F" w:rsidP="00477B8F">
      <w:pPr>
        <w:autoSpaceDE w:val="0"/>
        <w:autoSpaceDN w:val="0"/>
        <w:adjustRightInd w:val="0"/>
        <w:jc w:val="both"/>
      </w:pPr>
    </w:p>
    <w:p w14:paraId="2CF74721" w14:textId="29D8ABD7" w:rsidR="00477B8F" w:rsidRPr="009118AB" w:rsidRDefault="00477B8F" w:rsidP="00477B8F">
      <w:pPr>
        <w:autoSpaceDE w:val="0"/>
        <w:autoSpaceDN w:val="0"/>
        <w:adjustRightInd w:val="0"/>
        <w:jc w:val="both"/>
      </w:pPr>
      <w:r w:rsidRPr="009118AB">
        <w:tab/>
        <w:t xml:space="preserve">[8. </w:t>
      </w:r>
      <w:r w:rsidR="004F3415" w:rsidRPr="009118AB">
        <w:t>[auf die Teil 3 des Gesetzbuches der Gesellschaften und Vereinigungen anwendbar ist]</w:t>
      </w:r>
      <w:r w:rsidRPr="009118AB">
        <w:t xml:space="preserve">, sofern sie ausschließlich Zertifizierungstätigkeiten im Sinne des Gesetzes vom 15. Juli 1998 über die Zertifizierung von durch Handelsgesellschaften ausgegebenen Wertpapieren ausüben und sofern aufgrund von Artikel 13 </w:t>
      </w:r>
      <w:r w:rsidR="00D67EB8" w:rsidRPr="009118AB">
        <w:t>§ </w:t>
      </w:r>
      <w:r w:rsidRPr="009118AB">
        <w:t>1 Absatz 1 desselben Gesetzes die von ihnen ausgegebenen Zertifikate für die Anwendung des Einkommensteuergesetzbuches 1992 mit den Wertpapieren, auf die sie sich beziehen, gleichgesetzt werden.]</w:t>
      </w:r>
    </w:p>
    <w:p w14:paraId="2570830C" w14:textId="77777777" w:rsidR="00477B8F" w:rsidRPr="009118AB" w:rsidRDefault="00477B8F" w:rsidP="00477B8F">
      <w:pPr>
        <w:autoSpaceDE w:val="0"/>
        <w:autoSpaceDN w:val="0"/>
        <w:adjustRightInd w:val="0"/>
        <w:jc w:val="both"/>
      </w:pPr>
    </w:p>
    <w:p w14:paraId="686036D4" w14:textId="6D5AE8A0"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181 einziger Absatz </w:t>
      </w:r>
      <w:r w:rsidR="00D67EB8" w:rsidRPr="009118AB">
        <w:rPr>
          <w:i/>
          <w:iCs/>
        </w:rPr>
        <w:t>Nr. </w:t>
      </w:r>
      <w:r w:rsidRPr="009118AB">
        <w:rPr>
          <w:i/>
          <w:iCs/>
        </w:rPr>
        <w:t xml:space="preserve">7 ersetzt durch </w:t>
      </w:r>
      <w:r w:rsidR="00D67EB8" w:rsidRPr="009118AB">
        <w:rPr>
          <w:i/>
          <w:iCs/>
        </w:rPr>
        <w:t>Art. </w:t>
      </w:r>
      <w:r w:rsidRPr="009118AB">
        <w:rPr>
          <w:i/>
          <w:iCs/>
        </w:rPr>
        <w:t>18 des G. vom 22. Dezember 1998 (B.S.</w:t>
      </w:r>
      <w:r w:rsidR="00457916" w:rsidRPr="009118AB">
        <w:rPr>
          <w:i/>
          <w:iCs/>
        </w:rPr>
        <w:t> </w:t>
      </w:r>
      <w:r w:rsidRPr="009118AB">
        <w:rPr>
          <w:i/>
          <w:iCs/>
        </w:rPr>
        <w:t xml:space="preserve">vom </w:t>
      </w:r>
      <w:r w:rsidRPr="009118AB">
        <w:rPr>
          <w:rFonts w:ascii="Times New Roman Italique" w:hAnsi="Times New Roman Italique"/>
          <w:i/>
          <w:iCs/>
          <w:spacing w:val="-2"/>
        </w:rPr>
        <w:t>15. Januar 1999)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1998</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285 des G. vom 22. Dezember 2003 (B.S. vom 31. Dezember 2003)</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31. Dezember 2003</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4 des G. vom 16. November 2004 (B.S. vom 30. November 2004)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w:t>
      </w:r>
      <w:r w:rsidRPr="009118AB">
        <w:rPr>
          <w:i/>
          <w:iCs/>
        </w:rPr>
        <w:t xml:space="preserve"> 1. Januar 2005 gezahlten unentgeltlichen Zuwendungen</w:t>
      </w:r>
      <w:r w:rsidR="00D67EB8" w:rsidRPr="009118AB">
        <w:rPr>
          <w:i/>
          <w:iCs/>
        </w:rPr>
        <w:t> - </w:t>
      </w:r>
      <w:r w:rsidR="00E077D3" w:rsidRPr="009118AB">
        <w:rPr>
          <w:i/>
          <w:iCs/>
        </w:rPr>
        <w:t xml:space="preserve">und </w:t>
      </w:r>
      <w:r w:rsidR="00D67EB8" w:rsidRPr="009118AB">
        <w:rPr>
          <w:i/>
          <w:iCs/>
        </w:rPr>
        <w:t>Art. </w:t>
      </w:r>
      <w:r w:rsidR="00E077D3" w:rsidRPr="009118AB">
        <w:rPr>
          <w:i/>
          <w:iCs/>
        </w:rPr>
        <w:t>43 des G. vom 13.</w:t>
      </w:r>
      <w:r w:rsidR="00252578" w:rsidRPr="009118AB">
        <w:rPr>
          <w:i/>
          <w:iCs/>
        </w:rPr>
        <w:t> </w:t>
      </w:r>
      <w:r w:rsidR="00E077D3" w:rsidRPr="009118AB">
        <w:rPr>
          <w:i/>
          <w:iCs/>
        </w:rPr>
        <w:t>Dezember 2012 (B.S. vom 20. Dezember 2012)</w:t>
      </w:r>
      <w:r w:rsidR="00D67EB8" w:rsidRPr="009118AB">
        <w:rPr>
          <w:i/>
          <w:iCs/>
        </w:rPr>
        <w:t> - </w:t>
      </w:r>
      <w:r w:rsidR="00E077D3" w:rsidRPr="009118AB">
        <w:rPr>
          <w:i/>
          <w:iCs/>
        </w:rPr>
        <w:t>anwendbar ab dem 1. Januar 2012</w:t>
      </w:r>
      <w:r w:rsidR="003366D9" w:rsidRPr="009118AB">
        <w:rPr>
          <w:i/>
          <w:iCs/>
        </w:rPr>
        <w:t> -;</w:t>
      </w:r>
      <w:r w:rsidRPr="009118AB">
        <w:rPr>
          <w:i/>
          <w:iCs/>
        </w:rPr>
        <w:t xml:space="preserve"> einziger Absatz </w:t>
      </w:r>
      <w:r w:rsidR="00D67EB8" w:rsidRPr="009118AB">
        <w:rPr>
          <w:i/>
          <w:iCs/>
        </w:rPr>
        <w:t>Nr. </w:t>
      </w:r>
      <w:r w:rsidRPr="009118AB">
        <w:rPr>
          <w:i/>
          <w:iCs/>
        </w:rPr>
        <w:t xml:space="preserve">8 eingefügt durch </w:t>
      </w:r>
      <w:r w:rsidR="00D67EB8" w:rsidRPr="009118AB">
        <w:rPr>
          <w:i/>
          <w:iCs/>
        </w:rPr>
        <w:t>Art. </w:t>
      </w:r>
      <w:r w:rsidRPr="009118AB">
        <w:rPr>
          <w:i/>
          <w:iCs/>
        </w:rPr>
        <w:t>62 des G. vom 2. Mai 2002 (B.S.</w:t>
      </w:r>
      <w:r w:rsidR="00457916" w:rsidRPr="009118AB">
        <w:rPr>
          <w:i/>
          <w:iCs/>
        </w:rPr>
        <w:t> </w:t>
      </w:r>
      <w:r w:rsidRPr="009118AB">
        <w:rPr>
          <w:i/>
          <w:iCs/>
        </w:rPr>
        <w:t xml:space="preserve">vom </w:t>
      </w:r>
      <w:r w:rsidRPr="009118AB">
        <w:rPr>
          <w:i/>
          <w:iCs/>
        </w:rPr>
        <w:lastRenderedPageBreak/>
        <w:t>11. Dezember 2002)</w:t>
      </w:r>
      <w:r w:rsidR="00D67EB8" w:rsidRPr="009118AB">
        <w:rPr>
          <w:i/>
          <w:iCs/>
        </w:rPr>
        <w:t> - </w:t>
      </w:r>
      <w:r w:rsidRPr="009118AB">
        <w:rPr>
          <w:i/>
          <w:iCs/>
        </w:rPr>
        <w:t>in Kraft ab dem 1. Juli 2003</w:t>
      </w:r>
      <w:r w:rsidR="00D67EB8" w:rsidRPr="009118AB">
        <w:rPr>
          <w:i/>
          <w:iCs/>
        </w:rPr>
        <w:t> - </w:t>
      </w:r>
      <w:r w:rsidR="004F3415" w:rsidRPr="009118AB">
        <w:rPr>
          <w:i/>
          <w:iCs/>
        </w:rPr>
        <w:t xml:space="preserve">und abgeändert durch </w:t>
      </w:r>
      <w:r w:rsidR="00D67EB8" w:rsidRPr="009118AB">
        <w:rPr>
          <w:i/>
          <w:iCs/>
        </w:rPr>
        <w:t>Art. </w:t>
      </w:r>
      <w:r w:rsidR="004F3415" w:rsidRPr="009118AB">
        <w:rPr>
          <w:i/>
          <w:iCs/>
        </w:rPr>
        <w:t>22</w:t>
      </w:r>
      <w:r w:rsidR="004F3415" w:rsidRPr="009118AB">
        <w:rPr>
          <w:i/>
          <w:iCs/>
          <w:spacing w:val="-2"/>
        </w:rPr>
        <w:t xml:space="preserve"> des G. vom 17. März 2019 (III) (B.S. vom 10. Mai 2019)</w:t>
      </w:r>
      <w:r w:rsidR="00D67EB8" w:rsidRPr="009118AB">
        <w:rPr>
          <w:i/>
          <w:iCs/>
          <w:spacing w:val="-2"/>
        </w:rPr>
        <w:t> - </w:t>
      </w:r>
      <w:r w:rsidR="004F3415" w:rsidRPr="009118AB">
        <w:rPr>
          <w:i/>
          <w:iCs/>
          <w:spacing w:val="-2"/>
        </w:rPr>
        <w:t>in Kraft am 1. Mai 2019</w:t>
      </w:r>
      <w:r w:rsidR="00FD68E8" w:rsidRPr="009118AB">
        <w:rPr>
          <w:i/>
          <w:iCs/>
          <w:spacing w:val="-2"/>
        </w:rPr>
        <w:t> -]</w:t>
      </w:r>
    </w:p>
    <w:p w14:paraId="4E244A31" w14:textId="77777777" w:rsidR="00477B8F" w:rsidRPr="009118AB" w:rsidRDefault="00477B8F" w:rsidP="00477B8F">
      <w:pPr>
        <w:autoSpaceDE w:val="0"/>
        <w:autoSpaceDN w:val="0"/>
        <w:adjustRightInd w:val="0"/>
        <w:jc w:val="both"/>
      </w:pPr>
    </w:p>
    <w:p w14:paraId="613F1835" w14:textId="77777777" w:rsidR="00477B8F" w:rsidRPr="009118AB" w:rsidRDefault="00477B8F" w:rsidP="00477B8F">
      <w:pPr>
        <w:autoSpaceDE w:val="0"/>
        <w:autoSpaceDN w:val="0"/>
        <w:adjustRightInd w:val="0"/>
        <w:jc w:val="both"/>
      </w:pPr>
    </w:p>
    <w:p w14:paraId="4C90A45C" w14:textId="138E627E"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182</w:t>
      </w:r>
      <w:r w:rsidR="00D67EB8" w:rsidRPr="009118AB">
        <w:t> - </w:t>
      </w:r>
      <w:r w:rsidRPr="009118AB">
        <w:t>In Bezug auf Vereinigungen ohne Gewinnerzielungsabsicht und andere juristische Personen, die keine Gewinnerzielungsabsicht verfolgen, werden nicht als Geschäfte mit gewinnbringendem Zweck betrachtet:</w:t>
      </w:r>
    </w:p>
    <w:p w14:paraId="63FE47F8" w14:textId="77777777" w:rsidR="00477B8F" w:rsidRPr="009118AB" w:rsidRDefault="00477B8F" w:rsidP="00477B8F">
      <w:pPr>
        <w:autoSpaceDE w:val="0"/>
        <w:autoSpaceDN w:val="0"/>
        <w:adjustRightInd w:val="0"/>
        <w:jc w:val="both"/>
      </w:pPr>
    </w:p>
    <w:p w14:paraId="2D1BDA2C" w14:textId="77777777" w:rsidR="00477B8F" w:rsidRPr="009118AB" w:rsidRDefault="00477B8F" w:rsidP="00477B8F">
      <w:pPr>
        <w:autoSpaceDE w:val="0"/>
        <w:autoSpaceDN w:val="0"/>
        <w:adjustRightInd w:val="0"/>
        <w:jc w:val="both"/>
      </w:pPr>
      <w:r w:rsidRPr="009118AB">
        <w:tab/>
        <w:t>1. vereinzelte oder außergewöhnliche Geschäfte,</w:t>
      </w:r>
    </w:p>
    <w:p w14:paraId="208DA519" w14:textId="77777777" w:rsidR="00477B8F" w:rsidRPr="009118AB" w:rsidRDefault="00477B8F" w:rsidP="00477B8F">
      <w:pPr>
        <w:autoSpaceDE w:val="0"/>
        <w:autoSpaceDN w:val="0"/>
        <w:adjustRightInd w:val="0"/>
        <w:jc w:val="both"/>
      </w:pPr>
    </w:p>
    <w:p w14:paraId="7503851F" w14:textId="77777777" w:rsidR="00477B8F" w:rsidRPr="009118AB" w:rsidRDefault="00477B8F" w:rsidP="00477B8F">
      <w:pPr>
        <w:autoSpaceDE w:val="0"/>
        <w:autoSpaceDN w:val="0"/>
        <w:adjustRightInd w:val="0"/>
        <w:jc w:val="both"/>
      </w:pPr>
      <w:r w:rsidRPr="009118AB">
        <w:tab/>
        <w:t>2. Geschäfte, die in der Anlage der im Rahmen ihres Satzungsauftrags gesammelten Gelder bestehen,</w:t>
      </w:r>
    </w:p>
    <w:p w14:paraId="2316FCAF" w14:textId="77777777" w:rsidR="00477B8F" w:rsidRPr="009118AB" w:rsidRDefault="00477B8F" w:rsidP="00477B8F">
      <w:pPr>
        <w:autoSpaceDE w:val="0"/>
        <w:autoSpaceDN w:val="0"/>
        <w:adjustRightInd w:val="0"/>
        <w:jc w:val="both"/>
      </w:pPr>
    </w:p>
    <w:p w14:paraId="43E89A51" w14:textId="77777777" w:rsidR="00477B8F" w:rsidRPr="009118AB" w:rsidRDefault="00477B8F" w:rsidP="00477B8F">
      <w:pPr>
        <w:autoSpaceDE w:val="0"/>
        <w:autoSpaceDN w:val="0"/>
        <w:adjustRightInd w:val="0"/>
        <w:jc w:val="both"/>
      </w:pPr>
      <w:r w:rsidRPr="009118AB">
        <w:tab/>
        <w:t>3. Geschäfte, die aus einer Tätigkeit bestehen, die sich nur nebensächlich auf Industrie</w:t>
      </w:r>
      <w:r w:rsidRPr="009118AB">
        <w:noBreakHyphen/>
        <w:t>, Handels- oder Landwirtschaftsgeschäfte bezieht oder die nicht gemäß industriellen oder kommerziellen Methoden ausgeführt wird.</w:t>
      </w:r>
    </w:p>
    <w:p w14:paraId="4D74FFF9" w14:textId="77777777" w:rsidR="003A653F" w:rsidRPr="009118AB" w:rsidRDefault="003A653F" w:rsidP="00477B8F">
      <w:pPr>
        <w:autoSpaceDE w:val="0"/>
        <w:autoSpaceDN w:val="0"/>
        <w:adjustRightInd w:val="0"/>
        <w:jc w:val="center"/>
        <w:rPr>
          <w:b/>
          <w:bCs/>
        </w:rPr>
      </w:pPr>
    </w:p>
    <w:p w14:paraId="744549A9" w14:textId="106B6D9E" w:rsidR="00A5160C" w:rsidRPr="009118AB" w:rsidRDefault="00A5160C">
      <w:pPr>
        <w:rPr>
          <w:b/>
          <w:bCs/>
        </w:rPr>
      </w:pPr>
    </w:p>
    <w:p w14:paraId="67035AB0" w14:textId="77777777" w:rsidR="002766A8" w:rsidRPr="009118AB" w:rsidRDefault="002766A8">
      <w:pPr>
        <w:rPr>
          <w:b/>
          <w:bCs/>
        </w:rPr>
      </w:pPr>
      <w:r w:rsidRPr="009118AB">
        <w:rPr>
          <w:b/>
          <w:bCs/>
        </w:rPr>
        <w:br w:type="page"/>
      </w:r>
    </w:p>
    <w:p w14:paraId="625BDAE1" w14:textId="3DA2EE0C" w:rsidR="00477B8F" w:rsidRPr="009118AB" w:rsidRDefault="00577EF8" w:rsidP="00477B8F">
      <w:pPr>
        <w:autoSpaceDE w:val="0"/>
        <w:autoSpaceDN w:val="0"/>
        <w:adjustRightInd w:val="0"/>
        <w:jc w:val="center"/>
      </w:pPr>
      <w:r w:rsidRPr="009118AB">
        <w:rPr>
          <w:b/>
          <w:bCs/>
        </w:rPr>
        <w:lastRenderedPageBreak/>
        <w:t>KAPITEL </w:t>
      </w:r>
      <w:r w:rsidR="007828ED" w:rsidRPr="009118AB">
        <w:rPr>
          <w:b/>
          <w:bCs/>
        </w:rPr>
        <w:t>2</w:t>
      </w:r>
      <w:r w:rsidR="00D67EB8" w:rsidRPr="009118AB">
        <w:t> - </w:t>
      </w:r>
      <w:r w:rsidR="00477B8F" w:rsidRPr="009118AB">
        <w:rPr>
          <w:i/>
          <w:iCs/>
        </w:rPr>
        <w:t>Besteuerungsgrundlage</w:t>
      </w:r>
    </w:p>
    <w:p w14:paraId="78E8E524" w14:textId="77777777" w:rsidR="00477B8F" w:rsidRPr="009118AB" w:rsidRDefault="00477B8F" w:rsidP="00477B8F">
      <w:pPr>
        <w:autoSpaceDE w:val="0"/>
        <w:autoSpaceDN w:val="0"/>
        <w:adjustRightInd w:val="0"/>
        <w:jc w:val="center"/>
      </w:pPr>
    </w:p>
    <w:p w14:paraId="19AB9C81" w14:textId="77777777" w:rsidR="00477B8F" w:rsidRPr="009118AB" w:rsidRDefault="00477B8F" w:rsidP="00477B8F">
      <w:pPr>
        <w:autoSpaceDE w:val="0"/>
        <w:autoSpaceDN w:val="0"/>
        <w:adjustRightInd w:val="0"/>
        <w:jc w:val="center"/>
      </w:pPr>
    </w:p>
    <w:p w14:paraId="679FAF3E" w14:textId="5D265CC4" w:rsidR="00477B8F" w:rsidRPr="009118AB" w:rsidRDefault="00477B8F" w:rsidP="00477B8F">
      <w:pPr>
        <w:autoSpaceDE w:val="0"/>
        <w:autoSpaceDN w:val="0"/>
        <w:adjustRightInd w:val="0"/>
        <w:jc w:val="center"/>
      </w:pPr>
      <w:r w:rsidRPr="009118AB">
        <w:rPr>
          <w:i/>
          <w:iCs/>
        </w:rPr>
        <w:t>Abschnitt </w:t>
      </w:r>
      <w:r w:rsidR="00D74862" w:rsidRPr="009118AB">
        <w:rPr>
          <w:i/>
          <w:iCs/>
        </w:rPr>
        <w:t>1</w:t>
      </w:r>
      <w:r w:rsidR="00D67EB8" w:rsidRPr="009118AB">
        <w:rPr>
          <w:i/>
          <w:iCs/>
        </w:rPr>
        <w:t> - </w:t>
      </w:r>
      <w:r w:rsidRPr="009118AB">
        <w:t>Allgemeine Bestimmungen</w:t>
      </w:r>
    </w:p>
    <w:p w14:paraId="7412C812" w14:textId="77777777" w:rsidR="00477B8F" w:rsidRPr="009118AB" w:rsidRDefault="00477B8F" w:rsidP="00477B8F">
      <w:pPr>
        <w:autoSpaceDE w:val="0"/>
        <w:autoSpaceDN w:val="0"/>
        <w:adjustRightInd w:val="0"/>
        <w:jc w:val="center"/>
      </w:pPr>
    </w:p>
    <w:p w14:paraId="0F923F9F" w14:textId="77777777" w:rsidR="00477B8F" w:rsidRPr="009118AB" w:rsidRDefault="00477B8F" w:rsidP="00477B8F">
      <w:pPr>
        <w:autoSpaceDE w:val="0"/>
        <w:autoSpaceDN w:val="0"/>
        <w:adjustRightInd w:val="0"/>
        <w:jc w:val="center"/>
      </w:pPr>
    </w:p>
    <w:p w14:paraId="789F6B95" w14:textId="59A2C91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183</w:t>
      </w:r>
      <w:r w:rsidR="00D67EB8" w:rsidRPr="009118AB">
        <w:t> - </w:t>
      </w:r>
      <w:r w:rsidRPr="009118AB">
        <w:t>Unter Vorbehalt der in vorliegendem Titel vorgesehenen Abweichungen sind Einkünfte, die der Gesellschaftssteuer unterliegen oder von dieser Steuer befreit sind, hinsichtlich ihrer Art die gleichen wie die, die in Bezug auf die Steuer der natürlichen Personen vorgesehen sind; ihr Betrag wird gemäß den auf Gewinne anwendbaren Regeln festgelegt.</w:t>
      </w:r>
    </w:p>
    <w:p w14:paraId="16EF3582" w14:textId="77777777" w:rsidR="00477B8F" w:rsidRPr="009118AB" w:rsidRDefault="00477B8F" w:rsidP="00477B8F">
      <w:pPr>
        <w:autoSpaceDE w:val="0"/>
        <w:autoSpaceDN w:val="0"/>
        <w:adjustRightInd w:val="0"/>
        <w:jc w:val="both"/>
      </w:pPr>
    </w:p>
    <w:p w14:paraId="71E471CC" w14:textId="77777777" w:rsidR="007A12FC" w:rsidRPr="009118AB" w:rsidRDefault="007A12FC" w:rsidP="007A12FC">
      <w:pPr>
        <w:autoSpaceDE w:val="0"/>
        <w:autoSpaceDN w:val="0"/>
        <w:adjustRightInd w:val="0"/>
        <w:jc w:val="both"/>
        <w:rPr>
          <w:iCs/>
          <w:sz w:val="20"/>
          <w:szCs w:val="20"/>
        </w:rPr>
      </w:pPr>
    </w:p>
    <w:p w14:paraId="63EE9A71" w14:textId="02B37E4B" w:rsidR="0037068D" w:rsidRPr="009118AB" w:rsidRDefault="00940233" w:rsidP="007A12FC">
      <w:pPr>
        <w:autoSpaceDE w:val="0"/>
        <w:autoSpaceDN w:val="0"/>
        <w:adjustRightInd w:val="0"/>
        <w:jc w:val="both"/>
      </w:pPr>
      <w:r w:rsidRPr="009118AB">
        <w:rPr>
          <w:iCs/>
        </w:rPr>
        <w:tab/>
      </w:r>
      <w:r w:rsidR="0037068D" w:rsidRPr="009118AB">
        <w:t>[</w:t>
      </w:r>
      <w:r w:rsidR="00D67EB8" w:rsidRPr="009118AB">
        <w:rPr>
          <w:b/>
        </w:rPr>
        <w:t>Art. </w:t>
      </w:r>
      <w:r w:rsidR="0037068D" w:rsidRPr="009118AB">
        <w:rPr>
          <w:b/>
        </w:rPr>
        <w:t>183</w:t>
      </w:r>
      <w:r w:rsidR="0037068D" w:rsidRPr="009118AB">
        <w:rPr>
          <w:b/>
          <w:i/>
        </w:rPr>
        <w:t>bis</w:t>
      </w:r>
      <w:r w:rsidR="00D67EB8" w:rsidRPr="009118AB">
        <w:t> - </w:t>
      </w:r>
      <w:r w:rsidR="0037068D" w:rsidRPr="009118AB">
        <w:t xml:space="preserve">Für die Anwendung der Artikel 45 </w:t>
      </w:r>
      <w:r w:rsidR="00D67EB8" w:rsidRPr="009118AB">
        <w:t>§ </w:t>
      </w:r>
      <w:r w:rsidR="0037068D" w:rsidRPr="009118AB">
        <w:t xml:space="preserve">1 Absatz 1, 46 </w:t>
      </w:r>
      <w:r w:rsidR="00D67EB8" w:rsidRPr="009118AB">
        <w:t>§ </w:t>
      </w:r>
      <w:r w:rsidR="0037068D" w:rsidRPr="009118AB">
        <w:t xml:space="preserve">1 Absatz 1 </w:t>
      </w:r>
      <w:r w:rsidR="00D67EB8" w:rsidRPr="009118AB">
        <w:t>Nr. </w:t>
      </w:r>
      <w:r w:rsidR="0037068D" w:rsidRPr="009118AB">
        <w:t xml:space="preserve">2, 95 Absatz 1, 211 </w:t>
      </w:r>
      <w:r w:rsidR="00D67EB8" w:rsidRPr="009118AB">
        <w:t>§ </w:t>
      </w:r>
      <w:r w:rsidR="0037068D" w:rsidRPr="009118AB">
        <w:t xml:space="preserve">1 Absatz 1 und 231 </w:t>
      </w:r>
      <w:r w:rsidR="00D67EB8" w:rsidRPr="009118AB">
        <w:t>§ </w:t>
      </w:r>
      <w:r w:rsidR="0037068D" w:rsidRPr="009118AB">
        <w:t>2 Absatz 1 darf der Vorgang nicht als hauptsäch</w:t>
      </w:r>
      <w:r w:rsidR="0037068D" w:rsidRPr="009118AB">
        <w:softHyphen/>
        <w:t>lichen Beweggrund oder als einen der hauptsächlichen Beweggründe die Steuerhinterziehung oder -umgehung haben.</w:t>
      </w:r>
    </w:p>
    <w:p w14:paraId="53A7BA4A" w14:textId="77777777" w:rsidR="0037068D" w:rsidRPr="009118AB" w:rsidRDefault="0037068D" w:rsidP="00477B8F">
      <w:pPr>
        <w:autoSpaceDE w:val="0"/>
        <w:autoSpaceDN w:val="0"/>
        <w:adjustRightInd w:val="0"/>
        <w:jc w:val="both"/>
      </w:pPr>
    </w:p>
    <w:p w14:paraId="64A28F88" w14:textId="61A465D7" w:rsidR="007A12FC" w:rsidRPr="009118AB" w:rsidRDefault="00940233" w:rsidP="00477B8F">
      <w:pPr>
        <w:autoSpaceDE w:val="0"/>
        <w:autoSpaceDN w:val="0"/>
        <w:adjustRightInd w:val="0"/>
        <w:jc w:val="both"/>
      </w:pPr>
      <w:r w:rsidRPr="009118AB">
        <w:tab/>
      </w:r>
      <w:r w:rsidR="007A12FC" w:rsidRPr="009118AB">
        <w:t>Außer bei Beweis des Gegenteils kann vom Vorliegen eines solchen Beweggrundes ausgegangen werden, wenn der Vorgang nicht auf vernünftigen wirtschaftlichen Gründen</w:t>
      </w:r>
      <w:r w:rsidR="00D67EB8" w:rsidRPr="009118AB">
        <w:t> - </w:t>
      </w:r>
      <w:r w:rsidR="007A12FC" w:rsidRPr="009118AB">
        <w:t>insbesondere der Umstrukturierung oder der Rationalisierung der beteiligten Gesellschaften</w:t>
      </w:r>
      <w:r w:rsidR="00D67EB8" w:rsidRPr="009118AB">
        <w:t> - </w:t>
      </w:r>
      <w:r w:rsidR="007A12FC" w:rsidRPr="009118AB">
        <w:t>beruht.]</w:t>
      </w:r>
    </w:p>
    <w:p w14:paraId="4B694EC4" w14:textId="77777777" w:rsidR="0037068D" w:rsidRPr="009118AB" w:rsidRDefault="0037068D" w:rsidP="00477B8F">
      <w:pPr>
        <w:autoSpaceDE w:val="0"/>
        <w:autoSpaceDN w:val="0"/>
        <w:adjustRightInd w:val="0"/>
        <w:jc w:val="both"/>
      </w:pPr>
    </w:p>
    <w:p w14:paraId="21FF806F" w14:textId="05524D71" w:rsidR="0037068D" w:rsidRPr="009118AB" w:rsidRDefault="0037068D" w:rsidP="00477B8F">
      <w:pPr>
        <w:autoSpaceDE w:val="0"/>
        <w:autoSpaceDN w:val="0"/>
        <w:adjustRightInd w:val="0"/>
        <w:jc w:val="both"/>
      </w:pPr>
      <w:r w:rsidRPr="009118AB">
        <w:rPr>
          <w:i/>
        </w:rPr>
        <w:t>[</w:t>
      </w:r>
      <w:r w:rsidR="00D67EB8" w:rsidRPr="009118AB">
        <w:rPr>
          <w:i/>
        </w:rPr>
        <w:t>Art. </w:t>
      </w:r>
      <w:r w:rsidRPr="009118AB">
        <w:rPr>
          <w:i/>
        </w:rPr>
        <w:t xml:space="preserve">183bis eingefügt durch </w:t>
      </w:r>
      <w:r w:rsidR="00D67EB8" w:rsidRPr="009118AB">
        <w:rPr>
          <w:i/>
        </w:rPr>
        <w:t>Art. </w:t>
      </w:r>
      <w:r w:rsidRPr="009118AB">
        <w:rPr>
          <w:i/>
        </w:rPr>
        <w:t>11</w:t>
      </w:r>
      <w:r w:rsidRPr="009118AB">
        <w:rPr>
          <w:i/>
          <w:iCs/>
        </w:rPr>
        <w:t xml:space="preserve">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FD68E8" w:rsidRPr="009118AB">
        <w:rPr>
          <w:i/>
          <w:iCs/>
        </w:rPr>
        <w:t> -]</w:t>
      </w:r>
    </w:p>
    <w:p w14:paraId="61EEE3E2" w14:textId="77777777" w:rsidR="0037068D" w:rsidRPr="009118AB" w:rsidRDefault="0037068D" w:rsidP="00477B8F">
      <w:pPr>
        <w:autoSpaceDE w:val="0"/>
        <w:autoSpaceDN w:val="0"/>
        <w:adjustRightInd w:val="0"/>
        <w:jc w:val="both"/>
      </w:pPr>
    </w:p>
    <w:p w14:paraId="24A952D5" w14:textId="77777777" w:rsidR="0037068D" w:rsidRPr="009118AB" w:rsidRDefault="0037068D" w:rsidP="00477B8F">
      <w:pPr>
        <w:autoSpaceDE w:val="0"/>
        <w:autoSpaceDN w:val="0"/>
        <w:adjustRightInd w:val="0"/>
        <w:jc w:val="both"/>
      </w:pPr>
    </w:p>
    <w:p w14:paraId="5FF628EF" w14:textId="68E06C80" w:rsidR="00A5160C" w:rsidRPr="009118AB" w:rsidRDefault="007A12FC" w:rsidP="00A5160C">
      <w:pPr>
        <w:jc w:val="both"/>
      </w:pPr>
      <w:r w:rsidRPr="009118AB">
        <w:rPr>
          <w:b/>
          <w:bCs/>
        </w:rPr>
        <w:tab/>
      </w:r>
      <w:r w:rsidR="00D67EB8" w:rsidRPr="009118AB">
        <w:rPr>
          <w:b/>
          <w:bCs/>
        </w:rPr>
        <w:t>Art. </w:t>
      </w:r>
      <w:r w:rsidRPr="009118AB">
        <w:rPr>
          <w:b/>
          <w:bCs/>
        </w:rPr>
        <w:t>184</w:t>
      </w:r>
      <w:r w:rsidR="00D67EB8" w:rsidRPr="009118AB">
        <w:t> - </w:t>
      </w:r>
      <w:r w:rsidR="00940233" w:rsidRPr="009118AB">
        <w:t>[</w:t>
      </w:r>
      <w:r w:rsidR="00A5160C" w:rsidRPr="009118AB">
        <w:t>Das eingezahlte Kapital ist das Kapital, sofern dieses durch tatsächlich eingezahlte beziehungsweise geleistete Geld- oder Sacheinlagen, die keine Einlagen von Dienstleistungen sind, gebildet wird und nicht Gegenstand einer Rückzahlung oder Herabsetzung war.</w:t>
      </w:r>
    </w:p>
    <w:p w14:paraId="018D2F85" w14:textId="77777777" w:rsidR="00A5160C" w:rsidRPr="009118AB" w:rsidRDefault="00A5160C" w:rsidP="00A5160C">
      <w:pPr>
        <w:jc w:val="both"/>
      </w:pPr>
    </w:p>
    <w:p w14:paraId="2064BADD" w14:textId="3992F81A" w:rsidR="00A5160C" w:rsidRPr="009118AB" w:rsidRDefault="00A5160C" w:rsidP="00A5160C">
      <w:pPr>
        <w:jc w:val="both"/>
      </w:pPr>
      <w:r w:rsidRPr="009118AB">
        <w:tab/>
        <w:t>Sofern Emissionsagien und andere Beträge, die durch tatsächlich eingezahlte beziehungsweise geleistete Geld- oder Sacheinlagen, die keine Einlagen von Dienstleistungen sind, anlässlich der Ausgabe von Aktien oder Anteilen oder von Gewinnanteilen gezeichnet werden, nicht in Absatz 1 erwähnt sind, werden sie dem eingezahlten Kapital unter der Bedingung gleichgesetzt, dass sie auf der Passivseite der Bilanz unter dem Eigenkapital auf einem oder mehreren getrennten Konten ausgewiesen und dort belassen werden.]</w:t>
      </w:r>
    </w:p>
    <w:p w14:paraId="536176F1" w14:textId="77777777" w:rsidR="00A5160C" w:rsidRPr="009118AB" w:rsidRDefault="00A5160C" w:rsidP="00A5160C">
      <w:pPr>
        <w:jc w:val="both"/>
      </w:pPr>
    </w:p>
    <w:p w14:paraId="62947F6E" w14:textId="5644C899" w:rsidR="00477B8F" w:rsidRPr="009118AB" w:rsidRDefault="00A5160C" w:rsidP="00A5160C">
      <w:pPr>
        <w:autoSpaceDE w:val="0"/>
        <w:autoSpaceDN w:val="0"/>
        <w:adjustRightInd w:val="0"/>
        <w:jc w:val="both"/>
      </w:pPr>
      <w:r w:rsidRPr="009118AB">
        <w:tab/>
        <w:t>[In Vereinigungen, Stiftungen, Gesellschaften und anderen Einrichtungen, die Rechtspersönlichkeit besitzen und einen uneigennützigen Zweck verfolgen, sind die Absätze 1 und 2 nur auf den Teil der Einlagen anwendbar, die vom Einleger oder seinen Rechtsnachfolgern einem Gesetz entsprechend zurückgenommen werden können.</w:t>
      </w:r>
      <w:r w:rsidR="00477B8F" w:rsidRPr="009118AB">
        <w:t>]</w:t>
      </w:r>
    </w:p>
    <w:p w14:paraId="75E99233" w14:textId="77777777" w:rsidR="00477B8F" w:rsidRPr="009118AB" w:rsidRDefault="00477B8F" w:rsidP="00477B8F">
      <w:pPr>
        <w:autoSpaceDE w:val="0"/>
        <w:autoSpaceDN w:val="0"/>
        <w:adjustRightInd w:val="0"/>
        <w:jc w:val="both"/>
      </w:pPr>
    </w:p>
    <w:p w14:paraId="1C9A964E" w14:textId="77C7FC94" w:rsidR="0037068D" w:rsidRPr="009118AB" w:rsidRDefault="00940233" w:rsidP="0037068D">
      <w:pPr>
        <w:jc w:val="both"/>
      </w:pPr>
      <w:r w:rsidRPr="009118AB">
        <w:tab/>
      </w:r>
      <w:r w:rsidR="00477B8F" w:rsidRPr="009118AB">
        <w:t>[</w:t>
      </w:r>
      <w:r w:rsidR="0037068D" w:rsidRPr="009118AB">
        <w:t xml:space="preserve">Im Falle einer Einbringung von Aktien oder Anteilen, für die die Mehrwerte </w:t>
      </w:r>
      <w:r w:rsidR="00096F9C" w:rsidRPr="009118AB">
        <w:t xml:space="preserve">[entweder] </w:t>
      </w:r>
      <w:r w:rsidR="0037068D" w:rsidRPr="009118AB">
        <w:t xml:space="preserve">aufgrund von Artikel 45 </w:t>
      </w:r>
      <w:r w:rsidR="00D67EB8" w:rsidRPr="009118AB">
        <w:t>§ </w:t>
      </w:r>
      <w:r w:rsidR="0037068D" w:rsidRPr="009118AB">
        <w:t xml:space="preserve">1 Absatz 1 </w:t>
      </w:r>
      <w:r w:rsidR="00D67EB8" w:rsidRPr="009118AB">
        <w:t>Nr. </w:t>
      </w:r>
      <w:r w:rsidR="0037068D" w:rsidRPr="009118AB">
        <w:t>2 steuerfrei sind und nicht unter die in Artikel 192 vorge</w:t>
      </w:r>
      <w:r w:rsidR="0037068D" w:rsidRPr="009118AB">
        <w:softHyphen/>
        <w:t>sehene Steuerbefreiung der Mehrwerte auf Aktien oder Anteile fallen</w:t>
      </w:r>
      <w:r w:rsidR="00096F9C" w:rsidRPr="009118AB">
        <w:t xml:space="preserve"> [oder gemäß Artikel 90 Absatz 1 </w:t>
      </w:r>
      <w:r w:rsidR="00D67EB8" w:rsidRPr="009118AB">
        <w:t>Nr. </w:t>
      </w:r>
      <w:r w:rsidR="00096F9C" w:rsidRPr="009118AB">
        <w:t xml:space="preserve">9 erster Gedankenstrich oder Artikel 228 </w:t>
      </w:r>
      <w:r w:rsidR="00D67EB8" w:rsidRPr="009118AB">
        <w:t>§ </w:t>
      </w:r>
      <w:r w:rsidR="00096F9C" w:rsidRPr="009118AB">
        <w:t xml:space="preserve">2 </w:t>
      </w:r>
      <w:r w:rsidR="00D67EB8" w:rsidRPr="009118AB">
        <w:t>Nr. </w:t>
      </w:r>
      <w:r w:rsidR="00096F9C" w:rsidRPr="009118AB">
        <w:t>9 Buchstabe </w:t>
      </w:r>
      <w:r w:rsidR="00096F9C" w:rsidRPr="009118AB">
        <w:rPr>
          <w:i/>
        </w:rPr>
        <w:t>h)</w:t>
      </w:r>
      <w:r w:rsidR="00096F9C" w:rsidRPr="009118AB">
        <w:t xml:space="preserve"> nicht steuerpflichtig sind]</w:t>
      </w:r>
      <w:r w:rsidR="0037068D" w:rsidRPr="009118AB">
        <w:t>, entspricht das Kapital, das anlässlich des Umtauschs neuer Aktien oder Anteile eingezahlt wird, die von der Gesell</w:t>
      </w:r>
      <w:r w:rsidR="0037068D" w:rsidRPr="009118AB">
        <w:softHyphen/>
        <w:t xml:space="preserve">schaft ausgegeben werden, zu deren Gunsten die </w:t>
      </w:r>
      <w:r w:rsidR="0037068D" w:rsidRPr="009118AB">
        <w:lastRenderedPageBreak/>
        <w:t>Einbringung erfolgt, dem Anschaffungswert der eingebrachten Aktien oder Anteile beim Einbringer. Kann dieser Anschaffungswert nicht bestimmt werden, gilt, dass das eingezahlte Kapital dem Wert des eingezahlten Kapitals, das durch die eingebrachten Aktien oder Anteile vertreten wird, in der Gesamtheit des einge</w:t>
      </w:r>
      <w:r w:rsidR="0037068D" w:rsidRPr="009118AB">
        <w:softHyphen/>
        <w:t>zahlten Kapitals der Gesellschaft, deren Kapital sie vertreten, entspricht. Für das Übrige gilt diese Einbringung als besteuerte Rücklage.</w:t>
      </w:r>
      <w:r w:rsidR="00096F9C" w:rsidRPr="009118AB">
        <w:t>]</w:t>
      </w:r>
    </w:p>
    <w:p w14:paraId="7184F7D7" w14:textId="77777777" w:rsidR="0037068D" w:rsidRPr="009118AB" w:rsidRDefault="0037068D" w:rsidP="0037068D">
      <w:pPr>
        <w:jc w:val="both"/>
      </w:pPr>
    </w:p>
    <w:p w14:paraId="1524D437" w14:textId="77777777" w:rsidR="00477B8F" w:rsidRPr="009118AB" w:rsidRDefault="00940233" w:rsidP="0037068D">
      <w:pPr>
        <w:autoSpaceDE w:val="0"/>
        <w:autoSpaceDN w:val="0"/>
        <w:adjustRightInd w:val="0"/>
        <w:jc w:val="both"/>
      </w:pPr>
      <w:r w:rsidRPr="009118AB">
        <w:tab/>
      </w:r>
      <w:r w:rsidR="00096F9C" w:rsidRPr="009118AB">
        <w:t>[</w:t>
      </w:r>
      <w:r w:rsidR="0037068D" w:rsidRPr="009118AB">
        <w:t>In den anderen Fällen als in dem in vorhergehendem Absatz vorgesehenen Fall gilt, dass das eingezahlte Kapital dem Realwert der eingebrachten Aktien oder Anteile in dem Maße entspricht, wie die Einbringung durch Aktien oder Anteile vergütet wird.</w:t>
      </w:r>
      <w:r w:rsidR="00477B8F" w:rsidRPr="009118AB">
        <w:t>]</w:t>
      </w:r>
    </w:p>
    <w:p w14:paraId="40EE050B" w14:textId="77777777" w:rsidR="00311E0F" w:rsidRPr="009118AB" w:rsidRDefault="00311E0F" w:rsidP="00477B8F">
      <w:pPr>
        <w:autoSpaceDE w:val="0"/>
        <w:autoSpaceDN w:val="0"/>
        <w:adjustRightInd w:val="0"/>
        <w:jc w:val="both"/>
      </w:pPr>
    </w:p>
    <w:p w14:paraId="06444048" w14:textId="5081401A" w:rsidR="00B31364" w:rsidRPr="009118AB" w:rsidRDefault="00940233" w:rsidP="00477B8F">
      <w:pPr>
        <w:autoSpaceDE w:val="0"/>
        <w:autoSpaceDN w:val="0"/>
        <w:adjustRightInd w:val="0"/>
        <w:jc w:val="both"/>
      </w:pPr>
      <w:r w:rsidRPr="009118AB">
        <w:tab/>
      </w:r>
      <w:r w:rsidR="00B31364" w:rsidRPr="009118AB">
        <w:t>[</w:t>
      </w:r>
      <w:r w:rsidR="00A5160C" w:rsidRPr="009118AB">
        <w:t>Für die Anwendung des vorliegenden Titels wird davon ausgegangen, dass der Betrag des in Absatz 1 erwähnten eingezahlten Kapitals und die Beträge, die gemäß Absatz 2 dem eingezahlten Kapital gleichgesetzt werden, nicht im Verhältnis zu den Rückzahlungen, die gemäß Artikel 18 Absatz 2 bis 5 als Dividenden auf die besteuerten Rücklagen oder die steuerfreien Rücklagen angerechnet werden, herabgesetzt werden.]</w:t>
      </w:r>
    </w:p>
    <w:p w14:paraId="0362B000" w14:textId="77777777" w:rsidR="00B31364" w:rsidRPr="009118AB" w:rsidRDefault="00B31364" w:rsidP="00477B8F">
      <w:pPr>
        <w:autoSpaceDE w:val="0"/>
        <w:autoSpaceDN w:val="0"/>
        <w:adjustRightInd w:val="0"/>
        <w:jc w:val="both"/>
      </w:pPr>
    </w:p>
    <w:p w14:paraId="7C06990F" w14:textId="77777777" w:rsidR="00477B8F" w:rsidRPr="009118AB" w:rsidRDefault="00940233" w:rsidP="00477B8F">
      <w:pPr>
        <w:autoSpaceDE w:val="0"/>
        <w:autoSpaceDN w:val="0"/>
        <w:adjustRightInd w:val="0"/>
        <w:jc w:val="both"/>
      </w:pPr>
      <w:r w:rsidRPr="009118AB">
        <w:tab/>
      </w:r>
      <w:r w:rsidR="00477B8F" w:rsidRPr="009118AB">
        <w:t>[</w:t>
      </w:r>
      <w:r w:rsidR="0037068D" w:rsidRPr="009118AB">
        <w:t>…</w:t>
      </w:r>
      <w:r w:rsidR="00477B8F" w:rsidRPr="009118AB">
        <w:t>]</w:t>
      </w:r>
    </w:p>
    <w:p w14:paraId="242AC2F8" w14:textId="77777777" w:rsidR="00477B8F" w:rsidRPr="009118AB" w:rsidRDefault="00477B8F" w:rsidP="00477B8F">
      <w:pPr>
        <w:autoSpaceDE w:val="0"/>
        <w:autoSpaceDN w:val="0"/>
        <w:adjustRightInd w:val="0"/>
        <w:jc w:val="both"/>
      </w:pPr>
    </w:p>
    <w:p w14:paraId="17867AF0" w14:textId="4053E59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184 </w:t>
      </w:r>
      <w:r w:rsidR="00D67EB8" w:rsidRPr="009118AB">
        <w:rPr>
          <w:i/>
          <w:iCs/>
        </w:rPr>
        <w:t>Abs. </w:t>
      </w:r>
      <w:r w:rsidRPr="009118AB">
        <w:rPr>
          <w:i/>
          <w:iCs/>
        </w:rPr>
        <w:t xml:space="preserve">1 </w:t>
      </w:r>
      <w:r w:rsidR="00A5160C" w:rsidRPr="009118AB">
        <w:rPr>
          <w:i/>
          <w:iCs/>
        </w:rPr>
        <w:t xml:space="preserve">und 2 </w:t>
      </w:r>
      <w:r w:rsidRPr="009118AB">
        <w:rPr>
          <w:i/>
          <w:iCs/>
        </w:rPr>
        <w:t xml:space="preserve">ersetzt durch </w:t>
      </w:r>
      <w:r w:rsidR="00D67EB8" w:rsidRPr="009118AB">
        <w:rPr>
          <w:i/>
          <w:iCs/>
        </w:rPr>
        <w:t>Art. </w:t>
      </w:r>
      <w:r w:rsidR="00A5160C" w:rsidRPr="009118AB">
        <w:rPr>
          <w:i/>
          <w:iCs/>
        </w:rPr>
        <w:t xml:space="preserve">23 </w:t>
      </w:r>
      <w:r w:rsidR="00D67EB8" w:rsidRPr="009118AB">
        <w:rPr>
          <w:i/>
          <w:iCs/>
        </w:rPr>
        <w:t>Nr. </w:t>
      </w:r>
      <w:r w:rsidR="00A5160C" w:rsidRPr="009118AB">
        <w:rPr>
          <w:i/>
          <w:iCs/>
        </w:rPr>
        <w:t>1</w:t>
      </w:r>
      <w:r w:rsidR="00A5160C" w:rsidRPr="009118AB">
        <w:rPr>
          <w:i/>
          <w:iCs/>
          <w:spacing w:val="-2"/>
        </w:rPr>
        <w:t xml:space="preserve"> des G. vom 17. März 2019 (III) (B.S. vom 10. Mai 2019)</w:t>
      </w:r>
      <w:r w:rsidR="00D67EB8" w:rsidRPr="009118AB">
        <w:rPr>
          <w:i/>
          <w:iCs/>
          <w:spacing w:val="-2"/>
        </w:rPr>
        <w:t> - </w:t>
      </w:r>
      <w:r w:rsidR="00A5160C" w:rsidRPr="009118AB">
        <w:rPr>
          <w:i/>
          <w:iCs/>
          <w:spacing w:val="-2"/>
        </w:rPr>
        <w:t>in Kraft am 1. Mai 2019</w:t>
      </w:r>
      <w:r w:rsidR="003366D9" w:rsidRPr="009118AB">
        <w:rPr>
          <w:i/>
          <w:iCs/>
          <w:spacing w:val="-2"/>
        </w:rPr>
        <w:t> -;</w:t>
      </w:r>
      <w:r w:rsidR="00A5160C" w:rsidRPr="009118AB">
        <w:rPr>
          <w:i/>
          <w:iCs/>
        </w:rPr>
        <w:t xml:space="preserve"> neuer Absatz 3 eingefügt durch </w:t>
      </w:r>
      <w:r w:rsidR="00D67EB8" w:rsidRPr="009118AB">
        <w:rPr>
          <w:i/>
          <w:iCs/>
        </w:rPr>
        <w:t>Art. </w:t>
      </w:r>
      <w:r w:rsidR="00A5160C" w:rsidRPr="009118AB">
        <w:rPr>
          <w:i/>
          <w:iCs/>
        </w:rPr>
        <w:t xml:space="preserve">23 </w:t>
      </w:r>
      <w:r w:rsidR="00D67EB8" w:rsidRPr="009118AB">
        <w:rPr>
          <w:i/>
          <w:iCs/>
        </w:rPr>
        <w:t>Nr. </w:t>
      </w:r>
      <w:r w:rsidR="00A5160C" w:rsidRPr="009118AB">
        <w:rPr>
          <w:i/>
          <w:iCs/>
        </w:rPr>
        <w:t>1</w:t>
      </w:r>
      <w:r w:rsidR="00A5160C" w:rsidRPr="009118AB">
        <w:rPr>
          <w:i/>
          <w:iCs/>
          <w:spacing w:val="-2"/>
        </w:rPr>
        <w:t xml:space="preserve"> des G. vom 17. März 2019 (III) (B.S. vom 10. Mai 2019)</w:t>
      </w:r>
      <w:r w:rsidR="00D67EB8" w:rsidRPr="009118AB">
        <w:rPr>
          <w:i/>
          <w:iCs/>
          <w:spacing w:val="-2"/>
        </w:rPr>
        <w:t> - </w:t>
      </w:r>
      <w:r w:rsidR="00A5160C" w:rsidRPr="009118AB">
        <w:rPr>
          <w:i/>
          <w:iCs/>
          <w:spacing w:val="-2"/>
        </w:rPr>
        <w:t>in Kraft am 1. Mai 2019</w:t>
      </w:r>
      <w:r w:rsidR="003366D9" w:rsidRPr="009118AB">
        <w:rPr>
          <w:i/>
          <w:iCs/>
          <w:spacing w:val="-2"/>
        </w:rPr>
        <w:t> -;</w:t>
      </w:r>
      <w:r w:rsidRPr="009118AB">
        <w:rPr>
          <w:i/>
          <w:iCs/>
        </w:rPr>
        <w:t xml:space="preserve"> </w:t>
      </w:r>
      <w:r w:rsidR="00D67EB8" w:rsidRPr="009118AB">
        <w:rPr>
          <w:i/>
          <w:iCs/>
        </w:rPr>
        <w:t>Abs. </w:t>
      </w:r>
      <w:r w:rsidR="00A5160C" w:rsidRPr="009118AB">
        <w:rPr>
          <w:i/>
          <w:iCs/>
        </w:rPr>
        <w:t>4</w:t>
      </w:r>
      <w:r w:rsidRPr="009118AB">
        <w:rPr>
          <w:i/>
          <w:iCs/>
        </w:rPr>
        <w:t xml:space="preserve"> eingefügt durch </w:t>
      </w:r>
      <w:r w:rsidR="00D67EB8" w:rsidRPr="009118AB">
        <w:rPr>
          <w:i/>
          <w:iCs/>
        </w:rPr>
        <w:t>Art. </w:t>
      </w:r>
      <w:r w:rsidRPr="009118AB">
        <w:rPr>
          <w:i/>
          <w:iCs/>
        </w:rPr>
        <w:t xml:space="preserve">19 </w:t>
      </w:r>
      <w:r w:rsidR="00D67EB8" w:rsidRPr="009118AB">
        <w:rPr>
          <w:i/>
          <w:iCs/>
        </w:rPr>
        <w:t>Nr. </w:t>
      </w:r>
      <w:r w:rsidRPr="009118AB">
        <w:rPr>
          <w:i/>
          <w:iCs/>
        </w:rPr>
        <w:t>2 des G. vom 22. Dezember 1998 (B.S. vom 15. Januar 1999)</w:t>
      </w:r>
      <w:r w:rsidR="00D67EB8" w:rsidRPr="009118AB">
        <w:rPr>
          <w:i/>
          <w:iCs/>
        </w:rPr>
        <w:t> - </w:t>
      </w:r>
      <w:r w:rsidRPr="009118AB">
        <w:rPr>
          <w:i/>
          <w:iCs/>
        </w:rPr>
        <w:t>anwendbar auf die ab dem 30. März 1996 stattgefundenen Einbringungsvorgänge</w:t>
      </w:r>
      <w:r w:rsidR="00FD68E8" w:rsidRPr="009118AB">
        <w:rPr>
          <w:i/>
          <w:iCs/>
        </w:rPr>
        <w:t> -,</w:t>
      </w:r>
      <w:r w:rsidR="00AB4706" w:rsidRPr="009118AB">
        <w:rPr>
          <w:i/>
          <w:iCs/>
        </w:rPr>
        <w:t xml:space="preserve"> ersetzt durch </w:t>
      </w:r>
      <w:r w:rsidR="00D67EB8" w:rsidRPr="009118AB">
        <w:rPr>
          <w:i/>
          <w:iCs/>
        </w:rPr>
        <w:t>Art. </w:t>
      </w:r>
      <w:r w:rsidR="00AB4706" w:rsidRPr="009118AB">
        <w:rPr>
          <w:i/>
          <w:iCs/>
        </w:rPr>
        <w:t xml:space="preserve">12 </w:t>
      </w:r>
      <w:r w:rsidR="00D67EB8" w:rsidRPr="009118AB">
        <w:rPr>
          <w:i/>
          <w:iCs/>
        </w:rPr>
        <w:t>Nr. </w:t>
      </w:r>
      <w:r w:rsidR="00AB4706" w:rsidRPr="009118AB">
        <w:rPr>
          <w:i/>
          <w:iCs/>
        </w:rPr>
        <w:t>1 des G. vom 11. Dezember 2008 (B.S.</w:t>
      </w:r>
      <w:r w:rsidR="0049158F" w:rsidRPr="009118AB">
        <w:rPr>
          <w:i/>
          <w:iCs/>
        </w:rPr>
        <w:t> </w:t>
      </w:r>
      <w:r w:rsidR="00AB4706" w:rsidRPr="009118AB">
        <w:rPr>
          <w:i/>
          <w:iCs/>
        </w:rPr>
        <w:t>vom 12. Januar 2009)</w:t>
      </w:r>
      <w:r w:rsidR="00D67EB8" w:rsidRPr="009118AB">
        <w:rPr>
          <w:i/>
          <w:iCs/>
        </w:rPr>
        <w:t> - </w:t>
      </w:r>
      <w:r w:rsidR="00AB4706" w:rsidRPr="009118AB">
        <w:rPr>
          <w:i/>
          <w:iCs/>
        </w:rPr>
        <w:t>anwendbar auf Vorgänge oder Verlegungen, die ab dem 12. Januar 2009 statt</w:t>
      </w:r>
      <w:r w:rsidR="00AB4706" w:rsidRPr="009118AB">
        <w:rPr>
          <w:i/>
          <w:iCs/>
        </w:rPr>
        <w:softHyphen/>
        <w:t>finden</w:t>
      </w:r>
      <w:r w:rsidR="00D67EB8" w:rsidRPr="009118AB">
        <w:rPr>
          <w:i/>
          <w:iCs/>
        </w:rPr>
        <w:t> - </w:t>
      </w:r>
      <w:r w:rsidR="00096F9C" w:rsidRPr="009118AB">
        <w:rPr>
          <w:i/>
          <w:iCs/>
        </w:rPr>
        <w:t xml:space="preserve">und abgeändert durch </w:t>
      </w:r>
      <w:r w:rsidR="00D67EB8" w:rsidRPr="009118AB">
        <w:rPr>
          <w:i/>
          <w:iCs/>
        </w:rPr>
        <w:t>Art. </w:t>
      </w:r>
      <w:r w:rsidR="00096F9C" w:rsidRPr="009118AB">
        <w:rPr>
          <w:i/>
          <w:iCs/>
        </w:rPr>
        <w:t>97</w:t>
      </w:r>
      <w:r w:rsidR="00096F9C" w:rsidRPr="009118AB">
        <w:rPr>
          <w:i/>
        </w:rPr>
        <w:t xml:space="preserve"> des G. vom 25. Dezember 2016</w:t>
      </w:r>
      <w:r w:rsidR="001022BB" w:rsidRPr="009118AB">
        <w:rPr>
          <w:i/>
        </w:rPr>
        <w:t> (I)</w:t>
      </w:r>
      <w:r w:rsidR="00096F9C" w:rsidRPr="009118AB">
        <w:rPr>
          <w:i/>
        </w:rPr>
        <w:t xml:space="preserve"> (B.S. vom 29. Dezember 2016)</w:t>
      </w:r>
      <w:r w:rsidR="00D67EB8" w:rsidRPr="009118AB">
        <w:rPr>
          <w:i/>
        </w:rPr>
        <w:t> - </w:t>
      </w:r>
      <w:r w:rsidR="00BD75CD" w:rsidRPr="009118AB">
        <w:rPr>
          <w:i/>
        </w:rPr>
        <w:t xml:space="preserve">in Kraft am 1. Januar 2017 und </w:t>
      </w:r>
      <w:r w:rsidR="00096F9C" w:rsidRPr="009118AB">
        <w:rPr>
          <w:i/>
        </w:rPr>
        <w:t>anwendbar auf die ab dem 1. Januar 2017 getätigten Einbringungen</w:t>
      </w:r>
      <w:r w:rsidR="003366D9" w:rsidRPr="009118AB">
        <w:rPr>
          <w:i/>
        </w:rPr>
        <w:t> -;</w:t>
      </w:r>
      <w:r w:rsidRPr="009118AB">
        <w:rPr>
          <w:i/>
          <w:iCs/>
        </w:rPr>
        <w:t xml:space="preserve"> </w:t>
      </w:r>
      <w:r w:rsidR="00D67EB8" w:rsidRPr="009118AB">
        <w:rPr>
          <w:i/>
          <w:iCs/>
        </w:rPr>
        <w:t>Abs. </w:t>
      </w:r>
      <w:r w:rsidR="00A5160C" w:rsidRPr="009118AB">
        <w:rPr>
          <w:i/>
          <w:iCs/>
        </w:rPr>
        <w:t>5</w:t>
      </w:r>
      <w:r w:rsidR="00096F9C" w:rsidRPr="009118AB">
        <w:rPr>
          <w:i/>
          <w:iCs/>
        </w:rPr>
        <w:t xml:space="preserve"> eingefügt durch </w:t>
      </w:r>
      <w:r w:rsidR="00D67EB8" w:rsidRPr="009118AB">
        <w:rPr>
          <w:i/>
          <w:iCs/>
        </w:rPr>
        <w:t>Art. </w:t>
      </w:r>
      <w:r w:rsidR="00096F9C" w:rsidRPr="009118AB">
        <w:rPr>
          <w:i/>
          <w:iCs/>
        </w:rPr>
        <w:t xml:space="preserve">19 </w:t>
      </w:r>
      <w:r w:rsidR="00D67EB8" w:rsidRPr="009118AB">
        <w:rPr>
          <w:i/>
          <w:iCs/>
        </w:rPr>
        <w:t>Nr. </w:t>
      </w:r>
      <w:r w:rsidR="00096F9C" w:rsidRPr="009118AB">
        <w:rPr>
          <w:i/>
          <w:iCs/>
        </w:rPr>
        <w:t>2 des G. vom 22. Dezember 1998 (B.S. vom 15. Januar 1999)</w:t>
      </w:r>
      <w:r w:rsidR="00D67EB8" w:rsidRPr="009118AB">
        <w:rPr>
          <w:i/>
          <w:iCs/>
        </w:rPr>
        <w:t> - </w:t>
      </w:r>
      <w:r w:rsidR="00096F9C" w:rsidRPr="009118AB">
        <w:rPr>
          <w:i/>
          <w:iCs/>
        </w:rPr>
        <w:t>anwendbar auf die ab dem 30. März 1996 stattgefundenen Einbringungsvorgänge</w:t>
      </w:r>
      <w:r w:rsidR="00D67EB8" w:rsidRPr="009118AB">
        <w:rPr>
          <w:i/>
          <w:iCs/>
        </w:rPr>
        <w:t> - </w:t>
      </w:r>
      <w:r w:rsidR="00096F9C" w:rsidRPr="009118AB">
        <w:rPr>
          <w:i/>
          <w:iCs/>
        </w:rPr>
        <w:t xml:space="preserve">und ersetzt durch </w:t>
      </w:r>
      <w:r w:rsidR="00D67EB8" w:rsidRPr="009118AB">
        <w:rPr>
          <w:i/>
          <w:iCs/>
        </w:rPr>
        <w:t>Art. </w:t>
      </w:r>
      <w:r w:rsidR="00096F9C" w:rsidRPr="009118AB">
        <w:rPr>
          <w:i/>
          <w:iCs/>
        </w:rPr>
        <w:t xml:space="preserve">12 </w:t>
      </w:r>
      <w:r w:rsidR="00D67EB8" w:rsidRPr="009118AB">
        <w:rPr>
          <w:i/>
          <w:iCs/>
        </w:rPr>
        <w:t>Nr. </w:t>
      </w:r>
      <w:r w:rsidR="00096F9C" w:rsidRPr="009118AB">
        <w:rPr>
          <w:i/>
          <w:iCs/>
        </w:rPr>
        <w:t>1 des G. vom 11. Dezember 2008 (B.S. vom 12. Januar 2009)</w:t>
      </w:r>
      <w:r w:rsidR="00D67EB8" w:rsidRPr="009118AB">
        <w:rPr>
          <w:i/>
          <w:iCs/>
        </w:rPr>
        <w:t> - </w:t>
      </w:r>
      <w:r w:rsidR="00096F9C" w:rsidRPr="009118AB">
        <w:rPr>
          <w:i/>
          <w:iCs/>
        </w:rPr>
        <w:t>anwendbar auf Vorgänge oder Verlegungen, die ab dem 12. Januar 2009 statt</w:t>
      </w:r>
      <w:r w:rsidR="00096F9C" w:rsidRPr="009118AB">
        <w:rPr>
          <w:i/>
          <w:iCs/>
        </w:rPr>
        <w:softHyphen/>
        <w:t>finden</w:t>
      </w:r>
      <w:r w:rsidR="003366D9" w:rsidRPr="009118AB">
        <w:rPr>
          <w:i/>
          <w:iCs/>
        </w:rPr>
        <w:t> -;</w:t>
      </w:r>
      <w:r w:rsidR="00096F9C" w:rsidRPr="009118AB">
        <w:rPr>
          <w:i/>
          <w:iCs/>
        </w:rPr>
        <w:t xml:space="preserve"> </w:t>
      </w:r>
      <w:r w:rsidR="00D67EB8" w:rsidRPr="009118AB">
        <w:rPr>
          <w:i/>
          <w:iCs/>
        </w:rPr>
        <w:t>Abs. </w:t>
      </w:r>
      <w:r w:rsidR="00A5160C" w:rsidRPr="009118AB">
        <w:rPr>
          <w:i/>
          <w:iCs/>
        </w:rPr>
        <w:t>6</w:t>
      </w:r>
      <w:r w:rsidRPr="009118AB">
        <w:rPr>
          <w:i/>
          <w:iCs/>
        </w:rPr>
        <w:t xml:space="preserve"> eingefügt durch </w:t>
      </w:r>
      <w:r w:rsidR="00D67EB8" w:rsidRPr="009118AB">
        <w:rPr>
          <w:i/>
          <w:iCs/>
        </w:rPr>
        <w:t>Art. </w:t>
      </w:r>
      <w:r w:rsidRPr="009118AB">
        <w:rPr>
          <w:i/>
          <w:iCs/>
        </w:rPr>
        <w:t xml:space="preserve">19 </w:t>
      </w:r>
      <w:r w:rsidR="00D67EB8" w:rsidRPr="009118AB">
        <w:rPr>
          <w:i/>
          <w:iCs/>
        </w:rPr>
        <w:t>Nr. </w:t>
      </w:r>
      <w:r w:rsidRPr="009118AB">
        <w:rPr>
          <w:i/>
          <w:iCs/>
        </w:rPr>
        <w:t>3 des G. vom 22. Dezember 1998 (B.S. vom 15. Januar 1999)</w:t>
      </w:r>
      <w:r w:rsidR="00D67EB8" w:rsidRPr="009118AB">
        <w:rPr>
          <w:i/>
          <w:iCs/>
        </w:rPr>
        <w:t> - </w:t>
      </w:r>
      <w:r w:rsidRPr="009118AB">
        <w:rPr>
          <w:i/>
          <w:iCs/>
        </w:rPr>
        <w:t>in Kraft ab dem 1. Juli 1996</w:t>
      </w:r>
      <w:r w:rsidR="00FD68E8" w:rsidRPr="009118AB">
        <w:rPr>
          <w:i/>
          <w:iCs/>
        </w:rPr>
        <w:t> -,</w:t>
      </w:r>
      <w:r w:rsidR="00AB4706" w:rsidRPr="009118AB">
        <w:rPr>
          <w:i/>
          <w:iCs/>
        </w:rPr>
        <w:t xml:space="preserve"> aufgehoben durch </w:t>
      </w:r>
      <w:r w:rsidR="00D67EB8" w:rsidRPr="009118AB">
        <w:rPr>
          <w:i/>
          <w:iCs/>
        </w:rPr>
        <w:t>Art. </w:t>
      </w:r>
      <w:r w:rsidR="00AB4706" w:rsidRPr="009118AB">
        <w:rPr>
          <w:i/>
          <w:iCs/>
        </w:rPr>
        <w:t xml:space="preserve">12 </w:t>
      </w:r>
      <w:r w:rsidR="00D67EB8" w:rsidRPr="009118AB">
        <w:rPr>
          <w:i/>
          <w:iCs/>
        </w:rPr>
        <w:t>Nr. </w:t>
      </w:r>
      <w:r w:rsidR="00AB4706" w:rsidRPr="009118AB">
        <w:rPr>
          <w:i/>
          <w:iCs/>
        </w:rPr>
        <w:t>2 des G. vom 11. Dezember 2008 (B.S. vom 12.</w:t>
      </w:r>
      <w:r w:rsidR="007A12FC" w:rsidRPr="009118AB">
        <w:rPr>
          <w:i/>
          <w:iCs/>
        </w:rPr>
        <w:t> </w:t>
      </w:r>
      <w:r w:rsidR="00AB4706" w:rsidRPr="009118AB">
        <w:rPr>
          <w:i/>
          <w:iCs/>
        </w:rPr>
        <w:t>Januar 2009)</w:t>
      </w:r>
      <w:r w:rsidR="00D67EB8" w:rsidRPr="009118AB">
        <w:rPr>
          <w:i/>
          <w:iCs/>
        </w:rPr>
        <w:t> - </w:t>
      </w:r>
      <w:r w:rsidR="00AB4706" w:rsidRPr="009118AB">
        <w:rPr>
          <w:i/>
          <w:iCs/>
        </w:rPr>
        <w:t>anwendbar auf Vorgänge oder Verlegungen, die ab dem 12. Januar 2009 statt</w:t>
      </w:r>
      <w:r w:rsidR="00AB4706" w:rsidRPr="009118AB">
        <w:rPr>
          <w:i/>
          <w:iCs/>
        </w:rPr>
        <w:softHyphen/>
        <w:t>finden</w:t>
      </w:r>
      <w:r w:rsidR="00FD68E8" w:rsidRPr="009118AB">
        <w:rPr>
          <w:i/>
          <w:iCs/>
        </w:rPr>
        <w:t> -,</w:t>
      </w:r>
      <w:r w:rsidR="004142A6" w:rsidRPr="009118AB">
        <w:rPr>
          <w:i/>
          <w:iCs/>
        </w:rPr>
        <w:t xml:space="preserve"> wieder aufgenommen durch </w:t>
      </w:r>
      <w:r w:rsidR="00D67EB8" w:rsidRPr="009118AB">
        <w:rPr>
          <w:i/>
          <w:iCs/>
        </w:rPr>
        <w:t>Art. </w:t>
      </w:r>
      <w:r w:rsidR="004142A6" w:rsidRPr="009118AB">
        <w:rPr>
          <w:i/>
          <w:iCs/>
        </w:rPr>
        <w:t>16</w:t>
      </w:r>
      <w:r w:rsidR="004142A6" w:rsidRPr="009118AB">
        <w:rPr>
          <w:i/>
        </w:rPr>
        <w:t xml:space="preserve"> </w:t>
      </w:r>
      <w:r w:rsidR="004142A6" w:rsidRPr="009118AB">
        <w:rPr>
          <w:i/>
          <w:iCs/>
        </w:rPr>
        <w:t>des G. vom 25. Dezember 2017 (III) (B.S. vom 29. Dezember 2017)</w:t>
      </w:r>
      <w:r w:rsidR="00D67EB8" w:rsidRPr="009118AB">
        <w:rPr>
          <w:i/>
          <w:iCs/>
        </w:rPr>
        <w:t> - </w:t>
      </w:r>
      <w:r w:rsidR="004142A6" w:rsidRPr="009118AB">
        <w:rPr>
          <w:i/>
          <w:iCs/>
        </w:rPr>
        <w:t xml:space="preserve">in Kraft am 1. Januar 2018 und anwendbar </w:t>
      </w:r>
      <w:r w:rsidR="004142A6" w:rsidRPr="009118AB">
        <w:rPr>
          <w:i/>
        </w:rPr>
        <w:t>auf Vorgänge der Kapitalherabsetzung und der Rückzahlung von eingezahltem Kapital gleich</w:t>
      </w:r>
      <w:r w:rsidR="004142A6" w:rsidRPr="009118AB">
        <w:rPr>
          <w:i/>
        </w:rPr>
        <w:softHyphen/>
        <w:t>gesetzten Emissionsagien oder Gewinnanteilen, die die Generalversammlung ab dem 1. Januar 2018 beschließt</w:t>
      </w:r>
      <w:r w:rsidR="00D67EB8" w:rsidRPr="009118AB">
        <w:rPr>
          <w:i/>
        </w:rPr>
        <w:t> - </w:t>
      </w:r>
      <w:r w:rsidR="00A5160C" w:rsidRPr="009118AB">
        <w:rPr>
          <w:i/>
        </w:rPr>
        <w:t xml:space="preserve">und ersetzt durch </w:t>
      </w:r>
      <w:r w:rsidR="00D67EB8" w:rsidRPr="009118AB">
        <w:rPr>
          <w:i/>
        </w:rPr>
        <w:t>Art. </w:t>
      </w:r>
      <w:r w:rsidR="00A5160C" w:rsidRPr="009118AB">
        <w:rPr>
          <w:i/>
        </w:rPr>
        <w:t xml:space="preserve">23 </w:t>
      </w:r>
      <w:r w:rsidR="00D67EB8" w:rsidRPr="009118AB">
        <w:rPr>
          <w:i/>
        </w:rPr>
        <w:t>Nr. </w:t>
      </w:r>
      <w:r w:rsidR="00A5160C" w:rsidRPr="009118AB">
        <w:rPr>
          <w:i/>
        </w:rPr>
        <w:t>2</w:t>
      </w:r>
      <w:r w:rsidR="00A5160C" w:rsidRPr="009118AB">
        <w:rPr>
          <w:i/>
          <w:iCs/>
          <w:spacing w:val="-2"/>
        </w:rPr>
        <w:t xml:space="preserve"> des G. vom 17. März 2019 (III) (B.S. vom 10. Mai 2019)</w:t>
      </w:r>
      <w:r w:rsidR="00D67EB8" w:rsidRPr="009118AB">
        <w:rPr>
          <w:i/>
          <w:iCs/>
          <w:spacing w:val="-2"/>
        </w:rPr>
        <w:t> - </w:t>
      </w:r>
      <w:r w:rsidR="00A5160C" w:rsidRPr="009118AB">
        <w:rPr>
          <w:i/>
          <w:iCs/>
          <w:spacing w:val="-2"/>
        </w:rPr>
        <w:t>in Kraft am 1. Mai 2019 und anwendbar auf die ab dem 1. Mai 2019 getätigten Rückzahlungen</w:t>
      </w:r>
      <w:r w:rsidR="003366D9" w:rsidRPr="009118AB">
        <w:rPr>
          <w:i/>
          <w:iCs/>
          <w:spacing w:val="-2"/>
        </w:rPr>
        <w:t> -;</w:t>
      </w:r>
      <w:r w:rsidRPr="009118AB">
        <w:rPr>
          <w:i/>
          <w:iCs/>
        </w:rPr>
        <w:t xml:space="preserve"> </w:t>
      </w:r>
      <w:r w:rsidR="00A5160C" w:rsidRPr="009118AB">
        <w:rPr>
          <w:i/>
          <w:iCs/>
        </w:rPr>
        <w:t xml:space="preserve">früherer </w:t>
      </w:r>
      <w:r w:rsidRPr="009118AB">
        <w:rPr>
          <w:i/>
          <w:iCs/>
        </w:rPr>
        <w:t>Abs</w:t>
      </w:r>
      <w:r w:rsidR="00A5160C" w:rsidRPr="009118AB">
        <w:rPr>
          <w:i/>
          <w:iCs/>
        </w:rPr>
        <w:t>atz</w:t>
      </w:r>
      <w:r w:rsidRPr="009118AB">
        <w:rPr>
          <w:i/>
          <w:iCs/>
        </w:rPr>
        <w:t> </w:t>
      </w:r>
      <w:r w:rsidR="00A5160C" w:rsidRPr="009118AB">
        <w:rPr>
          <w:i/>
          <w:iCs/>
        </w:rPr>
        <w:t>7</w:t>
      </w:r>
      <w:r w:rsidRPr="009118AB">
        <w:rPr>
          <w:i/>
          <w:iCs/>
        </w:rPr>
        <w:t xml:space="preserve"> eingefügt durch </w:t>
      </w:r>
      <w:r w:rsidR="00D67EB8" w:rsidRPr="009118AB">
        <w:rPr>
          <w:i/>
          <w:iCs/>
        </w:rPr>
        <w:t>Art. </w:t>
      </w:r>
      <w:r w:rsidRPr="009118AB">
        <w:rPr>
          <w:i/>
          <w:iCs/>
        </w:rPr>
        <w:t>12 des G. vom 4. Mai 1999 (II) (B.S. vom 12. Juni 1999)</w:t>
      </w:r>
      <w:r w:rsidR="00D67EB8" w:rsidRPr="009118AB">
        <w:rPr>
          <w:i/>
          <w:iCs/>
        </w:rPr>
        <w:t> - </w:t>
      </w:r>
      <w:r w:rsidRPr="009118AB">
        <w:rPr>
          <w:i/>
          <w:iCs/>
        </w:rPr>
        <w:t>in Kraft ab dem 1. Januar 1999</w:t>
      </w:r>
      <w:r w:rsidR="00D67EB8" w:rsidRPr="009118AB">
        <w:rPr>
          <w:i/>
          <w:iCs/>
        </w:rPr>
        <w:t> - </w:t>
      </w:r>
      <w:r w:rsidR="00AB4706" w:rsidRPr="009118AB">
        <w:rPr>
          <w:i/>
          <w:iCs/>
        </w:rPr>
        <w:t>u</w:t>
      </w:r>
      <w:r w:rsidR="00907966" w:rsidRPr="009118AB">
        <w:rPr>
          <w:i/>
          <w:iCs/>
        </w:rPr>
        <w:t xml:space="preserve">nd aufgehoben durch </w:t>
      </w:r>
      <w:r w:rsidR="00D67EB8" w:rsidRPr="009118AB">
        <w:rPr>
          <w:i/>
          <w:iCs/>
        </w:rPr>
        <w:t>Art. </w:t>
      </w:r>
      <w:r w:rsidR="00907966" w:rsidRPr="009118AB">
        <w:rPr>
          <w:i/>
          <w:iCs/>
        </w:rPr>
        <w:t xml:space="preserve">12 </w:t>
      </w:r>
      <w:r w:rsidR="00D67EB8" w:rsidRPr="009118AB">
        <w:rPr>
          <w:i/>
          <w:iCs/>
        </w:rPr>
        <w:t>Nr. </w:t>
      </w:r>
      <w:r w:rsidR="00AB4706" w:rsidRPr="009118AB">
        <w:rPr>
          <w:i/>
          <w:iCs/>
        </w:rPr>
        <w:t>2 des G. vom 11. Dezember 2008 (B.S. vom 12.</w:t>
      </w:r>
      <w:r w:rsidR="007A12FC" w:rsidRPr="009118AB">
        <w:rPr>
          <w:i/>
          <w:iCs/>
        </w:rPr>
        <w:t> </w:t>
      </w:r>
      <w:r w:rsidR="00AB4706" w:rsidRPr="009118AB">
        <w:rPr>
          <w:i/>
          <w:iCs/>
        </w:rPr>
        <w:t>Januar 2009)</w:t>
      </w:r>
      <w:r w:rsidR="00D67EB8" w:rsidRPr="009118AB">
        <w:rPr>
          <w:i/>
          <w:iCs/>
        </w:rPr>
        <w:t> - </w:t>
      </w:r>
      <w:r w:rsidR="00AB4706" w:rsidRPr="009118AB">
        <w:rPr>
          <w:i/>
          <w:iCs/>
        </w:rPr>
        <w:t>anwendbar auf Vorgänge oder Verlegungen, die ab dem 12. Januar 2009 statt</w:t>
      </w:r>
      <w:r w:rsidR="00AB4706" w:rsidRPr="009118AB">
        <w:rPr>
          <w:i/>
          <w:iCs/>
        </w:rPr>
        <w:softHyphen/>
        <w:t>finden</w:t>
      </w:r>
      <w:r w:rsidR="00FD68E8" w:rsidRPr="009118AB">
        <w:rPr>
          <w:i/>
          <w:iCs/>
        </w:rPr>
        <w:t> -]</w:t>
      </w:r>
    </w:p>
    <w:p w14:paraId="1D2710AC" w14:textId="77777777" w:rsidR="00AB4706" w:rsidRPr="009118AB" w:rsidRDefault="00AB4706" w:rsidP="00477B8F">
      <w:pPr>
        <w:autoSpaceDE w:val="0"/>
        <w:autoSpaceDN w:val="0"/>
        <w:adjustRightInd w:val="0"/>
        <w:jc w:val="center"/>
      </w:pPr>
    </w:p>
    <w:p w14:paraId="7EB754E5" w14:textId="77777777" w:rsidR="00AB4706" w:rsidRPr="009118AB" w:rsidRDefault="00AB4706" w:rsidP="00AB4706">
      <w:pPr>
        <w:autoSpaceDE w:val="0"/>
        <w:autoSpaceDN w:val="0"/>
        <w:adjustRightInd w:val="0"/>
        <w:jc w:val="both"/>
      </w:pPr>
    </w:p>
    <w:p w14:paraId="5A40E128" w14:textId="75F73F40" w:rsidR="00AB4706" w:rsidRPr="009118AB" w:rsidRDefault="00B85A12" w:rsidP="00B85A12">
      <w:pPr>
        <w:jc w:val="both"/>
      </w:pPr>
      <w:r w:rsidRPr="009118AB">
        <w:tab/>
        <w:t>[</w:t>
      </w:r>
      <w:r w:rsidR="00D67EB8" w:rsidRPr="009118AB">
        <w:rPr>
          <w:b/>
        </w:rPr>
        <w:t>Art. </w:t>
      </w:r>
      <w:r w:rsidRPr="009118AB">
        <w:rPr>
          <w:b/>
        </w:rPr>
        <w:t>184</w:t>
      </w:r>
      <w:r w:rsidRPr="009118AB">
        <w:rPr>
          <w:b/>
          <w:i/>
        </w:rPr>
        <w:t>bis</w:t>
      </w:r>
      <w:r w:rsidR="00D67EB8" w:rsidRPr="009118AB">
        <w:t> - § </w:t>
      </w:r>
      <w:r w:rsidR="00AB4706" w:rsidRPr="009118AB">
        <w:t>1</w:t>
      </w:r>
      <w:r w:rsidR="00D67EB8" w:rsidRPr="009118AB">
        <w:t> - </w:t>
      </w:r>
      <w:r w:rsidR="00AB4706" w:rsidRPr="009118AB">
        <w:t xml:space="preserve">Ist ein Teilbetrieb beziehungsweise ein Teil einer Tätigkeit oder ein Gesamtvermögen Gegenstand einer Einbringung und ist der durch den Einbringer verwirklichte Mehrwert aufgrund von Artikel 46 </w:t>
      </w:r>
      <w:r w:rsidR="00D67EB8" w:rsidRPr="009118AB">
        <w:t>§ </w:t>
      </w:r>
      <w:r w:rsidR="00AB4706" w:rsidRPr="009118AB">
        <w:t xml:space="preserve">1 Absatz 1 </w:t>
      </w:r>
      <w:r w:rsidR="00D67EB8" w:rsidRPr="009118AB">
        <w:t>Nr. </w:t>
      </w:r>
      <w:r w:rsidR="00AB4706" w:rsidRPr="009118AB">
        <w:t xml:space="preserve">2 steuerfrei, entspricht das durch diese </w:t>
      </w:r>
      <w:r w:rsidR="00AB4706" w:rsidRPr="009118AB">
        <w:lastRenderedPageBreak/>
        <w:t>Einbringung eingezahlte Kapital dem Nettosteuerwert, den diese Einbringung beim Einbringer hatte.</w:t>
      </w:r>
    </w:p>
    <w:p w14:paraId="060AA110" w14:textId="77777777" w:rsidR="00AB4706" w:rsidRPr="009118AB" w:rsidRDefault="00AB4706" w:rsidP="00AB4706">
      <w:pPr>
        <w:jc w:val="both"/>
      </w:pPr>
    </w:p>
    <w:p w14:paraId="60D19B02" w14:textId="32E34430" w:rsidR="00AB4706" w:rsidRPr="009118AB" w:rsidRDefault="00940233" w:rsidP="00AB4706">
      <w:pPr>
        <w:jc w:val="both"/>
      </w:pPr>
      <w:r w:rsidRPr="009118AB">
        <w:tab/>
      </w:r>
      <w:r w:rsidR="00AB4706" w:rsidRPr="009118AB">
        <w:t xml:space="preserve">Falls dieser Vorgang nicht unter die Anwendung von Artikel 46 </w:t>
      </w:r>
      <w:r w:rsidR="00D67EB8" w:rsidRPr="009118AB">
        <w:t>§ </w:t>
      </w:r>
      <w:r w:rsidR="00AB4706" w:rsidRPr="009118AB">
        <w:t xml:space="preserve">1 Absatz 1 </w:t>
      </w:r>
      <w:r w:rsidR="00D67EB8" w:rsidRPr="009118AB">
        <w:t>Nr. </w:t>
      </w:r>
      <w:r w:rsidR="00AB4706" w:rsidRPr="009118AB">
        <w:t xml:space="preserve">2 fällt, und zwar aus dem alleinigen Grund, dass die in Artikel 46 </w:t>
      </w:r>
      <w:r w:rsidR="00D67EB8" w:rsidRPr="009118AB">
        <w:t>§ </w:t>
      </w:r>
      <w:r w:rsidR="00AB4706" w:rsidRPr="009118AB">
        <w:t xml:space="preserve">1 Absatz 3 </w:t>
      </w:r>
      <w:r w:rsidR="00D67EB8" w:rsidRPr="009118AB">
        <w:t>Nr. </w:t>
      </w:r>
      <w:r w:rsidR="00AB4706" w:rsidRPr="009118AB">
        <w:t>3 erwähnte Bedingung nicht erfüllt ist, dann gilt:</w:t>
      </w:r>
    </w:p>
    <w:p w14:paraId="64347E68" w14:textId="77777777" w:rsidR="00AB4706" w:rsidRPr="009118AB" w:rsidRDefault="00AB4706" w:rsidP="00AB4706">
      <w:pPr>
        <w:jc w:val="both"/>
      </w:pPr>
    </w:p>
    <w:p w14:paraId="4CE23E16" w14:textId="77777777" w:rsidR="00AB4706" w:rsidRPr="009118AB" w:rsidRDefault="00940233" w:rsidP="00AB4706">
      <w:pPr>
        <w:jc w:val="both"/>
      </w:pPr>
      <w:r w:rsidRPr="009118AB">
        <w:tab/>
      </w:r>
      <w:r w:rsidR="00AB4706" w:rsidRPr="009118AB">
        <w:t>- dass das durch die Einbringung bei der begünstigten Gesellschaft eingezahlte Kapital dem Realwert der Einbringung in diese Gesellschaft entspricht,</w:t>
      </w:r>
    </w:p>
    <w:p w14:paraId="1E74B7D2" w14:textId="77777777" w:rsidR="00AB4706" w:rsidRPr="009118AB" w:rsidRDefault="00AB4706" w:rsidP="00AB4706">
      <w:pPr>
        <w:jc w:val="both"/>
      </w:pPr>
    </w:p>
    <w:p w14:paraId="7EBCC75B" w14:textId="77777777" w:rsidR="00AB4706" w:rsidRPr="009118AB" w:rsidRDefault="00940233" w:rsidP="00AB4706">
      <w:pPr>
        <w:jc w:val="both"/>
      </w:pPr>
      <w:r w:rsidRPr="009118AB">
        <w:tab/>
      </w:r>
      <w:r w:rsidR="00AB4706" w:rsidRPr="009118AB">
        <w:t>- dass der Anschaffungswert der eingebrachten Bestandteile dem Realwert entspricht, den sie bei der einbringenden Gesellschaft an dem Datum hatten, an dem der Vorgang stattgefunden hat.</w:t>
      </w:r>
    </w:p>
    <w:p w14:paraId="2B38E69F" w14:textId="77777777" w:rsidR="007A12FC" w:rsidRPr="009118AB" w:rsidRDefault="007A12FC" w:rsidP="00AB4706">
      <w:pPr>
        <w:jc w:val="both"/>
      </w:pPr>
    </w:p>
    <w:p w14:paraId="40F41F47" w14:textId="7691639C" w:rsidR="00AB4706" w:rsidRPr="009118AB" w:rsidRDefault="00940233" w:rsidP="00AB4706">
      <w:pPr>
        <w:jc w:val="both"/>
      </w:pPr>
      <w:r w:rsidRPr="009118AB">
        <w:tab/>
      </w:r>
      <w:r w:rsidR="00D67EB8" w:rsidRPr="009118AB">
        <w:t>§ </w:t>
      </w:r>
      <w:r w:rsidR="00AB4706" w:rsidRPr="009118AB">
        <w:t>2</w:t>
      </w:r>
      <w:r w:rsidR="00D67EB8" w:rsidRPr="009118AB">
        <w:t> - </w:t>
      </w:r>
      <w:r w:rsidR="00AB4706" w:rsidRPr="009118AB">
        <w:t>Ist eine belgische Einrichtung Gegenstand einer Einbringung in eine inländische Gesellschaft unter Bedingungen, durch die Artikel 231 §</w:t>
      </w:r>
      <w:r w:rsidR="00D67EB8" w:rsidRPr="009118AB">
        <w:t>§ </w:t>
      </w:r>
      <w:r w:rsidR="00AB4706" w:rsidRPr="009118AB">
        <w:t>2 und 3 zur Anwendung kommt, entspricht das durch diese Einbringung eingezahlte Kapital dem Nettosteuerwert, den diese Einrichtung zum Zeitpunkt der Einbringung beim Einbringer hatte, nach Abzug:</w:t>
      </w:r>
    </w:p>
    <w:p w14:paraId="7060C580" w14:textId="77777777" w:rsidR="00AB4706" w:rsidRPr="009118AB" w:rsidRDefault="00AB4706" w:rsidP="00AB4706">
      <w:pPr>
        <w:jc w:val="both"/>
      </w:pPr>
    </w:p>
    <w:p w14:paraId="4B85B01E" w14:textId="77777777" w:rsidR="00AB4706" w:rsidRPr="009118AB" w:rsidRDefault="00940233" w:rsidP="00AB4706">
      <w:pPr>
        <w:jc w:val="both"/>
      </w:pPr>
      <w:r w:rsidRPr="009118AB">
        <w:tab/>
      </w:r>
      <w:r w:rsidR="00AB4706" w:rsidRPr="009118AB">
        <w:t>1. der besteuerten Rücklagen,</w:t>
      </w:r>
    </w:p>
    <w:p w14:paraId="62C24909" w14:textId="77777777" w:rsidR="00AB4706" w:rsidRPr="009118AB" w:rsidRDefault="00AB4706" w:rsidP="00AB4706">
      <w:pPr>
        <w:jc w:val="both"/>
      </w:pPr>
    </w:p>
    <w:p w14:paraId="5278CBD0" w14:textId="77777777" w:rsidR="00AB4706" w:rsidRPr="009118AB" w:rsidRDefault="00940233" w:rsidP="00AB4706">
      <w:pPr>
        <w:jc w:val="both"/>
      </w:pPr>
      <w:r w:rsidRPr="009118AB">
        <w:tab/>
      </w:r>
      <w:r w:rsidR="00AB4706" w:rsidRPr="009118AB">
        <w:t>2. der steuerfreien Rücklagen.</w:t>
      </w:r>
    </w:p>
    <w:p w14:paraId="7F2FD9D4" w14:textId="77777777" w:rsidR="00AB4706" w:rsidRPr="009118AB" w:rsidRDefault="00AB4706" w:rsidP="00AB4706">
      <w:pPr>
        <w:jc w:val="both"/>
      </w:pPr>
    </w:p>
    <w:p w14:paraId="69C4901A" w14:textId="29D19377" w:rsidR="00AB4706" w:rsidRPr="009118AB" w:rsidRDefault="00940233" w:rsidP="00AB4706">
      <w:pPr>
        <w:jc w:val="both"/>
      </w:pPr>
      <w:r w:rsidRPr="009118AB">
        <w:tab/>
      </w:r>
      <w:r w:rsidR="00D67EB8" w:rsidRPr="009118AB">
        <w:t>§ </w:t>
      </w:r>
      <w:r w:rsidR="00AB4706" w:rsidRPr="009118AB">
        <w:t>3</w:t>
      </w:r>
      <w:r w:rsidR="00D67EB8" w:rsidRPr="009118AB">
        <w:t> - </w:t>
      </w:r>
      <w:r w:rsidR="00AB4706" w:rsidRPr="009118AB">
        <w:t xml:space="preserve">Wenn eine inländische Gesellschaft von einer ausländischen Gesellschaft infolge einer Einbringung eines oder mehrerer Teilbetriebe beziehungsweise eines oder mehrerer Teile einer Tätigkeit oder eines Gesamtvermögens eine ausländische Niederlassung oder im Ausland gelegene Bestandteile erhält gegen Ausgabe von Aktien oder Anteilen, die das </w:t>
      </w:r>
      <w:r w:rsidR="00A5160C" w:rsidRPr="009118AB">
        <w:t>[K</w:t>
      </w:r>
      <w:r w:rsidR="00AB4706" w:rsidRPr="009118AB">
        <w:t>apital</w:t>
      </w:r>
      <w:r w:rsidR="00A5160C" w:rsidRPr="009118AB">
        <w:t>]</w:t>
      </w:r>
      <w:r w:rsidR="00AB4706" w:rsidRPr="009118AB">
        <w:t xml:space="preserve"> dieser inländischen Gesellschaft vertreten, ob im Ausland in Anwendung von Bestimmungen, die Artikel 46 ähnlich sind, steuerfrei oder nicht, bildet der Nettobuch</w:t>
      </w:r>
      <w:r w:rsidR="00AB4706" w:rsidRPr="009118AB">
        <w:softHyphen/>
        <w:t>wert der Niederlassung beziehungsweise der Bestandteile, die anlässlich dieses Vorgangs erhalten wurde/wurden, bei dieser inländischen Gesellschaft eingezahltes Kapital.</w:t>
      </w:r>
    </w:p>
    <w:p w14:paraId="34D9197A" w14:textId="77777777" w:rsidR="00AB4706" w:rsidRPr="009118AB" w:rsidRDefault="00AB4706" w:rsidP="00AB4706">
      <w:pPr>
        <w:jc w:val="both"/>
      </w:pPr>
    </w:p>
    <w:p w14:paraId="07B3239B" w14:textId="77777777" w:rsidR="00AB4706" w:rsidRPr="009118AB" w:rsidRDefault="00940233" w:rsidP="00AB4706">
      <w:pPr>
        <w:jc w:val="both"/>
      </w:pPr>
      <w:r w:rsidRPr="009118AB">
        <w:tab/>
      </w:r>
      <w:r w:rsidR="00AB4706" w:rsidRPr="009118AB">
        <w:t>Dieser Nettobuchwert entspricht dem Buchwert der Aktiva der Niederlassung oder der Bestandteile verringert um den Buchwert der damit verbundenen Schulden.</w:t>
      </w:r>
    </w:p>
    <w:p w14:paraId="7E69B351" w14:textId="77777777" w:rsidR="00AB4706" w:rsidRPr="009118AB" w:rsidRDefault="00AB4706" w:rsidP="00AB4706">
      <w:pPr>
        <w:jc w:val="both"/>
      </w:pPr>
    </w:p>
    <w:p w14:paraId="38112B9A" w14:textId="1209F395" w:rsidR="00AB4706" w:rsidRPr="009118AB" w:rsidRDefault="00940233" w:rsidP="00AB4706">
      <w:pPr>
        <w:jc w:val="both"/>
      </w:pPr>
      <w:r w:rsidRPr="009118AB">
        <w:tab/>
      </w:r>
      <w:r w:rsidR="00D67EB8" w:rsidRPr="009118AB">
        <w:t>§ </w:t>
      </w:r>
      <w:r w:rsidR="00AB4706" w:rsidRPr="009118AB">
        <w:t>4</w:t>
      </w:r>
      <w:r w:rsidR="00D67EB8" w:rsidRPr="009118AB">
        <w:t> - </w:t>
      </w:r>
      <w:r w:rsidR="00AB4706" w:rsidRPr="009118AB">
        <w:t xml:space="preserve">Wenn eine inländische Gesellschaft eine innereuropäische Gesellschaft ganz oder teilweise übernimmt anlässlich oder infolge einer Fusion, einer Aufspaltung oder eines damit gleichgesetzten Vorgangs, entspricht der Betrag des infolge dieses Vorgangs bei dieser inländischen Gesellschaft eingezahlten Kapitals </w:t>
      </w:r>
      <w:r w:rsidR="00A5160C" w:rsidRPr="009118AB">
        <w:t>[</w:t>
      </w:r>
      <w:r w:rsidR="00AB4706" w:rsidRPr="009118AB">
        <w:t>dem Kapital</w:t>
      </w:r>
      <w:r w:rsidR="00A5160C" w:rsidRPr="009118AB">
        <w:t>]</w:t>
      </w:r>
      <w:r w:rsidR="00AB4706" w:rsidRPr="009118AB">
        <w:t>, den Emissionsagien und den anlässlich der Ausgabe von Gewinnanteilen gezeichneten Beträgen in dem Maße und in den Grenzen erwähnt in Artikel 184 Absatz 1 und 2 und</w:t>
      </w:r>
      <w:r w:rsidR="00D67EB8" w:rsidRPr="009118AB">
        <w:t> - </w:t>
      </w:r>
      <w:r w:rsidR="00AB4706" w:rsidRPr="009118AB">
        <w:t>im Falle einer Aufspaltung oder eines mit einer Aufspaltung gleichgesetzten Vorgangs</w:t>
      </w:r>
      <w:r w:rsidR="00D67EB8" w:rsidRPr="009118AB">
        <w:t> - </w:t>
      </w:r>
      <w:r w:rsidR="00AB4706" w:rsidRPr="009118AB">
        <w:t>mit Anwendung des in Artikel 213 erwähnten Verhältnisses.</w:t>
      </w:r>
    </w:p>
    <w:p w14:paraId="05C2927C" w14:textId="77777777" w:rsidR="00AB4706" w:rsidRPr="009118AB" w:rsidRDefault="00AB4706" w:rsidP="00AB4706">
      <w:pPr>
        <w:jc w:val="both"/>
      </w:pPr>
    </w:p>
    <w:p w14:paraId="147A42DE" w14:textId="77777777" w:rsidR="00AB4706" w:rsidRPr="009118AB" w:rsidRDefault="00940233" w:rsidP="00AB4706">
      <w:pPr>
        <w:jc w:val="both"/>
      </w:pPr>
      <w:r w:rsidRPr="009118AB">
        <w:tab/>
      </w:r>
      <w:r w:rsidR="00AB4706" w:rsidRPr="009118AB">
        <w:t>Die anderen Bestandteile des Eigenkapitals gelten als besteuerte Rücklagen, mit Aus</w:t>
      </w:r>
      <w:r w:rsidR="00AB4706" w:rsidRPr="009118AB">
        <w:softHyphen/>
        <w:t>nahme der steuerfreien Rücklagen, die einer belgischen Niederlassung der übertragenden oder aufgespaltenen Gesellschaft zugerechnet werden.</w:t>
      </w:r>
    </w:p>
    <w:p w14:paraId="3163EB62" w14:textId="77777777" w:rsidR="00AB4706" w:rsidRPr="009118AB" w:rsidRDefault="00AB4706" w:rsidP="00AB4706">
      <w:pPr>
        <w:jc w:val="both"/>
      </w:pPr>
    </w:p>
    <w:p w14:paraId="6149D2EF" w14:textId="091C29A0" w:rsidR="00AB4706" w:rsidRPr="009118AB" w:rsidRDefault="00940233" w:rsidP="00AB4706">
      <w:pPr>
        <w:jc w:val="both"/>
      </w:pPr>
      <w:r w:rsidRPr="009118AB">
        <w:tab/>
      </w:r>
      <w:r w:rsidR="00AB4706" w:rsidRPr="009118AB">
        <w:t>In den in vorliegendem Paragraphen erwähnten Fällen wird der Betrag des einge</w:t>
      </w:r>
      <w:r w:rsidR="00AB4706" w:rsidRPr="009118AB">
        <w:softHyphen/>
        <w:t xml:space="preserve">zahlten Kapitals und der vorherigen Gewinnrücklagen der übertragenden oder aufgespaltenen </w:t>
      </w:r>
      <w:r w:rsidR="00AB4706" w:rsidRPr="009118AB">
        <w:lastRenderedPageBreak/>
        <w:t>Gesellschaft bei der übernehmenden oder begünstigten Gesellschaft um den Teil der Ein</w:t>
      </w:r>
      <w:r w:rsidR="00AB4706" w:rsidRPr="009118AB">
        <w:softHyphen/>
        <w:t>bringung herabgesetzt, der nicht durch neue Aktien oder Anteile, die anlässlich des Vorgangs ausgegeben werden, vergütet wird. Diese Herabsetzung wird zuerst auf die besteuerten Rücklagen, dann, wenn diese Rücklagen nicht ausreichen, auf die steuerfreien Rücklagen und schließlich auf das eingezahlte Kapital angerechnet. In dem Maße, wie Einbringungen auf</w:t>
      </w:r>
      <w:r w:rsidR="00AB4706" w:rsidRPr="009118AB">
        <w:softHyphen/>
        <w:t>grund der Tatsache, dass die übernehmenden oder begünstigten Gesellschaften Aktien oder Anteile der übertragenden oder aufgespaltenen Gesellschaft besitzen, nicht vergütet werden, wird die Herabsetzung jedoch proportional auf das eingezahlte Kapital und die Rücklagen und für letztere vorrangig auf die besteuerten Rücklagen angerechnet. Keine Herabsetzung wird auf Mehrwerte und Kapitalzuschüsse, auf steuerfreie Rücklagen, die der belgischen Niederlassung zugerechnet werden</w:t>
      </w:r>
      <w:r w:rsidR="00D67EB8" w:rsidRPr="009118AB">
        <w:t> - </w:t>
      </w:r>
      <w:r w:rsidR="00AB4706" w:rsidRPr="009118AB">
        <w:t>wenn die Einbringungen aufgrund der Tatsache, dass die übernehmenden oder begünstigten Gesellschaften Aktien oder Anteile der übertragenden oder aufgespaltenen Gesellschaft besitzen</w:t>
      </w:r>
      <w:r w:rsidR="00FD68E8" w:rsidRPr="009118AB">
        <w:t> -,</w:t>
      </w:r>
      <w:r w:rsidR="00AB4706" w:rsidRPr="009118AB">
        <w:t xml:space="preserve"> und auf steuerfreie Wertminderungen und Rückstellungen, die als solche in der Buchhaltung der übernehmenden oder begünstigten Gesellschaften vorkommen, angerechnet.</w:t>
      </w:r>
    </w:p>
    <w:p w14:paraId="682E0DD6" w14:textId="77777777" w:rsidR="00AB4706" w:rsidRPr="009118AB" w:rsidRDefault="00AB4706" w:rsidP="00AB4706">
      <w:pPr>
        <w:jc w:val="both"/>
      </w:pPr>
    </w:p>
    <w:p w14:paraId="49D5C3FA" w14:textId="2415390E" w:rsidR="00AB4706" w:rsidRPr="009118AB" w:rsidRDefault="00940233" w:rsidP="00AB4706">
      <w:pPr>
        <w:jc w:val="both"/>
      </w:pPr>
      <w:r w:rsidRPr="009118AB">
        <w:tab/>
      </w:r>
      <w:r w:rsidR="00D67EB8" w:rsidRPr="009118AB">
        <w:t>§ </w:t>
      </w:r>
      <w:r w:rsidR="00AB4706" w:rsidRPr="009118AB">
        <w:t>5</w:t>
      </w:r>
      <w:r w:rsidR="00D67EB8" w:rsidRPr="009118AB">
        <w:t> - </w:t>
      </w:r>
      <w:r w:rsidR="00AB4706" w:rsidRPr="009118AB">
        <w:t xml:space="preserve">Wenn eine ausländische Gesellschaft </w:t>
      </w:r>
      <w:r w:rsidR="00A5160C" w:rsidRPr="009118AB">
        <w:t>[…]</w:t>
      </w:r>
      <w:r w:rsidR="00AB4706" w:rsidRPr="009118AB">
        <w:t xml:space="preserve"> ihre Hauptnieder</w:t>
      </w:r>
      <w:r w:rsidR="00AB4706" w:rsidRPr="009118AB">
        <w:softHyphen/>
        <w:t xml:space="preserve">lassung oder ihren Geschäftsführungs- oder Verwaltungssitz nach Belgien verlegt und infolge dieser Verlegung der belgischen Gesellschaftssteuer unterliegt, gilt bei der infolge dieser Verlegung entstandenen inländischen Gesellschaft, dass der Betrag des eingezahlten Kapitals </w:t>
      </w:r>
      <w:r w:rsidR="00A5160C" w:rsidRPr="009118AB">
        <w:t>[</w:t>
      </w:r>
      <w:r w:rsidR="00AB4706" w:rsidRPr="009118AB">
        <w:t>dem Kapital</w:t>
      </w:r>
      <w:r w:rsidR="00A5160C" w:rsidRPr="009118AB">
        <w:t>]</w:t>
      </w:r>
      <w:r w:rsidR="00AB4706" w:rsidRPr="009118AB">
        <w:t>, den Emissionsagien und den anlässlich der Ausgabe von Gewinnanteilen gezeichneten Summen in dem Maße und in den Grenzen erwähnt in Artikel 184 Absatz 1 und 2 entspricht.</w:t>
      </w:r>
    </w:p>
    <w:p w14:paraId="28CC239D" w14:textId="77777777" w:rsidR="00AB4706" w:rsidRPr="009118AB" w:rsidRDefault="00AB4706" w:rsidP="00AB4706">
      <w:pPr>
        <w:jc w:val="both"/>
      </w:pPr>
    </w:p>
    <w:p w14:paraId="3A7F170D" w14:textId="77777777" w:rsidR="00AB4706" w:rsidRPr="009118AB" w:rsidRDefault="00940233" w:rsidP="00AB4706">
      <w:pPr>
        <w:jc w:val="both"/>
      </w:pPr>
      <w:r w:rsidRPr="009118AB">
        <w:tab/>
      </w:r>
      <w:r w:rsidR="00AB4706" w:rsidRPr="009118AB">
        <w:t>Die anderen Bestandteile des Eigenkapitals gelten als besteuerte Rücklagen, mit Aus</w:t>
      </w:r>
      <w:r w:rsidR="00AB4706" w:rsidRPr="009118AB">
        <w:softHyphen/>
        <w:t>nahme der steuerfreien Rücklagen, die einer belgischen Niederlassung zugerechnet werden, über die diese ausländische Gesellschaft vor der Verlegung verfügte.</w:t>
      </w:r>
    </w:p>
    <w:p w14:paraId="38A41F78" w14:textId="77777777" w:rsidR="00AB4706" w:rsidRPr="009118AB" w:rsidRDefault="00AB4706" w:rsidP="00AB4706">
      <w:pPr>
        <w:jc w:val="both"/>
      </w:pPr>
    </w:p>
    <w:p w14:paraId="0B581EF4" w14:textId="18D8024E" w:rsidR="00AB4706" w:rsidRPr="009118AB" w:rsidRDefault="00940233" w:rsidP="00AB4706">
      <w:pPr>
        <w:jc w:val="both"/>
      </w:pPr>
      <w:r w:rsidRPr="009118AB">
        <w:tab/>
      </w:r>
      <w:r w:rsidR="00AB4706" w:rsidRPr="009118AB">
        <w:t xml:space="preserve">In Abweichung von Absatz 2 gelten die anderen Bestandteile des Eigenkapitals, die aus dem Ausland übertragen werden, als steuerfreie Rücklagen, wenn die Verlegung eine in Artikel 203 </w:t>
      </w:r>
      <w:r w:rsidR="00D67EB8" w:rsidRPr="009118AB">
        <w:t>§ </w:t>
      </w:r>
      <w:r w:rsidR="00AB4706" w:rsidRPr="009118AB">
        <w:t xml:space="preserve">1 Absatz 1 </w:t>
      </w:r>
      <w:r w:rsidR="00D67EB8" w:rsidRPr="009118AB">
        <w:t>Nr. </w:t>
      </w:r>
      <w:r w:rsidR="00AB4706" w:rsidRPr="009118AB">
        <w:t>1 erwähnte Gesellschaft betrifft, außer wenn diese Gesellschaft in einem Mitgliedstaat der Europäischen Union ansässig ist und dort den Bestimmungen des allgemeinen Rechts in Bezug auf Steuern unterliegt.</w:t>
      </w:r>
    </w:p>
    <w:p w14:paraId="4EA840BE" w14:textId="77777777" w:rsidR="00AB4706" w:rsidRPr="009118AB" w:rsidRDefault="00AB4706" w:rsidP="00AB4706">
      <w:pPr>
        <w:jc w:val="both"/>
      </w:pPr>
    </w:p>
    <w:p w14:paraId="27C8AB84" w14:textId="77777777" w:rsidR="00AB4706" w:rsidRPr="009118AB" w:rsidRDefault="00940233" w:rsidP="00AB4706">
      <w:pPr>
        <w:jc w:val="both"/>
      </w:pPr>
      <w:r w:rsidRPr="009118AB">
        <w:tab/>
      </w:r>
      <w:r w:rsidR="00AB4706" w:rsidRPr="009118AB">
        <w:t>Die in Absatz 3 erwähnte Steuerbefreiung ist und bleibt anwendbar in dem Maße, wie dieser Anteil auf einem oder mehreren getrennten Passivkonten gebucht ist und dort belassen wird und nicht als Grundlage für die Berechnung der jährlichen Zuführung an die gesetzliche Rücklage oder für die Berechnung von Entlohnungen oder Zuerkennungen dient.]</w:t>
      </w:r>
    </w:p>
    <w:p w14:paraId="5868AF68" w14:textId="77777777" w:rsidR="00AB4706" w:rsidRPr="009118AB" w:rsidRDefault="00AB4706" w:rsidP="00AB4706">
      <w:pPr>
        <w:jc w:val="both"/>
      </w:pPr>
    </w:p>
    <w:p w14:paraId="431E1B6C" w14:textId="17254FEA" w:rsidR="00AB4706" w:rsidRPr="009118AB" w:rsidRDefault="00AB4706" w:rsidP="00AB4706">
      <w:pPr>
        <w:jc w:val="both"/>
      </w:pPr>
      <w:r w:rsidRPr="009118AB">
        <w:rPr>
          <w:i/>
        </w:rPr>
        <w:t>[</w:t>
      </w:r>
      <w:r w:rsidR="00D67EB8" w:rsidRPr="009118AB">
        <w:rPr>
          <w:i/>
        </w:rPr>
        <w:t>Art. </w:t>
      </w:r>
      <w:r w:rsidRPr="009118AB">
        <w:rPr>
          <w:i/>
        </w:rPr>
        <w:t xml:space="preserve">184bis eingefügt durch </w:t>
      </w:r>
      <w:r w:rsidR="00D67EB8" w:rsidRPr="009118AB">
        <w:rPr>
          <w:i/>
        </w:rPr>
        <w:t>Art. </w:t>
      </w:r>
      <w:r w:rsidR="006939D8" w:rsidRPr="009118AB">
        <w:rPr>
          <w:i/>
        </w:rPr>
        <w:t>13</w:t>
      </w:r>
      <w:r w:rsidR="006939D8" w:rsidRPr="009118AB">
        <w:rPr>
          <w:i/>
          <w:iCs/>
        </w:rPr>
        <w:t xml:space="preserve"> des G. vom 11. Dezember 2008 (B.S. vom 12. Januar 2009)</w:t>
      </w:r>
      <w:r w:rsidR="00D67EB8" w:rsidRPr="009118AB">
        <w:rPr>
          <w:i/>
          <w:iCs/>
        </w:rPr>
        <w:t> - </w:t>
      </w:r>
      <w:r w:rsidR="006939D8" w:rsidRPr="009118AB">
        <w:rPr>
          <w:i/>
          <w:iCs/>
        </w:rPr>
        <w:t>anwendbar auf Vorgänge oder Verlegungen, die ab dem 12. Januar 2009 statt</w:t>
      </w:r>
      <w:r w:rsidR="006939D8" w:rsidRPr="009118AB">
        <w:rPr>
          <w:i/>
          <w:iCs/>
        </w:rPr>
        <w:softHyphen/>
        <w:t xml:space="preserve">finden, mit Ausnahme von </w:t>
      </w:r>
      <w:r w:rsidR="00D67EB8" w:rsidRPr="009118AB">
        <w:rPr>
          <w:i/>
          <w:iCs/>
        </w:rPr>
        <w:t>§ </w:t>
      </w:r>
      <w:r w:rsidR="006939D8" w:rsidRPr="009118AB">
        <w:rPr>
          <w:i/>
          <w:iCs/>
        </w:rPr>
        <w:t xml:space="preserve">1 </w:t>
      </w:r>
      <w:r w:rsidR="00D67EB8" w:rsidRPr="009118AB">
        <w:rPr>
          <w:i/>
          <w:iCs/>
        </w:rPr>
        <w:t>Abs. </w:t>
      </w:r>
      <w:r w:rsidR="006939D8" w:rsidRPr="009118AB">
        <w:rPr>
          <w:i/>
          <w:iCs/>
        </w:rPr>
        <w:t>2, der auf die ab dem 6. Februar 2001 erfolgten Vorgänge anwendbar ist</w:t>
      </w:r>
      <w:r w:rsidR="003366D9" w:rsidRPr="009118AB">
        <w:rPr>
          <w:i/>
          <w:iCs/>
        </w:rPr>
        <w:t> -;</w:t>
      </w:r>
      <w:r w:rsidR="00C42F9A" w:rsidRPr="009118AB">
        <w:rPr>
          <w:i/>
          <w:iCs/>
        </w:rPr>
        <w:t xml:space="preserve"> </w:t>
      </w:r>
      <w:r w:rsidR="00D67EB8" w:rsidRPr="009118AB">
        <w:rPr>
          <w:i/>
          <w:iCs/>
        </w:rPr>
        <w:t>§ </w:t>
      </w:r>
      <w:r w:rsidR="00C42F9A" w:rsidRPr="009118AB">
        <w:rPr>
          <w:i/>
          <w:iCs/>
        </w:rPr>
        <w:t xml:space="preserve">3 </w:t>
      </w:r>
      <w:r w:rsidR="00D67EB8" w:rsidRPr="009118AB">
        <w:rPr>
          <w:i/>
          <w:iCs/>
        </w:rPr>
        <w:t>Abs. </w:t>
      </w:r>
      <w:r w:rsidR="00C42F9A" w:rsidRPr="009118AB">
        <w:rPr>
          <w:i/>
          <w:iCs/>
        </w:rPr>
        <w:t xml:space="preserve">1 abgeändert durch </w:t>
      </w:r>
      <w:r w:rsidR="00D67EB8" w:rsidRPr="009118AB">
        <w:rPr>
          <w:i/>
          <w:iCs/>
        </w:rPr>
        <w:t>Art. </w:t>
      </w:r>
      <w:r w:rsidR="00C42F9A" w:rsidRPr="009118AB">
        <w:rPr>
          <w:i/>
          <w:iCs/>
        </w:rPr>
        <w:t xml:space="preserve">24 </w:t>
      </w:r>
      <w:r w:rsidR="00D67EB8" w:rsidRPr="009118AB">
        <w:rPr>
          <w:i/>
          <w:iCs/>
        </w:rPr>
        <w:t>Nr. </w:t>
      </w:r>
      <w:r w:rsidR="00C42F9A" w:rsidRPr="009118AB">
        <w:rPr>
          <w:i/>
          <w:iCs/>
        </w:rPr>
        <w:t>1</w:t>
      </w:r>
      <w:r w:rsidR="00C42F9A" w:rsidRPr="009118AB">
        <w:rPr>
          <w:i/>
          <w:iCs/>
          <w:spacing w:val="-2"/>
        </w:rPr>
        <w:t xml:space="preserve"> des G. vom 17. März 2019 (III) (B.S. vom 10. Mai 2019)</w:t>
      </w:r>
      <w:r w:rsidR="00D67EB8" w:rsidRPr="009118AB">
        <w:rPr>
          <w:i/>
          <w:iCs/>
          <w:spacing w:val="-2"/>
        </w:rPr>
        <w:t> - </w:t>
      </w:r>
      <w:r w:rsidR="00C42F9A" w:rsidRPr="009118AB">
        <w:rPr>
          <w:i/>
          <w:iCs/>
          <w:spacing w:val="-2"/>
        </w:rPr>
        <w:t>in Kraft am 1. Mai 2019</w:t>
      </w:r>
      <w:r w:rsidR="003366D9" w:rsidRPr="009118AB">
        <w:rPr>
          <w:i/>
          <w:iCs/>
          <w:spacing w:val="-2"/>
        </w:rPr>
        <w:t> -;</w:t>
      </w:r>
      <w:r w:rsidR="00C42F9A" w:rsidRPr="009118AB">
        <w:rPr>
          <w:i/>
          <w:iCs/>
          <w:spacing w:val="-2"/>
        </w:rPr>
        <w:t xml:space="preserve"> </w:t>
      </w:r>
      <w:r w:rsidR="00D67EB8" w:rsidRPr="009118AB">
        <w:rPr>
          <w:i/>
          <w:iCs/>
          <w:spacing w:val="-2"/>
        </w:rPr>
        <w:t>§ </w:t>
      </w:r>
      <w:r w:rsidR="00C42F9A" w:rsidRPr="009118AB">
        <w:rPr>
          <w:i/>
          <w:iCs/>
          <w:spacing w:val="-2"/>
        </w:rPr>
        <w:t xml:space="preserve">4 </w:t>
      </w:r>
      <w:r w:rsidR="00D67EB8" w:rsidRPr="009118AB">
        <w:rPr>
          <w:i/>
          <w:iCs/>
          <w:spacing w:val="-2"/>
        </w:rPr>
        <w:t>Abs. </w:t>
      </w:r>
      <w:r w:rsidR="00C42F9A" w:rsidRPr="009118AB">
        <w:rPr>
          <w:i/>
          <w:iCs/>
          <w:spacing w:val="-2"/>
        </w:rPr>
        <w:t xml:space="preserve">1 abgeändert durch </w:t>
      </w:r>
      <w:r w:rsidR="00D67EB8" w:rsidRPr="009118AB">
        <w:rPr>
          <w:i/>
          <w:iCs/>
          <w:spacing w:val="-2"/>
        </w:rPr>
        <w:t>Art. </w:t>
      </w:r>
      <w:r w:rsidR="00C42F9A" w:rsidRPr="009118AB">
        <w:rPr>
          <w:i/>
          <w:iCs/>
          <w:spacing w:val="-2"/>
        </w:rPr>
        <w:t xml:space="preserve">24 </w:t>
      </w:r>
      <w:r w:rsidR="00D67EB8" w:rsidRPr="009118AB">
        <w:rPr>
          <w:i/>
          <w:iCs/>
          <w:spacing w:val="-2"/>
        </w:rPr>
        <w:t>Nr. </w:t>
      </w:r>
      <w:r w:rsidR="00C42F9A" w:rsidRPr="009118AB">
        <w:rPr>
          <w:i/>
          <w:iCs/>
          <w:spacing w:val="-2"/>
        </w:rPr>
        <w:t>2 des G. vom 17. März 2019 (III) (B.S. vom 10. Mai 2019)</w:t>
      </w:r>
      <w:r w:rsidR="00D67EB8" w:rsidRPr="009118AB">
        <w:rPr>
          <w:i/>
          <w:iCs/>
          <w:spacing w:val="-2"/>
        </w:rPr>
        <w:t> - </w:t>
      </w:r>
      <w:r w:rsidR="00C42F9A" w:rsidRPr="009118AB">
        <w:rPr>
          <w:i/>
          <w:iCs/>
          <w:spacing w:val="-2"/>
        </w:rPr>
        <w:t>in Kraft am 1. Mai 2019</w:t>
      </w:r>
      <w:r w:rsidR="003366D9" w:rsidRPr="009118AB">
        <w:rPr>
          <w:i/>
          <w:iCs/>
          <w:spacing w:val="-2"/>
        </w:rPr>
        <w:t> -;</w:t>
      </w:r>
      <w:r w:rsidR="00C42F9A" w:rsidRPr="009118AB">
        <w:rPr>
          <w:i/>
          <w:iCs/>
          <w:spacing w:val="-2"/>
        </w:rPr>
        <w:t xml:space="preserve"> </w:t>
      </w:r>
      <w:r w:rsidR="00D67EB8" w:rsidRPr="009118AB">
        <w:rPr>
          <w:i/>
          <w:iCs/>
          <w:spacing w:val="-2"/>
        </w:rPr>
        <w:t>§ </w:t>
      </w:r>
      <w:r w:rsidR="00C42F9A" w:rsidRPr="009118AB">
        <w:rPr>
          <w:i/>
          <w:iCs/>
          <w:spacing w:val="-2"/>
        </w:rPr>
        <w:t xml:space="preserve">5 </w:t>
      </w:r>
      <w:r w:rsidR="00D67EB8" w:rsidRPr="009118AB">
        <w:rPr>
          <w:i/>
          <w:iCs/>
          <w:spacing w:val="-2"/>
        </w:rPr>
        <w:t>Abs. </w:t>
      </w:r>
      <w:r w:rsidR="00C42F9A" w:rsidRPr="009118AB">
        <w:rPr>
          <w:i/>
          <w:iCs/>
          <w:spacing w:val="-2"/>
        </w:rPr>
        <w:t xml:space="preserve">1 abgeändert durch </w:t>
      </w:r>
      <w:r w:rsidR="00D67EB8" w:rsidRPr="009118AB">
        <w:rPr>
          <w:i/>
          <w:iCs/>
          <w:spacing w:val="-2"/>
        </w:rPr>
        <w:t>Art. </w:t>
      </w:r>
      <w:r w:rsidR="00C42F9A" w:rsidRPr="009118AB">
        <w:rPr>
          <w:i/>
          <w:iCs/>
          <w:spacing w:val="-2"/>
        </w:rPr>
        <w:t xml:space="preserve">24 </w:t>
      </w:r>
      <w:r w:rsidR="00D67EB8" w:rsidRPr="009118AB">
        <w:rPr>
          <w:i/>
          <w:iCs/>
          <w:spacing w:val="-2"/>
        </w:rPr>
        <w:t>Nr. </w:t>
      </w:r>
      <w:r w:rsidR="00C42F9A" w:rsidRPr="009118AB">
        <w:rPr>
          <w:i/>
          <w:iCs/>
          <w:spacing w:val="-2"/>
        </w:rPr>
        <w:t>3 des G. vom 17. März 2019 (III) (B.S. vom 10. Mai 2019)</w:t>
      </w:r>
      <w:r w:rsidR="00D67EB8" w:rsidRPr="009118AB">
        <w:rPr>
          <w:i/>
          <w:iCs/>
          <w:spacing w:val="-2"/>
        </w:rPr>
        <w:t> - </w:t>
      </w:r>
      <w:r w:rsidR="00C42F9A" w:rsidRPr="009118AB">
        <w:rPr>
          <w:i/>
          <w:iCs/>
          <w:spacing w:val="-2"/>
        </w:rPr>
        <w:t>in Kraft am 1. Mai 2019</w:t>
      </w:r>
      <w:r w:rsidR="00FD68E8" w:rsidRPr="009118AB">
        <w:rPr>
          <w:i/>
          <w:iCs/>
          <w:spacing w:val="-2"/>
        </w:rPr>
        <w:t> -]</w:t>
      </w:r>
    </w:p>
    <w:p w14:paraId="750ED4A0" w14:textId="77777777" w:rsidR="00AB4706" w:rsidRPr="009118AB" w:rsidRDefault="00AB4706" w:rsidP="00AB4706">
      <w:pPr>
        <w:jc w:val="both"/>
      </w:pPr>
    </w:p>
    <w:p w14:paraId="54FFE886" w14:textId="77777777" w:rsidR="0067474A" w:rsidRPr="009118AB" w:rsidRDefault="00940233" w:rsidP="004E4B0C">
      <w:pPr>
        <w:jc w:val="both"/>
        <w:rPr>
          <w:iCs/>
        </w:rPr>
      </w:pPr>
      <w:r w:rsidRPr="009118AB">
        <w:tab/>
      </w:r>
    </w:p>
    <w:p w14:paraId="788833D1" w14:textId="0FFEAB35" w:rsidR="0067474A" w:rsidRPr="009118AB" w:rsidRDefault="004E4B0C" w:rsidP="0067474A">
      <w:pPr>
        <w:autoSpaceDE w:val="0"/>
        <w:autoSpaceDN w:val="0"/>
        <w:adjustRightInd w:val="0"/>
        <w:jc w:val="both"/>
        <w:rPr>
          <w:iCs/>
        </w:rPr>
      </w:pPr>
      <w:r w:rsidRPr="009118AB">
        <w:rPr>
          <w:iCs/>
        </w:rPr>
        <w:tab/>
      </w:r>
      <w:r w:rsidR="0067474A" w:rsidRPr="009118AB">
        <w:rPr>
          <w:iCs/>
        </w:rPr>
        <w:t>[</w:t>
      </w:r>
      <w:r w:rsidR="00D67EB8" w:rsidRPr="009118AB">
        <w:rPr>
          <w:b/>
          <w:iCs/>
        </w:rPr>
        <w:t>Art. </w:t>
      </w:r>
      <w:r w:rsidR="0067474A" w:rsidRPr="009118AB">
        <w:rPr>
          <w:b/>
          <w:iCs/>
        </w:rPr>
        <w:t>184</w:t>
      </w:r>
      <w:r w:rsidR="0067474A" w:rsidRPr="009118AB">
        <w:rPr>
          <w:b/>
          <w:i/>
          <w:iCs/>
        </w:rPr>
        <w:t>ter</w:t>
      </w:r>
      <w:r w:rsidR="00D67EB8" w:rsidRPr="009118AB">
        <w:rPr>
          <w:iCs/>
        </w:rPr>
        <w:t> - § </w:t>
      </w:r>
      <w:r w:rsidR="0067474A" w:rsidRPr="009118AB">
        <w:rPr>
          <w:iCs/>
        </w:rPr>
        <w:t>1</w:t>
      </w:r>
      <w:r w:rsidR="00D67EB8" w:rsidRPr="009118AB">
        <w:rPr>
          <w:iCs/>
        </w:rPr>
        <w:t> - </w:t>
      </w:r>
      <w:r w:rsidR="0067474A" w:rsidRPr="009118AB">
        <w:rPr>
          <w:iCs/>
        </w:rPr>
        <w:t xml:space="preserve">Unbeschadet der Anwendung von Artikel 214 </w:t>
      </w:r>
      <w:r w:rsidR="00D67EB8" w:rsidRPr="009118AB">
        <w:rPr>
          <w:iCs/>
        </w:rPr>
        <w:t>§ </w:t>
      </w:r>
      <w:r w:rsidR="0067474A" w:rsidRPr="009118AB">
        <w:rPr>
          <w:iCs/>
        </w:rPr>
        <w:t xml:space="preserve">1 </w:t>
      </w:r>
      <w:r w:rsidR="00C42F9A" w:rsidRPr="009118AB">
        <w:rPr>
          <w:iCs/>
        </w:rPr>
        <w:t>[</w:t>
      </w:r>
      <w:r w:rsidR="00C42F9A" w:rsidRPr="009118AB">
        <w:t xml:space="preserve">gilt jedoch nicht als eingezahltes Kapital das in Artikel 14:42 des Gesetzbuches der Gesellschaften und </w:t>
      </w:r>
      <w:r w:rsidR="00C42F9A" w:rsidRPr="009118AB">
        <w:lastRenderedPageBreak/>
        <w:t>Vereinigungen erwähnte Reinvermögen</w:t>
      </w:r>
      <w:r w:rsidR="00C42F9A" w:rsidRPr="009118AB">
        <w:rPr>
          <w:iCs/>
        </w:rPr>
        <w:t>]</w:t>
      </w:r>
      <w:r w:rsidR="0067474A" w:rsidRPr="009118AB">
        <w:rPr>
          <w:iCs/>
        </w:rPr>
        <w:t xml:space="preserve">, das </w:t>
      </w:r>
      <w:r w:rsidR="00C42F9A" w:rsidRPr="009118AB">
        <w:rPr>
          <w:iCs/>
        </w:rPr>
        <w:t>[</w:t>
      </w:r>
      <w:r w:rsidR="00C42F9A" w:rsidRPr="009118AB">
        <w:t>das Kapital eines Sozialunternehmens bildet, das gemäß Artikel 8:5 des Gesetzbuches der Gesellschaften und Vereinigungen zugelassen ist,</w:t>
      </w:r>
      <w:r w:rsidR="00C42F9A" w:rsidRPr="009118AB">
        <w:rPr>
          <w:iCs/>
        </w:rPr>
        <w:t>]</w:t>
      </w:r>
      <w:r w:rsidR="0067474A" w:rsidRPr="009118AB">
        <w:rPr>
          <w:iCs/>
        </w:rPr>
        <w:t xml:space="preserve"> oder das auf einem Konto für unverfügbare Rücklagen dieser Gesellschaft gebucht wurde</w:t>
      </w:r>
      <w:r w:rsidR="00C42F9A" w:rsidRPr="009118AB">
        <w:rPr>
          <w:iCs/>
        </w:rPr>
        <w:t xml:space="preserve"> […]</w:t>
      </w:r>
      <w:r w:rsidR="0067474A" w:rsidRPr="009118AB">
        <w:rPr>
          <w:iCs/>
        </w:rPr>
        <w:t xml:space="preserve">. </w:t>
      </w:r>
      <w:r w:rsidR="00C42F9A" w:rsidRPr="009118AB">
        <w:rPr>
          <w:iCs/>
        </w:rPr>
        <w:t>[</w:t>
      </w:r>
      <w:r w:rsidR="0067474A" w:rsidRPr="009118AB">
        <w:rPr>
          <w:iCs/>
        </w:rPr>
        <w:t xml:space="preserve">Vorerwähntes </w:t>
      </w:r>
      <w:r w:rsidR="00C42F9A" w:rsidRPr="009118AB">
        <w:rPr>
          <w:iCs/>
        </w:rPr>
        <w:t>K</w:t>
      </w:r>
      <w:r w:rsidR="0067474A" w:rsidRPr="009118AB">
        <w:rPr>
          <w:iCs/>
        </w:rPr>
        <w:t>apital</w:t>
      </w:r>
      <w:r w:rsidR="00C42F9A" w:rsidRPr="009118AB">
        <w:rPr>
          <w:iCs/>
        </w:rPr>
        <w:t>]</w:t>
      </w:r>
      <w:r w:rsidR="0067474A" w:rsidRPr="009118AB">
        <w:rPr>
          <w:iCs/>
        </w:rPr>
        <w:t xml:space="preserve"> und Rücklagenkonto werden nur von der Steuer befreit, wenn die in Artikel 190 erwähnten Bedingungen erfüllt sind.</w:t>
      </w:r>
    </w:p>
    <w:p w14:paraId="1C38E2A6" w14:textId="77777777" w:rsidR="0067474A" w:rsidRPr="009118AB" w:rsidRDefault="0067474A" w:rsidP="0067474A">
      <w:pPr>
        <w:autoSpaceDE w:val="0"/>
        <w:autoSpaceDN w:val="0"/>
        <w:adjustRightInd w:val="0"/>
        <w:jc w:val="both"/>
        <w:rPr>
          <w:iCs/>
        </w:rPr>
      </w:pPr>
    </w:p>
    <w:p w14:paraId="4D5BA863" w14:textId="700ACC06" w:rsidR="0067474A" w:rsidRPr="009118AB" w:rsidRDefault="004E4B0C" w:rsidP="0067474A">
      <w:pPr>
        <w:autoSpaceDE w:val="0"/>
        <w:autoSpaceDN w:val="0"/>
        <w:adjustRightInd w:val="0"/>
        <w:jc w:val="both"/>
        <w:rPr>
          <w:iCs/>
        </w:rPr>
      </w:pPr>
      <w:r w:rsidRPr="009118AB">
        <w:rPr>
          <w:iCs/>
        </w:rPr>
        <w:tab/>
      </w:r>
      <w:r w:rsidR="0067474A" w:rsidRPr="009118AB">
        <w:rPr>
          <w:iCs/>
        </w:rPr>
        <w:t xml:space="preserve">Unbeschadet der Anwendung von Artikel 210 </w:t>
      </w:r>
      <w:r w:rsidR="00D67EB8" w:rsidRPr="009118AB">
        <w:rPr>
          <w:iCs/>
        </w:rPr>
        <w:t>§ </w:t>
      </w:r>
      <w:r w:rsidR="0067474A" w:rsidRPr="009118AB">
        <w:rPr>
          <w:iCs/>
        </w:rPr>
        <w:t xml:space="preserve">1 </w:t>
      </w:r>
      <w:r w:rsidR="00D67EB8" w:rsidRPr="009118AB">
        <w:rPr>
          <w:iCs/>
        </w:rPr>
        <w:t>Nr. </w:t>
      </w:r>
      <w:r w:rsidR="0067474A" w:rsidRPr="009118AB">
        <w:rPr>
          <w:iCs/>
        </w:rPr>
        <w:t xml:space="preserve">3 </w:t>
      </w:r>
      <w:r w:rsidR="00C42F9A" w:rsidRPr="009118AB">
        <w:rPr>
          <w:iCs/>
        </w:rPr>
        <w:t>[</w:t>
      </w:r>
      <w:r w:rsidR="00C42F9A" w:rsidRPr="009118AB">
        <w:t xml:space="preserve">gilt jedoch nicht als eingezahltes Kapital </w:t>
      </w:r>
      <w:r w:rsidR="00935D10" w:rsidRPr="009118AB">
        <w:t>[das in Buch II Titel III Kapitel I Abschnitt 2 des Gesetzes vom 13. März 2016 über den Status und die Kontrolle der Versicherungs- oder Rückversicherungsunternehmen erwähnte Reinvermögen]</w:t>
      </w:r>
      <w:r w:rsidR="00C42F9A" w:rsidRPr="009118AB">
        <w:t>, das das Kapital einer Gesellschaft bildet oder das auf einem Konto für unverfügbare Rücklagen dieser Gesellschaft gebucht wurde</w:t>
      </w:r>
      <w:r w:rsidR="00C42F9A" w:rsidRPr="009118AB">
        <w:rPr>
          <w:iCs/>
        </w:rPr>
        <w:t>]</w:t>
      </w:r>
      <w:r w:rsidR="0067474A" w:rsidRPr="009118AB">
        <w:rPr>
          <w:iCs/>
        </w:rPr>
        <w:t xml:space="preserve">. </w:t>
      </w:r>
      <w:r w:rsidR="00C42F9A" w:rsidRPr="009118AB">
        <w:rPr>
          <w:iCs/>
        </w:rPr>
        <w:t>[</w:t>
      </w:r>
      <w:r w:rsidR="0067474A" w:rsidRPr="009118AB">
        <w:rPr>
          <w:iCs/>
        </w:rPr>
        <w:t xml:space="preserve">Vorerwähntes </w:t>
      </w:r>
      <w:r w:rsidR="00C42F9A" w:rsidRPr="009118AB">
        <w:rPr>
          <w:iCs/>
        </w:rPr>
        <w:t>K</w:t>
      </w:r>
      <w:r w:rsidR="0067474A" w:rsidRPr="009118AB">
        <w:rPr>
          <w:iCs/>
        </w:rPr>
        <w:t>apital</w:t>
      </w:r>
      <w:r w:rsidR="00C42F9A" w:rsidRPr="009118AB">
        <w:rPr>
          <w:iCs/>
        </w:rPr>
        <w:t>]</w:t>
      </w:r>
      <w:r w:rsidR="0067474A" w:rsidRPr="009118AB">
        <w:rPr>
          <w:iCs/>
        </w:rPr>
        <w:t xml:space="preserve"> und Rücklagenkonto werden nur von der Steuer befreit, wenn die in Artikel 190 erwähnten Bedingungen erfüllt sind.</w:t>
      </w:r>
    </w:p>
    <w:p w14:paraId="5057ACA4" w14:textId="77777777" w:rsidR="0067474A" w:rsidRPr="009118AB" w:rsidRDefault="0067474A" w:rsidP="0067474A">
      <w:pPr>
        <w:autoSpaceDE w:val="0"/>
        <w:autoSpaceDN w:val="0"/>
        <w:adjustRightInd w:val="0"/>
        <w:jc w:val="both"/>
        <w:rPr>
          <w:iCs/>
        </w:rPr>
      </w:pPr>
    </w:p>
    <w:p w14:paraId="4E86DEC7" w14:textId="2DF3C369" w:rsidR="0067474A" w:rsidRPr="009118AB" w:rsidRDefault="004E4B0C" w:rsidP="0067474A">
      <w:pPr>
        <w:autoSpaceDE w:val="0"/>
        <w:autoSpaceDN w:val="0"/>
        <w:adjustRightInd w:val="0"/>
        <w:jc w:val="both"/>
        <w:rPr>
          <w:iCs/>
        </w:rPr>
      </w:pPr>
      <w:r w:rsidRPr="009118AB">
        <w:rPr>
          <w:iCs/>
        </w:rPr>
        <w:tab/>
      </w:r>
      <w:r w:rsidR="00D67EB8" w:rsidRPr="009118AB">
        <w:rPr>
          <w:iCs/>
        </w:rPr>
        <w:t>§ </w:t>
      </w:r>
      <w:r w:rsidR="0067474A" w:rsidRPr="009118AB">
        <w:rPr>
          <w:iCs/>
        </w:rPr>
        <w:t>2</w:t>
      </w:r>
      <w:r w:rsidR="00D67EB8" w:rsidRPr="009118AB">
        <w:rPr>
          <w:iCs/>
        </w:rPr>
        <w:t> - </w:t>
      </w:r>
      <w:r w:rsidR="0067474A" w:rsidRPr="009118AB">
        <w:rPr>
          <w:iCs/>
        </w:rPr>
        <w:t xml:space="preserve">Wenn eine inländische Gesellschaft durch Fusion, Aufspaltung oder einen damit gleichgesetzten Vorgang eine ausländische Niederlassung oder im Ausland gelegene Bestandteile erhält, werden </w:t>
      </w:r>
      <w:r w:rsidR="00D02E35" w:rsidRPr="009118AB">
        <w:rPr>
          <w:iCs/>
        </w:rPr>
        <w:t>[zu einem späteren Zeitpunkt verwirklichte Mehr- und Minderwerte, Abschreibungen und Wert</w:t>
      </w:r>
      <w:r w:rsidR="00D02E35" w:rsidRPr="009118AB">
        <w:rPr>
          <w:iCs/>
        </w:rPr>
        <w:softHyphen/>
        <w:t>minderungen, die sich auf diese Aktiva beziehen, auf der Grundlage des Realwertes, den sie zum Zeitpunkt des Vorgangs haben, bestimmt]</w:t>
      </w:r>
      <w:r w:rsidR="0067474A" w:rsidRPr="009118AB">
        <w:rPr>
          <w:iCs/>
        </w:rPr>
        <w:t>.</w:t>
      </w:r>
    </w:p>
    <w:p w14:paraId="271D51E9" w14:textId="77777777" w:rsidR="0067474A" w:rsidRPr="009118AB" w:rsidRDefault="0067474A" w:rsidP="0067474A">
      <w:pPr>
        <w:autoSpaceDE w:val="0"/>
        <w:autoSpaceDN w:val="0"/>
        <w:adjustRightInd w:val="0"/>
        <w:jc w:val="both"/>
        <w:rPr>
          <w:iCs/>
        </w:rPr>
      </w:pPr>
    </w:p>
    <w:p w14:paraId="2ADC146A" w14:textId="51CB879E" w:rsidR="0067474A" w:rsidRPr="009118AB" w:rsidRDefault="004E4B0C" w:rsidP="0067474A">
      <w:pPr>
        <w:autoSpaceDE w:val="0"/>
        <w:autoSpaceDN w:val="0"/>
        <w:adjustRightInd w:val="0"/>
        <w:jc w:val="both"/>
        <w:rPr>
          <w:iCs/>
        </w:rPr>
      </w:pPr>
      <w:r w:rsidRPr="009118AB">
        <w:rPr>
          <w:iCs/>
        </w:rPr>
        <w:tab/>
      </w:r>
      <w:r w:rsidR="0067474A" w:rsidRPr="009118AB">
        <w:rPr>
          <w:iCs/>
        </w:rPr>
        <w:t xml:space="preserve">Wenn eine ausländische Gesellschaft </w:t>
      </w:r>
      <w:r w:rsidR="00C42F9A" w:rsidRPr="009118AB">
        <w:rPr>
          <w:iCs/>
        </w:rPr>
        <w:t>[…]</w:t>
      </w:r>
      <w:r w:rsidR="0067474A" w:rsidRPr="009118AB">
        <w:rPr>
          <w:iCs/>
        </w:rPr>
        <w:t xml:space="preserve"> ihre Haupt</w:t>
      </w:r>
      <w:r w:rsidR="0067474A" w:rsidRPr="009118AB">
        <w:rPr>
          <w:iCs/>
        </w:rPr>
        <w:softHyphen/>
        <w:t>niederlassung oder ihren Geschäftsführungs- oder Verwaltungssitz nach Belgien verlegt, werden</w:t>
      </w:r>
      <w:r w:rsidR="00D67EB8" w:rsidRPr="009118AB">
        <w:rPr>
          <w:iCs/>
        </w:rPr>
        <w:t> - </w:t>
      </w:r>
      <w:r w:rsidR="0067474A" w:rsidRPr="009118AB">
        <w:rPr>
          <w:iCs/>
        </w:rPr>
        <w:t xml:space="preserve">was die Bestandteile betrifft, </w:t>
      </w:r>
      <w:r w:rsidR="00C42F9A" w:rsidRPr="009118AB">
        <w:rPr>
          <w:iCs/>
        </w:rPr>
        <w:t>[</w:t>
      </w:r>
      <w:r w:rsidR="00C42F9A" w:rsidRPr="009118AB">
        <w:t>die in den ausländischen Niederlassungen oder den im Ausland gelegenen Bestandteilen genutzt werden</w:t>
      </w:r>
      <w:r w:rsidR="00C42F9A" w:rsidRPr="009118AB">
        <w:rPr>
          <w:iCs/>
        </w:rPr>
        <w:t>]</w:t>
      </w:r>
      <w:r w:rsidR="0067474A" w:rsidRPr="009118AB">
        <w:rPr>
          <w:iCs/>
        </w:rPr>
        <w:t xml:space="preserve"> über die diese Gesellschaft verfügt</w:t>
      </w:r>
      <w:r w:rsidR="00D67EB8" w:rsidRPr="009118AB">
        <w:rPr>
          <w:iCs/>
        </w:rPr>
        <w:t> - </w:t>
      </w:r>
      <w:r w:rsidR="00D02E35" w:rsidRPr="009118AB">
        <w:rPr>
          <w:iCs/>
        </w:rPr>
        <w:t>[zu einem späteren Zeitpunkt verwirklichte Mehr- und Minderwerte, Abschreibungen und Wert</w:t>
      </w:r>
      <w:r w:rsidR="00D02E35" w:rsidRPr="009118AB">
        <w:rPr>
          <w:iCs/>
        </w:rPr>
        <w:softHyphen/>
        <w:t>minderungen, die sich auf diese Aktiva beziehen, auf der Grundlage des Realwertes, den sie zum Zeitpunkt des Vorgangs haben, bestimmt]</w:t>
      </w:r>
      <w:r w:rsidR="0067474A" w:rsidRPr="009118AB">
        <w:rPr>
          <w:iCs/>
        </w:rPr>
        <w:t>.</w:t>
      </w:r>
    </w:p>
    <w:p w14:paraId="5807E5E5" w14:textId="77777777" w:rsidR="0067474A" w:rsidRPr="009118AB" w:rsidRDefault="0067474A" w:rsidP="0067474A">
      <w:pPr>
        <w:autoSpaceDE w:val="0"/>
        <w:autoSpaceDN w:val="0"/>
        <w:adjustRightInd w:val="0"/>
        <w:jc w:val="both"/>
        <w:rPr>
          <w:iCs/>
        </w:rPr>
      </w:pPr>
    </w:p>
    <w:p w14:paraId="420B75A8" w14:textId="3D5A49E6" w:rsidR="00D02E35" w:rsidRPr="009118AB" w:rsidRDefault="004E4B0C" w:rsidP="00D02E35">
      <w:pPr>
        <w:autoSpaceDE w:val="0"/>
        <w:autoSpaceDN w:val="0"/>
        <w:adjustRightInd w:val="0"/>
        <w:jc w:val="both"/>
        <w:rPr>
          <w:iCs/>
        </w:rPr>
      </w:pPr>
      <w:r w:rsidRPr="009118AB">
        <w:rPr>
          <w:iCs/>
        </w:rPr>
        <w:tab/>
      </w:r>
      <w:r w:rsidR="00D02E35" w:rsidRPr="009118AB">
        <w:rPr>
          <w:iCs/>
        </w:rPr>
        <w:t xml:space="preserve">[Bei Übertragung eines oder mehrerer Bestandteile, die mit einer ausländischen Niederlassung verbunden sind, deren Gewinne aufgrund eines Abkommens zur Vermeidung der Doppelbesteuerung in Belgien steuerfrei sind, an </w:t>
      </w:r>
      <w:r w:rsidR="00C42F9A" w:rsidRPr="009118AB">
        <w:rPr>
          <w:iCs/>
        </w:rPr>
        <w:t>[…]</w:t>
      </w:r>
      <w:r w:rsidR="00D02E35" w:rsidRPr="009118AB">
        <w:rPr>
          <w:iCs/>
        </w:rPr>
        <w:t xml:space="preserve"> die Hauptniederlassung, den Geschäftsführungs- oder Verwaltungssitz </w:t>
      </w:r>
      <w:r w:rsidR="00C42F9A" w:rsidRPr="009118AB">
        <w:rPr>
          <w:iCs/>
        </w:rPr>
        <w:t xml:space="preserve">[in Belgien] </w:t>
      </w:r>
      <w:r w:rsidR="00D02E35" w:rsidRPr="009118AB">
        <w:rPr>
          <w:iCs/>
        </w:rPr>
        <w:t>oder eine andere belgische Niederlassung werden zu einem späteren Zeitpunkt verwirklichte Mehr- und Minderwerte, Abschreibungen und Wertminderungen, die sich auf diese Aktiva beziehen, auf der Grundlage des Realwertes, den sie zum Zeitpunkt des Vorgangs haben, bestimmt.</w:t>
      </w:r>
      <w:r w:rsidR="003C0B02" w:rsidRPr="009118AB">
        <w:rPr>
          <w:iCs/>
        </w:rPr>
        <w:t>]</w:t>
      </w:r>
    </w:p>
    <w:p w14:paraId="4CAD8459" w14:textId="77777777" w:rsidR="00D02E35" w:rsidRPr="009118AB" w:rsidRDefault="00D02E35" w:rsidP="00D02E35">
      <w:pPr>
        <w:autoSpaceDE w:val="0"/>
        <w:autoSpaceDN w:val="0"/>
        <w:adjustRightInd w:val="0"/>
        <w:jc w:val="both"/>
        <w:rPr>
          <w:iCs/>
        </w:rPr>
      </w:pPr>
    </w:p>
    <w:p w14:paraId="37BB2DC3" w14:textId="4BD1C708" w:rsidR="00D02E35" w:rsidRPr="009118AB" w:rsidRDefault="004E4B0C" w:rsidP="00D02E35">
      <w:pPr>
        <w:autoSpaceDE w:val="0"/>
        <w:autoSpaceDN w:val="0"/>
        <w:adjustRightInd w:val="0"/>
        <w:jc w:val="both"/>
        <w:rPr>
          <w:iCs/>
        </w:rPr>
      </w:pPr>
      <w:r w:rsidRPr="009118AB">
        <w:rPr>
          <w:iCs/>
        </w:rPr>
        <w:tab/>
      </w:r>
      <w:r w:rsidR="003C0B02" w:rsidRPr="009118AB">
        <w:rPr>
          <w:iCs/>
        </w:rPr>
        <w:t>[</w:t>
      </w:r>
      <w:r w:rsidR="00D02E35" w:rsidRPr="009118AB">
        <w:rPr>
          <w:iCs/>
        </w:rPr>
        <w:t>Bei Übertragung eines oder mehrerer belgischer Bestandteile an eine ausländische Niederlassung, deren Gewinne aufgrund eines Abkommens zur Vermeidung der Doppel</w:t>
      </w:r>
      <w:r w:rsidR="00D02E35" w:rsidRPr="009118AB">
        <w:rPr>
          <w:iCs/>
        </w:rPr>
        <w:softHyphen/>
        <w:t>besteuerung in Belgien steuerfrei sind, werden zu einem späteren Zeitpunkt verwirklichte Mehr- und Minderwerte, Abschreibungen und Wertminderungen, die sich auf diese Aktiva beziehen, gemäß Artikel 185/1 auf der Grundlage des Realwertes, den sie zum Zeitpunkt des Vorgangs haben, bestimmt.</w:t>
      </w:r>
    </w:p>
    <w:p w14:paraId="22D76D1B" w14:textId="77777777" w:rsidR="00D02E35" w:rsidRPr="009118AB" w:rsidRDefault="00D02E35" w:rsidP="00D02E35">
      <w:pPr>
        <w:autoSpaceDE w:val="0"/>
        <w:autoSpaceDN w:val="0"/>
        <w:adjustRightInd w:val="0"/>
        <w:jc w:val="both"/>
        <w:rPr>
          <w:iCs/>
        </w:rPr>
      </w:pPr>
    </w:p>
    <w:p w14:paraId="3D81616D" w14:textId="77777777" w:rsidR="00D02E35" w:rsidRPr="009118AB" w:rsidRDefault="004E4B0C" w:rsidP="00D02E35">
      <w:pPr>
        <w:autoSpaceDE w:val="0"/>
        <w:autoSpaceDN w:val="0"/>
        <w:adjustRightInd w:val="0"/>
        <w:jc w:val="both"/>
        <w:rPr>
          <w:iCs/>
        </w:rPr>
      </w:pPr>
      <w:r w:rsidRPr="009118AB">
        <w:rPr>
          <w:iCs/>
        </w:rPr>
        <w:tab/>
      </w:r>
      <w:r w:rsidR="00D02E35" w:rsidRPr="009118AB">
        <w:rPr>
          <w:iCs/>
        </w:rPr>
        <w:t>Ist der Wert dieser Bestandteile anlässlich eines in den Absätzen 1 bis 3 erwähnten Vorgangs von dem Staat festgesetzt worden, in dem diese Bestandteile zum Zeitpunkt des Vorgangs gelegen waren, und werden nicht verwirklichte Mehrwerte auf diese Bestandteile infolge dieser Vorgänge tatsächlich von diesem Staat in die Besteuerungsgrundlage einbezogen, wird davon ausgegangen, dass der von diesem Staat festgesetzte Wert dem Realwert entspricht, außer wenn nachgewiesen wird, dass der von diesem Staat festgesetzte Wert über dem Realwert liegt.</w:t>
      </w:r>
    </w:p>
    <w:p w14:paraId="27836A6A" w14:textId="77777777" w:rsidR="00D02E35" w:rsidRPr="009118AB" w:rsidRDefault="00D02E35" w:rsidP="00D02E35">
      <w:pPr>
        <w:autoSpaceDE w:val="0"/>
        <w:autoSpaceDN w:val="0"/>
        <w:adjustRightInd w:val="0"/>
        <w:jc w:val="both"/>
        <w:rPr>
          <w:iCs/>
        </w:rPr>
      </w:pPr>
    </w:p>
    <w:p w14:paraId="779639D9" w14:textId="77777777" w:rsidR="00D02E35" w:rsidRPr="009118AB" w:rsidRDefault="004E4B0C" w:rsidP="00D02E35">
      <w:pPr>
        <w:autoSpaceDE w:val="0"/>
        <w:autoSpaceDN w:val="0"/>
        <w:adjustRightInd w:val="0"/>
        <w:jc w:val="both"/>
        <w:rPr>
          <w:iCs/>
        </w:rPr>
      </w:pPr>
      <w:r w:rsidRPr="009118AB">
        <w:rPr>
          <w:iCs/>
        </w:rPr>
        <w:tab/>
      </w:r>
      <w:r w:rsidR="00D02E35" w:rsidRPr="009118AB">
        <w:rPr>
          <w:iCs/>
        </w:rPr>
        <w:t>Absatz 5 ist nur anwendbar in Bezug auf Bestandteile, die zum Zeitpunkt des Vorgangs in einem Staat gelegen sind, mit dem Belgien eine Vereinbarung oder ein Abkommen abgeschlossen hat oder der zusammen mit Belgien zu den Parteien eines anderen bilateralen oder multilateralen Rechtsinstruments gehört, sofern dieses Abkommen, diese Vereinbarung oder dieses Rechtsinstrument den Informationsaustausch im Hinblick auf die Anwendung des innerstaatlichen Rechts der Vertragsstaaten ermöglicht.</w:t>
      </w:r>
    </w:p>
    <w:p w14:paraId="593635C3" w14:textId="77777777" w:rsidR="00D02E35" w:rsidRPr="009118AB" w:rsidRDefault="00D02E35" w:rsidP="00D02E35">
      <w:pPr>
        <w:autoSpaceDE w:val="0"/>
        <w:autoSpaceDN w:val="0"/>
        <w:adjustRightInd w:val="0"/>
        <w:jc w:val="both"/>
        <w:rPr>
          <w:iCs/>
        </w:rPr>
      </w:pPr>
    </w:p>
    <w:p w14:paraId="0FB96477" w14:textId="77777777" w:rsidR="00D02E35" w:rsidRPr="009118AB" w:rsidRDefault="004E4B0C" w:rsidP="00D02E35">
      <w:pPr>
        <w:autoSpaceDE w:val="0"/>
        <w:autoSpaceDN w:val="0"/>
        <w:adjustRightInd w:val="0"/>
        <w:jc w:val="both"/>
        <w:rPr>
          <w:iCs/>
        </w:rPr>
      </w:pPr>
      <w:r w:rsidRPr="009118AB">
        <w:rPr>
          <w:iCs/>
        </w:rPr>
        <w:tab/>
      </w:r>
      <w:r w:rsidR="00D02E35" w:rsidRPr="009118AB">
        <w:rPr>
          <w:iCs/>
        </w:rPr>
        <w:t>Ist Absatz 5 nicht anwendbar, wird außer bei Beweis des Gegenteils davon ausgegangen, dass der Realwert der in den Absätzen 1 bis 3 erwähnten Bestandteile ihrem Anschaffungs- oder Investitionswert entspricht, verringert um die Wertminderungen und Abschreibungen, die gemäß den Bestimmungen des vorliegenden Gesetzbuches verzeichnet werden können.]</w:t>
      </w:r>
    </w:p>
    <w:p w14:paraId="564FEEEA" w14:textId="77777777" w:rsidR="00D02E35" w:rsidRPr="009118AB" w:rsidRDefault="00D02E35" w:rsidP="0067474A">
      <w:pPr>
        <w:autoSpaceDE w:val="0"/>
        <w:autoSpaceDN w:val="0"/>
        <w:adjustRightInd w:val="0"/>
        <w:jc w:val="both"/>
        <w:rPr>
          <w:iCs/>
        </w:rPr>
      </w:pPr>
    </w:p>
    <w:p w14:paraId="538D5E00" w14:textId="396E463C" w:rsidR="0067474A" w:rsidRPr="009118AB" w:rsidRDefault="004E4B0C" w:rsidP="0067474A">
      <w:pPr>
        <w:autoSpaceDE w:val="0"/>
        <w:autoSpaceDN w:val="0"/>
        <w:adjustRightInd w:val="0"/>
        <w:jc w:val="both"/>
        <w:rPr>
          <w:iCs/>
        </w:rPr>
      </w:pPr>
      <w:r w:rsidRPr="009118AB">
        <w:rPr>
          <w:iCs/>
        </w:rPr>
        <w:tab/>
      </w:r>
      <w:r w:rsidR="00D02E35" w:rsidRPr="009118AB">
        <w:rPr>
          <w:iCs/>
        </w:rPr>
        <w:t xml:space="preserve">[Außer wenn die Gesellschaft in einem Mitgliedstaat der Europäischen Union ansässig ist und dort den Bestimmungen des allgemeinen Rechts in Bezug auf Steuern unterliegt, ist Absatz 2 nicht anwendbar, wenn die Verlegung eine in Artikel 203 </w:t>
      </w:r>
      <w:r w:rsidR="00D67EB8" w:rsidRPr="009118AB">
        <w:rPr>
          <w:iCs/>
        </w:rPr>
        <w:t>§ </w:t>
      </w:r>
      <w:r w:rsidR="00D02E35" w:rsidRPr="009118AB">
        <w:rPr>
          <w:iCs/>
        </w:rPr>
        <w:t xml:space="preserve">1 Absatz 1 </w:t>
      </w:r>
      <w:r w:rsidR="00D67EB8" w:rsidRPr="009118AB">
        <w:rPr>
          <w:iCs/>
        </w:rPr>
        <w:t>Nr. </w:t>
      </w:r>
      <w:r w:rsidR="00D02E35" w:rsidRPr="009118AB">
        <w:rPr>
          <w:iCs/>
        </w:rPr>
        <w:t>1 erwähnte Gesellschaft betrifft. In diesem Fall werden zu einem späteren Zeitpunkt verwirklichte Wertminderungen und Mehr- und Minderwerte, die sich auf diese Aktiva beziehen, auf der Grundlage ihres Anschaffungs- oder Investitionswertes bestimmt, verringert um die Abschreibungen und Wertminderungen, die gemäß den Bestimmungen des vorliegenden Gesetzbuches berücksichtigt worden wären, und werden die Abschreibungen in Bezug auf die zum Zeitpunkt des Vorgangs im Ausland gelegenen Bestandteile nur in dem Maße berücksichtigt, wie sie auf dem Anschaffungs- oder Investitionswert beruhen.]</w:t>
      </w:r>
    </w:p>
    <w:p w14:paraId="715BFB6A" w14:textId="77777777" w:rsidR="0067474A" w:rsidRPr="009118AB" w:rsidRDefault="0067474A" w:rsidP="0067474A">
      <w:pPr>
        <w:autoSpaceDE w:val="0"/>
        <w:autoSpaceDN w:val="0"/>
        <w:adjustRightInd w:val="0"/>
        <w:jc w:val="both"/>
        <w:rPr>
          <w:iCs/>
        </w:rPr>
      </w:pPr>
    </w:p>
    <w:p w14:paraId="70C91468" w14:textId="19A13B96" w:rsidR="0067474A" w:rsidRPr="009118AB" w:rsidRDefault="004E4B0C" w:rsidP="0067474A">
      <w:pPr>
        <w:autoSpaceDE w:val="0"/>
        <w:autoSpaceDN w:val="0"/>
        <w:adjustRightInd w:val="0"/>
        <w:jc w:val="both"/>
        <w:rPr>
          <w:iCs/>
        </w:rPr>
      </w:pPr>
      <w:r w:rsidRPr="009118AB">
        <w:rPr>
          <w:iCs/>
        </w:rPr>
        <w:tab/>
      </w:r>
      <w:r w:rsidR="0067474A" w:rsidRPr="009118AB">
        <w:rPr>
          <w:iCs/>
        </w:rPr>
        <w:t>In den in Absatz 2 erwähnten Fällen bleiben</w:t>
      </w:r>
      <w:r w:rsidR="00D67EB8" w:rsidRPr="009118AB">
        <w:rPr>
          <w:iCs/>
        </w:rPr>
        <w:t> - </w:t>
      </w:r>
      <w:r w:rsidR="0067474A" w:rsidRPr="009118AB">
        <w:rPr>
          <w:iCs/>
        </w:rPr>
        <w:t>was die Niederlassung und die Bestand</w:t>
      </w:r>
      <w:r w:rsidR="0067474A" w:rsidRPr="009118AB">
        <w:rPr>
          <w:iCs/>
        </w:rPr>
        <w:softHyphen/>
        <w:t>teile betrifft, die in diesem Absatz erwähnt sind</w:t>
      </w:r>
      <w:r w:rsidR="00D67EB8" w:rsidRPr="009118AB">
        <w:rPr>
          <w:iCs/>
        </w:rPr>
        <w:t> - </w:t>
      </w:r>
      <w:r w:rsidR="0067474A" w:rsidRPr="009118AB">
        <w:rPr>
          <w:iCs/>
        </w:rPr>
        <w:t>die Bestimmungen des vorliegenden Gesetzbuches auf die Weise und unter den Bedingungen, die darin vorgesehen sind, anwendbar auf Wertminderungen, Rückstellungen, Unterbewertungen, Überbewertungen, Kapitalzuschüsse, Forderungen, Mehrwerte und Rücklagen in Bezug auf die belgische Niederlassung oder die in Belgien gelegenen Bestandteile der Gesellschaft vor der Verlegung ihres Sitzes nach Belgien. Die Verlegung darf keine Verlängerung der ursprünglich vorgesehenen Wiederanlagefrist der Mehrwerte, die diesen Bedingungen unterliegen, zur Folge haben.</w:t>
      </w:r>
    </w:p>
    <w:p w14:paraId="6D20C035" w14:textId="77777777" w:rsidR="0067474A" w:rsidRPr="009118AB" w:rsidRDefault="0067474A" w:rsidP="0067474A">
      <w:pPr>
        <w:autoSpaceDE w:val="0"/>
        <w:autoSpaceDN w:val="0"/>
        <w:adjustRightInd w:val="0"/>
        <w:jc w:val="both"/>
        <w:rPr>
          <w:iCs/>
        </w:rPr>
      </w:pPr>
    </w:p>
    <w:p w14:paraId="1C7A96C9" w14:textId="6AEDF3A3" w:rsidR="0067474A" w:rsidRPr="009118AB" w:rsidRDefault="004E4B0C" w:rsidP="0067474A">
      <w:pPr>
        <w:autoSpaceDE w:val="0"/>
        <w:autoSpaceDN w:val="0"/>
        <w:adjustRightInd w:val="0"/>
        <w:jc w:val="both"/>
        <w:rPr>
          <w:iCs/>
        </w:rPr>
      </w:pPr>
      <w:r w:rsidRPr="009118AB">
        <w:rPr>
          <w:iCs/>
        </w:rPr>
        <w:tab/>
      </w:r>
      <w:r w:rsidR="0067474A" w:rsidRPr="009118AB">
        <w:rPr>
          <w:iCs/>
        </w:rPr>
        <w:t xml:space="preserve">Sofern Mehrwerte, was in Belgien genutzte oder gelegene Bestandteile betrifft, anlässlich einer in Absatz 2 erwähnten Verlegung aufgezeichnet werden, werden sie mit den in Artikel 44 </w:t>
      </w:r>
      <w:r w:rsidR="00D67EB8" w:rsidRPr="009118AB">
        <w:rPr>
          <w:iCs/>
        </w:rPr>
        <w:t>§ </w:t>
      </w:r>
      <w:r w:rsidR="0067474A" w:rsidRPr="009118AB">
        <w:rPr>
          <w:iCs/>
        </w:rPr>
        <w:t xml:space="preserve">1 </w:t>
      </w:r>
      <w:r w:rsidR="00D67EB8" w:rsidRPr="009118AB">
        <w:rPr>
          <w:iCs/>
        </w:rPr>
        <w:t>Nr. </w:t>
      </w:r>
      <w:r w:rsidR="0067474A" w:rsidRPr="009118AB">
        <w:rPr>
          <w:iCs/>
        </w:rPr>
        <w:t>1 erwähnten aufgezeichneten, nicht verwirklichten Mehrwerten gleich</w:t>
      </w:r>
      <w:r w:rsidR="0067474A" w:rsidRPr="009118AB">
        <w:rPr>
          <w:iCs/>
        </w:rPr>
        <w:softHyphen/>
        <w:t>gesetzt.</w:t>
      </w:r>
    </w:p>
    <w:p w14:paraId="25F7554B" w14:textId="77777777" w:rsidR="0067474A" w:rsidRPr="009118AB" w:rsidRDefault="0067474A" w:rsidP="0067474A">
      <w:pPr>
        <w:autoSpaceDE w:val="0"/>
        <w:autoSpaceDN w:val="0"/>
        <w:adjustRightInd w:val="0"/>
        <w:jc w:val="both"/>
        <w:rPr>
          <w:iCs/>
        </w:rPr>
      </w:pPr>
    </w:p>
    <w:p w14:paraId="1C8FE189" w14:textId="77777777" w:rsidR="0067474A" w:rsidRPr="009118AB" w:rsidRDefault="004E4B0C" w:rsidP="0067474A">
      <w:pPr>
        <w:autoSpaceDE w:val="0"/>
        <w:autoSpaceDN w:val="0"/>
        <w:adjustRightInd w:val="0"/>
        <w:jc w:val="both"/>
        <w:rPr>
          <w:iCs/>
        </w:rPr>
      </w:pPr>
      <w:r w:rsidRPr="009118AB">
        <w:rPr>
          <w:iCs/>
        </w:rPr>
        <w:tab/>
      </w:r>
      <w:r w:rsidR="00D02E35" w:rsidRPr="009118AB">
        <w:rPr>
          <w:iCs/>
        </w:rPr>
        <w:t>[Ist Absatz 5 nicht anwendbar, werden Abschreibungen in Bezug auf die zum Zeitpunkt des Vorgangs im Ausland gelegenen Bestandteile in Abweichung von den Absätzen 1 bis 3 jedoch nur in dem Maße berücksichtigt, wie sie auf dem Anschaffungs- oder Investitionswert beruhen, und werden zu einem späteren Zeitpunkt verwirklichte Minderwerte oder Wertminderungen auf diese Bestandteile auf der Grundlage ihres Anschaffungs- oder Investitionswertes bestimmt, verringert um die Wertminderungen und Abschreibungen, die gemäß den Bestimmungen des vorliegenden Gesetzbuches verzeichnet worden sind.]</w:t>
      </w:r>
    </w:p>
    <w:p w14:paraId="56CBFC97" w14:textId="77777777" w:rsidR="0067474A" w:rsidRPr="009118AB" w:rsidRDefault="0067474A" w:rsidP="0067474A">
      <w:pPr>
        <w:autoSpaceDE w:val="0"/>
        <w:autoSpaceDN w:val="0"/>
        <w:adjustRightInd w:val="0"/>
        <w:jc w:val="both"/>
        <w:rPr>
          <w:iCs/>
        </w:rPr>
      </w:pPr>
    </w:p>
    <w:p w14:paraId="6A45820A" w14:textId="77777777" w:rsidR="00C42F9A" w:rsidRPr="009118AB" w:rsidRDefault="00C42F9A">
      <w:pPr>
        <w:rPr>
          <w:iCs/>
        </w:rPr>
      </w:pPr>
      <w:r w:rsidRPr="009118AB">
        <w:rPr>
          <w:iCs/>
        </w:rPr>
        <w:br w:type="page"/>
      </w:r>
    </w:p>
    <w:p w14:paraId="6AA6130E" w14:textId="603D4031" w:rsidR="0067474A" w:rsidRPr="009118AB" w:rsidRDefault="004E4B0C" w:rsidP="0067474A">
      <w:pPr>
        <w:autoSpaceDE w:val="0"/>
        <w:autoSpaceDN w:val="0"/>
        <w:adjustRightInd w:val="0"/>
        <w:jc w:val="both"/>
        <w:rPr>
          <w:iCs/>
        </w:rPr>
      </w:pPr>
      <w:r w:rsidRPr="009118AB">
        <w:rPr>
          <w:iCs/>
        </w:rPr>
        <w:lastRenderedPageBreak/>
        <w:tab/>
      </w:r>
      <w:r w:rsidR="00D67EB8" w:rsidRPr="009118AB">
        <w:rPr>
          <w:iCs/>
        </w:rPr>
        <w:t>§ </w:t>
      </w:r>
      <w:r w:rsidR="0067474A" w:rsidRPr="009118AB">
        <w:rPr>
          <w:iCs/>
        </w:rPr>
        <w:t>3</w:t>
      </w:r>
      <w:r w:rsidR="00D67EB8" w:rsidRPr="009118AB">
        <w:rPr>
          <w:iCs/>
        </w:rPr>
        <w:t> - </w:t>
      </w:r>
      <w:r w:rsidR="0067474A" w:rsidRPr="009118AB">
        <w:rPr>
          <w:iCs/>
        </w:rPr>
        <w:t>Der Nettosteuerwert eines Bestandteils ist der Buchwert dieses Bestandteils, korrigiert für:</w:t>
      </w:r>
    </w:p>
    <w:p w14:paraId="0035F700" w14:textId="77777777" w:rsidR="0067474A" w:rsidRPr="009118AB" w:rsidRDefault="0067474A" w:rsidP="0067474A">
      <w:pPr>
        <w:autoSpaceDE w:val="0"/>
        <w:autoSpaceDN w:val="0"/>
        <w:adjustRightInd w:val="0"/>
        <w:jc w:val="both"/>
        <w:rPr>
          <w:iCs/>
        </w:rPr>
      </w:pPr>
    </w:p>
    <w:p w14:paraId="31517898" w14:textId="4DC98CC5" w:rsidR="0067474A" w:rsidRPr="009118AB" w:rsidRDefault="004E4B0C" w:rsidP="0067474A">
      <w:pPr>
        <w:autoSpaceDE w:val="0"/>
        <w:autoSpaceDN w:val="0"/>
        <w:adjustRightInd w:val="0"/>
        <w:jc w:val="both"/>
        <w:rPr>
          <w:iCs/>
        </w:rPr>
      </w:pPr>
      <w:r w:rsidRPr="009118AB">
        <w:rPr>
          <w:iCs/>
        </w:rPr>
        <w:tab/>
      </w:r>
      <w:r w:rsidR="0067474A" w:rsidRPr="009118AB">
        <w:rPr>
          <w:iCs/>
        </w:rPr>
        <w:t>- aufgezeichnete, nicht besteuerte Mehrwerte gleich welcher Art, außer in dem Maße, wie der Betrag dieser Mehrwerte sich in den besteuerten Rücklagen befindet, weil Abschrei</w:t>
      </w:r>
      <w:r w:rsidR="0067474A" w:rsidRPr="009118AB">
        <w:rPr>
          <w:iCs/>
        </w:rPr>
        <w:softHyphen/>
        <w:t xml:space="preserve">bungen in Bezug auf diese aufgezeichneten Mehrwerte nicht als Werbungskosten zugelassen wurden, und mit Ausnahme der in Artikel 511 </w:t>
      </w:r>
      <w:r w:rsidR="00D67EB8" w:rsidRPr="009118AB">
        <w:rPr>
          <w:iCs/>
        </w:rPr>
        <w:t>§ </w:t>
      </w:r>
      <w:r w:rsidR="0067474A" w:rsidRPr="009118AB">
        <w:rPr>
          <w:iCs/>
        </w:rPr>
        <w:t>2 erwähnten Mehrwerte, die aus der Neubewertung bestimmter Aktiva hervorgehen,</w:t>
      </w:r>
    </w:p>
    <w:p w14:paraId="1D8C1E89" w14:textId="77777777" w:rsidR="0067474A" w:rsidRPr="009118AB" w:rsidRDefault="0067474A" w:rsidP="0067474A">
      <w:pPr>
        <w:autoSpaceDE w:val="0"/>
        <w:autoSpaceDN w:val="0"/>
        <w:adjustRightInd w:val="0"/>
        <w:jc w:val="both"/>
        <w:rPr>
          <w:iCs/>
        </w:rPr>
      </w:pPr>
    </w:p>
    <w:p w14:paraId="237C424A" w14:textId="77777777" w:rsidR="0067474A" w:rsidRPr="009118AB" w:rsidRDefault="004E4B0C" w:rsidP="0067474A">
      <w:pPr>
        <w:autoSpaceDE w:val="0"/>
        <w:autoSpaceDN w:val="0"/>
        <w:adjustRightInd w:val="0"/>
        <w:jc w:val="both"/>
        <w:rPr>
          <w:iCs/>
        </w:rPr>
      </w:pPr>
      <w:r w:rsidRPr="009118AB">
        <w:rPr>
          <w:iCs/>
        </w:rPr>
        <w:tab/>
      </w:r>
      <w:r w:rsidR="0067474A" w:rsidRPr="009118AB">
        <w:rPr>
          <w:iCs/>
        </w:rPr>
        <w:t>- nicht als Werbungskosten zugelassene Abschreibungen und, außer was Aktien oder Anteile betrifft, die keine eigenen Aktien oder Anteile der Gesellschaft sind, nicht zum Abzug zugelassene Wertminderungen,</w:t>
      </w:r>
    </w:p>
    <w:p w14:paraId="7107E686" w14:textId="77777777" w:rsidR="0067474A" w:rsidRPr="009118AB" w:rsidRDefault="0067474A" w:rsidP="0067474A">
      <w:pPr>
        <w:autoSpaceDE w:val="0"/>
        <w:autoSpaceDN w:val="0"/>
        <w:adjustRightInd w:val="0"/>
        <w:jc w:val="both"/>
        <w:rPr>
          <w:iCs/>
        </w:rPr>
      </w:pPr>
    </w:p>
    <w:p w14:paraId="5723941F" w14:textId="77777777" w:rsidR="0067474A" w:rsidRPr="009118AB" w:rsidRDefault="004E4B0C" w:rsidP="0067474A">
      <w:pPr>
        <w:autoSpaceDE w:val="0"/>
        <w:autoSpaceDN w:val="0"/>
        <w:adjustRightInd w:val="0"/>
        <w:jc w:val="both"/>
        <w:rPr>
          <w:iCs/>
        </w:rPr>
      </w:pPr>
      <w:r w:rsidRPr="009118AB">
        <w:rPr>
          <w:iCs/>
        </w:rPr>
        <w:tab/>
      </w:r>
      <w:r w:rsidR="0067474A" w:rsidRPr="009118AB">
        <w:rPr>
          <w:iCs/>
        </w:rPr>
        <w:t>- Unterbewertungen von Beständen oder Aktiva und Überbewertungen von Passiva, die steuerlich berücksichtigt werden.</w:t>
      </w:r>
    </w:p>
    <w:p w14:paraId="0AF64367" w14:textId="77777777" w:rsidR="0067474A" w:rsidRPr="009118AB" w:rsidRDefault="0067474A" w:rsidP="0067474A">
      <w:pPr>
        <w:autoSpaceDE w:val="0"/>
        <w:autoSpaceDN w:val="0"/>
        <w:adjustRightInd w:val="0"/>
        <w:jc w:val="both"/>
        <w:rPr>
          <w:iCs/>
        </w:rPr>
      </w:pPr>
    </w:p>
    <w:p w14:paraId="24848D9A" w14:textId="77777777" w:rsidR="0067474A" w:rsidRPr="009118AB" w:rsidRDefault="004E4B0C" w:rsidP="0067474A">
      <w:pPr>
        <w:autoSpaceDE w:val="0"/>
        <w:autoSpaceDN w:val="0"/>
        <w:adjustRightInd w:val="0"/>
        <w:jc w:val="both"/>
        <w:rPr>
          <w:iCs/>
        </w:rPr>
      </w:pPr>
      <w:r w:rsidRPr="009118AB">
        <w:rPr>
          <w:iCs/>
        </w:rPr>
        <w:tab/>
      </w:r>
      <w:r w:rsidR="0067474A" w:rsidRPr="009118AB">
        <w:rPr>
          <w:iCs/>
        </w:rPr>
        <w:t>Der vollständige Nettosteuerwert der in Absatz 1 erwähnten Bestandteile, die durch eine Gesellschaft, eine Niederlassung oder eine Einbringung übertragen werden, der an</w:t>
      </w:r>
      <w:r w:rsidR="0067474A" w:rsidRPr="009118AB">
        <w:rPr>
          <w:iCs/>
        </w:rPr>
        <w:softHyphen/>
        <w:t>lässlich einer Einbringung eines Teilbetriebs beziehungsweise eines Teils einer Tätigkeit oder eines Gesamtvermögens, einer Fusion, einer Aufspaltung oder eines damit gleichgesetzten Vorgangs bestimmt wird, wird nach Abzug aller damit verbundenen Schulden Dritten gegenüber festgelegt und entspricht der Differenz zwischen dem Steuerwert der eingebrachten Aktiva und dem Steuerwert der eingebrachten Schulden, verringert um die steuerfreien Wertminderungen für wahrscheinliche Verluste und die steuerfreien Rückstellungen für Risiken und Aufwendungen erwähnt in Artikel 48, die Rückstellung für Sozialverbindlich</w:t>
      </w:r>
      <w:r w:rsidR="0067474A" w:rsidRPr="009118AB">
        <w:rPr>
          <w:iCs/>
        </w:rPr>
        <w:softHyphen/>
        <w:t>keiten jedoch ausgenommen, sofern sie als solche in der Buchhaltung der übernehmenden oder begünstigten Gesellschaften wiederzufinden sind. Dieser vollständige Nettosteuerwert kann nicht unter null liegen.]</w:t>
      </w:r>
    </w:p>
    <w:p w14:paraId="0C3915DB" w14:textId="77777777" w:rsidR="0067474A" w:rsidRPr="009118AB" w:rsidRDefault="0067474A" w:rsidP="0067474A">
      <w:pPr>
        <w:autoSpaceDE w:val="0"/>
        <w:autoSpaceDN w:val="0"/>
        <w:adjustRightInd w:val="0"/>
        <w:jc w:val="both"/>
        <w:rPr>
          <w:iCs/>
        </w:rPr>
      </w:pPr>
    </w:p>
    <w:p w14:paraId="05081BEC" w14:textId="3AD3A5DC" w:rsidR="0067474A" w:rsidRPr="009118AB" w:rsidRDefault="0067474A" w:rsidP="0067474A">
      <w:pPr>
        <w:autoSpaceDE w:val="0"/>
        <w:autoSpaceDN w:val="0"/>
        <w:adjustRightInd w:val="0"/>
        <w:jc w:val="both"/>
        <w:rPr>
          <w:iCs/>
        </w:rPr>
      </w:pPr>
      <w:r w:rsidRPr="009118AB">
        <w:rPr>
          <w:i/>
          <w:iCs/>
        </w:rPr>
        <w:t>[</w:t>
      </w:r>
      <w:r w:rsidR="00D67EB8" w:rsidRPr="009118AB">
        <w:rPr>
          <w:i/>
          <w:iCs/>
        </w:rPr>
        <w:t>Art. </w:t>
      </w:r>
      <w:r w:rsidRPr="009118AB">
        <w:rPr>
          <w:i/>
          <w:iCs/>
        </w:rPr>
        <w:t xml:space="preserve">184ter eingefügt durch </w:t>
      </w:r>
      <w:r w:rsidR="00D67EB8" w:rsidRPr="009118AB">
        <w:rPr>
          <w:i/>
          <w:iCs/>
        </w:rPr>
        <w:t>Art. </w:t>
      </w:r>
      <w:r w:rsidRPr="009118AB">
        <w:rPr>
          <w:i/>
          <w:iCs/>
        </w:rPr>
        <w:t>14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abgeändert durch </w:t>
      </w:r>
      <w:r w:rsidR="00D67EB8" w:rsidRPr="009118AB">
        <w:rPr>
          <w:i/>
          <w:iCs/>
        </w:rPr>
        <w:t>Art. </w:t>
      </w:r>
      <w:r w:rsidRPr="009118AB">
        <w:rPr>
          <w:i/>
          <w:iCs/>
        </w:rPr>
        <w:t xml:space="preserve">17 </w:t>
      </w:r>
      <w:r w:rsidR="00D67EB8" w:rsidRPr="009118AB">
        <w:rPr>
          <w:i/>
          <w:iCs/>
        </w:rPr>
        <w:t>Nr. </w:t>
      </w:r>
      <w:r w:rsidRPr="009118AB">
        <w:rPr>
          <w:i/>
          <w:iCs/>
        </w:rPr>
        <w:t>1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D67EB8" w:rsidRPr="009118AB">
        <w:rPr>
          <w:i/>
          <w:iCs/>
        </w:rPr>
        <w:t> - </w:t>
      </w:r>
      <w:r w:rsidR="003C0B02" w:rsidRPr="009118AB">
        <w:rPr>
          <w:i/>
          <w:iCs/>
        </w:rPr>
        <w:t xml:space="preserve">und </w:t>
      </w:r>
      <w:r w:rsidR="00D67EB8" w:rsidRPr="009118AB">
        <w:rPr>
          <w:i/>
          <w:iCs/>
        </w:rPr>
        <w:t>Art. </w:t>
      </w:r>
      <w:r w:rsidR="003C0B02" w:rsidRPr="009118AB">
        <w:rPr>
          <w:i/>
          <w:iCs/>
        </w:rPr>
        <w:t xml:space="preserve">25 </w:t>
      </w:r>
      <w:r w:rsidR="00D67EB8" w:rsidRPr="009118AB">
        <w:rPr>
          <w:i/>
          <w:iCs/>
        </w:rPr>
        <w:t>Nr. </w:t>
      </w:r>
      <w:r w:rsidR="003C0B02" w:rsidRPr="009118AB">
        <w:rPr>
          <w:i/>
          <w:iCs/>
        </w:rPr>
        <w:t>1 Buchstabe a) bis c)</w:t>
      </w:r>
      <w:r w:rsidR="003C0B02" w:rsidRPr="009118AB">
        <w:rPr>
          <w:i/>
          <w:iCs/>
          <w:spacing w:val="-2"/>
        </w:rPr>
        <w:t xml:space="preserve"> des G. vom 17. März 2019 (III) (B.S. vom 10. Mai 2019)</w:t>
      </w:r>
      <w:r w:rsidR="00D67EB8" w:rsidRPr="009118AB">
        <w:rPr>
          <w:i/>
          <w:iCs/>
          <w:spacing w:val="-2"/>
        </w:rPr>
        <w:t> - </w:t>
      </w:r>
      <w:r w:rsidR="003C0B02" w:rsidRPr="009118AB">
        <w:rPr>
          <w:i/>
          <w:iCs/>
          <w:spacing w:val="-2"/>
        </w:rPr>
        <w:t>in Kraft am 1. Mai 2019</w:t>
      </w:r>
      <w:r w:rsidR="003366D9" w:rsidRPr="009118AB">
        <w:rPr>
          <w:i/>
          <w:iCs/>
          <w:spacing w:val="-2"/>
        </w:rPr>
        <w:t> -;</w:t>
      </w:r>
      <w:r w:rsidR="003C0B02" w:rsidRPr="009118AB">
        <w:rPr>
          <w:i/>
          <w:iCs/>
        </w:rPr>
        <w:t xml:space="preserve"> </w:t>
      </w:r>
      <w:r w:rsidR="00D67EB8" w:rsidRPr="009118AB">
        <w:rPr>
          <w:i/>
          <w:iCs/>
        </w:rPr>
        <w:t>§ </w:t>
      </w:r>
      <w:r w:rsidR="003C0B02" w:rsidRPr="009118AB">
        <w:rPr>
          <w:i/>
          <w:iCs/>
        </w:rPr>
        <w:t xml:space="preserve">1 </w:t>
      </w:r>
      <w:r w:rsidR="00D67EB8" w:rsidRPr="009118AB">
        <w:rPr>
          <w:i/>
          <w:iCs/>
        </w:rPr>
        <w:t>Abs. </w:t>
      </w:r>
      <w:r w:rsidR="003C0B02" w:rsidRPr="009118AB">
        <w:rPr>
          <w:i/>
          <w:iCs/>
        </w:rPr>
        <w:t xml:space="preserve">2 abgeändert durch </w:t>
      </w:r>
      <w:r w:rsidR="00D67EB8" w:rsidRPr="009118AB">
        <w:rPr>
          <w:i/>
          <w:iCs/>
        </w:rPr>
        <w:t>Art. </w:t>
      </w:r>
      <w:r w:rsidR="003C0B02" w:rsidRPr="009118AB">
        <w:rPr>
          <w:i/>
          <w:iCs/>
        </w:rPr>
        <w:t xml:space="preserve">25 </w:t>
      </w:r>
      <w:r w:rsidR="00D67EB8" w:rsidRPr="009118AB">
        <w:rPr>
          <w:i/>
          <w:iCs/>
        </w:rPr>
        <w:t>Nr. </w:t>
      </w:r>
      <w:r w:rsidR="003C0B02" w:rsidRPr="009118AB">
        <w:rPr>
          <w:i/>
          <w:iCs/>
        </w:rPr>
        <w:t>2 Buchstabe a) und b)</w:t>
      </w:r>
      <w:r w:rsidR="003C0B02" w:rsidRPr="009118AB">
        <w:rPr>
          <w:i/>
          <w:iCs/>
          <w:spacing w:val="-2"/>
        </w:rPr>
        <w:t xml:space="preserve"> des G. vom 17. März 2019 (III) (B.S. vom 10. Mai 2019)</w:t>
      </w:r>
      <w:r w:rsidR="00D67EB8" w:rsidRPr="009118AB">
        <w:rPr>
          <w:i/>
          <w:iCs/>
          <w:spacing w:val="-2"/>
        </w:rPr>
        <w:t> - </w:t>
      </w:r>
      <w:r w:rsidR="003C0B02" w:rsidRPr="009118AB">
        <w:rPr>
          <w:i/>
          <w:iCs/>
          <w:spacing w:val="-2"/>
        </w:rPr>
        <w:t>in Kraft am 1. Mai 2019</w:t>
      </w:r>
      <w:r w:rsidR="00D67EB8" w:rsidRPr="009118AB">
        <w:rPr>
          <w:i/>
          <w:iCs/>
          <w:spacing w:val="-2"/>
        </w:rPr>
        <w:t> - </w:t>
      </w:r>
      <w:r w:rsidR="00935D10" w:rsidRPr="009118AB">
        <w:rPr>
          <w:i/>
          <w:iCs/>
          <w:spacing w:val="-2"/>
        </w:rPr>
        <w:t xml:space="preserve">und </w:t>
      </w:r>
      <w:r w:rsidR="00D67EB8" w:rsidRPr="009118AB">
        <w:rPr>
          <w:i/>
          <w:iCs/>
          <w:spacing w:val="-2"/>
        </w:rPr>
        <w:t>Art. </w:t>
      </w:r>
      <w:r w:rsidR="00935D10" w:rsidRPr="009118AB">
        <w:rPr>
          <w:i/>
          <w:iCs/>
          <w:spacing w:val="-2"/>
        </w:rPr>
        <w:t>12</w:t>
      </w:r>
      <w:r w:rsidR="00935D10" w:rsidRPr="009118AB">
        <w:rPr>
          <w:i/>
        </w:rPr>
        <w:t xml:space="preserve"> des G. vom 2. Mai 2019 (III) (B.S. vom 1</w:t>
      </w:r>
      <w:r w:rsidR="004A76B1" w:rsidRPr="009118AB">
        <w:rPr>
          <w:i/>
        </w:rPr>
        <w:t>5</w:t>
      </w:r>
      <w:r w:rsidR="00935D10" w:rsidRPr="009118AB">
        <w:rPr>
          <w:i/>
        </w:rPr>
        <w:t>. Mai 2019)</w:t>
      </w:r>
      <w:r w:rsidR="003C0B02" w:rsidRPr="009118AB">
        <w:rPr>
          <w:i/>
          <w:iCs/>
          <w:spacing w:val="-2"/>
        </w:rPr>
        <w:t>;</w:t>
      </w:r>
      <w:r w:rsidR="00D02E35" w:rsidRPr="009118AB">
        <w:rPr>
          <w:i/>
          <w:iCs/>
        </w:rPr>
        <w:t xml:space="preserve"> </w:t>
      </w:r>
      <w:r w:rsidR="00D67EB8" w:rsidRPr="009118AB">
        <w:rPr>
          <w:i/>
          <w:iCs/>
        </w:rPr>
        <w:t>§ </w:t>
      </w:r>
      <w:r w:rsidR="00D02E35" w:rsidRPr="009118AB">
        <w:rPr>
          <w:i/>
          <w:iCs/>
        </w:rPr>
        <w:t xml:space="preserve">2 </w:t>
      </w:r>
      <w:r w:rsidR="00D67EB8" w:rsidRPr="009118AB">
        <w:rPr>
          <w:i/>
          <w:iCs/>
        </w:rPr>
        <w:t>Abs. </w:t>
      </w:r>
      <w:r w:rsidR="00D02E35" w:rsidRPr="009118AB">
        <w:rPr>
          <w:i/>
          <w:iCs/>
        </w:rPr>
        <w:t xml:space="preserve">1 abgeändert durch </w:t>
      </w:r>
      <w:r w:rsidR="00D67EB8" w:rsidRPr="009118AB">
        <w:rPr>
          <w:i/>
          <w:iCs/>
        </w:rPr>
        <w:t>Art. </w:t>
      </w:r>
      <w:r w:rsidR="00D02E35" w:rsidRPr="009118AB">
        <w:rPr>
          <w:i/>
          <w:iCs/>
        </w:rPr>
        <w:t xml:space="preserve">17 </w:t>
      </w:r>
      <w:r w:rsidR="00D67EB8" w:rsidRPr="009118AB">
        <w:rPr>
          <w:i/>
          <w:iCs/>
        </w:rPr>
        <w:t>Nr. </w:t>
      </w:r>
      <w:r w:rsidR="00D02E35" w:rsidRPr="009118AB">
        <w:rPr>
          <w:i/>
          <w:iCs/>
        </w:rPr>
        <w:t>2 des G. vom 25. Dezember 2017 (III) (B.S. vom 29. Dezember 2017)</w:t>
      </w:r>
      <w:r w:rsidR="00D67EB8" w:rsidRPr="009118AB">
        <w:rPr>
          <w:i/>
          <w:iCs/>
        </w:rPr>
        <w:t> - </w:t>
      </w:r>
      <w:r w:rsidR="00D02E35" w:rsidRPr="009118AB">
        <w:rPr>
          <w:i/>
          <w:iCs/>
        </w:rPr>
        <w:t>in Kraft am 1. Januar 2019 und anwendbar auf Übertragungen, die ab dem 1. Januar 2019 stattfinden</w:t>
      </w:r>
      <w:r w:rsidR="003366D9" w:rsidRPr="009118AB">
        <w:rPr>
          <w:i/>
          <w:iCs/>
        </w:rPr>
        <w:t> -;</w:t>
      </w:r>
      <w:r w:rsidR="00D02E35" w:rsidRPr="009118AB">
        <w:rPr>
          <w:i/>
          <w:iCs/>
        </w:rPr>
        <w:t xml:space="preserve"> </w:t>
      </w:r>
      <w:r w:rsidR="00D67EB8" w:rsidRPr="009118AB">
        <w:rPr>
          <w:i/>
          <w:iCs/>
        </w:rPr>
        <w:t>§ </w:t>
      </w:r>
      <w:r w:rsidR="003C0B02" w:rsidRPr="009118AB">
        <w:rPr>
          <w:i/>
          <w:iCs/>
        </w:rPr>
        <w:t xml:space="preserve">2 </w:t>
      </w:r>
      <w:r w:rsidR="00D67EB8" w:rsidRPr="009118AB">
        <w:rPr>
          <w:i/>
          <w:iCs/>
        </w:rPr>
        <w:t>Abs. </w:t>
      </w:r>
      <w:r w:rsidR="003C0B02" w:rsidRPr="009118AB">
        <w:rPr>
          <w:i/>
          <w:iCs/>
        </w:rPr>
        <w:t xml:space="preserve">2 abgeändert durch </w:t>
      </w:r>
      <w:r w:rsidR="00D67EB8" w:rsidRPr="009118AB">
        <w:rPr>
          <w:i/>
          <w:iCs/>
        </w:rPr>
        <w:t>Art. </w:t>
      </w:r>
      <w:r w:rsidR="003C0B02" w:rsidRPr="009118AB">
        <w:rPr>
          <w:i/>
          <w:iCs/>
        </w:rPr>
        <w:t xml:space="preserve">17 </w:t>
      </w:r>
      <w:r w:rsidR="00D67EB8" w:rsidRPr="009118AB">
        <w:rPr>
          <w:i/>
          <w:iCs/>
        </w:rPr>
        <w:t>Nr. </w:t>
      </w:r>
      <w:r w:rsidR="003C0B02" w:rsidRPr="009118AB">
        <w:rPr>
          <w:i/>
          <w:iCs/>
        </w:rPr>
        <w:t>2 des G. vom 25. Dezember 2017 (III) (B.S. vom 29. Dezember 2017)</w:t>
      </w:r>
      <w:r w:rsidR="00D67EB8" w:rsidRPr="009118AB">
        <w:rPr>
          <w:i/>
          <w:iCs/>
        </w:rPr>
        <w:t> - </w:t>
      </w:r>
      <w:r w:rsidR="003C0B02" w:rsidRPr="009118AB">
        <w:rPr>
          <w:i/>
          <w:iCs/>
        </w:rPr>
        <w:t>in Kraft am 1. Januar 2019 und anwendbar auf Übertragungen, die ab dem 1. Januar 2019 stattfinden</w:t>
      </w:r>
      <w:r w:rsidR="00D67EB8" w:rsidRPr="009118AB">
        <w:rPr>
          <w:i/>
          <w:iCs/>
        </w:rPr>
        <w:t> - </w:t>
      </w:r>
      <w:r w:rsidR="003C0B02" w:rsidRPr="009118AB">
        <w:rPr>
          <w:i/>
          <w:iCs/>
        </w:rPr>
        <w:t xml:space="preserve">und </w:t>
      </w:r>
      <w:r w:rsidR="00D67EB8" w:rsidRPr="009118AB">
        <w:rPr>
          <w:i/>
          <w:iCs/>
        </w:rPr>
        <w:t>Art. </w:t>
      </w:r>
      <w:r w:rsidR="003C0B02" w:rsidRPr="009118AB">
        <w:rPr>
          <w:i/>
          <w:iCs/>
        </w:rPr>
        <w:t xml:space="preserve">25 </w:t>
      </w:r>
      <w:r w:rsidR="00D67EB8" w:rsidRPr="009118AB">
        <w:rPr>
          <w:i/>
          <w:iCs/>
        </w:rPr>
        <w:t>Nr. </w:t>
      </w:r>
      <w:r w:rsidR="003C0B02" w:rsidRPr="009118AB">
        <w:rPr>
          <w:i/>
          <w:iCs/>
        </w:rPr>
        <w:t>3</w:t>
      </w:r>
      <w:r w:rsidR="003C0B02" w:rsidRPr="009118AB">
        <w:rPr>
          <w:i/>
          <w:iCs/>
          <w:spacing w:val="-2"/>
        </w:rPr>
        <w:t xml:space="preserve"> des G. vom 17. März 2019 (III) (B.S. vom 10. Mai 2019)</w:t>
      </w:r>
      <w:r w:rsidR="00D67EB8" w:rsidRPr="009118AB">
        <w:rPr>
          <w:i/>
          <w:iCs/>
          <w:spacing w:val="-2"/>
        </w:rPr>
        <w:t> - </w:t>
      </w:r>
      <w:r w:rsidR="003C0B02" w:rsidRPr="009118AB">
        <w:rPr>
          <w:i/>
          <w:iCs/>
          <w:spacing w:val="-2"/>
        </w:rPr>
        <w:t>in Kraft am 1. Mai 2019</w:t>
      </w:r>
      <w:r w:rsidR="003366D9" w:rsidRPr="009118AB">
        <w:rPr>
          <w:i/>
          <w:iCs/>
          <w:spacing w:val="-2"/>
        </w:rPr>
        <w:t> -;</w:t>
      </w:r>
      <w:r w:rsidR="003C0B02" w:rsidRPr="009118AB">
        <w:rPr>
          <w:i/>
          <w:iCs/>
        </w:rPr>
        <w:t xml:space="preserve"> </w:t>
      </w:r>
      <w:r w:rsidR="00D67EB8" w:rsidRPr="009118AB">
        <w:rPr>
          <w:i/>
          <w:iCs/>
        </w:rPr>
        <w:t>§ </w:t>
      </w:r>
      <w:r w:rsidR="00D02E35" w:rsidRPr="009118AB">
        <w:rPr>
          <w:i/>
          <w:iCs/>
        </w:rPr>
        <w:t>2 neue</w:t>
      </w:r>
      <w:r w:rsidR="003C0B02" w:rsidRPr="009118AB">
        <w:rPr>
          <w:i/>
          <w:iCs/>
        </w:rPr>
        <w:t>r</w:t>
      </w:r>
      <w:r w:rsidR="00D02E35" w:rsidRPr="009118AB">
        <w:rPr>
          <w:i/>
          <w:iCs/>
        </w:rPr>
        <w:t xml:space="preserve"> Abs</w:t>
      </w:r>
      <w:r w:rsidR="003C0B02" w:rsidRPr="009118AB">
        <w:rPr>
          <w:i/>
          <w:iCs/>
        </w:rPr>
        <w:t>a</w:t>
      </w:r>
      <w:r w:rsidR="00D02E35" w:rsidRPr="009118AB">
        <w:rPr>
          <w:i/>
          <w:iCs/>
        </w:rPr>
        <w:t>tz 3</w:t>
      </w:r>
      <w:r w:rsidR="003C0B02" w:rsidRPr="009118AB">
        <w:rPr>
          <w:i/>
          <w:iCs/>
        </w:rPr>
        <w:t xml:space="preserve"> </w:t>
      </w:r>
      <w:r w:rsidR="00D02E35" w:rsidRPr="009118AB">
        <w:rPr>
          <w:i/>
          <w:iCs/>
        </w:rPr>
        <w:t xml:space="preserve">eingefügt durch </w:t>
      </w:r>
      <w:r w:rsidR="00D67EB8" w:rsidRPr="009118AB">
        <w:rPr>
          <w:i/>
          <w:iCs/>
        </w:rPr>
        <w:t>Art. </w:t>
      </w:r>
      <w:r w:rsidR="00D02E35" w:rsidRPr="009118AB">
        <w:rPr>
          <w:i/>
          <w:iCs/>
        </w:rPr>
        <w:t xml:space="preserve">17 </w:t>
      </w:r>
      <w:r w:rsidR="00D67EB8" w:rsidRPr="009118AB">
        <w:rPr>
          <w:i/>
          <w:iCs/>
        </w:rPr>
        <w:t>Nr. </w:t>
      </w:r>
      <w:r w:rsidR="00D02E35" w:rsidRPr="009118AB">
        <w:rPr>
          <w:i/>
          <w:iCs/>
        </w:rPr>
        <w:t>3 des G. vom 25. Dezember 2017 (III) (B.S. vom 29. Dezember 2017)</w:t>
      </w:r>
      <w:r w:rsidR="00D67EB8" w:rsidRPr="009118AB">
        <w:rPr>
          <w:i/>
          <w:iCs/>
        </w:rPr>
        <w:t> - </w:t>
      </w:r>
      <w:r w:rsidR="00D02E35" w:rsidRPr="009118AB">
        <w:rPr>
          <w:i/>
          <w:iCs/>
        </w:rPr>
        <w:t>in Kraft am 1. Januar 2019 und anwendbar auf Übertragungen, die ab dem 1. Januar 2019 stattfinden</w:t>
      </w:r>
      <w:r w:rsidR="00D67EB8" w:rsidRPr="009118AB">
        <w:rPr>
          <w:i/>
          <w:iCs/>
        </w:rPr>
        <w:t> - </w:t>
      </w:r>
      <w:r w:rsidR="003C0B02" w:rsidRPr="009118AB">
        <w:rPr>
          <w:i/>
          <w:iCs/>
        </w:rPr>
        <w:t xml:space="preserve">und abgeändert durch </w:t>
      </w:r>
      <w:r w:rsidR="00D67EB8" w:rsidRPr="009118AB">
        <w:rPr>
          <w:i/>
          <w:iCs/>
        </w:rPr>
        <w:t>Art. </w:t>
      </w:r>
      <w:r w:rsidR="003C0B02" w:rsidRPr="009118AB">
        <w:rPr>
          <w:i/>
          <w:iCs/>
        </w:rPr>
        <w:t xml:space="preserve">25 </w:t>
      </w:r>
      <w:r w:rsidR="00D67EB8" w:rsidRPr="009118AB">
        <w:rPr>
          <w:i/>
          <w:iCs/>
        </w:rPr>
        <w:t>Nr. </w:t>
      </w:r>
      <w:r w:rsidR="003C0B02" w:rsidRPr="009118AB">
        <w:rPr>
          <w:i/>
          <w:iCs/>
        </w:rPr>
        <w:t>4</w:t>
      </w:r>
      <w:r w:rsidR="003C0B02" w:rsidRPr="009118AB">
        <w:rPr>
          <w:i/>
          <w:iCs/>
          <w:spacing w:val="-2"/>
        </w:rPr>
        <w:t xml:space="preserve"> des G. vom 17. März 2019 (III) (B.S. vom 10. Mai 2019)</w:t>
      </w:r>
      <w:r w:rsidR="00D67EB8" w:rsidRPr="009118AB">
        <w:rPr>
          <w:i/>
          <w:iCs/>
          <w:spacing w:val="-2"/>
        </w:rPr>
        <w:t> - </w:t>
      </w:r>
      <w:r w:rsidR="003C0B02" w:rsidRPr="009118AB">
        <w:rPr>
          <w:i/>
          <w:iCs/>
          <w:spacing w:val="-2"/>
        </w:rPr>
        <w:t>in Kraft am 1. Mai 2019</w:t>
      </w:r>
      <w:r w:rsidR="003366D9" w:rsidRPr="009118AB">
        <w:rPr>
          <w:i/>
          <w:iCs/>
          <w:spacing w:val="-2"/>
        </w:rPr>
        <w:t> -;</w:t>
      </w:r>
      <w:r w:rsidR="00D02E35" w:rsidRPr="009118AB">
        <w:rPr>
          <w:i/>
          <w:iCs/>
        </w:rPr>
        <w:t xml:space="preserve"> </w:t>
      </w:r>
      <w:r w:rsidR="00D67EB8" w:rsidRPr="009118AB">
        <w:rPr>
          <w:i/>
          <w:iCs/>
        </w:rPr>
        <w:t>§ </w:t>
      </w:r>
      <w:r w:rsidR="003C0B02" w:rsidRPr="009118AB">
        <w:rPr>
          <w:i/>
          <w:iCs/>
        </w:rPr>
        <w:t xml:space="preserve">2 neue Absätze 4 bis 7 eingefügt durch </w:t>
      </w:r>
      <w:r w:rsidR="00D67EB8" w:rsidRPr="009118AB">
        <w:rPr>
          <w:i/>
          <w:iCs/>
        </w:rPr>
        <w:t>Art. </w:t>
      </w:r>
      <w:r w:rsidR="003C0B02" w:rsidRPr="009118AB">
        <w:rPr>
          <w:i/>
          <w:iCs/>
        </w:rPr>
        <w:t xml:space="preserve">17 </w:t>
      </w:r>
      <w:r w:rsidR="00D67EB8" w:rsidRPr="009118AB">
        <w:rPr>
          <w:i/>
          <w:iCs/>
        </w:rPr>
        <w:t>Nr. </w:t>
      </w:r>
      <w:r w:rsidR="003C0B02" w:rsidRPr="009118AB">
        <w:rPr>
          <w:i/>
          <w:iCs/>
        </w:rPr>
        <w:t>3 des G. vom 25. Dezember 2017 (III) (B.S. vom 29. Dezember 2017)</w:t>
      </w:r>
      <w:r w:rsidR="00D67EB8" w:rsidRPr="009118AB">
        <w:rPr>
          <w:i/>
          <w:iCs/>
        </w:rPr>
        <w:t> - </w:t>
      </w:r>
      <w:r w:rsidR="003C0B02" w:rsidRPr="009118AB">
        <w:rPr>
          <w:i/>
          <w:iCs/>
        </w:rPr>
        <w:t xml:space="preserve">in Kraft am 1. Januar 2019 und anwendbar auf Übertragungen, die ab </w:t>
      </w:r>
      <w:r w:rsidR="003C0B02" w:rsidRPr="009118AB">
        <w:rPr>
          <w:i/>
          <w:iCs/>
        </w:rPr>
        <w:lastRenderedPageBreak/>
        <w:t>dem 1. Januar 2019 stattfinden</w:t>
      </w:r>
      <w:r w:rsidR="003366D9" w:rsidRPr="009118AB">
        <w:rPr>
          <w:i/>
          <w:iCs/>
        </w:rPr>
        <w:t> -;</w:t>
      </w:r>
      <w:r w:rsidR="003C0B02" w:rsidRPr="009118AB">
        <w:rPr>
          <w:i/>
          <w:iCs/>
        </w:rPr>
        <w:t xml:space="preserve"> </w:t>
      </w:r>
      <w:r w:rsidR="00D67EB8" w:rsidRPr="009118AB">
        <w:rPr>
          <w:i/>
          <w:iCs/>
        </w:rPr>
        <w:t>§ </w:t>
      </w:r>
      <w:r w:rsidR="00D02E35" w:rsidRPr="009118AB">
        <w:rPr>
          <w:i/>
          <w:iCs/>
        </w:rPr>
        <w:t xml:space="preserve">2 </w:t>
      </w:r>
      <w:r w:rsidR="00D67EB8" w:rsidRPr="009118AB">
        <w:rPr>
          <w:i/>
          <w:iCs/>
        </w:rPr>
        <w:t>Abs. </w:t>
      </w:r>
      <w:r w:rsidR="00D02E35" w:rsidRPr="009118AB">
        <w:rPr>
          <w:i/>
          <w:iCs/>
        </w:rPr>
        <w:t xml:space="preserve">8 ersetzt durch </w:t>
      </w:r>
      <w:r w:rsidR="00D67EB8" w:rsidRPr="009118AB">
        <w:rPr>
          <w:i/>
          <w:iCs/>
        </w:rPr>
        <w:t>Art. </w:t>
      </w:r>
      <w:r w:rsidR="00D02E35" w:rsidRPr="009118AB">
        <w:rPr>
          <w:i/>
          <w:iCs/>
        </w:rPr>
        <w:t xml:space="preserve">17 </w:t>
      </w:r>
      <w:r w:rsidR="00D67EB8" w:rsidRPr="009118AB">
        <w:rPr>
          <w:i/>
          <w:iCs/>
        </w:rPr>
        <w:t>Nr. </w:t>
      </w:r>
      <w:r w:rsidR="00D02E35" w:rsidRPr="009118AB">
        <w:rPr>
          <w:i/>
          <w:iCs/>
        </w:rPr>
        <w:t>4 des G. vom 25. Dezember 2017 (III) (B.S. vom 29. Dezember 2017)</w:t>
      </w:r>
      <w:r w:rsidR="00D67EB8" w:rsidRPr="009118AB">
        <w:rPr>
          <w:i/>
          <w:iCs/>
        </w:rPr>
        <w:t> - </w:t>
      </w:r>
      <w:r w:rsidR="00D02E35" w:rsidRPr="009118AB">
        <w:rPr>
          <w:i/>
          <w:iCs/>
        </w:rPr>
        <w:t>in Kraft am 1. Januar 2019 und anwendbar auf Übertragungen, die ab dem 1. Januar 2019 stattfinden</w:t>
      </w:r>
      <w:r w:rsidR="003366D9" w:rsidRPr="009118AB">
        <w:rPr>
          <w:i/>
          <w:iCs/>
        </w:rPr>
        <w:t> -;</w:t>
      </w:r>
      <w:r w:rsidR="00D02E35" w:rsidRPr="009118AB">
        <w:rPr>
          <w:i/>
          <w:iCs/>
        </w:rPr>
        <w:t xml:space="preserve"> </w:t>
      </w:r>
      <w:r w:rsidR="00D67EB8" w:rsidRPr="009118AB">
        <w:rPr>
          <w:i/>
          <w:iCs/>
        </w:rPr>
        <w:t>§ </w:t>
      </w:r>
      <w:r w:rsidR="00D02E35" w:rsidRPr="009118AB">
        <w:rPr>
          <w:i/>
          <w:iCs/>
        </w:rPr>
        <w:t xml:space="preserve">2 </w:t>
      </w:r>
      <w:r w:rsidR="00D67EB8" w:rsidRPr="009118AB">
        <w:rPr>
          <w:i/>
          <w:iCs/>
        </w:rPr>
        <w:t>Abs. </w:t>
      </w:r>
      <w:r w:rsidR="00D02E35" w:rsidRPr="009118AB">
        <w:rPr>
          <w:i/>
          <w:iCs/>
        </w:rPr>
        <w:t xml:space="preserve">11 ersetzt durch </w:t>
      </w:r>
      <w:r w:rsidR="00D67EB8" w:rsidRPr="009118AB">
        <w:rPr>
          <w:i/>
          <w:iCs/>
        </w:rPr>
        <w:t>Art. </w:t>
      </w:r>
      <w:r w:rsidR="00D02E35" w:rsidRPr="009118AB">
        <w:rPr>
          <w:i/>
          <w:iCs/>
        </w:rPr>
        <w:t xml:space="preserve">17 </w:t>
      </w:r>
      <w:r w:rsidR="00D67EB8" w:rsidRPr="009118AB">
        <w:rPr>
          <w:i/>
          <w:iCs/>
        </w:rPr>
        <w:t>Nr. </w:t>
      </w:r>
      <w:r w:rsidR="00D02E35" w:rsidRPr="009118AB">
        <w:rPr>
          <w:i/>
          <w:iCs/>
        </w:rPr>
        <w:t>5 des G. vom 25. Dezember 2017 (III) (B.S. vom 29. Dezember 2017)</w:t>
      </w:r>
      <w:r w:rsidR="00D67EB8" w:rsidRPr="009118AB">
        <w:rPr>
          <w:i/>
          <w:iCs/>
        </w:rPr>
        <w:t> - </w:t>
      </w:r>
      <w:r w:rsidR="00D02E35" w:rsidRPr="009118AB">
        <w:rPr>
          <w:i/>
          <w:iCs/>
        </w:rPr>
        <w:t>in Kraft am 1. Januar 2019 und anwendbar auf Übertragungen, die ab dem 1. Januar 2019 stattfinden</w:t>
      </w:r>
      <w:r w:rsidR="00FD68E8" w:rsidRPr="009118AB">
        <w:rPr>
          <w:i/>
          <w:iCs/>
        </w:rPr>
        <w:t> -]</w:t>
      </w:r>
    </w:p>
    <w:p w14:paraId="2323EA67" w14:textId="77777777" w:rsidR="00731CE8" w:rsidRPr="009118AB" w:rsidRDefault="00731CE8" w:rsidP="00AB4706">
      <w:pPr>
        <w:autoSpaceDE w:val="0"/>
        <w:autoSpaceDN w:val="0"/>
        <w:adjustRightInd w:val="0"/>
        <w:jc w:val="both"/>
        <w:rPr>
          <w:iCs/>
        </w:rPr>
      </w:pPr>
    </w:p>
    <w:p w14:paraId="33E437B4" w14:textId="77777777" w:rsidR="00D02E35" w:rsidRPr="009118AB" w:rsidRDefault="00D02E35" w:rsidP="00AB4706">
      <w:pPr>
        <w:autoSpaceDE w:val="0"/>
        <w:autoSpaceDN w:val="0"/>
        <w:adjustRightInd w:val="0"/>
        <w:jc w:val="both"/>
        <w:rPr>
          <w:iCs/>
        </w:rPr>
      </w:pPr>
    </w:p>
    <w:p w14:paraId="5539B667" w14:textId="6851DAD7" w:rsidR="00731CE8" w:rsidRPr="009118AB" w:rsidRDefault="00731CE8" w:rsidP="00731CE8">
      <w:pPr>
        <w:ind w:firstLine="708"/>
        <w:jc w:val="both"/>
      </w:pPr>
      <w:r w:rsidRPr="009118AB">
        <w:rPr>
          <w:iCs/>
        </w:rPr>
        <w:tab/>
        <w:t>[</w:t>
      </w:r>
      <w:r w:rsidR="00D67EB8" w:rsidRPr="009118AB">
        <w:rPr>
          <w:b/>
        </w:rPr>
        <w:t>Art. </w:t>
      </w:r>
      <w:r w:rsidRPr="009118AB">
        <w:rPr>
          <w:b/>
        </w:rPr>
        <w:t>184</w:t>
      </w:r>
      <w:r w:rsidRPr="009118AB">
        <w:rPr>
          <w:b/>
          <w:i/>
        </w:rPr>
        <w:t>quater</w:t>
      </w:r>
      <w:r w:rsidR="00D67EB8" w:rsidRPr="009118AB">
        <w:t> - </w:t>
      </w:r>
      <w:r w:rsidRPr="009118AB">
        <w:t xml:space="preserve">Gesellschaften, die </w:t>
      </w:r>
      <w:r w:rsidR="007131B9" w:rsidRPr="009118AB">
        <w:t>[...</w:t>
      </w:r>
      <w:r w:rsidR="00715690" w:rsidRPr="009118AB">
        <w:t>]</w:t>
      </w:r>
      <w:r w:rsidRPr="009118AB">
        <w:t xml:space="preserve"> als kleine Gesellschaften gelten, können eine Liquidationsrücklage bilden.</w:t>
      </w:r>
    </w:p>
    <w:p w14:paraId="2217683C" w14:textId="77777777" w:rsidR="00731CE8" w:rsidRPr="009118AB" w:rsidRDefault="00731CE8" w:rsidP="00731CE8">
      <w:pPr>
        <w:jc w:val="both"/>
      </w:pPr>
    </w:p>
    <w:p w14:paraId="77067EF7" w14:textId="77777777" w:rsidR="00731CE8" w:rsidRPr="009118AB" w:rsidRDefault="00731CE8" w:rsidP="00731CE8">
      <w:pPr>
        <w:ind w:firstLine="708"/>
        <w:jc w:val="both"/>
      </w:pPr>
      <w:r w:rsidRPr="009118AB">
        <w:t>Diese Liquidationsrücklage wird durch Zuweisung eines Teils oder der Gesamtheit des Buchgewinns nach Steuern an ein oder mehrere getrennte Passivkonten gebildet.</w:t>
      </w:r>
    </w:p>
    <w:p w14:paraId="4F41BA46" w14:textId="77777777" w:rsidR="00731CE8" w:rsidRPr="009118AB" w:rsidRDefault="00731CE8" w:rsidP="00731CE8">
      <w:pPr>
        <w:jc w:val="both"/>
      </w:pPr>
    </w:p>
    <w:p w14:paraId="2793E2AD" w14:textId="77777777" w:rsidR="00731CE8" w:rsidRPr="009118AB" w:rsidRDefault="00731CE8" w:rsidP="00731CE8">
      <w:pPr>
        <w:ind w:firstLine="708"/>
        <w:jc w:val="both"/>
      </w:pPr>
      <w:r w:rsidRPr="009118AB">
        <w:t>Die Liquidationsrücklage muss auf ein oder mehrere getrennte Passivkonten gebucht und dort belassen werden und darf nicht als Grundlage für irgendwelche Entlohnungen oder Zuerkennungen dienen.</w:t>
      </w:r>
    </w:p>
    <w:p w14:paraId="6F6BD91E" w14:textId="77777777" w:rsidR="00731CE8" w:rsidRPr="009118AB" w:rsidRDefault="00731CE8" w:rsidP="00731CE8">
      <w:pPr>
        <w:jc w:val="both"/>
      </w:pPr>
    </w:p>
    <w:p w14:paraId="17753EAD" w14:textId="77777777" w:rsidR="00731CE8" w:rsidRPr="009118AB" w:rsidRDefault="00731CE8" w:rsidP="00731CE8">
      <w:pPr>
        <w:ind w:firstLine="708"/>
        <w:jc w:val="both"/>
      </w:pPr>
      <w:r w:rsidRPr="009118AB">
        <w:t>Der Steuerpflichtige muss seiner Einkommensteuererklärung ab dem Steuerjahr, in dem die Liquidationsrücklage gebildet wird, eine Aufstellung beifügen, deren Muster vom Minister der Finanzen oder von seinem Beauftragten festgelegt wird.</w:t>
      </w:r>
    </w:p>
    <w:p w14:paraId="07F2202F" w14:textId="77777777" w:rsidR="00731CE8" w:rsidRPr="009118AB" w:rsidRDefault="00731CE8" w:rsidP="00731CE8">
      <w:pPr>
        <w:jc w:val="both"/>
      </w:pPr>
    </w:p>
    <w:p w14:paraId="6EC95A6D" w14:textId="77777777" w:rsidR="00731CE8" w:rsidRPr="009118AB" w:rsidRDefault="00731CE8" w:rsidP="00731CE8">
      <w:pPr>
        <w:autoSpaceDE w:val="0"/>
        <w:autoSpaceDN w:val="0"/>
        <w:adjustRightInd w:val="0"/>
        <w:jc w:val="both"/>
      </w:pPr>
      <w:r w:rsidRPr="009118AB">
        <w:tab/>
        <w:t>Wird ein Teil der Liquidationsrücklage zurückgenommen, wird davon ausgegangen, dass die ältesten Rücklagen als Erstes zurückgenommen werden.]</w:t>
      </w:r>
    </w:p>
    <w:p w14:paraId="3D9F0002" w14:textId="77777777" w:rsidR="00731CE8" w:rsidRPr="009118AB" w:rsidRDefault="00731CE8" w:rsidP="00731CE8">
      <w:pPr>
        <w:autoSpaceDE w:val="0"/>
        <w:autoSpaceDN w:val="0"/>
        <w:adjustRightInd w:val="0"/>
        <w:jc w:val="both"/>
      </w:pPr>
    </w:p>
    <w:p w14:paraId="17D022AC" w14:textId="76183FD5" w:rsidR="00731CE8" w:rsidRPr="009118AB" w:rsidRDefault="00731CE8" w:rsidP="00096F9C">
      <w:pPr>
        <w:autoSpaceDE w:val="0"/>
        <w:autoSpaceDN w:val="0"/>
        <w:adjustRightInd w:val="0"/>
        <w:jc w:val="both"/>
        <w:rPr>
          <w:spacing w:val="-1"/>
        </w:rPr>
      </w:pPr>
      <w:r w:rsidRPr="009118AB">
        <w:rPr>
          <w:i/>
        </w:rPr>
        <w:t>[</w:t>
      </w:r>
      <w:r w:rsidR="00D67EB8" w:rsidRPr="009118AB">
        <w:rPr>
          <w:i/>
        </w:rPr>
        <w:t>Art. </w:t>
      </w:r>
      <w:r w:rsidRPr="009118AB">
        <w:rPr>
          <w:i/>
        </w:rPr>
        <w:t xml:space="preserve">184quater eingefügt durch </w:t>
      </w:r>
      <w:r w:rsidR="00D67EB8" w:rsidRPr="009118AB">
        <w:rPr>
          <w:i/>
        </w:rPr>
        <w:t>Art. </w:t>
      </w:r>
      <w:r w:rsidRPr="009118AB">
        <w:rPr>
          <w:i/>
        </w:rPr>
        <w:t>44</w:t>
      </w:r>
      <w:r w:rsidRPr="009118AB">
        <w:rPr>
          <w:i/>
          <w:iCs/>
        </w:rPr>
        <w:t xml:space="preserve"> </w:t>
      </w:r>
      <w:r w:rsidRPr="009118AB">
        <w:rPr>
          <w:i/>
          <w:iCs/>
          <w:spacing w:val="-1"/>
        </w:rPr>
        <w:t>des G. vom 19. Dezember 2014 (B.S. vom 29. Dezember 2014)</w:t>
      </w:r>
      <w:r w:rsidR="00D67EB8" w:rsidRPr="009118AB">
        <w:rPr>
          <w:i/>
          <w:iCs/>
          <w:spacing w:val="-1"/>
        </w:rPr>
        <w:t> - </w:t>
      </w:r>
      <w:r w:rsidRPr="009118AB">
        <w:rPr>
          <w:i/>
          <w:iCs/>
          <w:spacing w:val="-1"/>
        </w:rPr>
        <w:t xml:space="preserve">anwendbar ab dem </w:t>
      </w:r>
      <w:r w:rsidR="0009157A" w:rsidRPr="009118AB">
        <w:rPr>
          <w:i/>
          <w:iCs/>
          <w:spacing w:val="-1"/>
        </w:rPr>
        <w:t>Steuerjahr </w:t>
      </w:r>
      <w:r w:rsidRPr="009118AB">
        <w:rPr>
          <w:i/>
          <w:iCs/>
          <w:spacing w:val="-1"/>
        </w:rPr>
        <w:t>2015</w:t>
      </w:r>
      <w:r w:rsidR="003366D9" w:rsidRPr="009118AB">
        <w:rPr>
          <w:i/>
          <w:iCs/>
          <w:spacing w:val="-1"/>
        </w:rPr>
        <w:t> -;</w:t>
      </w:r>
      <w:r w:rsidR="00715690" w:rsidRPr="009118AB">
        <w:rPr>
          <w:i/>
          <w:iCs/>
          <w:spacing w:val="-1"/>
        </w:rPr>
        <w:t xml:space="preserve"> </w:t>
      </w:r>
      <w:r w:rsidR="00D67EB8" w:rsidRPr="009118AB">
        <w:rPr>
          <w:i/>
          <w:iCs/>
          <w:spacing w:val="-1"/>
        </w:rPr>
        <w:t>Abs. </w:t>
      </w:r>
      <w:r w:rsidR="00715690" w:rsidRPr="009118AB">
        <w:rPr>
          <w:i/>
          <w:iCs/>
          <w:spacing w:val="-1"/>
        </w:rPr>
        <w:t xml:space="preserve">1 abgeändert durch </w:t>
      </w:r>
      <w:r w:rsidR="00D67EB8" w:rsidRPr="009118AB">
        <w:rPr>
          <w:i/>
          <w:iCs/>
          <w:spacing w:val="-1"/>
        </w:rPr>
        <w:t>Art. </w:t>
      </w:r>
      <w:r w:rsidR="00715690" w:rsidRPr="009118AB">
        <w:rPr>
          <w:i/>
          <w:iCs/>
          <w:spacing w:val="-1"/>
        </w:rPr>
        <w:t xml:space="preserve">48 </w:t>
      </w:r>
      <w:r w:rsidR="00715690" w:rsidRPr="009118AB">
        <w:rPr>
          <w:i/>
        </w:rPr>
        <w:t>des G. vom 18. Dezember 2015</w:t>
      </w:r>
      <w:r w:rsidR="007D0EAE" w:rsidRPr="009118AB">
        <w:rPr>
          <w:i/>
        </w:rPr>
        <w:t> (I)</w:t>
      </w:r>
      <w:r w:rsidR="00715690" w:rsidRPr="009118AB">
        <w:rPr>
          <w:i/>
        </w:rPr>
        <w:t xml:space="preserve"> (B.S. vom 30. Dezember 2015</w:t>
      </w:r>
      <w:r w:rsidR="00B52789" w:rsidRPr="009118AB">
        <w:rPr>
          <w:i/>
        </w:rPr>
        <w:t>)</w:t>
      </w:r>
      <w:r w:rsidR="00D67EB8" w:rsidRPr="009118AB">
        <w:rPr>
          <w:i/>
        </w:rPr>
        <w:t> - </w:t>
      </w:r>
      <w:r w:rsidR="002E03A4" w:rsidRPr="009118AB">
        <w:rPr>
          <w:i/>
        </w:rPr>
        <w:t xml:space="preserve">anwendbar </w:t>
      </w:r>
      <w:r w:rsidR="00B52789" w:rsidRPr="009118AB">
        <w:rPr>
          <w:i/>
        </w:rPr>
        <w:t>auf Besteuerungszeiträume, die ab dem 1. Januar 2016 beginnen</w:t>
      </w:r>
      <w:r w:rsidR="00D67EB8" w:rsidRPr="009118AB">
        <w:rPr>
          <w:i/>
        </w:rPr>
        <w:t> -</w:t>
      </w:r>
      <w:r w:rsidR="007131B9" w:rsidRPr="009118AB">
        <w:rPr>
          <w:i/>
        </w:rPr>
        <w:t>,</w:t>
      </w:r>
      <w:r w:rsidR="003C0B02" w:rsidRPr="009118AB">
        <w:rPr>
          <w:i/>
        </w:rPr>
        <w:t xml:space="preserve"> </w:t>
      </w:r>
      <w:r w:rsidR="00D67EB8" w:rsidRPr="009118AB">
        <w:rPr>
          <w:i/>
        </w:rPr>
        <w:t>Art. </w:t>
      </w:r>
      <w:r w:rsidR="003C0B02" w:rsidRPr="009118AB">
        <w:rPr>
          <w:i/>
        </w:rPr>
        <w:t>26</w:t>
      </w:r>
      <w:r w:rsidR="003C0B02" w:rsidRPr="009118AB">
        <w:rPr>
          <w:i/>
          <w:iCs/>
          <w:spacing w:val="-2"/>
        </w:rPr>
        <w:t xml:space="preserve"> des G. vom 17. März 2019 (III) (B.S. vom 10. Mai 2019)</w:t>
      </w:r>
      <w:r w:rsidR="00D67EB8" w:rsidRPr="009118AB">
        <w:rPr>
          <w:i/>
          <w:iCs/>
          <w:spacing w:val="-2"/>
        </w:rPr>
        <w:t> - </w:t>
      </w:r>
      <w:r w:rsidR="003C0B02" w:rsidRPr="009118AB">
        <w:rPr>
          <w:i/>
          <w:iCs/>
          <w:spacing w:val="-2"/>
        </w:rPr>
        <w:t>in Kraft am 1. Mai 2019</w:t>
      </w:r>
      <w:r w:rsidR="00FD68E8" w:rsidRPr="009118AB">
        <w:rPr>
          <w:i/>
          <w:iCs/>
          <w:spacing w:val="-2"/>
        </w:rPr>
        <w:t> -</w:t>
      </w:r>
      <w:r w:rsidR="007131B9" w:rsidRPr="009118AB">
        <w:rPr>
          <w:i/>
          <w:iCs/>
          <w:spacing w:val="-2"/>
        </w:rPr>
        <w:t xml:space="preserve"> und Art. 16</w:t>
      </w:r>
      <w:r w:rsidR="007131B9" w:rsidRPr="009118AB">
        <w:rPr>
          <w:i/>
          <w:iCs/>
        </w:rPr>
        <w:t xml:space="preserve"> des G. vom 5. Juli 2022 (B.S. vom 15. Juli 2022)</w:t>
      </w:r>
      <w:r w:rsidR="00FD68E8" w:rsidRPr="009118AB">
        <w:rPr>
          <w:i/>
          <w:iCs/>
          <w:spacing w:val="-2"/>
        </w:rPr>
        <w:t>]</w:t>
      </w:r>
    </w:p>
    <w:p w14:paraId="26CEE113" w14:textId="77777777" w:rsidR="00FF1FC7" w:rsidRPr="009118AB" w:rsidRDefault="00FF1FC7" w:rsidP="00096F9C">
      <w:pPr>
        <w:autoSpaceDE w:val="0"/>
        <w:autoSpaceDN w:val="0"/>
        <w:adjustRightInd w:val="0"/>
        <w:jc w:val="both"/>
        <w:rPr>
          <w:spacing w:val="-1"/>
        </w:rPr>
      </w:pPr>
    </w:p>
    <w:p w14:paraId="699D5F68" w14:textId="77777777" w:rsidR="00FF1FC7" w:rsidRPr="009118AB" w:rsidRDefault="00FF1FC7" w:rsidP="00096F9C">
      <w:pPr>
        <w:autoSpaceDE w:val="0"/>
        <w:autoSpaceDN w:val="0"/>
        <w:adjustRightInd w:val="0"/>
        <w:jc w:val="both"/>
        <w:rPr>
          <w:spacing w:val="-1"/>
        </w:rPr>
      </w:pPr>
    </w:p>
    <w:p w14:paraId="5561F9E3" w14:textId="00CEBC42" w:rsidR="00FF1FC7" w:rsidRPr="009118AB" w:rsidRDefault="00FF1FC7" w:rsidP="00FF1FC7">
      <w:pPr>
        <w:ind w:firstLine="708"/>
        <w:jc w:val="both"/>
        <w:rPr>
          <w:rFonts w:eastAsia="Calibri"/>
        </w:rPr>
      </w:pPr>
      <w:r w:rsidRPr="009118AB">
        <w:rPr>
          <w:spacing w:val="-1"/>
        </w:rPr>
        <w:tab/>
        <w:t>[</w:t>
      </w:r>
      <w:r w:rsidR="00D67EB8" w:rsidRPr="009118AB">
        <w:rPr>
          <w:b/>
          <w:bCs/>
        </w:rPr>
        <w:t>Art. </w:t>
      </w:r>
      <w:r w:rsidRPr="009118AB">
        <w:rPr>
          <w:b/>
          <w:bCs/>
        </w:rPr>
        <w:t>184</w:t>
      </w:r>
      <w:r w:rsidRPr="009118AB">
        <w:rPr>
          <w:b/>
          <w:bCs/>
          <w:i/>
        </w:rPr>
        <w:t>quinquies</w:t>
      </w:r>
      <w:r w:rsidR="00D67EB8" w:rsidRPr="009118AB">
        <w:t> - </w:t>
      </w:r>
      <w:r w:rsidRPr="009118AB">
        <w:t>Vorbehaltlich der Bestimmungen von Artikel 30 des Gesetzes vom 12. August 2000 zur Festlegung verschiedener Bestimmungen in Bezug auf die Organisation der Finanzmärkte und verschiedener anderer Bestimmungen, von Artikel 347 des Programmgesetzes vom 22. Dezember 2003, von Artikel 154 des Programmgesetzes vom 27. Dezember 2005 und von Artikel 3 des Gesetzes vom 29. Mai 2018 zur Festlegung der Bedingungen für den Übergang zur Gesellschaftssteuerpflicht von Hafenunternehmen erfolgt der Übergang einer juristischen Person, die zuvor der Steuer der juristischen Personen unterlag, zur Gesellschaftssteuer unter folgenden Bedingungen:</w:t>
      </w:r>
    </w:p>
    <w:p w14:paraId="2ABC62E4" w14:textId="77777777" w:rsidR="00FF1FC7" w:rsidRPr="009118AB" w:rsidRDefault="00FF1FC7" w:rsidP="00FF1FC7">
      <w:pPr>
        <w:jc w:val="both"/>
        <w:rPr>
          <w:rFonts w:eastAsia="Calibri"/>
        </w:rPr>
      </w:pPr>
    </w:p>
    <w:p w14:paraId="182A8E1C" w14:textId="7FC15C3A" w:rsidR="00FF1FC7" w:rsidRPr="009118AB" w:rsidRDefault="00FF1FC7" w:rsidP="00FF1FC7">
      <w:pPr>
        <w:ind w:firstLine="708"/>
        <w:jc w:val="both"/>
        <w:rPr>
          <w:rFonts w:eastAsia="Calibri"/>
        </w:rPr>
      </w:pPr>
      <w:r w:rsidRPr="009118AB">
        <w:t>1. Vorbehaltlich der Bestimmungen von Artikel 184</w:t>
      </w:r>
      <w:r w:rsidRPr="009118AB">
        <w:rPr>
          <w:i/>
        </w:rPr>
        <w:t>ter</w:t>
      </w:r>
      <w:r w:rsidRPr="009118AB">
        <w:t xml:space="preserve"> </w:t>
      </w:r>
      <w:r w:rsidR="00D67EB8" w:rsidRPr="009118AB">
        <w:t>§ </w:t>
      </w:r>
      <w:r w:rsidRPr="009118AB">
        <w:t>1 Absatz 1 gilt der Teil des Kapitals, der Emissionsagien, der anlässlich der Ausgabe von Gewinnanteilen gezeichneten Beträge oder anderer Geld- oder Sacheinlagen, der zuvor in Geschäftsjahren, die vor dem Geschäftsjahr abgeschlossen wurden, das an das erste Steuerjahr gebunden ist, für das die juristische Person der Gesellschaftssteuer unterliegt, tatsächlich eingezahlt wurde und in diesem Zeitraum nicht Gegenstand einer Rückzahlung oder Herabsetzung war, als eingezahltes Kapital im Sinne von Artikel 184 unter den in den Absätzen 1 bis 3 dieses Artikels erwähnten Bedingungen.</w:t>
      </w:r>
    </w:p>
    <w:p w14:paraId="339A9460" w14:textId="77777777" w:rsidR="00FF1FC7" w:rsidRPr="009118AB" w:rsidRDefault="00FF1FC7" w:rsidP="00FF1FC7">
      <w:pPr>
        <w:jc w:val="both"/>
        <w:rPr>
          <w:rFonts w:eastAsia="Calibri"/>
        </w:rPr>
      </w:pPr>
    </w:p>
    <w:p w14:paraId="4C3AF64C" w14:textId="77777777" w:rsidR="00FF1FC7" w:rsidRPr="009118AB" w:rsidRDefault="00FF1FC7" w:rsidP="00FF1FC7">
      <w:pPr>
        <w:ind w:firstLine="708"/>
        <w:jc w:val="both"/>
        <w:rPr>
          <w:rFonts w:eastAsia="Calibri"/>
        </w:rPr>
      </w:pPr>
      <w:r w:rsidRPr="009118AB">
        <w:t>2. Vorherige Gewinnrücklagen, die dem Kapital zugeführt wurden oder nicht, und Rückstellungen für Risiken und Aufwendungen, die die juristische Person in den Jahresabschluss aufgenommen hat, der sich auf das Geschäftsjahr bezieht, das vor dem Geschäftsjahr abgeschlossen wurde, das an das erste Steuerjahr gebunden ist, für das die juristische Person der Gesellschaftssteuer unterliegt, gelten als bereits besteuerte Rücklagen.</w:t>
      </w:r>
    </w:p>
    <w:p w14:paraId="0D07B022" w14:textId="77777777" w:rsidR="00FF1FC7" w:rsidRPr="009118AB" w:rsidRDefault="00FF1FC7" w:rsidP="00FF1FC7">
      <w:pPr>
        <w:jc w:val="both"/>
        <w:rPr>
          <w:rFonts w:eastAsia="Calibri"/>
        </w:rPr>
      </w:pPr>
    </w:p>
    <w:p w14:paraId="7AFCB8C1" w14:textId="77777777" w:rsidR="00FF1FC7" w:rsidRPr="009118AB" w:rsidRDefault="00FF1FC7" w:rsidP="00FF1FC7">
      <w:pPr>
        <w:ind w:firstLine="708"/>
        <w:jc w:val="both"/>
        <w:rPr>
          <w:rFonts w:eastAsia="Calibri"/>
        </w:rPr>
      </w:pPr>
      <w:r w:rsidRPr="009118AB">
        <w:t>3. Neubewertungsrücklagen und Kapitalzuschüsse, die die juristische Person in den Jahresabschluss aufgenommen hat, der sich auf das Geschäftsjahr bezieht, das vor dem Geschäftsjahr abgeschlossen wurde, das an das erste Steuerjahr gebunden ist, für das die juristische Person der Gesellschaftssteuer unterliegt, werden nur von der Steuer befreit, wenn sie auf einem oder mehreren getrennten Passivkonten gebucht bleiben und nicht als Grundlage für irgendwelche Entlohnungen oder Zuerkennungen dienen.</w:t>
      </w:r>
    </w:p>
    <w:p w14:paraId="4C48AAFD" w14:textId="77777777" w:rsidR="00FF1FC7" w:rsidRPr="009118AB" w:rsidRDefault="00FF1FC7" w:rsidP="00FF1FC7">
      <w:pPr>
        <w:jc w:val="both"/>
        <w:rPr>
          <w:rFonts w:eastAsia="Calibri"/>
        </w:rPr>
      </w:pPr>
    </w:p>
    <w:p w14:paraId="1AD494E3" w14:textId="77777777" w:rsidR="00FF1FC7" w:rsidRPr="009118AB" w:rsidRDefault="00FF1FC7" w:rsidP="00FF1FC7">
      <w:pPr>
        <w:ind w:firstLine="708"/>
        <w:jc w:val="both"/>
        <w:rPr>
          <w:rFonts w:eastAsia="Calibri"/>
        </w:rPr>
      </w:pPr>
      <w:r w:rsidRPr="009118AB">
        <w:t>4. Kosten, die die juristische Person tatsächlich in einem Steuerjahr trägt, das ab dem ersten Tag des Steuerjahres beginnt, für das die juristische Person der Gesellschaftssteuer unterliegt, und die Gegenstand einer Rückstellung für Risiken und Aufwendungen im Sinne des Buchhaltungsgesetzes waren, die in einem Steuerjahr gebildet wurde, für das die juristische Person der Steuer der juristischen Personen unterlag, sind als Werbungskosten abzugsfähig für das Steuerjahr, in dem sie tatsächlich getragen wurden, sofern die Bedingungen von Artikel 49 erfüllt sind.</w:t>
      </w:r>
    </w:p>
    <w:p w14:paraId="68608E4C" w14:textId="77777777" w:rsidR="00FF1FC7" w:rsidRPr="009118AB" w:rsidRDefault="00FF1FC7" w:rsidP="00FF1FC7">
      <w:pPr>
        <w:jc w:val="both"/>
        <w:rPr>
          <w:rFonts w:eastAsia="Calibri"/>
        </w:rPr>
      </w:pPr>
    </w:p>
    <w:p w14:paraId="5B3FDE89" w14:textId="77777777" w:rsidR="00FF1FC7" w:rsidRPr="009118AB" w:rsidRDefault="00FF1FC7" w:rsidP="00FF1FC7">
      <w:pPr>
        <w:ind w:firstLine="708"/>
        <w:jc w:val="both"/>
        <w:rPr>
          <w:rFonts w:eastAsia="Calibri"/>
        </w:rPr>
      </w:pPr>
      <w:r w:rsidRPr="009118AB">
        <w:t>5. Endgültige Verluste aus Aktiva, die die juristische Person im Sinne von Artikel 49 in einem Steuerjahr erwirtschaftet hat, für das die juristische Person der Gesellschaftssteuer unterliegt, und die Gegenstand einer Wertminderung waren, die in einem Steuerjahr gebucht wurde, für das die juristische Person der Steuer der juristischen Personen unterlag, sind als Werbungskosten abzugsfähig für das Steuerjahr, in dem sie erwirtschaftet wurden.</w:t>
      </w:r>
    </w:p>
    <w:p w14:paraId="3C49214F" w14:textId="77777777" w:rsidR="00FF1FC7" w:rsidRPr="009118AB" w:rsidRDefault="00FF1FC7" w:rsidP="00FF1FC7">
      <w:pPr>
        <w:jc w:val="both"/>
        <w:rPr>
          <w:rFonts w:eastAsia="Calibri"/>
        </w:rPr>
      </w:pPr>
    </w:p>
    <w:p w14:paraId="5C8FB0FC" w14:textId="77777777" w:rsidR="00FF1FC7" w:rsidRPr="009118AB" w:rsidRDefault="00FF1FC7" w:rsidP="00FF1FC7">
      <w:pPr>
        <w:ind w:firstLine="708"/>
        <w:jc w:val="both"/>
        <w:rPr>
          <w:rFonts w:eastAsia="Calibri"/>
        </w:rPr>
      </w:pPr>
      <w:r w:rsidRPr="009118AB">
        <w:t>6. Abschreibungen, Minderwerte oder Mehrwerte, die bei der juristischen Person in Bezug auf ihre Aktiva zu berücksichtigen sind, werden bestimmt, als ob die juristische Person der Gesellschaftssteuer immer unterlegen hätte.</w:t>
      </w:r>
    </w:p>
    <w:p w14:paraId="0F8592DC" w14:textId="77777777" w:rsidR="00FF1FC7" w:rsidRPr="009118AB" w:rsidRDefault="00FF1FC7" w:rsidP="00FF1FC7">
      <w:pPr>
        <w:jc w:val="both"/>
        <w:rPr>
          <w:rFonts w:eastAsia="Calibri"/>
        </w:rPr>
      </w:pPr>
    </w:p>
    <w:p w14:paraId="125FB733" w14:textId="77777777" w:rsidR="00FF1FC7" w:rsidRPr="009118AB" w:rsidRDefault="00FF1FC7" w:rsidP="00FF1FC7">
      <w:pPr>
        <w:ind w:firstLine="708"/>
        <w:jc w:val="both"/>
        <w:rPr>
          <w:rFonts w:eastAsia="Calibri"/>
        </w:rPr>
      </w:pPr>
      <w:r w:rsidRPr="009118AB">
        <w:t>7. Vorherige Verluste der juristischen Person, die in den Jahresabschluss aufgenommen worden sind, der sich auf das Geschäftsjahr bezieht, das vor dem Geschäftsjahr abgeschlossen wurde, das an das erste Steuerjahr gebunden ist, für das die juristische Person der Gesellschaftssteuer unterliegt, dürfen nicht berücksichtigt werden, um die Besteuerungsgrundlage der Steuerjahre festzulegen, für die die juristische Person der Gesellschaftssteuer unterliegt.</w:t>
      </w:r>
    </w:p>
    <w:p w14:paraId="7D03D89F" w14:textId="77777777" w:rsidR="00FF1FC7" w:rsidRPr="009118AB" w:rsidRDefault="00FF1FC7" w:rsidP="00FF1FC7">
      <w:pPr>
        <w:jc w:val="both"/>
        <w:rPr>
          <w:rFonts w:eastAsia="Calibri"/>
        </w:rPr>
      </w:pPr>
    </w:p>
    <w:p w14:paraId="179A3557" w14:textId="77777777" w:rsidR="00FF1FC7" w:rsidRPr="009118AB" w:rsidRDefault="00FF1FC7" w:rsidP="00FF1FC7">
      <w:pPr>
        <w:ind w:firstLine="708"/>
        <w:jc w:val="both"/>
        <w:rPr>
          <w:rFonts w:eastAsia="Calibri"/>
        </w:rPr>
      </w:pPr>
      <w:r w:rsidRPr="009118AB">
        <w:t>Die Rücknahme einer in Absatz 1 erwähnten Wertminderung führt gegebenenfalls zu einer Erhöhung in Höhe des Betrags dieser Rücknahme der Anfangssituation der besteuerten Rücklagen des betreffenden Steuerjahres.</w:t>
      </w:r>
    </w:p>
    <w:p w14:paraId="11FCFB89" w14:textId="77777777" w:rsidR="00FF1FC7" w:rsidRPr="009118AB" w:rsidRDefault="00FF1FC7" w:rsidP="00FF1FC7">
      <w:pPr>
        <w:jc w:val="both"/>
        <w:rPr>
          <w:rFonts w:eastAsia="Calibri"/>
        </w:rPr>
      </w:pPr>
    </w:p>
    <w:p w14:paraId="76A63EE8" w14:textId="77777777" w:rsidR="007131B9" w:rsidRPr="009118AB" w:rsidRDefault="007131B9">
      <w:r w:rsidRPr="009118AB">
        <w:br w:type="page"/>
      </w:r>
    </w:p>
    <w:p w14:paraId="314A81B3" w14:textId="657C8FD1" w:rsidR="00FF1FC7" w:rsidRPr="009118AB" w:rsidRDefault="00FF1FC7" w:rsidP="00FF1FC7">
      <w:pPr>
        <w:autoSpaceDE w:val="0"/>
        <w:autoSpaceDN w:val="0"/>
        <w:adjustRightInd w:val="0"/>
        <w:ind w:firstLine="708"/>
        <w:jc w:val="both"/>
        <w:rPr>
          <w:spacing w:val="-1"/>
        </w:rPr>
      </w:pPr>
      <w:r w:rsidRPr="009118AB">
        <w:lastRenderedPageBreak/>
        <w:t xml:space="preserve">Werden bei der Prüfung der Buchhaltung eines Besteuerungszeitraums, für den die juristische Person der Gesellschaftssteuer unterliegt, in Artikel 24 Absatz 1 </w:t>
      </w:r>
      <w:r w:rsidR="00D67EB8" w:rsidRPr="009118AB">
        <w:t>Nr. </w:t>
      </w:r>
      <w:r w:rsidRPr="009118AB">
        <w:t>4 erwähnte Unterbewertungen von Aktiva oder Überbewertungen von Passiva festgestellt, gelten sie in Abweichung von Artikel 361 nicht als Gewinne dieses Besteuerungszeitraums unter der Bedingung, dass die juristische Person den Nachweis erbringt, dass sie ihren Ursprung in einem Besteuerungszeitraum haben, für den sie der Steuer der juristischen Personen unterlag.</w:t>
      </w:r>
      <w:r w:rsidRPr="009118AB">
        <w:rPr>
          <w:spacing w:val="-1"/>
        </w:rPr>
        <w:t>]</w:t>
      </w:r>
    </w:p>
    <w:p w14:paraId="125E7C15" w14:textId="77777777" w:rsidR="00FF1FC7" w:rsidRPr="009118AB" w:rsidRDefault="00FF1FC7" w:rsidP="00FF1FC7">
      <w:pPr>
        <w:autoSpaceDE w:val="0"/>
        <w:autoSpaceDN w:val="0"/>
        <w:adjustRightInd w:val="0"/>
        <w:ind w:firstLine="708"/>
        <w:jc w:val="both"/>
        <w:rPr>
          <w:spacing w:val="-1"/>
        </w:rPr>
      </w:pPr>
    </w:p>
    <w:p w14:paraId="4DCAF31E" w14:textId="363445CC" w:rsidR="00FF1FC7" w:rsidRPr="009118AB" w:rsidRDefault="00FF1FC7" w:rsidP="00FF1FC7">
      <w:pPr>
        <w:autoSpaceDE w:val="0"/>
        <w:autoSpaceDN w:val="0"/>
        <w:adjustRightInd w:val="0"/>
        <w:jc w:val="both"/>
        <w:rPr>
          <w:i/>
          <w:iCs/>
        </w:rPr>
      </w:pPr>
      <w:r w:rsidRPr="009118AB">
        <w:rPr>
          <w:i/>
          <w:iCs/>
          <w:spacing w:val="-1"/>
        </w:rPr>
        <w:t>[</w:t>
      </w:r>
      <w:r w:rsidR="00D67EB8" w:rsidRPr="009118AB">
        <w:rPr>
          <w:i/>
          <w:iCs/>
          <w:spacing w:val="-1"/>
        </w:rPr>
        <w:t>Art. </w:t>
      </w:r>
      <w:r w:rsidRPr="009118AB">
        <w:rPr>
          <w:i/>
          <w:iCs/>
          <w:spacing w:val="-1"/>
        </w:rPr>
        <w:t xml:space="preserve">184quinquies eingefügt durch </w:t>
      </w:r>
      <w:r w:rsidR="00D67EB8" w:rsidRPr="009118AB">
        <w:rPr>
          <w:i/>
          <w:iCs/>
          <w:spacing w:val="-1"/>
        </w:rPr>
        <w:t>Art. </w:t>
      </w:r>
      <w:r w:rsidRPr="009118AB">
        <w:rPr>
          <w:i/>
          <w:iCs/>
          <w:spacing w:val="-1"/>
        </w:rPr>
        <w:t>2 des G. vom 17. März 2019</w:t>
      </w:r>
      <w:r w:rsidR="00D43899" w:rsidRPr="009118AB">
        <w:rPr>
          <w:i/>
          <w:iCs/>
          <w:spacing w:val="-1"/>
        </w:rPr>
        <w:t> (II)</w:t>
      </w:r>
      <w:r w:rsidRPr="009118AB">
        <w:rPr>
          <w:i/>
          <w:iCs/>
          <w:spacing w:val="-1"/>
        </w:rPr>
        <w:t xml:space="preserve"> (B.S. vom 3. April 2019)</w:t>
      </w:r>
      <w:r w:rsidR="00D67EB8" w:rsidRPr="009118AB">
        <w:rPr>
          <w:i/>
          <w:iCs/>
          <w:spacing w:val="-1"/>
        </w:rPr>
        <w:t> - </w:t>
      </w:r>
      <w:r w:rsidR="00CD4FA9" w:rsidRPr="009118AB">
        <w:rPr>
          <w:i/>
          <w:iCs/>
          <w:spacing w:val="-1"/>
        </w:rPr>
        <w:t xml:space="preserve">anwendbar </w:t>
      </w:r>
      <w:r w:rsidR="00CD4FA9" w:rsidRPr="009118AB">
        <w:rPr>
          <w:i/>
        </w:rPr>
        <w:t>ab dem Steuerjahr, das sich auf einen Besteuerungszeitraum bezieht, der frühestens am 1. Januar 2019</w:t>
      </w:r>
      <w:r w:rsidR="00D751A4" w:rsidRPr="009118AB">
        <w:rPr>
          <w:i/>
        </w:rPr>
        <w:t xml:space="preserve"> beginnt</w:t>
      </w:r>
      <w:r w:rsidR="00FD68E8" w:rsidRPr="009118AB">
        <w:rPr>
          <w:i/>
        </w:rPr>
        <w:t> -]</w:t>
      </w:r>
    </w:p>
    <w:p w14:paraId="7DDD964B" w14:textId="77B21E23" w:rsidR="00477B8F" w:rsidRPr="009118AB" w:rsidRDefault="00477B8F" w:rsidP="006939D8">
      <w:pPr>
        <w:autoSpaceDE w:val="0"/>
        <w:autoSpaceDN w:val="0"/>
        <w:adjustRightInd w:val="0"/>
        <w:jc w:val="center"/>
      </w:pPr>
      <w:r w:rsidRPr="009118AB">
        <w:br w:type="page"/>
      </w:r>
      <w:r w:rsidRPr="009118AB">
        <w:rPr>
          <w:i/>
          <w:iCs/>
        </w:rPr>
        <w:lastRenderedPageBreak/>
        <w:t>Abschnitt </w:t>
      </w:r>
      <w:r w:rsidR="00D74862" w:rsidRPr="009118AB">
        <w:rPr>
          <w:i/>
          <w:iCs/>
        </w:rPr>
        <w:t>2</w:t>
      </w:r>
      <w:r w:rsidR="00D67EB8" w:rsidRPr="009118AB">
        <w:t> - </w:t>
      </w:r>
      <w:r w:rsidRPr="009118AB">
        <w:t>Steuerbemessungsgrundlage</w:t>
      </w:r>
    </w:p>
    <w:p w14:paraId="38DBB7A1" w14:textId="77777777" w:rsidR="006262E5" w:rsidRPr="009118AB" w:rsidRDefault="006262E5" w:rsidP="006262E5">
      <w:pPr>
        <w:autoSpaceDE w:val="0"/>
        <w:autoSpaceDN w:val="0"/>
        <w:adjustRightInd w:val="0"/>
        <w:jc w:val="both"/>
        <w:rPr>
          <w:iCs/>
          <w:sz w:val="20"/>
          <w:szCs w:val="20"/>
        </w:rPr>
      </w:pPr>
    </w:p>
    <w:p w14:paraId="6020630B" w14:textId="77777777" w:rsidR="004E4B0C" w:rsidRPr="009118AB" w:rsidRDefault="004E4B0C" w:rsidP="006262E5">
      <w:pPr>
        <w:autoSpaceDE w:val="0"/>
        <w:autoSpaceDN w:val="0"/>
        <w:adjustRightInd w:val="0"/>
        <w:jc w:val="both"/>
        <w:rPr>
          <w:iCs/>
          <w:sz w:val="20"/>
          <w:szCs w:val="20"/>
        </w:rPr>
      </w:pPr>
    </w:p>
    <w:p w14:paraId="558488BE" w14:textId="7F71D5A3" w:rsidR="006262E5" w:rsidRPr="009118AB" w:rsidRDefault="004E4B0C" w:rsidP="006262E5">
      <w:pPr>
        <w:autoSpaceDE w:val="0"/>
        <w:autoSpaceDN w:val="0"/>
        <w:adjustRightInd w:val="0"/>
        <w:jc w:val="both"/>
        <w:rPr>
          <w:iCs/>
        </w:rPr>
      </w:pPr>
      <w:r w:rsidRPr="009118AB">
        <w:rPr>
          <w:bCs/>
          <w:iCs/>
        </w:rPr>
        <w:tab/>
      </w:r>
      <w:r w:rsidR="00D67EB8" w:rsidRPr="009118AB">
        <w:rPr>
          <w:b/>
          <w:bCs/>
          <w:iCs/>
        </w:rPr>
        <w:t>Art. </w:t>
      </w:r>
      <w:r w:rsidR="006262E5" w:rsidRPr="009118AB">
        <w:rPr>
          <w:b/>
          <w:bCs/>
          <w:iCs/>
        </w:rPr>
        <w:t>185</w:t>
      </w:r>
      <w:r w:rsidR="00D67EB8" w:rsidRPr="009118AB">
        <w:rPr>
          <w:iCs/>
        </w:rPr>
        <w:t> - </w:t>
      </w:r>
      <w:r w:rsidR="006262E5" w:rsidRPr="009118AB">
        <w:rPr>
          <w:iCs/>
        </w:rPr>
        <w:t>[</w:t>
      </w:r>
      <w:r w:rsidR="00D67EB8" w:rsidRPr="009118AB">
        <w:rPr>
          <w:iCs/>
        </w:rPr>
        <w:t>§ </w:t>
      </w:r>
      <w:r w:rsidR="006262E5" w:rsidRPr="009118AB">
        <w:rPr>
          <w:iCs/>
        </w:rPr>
        <w:t>1]</w:t>
      </w:r>
      <w:r w:rsidR="00D67EB8" w:rsidRPr="009118AB">
        <w:rPr>
          <w:iCs/>
        </w:rPr>
        <w:t> - </w:t>
      </w:r>
      <w:r w:rsidR="006262E5" w:rsidRPr="009118AB">
        <w:rPr>
          <w:iCs/>
        </w:rPr>
        <w:t>Gesellschaften sind in Bezug auf den Gesamtbetrag der Gewinne einschließlich der ausgeschütteten Dividenden steuerpflichtig</w:t>
      </w:r>
      <w:r w:rsidR="00924EAF" w:rsidRPr="009118AB">
        <w:rPr>
          <w:iCs/>
        </w:rPr>
        <w:t xml:space="preserve">[, mit Ausnahme des Teilbetrags der Dividenden, die natürlichen Personen von Genossenschaften zuerkannt werden, </w:t>
      </w:r>
      <w:r w:rsidR="008A0455" w:rsidRPr="009118AB">
        <w:rPr>
          <w:iCs/>
        </w:rPr>
        <w:t>[</w:t>
      </w:r>
      <w:r w:rsidR="008A0455" w:rsidRPr="009118AB">
        <w:t>die gemäß Artikel 8:4 des Gesetzbuches der Gesellschaften und Vereinigungen zugelassen sind</w:t>
      </w:r>
      <w:r w:rsidR="008A0455" w:rsidRPr="009118AB">
        <w:rPr>
          <w:iCs/>
        </w:rPr>
        <w:t>]</w:t>
      </w:r>
      <w:r w:rsidR="00924EAF" w:rsidRPr="009118AB">
        <w:rPr>
          <w:iCs/>
        </w:rPr>
        <w:t xml:space="preserve">, wobei dieser Teilbetrag 125 EUR pro natürliche Person nicht überschreiten darf. Dieser Betrag wird gemäß Artikel 178 </w:t>
      </w:r>
      <w:r w:rsidR="00D67EB8" w:rsidRPr="009118AB">
        <w:rPr>
          <w:iCs/>
        </w:rPr>
        <w:t>§ </w:t>
      </w:r>
      <w:r w:rsidR="00924EAF" w:rsidRPr="009118AB">
        <w:rPr>
          <w:iCs/>
        </w:rPr>
        <w:t>3 Absatz 2 indexiert]</w:t>
      </w:r>
      <w:r w:rsidR="006262E5" w:rsidRPr="009118AB">
        <w:rPr>
          <w:iCs/>
        </w:rPr>
        <w:t>.</w:t>
      </w:r>
    </w:p>
    <w:p w14:paraId="587EC281" w14:textId="77777777" w:rsidR="006262E5" w:rsidRPr="009118AB" w:rsidRDefault="006262E5" w:rsidP="006262E5">
      <w:pPr>
        <w:autoSpaceDE w:val="0"/>
        <w:autoSpaceDN w:val="0"/>
        <w:adjustRightInd w:val="0"/>
        <w:jc w:val="both"/>
        <w:rPr>
          <w:iCs/>
        </w:rPr>
      </w:pPr>
    </w:p>
    <w:p w14:paraId="11F8B4C5" w14:textId="77777777" w:rsidR="006262E5" w:rsidRPr="009118AB" w:rsidRDefault="006262E5" w:rsidP="00F9364F">
      <w:pPr>
        <w:autoSpaceDE w:val="0"/>
        <w:autoSpaceDN w:val="0"/>
        <w:adjustRightInd w:val="0"/>
        <w:ind w:firstLine="709"/>
        <w:jc w:val="both"/>
        <w:rPr>
          <w:iCs/>
        </w:rPr>
      </w:pPr>
      <w:r w:rsidRPr="009118AB">
        <w:rPr>
          <w:iCs/>
        </w:rPr>
        <w:t>[Gesellschaften sind ebenfalls in Bezug auf Gewinne steuerpflichtig, die einer Betriebsstätte zugerechnet werden können und aufgrund eines mit einem Mitgliedstaat der Europäischen Union abgeschlossenen Abkommens zur Vermeidung der Doppelbesteuerung von der Steuer befreit sind, in dem Maße, wie diese Gewinne im Rahmen einer hybriden Gestaltung erzielt werden und im Steuergebiet der Betriebsstätte nicht steuerpflichtig sind, da die Betriebsstätte dort nicht als solche betrachtet wird.</w:t>
      </w:r>
    </w:p>
    <w:p w14:paraId="0D3B9E3F" w14:textId="77777777" w:rsidR="006262E5" w:rsidRPr="009118AB" w:rsidRDefault="006262E5" w:rsidP="006262E5">
      <w:pPr>
        <w:autoSpaceDE w:val="0"/>
        <w:autoSpaceDN w:val="0"/>
        <w:adjustRightInd w:val="0"/>
        <w:jc w:val="both"/>
        <w:rPr>
          <w:iCs/>
        </w:rPr>
      </w:pPr>
    </w:p>
    <w:p w14:paraId="43327E99" w14:textId="77777777" w:rsidR="006262E5" w:rsidRPr="009118AB" w:rsidRDefault="006262E5" w:rsidP="00F9364F">
      <w:pPr>
        <w:autoSpaceDE w:val="0"/>
        <w:autoSpaceDN w:val="0"/>
        <w:adjustRightInd w:val="0"/>
        <w:ind w:firstLine="709"/>
        <w:jc w:val="both"/>
        <w:rPr>
          <w:iCs/>
        </w:rPr>
      </w:pPr>
      <w:r w:rsidRPr="009118AB">
        <w:rPr>
          <w:iCs/>
        </w:rPr>
        <w:t>Wenn ein oder mehrere verbundene nichtansässige Unternehmen, die zusammenge</w:t>
      </w:r>
      <w:r w:rsidRPr="009118AB">
        <w:rPr>
          <w:iCs/>
        </w:rPr>
        <w:softHyphen/>
        <w:t>nommen eine direkte oder indirekte Beteiligung von mindestens 50 Prozent der Stimmrechte, des Kapitals oder der Rechte auf Gewinnbeteiligung in einem in Artikel 29 erwähnten Unternehmen halten, das in Belgien eingetragen oder ansässig ist, in einem Steuergebiet oder in Steuergebieten angesiedelt ist/sind, das/die das Unternehmen als einen in Belgien Steuerpflichtigen betrachtet/betrachten, wird das Unternehmen in Abweichung von Absatz 1 und Artikel 29 als in Belgien ansässig betrachtet und werden seine Einkünfte insoweit besteuert, wie diese Einkünfte nicht anderweitig nach den belgischen Rechtsvorschriften oder den Rechtsvorschriften eines anderen Steuergebiets besteuert werden.</w:t>
      </w:r>
    </w:p>
    <w:p w14:paraId="032F97C4" w14:textId="77777777" w:rsidR="006262E5" w:rsidRPr="009118AB" w:rsidRDefault="006262E5" w:rsidP="006262E5">
      <w:pPr>
        <w:autoSpaceDE w:val="0"/>
        <w:autoSpaceDN w:val="0"/>
        <w:adjustRightInd w:val="0"/>
        <w:jc w:val="both"/>
        <w:rPr>
          <w:iCs/>
        </w:rPr>
      </w:pPr>
    </w:p>
    <w:p w14:paraId="53DDE80F" w14:textId="77777777" w:rsidR="006262E5" w:rsidRPr="009118AB" w:rsidRDefault="006262E5" w:rsidP="00F9364F">
      <w:pPr>
        <w:autoSpaceDE w:val="0"/>
        <w:autoSpaceDN w:val="0"/>
        <w:adjustRightInd w:val="0"/>
        <w:ind w:firstLine="709"/>
        <w:jc w:val="both"/>
        <w:rPr>
          <w:iCs/>
        </w:rPr>
      </w:pPr>
      <w:r w:rsidRPr="009118AB">
        <w:rPr>
          <w:iCs/>
        </w:rPr>
        <w:t>Absatz 3 gilt nicht für Organismen für gemeinsame Anlagen.]</w:t>
      </w:r>
    </w:p>
    <w:p w14:paraId="031C6797" w14:textId="77777777" w:rsidR="006262E5" w:rsidRPr="009118AB" w:rsidRDefault="006262E5" w:rsidP="006262E5">
      <w:pPr>
        <w:autoSpaceDE w:val="0"/>
        <w:autoSpaceDN w:val="0"/>
        <w:adjustRightInd w:val="0"/>
        <w:jc w:val="both"/>
        <w:rPr>
          <w:iCs/>
        </w:rPr>
      </w:pPr>
    </w:p>
    <w:p w14:paraId="73BEB1B1" w14:textId="09628932" w:rsidR="006262E5" w:rsidRPr="009118AB" w:rsidRDefault="006262E5" w:rsidP="00F9364F">
      <w:pPr>
        <w:autoSpaceDE w:val="0"/>
        <w:autoSpaceDN w:val="0"/>
        <w:adjustRightInd w:val="0"/>
        <w:ind w:firstLine="709"/>
        <w:jc w:val="both"/>
        <w:rPr>
          <w:iCs/>
        </w:rPr>
      </w:pPr>
      <w:r w:rsidRPr="009118AB">
        <w:rPr>
          <w:iCs/>
        </w:rPr>
        <w:t>[</w:t>
      </w:r>
      <w:r w:rsidR="00D67EB8" w:rsidRPr="009118AB">
        <w:rPr>
          <w:iCs/>
        </w:rPr>
        <w:t>§ </w:t>
      </w:r>
      <w:r w:rsidRPr="009118AB">
        <w:rPr>
          <w:iCs/>
        </w:rPr>
        <w:t>2</w:t>
      </w:r>
      <w:r w:rsidR="00D67EB8" w:rsidRPr="009118AB">
        <w:rPr>
          <w:iCs/>
        </w:rPr>
        <w:t> - </w:t>
      </w:r>
      <w:r w:rsidRPr="009118AB">
        <w:rPr>
          <w:iCs/>
        </w:rPr>
        <w:t>[Für zwei Gesellschaften, die Teil einer multinationalen Gruppe verbundener Gesellschaften sind, und in Bezug auf ihre gegenseitigen grenzüberschreitenden Beziehungen gilt:]</w:t>
      </w:r>
    </w:p>
    <w:p w14:paraId="75B3C916" w14:textId="77777777" w:rsidR="006262E5" w:rsidRPr="009118AB" w:rsidRDefault="006262E5" w:rsidP="006262E5">
      <w:pPr>
        <w:autoSpaceDE w:val="0"/>
        <w:autoSpaceDN w:val="0"/>
        <w:adjustRightInd w:val="0"/>
        <w:jc w:val="both"/>
        <w:rPr>
          <w:iCs/>
        </w:rPr>
      </w:pPr>
    </w:p>
    <w:p w14:paraId="0D365698" w14:textId="77777777" w:rsidR="006262E5" w:rsidRPr="009118AB" w:rsidRDefault="006262E5" w:rsidP="00F9364F">
      <w:pPr>
        <w:autoSpaceDE w:val="0"/>
        <w:autoSpaceDN w:val="0"/>
        <w:adjustRightInd w:val="0"/>
        <w:ind w:firstLine="709"/>
        <w:jc w:val="both"/>
        <w:rPr>
          <w:iCs/>
        </w:rPr>
      </w:pPr>
      <w:r w:rsidRPr="009118AB">
        <w:rPr>
          <w:i/>
          <w:iCs/>
        </w:rPr>
        <w:t>a)</w:t>
      </w:r>
      <w:r w:rsidRPr="009118AB">
        <w:rPr>
          <w:iCs/>
        </w:rPr>
        <w:t xml:space="preserve"> Wenn die beiden Gesellschaften in ihren kaufmännischen oder finanziellen Beziehungen an vereinbarte oder auferlegte Bedingungen gebunden sind, die von denen abweichen, die unabhängige Gesellschaften miteinander vereinbaren würden, so dürfen Gewinne, die eine der Gesellschaften ohne diese Bedingungen erzielt hätte, wegen dieser Bedingungen aber nicht erzielt hat, den Gewinnen dieser Gesellschaft zugerechnet werden.</w:t>
      </w:r>
    </w:p>
    <w:p w14:paraId="78A4B399" w14:textId="77777777" w:rsidR="006262E5" w:rsidRPr="009118AB" w:rsidRDefault="006262E5" w:rsidP="006262E5">
      <w:pPr>
        <w:autoSpaceDE w:val="0"/>
        <w:autoSpaceDN w:val="0"/>
        <w:adjustRightInd w:val="0"/>
        <w:jc w:val="both"/>
        <w:rPr>
          <w:iCs/>
        </w:rPr>
      </w:pPr>
    </w:p>
    <w:p w14:paraId="618ADF21" w14:textId="77777777" w:rsidR="006262E5" w:rsidRPr="009118AB" w:rsidRDefault="006262E5" w:rsidP="00F9364F">
      <w:pPr>
        <w:autoSpaceDE w:val="0"/>
        <w:autoSpaceDN w:val="0"/>
        <w:adjustRightInd w:val="0"/>
        <w:ind w:firstLine="709"/>
        <w:jc w:val="both"/>
        <w:rPr>
          <w:iCs/>
        </w:rPr>
      </w:pPr>
      <w:r w:rsidRPr="009118AB">
        <w:rPr>
          <w:i/>
          <w:iCs/>
        </w:rPr>
        <w:t>b)</w:t>
      </w:r>
      <w:r w:rsidRPr="009118AB">
        <w:rPr>
          <w:iCs/>
        </w:rPr>
        <w:t xml:space="preserve"> Wenn in die Gewinne einer Gesellschaft Gewinne einbezogen werden, die ebenfalls in die Gewinne einer anderen Gesellschaft einbezogen werden, [die in einem Staat ansässig ist, mit dem Belgien ein Abkommen zur Vermeidung der Doppelbesteuerung abgeschlossen hat, und die zu Lasten dieser anderen Gesellschaft bereits besteuert wurden,] und wenn die derart einbezogenen Gewinne Gewinne sind, die die andere Gesellschaft erzielt hätte, wenn die zwischen den beiden Gesellschaften vereinbarten Bedingungen denen entsprächen, die unabhängige Gesellschaften miteinander vereinbart hätten, werden die Gewinne der ersten Gesellschaft entsprechend angepasst.</w:t>
      </w:r>
    </w:p>
    <w:p w14:paraId="279EDA38" w14:textId="77777777" w:rsidR="006262E5" w:rsidRPr="009118AB" w:rsidRDefault="006262E5" w:rsidP="006262E5">
      <w:pPr>
        <w:autoSpaceDE w:val="0"/>
        <w:autoSpaceDN w:val="0"/>
        <w:adjustRightInd w:val="0"/>
        <w:jc w:val="both"/>
        <w:rPr>
          <w:iCs/>
        </w:rPr>
      </w:pPr>
    </w:p>
    <w:p w14:paraId="14265908" w14:textId="77777777" w:rsidR="006262E5" w:rsidRPr="009118AB" w:rsidRDefault="006262E5" w:rsidP="00483491">
      <w:pPr>
        <w:autoSpaceDE w:val="0"/>
        <w:autoSpaceDN w:val="0"/>
        <w:adjustRightInd w:val="0"/>
        <w:ind w:firstLine="709"/>
        <w:jc w:val="both"/>
        <w:rPr>
          <w:iCs/>
        </w:rPr>
      </w:pPr>
      <w:r w:rsidRPr="009118AB">
        <w:rPr>
          <w:iCs/>
        </w:rPr>
        <w:t>[…]]</w:t>
      </w:r>
    </w:p>
    <w:p w14:paraId="1E3254B6" w14:textId="77777777" w:rsidR="006262E5" w:rsidRPr="009118AB" w:rsidRDefault="006262E5" w:rsidP="006262E5">
      <w:pPr>
        <w:autoSpaceDE w:val="0"/>
        <w:autoSpaceDN w:val="0"/>
        <w:adjustRightInd w:val="0"/>
        <w:jc w:val="both"/>
        <w:rPr>
          <w:iCs/>
        </w:rPr>
      </w:pPr>
    </w:p>
    <w:p w14:paraId="0BE88491" w14:textId="42D9BF0E" w:rsidR="006262E5" w:rsidRPr="009118AB" w:rsidRDefault="006262E5" w:rsidP="00483491">
      <w:pPr>
        <w:autoSpaceDE w:val="0"/>
        <w:autoSpaceDN w:val="0"/>
        <w:adjustRightInd w:val="0"/>
        <w:ind w:firstLine="709"/>
        <w:jc w:val="both"/>
        <w:rPr>
          <w:iCs/>
        </w:rPr>
      </w:pPr>
      <w:r w:rsidRPr="009118AB">
        <w:rPr>
          <w:iCs/>
        </w:rPr>
        <w:lastRenderedPageBreak/>
        <w:t>[</w:t>
      </w:r>
      <w:r w:rsidR="00D67EB8" w:rsidRPr="009118AB">
        <w:rPr>
          <w:iCs/>
        </w:rPr>
        <w:t>§ </w:t>
      </w:r>
      <w:r w:rsidRPr="009118AB">
        <w:rPr>
          <w:iCs/>
        </w:rPr>
        <w:t>2/1</w:t>
      </w:r>
      <w:r w:rsidR="00D67EB8" w:rsidRPr="009118AB">
        <w:rPr>
          <w:iCs/>
        </w:rPr>
        <w:t> - </w:t>
      </w:r>
      <w:r w:rsidRPr="009118AB">
        <w:rPr>
          <w:iCs/>
        </w:rPr>
        <w:t xml:space="preserve">In Abweichung von </w:t>
      </w:r>
      <w:r w:rsidR="00D67EB8" w:rsidRPr="009118AB">
        <w:rPr>
          <w:iCs/>
        </w:rPr>
        <w:t>§ </w:t>
      </w:r>
      <w:r w:rsidRPr="009118AB">
        <w:rPr>
          <w:iCs/>
        </w:rPr>
        <w:t xml:space="preserve">1 und unbeschadet des Artikels 203 </w:t>
      </w:r>
      <w:r w:rsidR="00D67EB8" w:rsidRPr="009118AB">
        <w:rPr>
          <w:iCs/>
        </w:rPr>
        <w:t>§ </w:t>
      </w:r>
      <w:r w:rsidRPr="009118AB">
        <w:rPr>
          <w:iCs/>
        </w:rPr>
        <w:t xml:space="preserve">1 </w:t>
      </w:r>
      <w:r w:rsidR="00D67EB8" w:rsidRPr="009118AB">
        <w:rPr>
          <w:iCs/>
        </w:rPr>
        <w:t>Nr. </w:t>
      </w:r>
      <w:r w:rsidRPr="009118AB">
        <w:rPr>
          <w:iCs/>
        </w:rPr>
        <w:t>6 sind im Rahmen einer hybriden Gestaltung erzielte Einkünfte, die nicht in die Gewinne der belgischen Gesellschaften oder Niederlassungen einbezogen werden, die die Empfänger sind oder aufgrund der Rechtsvorschriften eines anderen Staates als solche betrachtet werden, steuerpflichtig beziehungsweise nicht abzugsfähig in dem Maße, wie ein ausländisches Unternehmen oder ein Zweigbetrieb eines solchen Unternehmens diese Einkünfte von den steuerpflichtigen Einkünften abziehen darf.</w:t>
      </w:r>
    </w:p>
    <w:p w14:paraId="723255DC" w14:textId="77777777" w:rsidR="006262E5" w:rsidRPr="009118AB" w:rsidRDefault="006262E5" w:rsidP="006262E5">
      <w:pPr>
        <w:autoSpaceDE w:val="0"/>
        <w:autoSpaceDN w:val="0"/>
        <w:adjustRightInd w:val="0"/>
        <w:jc w:val="both"/>
        <w:rPr>
          <w:iCs/>
        </w:rPr>
      </w:pPr>
    </w:p>
    <w:p w14:paraId="1014D90D" w14:textId="77777777" w:rsidR="006262E5" w:rsidRPr="009118AB" w:rsidRDefault="006262E5" w:rsidP="00483491">
      <w:pPr>
        <w:autoSpaceDE w:val="0"/>
        <w:autoSpaceDN w:val="0"/>
        <w:adjustRightInd w:val="0"/>
        <w:ind w:firstLine="709"/>
        <w:jc w:val="both"/>
        <w:rPr>
          <w:iCs/>
        </w:rPr>
      </w:pPr>
      <w:r w:rsidRPr="009118AB">
        <w:rPr>
          <w:iCs/>
        </w:rPr>
        <w:t>Folgende Einkünfte, die im Rahmen einer hybriden Gestaltung erzielt werden, sind betroffen:</w:t>
      </w:r>
    </w:p>
    <w:p w14:paraId="0AD79294" w14:textId="77777777" w:rsidR="006262E5" w:rsidRPr="009118AB" w:rsidRDefault="006262E5" w:rsidP="006262E5">
      <w:pPr>
        <w:autoSpaceDE w:val="0"/>
        <w:autoSpaceDN w:val="0"/>
        <w:adjustRightInd w:val="0"/>
        <w:jc w:val="both"/>
        <w:rPr>
          <w:iCs/>
        </w:rPr>
      </w:pPr>
    </w:p>
    <w:p w14:paraId="0B1EFCDA" w14:textId="77777777" w:rsidR="006262E5" w:rsidRPr="009118AB" w:rsidRDefault="006262E5" w:rsidP="00483491">
      <w:pPr>
        <w:autoSpaceDE w:val="0"/>
        <w:autoSpaceDN w:val="0"/>
        <w:adjustRightInd w:val="0"/>
        <w:ind w:firstLine="709"/>
        <w:jc w:val="both"/>
        <w:rPr>
          <w:iCs/>
        </w:rPr>
      </w:pPr>
      <w:r w:rsidRPr="009118AB">
        <w:rPr>
          <w:i/>
          <w:iCs/>
        </w:rPr>
        <w:t>a)</w:t>
      </w:r>
      <w:r w:rsidRPr="009118AB">
        <w:rPr>
          <w:iCs/>
        </w:rPr>
        <w:t> ein Einkommen, das im Rahmen eines Finanzinstruments erzielt wird, wenn der Abzug für das ausländische Unternehmen oder einen Zweigbetrieb eines solchen Unternehmens bei gleichzeitiger Nichtbesteuerung der belgischen Gesellschaften oder Niederlassungen, die die Empfänger sind oder aufgrund der Rechtsvorschriften eines anderen Staates als solche betrachtet werden, auf Unterschiede bei der Einordnung des Finanzinstruments oder der Einordnung des im Rahmen des Finanzinstruments erzielten Einkommens zurückzuführen ist.</w:t>
      </w:r>
    </w:p>
    <w:p w14:paraId="3ED6FCCE" w14:textId="77777777" w:rsidR="006262E5" w:rsidRPr="009118AB" w:rsidRDefault="006262E5" w:rsidP="006262E5">
      <w:pPr>
        <w:autoSpaceDE w:val="0"/>
        <w:autoSpaceDN w:val="0"/>
        <w:adjustRightInd w:val="0"/>
        <w:jc w:val="both"/>
        <w:rPr>
          <w:iCs/>
        </w:rPr>
      </w:pPr>
    </w:p>
    <w:p w14:paraId="58AD3ADC" w14:textId="77777777" w:rsidR="006262E5" w:rsidRPr="009118AB" w:rsidRDefault="006262E5" w:rsidP="00483491">
      <w:pPr>
        <w:autoSpaceDE w:val="0"/>
        <w:autoSpaceDN w:val="0"/>
        <w:adjustRightInd w:val="0"/>
        <w:ind w:firstLine="709"/>
        <w:jc w:val="both"/>
        <w:rPr>
          <w:iCs/>
        </w:rPr>
      </w:pPr>
      <w:r w:rsidRPr="009118AB">
        <w:rPr>
          <w:iCs/>
        </w:rPr>
        <w:t>Aus einem Einkommen, das dem zugrunde liegenden Ertrag eines übertragenen Finanzinstruments entspricht, entsteht keine hybride Gestaltung, wenn das Einkommen von einem Wertpapierhändler im Rahmen einer am Markt getätigten hybriden Übertragung gezahlt wird, sofern der Wertpapierhändler im Steuergebiet des Zahlenden alle Beträge, die er im Zusammenhang mit dem übertragenen Finanzinstrument erhält, als Einkünfte berücksich</w:t>
      </w:r>
      <w:r w:rsidRPr="009118AB">
        <w:rPr>
          <w:iCs/>
        </w:rPr>
        <w:softHyphen/>
        <w:t>tigen muss.</w:t>
      </w:r>
    </w:p>
    <w:p w14:paraId="08B7E377" w14:textId="77777777" w:rsidR="00CA0146" w:rsidRPr="009118AB" w:rsidRDefault="00CA0146" w:rsidP="006262E5">
      <w:pPr>
        <w:autoSpaceDE w:val="0"/>
        <w:autoSpaceDN w:val="0"/>
        <w:adjustRightInd w:val="0"/>
        <w:jc w:val="both"/>
        <w:rPr>
          <w:iCs/>
        </w:rPr>
      </w:pPr>
    </w:p>
    <w:p w14:paraId="119E0208" w14:textId="77777777" w:rsidR="006262E5" w:rsidRPr="009118AB" w:rsidRDefault="00483491" w:rsidP="00483491">
      <w:pPr>
        <w:rPr>
          <w:iCs/>
        </w:rPr>
      </w:pPr>
      <w:r w:rsidRPr="009118AB">
        <w:rPr>
          <w:iCs/>
        </w:rPr>
        <w:tab/>
      </w:r>
      <w:r w:rsidR="006262E5" w:rsidRPr="009118AB">
        <w:rPr>
          <w:iCs/>
        </w:rPr>
        <w:t>Für die Anwendung der vorliegenden Bestimmung versteht man unter:</w:t>
      </w:r>
    </w:p>
    <w:p w14:paraId="75C0B06A" w14:textId="77777777" w:rsidR="006262E5" w:rsidRPr="009118AB" w:rsidRDefault="006262E5" w:rsidP="006262E5">
      <w:pPr>
        <w:autoSpaceDE w:val="0"/>
        <w:autoSpaceDN w:val="0"/>
        <w:adjustRightInd w:val="0"/>
        <w:jc w:val="both"/>
        <w:rPr>
          <w:iCs/>
        </w:rPr>
      </w:pPr>
    </w:p>
    <w:p w14:paraId="7C3CC598" w14:textId="77777777" w:rsidR="006262E5" w:rsidRPr="009118AB" w:rsidRDefault="006262E5" w:rsidP="00483491">
      <w:pPr>
        <w:autoSpaceDE w:val="0"/>
        <w:autoSpaceDN w:val="0"/>
        <w:adjustRightInd w:val="0"/>
        <w:ind w:firstLine="709"/>
        <w:jc w:val="both"/>
        <w:rPr>
          <w:iCs/>
        </w:rPr>
      </w:pPr>
      <w:r w:rsidRPr="009118AB">
        <w:rPr>
          <w:iCs/>
        </w:rPr>
        <w:t>- "Finanzinstrument": jedes Instrument, soweit es zu einem Finanzierungs- oder Eigenkapitalertrag führt, der gemäß den Vorschriften für die Besteuerung von Schulden, Kapital oder Finanzderivaten nach den belgischen Rechtsvorschriften oder den Rechts</w:t>
      </w:r>
      <w:r w:rsidRPr="009118AB">
        <w:rPr>
          <w:iCs/>
        </w:rPr>
        <w:softHyphen/>
        <w:t>vorschriften des Staates des ausländischen Unternehmens oder des Zweigbetriebs eines solchen Unternehmens besteuert wird, einschließlich hybrider Übertragungen,</w:t>
      </w:r>
    </w:p>
    <w:p w14:paraId="4275586C" w14:textId="77777777" w:rsidR="006262E5" w:rsidRPr="009118AB" w:rsidRDefault="006262E5" w:rsidP="006262E5">
      <w:pPr>
        <w:autoSpaceDE w:val="0"/>
        <w:autoSpaceDN w:val="0"/>
        <w:adjustRightInd w:val="0"/>
        <w:jc w:val="both"/>
        <w:rPr>
          <w:iCs/>
        </w:rPr>
      </w:pPr>
    </w:p>
    <w:p w14:paraId="2ACDF8FC" w14:textId="77777777" w:rsidR="006262E5" w:rsidRPr="009118AB" w:rsidRDefault="006262E5" w:rsidP="00483491">
      <w:pPr>
        <w:autoSpaceDE w:val="0"/>
        <w:autoSpaceDN w:val="0"/>
        <w:adjustRightInd w:val="0"/>
        <w:ind w:firstLine="709"/>
        <w:jc w:val="both"/>
        <w:rPr>
          <w:iCs/>
        </w:rPr>
      </w:pPr>
      <w:r w:rsidRPr="009118AB">
        <w:rPr>
          <w:iCs/>
        </w:rPr>
        <w:t>- "am Markt getätigter hybrider Übertragung": eine hybride Übertragung, die von einem Wertpapierhändler im Zuge seiner üblichen Geschäftstätigkeit und nicht im Rahmen einer strukturierten Gestaltung vorgenommen wird,</w:t>
      </w:r>
    </w:p>
    <w:p w14:paraId="3AD5958B" w14:textId="77777777" w:rsidR="006262E5" w:rsidRPr="009118AB" w:rsidRDefault="006262E5" w:rsidP="006262E5">
      <w:pPr>
        <w:autoSpaceDE w:val="0"/>
        <w:autoSpaceDN w:val="0"/>
        <w:adjustRightInd w:val="0"/>
        <w:jc w:val="both"/>
        <w:rPr>
          <w:iCs/>
        </w:rPr>
      </w:pPr>
    </w:p>
    <w:p w14:paraId="2ED6BF9A" w14:textId="77777777" w:rsidR="006262E5" w:rsidRPr="009118AB" w:rsidRDefault="006262E5" w:rsidP="00483491">
      <w:pPr>
        <w:autoSpaceDE w:val="0"/>
        <w:autoSpaceDN w:val="0"/>
        <w:adjustRightInd w:val="0"/>
        <w:ind w:firstLine="709"/>
        <w:jc w:val="both"/>
        <w:rPr>
          <w:iCs/>
        </w:rPr>
      </w:pPr>
      <w:r w:rsidRPr="009118AB">
        <w:rPr>
          <w:iCs/>
        </w:rPr>
        <w:t>- "Wertpapierhändler": eine Person oder ein Unternehmen, deren/dessen Geschäfts</w:t>
      </w:r>
      <w:r w:rsidRPr="009118AB">
        <w:rPr>
          <w:iCs/>
        </w:rPr>
        <w:softHyphen/>
        <w:t>tätigkeit darin besteht, regelmäßig auf eigene Rechnung für Zwecke der Gewinnerzielung Finanzinstrumente zu kaufen und zu verkaufen,</w:t>
      </w:r>
    </w:p>
    <w:p w14:paraId="7F814312" w14:textId="77777777" w:rsidR="006262E5" w:rsidRPr="009118AB" w:rsidRDefault="006262E5" w:rsidP="006262E5">
      <w:pPr>
        <w:autoSpaceDE w:val="0"/>
        <w:autoSpaceDN w:val="0"/>
        <w:adjustRightInd w:val="0"/>
        <w:jc w:val="both"/>
        <w:rPr>
          <w:iCs/>
        </w:rPr>
      </w:pPr>
    </w:p>
    <w:p w14:paraId="1CF6F85C" w14:textId="77777777" w:rsidR="006262E5" w:rsidRPr="009118AB" w:rsidRDefault="006262E5" w:rsidP="00483491">
      <w:pPr>
        <w:autoSpaceDE w:val="0"/>
        <w:autoSpaceDN w:val="0"/>
        <w:adjustRightInd w:val="0"/>
        <w:ind w:firstLine="709"/>
        <w:jc w:val="both"/>
        <w:rPr>
          <w:iCs/>
        </w:rPr>
      </w:pPr>
      <w:r w:rsidRPr="009118AB">
        <w:rPr>
          <w:i/>
          <w:iCs/>
        </w:rPr>
        <w:t>b)</w:t>
      </w:r>
      <w:r w:rsidRPr="009118AB">
        <w:rPr>
          <w:iCs/>
        </w:rPr>
        <w:t> ein Einkommen, das von einem ausländischen Unternehmen oder einem Zweig</w:t>
      </w:r>
      <w:r w:rsidRPr="009118AB">
        <w:rPr>
          <w:iCs/>
        </w:rPr>
        <w:softHyphen/>
        <w:t>betrieb eines solchen Unternehmens gezahlt wird, das/der ein hybrides Unternehmen ist, in dem Maße, wie dieses Einkommen für dieses hybride Unternehmen abzugsfähig ist von den steuerpflichtigen Einkünften, die nicht ebenfalls in den steuerpflichtigen Einkünften der belgischen Gesellschaften oder Niederlassungen enthalten sind, denen dieses Einkommen gezahlt wird oder bei denen aufgrund der Rechtsvorschriften eines anderen Staates davon ausgegangen wird, dass ihnen dieses Einkommen gezahlt wird.]</w:t>
      </w:r>
    </w:p>
    <w:p w14:paraId="49A2ADC6" w14:textId="77777777" w:rsidR="006262E5" w:rsidRPr="009118AB" w:rsidRDefault="006262E5" w:rsidP="006262E5">
      <w:pPr>
        <w:autoSpaceDE w:val="0"/>
        <w:autoSpaceDN w:val="0"/>
        <w:adjustRightInd w:val="0"/>
        <w:jc w:val="both"/>
        <w:rPr>
          <w:iCs/>
        </w:rPr>
      </w:pPr>
    </w:p>
    <w:p w14:paraId="00F1624B" w14:textId="67FFD135" w:rsidR="006262E5" w:rsidRPr="009118AB" w:rsidRDefault="006262E5" w:rsidP="00483491">
      <w:pPr>
        <w:autoSpaceDE w:val="0"/>
        <w:autoSpaceDN w:val="0"/>
        <w:adjustRightInd w:val="0"/>
        <w:ind w:firstLine="709"/>
        <w:jc w:val="both"/>
        <w:rPr>
          <w:iCs/>
        </w:rPr>
      </w:pPr>
      <w:r w:rsidRPr="009118AB">
        <w:rPr>
          <w:iCs/>
        </w:rPr>
        <w:lastRenderedPageBreak/>
        <w:t>[</w:t>
      </w:r>
      <w:r w:rsidR="00D67EB8" w:rsidRPr="009118AB">
        <w:rPr>
          <w:iCs/>
        </w:rPr>
        <w:t>§ </w:t>
      </w:r>
      <w:r w:rsidRPr="009118AB">
        <w:rPr>
          <w:iCs/>
        </w:rPr>
        <w:t>3</w:t>
      </w:r>
      <w:r w:rsidR="00D67EB8" w:rsidRPr="009118AB">
        <w:rPr>
          <w:iCs/>
        </w:rPr>
        <w:t> - </w:t>
      </w:r>
      <w:r w:rsidRPr="009118AB">
        <w:rPr>
          <w:iCs/>
        </w:rPr>
        <w:t>[Der Betrag der beruflichen Verluste, die in ausländischen Niederlassungen erlitten werden oder sich auf im Ausland gelegene Aktiva beziehen, über die die Gesellschaft verfügt, deren in diesen Niederlassungen oder durch diese Aktiva erzielten Gewinne gemäß einem von Belgien abgeschlossenen Abkommen zur Vermeidung der Doppelbesteuerung steuerfrei sind, wird für die Festlegung der steuerpflichtigen Grundlage nicht berücksichtigt, außer was endgültige berufliche Verluste betrifft, die in einem Mitgliedstaat des Europäischen Wirtschaftsraums erlitten wurden.</w:t>
      </w:r>
    </w:p>
    <w:p w14:paraId="47549729" w14:textId="77777777" w:rsidR="006262E5" w:rsidRPr="009118AB" w:rsidRDefault="006262E5" w:rsidP="006262E5">
      <w:pPr>
        <w:autoSpaceDE w:val="0"/>
        <w:autoSpaceDN w:val="0"/>
        <w:adjustRightInd w:val="0"/>
        <w:jc w:val="both"/>
        <w:rPr>
          <w:iCs/>
        </w:rPr>
      </w:pPr>
    </w:p>
    <w:p w14:paraId="1337D76A" w14:textId="77183E66" w:rsidR="006262E5" w:rsidRPr="009118AB" w:rsidRDefault="006262E5" w:rsidP="00483491">
      <w:pPr>
        <w:autoSpaceDE w:val="0"/>
        <w:autoSpaceDN w:val="0"/>
        <w:adjustRightInd w:val="0"/>
        <w:ind w:firstLine="709"/>
        <w:jc w:val="both"/>
        <w:rPr>
          <w:iCs/>
        </w:rPr>
      </w:pPr>
      <w:r w:rsidRPr="009118AB">
        <w:rPr>
          <w:iCs/>
        </w:rPr>
        <w:t>Der Betrag der beruflichen Verluste, die in ausländischen Niederlassungen erlitten werden oder sich auf im Ausland gelegene Aktiva beziehen, über die die Gesellschaft verfügt, für die die Steuer auf Gewinne, die in diesen Niederlassungen oder durch diese Aktiva erzielt werden, in Anwendung eines Abkommens zur Vermeidung der Doppelbesteuerung ermäßigt wird, wird für die Festlegung der steuerpflichtigen Grundlage in demselben Maße nicht berücksichtigt, wie die Steuer auf Gewinne aufgrund dieses Abkommens ermäßigt wird</w:t>
      </w:r>
      <w:r w:rsidR="00BD340C" w:rsidRPr="009118AB">
        <w:rPr>
          <w:iCs/>
        </w:rPr>
        <w:t>[</w:t>
      </w:r>
      <w:r w:rsidR="00BD340C" w:rsidRPr="009118AB">
        <w:t>, außer was endgültige berufliche Verluste betrifft, die in einem Mitgliedstaat des Europäischen Wirtschaftsraums erlitten wurden</w:t>
      </w:r>
      <w:r w:rsidR="00BD340C" w:rsidRPr="009118AB">
        <w:rPr>
          <w:iCs/>
        </w:rPr>
        <w:t>]</w:t>
      </w:r>
      <w:r w:rsidRPr="009118AB">
        <w:rPr>
          <w:iCs/>
        </w:rPr>
        <w:t>.</w:t>
      </w:r>
    </w:p>
    <w:p w14:paraId="604FC271" w14:textId="77777777" w:rsidR="006262E5" w:rsidRPr="009118AB" w:rsidRDefault="006262E5" w:rsidP="006262E5">
      <w:pPr>
        <w:autoSpaceDE w:val="0"/>
        <w:autoSpaceDN w:val="0"/>
        <w:adjustRightInd w:val="0"/>
        <w:jc w:val="both"/>
        <w:rPr>
          <w:iCs/>
        </w:rPr>
      </w:pPr>
    </w:p>
    <w:p w14:paraId="429E02D2" w14:textId="153C0DF7" w:rsidR="00BD340C" w:rsidRPr="009118AB" w:rsidRDefault="00BD340C" w:rsidP="00BD340C">
      <w:pPr>
        <w:jc w:val="both"/>
      </w:pPr>
      <w:r w:rsidRPr="009118AB">
        <w:rPr>
          <w:iCs/>
        </w:rPr>
        <w:tab/>
        <w:t>[</w:t>
      </w:r>
      <w:r w:rsidRPr="009118AB">
        <w:t>Zum steuerpflichtigen Einkommen wird ein Betrag hinzugefügt, der den vorherigen beruflichen Verlusten entspricht, die während eines Besteuerungszeitraums, der vor dem 1. Januar 2020 begonnen hat, in einer ausländischen Niederlassung erlitten wurden, deren Gewinne steuerfrei waren oder für die die Steuer auf Gewinne ermäßigt wurde in Anwendung eines Abkommens zur Vermeidung der Doppelbesteuerung, in dem Maße, wie diese Verluste von der Gesellschaft in irgendeinem Besteuerungszeitraum auf ihre belgischen Gewinne oder ihre nicht durch Abkommen befreiten Gewinne angerechnet worden sind; dieser Betrag wird begrenzt auf:</w:t>
      </w:r>
    </w:p>
    <w:p w14:paraId="42DF07A2" w14:textId="77777777" w:rsidR="00BD340C" w:rsidRPr="009118AB" w:rsidRDefault="00BD340C" w:rsidP="00BD340C">
      <w:pPr>
        <w:jc w:val="both"/>
      </w:pPr>
    </w:p>
    <w:p w14:paraId="0134A76D" w14:textId="77777777" w:rsidR="00BD340C" w:rsidRPr="009118AB" w:rsidRDefault="00BD340C" w:rsidP="00BD340C">
      <w:pPr>
        <w:jc w:val="both"/>
      </w:pPr>
      <w:r w:rsidRPr="009118AB">
        <w:tab/>
        <w:t>- den proportionalen Anteil dieser Verluste, für den die Gesellschaft für diesen Besteuerungszeitraum nicht mehr nachweist, dass er nicht von den Gewinnen dieser ausländischen Niederlassung abgezogen worden ist, die von dem Staat festgelegt worden sind, in dem diese Niederlassung gelegen ist,</w:t>
      </w:r>
    </w:p>
    <w:p w14:paraId="5C079E58" w14:textId="77777777" w:rsidR="00BD340C" w:rsidRPr="009118AB" w:rsidRDefault="00BD340C" w:rsidP="00BD340C">
      <w:pPr>
        <w:jc w:val="both"/>
      </w:pPr>
    </w:p>
    <w:p w14:paraId="6EE34715" w14:textId="3BF08962" w:rsidR="006262E5" w:rsidRPr="009118AB" w:rsidRDefault="00BD340C" w:rsidP="00BD340C">
      <w:pPr>
        <w:autoSpaceDE w:val="0"/>
        <w:autoSpaceDN w:val="0"/>
        <w:adjustRightInd w:val="0"/>
        <w:ind w:firstLine="709"/>
        <w:jc w:val="both"/>
        <w:rPr>
          <w:iCs/>
        </w:rPr>
      </w:pPr>
      <w:r w:rsidRPr="009118AB">
        <w:t>- den verbleibenden Anteil dieser Verluste, die noch nicht zum steuerpflichtigen Einkommen irgendeines Besteuerungszeitraums hinzugefügt worden sind, wenn die betreffende ausländische Niederlassung in diesem Besteuerungszeitraum im Rahmen einer Einbringung, einer Fusion, einer Aufspaltung oder eines damit gleichgesetzten Vorgangs übertragen wird.</w:t>
      </w:r>
      <w:r w:rsidRPr="009118AB">
        <w:rPr>
          <w:iCs/>
        </w:rPr>
        <w:t>]</w:t>
      </w:r>
    </w:p>
    <w:p w14:paraId="202AEF43" w14:textId="77777777" w:rsidR="006262E5" w:rsidRPr="009118AB" w:rsidRDefault="006262E5" w:rsidP="006262E5">
      <w:pPr>
        <w:autoSpaceDE w:val="0"/>
        <w:autoSpaceDN w:val="0"/>
        <w:adjustRightInd w:val="0"/>
        <w:jc w:val="both"/>
        <w:rPr>
          <w:iCs/>
        </w:rPr>
      </w:pPr>
    </w:p>
    <w:p w14:paraId="2A298FEB" w14:textId="77777777" w:rsidR="006262E5" w:rsidRPr="009118AB" w:rsidRDefault="006262E5" w:rsidP="00483491">
      <w:pPr>
        <w:autoSpaceDE w:val="0"/>
        <w:autoSpaceDN w:val="0"/>
        <w:adjustRightInd w:val="0"/>
        <w:ind w:firstLine="709"/>
        <w:jc w:val="both"/>
        <w:rPr>
          <w:iCs/>
        </w:rPr>
      </w:pPr>
      <w:r w:rsidRPr="009118AB">
        <w:rPr>
          <w:iCs/>
        </w:rPr>
        <w:t>Für die Anwendung des vorliegenden Paragraphen werden folgende berufliche Verluste als endgültig betrachtet:</w:t>
      </w:r>
    </w:p>
    <w:p w14:paraId="1782F527" w14:textId="77777777" w:rsidR="006262E5" w:rsidRPr="009118AB" w:rsidRDefault="006262E5" w:rsidP="006262E5">
      <w:pPr>
        <w:autoSpaceDE w:val="0"/>
        <w:autoSpaceDN w:val="0"/>
        <w:adjustRightInd w:val="0"/>
        <w:jc w:val="both"/>
        <w:rPr>
          <w:iCs/>
        </w:rPr>
      </w:pPr>
    </w:p>
    <w:p w14:paraId="16039749" w14:textId="77777777" w:rsidR="006262E5" w:rsidRPr="009118AB" w:rsidRDefault="006262E5" w:rsidP="00483491">
      <w:pPr>
        <w:autoSpaceDE w:val="0"/>
        <w:autoSpaceDN w:val="0"/>
        <w:adjustRightInd w:val="0"/>
        <w:ind w:firstLine="709"/>
        <w:jc w:val="both"/>
        <w:rPr>
          <w:iCs/>
        </w:rPr>
      </w:pPr>
      <w:r w:rsidRPr="009118AB">
        <w:rPr>
          <w:i/>
          <w:iCs/>
        </w:rPr>
        <w:t>a)</w:t>
      </w:r>
      <w:r w:rsidRPr="009118AB">
        <w:rPr>
          <w:iCs/>
        </w:rPr>
        <w:t> Verluste, die zu dem Zeitpunkt bestehen, zu dem die Gesellschaft ihre Tätigkeiten in einem bestimmten Mitgliedstaat definitiv einstellt, insofern in dem Mitgliedstaat, in dem die ausländische Niederlassung gelegen war, für diese Verluste kein Abzug gleich welcher Art gewährt wird,</w:t>
      </w:r>
    </w:p>
    <w:p w14:paraId="22CF9540" w14:textId="77777777" w:rsidR="006262E5" w:rsidRPr="009118AB" w:rsidRDefault="006262E5" w:rsidP="006262E5">
      <w:pPr>
        <w:autoSpaceDE w:val="0"/>
        <w:autoSpaceDN w:val="0"/>
        <w:adjustRightInd w:val="0"/>
        <w:jc w:val="both"/>
        <w:rPr>
          <w:iCs/>
        </w:rPr>
      </w:pPr>
    </w:p>
    <w:p w14:paraId="109D87E7" w14:textId="77777777" w:rsidR="006262E5" w:rsidRPr="009118AB" w:rsidRDefault="006262E5" w:rsidP="00483491">
      <w:pPr>
        <w:autoSpaceDE w:val="0"/>
        <w:autoSpaceDN w:val="0"/>
        <w:adjustRightInd w:val="0"/>
        <w:ind w:firstLine="709"/>
        <w:jc w:val="both"/>
        <w:rPr>
          <w:iCs/>
        </w:rPr>
      </w:pPr>
      <w:r w:rsidRPr="009118AB">
        <w:rPr>
          <w:i/>
          <w:iCs/>
        </w:rPr>
        <w:t>b)</w:t>
      </w:r>
      <w:r w:rsidRPr="009118AB">
        <w:rPr>
          <w:iCs/>
        </w:rPr>
        <w:t> in Ermangelung einer ausländischen Niederlassung Verluste, die zu dem Zeitpunkt bestehen, zu dem die Gesellschaft in einem bestimmten Mitgliedstaat über keine Aktiva mehr verfügt, insofern in dem Mitgliedstaat, in dem die Aktiva gelegen waren, für diese Verluste kein Abzug gleich welcher Art gewährt wird.</w:t>
      </w:r>
    </w:p>
    <w:p w14:paraId="06735F9F" w14:textId="77777777" w:rsidR="006262E5" w:rsidRPr="009118AB" w:rsidRDefault="006262E5" w:rsidP="006262E5">
      <w:pPr>
        <w:autoSpaceDE w:val="0"/>
        <w:autoSpaceDN w:val="0"/>
        <w:adjustRightInd w:val="0"/>
        <w:jc w:val="both"/>
        <w:rPr>
          <w:iCs/>
        </w:rPr>
      </w:pPr>
    </w:p>
    <w:p w14:paraId="1327FACE" w14:textId="77777777" w:rsidR="006262E5" w:rsidRPr="009118AB" w:rsidRDefault="006262E5" w:rsidP="00483491">
      <w:pPr>
        <w:autoSpaceDE w:val="0"/>
        <w:autoSpaceDN w:val="0"/>
        <w:adjustRightInd w:val="0"/>
        <w:ind w:firstLine="709"/>
        <w:jc w:val="both"/>
        <w:rPr>
          <w:iCs/>
        </w:rPr>
      </w:pPr>
      <w:r w:rsidRPr="009118AB">
        <w:rPr>
          <w:iCs/>
        </w:rPr>
        <w:lastRenderedPageBreak/>
        <w:t>Für die Anwendung des vorliegenden Paragraphen werden berufliche Verluste nicht als endgültig betrachtet, sofern diese Verluste in dem Staat, in dem die ausländische Niederlassung oder die Aktiva gelegen waren, noch zu einem Abzug in Bezug auf andere in diesem Staat gelegene Niederlassungen oder Aktiva, über die die Gesellschaft verfügt, berechtigen oder sofern der Anspruch auf Abzug dieser Verluste in diesem anderen Staat auf eine andere Person übertragen wird.</w:t>
      </w:r>
    </w:p>
    <w:p w14:paraId="7FCD7278" w14:textId="77777777" w:rsidR="006262E5" w:rsidRPr="009118AB" w:rsidRDefault="006262E5" w:rsidP="006262E5">
      <w:pPr>
        <w:autoSpaceDE w:val="0"/>
        <w:autoSpaceDN w:val="0"/>
        <w:adjustRightInd w:val="0"/>
        <w:jc w:val="both"/>
        <w:rPr>
          <w:iCs/>
        </w:rPr>
      </w:pPr>
    </w:p>
    <w:p w14:paraId="07AD6A4C" w14:textId="6648A9D3" w:rsidR="006262E5" w:rsidRPr="009118AB" w:rsidRDefault="006262E5" w:rsidP="00483491">
      <w:pPr>
        <w:autoSpaceDE w:val="0"/>
        <w:autoSpaceDN w:val="0"/>
        <w:adjustRightInd w:val="0"/>
        <w:ind w:firstLine="709"/>
        <w:jc w:val="both"/>
        <w:rPr>
          <w:iCs/>
        </w:rPr>
      </w:pPr>
      <w:r w:rsidRPr="009118AB">
        <w:rPr>
          <w:iCs/>
        </w:rPr>
        <w:t>Nimmt die Gesellschaft binnen drei Jahren nach Abzug der endgültigen beruflichen Verluste erneut Tätigkeiten in dem Mitgliedstaat auf, in dem die Niederlassung oder die Aktiva gelegen waren, die zu der Bestimmung der endgültigen beruflichen Verluste geführt haben, wird der steuerpflichtigen Grundlage des Besteuerungszeitraums, in dem die Tätigkeiten erneut aufgenommen werden, ein Betrag hinzugefügt,</w:t>
      </w:r>
      <w:r w:rsidR="00BD340C" w:rsidRPr="009118AB">
        <w:rPr>
          <w:iCs/>
        </w:rPr>
        <w:t>[</w:t>
      </w:r>
      <w:r w:rsidR="00BD340C" w:rsidRPr="009118AB">
        <w:t xml:space="preserve"> der den endgültigen beruflichen Verlusten entspricht, die auf ihre belgischen Gewinne oder ihre nicht durch Abkommen befreiten Gewinne angerechnet worden sind</w:t>
      </w:r>
      <w:r w:rsidR="00BD340C" w:rsidRPr="009118AB">
        <w:rPr>
          <w:iCs/>
        </w:rPr>
        <w:t>]</w:t>
      </w:r>
      <w:r w:rsidRPr="009118AB">
        <w:rPr>
          <w:iCs/>
        </w:rPr>
        <w:t>.]]</w:t>
      </w:r>
    </w:p>
    <w:p w14:paraId="0CA7F64C" w14:textId="22A071A4" w:rsidR="00BD340C" w:rsidRPr="009118AB" w:rsidRDefault="00BD340C" w:rsidP="00483491">
      <w:pPr>
        <w:autoSpaceDE w:val="0"/>
        <w:autoSpaceDN w:val="0"/>
        <w:adjustRightInd w:val="0"/>
        <w:ind w:firstLine="709"/>
        <w:jc w:val="both"/>
        <w:rPr>
          <w:iCs/>
        </w:rPr>
      </w:pPr>
    </w:p>
    <w:p w14:paraId="0034649E" w14:textId="60233B4C" w:rsidR="00BD340C" w:rsidRPr="009118AB" w:rsidRDefault="00BD340C" w:rsidP="00483491">
      <w:pPr>
        <w:autoSpaceDE w:val="0"/>
        <w:autoSpaceDN w:val="0"/>
        <w:adjustRightInd w:val="0"/>
        <w:ind w:firstLine="709"/>
        <w:jc w:val="both"/>
        <w:rPr>
          <w:iCs/>
        </w:rPr>
      </w:pPr>
      <w:r w:rsidRPr="009118AB">
        <w:rPr>
          <w:iCs/>
        </w:rPr>
        <w:t>[</w:t>
      </w:r>
      <w:r w:rsidRPr="009118AB">
        <w:t>Ist in einem Abkommen zur Vermeidung der Doppelbesteuerung entsprechend dem Betrag der ausländischen Steuer entweder die Befreiung von der belgischen Steuer oder die Ermäßigung der belgischen Steuer auf Gewinne, die gemäß diesem Abkommen in dem anderen Staat besteuert werden können, vorgesehen, wird dieses Abkommen für die Anwendung des vorliegenden Paragraphen als Abkommen betrachtet, das die Gewinne in Belgien von der Steuer befreit.</w:t>
      </w:r>
      <w:r w:rsidRPr="009118AB">
        <w:rPr>
          <w:iCs/>
        </w:rPr>
        <w:t>]</w:t>
      </w:r>
    </w:p>
    <w:p w14:paraId="22D38D19" w14:textId="77777777" w:rsidR="009354EC" w:rsidRPr="009118AB" w:rsidRDefault="009354EC" w:rsidP="006262E5">
      <w:pPr>
        <w:autoSpaceDE w:val="0"/>
        <w:autoSpaceDN w:val="0"/>
        <w:adjustRightInd w:val="0"/>
        <w:jc w:val="both"/>
        <w:rPr>
          <w:iCs/>
        </w:rPr>
      </w:pPr>
    </w:p>
    <w:p w14:paraId="28D8C75C" w14:textId="7E0789F2" w:rsidR="009354EC" w:rsidRPr="009118AB" w:rsidRDefault="009354EC" w:rsidP="00483491">
      <w:pPr>
        <w:autoSpaceDE w:val="0"/>
        <w:autoSpaceDN w:val="0"/>
        <w:adjustRightInd w:val="0"/>
        <w:ind w:firstLine="709"/>
        <w:jc w:val="both"/>
        <w:rPr>
          <w:iCs/>
        </w:rPr>
      </w:pPr>
      <w:r w:rsidRPr="009118AB">
        <w:rPr>
          <w:iCs/>
        </w:rPr>
        <w:t>[</w:t>
      </w:r>
      <w:r w:rsidR="00D67EB8" w:rsidRPr="009118AB">
        <w:rPr>
          <w:iCs/>
        </w:rPr>
        <w:t>§ </w:t>
      </w:r>
      <w:r w:rsidRPr="009118AB">
        <w:rPr>
          <w:iCs/>
        </w:rPr>
        <w:t>4</w:t>
      </w:r>
      <w:r w:rsidR="00D67EB8" w:rsidRPr="009118AB">
        <w:rPr>
          <w:iCs/>
        </w:rPr>
        <w:t> - </w:t>
      </w:r>
      <w:r w:rsidRPr="009118AB">
        <w:rPr>
          <w:iCs/>
        </w:rPr>
        <w:t xml:space="preserve">Hat die Gesellschaft sich in Anwendung des in Artikel 205/5 </w:t>
      </w:r>
      <w:r w:rsidR="00D67EB8" w:rsidRPr="009118AB">
        <w:rPr>
          <w:iCs/>
        </w:rPr>
        <w:t>§ </w:t>
      </w:r>
      <w:r w:rsidRPr="009118AB">
        <w:rPr>
          <w:iCs/>
        </w:rPr>
        <w:t>3 erwähnten Kon</w:t>
      </w:r>
      <w:r w:rsidRPr="009118AB">
        <w:rPr>
          <w:iCs/>
        </w:rPr>
        <w:softHyphen/>
        <w:t>zern</w:t>
      </w:r>
      <w:r w:rsidRPr="009118AB">
        <w:rPr>
          <w:iCs/>
        </w:rPr>
        <w:softHyphen/>
        <w:t>beitragsvertrags des Steuerjahres verpflichtet, den Betrag des Konzernbeitrags als Gewinn des Besteuerungszeitraum aufzunehmen, wird dieser Betrag des Konzernbeitrags in die Besteuerungs</w:t>
      </w:r>
      <w:r w:rsidRPr="009118AB">
        <w:rPr>
          <w:iCs/>
        </w:rPr>
        <w:softHyphen/>
        <w:t>grundlage des Besteuerungszeitraums, der an dieses Steuerjahr gebunden ist, einbezogen.</w:t>
      </w:r>
    </w:p>
    <w:p w14:paraId="1F64CEA5" w14:textId="77777777" w:rsidR="009354EC" w:rsidRPr="009118AB" w:rsidRDefault="009354EC" w:rsidP="009354EC">
      <w:pPr>
        <w:autoSpaceDE w:val="0"/>
        <w:autoSpaceDN w:val="0"/>
        <w:adjustRightInd w:val="0"/>
        <w:jc w:val="both"/>
        <w:rPr>
          <w:iCs/>
        </w:rPr>
      </w:pPr>
    </w:p>
    <w:p w14:paraId="79584896" w14:textId="44E2E43A" w:rsidR="009354EC" w:rsidRPr="009118AB" w:rsidRDefault="009354EC" w:rsidP="00483491">
      <w:pPr>
        <w:autoSpaceDE w:val="0"/>
        <w:autoSpaceDN w:val="0"/>
        <w:adjustRightInd w:val="0"/>
        <w:ind w:firstLine="709"/>
        <w:jc w:val="both"/>
        <w:rPr>
          <w:iCs/>
        </w:rPr>
      </w:pPr>
      <w:r w:rsidRPr="009118AB">
        <w:rPr>
          <w:iCs/>
        </w:rPr>
        <w:t xml:space="preserve">Hat die Gesellschaft in Anwendung des in Artikel 205/5 </w:t>
      </w:r>
      <w:r w:rsidR="00D67EB8" w:rsidRPr="009118AB">
        <w:rPr>
          <w:iCs/>
        </w:rPr>
        <w:t>§ </w:t>
      </w:r>
      <w:r w:rsidRPr="009118AB">
        <w:rPr>
          <w:iCs/>
        </w:rPr>
        <w:t>4 erwähnten Konzern</w:t>
      </w:r>
      <w:r w:rsidRPr="009118AB">
        <w:rPr>
          <w:iCs/>
        </w:rPr>
        <w:softHyphen/>
        <w:t>beitragsvertrags in einem vorhergehenden Besteuerungszeitraum einen Betrag des Konzernbei</w:t>
      </w:r>
      <w:r w:rsidRPr="009118AB">
        <w:rPr>
          <w:iCs/>
        </w:rPr>
        <w:softHyphen/>
        <w:t>trags abgezogen und werden die Tätigkeiten der ausländischen Gesellschaft, mit der der Vertrag geschlossen wurde, binnen drei Jahren ab ihrer Einstellung wieder aufgenommen, wird ein Betrag, der dem Betrag des Konzernbeitrags entspricht, in die Besteuerungsgrundlage des Besteuerungszeitraums, in dem diese Tätigkeiten wieder aufgenommen wurden, einbezogen.]</w:t>
      </w:r>
    </w:p>
    <w:p w14:paraId="30BFF502" w14:textId="4F2712F6" w:rsidR="00A150F8" w:rsidRPr="009118AB" w:rsidRDefault="00A150F8" w:rsidP="00483491">
      <w:pPr>
        <w:autoSpaceDE w:val="0"/>
        <w:autoSpaceDN w:val="0"/>
        <w:adjustRightInd w:val="0"/>
        <w:ind w:firstLine="709"/>
        <w:jc w:val="both"/>
        <w:rPr>
          <w:iCs/>
        </w:rPr>
      </w:pPr>
    </w:p>
    <w:p w14:paraId="7B02CE34" w14:textId="054FCA8C" w:rsidR="00A150F8" w:rsidRPr="009118AB" w:rsidRDefault="00A150F8" w:rsidP="00A150F8">
      <w:pPr>
        <w:ind w:firstLine="708"/>
        <w:jc w:val="both"/>
      </w:pPr>
      <w:r w:rsidRPr="009118AB">
        <w:rPr>
          <w:iCs/>
        </w:rPr>
        <w:t>[</w:t>
      </w:r>
      <w:r w:rsidR="00D67EB8" w:rsidRPr="009118AB">
        <w:t>§ </w:t>
      </w:r>
      <w:r w:rsidRPr="009118AB">
        <w:t>5</w:t>
      </w:r>
      <w:r w:rsidR="00D67EB8" w:rsidRPr="009118AB">
        <w:t> - </w:t>
      </w:r>
      <w:r w:rsidRPr="009118AB">
        <w:t>Wenn der Betrag der in Artikel 194</w:t>
      </w:r>
      <w:r w:rsidRPr="009118AB">
        <w:rPr>
          <w:i/>
          <w:iCs/>
        </w:rPr>
        <w:t>septies</w:t>
      </w:r>
      <w:r w:rsidRPr="009118AB">
        <w:t>/1 erwähnten Rücklage in Anwendung von Artikel 194</w:t>
      </w:r>
      <w:r w:rsidRPr="009118AB">
        <w:rPr>
          <w:i/>
          <w:iCs/>
        </w:rPr>
        <w:t>septies</w:t>
      </w:r>
      <w:r w:rsidRPr="009118AB">
        <w:t xml:space="preserve">/1 </w:t>
      </w:r>
      <w:r w:rsidR="00D67EB8" w:rsidRPr="009118AB">
        <w:t>§ </w:t>
      </w:r>
      <w:r w:rsidRPr="009118AB">
        <w:t>4 zum Betrag der steuerpflichtigen Gewinnrücklagen hinzugefügt wird, wird die Besteuerungsgrundlage unbeschadet dieser Hinzufügung zusätzlich um einen Betrag erhöht, der durch die Anwendung des in Absatz 2 oder Absatz 6 erwähnten Satzes auf den Betrag dieser Rücklage gebildet wird.</w:t>
      </w:r>
    </w:p>
    <w:p w14:paraId="35AD8C30" w14:textId="77777777" w:rsidR="00A150F8" w:rsidRPr="009118AB" w:rsidRDefault="00A150F8" w:rsidP="00A150F8">
      <w:pPr>
        <w:jc w:val="both"/>
      </w:pPr>
    </w:p>
    <w:p w14:paraId="5DE7EB79" w14:textId="2B285D68" w:rsidR="00A150F8" w:rsidRPr="009118AB" w:rsidRDefault="00A150F8" w:rsidP="00A150F8">
      <w:pPr>
        <w:ind w:firstLine="708"/>
        <w:jc w:val="both"/>
      </w:pPr>
      <w:r w:rsidRPr="009118AB">
        <w:t>Wenn Artikel 215 Absatz 2 für den Besteuerungszeitraum anwendbar ist, in dem die in Artikel 194</w:t>
      </w:r>
      <w:r w:rsidRPr="009118AB">
        <w:rPr>
          <w:i/>
          <w:iCs/>
        </w:rPr>
        <w:t>septies</w:t>
      </w:r>
      <w:r w:rsidRPr="009118AB">
        <w:t xml:space="preserve">/1 </w:t>
      </w:r>
      <w:r w:rsidR="00D67EB8" w:rsidRPr="009118AB">
        <w:t>§ </w:t>
      </w:r>
      <w:r w:rsidRPr="009118AB">
        <w:t>1 erwähnte steuerfreie Rücklage gebildet wurde, oder für den Besteuerungszeitraum, in dem diese Rücklage wieder aufgenommen wird, entspricht der Satz dieser Erhöhung der Differenz zwischen dem Prozentsatz, der sich nach Anwendung des nachfolgenden Verhältnisses ergibt, und 100 Prozent.</w:t>
      </w:r>
    </w:p>
    <w:p w14:paraId="25415939" w14:textId="77777777" w:rsidR="00A150F8" w:rsidRPr="009118AB" w:rsidRDefault="00A150F8" w:rsidP="00A150F8">
      <w:pPr>
        <w:jc w:val="both"/>
      </w:pPr>
    </w:p>
    <w:p w14:paraId="1012BF5D" w14:textId="77777777" w:rsidR="00BD340C" w:rsidRPr="009118AB" w:rsidRDefault="00BD340C">
      <w:r w:rsidRPr="009118AB">
        <w:br w:type="page"/>
      </w:r>
    </w:p>
    <w:p w14:paraId="5708B87F" w14:textId="42A6B24B" w:rsidR="00A150F8" w:rsidRPr="009118AB" w:rsidRDefault="00A150F8" w:rsidP="00A150F8">
      <w:pPr>
        <w:ind w:firstLine="708"/>
        <w:jc w:val="both"/>
      </w:pPr>
      <w:r w:rsidRPr="009118AB">
        <w:lastRenderedPageBreak/>
        <w:t>Dieses Verhältnis wird bestimmt durch:</w:t>
      </w:r>
    </w:p>
    <w:p w14:paraId="049AC359" w14:textId="77777777" w:rsidR="00A150F8" w:rsidRPr="009118AB" w:rsidRDefault="00A150F8" w:rsidP="00A150F8">
      <w:pPr>
        <w:jc w:val="both"/>
      </w:pPr>
    </w:p>
    <w:p w14:paraId="4044CD54" w14:textId="77777777" w:rsidR="00A150F8" w:rsidRPr="009118AB" w:rsidRDefault="00A150F8" w:rsidP="00A150F8">
      <w:pPr>
        <w:ind w:firstLine="708"/>
        <w:jc w:val="both"/>
      </w:pPr>
      <w:r w:rsidRPr="009118AB">
        <w:rPr>
          <w:i/>
          <w:iCs/>
        </w:rPr>
        <w:t>a)</w:t>
      </w:r>
      <w:r w:rsidRPr="009118AB">
        <w:t> im Zähler: den Betrag A, verringert um den Betrag B:</w:t>
      </w:r>
    </w:p>
    <w:p w14:paraId="2A85D87F" w14:textId="77777777" w:rsidR="00A150F8" w:rsidRPr="009118AB" w:rsidRDefault="00A150F8" w:rsidP="00A150F8">
      <w:pPr>
        <w:jc w:val="both"/>
      </w:pPr>
    </w:p>
    <w:p w14:paraId="6BCF56D4" w14:textId="70FBF5D2" w:rsidR="00A150F8" w:rsidRPr="009118AB" w:rsidRDefault="00A150F8" w:rsidP="00A150F8">
      <w:pPr>
        <w:ind w:firstLine="708"/>
        <w:jc w:val="both"/>
      </w:pPr>
      <w:r w:rsidRPr="009118AB">
        <w:t>- wobei der Betrag A dem Betrag entspricht, der sich ergibt, indem der in Artikel 215 erwähnte Satz</w:t>
      </w:r>
      <w:r w:rsidR="00D67EB8" w:rsidRPr="009118AB">
        <w:t> - </w:t>
      </w:r>
      <w:r w:rsidRPr="009118AB">
        <w:t>gegebenenfalls erhöht um die in Artikel 463</w:t>
      </w:r>
      <w:r w:rsidRPr="009118AB">
        <w:rPr>
          <w:i/>
          <w:iCs/>
        </w:rPr>
        <w:t>bis</w:t>
      </w:r>
      <w:r w:rsidRPr="009118AB">
        <w:t xml:space="preserve"> erwähnte zusätzliche Krisenabgabe</w:t>
      </w:r>
      <w:r w:rsidR="00FD68E8" w:rsidRPr="009118AB">
        <w:t> -,</w:t>
      </w:r>
      <w:r w:rsidRPr="009118AB">
        <w:t xml:space="preserve"> der für den Besteuerungszeitraum anwendbar war, in dem die in Artikel 194</w:t>
      </w:r>
      <w:r w:rsidRPr="009118AB">
        <w:rPr>
          <w:i/>
          <w:iCs/>
        </w:rPr>
        <w:t>septies</w:t>
      </w:r>
      <w:r w:rsidRPr="009118AB">
        <w:t xml:space="preserve">/1 </w:t>
      </w:r>
      <w:r w:rsidR="00D67EB8" w:rsidRPr="009118AB">
        <w:t>§ </w:t>
      </w:r>
      <w:r w:rsidRPr="009118AB">
        <w:t>1 erwähnte steuerfreie Rücklage gebildet wurde, auf das steuerpflichtige Einkommen C angewandt wird,</w:t>
      </w:r>
    </w:p>
    <w:p w14:paraId="0C42E2ED" w14:textId="77777777" w:rsidR="00A150F8" w:rsidRPr="009118AB" w:rsidRDefault="00A150F8" w:rsidP="00A150F8">
      <w:pPr>
        <w:jc w:val="both"/>
      </w:pPr>
    </w:p>
    <w:p w14:paraId="7D0864C0" w14:textId="19A05EF4" w:rsidR="00A150F8" w:rsidRPr="009118AB" w:rsidRDefault="00A150F8" w:rsidP="00A150F8">
      <w:pPr>
        <w:ind w:firstLine="708"/>
        <w:jc w:val="both"/>
      </w:pPr>
      <w:r w:rsidRPr="009118AB">
        <w:t>- wobei der Betrag B dem Betrag entspricht, der sich ergibt, indem der in Artikel 215 erwähnte Satz</w:t>
      </w:r>
      <w:r w:rsidR="00D67EB8" w:rsidRPr="009118AB">
        <w:t> - </w:t>
      </w:r>
      <w:r w:rsidRPr="009118AB">
        <w:t>gegebenenfalls erhöht um die in Artikel 463</w:t>
      </w:r>
      <w:r w:rsidRPr="009118AB">
        <w:rPr>
          <w:i/>
          <w:iCs/>
        </w:rPr>
        <w:t>bis</w:t>
      </w:r>
      <w:r w:rsidRPr="009118AB">
        <w:t xml:space="preserve"> erwähnte zusätzliche Krisenabgabe</w:t>
      </w:r>
      <w:r w:rsidR="00FD68E8" w:rsidRPr="009118AB">
        <w:t> -,</w:t>
      </w:r>
      <w:r w:rsidRPr="009118AB">
        <w:t xml:space="preserve"> der für den Besteuerungszeitraum anwendbar war, in dem die in Artikel 194</w:t>
      </w:r>
      <w:r w:rsidRPr="009118AB">
        <w:rPr>
          <w:i/>
          <w:iCs/>
        </w:rPr>
        <w:t>septies</w:t>
      </w:r>
      <w:r w:rsidRPr="009118AB">
        <w:t xml:space="preserve">/1 </w:t>
      </w:r>
      <w:r w:rsidR="00D67EB8" w:rsidRPr="009118AB">
        <w:t>§ </w:t>
      </w:r>
      <w:r w:rsidRPr="009118AB">
        <w:t>1 erwähnte steuerfreie Rücklage gebildet wurde, auf das steuerpflichtige Einkommen D angewandt wird,</w:t>
      </w:r>
    </w:p>
    <w:p w14:paraId="460E24F7" w14:textId="77777777" w:rsidR="00A150F8" w:rsidRPr="009118AB" w:rsidRDefault="00A150F8" w:rsidP="00A150F8">
      <w:pPr>
        <w:jc w:val="both"/>
      </w:pPr>
    </w:p>
    <w:p w14:paraId="27AD0474" w14:textId="087A5EF4" w:rsidR="00A150F8" w:rsidRPr="009118AB" w:rsidRDefault="00A150F8" w:rsidP="00A150F8">
      <w:pPr>
        <w:ind w:firstLine="708"/>
        <w:jc w:val="both"/>
      </w:pPr>
      <w:r w:rsidRPr="009118AB">
        <w:t>- wobei das steuerpflichtige Einkommen C dem steuerpflichtigen Einkommen entspricht, das für den Besteuerungszeitraum festgelegt wurde, in dem die in Artikel 194</w:t>
      </w:r>
      <w:r w:rsidRPr="009118AB">
        <w:rPr>
          <w:i/>
          <w:iCs/>
        </w:rPr>
        <w:t>septies</w:t>
      </w:r>
      <w:r w:rsidRPr="009118AB">
        <w:t xml:space="preserve">/1 </w:t>
      </w:r>
      <w:r w:rsidR="00D67EB8" w:rsidRPr="009118AB">
        <w:t>§ </w:t>
      </w:r>
      <w:r w:rsidRPr="009118AB">
        <w:t>1 erwähnte steuerfreie Rücklage gebildet wurde, erhöht um die in Artikel 194</w:t>
      </w:r>
      <w:r w:rsidRPr="009118AB">
        <w:rPr>
          <w:i/>
          <w:iCs/>
        </w:rPr>
        <w:t>septies</w:t>
      </w:r>
      <w:r w:rsidRPr="009118AB">
        <w:t xml:space="preserve">/1 </w:t>
      </w:r>
      <w:r w:rsidR="00D67EB8" w:rsidRPr="009118AB">
        <w:t>§ </w:t>
      </w:r>
      <w:r w:rsidRPr="009118AB">
        <w:t>1 erwähnte steuerfreie Rücklage,</w:t>
      </w:r>
    </w:p>
    <w:p w14:paraId="33909F1F" w14:textId="77777777" w:rsidR="00A150F8" w:rsidRPr="009118AB" w:rsidRDefault="00A150F8" w:rsidP="00A150F8">
      <w:pPr>
        <w:jc w:val="both"/>
      </w:pPr>
    </w:p>
    <w:p w14:paraId="4E353EF4" w14:textId="6E171C2B" w:rsidR="00A150F8" w:rsidRPr="009118AB" w:rsidRDefault="00A150F8" w:rsidP="00A150F8">
      <w:pPr>
        <w:ind w:firstLine="708"/>
        <w:jc w:val="both"/>
      </w:pPr>
      <w:r w:rsidRPr="009118AB">
        <w:t>- wobei das steuerpflichtige Einkommen D dem steuerpflichtigen Einkommen entspricht, das für den Besteuerungszeitraum festgelegt wurde, in dem die in Artikel 194</w:t>
      </w:r>
      <w:r w:rsidRPr="009118AB">
        <w:rPr>
          <w:i/>
          <w:iCs/>
        </w:rPr>
        <w:t>septies</w:t>
      </w:r>
      <w:r w:rsidRPr="009118AB">
        <w:t xml:space="preserve">/1 </w:t>
      </w:r>
      <w:r w:rsidR="00D67EB8" w:rsidRPr="009118AB">
        <w:t>§ </w:t>
      </w:r>
      <w:r w:rsidRPr="009118AB">
        <w:t>1 erwähnte steuerfreie Rücklage gebildet wurde,</w:t>
      </w:r>
    </w:p>
    <w:p w14:paraId="6BBCF68C" w14:textId="77777777" w:rsidR="00A150F8" w:rsidRPr="009118AB" w:rsidRDefault="00A150F8" w:rsidP="00A150F8">
      <w:pPr>
        <w:jc w:val="both"/>
      </w:pPr>
    </w:p>
    <w:p w14:paraId="4B4B45E1" w14:textId="77777777" w:rsidR="00A150F8" w:rsidRPr="009118AB" w:rsidRDefault="00A150F8" w:rsidP="00A150F8">
      <w:pPr>
        <w:ind w:firstLine="708"/>
        <w:jc w:val="both"/>
      </w:pPr>
      <w:r w:rsidRPr="009118AB">
        <w:rPr>
          <w:i/>
          <w:iCs/>
        </w:rPr>
        <w:t>b)</w:t>
      </w:r>
      <w:r w:rsidRPr="009118AB">
        <w:t> im Nenner: den Betrag E, verringert um den Betrag F:</w:t>
      </w:r>
    </w:p>
    <w:p w14:paraId="21C4ADAB" w14:textId="77777777" w:rsidR="00A150F8" w:rsidRPr="009118AB" w:rsidRDefault="00A150F8" w:rsidP="00A150F8">
      <w:pPr>
        <w:jc w:val="both"/>
      </w:pPr>
    </w:p>
    <w:p w14:paraId="1147464D" w14:textId="73A3A3F4" w:rsidR="00A150F8" w:rsidRPr="009118AB" w:rsidRDefault="00A150F8" w:rsidP="00A150F8">
      <w:pPr>
        <w:ind w:firstLine="708"/>
        <w:jc w:val="both"/>
      </w:pPr>
      <w:r w:rsidRPr="009118AB">
        <w:t>- wobei der Betrag E dem Betrag entspricht, der sich ergibt, indem der in Artikel 215 erwähnte Satz</w:t>
      </w:r>
      <w:r w:rsidR="00D67EB8" w:rsidRPr="009118AB">
        <w:t> - </w:t>
      </w:r>
      <w:r w:rsidRPr="009118AB">
        <w:t>gegebenenfalls erhöht um die in Artikel 463</w:t>
      </w:r>
      <w:r w:rsidRPr="009118AB">
        <w:rPr>
          <w:i/>
          <w:iCs/>
        </w:rPr>
        <w:t>bis</w:t>
      </w:r>
      <w:r w:rsidRPr="009118AB">
        <w:t xml:space="preserve"> erwähnte zusätzliche Krisenabgabe</w:t>
      </w:r>
      <w:r w:rsidR="00FD68E8" w:rsidRPr="009118AB">
        <w:t> -,</w:t>
      </w:r>
      <w:r w:rsidRPr="009118AB">
        <w:t xml:space="preserve"> der für den Besteuerungszeitraum anwendbar ist, in dem die in Artikel 194</w:t>
      </w:r>
      <w:r w:rsidRPr="009118AB">
        <w:rPr>
          <w:i/>
          <w:iCs/>
        </w:rPr>
        <w:t>septies</w:t>
      </w:r>
      <w:r w:rsidRPr="009118AB">
        <w:t xml:space="preserve">/1 </w:t>
      </w:r>
      <w:r w:rsidR="00D67EB8" w:rsidRPr="009118AB">
        <w:t>§ </w:t>
      </w:r>
      <w:r w:rsidRPr="009118AB">
        <w:t>1 erwähnte steuerfreie Rücklage wieder aufgenommen wird, auf das steuerpflichtige Einkommen G angewandt wird,</w:t>
      </w:r>
    </w:p>
    <w:p w14:paraId="7660AEE4" w14:textId="77777777" w:rsidR="00A150F8" w:rsidRPr="009118AB" w:rsidRDefault="00A150F8" w:rsidP="00A150F8">
      <w:pPr>
        <w:jc w:val="both"/>
      </w:pPr>
    </w:p>
    <w:p w14:paraId="7622667F" w14:textId="0E832540" w:rsidR="00A150F8" w:rsidRPr="009118AB" w:rsidRDefault="00A150F8" w:rsidP="00A150F8">
      <w:pPr>
        <w:ind w:firstLine="708"/>
        <w:jc w:val="both"/>
      </w:pPr>
      <w:r w:rsidRPr="009118AB">
        <w:t>- wobei der Betrag F dem Betrag entspricht, der sich ergibt, indem der in Artikel 215 erwähnte Satz</w:t>
      </w:r>
      <w:r w:rsidR="00D67EB8" w:rsidRPr="009118AB">
        <w:t> - </w:t>
      </w:r>
      <w:r w:rsidRPr="009118AB">
        <w:t>gegebenenfalls erhöht um die in Artikel 463</w:t>
      </w:r>
      <w:r w:rsidRPr="009118AB">
        <w:rPr>
          <w:i/>
          <w:iCs/>
        </w:rPr>
        <w:t>bis</w:t>
      </w:r>
      <w:r w:rsidRPr="009118AB">
        <w:t xml:space="preserve"> erwähnte zusätzliche Krisenabgabe</w:t>
      </w:r>
      <w:r w:rsidR="00FD68E8" w:rsidRPr="009118AB">
        <w:t> -,</w:t>
      </w:r>
      <w:r w:rsidRPr="009118AB">
        <w:t xml:space="preserve"> der für den Besteuerungszeitraum anwendbar ist, in dem die in Artikel 194</w:t>
      </w:r>
      <w:r w:rsidRPr="009118AB">
        <w:rPr>
          <w:i/>
          <w:iCs/>
        </w:rPr>
        <w:t>septies</w:t>
      </w:r>
      <w:r w:rsidRPr="009118AB">
        <w:t xml:space="preserve">/1 </w:t>
      </w:r>
      <w:r w:rsidR="00D67EB8" w:rsidRPr="009118AB">
        <w:t>§ </w:t>
      </w:r>
      <w:r w:rsidRPr="009118AB">
        <w:t>1 erwähnte steuerfreie Rücklage wieder aufgenommen wird, auf das steuerpflichtige Einkommen H angewandt wird,</w:t>
      </w:r>
    </w:p>
    <w:p w14:paraId="20C31824" w14:textId="77777777" w:rsidR="00A150F8" w:rsidRPr="009118AB" w:rsidRDefault="00A150F8" w:rsidP="00A150F8">
      <w:pPr>
        <w:jc w:val="both"/>
      </w:pPr>
    </w:p>
    <w:p w14:paraId="7781D63F" w14:textId="14DBA0D9" w:rsidR="00A150F8" w:rsidRPr="009118AB" w:rsidRDefault="00A150F8" w:rsidP="00A150F8">
      <w:pPr>
        <w:ind w:firstLine="708"/>
        <w:jc w:val="both"/>
      </w:pPr>
      <w:r w:rsidRPr="009118AB">
        <w:t>- wobei das steuerpflichtige Einkommen G dem steuerpflichtigen Einkommen entspricht, das für den Besteuerungszeitraum festgelegt wird, in dem die in Artikel 194</w:t>
      </w:r>
      <w:r w:rsidRPr="009118AB">
        <w:rPr>
          <w:i/>
          <w:iCs/>
        </w:rPr>
        <w:t>septies</w:t>
      </w:r>
      <w:r w:rsidRPr="009118AB">
        <w:t xml:space="preserve">/1 </w:t>
      </w:r>
      <w:r w:rsidR="00D67EB8" w:rsidRPr="009118AB">
        <w:t>§ </w:t>
      </w:r>
      <w:r w:rsidRPr="009118AB">
        <w:t>1 erwähnte steuerfreie Rücklage wieder aufgenommen wird, verringert um die in Anwendung des vorliegenden Paragraphen festgelegte Erhöhung,</w:t>
      </w:r>
    </w:p>
    <w:p w14:paraId="4B051F6E" w14:textId="77777777" w:rsidR="00A150F8" w:rsidRPr="009118AB" w:rsidRDefault="00A150F8" w:rsidP="00A150F8">
      <w:pPr>
        <w:jc w:val="both"/>
      </w:pPr>
    </w:p>
    <w:p w14:paraId="1E939235" w14:textId="12B15275" w:rsidR="00A150F8" w:rsidRPr="009118AB" w:rsidRDefault="00A150F8" w:rsidP="00A150F8">
      <w:pPr>
        <w:ind w:firstLine="708"/>
        <w:jc w:val="both"/>
      </w:pPr>
      <w:r w:rsidRPr="009118AB">
        <w:t>- wobei das steuerpflichtige Einkommen H dem steuerpflichtigen Einkommen entspricht, das für den Besteuerungszeitraum festgelegt wird, in dem die in Artikel 194</w:t>
      </w:r>
      <w:r w:rsidRPr="009118AB">
        <w:rPr>
          <w:i/>
          <w:iCs/>
        </w:rPr>
        <w:t>septies</w:t>
      </w:r>
      <w:r w:rsidRPr="009118AB">
        <w:t xml:space="preserve">/1 </w:t>
      </w:r>
      <w:r w:rsidR="00D67EB8" w:rsidRPr="009118AB">
        <w:t>§ </w:t>
      </w:r>
      <w:r w:rsidRPr="009118AB">
        <w:t>1 erwähnte steuerfreie Rücklage wieder aufgenommen wird, nacheinander verringert um die in Anwendung des vorliegenden Paragraphen festgelegte Erhöhung und um die steuerfreie Rücklage, die in Anwendung von Artikel 194</w:t>
      </w:r>
      <w:r w:rsidRPr="009118AB">
        <w:rPr>
          <w:i/>
          <w:iCs/>
        </w:rPr>
        <w:t>septies</w:t>
      </w:r>
      <w:r w:rsidRPr="009118AB">
        <w:t xml:space="preserve">/1 </w:t>
      </w:r>
      <w:r w:rsidR="00D67EB8" w:rsidRPr="009118AB">
        <w:t>§ </w:t>
      </w:r>
      <w:r w:rsidRPr="009118AB">
        <w:t>4 wieder aufgenommen wird.</w:t>
      </w:r>
    </w:p>
    <w:p w14:paraId="1E5CCD87" w14:textId="77777777" w:rsidR="00A150F8" w:rsidRPr="009118AB" w:rsidRDefault="00A150F8" w:rsidP="00A150F8">
      <w:pPr>
        <w:jc w:val="both"/>
      </w:pPr>
    </w:p>
    <w:p w14:paraId="69457873" w14:textId="57EA16BC" w:rsidR="00A150F8" w:rsidRPr="009118AB" w:rsidRDefault="00A150F8" w:rsidP="00A150F8">
      <w:pPr>
        <w:ind w:firstLine="708"/>
        <w:jc w:val="both"/>
      </w:pPr>
      <w:r w:rsidRPr="009118AB">
        <w:lastRenderedPageBreak/>
        <w:t>Für die Bestimmung des in Absatz 3 erwähnten Verhältnisses kann das steuerpflichtige Einkommen, das für den Besteuerungszeitraum festgelegt wird, in dem die in Artikel 194</w:t>
      </w:r>
      <w:r w:rsidRPr="009118AB">
        <w:rPr>
          <w:i/>
          <w:iCs/>
        </w:rPr>
        <w:t>septies</w:t>
      </w:r>
      <w:r w:rsidRPr="009118AB">
        <w:t xml:space="preserve">/1 </w:t>
      </w:r>
      <w:r w:rsidR="00D67EB8" w:rsidRPr="009118AB">
        <w:t>§ </w:t>
      </w:r>
      <w:r w:rsidRPr="009118AB">
        <w:t>1 erwähnte steuerfreie Rücklage wieder aufgenommen wird, nicht weniger betragen als die Summe der in Anwendung des vorliegenden Paragraphen festgelegten Erhöhung und der steuerfreien Rücklage, die in Anwendung von Artikel 194</w:t>
      </w:r>
      <w:r w:rsidRPr="009118AB">
        <w:rPr>
          <w:i/>
          <w:iCs/>
        </w:rPr>
        <w:t>septies</w:t>
      </w:r>
      <w:r w:rsidRPr="009118AB">
        <w:t xml:space="preserve">/1 </w:t>
      </w:r>
      <w:r w:rsidR="00D67EB8" w:rsidRPr="009118AB">
        <w:t>§ </w:t>
      </w:r>
      <w:r w:rsidRPr="009118AB">
        <w:t>4 wieder aufgenommen wird.</w:t>
      </w:r>
    </w:p>
    <w:p w14:paraId="292ACDC3" w14:textId="77777777" w:rsidR="00A150F8" w:rsidRPr="009118AB" w:rsidRDefault="00A150F8" w:rsidP="00A150F8">
      <w:pPr>
        <w:jc w:val="both"/>
      </w:pPr>
    </w:p>
    <w:p w14:paraId="6A248096" w14:textId="77777777" w:rsidR="00A150F8" w:rsidRPr="009118AB" w:rsidRDefault="00A150F8" w:rsidP="00A150F8">
      <w:pPr>
        <w:ind w:firstLine="708"/>
        <w:jc w:val="both"/>
      </w:pPr>
      <w:r w:rsidRPr="009118AB">
        <w:t>Der gemäß Absatz 2 bestimmte Satz wird auf die höhere oder niedrigere zweite Dezimalstelle abgerundet, je nachdem ob die Ziffer der dritten Dezimalstelle 5 erreicht oder nicht.</w:t>
      </w:r>
    </w:p>
    <w:p w14:paraId="1565F707" w14:textId="77777777" w:rsidR="00A150F8" w:rsidRPr="009118AB" w:rsidRDefault="00A150F8" w:rsidP="00A150F8">
      <w:pPr>
        <w:jc w:val="both"/>
      </w:pPr>
    </w:p>
    <w:p w14:paraId="03C276AD" w14:textId="77777777" w:rsidR="00A150F8" w:rsidRPr="009118AB" w:rsidRDefault="00A150F8" w:rsidP="00A150F8">
      <w:pPr>
        <w:ind w:firstLine="708"/>
        <w:jc w:val="both"/>
      </w:pPr>
      <w:r w:rsidRPr="009118AB">
        <w:t>Wenn Absatz 2 nicht anwendbar ist, beträgt der Satz:</w:t>
      </w:r>
    </w:p>
    <w:p w14:paraId="564F87FD" w14:textId="77777777" w:rsidR="00A150F8" w:rsidRPr="009118AB" w:rsidRDefault="00A150F8" w:rsidP="00A150F8">
      <w:pPr>
        <w:jc w:val="both"/>
      </w:pPr>
    </w:p>
    <w:p w14:paraId="4420D724" w14:textId="573652B9" w:rsidR="00A150F8" w:rsidRPr="009118AB" w:rsidRDefault="00A150F8" w:rsidP="00A150F8">
      <w:pPr>
        <w:ind w:firstLine="708"/>
        <w:jc w:val="both"/>
      </w:pPr>
      <w:r w:rsidRPr="009118AB">
        <w:t>- 14,91 Prozent, wenn der Besteuerungszeitraum, in dem die in Artikel 194</w:t>
      </w:r>
      <w:r w:rsidRPr="009118AB">
        <w:rPr>
          <w:i/>
          <w:iCs/>
        </w:rPr>
        <w:t>septies</w:t>
      </w:r>
      <w:r w:rsidRPr="009118AB">
        <w:t xml:space="preserve">/1 </w:t>
      </w:r>
      <w:r w:rsidR="00D67EB8" w:rsidRPr="009118AB">
        <w:t>§ </w:t>
      </w:r>
      <w:r w:rsidRPr="009118AB">
        <w:t>1 erwähnte steuerfreie Rücklage gebildet wurde, vor dem 1. Januar 2018 begonnen hat und der Besteuerungszeitraum, in dem die Rücklage wieder aufgenommen wird, am oder nach dem 1. Januar 2018 begonnen hat,</w:t>
      </w:r>
    </w:p>
    <w:p w14:paraId="3AEA5EF0" w14:textId="77777777" w:rsidR="00A150F8" w:rsidRPr="009118AB" w:rsidRDefault="00A150F8" w:rsidP="00A150F8">
      <w:pPr>
        <w:jc w:val="both"/>
      </w:pPr>
    </w:p>
    <w:p w14:paraId="4C48F561" w14:textId="450CF625" w:rsidR="00A150F8" w:rsidRPr="009118AB" w:rsidRDefault="00A150F8" w:rsidP="00A150F8">
      <w:pPr>
        <w:ind w:firstLine="708"/>
        <w:jc w:val="both"/>
      </w:pPr>
      <w:r w:rsidRPr="009118AB">
        <w:t>- 0 Prozent, wenn der Besteuerungszeitraum, in dem die in Artikel 194</w:t>
      </w:r>
      <w:r w:rsidRPr="009118AB">
        <w:rPr>
          <w:i/>
          <w:iCs/>
        </w:rPr>
        <w:t>septies</w:t>
      </w:r>
      <w:r w:rsidRPr="009118AB">
        <w:t xml:space="preserve">/1 </w:t>
      </w:r>
      <w:r w:rsidR="00D67EB8" w:rsidRPr="009118AB">
        <w:t>§ </w:t>
      </w:r>
      <w:r w:rsidRPr="009118AB">
        <w:t>1 erwähnte steuerfreie Rücklage gebildet wurde, am oder nach dem 1. Januar 2018 begonnen hat und der Besteuerungszeitraum, in dem die Rücklage wieder aufgenommen wird, vor dem 1. Januar 2020 begonnen hat,</w:t>
      </w:r>
    </w:p>
    <w:p w14:paraId="25FA5C10" w14:textId="77777777" w:rsidR="00A150F8" w:rsidRPr="009118AB" w:rsidRDefault="00A150F8" w:rsidP="00A150F8">
      <w:pPr>
        <w:jc w:val="both"/>
      </w:pPr>
    </w:p>
    <w:p w14:paraId="290F3AEA" w14:textId="00C2D97C" w:rsidR="00A150F8" w:rsidRPr="009118AB" w:rsidRDefault="00A150F8" w:rsidP="00A150F8">
      <w:pPr>
        <w:autoSpaceDE w:val="0"/>
        <w:autoSpaceDN w:val="0"/>
        <w:adjustRightInd w:val="0"/>
        <w:ind w:firstLine="709"/>
        <w:jc w:val="both"/>
        <w:rPr>
          <w:iCs/>
        </w:rPr>
      </w:pPr>
      <w:r w:rsidRPr="009118AB">
        <w:t>- 18,32 Prozent, wenn der Besteuerungszeitraum, in dem die in Artikel 194</w:t>
      </w:r>
      <w:r w:rsidRPr="009118AB">
        <w:rPr>
          <w:i/>
          <w:iCs/>
        </w:rPr>
        <w:t>septies</w:t>
      </w:r>
      <w:r w:rsidRPr="009118AB">
        <w:t xml:space="preserve">/1 </w:t>
      </w:r>
      <w:r w:rsidR="00D67EB8" w:rsidRPr="009118AB">
        <w:t>§ </w:t>
      </w:r>
      <w:r w:rsidRPr="009118AB">
        <w:t>1 erwähnte steuerfreie Rücklage gebildet wurde, vor dem 1. Januar 2020 begonnen hat und der Besteuerungszeitraum, in dem die Rücklage wieder aufgenommen wird, am oder nach dem 1. Januar 2020 begonnen hat.</w:t>
      </w:r>
      <w:r w:rsidRPr="009118AB">
        <w:rPr>
          <w:iCs/>
        </w:rPr>
        <w:t>]</w:t>
      </w:r>
    </w:p>
    <w:p w14:paraId="4AE5889E" w14:textId="77777777" w:rsidR="006262E5" w:rsidRPr="009118AB" w:rsidRDefault="006262E5" w:rsidP="006262E5">
      <w:pPr>
        <w:autoSpaceDE w:val="0"/>
        <w:autoSpaceDN w:val="0"/>
        <w:adjustRightInd w:val="0"/>
        <w:jc w:val="both"/>
        <w:rPr>
          <w:iCs/>
        </w:rPr>
      </w:pPr>
    </w:p>
    <w:p w14:paraId="62B7056A" w14:textId="171B96FD" w:rsidR="006262E5" w:rsidRPr="009118AB" w:rsidRDefault="006262E5" w:rsidP="00483491">
      <w:pPr>
        <w:autoSpaceDE w:val="0"/>
        <w:autoSpaceDN w:val="0"/>
        <w:adjustRightInd w:val="0"/>
        <w:jc w:val="both"/>
        <w:rPr>
          <w:iCs/>
        </w:rPr>
      </w:pPr>
      <w:r w:rsidRPr="009118AB">
        <w:rPr>
          <w:i/>
          <w:iCs/>
        </w:rPr>
        <w:t>[</w:t>
      </w:r>
      <w:r w:rsidR="00D67EB8" w:rsidRPr="009118AB">
        <w:rPr>
          <w:i/>
          <w:iCs/>
        </w:rPr>
        <w:t>Art. </w:t>
      </w:r>
      <w:r w:rsidRPr="009118AB">
        <w:rPr>
          <w:i/>
          <w:iCs/>
        </w:rPr>
        <w:t xml:space="preserve">185 </w:t>
      </w:r>
      <w:r w:rsidR="00D67EB8" w:rsidRPr="009118AB">
        <w:rPr>
          <w:i/>
          <w:iCs/>
        </w:rPr>
        <w:t>§ </w:t>
      </w:r>
      <w:r w:rsidRPr="009118AB">
        <w:rPr>
          <w:i/>
          <w:iCs/>
        </w:rPr>
        <w:t xml:space="preserve">1 nummeriert durch </w:t>
      </w:r>
      <w:r w:rsidR="00D67EB8" w:rsidRPr="009118AB">
        <w:rPr>
          <w:i/>
          <w:iCs/>
        </w:rPr>
        <w:t>Art. </w:t>
      </w:r>
      <w:r w:rsidRPr="009118AB">
        <w:rPr>
          <w:i/>
          <w:iCs/>
        </w:rPr>
        <w:t xml:space="preserve">2 des G. vom 21. Juni 2004 (B.S. vom 9. Juli 2004); </w:t>
      </w:r>
      <w:r w:rsidR="00D67EB8" w:rsidRPr="009118AB">
        <w:rPr>
          <w:i/>
          <w:iCs/>
        </w:rPr>
        <w:t>§ </w:t>
      </w:r>
      <w:r w:rsidR="00924EAF" w:rsidRPr="009118AB">
        <w:rPr>
          <w:i/>
          <w:iCs/>
        </w:rPr>
        <w:t xml:space="preserve">1 </w:t>
      </w:r>
      <w:r w:rsidR="00D67EB8" w:rsidRPr="009118AB">
        <w:rPr>
          <w:i/>
          <w:iCs/>
        </w:rPr>
        <w:t>Abs. </w:t>
      </w:r>
      <w:r w:rsidR="00924EAF" w:rsidRPr="009118AB">
        <w:rPr>
          <w:i/>
          <w:iCs/>
        </w:rPr>
        <w:t xml:space="preserve">1 </w:t>
      </w:r>
      <w:r w:rsidR="008A0455" w:rsidRPr="009118AB">
        <w:rPr>
          <w:i/>
          <w:iCs/>
        </w:rPr>
        <w:t>abgeänder</w:t>
      </w:r>
      <w:r w:rsidR="00924EAF" w:rsidRPr="009118AB">
        <w:rPr>
          <w:i/>
          <w:iCs/>
        </w:rPr>
        <w:t xml:space="preserve">t durch </w:t>
      </w:r>
      <w:r w:rsidR="00D67EB8" w:rsidRPr="009118AB">
        <w:rPr>
          <w:i/>
          <w:iCs/>
        </w:rPr>
        <w:t>Art. </w:t>
      </w:r>
      <w:r w:rsidR="00924EAF" w:rsidRPr="009118AB">
        <w:rPr>
          <w:i/>
          <w:iCs/>
        </w:rPr>
        <w:t>107 des G. vom 25. Dezember 2017 (IV) (B.S. vom 29. Dezember 2017)</w:t>
      </w:r>
      <w:r w:rsidR="008A0455" w:rsidRPr="009118AB">
        <w:rPr>
          <w:i/>
          <w:iCs/>
        </w:rPr>
        <w:t xml:space="preserve"> und </w:t>
      </w:r>
      <w:r w:rsidR="00D67EB8" w:rsidRPr="009118AB">
        <w:rPr>
          <w:i/>
          <w:iCs/>
        </w:rPr>
        <w:t>Art. </w:t>
      </w:r>
      <w:r w:rsidR="008A0455" w:rsidRPr="009118AB">
        <w:rPr>
          <w:i/>
          <w:iCs/>
        </w:rPr>
        <w:t>27</w:t>
      </w:r>
      <w:r w:rsidR="008A0455" w:rsidRPr="009118AB">
        <w:rPr>
          <w:i/>
          <w:iCs/>
          <w:spacing w:val="-2"/>
        </w:rPr>
        <w:t xml:space="preserve"> des G. vom 17. März 2019 (III) (B.S. vom 10. Mai 2019)</w:t>
      </w:r>
      <w:r w:rsidR="00D67EB8" w:rsidRPr="009118AB">
        <w:rPr>
          <w:i/>
          <w:iCs/>
          <w:spacing w:val="-2"/>
        </w:rPr>
        <w:t> - </w:t>
      </w:r>
      <w:r w:rsidR="008A0455" w:rsidRPr="009118AB">
        <w:rPr>
          <w:i/>
          <w:iCs/>
          <w:spacing w:val="-2"/>
        </w:rPr>
        <w:t>in Kraft am 1. Mai 2019</w:t>
      </w:r>
      <w:r w:rsidR="003366D9" w:rsidRPr="009118AB">
        <w:rPr>
          <w:i/>
          <w:iCs/>
          <w:spacing w:val="-2"/>
        </w:rPr>
        <w:t> -;</w:t>
      </w:r>
      <w:r w:rsidR="00924EAF"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bis 4 eingefügt durch </w:t>
      </w:r>
      <w:r w:rsidR="00D67EB8" w:rsidRPr="009118AB">
        <w:rPr>
          <w:i/>
          <w:iCs/>
        </w:rPr>
        <w:t>Art. </w:t>
      </w:r>
      <w:r w:rsidRPr="009118AB">
        <w:rPr>
          <w:i/>
          <w:iCs/>
        </w:rPr>
        <w:t xml:space="preserve">18 </w:t>
      </w:r>
      <w:r w:rsidR="00D67EB8" w:rsidRPr="009118AB">
        <w:rPr>
          <w:i/>
          <w:iCs/>
        </w:rPr>
        <w:t>Nr. </w:t>
      </w:r>
      <w:r w:rsidRPr="009118AB">
        <w:rPr>
          <w:i/>
          <w:iCs/>
        </w:rPr>
        <w:t>1 des G. vom 25. Dezember 2017 (III) (B.S. vom 29. Dezember 2017)</w:t>
      </w:r>
      <w:r w:rsidR="00D67EB8" w:rsidRPr="009118AB">
        <w:rPr>
          <w:i/>
          <w:iCs/>
        </w:rPr>
        <w:t> - </w:t>
      </w:r>
      <w:r w:rsidRPr="009118AB">
        <w:rPr>
          <w:i/>
          <w:iCs/>
        </w:rPr>
        <w:t>in Kraft am 1. Januar 2019 und anwendbar ab dem Steuerjahr 2020, das sich auf einen Besteuerungszeitraum bezieht, der frühestens am 1. Januar 2019 beginnt</w:t>
      </w:r>
      <w:r w:rsidR="003366D9" w:rsidRPr="009118AB">
        <w:rPr>
          <w:i/>
          <w:iCs/>
        </w:rPr>
        <w:t> -;</w:t>
      </w:r>
      <w:r w:rsidRPr="009118AB">
        <w:rPr>
          <w:i/>
          <w:iCs/>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 xml:space="preserve">2 des G. vom 21. Juni 2004 (B.S. vom 9. Juli 2004); </w:t>
      </w:r>
      <w:r w:rsidR="00D67EB8" w:rsidRPr="009118AB">
        <w:rPr>
          <w:i/>
          <w:iCs/>
        </w:rPr>
        <w:t>§ </w:t>
      </w:r>
      <w:r w:rsidRPr="009118AB">
        <w:rPr>
          <w:i/>
          <w:iCs/>
        </w:rPr>
        <w:t xml:space="preserve">2 einziger Absatz einleitende Bestimmung ersetzt durch </w:t>
      </w:r>
      <w:r w:rsidR="00D67EB8" w:rsidRPr="009118AB">
        <w:rPr>
          <w:i/>
          <w:iCs/>
        </w:rPr>
        <w:t>Art. </w:t>
      </w:r>
      <w:r w:rsidRPr="009118AB">
        <w:rPr>
          <w:i/>
          <w:iCs/>
        </w:rPr>
        <w:t xml:space="preserve">4 </w:t>
      </w:r>
      <w:r w:rsidR="00D67EB8" w:rsidRPr="009118AB">
        <w:rPr>
          <w:i/>
          <w:iCs/>
        </w:rPr>
        <w:t>Nr. </w:t>
      </w:r>
      <w:r w:rsidRPr="009118AB">
        <w:rPr>
          <w:i/>
          <w:iCs/>
        </w:rPr>
        <w:t xml:space="preserve">1 des G. vom 17. Dezember 2017 (B.S. vom 22. Dezember 2017); </w:t>
      </w:r>
      <w:r w:rsidR="00D67EB8" w:rsidRPr="009118AB">
        <w:rPr>
          <w:i/>
          <w:iCs/>
        </w:rPr>
        <w:t>§ </w:t>
      </w:r>
      <w:r w:rsidRPr="009118AB">
        <w:rPr>
          <w:i/>
          <w:iCs/>
        </w:rPr>
        <w:t xml:space="preserve">2 einziger Absatz Buchstabe b) abgeändert durch </w:t>
      </w:r>
      <w:r w:rsidR="00D67EB8" w:rsidRPr="009118AB">
        <w:rPr>
          <w:i/>
          <w:iCs/>
        </w:rPr>
        <w:t>Art. </w:t>
      </w:r>
      <w:r w:rsidRPr="009118AB">
        <w:rPr>
          <w:i/>
          <w:iCs/>
        </w:rPr>
        <w:t xml:space="preserve">4 </w:t>
      </w:r>
      <w:r w:rsidR="00D67EB8" w:rsidRPr="009118AB">
        <w:rPr>
          <w:i/>
          <w:iCs/>
        </w:rPr>
        <w:t>Nr. </w:t>
      </w:r>
      <w:r w:rsidRPr="009118AB">
        <w:rPr>
          <w:i/>
          <w:iCs/>
        </w:rPr>
        <w:t xml:space="preserve">2 des G. vom 17. Dezember 2017 (B.S. vom 22. Dezember 2017); </w:t>
      </w:r>
      <w:r w:rsidR="00D67EB8" w:rsidRPr="009118AB">
        <w:rPr>
          <w:i/>
          <w:iCs/>
        </w:rPr>
        <w:t>§ </w:t>
      </w:r>
      <w:r w:rsidRPr="009118AB">
        <w:rPr>
          <w:i/>
          <w:iCs/>
        </w:rPr>
        <w:t xml:space="preserve">2 früherer Absatz 2 aufgehoben durch </w:t>
      </w:r>
      <w:r w:rsidR="00D67EB8" w:rsidRPr="009118AB">
        <w:rPr>
          <w:i/>
          <w:iCs/>
        </w:rPr>
        <w:t>Art. </w:t>
      </w:r>
      <w:r w:rsidRPr="009118AB">
        <w:rPr>
          <w:i/>
          <w:iCs/>
        </w:rPr>
        <w:t xml:space="preserve">4 </w:t>
      </w:r>
      <w:r w:rsidR="00D67EB8" w:rsidRPr="009118AB">
        <w:rPr>
          <w:i/>
          <w:iCs/>
        </w:rPr>
        <w:t>Nr. </w:t>
      </w:r>
      <w:r w:rsidRPr="009118AB">
        <w:rPr>
          <w:i/>
          <w:iCs/>
        </w:rPr>
        <w:t xml:space="preserve">3 des G. vom 17. Dezember 2017 (B.S. vom 22. Dezember 2017); </w:t>
      </w:r>
      <w:r w:rsidR="00D67EB8" w:rsidRPr="009118AB">
        <w:rPr>
          <w:i/>
          <w:iCs/>
        </w:rPr>
        <w:t>§ </w:t>
      </w:r>
      <w:r w:rsidRPr="009118AB">
        <w:rPr>
          <w:i/>
          <w:iCs/>
        </w:rPr>
        <w:t xml:space="preserve">2/1 eingefügt durch </w:t>
      </w:r>
      <w:r w:rsidR="00D67EB8" w:rsidRPr="009118AB">
        <w:rPr>
          <w:i/>
          <w:iCs/>
        </w:rPr>
        <w:t>Art. </w:t>
      </w:r>
      <w:r w:rsidRPr="009118AB">
        <w:rPr>
          <w:i/>
          <w:iCs/>
        </w:rPr>
        <w:t xml:space="preserve">18 </w:t>
      </w:r>
      <w:r w:rsidR="00D67EB8" w:rsidRPr="009118AB">
        <w:rPr>
          <w:i/>
          <w:iCs/>
        </w:rPr>
        <w:t>Nr. </w:t>
      </w:r>
      <w:r w:rsidRPr="009118AB">
        <w:rPr>
          <w:i/>
          <w:iCs/>
        </w:rPr>
        <w:t>2 des G. vom 25. Dezember 2017 (III) (B.S. vom 29. Dezember 2017)</w:t>
      </w:r>
      <w:r w:rsidR="00D67EB8" w:rsidRPr="009118AB">
        <w:rPr>
          <w:i/>
          <w:iCs/>
        </w:rPr>
        <w:t> - </w:t>
      </w:r>
      <w:r w:rsidRPr="009118AB">
        <w:rPr>
          <w:i/>
          <w:iCs/>
        </w:rPr>
        <w:t>in Kraft am 1. Januar 2019 und anwendbar ab dem Steuerjahr 2020, das sich auf einen Besteuerungszeitraum bezieht, der frühestens am 1. Januar 2019 beginnt</w:t>
      </w:r>
      <w:r w:rsidR="003366D9" w:rsidRPr="009118AB">
        <w:rPr>
          <w:i/>
          <w:iCs/>
        </w:rPr>
        <w:t> -;</w:t>
      </w:r>
      <w:r w:rsidR="00907966" w:rsidRPr="009118AB">
        <w:rPr>
          <w:i/>
          <w:iCs/>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15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Pr="009118AB">
        <w:rPr>
          <w:i/>
          <w:iCs/>
        </w:rPr>
        <w:t xml:space="preserve">und ersetzt durch </w:t>
      </w:r>
      <w:r w:rsidR="00D67EB8" w:rsidRPr="009118AB">
        <w:rPr>
          <w:i/>
          <w:iCs/>
        </w:rPr>
        <w:t>Art. </w:t>
      </w:r>
      <w:r w:rsidRPr="009118AB">
        <w:rPr>
          <w:i/>
          <w:iCs/>
        </w:rPr>
        <w:t xml:space="preserve">18 </w:t>
      </w:r>
      <w:r w:rsidR="00D67EB8" w:rsidRPr="009118AB">
        <w:rPr>
          <w:i/>
          <w:iCs/>
        </w:rPr>
        <w:t>Nr. </w:t>
      </w:r>
      <w:r w:rsidRPr="009118AB">
        <w:rPr>
          <w:i/>
          <w:iCs/>
        </w:rPr>
        <w:t>3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00E951F6" w:rsidRPr="009118AB">
        <w:rPr>
          <w:i/>
          <w:iCs/>
        </w:rPr>
        <w:t xml:space="preserve"> </w:t>
      </w:r>
      <w:r w:rsidR="00D67EB8" w:rsidRPr="009118AB">
        <w:rPr>
          <w:i/>
          <w:iCs/>
        </w:rPr>
        <w:t>§ </w:t>
      </w:r>
      <w:r w:rsidR="00BD340C" w:rsidRPr="009118AB">
        <w:rPr>
          <w:i/>
          <w:iCs/>
        </w:rPr>
        <w:t xml:space="preserve">3 </w:t>
      </w:r>
      <w:r w:rsidR="00D67EB8" w:rsidRPr="009118AB">
        <w:rPr>
          <w:i/>
          <w:iCs/>
        </w:rPr>
        <w:t>Abs. </w:t>
      </w:r>
      <w:r w:rsidR="00BD340C" w:rsidRPr="009118AB">
        <w:rPr>
          <w:i/>
          <w:iCs/>
        </w:rPr>
        <w:t xml:space="preserve">2 abgeändert durch </w:t>
      </w:r>
      <w:r w:rsidR="00D67EB8" w:rsidRPr="009118AB">
        <w:rPr>
          <w:i/>
          <w:iCs/>
        </w:rPr>
        <w:t>Art. </w:t>
      </w:r>
      <w:r w:rsidR="00BD340C" w:rsidRPr="009118AB">
        <w:rPr>
          <w:i/>
          <w:iCs/>
        </w:rPr>
        <w:t>37 Buchstabe c)</w:t>
      </w:r>
      <w:r w:rsidR="00BD340C" w:rsidRPr="009118AB">
        <w:rPr>
          <w:i/>
        </w:rPr>
        <w:t xml:space="preserve"> des G. vom 27. Juni 2021 (B.S. vom 30. Juni 2021)</w:t>
      </w:r>
      <w:r w:rsidR="00D67EB8" w:rsidRPr="009118AB">
        <w:t> - </w:t>
      </w:r>
      <w:r w:rsidR="00BD340C" w:rsidRPr="009118AB">
        <w:rPr>
          <w:i/>
        </w:rPr>
        <w:t>anwendbar ab dem Steuerjahr 2022</w:t>
      </w:r>
      <w:r w:rsidR="003366D9" w:rsidRPr="009118AB">
        <w:rPr>
          <w:i/>
        </w:rPr>
        <w:t> -;</w:t>
      </w:r>
      <w:r w:rsidR="00BD340C" w:rsidRPr="009118AB">
        <w:rPr>
          <w:i/>
        </w:rPr>
        <w:t xml:space="preserve"> </w:t>
      </w:r>
      <w:r w:rsidR="00D67EB8" w:rsidRPr="009118AB">
        <w:rPr>
          <w:i/>
        </w:rPr>
        <w:t>§ </w:t>
      </w:r>
      <w:r w:rsidR="00BD340C" w:rsidRPr="009118AB">
        <w:rPr>
          <w:i/>
        </w:rPr>
        <w:t xml:space="preserve">3 </w:t>
      </w:r>
      <w:r w:rsidR="00D67EB8" w:rsidRPr="009118AB">
        <w:rPr>
          <w:i/>
        </w:rPr>
        <w:t>Abs. </w:t>
      </w:r>
      <w:r w:rsidR="00BD340C" w:rsidRPr="009118AB">
        <w:rPr>
          <w:i/>
        </w:rPr>
        <w:t xml:space="preserve">3 ersetzt durch </w:t>
      </w:r>
      <w:r w:rsidR="00D67EB8" w:rsidRPr="009118AB">
        <w:rPr>
          <w:i/>
        </w:rPr>
        <w:t>Art. </w:t>
      </w:r>
      <w:r w:rsidR="00BD340C" w:rsidRPr="009118AB">
        <w:rPr>
          <w:i/>
          <w:iCs/>
        </w:rPr>
        <w:t>37 Buchstabe d)</w:t>
      </w:r>
      <w:r w:rsidR="00BD340C" w:rsidRPr="009118AB">
        <w:rPr>
          <w:i/>
        </w:rPr>
        <w:t xml:space="preserve"> des G. vom 27. Juni 2021 (B.S. vom </w:t>
      </w:r>
      <w:r w:rsidR="00BD340C" w:rsidRPr="009118AB">
        <w:rPr>
          <w:i/>
        </w:rPr>
        <w:lastRenderedPageBreak/>
        <w:t>30. Juni 2021)</w:t>
      </w:r>
      <w:r w:rsidR="00D67EB8" w:rsidRPr="009118AB">
        <w:t> - </w:t>
      </w:r>
      <w:r w:rsidR="00BD340C" w:rsidRPr="009118AB">
        <w:rPr>
          <w:i/>
        </w:rPr>
        <w:t>anwendbar ab dem Steuerjahr 2022</w:t>
      </w:r>
      <w:r w:rsidR="003366D9" w:rsidRPr="009118AB">
        <w:rPr>
          <w:i/>
        </w:rPr>
        <w:t> -;</w:t>
      </w:r>
      <w:r w:rsidR="00BD340C" w:rsidRPr="009118AB">
        <w:rPr>
          <w:i/>
        </w:rPr>
        <w:t xml:space="preserve"> </w:t>
      </w:r>
      <w:r w:rsidR="00D67EB8" w:rsidRPr="009118AB">
        <w:rPr>
          <w:i/>
        </w:rPr>
        <w:t>§ </w:t>
      </w:r>
      <w:r w:rsidR="00BD340C" w:rsidRPr="009118AB">
        <w:rPr>
          <w:i/>
        </w:rPr>
        <w:t xml:space="preserve">3 </w:t>
      </w:r>
      <w:r w:rsidR="00D67EB8" w:rsidRPr="009118AB">
        <w:rPr>
          <w:i/>
        </w:rPr>
        <w:t>Abs. </w:t>
      </w:r>
      <w:r w:rsidR="00BD340C" w:rsidRPr="009118AB">
        <w:rPr>
          <w:i/>
        </w:rPr>
        <w:t xml:space="preserve">6 abgeändert durch </w:t>
      </w:r>
      <w:r w:rsidR="00D67EB8" w:rsidRPr="009118AB">
        <w:rPr>
          <w:i/>
        </w:rPr>
        <w:t>Art. </w:t>
      </w:r>
      <w:r w:rsidR="00BD340C" w:rsidRPr="009118AB">
        <w:rPr>
          <w:i/>
          <w:iCs/>
        </w:rPr>
        <w:t>37 Buchstabe e)</w:t>
      </w:r>
      <w:r w:rsidR="00BD340C" w:rsidRPr="009118AB">
        <w:rPr>
          <w:i/>
        </w:rPr>
        <w:t xml:space="preserve"> des G. vom 27. Juni 2021 (B.S. vom 30. Juni 2021)</w:t>
      </w:r>
      <w:r w:rsidR="00D67EB8" w:rsidRPr="009118AB">
        <w:t> - </w:t>
      </w:r>
      <w:r w:rsidR="00BD340C" w:rsidRPr="009118AB">
        <w:rPr>
          <w:i/>
        </w:rPr>
        <w:t>anwendbar ab dem Steuerjahr 2022</w:t>
      </w:r>
      <w:r w:rsidR="003366D9" w:rsidRPr="009118AB">
        <w:rPr>
          <w:i/>
        </w:rPr>
        <w:t> -;</w:t>
      </w:r>
      <w:r w:rsidR="00BD340C" w:rsidRPr="009118AB">
        <w:rPr>
          <w:i/>
        </w:rPr>
        <w:t xml:space="preserve"> </w:t>
      </w:r>
      <w:r w:rsidR="00D67EB8" w:rsidRPr="009118AB">
        <w:rPr>
          <w:i/>
        </w:rPr>
        <w:t>§ </w:t>
      </w:r>
      <w:r w:rsidR="00BD340C" w:rsidRPr="009118AB">
        <w:rPr>
          <w:i/>
        </w:rPr>
        <w:t xml:space="preserve">3 </w:t>
      </w:r>
      <w:r w:rsidR="00D67EB8" w:rsidRPr="009118AB">
        <w:rPr>
          <w:i/>
        </w:rPr>
        <w:t>Abs. </w:t>
      </w:r>
      <w:r w:rsidR="00BD340C" w:rsidRPr="009118AB">
        <w:rPr>
          <w:i/>
        </w:rPr>
        <w:t xml:space="preserve">7 eingefügt durch </w:t>
      </w:r>
      <w:r w:rsidR="00D67EB8" w:rsidRPr="009118AB">
        <w:rPr>
          <w:i/>
        </w:rPr>
        <w:t>Art. </w:t>
      </w:r>
      <w:r w:rsidR="00BD340C" w:rsidRPr="009118AB">
        <w:rPr>
          <w:i/>
          <w:iCs/>
        </w:rPr>
        <w:t>37 Buchstabe f)</w:t>
      </w:r>
      <w:r w:rsidR="00BD340C" w:rsidRPr="009118AB">
        <w:rPr>
          <w:i/>
        </w:rPr>
        <w:t xml:space="preserve"> des G. vom 27. Juni 2021 (B.S. vom 30. Juni 2021)</w:t>
      </w:r>
      <w:r w:rsidR="00D67EB8" w:rsidRPr="009118AB">
        <w:t> - </w:t>
      </w:r>
      <w:r w:rsidR="00BD340C" w:rsidRPr="009118AB">
        <w:rPr>
          <w:i/>
        </w:rPr>
        <w:t>anwendbar ab dem Steuerjahr 2022</w:t>
      </w:r>
      <w:r w:rsidR="003366D9" w:rsidRPr="009118AB">
        <w:rPr>
          <w:i/>
        </w:rPr>
        <w:t> -;</w:t>
      </w:r>
      <w:r w:rsidR="00BD340C" w:rsidRPr="009118AB">
        <w:rPr>
          <w:i/>
        </w:rPr>
        <w:t xml:space="preserve"> </w:t>
      </w:r>
      <w:r w:rsidR="00D67EB8" w:rsidRPr="009118AB">
        <w:rPr>
          <w:i/>
          <w:iCs/>
        </w:rPr>
        <w:t>§ </w:t>
      </w:r>
      <w:r w:rsidR="00E951F6" w:rsidRPr="009118AB">
        <w:rPr>
          <w:i/>
          <w:iCs/>
        </w:rPr>
        <w:t>4</w:t>
      </w:r>
      <w:r w:rsidR="009354EC" w:rsidRPr="009118AB">
        <w:rPr>
          <w:i/>
          <w:iCs/>
        </w:rPr>
        <w:t xml:space="preserve"> eingefügt durch </w:t>
      </w:r>
      <w:r w:rsidR="00D67EB8" w:rsidRPr="009118AB">
        <w:rPr>
          <w:i/>
          <w:iCs/>
        </w:rPr>
        <w:t>Art. </w:t>
      </w:r>
      <w:r w:rsidR="009354EC" w:rsidRPr="009118AB">
        <w:rPr>
          <w:i/>
          <w:iCs/>
        </w:rPr>
        <w:t xml:space="preserve">18 </w:t>
      </w:r>
      <w:r w:rsidR="00D67EB8" w:rsidRPr="009118AB">
        <w:rPr>
          <w:i/>
          <w:iCs/>
        </w:rPr>
        <w:t>Nr. </w:t>
      </w:r>
      <w:r w:rsidR="009354EC" w:rsidRPr="009118AB">
        <w:rPr>
          <w:i/>
          <w:iCs/>
        </w:rPr>
        <w:t>4 des G. vom 25. Dezember 2017 (III) (B.S. vom 29. Dezember 2017)</w:t>
      </w:r>
      <w:r w:rsidR="00D67EB8" w:rsidRPr="009118AB">
        <w:rPr>
          <w:i/>
          <w:iCs/>
        </w:rPr>
        <w:t> - </w:t>
      </w:r>
      <w:r w:rsidR="009354EC" w:rsidRPr="009118AB">
        <w:rPr>
          <w:i/>
          <w:iCs/>
        </w:rPr>
        <w:t>in Kraft am 1. Januar 2019 und anwendbar ab dem Steuerjahr 2020, das sich auf einen Besteuerungszeitraum bezieht, der frühestens am 1. Januar 2019 beginnt</w:t>
      </w:r>
      <w:r w:rsidR="00FD68E8" w:rsidRPr="009118AB">
        <w:rPr>
          <w:i/>
          <w:iCs/>
        </w:rPr>
        <w:t> -,</w:t>
      </w:r>
      <w:r w:rsidR="009354EC" w:rsidRPr="009118AB">
        <w:rPr>
          <w:i/>
          <w:iCs/>
        </w:rPr>
        <w:t xml:space="preserve"> selbst eingefügt durch </w:t>
      </w:r>
      <w:r w:rsidR="00D67EB8" w:rsidRPr="009118AB">
        <w:rPr>
          <w:i/>
          <w:iCs/>
        </w:rPr>
        <w:t>Art. </w:t>
      </w:r>
      <w:r w:rsidR="009354EC" w:rsidRPr="009118AB">
        <w:rPr>
          <w:i/>
          <w:iCs/>
        </w:rPr>
        <w:t>31 des G. vom 30. Juli 2018</w:t>
      </w:r>
      <w:r w:rsidR="00624710" w:rsidRPr="009118AB">
        <w:rPr>
          <w:i/>
          <w:iCs/>
        </w:rPr>
        <w:t> (I)</w:t>
      </w:r>
      <w:r w:rsidR="009354EC" w:rsidRPr="009118AB">
        <w:rPr>
          <w:i/>
          <w:iCs/>
        </w:rPr>
        <w:t> (B.S. vom 10. August 2018)</w:t>
      </w:r>
      <w:r w:rsidR="00A150F8" w:rsidRPr="009118AB">
        <w:rPr>
          <w:i/>
          <w:iCs/>
        </w:rPr>
        <w:t xml:space="preserve">; </w:t>
      </w:r>
      <w:r w:rsidR="00D67EB8" w:rsidRPr="009118AB">
        <w:rPr>
          <w:i/>
          <w:iCs/>
        </w:rPr>
        <w:t>§ </w:t>
      </w:r>
      <w:r w:rsidR="00A150F8" w:rsidRPr="009118AB">
        <w:rPr>
          <w:i/>
          <w:iCs/>
        </w:rPr>
        <w:t xml:space="preserve">5 eingefügt durch </w:t>
      </w:r>
      <w:r w:rsidR="00D67EB8" w:rsidRPr="009118AB">
        <w:rPr>
          <w:i/>
          <w:iCs/>
        </w:rPr>
        <w:t>Art. </w:t>
      </w:r>
      <w:r w:rsidR="00A150F8" w:rsidRPr="009118AB">
        <w:rPr>
          <w:i/>
          <w:iCs/>
        </w:rPr>
        <w:t>17 des G. vom 23. Juni 2020 (B.S. vom 1. Juli 2020)</w:t>
      </w:r>
      <w:r w:rsidRPr="009118AB">
        <w:rPr>
          <w:i/>
          <w:iCs/>
        </w:rPr>
        <w:t>]</w:t>
      </w:r>
    </w:p>
    <w:p w14:paraId="2257A28E" w14:textId="77777777" w:rsidR="006262E5" w:rsidRPr="009118AB" w:rsidRDefault="006262E5" w:rsidP="006262E5">
      <w:pPr>
        <w:autoSpaceDE w:val="0"/>
        <w:autoSpaceDN w:val="0"/>
        <w:adjustRightInd w:val="0"/>
        <w:jc w:val="both"/>
        <w:rPr>
          <w:iCs/>
        </w:rPr>
      </w:pPr>
    </w:p>
    <w:p w14:paraId="1703DC68" w14:textId="77777777" w:rsidR="005A54CA" w:rsidRPr="009118AB" w:rsidRDefault="005A54CA" w:rsidP="006262E5">
      <w:pPr>
        <w:autoSpaceDE w:val="0"/>
        <w:autoSpaceDN w:val="0"/>
        <w:adjustRightInd w:val="0"/>
        <w:jc w:val="both"/>
        <w:rPr>
          <w:iCs/>
        </w:rPr>
      </w:pPr>
    </w:p>
    <w:p w14:paraId="0A2B4BD0" w14:textId="653DB748" w:rsidR="004E33EF" w:rsidRPr="009118AB" w:rsidRDefault="00CD6AA7" w:rsidP="004E33EF">
      <w:pPr>
        <w:ind w:firstLine="708"/>
        <w:jc w:val="both"/>
      </w:pPr>
      <w:r w:rsidRPr="009118AB">
        <w:rPr>
          <w:iCs/>
        </w:rPr>
        <w:tab/>
      </w:r>
      <w:r w:rsidR="005A54CA" w:rsidRPr="009118AB">
        <w:rPr>
          <w:iCs/>
        </w:rPr>
        <w:t>[</w:t>
      </w:r>
      <w:r w:rsidR="00D67EB8" w:rsidRPr="009118AB">
        <w:rPr>
          <w:b/>
        </w:rPr>
        <w:t>Art. </w:t>
      </w:r>
      <w:r w:rsidR="005A54CA" w:rsidRPr="009118AB">
        <w:rPr>
          <w:b/>
        </w:rPr>
        <w:t>185/1</w:t>
      </w:r>
      <w:r w:rsidR="00D67EB8" w:rsidRPr="009118AB">
        <w:t> - </w:t>
      </w:r>
      <w:r w:rsidR="004E33EF" w:rsidRPr="009118AB">
        <w:t>In Abweichung von Artikel 24 gehen Gewinne auch aus der Übertragung eines oder mehrerer Aktivabestandteile einer inländischen Gesellschaft an ihre ausländische Niederlassung, deren Gewinne in Belgien aufgrund eines Abkommens zur Vermeidung der Doppelbesteuerung steuerfrei sind, hervor.</w:t>
      </w:r>
    </w:p>
    <w:p w14:paraId="3A082FB9" w14:textId="77777777" w:rsidR="004E33EF" w:rsidRPr="009118AB" w:rsidRDefault="004E33EF" w:rsidP="004E33EF">
      <w:pPr>
        <w:jc w:val="both"/>
      </w:pPr>
    </w:p>
    <w:p w14:paraId="28C122EC" w14:textId="77777777" w:rsidR="005A54CA" w:rsidRPr="009118AB" w:rsidRDefault="004E33EF" w:rsidP="004E33EF">
      <w:pPr>
        <w:autoSpaceDE w:val="0"/>
        <w:autoSpaceDN w:val="0"/>
        <w:adjustRightInd w:val="0"/>
        <w:ind w:firstLine="708"/>
        <w:jc w:val="both"/>
      </w:pPr>
      <w:r w:rsidRPr="009118AB">
        <w:t>Im Falle einer in Absatz 1 erwähnten Übertragung gilt die Plusdifferenz zwischen einerseits dem Realwert dieser Bestandteile und andererseits ihrem Anschaffungs- oder Investitionswert abzüglich der vorher zugelassenen Wertminderungen und Abschreibungen als Gewinn.</w:t>
      </w:r>
      <w:r w:rsidR="005A54CA" w:rsidRPr="009118AB">
        <w:t>]</w:t>
      </w:r>
    </w:p>
    <w:p w14:paraId="146591A7" w14:textId="77777777" w:rsidR="005A54CA" w:rsidRPr="009118AB" w:rsidRDefault="005A54CA" w:rsidP="005A54CA">
      <w:pPr>
        <w:autoSpaceDE w:val="0"/>
        <w:autoSpaceDN w:val="0"/>
        <w:adjustRightInd w:val="0"/>
        <w:jc w:val="both"/>
      </w:pPr>
    </w:p>
    <w:p w14:paraId="179165F3" w14:textId="705826EA" w:rsidR="005A54CA" w:rsidRPr="009118AB" w:rsidRDefault="005A54CA" w:rsidP="005A54CA">
      <w:pPr>
        <w:autoSpaceDE w:val="0"/>
        <w:autoSpaceDN w:val="0"/>
        <w:adjustRightInd w:val="0"/>
        <w:jc w:val="both"/>
        <w:rPr>
          <w:iCs/>
        </w:rPr>
      </w:pPr>
      <w:r w:rsidRPr="009118AB">
        <w:rPr>
          <w:i/>
        </w:rPr>
        <w:t>[</w:t>
      </w:r>
      <w:r w:rsidR="00D67EB8" w:rsidRPr="009118AB">
        <w:rPr>
          <w:i/>
        </w:rPr>
        <w:t>Art. </w:t>
      </w:r>
      <w:r w:rsidRPr="009118AB">
        <w:rPr>
          <w:i/>
        </w:rPr>
        <w:t xml:space="preserve">185/1 eingefügt durch </w:t>
      </w:r>
      <w:r w:rsidR="00D67EB8" w:rsidRPr="009118AB">
        <w:rPr>
          <w:i/>
        </w:rPr>
        <w:t>Art. </w:t>
      </w:r>
      <w:r w:rsidRPr="009118AB">
        <w:rPr>
          <w:i/>
        </w:rPr>
        <w:t>19</w:t>
      </w:r>
      <w:r w:rsidRPr="009118AB">
        <w:rPr>
          <w:i/>
          <w:iCs/>
        </w:rPr>
        <w:t xml:space="preserve"> des G. vom 25. Dezember 2017 (III) (B.S. vom 29. Dezember 2017)</w:t>
      </w:r>
      <w:r w:rsidR="00D67EB8" w:rsidRPr="009118AB">
        <w:rPr>
          <w:i/>
          <w:iCs/>
        </w:rPr>
        <w:t> - </w:t>
      </w:r>
      <w:r w:rsidRPr="009118AB">
        <w:rPr>
          <w:i/>
          <w:iCs/>
        </w:rPr>
        <w:t>in Kraft am 1. Januar 2019 und anwendbar auf Übertragungen, die ab dem 1. Januar 2019 stattfinden</w:t>
      </w:r>
      <w:r w:rsidR="00FD68E8" w:rsidRPr="009118AB">
        <w:rPr>
          <w:i/>
          <w:iCs/>
        </w:rPr>
        <w:t> -,</w:t>
      </w:r>
      <w:r w:rsidR="004E33EF" w:rsidRPr="009118AB">
        <w:rPr>
          <w:i/>
          <w:iCs/>
        </w:rPr>
        <w:t xml:space="preserve"> selbst ersetzt durch </w:t>
      </w:r>
      <w:r w:rsidR="00D67EB8" w:rsidRPr="009118AB">
        <w:rPr>
          <w:i/>
          <w:iCs/>
        </w:rPr>
        <w:t>Art. </w:t>
      </w:r>
      <w:r w:rsidR="004E33EF" w:rsidRPr="009118AB">
        <w:rPr>
          <w:i/>
          <w:iCs/>
        </w:rPr>
        <w:t>23</w:t>
      </w:r>
      <w:r w:rsidR="004E33EF" w:rsidRPr="009118AB">
        <w:rPr>
          <w:i/>
        </w:rPr>
        <w:t xml:space="preserve"> des G. vom 30. Juli 2018 (I) (B.S. vom 10. August 2018)</w:t>
      </w:r>
      <w:r w:rsidR="001609EC" w:rsidRPr="009118AB">
        <w:rPr>
          <w:i/>
          <w:iCs/>
        </w:rPr>
        <w:t>]</w:t>
      </w:r>
    </w:p>
    <w:p w14:paraId="4000CA2F" w14:textId="77777777" w:rsidR="001609EC" w:rsidRPr="009118AB" w:rsidRDefault="001609EC" w:rsidP="005A54CA">
      <w:pPr>
        <w:autoSpaceDE w:val="0"/>
        <w:autoSpaceDN w:val="0"/>
        <w:adjustRightInd w:val="0"/>
        <w:jc w:val="both"/>
        <w:rPr>
          <w:iCs/>
          <w:sz w:val="20"/>
          <w:szCs w:val="20"/>
        </w:rPr>
      </w:pPr>
    </w:p>
    <w:p w14:paraId="79593BAC" w14:textId="77777777" w:rsidR="001609EC" w:rsidRPr="009118AB" w:rsidRDefault="001609EC" w:rsidP="001609EC">
      <w:pPr>
        <w:autoSpaceDE w:val="0"/>
        <w:autoSpaceDN w:val="0"/>
        <w:adjustRightInd w:val="0"/>
        <w:jc w:val="both"/>
        <w:rPr>
          <w:iCs/>
        </w:rPr>
      </w:pPr>
    </w:p>
    <w:p w14:paraId="5A553947" w14:textId="2C4CBDB5" w:rsidR="00FD0337" w:rsidRPr="00FF1F87" w:rsidRDefault="00CD6AA7" w:rsidP="00FD0337">
      <w:pPr>
        <w:ind w:firstLine="708"/>
        <w:jc w:val="both"/>
      </w:pPr>
      <w:r w:rsidRPr="009118AB">
        <w:rPr>
          <w:iCs/>
        </w:rPr>
        <w:tab/>
      </w:r>
      <w:r w:rsidR="001609EC" w:rsidRPr="009118AB">
        <w:rPr>
          <w:iCs/>
        </w:rPr>
        <w:t>[</w:t>
      </w:r>
      <w:r w:rsidR="00D67EB8" w:rsidRPr="009118AB">
        <w:rPr>
          <w:b/>
        </w:rPr>
        <w:t>Art. </w:t>
      </w:r>
      <w:r w:rsidR="001609EC" w:rsidRPr="009118AB">
        <w:rPr>
          <w:b/>
        </w:rPr>
        <w:t>185/2</w:t>
      </w:r>
      <w:r w:rsidR="00D67EB8" w:rsidRPr="009118AB">
        <w:t> - </w:t>
      </w:r>
      <w:r w:rsidR="00FD0337">
        <w:t>[</w:t>
      </w:r>
      <w:r w:rsidR="00FD0337" w:rsidRPr="00FF1F87">
        <w:t>§ 1 ­ Unbeschadet der Anwendung von Artikel 185 § 2 Buchstabe </w:t>
      </w:r>
      <w:r w:rsidR="00FD0337" w:rsidRPr="00FF1F87">
        <w:rPr>
          <w:i/>
          <w:iCs/>
        </w:rPr>
        <w:t>a)</w:t>
      </w:r>
      <w:r w:rsidR="00FD0337" w:rsidRPr="00FF1F87">
        <w:t xml:space="preserve"> umfassen Gewinne ebenfalls die in § 2 beschriebenen nicht ausgeschütteten Gewinne der ausländischen Gesellschaft, der ausländischen Niederlassung dieser ausländischen Gesellschaft oder der ausländischen Niederlassung des Steuerpflichtigen, die in Anwendung von § 3 als beherrschte ausländische Gesellschaft oder CFC gilt, die nicht gemäß § 4 von der Anwendung des vorliegenden Artikels befreit sind, sofern diese nicht ausgeschütteten Gewinne durch die CFC in einem Besteuerungszeitraum erzielt wurden, der im Laufe des Besteuerungszeitraums des Steuerpflichtigen abgeschlossen wurde.</w:t>
      </w:r>
    </w:p>
    <w:p w14:paraId="12834AE9" w14:textId="77777777" w:rsidR="00FD0337" w:rsidRPr="00FF1F87" w:rsidRDefault="00FD0337" w:rsidP="00FD0337">
      <w:pPr>
        <w:jc w:val="both"/>
      </w:pPr>
    </w:p>
    <w:p w14:paraId="51DD989F" w14:textId="77777777" w:rsidR="00FD0337" w:rsidRPr="00FF1F87" w:rsidRDefault="00FD0337" w:rsidP="00FD0337">
      <w:pPr>
        <w:ind w:firstLine="708"/>
        <w:jc w:val="both"/>
      </w:pPr>
      <w:r w:rsidRPr="00FF1F87">
        <w:t>§ 2 - Die Gewinne einer ausländischen Gesellschaft oder einer ausländischen Niederlassung dieser ausländischen Gesellschaft, die in Anwendung von § 3 als CFC gilt, die nicht gemäß § 4 von der Anwendung des vorliegenden Artikels befreit sind und die beim Steuerpflichtigen besteuert werden, werden wie folgt festgelegt.</w:t>
      </w:r>
    </w:p>
    <w:p w14:paraId="3D34ECA5" w14:textId="77777777" w:rsidR="00FD0337" w:rsidRPr="00FF1F87" w:rsidRDefault="00FD0337" w:rsidP="00FD0337">
      <w:pPr>
        <w:jc w:val="both"/>
      </w:pPr>
    </w:p>
    <w:p w14:paraId="32674A76" w14:textId="77777777" w:rsidR="00FD0337" w:rsidRPr="00FF1F87" w:rsidRDefault="00FD0337" w:rsidP="00FD0337">
      <w:pPr>
        <w:jc w:val="both"/>
      </w:pPr>
      <w:r w:rsidRPr="00FF1F87">
        <w:tab/>
        <w:t>Die Gewinne der ausländischen Gesellschaft oder der ausländischen Niederlassung dieser ausländischen Gesellschaft werden so festgelegt, als ob diese Gesellschaft oder diese Niederlassung in Belgien ansässig oder gelegen wäre. Gewinne, die einer belgischen Niederlassung oder einer in einem Drittland gelegenen Niederlassung zugerechnet werden und die aufgrund eines Abkommens in dem Land steuerfrei sind, in dem die ausländische Gesellschaft ansässig ist, werden bei der Festlegung der Gewinne der ausländischen Gesellschaft nicht berücksichtigt.</w:t>
      </w:r>
    </w:p>
    <w:p w14:paraId="3FA06683" w14:textId="77777777" w:rsidR="00FD0337" w:rsidRPr="00FF1F87" w:rsidRDefault="00FD0337" w:rsidP="00FD0337">
      <w:pPr>
        <w:jc w:val="both"/>
      </w:pPr>
    </w:p>
    <w:p w14:paraId="07897AAC" w14:textId="77777777" w:rsidR="00FD0337" w:rsidRPr="00FF1F87" w:rsidRDefault="00FD0337" w:rsidP="00FD0337">
      <w:pPr>
        <w:ind w:firstLine="708"/>
        <w:jc w:val="both"/>
      </w:pPr>
      <w:r w:rsidRPr="00FF1F87">
        <w:lastRenderedPageBreak/>
        <w:t>Erbringt der Steuerpflichtige den entsprechenden Nachweis, werden diese Gewinne dann mit einem Bruch multipliziert, dessen Zähler den Betrag der in Artikel 206/1 erwähnten Rücklagen, nicht zugelassenen Ausgaben und anderen Bestandteile des Ergebnisses umfasst, und dessen Nenner den Betrag der in Artikel 206/1 erwähnten Rücklagen, nicht zugelassenen Ausgaben und anderen Bestandteile des Ergebnisses und Dividenden umfasst. Bei der Bestimmung dieses Bruchs werden die Rücklagen, die nicht zugelassenen Ausgaben und anderen Bestandteile des Ergebnisses und die Dividenden, die einer in einem Drittland gelegenen Niederlassung zugerechnet werden, deren Gewinne aufgrund eines Abkommens in dem Land steuerfrei sind, in dem die ausländische Gesellschaft ansässig ist, nicht berücksichtigt. Falls bei der Bestimmung des Zählers die Summe der in Artikel 206/1 erwähnten Rücklagen, nicht zugelassenen Ausgaben und anderen Bestandteile des Ergebnisses negativ ist, gilt, dass dieser Bruch gleich null ist.</w:t>
      </w:r>
    </w:p>
    <w:p w14:paraId="4033CC1C" w14:textId="77777777" w:rsidR="00FD0337" w:rsidRPr="00FF1F87" w:rsidRDefault="00FD0337" w:rsidP="00FD0337">
      <w:pPr>
        <w:jc w:val="both"/>
      </w:pPr>
    </w:p>
    <w:p w14:paraId="1E2A2DC8" w14:textId="77777777" w:rsidR="00FD0337" w:rsidRPr="00FF1F87" w:rsidRDefault="00FD0337" w:rsidP="00FD0337">
      <w:pPr>
        <w:ind w:firstLine="708"/>
        <w:jc w:val="both"/>
      </w:pPr>
      <w:r w:rsidRPr="00FF1F87">
        <w:t>Erbringt der Steuerpflichtige den entsprechenden Nachweis, wird der nach Anwendung der vorhergehenden Absätze erhaltene Betrag dann mit einem Bruch multipliziert, dessen Nenner den Betrag der im Jahresabschluss vermerkten Einkünfte der ausländischen Gesellschaft oder der ausländischen Niederlassung umfasst, die im Besteuerungszeitraum erzielt wurden, mit Ausnahme der Einkünfte, die aufgrund eines Abkommens oder des vorliegenden Gesetzbuches steuerfrei sind, und dessen Zähler die Summe der folgenden Einkünfte umfasst, sofern diese nicht aufgrund eines Abkommens oder des vorliegenden Gesetzbuches steuerfrei sind:</w:t>
      </w:r>
    </w:p>
    <w:p w14:paraId="532B22CE" w14:textId="77777777" w:rsidR="00FD0337" w:rsidRPr="00FF1F87" w:rsidRDefault="00FD0337" w:rsidP="00FD0337">
      <w:pPr>
        <w:jc w:val="both"/>
      </w:pPr>
    </w:p>
    <w:p w14:paraId="38E307D0" w14:textId="77777777" w:rsidR="00FD0337" w:rsidRPr="00FF1F87" w:rsidRDefault="00FD0337" w:rsidP="00FD0337">
      <w:pPr>
        <w:ind w:firstLine="708"/>
        <w:jc w:val="both"/>
      </w:pPr>
      <w:r w:rsidRPr="00FF1F87">
        <w:t>- Zinsen oder sonstige Einkünfte, die gleichwertig mit Zinsen sind,</w:t>
      </w:r>
    </w:p>
    <w:p w14:paraId="78AF7B45" w14:textId="77777777" w:rsidR="00FD0337" w:rsidRPr="00FF1F87" w:rsidRDefault="00FD0337" w:rsidP="00FD0337">
      <w:pPr>
        <w:jc w:val="both"/>
      </w:pPr>
    </w:p>
    <w:p w14:paraId="7F18F58E" w14:textId="77777777" w:rsidR="00FD0337" w:rsidRPr="00FF1F87" w:rsidRDefault="00FD0337" w:rsidP="00FD0337">
      <w:pPr>
        <w:ind w:firstLine="708"/>
        <w:jc w:val="both"/>
      </w:pPr>
      <w:r w:rsidRPr="00FF1F87">
        <w:t>- Lizenzgebühren oder sonstige Einkünfte aus geistigem Eigentum,</w:t>
      </w:r>
    </w:p>
    <w:p w14:paraId="7B915393" w14:textId="77777777" w:rsidR="00FD0337" w:rsidRPr="00FF1F87" w:rsidRDefault="00FD0337" w:rsidP="00FD0337">
      <w:pPr>
        <w:jc w:val="both"/>
      </w:pPr>
    </w:p>
    <w:p w14:paraId="11402C83" w14:textId="77777777" w:rsidR="00FD0337" w:rsidRPr="00FF1F87" w:rsidRDefault="00FD0337" w:rsidP="00FD0337">
      <w:pPr>
        <w:ind w:firstLine="708"/>
        <w:jc w:val="both"/>
      </w:pPr>
      <w:r w:rsidRPr="00FF1F87">
        <w:t>- Dividenden und Einkünfte aus der Veräußerung von Aktien oder Anteilen, Schuldverschreibungen, Optionen und ähnlichen Wertpapieren,</w:t>
      </w:r>
    </w:p>
    <w:p w14:paraId="65F845AD" w14:textId="77777777" w:rsidR="00FD0337" w:rsidRPr="00FF1F87" w:rsidRDefault="00FD0337" w:rsidP="00FD0337">
      <w:pPr>
        <w:jc w:val="both"/>
      </w:pPr>
    </w:p>
    <w:p w14:paraId="0095DE82" w14:textId="77777777" w:rsidR="00FD0337" w:rsidRPr="00FF1F87" w:rsidRDefault="00FD0337" w:rsidP="00FD0337">
      <w:pPr>
        <w:ind w:firstLine="708"/>
        <w:jc w:val="both"/>
      </w:pPr>
      <w:r w:rsidRPr="00FF1F87">
        <w:t>- Einkünfte aus Vermietung oder aus operativem Leasing oder Finanzierungsleasing,</w:t>
      </w:r>
    </w:p>
    <w:p w14:paraId="1085E0D8" w14:textId="77777777" w:rsidR="00FD0337" w:rsidRPr="00FF1F87" w:rsidRDefault="00FD0337" w:rsidP="00FD0337">
      <w:pPr>
        <w:jc w:val="both"/>
      </w:pPr>
    </w:p>
    <w:p w14:paraId="7B0F7A1C" w14:textId="77777777" w:rsidR="00FD0337" w:rsidRPr="00FF1F87" w:rsidRDefault="00FD0337" w:rsidP="00FD0337">
      <w:pPr>
        <w:ind w:firstLine="708"/>
        <w:jc w:val="both"/>
      </w:pPr>
      <w:r w:rsidRPr="00FF1F87">
        <w:t>- Einkünfte aus Vermögensverwaltung, aus Anlagetätigkeiten, aus Tätigkeiten von Versicherungen und Banken und aus anderen finanziellen Tätigkeiten,</w:t>
      </w:r>
    </w:p>
    <w:p w14:paraId="1BCC7FFE" w14:textId="77777777" w:rsidR="00FD0337" w:rsidRPr="00FF1F87" w:rsidRDefault="00FD0337" w:rsidP="00FD0337">
      <w:pPr>
        <w:jc w:val="both"/>
      </w:pPr>
    </w:p>
    <w:p w14:paraId="0F57003A" w14:textId="77777777" w:rsidR="00FD0337" w:rsidRPr="00FF1F87" w:rsidRDefault="00FD0337" w:rsidP="00FD0337">
      <w:pPr>
        <w:ind w:firstLine="708"/>
        <w:jc w:val="both"/>
      </w:pPr>
      <w:r w:rsidRPr="00FF1F87">
        <w:t>- Einkünfte aus Erwerb und Verkauf von Gütern und Dienstleistungen, denen durch die ausländische Gesellschaft oder die ausländische Niederlassung nur ein geringer oder kein wirtschaftlicher Wert hinzugefügt wird.</w:t>
      </w:r>
    </w:p>
    <w:p w14:paraId="17B07974" w14:textId="77777777" w:rsidR="00FD0337" w:rsidRPr="00FF1F87" w:rsidRDefault="00FD0337" w:rsidP="00FD0337">
      <w:pPr>
        <w:jc w:val="both"/>
      </w:pPr>
    </w:p>
    <w:p w14:paraId="68301C72" w14:textId="77777777" w:rsidR="00FD0337" w:rsidRPr="00FF1F87" w:rsidRDefault="00FD0337" w:rsidP="00FD0337">
      <w:pPr>
        <w:jc w:val="both"/>
      </w:pPr>
      <w:r w:rsidRPr="00FF1F87">
        <w:tab/>
        <w:t>Schließlich wird der nach Anwendung des vorhergehenden Absatzes erhaltene Betrag im Verhältnis zu dem höchsten der folgenden drei Prozentsätze begrenzt:</w:t>
      </w:r>
    </w:p>
    <w:p w14:paraId="18C0424B" w14:textId="77777777" w:rsidR="00FD0337" w:rsidRPr="00FF1F87" w:rsidRDefault="00FD0337" w:rsidP="00FD0337">
      <w:pPr>
        <w:jc w:val="both"/>
      </w:pPr>
    </w:p>
    <w:p w14:paraId="22BBFAE9" w14:textId="77777777" w:rsidR="00FD0337" w:rsidRPr="00FF1F87" w:rsidRDefault="00FD0337" w:rsidP="00FD0337">
      <w:pPr>
        <w:ind w:firstLine="708"/>
        <w:jc w:val="both"/>
      </w:pPr>
      <w:r w:rsidRPr="00FF1F87">
        <w:t>- dem Prozentsatz der Beteiligung, die der Steuerpflichtige unmittelbar an den Stimmrechten der ausländischen Gesellschaft hält, die als CFC gilt oder deren ausländische Niederlassung in Anwendung von § 3 als CFC gilt,</w:t>
      </w:r>
    </w:p>
    <w:p w14:paraId="209570F2" w14:textId="77777777" w:rsidR="00FD0337" w:rsidRPr="00FF1F87" w:rsidRDefault="00FD0337" w:rsidP="00FD0337">
      <w:pPr>
        <w:jc w:val="both"/>
      </w:pPr>
    </w:p>
    <w:p w14:paraId="201AC583" w14:textId="77777777" w:rsidR="00FD0337" w:rsidRPr="00FF1F87" w:rsidRDefault="00FD0337" w:rsidP="00FD0337">
      <w:pPr>
        <w:ind w:firstLine="708"/>
        <w:jc w:val="both"/>
      </w:pPr>
      <w:r w:rsidRPr="00FF1F87">
        <w:t>- dem Prozentsatz der Beteiligung, die der Steuerpflichtige unmittelbar am Kapital der ausländischen Gesellschaft hält, die in Anwendung von § 3 als CFC gilt oder deren ausländische Niederlassung in Anwendung von § 3 als CFC gilt,</w:t>
      </w:r>
    </w:p>
    <w:p w14:paraId="3E180503" w14:textId="77777777" w:rsidR="00FD0337" w:rsidRPr="00FF1F87" w:rsidRDefault="00FD0337" w:rsidP="00FD0337">
      <w:pPr>
        <w:jc w:val="both"/>
      </w:pPr>
    </w:p>
    <w:p w14:paraId="3A851670" w14:textId="77777777" w:rsidR="00FD0337" w:rsidRPr="00FF1F87" w:rsidRDefault="00FD0337" w:rsidP="00FD0337">
      <w:pPr>
        <w:ind w:firstLine="708"/>
        <w:jc w:val="both"/>
      </w:pPr>
      <w:r w:rsidRPr="00FF1F87">
        <w:lastRenderedPageBreak/>
        <w:t>- dem Prozentsatz der Gewinne der ausländischen Gesellschaft, die in Anwendung von § 3 als CFC gilt oder deren ausländische Niederlassung in Anwendung von § 3 als CFC gilt, auf die der Steuerpflichtige im Falle einer Ausschüttung unmittelbar Anspruch hat.</w:t>
      </w:r>
    </w:p>
    <w:p w14:paraId="1EBA9211" w14:textId="77777777" w:rsidR="00FD0337" w:rsidRPr="00FF1F87" w:rsidRDefault="00FD0337" w:rsidP="00FD0337">
      <w:pPr>
        <w:jc w:val="both"/>
      </w:pPr>
    </w:p>
    <w:p w14:paraId="768265AC" w14:textId="77777777" w:rsidR="00FD0337" w:rsidRPr="00FF1F87" w:rsidRDefault="00FD0337" w:rsidP="00FD0337">
      <w:pPr>
        <w:ind w:firstLine="708"/>
        <w:jc w:val="both"/>
      </w:pPr>
      <w:r w:rsidRPr="00FF1F87">
        <w:t>Die Gewinne einer ausländischen Niederlassung des Steuerpflichtigen, die in Anwendung von § 3 als CFC gilt, die nicht gemäß § 4 von der Anwendung des vorliegenden Artikels befreit sind und die beim Steuerpflichtigen besteuert werden, werden wie folgt festgelegt.</w:t>
      </w:r>
    </w:p>
    <w:p w14:paraId="03836CFA" w14:textId="77777777" w:rsidR="00FD0337" w:rsidRPr="00FF1F87" w:rsidRDefault="00FD0337" w:rsidP="00FD0337">
      <w:pPr>
        <w:jc w:val="both"/>
      </w:pPr>
    </w:p>
    <w:p w14:paraId="63F85F1A" w14:textId="77777777" w:rsidR="00FD0337" w:rsidRPr="00FF1F87" w:rsidRDefault="00FD0337" w:rsidP="00FD0337">
      <w:pPr>
        <w:ind w:firstLine="708"/>
        <w:jc w:val="both"/>
      </w:pPr>
      <w:r w:rsidRPr="00FF1F87">
        <w:t>Die Gewinne der ausländischen Niederlassung des Steuerpflichtigen werden so festgelegt, als ob diese Niederlassung in Belgien gelegen wäre.</w:t>
      </w:r>
    </w:p>
    <w:p w14:paraId="4A654FB2" w14:textId="77777777" w:rsidR="00FD0337" w:rsidRPr="00FF1F87" w:rsidRDefault="00FD0337" w:rsidP="00FD0337">
      <w:pPr>
        <w:jc w:val="both"/>
      </w:pPr>
    </w:p>
    <w:p w14:paraId="2BAF450B" w14:textId="77777777" w:rsidR="00FD0337" w:rsidRPr="00FF1F87" w:rsidRDefault="00FD0337" w:rsidP="00FD0337">
      <w:pPr>
        <w:ind w:firstLine="708"/>
        <w:jc w:val="both"/>
      </w:pPr>
      <w:r w:rsidRPr="00FF1F87">
        <w:t>Erbringt der Steuerpflichtige den entsprechenden Nachweis, wird der nach Anwendung des vorhergehenden Absatzes erhaltene Betrag dann mit einem Bruch multipliziert, dessen Nenner den Betrag der im Jahresabschluss vermerkten Einkünfte der ausländischen Niederlassung umfasst, die im Besteuerungszeitraum erzielt wurden, mit Ausnahme der Einkünfte, die aufgrund des vorliegenden Gesetzbuches steuerfrei sind, und dessen Zähler die Summe der in Absatz 4 erster bis sechster Gedankenstrich erwähnten Einkünfte umfasst, sofern diese nicht aufgrund des vorliegenden Gesetzbuches steuerfrei sind.</w:t>
      </w:r>
    </w:p>
    <w:p w14:paraId="7DF8879E" w14:textId="77777777" w:rsidR="00FD0337" w:rsidRPr="00FF1F87" w:rsidRDefault="00FD0337" w:rsidP="00FD0337">
      <w:pPr>
        <w:jc w:val="both"/>
      </w:pPr>
    </w:p>
    <w:p w14:paraId="4277A352" w14:textId="77777777" w:rsidR="00FD0337" w:rsidRPr="00FF1F87" w:rsidRDefault="00FD0337" w:rsidP="00FD0337">
      <w:pPr>
        <w:ind w:firstLine="708"/>
        <w:jc w:val="both"/>
      </w:pPr>
      <w:r w:rsidRPr="00FF1F87">
        <w:t>§ 3 - Die ausländische Gesellschaft oder die ausländische Niederlassung dieser Gesellschaft gilt für die Anwendung des vorliegenden Artikels als CFC:</w:t>
      </w:r>
    </w:p>
    <w:p w14:paraId="02C1626D" w14:textId="77777777" w:rsidR="00FD0337" w:rsidRPr="00FF1F87" w:rsidRDefault="00FD0337" w:rsidP="00FD0337">
      <w:pPr>
        <w:jc w:val="both"/>
      </w:pPr>
    </w:p>
    <w:p w14:paraId="4FE996B6" w14:textId="77777777" w:rsidR="00FD0337" w:rsidRPr="00FF1F87" w:rsidRDefault="00FD0337" w:rsidP="00FD0337">
      <w:pPr>
        <w:ind w:firstLine="708"/>
        <w:jc w:val="both"/>
      </w:pPr>
      <w:r w:rsidRPr="00FF1F87">
        <w:t>- wenn der Steuerpflichtige zusammen mit seinen verbundenen Unternehmen oder ohne sie die Mehrheit der Stimmrechte hält, die mit der Gesamtheit der Aktien oder Anteile dieser ausländischen Gesellschaft verbunden sind, oder zusammen mit seinen verbundenen Unternehmen eine Beteiligung von mindestens 50 Prozent des Kapitals dieser ausländischen Gesellschaft hält oder zusammen mit seinen verbundenen Unternehmen Anspruch auf mindestens 50 Prozent der Gewinne dieser ausländischen Gesellschaft hat und wenn</w:t>
      </w:r>
    </w:p>
    <w:p w14:paraId="4F4796EA" w14:textId="77777777" w:rsidR="00FD0337" w:rsidRPr="00FF1F87" w:rsidRDefault="00FD0337" w:rsidP="00FD0337">
      <w:pPr>
        <w:jc w:val="both"/>
      </w:pPr>
    </w:p>
    <w:p w14:paraId="087574D7" w14:textId="77777777" w:rsidR="00FD0337" w:rsidRPr="00FF1F87" w:rsidRDefault="00FD0337" w:rsidP="00FD0337">
      <w:pPr>
        <w:ind w:firstLine="708"/>
        <w:jc w:val="both"/>
      </w:pPr>
      <w:r w:rsidRPr="00FF1F87">
        <w:t>- die ausländische Gesellschaft oder die ausländische Niederlassung aufgrund der Rechtsvorschriften des Staates oder des Steuergebiets, in dem sie ansässig ist, dort entweder keiner Einkommensteuer unterliegt oder einer Einkommensteuer unterliegt, die sich auf weniger als die Hälfte der Gesellschaftssteuer beläuft, die geschuldet würde, wenn diese ausländische Gesellschaft oder diese ausländische Niederlassung in Belgien ansässig oder gelegen wäre.</w:t>
      </w:r>
    </w:p>
    <w:p w14:paraId="1D1009D0" w14:textId="77777777" w:rsidR="00FD0337" w:rsidRPr="00FF1F87" w:rsidRDefault="00FD0337" w:rsidP="00FD0337">
      <w:pPr>
        <w:jc w:val="both"/>
      </w:pPr>
    </w:p>
    <w:p w14:paraId="0B5542C3" w14:textId="77777777" w:rsidR="00FD0337" w:rsidRPr="00FF1F87" w:rsidRDefault="00FD0337" w:rsidP="00FD0337">
      <w:pPr>
        <w:ind w:firstLine="708"/>
        <w:jc w:val="both"/>
      </w:pPr>
      <w:r w:rsidRPr="00FF1F87">
        <w:t>Die ausländische Niederlassung des Steuerpflichtigen gilt für die Anwendung des vorliegenden Artikels als CFC, wenn diese Niederlassung in einem Land gelegen ist, mit dem Belgien ein Abkommen zur Vermeidung der Doppelbesteuerung abgeschlossen hat, und die in Absatz 1 zweiter Gedankenstrich erwähnte Bedingung erfüllt ist.</w:t>
      </w:r>
    </w:p>
    <w:p w14:paraId="60EEF048" w14:textId="77777777" w:rsidR="00FD0337" w:rsidRPr="00FF1F87" w:rsidRDefault="00FD0337" w:rsidP="00FD0337">
      <w:pPr>
        <w:jc w:val="both"/>
      </w:pPr>
    </w:p>
    <w:p w14:paraId="4984D1E6" w14:textId="77777777" w:rsidR="00FD0337" w:rsidRPr="00FF1F87" w:rsidRDefault="00FD0337" w:rsidP="00FD0337">
      <w:pPr>
        <w:ind w:firstLine="708"/>
        <w:jc w:val="both"/>
      </w:pPr>
      <w:r w:rsidRPr="00FF1F87">
        <w:t>Die in Absatz 1 zweiter Gedankenstrich erwähnte Bedingung gilt - vorbehaltlich des Gegenbeweises durch den Steuerpflichtigen - als erfüllt, wenn die in Absatz 1 erwähnte ausländische Gesellschaft oder die in Absatz 1 oder 2 erwähnte ausländische Niederlassung in einem Steuergebiet ansässig oder gelegen ist, das am Ende des Besteuerungszeitraums in der EU-Liste nicht kooperativer Steuergebiete aufgenommen ist, oder in einem Staat, der in der Liste der Staaten ohne oder mit niedriger Besteuerung wie in Artikel 307 § 1/2 erwähnt aufgenommen ist.</w:t>
      </w:r>
    </w:p>
    <w:p w14:paraId="077532EF" w14:textId="77777777" w:rsidR="00FD0337" w:rsidRPr="00FF1F87" w:rsidRDefault="00FD0337" w:rsidP="00FD0337">
      <w:pPr>
        <w:jc w:val="both"/>
      </w:pPr>
    </w:p>
    <w:p w14:paraId="362FAE27" w14:textId="77777777" w:rsidR="00FD0337" w:rsidRPr="00FF1F87" w:rsidRDefault="00FD0337" w:rsidP="00FD0337">
      <w:pPr>
        <w:ind w:firstLine="708"/>
        <w:jc w:val="both"/>
      </w:pPr>
      <w:r w:rsidRPr="00FF1F87">
        <w:lastRenderedPageBreak/>
        <w:t>In Anwendung von Absatz 1 zweiter Gedankenstrich wird für die Berechnung der Gesellschaftssteuer einer ausländischen Gesellschaft, die geschuldet würde, wenn diese ausländische Gesellschaft in Belgien ansässig wäre, der Teil der Gewinne dieser ausländischen Gesellschaft nicht berücksichtigt, der durch eine oder mehrere ausländische Niederlassungen dieser ausländischen Gesellschaft erzielt wird, deren Gewinne in Anwendung eines Abkommens zur Vermeidung der Doppelbesteuerung steuerfrei sind, das zwischen dem Land oder Steuergebiet, in dem diese ausländische Gesellschaft ansässig ist, und dem Land oder Steuergebiet, in dem diese ausländische Niederlassung gelegen ist, abgeschlossen worden ist.</w:t>
      </w:r>
    </w:p>
    <w:p w14:paraId="5E38D1E7" w14:textId="77777777" w:rsidR="00FD0337" w:rsidRPr="00FF1F87" w:rsidRDefault="00FD0337" w:rsidP="00FD0337">
      <w:pPr>
        <w:jc w:val="both"/>
      </w:pPr>
    </w:p>
    <w:p w14:paraId="44D96C8D" w14:textId="77777777" w:rsidR="00FD0337" w:rsidRPr="00FF1F87" w:rsidRDefault="00FD0337" w:rsidP="00FD0337">
      <w:pPr>
        <w:ind w:firstLine="708"/>
        <w:jc w:val="both"/>
      </w:pPr>
      <w:r w:rsidRPr="00FF1F87">
        <w:t>Für die Anwendung des vorliegenden Artikels gilt eine natürliche Person, eine juristische Person oder ein Unternehmen ohne Rechtspersönlichkeit als verbundenes Unternehmen des Steuerpflichtigen, wenn:</w:t>
      </w:r>
    </w:p>
    <w:p w14:paraId="64262AB2" w14:textId="77777777" w:rsidR="00FD0337" w:rsidRPr="00FF1F87" w:rsidRDefault="00FD0337" w:rsidP="00FD0337">
      <w:pPr>
        <w:jc w:val="both"/>
      </w:pPr>
    </w:p>
    <w:p w14:paraId="2740E7D3" w14:textId="77777777" w:rsidR="00FD0337" w:rsidRPr="00FF1F87" w:rsidRDefault="00FD0337" w:rsidP="00FD0337">
      <w:pPr>
        <w:ind w:firstLine="708"/>
        <w:jc w:val="both"/>
      </w:pPr>
      <w:r w:rsidRPr="00FF1F87">
        <w:t>- der Steuerpflichtige oder jemand wie im vierten, fünften oder sechsten Gedankenstrich erwähnt unmittelbar oder mittelbar mindestens 25 Prozent der Stimmrechte hält, die mit der Gesamtheit der Aktien oder Anteile dieses Unternehmens verbunden sind,</w:t>
      </w:r>
    </w:p>
    <w:p w14:paraId="000A587B" w14:textId="77777777" w:rsidR="00FD0337" w:rsidRPr="00FF1F87" w:rsidRDefault="00FD0337" w:rsidP="00FD0337">
      <w:pPr>
        <w:jc w:val="both"/>
      </w:pPr>
    </w:p>
    <w:p w14:paraId="27F11D75" w14:textId="77777777" w:rsidR="00FD0337" w:rsidRPr="00FF1F87" w:rsidRDefault="00FD0337" w:rsidP="00FD0337">
      <w:pPr>
        <w:ind w:firstLine="708"/>
        <w:jc w:val="both"/>
      </w:pPr>
      <w:r w:rsidRPr="00FF1F87">
        <w:t>- der Steuerpflichtige oder jemand wie im vierten, fünften oder sechsten Gedankenstrich erwähnt unmittelbar oder mittelbar eine Beteiligung von mindestens 25 Prozent des Kapitals dieses Unternehmens hält,</w:t>
      </w:r>
    </w:p>
    <w:p w14:paraId="6803E2E0" w14:textId="77777777" w:rsidR="00FD0337" w:rsidRPr="00FF1F87" w:rsidRDefault="00FD0337" w:rsidP="00FD0337">
      <w:pPr>
        <w:jc w:val="both"/>
      </w:pPr>
    </w:p>
    <w:p w14:paraId="78239CE3" w14:textId="77777777" w:rsidR="00FD0337" w:rsidRPr="00FF1F87" w:rsidRDefault="00FD0337" w:rsidP="00FD0337">
      <w:pPr>
        <w:ind w:firstLine="708"/>
        <w:jc w:val="both"/>
      </w:pPr>
      <w:r w:rsidRPr="00FF1F87">
        <w:t>- der Steuerpflichtige oder jemand wie im vierten, fünften oder sechsten Gedankenstrich erwähnt unmittelbar oder mittelbar Anspruch auf mindestens 25 Prozent der Gewinne dieses Unternehmens hat,</w:t>
      </w:r>
    </w:p>
    <w:p w14:paraId="0946B7CA" w14:textId="77777777" w:rsidR="00FD0337" w:rsidRPr="00FF1F87" w:rsidRDefault="00FD0337" w:rsidP="00FD0337">
      <w:pPr>
        <w:jc w:val="both"/>
      </w:pPr>
    </w:p>
    <w:p w14:paraId="790575A7" w14:textId="77777777" w:rsidR="00FD0337" w:rsidRPr="00FF1F87" w:rsidRDefault="00FD0337" w:rsidP="00FD0337">
      <w:pPr>
        <w:ind w:firstLine="708"/>
        <w:jc w:val="both"/>
      </w:pPr>
      <w:r w:rsidRPr="00FF1F87">
        <w:t>- diese Person oder dieses Unternehmen unmittelbar oder mittelbar mindestens 25 Prozent der Stimmrechte hält, die mit der Gesamtheit der Aktien oder Anteile des Steuerpflichtigen verbunden sind,</w:t>
      </w:r>
    </w:p>
    <w:p w14:paraId="617F8D7D" w14:textId="77777777" w:rsidR="00FD0337" w:rsidRPr="00FF1F87" w:rsidRDefault="00FD0337" w:rsidP="00FD0337">
      <w:pPr>
        <w:jc w:val="both"/>
      </w:pPr>
    </w:p>
    <w:p w14:paraId="7563DE22" w14:textId="77777777" w:rsidR="00FD0337" w:rsidRPr="00FF1F87" w:rsidRDefault="00FD0337" w:rsidP="00FD0337">
      <w:pPr>
        <w:ind w:firstLine="708"/>
        <w:jc w:val="both"/>
      </w:pPr>
      <w:r w:rsidRPr="00FF1F87">
        <w:t>- diese Person oder dieses Unternehmen unmittelbar oder mittelbar eine Beteiligung von mindestens 25 Prozent des Kapitals des Steuerpflichtigen hält,</w:t>
      </w:r>
    </w:p>
    <w:p w14:paraId="134DA382" w14:textId="77777777" w:rsidR="00FD0337" w:rsidRPr="00FF1F87" w:rsidRDefault="00FD0337" w:rsidP="00FD0337">
      <w:pPr>
        <w:jc w:val="both"/>
      </w:pPr>
    </w:p>
    <w:p w14:paraId="24866E19" w14:textId="77777777" w:rsidR="00FD0337" w:rsidRPr="00FF1F87" w:rsidRDefault="00FD0337" w:rsidP="00FD0337">
      <w:pPr>
        <w:ind w:firstLine="708"/>
        <w:jc w:val="both"/>
      </w:pPr>
      <w:r w:rsidRPr="00FF1F87">
        <w:t>- diese Person oder dieses Unternehmen unmittelbar oder mittelbar Anspruch auf mindestens 25 Prozent der Gewinne des Steuerpflichtigen hat.</w:t>
      </w:r>
      <w:r w:rsidRPr="00FF1F87">
        <w:cr/>
      </w:r>
    </w:p>
    <w:p w14:paraId="543A6D94" w14:textId="77777777" w:rsidR="00FD0337" w:rsidRPr="00FF1F87" w:rsidRDefault="00FD0337" w:rsidP="00FD0337">
      <w:pPr>
        <w:ind w:firstLine="708"/>
        <w:jc w:val="both"/>
      </w:pPr>
      <w:r w:rsidRPr="00FF1F87">
        <w:t>§ 4 - Die nicht ausgeschütteten Gewinne der ausländischen Gesellschaft oder der ausländischen Niederlassung, die als CFC gilt, sind von der Anwendung des vorliegenden Artikels befreit, wenn der Steuerpflichtige nachweist, dass eine der folgenden Bedingungen erfüllt ist:</w:t>
      </w:r>
    </w:p>
    <w:p w14:paraId="608A9EF4" w14:textId="77777777" w:rsidR="00FD0337" w:rsidRPr="00FF1F87" w:rsidRDefault="00FD0337" w:rsidP="00FD0337">
      <w:pPr>
        <w:jc w:val="both"/>
      </w:pPr>
    </w:p>
    <w:p w14:paraId="4100EED3" w14:textId="77777777" w:rsidR="00FD0337" w:rsidRPr="00FF1F87" w:rsidRDefault="00FD0337" w:rsidP="00FD0337">
      <w:pPr>
        <w:ind w:firstLine="708"/>
        <w:jc w:val="both"/>
      </w:pPr>
      <w:r w:rsidRPr="00FF1F87">
        <w:t>- Es wird nachgewiesen, dass die CFC, gestützt auf Personal, Ausstattung, Vermögenswerte und Räumlichkeiten, eine wesentliche wirtschaftliche Tätigkeit ausübt, wie durch relevante Fakten und Umstände nachgewiesen.</w:t>
      </w:r>
    </w:p>
    <w:p w14:paraId="5BD6FBFA" w14:textId="77777777" w:rsidR="00FD0337" w:rsidRPr="00FF1F87" w:rsidRDefault="00FD0337" w:rsidP="00FD0337">
      <w:pPr>
        <w:jc w:val="both"/>
      </w:pPr>
    </w:p>
    <w:p w14:paraId="618D922A" w14:textId="77777777" w:rsidR="00FD0337" w:rsidRPr="00FF1F87" w:rsidRDefault="00FD0337" w:rsidP="00FD0337">
      <w:pPr>
        <w:ind w:firstLine="708"/>
        <w:jc w:val="both"/>
      </w:pPr>
      <w:r w:rsidRPr="00FF1F87">
        <w:t>- Es wird nachgewiesen, dass der in § 2 Absatz 4 erwähnte Bruch weniger als 1/3 beträgt.</w:t>
      </w:r>
    </w:p>
    <w:p w14:paraId="0F2D4820" w14:textId="77777777" w:rsidR="00FD0337" w:rsidRPr="00FF1F87" w:rsidRDefault="00FD0337" w:rsidP="00FD0337">
      <w:pPr>
        <w:jc w:val="both"/>
      </w:pPr>
    </w:p>
    <w:p w14:paraId="5734B88F" w14:textId="77777777" w:rsidR="00FD0337" w:rsidRPr="00FF1F87" w:rsidRDefault="00FD0337" w:rsidP="00FD0337">
      <w:pPr>
        <w:ind w:firstLine="708"/>
        <w:jc w:val="both"/>
      </w:pPr>
      <w:r w:rsidRPr="00FF1F87">
        <w:t xml:space="preserve">- Es wird nachgewiesen, dass die CFC in den Anwendungsbereich einer der in Artikel 198/1 § 6 Nr. 1 bis 12 erwähnten Begriffsbestimmungen fällt und dass ihre Einkünfte, die im Zähler des in § 2 Absatz 4 erwähnten Bruchs enthalten sind, zu einem Drittel oder </w:t>
      </w:r>
      <w:r w:rsidRPr="00FF1F87">
        <w:lastRenderedPageBreak/>
        <w:t>weniger aus Transaktionen mit dem Steuerpflichtigen oder mit verbundenen Unternehmen des Steuerpflichtigen stammen.</w:t>
      </w:r>
    </w:p>
    <w:p w14:paraId="1C9923FD" w14:textId="77777777" w:rsidR="00FD0337" w:rsidRPr="00FF1F87" w:rsidRDefault="00FD0337" w:rsidP="00FD0337">
      <w:pPr>
        <w:jc w:val="both"/>
      </w:pPr>
    </w:p>
    <w:p w14:paraId="7F01B4F1" w14:textId="3A0652D0" w:rsidR="001609EC" w:rsidRPr="009118AB" w:rsidRDefault="00FD0337" w:rsidP="00FD0337">
      <w:pPr>
        <w:ind w:firstLine="708"/>
        <w:jc w:val="both"/>
      </w:pPr>
      <w:r w:rsidRPr="00FF1F87">
        <w:t>Für die Anwendung von Absatz 1 erster Gedankenstrich ist unter der Ausübung einer wirtschaftlichen Tätigkeit das Anbieten von Gütern oder Dienstleistungen auf einem bestimmten Markt zu verstehen.</w:t>
      </w:r>
      <w:r w:rsidR="001609EC" w:rsidRPr="009118AB">
        <w:t>]</w:t>
      </w:r>
    </w:p>
    <w:p w14:paraId="7F877A68" w14:textId="77777777" w:rsidR="001609EC" w:rsidRPr="009118AB" w:rsidRDefault="001609EC" w:rsidP="001609EC">
      <w:pPr>
        <w:autoSpaceDE w:val="0"/>
        <w:autoSpaceDN w:val="0"/>
        <w:adjustRightInd w:val="0"/>
        <w:jc w:val="both"/>
      </w:pPr>
    </w:p>
    <w:p w14:paraId="0B6FE78A" w14:textId="75F3E7A1" w:rsidR="001609EC" w:rsidRPr="009118AB" w:rsidRDefault="001609EC" w:rsidP="001609EC">
      <w:pPr>
        <w:autoSpaceDE w:val="0"/>
        <w:autoSpaceDN w:val="0"/>
        <w:adjustRightInd w:val="0"/>
        <w:jc w:val="both"/>
        <w:rPr>
          <w:iCs/>
        </w:rPr>
      </w:pPr>
      <w:r w:rsidRPr="009118AB">
        <w:rPr>
          <w:i/>
        </w:rPr>
        <w:t>[</w:t>
      </w:r>
      <w:r w:rsidR="00D67EB8" w:rsidRPr="009118AB">
        <w:rPr>
          <w:i/>
        </w:rPr>
        <w:t>Art. </w:t>
      </w:r>
      <w:r w:rsidRPr="009118AB">
        <w:rPr>
          <w:i/>
        </w:rPr>
        <w:t xml:space="preserve">185/2 eingefügt durch </w:t>
      </w:r>
      <w:r w:rsidR="00D67EB8" w:rsidRPr="009118AB">
        <w:rPr>
          <w:i/>
        </w:rPr>
        <w:t>Art. </w:t>
      </w:r>
      <w:r w:rsidRPr="009118AB">
        <w:rPr>
          <w:i/>
        </w:rPr>
        <w:t>20</w:t>
      </w:r>
      <w:r w:rsidRPr="009118AB">
        <w:rPr>
          <w:i/>
          <w:iCs/>
        </w:rPr>
        <w:t xml:space="preserve"> des G. vom 25. Dezember 2017 (III) (B.S. vom 29. Dezember 2017)</w:t>
      </w:r>
      <w:r w:rsidR="00D67EB8" w:rsidRPr="009118AB">
        <w:rPr>
          <w:i/>
          <w:iCs/>
        </w:rPr>
        <w:t> - </w:t>
      </w:r>
      <w:r w:rsidRPr="009118AB">
        <w:rPr>
          <w:i/>
          <w:iCs/>
        </w:rPr>
        <w:t>in Kraft am 1. Januar 2019 und anwendbar ab dem Steuerjahr 2020, das sich auf einen Besteuerungszeitraum bezieht, der frühestens am 1. Januar 2019 beginnt</w:t>
      </w:r>
      <w:r w:rsidR="00FD68E8" w:rsidRPr="009118AB">
        <w:rPr>
          <w:i/>
          <w:iCs/>
        </w:rPr>
        <w:t> -,</w:t>
      </w:r>
      <w:r w:rsidR="004E33EF" w:rsidRPr="009118AB">
        <w:rPr>
          <w:i/>
          <w:iCs/>
        </w:rPr>
        <w:t xml:space="preserve"> selbst ersetzt durch </w:t>
      </w:r>
      <w:r w:rsidR="00D67EB8" w:rsidRPr="009118AB">
        <w:rPr>
          <w:i/>
          <w:iCs/>
        </w:rPr>
        <w:t>Art. </w:t>
      </w:r>
      <w:r w:rsidR="004E33EF" w:rsidRPr="009118AB">
        <w:rPr>
          <w:i/>
          <w:iCs/>
        </w:rPr>
        <w:t>24</w:t>
      </w:r>
      <w:r w:rsidR="004E33EF" w:rsidRPr="009118AB">
        <w:rPr>
          <w:i/>
        </w:rPr>
        <w:t xml:space="preserve"> des G. vom 30. Juli 2018 (I) (B.S. vom 10. August 2018</w:t>
      </w:r>
      <w:r w:rsidR="00FD0337">
        <w:rPr>
          <w:i/>
        </w:rPr>
        <w:t>), und ersetzt durch Art. 22</w:t>
      </w:r>
      <w:r w:rsidR="00FD0337" w:rsidRPr="00FD0337">
        <w:rPr>
          <w:i/>
          <w:iCs/>
        </w:rPr>
        <w:t xml:space="preserve"> des G. vom 22. Dezember 2023 (II) (B.S. vom 29. Dezember 2023) - anwendbar ab dem Steuerjahr 202</w:t>
      </w:r>
      <w:r w:rsidR="00FD0337">
        <w:rPr>
          <w:i/>
          <w:iCs/>
        </w:rPr>
        <w:t>4</w:t>
      </w:r>
      <w:r w:rsidR="00FD0337" w:rsidRPr="00FD0337">
        <w:rPr>
          <w:i/>
          <w:iCs/>
        </w:rPr>
        <w:t> -</w:t>
      </w:r>
      <w:r w:rsidR="00FD68E8" w:rsidRPr="009118AB">
        <w:rPr>
          <w:i/>
          <w:iCs/>
        </w:rPr>
        <w:t>]</w:t>
      </w:r>
    </w:p>
    <w:p w14:paraId="5F124111" w14:textId="77777777" w:rsidR="001609EC" w:rsidRPr="009118AB" w:rsidRDefault="001609EC" w:rsidP="001609EC">
      <w:pPr>
        <w:autoSpaceDE w:val="0"/>
        <w:autoSpaceDN w:val="0"/>
        <w:adjustRightInd w:val="0"/>
        <w:jc w:val="both"/>
        <w:rPr>
          <w:iCs/>
          <w:szCs w:val="20"/>
        </w:rPr>
      </w:pPr>
    </w:p>
    <w:p w14:paraId="5A572242" w14:textId="40A96EA7" w:rsidR="006262E5" w:rsidRPr="009118AB" w:rsidRDefault="006262E5" w:rsidP="006262E5">
      <w:pPr>
        <w:autoSpaceDE w:val="0"/>
        <w:autoSpaceDN w:val="0"/>
        <w:adjustRightInd w:val="0"/>
        <w:jc w:val="both"/>
        <w:rPr>
          <w:szCs w:val="20"/>
        </w:rPr>
      </w:pPr>
    </w:p>
    <w:p w14:paraId="5BCA2C32" w14:textId="1769B127"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185</w:t>
      </w:r>
      <w:r w:rsidRPr="009118AB">
        <w:rPr>
          <w:b/>
          <w:bCs/>
          <w:i/>
          <w:iCs/>
        </w:rPr>
        <w:t>bis</w:t>
      </w:r>
      <w:r w:rsidR="00D67EB8" w:rsidRPr="009118AB">
        <w:t> - § </w:t>
      </w:r>
      <w:r w:rsidRPr="009118AB">
        <w:t>1</w:t>
      </w:r>
      <w:r w:rsidR="00D67EB8" w:rsidRPr="009118AB">
        <w:t> - </w:t>
      </w:r>
      <w:r w:rsidR="00DE7983" w:rsidRPr="009118AB">
        <w:t>[</w:t>
      </w:r>
      <w:r w:rsidR="006F62D6" w:rsidRPr="009118AB">
        <w:t xml:space="preserve">In Abweichung von Artikel 185 sind Investmentgesellschaften, die in den Artikeln 15 und 271/10 des Gesetzes vom 3. August 2012 über Organismen für gemeinsame Anlagen, die die Bedingungen der Richtlinie 2009/65/EG erfüllen, und Organismen für Anlagen in Forderungen erwähnt sind, </w:t>
      </w:r>
      <w:r w:rsidR="004B584A" w:rsidRPr="009118AB">
        <w:t>[</w:t>
      </w:r>
      <w:r w:rsidR="006F62D6" w:rsidRPr="009118AB">
        <w:t xml:space="preserve">Investmentgesellschaften, die in den Artikeln 190, 195, 285, 288 und 298 des Gesetzes vom 19. April 2014 über alternative Organismen für gemeinsame Anlagen und ihre Verwalter erwähnt sind, </w:t>
      </w:r>
      <w:r w:rsidR="004B584A" w:rsidRPr="009118AB">
        <w:t>[</w:t>
      </w:r>
      <w:r w:rsidR="004B584A" w:rsidRPr="009118AB">
        <w:rPr>
          <w:lang w:eastAsia="fr-BE"/>
        </w:rPr>
        <w:t>europäische langfristige Investmentfonds,</w:t>
      </w:r>
      <w:r w:rsidR="004B584A" w:rsidRPr="009118AB">
        <w:t xml:space="preserve">] </w:t>
      </w:r>
      <w:r w:rsidR="006F62D6" w:rsidRPr="009118AB">
        <w:t xml:space="preserve">beaufsichtigte Immobiliengesellschaften und Organismen für die Finanzierung von Pensionen, die in Artikel 8 des Gesetzes vom 27. Oktober 2006 über die Kontrolle der Einrichtungen der betrieblichen Altersversorgung erwähnt sind, </w:t>
      </w:r>
      <w:r w:rsidR="00FA2809" w:rsidRPr="009118AB">
        <w:t>[nur steuerpflichtig in Bezug auf den Gesamtbetrag der erhaltenen ungewöhnlichen oder freiwilligen Vorteile und der nicht als Werbungskosten abzugsfähigen Ausgaben und Kosten, die keine Wertminderungen und Minderwerte auf Aktien oder Anteile sind und keine in Artikel 198/1 erwähnten überschüssigen Fremdkapitalkosten, die auch nicht als Werbungskosten gelten, sind]</w:t>
      </w:r>
      <w:r w:rsidR="006F62D6" w:rsidRPr="009118AB">
        <w:t>, unbeschadet jedoch der Tatsache, dass sie der in Artikel 219 vorgesehenen getrennten Steuer unterliegen.</w:t>
      </w:r>
      <w:r w:rsidR="00DE7983" w:rsidRPr="009118AB">
        <w:t>]</w:t>
      </w:r>
    </w:p>
    <w:p w14:paraId="760E5B6B" w14:textId="77777777" w:rsidR="00477B8F" w:rsidRPr="009118AB" w:rsidRDefault="00477B8F" w:rsidP="00477B8F">
      <w:pPr>
        <w:autoSpaceDE w:val="0"/>
        <w:autoSpaceDN w:val="0"/>
        <w:adjustRightInd w:val="0"/>
        <w:jc w:val="both"/>
      </w:pPr>
    </w:p>
    <w:p w14:paraId="1FD60F3C" w14:textId="2ABCBD26"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In Bezug auf die in </w:t>
      </w:r>
      <w:r w:rsidR="00D67EB8" w:rsidRPr="009118AB">
        <w:t>§ </w:t>
      </w:r>
      <w:r w:rsidRPr="009118AB">
        <w:t xml:space="preserve">1 erwähnten </w:t>
      </w:r>
      <w:r w:rsidR="00AD3C04" w:rsidRPr="009118AB">
        <w:t xml:space="preserve">[Organismen für die Finanzierung von Pensionen] </w:t>
      </w:r>
      <w:r w:rsidRPr="009118AB">
        <w:t>sind die Bestimmungen der Artikel 202 bis 205 und 285 bis 289 und von Artikel 123 des Königlichen Erlasses zur Ausführung des Einkommensteuer</w:t>
      </w:r>
      <w:r w:rsidR="00AD3C04" w:rsidRPr="009118AB">
        <w:softHyphen/>
      </w:r>
      <w:r w:rsidRPr="009118AB">
        <w:t>gesetz</w:t>
      </w:r>
      <w:r w:rsidR="00AD3C04" w:rsidRPr="009118AB">
        <w:softHyphen/>
      </w:r>
      <w:r w:rsidRPr="009118AB">
        <w:t>buches 1992 nicht anwendbar.</w:t>
      </w:r>
    </w:p>
    <w:p w14:paraId="721331E8" w14:textId="77777777" w:rsidR="00AD3C04" w:rsidRPr="009118AB" w:rsidRDefault="00AD3C04" w:rsidP="00477B8F">
      <w:pPr>
        <w:autoSpaceDE w:val="0"/>
        <w:autoSpaceDN w:val="0"/>
        <w:adjustRightInd w:val="0"/>
        <w:jc w:val="both"/>
      </w:pPr>
    </w:p>
    <w:p w14:paraId="656E8B90" w14:textId="3ADC3E4E" w:rsidR="00AD3C04" w:rsidRPr="009118AB" w:rsidRDefault="00AD3C04" w:rsidP="00AD3C04">
      <w:pPr>
        <w:jc w:val="both"/>
      </w:pPr>
      <w:r w:rsidRPr="009118AB">
        <w:tab/>
        <w:t xml:space="preserve">[In Bezug auf die in </w:t>
      </w:r>
      <w:r w:rsidR="00D67EB8" w:rsidRPr="009118AB">
        <w:t>§ </w:t>
      </w:r>
      <w:r w:rsidRPr="009118AB">
        <w:t>1 erwähnten Investmentgesellschaften</w:t>
      </w:r>
      <w:r w:rsidR="00CB07FE" w:rsidRPr="009118AB">
        <w:t>[, europäischen langfristigen Investmentfonds]</w:t>
      </w:r>
      <w:r w:rsidR="00DE7983" w:rsidRPr="009118AB">
        <w:t xml:space="preserve"> [und beaufsichtigten Immobiliengesellschaften] </w:t>
      </w:r>
      <w:r w:rsidRPr="009118AB">
        <w:t>sind die Bestimmungen der Artikel 202 bis 205, des Artikels 279, was den auf Dividenden belgischer Herkunft einbehaltenen Mobiliensteuervorabzug angeht, und der Artikel 285 bis 289 nicht anwendbar.</w:t>
      </w:r>
      <w:r w:rsidR="001264A5" w:rsidRPr="009118AB">
        <w:t>]</w:t>
      </w:r>
    </w:p>
    <w:p w14:paraId="5CECFDEF" w14:textId="77777777" w:rsidR="00AD3C04" w:rsidRPr="009118AB" w:rsidRDefault="00AD3C04" w:rsidP="00AD3C04">
      <w:pPr>
        <w:jc w:val="both"/>
      </w:pPr>
    </w:p>
    <w:p w14:paraId="0AD6A5E0" w14:textId="77777777" w:rsidR="00CA0146" w:rsidRPr="009118AB" w:rsidRDefault="00AD3C04" w:rsidP="00D3057F">
      <w:pPr>
        <w:autoSpaceDE w:val="0"/>
        <w:autoSpaceDN w:val="0"/>
        <w:adjustRightInd w:val="0"/>
        <w:jc w:val="both"/>
      </w:pPr>
      <w:r w:rsidRPr="009118AB">
        <w:tab/>
      </w:r>
      <w:r w:rsidR="001264A5" w:rsidRPr="009118AB">
        <w:t>[</w:t>
      </w:r>
      <w:r w:rsidRPr="009118AB">
        <w:t>Wenn die Anteile eines Zweigs einer in Absatz 2 erwähnten Investmentgesellschaft ausschließlich von einem in Absatz 1 erwähnten Organismus für die Finanzierung von Pensionen gehalten werden, finden die Bestimmungen von Absatz 1 auf die Investmentgesellschaft in Bezug auf diesen Zweig Anwendung.]</w:t>
      </w:r>
    </w:p>
    <w:p w14:paraId="67A63300" w14:textId="77777777" w:rsidR="00CA0146" w:rsidRPr="009118AB" w:rsidRDefault="00CA0146" w:rsidP="00D3057F">
      <w:pPr>
        <w:autoSpaceDE w:val="0"/>
        <w:autoSpaceDN w:val="0"/>
        <w:adjustRightInd w:val="0"/>
        <w:jc w:val="both"/>
      </w:pPr>
    </w:p>
    <w:p w14:paraId="43276FAE" w14:textId="77777777" w:rsidR="00FD0337" w:rsidRDefault="00FD0337">
      <w:r>
        <w:br w:type="page"/>
      </w:r>
    </w:p>
    <w:p w14:paraId="6DFF82C7" w14:textId="3314E1CE" w:rsidR="00477B8F" w:rsidRPr="009118AB" w:rsidRDefault="00477B8F" w:rsidP="00D3057F">
      <w:pPr>
        <w:autoSpaceDE w:val="0"/>
        <w:autoSpaceDN w:val="0"/>
        <w:adjustRightInd w:val="0"/>
        <w:jc w:val="both"/>
      </w:pPr>
      <w:r w:rsidRPr="009118AB">
        <w:lastRenderedPageBreak/>
        <w:tab/>
      </w:r>
      <w:r w:rsidR="00D67EB8" w:rsidRPr="009118AB">
        <w:t>§ </w:t>
      </w:r>
      <w:r w:rsidRPr="009118AB">
        <w:t>3</w:t>
      </w:r>
      <w:r w:rsidR="00D67EB8" w:rsidRPr="009118AB">
        <w:t> - </w:t>
      </w:r>
      <w:r w:rsidRPr="009118AB">
        <w:t xml:space="preserve">Die Paragraphen 1 und 2 sind nicht für Besteuerungszeiträume anwendbar, in denen </w:t>
      </w:r>
      <w:r w:rsidR="0064239E" w:rsidRPr="009118AB">
        <w:t>[ein in Artikel 298 des Gesetzes vom 19. April 2014 erwähnter privater Kapital</w:t>
      </w:r>
      <w:r w:rsidR="0064239E" w:rsidRPr="009118AB">
        <w:softHyphen/>
        <w:t>anlagefonds mit fixem Kapital]</w:t>
      </w:r>
      <w:r w:rsidRPr="009118AB">
        <w:t xml:space="preserve"> folgende Bestimmungen nicht einhält:</w:t>
      </w:r>
    </w:p>
    <w:p w14:paraId="7E490F30" w14:textId="77777777" w:rsidR="00477B8F" w:rsidRPr="009118AB" w:rsidRDefault="00477B8F" w:rsidP="00477B8F">
      <w:pPr>
        <w:autoSpaceDE w:val="0"/>
        <w:autoSpaceDN w:val="0"/>
        <w:adjustRightInd w:val="0"/>
        <w:jc w:val="both"/>
      </w:pPr>
    </w:p>
    <w:p w14:paraId="53D8B13A" w14:textId="78EA4585" w:rsidR="00477B8F" w:rsidRPr="009118AB" w:rsidRDefault="00477B8F" w:rsidP="00477B8F">
      <w:pPr>
        <w:autoSpaceDE w:val="0"/>
        <w:autoSpaceDN w:val="0"/>
        <w:adjustRightInd w:val="0"/>
        <w:jc w:val="both"/>
      </w:pPr>
      <w:r w:rsidRPr="009118AB">
        <w:tab/>
        <w:t xml:space="preserve">1. die in Artikel 192 </w:t>
      </w:r>
      <w:r w:rsidR="00D67EB8" w:rsidRPr="009118AB">
        <w:t>§ </w:t>
      </w:r>
      <w:r w:rsidRPr="009118AB">
        <w:t>3 erwähnte Bestimmung,</w:t>
      </w:r>
    </w:p>
    <w:p w14:paraId="3B13E399" w14:textId="77777777" w:rsidR="00477B8F" w:rsidRPr="009118AB" w:rsidRDefault="00477B8F" w:rsidP="00477B8F">
      <w:pPr>
        <w:autoSpaceDE w:val="0"/>
        <w:autoSpaceDN w:val="0"/>
        <w:adjustRightInd w:val="0"/>
        <w:jc w:val="both"/>
      </w:pPr>
    </w:p>
    <w:p w14:paraId="050F4325" w14:textId="77777777" w:rsidR="00477B8F" w:rsidRPr="009118AB" w:rsidRDefault="00477B8F" w:rsidP="00477B8F">
      <w:pPr>
        <w:autoSpaceDE w:val="0"/>
        <w:autoSpaceDN w:val="0"/>
        <w:adjustRightInd w:val="0"/>
        <w:jc w:val="both"/>
      </w:pPr>
      <w:r w:rsidRPr="009118AB">
        <w:tab/>
        <w:t>2. eine oder mehrere Satzungsbestimmungen, die aus dem spezifischen Charakter dieser Gesellschaft als Organismus für gemeinsame Anlagen hervorgehen.</w:t>
      </w:r>
    </w:p>
    <w:p w14:paraId="358F9EC2" w14:textId="77777777" w:rsidR="00477B8F" w:rsidRPr="009118AB" w:rsidRDefault="00477B8F" w:rsidP="00477B8F">
      <w:pPr>
        <w:autoSpaceDE w:val="0"/>
        <w:autoSpaceDN w:val="0"/>
        <w:adjustRightInd w:val="0"/>
        <w:jc w:val="both"/>
      </w:pPr>
    </w:p>
    <w:p w14:paraId="61CA5AC8" w14:textId="77777777" w:rsidR="00477B8F" w:rsidRPr="009118AB" w:rsidRDefault="00477B8F" w:rsidP="00477B8F">
      <w:pPr>
        <w:autoSpaceDE w:val="0"/>
        <w:autoSpaceDN w:val="0"/>
        <w:adjustRightInd w:val="0"/>
        <w:jc w:val="both"/>
      </w:pPr>
      <w:r w:rsidRPr="009118AB">
        <w:tab/>
        <w:t>Für die Anwendung von Absatz 1 gelten die unter dem in den Paragraphen 1 und 2 erwähnten System vorher gebildeten Rücklagen als:</w:t>
      </w:r>
    </w:p>
    <w:p w14:paraId="2B09907C" w14:textId="77777777" w:rsidR="00477B8F" w:rsidRPr="009118AB" w:rsidRDefault="00477B8F" w:rsidP="00477B8F">
      <w:pPr>
        <w:autoSpaceDE w:val="0"/>
        <w:autoSpaceDN w:val="0"/>
        <w:adjustRightInd w:val="0"/>
        <w:jc w:val="both"/>
      </w:pPr>
    </w:p>
    <w:p w14:paraId="28F8B91E" w14:textId="3732DB2C" w:rsidR="00477B8F" w:rsidRPr="009118AB" w:rsidRDefault="00477B8F" w:rsidP="00477B8F">
      <w:pPr>
        <w:autoSpaceDE w:val="0"/>
        <w:autoSpaceDN w:val="0"/>
        <w:adjustRightInd w:val="0"/>
        <w:jc w:val="both"/>
      </w:pPr>
      <w:r w:rsidRPr="009118AB">
        <w:tab/>
        <w:t xml:space="preserve">1. besteuerte Rücklagen in dem Maße, wie durch den privaten Kapitalanlagefonds mit fixem Kapital nachgewiesen wird, dass sie aus verwirklichten Mehrwerten oder bezogenen Dividenden von Anlagen erwähnt in Artikel 192 </w:t>
      </w:r>
      <w:r w:rsidR="00D67EB8" w:rsidRPr="009118AB">
        <w:t>§ </w:t>
      </w:r>
      <w:r w:rsidRPr="009118AB">
        <w:t xml:space="preserve">3 </w:t>
      </w:r>
      <w:r w:rsidR="00D67EB8" w:rsidRPr="009118AB">
        <w:t>Nr. </w:t>
      </w:r>
      <w:r w:rsidRPr="009118AB">
        <w:t>1 und 2 hervorgehen,</w:t>
      </w:r>
    </w:p>
    <w:p w14:paraId="68E28618" w14:textId="77777777" w:rsidR="00477B8F" w:rsidRPr="009118AB" w:rsidRDefault="00477B8F" w:rsidP="00477B8F">
      <w:pPr>
        <w:autoSpaceDE w:val="0"/>
        <w:autoSpaceDN w:val="0"/>
        <w:adjustRightInd w:val="0"/>
        <w:jc w:val="both"/>
      </w:pPr>
    </w:p>
    <w:p w14:paraId="553F2A86" w14:textId="77777777" w:rsidR="00477B8F" w:rsidRPr="009118AB" w:rsidRDefault="00477B8F" w:rsidP="00477B8F">
      <w:pPr>
        <w:autoSpaceDE w:val="0"/>
        <w:autoSpaceDN w:val="0"/>
        <w:adjustRightInd w:val="0"/>
        <w:jc w:val="both"/>
      </w:pPr>
      <w:r w:rsidRPr="009118AB">
        <w:tab/>
        <w:t>2. steuerfreie Rücklagen für den Saldo in dem Maße, wie der Betrag dieser Rücklagen auf einem oder mehreren getrennten Passivkonten gebucht ist und dort belassen wird und nicht als Grundlage für die Berechnung der jährlichen Zuführung an die gesetzliche Rücklage oder für die Berechnung von Entlohnungen oder Zuerkennungen dient,</w:t>
      </w:r>
    </w:p>
    <w:p w14:paraId="734F2E6B" w14:textId="77777777" w:rsidR="00477B8F" w:rsidRPr="009118AB" w:rsidRDefault="00477B8F" w:rsidP="00477B8F">
      <w:pPr>
        <w:autoSpaceDE w:val="0"/>
        <w:autoSpaceDN w:val="0"/>
        <w:adjustRightInd w:val="0"/>
        <w:jc w:val="both"/>
      </w:pPr>
    </w:p>
    <w:p w14:paraId="3FB4B39C" w14:textId="2E8B5364" w:rsidR="00477B8F" w:rsidRPr="009118AB" w:rsidRDefault="00477B8F" w:rsidP="00477B8F">
      <w:pPr>
        <w:autoSpaceDE w:val="0"/>
        <w:autoSpaceDN w:val="0"/>
        <w:adjustRightInd w:val="0"/>
        <w:jc w:val="both"/>
      </w:pPr>
      <w:r w:rsidRPr="009118AB">
        <w:tab/>
        <w:t xml:space="preserve">3. Gewinne dieses Besteuerungszeitraums sofern und in dem Maße, wie die Bedingungen von </w:t>
      </w:r>
      <w:r w:rsidR="00D67EB8" w:rsidRPr="009118AB">
        <w:t>Nr. </w:t>
      </w:r>
      <w:r w:rsidRPr="009118AB">
        <w:t>2 nicht mehr erfüllt werden.</w:t>
      </w:r>
    </w:p>
    <w:p w14:paraId="125B4184" w14:textId="77777777" w:rsidR="00477B8F" w:rsidRPr="009118AB" w:rsidRDefault="00477B8F" w:rsidP="00477B8F">
      <w:pPr>
        <w:autoSpaceDE w:val="0"/>
        <w:autoSpaceDN w:val="0"/>
        <w:adjustRightInd w:val="0"/>
        <w:jc w:val="both"/>
      </w:pPr>
    </w:p>
    <w:p w14:paraId="51ED1043" w14:textId="2AA64FA1" w:rsidR="00477B8F" w:rsidRPr="009118AB" w:rsidRDefault="00477B8F" w:rsidP="00477B8F">
      <w:pPr>
        <w:autoSpaceDE w:val="0"/>
        <w:autoSpaceDN w:val="0"/>
        <w:adjustRightInd w:val="0"/>
        <w:jc w:val="both"/>
      </w:pPr>
      <w:r w:rsidRPr="009118AB">
        <w:tab/>
        <w:t xml:space="preserve">In Absatz 2 </w:t>
      </w:r>
      <w:r w:rsidR="00D67EB8" w:rsidRPr="009118AB">
        <w:t>Nr. </w:t>
      </w:r>
      <w:r w:rsidRPr="009118AB">
        <w:t xml:space="preserve">2 erwähnte Rücklagen gelten außerdem als Gewinne des Besteuerungszeitraums, </w:t>
      </w:r>
      <w:r w:rsidR="0064239E" w:rsidRPr="009118AB">
        <w:t xml:space="preserve">[in dem in Artikel 298 des Gesetzes vom 19. April 2014 erwähnte Gesellschaften aus dem in Artikel 302 </w:t>
      </w:r>
      <w:r w:rsidR="00D67EB8" w:rsidRPr="009118AB">
        <w:t>§ </w:t>
      </w:r>
      <w:r w:rsidR="0064239E" w:rsidRPr="009118AB">
        <w:t>1 desselben Gesetzes erwähnten Verzeichnis der privaten Kapital</w:t>
      </w:r>
      <w:r w:rsidR="0064239E" w:rsidRPr="009118AB">
        <w:softHyphen/>
        <w:t>anlagefonds mit fixem Kapital gestrichen werden]</w:t>
      </w:r>
      <w:r w:rsidRPr="009118AB">
        <w:t xml:space="preserve">, unbeschadet der Anwendung von Artikel 210 </w:t>
      </w:r>
      <w:r w:rsidR="00D67EB8" w:rsidRPr="009118AB">
        <w:t>§ </w:t>
      </w:r>
      <w:r w:rsidRPr="009118AB">
        <w:t xml:space="preserve">1 </w:t>
      </w:r>
      <w:r w:rsidR="00D67EB8" w:rsidRPr="009118AB">
        <w:t>Nr. </w:t>
      </w:r>
      <w:r w:rsidRPr="009118AB">
        <w:t>5.</w:t>
      </w:r>
    </w:p>
    <w:p w14:paraId="0E95B3BC" w14:textId="77777777" w:rsidR="00477B8F" w:rsidRPr="009118AB" w:rsidRDefault="00477B8F" w:rsidP="00477B8F">
      <w:pPr>
        <w:autoSpaceDE w:val="0"/>
        <w:autoSpaceDN w:val="0"/>
        <w:adjustRightInd w:val="0"/>
        <w:jc w:val="both"/>
      </w:pPr>
    </w:p>
    <w:p w14:paraId="201CDB29" w14:textId="2AD8DDB3" w:rsidR="00477B8F" w:rsidRPr="009118AB" w:rsidRDefault="00477B8F" w:rsidP="00477B8F">
      <w:pPr>
        <w:autoSpaceDE w:val="0"/>
        <w:autoSpaceDN w:val="0"/>
        <w:adjustRightInd w:val="0"/>
        <w:jc w:val="both"/>
      </w:pPr>
      <w:r w:rsidRPr="009118AB">
        <w:tab/>
        <w:t xml:space="preserve">Der FÖD Finanzen kann eine Gesellschaft </w:t>
      </w:r>
      <w:r w:rsidR="00330ADA" w:rsidRPr="009118AB">
        <w:t xml:space="preserve">[aus dem in Artikel 302 </w:t>
      </w:r>
      <w:r w:rsidR="00D67EB8" w:rsidRPr="009118AB">
        <w:t>§ </w:t>
      </w:r>
      <w:r w:rsidR="00330ADA" w:rsidRPr="009118AB">
        <w:t>1 des Gesetzes vom 19. April 2014 erwähnten Verzeichnis]</w:t>
      </w:r>
      <w:r w:rsidRPr="009118AB">
        <w:t xml:space="preserve"> der privaten Kapitalanlagefonds mit fixem Kapital in den vom König festgelegten Fällen oder im Falle eines Verstoßes gegen die vom König festgelegten Satzungsbestimmungen streichen. Der FÖD Finanzen teilt die Streichung per Einschreiben mit, das an den Sitz der Gesellschaft adressiert wird. Eine Beschwerde gegen einen Streichungsbeschluss ist gemäß dem gemeinrechtlichen Berufungsverfahren in Verwaltungsangelegenheiten möglich.]</w:t>
      </w:r>
    </w:p>
    <w:p w14:paraId="0E107FA7" w14:textId="77777777" w:rsidR="0007201C" w:rsidRPr="009118AB" w:rsidRDefault="0007201C" w:rsidP="00477B8F">
      <w:pPr>
        <w:autoSpaceDE w:val="0"/>
        <w:autoSpaceDN w:val="0"/>
        <w:adjustRightInd w:val="0"/>
        <w:jc w:val="both"/>
        <w:rPr>
          <w:spacing w:val="2"/>
        </w:rPr>
      </w:pPr>
    </w:p>
    <w:p w14:paraId="29FDCF49" w14:textId="77777777" w:rsidR="0007201C" w:rsidRPr="009118AB" w:rsidRDefault="0007201C" w:rsidP="0007201C">
      <w:pPr>
        <w:autoSpaceDE w:val="0"/>
        <w:autoSpaceDN w:val="0"/>
        <w:adjustRightInd w:val="0"/>
        <w:jc w:val="both"/>
      </w:pPr>
      <w:r w:rsidRPr="009118AB">
        <w:rPr>
          <w:spacing w:val="2"/>
        </w:rPr>
        <w:tab/>
        <w:t>[Die Paragraphen 1 und 2 sind erneut für Besteuerungszeiträume anwendbar, in denen ein in Artikel</w:t>
      </w:r>
      <w:r w:rsidR="00D572B6" w:rsidRPr="009118AB">
        <w:rPr>
          <w:spacing w:val="2"/>
        </w:rPr>
        <w:t> </w:t>
      </w:r>
      <w:r w:rsidRPr="009118AB">
        <w:rPr>
          <w:spacing w:val="2"/>
        </w:rPr>
        <w:t>298 des Gesetzes vom 19. April 2014 über alternative Organismen für gemeinsame Anlagen und ihre Verwalter erwähnter privater Kapitalanlagefonds mit fixem Kapital erneut während des gesamten Besteuerungszeitraums folgende Bestimmungen einhält</w:t>
      </w:r>
      <w:r w:rsidRPr="009118AB">
        <w:t>:</w:t>
      </w:r>
    </w:p>
    <w:p w14:paraId="0905DE0B" w14:textId="77777777" w:rsidR="0007201C" w:rsidRPr="009118AB" w:rsidRDefault="0007201C" w:rsidP="0007201C">
      <w:pPr>
        <w:autoSpaceDE w:val="0"/>
        <w:autoSpaceDN w:val="0"/>
        <w:adjustRightInd w:val="0"/>
        <w:jc w:val="both"/>
      </w:pPr>
    </w:p>
    <w:p w14:paraId="4123FA27" w14:textId="794FB3B6" w:rsidR="0007201C" w:rsidRPr="009118AB" w:rsidRDefault="0007201C" w:rsidP="0007201C">
      <w:pPr>
        <w:autoSpaceDE w:val="0"/>
        <w:autoSpaceDN w:val="0"/>
        <w:adjustRightInd w:val="0"/>
        <w:jc w:val="both"/>
      </w:pPr>
      <w:r w:rsidRPr="009118AB">
        <w:tab/>
        <w:t xml:space="preserve">1. Artikel 192 </w:t>
      </w:r>
      <w:r w:rsidR="00D67EB8" w:rsidRPr="009118AB">
        <w:t>§ </w:t>
      </w:r>
      <w:r w:rsidRPr="009118AB">
        <w:t>3,</w:t>
      </w:r>
    </w:p>
    <w:p w14:paraId="1C407FD0" w14:textId="77777777" w:rsidR="0007201C" w:rsidRPr="009118AB" w:rsidRDefault="0007201C" w:rsidP="0007201C">
      <w:pPr>
        <w:autoSpaceDE w:val="0"/>
        <w:autoSpaceDN w:val="0"/>
        <w:adjustRightInd w:val="0"/>
        <w:jc w:val="both"/>
      </w:pPr>
    </w:p>
    <w:p w14:paraId="717419A3" w14:textId="77777777" w:rsidR="0007201C" w:rsidRPr="009118AB" w:rsidRDefault="0007201C" w:rsidP="0007201C">
      <w:pPr>
        <w:autoSpaceDE w:val="0"/>
        <w:autoSpaceDN w:val="0"/>
        <w:adjustRightInd w:val="0"/>
        <w:jc w:val="both"/>
      </w:pPr>
      <w:r w:rsidRPr="009118AB">
        <w:tab/>
        <w:t>2. die Satzungsbestimmungen, die aus dem spezifischen Charakter dieser Gesellschaft als Organismus für gemeinsame Anlagen hervorgehen.]</w:t>
      </w:r>
    </w:p>
    <w:p w14:paraId="0E088292" w14:textId="77777777" w:rsidR="006937BB" w:rsidRPr="009118AB" w:rsidRDefault="006937BB"/>
    <w:p w14:paraId="7785D45B" w14:textId="1D55C315" w:rsidR="006F182E" w:rsidRPr="009118AB" w:rsidRDefault="006937BB" w:rsidP="00477B8F">
      <w:pPr>
        <w:autoSpaceDE w:val="0"/>
        <w:autoSpaceDN w:val="0"/>
        <w:adjustRightInd w:val="0"/>
        <w:jc w:val="both"/>
      </w:pPr>
      <w:r w:rsidRPr="009118AB">
        <w:lastRenderedPageBreak/>
        <w:tab/>
      </w:r>
      <w:r w:rsidR="006F182E" w:rsidRPr="009118AB">
        <w:t>[</w:t>
      </w:r>
      <w:r w:rsidR="00D67EB8" w:rsidRPr="009118AB">
        <w:t>§ </w:t>
      </w:r>
      <w:r w:rsidR="006F182E" w:rsidRPr="009118AB">
        <w:t>4</w:t>
      </w:r>
      <w:r w:rsidR="00D67EB8" w:rsidRPr="009118AB">
        <w:t> - </w:t>
      </w:r>
      <w:r w:rsidR="006F182E" w:rsidRPr="009118AB">
        <w:t xml:space="preserve">In den vom König festgelegten Fällen kann der FÖD Finanzen einen institutionellen alternativen Organismus für gemeinsame Anlagen aus dem in Artikel 289 </w:t>
      </w:r>
      <w:r w:rsidR="00D67EB8" w:rsidRPr="009118AB">
        <w:t>§ </w:t>
      </w:r>
      <w:r w:rsidR="006F182E" w:rsidRPr="009118AB">
        <w:t xml:space="preserve">1 des Gesetzes vom 19. April 2014 erwähnten Verzeichnis </w:t>
      </w:r>
      <w:r w:rsidR="005225A3" w:rsidRPr="009118AB">
        <w:t xml:space="preserve">[oder einen institutionellen Organismus für Anlagen in Forderungen aus dem in Artikel 271/15 des Gesetzes vom 3. August 2012 erwähnten Verzeichnis] </w:t>
      </w:r>
      <w:r w:rsidR="006F182E" w:rsidRPr="009118AB">
        <w:t>streichen. Der FÖD Finanzen teilt die Streichung per Einschreiben mit, das an den Sitz der Gesellschaft adressiert wird. Eine Beschwerde gegen einen Streichungsbeschluss ist gemäß dem gemeinrechtlichen Berufungsverfahren in Verwaltungsangelegenheiten möglich.]</w:t>
      </w:r>
    </w:p>
    <w:p w14:paraId="6430A589" w14:textId="77777777" w:rsidR="00477B8F" w:rsidRPr="009118AB" w:rsidRDefault="00477B8F" w:rsidP="00477B8F">
      <w:pPr>
        <w:autoSpaceDE w:val="0"/>
        <w:autoSpaceDN w:val="0"/>
        <w:adjustRightInd w:val="0"/>
        <w:jc w:val="both"/>
      </w:pPr>
    </w:p>
    <w:p w14:paraId="394B69FD" w14:textId="48B651AF" w:rsidR="00477B8F" w:rsidRPr="009118AB" w:rsidRDefault="005225A3" w:rsidP="00477B8F">
      <w:pPr>
        <w:autoSpaceDE w:val="0"/>
        <w:autoSpaceDN w:val="0"/>
        <w:adjustRightInd w:val="0"/>
        <w:jc w:val="both"/>
      </w:pPr>
      <w:r w:rsidRPr="009118AB">
        <w:rPr>
          <w:i/>
          <w:iCs/>
        </w:rPr>
        <w:t>[</w:t>
      </w:r>
      <w:r w:rsidR="00D67EB8" w:rsidRPr="009118AB">
        <w:rPr>
          <w:i/>
          <w:iCs/>
        </w:rPr>
        <w:t>Art. </w:t>
      </w:r>
      <w:r w:rsidR="00477B8F" w:rsidRPr="009118AB">
        <w:rPr>
          <w:i/>
          <w:iCs/>
        </w:rPr>
        <w:t>185bis eingefügt</w:t>
      </w:r>
      <w:r w:rsidRPr="009118AB">
        <w:rPr>
          <w:i/>
          <w:iCs/>
        </w:rPr>
        <w:t xml:space="preserve"> durch </w:t>
      </w:r>
      <w:r w:rsidR="00D67EB8" w:rsidRPr="009118AB">
        <w:rPr>
          <w:i/>
          <w:iCs/>
        </w:rPr>
        <w:t>Art. </w:t>
      </w:r>
      <w:r w:rsidRPr="009118AB">
        <w:rPr>
          <w:i/>
          <w:iCs/>
        </w:rPr>
        <w:t>320 des G. </w:t>
      </w:r>
      <w:r w:rsidR="00457916" w:rsidRPr="009118AB">
        <w:rPr>
          <w:i/>
          <w:iCs/>
        </w:rPr>
        <w:t xml:space="preserve">(I) </w:t>
      </w:r>
      <w:r w:rsidRPr="009118AB">
        <w:rPr>
          <w:i/>
          <w:iCs/>
        </w:rPr>
        <w:t>vom 27. Dezember 2006 </w:t>
      </w:r>
      <w:r w:rsidR="00477B8F" w:rsidRPr="009118AB">
        <w:rPr>
          <w:i/>
          <w:iCs/>
        </w:rPr>
        <w:t>(</w:t>
      </w:r>
      <w:r w:rsidR="00457916" w:rsidRPr="009118AB">
        <w:rPr>
          <w:i/>
          <w:iCs/>
        </w:rPr>
        <w:t>I</w:t>
      </w:r>
      <w:r w:rsidR="00477B8F" w:rsidRPr="009118AB">
        <w:rPr>
          <w:i/>
          <w:iCs/>
        </w:rPr>
        <w:t>I) (B.S. vom 28. Dezember 2006)</w:t>
      </w:r>
      <w:r w:rsidR="00D67EB8" w:rsidRPr="009118AB">
        <w:rPr>
          <w:i/>
          <w:iCs/>
        </w:rPr>
        <w:t> - </w:t>
      </w:r>
      <w:r w:rsidR="00477B8F" w:rsidRPr="009118AB">
        <w:rPr>
          <w:i/>
          <w:iCs/>
        </w:rPr>
        <w:t>in Kraft ab dem 1. Januar 2007</w:t>
      </w:r>
      <w:r w:rsidR="003366D9" w:rsidRPr="009118AB">
        <w:rPr>
          <w:i/>
          <w:iCs/>
        </w:rPr>
        <w:t> -;</w:t>
      </w:r>
      <w:r w:rsidRPr="009118AB">
        <w:rPr>
          <w:i/>
          <w:iCs/>
        </w:rPr>
        <w:t xml:space="preserve"> </w:t>
      </w:r>
      <w:r w:rsidR="00D67EB8" w:rsidRPr="009118AB">
        <w:rPr>
          <w:i/>
          <w:iCs/>
        </w:rPr>
        <w:t>§ </w:t>
      </w:r>
      <w:r w:rsidR="002222BF" w:rsidRPr="009118AB">
        <w:rPr>
          <w:i/>
          <w:iCs/>
        </w:rPr>
        <w:t xml:space="preserve">1 </w:t>
      </w:r>
      <w:r w:rsidR="00555E95" w:rsidRPr="009118AB">
        <w:rPr>
          <w:i/>
          <w:iCs/>
        </w:rPr>
        <w:t xml:space="preserve">ersetzt durch </w:t>
      </w:r>
      <w:r w:rsidR="00D67EB8" w:rsidRPr="009118AB">
        <w:rPr>
          <w:i/>
          <w:iCs/>
        </w:rPr>
        <w:t>Art. </w:t>
      </w:r>
      <w:r w:rsidR="00330ADA" w:rsidRPr="009118AB">
        <w:rPr>
          <w:i/>
          <w:iCs/>
        </w:rPr>
        <w:t>19 Buchstabe a) des G. vom 18. Dezember 2015 (II) (B.S. vom 28. Dezember 2015)</w:t>
      </w:r>
      <w:r w:rsidR="00FA2809" w:rsidRPr="009118AB">
        <w:rPr>
          <w:i/>
          <w:iCs/>
        </w:rPr>
        <w:t xml:space="preserve"> </w:t>
      </w:r>
      <w:r w:rsidR="00862B9F" w:rsidRPr="009118AB">
        <w:rPr>
          <w:i/>
          <w:iCs/>
        </w:rPr>
        <w:t xml:space="preserve">und abgeändert durch </w:t>
      </w:r>
      <w:r w:rsidR="00D67EB8" w:rsidRPr="009118AB">
        <w:rPr>
          <w:i/>
          <w:iCs/>
        </w:rPr>
        <w:t>Art. </w:t>
      </w:r>
      <w:r w:rsidR="00862B9F" w:rsidRPr="009118AB">
        <w:rPr>
          <w:i/>
          <w:iCs/>
        </w:rPr>
        <w:t>20/1 des G. vom 25. Dezember 2017 (III) (B.S. vom 29. Dezember 2017)</w:t>
      </w:r>
      <w:r w:rsidR="00D67EB8" w:rsidRPr="009118AB">
        <w:rPr>
          <w:i/>
          <w:iCs/>
        </w:rPr>
        <w:t> - </w:t>
      </w:r>
      <w:r w:rsidR="00862B9F" w:rsidRPr="009118AB">
        <w:rPr>
          <w:i/>
          <w:iCs/>
        </w:rPr>
        <w:t>in Kraft am 1. Januar 2020 und anwendbar ab dem Steuerjahr 2021 anwendbar, das sich auf einen Besteuerungszeitraum bezieht, der frühestens am 1. Januar 2020 beginnt</w:t>
      </w:r>
      <w:r w:rsidR="00FD68E8" w:rsidRPr="009118AB">
        <w:rPr>
          <w:i/>
          <w:iCs/>
        </w:rPr>
        <w:t> -,</w:t>
      </w:r>
      <w:r w:rsidR="00862B9F" w:rsidRPr="009118AB">
        <w:rPr>
          <w:i/>
          <w:iCs/>
        </w:rPr>
        <w:t xml:space="preserve"> selbst eingefügt durch </w:t>
      </w:r>
      <w:r w:rsidR="00D67EB8" w:rsidRPr="009118AB">
        <w:rPr>
          <w:i/>
          <w:iCs/>
        </w:rPr>
        <w:t>Art. </w:t>
      </w:r>
      <w:r w:rsidR="00862B9F" w:rsidRPr="009118AB">
        <w:rPr>
          <w:i/>
          <w:iCs/>
        </w:rPr>
        <w:t xml:space="preserve">36 des G. vom 30. Juli 2018 (I) (B.S. vom 10. August 2018) und selbst widerrufen durch </w:t>
      </w:r>
      <w:r w:rsidR="00D67EB8" w:rsidRPr="009118AB">
        <w:rPr>
          <w:i/>
          <w:iCs/>
        </w:rPr>
        <w:t>Art. </w:t>
      </w:r>
      <w:r w:rsidR="00862B9F" w:rsidRPr="009118AB">
        <w:rPr>
          <w:i/>
          <w:iCs/>
        </w:rPr>
        <w:t>21</w:t>
      </w:r>
      <w:r w:rsidR="00862B9F" w:rsidRPr="009118AB">
        <w:rPr>
          <w:i/>
          <w:spacing w:val="-2"/>
        </w:rPr>
        <w:t xml:space="preserve"> </w:t>
      </w:r>
      <w:r w:rsidR="00862B9F" w:rsidRPr="009118AB">
        <w:rPr>
          <w:i/>
          <w:iCs/>
          <w:spacing w:val="2"/>
        </w:rPr>
        <w:t>des G. vom 2</w:t>
      </w:r>
      <w:r w:rsidR="00306781" w:rsidRPr="009118AB">
        <w:rPr>
          <w:i/>
          <w:iCs/>
          <w:spacing w:val="2"/>
        </w:rPr>
        <w:t>8</w:t>
      </w:r>
      <w:r w:rsidR="00862B9F" w:rsidRPr="009118AB">
        <w:rPr>
          <w:i/>
          <w:iCs/>
          <w:spacing w:val="2"/>
        </w:rPr>
        <w:t xml:space="preserve">. April 2019 (B.S. vom </w:t>
      </w:r>
      <w:r w:rsidR="00306781" w:rsidRPr="009118AB">
        <w:rPr>
          <w:i/>
          <w:iCs/>
          <w:spacing w:val="2"/>
        </w:rPr>
        <w:t>6</w:t>
      </w:r>
      <w:r w:rsidR="00862B9F" w:rsidRPr="009118AB">
        <w:rPr>
          <w:i/>
          <w:iCs/>
          <w:spacing w:val="2"/>
        </w:rPr>
        <w:t xml:space="preserve">. Mai 2019), </w:t>
      </w:r>
      <w:r w:rsidR="00FA2809" w:rsidRPr="009118AB">
        <w:rPr>
          <w:i/>
          <w:iCs/>
        </w:rPr>
        <w:t xml:space="preserve">und durch </w:t>
      </w:r>
      <w:r w:rsidR="00D67EB8" w:rsidRPr="009118AB">
        <w:rPr>
          <w:i/>
          <w:iCs/>
        </w:rPr>
        <w:t>Art. </w:t>
      </w:r>
      <w:r w:rsidR="00FA2809" w:rsidRPr="009118AB">
        <w:rPr>
          <w:i/>
          <w:iCs/>
        </w:rPr>
        <w:t>13 des G. vom 2</w:t>
      </w:r>
      <w:r w:rsidR="00306781" w:rsidRPr="009118AB">
        <w:rPr>
          <w:i/>
          <w:iCs/>
        </w:rPr>
        <w:t>8</w:t>
      </w:r>
      <w:r w:rsidR="00FA2809" w:rsidRPr="009118AB">
        <w:rPr>
          <w:i/>
          <w:iCs/>
        </w:rPr>
        <w:t xml:space="preserve">. April 2019 (B.S. vom </w:t>
      </w:r>
      <w:r w:rsidR="00306781" w:rsidRPr="009118AB">
        <w:rPr>
          <w:i/>
          <w:iCs/>
        </w:rPr>
        <w:t>6</w:t>
      </w:r>
      <w:r w:rsidR="00FA2809" w:rsidRPr="009118AB">
        <w:rPr>
          <w:i/>
          <w:iCs/>
        </w:rPr>
        <w:t>. Mai 2019)</w:t>
      </w:r>
      <w:r w:rsidR="00D67EB8" w:rsidRPr="009118AB">
        <w:rPr>
          <w:i/>
          <w:iCs/>
        </w:rPr>
        <w:t> - </w:t>
      </w:r>
      <w:r w:rsidR="00FA2809" w:rsidRPr="009118AB">
        <w:rPr>
          <w:i/>
          <w:iCs/>
        </w:rPr>
        <w:t>anwendbar ab dem Steuerjahr 2020, das sich auf einen Besteuerungszeitraum bezieht, der frühestens am 1. Januar 2019 beginnt</w:t>
      </w:r>
      <w:r w:rsidR="00D67EB8" w:rsidRPr="009118AB">
        <w:rPr>
          <w:i/>
          <w:iCs/>
        </w:rPr>
        <w:t> - </w:t>
      </w:r>
      <w:r w:rsidR="004B584A" w:rsidRPr="009118AB">
        <w:rPr>
          <w:i/>
          <w:iCs/>
        </w:rPr>
        <w:t xml:space="preserve">und </w:t>
      </w:r>
      <w:r w:rsidR="00D67EB8" w:rsidRPr="009118AB">
        <w:rPr>
          <w:i/>
          <w:iCs/>
        </w:rPr>
        <w:t>Art. </w:t>
      </w:r>
      <w:r w:rsidR="004B584A" w:rsidRPr="009118AB">
        <w:rPr>
          <w:i/>
          <w:iCs/>
        </w:rPr>
        <w:t>64</w:t>
      </w:r>
      <w:r w:rsidR="004B584A" w:rsidRPr="009118AB">
        <w:rPr>
          <w:bCs/>
          <w:i/>
          <w:iCs/>
          <w:sz w:val="20"/>
          <w:szCs w:val="20"/>
        </w:rPr>
        <w:t xml:space="preserve"> </w:t>
      </w:r>
      <w:r w:rsidR="004B584A" w:rsidRPr="009118AB">
        <w:rPr>
          <w:bCs/>
          <w:i/>
          <w:iCs/>
        </w:rPr>
        <w:t>des G. vom 21. Januar 2022 (B.S. vom 28. Januar 2022)</w:t>
      </w:r>
      <w:r w:rsidRPr="009118AB">
        <w:rPr>
          <w:i/>
          <w:iCs/>
        </w:rPr>
        <w:t xml:space="preserve">; </w:t>
      </w:r>
      <w:r w:rsidR="00D67EB8" w:rsidRPr="009118AB">
        <w:rPr>
          <w:i/>
          <w:iCs/>
        </w:rPr>
        <w:t>§ </w:t>
      </w:r>
      <w:r w:rsidR="00E90CEA" w:rsidRPr="009118AB">
        <w:rPr>
          <w:i/>
          <w:iCs/>
        </w:rPr>
        <w:t xml:space="preserve">2 </w:t>
      </w:r>
      <w:r w:rsidR="00D67EB8" w:rsidRPr="009118AB">
        <w:rPr>
          <w:i/>
          <w:iCs/>
        </w:rPr>
        <w:t>Abs. </w:t>
      </w:r>
      <w:r w:rsidR="00E90CEA" w:rsidRPr="009118AB">
        <w:rPr>
          <w:i/>
          <w:iCs/>
        </w:rPr>
        <w:t xml:space="preserve">1 abgeändert durch </w:t>
      </w:r>
      <w:r w:rsidR="00D67EB8" w:rsidRPr="009118AB">
        <w:rPr>
          <w:i/>
          <w:iCs/>
        </w:rPr>
        <w:t>Art. </w:t>
      </w:r>
      <w:r w:rsidR="00E90CEA" w:rsidRPr="009118AB">
        <w:rPr>
          <w:i/>
          <w:iCs/>
        </w:rPr>
        <w:t xml:space="preserve">53 </w:t>
      </w:r>
      <w:r w:rsidR="00D67EB8" w:rsidRPr="009118AB">
        <w:rPr>
          <w:i/>
          <w:iCs/>
        </w:rPr>
        <w:t>Nr. </w:t>
      </w:r>
      <w:r w:rsidR="00E90CEA" w:rsidRPr="009118AB">
        <w:rPr>
          <w:i/>
          <w:iCs/>
        </w:rPr>
        <w:t>1</w:t>
      </w:r>
      <w:r w:rsidR="00E90CEA" w:rsidRPr="009118AB">
        <w:rPr>
          <w:i/>
        </w:rPr>
        <w:t xml:space="preserve"> des G. vom 30. Juli 2013 (B.S. vom 1. August 2013)</w:t>
      </w:r>
      <w:r w:rsidR="00D67EB8" w:rsidRPr="009118AB">
        <w:rPr>
          <w:i/>
        </w:rPr>
        <w:t> - </w:t>
      </w:r>
      <w:r w:rsidR="00E90CEA" w:rsidRPr="009118AB">
        <w:rPr>
          <w:i/>
        </w:rPr>
        <w:t>in Kraft ab dem Steuerjahr 2014</w:t>
      </w:r>
      <w:r w:rsidR="003366D9" w:rsidRPr="009118AB">
        <w:rPr>
          <w:i/>
        </w:rPr>
        <w:t> -;</w:t>
      </w:r>
      <w:r w:rsidR="009C6301" w:rsidRPr="009118AB">
        <w:rPr>
          <w:i/>
        </w:rPr>
        <w:t xml:space="preserve"> </w:t>
      </w:r>
      <w:r w:rsidR="00D67EB8" w:rsidRPr="009118AB">
        <w:rPr>
          <w:i/>
        </w:rPr>
        <w:t>§ </w:t>
      </w:r>
      <w:r w:rsidR="009C6301" w:rsidRPr="009118AB">
        <w:rPr>
          <w:i/>
        </w:rPr>
        <w:t xml:space="preserve">2 </w:t>
      </w:r>
      <w:r w:rsidR="00D67EB8" w:rsidRPr="009118AB">
        <w:rPr>
          <w:i/>
        </w:rPr>
        <w:t>Abs. </w:t>
      </w:r>
      <w:r w:rsidR="009C6301" w:rsidRPr="009118AB">
        <w:rPr>
          <w:i/>
        </w:rPr>
        <w:t xml:space="preserve">2 eingefügt durch </w:t>
      </w:r>
      <w:r w:rsidR="00D67EB8" w:rsidRPr="009118AB">
        <w:rPr>
          <w:i/>
        </w:rPr>
        <w:t>Art. </w:t>
      </w:r>
      <w:r w:rsidR="009C6301" w:rsidRPr="009118AB">
        <w:rPr>
          <w:i/>
        </w:rPr>
        <w:t xml:space="preserve">53 </w:t>
      </w:r>
      <w:r w:rsidR="00D67EB8" w:rsidRPr="009118AB">
        <w:rPr>
          <w:i/>
        </w:rPr>
        <w:t>Nr. </w:t>
      </w:r>
      <w:r w:rsidR="009C6301" w:rsidRPr="009118AB">
        <w:rPr>
          <w:i/>
        </w:rPr>
        <w:t>2 des G. vom 30. Juli 2013 (B.S. vom 1. August 2013)</w:t>
      </w:r>
      <w:r w:rsidR="00D67EB8" w:rsidRPr="009118AB">
        <w:rPr>
          <w:i/>
        </w:rPr>
        <w:t> - </w:t>
      </w:r>
      <w:r w:rsidR="009C6301" w:rsidRPr="009118AB">
        <w:rPr>
          <w:i/>
        </w:rPr>
        <w:t>in Kraft ab dem Steuerjahr 2014</w:t>
      </w:r>
      <w:r w:rsidR="00D67EB8" w:rsidRPr="009118AB">
        <w:rPr>
          <w:i/>
        </w:rPr>
        <w:t> - </w:t>
      </w:r>
      <w:r w:rsidR="00555E95" w:rsidRPr="009118AB">
        <w:rPr>
          <w:i/>
        </w:rPr>
        <w:t xml:space="preserve">und </w:t>
      </w:r>
      <w:r w:rsidR="005C7351" w:rsidRPr="009118AB">
        <w:rPr>
          <w:i/>
        </w:rPr>
        <w:t>abgeänder</w:t>
      </w:r>
      <w:r w:rsidR="00555E95" w:rsidRPr="009118AB">
        <w:rPr>
          <w:i/>
        </w:rPr>
        <w:t xml:space="preserve">t durch </w:t>
      </w:r>
      <w:r w:rsidR="00D67EB8" w:rsidRPr="009118AB">
        <w:rPr>
          <w:i/>
        </w:rPr>
        <w:t>Art. </w:t>
      </w:r>
      <w:r w:rsidR="00555E95" w:rsidRPr="009118AB">
        <w:rPr>
          <w:i/>
        </w:rPr>
        <w:t>86 Buchstabe b)</w:t>
      </w:r>
      <w:r w:rsidRPr="009118AB">
        <w:rPr>
          <w:i/>
        </w:rPr>
        <w:t xml:space="preserve"> des G. vom 12. Mai 2014 (II) (B.S. vom 30. Juni </w:t>
      </w:r>
      <w:r w:rsidR="00555E95" w:rsidRPr="009118AB">
        <w:rPr>
          <w:i/>
        </w:rPr>
        <w:t>2</w:t>
      </w:r>
      <w:r w:rsidR="00035E98" w:rsidRPr="009118AB">
        <w:rPr>
          <w:i/>
        </w:rPr>
        <w:t>014)</w:t>
      </w:r>
      <w:r w:rsidR="00D67EB8" w:rsidRPr="009118AB">
        <w:rPr>
          <w:i/>
        </w:rPr>
        <w:t> - </w:t>
      </w:r>
      <w:r w:rsidR="00035E98" w:rsidRPr="009118AB">
        <w:rPr>
          <w:i/>
        </w:rPr>
        <w:t>in Kraft ab dem 16. Juli </w:t>
      </w:r>
      <w:r w:rsidR="00555E95" w:rsidRPr="009118AB">
        <w:rPr>
          <w:i/>
        </w:rPr>
        <w:t>2014</w:t>
      </w:r>
      <w:r w:rsidR="003366D9" w:rsidRPr="009118AB">
        <w:rPr>
          <w:i/>
        </w:rPr>
        <w:t> -</w:t>
      </w:r>
      <w:r w:rsidR="00CB07FE" w:rsidRPr="009118AB">
        <w:rPr>
          <w:i/>
        </w:rPr>
        <w:t xml:space="preserve"> und Art. 45</w:t>
      </w:r>
      <w:r w:rsidR="00CB07FE" w:rsidRPr="009118AB">
        <w:rPr>
          <w:i/>
          <w:iCs/>
        </w:rPr>
        <w:t xml:space="preserve"> des G. vom 20. November 2022 (B.S. vom 30. November 2022)</w:t>
      </w:r>
      <w:r w:rsidR="003366D9" w:rsidRPr="009118AB">
        <w:rPr>
          <w:i/>
        </w:rPr>
        <w:t>;</w:t>
      </w:r>
      <w:r w:rsidR="00555E95" w:rsidRPr="009118AB">
        <w:rPr>
          <w:i/>
        </w:rPr>
        <w:t xml:space="preserve"> </w:t>
      </w:r>
      <w:r w:rsidR="00D67EB8" w:rsidRPr="009118AB">
        <w:rPr>
          <w:i/>
        </w:rPr>
        <w:t>§ </w:t>
      </w:r>
      <w:r w:rsidR="00555E95" w:rsidRPr="009118AB">
        <w:rPr>
          <w:i/>
        </w:rPr>
        <w:t xml:space="preserve">2 </w:t>
      </w:r>
      <w:r w:rsidR="00D67EB8" w:rsidRPr="009118AB">
        <w:rPr>
          <w:i/>
        </w:rPr>
        <w:t>Abs. </w:t>
      </w:r>
      <w:r w:rsidR="00555E95" w:rsidRPr="009118AB">
        <w:rPr>
          <w:i/>
        </w:rPr>
        <w:t xml:space="preserve">3 eingefügt durch </w:t>
      </w:r>
      <w:r w:rsidR="00D67EB8" w:rsidRPr="009118AB">
        <w:rPr>
          <w:i/>
        </w:rPr>
        <w:t>Art. </w:t>
      </w:r>
      <w:r w:rsidR="00555E95" w:rsidRPr="009118AB">
        <w:rPr>
          <w:i/>
        </w:rPr>
        <w:t xml:space="preserve">53 </w:t>
      </w:r>
      <w:r w:rsidR="00D67EB8" w:rsidRPr="009118AB">
        <w:rPr>
          <w:i/>
        </w:rPr>
        <w:t>Nr. </w:t>
      </w:r>
      <w:r w:rsidR="00555E95" w:rsidRPr="009118AB">
        <w:rPr>
          <w:i/>
        </w:rPr>
        <w:t>2 des G. vom 30. Juli 2013 (B.S. vom 1. August 2013)</w:t>
      </w:r>
      <w:r w:rsidR="00D67EB8" w:rsidRPr="009118AB">
        <w:rPr>
          <w:i/>
        </w:rPr>
        <w:t> - </w:t>
      </w:r>
      <w:r w:rsidR="00555E95" w:rsidRPr="009118AB">
        <w:rPr>
          <w:i/>
        </w:rPr>
        <w:t>in Kraft ab dem Steuerjahr 2014</w:t>
      </w:r>
      <w:r w:rsidR="003366D9" w:rsidRPr="009118AB">
        <w:rPr>
          <w:i/>
        </w:rPr>
        <w:t> -;</w:t>
      </w:r>
      <w:r w:rsidR="00330ADA" w:rsidRPr="009118AB">
        <w:rPr>
          <w:i/>
        </w:rPr>
        <w:t xml:space="preserve"> </w:t>
      </w:r>
      <w:r w:rsidR="00D67EB8" w:rsidRPr="009118AB">
        <w:rPr>
          <w:i/>
        </w:rPr>
        <w:t>§ </w:t>
      </w:r>
      <w:r w:rsidR="00330ADA" w:rsidRPr="009118AB">
        <w:rPr>
          <w:i/>
        </w:rPr>
        <w:t xml:space="preserve">3 </w:t>
      </w:r>
      <w:r w:rsidR="00D67EB8" w:rsidRPr="009118AB">
        <w:rPr>
          <w:i/>
        </w:rPr>
        <w:t>Abs. </w:t>
      </w:r>
      <w:r w:rsidR="00330ADA" w:rsidRPr="009118AB">
        <w:rPr>
          <w:i/>
        </w:rPr>
        <w:t xml:space="preserve">1 einleitende Bestimmung abgeändert durch </w:t>
      </w:r>
      <w:r w:rsidR="00D67EB8" w:rsidRPr="009118AB">
        <w:rPr>
          <w:i/>
        </w:rPr>
        <w:t>Art. </w:t>
      </w:r>
      <w:r w:rsidR="00330ADA" w:rsidRPr="009118AB">
        <w:rPr>
          <w:i/>
        </w:rPr>
        <w:t>19 Buchstabe b)</w:t>
      </w:r>
      <w:r w:rsidR="00330ADA" w:rsidRPr="009118AB">
        <w:rPr>
          <w:i/>
          <w:iCs/>
        </w:rPr>
        <w:t xml:space="preserve"> des G. vom 18. Dezember 2015 (II) (B.S. vom 28. Dezember 2015); </w:t>
      </w:r>
      <w:r w:rsidR="00D67EB8" w:rsidRPr="009118AB">
        <w:rPr>
          <w:i/>
          <w:iCs/>
        </w:rPr>
        <w:t>§ </w:t>
      </w:r>
      <w:r w:rsidR="00330ADA" w:rsidRPr="009118AB">
        <w:rPr>
          <w:i/>
          <w:iCs/>
        </w:rPr>
        <w:t xml:space="preserve">3 </w:t>
      </w:r>
      <w:r w:rsidR="00D67EB8" w:rsidRPr="009118AB">
        <w:rPr>
          <w:i/>
          <w:iCs/>
        </w:rPr>
        <w:t>Abs. </w:t>
      </w:r>
      <w:r w:rsidR="00330ADA" w:rsidRPr="009118AB">
        <w:rPr>
          <w:i/>
          <w:iCs/>
        </w:rPr>
        <w:t xml:space="preserve">3 abgeändert durch </w:t>
      </w:r>
      <w:r w:rsidR="00D67EB8" w:rsidRPr="009118AB">
        <w:rPr>
          <w:i/>
          <w:iCs/>
        </w:rPr>
        <w:t>Art. </w:t>
      </w:r>
      <w:r w:rsidR="00330ADA" w:rsidRPr="009118AB">
        <w:rPr>
          <w:i/>
          <w:iCs/>
        </w:rPr>
        <w:t xml:space="preserve">19 Buchstabe c) des G. vom 18. Dezember 2015 (II) (B.S. vom 28. Dezember 2015); </w:t>
      </w:r>
      <w:r w:rsidR="00D67EB8" w:rsidRPr="009118AB">
        <w:rPr>
          <w:i/>
          <w:iCs/>
        </w:rPr>
        <w:t>§ </w:t>
      </w:r>
      <w:r w:rsidR="00330ADA" w:rsidRPr="009118AB">
        <w:rPr>
          <w:i/>
          <w:iCs/>
        </w:rPr>
        <w:t xml:space="preserve">3 </w:t>
      </w:r>
      <w:r w:rsidR="00D67EB8" w:rsidRPr="009118AB">
        <w:rPr>
          <w:i/>
          <w:iCs/>
        </w:rPr>
        <w:t>Abs. </w:t>
      </w:r>
      <w:r w:rsidR="00330ADA" w:rsidRPr="009118AB">
        <w:rPr>
          <w:i/>
          <w:iCs/>
        </w:rPr>
        <w:t xml:space="preserve">4 abgeändert durch </w:t>
      </w:r>
      <w:r w:rsidR="00D67EB8" w:rsidRPr="009118AB">
        <w:rPr>
          <w:i/>
          <w:iCs/>
        </w:rPr>
        <w:t>Art. </w:t>
      </w:r>
      <w:r w:rsidR="00330ADA" w:rsidRPr="009118AB">
        <w:rPr>
          <w:i/>
          <w:iCs/>
        </w:rPr>
        <w:t>19 Buchstabe d) des G. vom 18. Dezember 2015 (II) (B.S. vom 28. Dezember 2015)</w:t>
      </w:r>
      <w:r w:rsidR="006F182E" w:rsidRPr="009118AB">
        <w:rPr>
          <w:i/>
          <w:iCs/>
        </w:rPr>
        <w:t>;</w:t>
      </w:r>
      <w:r w:rsidR="0007201C" w:rsidRPr="009118AB">
        <w:rPr>
          <w:i/>
          <w:iCs/>
        </w:rPr>
        <w:t xml:space="preserve"> </w:t>
      </w:r>
      <w:r w:rsidR="00D67EB8" w:rsidRPr="009118AB">
        <w:rPr>
          <w:i/>
          <w:iCs/>
        </w:rPr>
        <w:t>§ </w:t>
      </w:r>
      <w:r w:rsidR="0007201C" w:rsidRPr="009118AB">
        <w:rPr>
          <w:i/>
          <w:iCs/>
        </w:rPr>
        <w:t xml:space="preserve">3 </w:t>
      </w:r>
      <w:r w:rsidR="00D67EB8" w:rsidRPr="009118AB">
        <w:rPr>
          <w:i/>
          <w:iCs/>
        </w:rPr>
        <w:t>Abs. </w:t>
      </w:r>
      <w:r w:rsidR="0007201C" w:rsidRPr="009118AB">
        <w:rPr>
          <w:i/>
          <w:iCs/>
        </w:rPr>
        <w:t xml:space="preserve">5 eingefügt durch </w:t>
      </w:r>
      <w:r w:rsidR="00D67EB8" w:rsidRPr="009118AB">
        <w:rPr>
          <w:i/>
          <w:iCs/>
        </w:rPr>
        <w:t>Art. </w:t>
      </w:r>
      <w:r w:rsidR="0007201C" w:rsidRPr="009118AB">
        <w:rPr>
          <w:i/>
          <w:iCs/>
        </w:rPr>
        <w:t xml:space="preserve">51 </w:t>
      </w:r>
      <w:r w:rsidR="0007201C" w:rsidRPr="009118AB">
        <w:rPr>
          <w:i/>
        </w:rPr>
        <w:t>des G. vom 26. März 2018 (B.S. vom 30. März 2018)</w:t>
      </w:r>
      <w:r w:rsidR="00D67EB8" w:rsidRPr="009118AB">
        <w:rPr>
          <w:i/>
        </w:rPr>
        <w:t> - </w:t>
      </w:r>
      <w:r w:rsidR="0007201C" w:rsidRPr="009118AB">
        <w:rPr>
          <w:i/>
        </w:rPr>
        <w:t>anwendbar ab dem Steuerjahr 2019</w:t>
      </w:r>
      <w:r w:rsidR="003366D9" w:rsidRPr="009118AB">
        <w:rPr>
          <w:i/>
        </w:rPr>
        <w:t> -;</w:t>
      </w:r>
      <w:r w:rsidR="0007201C" w:rsidRPr="009118AB">
        <w:rPr>
          <w:i/>
        </w:rPr>
        <w:t xml:space="preserve"> </w:t>
      </w:r>
      <w:r w:rsidR="00D67EB8" w:rsidRPr="009118AB">
        <w:rPr>
          <w:i/>
          <w:iCs/>
        </w:rPr>
        <w:t>§ </w:t>
      </w:r>
      <w:r w:rsidR="006F182E" w:rsidRPr="009118AB">
        <w:rPr>
          <w:i/>
          <w:iCs/>
        </w:rPr>
        <w:t xml:space="preserve">4 eingefügt durch </w:t>
      </w:r>
      <w:r w:rsidR="00D67EB8" w:rsidRPr="009118AB">
        <w:rPr>
          <w:i/>
          <w:iCs/>
        </w:rPr>
        <w:t>Art. </w:t>
      </w:r>
      <w:r w:rsidR="006F182E" w:rsidRPr="009118AB">
        <w:rPr>
          <w:i/>
          <w:iCs/>
        </w:rPr>
        <w:t>9</w:t>
      </w:r>
      <w:r w:rsidR="006F182E" w:rsidRPr="009118AB">
        <w:rPr>
          <w:i/>
        </w:rPr>
        <w:t xml:space="preserve"> des G. (II) vom 3. August 2016 (VI) (B.S. vom 16. August 2016)</w:t>
      </w:r>
      <w:r w:rsidR="00D67EB8" w:rsidRPr="009118AB">
        <w:rPr>
          <w:i/>
        </w:rPr>
        <w:t> - </w:t>
      </w:r>
      <w:r w:rsidR="006F182E" w:rsidRPr="009118AB">
        <w:rPr>
          <w:i/>
        </w:rPr>
        <w:t>in Kraft ab dem Steuerjahr 2016 für Vorgänge und Einkünfte, die ab dem 1. Juli 2016 stattfinden beziehungsweise zuerkannt oder ausgeschüttet werden</w:t>
      </w:r>
      <w:r w:rsidR="00D67EB8" w:rsidRPr="009118AB">
        <w:rPr>
          <w:i/>
        </w:rPr>
        <w:t> - </w:t>
      </w:r>
      <w:r w:rsidRPr="009118AB">
        <w:rPr>
          <w:i/>
        </w:rPr>
        <w:t xml:space="preserve">und abgeändert durch </w:t>
      </w:r>
      <w:r w:rsidR="00D67EB8" w:rsidRPr="009118AB">
        <w:rPr>
          <w:i/>
        </w:rPr>
        <w:t>Art. </w:t>
      </w:r>
      <w:r w:rsidRPr="009118AB">
        <w:rPr>
          <w:i/>
        </w:rPr>
        <w:t>5 des G. vom 5. Dezember 2017 (B.S. vom 18. Dezember 2017)</w:t>
      </w:r>
      <w:r w:rsidR="00477B8F" w:rsidRPr="009118AB">
        <w:rPr>
          <w:i/>
          <w:iCs/>
        </w:rPr>
        <w:t>]</w:t>
      </w:r>
    </w:p>
    <w:p w14:paraId="1D2DD3FF" w14:textId="77777777" w:rsidR="00477B8F" w:rsidRPr="009118AB" w:rsidRDefault="00477B8F" w:rsidP="00477B8F">
      <w:pPr>
        <w:autoSpaceDE w:val="0"/>
        <w:autoSpaceDN w:val="0"/>
        <w:adjustRightInd w:val="0"/>
        <w:jc w:val="both"/>
      </w:pPr>
    </w:p>
    <w:p w14:paraId="022AA340" w14:textId="185C54D6" w:rsidR="00E14188" w:rsidRPr="009118AB" w:rsidRDefault="00E14188" w:rsidP="00477B8F">
      <w:pPr>
        <w:autoSpaceDE w:val="0"/>
        <w:autoSpaceDN w:val="0"/>
        <w:adjustRightInd w:val="0"/>
        <w:jc w:val="both"/>
      </w:pPr>
    </w:p>
    <w:p w14:paraId="6B2B82CD" w14:textId="0AEFE509" w:rsidR="00745FC3" w:rsidRPr="00745FC3" w:rsidRDefault="00745FC3" w:rsidP="00745FC3">
      <w:pPr>
        <w:autoSpaceDE w:val="0"/>
        <w:autoSpaceDN w:val="0"/>
        <w:adjustRightInd w:val="0"/>
        <w:jc w:val="both"/>
        <w:rPr>
          <w:iCs/>
          <w:sz w:val="20"/>
        </w:rPr>
      </w:pPr>
      <w:r w:rsidRPr="00745FC3">
        <w:rPr>
          <w:iCs/>
          <w:sz w:val="20"/>
        </w:rPr>
        <w:t>Ab einem gemäß Art. 222 des G. vom 12. Mai 2024 (B.S. vom 30. Mai 2024) vom König festzulegenden Datum und spätestens am 1. Januar 2028 lautet Art. </w:t>
      </w:r>
      <w:r>
        <w:rPr>
          <w:iCs/>
          <w:sz w:val="20"/>
        </w:rPr>
        <w:t>185</w:t>
      </w:r>
      <w:r w:rsidRPr="00745FC3">
        <w:rPr>
          <w:i/>
          <w:sz w:val="20"/>
        </w:rPr>
        <w:t>bis</w:t>
      </w:r>
      <w:r w:rsidRPr="00745FC3">
        <w:rPr>
          <w:iCs/>
          <w:sz w:val="20"/>
        </w:rPr>
        <w:t xml:space="preserve"> wie folgt:</w:t>
      </w:r>
    </w:p>
    <w:p w14:paraId="365662C3" w14:textId="77777777" w:rsidR="00437343" w:rsidRPr="009118AB" w:rsidRDefault="00437343" w:rsidP="00437343">
      <w:pPr>
        <w:autoSpaceDE w:val="0"/>
        <w:autoSpaceDN w:val="0"/>
        <w:adjustRightInd w:val="0"/>
        <w:jc w:val="both"/>
        <w:rPr>
          <w:iCs/>
          <w:sz w:val="20"/>
        </w:rPr>
      </w:pPr>
    </w:p>
    <w:p w14:paraId="1A0A8FD4" w14:textId="77777777" w:rsidR="00745FC3" w:rsidRPr="00745FC3" w:rsidRDefault="00437343" w:rsidP="00745FC3">
      <w:pPr>
        <w:autoSpaceDE w:val="0"/>
        <w:autoSpaceDN w:val="0"/>
        <w:adjustRightInd w:val="0"/>
        <w:jc w:val="both"/>
        <w:rPr>
          <w:iCs/>
          <w:sz w:val="20"/>
        </w:rPr>
      </w:pPr>
      <w:r w:rsidRPr="009118AB">
        <w:rPr>
          <w:iCs/>
          <w:sz w:val="20"/>
        </w:rPr>
        <w:t>"[</w:t>
      </w:r>
      <w:r w:rsidR="00D67EB8" w:rsidRPr="009118AB">
        <w:rPr>
          <w:iCs/>
          <w:sz w:val="20"/>
        </w:rPr>
        <w:t>Art. </w:t>
      </w:r>
      <w:r w:rsidRPr="009118AB">
        <w:rPr>
          <w:bCs/>
          <w:iCs/>
          <w:sz w:val="20"/>
        </w:rPr>
        <w:t>185</w:t>
      </w:r>
      <w:r w:rsidRPr="009118AB">
        <w:rPr>
          <w:bCs/>
          <w:i/>
          <w:iCs/>
          <w:sz w:val="20"/>
        </w:rPr>
        <w:t>bis</w:t>
      </w:r>
      <w:r w:rsidR="00D67EB8" w:rsidRPr="009118AB">
        <w:rPr>
          <w:iCs/>
          <w:sz w:val="20"/>
        </w:rPr>
        <w:t> - </w:t>
      </w:r>
      <w:r w:rsidR="00745FC3" w:rsidRPr="00745FC3">
        <w:rPr>
          <w:iCs/>
          <w:sz w:val="20"/>
        </w:rPr>
        <w:t>§ 1 - [In Abweichung von Artikel 185 sind Investmentgesellschaften, die in den Artikeln 15 und 271/10 des Gesetzes vom 3. August 2012 über Organismen für gemeinsame Anlagen, die die Bedingungen der Richtlinie 2009/65/EG erfüllen, und Organismen für Anlagen in Forderungen erwähnt sind, [Investmentgesellschaften, die in den Artikeln 190, 195, 285, 288 und 298 des Gesetzes vom 19. April 2014 über alternative Organismen für gemeinsame Anlagen und ihre Verwalter erwähnt sind, [europäische langfristige Investmentfonds,] beaufsichtigte Immobiliengesellschaften und Organismen für die Finanzierung von Pensionen, die in Artikel 8 des Gesetzes vom 27. Oktober 2006 über die Kontrolle der Einrichtungen der betrieblichen Altersversorgung erwähnt sind, [nur steuerpflichtig in Bezug auf den Gesamtbetrag der erhaltenen ungewöhnlichen oder freiwilligen Vorteile und der nicht als Werbungskosten abzugsfähigen Ausgaben und Kosten, die keine Wertminderungen und Minderwerte auf Aktien oder Anteile sind und keine in Artikel 198/1 erwähnten überschüssigen Fremdkapitalkosten, die auch nicht als Werbungskosten gelten, sind], unbeschadet jedoch der Tatsache, dass sie der in Artikel 219 vorgesehenen getrennten Steuer unterliegen.]</w:t>
      </w:r>
    </w:p>
    <w:p w14:paraId="223C7250" w14:textId="77777777" w:rsidR="00745FC3" w:rsidRPr="00745FC3" w:rsidRDefault="00745FC3" w:rsidP="00745FC3">
      <w:pPr>
        <w:autoSpaceDE w:val="0"/>
        <w:autoSpaceDN w:val="0"/>
        <w:adjustRightInd w:val="0"/>
        <w:jc w:val="both"/>
        <w:rPr>
          <w:iCs/>
          <w:sz w:val="20"/>
        </w:rPr>
      </w:pPr>
    </w:p>
    <w:p w14:paraId="03FA26AE" w14:textId="14F9C315" w:rsidR="00745FC3" w:rsidRPr="00745FC3" w:rsidRDefault="00745FC3" w:rsidP="00745FC3">
      <w:pPr>
        <w:autoSpaceDE w:val="0"/>
        <w:autoSpaceDN w:val="0"/>
        <w:adjustRightInd w:val="0"/>
        <w:jc w:val="both"/>
        <w:rPr>
          <w:iCs/>
          <w:sz w:val="20"/>
        </w:rPr>
      </w:pPr>
      <w:r w:rsidRPr="00745FC3">
        <w:rPr>
          <w:iCs/>
          <w:sz w:val="20"/>
        </w:rPr>
        <w:t>§ 2 - In Bezug auf die in § 1 erwähnten [Organismen für die Finanzierung von Pensionen] sind die Bestimmungen der Artikel 202 bis 205 und 285 bis 289 und von Artikel 123 des Königlichen Erlasses zur Ausführung des Einkommensteuer</w:t>
      </w:r>
      <w:r w:rsidRPr="00745FC3">
        <w:rPr>
          <w:iCs/>
          <w:sz w:val="20"/>
        </w:rPr>
        <w:softHyphen/>
        <w:t>gesetz</w:t>
      </w:r>
      <w:r w:rsidRPr="00745FC3">
        <w:rPr>
          <w:iCs/>
          <w:sz w:val="20"/>
        </w:rPr>
        <w:softHyphen/>
        <w:t>buches 1992 nicht anwendbar.</w:t>
      </w:r>
    </w:p>
    <w:p w14:paraId="2EAA9CDB" w14:textId="77777777" w:rsidR="00745FC3" w:rsidRPr="00745FC3" w:rsidRDefault="00745FC3" w:rsidP="00745FC3">
      <w:pPr>
        <w:autoSpaceDE w:val="0"/>
        <w:autoSpaceDN w:val="0"/>
        <w:adjustRightInd w:val="0"/>
        <w:jc w:val="both"/>
        <w:rPr>
          <w:iCs/>
          <w:sz w:val="20"/>
        </w:rPr>
      </w:pPr>
    </w:p>
    <w:p w14:paraId="62504783" w14:textId="4CBDC0E3" w:rsidR="00745FC3" w:rsidRPr="00745FC3" w:rsidRDefault="00745FC3" w:rsidP="00745FC3">
      <w:pPr>
        <w:autoSpaceDE w:val="0"/>
        <w:autoSpaceDN w:val="0"/>
        <w:adjustRightInd w:val="0"/>
        <w:jc w:val="both"/>
        <w:rPr>
          <w:iCs/>
          <w:sz w:val="20"/>
        </w:rPr>
      </w:pPr>
      <w:r w:rsidRPr="00745FC3">
        <w:rPr>
          <w:iCs/>
          <w:sz w:val="20"/>
        </w:rPr>
        <w:t>[In Bezug auf die in § 1 erwähnten Investmentgesellschaften[, europäischen langfristigen Investmentfonds] [und beaufsichtigten Immobiliengesellschaften] sind die Bestimmungen der Artikel 202 bis 205, des Artikels 279, was den auf Dividenden belgischer Herkunft einbehaltenen Mobiliensteuervorabzug angeht, und der Artikel 285 bis 289 nicht anwendbar.]</w:t>
      </w:r>
    </w:p>
    <w:p w14:paraId="3CD45125" w14:textId="77777777" w:rsidR="00745FC3" w:rsidRPr="00745FC3" w:rsidRDefault="00745FC3" w:rsidP="00745FC3">
      <w:pPr>
        <w:autoSpaceDE w:val="0"/>
        <w:autoSpaceDN w:val="0"/>
        <w:adjustRightInd w:val="0"/>
        <w:jc w:val="both"/>
        <w:rPr>
          <w:iCs/>
          <w:sz w:val="20"/>
        </w:rPr>
      </w:pPr>
    </w:p>
    <w:p w14:paraId="3839C924" w14:textId="269DB083" w:rsidR="00745FC3" w:rsidRPr="00745FC3" w:rsidRDefault="00745FC3" w:rsidP="00745FC3">
      <w:pPr>
        <w:autoSpaceDE w:val="0"/>
        <w:autoSpaceDN w:val="0"/>
        <w:adjustRightInd w:val="0"/>
        <w:jc w:val="both"/>
        <w:rPr>
          <w:iCs/>
          <w:sz w:val="20"/>
        </w:rPr>
      </w:pPr>
      <w:r w:rsidRPr="00745FC3">
        <w:rPr>
          <w:iCs/>
          <w:sz w:val="20"/>
        </w:rPr>
        <w:t>[Wenn die Anteile eines Zweigs einer in Absatz 2 erwähnten Investmentgesellschaft ausschließlich von einem in Absatz 1 erwähnten Organismus für die Finanzierung von Pensionen gehalten werden, finden die Bestimmungen von Absatz 1 auf die Investmentgesellschaft in Bezug auf diesen Zweig Anwendung.]</w:t>
      </w:r>
    </w:p>
    <w:p w14:paraId="1BE6359C" w14:textId="77777777" w:rsidR="00745FC3" w:rsidRPr="00745FC3" w:rsidRDefault="00745FC3" w:rsidP="00745FC3">
      <w:pPr>
        <w:autoSpaceDE w:val="0"/>
        <w:autoSpaceDN w:val="0"/>
        <w:adjustRightInd w:val="0"/>
        <w:jc w:val="both"/>
        <w:rPr>
          <w:iCs/>
          <w:sz w:val="20"/>
        </w:rPr>
      </w:pPr>
    </w:p>
    <w:p w14:paraId="3A905E45" w14:textId="0A896896" w:rsidR="00745FC3" w:rsidRPr="00745FC3" w:rsidRDefault="00745FC3" w:rsidP="00745FC3">
      <w:pPr>
        <w:autoSpaceDE w:val="0"/>
        <w:autoSpaceDN w:val="0"/>
        <w:adjustRightInd w:val="0"/>
        <w:jc w:val="both"/>
        <w:rPr>
          <w:iCs/>
          <w:sz w:val="20"/>
        </w:rPr>
      </w:pPr>
      <w:r w:rsidRPr="00745FC3">
        <w:rPr>
          <w:iCs/>
          <w:sz w:val="20"/>
        </w:rPr>
        <w:t>§ 3 - Die Paragraphen 1 und 2 sind nicht für Besteuerungszeiträume anwendbar, in denen [ein in Artikel 298 des Gesetzes vom 19. April 2014 erwähnter privater Kapital</w:t>
      </w:r>
      <w:r w:rsidRPr="00745FC3">
        <w:rPr>
          <w:iCs/>
          <w:sz w:val="20"/>
        </w:rPr>
        <w:softHyphen/>
        <w:t>anlagefonds mit fixem Kapital] folgende Bestimmungen nicht einhält:</w:t>
      </w:r>
    </w:p>
    <w:p w14:paraId="4F7D5076" w14:textId="77777777" w:rsidR="00745FC3" w:rsidRPr="00745FC3" w:rsidRDefault="00745FC3" w:rsidP="00745FC3">
      <w:pPr>
        <w:autoSpaceDE w:val="0"/>
        <w:autoSpaceDN w:val="0"/>
        <w:adjustRightInd w:val="0"/>
        <w:jc w:val="both"/>
        <w:rPr>
          <w:iCs/>
          <w:sz w:val="20"/>
        </w:rPr>
      </w:pPr>
    </w:p>
    <w:p w14:paraId="15849F14" w14:textId="547DF18C" w:rsidR="00745FC3" w:rsidRPr="00745FC3" w:rsidRDefault="00745FC3" w:rsidP="00745FC3">
      <w:pPr>
        <w:autoSpaceDE w:val="0"/>
        <w:autoSpaceDN w:val="0"/>
        <w:adjustRightInd w:val="0"/>
        <w:jc w:val="both"/>
        <w:rPr>
          <w:iCs/>
          <w:sz w:val="20"/>
        </w:rPr>
      </w:pPr>
      <w:r w:rsidRPr="00745FC3">
        <w:rPr>
          <w:iCs/>
          <w:sz w:val="20"/>
        </w:rPr>
        <w:t>1. die in Artikel 192 § 3 erwähnte Bestimmung,</w:t>
      </w:r>
    </w:p>
    <w:p w14:paraId="1BD77E70" w14:textId="77777777" w:rsidR="00745FC3" w:rsidRPr="00745FC3" w:rsidRDefault="00745FC3" w:rsidP="00745FC3">
      <w:pPr>
        <w:autoSpaceDE w:val="0"/>
        <w:autoSpaceDN w:val="0"/>
        <w:adjustRightInd w:val="0"/>
        <w:jc w:val="both"/>
        <w:rPr>
          <w:iCs/>
          <w:sz w:val="20"/>
        </w:rPr>
      </w:pPr>
    </w:p>
    <w:p w14:paraId="351A3CB2" w14:textId="7EA86464" w:rsidR="00745FC3" w:rsidRPr="00745FC3" w:rsidRDefault="00745FC3" w:rsidP="00745FC3">
      <w:pPr>
        <w:autoSpaceDE w:val="0"/>
        <w:autoSpaceDN w:val="0"/>
        <w:adjustRightInd w:val="0"/>
        <w:jc w:val="both"/>
        <w:rPr>
          <w:iCs/>
          <w:sz w:val="20"/>
        </w:rPr>
      </w:pPr>
      <w:r w:rsidRPr="00745FC3">
        <w:rPr>
          <w:iCs/>
          <w:sz w:val="20"/>
        </w:rPr>
        <w:t>2. eine oder mehrere Satzungsbestimmungen, die aus dem spezifischen Charakter dieser Gesellschaft als Organismus für gemeinsame Anlagen hervorgehen.</w:t>
      </w:r>
    </w:p>
    <w:p w14:paraId="4A97405F" w14:textId="77777777" w:rsidR="00745FC3" w:rsidRPr="00745FC3" w:rsidRDefault="00745FC3" w:rsidP="00745FC3">
      <w:pPr>
        <w:autoSpaceDE w:val="0"/>
        <w:autoSpaceDN w:val="0"/>
        <w:adjustRightInd w:val="0"/>
        <w:jc w:val="both"/>
        <w:rPr>
          <w:iCs/>
          <w:sz w:val="20"/>
        </w:rPr>
      </w:pPr>
    </w:p>
    <w:p w14:paraId="278D4FD5" w14:textId="1D205D0C" w:rsidR="00745FC3" w:rsidRPr="00745FC3" w:rsidRDefault="00745FC3" w:rsidP="00745FC3">
      <w:pPr>
        <w:autoSpaceDE w:val="0"/>
        <w:autoSpaceDN w:val="0"/>
        <w:adjustRightInd w:val="0"/>
        <w:jc w:val="both"/>
        <w:rPr>
          <w:iCs/>
          <w:sz w:val="20"/>
        </w:rPr>
      </w:pPr>
      <w:r w:rsidRPr="00745FC3">
        <w:rPr>
          <w:iCs/>
          <w:sz w:val="20"/>
        </w:rPr>
        <w:t>Für die Anwendung von Absatz 1 gelten die unter dem in den Paragraphen 1 und 2 erwähnten System vorher gebildeten Rücklagen als:</w:t>
      </w:r>
    </w:p>
    <w:p w14:paraId="733C779E" w14:textId="77777777" w:rsidR="00745FC3" w:rsidRPr="00745FC3" w:rsidRDefault="00745FC3" w:rsidP="00745FC3">
      <w:pPr>
        <w:autoSpaceDE w:val="0"/>
        <w:autoSpaceDN w:val="0"/>
        <w:adjustRightInd w:val="0"/>
        <w:jc w:val="both"/>
        <w:rPr>
          <w:iCs/>
          <w:sz w:val="20"/>
        </w:rPr>
      </w:pPr>
    </w:p>
    <w:p w14:paraId="71C5CF0C" w14:textId="7D9E4DA1" w:rsidR="00745FC3" w:rsidRPr="00745FC3" w:rsidRDefault="00745FC3" w:rsidP="00745FC3">
      <w:pPr>
        <w:autoSpaceDE w:val="0"/>
        <w:autoSpaceDN w:val="0"/>
        <w:adjustRightInd w:val="0"/>
        <w:jc w:val="both"/>
        <w:rPr>
          <w:iCs/>
          <w:sz w:val="20"/>
        </w:rPr>
      </w:pPr>
      <w:r w:rsidRPr="00745FC3">
        <w:rPr>
          <w:iCs/>
          <w:sz w:val="20"/>
        </w:rPr>
        <w:t>1. besteuerte Rücklagen in dem Maße, wie durch den privaten Kapitalanlagefonds mit fixem Kapital nachgewiesen wird, dass sie aus verwirklichten Mehrwerten oder bezogenen Dividenden von Anlagen erwähnt in Artikel 192 § 3 Nr. 1 und 2 hervorgehen,</w:t>
      </w:r>
    </w:p>
    <w:p w14:paraId="4CA4F9DE" w14:textId="77777777" w:rsidR="00745FC3" w:rsidRPr="00745FC3" w:rsidRDefault="00745FC3" w:rsidP="00745FC3">
      <w:pPr>
        <w:autoSpaceDE w:val="0"/>
        <w:autoSpaceDN w:val="0"/>
        <w:adjustRightInd w:val="0"/>
        <w:jc w:val="both"/>
        <w:rPr>
          <w:iCs/>
          <w:sz w:val="20"/>
        </w:rPr>
      </w:pPr>
    </w:p>
    <w:p w14:paraId="701292E3" w14:textId="3D150323" w:rsidR="00745FC3" w:rsidRPr="00745FC3" w:rsidRDefault="00745FC3" w:rsidP="00745FC3">
      <w:pPr>
        <w:autoSpaceDE w:val="0"/>
        <w:autoSpaceDN w:val="0"/>
        <w:adjustRightInd w:val="0"/>
        <w:jc w:val="both"/>
        <w:rPr>
          <w:iCs/>
          <w:sz w:val="20"/>
        </w:rPr>
      </w:pPr>
      <w:r w:rsidRPr="00745FC3">
        <w:rPr>
          <w:iCs/>
          <w:sz w:val="20"/>
        </w:rPr>
        <w:t>2. steuerfreie Rücklagen für den Saldo in dem Maße, wie der Betrag dieser Rücklagen auf einem oder mehreren getrennten Passivkonten gebucht ist und dort belassen wird und nicht als Grundlage für die Berechnung der jährlichen Zuführung an die gesetzliche Rücklage oder für die Berechnung von Entlohnungen oder Zuerkennungen dient,</w:t>
      </w:r>
    </w:p>
    <w:p w14:paraId="1399F51F" w14:textId="77777777" w:rsidR="00745FC3" w:rsidRPr="00745FC3" w:rsidRDefault="00745FC3" w:rsidP="00745FC3">
      <w:pPr>
        <w:autoSpaceDE w:val="0"/>
        <w:autoSpaceDN w:val="0"/>
        <w:adjustRightInd w:val="0"/>
        <w:jc w:val="both"/>
        <w:rPr>
          <w:iCs/>
          <w:sz w:val="20"/>
        </w:rPr>
      </w:pPr>
    </w:p>
    <w:p w14:paraId="145D540C" w14:textId="6A26340C" w:rsidR="00745FC3" w:rsidRPr="00745FC3" w:rsidRDefault="00745FC3" w:rsidP="00745FC3">
      <w:pPr>
        <w:autoSpaceDE w:val="0"/>
        <w:autoSpaceDN w:val="0"/>
        <w:adjustRightInd w:val="0"/>
        <w:jc w:val="both"/>
        <w:rPr>
          <w:iCs/>
          <w:sz w:val="20"/>
        </w:rPr>
      </w:pPr>
      <w:r w:rsidRPr="00745FC3">
        <w:rPr>
          <w:iCs/>
          <w:sz w:val="20"/>
        </w:rPr>
        <w:t>3. Gewinne dieses Besteuerungszeitraums sofern und in dem Maße, wie die Bedingungen von Nr. 2 nicht mehr erfüllt werden.</w:t>
      </w:r>
    </w:p>
    <w:p w14:paraId="5B6E0329" w14:textId="77777777" w:rsidR="00745FC3" w:rsidRPr="00745FC3" w:rsidRDefault="00745FC3" w:rsidP="00745FC3">
      <w:pPr>
        <w:autoSpaceDE w:val="0"/>
        <w:autoSpaceDN w:val="0"/>
        <w:adjustRightInd w:val="0"/>
        <w:jc w:val="both"/>
        <w:rPr>
          <w:iCs/>
          <w:sz w:val="20"/>
        </w:rPr>
      </w:pPr>
    </w:p>
    <w:p w14:paraId="267C1B94" w14:textId="56A7A47F" w:rsidR="00745FC3" w:rsidRPr="00745FC3" w:rsidRDefault="00745FC3" w:rsidP="00745FC3">
      <w:pPr>
        <w:autoSpaceDE w:val="0"/>
        <w:autoSpaceDN w:val="0"/>
        <w:adjustRightInd w:val="0"/>
        <w:jc w:val="both"/>
        <w:rPr>
          <w:iCs/>
          <w:sz w:val="20"/>
        </w:rPr>
      </w:pPr>
      <w:r w:rsidRPr="00745FC3">
        <w:rPr>
          <w:iCs/>
          <w:sz w:val="20"/>
        </w:rPr>
        <w:t>In Absatz 2 Nr. 2 erwähnte Rücklagen gelten außerdem als Gewinne des Besteuerungszeitraums, [in dem in Artikel 298 des Gesetzes vom 19. April 2014 erwähnte Gesellschaften aus dem in Artikel 302 § 1 desselben Gesetzes erwähnten Verzeichnis der privaten Kapital</w:t>
      </w:r>
      <w:r w:rsidRPr="00745FC3">
        <w:rPr>
          <w:iCs/>
          <w:sz w:val="20"/>
        </w:rPr>
        <w:softHyphen/>
        <w:t>anlagefonds mit fixem Kapital gestrichen werden], unbeschadet der Anwendung von Artikel 210 § 1 Nr. 5.</w:t>
      </w:r>
    </w:p>
    <w:p w14:paraId="023AD4E3" w14:textId="77777777" w:rsidR="00745FC3" w:rsidRPr="00745FC3" w:rsidRDefault="00745FC3" w:rsidP="00745FC3">
      <w:pPr>
        <w:autoSpaceDE w:val="0"/>
        <w:autoSpaceDN w:val="0"/>
        <w:adjustRightInd w:val="0"/>
        <w:jc w:val="both"/>
        <w:rPr>
          <w:iCs/>
          <w:sz w:val="20"/>
        </w:rPr>
      </w:pPr>
    </w:p>
    <w:p w14:paraId="2605ACF5" w14:textId="7C03D36B" w:rsidR="00745FC3" w:rsidRPr="00745FC3" w:rsidRDefault="00745FC3" w:rsidP="00745FC3">
      <w:pPr>
        <w:autoSpaceDE w:val="0"/>
        <w:autoSpaceDN w:val="0"/>
        <w:adjustRightInd w:val="0"/>
        <w:jc w:val="both"/>
        <w:rPr>
          <w:iCs/>
          <w:sz w:val="20"/>
        </w:rPr>
      </w:pPr>
      <w:r w:rsidRPr="00745FC3">
        <w:rPr>
          <w:iCs/>
          <w:sz w:val="20"/>
        </w:rPr>
        <w:t xml:space="preserve">Der FÖD Finanzen kann eine Gesellschaft [aus dem in Artikel 302 § 1 des Gesetzes vom 19. April 2014 erwähnten Verzeichnis] der privaten Kapitalanlagefonds mit fixem Kapital in den vom König festgelegten Fällen oder im Falle eines Verstoßes gegen die vom König festgelegten Satzungsbestimmungen streichen. </w:t>
      </w:r>
      <w:r w:rsidR="00641EC6">
        <w:rPr>
          <w:iCs/>
          <w:sz w:val="20"/>
        </w:rPr>
        <w:t>[</w:t>
      </w:r>
      <w:r w:rsidR="00641EC6" w:rsidRPr="00641EC6">
        <w:rPr>
          <w:iCs/>
          <w:sz w:val="20"/>
        </w:rPr>
        <w:t>Der FÖD Finanzen teilt der Gesellschaft die Streichung per Einschreibesendung mit</w:t>
      </w:r>
      <w:r w:rsidR="00641EC6">
        <w:rPr>
          <w:iCs/>
          <w:sz w:val="20"/>
        </w:rPr>
        <w:t>]</w:t>
      </w:r>
      <w:r w:rsidRPr="00745FC3">
        <w:rPr>
          <w:iCs/>
          <w:sz w:val="20"/>
        </w:rPr>
        <w:t>. Eine Beschwerde gegen einen Streichungsbeschluss ist gemäß dem gemeinrechtlichen Berufungsverfahren in Verwaltungsangelegenheiten möglich.]</w:t>
      </w:r>
    </w:p>
    <w:p w14:paraId="42C8F817" w14:textId="77777777" w:rsidR="00745FC3" w:rsidRPr="00745FC3" w:rsidRDefault="00745FC3" w:rsidP="00745FC3">
      <w:pPr>
        <w:autoSpaceDE w:val="0"/>
        <w:autoSpaceDN w:val="0"/>
        <w:adjustRightInd w:val="0"/>
        <w:jc w:val="both"/>
        <w:rPr>
          <w:iCs/>
          <w:sz w:val="20"/>
        </w:rPr>
      </w:pPr>
    </w:p>
    <w:p w14:paraId="32E266F8" w14:textId="5DFFE58A" w:rsidR="00745FC3" w:rsidRPr="00745FC3" w:rsidRDefault="00745FC3" w:rsidP="00745FC3">
      <w:pPr>
        <w:autoSpaceDE w:val="0"/>
        <w:autoSpaceDN w:val="0"/>
        <w:adjustRightInd w:val="0"/>
        <w:jc w:val="both"/>
        <w:rPr>
          <w:iCs/>
          <w:sz w:val="20"/>
        </w:rPr>
      </w:pPr>
      <w:r w:rsidRPr="00745FC3">
        <w:rPr>
          <w:iCs/>
          <w:sz w:val="20"/>
        </w:rPr>
        <w:t>[Die Paragraphen 1 und 2 sind erneut für Besteuerungszeiträume anwendbar, in denen ein in Artikel 298 des Gesetzes vom 19. April 2014 über alternative Organismen für gemeinsame Anlagen und ihre Verwalter erwähnter privater Kapitalanlagefonds mit fixem Kapital erneut während des gesamten Besteuerungszeitraums folgende Bestimmungen einhält:</w:t>
      </w:r>
    </w:p>
    <w:p w14:paraId="3294FF0D" w14:textId="77777777" w:rsidR="00745FC3" w:rsidRPr="00745FC3" w:rsidRDefault="00745FC3" w:rsidP="00745FC3">
      <w:pPr>
        <w:autoSpaceDE w:val="0"/>
        <w:autoSpaceDN w:val="0"/>
        <w:adjustRightInd w:val="0"/>
        <w:jc w:val="both"/>
        <w:rPr>
          <w:iCs/>
          <w:sz w:val="20"/>
        </w:rPr>
      </w:pPr>
    </w:p>
    <w:p w14:paraId="19097017" w14:textId="3D15BDC5" w:rsidR="00745FC3" w:rsidRPr="00745FC3" w:rsidRDefault="00745FC3" w:rsidP="00745FC3">
      <w:pPr>
        <w:autoSpaceDE w:val="0"/>
        <w:autoSpaceDN w:val="0"/>
        <w:adjustRightInd w:val="0"/>
        <w:jc w:val="both"/>
        <w:rPr>
          <w:iCs/>
          <w:sz w:val="20"/>
        </w:rPr>
      </w:pPr>
      <w:r w:rsidRPr="00745FC3">
        <w:rPr>
          <w:iCs/>
          <w:sz w:val="20"/>
        </w:rPr>
        <w:t>1. Artikel 192 § 3,</w:t>
      </w:r>
    </w:p>
    <w:p w14:paraId="1A1DD815" w14:textId="77777777" w:rsidR="00745FC3" w:rsidRPr="00745FC3" w:rsidRDefault="00745FC3" w:rsidP="00745FC3">
      <w:pPr>
        <w:autoSpaceDE w:val="0"/>
        <w:autoSpaceDN w:val="0"/>
        <w:adjustRightInd w:val="0"/>
        <w:jc w:val="both"/>
        <w:rPr>
          <w:iCs/>
          <w:sz w:val="20"/>
        </w:rPr>
      </w:pPr>
    </w:p>
    <w:p w14:paraId="05F75A2D" w14:textId="061DF1DB" w:rsidR="00745FC3" w:rsidRPr="00745FC3" w:rsidRDefault="00745FC3" w:rsidP="00745FC3">
      <w:pPr>
        <w:autoSpaceDE w:val="0"/>
        <w:autoSpaceDN w:val="0"/>
        <w:adjustRightInd w:val="0"/>
        <w:jc w:val="both"/>
        <w:rPr>
          <w:iCs/>
          <w:sz w:val="20"/>
        </w:rPr>
      </w:pPr>
      <w:r w:rsidRPr="00745FC3">
        <w:rPr>
          <w:iCs/>
          <w:sz w:val="20"/>
        </w:rPr>
        <w:t>2. die Satzungsbestimmungen, die aus dem spezifischen Charakter dieser Gesellschaft als Organismus für gemeinsame Anlagen hervorgehen.]</w:t>
      </w:r>
    </w:p>
    <w:p w14:paraId="7D4B1AD4" w14:textId="77777777" w:rsidR="00745FC3" w:rsidRPr="00745FC3" w:rsidRDefault="00745FC3" w:rsidP="00745FC3">
      <w:pPr>
        <w:autoSpaceDE w:val="0"/>
        <w:autoSpaceDN w:val="0"/>
        <w:adjustRightInd w:val="0"/>
        <w:jc w:val="both"/>
        <w:rPr>
          <w:iCs/>
          <w:sz w:val="20"/>
        </w:rPr>
      </w:pPr>
    </w:p>
    <w:p w14:paraId="455136D8" w14:textId="64757968" w:rsidR="00745FC3" w:rsidRPr="00745FC3" w:rsidRDefault="00745FC3" w:rsidP="00745FC3">
      <w:pPr>
        <w:autoSpaceDE w:val="0"/>
        <w:autoSpaceDN w:val="0"/>
        <w:adjustRightInd w:val="0"/>
        <w:jc w:val="both"/>
        <w:rPr>
          <w:iCs/>
          <w:sz w:val="20"/>
        </w:rPr>
      </w:pPr>
      <w:r w:rsidRPr="00745FC3">
        <w:rPr>
          <w:iCs/>
          <w:sz w:val="20"/>
        </w:rPr>
        <w:lastRenderedPageBreak/>
        <w:t xml:space="preserve">[§ 4 - In den vom König festgelegten Fällen kann der FÖD Finanzen einen institutionellen alternativen Organismus für gemeinsame Anlagen aus dem in Artikel 289 § 1 des Gesetzes vom 19. April 2014 erwähnten Verzeichnis [oder einen institutionellen Organismus für Anlagen in Forderungen aus dem in Artikel 271/15 des Gesetzes vom 3. August 2012 erwähnten Verzeichnis] streichen. </w:t>
      </w:r>
      <w:r w:rsidR="00641EC6">
        <w:rPr>
          <w:iCs/>
          <w:sz w:val="20"/>
        </w:rPr>
        <w:t>[</w:t>
      </w:r>
      <w:r w:rsidR="00641EC6" w:rsidRPr="00641EC6">
        <w:rPr>
          <w:iCs/>
          <w:sz w:val="20"/>
        </w:rPr>
        <w:t>Der FÖD Finanzen teilt der Gesellschaft die Streichung per Einschreibesendung mit</w:t>
      </w:r>
      <w:r w:rsidR="00641EC6">
        <w:rPr>
          <w:iCs/>
          <w:sz w:val="20"/>
        </w:rPr>
        <w:t>]</w:t>
      </w:r>
      <w:r w:rsidR="00641EC6" w:rsidRPr="00745FC3">
        <w:rPr>
          <w:iCs/>
          <w:sz w:val="20"/>
        </w:rPr>
        <w:t>.</w:t>
      </w:r>
      <w:r w:rsidRPr="00745FC3">
        <w:rPr>
          <w:iCs/>
          <w:sz w:val="20"/>
        </w:rPr>
        <w:t xml:space="preserve"> Eine Beschwerde gegen einen Streichungsbeschluss ist gemäß dem gemeinrechtlichen Berufungsverfahren in Verwaltungsangelegenheiten möglich.]</w:t>
      </w:r>
    </w:p>
    <w:p w14:paraId="57B1D1D0" w14:textId="77777777" w:rsidR="00745FC3" w:rsidRPr="00745FC3" w:rsidRDefault="00745FC3" w:rsidP="00745FC3">
      <w:pPr>
        <w:autoSpaceDE w:val="0"/>
        <w:autoSpaceDN w:val="0"/>
        <w:adjustRightInd w:val="0"/>
        <w:jc w:val="both"/>
        <w:rPr>
          <w:iCs/>
          <w:sz w:val="20"/>
        </w:rPr>
      </w:pPr>
    </w:p>
    <w:p w14:paraId="6B2E4D61" w14:textId="47B52779" w:rsidR="00437343" w:rsidRPr="00641EC6" w:rsidRDefault="00745FC3" w:rsidP="00745FC3">
      <w:pPr>
        <w:autoSpaceDE w:val="0"/>
        <w:autoSpaceDN w:val="0"/>
        <w:adjustRightInd w:val="0"/>
        <w:jc w:val="both"/>
        <w:rPr>
          <w:sz w:val="20"/>
        </w:rPr>
      </w:pPr>
      <w:r w:rsidRPr="00745FC3">
        <w:rPr>
          <w:i/>
          <w:iCs/>
          <w:sz w:val="20"/>
        </w:rPr>
        <w:t>[Art. 185bis eingefügt durch Art. 320 des G. (I) vom 27. Dezember 2006 (II) (B.S. vom 28. Dezember 2006) - in Kraft ab dem 1. Januar 2007 -; § 1 ersetzt durch Art. 19 Buchstabe a) des G. vom 18. Dezember 2015 (II) (B.S. vom 28. Dezember 2015) und abgeändert durch Art. 20/1 des G. vom 25. Dezember 2017 (III) (B.S. vom 29. Dezember 2017) - in Kraft am 1. Januar 2020 und anwendbar ab dem Steuerjahr 2021 anwendbar, das sich auf einen Besteuerungszeitraum bezieht, der frühestens am 1. Januar 2020 beginnt -, selbst eingefügt durch Art. 36 des G. vom 30. Juli 2018 (I) (B.S. vom 10. August 2018) und selbst widerrufen durch Art. 21 des G. vom 28. April 2019 (B.S. vom 6. Mai 2019), und durch Art. 13 des G. vom 28. April 2019 (B.S. vom 6.</w:t>
      </w:r>
      <w:r w:rsidR="00641EC6">
        <w:rPr>
          <w:i/>
          <w:iCs/>
          <w:sz w:val="20"/>
        </w:rPr>
        <w:t> </w:t>
      </w:r>
      <w:r w:rsidRPr="00745FC3">
        <w:rPr>
          <w:i/>
          <w:iCs/>
          <w:sz w:val="20"/>
        </w:rPr>
        <w:t>Mai</w:t>
      </w:r>
      <w:r w:rsidR="00641EC6">
        <w:rPr>
          <w:i/>
          <w:iCs/>
          <w:sz w:val="20"/>
        </w:rPr>
        <w:t> </w:t>
      </w:r>
      <w:r w:rsidRPr="00745FC3">
        <w:rPr>
          <w:i/>
          <w:iCs/>
          <w:sz w:val="20"/>
        </w:rPr>
        <w:t>2019) - anwendbar ab dem Steuerjahr 2020, das sich auf einen Besteuerungszeitraum bezieht, der frühestens am 1. Januar 2019 beginnt - und Art. 64</w:t>
      </w:r>
      <w:r w:rsidRPr="00745FC3">
        <w:rPr>
          <w:bCs/>
          <w:i/>
          <w:iCs/>
          <w:sz w:val="20"/>
        </w:rPr>
        <w:t xml:space="preserve"> des G. vom 21. Januar 2022 (B.S. vom 28. Januar 2022)</w:t>
      </w:r>
      <w:r w:rsidRPr="00745FC3">
        <w:rPr>
          <w:i/>
          <w:iCs/>
          <w:sz w:val="20"/>
        </w:rPr>
        <w:t>; § 2 Abs. 1 abgeändert durch Art. 53 Nr. 1 des G. vom 30. Juli 2013 (B.S. vom 1. August 2013) - in Kraft ab dem Steuerjahr 2014 -; § 2 Abs. 2 eingefügt durch Art. 53 Nr. 2 des G. vom 30. Juli 2013 (B.S. vom 1. August 2013) - in Kraft ab dem Steuerjahr 2014 - und abgeändert durch Art. 86 Buchstabe b) des G. vom 12. Mai 2014 (II) (B.S. vom 30. Juni 2014) - in Kraft ab dem 16. Juli 2014 - und Art. 45 des G. vom 20. November 2022 (B.S. vom 30. November 2022); § 2 Abs. 3 eingefügt durch Art. 53 Nr. 2 des G. vom 30. Juli 2013 (B.S. vom 1. August 2013) - in Kraft ab dem Steuerjahr 2014 -; § 3 Abs. 1 einleitende Bestimmung abgeändert durch Art. 19 Buchstabe b) des G. vom 18. Dezember 2015 (II) (B.S. vom 28. Dezember 2015); § 3 Abs. 3 abgeändert durch Art. 19 Buchstabe c) des G. vom 18. Dezember 2015 (II) (B.S. vom 28. Dezember 2015); § 3 Abs. 4 abgeändert durch Art. 19 Buchstabe d) des G. vom 18. Dezember 2015 (II) (B.S. vom 28. Dezember 2015)</w:t>
      </w:r>
      <w:r w:rsidR="00BA49EE" w:rsidRPr="00BA49EE">
        <w:rPr>
          <w:i/>
          <w:iCs/>
          <w:sz w:val="20"/>
        </w:rPr>
        <w:t xml:space="preserve"> und Art. 3 des G. vom 26. Januar 2021 (B.S. vom 10. Februar 2021) - in Kraft am 1. Januar 2025 -</w:t>
      </w:r>
      <w:r w:rsidR="00BA49EE">
        <w:rPr>
          <w:i/>
          <w:iCs/>
          <w:sz w:val="20"/>
        </w:rPr>
        <w:t>, selbst aufgehoben durch Art. 213</w:t>
      </w:r>
      <w:r w:rsidR="00BA49EE" w:rsidRPr="00BA49EE">
        <w:rPr>
          <w:i/>
          <w:iCs/>
          <w:sz w:val="20"/>
        </w:rPr>
        <w:t xml:space="preserve"> des G. vom 12. Mai 2024 (B.S. vom 30. Mai 2024)</w:t>
      </w:r>
      <w:r w:rsidR="00BA49EE">
        <w:rPr>
          <w:i/>
          <w:iCs/>
          <w:sz w:val="20"/>
        </w:rPr>
        <w:t>,</w:t>
      </w:r>
      <w:r w:rsidR="00641EC6">
        <w:rPr>
          <w:i/>
          <w:iCs/>
          <w:sz w:val="20"/>
        </w:rPr>
        <w:t xml:space="preserve"> und </w:t>
      </w:r>
      <w:r w:rsidR="00BA49EE">
        <w:rPr>
          <w:i/>
          <w:iCs/>
          <w:sz w:val="20"/>
        </w:rPr>
        <w:t xml:space="preserve">durch </w:t>
      </w:r>
      <w:r w:rsidR="00641EC6">
        <w:rPr>
          <w:i/>
          <w:iCs/>
          <w:sz w:val="20"/>
        </w:rPr>
        <w:t>Art. 6</w:t>
      </w:r>
      <w:r w:rsidR="00641EC6" w:rsidRPr="00641EC6">
        <w:rPr>
          <w:i/>
          <w:iCs/>
          <w:sz w:val="20"/>
        </w:rPr>
        <w:t xml:space="preserve"> des G. vom 12. Mai 2024 (B.S. vom 30. Mai 2024) - </w:t>
      </w:r>
      <w:r w:rsidR="00A54224">
        <w:rPr>
          <w:i/>
          <w:iCs/>
          <w:sz w:val="20"/>
        </w:rPr>
        <w:t xml:space="preserve">in Kraft für alle oder bestimmte Kategorien von Inhabern einer Unternehmensnummer sowie für natürliche Personen an dem jeweils vom König festzulegenden Datum und spätestens am </w:t>
      </w:r>
      <w:r w:rsidR="00CC23FF">
        <w:rPr>
          <w:i/>
          <w:iCs/>
          <w:sz w:val="20"/>
        </w:rPr>
        <w:t>1. Januar 2028 </w:t>
      </w:r>
      <w:r w:rsidR="00641EC6" w:rsidRPr="00641EC6">
        <w:rPr>
          <w:i/>
          <w:iCs/>
          <w:sz w:val="20"/>
        </w:rPr>
        <w:t>-</w:t>
      </w:r>
      <w:r w:rsidRPr="00745FC3">
        <w:rPr>
          <w:i/>
          <w:iCs/>
          <w:sz w:val="20"/>
        </w:rPr>
        <w:t>; § 3 Abs. 5 eingefügt durch Art. 51 des G. vom 26. März 2018 (B.S. vom 30. März 2018) - anwendbar ab dem Steuerjahr 2019 -; § 4 eingefügt durch Art. 9 des G. (II) vom 3. August 2016 (VI) (B.S. vom 16. August 2016) - in Kraft ab dem Steuerjahr 2016 für Vorgänge und Einkünfte, die ab dem 1. Juli 2016 stattfinden beziehungsweise zuerkannt oder ausgeschüttet werden - und abgeändert durch Art. 5 des G. vom 5. Dezember 2017 (B.S. vom 18. Dezember 2017)</w:t>
      </w:r>
      <w:r w:rsidR="00641EC6">
        <w:rPr>
          <w:i/>
          <w:iCs/>
          <w:sz w:val="20"/>
        </w:rPr>
        <w:t xml:space="preserve"> </w:t>
      </w:r>
      <w:r w:rsidR="005B358C" w:rsidRPr="00BA49EE">
        <w:rPr>
          <w:i/>
          <w:iCs/>
          <w:sz w:val="20"/>
        </w:rPr>
        <w:t>und Art. 3 des G. vom 26. Januar 2021 (B.S. vom 10. Februar 2021) - in Kraft am 1. Januar 2025 -</w:t>
      </w:r>
      <w:r w:rsidR="005B358C">
        <w:rPr>
          <w:i/>
          <w:iCs/>
          <w:sz w:val="20"/>
        </w:rPr>
        <w:t>, selbst aufgehoben durch Art. 213</w:t>
      </w:r>
      <w:r w:rsidR="005B358C" w:rsidRPr="00BA49EE">
        <w:rPr>
          <w:i/>
          <w:iCs/>
          <w:sz w:val="20"/>
        </w:rPr>
        <w:t xml:space="preserve"> des G. vom 12. Mai 2024 (B.S. vom 30. Mai 2024)</w:t>
      </w:r>
      <w:r w:rsidR="005B358C">
        <w:rPr>
          <w:i/>
          <w:iCs/>
          <w:sz w:val="20"/>
        </w:rPr>
        <w:t xml:space="preserve">, und durch </w:t>
      </w:r>
      <w:r w:rsidR="00641EC6">
        <w:rPr>
          <w:i/>
          <w:iCs/>
          <w:sz w:val="20"/>
        </w:rPr>
        <w:t>Art. 6</w:t>
      </w:r>
      <w:r w:rsidR="00641EC6" w:rsidRPr="00641EC6">
        <w:rPr>
          <w:i/>
          <w:iCs/>
          <w:sz w:val="20"/>
        </w:rPr>
        <w:t xml:space="preserve"> des G. vom 12. Mai 2024 (B.S. vom 30. Mai 2024) - </w:t>
      </w:r>
      <w:r w:rsidR="00A54224">
        <w:rPr>
          <w:i/>
          <w:iCs/>
          <w:sz w:val="20"/>
        </w:rPr>
        <w:t xml:space="preserve">in Kraft für alle oder bestimmte Kategorien von Inhabern einer Unternehmensnummer sowie für natürliche Personen an dem jeweils vom König festzulegenden Datum und spätestens am </w:t>
      </w:r>
      <w:r w:rsidR="00CC23FF">
        <w:rPr>
          <w:i/>
          <w:iCs/>
          <w:sz w:val="20"/>
        </w:rPr>
        <w:t>1. Januar 2028 </w:t>
      </w:r>
      <w:r w:rsidR="00641EC6" w:rsidRPr="00641EC6">
        <w:rPr>
          <w:i/>
          <w:iCs/>
          <w:sz w:val="20"/>
        </w:rPr>
        <w:t>-</w:t>
      </w:r>
      <w:r w:rsidRPr="00745FC3">
        <w:rPr>
          <w:i/>
          <w:iCs/>
          <w:sz w:val="20"/>
        </w:rPr>
        <w:t>]</w:t>
      </w:r>
      <w:r w:rsidR="00641EC6">
        <w:rPr>
          <w:sz w:val="20"/>
        </w:rPr>
        <w:t>"</w:t>
      </w:r>
    </w:p>
    <w:p w14:paraId="292F63BF" w14:textId="200602B6" w:rsidR="00437343" w:rsidRPr="009118AB" w:rsidRDefault="00437343" w:rsidP="00437343">
      <w:pPr>
        <w:autoSpaceDE w:val="0"/>
        <w:autoSpaceDN w:val="0"/>
        <w:adjustRightInd w:val="0"/>
        <w:jc w:val="both"/>
      </w:pPr>
    </w:p>
    <w:p w14:paraId="21A2C20E" w14:textId="77777777" w:rsidR="00437343" w:rsidRPr="009118AB" w:rsidRDefault="00437343" w:rsidP="00437343">
      <w:pPr>
        <w:autoSpaceDE w:val="0"/>
        <w:autoSpaceDN w:val="0"/>
        <w:adjustRightInd w:val="0"/>
        <w:jc w:val="both"/>
      </w:pPr>
    </w:p>
    <w:p w14:paraId="768FE0BA" w14:textId="3B46D0F2" w:rsidR="0057525B" w:rsidRPr="009118AB" w:rsidRDefault="00A736B9" w:rsidP="00483491">
      <w:pPr>
        <w:ind w:firstLine="720"/>
        <w:jc w:val="both"/>
        <w:rPr>
          <w:iCs/>
        </w:rPr>
      </w:pPr>
      <w:r w:rsidRPr="009118AB">
        <w:t>[</w:t>
      </w:r>
      <w:r w:rsidR="00D67EB8" w:rsidRPr="009118AB">
        <w:rPr>
          <w:b/>
        </w:rPr>
        <w:t>Art. </w:t>
      </w:r>
      <w:r w:rsidRPr="009118AB">
        <w:rPr>
          <w:b/>
        </w:rPr>
        <w:t>185</w:t>
      </w:r>
      <w:r w:rsidRPr="009118AB">
        <w:rPr>
          <w:b/>
          <w:i/>
          <w:iCs/>
        </w:rPr>
        <w:t>ter</w:t>
      </w:r>
      <w:r w:rsidR="00D67EB8" w:rsidRPr="009118AB">
        <w:t> - </w:t>
      </w:r>
      <w:r w:rsidR="0057525B" w:rsidRPr="009118AB">
        <w:rPr>
          <w:iCs/>
        </w:rPr>
        <w:t>[...]]</w:t>
      </w:r>
    </w:p>
    <w:p w14:paraId="08AD49E4" w14:textId="77777777" w:rsidR="0057525B" w:rsidRPr="009118AB" w:rsidRDefault="0057525B" w:rsidP="0057525B">
      <w:pPr>
        <w:autoSpaceDE w:val="0"/>
        <w:autoSpaceDN w:val="0"/>
        <w:adjustRightInd w:val="0"/>
        <w:jc w:val="both"/>
        <w:rPr>
          <w:iCs/>
        </w:rPr>
      </w:pPr>
    </w:p>
    <w:p w14:paraId="7AF86F4A" w14:textId="38AB621F" w:rsidR="0057525B" w:rsidRPr="009118AB" w:rsidRDefault="0057525B" w:rsidP="0057525B">
      <w:pPr>
        <w:autoSpaceDE w:val="0"/>
        <w:autoSpaceDN w:val="0"/>
        <w:adjustRightInd w:val="0"/>
        <w:jc w:val="both"/>
        <w:rPr>
          <w:iCs/>
        </w:rPr>
      </w:pPr>
      <w:r w:rsidRPr="009118AB">
        <w:rPr>
          <w:i/>
          <w:iCs/>
        </w:rPr>
        <w:t xml:space="preserve">[Art.185ter eingefügt durch </w:t>
      </w:r>
      <w:r w:rsidR="00D67EB8" w:rsidRPr="009118AB">
        <w:rPr>
          <w:i/>
          <w:iCs/>
        </w:rPr>
        <w:t>Art. </w:t>
      </w:r>
      <w:r w:rsidRPr="009118AB">
        <w:rPr>
          <w:i/>
          <w:iCs/>
        </w:rPr>
        <w:t>83 des G. vom 27. April 2007 (I) (B.S. vom 8. Mai 2007)</w:t>
      </w:r>
      <w:r w:rsidR="00D67EB8" w:rsidRPr="009118AB">
        <w:rPr>
          <w:i/>
          <w:iCs/>
        </w:rPr>
        <w:t> - </w:t>
      </w:r>
      <w:r w:rsidRPr="009118AB">
        <w:rPr>
          <w:i/>
          <w:iCs/>
        </w:rPr>
        <w:t>wirksam mit 1. April 2007</w:t>
      </w:r>
      <w:r w:rsidR="00D67EB8" w:rsidRPr="009118AB">
        <w:rPr>
          <w:i/>
          <w:iCs/>
        </w:rPr>
        <w:t> - </w:t>
      </w:r>
      <w:r w:rsidRPr="009118AB">
        <w:rPr>
          <w:i/>
          <w:iCs/>
        </w:rPr>
        <w:t xml:space="preserve">und aufgehoben durch </w:t>
      </w:r>
      <w:r w:rsidR="00D67EB8" w:rsidRPr="009118AB">
        <w:rPr>
          <w:i/>
          <w:iCs/>
        </w:rPr>
        <w:t>Art. </w:t>
      </w:r>
      <w:r w:rsidRPr="009118AB">
        <w:rPr>
          <w:i/>
          <w:iCs/>
        </w:rPr>
        <w:t xml:space="preserve">21 </w:t>
      </w:r>
      <w:r w:rsidR="00D67EB8" w:rsidRPr="009118AB">
        <w:rPr>
          <w:i/>
          <w:iCs/>
        </w:rPr>
        <w:t>Nr. </w:t>
      </w:r>
      <w:r w:rsidRPr="009118AB">
        <w:rPr>
          <w:i/>
          <w:iCs/>
        </w:rPr>
        <w:t>2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FD68E8" w:rsidRPr="009118AB">
        <w:rPr>
          <w:i/>
          <w:iCs/>
        </w:rPr>
        <w:t> -]</w:t>
      </w:r>
    </w:p>
    <w:p w14:paraId="27D26451" w14:textId="77777777" w:rsidR="0057525B" w:rsidRPr="009118AB" w:rsidRDefault="0057525B" w:rsidP="0057525B">
      <w:pPr>
        <w:autoSpaceDE w:val="0"/>
        <w:autoSpaceDN w:val="0"/>
        <w:adjustRightInd w:val="0"/>
        <w:jc w:val="both"/>
      </w:pPr>
    </w:p>
    <w:p w14:paraId="0B71947F" w14:textId="77777777" w:rsidR="00D01539" w:rsidRPr="009118AB" w:rsidRDefault="00D01539" w:rsidP="0057525B">
      <w:pPr>
        <w:autoSpaceDE w:val="0"/>
        <w:autoSpaceDN w:val="0"/>
        <w:adjustRightInd w:val="0"/>
        <w:jc w:val="both"/>
      </w:pPr>
    </w:p>
    <w:p w14:paraId="31AA45FC" w14:textId="04798F09" w:rsidR="00D01539" w:rsidRPr="009118AB" w:rsidRDefault="00D01539" w:rsidP="00D01539">
      <w:pPr>
        <w:autoSpaceDE w:val="0"/>
        <w:autoSpaceDN w:val="0"/>
        <w:adjustRightInd w:val="0"/>
        <w:jc w:val="both"/>
        <w:rPr>
          <w:iCs/>
        </w:rPr>
      </w:pPr>
      <w:r w:rsidRPr="009118AB">
        <w:tab/>
        <w:t>[</w:t>
      </w:r>
      <w:r w:rsidR="00D67EB8" w:rsidRPr="009118AB">
        <w:rPr>
          <w:b/>
        </w:rPr>
        <w:t>Art. </w:t>
      </w:r>
      <w:r w:rsidRPr="009118AB">
        <w:rPr>
          <w:b/>
        </w:rPr>
        <w:t>185</w:t>
      </w:r>
      <w:r w:rsidRPr="009118AB">
        <w:rPr>
          <w:b/>
          <w:i/>
        </w:rPr>
        <w:t>quater</w:t>
      </w:r>
      <w:r w:rsidR="00D67EB8" w:rsidRPr="009118AB">
        <w:t> - </w:t>
      </w:r>
      <w:r w:rsidRPr="009118AB">
        <w:rPr>
          <w:iCs/>
        </w:rPr>
        <w:t>[…]]</w:t>
      </w:r>
    </w:p>
    <w:p w14:paraId="6C4B9535" w14:textId="77777777" w:rsidR="00D01539" w:rsidRPr="009118AB" w:rsidRDefault="00D01539" w:rsidP="00D01539">
      <w:pPr>
        <w:autoSpaceDE w:val="0"/>
        <w:autoSpaceDN w:val="0"/>
        <w:adjustRightInd w:val="0"/>
        <w:jc w:val="both"/>
        <w:rPr>
          <w:iCs/>
        </w:rPr>
      </w:pPr>
    </w:p>
    <w:p w14:paraId="14BDE122" w14:textId="49A36CFD" w:rsidR="00A150F8" w:rsidRDefault="00D01539" w:rsidP="00A736B9">
      <w:pPr>
        <w:autoSpaceDE w:val="0"/>
        <w:autoSpaceDN w:val="0"/>
        <w:adjustRightInd w:val="0"/>
        <w:jc w:val="both"/>
        <w:rPr>
          <w:i/>
        </w:rPr>
      </w:pPr>
      <w:r w:rsidRPr="009118AB">
        <w:rPr>
          <w:i/>
        </w:rPr>
        <w:t>[</w:t>
      </w:r>
      <w:r w:rsidR="00D67EB8" w:rsidRPr="009118AB">
        <w:rPr>
          <w:i/>
        </w:rPr>
        <w:t>Art. </w:t>
      </w:r>
      <w:r w:rsidRPr="009118AB">
        <w:rPr>
          <w:i/>
        </w:rPr>
        <w:t xml:space="preserve">185quater eingefügt durch </w:t>
      </w:r>
      <w:r w:rsidR="00D67EB8" w:rsidRPr="009118AB">
        <w:rPr>
          <w:i/>
        </w:rPr>
        <w:t>Art. </w:t>
      </w:r>
      <w:r w:rsidRPr="009118AB">
        <w:rPr>
          <w:i/>
        </w:rPr>
        <w:t>56 des G. vom 8. Juni 2008 (B.S. vom 16. Juni 2008)</w:t>
      </w:r>
      <w:r w:rsidR="00D67EB8" w:rsidRPr="009118AB">
        <w:rPr>
          <w:i/>
        </w:rPr>
        <w:t> - </w:t>
      </w:r>
      <w:r w:rsidRPr="009118AB">
        <w:rPr>
          <w:i/>
        </w:rPr>
        <w:t>anwendbar auf die ab dem 1. Januar 2009 gemachten oder getragenen Kosten</w:t>
      </w:r>
      <w:r w:rsidR="00D67EB8" w:rsidRPr="009118AB">
        <w:rPr>
          <w:i/>
        </w:rPr>
        <w:t> - </w:t>
      </w:r>
      <w:r w:rsidRPr="009118AB">
        <w:rPr>
          <w:i/>
        </w:rPr>
        <w:t xml:space="preserve">und aufgehoben durch </w:t>
      </w:r>
      <w:r w:rsidR="00D67EB8" w:rsidRPr="009118AB">
        <w:rPr>
          <w:i/>
        </w:rPr>
        <w:t>Art. </w:t>
      </w:r>
      <w:r w:rsidRPr="009118AB">
        <w:rPr>
          <w:i/>
        </w:rPr>
        <w:t>4 des G. vom 30. Juli 2018 (I) (B.S. vom 10. August 2018)</w:t>
      </w:r>
      <w:r w:rsidR="00D67EB8" w:rsidRPr="009118AB">
        <w:rPr>
          <w:i/>
        </w:rPr>
        <w:t> - </w:t>
      </w:r>
      <w:r w:rsidRPr="009118AB">
        <w:rPr>
          <w:i/>
        </w:rPr>
        <w:t>in Kraft am 1. Januar 2020 und anwendbar ab dem Steuerjahr 2021, das sich auf einen Besteuerungszeitraum bezieht, der frühestens am 1. Januar 2020 beginnt</w:t>
      </w:r>
      <w:r w:rsidR="00FD68E8" w:rsidRPr="009118AB">
        <w:rPr>
          <w:i/>
        </w:rPr>
        <w:t> -]</w:t>
      </w:r>
    </w:p>
    <w:p w14:paraId="101CCB7F" w14:textId="77777777" w:rsidR="00B17558" w:rsidRDefault="00B17558" w:rsidP="00A736B9">
      <w:pPr>
        <w:autoSpaceDE w:val="0"/>
        <w:autoSpaceDN w:val="0"/>
        <w:adjustRightInd w:val="0"/>
        <w:jc w:val="both"/>
        <w:rPr>
          <w:i/>
        </w:rPr>
      </w:pPr>
    </w:p>
    <w:p w14:paraId="09DEDF97" w14:textId="77777777" w:rsidR="00B17558" w:rsidRDefault="00B17558" w:rsidP="00A736B9">
      <w:pPr>
        <w:autoSpaceDE w:val="0"/>
        <w:autoSpaceDN w:val="0"/>
        <w:adjustRightInd w:val="0"/>
        <w:jc w:val="both"/>
        <w:rPr>
          <w:i/>
        </w:rPr>
      </w:pPr>
    </w:p>
    <w:p w14:paraId="6D902C52" w14:textId="404FABE7" w:rsidR="00A150F8" w:rsidRPr="009118AB" w:rsidRDefault="00A150F8" w:rsidP="00A736B9">
      <w:pPr>
        <w:autoSpaceDE w:val="0"/>
        <w:autoSpaceDN w:val="0"/>
        <w:adjustRightInd w:val="0"/>
        <w:jc w:val="both"/>
        <w:rPr>
          <w:iCs/>
        </w:rPr>
      </w:pPr>
      <w:r w:rsidRPr="009118AB">
        <w:rPr>
          <w:iCs/>
        </w:rPr>
        <w:tab/>
        <w:t>[</w:t>
      </w:r>
      <w:r w:rsidR="00D67EB8" w:rsidRPr="009118AB">
        <w:rPr>
          <w:b/>
        </w:rPr>
        <w:t>Art. </w:t>
      </w:r>
      <w:r w:rsidR="009975E3" w:rsidRPr="009118AB">
        <w:rPr>
          <w:b/>
        </w:rPr>
        <w:t>185</w:t>
      </w:r>
      <w:r w:rsidR="009975E3" w:rsidRPr="009118AB">
        <w:rPr>
          <w:b/>
          <w:i/>
          <w:iCs/>
        </w:rPr>
        <w:t>quinquies</w:t>
      </w:r>
      <w:r w:rsidR="00D67EB8" w:rsidRPr="009118AB">
        <w:t> - </w:t>
      </w:r>
      <w:r w:rsidR="009975E3" w:rsidRPr="009118AB">
        <w:t xml:space="preserve">Artikel 25 </w:t>
      </w:r>
      <w:r w:rsidR="00D67EB8" w:rsidRPr="009118AB">
        <w:t>Nr. </w:t>
      </w:r>
      <w:r w:rsidR="009975E3" w:rsidRPr="009118AB">
        <w:t>7 ist nicht anwendbar.</w:t>
      </w:r>
      <w:r w:rsidRPr="009118AB">
        <w:rPr>
          <w:iCs/>
        </w:rPr>
        <w:t>]</w:t>
      </w:r>
    </w:p>
    <w:p w14:paraId="3DED2F3E" w14:textId="4F3A25FA" w:rsidR="009975E3" w:rsidRPr="009118AB" w:rsidRDefault="009975E3" w:rsidP="00A736B9">
      <w:pPr>
        <w:autoSpaceDE w:val="0"/>
        <w:autoSpaceDN w:val="0"/>
        <w:adjustRightInd w:val="0"/>
        <w:jc w:val="both"/>
        <w:rPr>
          <w:iCs/>
        </w:rPr>
      </w:pPr>
    </w:p>
    <w:p w14:paraId="04CFDA77" w14:textId="7BB11AFE" w:rsidR="009975E3" w:rsidRPr="009118AB" w:rsidRDefault="009975E3" w:rsidP="00A736B9">
      <w:pPr>
        <w:autoSpaceDE w:val="0"/>
        <w:autoSpaceDN w:val="0"/>
        <w:adjustRightInd w:val="0"/>
        <w:jc w:val="both"/>
        <w:rPr>
          <w:i/>
          <w:iCs/>
        </w:rPr>
      </w:pPr>
      <w:r w:rsidRPr="009118AB">
        <w:rPr>
          <w:i/>
          <w:iCs/>
        </w:rPr>
        <w:t>[</w:t>
      </w:r>
      <w:r w:rsidR="00D67EB8" w:rsidRPr="009118AB">
        <w:rPr>
          <w:i/>
          <w:iCs/>
        </w:rPr>
        <w:t>Art. </w:t>
      </w:r>
      <w:r w:rsidRPr="009118AB">
        <w:rPr>
          <w:i/>
          <w:iCs/>
        </w:rPr>
        <w:t xml:space="preserve">185quinquies eingefügt durch </w:t>
      </w:r>
      <w:r w:rsidR="00D67EB8" w:rsidRPr="009118AB">
        <w:rPr>
          <w:i/>
          <w:iCs/>
        </w:rPr>
        <w:t>Art. </w:t>
      </w:r>
      <w:r w:rsidRPr="009118AB">
        <w:rPr>
          <w:i/>
          <w:iCs/>
        </w:rPr>
        <w:t>18 des G. vom 23. Juni 2020 (B.S. vom 1. Juli 2020)]</w:t>
      </w:r>
    </w:p>
    <w:p w14:paraId="7A427614" w14:textId="77777777" w:rsidR="009975E3" w:rsidRPr="009118AB" w:rsidRDefault="009975E3" w:rsidP="00A736B9">
      <w:pPr>
        <w:autoSpaceDE w:val="0"/>
        <w:autoSpaceDN w:val="0"/>
        <w:adjustRightInd w:val="0"/>
        <w:jc w:val="both"/>
        <w:rPr>
          <w:i/>
          <w:iCs/>
        </w:rPr>
      </w:pPr>
    </w:p>
    <w:p w14:paraId="19DD71BC" w14:textId="77777777" w:rsidR="00D01539" w:rsidRPr="009118AB" w:rsidRDefault="00D01539" w:rsidP="00A736B9">
      <w:pPr>
        <w:autoSpaceDE w:val="0"/>
        <w:autoSpaceDN w:val="0"/>
        <w:adjustRightInd w:val="0"/>
        <w:jc w:val="both"/>
        <w:rPr>
          <w:iCs/>
        </w:rPr>
      </w:pPr>
    </w:p>
    <w:p w14:paraId="00622872" w14:textId="6AD9C1A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186</w:t>
      </w:r>
      <w:r w:rsidR="00D67EB8" w:rsidRPr="009118AB">
        <w:t> - </w:t>
      </w:r>
      <w:r w:rsidRPr="009118AB">
        <w:t>Erwirbt eine Gesellschaft auf gleich welche Weise ihre eigenen Aktien oder Anteile, gilt die Plusdifferenz zwischen dem Erwerbspreis oder in Ermangelung eines Erwerbspreises zwischen dem Wert dieser Aktien oder Anteile und dem Anteil des neu bewerteten Wertes des eingezahlten Kapitals, das durch diese Aktien oder Anteile vertreten wird, als ausgeschüttete Dividende.</w:t>
      </w:r>
    </w:p>
    <w:p w14:paraId="50B647AC" w14:textId="77777777" w:rsidR="00FB6901" w:rsidRPr="009118AB" w:rsidRDefault="00FB6901" w:rsidP="00477B8F">
      <w:pPr>
        <w:autoSpaceDE w:val="0"/>
        <w:autoSpaceDN w:val="0"/>
        <w:adjustRightInd w:val="0"/>
      </w:pPr>
    </w:p>
    <w:p w14:paraId="7BE87C68" w14:textId="30ADA222" w:rsidR="00477B8F" w:rsidRPr="009118AB" w:rsidRDefault="00477B8F" w:rsidP="00457916">
      <w:pPr>
        <w:autoSpaceDE w:val="0"/>
        <w:autoSpaceDN w:val="0"/>
        <w:adjustRightInd w:val="0"/>
        <w:jc w:val="both"/>
      </w:pPr>
      <w:r w:rsidRPr="009118AB">
        <w:tab/>
        <w:t xml:space="preserve">Werden die Aktien oder Anteile vor Auflösung </w:t>
      </w:r>
      <w:r w:rsidR="00305F77" w:rsidRPr="009118AB">
        <w:t>[…]</w:t>
      </w:r>
      <w:r w:rsidRPr="009118AB">
        <w:t xml:space="preserve"> der Gesellschaft </w:t>
      </w:r>
      <w:r w:rsidR="00D01539" w:rsidRPr="009118AB">
        <w:t>[unter den im Gesetzbuch der Gesellschaften und Vereinigungen vorgeschriebenen Bedingungen erworben oder, wenn die Gesellschaft diesem Gesetzbuch nicht unterliegt, unter den Bedingungen, die durch das Recht der juristischen Personen vorgeschrieben sind, dem sie unterliegt]</w:t>
      </w:r>
      <w:r w:rsidRPr="009118AB">
        <w:t>, ist Absatz 1 nur anwendbar:</w:t>
      </w:r>
    </w:p>
    <w:p w14:paraId="20F991BA" w14:textId="77777777" w:rsidR="00477B8F" w:rsidRPr="009118AB" w:rsidRDefault="00477B8F" w:rsidP="00477B8F">
      <w:pPr>
        <w:autoSpaceDE w:val="0"/>
        <w:autoSpaceDN w:val="0"/>
        <w:adjustRightInd w:val="0"/>
        <w:jc w:val="both"/>
      </w:pPr>
    </w:p>
    <w:p w14:paraId="21584E6F" w14:textId="77777777" w:rsidR="00477B8F" w:rsidRPr="009118AB" w:rsidRDefault="00477B8F" w:rsidP="00477B8F">
      <w:pPr>
        <w:autoSpaceDE w:val="0"/>
        <w:autoSpaceDN w:val="0"/>
        <w:adjustRightInd w:val="0"/>
        <w:jc w:val="both"/>
      </w:pPr>
      <w:r w:rsidRPr="009118AB">
        <w:tab/>
        <w:t>1. wenn Wertminderungen auf die erworbenen Aktien oder Anteile gebucht werden,</w:t>
      </w:r>
    </w:p>
    <w:p w14:paraId="53C5C533" w14:textId="77777777" w:rsidR="00477B8F" w:rsidRPr="009118AB" w:rsidRDefault="00477B8F" w:rsidP="00477B8F">
      <w:pPr>
        <w:autoSpaceDE w:val="0"/>
        <w:autoSpaceDN w:val="0"/>
        <w:adjustRightInd w:val="0"/>
        <w:jc w:val="both"/>
      </w:pPr>
    </w:p>
    <w:p w14:paraId="652B1D4D" w14:textId="77777777" w:rsidR="00477B8F" w:rsidRPr="009118AB" w:rsidRDefault="00477B8F" w:rsidP="00477B8F">
      <w:pPr>
        <w:autoSpaceDE w:val="0"/>
        <w:autoSpaceDN w:val="0"/>
        <w:adjustRightInd w:val="0"/>
        <w:jc w:val="both"/>
      </w:pPr>
      <w:r w:rsidRPr="009118AB">
        <w:tab/>
        <w:t>2. wenn die Aktien oder Anteile veräußert werden,</w:t>
      </w:r>
    </w:p>
    <w:p w14:paraId="421002C4" w14:textId="77777777" w:rsidR="00477B8F" w:rsidRPr="009118AB" w:rsidRDefault="00477B8F" w:rsidP="00477B8F">
      <w:pPr>
        <w:autoSpaceDE w:val="0"/>
        <w:autoSpaceDN w:val="0"/>
        <w:adjustRightInd w:val="0"/>
        <w:jc w:val="both"/>
      </w:pPr>
    </w:p>
    <w:p w14:paraId="7B46F357" w14:textId="77777777" w:rsidR="00477B8F" w:rsidRPr="009118AB" w:rsidRDefault="00477B8F" w:rsidP="00477B8F">
      <w:pPr>
        <w:autoSpaceDE w:val="0"/>
        <w:autoSpaceDN w:val="0"/>
        <w:adjustRightInd w:val="0"/>
        <w:jc w:val="both"/>
      </w:pPr>
      <w:r w:rsidRPr="009118AB">
        <w:tab/>
        <w:t>3. wenn die Aktien oder Anteile vernichtet werden oder von Rechts wegen nichtig sind,</w:t>
      </w:r>
    </w:p>
    <w:p w14:paraId="6BF23E26" w14:textId="77777777" w:rsidR="00477B8F" w:rsidRPr="009118AB" w:rsidRDefault="00477B8F" w:rsidP="00477B8F">
      <w:pPr>
        <w:autoSpaceDE w:val="0"/>
        <w:autoSpaceDN w:val="0"/>
        <w:adjustRightInd w:val="0"/>
        <w:jc w:val="both"/>
      </w:pPr>
    </w:p>
    <w:p w14:paraId="47472739" w14:textId="77777777" w:rsidR="00477B8F" w:rsidRPr="009118AB" w:rsidRDefault="00477B8F" w:rsidP="00477B8F">
      <w:pPr>
        <w:autoSpaceDE w:val="0"/>
        <w:autoSpaceDN w:val="0"/>
        <w:adjustRightInd w:val="0"/>
        <w:jc w:val="both"/>
      </w:pPr>
      <w:r w:rsidRPr="009118AB">
        <w:tab/>
        <w:t xml:space="preserve">4. und spätestens bei Auflösung </w:t>
      </w:r>
      <w:r w:rsidR="00305F77" w:rsidRPr="009118AB">
        <w:t>[…]</w:t>
      </w:r>
      <w:r w:rsidRPr="009118AB">
        <w:t xml:space="preserve"> der Gesellschaft.</w:t>
      </w:r>
    </w:p>
    <w:p w14:paraId="0FB89372" w14:textId="77777777" w:rsidR="00477B8F" w:rsidRPr="009118AB" w:rsidRDefault="00477B8F" w:rsidP="00477B8F">
      <w:pPr>
        <w:autoSpaceDE w:val="0"/>
        <w:autoSpaceDN w:val="0"/>
        <w:adjustRightInd w:val="0"/>
        <w:jc w:val="both"/>
      </w:pPr>
    </w:p>
    <w:p w14:paraId="36FD38CF" w14:textId="6A3C8DB5" w:rsidR="00477B8F" w:rsidRPr="009118AB" w:rsidRDefault="00477B8F" w:rsidP="00477B8F">
      <w:pPr>
        <w:autoSpaceDE w:val="0"/>
        <w:autoSpaceDN w:val="0"/>
        <w:adjustRightInd w:val="0"/>
        <w:jc w:val="both"/>
      </w:pPr>
      <w:r w:rsidRPr="009118AB">
        <w:tab/>
        <w:t xml:space="preserve">In dem in Absatz 2 </w:t>
      </w:r>
      <w:r w:rsidR="00D67EB8" w:rsidRPr="009118AB">
        <w:t>Nr. </w:t>
      </w:r>
      <w:r w:rsidRPr="009118AB">
        <w:t>1 erwähnten Fall ist Absatz 1 nur anwendbar bis zum Betrag der gebuchten Wertminderungen.</w:t>
      </w:r>
    </w:p>
    <w:p w14:paraId="2B79201D" w14:textId="77777777" w:rsidR="00477B8F" w:rsidRPr="009118AB" w:rsidRDefault="00477B8F" w:rsidP="00477B8F">
      <w:pPr>
        <w:autoSpaceDE w:val="0"/>
        <w:autoSpaceDN w:val="0"/>
        <w:adjustRightInd w:val="0"/>
        <w:jc w:val="both"/>
      </w:pPr>
    </w:p>
    <w:p w14:paraId="60D1B3E0" w14:textId="3CD78E20" w:rsidR="00477B8F" w:rsidRPr="009118AB" w:rsidRDefault="00477B8F" w:rsidP="00477B8F">
      <w:pPr>
        <w:autoSpaceDE w:val="0"/>
        <w:autoSpaceDN w:val="0"/>
        <w:adjustRightInd w:val="0"/>
        <w:jc w:val="both"/>
      </w:pPr>
      <w:r w:rsidRPr="009118AB">
        <w:tab/>
        <w:t xml:space="preserve">In dem in Absatz 2 </w:t>
      </w:r>
      <w:r w:rsidR="00D67EB8" w:rsidRPr="009118AB">
        <w:t>Nr. </w:t>
      </w:r>
      <w:r w:rsidRPr="009118AB">
        <w:t>2 erwähnten Fall ist Absatz 1 nur anwendbar bis zur Minusdifferenz zwischen dem Veräußerungspreis und dem Erwerbspreis oder dem Wert der Aktien oder Anteile.</w:t>
      </w:r>
    </w:p>
    <w:p w14:paraId="67EE932E" w14:textId="77777777" w:rsidR="00477B8F" w:rsidRPr="009118AB" w:rsidRDefault="00477B8F" w:rsidP="00477B8F">
      <w:pPr>
        <w:autoSpaceDE w:val="0"/>
        <w:autoSpaceDN w:val="0"/>
        <w:adjustRightInd w:val="0"/>
        <w:jc w:val="both"/>
      </w:pPr>
    </w:p>
    <w:p w14:paraId="469140C0" w14:textId="506E0DA0" w:rsidR="00477B8F" w:rsidRPr="009118AB" w:rsidRDefault="00477B8F" w:rsidP="00477B8F">
      <w:pPr>
        <w:autoSpaceDE w:val="0"/>
        <w:autoSpaceDN w:val="0"/>
        <w:adjustRightInd w:val="0"/>
        <w:jc w:val="both"/>
      </w:pPr>
      <w:r w:rsidRPr="009118AB">
        <w:tab/>
        <w:t xml:space="preserve">In den in Absatz 2 </w:t>
      </w:r>
      <w:r w:rsidR="00D67EB8" w:rsidRPr="009118AB">
        <w:t>Nr. </w:t>
      </w:r>
      <w:r w:rsidRPr="009118AB">
        <w:t xml:space="preserve">2, 3 und 4 erwähnten Fällen wird die Dividende gegebenenfalls um die in </w:t>
      </w:r>
      <w:r w:rsidR="00D67EB8" w:rsidRPr="009118AB">
        <w:t>Nr. </w:t>
      </w:r>
      <w:r w:rsidRPr="009118AB">
        <w:t>1 des vorerwähnten Absatzes erwähnten bereits besteuerten Wertminderungen verringert.</w:t>
      </w:r>
    </w:p>
    <w:p w14:paraId="729C71E1" w14:textId="77777777" w:rsidR="00D01539" w:rsidRPr="009118AB" w:rsidRDefault="00D01539" w:rsidP="00477B8F">
      <w:pPr>
        <w:autoSpaceDE w:val="0"/>
        <w:autoSpaceDN w:val="0"/>
        <w:adjustRightInd w:val="0"/>
        <w:jc w:val="both"/>
      </w:pPr>
    </w:p>
    <w:p w14:paraId="4CC7D340" w14:textId="3FAEFCE9" w:rsidR="00D01539" w:rsidRPr="009118AB" w:rsidRDefault="00D01539" w:rsidP="00D01539">
      <w:pPr>
        <w:jc w:val="both"/>
      </w:pPr>
      <w:r w:rsidRPr="009118AB">
        <w:tab/>
        <w:t xml:space="preserve">[In dem Maße, wie der Erwerb dazu führt, dass die Gesellschaft, die die Aktien oder Anteile ausgegeben hat, eigene Aktien oder Anteile hält, die mehr als 20 Prozent ihres Kapitals vertreten, wird davon ausgegangen, dass die neu erworbenen eigenen Aktien oder Anteile im Sinne von Absatz 2 </w:t>
      </w:r>
      <w:r w:rsidR="00D67EB8" w:rsidRPr="009118AB">
        <w:t>Nr. </w:t>
      </w:r>
      <w:r w:rsidRPr="009118AB">
        <w:t xml:space="preserve">3 vernichtet worden sind. Im Falle eines gleichzeitigen Erwerbs von Aktien oder Anteilen unterschiedlicher Zedenten oder zu unterschiedlichen Anschaffungswerten gibt die Gesellschaft die neu erworbenen Aktien oder Anteile an, von denen davon ausgegangen wird, dass sie vernichtet worden sind. In Ermangelung einer solchen Angabe wird davon ausgegangen, dass die neu erworbenen Aktien oder Anteile im Verhältnis zur Anzahl Aktien oder Anteile pro Zedenten oder pro Anschaffungswert vernichtet worden sind. Solange die Aktien oder Anteile, von denen davon ausgegangen wird, dass sie vernichtet worden sind, gehalten werden, ist ihr Nettosteuerwert gleich null und bildet der Wert, zu dem sie in der Bilanz ausgewiesen sind, einen aufgezeichneten, nicht verwirklichten Mehrwert wie in den Artikeln 44 </w:t>
      </w:r>
      <w:r w:rsidR="00D67EB8" w:rsidRPr="009118AB">
        <w:t>§ </w:t>
      </w:r>
      <w:r w:rsidRPr="009118AB">
        <w:t xml:space="preserve">1 </w:t>
      </w:r>
      <w:r w:rsidR="00D67EB8" w:rsidRPr="009118AB">
        <w:t>Nr. </w:t>
      </w:r>
      <w:r w:rsidRPr="009118AB">
        <w:t>1 und 190 erwähnt.</w:t>
      </w:r>
    </w:p>
    <w:p w14:paraId="290019AA" w14:textId="77777777" w:rsidR="00D01539" w:rsidRPr="009118AB" w:rsidRDefault="00D01539" w:rsidP="00D01539">
      <w:pPr>
        <w:jc w:val="both"/>
      </w:pPr>
    </w:p>
    <w:p w14:paraId="76C9B0DB" w14:textId="5AF449DD" w:rsidR="00D01539" w:rsidRPr="009118AB" w:rsidRDefault="00D01539" w:rsidP="00D01539">
      <w:pPr>
        <w:autoSpaceDE w:val="0"/>
        <w:autoSpaceDN w:val="0"/>
        <w:adjustRightInd w:val="0"/>
        <w:jc w:val="both"/>
      </w:pPr>
      <w:r w:rsidRPr="009118AB">
        <w:tab/>
        <w:t xml:space="preserve">Die Anwendung des vorhergehenden Absatzes hat keine Auswirkung auf die Anwendung von Artikel 192 </w:t>
      </w:r>
      <w:r w:rsidR="00D67EB8" w:rsidRPr="009118AB">
        <w:t>§ </w:t>
      </w:r>
      <w:r w:rsidRPr="009118AB">
        <w:t>1 auf die Gesellschaft, die eigene Aktien oder Anteile veräußert, die sie gehalten hat.]</w:t>
      </w:r>
    </w:p>
    <w:p w14:paraId="4D6DD4F3" w14:textId="77777777" w:rsidR="00305F77" w:rsidRPr="009118AB" w:rsidRDefault="00305F77" w:rsidP="00477B8F">
      <w:pPr>
        <w:autoSpaceDE w:val="0"/>
        <w:autoSpaceDN w:val="0"/>
        <w:adjustRightInd w:val="0"/>
        <w:jc w:val="both"/>
      </w:pPr>
    </w:p>
    <w:p w14:paraId="098F47E5" w14:textId="1379AB1A" w:rsidR="00305F77" w:rsidRPr="009118AB" w:rsidRDefault="00035E98" w:rsidP="00477B8F">
      <w:pPr>
        <w:autoSpaceDE w:val="0"/>
        <w:autoSpaceDN w:val="0"/>
        <w:adjustRightInd w:val="0"/>
        <w:jc w:val="both"/>
        <w:rPr>
          <w:i/>
        </w:rPr>
      </w:pPr>
      <w:r w:rsidRPr="009118AB">
        <w:rPr>
          <w:i/>
        </w:rPr>
        <w:t>[</w:t>
      </w:r>
      <w:r w:rsidR="00D67EB8" w:rsidRPr="009118AB">
        <w:rPr>
          <w:i/>
        </w:rPr>
        <w:t>Art. </w:t>
      </w:r>
      <w:r w:rsidRPr="009118AB">
        <w:rPr>
          <w:i/>
        </w:rPr>
        <w:t xml:space="preserve">186 </w:t>
      </w:r>
      <w:r w:rsidR="00D67EB8" w:rsidRPr="009118AB">
        <w:rPr>
          <w:i/>
        </w:rPr>
        <w:t>Abs. </w:t>
      </w:r>
      <w:r w:rsidR="00305F77" w:rsidRPr="009118AB">
        <w:rPr>
          <w:i/>
        </w:rPr>
        <w:t>2 einleitende B</w:t>
      </w:r>
      <w:r w:rsidRPr="009118AB">
        <w:rPr>
          <w:i/>
        </w:rPr>
        <w:t xml:space="preserve">estimmung abgeändert durch </w:t>
      </w:r>
      <w:r w:rsidR="00D67EB8" w:rsidRPr="009118AB">
        <w:rPr>
          <w:i/>
        </w:rPr>
        <w:t>Art. </w:t>
      </w:r>
      <w:r w:rsidR="00305F77" w:rsidRPr="009118AB">
        <w:rPr>
          <w:i/>
        </w:rPr>
        <w:t xml:space="preserve">56 </w:t>
      </w:r>
      <w:r w:rsidR="00D67EB8" w:rsidRPr="009118AB">
        <w:rPr>
          <w:i/>
        </w:rPr>
        <w:t>Nr. </w:t>
      </w:r>
      <w:r w:rsidR="00305F77" w:rsidRPr="009118AB">
        <w:rPr>
          <w:i/>
        </w:rPr>
        <w:t>1</w:t>
      </w:r>
      <w:r w:rsidR="00305F77" w:rsidRPr="009118AB">
        <w:rPr>
          <w:i/>
          <w:iCs/>
        </w:rPr>
        <w:t xml:space="preserve"> des </w:t>
      </w:r>
      <w:r w:rsidRPr="009118AB">
        <w:rPr>
          <w:i/>
          <w:iCs/>
        </w:rPr>
        <w:t>G. vom 22. Dezember 2009 </w:t>
      </w:r>
      <w:r w:rsidR="00DC1F9F" w:rsidRPr="009118AB">
        <w:rPr>
          <w:i/>
          <w:iCs/>
        </w:rPr>
        <w:t>(I)</w:t>
      </w:r>
      <w:r w:rsidR="00305F77" w:rsidRPr="009118AB">
        <w:rPr>
          <w:i/>
          <w:iCs/>
        </w:rPr>
        <w:t xml:space="preserve"> (B.S. vom</w:t>
      </w:r>
      <w:r w:rsidRPr="009118AB">
        <w:rPr>
          <w:i/>
          <w:iCs/>
        </w:rPr>
        <w:t xml:space="preserve"> 31. Dezember 2009</w:t>
      </w:r>
      <w:r w:rsidR="00D01539" w:rsidRPr="009118AB">
        <w:rPr>
          <w:i/>
          <w:iCs/>
        </w:rPr>
        <w:t xml:space="preserve"> und </w:t>
      </w:r>
      <w:r w:rsidR="00D67EB8" w:rsidRPr="009118AB">
        <w:rPr>
          <w:i/>
          <w:iCs/>
        </w:rPr>
        <w:t>Art. </w:t>
      </w:r>
      <w:r w:rsidR="00D01539" w:rsidRPr="009118AB">
        <w:rPr>
          <w:i/>
          <w:iCs/>
        </w:rPr>
        <w:t xml:space="preserve">29 </w:t>
      </w:r>
      <w:r w:rsidR="00D67EB8" w:rsidRPr="009118AB">
        <w:rPr>
          <w:i/>
          <w:iCs/>
        </w:rPr>
        <w:t>Nr. </w:t>
      </w:r>
      <w:r w:rsidR="00D01539" w:rsidRPr="009118AB">
        <w:rPr>
          <w:i/>
          <w:iCs/>
        </w:rPr>
        <w:t>1</w:t>
      </w:r>
      <w:r w:rsidR="00D01539" w:rsidRPr="009118AB">
        <w:rPr>
          <w:i/>
          <w:iCs/>
          <w:spacing w:val="-2"/>
        </w:rPr>
        <w:t xml:space="preserve"> des G. vom 17. März 2019 (III) (B.S. vom 10. Mai 2019)</w:t>
      </w:r>
      <w:r w:rsidR="00D67EB8" w:rsidRPr="009118AB">
        <w:rPr>
          <w:i/>
          <w:iCs/>
          <w:spacing w:val="-2"/>
        </w:rPr>
        <w:t> - </w:t>
      </w:r>
      <w:r w:rsidR="00D01539" w:rsidRPr="009118AB">
        <w:rPr>
          <w:i/>
          <w:iCs/>
          <w:spacing w:val="-2"/>
        </w:rPr>
        <w:t>in Kraft am 1. Mai 2019</w:t>
      </w:r>
      <w:r w:rsidR="003366D9" w:rsidRPr="009118AB">
        <w:rPr>
          <w:i/>
          <w:iCs/>
          <w:spacing w:val="-2"/>
        </w:rPr>
        <w:t> -;</w:t>
      </w:r>
      <w:r w:rsidRPr="009118AB">
        <w:rPr>
          <w:i/>
          <w:iCs/>
        </w:rPr>
        <w:t xml:space="preserve"> </w:t>
      </w:r>
      <w:r w:rsidR="00D67EB8" w:rsidRPr="009118AB">
        <w:rPr>
          <w:i/>
          <w:iCs/>
        </w:rPr>
        <w:t>Abs. </w:t>
      </w:r>
      <w:r w:rsidRPr="009118AB">
        <w:rPr>
          <w:i/>
          <w:iCs/>
        </w:rPr>
        <w:t xml:space="preserve">2 </w:t>
      </w:r>
      <w:r w:rsidR="00D67EB8" w:rsidRPr="009118AB">
        <w:rPr>
          <w:i/>
          <w:iCs/>
        </w:rPr>
        <w:t>Nr. </w:t>
      </w:r>
      <w:r w:rsidR="00305F77" w:rsidRPr="009118AB">
        <w:rPr>
          <w:i/>
          <w:iCs/>
        </w:rPr>
        <w:t>4 abgeändert du</w:t>
      </w:r>
      <w:r w:rsidRPr="009118AB">
        <w:rPr>
          <w:i/>
          <w:iCs/>
        </w:rPr>
        <w:t xml:space="preserve">rch </w:t>
      </w:r>
      <w:r w:rsidR="00D67EB8" w:rsidRPr="009118AB">
        <w:rPr>
          <w:i/>
          <w:iCs/>
        </w:rPr>
        <w:t>Art. </w:t>
      </w:r>
      <w:r w:rsidR="00305F77" w:rsidRPr="009118AB">
        <w:rPr>
          <w:i/>
          <w:iCs/>
        </w:rPr>
        <w:t xml:space="preserve">56 </w:t>
      </w:r>
      <w:r w:rsidR="00D67EB8" w:rsidRPr="009118AB">
        <w:rPr>
          <w:i/>
          <w:iCs/>
        </w:rPr>
        <w:t>Nr. </w:t>
      </w:r>
      <w:r w:rsidR="00305F77" w:rsidRPr="009118AB">
        <w:rPr>
          <w:i/>
          <w:iCs/>
        </w:rPr>
        <w:t xml:space="preserve">2 des </w:t>
      </w:r>
      <w:r w:rsidRPr="009118AB">
        <w:rPr>
          <w:i/>
          <w:iCs/>
        </w:rPr>
        <w:t>G. vom 22. Dezember 2009 </w:t>
      </w:r>
      <w:r w:rsidR="00DC1F9F" w:rsidRPr="009118AB">
        <w:rPr>
          <w:i/>
          <w:iCs/>
        </w:rPr>
        <w:t>(I)</w:t>
      </w:r>
      <w:r w:rsidR="00305F77" w:rsidRPr="009118AB">
        <w:rPr>
          <w:i/>
          <w:iCs/>
        </w:rPr>
        <w:t xml:space="preserve"> (B.S. vom 31. Dezember 2009)</w:t>
      </w:r>
      <w:r w:rsidR="00D01539" w:rsidRPr="009118AB">
        <w:rPr>
          <w:i/>
          <w:iCs/>
        </w:rPr>
        <w:t xml:space="preserve">; </w:t>
      </w:r>
      <w:r w:rsidR="00D67EB8" w:rsidRPr="009118AB">
        <w:rPr>
          <w:i/>
          <w:iCs/>
        </w:rPr>
        <w:t>Abs. </w:t>
      </w:r>
      <w:r w:rsidR="00D01539" w:rsidRPr="009118AB">
        <w:rPr>
          <w:i/>
          <w:iCs/>
        </w:rPr>
        <w:t xml:space="preserve">6 und 7 eingefügt durch </w:t>
      </w:r>
      <w:r w:rsidR="00D67EB8" w:rsidRPr="009118AB">
        <w:rPr>
          <w:i/>
          <w:iCs/>
        </w:rPr>
        <w:t>Art. </w:t>
      </w:r>
      <w:r w:rsidR="00D01539" w:rsidRPr="009118AB">
        <w:rPr>
          <w:i/>
          <w:iCs/>
        </w:rPr>
        <w:t xml:space="preserve">29 </w:t>
      </w:r>
      <w:r w:rsidR="00D67EB8" w:rsidRPr="009118AB">
        <w:rPr>
          <w:i/>
          <w:iCs/>
        </w:rPr>
        <w:t>Nr. </w:t>
      </w:r>
      <w:r w:rsidR="00D01539" w:rsidRPr="009118AB">
        <w:rPr>
          <w:i/>
          <w:iCs/>
        </w:rPr>
        <w:t>2</w:t>
      </w:r>
      <w:r w:rsidR="00D01539" w:rsidRPr="009118AB">
        <w:rPr>
          <w:i/>
          <w:iCs/>
          <w:spacing w:val="-2"/>
        </w:rPr>
        <w:t xml:space="preserve"> des G. vom 17. März 2019 (III) (B.S. vom 10. Mai 2019)</w:t>
      </w:r>
      <w:r w:rsidR="00D67EB8" w:rsidRPr="009118AB">
        <w:rPr>
          <w:i/>
          <w:iCs/>
          <w:spacing w:val="-2"/>
        </w:rPr>
        <w:t> - </w:t>
      </w:r>
      <w:r w:rsidR="00D01539" w:rsidRPr="009118AB">
        <w:rPr>
          <w:i/>
          <w:iCs/>
          <w:spacing w:val="-2"/>
        </w:rPr>
        <w:t>in Kraft am 1. Mai 2019</w:t>
      </w:r>
      <w:r w:rsidR="00FD68E8" w:rsidRPr="009118AB">
        <w:rPr>
          <w:i/>
          <w:iCs/>
          <w:spacing w:val="-2"/>
        </w:rPr>
        <w:t> -]</w:t>
      </w:r>
    </w:p>
    <w:p w14:paraId="58C5D8F5" w14:textId="77777777" w:rsidR="00477B8F" w:rsidRPr="009118AB" w:rsidRDefault="00477B8F" w:rsidP="00477B8F">
      <w:pPr>
        <w:autoSpaceDE w:val="0"/>
        <w:autoSpaceDN w:val="0"/>
        <w:adjustRightInd w:val="0"/>
        <w:jc w:val="both"/>
      </w:pPr>
    </w:p>
    <w:p w14:paraId="392114C2" w14:textId="77777777" w:rsidR="00477B8F" w:rsidRPr="009118AB" w:rsidRDefault="00477B8F" w:rsidP="00477B8F">
      <w:pPr>
        <w:autoSpaceDE w:val="0"/>
        <w:autoSpaceDN w:val="0"/>
        <w:adjustRightInd w:val="0"/>
        <w:jc w:val="both"/>
      </w:pPr>
    </w:p>
    <w:p w14:paraId="45262394" w14:textId="2C0FA2D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187</w:t>
      </w:r>
      <w:r w:rsidR="00D67EB8" w:rsidRPr="009118AB">
        <w:t> - </w:t>
      </w:r>
      <w:r w:rsidRPr="009118AB">
        <w:t>Im Falle einer Teilverteilung des Gesellschaftsvermögens einer Gesellschaft aufgrund des Todes, des Austritts oder der Ausschließung eines Gesellschafters gilt als ausgeschüttete Dividende die Plusdifferenz zwischen den Summen, die dem Betreffenden oder seinen Rechtsnachfolgern in bar, in Wertpapieren oder in anderer Form gezahlt oder zuerkannt werden, und seinem Anteil am neu bewerteten Wert des eingezahlten Kapitals.</w:t>
      </w:r>
    </w:p>
    <w:p w14:paraId="632FBB15" w14:textId="77777777" w:rsidR="00477B8F" w:rsidRPr="009118AB" w:rsidRDefault="00477B8F" w:rsidP="00477B8F">
      <w:pPr>
        <w:autoSpaceDE w:val="0"/>
        <w:autoSpaceDN w:val="0"/>
        <w:adjustRightInd w:val="0"/>
        <w:jc w:val="both"/>
      </w:pPr>
    </w:p>
    <w:p w14:paraId="3928F80F" w14:textId="77777777" w:rsidR="00477B8F" w:rsidRPr="009118AB" w:rsidRDefault="00477B8F" w:rsidP="00477B8F">
      <w:pPr>
        <w:autoSpaceDE w:val="0"/>
        <w:autoSpaceDN w:val="0"/>
        <w:adjustRightInd w:val="0"/>
        <w:jc w:val="both"/>
      </w:pPr>
    </w:p>
    <w:p w14:paraId="73C132B6" w14:textId="35ACE4B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188</w:t>
      </w:r>
      <w:r w:rsidR="00D67EB8" w:rsidRPr="009118AB">
        <w:t> - </w:t>
      </w:r>
      <w:r w:rsidRPr="009118AB">
        <w:t xml:space="preserve">Im Falle der Anwendung der Artikel 186 und 187 wird das eingezahlte Kapital um den Anteil dieses Kapitals, das durch die erworbenen Aktien oder Anteile vertreten wird, oder um den Anteil an </w:t>
      </w:r>
      <w:r w:rsidR="00D01539" w:rsidRPr="009118AB">
        <w:t>[</w:t>
      </w:r>
      <w:r w:rsidRPr="009118AB">
        <w:t xml:space="preserve">diesem </w:t>
      </w:r>
      <w:r w:rsidR="00D01539" w:rsidRPr="009118AB">
        <w:t xml:space="preserve">eingezahlten </w:t>
      </w:r>
      <w:r w:rsidRPr="009118AB">
        <w:t>Kapital</w:t>
      </w:r>
      <w:r w:rsidR="00D01539" w:rsidRPr="009118AB">
        <w:t>]</w:t>
      </w:r>
      <w:r w:rsidRPr="009118AB">
        <w:t xml:space="preserve"> des verstorbenen, ausgetretenen oder ausgeschlossenen Gesellschafters herabgesetzt.</w:t>
      </w:r>
    </w:p>
    <w:p w14:paraId="55C35319" w14:textId="77777777" w:rsidR="00C33769" w:rsidRPr="009118AB" w:rsidRDefault="00C33769" w:rsidP="00477B8F">
      <w:pPr>
        <w:autoSpaceDE w:val="0"/>
        <w:autoSpaceDN w:val="0"/>
        <w:adjustRightInd w:val="0"/>
        <w:jc w:val="both"/>
      </w:pPr>
    </w:p>
    <w:p w14:paraId="4157BDF9" w14:textId="77777777" w:rsidR="00161376" w:rsidRPr="009118AB" w:rsidRDefault="00477B8F" w:rsidP="00161376">
      <w:pPr>
        <w:autoSpaceDE w:val="0"/>
        <w:autoSpaceDN w:val="0"/>
        <w:adjustRightInd w:val="0"/>
        <w:jc w:val="both"/>
      </w:pPr>
      <w:r w:rsidRPr="009118AB">
        <w:tab/>
        <w:t>Entnahmen aus Gewinnen des Geschäftsjahres oder aus Gewinnrücklagen, die der Gesellschaftssteuer bereits unterlagen, werden bis zum Betrag der in vorhergehendem Absatz erwähnten Herabsetzung, die nicht Anlass einer tatsächlichen Kapitalherabsetzung war, bei der Festlegung des steuerpflichtigen Gewinns nicht berücksichtigt.</w:t>
      </w:r>
    </w:p>
    <w:p w14:paraId="572823D4" w14:textId="77777777" w:rsidR="00D01539" w:rsidRPr="009118AB" w:rsidRDefault="00D01539" w:rsidP="00161376">
      <w:pPr>
        <w:autoSpaceDE w:val="0"/>
        <w:autoSpaceDN w:val="0"/>
        <w:adjustRightInd w:val="0"/>
        <w:jc w:val="both"/>
      </w:pPr>
    </w:p>
    <w:p w14:paraId="720CED9B" w14:textId="77777777" w:rsidR="00D01539" w:rsidRPr="009118AB" w:rsidRDefault="00D01539" w:rsidP="00D01539">
      <w:pPr>
        <w:jc w:val="both"/>
      </w:pPr>
      <w:r w:rsidRPr="009118AB">
        <w:tab/>
        <w:t>[Werden Aktien oder Anteile, die in dem in Artikel 186 Absatz 6 erwähnten Fall erworben werden, zu einem späteren Zeitpunkt veräußert:</w:t>
      </w:r>
    </w:p>
    <w:p w14:paraId="7504390F" w14:textId="77777777" w:rsidR="00D01539" w:rsidRPr="009118AB" w:rsidRDefault="00D01539" w:rsidP="00D01539">
      <w:pPr>
        <w:jc w:val="both"/>
      </w:pPr>
    </w:p>
    <w:p w14:paraId="3E0DE810" w14:textId="77777777" w:rsidR="00D01539" w:rsidRPr="009118AB" w:rsidRDefault="00D01539" w:rsidP="00D01539">
      <w:pPr>
        <w:jc w:val="both"/>
      </w:pPr>
      <w:r w:rsidRPr="009118AB">
        <w:tab/>
        <w:t>1. wird die erhaltene Vergütung oder der Veräußerungswert abzüglich der Veräußerungskosten bis zum Betrag des Anschaffungswerts bei der Festlegung des steuerpflichtigen Gewinns nicht berücksichtigt,</w:t>
      </w:r>
    </w:p>
    <w:p w14:paraId="368C9224" w14:textId="77777777" w:rsidR="00D01539" w:rsidRPr="009118AB" w:rsidRDefault="00D01539" w:rsidP="00D01539">
      <w:pPr>
        <w:jc w:val="both"/>
      </w:pPr>
    </w:p>
    <w:p w14:paraId="39F35688" w14:textId="2324DEE5" w:rsidR="00D01539" w:rsidRPr="009118AB" w:rsidRDefault="00D01539" w:rsidP="00D01539">
      <w:pPr>
        <w:autoSpaceDE w:val="0"/>
        <w:autoSpaceDN w:val="0"/>
        <w:adjustRightInd w:val="0"/>
        <w:jc w:val="both"/>
      </w:pPr>
      <w:r w:rsidRPr="009118AB">
        <w:tab/>
        <w:t>2. wird das eingezahlte Kapital der Gesellschaft um einen Betrag erhöht, der der erhaltenen Vergütung oder dem Veräußerungswert abzüglich der Veräußerungskosten entspricht, ohne dass diese Erhöhung den Betrag überschreiten darf, um den das eingezahlte Kapital anlässlich des Erwerbs dieser Aktien oder Anteile herabgesetzt worden ist. Diese Regel hat keine Auswirkung auf die Festlegung des steuerpflichtigen Gewinns.]</w:t>
      </w:r>
    </w:p>
    <w:p w14:paraId="5E1FD5C4" w14:textId="77777777" w:rsidR="00161376" w:rsidRPr="009118AB" w:rsidRDefault="00161376" w:rsidP="00161376">
      <w:pPr>
        <w:autoSpaceDE w:val="0"/>
        <w:autoSpaceDN w:val="0"/>
        <w:adjustRightInd w:val="0"/>
        <w:jc w:val="both"/>
      </w:pPr>
    </w:p>
    <w:p w14:paraId="316C42B0" w14:textId="1ACF9BED" w:rsidR="00D01539" w:rsidRPr="009118AB" w:rsidRDefault="00D01539" w:rsidP="00161376">
      <w:pPr>
        <w:autoSpaceDE w:val="0"/>
        <w:autoSpaceDN w:val="0"/>
        <w:adjustRightInd w:val="0"/>
        <w:jc w:val="both"/>
        <w:rPr>
          <w:i/>
        </w:rPr>
      </w:pPr>
      <w:r w:rsidRPr="009118AB">
        <w:rPr>
          <w:i/>
        </w:rPr>
        <w:t>[</w:t>
      </w:r>
      <w:r w:rsidR="00D67EB8" w:rsidRPr="009118AB">
        <w:rPr>
          <w:i/>
        </w:rPr>
        <w:t>Art. </w:t>
      </w:r>
      <w:r w:rsidRPr="009118AB">
        <w:rPr>
          <w:i/>
        </w:rPr>
        <w:t xml:space="preserve">188 </w:t>
      </w:r>
      <w:r w:rsidR="00D67EB8" w:rsidRPr="009118AB">
        <w:rPr>
          <w:i/>
        </w:rPr>
        <w:t>Abs. </w:t>
      </w:r>
      <w:r w:rsidRPr="009118AB">
        <w:rPr>
          <w:i/>
        </w:rPr>
        <w:t xml:space="preserve">1 abgeändert durch </w:t>
      </w:r>
      <w:r w:rsidR="00D67EB8" w:rsidRPr="009118AB">
        <w:rPr>
          <w:i/>
        </w:rPr>
        <w:t>Art. </w:t>
      </w:r>
      <w:r w:rsidRPr="009118AB">
        <w:rPr>
          <w:i/>
        </w:rPr>
        <w:t xml:space="preserve">30 </w:t>
      </w:r>
      <w:r w:rsidR="00D67EB8" w:rsidRPr="009118AB">
        <w:rPr>
          <w:i/>
        </w:rPr>
        <w:t>Nr. </w:t>
      </w:r>
      <w:r w:rsidRPr="009118AB">
        <w:rPr>
          <w:i/>
        </w:rPr>
        <w:t>1</w:t>
      </w:r>
      <w:r w:rsidRPr="009118AB">
        <w:rPr>
          <w:i/>
          <w:iCs/>
          <w:spacing w:val="-2"/>
        </w:rPr>
        <w:t xml:space="preserve"> des G. vom 17. März 2019 (III) (B.S. vom 10. Mai 2019)</w:t>
      </w:r>
      <w:r w:rsidR="00D67EB8" w:rsidRPr="009118AB">
        <w:rPr>
          <w:i/>
          <w:iCs/>
          <w:spacing w:val="-2"/>
        </w:rPr>
        <w:t> - </w:t>
      </w:r>
      <w:r w:rsidRPr="009118AB">
        <w:rPr>
          <w:i/>
          <w:iCs/>
          <w:spacing w:val="-2"/>
        </w:rPr>
        <w:t>in Kraft am 1. Mai 2019</w:t>
      </w:r>
      <w:r w:rsidR="003366D9" w:rsidRPr="009118AB">
        <w:rPr>
          <w:i/>
          <w:iCs/>
          <w:spacing w:val="-2"/>
        </w:rPr>
        <w:t> -;</w:t>
      </w:r>
      <w:r w:rsidRPr="009118AB">
        <w:rPr>
          <w:i/>
          <w:iCs/>
          <w:spacing w:val="-2"/>
        </w:rPr>
        <w:t xml:space="preserve"> </w:t>
      </w:r>
      <w:r w:rsidR="00D67EB8" w:rsidRPr="009118AB">
        <w:rPr>
          <w:i/>
          <w:iCs/>
          <w:spacing w:val="-2"/>
        </w:rPr>
        <w:t>Abs. </w:t>
      </w:r>
      <w:r w:rsidRPr="009118AB">
        <w:rPr>
          <w:i/>
          <w:iCs/>
          <w:spacing w:val="-2"/>
        </w:rPr>
        <w:t xml:space="preserve">3 eingefügt durch </w:t>
      </w:r>
      <w:r w:rsidR="00D67EB8" w:rsidRPr="009118AB">
        <w:rPr>
          <w:i/>
          <w:iCs/>
          <w:spacing w:val="-2"/>
        </w:rPr>
        <w:t>Art. </w:t>
      </w:r>
      <w:r w:rsidRPr="009118AB">
        <w:rPr>
          <w:i/>
          <w:iCs/>
          <w:spacing w:val="-2"/>
        </w:rPr>
        <w:t xml:space="preserve">30 </w:t>
      </w:r>
      <w:r w:rsidR="00D67EB8" w:rsidRPr="009118AB">
        <w:rPr>
          <w:i/>
          <w:iCs/>
          <w:spacing w:val="-2"/>
        </w:rPr>
        <w:t>Nr. </w:t>
      </w:r>
      <w:r w:rsidRPr="009118AB">
        <w:rPr>
          <w:i/>
          <w:iCs/>
          <w:spacing w:val="-2"/>
        </w:rPr>
        <w:t>2 des G. vom 17. März 2019 (III) (B.S. vom 10. Mai 2019)</w:t>
      </w:r>
      <w:r w:rsidR="00D67EB8" w:rsidRPr="009118AB">
        <w:rPr>
          <w:i/>
          <w:iCs/>
          <w:spacing w:val="-2"/>
        </w:rPr>
        <w:t> - </w:t>
      </w:r>
      <w:r w:rsidRPr="009118AB">
        <w:rPr>
          <w:i/>
          <w:iCs/>
          <w:spacing w:val="-2"/>
        </w:rPr>
        <w:t>in Kraft am 1. Mai 2019</w:t>
      </w:r>
      <w:r w:rsidR="00FD68E8" w:rsidRPr="009118AB">
        <w:rPr>
          <w:i/>
          <w:iCs/>
          <w:spacing w:val="-2"/>
        </w:rPr>
        <w:t> -]</w:t>
      </w:r>
    </w:p>
    <w:p w14:paraId="0658B804" w14:textId="77777777" w:rsidR="00161376" w:rsidRPr="009118AB" w:rsidRDefault="00161376" w:rsidP="00161376">
      <w:pPr>
        <w:autoSpaceDE w:val="0"/>
        <w:autoSpaceDN w:val="0"/>
        <w:adjustRightInd w:val="0"/>
        <w:jc w:val="both"/>
      </w:pPr>
    </w:p>
    <w:p w14:paraId="5CB66E0C" w14:textId="77777777" w:rsidR="00D01539" w:rsidRPr="009118AB" w:rsidRDefault="00D01539" w:rsidP="00477B8F">
      <w:pPr>
        <w:autoSpaceDE w:val="0"/>
        <w:autoSpaceDN w:val="0"/>
        <w:adjustRightInd w:val="0"/>
        <w:jc w:val="both"/>
      </w:pPr>
    </w:p>
    <w:p w14:paraId="2A63C956" w14:textId="77777777" w:rsidR="005B358C" w:rsidRDefault="005B358C">
      <w:r>
        <w:br w:type="page"/>
      </w:r>
    </w:p>
    <w:p w14:paraId="149835F1" w14:textId="6C5C422E" w:rsidR="00477B8F" w:rsidRPr="009118AB" w:rsidRDefault="00477B8F" w:rsidP="00477B8F">
      <w:pPr>
        <w:autoSpaceDE w:val="0"/>
        <w:autoSpaceDN w:val="0"/>
        <w:adjustRightInd w:val="0"/>
        <w:jc w:val="both"/>
      </w:pPr>
      <w:r w:rsidRPr="009118AB">
        <w:lastRenderedPageBreak/>
        <w:tab/>
      </w:r>
      <w:r w:rsidR="00D67EB8" w:rsidRPr="009118AB">
        <w:rPr>
          <w:b/>
          <w:bCs/>
        </w:rPr>
        <w:t>Art. </w:t>
      </w:r>
      <w:r w:rsidRPr="009118AB">
        <w:rPr>
          <w:b/>
          <w:bCs/>
        </w:rPr>
        <w:t>189</w:t>
      </w:r>
      <w:r w:rsidR="00D67EB8" w:rsidRPr="009118AB">
        <w:t> - § </w:t>
      </w:r>
      <w:r w:rsidRPr="009118AB">
        <w:t>1</w:t>
      </w:r>
      <w:r w:rsidR="00D67EB8" w:rsidRPr="009118AB">
        <w:t> - </w:t>
      </w:r>
      <w:r w:rsidRPr="009118AB">
        <w:t>In Konsumgenossenschaften gelten als Gewinne Rabatte und Vorteile, die:</w:t>
      </w:r>
    </w:p>
    <w:p w14:paraId="2E5A12C7" w14:textId="77777777" w:rsidR="00477B8F" w:rsidRPr="009118AB" w:rsidRDefault="00477B8F" w:rsidP="00477B8F">
      <w:pPr>
        <w:autoSpaceDE w:val="0"/>
        <w:autoSpaceDN w:val="0"/>
        <w:adjustRightInd w:val="0"/>
        <w:jc w:val="both"/>
      </w:pPr>
    </w:p>
    <w:p w14:paraId="508F26EC" w14:textId="77777777" w:rsidR="00477B8F" w:rsidRPr="009118AB" w:rsidRDefault="00477B8F" w:rsidP="00477B8F">
      <w:pPr>
        <w:autoSpaceDE w:val="0"/>
        <w:autoSpaceDN w:val="0"/>
        <w:adjustRightInd w:val="0"/>
        <w:jc w:val="both"/>
      </w:pPr>
      <w:r w:rsidRPr="009118AB">
        <w:tab/>
        <w:t>1. Gesellschaftern gewährt werden, sofern die Rabatte und Vorteile aus Ankäufen hervorgehen, die nicht von den Begünstigten selbst getätigt wurden,</w:t>
      </w:r>
    </w:p>
    <w:p w14:paraId="1ED50247" w14:textId="77777777" w:rsidR="00477B8F" w:rsidRPr="009118AB" w:rsidRDefault="00477B8F" w:rsidP="00477B8F">
      <w:pPr>
        <w:autoSpaceDE w:val="0"/>
        <w:autoSpaceDN w:val="0"/>
        <w:adjustRightInd w:val="0"/>
        <w:jc w:val="both"/>
      </w:pPr>
    </w:p>
    <w:p w14:paraId="6CC52FC3" w14:textId="77777777" w:rsidR="00477B8F" w:rsidRPr="009118AB" w:rsidRDefault="00477B8F" w:rsidP="00477B8F">
      <w:pPr>
        <w:autoSpaceDE w:val="0"/>
        <w:autoSpaceDN w:val="0"/>
        <w:adjustRightInd w:val="0"/>
        <w:jc w:val="both"/>
      </w:pPr>
      <w:r w:rsidRPr="009118AB">
        <w:tab/>
        <w:t>2. Nichtgesellschaftern gewährt werden.</w:t>
      </w:r>
    </w:p>
    <w:p w14:paraId="63C6411A" w14:textId="77777777" w:rsidR="00FB6901" w:rsidRPr="009118AB" w:rsidRDefault="00FB6901" w:rsidP="00477B8F">
      <w:pPr>
        <w:autoSpaceDE w:val="0"/>
        <w:autoSpaceDN w:val="0"/>
        <w:adjustRightInd w:val="0"/>
      </w:pPr>
    </w:p>
    <w:p w14:paraId="47BC66A0" w14:textId="28FF33A6" w:rsidR="00477B8F" w:rsidRPr="009118AB" w:rsidRDefault="00477B8F" w:rsidP="00D3057F">
      <w:pPr>
        <w:autoSpaceDE w:val="0"/>
        <w:autoSpaceDN w:val="0"/>
        <w:adjustRightInd w:val="0"/>
        <w:jc w:val="both"/>
      </w:pPr>
      <w:r w:rsidRPr="009118AB">
        <w:tab/>
      </w:r>
      <w:r w:rsidR="00D67EB8" w:rsidRPr="009118AB">
        <w:t>§ </w:t>
      </w:r>
      <w:r w:rsidRPr="009118AB">
        <w:t>2</w:t>
      </w:r>
      <w:r w:rsidR="00D67EB8" w:rsidRPr="009118AB">
        <w:t> - </w:t>
      </w:r>
      <w:r w:rsidRPr="009118AB">
        <w:t>Als Konsumgenossenschaft gilt eine Genossenschaft, die direkt an Verbraucher verkauft.</w:t>
      </w:r>
    </w:p>
    <w:p w14:paraId="21B9DC59" w14:textId="77777777" w:rsidR="00477B8F" w:rsidRPr="009118AB" w:rsidRDefault="00477B8F" w:rsidP="00477B8F">
      <w:pPr>
        <w:autoSpaceDE w:val="0"/>
        <w:autoSpaceDN w:val="0"/>
        <w:adjustRightInd w:val="0"/>
        <w:jc w:val="both"/>
      </w:pPr>
    </w:p>
    <w:p w14:paraId="7246FC19" w14:textId="77777777" w:rsidR="00477B8F" w:rsidRPr="009118AB" w:rsidRDefault="00477B8F" w:rsidP="00477B8F">
      <w:pPr>
        <w:autoSpaceDE w:val="0"/>
        <w:autoSpaceDN w:val="0"/>
        <w:adjustRightInd w:val="0"/>
        <w:jc w:val="both"/>
      </w:pPr>
      <w:r w:rsidRPr="009118AB">
        <w:tab/>
        <w:t>Die Vorteile bestehen insbesondere in der Minusdifferenz zwischen dem Verkaufspreis und dem um den proportionalen Anteil der allgemeinen Kosten erhöhten Kaufpreis.</w:t>
      </w:r>
    </w:p>
    <w:p w14:paraId="28424D02" w14:textId="77777777" w:rsidR="00477B8F" w:rsidRPr="009118AB" w:rsidRDefault="00477B8F" w:rsidP="00477B8F">
      <w:pPr>
        <w:autoSpaceDE w:val="0"/>
        <w:autoSpaceDN w:val="0"/>
        <w:adjustRightInd w:val="0"/>
        <w:jc w:val="both"/>
      </w:pPr>
    </w:p>
    <w:p w14:paraId="12911E5F" w14:textId="77777777" w:rsidR="00477B8F" w:rsidRPr="009118AB" w:rsidRDefault="00477B8F" w:rsidP="00477B8F">
      <w:pPr>
        <w:autoSpaceDE w:val="0"/>
        <w:autoSpaceDN w:val="0"/>
        <w:adjustRightInd w:val="0"/>
        <w:jc w:val="both"/>
      </w:pPr>
      <w:r w:rsidRPr="009118AB">
        <w:tab/>
        <w:t>Die Gesellschafter sind ausschließlich Genossen, die vollständige Gesellschaftsrechte besitzen.</w:t>
      </w:r>
    </w:p>
    <w:p w14:paraId="6446D16A" w14:textId="77777777" w:rsidR="00477B8F" w:rsidRPr="009118AB" w:rsidRDefault="00477B8F" w:rsidP="00477B8F">
      <w:pPr>
        <w:autoSpaceDE w:val="0"/>
        <w:autoSpaceDN w:val="0"/>
        <w:adjustRightInd w:val="0"/>
        <w:jc w:val="both"/>
      </w:pPr>
    </w:p>
    <w:p w14:paraId="0BDCC479" w14:textId="77777777" w:rsidR="00477B8F" w:rsidRPr="009118AB" w:rsidRDefault="00477B8F" w:rsidP="00477B8F">
      <w:pPr>
        <w:autoSpaceDE w:val="0"/>
        <w:autoSpaceDN w:val="0"/>
        <w:adjustRightInd w:val="0"/>
        <w:jc w:val="both"/>
      </w:pPr>
      <w:r w:rsidRPr="009118AB">
        <w:tab/>
        <w:t>Die Rabatte und Vorteile werden zu Lasten der Genossenschaft besteuert und bestimmt, ohne das allgemeine Ergebnis des Unternehmens zu berücksichtigen.</w:t>
      </w:r>
    </w:p>
    <w:p w14:paraId="7F523936" w14:textId="2A34932F" w:rsidR="00862B9F" w:rsidRPr="009118AB" w:rsidRDefault="00862B9F">
      <w:pPr>
        <w:rPr>
          <w:i/>
          <w:iCs/>
        </w:rPr>
      </w:pPr>
    </w:p>
    <w:p w14:paraId="3DFF30DD" w14:textId="77777777" w:rsidR="00437343" w:rsidRPr="009118AB" w:rsidRDefault="00437343">
      <w:pPr>
        <w:rPr>
          <w:i/>
          <w:iCs/>
        </w:rPr>
      </w:pPr>
    </w:p>
    <w:p w14:paraId="0AA4931E" w14:textId="4BF009A6" w:rsidR="00437343" w:rsidRPr="009118AB" w:rsidRDefault="00437343">
      <w:pPr>
        <w:rPr>
          <w:i/>
          <w:iCs/>
        </w:rPr>
      </w:pPr>
    </w:p>
    <w:p w14:paraId="20172DC0" w14:textId="77777777" w:rsidR="00FD0337" w:rsidRDefault="00FD0337">
      <w:pPr>
        <w:rPr>
          <w:i/>
          <w:iCs/>
        </w:rPr>
      </w:pPr>
      <w:r>
        <w:rPr>
          <w:i/>
          <w:iCs/>
        </w:rPr>
        <w:br w:type="page"/>
      </w:r>
    </w:p>
    <w:p w14:paraId="2F6A1E30" w14:textId="52AF09C8" w:rsidR="00477B8F" w:rsidRPr="009118AB" w:rsidRDefault="00477B8F" w:rsidP="00477B8F">
      <w:pPr>
        <w:autoSpaceDE w:val="0"/>
        <w:autoSpaceDN w:val="0"/>
        <w:adjustRightInd w:val="0"/>
        <w:jc w:val="center"/>
      </w:pPr>
      <w:r w:rsidRPr="009118AB">
        <w:rPr>
          <w:i/>
          <w:iCs/>
        </w:rPr>
        <w:lastRenderedPageBreak/>
        <w:t>Abschnitt </w:t>
      </w:r>
      <w:r w:rsidR="00D74862" w:rsidRPr="009118AB">
        <w:rPr>
          <w:i/>
          <w:iCs/>
        </w:rPr>
        <w:t>3</w:t>
      </w:r>
      <w:r w:rsidR="00D67EB8" w:rsidRPr="009118AB">
        <w:t> - </w:t>
      </w:r>
      <w:r w:rsidRPr="009118AB">
        <w:t>Steuerfreie Einkünfte</w:t>
      </w:r>
    </w:p>
    <w:p w14:paraId="1514F52D" w14:textId="77777777" w:rsidR="00477B8F" w:rsidRPr="009118AB" w:rsidRDefault="00477B8F" w:rsidP="00477B8F">
      <w:pPr>
        <w:autoSpaceDE w:val="0"/>
        <w:autoSpaceDN w:val="0"/>
        <w:adjustRightInd w:val="0"/>
        <w:jc w:val="center"/>
      </w:pPr>
    </w:p>
    <w:p w14:paraId="600E7BBD" w14:textId="77777777" w:rsidR="00477B8F" w:rsidRPr="009118AB" w:rsidRDefault="00477B8F" w:rsidP="00477B8F">
      <w:pPr>
        <w:autoSpaceDE w:val="0"/>
        <w:autoSpaceDN w:val="0"/>
        <w:adjustRightInd w:val="0"/>
        <w:jc w:val="center"/>
      </w:pPr>
    </w:p>
    <w:p w14:paraId="26ADEAF0" w14:textId="44139698" w:rsidR="00477B8F" w:rsidRPr="009118AB" w:rsidRDefault="00477B8F" w:rsidP="00477B8F">
      <w:pPr>
        <w:autoSpaceDE w:val="0"/>
        <w:autoSpaceDN w:val="0"/>
        <w:adjustRightInd w:val="0"/>
        <w:jc w:val="center"/>
      </w:pPr>
      <w:r w:rsidRPr="009118AB">
        <w:t>Unterabschnitt </w:t>
      </w:r>
      <w:r w:rsidR="00D74862" w:rsidRPr="009118AB">
        <w:t>1</w:t>
      </w:r>
      <w:r w:rsidR="00D67EB8" w:rsidRPr="009118AB">
        <w:t> - </w:t>
      </w:r>
      <w:r w:rsidRPr="009118AB">
        <w:t>Mehrwerte</w:t>
      </w:r>
    </w:p>
    <w:p w14:paraId="791AB487" w14:textId="77777777" w:rsidR="00477B8F" w:rsidRPr="009118AB" w:rsidRDefault="00477B8F" w:rsidP="00477B8F">
      <w:pPr>
        <w:autoSpaceDE w:val="0"/>
        <w:autoSpaceDN w:val="0"/>
        <w:adjustRightInd w:val="0"/>
        <w:jc w:val="both"/>
      </w:pPr>
    </w:p>
    <w:p w14:paraId="108C99DB" w14:textId="77777777" w:rsidR="00477B8F" w:rsidRPr="009118AB" w:rsidRDefault="00477B8F" w:rsidP="00477B8F">
      <w:pPr>
        <w:autoSpaceDE w:val="0"/>
        <w:autoSpaceDN w:val="0"/>
        <w:adjustRightInd w:val="0"/>
        <w:jc w:val="both"/>
      </w:pPr>
    </w:p>
    <w:p w14:paraId="7CF70EF1" w14:textId="1483CE6F"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190</w:t>
      </w:r>
      <w:r w:rsidR="00D67EB8" w:rsidRPr="009118AB">
        <w:t> - </w:t>
      </w:r>
      <w:r w:rsidRPr="009118AB">
        <w:t>[Die [in den Artikeln 44 §</w:t>
      </w:r>
      <w:r w:rsidR="00D67EB8" w:rsidRPr="009118AB">
        <w:t>§ </w:t>
      </w:r>
      <w:r w:rsidRPr="009118AB">
        <w:t>1 und 3, 44</w:t>
      </w:r>
      <w:r w:rsidRPr="009118AB">
        <w:rPr>
          <w:i/>
          <w:iCs/>
        </w:rPr>
        <w:t>bis</w:t>
      </w:r>
      <w:r w:rsidRPr="009118AB">
        <w:t>, 44</w:t>
      </w:r>
      <w:r w:rsidRPr="009118AB">
        <w:rPr>
          <w:i/>
          <w:iCs/>
        </w:rPr>
        <w:t>ter</w:t>
      </w:r>
      <w:r w:rsidRPr="009118AB">
        <w:t xml:space="preserve">, 45, 46 </w:t>
      </w:r>
      <w:r w:rsidR="00D67EB8" w:rsidRPr="009118AB">
        <w:t>§ </w:t>
      </w:r>
      <w:r w:rsidRPr="009118AB">
        <w:t xml:space="preserve">1 Absatz 1 </w:t>
      </w:r>
      <w:r w:rsidR="00D67EB8" w:rsidRPr="009118AB">
        <w:t>Nr. </w:t>
      </w:r>
      <w:r w:rsidRPr="009118AB">
        <w:t>2 und 47] für die Steuer der natürlichen Personen vorgesehene Mehrwertregelung ist ebenfalls auf Gesellschaften anwendbar.</w:t>
      </w:r>
    </w:p>
    <w:p w14:paraId="2D053015" w14:textId="77777777" w:rsidR="00477B8F" w:rsidRPr="009118AB" w:rsidRDefault="00477B8F" w:rsidP="00477B8F">
      <w:pPr>
        <w:autoSpaceDE w:val="0"/>
        <w:autoSpaceDN w:val="0"/>
        <w:adjustRightInd w:val="0"/>
        <w:jc w:val="both"/>
      </w:pPr>
    </w:p>
    <w:p w14:paraId="3B126B46" w14:textId="466837F3" w:rsidR="00477B8F" w:rsidRPr="009118AB" w:rsidRDefault="00477B8F" w:rsidP="00477B8F">
      <w:pPr>
        <w:autoSpaceDE w:val="0"/>
        <w:autoSpaceDN w:val="0"/>
        <w:adjustRightInd w:val="0"/>
        <w:jc w:val="both"/>
      </w:pPr>
      <w:r w:rsidRPr="009118AB">
        <w:tab/>
        <w:t>In Bezug auf den steuerfreien oder vorläufig nicht besteuerten Anteil der [in den Artikeln 44 §</w:t>
      </w:r>
      <w:r w:rsidR="00D67EB8" w:rsidRPr="009118AB">
        <w:t>§ </w:t>
      </w:r>
      <w:r w:rsidRPr="009118AB">
        <w:t>1 und 3, 44</w:t>
      </w:r>
      <w:r w:rsidRPr="009118AB">
        <w:rPr>
          <w:i/>
          <w:iCs/>
        </w:rPr>
        <w:t>bis</w:t>
      </w:r>
      <w:r w:rsidRPr="009118AB">
        <w:t>, 44</w:t>
      </w:r>
      <w:r w:rsidRPr="009118AB">
        <w:rPr>
          <w:i/>
          <w:iCs/>
        </w:rPr>
        <w:t>ter</w:t>
      </w:r>
      <w:r w:rsidRPr="009118AB">
        <w:t xml:space="preserve"> und 47] erwähnten Mehrwerte ist diese Mehrwert</w:t>
      </w:r>
      <w:r w:rsidR="00457916" w:rsidRPr="009118AB">
        <w:softHyphen/>
      </w:r>
      <w:r w:rsidRPr="009118AB">
        <w:t>regelung nur anwendbar in dem Maße, wie dieser Anteil auf einem oder mehreren getrennten Passivkonten gebucht ist und dort belassen wird und nicht als Grundlage für die Berechnung der jährlichen Zuführung an die gesetzliche Rücklage oder für die Berechnung von Entlohnungen oder Zuerkennungen dient.</w:t>
      </w:r>
    </w:p>
    <w:p w14:paraId="4CAA2782" w14:textId="77777777" w:rsidR="00477B8F" w:rsidRPr="009118AB" w:rsidRDefault="00477B8F" w:rsidP="00477B8F">
      <w:pPr>
        <w:autoSpaceDE w:val="0"/>
        <w:autoSpaceDN w:val="0"/>
        <w:adjustRightInd w:val="0"/>
        <w:jc w:val="both"/>
      </w:pPr>
    </w:p>
    <w:p w14:paraId="36BA8037" w14:textId="0C078463" w:rsidR="00477B8F" w:rsidRPr="009118AB" w:rsidRDefault="00477B8F" w:rsidP="00477B8F">
      <w:pPr>
        <w:autoSpaceDE w:val="0"/>
        <w:autoSpaceDN w:val="0"/>
        <w:adjustRightInd w:val="0"/>
        <w:jc w:val="both"/>
      </w:pPr>
      <w:r w:rsidRPr="009118AB">
        <w:tab/>
        <w:t xml:space="preserve">Vorerwähnte Bedingungen sind ebenfalls auf die in den Artikeln 45 und 46 </w:t>
      </w:r>
      <w:r w:rsidR="00D67EB8" w:rsidRPr="009118AB">
        <w:t>§ </w:t>
      </w:r>
      <w:r w:rsidRPr="009118AB">
        <w:t xml:space="preserve">1 Absatz 1 </w:t>
      </w:r>
      <w:r w:rsidR="00D67EB8" w:rsidRPr="009118AB">
        <w:t>Nr. </w:t>
      </w:r>
      <w:r w:rsidRPr="009118AB">
        <w:t xml:space="preserve">2 erwähnten Mehrwerte anwendbar, außer wenn diese Mehrwerte gemäß [dem Königlichen Erlass zur Ausführung des </w:t>
      </w:r>
      <w:r w:rsidR="00D01539" w:rsidRPr="009118AB">
        <w:t>[G</w:t>
      </w:r>
      <w:r w:rsidRPr="009118AB">
        <w:t>esetzbuches</w:t>
      </w:r>
      <w:r w:rsidR="00D01539" w:rsidRPr="009118AB">
        <w:t xml:space="preserve"> der Gesellschaften und Vereinigungen</w:t>
      </w:r>
      <w:r w:rsidRPr="009118AB">
        <w:t>] nicht aufgezeichnet werden.</w:t>
      </w:r>
    </w:p>
    <w:p w14:paraId="2BD59D97" w14:textId="77777777" w:rsidR="00477B8F" w:rsidRPr="009118AB" w:rsidRDefault="00477B8F" w:rsidP="00477B8F">
      <w:pPr>
        <w:autoSpaceDE w:val="0"/>
        <w:autoSpaceDN w:val="0"/>
        <w:adjustRightInd w:val="0"/>
        <w:jc w:val="both"/>
      </w:pPr>
    </w:p>
    <w:p w14:paraId="3D0B7B01" w14:textId="77777777" w:rsidR="00477B8F" w:rsidRPr="009118AB" w:rsidRDefault="00477B8F" w:rsidP="00477B8F">
      <w:pPr>
        <w:autoSpaceDE w:val="0"/>
        <w:autoSpaceDN w:val="0"/>
        <w:adjustRightInd w:val="0"/>
        <w:jc w:val="both"/>
      </w:pPr>
      <w:r w:rsidRPr="009118AB">
        <w:tab/>
        <w:t>Sofern und in dem Maße, wie diese Bedingungen während eines Besteuerungszeitraums nicht mehr erfüllt werden, gilt der vorher steuerfreie oder vorläufig nicht besteuerte Anteil der Mehrwerte als ein während dieses Besteuerungszeitraums erzielter Gewinn.]</w:t>
      </w:r>
    </w:p>
    <w:p w14:paraId="7C7AA456" w14:textId="77777777" w:rsidR="00477B8F" w:rsidRPr="009118AB" w:rsidRDefault="00477B8F" w:rsidP="00477B8F">
      <w:pPr>
        <w:autoSpaceDE w:val="0"/>
        <w:autoSpaceDN w:val="0"/>
        <w:adjustRightInd w:val="0"/>
        <w:jc w:val="both"/>
      </w:pPr>
    </w:p>
    <w:p w14:paraId="07FF6252" w14:textId="1B0149EC"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190 ersetzt durch </w:t>
      </w:r>
      <w:r w:rsidR="00D67EB8" w:rsidRPr="009118AB">
        <w:rPr>
          <w:i/>
          <w:iCs/>
        </w:rPr>
        <w:t>Art. </w:t>
      </w:r>
      <w:r w:rsidRPr="009118AB">
        <w:rPr>
          <w:i/>
          <w:iCs/>
        </w:rPr>
        <w:t>20 des G. vom 22. Dezember 1998 (B.S. vom 15. Januar 1999)</w:t>
      </w:r>
      <w:r w:rsidR="00D67EB8" w:rsidRPr="009118AB">
        <w:rPr>
          <w:i/>
          <w:iCs/>
        </w:rPr>
        <w:t> - </w:t>
      </w:r>
      <w:r w:rsidRPr="009118AB">
        <w:rPr>
          <w:i/>
          <w:iCs/>
        </w:rPr>
        <w:t>anwendbar auf Vorgänge, die eine ab dem 1. Oktober 1993 stattgefundene Fusion, Aufspaltung, Annahme einer anderen Rechtsform oder Einbringung betreffen</w:t>
      </w:r>
      <w:r w:rsidR="003366D9" w:rsidRPr="009118AB">
        <w:rPr>
          <w:i/>
          <w:iCs/>
        </w:rPr>
        <w:t> -;</w:t>
      </w:r>
      <w:r w:rsidRPr="009118AB">
        <w:rPr>
          <w:i/>
          <w:iCs/>
        </w:rPr>
        <w:t xml:space="preserve"> </w:t>
      </w:r>
      <w:r w:rsidR="00D67EB8" w:rsidRPr="009118AB">
        <w:rPr>
          <w:i/>
          <w:iCs/>
        </w:rPr>
        <w:t>Abs. </w:t>
      </w:r>
      <w:r w:rsidRPr="009118AB">
        <w:rPr>
          <w:i/>
          <w:iCs/>
        </w:rPr>
        <w:t xml:space="preserve">1 abgeändert durch </w:t>
      </w:r>
      <w:r w:rsidR="00D67EB8" w:rsidRPr="009118AB">
        <w:rPr>
          <w:i/>
          <w:iCs/>
        </w:rPr>
        <w:t>Art. </w:t>
      </w:r>
      <w:r w:rsidRPr="009118AB">
        <w:rPr>
          <w:i/>
          <w:iCs/>
        </w:rPr>
        <w:t xml:space="preserve">5 </w:t>
      </w:r>
      <w:r w:rsidR="00D67EB8" w:rsidRPr="009118AB">
        <w:rPr>
          <w:i/>
          <w:iCs/>
        </w:rPr>
        <w:t>Nr. </w:t>
      </w:r>
      <w:r w:rsidRPr="009118AB">
        <w:rPr>
          <w:i/>
          <w:iCs/>
        </w:rPr>
        <w:t>1 des G. vom 14. Januar 20</w:t>
      </w:r>
      <w:r w:rsidR="00252578" w:rsidRPr="009118AB">
        <w:rPr>
          <w:i/>
          <w:iCs/>
        </w:rPr>
        <w:t>03 (B.S. vom 5. Februar 2003)</w:t>
      </w:r>
      <w:r w:rsidR="00D67EB8" w:rsidRPr="009118AB">
        <w:rPr>
          <w:i/>
          <w:iCs/>
        </w:rPr>
        <w:t> - </w:t>
      </w:r>
      <w:r w:rsidRPr="009118AB">
        <w:rPr>
          <w:i/>
          <w:iCs/>
        </w:rPr>
        <w:t>anwendbar auf Mehrwerte, die ab dem 1. Januar 2000 verwirklicht werden, und insofern sich das Datum der Verwirklichung frühestens auf den Besteuerungszeitraum bezieht, der an das Steuerjahr 2001 gebunden ist</w:t>
      </w:r>
      <w:r w:rsidR="00D67EB8" w:rsidRPr="009118AB">
        <w:rPr>
          <w:i/>
          <w:iCs/>
        </w:rPr>
        <w:t> - </w:t>
      </w:r>
      <w:r w:rsidRPr="009118AB">
        <w:rPr>
          <w:i/>
          <w:iCs/>
        </w:rPr>
        <w:t xml:space="preserve">und </w:t>
      </w:r>
      <w:r w:rsidR="00D67EB8" w:rsidRPr="009118AB">
        <w:rPr>
          <w:i/>
          <w:iCs/>
        </w:rPr>
        <w:t>Art. </w:t>
      </w:r>
      <w:r w:rsidRPr="009118AB">
        <w:rPr>
          <w:i/>
          <w:iCs/>
        </w:rPr>
        <w:t xml:space="preserve">111 </w:t>
      </w:r>
      <w:r w:rsidR="00D67EB8" w:rsidRPr="009118AB">
        <w:rPr>
          <w:i/>
          <w:iCs/>
        </w:rPr>
        <w:t>Nr. </w:t>
      </w:r>
      <w:r w:rsidRPr="009118AB">
        <w:rPr>
          <w:i/>
          <w:iCs/>
        </w:rPr>
        <w:t xml:space="preserve">1 des G. </w:t>
      </w:r>
      <w:r w:rsidR="00457916" w:rsidRPr="009118AB">
        <w:rPr>
          <w:i/>
          <w:iCs/>
        </w:rPr>
        <w:t xml:space="preserve">(IV) </w:t>
      </w:r>
      <w:r w:rsidRPr="009118AB">
        <w:rPr>
          <w:i/>
          <w:iCs/>
        </w:rPr>
        <w:t>vom 25. April 2007 (I) (B.S.</w:t>
      </w:r>
      <w:r w:rsidR="00457916" w:rsidRPr="009118AB">
        <w:rPr>
          <w:i/>
          <w:iCs/>
        </w:rPr>
        <w:t> </w:t>
      </w:r>
      <w:r w:rsidRPr="009118AB">
        <w:rPr>
          <w:i/>
          <w:iCs/>
        </w:rPr>
        <w:t>vom 8. Mai 2007)</w:t>
      </w:r>
      <w:r w:rsidR="00D67EB8" w:rsidRPr="009118AB">
        <w:rPr>
          <w:i/>
          <w:iCs/>
        </w:rPr>
        <w:t> - </w:t>
      </w:r>
      <w:r w:rsidRPr="009118AB">
        <w:rPr>
          <w:i/>
          <w:iCs/>
        </w:rPr>
        <w:t>anwendbar auf Mehrwerte, die ab dem 1. Januar 2007 verwirklicht werden, und insofern sich das Datum der Verwirklichung frühestens auf den Besteuerungszeitraum bezieht, der an das Steuerjahr 2008 gebunden ist</w:t>
      </w:r>
      <w:r w:rsidR="003366D9" w:rsidRPr="009118AB">
        <w:rPr>
          <w:i/>
          <w:iCs/>
        </w:rPr>
        <w:t> -;</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 xml:space="preserve">5 </w:t>
      </w:r>
      <w:r w:rsidR="00D67EB8" w:rsidRPr="009118AB">
        <w:rPr>
          <w:i/>
          <w:iCs/>
        </w:rPr>
        <w:t>Nr. </w:t>
      </w:r>
      <w:r w:rsidRPr="009118AB">
        <w:rPr>
          <w:i/>
          <w:iCs/>
        </w:rPr>
        <w:t>2 des G. vom 14. Januar 2003 (B.S. vom 5. Februar 2003)</w:t>
      </w:r>
      <w:r w:rsidR="00D67EB8" w:rsidRPr="009118AB">
        <w:rPr>
          <w:i/>
          <w:iCs/>
        </w:rPr>
        <w:t> - </w:t>
      </w:r>
      <w:r w:rsidRPr="009118AB">
        <w:rPr>
          <w:i/>
          <w:iCs/>
        </w:rPr>
        <w:t>anwendbar auf Mehrwerte, die ab dem 1. Januar 2000 verwirklicht werden, und insofern sich das Datum der Verwirklichung frühestens auf den Besteuerungszeitraum bezieht, der an das Steuerjahr 2001 gebunden ist</w:t>
      </w:r>
      <w:r w:rsidR="00D67EB8" w:rsidRPr="009118AB">
        <w:rPr>
          <w:i/>
          <w:iCs/>
        </w:rPr>
        <w:t> - </w:t>
      </w:r>
      <w:r w:rsidRPr="009118AB">
        <w:rPr>
          <w:i/>
          <w:iCs/>
        </w:rPr>
        <w:t xml:space="preserve">und </w:t>
      </w:r>
      <w:r w:rsidR="00D67EB8" w:rsidRPr="009118AB">
        <w:rPr>
          <w:i/>
          <w:iCs/>
        </w:rPr>
        <w:t>Art. </w:t>
      </w:r>
      <w:r w:rsidRPr="009118AB">
        <w:rPr>
          <w:i/>
          <w:iCs/>
        </w:rPr>
        <w:t xml:space="preserve">111 </w:t>
      </w:r>
      <w:r w:rsidR="00D67EB8" w:rsidRPr="009118AB">
        <w:rPr>
          <w:i/>
          <w:iCs/>
        </w:rPr>
        <w:t>Nr. </w:t>
      </w:r>
      <w:r w:rsidRPr="009118AB">
        <w:rPr>
          <w:i/>
          <w:iCs/>
        </w:rPr>
        <w:t xml:space="preserve">2 des G. </w:t>
      </w:r>
      <w:r w:rsidR="00457916" w:rsidRPr="009118AB">
        <w:rPr>
          <w:i/>
          <w:iCs/>
        </w:rPr>
        <w:t xml:space="preserve">(IV) </w:t>
      </w:r>
      <w:r w:rsidRPr="009118AB">
        <w:rPr>
          <w:i/>
          <w:iCs/>
        </w:rPr>
        <w:t>vom 25. April 2007 (I) (B.S. vom 8. Mai 2007)</w:t>
      </w:r>
      <w:r w:rsidR="00D67EB8" w:rsidRPr="009118AB">
        <w:rPr>
          <w:i/>
          <w:iCs/>
        </w:rPr>
        <w:t> - </w:t>
      </w:r>
      <w:r w:rsidRPr="009118AB">
        <w:rPr>
          <w:i/>
          <w:iCs/>
        </w:rPr>
        <w:t>anwendbar auf Mehrwerte, die ab dem 1. Januar 2007 verwirklicht werden, und insofern sich das Datum der Verwirklichung frühestens auf den Besteuerungszeitraum bezieht, der an das Steuerjahr 2008 gebunden ist</w:t>
      </w:r>
      <w:r w:rsidR="003366D9" w:rsidRPr="009118AB">
        <w:rPr>
          <w:i/>
          <w:iCs/>
        </w:rPr>
        <w:t> -;</w:t>
      </w:r>
      <w:r w:rsidRPr="009118AB">
        <w:rPr>
          <w:i/>
          <w:iCs/>
        </w:rPr>
        <w:t xml:space="preserve"> </w:t>
      </w:r>
      <w:r w:rsidR="00D67EB8" w:rsidRPr="009118AB">
        <w:rPr>
          <w:i/>
          <w:iCs/>
        </w:rPr>
        <w:t>Abs. </w:t>
      </w:r>
      <w:r w:rsidRPr="009118AB">
        <w:rPr>
          <w:i/>
          <w:iCs/>
        </w:rPr>
        <w:t xml:space="preserve">3 abgeändert durch </w:t>
      </w:r>
      <w:r w:rsidR="00D67EB8" w:rsidRPr="009118AB">
        <w:rPr>
          <w:i/>
          <w:iCs/>
        </w:rPr>
        <w:t>Art. </w:t>
      </w:r>
      <w:r w:rsidRPr="009118AB">
        <w:rPr>
          <w:i/>
          <w:iCs/>
        </w:rPr>
        <w:t>11 des G. vom 16. Juli 2001 (B.S. vom 20. Juli 2001)</w:t>
      </w:r>
      <w:r w:rsidR="00D67EB8" w:rsidRPr="009118AB">
        <w:rPr>
          <w:i/>
          <w:iCs/>
        </w:rPr>
        <w:t> - </w:t>
      </w:r>
      <w:r w:rsidRPr="009118AB">
        <w:rPr>
          <w:i/>
          <w:iCs/>
        </w:rPr>
        <w:t>in Kraft ab dem 6. Februar 2001</w:t>
      </w:r>
      <w:r w:rsidR="00D67EB8" w:rsidRPr="009118AB">
        <w:rPr>
          <w:i/>
          <w:iCs/>
        </w:rPr>
        <w:t> - </w:t>
      </w:r>
      <w:r w:rsidR="00D01539" w:rsidRPr="009118AB">
        <w:rPr>
          <w:i/>
          <w:iCs/>
        </w:rPr>
        <w:t xml:space="preserve">und </w:t>
      </w:r>
      <w:r w:rsidR="00D67EB8" w:rsidRPr="009118AB">
        <w:rPr>
          <w:i/>
          <w:iCs/>
        </w:rPr>
        <w:t>Art. </w:t>
      </w:r>
      <w:r w:rsidR="00D01539" w:rsidRPr="009118AB">
        <w:rPr>
          <w:i/>
          <w:iCs/>
        </w:rPr>
        <w:t>31</w:t>
      </w:r>
      <w:r w:rsidR="00D01539" w:rsidRPr="009118AB">
        <w:rPr>
          <w:i/>
          <w:iCs/>
          <w:spacing w:val="-2"/>
        </w:rPr>
        <w:t xml:space="preserve"> des G. vom 17. März 2019 (III) (B.S. vom 10. Mai 2019)</w:t>
      </w:r>
      <w:r w:rsidR="00D67EB8" w:rsidRPr="009118AB">
        <w:rPr>
          <w:i/>
          <w:iCs/>
          <w:spacing w:val="-2"/>
        </w:rPr>
        <w:t> - </w:t>
      </w:r>
      <w:r w:rsidR="00D01539" w:rsidRPr="009118AB">
        <w:rPr>
          <w:i/>
          <w:iCs/>
          <w:spacing w:val="-2"/>
        </w:rPr>
        <w:t>in Kraft am 1. Mai 2019</w:t>
      </w:r>
      <w:r w:rsidR="00FD68E8" w:rsidRPr="009118AB">
        <w:rPr>
          <w:i/>
          <w:iCs/>
          <w:spacing w:val="-2"/>
        </w:rPr>
        <w:t> -]</w:t>
      </w:r>
    </w:p>
    <w:p w14:paraId="6B6B86A1" w14:textId="77777777" w:rsidR="00C33769" w:rsidRPr="009118AB" w:rsidRDefault="00C33769" w:rsidP="00477B8F">
      <w:pPr>
        <w:autoSpaceDE w:val="0"/>
        <w:autoSpaceDN w:val="0"/>
        <w:adjustRightInd w:val="0"/>
        <w:jc w:val="both"/>
      </w:pPr>
    </w:p>
    <w:p w14:paraId="1718BA17" w14:textId="77777777" w:rsidR="00C33769" w:rsidRPr="009118AB" w:rsidRDefault="00C33769" w:rsidP="00477B8F">
      <w:pPr>
        <w:autoSpaceDE w:val="0"/>
        <w:autoSpaceDN w:val="0"/>
        <w:adjustRightInd w:val="0"/>
        <w:jc w:val="both"/>
      </w:pPr>
    </w:p>
    <w:p w14:paraId="2AA7B18A" w14:textId="791C9842" w:rsidR="0057525B" w:rsidRPr="009118AB" w:rsidRDefault="009911C7" w:rsidP="0057525B">
      <w:pPr>
        <w:autoSpaceDE w:val="0"/>
        <w:autoSpaceDN w:val="0"/>
        <w:adjustRightInd w:val="0"/>
        <w:jc w:val="both"/>
        <w:rPr>
          <w:iCs/>
        </w:rPr>
      </w:pPr>
      <w:r w:rsidRPr="009118AB">
        <w:lastRenderedPageBreak/>
        <w:tab/>
      </w:r>
      <w:r w:rsidR="002F3A31" w:rsidRPr="009118AB">
        <w:t>[</w:t>
      </w:r>
      <w:r w:rsidR="00D67EB8" w:rsidRPr="009118AB">
        <w:rPr>
          <w:b/>
        </w:rPr>
        <w:t>Art. </w:t>
      </w:r>
      <w:r w:rsidR="00C33769" w:rsidRPr="009118AB">
        <w:rPr>
          <w:b/>
        </w:rPr>
        <w:t>190</w:t>
      </w:r>
      <w:r w:rsidR="00C33769" w:rsidRPr="009118AB">
        <w:rPr>
          <w:b/>
          <w:i/>
        </w:rPr>
        <w:t>bis</w:t>
      </w:r>
      <w:r w:rsidR="00D67EB8" w:rsidRPr="009118AB">
        <w:t> - </w:t>
      </w:r>
      <w:r w:rsidR="002E5920" w:rsidRPr="009118AB">
        <w:t>[</w:t>
      </w:r>
      <w:r w:rsidR="0057525B" w:rsidRPr="009118AB">
        <w:rPr>
          <w:iCs/>
        </w:rPr>
        <w:t>Die Beibehaltung des Abzugs von 20 Prozent der Kosten wie erwähnt in Arti</w:t>
      </w:r>
      <w:r w:rsidR="0057525B" w:rsidRPr="009118AB">
        <w:rPr>
          <w:iCs/>
        </w:rPr>
        <w:softHyphen/>
        <w:t>kel 64</w:t>
      </w:r>
      <w:r w:rsidR="0057525B" w:rsidRPr="009118AB">
        <w:rPr>
          <w:i/>
          <w:iCs/>
        </w:rPr>
        <w:t>ter</w:t>
      </w:r>
      <w:r w:rsidR="0057525B" w:rsidRPr="009118AB">
        <w:rPr>
          <w:iCs/>
        </w:rPr>
        <w:t>, so wie er vor seiner Abänderung durch Artikel 10 des Gesetzes vom 25. Dezem</w:t>
      </w:r>
      <w:r w:rsidR="0057525B" w:rsidRPr="009118AB">
        <w:rPr>
          <w:iCs/>
        </w:rPr>
        <w:softHyphen/>
        <w:t>ber 2017 zur Reform der Gesellschaftssteuer bestand, und in Artikel 198</w:t>
      </w:r>
      <w:r w:rsidR="0057525B" w:rsidRPr="009118AB">
        <w:rPr>
          <w:i/>
          <w:iCs/>
        </w:rPr>
        <w:t>bis</w:t>
      </w:r>
      <w:r w:rsidR="0057525B" w:rsidRPr="009118AB">
        <w:rPr>
          <w:iCs/>
        </w:rPr>
        <w:t xml:space="preserve"> Absatz 1 </w:t>
      </w:r>
      <w:r w:rsidR="00D67EB8" w:rsidRPr="009118AB">
        <w:rPr>
          <w:iCs/>
        </w:rPr>
        <w:t>Nr. </w:t>
      </w:r>
      <w:r w:rsidR="0057525B" w:rsidRPr="009118AB">
        <w:rPr>
          <w:iCs/>
        </w:rPr>
        <w:t>1 Buchstabe </w:t>
      </w:r>
      <w:r w:rsidR="0057525B" w:rsidRPr="009118AB">
        <w:rPr>
          <w:i/>
          <w:iCs/>
        </w:rPr>
        <w:t>a)</w:t>
      </w:r>
      <w:r w:rsidR="0057525B" w:rsidRPr="009118AB">
        <w:rPr>
          <w:iCs/>
        </w:rPr>
        <w:t xml:space="preserve">, so wie er vor seiner Abänderung durch Artikel 41 </w:t>
      </w:r>
      <w:r w:rsidR="00D67EB8" w:rsidRPr="009118AB">
        <w:rPr>
          <w:iCs/>
        </w:rPr>
        <w:t>Nr. </w:t>
      </w:r>
      <w:r w:rsidR="0057525B" w:rsidRPr="009118AB">
        <w:rPr>
          <w:iCs/>
        </w:rPr>
        <w:t>5 des vorerwähnten Gesetzes vom 25. Dezember 2017 bestand, der über den Betrag der tatsächlich gemachten oder getragenen Kosten hinaus zugelassen wurde, unterliegt der in Artikel 190 Absatz 2 erwähnten Bedingung.]]</w:t>
      </w:r>
    </w:p>
    <w:p w14:paraId="7E52C2E9" w14:textId="77777777" w:rsidR="0057525B" w:rsidRPr="009118AB" w:rsidRDefault="0057525B" w:rsidP="0057525B">
      <w:pPr>
        <w:autoSpaceDE w:val="0"/>
        <w:autoSpaceDN w:val="0"/>
        <w:adjustRightInd w:val="0"/>
        <w:jc w:val="both"/>
        <w:rPr>
          <w:iCs/>
        </w:rPr>
      </w:pPr>
    </w:p>
    <w:p w14:paraId="480C654C" w14:textId="3DFDD003" w:rsidR="0057525B" w:rsidRPr="009118AB" w:rsidRDefault="0057525B" w:rsidP="0057525B">
      <w:pPr>
        <w:autoSpaceDE w:val="0"/>
        <w:autoSpaceDN w:val="0"/>
        <w:adjustRightInd w:val="0"/>
        <w:jc w:val="both"/>
        <w:rPr>
          <w:iCs/>
        </w:rPr>
      </w:pPr>
      <w:r w:rsidRPr="009118AB">
        <w:rPr>
          <w:i/>
          <w:iCs/>
        </w:rPr>
        <w:t>[</w:t>
      </w:r>
      <w:r w:rsidR="00D67EB8" w:rsidRPr="009118AB">
        <w:rPr>
          <w:i/>
          <w:iCs/>
        </w:rPr>
        <w:t>Art. </w:t>
      </w:r>
      <w:r w:rsidRPr="009118AB">
        <w:rPr>
          <w:i/>
          <w:iCs/>
        </w:rPr>
        <w:t xml:space="preserve">190bis eingefügt durch </w:t>
      </w:r>
      <w:r w:rsidR="00D67EB8" w:rsidRPr="009118AB">
        <w:rPr>
          <w:i/>
          <w:iCs/>
        </w:rPr>
        <w:t>Art. </w:t>
      </w:r>
      <w:r w:rsidRPr="009118AB">
        <w:rPr>
          <w:i/>
          <w:iCs/>
        </w:rPr>
        <w:t>57 des G. vom 8. Juni 2008 (B.S. vom 16. Juni 2008</w:t>
      </w:r>
      <w:r w:rsidR="00907966" w:rsidRPr="009118AB">
        <w:rPr>
          <w:i/>
          <w:iCs/>
        </w:rPr>
        <w:t>)</w:t>
      </w:r>
      <w:r w:rsidR="00D67EB8" w:rsidRPr="009118AB">
        <w:rPr>
          <w:i/>
          <w:iCs/>
        </w:rPr>
        <w:t> - </w:t>
      </w:r>
      <w:r w:rsidR="00907966" w:rsidRPr="009118AB">
        <w:rPr>
          <w:i/>
          <w:iCs/>
        </w:rPr>
        <w:t>anwendbar auf die ab dem 1. </w:t>
      </w:r>
      <w:r w:rsidRPr="009118AB">
        <w:rPr>
          <w:i/>
          <w:iCs/>
        </w:rPr>
        <w:t>Januar 2009 gemachten oder getragenen Kosten</w:t>
      </w:r>
      <w:r w:rsidR="00D67EB8" w:rsidRPr="009118AB">
        <w:rPr>
          <w:i/>
          <w:iCs/>
        </w:rPr>
        <w:t> - </w:t>
      </w:r>
      <w:r w:rsidRPr="009118AB">
        <w:rPr>
          <w:i/>
          <w:iCs/>
        </w:rPr>
        <w:t xml:space="preserve">und ersetzt durch </w:t>
      </w:r>
      <w:r w:rsidR="00D67EB8" w:rsidRPr="009118AB">
        <w:rPr>
          <w:i/>
          <w:iCs/>
        </w:rPr>
        <w:t>Art. </w:t>
      </w:r>
      <w:r w:rsidRPr="009118AB">
        <w:rPr>
          <w:i/>
          <w:iCs/>
        </w:rPr>
        <w:t>22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FD68E8" w:rsidRPr="009118AB">
        <w:rPr>
          <w:i/>
          <w:iCs/>
        </w:rPr>
        <w:t> -]</w:t>
      </w:r>
    </w:p>
    <w:p w14:paraId="1E96E9CE" w14:textId="77777777" w:rsidR="0057525B" w:rsidRPr="009118AB" w:rsidRDefault="0057525B" w:rsidP="0057525B">
      <w:pPr>
        <w:autoSpaceDE w:val="0"/>
        <w:autoSpaceDN w:val="0"/>
        <w:adjustRightInd w:val="0"/>
        <w:jc w:val="both"/>
      </w:pPr>
    </w:p>
    <w:p w14:paraId="1E944B78" w14:textId="77777777" w:rsidR="0057525B" w:rsidRPr="009118AB" w:rsidRDefault="0057525B" w:rsidP="0057525B">
      <w:pPr>
        <w:autoSpaceDE w:val="0"/>
        <w:autoSpaceDN w:val="0"/>
        <w:adjustRightInd w:val="0"/>
        <w:jc w:val="both"/>
      </w:pPr>
    </w:p>
    <w:p w14:paraId="3A2006F2" w14:textId="46761305" w:rsidR="005232C6" w:rsidRPr="009118AB" w:rsidRDefault="00477B8F" w:rsidP="005232C6">
      <w:pPr>
        <w:autoSpaceDE w:val="0"/>
        <w:autoSpaceDN w:val="0"/>
        <w:adjustRightInd w:val="0"/>
        <w:jc w:val="both"/>
        <w:rPr>
          <w:iCs/>
        </w:rPr>
      </w:pPr>
      <w:r w:rsidRPr="009118AB">
        <w:tab/>
      </w:r>
      <w:r w:rsidR="00D67EB8" w:rsidRPr="009118AB">
        <w:rPr>
          <w:b/>
          <w:bCs/>
        </w:rPr>
        <w:t>Art. </w:t>
      </w:r>
      <w:r w:rsidRPr="009118AB">
        <w:rPr>
          <w:b/>
          <w:bCs/>
        </w:rPr>
        <w:t>191</w:t>
      </w:r>
      <w:r w:rsidR="00D67EB8" w:rsidRPr="009118AB">
        <w:t> - </w:t>
      </w:r>
      <w:r w:rsidR="00135017" w:rsidRPr="009118AB">
        <w:rPr>
          <w:iCs/>
        </w:rPr>
        <w:t>[…]</w:t>
      </w:r>
    </w:p>
    <w:p w14:paraId="79B74F46" w14:textId="77777777" w:rsidR="005232C6" w:rsidRPr="009118AB" w:rsidRDefault="005232C6" w:rsidP="005232C6">
      <w:pPr>
        <w:autoSpaceDE w:val="0"/>
        <w:autoSpaceDN w:val="0"/>
        <w:adjustRightInd w:val="0"/>
        <w:jc w:val="both"/>
        <w:rPr>
          <w:iCs/>
        </w:rPr>
      </w:pPr>
    </w:p>
    <w:p w14:paraId="086916B6" w14:textId="2525BF28" w:rsidR="005232C6" w:rsidRPr="009118AB" w:rsidRDefault="005232C6" w:rsidP="005232C6">
      <w:pPr>
        <w:autoSpaceDE w:val="0"/>
        <w:autoSpaceDN w:val="0"/>
        <w:adjustRightInd w:val="0"/>
        <w:jc w:val="both"/>
        <w:rPr>
          <w:iCs/>
        </w:rPr>
      </w:pPr>
      <w:r w:rsidRPr="009118AB">
        <w:rPr>
          <w:i/>
          <w:iCs/>
        </w:rPr>
        <w:t>[</w:t>
      </w:r>
      <w:r w:rsidR="00D67EB8" w:rsidRPr="009118AB">
        <w:rPr>
          <w:i/>
          <w:iCs/>
        </w:rPr>
        <w:t>Art. </w:t>
      </w:r>
      <w:r w:rsidRPr="009118AB">
        <w:rPr>
          <w:i/>
          <w:iCs/>
        </w:rPr>
        <w:t xml:space="preserve">191 aufgehoben durch </w:t>
      </w:r>
      <w:r w:rsidR="00D67EB8" w:rsidRPr="009118AB">
        <w:rPr>
          <w:i/>
          <w:iCs/>
        </w:rPr>
        <w:t>Art. </w:t>
      </w:r>
      <w:r w:rsidRPr="009118AB">
        <w:rPr>
          <w:i/>
          <w:iCs/>
        </w:rPr>
        <w:t>23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FD68E8" w:rsidRPr="009118AB">
        <w:rPr>
          <w:i/>
          <w:iCs/>
        </w:rPr>
        <w:t> -]</w:t>
      </w:r>
    </w:p>
    <w:p w14:paraId="4298F558" w14:textId="77777777" w:rsidR="005232C6" w:rsidRPr="009118AB" w:rsidRDefault="005232C6" w:rsidP="00477B8F">
      <w:pPr>
        <w:autoSpaceDE w:val="0"/>
        <w:autoSpaceDN w:val="0"/>
        <w:adjustRightInd w:val="0"/>
        <w:jc w:val="both"/>
      </w:pPr>
    </w:p>
    <w:p w14:paraId="010917C6" w14:textId="77777777" w:rsidR="00477B8F" w:rsidRPr="009118AB" w:rsidRDefault="00477B8F" w:rsidP="00477B8F">
      <w:pPr>
        <w:autoSpaceDE w:val="0"/>
        <w:autoSpaceDN w:val="0"/>
        <w:adjustRightInd w:val="0"/>
        <w:jc w:val="both"/>
      </w:pPr>
    </w:p>
    <w:p w14:paraId="54E1C27F" w14:textId="013B87B9" w:rsidR="00596A52" w:rsidRPr="009118AB" w:rsidRDefault="00301DB8" w:rsidP="00596A52">
      <w:pPr>
        <w:autoSpaceDE w:val="0"/>
        <w:autoSpaceDN w:val="0"/>
        <w:adjustRightInd w:val="0"/>
        <w:jc w:val="both"/>
      </w:pPr>
      <w:r w:rsidRPr="009118AB">
        <w:tab/>
      </w:r>
      <w:r w:rsidR="00D67EB8" w:rsidRPr="009118AB">
        <w:rPr>
          <w:b/>
          <w:bCs/>
        </w:rPr>
        <w:t>Art. </w:t>
      </w:r>
      <w:r w:rsidRPr="009118AB">
        <w:rPr>
          <w:b/>
          <w:bCs/>
        </w:rPr>
        <w:t>192</w:t>
      </w:r>
      <w:r w:rsidR="00D67EB8" w:rsidRPr="009118AB">
        <w:t> - </w:t>
      </w:r>
      <w:r w:rsidR="00596A52" w:rsidRPr="009118AB">
        <w:t>[</w:t>
      </w:r>
      <w:r w:rsidR="00D67EB8" w:rsidRPr="009118AB">
        <w:t>§ </w:t>
      </w:r>
      <w:r w:rsidR="00596A52" w:rsidRPr="009118AB">
        <w:t>1]</w:t>
      </w:r>
      <w:r w:rsidR="00D67EB8" w:rsidRPr="009118AB">
        <w:t> - </w:t>
      </w:r>
      <w:r w:rsidR="00596A52" w:rsidRPr="009118AB">
        <w:t>[</w:t>
      </w:r>
      <w:r w:rsidR="005232C6" w:rsidRPr="009118AB">
        <w:t xml:space="preserve">Nicht in Artikel 45 </w:t>
      </w:r>
      <w:r w:rsidR="00D67EB8" w:rsidRPr="009118AB">
        <w:t>§ </w:t>
      </w:r>
      <w:r w:rsidR="005232C6" w:rsidRPr="009118AB">
        <w:t xml:space="preserve">1 Absatz 1 </w:t>
      </w:r>
      <w:r w:rsidR="00D67EB8" w:rsidRPr="009118AB">
        <w:t>Nr. </w:t>
      </w:r>
      <w:r w:rsidR="005232C6" w:rsidRPr="009118AB">
        <w:t xml:space="preserve">1 erwähnte Mehrwerte auf Aktien oder Anteile, die verwirklicht oder bei Verteilung des Gesellschaftsvermögens einer aufgelösten Gesellschaft festgestellt werden, sind ebenfalls vollständig steuerfrei in dem Maße, wie die möglichen Einkünfte dieser Aktien oder Anteile </w:t>
      </w:r>
      <w:r w:rsidR="00FD0337">
        <w:t>[</w:t>
      </w:r>
      <w:r w:rsidR="00FD0337" w:rsidRPr="00FF1F87">
        <w:t>für einen Abzug von den Gewinnen gemäß den Artikeln 202 §§ 1 und 2 und 203</w:t>
      </w:r>
      <w:r w:rsidR="00FD0337">
        <w:t>]</w:t>
      </w:r>
      <w:r w:rsidR="005232C6" w:rsidRPr="009118AB">
        <w:t xml:space="preserve"> oder</w:t>
      </w:r>
      <w:r w:rsidR="00D67EB8" w:rsidRPr="009118AB">
        <w:t> - </w:t>
      </w:r>
      <w:r w:rsidR="005232C6" w:rsidRPr="009118AB">
        <w:t>für Aktien oder Anteile, die gemäß Artikel 194 des Gesetzes vom 13. März 2016 über den Status und die Kontrolle der Versicherungs- oder Rückversicherungsunternehmen gehalten werden</w:t>
      </w:r>
      <w:r w:rsidR="00D67EB8" w:rsidRPr="009118AB">
        <w:t> - </w:t>
      </w:r>
      <w:r w:rsidR="005232C6" w:rsidRPr="009118AB">
        <w:t xml:space="preserve">gemäß den Artikeln 202 </w:t>
      </w:r>
      <w:r w:rsidR="00D67EB8" w:rsidRPr="009118AB">
        <w:t>§ </w:t>
      </w:r>
      <w:r w:rsidR="005232C6" w:rsidRPr="009118AB">
        <w:t xml:space="preserve">1 und </w:t>
      </w:r>
      <w:r w:rsidR="00D67EB8" w:rsidRPr="009118AB">
        <w:t>§ </w:t>
      </w:r>
      <w:r w:rsidR="005232C6" w:rsidRPr="009118AB">
        <w:t xml:space="preserve">2 Absatz 1 </w:t>
      </w:r>
      <w:r w:rsidR="00D67EB8" w:rsidRPr="009118AB">
        <w:t>Nr. </w:t>
      </w:r>
      <w:r w:rsidR="005232C6" w:rsidRPr="009118AB">
        <w:t>2 und 203 in Betracht kommen.</w:t>
      </w:r>
      <w:r w:rsidR="00596A52" w:rsidRPr="009118AB">
        <w:t>]</w:t>
      </w:r>
    </w:p>
    <w:p w14:paraId="73EF6B7C" w14:textId="77777777" w:rsidR="00596A52" w:rsidRPr="009118AB" w:rsidRDefault="00596A52" w:rsidP="00596A52">
      <w:pPr>
        <w:autoSpaceDE w:val="0"/>
        <w:autoSpaceDN w:val="0"/>
        <w:adjustRightInd w:val="0"/>
        <w:jc w:val="both"/>
      </w:pPr>
    </w:p>
    <w:p w14:paraId="42FB6830" w14:textId="302A883A" w:rsidR="00596A52" w:rsidRPr="009118AB" w:rsidRDefault="00596A52" w:rsidP="00596A52">
      <w:pPr>
        <w:autoSpaceDE w:val="0"/>
        <w:autoSpaceDN w:val="0"/>
        <w:adjustRightInd w:val="0"/>
        <w:jc w:val="both"/>
      </w:pPr>
      <w:r w:rsidRPr="009118AB">
        <w:tab/>
        <w:t xml:space="preserve">Die Steuerbefreiung ist nur in dem Maße anwendbar, wie der steuerpflichtige Betrag der Mehrwerte den Gesamtbetrag der vorher auf die veräußerten Aktien oder Anteile zugelassenen Wertminderungen abzüglich des Gesamtbetrags der aufgrund von Artikel 24 Absatz 1 </w:t>
      </w:r>
      <w:r w:rsidR="00D67EB8" w:rsidRPr="009118AB">
        <w:t>Nr. </w:t>
      </w:r>
      <w:r w:rsidRPr="009118AB">
        <w:t>3 besteuerten Mehrwerte übersteigt.</w:t>
      </w:r>
    </w:p>
    <w:p w14:paraId="41D8C1E5" w14:textId="77777777" w:rsidR="00596A52" w:rsidRPr="009118AB" w:rsidRDefault="00596A52" w:rsidP="00596A52">
      <w:pPr>
        <w:autoSpaceDE w:val="0"/>
        <w:autoSpaceDN w:val="0"/>
        <w:adjustRightInd w:val="0"/>
        <w:jc w:val="both"/>
      </w:pPr>
    </w:p>
    <w:p w14:paraId="33933A78" w14:textId="32CC6839" w:rsidR="00596A52" w:rsidRPr="009118AB" w:rsidRDefault="00596A52" w:rsidP="00596A52">
      <w:pPr>
        <w:autoSpaceDE w:val="0"/>
        <w:autoSpaceDN w:val="0"/>
        <w:adjustRightInd w:val="0"/>
        <w:jc w:val="both"/>
      </w:pPr>
      <w:r w:rsidRPr="009118AB">
        <w:tab/>
        <w:t xml:space="preserve">[In Abweichung von Absatz 1 wird für Mehrwerte auf </w:t>
      </w:r>
      <w:r w:rsidR="005232C6" w:rsidRPr="009118AB">
        <w:t xml:space="preserve">[Aktien oder Anteile, die infolge eines Vorgangs durch Umtausch erhalten werden, der in Anwendung von Artikel 45 </w:t>
      </w:r>
      <w:r w:rsidR="00D67EB8" w:rsidRPr="009118AB">
        <w:t>§ </w:t>
      </w:r>
      <w:r w:rsidR="005232C6" w:rsidRPr="009118AB">
        <w:t xml:space="preserve">1 Absatz 1 </w:t>
      </w:r>
      <w:r w:rsidR="00D67EB8" w:rsidRPr="009118AB">
        <w:t>Nr. </w:t>
      </w:r>
      <w:r w:rsidR="005232C6" w:rsidRPr="009118AB">
        <w:t xml:space="preserve">2 aufgrund der Tatsache steuerfrei ist, dass die möglichen Einkünfte der umgetauschten Aktien oder Anteile zum Zeitpunkt des Umtauschs nicht für einen Abzug von den Gewinnen gemäß den Artikeln 202 </w:t>
      </w:r>
      <w:r w:rsidR="00D67EB8" w:rsidRPr="009118AB">
        <w:t>§ </w:t>
      </w:r>
      <w:r w:rsidR="005232C6" w:rsidRPr="009118AB">
        <w:t>1 und 203 in Betracht kamen]</w:t>
      </w:r>
      <w:r w:rsidRPr="009118AB">
        <w:t>, der in Anwendung des vorliegenden Artikels steuerfreie Betrag auf die Differenz zwischen dem Veräußerungspreis und dem Realwert der Aktien oder Anteile zum Zeitpunkt der Einbringung begrenzt.]</w:t>
      </w:r>
    </w:p>
    <w:p w14:paraId="3236E3FD" w14:textId="77777777" w:rsidR="00596A52" w:rsidRPr="009118AB" w:rsidRDefault="00596A52" w:rsidP="00596A52">
      <w:pPr>
        <w:autoSpaceDE w:val="0"/>
        <w:autoSpaceDN w:val="0"/>
        <w:adjustRightInd w:val="0"/>
        <w:jc w:val="both"/>
      </w:pPr>
    </w:p>
    <w:p w14:paraId="7ED524F1" w14:textId="021EA75F" w:rsidR="00596A52" w:rsidRPr="009118AB" w:rsidRDefault="00596A52" w:rsidP="00596A52">
      <w:pPr>
        <w:autoSpaceDE w:val="0"/>
        <w:autoSpaceDN w:val="0"/>
        <w:adjustRightInd w:val="0"/>
        <w:jc w:val="both"/>
      </w:pPr>
      <w:r w:rsidRPr="009118AB">
        <w:tab/>
        <w:t>[Die in Absatz 1 vorgesehene Steuerbefreiung ist nicht auf Unternehmen anwendbar, auf die der Königliche Erlass vom 23. September 1992 über den Jahresabschluss von Kreditinstituten, Investmentgesellschaften und Verwaltungsgesellschaften von Organismen für gemeinsame Anlagen anwendbar ist, für Geschäfte mit Wertpapieren, die zum Handelsportfolio gehören wie in Artikel 35</w:t>
      </w:r>
      <w:r w:rsidRPr="009118AB">
        <w:rPr>
          <w:i/>
        </w:rPr>
        <w:t>ter</w:t>
      </w:r>
      <w:r w:rsidRPr="009118AB">
        <w:t xml:space="preserve"> </w:t>
      </w:r>
      <w:r w:rsidR="00D67EB8" w:rsidRPr="009118AB">
        <w:t>§ </w:t>
      </w:r>
      <w:r w:rsidRPr="009118AB">
        <w:t>1 Absatz 2 Buchstabe </w:t>
      </w:r>
      <w:r w:rsidRPr="009118AB">
        <w:rPr>
          <w:i/>
        </w:rPr>
        <w:t>a)</w:t>
      </w:r>
      <w:r w:rsidRPr="009118AB">
        <w:t xml:space="preserve"> desselben Erlasses erwähnt.</w:t>
      </w:r>
    </w:p>
    <w:p w14:paraId="51F72F0E" w14:textId="77777777" w:rsidR="00596A52" w:rsidRPr="009118AB" w:rsidRDefault="00596A52" w:rsidP="00596A52">
      <w:pPr>
        <w:autoSpaceDE w:val="0"/>
        <w:autoSpaceDN w:val="0"/>
        <w:adjustRightInd w:val="0"/>
        <w:jc w:val="both"/>
      </w:pPr>
    </w:p>
    <w:p w14:paraId="12D50F85" w14:textId="77777777" w:rsidR="00596A52" w:rsidRPr="009118AB" w:rsidRDefault="00596A52" w:rsidP="00596A52">
      <w:pPr>
        <w:autoSpaceDE w:val="0"/>
        <w:autoSpaceDN w:val="0"/>
        <w:adjustRightInd w:val="0"/>
        <w:jc w:val="both"/>
        <w:rPr>
          <w:spacing w:val="-2"/>
        </w:rPr>
      </w:pPr>
      <w:r w:rsidRPr="009118AB">
        <w:rPr>
          <w:spacing w:val="-2"/>
        </w:rPr>
        <w:lastRenderedPageBreak/>
        <w:tab/>
        <w:t>Für die in vorhergehendem Absatz erwähnten Unternehmen gelten interne Übertragungen von Aktien oder Anteilen aus dem oder in das Handelsportfolio als Veräußerung. Aufgezeichnete, aber nicht verwirklichte Mehrwerte und latente Mehrwerte auf diese Aktien oder Anteile gelten als Gewinne des Besteuerungszeitraums, in dem diese Aktien oder Anteile das Handelsportfolio verlassen. Im Gegensatz dazu gelten aufgezeichnete, aber nicht verwirklichte Mehrwerte und latente Mehrwerte auf diese Aktien oder Anteile als steuerfreie Gewinne des Besteuerungszeitraums, in dem diese Aktien oder Anteile Teil des Handelsportfolios werden, wenn das Unternehmen sie bereits seit mindestens einem Jahr gehalten hat, oder als steuerpflichtige Gewinne, wenn das Unternehmen sie noch kein Jahr gehalten hat.</w:t>
      </w:r>
    </w:p>
    <w:p w14:paraId="12C11638" w14:textId="77777777" w:rsidR="00596A52" w:rsidRPr="009118AB" w:rsidRDefault="00596A52" w:rsidP="00596A52">
      <w:pPr>
        <w:autoSpaceDE w:val="0"/>
        <w:autoSpaceDN w:val="0"/>
        <w:adjustRightInd w:val="0"/>
        <w:jc w:val="both"/>
      </w:pPr>
    </w:p>
    <w:p w14:paraId="147E1EF7" w14:textId="77777777" w:rsidR="00596A52" w:rsidRPr="009118AB" w:rsidRDefault="00596A52" w:rsidP="00596A52">
      <w:pPr>
        <w:autoSpaceDE w:val="0"/>
        <w:autoSpaceDN w:val="0"/>
        <w:adjustRightInd w:val="0"/>
        <w:jc w:val="both"/>
      </w:pPr>
      <w:r w:rsidRPr="009118AB">
        <w:tab/>
        <w:t>Für die Berechnung des Mehrwertes, der aufgrund der Absätze 4 und 5 steuerpflichtig ist, gilt der am 31. Dezember 2011 festgelegte Wert der Aktien oder Anteile als der Anschaffungs- oder Investitionswert abzüglich der vorher zugelassenen Wertminderungen, wenn die betreffenden Aktien oder Anteile am 31. Dezember 2011 schon in der Buchhaltung der Gesellschaft ausgewiesen sind.</w:t>
      </w:r>
    </w:p>
    <w:p w14:paraId="45769B2F" w14:textId="77777777" w:rsidR="00596A52" w:rsidRPr="009118AB" w:rsidRDefault="00596A52" w:rsidP="00596A52">
      <w:pPr>
        <w:autoSpaceDE w:val="0"/>
        <w:autoSpaceDN w:val="0"/>
        <w:adjustRightInd w:val="0"/>
        <w:jc w:val="both"/>
      </w:pPr>
    </w:p>
    <w:p w14:paraId="722C2F6A" w14:textId="09174B73" w:rsidR="00596A52" w:rsidRPr="009118AB" w:rsidRDefault="00596A52" w:rsidP="00596A52">
      <w:pPr>
        <w:autoSpaceDE w:val="0"/>
        <w:autoSpaceDN w:val="0"/>
        <w:adjustRightInd w:val="0"/>
        <w:jc w:val="both"/>
      </w:pPr>
      <w:r w:rsidRPr="009118AB">
        <w:tab/>
        <w:t xml:space="preserve">Für die Anwendung von Absatz 1 und um zu bestimmen, ob Aktien oder Anteile während eines ununterbrochenen Zeitraums von mindestens einem Jahr in Volleigentum gehalten worden sind, gelten Aktien oder Anteile, die durch Umtausch erhalten werden infolge steuerlich neutraler Vorgänge erwähnt in den Artikeln 46 </w:t>
      </w:r>
      <w:r w:rsidR="00D67EB8" w:rsidRPr="009118AB">
        <w:t>§ </w:t>
      </w:r>
      <w:r w:rsidRPr="009118AB">
        <w:t xml:space="preserve">1 Absatz 1 </w:t>
      </w:r>
      <w:r w:rsidR="00D67EB8" w:rsidRPr="009118AB">
        <w:t>Nr. </w:t>
      </w:r>
      <w:r w:rsidRPr="009118AB">
        <w:t xml:space="preserve">2, 211, 214 </w:t>
      </w:r>
      <w:r w:rsidR="00D67EB8" w:rsidRPr="009118AB">
        <w:t>§ </w:t>
      </w:r>
      <w:r w:rsidRPr="009118AB">
        <w:t>1 und 231 §</w:t>
      </w:r>
      <w:r w:rsidR="00D67EB8" w:rsidRPr="009118AB">
        <w:t>§ </w:t>
      </w:r>
      <w:r w:rsidRPr="009118AB">
        <w:t>2 und 3, die je nach Fall den Bestimmungen von Artikel 183</w:t>
      </w:r>
      <w:r w:rsidRPr="009118AB">
        <w:rPr>
          <w:i/>
        </w:rPr>
        <w:t>bis</w:t>
      </w:r>
      <w:r w:rsidRPr="009118AB">
        <w:t xml:space="preserve"> entsprechen, als am Erwerbsdatum der umgetauschten Aktien oder Anteile erworben.]</w:t>
      </w:r>
    </w:p>
    <w:p w14:paraId="2423F171" w14:textId="77777777" w:rsidR="00596A52" w:rsidRPr="009118AB" w:rsidRDefault="00596A52" w:rsidP="00596A52">
      <w:pPr>
        <w:autoSpaceDE w:val="0"/>
        <w:autoSpaceDN w:val="0"/>
        <w:adjustRightInd w:val="0"/>
        <w:jc w:val="both"/>
      </w:pPr>
    </w:p>
    <w:p w14:paraId="11F24050" w14:textId="388E7684" w:rsidR="00596A52" w:rsidRPr="009118AB" w:rsidRDefault="00596A52" w:rsidP="00596A52">
      <w:pPr>
        <w:autoSpaceDE w:val="0"/>
        <w:autoSpaceDN w:val="0"/>
        <w:adjustRightInd w:val="0"/>
        <w:jc w:val="both"/>
      </w:pPr>
      <w:r w:rsidRPr="009118AB">
        <w:tab/>
        <w:t xml:space="preserve">[Um zu bestimmen, </w:t>
      </w:r>
      <w:r w:rsidR="00556699" w:rsidRPr="009118AB">
        <w:t>[</w:t>
      </w:r>
      <w:r w:rsidR="00556699" w:rsidRPr="009118AB">
        <w:rPr>
          <w:lang w:eastAsia="fr-BE"/>
        </w:rPr>
        <w:t xml:space="preserve">ob die in Artikel 202 </w:t>
      </w:r>
      <w:r w:rsidR="00D67EB8" w:rsidRPr="009118AB">
        <w:rPr>
          <w:lang w:eastAsia="fr-BE"/>
        </w:rPr>
        <w:t>§ </w:t>
      </w:r>
      <w:r w:rsidR="00556699" w:rsidRPr="009118AB">
        <w:rPr>
          <w:lang w:eastAsia="fr-BE"/>
        </w:rPr>
        <w:t xml:space="preserve">2 Absatz 1 </w:t>
      </w:r>
      <w:r w:rsidR="00D67EB8" w:rsidRPr="009118AB">
        <w:rPr>
          <w:lang w:eastAsia="fr-BE"/>
        </w:rPr>
        <w:t>Nr. </w:t>
      </w:r>
      <w:r w:rsidR="00556699" w:rsidRPr="009118AB">
        <w:rPr>
          <w:lang w:eastAsia="fr-BE"/>
        </w:rPr>
        <w:t>2 erwähnte Bedingung von der übernehmenden oder begünstigten Gesellschaft erfüllt wird</w:t>
      </w:r>
      <w:r w:rsidR="00556699" w:rsidRPr="009118AB">
        <w:t>]</w:t>
      </w:r>
      <w:r w:rsidRPr="009118AB">
        <w:t xml:space="preserve">, gelten Aktien oder Anteile, die übertragen worden sind infolge steuerlich neutraler Vorgänge erwähnt in den Artikeln 46 </w:t>
      </w:r>
      <w:r w:rsidR="00D67EB8" w:rsidRPr="009118AB">
        <w:t>§ </w:t>
      </w:r>
      <w:r w:rsidRPr="009118AB">
        <w:t xml:space="preserve">1 Absatz 1 </w:t>
      </w:r>
      <w:r w:rsidR="00D67EB8" w:rsidRPr="009118AB">
        <w:t>Nr. </w:t>
      </w:r>
      <w:r w:rsidRPr="009118AB">
        <w:t xml:space="preserve">2, 211, 214 </w:t>
      </w:r>
      <w:r w:rsidR="00D67EB8" w:rsidRPr="009118AB">
        <w:t>§ </w:t>
      </w:r>
      <w:r w:rsidRPr="009118AB">
        <w:t>1 und 231 §</w:t>
      </w:r>
      <w:r w:rsidR="00D67EB8" w:rsidRPr="009118AB">
        <w:t>§ </w:t>
      </w:r>
      <w:r w:rsidRPr="009118AB">
        <w:t>2 und 3, die je nach Fall den Bestimmungen von Artikel 183</w:t>
      </w:r>
      <w:r w:rsidRPr="009118AB">
        <w:rPr>
          <w:i/>
        </w:rPr>
        <w:t>bis</w:t>
      </w:r>
      <w:r w:rsidRPr="009118AB">
        <w:t xml:space="preserve"> entsprechen, als am Datum des Erwerbs durch den Einbringer oder die umgewandelte, übertragende oder aufgespaltene Gesellschaft erworben.]</w:t>
      </w:r>
    </w:p>
    <w:p w14:paraId="159A02C0" w14:textId="77777777" w:rsidR="00596A52" w:rsidRPr="009118AB" w:rsidRDefault="00596A52" w:rsidP="00596A52">
      <w:pPr>
        <w:autoSpaceDE w:val="0"/>
        <w:autoSpaceDN w:val="0"/>
        <w:adjustRightInd w:val="0"/>
        <w:jc w:val="both"/>
      </w:pPr>
    </w:p>
    <w:p w14:paraId="50683061" w14:textId="23D07BF4" w:rsidR="00596A52" w:rsidRPr="009118AB" w:rsidRDefault="00596A52" w:rsidP="00596A52">
      <w:pPr>
        <w:autoSpaceDE w:val="0"/>
        <w:autoSpaceDN w:val="0"/>
        <w:adjustRightInd w:val="0"/>
        <w:jc w:val="both"/>
      </w:pPr>
      <w:r w:rsidRPr="009118AB">
        <w:tab/>
        <w:t>[</w:t>
      </w:r>
      <w:r w:rsidR="00D67EB8" w:rsidRPr="009118AB">
        <w:t>§ </w:t>
      </w:r>
      <w:r w:rsidRPr="009118AB">
        <w:t>2</w:t>
      </w:r>
      <w:r w:rsidR="00D67EB8" w:rsidRPr="009118AB">
        <w:t> - </w:t>
      </w:r>
      <w:r w:rsidRPr="009118AB">
        <w:t xml:space="preserve">Ist in Bezug auf die in Artikel 46 </w:t>
      </w:r>
      <w:r w:rsidR="00D67EB8" w:rsidRPr="009118AB">
        <w:t>§ </w:t>
      </w:r>
      <w:r w:rsidRPr="009118AB">
        <w:t xml:space="preserve">1 Absatz 1 </w:t>
      </w:r>
      <w:r w:rsidR="00D67EB8" w:rsidRPr="009118AB">
        <w:t>Nr. </w:t>
      </w:r>
      <w:r w:rsidRPr="009118AB">
        <w:t>2 erwähnten Verrichtungen die in Artikel 47 erwähnte Wiederanlage Teil der Einbringung oder hat die Gesellschaft, zu deren Gunsten die Einbringung erfolgt, sich gegebenenfalls unwiderruflich dazu verpflichtet, diese Wiederanlage durchzuführen, wird der zum Zeitpunkt der Einbringung vorläufig nicht besteuerte Teil des in Artikel 47 erwähnten Mehrwertes für den ehemaligen Steuerpflichtigen vollständig von der Steuer befreit unbeschadet der Anwendung in Bezug auf diesen Mehrwert der Bestimmungen von Artikel 190 auf die Gesellschaft, zu deren Gunsten die Einbringung erfolgt. Die buchhalterische Darstellung dieses Mehrwertes für die Gesellschaft, zu deren Gunsten die Einbringung erfolgt, hat keine Auswirkung auf die Festlegung des Ergebnisses des Besteuerungszeitraums.]</w:t>
      </w:r>
    </w:p>
    <w:p w14:paraId="4814CEA8" w14:textId="77777777" w:rsidR="00596A52" w:rsidRPr="009118AB" w:rsidRDefault="00596A52" w:rsidP="00596A52">
      <w:pPr>
        <w:autoSpaceDE w:val="0"/>
        <w:autoSpaceDN w:val="0"/>
        <w:adjustRightInd w:val="0"/>
        <w:jc w:val="both"/>
      </w:pPr>
    </w:p>
    <w:p w14:paraId="6148DF91" w14:textId="1F2EE24A" w:rsidR="00596A52" w:rsidRPr="009118AB" w:rsidRDefault="00596A52" w:rsidP="00596A52">
      <w:pPr>
        <w:autoSpaceDE w:val="0"/>
        <w:autoSpaceDN w:val="0"/>
        <w:adjustRightInd w:val="0"/>
        <w:jc w:val="both"/>
      </w:pPr>
      <w:r w:rsidRPr="009118AB">
        <w:tab/>
        <w:t>[</w:t>
      </w:r>
      <w:r w:rsidR="00D67EB8" w:rsidRPr="009118AB">
        <w:t>§ </w:t>
      </w:r>
      <w:r w:rsidRPr="009118AB">
        <w:t>3</w:t>
      </w:r>
      <w:r w:rsidR="00D67EB8" w:rsidRPr="009118AB">
        <w:t> - </w:t>
      </w:r>
      <w:r w:rsidRPr="009118AB">
        <w:t xml:space="preserve">Für die Anwendung von </w:t>
      </w:r>
      <w:r w:rsidR="00D67EB8" w:rsidRPr="009118AB">
        <w:t>§ </w:t>
      </w:r>
      <w:r w:rsidRPr="009118AB">
        <w:t xml:space="preserve">1 Absatz 1 gilt die Bedingung in Bezug auf die möglichen Einkünfte aus Aktien oder Anteilen von privaten Kapitalanlagefonds mit fixem Kapital erwähnt in </w:t>
      </w:r>
      <w:r w:rsidR="00D024F7" w:rsidRPr="009118AB">
        <w:t>[Artikel 298 des Gesetzes vom 19. April 2014 über alternative Organismen für gemeinsame Anlagen und ihre Verwalter]</w:t>
      </w:r>
      <w:r w:rsidRPr="009118AB">
        <w:t xml:space="preserve"> als erfüllt, wenn diese Gesellschaften die Gesamtheit ihrer Aktiva anlegen:</w:t>
      </w:r>
    </w:p>
    <w:p w14:paraId="43B5A407" w14:textId="77777777" w:rsidR="00596A52" w:rsidRPr="009118AB" w:rsidRDefault="00596A52" w:rsidP="00596A52">
      <w:pPr>
        <w:autoSpaceDE w:val="0"/>
        <w:autoSpaceDN w:val="0"/>
        <w:adjustRightInd w:val="0"/>
        <w:jc w:val="both"/>
      </w:pPr>
    </w:p>
    <w:p w14:paraId="2A627F07" w14:textId="133347E5" w:rsidR="00596A52" w:rsidRPr="009118AB" w:rsidRDefault="00596A52" w:rsidP="00596A52">
      <w:pPr>
        <w:autoSpaceDE w:val="0"/>
        <w:autoSpaceDN w:val="0"/>
        <w:adjustRightInd w:val="0"/>
        <w:jc w:val="both"/>
      </w:pPr>
      <w:r w:rsidRPr="009118AB">
        <w:tab/>
        <w:t xml:space="preserve">1. in Aktien oder Anteile, deren mögliche Einkünfte für einen vollständigen Abzug von den Gewinnen gemäß den Artikeln 202 </w:t>
      </w:r>
      <w:r w:rsidR="00D67EB8" w:rsidRPr="009118AB">
        <w:t>§ </w:t>
      </w:r>
      <w:r w:rsidRPr="009118AB">
        <w:t>1 und 203 in Betracht kommen, oder</w:t>
      </w:r>
    </w:p>
    <w:p w14:paraId="1FB00B42" w14:textId="77777777" w:rsidR="00596A52" w:rsidRPr="009118AB" w:rsidRDefault="00596A52" w:rsidP="00596A52">
      <w:pPr>
        <w:autoSpaceDE w:val="0"/>
        <w:autoSpaceDN w:val="0"/>
        <w:adjustRightInd w:val="0"/>
        <w:jc w:val="both"/>
      </w:pPr>
    </w:p>
    <w:p w14:paraId="3FACA30A" w14:textId="77777777" w:rsidR="00596A52" w:rsidRPr="009118AB" w:rsidRDefault="00596A52" w:rsidP="00596A52">
      <w:pPr>
        <w:autoSpaceDE w:val="0"/>
        <w:autoSpaceDN w:val="0"/>
        <w:adjustRightInd w:val="0"/>
        <w:jc w:val="both"/>
      </w:pPr>
      <w:r w:rsidRPr="009118AB">
        <w:lastRenderedPageBreak/>
        <w:tab/>
        <w:t xml:space="preserve">2. in Aktien oder Anteile von privaten Kapitalanlagefonds mit fixem Kapital erwähnt in </w:t>
      </w:r>
      <w:r w:rsidR="00D024F7" w:rsidRPr="009118AB">
        <w:t>[Artikel 298 des Gesetzes vom 19. April 2014]</w:t>
      </w:r>
      <w:r w:rsidRPr="009118AB">
        <w:t xml:space="preserve"> oder</w:t>
      </w:r>
    </w:p>
    <w:p w14:paraId="5CF79C16" w14:textId="77777777" w:rsidR="00596A52" w:rsidRPr="009118AB" w:rsidRDefault="00596A52" w:rsidP="00596A52">
      <w:pPr>
        <w:autoSpaceDE w:val="0"/>
        <w:autoSpaceDN w:val="0"/>
        <w:adjustRightInd w:val="0"/>
        <w:jc w:val="both"/>
      </w:pPr>
    </w:p>
    <w:p w14:paraId="222BCF96" w14:textId="5D472761" w:rsidR="00596A52" w:rsidRPr="009118AB" w:rsidRDefault="00596A52" w:rsidP="00596A52">
      <w:pPr>
        <w:autoSpaceDE w:val="0"/>
        <w:autoSpaceDN w:val="0"/>
        <w:adjustRightInd w:val="0"/>
        <w:jc w:val="both"/>
      </w:pPr>
      <w:r w:rsidRPr="009118AB">
        <w:tab/>
        <w:t xml:space="preserve">3. </w:t>
      </w:r>
      <w:r w:rsidR="0007201C" w:rsidRPr="009118AB">
        <w:t>[</w:t>
      </w:r>
      <w:r w:rsidR="0007201C" w:rsidRPr="009118AB">
        <w:rPr>
          <w:rFonts w:eastAsia="Calibri"/>
        </w:rPr>
        <w:t xml:space="preserve">unter Einhaltung der Regeln, die in </w:t>
      </w:r>
      <w:r w:rsidR="00132071" w:rsidRPr="009118AB">
        <w:rPr>
          <w:rFonts w:eastAsia="Calibri"/>
        </w:rPr>
        <w:t>[</w:t>
      </w:r>
      <w:r w:rsidR="0007201C" w:rsidRPr="009118AB">
        <w:rPr>
          <w:rFonts w:eastAsia="Calibri"/>
        </w:rPr>
        <w:t xml:space="preserve">Artikel 304 </w:t>
      </w:r>
      <w:r w:rsidR="00D67EB8" w:rsidRPr="009118AB">
        <w:rPr>
          <w:rFonts w:eastAsia="Calibri"/>
        </w:rPr>
        <w:t>§ </w:t>
      </w:r>
      <w:r w:rsidR="00132071" w:rsidRPr="009118AB">
        <w:rPr>
          <w:rFonts w:eastAsia="Calibri"/>
        </w:rPr>
        <w:t>3]</w:t>
      </w:r>
      <w:r w:rsidR="0007201C" w:rsidRPr="009118AB">
        <w:rPr>
          <w:rFonts w:eastAsia="Calibri"/>
        </w:rPr>
        <w:t xml:space="preserve"> des Gesetzes vom 19. April 2014 über alternative Organismen für gemeinsame Anlagen und ihre Verwalter und in Artikel 16 des Königlichen Erlasses vom 23. Mai 2007 über private Kapitalanlagefonds mit fixem Kapital erwähnt sind.</w:t>
      </w:r>
      <w:r w:rsidR="0007201C" w:rsidRPr="009118AB">
        <w:t>]</w:t>
      </w:r>
    </w:p>
    <w:p w14:paraId="05C76DEF" w14:textId="77777777" w:rsidR="00596A52" w:rsidRPr="009118AB" w:rsidRDefault="00596A52" w:rsidP="00596A52">
      <w:pPr>
        <w:autoSpaceDE w:val="0"/>
        <w:autoSpaceDN w:val="0"/>
        <w:adjustRightInd w:val="0"/>
        <w:jc w:val="both"/>
      </w:pPr>
    </w:p>
    <w:p w14:paraId="4ED12564" w14:textId="77777777" w:rsidR="00596A52" w:rsidRPr="009118AB" w:rsidRDefault="00596A52" w:rsidP="00596A52">
      <w:pPr>
        <w:autoSpaceDE w:val="0"/>
        <w:autoSpaceDN w:val="0"/>
        <w:adjustRightInd w:val="0"/>
        <w:jc w:val="both"/>
      </w:pPr>
      <w:r w:rsidRPr="009118AB">
        <w:tab/>
        <w:t xml:space="preserve">Für die Anwendung des vorliegenden Paragraphen werden Investmentgesellschaften, die in einem Mitgliedstaat der Europäischen Union den Merkmalen </w:t>
      </w:r>
      <w:r w:rsidR="00D024F7" w:rsidRPr="009118AB">
        <w:t>[eines in Artikel 298 des Gesetzes vom 19. April 2014 erwähnten alternativen Organismus für gemeinsame Anlagen]</w:t>
      </w:r>
      <w:r w:rsidRPr="009118AB">
        <w:t xml:space="preserve"> entsprechen und deren Wertpapiere gemäß den entsprechenden Bestimmungen dieses Mitgliedstaates in Bezug auf die öffentliche Aufforderung zur Zeichnung privat gehalten werden, </w:t>
      </w:r>
      <w:r w:rsidR="00D024F7" w:rsidRPr="009118AB">
        <w:t>[mit den in Artikel 298 desselben Gesetzes erwähnten privaten Kapitalanlagefonds mit fixem Kapital]</w:t>
      </w:r>
      <w:r w:rsidRPr="009118AB">
        <w:t xml:space="preserve"> gleichgesetzt.]</w:t>
      </w:r>
    </w:p>
    <w:p w14:paraId="489456AD" w14:textId="77777777" w:rsidR="00596A52" w:rsidRDefault="00596A52" w:rsidP="00596A52">
      <w:pPr>
        <w:autoSpaceDE w:val="0"/>
        <w:autoSpaceDN w:val="0"/>
        <w:adjustRightInd w:val="0"/>
        <w:jc w:val="both"/>
      </w:pPr>
    </w:p>
    <w:p w14:paraId="5C464146" w14:textId="2688B899" w:rsidR="00FD0337" w:rsidRPr="00FF1F87" w:rsidRDefault="00FD0337" w:rsidP="00FD0337">
      <w:pPr>
        <w:ind w:firstLine="708"/>
        <w:jc w:val="both"/>
      </w:pPr>
      <w:r>
        <w:tab/>
        <w:t>[</w:t>
      </w:r>
      <w:r w:rsidRPr="00FF1F87">
        <w:t>§ 4 - Mehrwerte auf Aktien oder Anteile, die verwirklicht oder bei Verteilung des Gesellschaftsvermögens einer ausländischen Gesellschaft festgestellt werden, wobei die Gewinne dieser Gesellschaft oder einer in einem Drittland gelegenen Niederlassung dieser Gesellschaft in einem vorhergehenden Besteuerungszeitraum in Anwendung von Artikel 185/2 beim Steuerpflichtigen als nicht ausgeschüttete Gewinne besteuert wurden, können - falls diese Mehrwerte auf Aktien oder Anteile nicht aufgrund der Paragraphen 1 und 2 vollständig steuerfrei waren - noch in Höhe des Betrags der Gewinne dieser ausländischen Gesellschaft von der Steuer befreit werden, der in einem vorhergehenden Besteuerungszeitraum in Anwendung von Artikel 185/2 bei der inländischen Gesellschaft als nicht ausgeschüttete Gewinne besteuert wurde, sofern:</w:t>
      </w:r>
    </w:p>
    <w:p w14:paraId="0E4313D1" w14:textId="77777777" w:rsidR="00FD0337" w:rsidRPr="00FF1F87" w:rsidRDefault="00FD0337" w:rsidP="00FD0337">
      <w:pPr>
        <w:jc w:val="both"/>
      </w:pPr>
    </w:p>
    <w:p w14:paraId="3E5BF64B" w14:textId="77777777" w:rsidR="00FD0337" w:rsidRPr="00FF1F87" w:rsidRDefault="00FD0337" w:rsidP="00FD0337">
      <w:pPr>
        <w:ind w:firstLine="708"/>
        <w:jc w:val="both"/>
      </w:pPr>
      <w:r w:rsidRPr="00FF1F87">
        <w:t>- diese Gewinne noch nicht zu einem früheren Zeitpunkt ausgeschüttet worden sind,</w:t>
      </w:r>
    </w:p>
    <w:p w14:paraId="69046C04" w14:textId="77777777" w:rsidR="00FD0337" w:rsidRPr="00FF1F87" w:rsidRDefault="00FD0337" w:rsidP="00FD0337">
      <w:pPr>
        <w:jc w:val="both"/>
      </w:pPr>
    </w:p>
    <w:p w14:paraId="69B0CE4F" w14:textId="77777777" w:rsidR="00FD0337" w:rsidRPr="00FF1F87" w:rsidRDefault="00FD0337" w:rsidP="00FD0337">
      <w:pPr>
        <w:ind w:firstLine="708"/>
        <w:jc w:val="both"/>
      </w:pPr>
      <w:r w:rsidRPr="00FF1F87">
        <w:t>- sie sich zum Zeitpunkt der Veräußerung dieser Aktien oder Anteile noch auf einem Passivkonto befanden.</w:t>
      </w:r>
    </w:p>
    <w:p w14:paraId="3EE7AC61" w14:textId="77777777" w:rsidR="00FD0337" w:rsidRPr="00FF1F87" w:rsidRDefault="00FD0337" w:rsidP="00FD0337">
      <w:pPr>
        <w:jc w:val="both"/>
      </w:pPr>
    </w:p>
    <w:p w14:paraId="58CCCC7E" w14:textId="77777777" w:rsidR="00FD0337" w:rsidRPr="00FF1F87" w:rsidRDefault="00FD0337" w:rsidP="00FD0337">
      <w:pPr>
        <w:ind w:firstLine="708"/>
        <w:jc w:val="both"/>
      </w:pPr>
      <w:r w:rsidRPr="00FF1F87">
        <w:t>Für die Anwendung des vorliegenden Paragraphen wird davon ausgegangen, dass die Gewinne der ausländischen Gesellschaft oder der in einem Drittland gelegenen Niederlassung dieser Gesellschaft, die gemäß Artikel 185/2 bei der inländischen Gesellschaft besteuert wurden, zuerst ausgeschüttet werden.</w:t>
      </w:r>
    </w:p>
    <w:p w14:paraId="43CDF403" w14:textId="77777777" w:rsidR="00FD0337" w:rsidRPr="00FF1F87" w:rsidRDefault="00FD0337" w:rsidP="00FD0337">
      <w:pPr>
        <w:jc w:val="both"/>
      </w:pPr>
    </w:p>
    <w:p w14:paraId="4F16E2B1" w14:textId="77777777" w:rsidR="00FD0337" w:rsidRPr="00FF1F87" w:rsidRDefault="00FD0337" w:rsidP="00FD0337">
      <w:pPr>
        <w:ind w:firstLine="708"/>
        <w:jc w:val="both"/>
      </w:pPr>
      <w:r w:rsidRPr="00FF1F87">
        <w:t>Die Steuerbefreiung ist nur in dem Maße anwendbar, wie der steuerpflichtige Betrag der Mehrwerte den Gesamtbetrag der vorher auf die veräußerten Aktien oder Anteile zugelassenen Wertminderungen abzüglich des Gesamtbetrags der aufgrund von Artikel 24 Absatz 1 Nr. 3 besteuerten Mehrwerte übersteigt.</w:t>
      </w:r>
    </w:p>
    <w:p w14:paraId="3C0384B5" w14:textId="77777777" w:rsidR="00FD0337" w:rsidRPr="00FF1F87" w:rsidRDefault="00FD0337" w:rsidP="00FD0337">
      <w:pPr>
        <w:jc w:val="both"/>
      </w:pPr>
    </w:p>
    <w:p w14:paraId="19524843" w14:textId="661E9A8C" w:rsidR="00FD0337" w:rsidRDefault="00FD0337" w:rsidP="00FD0337">
      <w:pPr>
        <w:autoSpaceDE w:val="0"/>
        <w:autoSpaceDN w:val="0"/>
        <w:adjustRightInd w:val="0"/>
        <w:ind w:firstLine="708"/>
        <w:jc w:val="both"/>
      </w:pPr>
      <w:r w:rsidRPr="00FF1F87">
        <w:t xml:space="preserve">Im Falle der Übernahme oder Änderung der Kontrolle des Steuerpflichtigen im laufenden Besteuerungszeitraum oder in einem vorhergehenden Besteuerungszeitraum, die keinen rechtmäßigen finanziellen oder wirtschaftlichen Bedürfnissen entspricht, können die Mehrwerte nicht aufgrund des vorliegenden Paragraphen von der Steuer befreit werden. Für die Anwendung des vorliegenden Absatzes versteht man unter vorhergehendem Besteuerungszeitraum jeden Besteuerungszeitraum seit dem Besteuerungszeitraum, in dem die in vorliegendem Paragraphen erwähnten Gewinne der ausländischen Gesellschaft oder der in </w:t>
      </w:r>
      <w:r w:rsidRPr="00FF1F87">
        <w:lastRenderedPageBreak/>
        <w:t>einem Drittland gelegenen Niederlassung dieser Gesellschaft gemäß Artikel 185/2 bei der inländischen Gesellschaft besteuert wurden.</w:t>
      </w:r>
      <w:r>
        <w:t>]</w:t>
      </w:r>
    </w:p>
    <w:p w14:paraId="2D4591C7" w14:textId="77777777" w:rsidR="00FD0337" w:rsidRPr="009118AB" w:rsidRDefault="00FD0337" w:rsidP="00FD0337">
      <w:pPr>
        <w:autoSpaceDE w:val="0"/>
        <w:autoSpaceDN w:val="0"/>
        <w:adjustRightInd w:val="0"/>
        <w:ind w:firstLine="708"/>
        <w:jc w:val="both"/>
      </w:pPr>
    </w:p>
    <w:p w14:paraId="7DCE1385" w14:textId="0E607B05" w:rsidR="00477B8F" w:rsidRPr="009118AB" w:rsidRDefault="00596A52" w:rsidP="00596A52">
      <w:pPr>
        <w:autoSpaceDE w:val="0"/>
        <w:autoSpaceDN w:val="0"/>
        <w:adjustRightInd w:val="0"/>
        <w:jc w:val="both"/>
        <w:rPr>
          <w:i/>
          <w:iCs/>
        </w:rPr>
      </w:pPr>
      <w:r w:rsidRPr="009118AB">
        <w:rPr>
          <w:i/>
          <w:iCs/>
        </w:rPr>
        <w:t>[</w:t>
      </w:r>
      <w:r w:rsidR="00D67EB8" w:rsidRPr="009118AB">
        <w:rPr>
          <w:i/>
          <w:iCs/>
        </w:rPr>
        <w:t>Art. </w:t>
      </w:r>
      <w:r w:rsidRPr="009118AB">
        <w:rPr>
          <w:i/>
          <w:iCs/>
        </w:rPr>
        <w:t xml:space="preserve">192 </w:t>
      </w:r>
      <w:r w:rsidR="00D67EB8" w:rsidRPr="009118AB">
        <w:rPr>
          <w:i/>
          <w:iCs/>
        </w:rPr>
        <w:t>§ </w:t>
      </w:r>
      <w:r w:rsidRPr="009118AB">
        <w:rPr>
          <w:i/>
          <w:iCs/>
        </w:rPr>
        <w:t xml:space="preserve">1 nummeriert durch </w:t>
      </w:r>
      <w:r w:rsidR="00D67EB8" w:rsidRPr="009118AB">
        <w:rPr>
          <w:i/>
          <w:iCs/>
        </w:rPr>
        <w:t>Art. </w:t>
      </w:r>
      <w:r w:rsidRPr="009118AB">
        <w:rPr>
          <w:i/>
          <w:iCs/>
        </w:rPr>
        <w:t xml:space="preserve">22 </w:t>
      </w:r>
      <w:r w:rsidR="00D67EB8" w:rsidRPr="009118AB">
        <w:rPr>
          <w:i/>
          <w:iCs/>
        </w:rPr>
        <w:t>Nr. </w:t>
      </w:r>
      <w:r w:rsidRPr="009118AB">
        <w:rPr>
          <w:i/>
          <w:iCs/>
        </w:rPr>
        <w:t>2 des G. vom 22. Dezember 1998 (B.S. vom 15. Januar 1999)</w:t>
      </w:r>
      <w:r w:rsidR="00D67EB8" w:rsidRPr="009118AB">
        <w:rPr>
          <w:i/>
          <w:iCs/>
        </w:rPr>
        <w:t> - </w:t>
      </w:r>
      <w:r w:rsidRPr="009118AB">
        <w:rPr>
          <w:i/>
          <w:iCs/>
        </w:rPr>
        <w:t>anwendbar auf steuerfreie Einbringungen, die ab dem 15. Januar 1999 erfolgen</w:t>
      </w:r>
      <w:r w:rsidR="003366D9" w:rsidRPr="009118AB">
        <w:rPr>
          <w:i/>
          <w:iCs/>
        </w:rPr>
        <w:t> -;</w:t>
      </w:r>
      <w:r w:rsidRPr="009118AB">
        <w:rPr>
          <w:i/>
          <w:iCs/>
        </w:rPr>
        <w:t xml:space="preserve"> </w:t>
      </w:r>
      <w:r w:rsidR="00D67EB8" w:rsidRPr="009118AB">
        <w:rPr>
          <w:i/>
          <w:iCs/>
        </w:rPr>
        <w:t>§ </w:t>
      </w:r>
      <w:r w:rsidRPr="009118AB">
        <w:rPr>
          <w:i/>
          <w:iCs/>
        </w:rPr>
        <w:t>1 </w:t>
      </w:r>
      <w:r w:rsidR="00D67EB8" w:rsidRPr="009118AB">
        <w:rPr>
          <w:i/>
          <w:iCs/>
        </w:rPr>
        <w:t>Abs. </w:t>
      </w:r>
      <w:r w:rsidRPr="009118AB">
        <w:rPr>
          <w:i/>
          <w:iCs/>
        </w:rPr>
        <w:t>1 erse</w:t>
      </w:r>
      <w:r w:rsidR="005232C6" w:rsidRPr="009118AB">
        <w:rPr>
          <w:i/>
          <w:iCs/>
        </w:rPr>
        <w:t xml:space="preserve">tzt durch </w:t>
      </w:r>
      <w:r w:rsidR="00D67EB8" w:rsidRPr="009118AB">
        <w:rPr>
          <w:i/>
          <w:iCs/>
        </w:rPr>
        <w:t>Art. </w:t>
      </w:r>
      <w:r w:rsidR="005232C6" w:rsidRPr="009118AB">
        <w:rPr>
          <w:i/>
          <w:iCs/>
        </w:rPr>
        <w:t xml:space="preserve">24 </w:t>
      </w:r>
      <w:r w:rsidR="00D67EB8" w:rsidRPr="009118AB">
        <w:rPr>
          <w:i/>
          <w:iCs/>
        </w:rPr>
        <w:t>Nr. </w:t>
      </w:r>
      <w:r w:rsidR="005232C6" w:rsidRPr="009118AB">
        <w:rPr>
          <w:i/>
          <w:iCs/>
        </w:rPr>
        <w:t>1 des G. vom 25. Dezember 2017 (III) (B.S. vom 29. Dezember 2017)</w:t>
      </w:r>
      <w:r w:rsidR="00D67EB8" w:rsidRPr="009118AB">
        <w:rPr>
          <w:i/>
          <w:iCs/>
        </w:rPr>
        <w:t> - </w:t>
      </w:r>
      <w:r w:rsidR="005232C6" w:rsidRPr="009118AB">
        <w:rPr>
          <w:i/>
          <w:iCs/>
        </w:rPr>
        <w:t>in Kraft am 1. Januar 2018 und anwendbar ab dem Steuerjahr 2019, das sich auf einen Besteuerungszeitraum bezieht, der frühestens am 1. Januar 2018 beginnt</w:t>
      </w:r>
      <w:r w:rsidR="003366D9" w:rsidRPr="009118AB">
        <w:rPr>
          <w:i/>
          <w:iCs/>
        </w:rPr>
        <w:t> -</w:t>
      </w:r>
      <w:r w:rsidR="00C5158F">
        <w:rPr>
          <w:i/>
          <w:iCs/>
        </w:rPr>
        <w:t xml:space="preserve"> und abgeändert durch Art. 23 Nr. 1</w:t>
      </w:r>
      <w:r w:rsidR="00C5158F" w:rsidRPr="00C5158F">
        <w:rPr>
          <w:i/>
          <w:iCs/>
        </w:rPr>
        <w:t xml:space="preserve"> des G. vom 22. Dezember 2023 (II) (B.S. vom 29. Dezember 2023) - anwendbar ab dem Steuerjahr 2024 -</w:t>
      </w:r>
      <w:r w:rsidR="003366D9" w:rsidRPr="009118AB">
        <w:rPr>
          <w:i/>
          <w:iCs/>
        </w:rPr>
        <w:t>;</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3 eingefügt durch </w:t>
      </w:r>
      <w:r w:rsidR="00D67EB8" w:rsidRPr="009118AB">
        <w:rPr>
          <w:i/>
          <w:iCs/>
        </w:rPr>
        <w:t>Art. </w:t>
      </w:r>
      <w:r w:rsidRPr="009118AB">
        <w:rPr>
          <w:i/>
          <w:iCs/>
        </w:rPr>
        <w:t xml:space="preserve">16 </w:t>
      </w:r>
      <w:r w:rsidR="00D67EB8" w:rsidRPr="009118AB">
        <w:rPr>
          <w:i/>
          <w:iCs/>
        </w:rPr>
        <w:t>Nr. </w:t>
      </w:r>
      <w:r w:rsidRPr="009118AB">
        <w:rPr>
          <w:i/>
          <w:iCs/>
        </w:rPr>
        <w:t>2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005232C6" w:rsidRPr="009118AB">
        <w:rPr>
          <w:i/>
          <w:iCs/>
        </w:rPr>
        <w:t xml:space="preserve">und abgeändert durch </w:t>
      </w:r>
      <w:r w:rsidR="00D67EB8" w:rsidRPr="009118AB">
        <w:rPr>
          <w:i/>
          <w:iCs/>
        </w:rPr>
        <w:t>Art. </w:t>
      </w:r>
      <w:r w:rsidR="005232C6" w:rsidRPr="009118AB">
        <w:rPr>
          <w:i/>
          <w:iCs/>
        </w:rPr>
        <w:t xml:space="preserve">24 </w:t>
      </w:r>
      <w:r w:rsidR="00D67EB8" w:rsidRPr="009118AB">
        <w:rPr>
          <w:i/>
          <w:iCs/>
        </w:rPr>
        <w:t>Nr. </w:t>
      </w:r>
      <w:r w:rsidR="005232C6" w:rsidRPr="009118AB">
        <w:rPr>
          <w:i/>
          <w:iCs/>
        </w:rPr>
        <w:t>2 des G. vom 25. Dezember 2017 (III) (B.S. vom 29. Dezember 2017)</w:t>
      </w:r>
      <w:r w:rsidR="00D67EB8" w:rsidRPr="009118AB">
        <w:rPr>
          <w:i/>
          <w:iCs/>
        </w:rPr>
        <w:t> - </w:t>
      </w:r>
      <w:r w:rsidR="005232C6" w:rsidRPr="009118AB">
        <w:rPr>
          <w:i/>
          <w:iCs/>
        </w:rPr>
        <w:t>in Kraft am 1. Januar 2018 und anwendbar ab dem Steuerjahr 2019, das sich auf einen Besteuerungszeitraum bezieht, der frühestens am 1. Januar 2018 beginnt</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4 bis 7 eingefügt durch </w:t>
      </w:r>
      <w:r w:rsidR="00D67EB8" w:rsidRPr="009118AB">
        <w:rPr>
          <w:i/>
          <w:iCs/>
        </w:rPr>
        <w:t>Art. </w:t>
      </w:r>
      <w:r w:rsidRPr="009118AB">
        <w:rPr>
          <w:i/>
          <w:iCs/>
        </w:rPr>
        <w:t xml:space="preserve">146 </w:t>
      </w:r>
      <w:r w:rsidR="00D67EB8" w:rsidRPr="009118AB">
        <w:rPr>
          <w:i/>
          <w:iCs/>
        </w:rPr>
        <w:t>Nr. </w:t>
      </w:r>
      <w:r w:rsidRPr="009118AB">
        <w:rPr>
          <w:i/>
          <w:iCs/>
        </w:rPr>
        <w:t>2</w:t>
      </w:r>
      <w:r w:rsidRPr="009118AB">
        <w:rPr>
          <w:bCs/>
          <w:i/>
        </w:rPr>
        <w:t xml:space="preserve"> </w:t>
      </w:r>
      <w:r w:rsidRPr="009118AB">
        <w:rPr>
          <w:i/>
        </w:rPr>
        <w:t>des G. (I) vom 29. März 2012 (B.S. vom 6. April 2012)</w:t>
      </w:r>
      <w:r w:rsidR="00D67EB8" w:rsidRPr="009118AB">
        <w:rPr>
          <w:i/>
        </w:rPr>
        <w:t> - </w:t>
      </w:r>
      <w:r w:rsidRPr="009118AB">
        <w:rPr>
          <w:i/>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3366D9" w:rsidRPr="009118AB">
        <w:rPr>
          <w:i/>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8 eingefügt durch </w:t>
      </w:r>
      <w:r w:rsidR="00D67EB8" w:rsidRPr="009118AB">
        <w:rPr>
          <w:i/>
          <w:iCs/>
        </w:rPr>
        <w:t>Art. </w:t>
      </w:r>
      <w:r w:rsidRPr="009118AB">
        <w:rPr>
          <w:i/>
          <w:iCs/>
        </w:rPr>
        <w:t>44 des G. vom 13. Dezember 2012 (B.S. vom 20. Dezember 2012)</w:t>
      </w:r>
      <w:r w:rsidR="00D67EB8" w:rsidRPr="009118AB">
        <w:rPr>
          <w:i/>
          <w:iCs/>
        </w:rPr>
        <w:t> - </w:t>
      </w:r>
      <w:r w:rsidRPr="009118AB">
        <w:rPr>
          <w:i/>
          <w:iCs/>
        </w:rPr>
        <w:t xml:space="preserve">anwendbar ab dem Steuerjahr 2013 wie auch auf Mehrwerte, die ab dem 28. November 2011 verwirklicht werden, und auf Vorgänge </w:t>
      </w:r>
      <w:r w:rsidRPr="009118AB">
        <w:rPr>
          <w:rFonts w:ascii="Times New Roman Italique" w:hAnsi="Times New Roman Italique"/>
          <w:i/>
          <w:iCs/>
          <w:spacing w:val="2"/>
        </w:rPr>
        <w:t>oder Übertragungen, die ab dem 28. November 2011 erfolgen, und zwar in einem Besteue</w:t>
      </w:r>
      <w:r w:rsidRPr="009118AB">
        <w:rPr>
          <w:rFonts w:ascii="Times New Roman Italique" w:hAnsi="Times New Roman Italique"/>
          <w:i/>
          <w:iCs/>
          <w:spacing w:val="2"/>
        </w:rPr>
        <w:softHyphen/>
        <w:t>rungszeitraum, der frühestens am 6. April 2012 endet und an das Steuerjahr 2012 gebunden ist</w:t>
      </w:r>
      <w:r w:rsidR="00D67EB8" w:rsidRPr="009118AB">
        <w:rPr>
          <w:rFonts w:ascii="Times New Roman Italique" w:hAnsi="Times New Roman Italique"/>
          <w:i/>
          <w:iCs/>
          <w:spacing w:val="2"/>
        </w:rPr>
        <w:t> - </w:t>
      </w:r>
      <w:r w:rsidR="00556699"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556699" w:rsidRPr="009118AB">
        <w:rPr>
          <w:rFonts w:ascii="Times New Roman Italique" w:hAnsi="Times New Roman Italique"/>
          <w:i/>
          <w:iCs/>
          <w:spacing w:val="2"/>
        </w:rPr>
        <w:t>40</w:t>
      </w:r>
      <w:r w:rsidR="00556699" w:rsidRPr="009118AB">
        <w:rPr>
          <w:i/>
          <w:iCs/>
        </w:rPr>
        <w:t xml:space="preserve"> des G. vom 21. Januar 2022 (B.S. vom 28. Januar 2022)</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22. Dezember 1998 (B.S. vom 15. Januar 1999)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steuerfreie Einbringungen, die ab dem 15. Januar 1999 erfolgen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3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321 des G. (I) vom 27. Dezember 2006 (II) (B.S. vom 28. Dezember 2006)</w:t>
      </w:r>
      <w:r w:rsidR="00D67EB8" w:rsidRPr="009118AB">
        <w:rPr>
          <w:rFonts w:ascii="Times New Roman Italique" w:hAnsi="Times New Roman Italique"/>
          <w:i/>
          <w:iCs/>
          <w:spacing w:val="-2"/>
        </w:rPr>
        <w:t> - </w:t>
      </w:r>
      <w:r w:rsidRPr="009118AB">
        <w:rPr>
          <w:i/>
          <w:iCs/>
        </w:rPr>
        <w:t>in Kraft ab dem 1. Januar 2007</w:t>
      </w:r>
      <w:r w:rsidR="003366D9" w:rsidRPr="009118AB">
        <w:rPr>
          <w:i/>
          <w:iCs/>
        </w:rPr>
        <w:t> -;</w:t>
      </w:r>
      <w:r w:rsidR="00754E72" w:rsidRPr="009118AB">
        <w:rPr>
          <w:i/>
          <w:iCs/>
        </w:rPr>
        <w:t xml:space="preserve"> </w:t>
      </w:r>
      <w:r w:rsidR="00D67EB8" w:rsidRPr="009118AB">
        <w:rPr>
          <w:i/>
          <w:iCs/>
        </w:rPr>
        <w:t>§ </w:t>
      </w:r>
      <w:r w:rsidR="00754E72" w:rsidRPr="009118AB">
        <w:rPr>
          <w:i/>
          <w:iCs/>
        </w:rPr>
        <w:t xml:space="preserve">3 </w:t>
      </w:r>
      <w:r w:rsidR="00D67EB8" w:rsidRPr="009118AB">
        <w:rPr>
          <w:i/>
          <w:iCs/>
        </w:rPr>
        <w:t>Abs. </w:t>
      </w:r>
      <w:r w:rsidR="00754E72" w:rsidRPr="009118AB">
        <w:rPr>
          <w:i/>
          <w:iCs/>
        </w:rPr>
        <w:t xml:space="preserve">1 einleitende Bestimmung abgeändert durch </w:t>
      </w:r>
      <w:r w:rsidR="00D67EB8" w:rsidRPr="009118AB">
        <w:rPr>
          <w:i/>
          <w:iCs/>
        </w:rPr>
        <w:t>Art. </w:t>
      </w:r>
      <w:r w:rsidR="00754E72" w:rsidRPr="009118AB">
        <w:rPr>
          <w:i/>
          <w:iCs/>
        </w:rPr>
        <w:t xml:space="preserve">20 Buchstabe a) des G. vom 18. Dezember 2015 (II) (B.S. vom 28. Dezember 2015); </w:t>
      </w:r>
      <w:r w:rsidR="00D67EB8" w:rsidRPr="009118AB">
        <w:rPr>
          <w:i/>
          <w:iCs/>
        </w:rPr>
        <w:t>§ </w:t>
      </w:r>
      <w:r w:rsidR="00754E72" w:rsidRPr="009118AB">
        <w:rPr>
          <w:i/>
          <w:iCs/>
        </w:rPr>
        <w:t xml:space="preserve">3 </w:t>
      </w:r>
      <w:r w:rsidR="00D67EB8" w:rsidRPr="009118AB">
        <w:rPr>
          <w:i/>
          <w:iCs/>
        </w:rPr>
        <w:t>Abs. </w:t>
      </w:r>
      <w:r w:rsidR="00754E72" w:rsidRPr="009118AB">
        <w:rPr>
          <w:i/>
          <w:iCs/>
        </w:rPr>
        <w:t xml:space="preserve">1 </w:t>
      </w:r>
      <w:r w:rsidR="00D67EB8" w:rsidRPr="009118AB">
        <w:rPr>
          <w:i/>
          <w:iCs/>
        </w:rPr>
        <w:t>Nr. </w:t>
      </w:r>
      <w:r w:rsidR="00754E72" w:rsidRPr="009118AB">
        <w:rPr>
          <w:i/>
          <w:iCs/>
        </w:rPr>
        <w:t xml:space="preserve">2 abgeändert durch </w:t>
      </w:r>
      <w:r w:rsidR="00D67EB8" w:rsidRPr="009118AB">
        <w:rPr>
          <w:i/>
          <w:iCs/>
        </w:rPr>
        <w:t>Art. </w:t>
      </w:r>
      <w:r w:rsidR="00754E72" w:rsidRPr="009118AB">
        <w:rPr>
          <w:i/>
          <w:iCs/>
        </w:rPr>
        <w:t xml:space="preserve">20 Buchstabe b) des G. vom 18. Dezember 2015 (II) (B.S. vom 28. Dezember 2015); </w:t>
      </w:r>
      <w:r w:rsidR="00D67EB8" w:rsidRPr="009118AB">
        <w:rPr>
          <w:i/>
          <w:iCs/>
        </w:rPr>
        <w:t>§ </w:t>
      </w:r>
      <w:r w:rsidR="0007201C" w:rsidRPr="009118AB">
        <w:rPr>
          <w:i/>
          <w:iCs/>
        </w:rPr>
        <w:t xml:space="preserve">3 </w:t>
      </w:r>
      <w:r w:rsidR="00D67EB8" w:rsidRPr="009118AB">
        <w:rPr>
          <w:i/>
          <w:iCs/>
        </w:rPr>
        <w:t>Abs. </w:t>
      </w:r>
      <w:r w:rsidR="0007201C" w:rsidRPr="009118AB">
        <w:rPr>
          <w:i/>
          <w:iCs/>
        </w:rPr>
        <w:t xml:space="preserve">1 </w:t>
      </w:r>
      <w:r w:rsidR="00D67EB8" w:rsidRPr="009118AB">
        <w:rPr>
          <w:i/>
          <w:iCs/>
        </w:rPr>
        <w:t>Nr. </w:t>
      </w:r>
      <w:r w:rsidR="0007201C" w:rsidRPr="009118AB">
        <w:rPr>
          <w:i/>
          <w:iCs/>
        </w:rPr>
        <w:t xml:space="preserve">3 ersetzt durch </w:t>
      </w:r>
      <w:r w:rsidR="00D67EB8" w:rsidRPr="009118AB">
        <w:rPr>
          <w:i/>
          <w:iCs/>
        </w:rPr>
        <w:t>Art. </w:t>
      </w:r>
      <w:r w:rsidR="0007201C" w:rsidRPr="009118AB">
        <w:rPr>
          <w:i/>
          <w:iCs/>
        </w:rPr>
        <w:t xml:space="preserve">52 </w:t>
      </w:r>
      <w:r w:rsidR="0007201C" w:rsidRPr="009118AB">
        <w:rPr>
          <w:i/>
        </w:rPr>
        <w:t>des G. vom 26. März 2018 (B.S. vom 30. März 2018)</w:t>
      </w:r>
      <w:r w:rsidR="00D67EB8" w:rsidRPr="009118AB">
        <w:rPr>
          <w:i/>
        </w:rPr>
        <w:t> - </w:t>
      </w:r>
      <w:r w:rsidR="0007201C" w:rsidRPr="009118AB">
        <w:rPr>
          <w:i/>
        </w:rPr>
        <w:t xml:space="preserve">anwendbar ab dem </w:t>
      </w:r>
      <w:r w:rsidR="00345C34" w:rsidRPr="009118AB">
        <w:rPr>
          <w:i/>
        </w:rPr>
        <w:t>Steuerjahr 2019</w:t>
      </w:r>
      <w:r w:rsidR="00D67EB8" w:rsidRPr="009118AB">
        <w:rPr>
          <w:i/>
        </w:rPr>
        <w:t> - </w:t>
      </w:r>
      <w:r w:rsidR="00132071" w:rsidRPr="009118AB">
        <w:rPr>
          <w:i/>
        </w:rPr>
        <w:t xml:space="preserve">und abgeändert durch </w:t>
      </w:r>
      <w:r w:rsidR="00D67EB8" w:rsidRPr="009118AB">
        <w:rPr>
          <w:i/>
        </w:rPr>
        <w:t>Art. </w:t>
      </w:r>
      <w:r w:rsidR="00132071" w:rsidRPr="009118AB">
        <w:rPr>
          <w:i/>
        </w:rPr>
        <w:t>38 des G. vom 27. Juni 2021 (B.S. vom 30. Juni 2021)</w:t>
      </w:r>
      <w:r w:rsidR="0007201C" w:rsidRPr="009118AB">
        <w:rPr>
          <w:i/>
        </w:rPr>
        <w:t xml:space="preserve">; </w:t>
      </w:r>
      <w:r w:rsidR="00D67EB8" w:rsidRPr="009118AB">
        <w:rPr>
          <w:i/>
          <w:iCs/>
        </w:rPr>
        <w:t>§ </w:t>
      </w:r>
      <w:r w:rsidR="00754E72" w:rsidRPr="009118AB">
        <w:rPr>
          <w:i/>
          <w:iCs/>
        </w:rPr>
        <w:t xml:space="preserve">3 </w:t>
      </w:r>
      <w:r w:rsidR="00D67EB8" w:rsidRPr="009118AB">
        <w:rPr>
          <w:i/>
          <w:iCs/>
        </w:rPr>
        <w:t>Abs. </w:t>
      </w:r>
      <w:r w:rsidR="00754E72" w:rsidRPr="009118AB">
        <w:rPr>
          <w:i/>
          <w:iCs/>
        </w:rPr>
        <w:t xml:space="preserve">2 abgeändert durch </w:t>
      </w:r>
      <w:r w:rsidR="00D67EB8" w:rsidRPr="009118AB">
        <w:rPr>
          <w:i/>
          <w:iCs/>
        </w:rPr>
        <w:t>Art. </w:t>
      </w:r>
      <w:r w:rsidR="00754E72" w:rsidRPr="009118AB">
        <w:rPr>
          <w:i/>
          <w:iCs/>
        </w:rPr>
        <w:t>20 Buchstabe c) des G. vom 18. Dezember 2015 (II) (B.S. vom 28. Dezember 2015)</w:t>
      </w:r>
      <w:r w:rsidR="00C5158F">
        <w:rPr>
          <w:i/>
          <w:iCs/>
        </w:rPr>
        <w:t>; § 4 eingefügt durch Art. 23 Nr. 2</w:t>
      </w:r>
      <w:r w:rsidR="00C5158F" w:rsidRPr="00C5158F">
        <w:rPr>
          <w:i/>
          <w:iCs/>
        </w:rPr>
        <w:t xml:space="preserve"> des G. vom 22. Dezember 2023 (II) (B.S. vom 29. Dezember 2023) - anwendbar ab dem Steuerjahr 2024 -</w:t>
      </w:r>
      <w:r w:rsidRPr="009118AB">
        <w:rPr>
          <w:i/>
          <w:iCs/>
        </w:rPr>
        <w:t>]</w:t>
      </w:r>
    </w:p>
    <w:p w14:paraId="65CFCC00" w14:textId="77777777" w:rsidR="00596A52" w:rsidRPr="009118AB" w:rsidRDefault="00596A52" w:rsidP="00596A52">
      <w:pPr>
        <w:autoSpaceDE w:val="0"/>
        <w:autoSpaceDN w:val="0"/>
        <w:adjustRightInd w:val="0"/>
        <w:jc w:val="both"/>
      </w:pPr>
    </w:p>
    <w:p w14:paraId="6FD21169" w14:textId="77777777" w:rsidR="00477B8F" w:rsidRPr="009118AB" w:rsidRDefault="00477B8F" w:rsidP="00477B8F">
      <w:pPr>
        <w:autoSpaceDE w:val="0"/>
        <w:autoSpaceDN w:val="0"/>
        <w:adjustRightInd w:val="0"/>
        <w:jc w:val="both"/>
      </w:pPr>
    </w:p>
    <w:p w14:paraId="68F2DB2F" w14:textId="7ED3A5B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193</w:t>
      </w:r>
      <w:r w:rsidR="00D67EB8" w:rsidRPr="009118AB">
        <w:t> - </w:t>
      </w:r>
      <w:r w:rsidRPr="009118AB">
        <w:t xml:space="preserve">Die in Artikel 44 </w:t>
      </w:r>
      <w:r w:rsidR="00D67EB8" w:rsidRPr="009118AB">
        <w:t>§ </w:t>
      </w:r>
      <w:r w:rsidRPr="009118AB">
        <w:t>2 vorgesehene Befreiung der Mehrwerte auf unbebaute unbewegliche Güter von Landwirtschafts- oder Gartenbaubetrieben von der Steuer ist nicht anwendbar.</w:t>
      </w:r>
    </w:p>
    <w:p w14:paraId="3C491B79" w14:textId="77777777" w:rsidR="00C5158F" w:rsidRDefault="00C5158F" w:rsidP="00477B8F">
      <w:pPr>
        <w:autoSpaceDE w:val="0"/>
        <w:autoSpaceDN w:val="0"/>
        <w:adjustRightInd w:val="0"/>
        <w:jc w:val="center"/>
      </w:pPr>
    </w:p>
    <w:p w14:paraId="7F438576" w14:textId="77777777" w:rsidR="00C5158F" w:rsidRDefault="00C5158F">
      <w:r>
        <w:br w:type="page"/>
      </w:r>
    </w:p>
    <w:p w14:paraId="47CF8599" w14:textId="5BAFB870" w:rsidR="00477B8F" w:rsidRPr="009118AB" w:rsidRDefault="00477B8F" w:rsidP="00477B8F">
      <w:pPr>
        <w:autoSpaceDE w:val="0"/>
        <w:autoSpaceDN w:val="0"/>
        <w:adjustRightInd w:val="0"/>
        <w:jc w:val="center"/>
      </w:pPr>
      <w:r w:rsidRPr="009118AB">
        <w:lastRenderedPageBreak/>
        <w:t>[Unterabschnitt </w:t>
      </w:r>
      <w:r w:rsidR="00D74862" w:rsidRPr="009118AB">
        <w:t>1</w:t>
      </w:r>
      <w:r w:rsidRPr="009118AB">
        <w:rPr>
          <w:i/>
          <w:iCs/>
        </w:rPr>
        <w:t>bis</w:t>
      </w:r>
      <w:r w:rsidR="00D67EB8" w:rsidRPr="009118AB">
        <w:t> - </w:t>
      </w:r>
      <w:r w:rsidRPr="009118AB">
        <w:t>Steuerfreie regionale Unterstützungsmaßnahmen</w:t>
      </w:r>
    </w:p>
    <w:p w14:paraId="7F450B28" w14:textId="77777777" w:rsidR="00477B8F" w:rsidRPr="009118AB" w:rsidRDefault="00477B8F" w:rsidP="00477B8F">
      <w:pPr>
        <w:autoSpaceDE w:val="0"/>
        <w:autoSpaceDN w:val="0"/>
        <w:adjustRightInd w:val="0"/>
        <w:jc w:val="both"/>
      </w:pPr>
    </w:p>
    <w:p w14:paraId="16C9EFCD" w14:textId="418AB828" w:rsidR="00477B8F" w:rsidRPr="009118AB" w:rsidRDefault="00477B8F" w:rsidP="00477B8F">
      <w:pPr>
        <w:autoSpaceDE w:val="0"/>
        <w:autoSpaceDN w:val="0"/>
        <w:adjustRightInd w:val="0"/>
        <w:jc w:val="both"/>
        <w:rPr>
          <w:i/>
          <w:iCs/>
        </w:rPr>
      </w:pPr>
      <w:r w:rsidRPr="009118AB">
        <w:rPr>
          <w:i/>
          <w:iCs/>
        </w:rPr>
        <w:t>[</w:t>
      </w:r>
      <w:r w:rsidR="00111CA0" w:rsidRPr="009118AB">
        <w:rPr>
          <w:i/>
          <w:iCs/>
        </w:rPr>
        <w:t xml:space="preserve">Erster </w:t>
      </w:r>
      <w:r w:rsidRPr="009118AB">
        <w:rPr>
          <w:i/>
          <w:iCs/>
        </w:rPr>
        <w:t xml:space="preserve">Unterabschnitt </w:t>
      </w:r>
      <w:r w:rsidR="00D74862" w:rsidRPr="009118AB">
        <w:rPr>
          <w:i/>
          <w:iCs/>
        </w:rPr>
        <w:t>1</w:t>
      </w:r>
      <w:r w:rsidR="00111CA0" w:rsidRPr="009118AB">
        <w:rPr>
          <w:i/>
          <w:iCs/>
        </w:rPr>
        <w:t xml:space="preserve">bis mit </w:t>
      </w:r>
      <w:r w:rsidR="00D67EB8" w:rsidRPr="009118AB">
        <w:rPr>
          <w:i/>
          <w:iCs/>
        </w:rPr>
        <w:t>Art. </w:t>
      </w:r>
      <w:r w:rsidR="00111CA0" w:rsidRPr="009118AB">
        <w:rPr>
          <w:i/>
          <w:iCs/>
        </w:rPr>
        <w:t xml:space="preserve">193bis eingefügt durch </w:t>
      </w:r>
      <w:r w:rsidR="00D67EB8" w:rsidRPr="009118AB">
        <w:rPr>
          <w:i/>
          <w:iCs/>
        </w:rPr>
        <w:t>Art. </w:t>
      </w:r>
      <w:r w:rsidRPr="009118AB">
        <w:rPr>
          <w:i/>
          <w:iCs/>
        </w:rPr>
        <w:t>117 des G. vom 23. Dezember 2005 (B.S. vom 30. Dezember 2005)</w:t>
      </w:r>
      <w:r w:rsidR="00D67EB8" w:rsidRPr="009118AB">
        <w:rPr>
          <w:i/>
          <w:iCs/>
        </w:rPr>
        <w:t> - </w:t>
      </w:r>
      <w:r w:rsidRPr="009118AB">
        <w:rPr>
          <w:i/>
          <w:iCs/>
        </w:rPr>
        <w:t>anwendbar auf die ab dem 1. Januar 2006 notifizierten Prämien und Zuschüsse in dem Maße, wie das Datum der Notifizierung sich frühestens auf den Besteuerungszeitraum bezieht, der an das Steuerjahr 2007 gebunden ist</w:t>
      </w:r>
      <w:r w:rsidR="00FD68E8" w:rsidRPr="009118AB">
        <w:rPr>
          <w:i/>
          <w:iCs/>
        </w:rPr>
        <w:t> -]</w:t>
      </w:r>
    </w:p>
    <w:p w14:paraId="5C013F19" w14:textId="77777777" w:rsidR="00477B8F" w:rsidRPr="009118AB" w:rsidRDefault="00477B8F" w:rsidP="00477B8F">
      <w:pPr>
        <w:autoSpaceDE w:val="0"/>
        <w:autoSpaceDN w:val="0"/>
        <w:adjustRightInd w:val="0"/>
        <w:jc w:val="both"/>
        <w:rPr>
          <w:i/>
          <w:iCs/>
        </w:rPr>
      </w:pPr>
    </w:p>
    <w:p w14:paraId="36DE81B1" w14:textId="77777777" w:rsidR="00477B8F" w:rsidRPr="009118AB" w:rsidRDefault="00477B8F" w:rsidP="00477B8F">
      <w:pPr>
        <w:autoSpaceDE w:val="0"/>
        <w:autoSpaceDN w:val="0"/>
        <w:adjustRightInd w:val="0"/>
        <w:jc w:val="both"/>
      </w:pPr>
    </w:p>
    <w:p w14:paraId="11223474" w14:textId="1C448E2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193</w:t>
      </w:r>
      <w:r w:rsidRPr="009118AB">
        <w:rPr>
          <w:b/>
          <w:bCs/>
          <w:i/>
          <w:iCs/>
        </w:rPr>
        <w:t>bis</w:t>
      </w:r>
      <w:r w:rsidR="00D67EB8" w:rsidRPr="009118AB">
        <w:t> - § </w:t>
      </w:r>
      <w:r w:rsidRPr="009118AB">
        <w:t>1</w:t>
      </w:r>
      <w:r w:rsidR="00D67EB8" w:rsidRPr="009118AB">
        <w:t> - </w:t>
      </w:r>
      <w:r w:rsidRPr="009118AB">
        <w:t xml:space="preserve">Wiederbeschäftigungsprämien und Berufsübergangsprämien, die Gesellschaften von den zuständigen regionalen Einrichtungen zuerkannt werden und </w:t>
      </w:r>
      <w:r w:rsidR="00132071" w:rsidRPr="009118AB">
        <w:t xml:space="preserve">[den in der Verordnung (EU) </w:t>
      </w:r>
      <w:r w:rsidR="00D67EB8" w:rsidRPr="009118AB">
        <w:t>Nr. </w:t>
      </w:r>
      <w:r w:rsidR="00132071" w:rsidRPr="009118AB">
        <w:t>651/2014 der Kommission vom 17. Juni 2014 zur Feststellung der Vereinbarkeit bestimmter Gruppen von Beihilfen mit dem Binnenmarkt in Anwendung der Artikel 107 und 108 des Vertrags über die Arbeitsweise der Europäischen Union vorgesehenen Bedingungen]</w:t>
      </w:r>
      <w:r w:rsidRPr="009118AB">
        <w:t xml:space="preserve"> entsprechen oder von der Europäischen Kommission in diesem Rahmen zugelassen sind oder wurden, sind für diese Gesellschaften steuerfreie Einkünfte.</w:t>
      </w:r>
    </w:p>
    <w:p w14:paraId="6842EEC0" w14:textId="77777777" w:rsidR="00477B8F" w:rsidRPr="009118AB" w:rsidRDefault="00477B8F" w:rsidP="00477B8F">
      <w:pPr>
        <w:autoSpaceDE w:val="0"/>
        <w:autoSpaceDN w:val="0"/>
        <w:adjustRightInd w:val="0"/>
        <w:jc w:val="both"/>
      </w:pPr>
    </w:p>
    <w:p w14:paraId="6ACE26D2" w14:textId="77777777" w:rsidR="00477B8F" w:rsidRPr="009118AB" w:rsidRDefault="00477B8F" w:rsidP="00477B8F">
      <w:pPr>
        <w:autoSpaceDE w:val="0"/>
        <w:autoSpaceDN w:val="0"/>
        <w:adjustRightInd w:val="0"/>
        <w:jc w:val="both"/>
      </w:pPr>
      <w:r w:rsidRPr="009118AB">
        <w:tab/>
        <w:t>Kapital- und Zinszuschüsse, die Gesellschaften von den Regionen im Rahmen der Rechtsvorschriften über den Wirtschaftsaufschwung zuerkannt werden im Hinblick auf Erwerb oder Bildung von immateriellen Anlagen und Sachanlagen, sind für diese Gesellschaften steuerfreie Einkünfte.</w:t>
      </w:r>
    </w:p>
    <w:p w14:paraId="01B435C9" w14:textId="77777777" w:rsidR="00477B8F" w:rsidRPr="009118AB" w:rsidRDefault="00477B8F" w:rsidP="00477B8F">
      <w:pPr>
        <w:autoSpaceDE w:val="0"/>
        <w:autoSpaceDN w:val="0"/>
        <w:adjustRightInd w:val="0"/>
        <w:jc w:val="both"/>
      </w:pPr>
    </w:p>
    <w:p w14:paraId="4316AE30" w14:textId="6666DA36"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Im Falle der Veräußerung einer der in </w:t>
      </w:r>
      <w:r w:rsidR="00D67EB8" w:rsidRPr="009118AB">
        <w:t>§ </w:t>
      </w:r>
      <w:r w:rsidRPr="009118AB">
        <w:t>1 Absatz 2 erwähnten Anlagen</w:t>
      </w:r>
      <w:r w:rsidR="00D67EB8" w:rsidRPr="009118AB">
        <w:t> - </w:t>
      </w:r>
      <w:r w:rsidRPr="009118AB">
        <w:t>außer einer Veräußerung anlässlich eines Schadensfalls, einer Enteignung, einer Eigentumsrequirierung oder eines anderen ähnlichen Ereignisses</w:t>
      </w:r>
      <w:r w:rsidR="00FD68E8" w:rsidRPr="009118AB">
        <w:t> -,</w:t>
      </w:r>
      <w:r w:rsidRPr="009118AB">
        <w:t xml:space="preserve"> die in den ersten drei Jahren der Investition erfolgt, gilt der Betrag der vorher steuerfreien Gewinne als Gewinn des Besteuerungszeitraums, in dem die Veräußerung stattfand.]</w:t>
      </w:r>
    </w:p>
    <w:p w14:paraId="7298FCCF" w14:textId="722773F4" w:rsidR="00132071" w:rsidRPr="009118AB" w:rsidRDefault="00132071" w:rsidP="00477B8F">
      <w:pPr>
        <w:autoSpaceDE w:val="0"/>
        <w:autoSpaceDN w:val="0"/>
        <w:adjustRightInd w:val="0"/>
        <w:jc w:val="both"/>
      </w:pPr>
    </w:p>
    <w:p w14:paraId="6E984110" w14:textId="1D3C194B" w:rsidR="00132071" w:rsidRPr="009118AB" w:rsidRDefault="00132071" w:rsidP="00477B8F">
      <w:pPr>
        <w:autoSpaceDE w:val="0"/>
        <w:autoSpaceDN w:val="0"/>
        <w:adjustRightInd w:val="0"/>
        <w:jc w:val="both"/>
        <w:rPr>
          <w:i/>
        </w:rPr>
      </w:pPr>
      <w:r w:rsidRPr="009118AB">
        <w:rPr>
          <w:i/>
        </w:rPr>
        <w:t>[</w:t>
      </w:r>
      <w:r w:rsidR="00D67EB8" w:rsidRPr="009118AB">
        <w:rPr>
          <w:i/>
        </w:rPr>
        <w:t>Art. </w:t>
      </w:r>
      <w:r w:rsidRPr="009118AB">
        <w:rPr>
          <w:i/>
        </w:rPr>
        <w:t xml:space="preserve">193bis </w:t>
      </w:r>
      <w:r w:rsidR="00D67EB8" w:rsidRPr="009118AB">
        <w:rPr>
          <w:i/>
        </w:rPr>
        <w:t>§ </w:t>
      </w:r>
      <w:r w:rsidRPr="009118AB">
        <w:rPr>
          <w:i/>
        </w:rPr>
        <w:t xml:space="preserve">1 </w:t>
      </w:r>
      <w:r w:rsidR="00D67EB8" w:rsidRPr="009118AB">
        <w:rPr>
          <w:i/>
        </w:rPr>
        <w:t>Abs. </w:t>
      </w:r>
      <w:r w:rsidRPr="009118AB">
        <w:rPr>
          <w:i/>
        </w:rPr>
        <w:t xml:space="preserve">1 abgeändert durch </w:t>
      </w:r>
      <w:r w:rsidR="00D67EB8" w:rsidRPr="009118AB">
        <w:rPr>
          <w:i/>
        </w:rPr>
        <w:t>Art. </w:t>
      </w:r>
      <w:r w:rsidRPr="009118AB">
        <w:rPr>
          <w:i/>
        </w:rPr>
        <w:t>39 des G. vom 27. Juni 2021 (B.S. vom 30. Juni 2021)]</w:t>
      </w:r>
    </w:p>
    <w:p w14:paraId="0961592C" w14:textId="77777777" w:rsidR="00132071" w:rsidRPr="009118AB" w:rsidRDefault="00132071" w:rsidP="00477B8F">
      <w:pPr>
        <w:autoSpaceDE w:val="0"/>
        <w:autoSpaceDN w:val="0"/>
        <w:adjustRightInd w:val="0"/>
        <w:jc w:val="both"/>
        <w:rPr>
          <w:i/>
        </w:rPr>
      </w:pPr>
    </w:p>
    <w:p w14:paraId="582545EC" w14:textId="77777777" w:rsidR="00477B8F" w:rsidRPr="009118AB" w:rsidRDefault="00477B8F" w:rsidP="00477B8F">
      <w:pPr>
        <w:autoSpaceDE w:val="0"/>
        <w:autoSpaceDN w:val="0"/>
        <w:adjustRightInd w:val="0"/>
        <w:jc w:val="both"/>
      </w:pPr>
    </w:p>
    <w:p w14:paraId="28F84A73" w14:textId="42F6BF43"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193</w:t>
      </w:r>
      <w:r w:rsidRPr="009118AB">
        <w:rPr>
          <w:b/>
          <w:bCs/>
          <w:i/>
          <w:iCs/>
        </w:rPr>
        <w:t>ter</w:t>
      </w:r>
      <w:r w:rsidR="00D67EB8" w:rsidRPr="009118AB">
        <w:t> - § </w:t>
      </w:r>
      <w:r w:rsidRPr="009118AB">
        <w:t>1</w:t>
      </w:r>
      <w:r w:rsidR="00D67EB8" w:rsidRPr="009118AB">
        <w:t> - </w:t>
      </w:r>
      <w:r w:rsidRPr="009118AB">
        <w:t>Gewinne sind steuerfrei in Höhe des Betrags der Prämien und der Kapital- und Zinszuschüsse für immaterielle Anlagen und Sachanlagen, die Gesellschaften im Rahmen von Beihilfen für Forschung und Entwicklung von den zuständigen regionalen Ein</w:t>
      </w:r>
      <w:r w:rsidRPr="009118AB">
        <w:softHyphen/>
        <w:t>richtungen unter Beachtung der europäischen Vorschriften im Bereich der staatlichen Beihilfen zuerkannt werden.</w:t>
      </w:r>
    </w:p>
    <w:p w14:paraId="584CDDD7" w14:textId="77777777" w:rsidR="00477B8F" w:rsidRPr="009118AB" w:rsidRDefault="00477B8F" w:rsidP="00477B8F">
      <w:pPr>
        <w:autoSpaceDE w:val="0"/>
        <w:autoSpaceDN w:val="0"/>
        <w:adjustRightInd w:val="0"/>
        <w:jc w:val="both"/>
      </w:pPr>
    </w:p>
    <w:p w14:paraId="17E76690" w14:textId="0EB391CF"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Im Falle der Veräußerung einer der in </w:t>
      </w:r>
      <w:r w:rsidR="00D67EB8" w:rsidRPr="009118AB">
        <w:t>§ </w:t>
      </w:r>
      <w:r w:rsidRPr="009118AB">
        <w:t>1 erwähnten Anlagen</w:t>
      </w:r>
      <w:r w:rsidR="00D67EB8" w:rsidRPr="009118AB">
        <w:t> - </w:t>
      </w:r>
      <w:r w:rsidRPr="009118AB">
        <w:t>außer einer Veräußerung anlässlich eines Schadensfalls, einer Enteignung, einer Eigentumsrequirierung oder eines anderen ähnlichen Ereignisses</w:t>
      </w:r>
      <w:r w:rsidR="00FD68E8" w:rsidRPr="009118AB">
        <w:t> -,</w:t>
      </w:r>
      <w:r w:rsidRPr="009118AB">
        <w:t xml:space="preserve"> die in den ersten drei Jahren der Investition erfolgt, gilt der Betrag der vorher steuerfreien Gewinne als Gewinn des Besteuerungszeitraums, in dem die Veräußerung stattfand.]</w:t>
      </w:r>
    </w:p>
    <w:p w14:paraId="2356538B" w14:textId="77777777" w:rsidR="00477B8F" w:rsidRPr="009118AB" w:rsidRDefault="00477B8F" w:rsidP="00477B8F">
      <w:pPr>
        <w:autoSpaceDE w:val="0"/>
        <w:autoSpaceDN w:val="0"/>
        <w:adjustRightInd w:val="0"/>
        <w:jc w:val="both"/>
      </w:pPr>
    </w:p>
    <w:p w14:paraId="0656CB9F" w14:textId="649DBFFE" w:rsidR="00437343" w:rsidRPr="009118AB" w:rsidRDefault="00477B8F" w:rsidP="00132071">
      <w:pPr>
        <w:autoSpaceDE w:val="0"/>
        <w:autoSpaceDN w:val="0"/>
        <w:adjustRightInd w:val="0"/>
        <w:jc w:val="both"/>
      </w:pPr>
      <w:r w:rsidRPr="009118AB">
        <w:rPr>
          <w:i/>
          <w:iCs/>
        </w:rPr>
        <w:t>[</w:t>
      </w:r>
      <w:r w:rsidR="00D67EB8" w:rsidRPr="009118AB">
        <w:rPr>
          <w:i/>
          <w:iCs/>
        </w:rPr>
        <w:t>Art. </w:t>
      </w:r>
      <w:r w:rsidRPr="009118AB">
        <w:rPr>
          <w:i/>
          <w:iCs/>
        </w:rPr>
        <w:t xml:space="preserve">193ter eingefügt durch </w:t>
      </w:r>
      <w:r w:rsidR="00D67EB8" w:rsidRPr="009118AB">
        <w:rPr>
          <w:i/>
          <w:iCs/>
        </w:rPr>
        <w:t>Art. </w:t>
      </w:r>
      <w:r w:rsidRPr="009118AB">
        <w:rPr>
          <w:i/>
          <w:iCs/>
        </w:rPr>
        <w:t xml:space="preserve">140 des G. </w:t>
      </w:r>
      <w:r w:rsidR="00CB25A5" w:rsidRPr="009118AB">
        <w:rPr>
          <w:i/>
          <w:iCs/>
        </w:rPr>
        <w:t xml:space="preserve">(IV) </w:t>
      </w:r>
      <w:r w:rsidRPr="009118AB">
        <w:rPr>
          <w:i/>
          <w:iCs/>
        </w:rPr>
        <w:t>vom 25. April 2007 (I) (B.S. vom 8. Mai 2007)</w:t>
      </w:r>
      <w:r w:rsidR="00D67EB8" w:rsidRPr="009118AB">
        <w:rPr>
          <w:i/>
          <w:iCs/>
        </w:rPr>
        <w:t> - </w:t>
      </w:r>
      <w:r w:rsidRPr="009118AB">
        <w:rPr>
          <w:i/>
          <w:iCs/>
        </w:rPr>
        <w:t>anwendbar auf die ab dem 1. Januar 2007 notifizierten Prä</w:t>
      </w:r>
      <w:r w:rsidRPr="009118AB">
        <w:rPr>
          <w:i/>
          <w:iCs/>
        </w:rPr>
        <w:softHyphen/>
        <w:t>mien und Zuschüsse in dem Maße, wie das Datum der Notifizierung sich frühestens auf den Besteuerungszeitraum bezieht, der an das Steuerjahr 2008 gebunden ist</w:t>
      </w:r>
      <w:r w:rsidR="00FD68E8" w:rsidRPr="009118AB">
        <w:rPr>
          <w:i/>
          <w:iCs/>
        </w:rPr>
        <w:t> -]</w:t>
      </w:r>
      <w:r w:rsidR="00437343" w:rsidRPr="009118AB">
        <w:br w:type="page"/>
      </w:r>
    </w:p>
    <w:p w14:paraId="5969A1C1" w14:textId="2B7CBCF5" w:rsidR="00111CA0" w:rsidRPr="009118AB" w:rsidRDefault="00111CA0" w:rsidP="00477B8F">
      <w:pPr>
        <w:autoSpaceDE w:val="0"/>
        <w:autoSpaceDN w:val="0"/>
        <w:adjustRightInd w:val="0"/>
        <w:jc w:val="center"/>
      </w:pPr>
      <w:r w:rsidRPr="009118AB">
        <w:lastRenderedPageBreak/>
        <w:t>[</w:t>
      </w:r>
      <w:r w:rsidR="002A340F" w:rsidRPr="009118AB">
        <w:t>[</w:t>
      </w:r>
      <w:r w:rsidRPr="009118AB">
        <w:t>Unterabschnitt 1</w:t>
      </w:r>
      <w:r w:rsidR="002A340F" w:rsidRPr="009118AB">
        <w:rPr>
          <w:i/>
        </w:rPr>
        <w:t>ter</w:t>
      </w:r>
      <w:r w:rsidR="002A340F" w:rsidRPr="009118AB">
        <w:t>]</w:t>
      </w:r>
      <w:r w:rsidR="00D67EB8" w:rsidRPr="009118AB">
        <w:t> - </w:t>
      </w:r>
      <w:r w:rsidRPr="009118AB">
        <w:t>Eingliederungsbetriebe]</w:t>
      </w:r>
    </w:p>
    <w:p w14:paraId="446F5276" w14:textId="77777777" w:rsidR="00111CA0" w:rsidRPr="009118AB" w:rsidRDefault="00111CA0" w:rsidP="00477B8F">
      <w:pPr>
        <w:autoSpaceDE w:val="0"/>
        <w:autoSpaceDN w:val="0"/>
        <w:adjustRightInd w:val="0"/>
        <w:jc w:val="center"/>
      </w:pPr>
    </w:p>
    <w:p w14:paraId="7DBB618A" w14:textId="04FE99A0" w:rsidR="00111CA0" w:rsidRPr="009118AB" w:rsidRDefault="00111CA0" w:rsidP="00111CA0">
      <w:pPr>
        <w:autoSpaceDE w:val="0"/>
        <w:autoSpaceDN w:val="0"/>
        <w:adjustRightInd w:val="0"/>
        <w:jc w:val="both"/>
        <w:rPr>
          <w:i/>
          <w:iCs/>
        </w:rPr>
      </w:pPr>
      <w:r w:rsidRPr="009118AB">
        <w:rPr>
          <w:i/>
        </w:rPr>
        <w:t xml:space="preserve">[Zweiter Unterabschnitt 1bis eingefügt durch </w:t>
      </w:r>
      <w:r w:rsidR="00D67EB8" w:rsidRPr="009118AB">
        <w:rPr>
          <w:i/>
        </w:rPr>
        <w:t>Art. </w:t>
      </w:r>
      <w:r w:rsidRPr="009118AB">
        <w:rPr>
          <w:i/>
        </w:rPr>
        <w:t>25</w:t>
      </w:r>
      <w:r w:rsidRPr="009118AB">
        <w:rPr>
          <w:i/>
          <w:iCs/>
        </w:rPr>
        <w:t xml:space="preserve">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 -</w:t>
      </w:r>
      <w:r w:rsidR="002A340F" w:rsidRPr="009118AB">
        <w:rPr>
          <w:i/>
          <w:iCs/>
        </w:rPr>
        <w:t xml:space="preserve">und umnummeriert zu Unterabschnitt 1ter durch </w:t>
      </w:r>
      <w:r w:rsidR="00D67EB8" w:rsidRPr="009118AB">
        <w:rPr>
          <w:i/>
          <w:iCs/>
        </w:rPr>
        <w:t>Art. </w:t>
      </w:r>
      <w:r w:rsidR="002A340F" w:rsidRPr="009118AB">
        <w:rPr>
          <w:i/>
          <w:iCs/>
        </w:rPr>
        <w:t>4</w:t>
      </w:r>
      <w:r w:rsidR="002A340F" w:rsidRPr="009118AB">
        <w:rPr>
          <w:i/>
        </w:rPr>
        <w:t xml:space="preserve"> des G. vom 27. Juni 2021 (B.S. vom 30. Juni 2021)</w:t>
      </w:r>
      <w:r w:rsidR="00D67EB8" w:rsidRPr="009118AB">
        <w:rPr>
          <w:i/>
        </w:rPr>
        <w:t> - </w:t>
      </w:r>
      <w:r w:rsidR="002A340F" w:rsidRPr="009118AB">
        <w:rPr>
          <w:i/>
        </w:rPr>
        <w:t>wirksam mit 1. Januar 2018</w:t>
      </w:r>
      <w:r w:rsidR="00FD68E8" w:rsidRPr="009118AB">
        <w:rPr>
          <w:i/>
        </w:rPr>
        <w:t> -]</w:t>
      </w:r>
    </w:p>
    <w:p w14:paraId="1899E1D2" w14:textId="77777777" w:rsidR="00111CA0" w:rsidRPr="009118AB" w:rsidRDefault="00111CA0" w:rsidP="00111CA0">
      <w:pPr>
        <w:autoSpaceDE w:val="0"/>
        <w:autoSpaceDN w:val="0"/>
        <w:adjustRightInd w:val="0"/>
        <w:jc w:val="both"/>
        <w:rPr>
          <w:iCs/>
        </w:rPr>
      </w:pPr>
    </w:p>
    <w:p w14:paraId="62790456" w14:textId="77777777" w:rsidR="00111CA0" w:rsidRPr="009118AB" w:rsidRDefault="00111CA0" w:rsidP="00111CA0">
      <w:pPr>
        <w:autoSpaceDE w:val="0"/>
        <w:autoSpaceDN w:val="0"/>
        <w:adjustRightInd w:val="0"/>
        <w:jc w:val="both"/>
        <w:rPr>
          <w:iCs/>
        </w:rPr>
      </w:pPr>
    </w:p>
    <w:p w14:paraId="57A84948" w14:textId="125A7306" w:rsidR="00111CA0" w:rsidRPr="009118AB" w:rsidRDefault="00111CA0" w:rsidP="002E5920">
      <w:pPr>
        <w:ind w:firstLine="709"/>
        <w:jc w:val="both"/>
        <w:rPr>
          <w:iCs/>
        </w:rPr>
      </w:pPr>
      <w:r w:rsidRPr="009118AB">
        <w:rPr>
          <w:iCs/>
        </w:rPr>
        <w:t>[</w:t>
      </w:r>
      <w:r w:rsidR="00D67EB8" w:rsidRPr="009118AB">
        <w:rPr>
          <w:b/>
        </w:rPr>
        <w:t>Art. </w:t>
      </w:r>
      <w:r w:rsidRPr="009118AB">
        <w:rPr>
          <w:b/>
        </w:rPr>
        <w:t>193</w:t>
      </w:r>
      <w:r w:rsidRPr="009118AB">
        <w:rPr>
          <w:b/>
          <w:i/>
        </w:rPr>
        <w:t>quater</w:t>
      </w:r>
      <w:r w:rsidR="00D67EB8" w:rsidRPr="009118AB">
        <w:t> - </w:t>
      </w:r>
      <w:r w:rsidR="00D67EB8" w:rsidRPr="009118AB">
        <w:rPr>
          <w:iCs/>
        </w:rPr>
        <w:t>§ </w:t>
      </w:r>
      <w:r w:rsidRPr="009118AB">
        <w:rPr>
          <w:iCs/>
        </w:rPr>
        <w:t>1</w:t>
      </w:r>
      <w:r w:rsidR="00D67EB8" w:rsidRPr="009118AB">
        <w:rPr>
          <w:iCs/>
        </w:rPr>
        <w:t> - </w:t>
      </w:r>
      <w:r w:rsidRPr="009118AB">
        <w:rPr>
          <w:iCs/>
        </w:rPr>
        <w:t xml:space="preserve">Für Gesellschaften, die am Ende des Besteuerungszeitraums auf der Grundlage von Artikel 1 </w:t>
      </w:r>
      <w:r w:rsidR="00D67EB8" w:rsidRPr="009118AB">
        <w:rPr>
          <w:iCs/>
        </w:rPr>
        <w:t>§ </w:t>
      </w:r>
      <w:r w:rsidRPr="009118AB">
        <w:rPr>
          <w:iCs/>
        </w:rPr>
        <w:t xml:space="preserve">1 </w:t>
      </w:r>
      <w:r w:rsidR="00D67EB8" w:rsidRPr="009118AB">
        <w:rPr>
          <w:iCs/>
        </w:rPr>
        <w:t>Nr. </w:t>
      </w:r>
      <w:r w:rsidRPr="009118AB">
        <w:rPr>
          <w:iCs/>
        </w:rPr>
        <w:t xml:space="preserve">2 des Königlichen Erlasses vom 3. Mai 1999 zur Ausführung von Artikel 7 </w:t>
      </w:r>
      <w:r w:rsidR="00D67EB8" w:rsidRPr="009118AB">
        <w:rPr>
          <w:iCs/>
        </w:rPr>
        <w:t>§ </w:t>
      </w:r>
      <w:r w:rsidRPr="009118AB">
        <w:rPr>
          <w:iCs/>
        </w:rPr>
        <w:t>1 Absatz 3 Buchstabe </w:t>
      </w:r>
      <w:r w:rsidRPr="009118AB">
        <w:rPr>
          <w:i/>
          <w:iCs/>
        </w:rPr>
        <w:t>m)</w:t>
      </w:r>
      <w:r w:rsidRPr="009118AB">
        <w:rPr>
          <w:iCs/>
        </w:rPr>
        <w:t xml:space="preserve"> des Erlassgesetzes vom 28. Dezem</w:t>
      </w:r>
      <w:r w:rsidRPr="009118AB">
        <w:rPr>
          <w:iCs/>
        </w:rPr>
        <w:softHyphen/>
        <w:t>ber 1944 über die soziale Sicherheit der Arbeitnehmer in Bezug auf die Wiedereingliederung sehr schwer zu vermittelnder Arbeitsloser von der zuständigen Region als Eingliederungs</w:t>
      </w:r>
      <w:r w:rsidRPr="009118AB">
        <w:rPr>
          <w:iCs/>
        </w:rPr>
        <w:softHyphen/>
        <w:t>betrieb zugelassen sind, werden Gewinne, die im Vermögen der Gesellschaft gehalten werden und in einem Besteuerungszeitraum erzielt werden, für den die Gesellschaft als Eingliederungsbetrieb zugelassen ist, in nachstehenden Grenzen und unter nachstehenden Bedingungen teilweise von der Steuer befreit.</w:t>
      </w:r>
    </w:p>
    <w:p w14:paraId="6E103A87" w14:textId="77777777" w:rsidR="00111CA0" w:rsidRPr="009118AB" w:rsidRDefault="00111CA0" w:rsidP="00111CA0">
      <w:pPr>
        <w:autoSpaceDE w:val="0"/>
        <w:autoSpaceDN w:val="0"/>
        <w:adjustRightInd w:val="0"/>
        <w:jc w:val="both"/>
        <w:rPr>
          <w:iCs/>
        </w:rPr>
      </w:pPr>
    </w:p>
    <w:p w14:paraId="7FA2320B" w14:textId="0D85A69F" w:rsidR="00111CA0" w:rsidRPr="009118AB" w:rsidRDefault="00111CA0" w:rsidP="002E5920">
      <w:pPr>
        <w:autoSpaceDE w:val="0"/>
        <w:autoSpaceDN w:val="0"/>
        <w:adjustRightInd w:val="0"/>
        <w:ind w:firstLine="709"/>
        <w:jc w:val="both"/>
        <w:rPr>
          <w:iCs/>
        </w:rPr>
      </w:pPr>
      <w:r w:rsidRPr="009118AB">
        <w:rPr>
          <w:iCs/>
        </w:rPr>
        <w:t>Der Teil der in Absatz 1 erwähnten Gewinne, der in diesem Besteuerungszeitraum oder einem vorhergehenden Besteuerungszeitraum gemäß Artikel 193</w:t>
      </w:r>
      <w:r w:rsidRPr="009118AB">
        <w:rPr>
          <w:i/>
          <w:iCs/>
        </w:rPr>
        <w:t>bis</w:t>
      </w:r>
      <w:r w:rsidRPr="009118AB">
        <w:rPr>
          <w:iCs/>
        </w:rPr>
        <w:t xml:space="preserve"> </w:t>
      </w:r>
      <w:r w:rsidR="00D67EB8" w:rsidRPr="009118AB">
        <w:rPr>
          <w:iCs/>
        </w:rPr>
        <w:t>§ </w:t>
      </w:r>
      <w:r w:rsidRPr="009118AB">
        <w:rPr>
          <w:iCs/>
        </w:rPr>
        <w:t>1 Absatz 1 bereits steuerfrei ist, kommt für die in Absatz 1 erwähnte Steuerbefreiung nicht in Betracht.</w:t>
      </w:r>
    </w:p>
    <w:p w14:paraId="0C66CA82" w14:textId="77777777" w:rsidR="00111CA0" w:rsidRPr="009118AB" w:rsidRDefault="00111CA0" w:rsidP="00111CA0">
      <w:pPr>
        <w:autoSpaceDE w:val="0"/>
        <w:autoSpaceDN w:val="0"/>
        <w:adjustRightInd w:val="0"/>
        <w:jc w:val="both"/>
        <w:rPr>
          <w:iCs/>
        </w:rPr>
      </w:pPr>
    </w:p>
    <w:p w14:paraId="5E73901A" w14:textId="74EA268D" w:rsidR="00111CA0" w:rsidRPr="009118AB" w:rsidRDefault="00111CA0" w:rsidP="002E5920">
      <w:pPr>
        <w:autoSpaceDE w:val="0"/>
        <w:autoSpaceDN w:val="0"/>
        <w:adjustRightInd w:val="0"/>
        <w:ind w:firstLine="709"/>
        <w:jc w:val="both"/>
        <w:rPr>
          <w:iCs/>
        </w:rPr>
      </w:pPr>
      <w:r w:rsidRPr="009118AB">
        <w:rPr>
          <w:iCs/>
        </w:rPr>
        <w:t xml:space="preserve">Die steuerpflichtige Ergebnisrücklage, die nicht als Gewinn wie in den Absätzen 1 und 2 erwähnt betrachtet wird, ist auf einen Betrag begrenzt, der den Lohnkosten der in Belgien beschäftigten Arbeitnehmer entspricht, die der Zielgruppe wie in Artikel 1 </w:t>
      </w:r>
      <w:r w:rsidR="00D67EB8" w:rsidRPr="009118AB">
        <w:rPr>
          <w:iCs/>
        </w:rPr>
        <w:t>§ </w:t>
      </w:r>
      <w:r w:rsidRPr="009118AB">
        <w:rPr>
          <w:iCs/>
        </w:rPr>
        <w:t xml:space="preserve">2 Absatz 3 des vorerwähnten Königlichen Erlasses vom 3. Mai 1999 bestimmt angehören, mit einem Mindestbetrag von 7.440 EUR pro in Belgien beschäftigter Personaleinheit, die dieser Zielgruppe angehört. Dieser Mindestbetrag wird jährlich an den Verbraucherpreisindex des Königreichs angepasst, und zwar mit dem in Artikel 178 </w:t>
      </w:r>
      <w:r w:rsidR="00D67EB8" w:rsidRPr="009118AB">
        <w:rPr>
          <w:iCs/>
        </w:rPr>
        <w:t>§ </w:t>
      </w:r>
      <w:r w:rsidRPr="009118AB">
        <w:rPr>
          <w:iCs/>
        </w:rPr>
        <w:t xml:space="preserve">3 Absatz 1 </w:t>
      </w:r>
      <w:r w:rsidR="00D67EB8" w:rsidRPr="009118AB">
        <w:rPr>
          <w:iCs/>
        </w:rPr>
        <w:t>Nr. </w:t>
      </w:r>
      <w:r w:rsidRPr="009118AB">
        <w:rPr>
          <w:iCs/>
        </w:rPr>
        <w:t>2 festgelegten Koeffizienten.</w:t>
      </w:r>
    </w:p>
    <w:p w14:paraId="126C1C1A" w14:textId="77777777" w:rsidR="00111CA0" w:rsidRPr="009118AB" w:rsidRDefault="00111CA0" w:rsidP="00111CA0">
      <w:pPr>
        <w:autoSpaceDE w:val="0"/>
        <w:autoSpaceDN w:val="0"/>
        <w:adjustRightInd w:val="0"/>
        <w:jc w:val="both"/>
        <w:rPr>
          <w:iCs/>
        </w:rPr>
      </w:pPr>
    </w:p>
    <w:p w14:paraId="587EBF13" w14:textId="6F8FCC05" w:rsidR="00111CA0" w:rsidRPr="009118AB" w:rsidRDefault="00D67EB8" w:rsidP="002E5920">
      <w:pPr>
        <w:autoSpaceDE w:val="0"/>
        <w:autoSpaceDN w:val="0"/>
        <w:adjustRightInd w:val="0"/>
        <w:ind w:firstLine="709"/>
        <w:jc w:val="both"/>
        <w:rPr>
          <w:iCs/>
        </w:rPr>
      </w:pPr>
      <w:r w:rsidRPr="009118AB">
        <w:rPr>
          <w:iCs/>
        </w:rPr>
        <w:t>§ </w:t>
      </w:r>
      <w:r w:rsidR="00111CA0" w:rsidRPr="009118AB">
        <w:rPr>
          <w:iCs/>
        </w:rPr>
        <w:t>2</w:t>
      </w:r>
      <w:r w:rsidRPr="009118AB">
        <w:rPr>
          <w:iCs/>
        </w:rPr>
        <w:t> - </w:t>
      </w:r>
      <w:r w:rsidR="00111CA0" w:rsidRPr="009118AB">
        <w:rPr>
          <w:iCs/>
        </w:rPr>
        <w:t xml:space="preserve">Die in </w:t>
      </w:r>
      <w:r w:rsidRPr="009118AB">
        <w:rPr>
          <w:iCs/>
        </w:rPr>
        <w:t>§ </w:t>
      </w:r>
      <w:r w:rsidR="00111CA0" w:rsidRPr="009118AB">
        <w:rPr>
          <w:iCs/>
        </w:rPr>
        <w:t>1 erwähnte Steuerbefreiung der Gewinne wird nur gewährt und beibehalten, wenn:</w:t>
      </w:r>
    </w:p>
    <w:p w14:paraId="11752D7F" w14:textId="77777777" w:rsidR="00111CA0" w:rsidRPr="009118AB" w:rsidRDefault="00111CA0" w:rsidP="00111CA0">
      <w:pPr>
        <w:autoSpaceDE w:val="0"/>
        <w:autoSpaceDN w:val="0"/>
        <w:adjustRightInd w:val="0"/>
        <w:jc w:val="both"/>
        <w:rPr>
          <w:iCs/>
        </w:rPr>
      </w:pPr>
    </w:p>
    <w:p w14:paraId="575F22B3" w14:textId="77777777" w:rsidR="00111CA0" w:rsidRPr="009118AB" w:rsidRDefault="00111CA0" w:rsidP="002E5920">
      <w:pPr>
        <w:autoSpaceDE w:val="0"/>
        <w:autoSpaceDN w:val="0"/>
        <w:adjustRightInd w:val="0"/>
        <w:ind w:firstLine="709"/>
        <w:jc w:val="both"/>
        <w:rPr>
          <w:iCs/>
        </w:rPr>
      </w:pPr>
      <w:r w:rsidRPr="009118AB">
        <w:rPr>
          <w:iCs/>
        </w:rPr>
        <w:t>1. steuerfreie Gewinne auf einem getrennten Passivkonto gebucht sind und dort belassen werden,</w:t>
      </w:r>
    </w:p>
    <w:p w14:paraId="77C30464" w14:textId="77777777" w:rsidR="00111CA0" w:rsidRPr="009118AB" w:rsidRDefault="00111CA0" w:rsidP="00111CA0">
      <w:pPr>
        <w:autoSpaceDE w:val="0"/>
        <w:autoSpaceDN w:val="0"/>
        <w:adjustRightInd w:val="0"/>
        <w:jc w:val="both"/>
        <w:rPr>
          <w:iCs/>
        </w:rPr>
      </w:pPr>
    </w:p>
    <w:p w14:paraId="0F8C6897" w14:textId="77777777" w:rsidR="00111CA0" w:rsidRPr="009118AB" w:rsidRDefault="00111CA0" w:rsidP="002E5920">
      <w:pPr>
        <w:autoSpaceDE w:val="0"/>
        <w:autoSpaceDN w:val="0"/>
        <w:adjustRightInd w:val="0"/>
        <w:ind w:firstLine="709"/>
        <w:jc w:val="both"/>
        <w:rPr>
          <w:iCs/>
        </w:rPr>
      </w:pPr>
      <w:r w:rsidRPr="009118AB">
        <w:rPr>
          <w:iCs/>
        </w:rPr>
        <w:t>2. steuerfreie Gewinne nicht als Grundlage für die Berechnung der jährlichen Zuführung an die gesetzliche Rücklage oder für die Berechnung von Entlohnungen oder Zuerkennungen dienen.</w:t>
      </w:r>
    </w:p>
    <w:p w14:paraId="189530DD" w14:textId="77777777" w:rsidR="00111CA0" w:rsidRPr="009118AB" w:rsidRDefault="00111CA0" w:rsidP="00111CA0">
      <w:pPr>
        <w:autoSpaceDE w:val="0"/>
        <w:autoSpaceDN w:val="0"/>
        <w:adjustRightInd w:val="0"/>
        <w:jc w:val="both"/>
        <w:rPr>
          <w:iCs/>
        </w:rPr>
      </w:pPr>
    </w:p>
    <w:p w14:paraId="2E80571E" w14:textId="77777777" w:rsidR="00111CA0" w:rsidRPr="009118AB" w:rsidRDefault="00111CA0" w:rsidP="002E5920">
      <w:pPr>
        <w:autoSpaceDE w:val="0"/>
        <w:autoSpaceDN w:val="0"/>
        <w:adjustRightInd w:val="0"/>
        <w:ind w:firstLine="709"/>
        <w:jc w:val="both"/>
        <w:rPr>
          <w:iCs/>
        </w:rPr>
      </w:pPr>
      <w:r w:rsidRPr="009118AB">
        <w:rPr>
          <w:iCs/>
        </w:rPr>
        <w:t>Die in Absatz 1 erwähnten Bedingungen sind ebenfalls auf Gewinne anwendbar, die gemäß Artikel 67 des Gesetzes vom 26. März 1999 über den belgischen Aktionsplan für die Beschäftigung 1998 und zur Festlegung sonstiger Bestimmungen, so wie er vor seiner Aufhebung durch Artikel 87 des Gesetzes vom 25. Dezember 2017 zur Reform der Gesell</w:t>
      </w:r>
      <w:r w:rsidRPr="009118AB">
        <w:rPr>
          <w:iCs/>
        </w:rPr>
        <w:softHyphen/>
        <w:t>schaftssteuer bestand, steuerfrei sind.</w:t>
      </w:r>
    </w:p>
    <w:p w14:paraId="0C9AE2A8" w14:textId="77777777" w:rsidR="00111CA0" w:rsidRPr="009118AB" w:rsidRDefault="00111CA0" w:rsidP="00111CA0">
      <w:pPr>
        <w:autoSpaceDE w:val="0"/>
        <w:autoSpaceDN w:val="0"/>
        <w:adjustRightInd w:val="0"/>
        <w:jc w:val="both"/>
        <w:rPr>
          <w:iCs/>
        </w:rPr>
      </w:pPr>
    </w:p>
    <w:p w14:paraId="2CF608D2" w14:textId="77777777" w:rsidR="00111CA0" w:rsidRPr="009118AB" w:rsidRDefault="00111CA0" w:rsidP="002E5920">
      <w:pPr>
        <w:autoSpaceDE w:val="0"/>
        <w:autoSpaceDN w:val="0"/>
        <w:adjustRightInd w:val="0"/>
        <w:ind w:firstLine="709"/>
        <w:jc w:val="both"/>
        <w:rPr>
          <w:iCs/>
        </w:rPr>
      </w:pPr>
      <w:r w:rsidRPr="009118AB">
        <w:rPr>
          <w:iCs/>
        </w:rPr>
        <w:lastRenderedPageBreak/>
        <w:t>Sofern und in dem Maße, wie die in Absatz 1 erwähnten Bedingungen während eines Besteuerungszeitraums nicht mehr erfüllt werden, gilt der vorher steuerfreie Gewinn als ein während dieses Besteuerungszeitraums erzielter Gewinn.</w:t>
      </w:r>
    </w:p>
    <w:p w14:paraId="75BD2632" w14:textId="77777777" w:rsidR="00111CA0" w:rsidRPr="009118AB" w:rsidRDefault="00111CA0" w:rsidP="00111CA0">
      <w:pPr>
        <w:autoSpaceDE w:val="0"/>
        <w:autoSpaceDN w:val="0"/>
        <w:adjustRightInd w:val="0"/>
        <w:jc w:val="both"/>
        <w:rPr>
          <w:iCs/>
        </w:rPr>
      </w:pPr>
    </w:p>
    <w:p w14:paraId="746F380F" w14:textId="6F5D1A25" w:rsidR="00111CA0" w:rsidRPr="009118AB" w:rsidRDefault="00D67EB8" w:rsidP="002E5920">
      <w:pPr>
        <w:autoSpaceDE w:val="0"/>
        <w:autoSpaceDN w:val="0"/>
        <w:adjustRightInd w:val="0"/>
        <w:ind w:firstLine="709"/>
        <w:jc w:val="both"/>
        <w:rPr>
          <w:iCs/>
        </w:rPr>
      </w:pPr>
      <w:r w:rsidRPr="009118AB">
        <w:rPr>
          <w:iCs/>
        </w:rPr>
        <w:t>§ </w:t>
      </w:r>
      <w:r w:rsidR="00111CA0" w:rsidRPr="009118AB">
        <w:rPr>
          <w:iCs/>
        </w:rPr>
        <w:t>3</w:t>
      </w:r>
      <w:r w:rsidRPr="009118AB">
        <w:rPr>
          <w:iCs/>
        </w:rPr>
        <w:t> - </w:t>
      </w:r>
      <w:r w:rsidR="00111CA0" w:rsidRPr="009118AB">
        <w:rPr>
          <w:iCs/>
        </w:rPr>
        <w:t>[…]]</w:t>
      </w:r>
    </w:p>
    <w:p w14:paraId="69C686DE" w14:textId="77777777" w:rsidR="00111CA0" w:rsidRPr="009118AB" w:rsidRDefault="00111CA0" w:rsidP="00111CA0">
      <w:pPr>
        <w:autoSpaceDE w:val="0"/>
        <w:autoSpaceDN w:val="0"/>
        <w:adjustRightInd w:val="0"/>
        <w:jc w:val="both"/>
        <w:rPr>
          <w:iCs/>
        </w:rPr>
      </w:pPr>
    </w:p>
    <w:p w14:paraId="0030D063" w14:textId="712B54B2" w:rsidR="00111CA0" w:rsidRPr="009118AB" w:rsidRDefault="00111CA0" w:rsidP="00111CA0">
      <w:pPr>
        <w:autoSpaceDE w:val="0"/>
        <w:autoSpaceDN w:val="0"/>
        <w:adjustRightInd w:val="0"/>
        <w:jc w:val="both"/>
        <w:rPr>
          <w:iCs/>
        </w:rPr>
      </w:pPr>
      <w:r w:rsidRPr="009118AB">
        <w:rPr>
          <w:i/>
          <w:iCs/>
        </w:rPr>
        <w:t>[</w:t>
      </w:r>
      <w:r w:rsidR="00D67EB8" w:rsidRPr="009118AB">
        <w:rPr>
          <w:i/>
          <w:iCs/>
        </w:rPr>
        <w:t>Art. </w:t>
      </w:r>
      <w:r w:rsidRPr="009118AB">
        <w:rPr>
          <w:i/>
          <w:iCs/>
        </w:rPr>
        <w:t xml:space="preserve">193quater eingefügt durch </w:t>
      </w:r>
      <w:r w:rsidR="00D67EB8" w:rsidRPr="009118AB">
        <w:rPr>
          <w:i/>
          <w:iCs/>
        </w:rPr>
        <w:t>Art. </w:t>
      </w:r>
      <w:r w:rsidRPr="009118AB">
        <w:rPr>
          <w:i/>
          <w:iCs/>
        </w:rPr>
        <w:t>26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3366D9" w:rsidRPr="009118AB">
        <w:rPr>
          <w:i/>
          <w:iCs/>
        </w:rPr>
        <w:t> -;</w:t>
      </w:r>
      <w:r w:rsidRPr="009118AB">
        <w:rPr>
          <w:i/>
          <w:iCs/>
        </w:rPr>
        <w:t xml:space="preserve"> </w:t>
      </w:r>
      <w:r w:rsidR="00D67EB8" w:rsidRPr="009118AB">
        <w:rPr>
          <w:i/>
          <w:iCs/>
        </w:rPr>
        <w:t>§ </w:t>
      </w:r>
      <w:r w:rsidRPr="009118AB">
        <w:rPr>
          <w:i/>
          <w:iCs/>
        </w:rPr>
        <w:t xml:space="preserve">3 aufgehoben durch </w:t>
      </w:r>
      <w:r w:rsidR="00D67EB8" w:rsidRPr="009118AB">
        <w:rPr>
          <w:i/>
          <w:iCs/>
        </w:rPr>
        <w:t>Art. </w:t>
      </w:r>
      <w:r w:rsidRPr="009118AB">
        <w:rPr>
          <w:i/>
          <w:iCs/>
        </w:rPr>
        <w:t>27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FD68E8" w:rsidRPr="009118AB">
        <w:rPr>
          <w:i/>
          <w:iCs/>
        </w:rPr>
        <w:t> -]</w:t>
      </w:r>
    </w:p>
    <w:p w14:paraId="6BB7225B" w14:textId="77777777" w:rsidR="00111CA0" w:rsidRPr="009118AB" w:rsidRDefault="00111CA0" w:rsidP="00111CA0">
      <w:pPr>
        <w:autoSpaceDE w:val="0"/>
        <w:autoSpaceDN w:val="0"/>
        <w:adjustRightInd w:val="0"/>
        <w:jc w:val="both"/>
        <w:rPr>
          <w:iCs/>
        </w:rPr>
      </w:pPr>
    </w:p>
    <w:p w14:paraId="6BADE655" w14:textId="77777777" w:rsidR="00111CA0" w:rsidRPr="009118AB" w:rsidRDefault="00111CA0" w:rsidP="00111CA0">
      <w:pPr>
        <w:autoSpaceDE w:val="0"/>
        <w:autoSpaceDN w:val="0"/>
        <w:adjustRightInd w:val="0"/>
        <w:jc w:val="both"/>
        <w:rPr>
          <w:iCs/>
        </w:rPr>
      </w:pPr>
    </w:p>
    <w:p w14:paraId="096A3B0D" w14:textId="77777777" w:rsidR="00111CA0" w:rsidRPr="009118AB" w:rsidRDefault="00111CA0" w:rsidP="00111CA0">
      <w:pPr>
        <w:autoSpaceDE w:val="0"/>
        <w:autoSpaceDN w:val="0"/>
        <w:adjustRightInd w:val="0"/>
        <w:jc w:val="both"/>
        <w:rPr>
          <w:i/>
          <w:iCs/>
        </w:rPr>
      </w:pPr>
    </w:p>
    <w:p w14:paraId="4B68120D" w14:textId="393C7C32" w:rsidR="00477B8F" w:rsidRPr="009118AB" w:rsidRDefault="00477B8F" w:rsidP="00111CA0">
      <w:pPr>
        <w:autoSpaceDE w:val="0"/>
        <w:autoSpaceDN w:val="0"/>
        <w:adjustRightInd w:val="0"/>
        <w:jc w:val="center"/>
      </w:pPr>
      <w:r w:rsidRPr="009118AB">
        <w:br w:type="page"/>
      </w:r>
      <w:r w:rsidRPr="009118AB">
        <w:lastRenderedPageBreak/>
        <w:t>Unterabschnitt </w:t>
      </w:r>
      <w:r w:rsidR="00D74862" w:rsidRPr="009118AB">
        <w:t>2</w:t>
      </w:r>
      <w:r w:rsidR="00D67EB8" w:rsidRPr="009118AB">
        <w:t> - </w:t>
      </w:r>
      <w:r w:rsidR="00111CA0" w:rsidRPr="009118AB">
        <w:t>[Steuerfreie Rückstellungen]</w:t>
      </w:r>
    </w:p>
    <w:p w14:paraId="72895CA1" w14:textId="77777777" w:rsidR="00111CA0" w:rsidRPr="009118AB" w:rsidRDefault="00111CA0" w:rsidP="00111CA0">
      <w:pPr>
        <w:autoSpaceDE w:val="0"/>
        <w:autoSpaceDN w:val="0"/>
        <w:adjustRightInd w:val="0"/>
        <w:jc w:val="center"/>
      </w:pPr>
    </w:p>
    <w:p w14:paraId="1AB37983" w14:textId="5D45C7B5" w:rsidR="00111CA0" w:rsidRPr="009118AB" w:rsidRDefault="00111CA0" w:rsidP="00111CA0">
      <w:pPr>
        <w:autoSpaceDE w:val="0"/>
        <w:autoSpaceDN w:val="0"/>
        <w:adjustRightInd w:val="0"/>
        <w:jc w:val="both"/>
        <w:rPr>
          <w:iCs/>
        </w:rPr>
      </w:pPr>
      <w:r w:rsidRPr="009118AB">
        <w:rPr>
          <w:i/>
        </w:rPr>
        <w:t xml:space="preserve">[Überschrift von Unterabschnitt 2 ersetzt durch </w:t>
      </w:r>
      <w:r w:rsidR="00D67EB8" w:rsidRPr="009118AB">
        <w:rPr>
          <w:i/>
        </w:rPr>
        <w:t>Art. </w:t>
      </w:r>
      <w:r w:rsidRPr="009118AB">
        <w:rPr>
          <w:i/>
        </w:rPr>
        <w:t>28</w:t>
      </w:r>
      <w:r w:rsidRPr="009118AB">
        <w:rPr>
          <w:i/>
          <w:iCs/>
        </w:rPr>
        <w:t xml:space="preserve">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p>
    <w:p w14:paraId="72495527" w14:textId="77777777" w:rsidR="00477B8F" w:rsidRPr="009118AB" w:rsidRDefault="00477B8F" w:rsidP="00111CA0">
      <w:pPr>
        <w:autoSpaceDE w:val="0"/>
        <w:autoSpaceDN w:val="0"/>
        <w:adjustRightInd w:val="0"/>
        <w:jc w:val="center"/>
      </w:pPr>
    </w:p>
    <w:p w14:paraId="0254ACB6" w14:textId="77777777" w:rsidR="00477B8F" w:rsidRPr="009118AB" w:rsidRDefault="00477B8F" w:rsidP="00477B8F">
      <w:pPr>
        <w:autoSpaceDE w:val="0"/>
        <w:autoSpaceDN w:val="0"/>
        <w:adjustRightInd w:val="0"/>
        <w:jc w:val="both"/>
      </w:pPr>
    </w:p>
    <w:p w14:paraId="05727932" w14:textId="0726A9D6" w:rsidR="00111CA0" w:rsidRPr="009118AB" w:rsidRDefault="00477B8F" w:rsidP="00111CA0">
      <w:pPr>
        <w:jc w:val="both"/>
      </w:pPr>
      <w:r w:rsidRPr="009118AB">
        <w:tab/>
      </w:r>
      <w:r w:rsidR="00D67EB8" w:rsidRPr="009118AB">
        <w:rPr>
          <w:b/>
          <w:bCs/>
        </w:rPr>
        <w:t>Art. </w:t>
      </w:r>
      <w:r w:rsidRPr="009118AB">
        <w:rPr>
          <w:b/>
          <w:bCs/>
        </w:rPr>
        <w:t>194</w:t>
      </w:r>
      <w:r w:rsidR="00D67EB8" w:rsidRPr="009118AB">
        <w:t> - </w:t>
      </w:r>
      <w:r w:rsidR="00111CA0" w:rsidRPr="009118AB">
        <w:t>[Unbeschadet des Artikels 194</w:t>
      </w:r>
      <w:r w:rsidR="00111CA0" w:rsidRPr="009118AB">
        <w:rPr>
          <w:i/>
        </w:rPr>
        <w:t>bis</w:t>
      </w:r>
      <w:r w:rsidR="00111CA0" w:rsidRPr="009118AB">
        <w:t xml:space="preserve"> ist die in Artikel 48 vorgesehene Steuerbefreiung für Rückstellungen für Risiken und Aufwendungen nur auf folgende Rückstellungen anwendbar:</w:t>
      </w:r>
    </w:p>
    <w:p w14:paraId="13A013B0" w14:textId="77777777" w:rsidR="00111CA0" w:rsidRPr="009118AB" w:rsidRDefault="00111CA0" w:rsidP="00111CA0">
      <w:pPr>
        <w:jc w:val="both"/>
      </w:pPr>
    </w:p>
    <w:p w14:paraId="7F200AF6" w14:textId="77777777" w:rsidR="00111CA0" w:rsidRPr="009118AB" w:rsidRDefault="00111CA0" w:rsidP="00111CA0">
      <w:pPr>
        <w:jc w:val="both"/>
      </w:pPr>
      <w:r w:rsidRPr="009118AB">
        <w:tab/>
        <w:t>1. Rückstellungen, die aus Verbindlichkeiten hervorgehen, die das Unternehmen im Laufe des Besteuerungszeitraums oder eines der vorhergehenden Besteuerungszeiträume eingegangen ist,</w:t>
      </w:r>
    </w:p>
    <w:p w14:paraId="0B516DA1" w14:textId="77777777" w:rsidR="00111CA0" w:rsidRPr="009118AB" w:rsidRDefault="00111CA0" w:rsidP="00111CA0">
      <w:pPr>
        <w:jc w:val="both"/>
      </w:pPr>
    </w:p>
    <w:p w14:paraId="4DE764B9" w14:textId="77777777" w:rsidR="00477B8F" w:rsidRPr="009118AB" w:rsidRDefault="00111CA0" w:rsidP="00111CA0">
      <w:pPr>
        <w:autoSpaceDE w:val="0"/>
        <w:autoSpaceDN w:val="0"/>
        <w:adjustRightInd w:val="0"/>
        <w:jc w:val="both"/>
      </w:pPr>
      <w:r w:rsidRPr="009118AB">
        <w:tab/>
        <w:t>2. Rückstellungen, die aus gesetzlichen oder verordnungsrechtlichen Verpflichtungen hervorgehen, die keine Verpflichtungen sind, die ausschließlich aus der Anwendung von Buchführungsvorschriften oder Verordnungsbestimmungen in Bezug auf den Jahresabschluss hervorgehen.]</w:t>
      </w:r>
    </w:p>
    <w:p w14:paraId="410FDFA1" w14:textId="77777777" w:rsidR="00111CA0" w:rsidRPr="009118AB" w:rsidRDefault="00111CA0" w:rsidP="00111CA0">
      <w:pPr>
        <w:autoSpaceDE w:val="0"/>
        <w:autoSpaceDN w:val="0"/>
        <w:adjustRightInd w:val="0"/>
        <w:jc w:val="both"/>
      </w:pPr>
    </w:p>
    <w:p w14:paraId="1902F5D6" w14:textId="2016EF9C" w:rsidR="00111CA0" w:rsidRPr="009118AB" w:rsidRDefault="00111CA0" w:rsidP="00111CA0">
      <w:pPr>
        <w:autoSpaceDE w:val="0"/>
        <w:autoSpaceDN w:val="0"/>
        <w:adjustRightInd w:val="0"/>
        <w:jc w:val="both"/>
        <w:rPr>
          <w:i/>
          <w:iCs/>
        </w:rPr>
      </w:pPr>
      <w:r w:rsidRPr="009118AB">
        <w:rPr>
          <w:i/>
        </w:rPr>
        <w:t>[</w:t>
      </w:r>
      <w:r w:rsidR="00D67EB8" w:rsidRPr="009118AB">
        <w:rPr>
          <w:i/>
        </w:rPr>
        <w:t>Art. </w:t>
      </w:r>
      <w:r w:rsidRPr="009118AB">
        <w:rPr>
          <w:i/>
        </w:rPr>
        <w:t xml:space="preserve">194 ersetzt durch </w:t>
      </w:r>
      <w:r w:rsidR="00D67EB8" w:rsidRPr="009118AB">
        <w:rPr>
          <w:i/>
        </w:rPr>
        <w:t>Art. </w:t>
      </w:r>
      <w:r w:rsidRPr="009118AB">
        <w:rPr>
          <w:i/>
        </w:rPr>
        <w:t>29</w:t>
      </w:r>
      <w:r w:rsidRPr="009118AB">
        <w:rPr>
          <w:i/>
          <w:iCs/>
        </w:rPr>
        <w:t xml:space="preserve"> des G. vom 25. Dezember 2017 (III) (B.S. vom 29. Dezember 2017)</w:t>
      </w:r>
      <w:r w:rsidR="00D67EB8" w:rsidRPr="009118AB">
        <w:rPr>
          <w:i/>
          <w:iCs/>
        </w:rPr>
        <w:t> - </w:t>
      </w:r>
      <w:r w:rsidRPr="009118AB">
        <w:rPr>
          <w:i/>
          <w:iCs/>
        </w:rPr>
        <w:t>in Kraft am 1. Januar 2018</w:t>
      </w:r>
      <w:r w:rsidR="00534F88" w:rsidRPr="009118AB">
        <w:rPr>
          <w:i/>
          <w:iCs/>
        </w:rPr>
        <w:t>,</w:t>
      </w:r>
      <w:r w:rsidRPr="009118AB">
        <w:rPr>
          <w:i/>
          <w:iCs/>
        </w:rPr>
        <w:t xml:space="preserve"> anwendbar ab dem Steuerjahr 2019, das sich auf einen Besteuerungszeitraum bezieht, der frühestens am 1. Januar 2018 beginnt</w:t>
      </w:r>
      <w:r w:rsidR="002731A1" w:rsidRPr="009118AB">
        <w:rPr>
          <w:i/>
          <w:iCs/>
        </w:rPr>
        <w:t>,</w:t>
      </w:r>
      <w:r w:rsidR="00534F88" w:rsidRPr="009118AB">
        <w:rPr>
          <w:i/>
          <w:iCs/>
        </w:rPr>
        <w:t xml:space="preserve"> und nicht anwendbar </w:t>
      </w:r>
      <w:r w:rsidR="00534F88" w:rsidRPr="009118AB">
        <w:rPr>
          <w:i/>
        </w:rPr>
        <w:t xml:space="preserve">auf Rückstellungen oder Zuführungen an Rückstellungen, die während </w:t>
      </w:r>
      <w:r w:rsidR="00534F88" w:rsidRPr="009118AB">
        <w:rPr>
          <w:rFonts w:ascii="Times New Roman Italique" w:hAnsi="Times New Roman Italique"/>
          <w:i/>
          <w:spacing w:val="-2"/>
        </w:rPr>
        <w:t>Besteuerungszeiträumen gebildet worden sind, die vor dem 1. Januar 2018 begonnen haben</w:t>
      </w:r>
      <w:r w:rsidR="00FD68E8" w:rsidRPr="009118AB">
        <w:rPr>
          <w:rFonts w:ascii="Times New Roman Italique" w:hAnsi="Times New Roman Italique"/>
          <w:i/>
          <w:iCs/>
          <w:spacing w:val="-2"/>
        </w:rPr>
        <w:t> -]</w:t>
      </w:r>
    </w:p>
    <w:p w14:paraId="219DDE1F" w14:textId="77777777" w:rsidR="00111CA0" w:rsidRPr="009118AB" w:rsidRDefault="00111CA0" w:rsidP="00111CA0">
      <w:pPr>
        <w:autoSpaceDE w:val="0"/>
        <w:autoSpaceDN w:val="0"/>
        <w:adjustRightInd w:val="0"/>
        <w:jc w:val="both"/>
        <w:rPr>
          <w:i/>
        </w:rPr>
      </w:pPr>
    </w:p>
    <w:p w14:paraId="405F1AC3" w14:textId="36C98176" w:rsidR="00477B8F" w:rsidRPr="009118AB" w:rsidRDefault="00477B8F" w:rsidP="00477B8F">
      <w:pPr>
        <w:autoSpaceDE w:val="0"/>
        <w:autoSpaceDN w:val="0"/>
        <w:adjustRightInd w:val="0"/>
        <w:jc w:val="center"/>
      </w:pPr>
      <w:r w:rsidRPr="009118AB">
        <w:br w:type="page"/>
      </w:r>
      <w:r w:rsidRPr="009118AB">
        <w:lastRenderedPageBreak/>
        <w:t>[Unterabschnitt </w:t>
      </w:r>
      <w:r w:rsidR="00D74862" w:rsidRPr="009118AB">
        <w:t>3</w:t>
      </w:r>
      <w:r w:rsidR="00D67EB8" w:rsidRPr="009118AB">
        <w:t> - </w:t>
      </w:r>
      <w:r w:rsidRPr="009118AB">
        <w:t>Technische Rückstellungen von Versicherungsunternehmen]</w:t>
      </w:r>
    </w:p>
    <w:p w14:paraId="1B9279F7" w14:textId="77777777" w:rsidR="00477B8F" w:rsidRPr="009118AB" w:rsidRDefault="00477B8F" w:rsidP="00477B8F">
      <w:pPr>
        <w:autoSpaceDE w:val="0"/>
        <w:autoSpaceDN w:val="0"/>
        <w:adjustRightInd w:val="0"/>
        <w:jc w:val="center"/>
      </w:pPr>
    </w:p>
    <w:p w14:paraId="5D5DCB60" w14:textId="0B05DDFF" w:rsidR="00477B8F" w:rsidRPr="009118AB" w:rsidRDefault="00477B8F" w:rsidP="00477B8F">
      <w:pPr>
        <w:autoSpaceDE w:val="0"/>
        <w:autoSpaceDN w:val="0"/>
        <w:adjustRightInd w:val="0"/>
        <w:jc w:val="both"/>
      </w:pPr>
      <w:r w:rsidRPr="009118AB">
        <w:rPr>
          <w:i/>
          <w:iCs/>
        </w:rPr>
        <w:t>[Unterabschnitt </w:t>
      </w:r>
      <w:r w:rsidR="00D74862" w:rsidRPr="009118AB">
        <w:rPr>
          <w:i/>
          <w:iCs/>
        </w:rPr>
        <w:t>3</w:t>
      </w:r>
      <w:r w:rsidRPr="009118AB">
        <w:rPr>
          <w:i/>
          <w:iCs/>
        </w:rPr>
        <w:t xml:space="preserve"> eingefügt durch </w:t>
      </w:r>
      <w:r w:rsidR="00D67EB8" w:rsidRPr="009118AB">
        <w:rPr>
          <w:i/>
          <w:iCs/>
        </w:rPr>
        <w:t>Art. </w:t>
      </w:r>
      <w:r w:rsidRPr="009118AB">
        <w:rPr>
          <w:i/>
          <w:iCs/>
        </w:rPr>
        <w:t xml:space="preserve">13 </w:t>
      </w:r>
      <w:r w:rsidR="00D67EB8" w:rsidRPr="009118AB">
        <w:rPr>
          <w:i/>
          <w:iCs/>
        </w:rPr>
        <w:t>§ </w:t>
      </w:r>
      <w:r w:rsidRPr="009118AB">
        <w:rPr>
          <w:i/>
          <w:iCs/>
        </w:rPr>
        <w:t>1 des G. vom 4. Mai 1999 (II) (B.S. vom 12. Juni 1999)]</w:t>
      </w:r>
    </w:p>
    <w:p w14:paraId="72500920" w14:textId="77777777" w:rsidR="00477B8F" w:rsidRPr="009118AB" w:rsidRDefault="00477B8F" w:rsidP="00477B8F">
      <w:pPr>
        <w:autoSpaceDE w:val="0"/>
        <w:autoSpaceDN w:val="0"/>
        <w:adjustRightInd w:val="0"/>
        <w:jc w:val="both"/>
      </w:pPr>
    </w:p>
    <w:p w14:paraId="037AF602" w14:textId="77777777" w:rsidR="00477B8F" w:rsidRPr="009118AB" w:rsidRDefault="00477B8F" w:rsidP="00477B8F">
      <w:pPr>
        <w:autoSpaceDE w:val="0"/>
        <w:autoSpaceDN w:val="0"/>
        <w:adjustRightInd w:val="0"/>
        <w:jc w:val="both"/>
      </w:pPr>
    </w:p>
    <w:p w14:paraId="1F3C5510" w14:textId="00D2113F"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194</w:t>
      </w:r>
      <w:r w:rsidRPr="009118AB">
        <w:rPr>
          <w:b/>
          <w:bCs/>
          <w:i/>
          <w:iCs/>
        </w:rPr>
        <w:t>bis</w:t>
      </w:r>
      <w:r w:rsidR="00D67EB8" w:rsidRPr="009118AB">
        <w:t> - </w:t>
      </w:r>
      <w:r w:rsidR="00132071" w:rsidRPr="009118AB">
        <w:t xml:space="preserve">[In Artikel 15 </w:t>
      </w:r>
      <w:r w:rsidR="00D67EB8" w:rsidRPr="009118AB">
        <w:t>Nr. </w:t>
      </w:r>
      <w:r w:rsidR="00132071" w:rsidRPr="009118AB">
        <w:t xml:space="preserve">68 des Gesetzes vom 13. März 2016 über den Status und die Kontrolle der Versicherungs- oder Rückversicherungsunternehmen erwähnte technische Rückstellungen] </w:t>
      </w:r>
      <w:r w:rsidRPr="009118AB">
        <w:t>werden in Grenzen und unter Bedingungen, die der König festlegt, von der Steuer befreit.]</w:t>
      </w:r>
    </w:p>
    <w:p w14:paraId="68981257" w14:textId="77777777" w:rsidR="00477B8F" w:rsidRPr="009118AB" w:rsidRDefault="00477B8F" w:rsidP="00477B8F">
      <w:pPr>
        <w:autoSpaceDE w:val="0"/>
        <w:autoSpaceDN w:val="0"/>
        <w:adjustRightInd w:val="0"/>
        <w:jc w:val="both"/>
      </w:pPr>
    </w:p>
    <w:p w14:paraId="2D04710B" w14:textId="696EB872"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194bis eingefügt durch </w:t>
      </w:r>
      <w:r w:rsidR="00D67EB8" w:rsidRPr="009118AB">
        <w:rPr>
          <w:i/>
          <w:iCs/>
        </w:rPr>
        <w:t>Art. </w:t>
      </w:r>
      <w:r w:rsidRPr="009118AB">
        <w:rPr>
          <w:i/>
          <w:iCs/>
        </w:rPr>
        <w:t xml:space="preserve">13 </w:t>
      </w:r>
      <w:r w:rsidR="00D67EB8" w:rsidRPr="009118AB">
        <w:rPr>
          <w:i/>
          <w:iCs/>
        </w:rPr>
        <w:t>§ </w:t>
      </w:r>
      <w:r w:rsidRPr="009118AB">
        <w:rPr>
          <w:i/>
          <w:iCs/>
        </w:rPr>
        <w:t>2 des G. vom 4. Mai 1999 (II) (B.S. vom 12. Juni 1999)</w:t>
      </w:r>
      <w:r w:rsidR="00132071" w:rsidRPr="009118AB">
        <w:rPr>
          <w:i/>
          <w:iCs/>
        </w:rPr>
        <w:t xml:space="preserve"> und abgeändert durch </w:t>
      </w:r>
      <w:r w:rsidR="00D67EB8" w:rsidRPr="009118AB">
        <w:rPr>
          <w:i/>
          <w:iCs/>
        </w:rPr>
        <w:t>Art. </w:t>
      </w:r>
      <w:r w:rsidR="00132071" w:rsidRPr="009118AB">
        <w:rPr>
          <w:i/>
          <w:iCs/>
        </w:rPr>
        <w:t>40</w:t>
      </w:r>
      <w:r w:rsidR="00132071" w:rsidRPr="009118AB">
        <w:rPr>
          <w:i/>
        </w:rPr>
        <w:t xml:space="preserve"> des G. vom 27. Juni 2021 (B.S. vom 30. Juni 2021)</w:t>
      </w:r>
      <w:r w:rsidRPr="009118AB">
        <w:rPr>
          <w:i/>
          <w:iCs/>
        </w:rPr>
        <w:t>]</w:t>
      </w:r>
    </w:p>
    <w:p w14:paraId="1E7179E1" w14:textId="254236BD" w:rsidR="00477B8F" w:rsidRPr="009118AB" w:rsidRDefault="00477B8F" w:rsidP="00577EF8">
      <w:pPr>
        <w:autoSpaceDE w:val="0"/>
        <w:autoSpaceDN w:val="0"/>
        <w:adjustRightInd w:val="0"/>
        <w:jc w:val="both"/>
      </w:pPr>
      <w:r w:rsidRPr="009118AB">
        <w:br w:type="page"/>
      </w:r>
      <w:r w:rsidRPr="009118AB">
        <w:lastRenderedPageBreak/>
        <w:t>[Unterabschnitt </w:t>
      </w:r>
      <w:r w:rsidR="00D74862" w:rsidRPr="009118AB">
        <w:t>4</w:t>
      </w:r>
      <w:r w:rsidR="00D67EB8" w:rsidRPr="009118AB">
        <w:t> - </w:t>
      </w:r>
      <w:r w:rsidR="00E848E6" w:rsidRPr="009118AB">
        <w:t>[</w:t>
      </w:r>
      <w:r w:rsidR="002766A8" w:rsidRPr="009118AB">
        <w:t>Unternehmen, die im Rahmen einer Tax-Shelter-Regelung in ein Rahmenübereinkommen zugunsten der Produktion eines audiovisuellen Werks, eines Bühnenwerks oder eines Videospiels investieren</w:t>
      </w:r>
      <w:r w:rsidR="00E0464F" w:rsidRPr="009118AB">
        <w:t>]</w:t>
      </w:r>
    </w:p>
    <w:p w14:paraId="025D8023" w14:textId="77777777" w:rsidR="00477B8F" w:rsidRPr="009118AB" w:rsidRDefault="00477B8F" w:rsidP="00477B8F">
      <w:pPr>
        <w:autoSpaceDE w:val="0"/>
        <w:autoSpaceDN w:val="0"/>
        <w:adjustRightInd w:val="0"/>
        <w:jc w:val="center"/>
      </w:pPr>
    </w:p>
    <w:p w14:paraId="5809788F" w14:textId="4501BE50" w:rsidR="00477B8F" w:rsidRPr="009118AB" w:rsidRDefault="00477B8F" w:rsidP="00477B8F">
      <w:pPr>
        <w:autoSpaceDE w:val="0"/>
        <w:autoSpaceDN w:val="0"/>
        <w:adjustRightInd w:val="0"/>
        <w:jc w:val="both"/>
      </w:pPr>
      <w:r w:rsidRPr="009118AB">
        <w:rPr>
          <w:i/>
          <w:iCs/>
        </w:rPr>
        <w:t>[Unterabschnitt </w:t>
      </w:r>
      <w:r w:rsidR="00D74862" w:rsidRPr="009118AB">
        <w:rPr>
          <w:i/>
          <w:iCs/>
        </w:rPr>
        <w:t>4</w:t>
      </w:r>
      <w:r w:rsidRPr="009118AB">
        <w:rPr>
          <w:i/>
          <w:iCs/>
        </w:rPr>
        <w:t xml:space="preserve"> mit </w:t>
      </w:r>
      <w:r w:rsidR="00D67EB8" w:rsidRPr="009118AB">
        <w:rPr>
          <w:i/>
          <w:iCs/>
        </w:rPr>
        <w:t>Art. </w:t>
      </w:r>
      <w:r w:rsidRPr="009118AB">
        <w:rPr>
          <w:i/>
          <w:iCs/>
        </w:rPr>
        <w:t xml:space="preserve">194ter eingefügt durch </w:t>
      </w:r>
      <w:r w:rsidR="00D67EB8" w:rsidRPr="009118AB">
        <w:rPr>
          <w:i/>
          <w:iCs/>
        </w:rPr>
        <w:t>Art. </w:t>
      </w:r>
      <w:r w:rsidRPr="009118AB">
        <w:rPr>
          <w:i/>
          <w:iCs/>
        </w:rPr>
        <w:t>128 des G. vom 2. August 2002 (B.S.</w:t>
      </w:r>
      <w:r w:rsidR="00CB25A5" w:rsidRPr="009118AB">
        <w:rPr>
          <w:i/>
          <w:iCs/>
        </w:rPr>
        <w:t> </w:t>
      </w:r>
      <w:r w:rsidRPr="009118AB">
        <w:rPr>
          <w:i/>
          <w:iCs/>
        </w:rPr>
        <w:t>vom 29. August 2002)</w:t>
      </w:r>
      <w:r w:rsidR="00D67EB8" w:rsidRPr="009118AB">
        <w:rPr>
          <w:i/>
          <w:iCs/>
        </w:rPr>
        <w:t> - </w:t>
      </w:r>
      <w:r w:rsidRPr="009118AB">
        <w:rPr>
          <w:i/>
          <w:iCs/>
        </w:rPr>
        <w:t>in Kraft ab dem Steuerjahr 2004</w:t>
      </w:r>
      <w:r w:rsidR="003366D9" w:rsidRPr="009118AB">
        <w:rPr>
          <w:i/>
          <w:iCs/>
        </w:rPr>
        <w:t> -;</w:t>
      </w:r>
      <w:r w:rsidR="00E0464F" w:rsidRPr="009118AB">
        <w:rPr>
          <w:i/>
          <w:iCs/>
        </w:rPr>
        <w:t xml:space="preserve"> Überschrift von Unterabschnitt 4 ersetzt durch </w:t>
      </w:r>
      <w:r w:rsidR="00D67EB8" w:rsidRPr="009118AB">
        <w:rPr>
          <w:i/>
          <w:iCs/>
        </w:rPr>
        <w:t>Art. </w:t>
      </w:r>
      <w:r w:rsidR="00EA2EB8" w:rsidRPr="009118AB">
        <w:rPr>
          <w:i/>
          <w:iCs/>
        </w:rPr>
        <w:t>3</w:t>
      </w:r>
      <w:r w:rsidR="002766A8" w:rsidRPr="009118AB">
        <w:rPr>
          <w:i/>
          <w:iCs/>
        </w:rPr>
        <w:t xml:space="preserve"> des G. vom 29. März 2019 (B.S. vom 16. April 2019)</w:t>
      </w:r>
      <w:r w:rsidR="00D67EB8" w:rsidRPr="009118AB">
        <w:rPr>
          <w:i/>
          <w:iCs/>
        </w:rPr>
        <w:t> - </w:t>
      </w:r>
      <w:r w:rsidR="002766A8" w:rsidRPr="009118AB">
        <w:rPr>
          <w:i/>
          <w:iCs/>
        </w:rPr>
        <w:t xml:space="preserve">in Kraft am 16. April 2014 und anwendbar </w:t>
      </w:r>
      <w:r w:rsidR="002766A8" w:rsidRPr="009118AB">
        <w:rPr>
          <w:i/>
        </w:rPr>
        <w:t xml:space="preserve">auf Rahmenübereinkommen, die ab dem ersten Tag des Monats unterzeichnet werden, der auf die Veröffentlichung einer Bekanntmachung des Finanzministers im </w:t>
      </w:r>
      <w:r w:rsidR="002766A8" w:rsidRPr="009118AB">
        <w:rPr>
          <w:i/>
          <w:iCs/>
        </w:rPr>
        <w:t>Belgischen Staatsblatt</w:t>
      </w:r>
      <w:r w:rsidR="002766A8" w:rsidRPr="009118AB">
        <w:rPr>
          <w:i/>
        </w:rPr>
        <w:t xml:space="preserve"> folgt, in der mitgeteilt wird, dass die beiden Bedingungen erfüllt sind</w:t>
      </w:r>
      <w:r w:rsidR="00FD68E8" w:rsidRPr="009118AB">
        <w:rPr>
          <w:i/>
        </w:rPr>
        <w:t> -]</w:t>
      </w:r>
    </w:p>
    <w:p w14:paraId="7E62E87B" w14:textId="77777777" w:rsidR="00477B8F" w:rsidRPr="009118AB" w:rsidRDefault="00477B8F" w:rsidP="00477B8F">
      <w:pPr>
        <w:autoSpaceDE w:val="0"/>
        <w:autoSpaceDN w:val="0"/>
        <w:adjustRightInd w:val="0"/>
        <w:jc w:val="both"/>
      </w:pPr>
    </w:p>
    <w:p w14:paraId="337DA20F" w14:textId="77777777" w:rsidR="000A0996" w:rsidRPr="009118AB" w:rsidRDefault="000A0996" w:rsidP="00477B8F">
      <w:pPr>
        <w:autoSpaceDE w:val="0"/>
        <w:autoSpaceDN w:val="0"/>
        <w:adjustRightInd w:val="0"/>
        <w:jc w:val="both"/>
      </w:pPr>
    </w:p>
    <w:p w14:paraId="75BED829" w14:textId="62575154" w:rsidR="00D833C6" w:rsidRPr="009118AB" w:rsidRDefault="00477B8F" w:rsidP="00D833C6">
      <w:pPr>
        <w:autoSpaceDE w:val="0"/>
        <w:autoSpaceDN w:val="0"/>
        <w:adjustRightInd w:val="0"/>
        <w:jc w:val="both"/>
        <w:rPr>
          <w:iCs/>
        </w:rPr>
      </w:pPr>
      <w:r w:rsidRPr="009118AB">
        <w:tab/>
      </w:r>
      <w:r w:rsidR="00D67EB8" w:rsidRPr="009118AB">
        <w:rPr>
          <w:b/>
          <w:bCs/>
        </w:rPr>
        <w:t>Art. </w:t>
      </w:r>
      <w:r w:rsidRPr="009118AB">
        <w:rPr>
          <w:b/>
          <w:bCs/>
        </w:rPr>
        <w:t>194</w:t>
      </w:r>
      <w:r w:rsidRPr="009118AB">
        <w:rPr>
          <w:b/>
          <w:bCs/>
          <w:i/>
          <w:iCs/>
        </w:rPr>
        <w:t>ter</w:t>
      </w:r>
      <w:r w:rsidR="00D67EB8" w:rsidRPr="009118AB">
        <w:t> - </w:t>
      </w:r>
      <w:r w:rsidR="00D833C6" w:rsidRPr="009118AB">
        <w:rPr>
          <w:iCs/>
        </w:rPr>
        <w:t>[</w:t>
      </w:r>
      <w:r w:rsidR="00D67EB8" w:rsidRPr="009118AB">
        <w:rPr>
          <w:iCs/>
        </w:rPr>
        <w:t>§ </w:t>
      </w:r>
      <w:r w:rsidR="00D833C6" w:rsidRPr="009118AB">
        <w:rPr>
          <w:iCs/>
        </w:rPr>
        <w:t>1</w:t>
      </w:r>
      <w:r w:rsidR="00D67EB8" w:rsidRPr="009118AB">
        <w:rPr>
          <w:iCs/>
        </w:rPr>
        <w:t> - </w:t>
      </w:r>
      <w:r w:rsidR="00D833C6" w:rsidRPr="009118AB">
        <w:rPr>
          <w:iCs/>
        </w:rPr>
        <w:t>Für die Anwendung des vorliegenden Artikels versteht man unter:</w:t>
      </w:r>
    </w:p>
    <w:p w14:paraId="35779E5F" w14:textId="77777777" w:rsidR="00D833C6" w:rsidRPr="009118AB" w:rsidRDefault="00D833C6" w:rsidP="00D833C6">
      <w:pPr>
        <w:autoSpaceDE w:val="0"/>
        <w:autoSpaceDN w:val="0"/>
        <w:adjustRightInd w:val="0"/>
        <w:jc w:val="both"/>
        <w:rPr>
          <w:iCs/>
        </w:rPr>
      </w:pPr>
    </w:p>
    <w:p w14:paraId="4903778E" w14:textId="77777777" w:rsidR="00D833C6" w:rsidRPr="009118AB" w:rsidRDefault="00D833C6" w:rsidP="00866B3D">
      <w:pPr>
        <w:autoSpaceDE w:val="0"/>
        <w:autoSpaceDN w:val="0"/>
        <w:adjustRightInd w:val="0"/>
        <w:ind w:firstLine="709"/>
        <w:jc w:val="both"/>
        <w:rPr>
          <w:iCs/>
        </w:rPr>
      </w:pPr>
      <w:r w:rsidRPr="009118AB">
        <w:rPr>
          <w:iCs/>
        </w:rPr>
        <w:t>[1. in Betracht kommendem Anleger:</w:t>
      </w:r>
    </w:p>
    <w:p w14:paraId="250E62A5" w14:textId="77777777" w:rsidR="00D833C6" w:rsidRPr="009118AB" w:rsidRDefault="00D833C6" w:rsidP="00D833C6">
      <w:pPr>
        <w:autoSpaceDE w:val="0"/>
        <w:autoSpaceDN w:val="0"/>
        <w:adjustRightInd w:val="0"/>
        <w:jc w:val="both"/>
        <w:rPr>
          <w:iCs/>
        </w:rPr>
      </w:pPr>
    </w:p>
    <w:p w14:paraId="33EB2889" w14:textId="77777777" w:rsidR="00D833C6" w:rsidRPr="009118AB" w:rsidRDefault="00D833C6" w:rsidP="00866B3D">
      <w:pPr>
        <w:autoSpaceDE w:val="0"/>
        <w:autoSpaceDN w:val="0"/>
        <w:adjustRightInd w:val="0"/>
        <w:ind w:firstLine="709"/>
        <w:jc w:val="both"/>
        <w:rPr>
          <w:iCs/>
        </w:rPr>
      </w:pPr>
      <w:r w:rsidRPr="009118AB">
        <w:rPr>
          <w:iCs/>
        </w:rPr>
        <w:t>- eine inländische Gesellschaft oder</w:t>
      </w:r>
    </w:p>
    <w:p w14:paraId="5F7EEC61" w14:textId="77777777" w:rsidR="00D833C6" w:rsidRPr="009118AB" w:rsidRDefault="00D833C6" w:rsidP="00D833C6">
      <w:pPr>
        <w:autoSpaceDE w:val="0"/>
        <w:autoSpaceDN w:val="0"/>
        <w:adjustRightInd w:val="0"/>
        <w:jc w:val="both"/>
        <w:rPr>
          <w:iCs/>
        </w:rPr>
      </w:pPr>
    </w:p>
    <w:p w14:paraId="233F3290" w14:textId="75969C1E" w:rsidR="00D833C6" w:rsidRPr="009118AB" w:rsidRDefault="00D833C6" w:rsidP="00866B3D">
      <w:pPr>
        <w:autoSpaceDE w:val="0"/>
        <w:autoSpaceDN w:val="0"/>
        <w:adjustRightInd w:val="0"/>
        <w:ind w:firstLine="709"/>
        <w:jc w:val="both"/>
        <w:rPr>
          <w:iCs/>
        </w:rPr>
      </w:pPr>
      <w:r w:rsidRPr="009118AB">
        <w:rPr>
          <w:iCs/>
        </w:rPr>
        <w:t xml:space="preserve">- die belgische Niederlassung eines in Artikel 227 </w:t>
      </w:r>
      <w:r w:rsidR="00D67EB8" w:rsidRPr="009118AB">
        <w:rPr>
          <w:iCs/>
        </w:rPr>
        <w:t>Nr. </w:t>
      </w:r>
      <w:r w:rsidRPr="009118AB">
        <w:rPr>
          <w:iCs/>
        </w:rPr>
        <w:t>2 erwähnten Steuerpflichtigen,</w:t>
      </w:r>
    </w:p>
    <w:p w14:paraId="4A837250" w14:textId="77777777" w:rsidR="00D833C6" w:rsidRPr="009118AB" w:rsidRDefault="00D833C6" w:rsidP="00D833C6">
      <w:pPr>
        <w:autoSpaceDE w:val="0"/>
        <w:autoSpaceDN w:val="0"/>
        <w:adjustRightInd w:val="0"/>
        <w:jc w:val="both"/>
        <w:rPr>
          <w:iCs/>
        </w:rPr>
      </w:pPr>
    </w:p>
    <w:p w14:paraId="2FC54327" w14:textId="77777777" w:rsidR="00D833C6" w:rsidRPr="009118AB" w:rsidRDefault="00D833C6" w:rsidP="00866B3D">
      <w:pPr>
        <w:autoSpaceDE w:val="0"/>
        <w:autoSpaceDN w:val="0"/>
        <w:adjustRightInd w:val="0"/>
        <w:ind w:firstLine="709"/>
        <w:jc w:val="both"/>
        <w:rPr>
          <w:iCs/>
        </w:rPr>
      </w:pPr>
      <w:r w:rsidRPr="009118AB">
        <w:rPr>
          <w:iCs/>
        </w:rPr>
        <w:t>die:</w:t>
      </w:r>
    </w:p>
    <w:p w14:paraId="3DADEBB6" w14:textId="77777777" w:rsidR="00D833C6" w:rsidRPr="009118AB" w:rsidRDefault="00D833C6" w:rsidP="00D833C6">
      <w:pPr>
        <w:autoSpaceDE w:val="0"/>
        <w:autoSpaceDN w:val="0"/>
        <w:adjustRightInd w:val="0"/>
        <w:jc w:val="both"/>
        <w:rPr>
          <w:iCs/>
        </w:rPr>
      </w:pPr>
    </w:p>
    <w:p w14:paraId="543875F7" w14:textId="6EAA391C" w:rsidR="00D833C6" w:rsidRPr="009118AB" w:rsidRDefault="00D833C6" w:rsidP="00866B3D">
      <w:pPr>
        <w:autoSpaceDE w:val="0"/>
        <w:autoSpaceDN w:val="0"/>
        <w:adjustRightInd w:val="0"/>
        <w:ind w:firstLine="709"/>
        <w:jc w:val="both"/>
        <w:rPr>
          <w:iCs/>
        </w:rPr>
      </w:pPr>
      <w:r w:rsidRPr="009118AB">
        <w:rPr>
          <w:iCs/>
        </w:rPr>
        <w:t xml:space="preserve">- [keine in </w:t>
      </w:r>
      <w:r w:rsidR="00D67EB8" w:rsidRPr="009118AB">
        <w:rPr>
          <w:iCs/>
        </w:rPr>
        <w:t>Nr. </w:t>
      </w:r>
      <w:r w:rsidRPr="009118AB">
        <w:rPr>
          <w:iCs/>
        </w:rPr>
        <w:t>2 erwähnte in Betracht kommende Produktionsgesellschaft oder keine ähnliche Produktionsgesellschaft ist, die nicht zugelassen ist],</w:t>
      </w:r>
    </w:p>
    <w:p w14:paraId="15125E33" w14:textId="77777777" w:rsidR="00D833C6" w:rsidRPr="009118AB" w:rsidRDefault="00D833C6" w:rsidP="00D833C6">
      <w:pPr>
        <w:autoSpaceDE w:val="0"/>
        <w:autoSpaceDN w:val="0"/>
        <w:adjustRightInd w:val="0"/>
        <w:jc w:val="both"/>
        <w:rPr>
          <w:iCs/>
        </w:rPr>
      </w:pPr>
    </w:p>
    <w:p w14:paraId="7CB4795B" w14:textId="40CCFE24" w:rsidR="00D833C6" w:rsidRPr="009118AB" w:rsidRDefault="00D833C6" w:rsidP="00866B3D">
      <w:pPr>
        <w:autoSpaceDE w:val="0"/>
        <w:autoSpaceDN w:val="0"/>
        <w:adjustRightInd w:val="0"/>
        <w:ind w:firstLine="709"/>
        <w:jc w:val="both"/>
        <w:rPr>
          <w:iCs/>
        </w:rPr>
      </w:pPr>
      <w:r w:rsidRPr="009118AB">
        <w:rPr>
          <w:iCs/>
        </w:rPr>
        <w:t xml:space="preserve">- [keine Gesellschaft ist, die im Sinne von </w:t>
      </w:r>
      <w:r w:rsidR="00BD5F04" w:rsidRPr="009118AB">
        <w:rPr>
          <w:iCs/>
        </w:rPr>
        <w:t>[</w:t>
      </w:r>
      <w:r w:rsidR="00BD5F04" w:rsidRPr="009118AB">
        <w:t>Artikel 1:20 des Gesetzbuches der Gesellschaften und Vereinigungen</w:t>
      </w:r>
      <w:r w:rsidR="00BD5F04" w:rsidRPr="009118AB">
        <w:rPr>
          <w:iCs/>
        </w:rPr>
        <w:t>]</w:t>
      </w:r>
      <w:r w:rsidRPr="009118AB">
        <w:rPr>
          <w:iCs/>
        </w:rPr>
        <w:t xml:space="preserve"> mit einer im ersten Gedankenstrich erwähnten Gesellschaft verbunden ist, die am betreffenden in Betracht kommenden Werk beteiligt ist,] oder</w:t>
      </w:r>
    </w:p>
    <w:p w14:paraId="32A0860E" w14:textId="77777777" w:rsidR="00D833C6" w:rsidRPr="009118AB" w:rsidRDefault="00D833C6" w:rsidP="00D833C6">
      <w:pPr>
        <w:autoSpaceDE w:val="0"/>
        <w:autoSpaceDN w:val="0"/>
        <w:adjustRightInd w:val="0"/>
        <w:jc w:val="both"/>
        <w:rPr>
          <w:iCs/>
        </w:rPr>
      </w:pPr>
    </w:p>
    <w:p w14:paraId="53439370" w14:textId="77777777" w:rsidR="00D833C6" w:rsidRPr="009118AB" w:rsidRDefault="00D833C6" w:rsidP="00866B3D">
      <w:pPr>
        <w:autoSpaceDE w:val="0"/>
        <w:autoSpaceDN w:val="0"/>
        <w:adjustRightInd w:val="0"/>
        <w:ind w:firstLine="709"/>
        <w:jc w:val="both"/>
        <w:rPr>
          <w:iCs/>
        </w:rPr>
      </w:pPr>
      <w:r w:rsidRPr="009118AB">
        <w:rPr>
          <w:iCs/>
        </w:rPr>
        <w:t>- keine Fernsehanstalt ist</w:t>
      </w:r>
    </w:p>
    <w:p w14:paraId="627C0D0C" w14:textId="743426CB" w:rsidR="00D833C6" w:rsidRPr="009118AB" w:rsidRDefault="00D833C6" w:rsidP="00D833C6">
      <w:pPr>
        <w:autoSpaceDE w:val="0"/>
        <w:autoSpaceDN w:val="0"/>
        <w:adjustRightInd w:val="0"/>
        <w:jc w:val="both"/>
        <w:rPr>
          <w:iCs/>
        </w:rPr>
      </w:pPr>
    </w:p>
    <w:p w14:paraId="4C0D6BA3" w14:textId="54CD3AB4" w:rsidR="00D833C6" w:rsidRPr="009118AB" w:rsidRDefault="00D833C6" w:rsidP="00866B3D">
      <w:pPr>
        <w:autoSpaceDE w:val="0"/>
        <w:autoSpaceDN w:val="0"/>
        <w:adjustRightInd w:val="0"/>
        <w:ind w:firstLine="709"/>
        <w:jc w:val="both"/>
        <w:rPr>
          <w:iCs/>
        </w:rPr>
      </w:pPr>
      <w:r w:rsidRPr="009118AB">
        <w:rPr>
          <w:iCs/>
        </w:rPr>
        <w:t xml:space="preserve">und die ein Rahmenübereinkommen wie in </w:t>
      </w:r>
      <w:r w:rsidR="00D67EB8" w:rsidRPr="009118AB">
        <w:rPr>
          <w:iCs/>
        </w:rPr>
        <w:t>Nr. </w:t>
      </w:r>
      <w:r w:rsidRPr="009118AB">
        <w:rPr>
          <w:iCs/>
        </w:rPr>
        <w:t xml:space="preserve">5 erwähnt unterzeichnet, in dem sie sich verpflichtet, Summen zu zahlen, um eine Tax-Shelter-Bescheinigung wie in </w:t>
      </w:r>
      <w:r w:rsidR="00D67EB8" w:rsidRPr="009118AB">
        <w:rPr>
          <w:iCs/>
        </w:rPr>
        <w:t>Nr. </w:t>
      </w:r>
      <w:r w:rsidRPr="009118AB">
        <w:rPr>
          <w:iCs/>
        </w:rPr>
        <w:t>10 erwähnt zu erhalten,]</w:t>
      </w:r>
    </w:p>
    <w:p w14:paraId="39E723BB" w14:textId="77777777" w:rsidR="00D833C6" w:rsidRPr="009118AB" w:rsidRDefault="00D833C6" w:rsidP="00D833C6">
      <w:pPr>
        <w:autoSpaceDE w:val="0"/>
        <w:autoSpaceDN w:val="0"/>
        <w:adjustRightInd w:val="0"/>
        <w:jc w:val="both"/>
        <w:rPr>
          <w:iCs/>
        </w:rPr>
      </w:pPr>
    </w:p>
    <w:p w14:paraId="73529CC4" w14:textId="2F463A19" w:rsidR="00D833C6" w:rsidRPr="009118AB" w:rsidRDefault="00D833C6" w:rsidP="00866B3D">
      <w:pPr>
        <w:autoSpaceDE w:val="0"/>
        <w:autoSpaceDN w:val="0"/>
        <w:adjustRightInd w:val="0"/>
        <w:ind w:firstLine="709"/>
        <w:jc w:val="both"/>
        <w:rPr>
          <w:iCs/>
        </w:rPr>
      </w:pPr>
      <w:r w:rsidRPr="009118AB">
        <w:rPr>
          <w:iCs/>
        </w:rPr>
        <w:t xml:space="preserve">[2.] [in Betracht kommender Produktionsgesellschaft: die inländische Gesellschaft oder die belgische Niederlassung eines in Artikel 227 </w:t>
      </w:r>
      <w:r w:rsidR="00D67EB8" w:rsidRPr="009118AB">
        <w:rPr>
          <w:iCs/>
        </w:rPr>
        <w:t>Nr. </w:t>
      </w:r>
      <w:r w:rsidRPr="009118AB">
        <w:rPr>
          <w:iCs/>
        </w:rPr>
        <w:t xml:space="preserve">2 erwähnten Steuerpflichtigen, die keine Fernsehanstalt oder kein Unternehmen ist, das [im Sinne von </w:t>
      </w:r>
      <w:r w:rsidR="00BD5F04" w:rsidRPr="009118AB">
        <w:rPr>
          <w:iCs/>
        </w:rPr>
        <w:t>[</w:t>
      </w:r>
      <w:r w:rsidR="00BD5F04" w:rsidRPr="009118AB">
        <w:t>Artikel 1:20 des Gesetzbuches der Gesellschaften und Vereinigungen</w:t>
      </w:r>
      <w:r w:rsidR="00BD5F04" w:rsidRPr="009118AB">
        <w:rPr>
          <w:iCs/>
        </w:rPr>
        <w:t>]</w:t>
      </w:r>
      <w:r w:rsidRPr="009118AB">
        <w:rPr>
          <w:iCs/>
        </w:rPr>
        <w:t>] mit belgischen oder ausländischen Fernseh</w:t>
      </w:r>
      <w:r w:rsidRPr="009118AB">
        <w:rPr>
          <w:iCs/>
        </w:rPr>
        <w:softHyphen/>
        <w:t xml:space="preserve">anstalten verbunden ist, und </w:t>
      </w:r>
      <w:r w:rsidR="007131B9" w:rsidRPr="009118AB">
        <w:rPr>
          <w:iCs/>
        </w:rPr>
        <w:t>[</w:t>
      </w:r>
      <w:r w:rsidR="007131B9" w:rsidRPr="009118AB">
        <w:rPr>
          <w:rFonts w:eastAsia="Calibri"/>
          <w:kern w:val="2"/>
          <w:szCs w:val="22"/>
          <w:lang w:eastAsia="en-US"/>
          <w14:ligatures w14:val="standardContextual"/>
        </w:rPr>
        <w:t>deren hauptsächlicher Zweck und deren Haupttätigkeit die Entwicklung und Produktion audiovisueller Werke sind</w:t>
      </w:r>
      <w:r w:rsidR="007131B9" w:rsidRPr="009118AB">
        <w:rPr>
          <w:iCs/>
        </w:rPr>
        <w:t>]</w:t>
      </w:r>
      <w:r w:rsidRPr="009118AB">
        <w:rPr>
          <w:iCs/>
        </w:rPr>
        <w:t>] [und die gemäß einem vereinfachten Verfahren, dessen Bedingungen und Modalitäten vom König festgelegt werden, von dem für Finanzen zuständigen Minister als solche zugelassen worden ist,]</w:t>
      </w:r>
    </w:p>
    <w:p w14:paraId="4354F141" w14:textId="77777777" w:rsidR="00D833C6" w:rsidRPr="009118AB" w:rsidRDefault="00D833C6" w:rsidP="00D833C6">
      <w:pPr>
        <w:autoSpaceDE w:val="0"/>
        <w:autoSpaceDN w:val="0"/>
        <w:adjustRightInd w:val="0"/>
        <w:jc w:val="both"/>
        <w:rPr>
          <w:iCs/>
        </w:rPr>
      </w:pPr>
    </w:p>
    <w:p w14:paraId="2CB833BD" w14:textId="77777777" w:rsidR="00D833C6" w:rsidRPr="009118AB" w:rsidRDefault="00D833C6" w:rsidP="00866B3D">
      <w:pPr>
        <w:autoSpaceDE w:val="0"/>
        <w:autoSpaceDN w:val="0"/>
        <w:adjustRightInd w:val="0"/>
        <w:ind w:firstLine="709"/>
        <w:jc w:val="both"/>
        <w:rPr>
          <w:iCs/>
        </w:rPr>
      </w:pPr>
      <w:r w:rsidRPr="009118AB">
        <w:rPr>
          <w:iCs/>
        </w:rPr>
        <w:t xml:space="preserve">[Für die Anwendung des vorliegenden Artikels gilt ein Unternehmen, das mit belgischen oder ausländischen Fernsehanstalten verbunden ist, sich aber verpflichtet, kein Rahmenübereinkommen in Bezug auf die Tax-Shelter-Regelung zugunsten der Produktion eines in Betracht kommenden Werks zu unterzeichnen, für das diese Fernsehanstalten Vorteile erhalten, die in direktem Zusammenhang mit der Produktion oder Verwertung des in Betracht </w:t>
      </w:r>
      <w:r w:rsidRPr="009118AB">
        <w:rPr>
          <w:iCs/>
        </w:rPr>
        <w:lastRenderedPageBreak/>
        <w:t>kommenden Werks stehen, nicht als Unternehmen, das mit belgischen oder ausländischen Fernsehanstalten verbunden ist. Diese Bedingung gilt als erfüllt, wenn die in Betracht kommende Produktionsgesellschaft sich sowohl gegenüber dem in Betracht kommenden Anleger als auch gegenüber der Föderalbehörde schriftlich dazu verpflichtet hat,]</w:t>
      </w:r>
    </w:p>
    <w:p w14:paraId="61DC8519" w14:textId="77777777" w:rsidR="007131B9" w:rsidRPr="009118AB" w:rsidRDefault="007131B9" w:rsidP="00866B3D">
      <w:pPr>
        <w:autoSpaceDE w:val="0"/>
        <w:autoSpaceDN w:val="0"/>
        <w:adjustRightInd w:val="0"/>
        <w:ind w:firstLine="709"/>
        <w:jc w:val="both"/>
        <w:rPr>
          <w:iCs/>
        </w:rPr>
      </w:pPr>
    </w:p>
    <w:p w14:paraId="3C989254" w14:textId="77777777" w:rsidR="006F7428" w:rsidRPr="009118AB" w:rsidRDefault="007131B9" w:rsidP="006F7428">
      <w:pPr>
        <w:ind w:firstLine="708"/>
        <w:jc w:val="both"/>
        <w:rPr>
          <w:rFonts w:eastAsia="Calibri"/>
          <w:kern w:val="2"/>
          <w:lang w:eastAsia="en-US"/>
          <w14:ligatures w14:val="standardContextual"/>
        </w:rPr>
      </w:pPr>
      <w:r w:rsidRPr="009118AB">
        <w:rPr>
          <w:iCs/>
        </w:rPr>
        <w:t>[</w:t>
      </w:r>
      <w:r w:rsidR="006F7428" w:rsidRPr="009118AB">
        <w:rPr>
          <w:rFonts w:eastAsia="Calibri"/>
          <w:kern w:val="2"/>
          <w:szCs w:val="22"/>
          <w:lang w:eastAsia="en-US"/>
          <w14:ligatures w14:val="standardContextual"/>
        </w:rPr>
        <w:t>Die in Absatz 1 erwähnte Haupttätigkeit wird auf der Grundlage der Ergebnisrechnung und der Bilanz bestimmt, aus denen hervorgehen muss, dass die Entwicklung und Produktion audiovisueller Werke die Tätigkeit ist, der die inländische Gesellschaft oder die belgische Niederlassung eines in Artikel 227 Nr. 2 erwähnten Steuerpflichtigen hauptsächlich nachgeht. Der König kann die praktischen Modalitäten für die Bestimmung der Haupttätigkeit festlegen.</w:t>
      </w:r>
    </w:p>
    <w:p w14:paraId="44326274" w14:textId="77777777" w:rsidR="006F7428" w:rsidRPr="009118AB" w:rsidRDefault="006F7428" w:rsidP="006F7428">
      <w:pPr>
        <w:jc w:val="both"/>
        <w:rPr>
          <w:rFonts w:eastAsia="Calibri"/>
          <w:kern w:val="2"/>
          <w:lang w:eastAsia="en-US"/>
          <w14:ligatures w14:val="standardContextual"/>
        </w:rPr>
      </w:pPr>
    </w:p>
    <w:p w14:paraId="4639931D" w14:textId="5BF7CFFC" w:rsidR="007131B9" w:rsidRPr="009118AB" w:rsidRDefault="006F7428" w:rsidP="006F7428">
      <w:pPr>
        <w:autoSpaceDE w:val="0"/>
        <w:autoSpaceDN w:val="0"/>
        <w:adjustRightInd w:val="0"/>
        <w:ind w:firstLine="709"/>
        <w:jc w:val="both"/>
        <w:rPr>
          <w:iCs/>
        </w:rPr>
      </w:pPr>
      <w:r w:rsidRPr="009118AB">
        <w:rPr>
          <w:rFonts w:eastAsia="Calibri"/>
          <w:kern w:val="2"/>
          <w:szCs w:val="22"/>
          <w:lang w:eastAsia="en-US"/>
          <w14:ligatures w14:val="standardContextual"/>
        </w:rPr>
        <w:t>Die in Absatz 1 erwähnte Zulassung kann von dem für Finanzen zuständigen Minister anhand eines einfachen kontradiktorischen Verfahrens, dessen Modalitäten der König bestimmt, ausgesetzt oder entzogen werden, wenn der hauptsächliche Zweck und die Haupttätigkeit der zugelassenen Produktionsgesellschaft nicht mehr in der Entwicklung und Produktion in Betracht kommender Werke bestehen oder wenn sich herausstellt, dass die zugelassene Produktionsgesellschaft wiederholt gegen § 6, § 11 oder § 12 des vorliegenden Artikels verstoßen hat,</w:t>
      </w:r>
      <w:r w:rsidR="007131B9" w:rsidRPr="009118AB">
        <w:rPr>
          <w:iCs/>
        </w:rPr>
        <w:t>]</w:t>
      </w:r>
    </w:p>
    <w:p w14:paraId="31A5AD6E" w14:textId="77777777" w:rsidR="00D833C6" w:rsidRPr="009118AB" w:rsidRDefault="00D833C6" w:rsidP="00D833C6">
      <w:pPr>
        <w:autoSpaceDE w:val="0"/>
        <w:autoSpaceDN w:val="0"/>
        <w:adjustRightInd w:val="0"/>
        <w:jc w:val="both"/>
        <w:rPr>
          <w:iCs/>
        </w:rPr>
      </w:pPr>
    </w:p>
    <w:p w14:paraId="3BFB31A6" w14:textId="77777777" w:rsidR="00D833C6" w:rsidRPr="009118AB" w:rsidRDefault="00D833C6" w:rsidP="00866B3D">
      <w:pPr>
        <w:autoSpaceDE w:val="0"/>
        <w:autoSpaceDN w:val="0"/>
        <w:adjustRightInd w:val="0"/>
        <w:ind w:firstLine="709"/>
        <w:jc w:val="both"/>
        <w:rPr>
          <w:iCs/>
        </w:rPr>
      </w:pPr>
      <w:r w:rsidRPr="009118AB">
        <w:rPr>
          <w:iCs/>
        </w:rPr>
        <w:t>[3. in Betracht kommendem Vermittler:</w:t>
      </w:r>
    </w:p>
    <w:p w14:paraId="2EAC7B3B" w14:textId="77777777" w:rsidR="00D833C6" w:rsidRPr="009118AB" w:rsidRDefault="00D833C6" w:rsidP="00D833C6">
      <w:pPr>
        <w:autoSpaceDE w:val="0"/>
        <w:autoSpaceDN w:val="0"/>
        <w:adjustRightInd w:val="0"/>
        <w:jc w:val="both"/>
        <w:rPr>
          <w:iCs/>
        </w:rPr>
      </w:pPr>
    </w:p>
    <w:p w14:paraId="2A005CAD" w14:textId="77777777" w:rsidR="00D833C6" w:rsidRPr="009118AB" w:rsidRDefault="00D833C6" w:rsidP="00866B3D">
      <w:pPr>
        <w:autoSpaceDE w:val="0"/>
        <w:autoSpaceDN w:val="0"/>
        <w:adjustRightInd w:val="0"/>
        <w:ind w:firstLine="709"/>
        <w:jc w:val="both"/>
        <w:rPr>
          <w:iCs/>
        </w:rPr>
      </w:pPr>
      <w:r w:rsidRPr="009118AB">
        <w:rPr>
          <w:iCs/>
        </w:rPr>
        <w:t>eine natürliche oder juristische Person, die im Hinblick auf die Ausstellung einer Tax-Shelter-Bescheinigung gegen Vergütung oder einen Vorteil an der Verhandlung und dem Abschluss eines Rahmenübereinkommens beteiligt ist,</w:t>
      </w:r>
    </w:p>
    <w:p w14:paraId="6AF0354F" w14:textId="77777777" w:rsidR="00D833C6" w:rsidRPr="009118AB" w:rsidRDefault="00D833C6" w:rsidP="00D833C6">
      <w:pPr>
        <w:autoSpaceDE w:val="0"/>
        <w:autoSpaceDN w:val="0"/>
        <w:adjustRightInd w:val="0"/>
        <w:jc w:val="both"/>
        <w:rPr>
          <w:iCs/>
        </w:rPr>
      </w:pPr>
    </w:p>
    <w:p w14:paraId="1C39F716" w14:textId="77777777" w:rsidR="00D833C6" w:rsidRPr="009118AB" w:rsidRDefault="00D833C6" w:rsidP="00866B3D">
      <w:pPr>
        <w:autoSpaceDE w:val="0"/>
        <w:autoSpaceDN w:val="0"/>
        <w:adjustRightInd w:val="0"/>
        <w:ind w:firstLine="709"/>
        <w:jc w:val="both"/>
        <w:rPr>
          <w:iCs/>
        </w:rPr>
      </w:pPr>
      <w:r w:rsidRPr="009118AB">
        <w:rPr>
          <w:iCs/>
        </w:rPr>
        <w:t>die selber keine in Betracht kommende Produktionsgesellschaft oder kein in Betracht kommender Anleger ist</w:t>
      </w:r>
    </w:p>
    <w:p w14:paraId="76C8C34E" w14:textId="77777777" w:rsidR="00D833C6" w:rsidRPr="009118AB" w:rsidRDefault="00D833C6" w:rsidP="00D833C6">
      <w:pPr>
        <w:autoSpaceDE w:val="0"/>
        <w:autoSpaceDN w:val="0"/>
        <w:adjustRightInd w:val="0"/>
        <w:jc w:val="both"/>
        <w:rPr>
          <w:iCs/>
        </w:rPr>
      </w:pPr>
    </w:p>
    <w:p w14:paraId="0EF99002" w14:textId="77777777" w:rsidR="00D833C6" w:rsidRPr="009118AB" w:rsidRDefault="00D833C6" w:rsidP="00866B3D">
      <w:pPr>
        <w:autoSpaceDE w:val="0"/>
        <w:autoSpaceDN w:val="0"/>
        <w:adjustRightInd w:val="0"/>
        <w:ind w:firstLine="709"/>
        <w:jc w:val="both"/>
        <w:rPr>
          <w:iCs/>
        </w:rPr>
      </w:pPr>
      <w:r w:rsidRPr="009118AB">
        <w:rPr>
          <w:iCs/>
        </w:rPr>
        <w:t>und gemäß einem vereinfachten Verfahren, dessen Modalitäten und Bedingungen vom König festgelegt werden, von dem für Finanzen zuständigen Minister als solche zugelassen worden ist,]</w:t>
      </w:r>
    </w:p>
    <w:p w14:paraId="17165C32" w14:textId="77777777" w:rsidR="00D833C6" w:rsidRPr="009118AB" w:rsidRDefault="00D833C6" w:rsidP="00D833C6">
      <w:pPr>
        <w:autoSpaceDE w:val="0"/>
        <w:autoSpaceDN w:val="0"/>
        <w:adjustRightInd w:val="0"/>
        <w:jc w:val="both"/>
        <w:rPr>
          <w:iCs/>
        </w:rPr>
      </w:pPr>
    </w:p>
    <w:p w14:paraId="4FDB97DF" w14:textId="77777777" w:rsidR="00D833C6" w:rsidRPr="009118AB" w:rsidRDefault="00D833C6" w:rsidP="00866B3D">
      <w:pPr>
        <w:autoSpaceDE w:val="0"/>
        <w:autoSpaceDN w:val="0"/>
        <w:adjustRightInd w:val="0"/>
        <w:ind w:firstLine="709"/>
        <w:jc w:val="both"/>
        <w:rPr>
          <w:iCs/>
        </w:rPr>
      </w:pPr>
      <w:r w:rsidRPr="009118AB">
        <w:rPr>
          <w:iCs/>
        </w:rPr>
        <w:t>[4.] [in Betracht kommendem Werk:</w:t>
      </w:r>
    </w:p>
    <w:p w14:paraId="365E1835" w14:textId="77777777" w:rsidR="00D833C6" w:rsidRPr="009118AB" w:rsidRDefault="00D833C6" w:rsidP="00D833C6">
      <w:pPr>
        <w:autoSpaceDE w:val="0"/>
        <w:autoSpaceDN w:val="0"/>
        <w:adjustRightInd w:val="0"/>
        <w:jc w:val="both"/>
        <w:rPr>
          <w:iCs/>
        </w:rPr>
      </w:pPr>
    </w:p>
    <w:p w14:paraId="2455A281" w14:textId="6539AC70" w:rsidR="006F7428" w:rsidRPr="009118AB" w:rsidRDefault="00D833C6" w:rsidP="006F7428">
      <w:pPr>
        <w:ind w:firstLine="708"/>
        <w:jc w:val="both"/>
        <w:rPr>
          <w:rFonts w:eastAsia="Calibri"/>
          <w:kern w:val="2"/>
          <w:lang w:eastAsia="en-US"/>
          <w14:ligatures w14:val="standardContextual"/>
        </w:rPr>
      </w:pPr>
      <w:r w:rsidRPr="009118AB">
        <w:rPr>
          <w:iCs/>
        </w:rPr>
        <w:t>- [</w:t>
      </w:r>
      <w:r w:rsidR="006F7428" w:rsidRPr="009118AB">
        <w:rPr>
          <w:rFonts w:eastAsia="Calibri"/>
          <w:kern w:val="2"/>
          <w:szCs w:val="22"/>
          <w:lang w:eastAsia="en-US"/>
          <w14:ligatures w14:val="standardContextual"/>
        </w:rPr>
        <w:t>ein europäisches audiovisuelles Werk wie einen Spielfilm, einen Dokumentarfilm, einen Animationsfilm, einen Kurzfilm, eine Spielfilm- oder Animationsserie, die unter Beteiligung einer in Betracht kommenden Produktionsgesellschaft zu anderen kommerziellen Zwecken als zu Werbezwecken mit dem Ziel produziert werden, einem breiten Publikum gezeigt zu werden, und die von den zuständigen Diensten der betreffenden Gemeinschaft zugelassen sind als europäische Werke im Sinne der Richtlinie über audiovisuelle Mediendienste vom 10. März 2010 (2010/13/EU). Internationale Produktionen in der Kategorie Spiel-, Dokumentar- oder Animationsfilm, die dazu bestimmt sind, einem breiten Publikum gezeigt zu werden, kommen in Betracht unter der Bedingung, dass sie:</w:t>
      </w:r>
    </w:p>
    <w:p w14:paraId="0447F4C6" w14:textId="77777777" w:rsidR="006F7428" w:rsidRPr="009118AB" w:rsidRDefault="006F7428" w:rsidP="006F7428">
      <w:pPr>
        <w:jc w:val="both"/>
        <w:rPr>
          <w:rFonts w:eastAsia="Calibri"/>
          <w:kern w:val="2"/>
          <w:lang w:eastAsia="en-US"/>
          <w14:ligatures w14:val="standardContextual"/>
        </w:rPr>
      </w:pPr>
    </w:p>
    <w:p w14:paraId="57861576" w14:textId="77777777" w:rsidR="006F7428" w:rsidRPr="009118AB" w:rsidRDefault="006F7428" w:rsidP="00571B34">
      <w:pPr>
        <w:ind w:left="709" w:firstLine="283"/>
        <w:jc w:val="both"/>
        <w:rPr>
          <w:rFonts w:eastAsia="Calibri"/>
          <w:kern w:val="2"/>
          <w:lang w:eastAsia="en-US"/>
          <w14:ligatures w14:val="standardContextual"/>
        </w:rPr>
      </w:pPr>
      <w:r w:rsidRPr="009118AB">
        <w:rPr>
          <w:rFonts w:eastAsia="Calibri"/>
          <w:kern w:val="2"/>
          <w:szCs w:val="22"/>
          <w:lang w:eastAsia="en-US"/>
          <w14:ligatures w14:val="standardContextual"/>
        </w:rPr>
        <w:t>- entweder in den Anwendungsbereich der Richtlinie 2010/13/EU des Europäischen Parlaments und des Rates vom 10. März 2010 zur Koordinierung bestimmter Rechts- und Verwaltungsvorschriften der Mitgliedstaaten über die Bereitstellung audiovisueller Mediendienste (Richtlinie über audiovisuelle Mediendienste) fallen</w:t>
      </w:r>
    </w:p>
    <w:p w14:paraId="4DF23F49" w14:textId="77777777" w:rsidR="006F7428" w:rsidRPr="009118AB" w:rsidRDefault="006F7428" w:rsidP="00571B34">
      <w:pPr>
        <w:ind w:left="709" w:firstLine="283"/>
        <w:jc w:val="both"/>
        <w:rPr>
          <w:rFonts w:eastAsia="Calibri"/>
          <w:kern w:val="2"/>
          <w:lang w:eastAsia="en-US"/>
          <w14:ligatures w14:val="standardContextual"/>
        </w:rPr>
      </w:pPr>
    </w:p>
    <w:p w14:paraId="4A3E2A35" w14:textId="6172B12E" w:rsidR="00D833C6" w:rsidRPr="009118AB" w:rsidRDefault="006F7428" w:rsidP="00571B34">
      <w:pPr>
        <w:autoSpaceDE w:val="0"/>
        <w:autoSpaceDN w:val="0"/>
        <w:adjustRightInd w:val="0"/>
        <w:ind w:left="709" w:firstLine="283"/>
        <w:jc w:val="both"/>
        <w:rPr>
          <w:iCs/>
        </w:rPr>
      </w:pPr>
      <w:r w:rsidRPr="009118AB">
        <w:rPr>
          <w:rFonts w:eastAsia="Calibri"/>
          <w:kern w:val="2"/>
          <w:szCs w:val="22"/>
          <w:lang w:eastAsia="en-US"/>
          <w14:ligatures w14:val="standardContextual"/>
        </w:rPr>
        <w:lastRenderedPageBreak/>
        <w:t>- oder in den Anwendungsbereich eines bilateralen Koproduktionsabkommens zwischen Belgien und einem anderen Staat fallen. Mit Staat sind sowohl die föderale Ebene als auch alle verwaltungsmäßigen Gliederungseinheiten gemeint; dies gilt ebenfalls für Belgien,</w:t>
      </w:r>
      <w:r w:rsidR="00D833C6" w:rsidRPr="009118AB">
        <w:rPr>
          <w:iCs/>
        </w:rPr>
        <w:t>]</w:t>
      </w:r>
    </w:p>
    <w:p w14:paraId="4DE60D04" w14:textId="77777777" w:rsidR="00D833C6" w:rsidRPr="009118AB" w:rsidRDefault="00866B3D" w:rsidP="00D833C6">
      <w:pPr>
        <w:autoSpaceDE w:val="0"/>
        <w:autoSpaceDN w:val="0"/>
        <w:adjustRightInd w:val="0"/>
        <w:jc w:val="both"/>
        <w:rPr>
          <w:iCs/>
        </w:rPr>
      </w:pPr>
      <w:r w:rsidRPr="009118AB">
        <w:rPr>
          <w:iCs/>
        </w:rPr>
        <w:tab/>
      </w:r>
    </w:p>
    <w:p w14:paraId="5DA6C978" w14:textId="7D4A7173" w:rsidR="00B332A8" w:rsidRPr="009118AB" w:rsidRDefault="00B332A8" w:rsidP="00B332A8">
      <w:pPr>
        <w:autoSpaceDE w:val="0"/>
        <w:autoSpaceDN w:val="0"/>
        <w:adjustRightInd w:val="0"/>
        <w:ind w:firstLine="709"/>
        <w:jc w:val="both"/>
        <w:rPr>
          <w:iCs/>
        </w:rPr>
      </w:pPr>
      <w:r w:rsidRPr="009118AB">
        <w:rPr>
          <w:iCs/>
        </w:rPr>
        <w:t>- [</w:t>
      </w:r>
      <w:r w:rsidRPr="009118AB">
        <w:t xml:space="preserve">für das die in </w:t>
      </w:r>
      <w:r w:rsidR="00D67EB8" w:rsidRPr="009118AB">
        <w:t>Nr. </w:t>
      </w:r>
      <w:r w:rsidRPr="009118AB">
        <w:t xml:space="preserve">7 erwähnten in Belgien getätigten Ausgaben für Produktion und Verwertung [innerhalb einer Frist von achtzehn Monaten getätigt werden, die frühestens sechs Monate vor dem Datum der Unterzeichnung des in </w:t>
      </w:r>
      <w:r w:rsidR="00D67EB8" w:rsidRPr="009118AB">
        <w:t>Nr. </w:t>
      </w:r>
      <w:r w:rsidRPr="009118AB">
        <w:t>5 erwähnten Rahmenübereinkommens zum Erhalt der Tax-Shelter-Bescheinigung für die Produktion dieses Werks beginnt und spätestens achtzehn Monate nach der Unterzeichnung des vorerwähnten Rahmenüber</w:t>
      </w:r>
      <w:r w:rsidRPr="009118AB">
        <w:softHyphen/>
        <w:t>einkommens endet. Für Animationsfilme und für Animationsserien für das Fernsehen wird diese Frist von achtzehn Monaten auf vierundzwanzig Monate angehoben.]</w:t>
      </w:r>
      <w:r w:rsidRPr="009118AB">
        <w:rPr>
          <w:iCs/>
        </w:rPr>
        <w:t>]</w:t>
      </w:r>
    </w:p>
    <w:p w14:paraId="1136943E" w14:textId="77777777" w:rsidR="00470E84" w:rsidRPr="009118AB" w:rsidRDefault="00470E84" w:rsidP="00866B3D">
      <w:pPr>
        <w:autoSpaceDE w:val="0"/>
        <w:autoSpaceDN w:val="0"/>
        <w:adjustRightInd w:val="0"/>
        <w:ind w:firstLine="709"/>
        <w:jc w:val="both"/>
        <w:rPr>
          <w:iCs/>
        </w:rPr>
      </w:pPr>
    </w:p>
    <w:p w14:paraId="0D8E4386" w14:textId="564DA5AC" w:rsidR="00D833C6" w:rsidRPr="009118AB" w:rsidRDefault="00F93E24" w:rsidP="00866B3D">
      <w:pPr>
        <w:autoSpaceDE w:val="0"/>
        <w:autoSpaceDN w:val="0"/>
        <w:adjustRightInd w:val="0"/>
        <w:ind w:firstLine="709"/>
        <w:jc w:val="both"/>
        <w:rPr>
          <w:iCs/>
        </w:rPr>
      </w:pPr>
      <w:r w:rsidRPr="009118AB">
        <w:rPr>
          <w:iCs/>
        </w:rPr>
        <w:t>[</w:t>
      </w:r>
      <w:r w:rsidRPr="009118AB">
        <w:t xml:space="preserve">Die in Absatz 1 erwähnten Ausgaben für Produktion und Verwertung, die in dem Zeitraum vor dem Datum der </w:t>
      </w:r>
      <w:r w:rsidR="006F7428" w:rsidRPr="009118AB">
        <w:t>[</w:t>
      </w:r>
      <w:r w:rsidR="006F7428" w:rsidRPr="009118AB">
        <w:rPr>
          <w:rFonts w:eastAsia="Calibri"/>
          <w:kern w:val="2"/>
          <w:szCs w:val="22"/>
          <w:lang w:eastAsia="en-US"/>
          <w14:ligatures w14:val="standardContextual"/>
        </w:rPr>
        <w:t>Unterzeichnung der Rahmenübereinkommen]</w:t>
      </w:r>
      <w:r w:rsidRPr="009118AB">
        <w:t xml:space="preserve"> getätigt werden, belaufen sich auf höchstens 50 Prozent des Gesamtbetrags dieser Ausgaben für Produktion und Verwertung,</w:t>
      </w:r>
      <w:r w:rsidRPr="009118AB">
        <w:rPr>
          <w:iCs/>
        </w:rPr>
        <w:t>]</w:t>
      </w:r>
    </w:p>
    <w:p w14:paraId="25C122D4" w14:textId="77777777" w:rsidR="00D833C6" w:rsidRPr="009118AB" w:rsidRDefault="00D833C6" w:rsidP="00D833C6">
      <w:pPr>
        <w:autoSpaceDE w:val="0"/>
        <w:autoSpaceDN w:val="0"/>
        <w:adjustRightInd w:val="0"/>
        <w:jc w:val="both"/>
        <w:rPr>
          <w:iCs/>
        </w:rPr>
      </w:pPr>
    </w:p>
    <w:p w14:paraId="7D61ECDD" w14:textId="3E4F33FE" w:rsidR="00D833C6" w:rsidRPr="009118AB" w:rsidRDefault="00D833C6" w:rsidP="00866B3D">
      <w:pPr>
        <w:autoSpaceDE w:val="0"/>
        <w:autoSpaceDN w:val="0"/>
        <w:adjustRightInd w:val="0"/>
        <w:ind w:firstLine="709"/>
        <w:jc w:val="both"/>
        <w:rPr>
          <w:iCs/>
        </w:rPr>
      </w:pPr>
      <w:r w:rsidRPr="009118AB">
        <w:rPr>
          <w:iCs/>
        </w:rPr>
        <w:t xml:space="preserve">[5.] [Rahmenübereinkommen: ein Übereinkommen, das </w:t>
      </w:r>
      <w:r w:rsidR="006F7428" w:rsidRPr="009118AB">
        <w:rPr>
          <w:iCs/>
        </w:rPr>
        <w:t>[</w:t>
      </w:r>
      <w:r w:rsidR="006F7428" w:rsidRPr="009118AB">
        <w:rPr>
          <w:rFonts w:eastAsia="Calibri"/>
          <w:kern w:val="2"/>
          <w:szCs w:val="22"/>
          <w:lang w:eastAsia="en-US"/>
          <w14:ligatures w14:val="standardContextual"/>
        </w:rPr>
        <w:t>im Monat nach seiner Unterzeichnung und vor Vollendung des in Betracht kommenden Werks</w:t>
      </w:r>
      <w:r w:rsidR="006F7428" w:rsidRPr="009118AB">
        <w:rPr>
          <w:iCs/>
        </w:rPr>
        <w:t>]</w:t>
      </w:r>
      <w:r w:rsidRPr="009118AB">
        <w:rPr>
          <w:iCs/>
        </w:rPr>
        <w:t xml:space="preserve"> von einer in Betracht kommenden Produktionsgesellschaft [...] dem Föderalen Öffentlichen Dienst Finanzen angezeigt wird, durch das ein in Betracht kommender Anleger sich gegenüber einer in Betracht kommenden Produktionsgesellschaft verpflichtet, eine Summe zu zahlen, um eine Tax-Shelter-Bescheinigung zu erhalten,]</w:t>
      </w:r>
    </w:p>
    <w:p w14:paraId="30C8CFED" w14:textId="77777777" w:rsidR="00D833C6" w:rsidRPr="009118AB" w:rsidRDefault="00D833C6" w:rsidP="00D833C6">
      <w:pPr>
        <w:autoSpaceDE w:val="0"/>
        <w:autoSpaceDN w:val="0"/>
        <w:adjustRightInd w:val="0"/>
        <w:jc w:val="both"/>
        <w:rPr>
          <w:iCs/>
        </w:rPr>
      </w:pPr>
    </w:p>
    <w:p w14:paraId="22DD7178" w14:textId="77777777" w:rsidR="00D833C6" w:rsidRPr="009118AB" w:rsidRDefault="00D833C6" w:rsidP="00866B3D">
      <w:pPr>
        <w:autoSpaceDE w:val="0"/>
        <w:autoSpaceDN w:val="0"/>
        <w:adjustRightInd w:val="0"/>
        <w:ind w:firstLine="709"/>
        <w:jc w:val="both"/>
        <w:rPr>
          <w:iCs/>
        </w:rPr>
      </w:pPr>
      <w:r w:rsidRPr="009118AB">
        <w:rPr>
          <w:iCs/>
        </w:rPr>
        <w:t>[6. [in Betracht kommenden Ausgaben für Produktion und Verwertung im Europäischen Wirtschaftsraum: Ausgaben, die im Europäischen Wirtschaftsraum in Zusammenhang mit der Produktion und Verwertung eines in Betracht kommenden Werks getätigt werden, in dem Maße, wie mindestens 70 Prozent dieser Ausgaben Ausgaben in direktem Zusammenhang mit der Produktion und Verwertung sind,]]</w:t>
      </w:r>
    </w:p>
    <w:p w14:paraId="2456CF2E" w14:textId="77777777" w:rsidR="00D833C6" w:rsidRPr="009118AB" w:rsidRDefault="00D833C6" w:rsidP="00D833C6">
      <w:pPr>
        <w:autoSpaceDE w:val="0"/>
        <w:autoSpaceDN w:val="0"/>
        <w:adjustRightInd w:val="0"/>
        <w:jc w:val="both"/>
        <w:rPr>
          <w:iCs/>
        </w:rPr>
      </w:pPr>
    </w:p>
    <w:p w14:paraId="3156CF3C" w14:textId="195E5718" w:rsidR="00D833C6" w:rsidRPr="009118AB" w:rsidRDefault="00D833C6" w:rsidP="00866B3D">
      <w:pPr>
        <w:autoSpaceDE w:val="0"/>
        <w:autoSpaceDN w:val="0"/>
        <w:adjustRightInd w:val="0"/>
        <w:ind w:firstLine="709"/>
        <w:jc w:val="both"/>
        <w:rPr>
          <w:iCs/>
        </w:rPr>
      </w:pPr>
      <w:r w:rsidRPr="009118AB">
        <w:rPr>
          <w:iCs/>
        </w:rPr>
        <w:t>[7.] [in Belgien getätigten Ausgaben für Produktion und Verwertung: in Belgien getätigte Ausgaben, die sich auf Produktion und Verwertung eines in Betracht kommenden Werks beziehen und] aus denen Berufseinkünfte hervorgehen, die zu Lasten des Empfängers der Steuer der natürlichen Personen, der Gesellschaftssteuer oder der Steuer der Gebietsfremden [im gewöhnlichen Besteuerungs</w:t>
      </w:r>
      <w:r w:rsidRPr="009118AB">
        <w:rPr>
          <w:iCs/>
        </w:rPr>
        <w:softHyphen/>
        <w:t>system] unterliegen, [</w:t>
      </w:r>
      <w:r w:rsidR="00AF6EE7" w:rsidRPr="009118AB">
        <w:rPr>
          <w:rFonts w:eastAsia="Calibri"/>
          <w:kern w:val="2"/>
          <w:szCs w:val="22"/>
          <w:lang w:eastAsia="en-US"/>
          <w14:ligatures w14:val="standardContextual"/>
        </w:rPr>
        <w:t>ausschließlich der Ausgaben, die für die Produktionsgesellschaft als nicht als Werbungskosten abzugsfähige Beträge wie in Artikel 206/1 Absatz 2 Nr. 2 erwähnt gelten können, und aller anderen Kosten, die nicht für die Produktion oder Verwertung des in Betracht kommenden Werks gemacht werden</w:t>
      </w:r>
      <w:r w:rsidR="00AF6EE7" w:rsidRPr="009118AB">
        <w:rPr>
          <w:iCs/>
        </w:rPr>
        <w:t>]</w:t>
      </w:r>
      <w:r w:rsidRPr="009118AB">
        <w:rPr>
          <w:iCs/>
        </w:rPr>
        <w:t>.</w:t>
      </w:r>
    </w:p>
    <w:p w14:paraId="6A58FB20" w14:textId="77777777" w:rsidR="00D833C6" w:rsidRPr="009118AB" w:rsidRDefault="00D833C6" w:rsidP="00D833C6">
      <w:pPr>
        <w:autoSpaceDE w:val="0"/>
        <w:autoSpaceDN w:val="0"/>
        <w:adjustRightInd w:val="0"/>
        <w:jc w:val="both"/>
        <w:rPr>
          <w:iCs/>
        </w:rPr>
      </w:pPr>
    </w:p>
    <w:p w14:paraId="72A6DBA8" w14:textId="77777777" w:rsidR="00D833C6" w:rsidRPr="009118AB" w:rsidRDefault="00D833C6" w:rsidP="00866B3D">
      <w:pPr>
        <w:autoSpaceDE w:val="0"/>
        <w:autoSpaceDN w:val="0"/>
        <w:adjustRightInd w:val="0"/>
        <w:ind w:firstLine="709"/>
        <w:jc w:val="both"/>
        <w:rPr>
          <w:iCs/>
        </w:rPr>
      </w:pPr>
      <w:r w:rsidRPr="009118AB">
        <w:rPr>
          <w:iCs/>
        </w:rPr>
        <w:t>[8.] [[Ausgaben in direktem Zusammenhang mit der Produktion und Verwertung]: Ausgaben in Zusammenhang mit der kreativen und technischen Produktion des in Betracht kommenden Werks, wie:]</w:t>
      </w:r>
    </w:p>
    <w:p w14:paraId="06459E7E" w14:textId="77777777" w:rsidR="00D833C6" w:rsidRPr="009118AB" w:rsidRDefault="00D833C6" w:rsidP="00D833C6">
      <w:pPr>
        <w:autoSpaceDE w:val="0"/>
        <w:autoSpaceDN w:val="0"/>
        <w:adjustRightInd w:val="0"/>
        <w:jc w:val="both"/>
        <w:rPr>
          <w:iCs/>
        </w:rPr>
      </w:pPr>
    </w:p>
    <w:p w14:paraId="37DDEEF6" w14:textId="77777777" w:rsidR="00D833C6" w:rsidRPr="009118AB" w:rsidRDefault="00D833C6" w:rsidP="00866B3D">
      <w:pPr>
        <w:autoSpaceDE w:val="0"/>
        <w:autoSpaceDN w:val="0"/>
        <w:adjustRightInd w:val="0"/>
        <w:ind w:firstLine="709"/>
        <w:jc w:val="both"/>
        <w:rPr>
          <w:iCs/>
        </w:rPr>
      </w:pPr>
      <w:r w:rsidRPr="009118AB">
        <w:rPr>
          <w:iCs/>
        </w:rPr>
        <w:t>- Kosten, die die künstlerischen Rechte decken, mit Ausnahme der Kosten für die Entwicklung des Szenarios, [die im Zeitraum vor dem Rahmenüber</w:t>
      </w:r>
      <w:r w:rsidRPr="009118AB">
        <w:rPr>
          <w:iCs/>
        </w:rPr>
        <w:softHyphen/>
        <w:t xml:space="preserve">einkommen entstanden sind. Dieser Zeitraum vor dem Rahmenübereinkommen wird gegebenenfalls gemäß Absatz 6 </w:t>
      </w:r>
      <w:r w:rsidRPr="009118AB">
        <w:rPr>
          <w:i/>
          <w:iCs/>
        </w:rPr>
        <w:t>[sic, zu lesen ist: Absatz 5]</w:t>
      </w:r>
      <w:r w:rsidRPr="009118AB">
        <w:rPr>
          <w:iCs/>
        </w:rPr>
        <w:t xml:space="preserve"> angepasst],</w:t>
      </w:r>
    </w:p>
    <w:p w14:paraId="58252D21" w14:textId="77777777" w:rsidR="00D833C6" w:rsidRPr="009118AB" w:rsidRDefault="00D833C6" w:rsidP="00D833C6">
      <w:pPr>
        <w:autoSpaceDE w:val="0"/>
        <w:autoSpaceDN w:val="0"/>
        <w:adjustRightInd w:val="0"/>
        <w:jc w:val="both"/>
        <w:rPr>
          <w:iCs/>
        </w:rPr>
      </w:pPr>
    </w:p>
    <w:p w14:paraId="25413C0F" w14:textId="77777777" w:rsidR="00D833C6" w:rsidRPr="009118AB" w:rsidRDefault="00D833C6" w:rsidP="00866B3D">
      <w:pPr>
        <w:autoSpaceDE w:val="0"/>
        <w:autoSpaceDN w:val="0"/>
        <w:adjustRightInd w:val="0"/>
        <w:ind w:firstLine="709"/>
        <w:jc w:val="both"/>
        <w:rPr>
          <w:iCs/>
        </w:rPr>
      </w:pPr>
      <w:r w:rsidRPr="009118AB">
        <w:rPr>
          <w:iCs/>
        </w:rPr>
        <w:lastRenderedPageBreak/>
        <w:t>- Löhne und andere Entschädigungen des Personals, Entschädigungen der selbständigen Dienstleistungserbringer,</w:t>
      </w:r>
    </w:p>
    <w:p w14:paraId="52A9C298" w14:textId="77777777" w:rsidR="00D833C6" w:rsidRPr="009118AB" w:rsidRDefault="00D833C6" w:rsidP="00D833C6">
      <w:pPr>
        <w:autoSpaceDE w:val="0"/>
        <w:autoSpaceDN w:val="0"/>
        <w:adjustRightInd w:val="0"/>
        <w:jc w:val="both"/>
        <w:rPr>
          <w:iCs/>
        </w:rPr>
      </w:pPr>
    </w:p>
    <w:p w14:paraId="559B356E" w14:textId="77777777" w:rsidR="00D833C6" w:rsidRPr="009118AB" w:rsidRDefault="00D833C6" w:rsidP="00866B3D">
      <w:pPr>
        <w:autoSpaceDE w:val="0"/>
        <w:autoSpaceDN w:val="0"/>
        <w:adjustRightInd w:val="0"/>
        <w:ind w:firstLine="709"/>
        <w:jc w:val="both"/>
        <w:rPr>
          <w:iCs/>
        </w:rPr>
      </w:pPr>
      <w:r w:rsidRPr="009118AB">
        <w:rPr>
          <w:iCs/>
        </w:rPr>
        <w:t>- Kosten, die der Zahlung der Schauspieler, Musiker und künstlerischen Funktionen zuzuschreiben sind, in dem Maße, wie sie zu Interpretation und Realisation des in Betracht kommenden Werks beitragen,</w:t>
      </w:r>
    </w:p>
    <w:p w14:paraId="3E5DB299" w14:textId="77777777" w:rsidR="00D833C6" w:rsidRPr="009118AB" w:rsidRDefault="00D833C6" w:rsidP="00D833C6">
      <w:pPr>
        <w:autoSpaceDE w:val="0"/>
        <w:autoSpaceDN w:val="0"/>
        <w:adjustRightInd w:val="0"/>
        <w:jc w:val="both"/>
        <w:rPr>
          <w:iCs/>
        </w:rPr>
      </w:pPr>
    </w:p>
    <w:p w14:paraId="2B99782B" w14:textId="77777777" w:rsidR="00D833C6" w:rsidRPr="009118AB" w:rsidRDefault="00D833C6" w:rsidP="00866B3D">
      <w:pPr>
        <w:autoSpaceDE w:val="0"/>
        <w:autoSpaceDN w:val="0"/>
        <w:adjustRightInd w:val="0"/>
        <w:ind w:firstLine="709"/>
        <w:jc w:val="both"/>
        <w:rPr>
          <w:iCs/>
        </w:rPr>
      </w:pPr>
      <w:r w:rsidRPr="009118AB">
        <w:rPr>
          <w:iCs/>
        </w:rPr>
        <w:t>- Soziallasten, die mit den im zweiten und dritten Gedankenstrich erwähnten Löhnen und Kosten verbunden sind,</w:t>
      </w:r>
    </w:p>
    <w:p w14:paraId="39A3C245" w14:textId="77777777" w:rsidR="00D833C6" w:rsidRPr="009118AB" w:rsidRDefault="00D833C6" w:rsidP="00D833C6">
      <w:pPr>
        <w:autoSpaceDE w:val="0"/>
        <w:autoSpaceDN w:val="0"/>
        <w:adjustRightInd w:val="0"/>
        <w:jc w:val="both"/>
        <w:rPr>
          <w:iCs/>
        </w:rPr>
      </w:pPr>
    </w:p>
    <w:p w14:paraId="5A6090D4" w14:textId="0BBA34D3" w:rsidR="00D833C6" w:rsidRPr="009118AB" w:rsidRDefault="00D833C6" w:rsidP="00866B3D">
      <w:pPr>
        <w:autoSpaceDE w:val="0"/>
        <w:autoSpaceDN w:val="0"/>
        <w:adjustRightInd w:val="0"/>
        <w:ind w:firstLine="709"/>
        <w:jc w:val="both"/>
        <w:rPr>
          <w:iCs/>
        </w:rPr>
      </w:pPr>
      <w:r w:rsidRPr="009118AB">
        <w:rPr>
          <w:iCs/>
        </w:rPr>
        <w:t>- Kosten für Bühnenbilder, Requisiten, Kostüme und Attribute, die in Bild gesetzt werden</w:t>
      </w:r>
      <w:r w:rsidR="00AF6EE7" w:rsidRPr="009118AB">
        <w:rPr>
          <w:iCs/>
        </w:rPr>
        <w:t>[</w:t>
      </w:r>
      <w:r w:rsidR="00AF6EE7" w:rsidRPr="009118AB">
        <w:rPr>
          <w:rFonts w:eastAsia="Calibri"/>
          <w:kern w:val="2"/>
          <w:szCs w:val="22"/>
          <w:lang w:eastAsia="en-US"/>
          <w14:ligatures w14:val="standardContextual"/>
        </w:rPr>
        <w:t>, und Kosten, die für die Wiederverwendung von Bühnenbildern, Requisiten, Kostümen und Attributen notwendig sind, sofern nachgewiesen wird, dass diese Wiederverwendung nicht dazu führt, dass die Bühnenbilder, Requisiten, Kostüme und Attribute erneut als Grundlage für die in Betracht kommenden Ausgaben für Produktion und Verwertung dienen</w:t>
      </w:r>
      <w:r w:rsidR="00AF6EE7" w:rsidRPr="009118AB">
        <w:rPr>
          <w:iCs/>
        </w:rPr>
        <w:t>]</w:t>
      </w:r>
      <w:r w:rsidRPr="009118AB">
        <w:rPr>
          <w:iCs/>
        </w:rPr>
        <w:t>,</w:t>
      </w:r>
    </w:p>
    <w:p w14:paraId="45A104F5" w14:textId="77777777" w:rsidR="00D833C6" w:rsidRPr="009118AB" w:rsidRDefault="00D833C6" w:rsidP="00D833C6">
      <w:pPr>
        <w:autoSpaceDE w:val="0"/>
        <w:autoSpaceDN w:val="0"/>
        <w:adjustRightInd w:val="0"/>
        <w:jc w:val="both"/>
        <w:rPr>
          <w:iCs/>
        </w:rPr>
      </w:pPr>
    </w:p>
    <w:p w14:paraId="4D481314" w14:textId="77777777" w:rsidR="00D833C6" w:rsidRPr="009118AB" w:rsidRDefault="00D833C6" w:rsidP="00866B3D">
      <w:pPr>
        <w:autoSpaceDE w:val="0"/>
        <w:autoSpaceDN w:val="0"/>
        <w:adjustRightInd w:val="0"/>
        <w:ind w:firstLine="709"/>
        <w:jc w:val="both"/>
        <w:rPr>
          <w:iCs/>
        </w:rPr>
      </w:pPr>
      <w:r w:rsidRPr="009118AB">
        <w:rPr>
          <w:iCs/>
        </w:rPr>
        <w:t>- Kosten für Beförderung und Unterkunft, die auf einen Betrag in Höhe von 25 Prozent der im zweiten und dritten Gedankenstrich erwähnten Kosten begrenzt sind,</w:t>
      </w:r>
    </w:p>
    <w:p w14:paraId="6110CB91" w14:textId="77777777" w:rsidR="00D833C6" w:rsidRPr="009118AB" w:rsidRDefault="00D833C6" w:rsidP="00D833C6">
      <w:pPr>
        <w:autoSpaceDE w:val="0"/>
        <w:autoSpaceDN w:val="0"/>
        <w:adjustRightInd w:val="0"/>
        <w:jc w:val="both"/>
        <w:rPr>
          <w:iCs/>
        </w:rPr>
      </w:pPr>
    </w:p>
    <w:p w14:paraId="5C5E69B1" w14:textId="77777777" w:rsidR="00D833C6" w:rsidRPr="009118AB" w:rsidRDefault="00D833C6" w:rsidP="00866B3D">
      <w:pPr>
        <w:autoSpaceDE w:val="0"/>
        <w:autoSpaceDN w:val="0"/>
        <w:adjustRightInd w:val="0"/>
        <w:ind w:firstLine="709"/>
        <w:jc w:val="both"/>
        <w:rPr>
          <w:iCs/>
        </w:rPr>
      </w:pPr>
      <w:r w:rsidRPr="009118AB">
        <w:rPr>
          <w:iCs/>
        </w:rPr>
        <w:t>- Kosten, die für Hardware und andere technische Mittel getätigt werden,</w:t>
      </w:r>
    </w:p>
    <w:p w14:paraId="2D099A59" w14:textId="77777777" w:rsidR="00D833C6" w:rsidRPr="009118AB" w:rsidRDefault="00D833C6" w:rsidP="00D833C6">
      <w:pPr>
        <w:autoSpaceDE w:val="0"/>
        <w:autoSpaceDN w:val="0"/>
        <w:adjustRightInd w:val="0"/>
        <w:jc w:val="both"/>
        <w:rPr>
          <w:iCs/>
        </w:rPr>
      </w:pPr>
    </w:p>
    <w:p w14:paraId="64730326" w14:textId="77777777" w:rsidR="00D833C6" w:rsidRPr="009118AB" w:rsidRDefault="00D833C6" w:rsidP="00866B3D">
      <w:pPr>
        <w:autoSpaceDE w:val="0"/>
        <w:autoSpaceDN w:val="0"/>
        <w:adjustRightInd w:val="0"/>
        <w:ind w:firstLine="709"/>
        <w:jc w:val="both"/>
        <w:rPr>
          <w:iCs/>
        </w:rPr>
      </w:pPr>
      <w:r w:rsidRPr="009118AB">
        <w:rPr>
          <w:iCs/>
        </w:rPr>
        <w:t>- Kosten für Labor und Herstellung des Masters,</w:t>
      </w:r>
    </w:p>
    <w:p w14:paraId="2B4CB933" w14:textId="77777777" w:rsidR="00D833C6" w:rsidRPr="009118AB" w:rsidRDefault="00D833C6" w:rsidP="00D833C6">
      <w:pPr>
        <w:autoSpaceDE w:val="0"/>
        <w:autoSpaceDN w:val="0"/>
        <w:adjustRightInd w:val="0"/>
        <w:jc w:val="both"/>
        <w:rPr>
          <w:iCs/>
        </w:rPr>
      </w:pPr>
    </w:p>
    <w:p w14:paraId="39699EB0" w14:textId="77777777" w:rsidR="00D833C6" w:rsidRPr="009118AB" w:rsidRDefault="00D833C6" w:rsidP="00866B3D">
      <w:pPr>
        <w:autoSpaceDE w:val="0"/>
        <w:autoSpaceDN w:val="0"/>
        <w:adjustRightInd w:val="0"/>
        <w:ind w:firstLine="709"/>
        <w:jc w:val="both"/>
        <w:rPr>
          <w:iCs/>
        </w:rPr>
      </w:pPr>
      <w:r w:rsidRPr="009118AB">
        <w:rPr>
          <w:iCs/>
        </w:rPr>
        <w:t>- Versicherungskosten in direktem Zusammenhang mit der Produktion,</w:t>
      </w:r>
    </w:p>
    <w:p w14:paraId="23F99284" w14:textId="77777777" w:rsidR="00D833C6" w:rsidRPr="009118AB" w:rsidRDefault="00D833C6" w:rsidP="00D833C6">
      <w:pPr>
        <w:autoSpaceDE w:val="0"/>
        <w:autoSpaceDN w:val="0"/>
        <w:adjustRightInd w:val="0"/>
        <w:jc w:val="both"/>
        <w:rPr>
          <w:iCs/>
        </w:rPr>
      </w:pPr>
    </w:p>
    <w:p w14:paraId="38769DDB" w14:textId="77777777" w:rsidR="00D833C6" w:rsidRPr="009118AB" w:rsidRDefault="00D833C6" w:rsidP="00866B3D">
      <w:pPr>
        <w:autoSpaceDE w:val="0"/>
        <w:autoSpaceDN w:val="0"/>
        <w:adjustRightInd w:val="0"/>
        <w:ind w:firstLine="709"/>
        <w:jc w:val="both"/>
        <w:rPr>
          <w:iCs/>
        </w:rPr>
      </w:pPr>
      <w:r w:rsidRPr="009118AB">
        <w:rPr>
          <w:iCs/>
        </w:rPr>
        <w:t>- Kosten für Edition und Verkaufsförderung, [die der Produktion eigen sind]: Pressemappe, Basiswebsite, Trailer und Premiere,]</w:t>
      </w:r>
    </w:p>
    <w:p w14:paraId="3992B479" w14:textId="77777777" w:rsidR="00D833C6" w:rsidRPr="009118AB" w:rsidRDefault="00D833C6" w:rsidP="00D833C6">
      <w:pPr>
        <w:autoSpaceDE w:val="0"/>
        <w:autoSpaceDN w:val="0"/>
        <w:adjustRightInd w:val="0"/>
        <w:jc w:val="both"/>
        <w:rPr>
          <w:iCs/>
        </w:rPr>
      </w:pPr>
    </w:p>
    <w:p w14:paraId="4C225E99" w14:textId="77777777" w:rsidR="00D833C6" w:rsidRPr="009118AB" w:rsidRDefault="00D833C6" w:rsidP="00866B3D">
      <w:pPr>
        <w:autoSpaceDE w:val="0"/>
        <w:autoSpaceDN w:val="0"/>
        <w:adjustRightInd w:val="0"/>
        <w:ind w:firstLine="709"/>
        <w:jc w:val="both"/>
        <w:rPr>
          <w:iCs/>
        </w:rPr>
      </w:pPr>
      <w:r w:rsidRPr="009118AB">
        <w:rPr>
          <w:iCs/>
        </w:rPr>
        <w:t xml:space="preserve">[- Vergütungen, die dem Produktionsmanager, dem Postproduktionskoordinator und dem Line Producer gezahlt werden,] </w:t>
      </w:r>
    </w:p>
    <w:p w14:paraId="5D93E8D9" w14:textId="77777777" w:rsidR="00D833C6" w:rsidRPr="009118AB" w:rsidRDefault="00D833C6" w:rsidP="00D833C6">
      <w:pPr>
        <w:autoSpaceDE w:val="0"/>
        <w:autoSpaceDN w:val="0"/>
        <w:adjustRightInd w:val="0"/>
        <w:jc w:val="both"/>
        <w:rPr>
          <w:iCs/>
        </w:rPr>
      </w:pPr>
    </w:p>
    <w:p w14:paraId="0E58C1CC" w14:textId="77777777" w:rsidR="00D833C6" w:rsidRPr="009118AB" w:rsidRDefault="00D833C6" w:rsidP="00866B3D">
      <w:pPr>
        <w:autoSpaceDE w:val="0"/>
        <w:autoSpaceDN w:val="0"/>
        <w:adjustRightInd w:val="0"/>
        <w:ind w:firstLine="709"/>
        <w:jc w:val="both"/>
        <w:rPr>
          <w:iCs/>
        </w:rPr>
      </w:pPr>
      <w:r w:rsidRPr="009118AB">
        <w:rPr>
          <w:iCs/>
        </w:rPr>
        <w:t>[9. [[Ausgaben, die nicht in direktem Zusammenhang mit der Produktion und Verwertung stehen]:</w:t>
      </w:r>
    </w:p>
    <w:p w14:paraId="7E0F7756" w14:textId="77777777" w:rsidR="00D833C6" w:rsidRPr="009118AB" w:rsidRDefault="00D833C6" w:rsidP="00D833C6">
      <w:pPr>
        <w:autoSpaceDE w:val="0"/>
        <w:autoSpaceDN w:val="0"/>
        <w:adjustRightInd w:val="0"/>
        <w:jc w:val="both"/>
        <w:rPr>
          <w:iCs/>
        </w:rPr>
      </w:pPr>
    </w:p>
    <w:p w14:paraId="32622258" w14:textId="77777777" w:rsidR="00D833C6" w:rsidRPr="009118AB" w:rsidRDefault="00D833C6" w:rsidP="00866B3D">
      <w:pPr>
        <w:autoSpaceDE w:val="0"/>
        <w:autoSpaceDN w:val="0"/>
        <w:adjustRightInd w:val="0"/>
        <w:ind w:firstLine="709"/>
        <w:jc w:val="both"/>
        <w:rPr>
          <w:iCs/>
        </w:rPr>
      </w:pPr>
      <w:r w:rsidRPr="009118AB">
        <w:rPr>
          <w:iCs/>
        </w:rPr>
        <w:t>insbesondere folgende Ausgaben:]</w:t>
      </w:r>
    </w:p>
    <w:p w14:paraId="79CC466F" w14:textId="77777777" w:rsidR="00D833C6" w:rsidRPr="009118AB" w:rsidRDefault="00D833C6" w:rsidP="00D833C6">
      <w:pPr>
        <w:autoSpaceDE w:val="0"/>
        <w:autoSpaceDN w:val="0"/>
        <w:adjustRightInd w:val="0"/>
        <w:jc w:val="both"/>
        <w:rPr>
          <w:iCs/>
        </w:rPr>
      </w:pPr>
    </w:p>
    <w:p w14:paraId="2CB70091" w14:textId="77777777" w:rsidR="00D833C6" w:rsidRPr="009118AB" w:rsidRDefault="00D833C6" w:rsidP="00866B3D">
      <w:pPr>
        <w:autoSpaceDE w:val="0"/>
        <w:autoSpaceDN w:val="0"/>
        <w:adjustRightInd w:val="0"/>
        <w:ind w:firstLine="709"/>
        <w:jc w:val="both"/>
        <w:rPr>
          <w:iCs/>
        </w:rPr>
      </w:pPr>
      <w:r w:rsidRPr="009118AB">
        <w:rPr>
          <w:iCs/>
        </w:rPr>
        <w:t>[- Ausgaben in Bezug auf administrative und finanzielle Organisation und Begleitung der audiovisuellen Produktion,]</w:t>
      </w:r>
    </w:p>
    <w:p w14:paraId="039D986A" w14:textId="77777777" w:rsidR="00D833C6" w:rsidRPr="009118AB" w:rsidRDefault="00D833C6" w:rsidP="00D833C6">
      <w:pPr>
        <w:autoSpaceDE w:val="0"/>
        <w:autoSpaceDN w:val="0"/>
        <w:adjustRightInd w:val="0"/>
        <w:jc w:val="both"/>
        <w:rPr>
          <w:iCs/>
        </w:rPr>
      </w:pPr>
    </w:p>
    <w:p w14:paraId="4FECD6E6" w14:textId="77777777" w:rsidR="00D833C6" w:rsidRPr="009118AB" w:rsidRDefault="00D833C6" w:rsidP="00866B3D">
      <w:pPr>
        <w:autoSpaceDE w:val="0"/>
        <w:autoSpaceDN w:val="0"/>
        <w:adjustRightInd w:val="0"/>
        <w:ind w:firstLine="709"/>
        <w:jc w:val="both"/>
        <w:rPr>
          <w:iCs/>
        </w:rPr>
      </w:pPr>
      <w:r w:rsidRPr="009118AB">
        <w:rPr>
          <w:iCs/>
        </w:rPr>
        <w:t>[...]</w:t>
      </w:r>
    </w:p>
    <w:p w14:paraId="4BFD1ED4" w14:textId="77777777" w:rsidR="00D833C6" w:rsidRPr="009118AB" w:rsidRDefault="00D833C6" w:rsidP="00D833C6">
      <w:pPr>
        <w:autoSpaceDE w:val="0"/>
        <w:autoSpaceDN w:val="0"/>
        <w:adjustRightInd w:val="0"/>
        <w:jc w:val="both"/>
        <w:rPr>
          <w:iCs/>
        </w:rPr>
      </w:pPr>
    </w:p>
    <w:p w14:paraId="48948CB9" w14:textId="6B18F3C0" w:rsidR="00D833C6" w:rsidRPr="009118AB" w:rsidRDefault="00AF6EE7" w:rsidP="00866B3D">
      <w:pPr>
        <w:autoSpaceDE w:val="0"/>
        <w:autoSpaceDN w:val="0"/>
        <w:adjustRightInd w:val="0"/>
        <w:ind w:firstLine="709"/>
        <w:jc w:val="both"/>
        <w:rPr>
          <w:iCs/>
        </w:rPr>
      </w:pPr>
      <w:r w:rsidRPr="009118AB">
        <w:rPr>
          <w:iCs/>
        </w:rPr>
        <w:t>[...]</w:t>
      </w:r>
    </w:p>
    <w:p w14:paraId="05E769A8" w14:textId="77777777" w:rsidR="00D833C6" w:rsidRPr="009118AB" w:rsidRDefault="00D833C6" w:rsidP="00D833C6">
      <w:pPr>
        <w:autoSpaceDE w:val="0"/>
        <w:autoSpaceDN w:val="0"/>
        <w:adjustRightInd w:val="0"/>
        <w:jc w:val="both"/>
        <w:rPr>
          <w:iCs/>
        </w:rPr>
      </w:pPr>
    </w:p>
    <w:p w14:paraId="19CCFA58" w14:textId="7DDCBE60" w:rsidR="00D833C6" w:rsidRPr="009118AB" w:rsidRDefault="00D833C6" w:rsidP="00866B3D">
      <w:pPr>
        <w:autoSpaceDE w:val="0"/>
        <w:autoSpaceDN w:val="0"/>
        <w:adjustRightInd w:val="0"/>
        <w:ind w:firstLine="709"/>
        <w:jc w:val="both"/>
        <w:rPr>
          <w:iCs/>
        </w:rPr>
      </w:pPr>
      <w:r w:rsidRPr="009118AB">
        <w:rPr>
          <w:iCs/>
        </w:rPr>
        <w:t xml:space="preserve">- Kosten in Zusammenhang mit der Finanzierung des in Betracht kommenden Werks [oder auf der Grundlage eines in </w:t>
      </w:r>
      <w:r w:rsidR="00D67EB8" w:rsidRPr="009118AB">
        <w:rPr>
          <w:iCs/>
        </w:rPr>
        <w:t>Nr. </w:t>
      </w:r>
      <w:r w:rsidRPr="009118AB">
        <w:rPr>
          <w:iCs/>
        </w:rPr>
        <w:t>5 erwähnten Rahmenübereinkommens gezahlte Summen] einschließlich der Kosten für rechtlichen Beistand, Rechtsanwaltskosten, Garantiekosten</w:t>
      </w:r>
      <w:r w:rsidR="00AF6EE7" w:rsidRPr="009118AB">
        <w:rPr>
          <w:iCs/>
        </w:rPr>
        <w:t xml:space="preserve"> [und </w:t>
      </w:r>
      <w:r w:rsidRPr="009118AB">
        <w:rPr>
          <w:iCs/>
        </w:rPr>
        <w:t>Verwaltungskosten</w:t>
      </w:r>
      <w:r w:rsidR="00AF6EE7" w:rsidRPr="009118AB">
        <w:rPr>
          <w:iCs/>
        </w:rPr>
        <w:t>]</w:t>
      </w:r>
      <w:r w:rsidRPr="009118AB">
        <w:rPr>
          <w:iCs/>
        </w:rPr>
        <w:t>,</w:t>
      </w:r>
    </w:p>
    <w:p w14:paraId="67ACD12A" w14:textId="77777777" w:rsidR="00D833C6" w:rsidRPr="009118AB" w:rsidRDefault="00D833C6" w:rsidP="00D833C6">
      <w:pPr>
        <w:autoSpaceDE w:val="0"/>
        <w:autoSpaceDN w:val="0"/>
        <w:adjustRightInd w:val="0"/>
        <w:jc w:val="both"/>
        <w:rPr>
          <w:iCs/>
        </w:rPr>
      </w:pPr>
    </w:p>
    <w:p w14:paraId="6BE1383C" w14:textId="77777777" w:rsidR="00D833C6" w:rsidRPr="009118AB" w:rsidRDefault="00D833C6" w:rsidP="00866B3D">
      <w:pPr>
        <w:autoSpaceDE w:val="0"/>
        <w:autoSpaceDN w:val="0"/>
        <w:adjustRightInd w:val="0"/>
        <w:ind w:firstLine="709"/>
        <w:jc w:val="both"/>
        <w:rPr>
          <w:iCs/>
        </w:rPr>
      </w:pPr>
      <w:r w:rsidRPr="009118AB">
        <w:rPr>
          <w:iCs/>
        </w:rPr>
        <w:t>[...]</w:t>
      </w:r>
    </w:p>
    <w:p w14:paraId="3A3738ED" w14:textId="77777777" w:rsidR="00D833C6" w:rsidRPr="009118AB" w:rsidRDefault="00D833C6" w:rsidP="00D833C6">
      <w:pPr>
        <w:autoSpaceDE w:val="0"/>
        <w:autoSpaceDN w:val="0"/>
        <w:adjustRightInd w:val="0"/>
        <w:jc w:val="both"/>
        <w:rPr>
          <w:iCs/>
        </w:rPr>
      </w:pPr>
    </w:p>
    <w:p w14:paraId="738FC1EC" w14:textId="77777777" w:rsidR="00D833C6" w:rsidRPr="009118AB" w:rsidRDefault="00D833C6" w:rsidP="00866B3D">
      <w:pPr>
        <w:autoSpaceDE w:val="0"/>
        <w:autoSpaceDN w:val="0"/>
        <w:adjustRightInd w:val="0"/>
        <w:ind w:firstLine="709"/>
        <w:jc w:val="both"/>
        <w:rPr>
          <w:iCs/>
        </w:rPr>
      </w:pPr>
      <w:r w:rsidRPr="009118AB">
        <w:rPr>
          <w:iCs/>
        </w:rPr>
        <w:lastRenderedPageBreak/>
        <w:t>- Rechnungen, die [von dem in Betracht kommenden Anleger] erstellt werden, mit Ausnahme der Rechnungen von [Unternehmen für technische audiovisuelle Dienstleistungen], wenn die in Rechnung gestellten Güter oder Dienstleistungen in direktem Zusammenhang mit der Produktion stehen und in dem Maße, wie der Betrag dieser Rechnungen dem Preis entspricht, der hätte gezahlt werden müssen, wenn die beteiligten Gesellschaften voneinander völlig unabhängig wären,</w:t>
      </w:r>
    </w:p>
    <w:p w14:paraId="6D0F752A" w14:textId="77777777" w:rsidR="00D833C6" w:rsidRPr="009118AB" w:rsidRDefault="00D833C6" w:rsidP="00D833C6">
      <w:pPr>
        <w:autoSpaceDE w:val="0"/>
        <w:autoSpaceDN w:val="0"/>
        <w:adjustRightInd w:val="0"/>
        <w:jc w:val="both"/>
        <w:rPr>
          <w:iCs/>
        </w:rPr>
      </w:pPr>
    </w:p>
    <w:p w14:paraId="050EC4F9" w14:textId="77777777" w:rsidR="00D833C6" w:rsidRPr="009118AB" w:rsidRDefault="00D833C6" w:rsidP="00866B3D">
      <w:pPr>
        <w:autoSpaceDE w:val="0"/>
        <w:autoSpaceDN w:val="0"/>
        <w:adjustRightInd w:val="0"/>
        <w:ind w:firstLine="709"/>
        <w:jc w:val="both"/>
        <w:rPr>
          <w:iCs/>
        </w:rPr>
      </w:pPr>
      <w:r w:rsidRPr="009118AB">
        <w:rPr>
          <w:iCs/>
        </w:rPr>
        <w:t>- Vertriebskosten, die zu Lasten der Produktionsgesellschaft sind.]</w:t>
      </w:r>
    </w:p>
    <w:p w14:paraId="22A7298C" w14:textId="77777777" w:rsidR="00D833C6" w:rsidRPr="009118AB" w:rsidRDefault="00D833C6" w:rsidP="00D833C6">
      <w:pPr>
        <w:autoSpaceDE w:val="0"/>
        <w:autoSpaceDN w:val="0"/>
        <w:adjustRightInd w:val="0"/>
        <w:jc w:val="both"/>
        <w:rPr>
          <w:iCs/>
        </w:rPr>
      </w:pPr>
    </w:p>
    <w:p w14:paraId="6E928CD3" w14:textId="77777777" w:rsidR="00AF6EE7" w:rsidRPr="009118AB" w:rsidRDefault="00D833C6" w:rsidP="00AF6EE7">
      <w:pPr>
        <w:ind w:firstLine="708"/>
        <w:jc w:val="both"/>
        <w:rPr>
          <w:rFonts w:eastAsia="Calibri"/>
          <w:kern w:val="2"/>
          <w:lang w:eastAsia="en-US"/>
          <w14:ligatures w14:val="standardContextual"/>
        </w:rPr>
      </w:pPr>
      <w:r w:rsidRPr="009118AB">
        <w:rPr>
          <w:iCs/>
        </w:rPr>
        <w:t>[</w:t>
      </w:r>
      <w:r w:rsidR="00AF6EE7" w:rsidRPr="009118AB">
        <w:rPr>
          <w:rFonts w:eastAsia="Calibri"/>
          <w:kern w:val="2"/>
          <w:szCs w:val="22"/>
          <w:lang w:eastAsia="en-US"/>
          <w14:ligatures w14:val="standardContextual"/>
        </w:rPr>
        <w:t>Als Ausgaben, die nicht in direktem Zusammenhang mit der Produktion und Verwertung des in Betracht kommenden Werks stehen, werden auch berücksichtigt:</w:t>
      </w:r>
    </w:p>
    <w:p w14:paraId="07316ECC" w14:textId="77777777" w:rsidR="00AF6EE7" w:rsidRPr="009118AB" w:rsidRDefault="00AF6EE7" w:rsidP="00AF6EE7">
      <w:pPr>
        <w:jc w:val="both"/>
        <w:rPr>
          <w:rFonts w:eastAsia="Calibri"/>
          <w:kern w:val="2"/>
          <w:lang w:eastAsia="en-US"/>
          <w14:ligatures w14:val="standardContextual"/>
        </w:rPr>
      </w:pPr>
    </w:p>
    <w:p w14:paraId="0E742A35" w14:textId="77777777" w:rsidR="00AF6EE7" w:rsidRPr="009118AB" w:rsidRDefault="00AF6EE7" w:rsidP="00AF6EE7">
      <w:pPr>
        <w:ind w:firstLine="708"/>
        <w:jc w:val="both"/>
        <w:rPr>
          <w:rFonts w:eastAsia="Calibri"/>
          <w:kern w:val="2"/>
          <w:lang w:eastAsia="en-US"/>
          <w14:ligatures w14:val="standardContextual"/>
        </w:rPr>
      </w:pPr>
      <w:r w:rsidRPr="009118AB">
        <w:rPr>
          <w:rFonts w:eastAsia="Calibri"/>
          <w:kern w:val="2"/>
          <w:szCs w:val="22"/>
          <w:lang w:eastAsia="en-US"/>
          <w14:ligatures w14:val="standardContextual"/>
        </w:rPr>
        <w:t>- wenn alle Tätigkeiten von Produzenten, die nicht in Nr. 8 erwähnt sind, tatsächlich von der in Betracht kommenden Produktionsgesellschaft ausgeübt worden sind, eine pauschal festgelegte Vergütung in Höhe von höchstens 10 Prozent der Ausgaben für Produktion und Verwertung, die in direktem Zusammenhang mit der Produktion und Verwertung stehen und in Belgien getätigt worden sind,</w:t>
      </w:r>
    </w:p>
    <w:p w14:paraId="1983D92C" w14:textId="77777777" w:rsidR="00AF6EE7" w:rsidRPr="009118AB" w:rsidRDefault="00AF6EE7" w:rsidP="00AF6EE7">
      <w:pPr>
        <w:jc w:val="both"/>
        <w:rPr>
          <w:rFonts w:eastAsia="Calibri"/>
          <w:kern w:val="2"/>
          <w:lang w:eastAsia="en-US"/>
          <w14:ligatures w14:val="standardContextual"/>
        </w:rPr>
      </w:pPr>
    </w:p>
    <w:p w14:paraId="722F1D03" w14:textId="77777777" w:rsidR="00AF6EE7" w:rsidRPr="009118AB" w:rsidRDefault="00AF6EE7" w:rsidP="00AF6EE7">
      <w:pPr>
        <w:ind w:firstLine="708"/>
        <w:jc w:val="both"/>
        <w:rPr>
          <w:rFonts w:eastAsia="Calibri"/>
          <w:kern w:val="2"/>
          <w:lang w:eastAsia="en-US"/>
          <w14:ligatures w14:val="standardContextual"/>
        </w:rPr>
      </w:pPr>
      <w:r w:rsidRPr="009118AB">
        <w:rPr>
          <w:rFonts w:eastAsia="Calibri"/>
          <w:kern w:val="2"/>
          <w:szCs w:val="22"/>
          <w:lang w:eastAsia="en-US"/>
          <w14:ligatures w14:val="standardContextual"/>
        </w:rPr>
        <w:t>- wenn die in Betracht kommende Produktionsgesellschaft nicht alle im ersten Gedankenstrich erwähnten Tätigkeiten von Produzenten, die nicht in Nr. 8 erwähnt sind, ausübt, marktkonforme Vergütungen, die nicht in Nr. 8 erwähnten Produzenten gezahlt oder zuerkannt werden und die sich auf tatsächliche Leistungen beziehen,</w:t>
      </w:r>
    </w:p>
    <w:p w14:paraId="1478E67E" w14:textId="77777777" w:rsidR="00AF6EE7" w:rsidRPr="009118AB" w:rsidRDefault="00AF6EE7" w:rsidP="00AF6EE7">
      <w:pPr>
        <w:jc w:val="both"/>
        <w:rPr>
          <w:rFonts w:eastAsia="Calibri"/>
          <w:kern w:val="2"/>
          <w:lang w:eastAsia="en-US"/>
          <w14:ligatures w14:val="standardContextual"/>
        </w:rPr>
      </w:pPr>
    </w:p>
    <w:p w14:paraId="7D2F208C" w14:textId="77777777" w:rsidR="00AF6EE7" w:rsidRPr="009118AB" w:rsidRDefault="00AF6EE7" w:rsidP="00AF6EE7">
      <w:pPr>
        <w:ind w:firstLine="708"/>
        <w:jc w:val="both"/>
        <w:rPr>
          <w:rFonts w:eastAsia="Calibri"/>
          <w:kern w:val="2"/>
          <w:lang w:eastAsia="en-US"/>
          <w14:ligatures w14:val="standardContextual"/>
        </w:rPr>
      </w:pPr>
      <w:r w:rsidRPr="009118AB">
        <w:rPr>
          <w:rFonts w:eastAsia="Calibri"/>
          <w:kern w:val="2"/>
          <w:szCs w:val="22"/>
          <w:lang w:eastAsia="en-US"/>
          <w14:ligatures w14:val="standardContextual"/>
        </w:rPr>
        <w:t>- marktkonforme Finanzierungskosten und Provisionen, die im Rahmen der Anwerbung von Unternehmen gezahlt werden, die ein Rahmenübereinkommen zur Produktion eines in Betracht kommenden Werks abschließen,</w:t>
      </w:r>
    </w:p>
    <w:p w14:paraId="1400A495" w14:textId="77777777" w:rsidR="00AF6EE7" w:rsidRPr="009118AB" w:rsidRDefault="00AF6EE7" w:rsidP="00AF6EE7">
      <w:pPr>
        <w:jc w:val="both"/>
        <w:rPr>
          <w:rFonts w:eastAsia="Calibri"/>
          <w:kern w:val="2"/>
          <w:lang w:eastAsia="en-US"/>
          <w14:ligatures w14:val="standardContextual"/>
        </w:rPr>
      </w:pPr>
    </w:p>
    <w:p w14:paraId="01F1B655" w14:textId="1D7A08A1" w:rsidR="00D833C6" w:rsidRPr="009118AB" w:rsidRDefault="00AF6EE7" w:rsidP="00AF6EE7">
      <w:pPr>
        <w:autoSpaceDE w:val="0"/>
        <w:autoSpaceDN w:val="0"/>
        <w:adjustRightInd w:val="0"/>
        <w:ind w:firstLine="709"/>
        <w:jc w:val="both"/>
        <w:rPr>
          <w:iCs/>
        </w:rPr>
      </w:pPr>
      <w:r w:rsidRPr="009118AB">
        <w:rPr>
          <w:rFonts w:eastAsia="Calibri"/>
          <w:kern w:val="2"/>
          <w:szCs w:val="22"/>
          <w:lang w:eastAsia="en-US"/>
          <w14:ligatures w14:val="standardContextual"/>
        </w:rPr>
        <w:t>- allgemeine Produktionskosten zugunsten des Produzenten.</w:t>
      </w:r>
      <w:r w:rsidR="00D833C6" w:rsidRPr="009118AB">
        <w:rPr>
          <w:iCs/>
        </w:rPr>
        <w:t>]</w:t>
      </w:r>
    </w:p>
    <w:p w14:paraId="30EC7F85" w14:textId="77777777" w:rsidR="00D833C6" w:rsidRPr="009118AB" w:rsidRDefault="00D833C6" w:rsidP="00D833C6">
      <w:pPr>
        <w:autoSpaceDE w:val="0"/>
        <w:autoSpaceDN w:val="0"/>
        <w:adjustRightInd w:val="0"/>
        <w:jc w:val="both"/>
        <w:rPr>
          <w:iCs/>
        </w:rPr>
      </w:pPr>
    </w:p>
    <w:p w14:paraId="283FEEFE" w14:textId="321F518D" w:rsidR="00AF6EE7" w:rsidRPr="009118AB" w:rsidRDefault="00AF6EE7" w:rsidP="00D833C6">
      <w:pPr>
        <w:autoSpaceDE w:val="0"/>
        <w:autoSpaceDN w:val="0"/>
        <w:adjustRightInd w:val="0"/>
        <w:jc w:val="both"/>
        <w:rPr>
          <w:iCs/>
        </w:rPr>
      </w:pPr>
      <w:r w:rsidRPr="009118AB">
        <w:rPr>
          <w:iCs/>
        </w:rPr>
        <w:tab/>
        <w:t>[</w:t>
      </w:r>
      <w:r w:rsidRPr="009118AB">
        <w:rPr>
          <w:rFonts w:eastAsia="Calibri"/>
          <w:kern w:val="2"/>
          <w:szCs w:val="22"/>
          <w:lang w:eastAsia="en-US"/>
          <w14:ligatures w14:val="standardContextual"/>
        </w:rPr>
        <w:t>In Absatz 2 erwähnte Vergütungen, Kosten und Provisionen gelten nur dann als Ausgaben, die nicht in direktem Zusammenhang mit der Produktion und Verwertung des in Betracht kommenden Werks stehen, wenn ihr Gesamtbetrag 18 Prozent der Ausgaben für Produktion und Verwertung, die in direktem Zusammenhang mit der Produktion und Verwertung stehen und in Belgien getätigt worden sind, nicht übersteigt.</w:t>
      </w:r>
      <w:r w:rsidRPr="009118AB">
        <w:rPr>
          <w:iCs/>
        </w:rPr>
        <w:t>]</w:t>
      </w:r>
    </w:p>
    <w:p w14:paraId="5C8CEA86" w14:textId="77777777" w:rsidR="00AF6EE7" w:rsidRPr="009118AB" w:rsidRDefault="00AF6EE7" w:rsidP="00D833C6">
      <w:pPr>
        <w:autoSpaceDE w:val="0"/>
        <w:autoSpaceDN w:val="0"/>
        <w:adjustRightInd w:val="0"/>
        <w:jc w:val="both"/>
        <w:rPr>
          <w:iCs/>
        </w:rPr>
      </w:pPr>
    </w:p>
    <w:p w14:paraId="7BE4E456" w14:textId="447E907F" w:rsidR="00D833C6" w:rsidRPr="009118AB" w:rsidRDefault="00D833C6" w:rsidP="00866B3D">
      <w:pPr>
        <w:autoSpaceDE w:val="0"/>
        <w:autoSpaceDN w:val="0"/>
        <w:adjustRightInd w:val="0"/>
        <w:ind w:firstLine="709"/>
        <w:jc w:val="both"/>
        <w:rPr>
          <w:iCs/>
        </w:rPr>
      </w:pPr>
      <w:r w:rsidRPr="009118AB">
        <w:rPr>
          <w:iCs/>
        </w:rPr>
        <w:t xml:space="preserve">[10. Tax-Shelter-Bescheinigung: eine Steuerbescheinigung oder einen Teil dieser Steuerbescheinigung, die/der vom Föderalen Öffentlichen Dienst Finanzen [...] auf Antrag einer in Betracht kommenden Produktionsgesellschaft gemäß den in </w:t>
      </w:r>
      <w:r w:rsidR="00D67EB8" w:rsidRPr="009118AB">
        <w:rPr>
          <w:iCs/>
        </w:rPr>
        <w:t>§ </w:t>
      </w:r>
      <w:r w:rsidRPr="009118AB">
        <w:rPr>
          <w:iCs/>
        </w:rPr>
        <w:t xml:space="preserve">7 vorgesehenen Modalitäten und Bedingungen[, die vom König ergänzt werden können,] [...] ausgestellt wird auf der Grundlage eines in </w:t>
      </w:r>
      <w:r w:rsidR="00D67EB8" w:rsidRPr="009118AB">
        <w:rPr>
          <w:iCs/>
        </w:rPr>
        <w:t>Nr. </w:t>
      </w:r>
      <w:r w:rsidRPr="009118AB">
        <w:rPr>
          <w:iCs/>
        </w:rPr>
        <w:t xml:space="preserve">5 erwähnten Rahmenübereinkommens und der Ausgaben, die für die Durchführung der Produktion und die Verwertung eines in </w:t>
      </w:r>
      <w:r w:rsidR="00D67EB8" w:rsidRPr="009118AB">
        <w:rPr>
          <w:iCs/>
        </w:rPr>
        <w:t>Nr. </w:t>
      </w:r>
      <w:r w:rsidRPr="009118AB">
        <w:rPr>
          <w:iCs/>
        </w:rPr>
        <w:t>4 bestimmten in Betracht kommenden Werks getätigt worden sind. [...] Die Tax-Shelter-Bescheinigung wird von dem in Betracht kommenden Anleger aufbewahrt. [...]]</w:t>
      </w:r>
    </w:p>
    <w:p w14:paraId="1718B1FA" w14:textId="77777777" w:rsidR="00D833C6" w:rsidRPr="009118AB" w:rsidRDefault="00D833C6" w:rsidP="00D833C6">
      <w:pPr>
        <w:autoSpaceDE w:val="0"/>
        <w:autoSpaceDN w:val="0"/>
        <w:adjustRightInd w:val="0"/>
        <w:jc w:val="both"/>
        <w:rPr>
          <w:iCs/>
        </w:rPr>
      </w:pPr>
    </w:p>
    <w:p w14:paraId="29708BAE" w14:textId="77777777" w:rsidR="00D833C6" w:rsidRPr="009118AB" w:rsidRDefault="00D833C6" w:rsidP="00866B3D">
      <w:pPr>
        <w:autoSpaceDE w:val="0"/>
        <w:autoSpaceDN w:val="0"/>
        <w:adjustRightInd w:val="0"/>
        <w:ind w:firstLine="709"/>
        <w:jc w:val="both"/>
        <w:rPr>
          <w:iCs/>
        </w:rPr>
      </w:pPr>
      <w:r w:rsidRPr="009118AB">
        <w:rPr>
          <w:iCs/>
        </w:rPr>
        <w:t>[…]</w:t>
      </w:r>
    </w:p>
    <w:p w14:paraId="5DAB4D1A" w14:textId="77777777" w:rsidR="00D833C6" w:rsidRPr="009118AB" w:rsidRDefault="00D833C6" w:rsidP="00D833C6">
      <w:pPr>
        <w:autoSpaceDE w:val="0"/>
        <w:autoSpaceDN w:val="0"/>
        <w:adjustRightInd w:val="0"/>
        <w:jc w:val="both"/>
        <w:rPr>
          <w:iCs/>
        </w:rPr>
      </w:pPr>
    </w:p>
    <w:p w14:paraId="0FB9D5CF" w14:textId="5BA0285C" w:rsidR="00D833C6" w:rsidRPr="009118AB" w:rsidRDefault="00D833C6" w:rsidP="00866B3D">
      <w:pPr>
        <w:autoSpaceDE w:val="0"/>
        <w:autoSpaceDN w:val="0"/>
        <w:adjustRightInd w:val="0"/>
        <w:ind w:firstLine="709"/>
        <w:jc w:val="both"/>
        <w:rPr>
          <w:iCs/>
        </w:rPr>
      </w:pPr>
      <w:r w:rsidRPr="009118AB">
        <w:rPr>
          <w:iCs/>
        </w:rPr>
        <w:t xml:space="preserve">In Abweichung [von [Absatz 1 </w:t>
      </w:r>
      <w:r w:rsidR="00D67EB8" w:rsidRPr="009118AB">
        <w:rPr>
          <w:iCs/>
        </w:rPr>
        <w:t>Nr. </w:t>
      </w:r>
      <w:r w:rsidRPr="009118AB">
        <w:rPr>
          <w:iCs/>
        </w:rPr>
        <w:t xml:space="preserve">7]] werden Ausgaben, wenn sie für den Empfänger die Vergütung von Dienstleistungen darstellen und wenn der Empfänger einen oder mehrere Subunternehmer mit der Erbringung dieser Dienstleistungen beauftragt, nur als in Belgien getätigte Ausgaben betrachtet, wenn die Vergütung der Dienstleistungen des oder der </w:t>
      </w:r>
      <w:r w:rsidRPr="009118AB">
        <w:rPr>
          <w:iCs/>
        </w:rPr>
        <w:lastRenderedPageBreak/>
        <w:t>Subunternehmer 10 Prozent der Ausgaben nicht übersteigt. Diese Bedingung gilt als erfüllt, wenn der Empfänger sich sowohl gegenüber der Produktionsgesellschaft als auch gegenüber der Föderalbehörde schriftlich dazu verpflichtet hat.</w:t>
      </w:r>
    </w:p>
    <w:p w14:paraId="674C273C" w14:textId="77777777" w:rsidR="00D833C6" w:rsidRPr="009118AB" w:rsidRDefault="00D833C6" w:rsidP="00D833C6">
      <w:pPr>
        <w:autoSpaceDE w:val="0"/>
        <w:autoSpaceDN w:val="0"/>
        <w:adjustRightInd w:val="0"/>
        <w:jc w:val="both"/>
        <w:rPr>
          <w:iCs/>
        </w:rPr>
      </w:pPr>
    </w:p>
    <w:p w14:paraId="6F8A1C1C" w14:textId="77777777" w:rsidR="00D833C6" w:rsidRPr="009118AB" w:rsidRDefault="00D833C6" w:rsidP="00866B3D">
      <w:pPr>
        <w:autoSpaceDE w:val="0"/>
        <w:autoSpaceDN w:val="0"/>
        <w:adjustRightInd w:val="0"/>
        <w:ind w:firstLine="709"/>
        <w:jc w:val="both"/>
        <w:rPr>
          <w:iCs/>
        </w:rPr>
      </w:pPr>
      <w:r w:rsidRPr="009118AB">
        <w:rPr>
          <w:iCs/>
        </w:rPr>
        <w:t>Für die Berechnung des [in Absatz 2 vorgesehenen] Prozentsatzes werden Vergütungen für Subunternehmer, die als in Belgien getätigte Ausgaben hätten betrachtet werden können, wenn diese Subunternehmer direkt einen Vertrag mit der Produktionsgesellschaft abgeschlossen hätten, nicht berücksichtigt.</w:t>
      </w:r>
    </w:p>
    <w:p w14:paraId="20654CEB" w14:textId="77777777" w:rsidR="00D833C6" w:rsidRPr="009118AB" w:rsidRDefault="00D833C6" w:rsidP="00D833C6">
      <w:pPr>
        <w:autoSpaceDE w:val="0"/>
        <w:autoSpaceDN w:val="0"/>
        <w:adjustRightInd w:val="0"/>
        <w:jc w:val="both"/>
        <w:rPr>
          <w:iCs/>
        </w:rPr>
      </w:pPr>
    </w:p>
    <w:p w14:paraId="3C959B6F" w14:textId="77777777" w:rsidR="003B484D" w:rsidRPr="009118AB" w:rsidRDefault="003B484D" w:rsidP="003B484D">
      <w:pPr>
        <w:autoSpaceDE w:val="0"/>
        <w:autoSpaceDN w:val="0"/>
        <w:adjustRightInd w:val="0"/>
        <w:ind w:firstLine="709"/>
        <w:jc w:val="both"/>
        <w:rPr>
          <w:iCs/>
        </w:rPr>
      </w:pPr>
      <w:r w:rsidRPr="009118AB">
        <w:rPr>
          <w:iCs/>
        </w:rPr>
        <w:t xml:space="preserve">[…] </w:t>
      </w:r>
    </w:p>
    <w:p w14:paraId="07A7E578" w14:textId="77777777" w:rsidR="00D833C6" w:rsidRPr="009118AB" w:rsidRDefault="00D833C6" w:rsidP="00D833C6">
      <w:pPr>
        <w:autoSpaceDE w:val="0"/>
        <w:autoSpaceDN w:val="0"/>
        <w:adjustRightInd w:val="0"/>
        <w:jc w:val="both"/>
        <w:rPr>
          <w:iCs/>
        </w:rPr>
      </w:pPr>
    </w:p>
    <w:p w14:paraId="51387C54" w14:textId="77777777" w:rsidR="00470E84" w:rsidRPr="009118AB" w:rsidRDefault="00470E84" w:rsidP="00470E84">
      <w:pPr>
        <w:autoSpaceDE w:val="0"/>
        <w:autoSpaceDN w:val="0"/>
        <w:adjustRightInd w:val="0"/>
        <w:ind w:firstLine="709"/>
        <w:jc w:val="both"/>
        <w:rPr>
          <w:iCs/>
        </w:rPr>
      </w:pPr>
      <w:r w:rsidRPr="009118AB">
        <w:rPr>
          <w:iCs/>
        </w:rPr>
        <w:t xml:space="preserve">[…] </w:t>
      </w:r>
    </w:p>
    <w:p w14:paraId="56439680" w14:textId="77777777" w:rsidR="00D833C6" w:rsidRPr="009118AB" w:rsidRDefault="00D833C6" w:rsidP="00D833C6">
      <w:pPr>
        <w:autoSpaceDE w:val="0"/>
        <w:autoSpaceDN w:val="0"/>
        <w:adjustRightInd w:val="0"/>
        <w:jc w:val="both"/>
        <w:rPr>
          <w:iCs/>
        </w:rPr>
      </w:pPr>
    </w:p>
    <w:p w14:paraId="79F19D6A" w14:textId="77777777" w:rsidR="00D833C6" w:rsidRPr="009118AB" w:rsidRDefault="00D833C6" w:rsidP="00866B3D">
      <w:pPr>
        <w:autoSpaceDE w:val="0"/>
        <w:autoSpaceDN w:val="0"/>
        <w:adjustRightInd w:val="0"/>
        <w:ind w:firstLine="709"/>
        <w:jc w:val="both"/>
        <w:rPr>
          <w:iCs/>
        </w:rPr>
      </w:pPr>
      <w:r w:rsidRPr="009118AB">
        <w:rPr>
          <w:iCs/>
        </w:rPr>
        <w:t xml:space="preserve">[…] </w:t>
      </w:r>
    </w:p>
    <w:p w14:paraId="4530E172" w14:textId="77777777" w:rsidR="00D833C6" w:rsidRPr="009118AB" w:rsidRDefault="00D833C6" w:rsidP="00D833C6">
      <w:pPr>
        <w:autoSpaceDE w:val="0"/>
        <w:autoSpaceDN w:val="0"/>
        <w:adjustRightInd w:val="0"/>
        <w:jc w:val="both"/>
        <w:rPr>
          <w:iCs/>
        </w:rPr>
      </w:pPr>
    </w:p>
    <w:p w14:paraId="7F45A8A7" w14:textId="77777777" w:rsidR="00D833C6" w:rsidRPr="009118AB" w:rsidRDefault="00D833C6" w:rsidP="00866B3D">
      <w:pPr>
        <w:autoSpaceDE w:val="0"/>
        <w:autoSpaceDN w:val="0"/>
        <w:adjustRightInd w:val="0"/>
        <w:ind w:firstLine="709"/>
        <w:jc w:val="both"/>
        <w:rPr>
          <w:iCs/>
        </w:rPr>
      </w:pPr>
      <w:r w:rsidRPr="009118AB">
        <w:rPr>
          <w:iCs/>
        </w:rPr>
        <w:t xml:space="preserve">[…] </w:t>
      </w:r>
    </w:p>
    <w:p w14:paraId="2E64117F" w14:textId="77777777" w:rsidR="00D833C6" w:rsidRPr="009118AB" w:rsidRDefault="00D833C6" w:rsidP="00D833C6">
      <w:pPr>
        <w:autoSpaceDE w:val="0"/>
        <w:autoSpaceDN w:val="0"/>
        <w:adjustRightInd w:val="0"/>
        <w:jc w:val="both"/>
        <w:rPr>
          <w:iCs/>
        </w:rPr>
      </w:pPr>
    </w:p>
    <w:p w14:paraId="4FFFEE4E" w14:textId="77777777" w:rsidR="00D833C6" w:rsidRPr="009118AB" w:rsidRDefault="00D833C6" w:rsidP="00866B3D">
      <w:pPr>
        <w:autoSpaceDE w:val="0"/>
        <w:autoSpaceDN w:val="0"/>
        <w:adjustRightInd w:val="0"/>
        <w:ind w:firstLine="709"/>
        <w:jc w:val="both"/>
        <w:rPr>
          <w:iCs/>
        </w:rPr>
      </w:pPr>
      <w:r w:rsidRPr="009118AB">
        <w:rPr>
          <w:iCs/>
        </w:rPr>
        <w:t xml:space="preserve">[…] </w:t>
      </w:r>
    </w:p>
    <w:p w14:paraId="286616E1" w14:textId="77777777" w:rsidR="00D833C6" w:rsidRPr="009118AB" w:rsidRDefault="00D833C6" w:rsidP="00D833C6">
      <w:pPr>
        <w:autoSpaceDE w:val="0"/>
        <w:autoSpaceDN w:val="0"/>
        <w:adjustRightInd w:val="0"/>
        <w:jc w:val="both"/>
        <w:rPr>
          <w:iCs/>
        </w:rPr>
      </w:pPr>
    </w:p>
    <w:p w14:paraId="6F8888D5" w14:textId="77777777" w:rsidR="00D833C6" w:rsidRPr="009118AB" w:rsidRDefault="00D833C6" w:rsidP="00866B3D">
      <w:pPr>
        <w:autoSpaceDE w:val="0"/>
        <w:autoSpaceDN w:val="0"/>
        <w:adjustRightInd w:val="0"/>
        <w:ind w:firstLine="709"/>
        <w:jc w:val="both"/>
        <w:rPr>
          <w:iCs/>
        </w:rPr>
      </w:pPr>
      <w:r w:rsidRPr="009118AB">
        <w:rPr>
          <w:iCs/>
        </w:rPr>
        <w:t xml:space="preserve">[…] </w:t>
      </w:r>
    </w:p>
    <w:p w14:paraId="63F63E13" w14:textId="77777777" w:rsidR="00D833C6" w:rsidRPr="009118AB" w:rsidRDefault="00D833C6" w:rsidP="00D833C6">
      <w:pPr>
        <w:autoSpaceDE w:val="0"/>
        <w:autoSpaceDN w:val="0"/>
        <w:adjustRightInd w:val="0"/>
        <w:jc w:val="both"/>
        <w:rPr>
          <w:iCs/>
        </w:rPr>
      </w:pPr>
    </w:p>
    <w:p w14:paraId="78B851EA" w14:textId="74395336" w:rsidR="00D833C6" w:rsidRPr="009118AB" w:rsidRDefault="00D67EB8" w:rsidP="00866B3D">
      <w:pPr>
        <w:autoSpaceDE w:val="0"/>
        <w:autoSpaceDN w:val="0"/>
        <w:adjustRightInd w:val="0"/>
        <w:ind w:firstLine="709"/>
        <w:jc w:val="both"/>
        <w:rPr>
          <w:iCs/>
        </w:rPr>
      </w:pPr>
      <w:r w:rsidRPr="009118AB">
        <w:rPr>
          <w:iCs/>
        </w:rPr>
        <w:t>§ </w:t>
      </w:r>
      <w:r w:rsidR="00D833C6" w:rsidRPr="009118AB">
        <w:rPr>
          <w:iCs/>
        </w:rPr>
        <w:t>2</w:t>
      </w:r>
      <w:r w:rsidRPr="009118AB">
        <w:rPr>
          <w:iCs/>
        </w:rPr>
        <w:t> - </w:t>
      </w:r>
      <w:r w:rsidR="00D833C6" w:rsidRPr="009118AB">
        <w:rPr>
          <w:iCs/>
        </w:rPr>
        <w:t>[Für einen in Betracht kommenden Anleger wird der steuerpflichtige Gewinn für den Besteuerungszeitraum, in dem das Rahmenübereinkommen unterzeichnet wird, in Grenzen und unter Bedingungen, die nachstehend festgelegt werden, vorläufig von der Steuer befreit zu [421 Prozent] der Summen, zu deren Zahlung der Anleger sich [in Ausführung dieses Rahmen</w:t>
      </w:r>
      <w:r w:rsidR="00D833C6" w:rsidRPr="009118AB">
        <w:rPr>
          <w:iCs/>
        </w:rPr>
        <w:softHyphen/>
        <w:t>übereinkommens] verpflichtet hat, sofern sie tatsächlich von diesem Anleger binnen drei Monaten nach der Unterschrift dieses Rahmenübereinkommens gezahlt worden sind.]</w:t>
      </w:r>
    </w:p>
    <w:p w14:paraId="522B773E" w14:textId="77777777" w:rsidR="00D833C6" w:rsidRPr="009118AB" w:rsidRDefault="00D833C6" w:rsidP="00D833C6">
      <w:pPr>
        <w:autoSpaceDE w:val="0"/>
        <w:autoSpaceDN w:val="0"/>
        <w:adjustRightInd w:val="0"/>
        <w:jc w:val="both"/>
        <w:rPr>
          <w:iCs/>
        </w:rPr>
      </w:pPr>
    </w:p>
    <w:p w14:paraId="688A5B77" w14:textId="13B6CDF8" w:rsidR="00D833C6" w:rsidRPr="009118AB" w:rsidRDefault="00D67EB8" w:rsidP="00866B3D">
      <w:pPr>
        <w:autoSpaceDE w:val="0"/>
        <w:autoSpaceDN w:val="0"/>
        <w:adjustRightInd w:val="0"/>
        <w:ind w:firstLine="709"/>
        <w:jc w:val="both"/>
        <w:rPr>
          <w:iCs/>
        </w:rPr>
      </w:pPr>
      <w:r w:rsidRPr="009118AB">
        <w:rPr>
          <w:iCs/>
        </w:rPr>
        <w:t>§ </w:t>
      </w:r>
      <w:r w:rsidR="00D833C6" w:rsidRPr="009118AB">
        <w:rPr>
          <w:iCs/>
        </w:rPr>
        <w:t>3</w:t>
      </w:r>
      <w:r w:rsidRPr="009118AB">
        <w:rPr>
          <w:iCs/>
        </w:rPr>
        <w:t> - </w:t>
      </w:r>
      <w:r w:rsidR="00D833C6" w:rsidRPr="009118AB">
        <w:rPr>
          <w:iCs/>
        </w:rPr>
        <w:t xml:space="preserve">Pro Besteuerungszeitraum wird die in </w:t>
      </w:r>
      <w:r w:rsidRPr="009118AB">
        <w:rPr>
          <w:iCs/>
        </w:rPr>
        <w:t>§ </w:t>
      </w:r>
      <w:r w:rsidR="00D833C6" w:rsidRPr="009118AB">
        <w:rPr>
          <w:iCs/>
        </w:rPr>
        <w:t xml:space="preserve">2 vorgesehene Steuerbefreiung zu einem Betrag gewährt, der bei einem Höchstbetrag von 750.000 EUR auf 50 Prozent der steuerpflichtigen Gewinnrücklagen des Besteuerungszeitraums begrenzt ist, die vor Bildung der in </w:t>
      </w:r>
      <w:r w:rsidRPr="009118AB">
        <w:rPr>
          <w:iCs/>
        </w:rPr>
        <w:t>§ </w:t>
      </w:r>
      <w:r w:rsidR="00D833C6" w:rsidRPr="009118AB">
        <w:rPr>
          <w:iCs/>
        </w:rPr>
        <w:t>4 erwähnten steuerfreien Rücklage festgestellt wurden.</w:t>
      </w:r>
    </w:p>
    <w:p w14:paraId="1EE3CB2F" w14:textId="77777777" w:rsidR="00D833C6" w:rsidRPr="009118AB" w:rsidRDefault="00D833C6" w:rsidP="00D833C6">
      <w:pPr>
        <w:autoSpaceDE w:val="0"/>
        <w:autoSpaceDN w:val="0"/>
        <w:adjustRightInd w:val="0"/>
        <w:jc w:val="both"/>
        <w:rPr>
          <w:iCs/>
        </w:rPr>
      </w:pPr>
    </w:p>
    <w:p w14:paraId="23F69395" w14:textId="77777777" w:rsidR="00D833C6" w:rsidRPr="009118AB" w:rsidRDefault="00D833C6" w:rsidP="00866B3D">
      <w:pPr>
        <w:autoSpaceDE w:val="0"/>
        <w:autoSpaceDN w:val="0"/>
        <w:adjustRightInd w:val="0"/>
        <w:ind w:firstLine="709"/>
        <w:jc w:val="both"/>
        <w:rPr>
          <w:iCs/>
        </w:rPr>
      </w:pPr>
      <w:r w:rsidRPr="009118AB">
        <w:rPr>
          <w:iCs/>
        </w:rPr>
        <w:t>Gibt es keine oder unzureichende Gewinne in einem Besteuerungszeitraum, in dem Summen zur Ausführung des Rahmenübereinkommens verwendet werden, wird die für diesen Besteuerungszeitraum nicht gewährte Steuerbefreiung nacheinander auf die Gewinne der nachfolgenden Besteuerungszeiträume übertragen, ohne dass die Steuerbefreiung pro Besteuerungszeitraum die [in Absatz 1] vorgesehenen Grenzen übersteigen darf.</w:t>
      </w:r>
    </w:p>
    <w:p w14:paraId="458875DF" w14:textId="77777777" w:rsidR="00D833C6" w:rsidRPr="009118AB" w:rsidRDefault="00D833C6" w:rsidP="00D833C6">
      <w:pPr>
        <w:autoSpaceDE w:val="0"/>
        <w:autoSpaceDN w:val="0"/>
        <w:adjustRightInd w:val="0"/>
        <w:jc w:val="both"/>
        <w:rPr>
          <w:iCs/>
        </w:rPr>
      </w:pPr>
    </w:p>
    <w:p w14:paraId="1F1ED570" w14:textId="77777777" w:rsidR="00D833C6" w:rsidRPr="009118AB" w:rsidRDefault="00D833C6" w:rsidP="00866B3D">
      <w:pPr>
        <w:autoSpaceDE w:val="0"/>
        <w:autoSpaceDN w:val="0"/>
        <w:adjustRightInd w:val="0"/>
        <w:ind w:firstLine="709"/>
        <w:jc w:val="both"/>
        <w:rPr>
          <w:iCs/>
        </w:rPr>
      </w:pPr>
      <w:r w:rsidRPr="009118AB">
        <w:rPr>
          <w:iCs/>
        </w:rPr>
        <w:t>[...]</w:t>
      </w:r>
    </w:p>
    <w:p w14:paraId="7CEEF2F7" w14:textId="19001A84" w:rsidR="00D833C6" w:rsidRPr="009118AB" w:rsidRDefault="00D833C6" w:rsidP="00D833C6">
      <w:pPr>
        <w:autoSpaceDE w:val="0"/>
        <w:autoSpaceDN w:val="0"/>
        <w:adjustRightInd w:val="0"/>
        <w:jc w:val="both"/>
        <w:rPr>
          <w:iCs/>
        </w:rPr>
      </w:pPr>
    </w:p>
    <w:p w14:paraId="3D02D5D7" w14:textId="77777777" w:rsidR="00C5158F" w:rsidRDefault="00C5158F">
      <w:pPr>
        <w:rPr>
          <w:iCs/>
        </w:rPr>
      </w:pPr>
      <w:r>
        <w:rPr>
          <w:iCs/>
        </w:rPr>
        <w:br w:type="page"/>
      </w:r>
    </w:p>
    <w:p w14:paraId="205C91AD" w14:textId="0526CFE9" w:rsidR="00EC2C95" w:rsidRPr="009118AB" w:rsidRDefault="00EC2C95" w:rsidP="00EC2C95">
      <w:pPr>
        <w:ind w:firstLine="708"/>
        <w:jc w:val="both"/>
      </w:pPr>
      <w:r w:rsidRPr="009118AB">
        <w:rPr>
          <w:iCs/>
        </w:rPr>
        <w:lastRenderedPageBreak/>
        <w:tab/>
        <w:t>[</w:t>
      </w:r>
      <w:r w:rsidRPr="009118AB">
        <w:t xml:space="preserve">Ein in Betracht kommender Anleger, der in einem Besteuerungszeitraum, für den der in Artikel 215 Absatz 1 erwähnte Gesellschaftssteuersatz auf 33 Prozent festgelegt wird, Summen gezahlt hat, im Besteuerungszeitraum aber unzureichende Gewinne hat, um die in </w:t>
      </w:r>
      <w:r w:rsidR="00D67EB8" w:rsidRPr="009118AB">
        <w:t>§ </w:t>
      </w:r>
      <w:r w:rsidRPr="009118AB">
        <w:t>2 erwähnte Steuerbefreiung durchzuführen, und für den daher gemäß Absatz 2 die nicht gewährte Steuerbefreiung nacheinander auf die nachfolgenden Besteuerungszeiträume übertragen wird, kann auf die erste Übertragung dieser nicht gewährten Steuerbefreiung einen Multiplikations</w:t>
      </w:r>
      <w:r w:rsidRPr="009118AB">
        <w:softHyphen/>
        <w:t>koeffizienten anwenden von:</w:t>
      </w:r>
    </w:p>
    <w:p w14:paraId="1A4D533F" w14:textId="77777777" w:rsidR="00EC2C95" w:rsidRPr="009118AB" w:rsidRDefault="00EC2C95" w:rsidP="00EC2C95">
      <w:pPr>
        <w:jc w:val="both"/>
      </w:pPr>
    </w:p>
    <w:p w14:paraId="237F509C" w14:textId="77777777" w:rsidR="00EC2C95" w:rsidRPr="009118AB" w:rsidRDefault="00EC2C95" w:rsidP="00EC2C95">
      <w:pPr>
        <w:ind w:firstLine="708"/>
        <w:jc w:val="both"/>
      </w:pPr>
      <w:r w:rsidRPr="009118AB">
        <w:t>- 356/310, wenn der Gesellschaftssteuersatz für den Besteuerungszeitraum, auf den der nicht durchgeführte Teil der Steuerbefreiung übertragen wird, auf 29 Prozent festgelegt wird,</w:t>
      </w:r>
    </w:p>
    <w:p w14:paraId="66443767" w14:textId="77777777" w:rsidR="00EC2C95" w:rsidRPr="009118AB" w:rsidRDefault="00EC2C95" w:rsidP="00EC2C95">
      <w:pPr>
        <w:jc w:val="both"/>
      </w:pPr>
    </w:p>
    <w:p w14:paraId="620E563D" w14:textId="77777777" w:rsidR="00EC2C95" w:rsidRPr="009118AB" w:rsidRDefault="00EC2C95" w:rsidP="00EC2C95">
      <w:pPr>
        <w:ind w:firstLine="708"/>
        <w:jc w:val="both"/>
      </w:pPr>
      <w:r w:rsidRPr="009118AB">
        <w:t>- 421/310, wenn der Gesellschaftssteuersatz für den Besteuerungszeitraum, auf den der nicht durchgeführte Teil der Steuerbefreiung übertragen wird, auf 25 Prozent festgelegt wird.</w:t>
      </w:r>
    </w:p>
    <w:p w14:paraId="5B0F4A9C" w14:textId="77777777" w:rsidR="00EC2C95" w:rsidRPr="009118AB" w:rsidRDefault="00EC2C95" w:rsidP="00EC2C95">
      <w:pPr>
        <w:jc w:val="both"/>
      </w:pPr>
    </w:p>
    <w:p w14:paraId="74AE2473" w14:textId="4F48ED73" w:rsidR="00EC2C95" w:rsidRPr="009118AB" w:rsidRDefault="00EC2C95" w:rsidP="00EC2C95">
      <w:pPr>
        <w:ind w:firstLine="708"/>
        <w:jc w:val="both"/>
      </w:pPr>
      <w:r w:rsidRPr="009118AB">
        <w:t xml:space="preserve">Ein in Betracht kommender Anleger, der in einem Besteuerungszeitraum, für den der in Artikel 215 Absatz 1 erwähnte Gesellschaftssteuersatz auf 29 Prozent festgelegt wird, Summen gezahlt hat, im Besteuerungszeitraum aber unzureichende Gewinne hat, um die in </w:t>
      </w:r>
      <w:r w:rsidR="00D67EB8" w:rsidRPr="009118AB">
        <w:t>§ </w:t>
      </w:r>
      <w:r w:rsidRPr="009118AB">
        <w:t>2 erwähnte Steuerbefreiung durchzuführen, und für den daher gemäß Absatz 2 die nicht gewährte Steuerbefreiung nacheinander auf die nachfolgenden Besteuerungszeiträume übertragen wird, kann auf die erste Übertragung dieser nicht gewährten Steuerbefreiung einen Multiplikationskoeffizienten von 421/356 anwenden, wenn der Gesellschaftssteuersatz für den Besteuerungszeitraum, auf den der nicht durchgeführte Teil der Steuerbefreiung übertragen wird, auf 25 Prozent festgelegt wird.</w:t>
      </w:r>
    </w:p>
    <w:p w14:paraId="57B9518D" w14:textId="77777777" w:rsidR="00EC2C95" w:rsidRPr="009118AB" w:rsidRDefault="00EC2C95" w:rsidP="00EC2C95">
      <w:pPr>
        <w:jc w:val="both"/>
      </w:pPr>
    </w:p>
    <w:p w14:paraId="7B7A7F23" w14:textId="77777777" w:rsidR="00EC2C95" w:rsidRPr="009118AB" w:rsidRDefault="00EC2C95" w:rsidP="00EC2C95">
      <w:pPr>
        <w:ind w:firstLine="708"/>
        <w:jc w:val="both"/>
      </w:pPr>
      <w:r w:rsidRPr="009118AB">
        <w:t>Für den Besteuerungszeitraum, für den der in Artikel 215 Absatz 1 erwähnte Gesellschaftssteuersatz auf 29 Prozent festgelegt wird, wird der in Absatz 1 erwähnte Höchstbetrag auf 850.000 EUR angehoben.</w:t>
      </w:r>
    </w:p>
    <w:p w14:paraId="256C57A7" w14:textId="77777777" w:rsidR="00EC2C95" w:rsidRPr="009118AB" w:rsidRDefault="00EC2C95" w:rsidP="00EC2C95">
      <w:pPr>
        <w:jc w:val="both"/>
      </w:pPr>
    </w:p>
    <w:p w14:paraId="3405F453" w14:textId="5DE4021B" w:rsidR="00EC2C95" w:rsidRPr="009118AB" w:rsidRDefault="00EC2C95" w:rsidP="00EC2C95">
      <w:pPr>
        <w:autoSpaceDE w:val="0"/>
        <w:autoSpaceDN w:val="0"/>
        <w:adjustRightInd w:val="0"/>
        <w:ind w:firstLine="708"/>
        <w:jc w:val="both"/>
        <w:rPr>
          <w:iCs/>
        </w:rPr>
      </w:pPr>
      <w:r w:rsidRPr="009118AB">
        <w:t>Für den Besteuerungszeitraum, für den der in Artikel 215 Absatz 1 erwähnte Gesellschaftssteuersatz auf 25 Prozent festgelegt wird, wird der in Absatz 1 erwähnte Höchstbetrag auf 1.000.000 EUR angehoben.</w:t>
      </w:r>
      <w:r w:rsidRPr="009118AB">
        <w:rPr>
          <w:iCs/>
        </w:rPr>
        <w:t>]</w:t>
      </w:r>
    </w:p>
    <w:p w14:paraId="0F31A532" w14:textId="77777777" w:rsidR="00EC2C95" w:rsidRPr="009118AB" w:rsidRDefault="00EC2C95" w:rsidP="00EC2C95">
      <w:pPr>
        <w:autoSpaceDE w:val="0"/>
        <w:autoSpaceDN w:val="0"/>
        <w:adjustRightInd w:val="0"/>
        <w:jc w:val="both"/>
        <w:rPr>
          <w:iCs/>
        </w:rPr>
      </w:pPr>
    </w:p>
    <w:p w14:paraId="75EBE04B" w14:textId="4885F2D6" w:rsidR="00D833C6" w:rsidRPr="009118AB" w:rsidRDefault="00D67EB8" w:rsidP="00866B3D">
      <w:pPr>
        <w:autoSpaceDE w:val="0"/>
        <w:autoSpaceDN w:val="0"/>
        <w:adjustRightInd w:val="0"/>
        <w:ind w:firstLine="709"/>
        <w:jc w:val="both"/>
        <w:rPr>
          <w:iCs/>
        </w:rPr>
      </w:pPr>
      <w:r w:rsidRPr="009118AB">
        <w:rPr>
          <w:iCs/>
        </w:rPr>
        <w:t>§ </w:t>
      </w:r>
      <w:r w:rsidR="00D833C6" w:rsidRPr="009118AB">
        <w:rPr>
          <w:iCs/>
        </w:rPr>
        <w:t>4</w:t>
      </w:r>
      <w:r w:rsidRPr="009118AB">
        <w:rPr>
          <w:iCs/>
        </w:rPr>
        <w:t> - </w:t>
      </w:r>
      <w:r w:rsidR="00D833C6" w:rsidRPr="009118AB">
        <w:rPr>
          <w:iCs/>
        </w:rPr>
        <w:t>[Die Steuerbefreiung, die aufgrund der in Ausführung eines Rahmenüberein</w:t>
      </w:r>
      <w:r w:rsidR="00D833C6" w:rsidRPr="009118AB">
        <w:rPr>
          <w:iCs/>
        </w:rPr>
        <w:softHyphen/>
        <w:t>kommens im Hinblick auf den Erhalt der Tax-Shelter-Bescheinigung gezahlten Summen bewilligt wird, wird nur gewährt und beibehalten, wenn:]</w:t>
      </w:r>
    </w:p>
    <w:p w14:paraId="7508931B" w14:textId="77777777" w:rsidR="00D833C6" w:rsidRPr="009118AB" w:rsidRDefault="00D833C6" w:rsidP="00D833C6">
      <w:pPr>
        <w:autoSpaceDE w:val="0"/>
        <w:autoSpaceDN w:val="0"/>
        <w:adjustRightInd w:val="0"/>
        <w:jc w:val="both"/>
        <w:rPr>
          <w:iCs/>
        </w:rPr>
      </w:pPr>
    </w:p>
    <w:p w14:paraId="6500685F" w14:textId="6DA0BCE1" w:rsidR="00D833C6" w:rsidRPr="009118AB" w:rsidRDefault="00D833C6" w:rsidP="00866B3D">
      <w:pPr>
        <w:autoSpaceDE w:val="0"/>
        <w:autoSpaceDN w:val="0"/>
        <w:adjustRightInd w:val="0"/>
        <w:ind w:firstLine="709"/>
        <w:jc w:val="both"/>
        <w:rPr>
          <w:iCs/>
        </w:rPr>
      </w:pPr>
      <w:r w:rsidRPr="009118AB">
        <w:rPr>
          <w:iCs/>
        </w:rPr>
        <w:t xml:space="preserve">1. die [in </w:t>
      </w:r>
      <w:r w:rsidR="00D67EB8" w:rsidRPr="009118AB">
        <w:rPr>
          <w:iCs/>
        </w:rPr>
        <w:t>§ </w:t>
      </w:r>
      <w:r w:rsidRPr="009118AB">
        <w:rPr>
          <w:iCs/>
        </w:rPr>
        <w:t xml:space="preserve">2 erwähnten] steuerfreien Gewinne auf einem getrennten Konto der Passivseite der Bilanz gebucht sind und bleiben [bis zu dem Zeitpunkt, zu dem der Anleger gemäß den in </w:t>
      </w:r>
      <w:r w:rsidR="00D67EB8" w:rsidRPr="009118AB">
        <w:rPr>
          <w:iCs/>
        </w:rPr>
        <w:t>§ </w:t>
      </w:r>
      <w:r w:rsidRPr="009118AB">
        <w:rPr>
          <w:iCs/>
        </w:rPr>
        <w:t>5 erwähnten Fristen und Bedingungen die definitive Steuerbefreiung beansprucht],</w:t>
      </w:r>
    </w:p>
    <w:p w14:paraId="5BB0DE33" w14:textId="77777777" w:rsidR="00D833C6" w:rsidRPr="009118AB" w:rsidRDefault="00D833C6" w:rsidP="00D833C6">
      <w:pPr>
        <w:autoSpaceDE w:val="0"/>
        <w:autoSpaceDN w:val="0"/>
        <w:adjustRightInd w:val="0"/>
        <w:jc w:val="both"/>
        <w:rPr>
          <w:iCs/>
        </w:rPr>
      </w:pPr>
    </w:p>
    <w:p w14:paraId="2B4934A1" w14:textId="6750FFFA" w:rsidR="00D833C6" w:rsidRPr="009118AB" w:rsidRDefault="00D833C6" w:rsidP="00866B3D">
      <w:pPr>
        <w:autoSpaceDE w:val="0"/>
        <w:autoSpaceDN w:val="0"/>
        <w:adjustRightInd w:val="0"/>
        <w:ind w:firstLine="709"/>
        <w:jc w:val="both"/>
        <w:rPr>
          <w:iCs/>
        </w:rPr>
      </w:pPr>
      <w:r w:rsidRPr="009118AB">
        <w:rPr>
          <w:iCs/>
        </w:rPr>
        <w:t xml:space="preserve">2. die [in </w:t>
      </w:r>
      <w:r w:rsidR="00D67EB8" w:rsidRPr="009118AB">
        <w:rPr>
          <w:iCs/>
        </w:rPr>
        <w:t>§ </w:t>
      </w:r>
      <w:r w:rsidRPr="009118AB">
        <w:rPr>
          <w:iCs/>
        </w:rPr>
        <w:t>2 erwähnten] steuerfreien Gewinne nicht als Grundlage für die Berechnung von Entlohnungen oder Zuerkennungen dienen [bis zum Datum, an dem [die Tax-Shelter-Bescheinigung [vom Föderalen Öffentlichen Dienst Finanzen] ausgestellt wird]],</w:t>
      </w:r>
    </w:p>
    <w:p w14:paraId="3274BFC2" w14:textId="77777777" w:rsidR="00D833C6" w:rsidRPr="009118AB" w:rsidRDefault="00D833C6" w:rsidP="00D833C6">
      <w:pPr>
        <w:autoSpaceDE w:val="0"/>
        <w:autoSpaceDN w:val="0"/>
        <w:adjustRightInd w:val="0"/>
        <w:jc w:val="both"/>
        <w:rPr>
          <w:iCs/>
        </w:rPr>
      </w:pPr>
    </w:p>
    <w:p w14:paraId="43ED42F4" w14:textId="77777777" w:rsidR="00D833C6" w:rsidRPr="009118AB" w:rsidRDefault="00D833C6" w:rsidP="00866B3D">
      <w:pPr>
        <w:autoSpaceDE w:val="0"/>
        <w:autoSpaceDN w:val="0"/>
        <w:adjustRightInd w:val="0"/>
        <w:ind w:firstLine="709"/>
        <w:jc w:val="both"/>
        <w:rPr>
          <w:iCs/>
        </w:rPr>
      </w:pPr>
      <w:r w:rsidRPr="009118AB">
        <w:rPr>
          <w:iCs/>
        </w:rPr>
        <w:t>[…]</w:t>
      </w:r>
    </w:p>
    <w:p w14:paraId="002E5D71" w14:textId="77777777" w:rsidR="00D833C6" w:rsidRPr="009118AB" w:rsidRDefault="00D833C6" w:rsidP="00D833C6">
      <w:pPr>
        <w:autoSpaceDE w:val="0"/>
        <w:autoSpaceDN w:val="0"/>
        <w:adjustRightInd w:val="0"/>
        <w:jc w:val="both"/>
        <w:rPr>
          <w:iCs/>
        </w:rPr>
      </w:pPr>
    </w:p>
    <w:p w14:paraId="0DC36084" w14:textId="209E46C4" w:rsidR="00D833C6" w:rsidRPr="009118AB" w:rsidRDefault="00D833C6" w:rsidP="00866B3D">
      <w:pPr>
        <w:autoSpaceDE w:val="0"/>
        <w:autoSpaceDN w:val="0"/>
        <w:adjustRightInd w:val="0"/>
        <w:ind w:firstLine="709"/>
        <w:jc w:val="both"/>
        <w:rPr>
          <w:iCs/>
        </w:rPr>
      </w:pPr>
      <w:r w:rsidRPr="009118AB">
        <w:rPr>
          <w:iCs/>
        </w:rPr>
        <w:t xml:space="preserve">[3.] der Gesamtbetrag der Summen, die von sämtlichen [in Betracht kommenden Anlegern] in Ausführung dieses Übereinkommens unter Befreiung der Gewinne von der Steuer gemäß </w:t>
      </w:r>
      <w:r w:rsidR="00D67EB8" w:rsidRPr="009118AB">
        <w:rPr>
          <w:iCs/>
        </w:rPr>
        <w:t>§ </w:t>
      </w:r>
      <w:r w:rsidRPr="009118AB">
        <w:rPr>
          <w:iCs/>
        </w:rPr>
        <w:t xml:space="preserve">2 tatsächlich gezahlt wurden, 50 Prozent des Budgets der Gesamtausgaben für [das in </w:t>
      </w:r>
      <w:r w:rsidRPr="009118AB">
        <w:rPr>
          <w:iCs/>
        </w:rPr>
        <w:lastRenderedPageBreak/>
        <w:t>Betracht kommende Werk] nicht übersteigt und dieser Betrag tatsächlich zur Durchführung dieses Budgets verwendet wurde,</w:t>
      </w:r>
    </w:p>
    <w:p w14:paraId="1B5A5EBB" w14:textId="77777777" w:rsidR="00D833C6" w:rsidRPr="009118AB" w:rsidRDefault="00D833C6" w:rsidP="00D833C6">
      <w:pPr>
        <w:autoSpaceDE w:val="0"/>
        <w:autoSpaceDN w:val="0"/>
        <w:adjustRightInd w:val="0"/>
        <w:jc w:val="both"/>
        <w:rPr>
          <w:iCs/>
        </w:rPr>
      </w:pPr>
    </w:p>
    <w:p w14:paraId="74F0E54F" w14:textId="44E078D0" w:rsidR="00D833C6" w:rsidRPr="009118AB" w:rsidRDefault="00D833C6" w:rsidP="00866B3D">
      <w:pPr>
        <w:autoSpaceDE w:val="0"/>
        <w:autoSpaceDN w:val="0"/>
        <w:adjustRightInd w:val="0"/>
        <w:ind w:firstLine="709"/>
        <w:jc w:val="both"/>
        <w:rPr>
          <w:iCs/>
        </w:rPr>
      </w:pPr>
      <w:r w:rsidRPr="009118AB">
        <w:rPr>
          <w:iCs/>
        </w:rPr>
        <w:t xml:space="preserve">[4. die in </w:t>
      </w:r>
      <w:r w:rsidR="00D67EB8" w:rsidRPr="009118AB">
        <w:rPr>
          <w:iCs/>
        </w:rPr>
        <w:t>§ </w:t>
      </w:r>
      <w:r w:rsidRPr="009118AB">
        <w:rPr>
          <w:iCs/>
        </w:rPr>
        <w:t>2 erwähnten steuerfreien Gewinne auf [203 Prozent] des Betrags der definitiven Schätzung des Steuerwertes der Tax-Shelter-Bescheinigung wie im Rahmenüber</w:t>
      </w:r>
      <w:r w:rsidRPr="009118AB">
        <w:rPr>
          <w:iCs/>
        </w:rPr>
        <w:softHyphen/>
        <w:t>einkommen angegeben begrenzt sind</w:t>
      </w:r>
      <w:r w:rsidR="00E91898" w:rsidRPr="009118AB">
        <w:rPr>
          <w:iCs/>
        </w:rPr>
        <w:t>,</w:t>
      </w:r>
      <w:r w:rsidRPr="009118AB">
        <w:rPr>
          <w:iCs/>
        </w:rPr>
        <w:t>]</w:t>
      </w:r>
    </w:p>
    <w:p w14:paraId="5899EEA6" w14:textId="77777777" w:rsidR="00D833C6" w:rsidRPr="009118AB" w:rsidRDefault="00D833C6" w:rsidP="00D833C6">
      <w:pPr>
        <w:autoSpaceDE w:val="0"/>
        <w:autoSpaceDN w:val="0"/>
        <w:adjustRightInd w:val="0"/>
        <w:jc w:val="both"/>
        <w:rPr>
          <w:iCs/>
        </w:rPr>
      </w:pPr>
    </w:p>
    <w:p w14:paraId="24654653" w14:textId="3320C56F" w:rsidR="00D833C6" w:rsidRPr="009118AB" w:rsidRDefault="00D833C6" w:rsidP="00866B3D">
      <w:pPr>
        <w:autoSpaceDE w:val="0"/>
        <w:autoSpaceDN w:val="0"/>
        <w:adjustRightInd w:val="0"/>
        <w:ind w:firstLine="709"/>
        <w:jc w:val="both"/>
        <w:rPr>
          <w:iCs/>
        </w:rPr>
      </w:pPr>
      <w:r w:rsidRPr="009118AB">
        <w:rPr>
          <w:iCs/>
        </w:rPr>
        <w:t>5. [</w:t>
      </w:r>
      <w:r w:rsidR="00705368" w:rsidRPr="009118AB">
        <w:t>der Anleger zum Zeitpunkt des Abschlusses des Rahmenübereinkommens keiner Rückforderungsanordnung infolge eines Beschlusses der Europäischen Kommission zur Feststellung der Unzulässigkeit einer von Belgien gewährten Beihilfe und ihrer Unvereinbarkeit mit dem Binnenmarkt nachkommen muss,</w:t>
      </w:r>
      <w:r w:rsidRPr="009118AB">
        <w:rPr>
          <w:iCs/>
        </w:rPr>
        <w:t xml:space="preserve">] </w:t>
      </w:r>
    </w:p>
    <w:p w14:paraId="5C47A6D5" w14:textId="77777777" w:rsidR="00D833C6" w:rsidRPr="009118AB" w:rsidRDefault="00D833C6" w:rsidP="00D833C6">
      <w:pPr>
        <w:autoSpaceDE w:val="0"/>
        <w:autoSpaceDN w:val="0"/>
        <w:adjustRightInd w:val="0"/>
        <w:jc w:val="both"/>
        <w:rPr>
          <w:iCs/>
        </w:rPr>
      </w:pPr>
    </w:p>
    <w:p w14:paraId="43D81A90" w14:textId="77777777" w:rsidR="00D833C6" w:rsidRPr="009118AB" w:rsidRDefault="00D833C6" w:rsidP="00866B3D">
      <w:pPr>
        <w:autoSpaceDE w:val="0"/>
        <w:autoSpaceDN w:val="0"/>
        <w:adjustRightInd w:val="0"/>
        <w:ind w:firstLine="709"/>
        <w:jc w:val="both"/>
        <w:rPr>
          <w:iCs/>
        </w:rPr>
      </w:pPr>
      <w:r w:rsidRPr="009118AB">
        <w:rPr>
          <w:iCs/>
        </w:rPr>
        <w:t>[5</w:t>
      </w:r>
      <w:r w:rsidRPr="009118AB">
        <w:rPr>
          <w:i/>
          <w:iCs/>
        </w:rPr>
        <w:t>bis</w:t>
      </w:r>
      <w:r w:rsidRPr="009118AB">
        <w:rPr>
          <w:iCs/>
        </w:rPr>
        <w:t>. […]]</w:t>
      </w:r>
    </w:p>
    <w:p w14:paraId="547FD057" w14:textId="77777777" w:rsidR="00D833C6" w:rsidRPr="009118AB" w:rsidRDefault="00D833C6" w:rsidP="00D833C6">
      <w:pPr>
        <w:autoSpaceDE w:val="0"/>
        <w:autoSpaceDN w:val="0"/>
        <w:adjustRightInd w:val="0"/>
        <w:jc w:val="both"/>
        <w:rPr>
          <w:iCs/>
        </w:rPr>
      </w:pPr>
    </w:p>
    <w:p w14:paraId="46688521" w14:textId="77777777" w:rsidR="00D833C6" w:rsidRPr="009118AB" w:rsidRDefault="00D833C6" w:rsidP="00866B3D">
      <w:pPr>
        <w:autoSpaceDE w:val="0"/>
        <w:autoSpaceDN w:val="0"/>
        <w:adjustRightInd w:val="0"/>
        <w:ind w:firstLine="709"/>
        <w:jc w:val="both"/>
        <w:rPr>
          <w:iCs/>
        </w:rPr>
      </w:pPr>
      <w:r w:rsidRPr="009118AB">
        <w:rPr>
          <w:iCs/>
        </w:rPr>
        <w:t xml:space="preserve">6. […] </w:t>
      </w:r>
    </w:p>
    <w:p w14:paraId="32C80F91" w14:textId="77777777" w:rsidR="00D833C6" w:rsidRPr="009118AB" w:rsidRDefault="00D833C6" w:rsidP="00D833C6">
      <w:pPr>
        <w:autoSpaceDE w:val="0"/>
        <w:autoSpaceDN w:val="0"/>
        <w:adjustRightInd w:val="0"/>
        <w:jc w:val="both"/>
        <w:rPr>
          <w:iCs/>
        </w:rPr>
      </w:pPr>
    </w:p>
    <w:p w14:paraId="4009F994" w14:textId="77777777" w:rsidR="00D833C6" w:rsidRPr="009118AB" w:rsidRDefault="00D833C6" w:rsidP="00866B3D">
      <w:pPr>
        <w:autoSpaceDE w:val="0"/>
        <w:autoSpaceDN w:val="0"/>
        <w:adjustRightInd w:val="0"/>
        <w:ind w:firstLine="709"/>
        <w:jc w:val="both"/>
        <w:rPr>
          <w:iCs/>
        </w:rPr>
      </w:pPr>
      <w:r w:rsidRPr="009118AB">
        <w:rPr>
          <w:iCs/>
        </w:rPr>
        <w:t xml:space="preserve">7. […] </w:t>
      </w:r>
    </w:p>
    <w:p w14:paraId="59B87CAE" w14:textId="77777777" w:rsidR="00D833C6" w:rsidRPr="009118AB" w:rsidRDefault="00D833C6" w:rsidP="00D833C6">
      <w:pPr>
        <w:autoSpaceDE w:val="0"/>
        <w:autoSpaceDN w:val="0"/>
        <w:adjustRightInd w:val="0"/>
        <w:jc w:val="both"/>
        <w:rPr>
          <w:iCs/>
        </w:rPr>
      </w:pPr>
    </w:p>
    <w:p w14:paraId="1593F7DB" w14:textId="77777777" w:rsidR="00D833C6" w:rsidRPr="009118AB" w:rsidRDefault="00D833C6" w:rsidP="00866B3D">
      <w:pPr>
        <w:autoSpaceDE w:val="0"/>
        <w:autoSpaceDN w:val="0"/>
        <w:adjustRightInd w:val="0"/>
        <w:ind w:firstLine="709"/>
        <w:jc w:val="both"/>
        <w:rPr>
          <w:iCs/>
        </w:rPr>
      </w:pPr>
      <w:r w:rsidRPr="009118AB">
        <w:rPr>
          <w:iCs/>
        </w:rPr>
        <w:t>[7</w:t>
      </w:r>
      <w:r w:rsidRPr="009118AB">
        <w:rPr>
          <w:i/>
          <w:iCs/>
        </w:rPr>
        <w:t>bis</w:t>
      </w:r>
      <w:r w:rsidRPr="009118AB">
        <w:rPr>
          <w:iCs/>
        </w:rPr>
        <w:t>. […]]</w:t>
      </w:r>
    </w:p>
    <w:p w14:paraId="68983B76" w14:textId="77777777" w:rsidR="00D833C6" w:rsidRPr="009118AB" w:rsidRDefault="00D833C6" w:rsidP="00D833C6">
      <w:pPr>
        <w:autoSpaceDE w:val="0"/>
        <w:autoSpaceDN w:val="0"/>
        <w:adjustRightInd w:val="0"/>
        <w:jc w:val="both"/>
        <w:rPr>
          <w:iCs/>
        </w:rPr>
      </w:pPr>
    </w:p>
    <w:p w14:paraId="332E12D5" w14:textId="77777777" w:rsidR="00D833C6" w:rsidRPr="009118AB" w:rsidRDefault="00D833C6" w:rsidP="00866B3D">
      <w:pPr>
        <w:autoSpaceDE w:val="0"/>
        <w:autoSpaceDN w:val="0"/>
        <w:adjustRightInd w:val="0"/>
        <w:ind w:firstLine="709"/>
        <w:jc w:val="both"/>
        <w:rPr>
          <w:iCs/>
        </w:rPr>
      </w:pPr>
      <w:r w:rsidRPr="009118AB">
        <w:rPr>
          <w:iCs/>
        </w:rPr>
        <w:t xml:space="preserve">8. […] </w:t>
      </w:r>
    </w:p>
    <w:p w14:paraId="09953D9D" w14:textId="77777777" w:rsidR="00D833C6" w:rsidRPr="009118AB" w:rsidRDefault="00D833C6" w:rsidP="00D833C6">
      <w:pPr>
        <w:autoSpaceDE w:val="0"/>
        <w:autoSpaceDN w:val="0"/>
        <w:adjustRightInd w:val="0"/>
        <w:jc w:val="both"/>
        <w:rPr>
          <w:iCs/>
        </w:rPr>
      </w:pPr>
    </w:p>
    <w:p w14:paraId="3D696768" w14:textId="77777777" w:rsidR="00D833C6" w:rsidRPr="009118AB" w:rsidRDefault="00D833C6" w:rsidP="00866B3D">
      <w:pPr>
        <w:autoSpaceDE w:val="0"/>
        <w:autoSpaceDN w:val="0"/>
        <w:adjustRightInd w:val="0"/>
        <w:ind w:firstLine="709"/>
        <w:jc w:val="both"/>
        <w:rPr>
          <w:iCs/>
        </w:rPr>
      </w:pPr>
      <w:r w:rsidRPr="009118AB">
        <w:rPr>
          <w:iCs/>
        </w:rPr>
        <w:t>9. […].</w:t>
      </w:r>
    </w:p>
    <w:p w14:paraId="0FB0E38A" w14:textId="77777777" w:rsidR="00D833C6" w:rsidRPr="009118AB" w:rsidRDefault="00D833C6" w:rsidP="00D833C6">
      <w:pPr>
        <w:autoSpaceDE w:val="0"/>
        <w:autoSpaceDN w:val="0"/>
        <w:adjustRightInd w:val="0"/>
        <w:jc w:val="both"/>
        <w:rPr>
          <w:iCs/>
        </w:rPr>
      </w:pPr>
    </w:p>
    <w:p w14:paraId="1015E80C" w14:textId="77777777" w:rsidR="00D833C6" w:rsidRPr="009118AB" w:rsidRDefault="00D833C6" w:rsidP="00866B3D">
      <w:pPr>
        <w:autoSpaceDE w:val="0"/>
        <w:autoSpaceDN w:val="0"/>
        <w:adjustRightInd w:val="0"/>
        <w:ind w:firstLine="709"/>
        <w:jc w:val="both"/>
        <w:rPr>
          <w:iCs/>
        </w:rPr>
      </w:pPr>
      <w:r w:rsidRPr="009118AB">
        <w:rPr>
          <w:iCs/>
        </w:rPr>
        <w:t xml:space="preserve">[…] </w:t>
      </w:r>
    </w:p>
    <w:p w14:paraId="3373CFB4" w14:textId="77777777" w:rsidR="00D833C6" w:rsidRPr="009118AB" w:rsidRDefault="00D833C6" w:rsidP="00D833C6">
      <w:pPr>
        <w:autoSpaceDE w:val="0"/>
        <w:autoSpaceDN w:val="0"/>
        <w:adjustRightInd w:val="0"/>
        <w:jc w:val="both"/>
        <w:rPr>
          <w:iCs/>
        </w:rPr>
      </w:pPr>
    </w:p>
    <w:p w14:paraId="7CF400D5" w14:textId="77777777" w:rsidR="00D833C6" w:rsidRPr="009118AB" w:rsidRDefault="00D833C6" w:rsidP="00866B3D">
      <w:pPr>
        <w:autoSpaceDE w:val="0"/>
        <w:autoSpaceDN w:val="0"/>
        <w:adjustRightInd w:val="0"/>
        <w:ind w:firstLine="709"/>
        <w:jc w:val="both"/>
        <w:rPr>
          <w:iCs/>
        </w:rPr>
      </w:pPr>
      <w:r w:rsidRPr="009118AB">
        <w:rPr>
          <w:iCs/>
        </w:rPr>
        <w:t>[…]</w:t>
      </w:r>
    </w:p>
    <w:p w14:paraId="37D0E06B" w14:textId="77777777" w:rsidR="00D833C6" w:rsidRPr="009118AB" w:rsidRDefault="00D833C6" w:rsidP="00D833C6">
      <w:pPr>
        <w:autoSpaceDE w:val="0"/>
        <w:autoSpaceDN w:val="0"/>
        <w:adjustRightInd w:val="0"/>
        <w:jc w:val="both"/>
        <w:rPr>
          <w:iCs/>
        </w:rPr>
      </w:pPr>
    </w:p>
    <w:p w14:paraId="633E3838" w14:textId="092B5B4B" w:rsidR="00D833C6" w:rsidRPr="009118AB" w:rsidRDefault="00D833C6" w:rsidP="00866B3D">
      <w:pPr>
        <w:autoSpaceDE w:val="0"/>
        <w:autoSpaceDN w:val="0"/>
        <w:adjustRightInd w:val="0"/>
        <w:ind w:firstLine="709"/>
        <w:jc w:val="both"/>
        <w:rPr>
          <w:iCs/>
        </w:rPr>
      </w:pPr>
      <w:r w:rsidRPr="009118AB">
        <w:rPr>
          <w:iCs/>
        </w:rPr>
        <w:t>[</w:t>
      </w:r>
      <w:r w:rsidR="00D67EB8" w:rsidRPr="009118AB">
        <w:rPr>
          <w:iCs/>
        </w:rPr>
        <w:t>§ </w:t>
      </w:r>
      <w:r w:rsidRPr="009118AB">
        <w:rPr>
          <w:iCs/>
        </w:rPr>
        <w:t>4</w:t>
      </w:r>
      <w:r w:rsidRPr="009118AB">
        <w:rPr>
          <w:i/>
          <w:iCs/>
        </w:rPr>
        <w:t>bis</w:t>
      </w:r>
      <w:r w:rsidR="00D67EB8" w:rsidRPr="009118AB">
        <w:rPr>
          <w:iCs/>
        </w:rPr>
        <w:t> - </w:t>
      </w:r>
      <w:r w:rsidRPr="009118AB">
        <w:rPr>
          <w:iCs/>
        </w:rPr>
        <w:t>[…]]</w:t>
      </w:r>
    </w:p>
    <w:p w14:paraId="64FFA3E5" w14:textId="77777777" w:rsidR="00D833C6" w:rsidRPr="009118AB" w:rsidRDefault="00D833C6" w:rsidP="00D833C6">
      <w:pPr>
        <w:autoSpaceDE w:val="0"/>
        <w:autoSpaceDN w:val="0"/>
        <w:adjustRightInd w:val="0"/>
        <w:jc w:val="both"/>
        <w:rPr>
          <w:iCs/>
        </w:rPr>
      </w:pPr>
    </w:p>
    <w:p w14:paraId="3E3F6314" w14:textId="1D29B18F" w:rsidR="00D833C6" w:rsidRPr="009118AB" w:rsidRDefault="00D67EB8" w:rsidP="00866B3D">
      <w:pPr>
        <w:autoSpaceDE w:val="0"/>
        <w:autoSpaceDN w:val="0"/>
        <w:adjustRightInd w:val="0"/>
        <w:ind w:firstLine="709"/>
        <w:jc w:val="both"/>
        <w:rPr>
          <w:iCs/>
        </w:rPr>
      </w:pPr>
      <w:r w:rsidRPr="009118AB">
        <w:rPr>
          <w:iCs/>
        </w:rPr>
        <w:t>§ </w:t>
      </w:r>
      <w:r w:rsidR="00D833C6" w:rsidRPr="009118AB">
        <w:rPr>
          <w:iCs/>
        </w:rPr>
        <w:t>5</w:t>
      </w:r>
      <w:r w:rsidRPr="009118AB">
        <w:rPr>
          <w:iCs/>
        </w:rPr>
        <w:t> - </w:t>
      </w:r>
      <w:r w:rsidR="00D833C6" w:rsidRPr="009118AB">
        <w:rPr>
          <w:iCs/>
        </w:rPr>
        <w:t>[Die Steuerbefreiung wird nur definitiv, [wenn die Tax-Shelter-Bescheinigung vom Föderalen Öffentlichen Dienst Finanzen spätestens am 31. Dezember des vierten Jahres nach dem Jahr der Unterschrift des Rahmenübereinkommens tatsächlich ausgestellt wird].</w:t>
      </w:r>
    </w:p>
    <w:p w14:paraId="20C8DCC5" w14:textId="77777777" w:rsidR="00D833C6" w:rsidRPr="009118AB" w:rsidRDefault="00D833C6" w:rsidP="00D833C6">
      <w:pPr>
        <w:autoSpaceDE w:val="0"/>
        <w:autoSpaceDN w:val="0"/>
        <w:adjustRightInd w:val="0"/>
        <w:jc w:val="both"/>
        <w:rPr>
          <w:iCs/>
        </w:rPr>
      </w:pPr>
    </w:p>
    <w:p w14:paraId="54CA37A0" w14:textId="2C808CA5" w:rsidR="00D833C6" w:rsidRPr="009118AB" w:rsidRDefault="00D833C6" w:rsidP="00866B3D">
      <w:pPr>
        <w:autoSpaceDE w:val="0"/>
        <w:autoSpaceDN w:val="0"/>
        <w:adjustRightInd w:val="0"/>
        <w:ind w:firstLine="709"/>
        <w:jc w:val="both"/>
        <w:rPr>
          <w:iCs/>
        </w:rPr>
      </w:pPr>
      <w:r w:rsidRPr="009118AB">
        <w:rPr>
          <w:iCs/>
        </w:rPr>
        <w:t xml:space="preserve">Die Steuerbefreiung, die entweder aufgrund der Summen, die auf der Grundlage des Rahmenübereinkommens in dem in </w:t>
      </w:r>
      <w:r w:rsidR="00D67EB8" w:rsidRPr="009118AB">
        <w:rPr>
          <w:iCs/>
        </w:rPr>
        <w:t>§ </w:t>
      </w:r>
      <w:r w:rsidRPr="009118AB">
        <w:rPr>
          <w:iCs/>
        </w:rPr>
        <w:t xml:space="preserve">2 erwähnten Zeitraum tatsächlich gezahlt worden sind, oder aufgrund des Steuerwertes der Tax-Shelter-Bescheinigung und aufgrund der in </w:t>
      </w:r>
      <w:r w:rsidR="00D67EB8" w:rsidRPr="009118AB">
        <w:rPr>
          <w:iCs/>
        </w:rPr>
        <w:t>§ </w:t>
      </w:r>
      <w:r w:rsidRPr="009118AB">
        <w:rPr>
          <w:iCs/>
        </w:rPr>
        <w:t>3 Absatz 2 erwähnten Übertragung beansprucht wird, kann spätestens für das Steuerjahr bewilligt werden, [das sich auf den vierten Besteuerungszeitraum nach dem Jahr der Unterschrift des Rahmenüberein</w:t>
      </w:r>
      <w:r w:rsidRPr="009118AB">
        <w:rPr>
          <w:iCs/>
        </w:rPr>
        <w:softHyphen/>
        <w:t>kommens bezieht].</w:t>
      </w:r>
    </w:p>
    <w:p w14:paraId="6CC4C898" w14:textId="77777777" w:rsidR="00D833C6" w:rsidRPr="009118AB" w:rsidRDefault="00D833C6" w:rsidP="00D833C6">
      <w:pPr>
        <w:autoSpaceDE w:val="0"/>
        <w:autoSpaceDN w:val="0"/>
        <w:adjustRightInd w:val="0"/>
        <w:jc w:val="both"/>
        <w:rPr>
          <w:iCs/>
        </w:rPr>
      </w:pPr>
    </w:p>
    <w:p w14:paraId="54505665" w14:textId="75471B13" w:rsidR="00D833C6" w:rsidRPr="009118AB" w:rsidRDefault="00D833C6" w:rsidP="00866B3D">
      <w:pPr>
        <w:autoSpaceDE w:val="0"/>
        <w:autoSpaceDN w:val="0"/>
        <w:adjustRightInd w:val="0"/>
        <w:ind w:firstLine="709"/>
        <w:jc w:val="both"/>
        <w:rPr>
          <w:iCs/>
        </w:rPr>
      </w:pPr>
      <w:r w:rsidRPr="009118AB">
        <w:rPr>
          <w:iCs/>
        </w:rPr>
        <w:t xml:space="preserve">Die definitive Steuerbefreiung, die aufgrund der Summen, die aufgrund eines Rahmenübereinkommens im Hinblick auf den Erhalt der Tax-Shelter-Bescheinigung gezahlt worden sind, bewilligt wird, wird nur gewährt, wenn der Anleger für den Besteuerungszeitraum, in dem er die definitive Steuerbefreiung beansprucht, der Einkommensteuererklärung eine Abschrift der Tax-Shelter-Bescheinigung, die er gemäß </w:t>
      </w:r>
      <w:r w:rsidR="00D67EB8" w:rsidRPr="009118AB">
        <w:rPr>
          <w:iCs/>
        </w:rPr>
        <w:t>§ </w:t>
      </w:r>
      <w:r w:rsidRPr="009118AB">
        <w:rPr>
          <w:iCs/>
        </w:rPr>
        <w:t xml:space="preserve">1 Absatz 1 </w:t>
      </w:r>
      <w:r w:rsidR="00D67EB8" w:rsidRPr="009118AB">
        <w:rPr>
          <w:iCs/>
        </w:rPr>
        <w:t>Nr. </w:t>
      </w:r>
      <w:r w:rsidRPr="009118AB">
        <w:rPr>
          <w:iCs/>
        </w:rPr>
        <w:t xml:space="preserve">10 erhalten hat, beilegt und in dem Maße, wie pro Besteuerungszeitraum die Grenze und der Höchstbetrag erwähnt in </w:t>
      </w:r>
      <w:r w:rsidR="00D67EB8" w:rsidRPr="009118AB">
        <w:rPr>
          <w:iCs/>
        </w:rPr>
        <w:t>§ </w:t>
      </w:r>
      <w:r w:rsidRPr="009118AB">
        <w:rPr>
          <w:iCs/>
        </w:rPr>
        <w:t>3 eingehalten werden.]</w:t>
      </w:r>
    </w:p>
    <w:p w14:paraId="290F3F2D" w14:textId="77777777" w:rsidR="00D833C6" w:rsidRPr="009118AB" w:rsidRDefault="00D833C6" w:rsidP="00D833C6">
      <w:pPr>
        <w:autoSpaceDE w:val="0"/>
        <w:autoSpaceDN w:val="0"/>
        <w:adjustRightInd w:val="0"/>
        <w:jc w:val="both"/>
        <w:rPr>
          <w:iCs/>
        </w:rPr>
      </w:pPr>
    </w:p>
    <w:p w14:paraId="48F77D0F" w14:textId="467B5E9F" w:rsidR="00D833C6" w:rsidRPr="009118AB" w:rsidRDefault="00D67EB8" w:rsidP="00866B3D">
      <w:pPr>
        <w:autoSpaceDE w:val="0"/>
        <w:autoSpaceDN w:val="0"/>
        <w:adjustRightInd w:val="0"/>
        <w:ind w:firstLine="709"/>
        <w:jc w:val="both"/>
        <w:rPr>
          <w:iCs/>
        </w:rPr>
      </w:pPr>
      <w:r w:rsidRPr="009118AB">
        <w:rPr>
          <w:iCs/>
        </w:rPr>
        <w:lastRenderedPageBreak/>
        <w:t>§ </w:t>
      </w:r>
      <w:r w:rsidR="00D833C6" w:rsidRPr="009118AB">
        <w:rPr>
          <w:iCs/>
        </w:rPr>
        <w:t>6</w:t>
      </w:r>
      <w:r w:rsidRPr="009118AB">
        <w:rPr>
          <w:iCs/>
        </w:rPr>
        <w:t> - </w:t>
      </w:r>
      <w:r w:rsidR="00D833C6" w:rsidRPr="009118AB">
        <w:rPr>
          <w:iCs/>
        </w:rPr>
        <w:t>[Für den Zeitraum zwischen dem Datum der ersten Zahlung auf der Grundlage eines Rahmenübereinkommens und dem Zeitpunkt, zu dem die Tax-Shelter-Bescheinigung [...] ausgestellt wird, jedoch für höchstens achtzehn Monate kann die in Betracht kommende Produktionsgesellschaft dem in Betracht kommenden Anleger eine Summe zahlen, die auf die im Rahmen des Rahmenübereinkommens im Hinblick auf den Erhalt der Tax-Shelter-Bescheinigung tatsächlich getätigten Zahlungen berechnet wird im Verhältnis zu den abgelaufenen Tagen und aufgrund eines Höchstsatzes, der dem Durchschnitt des um vierhundertfünfzig Basispunkte erhöhten EURIBOR-Satzes für zwölf Monate des letzten Tages jedes Monats für das Kalenderhalbjahr [vor der von dem in Betracht kommenden Anleger getätigten Zahlung] entspricht.]</w:t>
      </w:r>
    </w:p>
    <w:p w14:paraId="59858EE0" w14:textId="77777777" w:rsidR="00D833C6" w:rsidRPr="009118AB" w:rsidRDefault="00D833C6" w:rsidP="00D833C6">
      <w:pPr>
        <w:autoSpaceDE w:val="0"/>
        <w:autoSpaceDN w:val="0"/>
        <w:adjustRightInd w:val="0"/>
        <w:jc w:val="both"/>
        <w:rPr>
          <w:iCs/>
        </w:rPr>
      </w:pPr>
    </w:p>
    <w:p w14:paraId="73C70CD3" w14:textId="73B2CBC8" w:rsidR="00D833C6" w:rsidRPr="009118AB" w:rsidRDefault="00D833C6" w:rsidP="00866B3D">
      <w:pPr>
        <w:autoSpaceDE w:val="0"/>
        <w:autoSpaceDN w:val="0"/>
        <w:adjustRightInd w:val="0"/>
        <w:ind w:firstLine="709"/>
        <w:jc w:val="both"/>
        <w:rPr>
          <w:iCs/>
        </w:rPr>
      </w:pPr>
      <w:r w:rsidRPr="009118AB">
        <w:rPr>
          <w:iCs/>
        </w:rPr>
        <w:t>[</w:t>
      </w:r>
      <w:r w:rsidR="00D67EB8" w:rsidRPr="009118AB">
        <w:rPr>
          <w:iCs/>
        </w:rPr>
        <w:t>§ </w:t>
      </w:r>
      <w:r w:rsidRPr="009118AB">
        <w:rPr>
          <w:iCs/>
        </w:rPr>
        <w:t>7</w:t>
      </w:r>
      <w:r w:rsidR="00D67EB8" w:rsidRPr="009118AB">
        <w:rPr>
          <w:iCs/>
        </w:rPr>
        <w:t> - </w:t>
      </w:r>
      <w:r w:rsidRPr="009118AB">
        <w:rPr>
          <w:iCs/>
        </w:rPr>
        <w:t>Die Tax-Shelter-Bescheinigung wird nur vom Föderalen Öffentlichen Dienst Finanzen ausgestellt [...], sofern gemäß den nachstehenden Modalitäten und Bedingungen [und denen, die eventuell vom König bestimmt werden]:</w:t>
      </w:r>
    </w:p>
    <w:p w14:paraId="3643F89C" w14:textId="77777777" w:rsidR="00D833C6" w:rsidRPr="009118AB" w:rsidRDefault="00D833C6" w:rsidP="00D833C6">
      <w:pPr>
        <w:autoSpaceDE w:val="0"/>
        <w:autoSpaceDN w:val="0"/>
        <w:adjustRightInd w:val="0"/>
        <w:jc w:val="both"/>
        <w:rPr>
          <w:iCs/>
        </w:rPr>
      </w:pPr>
    </w:p>
    <w:p w14:paraId="68A5392F" w14:textId="78D06E36" w:rsidR="00D833C6" w:rsidRPr="009118AB" w:rsidRDefault="00D833C6" w:rsidP="00866B3D">
      <w:pPr>
        <w:autoSpaceDE w:val="0"/>
        <w:autoSpaceDN w:val="0"/>
        <w:adjustRightInd w:val="0"/>
        <w:ind w:firstLine="709"/>
        <w:jc w:val="both"/>
        <w:rPr>
          <w:iCs/>
        </w:rPr>
      </w:pPr>
      <w:r w:rsidRPr="009118AB">
        <w:rPr>
          <w:iCs/>
        </w:rPr>
        <w:t xml:space="preserve">1. die in Betracht kommende Produktionsgesellschaft [...] [gemäß </w:t>
      </w:r>
      <w:r w:rsidR="00D67EB8" w:rsidRPr="009118AB">
        <w:rPr>
          <w:iCs/>
        </w:rPr>
        <w:t>§ </w:t>
      </w:r>
      <w:r w:rsidRPr="009118AB">
        <w:rPr>
          <w:iCs/>
        </w:rPr>
        <w:t xml:space="preserve">1 Absatz 1 </w:t>
      </w:r>
      <w:r w:rsidR="00D67EB8" w:rsidRPr="009118AB">
        <w:rPr>
          <w:iCs/>
        </w:rPr>
        <w:t>Nr. </w:t>
      </w:r>
      <w:r w:rsidRPr="009118AB">
        <w:rPr>
          <w:iCs/>
        </w:rPr>
        <w:t>5] dem Föderalen Öffentlichen Dienst Finanzen das Rahmenübereinkommen angezeigt hat,</w:t>
      </w:r>
    </w:p>
    <w:p w14:paraId="258FA8FA" w14:textId="77777777" w:rsidR="00D833C6" w:rsidRPr="009118AB" w:rsidRDefault="00D833C6" w:rsidP="00D833C6">
      <w:pPr>
        <w:autoSpaceDE w:val="0"/>
        <w:autoSpaceDN w:val="0"/>
        <w:adjustRightInd w:val="0"/>
        <w:jc w:val="both"/>
        <w:rPr>
          <w:iCs/>
        </w:rPr>
      </w:pPr>
    </w:p>
    <w:p w14:paraId="13523DB0" w14:textId="6C1B05C6" w:rsidR="00D833C6" w:rsidRPr="009118AB" w:rsidRDefault="00D833C6" w:rsidP="00866B3D">
      <w:pPr>
        <w:autoSpaceDE w:val="0"/>
        <w:autoSpaceDN w:val="0"/>
        <w:adjustRightInd w:val="0"/>
        <w:ind w:firstLine="709"/>
        <w:jc w:val="both"/>
        <w:rPr>
          <w:iCs/>
        </w:rPr>
      </w:pPr>
      <w:r w:rsidRPr="009118AB">
        <w:rPr>
          <w:iCs/>
        </w:rPr>
        <w:t xml:space="preserve">2. die in Betracht kommende Produktionsgesellschaft die Tax-Shelter-Bescheinigung </w:t>
      </w:r>
      <w:r w:rsidR="00AF6EE7" w:rsidRPr="009118AB">
        <w:rPr>
          <w:iCs/>
        </w:rPr>
        <w:t>[</w:t>
      </w:r>
      <w:r w:rsidR="00AF6EE7" w:rsidRPr="009118AB">
        <w:rPr>
          <w:rFonts w:eastAsia="Calibri"/>
          <w:kern w:val="2"/>
          <w:szCs w:val="22"/>
          <w:lang w:eastAsia="en-US"/>
          <w14:ligatures w14:val="standardContextual"/>
        </w:rPr>
        <w:t>innerhalb einer Frist von neun Monaten nach Vollendung des in Betracht kommenden Werks</w:t>
      </w:r>
      <w:r w:rsidR="00AF6EE7" w:rsidRPr="009118AB">
        <w:rPr>
          <w:iCs/>
        </w:rPr>
        <w:t xml:space="preserve">] </w:t>
      </w:r>
      <w:r w:rsidRPr="009118AB">
        <w:rPr>
          <w:iCs/>
        </w:rPr>
        <w:t xml:space="preserve">auf der Grundlage des angezeigten Rahmenübereinkommens und der Ausgaben, die für die Durchführung der Produktion und die Verwertung eines </w:t>
      </w:r>
      <w:r w:rsidR="00580E3B" w:rsidRPr="009118AB">
        <w:rPr>
          <w:iCs/>
        </w:rPr>
        <w:t xml:space="preserve">in </w:t>
      </w:r>
      <w:r w:rsidRPr="009118AB">
        <w:rPr>
          <w:iCs/>
        </w:rPr>
        <w:t xml:space="preserve">Betracht kommenden Werks wie in </w:t>
      </w:r>
      <w:r w:rsidR="00D67EB8" w:rsidRPr="009118AB">
        <w:rPr>
          <w:iCs/>
        </w:rPr>
        <w:t>§ </w:t>
      </w:r>
      <w:r w:rsidRPr="009118AB">
        <w:rPr>
          <w:iCs/>
        </w:rPr>
        <w:t xml:space="preserve">1 Absatz 1 </w:t>
      </w:r>
      <w:r w:rsidR="00D67EB8" w:rsidRPr="009118AB">
        <w:rPr>
          <w:iCs/>
        </w:rPr>
        <w:t>Nr. </w:t>
      </w:r>
      <w:r w:rsidRPr="009118AB">
        <w:rPr>
          <w:iCs/>
        </w:rPr>
        <w:t>6 und 7 bestimmt getätigt worden sind, beantragt hat,</w:t>
      </w:r>
    </w:p>
    <w:p w14:paraId="55154B9F" w14:textId="77777777" w:rsidR="00D833C6" w:rsidRPr="009118AB" w:rsidRDefault="00D833C6" w:rsidP="00D833C6">
      <w:pPr>
        <w:autoSpaceDE w:val="0"/>
        <w:autoSpaceDN w:val="0"/>
        <w:adjustRightInd w:val="0"/>
        <w:jc w:val="both"/>
        <w:rPr>
          <w:iCs/>
        </w:rPr>
      </w:pPr>
    </w:p>
    <w:p w14:paraId="2D0305EE" w14:textId="77777777" w:rsidR="00D833C6" w:rsidRPr="009118AB" w:rsidRDefault="00D833C6" w:rsidP="00866B3D">
      <w:pPr>
        <w:autoSpaceDE w:val="0"/>
        <w:autoSpaceDN w:val="0"/>
        <w:adjustRightInd w:val="0"/>
        <w:ind w:firstLine="709"/>
        <w:jc w:val="both"/>
        <w:rPr>
          <w:iCs/>
        </w:rPr>
      </w:pPr>
      <w:r w:rsidRPr="009118AB">
        <w:rPr>
          <w:iCs/>
        </w:rPr>
        <w:t>3. die in Betracht kommende Produktionsgesellschaft [...] dem Föderalen Öffentlichen Dienst Finanzen zusammen mit dem Antrag auf Tax-Shelter-Bescheinigung folgende Unterlagen vorgelegt hat:</w:t>
      </w:r>
    </w:p>
    <w:p w14:paraId="680735E7" w14:textId="77777777" w:rsidR="00D833C6" w:rsidRPr="009118AB" w:rsidRDefault="00D833C6" w:rsidP="00D833C6">
      <w:pPr>
        <w:autoSpaceDE w:val="0"/>
        <w:autoSpaceDN w:val="0"/>
        <w:adjustRightInd w:val="0"/>
        <w:jc w:val="both"/>
        <w:rPr>
          <w:iCs/>
        </w:rPr>
      </w:pPr>
    </w:p>
    <w:p w14:paraId="77ABD2D4" w14:textId="52A0F61F" w:rsidR="00D833C6" w:rsidRPr="009118AB" w:rsidRDefault="00D833C6" w:rsidP="00866B3D">
      <w:pPr>
        <w:autoSpaceDE w:val="0"/>
        <w:autoSpaceDN w:val="0"/>
        <w:adjustRightInd w:val="0"/>
        <w:ind w:firstLine="709"/>
        <w:jc w:val="both"/>
        <w:rPr>
          <w:iCs/>
        </w:rPr>
      </w:pPr>
      <w:r w:rsidRPr="009118AB">
        <w:rPr>
          <w:iCs/>
        </w:rPr>
        <w:t xml:space="preserve">- eine Bescheinigung, in der die betreffende Gemeinschaft bestätigt, dass das Werk der Bestimmung eines in </w:t>
      </w:r>
      <w:r w:rsidR="00D67EB8" w:rsidRPr="009118AB">
        <w:rPr>
          <w:iCs/>
        </w:rPr>
        <w:t>§ </w:t>
      </w:r>
      <w:r w:rsidRPr="009118AB">
        <w:rPr>
          <w:iCs/>
        </w:rPr>
        <w:t xml:space="preserve">1 Absatz 1 </w:t>
      </w:r>
      <w:r w:rsidR="00D67EB8" w:rsidRPr="009118AB">
        <w:rPr>
          <w:iCs/>
        </w:rPr>
        <w:t>Nr. </w:t>
      </w:r>
      <w:r w:rsidRPr="009118AB">
        <w:rPr>
          <w:iCs/>
        </w:rPr>
        <w:t>4 erwähnten in Betracht kommenden Werks entspricht [und dass</w:t>
      </w:r>
      <w:r w:rsidR="00D67EB8" w:rsidRPr="009118AB">
        <w:rPr>
          <w:iCs/>
        </w:rPr>
        <w:t> - </w:t>
      </w:r>
      <w:r w:rsidRPr="009118AB">
        <w:rPr>
          <w:iCs/>
        </w:rPr>
        <w:t xml:space="preserve">falls die Produktionsgesellschaft gemäß </w:t>
      </w:r>
      <w:r w:rsidR="00D67EB8" w:rsidRPr="009118AB">
        <w:rPr>
          <w:iCs/>
        </w:rPr>
        <w:t>§ </w:t>
      </w:r>
      <w:r w:rsidRPr="009118AB">
        <w:rPr>
          <w:iCs/>
        </w:rPr>
        <w:t xml:space="preserve">1 Absatz 1 </w:t>
      </w:r>
      <w:r w:rsidR="00D67EB8" w:rsidRPr="009118AB">
        <w:rPr>
          <w:iCs/>
        </w:rPr>
        <w:t>Nr. </w:t>
      </w:r>
      <w:r w:rsidRPr="009118AB">
        <w:rPr>
          <w:iCs/>
        </w:rPr>
        <w:t>2 Absatz 2 mit einer Fernsehanstalt verbunden ist</w:t>
      </w:r>
      <w:r w:rsidR="00D67EB8" w:rsidRPr="009118AB">
        <w:rPr>
          <w:iCs/>
        </w:rPr>
        <w:t> - </w:t>
      </w:r>
      <w:r w:rsidRPr="009118AB">
        <w:rPr>
          <w:iCs/>
        </w:rPr>
        <w:t>sie nach einer ersten Analyse der Auffassung ist, dass die Fernsehanstalt keine Vorteile erhält, die in direktem Zusammenhang mit der Produktion oder Verwertung des in Betracht kommenden Werks stehen],</w:t>
      </w:r>
    </w:p>
    <w:p w14:paraId="15C40F25" w14:textId="77777777" w:rsidR="00D833C6" w:rsidRPr="009118AB" w:rsidRDefault="00D833C6" w:rsidP="00D833C6">
      <w:pPr>
        <w:autoSpaceDE w:val="0"/>
        <w:autoSpaceDN w:val="0"/>
        <w:adjustRightInd w:val="0"/>
        <w:jc w:val="both"/>
        <w:rPr>
          <w:iCs/>
        </w:rPr>
      </w:pPr>
    </w:p>
    <w:p w14:paraId="1D85C94C" w14:textId="013B96EE" w:rsidR="00D833C6" w:rsidRPr="009118AB" w:rsidRDefault="00D833C6" w:rsidP="00866B3D">
      <w:pPr>
        <w:autoSpaceDE w:val="0"/>
        <w:autoSpaceDN w:val="0"/>
        <w:adjustRightInd w:val="0"/>
        <w:ind w:firstLine="709"/>
        <w:jc w:val="both"/>
        <w:rPr>
          <w:iCs/>
        </w:rPr>
      </w:pPr>
      <w:r w:rsidRPr="009118AB">
        <w:rPr>
          <w:iCs/>
        </w:rPr>
        <w:t xml:space="preserve">- eine Bescheinigung, in der die betreffende Gemeinschaft bestätigt, dass die Realisierung dieses Werks abgeschlossen ist und dass bei der in Anwendung des vorliegenden Artikels getätigten globalen Finanzierung des Werks die Bedingung und die Höchstgrenze erwähnt in </w:t>
      </w:r>
      <w:r w:rsidR="00D67EB8" w:rsidRPr="009118AB">
        <w:rPr>
          <w:iCs/>
        </w:rPr>
        <w:t>§ </w:t>
      </w:r>
      <w:r w:rsidRPr="009118AB">
        <w:rPr>
          <w:iCs/>
        </w:rPr>
        <w:t xml:space="preserve">4 </w:t>
      </w:r>
      <w:r w:rsidR="00D67EB8" w:rsidRPr="009118AB">
        <w:rPr>
          <w:iCs/>
        </w:rPr>
        <w:t>Nr. </w:t>
      </w:r>
      <w:r w:rsidRPr="009118AB">
        <w:rPr>
          <w:iCs/>
        </w:rPr>
        <w:t>3 eingehalten wurden,</w:t>
      </w:r>
    </w:p>
    <w:p w14:paraId="30882DB2" w14:textId="77777777" w:rsidR="00D833C6" w:rsidRPr="009118AB" w:rsidRDefault="00D833C6" w:rsidP="00D833C6">
      <w:pPr>
        <w:autoSpaceDE w:val="0"/>
        <w:autoSpaceDN w:val="0"/>
        <w:adjustRightInd w:val="0"/>
        <w:jc w:val="both"/>
        <w:rPr>
          <w:iCs/>
        </w:rPr>
      </w:pPr>
    </w:p>
    <w:p w14:paraId="734DCB45" w14:textId="0895FDAF" w:rsidR="00D833C6" w:rsidRPr="009118AB" w:rsidRDefault="00D833C6" w:rsidP="00866B3D">
      <w:pPr>
        <w:autoSpaceDE w:val="0"/>
        <w:autoSpaceDN w:val="0"/>
        <w:adjustRightInd w:val="0"/>
        <w:ind w:firstLine="709"/>
        <w:jc w:val="both"/>
        <w:rPr>
          <w:iCs/>
        </w:rPr>
      </w:pPr>
      <w:r w:rsidRPr="009118AB">
        <w:rPr>
          <w:iCs/>
        </w:rPr>
        <w:t>[3</w:t>
      </w:r>
      <w:r w:rsidRPr="009118AB">
        <w:rPr>
          <w:i/>
          <w:iCs/>
        </w:rPr>
        <w:t>bis</w:t>
      </w:r>
      <w:r w:rsidRPr="009118AB">
        <w:rPr>
          <w:iCs/>
        </w:rPr>
        <w:t xml:space="preserve">. die in </w:t>
      </w:r>
      <w:r w:rsidR="00D67EB8" w:rsidRPr="009118AB">
        <w:rPr>
          <w:iCs/>
        </w:rPr>
        <w:t>§ </w:t>
      </w:r>
      <w:r w:rsidRPr="009118AB">
        <w:rPr>
          <w:iCs/>
        </w:rPr>
        <w:t xml:space="preserve">1 Absatz 1 </w:t>
      </w:r>
      <w:r w:rsidR="00D67EB8" w:rsidRPr="009118AB">
        <w:rPr>
          <w:iCs/>
        </w:rPr>
        <w:t>Nr. </w:t>
      </w:r>
      <w:r w:rsidRPr="009118AB">
        <w:rPr>
          <w:iCs/>
        </w:rPr>
        <w:t>2 erwähnte Fernsehanstalt keine Vorteile erhält, die in direktem Zusammenhang mit der Produktion oder Verwertung des in Betracht kommenden Werks stehen,]</w:t>
      </w:r>
    </w:p>
    <w:p w14:paraId="0A7C0C75" w14:textId="77777777" w:rsidR="00D833C6" w:rsidRPr="009118AB" w:rsidRDefault="00D833C6" w:rsidP="00D833C6">
      <w:pPr>
        <w:autoSpaceDE w:val="0"/>
        <w:autoSpaceDN w:val="0"/>
        <w:adjustRightInd w:val="0"/>
        <w:jc w:val="both"/>
        <w:rPr>
          <w:iCs/>
        </w:rPr>
      </w:pPr>
    </w:p>
    <w:p w14:paraId="53F697AE" w14:textId="77777777" w:rsidR="00D833C6" w:rsidRPr="009118AB" w:rsidRDefault="00D833C6" w:rsidP="00866B3D">
      <w:pPr>
        <w:autoSpaceDE w:val="0"/>
        <w:autoSpaceDN w:val="0"/>
        <w:adjustRightInd w:val="0"/>
        <w:ind w:firstLine="709"/>
        <w:jc w:val="both"/>
        <w:rPr>
          <w:iCs/>
        </w:rPr>
      </w:pPr>
      <w:r w:rsidRPr="009118AB">
        <w:rPr>
          <w:iCs/>
        </w:rPr>
        <w:t>[4. mindestens 70 Prozent der in Betracht kommenden Ausgaben für Produktion und Verwertung im Europäischen Wirtschaftsraum Ausgaben in direktem Zusammenhang mit der Produktion und Verwertung sind,]</w:t>
      </w:r>
    </w:p>
    <w:p w14:paraId="3625CA60" w14:textId="77777777" w:rsidR="00D833C6" w:rsidRPr="009118AB" w:rsidRDefault="00D833C6" w:rsidP="00D833C6">
      <w:pPr>
        <w:autoSpaceDE w:val="0"/>
        <w:autoSpaceDN w:val="0"/>
        <w:adjustRightInd w:val="0"/>
        <w:jc w:val="both"/>
        <w:rPr>
          <w:iCs/>
        </w:rPr>
      </w:pPr>
    </w:p>
    <w:p w14:paraId="62D18862" w14:textId="77777777" w:rsidR="00D833C6" w:rsidRPr="009118AB" w:rsidRDefault="00D833C6" w:rsidP="00866B3D">
      <w:pPr>
        <w:autoSpaceDE w:val="0"/>
        <w:autoSpaceDN w:val="0"/>
        <w:adjustRightInd w:val="0"/>
        <w:ind w:firstLine="709"/>
        <w:jc w:val="both"/>
        <w:rPr>
          <w:iCs/>
        </w:rPr>
      </w:pPr>
      <w:r w:rsidRPr="009118AB">
        <w:rPr>
          <w:iCs/>
        </w:rPr>
        <w:t>[4</w:t>
      </w:r>
      <w:r w:rsidRPr="009118AB">
        <w:rPr>
          <w:i/>
          <w:iCs/>
        </w:rPr>
        <w:t>bis</w:t>
      </w:r>
      <w:r w:rsidRPr="009118AB">
        <w:rPr>
          <w:iCs/>
        </w:rPr>
        <w:t>. mindestens 70 Prozent der in Belgien getätigten Ausgaben für Produktion und Verwertung Ausgaben in direktem Zusammenhang mit der Produktion und Verwertung sind,]</w:t>
      </w:r>
    </w:p>
    <w:p w14:paraId="1B6A0AB2" w14:textId="77777777" w:rsidR="00D833C6" w:rsidRPr="009118AB" w:rsidRDefault="00D833C6" w:rsidP="00D833C6">
      <w:pPr>
        <w:autoSpaceDE w:val="0"/>
        <w:autoSpaceDN w:val="0"/>
        <w:adjustRightInd w:val="0"/>
        <w:jc w:val="both"/>
        <w:rPr>
          <w:iCs/>
        </w:rPr>
      </w:pPr>
    </w:p>
    <w:p w14:paraId="4E290224" w14:textId="77777777" w:rsidR="00D833C6" w:rsidRPr="009118AB" w:rsidRDefault="00D833C6" w:rsidP="00866B3D">
      <w:pPr>
        <w:autoSpaceDE w:val="0"/>
        <w:autoSpaceDN w:val="0"/>
        <w:adjustRightInd w:val="0"/>
        <w:ind w:firstLine="709"/>
        <w:jc w:val="both"/>
        <w:rPr>
          <w:iCs/>
        </w:rPr>
      </w:pPr>
      <w:r w:rsidRPr="009118AB">
        <w:rPr>
          <w:iCs/>
        </w:rPr>
        <w:t>5. die in Betracht kommende Produktionsgesellschaft zum Zeitpunkt des Abschlusses des Rahmenübereinkommens beim Landesamt für soziale Sicherheit keine ausstehenden Beträge zu entrichten hat,</w:t>
      </w:r>
    </w:p>
    <w:p w14:paraId="1643F0C1" w14:textId="77777777" w:rsidR="00D833C6" w:rsidRPr="009118AB" w:rsidRDefault="00D833C6" w:rsidP="00D833C6">
      <w:pPr>
        <w:autoSpaceDE w:val="0"/>
        <w:autoSpaceDN w:val="0"/>
        <w:adjustRightInd w:val="0"/>
        <w:jc w:val="both"/>
        <w:rPr>
          <w:iCs/>
        </w:rPr>
      </w:pPr>
    </w:p>
    <w:p w14:paraId="4777CF24" w14:textId="7C9FBA5F" w:rsidR="00D833C6" w:rsidRPr="009118AB" w:rsidRDefault="00D833C6" w:rsidP="00866B3D">
      <w:pPr>
        <w:autoSpaceDE w:val="0"/>
        <w:autoSpaceDN w:val="0"/>
        <w:adjustRightInd w:val="0"/>
        <w:ind w:firstLine="709"/>
        <w:jc w:val="both"/>
        <w:rPr>
          <w:iCs/>
        </w:rPr>
      </w:pPr>
      <w:r w:rsidRPr="009118AB">
        <w:rPr>
          <w:iCs/>
        </w:rPr>
        <w:t xml:space="preserve">6. die in </w:t>
      </w:r>
      <w:r w:rsidR="00D67EB8" w:rsidRPr="009118AB">
        <w:rPr>
          <w:iCs/>
        </w:rPr>
        <w:t>§ </w:t>
      </w:r>
      <w:r w:rsidRPr="009118AB">
        <w:rPr>
          <w:iCs/>
        </w:rPr>
        <w:t xml:space="preserve">4 </w:t>
      </w:r>
      <w:r w:rsidR="00D67EB8" w:rsidRPr="009118AB">
        <w:rPr>
          <w:iCs/>
        </w:rPr>
        <w:t>Nr. </w:t>
      </w:r>
      <w:r w:rsidRPr="009118AB">
        <w:rPr>
          <w:iCs/>
        </w:rPr>
        <w:t>1 bis 3 erwähnten Bedingungen ununterbrochen erfüllt werden,</w:t>
      </w:r>
    </w:p>
    <w:p w14:paraId="5A52664D" w14:textId="77777777" w:rsidR="00D833C6" w:rsidRPr="009118AB" w:rsidRDefault="00D833C6" w:rsidP="00D833C6">
      <w:pPr>
        <w:autoSpaceDE w:val="0"/>
        <w:autoSpaceDN w:val="0"/>
        <w:adjustRightInd w:val="0"/>
        <w:jc w:val="both"/>
        <w:rPr>
          <w:iCs/>
        </w:rPr>
      </w:pPr>
    </w:p>
    <w:p w14:paraId="262B8A17" w14:textId="77777777" w:rsidR="00D833C6" w:rsidRPr="009118AB" w:rsidRDefault="00D833C6" w:rsidP="00866B3D">
      <w:pPr>
        <w:autoSpaceDE w:val="0"/>
        <w:autoSpaceDN w:val="0"/>
        <w:adjustRightInd w:val="0"/>
        <w:ind w:firstLine="709"/>
        <w:jc w:val="both"/>
        <w:rPr>
          <w:iCs/>
        </w:rPr>
      </w:pPr>
      <w:r w:rsidRPr="009118AB">
        <w:rPr>
          <w:iCs/>
        </w:rPr>
        <w:t>7. alle in vorliegendem Artikel erwähnten Bedingungen in Bezug auf Eigenschaft, Grenze, Höchstbetrag, Frist und Territorialität eingehalten wurden.</w:t>
      </w:r>
    </w:p>
    <w:p w14:paraId="6F5D6055" w14:textId="77777777" w:rsidR="00D833C6" w:rsidRPr="009118AB" w:rsidRDefault="00D833C6" w:rsidP="00D833C6">
      <w:pPr>
        <w:autoSpaceDE w:val="0"/>
        <w:autoSpaceDN w:val="0"/>
        <w:adjustRightInd w:val="0"/>
        <w:jc w:val="both"/>
        <w:rPr>
          <w:iCs/>
        </w:rPr>
      </w:pPr>
    </w:p>
    <w:p w14:paraId="6C457DC2" w14:textId="77777777" w:rsidR="00D833C6" w:rsidRPr="009118AB" w:rsidRDefault="00D833C6" w:rsidP="00866B3D">
      <w:pPr>
        <w:autoSpaceDE w:val="0"/>
        <w:autoSpaceDN w:val="0"/>
        <w:adjustRightInd w:val="0"/>
        <w:ind w:firstLine="709"/>
        <w:jc w:val="both"/>
        <w:rPr>
          <w:iCs/>
        </w:rPr>
      </w:pPr>
      <w:r w:rsidRPr="009118AB">
        <w:rPr>
          <w:iCs/>
        </w:rPr>
        <w:t>Wird festgestellt, dass eine dieser Bedingungen während eines Besteuerungszeitraums nicht mehr erfüllt wird oder fehlt, gelten die vorher steuerfreien Gewinne als in diesem Besteuerungszeitraum erzielte Gewinne.</w:t>
      </w:r>
    </w:p>
    <w:p w14:paraId="40F6766F" w14:textId="77777777" w:rsidR="00D833C6" w:rsidRPr="009118AB" w:rsidRDefault="00D833C6" w:rsidP="00D833C6">
      <w:pPr>
        <w:autoSpaceDE w:val="0"/>
        <w:autoSpaceDN w:val="0"/>
        <w:adjustRightInd w:val="0"/>
        <w:jc w:val="both"/>
        <w:rPr>
          <w:iCs/>
        </w:rPr>
      </w:pPr>
    </w:p>
    <w:p w14:paraId="4A2A5D03" w14:textId="77777777" w:rsidR="00D833C6" w:rsidRPr="009118AB" w:rsidRDefault="00D833C6" w:rsidP="00866B3D">
      <w:pPr>
        <w:autoSpaceDE w:val="0"/>
        <w:autoSpaceDN w:val="0"/>
        <w:adjustRightInd w:val="0"/>
        <w:ind w:firstLine="709"/>
        <w:jc w:val="both"/>
        <w:rPr>
          <w:iCs/>
        </w:rPr>
      </w:pPr>
      <w:r w:rsidRPr="009118AB">
        <w:rPr>
          <w:iCs/>
        </w:rPr>
        <w:t>Hat der in Betracht kommende Anleger am 31. Dezember des vierten Jahres nach dem Jahr der Unterschrift des Rahmenübereinkommens die Tax-Shelter-Bescheinigung nicht erhalten, gilt der zuvor vorläufig von der Steuer befreite Gewinn als Gewinn des letzten Besteuerungszeitraums, in dem die Tax-Shelter-Bescheinigung rechtsgültig ausgestellt werden konnte.</w:t>
      </w:r>
    </w:p>
    <w:p w14:paraId="563F0A04" w14:textId="77777777" w:rsidR="00D833C6" w:rsidRPr="009118AB" w:rsidRDefault="00D833C6" w:rsidP="00D833C6">
      <w:pPr>
        <w:autoSpaceDE w:val="0"/>
        <w:autoSpaceDN w:val="0"/>
        <w:adjustRightInd w:val="0"/>
        <w:jc w:val="both"/>
        <w:rPr>
          <w:iCs/>
        </w:rPr>
      </w:pPr>
    </w:p>
    <w:p w14:paraId="4B7011B2" w14:textId="77777777" w:rsidR="00D833C6" w:rsidRPr="009118AB" w:rsidRDefault="00D833C6" w:rsidP="00866B3D">
      <w:pPr>
        <w:autoSpaceDE w:val="0"/>
        <w:autoSpaceDN w:val="0"/>
        <w:adjustRightInd w:val="0"/>
        <w:ind w:firstLine="709"/>
        <w:jc w:val="both"/>
        <w:rPr>
          <w:iCs/>
        </w:rPr>
      </w:pPr>
      <w:r w:rsidRPr="009118AB">
        <w:rPr>
          <w:iCs/>
        </w:rPr>
        <w:t>Die definitive Steuerbefreiung ist in allen Fällen auf [203 Prozent] des Steuerwertes der Tax-Shelter-Bescheinigung begrenzt. Der eventuelle Restbetrag der Summen, die gezahlt und gemäß den Paragraphen 2 und 3 als vorläufig von der Steuer befreite Gewinne berücksichtigt worden sind, gilt als Gewinn des Besteuerungszeitraums, in dem die Tax-Shelter-Bescheinigung ausgestellt worden ist.</w:t>
      </w:r>
    </w:p>
    <w:p w14:paraId="2563B621" w14:textId="7E9B2B67" w:rsidR="00D833C6" w:rsidRPr="009118AB" w:rsidRDefault="00D833C6" w:rsidP="00D833C6">
      <w:pPr>
        <w:autoSpaceDE w:val="0"/>
        <w:autoSpaceDN w:val="0"/>
        <w:adjustRightInd w:val="0"/>
        <w:jc w:val="both"/>
        <w:rPr>
          <w:iCs/>
        </w:rPr>
      </w:pPr>
    </w:p>
    <w:p w14:paraId="21DD101F" w14:textId="46FFBF4D" w:rsidR="00EC2C95" w:rsidRPr="009118AB" w:rsidRDefault="00EC2C95" w:rsidP="00D833C6">
      <w:pPr>
        <w:autoSpaceDE w:val="0"/>
        <w:autoSpaceDN w:val="0"/>
        <w:adjustRightInd w:val="0"/>
        <w:jc w:val="both"/>
        <w:rPr>
          <w:iCs/>
        </w:rPr>
      </w:pPr>
      <w:r w:rsidRPr="009118AB">
        <w:rPr>
          <w:iCs/>
        </w:rPr>
        <w:tab/>
        <w:t>[</w:t>
      </w:r>
      <w:r w:rsidRPr="009118AB">
        <w:t>Der Gesellschaftssteuersatz, der auf die in Absatz 2 erwähnten vorher steuerfreien Gewinne, auf die in Absatz 3 erwähnten zuvor vorläufig von der Steuer befreiten Gewinne und auf den in Absatz 4 erwähnten Restbetrag anwendbar ist, ist der in Artikel 215 erwähnte Gesellschaftssteuersatz, der für das Steuerjahr gilt, für das die Steuerbefreiung erstmals beantragt worden ist, gegebenenfalls erhöht um die in Artikel 463</w:t>
      </w:r>
      <w:r w:rsidRPr="009118AB">
        <w:rPr>
          <w:i/>
          <w:iCs/>
        </w:rPr>
        <w:t>bis</w:t>
      </w:r>
      <w:r w:rsidRPr="009118AB">
        <w:t xml:space="preserve"> erwähnte zusätzliche Krisenabgabe.</w:t>
      </w:r>
      <w:r w:rsidRPr="009118AB">
        <w:rPr>
          <w:iCs/>
        </w:rPr>
        <w:t>]</w:t>
      </w:r>
    </w:p>
    <w:p w14:paraId="0B6F53B5" w14:textId="77777777" w:rsidR="00EC2C95" w:rsidRPr="009118AB" w:rsidRDefault="00EC2C95" w:rsidP="00D833C6">
      <w:pPr>
        <w:autoSpaceDE w:val="0"/>
        <w:autoSpaceDN w:val="0"/>
        <w:adjustRightInd w:val="0"/>
        <w:jc w:val="both"/>
        <w:rPr>
          <w:iCs/>
        </w:rPr>
      </w:pPr>
    </w:p>
    <w:p w14:paraId="7D4EC901" w14:textId="4B196576" w:rsidR="00D833C6" w:rsidRPr="009118AB" w:rsidRDefault="00D239C8" w:rsidP="00866B3D">
      <w:pPr>
        <w:autoSpaceDE w:val="0"/>
        <w:autoSpaceDN w:val="0"/>
        <w:adjustRightInd w:val="0"/>
        <w:ind w:firstLine="709"/>
        <w:jc w:val="both"/>
        <w:rPr>
          <w:iCs/>
        </w:rPr>
      </w:pPr>
      <w:r>
        <w:rPr>
          <w:iCs/>
        </w:rPr>
        <w:t>[...]</w:t>
      </w:r>
      <w:r w:rsidR="00D833C6" w:rsidRPr="009118AB">
        <w:rPr>
          <w:iCs/>
        </w:rPr>
        <w:t>]</w:t>
      </w:r>
    </w:p>
    <w:p w14:paraId="52823455" w14:textId="77777777" w:rsidR="00D833C6" w:rsidRPr="009118AB" w:rsidRDefault="00D833C6" w:rsidP="00D833C6">
      <w:pPr>
        <w:autoSpaceDE w:val="0"/>
        <w:autoSpaceDN w:val="0"/>
        <w:adjustRightInd w:val="0"/>
        <w:jc w:val="both"/>
        <w:rPr>
          <w:iCs/>
        </w:rPr>
      </w:pPr>
    </w:p>
    <w:p w14:paraId="681E7C37" w14:textId="4E7AF5B5" w:rsidR="00D833C6" w:rsidRPr="009118AB" w:rsidRDefault="00D833C6" w:rsidP="00866B3D">
      <w:pPr>
        <w:autoSpaceDE w:val="0"/>
        <w:autoSpaceDN w:val="0"/>
        <w:adjustRightInd w:val="0"/>
        <w:ind w:firstLine="709"/>
        <w:jc w:val="both"/>
        <w:rPr>
          <w:iCs/>
        </w:rPr>
      </w:pPr>
      <w:r w:rsidRPr="009118AB">
        <w:rPr>
          <w:iCs/>
        </w:rPr>
        <w:t>[Der König kann die Anwendungsmodalitäten bestimmen, insbesondere für Erteilung, Beibehaltung, Übertragung, Verwaltung und Anzeigen der Bescheinigung</w:t>
      </w:r>
      <w:r w:rsidR="003B484D" w:rsidRPr="009118AB">
        <w:rPr>
          <w:iCs/>
        </w:rPr>
        <w:t xml:space="preserve"> [</w:t>
      </w:r>
      <w:r w:rsidR="003B484D" w:rsidRPr="009118AB">
        <w:rPr>
          <w:rFonts w:eastAsia="Calibri"/>
          <w:kern w:val="2"/>
          <w:szCs w:val="22"/>
          <w:lang w:eastAsia="en-US"/>
          <w14:ligatures w14:val="standardContextual"/>
        </w:rPr>
        <w:t>und für die Weise, wie die in § 1 Absatz 1 Nr. 6 und 7 erwähnten Ausgaben nachzuweisen sind</w:t>
      </w:r>
      <w:r w:rsidR="003B484D" w:rsidRPr="009118AB">
        <w:rPr>
          <w:iCs/>
        </w:rPr>
        <w:t>]</w:t>
      </w:r>
      <w:r w:rsidRPr="009118AB">
        <w:rPr>
          <w:iCs/>
        </w:rPr>
        <w:t>.]</w:t>
      </w:r>
    </w:p>
    <w:p w14:paraId="749033ED" w14:textId="77777777" w:rsidR="00D833C6" w:rsidRPr="009118AB" w:rsidRDefault="00D833C6" w:rsidP="00D833C6">
      <w:pPr>
        <w:autoSpaceDE w:val="0"/>
        <w:autoSpaceDN w:val="0"/>
        <w:adjustRightInd w:val="0"/>
        <w:jc w:val="both"/>
        <w:rPr>
          <w:iCs/>
        </w:rPr>
      </w:pPr>
    </w:p>
    <w:p w14:paraId="5B250528" w14:textId="4BAC2471" w:rsidR="00D833C6" w:rsidRPr="009118AB" w:rsidRDefault="00D833C6" w:rsidP="00866B3D">
      <w:pPr>
        <w:autoSpaceDE w:val="0"/>
        <w:autoSpaceDN w:val="0"/>
        <w:adjustRightInd w:val="0"/>
        <w:ind w:firstLine="709"/>
        <w:jc w:val="both"/>
        <w:rPr>
          <w:iCs/>
        </w:rPr>
      </w:pPr>
      <w:r w:rsidRPr="009118AB">
        <w:rPr>
          <w:iCs/>
        </w:rPr>
        <w:t>[</w:t>
      </w:r>
      <w:r w:rsidR="00D67EB8" w:rsidRPr="009118AB">
        <w:rPr>
          <w:iCs/>
        </w:rPr>
        <w:t>§ </w:t>
      </w:r>
      <w:r w:rsidRPr="009118AB">
        <w:rPr>
          <w:iCs/>
        </w:rPr>
        <w:t>8</w:t>
      </w:r>
      <w:r w:rsidR="00D67EB8" w:rsidRPr="009118AB">
        <w:rPr>
          <w:iCs/>
        </w:rPr>
        <w:t> - </w:t>
      </w:r>
      <w:r w:rsidRPr="009118AB">
        <w:rPr>
          <w:iCs/>
        </w:rPr>
        <w:t xml:space="preserve">Der Steuerwert der in </w:t>
      </w:r>
      <w:r w:rsidR="00D67EB8" w:rsidRPr="009118AB">
        <w:rPr>
          <w:iCs/>
        </w:rPr>
        <w:t>§ </w:t>
      </w:r>
      <w:r w:rsidRPr="009118AB">
        <w:rPr>
          <w:iCs/>
        </w:rPr>
        <w:t xml:space="preserve">1 Absatz 1 </w:t>
      </w:r>
      <w:r w:rsidR="00D67EB8" w:rsidRPr="009118AB">
        <w:rPr>
          <w:iCs/>
        </w:rPr>
        <w:t>Nr. </w:t>
      </w:r>
      <w:r w:rsidRPr="009118AB">
        <w:rPr>
          <w:iCs/>
        </w:rPr>
        <w:t>10 erwähnten Tax-Shelter-Bescheinigung wird gemäß Modalitäten, die vom König bestimmt werden, festgelegt auf:</w:t>
      </w:r>
    </w:p>
    <w:p w14:paraId="3643A553" w14:textId="77777777" w:rsidR="00D833C6" w:rsidRPr="009118AB" w:rsidRDefault="00D833C6" w:rsidP="00D833C6">
      <w:pPr>
        <w:autoSpaceDE w:val="0"/>
        <w:autoSpaceDN w:val="0"/>
        <w:adjustRightInd w:val="0"/>
        <w:jc w:val="both"/>
        <w:rPr>
          <w:iCs/>
        </w:rPr>
      </w:pPr>
    </w:p>
    <w:p w14:paraId="5C2A3A2A" w14:textId="77777777" w:rsidR="00D833C6" w:rsidRPr="009118AB" w:rsidRDefault="00D833C6" w:rsidP="00866B3D">
      <w:pPr>
        <w:autoSpaceDE w:val="0"/>
        <w:autoSpaceDN w:val="0"/>
        <w:adjustRightInd w:val="0"/>
        <w:ind w:firstLine="709"/>
        <w:jc w:val="both"/>
        <w:rPr>
          <w:iCs/>
        </w:rPr>
      </w:pPr>
      <w:r w:rsidRPr="009118AB">
        <w:rPr>
          <w:iCs/>
        </w:rPr>
        <w:t>- [70 Prozent des Betrags der in Betracht kommenden Ausgaben für Produktion und Verwertung im Europäischen Wirtschaftsraum, die für die Produktion und Verwertung des in Betracht kommenden Werks getätigt werden, in dem Maße, wie diese 70 Prozent des Betrags der Ausgaben Ausgaben in direktem Zusammenhang mit der Produktion und Verwertung sind,]</w:t>
      </w:r>
    </w:p>
    <w:p w14:paraId="5B06555E" w14:textId="77777777" w:rsidR="00D833C6" w:rsidRPr="009118AB" w:rsidRDefault="00D833C6" w:rsidP="00D833C6">
      <w:pPr>
        <w:autoSpaceDE w:val="0"/>
        <w:autoSpaceDN w:val="0"/>
        <w:adjustRightInd w:val="0"/>
        <w:jc w:val="both"/>
        <w:rPr>
          <w:iCs/>
        </w:rPr>
      </w:pPr>
    </w:p>
    <w:p w14:paraId="1D05D782" w14:textId="357726DB" w:rsidR="00D833C6" w:rsidRPr="009118AB" w:rsidRDefault="00D833C6" w:rsidP="00866B3D">
      <w:pPr>
        <w:autoSpaceDE w:val="0"/>
        <w:autoSpaceDN w:val="0"/>
        <w:adjustRightInd w:val="0"/>
        <w:ind w:firstLine="709"/>
        <w:jc w:val="both"/>
        <w:rPr>
          <w:iCs/>
        </w:rPr>
      </w:pPr>
      <w:r w:rsidRPr="009118AB">
        <w:rPr>
          <w:iCs/>
        </w:rPr>
        <w:t xml:space="preserve">- höchstens zehn Neuntel des Betrags der in </w:t>
      </w:r>
      <w:r w:rsidR="00D67EB8" w:rsidRPr="009118AB">
        <w:rPr>
          <w:iCs/>
        </w:rPr>
        <w:t>§ </w:t>
      </w:r>
      <w:r w:rsidRPr="009118AB">
        <w:rPr>
          <w:iCs/>
        </w:rPr>
        <w:t xml:space="preserve">1 Absatz 1 </w:t>
      </w:r>
      <w:r w:rsidR="00D67EB8" w:rsidRPr="009118AB">
        <w:rPr>
          <w:iCs/>
        </w:rPr>
        <w:t>Nr. </w:t>
      </w:r>
      <w:r w:rsidRPr="009118AB">
        <w:rPr>
          <w:iCs/>
        </w:rPr>
        <w:t>7 erwähnten Ausgaben für Produktion und Verwertung, die in Belgien innerhalb einer Frist von höchstens achtzehn Monaten ab dem Datum der Unterschrift des Rahmenübereinkommens zum Erhalt der Tax-</w:t>
      </w:r>
      <w:r w:rsidRPr="009118AB">
        <w:rPr>
          <w:iCs/>
        </w:rPr>
        <w:lastRenderedPageBreak/>
        <w:t xml:space="preserve">Shelter-Bescheinigung [für die Produktion und Verwertung des in Betracht kommenden Werks getätigt werden, wobei diese Frist eventuell </w:t>
      </w:r>
      <w:r w:rsidR="001B53F1" w:rsidRPr="009118AB">
        <w:rPr>
          <w:iCs/>
        </w:rPr>
        <w:t>[</w:t>
      </w:r>
      <w:r w:rsidR="001B53F1" w:rsidRPr="009118AB">
        <w:t xml:space="preserve">gemäß </w:t>
      </w:r>
      <w:r w:rsidR="00D67EB8" w:rsidRPr="009118AB">
        <w:t>§ </w:t>
      </w:r>
      <w:r w:rsidR="001B53F1" w:rsidRPr="009118AB">
        <w:t xml:space="preserve">1 Absatz 1 </w:t>
      </w:r>
      <w:r w:rsidR="00D67EB8" w:rsidRPr="009118AB">
        <w:t>Nr. </w:t>
      </w:r>
      <w:r w:rsidR="001B53F1" w:rsidRPr="009118AB">
        <w:t>4 zweiter Gedankenstrich</w:t>
      </w:r>
      <w:r w:rsidR="001B53F1" w:rsidRPr="009118AB">
        <w:rPr>
          <w:iCs/>
        </w:rPr>
        <w:t>]</w:t>
      </w:r>
      <w:r w:rsidRPr="009118AB">
        <w:rPr>
          <w:iCs/>
        </w:rPr>
        <w:t xml:space="preserve"> angepasst wird].</w:t>
      </w:r>
    </w:p>
    <w:p w14:paraId="04296056" w14:textId="77777777" w:rsidR="00D833C6" w:rsidRPr="009118AB" w:rsidRDefault="00D833C6" w:rsidP="00D833C6">
      <w:pPr>
        <w:autoSpaceDE w:val="0"/>
        <w:autoSpaceDN w:val="0"/>
        <w:adjustRightInd w:val="0"/>
        <w:jc w:val="both"/>
        <w:rPr>
          <w:iCs/>
        </w:rPr>
      </w:pPr>
    </w:p>
    <w:p w14:paraId="42616902" w14:textId="7509347D" w:rsidR="00D833C6" w:rsidRPr="009118AB" w:rsidRDefault="00D833C6" w:rsidP="00866B3D">
      <w:pPr>
        <w:autoSpaceDE w:val="0"/>
        <w:autoSpaceDN w:val="0"/>
        <w:adjustRightInd w:val="0"/>
        <w:ind w:firstLine="709"/>
        <w:jc w:val="both"/>
        <w:rPr>
          <w:iCs/>
        </w:rPr>
      </w:pPr>
      <w:r w:rsidRPr="009118AB">
        <w:rPr>
          <w:iCs/>
        </w:rPr>
        <w:t>[</w:t>
      </w:r>
      <w:r w:rsidR="00AF6EE7" w:rsidRPr="009118AB">
        <w:rPr>
          <w:iCs/>
        </w:rPr>
        <w:t>[</w:t>
      </w:r>
      <w:r w:rsidR="00AF6EE7" w:rsidRPr="009118AB">
        <w:rPr>
          <w:rFonts w:eastAsia="Calibri"/>
          <w:kern w:val="2"/>
          <w:szCs w:val="22"/>
          <w:lang w:eastAsia="en-US"/>
          <w14:ligatures w14:val="standardContextual"/>
        </w:rPr>
        <w:t>Für Animationsfilme und Animationsserien</w:t>
      </w:r>
      <w:r w:rsidR="00AF6EE7" w:rsidRPr="009118AB">
        <w:rPr>
          <w:iCs/>
        </w:rPr>
        <w:t>]</w:t>
      </w:r>
      <w:r w:rsidRPr="009118AB">
        <w:rPr>
          <w:iCs/>
        </w:rPr>
        <w:t xml:space="preserve"> wird diese Frist von achtzehn Monaten um sechs Monate verlängert.</w:t>
      </w:r>
    </w:p>
    <w:p w14:paraId="2E063A2F" w14:textId="77777777" w:rsidR="00D833C6" w:rsidRPr="009118AB" w:rsidRDefault="00D833C6" w:rsidP="00D833C6">
      <w:pPr>
        <w:autoSpaceDE w:val="0"/>
        <w:autoSpaceDN w:val="0"/>
        <w:adjustRightInd w:val="0"/>
        <w:jc w:val="both"/>
        <w:rPr>
          <w:iCs/>
        </w:rPr>
      </w:pPr>
    </w:p>
    <w:p w14:paraId="3FF2E95A" w14:textId="77777777" w:rsidR="00D833C6" w:rsidRPr="009118AB" w:rsidRDefault="00D833C6" w:rsidP="00866B3D">
      <w:pPr>
        <w:autoSpaceDE w:val="0"/>
        <w:autoSpaceDN w:val="0"/>
        <w:adjustRightInd w:val="0"/>
        <w:ind w:firstLine="709"/>
        <w:jc w:val="both"/>
        <w:rPr>
          <w:iCs/>
        </w:rPr>
      </w:pPr>
      <w:r w:rsidRPr="009118AB">
        <w:rPr>
          <w:iCs/>
        </w:rPr>
        <w:t>Ist der Gesamtbetrag der in Belgien getätigten Ausgaben, die in direktem Zusammenhang mit der Produktion und Verwertung stehen, jedoch niedriger als 70 Prozent des Gesamtbetrags der in Belgien getätigten Ausgaben für Produktion und Verwertung, wird der Steuerwert der Tax-Shelter-Bescheinigung im Verhältnis zum Prozentsatz der in Belgien getätigten Ausgaben, die in direktem Zusammenhang mit der Produktion und Verwertung stehen, gegenüber den verlangten 70 Prozent proportional verringert.</w:t>
      </w:r>
    </w:p>
    <w:p w14:paraId="64EEF816" w14:textId="77777777" w:rsidR="00D833C6" w:rsidRPr="009118AB" w:rsidRDefault="00D833C6" w:rsidP="00D833C6">
      <w:pPr>
        <w:autoSpaceDE w:val="0"/>
        <w:autoSpaceDN w:val="0"/>
        <w:adjustRightInd w:val="0"/>
        <w:jc w:val="both"/>
        <w:rPr>
          <w:iCs/>
        </w:rPr>
      </w:pPr>
    </w:p>
    <w:p w14:paraId="3EB04E64" w14:textId="77777777" w:rsidR="00D833C6" w:rsidRPr="009118AB" w:rsidRDefault="00D833C6" w:rsidP="00866B3D">
      <w:pPr>
        <w:autoSpaceDE w:val="0"/>
        <w:autoSpaceDN w:val="0"/>
        <w:adjustRightInd w:val="0"/>
        <w:ind w:firstLine="709"/>
        <w:jc w:val="both"/>
        <w:rPr>
          <w:iCs/>
        </w:rPr>
      </w:pPr>
      <w:r w:rsidRPr="009118AB">
        <w:rPr>
          <w:iCs/>
        </w:rPr>
        <w:t>Die Summe aller Steuerwerte der Tax-Shelter-Bescheinigungen beläuft sich pro in Betracht kommendes Werk auf höchstens 15.000.000 EUR.]]</w:t>
      </w:r>
    </w:p>
    <w:p w14:paraId="0CBC2979" w14:textId="77777777" w:rsidR="00D833C6" w:rsidRPr="009118AB" w:rsidRDefault="00D833C6" w:rsidP="00D833C6">
      <w:pPr>
        <w:autoSpaceDE w:val="0"/>
        <w:autoSpaceDN w:val="0"/>
        <w:adjustRightInd w:val="0"/>
        <w:jc w:val="both"/>
        <w:rPr>
          <w:iCs/>
        </w:rPr>
      </w:pPr>
    </w:p>
    <w:p w14:paraId="298FC3F3" w14:textId="3D6CE880" w:rsidR="00D833C6" w:rsidRPr="009118AB" w:rsidRDefault="00D833C6" w:rsidP="00866B3D">
      <w:pPr>
        <w:autoSpaceDE w:val="0"/>
        <w:autoSpaceDN w:val="0"/>
        <w:adjustRightInd w:val="0"/>
        <w:ind w:firstLine="709"/>
        <w:jc w:val="both"/>
        <w:rPr>
          <w:iCs/>
        </w:rPr>
      </w:pPr>
      <w:r w:rsidRPr="009118AB">
        <w:rPr>
          <w:iCs/>
        </w:rPr>
        <w:t>[</w:t>
      </w:r>
      <w:r w:rsidR="00D67EB8" w:rsidRPr="009118AB">
        <w:rPr>
          <w:iCs/>
        </w:rPr>
        <w:t>§ </w:t>
      </w:r>
      <w:r w:rsidRPr="009118AB">
        <w:rPr>
          <w:iCs/>
        </w:rPr>
        <w:t>9</w:t>
      </w:r>
      <w:r w:rsidR="00D67EB8" w:rsidRPr="009118AB">
        <w:rPr>
          <w:iCs/>
        </w:rPr>
        <w:t> - </w:t>
      </w:r>
      <w:r w:rsidRPr="009118AB">
        <w:rPr>
          <w:iCs/>
        </w:rPr>
        <w:t>Im Rahmenübereinkommen vereinbarte Zahlungen müssen spätestens drei Monate vor Ausstellung der Tax-Shelter-Bescheinigung in ihrer Gesamtheit getätigt worden sein.]</w:t>
      </w:r>
    </w:p>
    <w:p w14:paraId="0B5D1593" w14:textId="77777777" w:rsidR="00D833C6" w:rsidRPr="009118AB" w:rsidRDefault="00D833C6" w:rsidP="00D833C6">
      <w:pPr>
        <w:autoSpaceDE w:val="0"/>
        <w:autoSpaceDN w:val="0"/>
        <w:adjustRightInd w:val="0"/>
        <w:jc w:val="both"/>
        <w:rPr>
          <w:iCs/>
        </w:rPr>
      </w:pPr>
    </w:p>
    <w:p w14:paraId="0D116925" w14:textId="70A5AC0D" w:rsidR="00D833C6" w:rsidRPr="009118AB" w:rsidRDefault="00D833C6" w:rsidP="00866B3D">
      <w:pPr>
        <w:autoSpaceDE w:val="0"/>
        <w:autoSpaceDN w:val="0"/>
        <w:adjustRightInd w:val="0"/>
        <w:ind w:firstLine="709"/>
        <w:jc w:val="both"/>
        <w:rPr>
          <w:iCs/>
        </w:rPr>
      </w:pPr>
      <w:r w:rsidRPr="009118AB">
        <w:rPr>
          <w:iCs/>
        </w:rPr>
        <w:t>[</w:t>
      </w:r>
      <w:r w:rsidR="00D67EB8" w:rsidRPr="009118AB">
        <w:rPr>
          <w:iCs/>
        </w:rPr>
        <w:t>§ </w:t>
      </w:r>
      <w:r w:rsidRPr="009118AB">
        <w:rPr>
          <w:iCs/>
        </w:rPr>
        <w:t>10</w:t>
      </w:r>
      <w:r w:rsidR="00D67EB8" w:rsidRPr="009118AB">
        <w:rPr>
          <w:iCs/>
        </w:rPr>
        <w:t> - </w:t>
      </w:r>
      <w:r w:rsidRPr="009118AB">
        <w:rPr>
          <w:iCs/>
        </w:rPr>
        <w:t>Das Rahmenübereinkommen zur Produktion eines in Betracht kommenden Werks enthält folgende Pflichtangaben:</w:t>
      </w:r>
    </w:p>
    <w:p w14:paraId="6FFB6184" w14:textId="77777777" w:rsidR="00D833C6" w:rsidRPr="009118AB" w:rsidRDefault="00D833C6" w:rsidP="00D833C6">
      <w:pPr>
        <w:autoSpaceDE w:val="0"/>
        <w:autoSpaceDN w:val="0"/>
        <w:adjustRightInd w:val="0"/>
        <w:jc w:val="both"/>
        <w:rPr>
          <w:iCs/>
        </w:rPr>
      </w:pPr>
    </w:p>
    <w:p w14:paraId="19D9042F" w14:textId="77777777" w:rsidR="00D833C6" w:rsidRPr="009118AB" w:rsidRDefault="00D833C6" w:rsidP="00866B3D">
      <w:pPr>
        <w:autoSpaceDE w:val="0"/>
        <w:autoSpaceDN w:val="0"/>
        <w:adjustRightInd w:val="0"/>
        <w:ind w:firstLine="709"/>
        <w:jc w:val="both"/>
        <w:rPr>
          <w:iCs/>
        </w:rPr>
      </w:pPr>
      <w:r w:rsidRPr="009118AB">
        <w:rPr>
          <w:iCs/>
        </w:rPr>
        <w:t>1. Namen, Unternehmensnummer, Gesellschaftszweck und Datum der Zulassung der in Betracht kommenden Produktionsgesellschaft,</w:t>
      </w:r>
    </w:p>
    <w:p w14:paraId="35824309" w14:textId="77777777" w:rsidR="00D833C6" w:rsidRPr="009118AB" w:rsidRDefault="00D833C6" w:rsidP="00D833C6">
      <w:pPr>
        <w:autoSpaceDE w:val="0"/>
        <w:autoSpaceDN w:val="0"/>
        <w:adjustRightInd w:val="0"/>
        <w:jc w:val="both"/>
        <w:rPr>
          <w:iCs/>
        </w:rPr>
      </w:pPr>
    </w:p>
    <w:p w14:paraId="61528071" w14:textId="77777777" w:rsidR="00D833C6" w:rsidRPr="009118AB" w:rsidRDefault="00D833C6" w:rsidP="00866B3D">
      <w:pPr>
        <w:autoSpaceDE w:val="0"/>
        <w:autoSpaceDN w:val="0"/>
        <w:adjustRightInd w:val="0"/>
        <w:ind w:firstLine="709"/>
        <w:jc w:val="both"/>
        <w:rPr>
          <w:iCs/>
        </w:rPr>
      </w:pPr>
      <w:r w:rsidRPr="009118AB">
        <w:rPr>
          <w:iCs/>
        </w:rPr>
        <w:t>2. Namen, Unternehmensnummer und Gesellschaftszweck der in Betracht kommenden Anleger,</w:t>
      </w:r>
    </w:p>
    <w:p w14:paraId="35165687" w14:textId="77777777" w:rsidR="00D833C6" w:rsidRPr="009118AB" w:rsidRDefault="00D833C6" w:rsidP="00D833C6">
      <w:pPr>
        <w:autoSpaceDE w:val="0"/>
        <w:autoSpaceDN w:val="0"/>
        <w:adjustRightInd w:val="0"/>
        <w:jc w:val="both"/>
        <w:rPr>
          <w:iCs/>
        </w:rPr>
      </w:pPr>
    </w:p>
    <w:p w14:paraId="35024CF7" w14:textId="77777777" w:rsidR="00D833C6" w:rsidRPr="009118AB" w:rsidRDefault="00D833C6" w:rsidP="00866B3D">
      <w:pPr>
        <w:autoSpaceDE w:val="0"/>
        <w:autoSpaceDN w:val="0"/>
        <w:adjustRightInd w:val="0"/>
        <w:ind w:firstLine="709"/>
        <w:jc w:val="both"/>
        <w:rPr>
          <w:iCs/>
        </w:rPr>
      </w:pPr>
      <w:r w:rsidRPr="009118AB">
        <w:rPr>
          <w:iCs/>
        </w:rPr>
        <w:t>3. Namen, Unternehmensnummer und Gesellschaftszweck oder Identität und nationale Nummer und Datum der Zulassung der in Betracht kommenden Vermittler,</w:t>
      </w:r>
    </w:p>
    <w:p w14:paraId="344F63FE" w14:textId="77777777" w:rsidR="00D833C6" w:rsidRPr="009118AB" w:rsidRDefault="00D833C6" w:rsidP="00D833C6">
      <w:pPr>
        <w:autoSpaceDE w:val="0"/>
        <w:autoSpaceDN w:val="0"/>
        <w:adjustRightInd w:val="0"/>
        <w:jc w:val="both"/>
        <w:rPr>
          <w:iCs/>
        </w:rPr>
      </w:pPr>
    </w:p>
    <w:p w14:paraId="64BBCCF4" w14:textId="77777777" w:rsidR="00D833C6" w:rsidRPr="009118AB" w:rsidRDefault="00D833C6" w:rsidP="00866B3D">
      <w:pPr>
        <w:autoSpaceDE w:val="0"/>
        <w:autoSpaceDN w:val="0"/>
        <w:adjustRightInd w:val="0"/>
        <w:ind w:firstLine="709"/>
        <w:jc w:val="both"/>
        <w:rPr>
          <w:iCs/>
        </w:rPr>
      </w:pPr>
      <w:r w:rsidRPr="009118AB">
        <w:rPr>
          <w:iCs/>
        </w:rPr>
        <w:t>4. Identifizierung und Beschreibung des in Betracht kommenden Werks, auf das das Rahmenübereinkommen sich bezieht,</w:t>
      </w:r>
    </w:p>
    <w:p w14:paraId="13B2AA00" w14:textId="77777777" w:rsidR="00D833C6" w:rsidRPr="009118AB" w:rsidRDefault="00D833C6" w:rsidP="00D833C6">
      <w:pPr>
        <w:autoSpaceDE w:val="0"/>
        <w:autoSpaceDN w:val="0"/>
        <w:adjustRightInd w:val="0"/>
        <w:jc w:val="both"/>
        <w:rPr>
          <w:iCs/>
        </w:rPr>
      </w:pPr>
    </w:p>
    <w:p w14:paraId="4830710E" w14:textId="78293FDB" w:rsidR="00D833C6" w:rsidRPr="009118AB" w:rsidRDefault="00D833C6" w:rsidP="00866B3D">
      <w:pPr>
        <w:autoSpaceDE w:val="0"/>
        <w:autoSpaceDN w:val="0"/>
        <w:adjustRightInd w:val="0"/>
        <w:ind w:firstLine="709"/>
        <w:jc w:val="both"/>
        <w:rPr>
          <w:iCs/>
        </w:rPr>
      </w:pPr>
      <w:r w:rsidRPr="009118AB">
        <w:rPr>
          <w:iCs/>
        </w:rPr>
        <w:t>5. Budget der für vorerwähntes Werk notwendigen Ausgaben, wobei ein Unterschied gemacht wird zwischen:</w:t>
      </w:r>
    </w:p>
    <w:p w14:paraId="056E02A0" w14:textId="77777777" w:rsidR="00D833C6" w:rsidRPr="009118AB" w:rsidRDefault="00D833C6" w:rsidP="00D833C6">
      <w:pPr>
        <w:autoSpaceDE w:val="0"/>
        <w:autoSpaceDN w:val="0"/>
        <w:adjustRightInd w:val="0"/>
        <w:jc w:val="both"/>
        <w:rPr>
          <w:iCs/>
        </w:rPr>
      </w:pPr>
    </w:p>
    <w:p w14:paraId="6867741D" w14:textId="77777777" w:rsidR="00D833C6" w:rsidRPr="009118AB" w:rsidRDefault="00D833C6" w:rsidP="00866B3D">
      <w:pPr>
        <w:autoSpaceDE w:val="0"/>
        <w:autoSpaceDN w:val="0"/>
        <w:adjustRightInd w:val="0"/>
        <w:ind w:firstLine="709"/>
        <w:jc w:val="both"/>
        <w:rPr>
          <w:iCs/>
        </w:rPr>
      </w:pPr>
      <w:r w:rsidRPr="009118AB">
        <w:rPr>
          <w:iCs/>
        </w:rPr>
        <w:t>- dem Teil, den [die in Betracht kommende Produktionsgesellschaft] trägt,</w:t>
      </w:r>
    </w:p>
    <w:p w14:paraId="63DE5B05" w14:textId="77777777" w:rsidR="00D833C6" w:rsidRPr="009118AB" w:rsidRDefault="00D833C6" w:rsidP="00D833C6">
      <w:pPr>
        <w:autoSpaceDE w:val="0"/>
        <w:autoSpaceDN w:val="0"/>
        <w:adjustRightInd w:val="0"/>
        <w:jc w:val="both"/>
        <w:rPr>
          <w:iCs/>
        </w:rPr>
      </w:pPr>
    </w:p>
    <w:p w14:paraId="6456AA87" w14:textId="77777777" w:rsidR="00D833C6" w:rsidRPr="009118AB" w:rsidRDefault="00D833C6" w:rsidP="00866B3D">
      <w:pPr>
        <w:autoSpaceDE w:val="0"/>
        <w:autoSpaceDN w:val="0"/>
        <w:adjustRightInd w:val="0"/>
        <w:ind w:firstLine="709"/>
        <w:jc w:val="both"/>
        <w:rPr>
          <w:iCs/>
        </w:rPr>
      </w:pPr>
      <w:r w:rsidRPr="009118AB">
        <w:rPr>
          <w:iCs/>
        </w:rPr>
        <w:t>- dem Teil, der von jedem der in Betracht kommenden Anleger, der sich bereits verpflichtet hat, finanziert wird,</w:t>
      </w:r>
    </w:p>
    <w:p w14:paraId="6BD8E378" w14:textId="77777777" w:rsidR="00D833C6" w:rsidRPr="009118AB" w:rsidRDefault="00D833C6" w:rsidP="00D833C6">
      <w:pPr>
        <w:autoSpaceDE w:val="0"/>
        <w:autoSpaceDN w:val="0"/>
        <w:adjustRightInd w:val="0"/>
        <w:jc w:val="both"/>
        <w:rPr>
          <w:iCs/>
        </w:rPr>
      </w:pPr>
    </w:p>
    <w:p w14:paraId="7A9B580B" w14:textId="77777777" w:rsidR="00D833C6" w:rsidRPr="009118AB" w:rsidRDefault="00D833C6" w:rsidP="00866B3D">
      <w:pPr>
        <w:autoSpaceDE w:val="0"/>
        <w:autoSpaceDN w:val="0"/>
        <w:adjustRightInd w:val="0"/>
        <w:ind w:firstLine="709"/>
        <w:jc w:val="both"/>
        <w:rPr>
          <w:iCs/>
        </w:rPr>
      </w:pPr>
      <w:r w:rsidRPr="009118AB">
        <w:rPr>
          <w:iCs/>
        </w:rPr>
        <w:t>6. vereinbarte Weise, wie die zur Ausführung des Rahmenübereinkommens verwendeten Summen vergütet werden,</w:t>
      </w:r>
    </w:p>
    <w:p w14:paraId="348D9C1A" w14:textId="77777777" w:rsidR="00D833C6" w:rsidRPr="009118AB" w:rsidRDefault="00D833C6" w:rsidP="00D833C6">
      <w:pPr>
        <w:autoSpaceDE w:val="0"/>
        <w:autoSpaceDN w:val="0"/>
        <w:adjustRightInd w:val="0"/>
        <w:jc w:val="both"/>
        <w:rPr>
          <w:iCs/>
        </w:rPr>
      </w:pPr>
    </w:p>
    <w:p w14:paraId="37AA5FE5" w14:textId="4EA3E66C" w:rsidR="00D833C6" w:rsidRPr="009118AB" w:rsidRDefault="00D833C6" w:rsidP="00866B3D">
      <w:pPr>
        <w:autoSpaceDE w:val="0"/>
        <w:autoSpaceDN w:val="0"/>
        <w:adjustRightInd w:val="0"/>
        <w:ind w:firstLine="709"/>
        <w:jc w:val="both"/>
        <w:rPr>
          <w:iCs/>
        </w:rPr>
      </w:pPr>
      <w:r w:rsidRPr="009118AB">
        <w:rPr>
          <w:iCs/>
        </w:rPr>
        <w:t xml:space="preserve">7. [Versicherung, dass in Betracht kommende Anleger weder in Betracht kommende Produktionsgesellschaften sind noch Fernsehanstalten noch Gesellschaften, die im Sinne von </w:t>
      </w:r>
      <w:r w:rsidR="00BD5F04" w:rsidRPr="009118AB">
        <w:rPr>
          <w:iCs/>
        </w:rPr>
        <w:lastRenderedPageBreak/>
        <w:t>[</w:t>
      </w:r>
      <w:r w:rsidR="00BD5F04" w:rsidRPr="009118AB">
        <w:t>Artikel 1:20 des Gesetzbuches der Gesellschaften und Vereinigungen</w:t>
      </w:r>
      <w:r w:rsidR="00BD5F04" w:rsidRPr="009118AB">
        <w:rPr>
          <w:iCs/>
        </w:rPr>
        <w:t xml:space="preserve">] </w:t>
      </w:r>
      <w:r w:rsidRPr="009118AB">
        <w:rPr>
          <w:iCs/>
        </w:rPr>
        <w:t>mit in Betracht kommenden Produktionsgesell</w:t>
      </w:r>
      <w:r w:rsidRPr="009118AB">
        <w:rPr>
          <w:iCs/>
        </w:rPr>
        <w:softHyphen/>
        <w:t>schaften verbunden sind,]</w:t>
      </w:r>
    </w:p>
    <w:p w14:paraId="1E2DB4DA" w14:textId="77777777" w:rsidR="00D833C6" w:rsidRPr="009118AB" w:rsidRDefault="00D833C6" w:rsidP="00D833C6">
      <w:pPr>
        <w:autoSpaceDE w:val="0"/>
        <w:autoSpaceDN w:val="0"/>
        <w:adjustRightInd w:val="0"/>
        <w:jc w:val="both"/>
        <w:rPr>
          <w:iCs/>
        </w:rPr>
      </w:pPr>
    </w:p>
    <w:p w14:paraId="5A7FCECF" w14:textId="77777777" w:rsidR="00D833C6" w:rsidRPr="009118AB" w:rsidRDefault="00D833C6" w:rsidP="00866B3D">
      <w:pPr>
        <w:autoSpaceDE w:val="0"/>
        <w:autoSpaceDN w:val="0"/>
        <w:adjustRightInd w:val="0"/>
        <w:ind w:firstLine="709"/>
        <w:jc w:val="both"/>
        <w:rPr>
          <w:iCs/>
        </w:rPr>
      </w:pPr>
      <w:r w:rsidRPr="009118AB">
        <w:rPr>
          <w:iCs/>
        </w:rPr>
        <w:t>8. Verpflichtung der Produktionsgesellschaft:</w:t>
      </w:r>
    </w:p>
    <w:p w14:paraId="742DBD34" w14:textId="77777777" w:rsidR="00D833C6" w:rsidRPr="009118AB" w:rsidRDefault="00D833C6" w:rsidP="00D833C6">
      <w:pPr>
        <w:autoSpaceDE w:val="0"/>
        <w:autoSpaceDN w:val="0"/>
        <w:adjustRightInd w:val="0"/>
        <w:jc w:val="both"/>
        <w:rPr>
          <w:iCs/>
        </w:rPr>
      </w:pPr>
    </w:p>
    <w:p w14:paraId="19C06436" w14:textId="0DB3BA64" w:rsidR="00D833C6" w:rsidRPr="009118AB" w:rsidRDefault="00D833C6" w:rsidP="00866B3D">
      <w:pPr>
        <w:autoSpaceDE w:val="0"/>
        <w:autoSpaceDN w:val="0"/>
        <w:adjustRightInd w:val="0"/>
        <w:ind w:firstLine="709"/>
        <w:jc w:val="both"/>
        <w:rPr>
          <w:iCs/>
        </w:rPr>
      </w:pPr>
      <w:r w:rsidRPr="009118AB">
        <w:rPr>
          <w:iCs/>
        </w:rPr>
        <w:t xml:space="preserve">- [zur Angabe, dass sie kein Unternehmen ist, das mit einer belgischen oder ausländischen Fernsehanstalt verbunden ist, oder dass sie gemäß </w:t>
      </w:r>
      <w:r w:rsidR="00D67EB8" w:rsidRPr="009118AB">
        <w:rPr>
          <w:iCs/>
        </w:rPr>
        <w:t>§ </w:t>
      </w:r>
      <w:r w:rsidRPr="009118AB">
        <w:rPr>
          <w:iCs/>
        </w:rPr>
        <w:t xml:space="preserve">1 </w:t>
      </w:r>
      <w:r w:rsidR="00D67EB8" w:rsidRPr="009118AB">
        <w:rPr>
          <w:iCs/>
        </w:rPr>
        <w:t>Nr. </w:t>
      </w:r>
      <w:r w:rsidRPr="009118AB">
        <w:rPr>
          <w:iCs/>
        </w:rPr>
        <w:t>2 Absatz 2 nicht als Unternehmen gelten kann, das mit einer belgischen oder ausländischen Fernsehanstalt verbunden ist, da diese Fernsehanstalt keine Vorteile erhält, die in direktem Zusammenhang mit der Produktion oder Verwertung des in Betracht kommenden Werks stehen,]</w:t>
      </w:r>
    </w:p>
    <w:p w14:paraId="04D129E3" w14:textId="77777777" w:rsidR="00D833C6" w:rsidRPr="009118AB" w:rsidRDefault="00D833C6" w:rsidP="00D833C6">
      <w:pPr>
        <w:autoSpaceDE w:val="0"/>
        <w:autoSpaceDN w:val="0"/>
        <w:adjustRightInd w:val="0"/>
        <w:jc w:val="both"/>
        <w:rPr>
          <w:iCs/>
        </w:rPr>
      </w:pPr>
    </w:p>
    <w:p w14:paraId="67409AC4" w14:textId="4AD6B429" w:rsidR="00D833C6" w:rsidRPr="009118AB" w:rsidRDefault="00D833C6" w:rsidP="00866B3D">
      <w:pPr>
        <w:autoSpaceDE w:val="0"/>
        <w:autoSpaceDN w:val="0"/>
        <w:adjustRightInd w:val="0"/>
        <w:ind w:firstLine="709"/>
        <w:jc w:val="both"/>
        <w:rPr>
          <w:iCs/>
        </w:rPr>
      </w:pPr>
      <w:r w:rsidRPr="009118AB">
        <w:rPr>
          <w:iCs/>
        </w:rPr>
        <w:t xml:space="preserve">- den definitiven Betrag der Summen, die [...] zur Ausführung des Rahmenübereinkommens unter Befreiung der Gewinne von der Steuer verwendet werden, für sämtliche in Betracht kommenden Anleger auf höchstens 50 Prozent des Budgets der Gesamtausgaben für das in Betracht kommende Werk zu begrenzen und die Gesamtheit der gemäß </w:t>
      </w:r>
      <w:r w:rsidR="00D67EB8" w:rsidRPr="009118AB">
        <w:rPr>
          <w:iCs/>
        </w:rPr>
        <w:t>§ </w:t>
      </w:r>
      <w:r w:rsidRPr="009118AB">
        <w:rPr>
          <w:iCs/>
        </w:rPr>
        <w:t>2 gezahlten Summen tatsächlich zur Ausführung dieses Budgets zu verwenden,</w:t>
      </w:r>
    </w:p>
    <w:p w14:paraId="347E3EF9" w14:textId="77777777" w:rsidR="00D833C6" w:rsidRPr="009118AB" w:rsidRDefault="00D833C6" w:rsidP="00D833C6">
      <w:pPr>
        <w:autoSpaceDE w:val="0"/>
        <w:autoSpaceDN w:val="0"/>
        <w:adjustRightInd w:val="0"/>
        <w:jc w:val="both"/>
        <w:rPr>
          <w:iCs/>
        </w:rPr>
      </w:pPr>
    </w:p>
    <w:p w14:paraId="6A42B444" w14:textId="77777777" w:rsidR="00D833C6" w:rsidRPr="009118AB" w:rsidRDefault="00D833C6" w:rsidP="00866B3D">
      <w:pPr>
        <w:autoSpaceDE w:val="0"/>
        <w:autoSpaceDN w:val="0"/>
        <w:adjustRightInd w:val="0"/>
        <w:ind w:firstLine="709"/>
        <w:jc w:val="both"/>
        <w:rPr>
          <w:iCs/>
        </w:rPr>
      </w:pPr>
      <w:r w:rsidRPr="009118AB">
        <w:rPr>
          <w:iCs/>
        </w:rPr>
        <w:t>- [dass mindestens 70 Prozent der in Betracht kommenden Ausgaben für Produktion und Verwertung im Europäischen Wirtschaftsraum Ausgaben in direktem Zusammenhang mit der Produktion und Verwertung sind,]</w:t>
      </w:r>
    </w:p>
    <w:p w14:paraId="1C0A7E6E" w14:textId="77777777" w:rsidR="00D833C6" w:rsidRPr="009118AB" w:rsidRDefault="00D833C6" w:rsidP="00D833C6">
      <w:pPr>
        <w:autoSpaceDE w:val="0"/>
        <w:autoSpaceDN w:val="0"/>
        <w:adjustRightInd w:val="0"/>
        <w:jc w:val="both"/>
        <w:rPr>
          <w:iCs/>
        </w:rPr>
      </w:pPr>
    </w:p>
    <w:p w14:paraId="59A100C0" w14:textId="77777777" w:rsidR="00D833C6" w:rsidRPr="009118AB" w:rsidRDefault="00D833C6" w:rsidP="00866B3D">
      <w:pPr>
        <w:autoSpaceDE w:val="0"/>
        <w:autoSpaceDN w:val="0"/>
        <w:adjustRightInd w:val="0"/>
        <w:ind w:firstLine="709"/>
        <w:jc w:val="both"/>
        <w:rPr>
          <w:iCs/>
        </w:rPr>
      </w:pPr>
      <w:r w:rsidRPr="009118AB">
        <w:rPr>
          <w:iCs/>
        </w:rPr>
        <w:t>[- dass mindestens 70 Prozent der in Belgien getätigten Ausgaben für Produktion und Verwertung Ausgaben in direktem Zusammenhang mit der Produktion und Verwertung sind,</w:t>
      </w:r>
    </w:p>
    <w:p w14:paraId="10A6A7D6" w14:textId="77777777" w:rsidR="00D833C6" w:rsidRPr="009118AB" w:rsidRDefault="00D833C6" w:rsidP="00D833C6">
      <w:pPr>
        <w:autoSpaceDE w:val="0"/>
        <w:autoSpaceDN w:val="0"/>
        <w:adjustRightInd w:val="0"/>
        <w:jc w:val="both"/>
        <w:rPr>
          <w:iCs/>
        </w:rPr>
      </w:pPr>
    </w:p>
    <w:p w14:paraId="6481674D" w14:textId="77777777" w:rsidR="00D833C6" w:rsidRPr="009118AB" w:rsidRDefault="00D833C6" w:rsidP="00866B3D">
      <w:pPr>
        <w:autoSpaceDE w:val="0"/>
        <w:autoSpaceDN w:val="0"/>
        <w:adjustRightInd w:val="0"/>
        <w:ind w:firstLine="709"/>
        <w:jc w:val="both"/>
        <w:rPr>
          <w:iCs/>
        </w:rPr>
      </w:pPr>
      <w:r w:rsidRPr="009118AB">
        <w:rPr>
          <w:iCs/>
        </w:rPr>
        <w:t>- dass mindestens 90 Prozent der in Betracht kommenden Ausgaben für Produktion und Verwertung, die bei der Berechnung der definitiven Schätzung des Steuerwertes der Tax-Shelter-Bescheinigung wie im Rahmenübereinkommen angegeben berücksichtigt werden, in Belgien getätigte Ausgaben für Produktion und Verwertung sind, so dass dieser Steuerwert erreicht werden kann,]</w:t>
      </w:r>
    </w:p>
    <w:p w14:paraId="5364D568" w14:textId="77777777" w:rsidR="00D833C6" w:rsidRPr="009118AB" w:rsidRDefault="00D833C6" w:rsidP="00D833C6">
      <w:pPr>
        <w:autoSpaceDE w:val="0"/>
        <w:autoSpaceDN w:val="0"/>
        <w:adjustRightInd w:val="0"/>
        <w:jc w:val="both"/>
        <w:rPr>
          <w:iCs/>
        </w:rPr>
      </w:pPr>
    </w:p>
    <w:p w14:paraId="5E5BC7DA" w14:textId="77777777" w:rsidR="00D833C6" w:rsidRPr="009118AB" w:rsidRDefault="00D833C6" w:rsidP="00866B3D">
      <w:pPr>
        <w:autoSpaceDE w:val="0"/>
        <w:autoSpaceDN w:val="0"/>
        <w:adjustRightInd w:val="0"/>
        <w:ind w:firstLine="709"/>
        <w:jc w:val="both"/>
        <w:rPr>
          <w:iCs/>
        </w:rPr>
      </w:pPr>
      <w:r w:rsidRPr="009118AB">
        <w:rPr>
          <w:iCs/>
        </w:rPr>
        <w:t>- im Nachspann des Werks die durch die belgischen Rechtsvorschriften über die Tax-Shelter-Regelung gewährte Unterstützung anzugeben,</w:t>
      </w:r>
    </w:p>
    <w:p w14:paraId="020EE492" w14:textId="77777777" w:rsidR="00D833C6" w:rsidRPr="009118AB" w:rsidRDefault="00D833C6" w:rsidP="00D833C6">
      <w:pPr>
        <w:autoSpaceDE w:val="0"/>
        <w:autoSpaceDN w:val="0"/>
        <w:adjustRightInd w:val="0"/>
        <w:jc w:val="both"/>
        <w:rPr>
          <w:iCs/>
        </w:rPr>
      </w:pPr>
    </w:p>
    <w:p w14:paraId="10635782" w14:textId="53D8DC5D" w:rsidR="00D833C6" w:rsidRPr="009118AB" w:rsidRDefault="00D833C6" w:rsidP="00866B3D">
      <w:pPr>
        <w:autoSpaceDE w:val="0"/>
        <w:autoSpaceDN w:val="0"/>
        <w:adjustRightInd w:val="0"/>
        <w:ind w:firstLine="709"/>
        <w:jc w:val="both"/>
        <w:rPr>
          <w:iCs/>
        </w:rPr>
      </w:pPr>
      <w:r w:rsidRPr="009118AB">
        <w:rPr>
          <w:iCs/>
        </w:rPr>
        <w:t>9. Verpflichtung [der in Betracht kommenden Produktionsgesellschaft und der in Betracht kommenden Vermittler], die Rechts</w:t>
      </w:r>
      <w:r w:rsidRPr="009118AB">
        <w:rPr>
          <w:iCs/>
        </w:rPr>
        <w:softHyphen/>
        <w:t xml:space="preserve">vorschriften über die Tax-Shelter-Regelung und insbesondere </w:t>
      </w:r>
      <w:r w:rsidR="00D67EB8" w:rsidRPr="009118AB">
        <w:rPr>
          <w:iCs/>
        </w:rPr>
        <w:t>§ </w:t>
      </w:r>
      <w:r w:rsidRPr="009118AB">
        <w:rPr>
          <w:iCs/>
        </w:rPr>
        <w:t>12 des vorliegenden Artikels einzuhalten.</w:t>
      </w:r>
    </w:p>
    <w:p w14:paraId="4E20DEFC" w14:textId="77777777" w:rsidR="00D833C6" w:rsidRPr="009118AB" w:rsidRDefault="00D833C6" w:rsidP="00D833C6">
      <w:pPr>
        <w:autoSpaceDE w:val="0"/>
        <w:autoSpaceDN w:val="0"/>
        <w:adjustRightInd w:val="0"/>
        <w:jc w:val="both"/>
        <w:rPr>
          <w:iCs/>
        </w:rPr>
      </w:pPr>
    </w:p>
    <w:p w14:paraId="5E174256" w14:textId="77777777" w:rsidR="00D833C6" w:rsidRPr="009118AB" w:rsidRDefault="00D833C6" w:rsidP="00866B3D">
      <w:pPr>
        <w:autoSpaceDE w:val="0"/>
        <w:autoSpaceDN w:val="0"/>
        <w:adjustRightInd w:val="0"/>
        <w:ind w:firstLine="709"/>
        <w:jc w:val="both"/>
        <w:rPr>
          <w:iCs/>
        </w:rPr>
      </w:pPr>
      <w:r w:rsidRPr="009118AB">
        <w:rPr>
          <w:iCs/>
        </w:rPr>
        <w:t>[Der König kann die praktischen Modalitäten für Erstellung, Inhalt und Form des Rahmenübereinkommens bestimmen.]]</w:t>
      </w:r>
    </w:p>
    <w:p w14:paraId="3D58C073" w14:textId="77777777" w:rsidR="00D833C6" w:rsidRPr="009118AB" w:rsidRDefault="00D833C6" w:rsidP="00D833C6">
      <w:pPr>
        <w:autoSpaceDE w:val="0"/>
        <w:autoSpaceDN w:val="0"/>
        <w:adjustRightInd w:val="0"/>
        <w:jc w:val="both"/>
        <w:rPr>
          <w:iCs/>
        </w:rPr>
      </w:pPr>
    </w:p>
    <w:p w14:paraId="10DBC223" w14:textId="3B7DE429" w:rsidR="00D833C6" w:rsidRPr="009118AB" w:rsidRDefault="00D833C6" w:rsidP="00866B3D">
      <w:pPr>
        <w:autoSpaceDE w:val="0"/>
        <w:autoSpaceDN w:val="0"/>
        <w:adjustRightInd w:val="0"/>
        <w:ind w:firstLine="709"/>
        <w:jc w:val="both"/>
        <w:rPr>
          <w:iCs/>
        </w:rPr>
      </w:pPr>
      <w:r w:rsidRPr="009118AB">
        <w:rPr>
          <w:iCs/>
        </w:rPr>
        <w:t>[</w:t>
      </w:r>
      <w:r w:rsidR="00D67EB8" w:rsidRPr="009118AB">
        <w:rPr>
          <w:iCs/>
        </w:rPr>
        <w:t>§ </w:t>
      </w:r>
      <w:r w:rsidRPr="009118AB">
        <w:rPr>
          <w:iCs/>
        </w:rPr>
        <w:t>11</w:t>
      </w:r>
      <w:r w:rsidR="00D67EB8" w:rsidRPr="009118AB">
        <w:rPr>
          <w:iCs/>
        </w:rPr>
        <w:t> - </w:t>
      </w:r>
      <w:r w:rsidRPr="009118AB">
        <w:rPr>
          <w:iCs/>
        </w:rPr>
        <w:t xml:space="preserve">Keine wirtschaftlichen oder finanziellen Vorteile können dem in Betracht kommenden Anleger gewährt werden, mit Ausnahme von Werbegeschenken von geringem Wert im Sinne von Artikel 12 </w:t>
      </w:r>
      <w:r w:rsidR="00D67EB8" w:rsidRPr="009118AB">
        <w:rPr>
          <w:iCs/>
        </w:rPr>
        <w:t>§ </w:t>
      </w:r>
      <w:r w:rsidRPr="009118AB">
        <w:rPr>
          <w:iCs/>
        </w:rPr>
        <w:t xml:space="preserve">1 Absatz 1 </w:t>
      </w:r>
      <w:r w:rsidR="00D67EB8" w:rsidRPr="009118AB">
        <w:rPr>
          <w:iCs/>
        </w:rPr>
        <w:t>Nr. </w:t>
      </w:r>
      <w:r w:rsidRPr="009118AB">
        <w:rPr>
          <w:iCs/>
        </w:rPr>
        <w:t>2 des Mehrwertsteuergesetzbuches. Die Garantie für die Vollendung des in Betracht kommenden Werks und für die Ausstellung der Tax-Shelter-Bescheinigung gilt nicht als wirtschaftlicher oder finanzieller Vorteil, sofern der in Betracht kommende Anleger bei Inanspruchnahme dieser Garantie nicht mehr als den Betrag der Steuern und Verzugszinsen erhält, die Letzterer bei Nichteinhaltung dieser Befreiungsbedingung schuldet.</w:t>
      </w:r>
    </w:p>
    <w:p w14:paraId="59B381B2" w14:textId="77777777" w:rsidR="00D833C6" w:rsidRPr="009118AB" w:rsidRDefault="00D833C6" w:rsidP="00D833C6">
      <w:pPr>
        <w:autoSpaceDE w:val="0"/>
        <w:autoSpaceDN w:val="0"/>
        <w:adjustRightInd w:val="0"/>
        <w:jc w:val="both"/>
        <w:rPr>
          <w:iCs/>
        </w:rPr>
      </w:pPr>
    </w:p>
    <w:p w14:paraId="5683605B" w14:textId="77777777" w:rsidR="00D833C6" w:rsidRPr="009118AB" w:rsidRDefault="00D833C6" w:rsidP="00866B3D">
      <w:pPr>
        <w:autoSpaceDE w:val="0"/>
        <w:autoSpaceDN w:val="0"/>
        <w:adjustRightInd w:val="0"/>
        <w:ind w:firstLine="709"/>
        <w:jc w:val="both"/>
        <w:rPr>
          <w:iCs/>
        </w:rPr>
      </w:pPr>
      <w:r w:rsidRPr="009118AB">
        <w:rPr>
          <w:iCs/>
        </w:rPr>
        <w:lastRenderedPageBreak/>
        <w:t>Der in Betracht kommende Anleger darf direkt oder indirekt keine Rechte an dem in Betracht kommenden Werk besitzen oder besessen haben.</w:t>
      </w:r>
    </w:p>
    <w:p w14:paraId="091462F8" w14:textId="77777777" w:rsidR="00D833C6" w:rsidRPr="009118AB" w:rsidRDefault="00D833C6" w:rsidP="00D833C6">
      <w:pPr>
        <w:autoSpaceDE w:val="0"/>
        <w:autoSpaceDN w:val="0"/>
        <w:adjustRightInd w:val="0"/>
        <w:jc w:val="both"/>
        <w:rPr>
          <w:iCs/>
        </w:rPr>
      </w:pPr>
    </w:p>
    <w:p w14:paraId="6E258AC0" w14:textId="77777777" w:rsidR="00D833C6" w:rsidRPr="009118AB" w:rsidRDefault="00D833C6" w:rsidP="00866B3D">
      <w:pPr>
        <w:autoSpaceDE w:val="0"/>
        <w:autoSpaceDN w:val="0"/>
        <w:adjustRightInd w:val="0"/>
        <w:ind w:firstLine="709"/>
        <w:jc w:val="both"/>
        <w:rPr>
          <w:iCs/>
        </w:rPr>
      </w:pPr>
      <w:r w:rsidRPr="009118AB">
        <w:rPr>
          <w:iCs/>
        </w:rPr>
        <w:t>Vorhergehende Bestimmungen beeinträchtigen nicht das Recht des in Betracht kommenden Anlegers, unter den in den Artikeln 49 und folgenden angegebenen Bedingungen den eventuellen Abzug als Werbungskosten anderer Beträge als derjenigen, die im Rahmen des Rahmenübereinkommens gezahlt wurden, und die ebenfalls zur Produktion eines in Betracht kommenden Werks verwendet worden sind, zu beanspruchen.</w:t>
      </w:r>
    </w:p>
    <w:p w14:paraId="3148CC9B" w14:textId="77777777" w:rsidR="00D833C6" w:rsidRPr="009118AB" w:rsidRDefault="00D833C6" w:rsidP="00D833C6">
      <w:pPr>
        <w:autoSpaceDE w:val="0"/>
        <w:autoSpaceDN w:val="0"/>
        <w:adjustRightInd w:val="0"/>
        <w:jc w:val="both"/>
        <w:rPr>
          <w:iCs/>
        </w:rPr>
      </w:pPr>
    </w:p>
    <w:p w14:paraId="50DE1CAA" w14:textId="77777777" w:rsidR="00D833C6" w:rsidRPr="009118AB" w:rsidRDefault="00D833C6" w:rsidP="00866B3D">
      <w:pPr>
        <w:autoSpaceDE w:val="0"/>
        <w:autoSpaceDN w:val="0"/>
        <w:adjustRightInd w:val="0"/>
        <w:ind w:firstLine="709"/>
        <w:jc w:val="both"/>
        <w:rPr>
          <w:iCs/>
        </w:rPr>
      </w:pPr>
      <w:r w:rsidRPr="009118AB">
        <w:rPr>
          <w:iCs/>
        </w:rPr>
        <w:t>In Abweichung von den Artikeln 23, 48, 49 und 61 sind Kosten und Verluste und Minderwerte, Rückstellungen und Abschreibungen, die sich auf den Erwerb einer Tax-Shelter-Bescheinigung beziehen, nicht als Werbungskosten oder berufliche Verluste abzugsfähig und werden sie nicht von der Steuer befreit.</w:t>
      </w:r>
      <w:r w:rsidR="0061521D" w:rsidRPr="009118AB">
        <w:rPr>
          <w:iCs/>
        </w:rPr>
        <w:t>]</w:t>
      </w:r>
    </w:p>
    <w:p w14:paraId="73FE9519" w14:textId="77777777" w:rsidR="00D833C6" w:rsidRPr="009118AB" w:rsidRDefault="00D833C6" w:rsidP="00D833C6">
      <w:pPr>
        <w:autoSpaceDE w:val="0"/>
        <w:autoSpaceDN w:val="0"/>
        <w:adjustRightInd w:val="0"/>
        <w:jc w:val="both"/>
        <w:rPr>
          <w:iCs/>
        </w:rPr>
      </w:pPr>
    </w:p>
    <w:p w14:paraId="08AADD24" w14:textId="02491201" w:rsidR="00D833C6" w:rsidRPr="009118AB" w:rsidRDefault="0061521D" w:rsidP="00866B3D">
      <w:pPr>
        <w:autoSpaceDE w:val="0"/>
        <w:autoSpaceDN w:val="0"/>
        <w:adjustRightInd w:val="0"/>
        <w:ind w:firstLine="709"/>
        <w:jc w:val="both"/>
        <w:rPr>
          <w:iCs/>
        </w:rPr>
      </w:pPr>
      <w:r w:rsidRPr="009118AB">
        <w:rPr>
          <w:iCs/>
        </w:rPr>
        <w:t>[</w:t>
      </w:r>
      <w:r w:rsidR="00D67EB8" w:rsidRPr="009118AB">
        <w:rPr>
          <w:iCs/>
        </w:rPr>
        <w:t>§ </w:t>
      </w:r>
      <w:r w:rsidR="00D833C6" w:rsidRPr="009118AB">
        <w:rPr>
          <w:iCs/>
        </w:rPr>
        <w:t>12</w:t>
      </w:r>
      <w:r w:rsidR="00D67EB8" w:rsidRPr="009118AB">
        <w:rPr>
          <w:iCs/>
        </w:rPr>
        <w:t> - </w:t>
      </w:r>
      <w:r w:rsidR="00D833C6" w:rsidRPr="009118AB">
        <w:rPr>
          <w:iCs/>
        </w:rPr>
        <w:t xml:space="preserve">Das Anbieten einer Tax-Shelter-Bescheinigung durch die in Betracht kommende Produktionsgesellschaft oder den in Betracht kommenden Vermittler und die Vermittlung in den Rahmenübereinkommen erfolgen in Übereinstimmung mit den Bestimmungen </w:t>
      </w:r>
      <w:r w:rsidRPr="009118AB">
        <w:rPr>
          <w:iCs/>
        </w:rPr>
        <w:t>[des Gesetzes vom 11. Juli 2018 über das öffentliche Angebot von Anlageinstrumenten und deren Zulassung zum Handel an geregelten Märkten und der Verordnung (EU) 2017/1129 des Europäischen Parlaments und des Rates vom 14. Juni 2017 über den Prospekt, der beim öffentlichen Angebot von Wertpapieren oder bei deren Zulassung zum Handel an einem geregelten Markt zu veröffentlichen ist, und zur Aufhebung der Richtlinie 2003/71/EG]</w:t>
      </w:r>
      <w:r w:rsidR="00D833C6" w:rsidRPr="009118AB">
        <w:rPr>
          <w:iCs/>
        </w:rPr>
        <w:t>.]</w:t>
      </w:r>
    </w:p>
    <w:p w14:paraId="1DF267B3" w14:textId="77777777" w:rsidR="00D833C6" w:rsidRPr="009118AB" w:rsidRDefault="00D833C6" w:rsidP="00D833C6">
      <w:pPr>
        <w:autoSpaceDE w:val="0"/>
        <w:autoSpaceDN w:val="0"/>
        <w:adjustRightInd w:val="0"/>
        <w:jc w:val="both"/>
        <w:rPr>
          <w:iCs/>
        </w:rPr>
      </w:pPr>
    </w:p>
    <w:p w14:paraId="77810BA6" w14:textId="7778ACD1" w:rsidR="00D833C6" w:rsidRPr="009118AB" w:rsidRDefault="00D833C6" w:rsidP="00D833C6">
      <w:pPr>
        <w:autoSpaceDE w:val="0"/>
        <w:autoSpaceDN w:val="0"/>
        <w:adjustRightInd w:val="0"/>
        <w:jc w:val="both"/>
        <w:rPr>
          <w:iCs/>
        </w:rPr>
      </w:pPr>
      <w:r w:rsidRPr="009118AB">
        <w:rPr>
          <w:i/>
          <w:iCs/>
        </w:rPr>
        <w:t>[</w:t>
      </w:r>
      <w:r w:rsidR="00D67EB8" w:rsidRPr="009118AB">
        <w:rPr>
          <w:i/>
          <w:iCs/>
        </w:rPr>
        <w:t>Art. </w:t>
      </w:r>
      <w:r w:rsidRPr="009118AB">
        <w:rPr>
          <w:i/>
          <w:iCs/>
        </w:rPr>
        <w:t xml:space="preserve">194ter ersetzt durch </w:t>
      </w:r>
      <w:r w:rsidR="00D67EB8" w:rsidRPr="009118AB">
        <w:rPr>
          <w:i/>
          <w:iCs/>
        </w:rPr>
        <w:t>Art. </w:t>
      </w:r>
      <w:r w:rsidRPr="009118AB">
        <w:rPr>
          <w:i/>
          <w:iCs/>
        </w:rPr>
        <w:t>291 des G. vom 22. Dezember 2003 (B.S. vom 31. Dezember 2003)</w:t>
      </w:r>
      <w:r w:rsidR="00D67EB8" w:rsidRPr="009118AB">
        <w:rPr>
          <w:i/>
          <w:iCs/>
        </w:rPr>
        <w:t> - </w:t>
      </w:r>
      <w:r w:rsidRPr="009118AB">
        <w:rPr>
          <w:i/>
          <w:iCs/>
        </w:rPr>
        <w:t>anwendbar ab dem Steuerjahr 2004</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neue Nummer 1 eingefügt durch </w:t>
      </w:r>
      <w:r w:rsidR="00D67EB8" w:rsidRPr="009118AB">
        <w:rPr>
          <w:i/>
          <w:iCs/>
        </w:rPr>
        <w:t>Art. </w:t>
      </w:r>
      <w:r w:rsidRPr="009118AB">
        <w:rPr>
          <w:i/>
          <w:iCs/>
        </w:rPr>
        <w:t>3 Buchstabe a)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1 dritter Gedankenstrich abgeändert durch </w:t>
      </w:r>
      <w:r w:rsidR="00D67EB8" w:rsidRPr="009118AB">
        <w:rPr>
          <w:i/>
          <w:iCs/>
        </w:rPr>
        <w:t>Art. </w:t>
      </w:r>
      <w:r w:rsidRPr="009118AB">
        <w:rPr>
          <w:i/>
          <w:iCs/>
        </w:rPr>
        <w:t xml:space="preserve">2 </w:t>
      </w:r>
      <w:r w:rsidR="00D67EB8" w:rsidRPr="009118AB">
        <w:rPr>
          <w:i/>
          <w:iCs/>
        </w:rPr>
        <w:t>Nr. </w:t>
      </w:r>
      <w:r w:rsidRPr="009118AB">
        <w:rPr>
          <w:i/>
          <w:iCs/>
        </w:rPr>
        <w:t>1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1 vierter Gedankenstrich abgeändert durch </w:t>
      </w:r>
      <w:r w:rsidR="00D67EB8" w:rsidRPr="009118AB">
        <w:rPr>
          <w:i/>
          <w:iCs/>
        </w:rPr>
        <w:t>Art. </w:t>
      </w:r>
      <w:r w:rsidRPr="009118AB">
        <w:rPr>
          <w:i/>
          <w:iCs/>
        </w:rPr>
        <w:t xml:space="preserve">2 </w:t>
      </w:r>
      <w:r w:rsidR="00D67EB8" w:rsidRPr="009118AB">
        <w:rPr>
          <w:i/>
          <w:iCs/>
        </w:rPr>
        <w:t>Nr. </w:t>
      </w:r>
      <w:r w:rsidRPr="009118AB">
        <w:rPr>
          <w:i/>
          <w:iCs/>
        </w:rPr>
        <w:t>1 des G. vom 26. Mai 2016 (B.S. vom 7. Juni 2016)</w:t>
      </w:r>
      <w:r w:rsidR="00D67EB8" w:rsidRPr="009118AB">
        <w:rPr>
          <w:i/>
          <w:iCs/>
        </w:rPr>
        <w:t> - </w:t>
      </w:r>
      <w:r w:rsidRPr="009118AB">
        <w:rPr>
          <w:i/>
          <w:iCs/>
        </w:rPr>
        <w:t>anwendbar auf die ab dem 1. Juli 2016 unterzeichneten Rahmenübereinkommen</w:t>
      </w:r>
      <w:r w:rsidR="00D67EB8" w:rsidRPr="009118AB">
        <w:rPr>
          <w:i/>
          <w:iCs/>
        </w:rPr>
        <w:t> - </w:t>
      </w:r>
      <w:r w:rsidR="00BD5F04" w:rsidRPr="009118AB">
        <w:rPr>
          <w:i/>
          <w:iCs/>
        </w:rPr>
        <w:t xml:space="preserve">und </w:t>
      </w:r>
      <w:r w:rsidR="00D67EB8" w:rsidRPr="009118AB">
        <w:rPr>
          <w:i/>
          <w:iCs/>
        </w:rPr>
        <w:t>Art. </w:t>
      </w:r>
      <w:r w:rsidR="00BD5F04" w:rsidRPr="009118AB">
        <w:rPr>
          <w:i/>
          <w:iCs/>
        </w:rPr>
        <w:t>32</w:t>
      </w:r>
      <w:r w:rsidR="00BD5F04" w:rsidRPr="009118AB">
        <w:rPr>
          <w:i/>
          <w:iCs/>
          <w:spacing w:val="-2"/>
        </w:rPr>
        <w:t xml:space="preserve"> des G. vom 17. März 2019 (III) (B.S. vom 10. Mai 2019)</w:t>
      </w:r>
      <w:r w:rsidR="00D67EB8" w:rsidRPr="009118AB">
        <w:rPr>
          <w:i/>
          <w:iCs/>
          <w:spacing w:val="-2"/>
        </w:rPr>
        <w:t> - </w:t>
      </w:r>
      <w:r w:rsidR="00BD5F04" w:rsidRPr="009118AB">
        <w:rPr>
          <w:i/>
          <w:iCs/>
          <w:spacing w:val="-2"/>
        </w:rPr>
        <w:t>in Kraft am 1. Mai 2019</w:t>
      </w:r>
      <w:r w:rsidR="003366D9" w:rsidRPr="009118AB">
        <w:rPr>
          <w:i/>
          <w:iCs/>
          <w:spacing w:val="-2"/>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frühere Nummer 1 umnummeriert zu </w:t>
      </w:r>
      <w:r w:rsidR="00D67EB8" w:rsidRPr="009118AB">
        <w:rPr>
          <w:i/>
          <w:iCs/>
        </w:rPr>
        <w:t>Nr. </w:t>
      </w:r>
      <w:r w:rsidRPr="009118AB">
        <w:rPr>
          <w:i/>
          <w:iCs/>
        </w:rPr>
        <w:t xml:space="preserve">2 durch </w:t>
      </w:r>
      <w:r w:rsidR="00D67EB8" w:rsidRPr="009118AB">
        <w:rPr>
          <w:i/>
          <w:iCs/>
        </w:rPr>
        <w:t>Art. </w:t>
      </w:r>
      <w:r w:rsidRPr="009118AB">
        <w:rPr>
          <w:i/>
          <w:iCs/>
        </w:rPr>
        <w:t>3 Buchstabe a)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2 </w:t>
      </w:r>
      <w:r w:rsidR="00D67EB8" w:rsidRPr="009118AB">
        <w:rPr>
          <w:i/>
          <w:iCs/>
        </w:rPr>
        <w:t>Abs. </w:t>
      </w:r>
      <w:r w:rsidRPr="009118AB">
        <w:rPr>
          <w:i/>
          <w:iCs/>
        </w:rPr>
        <w:t xml:space="preserve">1 (früherer einziger Absatz) ersetzt durch </w:t>
      </w:r>
      <w:r w:rsidR="00D67EB8" w:rsidRPr="009118AB">
        <w:rPr>
          <w:i/>
          <w:iCs/>
        </w:rPr>
        <w:t>Art. </w:t>
      </w:r>
      <w:r w:rsidRPr="009118AB">
        <w:rPr>
          <w:i/>
          <w:iCs/>
        </w:rPr>
        <w:t>7 Buchstabe a) des G. vom 21. Dezember 2009 (B.S. vom 31. Dezember 2009)</w:t>
      </w:r>
      <w:r w:rsidR="00D67EB8" w:rsidRPr="009118AB">
        <w:rPr>
          <w:i/>
          <w:iCs/>
        </w:rPr>
        <w:t> - </w:t>
      </w:r>
      <w:r w:rsidRPr="009118AB">
        <w:rPr>
          <w:i/>
          <w:iCs/>
        </w:rPr>
        <w:t>in Kraft am 1. Januar 2010</w:t>
      </w:r>
      <w:r w:rsidR="00D67EB8" w:rsidRPr="009118AB">
        <w:rPr>
          <w:i/>
          <w:iCs/>
        </w:rPr>
        <w:t> - </w:t>
      </w:r>
      <w:r w:rsidRPr="009118AB">
        <w:rPr>
          <w:i/>
          <w:iCs/>
        </w:rPr>
        <w:t xml:space="preserve">und abgeändert durch </w:t>
      </w:r>
      <w:r w:rsidR="00D67EB8" w:rsidRPr="009118AB">
        <w:rPr>
          <w:i/>
          <w:iCs/>
        </w:rPr>
        <w:t>Art. </w:t>
      </w:r>
      <w:r w:rsidRPr="009118AB">
        <w:rPr>
          <w:i/>
          <w:iCs/>
        </w:rPr>
        <w:t>3 Buchstabe b) des G. vom 12. Mai 2014 (I) (B.S. vom 27. Mai 2014)</w:t>
      </w:r>
      <w:r w:rsidR="00D67EB8" w:rsidRPr="009118AB">
        <w:rPr>
          <w:i/>
          <w:iCs/>
        </w:rPr>
        <w:t> - </w:t>
      </w:r>
      <w:r w:rsidRPr="009118AB">
        <w:rPr>
          <w:i/>
          <w:iCs/>
        </w:rPr>
        <w:t>in Kraft am 1. Januar 2015</w:t>
      </w:r>
      <w:r w:rsidR="00FD68E8" w:rsidRPr="009118AB">
        <w:rPr>
          <w:i/>
          <w:iCs/>
        </w:rPr>
        <w:t> -,</w:t>
      </w:r>
      <w:r w:rsidRPr="009118AB">
        <w:rPr>
          <w:i/>
          <w:iCs/>
        </w:rPr>
        <w:t xml:space="preserve"> </w:t>
      </w:r>
      <w:r w:rsidR="00D67EB8" w:rsidRPr="009118AB">
        <w:rPr>
          <w:i/>
          <w:iCs/>
        </w:rPr>
        <w:t>Art. </w:t>
      </w:r>
      <w:r w:rsidRPr="009118AB">
        <w:rPr>
          <w:i/>
          <w:iCs/>
        </w:rPr>
        <w:t xml:space="preserve">2 </w:t>
      </w:r>
      <w:r w:rsidR="00D67EB8" w:rsidRPr="009118AB">
        <w:rPr>
          <w:i/>
          <w:iCs/>
        </w:rPr>
        <w:t>Nr. </w:t>
      </w:r>
      <w:r w:rsidRPr="009118AB">
        <w:rPr>
          <w:i/>
          <w:iCs/>
        </w:rPr>
        <w:t>2 des G. vom 26. Mai 2016 (B.S. vom 7. Juni 2016)</w:t>
      </w:r>
      <w:r w:rsidR="00D67EB8" w:rsidRPr="009118AB">
        <w:rPr>
          <w:i/>
          <w:iCs/>
        </w:rPr>
        <w:t> - </w:t>
      </w:r>
      <w:r w:rsidRPr="009118AB">
        <w:rPr>
          <w:i/>
          <w:iCs/>
        </w:rPr>
        <w:t>anwendbar auf die ab dem 1. Juli 2016 unterzeichneten Rahmenübereinkommen</w:t>
      </w:r>
      <w:r w:rsidR="00D67EB8" w:rsidRPr="009118AB">
        <w:rPr>
          <w:i/>
          <w:iCs/>
        </w:rPr>
        <w:t> -</w:t>
      </w:r>
      <w:r w:rsidR="00C56772" w:rsidRPr="009118AB">
        <w:rPr>
          <w:i/>
          <w:iCs/>
        </w:rPr>
        <w:t>,</w:t>
      </w:r>
      <w:r w:rsidR="00BD5F04" w:rsidRPr="009118AB">
        <w:rPr>
          <w:i/>
          <w:iCs/>
        </w:rPr>
        <w:t xml:space="preserve"> </w:t>
      </w:r>
      <w:r w:rsidR="00D67EB8" w:rsidRPr="009118AB">
        <w:rPr>
          <w:i/>
          <w:iCs/>
        </w:rPr>
        <w:t>Art. </w:t>
      </w:r>
      <w:r w:rsidR="00BD5F04" w:rsidRPr="009118AB">
        <w:rPr>
          <w:i/>
          <w:iCs/>
        </w:rPr>
        <w:t>3</w:t>
      </w:r>
      <w:r w:rsidR="00D36E8B" w:rsidRPr="009118AB">
        <w:rPr>
          <w:i/>
          <w:iCs/>
        </w:rPr>
        <w:t>2</w:t>
      </w:r>
      <w:r w:rsidR="00BD5F04" w:rsidRPr="009118AB">
        <w:rPr>
          <w:i/>
          <w:iCs/>
          <w:spacing w:val="-2"/>
        </w:rPr>
        <w:t xml:space="preserve"> des G. vom 17. März 2019 (III) (B.S. vom 10. Mai 2019)</w:t>
      </w:r>
      <w:r w:rsidR="00D67EB8" w:rsidRPr="009118AB">
        <w:rPr>
          <w:i/>
          <w:iCs/>
          <w:spacing w:val="-2"/>
        </w:rPr>
        <w:t> - </w:t>
      </w:r>
      <w:r w:rsidR="00BD5F04" w:rsidRPr="009118AB">
        <w:rPr>
          <w:i/>
          <w:iCs/>
          <w:spacing w:val="-2"/>
        </w:rPr>
        <w:t>in Kraft am 1. Mai 2019</w:t>
      </w:r>
      <w:r w:rsidR="003366D9" w:rsidRPr="009118AB">
        <w:rPr>
          <w:i/>
          <w:iCs/>
          <w:spacing w:val="-2"/>
        </w:rPr>
        <w:t> -</w:t>
      </w:r>
      <w:r w:rsidR="00C56772" w:rsidRPr="009118AB">
        <w:rPr>
          <w:i/>
          <w:iCs/>
          <w:spacing w:val="-2"/>
        </w:rPr>
        <w:t xml:space="preserve"> und Art. 17 Nr. 1 des G. vom 5.</w:t>
      </w:r>
      <w:r w:rsidR="003B484D" w:rsidRPr="009118AB">
        <w:rPr>
          <w:i/>
          <w:iCs/>
          <w:spacing w:val="-2"/>
        </w:rPr>
        <w:t> </w:t>
      </w:r>
      <w:r w:rsidR="00C56772" w:rsidRPr="009118AB">
        <w:rPr>
          <w:i/>
          <w:iCs/>
          <w:spacing w:val="-2"/>
        </w:rPr>
        <w:t>Juli</w:t>
      </w:r>
      <w:r w:rsidR="003B484D" w:rsidRPr="009118AB">
        <w:rPr>
          <w:i/>
          <w:iCs/>
          <w:spacing w:val="-2"/>
        </w:rPr>
        <w:t> </w:t>
      </w:r>
      <w:r w:rsidR="00C56772" w:rsidRPr="009118AB">
        <w:rPr>
          <w:i/>
          <w:iCs/>
          <w:spacing w:val="-2"/>
        </w:rPr>
        <w:t>2022 (B.S. vom 15.</w:t>
      </w:r>
      <w:r w:rsidR="003B484D" w:rsidRPr="009118AB">
        <w:rPr>
          <w:i/>
          <w:iCs/>
          <w:spacing w:val="-2"/>
        </w:rPr>
        <w:t> </w:t>
      </w:r>
      <w:r w:rsidR="00C56772" w:rsidRPr="009118AB">
        <w:rPr>
          <w:i/>
          <w:iCs/>
          <w:spacing w:val="-2"/>
        </w:rPr>
        <w:t>Juli</w:t>
      </w:r>
      <w:r w:rsidR="003B484D" w:rsidRPr="009118AB">
        <w:rPr>
          <w:i/>
          <w:iCs/>
          <w:spacing w:val="-2"/>
        </w:rPr>
        <w:t> </w:t>
      </w:r>
      <w:r w:rsidR="00C56772" w:rsidRPr="009118AB">
        <w:rPr>
          <w:i/>
          <w:iCs/>
          <w:spacing w:val="-2"/>
        </w:rPr>
        <w:t>2022)</w:t>
      </w:r>
      <w:r w:rsidR="00F20E86" w:rsidRPr="009118AB">
        <w:rPr>
          <w:i/>
          <w:iCs/>
          <w:spacing w:val="-2"/>
        </w:rPr>
        <w:t> </w:t>
      </w:r>
      <w:r w:rsidR="00C56772" w:rsidRPr="009118AB">
        <w:rPr>
          <w:i/>
          <w:iCs/>
          <w:spacing w:val="-2"/>
        </w:rPr>
        <w:t>-</w:t>
      </w:r>
      <w:r w:rsidR="00F20E86" w:rsidRPr="009118AB">
        <w:rPr>
          <w:i/>
          <w:iCs/>
          <w:spacing w:val="-2"/>
        </w:rPr>
        <w:t> </w:t>
      </w:r>
      <w:r w:rsidR="00C56772" w:rsidRPr="009118AB">
        <w:rPr>
          <w:i/>
          <w:iCs/>
          <w:spacing w:val="-2"/>
        </w:rPr>
        <w:t xml:space="preserve">anwendbar auf Rahmenübereinkommen, die in Bezug auf ein in Betracht kommendes Werk unterzeichnet werden, für das die Beantragung der in Artikel 194ter § 7 Nr. 3 erster Gedankenstrich des Einkommensteuergesetzbuches 1992 erwähnten Bescheinigung ab dem 1. August 2022 </w:t>
      </w:r>
      <w:r w:rsidR="003B484D" w:rsidRPr="009118AB">
        <w:rPr>
          <w:i/>
          <w:iCs/>
          <w:spacing w:val="-2"/>
        </w:rPr>
        <w:t>erfolgt</w:t>
      </w:r>
      <w:r w:rsidR="00F20E86" w:rsidRPr="009118AB">
        <w:rPr>
          <w:i/>
          <w:iCs/>
          <w:spacing w:val="-2"/>
        </w:rPr>
        <w:t> </w:t>
      </w:r>
      <w:r w:rsidR="00C56772" w:rsidRPr="009118AB">
        <w:rPr>
          <w:i/>
          <w:iCs/>
          <w:spacing w:val="-2"/>
        </w:rPr>
        <w:t>-</w:t>
      </w:r>
      <w:r w:rsidR="003366D9" w:rsidRPr="009118AB">
        <w:rPr>
          <w:i/>
          <w:iCs/>
          <w:spacing w:val="-2"/>
        </w:rPr>
        <w:t>;</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2 </w:t>
      </w:r>
      <w:r w:rsidR="00D67EB8" w:rsidRPr="009118AB">
        <w:rPr>
          <w:i/>
          <w:iCs/>
        </w:rPr>
        <w:t>Abs. </w:t>
      </w:r>
      <w:r w:rsidRPr="009118AB">
        <w:rPr>
          <w:i/>
          <w:iCs/>
        </w:rPr>
        <w:t xml:space="preserve">2 eingefügt durch </w:t>
      </w:r>
      <w:r w:rsidR="00D67EB8" w:rsidRPr="009118AB">
        <w:rPr>
          <w:i/>
          <w:iCs/>
        </w:rPr>
        <w:t>Art. </w:t>
      </w:r>
      <w:r w:rsidRPr="009118AB">
        <w:rPr>
          <w:i/>
          <w:iCs/>
        </w:rPr>
        <w:t xml:space="preserve">2 </w:t>
      </w:r>
      <w:r w:rsidR="00D67EB8" w:rsidRPr="009118AB">
        <w:rPr>
          <w:i/>
          <w:iCs/>
        </w:rPr>
        <w:t>Nr. </w:t>
      </w:r>
      <w:r w:rsidRPr="009118AB">
        <w:rPr>
          <w:i/>
          <w:iCs/>
        </w:rPr>
        <w:t>3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C56772" w:rsidRPr="009118AB">
        <w:rPr>
          <w:i/>
          <w:iCs/>
        </w:rPr>
        <w:t>§ 1 Abs. 1 Nr. 2 Abs. 3 und 4 eingefügt durch Art. </w:t>
      </w:r>
      <w:r w:rsidR="00C56772" w:rsidRPr="009118AB">
        <w:rPr>
          <w:i/>
          <w:iCs/>
          <w:spacing w:val="-2"/>
        </w:rPr>
        <w:t>17 Nr. 2 des G. vom 5.</w:t>
      </w:r>
      <w:r w:rsidR="003B484D" w:rsidRPr="009118AB">
        <w:rPr>
          <w:i/>
          <w:iCs/>
          <w:spacing w:val="-2"/>
        </w:rPr>
        <w:t> </w:t>
      </w:r>
      <w:r w:rsidR="00C56772" w:rsidRPr="009118AB">
        <w:rPr>
          <w:i/>
          <w:iCs/>
          <w:spacing w:val="-2"/>
        </w:rPr>
        <w:t>Juli</w:t>
      </w:r>
      <w:r w:rsidR="003B484D" w:rsidRPr="009118AB">
        <w:rPr>
          <w:i/>
          <w:iCs/>
          <w:spacing w:val="-2"/>
        </w:rPr>
        <w:t> </w:t>
      </w:r>
      <w:r w:rsidR="00C56772" w:rsidRPr="009118AB">
        <w:rPr>
          <w:i/>
          <w:iCs/>
          <w:spacing w:val="-2"/>
        </w:rPr>
        <w:t>2022 (B.S. vom 15.</w:t>
      </w:r>
      <w:r w:rsidR="003B484D" w:rsidRPr="009118AB">
        <w:rPr>
          <w:i/>
          <w:iCs/>
          <w:spacing w:val="-2"/>
        </w:rPr>
        <w:t> </w:t>
      </w:r>
      <w:r w:rsidR="00C56772" w:rsidRPr="009118AB">
        <w:rPr>
          <w:i/>
          <w:iCs/>
          <w:spacing w:val="-2"/>
        </w:rPr>
        <w:t>Juli</w:t>
      </w:r>
      <w:r w:rsidR="003B484D" w:rsidRPr="009118AB">
        <w:rPr>
          <w:i/>
          <w:iCs/>
          <w:spacing w:val="-2"/>
        </w:rPr>
        <w:t> </w:t>
      </w:r>
      <w:r w:rsidR="00C56772" w:rsidRPr="009118AB">
        <w:rPr>
          <w:i/>
          <w:iCs/>
          <w:spacing w:val="-2"/>
        </w:rPr>
        <w:t>2022)</w:t>
      </w:r>
      <w:r w:rsidR="003B484D" w:rsidRPr="009118AB">
        <w:rPr>
          <w:i/>
          <w:iCs/>
          <w:spacing w:val="-2"/>
        </w:rPr>
        <w:t> </w:t>
      </w:r>
      <w:r w:rsidR="00C56772" w:rsidRPr="009118AB">
        <w:rPr>
          <w:i/>
          <w:iCs/>
          <w:spacing w:val="-2"/>
        </w:rPr>
        <w:t>-</w:t>
      </w:r>
      <w:r w:rsidR="003B484D" w:rsidRPr="009118AB">
        <w:rPr>
          <w:i/>
          <w:iCs/>
          <w:spacing w:val="-2"/>
        </w:rPr>
        <w:t> </w:t>
      </w:r>
      <w:r w:rsidR="00C5677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3B484D" w:rsidRPr="009118AB">
        <w:rPr>
          <w:i/>
          <w:iCs/>
          <w:spacing w:val="-2"/>
        </w:rPr>
        <w:t xml:space="preserve"> erfolgt</w:t>
      </w:r>
      <w:r w:rsidR="00C56772" w:rsidRPr="009118AB">
        <w:rPr>
          <w:i/>
          <w:iCs/>
          <w:spacing w:val="-2"/>
        </w:rPr>
        <w:t xml:space="preserve"> -; </w:t>
      </w:r>
      <w:r w:rsidR="00D67EB8" w:rsidRPr="009118AB">
        <w:rPr>
          <w:i/>
          <w:iCs/>
        </w:rPr>
        <w:lastRenderedPageBreak/>
        <w:t>§ </w:t>
      </w:r>
      <w:r w:rsidRPr="009118AB">
        <w:rPr>
          <w:i/>
          <w:iCs/>
        </w:rPr>
        <w:t xml:space="preserve">1 </w:t>
      </w:r>
      <w:r w:rsidR="00D67EB8" w:rsidRPr="009118AB">
        <w:rPr>
          <w:i/>
          <w:iCs/>
        </w:rPr>
        <w:t>Abs. </w:t>
      </w:r>
      <w:r w:rsidRPr="009118AB">
        <w:rPr>
          <w:i/>
          <w:iCs/>
        </w:rPr>
        <w:t xml:space="preserve">1 neue Nummer 3 eingefügt durch </w:t>
      </w:r>
      <w:r w:rsidR="00D67EB8" w:rsidRPr="009118AB">
        <w:rPr>
          <w:i/>
          <w:iCs/>
        </w:rPr>
        <w:t>Art. </w:t>
      </w:r>
      <w:r w:rsidRPr="009118AB">
        <w:rPr>
          <w:i/>
          <w:iCs/>
        </w:rPr>
        <w:t>3 Buchstabe c)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frühere Nummer 3 umnummeriert zu </w:t>
      </w:r>
      <w:r w:rsidR="00D67EB8" w:rsidRPr="009118AB">
        <w:rPr>
          <w:i/>
          <w:iCs/>
        </w:rPr>
        <w:t>Nr. </w:t>
      </w:r>
      <w:r w:rsidRPr="009118AB">
        <w:rPr>
          <w:i/>
          <w:iCs/>
        </w:rPr>
        <w:t xml:space="preserve">4 durch </w:t>
      </w:r>
      <w:r w:rsidR="00D67EB8" w:rsidRPr="009118AB">
        <w:rPr>
          <w:i/>
          <w:iCs/>
        </w:rPr>
        <w:t>Art. </w:t>
      </w:r>
      <w:r w:rsidRPr="009118AB">
        <w:rPr>
          <w:i/>
          <w:iCs/>
        </w:rPr>
        <w:t>3 Buchstabe c)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ersetzt durch </w:t>
      </w:r>
      <w:r w:rsidR="00D67EB8" w:rsidRPr="009118AB">
        <w:rPr>
          <w:i/>
          <w:iCs/>
        </w:rPr>
        <w:t>Art. </w:t>
      </w:r>
      <w:r w:rsidRPr="009118AB">
        <w:rPr>
          <w:i/>
          <w:iCs/>
        </w:rPr>
        <w:t>7 Buchstabe c) des G. vom 21. Dezember 2009 (B.S. vom 31. Dezember 2009)</w:t>
      </w:r>
      <w:r w:rsidR="00D67EB8" w:rsidRPr="009118AB">
        <w:rPr>
          <w:i/>
          <w:iCs/>
        </w:rPr>
        <w:t> - </w:t>
      </w:r>
      <w:r w:rsidRPr="009118AB">
        <w:rPr>
          <w:i/>
          <w:iCs/>
        </w:rPr>
        <w:t>in Kraft am 1. Januar 2010</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4 </w:t>
      </w:r>
      <w:r w:rsidR="00571B34" w:rsidRPr="009118AB">
        <w:rPr>
          <w:i/>
          <w:iCs/>
        </w:rPr>
        <w:t>Abs. 1</w:t>
      </w:r>
      <w:r w:rsidRPr="009118AB">
        <w:rPr>
          <w:i/>
          <w:iCs/>
        </w:rPr>
        <w:t xml:space="preserve"> erster Gedankenstrich </w:t>
      </w:r>
      <w:r w:rsidR="00C56772" w:rsidRPr="009118AB">
        <w:rPr>
          <w:i/>
          <w:iCs/>
        </w:rPr>
        <w:t>ersetzt durch Art. </w:t>
      </w:r>
      <w:r w:rsidR="00C56772" w:rsidRPr="009118AB">
        <w:rPr>
          <w:i/>
          <w:iCs/>
          <w:spacing w:val="-2"/>
        </w:rPr>
        <w:t>17 Nr. 3 des G. vom 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 (B.S. vom 15.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w:t>
      </w:r>
      <w:r w:rsidR="00F20E86" w:rsidRPr="009118AB">
        <w:rPr>
          <w:i/>
          <w:iCs/>
          <w:spacing w:val="-2"/>
        </w:rPr>
        <w:t> </w:t>
      </w:r>
      <w:r w:rsidR="00C56772" w:rsidRPr="009118AB">
        <w:rPr>
          <w:i/>
          <w:iCs/>
          <w:spacing w:val="-2"/>
        </w:rPr>
        <w:t>-</w:t>
      </w:r>
      <w:r w:rsidR="00F20E86" w:rsidRPr="009118AB">
        <w:rPr>
          <w:i/>
          <w:iCs/>
          <w:spacing w:val="-2"/>
        </w:rPr>
        <w:t> </w:t>
      </w:r>
      <w:r w:rsidR="00C5677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118AB">
        <w:rPr>
          <w:i/>
          <w:iCs/>
          <w:spacing w:val="-2"/>
        </w:rPr>
        <w:t xml:space="preserve"> erfolgt</w:t>
      </w:r>
      <w:r w:rsidR="00C56772" w:rsidRPr="009118AB">
        <w:rPr>
          <w:i/>
          <w:iCs/>
          <w:spacing w:val="-2"/>
        </w:rPr>
        <w:t> -</w:t>
      </w:r>
      <w:r w:rsidR="003366D9" w:rsidRPr="009118AB">
        <w:rPr>
          <w:i/>
          <w:iCs/>
        </w:rPr>
        <w:t>;</w:t>
      </w:r>
      <w:r w:rsidRPr="009118AB">
        <w:rPr>
          <w:i/>
          <w:iCs/>
        </w:rPr>
        <w:t xml:space="preserve"> </w:t>
      </w:r>
      <w:r w:rsidR="00D67EB8" w:rsidRPr="009118AB">
        <w:rPr>
          <w:i/>
          <w:iCs/>
        </w:rPr>
        <w:t>§ </w:t>
      </w:r>
      <w:r w:rsidR="00B332A8" w:rsidRPr="009118AB">
        <w:rPr>
          <w:i/>
          <w:iCs/>
        </w:rPr>
        <w:t xml:space="preserve">1 </w:t>
      </w:r>
      <w:r w:rsidR="00D67EB8" w:rsidRPr="009118AB">
        <w:rPr>
          <w:i/>
          <w:iCs/>
        </w:rPr>
        <w:t>Abs. </w:t>
      </w:r>
      <w:r w:rsidR="00B332A8" w:rsidRPr="009118AB">
        <w:rPr>
          <w:i/>
          <w:iCs/>
        </w:rPr>
        <w:t xml:space="preserve">1 </w:t>
      </w:r>
      <w:r w:rsidR="00D67EB8" w:rsidRPr="009118AB">
        <w:rPr>
          <w:i/>
          <w:iCs/>
        </w:rPr>
        <w:t>Nr. </w:t>
      </w:r>
      <w:r w:rsidR="00B332A8" w:rsidRPr="009118AB">
        <w:rPr>
          <w:i/>
          <w:iCs/>
        </w:rPr>
        <w:t xml:space="preserve">4 </w:t>
      </w:r>
      <w:r w:rsidR="00571B34" w:rsidRPr="009118AB">
        <w:rPr>
          <w:i/>
          <w:iCs/>
        </w:rPr>
        <w:t>Abs. 1</w:t>
      </w:r>
      <w:r w:rsidR="00B332A8" w:rsidRPr="009118AB">
        <w:rPr>
          <w:i/>
          <w:iCs/>
        </w:rPr>
        <w:t xml:space="preserve"> zweiter Gedankenstrich ersetzt durch </w:t>
      </w:r>
      <w:r w:rsidR="00D67EB8" w:rsidRPr="009118AB">
        <w:rPr>
          <w:i/>
          <w:iCs/>
          <w:spacing w:val="2"/>
        </w:rPr>
        <w:t>Art. </w:t>
      </w:r>
      <w:r w:rsidR="00B332A8" w:rsidRPr="009118AB">
        <w:rPr>
          <w:i/>
          <w:iCs/>
          <w:spacing w:val="2"/>
        </w:rPr>
        <w:t>3 Buchstabe</w:t>
      </w:r>
      <w:r w:rsidR="00F20E86" w:rsidRPr="009118AB">
        <w:rPr>
          <w:i/>
          <w:iCs/>
          <w:spacing w:val="2"/>
        </w:rPr>
        <w:t> </w:t>
      </w:r>
      <w:r w:rsidR="00B332A8" w:rsidRPr="009118AB">
        <w:rPr>
          <w:i/>
          <w:iCs/>
          <w:spacing w:val="2"/>
        </w:rPr>
        <w:t xml:space="preserve">e) </w:t>
      </w:r>
      <w:r w:rsidR="00D67EB8" w:rsidRPr="009118AB">
        <w:rPr>
          <w:i/>
          <w:iCs/>
          <w:spacing w:val="2"/>
        </w:rPr>
        <w:t>Nr. </w:t>
      </w:r>
      <w:r w:rsidR="00B332A8" w:rsidRPr="009118AB">
        <w:rPr>
          <w:i/>
          <w:iCs/>
          <w:spacing w:val="2"/>
        </w:rPr>
        <w:t>3 des G. vom 12.</w:t>
      </w:r>
      <w:r w:rsidR="00EE5AB1" w:rsidRPr="009118AB">
        <w:rPr>
          <w:i/>
          <w:iCs/>
          <w:spacing w:val="2"/>
        </w:rPr>
        <w:t> </w:t>
      </w:r>
      <w:r w:rsidR="00B332A8" w:rsidRPr="009118AB">
        <w:rPr>
          <w:i/>
          <w:iCs/>
          <w:spacing w:val="2"/>
        </w:rPr>
        <w:t>Mai</w:t>
      </w:r>
      <w:r w:rsidR="00EE5AB1" w:rsidRPr="009118AB">
        <w:rPr>
          <w:i/>
          <w:iCs/>
          <w:spacing w:val="2"/>
        </w:rPr>
        <w:t> </w:t>
      </w:r>
      <w:r w:rsidR="00B332A8" w:rsidRPr="009118AB">
        <w:rPr>
          <w:i/>
          <w:iCs/>
          <w:spacing w:val="2"/>
        </w:rPr>
        <w:t>2014</w:t>
      </w:r>
      <w:r w:rsidR="00EE5AB1" w:rsidRPr="009118AB">
        <w:rPr>
          <w:i/>
          <w:iCs/>
          <w:spacing w:val="2"/>
        </w:rPr>
        <w:t> </w:t>
      </w:r>
      <w:r w:rsidR="00B332A8" w:rsidRPr="009118AB">
        <w:rPr>
          <w:i/>
          <w:iCs/>
          <w:spacing w:val="2"/>
        </w:rPr>
        <w:t>(I) (B.S. vom 27.</w:t>
      </w:r>
      <w:r w:rsidR="00EE5AB1" w:rsidRPr="009118AB">
        <w:rPr>
          <w:i/>
          <w:iCs/>
          <w:spacing w:val="2"/>
        </w:rPr>
        <w:t> </w:t>
      </w:r>
      <w:r w:rsidR="00B332A8" w:rsidRPr="009118AB">
        <w:rPr>
          <w:i/>
          <w:iCs/>
          <w:spacing w:val="2"/>
        </w:rPr>
        <w:t>Mai</w:t>
      </w:r>
      <w:r w:rsidR="00EE5AB1" w:rsidRPr="009118AB">
        <w:rPr>
          <w:i/>
          <w:iCs/>
          <w:spacing w:val="2"/>
        </w:rPr>
        <w:t> </w:t>
      </w:r>
      <w:r w:rsidR="00B332A8" w:rsidRPr="009118AB">
        <w:rPr>
          <w:i/>
          <w:iCs/>
          <w:spacing w:val="2"/>
        </w:rPr>
        <w:t>2014)</w:t>
      </w:r>
      <w:r w:rsidR="00D67EB8" w:rsidRPr="009118AB">
        <w:rPr>
          <w:i/>
          <w:iCs/>
          <w:spacing w:val="2"/>
        </w:rPr>
        <w:t> - </w:t>
      </w:r>
      <w:r w:rsidR="00B332A8" w:rsidRPr="009118AB">
        <w:rPr>
          <w:i/>
          <w:iCs/>
          <w:spacing w:val="2"/>
        </w:rPr>
        <w:t xml:space="preserve">in Kraft </w:t>
      </w:r>
      <w:r w:rsidR="00B332A8" w:rsidRPr="009118AB">
        <w:rPr>
          <w:rFonts w:ascii="Times New Roman Italique" w:hAnsi="Times New Roman Italique"/>
          <w:i/>
          <w:iCs/>
          <w:spacing w:val="2"/>
        </w:rPr>
        <w:t>am 1.</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Januar</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2015</w:t>
      </w:r>
      <w:r w:rsidR="00D67EB8" w:rsidRPr="009118AB">
        <w:rPr>
          <w:rFonts w:ascii="Times New Roman Italique" w:hAnsi="Times New Roman Italique"/>
          <w:i/>
          <w:iCs/>
          <w:spacing w:val="2"/>
        </w:rPr>
        <w:t> - </w:t>
      </w:r>
      <w:r w:rsidR="00B332A8"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B332A8"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00B332A8" w:rsidRPr="009118AB">
        <w:rPr>
          <w:rFonts w:ascii="Times New Roman Italique" w:hAnsi="Times New Roman Italique"/>
          <w:i/>
          <w:iCs/>
          <w:spacing w:val="2"/>
        </w:rPr>
        <w:t>5 des G. vom 26.</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Mai</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2016 (B.S. vom 7.</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Juni</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2016)</w:t>
      </w:r>
      <w:r w:rsidR="00D67EB8" w:rsidRPr="009118AB">
        <w:rPr>
          <w:rFonts w:ascii="Times New Roman Italique" w:hAnsi="Times New Roman Italique"/>
          <w:i/>
          <w:iCs/>
          <w:spacing w:val="2"/>
        </w:rPr>
        <w:t> - </w:t>
      </w:r>
      <w:r w:rsidR="00B332A8" w:rsidRPr="009118AB">
        <w:rPr>
          <w:rFonts w:ascii="Times New Roman Italique" w:hAnsi="Times New Roman Italique"/>
          <w:i/>
          <w:iCs/>
          <w:spacing w:val="2"/>
        </w:rPr>
        <w:t>anwendbar auf die ab dem 1.</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Juli</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2016 unterzeichneten Rahmenüberein</w:t>
      </w:r>
      <w:r w:rsidR="00571B34" w:rsidRPr="009118AB">
        <w:rPr>
          <w:rFonts w:ascii="Times New Roman Italique" w:hAnsi="Times New Roman Italique"/>
          <w:i/>
          <w:iCs/>
          <w:spacing w:val="2"/>
        </w:rPr>
        <w:softHyphen/>
      </w:r>
      <w:r w:rsidR="00B332A8" w:rsidRPr="009118AB">
        <w:rPr>
          <w:rFonts w:ascii="Times New Roman Italique" w:hAnsi="Times New Roman Italique"/>
          <w:i/>
          <w:iCs/>
          <w:spacing w:val="2"/>
        </w:rPr>
        <w:t>kommen</w:t>
      </w:r>
      <w:r w:rsidR="00FD68E8" w:rsidRPr="009118AB">
        <w:rPr>
          <w:rFonts w:ascii="Times New Roman Italique" w:hAnsi="Times New Roman Italique"/>
          <w:i/>
          <w:iCs/>
          <w:spacing w:val="2"/>
        </w:rPr>
        <w:t> -,</w:t>
      </w:r>
      <w:r w:rsidR="00B332A8"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B332A8" w:rsidRPr="009118AB">
        <w:rPr>
          <w:rFonts w:ascii="Times New Roman Italique" w:hAnsi="Times New Roman Italique"/>
          <w:i/>
          <w:iCs/>
          <w:spacing w:val="2"/>
        </w:rPr>
        <w:t xml:space="preserve">10 </w:t>
      </w:r>
      <w:r w:rsidR="00D67EB8" w:rsidRPr="009118AB">
        <w:rPr>
          <w:rFonts w:ascii="Times New Roman Italique" w:hAnsi="Times New Roman Italique"/>
          <w:i/>
          <w:iCs/>
          <w:spacing w:val="2"/>
        </w:rPr>
        <w:t>Nr. </w:t>
      </w:r>
      <w:r w:rsidR="00B332A8" w:rsidRPr="009118AB">
        <w:rPr>
          <w:rFonts w:ascii="Times New Roman Italique" w:hAnsi="Times New Roman Italique"/>
          <w:i/>
          <w:iCs/>
          <w:spacing w:val="2"/>
        </w:rPr>
        <w:t>1 des G. vom 29</w:t>
      </w:r>
      <w:r w:rsidR="00EE5AB1" w:rsidRPr="009118AB">
        <w:rPr>
          <w:rFonts w:ascii="Times New Roman Italique" w:hAnsi="Times New Roman Italique"/>
          <w:i/>
          <w:iCs/>
          <w:spacing w:val="2"/>
        </w:rPr>
        <w:t>.</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Mai</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2020 (B.S. vom 11.</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Juni</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2020)</w:t>
      </w:r>
      <w:r w:rsidR="00D67EB8" w:rsidRPr="009118AB">
        <w:rPr>
          <w:rFonts w:ascii="Times New Roman Italique" w:hAnsi="Times New Roman Italique"/>
          <w:i/>
          <w:iCs/>
          <w:spacing w:val="2"/>
        </w:rPr>
        <w:t> - </w:t>
      </w:r>
      <w:r w:rsidR="00B332A8" w:rsidRPr="009118AB">
        <w:rPr>
          <w:rFonts w:ascii="Times New Roman Italique" w:hAnsi="Times New Roman Italique"/>
          <w:i/>
          <w:iCs/>
          <w:spacing w:val="2"/>
        </w:rPr>
        <w:t>in Kraft am 11.</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Juni</w:t>
      </w:r>
      <w:r w:rsidR="00EE5AB1" w:rsidRPr="009118AB">
        <w:rPr>
          <w:rFonts w:ascii="Times New Roman Italique" w:hAnsi="Times New Roman Italique" w:hint="eastAsia"/>
          <w:i/>
          <w:iCs/>
          <w:spacing w:val="2"/>
        </w:rPr>
        <w:t> </w:t>
      </w:r>
      <w:r w:rsidR="00B332A8" w:rsidRPr="009118AB">
        <w:rPr>
          <w:rFonts w:ascii="Times New Roman Italique" w:hAnsi="Times New Roman Italique"/>
          <w:i/>
          <w:iCs/>
          <w:spacing w:val="2"/>
        </w:rPr>
        <w:t>2020</w:t>
      </w:r>
      <w:r w:rsidR="00B332A8" w:rsidRPr="009118AB">
        <w:rPr>
          <w:i/>
          <w:iCs/>
          <w:spacing w:val="2"/>
        </w:rPr>
        <w:t xml:space="preserve"> und</w:t>
      </w:r>
      <w:r w:rsidR="00B332A8" w:rsidRPr="009118AB">
        <w:rPr>
          <w:i/>
          <w:iCs/>
        </w:rPr>
        <w:t xml:space="preserve"> anwendbar auf die ab dem 12.</w:t>
      </w:r>
      <w:r w:rsidR="00EE5AB1" w:rsidRPr="009118AB">
        <w:rPr>
          <w:i/>
          <w:iCs/>
        </w:rPr>
        <w:t> </w:t>
      </w:r>
      <w:r w:rsidR="00B332A8" w:rsidRPr="009118AB">
        <w:rPr>
          <w:i/>
          <w:iCs/>
        </w:rPr>
        <w:t>März</w:t>
      </w:r>
      <w:r w:rsidR="00EE5AB1" w:rsidRPr="009118AB">
        <w:rPr>
          <w:i/>
          <w:iCs/>
        </w:rPr>
        <w:t> </w:t>
      </w:r>
      <w:r w:rsidR="00B332A8" w:rsidRPr="009118AB">
        <w:rPr>
          <w:i/>
          <w:iCs/>
        </w:rPr>
        <w:t>2020 unterzeichneten Rahmenübereinkommen</w:t>
      </w:r>
      <w:r w:rsidR="00D67EB8" w:rsidRPr="009118AB">
        <w:rPr>
          <w:i/>
          <w:iCs/>
        </w:rPr>
        <w:t> - </w:t>
      </w:r>
      <w:r w:rsidR="00B332A8" w:rsidRPr="009118AB">
        <w:rPr>
          <w:i/>
          <w:iCs/>
        </w:rPr>
        <w:t xml:space="preserve">und </w:t>
      </w:r>
      <w:r w:rsidR="00D67EB8" w:rsidRPr="009118AB">
        <w:rPr>
          <w:i/>
          <w:iCs/>
        </w:rPr>
        <w:t>Art. </w:t>
      </w:r>
      <w:r w:rsidR="00B332A8" w:rsidRPr="009118AB">
        <w:rPr>
          <w:i/>
          <w:iCs/>
        </w:rPr>
        <w:t xml:space="preserve">16 </w:t>
      </w:r>
      <w:r w:rsidR="00D67EB8" w:rsidRPr="009118AB">
        <w:rPr>
          <w:i/>
          <w:iCs/>
        </w:rPr>
        <w:t>Nr. </w:t>
      </w:r>
      <w:r w:rsidR="00B332A8" w:rsidRPr="009118AB">
        <w:rPr>
          <w:i/>
          <w:iCs/>
        </w:rPr>
        <w:t>1 des G. vom 15.</w:t>
      </w:r>
      <w:r w:rsidR="00EE5AB1" w:rsidRPr="009118AB">
        <w:rPr>
          <w:i/>
          <w:iCs/>
        </w:rPr>
        <w:t> </w:t>
      </w:r>
      <w:r w:rsidR="00B332A8" w:rsidRPr="009118AB">
        <w:rPr>
          <w:i/>
          <w:iCs/>
        </w:rPr>
        <w:t>Juli</w:t>
      </w:r>
      <w:r w:rsidR="00EE5AB1" w:rsidRPr="009118AB">
        <w:rPr>
          <w:i/>
          <w:iCs/>
        </w:rPr>
        <w:t> </w:t>
      </w:r>
      <w:r w:rsidR="00B332A8" w:rsidRPr="009118AB">
        <w:rPr>
          <w:i/>
          <w:iCs/>
        </w:rPr>
        <w:t>2020 (B.S. vom 23.</w:t>
      </w:r>
      <w:r w:rsidR="00EE5AB1" w:rsidRPr="009118AB">
        <w:rPr>
          <w:i/>
          <w:iCs/>
        </w:rPr>
        <w:t> </w:t>
      </w:r>
      <w:r w:rsidR="00B332A8" w:rsidRPr="009118AB">
        <w:rPr>
          <w:i/>
          <w:iCs/>
        </w:rPr>
        <w:t>Juli</w:t>
      </w:r>
      <w:r w:rsidR="00EE5AB1" w:rsidRPr="009118AB">
        <w:rPr>
          <w:i/>
          <w:iCs/>
        </w:rPr>
        <w:t> </w:t>
      </w:r>
      <w:r w:rsidR="00B332A8" w:rsidRPr="009118AB">
        <w:rPr>
          <w:i/>
          <w:iCs/>
        </w:rPr>
        <w:t>2020)</w:t>
      </w:r>
      <w:r w:rsidR="00D67EB8" w:rsidRPr="009118AB">
        <w:rPr>
          <w:i/>
          <w:iCs/>
        </w:rPr>
        <w:t> - </w:t>
      </w:r>
      <w:r w:rsidR="00B332A8" w:rsidRPr="009118AB">
        <w:rPr>
          <w:i/>
          <w:iCs/>
        </w:rPr>
        <w:t>in Kraft am 23.</w:t>
      </w:r>
      <w:r w:rsidR="00EE5AB1" w:rsidRPr="009118AB">
        <w:rPr>
          <w:i/>
          <w:iCs/>
        </w:rPr>
        <w:t> </w:t>
      </w:r>
      <w:r w:rsidR="00B332A8" w:rsidRPr="009118AB">
        <w:rPr>
          <w:i/>
          <w:iCs/>
        </w:rPr>
        <w:t>Juli</w:t>
      </w:r>
      <w:r w:rsidR="00EE5AB1" w:rsidRPr="009118AB">
        <w:rPr>
          <w:i/>
          <w:iCs/>
        </w:rPr>
        <w:t> </w:t>
      </w:r>
      <w:r w:rsidR="00B332A8" w:rsidRPr="009118AB">
        <w:rPr>
          <w:i/>
          <w:iCs/>
        </w:rPr>
        <w:t>2020 und anwendbar auf die ab dem 12.</w:t>
      </w:r>
      <w:r w:rsidR="00EE5AB1" w:rsidRPr="009118AB">
        <w:rPr>
          <w:i/>
          <w:iCs/>
        </w:rPr>
        <w:t> </w:t>
      </w:r>
      <w:r w:rsidR="00B332A8" w:rsidRPr="009118AB">
        <w:rPr>
          <w:i/>
          <w:iCs/>
        </w:rPr>
        <w:t>März</w:t>
      </w:r>
      <w:r w:rsidR="00EE5AB1" w:rsidRPr="009118AB">
        <w:rPr>
          <w:i/>
          <w:iCs/>
        </w:rPr>
        <w:t> </w:t>
      </w:r>
      <w:r w:rsidR="00B332A8" w:rsidRPr="009118AB">
        <w:rPr>
          <w:i/>
          <w:iCs/>
        </w:rPr>
        <w:t>2020 unterzeichneten Rahmenübereinkommen</w:t>
      </w:r>
      <w:r w:rsidR="003366D9" w:rsidRPr="009118AB">
        <w:rPr>
          <w:i/>
          <w:iCs/>
        </w:rPr>
        <w:t> -;</w:t>
      </w:r>
      <w:r w:rsidR="00B332A8" w:rsidRPr="009118AB">
        <w:rPr>
          <w:i/>
          <w:iCs/>
        </w:rPr>
        <w:t xml:space="preserve"> </w:t>
      </w:r>
      <w:r w:rsidR="00D67EB8" w:rsidRPr="009118AB">
        <w:rPr>
          <w:i/>
          <w:iCs/>
        </w:rPr>
        <w:t>§ </w:t>
      </w:r>
      <w:r w:rsidR="00B332A8" w:rsidRPr="009118AB">
        <w:rPr>
          <w:i/>
          <w:iCs/>
        </w:rPr>
        <w:t xml:space="preserve">1 </w:t>
      </w:r>
      <w:r w:rsidR="00D67EB8" w:rsidRPr="009118AB">
        <w:rPr>
          <w:i/>
          <w:iCs/>
        </w:rPr>
        <w:t>Abs. </w:t>
      </w:r>
      <w:r w:rsidR="00B332A8" w:rsidRPr="009118AB">
        <w:rPr>
          <w:i/>
          <w:iCs/>
        </w:rPr>
        <w:t xml:space="preserve">1 </w:t>
      </w:r>
      <w:r w:rsidR="00D67EB8" w:rsidRPr="009118AB">
        <w:rPr>
          <w:i/>
          <w:iCs/>
        </w:rPr>
        <w:t>Nr. </w:t>
      </w:r>
      <w:r w:rsidR="00B332A8" w:rsidRPr="009118AB">
        <w:rPr>
          <w:i/>
          <w:iCs/>
        </w:rPr>
        <w:t xml:space="preserve">4 </w:t>
      </w:r>
      <w:r w:rsidR="00571B34" w:rsidRPr="009118AB">
        <w:rPr>
          <w:i/>
          <w:iCs/>
        </w:rPr>
        <w:t>A</w:t>
      </w:r>
      <w:r w:rsidR="00D67EB8" w:rsidRPr="009118AB">
        <w:rPr>
          <w:i/>
          <w:iCs/>
        </w:rPr>
        <w:t>bs. </w:t>
      </w:r>
      <w:r w:rsidR="00B332A8" w:rsidRPr="009118AB">
        <w:rPr>
          <w:i/>
          <w:iCs/>
        </w:rPr>
        <w:t xml:space="preserve">2 eingefügt durch </w:t>
      </w:r>
      <w:r w:rsidR="00D67EB8" w:rsidRPr="009118AB">
        <w:rPr>
          <w:i/>
          <w:iCs/>
        </w:rPr>
        <w:t>Art. </w:t>
      </w:r>
      <w:r w:rsidR="00B332A8" w:rsidRPr="009118AB">
        <w:rPr>
          <w:i/>
          <w:iCs/>
        </w:rPr>
        <w:t xml:space="preserve">10 </w:t>
      </w:r>
      <w:r w:rsidR="00D67EB8" w:rsidRPr="009118AB">
        <w:rPr>
          <w:i/>
          <w:iCs/>
        </w:rPr>
        <w:t>Nr. </w:t>
      </w:r>
      <w:r w:rsidR="00B332A8" w:rsidRPr="009118AB">
        <w:rPr>
          <w:i/>
          <w:iCs/>
        </w:rPr>
        <w:t>2 des G. vom 29.</w:t>
      </w:r>
      <w:r w:rsidR="00EE5AB1" w:rsidRPr="009118AB">
        <w:rPr>
          <w:i/>
          <w:iCs/>
        </w:rPr>
        <w:t> </w:t>
      </w:r>
      <w:r w:rsidR="00B332A8" w:rsidRPr="009118AB">
        <w:rPr>
          <w:i/>
          <w:iCs/>
        </w:rPr>
        <w:t>Mai</w:t>
      </w:r>
      <w:r w:rsidR="00EE5AB1" w:rsidRPr="009118AB">
        <w:rPr>
          <w:i/>
          <w:iCs/>
        </w:rPr>
        <w:t> </w:t>
      </w:r>
      <w:r w:rsidR="00B332A8" w:rsidRPr="009118AB">
        <w:rPr>
          <w:i/>
          <w:iCs/>
        </w:rPr>
        <w:t>2020 (B.S. vom 11.</w:t>
      </w:r>
      <w:r w:rsidR="00EE5AB1" w:rsidRPr="009118AB">
        <w:rPr>
          <w:i/>
          <w:iCs/>
        </w:rPr>
        <w:t> </w:t>
      </w:r>
      <w:r w:rsidR="00B332A8" w:rsidRPr="009118AB">
        <w:rPr>
          <w:i/>
          <w:iCs/>
        </w:rPr>
        <w:t>Juni</w:t>
      </w:r>
      <w:r w:rsidR="00EE5AB1" w:rsidRPr="009118AB">
        <w:rPr>
          <w:i/>
          <w:iCs/>
        </w:rPr>
        <w:t> </w:t>
      </w:r>
      <w:r w:rsidR="00B332A8" w:rsidRPr="009118AB">
        <w:rPr>
          <w:i/>
          <w:iCs/>
        </w:rPr>
        <w:t>2020)</w:t>
      </w:r>
      <w:r w:rsidR="00D67EB8" w:rsidRPr="009118AB">
        <w:rPr>
          <w:i/>
          <w:iCs/>
        </w:rPr>
        <w:t> - </w:t>
      </w:r>
      <w:r w:rsidR="00B332A8" w:rsidRPr="009118AB">
        <w:rPr>
          <w:i/>
          <w:iCs/>
        </w:rPr>
        <w:t>in Kraft am 11.</w:t>
      </w:r>
      <w:r w:rsidR="00EE5AB1" w:rsidRPr="009118AB">
        <w:rPr>
          <w:i/>
          <w:iCs/>
        </w:rPr>
        <w:t> </w:t>
      </w:r>
      <w:r w:rsidR="00B332A8" w:rsidRPr="009118AB">
        <w:rPr>
          <w:i/>
          <w:iCs/>
        </w:rPr>
        <w:t>Juni</w:t>
      </w:r>
      <w:r w:rsidR="00EE5AB1" w:rsidRPr="009118AB">
        <w:rPr>
          <w:i/>
          <w:iCs/>
        </w:rPr>
        <w:t> </w:t>
      </w:r>
      <w:r w:rsidR="00B332A8" w:rsidRPr="009118AB">
        <w:rPr>
          <w:i/>
          <w:iCs/>
        </w:rPr>
        <w:t>2020 und anwendbar auf die ab dem 12.</w:t>
      </w:r>
      <w:r w:rsidR="00EE5AB1" w:rsidRPr="009118AB">
        <w:rPr>
          <w:i/>
          <w:iCs/>
        </w:rPr>
        <w:t> </w:t>
      </w:r>
      <w:r w:rsidR="00B332A8" w:rsidRPr="009118AB">
        <w:rPr>
          <w:i/>
          <w:iCs/>
        </w:rPr>
        <w:t>März</w:t>
      </w:r>
      <w:r w:rsidR="00EE5AB1" w:rsidRPr="009118AB">
        <w:rPr>
          <w:i/>
          <w:iCs/>
        </w:rPr>
        <w:t> </w:t>
      </w:r>
      <w:r w:rsidR="00B332A8" w:rsidRPr="009118AB">
        <w:rPr>
          <w:i/>
          <w:iCs/>
        </w:rPr>
        <w:t>2020 unterzeichneten Rahmenübereinkommen</w:t>
      </w:r>
      <w:r w:rsidR="003366D9" w:rsidRPr="009118AB">
        <w:rPr>
          <w:i/>
          <w:iCs/>
        </w:rPr>
        <w:t> -</w:t>
      </w:r>
      <w:r w:rsidR="00C56772" w:rsidRPr="009118AB">
        <w:rPr>
          <w:i/>
          <w:iCs/>
        </w:rPr>
        <w:t xml:space="preserve"> und abgeändert durch Art. </w:t>
      </w:r>
      <w:r w:rsidR="00C56772" w:rsidRPr="009118AB">
        <w:rPr>
          <w:i/>
          <w:iCs/>
          <w:spacing w:val="-2"/>
        </w:rPr>
        <w:t>17 Nr. 4 des G. vom 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 (B.S. vom 15.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w:t>
      </w:r>
      <w:r w:rsidR="00F20E86" w:rsidRPr="009118AB">
        <w:rPr>
          <w:i/>
          <w:iCs/>
          <w:spacing w:val="-2"/>
        </w:rPr>
        <w:t> </w:t>
      </w:r>
      <w:r w:rsidR="00C56772" w:rsidRPr="009118AB">
        <w:rPr>
          <w:i/>
          <w:iCs/>
          <w:spacing w:val="-2"/>
        </w:rPr>
        <w:t>-</w:t>
      </w:r>
      <w:r w:rsidR="00F20E86" w:rsidRPr="009118AB">
        <w:rPr>
          <w:i/>
          <w:iCs/>
          <w:spacing w:val="-2"/>
        </w:rPr>
        <w:t> </w:t>
      </w:r>
      <w:r w:rsidR="00C5677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118AB">
        <w:rPr>
          <w:i/>
          <w:iCs/>
          <w:spacing w:val="-2"/>
        </w:rPr>
        <w:t xml:space="preserve"> erfolgt</w:t>
      </w:r>
      <w:r w:rsidR="00C56772" w:rsidRPr="009118AB">
        <w:rPr>
          <w:i/>
          <w:iCs/>
          <w:spacing w:val="-2"/>
        </w:rPr>
        <w:t> -</w:t>
      </w:r>
      <w:r w:rsidR="003366D9" w:rsidRPr="009118AB">
        <w:rPr>
          <w:i/>
          <w:iCs/>
        </w:rPr>
        <w:t>;</w:t>
      </w:r>
      <w:r w:rsidR="00B332A8"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frühere Nummer 2 umnummeriert zu </w:t>
      </w:r>
      <w:r w:rsidR="00D67EB8" w:rsidRPr="009118AB">
        <w:rPr>
          <w:i/>
          <w:iCs/>
        </w:rPr>
        <w:t>Nr. </w:t>
      </w:r>
      <w:r w:rsidRPr="009118AB">
        <w:rPr>
          <w:i/>
          <w:iCs/>
        </w:rPr>
        <w:t xml:space="preserve">5 und ersetzt durch </w:t>
      </w:r>
      <w:r w:rsidR="00D67EB8" w:rsidRPr="009118AB">
        <w:rPr>
          <w:i/>
          <w:iCs/>
        </w:rPr>
        <w:t>Art. </w:t>
      </w:r>
      <w:r w:rsidRPr="009118AB">
        <w:rPr>
          <w:i/>
          <w:iCs/>
        </w:rPr>
        <w:t>3 Buchstabe d)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abgeändert durch </w:t>
      </w:r>
      <w:r w:rsidR="00D67EB8" w:rsidRPr="009118AB">
        <w:rPr>
          <w:i/>
          <w:iCs/>
        </w:rPr>
        <w:t>Art. </w:t>
      </w:r>
      <w:r w:rsidRPr="009118AB">
        <w:rPr>
          <w:i/>
          <w:iCs/>
        </w:rPr>
        <w:t xml:space="preserve">2 </w:t>
      </w:r>
      <w:r w:rsidR="00D67EB8" w:rsidRPr="009118AB">
        <w:rPr>
          <w:i/>
          <w:iCs/>
        </w:rPr>
        <w:t>Nr. </w:t>
      </w:r>
      <w:r w:rsidRPr="009118AB">
        <w:rPr>
          <w:i/>
          <w:iCs/>
        </w:rPr>
        <w:t>6 des G. vom 26. M</w:t>
      </w:r>
      <w:r w:rsidR="00D03B76" w:rsidRPr="009118AB">
        <w:rPr>
          <w:i/>
          <w:iCs/>
        </w:rPr>
        <w:t>ai 2016 (B.S. vom 7. Juni 2016)</w:t>
      </w:r>
      <w:r w:rsidR="00D67EB8" w:rsidRPr="009118AB">
        <w:rPr>
          <w:i/>
          <w:iCs/>
        </w:rPr>
        <w:t> - </w:t>
      </w:r>
      <w:r w:rsidRPr="009118AB">
        <w:rPr>
          <w:i/>
          <w:iCs/>
        </w:rPr>
        <w:t xml:space="preserve">anwendbar auf die ab dem </w:t>
      </w:r>
      <w:r w:rsidRPr="009118AB">
        <w:rPr>
          <w:rFonts w:ascii="Times New Roman Italique" w:hAnsi="Times New Roman Italique"/>
          <w:i/>
          <w:iCs/>
          <w:spacing w:val="2"/>
        </w:rPr>
        <w:t>1. Juli 2016 unterzeichneten Rahmenübereinkommen</w:t>
      </w:r>
      <w:r w:rsidR="003366D9" w:rsidRPr="009118AB">
        <w:rPr>
          <w:rFonts w:ascii="Times New Roman Italique" w:hAnsi="Times New Roman Italique"/>
          <w:i/>
          <w:iCs/>
          <w:spacing w:val="2"/>
        </w:rPr>
        <w:t> -</w:t>
      </w:r>
      <w:r w:rsidR="00C56772" w:rsidRPr="009118AB">
        <w:rPr>
          <w:rFonts w:ascii="Times New Roman Italique" w:hAnsi="Times New Roman Italique"/>
          <w:i/>
          <w:iCs/>
          <w:spacing w:val="2"/>
        </w:rPr>
        <w:t xml:space="preserve"> und Art.</w:t>
      </w:r>
      <w:r w:rsidR="00EE5AB1" w:rsidRPr="009118AB">
        <w:rPr>
          <w:i/>
          <w:iCs/>
          <w:spacing w:val="-2"/>
        </w:rPr>
        <w:t> </w:t>
      </w:r>
      <w:r w:rsidR="00C56772" w:rsidRPr="009118AB">
        <w:rPr>
          <w:i/>
          <w:iCs/>
          <w:spacing w:val="-2"/>
        </w:rPr>
        <w:t>17 Nr. 5 des G. vom 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 (B.S. vom 15.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w:t>
      </w:r>
      <w:r w:rsidR="00F20E86" w:rsidRPr="009118AB">
        <w:rPr>
          <w:i/>
          <w:iCs/>
          <w:spacing w:val="-2"/>
        </w:rPr>
        <w:t> </w:t>
      </w:r>
      <w:r w:rsidR="00C56772" w:rsidRPr="009118AB">
        <w:rPr>
          <w:i/>
          <w:iCs/>
          <w:spacing w:val="-2"/>
        </w:rPr>
        <w:t>-</w:t>
      </w:r>
      <w:r w:rsidR="00F20E86" w:rsidRPr="009118AB">
        <w:rPr>
          <w:i/>
          <w:iCs/>
          <w:spacing w:val="-2"/>
        </w:rPr>
        <w:t> </w:t>
      </w:r>
      <w:r w:rsidR="00C5677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118AB">
        <w:rPr>
          <w:i/>
          <w:iCs/>
          <w:spacing w:val="-2"/>
        </w:rPr>
        <w:t xml:space="preserve"> erfolgt</w:t>
      </w:r>
      <w:r w:rsidR="00C56772" w:rsidRPr="009118AB">
        <w:rPr>
          <w:i/>
          <w:iCs/>
          <w:spacing w:val="-2"/>
        </w:rPr>
        <w:t> -</w:t>
      </w:r>
      <w:r w:rsidR="003366D9" w:rsidRPr="009118AB">
        <w:rPr>
          <w:rFonts w:ascii="Times New Roman Italique" w:hAnsi="Times New Roman Italique"/>
          <w:i/>
          <w:iCs/>
          <w:spacing w:val="2"/>
        </w:rPr>
        <w:t>;</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6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 Buchstabe f) des G. vom 12. Mai 2014 (I) (B.S. vom 27. Mai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Januar 2015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7 des G. vom 26. Mai 2016 (B.S. vom 7. Juni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2016 unterzeichneten Rahmenübereinkommen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1 frühere Nu</w:t>
      </w:r>
      <w:r w:rsidRPr="009118AB">
        <w:rPr>
          <w:i/>
          <w:iCs/>
        </w:rPr>
        <w:t xml:space="preserve">mmer 4 umnummeriert zu </w:t>
      </w:r>
      <w:r w:rsidR="00D67EB8" w:rsidRPr="009118AB">
        <w:rPr>
          <w:i/>
          <w:iCs/>
        </w:rPr>
        <w:t>Nr. </w:t>
      </w:r>
      <w:r w:rsidRPr="009118AB">
        <w:rPr>
          <w:i/>
          <w:iCs/>
        </w:rPr>
        <w:t xml:space="preserve">7 durch </w:t>
      </w:r>
      <w:r w:rsidR="00D67EB8" w:rsidRPr="009118AB">
        <w:rPr>
          <w:i/>
          <w:iCs/>
        </w:rPr>
        <w:t>Art. </w:t>
      </w:r>
      <w:r w:rsidRPr="009118AB">
        <w:rPr>
          <w:i/>
          <w:iCs/>
        </w:rPr>
        <w:t>3 Buchstabe f)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abgeändert durch </w:t>
      </w:r>
      <w:r w:rsidR="00D67EB8" w:rsidRPr="009118AB">
        <w:rPr>
          <w:i/>
          <w:iCs/>
        </w:rPr>
        <w:t>Art. </w:t>
      </w:r>
      <w:r w:rsidRPr="009118AB">
        <w:rPr>
          <w:i/>
          <w:iCs/>
        </w:rPr>
        <w:t>7 Buchstabe d) des G. vom 21. Dezember 2009 (B.S. vom 31. Dezember 2009)</w:t>
      </w:r>
      <w:r w:rsidR="00D67EB8" w:rsidRPr="009118AB">
        <w:rPr>
          <w:i/>
          <w:iCs/>
        </w:rPr>
        <w:t> - </w:t>
      </w:r>
      <w:r w:rsidRPr="009118AB">
        <w:rPr>
          <w:i/>
          <w:iCs/>
        </w:rPr>
        <w:t>in Kraft am 1. Januar 2010</w:t>
      </w:r>
      <w:r w:rsidR="00FD68E8" w:rsidRPr="009118AB">
        <w:rPr>
          <w:i/>
          <w:iCs/>
        </w:rPr>
        <w:t> -,</w:t>
      </w:r>
      <w:r w:rsidRPr="009118AB">
        <w:rPr>
          <w:i/>
          <w:iCs/>
        </w:rPr>
        <w:t xml:space="preserve"> </w:t>
      </w:r>
      <w:r w:rsidR="00D67EB8" w:rsidRPr="009118AB">
        <w:rPr>
          <w:i/>
          <w:iCs/>
        </w:rPr>
        <w:t>Art. </w:t>
      </w:r>
      <w:r w:rsidRPr="009118AB">
        <w:rPr>
          <w:i/>
          <w:iCs/>
        </w:rPr>
        <w:t>3 Buchstabe g) des G. vom 12. Mai 2014 (I) (B.S. vom 27. Mai 2014)</w:t>
      </w:r>
      <w:r w:rsidR="00D67EB8" w:rsidRPr="009118AB">
        <w:rPr>
          <w:i/>
          <w:iCs/>
        </w:rPr>
        <w:t> - </w:t>
      </w:r>
      <w:r w:rsidRPr="009118AB">
        <w:rPr>
          <w:i/>
          <w:iCs/>
        </w:rPr>
        <w:t>in Kraft am 1. Januar 2015</w:t>
      </w:r>
      <w:r w:rsidR="00D67EB8" w:rsidRPr="009118AB">
        <w:rPr>
          <w:i/>
          <w:iCs/>
        </w:rPr>
        <w:t> -</w:t>
      </w:r>
      <w:r w:rsidR="00C56772" w:rsidRPr="009118AB">
        <w:rPr>
          <w:i/>
          <w:iCs/>
        </w:rPr>
        <w:t>,</w:t>
      </w:r>
      <w:r w:rsidRPr="009118AB">
        <w:rPr>
          <w:i/>
          <w:iCs/>
        </w:rPr>
        <w:t xml:space="preserve"> </w:t>
      </w:r>
      <w:r w:rsidR="00D67EB8" w:rsidRPr="009118AB">
        <w:rPr>
          <w:i/>
          <w:iCs/>
        </w:rPr>
        <w:t>Art. </w:t>
      </w:r>
      <w:r w:rsidRPr="009118AB">
        <w:rPr>
          <w:i/>
          <w:iCs/>
        </w:rPr>
        <w:t xml:space="preserve">2 </w:t>
      </w:r>
      <w:r w:rsidR="00D67EB8" w:rsidRPr="009118AB">
        <w:rPr>
          <w:i/>
          <w:iCs/>
        </w:rPr>
        <w:t>Nr. </w:t>
      </w:r>
      <w:r w:rsidRPr="009118AB">
        <w:rPr>
          <w:i/>
          <w:iCs/>
        </w:rPr>
        <w:t>8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00C56772" w:rsidRPr="009118AB">
        <w:rPr>
          <w:i/>
          <w:iCs/>
        </w:rPr>
        <w:t xml:space="preserve"> und Art. </w:t>
      </w:r>
      <w:r w:rsidR="00C56772" w:rsidRPr="009118AB">
        <w:rPr>
          <w:i/>
          <w:iCs/>
          <w:spacing w:val="-2"/>
        </w:rPr>
        <w:t>17 Nr. 6 des G. vom 5.</w:t>
      </w:r>
      <w:r w:rsidR="00F20E86" w:rsidRPr="009118AB">
        <w:rPr>
          <w:i/>
          <w:iCs/>
          <w:spacing w:val="-2"/>
        </w:rPr>
        <w:t> </w:t>
      </w:r>
      <w:r w:rsidR="00C56772" w:rsidRPr="009118AB">
        <w:rPr>
          <w:i/>
          <w:iCs/>
          <w:spacing w:val="-2"/>
        </w:rPr>
        <w:t>Juli</w:t>
      </w:r>
      <w:r w:rsidR="00F20E86" w:rsidRPr="009118AB">
        <w:rPr>
          <w:i/>
          <w:iCs/>
          <w:spacing w:val="-2"/>
        </w:rPr>
        <w:t> </w:t>
      </w:r>
      <w:r w:rsidR="00C56772" w:rsidRPr="009118AB">
        <w:rPr>
          <w:i/>
          <w:iCs/>
          <w:spacing w:val="-2"/>
        </w:rPr>
        <w:t>2022 (B.S. vom 15.</w:t>
      </w:r>
      <w:r w:rsidR="00F20E86" w:rsidRPr="009118AB">
        <w:rPr>
          <w:i/>
          <w:iCs/>
          <w:spacing w:val="-2"/>
        </w:rPr>
        <w:t> </w:t>
      </w:r>
      <w:r w:rsidR="00C56772" w:rsidRPr="009118AB">
        <w:rPr>
          <w:i/>
          <w:iCs/>
          <w:spacing w:val="-2"/>
        </w:rPr>
        <w:t>Juli</w:t>
      </w:r>
      <w:r w:rsidR="00F20E86" w:rsidRPr="009118AB">
        <w:rPr>
          <w:i/>
          <w:iCs/>
          <w:spacing w:val="-2"/>
        </w:rPr>
        <w:t> </w:t>
      </w:r>
      <w:r w:rsidR="00C56772" w:rsidRPr="009118AB">
        <w:rPr>
          <w:i/>
          <w:iCs/>
          <w:spacing w:val="-2"/>
        </w:rPr>
        <w:t>2022)</w:t>
      </w:r>
      <w:r w:rsidR="00F20E86" w:rsidRPr="009118AB">
        <w:rPr>
          <w:i/>
          <w:iCs/>
          <w:spacing w:val="-2"/>
        </w:rPr>
        <w:t> </w:t>
      </w:r>
      <w:r w:rsidR="00C56772" w:rsidRPr="009118AB">
        <w:rPr>
          <w:i/>
          <w:iCs/>
          <w:spacing w:val="-2"/>
        </w:rPr>
        <w:t>-</w:t>
      </w:r>
      <w:r w:rsidR="00F20E86" w:rsidRPr="009118AB">
        <w:rPr>
          <w:i/>
          <w:iCs/>
          <w:spacing w:val="-2"/>
        </w:rPr>
        <w:t> </w:t>
      </w:r>
      <w:r w:rsidR="00C5677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F20E86" w:rsidRPr="009118AB">
        <w:rPr>
          <w:i/>
          <w:iCs/>
          <w:spacing w:val="-2"/>
        </w:rPr>
        <w:t xml:space="preserve"> erfolgt</w:t>
      </w:r>
      <w:r w:rsidR="00C56772" w:rsidRPr="009118AB">
        <w:rPr>
          <w:i/>
          <w:iCs/>
          <w:spacing w:val="-2"/>
        </w:rPr>
        <w:t> -</w:t>
      </w:r>
      <w:r w:rsidR="003366D9" w:rsidRPr="009118AB">
        <w:rPr>
          <w:i/>
          <w:iCs/>
        </w:rPr>
        <w:t>;</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8 (</w:t>
      </w:r>
      <w:r w:rsidR="00D67EB8" w:rsidRPr="009118AB">
        <w:rPr>
          <w:i/>
          <w:iCs/>
        </w:rPr>
        <w:t>§ </w:t>
      </w:r>
      <w:r w:rsidRPr="009118AB">
        <w:rPr>
          <w:i/>
          <w:iCs/>
        </w:rPr>
        <w:t xml:space="preserve">1 früherer Absatz 6) eingegliedert durch </w:t>
      </w:r>
      <w:r w:rsidR="00D67EB8" w:rsidRPr="009118AB">
        <w:rPr>
          <w:i/>
          <w:iCs/>
        </w:rPr>
        <w:t>Art. </w:t>
      </w:r>
      <w:r w:rsidRPr="009118AB">
        <w:rPr>
          <w:i/>
          <w:iCs/>
        </w:rPr>
        <w:t>3 Buchstabe h)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8 einziger Absatz einleitende Bestimmung ersetzt durch </w:t>
      </w:r>
      <w:r w:rsidR="00D67EB8" w:rsidRPr="009118AB">
        <w:rPr>
          <w:i/>
          <w:iCs/>
        </w:rPr>
        <w:t>Art. </w:t>
      </w:r>
      <w:r w:rsidRPr="009118AB">
        <w:rPr>
          <w:i/>
          <w:iCs/>
        </w:rPr>
        <w:t>3 Buchstabe h) des G. vom 12. Mai 2014 (I) (B.S. vom 27. Mai 2014)</w:t>
      </w:r>
      <w:r w:rsidR="00D67EB8" w:rsidRPr="009118AB">
        <w:rPr>
          <w:i/>
          <w:iCs/>
        </w:rPr>
        <w:t> - </w:t>
      </w:r>
      <w:r w:rsidRPr="009118AB">
        <w:rPr>
          <w:i/>
          <w:iCs/>
        </w:rPr>
        <w:t xml:space="preserve">in Kraft am </w:t>
      </w:r>
      <w:r w:rsidR="00E951F6" w:rsidRPr="009118AB">
        <w:rPr>
          <w:rFonts w:ascii="Times New Roman Italique" w:hAnsi="Times New Roman Italique"/>
          <w:i/>
          <w:iCs/>
          <w:spacing w:val="2"/>
        </w:rPr>
        <w:t>1. Januar 2015</w:t>
      </w:r>
      <w:r w:rsidR="00D67EB8" w:rsidRPr="009118AB">
        <w:rPr>
          <w:rFonts w:ascii="Times New Roman Italique" w:hAnsi="Times New Roman Italique"/>
          <w:i/>
          <w:iCs/>
          <w:spacing w:val="2"/>
        </w:rPr>
        <w:t> - </w:t>
      </w:r>
      <w:r w:rsidR="00E951F6" w:rsidRPr="009118AB">
        <w:rPr>
          <w:rFonts w:ascii="Times New Roman Italique" w:hAnsi="Times New Roman Italique"/>
          <w:i/>
          <w:iCs/>
          <w:spacing w:val="2"/>
        </w:rPr>
        <w:t xml:space="preserve">und </w:t>
      </w:r>
      <w:r w:rsidRPr="009118AB">
        <w:rPr>
          <w:rFonts w:ascii="Times New Roman Italique" w:hAnsi="Times New Roman Italique"/>
          <w:i/>
          <w:iCs/>
          <w:spacing w:val="2"/>
        </w:rPr>
        <w:t xml:space="preserve">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9 des G. vom 26. Mai 2016 (B.S. vom </w:t>
      </w:r>
      <w:r w:rsidRPr="009118AB">
        <w:rPr>
          <w:rFonts w:ascii="Times New Roman Italique" w:hAnsi="Times New Roman Italique"/>
          <w:i/>
          <w:iCs/>
          <w:spacing w:val="2"/>
        </w:rPr>
        <w:lastRenderedPageBreak/>
        <w:t>7. Juni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2016 unterzeichneten Rahmenüber</w:t>
      </w:r>
      <w:r w:rsidR="00866B3D" w:rsidRPr="009118AB">
        <w:rPr>
          <w:rFonts w:ascii="Times New Roman Italique" w:hAnsi="Times New Roman Italique"/>
          <w:i/>
          <w:iCs/>
          <w:spacing w:val="2"/>
        </w:rPr>
        <w:softHyphen/>
      </w:r>
      <w:r w:rsidRPr="009118AB">
        <w:rPr>
          <w:rFonts w:ascii="Times New Roman Italique" w:hAnsi="Times New Roman Italique"/>
          <w:i/>
          <w:iCs/>
          <w:spacing w:val="2"/>
        </w:rPr>
        <w:t>einkommen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8 einziger Absatz erster Gedankenstrich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10 des G. vom 26. Mai</w:t>
      </w:r>
      <w:r w:rsidR="001B53F1" w:rsidRPr="009118AB">
        <w:rPr>
          <w:rFonts w:ascii="Times New Roman Italique" w:hAnsi="Times New Roman Italique"/>
          <w:i/>
          <w:iCs/>
          <w:spacing w:val="2"/>
        </w:rPr>
        <w:t> 2016 (B.S. vom 7. Juni 2016)</w:t>
      </w:r>
      <w:r w:rsidR="00D67EB8" w:rsidRPr="009118AB">
        <w:rPr>
          <w:rFonts w:ascii="Times New Roman Italique" w:hAnsi="Times New Roman Italique"/>
          <w:i/>
          <w:iCs/>
          <w:spacing w:val="2"/>
        </w:rPr>
        <w:t> </w:t>
      </w:r>
      <w:r w:rsidR="00D67EB8" w:rsidRPr="009118AB">
        <w:rPr>
          <w:rFonts w:ascii="Times New Roman Italique" w:hAnsi="Times New Roman Italique" w:hint="eastAsia"/>
          <w:i/>
          <w:iCs/>
          <w:spacing w:val="2"/>
        </w:rPr>
        <w:t>-</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anwendbar auf die ab dem 1. Juli 2016 unterzeichneten </w:t>
      </w:r>
      <w:r w:rsidR="001B53F1" w:rsidRPr="009118AB">
        <w:rPr>
          <w:rFonts w:ascii="Times New Roman Italique" w:hAnsi="Times New Roman Italique"/>
          <w:i/>
          <w:iCs/>
          <w:spacing w:val="2"/>
        </w:rPr>
        <w:t>Rahmen</w:t>
      </w:r>
      <w:r w:rsidR="001B53F1" w:rsidRPr="009118AB">
        <w:rPr>
          <w:rFonts w:ascii="Times New Roman Italique" w:hAnsi="Times New Roman Italique"/>
          <w:i/>
          <w:iCs/>
          <w:spacing w:val="2"/>
        </w:rPr>
        <w:softHyphen/>
        <w:t>übereinkommen</w:t>
      </w:r>
      <w:r w:rsidR="003366D9" w:rsidRPr="009118AB">
        <w:rPr>
          <w:rFonts w:ascii="Times New Roman Italique" w:hAnsi="Times New Roman Italique"/>
          <w:i/>
          <w:iCs/>
          <w:spacing w:val="2"/>
        </w:rPr>
        <w:t> </w:t>
      </w:r>
      <w:r w:rsidR="003366D9" w:rsidRPr="009118AB">
        <w:rPr>
          <w:rFonts w:ascii="Times New Roman Italique" w:hAnsi="Times New Roman Italique" w:hint="eastAsia"/>
          <w:i/>
          <w:iCs/>
          <w:spacing w:val="2"/>
        </w:rPr>
        <w:t>-;</w:t>
      </w:r>
      <w:r w:rsidRPr="009118AB">
        <w:rPr>
          <w:rFonts w:ascii="Times New Roman Italique" w:hAnsi="Times New Roman Italique"/>
          <w:i/>
          <w:iCs/>
          <w:spacing w:val="2"/>
        </w:rPr>
        <w:t xml:space="preserve"> </w:t>
      </w:r>
      <w:r w:rsidR="00C56772" w:rsidRPr="009118AB">
        <w:rPr>
          <w:rFonts w:ascii="Times New Roman Italique" w:hAnsi="Times New Roman Italique"/>
          <w:i/>
          <w:iCs/>
          <w:spacing w:val="2"/>
        </w:rPr>
        <w:t>§</w:t>
      </w:r>
      <w:r w:rsidR="00C56772" w:rsidRPr="009118AB">
        <w:rPr>
          <w:rFonts w:ascii="Times New Roman Italique" w:hAnsi="Times New Roman Italique" w:hint="eastAsia"/>
          <w:i/>
          <w:iCs/>
          <w:spacing w:val="2"/>
        </w:rPr>
        <w:t> </w:t>
      </w:r>
      <w:r w:rsidR="00C56772" w:rsidRPr="009118AB">
        <w:rPr>
          <w:rFonts w:ascii="Times New Roman Italique" w:hAnsi="Times New Roman Italique"/>
          <w:i/>
          <w:iCs/>
          <w:spacing w:val="2"/>
        </w:rPr>
        <w:t>1 Abs.</w:t>
      </w:r>
      <w:r w:rsidR="00C56772" w:rsidRPr="009118AB">
        <w:rPr>
          <w:rFonts w:ascii="Times New Roman Italique" w:hAnsi="Times New Roman Italique" w:hint="eastAsia"/>
          <w:i/>
          <w:iCs/>
          <w:spacing w:val="2"/>
        </w:rPr>
        <w:t> </w:t>
      </w:r>
      <w:r w:rsidR="00C56772" w:rsidRPr="009118AB">
        <w:rPr>
          <w:rFonts w:ascii="Times New Roman Italique" w:hAnsi="Times New Roman Italique"/>
          <w:i/>
          <w:iCs/>
          <w:spacing w:val="2"/>
        </w:rPr>
        <w:t>1 Nr.</w:t>
      </w:r>
      <w:r w:rsidR="00C56772" w:rsidRPr="009118AB">
        <w:rPr>
          <w:rFonts w:ascii="Times New Roman Italique" w:hAnsi="Times New Roman Italique" w:hint="eastAsia"/>
          <w:i/>
          <w:iCs/>
          <w:spacing w:val="2"/>
        </w:rPr>
        <w:t> </w:t>
      </w:r>
      <w:r w:rsidR="00C56772" w:rsidRPr="009118AB">
        <w:rPr>
          <w:rFonts w:ascii="Times New Roman Italique" w:hAnsi="Times New Roman Italique"/>
          <w:i/>
          <w:iCs/>
          <w:spacing w:val="2"/>
        </w:rPr>
        <w:t>8 einziger Absatz fünfter Gedankenstrich abgeändert durch Art. </w:t>
      </w:r>
      <w:r w:rsidR="00C56772" w:rsidRPr="009118AB">
        <w:rPr>
          <w:i/>
          <w:iCs/>
          <w:spacing w:val="-2"/>
        </w:rPr>
        <w:t>17 Nr. 7 des G. vom 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 (B.S. vom 15.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w:t>
      </w:r>
      <w:r w:rsidR="00F20E86" w:rsidRPr="009118AB">
        <w:rPr>
          <w:i/>
          <w:iCs/>
          <w:spacing w:val="-2"/>
        </w:rPr>
        <w:t> </w:t>
      </w:r>
      <w:r w:rsidR="00C56772" w:rsidRPr="009118AB">
        <w:rPr>
          <w:i/>
          <w:iCs/>
          <w:spacing w:val="-2"/>
        </w:rPr>
        <w:t>-</w:t>
      </w:r>
      <w:r w:rsidR="00F20E86" w:rsidRPr="009118AB">
        <w:rPr>
          <w:i/>
          <w:iCs/>
          <w:spacing w:val="-2"/>
        </w:rPr>
        <w:t> </w:t>
      </w:r>
      <w:r w:rsidR="00C5677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118AB">
        <w:rPr>
          <w:i/>
          <w:iCs/>
          <w:spacing w:val="-2"/>
        </w:rPr>
        <w:t xml:space="preserve"> erfolgt</w:t>
      </w:r>
      <w:r w:rsidR="00C56772" w:rsidRPr="009118AB">
        <w:rPr>
          <w:i/>
          <w:iCs/>
          <w:spacing w:val="-2"/>
        </w:rPr>
        <w:t xml:space="preserve"> -;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8 einziger Absatz zehnter </w:t>
      </w:r>
      <w:r w:rsidRPr="009118AB">
        <w:rPr>
          <w:i/>
          <w:iCs/>
          <w:spacing w:val="2"/>
        </w:rPr>
        <w:t xml:space="preserve">Gedankenstrich abgeändert durch </w:t>
      </w:r>
      <w:r w:rsidR="00D67EB8" w:rsidRPr="009118AB">
        <w:rPr>
          <w:i/>
          <w:iCs/>
          <w:spacing w:val="2"/>
        </w:rPr>
        <w:t>Art. </w:t>
      </w:r>
      <w:r w:rsidRPr="009118AB">
        <w:rPr>
          <w:i/>
          <w:iCs/>
          <w:spacing w:val="2"/>
        </w:rPr>
        <w:t xml:space="preserve">2 </w:t>
      </w:r>
      <w:r w:rsidR="00D67EB8" w:rsidRPr="009118AB">
        <w:rPr>
          <w:i/>
          <w:iCs/>
          <w:spacing w:val="2"/>
        </w:rPr>
        <w:t>Nr. </w:t>
      </w:r>
      <w:r w:rsidRPr="009118AB">
        <w:rPr>
          <w:i/>
          <w:iCs/>
          <w:spacing w:val="2"/>
        </w:rPr>
        <w:t>11 des G. vom 26. Mai 2016 (B.S. vom 7. Juni 2016)</w:t>
      </w:r>
      <w:r w:rsidR="00D67EB8" w:rsidRPr="009118AB">
        <w:rPr>
          <w:i/>
          <w:iCs/>
          <w:spacing w:val="2"/>
        </w:rPr>
        <w:t> - </w:t>
      </w:r>
      <w:r w:rsidRPr="009118AB">
        <w:rPr>
          <w:i/>
          <w:iCs/>
          <w:spacing w:val="2"/>
        </w:rPr>
        <w:t>anwendbar auf die ab dem 1. Juli 2016 unterzeichneten Rahmenübe</w:t>
      </w:r>
      <w:r w:rsidR="00E2782D" w:rsidRPr="009118AB">
        <w:rPr>
          <w:i/>
          <w:iCs/>
          <w:spacing w:val="2"/>
        </w:rPr>
        <w:softHyphen/>
      </w:r>
      <w:r w:rsidRPr="009118AB">
        <w:rPr>
          <w:i/>
          <w:iCs/>
          <w:spacing w:val="2"/>
        </w:rPr>
        <w:t>reinkommen</w:t>
      </w:r>
      <w:r w:rsidR="003366D9" w:rsidRPr="009118AB">
        <w:rPr>
          <w:i/>
          <w:iCs/>
          <w:spacing w:val="2"/>
        </w:rPr>
        <w:t> -;</w:t>
      </w:r>
      <w:r w:rsidRPr="009118AB">
        <w:rPr>
          <w:i/>
          <w:iCs/>
          <w:spacing w:val="2"/>
        </w:rPr>
        <w:t xml:space="preserve"> </w:t>
      </w:r>
      <w:r w:rsidR="00D67EB8" w:rsidRPr="009118AB">
        <w:rPr>
          <w:i/>
          <w:iCs/>
          <w:spacing w:val="2"/>
        </w:rPr>
        <w:t>§ </w:t>
      </w:r>
      <w:r w:rsidRPr="009118AB">
        <w:rPr>
          <w:i/>
          <w:iCs/>
          <w:spacing w:val="2"/>
        </w:rPr>
        <w:t xml:space="preserve">1 </w:t>
      </w:r>
      <w:r w:rsidR="00D67EB8" w:rsidRPr="009118AB">
        <w:rPr>
          <w:i/>
          <w:iCs/>
          <w:spacing w:val="2"/>
        </w:rPr>
        <w:t>Abs. </w:t>
      </w:r>
      <w:r w:rsidRPr="009118AB">
        <w:rPr>
          <w:i/>
          <w:iCs/>
          <w:spacing w:val="2"/>
        </w:rPr>
        <w:t xml:space="preserve">1 </w:t>
      </w:r>
      <w:r w:rsidR="00D67EB8" w:rsidRPr="009118AB">
        <w:rPr>
          <w:i/>
          <w:iCs/>
          <w:spacing w:val="2"/>
        </w:rPr>
        <w:t>Nr. </w:t>
      </w:r>
      <w:r w:rsidRPr="009118AB">
        <w:rPr>
          <w:i/>
          <w:iCs/>
          <w:spacing w:val="2"/>
        </w:rPr>
        <w:t xml:space="preserve">8 einziger Absatz elfter Gedankenstrich eingefügt durch </w:t>
      </w:r>
      <w:r w:rsidR="00D67EB8" w:rsidRPr="009118AB">
        <w:rPr>
          <w:i/>
          <w:iCs/>
          <w:spacing w:val="2"/>
        </w:rPr>
        <w:t>Art. </w:t>
      </w:r>
      <w:r w:rsidRPr="009118AB">
        <w:rPr>
          <w:i/>
          <w:iCs/>
          <w:spacing w:val="2"/>
        </w:rPr>
        <w:t xml:space="preserve">2 </w:t>
      </w:r>
      <w:r w:rsidR="00D67EB8" w:rsidRPr="009118AB">
        <w:rPr>
          <w:i/>
          <w:iCs/>
          <w:spacing w:val="2"/>
        </w:rPr>
        <w:t>Nr. </w:t>
      </w:r>
      <w:r w:rsidRPr="009118AB">
        <w:rPr>
          <w:i/>
          <w:iCs/>
          <w:spacing w:val="2"/>
        </w:rPr>
        <w:t>12 des G. vom 26. M</w:t>
      </w:r>
      <w:r w:rsidR="001B53F1" w:rsidRPr="009118AB">
        <w:rPr>
          <w:i/>
          <w:iCs/>
          <w:spacing w:val="2"/>
        </w:rPr>
        <w:t>ai 2016 (B.S. vom 7. Juni 2016)</w:t>
      </w:r>
      <w:r w:rsidR="00D67EB8" w:rsidRPr="009118AB">
        <w:rPr>
          <w:i/>
          <w:iCs/>
          <w:spacing w:val="2"/>
        </w:rPr>
        <w:t> - </w:t>
      </w:r>
      <w:r w:rsidRPr="009118AB">
        <w:rPr>
          <w:i/>
          <w:iCs/>
          <w:spacing w:val="2"/>
        </w:rPr>
        <w:t xml:space="preserve">anwendbar auf die ab dem 1. Juli 2016 </w:t>
      </w:r>
      <w:r w:rsidRPr="009118AB">
        <w:rPr>
          <w:i/>
          <w:iCs/>
        </w:rPr>
        <w:t>unterzeichneten Rahmen</w:t>
      </w:r>
      <w:r w:rsidR="001B53F1" w:rsidRPr="009118AB">
        <w:rPr>
          <w:i/>
          <w:iCs/>
        </w:rPr>
        <w:softHyphen/>
      </w:r>
      <w:r w:rsidRPr="009118AB">
        <w:rPr>
          <w:i/>
          <w:iCs/>
        </w:rPr>
        <w:t>übereinkommen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9 (</w:t>
      </w:r>
      <w:r w:rsidR="00D67EB8" w:rsidRPr="009118AB">
        <w:rPr>
          <w:i/>
          <w:iCs/>
        </w:rPr>
        <w:t>§ </w:t>
      </w:r>
      <w:r w:rsidRPr="009118AB">
        <w:rPr>
          <w:i/>
          <w:iCs/>
        </w:rPr>
        <w:t xml:space="preserve">1 früherer Absatz 8) eingegliedert durch </w:t>
      </w:r>
      <w:r w:rsidR="00D67EB8" w:rsidRPr="009118AB">
        <w:rPr>
          <w:i/>
          <w:iCs/>
        </w:rPr>
        <w:t>Art. </w:t>
      </w:r>
      <w:r w:rsidRPr="009118AB">
        <w:rPr>
          <w:i/>
          <w:iCs/>
        </w:rPr>
        <w:t>3 Buchstabe j)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9 </w:t>
      </w:r>
      <w:r w:rsidR="00D67EB8" w:rsidRPr="009118AB">
        <w:rPr>
          <w:i/>
          <w:iCs/>
        </w:rPr>
        <w:t>Abs. </w:t>
      </w:r>
      <w:r w:rsidRPr="009118AB">
        <w:rPr>
          <w:i/>
          <w:iCs/>
        </w:rPr>
        <w:t xml:space="preserve">1 (früherer einziger Absatz) einleitende Bestimmung ersetzt durch </w:t>
      </w:r>
      <w:r w:rsidR="00D67EB8" w:rsidRPr="009118AB">
        <w:rPr>
          <w:i/>
          <w:iCs/>
        </w:rPr>
        <w:t>Art. </w:t>
      </w:r>
      <w:r w:rsidRPr="009118AB">
        <w:rPr>
          <w:i/>
          <w:iCs/>
        </w:rPr>
        <w:t xml:space="preserve">3 Buchstabe j) </w:t>
      </w:r>
      <w:r w:rsidR="00D67EB8" w:rsidRPr="009118AB">
        <w:rPr>
          <w:i/>
          <w:iCs/>
        </w:rPr>
        <w:t>Nr. </w:t>
      </w:r>
      <w:r w:rsidRPr="009118AB">
        <w:rPr>
          <w:i/>
          <w:iCs/>
        </w:rPr>
        <w:t>1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abgeändert durch </w:t>
      </w:r>
      <w:r w:rsidR="00D67EB8" w:rsidRPr="009118AB">
        <w:rPr>
          <w:i/>
          <w:iCs/>
        </w:rPr>
        <w:t>Art. </w:t>
      </w:r>
      <w:r w:rsidRPr="009118AB">
        <w:rPr>
          <w:i/>
          <w:iCs/>
        </w:rPr>
        <w:t xml:space="preserve">2 </w:t>
      </w:r>
      <w:r w:rsidR="00D67EB8" w:rsidRPr="009118AB">
        <w:rPr>
          <w:i/>
          <w:iCs/>
        </w:rPr>
        <w:t>Nr. </w:t>
      </w:r>
      <w:r w:rsidRPr="009118AB">
        <w:rPr>
          <w:i/>
          <w:iCs/>
        </w:rPr>
        <w:t>13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9 </w:t>
      </w:r>
      <w:r w:rsidR="00D67EB8" w:rsidRPr="009118AB">
        <w:rPr>
          <w:i/>
          <w:iCs/>
        </w:rPr>
        <w:t>Abs. </w:t>
      </w:r>
      <w:r w:rsidRPr="009118AB">
        <w:rPr>
          <w:i/>
          <w:iCs/>
        </w:rPr>
        <w:t xml:space="preserve">1 neuer erster Gedankenstrich eingefügt durch </w:t>
      </w:r>
      <w:r w:rsidR="00D67EB8" w:rsidRPr="009118AB">
        <w:rPr>
          <w:i/>
          <w:iCs/>
        </w:rPr>
        <w:t>Art. </w:t>
      </w:r>
      <w:r w:rsidRPr="009118AB">
        <w:rPr>
          <w:i/>
          <w:iCs/>
        </w:rPr>
        <w:t xml:space="preserve">3 Buchstabe j) </w:t>
      </w:r>
      <w:r w:rsidR="00D67EB8" w:rsidRPr="009118AB">
        <w:rPr>
          <w:i/>
          <w:iCs/>
        </w:rPr>
        <w:t>Nr. </w:t>
      </w:r>
      <w:r w:rsidRPr="009118AB">
        <w:rPr>
          <w:i/>
          <w:iCs/>
        </w:rPr>
        <w:t>1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9 </w:t>
      </w:r>
      <w:r w:rsidR="00D67EB8" w:rsidRPr="009118AB">
        <w:rPr>
          <w:i/>
          <w:iCs/>
        </w:rPr>
        <w:t>Abs. </w:t>
      </w:r>
      <w:r w:rsidRPr="009118AB">
        <w:rPr>
          <w:i/>
          <w:iCs/>
        </w:rPr>
        <w:t xml:space="preserve">1 früherer zweiter Gedankenstrich aufgehoben durch </w:t>
      </w:r>
      <w:r w:rsidR="00D67EB8" w:rsidRPr="009118AB">
        <w:rPr>
          <w:i/>
          <w:iCs/>
        </w:rPr>
        <w:t>Art. </w:t>
      </w:r>
      <w:r w:rsidRPr="009118AB">
        <w:rPr>
          <w:i/>
          <w:iCs/>
        </w:rPr>
        <w:t xml:space="preserve">2 </w:t>
      </w:r>
      <w:r w:rsidR="00D67EB8" w:rsidRPr="009118AB">
        <w:rPr>
          <w:i/>
          <w:iCs/>
        </w:rPr>
        <w:t>Nr. </w:t>
      </w:r>
      <w:r w:rsidRPr="009118AB">
        <w:rPr>
          <w:i/>
          <w:iCs/>
        </w:rPr>
        <w:t>14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9 </w:t>
      </w:r>
      <w:r w:rsidR="00D67EB8" w:rsidRPr="009118AB">
        <w:rPr>
          <w:i/>
          <w:iCs/>
        </w:rPr>
        <w:t>Abs. </w:t>
      </w:r>
      <w:r w:rsidRPr="009118AB">
        <w:rPr>
          <w:i/>
          <w:iCs/>
        </w:rPr>
        <w:t xml:space="preserve">1 </w:t>
      </w:r>
      <w:r w:rsidR="00C56772" w:rsidRPr="009118AB">
        <w:rPr>
          <w:i/>
          <w:iCs/>
        </w:rPr>
        <w:t>früherer drit</w:t>
      </w:r>
      <w:r w:rsidRPr="009118AB">
        <w:rPr>
          <w:i/>
          <w:iCs/>
        </w:rPr>
        <w:t xml:space="preserve">ter Gedankenstrich </w:t>
      </w:r>
      <w:r w:rsidR="00C56772" w:rsidRPr="009118AB">
        <w:rPr>
          <w:i/>
          <w:iCs/>
        </w:rPr>
        <w:t>aufgehoben durch Art. </w:t>
      </w:r>
      <w:r w:rsidR="00C56772" w:rsidRPr="009118AB">
        <w:rPr>
          <w:i/>
          <w:iCs/>
          <w:spacing w:val="-2"/>
        </w:rPr>
        <w:t>17 Nr. 8 des G. vom 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 (B.S. vom 15.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w:t>
      </w:r>
      <w:r w:rsidR="00F20E86" w:rsidRPr="009118AB">
        <w:rPr>
          <w:i/>
          <w:iCs/>
          <w:spacing w:val="-2"/>
        </w:rPr>
        <w:t> </w:t>
      </w:r>
      <w:r w:rsidR="00C56772" w:rsidRPr="009118AB">
        <w:rPr>
          <w:i/>
          <w:iCs/>
          <w:spacing w:val="-2"/>
        </w:rPr>
        <w:t>-</w:t>
      </w:r>
      <w:r w:rsidR="00F20E86" w:rsidRPr="009118AB">
        <w:rPr>
          <w:i/>
          <w:iCs/>
          <w:spacing w:val="-2"/>
        </w:rPr>
        <w:t> </w:t>
      </w:r>
      <w:r w:rsidR="00C5677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118AB">
        <w:rPr>
          <w:i/>
          <w:iCs/>
          <w:spacing w:val="-2"/>
        </w:rPr>
        <w:t xml:space="preserve"> erfolgt</w:t>
      </w:r>
      <w:r w:rsidR="00C56772" w:rsidRPr="009118AB">
        <w:rPr>
          <w:i/>
          <w:iCs/>
          <w:spacing w:val="-2"/>
        </w:rPr>
        <w:t> -</w:t>
      </w:r>
      <w:r w:rsidR="003366D9" w:rsidRPr="009118AB">
        <w:rPr>
          <w:i/>
          <w:iCs/>
        </w:rPr>
        <w:t>;</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9 </w:t>
      </w:r>
      <w:r w:rsidR="00D67EB8" w:rsidRPr="009118AB">
        <w:rPr>
          <w:i/>
          <w:iCs/>
        </w:rPr>
        <w:t>Abs. </w:t>
      </w:r>
      <w:r w:rsidRPr="009118AB">
        <w:rPr>
          <w:i/>
          <w:iCs/>
        </w:rPr>
        <w:t xml:space="preserve">1 </w:t>
      </w:r>
      <w:r w:rsidR="00A3103E" w:rsidRPr="009118AB">
        <w:rPr>
          <w:i/>
          <w:iCs/>
        </w:rPr>
        <w:t xml:space="preserve">neuer </w:t>
      </w:r>
      <w:r w:rsidR="00C56772" w:rsidRPr="009118AB">
        <w:rPr>
          <w:i/>
          <w:iCs/>
        </w:rPr>
        <w:t>zwei</w:t>
      </w:r>
      <w:r w:rsidRPr="009118AB">
        <w:rPr>
          <w:i/>
          <w:iCs/>
        </w:rPr>
        <w:t xml:space="preserve">ter Gedankenstrich abgeändert durch </w:t>
      </w:r>
      <w:r w:rsidR="00D67EB8" w:rsidRPr="009118AB">
        <w:rPr>
          <w:i/>
          <w:iCs/>
        </w:rPr>
        <w:t>Art. </w:t>
      </w:r>
      <w:r w:rsidRPr="009118AB">
        <w:rPr>
          <w:i/>
          <w:iCs/>
        </w:rPr>
        <w:t xml:space="preserve">3 Buchstabe j) </w:t>
      </w:r>
      <w:r w:rsidR="00D67EB8" w:rsidRPr="009118AB">
        <w:rPr>
          <w:i/>
          <w:iCs/>
        </w:rPr>
        <w:t>Nr. </w:t>
      </w:r>
      <w:r w:rsidRPr="009118AB">
        <w:rPr>
          <w:i/>
          <w:iCs/>
        </w:rPr>
        <w:t>3 des G. vom 12. Mai 2014 (I) (B.S. vom 27. Mai 2014)</w:t>
      </w:r>
      <w:r w:rsidR="00D67EB8" w:rsidRPr="009118AB">
        <w:rPr>
          <w:i/>
          <w:iCs/>
        </w:rPr>
        <w:t> - </w:t>
      </w:r>
      <w:r w:rsidRPr="009118AB">
        <w:rPr>
          <w:i/>
          <w:iCs/>
        </w:rPr>
        <w:t>in Kraft am 1. Januar 2015</w:t>
      </w:r>
      <w:r w:rsidR="00A3103E" w:rsidRPr="009118AB">
        <w:rPr>
          <w:i/>
          <w:iCs/>
        </w:rPr>
        <w:t> - und</w:t>
      </w:r>
      <w:r w:rsidR="00C56772" w:rsidRPr="009118AB">
        <w:rPr>
          <w:i/>
          <w:iCs/>
        </w:rPr>
        <w:t xml:space="preserve"> Art. </w:t>
      </w:r>
      <w:r w:rsidR="00C56772" w:rsidRPr="009118AB">
        <w:rPr>
          <w:i/>
          <w:iCs/>
          <w:spacing w:val="-2"/>
        </w:rPr>
        <w:t>17 Nr. 9 des G. vom 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 (B.S. vom 15.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w:t>
      </w:r>
      <w:r w:rsidR="00EE5AB1" w:rsidRPr="009118AB">
        <w:rPr>
          <w:i/>
          <w:iCs/>
          <w:spacing w:val="-2"/>
        </w:rPr>
        <w:t> </w:t>
      </w:r>
      <w:r w:rsidR="00C56772" w:rsidRPr="009118AB">
        <w:rPr>
          <w:i/>
          <w:iCs/>
          <w:spacing w:val="-2"/>
        </w:rPr>
        <w:t>-</w:t>
      </w:r>
      <w:r w:rsidR="00EE5AB1" w:rsidRPr="009118AB">
        <w:rPr>
          <w:i/>
          <w:iCs/>
          <w:spacing w:val="-2"/>
        </w:rPr>
        <w:t> </w:t>
      </w:r>
      <w:r w:rsidR="00C5677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118AB">
        <w:rPr>
          <w:i/>
          <w:iCs/>
          <w:spacing w:val="-2"/>
        </w:rPr>
        <w:t xml:space="preserve"> erfolgt</w:t>
      </w:r>
      <w:r w:rsidR="00C56772" w:rsidRPr="009118AB">
        <w:rPr>
          <w:i/>
          <w:iCs/>
          <w:spacing w:val="-2"/>
        </w:rPr>
        <w:t xml:space="preserve"> -;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9 </w:t>
      </w:r>
      <w:r w:rsidR="00D67EB8" w:rsidRPr="009118AB">
        <w:rPr>
          <w:i/>
          <w:iCs/>
        </w:rPr>
        <w:t>Abs. </w:t>
      </w:r>
      <w:r w:rsidRPr="009118AB">
        <w:rPr>
          <w:i/>
          <w:iCs/>
        </w:rPr>
        <w:t xml:space="preserve">1 früherer fünfter </w:t>
      </w:r>
      <w:r w:rsidRPr="009118AB">
        <w:rPr>
          <w:rFonts w:ascii="Times New Roman Italique" w:hAnsi="Times New Roman Italique"/>
          <w:i/>
          <w:iCs/>
          <w:spacing w:val="2"/>
        </w:rPr>
        <w:t xml:space="preserve">Gedankenstrich aufgehoben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14 des G. vom 26. Mai 2016 (B.S. vom 7. Juni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2016 unterzeichneten Rahmenüber</w:t>
      </w:r>
      <w:r w:rsidR="00E2782D" w:rsidRPr="009118AB">
        <w:rPr>
          <w:rFonts w:ascii="Times New Roman Italique" w:hAnsi="Times New Roman Italique"/>
          <w:i/>
          <w:iCs/>
          <w:spacing w:val="2"/>
        </w:rPr>
        <w:t>-</w:t>
      </w:r>
      <w:r w:rsidRPr="009118AB">
        <w:rPr>
          <w:rFonts w:ascii="Times New Roman Italique" w:hAnsi="Times New Roman Italique"/>
          <w:i/>
          <w:iCs/>
          <w:spacing w:val="2"/>
        </w:rPr>
        <w:t>einkommen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9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A3103E" w:rsidRPr="009118AB">
        <w:rPr>
          <w:rFonts w:ascii="Times New Roman Italique" w:hAnsi="Times New Roman Italique"/>
          <w:i/>
          <w:iCs/>
          <w:spacing w:val="2"/>
        </w:rPr>
        <w:t>neuer dritter</w:t>
      </w:r>
      <w:r w:rsidRPr="009118AB">
        <w:rPr>
          <w:rFonts w:ascii="Times New Roman Italique" w:hAnsi="Times New Roman Italique"/>
          <w:i/>
          <w:iCs/>
          <w:spacing w:val="2"/>
        </w:rPr>
        <w:t xml:space="preserve"> Gedankenstrich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 </w:t>
      </w:r>
      <w:r w:rsidRPr="009118AB">
        <w:rPr>
          <w:i/>
          <w:iCs/>
        </w:rPr>
        <w:t xml:space="preserve">Buchstabe j) </w:t>
      </w:r>
      <w:r w:rsidR="00D67EB8" w:rsidRPr="009118AB">
        <w:rPr>
          <w:i/>
          <w:iCs/>
        </w:rPr>
        <w:t>Nr. </w:t>
      </w:r>
      <w:r w:rsidRPr="009118AB">
        <w:rPr>
          <w:i/>
          <w:iCs/>
        </w:rPr>
        <w:t>4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w:t>
      </w:r>
      <w:r w:rsidR="00D67EB8" w:rsidRPr="009118AB">
        <w:rPr>
          <w:i/>
          <w:iCs/>
        </w:rPr>
        <w:t>Art. </w:t>
      </w:r>
      <w:r w:rsidRPr="009118AB">
        <w:rPr>
          <w:i/>
          <w:iCs/>
        </w:rPr>
        <w:t xml:space="preserve">2 </w:t>
      </w:r>
      <w:r w:rsidR="00D67EB8" w:rsidRPr="009118AB">
        <w:rPr>
          <w:i/>
          <w:iCs/>
        </w:rPr>
        <w:t>Nr. </w:t>
      </w:r>
      <w:r w:rsidRPr="009118AB">
        <w:rPr>
          <w:i/>
          <w:iCs/>
        </w:rPr>
        <w:t>16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9 </w:t>
      </w:r>
      <w:r w:rsidR="00D67EB8" w:rsidRPr="009118AB">
        <w:rPr>
          <w:i/>
          <w:iCs/>
        </w:rPr>
        <w:t>Abs. </w:t>
      </w:r>
      <w:r w:rsidRPr="009118AB">
        <w:rPr>
          <w:i/>
          <w:iCs/>
        </w:rPr>
        <w:t xml:space="preserve">2 eingefügt durch </w:t>
      </w:r>
      <w:r w:rsidR="00D67EB8" w:rsidRPr="009118AB">
        <w:rPr>
          <w:i/>
          <w:iCs/>
        </w:rPr>
        <w:t>Art. </w:t>
      </w:r>
      <w:r w:rsidRPr="009118AB">
        <w:rPr>
          <w:i/>
          <w:iCs/>
        </w:rPr>
        <w:t xml:space="preserve">2 </w:t>
      </w:r>
      <w:r w:rsidR="00D67EB8" w:rsidRPr="009118AB">
        <w:rPr>
          <w:i/>
          <w:iCs/>
        </w:rPr>
        <w:t>Nr. </w:t>
      </w:r>
      <w:r w:rsidRPr="009118AB">
        <w:rPr>
          <w:i/>
          <w:iCs/>
        </w:rPr>
        <w:t>17 des G. vom 26. Mai</w:t>
      </w:r>
      <w:r w:rsidR="00252578" w:rsidRPr="009118AB">
        <w:rPr>
          <w:i/>
          <w:iCs/>
        </w:rPr>
        <w:t>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00C56772" w:rsidRPr="009118AB">
        <w:rPr>
          <w:i/>
          <w:iCs/>
        </w:rPr>
        <w:t xml:space="preserve"> und ersetzt durch Art. </w:t>
      </w:r>
      <w:r w:rsidR="00C56772" w:rsidRPr="009118AB">
        <w:rPr>
          <w:i/>
          <w:iCs/>
          <w:spacing w:val="-2"/>
        </w:rPr>
        <w:t>17 Nr. 10 des G. vom 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 (B.S. vom 15.</w:t>
      </w:r>
      <w:r w:rsidR="00EE5AB1" w:rsidRPr="009118AB">
        <w:rPr>
          <w:i/>
          <w:iCs/>
          <w:spacing w:val="-2"/>
        </w:rPr>
        <w:t> </w:t>
      </w:r>
      <w:r w:rsidR="00C56772" w:rsidRPr="009118AB">
        <w:rPr>
          <w:i/>
          <w:iCs/>
          <w:spacing w:val="-2"/>
        </w:rPr>
        <w:t>Juli</w:t>
      </w:r>
      <w:r w:rsidR="00EE5AB1" w:rsidRPr="009118AB">
        <w:rPr>
          <w:i/>
          <w:iCs/>
          <w:spacing w:val="-2"/>
        </w:rPr>
        <w:t> </w:t>
      </w:r>
      <w:r w:rsidR="00C56772" w:rsidRPr="009118AB">
        <w:rPr>
          <w:i/>
          <w:iCs/>
          <w:spacing w:val="-2"/>
        </w:rPr>
        <w:t>2022)</w:t>
      </w:r>
      <w:r w:rsidR="00EE5AB1" w:rsidRPr="009118AB">
        <w:rPr>
          <w:i/>
          <w:iCs/>
          <w:spacing w:val="-2"/>
        </w:rPr>
        <w:t> </w:t>
      </w:r>
      <w:r w:rsidR="00C56772" w:rsidRPr="009118AB">
        <w:rPr>
          <w:i/>
          <w:iCs/>
          <w:spacing w:val="-2"/>
        </w:rPr>
        <w:t>-</w:t>
      </w:r>
      <w:r w:rsidR="00EE5AB1" w:rsidRPr="009118AB">
        <w:rPr>
          <w:i/>
          <w:iCs/>
          <w:spacing w:val="-2"/>
        </w:rPr>
        <w:t> </w:t>
      </w:r>
      <w:r w:rsidR="00C5677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118AB">
        <w:rPr>
          <w:i/>
          <w:iCs/>
          <w:spacing w:val="-2"/>
        </w:rPr>
        <w:t xml:space="preserve"> erfolgt</w:t>
      </w:r>
      <w:r w:rsidR="00C56772" w:rsidRPr="009118AB">
        <w:rPr>
          <w:i/>
          <w:iCs/>
          <w:spacing w:val="-2"/>
        </w:rPr>
        <w:t> -</w:t>
      </w:r>
      <w:r w:rsidR="003366D9" w:rsidRPr="009118AB">
        <w:rPr>
          <w:i/>
          <w:iCs/>
        </w:rPr>
        <w:t>;</w:t>
      </w:r>
      <w:r w:rsidRPr="009118AB">
        <w:rPr>
          <w:i/>
          <w:iCs/>
        </w:rPr>
        <w:t xml:space="preserve"> </w:t>
      </w:r>
      <w:r w:rsidR="005D6439" w:rsidRPr="009118AB">
        <w:rPr>
          <w:i/>
          <w:iCs/>
        </w:rPr>
        <w:t>§ 1 Abs. 1 Nr. 9 Abs. 3 eingefügt durch Art. </w:t>
      </w:r>
      <w:r w:rsidR="005D6439" w:rsidRPr="009118AB">
        <w:rPr>
          <w:i/>
          <w:iCs/>
          <w:spacing w:val="-2"/>
        </w:rPr>
        <w:t>17 Nr. 11 des G. vom 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 (B.S. vom 15.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w:t>
      </w:r>
      <w:r w:rsidR="00EE5AB1" w:rsidRPr="009118AB">
        <w:rPr>
          <w:i/>
          <w:iCs/>
          <w:spacing w:val="-2"/>
        </w:rPr>
        <w:t> </w:t>
      </w:r>
      <w:r w:rsidR="005D6439" w:rsidRPr="009118AB">
        <w:rPr>
          <w:i/>
          <w:iCs/>
          <w:spacing w:val="-2"/>
        </w:rPr>
        <w:t>-</w:t>
      </w:r>
      <w:r w:rsidR="00EE5AB1" w:rsidRPr="009118AB">
        <w:rPr>
          <w:i/>
          <w:iCs/>
          <w:spacing w:val="-2"/>
        </w:rPr>
        <w:t> </w:t>
      </w:r>
      <w:r w:rsidR="005D6439" w:rsidRPr="009118AB">
        <w:rPr>
          <w:i/>
          <w:iCs/>
          <w:spacing w:val="-2"/>
        </w:rPr>
        <w:t xml:space="preserve">anwendbar auf Rahmenübereinkommen, die in Bezug auf ein in Betracht kommendes Werk unterzeichnet werden, für das die Beantragung der in </w:t>
      </w:r>
      <w:r w:rsidR="005D6439" w:rsidRPr="009118AB">
        <w:rPr>
          <w:i/>
          <w:iCs/>
          <w:spacing w:val="-2"/>
        </w:rPr>
        <w:lastRenderedPageBreak/>
        <w:t>Artikel 194ter § 7 Nr. 3 erster Gedankenstrich des Einkommensteuergesetzbuches 1992 erwähnten Bescheinigung ab dem 1. August 2022</w:t>
      </w:r>
      <w:r w:rsidR="00EE5AB1" w:rsidRPr="009118AB">
        <w:rPr>
          <w:i/>
          <w:iCs/>
          <w:spacing w:val="-2"/>
        </w:rPr>
        <w:t xml:space="preserve"> erfolgt</w:t>
      </w:r>
      <w:r w:rsidR="005D6439" w:rsidRPr="009118AB">
        <w:rPr>
          <w:i/>
          <w:iCs/>
          <w:spacing w:val="-2"/>
        </w:rPr>
        <w:t xml:space="preserve"> -;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10 eingefügt durch </w:t>
      </w:r>
      <w:r w:rsidR="00D67EB8" w:rsidRPr="009118AB">
        <w:rPr>
          <w:i/>
          <w:iCs/>
        </w:rPr>
        <w:t>Art. </w:t>
      </w:r>
      <w:r w:rsidRPr="009118AB">
        <w:rPr>
          <w:i/>
          <w:iCs/>
        </w:rPr>
        <w:t>3 Buchstabe k)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abgeändert durch </w:t>
      </w:r>
      <w:r w:rsidR="00D67EB8" w:rsidRPr="009118AB">
        <w:rPr>
          <w:i/>
          <w:iCs/>
        </w:rPr>
        <w:t>Art. </w:t>
      </w:r>
      <w:r w:rsidRPr="009118AB">
        <w:rPr>
          <w:i/>
          <w:iCs/>
        </w:rPr>
        <w:t xml:space="preserve">2 </w:t>
      </w:r>
      <w:r w:rsidR="00D67EB8" w:rsidRPr="009118AB">
        <w:rPr>
          <w:i/>
          <w:iCs/>
        </w:rPr>
        <w:t>Nr. </w:t>
      </w:r>
      <w:r w:rsidRPr="009118AB">
        <w:rPr>
          <w:i/>
          <w:iCs/>
        </w:rPr>
        <w:t xml:space="preserve">18 einziger Absatz </w:t>
      </w:r>
      <w:r w:rsidR="00D67EB8" w:rsidRPr="009118AB">
        <w:rPr>
          <w:i/>
          <w:iCs/>
        </w:rPr>
        <w:t>Nr. </w:t>
      </w:r>
      <w:r w:rsidRPr="009118AB">
        <w:rPr>
          <w:i/>
          <w:iCs/>
        </w:rPr>
        <w:t>1 und 2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 früherer Absatz 2 eingefügt durch </w:t>
      </w:r>
      <w:r w:rsidR="00D67EB8" w:rsidRPr="009118AB">
        <w:rPr>
          <w:i/>
          <w:iCs/>
        </w:rPr>
        <w:t>Art. </w:t>
      </w:r>
      <w:r w:rsidRPr="009118AB">
        <w:rPr>
          <w:i/>
          <w:iCs/>
        </w:rPr>
        <w:t xml:space="preserve">12 Buchstabe b) des G. vom 17. Juni 2013 (B.S. vom 28. Juni 2013) und aufgehoben durch </w:t>
      </w:r>
      <w:r w:rsidR="00D67EB8" w:rsidRPr="009118AB">
        <w:rPr>
          <w:i/>
          <w:iCs/>
        </w:rPr>
        <w:t>Art. </w:t>
      </w:r>
      <w:r w:rsidRPr="009118AB">
        <w:rPr>
          <w:i/>
          <w:iCs/>
        </w:rPr>
        <w:t>3 Buchstabe i)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neuer Absatz 2 abgeändert durch </w:t>
      </w:r>
      <w:r w:rsidR="00D67EB8" w:rsidRPr="009118AB">
        <w:rPr>
          <w:i/>
          <w:iCs/>
        </w:rPr>
        <w:t>Art. </w:t>
      </w:r>
      <w:r w:rsidRPr="009118AB">
        <w:rPr>
          <w:i/>
          <w:iCs/>
        </w:rPr>
        <w:t>7 Buchstabe</w:t>
      </w:r>
      <w:r w:rsidR="00EE5AB1" w:rsidRPr="009118AB">
        <w:rPr>
          <w:i/>
          <w:iCs/>
        </w:rPr>
        <w:t> </w:t>
      </w:r>
      <w:r w:rsidRPr="009118AB">
        <w:rPr>
          <w:i/>
          <w:iCs/>
        </w:rPr>
        <w:t xml:space="preserve">e) des G. vom </w:t>
      </w:r>
      <w:r w:rsidRPr="009118AB">
        <w:rPr>
          <w:rFonts w:ascii="Times New Roman Italique" w:hAnsi="Times New Roman Italique"/>
          <w:i/>
          <w:iCs/>
          <w:spacing w:val="2"/>
        </w:rPr>
        <w:t>21. Dezember 2009 (B.S. vom 31. Dezember 2009)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Januar 2010</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 Buchstabe l) des G. vom 12. Mai 2014 (I) (B.S. vom 27. Mai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Januar 2015</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3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7 Buchstabe</w:t>
      </w:r>
      <w:r w:rsidR="00EE5AB1" w:rsidRPr="009118AB">
        <w:rPr>
          <w:rFonts w:ascii="Times New Roman Italique" w:hAnsi="Times New Roman Italique" w:hint="eastAsia"/>
          <w:i/>
          <w:iCs/>
          <w:spacing w:val="2"/>
        </w:rPr>
        <w:t> </w:t>
      </w:r>
      <w:r w:rsidRPr="009118AB">
        <w:rPr>
          <w:rFonts w:ascii="Times New Roman Italique" w:hAnsi="Times New Roman Italique"/>
          <w:i/>
          <w:iCs/>
          <w:spacing w:val="2"/>
        </w:rPr>
        <w:t xml:space="preserve">f) des G. vom 21. Dezember 2009 (B.S. vom </w:t>
      </w:r>
      <w:r w:rsidRPr="009118AB">
        <w:rPr>
          <w:i/>
          <w:iCs/>
        </w:rPr>
        <w:t>31. Dezember 2009)</w:t>
      </w:r>
      <w:r w:rsidR="00D67EB8" w:rsidRPr="009118AB">
        <w:rPr>
          <w:i/>
          <w:iCs/>
        </w:rPr>
        <w:t> - </w:t>
      </w:r>
      <w:r w:rsidRPr="009118AB">
        <w:rPr>
          <w:i/>
          <w:iCs/>
        </w:rPr>
        <w:t>in Kraft am 1. Januar 2010</w:t>
      </w:r>
      <w:r w:rsidR="00FD68E8" w:rsidRPr="009118AB">
        <w:rPr>
          <w:i/>
          <w:iCs/>
        </w:rPr>
        <w:t> -,</w:t>
      </w:r>
      <w:r w:rsidRPr="009118AB">
        <w:rPr>
          <w:i/>
          <w:iCs/>
        </w:rPr>
        <w:t xml:space="preserve"> </w:t>
      </w:r>
      <w:r w:rsidR="00D67EB8" w:rsidRPr="009118AB">
        <w:rPr>
          <w:i/>
          <w:iCs/>
        </w:rPr>
        <w:t>Art. </w:t>
      </w:r>
      <w:r w:rsidRPr="009118AB">
        <w:rPr>
          <w:i/>
          <w:iCs/>
        </w:rPr>
        <w:t xml:space="preserve">12 Buchstabe c) des G. vom 17. Juni 2013 (B.S. vom 28. Juni 2013) und </w:t>
      </w:r>
      <w:r w:rsidR="00D67EB8" w:rsidRPr="009118AB">
        <w:rPr>
          <w:i/>
          <w:iCs/>
        </w:rPr>
        <w:t>Art. </w:t>
      </w:r>
      <w:r w:rsidRPr="009118AB">
        <w:rPr>
          <w:i/>
          <w:iCs/>
        </w:rPr>
        <w:t>3 Buchstabe m)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4 eingefügt durch </w:t>
      </w:r>
      <w:r w:rsidR="00D67EB8" w:rsidRPr="009118AB">
        <w:rPr>
          <w:i/>
          <w:iCs/>
        </w:rPr>
        <w:t>Art. </w:t>
      </w:r>
      <w:r w:rsidRPr="009118AB">
        <w:rPr>
          <w:i/>
          <w:iCs/>
        </w:rPr>
        <w:t>12 Buchstabe d) des G. vom 17. Juni </w:t>
      </w:r>
      <w:r w:rsidR="00252578" w:rsidRPr="009118AB">
        <w:rPr>
          <w:i/>
          <w:iCs/>
        </w:rPr>
        <w:t>2013 (B.S. vom 28. Juni 2013)</w:t>
      </w:r>
      <w:r w:rsidR="00D67EB8" w:rsidRPr="009118AB">
        <w:rPr>
          <w:i/>
          <w:iCs/>
        </w:rPr>
        <w:t> - </w:t>
      </w:r>
      <w:r w:rsidRPr="009118AB">
        <w:rPr>
          <w:i/>
          <w:iCs/>
        </w:rPr>
        <w:t>anwendbar auf die ab dem 1. Juli 2013 unterzeichneten Rahmenübereinkommen</w:t>
      </w:r>
      <w:r w:rsidR="00A7677B" w:rsidRPr="009118AB">
        <w:rPr>
          <w:i/>
          <w:iCs/>
        </w:rPr>
        <w:t xml:space="preserve"> - </w:t>
      </w:r>
      <w:r w:rsidR="005D6439" w:rsidRPr="009118AB">
        <w:rPr>
          <w:i/>
          <w:iCs/>
        </w:rPr>
        <w:t>und aufgehoben durch Art. </w:t>
      </w:r>
      <w:r w:rsidR="005D6439" w:rsidRPr="009118AB">
        <w:rPr>
          <w:i/>
          <w:iCs/>
          <w:spacing w:val="-2"/>
        </w:rPr>
        <w:t>17 Nr. 12 des G. vom 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 (B.S. vom 15.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w:t>
      </w:r>
      <w:r w:rsidR="00EE5AB1" w:rsidRPr="009118AB">
        <w:rPr>
          <w:i/>
          <w:iCs/>
          <w:spacing w:val="-2"/>
        </w:rPr>
        <w:t> </w:t>
      </w:r>
      <w:r w:rsidR="005D6439" w:rsidRPr="009118AB">
        <w:rPr>
          <w:i/>
          <w:iCs/>
          <w:spacing w:val="-2"/>
        </w:rPr>
        <w:t>-</w:t>
      </w:r>
      <w:r w:rsidR="00EE5AB1" w:rsidRPr="009118AB">
        <w:rPr>
          <w:i/>
          <w:iCs/>
          <w:spacing w:val="-2"/>
        </w:rPr>
        <w:t> </w:t>
      </w:r>
      <w:r w:rsidR="005D6439"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F20E86" w:rsidRPr="009118AB">
        <w:rPr>
          <w:i/>
          <w:iCs/>
          <w:spacing w:val="-2"/>
        </w:rPr>
        <w:t xml:space="preserve"> erfolgt</w:t>
      </w:r>
      <w:r w:rsidR="005D6439" w:rsidRPr="009118AB">
        <w:rPr>
          <w:i/>
          <w:iCs/>
          <w:spacing w:val="-2"/>
        </w:rPr>
        <w:t> -</w:t>
      </w:r>
      <w:r w:rsidR="003366D9" w:rsidRPr="009118AB">
        <w:rPr>
          <w:i/>
          <w:iCs/>
        </w:rPr>
        <w:t>;</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5 eingefügt durch </w:t>
      </w:r>
      <w:r w:rsidR="00D67EB8" w:rsidRPr="009118AB">
        <w:rPr>
          <w:i/>
          <w:iCs/>
        </w:rPr>
        <w:t>Art. </w:t>
      </w:r>
      <w:r w:rsidRPr="009118AB">
        <w:rPr>
          <w:i/>
          <w:iCs/>
        </w:rPr>
        <w:t xml:space="preserve">2 </w:t>
      </w:r>
      <w:r w:rsidR="00D67EB8" w:rsidRPr="009118AB">
        <w:rPr>
          <w:i/>
          <w:iCs/>
        </w:rPr>
        <w:t>Nr. </w:t>
      </w:r>
      <w:r w:rsidRPr="009118AB">
        <w:rPr>
          <w:i/>
          <w:iCs/>
        </w:rPr>
        <w:t>20 des G. vom 26. Mai 2016 (B.S. vom 7. Juni 2016)</w:t>
      </w:r>
      <w:r w:rsidR="00D67EB8" w:rsidRPr="009118AB">
        <w:rPr>
          <w:i/>
          <w:iCs/>
        </w:rPr>
        <w:t> - </w:t>
      </w:r>
      <w:r w:rsidRPr="009118AB">
        <w:rPr>
          <w:i/>
          <w:iCs/>
        </w:rPr>
        <w:t>anwendbar auf die ab dem 1. Juli 2016 unterzeichneten Rahmenübereinkommen</w:t>
      </w:r>
      <w:r w:rsidR="00D67EB8" w:rsidRPr="009118AB">
        <w:rPr>
          <w:i/>
          <w:iCs/>
        </w:rPr>
        <w:t> - </w:t>
      </w:r>
      <w:r w:rsidR="00F74D2B" w:rsidRPr="009118AB">
        <w:rPr>
          <w:i/>
          <w:iCs/>
        </w:rPr>
        <w:t xml:space="preserve">und aufgehoben durch </w:t>
      </w:r>
      <w:r w:rsidR="00D67EB8" w:rsidRPr="009118AB">
        <w:rPr>
          <w:i/>
          <w:iCs/>
        </w:rPr>
        <w:t>Art. </w:t>
      </w:r>
      <w:r w:rsidR="00F74D2B" w:rsidRPr="009118AB">
        <w:rPr>
          <w:i/>
          <w:iCs/>
        </w:rPr>
        <w:t xml:space="preserve">10 </w:t>
      </w:r>
      <w:r w:rsidR="00D67EB8" w:rsidRPr="009118AB">
        <w:rPr>
          <w:i/>
          <w:iCs/>
        </w:rPr>
        <w:t>Nr. </w:t>
      </w:r>
      <w:r w:rsidR="00F74D2B" w:rsidRPr="009118AB">
        <w:rPr>
          <w:i/>
          <w:iCs/>
        </w:rPr>
        <w:t>3 des G. vom 29. Mai 2020 (B.S. vom 11. Juni 2020)</w:t>
      </w:r>
      <w:r w:rsidR="00D67EB8" w:rsidRPr="009118AB">
        <w:rPr>
          <w:i/>
          <w:iCs/>
        </w:rPr>
        <w:t> - </w:t>
      </w:r>
      <w:r w:rsidR="00283038" w:rsidRPr="009118AB">
        <w:rPr>
          <w:i/>
          <w:iCs/>
        </w:rPr>
        <w:t xml:space="preserve">in Kraft am 11. Juni 2020 und </w:t>
      </w:r>
      <w:r w:rsidR="00F74D2B" w:rsidRPr="009118AB">
        <w:rPr>
          <w:i/>
          <w:iCs/>
        </w:rPr>
        <w:t xml:space="preserve">anwendbar </w:t>
      </w:r>
      <w:r w:rsidR="00D03B76" w:rsidRPr="009118AB">
        <w:rPr>
          <w:i/>
          <w:iCs/>
        </w:rPr>
        <w:t xml:space="preserve">auf die </w:t>
      </w:r>
      <w:r w:rsidR="00F74D2B" w:rsidRPr="009118AB">
        <w:rPr>
          <w:i/>
          <w:iCs/>
        </w:rPr>
        <w:t>ab dem 12. März 2020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 früherer Absatz 6 eingefügt durch </w:t>
      </w:r>
      <w:r w:rsidR="00D67EB8" w:rsidRPr="009118AB">
        <w:rPr>
          <w:i/>
          <w:iCs/>
        </w:rPr>
        <w:t>Art. </w:t>
      </w:r>
      <w:r w:rsidRPr="009118AB">
        <w:rPr>
          <w:i/>
          <w:iCs/>
        </w:rPr>
        <w:t>12 Buchstabe d) des G. vom 17. Juni 2013 (B.S. vom 28. Juni 2013)</w:t>
      </w:r>
      <w:r w:rsidR="00D67EB8" w:rsidRPr="009118AB">
        <w:rPr>
          <w:i/>
          <w:iCs/>
        </w:rPr>
        <w:t> - </w:t>
      </w:r>
      <w:r w:rsidRPr="009118AB">
        <w:rPr>
          <w:i/>
          <w:iCs/>
        </w:rPr>
        <w:t>anwendbar auf die ab dem 1. Juli 2013 unterzeichneten Rahmenübereinkommen</w:t>
      </w:r>
      <w:r w:rsidR="00D67EB8" w:rsidRPr="009118AB">
        <w:rPr>
          <w:i/>
          <w:iCs/>
        </w:rPr>
        <w:t> - </w:t>
      </w:r>
      <w:r w:rsidRPr="009118AB">
        <w:rPr>
          <w:i/>
          <w:iCs/>
        </w:rPr>
        <w:t xml:space="preserve">und umgegliedert zu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8 durch </w:t>
      </w:r>
      <w:r w:rsidR="00D67EB8" w:rsidRPr="009118AB">
        <w:rPr>
          <w:i/>
          <w:iCs/>
        </w:rPr>
        <w:t>Art. </w:t>
      </w:r>
      <w:r w:rsidRPr="009118AB">
        <w:rPr>
          <w:i/>
          <w:iCs/>
        </w:rPr>
        <w:t>3 Buchstabe h)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früherer Absatz 7 eingefügt durch </w:t>
      </w:r>
      <w:r w:rsidR="00D67EB8" w:rsidRPr="009118AB">
        <w:rPr>
          <w:i/>
          <w:iCs/>
        </w:rPr>
        <w:t>Art. </w:t>
      </w:r>
      <w:r w:rsidRPr="009118AB">
        <w:rPr>
          <w:i/>
          <w:iCs/>
        </w:rPr>
        <w:t>12 Buchstabe d) des G. vom 17. Juni 2013 (B.S. vom 28. Juni 2013)</w:t>
      </w:r>
      <w:r w:rsidR="00D67EB8" w:rsidRPr="009118AB">
        <w:rPr>
          <w:i/>
          <w:iCs/>
        </w:rPr>
        <w:t> - </w:t>
      </w:r>
      <w:r w:rsidRPr="009118AB">
        <w:rPr>
          <w:i/>
          <w:iCs/>
        </w:rPr>
        <w:t>anwendbar auf die ab dem 1. Juli 2013 unterzeichneten Rahmenübereinkommen</w:t>
      </w:r>
      <w:r w:rsidR="00D67EB8" w:rsidRPr="009118AB">
        <w:rPr>
          <w:i/>
          <w:iCs/>
        </w:rPr>
        <w:t> - </w:t>
      </w:r>
      <w:r w:rsidRPr="009118AB">
        <w:rPr>
          <w:i/>
          <w:iCs/>
        </w:rPr>
        <w:t xml:space="preserve">und aufgehoben durch </w:t>
      </w:r>
      <w:r w:rsidR="00D67EB8" w:rsidRPr="009118AB">
        <w:rPr>
          <w:i/>
          <w:iCs/>
        </w:rPr>
        <w:t>Art. </w:t>
      </w:r>
      <w:r w:rsidRPr="009118AB">
        <w:rPr>
          <w:i/>
          <w:iCs/>
        </w:rPr>
        <w:t>3 Buchstabe o)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früherer Absatz 8 eingefügt durch </w:t>
      </w:r>
      <w:r w:rsidR="00D67EB8" w:rsidRPr="009118AB">
        <w:rPr>
          <w:i/>
          <w:iCs/>
        </w:rPr>
        <w:t>Art. </w:t>
      </w:r>
      <w:r w:rsidRPr="009118AB">
        <w:rPr>
          <w:i/>
          <w:iCs/>
        </w:rPr>
        <w:t xml:space="preserve">12 Buchstabe d) des G. vom 17. Juni 2013 (B.S. vom </w:t>
      </w:r>
      <w:r w:rsidR="009D36CC" w:rsidRPr="009118AB">
        <w:rPr>
          <w:i/>
          <w:iCs/>
        </w:rPr>
        <w:t>28. Juni 2013)</w:t>
      </w:r>
      <w:r w:rsidR="00D67EB8" w:rsidRPr="009118AB">
        <w:rPr>
          <w:i/>
          <w:iCs/>
        </w:rPr>
        <w:t> - </w:t>
      </w:r>
      <w:r w:rsidRPr="009118AB">
        <w:rPr>
          <w:i/>
          <w:iCs/>
        </w:rPr>
        <w:t>anwendbar auf die ab dem 1. Juli 2013 unterzeichneten Rahmenüber</w:t>
      </w:r>
      <w:r w:rsidR="009D36CC" w:rsidRPr="009118AB">
        <w:rPr>
          <w:i/>
          <w:iCs/>
        </w:rPr>
        <w:softHyphen/>
      </w:r>
      <w:r w:rsidRPr="009118AB">
        <w:rPr>
          <w:i/>
          <w:iCs/>
        </w:rPr>
        <w:t>einkommen</w:t>
      </w:r>
      <w:r w:rsidR="00D67EB8" w:rsidRPr="009118AB">
        <w:rPr>
          <w:i/>
          <w:iCs/>
        </w:rPr>
        <w:t> - </w:t>
      </w:r>
      <w:r w:rsidRPr="009118AB">
        <w:rPr>
          <w:i/>
          <w:iCs/>
        </w:rPr>
        <w:t xml:space="preserve">und umgegliedert zu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9 durch </w:t>
      </w:r>
      <w:r w:rsidR="00D67EB8" w:rsidRPr="009118AB">
        <w:rPr>
          <w:i/>
          <w:iCs/>
        </w:rPr>
        <w:t>Art. </w:t>
      </w:r>
      <w:r w:rsidRPr="009118AB">
        <w:rPr>
          <w:i/>
          <w:iCs/>
        </w:rPr>
        <w:t>3 Buchstabe j)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 früherer Absatz 9 eingefügt durch </w:t>
      </w:r>
      <w:r w:rsidR="00D67EB8" w:rsidRPr="009118AB">
        <w:rPr>
          <w:i/>
          <w:iCs/>
        </w:rPr>
        <w:t>Art. </w:t>
      </w:r>
      <w:r w:rsidRPr="009118AB">
        <w:rPr>
          <w:i/>
          <w:iCs/>
        </w:rPr>
        <w:t>12 Buchstabe d) des G. vom 17. Juni 2013 (B.S. vom 28. Juni 2</w:t>
      </w:r>
      <w:r w:rsidR="00283038" w:rsidRPr="009118AB">
        <w:rPr>
          <w:i/>
          <w:iCs/>
        </w:rPr>
        <w:t>013)</w:t>
      </w:r>
      <w:r w:rsidR="00D67EB8" w:rsidRPr="009118AB">
        <w:rPr>
          <w:i/>
          <w:iCs/>
        </w:rPr>
        <w:t> - </w:t>
      </w:r>
      <w:r w:rsidRPr="009118AB">
        <w:rPr>
          <w:i/>
          <w:iCs/>
        </w:rPr>
        <w:t>anwendbar auf die ab dem 1. Juli 2013 unterzeichneten Rahmenübereinkommen</w:t>
      </w:r>
      <w:r w:rsidR="00D67EB8" w:rsidRPr="009118AB">
        <w:rPr>
          <w:i/>
          <w:iCs/>
        </w:rPr>
        <w:t> - </w:t>
      </w:r>
      <w:r w:rsidRPr="009118AB">
        <w:rPr>
          <w:i/>
          <w:iCs/>
        </w:rPr>
        <w:t xml:space="preserve">und aufgehoben durch </w:t>
      </w:r>
      <w:r w:rsidR="00D67EB8" w:rsidRPr="009118AB">
        <w:rPr>
          <w:i/>
          <w:iCs/>
        </w:rPr>
        <w:t>Art. </w:t>
      </w:r>
      <w:r w:rsidRPr="009118AB">
        <w:rPr>
          <w:i/>
          <w:iCs/>
        </w:rPr>
        <w:t>3 Buchstabe p) des G. vom 12. Mai 201</w:t>
      </w:r>
      <w:r w:rsidR="00283038" w:rsidRPr="009118AB">
        <w:rPr>
          <w:i/>
          <w:iCs/>
        </w:rPr>
        <w:t>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2 ersetzt durch </w:t>
      </w:r>
      <w:r w:rsidR="00D67EB8" w:rsidRPr="009118AB">
        <w:rPr>
          <w:i/>
          <w:iCs/>
        </w:rPr>
        <w:t>Art. </w:t>
      </w:r>
      <w:r w:rsidRPr="009118AB">
        <w:rPr>
          <w:i/>
          <w:iCs/>
        </w:rPr>
        <w:t>4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abgeändert durch </w:t>
      </w:r>
      <w:r w:rsidR="00D67EB8" w:rsidRPr="009118AB">
        <w:rPr>
          <w:i/>
          <w:iCs/>
        </w:rPr>
        <w:t>Art. </w:t>
      </w:r>
      <w:r w:rsidRPr="009118AB">
        <w:rPr>
          <w:i/>
          <w:iCs/>
        </w:rPr>
        <w:t xml:space="preserve">2 </w:t>
      </w:r>
      <w:r w:rsidR="00D67EB8" w:rsidRPr="009118AB">
        <w:rPr>
          <w:i/>
          <w:iCs/>
        </w:rPr>
        <w:t>Nr. </w:t>
      </w:r>
      <w:r w:rsidRPr="009118AB">
        <w:rPr>
          <w:i/>
          <w:iCs/>
        </w:rPr>
        <w:t>21 des G. vom 26. Mai 2016 (B.S. vom 7. Juni 2016)</w:t>
      </w:r>
      <w:r w:rsidR="00D67EB8" w:rsidRPr="009118AB">
        <w:rPr>
          <w:i/>
          <w:iCs/>
        </w:rPr>
        <w:t> - </w:t>
      </w:r>
      <w:r w:rsidRPr="009118AB">
        <w:rPr>
          <w:i/>
          <w:iCs/>
        </w:rPr>
        <w:t>anwendbar auf die ab dem 1. Juli 2016 unterzeichneten Rahmenübereinkommen</w:t>
      </w:r>
      <w:r w:rsidR="00FD68E8" w:rsidRPr="009118AB">
        <w:rPr>
          <w:i/>
          <w:iCs/>
        </w:rPr>
        <w:t> -,</w:t>
      </w:r>
      <w:r w:rsidRPr="009118AB">
        <w:rPr>
          <w:i/>
          <w:iCs/>
        </w:rPr>
        <w:t xml:space="preserve"> </w:t>
      </w:r>
      <w:r w:rsidR="00D67EB8" w:rsidRPr="009118AB">
        <w:rPr>
          <w:i/>
          <w:iCs/>
        </w:rPr>
        <w:t>Art. </w:t>
      </w:r>
      <w:r w:rsidRPr="009118AB">
        <w:rPr>
          <w:i/>
          <w:iCs/>
        </w:rPr>
        <w:t xml:space="preserve">30 </w:t>
      </w:r>
      <w:r w:rsidR="00D67EB8" w:rsidRPr="009118AB">
        <w:rPr>
          <w:i/>
          <w:iCs/>
        </w:rPr>
        <w:t>Nr. </w:t>
      </w:r>
      <w:r w:rsidRPr="009118AB">
        <w:rPr>
          <w:i/>
          <w:iCs/>
        </w:rPr>
        <w:t>1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D67EB8" w:rsidRPr="009118AB">
        <w:rPr>
          <w:i/>
          <w:iCs/>
        </w:rPr>
        <w:t> - </w:t>
      </w:r>
      <w:r w:rsidRPr="009118AB">
        <w:rPr>
          <w:i/>
          <w:iCs/>
        </w:rPr>
        <w:t xml:space="preserve">und </w:t>
      </w:r>
      <w:r w:rsidR="00D67EB8" w:rsidRPr="009118AB">
        <w:rPr>
          <w:i/>
          <w:iCs/>
        </w:rPr>
        <w:t>Art. </w:t>
      </w:r>
      <w:r w:rsidRPr="009118AB">
        <w:rPr>
          <w:i/>
          <w:iCs/>
        </w:rPr>
        <w:t xml:space="preserve">30 </w:t>
      </w:r>
      <w:r w:rsidR="00D67EB8" w:rsidRPr="009118AB">
        <w:rPr>
          <w:i/>
          <w:iCs/>
        </w:rPr>
        <w:t>Nr. </w:t>
      </w:r>
      <w:r w:rsidRPr="009118AB">
        <w:rPr>
          <w:i/>
          <w:iCs/>
        </w:rPr>
        <w:t>2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Pr="009118AB">
        <w:rPr>
          <w:i/>
          <w:iCs/>
        </w:rPr>
        <w:t xml:space="preserve"> </w:t>
      </w:r>
      <w:r w:rsidR="00D67EB8" w:rsidRPr="009118AB">
        <w:rPr>
          <w:i/>
          <w:iCs/>
        </w:rPr>
        <w:t>§ </w:t>
      </w:r>
      <w:r w:rsidRPr="009118AB">
        <w:rPr>
          <w:i/>
          <w:iCs/>
        </w:rPr>
        <w:t xml:space="preserve">3 </w:t>
      </w:r>
      <w:r w:rsidR="00D67EB8" w:rsidRPr="009118AB">
        <w:rPr>
          <w:i/>
          <w:iCs/>
        </w:rPr>
        <w:t>Abs. </w:t>
      </w:r>
      <w:r w:rsidRPr="009118AB">
        <w:rPr>
          <w:i/>
          <w:iCs/>
        </w:rPr>
        <w:t xml:space="preserve">2 abgeändert durch </w:t>
      </w:r>
      <w:r w:rsidR="00D67EB8" w:rsidRPr="009118AB">
        <w:rPr>
          <w:i/>
          <w:iCs/>
        </w:rPr>
        <w:t>Art. </w:t>
      </w:r>
      <w:r w:rsidRPr="009118AB">
        <w:rPr>
          <w:i/>
          <w:iCs/>
        </w:rPr>
        <w:t>7 Buchstabe</w:t>
      </w:r>
      <w:r w:rsidR="00EE5AB1" w:rsidRPr="009118AB">
        <w:rPr>
          <w:i/>
          <w:iCs/>
        </w:rPr>
        <w:t> </w:t>
      </w:r>
      <w:r w:rsidRPr="009118AB">
        <w:rPr>
          <w:i/>
          <w:iCs/>
        </w:rPr>
        <w:t xml:space="preserve">j) des G. vom </w:t>
      </w:r>
      <w:r w:rsidRPr="009118AB">
        <w:rPr>
          <w:i/>
          <w:iCs/>
        </w:rPr>
        <w:lastRenderedPageBreak/>
        <w:t>21. Dezember 2009 (B.S. vom 31. Dezember 2009)</w:t>
      </w:r>
      <w:r w:rsidR="00D67EB8" w:rsidRPr="009118AB">
        <w:rPr>
          <w:i/>
          <w:iCs/>
        </w:rPr>
        <w:t> - </w:t>
      </w:r>
      <w:r w:rsidRPr="009118AB">
        <w:rPr>
          <w:i/>
          <w:iCs/>
        </w:rPr>
        <w:t>in Kraft am 1. Januar 2010</w:t>
      </w:r>
      <w:r w:rsidR="003366D9" w:rsidRPr="009118AB">
        <w:rPr>
          <w:i/>
          <w:iCs/>
        </w:rPr>
        <w:t> -;</w:t>
      </w:r>
      <w:r w:rsidRPr="009118AB">
        <w:rPr>
          <w:i/>
          <w:iCs/>
        </w:rPr>
        <w:t xml:space="preserve"> </w:t>
      </w:r>
      <w:r w:rsidR="00D67EB8" w:rsidRPr="009118AB">
        <w:rPr>
          <w:i/>
          <w:iCs/>
        </w:rPr>
        <w:t>§ </w:t>
      </w:r>
      <w:r w:rsidRPr="009118AB">
        <w:rPr>
          <w:i/>
          <w:iCs/>
        </w:rPr>
        <w:t xml:space="preserve">3 </w:t>
      </w:r>
      <w:r w:rsidR="00EC2C95" w:rsidRPr="009118AB">
        <w:rPr>
          <w:i/>
          <w:iCs/>
        </w:rPr>
        <w:t>früherer Absatz</w:t>
      </w:r>
      <w:r w:rsidRPr="009118AB">
        <w:rPr>
          <w:i/>
          <w:iCs/>
        </w:rPr>
        <w:t xml:space="preserve"> 3 eingefügt durch </w:t>
      </w:r>
      <w:r w:rsidR="00D67EB8" w:rsidRPr="009118AB">
        <w:rPr>
          <w:i/>
          <w:iCs/>
        </w:rPr>
        <w:t>Art. </w:t>
      </w:r>
      <w:r w:rsidRPr="009118AB">
        <w:rPr>
          <w:i/>
          <w:iCs/>
        </w:rPr>
        <w:t xml:space="preserve">2 </w:t>
      </w:r>
      <w:r w:rsidR="00D67EB8" w:rsidRPr="009118AB">
        <w:rPr>
          <w:i/>
          <w:iCs/>
        </w:rPr>
        <w:t>Nr. </w:t>
      </w:r>
      <w:r w:rsidRPr="009118AB">
        <w:rPr>
          <w:i/>
          <w:iCs/>
        </w:rPr>
        <w:t>3 des G. vom 17. Mai 2004 (I) (B.S. vom 4. Juni 2004)</w:t>
      </w:r>
      <w:r w:rsidR="00D67EB8" w:rsidRPr="009118AB">
        <w:rPr>
          <w:i/>
          <w:iCs/>
        </w:rPr>
        <w:t> - </w:t>
      </w:r>
      <w:r w:rsidRPr="009118AB">
        <w:rPr>
          <w:i/>
          <w:iCs/>
        </w:rPr>
        <w:t>anwendbar ab dem Steuerjahr 2004</w:t>
      </w:r>
      <w:r w:rsidR="00D67EB8" w:rsidRPr="009118AB">
        <w:rPr>
          <w:i/>
          <w:iCs/>
        </w:rPr>
        <w:t> - </w:t>
      </w:r>
      <w:r w:rsidRPr="009118AB">
        <w:rPr>
          <w:i/>
          <w:iCs/>
        </w:rPr>
        <w:t xml:space="preserve">und aufgehoben durch </w:t>
      </w:r>
      <w:r w:rsidR="00D67EB8" w:rsidRPr="009118AB">
        <w:rPr>
          <w:i/>
          <w:iCs/>
        </w:rPr>
        <w:t>Art. </w:t>
      </w:r>
      <w:r w:rsidRPr="009118AB">
        <w:rPr>
          <w:i/>
          <w:iCs/>
        </w:rPr>
        <w:t>5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00EC2C95" w:rsidRPr="009118AB">
        <w:rPr>
          <w:i/>
          <w:iCs/>
        </w:rPr>
        <w:t xml:space="preserve">3 </w:t>
      </w:r>
      <w:r w:rsidR="00D67EB8" w:rsidRPr="009118AB">
        <w:rPr>
          <w:i/>
          <w:iCs/>
        </w:rPr>
        <w:t>Abs. </w:t>
      </w:r>
      <w:r w:rsidR="00EC2C95" w:rsidRPr="009118AB">
        <w:rPr>
          <w:i/>
          <w:iCs/>
        </w:rPr>
        <w:t xml:space="preserve">3 bis 6 eingefügt durch </w:t>
      </w:r>
      <w:r w:rsidR="00D67EB8" w:rsidRPr="009118AB">
        <w:rPr>
          <w:i/>
          <w:iCs/>
        </w:rPr>
        <w:t>Art. </w:t>
      </w:r>
      <w:r w:rsidR="00EC2C95" w:rsidRPr="009118AB">
        <w:rPr>
          <w:i/>
          <w:iCs/>
        </w:rPr>
        <w:t xml:space="preserve">53 </w:t>
      </w:r>
      <w:r w:rsidR="00D67EB8" w:rsidRPr="009118AB">
        <w:rPr>
          <w:i/>
          <w:iCs/>
        </w:rPr>
        <w:t>Nr. </w:t>
      </w:r>
      <w:r w:rsidR="00EC2C95" w:rsidRPr="009118AB">
        <w:rPr>
          <w:i/>
          <w:iCs/>
        </w:rPr>
        <w:t>2</w:t>
      </w:r>
      <w:r w:rsidR="00EC2C95" w:rsidRPr="009118AB">
        <w:rPr>
          <w:i/>
          <w:spacing w:val="-2"/>
        </w:rPr>
        <w:t xml:space="preserve"> </w:t>
      </w:r>
      <w:r w:rsidR="00EC2C95" w:rsidRPr="009118AB">
        <w:rPr>
          <w:i/>
          <w:iCs/>
          <w:spacing w:val="2"/>
        </w:rPr>
        <w:t>des G. vom 28. April 2019 (B.S. vom 6. Mai 2019)</w:t>
      </w:r>
      <w:r w:rsidR="00D67EB8" w:rsidRPr="009118AB">
        <w:rPr>
          <w:i/>
          <w:iCs/>
          <w:spacing w:val="2"/>
        </w:rPr>
        <w:t> - </w:t>
      </w:r>
      <w:r w:rsidR="00EC2C95" w:rsidRPr="009118AB">
        <w:rPr>
          <w:i/>
          <w:iCs/>
          <w:spacing w:val="2"/>
        </w:rPr>
        <w:t>wirksam mit 1. Januar 2018 und anwendbar ab dem Steuerjahr 2019, das sich auf einen Besteuerungszeitraum bezieht, der frühestens am 1. Januar 2018 beginnt</w:t>
      </w:r>
      <w:r w:rsidR="003366D9" w:rsidRPr="009118AB">
        <w:rPr>
          <w:i/>
          <w:iCs/>
          <w:spacing w:val="2"/>
        </w:rPr>
        <w:t> -;</w:t>
      </w:r>
      <w:r w:rsidR="00EC2C95" w:rsidRPr="009118AB">
        <w:rPr>
          <w:i/>
          <w:iCs/>
          <w:spacing w:val="2"/>
        </w:rPr>
        <w:t xml:space="preserve"> </w:t>
      </w:r>
      <w:r w:rsidR="00D67EB8" w:rsidRPr="009118AB">
        <w:rPr>
          <w:i/>
          <w:iCs/>
        </w:rPr>
        <w:t>§ </w:t>
      </w:r>
      <w:r w:rsidRPr="009118AB">
        <w:rPr>
          <w:i/>
          <w:iCs/>
        </w:rPr>
        <w:t xml:space="preserve">4 einziger Absatz einleitende Bestimmung ersetzt durch </w:t>
      </w:r>
      <w:r w:rsidR="00D67EB8" w:rsidRPr="009118AB">
        <w:rPr>
          <w:i/>
          <w:iCs/>
        </w:rPr>
        <w:t>Art. </w:t>
      </w:r>
      <w:r w:rsidRPr="009118AB">
        <w:rPr>
          <w:i/>
          <w:iCs/>
        </w:rPr>
        <w:t>6 Buchstabe a)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4 einziger Absatz (früherer Absatz 1) </w:t>
      </w:r>
      <w:r w:rsidR="00D67EB8" w:rsidRPr="009118AB">
        <w:rPr>
          <w:i/>
          <w:iCs/>
        </w:rPr>
        <w:t>Nr. </w:t>
      </w:r>
      <w:r w:rsidRPr="009118AB">
        <w:rPr>
          <w:i/>
          <w:iCs/>
        </w:rPr>
        <w:t xml:space="preserve">1 abgeändert durch </w:t>
      </w:r>
      <w:r w:rsidR="00D67EB8" w:rsidRPr="009118AB">
        <w:rPr>
          <w:i/>
          <w:iCs/>
        </w:rPr>
        <w:t>Art. </w:t>
      </w:r>
      <w:r w:rsidRPr="009118AB">
        <w:rPr>
          <w:i/>
          <w:iCs/>
        </w:rPr>
        <w:t xml:space="preserve">2 </w:t>
      </w:r>
      <w:r w:rsidR="00D67EB8" w:rsidRPr="009118AB">
        <w:rPr>
          <w:i/>
          <w:iCs/>
        </w:rPr>
        <w:t>Nr. </w:t>
      </w:r>
      <w:r w:rsidRPr="009118AB">
        <w:rPr>
          <w:i/>
          <w:iCs/>
        </w:rPr>
        <w:t>4 des G. vom 17. Mai 200</w:t>
      </w:r>
      <w:r w:rsidR="001B53F1" w:rsidRPr="009118AB">
        <w:rPr>
          <w:i/>
          <w:iCs/>
        </w:rPr>
        <w:t>4 (I) (B.S. vom 4. Juni 2004)</w:t>
      </w:r>
      <w:r w:rsidR="00D67EB8" w:rsidRPr="009118AB">
        <w:rPr>
          <w:i/>
          <w:iCs/>
        </w:rPr>
        <w:t> - </w:t>
      </w:r>
      <w:r w:rsidRPr="009118AB">
        <w:rPr>
          <w:i/>
          <w:iCs/>
        </w:rPr>
        <w:t>anwen</w:t>
      </w:r>
      <w:r w:rsidR="00E951F6" w:rsidRPr="009118AB">
        <w:rPr>
          <w:i/>
          <w:iCs/>
        </w:rPr>
        <w:t>dbar ab dem Steuerjahr 2004</w:t>
      </w:r>
      <w:r w:rsidR="00FD68E8" w:rsidRPr="009118AB">
        <w:rPr>
          <w:i/>
          <w:iCs/>
        </w:rPr>
        <w:t> -,</w:t>
      </w:r>
      <w:r w:rsidR="00E951F6" w:rsidRPr="009118AB">
        <w:rPr>
          <w:i/>
          <w:iCs/>
        </w:rPr>
        <w:t xml:space="preserve"> </w:t>
      </w:r>
      <w:r w:rsidR="00D67EB8" w:rsidRPr="009118AB">
        <w:rPr>
          <w:i/>
          <w:iCs/>
        </w:rPr>
        <w:t>Art. </w:t>
      </w:r>
      <w:r w:rsidRPr="009118AB">
        <w:rPr>
          <w:i/>
          <w:iCs/>
        </w:rPr>
        <w:t>7 Buchstabe m) des G. vom 21. Dezember 2009 (B.S. vom 31. Dezember 2009)</w:t>
      </w:r>
      <w:r w:rsidR="00D67EB8" w:rsidRPr="009118AB">
        <w:rPr>
          <w:i/>
          <w:iCs/>
        </w:rPr>
        <w:t> - </w:t>
      </w:r>
      <w:r w:rsidRPr="009118AB">
        <w:rPr>
          <w:i/>
          <w:iCs/>
        </w:rPr>
        <w:t>in Kraft am 1. Januar 2010</w:t>
      </w:r>
      <w:r w:rsidR="00FD68E8" w:rsidRPr="009118AB">
        <w:rPr>
          <w:i/>
          <w:iCs/>
        </w:rPr>
        <w:t> -,</w:t>
      </w:r>
      <w:r w:rsidRPr="009118AB">
        <w:rPr>
          <w:i/>
          <w:iCs/>
        </w:rPr>
        <w:t xml:space="preserve"> </w:t>
      </w:r>
      <w:r w:rsidR="00D67EB8" w:rsidRPr="009118AB">
        <w:rPr>
          <w:i/>
          <w:iCs/>
        </w:rPr>
        <w:t>Art. </w:t>
      </w:r>
      <w:r w:rsidRPr="009118AB">
        <w:rPr>
          <w:i/>
          <w:iCs/>
        </w:rPr>
        <w:t>6 Buchstabe b) des G. vom 12. Mai 2014 (I) (B.S. vom 27. Mai 2014)</w:t>
      </w:r>
      <w:r w:rsidR="00D67EB8" w:rsidRPr="009118AB">
        <w:rPr>
          <w:i/>
          <w:iCs/>
        </w:rPr>
        <w:t> - </w:t>
      </w:r>
      <w:r w:rsidRPr="009118AB">
        <w:rPr>
          <w:rFonts w:ascii="Times New Roman Italique" w:hAnsi="Times New Roman Italique"/>
          <w:i/>
          <w:iCs/>
          <w:spacing w:val="2"/>
        </w:rPr>
        <w:t>in Kraft am 1. Januar 2015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22 des G. vom 26.</w:t>
      </w:r>
      <w:r w:rsidR="00EE5AB1" w:rsidRPr="009118AB">
        <w:rPr>
          <w:rFonts w:ascii="Times New Roman Italique" w:hAnsi="Times New Roman Italique" w:hint="eastAsia"/>
          <w:i/>
          <w:iCs/>
          <w:spacing w:val="2"/>
        </w:rPr>
        <w:t> </w:t>
      </w:r>
      <w:r w:rsidRPr="009118AB">
        <w:rPr>
          <w:rFonts w:ascii="Times New Roman Italique" w:hAnsi="Times New Roman Italique"/>
          <w:i/>
          <w:iCs/>
          <w:spacing w:val="2"/>
        </w:rPr>
        <w:t>Mai</w:t>
      </w:r>
      <w:r w:rsidR="00EE5AB1" w:rsidRPr="009118AB">
        <w:rPr>
          <w:rFonts w:ascii="Times New Roman Italique" w:hAnsi="Times New Roman Italique" w:hint="eastAsia"/>
          <w:i/>
          <w:iCs/>
          <w:spacing w:val="2"/>
        </w:rPr>
        <w:t> </w:t>
      </w:r>
      <w:r w:rsidRPr="009118AB">
        <w:rPr>
          <w:rFonts w:ascii="Times New Roman Italique" w:hAnsi="Times New Roman Italique"/>
          <w:i/>
          <w:iCs/>
          <w:spacing w:val="2"/>
        </w:rPr>
        <w:t>2016 (B.S. vom 7. Juni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2016 unterzeichneten Rahmenüber</w:t>
      </w:r>
      <w:r w:rsidR="009D36CC" w:rsidRPr="009118AB">
        <w:rPr>
          <w:rFonts w:ascii="Times New Roman Italique" w:hAnsi="Times New Roman Italique"/>
          <w:i/>
          <w:iCs/>
          <w:spacing w:val="2"/>
        </w:rPr>
        <w:softHyphen/>
      </w:r>
      <w:r w:rsidRPr="009118AB">
        <w:rPr>
          <w:rFonts w:ascii="Times New Roman Italique" w:hAnsi="Times New Roman Italique"/>
          <w:i/>
          <w:iCs/>
          <w:spacing w:val="2"/>
        </w:rPr>
        <w:t>einkommen</w:t>
      </w:r>
      <w:r w:rsidR="003366D9" w:rsidRPr="009118AB">
        <w:rPr>
          <w:rFonts w:ascii="Times New Roman Italique" w:hAnsi="Times New Roman Italique"/>
          <w:i/>
          <w:iCs/>
          <w:spacing w:val="2"/>
        </w:rPr>
        <w:t> -;</w:t>
      </w:r>
      <w:r w:rsidRPr="009118AB">
        <w:rPr>
          <w:i/>
          <w:iCs/>
        </w:rPr>
        <w:t xml:space="preserve"> </w:t>
      </w:r>
      <w:r w:rsidR="00D67EB8" w:rsidRPr="009118AB">
        <w:rPr>
          <w:i/>
          <w:iCs/>
        </w:rPr>
        <w:t>§ </w:t>
      </w:r>
      <w:r w:rsidRPr="009118AB">
        <w:rPr>
          <w:i/>
          <w:iCs/>
        </w:rPr>
        <w:t xml:space="preserve">4 einziger Absatz </w:t>
      </w:r>
      <w:r w:rsidR="00D67EB8" w:rsidRPr="009118AB">
        <w:rPr>
          <w:i/>
          <w:iCs/>
        </w:rPr>
        <w:t>Nr. </w:t>
      </w:r>
      <w:r w:rsidRPr="009118AB">
        <w:rPr>
          <w:i/>
          <w:iCs/>
        </w:rPr>
        <w:t xml:space="preserve">2 abgeändert durch </w:t>
      </w:r>
      <w:r w:rsidR="00D67EB8" w:rsidRPr="009118AB">
        <w:rPr>
          <w:i/>
          <w:iCs/>
        </w:rPr>
        <w:t>Art. </w:t>
      </w:r>
      <w:r w:rsidRPr="009118AB">
        <w:rPr>
          <w:i/>
          <w:iCs/>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4 des G. vom 17. Mai 2004 (I) (B.S. vom 4. Juni 2004)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w:t>
      </w:r>
      <w:r w:rsidR="00E2782D" w:rsidRPr="009118AB">
        <w:rPr>
          <w:rFonts w:ascii="Times New Roman Italique" w:hAnsi="Times New Roman Italique" w:hint="eastAsia"/>
          <w:i/>
          <w:iCs/>
          <w:spacing w:val="2"/>
        </w:rPr>
        <w:t> </w:t>
      </w:r>
      <w:r w:rsidRPr="009118AB">
        <w:rPr>
          <w:rFonts w:ascii="Times New Roman Italique" w:hAnsi="Times New Roman Italique"/>
          <w:i/>
          <w:iCs/>
          <w:spacing w:val="2"/>
        </w:rPr>
        <w:t>2004</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7 Buchstabe</w:t>
      </w:r>
      <w:r w:rsidR="00EE5AB1" w:rsidRPr="009118AB">
        <w:rPr>
          <w:rFonts w:ascii="Times New Roman Italique" w:hAnsi="Times New Roman Italique" w:hint="eastAsia"/>
          <w:i/>
          <w:iCs/>
          <w:spacing w:val="2"/>
        </w:rPr>
        <w:t> </w:t>
      </w:r>
      <w:r w:rsidRPr="009118AB">
        <w:rPr>
          <w:rFonts w:ascii="Times New Roman Italique" w:hAnsi="Times New Roman Italique"/>
          <w:i/>
          <w:iCs/>
          <w:spacing w:val="2"/>
        </w:rPr>
        <w:t>m) des G. vom 21. Dezember 2009 (B.S. vom 31. Dezember 2009)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in Kraft </w:t>
      </w:r>
      <w:r w:rsidRPr="009118AB">
        <w:rPr>
          <w:i/>
          <w:iCs/>
        </w:rPr>
        <w:t>am 1. Januar 2010</w:t>
      </w:r>
      <w:r w:rsidR="00FD68E8" w:rsidRPr="009118AB">
        <w:rPr>
          <w:i/>
          <w:iCs/>
        </w:rPr>
        <w:t> -,</w:t>
      </w:r>
      <w:r w:rsidRPr="009118AB">
        <w:rPr>
          <w:i/>
          <w:iCs/>
        </w:rPr>
        <w:t xml:space="preserve"> </w:t>
      </w:r>
      <w:r w:rsidR="00D67EB8" w:rsidRPr="009118AB">
        <w:rPr>
          <w:i/>
          <w:iCs/>
        </w:rPr>
        <w:t>Art. </w:t>
      </w:r>
      <w:r w:rsidRPr="009118AB">
        <w:rPr>
          <w:i/>
          <w:iCs/>
        </w:rPr>
        <w:t>6 Buchstabe c)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w:t>
      </w:r>
      <w:r w:rsidR="00D67EB8" w:rsidRPr="009118AB">
        <w:rPr>
          <w:i/>
          <w:iCs/>
        </w:rPr>
        <w:t>Art. </w:t>
      </w:r>
      <w:r w:rsidRPr="009118AB">
        <w:rPr>
          <w:i/>
          <w:iCs/>
        </w:rPr>
        <w:t xml:space="preserve">2 </w:t>
      </w:r>
      <w:r w:rsidR="00D67EB8" w:rsidRPr="009118AB">
        <w:rPr>
          <w:i/>
          <w:iCs/>
        </w:rPr>
        <w:t>Nr. </w:t>
      </w:r>
      <w:r w:rsidRPr="009118AB">
        <w:rPr>
          <w:i/>
          <w:iCs/>
        </w:rPr>
        <w:t>23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4 einziger Absatz frühere Nummer 3 aufgehoben durch </w:t>
      </w:r>
      <w:r w:rsidR="00D67EB8" w:rsidRPr="009118AB">
        <w:rPr>
          <w:i/>
          <w:iCs/>
        </w:rPr>
        <w:t>Art. </w:t>
      </w:r>
      <w:r w:rsidRPr="009118AB">
        <w:rPr>
          <w:i/>
          <w:iCs/>
        </w:rPr>
        <w:t>6 Buchstabe d)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4 einziger Absatz frühere Nummer 4 umnummeriert zu </w:t>
      </w:r>
      <w:r w:rsidR="00D67EB8" w:rsidRPr="009118AB">
        <w:rPr>
          <w:i/>
          <w:iCs/>
        </w:rPr>
        <w:t>Nr. </w:t>
      </w:r>
      <w:r w:rsidRPr="009118AB">
        <w:rPr>
          <w:i/>
          <w:iCs/>
        </w:rPr>
        <w:t xml:space="preserve">3 durch </w:t>
      </w:r>
      <w:r w:rsidR="00D67EB8" w:rsidRPr="009118AB">
        <w:rPr>
          <w:i/>
          <w:iCs/>
        </w:rPr>
        <w:t>Art. </w:t>
      </w:r>
      <w:r w:rsidRPr="009118AB">
        <w:rPr>
          <w:i/>
          <w:iCs/>
        </w:rPr>
        <w:t>6 Buchstabe e)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abgeändert durch </w:t>
      </w:r>
      <w:r w:rsidR="00D67EB8" w:rsidRPr="009118AB">
        <w:rPr>
          <w:i/>
          <w:iCs/>
        </w:rPr>
        <w:t>Art. </w:t>
      </w:r>
      <w:r w:rsidRPr="009118AB">
        <w:rPr>
          <w:i/>
          <w:iCs/>
        </w:rPr>
        <w:t>7 Buchstabe</w:t>
      </w:r>
      <w:r w:rsidR="00EE5AB1" w:rsidRPr="009118AB">
        <w:rPr>
          <w:i/>
          <w:iCs/>
        </w:rPr>
        <w:t> </w:t>
      </w:r>
      <w:r w:rsidRPr="009118AB">
        <w:rPr>
          <w:i/>
          <w:iCs/>
        </w:rPr>
        <w:t>o) des G. vom 21. Dezember 2009 (B.S. vom 31. Dezember 2009)</w:t>
      </w:r>
      <w:r w:rsidR="00D67EB8" w:rsidRPr="009118AB">
        <w:rPr>
          <w:i/>
          <w:iCs/>
        </w:rPr>
        <w:t> - </w:t>
      </w:r>
      <w:r w:rsidRPr="009118AB">
        <w:rPr>
          <w:i/>
          <w:iCs/>
        </w:rPr>
        <w:t>in Kraft am 1. Januar 2010</w:t>
      </w:r>
      <w:r w:rsidR="00D67EB8" w:rsidRPr="009118AB">
        <w:rPr>
          <w:i/>
          <w:iCs/>
        </w:rPr>
        <w:t> - </w:t>
      </w:r>
      <w:r w:rsidRPr="009118AB">
        <w:rPr>
          <w:i/>
          <w:iCs/>
        </w:rPr>
        <w:t xml:space="preserve">und </w:t>
      </w:r>
      <w:r w:rsidR="00D67EB8" w:rsidRPr="009118AB">
        <w:rPr>
          <w:i/>
          <w:iCs/>
        </w:rPr>
        <w:t>Art. </w:t>
      </w:r>
      <w:r w:rsidRPr="009118AB">
        <w:rPr>
          <w:i/>
          <w:iCs/>
        </w:rPr>
        <w:t>6 Buchstabe e)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4 einziger Absatz neue Nummer 4 eingefügt durch </w:t>
      </w:r>
      <w:r w:rsidR="00D67EB8" w:rsidRPr="009118AB">
        <w:rPr>
          <w:i/>
          <w:iCs/>
        </w:rPr>
        <w:t>Art. </w:t>
      </w:r>
      <w:r w:rsidRPr="009118AB">
        <w:rPr>
          <w:i/>
          <w:iCs/>
        </w:rPr>
        <w:t>6 Buchstabe f)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abgeändert durch </w:t>
      </w:r>
      <w:r w:rsidR="00D67EB8" w:rsidRPr="009118AB">
        <w:rPr>
          <w:i/>
          <w:iCs/>
        </w:rPr>
        <w:t>Art. </w:t>
      </w:r>
      <w:r w:rsidRPr="009118AB">
        <w:rPr>
          <w:i/>
          <w:iCs/>
        </w:rPr>
        <w:t xml:space="preserve">30 </w:t>
      </w:r>
      <w:r w:rsidR="00D67EB8" w:rsidRPr="009118AB">
        <w:rPr>
          <w:i/>
          <w:iCs/>
        </w:rPr>
        <w:t>Nr. </w:t>
      </w:r>
      <w:r w:rsidRPr="009118AB">
        <w:rPr>
          <w:i/>
          <w:iCs/>
        </w:rPr>
        <w:t>3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D67EB8" w:rsidRPr="009118AB">
        <w:rPr>
          <w:i/>
          <w:iCs/>
        </w:rPr>
        <w:t> - </w:t>
      </w:r>
      <w:r w:rsidR="00C80771" w:rsidRPr="009118AB">
        <w:rPr>
          <w:i/>
          <w:iCs/>
        </w:rPr>
        <w:t xml:space="preserve">und </w:t>
      </w:r>
      <w:r w:rsidR="00D67EB8" w:rsidRPr="009118AB">
        <w:rPr>
          <w:i/>
          <w:iCs/>
        </w:rPr>
        <w:t>Art. </w:t>
      </w:r>
      <w:r w:rsidR="00C80771" w:rsidRPr="009118AB">
        <w:rPr>
          <w:i/>
          <w:iCs/>
        </w:rPr>
        <w:t xml:space="preserve">30 </w:t>
      </w:r>
      <w:r w:rsidR="00D67EB8" w:rsidRPr="009118AB">
        <w:rPr>
          <w:i/>
          <w:iCs/>
        </w:rPr>
        <w:t>Nr. </w:t>
      </w:r>
      <w:r w:rsidR="00C80771" w:rsidRPr="009118AB">
        <w:rPr>
          <w:i/>
          <w:iCs/>
        </w:rPr>
        <w:t>4 des G. vom 25. Dezember 2017 (III) (B.S. vom 29. Dezember 2017)</w:t>
      </w:r>
      <w:r w:rsidR="00D67EB8" w:rsidRPr="009118AB">
        <w:rPr>
          <w:i/>
          <w:iCs/>
        </w:rPr>
        <w:t> - </w:t>
      </w:r>
      <w:r w:rsidR="00C80771" w:rsidRPr="009118AB">
        <w:rPr>
          <w:i/>
          <w:iCs/>
        </w:rPr>
        <w:t>in Kraft am 1. Januar 2020 und anwendbar ab dem Steuerjahr 2021, das sich auf einen Besteuerungszeitraum bezieht, der frühestens am 1. Januar 2020 beginnt</w:t>
      </w:r>
      <w:r w:rsidR="003366D9" w:rsidRPr="009118AB">
        <w:rPr>
          <w:i/>
          <w:iCs/>
        </w:rPr>
        <w:t> -;</w:t>
      </w:r>
      <w:r w:rsidRPr="009118AB">
        <w:rPr>
          <w:i/>
          <w:iCs/>
        </w:rPr>
        <w:t xml:space="preserve"> </w:t>
      </w:r>
      <w:r w:rsidR="00D67EB8" w:rsidRPr="009118AB">
        <w:rPr>
          <w:i/>
          <w:iCs/>
        </w:rPr>
        <w:t>§ </w:t>
      </w:r>
      <w:r w:rsidRPr="009118AB">
        <w:rPr>
          <w:i/>
          <w:iCs/>
        </w:rPr>
        <w:t xml:space="preserve">4 einziger Absatz </w:t>
      </w:r>
      <w:r w:rsidR="00D67EB8" w:rsidRPr="009118AB">
        <w:rPr>
          <w:i/>
          <w:iCs/>
        </w:rPr>
        <w:t>Nr. </w:t>
      </w:r>
      <w:r w:rsidRPr="009118AB">
        <w:rPr>
          <w:i/>
          <w:iCs/>
        </w:rPr>
        <w:t xml:space="preserve">5 aufgehoben durch </w:t>
      </w:r>
      <w:r w:rsidR="00D67EB8" w:rsidRPr="009118AB">
        <w:rPr>
          <w:i/>
          <w:iCs/>
        </w:rPr>
        <w:t>Art. </w:t>
      </w:r>
      <w:r w:rsidRPr="009118AB">
        <w:rPr>
          <w:i/>
          <w:iCs/>
        </w:rPr>
        <w:t>6 Buchstabe d) des G. vom 12. Mai 2014 (I) (B.S. vom 27. Mai 2014)</w:t>
      </w:r>
      <w:r w:rsidR="00D67EB8" w:rsidRPr="009118AB">
        <w:rPr>
          <w:i/>
          <w:iCs/>
        </w:rPr>
        <w:t> - </w:t>
      </w:r>
      <w:r w:rsidRPr="009118AB">
        <w:rPr>
          <w:i/>
          <w:iCs/>
        </w:rPr>
        <w:t>in Kraft am 1. Januar 2015</w:t>
      </w:r>
      <w:r w:rsidR="003366D9" w:rsidRPr="009118AB">
        <w:rPr>
          <w:i/>
          <w:iCs/>
        </w:rPr>
        <w:t> </w:t>
      </w:r>
      <w:r w:rsidR="00E91898" w:rsidRPr="009118AB">
        <w:rPr>
          <w:i/>
          <w:iCs/>
        </w:rPr>
        <w:t>-</w:t>
      </w:r>
      <w:r w:rsidR="00705368" w:rsidRPr="009118AB">
        <w:rPr>
          <w:i/>
          <w:iCs/>
        </w:rPr>
        <w:t xml:space="preserve"> und wieder aufgenommen durch Art. 28 des G. vom 31. Juli 2023 (II) (B.S. vom 23. August 2023)</w:t>
      </w:r>
      <w:r w:rsidR="003366D9" w:rsidRPr="009118AB">
        <w:rPr>
          <w:i/>
          <w:iCs/>
        </w:rPr>
        <w:t>;</w:t>
      </w:r>
      <w:r w:rsidRPr="009118AB">
        <w:rPr>
          <w:i/>
          <w:iCs/>
        </w:rPr>
        <w:t xml:space="preserve"> </w:t>
      </w:r>
      <w:r w:rsidR="00D67EB8" w:rsidRPr="009118AB">
        <w:rPr>
          <w:i/>
          <w:iCs/>
        </w:rPr>
        <w:t>§ </w:t>
      </w:r>
      <w:r w:rsidRPr="009118AB">
        <w:rPr>
          <w:i/>
          <w:iCs/>
        </w:rPr>
        <w:t xml:space="preserve">4 einziger Absatz </w:t>
      </w:r>
      <w:r w:rsidR="00D67EB8" w:rsidRPr="009118AB">
        <w:rPr>
          <w:i/>
          <w:iCs/>
        </w:rPr>
        <w:t>Nr. </w:t>
      </w:r>
      <w:r w:rsidRPr="009118AB">
        <w:rPr>
          <w:i/>
          <w:iCs/>
        </w:rPr>
        <w:t xml:space="preserve">5bis eingefügt durch </w:t>
      </w:r>
      <w:r w:rsidR="00D67EB8" w:rsidRPr="009118AB">
        <w:rPr>
          <w:i/>
          <w:iCs/>
        </w:rPr>
        <w:t>Art. </w:t>
      </w:r>
      <w:r w:rsidRPr="009118AB">
        <w:rPr>
          <w:i/>
          <w:iCs/>
        </w:rPr>
        <w:t>12 Buchstabe e) des G. vom 17. Juni 2013 (B.S. vom 28. Juni 2013)</w:t>
      </w:r>
      <w:r w:rsidR="00D67EB8" w:rsidRPr="009118AB">
        <w:rPr>
          <w:i/>
          <w:iCs/>
        </w:rPr>
        <w:t> - </w:t>
      </w:r>
      <w:r w:rsidRPr="009118AB">
        <w:rPr>
          <w:i/>
          <w:iCs/>
        </w:rPr>
        <w:t>anwendbar auf die ab dem 1. Juli 2013 unterzeichneten Rahmenüber</w:t>
      </w:r>
      <w:r w:rsidR="00E2782D" w:rsidRPr="009118AB">
        <w:rPr>
          <w:i/>
          <w:iCs/>
        </w:rPr>
        <w:softHyphen/>
      </w:r>
      <w:r w:rsidRPr="009118AB">
        <w:rPr>
          <w:i/>
          <w:iCs/>
        </w:rPr>
        <w:t>einkommen</w:t>
      </w:r>
      <w:r w:rsidR="00D67EB8" w:rsidRPr="009118AB">
        <w:rPr>
          <w:i/>
          <w:iCs/>
        </w:rPr>
        <w:t> - </w:t>
      </w:r>
      <w:r w:rsidRPr="009118AB">
        <w:rPr>
          <w:i/>
          <w:iCs/>
        </w:rPr>
        <w:t xml:space="preserve">und aufgehoben durch </w:t>
      </w:r>
      <w:r w:rsidR="00D67EB8" w:rsidRPr="009118AB">
        <w:rPr>
          <w:i/>
          <w:iCs/>
        </w:rPr>
        <w:t>Art. </w:t>
      </w:r>
      <w:r w:rsidRPr="009118AB">
        <w:rPr>
          <w:i/>
          <w:iCs/>
        </w:rPr>
        <w:t>6 Buchstabe d)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4 einziger Absatz </w:t>
      </w:r>
      <w:r w:rsidR="00D67EB8" w:rsidRPr="009118AB">
        <w:rPr>
          <w:i/>
          <w:iCs/>
        </w:rPr>
        <w:t>Nr. </w:t>
      </w:r>
      <w:r w:rsidRPr="009118AB">
        <w:rPr>
          <w:i/>
          <w:iCs/>
        </w:rPr>
        <w:t xml:space="preserve">6 und 7 aufgehoben durch </w:t>
      </w:r>
      <w:r w:rsidR="00D67EB8" w:rsidRPr="009118AB">
        <w:rPr>
          <w:i/>
          <w:iCs/>
        </w:rPr>
        <w:t>Art. </w:t>
      </w:r>
      <w:r w:rsidRPr="009118AB">
        <w:rPr>
          <w:i/>
          <w:iCs/>
        </w:rPr>
        <w:t>6 Buchstabe d)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4 einziger Absatz </w:t>
      </w:r>
      <w:r w:rsidR="00D67EB8" w:rsidRPr="009118AB">
        <w:rPr>
          <w:i/>
          <w:iCs/>
        </w:rPr>
        <w:t>Nr. </w:t>
      </w:r>
      <w:r w:rsidRPr="009118AB">
        <w:rPr>
          <w:i/>
          <w:iCs/>
        </w:rPr>
        <w:t xml:space="preserve">7bis eingefügt durch </w:t>
      </w:r>
      <w:r w:rsidR="00D67EB8" w:rsidRPr="009118AB">
        <w:rPr>
          <w:i/>
          <w:iCs/>
        </w:rPr>
        <w:t>Art. </w:t>
      </w:r>
      <w:r w:rsidRPr="009118AB">
        <w:rPr>
          <w:i/>
          <w:iCs/>
        </w:rPr>
        <w:t xml:space="preserve">2 </w:t>
      </w:r>
      <w:r w:rsidR="00D67EB8" w:rsidRPr="009118AB">
        <w:rPr>
          <w:i/>
          <w:iCs/>
        </w:rPr>
        <w:t>Nr. </w:t>
      </w:r>
      <w:r w:rsidRPr="009118AB">
        <w:rPr>
          <w:i/>
          <w:iCs/>
        </w:rPr>
        <w:t>7 des G. vom 17. Mai 2004 (I) (B.S. vom 4. Juni 2004)</w:t>
      </w:r>
      <w:r w:rsidR="00D67EB8" w:rsidRPr="009118AB">
        <w:rPr>
          <w:i/>
          <w:iCs/>
        </w:rPr>
        <w:t> - </w:t>
      </w:r>
      <w:r w:rsidRPr="009118AB">
        <w:rPr>
          <w:i/>
          <w:iCs/>
        </w:rPr>
        <w:t>anwendbar ab dem Steuerjahr 2004</w:t>
      </w:r>
      <w:r w:rsidR="00D67EB8" w:rsidRPr="009118AB">
        <w:rPr>
          <w:i/>
          <w:iCs/>
        </w:rPr>
        <w:t> - </w:t>
      </w:r>
      <w:r w:rsidRPr="009118AB">
        <w:rPr>
          <w:i/>
          <w:iCs/>
        </w:rPr>
        <w:t xml:space="preserve">und aufgehoben durch </w:t>
      </w:r>
      <w:r w:rsidR="00D67EB8" w:rsidRPr="009118AB">
        <w:rPr>
          <w:i/>
          <w:iCs/>
        </w:rPr>
        <w:t>Art. </w:t>
      </w:r>
      <w:r w:rsidRPr="009118AB">
        <w:rPr>
          <w:i/>
          <w:iCs/>
        </w:rPr>
        <w:t>6 Buchstabe d) des G. vom 12. Mai 201</w:t>
      </w:r>
      <w:r w:rsidR="00252578" w:rsidRPr="009118AB">
        <w:rPr>
          <w:i/>
          <w:iCs/>
        </w:rPr>
        <w:t>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4 einziger Absatz </w:t>
      </w:r>
      <w:r w:rsidR="00D67EB8" w:rsidRPr="009118AB">
        <w:rPr>
          <w:i/>
          <w:iCs/>
        </w:rPr>
        <w:t>Nr. </w:t>
      </w:r>
      <w:r w:rsidRPr="009118AB">
        <w:rPr>
          <w:i/>
          <w:iCs/>
        </w:rPr>
        <w:t xml:space="preserve">8 und 9 aufgehoben durch </w:t>
      </w:r>
      <w:r w:rsidR="00D67EB8" w:rsidRPr="009118AB">
        <w:rPr>
          <w:i/>
          <w:iCs/>
        </w:rPr>
        <w:t>Art. </w:t>
      </w:r>
      <w:r w:rsidRPr="009118AB">
        <w:rPr>
          <w:i/>
          <w:iCs/>
        </w:rPr>
        <w:t>6 Buchstabe d)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4 frühere Absätze 2 und 3 eingefügt durch </w:t>
      </w:r>
      <w:r w:rsidR="00D67EB8" w:rsidRPr="009118AB">
        <w:rPr>
          <w:i/>
          <w:iCs/>
        </w:rPr>
        <w:t>Art. </w:t>
      </w:r>
      <w:r w:rsidRPr="009118AB">
        <w:rPr>
          <w:i/>
          <w:iCs/>
        </w:rPr>
        <w:t xml:space="preserve">12 Buchstabe g) des G. vom 17. Juni 2013 (B.S. vom 28. Juni 2013) und aufgehoben durch </w:t>
      </w:r>
      <w:r w:rsidR="00D67EB8" w:rsidRPr="009118AB">
        <w:rPr>
          <w:i/>
          <w:iCs/>
        </w:rPr>
        <w:t>Art. </w:t>
      </w:r>
      <w:r w:rsidRPr="009118AB">
        <w:rPr>
          <w:i/>
          <w:iCs/>
        </w:rPr>
        <w:t xml:space="preserve">6 Buchstabe g) des G. vom </w:t>
      </w:r>
      <w:r w:rsidRPr="009118AB">
        <w:rPr>
          <w:i/>
          <w:iCs/>
        </w:rPr>
        <w:lastRenderedPageBreak/>
        <w:t>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4 früherer Absatz 4 aufgehoben durch </w:t>
      </w:r>
      <w:r w:rsidR="00D67EB8" w:rsidRPr="009118AB">
        <w:rPr>
          <w:i/>
          <w:iCs/>
        </w:rPr>
        <w:t>Art. </w:t>
      </w:r>
      <w:r w:rsidRPr="009118AB">
        <w:rPr>
          <w:i/>
          <w:iCs/>
        </w:rPr>
        <w:t xml:space="preserve">6 </w:t>
      </w:r>
      <w:r w:rsidRPr="009118AB">
        <w:rPr>
          <w:rFonts w:ascii="Times New Roman Italique" w:hAnsi="Times New Roman Italique"/>
          <w:i/>
          <w:iCs/>
          <w:spacing w:val="-2"/>
        </w:rPr>
        <w:t>Buchstabe g) des G. vom 12. Mai 2014 (I) (B.S. vom 27. Mai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Januar 2015</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4bis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9 des G. vom 17. Mai 2004 (I) (B.S. vom 4. Juni 2004)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2004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aufgehoben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7 des G. vom 12. Mai 2014 (I) (B.S. vom 27. Mai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Januar 2015</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5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8 des G. vom 12. Mai 2014 (I) (B.S. vom 27. Mai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Januar 2015</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5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1</w:t>
      </w:r>
      <w:r w:rsidRPr="009118AB">
        <w:rPr>
          <w:i/>
          <w:iCs/>
        </w:rPr>
        <w:t xml:space="preserve"> abgeändert durch </w:t>
      </w:r>
      <w:r w:rsidR="00D67EB8" w:rsidRPr="009118AB">
        <w:rPr>
          <w:i/>
          <w:iCs/>
        </w:rPr>
        <w:t>Art. </w:t>
      </w:r>
      <w:r w:rsidRPr="009118AB">
        <w:rPr>
          <w:i/>
          <w:iCs/>
        </w:rPr>
        <w:t xml:space="preserve">2 </w:t>
      </w:r>
      <w:r w:rsidR="00D67EB8" w:rsidRPr="009118AB">
        <w:rPr>
          <w:i/>
          <w:iCs/>
        </w:rPr>
        <w:t>Nr. </w:t>
      </w:r>
      <w:r w:rsidRPr="009118AB">
        <w:rPr>
          <w:i/>
          <w:iCs/>
        </w:rPr>
        <w:t>25 des G. vom 26. Mai</w:t>
      </w:r>
      <w:r w:rsidR="00252578" w:rsidRPr="009118AB">
        <w:rPr>
          <w:i/>
          <w:iCs/>
        </w:rPr>
        <w:t>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5 </w:t>
      </w:r>
      <w:r w:rsidR="00D67EB8" w:rsidRPr="009118AB">
        <w:rPr>
          <w:i/>
          <w:iCs/>
        </w:rPr>
        <w:t>Abs. </w:t>
      </w:r>
      <w:r w:rsidRPr="009118AB">
        <w:rPr>
          <w:i/>
          <w:iCs/>
        </w:rPr>
        <w:t xml:space="preserve">2 abgeändert durch </w:t>
      </w:r>
      <w:r w:rsidR="00D67EB8" w:rsidRPr="009118AB">
        <w:rPr>
          <w:i/>
          <w:iCs/>
        </w:rPr>
        <w:t>Art. </w:t>
      </w:r>
      <w:r w:rsidRPr="009118AB">
        <w:rPr>
          <w:i/>
          <w:iCs/>
        </w:rPr>
        <w:t xml:space="preserve">2 </w:t>
      </w:r>
      <w:r w:rsidR="00D67EB8" w:rsidRPr="009118AB">
        <w:rPr>
          <w:i/>
          <w:iCs/>
        </w:rPr>
        <w:t>Nr. </w:t>
      </w:r>
      <w:r w:rsidRPr="009118AB">
        <w:rPr>
          <w:i/>
          <w:iCs/>
        </w:rPr>
        <w:t>26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6 ersetzt durch </w:t>
      </w:r>
      <w:r w:rsidR="00D67EB8" w:rsidRPr="009118AB">
        <w:rPr>
          <w:i/>
          <w:iCs/>
        </w:rPr>
        <w:t>Art. </w:t>
      </w:r>
      <w:r w:rsidRPr="009118AB">
        <w:rPr>
          <w:i/>
          <w:iCs/>
        </w:rPr>
        <w:t>8 des G. vom 12. Mai 2014 (I) (B.S. vom 27. Mai 2014)</w:t>
      </w:r>
      <w:r w:rsidR="00D67EB8" w:rsidRPr="009118AB">
        <w:rPr>
          <w:i/>
          <w:iCs/>
        </w:rPr>
        <w:t> - </w:t>
      </w:r>
      <w:r w:rsidRPr="009118AB">
        <w:rPr>
          <w:i/>
          <w:iCs/>
        </w:rPr>
        <w:t>in Kraft am 1. Januar 2015</w:t>
      </w:r>
      <w:r w:rsidR="00D67EB8" w:rsidRPr="009118AB">
        <w:rPr>
          <w:i/>
          <w:iCs/>
        </w:rPr>
        <w:t> - </w:t>
      </w:r>
      <w:r w:rsidRPr="009118AB">
        <w:rPr>
          <w:i/>
          <w:iCs/>
        </w:rPr>
        <w:t xml:space="preserve">und abgeändert durch </w:t>
      </w:r>
      <w:r w:rsidR="00D67EB8" w:rsidRPr="009118AB">
        <w:rPr>
          <w:i/>
          <w:iCs/>
        </w:rPr>
        <w:t>Art. </w:t>
      </w:r>
      <w:r w:rsidRPr="009118AB">
        <w:rPr>
          <w:i/>
          <w:iCs/>
        </w:rPr>
        <w:t xml:space="preserve">2 </w:t>
      </w:r>
      <w:r w:rsidR="00D67EB8" w:rsidRPr="009118AB">
        <w:rPr>
          <w:i/>
          <w:iCs/>
        </w:rPr>
        <w:t>Nr. </w:t>
      </w:r>
      <w:r w:rsidRPr="009118AB">
        <w:rPr>
          <w:i/>
          <w:iCs/>
        </w:rPr>
        <w:t>28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7 eingefügt durch </w:t>
      </w:r>
      <w:r w:rsidR="00D67EB8" w:rsidRPr="009118AB">
        <w:rPr>
          <w:i/>
          <w:iCs/>
        </w:rPr>
        <w:t>Art. </w:t>
      </w:r>
      <w:r w:rsidRPr="009118AB">
        <w:rPr>
          <w:i/>
          <w:iCs/>
        </w:rPr>
        <w:t>9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7 </w:t>
      </w:r>
      <w:r w:rsidR="00D67EB8" w:rsidRPr="009118AB">
        <w:rPr>
          <w:i/>
          <w:iCs/>
        </w:rPr>
        <w:t>Abs. </w:t>
      </w:r>
      <w:r w:rsidRPr="009118AB">
        <w:rPr>
          <w:i/>
          <w:iCs/>
        </w:rPr>
        <w:t xml:space="preserve">1 einleitende Bestimmung abgeändert durch </w:t>
      </w:r>
      <w:r w:rsidR="00D67EB8" w:rsidRPr="009118AB">
        <w:rPr>
          <w:i/>
          <w:iCs/>
        </w:rPr>
        <w:t>Art. </w:t>
      </w:r>
      <w:r w:rsidRPr="009118AB">
        <w:rPr>
          <w:i/>
          <w:iCs/>
        </w:rPr>
        <w:t xml:space="preserve">2 </w:t>
      </w:r>
      <w:r w:rsidR="00D67EB8" w:rsidRPr="009118AB">
        <w:rPr>
          <w:i/>
          <w:iCs/>
        </w:rPr>
        <w:t>Nr. </w:t>
      </w:r>
      <w:r w:rsidRPr="009118AB">
        <w:rPr>
          <w:i/>
          <w:iCs/>
        </w:rPr>
        <w:t>29 des G. vom 26. Mai 2016 (B.S. vom 7. Juni 2016)</w:t>
      </w:r>
      <w:r w:rsidR="00D67EB8" w:rsidRPr="009118AB">
        <w:rPr>
          <w:i/>
          <w:iCs/>
        </w:rPr>
        <w:t> - </w:t>
      </w:r>
      <w:r w:rsidRPr="009118AB">
        <w:rPr>
          <w:i/>
          <w:iCs/>
        </w:rPr>
        <w:t>anwendbar auf die ab dem 1. Juli 2016 unterzeichneten Rahmenüber</w:t>
      </w:r>
      <w:r w:rsidR="00E2782D" w:rsidRPr="009118AB">
        <w:rPr>
          <w:i/>
          <w:iCs/>
        </w:rPr>
        <w:softHyphen/>
      </w:r>
      <w:r w:rsidRPr="009118AB">
        <w:rPr>
          <w:i/>
          <w:iCs/>
        </w:rPr>
        <w:t>einkommen</w:t>
      </w:r>
      <w:r w:rsidR="003366D9" w:rsidRPr="009118AB">
        <w:rPr>
          <w:i/>
          <w:iCs/>
        </w:rPr>
        <w:t> -;</w:t>
      </w:r>
      <w:r w:rsidRPr="009118AB">
        <w:rPr>
          <w:i/>
          <w:iCs/>
        </w:rPr>
        <w:t xml:space="preserve"> </w:t>
      </w:r>
      <w:r w:rsidR="00D67EB8" w:rsidRPr="009118AB">
        <w:rPr>
          <w:i/>
          <w:iCs/>
        </w:rPr>
        <w:t>§ </w:t>
      </w:r>
      <w:r w:rsidRPr="009118AB">
        <w:rPr>
          <w:i/>
          <w:iCs/>
        </w:rPr>
        <w:t xml:space="preserve">7 </w:t>
      </w:r>
      <w:r w:rsidR="00D67EB8" w:rsidRPr="009118AB">
        <w:rPr>
          <w:i/>
          <w:iCs/>
        </w:rPr>
        <w:t>Abs. </w:t>
      </w:r>
      <w:r w:rsidRPr="009118AB">
        <w:rPr>
          <w:i/>
          <w:iCs/>
        </w:rPr>
        <w:t xml:space="preserve">1 </w:t>
      </w:r>
      <w:r w:rsidR="00D67EB8" w:rsidRPr="009118AB">
        <w:rPr>
          <w:i/>
          <w:iCs/>
        </w:rPr>
        <w:t>Nr. </w:t>
      </w:r>
      <w:r w:rsidRPr="009118AB">
        <w:rPr>
          <w:i/>
          <w:iCs/>
        </w:rPr>
        <w:t xml:space="preserve">1 abgeändert durch </w:t>
      </w:r>
      <w:r w:rsidR="00D67EB8" w:rsidRPr="009118AB">
        <w:rPr>
          <w:i/>
          <w:iCs/>
        </w:rPr>
        <w:t>Art. </w:t>
      </w:r>
      <w:r w:rsidRPr="009118AB">
        <w:rPr>
          <w:i/>
          <w:iCs/>
        </w:rPr>
        <w:t xml:space="preserve">2 </w:t>
      </w:r>
      <w:r w:rsidR="00D67EB8" w:rsidRPr="009118AB">
        <w:rPr>
          <w:i/>
          <w:iCs/>
        </w:rPr>
        <w:t>Nr. </w:t>
      </w:r>
      <w:r w:rsidRPr="009118AB">
        <w:rPr>
          <w:i/>
          <w:iCs/>
        </w:rPr>
        <w:t>30 des G. vom 26. Mai 2016 (B.S. vom 7. Juni 2016)</w:t>
      </w:r>
      <w:r w:rsidR="00D67EB8" w:rsidRPr="009118AB">
        <w:rPr>
          <w:i/>
          <w:iCs/>
        </w:rPr>
        <w:t> - </w:t>
      </w:r>
      <w:r w:rsidRPr="009118AB">
        <w:rPr>
          <w:i/>
          <w:iCs/>
        </w:rPr>
        <w:t>anwendbar auf die ab dem 1. Juli 2016 unterzeichneten Rahmenüber</w:t>
      </w:r>
      <w:r w:rsidR="00E2782D" w:rsidRPr="009118AB">
        <w:rPr>
          <w:i/>
          <w:iCs/>
        </w:rPr>
        <w:softHyphen/>
      </w:r>
      <w:r w:rsidRPr="009118AB">
        <w:rPr>
          <w:i/>
          <w:iCs/>
        </w:rPr>
        <w:t>einkommen</w:t>
      </w:r>
      <w:r w:rsidR="003366D9" w:rsidRPr="009118AB">
        <w:rPr>
          <w:i/>
          <w:iCs/>
        </w:rPr>
        <w:t> -;</w:t>
      </w:r>
      <w:r w:rsidRPr="009118AB">
        <w:rPr>
          <w:i/>
          <w:iCs/>
        </w:rPr>
        <w:t xml:space="preserve"> </w:t>
      </w:r>
      <w:r w:rsidR="005D6439" w:rsidRPr="009118AB">
        <w:rPr>
          <w:i/>
          <w:iCs/>
        </w:rPr>
        <w:t>§ 7 Abs. 1 Nr. 2 abgeändert durch Art. </w:t>
      </w:r>
      <w:r w:rsidR="005D6439" w:rsidRPr="009118AB">
        <w:rPr>
          <w:i/>
          <w:iCs/>
          <w:spacing w:val="-2"/>
        </w:rPr>
        <w:t>17 Nr. 13 des G. vom 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 (B.S. vom 15.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w:t>
      </w:r>
      <w:r w:rsidR="00EE5AB1" w:rsidRPr="009118AB">
        <w:rPr>
          <w:i/>
          <w:iCs/>
          <w:spacing w:val="-2"/>
        </w:rPr>
        <w:t> </w:t>
      </w:r>
      <w:r w:rsidR="005D6439" w:rsidRPr="009118AB">
        <w:rPr>
          <w:i/>
          <w:iCs/>
          <w:spacing w:val="-2"/>
        </w:rPr>
        <w:t>-</w:t>
      </w:r>
      <w:r w:rsidR="00EE5AB1" w:rsidRPr="009118AB">
        <w:rPr>
          <w:i/>
          <w:iCs/>
          <w:spacing w:val="-2"/>
        </w:rPr>
        <w:t> </w:t>
      </w:r>
      <w:r w:rsidR="005D6439"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118AB">
        <w:rPr>
          <w:i/>
          <w:iCs/>
          <w:spacing w:val="-2"/>
        </w:rPr>
        <w:t xml:space="preserve"> erfolgt</w:t>
      </w:r>
      <w:r w:rsidR="005D6439" w:rsidRPr="009118AB">
        <w:rPr>
          <w:i/>
          <w:iCs/>
          <w:spacing w:val="-2"/>
        </w:rPr>
        <w:t xml:space="preserve"> -; </w:t>
      </w:r>
      <w:r w:rsidR="00D67EB8" w:rsidRPr="009118AB">
        <w:rPr>
          <w:i/>
          <w:iCs/>
        </w:rPr>
        <w:t>§ </w:t>
      </w:r>
      <w:r w:rsidRPr="009118AB">
        <w:rPr>
          <w:i/>
          <w:iCs/>
        </w:rPr>
        <w:t xml:space="preserve">7 </w:t>
      </w:r>
      <w:r w:rsidR="00D67EB8" w:rsidRPr="009118AB">
        <w:rPr>
          <w:i/>
          <w:iCs/>
        </w:rPr>
        <w:t>Abs. </w:t>
      </w:r>
      <w:r w:rsidRPr="009118AB">
        <w:rPr>
          <w:i/>
          <w:iCs/>
        </w:rPr>
        <w:t xml:space="preserve">1 </w:t>
      </w:r>
      <w:r w:rsidR="00D67EB8" w:rsidRPr="009118AB">
        <w:rPr>
          <w:i/>
          <w:iCs/>
        </w:rPr>
        <w:t>Nr. </w:t>
      </w:r>
      <w:r w:rsidRPr="009118AB">
        <w:rPr>
          <w:i/>
          <w:iCs/>
        </w:rPr>
        <w:t xml:space="preserve">3 einziger Absatz einleitende Bestimmung abgeändert durch </w:t>
      </w:r>
      <w:r w:rsidR="00D67EB8" w:rsidRPr="009118AB">
        <w:rPr>
          <w:i/>
          <w:iCs/>
        </w:rPr>
        <w:t>Art. </w:t>
      </w:r>
      <w:r w:rsidRPr="009118AB">
        <w:rPr>
          <w:i/>
          <w:iCs/>
        </w:rPr>
        <w:t xml:space="preserve">2 </w:t>
      </w:r>
      <w:r w:rsidR="00D67EB8" w:rsidRPr="009118AB">
        <w:rPr>
          <w:i/>
          <w:iCs/>
        </w:rPr>
        <w:t>Nr. </w:t>
      </w:r>
      <w:r w:rsidRPr="009118AB">
        <w:rPr>
          <w:i/>
          <w:iCs/>
        </w:rPr>
        <w:t xml:space="preserve">32 einziger Absatz </w:t>
      </w:r>
      <w:r w:rsidR="00D67EB8" w:rsidRPr="009118AB">
        <w:rPr>
          <w:i/>
          <w:iCs/>
        </w:rPr>
        <w:t>Nr. </w:t>
      </w:r>
      <w:r w:rsidRPr="009118AB">
        <w:rPr>
          <w:i/>
          <w:iCs/>
        </w:rPr>
        <w:t>1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7 </w:t>
      </w:r>
      <w:r w:rsidR="00D67EB8" w:rsidRPr="009118AB">
        <w:rPr>
          <w:i/>
          <w:iCs/>
        </w:rPr>
        <w:t>Abs. </w:t>
      </w:r>
      <w:r w:rsidRPr="009118AB">
        <w:rPr>
          <w:i/>
          <w:iCs/>
        </w:rPr>
        <w:t xml:space="preserve">1 </w:t>
      </w:r>
      <w:r w:rsidR="00D67EB8" w:rsidRPr="009118AB">
        <w:rPr>
          <w:i/>
          <w:iCs/>
        </w:rPr>
        <w:t>Nr. </w:t>
      </w:r>
      <w:r w:rsidRPr="009118AB">
        <w:rPr>
          <w:i/>
          <w:iCs/>
        </w:rPr>
        <w:t xml:space="preserve">3 einziger Absatz erster Gedankenstrich abgeändert durch </w:t>
      </w:r>
      <w:r w:rsidR="00D67EB8" w:rsidRPr="009118AB">
        <w:rPr>
          <w:i/>
          <w:iCs/>
        </w:rPr>
        <w:t>Art. </w:t>
      </w:r>
      <w:r w:rsidRPr="009118AB">
        <w:rPr>
          <w:i/>
          <w:iCs/>
        </w:rPr>
        <w:t xml:space="preserve">2 </w:t>
      </w:r>
      <w:r w:rsidR="00D67EB8" w:rsidRPr="009118AB">
        <w:rPr>
          <w:i/>
          <w:iCs/>
        </w:rPr>
        <w:t>Nr. </w:t>
      </w:r>
      <w:r w:rsidRPr="009118AB">
        <w:rPr>
          <w:i/>
          <w:iCs/>
        </w:rPr>
        <w:t xml:space="preserve">32 einziger Absatz </w:t>
      </w:r>
      <w:r w:rsidR="00D67EB8" w:rsidRPr="009118AB">
        <w:rPr>
          <w:i/>
          <w:iCs/>
        </w:rPr>
        <w:t>Nr. </w:t>
      </w:r>
      <w:r w:rsidRPr="009118AB">
        <w:rPr>
          <w:i/>
          <w:iCs/>
        </w:rPr>
        <w:t>2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7 </w:t>
      </w:r>
      <w:r w:rsidR="00D67EB8" w:rsidRPr="009118AB">
        <w:rPr>
          <w:i/>
          <w:iCs/>
        </w:rPr>
        <w:t>Abs. </w:t>
      </w:r>
      <w:r w:rsidRPr="009118AB">
        <w:rPr>
          <w:i/>
          <w:iCs/>
        </w:rPr>
        <w:t xml:space="preserve">1 </w:t>
      </w:r>
      <w:r w:rsidR="00D67EB8" w:rsidRPr="009118AB">
        <w:rPr>
          <w:i/>
          <w:iCs/>
        </w:rPr>
        <w:t>Nr. </w:t>
      </w:r>
      <w:r w:rsidRPr="009118AB">
        <w:rPr>
          <w:i/>
          <w:iCs/>
        </w:rPr>
        <w:t xml:space="preserve">3bis eingefügt durch </w:t>
      </w:r>
      <w:r w:rsidR="00D67EB8" w:rsidRPr="009118AB">
        <w:rPr>
          <w:i/>
          <w:iCs/>
        </w:rPr>
        <w:t>Art. </w:t>
      </w:r>
      <w:r w:rsidRPr="009118AB">
        <w:rPr>
          <w:i/>
          <w:iCs/>
        </w:rPr>
        <w:t xml:space="preserve">2 </w:t>
      </w:r>
      <w:r w:rsidR="00D67EB8" w:rsidRPr="009118AB">
        <w:rPr>
          <w:i/>
          <w:iCs/>
        </w:rPr>
        <w:t>Nr. </w:t>
      </w:r>
      <w:r w:rsidRPr="009118AB">
        <w:rPr>
          <w:i/>
          <w:iCs/>
        </w:rPr>
        <w:t>33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7 </w:t>
      </w:r>
      <w:r w:rsidR="00D67EB8" w:rsidRPr="009118AB">
        <w:rPr>
          <w:i/>
          <w:iCs/>
        </w:rPr>
        <w:t>Abs. </w:t>
      </w:r>
      <w:r w:rsidRPr="009118AB">
        <w:rPr>
          <w:i/>
          <w:iCs/>
        </w:rPr>
        <w:t xml:space="preserve">1 </w:t>
      </w:r>
      <w:r w:rsidR="00D67EB8" w:rsidRPr="009118AB">
        <w:rPr>
          <w:i/>
          <w:iCs/>
        </w:rPr>
        <w:t>Nr. </w:t>
      </w:r>
      <w:r w:rsidRPr="009118AB">
        <w:rPr>
          <w:i/>
          <w:iCs/>
        </w:rPr>
        <w:t xml:space="preserve">4 ersetzt durch </w:t>
      </w:r>
      <w:r w:rsidR="00D67EB8" w:rsidRPr="009118AB">
        <w:rPr>
          <w:i/>
          <w:iCs/>
        </w:rPr>
        <w:t>Art. </w:t>
      </w:r>
      <w:r w:rsidRPr="009118AB">
        <w:rPr>
          <w:i/>
          <w:iCs/>
        </w:rPr>
        <w:t xml:space="preserve">2 </w:t>
      </w:r>
      <w:r w:rsidR="00D67EB8" w:rsidRPr="009118AB">
        <w:rPr>
          <w:i/>
          <w:iCs/>
        </w:rPr>
        <w:t>Nr. </w:t>
      </w:r>
      <w:r w:rsidRPr="009118AB">
        <w:rPr>
          <w:i/>
          <w:iCs/>
        </w:rPr>
        <w:t>33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7 </w:t>
      </w:r>
      <w:r w:rsidR="00D67EB8" w:rsidRPr="009118AB">
        <w:rPr>
          <w:i/>
          <w:iCs/>
        </w:rPr>
        <w:t>Abs. </w:t>
      </w:r>
      <w:r w:rsidRPr="009118AB">
        <w:rPr>
          <w:i/>
          <w:iCs/>
        </w:rPr>
        <w:t xml:space="preserve">1 </w:t>
      </w:r>
      <w:r w:rsidR="00D67EB8" w:rsidRPr="009118AB">
        <w:rPr>
          <w:i/>
          <w:iCs/>
        </w:rPr>
        <w:t>Nr. </w:t>
      </w:r>
      <w:r w:rsidRPr="009118AB">
        <w:rPr>
          <w:i/>
          <w:iCs/>
        </w:rPr>
        <w:t xml:space="preserve">4bis eingefügt durch </w:t>
      </w:r>
      <w:r w:rsidR="00D67EB8" w:rsidRPr="009118AB">
        <w:rPr>
          <w:i/>
          <w:iCs/>
        </w:rPr>
        <w:t>Art. </w:t>
      </w:r>
      <w:r w:rsidRPr="009118AB">
        <w:rPr>
          <w:i/>
          <w:iCs/>
        </w:rPr>
        <w:t xml:space="preserve">2 </w:t>
      </w:r>
      <w:r w:rsidR="00D67EB8" w:rsidRPr="009118AB">
        <w:rPr>
          <w:i/>
          <w:iCs/>
        </w:rPr>
        <w:t>Nr. </w:t>
      </w:r>
      <w:r w:rsidRPr="009118AB">
        <w:rPr>
          <w:i/>
          <w:iCs/>
        </w:rPr>
        <w:t>33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7 </w:t>
      </w:r>
      <w:r w:rsidR="00D67EB8" w:rsidRPr="009118AB">
        <w:rPr>
          <w:i/>
          <w:iCs/>
        </w:rPr>
        <w:t>Abs. </w:t>
      </w:r>
      <w:r w:rsidRPr="009118AB">
        <w:rPr>
          <w:i/>
          <w:iCs/>
        </w:rPr>
        <w:t xml:space="preserve">4 abgeändert durch </w:t>
      </w:r>
      <w:r w:rsidR="00D67EB8" w:rsidRPr="009118AB">
        <w:rPr>
          <w:i/>
          <w:iCs/>
        </w:rPr>
        <w:t>Art. </w:t>
      </w:r>
      <w:r w:rsidRPr="009118AB">
        <w:rPr>
          <w:i/>
          <w:iCs/>
        </w:rPr>
        <w:t xml:space="preserve">30 </w:t>
      </w:r>
      <w:r w:rsidR="00D67EB8" w:rsidRPr="009118AB">
        <w:rPr>
          <w:i/>
          <w:iCs/>
        </w:rPr>
        <w:t>Nr. </w:t>
      </w:r>
      <w:r w:rsidRPr="009118AB">
        <w:rPr>
          <w:i/>
          <w:iCs/>
        </w:rPr>
        <w:t>5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D67EB8" w:rsidRPr="009118AB">
        <w:rPr>
          <w:i/>
          <w:iCs/>
        </w:rPr>
        <w:t> - </w:t>
      </w:r>
      <w:r w:rsidR="00C80771" w:rsidRPr="009118AB">
        <w:rPr>
          <w:i/>
          <w:iCs/>
        </w:rPr>
        <w:t xml:space="preserve">und </w:t>
      </w:r>
      <w:r w:rsidR="00D67EB8" w:rsidRPr="009118AB">
        <w:rPr>
          <w:i/>
          <w:iCs/>
        </w:rPr>
        <w:t>Art. </w:t>
      </w:r>
      <w:r w:rsidR="00C80771" w:rsidRPr="009118AB">
        <w:rPr>
          <w:i/>
          <w:iCs/>
        </w:rPr>
        <w:t xml:space="preserve">30 </w:t>
      </w:r>
      <w:r w:rsidR="00D67EB8" w:rsidRPr="009118AB">
        <w:rPr>
          <w:i/>
          <w:iCs/>
        </w:rPr>
        <w:t>Nr. </w:t>
      </w:r>
      <w:r w:rsidR="00C80771" w:rsidRPr="009118AB">
        <w:rPr>
          <w:i/>
          <w:iCs/>
        </w:rPr>
        <w:t>6 des G. vom 25. Dezember 2017 (III)</w:t>
      </w:r>
      <w:r w:rsidR="009D36CC" w:rsidRPr="009118AB">
        <w:rPr>
          <w:i/>
          <w:iCs/>
        </w:rPr>
        <w:t xml:space="preserve"> (B.S. vom 29. Dezember 2017)</w:t>
      </w:r>
      <w:r w:rsidR="00D67EB8" w:rsidRPr="009118AB">
        <w:rPr>
          <w:i/>
          <w:iCs/>
        </w:rPr>
        <w:t> - </w:t>
      </w:r>
      <w:r w:rsidR="00C80771" w:rsidRPr="009118AB">
        <w:rPr>
          <w:i/>
          <w:iCs/>
        </w:rPr>
        <w:t>in Kraft am 1. Januar 2020 und anwendbar ab dem Steuerjahr 2021, das sich auf einen Besteuerungszeitraum bezieht, der frühestens am 1. Januar 2020 beginnt</w:t>
      </w:r>
      <w:r w:rsidR="003366D9" w:rsidRPr="009118AB">
        <w:rPr>
          <w:i/>
          <w:iCs/>
        </w:rPr>
        <w:t> -;</w:t>
      </w:r>
      <w:r w:rsidR="00E951F6" w:rsidRPr="009118AB">
        <w:rPr>
          <w:i/>
          <w:iCs/>
        </w:rPr>
        <w:t xml:space="preserve"> </w:t>
      </w:r>
      <w:r w:rsidR="00D67EB8" w:rsidRPr="009118AB">
        <w:rPr>
          <w:i/>
          <w:iCs/>
        </w:rPr>
        <w:t>§ </w:t>
      </w:r>
      <w:r w:rsidR="00EC2C95" w:rsidRPr="009118AB">
        <w:rPr>
          <w:i/>
          <w:iCs/>
        </w:rPr>
        <w:t xml:space="preserve">7 neuer Absatz 5 eingefügt durch </w:t>
      </w:r>
      <w:r w:rsidR="00D67EB8" w:rsidRPr="009118AB">
        <w:rPr>
          <w:i/>
          <w:iCs/>
        </w:rPr>
        <w:t>Art. </w:t>
      </w:r>
      <w:r w:rsidR="00EC2C95" w:rsidRPr="009118AB">
        <w:rPr>
          <w:i/>
          <w:iCs/>
        </w:rPr>
        <w:t xml:space="preserve">53 </w:t>
      </w:r>
      <w:r w:rsidR="00D67EB8" w:rsidRPr="009118AB">
        <w:rPr>
          <w:i/>
          <w:iCs/>
        </w:rPr>
        <w:t>Nr. </w:t>
      </w:r>
      <w:r w:rsidR="00EC2C95" w:rsidRPr="009118AB">
        <w:rPr>
          <w:i/>
          <w:iCs/>
        </w:rPr>
        <w:t>4</w:t>
      </w:r>
      <w:r w:rsidR="00EC2C95" w:rsidRPr="009118AB">
        <w:rPr>
          <w:i/>
          <w:spacing w:val="-2"/>
        </w:rPr>
        <w:t xml:space="preserve"> </w:t>
      </w:r>
      <w:r w:rsidR="00EC2C95" w:rsidRPr="009118AB">
        <w:rPr>
          <w:i/>
          <w:iCs/>
          <w:spacing w:val="2"/>
        </w:rPr>
        <w:t>des G. vom 28. April 2019 (B.S. vom 6. Mai 2019)</w:t>
      </w:r>
      <w:r w:rsidR="00D67EB8" w:rsidRPr="009118AB">
        <w:rPr>
          <w:i/>
          <w:iCs/>
          <w:spacing w:val="2"/>
        </w:rPr>
        <w:t> - </w:t>
      </w:r>
      <w:r w:rsidR="00EC2C95" w:rsidRPr="009118AB">
        <w:rPr>
          <w:i/>
          <w:iCs/>
          <w:spacing w:val="2"/>
        </w:rPr>
        <w:t>wirksam mit 1. Januar 2018 und anwendbar ab dem Steuerjahr 2019, das sich auf einen Besteuerungszeitraum bezieht, der frühestens am 1. Januar 2018 beginnt</w:t>
      </w:r>
      <w:r w:rsidR="003366D9" w:rsidRPr="009118AB">
        <w:rPr>
          <w:i/>
          <w:iCs/>
          <w:spacing w:val="2"/>
        </w:rPr>
        <w:t> -;</w:t>
      </w:r>
      <w:r w:rsidR="00EC2C95" w:rsidRPr="009118AB">
        <w:rPr>
          <w:i/>
          <w:iCs/>
          <w:spacing w:val="2"/>
        </w:rPr>
        <w:t xml:space="preserve"> </w:t>
      </w:r>
      <w:r w:rsidR="00D67EB8" w:rsidRPr="009118AB">
        <w:rPr>
          <w:i/>
          <w:iCs/>
        </w:rPr>
        <w:t>§ </w:t>
      </w:r>
      <w:r w:rsidRPr="009118AB">
        <w:rPr>
          <w:i/>
          <w:iCs/>
        </w:rPr>
        <w:t xml:space="preserve">7 </w:t>
      </w:r>
      <w:r w:rsidR="00EC2C95" w:rsidRPr="009118AB">
        <w:rPr>
          <w:i/>
          <w:iCs/>
        </w:rPr>
        <w:t>früherer Absatz </w:t>
      </w:r>
      <w:r w:rsidR="00AB4DE0">
        <w:rPr>
          <w:i/>
          <w:iCs/>
        </w:rPr>
        <w:t>6</w:t>
      </w:r>
      <w:r w:rsidR="00EC2C95" w:rsidRPr="009118AB">
        <w:rPr>
          <w:i/>
          <w:iCs/>
        </w:rPr>
        <w:t xml:space="preserve"> </w:t>
      </w:r>
      <w:r w:rsidR="00AB4DE0">
        <w:rPr>
          <w:i/>
          <w:iCs/>
        </w:rPr>
        <w:t>aufgehoben durch Art. 33</w:t>
      </w:r>
      <w:r w:rsidR="00AB4DE0" w:rsidRPr="00AB4DE0">
        <w:rPr>
          <w:i/>
          <w:iCs/>
        </w:rPr>
        <w:t xml:space="preserve"> des G. vom 22. Dezember 2023</w:t>
      </w:r>
      <w:r w:rsidR="00552005" w:rsidRPr="00552005">
        <w:rPr>
          <w:i/>
          <w:iCs/>
        </w:rPr>
        <w:t> (I)</w:t>
      </w:r>
      <w:r w:rsidR="00AB4DE0" w:rsidRPr="00AB4DE0">
        <w:rPr>
          <w:i/>
          <w:iCs/>
        </w:rPr>
        <w:t xml:space="preserve"> (B.S. vom 29. Dezember 2023) - anwendbar a</w:t>
      </w:r>
      <w:r w:rsidR="00712CA5">
        <w:rPr>
          <w:i/>
          <w:iCs/>
        </w:rPr>
        <w:t>b</w:t>
      </w:r>
      <w:r w:rsidR="00AB4DE0" w:rsidRPr="00AB4DE0">
        <w:rPr>
          <w:i/>
          <w:iCs/>
        </w:rPr>
        <w:t xml:space="preserve"> dem Steuerjahr 2024 -</w:t>
      </w:r>
      <w:r w:rsidR="003366D9" w:rsidRPr="009118AB">
        <w:rPr>
          <w:i/>
          <w:iCs/>
          <w:spacing w:val="2"/>
        </w:rPr>
        <w:t>;</w:t>
      </w:r>
      <w:r w:rsidR="00EC2C95"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EC2C95" w:rsidRPr="009118AB">
        <w:rPr>
          <w:rFonts w:ascii="Times New Roman Italique" w:hAnsi="Times New Roman Italique"/>
          <w:i/>
          <w:iCs/>
          <w:spacing w:val="2"/>
        </w:rPr>
        <w:t xml:space="preserve">7 </w:t>
      </w:r>
      <w:r w:rsidR="00D67EB8" w:rsidRPr="009118AB">
        <w:rPr>
          <w:rFonts w:ascii="Times New Roman Italique" w:hAnsi="Times New Roman Italique"/>
          <w:i/>
          <w:iCs/>
          <w:spacing w:val="2"/>
        </w:rPr>
        <w:t>Abs. </w:t>
      </w:r>
      <w:r w:rsidR="006166BA">
        <w:rPr>
          <w:rFonts w:ascii="Times New Roman Italique" w:hAnsi="Times New Roman Italique"/>
          <w:i/>
          <w:iCs/>
          <w:spacing w:val="2"/>
        </w:rPr>
        <w:t>6 (früherer Absatz</w:t>
      </w:r>
      <w:r w:rsidR="006166BA">
        <w:rPr>
          <w:rFonts w:ascii="Times New Roman Italique" w:hAnsi="Times New Roman Italique" w:hint="eastAsia"/>
          <w:i/>
          <w:iCs/>
          <w:spacing w:val="2"/>
        </w:rPr>
        <w:t> </w:t>
      </w:r>
      <w:r w:rsidR="00EC2C95" w:rsidRPr="009118AB">
        <w:rPr>
          <w:rFonts w:ascii="Times New Roman Italique" w:hAnsi="Times New Roman Italique"/>
          <w:i/>
          <w:iCs/>
          <w:spacing w:val="2"/>
        </w:rPr>
        <w:t>7</w:t>
      </w:r>
      <w:r w:rsidR="006166BA">
        <w:rPr>
          <w:rFonts w:ascii="Times New Roman Italique" w:hAnsi="Times New Roman Italique"/>
          <w:i/>
          <w:iCs/>
          <w:spacing w:val="2"/>
        </w:rPr>
        <w:t>)</w:t>
      </w:r>
      <w:r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36 des G. vom 26. Mai</w:t>
      </w:r>
      <w:r w:rsidR="00283038" w:rsidRPr="009118AB">
        <w:rPr>
          <w:rFonts w:ascii="Times New Roman Italique" w:hAnsi="Times New Roman Italique"/>
          <w:i/>
          <w:iCs/>
          <w:spacing w:val="2"/>
        </w:rPr>
        <w:t> 2016 (B.S. vom 7. Juni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2016 unterzeichneten Rahmenüber</w:t>
      </w:r>
      <w:r w:rsidR="00E2782D" w:rsidRPr="009118AB">
        <w:rPr>
          <w:rFonts w:ascii="Times New Roman Italique" w:hAnsi="Times New Roman Italique"/>
          <w:i/>
          <w:iCs/>
          <w:spacing w:val="2"/>
        </w:rPr>
        <w:softHyphen/>
      </w:r>
      <w:r w:rsidR="00E951F6" w:rsidRPr="009118AB">
        <w:rPr>
          <w:rFonts w:ascii="Times New Roman Italique" w:hAnsi="Times New Roman Italique"/>
          <w:i/>
          <w:iCs/>
          <w:spacing w:val="2"/>
        </w:rPr>
        <w:t>einkommen</w:t>
      </w:r>
      <w:r w:rsidR="003366D9" w:rsidRPr="009118AB">
        <w:rPr>
          <w:rFonts w:ascii="Times New Roman Italique" w:hAnsi="Times New Roman Italique"/>
          <w:i/>
          <w:iCs/>
          <w:spacing w:val="2"/>
        </w:rPr>
        <w:t> -</w:t>
      </w:r>
      <w:r w:rsidR="005D6439" w:rsidRPr="009118AB">
        <w:rPr>
          <w:rFonts w:ascii="Times New Roman Italique" w:hAnsi="Times New Roman Italique"/>
          <w:i/>
          <w:iCs/>
          <w:spacing w:val="2"/>
        </w:rPr>
        <w:t xml:space="preserve"> und abgeändert durch Art. </w:t>
      </w:r>
      <w:r w:rsidR="005D6439" w:rsidRPr="009118AB">
        <w:rPr>
          <w:i/>
          <w:iCs/>
          <w:spacing w:val="-2"/>
        </w:rPr>
        <w:t>17 Nr. 14 des G. vom 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 (B.S. vom 15.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w:t>
      </w:r>
      <w:r w:rsidR="00EE5AB1" w:rsidRPr="009118AB">
        <w:rPr>
          <w:i/>
          <w:iCs/>
          <w:spacing w:val="-2"/>
        </w:rPr>
        <w:t> </w:t>
      </w:r>
      <w:r w:rsidR="005D6439" w:rsidRPr="009118AB">
        <w:rPr>
          <w:i/>
          <w:iCs/>
          <w:spacing w:val="-2"/>
        </w:rPr>
        <w:t>-</w:t>
      </w:r>
      <w:r w:rsidR="00EE5AB1" w:rsidRPr="009118AB">
        <w:rPr>
          <w:i/>
          <w:iCs/>
          <w:spacing w:val="-2"/>
        </w:rPr>
        <w:t> </w:t>
      </w:r>
      <w:r w:rsidR="005D6439" w:rsidRPr="009118AB">
        <w:rPr>
          <w:i/>
          <w:iCs/>
          <w:spacing w:val="-2"/>
        </w:rPr>
        <w:t xml:space="preserve">anwendbar auf Rahmenübereinkommen, die in Bezug auf ein in Betracht kommendes Werk unterzeichnet werden, für das die Beantragung der in Artikel 194ter § 7 Nr. 3 </w:t>
      </w:r>
      <w:r w:rsidR="005D6439" w:rsidRPr="009118AB">
        <w:rPr>
          <w:i/>
          <w:iCs/>
          <w:spacing w:val="-2"/>
        </w:rPr>
        <w:lastRenderedPageBreak/>
        <w:t>erster Gedankenstrich des Einkommensteuergesetzbuches 1992 erwähnten Bescheinigung ab dem 1. August 2022</w:t>
      </w:r>
      <w:r w:rsidR="00EE5AB1" w:rsidRPr="009118AB">
        <w:rPr>
          <w:i/>
          <w:iCs/>
          <w:spacing w:val="-2"/>
        </w:rPr>
        <w:t xml:space="preserve"> erfolgt</w:t>
      </w:r>
      <w:r w:rsidR="005D6439" w:rsidRPr="009118AB">
        <w:rPr>
          <w:i/>
          <w:iCs/>
          <w:spacing w:val="-2"/>
        </w:rPr>
        <w:t> -</w:t>
      </w:r>
      <w:r w:rsidR="003366D9" w:rsidRPr="009118AB">
        <w:rPr>
          <w:rFonts w:ascii="Times New Roman Italique" w:hAnsi="Times New Roman Italique"/>
          <w:i/>
          <w:iCs/>
          <w:spacing w:val="2"/>
        </w:rPr>
        <w:t>;</w:t>
      </w:r>
      <w:r w:rsidR="00E951F6" w:rsidRPr="009118AB">
        <w:rPr>
          <w:rFonts w:ascii="Times New Roman Italique" w:hAnsi="Times New Roman Italique"/>
          <w:i/>
          <w:iCs/>
          <w:spacing w:val="2"/>
        </w:rPr>
        <w:t xml:space="preserve"> </w:t>
      </w:r>
      <w:r w:rsidR="00D67EB8" w:rsidRPr="009118AB">
        <w:rPr>
          <w:i/>
          <w:iCs/>
        </w:rPr>
        <w:t>§ </w:t>
      </w:r>
      <w:r w:rsidRPr="009118AB">
        <w:rPr>
          <w:i/>
          <w:iCs/>
        </w:rPr>
        <w:t xml:space="preserve">8 eingefügt durch </w:t>
      </w:r>
      <w:r w:rsidR="00D67EB8" w:rsidRPr="009118AB">
        <w:rPr>
          <w:i/>
          <w:iCs/>
        </w:rPr>
        <w:t>Art. </w:t>
      </w:r>
      <w:r w:rsidRPr="009118AB">
        <w:rPr>
          <w:i/>
          <w:iCs/>
        </w:rPr>
        <w:t>9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8 </w:t>
      </w:r>
      <w:r w:rsidR="00D67EB8" w:rsidRPr="009118AB">
        <w:rPr>
          <w:i/>
          <w:iCs/>
        </w:rPr>
        <w:t>Abs. </w:t>
      </w:r>
      <w:r w:rsidRPr="009118AB">
        <w:rPr>
          <w:i/>
          <w:iCs/>
        </w:rPr>
        <w:t xml:space="preserve">1 erster Gedankenstrich ersetzt durch </w:t>
      </w:r>
      <w:r w:rsidR="00D67EB8" w:rsidRPr="009118AB">
        <w:rPr>
          <w:i/>
          <w:iCs/>
        </w:rPr>
        <w:t>Art. </w:t>
      </w:r>
      <w:r w:rsidRPr="009118AB">
        <w:rPr>
          <w:i/>
          <w:iCs/>
        </w:rPr>
        <w:t xml:space="preserve">2 </w:t>
      </w:r>
      <w:r w:rsidR="00D67EB8" w:rsidRPr="009118AB">
        <w:rPr>
          <w:i/>
          <w:iCs/>
        </w:rPr>
        <w:t>Nr. </w:t>
      </w:r>
      <w:r w:rsidRPr="009118AB">
        <w:rPr>
          <w:i/>
          <w:iCs/>
        </w:rPr>
        <w:t xml:space="preserve">37 des G. vom 26. Mai 2016 (B.S. vom </w:t>
      </w:r>
      <w:r w:rsidRPr="009118AB">
        <w:rPr>
          <w:rFonts w:ascii="Times New Roman Italique" w:hAnsi="Times New Roman Italique"/>
          <w:i/>
          <w:iCs/>
          <w:spacing w:val="2"/>
        </w:rPr>
        <w:t>7. Juni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2016 unterzeichneten Rahmenüberein</w:t>
      </w:r>
      <w:r w:rsidRPr="009118AB">
        <w:rPr>
          <w:rFonts w:ascii="Times New Roman Italique" w:hAnsi="Times New Roman Italique"/>
          <w:i/>
          <w:iCs/>
          <w:spacing w:val="2"/>
        </w:rPr>
        <w:softHyphen/>
        <w:t>kommen</w:t>
      </w:r>
      <w:r w:rsidR="003366D9" w:rsidRPr="009118AB">
        <w:rPr>
          <w:rFonts w:ascii="Times New Roman Italique" w:hAnsi="Times New Roman Italique"/>
          <w:i/>
          <w:iCs/>
          <w:spacing w:val="2"/>
        </w:rPr>
        <w:t> -;</w:t>
      </w:r>
      <w:r w:rsidRPr="009118AB">
        <w:rPr>
          <w:i/>
          <w:iCs/>
        </w:rPr>
        <w:t xml:space="preserve"> </w:t>
      </w:r>
      <w:r w:rsidR="00D67EB8" w:rsidRPr="009118AB">
        <w:rPr>
          <w:i/>
          <w:iCs/>
        </w:rPr>
        <w:t>§ </w:t>
      </w:r>
      <w:r w:rsidRPr="009118AB">
        <w:rPr>
          <w:i/>
          <w:iCs/>
        </w:rPr>
        <w:t xml:space="preserve">8 </w:t>
      </w:r>
      <w:r w:rsidR="00D67EB8" w:rsidRPr="009118AB">
        <w:rPr>
          <w:i/>
          <w:iCs/>
        </w:rPr>
        <w:t>Abs. </w:t>
      </w:r>
      <w:r w:rsidRPr="009118AB">
        <w:rPr>
          <w:i/>
          <w:iCs/>
        </w:rPr>
        <w:t xml:space="preserve">1 zweiter Gedankenstrich abgeändert durch </w:t>
      </w:r>
      <w:r w:rsidR="00D67EB8" w:rsidRPr="009118AB">
        <w:rPr>
          <w:i/>
          <w:iCs/>
        </w:rPr>
        <w:t>Art. </w:t>
      </w:r>
      <w:r w:rsidRPr="009118AB">
        <w:rPr>
          <w:i/>
          <w:iCs/>
        </w:rPr>
        <w:t xml:space="preserve">2 </w:t>
      </w:r>
      <w:r w:rsidR="00D67EB8" w:rsidRPr="009118AB">
        <w:rPr>
          <w:i/>
          <w:iCs/>
        </w:rPr>
        <w:t>Nr. </w:t>
      </w:r>
      <w:r w:rsidRPr="009118AB">
        <w:rPr>
          <w:i/>
          <w:iCs/>
        </w:rPr>
        <w:t>38 des G. vom 26. Mai 2016 (B.S. vom 7. Juni 2016)</w:t>
      </w:r>
      <w:r w:rsidR="00D67EB8" w:rsidRPr="009118AB">
        <w:rPr>
          <w:i/>
          <w:iCs/>
        </w:rPr>
        <w:t> - </w:t>
      </w:r>
      <w:r w:rsidRPr="009118AB">
        <w:rPr>
          <w:i/>
          <w:iCs/>
        </w:rPr>
        <w:t>anwendbar auf die ab dem 1. Juli 2016 unterzeichneten Rahmenübereinkommen</w:t>
      </w:r>
      <w:r w:rsidR="00D67EB8" w:rsidRPr="009118AB">
        <w:rPr>
          <w:i/>
          <w:iCs/>
        </w:rPr>
        <w:t> - </w:t>
      </w:r>
      <w:r w:rsidR="001B53F1" w:rsidRPr="009118AB">
        <w:rPr>
          <w:i/>
          <w:iCs/>
        </w:rPr>
        <w:t xml:space="preserve">und </w:t>
      </w:r>
      <w:r w:rsidR="00D67EB8" w:rsidRPr="009118AB">
        <w:rPr>
          <w:i/>
          <w:iCs/>
        </w:rPr>
        <w:t>Art. </w:t>
      </w:r>
      <w:r w:rsidR="001B53F1" w:rsidRPr="009118AB">
        <w:rPr>
          <w:i/>
          <w:iCs/>
        </w:rPr>
        <w:t xml:space="preserve">16 </w:t>
      </w:r>
      <w:r w:rsidR="00D67EB8" w:rsidRPr="009118AB">
        <w:rPr>
          <w:i/>
          <w:iCs/>
        </w:rPr>
        <w:t>Nr. </w:t>
      </w:r>
      <w:r w:rsidR="001B53F1" w:rsidRPr="009118AB">
        <w:rPr>
          <w:i/>
          <w:iCs/>
        </w:rPr>
        <w:t>2 des G. vom 15. Juli 2020 (B.S. vom 23. Juli 2020)</w:t>
      </w:r>
      <w:r w:rsidR="00D67EB8" w:rsidRPr="009118AB">
        <w:rPr>
          <w:i/>
          <w:iCs/>
        </w:rPr>
        <w:t> - </w:t>
      </w:r>
      <w:r w:rsidR="0043567E" w:rsidRPr="009118AB">
        <w:rPr>
          <w:i/>
          <w:iCs/>
        </w:rPr>
        <w:t xml:space="preserve">in Kraft am 23. Juli 2020 und </w:t>
      </w:r>
      <w:r w:rsidR="001B53F1" w:rsidRPr="009118AB">
        <w:rPr>
          <w:i/>
          <w:iCs/>
        </w:rPr>
        <w:t>anwendbar auf die ab dem 12. März 2020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8 frühere Absätze 2 bis 5 ersetzt durch </w:t>
      </w:r>
      <w:r w:rsidR="00D67EB8" w:rsidRPr="009118AB">
        <w:rPr>
          <w:i/>
          <w:iCs/>
        </w:rPr>
        <w:t>Abs. </w:t>
      </w:r>
      <w:r w:rsidRPr="009118AB">
        <w:rPr>
          <w:i/>
          <w:iCs/>
        </w:rPr>
        <w:t xml:space="preserve">2 bis 4 durch </w:t>
      </w:r>
      <w:r w:rsidR="00D67EB8" w:rsidRPr="009118AB">
        <w:rPr>
          <w:i/>
          <w:iCs/>
        </w:rPr>
        <w:t>Art. </w:t>
      </w:r>
      <w:r w:rsidRPr="009118AB">
        <w:rPr>
          <w:i/>
          <w:iCs/>
        </w:rPr>
        <w:t xml:space="preserve">2 </w:t>
      </w:r>
      <w:r w:rsidR="00D67EB8" w:rsidRPr="009118AB">
        <w:rPr>
          <w:i/>
          <w:iCs/>
        </w:rPr>
        <w:t>Nr. </w:t>
      </w:r>
      <w:r w:rsidRPr="009118AB">
        <w:rPr>
          <w:i/>
          <w:iCs/>
        </w:rPr>
        <w:t>39 des G. vom 26. Mai</w:t>
      </w:r>
      <w:r w:rsidR="00DA621F" w:rsidRPr="009118AB">
        <w:rPr>
          <w:i/>
          <w:iCs/>
        </w:rPr>
        <w:t>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5D6439" w:rsidRPr="009118AB">
        <w:rPr>
          <w:i/>
          <w:iCs/>
        </w:rPr>
        <w:t>§ 8 Abs. 2 abgeändert durch Art. </w:t>
      </w:r>
      <w:r w:rsidR="005D6439" w:rsidRPr="009118AB">
        <w:rPr>
          <w:i/>
          <w:iCs/>
          <w:spacing w:val="-2"/>
        </w:rPr>
        <w:t>17 Nr. 15 des G. vom 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 (B.S. vom 15.</w:t>
      </w:r>
      <w:r w:rsidR="00EE5AB1" w:rsidRPr="009118AB">
        <w:rPr>
          <w:i/>
          <w:iCs/>
          <w:spacing w:val="-2"/>
        </w:rPr>
        <w:t> </w:t>
      </w:r>
      <w:r w:rsidR="005D6439" w:rsidRPr="009118AB">
        <w:rPr>
          <w:i/>
          <w:iCs/>
          <w:spacing w:val="-2"/>
        </w:rPr>
        <w:t>Juli</w:t>
      </w:r>
      <w:r w:rsidR="00EE5AB1" w:rsidRPr="009118AB">
        <w:rPr>
          <w:i/>
          <w:iCs/>
          <w:spacing w:val="-2"/>
        </w:rPr>
        <w:t> </w:t>
      </w:r>
      <w:r w:rsidR="005D6439" w:rsidRPr="009118AB">
        <w:rPr>
          <w:i/>
          <w:iCs/>
          <w:spacing w:val="-2"/>
        </w:rPr>
        <w:t>2022)</w:t>
      </w:r>
      <w:r w:rsidR="00F20E86" w:rsidRPr="009118AB">
        <w:rPr>
          <w:i/>
          <w:iCs/>
          <w:spacing w:val="-2"/>
        </w:rPr>
        <w:t> </w:t>
      </w:r>
      <w:r w:rsidR="005D6439" w:rsidRPr="009118AB">
        <w:rPr>
          <w:i/>
          <w:iCs/>
          <w:spacing w:val="-2"/>
        </w:rPr>
        <w:t>-</w:t>
      </w:r>
      <w:r w:rsidR="00F20E86" w:rsidRPr="009118AB">
        <w:rPr>
          <w:i/>
          <w:iCs/>
          <w:spacing w:val="-2"/>
        </w:rPr>
        <w:t> </w:t>
      </w:r>
      <w:r w:rsidR="005D6439"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118AB">
        <w:rPr>
          <w:i/>
          <w:iCs/>
          <w:spacing w:val="-2"/>
        </w:rPr>
        <w:t xml:space="preserve"> erfolgt</w:t>
      </w:r>
      <w:r w:rsidR="005D6439" w:rsidRPr="009118AB">
        <w:rPr>
          <w:i/>
          <w:iCs/>
          <w:spacing w:val="-2"/>
        </w:rPr>
        <w:t xml:space="preserve"> -; </w:t>
      </w:r>
      <w:r w:rsidR="00D67EB8" w:rsidRPr="009118AB">
        <w:rPr>
          <w:i/>
          <w:iCs/>
        </w:rPr>
        <w:t>§ </w:t>
      </w:r>
      <w:r w:rsidRPr="009118AB">
        <w:rPr>
          <w:i/>
          <w:iCs/>
        </w:rPr>
        <w:t xml:space="preserve">9 eingefügt durch </w:t>
      </w:r>
      <w:r w:rsidR="00D67EB8" w:rsidRPr="009118AB">
        <w:rPr>
          <w:i/>
          <w:iCs/>
        </w:rPr>
        <w:t>Art. </w:t>
      </w:r>
      <w:r w:rsidRPr="009118AB">
        <w:rPr>
          <w:i/>
          <w:iCs/>
        </w:rPr>
        <w:t>9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10 eingefügt durch </w:t>
      </w:r>
      <w:r w:rsidR="00D67EB8" w:rsidRPr="009118AB">
        <w:rPr>
          <w:i/>
          <w:iCs/>
        </w:rPr>
        <w:t>Art. </w:t>
      </w:r>
      <w:r w:rsidRPr="009118AB">
        <w:rPr>
          <w:i/>
          <w:iCs/>
        </w:rPr>
        <w:t>9 des G. vom 12. Mai 2014 (I) (B.S. vom 27. Mai 2014)</w:t>
      </w:r>
      <w:r w:rsidR="00D67EB8" w:rsidRPr="009118AB">
        <w:rPr>
          <w:i/>
          <w:iCs/>
        </w:rPr>
        <w:t> - </w:t>
      </w:r>
      <w:r w:rsidRPr="009118AB">
        <w:rPr>
          <w:i/>
          <w:iCs/>
        </w:rPr>
        <w:t>in Kraft am 1. Januar 2015</w:t>
      </w:r>
      <w:r w:rsidR="003366D9" w:rsidRPr="009118AB">
        <w:rPr>
          <w:i/>
          <w:iCs/>
        </w:rPr>
        <w:t> -;</w:t>
      </w:r>
      <w:r w:rsidRPr="009118AB">
        <w:rPr>
          <w:i/>
          <w:iCs/>
        </w:rPr>
        <w:t xml:space="preserve"> </w:t>
      </w:r>
      <w:r w:rsidR="00D67EB8" w:rsidRPr="009118AB">
        <w:rPr>
          <w:i/>
          <w:iCs/>
        </w:rPr>
        <w:t>§ </w:t>
      </w:r>
      <w:r w:rsidRPr="009118AB">
        <w:rPr>
          <w:i/>
          <w:iCs/>
        </w:rPr>
        <w:t xml:space="preserve">10 </w:t>
      </w:r>
      <w:r w:rsidR="00D67EB8" w:rsidRPr="009118AB">
        <w:rPr>
          <w:i/>
          <w:iCs/>
        </w:rPr>
        <w:t>Abs. </w:t>
      </w:r>
      <w:r w:rsidRPr="009118AB">
        <w:rPr>
          <w:i/>
          <w:iCs/>
        </w:rPr>
        <w:t xml:space="preserve">1 </w:t>
      </w:r>
      <w:r w:rsidR="00D67EB8" w:rsidRPr="009118AB">
        <w:rPr>
          <w:i/>
          <w:iCs/>
        </w:rPr>
        <w:t>Nr. </w:t>
      </w:r>
      <w:r w:rsidRPr="009118AB">
        <w:rPr>
          <w:i/>
          <w:iCs/>
        </w:rPr>
        <w:t>5 einziger Absatz erster G</w:t>
      </w:r>
      <w:r w:rsidR="00C80771" w:rsidRPr="009118AB">
        <w:rPr>
          <w:i/>
          <w:iCs/>
        </w:rPr>
        <w:t xml:space="preserve">edankenstrich abgeändert durch </w:t>
      </w:r>
      <w:r w:rsidR="00D67EB8" w:rsidRPr="009118AB">
        <w:rPr>
          <w:i/>
          <w:iCs/>
        </w:rPr>
        <w:t>Art. </w:t>
      </w:r>
      <w:r w:rsidRPr="009118AB">
        <w:rPr>
          <w:i/>
          <w:iCs/>
        </w:rPr>
        <w:t xml:space="preserve">2 </w:t>
      </w:r>
      <w:r w:rsidR="00D67EB8" w:rsidRPr="009118AB">
        <w:rPr>
          <w:i/>
          <w:iCs/>
        </w:rPr>
        <w:t>Nr. </w:t>
      </w:r>
      <w:r w:rsidRPr="009118AB">
        <w:rPr>
          <w:i/>
          <w:iCs/>
        </w:rPr>
        <w:t xml:space="preserve">40 des G. vom 26. Mai 2016 (B.S. vom </w:t>
      </w:r>
      <w:r w:rsidRPr="009118AB">
        <w:rPr>
          <w:rFonts w:ascii="Times New Roman Italique" w:hAnsi="Times New Roman Italique"/>
          <w:i/>
          <w:iCs/>
          <w:spacing w:val="2"/>
        </w:rPr>
        <w:t>7. Juni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2016 unterzeichneten Rahmenüber</w:t>
      </w:r>
      <w:r w:rsidR="00E2782D" w:rsidRPr="009118AB">
        <w:rPr>
          <w:rFonts w:ascii="Times New Roman Italique" w:hAnsi="Times New Roman Italique"/>
          <w:i/>
          <w:iCs/>
          <w:spacing w:val="2"/>
        </w:rPr>
        <w:t>-</w:t>
      </w:r>
      <w:r w:rsidRPr="009118AB">
        <w:rPr>
          <w:rFonts w:ascii="Times New Roman Italique" w:hAnsi="Times New Roman Italique"/>
          <w:i/>
          <w:iCs/>
          <w:spacing w:val="2"/>
        </w:rPr>
        <w:t>einkommen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10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7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41 des G. vom 26. Mai 2016 (B.S. vom 7. Juni 2016)</w:t>
      </w:r>
      <w:r w:rsidR="00D67EB8" w:rsidRPr="009118AB">
        <w:rPr>
          <w:rFonts w:ascii="Times New Roman Italique" w:hAnsi="Times New Roman Italique"/>
          <w:i/>
          <w:iCs/>
          <w:spacing w:val="2"/>
        </w:rPr>
        <w:t> - </w:t>
      </w:r>
      <w:r w:rsidRPr="009118AB">
        <w:rPr>
          <w:i/>
          <w:iCs/>
        </w:rPr>
        <w:t>anwendbar auf die ab dem 1. Juli 2016 unterzeichneten Rahmen</w:t>
      </w:r>
      <w:r w:rsidR="00E2782D" w:rsidRPr="009118AB">
        <w:rPr>
          <w:i/>
          <w:iCs/>
        </w:rPr>
        <w:softHyphen/>
      </w:r>
      <w:r w:rsidRPr="009118AB">
        <w:rPr>
          <w:i/>
          <w:iCs/>
        </w:rPr>
        <w:t>übereinkommen</w:t>
      </w:r>
      <w:r w:rsidR="00D67EB8" w:rsidRPr="009118AB">
        <w:rPr>
          <w:i/>
          <w:iCs/>
        </w:rPr>
        <w:t> - </w:t>
      </w:r>
      <w:r w:rsidR="00BD5F04" w:rsidRPr="009118AB">
        <w:rPr>
          <w:i/>
          <w:iCs/>
        </w:rPr>
        <w:t xml:space="preserve">und </w:t>
      </w:r>
      <w:r w:rsidR="00D36E8B" w:rsidRPr="009118AB">
        <w:rPr>
          <w:i/>
          <w:iCs/>
        </w:rPr>
        <w:t xml:space="preserve">abgeändert durch </w:t>
      </w:r>
      <w:r w:rsidR="00D67EB8" w:rsidRPr="009118AB">
        <w:rPr>
          <w:i/>
          <w:iCs/>
        </w:rPr>
        <w:t>Art. </w:t>
      </w:r>
      <w:r w:rsidR="00BD5F04" w:rsidRPr="009118AB">
        <w:rPr>
          <w:i/>
          <w:iCs/>
        </w:rPr>
        <w:t>3</w:t>
      </w:r>
      <w:r w:rsidR="00D36E8B" w:rsidRPr="009118AB">
        <w:rPr>
          <w:i/>
          <w:iCs/>
        </w:rPr>
        <w:t>2</w:t>
      </w:r>
      <w:r w:rsidR="00BD5F04" w:rsidRPr="009118AB">
        <w:rPr>
          <w:i/>
          <w:iCs/>
          <w:spacing w:val="-2"/>
        </w:rPr>
        <w:t xml:space="preserve"> des G. vom 17. März 2019 (III) (B.S. vom 10. Mai 2019)</w:t>
      </w:r>
      <w:r w:rsidR="00D67EB8" w:rsidRPr="009118AB">
        <w:rPr>
          <w:i/>
          <w:iCs/>
          <w:spacing w:val="-2"/>
        </w:rPr>
        <w:t> - </w:t>
      </w:r>
      <w:r w:rsidR="00BD5F04" w:rsidRPr="009118AB">
        <w:rPr>
          <w:i/>
          <w:iCs/>
          <w:spacing w:val="-2"/>
        </w:rPr>
        <w:t>in Kraft am 1. Mai 2019</w:t>
      </w:r>
      <w:r w:rsidR="003366D9" w:rsidRPr="009118AB">
        <w:rPr>
          <w:i/>
          <w:iCs/>
          <w:spacing w:val="-2"/>
        </w:rPr>
        <w:t> -;</w:t>
      </w:r>
      <w:r w:rsidRPr="009118AB">
        <w:rPr>
          <w:i/>
          <w:iCs/>
        </w:rPr>
        <w:t xml:space="preserve"> </w:t>
      </w:r>
      <w:r w:rsidR="00D67EB8" w:rsidRPr="009118AB">
        <w:rPr>
          <w:i/>
          <w:iCs/>
        </w:rPr>
        <w:t>§ </w:t>
      </w:r>
      <w:r w:rsidRPr="009118AB">
        <w:rPr>
          <w:i/>
          <w:iCs/>
        </w:rPr>
        <w:t xml:space="preserve">10 </w:t>
      </w:r>
      <w:r w:rsidR="00D67EB8" w:rsidRPr="009118AB">
        <w:rPr>
          <w:i/>
          <w:iCs/>
        </w:rPr>
        <w:t>Abs. </w:t>
      </w:r>
      <w:r w:rsidRPr="009118AB">
        <w:rPr>
          <w:i/>
          <w:iCs/>
        </w:rPr>
        <w:t xml:space="preserve">1 </w:t>
      </w:r>
      <w:r w:rsidR="00D67EB8" w:rsidRPr="009118AB">
        <w:rPr>
          <w:i/>
          <w:iCs/>
        </w:rPr>
        <w:t>Nr. </w:t>
      </w:r>
      <w:r w:rsidRPr="009118AB">
        <w:rPr>
          <w:i/>
          <w:iCs/>
        </w:rPr>
        <w:t xml:space="preserve">8 einziger Absatz erster Gedankenstrich ersetzt durch </w:t>
      </w:r>
      <w:r w:rsidR="00D67EB8" w:rsidRPr="009118AB">
        <w:rPr>
          <w:i/>
          <w:iCs/>
        </w:rPr>
        <w:t>Art. </w:t>
      </w:r>
      <w:r w:rsidRPr="009118AB">
        <w:rPr>
          <w:i/>
          <w:iCs/>
        </w:rPr>
        <w:t xml:space="preserve">2 </w:t>
      </w:r>
      <w:r w:rsidR="00D67EB8" w:rsidRPr="009118AB">
        <w:rPr>
          <w:i/>
          <w:iCs/>
        </w:rPr>
        <w:t>Nr. </w:t>
      </w:r>
      <w:r w:rsidRPr="009118AB">
        <w:rPr>
          <w:i/>
          <w:iCs/>
        </w:rPr>
        <w:t>43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10 </w:t>
      </w:r>
      <w:r w:rsidR="00D67EB8" w:rsidRPr="009118AB">
        <w:rPr>
          <w:i/>
          <w:iCs/>
        </w:rPr>
        <w:t>Abs. </w:t>
      </w:r>
      <w:r w:rsidRPr="009118AB">
        <w:rPr>
          <w:i/>
          <w:iCs/>
        </w:rPr>
        <w:t xml:space="preserve">1 </w:t>
      </w:r>
      <w:r w:rsidR="00D67EB8" w:rsidRPr="009118AB">
        <w:rPr>
          <w:i/>
          <w:iCs/>
        </w:rPr>
        <w:t>Nr. </w:t>
      </w:r>
      <w:r w:rsidRPr="009118AB">
        <w:rPr>
          <w:i/>
          <w:iCs/>
        </w:rPr>
        <w:t xml:space="preserve">8 einziger Absatz zweiter Gedankenstrich abgeändert durch </w:t>
      </w:r>
      <w:r w:rsidR="00D67EB8" w:rsidRPr="009118AB">
        <w:rPr>
          <w:i/>
          <w:iCs/>
        </w:rPr>
        <w:t>Art. </w:t>
      </w:r>
      <w:r w:rsidRPr="009118AB">
        <w:rPr>
          <w:i/>
          <w:iCs/>
        </w:rPr>
        <w:t xml:space="preserve">2 </w:t>
      </w:r>
      <w:r w:rsidR="00D67EB8" w:rsidRPr="009118AB">
        <w:rPr>
          <w:i/>
          <w:iCs/>
        </w:rPr>
        <w:t>Nr. </w:t>
      </w:r>
      <w:r w:rsidRPr="009118AB">
        <w:rPr>
          <w:i/>
          <w:iCs/>
        </w:rPr>
        <w:t xml:space="preserve">44 des G. vom 26. Mai 2016 (B.S. vom </w:t>
      </w:r>
      <w:r w:rsidRPr="009118AB">
        <w:rPr>
          <w:rFonts w:ascii="Times New Roman Italique" w:hAnsi="Times New Roman Italique"/>
          <w:i/>
          <w:iCs/>
          <w:spacing w:val="2"/>
        </w:rPr>
        <w:t>7. Juni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2016 unterzeichneten Rahmenüberein</w:t>
      </w:r>
      <w:r w:rsidR="00E2782D" w:rsidRPr="009118AB">
        <w:rPr>
          <w:rFonts w:ascii="Times New Roman Italique" w:hAnsi="Times New Roman Italique"/>
          <w:i/>
          <w:iCs/>
          <w:spacing w:val="2"/>
        </w:rPr>
        <w:softHyphen/>
      </w:r>
      <w:r w:rsidRPr="009118AB">
        <w:rPr>
          <w:rFonts w:ascii="Times New Roman Italique" w:hAnsi="Times New Roman Italique"/>
          <w:i/>
          <w:iCs/>
          <w:spacing w:val="2"/>
        </w:rPr>
        <w:t>kommen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10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8 einziger Absatz dritter Gedankenstrich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45 des G. </w:t>
      </w:r>
      <w:r w:rsidRPr="009118AB">
        <w:rPr>
          <w:i/>
          <w:iCs/>
        </w:rPr>
        <w:t>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10 </w:t>
      </w:r>
      <w:r w:rsidR="00D67EB8" w:rsidRPr="009118AB">
        <w:rPr>
          <w:i/>
          <w:iCs/>
        </w:rPr>
        <w:t>Abs. </w:t>
      </w:r>
      <w:r w:rsidRPr="009118AB">
        <w:rPr>
          <w:i/>
          <w:iCs/>
        </w:rPr>
        <w:t xml:space="preserve">1 </w:t>
      </w:r>
      <w:r w:rsidR="00D67EB8" w:rsidRPr="009118AB">
        <w:rPr>
          <w:i/>
          <w:iCs/>
        </w:rPr>
        <w:t>Nr. </w:t>
      </w:r>
      <w:r w:rsidRPr="009118AB">
        <w:rPr>
          <w:i/>
          <w:iCs/>
        </w:rPr>
        <w:t xml:space="preserve">8 einziger Absatz neuer vierter und fünfter Gedankenstrich eingefügt durch </w:t>
      </w:r>
      <w:r w:rsidR="00D67EB8" w:rsidRPr="009118AB">
        <w:rPr>
          <w:i/>
          <w:iCs/>
        </w:rPr>
        <w:t>Art. </w:t>
      </w:r>
      <w:r w:rsidRPr="009118AB">
        <w:rPr>
          <w:i/>
          <w:iCs/>
        </w:rPr>
        <w:t xml:space="preserve">2 </w:t>
      </w:r>
      <w:r w:rsidR="00D67EB8" w:rsidRPr="009118AB">
        <w:rPr>
          <w:i/>
          <w:iCs/>
        </w:rPr>
        <w:t>Nr. </w:t>
      </w:r>
      <w:r w:rsidRPr="009118AB">
        <w:rPr>
          <w:i/>
          <w:iCs/>
        </w:rPr>
        <w:t>45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10 </w:t>
      </w:r>
      <w:r w:rsidR="00D67EB8" w:rsidRPr="009118AB">
        <w:rPr>
          <w:i/>
          <w:iCs/>
        </w:rPr>
        <w:t>Abs. </w:t>
      </w:r>
      <w:r w:rsidRPr="009118AB">
        <w:rPr>
          <w:i/>
          <w:iCs/>
        </w:rPr>
        <w:t xml:space="preserve">1 </w:t>
      </w:r>
      <w:r w:rsidR="00D67EB8" w:rsidRPr="009118AB">
        <w:rPr>
          <w:i/>
          <w:iCs/>
        </w:rPr>
        <w:t>Nr. </w:t>
      </w:r>
      <w:r w:rsidRPr="009118AB">
        <w:rPr>
          <w:i/>
          <w:iCs/>
        </w:rPr>
        <w:t xml:space="preserve">9 abgeändert durch </w:t>
      </w:r>
      <w:r w:rsidR="00D67EB8" w:rsidRPr="009118AB">
        <w:rPr>
          <w:i/>
          <w:iCs/>
        </w:rPr>
        <w:t>Art. </w:t>
      </w:r>
      <w:r w:rsidRPr="009118AB">
        <w:rPr>
          <w:i/>
          <w:iCs/>
        </w:rPr>
        <w:t xml:space="preserve">2 </w:t>
      </w:r>
      <w:r w:rsidR="00D67EB8" w:rsidRPr="009118AB">
        <w:rPr>
          <w:i/>
          <w:iCs/>
        </w:rPr>
        <w:t>Nr. </w:t>
      </w:r>
      <w:r w:rsidRPr="009118AB">
        <w:rPr>
          <w:i/>
          <w:iCs/>
        </w:rPr>
        <w:t>46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Pr="009118AB">
        <w:rPr>
          <w:i/>
          <w:iCs/>
        </w:rPr>
        <w:t xml:space="preserve"> </w:t>
      </w:r>
      <w:r w:rsidR="00D67EB8" w:rsidRPr="009118AB">
        <w:rPr>
          <w:i/>
          <w:iCs/>
        </w:rPr>
        <w:t>§ </w:t>
      </w:r>
      <w:r w:rsidRPr="009118AB">
        <w:rPr>
          <w:i/>
          <w:iCs/>
        </w:rPr>
        <w:t xml:space="preserve">10 </w:t>
      </w:r>
      <w:r w:rsidR="00D67EB8" w:rsidRPr="009118AB">
        <w:rPr>
          <w:i/>
          <w:iCs/>
        </w:rPr>
        <w:t>Abs. </w:t>
      </w:r>
      <w:r w:rsidRPr="009118AB">
        <w:rPr>
          <w:i/>
          <w:iCs/>
        </w:rPr>
        <w:t xml:space="preserve">2 ersetzt durch </w:t>
      </w:r>
      <w:r w:rsidR="00D67EB8" w:rsidRPr="009118AB">
        <w:rPr>
          <w:i/>
          <w:iCs/>
        </w:rPr>
        <w:t>Art. </w:t>
      </w:r>
      <w:r w:rsidRPr="009118AB">
        <w:rPr>
          <w:i/>
          <w:iCs/>
        </w:rPr>
        <w:t xml:space="preserve">2 </w:t>
      </w:r>
      <w:r w:rsidR="00D67EB8" w:rsidRPr="009118AB">
        <w:rPr>
          <w:i/>
          <w:iCs/>
        </w:rPr>
        <w:t>Nr. </w:t>
      </w:r>
      <w:r w:rsidRPr="009118AB">
        <w:rPr>
          <w:i/>
          <w:iCs/>
        </w:rPr>
        <w:t xml:space="preserve">47 des G. vom 26. Mai 2016 (B.S. </w:t>
      </w:r>
      <w:r w:rsidRPr="009118AB">
        <w:rPr>
          <w:i/>
          <w:iCs/>
          <w:spacing w:val="-2"/>
        </w:rPr>
        <w:t>vom 7. Juni 2016)</w:t>
      </w:r>
      <w:r w:rsidR="00D67EB8" w:rsidRPr="009118AB">
        <w:rPr>
          <w:i/>
          <w:iCs/>
          <w:spacing w:val="-2"/>
        </w:rPr>
        <w:t> - </w:t>
      </w:r>
      <w:r w:rsidRPr="009118AB">
        <w:rPr>
          <w:i/>
          <w:iCs/>
          <w:spacing w:val="-2"/>
        </w:rPr>
        <w:t>anwendbar auf die ab dem 1. Juli 2016 unterzeichneten Rahmenübereinkommen</w:t>
      </w:r>
      <w:r w:rsidR="003366D9" w:rsidRPr="009118AB">
        <w:rPr>
          <w:i/>
          <w:iCs/>
          <w:spacing w:val="-2"/>
        </w:rPr>
        <w:t> -;</w:t>
      </w:r>
      <w:r w:rsidRPr="009118AB">
        <w:rPr>
          <w:i/>
          <w:iCs/>
          <w:spacing w:val="-2"/>
        </w:rPr>
        <w:t xml:space="preserve"> </w:t>
      </w:r>
      <w:r w:rsidR="00D67EB8" w:rsidRPr="009118AB">
        <w:rPr>
          <w:i/>
          <w:iCs/>
          <w:spacing w:val="-2"/>
        </w:rPr>
        <w:t>§ </w:t>
      </w:r>
      <w:r w:rsidRPr="009118AB">
        <w:rPr>
          <w:i/>
          <w:iCs/>
          <w:spacing w:val="-2"/>
        </w:rPr>
        <w:t xml:space="preserve">11 eingefügt durch </w:t>
      </w:r>
      <w:r w:rsidR="00D67EB8" w:rsidRPr="009118AB">
        <w:rPr>
          <w:i/>
          <w:iCs/>
          <w:spacing w:val="-2"/>
        </w:rPr>
        <w:t>Art. </w:t>
      </w:r>
      <w:r w:rsidRPr="009118AB">
        <w:rPr>
          <w:i/>
          <w:iCs/>
          <w:spacing w:val="-2"/>
        </w:rPr>
        <w:t>9 des G. vom 12. Mai 2014 (I) (B.S. vom 27. Mai 2014)</w:t>
      </w:r>
      <w:r w:rsidR="00D67EB8" w:rsidRPr="009118AB">
        <w:rPr>
          <w:i/>
          <w:iCs/>
          <w:spacing w:val="-2"/>
        </w:rPr>
        <w:t> - </w:t>
      </w:r>
      <w:r w:rsidRPr="009118AB">
        <w:rPr>
          <w:i/>
          <w:iCs/>
          <w:spacing w:val="-2"/>
        </w:rPr>
        <w:t>in Kraft am 1. Januar 2015</w:t>
      </w:r>
      <w:r w:rsidR="003366D9" w:rsidRPr="009118AB">
        <w:rPr>
          <w:i/>
          <w:iCs/>
          <w:spacing w:val="-2"/>
        </w:rPr>
        <w:t> -;</w:t>
      </w:r>
      <w:r w:rsidR="0061521D" w:rsidRPr="009118AB">
        <w:rPr>
          <w:i/>
          <w:iCs/>
          <w:spacing w:val="-2"/>
        </w:rPr>
        <w:t xml:space="preserve"> </w:t>
      </w:r>
      <w:r w:rsidR="00D67EB8" w:rsidRPr="009118AB">
        <w:rPr>
          <w:i/>
          <w:iCs/>
          <w:spacing w:val="-2"/>
        </w:rPr>
        <w:t>§ </w:t>
      </w:r>
      <w:r w:rsidR="0061521D" w:rsidRPr="009118AB">
        <w:rPr>
          <w:i/>
          <w:iCs/>
          <w:spacing w:val="-2"/>
        </w:rPr>
        <w:t>12 eingef</w:t>
      </w:r>
      <w:r w:rsidR="00DA621F" w:rsidRPr="009118AB">
        <w:rPr>
          <w:i/>
          <w:iCs/>
          <w:spacing w:val="-2"/>
        </w:rPr>
        <w:t xml:space="preserve">ügt durch </w:t>
      </w:r>
      <w:r w:rsidR="00D67EB8" w:rsidRPr="009118AB">
        <w:rPr>
          <w:i/>
          <w:iCs/>
          <w:spacing w:val="-2"/>
        </w:rPr>
        <w:t>Art. </w:t>
      </w:r>
      <w:r w:rsidR="00DA621F" w:rsidRPr="009118AB">
        <w:rPr>
          <w:i/>
          <w:iCs/>
          <w:spacing w:val="-2"/>
        </w:rPr>
        <w:t>9 des G. vom 12. </w:t>
      </w:r>
      <w:r w:rsidR="0061521D" w:rsidRPr="009118AB">
        <w:rPr>
          <w:i/>
          <w:iCs/>
          <w:spacing w:val="-2"/>
        </w:rPr>
        <w:t>Mai</w:t>
      </w:r>
      <w:r w:rsidR="00DA621F" w:rsidRPr="009118AB">
        <w:rPr>
          <w:i/>
          <w:iCs/>
          <w:spacing w:val="-2"/>
        </w:rPr>
        <w:t> </w:t>
      </w:r>
      <w:r w:rsidR="0061521D" w:rsidRPr="009118AB">
        <w:rPr>
          <w:i/>
          <w:iCs/>
          <w:spacing w:val="-2"/>
        </w:rPr>
        <w:t>2014 (I) (B.S. vom 27. Mai 2014)</w:t>
      </w:r>
      <w:r w:rsidR="00D67EB8" w:rsidRPr="009118AB">
        <w:rPr>
          <w:i/>
          <w:iCs/>
          <w:spacing w:val="-2"/>
        </w:rPr>
        <w:t> - </w:t>
      </w:r>
      <w:r w:rsidR="0061521D" w:rsidRPr="009118AB">
        <w:rPr>
          <w:i/>
          <w:iCs/>
          <w:spacing w:val="-2"/>
        </w:rPr>
        <w:t>in Kraft am 1.</w:t>
      </w:r>
      <w:r w:rsidR="001B53F1" w:rsidRPr="009118AB">
        <w:rPr>
          <w:i/>
          <w:iCs/>
          <w:spacing w:val="-2"/>
        </w:rPr>
        <w:t> </w:t>
      </w:r>
      <w:r w:rsidR="0061521D" w:rsidRPr="009118AB">
        <w:rPr>
          <w:i/>
          <w:iCs/>
          <w:spacing w:val="-2"/>
        </w:rPr>
        <w:t>Januar 2015</w:t>
      </w:r>
      <w:r w:rsidR="00D67EB8" w:rsidRPr="009118AB">
        <w:rPr>
          <w:i/>
          <w:iCs/>
          <w:spacing w:val="-2"/>
        </w:rPr>
        <w:t> - </w:t>
      </w:r>
      <w:r w:rsidR="0061521D" w:rsidRPr="009118AB">
        <w:rPr>
          <w:i/>
          <w:iCs/>
          <w:spacing w:val="-2"/>
        </w:rPr>
        <w:t xml:space="preserve">und abgeändert durch </w:t>
      </w:r>
      <w:r w:rsidR="00D67EB8" w:rsidRPr="009118AB">
        <w:rPr>
          <w:i/>
          <w:iCs/>
          <w:spacing w:val="-2"/>
        </w:rPr>
        <w:t>Art. </w:t>
      </w:r>
      <w:r w:rsidR="0061521D" w:rsidRPr="009118AB">
        <w:rPr>
          <w:i/>
          <w:iCs/>
          <w:spacing w:val="-2"/>
        </w:rPr>
        <w:t>36 des G. vom 11. Juli 2018</w:t>
      </w:r>
      <w:r w:rsidR="001B7C2B" w:rsidRPr="009118AB">
        <w:rPr>
          <w:i/>
          <w:iCs/>
          <w:spacing w:val="-2"/>
        </w:rPr>
        <w:t> (II)</w:t>
      </w:r>
      <w:r w:rsidR="0061521D" w:rsidRPr="009118AB">
        <w:rPr>
          <w:i/>
          <w:iCs/>
          <w:spacing w:val="-2"/>
        </w:rPr>
        <w:t xml:space="preserve"> (B.S. vom 20. Juli 2018)</w:t>
      </w:r>
      <w:r w:rsidR="00D67EB8" w:rsidRPr="009118AB">
        <w:rPr>
          <w:i/>
          <w:iCs/>
          <w:spacing w:val="-2"/>
        </w:rPr>
        <w:t> - </w:t>
      </w:r>
      <w:r w:rsidR="00893CC7" w:rsidRPr="009118AB">
        <w:rPr>
          <w:i/>
          <w:iCs/>
          <w:spacing w:val="-2"/>
        </w:rPr>
        <w:t>in Kraft ab dem 21. Juli 2019</w:t>
      </w:r>
      <w:r w:rsidR="00FD68E8" w:rsidRPr="009118AB">
        <w:rPr>
          <w:i/>
          <w:iCs/>
          <w:spacing w:val="-2"/>
        </w:rPr>
        <w:t> -]</w:t>
      </w:r>
    </w:p>
    <w:p w14:paraId="2CA8E667" w14:textId="77777777" w:rsidR="00D833C6" w:rsidRPr="009118AB" w:rsidRDefault="00D833C6" w:rsidP="00D833C6">
      <w:pPr>
        <w:autoSpaceDE w:val="0"/>
        <w:autoSpaceDN w:val="0"/>
        <w:adjustRightInd w:val="0"/>
        <w:jc w:val="both"/>
      </w:pPr>
    </w:p>
    <w:p w14:paraId="669BC413" w14:textId="77777777" w:rsidR="00950EF1" w:rsidRPr="009118AB" w:rsidRDefault="00950EF1" w:rsidP="00950EF1"/>
    <w:p w14:paraId="568560AE" w14:textId="53078854" w:rsidR="00EC2C95" w:rsidRPr="009118AB" w:rsidRDefault="00EA2EB8" w:rsidP="00EC2C95">
      <w:pPr>
        <w:jc w:val="both"/>
      </w:pPr>
      <w:r w:rsidRPr="009118AB">
        <w:tab/>
        <w:t>[</w:t>
      </w:r>
      <w:r w:rsidR="00D67EB8" w:rsidRPr="009118AB">
        <w:rPr>
          <w:b/>
        </w:rPr>
        <w:t>Art. </w:t>
      </w:r>
      <w:r w:rsidRPr="009118AB">
        <w:rPr>
          <w:b/>
        </w:rPr>
        <w:t>194</w:t>
      </w:r>
      <w:r w:rsidRPr="009118AB">
        <w:rPr>
          <w:b/>
          <w:i/>
        </w:rPr>
        <w:t>ter</w:t>
      </w:r>
      <w:r w:rsidRPr="009118AB">
        <w:rPr>
          <w:b/>
        </w:rPr>
        <w:t>/1</w:t>
      </w:r>
      <w:r w:rsidR="00D67EB8" w:rsidRPr="009118AB">
        <w:t> - § </w:t>
      </w:r>
      <w:r w:rsidRPr="009118AB">
        <w:t>1</w:t>
      </w:r>
      <w:r w:rsidR="00D67EB8" w:rsidRPr="009118AB">
        <w:t> - </w:t>
      </w:r>
      <w:r w:rsidRPr="009118AB">
        <w:t>Der Anwendungsbereich von Artikel 194</w:t>
      </w:r>
      <w:r w:rsidRPr="009118AB">
        <w:rPr>
          <w:i/>
        </w:rPr>
        <w:t>ter</w:t>
      </w:r>
      <w:r w:rsidRPr="009118AB">
        <w:t xml:space="preserve"> wird auf in Betracht kommende Produktionsgesellschaften ausgeweitet, </w:t>
      </w:r>
      <w:r w:rsidR="005D1B02" w:rsidRPr="009118AB">
        <w:t>[</w:t>
      </w:r>
      <w:r w:rsidR="005D1B02" w:rsidRPr="009118AB">
        <w:rPr>
          <w:rFonts w:eastAsia="Calibri"/>
          <w:kern w:val="2"/>
          <w:szCs w:val="22"/>
          <w:lang w:eastAsia="en-US"/>
          <w14:ligatures w14:val="standardContextual"/>
        </w:rPr>
        <w:t>deren hauptsächlicher Zweck und deren Haupttätigkeit die Produktion und Entwicklung von Originalbühnenproduktionen sind</w:t>
      </w:r>
      <w:r w:rsidR="005D1B02" w:rsidRPr="009118AB">
        <w:t>]</w:t>
      </w:r>
      <w:r w:rsidRPr="009118AB">
        <w:t>.</w:t>
      </w:r>
    </w:p>
    <w:p w14:paraId="4E79CBFB" w14:textId="55DAC794" w:rsidR="00E2782D" w:rsidRPr="009118AB" w:rsidRDefault="00E2782D" w:rsidP="00EC2C95">
      <w:pPr>
        <w:jc w:val="both"/>
      </w:pPr>
    </w:p>
    <w:p w14:paraId="67578843" w14:textId="77777777" w:rsidR="00AB4DE0" w:rsidRDefault="00AB4DE0">
      <w:r>
        <w:br w:type="page"/>
      </w:r>
    </w:p>
    <w:p w14:paraId="3193469F" w14:textId="400A5479" w:rsidR="00EA2EB8" w:rsidRPr="009118AB" w:rsidRDefault="00EA2EB8" w:rsidP="00EA2EB8">
      <w:pPr>
        <w:jc w:val="both"/>
      </w:pPr>
      <w:r w:rsidRPr="009118AB">
        <w:lastRenderedPageBreak/>
        <w:tab/>
      </w:r>
      <w:r w:rsidR="00D67EB8" w:rsidRPr="009118AB">
        <w:t>§ </w:t>
      </w:r>
      <w:r w:rsidRPr="009118AB">
        <w:t>2</w:t>
      </w:r>
      <w:r w:rsidR="00D67EB8" w:rsidRPr="009118AB">
        <w:t> - </w:t>
      </w:r>
      <w:r w:rsidRPr="009118AB">
        <w:t>Für die Anwendung des vorliegenden Artikels versteht man unter:</w:t>
      </w:r>
    </w:p>
    <w:p w14:paraId="7A09093D" w14:textId="77777777" w:rsidR="00EA2EB8" w:rsidRPr="009118AB" w:rsidRDefault="00EA2EB8" w:rsidP="00EA2EB8">
      <w:pPr>
        <w:jc w:val="both"/>
      </w:pPr>
    </w:p>
    <w:p w14:paraId="47B4744D" w14:textId="11373860" w:rsidR="00EA2EB8" w:rsidRPr="009118AB" w:rsidRDefault="00EA2EB8" w:rsidP="00EA2EB8">
      <w:pPr>
        <w:jc w:val="both"/>
      </w:pPr>
      <w:r w:rsidRPr="009118AB">
        <w:tab/>
        <w:t>1. in Betracht kommendem Werk: in Abweichung von Artikel 194</w:t>
      </w:r>
      <w:r w:rsidRPr="009118AB">
        <w:rPr>
          <w:i/>
        </w:rPr>
        <w:t>ter</w:t>
      </w:r>
      <w:r w:rsidRPr="009118AB">
        <w:t xml:space="preserve"> </w:t>
      </w:r>
      <w:r w:rsidR="00D67EB8" w:rsidRPr="009118AB">
        <w:t>§ </w:t>
      </w:r>
      <w:r w:rsidRPr="009118AB">
        <w:t xml:space="preserve">1 Absatz 1 </w:t>
      </w:r>
      <w:r w:rsidR="00D67EB8" w:rsidRPr="009118AB">
        <w:t>Nr. </w:t>
      </w:r>
      <w:r w:rsidRPr="009118AB">
        <w:t xml:space="preserve">4 eine Originalbühnenproduktion wie in </w:t>
      </w:r>
      <w:r w:rsidR="00D67EB8" w:rsidRPr="009118AB">
        <w:t>Nr. </w:t>
      </w:r>
      <w:r w:rsidRPr="009118AB">
        <w:t>2 erwähnt, die von den zuständigen Diensten der betreffenden Gemeinschaft als europäisches Bühnenwerk zugelassen ist, das heißt:</w:t>
      </w:r>
    </w:p>
    <w:p w14:paraId="70DE93A6" w14:textId="77777777" w:rsidR="00EA2EB8" w:rsidRPr="009118AB" w:rsidRDefault="00EA2EB8" w:rsidP="00EA2EB8">
      <w:pPr>
        <w:jc w:val="both"/>
      </w:pPr>
    </w:p>
    <w:p w14:paraId="25D333CE" w14:textId="77777777" w:rsidR="00EA2EB8" w:rsidRPr="009118AB" w:rsidRDefault="00EA2EB8" w:rsidP="00EA2EB8">
      <w:pPr>
        <w:jc w:val="both"/>
      </w:pPr>
      <w:r w:rsidRPr="009118AB">
        <w:tab/>
        <w:t>- die von einem oder mehreren in einem oder mehreren Mitgliedstaaten des Europäischen Wirtschaftsraums ansässigen Produzenten realisiert wird oder von einem oder mehreren in einem oder mehreren Mitgliedstaaten des Europäischen Wirtschaftsraums ansässigen Produzenten überwacht und tatsächlich kontrolliert wird,</w:t>
      </w:r>
    </w:p>
    <w:p w14:paraId="327719EA" w14:textId="77777777" w:rsidR="00EA2EB8" w:rsidRPr="009118AB" w:rsidRDefault="00EA2EB8" w:rsidP="00EA2EB8">
      <w:pPr>
        <w:jc w:val="both"/>
      </w:pPr>
    </w:p>
    <w:p w14:paraId="1E29E2B4" w14:textId="11461810" w:rsidR="00EA2EB8" w:rsidRPr="009118AB" w:rsidRDefault="00EA2EB8" w:rsidP="00EA2EB8">
      <w:pPr>
        <w:jc w:val="both"/>
      </w:pPr>
      <w:r w:rsidRPr="009118AB">
        <w:tab/>
        <w:t>- für die die in Artikel 194</w:t>
      </w:r>
      <w:r w:rsidRPr="009118AB">
        <w:rPr>
          <w:i/>
        </w:rPr>
        <w:t>ter</w:t>
      </w:r>
      <w:r w:rsidRPr="009118AB">
        <w:t xml:space="preserve"> </w:t>
      </w:r>
      <w:r w:rsidR="00D67EB8" w:rsidRPr="009118AB">
        <w:t>§ </w:t>
      </w:r>
      <w:r w:rsidRPr="009118AB">
        <w:t xml:space="preserve">1 Absatz 1 </w:t>
      </w:r>
      <w:r w:rsidR="00D67EB8" w:rsidRPr="009118AB">
        <w:t>Nr. </w:t>
      </w:r>
      <w:r w:rsidRPr="009118AB">
        <w:t xml:space="preserve">7 erwähnten in Belgien getätigten Ausgaben für Produktion und Verwertung </w:t>
      </w:r>
      <w:r w:rsidR="00F74D2B" w:rsidRPr="009118AB">
        <w:t>[</w:t>
      </w:r>
      <w:r w:rsidR="001B53F1" w:rsidRPr="009118AB">
        <w:t>innerhalb einer Frist von vierundzwanzig Monaten getätigt werden, die frühestens sechs Monate vor dem Datum der Unterzeichnung des in Artikel 194</w:t>
      </w:r>
      <w:r w:rsidR="001B53F1" w:rsidRPr="009118AB">
        <w:rPr>
          <w:i/>
          <w:iCs/>
        </w:rPr>
        <w:t>ter</w:t>
      </w:r>
      <w:r w:rsidR="001B53F1" w:rsidRPr="009118AB">
        <w:t xml:space="preserve"> </w:t>
      </w:r>
      <w:r w:rsidR="00D67EB8" w:rsidRPr="009118AB">
        <w:t>§ </w:t>
      </w:r>
      <w:r w:rsidR="001B53F1" w:rsidRPr="009118AB">
        <w:t xml:space="preserve">1 Absatz 1 </w:t>
      </w:r>
      <w:r w:rsidR="00D67EB8" w:rsidRPr="009118AB">
        <w:t>Nr. </w:t>
      </w:r>
      <w:r w:rsidR="001B53F1" w:rsidRPr="009118AB">
        <w:t>5 erwähnten Rahmenübereinkommens zum Erhalt der Tax-Shelter-Bescheinigung für die Produktion dieses Werks beginnt und spätestens vierundzwanzig Monate nach der Unterzeichnung des vorerwähnten Rahmenübereinkommens</w:t>
      </w:r>
      <w:r w:rsidR="00F74D2B" w:rsidRPr="009118AB">
        <w:t>]</w:t>
      </w:r>
      <w:r w:rsidRPr="009118AB">
        <w:t xml:space="preserve"> und spätestens einen Monat nach der</w:t>
      </w:r>
      <w:r w:rsidR="00F17808" w:rsidRPr="009118AB">
        <w:t xml:space="preserve"> Premiere </w:t>
      </w:r>
      <w:r w:rsidR="005D1B02" w:rsidRPr="009118AB">
        <w:t>[</w:t>
      </w:r>
      <w:r w:rsidR="005D1B02" w:rsidRPr="009118AB">
        <w:rPr>
          <w:rFonts w:eastAsia="Calibri"/>
          <w:kern w:val="2"/>
          <w:szCs w:val="22"/>
          <w:lang w:eastAsia="en-US"/>
          <w14:ligatures w14:val="standardContextual"/>
        </w:rPr>
        <w:t>der Bühnenproduktion</w:t>
      </w:r>
      <w:r w:rsidR="005D1B02" w:rsidRPr="009118AB">
        <w:t>]</w:t>
      </w:r>
      <w:r w:rsidR="00F17808" w:rsidRPr="009118AB">
        <w:t xml:space="preserve"> endet.</w:t>
      </w:r>
    </w:p>
    <w:p w14:paraId="6A8A8FD1" w14:textId="60BC2CB3" w:rsidR="00F17808" w:rsidRPr="009118AB" w:rsidRDefault="00F17808" w:rsidP="00EA2EB8">
      <w:pPr>
        <w:jc w:val="both"/>
      </w:pPr>
    </w:p>
    <w:p w14:paraId="2E0BBED2" w14:textId="74C7A90B" w:rsidR="00F17808" w:rsidRPr="009118AB" w:rsidRDefault="00F17808" w:rsidP="00EA2EB8">
      <w:pPr>
        <w:jc w:val="both"/>
      </w:pPr>
      <w:r w:rsidRPr="009118AB">
        <w:tab/>
        <w:t xml:space="preserve">[Die in Absatz 1 erwähnten Ausgaben für Produktion und Verwertung, die in dem Zeitraum vor dem Datum der Unterzeichnung </w:t>
      </w:r>
      <w:r w:rsidR="005D1B02" w:rsidRPr="009118AB">
        <w:t>[</w:t>
      </w:r>
      <w:r w:rsidR="005D1B02" w:rsidRPr="009118AB">
        <w:rPr>
          <w:rFonts w:eastAsia="Calibri"/>
          <w:kern w:val="2"/>
          <w:szCs w:val="22"/>
          <w:lang w:eastAsia="en-US"/>
          <w14:ligatures w14:val="standardContextual"/>
        </w:rPr>
        <w:t>der Rahmenübereinkommen</w:t>
      </w:r>
      <w:r w:rsidR="005D1B02" w:rsidRPr="009118AB">
        <w:t>]</w:t>
      </w:r>
      <w:r w:rsidRPr="009118AB">
        <w:t xml:space="preserve"> getätigt werden, belaufen sich auf höchstens 50 Prozent des Gesamtbetrags dieser Ausgaben für Produktion und Verwertung,]</w:t>
      </w:r>
    </w:p>
    <w:p w14:paraId="47EACBD0" w14:textId="77777777" w:rsidR="00EA2EB8" w:rsidRPr="009118AB" w:rsidRDefault="00EA2EB8" w:rsidP="00EA2EB8">
      <w:pPr>
        <w:jc w:val="both"/>
      </w:pPr>
    </w:p>
    <w:p w14:paraId="1599BBCA" w14:textId="3A27CAEC" w:rsidR="00EA2EB8" w:rsidRPr="009118AB" w:rsidRDefault="00EA2EB8" w:rsidP="00EA2EB8">
      <w:pPr>
        <w:jc w:val="both"/>
      </w:pPr>
      <w:r w:rsidRPr="009118AB">
        <w:tab/>
        <w:t xml:space="preserve">2. Originalbühnenproduktion: eine Produktion im Bereich Theater, Zirkus, Straßentheater, Oper, klassische Musik, Tanz oder Musiktheater einschließlich Musical und Ballett und die Produktion eines Gesamtspektakels, bei der das Szenario, der Theatertext, </w:t>
      </w:r>
      <w:r w:rsidR="005D1B02" w:rsidRPr="009118AB">
        <w:t>[</w:t>
      </w:r>
      <w:r w:rsidR="005D1B02" w:rsidRPr="009118AB">
        <w:rPr>
          <w:rFonts w:eastAsia="Calibri"/>
          <w:kern w:val="2"/>
          <w:szCs w:val="22"/>
          <w:lang w:eastAsia="en-US"/>
          <w14:ligatures w14:val="standardContextual"/>
        </w:rPr>
        <w:t>die Inszenierung</w:t>
      </w:r>
      <w:r w:rsidR="005D1B02" w:rsidRPr="009118AB">
        <w:t>]</w:t>
      </w:r>
      <w:r w:rsidRPr="009118AB">
        <w:t xml:space="preserve"> oder die Szenografie neu sind, oder die eine Neuinterpretation betrifft</w:t>
      </w:r>
      <w:r w:rsidR="005D1B02" w:rsidRPr="009118AB">
        <w:t xml:space="preserve"> [</w:t>
      </w:r>
      <w:r w:rsidR="005D1B02" w:rsidRPr="009118AB">
        <w:rPr>
          <w:rFonts w:eastAsia="Calibri"/>
          <w:kern w:val="2"/>
          <w:szCs w:val="22"/>
          <w:lang w:eastAsia="en-US"/>
          <w14:ligatures w14:val="standardContextual"/>
        </w:rPr>
        <w:t>und deren hauptsächlicher Zweck oder einer der hauptsächlichen Zwecke nicht darin besteht, Werbung für bestimmte andere Güter oder Dienstleistungen zu machen oder ihren Absatz beziehungsweise ihre Erbringung zu fördern</w:t>
      </w:r>
      <w:r w:rsidR="005D1B02" w:rsidRPr="009118AB">
        <w:t>]</w:t>
      </w:r>
      <w:r w:rsidRPr="009118AB">
        <w:t>,</w:t>
      </w:r>
    </w:p>
    <w:p w14:paraId="45C5E3F6" w14:textId="77777777" w:rsidR="00EA2EB8" w:rsidRPr="009118AB" w:rsidRDefault="00EA2EB8" w:rsidP="00EA2EB8">
      <w:pPr>
        <w:jc w:val="both"/>
      </w:pPr>
    </w:p>
    <w:p w14:paraId="53C73B51" w14:textId="0CD37246" w:rsidR="00EA2EB8" w:rsidRPr="009118AB" w:rsidRDefault="00EA2EB8" w:rsidP="00EA2EB8">
      <w:pPr>
        <w:jc w:val="both"/>
      </w:pPr>
      <w:r w:rsidRPr="009118AB">
        <w:tab/>
        <w:t xml:space="preserve">3. Gesamtspektakel: eine Kombination verschiedener in </w:t>
      </w:r>
      <w:r w:rsidR="00D67EB8" w:rsidRPr="009118AB">
        <w:t>Nr. </w:t>
      </w:r>
      <w:r w:rsidRPr="009118AB">
        <w:t>2 erwähnter Bühnenkünste, eventuell ergänzt durch Choreographie, Szenenspiele, Spezialeffekte, pyrotechnische Effekte und innovative Technologien im Bereich Ton, Bild und Szenografie,</w:t>
      </w:r>
    </w:p>
    <w:p w14:paraId="1D3B824C" w14:textId="77777777" w:rsidR="00EA2EB8" w:rsidRPr="009118AB" w:rsidRDefault="00EA2EB8" w:rsidP="00EA2EB8">
      <w:pPr>
        <w:jc w:val="both"/>
      </w:pPr>
    </w:p>
    <w:p w14:paraId="68045E1E" w14:textId="417CA6DD" w:rsidR="00EA2EB8" w:rsidRPr="009118AB" w:rsidRDefault="00EA2EB8" w:rsidP="00EA2EB8">
      <w:pPr>
        <w:jc w:val="both"/>
      </w:pPr>
      <w:r w:rsidRPr="009118AB">
        <w:tab/>
        <w:t xml:space="preserve">4. Premiere: die erste Aufführung </w:t>
      </w:r>
      <w:r w:rsidR="005D1B02" w:rsidRPr="009118AB">
        <w:t>[der Bühnenproduktion]</w:t>
      </w:r>
      <w:r w:rsidRPr="009118AB">
        <w:t xml:space="preserve"> in Belgien oder in einem anderen Mitgliedstaat des Europäischen Wirtschaftsraums</w:t>
      </w:r>
      <w:r w:rsidR="005D1B02" w:rsidRPr="009118AB">
        <w:t>[</w:t>
      </w:r>
      <w:r w:rsidR="005D1B02" w:rsidRPr="009118AB">
        <w:rPr>
          <w:rFonts w:eastAsia="Calibri"/>
          <w:kern w:val="2"/>
          <w:szCs w:val="22"/>
          <w:lang w:eastAsia="en-US"/>
          <w14:ligatures w14:val="standardContextual"/>
        </w:rPr>
        <w:t>, die spätestens zwei Monate nach dem ersten Try-out stattfindet</w:t>
      </w:r>
      <w:r w:rsidR="005D1B02" w:rsidRPr="009118AB">
        <w:t>],</w:t>
      </w:r>
    </w:p>
    <w:p w14:paraId="32B882F8" w14:textId="77777777" w:rsidR="005D1B02" w:rsidRPr="009118AB" w:rsidRDefault="005D1B02" w:rsidP="00EA2EB8">
      <w:pPr>
        <w:jc w:val="both"/>
      </w:pPr>
    </w:p>
    <w:p w14:paraId="6BFC5107" w14:textId="67A591D7" w:rsidR="005D1B02" w:rsidRPr="009118AB" w:rsidRDefault="005D1B02" w:rsidP="00F3098F">
      <w:pPr>
        <w:jc w:val="both"/>
      </w:pPr>
      <w:r w:rsidRPr="009118AB">
        <w:tab/>
        <w:t>[</w:t>
      </w:r>
      <w:r w:rsidRPr="009118AB">
        <w:rPr>
          <w:rFonts w:eastAsia="Calibri"/>
          <w:kern w:val="2"/>
          <w:szCs w:val="22"/>
          <w:lang w:eastAsia="en-US"/>
          <w14:ligatures w14:val="standardContextual"/>
        </w:rPr>
        <w:t>5. Try-out: eine Probeaufführung der Bühnenproduktion, die dazu dient, die Reaktion des Publikums zu beurteilen und gegebenenfalls Änderungen an der Bühnenproduktion vorzunehmen, und für die der dem Publikum in Rechnung gestellte Eintrittspreis deutlich unter dem Eintrittspreis für die Premiere und die darauf folgenden Aufführungen liegt.</w:t>
      </w:r>
      <w:r w:rsidRPr="009118AB">
        <w:t>]</w:t>
      </w:r>
    </w:p>
    <w:p w14:paraId="7AF36F9D" w14:textId="77777777" w:rsidR="00F3098F" w:rsidRPr="009118AB" w:rsidRDefault="00F3098F" w:rsidP="00F3098F">
      <w:pPr>
        <w:jc w:val="both"/>
      </w:pPr>
    </w:p>
    <w:p w14:paraId="152A3DB2" w14:textId="77777777" w:rsidR="00AB4DE0" w:rsidRDefault="00AB4DE0">
      <w:r>
        <w:br w:type="page"/>
      </w:r>
    </w:p>
    <w:p w14:paraId="0A9B948C" w14:textId="2413582B" w:rsidR="00EA2EB8" w:rsidRPr="009118AB" w:rsidRDefault="00EA2EB8" w:rsidP="00EA2EB8">
      <w:pPr>
        <w:jc w:val="both"/>
      </w:pPr>
      <w:r w:rsidRPr="009118AB">
        <w:lastRenderedPageBreak/>
        <w:tab/>
      </w:r>
      <w:r w:rsidR="00D67EB8" w:rsidRPr="009118AB">
        <w:t>§ </w:t>
      </w:r>
      <w:r w:rsidRPr="009118AB">
        <w:t>3</w:t>
      </w:r>
      <w:r w:rsidR="00D67EB8" w:rsidRPr="009118AB">
        <w:t> - </w:t>
      </w:r>
      <w:r w:rsidRPr="009118AB">
        <w:t>In Abweichung von Artikel 194</w:t>
      </w:r>
      <w:r w:rsidRPr="009118AB">
        <w:rPr>
          <w:i/>
        </w:rPr>
        <w:t>ter</w:t>
      </w:r>
      <w:r w:rsidRPr="009118AB">
        <w:t xml:space="preserve"> </w:t>
      </w:r>
      <w:r w:rsidR="00D67EB8" w:rsidRPr="009118AB">
        <w:t>§ </w:t>
      </w:r>
      <w:r w:rsidRPr="009118AB">
        <w:t xml:space="preserve">1 Absatz 1 </w:t>
      </w:r>
      <w:r w:rsidR="00D67EB8" w:rsidRPr="009118AB">
        <w:t>Nr. </w:t>
      </w:r>
      <w:r w:rsidRPr="009118AB">
        <w:t>8 und 9 versteht man unter:</w:t>
      </w:r>
    </w:p>
    <w:p w14:paraId="0D9E64B4" w14:textId="77777777" w:rsidR="00EA2EB8" w:rsidRPr="009118AB" w:rsidRDefault="00EA2EB8" w:rsidP="00EA2EB8">
      <w:pPr>
        <w:jc w:val="both"/>
      </w:pPr>
    </w:p>
    <w:p w14:paraId="1089F674" w14:textId="77777777" w:rsidR="00EA2EB8" w:rsidRPr="009118AB" w:rsidRDefault="00EA2EB8" w:rsidP="00EA2EB8">
      <w:pPr>
        <w:jc w:val="both"/>
      </w:pPr>
      <w:r w:rsidRPr="009118AB">
        <w:tab/>
        <w:t>1. Ausgaben in direktem Zusammenhang mit der Produktion und Verwertung: Ausgaben in Zusammenhang mit der kreativen und technischen Produktion des in Betracht kommenden Werks, wie:</w:t>
      </w:r>
    </w:p>
    <w:p w14:paraId="17C0884D" w14:textId="77777777" w:rsidR="00EA2EB8" w:rsidRPr="009118AB" w:rsidRDefault="00EA2EB8" w:rsidP="00EA2EB8">
      <w:pPr>
        <w:jc w:val="both"/>
      </w:pPr>
    </w:p>
    <w:p w14:paraId="5039A260" w14:textId="77777777" w:rsidR="00EA2EB8" w:rsidRPr="009118AB" w:rsidRDefault="00EA2EB8" w:rsidP="00EA2EB8">
      <w:pPr>
        <w:jc w:val="both"/>
      </w:pPr>
      <w:r w:rsidRPr="009118AB">
        <w:tab/>
        <w:t>- Kosten, die die künstlerischen Rechte decken, mit Ausnahme der Kosten für die Entwicklung des Szenarios, die im Zeitraum vor dem Rahmenübereinkommen entstanden sind,</w:t>
      </w:r>
    </w:p>
    <w:p w14:paraId="4E1723C0" w14:textId="77777777" w:rsidR="00EA2EB8" w:rsidRPr="009118AB" w:rsidRDefault="00EA2EB8" w:rsidP="00EA2EB8">
      <w:pPr>
        <w:jc w:val="both"/>
      </w:pPr>
    </w:p>
    <w:p w14:paraId="68C365A6" w14:textId="77777777" w:rsidR="00EA2EB8" w:rsidRPr="009118AB" w:rsidRDefault="00EA2EB8" w:rsidP="00EA2EB8">
      <w:pPr>
        <w:jc w:val="both"/>
      </w:pPr>
      <w:r w:rsidRPr="009118AB">
        <w:tab/>
        <w:t>- Löhne und andere Entschädigungen des Personals oder Entschädigungen der selbständigen Dienstleistungserbringer, die mit der Schaffung und Ausführung des in Betracht kommenden Werks verbunden sind,</w:t>
      </w:r>
    </w:p>
    <w:p w14:paraId="2B1F7689" w14:textId="77777777" w:rsidR="00B03367" w:rsidRPr="009118AB" w:rsidRDefault="00B03367" w:rsidP="00EA2EB8">
      <w:pPr>
        <w:jc w:val="both"/>
      </w:pPr>
    </w:p>
    <w:p w14:paraId="71132874" w14:textId="60C7EFB8" w:rsidR="00EA2EB8" w:rsidRPr="009118AB" w:rsidRDefault="00EA2EB8" w:rsidP="00EA2EB8">
      <w:pPr>
        <w:jc w:val="both"/>
      </w:pPr>
      <w:r w:rsidRPr="009118AB">
        <w:tab/>
        <w:t>- Löhne und andere Entschädigungen der Schauspieler, Akrobaten, Tänzer, Dirigenten, Musiker, Sänger und künstlerischen Funktionen</w:t>
      </w:r>
      <w:r w:rsidR="00D67EB8" w:rsidRPr="009118AB">
        <w:t> - </w:t>
      </w:r>
      <w:r w:rsidRPr="009118AB">
        <w:t>ob sie selbständig sind oder nicht</w:t>
      </w:r>
      <w:r w:rsidR="00FD68E8" w:rsidRPr="009118AB">
        <w:t> -,</w:t>
      </w:r>
      <w:r w:rsidRPr="009118AB">
        <w:t xml:space="preserve"> die nur mit der Ausführung des in Betracht kommenden Werks verbunden sind,</w:t>
      </w:r>
    </w:p>
    <w:p w14:paraId="0703DD4F" w14:textId="77777777" w:rsidR="00EA2EB8" w:rsidRPr="009118AB" w:rsidRDefault="00EA2EB8" w:rsidP="00EA2EB8">
      <w:pPr>
        <w:jc w:val="both"/>
      </w:pPr>
    </w:p>
    <w:p w14:paraId="3A4DDA38" w14:textId="77777777" w:rsidR="00EA2EB8" w:rsidRPr="009118AB" w:rsidRDefault="00EA2EB8" w:rsidP="00EA2EB8">
      <w:pPr>
        <w:jc w:val="both"/>
      </w:pPr>
      <w:r w:rsidRPr="009118AB">
        <w:tab/>
        <w:t>- Soziallasten, die mit den im zweiten und dritten Gedankenstrich erwähnten Löhnen und Kosten verbunden sind,</w:t>
      </w:r>
    </w:p>
    <w:p w14:paraId="57B96ADD" w14:textId="77777777" w:rsidR="00EA2EB8" w:rsidRPr="009118AB" w:rsidRDefault="00EA2EB8" w:rsidP="00EA2EB8">
      <w:pPr>
        <w:jc w:val="both"/>
      </w:pPr>
    </w:p>
    <w:p w14:paraId="7F4575ED" w14:textId="77777777" w:rsidR="00EA2EB8" w:rsidRPr="009118AB" w:rsidRDefault="00EA2EB8" w:rsidP="00EA2EB8">
      <w:pPr>
        <w:jc w:val="both"/>
      </w:pPr>
      <w:r w:rsidRPr="009118AB">
        <w:tab/>
        <w:t>- Kosten für Bühnenbilder, Requisiten, Instrumente, Kostüme und Attribute, die auf die Bühne gebracht werden,</w:t>
      </w:r>
    </w:p>
    <w:p w14:paraId="26C9F68A" w14:textId="77777777" w:rsidR="00EA2EB8" w:rsidRPr="009118AB" w:rsidRDefault="00EA2EB8" w:rsidP="00EA2EB8">
      <w:pPr>
        <w:jc w:val="both"/>
      </w:pPr>
    </w:p>
    <w:p w14:paraId="2D03E646" w14:textId="77777777" w:rsidR="00EA2EB8" w:rsidRPr="009118AB" w:rsidRDefault="00EA2EB8" w:rsidP="00EA2EB8">
      <w:pPr>
        <w:jc w:val="both"/>
      </w:pPr>
      <w:r w:rsidRPr="009118AB">
        <w:tab/>
        <w:t>- Kosten für Licht, Ton, Spezialeffekte und andere technische Mittel,</w:t>
      </w:r>
    </w:p>
    <w:p w14:paraId="09A5D29D" w14:textId="77777777" w:rsidR="00EA2EB8" w:rsidRPr="009118AB" w:rsidRDefault="00EA2EB8" w:rsidP="00EA2EB8">
      <w:pPr>
        <w:jc w:val="both"/>
      </w:pPr>
    </w:p>
    <w:p w14:paraId="398D99F1" w14:textId="77777777" w:rsidR="00EA2EB8" w:rsidRPr="009118AB" w:rsidRDefault="00EA2EB8" w:rsidP="00EA2EB8">
      <w:pPr>
        <w:jc w:val="both"/>
      </w:pPr>
      <w:r w:rsidRPr="009118AB">
        <w:tab/>
        <w:t>- Transportkosten in Bezug auf die im fünften und sechsten Gedankenstrich erwähnten Kosten,</w:t>
      </w:r>
    </w:p>
    <w:p w14:paraId="08578247" w14:textId="77777777" w:rsidR="00EA2EB8" w:rsidRPr="009118AB" w:rsidRDefault="00EA2EB8" w:rsidP="00EA2EB8">
      <w:pPr>
        <w:jc w:val="both"/>
      </w:pPr>
    </w:p>
    <w:p w14:paraId="202D9B76" w14:textId="77777777" w:rsidR="00EA2EB8" w:rsidRPr="009118AB" w:rsidRDefault="00EA2EB8" w:rsidP="00EA2EB8">
      <w:pPr>
        <w:jc w:val="both"/>
      </w:pPr>
      <w:r w:rsidRPr="009118AB">
        <w:tab/>
        <w:t>- Kosten für Beförderung und Unterkunft von Personen, die auf einen Betrag in Höhe von 25 Prozent der im zweiten und dritten Gedankenstrich erwähnten Kosten begrenzt sind,</w:t>
      </w:r>
    </w:p>
    <w:p w14:paraId="10B1C427" w14:textId="77777777" w:rsidR="00EA2EB8" w:rsidRPr="009118AB" w:rsidRDefault="00EA2EB8" w:rsidP="00EA2EB8">
      <w:pPr>
        <w:jc w:val="both"/>
      </w:pPr>
    </w:p>
    <w:p w14:paraId="0EBECE2F" w14:textId="77777777" w:rsidR="00EA2EB8" w:rsidRPr="009118AB" w:rsidRDefault="00EA2EB8" w:rsidP="00EA2EB8">
      <w:pPr>
        <w:jc w:val="both"/>
      </w:pPr>
      <w:r w:rsidRPr="009118AB">
        <w:tab/>
        <w:t>- Kosten für die Miete von Probe- und Aufführungsräumen,</w:t>
      </w:r>
    </w:p>
    <w:p w14:paraId="48F89586" w14:textId="77777777" w:rsidR="00EA2EB8" w:rsidRPr="009118AB" w:rsidRDefault="00EA2EB8" w:rsidP="00EA2EB8">
      <w:pPr>
        <w:jc w:val="both"/>
      </w:pPr>
    </w:p>
    <w:p w14:paraId="038D1538" w14:textId="77777777" w:rsidR="00EA2EB8" w:rsidRPr="009118AB" w:rsidRDefault="00EA2EB8" w:rsidP="00EA2EB8">
      <w:pPr>
        <w:jc w:val="both"/>
      </w:pPr>
      <w:r w:rsidRPr="009118AB">
        <w:tab/>
        <w:t>- Versicherungskosten in direktem Zusammenhang mit der Produktion,</w:t>
      </w:r>
    </w:p>
    <w:p w14:paraId="5673A929" w14:textId="77777777" w:rsidR="00EA2EB8" w:rsidRPr="009118AB" w:rsidRDefault="00EA2EB8" w:rsidP="00EA2EB8">
      <w:pPr>
        <w:jc w:val="both"/>
      </w:pPr>
    </w:p>
    <w:p w14:paraId="2E2D5CFE" w14:textId="77777777" w:rsidR="00EA2EB8" w:rsidRPr="009118AB" w:rsidRDefault="00EA2EB8" w:rsidP="00EA2EB8">
      <w:pPr>
        <w:jc w:val="both"/>
      </w:pPr>
      <w:r w:rsidRPr="009118AB">
        <w:tab/>
        <w:t>- Kosten für Edition und Verkaufsförderung, die der Produktion eigen sind: Plakate, Flyer, Pressemappe, Website oder mit der Produktion verbundene Webseite und Premiere,</w:t>
      </w:r>
    </w:p>
    <w:p w14:paraId="1D55409C" w14:textId="77777777" w:rsidR="00EA2EB8" w:rsidRPr="009118AB" w:rsidRDefault="00EA2EB8" w:rsidP="00EA2EB8">
      <w:pPr>
        <w:jc w:val="both"/>
      </w:pPr>
    </w:p>
    <w:p w14:paraId="6A9C6D52" w14:textId="77777777" w:rsidR="00EA2EB8" w:rsidRPr="009118AB" w:rsidRDefault="00EA2EB8" w:rsidP="00EA2EB8">
      <w:pPr>
        <w:jc w:val="both"/>
      </w:pPr>
      <w:r w:rsidRPr="009118AB">
        <w:tab/>
        <w:t>2. Ausgaben, die nicht in direktem Zusammenhang mit der Produktion und Verwertung stehen:</w:t>
      </w:r>
    </w:p>
    <w:p w14:paraId="0E1ADC07" w14:textId="77777777" w:rsidR="00EA2EB8" w:rsidRPr="009118AB" w:rsidRDefault="00EA2EB8" w:rsidP="00EA2EB8">
      <w:pPr>
        <w:jc w:val="both"/>
      </w:pPr>
    </w:p>
    <w:p w14:paraId="3777A7F9" w14:textId="77777777" w:rsidR="00EA2EB8" w:rsidRPr="009118AB" w:rsidRDefault="00EA2EB8" w:rsidP="00EA2EB8">
      <w:pPr>
        <w:jc w:val="both"/>
      </w:pPr>
      <w:r w:rsidRPr="009118AB">
        <w:tab/>
        <w:t>insbesondere folgende Ausgaben:</w:t>
      </w:r>
    </w:p>
    <w:p w14:paraId="0473D47A" w14:textId="77777777" w:rsidR="00EA2EB8" w:rsidRPr="009118AB" w:rsidRDefault="00EA2EB8" w:rsidP="00EA2EB8">
      <w:pPr>
        <w:jc w:val="both"/>
      </w:pPr>
    </w:p>
    <w:p w14:paraId="6AAAF7B4" w14:textId="77777777" w:rsidR="00EA2EB8" w:rsidRPr="009118AB" w:rsidRDefault="00EA2EB8" w:rsidP="00EA2EB8">
      <w:pPr>
        <w:jc w:val="both"/>
      </w:pPr>
      <w:r w:rsidRPr="009118AB">
        <w:tab/>
        <w:t>- Ausgaben in Bezug auf administrative, finanzielle und rechtliche Organisation und Begleitung der Bühnenproduktion,</w:t>
      </w:r>
    </w:p>
    <w:p w14:paraId="3BED94C0" w14:textId="77777777" w:rsidR="00EA2EB8" w:rsidRPr="009118AB" w:rsidRDefault="00EA2EB8" w:rsidP="00EA2EB8">
      <w:pPr>
        <w:jc w:val="both"/>
      </w:pPr>
    </w:p>
    <w:p w14:paraId="247053DB" w14:textId="77777777" w:rsidR="00EA2EB8" w:rsidRPr="009118AB" w:rsidRDefault="00EA2EB8" w:rsidP="00EA2EB8">
      <w:pPr>
        <w:jc w:val="both"/>
      </w:pPr>
      <w:r w:rsidRPr="009118AB">
        <w:tab/>
        <w:t>- Finanzierungskosten und Provisionen, die im Rahmen der Anwerbung von Unternehmen gezahlt werden, die ein Rahmenübereinkommen zur Produktion eines in Betracht kommenden Werks abschließen,</w:t>
      </w:r>
    </w:p>
    <w:p w14:paraId="044DC4B1" w14:textId="77777777" w:rsidR="00EA2EB8" w:rsidRPr="009118AB" w:rsidRDefault="00EA2EB8" w:rsidP="00EA2EB8">
      <w:pPr>
        <w:jc w:val="both"/>
      </w:pPr>
    </w:p>
    <w:p w14:paraId="367F5C65" w14:textId="4D2445EA" w:rsidR="00EA2EB8" w:rsidRPr="009118AB" w:rsidRDefault="00EA2EB8" w:rsidP="00EA2EB8">
      <w:pPr>
        <w:jc w:val="both"/>
      </w:pPr>
      <w:r w:rsidRPr="009118AB">
        <w:lastRenderedPageBreak/>
        <w:tab/>
        <w:t>- Kosten in Zusammenhang mit der Finanzierung des in Betracht kommenden Werks oder auf der Grundlage eines in Artikel 194</w:t>
      </w:r>
      <w:r w:rsidRPr="009118AB">
        <w:rPr>
          <w:i/>
        </w:rPr>
        <w:t>ter</w:t>
      </w:r>
      <w:r w:rsidRPr="009118AB">
        <w:t xml:space="preserve"> </w:t>
      </w:r>
      <w:r w:rsidR="00D67EB8" w:rsidRPr="009118AB">
        <w:t>§ </w:t>
      </w:r>
      <w:r w:rsidRPr="009118AB">
        <w:t xml:space="preserve">1 Absatz 1 </w:t>
      </w:r>
      <w:r w:rsidR="00D67EB8" w:rsidRPr="009118AB">
        <w:t>Nr. </w:t>
      </w:r>
      <w:r w:rsidRPr="009118AB">
        <w:t>5 erwähnten Rahmenübereinkommens gezahlte Summen einschließlich der Kosten für rechtlichen Beistand, Rechtsanwaltskosten, Zinsen, Garantiekosten, Verwaltungskosten, Provisionen und Repräsentationskosten,</w:t>
      </w:r>
    </w:p>
    <w:p w14:paraId="4F085AF8" w14:textId="77777777" w:rsidR="00EA2EB8" w:rsidRPr="009118AB" w:rsidRDefault="00EA2EB8" w:rsidP="00EA2EB8">
      <w:pPr>
        <w:jc w:val="both"/>
      </w:pPr>
    </w:p>
    <w:p w14:paraId="0E96B27D" w14:textId="77777777" w:rsidR="00EA2EB8" w:rsidRPr="009118AB" w:rsidRDefault="00EA2EB8" w:rsidP="00EA2EB8">
      <w:pPr>
        <w:jc w:val="both"/>
      </w:pPr>
      <w:r w:rsidRPr="009118AB">
        <w:tab/>
        <w:t>- Rechnungen, die von dem in Betracht kommenden Anleger erstellt werden, mit Ausnahme der Rechnungen von Unternehmen für technische Bühnendienstleistungen, wenn die in Rechnung gestellten Güter oder Dienstleistungen in direktem Zusammenhang mit der Produktion stehen und in dem Maße, wie der Betrag dieser Rechnungen dem Preis entspricht, der hätte gezahlt werden müssen, wenn die beteiligten Gesellschaften voneinander völlig unabhängig wären,</w:t>
      </w:r>
    </w:p>
    <w:p w14:paraId="464A2972" w14:textId="77777777" w:rsidR="00EA2EB8" w:rsidRPr="009118AB" w:rsidRDefault="00EA2EB8" w:rsidP="00EA2EB8">
      <w:pPr>
        <w:jc w:val="both"/>
      </w:pPr>
    </w:p>
    <w:p w14:paraId="2624D18F" w14:textId="77777777" w:rsidR="00EA2EB8" w:rsidRPr="009118AB" w:rsidRDefault="00EA2EB8" w:rsidP="00EA2EB8">
      <w:pPr>
        <w:jc w:val="both"/>
      </w:pPr>
      <w:r w:rsidRPr="009118AB">
        <w:tab/>
        <w:t>- Vertriebskosten, die zu Lasten der Produktionsgesellschaft sind. Kosten, die grundsätzlich zu Lasten der Einrichtungen gehen, in denen die Bühnenproduktion aufgeführt wird, wie beispielsweise Kulturzentren, kommen nicht in Betracht.</w:t>
      </w:r>
    </w:p>
    <w:p w14:paraId="6D8817F0" w14:textId="77777777" w:rsidR="00EA2EB8" w:rsidRPr="009118AB" w:rsidRDefault="00EA2EB8" w:rsidP="00EA2EB8">
      <w:pPr>
        <w:jc w:val="both"/>
      </w:pPr>
    </w:p>
    <w:p w14:paraId="190B4CD9" w14:textId="6F99438E" w:rsidR="00EA2EB8" w:rsidRPr="009118AB" w:rsidRDefault="00EA2EB8" w:rsidP="00EA2EB8">
      <w:pPr>
        <w:jc w:val="both"/>
      </w:pPr>
      <w:r w:rsidRPr="009118AB">
        <w:tab/>
      </w:r>
      <w:r w:rsidR="00D67EB8" w:rsidRPr="009118AB">
        <w:t>§ </w:t>
      </w:r>
      <w:r w:rsidRPr="009118AB">
        <w:t>4</w:t>
      </w:r>
      <w:r w:rsidR="00D67EB8" w:rsidRPr="009118AB">
        <w:t> - </w:t>
      </w:r>
      <w:r w:rsidR="00F17808" w:rsidRPr="009118AB">
        <w:t>[...]</w:t>
      </w:r>
    </w:p>
    <w:p w14:paraId="618FE1A5" w14:textId="77777777" w:rsidR="00EA2EB8" w:rsidRPr="009118AB" w:rsidRDefault="00EA2EB8" w:rsidP="00EA2EB8">
      <w:pPr>
        <w:jc w:val="both"/>
      </w:pPr>
    </w:p>
    <w:p w14:paraId="67D05559" w14:textId="5073F770" w:rsidR="00EA2EB8" w:rsidRPr="009118AB" w:rsidRDefault="00EA2EB8" w:rsidP="00EA2EB8">
      <w:pPr>
        <w:jc w:val="both"/>
      </w:pPr>
      <w:r w:rsidRPr="009118AB">
        <w:tab/>
      </w:r>
      <w:r w:rsidR="00D67EB8" w:rsidRPr="009118AB">
        <w:t>§ </w:t>
      </w:r>
      <w:r w:rsidRPr="009118AB">
        <w:t>5</w:t>
      </w:r>
      <w:r w:rsidR="00D67EB8" w:rsidRPr="009118AB">
        <w:t> - </w:t>
      </w:r>
      <w:r w:rsidRPr="009118AB">
        <w:t>Pro Besteuerungszeitraum wird die in Artikel 194</w:t>
      </w:r>
      <w:r w:rsidRPr="009118AB">
        <w:rPr>
          <w:i/>
        </w:rPr>
        <w:t>ter</w:t>
      </w:r>
      <w:r w:rsidRPr="009118AB">
        <w:t xml:space="preserve"> </w:t>
      </w:r>
      <w:r w:rsidR="00D67EB8" w:rsidRPr="009118AB">
        <w:t>§ </w:t>
      </w:r>
      <w:r w:rsidRPr="009118AB">
        <w:t>2 vorgesehene Steuerbefreiung zu einem Betrag gewährt, der bei einem Höchstbetrag von 750.000 EUR auf 50 Prozent der steuerpflichtigen Gewinnrücklagen des Besteuerungszeitraums begrenzt ist, die vor Bildung der in Artikel 194</w:t>
      </w:r>
      <w:r w:rsidRPr="009118AB">
        <w:rPr>
          <w:i/>
        </w:rPr>
        <w:t>ter</w:t>
      </w:r>
      <w:r w:rsidRPr="009118AB">
        <w:t xml:space="preserve"> </w:t>
      </w:r>
      <w:r w:rsidR="00D67EB8" w:rsidRPr="009118AB">
        <w:t>§ </w:t>
      </w:r>
      <w:r w:rsidRPr="009118AB">
        <w:t xml:space="preserve">4 erwähnten steuerfreien Rücklage festgestellt wurden. Dieser Grenzbetrag und dieser Höchstbetrag sind auf den Gesamtbetrag der </w:t>
      </w:r>
      <w:r w:rsidR="00132071" w:rsidRPr="009118AB">
        <w:t>[</w:t>
      </w:r>
      <w:r w:rsidR="00D72712" w:rsidRPr="009118AB">
        <w:t>in den Artikeln 194</w:t>
      </w:r>
      <w:r w:rsidR="00D72712" w:rsidRPr="009118AB">
        <w:rPr>
          <w:i/>
          <w:iCs/>
        </w:rPr>
        <w:t>ter</w:t>
      </w:r>
      <w:r w:rsidR="00D72712" w:rsidRPr="009118AB">
        <w:t>, 194</w:t>
      </w:r>
      <w:r w:rsidR="00D72712" w:rsidRPr="009118AB">
        <w:rPr>
          <w:i/>
          <w:iCs/>
        </w:rPr>
        <w:t>ter</w:t>
      </w:r>
      <w:r w:rsidR="00D72712" w:rsidRPr="009118AB">
        <w:t>/1 und 194</w:t>
      </w:r>
      <w:r w:rsidR="00D72712" w:rsidRPr="009118AB">
        <w:rPr>
          <w:i/>
          <w:iCs/>
        </w:rPr>
        <w:t>ter</w:t>
      </w:r>
      <w:r w:rsidR="00D72712" w:rsidRPr="009118AB">
        <w:t xml:space="preserve">/3] </w:t>
      </w:r>
      <w:r w:rsidRPr="009118AB">
        <w:t>erwähnten Steuerbefreiungen anwendbar.</w:t>
      </w:r>
    </w:p>
    <w:p w14:paraId="3E673271" w14:textId="0E2E41DF" w:rsidR="00EA2EB8" w:rsidRPr="009118AB" w:rsidRDefault="00EA2EB8" w:rsidP="00EA2EB8">
      <w:pPr>
        <w:jc w:val="both"/>
      </w:pPr>
    </w:p>
    <w:p w14:paraId="76AA49CB" w14:textId="77777777" w:rsidR="00EC2C95" w:rsidRPr="009118AB" w:rsidRDefault="00EC2C95" w:rsidP="00EC2C95">
      <w:pPr>
        <w:ind w:firstLine="708"/>
        <w:jc w:val="both"/>
      </w:pPr>
      <w:r w:rsidRPr="009118AB">
        <w:tab/>
        <w:t>[Für den Besteuerungszeitraum, für den der in Artikel 215 Absatz 1 erwähnte Gesellschaftssteuersatz auf 29 Prozent festgelegt wird, wird der in Absatz 1 erwähnte Höchstbetrag auf 850.000 EUR angehoben.</w:t>
      </w:r>
    </w:p>
    <w:p w14:paraId="7DDDDE36" w14:textId="77777777" w:rsidR="00EC2C95" w:rsidRPr="009118AB" w:rsidRDefault="00EC2C95" w:rsidP="00EC2C95">
      <w:pPr>
        <w:jc w:val="both"/>
      </w:pPr>
    </w:p>
    <w:p w14:paraId="43A2CC5B" w14:textId="77777777" w:rsidR="00EC2C95" w:rsidRPr="009118AB" w:rsidRDefault="00EC2C95" w:rsidP="00EC2C95">
      <w:pPr>
        <w:ind w:firstLine="708"/>
        <w:jc w:val="both"/>
      </w:pPr>
      <w:r w:rsidRPr="009118AB">
        <w:t>Für den Besteuerungszeitraum, für den der in Artikel 215 Absatz 1 erwähnte Gesellschaftssteuersatz auf 25 Prozent festgelegt wird, wird der in Absatz 1 erwähnte Höchstbetrag auf 1.000.000 EUR angehoben.</w:t>
      </w:r>
    </w:p>
    <w:p w14:paraId="578699F2" w14:textId="77777777" w:rsidR="00EC2C95" w:rsidRPr="009118AB" w:rsidRDefault="00EC2C95" w:rsidP="00EC2C95">
      <w:pPr>
        <w:jc w:val="both"/>
      </w:pPr>
    </w:p>
    <w:p w14:paraId="1FA1D33E" w14:textId="3CCE1815" w:rsidR="00EC2C95" w:rsidRPr="009118AB" w:rsidRDefault="00EC2C95" w:rsidP="00EC2C95">
      <w:pPr>
        <w:ind w:firstLine="708"/>
        <w:jc w:val="both"/>
      </w:pPr>
      <w:r w:rsidRPr="009118AB">
        <w:t>Gibt es in einem Besteuerungszeitraum keine oder unzureichende Gewinne, um die Summen zur Ausführung des Rahmenübereinkommens zu verwenden, wird die für diesen Besteuerungszeitraum nicht gewährte Steuerbefreiung gemäß Artikel 194</w:t>
      </w:r>
      <w:r w:rsidRPr="009118AB">
        <w:rPr>
          <w:i/>
          <w:iCs/>
        </w:rPr>
        <w:t>ter</w:t>
      </w:r>
      <w:r w:rsidRPr="009118AB">
        <w:t xml:space="preserve"> </w:t>
      </w:r>
      <w:r w:rsidR="00D67EB8" w:rsidRPr="009118AB">
        <w:t>§ </w:t>
      </w:r>
      <w:r w:rsidRPr="009118AB">
        <w:t>3 Absatz 2 bis 4 nacheinander auf die Gewinne der nachfolgenden Besteuerungszeiträume übertragen, ohne dass die in den Artikeln 194</w:t>
      </w:r>
      <w:r w:rsidRPr="009118AB">
        <w:rPr>
          <w:i/>
          <w:iCs/>
        </w:rPr>
        <w:t>ter</w:t>
      </w:r>
      <w:r w:rsidRPr="009118AB">
        <w:t xml:space="preserve"> </w:t>
      </w:r>
      <w:r w:rsidR="00D67EB8" w:rsidRPr="009118AB">
        <w:t>§ </w:t>
      </w:r>
      <w:r w:rsidRPr="009118AB">
        <w:t>2 und 194</w:t>
      </w:r>
      <w:r w:rsidRPr="009118AB">
        <w:rPr>
          <w:i/>
          <w:iCs/>
        </w:rPr>
        <w:t>ter</w:t>
      </w:r>
      <w:r w:rsidRPr="009118AB">
        <w:t xml:space="preserve">/1 </w:t>
      </w:r>
      <w:r w:rsidR="00D67EB8" w:rsidRPr="009118AB">
        <w:t>§ </w:t>
      </w:r>
      <w:r w:rsidRPr="009118AB">
        <w:t>5 erwähnten Steuerbefreiungen, gegebenenfalls zusammen angewandt, pro Besteuerungszeitraum die in Absatz 1 festgelegten Grenzen übersteigen dürfen.]</w:t>
      </w:r>
    </w:p>
    <w:p w14:paraId="3E600CF1" w14:textId="77777777" w:rsidR="00EC2C95" w:rsidRPr="009118AB" w:rsidRDefault="00EC2C95" w:rsidP="00EA2EB8">
      <w:pPr>
        <w:jc w:val="both"/>
      </w:pPr>
    </w:p>
    <w:p w14:paraId="13A0F311" w14:textId="19BF3165" w:rsidR="00EC2C95" w:rsidRPr="009118AB" w:rsidRDefault="00EA2EB8" w:rsidP="00EA2EB8">
      <w:pPr>
        <w:jc w:val="both"/>
      </w:pPr>
      <w:r w:rsidRPr="009118AB">
        <w:tab/>
        <w:t>In Abweichung von Artikel 194</w:t>
      </w:r>
      <w:r w:rsidRPr="009118AB">
        <w:rPr>
          <w:i/>
        </w:rPr>
        <w:t>ter</w:t>
      </w:r>
      <w:r w:rsidRPr="009118AB">
        <w:t xml:space="preserve"> </w:t>
      </w:r>
      <w:r w:rsidR="00D67EB8" w:rsidRPr="009118AB">
        <w:t>§ </w:t>
      </w:r>
      <w:r w:rsidRPr="009118AB">
        <w:t>8 Absatz 4 beläuft sich die Summe aller Steuerwerte der Tax-Shelter-Bescheinigungen pro in Betracht kommendes Werk auf höchstens 2.500.000 EUR.</w:t>
      </w:r>
    </w:p>
    <w:p w14:paraId="5A622BE0" w14:textId="77777777" w:rsidR="00EA2EB8" w:rsidRPr="009118AB" w:rsidRDefault="00EA2EB8" w:rsidP="00EA2EB8">
      <w:pPr>
        <w:jc w:val="both"/>
      </w:pPr>
    </w:p>
    <w:p w14:paraId="019BCCAD" w14:textId="77777777" w:rsidR="005D1B02" w:rsidRPr="009118AB" w:rsidRDefault="005D1B02">
      <w:r w:rsidRPr="009118AB">
        <w:br w:type="page"/>
      </w:r>
    </w:p>
    <w:p w14:paraId="033A0B7E" w14:textId="49BD636B" w:rsidR="00950EF1" w:rsidRPr="009118AB" w:rsidRDefault="00EA2EB8" w:rsidP="00EA2EB8">
      <w:pPr>
        <w:jc w:val="both"/>
      </w:pPr>
      <w:r w:rsidRPr="009118AB">
        <w:lastRenderedPageBreak/>
        <w:tab/>
      </w:r>
      <w:r w:rsidR="00D67EB8" w:rsidRPr="009118AB">
        <w:t>§ </w:t>
      </w:r>
      <w:r w:rsidRPr="009118AB">
        <w:t>6</w:t>
      </w:r>
      <w:r w:rsidR="00D67EB8" w:rsidRPr="009118AB">
        <w:t> - </w:t>
      </w:r>
      <w:r w:rsidRPr="009118AB">
        <w:t>Um gemäß Artikel 194</w:t>
      </w:r>
      <w:r w:rsidRPr="009118AB">
        <w:rPr>
          <w:i/>
        </w:rPr>
        <w:t>ter</w:t>
      </w:r>
      <w:r w:rsidRPr="009118AB">
        <w:t xml:space="preserve"> </w:t>
      </w:r>
      <w:r w:rsidR="00D67EB8" w:rsidRPr="009118AB">
        <w:t>§ </w:t>
      </w:r>
      <w:r w:rsidRPr="009118AB">
        <w:t xml:space="preserve">7 Absatz 1 </w:t>
      </w:r>
      <w:r w:rsidR="00D67EB8" w:rsidRPr="009118AB">
        <w:t>Nr. </w:t>
      </w:r>
      <w:r w:rsidRPr="009118AB">
        <w:t>3 zweiter Gedankenstrich bescheinigen zu können, dass die Realisierung der Originalbühnenproduktion abgeschlossen ist, muss die betreffende Gemeinschaft sich vergewissern, dass das Werk zum ersten Mal im Europäischen Wirtschaftsraum öffentlich aufgeführt worden ist.]</w:t>
      </w:r>
    </w:p>
    <w:p w14:paraId="64D78F74" w14:textId="77777777" w:rsidR="00950EF1" w:rsidRPr="009118AB" w:rsidRDefault="00950EF1" w:rsidP="00950EF1"/>
    <w:p w14:paraId="3CA73534" w14:textId="5183D67F" w:rsidR="00EA2EB8" w:rsidRPr="009118AB" w:rsidRDefault="00EA2EB8" w:rsidP="00EA2EB8">
      <w:pPr>
        <w:jc w:val="both"/>
        <w:rPr>
          <w:i/>
        </w:rPr>
      </w:pPr>
      <w:r w:rsidRPr="009118AB">
        <w:rPr>
          <w:i/>
        </w:rPr>
        <w:t>[</w:t>
      </w:r>
      <w:r w:rsidR="00D67EB8" w:rsidRPr="009118AB">
        <w:rPr>
          <w:i/>
        </w:rPr>
        <w:t>Art. </w:t>
      </w:r>
      <w:r w:rsidRPr="009118AB">
        <w:rPr>
          <w:i/>
        </w:rPr>
        <w:t xml:space="preserve">194ter/1 eingefügt durch </w:t>
      </w:r>
      <w:r w:rsidR="00D67EB8" w:rsidRPr="009118AB">
        <w:rPr>
          <w:i/>
        </w:rPr>
        <w:t>Art. </w:t>
      </w:r>
      <w:r w:rsidRPr="009118AB">
        <w:rPr>
          <w:i/>
        </w:rPr>
        <w:t xml:space="preserve">4 des </w:t>
      </w:r>
      <w:r w:rsidR="00282021" w:rsidRPr="009118AB">
        <w:rPr>
          <w:i/>
        </w:rPr>
        <w:t>G</w:t>
      </w:r>
      <w:r w:rsidRPr="009118AB">
        <w:rPr>
          <w:i/>
        </w:rPr>
        <w:t>. vom 25. Dezember 2016 (IV) (B.S. vom 17. Januar 2017)</w:t>
      </w:r>
      <w:r w:rsidR="00D67EB8" w:rsidRPr="009118AB">
        <w:rPr>
          <w:i/>
        </w:rPr>
        <w:t> - </w:t>
      </w:r>
      <w:r w:rsidRPr="009118AB">
        <w:rPr>
          <w:i/>
        </w:rPr>
        <w:t>in Kraft ab dem 17. Januar 2017 und anwendbar auf Rahmenüberein</w:t>
      </w:r>
      <w:r w:rsidR="00282021" w:rsidRPr="009118AB">
        <w:rPr>
          <w:i/>
        </w:rPr>
        <w:softHyphen/>
      </w:r>
      <w:r w:rsidRPr="009118AB">
        <w:rPr>
          <w:i/>
        </w:rPr>
        <w:t>kommen, die ab dem</w:t>
      </w:r>
      <w:r w:rsidR="00C203F9" w:rsidRPr="009118AB">
        <w:rPr>
          <w:i/>
        </w:rPr>
        <w:t xml:space="preserve"> 1. Februar 2017 </w:t>
      </w:r>
      <w:r w:rsidRPr="009118AB">
        <w:rPr>
          <w:i/>
        </w:rPr>
        <w:t>unterzeichnet werden</w:t>
      </w:r>
      <w:r w:rsidR="003366D9" w:rsidRPr="009118AB">
        <w:rPr>
          <w:i/>
        </w:rPr>
        <w:t> -;</w:t>
      </w:r>
      <w:r w:rsidR="005D1B02" w:rsidRPr="009118AB">
        <w:rPr>
          <w:i/>
        </w:rPr>
        <w:t xml:space="preserve"> § 1 </w:t>
      </w:r>
      <w:r w:rsidR="005D1B02" w:rsidRPr="009118AB">
        <w:rPr>
          <w:i/>
        </w:rPr>
        <w:tab/>
        <w:t>abgeändert durch Art. </w:t>
      </w:r>
      <w:r w:rsidR="005D1B02" w:rsidRPr="009118AB">
        <w:rPr>
          <w:i/>
          <w:iCs/>
          <w:spacing w:val="-2"/>
        </w:rPr>
        <w:t>18 Nr. 1 des G. vom 5.</w:t>
      </w:r>
      <w:r w:rsidR="00A7677B" w:rsidRPr="009118AB">
        <w:rPr>
          <w:i/>
          <w:iCs/>
          <w:spacing w:val="-2"/>
        </w:rPr>
        <w:t> </w:t>
      </w:r>
      <w:r w:rsidR="005D1B02" w:rsidRPr="009118AB">
        <w:rPr>
          <w:i/>
          <w:iCs/>
          <w:spacing w:val="-2"/>
        </w:rPr>
        <w:t>Juli</w:t>
      </w:r>
      <w:r w:rsidR="00A7677B" w:rsidRPr="009118AB">
        <w:rPr>
          <w:i/>
          <w:iCs/>
          <w:spacing w:val="-2"/>
        </w:rPr>
        <w:t> </w:t>
      </w:r>
      <w:r w:rsidR="005D1B02" w:rsidRPr="009118AB">
        <w:rPr>
          <w:i/>
          <w:iCs/>
          <w:spacing w:val="-2"/>
        </w:rPr>
        <w:t>2022 (B.S. vom 15.</w:t>
      </w:r>
      <w:r w:rsidR="00A7677B" w:rsidRPr="009118AB">
        <w:rPr>
          <w:i/>
          <w:iCs/>
          <w:spacing w:val="-2"/>
        </w:rPr>
        <w:t> </w:t>
      </w:r>
      <w:r w:rsidR="005D1B02" w:rsidRPr="009118AB">
        <w:rPr>
          <w:i/>
          <w:iCs/>
          <w:spacing w:val="-2"/>
        </w:rPr>
        <w:t>Juli</w:t>
      </w:r>
      <w:r w:rsidR="00A7677B" w:rsidRPr="009118AB">
        <w:rPr>
          <w:i/>
          <w:iCs/>
          <w:spacing w:val="-2"/>
        </w:rPr>
        <w:t> </w:t>
      </w:r>
      <w:r w:rsidR="005D1B02" w:rsidRPr="009118AB">
        <w:rPr>
          <w:i/>
          <w:iCs/>
          <w:spacing w:val="-2"/>
        </w:rPr>
        <w:t>2022)</w:t>
      </w:r>
      <w:r w:rsidR="00A7677B" w:rsidRPr="009118AB">
        <w:rPr>
          <w:i/>
          <w:iCs/>
          <w:spacing w:val="-2"/>
        </w:rPr>
        <w:t> </w:t>
      </w:r>
      <w:r w:rsidR="005D1B02" w:rsidRPr="009118AB">
        <w:rPr>
          <w:i/>
          <w:iCs/>
          <w:spacing w:val="-2"/>
        </w:rPr>
        <w:t>-</w:t>
      </w:r>
      <w:r w:rsidR="00A7677B" w:rsidRPr="009118AB">
        <w:rPr>
          <w:i/>
          <w:iCs/>
          <w:spacing w:val="-2"/>
        </w:rPr>
        <w:t> </w:t>
      </w:r>
      <w:r w:rsidR="005D1B02"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118AB">
        <w:rPr>
          <w:i/>
          <w:iCs/>
          <w:spacing w:val="-2"/>
        </w:rPr>
        <w:t xml:space="preserve"> erfolgt</w:t>
      </w:r>
      <w:r w:rsidR="005D1B02" w:rsidRPr="009118AB">
        <w:rPr>
          <w:i/>
          <w:iCs/>
          <w:spacing w:val="-2"/>
        </w:rPr>
        <w:t> -;</w:t>
      </w:r>
      <w:r w:rsidR="005D1B02" w:rsidRPr="009118AB">
        <w:rPr>
          <w:i/>
        </w:rPr>
        <w:t> </w:t>
      </w:r>
      <w:r w:rsidR="00D67EB8" w:rsidRPr="009118AB">
        <w:rPr>
          <w:i/>
        </w:rPr>
        <w:t>§ </w:t>
      </w:r>
      <w:r w:rsidR="00F17808" w:rsidRPr="009118AB">
        <w:rPr>
          <w:i/>
        </w:rPr>
        <w:t xml:space="preserve">2 </w:t>
      </w:r>
      <w:r w:rsidR="00DF3841" w:rsidRPr="009118AB">
        <w:rPr>
          <w:i/>
        </w:rPr>
        <w:t>einziger Absatz</w:t>
      </w:r>
      <w:r w:rsidR="00F17808" w:rsidRPr="009118AB">
        <w:rPr>
          <w:i/>
        </w:rPr>
        <w:t xml:space="preserve"> </w:t>
      </w:r>
      <w:r w:rsidR="00D67EB8" w:rsidRPr="009118AB">
        <w:rPr>
          <w:i/>
        </w:rPr>
        <w:t>Nr. </w:t>
      </w:r>
      <w:r w:rsidR="00F17808" w:rsidRPr="009118AB">
        <w:rPr>
          <w:i/>
        </w:rPr>
        <w:t>1 Abs</w:t>
      </w:r>
      <w:r w:rsidR="00DF3841" w:rsidRPr="009118AB">
        <w:rPr>
          <w:i/>
        </w:rPr>
        <w:t>. 1</w:t>
      </w:r>
      <w:r w:rsidR="00F17808" w:rsidRPr="009118AB">
        <w:rPr>
          <w:i/>
        </w:rPr>
        <w:t xml:space="preserve"> zweiter Gedankenstrich abgeändert durch </w:t>
      </w:r>
      <w:r w:rsidR="00D67EB8" w:rsidRPr="009118AB">
        <w:rPr>
          <w:i/>
        </w:rPr>
        <w:t>Art. </w:t>
      </w:r>
      <w:r w:rsidR="0043567E" w:rsidRPr="009118AB">
        <w:rPr>
          <w:i/>
        </w:rPr>
        <w:t xml:space="preserve">12 </w:t>
      </w:r>
      <w:r w:rsidR="00D67EB8" w:rsidRPr="009118AB">
        <w:rPr>
          <w:i/>
        </w:rPr>
        <w:t>Nr. </w:t>
      </w:r>
      <w:r w:rsidR="0043567E" w:rsidRPr="009118AB">
        <w:rPr>
          <w:i/>
        </w:rPr>
        <w:t>1</w:t>
      </w:r>
      <w:r w:rsidR="0043567E" w:rsidRPr="009118AB">
        <w:rPr>
          <w:i/>
          <w:iCs/>
        </w:rPr>
        <w:t xml:space="preserve"> des G. vom 29. Mai 2020 (B.S. vom 11. Juni 2020)</w:t>
      </w:r>
      <w:r w:rsidR="00D67EB8" w:rsidRPr="009118AB">
        <w:rPr>
          <w:i/>
          <w:iCs/>
        </w:rPr>
        <w:t> - </w:t>
      </w:r>
      <w:r w:rsidR="0043567E" w:rsidRPr="009118AB">
        <w:rPr>
          <w:i/>
          <w:iCs/>
        </w:rPr>
        <w:t>in Kraft am 11. Juni 2020 und anwendbar auf die ab dem 12. März 2020 unterzeichneten Rahmen</w:t>
      </w:r>
      <w:r w:rsidR="0043567E" w:rsidRPr="009118AB">
        <w:rPr>
          <w:i/>
          <w:iCs/>
        </w:rPr>
        <w:softHyphen/>
        <w:t>über</w:t>
      </w:r>
      <w:r w:rsidR="0043567E" w:rsidRPr="009118AB">
        <w:rPr>
          <w:i/>
          <w:iCs/>
        </w:rPr>
        <w:softHyphen/>
        <w:t>einkommen</w:t>
      </w:r>
      <w:r w:rsidR="00D67EB8" w:rsidRPr="009118AB">
        <w:rPr>
          <w:i/>
          <w:iCs/>
        </w:rPr>
        <w:t> -</w:t>
      </w:r>
      <w:r w:rsidR="00DF3841" w:rsidRPr="009118AB">
        <w:rPr>
          <w:i/>
          <w:iCs/>
        </w:rPr>
        <w:t>,</w:t>
      </w:r>
      <w:r w:rsidR="0043567E" w:rsidRPr="009118AB">
        <w:rPr>
          <w:i/>
          <w:iCs/>
        </w:rPr>
        <w:t xml:space="preserve"> </w:t>
      </w:r>
      <w:r w:rsidR="00D67EB8" w:rsidRPr="009118AB">
        <w:rPr>
          <w:i/>
        </w:rPr>
        <w:t>Art. </w:t>
      </w:r>
      <w:r w:rsidR="001B53F1" w:rsidRPr="009118AB">
        <w:rPr>
          <w:i/>
        </w:rPr>
        <w:t>17</w:t>
      </w:r>
      <w:r w:rsidR="001B53F1" w:rsidRPr="009118AB">
        <w:rPr>
          <w:i/>
          <w:iCs/>
        </w:rPr>
        <w:t xml:space="preserve"> des G. vom 15. Juli 2020 (B.S. vom 23. Juli 2020)</w:t>
      </w:r>
      <w:r w:rsidR="00D67EB8" w:rsidRPr="009118AB">
        <w:rPr>
          <w:i/>
          <w:iCs/>
        </w:rPr>
        <w:t> - </w:t>
      </w:r>
      <w:r w:rsidR="0043567E" w:rsidRPr="009118AB">
        <w:rPr>
          <w:i/>
          <w:iCs/>
        </w:rPr>
        <w:t xml:space="preserve">in Kraft am 23. Juli 2020 und </w:t>
      </w:r>
      <w:r w:rsidR="001B53F1" w:rsidRPr="009118AB">
        <w:rPr>
          <w:i/>
          <w:iCs/>
        </w:rPr>
        <w:t>anwendbar auf die ab dem 12. März 2020 unterzeichneten Rahmenübereinkommen</w:t>
      </w:r>
      <w:r w:rsidR="003366D9" w:rsidRPr="009118AB">
        <w:rPr>
          <w:i/>
          <w:iCs/>
        </w:rPr>
        <w:t> -</w:t>
      </w:r>
      <w:r w:rsidR="00DF3841" w:rsidRPr="009118AB">
        <w:rPr>
          <w:i/>
          <w:iCs/>
        </w:rPr>
        <w:t xml:space="preserve"> und Art. </w:t>
      </w:r>
      <w:r w:rsidR="00DF3841" w:rsidRPr="009118AB">
        <w:rPr>
          <w:i/>
          <w:iCs/>
          <w:spacing w:val="-2"/>
        </w:rPr>
        <w:t>18 Nr. 2 des G. vom 5. Juli 2022 (B.S. vom 15.</w:t>
      </w:r>
      <w:r w:rsidR="00A7677B" w:rsidRPr="009118AB">
        <w:rPr>
          <w:i/>
          <w:iCs/>
          <w:spacing w:val="-2"/>
        </w:rPr>
        <w:t> </w:t>
      </w:r>
      <w:r w:rsidR="00DF3841" w:rsidRPr="009118AB">
        <w:rPr>
          <w:i/>
          <w:iCs/>
          <w:spacing w:val="-2"/>
        </w:rPr>
        <w:t>Juli</w:t>
      </w:r>
      <w:r w:rsidR="00A7677B" w:rsidRPr="009118AB">
        <w:rPr>
          <w:i/>
          <w:iCs/>
          <w:spacing w:val="-2"/>
        </w:rPr>
        <w:t> </w:t>
      </w:r>
      <w:r w:rsidR="00DF3841" w:rsidRPr="009118AB">
        <w:rPr>
          <w:i/>
          <w:iCs/>
          <w:spacing w:val="-2"/>
        </w:rPr>
        <w:t>2022)</w:t>
      </w:r>
      <w:r w:rsidR="00A7677B" w:rsidRPr="009118AB">
        <w:rPr>
          <w:i/>
          <w:iCs/>
          <w:spacing w:val="-2"/>
        </w:rPr>
        <w:t> </w:t>
      </w:r>
      <w:r w:rsidR="00DF3841" w:rsidRPr="009118AB">
        <w:rPr>
          <w:i/>
          <w:iCs/>
          <w:spacing w:val="-2"/>
        </w:rPr>
        <w:t>-</w:t>
      </w:r>
      <w:r w:rsidR="00A7677B" w:rsidRPr="009118AB">
        <w:rPr>
          <w:i/>
          <w:iCs/>
          <w:spacing w:val="-2"/>
        </w:rPr>
        <w:t> </w:t>
      </w:r>
      <w:r w:rsidR="00DF3841"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118AB">
        <w:rPr>
          <w:i/>
          <w:iCs/>
          <w:spacing w:val="-2"/>
        </w:rPr>
        <w:t xml:space="preserve"> erfolgt</w:t>
      </w:r>
      <w:r w:rsidR="00DF3841" w:rsidRPr="009118AB">
        <w:rPr>
          <w:i/>
          <w:iCs/>
          <w:spacing w:val="-2"/>
        </w:rPr>
        <w:t> -</w:t>
      </w:r>
      <w:r w:rsidR="003366D9" w:rsidRPr="009118AB">
        <w:rPr>
          <w:i/>
          <w:iCs/>
        </w:rPr>
        <w:t>;</w:t>
      </w:r>
      <w:r w:rsidR="00F17808" w:rsidRPr="009118AB">
        <w:rPr>
          <w:i/>
          <w:iCs/>
        </w:rPr>
        <w:t xml:space="preserve"> </w:t>
      </w:r>
      <w:r w:rsidR="00D67EB8" w:rsidRPr="009118AB">
        <w:rPr>
          <w:i/>
        </w:rPr>
        <w:t>§ </w:t>
      </w:r>
      <w:r w:rsidR="00F17808" w:rsidRPr="009118AB">
        <w:rPr>
          <w:i/>
        </w:rPr>
        <w:t xml:space="preserve">2 einziger Absatz </w:t>
      </w:r>
      <w:r w:rsidR="00D67EB8" w:rsidRPr="009118AB">
        <w:rPr>
          <w:i/>
        </w:rPr>
        <w:t>Nr. </w:t>
      </w:r>
      <w:r w:rsidR="00F17808" w:rsidRPr="009118AB">
        <w:rPr>
          <w:i/>
        </w:rPr>
        <w:t xml:space="preserve">1 </w:t>
      </w:r>
      <w:r w:rsidR="00D67EB8" w:rsidRPr="009118AB">
        <w:rPr>
          <w:i/>
        </w:rPr>
        <w:t>Abs. </w:t>
      </w:r>
      <w:r w:rsidR="00F17808" w:rsidRPr="009118AB">
        <w:rPr>
          <w:i/>
        </w:rPr>
        <w:t xml:space="preserve">2 eingefügt durch </w:t>
      </w:r>
      <w:r w:rsidR="00D67EB8" w:rsidRPr="009118AB">
        <w:rPr>
          <w:i/>
        </w:rPr>
        <w:t>Art. </w:t>
      </w:r>
      <w:r w:rsidR="00F17808" w:rsidRPr="009118AB">
        <w:rPr>
          <w:i/>
        </w:rPr>
        <w:t xml:space="preserve">12 </w:t>
      </w:r>
      <w:r w:rsidR="00D67EB8" w:rsidRPr="009118AB">
        <w:rPr>
          <w:i/>
        </w:rPr>
        <w:t>Nr. </w:t>
      </w:r>
      <w:r w:rsidR="00F17808" w:rsidRPr="009118AB">
        <w:rPr>
          <w:i/>
        </w:rPr>
        <w:t>2</w:t>
      </w:r>
      <w:r w:rsidR="00F17808" w:rsidRPr="009118AB">
        <w:rPr>
          <w:i/>
          <w:iCs/>
        </w:rPr>
        <w:t xml:space="preserve"> des G. vom 29. Mai 2020 (B.S. vom 11. Juni 2020)</w:t>
      </w:r>
      <w:r w:rsidR="00D67EB8" w:rsidRPr="009118AB">
        <w:rPr>
          <w:i/>
          <w:iCs/>
        </w:rPr>
        <w:t> - </w:t>
      </w:r>
      <w:r w:rsidR="00283038" w:rsidRPr="009118AB">
        <w:rPr>
          <w:i/>
          <w:iCs/>
        </w:rPr>
        <w:t xml:space="preserve">in Kraft am 11. Juni 2020 und </w:t>
      </w:r>
      <w:r w:rsidR="00F17808" w:rsidRPr="009118AB">
        <w:rPr>
          <w:i/>
          <w:iCs/>
        </w:rPr>
        <w:t>anwendbar</w:t>
      </w:r>
      <w:r w:rsidR="00D03B76" w:rsidRPr="009118AB">
        <w:rPr>
          <w:i/>
          <w:iCs/>
        </w:rPr>
        <w:t xml:space="preserve"> auf die</w:t>
      </w:r>
      <w:r w:rsidR="00F17808" w:rsidRPr="009118AB">
        <w:rPr>
          <w:i/>
          <w:iCs/>
        </w:rPr>
        <w:t xml:space="preserve"> ab dem 12. März 2020 unterzeichneten Rahmenübereinkommen</w:t>
      </w:r>
      <w:r w:rsidR="003366D9" w:rsidRPr="009118AB">
        <w:rPr>
          <w:i/>
          <w:iCs/>
        </w:rPr>
        <w:t> -</w:t>
      </w:r>
      <w:r w:rsidR="00DF3841" w:rsidRPr="009118AB">
        <w:rPr>
          <w:i/>
          <w:iCs/>
        </w:rPr>
        <w:t xml:space="preserve"> und abgeändert durch Art. </w:t>
      </w:r>
      <w:r w:rsidR="00DF3841" w:rsidRPr="009118AB">
        <w:rPr>
          <w:i/>
          <w:iCs/>
          <w:spacing w:val="-2"/>
        </w:rPr>
        <w:t>18 Nr. 3 des G. vom 5. Juli 2022 (B.S. vom 15. Juli 2022)</w:t>
      </w:r>
      <w:r w:rsidR="00A7677B" w:rsidRPr="009118AB">
        <w:rPr>
          <w:i/>
          <w:iCs/>
          <w:spacing w:val="-2"/>
        </w:rPr>
        <w:t> </w:t>
      </w:r>
      <w:r w:rsidR="00DF3841" w:rsidRPr="009118AB">
        <w:rPr>
          <w:i/>
          <w:iCs/>
          <w:spacing w:val="-2"/>
        </w:rPr>
        <w:t>-</w:t>
      </w:r>
      <w:r w:rsidR="00A7677B" w:rsidRPr="009118AB">
        <w:rPr>
          <w:i/>
          <w:iCs/>
          <w:spacing w:val="-2"/>
        </w:rPr>
        <w:t> </w:t>
      </w:r>
      <w:r w:rsidR="00DF3841"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118AB">
        <w:rPr>
          <w:i/>
          <w:iCs/>
          <w:spacing w:val="-2"/>
        </w:rPr>
        <w:t xml:space="preserve"> erfolgt</w:t>
      </w:r>
      <w:r w:rsidR="00DF3841" w:rsidRPr="009118AB">
        <w:rPr>
          <w:i/>
          <w:iCs/>
          <w:spacing w:val="-2"/>
        </w:rPr>
        <w:t> -</w:t>
      </w:r>
      <w:r w:rsidR="003366D9" w:rsidRPr="009118AB">
        <w:rPr>
          <w:i/>
          <w:iCs/>
        </w:rPr>
        <w:t>;</w:t>
      </w:r>
      <w:r w:rsidR="00F17808" w:rsidRPr="009118AB">
        <w:rPr>
          <w:i/>
          <w:iCs/>
        </w:rPr>
        <w:t xml:space="preserve"> </w:t>
      </w:r>
      <w:r w:rsidR="00DF3841" w:rsidRPr="009118AB">
        <w:rPr>
          <w:i/>
          <w:iCs/>
        </w:rPr>
        <w:t>§ 2 einziger Absatz Nr. 2 abgeändert durch Art. </w:t>
      </w:r>
      <w:r w:rsidR="00DF3841" w:rsidRPr="009118AB">
        <w:rPr>
          <w:i/>
          <w:iCs/>
          <w:spacing w:val="-2"/>
        </w:rPr>
        <w:t>18 Nr. 4 und 5 des G. vom 5. Juli 2022 (B.S. vom 15. Juli 2022)</w:t>
      </w:r>
      <w:r w:rsidR="00A7677B" w:rsidRPr="009118AB">
        <w:rPr>
          <w:i/>
          <w:iCs/>
          <w:spacing w:val="-2"/>
        </w:rPr>
        <w:t> </w:t>
      </w:r>
      <w:r w:rsidR="00DF3841" w:rsidRPr="009118AB">
        <w:rPr>
          <w:i/>
          <w:iCs/>
          <w:spacing w:val="-2"/>
        </w:rPr>
        <w:t>-</w:t>
      </w:r>
      <w:r w:rsidR="00A7677B" w:rsidRPr="009118AB">
        <w:rPr>
          <w:i/>
          <w:iCs/>
          <w:spacing w:val="-2"/>
        </w:rPr>
        <w:t> </w:t>
      </w:r>
      <w:r w:rsidR="00DF3841"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118AB">
        <w:rPr>
          <w:i/>
          <w:iCs/>
          <w:spacing w:val="-2"/>
        </w:rPr>
        <w:t xml:space="preserve"> erfolgt</w:t>
      </w:r>
      <w:r w:rsidR="00DF3841" w:rsidRPr="009118AB">
        <w:rPr>
          <w:i/>
          <w:iCs/>
          <w:spacing w:val="-2"/>
        </w:rPr>
        <w:t> -; § 2 einziger Absatz Nr. 4 abgeändert durch Art. 18 Nr. 6 und 7 des G. vom 5.</w:t>
      </w:r>
      <w:r w:rsidR="00A7677B" w:rsidRPr="009118AB">
        <w:rPr>
          <w:i/>
          <w:iCs/>
          <w:spacing w:val="-2"/>
        </w:rPr>
        <w:t> </w:t>
      </w:r>
      <w:r w:rsidR="00DF3841" w:rsidRPr="009118AB">
        <w:rPr>
          <w:i/>
          <w:iCs/>
          <w:spacing w:val="-2"/>
        </w:rPr>
        <w:t>Juli</w:t>
      </w:r>
      <w:r w:rsidR="00A7677B" w:rsidRPr="009118AB">
        <w:rPr>
          <w:i/>
          <w:iCs/>
          <w:spacing w:val="-2"/>
        </w:rPr>
        <w:t> </w:t>
      </w:r>
      <w:r w:rsidR="00DF3841" w:rsidRPr="009118AB">
        <w:rPr>
          <w:i/>
          <w:iCs/>
          <w:spacing w:val="-2"/>
        </w:rPr>
        <w:t>2022 (B.S. vom 15. Juli 2022)</w:t>
      </w:r>
      <w:r w:rsidR="00A7677B" w:rsidRPr="009118AB">
        <w:rPr>
          <w:i/>
          <w:iCs/>
          <w:spacing w:val="-2"/>
        </w:rPr>
        <w:t> </w:t>
      </w:r>
      <w:r w:rsidR="00DF3841" w:rsidRPr="009118AB">
        <w:rPr>
          <w:i/>
          <w:iCs/>
          <w:spacing w:val="-2"/>
        </w:rPr>
        <w:t>-</w:t>
      </w:r>
      <w:r w:rsidR="00A7677B" w:rsidRPr="009118AB">
        <w:rPr>
          <w:i/>
          <w:iCs/>
          <w:spacing w:val="-2"/>
        </w:rPr>
        <w:t> </w:t>
      </w:r>
      <w:r w:rsidR="00DF3841"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118AB">
        <w:rPr>
          <w:i/>
          <w:iCs/>
          <w:spacing w:val="-2"/>
        </w:rPr>
        <w:t xml:space="preserve"> erfolgt</w:t>
      </w:r>
      <w:r w:rsidR="00DF3841" w:rsidRPr="009118AB">
        <w:rPr>
          <w:i/>
          <w:iCs/>
          <w:spacing w:val="-2"/>
        </w:rPr>
        <w:t> -; § 2 einziger Absatz Nr. 5 eingefügt durch Art. 18 Nr. 8 des G. vom 5. Juli 2022 (B.S. vom 15.</w:t>
      </w:r>
      <w:r w:rsidR="00A7677B" w:rsidRPr="009118AB">
        <w:rPr>
          <w:i/>
          <w:iCs/>
          <w:spacing w:val="-2"/>
        </w:rPr>
        <w:t> </w:t>
      </w:r>
      <w:r w:rsidR="00DF3841" w:rsidRPr="009118AB">
        <w:rPr>
          <w:i/>
          <w:iCs/>
          <w:spacing w:val="-2"/>
        </w:rPr>
        <w:t>Juli</w:t>
      </w:r>
      <w:r w:rsidR="00A7677B" w:rsidRPr="009118AB">
        <w:rPr>
          <w:i/>
          <w:iCs/>
          <w:spacing w:val="-2"/>
        </w:rPr>
        <w:t> </w:t>
      </w:r>
      <w:r w:rsidR="00DF3841" w:rsidRPr="009118AB">
        <w:rPr>
          <w:i/>
          <w:iCs/>
          <w:spacing w:val="-2"/>
        </w:rPr>
        <w:t>2022)</w:t>
      </w:r>
      <w:r w:rsidR="00A7677B" w:rsidRPr="009118AB">
        <w:rPr>
          <w:i/>
          <w:iCs/>
          <w:spacing w:val="-2"/>
        </w:rPr>
        <w:t> </w:t>
      </w:r>
      <w:r w:rsidR="00DF3841" w:rsidRPr="009118AB">
        <w:rPr>
          <w:i/>
          <w:iCs/>
          <w:spacing w:val="-2"/>
        </w:rPr>
        <w:t>-</w:t>
      </w:r>
      <w:r w:rsidR="00A7677B" w:rsidRPr="009118AB">
        <w:rPr>
          <w:i/>
          <w:iCs/>
          <w:spacing w:val="-2"/>
        </w:rPr>
        <w:t> </w:t>
      </w:r>
      <w:r w:rsidR="00DF3841"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118AB">
        <w:rPr>
          <w:i/>
          <w:iCs/>
          <w:spacing w:val="-2"/>
        </w:rPr>
        <w:t xml:space="preserve"> erfolgt</w:t>
      </w:r>
      <w:r w:rsidR="00DF3841" w:rsidRPr="009118AB">
        <w:rPr>
          <w:i/>
          <w:iCs/>
          <w:spacing w:val="-2"/>
        </w:rPr>
        <w:t xml:space="preserve"> -; </w:t>
      </w:r>
      <w:r w:rsidR="00D67EB8" w:rsidRPr="009118AB">
        <w:rPr>
          <w:i/>
          <w:iCs/>
        </w:rPr>
        <w:t>§ </w:t>
      </w:r>
      <w:r w:rsidR="00F17808" w:rsidRPr="009118AB">
        <w:rPr>
          <w:i/>
          <w:iCs/>
        </w:rPr>
        <w:t xml:space="preserve">4 aufgehoben durch </w:t>
      </w:r>
      <w:r w:rsidR="00D67EB8" w:rsidRPr="009118AB">
        <w:rPr>
          <w:i/>
          <w:iCs/>
        </w:rPr>
        <w:t>Art. </w:t>
      </w:r>
      <w:r w:rsidR="00F17808" w:rsidRPr="009118AB">
        <w:rPr>
          <w:i/>
          <w:iCs/>
        </w:rPr>
        <w:t xml:space="preserve">12 </w:t>
      </w:r>
      <w:r w:rsidR="00D67EB8" w:rsidRPr="009118AB">
        <w:rPr>
          <w:i/>
          <w:iCs/>
        </w:rPr>
        <w:t>Nr. </w:t>
      </w:r>
      <w:r w:rsidR="00F17808" w:rsidRPr="009118AB">
        <w:rPr>
          <w:i/>
          <w:iCs/>
        </w:rPr>
        <w:t>3 des G. vom 29. Mai 2020 (B.S. vom 11. Juni 2020)</w:t>
      </w:r>
      <w:r w:rsidR="00D67EB8" w:rsidRPr="009118AB">
        <w:rPr>
          <w:i/>
          <w:iCs/>
        </w:rPr>
        <w:t> - </w:t>
      </w:r>
      <w:r w:rsidR="00283038" w:rsidRPr="009118AB">
        <w:rPr>
          <w:i/>
          <w:iCs/>
        </w:rPr>
        <w:t xml:space="preserve">in Kraft am 11. Juni 2020 und </w:t>
      </w:r>
      <w:r w:rsidR="00F17808" w:rsidRPr="009118AB">
        <w:rPr>
          <w:i/>
          <w:iCs/>
        </w:rPr>
        <w:t xml:space="preserve">anwendbar </w:t>
      </w:r>
      <w:r w:rsidR="00D03B76" w:rsidRPr="009118AB">
        <w:rPr>
          <w:i/>
          <w:iCs/>
        </w:rPr>
        <w:t xml:space="preserve">auf die </w:t>
      </w:r>
      <w:r w:rsidR="00F17808" w:rsidRPr="009118AB">
        <w:rPr>
          <w:i/>
          <w:iCs/>
        </w:rPr>
        <w:t>ab dem 12. März 2020 unterzeichneten Rahmenübereinkommen</w:t>
      </w:r>
      <w:r w:rsidR="003366D9" w:rsidRPr="009118AB">
        <w:rPr>
          <w:i/>
          <w:iCs/>
        </w:rPr>
        <w:t> -;</w:t>
      </w:r>
      <w:r w:rsidR="00F17808" w:rsidRPr="009118AB">
        <w:rPr>
          <w:i/>
          <w:iCs/>
        </w:rPr>
        <w:t xml:space="preserve"> </w:t>
      </w:r>
      <w:r w:rsidR="00D67EB8" w:rsidRPr="009118AB">
        <w:rPr>
          <w:i/>
          <w:iCs/>
        </w:rPr>
        <w:t>§ </w:t>
      </w:r>
      <w:r w:rsidR="00D72712" w:rsidRPr="009118AB">
        <w:rPr>
          <w:i/>
          <w:iCs/>
        </w:rPr>
        <w:t xml:space="preserve">5 </w:t>
      </w:r>
      <w:r w:rsidR="00D67EB8" w:rsidRPr="009118AB">
        <w:rPr>
          <w:i/>
          <w:iCs/>
        </w:rPr>
        <w:t>Abs. </w:t>
      </w:r>
      <w:r w:rsidR="00D72712" w:rsidRPr="009118AB">
        <w:rPr>
          <w:i/>
          <w:iCs/>
        </w:rPr>
        <w:t xml:space="preserve">1 abgeändert durch </w:t>
      </w:r>
      <w:r w:rsidR="00D67EB8" w:rsidRPr="009118AB">
        <w:rPr>
          <w:i/>
          <w:iCs/>
        </w:rPr>
        <w:t>Art. </w:t>
      </w:r>
      <w:r w:rsidR="00D72712" w:rsidRPr="009118AB">
        <w:rPr>
          <w:i/>
          <w:iCs/>
        </w:rPr>
        <w:t>42</w:t>
      </w:r>
      <w:r w:rsidR="00D72712" w:rsidRPr="009118AB">
        <w:rPr>
          <w:i/>
        </w:rPr>
        <w:t xml:space="preserve"> des G. vom 27. Juni 2021 (B.S. vom 30. Juni 2021); </w:t>
      </w:r>
      <w:r w:rsidR="00D67EB8" w:rsidRPr="009118AB">
        <w:rPr>
          <w:i/>
        </w:rPr>
        <w:t>§ </w:t>
      </w:r>
      <w:r w:rsidR="00EC2C95" w:rsidRPr="009118AB">
        <w:rPr>
          <w:i/>
        </w:rPr>
        <w:t xml:space="preserve">5 neue Absätze 2 bis 4 eingefügt durch </w:t>
      </w:r>
      <w:r w:rsidR="00D67EB8" w:rsidRPr="009118AB">
        <w:rPr>
          <w:i/>
        </w:rPr>
        <w:t>Art. </w:t>
      </w:r>
      <w:r w:rsidR="00EC2C95" w:rsidRPr="009118AB">
        <w:rPr>
          <w:i/>
        </w:rPr>
        <w:t>54</w:t>
      </w:r>
      <w:r w:rsidR="00EC2C95" w:rsidRPr="009118AB">
        <w:rPr>
          <w:i/>
          <w:spacing w:val="-2"/>
        </w:rPr>
        <w:t xml:space="preserve"> </w:t>
      </w:r>
      <w:r w:rsidR="00EC2C95" w:rsidRPr="009118AB">
        <w:rPr>
          <w:i/>
          <w:iCs/>
          <w:spacing w:val="2"/>
        </w:rPr>
        <w:t>des G. vom 28. April 2019 (B.S. vom 6. Mai 2019)</w:t>
      </w:r>
      <w:r w:rsidR="00D67EB8" w:rsidRPr="009118AB">
        <w:rPr>
          <w:i/>
          <w:iCs/>
          <w:spacing w:val="2"/>
        </w:rPr>
        <w:t> - </w:t>
      </w:r>
      <w:r w:rsidR="00EC2C95" w:rsidRPr="009118AB">
        <w:rPr>
          <w:i/>
          <w:iCs/>
          <w:spacing w:val="2"/>
        </w:rPr>
        <w:t>wirksam mit 1. Januar 2018 und anwendbar ab dem Steuerjahr 2019, das sich auf einen Besteuerungszeitraum bezieht, der frühestens am 1. Januar 2018 beginnt</w:t>
      </w:r>
      <w:r w:rsidR="00FD68E8" w:rsidRPr="009118AB">
        <w:rPr>
          <w:i/>
          <w:iCs/>
          <w:spacing w:val="2"/>
        </w:rPr>
        <w:t> -]</w:t>
      </w:r>
    </w:p>
    <w:p w14:paraId="75B0D11F" w14:textId="77777777" w:rsidR="00950EF1" w:rsidRPr="009118AB" w:rsidRDefault="00950EF1" w:rsidP="00477B8F">
      <w:pPr>
        <w:autoSpaceDE w:val="0"/>
        <w:autoSpaceDN w:val="0"/>
        <w:adjustRightInd w:val="0"/>
        <w:jc w:val="center"/>
      </w:pPr>
    </w:p>
    <w:p w14:paraId="1B538C2C" w14:textId="77777777" w:rsidR="00950EF1" w:rsidRPr="009118AB" w:rsidRDefault="00950EF1" w:rsidP="00950EF1">
      <w:pPr>
        <w:tabs>
          <w:tab w:val="left" w:pos="2790"/>
        </w:tabs>
        <w:autoSpaceDE w:val="0"/>
        <w:autoSpaceDN w:val="0"/>
        <w:adjustRightInd w:val="0"/>
      </w:pPr>
      <w:r w:rsidRPr="009118AB">
        <w:tab/>
      </w:r>
    </w:p>
    <w:p w14:paraId="3148F692" w14:textId="77777777" w:rsidR="00DF3841" w:rsidRPr="009118AB" w:rsidRDefault="00DF3841">
      <w:r w:rsidRPr="009118AB">
        <w:br w:type="page"/>
      </w:r>
    </w:p>
    <w:p w14:paraId="6F353BD7" w14:textId="73341CFC" w:rsidR="00EA2EB8" w:rsidRPr="009118AB" w:rsidRDefault="00EA2EB8" w:rsidP="00EA2EB8">
      <w:pPr>
        <w:ind w:firstLine="709"/>
        <w:jc w:val="both"/>
      </w:pPr>
      <w:r w:rsidRPr="009118AB">
        <w:lastRenderedPageBreak/>
        <w:t>[</w:t>
      </w:r>
      <w:r w:rsidR="00D67EB8" w:rsidRPr="009118AB">
        <w:rPr>
          <w:b/>
        </w:rPr>
        <w:t>Art. </w:t>
      </w:r>
      <w:r w:rsidRPr="009118AB">
        <w:rPr>
          <w:b/>
        </w:rPr>
        <w:t>194</w:t>
      </w:r>
      <w:r w:rsidRPr="009118AB">
        <w:rPr>
          <w:b/>
          <w:i/>
        </w:rPr>
        <w:t>ter</w:t>
      </w:r>
      <w:r w:rsidRPr="009118AB">
        <w:rPr>
          <w:b/>
        </w:rPr>
        <w:t>/2</w:t>
      </w:r>
      <w:r w:rsidR="00D67EB8" w:rsidRPr="009118AB">
        <w:t> - </w:t>
      </w:r>
      <w:r w:rsidRPr="009118AB">
        <w:t xml:space="preserve">Wenn das </w:t>
      </w:r>
      <w:r w:rsidR="00414E83" w:rsidRPr="009118AB">
        <w:t>[in Artikel 194</w:t>
      </w:r>
      <w:r w:rsidR="00414E83" w:rsidRPr="009118AB">
        <w:rPr>
          <w:i/>
          <w:iCs/>
        </w:rPr>
        <w:t>ter</w:t>
      </w:r>
      <w:r w:rsidR="00414E83" w:rsidRPr="009118AB">
        <w:t>, 194</w:t>
      </w:r>
      <w:r w:rsidR="00414E83" w:rsidRPr="009118AB">
        <w:rPr>
          <w:i/>
          <w:iCs/>
        </w:rPr>
        <w:t>ter</w:t>
      </w:r>
      <w:r w:rsidR="00414E83" w:rsidRPr="009118AB">
        <w:t xml:space="preserve">/1 </w:t>
      </w:r>
      <w:r w:rsidR="00D67EB8" w:rsidRPr="009118AB">
        <w:t>§ </w:t>
      </w:r>
      <w:r w:rsidR="00414E83" w:rsidRPr="009118AB">
        <w:t xml:space="preserve">2 Absatz 1 </w:t>
      </w:r>
      <w:r w:rsidR="00D67EB8" w:rsidRPr="009118AB">
        <w:t>Nr. </w:t>
      </w:r>
      <w:r w:rsidR="00414E83" w:rsidRPr="009118AB">
        <w:t>1 oder 194</w:t>
      </w:r>
      <w:r w:rsidR="00414E83" w:rsidRPr="009118AB">
        <w:rPr>
          <w:i/>
          <w:iCs/>
        </w:rPr>
        <w:t>ter</w:t>
      </w:r>
      <w:r w:rsidR="00414E83" w:rsidRPr="009118AB">
        <w:t xml:space="preserve">/3 </w:t>
      </w:r>
      <w:r w:rsidR="00D67EB8" w:rsidRPr="009118AB">
        <w:t>§ </w:t>
      </w:r>
      <w:r w:rsidR="00414E83" w:rsidRPr="009118AB">
        <w:t xml:space="preserve">2 </w:t>
      </w:r>
      <w:r w:rsidR="00D67EB8" w:rsidRPr="009118AB">
        <w:t>Nr. </w:t>
      </w:r>
      <w:r w:rsidR="00414E83" w:rsidRPr="009118AB">
        <w:t>1]</w:t>
      </w:r>
      <w:r w:rsidRPr="009118AB">
        <w:t xml:space="preserve"> erwähnte in Betracht kommende Werk von einer juristischen Person produziert wird, die auf dem zweisprachigen Gebiet Brüssel-Hauptstadt ansässig ist und in die Zuständigkeit des Föderalstaates fällt, versteht man für die Anwendung </w:t>
      </w:r>
      <w:r w:rsidR="00E5793B" w:rsidRPr="009118AB">
        <w:t>[der Artikel 194</w:t>
      </w:r>
      <w:r w:rsidR="00E5793B" w:rsidRPr="009118AB">
        <w:rPr>
          <w:i/>
          <w:iCs/>
        </w:rPr>
        <w:t>ter</w:t>
      </w:r>
      <w:r w:rsidR="00E5793B" w:rsidRPr="009118AB">
        <w:t>, 194</w:t>
      </w:r>
      <w:r w:rsidR="00E5793B" w:rsidRPr="009118AB">
        <w:rPr>
          <w:i/>
          <w:iCs/>
        </w:rPr>
        <w:t>ter</w:t>
      </w:r>
      <w:r w:rsidR="00E5793B" w:rsidRPr="009118AB">
        <w:t>/1 und 194</w:t>
      </w:r>
      <w:r w:rsidR="00E5793B" w:rsidRPr="009118AB">
        <w:rPr>
          <w:i/>
          <w:iCs/>
        </w:rPr>
        <w:t>ter</w:t>
      </w:r>
      <w:r w:rsidR="00E5793B" w:rsidRPr="009118AB">
        <w:t>/3]</w:t>
      </w:r>
      <w:r w:rsidRPr="009118AB">
        <w:t xml:space="preserve"> unter "betreffende Gemeinschaft" die "zuständige Behörde des Föderalstaates".</w:t>
      </w:r>
    </w:p>
    <w:p w14:paraId="6845885C" w14:textId="77777777" w:rsidR="00EA2EB8" w:rsidRPr="009118AB" w:rsidRDefault="00EA2EB8" w:rsidP="00EA2EB8">
      <w:pPr>
        <w:jc w:val="both"/>
      </w:pPr>
    </w:p>
    <w:p w14:paraId="4E8D28EF" w14:textId="406E70BC" w:rsidR="00EA2EB8" w:rsidRPr="009118AB" w:rsidRDefault="00EA2EB8" w:rsidP="00EA2EB8">
      <w:pPr>
        <w:autoSpaceDE w:val="0"/>
        <w:autoSpaceDN w:val="0"/>
        <w:adjustRightInd w:val="0"/>
        <w:ind w:firstLine="709"/>
        <w:jc w:val="both"/>
      </w:pPr>
      <w:r w:rsidRPr="009118AB">
        <w:t xml:space="preserve">Der König bestimmt die in Absatz 1 erwähnte zuständige Behörde des Föderalstaates und die sie betreffenden Verfahren für die Anwendung </w:t>
      </w:r>
      <w:r w:rsidR="00414E83" w:rsidRPr="009118AB">
        <w:t>[der Artikel 194</w:t>
      </w:r>
      <w:r w:rsidR="00414E83" w:rsidRPr="009118AB">
        <w:rPr>
          <w:i/>
          <w:iCs/>
        </w:rPr>
        <w:t>ter</w:t>
      </w:r>
      <w:r w:rsidR="00414E83" w:rsidRPr="009118AB">
        <w:t>, 194</w:t>
      </w:r>
      <w:r w:rsidR="00414E83" w:rsidRPr="009118AB">
        <w:rPr>
          <w:i/>
          <w:iCs/>
        </w:rPr>
        <w:t>ter</w:t>
      </w:r>
      <w:r w:rsidR="00414E83" w:rsidRPr="009118AB">
        <w:t>/1 und 194</w:t>
      </w:r>
      <w:r w:rsidR="00414E83" w:rsidRPr="009118AB">
        <w:rPr>
          <w:i/>
          <w:iCs/>
        </w:rPr>
        <w:t>ter</w:t>
      </w:r>
      <w:r w:rsidR="00414E83" w:rsidRPr="009118AB">
        <w:t>/3]</w:t>
      </w:r>
      <w:r w:rsidRPr="009118AB">
        <w:t>.]</w:t>
      </w:r>
    </w:p>
    <w:p w14:paraId="186827CD" w14:textId="77777777" w:rsidR="00EA2EB8" w:rsidRPr="009118AB" w:rsidRDefault="00EA2EB8" w:rsidP="00EA2EB8">
      <w:pPr>
        <w:autoSpaceDE w:val="0"/>
        <w:autoSpaceDN w:val="0"/>
        <w:adjustRightInd w:val="0"/>
        <w:ind w:firstLine="709"/>
        <w:jc w:val="both"/>
      </w:pPr>
    </w:p>
    <w:p w14:paraId="6ECBA82E" w14:textId="28259D1E" w:rsidR="00EA2EB8" w:rsidRPr="009118AB" w:rsidRDefault="00EA2EB8" w:rsidP="00EA2EB8">
      <w:pPr>
        <w:jc w:val="both"/>
      </w:pPr>
      <w:r w:rsidRPr="009118AB">
        <w:rPr>
          <w:i/>
        </w:rPr>
        <w:t>[</w:t>
      </w:r>
      <w:r w:rsidR="00D67EB8" w:rsidRPr="009118AB">
        <w:rPr>
          <w:i/>
        </w:rPr>
        <w:t>Art. </w:t>
      </w:r>
      <w:r w:rsidRPr="009118AB">
        <w:rPr>
          <w:i/>
        </w:rPr>
        <w:t xml:space="preserve">194ter/2 eingefügt durch </w:t>
      </w:r>
      <w:r w:rsidR="00D67EB8" w:rsidRPr="009118AB">
        <w:rPr>
          <w:i/>
        </w:rPr>
        <w:t>Art. </w:t>
      </w:r>
      <w:r w:rsidRPr="009118AB">
        <w:rPr>
          <w:i/>
        </w:rPr>
        <w:t xml:space="preserve">5 des </w:t>
      </w:r>
      <w:r w:rsidR="00282021" w:rsidRPr="009118AB">
        <w:rPr>
          <w:i/>
        </w:rPr>
        <w:t>G</w:t>
      </w:r>
      <w:r w:rsidRPr="009118AB">
        <w:rPr>
          <w:i/>
        </w:rPr>
        <w:t>. vom 25. Dezember 2016 (IV) (B.S. vom 17. Januar 2017)</w:t>
      </w:r>
      <w:r w:rsidR="00D67EB8" w:rsidRPr="009118AB">
        <w:rPr>
          <w:i/>
        </w:rPr>
        <w:t> - </w:t>
      </w:r>
      <w:r w:rsidRPr="009118AB">
        <w:rPr>
          <w:i/>
        </w:rPr>
        <w:t>in Kraft ab dem 17. Januar 2017 und anwendbar auf Rahmenüberein</w:t>
      </w:r>
      <w:r w:rsidR="00282021" w:rsidRPr="009118AB">
        <w:rPr>
          <w:i/>
        </w:rPr>
        <w:softHyphen/>
      </w:r>
      <w:r w:rsidRPr="009118AB">
        <w:rPr>
          <w:i/>
        </w:rPr>
        <w:t>kommen, die ab dem</w:t>
      </w:r>
      <w:r w:rsidR="00C203F9" w:rsidRPr="009118AB">
        <w:rPr>
          <w:i/>
        </w:rPr>
        <w:t xml:space="preserve"> 1. Februar 2017 </w:t>
      </w:r>
      <w:r w:rsidRPr="009118AB">
        <w:rPr>
          <w:i/>
        </w:rPr>
        <w:t>unterzeichnet werden</w:t>
      </w:r>
      <w:r w:rsidR="003366D9" w:rsidRPr="009118AB">
        <w:rPr>
          <w:i/>
        </w:rPr>
        <w:t> -;</w:t>
      </w:r>
      <w:r w:rsidR="00414E83" w:rsidRPr="009118AB">
        <w:rPr>
          <w:i/>
        </w:rPr>
        <w:t xml:space="preserve"> </w:t>
      </w:r>
      <w:r w:rsidR="00D67EB8" w:rsidRPr="009118AB">
        <w:rPr>
          <w:i/>
        </w:rPr>
        <w:t>Abs. </w:t>
      </w:r>
      <w:r w:rsidR="00414E83" w:rsidRPr="009118AB">
        <w:rPr>
          <w:i/>
        </w:rPr>
        <w:t xml:space="preserve">1 abgeändert durch </w:t>
      </w:r>
      <w:r w:rsidR="00D67EB8" w:rsidRPr="009118AB">
        <w:rPr>
          <w:i/>
        </w:rPr>
        <w:t>Art. </w:t>
      </w:r>
      <w:r w:rsidR="00414E83" w:rsidRPr="009118AB">
        <w:rPr>
          <w:i/>
        </w:rPr>
        <w:t xml:space="preserve">4 </w:t>
      </w:r>
      <w:r w:rsidR="00D67EB8" w:rsidRPr="009118AB">
        <w:rPr>
          <w:i/>
        </w:rPr>
        <w:t>Nr. </w:t>
      </w:r>
      <w:r w:rsidR="00414E83" w:rsidRPr="009118AB">
        <w:rPr>
          <w:i/>
        </w:rPr>
        <w:t>1</w:t>
      </w:r>
      <w:r w:rsidR="00414E83" w:rsidRPr="009118AB">
        <w:rPr>
          <w:i/>
          <w:iCs/>
        </w:rPr>
        <w:t xml:space="preserve"> des G. vom 29. März 2019 (B.S. vom 16. April 2019)</w:t>
      </w:r>
      <w:r w:rsidR="00D67EB8" w:rsidRPr="009118AB">
        <w:rPr>
          <w:i/>
          <w:iCs/>
        </w:rPr>
        <w:t> - </w:t>
      </w:r>
      <w:r w:rsidR="00414E83" w:rsidRPr="009118AB">
        <w:rPr>
          <w:i/>
          <w:iCs/>
        </w:rPr>
        <w:t xml:space="preserve">in Kraft am 16. April 2014 und anwendbar </w:t>
      </w:r>
      <w:r w:rsidR="00414E83" w:rsidRPr="009118AB">
        <w:rPr>
          <w:i/>
        </w:rPr>
        <w:t xml:space="preserve">auf Rahmenübereinkommen, die ab dem ersten Tag des Monats unterzeichnet werden, der auf die Veröffentlichung einer Bekanntmachung des Finanzministers im </w:t>
      </w:r>
      <w:r w:rsidR="00414E83" w:rsidRPr="009118AB">
        <w:rPr>
          <w:i/>
          <w:iCs/>
        </w:rPr>
        <w:t>Belgischen Staatsblatt</w:t>
      </w:r>
      <w:r w:rsidR="00414E83" w:rsidRPr="009118AB">
        <w:rPr>
          <w:i/>
        </w:rPr>
        <w:t xml:space="preserve"> folgt, in der mitgeteilt wird, dass die beiden Bedingungen erfüllt sind</w:t>
      </w:r>
      <w:r w:rsidR="00D67EB8" w:rsidRPr="009118AB">
        <w:rPr>
          <w:i/>
        </w:rPr>
        <w:t> - </w:t>
      </w:r>
      <w:r w:rsidR="00E5793B" w:rsidRPr="009118AB">
        <w:rPr>
          <w:i/>
        </w:rPr>
        <w:t xml:space="preserve">und </w:t>
      </w:r>
      <w:r w:rsidR="00D67EB8" w:rsidRPr="009118AB">
        <w:rPr>
          <w:i/>
        </w:rPr>
        <w:t>Art. </w:t>
      </w:r>
      <w:r w:rsidR="00E5793B" w:rsidRPr="009118AB">
        <w:rPr>
          <w:i/>
        </w:rPr>
        <w:t>43 des G. vom 27. Juni 2021 (B.S. vom 30. Juni 2021)</w:t>
      </w:r>
      <w:r w:rsidR="00414E83" w:rsidRPr="009118AB">
        <w:rPr>
          <w:i/>
        </w:rPr>
        <w:t xml:space="preserve">; </w:t>
      </w:r>
      <w:r w:rsidR="00D67EB8" w:rsidRPr="009118AB">
        <w:rPr>
          <w:i/>
        </w:rPr>
        <w:t>Abs. </w:t>
      </w:r>
      <w:r w:rsidR="00414E83" w:rsidRPr="009118AB">
        <w:rPr>
          <w:i/>
        </w:rPr>
        <w:t xml:space="preserve">2 abgeändert durch </w:t>
      </w:r>
      <w:r w:rsidR="00D67EB8" w:rsidRPr="009118AB">
        <w:rPr>
          <w:i/>
        </w:rPr>
        <w:t>Art. </w:t>
      </w:r>
      <w:r w:rsidR="00414E83" w:rsidRPr="009118AB">
        <w:rPr>
          <w:i/>
        </w:rPr>
        <w:t xml:space="preserve">4 </w:t>
      </w:r>
      <w:r w:rsidR="00D67EB8" w:rsidRPr="009118AB">
        <w:rPr>
          <w:i/>
        </w:rPr>
        <w:t>Nr. </w:t>
      </w:r>
      <w:r w:rsidR="00414E83" w:rsidRPr="009118AB">
        <w:rPr>
          <w:i/>
        </w:rPr>
        <w:t>2</w:t>
      </w:r>
      <w:r w:rsidR="00414E83" w:rsidRPr="009118AB">
        <w:rPr>
          <w:i/>
          <w:iCs/>
        </w:rPr>
        <w:t xml:space="preserve"> des G. vom 29. März 2019 (B.S. vom 16. April 2019)</w:t>
      </w:r>
      <w:r w:rsidR="00D67EB8" w:rsidRPr="009118AB">
        <w:rPr>
          <w:i/>
          <w:iCs/>
        </w:rPr>
        <w:t> - </w:t>
      </w:r>
      <w:r w:rsidR="00414E83" w:rsidRPr="009118AB">
        <w:rPr>
          <w:i/>
          <w:iCs/>
        </w:rPr>
        <w:t xml:space="preserve">in Kraft am 16. April 2014 und anwendbar </w:t>
      </w:r>
      <w:r w:rsidR="00414E83" w:rsidRPr="009118AB">
        <w:rPr>
          <w:i/>
        </w:rPr>
        <w:t xml:space="preserve">auf Rahmenübereinkommen, die ab dem ersten Tag des Monats unterzeichnet werden, der auf die Veröffentlichung einer Bekanntmachung des Finanzministers im </w:t>
      </w:r>
      <w:r w:rsidR="00414E83" w:rsidRPr="009118AB">
        <w:rPr>
          <w:i/>
          <w:iCs/>
        </w:rPr>
        <w:t>Belgischen Staatsblatt</w:t>
      </w:r>
      <w:r w:rsidR="00414E83" w:rsidRPr="009118AB">
        <w:rPr>
          <w:i/>
        </w:rPr>
        <w:t xml:space="preserve"> folgt, in der mitgeteilt wird, dass die beiden Bedingungen erfüllt sind</w:t>
      </w:r>
      <w:r w:rsidR="00FD68E8" w:rsidRPr="009118AB">
        <w:rPr>
          <w:i/>
        </w:rPr>
        <w:t> -]</w:t>
      </w:r>
    </w:p>
    <w:p w14:paraId="6E9BAA5B" w14:textId="64E36735" w:rsidR="00414E83" w:rsidRPr="009118AB" w:rsidRDefault="00414E83" w:rsidP="00EA2EB8">
      <w:pPr>
        <w:jc w:val="both"/>
      </w:pPr>
    </w:p>
    <w:p w14:paraId="02FB49BA" w14:textId="7D482681" w:rsidR="00414E83" w:rsidRPr="009118AB" w:rsidRDefault="00414E83" w:rsidP="00EA2EB8">
      <w:pPr>
        <w:jc w:val="both"/>
      </w:pPr>
    </w:p>
    <w:p w14:paraId="26E523DA" w14:textId="1EAB45F1" w:rsidR="00DE7BA8" w:rsidRPr="009118AB" w:rsidRDefault="00414E83" w:rsidP="00DE7BA8">
      <w:pPr>
        <w:jc w:val="both"/>
      </w:pPr>
      <w:r w:rsidRPr="009118AB">
        <w:tab/>
        <w:t>[</w:t>
      </w:r>
      <w:r w:rsidR="00D67EB8" w:rsidRPr="009118AB">
        <w:rPr>
          <w:b/>
        </w:rPr>
        <w:t>Art. </w:t>
      </w:r>
      <w:r w:rsidRPr="009118AB">
        <w:rPr>
          <w:b/>
        </w:rPr>
        <w:t>194</w:t>
      </w:r>
      <w:r w:rsidRPr="009118AB">
        <w:rPr>
          <w:b/>
          <w:i/>
          <w:iCs/>
        </w:rPr>
        <w:t>ter</w:t>
      </w:r>
      <w:r w:rsidRPr="009118AB">
        <w:rPr>
          <w:b/>
        </w:rPr>
        <w:t>/3</w:t>
      </w:r>
      <w:r w:rsidR="00D67EB8" w:rsidRPr="009118AB">
        <w:t> - § </w:t>
      </w:r>
      <w:r w:rsidRPr="009118AB">
        <w:t>1</w:t>
      </w:r>
      <w:r w:rsidR="00D67EB8" w:rsidRPr="009118AB">
        <w:t> - </w:t>
      </w:r>
      <w:r w:rsidRPr="009118AB">
        <w:t>Artikel 194</w:t>
      </w:r>
      <w:r w:rsidRPr="009118AB">
        <w:rPr>
          <w:i/>
          <w:iCs/>
        </w:rPr>
        <w:t>ter</w:t>
      </w:r>
      <w:r w:rsidRPr="009118AB">
        <w:t xml:space="preserve"> ist ebenfalls anwendbar auf in Betracht kommende Produktionsgesellschaften, </w:t>
      </w:r>
      <w:r w:rsidR="00DF3841" w:rsidRPr="009118AB">
        <w:t>[</w:t>
      </w:r>
      <w:r w:rsidR="00DF3841" w:rsidRPr="009118AB">
        <w:rPr>
          <w:rFonts w:eastAsia="Calibri"/>
          <w:kern w:val="2"/>
          <w:szCs w:val="22"/>
          <w:lang w:eastAsia="en-US"/>
          <w14:ligatures w14:val="standardContextual"/>
        </w:rPr>
        <w:t>deren hauptsächlicher Zweck und deren Haupttätigkeit die Produktion und Entwicklung von Videospielen sind</w:t>
      </w:r>
      <w:r w:rsidR="00DF3841" w:rsidRPr="009118AB">
        <w:t>]</w:t>
      </w:r>
      <w:r w:rsidRPr="009118AB">
        <w:t>.</w:t>
      </w:r>
    </w:p>
    <w:p w14:paraId="0D11104C" w14:textId="3F9D2748" w:rsidR="00F17808" w:rsidRPr="009118AB" w:rsidRDefault="00F17808" w:rsidP="00DE7BA8">
      <w:pPr>
        <w:jc w:val="both"/>
      </w:pPr>
    </w:p>
    <w:p w14:paraId="2F4B2ACE" w14:textId="6ED64A83" w:rsidR="00414E83" w:rsidRPr="009118AB" w:rsidRDefault="00414E83" w:rsidP="00414E83">
      <w:pPr>
        <w:jc w:val="both"/>
      </w:pPr>
      <w:r w:rsidRPr="009118AB">
        <w:tab/>
      </w:r>
      <w:r w:rsidR="00D67EB8" w:rsidRPr="009118AB">
        <w:t>§ </w:t>
      </w:r>
      <w:r w:rsidRPr="009118AB">
        <w:t>2</w:t>
      </w:r>
      <w:r w:rsidR="00D67EB8" w:rsidRPr="009118AB">
        <w:t> - </w:t>
      </w:r>
      <w:r w:rsidRPr="009118AB">
        <w:t>Für die Anwendung des vorliegenden Artikels versteht man unter:</w:t>
      </w:r>
    </w:p>
    <w:p w14:paraId="71B5ED2F" w14:textId="77777777" w:rsidR="00414E83" w:rsidRPr="009118AB" w:rsidRDefault="00414E83" w:rsidP="00414E83">
      <w:pPr>
        <w:jc w:val="both"/>
      </w:pPr>
    </w:p>
    <w:p w14:paraId="6B5927CC" w14:textId="4C2C7652" w:rsidR="00414E83" w:rsidRPr="009118AB" w:rsidRDefault="00414E83" w:rsidP="00414E83">
      <w:pPr>
        <w:jc w:val="both"/>
      </w:pPr>
      <w:r w:rsidRPr="009118AB">
        <w:tab/>
        <w:t>1. in Betracht kommendem Werk: in Abweichung von Artikel 194</w:t>
      </w:r>
      <w:r w:rsidRPr="009118AB">
        <w:rPr>
          <w:i/>
          <w:iCs/>
        </w:rPr>
        <w:t>ter</w:t>
      </w:r>
      <w:r w:rsidRPr="009118AB">
        <w:t xml:space="preserve"> </w:t>
      </w:r>
      <w:r w:rsidR="00D67EB8" w:rsidRPr="009118AB">
        <w:t>§ </w:t>
      </w:r>
      <w:r w:rsidRPr="009118AB">
        <w:t xml:space="preserve">1 Absatz 1 </w:t>
      </w:r>
      <w:r w:rsidR="00D67EB8" w:rsidRPr="009118AB">
        <w:t>Nr. </w:t>
      </w:r>
      <w:r w:rsidRPr="009118AB">
        <w:t xml:space="preserve">4 ein Originalvideospiel wie in </w:t>
      </w:r>
      <w:r w:rsidR="00D67EB8" w:rsidRPr="009118AB">
        <w:t>Nr. </w:t>
      </w:r>
      <w:r w:rsidRPr="009118AB">
        <w:t>2 erwähnt, das von den zuständigen Diensten der betreffenden Gemeinschaft als europäisches Videospiel zugelassen ist, das heißt:</w:t>
      </w:r>
    </w:p>
    <w:p w14:paraId="5658A389" w14:textId="77777777" w:rsidR="00414E83" w:rsidRPr="009118AB" w:rsidRDefault="00414E83" w:rsidP="00414E83">
      <w:pPr>
        <w:jc w:val="both"/>
      </w:pPr>
    </w:p>
    <w:p w14:paraId="2186A44D" w14:textId="77777777" w:rsidR="00414E83" w:rsidRPr="009118AB" w:rsidRDefault="00414E83" w:rsidP="00414E83">
      <w:pPr>
        <w:jc w:val="both"/>
      </w:pPr>
      <w:r w:rsidRPr="009118AB">
        <w:tab/>
        <w:t>- das hauptsächlich mithilfe von Autoren und kreativen Mitarbeitern, die in Belgien oder einem anderen Mitgliedstaat des Europäischen Wirtschaftsraums wohnen, und von einem oder mehreren Produzenten und Koproduzenten realisiert wird, die in einem oder mehreren Mitgliedstaaten des Europäischen Wirtschaftsraums ansässig sind oder von einem oder mehreren in einem oder mehreren Mitgliedstaaten des Europäischen Wirtschaftsraums ansässigen Produzenten und Koproduzenten überwacht und tatsächlich kontrolliert werden,</w:t>
      </w:r>
    </w:p>
    <w:p w14:paraId="6ED51B7C" w14:textId="77777777" w:rsidR="00DF3841" w:rsidRPr="009118AB" w:rsidRDefault="00DF3841" w:rsidP="00414E83">
      <w:pPr>
        <w:jc w:val="both"/>
      </w:pPr>
    </w:p>
    <w:p w14:paraId="23C0EAA7" w14:textId="56747C21" w:rsidR="00DF3841" w:rsidRPr="009118AB" w:rsidRDefault="00DF3841" w:rsidP="00414E83">
      <w:pPr>
        <w:jc w:val="both"/>
      </w:pPr>
      <w:r w:rsidRPr="009118AB">
        <w:tab/>
        <w:t>[</w:t>
      </w:r>
      <w:r w:rsidRPr="009118AB">
        <w:rPr>
          <w:rFonts w:eastAsia="Calibri"/>
          <w:kern w:val="2"/>
          <w:szCs w:val="22"/>
          <w:lang w:eastAsia="en-US"/>
          <w14:ligatures w14:val="standardContextual"/>
        </w:rPr>
        <w:t>- das einen Kulturtest, so wie er von der Europäischen Kommission genehmigt worden ist, bestanden hat,</w:t>
      </w:r>
      <w:r w:rsidRPr="009118AB">
        <w:t>]</w:t>
      </w:r>
    </w:p>
    <w:p w14:paraId="4559D62B" w14:textId="77777777" w:rsidR="00414E83" w:rsidRPr="009118AB" w:rsidRDefault="00414E83" w:rsidP="00414E83">
      <w:pPr>
        <w:jc w:val="both"/>
      </w:pPr>
    </w:p>
    <w:p w14:paraId="227A124E" w14:textId="6736EF47" w:rsidR="00414E83" w:rsidRPr="009118AB" w:rsidRDefault="00414E83" w:rsidP="00414E83">
      <w:pPr>
        <w:jc w:val="both"/>
      </w:pPr>
      <w:r w:rsidRPr="009118AB">
        <w:tab/>
        <w:t xml:space="preserve">- für das </w:t>
      </w:r>
      <w:r w:rsidR="000340C0" w:rsidRPr="009118AB">
        <w:t>[</w:t>
      </w:r>
      <w:r w:rsidR="000340C0" w:rsidRPr="009118AB">
        <w:rPr>
          <w:rFonts w:eastAsia="Calibri"/>
          <w:kern w:val="2"/>
          <w:szCs w:val="22"/>
          <w:lang w:eastAsia="en-US"/>
          <w14:ligatures w14:val="standardContextual"/>
        </w:rPr>
        <w:t>die im Europäischen Wirtschaftsraum getätigten Ausgaben für Produktion und Verwertung</w:t>
      </w:r>
      <w:r w:rsidR="000340C0" w:rsidRPr="009118AB">
        <w:t>]</w:t>
      </w:r>
      <w:r w:rsidRPr="009118AB">
        <w:t xml:space="preserve"> </w:t>
      </w:r>
      <w:r w:rsidR="00F17808" w:rsidRPr="009118AB">
        <w:t>[</w:t>
      </w:r>
      <w:r w:rsidR="0043567E" w:rsidRPr="009118AB">
        <w:t>innerhalb einer Frist von vierundzwanzig Monaten getätigt werden, die frühestens sechs Monate vor dem Datum der Unterzeichnung des in Artikel 194</w:t>
      </w:r>
      <w:r w:rsidR="0043567E" w:rsidRPr="009118AB">
        <w:rPr>
          <w:i/>
          <w:iCs/>
        </w:rPr>
        <w:t>ter</w:t>
      </w:r>
      <w:r w:rsidR="0043567E" w:rsidRPr="009118AB">
        <w:t xml:space="preserve"> </w:t>
      </w:r>
      <w:r w:rsidR="00D67EB8" w:rsidRPr="009118AB">
        <w:t>§ </w:t>
      </w:r>
      <w:r w:rsidR="0043567E" w:rsidRPr="009118AB">
        <w:t xml:space="preserve">1 Absatz 1 </w:t>
      </w:r>
      <w:r w:rsidR="00D67EB8" w:rsidRPr="009118AB">
        <w:t>Nr. </w:t>
      </w:r>
      <w:r w:rsidR="0043567E" w:rsidRPr="009118AB">
        <w:t xml:space="preserve">5 erwähnten Rahmenübereinkommens zum Erhalt der Tax-Shelter-Bescheinigung für die Produktion dieses Werks beginnt und spätestens vierundzwanzig Monate nach der </w:t>
      </w:r>
      <w:r w:rsidR="0043567E" w:rsidRPr="009118AB">
        <w:lastRenderedPageBreak/>
        <w:t>Unterzeichnung des vorerwähnten Rahmenübereinkommens</w:t>
      </w:r>
      <w:r w:rsidR="00F17808" w:rsidRPr="009118AB">
        <w:t>]</w:t>
      </w:r>
      <w:r w:rsidRPr="009118AB">
        <w:t xml:space="preserve"> und spätestens drei Monate nach Re</w:t>
      </w:r>
      <w:r w:rsidR="00F17808" w:rsidRPr="009118AB">
        <w:t>alisierung der Endversion endet.</w:t>
      </w:r>
    </w:p>
    <w:p w14:paraId="4B3B8C6D" w14:textId="46870584" w:rsidR="00F17808" w:rsidRPr="009118AB" w:rsidRDefault="00F17808" w:rsidP="00414E83">
      <w:pPr>
        <w:jc w:val="both"/>
      </w:pPr>
    </w:p>
    <w:p w14:paraId="44EB8393" w14:textId="1ED9F8AA" w:rsidR="00F17808" w:rsidRPr="009118AB" w:rsidRDefault="00F17808" w:rsidP="00414E83">
      <w:pPr>
        <w:jc w:val="both"/>
      </w:pPr>
      <w:r w:rsidRPr="009118AB">
        <w:tab/>
        <w:t>[Die in Absatz 1 erwähnten Ausgaben für Produktion und Verwertung, die in dem Zeitraum vor dem Datum der Unterzeichnung des Rahmenübereinkommens getätigt werden, belaufen sich auf höchstens 50 Prozent des Gesamtbetrags dieser Ausgaben für Produktion und Verwertung,]</w:t>
      </w:r>
    </w:p>
    <w:p w14:paraId="401CF647" w14:textId="77777777" w:rsidR="00414E83" w:rsidRPr="009118AB" w:rsidRDefault="00414E83" w:rsidP="00414E83">
      <w:pPr>
        <w:jc w:val="both"/>
      </w:pPr>
    </w:p>
    <w:p w14:paraId="3220E79F" w14:textId="77777777" w:rsidR="00414E83" w:rsidRPr="009118AB" w:rsidRDefault="00414E83" w:rsidP="00414E83">
      <w:pPr>
        <w:jc w:val="both"/>
      </w:pPr>
      <w:r w:rsidRPr="009118AB">
        <w:tab/>
        <w:t>2. Videospiel: ein interaktives Werk, inklusive Tonspur, Videobilder, Informatikcode, Szenario/Skript und Spieldimension, das von einer oder mehreren Personen gleichzeitig verwendet wird und so ausgelegt ist, um auf mobilen Geräten, Desktop-, Online- oder Heimkonsolen vertrieben und genutzt zu werden, und dessen interaktiven Mechanismen und Spielmechanismen so ausgelegt sind, dass sie auf einen audiovisuellen Bildschirm mit oder ohne Peripheriegeräte projiziert werden,</w:t>
      </w:r>
    </w:p>
    <w:p w14:paraId="336292D5" w14:textId="77777777" w:rsidR="00414E83" w:rsidRPr="009118AB" w:rsidRDefault="00414E83" w:rsidP="00414E83">
      <w:pPr>
        <w:jc w:val="both"/>
      </w:pPr>
    </w:p>
    <w:p w14:paraId="67A7C793" w14:textId="77777777" w:rsidR="00414E83" w:rsidRPr="009118AB" w:rsidRDefault="00414E83" w:rsidP="00414E83">
      <w:pPr>
        <w:jc w:val="both"/>
      </w:pPr>
      <w:r w:rsidRPr="009118AB">
        <w:tab/>
        <w:t>3. Originalvideospiel: ein Videospiel, dessen Geschichte, Grafiken, Figuren, Inhalt, Spielablauf oder Spielfunktionen original sind. Die Erweiterung eines bestehenden Videospiels, dessen Originalbestandteile oder einige von ihnen aufgegriffen werden, wird einem Originalvideospiel gleichgesetzt, sofern die neuen Originalbestandteile mindestens 50 Prozent der Geschichte, der Grafiken, der Figuren, des Inhalts, des Spielablaufs oder der Spielfunktionen darstellen,</w:t>
      </w:r>
    </w:p>
    <w:p w14:paraId="2AA03635" w14:textId="77777777" w:rsidR="00414E83" w:rsidRPr="009118AB" w:rsidRDefault="00414E83" w:rsidP="00414E83">
      <w:pPr>
        <w:jc w:val="both"/>
      </w:pPr>
    </w:p>
    <w:p w14:paraId="5F4C66FE" w14:textId="138F60D8" w:rsidR="00414E83" w:rsidRPr="009118AB" w:rsidRDefault="00414E83" w:rsidP="00414E83">
      <w:pPr>
        <w:jc w:val="both"/>
      </w:pPr>
      <w:r w:rsidRPr="009118AB">
        <w:tab/>
        <w:t>4. Endversion: die Version des Videospiels, so wie sie zum Zeitpunkt ihrer Vermarktung im Europäischen Wirtschaftsraum besteht. Unter Vermarktung versteht man das Datum, an dem das Videospiel zum ersten Mal zum Kauf angeboten wird</w:t>
      </w:r>
      <w:r w:rsidR="000340C0" w:rsidRPr="009118AB">
        <w:t>,</w:t>
      </w:r>
    </w:p>
    <w:p w14:paraId="0199B64E" w14:textId="77777777" w:rsidR="000340C0" w:rsidRPr="009118AB" w:rsidRDefault="000340C0" w:rsidP="00414E83">
      <w:pPr>
        <w:jc w:val="both"/>
      </w:pPr>
    </w:p>
    <w:p w14:paraId="178BA877" w14:textId="4251B609" w:rsidR="000340C0" w:rsidRPr="009118AB" w:rsidRDefault="000340C0" w:rsidP="00414E83">
      <w:pPr>
        <w:jc w:val="both"/>
      </w:pPr>
      <w:r w:rsidRPr="009118AB">
        <w:tab/>
        <w:t>[</w:t>
      </w:r>
      <w:r w:rsidRPr="009118AB">
        <w:rPr>
          <w:rFonts w:eastAsia="Calibri"/>
          <w:kern w:val="2"/>
          <w:szCs w:val="22"/>
          <w:lang w:eastAsia="en-US"/>
          <w14:ligatures w14:val="standardContextual"/>
        </w:rPr>
        <w:t>5. im Europäischen Wirtschaftsraum getätigten Ausgaben für Produktion und Verwertung: im Europäischen Wirtschaftsraum getätigte Ausgaben, die sich auf Produktion und Verwertung eines in Betracht kommenden Werks beziehen und aus denen Berufseinkünfte hervorgehen, die zu Lasten des Empfängers der Steuer der natürlichen Personen, der Gesellschaftssteuer, der Steuer der Gebietsfremden oder einem gleichartigen System in einem anderen Mitgliedstaat des Europäischen Wirtschaftsraums unterliegen, ausschließlich der Ausgaben, die für die Produktionsgesellschaft als nicht als Werbungskosten abzugsfähige Beträge wie in Artikel 206/1 Absatz 2 Nr. 2 erwähnt gelten können, und aller anderen Kosten, die nicht für die Produktion oder Verwertung des in Betracht kommenden Werks gemacht werden.</w:t>
      </w:r>
      <w:r w:rsidRPr="009118AB">
        <w:t>]</w:t>
      </w:r>
    </w:p>
    <w:p w14:paraId="639E33C7" w14:textId="3F9F9989" w:rsidR="00414E83" w:rsidRPr="009118AB" w:rsidRDefault="00414E83" w:rsidP="00414E83">
      <w:pPr>
        <w:jc w:val="both"/>
      </w:pPr>
    </w:p>
    <w:p w14:paraId="47354364" w14:textId="3E15DCC5" w:rsidR="00414E83" w:rsidRPr="009118AB" w:rsidRDefault="00414E83" w:rsidP="00414E83">
      <w:pPr>
        <w:jc w:val="both"/>
      </w:pPr>
      <w:r w:rsidRPr="009118AB">
        <w:tab/>
      </w:r>
      <w:r w:rsidR="00D67EB8" w:rsidRPr="009118AB">
        <w:t>§ </w:t>
      </w:r>
      <w:r w:rsidRPr="009118AB">
        <w:t>3</w:t>
      </w:r>
      <w:r w:rsidR="00D67EB8" w:rsidRPr="009118AB">
        <w:t> - </w:t>
      </w:r>
      <w:r w:rsidRPr="009118AB">
        <w:t>In Abweichung von Artikel 194</w:t>
      </w:r>
      <w:r w:rsidRPr="009118AB">
        <w:rPr>
          <w:i/>
          <w:iCs/>
        </w:rPr>
        <w:t>ter</w:t>
      </w:r>
      <w:r w:rsidRPr="009118AB">
        <w:t xml:space="preserve"> </w:t>
      </w:r>
      <w:r w:rsidR="00D67EB8" w:rsidRPr="009118AB">
        <w:t>§ </w:t>
      </w:r>
      <w:r w:rsidRPr="009118AB">
        <w:t xml:space="preserve">1 Absatz 1 </w:t>
      </w:r>
      <w:r w:rsidR="00D67EB8" w:rsidRPr="009118AB">
        <w:t>Nr. </w:t>
      </w:r>
      <w:r w:rsidRPr="009118AB">
        <w:t>8 und 9 versteht man unter:</w:t>
      </w:r>
    </w:p>
    <w:p w14:paraId="616734F5" w14:textId="77777777" w:rsidR="00414E83" w:rsidRPr="009118AB" w:rsidRDefault="00414E83" w:rsidP="00414E83">
      <w:pPr>
        <w:jc w:val="both"/>
      </w:pPr>
    </w:p>
    <w:p w14:paraId="4F678ED8" w14:textId="77777777" w:rsidR="00414E83" w:rsidRPr="009118AB" w:rsidRDefault="00414E83" w:rsidP="00414E83">
      <w:pPr>
        <w:jc w:val="both"/>
      </w:pPr>
      <w:r w:rsidRPr="009118AB">
        <w:tab/>
        <w:t>1. Ausgaben in direktem Zusammenhang mit der Produktion und Verwertung: Ausgaben in Zusammenhang mit der kreativen und technischen Produktion des in Betracht kommenden Werks, wie:</w:t>
      </w:r>
    </w:p>
    <w:p w14:paraId="52DFC744" w14:textId="77777777" w:rsidR="00414E83" w:rsidRPr="009118AB" w:rsidRDefault="00414E83" w:rsidP="00414E83">
      <w:pPr>
        <w:jc w:val="both"/>
      </w:pPr>
    </w:p>
    <w:p w14:paraId="6DEC4A86" w14:textId="77777777" w:rsidR="00414E83" w:rsidRPr="009118AB" w:rsidRDefault="00414E83" w:rsidP="00414E83">
      <w:pPr>
        <w:jc w:val="both"/>
      </w:pPr>
      <w:r w:rsidRPr="009118AB">
        <w:tab/>
        <w:t>- Ausgaben in Zusammenhang mit dem Erwerb geistiger Eigentumsrechte, die für die Realisierung des in Betracht kommenden Werks erforderlich oder nützlich sind, im Verhältnis zu ihrem Anteil an der Produktion des Werks, wenn der Erwerb zum Marktpreis erfolgt, nach der Unterzeichnung des Rahmenübereinkommens, bei einer Person oder einer Gesellschaft, die nicht im Sinne von Artikel 1:20 des Gesetzbuches der Gesellschaften und Vereinigungen verbunden ist,</w:t>
      </w:r>
    </w:p>
    <w:p w14:paraId="1CF3FA2E" w14:textId="77777777" w:rsidR="00414E83" w:rsidRPr="009118AB" w:rsidRDefault="00414E83" w:rsidP="00414E83">
      <w:pPr>
        <w:jc w:val="both"/>
      </w:pPr>
    </w:p>
    <w:p w14:paraId="56D18828" w14:textId="77777777" w:rsidR="00414E83" w:rsidRPr="009118AB" w:rsidRDefault="00414E83" w:rsidP="00414E83">
      <w:pPr>
        <w:jc w:val="both"/>
      </w:pPr>
      <w:r w:rsidRPr="009118AB">
        <w:lastRenderedPageBreak/>
        <w:tab/>
        <w:t>- Löhne und andere Entschädigungen des Personals oder Entschädigungen der selbständigen Dienstleistungserbringer, die mit der Schaffung und Ausführung des in Betracht kommenden Werks verbunden sind,</w:t>
      </w:r>
    </w:p>
    <w:p w14:paraId="3F615161" w14:textId="77777777" w:rsidR="00414E83" w:rsidRPr="009118AB" w:rsidRDefault="00414E83" w:rsidP="00414E83">
      <w:pPr>
        <w:jc w:val="both"/>
      </w:pPr>
    </w:p>
    <w:p w14:paraId="137BD0D4" w14:textId="77777777" w:rsidR="00414E83" w:rsidRPr="009118AB" w:rsidRDefault="00414E83" w:rsidP="00414E83">
      <w:pPr>
        <w:jc w:val="both"/>
      </w:pPr>
      <w:r w:rsidRPr="009118AB">
        <w:tab/>
        <w:t>- Soziallasten, die mit den im zweiten Gedankenstrich erwähnten Löhnen und Kosten verbunden sind,</w:t>
      </w:r>
    </w:p>
    <w:p w14:paraId="10071FA6" w14:textId="77777777" w:rsidR="00414E83" w:rsidRPr="009118AB" w:rsidRDefault="00414E83" w:rsidP="00414E83">
      <w:pPr>
        <w:jc w:val="both"/>
      </w:pPr>
    </w:p>
    <w:p w14:paraId="7C55D37B" w14:textId="77777777" w:rsidR="00414E83" w:rsidRPr="009118AB" w:rsidRDefault="00414E83" w:rsidP="00414E83">
      <w:pPr>
        <w:jc w:val="both"/>
      </w:pPr>
      <w:r w:rsidRPr="009118AB">
        <w:tab/>
        <w:t>- Ausgaben für den Ankauf von Material, Ausstattung und Ausrüstung im Verhältnis zu ihrem Anteil an der Produktion des in Betracht kommenden Werks,</w:t>
      </w:r>
    </w:p>
    <w:p w14:paraId="039F0E06" w14:textId="77777777" w:rsidR="00414E83" w:rsidRPr="009118AB" w:rsidRDefault="00414E83" w:rsidP="00414E83">
      <w:pPr>
        <w:jc w:val="both"/>
      </w:pPr>
    </w:p>
    <w:p w14:paraId="07E9A4DF" w14:textId="77777777" w:rsidR="00414E83" w:rsidRPr="009118AB" w:rsidRDefault="00414E83" w:rsidP="00414E83">
      <w:pPr>
        <w:jc w:val="both"/>
      </w:pPr>
      <w:r w:rsidRPr="009118AB">
        <w:tab/>
        <w:t>- Ausgaben in Zusammenhang mit Tests, die für die Realisierung des in Betracht kommenden Werks erforderlich oder nützlich sind,</w:t>
      </w:r>
    </w:p>
    <w:p w14:paraId="2966A454" w14:textId="77777777" w:rsidR="00414E83" w:rsidRPr="009118AB" w:rsidRDefault="00414E83" w:rsidP="00414E83">
      <w:pPr>
        <w:jc w:val="both"/>
      </w:pPr>
    </w:p>
    <w:p w14:paraId="61BAEF86" w14:textId="77777777" w:rsidR="00414E83" w:rsidRPr="009118AB" w:rsidRDefault="00414E83" w:rsidP="00414E83">
      <w:pPr>
        <w:jc w:val="both"/>
      </w:pPr>
      <w:r w:rsidRPr="009118AB">
        <w:tab/>
        <w:t>- Kosten für die Miete von Aufnahme- und Filmstudios und Webspace,</w:t>
      </w:r>
    </w:p>
    <w:p w14:paraId="5B83CCAF" w14:textId="77777777" w:rsidR="00414E83" w:rsidRPr="009118AB" w:rsidRDefault="00414E83" w:rsidP="00414E83">
      <w:pPr>
        <w:jc w:val="both"/>
      </w:pPr>
    </w:p>
    <w:p w14:paraId="6A5029B7" w14:textId="77777777" w:rsidR="00414E83" w:rsidRPr="009118AB" w:rsidRDefault="00414E83" w:rsidP="00414E83">
      <w:pPr>
        <w:jc w:val="both"/>
      </w:pPr>
      <w:r w:rsidRPr="009118AB">
        <w:tab/>
        <w:t>- Versicherungskosten in direktem Zusammenhang mit der Produktion des in Betracht kommenden Werks,</w:t>
      </w:r>
    </w:p>
    <w:p w14:paraId="205D5103" w14:textId="77777777" w:rsidR="00414E83" w:rsidRPr="009118AB" w:rsidRDefault="00414E83" w:rsidP="00414E83">
      <w:pPr>
        <w:jc w:val="both"/>
      </w:pPr>
    </w:p>
    <w:p w14:paraId="36F99969" w14:textId="77777777" w:rsidR="00414E83" w:rsidRPr="009118AB" w:rsidRDefault="00414E83" w:rsidP="00414E83">
      <w:pPr>
        <w:jc w:val="both"/>
      </w:pPr>
      <w:r w:rsidRPr="009118AB">
        <w:tab/>
        <w:t>- Kosten für die Übersetzung des in Betracht kommenden Werks,</w:t>
      </w:r>
    </w:p>
    <w:p w14:paraId="207F2943" w14:textId="77777777" w:rsidR="00414E83" w:rsidRPr="009118AB" w:rsidRDefault="00414E83" w:rsidP="00414E83">
      <w:pPr>
        <w:jc w:val="both"/>
      </w:pPr>
    </w:p>
    <w:p w14:paraId="495EBA31" w14:textId="77777777" w:rsidR="00414E83" w:rsidRPr="009118AB" w:rsidRDefault="00414E83" w:rsidP="00414E83">
      <w:pPr>
        <w:jc w:val="both"/>
      </w:pPr>
      <w:r w:rsidRPr="009118AB">
        <w:tab/>
        <w:t>- Kosten für Edition und Verkaufsförderung, die der Produktion eigen sind: Plakate, Flyer, Pressemappe, Website oder Webseite, die mit der Produktion verbunden ist, Fernseh- oder Radiowerbung, Marketing in den sozialen Medien und Kosten, die mit der Markteinführung der Endversion verbunden sind,</w:t>
      </w:r>
    </w:p>
    <w:p w14:paraId="5219D53F" w14:textId="77777777" w:rsidR="00414E83" w:rsidRPr="009118AB" w:rsidRDefault="00414E83" w:rsidP="00414E83">
      <w:pPr>
        <w:jc w:val="both"/>
      </w:pPr>
    </w:p>
    <w:p w14:paraId="4416BDDC" w14:textId="77777777" w:rsidR="00414E83" w:rsidRPr="009118AB" w:rsidRDefault="00414E83" w:rsidP="00414E83">
      <w:pPr>
        <w:jc w:val="both"/>
      </w:pPr>
      <w:r w:rsidRPr="009118AB">
        <w:tab/>
        <w:t>2. Ausgaben, die nicht in direktem Zusammenhang mit der Produktion und Verwertung stehen, unter anderem:</w:t>
      </w:r>
    </w:p>
    <w:p w14:paraId="377E70F2" w14:textId="77777777" w:rsidR="00414E83" w:rsidRPr="009118AB" w:rsidRDefault="00414E83" w:rsidP="00414E83">
      <w:pPr>
        <w:jc w:val="both"/>
      </w:pPr>
    </w:p>
    <w:p w14:paraId="08BFCD75" w14:textId="77777777" w:rsidR="00414E83" w:rsidRPr="009118AB" w:rsidRDefault="00414E83" w:rsidP="00414E83">
      <w:pPr>
        <w:jc w:val="both"/>
      </w:pPr>
      <w:r w:rsidRPr="009118AB">
        <w:tab/>
        <w:t>- Ausgaben in Bezug auf administrative, finanzielle und rechtliche Organisation und Begleitung der Produktion eines in Betracht kommenden Werks,</w:t>
      </w:r>
    </w:p>
    <w:p w14:paraId="4139B74D" w14:textId="77777777" w:rsidR="00414E83" w:rsidRPr="009118AB" w:rsidRDefault="00414E83" w:rsidP="00414E83">
      <w:pPr>
        <w:jc w:val="both"/>
      </w:pPr>
    </w:p>
    <w:p w14:paraId="5E39EED8" w14:textId="77777777" w:rsidR="00414E83" w:rsidRPr="009118AB" w:rsidRDefault="00414E83" w:rsidP="00414E83">
      <w:pPr>
        <w:jc w:val="both"/>
      </w:pPr>
      <w:r w:rsidRPr="009118AB">
        <w:tab/>
        <w:t>- Finanzierungskosten und Provisionen, die im Rahmen der Anwerbung von Unternehmen gezahlt werden, die ein Rahmenübereinkommen zur Produktion eines in Betracht kommenden Werks abschließen,</w:t>
      </w:r>
    </w:p>
    <w:p w14:paraId="4B69B690" w14:textId="77777777" w:rsidR="0043567E" w:rsidRPr="009118AB" w:rsidRDefault="0043567E" w:rsidP="00414E83">
      <w:pPr>
        <w:jc w:val="both"/>
      </w:pPr>
    </w:p>
    <w:p w14:paraId="06D092CB" w14:textId="6599831A" w:rsidR="00414E83" w:rsidRPr="009118AB" w:rsidRDefault="00414E83" w:rsidP="00414E83">
      <w:pPr>
        <w:jc w:val="both"/>
      </w:pPr>
      <w:r w:rsidRPr="009118AB">
        <w:tab/>
        <w:t>- Kosten in Zusammenhang mit der Finanzierung des in Betracht kommenden Werks oder auf der Grundlage eines in Artikel 194</w:t>
      </w:r>
      <w:r w:rsidRPr="009118AB">
        <w:rPr>
          <w:i/>
          <w:iCs/>
        </w:rPr>
        <w:t>ter</w:t>
      </w:r>
      <w:r w:rsidRPr="009118AB">
        <w:t xml:space="preserve"> </w:t>
      </w:r>
      <w:r w:rsidR="00D67EB8" w:rsidRPr="009118AB">
        <w:t>§ </w:t>
      </w:r>
      <w:r w:rsidRPr="009118AB">
        <w:t xml:space="preserve">1 Absatz 1 </w:t>
      </w:r>
      <w:r w:rsidR="00D67EB8" w:rsidRPr="009118AB">
        <w:t>Nr. </w:t>
      </w:r>
      <w:r w:rsidRPr="009118AB">
        <w:t>5 erwähnten Rahmen</w:t>
      </w:r>
      <w:r w:rsidRPr="009118AB">
        <w:softHyphen/>
        <w:t>übereinkommens gezahlte Summen einschließlich der Kosten für rechtlichen Beistand, Rechtsanwaltskosten, Zinsen, Garantiekosten, Verwaltungskosten, Provisionen und Repräsentationskosten,</w:t>
      </w:r>
    </w:p>
    <w:p w14:paraId="0A9C2122" w14:textId="77777777" w:rsidR="00414E83" w:rsidRPr="009118AB" w:rsidRDefault="00414E83" w:rsidP="00414E83">
      <w:pPr>
        <w:jc w:val="both"/>
      </w:pPr>
    </w:p>
    <w:p w14:paraId="22AFCF59" w14:textId="77777777" w:rsidR="00414E83" w:rsidRPr="009118AB" w:rsidRDefault="00414E83" w:rsidP="00414E83">
      <w:pPr>
        <w:jc w:val="both"/>
      </w:pPr>
      <w:r w:rsidRPr="009118AB">
        <w:tab/>
        <w:t>- Rechnungen, die von dem in Betracht kommenden Anleger erstellt werden, mit Ausnahme der Rechnungen von Unternehmen für Produktionsdienstleistungen, wenn die in Rechnung gestellten Güter oder Dienstleistungen in direktem Zusammenhang mit der Produktion stehen und in dem Maße, wie der Betrag dieser Rechnungen dem Preis entspricht, der hätte gezahlt werden müssen, wenn die beteiligten Gesellschaften voneinander völlig unabhängig wären,</w:t>
      </w:r>
    </w:p>
    <w:p w14:paraId="4DB25370" w14:textId="77777777" w:rsidR="00414E83" w:rsidRPr="009118AB" w:rsidRDefault="00414E83" w:rsidP="00414E83">
      <w:pPr>
        <w:jc w:val="both"/>
      </w:pPr>
    </w:p>
    <w:p w14:paraId="4D37BBD0" w14:textId="77777777" w:rsidR="00414E83" w:rsidRPr="009118AB" w:rsidRDefault="00414E83" w:rsidP="00414E83">
      <w:pPr>
        <w:jc w:val="both"/>
      </w:pPr>
      <w:r w:rsidRPr="009118AB">
        <w:tab/>
        <w:t>- Vertriebskosten, die zu Lasten der Produktionsgesellschaft sind.</w:t>
      </w:r>
    </w:p>
    <w:p w14:paraId="6E2D0961" w14:textId="77777777" w:rsidR="00414E83" w:rsidRPr="009118AB" w:rsidRDefault="00414E83" w:rsidP="00414E83">
      <w:pPr>
        <w:jc w:val="both"/>
      </w:pPr>
    </w:p>
    <w:p w14:paraId="311704BC" w14:textId="3BC9C7CA" w:rsidR="000340C0" w:rsidRPr="009118AB" w:rsidRDefault="000340C0" w:rsidP="00414E83">
      <w:pPr>
        <w:jc w:val="both"/>
      </w:pPr>
      <w:r w:rsidRPr="009118AB">
        <w:lastRenderedPageBreak/>
        <w:tab/>
        <w:t>[</w:t>
      </w:r>
      <w:r w:rsidRPr="009118AB">
        <w:rPr>
          <w:rFonts w:eastAsia="Calibri"/>
          <w:kern w:val="2"/>
          <w:szCs w:val="22"/>
          <w:lang w:eastAsia="en-US"/>
          <w14:ligatures w14:val="standardContextual"/>
        </w:rPr>
        <w:t>Für die Anwendung des vorliegenden Artikels werden in Abweichung von Artikel 194</w:t>
      </w:r>
      <w:r w:rsidRPr="009118AB">
        <w:rPr>
          <w:rFonts w:eastAsia="Calibri"/>
          <w:i/>
          <w:iCs/>
          <w:kern w:val="2"/>
          <w:szCs w:val="22"/>
          <w:lang w:eastAsia="en-US"/>
          <w14:ligatures w14:val="standardContextual"/>
        </w:rPr>
        <w:t>ter</w:t>
      </w:r>
      <w:r w:rsidRPr="009118AB">
        <w:rPr>
          <w:rFonts w:eastAsia="Calibri"/>
          <w:kern w:val="2"/>
          <w:szCs w:val="22"/>
          <w:lang w:eastAsia="en-US"/>
          <w14:ligatures w14:val="standardContextual"/>
        </w:rPr>
        <w:t xml:space="preserve"> § 1 Absatz 1 Nr. 9, Absatz 2, Absatz 3 und Absatz 4, § 7 Absatz 1 Nr. 4</w:t>
      </w:r>
      <w:r w:rsidRPr="009118AB">
        <w:rPr>
          <w:rFonts w:eastAsia="Calibri"/>
          <w:i/>
          <w:iCs/>
          <w:kern w:val="2"/>
          <w:szCs w:val="22"/>
          <w:lang w:eastAsia="en-US"/>
          <w14:ligatures w14:val="standardContextual"/>
        </w:rPr>
        <w:t>bis</w:t>
      </w:r>
      <w:r w:rsidRPr="009118AB">
        <w:rPr>
          <w:rFonts w:eastAsia="Calibri"/>
          <w:kern w:val="2"/>
          <w:szCs w:val="22"/>
          <w:lang w:eastAsia="en-US"/>
          <w14:ligatures w14:val="standardContextual"/>
        </w:rPr>
        <w:t>, § 8 Absatz 1 zweiter Gedankenstrich und Absatz 3 und § 10 Absatz 1 Nr. 8 vierter und fünfter Gedankenstrich die in Artikel 194</w:t>
      </w:r>
      <w:r w:rsidRPr="009118AB">
        <w:rPr>
          <w:rFonts w:eastAsia="Calibri"/>
          <w:i/>
          <w:iCs/>
          <w:kern w:val="2"/>
          <w:szCs w:val="22"/>
          <w:lang w:eastAsia="en-US"/>
          <w14:ligatures w14:val="standardContextual"/>
        </w:rPr>
        <w:t>ter</w:t>
      </w:r>
      <w:r w:rsidRPr="009118AB">
        <w:rPr>
          <w:rFonts w:eastAsia="Calibri"/>
          <w:kern w:val="2"/>
          <w:szCs w:val="22"/>
          <w:lang w:eastAsia="en-US"/>
          <w14:ligatures w14:val="standardContextual"/>
        </w:rPr>
        <w:t xml:space="preserve"> erwähnten in Belgien getätigten Ausgaben für Produktion und Verwertung jeweils auf die im Europäischen Wirtschaftsraum getätigten Ausgaben für Produktion und Verwertung ausgeweitet.</w:t>
      </w:r>
      <w:r w:rsidRPr="009118AB">
        <w:t>]</w:t>
      </w:r>
    </w:p>
    <w:p w14:paraId="5ECA4AE2" w14:textId="77777777" w:rsidR="000340C0" w:rsidRPr="009118AB" w:rsidRDefault="000340C0" w:rsidP="00414E83">
      <w:pPr>
        <w:jc w:val="both"/>
      </w:pPr>
    </w:p>
    <w:p w14:paraId="50CDC0E1" w14:textId="4A72C37A" w:rsidR="00414E83" w:rsidRPr="009118AB" w:rsidRDefault="00414E83" w:rsidP="00414E83">
      <w:pPr>
        <w:jc w:val="both"/>
      </w:pPr>
      <w:r w:rsidRPr="009118AB">
        <w:tab/>
      </w:r>
      <w:r w:rsidR="00D67EB8" w:rsidRPr="009118AB">
        <w:t>§ </w:t>
      </w:r>
      <w:r w:rsidRPr="009118AB">
        <w:t>4</w:t>
      </w:r>
      <w:r w:rsidR="00D67EB8" w:rsidRPr="009118AB">
        <w:t> - </w:t>
      </w:r>
      <w:r w:rsidR="00F17808" w:rsidRPr="009118AB">
        <w:t>[</w:t>
      </w:r>
      <w:r w:rsidRPr="009118AB">
        <w:t>.</w:t>
      </w:r>
      <w:r w:rsidR="00F17808" w:rsidRPr="009118AB">
        <w:t>..]</w:t>
      </w:r>
    </w:p>
    <w:p w14:paraId="006D4E49" w14:textId="77777777" w:rsidR="00414E83" w:rsidRPr="009118AB" w:rsidRDefault="00414E83" w:rsidP="00414E83">
      <w:pPr>
        <w:jc w:val="both"/>
      </w:pPr>
    </w:p>
    <w:p w14:paraId="7C60F220" w14:textId="427A294C" w:rsidR="00414E83" w:rsidRPr="009118AB" w:rsidRDefault="00414E83" w:rsidP="00414E83">
      <w:pPr>
        <w:jc w:val="both"/>
      </w:pPr>
      <w:r w:rsidRPr="009118AB">
        <w:tab/>
      </w:r>
      <w:r w:rsidR="00D67EB8" w:rsidRPr="009118AB">
        <w:t>§ </w:t>
      </w:r>
      <w:r w:rsidRPr="009118AB">
        <w:t>5</w:t>
      </w:r>
      <w:r w:rsidR="00D67EB8" w:rsidRPr="009118AB">
        <w:t> - </w:t>
      </w:r>
      <w:r w:rsidRPr="009118AB">
        <w:t>Pro Besteuerungszeitraum wird die in Artikel 194</w:t>
      </w:r>
      <w:r w:rsidRPr="009118AB">
        <w:rPr>
          <w:i/>
          <w:iCs/>
        </w:rPr>
        <w:t>ter</w:t>
      </w:r>
      <w:r w:rsidRPr="009118AB">
        <w:t xml:space="preserve"> </w:t>
      </w:r>
      <w:r w:rsidR="00D67EB8" w:rsidRPr="009118AB">
        <w:t>§ </w:t>
      </w:r>
      <w:r w:rsidRPr="009118AB">
        <w:t>2 vorgesehene Steuerbefreiung zu einem Betrag gewährt, der bei einem Höchstbetrag von 750.000 EUR auf 50 Prozent der steuerpflichtigen Gewinnrücklagen des Besteuerungszeitraums begrenzt ist, die vor Bildung der in Artikel 194</w:t>
      </w:r>
      <w:r w:rsidRPr="009118AB">
        <w:rPr>
          <w:i/>
          <w:iCs/>
        </w:rPr>
        <w:t>ter</w:t>
      </w:r>
      <w:r w:rsidRPr="009118AB">
        <w:t xml:space="preserve"> </w:t>
      </w:r>
      <w:r w:rsidR="00D67EB8" w:rsidRPr="009118AB">
        <w:t>§ </w:t>
      </w:r>
      <w:r w:rsidRPr="009118AB">
        <w:t>4 erwähnten steuerfreien Rücklage festgestellt wurden. Dieser Grenzbetrag und dieser Höchstbetrag sind auf den Gesamtbetrag der in den Artikeln 194</w:t>
      </w:r>
      <w:r w:rsidRPr="009118AB">
        <w:rPr>
          <w:i/>
          <w:iCs/>
        </w:rPr>
        <w:t>ter</w:t>
      </w:r>
      <w:r w:rsidRPr="009118AB">
        <w:t>, 194</w:t>
      </w:r>
      <w:r w:rsidRPr="009118AB">
        <w:rPr>
          <w:i/>
          <w:iCs/>
        </w:rPr>
        <w:t>ter</w:t>
      </w:r>
      <w:r w:rsidRPr="009118AB">
        <w:t>/1 und 194</w:t>
      </w:r>
      <w:r w:rsidRPr="009118AB">
        <w:rPr>
          <w:i/>
          <w:iCs/>
        </w:rPr>
        <w:t>ter</w:t>
      </w:r>
      <w:r w:rsidRPr="009118AB">
        <w:t>/3 erwähnten Steuerbefreiungen anwendbar.</w:t>
      </w:r>
    </w:p>
    <w:p w14:paraId="2E35AAE4" w14:textId="77777777" w:rsidR="00414E83" w:rsidRPr="009118AB" w:rsidRDefault="00414E83" w:rsidP="00414E83">
      <w:pPr>
        <w:jc w:val="both"/>
      </w:pPr>
    </w:p>
    <w:p w14:paraId="5BE9B62E" w14:textId="77777777" w:rsidR="00414E83" w:rsidRPr="009118AB" w:rsidRDefault="00414E83" w:rsidP="00414E83">
      <w:pPr>
        <w:jc w:val="both"/>
      </w:pPr>
      <w:r w:rsidRPr="009118AB">
        <w:tab/>
        <w:t>Für den Besteuerungszeitraum, für den der in Artikel 215 Absatz 1 erwähnte Gesellschaftssteuersatz auf 29 Prozent festgelegt wird, wird der in Absatz 1 erwähnte Höchstbetrag auf 850.000 EUR angehoben.</w:t>
      </w:r>
    </w:p>
    <w:p w14:paraId="2FFEFC3F" w14:textId="77777777" w:rsidR="00414E83" w:rsidRPr="009118AB" w:rsidRDefault="00414E83" w:rsidP="00414E83">
      <w:pPr>
        <w:jc w:val="both"/>
      </w:pPr>
    </w:p>
    <w:p w14:paraId="641FC830" w14:textId="77777777" w:rsidR="00414E83" w:rsidRPr="009118AB" w:rsidRDefault="00414E83" w:rsidP="00414E83">
      <w:pPr>
        <w:jc w:val="both"/>
      </w:pPr>
      <w:r w:rsidRPr="009118AB">
        <w:tab/>
        <w:t>Für den Besteuerungszeitraum, für den der in Artikel 215 Absatz 1 erwähnte Gesellschaftssteuersatz auf 25 Prozent festgelegt wird, wird der in Absatz 1 erwähnte Höchstbetrag auf 1.000.000 EUR angehoben.</w:t>
      </w:r>
    </w:p>
    <w:p w14:paraId="324FC855" w14:textId="77777777" w:rsidR="00414E83" w:rsidRPr="009118AB" w:rsidRDefault="00414E83" w:rsidP="00414E83">
      <w:pPr>
        <w:jc w:val="both"/>
      </w:pPr>
    </w:p>
    <w:p w14:paraId="39C53820" w14:textId="2D1CB0CB" w:rsidR="00414E83" w:rsidRPr="009118AB" w:rsidRDefault="00414E83" w:rsidP="00414E83">
      <w:pPr>
        <w:jc w:val="both"/>
      </w:pPr>
      <w:r w:rsidRPr="009118AB">
        <w:tab/>
        <w:t>Gibt es in einem Besteuerungszeitraum keine oder unzureichende Gewinne, um die Summen zur Ausführung des Rahmenübereinkommens zu verwenden, wird die für diesen Besteuerungszeitraum nicht gewährte Steuerbefreiung gemäß Artikel 194</w:t>
      </w:r>
      <w:r w:rsidRPr="009118AB">
        <w:rPr>
          <w:i/>
          <w:iCs/>
        </w:rPr>
        <w:t>ter</w:t>
      </w:r>
      <w:r w:rsidRPr="009118AB">
        <w:t xml:space="preserve"> </w:t>
      </w:r>
      <w:r w:rsidR="00D67EB8" w:rsidRPr="009118AB">
        <w:t>§ </w:t>
      </w:r>
      <w:r w:rsidRPr="009118AB">
        <w:t>3 Absatz 2 bis 4 nacheinander auf die Gewinne der nachfolgenden Besteuerungszeiträume übertragen, ohne dass die in den Artikeln 194</w:t>
      </w:r>
      <w:r w:rsidRPr="009118AB">
        <w:rPr>
          <w:i/>
          <w:iCs/>
        </w:rPr>
        <w:t>ter</w:t>
      </w:r>
      <w:r w:rsidRPr="009118AB">
        <w:t xml:space="preserve"> </w:t>
      </w:r>
      <w:r w:rsidR="00D67EB8" w:rsidRPr="009118AB">
        <w:t>§ </w:t>
      </w:r>
      <w:r w:rsidRPr="009118AB">
        <w:t>2, 194</w:t>
      </w:r>
      <w:r w:rsidRPr="009118AB">
        <w:rPr>
          <w:i/>
          <w:iCs/>
        </w:rPr>
        <w:t>ter</w:t>
      </w:r>
      <w:r w:rsidRPr="009118AB">
        <w:t xml:space="preserve">/1 </w:t>
      </w:r>
      <w:r w:rsidR="00D67EB8" w:rsidRPr="009118AB">
        <w:t>§ </w:t>
      </w:r>
      <w:r w:rsidRPr="009118AB">
        <w:t>5 und 194</w:t>
      </w:r>
      <w:r w:rsidRPr="009118AB">
        <w:rPr>
          <w:i/>
          <w:iCs/>
        </w:rPr>
        <w:t>ter</w:t>
      </w:r>
      <w:r w:rsidRPr="009118AB">
        <w:t xml:space="preserve">/3 </w:t>
      </w:r>
      <w:r w:rsidR="00D67EB8" w:rsidRPr="009118AB">
        <w:t>§ </w:t>
      </w:r>
      <w:r w:rsidRPr="009118AB">
        <w:t>5 erwähnten Steuerbefreiungen, gegebenenfalls zusammen angewandt, pro Besteuerungszeitraum die in Absatz 1 festgelegten Grenzen übersteigen dürfen.</w:t>
      </w:r>
    </w:p>
    <w:p w14:paraId="5E06F5E5" w14:textId="77777777" w:rsidR="00414E83" w:rsidRPr="009118AB" w:rsidRDefault="00414E83" w:rsidP="00414E83">
      <w:pPr>
        <w:jc w:val="both"/>
      </w:pPr>
    </w:p>
    <w:p w14:paraId="4C143CF7" w14:textId="4EE5F4CB" w:rsidR="00414E83" w:rsidRPr="009118AB" w:rsidRDefault="00414E83" w:rsidP="00414E83">
      <w:pPr>
        <w:jc w:val="both"/>
      </w:pPr>
      <w:r w:rsidRPr="009118AB">
        <w:tab/>
        <w:t>In Abweichung von Artikel 194</w:t>
      </w:r>
      <w:r w:rsidRPr="009118AB">
        <w:rPr>
          <w:i/>
          <w:iCs/>
        </w:rPr>
        <w:t>ter</w:t>
      </w:r>
      <w:r w:rsidRPr="009118AB">
        <w:t xml:space="preserve"> </w:t>
      </w:r>
      <w:r w:rsidR="00D67EB8" w:rsidRPr="009118AB">
        <w:t>§ </w:t>
      </w:r>
      <w:r w:rsidRPr="009118AB">
        <w:t>8 Absatz 4 beläuft sich die Summe aller Steuerwerte der Tax-Shelter-Bescheinigungen pro in Betracht kommendes Werk auf höchstens 2.500.000 EUR.</w:t>
      </w:r>
    </w:p>
    <w:p w14:paraId="3F73A35A" w14:textId="77777777" w:rsidR="00414E83" w:rsidRPr="009118AB" w:rsidRDefault="00414E83" w:rsidP="00414E83">
      <w:pPr>
        <w:jc w:val="both"/>
      </w:pPr>
    </w:p>
    <w:p w14:paraId="53FA1D13" w14:textId="02692723" w:rsidR="00414E83" w:rsidRPr="009118AB" w:rsidRDefault="00414E83" w:rsidP="00414E83">
      <w:pPr>
        <w:jc w:val="both"/>
      </w:pPr>
      <w:r w:rsidRPr="009118AB">
        <w:tab/>
      </w:r>
      <w:r w:rsidR="00D67EB8" w:rsidRPr="009118AB">
        <w:t>§ </w:t>
      </w:r>
      <w:r w:rsidRPr="009118AB">
        <w:t>6</w:t>
      </w:r>
      <w:r w:rsidR="00D67EB8" w:rsidRPr="009118AB">
        <w:t> - </w:t>
      </w:r>
      <w:r w:rsidRPr="009118AB">
        <w:t>Um gemäß Artikel 194</w:t>
      </w:r>
      <w:r w:rsidRPr="009118AB">
        <w:rPr>
          <w:i/>
          <w:iCs/>
        </w:rPr>
        <w:t>ter</w:t>
      </w:r>
      <w:r w:rsidRPr="009118AB">
        <w:t xml:space="preserve"> </w:t>
      </w:r>
      <w:r w:rsidR="00D67EB8" w:rsidRPr="009118AB">
        <w:t>§ </w:t>
      </w:r>
      <w:r w:rsidRPr="009118AB">
        <w:t xml:space="preserve">7 Absatz 1 </w:t>
      </w:r>
      <w:r w:rsidR="00D67EB8" w:rsidRPr="009118AB">
        <w:t>Nr. </w:t>
      </w:r>
      <w:r w:rsidRPr="009118AB">
        <w:t>3 zweiter Gedankenstrich bescheinigen zu können, dass die Realisierung des Originalvideospiels abgeschlossen ist, muss die betreffende Gemeinschaft sich vergewissern, dass eine Endversion dieses Spiels im Europäischen Wirtschaftsraum realisiert worden ist.]</w:t>
      </w:r>
    </w:p>
    <w:p w14:paraId="6BC07684" w14:textId="518FA2DC" w:rsidR="00414E83" w:rsidRPr="009118AB" w:rsidRDefault="00414E83" w:rsidP="00414E83">
      <w:pPr>
        <w:jc w:val="both"/>
      </w:pPr>
    </w:p>
    <w:p w14:paraId="0E67A3F9" w14:textId="26A6C0F2" w:rsidR="00414E83" w:rsidRPr="009118AB" w:rsidRDefault="00414E83" w:rsidP="00414E83">
      <w:pPr>
        <w:jc w:val="both"/>
        <w:rPr>
          <w:i/>
        </w:rPr>
      </w:pPr>
      <w:r w:rsidRPr="009118AB">
        <w:rPr>
          <w:i/>
        </w:rPr>
        <w:t>[</w:t>
      </w:r>
      <w:r w:rsidR="00D67EB8" w:rsidRPr="009118AB">
        <w:rPr>
          <w:i/>
        </w:rPr>
        <w:t>Art. </w:t>
      </w:r>
      <w:r w:rsidRPr="009118AB">
        <w:rPr>
          <w:i/>
        </w:rPr>
        <w:t xml:space="preserve">194ter/3 eingefügt durch </w:t>
      </w:r>
      <w:r w:rsidR="00D67EB8" w:rsidRPr="009118AB">
        <w:rPr>
          <w:i/>
        </w:rPr>
        <w:t>Art. </w:t>
      </w:r>
      <w:r w:rsidRPr="009118AB">
        <w:rPr>
          <w:i/>
        </w:rPr>
        <w:t>5</w:t>
      </w:r>
      <w:r w:rsidRPr="009118AB">
        <w:rPr>
          <w:i/>
          <w:iCs/>
        </w:rPr>
        <w:t xml:space="preserve"> des G. vom 29. März 2019 (B.S. vom 16. April 2019)</w:t>
      </w:r>
      <w:r w:rsidR="00D67EB8" w:rsidRPr="009118AB">
        <w:rPr>
          <w:i/>
          <w:iCs/>
        </w:rPr>
        <w:t> - </w:t>
      </w:r>
      <w:r w:rsidRPr="009118AB">
        <w:rPr>
          <w:i/>
          <w:iCs/>
        </w:rPr>
        <w:t xml:space="preserve">in Kraft am 16. April 2014 und anwendbar </w:t>
      </w:r>
      <w:r w:rsidRPr="009118AB">
        <w:rPr>
          <w:i/>
        </w:rPr>
        <w:t xml:space="preserve">auf Rahmenübereinkommen, die ab dem ersten Tag des Monats unterzeichnet werden, der auf die Veröffentlichung einer Bekanntmachung des Finanzministers im </w:t>
      </w:r>
      <w:r w:rsidRPr="009118AB">
        <w:rPr>
          <w:i/>
          <w:iCs/>
        </w:rPr>
        <w:t>Belgischen Staatsblatt</w:t>
      </w:r>
      <w:r w:rsidRPr="009118AB">
        <w:rPr>
          <w:i/>
        </w:rPr>
        <w:t xml:space="preserve"> folgt, in der mitgeteilt wird, dass die beiden Bedingungen erfüllt sind</w:t>
      </w:r>
      <w:r w:rsidR="003366D9" w:rsidRPr="009118AB">
        <w:rPr>
          <w:i/>
        </w:rPr>
        <w:t> -;</w:t>
      </w:r>
      <w:r w:rsidR="00F17808" w:rsidRPr="009118AB">
        <w:rPr>
          <w:i/>
        </w:rPr>
        <w:t xml:space="preserve"> </w:t>
      </w:r>
      <w:r w:rsidR="000340C0" w:rsidRPr="009118AB">
        <w:rPr>
          <w:i/>
        </w:rPr>
        <w:t>§ 1 abgeändert durch Art. </w:t>
      </w:r>
      <w:r w:rsidR="000340C0" w:rsidRPr="009118AB">
        <w:rPr>
          <w:i/>
          <w:iCs/>
          <w:spacing w:val="-2"/>
        </w:rPr>
        <w:t>19 Nr. 1 des G. vom 5. Juli 2022 (B.S. vom 15.</w:t>
      </w:r>
      <w:r w:rsidR="00CB3EDB" w:rsidRPr="009118AB">
        <w:rPr>
          <w:i/>
          <w:iCs/>
          <w:spacing w:val="-2"/>
        </w:rPr>
        <w:t> </w:t>
      </w:r>
      <w:r w:rsidR="000340C0" w:rsidRPr="009118AB">
        <w:rPr>
          <w:i/>
          <w:iCs/>
          <w:spacing w:val="-2"/>
        </w:rPr>
        <w:t>Juli</w:t>
      </w:r>
      <w:r w:rsidR="00CB3EDB" w:rsidRPr="009118AB">
        <w:rPr>
          <w:i/>
          <w:iCs/>
          <w:spacing w:val="-2"/>
        </w:rPr>
        <w:t> </w:t>
      </w:r>
      <w:r w:rsidR="000340C0" w:rsidRPr="009118AB">
        <w:rPr>
          <w:i/>
          <w:iCs/>
          <w:spacing w:val="-2"/>
        </w:rPr>
        <w:t>2022)</w:t>
      </w:r>
      <w:r w:rsidR="00CB3EDB" w:rsidRPr="009118AB">
        <w:rPr>
          <w:i/>
          <w:iCs/>
          <w:spacing w:val="-2"/>
        </w:rPr>
        <w:t> </w:t>
      </w:r>
      <w:r w:rsidR="000340C0" w:rsidRPr="009118AB">
        <w:rPr>
          <w:i/>
          <w:iCs/>
          <w:spacing w:val="-2"/>
        </w:rPr>
        <w:t>-</w:t>
      </w:r>
      <w:r w:rsidR="00CB3EDB" w:rsidRPr="009118AB">
        <w:rPr>
          <w:i/>
          <w:iCs/>
          <w:spacing w:val="-2"/>
        </w:rPr>
        <w:t> </w:t>
      </w:r>
      <w:r w:rsidR="000340C0"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CB3EDB" w:rsidRPr="009118AB">
        <w:rPr>
          <w:i/>
          <w:iCs/>
          <w:spacing w:val="-2"/>
        </w:rPr>
        <w:t xml:space="preserve"> erfolgt</w:t>
      </w:r>
      <w:r w:rsidR="000340C0" w:rsidRPr="009118AB">
        <w:rPr>
          <w:i/>
          <w:iCs/>
          <w:spacing w:val="-2"/>
        </w:rPr>
        <w:t xml:space="preserve"> -; </w:t>
      </w:r>
      <w:r w:rsidR="00E81B4D" w:rsidRPr="009118AB">
        <w:rPr>
          <w:i/>
          <w:iCs/>
        </w:rPr>
        <w:t xml:space="preserve">§ 2 einziger Absatz Nr. 1 Abs. 1 neuer zweiter Gedankenstrich </w:t>
      </w:r>
      <w:r w:rsidR="00E81B4D" w:rsidRPr="009118AB">
        <w:rPr>
          <w:i/>
          <w:iCs/>
        </w:rPr>
        <w:lastRenderedPageBreak/>
        <w:t>eingefügt durch Art. </w:t>
      </w:r>
      <w:r w:rsidR="00E81B4D" w:rsidRPr="009118AB">
        <w:rPr>
          <w:i/>
          <w:iCs/>
          <w:spacing w:val="-2"/>
        </w:rPr>
        <w:t xml:space="preserve">19 Nr. 2 des G. vom 5. Juli 2022 (B.S. vom 15. Juli 2022) - anwendbar auf Rahmenübereinkommen, die in Bezug auf ein in Betracht kommendes Werk unterzeichnet werden, für das die Beantragung der in Artikel 194ter § 7 Nr. 3 erster Gedankenstrich des Einkommensteuergesetzbuches 1992 erwähnten Bescheinigung ab dem 1. August 2022 erfolgt -; </w:t>
      </w:r>
      <w:r w:rsidR="00D67EB8" w:rsidRPr="009118AB">
        <w:rPr>
          <w:i/>
        </w:rPr>
        <w:t>§ </w:t>
      </w:r>
      <w:r w:rsidR="00F17808" w:rsidRPr="009118AB">
        <w:rPr>
          <w:i/>
        </w:rPr>
        <w:t xml:space="preserve">2 einziger Absatz </w:t>
      </w:r>
      <w:r w:rsidR="00D67EB8" w:rsidRPr="009118AB">
        <w:rPr>
          <w:i/>
        </w:rPr>
        <w:t>Nr. </w:t>
      </w:r>
      <w:r w:rsidR="00F17808" w:rsidRPr="009118AB">
        <w:rPr>
          <w:i/>
        </w:rPr>
        <w:t xml:space="preserve">1 einziger Absatz </w:t>
      </w:r>
      <w:r w:rsidR="00E81B4D" w:rsidRPr="009118AB">
        <w:rPr>
          <w:i/>
        </w:rPr>
        <w:t>drit</w:t>
      </w:r>
      <w:r w:rsidR="00F17808" w:rsidRPr="009118AB">
        <w:rPr>
          <w:i/>
        </w:rPr>
        <w:t>ter</w:t>
      </w:r>
      <w:r w:rsidR="00E81B4D" w:rsidRPr="009118AB">
        <w:rPr>
          <w:i/>
        </w:rPr>
        <w:t xml:space="preserve"> (früherer zweiter)</w:t>
      </w:r>
      <w:r w:rsidR="00F17808" w:rsidRPr="009118AB">
        <w:rPr>
          <w:i/>
        </w:rPr>
        <w:t xml:space="preserve"> Gedankenstrich </w:t>
      </w:r>
      <w:r w:rsidR="00D67EB8" w:rsidRPr="009118AB">
        <w:rPr>
          <w:i/>
        </w:rPr>
        <w:t>Abs. </w:t>
      </w:r>
      <w:r w:rsidR="00F17808" w:rsidRPr="009118AB">
        <w:rPr>
          <w:i/>
        </w:rPr>
        <w:t xml:space="preserve">1 abgeändert durch </w:t>
      </w:r>
      <w:r w:rsidR="00D67EB8" w:rsidRPr="009118AB">
        <w:rPr>
          <w:i/>
        </w:rPr>
        <w:t>Art. </w:t>
      </w:r>
      <w:r w:rsidR="00F17808" w:rsidRPr="009118AB">
        <w:rPr>
          <w:i/>
        </w:rPr>
        <w:t xml:space="preserve">14 </w:t>
      </w:r>
      <w:r w:rsidR="00D67EB8" w:rsidRPr="009118AB">
        <w:rPr>
          <w:i/>
        </w:rPr>
        <w:t>Nr. </w:t>
      </w:r>
      <w:r w:rsidR="00F17808" w:rsidRPr="009118AB">
        <w:rPr>
          <w:i/>
        </w:rPr>
        <w:t>1</w:t>
      </w:r>
      <w:r w:rsidR="00F17808" w:rsidRPr="009118AB">
        <w:rPr>
          <w:i/>
          <w:iCs/>
        </w:rPr>
        <w:t xml:space="preserve"> des G. vom 29. Mai 2020 (B.S. vom 11. Juni 2020)</w:t>
      </w:r>
      <w:r w:rsidR="00D67EB8" w:rsidRPr="009118AB">
        <w:rPr>
          <w:i/>
          <w:iCs/>
        </w:rPr>
        <w:t> - </w:t>
      </w:r>
      <w:r w:rsidR="00283038" w:rsidRPr="009118AB">
        <w:rPr>
          <w:i/>
          <w:iCs/>
        </w:rPr>
        <w:t xml:space="preserve">in Kraft am 11. Juni 2020 und </w:t>
      </w:r>
      <w:r w:rsidR="00F17808" w:rsidRPr="009118AB">
        <w:rPr>
          <w:i/>
          <w:iCs/>
        </w:rPr>
        <w:t xml:space="preserve">anwendbar </w:t>
      </w:r>
      <w:r w:rsidR="00D03B76" w:rsidRPr="009118AB">
        <w:rPr>
          <w:i/>
          <w:iCs/>
        </w:rPr>
        <w:t xml:space="preserve">auf die </w:t>
      </w:r>
      <w:r w:rsidR="00F17808" w:rsidRPr="009118AB">
        <w:rPr>
          <w:i/>
          <w:iCs/>
        </w:rPr>
        <w:t>ab dem 12. März 2020 unterzeichneten Rahmenübereinkommen</w:t>
      </w:r>
      <w:r w:rsidR="00D67EB8" w:rsidRPr="009118AB">
        <w:rPr>
          <w:i/>
          <w:iCs/>
        </w:rPr>
        <w:t> -</w:t>
      </w:r>
      <w:r w:rsidR="00E81B4D" w:rsidRPr="009118AB">
        <w:rPr>
          <w:i/>
          <w:iCs/>
        </w:rPr>
        <w:t xml:space="preserve">, </w:t>
      </w:r>
      <w:r w:rsidR="00D67EB8" w:rsidRPr="009118AB">
        <w:rPr>
          <w:i/>
          <w:iCs/>
        </w:rPr>
        <w:t>Art. </w:t>
      </w:r>
      <w:r w:rsidR="0043567E" w:rsidRPr="009118AB">
        <w:rPr>
          <w:i/>
          <w:iCs/>
        </w:rPr>
        <w:t>18 des G. vom 15. Juli 2020 (B.S. vom 23. Juli 2020)</w:t>
      </w:r>
      <w:r w:rsidR="00D67EB8" w:rsidRPr="009118AB">
        <w:rPr>
          <w:i/>
          <w:iCs/>
        </w:rPr>
        <w:t> - </w:t>
      </w:r>
      <w:r w:rsidR="00DE7BA8" w:rsidRPr="009118AB">
        <w:rPr>
          <w:i/>
          <w:iCs/>
        </w:rPr>
        <w:t xml:space="preserve">in Kraft am 23. Juli 2020 und </w:t>
      </w:r>
      <w:r w:rsidR="0043567E" w:rsidRPr="009118AB">
        <w:rPr>
          <w:i/>
          <w:iCs/>
        </w:rPr>
        <w:t>anwendbar auf die ab dem 12. März 2020 unterzeichneten Rahmen</w:t>
      </w:r>
      <w:r w:rsidR="0043567E" w:rsidRPr="009118AB">
        <w:rPr>
          <w:i/>
          <w:iCs/>
        </w:rPr>
        <w:softHyphen/>
        <w:t>übereinkommen</w:t>
      </w:r>
      <w:r w:rsidR="003366D9" w:rsidRPr="009118AB">
        <w:rPr>
          <w:i/>
          <w:iCs/>
        </w:rPr>
        <w:t> -</w:t>
      </w:r>
      <w:r w:rsidR="00E81B4D" w:rsidRPr="009118AB">
        <w:rPr>
          <w:i/>
          <w:iCs/>
        </w:rPr>
        <w:t xml:space="preserve"> und Art. </w:t>
      </w:r>
      <w:r w:rsidR="00E81B4D" w:rsidRPr="009118AB">
        <w:rPr>
          <w:i/>
          <w:iCs/>
          <w:spacing w:val="-2"/>
        </w:rPr>
        <w:t>19 Nr. 3 des G. vom 5. Juli 2022 (B.S. vom 15. Juli 2022) - anwendbar auf Rahmenübereinkommen, die in Bezug auf ein in Betracht kommendes Werk unterzeichnet werden, für das die Beantragung der in Artikel 194ter § 7 Nr. 3 erster Gedankenstrich des Einkommensteuergesetzbuches 1992 erwähnten Bescheinigung ab dem 1. August 2022 erfolgt -</w:t>
      </w:r>
      <w:r w:rsidR="003366D9" w:rsidRPr="009118AB">
        <w:rPr>
          <w:i/>
          <w:iCs/>
        </w:rPr>
        <w:t>;</w:t>
      </w:r>
      <w:r w:rsidR="00F17808" w:rsidRPr="009118AB">
        <w:rPr>
          <w:i/>
          <w:iCs/>
        </w:rPr>
        <w:t xml:space="preserve"> </w:t>
      </w:r>
      <w:r w:rsidR="00D67EB8" w:rsidRPr="009118AB">
        <w:rPr>
          <w:i/>
        </w:rPr>
        <w:t>§ </w:t>
      </w:r>
      <w:r w:rsidR="00F17808" w:rsidRPr="009118AB">
        <w:rPr>
          <w:i/>
        </w:rPr>
        <w:t xml:space="preserve">2 einziger Absatz </w:t>
      </w:r>
      <w:r w:rsidR="00D67EB8" w:rsidRPr="009118AB">
        <w:rPr>
          <w:i/>
        </w:rPr>
        <w:t>Nr. </w:t>
      </w:r>
      <w:r w:rsidR="00F17808" w:rsidRPr="009118AB">
        <w:rPr>
          <w:i/>
        </w:rPr>
        <w:t xml:space="preserve">1 </w:t>
      </w:r>
      <w:r w:rsidR="000340C0" w:rsidRPr="009118AB">
        <w:rPr>
          <w:i/>
        </w:rPr>
        <w:t>Abs. </w:t>
      </w:r>
      <w:r w:rsidR="00A3103E" w:rsidRPr="009118AB">
        <w:rPr>
          <w:i/>
        </w:rPr>
        <w:t>2</w:t>
      </w:r>
      <w:r w:rsidR="00F17808" w:rsidRPr="009118AB">
        <w:rPr>
          <w:i/>
        </w:rPr>
        <w:t xml:space="preserve"> eingefügt durch </w:t>
      </w:r>
      <w:r w:rsidR="00D67EB8" w:rsidRPr="009118AB">
        <w:rPr>
          <w:i/>
        </w:rPr>
        <w:t>Art. </w:t>
      </w:r>
      <w:r w:rsidR="00F17808" w:rsidRPr="009118AB">
        <w:rPr>
          <w:i/>
        </w:rPr>
        <w:t xml:space="preserve">14 </w:t>
      </w:r>
      <w:r w:rsidR="00D67EB8" w:rsidRPr="009118AB">
        <w:rPr>
          <w:i/>
        </w:rPr>
        <w:t>Nr. </w:t>
      </w:r>
      <w:r w:rsidR="00F17808" w:rsidRPr="009118AB">
        <w:rPr>
          <w:i/>
        </w:rPr>
        <w:t>2</w:t>
      </w:r>
      <w:r w:rsidR="00F17808" w:rsidRPr="009118AB">
        <w:rPr>
          <w:i/>
          <w:iCs/>
        </w:rPr>
        <w:t xml:space="preserve"> des G. vom 29. Mai 2020 (B.S. vom 11. Juni 2020)</w:t>
      </w:r>
      <w:r w:rsidR="00D67EB8" w:rsidRPr="009118AB">
        <w:rPr>
          <w:i/>
          <w:iCs/>
        </w:rPr>
        <w:t> - </w:t>
      </w:r>
      <w:r w:rsidR="00283038" w:rsidRPr="009118AB">
        <w:rPr>
          <w:i/>
          <w:iCs/>
        </w:rPr>
        <w:t xml:space="preserve">in Kraft am 11. Juni 2020 und </w:t>
      </w:r>
      <w:r w:rsidR="00F17808" w:rsidRPr="009118AB">
        <w:rPr>
          <w:i/>
          <w:iCs/>
        </w:rPr>
        <w:t xml:space="preserve">anwendbar </w:t>
      </w:r>
      <w:r w:rsidR="00D03B76" w:rsidRPr="009118AB">
        <w:rPr>
          <w:i/>
          <w:iCs/>
        </w:rPr>
        <w:t xml:space="preserve">auf die </w:t>
      </w:r>
      <w:r w:rsidR="00F17808" w:rsidRPr="009118AB">
        <w:rPr>
          <w:i/>
          <w:iCs/>
        </w:rPr>
        <w:t>ab dem 12. März 2020 unterzeichneten Rahmenübereinkommen</w:t>
      </w:r>
      <w:r w:rsidR="003366D9" w:rsidRPr="009118AB">
        <w:rPr>
          <w:i/>
          <w:iCs/>
        </w:rPr>
        <w:t> -;</w:t>
      </w:r>
      <w:r w:rsidR="00F17808" w:rsidRPr="009118AB">
        <w:rPr>
          <w:i/>
          <w:iCs/>
        </w:rPr>
        <w:t xml:space="preserve"> </w:t>
      </w:r>
      <w:r w:rsidR="000340C0" w:rsidRPr="009118AB">
        <w:rPr>
          <w:i/>
          <w:iCs/>
        </w:rPr>
        <w:t>§ 2 einziger Absatz Nr. 5 eingefügt durch Art. </w:t>
      </w:r>
      <w:r w:rsidR="000340C0" w:rsidRPr="009118AB">
        <w:rPr>
          <w:i/>
          <w:iCs/>
          <w:spacing w:val="-2"/>
        </w:rPr>
        <w:t>19 Nr. 4 des G. vom 5. Juli 2022 (B.S. vom 15. Juli 2022)</w:t>
      </w:r>
      <w:r w:rsidR="00CB3EDB" w:rsidRPr="009118AB">
        <w:rPr>
          <w:i/>
          <w:iCs/>
          <w:spacing w:val="-2"/>
        </w:rPr>
        <w:t> </w:t>
      </w:r>
      <w:r w:rsidR="000340C0" w:rsidRPr="009118AB">
        <w:rPr>
          <w:i/>
          <w:iCs/>
          <w:spacing w:val="-2"/>
        </w:rPr>
        <w:t>-</w:t>
      </w:r>
      <w:r w:rsidR="00CB3EDB" w:rsidRPr="009118AB">
        <w:rPr>
          <w:i/>
          <w:iCs/>
          <w:spacing w:val="-2"/>
        </w:rPr>
        <w:t> </w:t>
      </w:r>
      <w:r w:rsidR="000340C0"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CB3EDB" w:rsidRPr="009118AB">
        <w:rPr>
          <w:i/>
          <w:iCs/>
          <w:spacing w:val="-2"/>
        </w:rPr>
        <w:t xml:space="preserve"> erfolgt</w:t>
      </w:r>
      <w:r w:rsidR="000340C0" w:rsidRPr="009118AB">
        <w:rPr>
          <w:i/>
          <w:iCs/>
          <w:spacing w:val="-2"/>
        </w:rPr>
        <w:t> -; § </w:t>
      </w:r>
      <w:r w:rsidR="00CB3EDB" w:rsidRPr="009118AB">
        <w:rPr>
          <w:i/>
          <w:iCs/>
          <w:spacing w:val="-2"/>
        </w:rPr>
        <w:t>3</w:t>
      </w:r>
      <w:r w:rsidR="000340C0" w:rsidRPr="009118AB">
        <w:rPr>
          <w:i/>
          <w:iCs/>
          <w:spacing w:val="-2"/>
        </w:rPr>
        <w:t xml:space="preserve"> Abs. 2 eingefügt durch Art. 19 Nr. 5 des G. vom 5. Juli 2022 (B.S. vom 15.</w:t>
      </w:r>
      <w:r w:rsidR="00CB3EDB" w:rsidRPr="009118AB">
        <w:rPr>
          <w:i/>
          <w:iCs/>
          <w:spacing w:val="-2"/>
        </w:rPr>
        <w:t> </w:t>
      </w:r>
      <w:r w:rsidR="000340C0" w:rsidRPr="009118AB">
        <w:rPr>
          <w:i/>
          <w:iCs/>
          <w:spacing w:val="-2"/>
        </w:rPr>
        <w:t>Juli</w:t>
      </w:r>
      <w:r w:rsidR="00CB3EDB" w:rsidRPr="009118AB">
        <w:rPr>
          <w:i/>
          <w:iCs/>
          <w:spacing w:val="-2"/>
        </w:rPr>
        <w:t> </w:t>
      </w:r>
      <w:r w:rsidR="000340C0" w:rsidRPr="009118AB">
        <w:rPr>
          <w:i/>
          <w:iCs/>
          <w:spacing w:val="-2"/>
        </w:rPr>
        <w:t>2022)</w:t>
      </w:r>
      <w:r w:rsidR="00CB3EDB" w:rsidRPr="009118AB">
        <w:rPr>
          <w:i/>
          <w:iCs/>
          <w:spacing w:val="-2"/>
        </w:rPr>
        <w:t> </w:t>
      </w:r>
      <w:r w:rsidR="000340C0" w:rsidRPr="009118AB">
        <w:rPr>
          <w:i/>
          <w:iCs/>
          <w:spacing w:val="-2"/>
        </w:rPr>
        <w:t>-</w:t>
      </w:r>
      <w:r w:rsidR="00CB3EDB" w:rsidRPr="009118AB">
        <w:rPr>
          <w:i/>
          <w:iCs/>
          <w:spacing w:val="-2"/>
        </w:rPr>
        <w:t> </w:t>
      </w:r>
      <w:r w:rsidR="000340C0" w:rsidRPr="009118AB">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CB3EDB" w:rsidRPr="009118AB">
        <w:rPr>
          <w:i/>
          <w:iCs/>
          <w:spacing w:val="-2"/>
        </w:rPr>
        <w:t xml:space="preserve"> erfolgt</w:t>
      </w:r>
      <w:r w:rsidR="000340C0" w:rsidRPr="009118AB">
        <w:rPr>
          <w:i/>
          <w:iCs/>
          <w:spacing w:val="-2"/>
        </w:rPr>
        <w:t xml:space="preserve"> -; </w:t>
      </w:r>
      <w:r w:rsidR="00D67EB8" w:rsidRPr="009118AB">
        <w:rPr>
          <w:i/>
          <w:iCs/>
        </w:rPr>
        <w:t>§ </w:t>
      </w:r>
      <w:r w:rsidR="00F17808" w:rsidRPr="009118AB">
        <w:rPr>
          <w:i/>
          <w:iCs/>
        </w:rPr>
        <w:t xml:space="preserve">4 aufgehoben durch </w:t>
      </w:r>
      <w:r w:rsidR="00D67EB8" w:rsidRPr="009118AB">
        <w:rPr>
          <w:i/>
          <w:iCs/>
        </w:rPr>
        <w:t>Art. </w:t>
      </w:r>
      <w:r w:rsidR="00F17808" w:rsidRPr="009118AB">
        <w:rPr>
          <w:i/>
          <w:iCs/>
        </w:rPr>
        <w:t>1</w:t>
      </w:r>
      <w:r w:rsidR="00D03B76" w:rsidRPr="009118AB">
        <w:rPr>
          <w:i/>
          <w:iCs/>
        </w:rPr>
        <w:t>4</w:t>
      </w:r>
      <w:r w:rsidR="00F17808" w:rsidRPr="009118AB">
        <w:rPr>
          <w:i/>
          <w:iCs/>
        </w:rPr>
        <w:t xml:space="preserve"> </w:t>
      </w:r>
      <w:r w:rsidR="00D67EB8" w:rsidRPr="009118AB">
        <w:rPr>
          <w:i/>
          <w:iCs/>
        </w:rPr>
        <w:t>Nr. </w:t>
      </w:r>
      <w:r w:rsidR="00D03B76" w:rsidRPr="009118AB">
        <w:rPr>
          <w:i/>
          <w:iCs/>
        </w:rPr>
        <w:t>3</w:t>
      </w:r>
      <w:r w:rsidR="00F17808" w:rsidRPr="009118AB">
        <w:rPr>
          <w:i/>
          <w:iCs/>
        </w:rPr>
        <w:t xml:space="preserve"> des G. vom 29. Mai 2020 (B.S. vom 11. Juni 2020)</w:t>
      </w:r>
      <w:r w:rsidR="00D67EB8" w:rsidRPr="009118AB">
        <w:rPr>
          <w:i/>
          <w:iCs/>
        </w:rPr>
        <w:t> - </w:t>
      </w:r>
      <w:r w:rsidR="00283038" w:rsidRPr="009118AB">
        <w:rPr>
          <w:i/>
          <w:iCs/>
        </w:rPr>
        <w:t xml:space="preserve">in Kraft am 11. Juni 2020 und </w:t>
      </w:r>
      <w:r w:rsidR="00F17808" w:rsidRPr="009118AB">
        <w:rPr>
          <w:i/>
          <w:iCs/>
        </w:rPr>
        <w:t xml:space="preserve">anwendbar </w:t>
      </w:r>
      <w:r w:rsidR="00D03B76" w:rsidRPr="009118AB">
        <w:rPr>
          <w:i/>
          <w:iCs/>
        </w:rPr>
        <w:t xml:space="preserve">auf die </w:t>
      </w:r>
      <w:r w:rsidR="00F17808" w:rsidRPr="009118AB">
        <w:rPr>
          <w:i/>
          <w:iCs/>
        </w:rPr>
        <w:t>ab dem 12. März 2020 unterzeichneten Rahmenübereinkommen</w:t>
      </w:r>
      <w:r w:rsidR="00FD68E8" w:rsidRPr="009118AB">
        <w:rPr>
          <w:i/>
          <w:iCs/>
        </w:rPr>
        <w:t> -]</w:t>
      </w:r>
    </w:p>
    <w:p w14:paraId="15FFDC35" w14:textId="77777777" w:rsidR="00EA2EB8" w:rsidRPr="009118AB" w:rsidRDefault="00EA2EB8" w:rsidP="00EA2EB8">
      <w:pPr>
        <w:autoSpaceDE w:val="0"/>
        <w:autoSpaceDN w:val="0"/>
        <w:adjustRightInd w:val="0"/>
        <w:ind w:firstLine="709"/>
        <w:jc w:val="both"/>
      </w:pPr>
    </w:p>
    <w:p w14:paraId="13AF9B86" w14:textId="19A3A8E7" w:rsidR="00477B8F" w:rsidRPr="009118AB" w:rsidRDefault="00477B8F" w:rsidP="00EA2EB8">
      <w:pPr>
        <w:autoSpaceDE w:val="0"/>
        <w:autoSpaceDN w:val="0"/>
        <w:adjustRightInd w:val="0"/>
        <w:jc w:val="center"/>
      </w:pPr>
      <w:r w:rsidRPr="009118AB">
        <w:br w:type="page"/>
      </w:r>
      <w:r w:rsidRPr="009118AB">
        <w:lastRenderedPageBreak/>
        <w:t>[Unterabschnitt </w:t>
      </w:r>
      <w:r w:rsidR="00D74862" w:rsidRPr="009118AB">
        <w:t>5</w:t>
      </w:r>
      <w:r w:rsidR="00D67EB8" w:rsidRPr="009118AB">
        <w:t> - </w:t>
      </w:r>
      <w:r w:rsidRPr="009118AB">
        <w:t>Investitionsrücklage</w:t>
      </w:r>
    </w:p>
    <w:p w14:paraId="52EE14FB" w14:textId="77777777" w:rsidR="00477B8F" w:rsidRPr="009118AB" w:rsidRDefault="00477B8F" w:rsidP="00477B8F">
      <w:pPr>
        <w:autoSpaceDE w:val="0"/>
        <w:autoSpaceDN w:val="0"/>
        <w:adjustRightInd w:val="0"/>
        <w:jc w:val="center"/>
      </w:pPr>
    </w:p>
    <w:p w14:paraId="12A7CEF5" w14:textId="0CF74F81" w:rsidR="00477B8F" w:rsidRPr="009118AB" w:rsidRDefault="00477B8F" w:rsidP="00477B8F">
      <w:pPr>
        <w:autoSpaceDE w:val="0"/>
        <w:autoSpaceDN w:val="0"/>
        <w:adjustRightInd w:val="0"/>
        <w:jc w:val="both"/>
      </w:pPr>
      <w:r w:rsidRPr="009118AB">
        <w:rPr>
          <w:i/>
          <w:iCs/>
        </w:rPr>
        <w:t>[Unterabschnitt </w:t>
      </w:r>
      <w:r w:rsidR="00D74862" w:rsidRPr="009118AB">
        <w:rPr>
          <w:i/>
          <w:iCs/>
        </w:rPr>
        <w:t>5</w:t>
      </w:r>
      <w:r w:rsidRPr="009118AB">
        <w:rPr>
          <w:i/>
          <w:iCs/>
        </w:rPr>
        <w:t xml:space="preserve"> mit </w:t>
      </w:r>
      <w:r w:rsidR="00D67EB8" w:rsidRPr="009118AB">
        <w:rPr>
          <w:i/>
          <w:iCs/>
        </w:rPr>
        <w:t>Art. </w:t>
      </w:r>
      <w:r w:rsidRPr="009118AB">
        <w:rPr>
          <w:i/>
          <w:iCs/>
        </w:rPr>
        <w:t xml:space="preserve">194quater eingefügt durch </w:t>
      </w:r>
      <w:r w:rsidR="00D67EB8" w:rsidRPr="009118AB">
        <w:rPr>
          <w:i/>
          <w:iCs/>
        </w:rPr>
        <w:t>Art. </w:t>
      </w:r>
      <w:r w:rsidRPr="009118AB">
        <w:rPr>
          <w:i/>
          <w:iCs/>
        </w:rPr>
        <w:t>6 des G. vom 24. Dezember 2002</w:t>
      </w:r>
      <w:r w:rsidR="00D86BCC" w:rsidRPr="009118AB">
        <w:rPr>
          <w:i/>
          <w:iCs/>
        </w:rPr>
        <w:t> (II)</w:t>
      </w:r>
      <w:r w:rsidRPr="009118AB">
        <w:rPr>
          <w:i/>
          <w:iCs/>
        </w:rPr>
        <w:t xml:space="preserve"> (B.S. vom 31. Dezember 2002)</w:t>
      </w:r>
      <w:r w:rsidR="00D67EB8" w:rsidRPr="009118AB">
        <w:rPr>
          <w:i/>
          <w:iCs/>
        </w:rPr>
        <w:t> - </w:t>
      </w:r>
      <w:r w:rsidRPr="009118AB">
        <w:rPr>
          <w:i/>
          <w:iCs/>
        </w:rPr>
        <w:t>in Kraft ab dem Steuerjahr 2004</w:t>
      </w:r>
      <w:r w:rsidR="00FD68E8" w:rsidRPr="009118AB">
        <w:rPr>
          <w:i/>
          <w:iCs/>
        </w:rPr>
        <w:t> -]</w:t>
      </w:r>
    </w:p>
    <w:p w14:paraId="4ABB4473" w14:textId="77777777" w:rsidR="00477B8F" w:rsidRPr="009118AB" w:rsidRDefault="00477B8F" w:rsidP="00477B8F">
      <w:pPr>
        <w:autoSpaceDE w:val="0"/>
        <w:autoSpaceDN w:val="0"/>
        <w:adjustRightInd w:val="0"/>
        <w:jc w:val="both"/>
      </w:pPr>
    </w:p>
    <w:p w14:paraId="0D3DD981" w14:textId="77777777" w:rsidR="00477B8F" w:rsidRPr="009118AB" w:rsidRDefault="00477B8F" w:rsidP="00477B8F">
      <w:pPr>
        <w:autoSpaceDE w:val="0"/>
        <w:autoSpaceDN w:val="0"/>
        <w:adjustRightInd w:val="0"/>
        <w:jc w:val="both"/>
      </w:pPr>
    </w:p>
    <w:p w14:paraId="18CDE8A8" w14:textId="04758E1E"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194</w:t>
      </w:r>
      <w:r w:rsidRPr="009118AB">
        <w:rPr>
          <w:b/>
          <w:bCs/>
          <w:i/>
          <w:iCs/>
        </w:rPr>
        <w:t>quater</w:t>
      </w:r>
      <w:r w:rsidR="00D67EB8" w:rsidRPr="009118AB">
        <w:t> - § </w:t>
      </w:r>
      <w:r w:rsidRPr="009118AB">
        <w:t>1</w:t>
      </w:r>
      <w:r w:rsidR="00D67EB8" w:rsidRPr="009118AB">
        <w:t> - </w:t>
      </w:r>
      <w:r w:rsidR="00F16502" w:rsidRPr="009118AB">
        <w:t>[Die Investitionsrücklage, die nach Abl</w:t>
      </w:r>
      <w:r w:rsidR="00534F88" w:rsidRPr="009118AB">
        <w:t xml:space="preserve">auf eines Besteuerungszeitraums[, der spätestens am 30. Dezember 2018 endet,] </w:t>
      </w:r>
      <w:r w:rsidR="00F16502" w:rsidRPr="009118AB">
        <w:t xml:space="preserve">von Gesellschaften gebildet wird, die aufgrund von </w:t>
      </w:r>
      <w:r w:rsidR="00715690" w:rsidRPr="009118AB">
        <w:t>[</w:t>
      </w:r>
      <w:r w:rsidR="00BD5F04" w:rsidRPr="009118AB">
        <w:t>Artikel 1:24 §</w:t>
      </w:r>
      <w:r w:rsidR="00D67EB8" w:rsidRPr="009118AB">
        <w:t>§ </w:t>
      </w:r>
      <w:r w:rsidR="00BD5F04" w:rsidRPr="009118AB">
        <w:t>1 bis 6 des Gesetzbuches der Gesellschaften und Vereinigungen</w:t>
      </w:r>
      <w:r w:rsidR="00715690" w:rsidRPr="009118AB">
        <w:t>]</w:t>
      </w:r>
      <w:r w:rsidR="00F16502" w:rsidRPr="009118AB">
        <w:t xml:space="preserve"> für das Steuerjahr, das sich auf diesen Besteuerungszeitraum bezieht, als kleine Gesellschaften gelten, wird in Grenzen und unter Bedingungen, die nachstehend vorgesehen sind, nicht als Gewinn betrachtet.]</w:t>
      </w:r>
    </w:p>
    <w:p w14:paraId="2E6330C0" w14:textId="77777777" w:rsidR="00477B8F" w:rsidRPr="009118AB" w:rsidRDefault="00477B8F" w:rsidP="00477B8F">
      <w:pPr>
        <w:autoSpaceDE w:val="0"/>
        <w:autoSpaceDN w:val="0"/>
        <w:adjustRightInd w:val="0"/>
        <w:jc w:val="both"/>
      </w:pPr>
    </w:p>
    <w:p w14:paraId="2E5206AD" w14:textId="3AEE70C7"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Der Betrag der Investitionsrücklage wird von der Steuer befreit zu 50 Prozent der steuerpflichtigen Ergebnisrücklage des Besteuerungszeitraums vor Bildung der Investitionsrücklage, wobei vorerwähnte Ergebnisrücklage verringert wird um:</w:t>
      </w:r>
    </w:p>
    <w:p w14:paraId="1BD6D4EB" w14:textId="77777777" w:rsidR="00477B8F" w:rsidRPr="009118AB" w:rsidRDefault="00477B8F" w:rsidP="00477B8F">
      <w:pPr>
        <w:autoSpaceDE w:val="0"/>
        <w:autoSpaceDN w:val="0"/>
        <w:adjustRightInd w:val="0"/>
        <w:jc w:val="both"/>
      </w:pPr>
    </w:p>
    <w:p w14:paraId="1BB30C72" w14:textId="77777777" w:rsidR="00477B8F" w:rsidRPr="009118AB" w:rsidRDefault="00477B8F" w:rsidP="00477B8F">
      <w:pPr>
        <w:autoSpaceDE w:val="0"/>
        <w:autoSpaceDN w:val="0"/>
        <w:adjustRightInd w:val="0"/>
        <w:jc w:val="both"/>
      </w:pPr>
      <w:r w:rsidRPr="009118AB">
        <w:tab/>
        <w:t>1. die gemäß Artikel 192 steuerfreien Mehrwerte auf Aktien oder Anteile,</w:t>
      </w:r>
    </w:p>
    <w:p w14:paraId="3EF1396C" w14:textId="77777777" w:rsidR="00477B8F" w:rsidRPr="009118AB" w:rsidRDefault="00477B8F" w:rsidP="00477B8F">
      <w:pPr>
        <w:autoSpaceDE w:val="0"/>
        <w:autoSpaceDN w:val="0"/>
        <w:adjustRightInd w:val="0"/>
        <w:jc w:val="both"/>
      </w:pPr>
    </w:p>
    <w:p w14:paraId="4734AD11" w14:textId="77777777" w:rsidR="00477B8F" w:rsidRPr="009118AB" w:rsidRDefault="00477B8F" w:rsidP="00477B8F">
      <w:pPr>
        <w:autoSpaceDE w:val="0"/>
        <w:autoSpaceDN w:val="0"/>
        <w:adjustRightInd w:val="0"/>
        <w:jc w:val="both"/>
      </w:pPr>
      <w:r w:rsidRPr="009118AB">
        <w:tab/>
        <w:t>2. den Anteil des Mehrwertes auf die in Artikel 66 erwähnten Fahrzeuge, der aufgrund von Artikel 24 Absatz 3 nicht berücksichtigt wird,</w:t>
      </w:r>
    </w:p>
    <w:p w14:paraId="4AE02DEE" w14:textId="77777777" w:rsidR="00477B8F" w:rsidRPr="009118AB" w:rsidRDefault="00477B8F" w:rsidP="00477B8F">
      <w:pPr>
        <w:autoSpaceDE w:val="0"/>
        <w:autoSpaceDN w:val="0"/>
        <w:adjustRightInd w:val="0"/>
        <w:jc w:val="both"/>
      </w:pPr>
    </w:p>
    <w:p w14:paraId="154EEB9D" w14:textId="77777777" w:rsidR="00477B8F" w:rsidRPr="009118AB" w:rsidRDefault="00477B8F" w:rsidP="00477B8F">
      <w:pPr>
        <w:autoSpaceDE w:val="0"/>
        <w:autoSpaceDN w:val="0"/>
        <w:adjustRightInd w:val="0"/>
        <w:jc w:val="both"/>
      </w:pPr>
      <w:r w:rsidRPr="009118AB">
        <w:tab/>
        <w:t>3. die Herabsetzung des eingezahlten Kapitals, die als gewichtetes Mittel in Bezug auf den Besteuerungszeitraum berechnet wird im Vergleich zum vorhergehenden Besteuerungszeitraum, in dem der Vorteil der Bildung einer Investitionsrücklage zuletzt gewährt wurde,</w:t>
      </w:r>
    </w:p>
    <w:p w14:paraId="0FB1ABF2" w14:textId="77777777" w:rsidR="00477B8F" w:rsidRPr="009118AB" w:rsidRDefault="00477B8F" w:rsidP="00477B8F">
      <w:pPr>
        <w:autoSpaceDE w:val="0"/>
        <w:autoSpaceDN w:val="0"/>
        <w:adjustRightInd w:val="0"/>
        <w:jc w:val="both"/>
      </w:pPr>
    </w:p>
    <w:p w14:paraId="2E1E2873" w14:textId="77777777" w:rsidR="00477B8F" w:rsidRPr="009118AB" w:rsidRDefault="00477B8F" w:rsidP="00477B8F">
      <w:pPr>
        <w:autoSpaceDE w:val="0"/>
        <w:autoSpaceDN w:val="0"/>
        <w:adjustRightInd w:val="0"/>
        <w:jc w:val="both"/>
      </w:pPr>
      <w:r w:rsidRPr="009118AB">
        <w:tab/>
        <w:t>4. die Erhöhung der Forderungen der Gesellschaft, die wie in Nummer 3 berechnet wird, gegenüber folgenden natürlichen Personen:</w:t>
      </w:r>
    </w:p>
    <w:p w14:paraId="56028CD5" w14:textId="77777777" w:rsidR="00477B8F" w:rsidRPr="009118AB" w:rsidRDefault="00477B8F" w:rsidP="00477B8F">
      <w:pPr>
        <w:autoSpaceDE w:val="0"/>
        <w:autoSpaceDN w:val="0"/>
        <w:adjustRightInd w:val="0"/>
        <w:jc w:val="both"/>
      </w:pPr>
    </w:p>
    <w:p w14:paraId="3AE1A50A" w14:textId="77777777" w:rsidR="00477B8F" w:rsidRPr="009118AB" w:rsidRDefault="00477B8F" w:rsidP="00477B8F">
      <w:pPr>
        <w:autoSpaceDE w:val="0"/>
        <w:autoSpaceDN w:val="0"/>
        <w:adjustRightInd w:val="0"/>
        <w:jc w:val="both"/>
      </w:pPr>
      <w:r w:rsidRPr="009118AB">
        <w:tab/>
        <w:t>- Personen, die Aktien oder Anteile der Gesellschaft besitzen,</w:t>
      </w:r>
    </w:p>
    <w:p w14:paraId="7D854C6B" w14:textId="77777777" w:rsidR="00477B8F" w:rsidRPr="009118AB" w:rsidRDefault="00477B8F" w:rsidP="00477B8F">
      <w:pPr>
        <w:autoSpaceDE w:val="0"/>
        <w:autoSpaceDN w:val="0"/>
        <w:adjustRightInd w:val="0"/>
        <w:jc w:val="both"/>
      </w:pPr>
    </w:p>
    <w:p w14:paraId="7DD19243" w14:textId="230E1FE0" w:rsidR="00477B8F" w:rsidRPr="009118AB" w:rsidRDefault="00477B8F" w:rsidP="00477B8F">
      <w:pPr>
        <w:autoSpaceDE w:val="0"/>
        <w:autoSpaceDN w:val="0"/>
        <w:adjustRightInd w:val="0"/>
        <w:jc w:val="both"/>
      </w:pPr>
      <w:r w:rsidRPr="009118AB">
        <w:tab/>
        <w:t xml:space="preserve">- Personen, die ein Mandat oder Funktionen wie in Artikel 32 Absatz 1 </w:t>
      </w:r>
      <w:r w:rsidR="00D67EB8" w:rsidRPr="009118AB">
        <w:t>Nr. </w:t>
      </w:r>
      <w:r w:rsidRPr="009118AB">
        <w:t>1 erwähnt ausüben,</w:t>
      </w:r>
    </w:p>
    <w:p w14:paraId="6BE51C08" w14:textId="77777777" w:rsidR="00477B8F" w:rsidRPr="009118AB" w:rsidRDefault="00477B8F" w:rsidP="00477B8F">
      <w:pPr>
        <w:autoSpaceDE w:val="0"/>
        <w:autoSpaceDN w:val="0"/>
        <w:adjustRightInd w:val="0"/>
        <w:jc w:val="both"/>
      </w:pPr>
    </w:p>
    <w:p w14:paraId="4F715D4F" w14:textId="77777777" w:rsidR="00477B8F" w:rsidRPr="009118AB" w:rsidRDefault="00477B8F" w:rsidP="00477B8F">
      <w:pPr>
        <w:autoSpaceDE w:val="0"/>
        <w:autoSpaceDN w:val="0"/>
        <w:adjustRightInd w:val="0"/>
        <w:jc w:val="both"/>
      </w:pPr>
      <w:r w:rsidRPr="009118AB">
        <w:tab/>
        <w:t>- ihrem Ehepartner oder ihren Kindern, wenn diese Personen oder ihr Ehepartner das gesetzliche Nutzungsrecht an den Einkünften dieser Kinder haben.</w:t>
      </w:r>
    </w:p>
    <w:p w14:paraId="4B158A06" w14:textId="77777777" w:rsidR="00477B8F" w:rsidRPr="009118AB" w:rsidRDefault="00477B8F" w:rsidP="00477B8F">
      <w:pPr>
        <w:autoSpaceDE w:val="0"/>
        <w:autoSpaceDN w:val="0"/>
        <w:adjustRightInd w:val="0"/>
        <w:jc w:val="both"/>
      </w:pPr>
    </w:p>
    <w:p w14:paraId="145CD85B" w14:textId="77777777" w:rsidR="00477B8F" w:rsidRPr="009118AB" w:rsidRDefault="00477B8F" w:rsidP="00477B8F">
      <w:pPr>
        <w:autoSpaceDE w:val="0"/>
        <w:autoSpaceDN w:val="0"/>
        <w:adjustRightInd w:val="0"/>
        <w:jc w:val="both"/>
      </w:pPr>
      <w:r w:rsidRPr="009118AB">
        <w:tab/>
        <w:t>Die steuerpflichtige Ergebnisrücklage, die nach Verringerung für die Berechnung der Investitionsrücklage gemäß Absatz 1 berücksichtigt wird, ist auf 37.500 EUR pro Besteuerungszeitraum begrenzt.</w:t>
      </w:r>
    </w:p>
    <w:p w14:paraId="48E4DC2C" w14:textId="77777777" w:rsidR="00477B8F" w:rsidRPr="009118AB" w:rsidRDefault="00477B8F" w:rsidP="00477B8F">
      <w:pPr>
        <w:autoSpaceDE w:val="0"/>
        <w:autoSpaceDN w:val="0"/>
        <w:adjustRightInd w:val="0"/>
        <w:jc w:val="both"/>
      </w:pPr>
    </w:p>
    <w:p w14:paraId="0EDF57E8" w14:textId="77777777" w:rsidR="00477B8F" w:rsidRPr="009118AB" w:rsidRDefault="00477B8F" w:rsidP="00477B8F">
      <w:pPr>
        <w:autoSpaceDE w:val="0"/>
        <w:autoSpaceDN w:val="0"/>
        <w:adjustRightInd w:val="0"/>
        <w:jc w:val="both"/>
      </w:pPr>
      <w:r w:rsidRPr="009118AB">
        <w:tab/>
        <w:t>Die derart berechnete Investitionsrücklage wird von der Steuer nur befreit, sofern und in dem Maße, wie die besteuerten Rücklagen vor Bildung der Investitionsrücklage am Ende des Besteuerungszeitraums höher sind als die besteuerten Rücklagen am Ende des vorhergehenden Besteuerungszeitraums, in dem der Vorteil der Bildung einer Investitionsrücklage zuletzt gewährt wurde.</w:t>
      </w:r>
    </w:p>
    <w:p w14:paraId="293C238B" w14:textId="77777777" w:rsidR="00477B8F" w:rsidRPr="009118AB" w:rsidRDefault="00477B8F" w:rsidP="00477B8F">
      <w:pPr>
        <w:autoSpaceDE w:val="0"/>
        <w:autoSpaceDN w:val="0"/>
        <w:adjustRightInd w:val="0"/>
        <w:jc w:val="both"/>
      </w:pPr>
    </w:p>
    <w:p w14:paraId="032C512F" w14:textId="77777777" w:rsidR="00477B8F" w:rsidRPr="009118AB" w:rsidRDefault="00477B8F" w:rsidP="00477B8F">
      <w:pPr>
        <w:autoSpaceDE w:val="0"/>
        <w:autoSpaceDN w:val="0"/>
        <w:adjustRightInd w:val="0"/>
        <w:jc w:val="both"/>
      </w:pPr>
      <w:r w:rsidRPr="009118AB">
        <w:tab/>
        <w:t>Die Investitionsrücklage wird von der Steuer nur befreit, sofern die in Artikel 190 erwähnten Bedingungen erfüllt sind.</w:t>
      </w:r>
    </w:p>
    <w:p w14:paraId="563328B4" w14:textId="77777777" w:rsidR="0048467C" w:rsidRPr="009118AB" w:rsidRDefault="0048467C" w:rsidP="00477B8F">
      <w:pPr>
        <w:autoSpaceDE w:val="0"/>
        <w:autoSpaceDN w:val="0"/>
        <w:adjustRightInd w:val="0"/>
      </w:pPr>
    </w:p>
    <w:p w14:paraId="03AD56D1" w14:textId="2E39A7EE" w:rsidR="00477B8F" w:rsidRPr="009118AB" w:rsidRDefault="00477B8F" w:rsidP="00F72331">
      <w:pPr>
        <w:autoSpaceDE w:val="0"/>
        <w:autoSpaceDN w:val="0"/>
        <w:adjustRightInd w:val="0"/>
        <w:jc w:val="both"/>
      </w:pPr>
      <w:r w:rsidRPr="009118AB">
        <w:tab/>
      </w:r>
      <w:r w:rsidR="00D67EB8" w:rsidRPr="009118AB">
        <w:t>§ </w:t>
      </w:r>
      <w:r w:rsidRPr="009118AB">
        <w:t>3</w:t>
      </w:r>
      <w:r w:rsidR="00D67EB8" w:rsidRPr="009118AB">
        <w:t> - </w:t>
      </w:r>
      <w:r w:rsidRPr="009118AB">
        <w:t>Ein Betrag, der der Investitionsrücklage entspricht, muss von der Gesellschaft investiert werden:</w:t>
      </w:r>
    </w:p>
    <w:p w14:paraId="2BE836BD" w14:textId="77777777" w:rsidR="00477B8F" w:rsidRPr="009118AB" w:rsidRDefault="00477B8F" w:rsidP="00477B8F">
      <w:pPr>
        <w:autoSpaceDE w:val="0"/>
        <w:autoSpaceDN w:val="0"/>
        <w:adjustRightInd w:val="0"/>
        <w:jc w:val="both"/>
      </w:pPr>
    </w:p>
    <w:p w14:paraId="0688CDF3"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in abschreibbare Sachanlagen oder abschreibbare immaterielle Anlagen, die zum Vorteil des Investitionsabzugs berechtigen können,</w:t>
      </w:r>
    </w:p>
    <w:p w14:paraId="49519C39" w14:textId="77777777" w:rsidR="00477B8F" w:rsidRPr="009118AB" w:rsidRDefault="00477B8F" w:rsidP="00477B8F">
      <w:pPr>
        <w:autoSpaceDE w:val="0"/>
        <w:autoSpaceDN w:val="0"/>
        <w:adjustRightInd w:val="0"/>
        <w:jc w:val="both"/>
      </w:pPr>
    </w:p>
    <w:p w14:paraId="5AE31258"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innerhalb einer Frist von drei Jahren, die am ersten Tag des Besteuerungszeitraums, für den die Investitionsrücklage gebildet wird, beginnt, und spätestens bei Auflösung der Gesellschaft.</w:t>
      </w:r>
    </w:p>
    <w:p w14:paraId="5443996D" w14:textId="77777777" w:rsidR="00477B8F" w:rsidRPr="009118AB" w:rsidRDefault="00477B8F" w:rsidP="00477B8F">
      <w:pPr>
        <w:autoSpaceDE w:val="0"/>
        <w:autoSpaceDN w:val="0"/>
        <w:adjustRightInd w:val="0"/>
        <w:jc w:val="both"/>
      </w:pPr>
    </w:p>
    <w:p w14:paraId="4061D42C" w14:textId="77777777" w:rsidR="00477B8F" w:rsidRPr="009118AB" w:rsidRDefault="00477B8F" w:rsidP="00477B8F">
      <w:pPr>
        <w:autoSpaceDE w:val="0"/>
        <w:autoSpaceDN w:val="0"/>
        <w:adjustRightInd w:val="0"/>
        <w:jc w:val="both"/>
      </w:pPr>
      <w:r w:rsidRPr="009118AB">
        <w:tab/>
        <w:t>Anlagen, die aufgrund von Artikel 47 als Wiederanlage betrachtet werden, sind für die Anwendung des vorhergehenden Absatzes als Investition ausgeschlossen.</w:t>
      </w:r>
    </w:p>
    <w:p w14:paraId="04157334" w14:textId="77777777" w:rsidR="00477B8F" w:rsidRPr="009118AB" w:rsidRDefault="00477B8F" w:rsidP="00477B8F">
      <w:pPr>
        <w:autoSpaceDE w:val="0"/>
        <w:autoSpaceDN w:val="0"/>
        <w:adjustRightInd w:val="0"/>
        <w:jc w:val="both"/>
      </w:pPr>
    </w:p>
    <w:p w14:paraId="45F155DA" w14:textId="1FBABE5E" w:rsidR="00477B8F" w:rsidRPr="009118AB" w:rsidRDefault="00477B8F" w:rsidP="00477B8F">
      <w:pPr>
        <w:autoSpaceDE w:val="0"/>
        <w:autoSpaceDN w:val="0"/>
        <w:adjustRightInd w:val="0"/>
        <w:jc w:val="both"/>
      </w:pPr>
      <w:r w:rsidRPr="009118AB">
        <w:tab/>
      </w:r>
      <w:r w:rsidR="00D67EB8" w:rsidRPr="009118AB">
        <w:t>§ </w:t>
      </w:r>
      <w:r w:rsidRPr="009118AB">
        <w:t>4</w:t>
      </w:r>
      <w:r w:rsidR="00D67EB8" w:rsidRPr="009118AB">
        <w:t> - </w:t>
      </w:r>
      <w:r w:rsidRPr="009118AB">
        <w:t xml:space="preserve">Wird die Investition nicht auf die Weise und binnen der Frist wie in </w:t>
      </w:r>
      <w:r w:rsidR="00D67EB8" w:rsidRPr="009118AB">
        <w:t>§ </w:t>
      </w:r>
      <w:r w:rsidRPr="009118AB">
        <w:t>3 festgelegt getätigt, gilt die vorher steuerfreie Investitionsrücklage als Gewinn des Besteuerungszeitraums, in dem die Investitionsfrist abgelaufen ist.</w:t>
      </w:r>
    </w:p>
    <w:p w14:paraId="56775C5E" w14:textId="77777777" w:rsidR="00477B8F" w:rsidRPr="009118AB" w:rsidRDefault="00477B8F" w:rsidP="00477B8F">
      <w:pPr>
        <w:autoSpaceDE w:val="0"/>
        <w:autoSpaceDN w:val="0"/>
        <w:adjustRightInd w:val="0"/>
        <w:jc w:val="both"/>
      </w:pPr>
    </w:p>
    <w:p w14:paraId="3C1F69A0" w14:textId="4C6C514A" w:rsidR="00477B8F" w:rsidRPr="009118AB" w:rsidRDefault="00477B8F" w:rsidP="00477B8F">
      <w:pPr>
        <w:autoSpaceDE w:val="0"/>
        <w:autoSpaceDN w:val="0"/>
        <w:adjustRightInd w:val="0"/>
        <w:jc w:val="both"/>
      </w:pPr>
      <w:r w:rsidRPr="009118AB">
        <w:tab/>
        <w:t xml:space="preserve">Die vorher steuerfreie Investitionsrücklage gilt als Gewinn des Besteuerungszeitraums, in dem die in </w:t>
      </w:r>
      <w:r w:rsidR="00D67EB8" w:rsidRPr="009118AB">
        <w:t>§ </w:t>
      </w:r>
      <w:r w:rsidRPr="009118AB">
        <w:t>3 erwähnte Investition veräußert wird, wenn diese Investition zum Zeitpunkt der Veräußerung weniger als drei Jahre in der Gesellschaft investiert war, und zwar proportional zu den auf diese Investition noch nicht zugelassenen Abschreibungen. Diese Bestimmung ist nicht anwendbar, wenn die Veräußerung anlässlich eines Schadensfalls, einer Enteignung, einer Eigentumsrequirierung oder eines anderen ähnlichen Ereignisses erfolgt.</w:t>
      </w:r>
    </w:p>
    <w:p w14:paraId="1C23F30C" w14:textId="77777777" w:rsidR="00477B8F" w:rsidRPr="009118AB" w:rsidRDefault="00477B8F" w:rsidP="00477B8F">
      <w:pPr>
        <w:autoSpaceDE w:val="0"/>
        <w:autoSpaceDN w:val="0"/>
        <w:adjustRightInd w:val="0"/>
        <w:jc w:val="both"/>
      </w:pPr>
    </w:p>
    <w:p w14:paraId="2A2FD79F" w14:textId="7B389527" w:rsidR="00477B8F" w:rsidRPr="009118AB" w:rsidRDefault="00477B8F" w:rsidP="00477B8F">
      <w:pPr>
        <w:autoSpaceDE w:val="0"/>
        <w:autoSpaceDN w:val="0"/>
        <w:adjustRightInd w:val="0"/>
        <w:jc w:val="both"/>
      </w:pPr>
      <w:r w:rsidRPr="009118AB">
        <w:tab/>
      </w:r>
      <w:r w:rsidR="00D67EB8" w:rsidRPr="009118AB">
        <w:t>§ </w:t>
      </w:r>
      <w:r w:rsidRPr="009118AB">
        <w:t>5</w:t>
      </w:r>
      <w:r w:rsidR="00D67EB8" w:rsidRPr="009118AB">
        <w:t> - </w:t>
      </w:r>
      <w:r w:rsidRPr="009118AB">
        <w:t>Zur Rechtfertigung des Vorteils der Investitionsrücklage muss die Gesellschaft ihrer Gesellschaftssteuererklärung für das Steuerjahr, für das die Rücklage gebildet wird, und für die folgenden Steuerjahre bis zum Zeitpunkt, zu dem die Investition getätigt sein muss, eine Aufstellung beifügen, deren Muster vom Minister der Finanzen oder von seinem Beauftragten festgelegt wird.</w:t>
      </w:r>
    </w:p>
    <w:p w14:paraId="086FB473" w14:textId="77777777" w:rsidR="00477B8F" w:rsidRPr="009118AB" w:rsidRDefault="00477B8F" w:rsidP="00477B8F">
      <w:pPr>
        <w:autoSpaceDE w:val="0"/>
        <w:autoSpaceDN w:val="0"/>
        <w:adjustRightInd w:val="0"/>
        <w:jc w:val="both"/>
      </w:pPr>
    </w:p>
    <w:p w14:paraId="406A5068" w14:textId="69FC2B17" w:rsidR="00477B8F" w:rsidRPr="009118AB" w:rsidRDefault="00477B8F" w:rsidP="00477B8F">
      <w:pPr>
        <w:autoSpaceDE w:val="0"/>
        <w:autoSpaceDN w:val="0"/>
        <w:adjustRightInd w:val="0"/>
        <w:jc w:val="both"/>
      </w:pPr>
      <w:r w:rsidRPr="009118AB">
        <w:tab/>
      </w:r>
      <w:r w:rsidR="00D67EB8" w:rsidRPr="009118AB">
        <w:t>§ </w:t>
      </w:r>
      <w:r w:rsidRPr="009118AB">
        <w:t>6</w:t>
      </w:r>
      <w:r w:rsidR="00D67EB8" w:rsidRPr="009118AB">
        <w:t> - </w:t>
      </w:r>
      <w:r w:rsidRPr="009118AB">
        <w:t xml:space="preserve">Der König bestimmt die in </w:t>
      </w:r>
      <w:r w:rsidR="00D67EB8" w:rsidRPr="009118AB">
        <w:t>§ </w:t>
      </w:r>
      <w:r w:rsidRPr="009118AB">
        <w:t xml:space="preserve">3 erwähnten Investitionsmodalitäten im Falle einer in Artikel 46 </w:t>
      </w:r>
      <w:r w:rsidR="00D67EB8" w:rsidRPr="009118AB">
        <w:t>§ </w:t>
      </w:r>
      <w:r w:rsidRPr="009118AB">
        <w:t xml:space="preserve">1 Absatz 1 </w:t>
      </w:r>
      <w:r w:rsidR="00D67EB8" w:rsidRPr="009118AB">
        <w:t>Nr. </w:t>
      </w:r>
      <w:r w:rsidRPr="009118AB">
        <w:t xml:space="preserve">2 erwähnten Einbringung eines Teilbetriebs beziehungsweise eines Teils einer Tätigkeit oder eines Gesamtvermögens und im Falle einer in Artikel 211 </w:t>
      </w:r>
      <w:r w:rsidR="00D67EB8" w:rsidRPr="009118AB">
        <w:t>§ </w:t>
      </w:r>
      <w:r w:rsidRPr="009118AB">
        <w:t>1 erwähnten Fusion oder Aufspaltung.</w:t>
      </w:r>
    </w:p>
    <w:p w14:paraId="499B7B33" w14:textId="77777777" w:rsidR="00477B8F" w:rsidRPr="009118AB" w:rsidRDefault="00477B8F" w:rsidP="00477B8F">
      <w:pPr>
        <w:autoSpaceDE w:val="0"/>
        <w:autoSpaceDN w:val="0"/>
        <w:adjustRightInd w:val="0"/>
        <w:jc w:val="both"/>
      </w:pPr>
    </w:p>
    <w:p w14:paraId="6CD23010" w14:textId="77777777" w:rsidR="00477B8F" w:rsidRPr="009118AB" w:rsidRDefault="00477B8F" w:rsidP="00477B8F">
      <w:pPr>
        <w:autoSpaceDE w:val="0"/>
        <w:autoSpaceDN w:val="0"/>
        <w:adjustRightInd w:val="0"/>
        <w:jc w:val="both"/>
      </w:pPr>
      <w:r w:rsidRPr="009118AB">
        <w:tab/>
        <w:t>Der König kann durch einen im Ministerrat beratenen Erlass einen Betrag festlegen, der höher als 37.500 EUR ist.]</w:t>
      </w:r>
    </w:p>
    <w:p w14:paraId="568ABC2A" w14:textId="77777777" w:rsidR="00F16502" w:rsidRPr="009118AB" w:rsidRDefault="00F16502" w:rsidP="00477B8F">
      <w:pPr>
        <w:autoSpaceDE w:val="0"/>
        <w:autoSpaceDN w:val="0"/>
        <w:adjustRightInd w:val="0"/>
        <w:jc w:val="both"/>
      </w:pPr>
    </w:p>
    <w:p w14:paraId="236175E5" w14:textId="6A9AF3B7" w:rsidR="00F16502" w:rsidRPr="009118AB" w:rsidRDefault="00F16502" w:rsidP="00477B8F">
      <w:pPr>
        <w:autoSpaceDE w:val="0"/>
        <w:autoSpaceDN w:val="0"/>
        <w:adjustRightInd w:val="0"/>
        <w:jc w:val="both"/>
        <w:rPr>
          <w:i/>
          <w:iCs/>
        </w:rPr>
      </w:pPr>
      <w:r w:rsidRPr="009118AB">
        <w:rPr>
          <w:i/>
        </w:rPr>
        <w:t>[</w:t>
      </w:r>
      <w:r w:rsidR="00D67EB8" w:rsidRPr="009118AB">
        <w:rPr>
          <w:i/>
        </w:rPr>
        <w:t>Art. </w:t>
      </w:r>
      <w:r w:rsidRPr="009118AB">
        <w:rPr>
          <w:i/>
        </w:rPr>
        <w:t xml:space="preserve">194quater </w:t>
      </w:r>
      <w:r w:rsidR="00EA2767" w:rsidRPr="009118AB">
        <w:rPr>
          <w:i/>
          <w:iCs/>
        </w:rPr>
        <w:t xml:space="preserve">aufgehoben durch </w:t>
      </w:r>
      <w:r w:rsidR="00D67EB8" w:rsidRPr="009118AB">
        <w:rPr>
          <w:i/>
          <w:iCs/>
        </w:rPr>
        <w:t>Art. </w:t>
      </w:r>
      <w:r w:rsidR="00EA2767" w:rsidRPr="009118AB">
        <w:rPr>
          <w:i/>
          <w:iCs/>
        </w:rPr>
        <w:t xml:space="preserve">31 </w:t>
      </w:r>
      <w:r w:rsidR="00D67EB8" w:rsidRPr="009118AB">
        <w:rPr>
          <w:i/>
          <w:iCs/>
        </w:rPr>
        <w:t>Nr. </w:t>
      </w:r>
      <w:r w:rsidR="00EA2767" w:rsidRPr="009118AB">
        <w:rPr>
          <w:i/>
          <w:iCs/>
        </w:rPr>
        <w:t>2 des G. vom 25. Dezember 2017 (III) (B.S. vom 29. Dezember 2017)</w:t>
      </w:r>
      <w:r w:rsidR="00D67EB8" w:rsidRPr="009118AB">
        <w:rPr>
          <w:i/>
          <w:iCs/>
        </w:rPr>
        <w:t> - </w:t>
      </w:r>
      <w:r w:rsidR="00EA2767" w:rsidRPr="009118AB">
        <w:rPr>
          <w:i/>
          <w:iCs/>
        </w:rPr>
        <w:t>in Kraft am 1. Januar 2020 und anwendbar ab dem Steuerjahr 2021, das sich auf einen Besteuerungszeitraum bezieht, der frühestens am 1. Januar 2020 beginnt</w:t>
      </w:r>
      <w:r w:rsidR="00FD68E8" w:rsidRPr="009118AB">
        <w:rPr>
          <w:i/>
          <w:iCs/>
        </w:rPr>
        <w:t> -,</w:t>
      </w:r>
      <w:r w:rsidR="00EA2767" w:rsidRPr="009118AB">
        <w:rPr>
          <w:i/>
          <w:iCs/>
        </w:rPr>
        <w:t xml:space="preserve"> selbst widerrufen durch </w:t>
      </w:r>
      <w:r w:rsidR="00D67EB8" w:rsidRPr="009118AB">
        <w:rPr>
          <w:i/>
          <w:iCs/>
        </w:rPr>
        <w:t>Art. </w:t>
      </w:r>
      <w:r w:rsidR="00EA2767" w:rsidRPr="009118AB">
        <w:rPr>
          <w:i/>
          <w:iCs/>
        </w:rPr>
        <w:t>44</w:t>
      </w:r>
      <w:r w:rsidR="00EA2767" w:rsidRPr="009118AB">
        <w:rPr>
          <w:i/>
        </w:rPr>
        <w:t xml:space="preserve"> des G. vom 2. Mai 2019 (III) (B.S. vom 1</w:t>
      </w:r>
      <w:r w:rsidR="00347BC3" w:rsidRPr="009118AB">
        <w:rPr>
          <w:i/>
        </w:rPr>
        <w:t>5</w:t>
      </w:r>
      <w:r w:rsidR="00EA2767" w:rsidRPr="009118AB">
        <w:rPr>
          <w:i/>
        </w:rPr>
        <w:t xml:space="preserve">. Mai 2019); </w:t>
      </w:r>
      <w:r w:rsidR="00D67EB8" w:rsidRPr="009118AB">
        <w:rPr>
          <w:i/>
        </w:rPr>
        <w:t>§ </w:t>
      </w:r>
      <w:r w:rsidRPr="009118AB">
        <w:rPr>
          <w:i/>
        </w:rPr>
        <w:t xml:space="preserve">1 ersetzt durch </w:t>
      </w:r>
      <w:r w:rsidR="00D67EB8" w:rsidRPr="009118AB">
        <w:rPr>
          <w:i/>
        </w:rPr>
        <w:t>Art. </w:t>
      </w:r>
      <w:r w:rsidRPr="009118AB">
        <w:rPr>
          <w:i/>
        </w:rPr>
        <w:t>45</w:t>
      </w:r>
      <w:r w:rsidRPr="009118AB">
        <w:rPr>
          <w:i/>
          <w:iCs/>
        </w:rPr>
        <w:t xml:space="preserve"> des </w:t>
      </w:r>
      <w:r w:rsidR="00DC1F9F" w:rsidRPr="009118AB">
        <w:rPr>
          <w:i/>
          <w:iCs/>
        </w:rPr>
        <w:t>G. vom 22. Dezember 2009 (I)</w:t>
      </w:r>
      <w:r w:rsidRPr="009118AB">
        <w:rPr>
          <w:i/>
          <w:iCs/>
        </w:rPr>
        <w:t xml:space="preserve"> (B.S. vom 31. Dezember 2009)</w:t>
      </w:r>
      <w:r w:rsidR="00D67EB8" w:rsidRPr="009118AB">
        <w:rPr>
          <w:i/>
          <w:iCs/>
        </w:rPr>
        <w:t> - </w:t>
      </w:r>
      <w:r w:rsidRPr="009118AB">
        <w:rPr>
          <w:i/>
          <w:iCs/>
        </w:rPr>
        <w:t>anwendbar ab dem Steuerjahr 2010</w:t>
      </w:r>
      <w:r w:rsidR="00D67EB8" w:rsidRPr="009118AB">
        <w:rPr>
          <w:i/>
          <w:iCs/>
        </w:rPr>
        <w:t> - </w:t>
      </w:r>
      <w:r w:rsidR="00715690" w:rsidRPr="009118AB">
        <w:rPr>
          <w:i/>
          <w:iCs/>
        </w:rPr>
        <w:t xml:space="preserve">und abgeändert durch </w:t>
      </w:r>
      <w:r w:rsidR="00D67EB8" w:rsidRPr="009118AB">
        <w:rPr>
          <w:i/>
          <w:iCs/>
        </w:rPr>
        <w:t>Art. </w:t>
      </w:r>
      <w:r w:rsidR="00715690" w:rsidRPr="009118AB">
        <w:rPr>
          <w:i/>
          <w:iCs/>
        </w:rPr>
        <w:t xml:space="preserve">50 </w:t>
      </w:r>
      <w:r w:rsidR="00715690" w:rsidRPr="009118AB">
        <w:rPr>
          <w:i/>
        </w:rPr>
        <w:t>des G. vom 18. Dezember 2015</w:t>
      </w:r>
      <w:r w:rsidR="007D0EAE" w:rsidRPr="009118AB">
        <w:rPr>
          <w:i/>
        </w:rPr>
        <w:t> (I)</w:t>
      </w:r>
      <w:r w:rsidR="00715690" w:rsidRPr="009118AB">
        <w:rPr>
          <w:i/>
        </w:rPr>
        <w:t xml:space="preserve"> (B.S. vom 30. Dezember 2015)</w:t>
      </w:r>
      <w:r w:rsidR="00D67EB8" w:rsidRPr="009118AB">
        <w:rPr>
          <w:i/>
        </w:rPr>
        <w:t> - </w:t>
      </w:r>
      <w:r w:rsidR="00B52789" w:rsidRPr="009118AB">
        <w:rPr>
          <w:i/>
        </w:rPr>
        <w:t>anwendbar auf Besteuerungszeiträume, die ab dem 1. Januar 2016 beginnen</w:t>
      </w:r>
      <w:r w:rsidR="00FD68E8" w:rsidRPr="009118AB">
        <w:rPr>
          <w:i/>
        </w:rPr>
        <w:t> -,</w:t>
      </w:r>
      <w:r w:rsidR="00534F88" w:rsidRPr="009118AB">
        <w:rPr>
          <w:i/>
        </w:rPr>
        <w:t xml:space="preserve"> </w:t>
      </w:r>
      <w:r w:rsidR="00D67EB8" w:rsidRPr="009118AB">
        <w:rPr>
          <w:i/>
        </w:rPr>
        <w:t>Art. </w:t>
      </w:r>
      <w:r w:rsidR="00534F88" w:rsidRPr="009118AB">
        <w:rPr>
          <w:i/>
        </w:rPr>
        <w:t xml:space="preserve">31 </w:t>
      </w:r>
      <w:r w:rsidR="00D67EB8" w:rsidRPr="009118AB">
        <w:rPr>
          <w:i/>
        </w:rPr>
        <w:t>Nr. </w:t>
      </w:r>
      <w:r w:rsidR="00534F88" w:rsidRPr="009118AB">
        <w:rPr>
          <w:i/>
        </w:rPr>
        <w:t>1</w:t>
      </w:r>
      <w:r w:rsidR="00534F88" w:rsidRPr="009118AB">
        <w:rPr>
          <w:i/>
          <w:iCs/>
        </w:rPr>
        <w:t xml:space="preserve"> des G. vom 25. Dezember 2017 (III) (B.S. vom 29. Dezember 2017)</w:t>
      </w:r>
      <w:r w:rsidR="00D67EB8" w:rsidRPr="009118AB">
        <w:rPr>
          <w:i/>
          <w:iCs/>
        </w:rPr>
        <w:t> - </w:t>
      </w:r>
      <w:r w:rsidR="00534F88" w:rsidRPr="009118AB">
        <w:rPr>
          <w:i/>
          <w:iCs/>
        </w:rPr>
        <w:t>in Kraft am 1. Januar 2018 und anwendbar ab dem Steuerjahr 2019, das sich auf einen Besteuerungszeitraum bezieht, der frühestens am 1. Januar 2018 beginnt</w:t>
      </w:r>
      <w:r w:rsidR="00D67EB8" w:rsidRPr="009118AB">
        <w:rPr>
          <w:i/>
          <w:iCs/>
        </w:rPr>
        <w:t> - </w:t>
      </w:r>
      <w:r w:rsidR="00BD5F04" w:rsidRPr="009118AB">
        <w:rPr>
          <w:i/>
          <w:iCs/>
        </w:rPr>
        <w:t xml:space="preserve">und </w:t>
      </w:r>
      <w:r w:rsidR="00D67EB8" w:rsidRPr="009118AB">
        <w:rPr>
          <w:i/>
          <w:iCs/>
        </w:rPr>
        <w:t>Art. </w:t>
      </w:r>
      <w:r w:rsidR="00BD5F04" w:rsidRPr="009118AB">
        <w:rPr>
          <w:i/>
          <w:iCs/>
        </w:rPr>
        <w:t>33</w:t>
      </w:r>
      <w:r w:rsidR="00BD5F04" w:rsidRPr="009118AB">
        <w:rPr>
          <w:i/>
          <w:iCs/>
          <w:spacing w:val="-2"/>
        </w:rPr>
        <w:t xml:space="preserve"> des G. vom 17. März 2019 (III) (B.S. vom 10. Mai 2019)</w:t>
      </w:r>
      <w:r w:rsidR="00D67EB8" w:rsidRPr="009118AB">
        <w:rPr>
          <w:i/>
          <w:iCs/>
          <w:spacing w:val="-2"/>
        </w:rPr>
        <w:t> - </w:t>
      </w:r>
      <w:r w:rsidR="00BD5F04" w:rsidRPr="009118AB">
        <w:rPr>
          <w:i/>
          <w:iCs/>
          <w:spacing w:val="-2"/>
        </w:rPr>
        <w:t>in Kraft am 1. Mai 2019</w:t>
      </w:r>
      <w:r w:rsidR="00FD68E8" w:rsidRPr="009118AB">
        <w:rPr>
          <w:i/>
          <w:iCs/>
          <w:spacing w:val="-2"/>
        </w:rPr>
        <w:t> -]</w:t>
      </w:r>
    </w:p>
    <w:p w14:paraId="5A51734B" w14:textId="28DE00A7" w:rsidR="004368E0" w:rsidRPr="009118AB" w:rsidRDefault="0031458F" w:rsidP="004368E0">
      <w:pPr>
        <w:autoSpaceDE w:val="0"/>
        <w:autoSpaceDN w:val="0"/>
        <w:adjustRightInd w:val="0"/>
        <w:jc w:val="center"/>
      </w:pPr>
      <w:r w:rsidRPr="009118AB">
        <w:br w:type="page"/>
      </w:r>
      <w:r w:rsidR="004368E0" w:rsidRPr="009118AB">
        <w:lastRenderedPageBreak/>
        <w:t>[Unterabschnitt 5/1</w:t>
      </w:r>
      <w:r w:rsidR="00D67EB8" w:rsidRPr="009118AB">
        <w:t> - </w:t>
      </w:r>
      <w:r w:rsidR="004368E0" w:rsidRPr="009118AB">
        <w:t>Wiederherstellungsrücklage]</w:t>
      </w:r>
    </w:p>
    <w:p w14:paraId="01C0D7A5" w14:textId="77777777" w:rsidR="004368E0" w:rsidRPr="009118AB" w:rsidRDefault="004368E0" w:rsidP="004368E0">
      <w:pPr>
        <w:autoSpaceDE w:val="0"/>
        <w:autoSpaceDN w:val="0"/>
        <w:adjustRightInd w:val="0"/>
        <w:jc w:val="center"/>
      </w:pPr>
    </w:p>
    <w:p w14:paraId="5E1D8EC9" w14:textId="5F6B5F14" w:rsidR="004368E0" w:rsidRPr="009118AB" w:rsidRDefault="004368E0" w:rsidP="004368E0">
      <w:pPr>
        <w:autoSpaceDE w:val="0"/>
        <w:autoSpaceDN w:val="0"/>
        <w:adjustRightInd w:val="0"/>
        <w:jc w:val="both"/>
        <w:rPr>
          <w:iCs/>
        </w:rPr>
      </w:pPr>
      <w:r w:rsidRPr="009118AB">
        <w:rPr>
          <w:i/>
          <w:iCs/>
        </w:rPr>
        <w:t xml:space="preserve">[Unterteilung Unterabschnitt 5/1 eingefügt durch </w:t>
      </w:r>
      <w:r w:rsidR="00D67EB8" w:rsidRPr="009118AB">
        <w:rPr>
          <w:i/>
          <w:iCs/>
        </w:rPr>
        <w:t>Art. </w:t>
      </w:r>
      <w:r w:rsidRPr="009118AB">
        <w:rPr>
          <w:i/>
          <w:iCs/>
        </w:rPr>
        <w:t>2 des G. vom 19. November 2020 (B.S. vom 1. Dezember 2020)]</w:t>
      </w:r>
    </w:p>
    <w:p w14:paraId="1DE36406" w14:textId="3780EC29" w:rsidR="004368E0" w:rsidRPr="009118AB" w:rsidRDefault="004368E0" w:rsidP="004368E0">
      <w:pPr>
        <w:autoSpaceDE w:val="0"/>
        <w:autoSpaceDN w:val="0"/>
        <w:adjustRightInd w:val="0"/>
        <w:jc w:val="both"/>
        <w:rPr>
          <w:iCs/>
        </w:rPr>
      </w:pPr>
    </w:p>
    <w:p w14:paraId="67F0B14A" w14:textId="17CE6044" w:rsidR="004368E0" w:rsidRPr="009118AB" w:rsidRDefault="004368E0" w:rsidP="004368E0">
      <w:pPr>
        <w:autoSpaceDE w:val="0"/>
        <w:autoSpaceDN w:val="0"/>
        <w:adjustRightInd w:val="0"/>
        <w:jc w:val="both"/>
        <w:rPr>
          <w:iCs/>
        </w:rPr>
      </w:pPr>
    </w:p>
    <w:p w14:paraId="09D925F6" w14:textId="6101789B" w:rsidR="004368E0" w:rsidRPr="009118AB" w:rsidRDefault="004368E0" w:rsidP="004368E0">
      <w:pPr>
        <w:jc w:val="both"/>
      </w:pPr>
      <w:r w:rsidRPr="009118AB">
        <w:rPr>
          <w:iCs/>
        </w:rPr>
        <w:tab/>
        <w:t>[</w:t>
      </w:r>
      <w:r w:rsidR="00D67EB8" w:rsidRPr="009118AB">
        <w:rPr>
          <w:b/>
        </w:rPr>
        <w:t>Art. </w:t>
      </w:r>
      <w:r w:rsidRPr="009118AB">
        <w:rPr>
          <w:b/>
        </w:rPr>
        <w:t>194</w:t>
      </w:r>
      <w:r w:rsidRPr="009118AB">
        <w:rPr>
          <w:b/>
          <w:i/>
          <w:iCs/>
        </w:rPr>
        <w:t>quater</w:t>
      </w:r>
      <w:r w:rsidRPr="009118AB">
        <w:rPr>
          <w:b/>
        </w:rPr>
        <w:t>/1</w:t>
      </w:r>
      <w:r w:rsidR="00D67EB8" w:rsidRPr="009118AB">
        <w:t> - § </w:t>
      </w:r>
      <w:r w:rsidRPr="009118AB">
        <w:t>1</w:t>
      </w:r>
      <w:r w:rsidR="00D67EB8" w:rsidRPr="009118AB">
        <w:t> - </w:t>
      </w:r>
      <w:r w:rsidRPr="009118AB">
        <w:t>Die Wiederherstellungsrücklage, die nach Ablauf eines Besteuerungszeitraums, der an eines der Steuerjahre 2022, 2023 oder 2024 gebunden ist, von Gesellschaften gebildet wird, wird in Grenzen und unter Bedingungen, die nachstehend festgelegt sind, von der Steuer befreit.</w:t>
      </w:r>
    </w:p>
    <w:p w14:paraId="6A920776" w14:textId="77777777" w:rsidR="004368E0" w:rsidRPr="009118AB" w:rsidRDefault="004368E0" w:rsidP="004368E0">
      <w:pPr>
        <w:jc w:val="both"/>
      </w:pPr>
    </w:p>
    <w:p w14:paraId="7F352370" w14:textId="6E6234BC" w:rsidR="004368E0" w:rsidRPr="009118AB" w:rsidRDefault="004368E0" w:rsidP="004368E0">
      <w:pPr>
        <w:jc w:val="both"/>
      </w:pPr>
      <w:r w:rsidRPr="009118AB">
        <w:tab/>
        <w:t xml:space="preserve">Unbeschadet des in </w:t>
      </w:r>
      <w:r w:rsidR="00D67EB8" w:rsidRPr="009118AB">
        <w:t>§ </w:t>
      </w:r>
      <w:r w:rsidRPr="009118AB">
        <w:t>3 erwähnten Höchstbetrags der Steuerbefreiung wird die Wiederherstellungsrücklage pro Besteuerungszeitraum bis zu einem Betrag gebildet, der auf die steuerpflichtigen Gewinnrücklagen des Besteuerungszeitraums begrenzt ist, die vor Bildung der in vorliegendem Artikel erwähnten steuerfreien Rücklage festgestellt wurden.</w:t>
      </w:r>
    </w:p>
    <w:p w14:paraId="349D7D45" w14:textId="77777777" w:rsidR="004368E0" w:rsidRPr="009118AB" w:rsidRDefault="004368E0" w:rsidP="004368E0">
      <w:pPr>
        <w:jc w:val="both"/>
      </w:pPr>
    </w:p>
    <w:p w14:paraId="18DB8407" w14:textId="1EE1460F" w:rsidR="004368E0" w:rsidRPr="009118AB" w:rsidRDefault="004368E0" w:rsidP="004368E0">
      <w:pPr>
        <w:jc w:val="both"/>
      </w:pPr>
      <w:r w:rsidRPr="009118AB">
        <w:tab/>
      </w:r>
      <w:r w:rsidR="00D67EB8" w:rsidRPr="009118AB">
        <w:t>§ </w:t>
      </w:r>
      <w:r w:rsidRPr="009118AB">
        <w:t>2</w:t>
      </w:r>
      <w:r w:rsidR="00D67EB8" w:rsidRPr="009118AB">
        <w:t> - </w:t>
      </w:r>
      <w:r w:rsidRPr="009118AB">
        <w:t>Diese Regelung ist nicht auf folgende Gesellschaften anwendbar:</w:t>
      </w:r>
    </w:p>
    <w:p w14:paraId="3864D0B8" w14:textId="77777777" w:rsidR="004368E0" w:rsidRPr="009118AB" w:rsidRDefault="004368E0" w:rsidP="004368E0">
      <w:pPr>
        <w:jc w:val="both"/>
      </w:pPr>
    </w:p>
    <w:p w14:paraId="0EA7E3F6" w14:textId="70A61B31" w:rsidR="004368E0" w:rsidRPr="009118AB" w:rsidRDefault="004368E0" w:rsidP="004368E0">
      <w:pPr>
        <w:jc w:val="both"/>
      </w:pPr>
      <w:r w:rsidRPr="009118AB">
        <w:tab/>
        <w:t>1. Investmentgesellschaften, die in den Artikeln 15 und 271/10 des Gesetzes vom 3. August 2012 über Organismen für gemeinsame Anlagen, die die Bedingungen der Richtlinie 2009/65/EG erfüllen, und Organismen für Anlagen in Forderungen erwähnt sind, Investmentgesellschaften, die in den Artikeln 190, 195, 285, 288 und 298 des Gesetzes vom 19. April 2014 über alternative Organismen für gemeinsame Anlagen und ihre Verwalter erwähnt sind, beaufsichtigte Immobiliengesellschaften</w:t>
      </w:r>
      <w:r w:rsidR="001F15B0" w:rsidRPr="009118AB">
        <w:t xml:space="preserve">[, europäische langfristige Investmentfonds] </w:t>
      </w:r>
      <w:r w:rsidRPr="009118AB">
        <w:t>und Organismen für die Finanzierung von Pensionen, die in Artikel 8 des Gesetzes vom 27. Oktober 2006 über die Kontrolle der Einrichtungen der betrieblichen Altersversorgung erwähnt sind,</w:t>
      </w:r>
    </w:p>
    <w:p w14:paraId="59E101EC" w14:textId="77777777" w:rsidR="004368E0" w:rsidRPr="009118AB" w:rsidRDefault="004368E0" w:rsidP="004368E0">
      <w:pPr>
        <w:jc w:val="both"/>
      </w:pPr>
    </w:p>
    <w:p w14:paraId="2813A55C" w14:textId="77777777" w:rsidR="004368E0" w:rsidRPr="009118AB" w:rsidRDefault="004368E0" w:rsidP="004368E0">
      <w:pPr>
        <w:jc w:val="both"/>
      </w:pPr>
      <w:r w:rsidRPr="009118AB">
        <w:tab/>
        <w:t>2. Beteiligungsgenossenschaften in Anwendung des Gesetzes vom 22. Mai 2001 über die Beteiligung der Arbeitnehmer am Kapital der Gesellschaften und zur Einführung einer Gewinnprämie für die Arbeitnehmer,</w:t>
      </w:r>
    </w:p>
    <w:p w14:paraId="14BB801C" w14:textId="77777777" w:rsidR="004368E0" w:rsidRPr="009118AB" w:rsidRDefault="004368E0" w:rsidP="004368E0">
      <w:pPr>
        <w:jc w:val="both"/>
      </w:pPr>
    </w:p>
    <w:p w14:paraId="782E62CC" w14:textId="77777777" w:rsidR="004368E0" w:rsidRPr="009118AB" w:rsidRDefault="004368E0" w:rsidP="004368E0">
      <w:pPr>
        <w:jc w:val="both"/>
      </w:pPr>
      <w:r w:rsidRPr="009118AB">
        <w:tab/>
        <w:t>3. Seeschifffahrtsgesellschaften, die gemäß den Artikeln 115 bis 120 oder gemäß Artikel 124 des Programmgesetzes vom 2. August 2002 der Steuer unterliegen,</w:t>
      </w:r>
    </w:p>
    <w:p w14:paraId="269127E5" w14:textId="77777777" w:rsidR="004368E0" w:rsidRPr="009118AB" w:rsidRDefault="004368E0" w:rsidP="004368E0">
      <w:pPr>
        <w:jc w:val="both"/>
      </w:pPr>
    </w:p>
    <w:p w14:paraId="29B4325E" w14:textId="77777777" w:rsidR="004368E0" w:rsidRPr="009118AB" w:rsidRDefault="004368E0" w:rsidP="004368E0">
      <w:pPr>
        <w:jc w:val="both"/>
      </w:pPr>
      <w:r w:rsidRPr="009118AB">
        <w:tab/>
        <w:t>4. Gesellschaften, die im Zeitraum vom 12. März 2020 bis zum Tag der Einreichung der Erklärung, die an das Steuerjahr gebunden ist, in dem die Wiederherstellungsrücklage gebildet wird, einen Rückkauf eigener Aktien oder Anteile getätigt haben oder eine Zuerkennung oder Ausschüttung von Dividenden wie in Artikel 18 erwähnt, einschließlich der Ausschüttung von Liquidationsrücklagen wie in den Artikeln 184</w:t>
      </w:r>
      <w:r w:rsidRPr="009118AB">
        <w:rPr>
          <w:i/>
        </w:rPr>
        <w:t>quater</w:t>
      </w:r>
      <w:r w:rsidRPr="009118AB">
        <w:t xml:space="preserve"> und 541 erwähnt, oder eine Kapital</w:t>
      </w:r>
      <w:r w:rsidRPr="009118AB">
        <w:softHyphen/>
        <w:t>herabsetzung, einschließlich der Kapitalherabsetzung wie in Artikel 537 erwähnt, oder jede andere Herabsetzung oder Ausschüttung des Eigenkapitals durchgeführt haben,</w:t>
      </w:r>
    </w:p>
    <w:p w14:paraId="00FD0024" w14:textId="77777777" w:rsidR="004368E0" w:rsidRPr="009118AB" w:rsidRDefault="004368E0" w:rsidP="004368E0">
      <w:pPr>
        <w:jc w:val="both"/>
      </w:pPr>
    </w:p>
    <w:p w14:paraId="04FB1D34" w14:textId="77777777" w:rsidR="004368E0" w:rsidRPr="009118AB" w:rsidRDefault="004368E0" w:rsidP="004368E0">
      <w:pPr>
        <w:jc w:val="both"/>
      </w:pPr>
      <w:r w:rsidRPr="009118AB">
        <w:tab/>
        <w:t>5. Gesellschaften, die am 18. März 2020 als Unternehmen in Schwierigkeiten betrachtet werden konnten.</w:t>
      </w:r>
    </w:p>
    <w:p w14:paraId="309C093E" w14:textId="77777777" w:rsidR="004368E0" w:rsidRPr="009118AB" w:rsidRDefault="004368E0" w:rsidP="004368E0">
      <w:pPr>
        <w:jc w:val="both"/>
      </w:pPr>
    </w:p>
    <w:p w14:paraId="2B99B40D" w14:textId="77777777" w:rsidR="001F15B0" w:rsidRPr="009118AB" w:rsidRDefault="001F15B0">
      <w:r w:rsidRPr="009118AB">
        <w:br w:type="page"/>
      </w:r>
    </w:p>
    <w:p w14:paraId="6D1B5B15" w14:textId="2F6E0A9B" w:rsidR="004368E0" w:rsidRPr="009118AB" w:rsidRDefault="004368E0" w:rsidP="004368E0">
      <w:pPr>
        <w:jc w:val="both"/>
      </w:pPr>
      <w:r w:rsidRPr="009118AB">
        <w:lastRenderedPageBreak/>
        <w:tab/>
      </w:r>
      <w:r w:rsidR="00D67EB8" w:rsidRPr="009118AB">
        <w:t>§ </w:t>
      </w:r>
      <w:r w:rsidRPr="009118AB">
        <w:t>3</w:t>
      </w:r>
      <w:r w:rsidR="00D67EB8" w:rsidRPr="009118AB">
        <w:t> - </w:t>
      </w:r>
      <w:r w:rsidRPr="009118AB">
        <w:t xml:space="preserve">Die in </w:t>
      </w:r>
      <w:r w:rsidR="00D67EB8" w:rsidRPr="009118AB">
        <w:t>§ </w:t>
      </w:r>
      <w:r w:rsidRPr="009118AB">
        <w:t xml:space="preserve">1 erwähnte Steuerbefreiung wird zu einem Höchstbetrag gewährt, der die bereits gemäß </w:t>
      </w:r>
      <w:r w:rsidR="00D67EB8" w:rsidRPr="009118AB">
        <w:t>§ </w:t>
      </w:r>
      <w:r w:rsidRPr="009118AB">
        <w:t>5 besteuerten Beträge der Wiederherstellungsrücklage umfasst und dem Betrag der Betriebsverluste des im Jahr 2020 abgeschlossenen Geschäftsjahres entspricht, der gemäß den Rechtsvorschriften über die Buchhaltung und den Jahresabschluss festgelegt wird und auf 20 Millionen EUR begrenzt ist.</w:t>
      </w:r>
    </w:p>
    <w:p w14:paraId="4D822116" w14:textId="77777777" w:rsidR="004368E0" w:rsidRPr="009118AB" w:rsidRDefault="004368E0" w:rsidP="004368E0">
      <w:pPr>
        <w:jc w:val="both"/>
      </w:pPr>
    </w:p>
    <w:p w14:paraId="143C332B" w14:textId="77777777" w:rsidR="004368E0" w:rsidRPr="009118AB" w:rsidRDefault="004368E0" w:rsidP="004368E0">
      <w:pPr>
        <w:jc w:val="both"/>
      </w:pPr>
      <w:r w:rsidRPr="009118AB">
        <w:tab/>
        <w:t>In Abweichung von Absatz 1 dürfen sich Gesellschaften, die ihr Geschäftsjahr im Zeitraum vom 1. Januar 2020 bis zum 31. Juli 2020 abschließen, dafür entscheiden, den Höchstbetrag der in Absatz 1 erwähnten Steuerbefreiung auf den Betrag der Betriebsverluste des im Jahr 2021 abgeschlossenen Geschäftsjahres zu beschränken, der gemäß den Rechtsvorschriften über die Buchhaltung und den Jahresabschluss festgelegt wird und auf 20 Millionen EUR begrenzt ist. Diese Wahl wird bei der erstmaligen Bildung der Rücklage getroffen und ist unwiderruflich.</w:t>
      </w:r>
    </w:p>
    <w:p w14:paraId="6483BADB" w14:textId="77777777" w:rsidR="004368E0" w:rsidRPr="009118AB" w:rsidRDefault="004368E0" w:rsidP="004368E0">
      <w:pPr>
        <w:jc w:val="both"/>
      </w:pPr>
    </w:p>
    <w:p w14:paraId="2CA45347" w14:textId="686346B7" w:rsidR="004368E0" w:rsidRPr="009118AB" w:rsidRDefault="004368E0" w:rsidP="004368E0">
      <w:pPr>
        <w:jc w:val="both"/>
      </w:pPr>
      <w:r w:rsidRPr="009118AB">
        <w:tab/>
      </w:r>
      <w:r w:rsidR="00D67EB8" w:rsidRPr="009118AB">
        <w:t>§ </w:t>
      </w:r>
      <w:r w:rsidRPr="009118AB">
        <w:t>4</w:t>
      </w:r>
      <w:r w:rsidR="00D67EB8" w:rsidRPr="009118AB">
        <w:t> - </w:t>
      </w:r>
      <w:r w:rsidRPr="009118AB">
        <w:t>Die Wiederherstellungsrücklage wird nur von der Steuer befreit, sofern:</w:t>
      </w:r>
    </w:p>
    <w:p w14:paraId="371B9DF7" w14:textId="77777777" w:rsidR="004368E0" w:rsidRPr="009118AB" w:rsidRDefault="004368E0" w:rsidP="004368E0">
      <w:pPr>
        <w:jc w:val="both"/>
      </w:pPr>
    </w:p>
    <w:p w14:paraId="3987D809" w14:textId="77777777" w:rsidR="004368E0" w:rsidRPr="009118AB" w:rsidRDefault="004368E0" w:rsidP="004368E0">
      <w:pPr>
        <w:jc w:val="both"/>
      </w:pPr>
      <w:r w:rsidRPr="009118AB">
        <w:tab/>
        <w:t>1. sie auf einem oder mehreren getrennten Passivkonten gebucht ist und dort belassen wird und nicht als Grundlage für die Berechnung der jährlichen Zuführung an die gesetzliche Rücklage oder für die Berechnung von Entlohnungen oder Zuerkennungen dient und</w:t>
      </w:r>
    </w:p>
    <w:p w14:paraId="2B7799CD" w14:textId="77777777" w:rsidR="004368E0" w:rsidRPr="009118AB" w:rsidRDefault="004368E0" w:rsidP="004368E0">
      <w:pPr>
        <w:jc w:val="both"/>
      </w:pPr>
    </w:p>
    <w:p w14:paraId="265420B8" w14:textId="0279FFD3" w:rsidR="004368E0" w:rsidRPr="009118AB" w:rsidRDefault="004368E0" w:rsidP="004368E0">
      <w:pPr>
        <w:jc w:val="both"/>
      </w:pPr>
      <w:r w:rsidRPr="009118AB">
        <w:tab/>
        <w:t>2. die Gesellschaft zwischen dem 12. März 2020 und dem Ende des Besteuerungs</w:t>
      </w:r>
      <w:r w:rsidRPr="009118AB">
        <w:softHyphen/>
        <w:t xml:space="preserve">zeitraums, in dem die Gesellschaft die Wiederherstellungsrücklage beansprucht, keine unmittelbare Beteiligung an einer Gesellschaft gehalten hat, die in einem Staat ansässig ist, der in einer der in Artikel 307 </w:t>
      </w:r>
      <w:r w:rsidR="00D67EB8" w:rsidRPr="009118AB">
        <w:t>§ </w:t>
      </w:r>
      <w:r w:rsidRPr="009118AB">
        <w:t>1/2 erwähnten Listen aufgenommen ist, oder in einem Staat, der in der in Artikel 179 des KE/EStGB 92 erwähnten Liste aufgenommen ist, und an solche Gesellschaften keine Zahlungen mit einem Gesamtbetrag von mindestens 100.000 EUR für den Besteuerungszeitraum getätigt hat, es sei denn, es wurde nachgewiesen, dass diese Zahlungen im Rahmen tatsächlicher und ehrlicher Geschäfte getätigt wurden, die aus rechtmäßigen finanziellen oder wirtschaftlichen Bedürfnissen hervorgehen.</w:t>
      </w:r>
    </w:p>
    <w:p w14:paraId="0478051E" w14:textId="77777777" w:rsidR="004368E0" w:rsidRPr="009118AB" w:rsidRDefault="004368E0" w:rsidP="004368E0">
      <w:pPr>
        <w:jc w:val="both"/>
      </w:pPr>
    </w:p>
    <w:p w14:paraId="0B691450" w14:textId="73C05A45" w:rsidR="004368E0" w:rsidRPr="009118AB" w:rsidRDefault="004368E0" w:rsidP="004368E0">
      <w:pPr>
        <w:jc w:val="both"/>
      </w:pPr>
      <w:r w:rsidRPr="009118AB">
        <w:tab/>
      </w:r>
      <w:r w:rsidR="00D67EB8" w:rsidRPr="009118AB">
        <w:t>§ </w:t>
      </w:r>
      <w:r w:rsidRPr="009118AB">
        <w:t>5</w:t>
      </w:r>
      <w:r w:rsidR="00D67EB8" w:rsidRPr="009118AB">
        <w:t> - </w:t>
      </w:r>
      <w:r w:rsidRPr="009118AB">
        <w:t>Die Beträge, die zur Bildung der Wiederherstellungsrücklage verwendet werden, gelten ganz oder teilweise als Gewinne des Besteuerungszeitraums, wenn die Gesellschaft in diesem Besteuerungszeitraum:</w:t>
      </w:r>
    </w:p>
    <w:p w14:paraId="593CEE51" w14:textId="77777777" w:rsidR="004368E0" w:rsidRPr="009118AB" w:rsidRDefault="004368E0" w:rsidP="004368E0">
      <w:pPr>
        <w:jc w:val="both"/>
      </w:pPr>
    </w:p>
    <w:p w14:paraId="118F8E8B" w14:textId="77777777" w:rsidR="004368E0" w:rsidRPr="009118AB" w:rsidRDefault="004368E0" w:rsidP="004368E0">
      <w:pPr>
        <w:jc w:val="both"/>
      </w:pPr>
      <w:r w:rsidRPr="009118AB">
        <w:tab/>
        <w:t>1. einen Rückkauf eigener Aktien oder Anteile in Höhe des Rückkaufswerts tätigt,</w:t>
      </w:r>
    </w:p>
    <w:p w14:paraId="4B5C1A4D" w14:textId="77777777" w:rsidR="004368E0" w:rsidRPr="009118AB" w:rsidRDefault="004368E0" w:rsidP="004368E0">
      <w:pPr>
        <w:jc w:val="both"/>
      </w:pPr>
    </w:p>
    <w:p w14:paraId="2769D178" w14:textId="77777777" w:rsidR="004368E0" w:rsidRPr="009118AB" w:rsidRDefault="004368E0" w:rsidP="004368E0">
      <w:pPr>
        <w:jc w:val="both"/>
      </w:pPr>
      <w:r w:rsidRPr="009118AB">
        <w:tab/>
        <w:t>2. eine Zuerkennung oder Ausschüttung von Dividenden wie in Artikel 18 erwähnt in Höhe des Betrags der Dividende durchführt, einschließlich der Ausschüttung von Liquidations</w:t>
      </w:r>
      <w:r w:rsidRPr="009118AB">
        <w:softHyphen/>
        <w:t>rücklagen wie in den Artikeln 184</w:t>
      </w:r>
      <w:r w:rsidRPr="009118AB">
        <w:rPr>
          <w:i/>
        </w:rPr>
        <w:t>quater</w:t>
      </w:r>
      <w:r w:rsidRPr="009118AB">
        <w:t xml:space="preserve"> und 541 erwähnt,</w:t>
      </w:r>
    </w:p>
    <w:p w14:paraId="2195A5BD" w14:textId="77777777" w:rsidR="004368E0" w:rsidRPr="009118AB" w:rsidRDefault="004368E0" w:rsidP="004368E0">
      <w:pPr>
        <w:jc w:val="both"/>
      </w:pPr>
    </w:p>
    <w:p w14:paraId="0503FF88" w14:textId="77777777" w:rsidR="004368E0" w:rsidRPr="009118AB" w:rsidRDefault="004368E0" w:rsidP="004368E0">
      <w:pPr>
        <w:jc w:val="both"/>
      </w:pPr>
      <w:r w:rsidRPr="009118AB">
        <w:tab/>
        <w:t>3. eine Kapitalherabsetzung, einschließlich der Kapitalherabsetzung wie in Artikel 537 erwähnt, oder jede andere Herabsetzung oder Ausschüttung des Eigenkapitals in Höhe des Betrags der Kapitalherabsetzung oder Ausschüttung durchführt,</w:t>
      </w:r>
    </w:p>
    <w:p w14:paraId="056EBCE8" w14:textId="77777777" w:rsidR="004368E0" w:rsidRPr="009118AB" w:rsidRDefault="004368E0" w:rsidP="004368E0">
      <w:pPr>
        <w:jc w:val="both"/>
      </w:pPr>
    </w:p>
    <w:p w14:paraId="0451C21D" w14:textId="77777777" w:rsidR="004368E0" w:rsidRPr="009118AB" w:rsidRDefault="004368E0" w:rsidP="004368E0">
      <w:pPr>
        <w:jc w:val="both"/>
      </w:pPr>
      <w:r w:rsidRPr="009118AB">
        <w:tab/>
        <w:t xml:space="preserve">4. in ihrer Ergebnisrechnung unter Posten "620 Entlohnungen und direkte soziale Vorteile" einen Betrag bucht, der unter einer Schwelle von 85 Prozent des Betrags liegt, der am Datum des Abschlusses des Geschäftsjahres, das im Jahr 2019 abgeschlossen wurde, für diesen Posten festgelegt ist, wenn diese Bedingung im Besteuerungszeitraum erstmals erfüllt wird, oder unter diesem Posten einen Betrag bucht, der unter der vorher niedrigsten Schwelle liegt, </w:t>
      </w:r>
      <w:r w:rsidRPr="009118AB">
        <w:lastRenderedPageBreak/>
        <w:t>wenn diese Bedingung in einem vorhergehenden Besteuerungszeitraum bereits erfüllt wurde, und zwar in Höhe der Differenz zwischen:</w:t>
      </w:r>
    </w:p>
    <w:p w14:paraId="4F907DFE" w14:textId="77777777" w:rsidR="004368E0" w:rsidRPr="009118AB" w:rsidRDefault="004368E0" w:rsidP="004368E0">
      <w:pPr>
        <w:jc w:val="both"/>
      </w:pPr>
    </w:p>
    <w:p w14:paraId="753E6099" w14:textId="77777777" w:rsidR="004368E0" w:rsidRPr="009118AB" w:rsidRDefault="004368E0" w:rsidP="004368E0">
      <w:pPr>
        <w:jc w:val="both"/>
      </w:pPr>
      <w:r w:rsidRPr="009118AB">
        <w:tab/>
      </w:r>
      <w:r w:rsidRPr="009118AB">
        <w:rPr>
          <w:i/>
        </w:rPr>
        <w:t>a)</w:t>
      </w:r>
      <w:r w:rsidRPr="009118AB">
        <w:t> einerseits dem Betrag der vorerwähnten Schwelle von 85 Prozent beziehungsweise dem Betrag der vorher niedrigsten Schwelle und</w:t>
      </w:r>
    </w:p>
    <w:p w14:paraId="750CB9ED" w14:textId="77777777" w:rsidR="004368E0" w:rsidRPr="009118AB" w:rsidRDefault="004368E0" w:rsidP="004368E0">
      <w:pPr>
        <w:jc w:val="both"/>
      </w:pPr>
    </w:p>
    <w:p w14:paraId="0445AC1E" w14:textId="77777777" w:rsidR="004368E0" w:rsidRPr="009118AB" w:rsidRDefault="004368E0" w:rsidP="004368E0">
      <w:pPr>
        <w:jc w:val="both"/>
      </w:pPr>
      <w:r w:rsidRPr="009118AB">
        <w:tab/>
      </w:r>
      <w:r w:rsidRPr="009118AB">
        <w:rPr>
          <w:i/>
        </w:rPr>
        <w:t>b)</w:t>
      </w:r>
      <w:r w:rsidRPr="009118AB">
        <w:t> andererseits dem oben erwähnten Betrag des Postens "620 Entlohnungen und direkte soziale Vorteile" des Besteuerungszeitraums, der unter der vorerwähnten Schwelle von 85 Prozent beziehungsweise unter der vorher niedrigsten Schwelle liegt.</w:t>
      </w:r>
    </w:p>
    <w:p w14:paraId="7FE8A77A" w14:textId="77777777" w:rsidR="004368E0" w:rsidRPr="009118AB" w:rsidRDefault="004368E0" w:rsidP="004368E0">
      <w:pPr>
        <w:jc w:val="both"/>
      </w:pPr>
    </w:p>
    <w:p w14:paraId="1B6DF673" w14:textId="77777777" w:rsidR="004368E0" w:rsidRPr="009118AB" w:rsidRDefault="004368E0" w:rsidP="004368E0">
      <w:pPr>
        <w:jc w:val="both"/>
      </w:pPr>
      <w:r w:rsidRPr="009118AB">
        <w:tab/>
        <w:t>Der in vorliegendem Paragraphen erwähnte steuerpflichtige Betrag, der über die verschiedenen Besteuerungszeiträume kumuliert wird, ist auf den Gesamtbetrag der steuerfreien Wiederherstellungsrücklage begrenzt.</w:t>
      </w:r>
    </w:p>
    <w:p w14:paraId="64944875" w14:textId="77777777" w:rsidR="004368E0" w:rsidRPr="009118AB" w:rsidRDefault="004368E0" w:rsidP="004368E0">
      <w:pPr>
        <w:jc w:val="both"/>
      </w:pPr>
    </w:p>
    <w:p w14:paraId="634FD842" w14:textId="712E6DAE" w:rsidR="004368E0" w:rsidRPr="009118AB" w:rsidRDefault="004368E0" w:rsidP="004368E0">
      <w:pPr>
        <w:autoSpaceDE w:val="0"/>
        <w:autoSpaceDN w:val="0"/>
        <w:adjustRightInd w:val="0"/>
        <w:jc w:val="both"/>
        <w:rPr>
          <w:iCs/>
        </w:rPr>
      </w:pPr>
      <w:r w:rsidRPr="009118AB">
        <w:tab/>
      </w:r>
      <w:r w:rsidR="00D67EB8" w:rsidRPr="009118AB">
        <w:t>§ </w:t>
      </w:r>
      <w:r w:rsidRPr="009118AB">
        <w:t>6</w:t>
      </w:r>
      <w:r w:rsidR="00D67EB8" w:rsidRPr="009118AB">
        <w:t> - </w:t>
      </w:r>
      <w:r w:rsidRPr="009118AB">
        <w:t>Bei Befreiung der Gewinne auf der Grundlage des vorliegenden Artikels muss der Steuerpflichtige seiner Einkommensteuererklärung für die Steuerjahre, in denen die Befreiung angewandt wird, eine Aufstellung beifügen, deren Muster vom König festgelegt wird.</w:t>
      </w:r>
      <w:r w:rsidRPr="009118AB">
        <w:rPr>
          <w:iCs/>
        </w:rPr>
        <w:t>]</w:t>
      </w:r>
    </w:p>
    <w:p w14:paraId="0EEC78E5" w14:textId="20E6B027" w:rsidR="004368E0" w:rsidRPr="009118AB" w:rsidRDefault="004368E0" w:rsidP="004368E0">
      <w:pPr>
        <w:autoSpaceDE w:val="0"/>
        <w:autoSpaceDN w:val="0"/>
        <w:adjustRightInd w:val="0"/>
        <w:jc w:val="both"/>
        <w:rPr>
          <w:iCs/>
        </w:rPr>
      </w:pPr>
    </w:p>
    <w:p w14:paraId="4D007C2B" w14:textId="4B767970" w:rsidR="004368E0" w:rsidRPr="009118AB" w:rsidRDefault="004368E0" w:rsidP="004368E0">
      <w:pPr>
        <w:autoSpaceDE w:val="0"/>
        <w:autoSpaceDN w:val="0"/>
        <w:adjustRightInd w:val="0"/>
        <w:jc w:val="both"/>
        <w:rPr>
          <w:i/>
          <w:iCs/>
        </w:rPr>
      </w:pPr>
      <w:r w:rsidRPr="009118AB">
        <w:rPr>
          <w:i/>
          <w:iCs/>
        </w:rPr>
        <w:t>[</w:t>
      </w:r>
      <w:r w:rsidR="00D67EB8" w:rsidRPr="009118AB">
        <w:rPr>
          <w:i/>
          <w:iCs/>
        </w:rPr>
        <w:t>Art. </w:t>
      </w:r>
      <w:r w:rsidRPr="009118AB">
        <w:rPr>
          <w:i/>
          <w:iCs/>
        </w:rPr>
        <w:t xml:space="preserve">194quater/1 eingefügt durch </w:t>
      </w:r>
      <w:r w:rsidR="00D67EB8" w:rsidRPr="009118AB">
        <w:rPr>
          <w:i/>
          <w:iCs/>
        </w:rPr>
        <w:t>Art. </w:t>
      </w:r>
      <w:r w:rsidRPr="009118AB">
        <w:rPr>
          <w:i/>
          <w:iCs/>
        </w:rPr>
        <w:t>3 des G. vom 19. November 2020 (B.S. vom 1. Dezember 2020)</w:t>
      </w:r>
      <w:r w:rsidR="001F15B0" w:rsidRPr="009118AB">
        <w:rPr>
          <w:i/>
          <w:iCs/>
        </w:rPr>
        <w:t>; § 2 einziger Absatz Nr. 1 abgeändert durch Art. 16 des G. vom 21. Dezember 2022 (II) (B.S. vom 29. Dezember 2022)</w:t>
      </w:r>
      <w:r w:rsidRPr="009118AB">
        <w:rPr>
          <w:i/>
          <w:iCs/>
        </w:rPr>
        <w:t>]</w:t>
      </w:r>
    </w:p>
    <w:p w14:paraId="0201BDDC" w14:textId="77777777" w:rsidR="004368E0" w:rsidRPr="009118AB" w:rsidRDefault="004368E0" w:rsidP="004368E0">
      <w:pPr>
        <w:autoSpaceDE w:val="0"/>
        <w:autoSpaceDN w:val="0"/>
        <w:adjustRightInd w:val="0"/>
        <w:jc w:val="both"/>
        <w:rPr>
          <w:i/>
        </w:rPr>
      </w:pPr>
    </w:p>
    <w:p w14:paraId="4F4E9739" w14:textId="77777777" w:rsidR="004368E0" w:rsidRPr="009118AB" w:rsidRDefault="004368E0" w:rsidP="004368E0">
      <w:pPr>
        <w:autoSpaceDE w:val="0"/>
        <w:autoSpaceDN w:val="0"/>
        <w:adjustRightInd w:val="0"/>
        <w:jc w:val="center"/>
      </w:pPr>
      <w:r w:rsidRPr="009118AB">
        <w:t xml:space="preserve"> </w:t>
      </w:r>
    </w:p>
    <w:p w14:paraId="204966C0" w14:textId="77777777" w:rsidR="004368E0" w:rsidRPr="009118AB" w:rsidRDefault="004368E0">
      <w:r w:rsidRPr="009118AB">
        <w:br w:type="page"/>
      </w:r>
    </w:p>
    <w:p w14:paraId="3E86E144" w14:textId="394CF004" w:rsidR="0031458F" w:rsidRPr="009118AB" w:rsidRDefault="0031458F" w:rsidP="004368E0">
      <w:pPr>
        <w:autoSpaceDE w:val="0"/>
        <w:autoSpaceDN w:val="0"/>
        <w:adjustRightInd w:val="0"/>
        <w:jc w:val="center"/>
      </w:pPr>
      <w:r w:rsidRPr="009118AB">
        <w:lastRenderedPageBreak/>
        <w:t>[Unterabschnitt 6</w:t>
      </w:r>
      <w:r w:rsidR="00D67EB8" w:rsidRPr="009118AB">
        <w:t> - </w:t>
      </w:r>
      <w:r w:rsidRPr="009118AB">
        <w:t>Steuerfreie Einkünfte aus Innovationen]</w:t>
      </w:r>
    </w:p>
    <w:p w14:paraId="577CB542" w14:textId="77777777" w:rsidR="0031458F" w:rsidRPr="009118AB" w:rsidRDefault="0031458F" w:rsidP="0031458F">
      <w:pPr>
        <w:autoSpaceDE w:val="0"/>
        <w:autoSpaceDN w:val="0"/>
        <w:adjustRightInd w:val="0"/>
        <w:jc w:val="center"/>
      </w:pPr>
    </w:p>
    <w:p w14:paraId="664290B9" w14:textId="5DF3FD7F" w:rsidR="0031458F" w:rsidRPr="009118AB" w:rsidRDefault="0031458F" w:rsidP="0031458F">
      <w:pPr>
        <w:autoSpaceDE w:val="0"/>
        <w:autoSpaceDN w:val="0"/>
        <w:adjustRightInd w:val="0"/>
        <w:jc w:val="both"/>
        <w:rPr>
          <w:i/>
        </w:rPr>
      </w:pPr>
      <w:r w:rsidRPr="009118AB">
        <w:rPr>
          <w:i/>
        </w:rPr>
        <w:t xml:space="preserve">[Unterteilung Unterabschnitt 6 eingefügt durch </w:t>
      </w:r>
      <w:r w:rsidR="00D67EB8" w:rsidRPr="009118AB">
        <w:rPr>
          <w:i/>
        </w:rPr>
        <w:t>Art. </w:t>
      </w:r>
      <w:r w:rsidRPr="009118AB">
        <w:rPr>
          <w:i/>
        </w:rPr>
        <w:t>3 des G. vom 9. Februar 2017 (B.S. vom 20. Februar 2017)</w:t>
      </w:r>
      <w:r w:rsidR="00D67EB8" w:rsidRPr="009118AB">
        <w:rPr>
          <w:i/>
        </w:rPr>
        <w:t> - </w:t>
      </w:r>
      <w:r w:rsidRPr="009118AB">
        <w:rPr>
          <w:i/>
        </w:rPr>
        <w:t>wirksam mit 1. Juli 2016</w:t>
      </w:r>
      <w:r w:rsidR="00FD68E8" w:rsidRPr="009118AB">
        <w:rPr>
          <w:i/>
        </w:rPr>
        <w:t> -]</w:t>
      </w:r>
    </w:p>
    <w:p w14:paraId="22B6EAB1" w14:textId="77777777" w:rsidR="0031458F" w:rsidRPr="009118AB" w:rsidRDefault="0031458F" w:rsidP="0031458F">
      <w:pPr>
        <w:autoSpaceDE w:val="0"/>
        <w:autoSpaceDN w:val="0"/>
        <w:adjustRightInd w:val="0"/>
        <w:jc w:val="both"/>
        <w:rPr>
          <w:i/>
        </w:rPr>
      </w:pPr>
    </w:p>
    <w:p w14:paraId="5E5647D7" w14:textId="77777777" w:rsidR="0031458F" w:rsidRPr="009118AB" w:rsidRDefault="0031458F" w:rsidP="0031458F">
      <w:pPr>
        <w:autoSpaceDE w:val="0"/>
        <w:autoSpaceDN w:val="0"/>
        <w:adjustRightInd w:val="0"/>
        <w:jc w:val="both"/>
        <w:rPr>
          <w:i/>
        </w:rPr>
      </w:pPr>
    </w:p>
    <w:p w14:paraId="2F0EDE25" w14:textId="31760A67" w:rsidR="0031458F" w:rsidRPr="009118AB" w:rsidRDefault="0031458F" w:rsidP="0031458F">
      <w:pPr>
        <w:jc w:val="both"/>
      </w:pPr>
      <w:r w:rsidRPr="009118AB">
        <w:tab/>
        <w:t>[</w:t>
      </w:r>
      <w:r w:rsidR="00D67EB8" w:rsidRPr="009118AB">
        <w:rPr>
          <w:b/>
        </w:rPr>
        <w:t>Art. </w:t>
      </w:r>
      <w:r w:rsidRPr="009118AB">
        <w:rPr>
          <w:b/>
        </w:rPr>
        <w:t>194</w:t>
      </w:r>
      <w:r w:rsidRPr="009118AB">
        <w:rPr>
          <w:b/>
          <w:i/>
        </w:rPr>
        <w:t>quinquies</w:t>
      </w:r>
      <w:r w:rsidR="00D67EB8" w:rsidRPr="009118AB">
        <w:t> - § </w:t>
      </w:r>
      <w:r w:rsidRPr="009118AB">
        <w:t>1</w:t>
      </w:r>
      <w:r w:rsidR="00D67EB8" w:rsidRPr="009118AB">
        <w:t> - </w:t>
      </w:r>
      <w:r w:rsidRPr="009118AB">
        <w:t xml:space="preserve">Für den Besteuerungszeitraum, in dem der Antrag in Bezug auf ein in Artikel 205/1 </w:t>
      </w:r>
      <w:r w:rsidR="00D67EB8" w:rsidRPr="009118AB">
        <w:t>§ </w:t>
      </w:r>
      <w:r w:rsidRPr="009118AB">
        <w:t xml:space="preserve">2 </w:t>
      </w:r>
      <w:r w:rsidR="00D67EB8" w:rsidRPr="009118AB">
        <w:t>Nr. </w:t>
      </w:r>
      <w:r w:rsidRPr="009118AB">
        <w:t>1 Buchstabe </w:t>
      </w:r>
      <w:r w:rsidRPr="009118AB">
        <w:rPr>
          <w:i/>
        </w:rPr>
        <w:t>a)</w:t>
      </w:r>
      <w:r w:rsidRPr="009118AB">
        <w:t xml:space="preserve"> bis </w:t>
      </w:r>
      <w:r w:rsidRPr="009118AB">
        <w:rPr>
          <w:i/>
        </w:rPr>
        <w:t>d)</w:t>
      </w:r>
      <w:r w:rsidRPr="009118AB">
        <w:t xml:space="preserve"> erwähntes geistiges Eigentumsrecht noch läuft, gelten 85 Prozent des Betrags, der gemäß Artikel 205/3 festgelegt werden würde, wenn das geistige Eigentumsrecht bereits zuerkannt wäre, in nachstehenden Grenzen und unter nachstehenden Bedingungen nicht als Gewinn.</w:t>
      </w:r>
    </w:p>
    <w:p w14:paraId="686CFF84" w14:textId="77777777" w:rsidR="0031458F" w:rsidRPr="009118AB" w:rsidRDefault="0031458F" w:rsidP="0031458F">
      <w:pPr>
        <w:jc w:val="both"/>
      </w:pPr>
    </w:p>
    <w:p w14:paraId="38934F22" w14:textId="786F8568" w:rsidR="0031458F" w:rsidRPr="009118AB" w:rsidRDefault="0031458F" w:rsidP="0031458F">
      <w:pPr>
        <w:jc w:val="both"/>
      </w:pPr>
      <w:r w:rsidRPr="009118AB">
        <w:tab/>
        <w:t xml:space="preserve">Pro Besteuerungszeitraum werden die in Absatz 1 erwähnten Steuerbefreiungen bis zu einem Betrag gewährt, der auf die Gewinne des Besteuerungszeitraums begrenzt ist, </w:t>
      </w:r>
      <w:r w:rsidR="00E5793B" w:rsidRPr="009118AB">
        <w:t xml:space="preserve">[die vor Anwendung von </w:t>
      </w:r>
      <w:r w:rsidR="007C256D">
        <w:t>[</w:t>
      </w:r>
      <w:r w:rsidR="007C256D" w:rsidRPr="009541B3">
        <w:t>Artikel 207 Absatz 2 dritter Gedankenstrich</w:t>
      </w:r>
      <w:r w:rsidR="007C256D">
        <w:t>]</w:t>
      </w:r>
      <w:r w:rsidR="00E5793B" w:rsidRPr="009118AB">
        <w:t xml:space="preserve"> übrig bleiben, ohne die Bildung der in vorliegendem Paragraphen erwähnten steuerfreien Rücklage und die Anwendung von </w:t>
      </w:r>
      <w:r w:rsidR="00D67EB8" w:rsidRPr="009118AB">
        <w:t>§ </w:t>
      </w:r>
      <w:r w:rsidR="00E5793B" w:rsidRPr="009118AB">
        <w:t>2 Absatz 2 oder 3 zu berücksichtigen]</w:t>
      </w:r>
      <w:r w:rsidRPr="009118AB">
        <w:t>.</w:t>
      </w:r>
    </w:p>
    <w:p w14:paraId="064F9F93" w14:textId="77777777" w:rsidR="0031458F" w:rsidRPr="009118AB" w:rsidRDefault="0031458F" w:rsidP="0031458F">
      <w:pPr>
        <w:jc w:val="both"/>
      </w:pPr>
    </w:p>
    <w:p w14:paraId="37A9842C" w14:textId="46A032C3" w:rsidR="0031458F" w:rsidRPr="009118AB" w:rsidRDefault="0031458F" w:rsidP="0031458F">
      <w:pPr>
        <w:jc w:val="both"/>
      </w:pPr>
      <w:r w:rsidRPr="009118AB">
        <w:tab/>
        <w:t xml:space="preserve">Gibt es in einem Besteuerungszeitraum keine oder unzureichende Gewinne </w:t>
      </w:r>
      <w:r w:rsidR="00E5793B" w:rsidRPr="009118AB">
        <w:t>[...]</w:t>
      </w:r>
      <w:r w:rsidRPr="009118AB">
        <w:t xml:space="preserve">, um die Anwendung der Steuerbefreiungen zu ermöglichen, werden die für diesen Besteuerungszeitraum nicht gewährten Steuerbefreiungen nacheinander auf die Gewinne der nachfolgenden Besteuerungszeiträume übertragen, </w:t>
      </w:r>
      <w:r w:rsidR="00E5793B" w:rsidRPr="009118AB">
        <w:t xml:space="preserve">[wobei die Steuerbefreiungen und die in </w:t>
      </w:r>
      <w:r w:rsidR="00D67EB8" w:rsidRPr="009118AB">
        <w:t>§ </w:t>
      </w:r>
      <w:r w:rsidR="00E5793B" w:rsidRPr="009118AB">
        <w:t>2 Absatz 2 und 3 erwähnten definitiven Steuerbefreiungen zusammengenommen auf den Gewinn des Besteuerungszeit</w:t>
      </w:r>
      <w:r w:rsidR="00E5793B" w:rsidRPr="009118AB">
        <w:softHyphen/>
        <w:t xml:space="preserve">raums begrenzt werden, der vor Anwendung von </w:t>
      </w:r>
      <w:r w:rsidR="00AB4DE0">
        <w:t>[</w:t>
      </w:r>
      <w:r w:rsidR="00E5793B" w:rsidRPr="009118AB">
        <w:t xml:space="preserve">Artikel 207 Absatz 3 </w:t>
      </w:r>
      <w:r w:rsidR="00AB4DE0">
        <w:t>zwei</w:t>
      </w:r>
      <w:r w:rsidR="00E5793B" w:rsidRPr="009118AB">
        <w:t>ter Gedankenstrich</w:t>
      </w:r>
      <w:r w:rsidR="00AB4DE0">
        <w:t>]</w:t>
      </w:r>
      <w:r w:rsidR="00E5793B" w:rsidRPr="009118AB">
        <w:t xml:space="preserve"> übrig bleibt, ohne die Bildung der in vorliegendem Absatz erwähnten übertragenen Steuerbefreiungen und die Anwendung von </w:t>
      </w:r>
      <w:r w:rsidR="00D67EB8" w:rsidRPr="009118AB">
        <w:t>§ </w:t>
      </w:r>
      <w:r w:rsidR="00E5793B" w:rsidRPr="009118AB">
        <w:t>2 Absatz 2 oder 3 zu berücksichtigen].</w:t>
      </w:r>
    </w:p>
    <w:p w14:paraId="7D40678B" w14:textId="77777777" w:rsidR="0031458F" w:rsidRPr="009118AB" w:rsidRDefault="0031458F" w:rsidP="0031458F">
      <w:pPr>
        <w:jc w:val="both"/>
      </w:pPr>
    </w:p>
    <w:p w14:paraId="2AD13E5A" w14:textId="77777777" w:rsidR="0031458F" w:rsidRPr="009118AB" w:rsidRDefault="0031458F" w:rsidP="0031458F">
      <w:pPr>
        <w:jc w:val="both"/>
      </w:pPr>
      <w:r w:rsidRPr="009118AB">
        <w:tab/>
        <w:t>Die steuerfreie Rücklage wird nur beibehalten, sofern die in Artikel 190 Absatz 2 erwähnten Bedingungen erfüllt sind.</w:t>
      </w:r>
    </w:p>
    <w:p w14:paraId="3851CA1A" w14:textId="77777777" w:rsidR="0031458F" w:rsidRPr="009118AB" w:rsidRDefault="0031458F" w:rsidP="0031458F">
      <w:pPr>
        <w:jc w:val="both"/>
      </w:pPr>
    </w:p>
    <w:p w14:paraId="34C32542" w14:textId="14357A57" w:rsidR="0031458F" w:rsidRPr="009118AB" w:rsidRDefault="0031458F" w:rsidP="0031458F">
      <w:pPr>
        <w:jc w:val="both"/>
      </w:pPr>
      <w:r w:rsidRPr="009118AB">
        <w:tab/>
      </w:r>
      <w:r w:rsidR="00D67EB8" w:rsidRPr="009118AB">
        <w:t>§ </w:t>
      </w:r>
      <w:r w:rsidRPr="009118AB">
        <w:t>2</w:t>
      </w:r>
      <w:r w:rsidR="00D67EB8" w:rsidRPr="009118AB">
        <w:t> - </w:t>
      </w:r>
      <w:r w:rsidRPr="009118AB">
        <w:t xml:space="preserve">Der Betrag, der gemäß </w:t>
      </w:r>
      <w:r w:rsidR="00D67EB8" w:rsidRPr="009118AB">
        <w:t>§ </w:t>
      </w:r>
      <w:r w:rsidRPr="009118AB">
        <w:t>1 in Bezug auf ein geistiges Eigentumsrecht zeitweilig steuerfrei ist, wird definitiv steuerfrei ab dem Steuerjahr, das sich auf den Besteuerungs</w:t>
      </w:r>
      <w:r w:rsidRPr="009118AB">
        <w:softHyphen/>
        <w:t>zeitraum bezieht, in dem dieses geistige Eigentumsrecht zuerkannt wird.</w:t>
      </w:r>
    </w:p>
    <w:p w14:paraId="3D791856" w14:textId="77777777" w:rsidR="0031458F" w:rsidRPr="009118AB" w:rsidRDefault="0031458F" w:rsidP="0031458F">
      <w:pPr>
        <w:jc w:val="both"/>
      </w:pPr>
    </w:p>
    <w:p w14:paraId="69A78065" w14:textId="789CDBF4" w:rsidR="0031458F" w:rsidRPr="009118AB" w:rsidRDefault="0031458F" w:rsidP="0031458F">
      <w:pPr>
        <w:jc w:val="both"/>
      </w:pPr>
      <w:r w:rsidRPr="009118AB">
        <w:tab/>
        <w:t xml:space="preserve">Der nach Anwendung von </w:t>
      </w:r>
      <w:r w:rsidR="00D67EB8" w:rsidRPr="009118AB">
        <w:t>§ </w:t>
      </w:r>
      <w:r w:rsidRPr="009118AB">
        <w:t>1 Absatz 3 aus dem vorhergehenden Besteuerungs</w:t>
      </w:r>
      <w:r w:rsidRPr="009118AB">
        <w:softHyphen/>
        <w:t>zeitraum übrig bleibende Betrag der nicht gewährten Steuerbefreiungen wird definitiv steuerfrei in dem Steuerjahr, das sich auf den Besteuerungszeitraum bezieht, in dem dieses geistige Eigentumsrecht zuerkannt wird</w:t>
      </w:r>
      <w:r w:rsidR="004605F6" w:rsidRPr="009118AB">
        <w:t>,</w:t>
      </w:r>
      <w:r w:rsidRPr="009118AB">
        <w:t xml:space="preserve"> </w:t>
      </w:r>
      <w:r w:rsidR="00320517" w:rsidRPr="009118AB">
        <w:t>[</w:t>
      </w:r>
      <w:r w:rsidR="00E5793B" w:rsidRPr="009118AB">
        <w:t xml:space="preserve">wobei für diesen Betrag die in </w:t>
      </w:r>
      <w:r w:rsidR="00D67EB8" w:rsidRPr="009118AB">
        <w:t>§ </w:t>
      </w:r>
      <w:r w:rsidR="00E5793B" w:rsidRPr="009118AB">
        <w:t>1 Absatz 3 erwähnte Grenze gilt</w:t>
      </w:r>
      <w:r w:rsidR="00320517" w:rsidRPr="009118AB">
        <w:t>]</w:t>
      </w:r>
      <w:r w:rsidRPr="009118AB">
        <w:t>.</w:t>
      </w:r>
    </w:p>
    <w:p w14:paraId="59F584C5" w14:textId="77777777" w:rsidR="0031458F" w:rsidRPr="009118AB" w:rsidRDefault="0031458F" w:rsidP="0031458F">
      <w:pPr>
        <w:jc w:val="both"/>
      </w:pPr>
    </w:p>
    <w:p w14:paraId="3AF370DA" w14:textId="3ACD7104" w:rsidR="0031458F" w:rsidRPr="009118AB" w:rsidRDefault="0031458F" w:rsidP="0031458F">
      <w:pPr>
        <w:jc w:val="both"/>
      </w:pPr>
      <w:r w:rsidRPr="009118AB">
        <w:tab/>
        <w:t xml:space="preserve">Gibt es in diesem Besteuerungszeitraum keine oder unzureichende Gewinne </w:t>
      </w:r>
      <w:r w:rsidR="00E5793B" w:rsidRPr="009118AB">
        <w:t>[...]</w:t>
      </w:r>
      <w:r w:rsidRPr="009118AB">
        <w:t xml:space="preserve">, um die Anwendung der in Absatz 2 erwähnten Steuerbefreiung zu ermöglichen, werden die für diesen Besteuerungszeitraum nicht gewährten Steuerbefreiungen gemäß </w:t>
      </w:r>
      <w:r w:rsidR="00D67EB8" w:rsidRPr="009118AB">
        <w:t>§ </w:t>
      </w:r>
      <w:r w:rsidRPr="009118AB">
        <w:t>1 Absatz 3 auf die nachfolgenden Besteuerungszeiträume übertragen.</w:t>
      </w:r>
    </w:p>
    <w:p w14:paraId="283D3BA1" w14:textId="77777777" w:rsidR="0031458F" w:rsidRPr="009118AB" w:rsidRDefault="0031458F" w:rsidP="0031458F">
      <w:pPr>
        <w:jc w:val="both"/>
      </w:pPr>
    </w:p>
    <w:p w14:paraId="5025608F" w14:textId="27944720" w:rsidR="0031458F" w:rsidRPr="009118AB" w:rsidRDefault="0031458F" w:rsidP="0031458F">
      <w:pPr>
        <w:jc w:val="both"/>
      </w:pPr>
      <w:r w:rsidRPr="009118AB">
        <w:tab/>
      </w:r>
      <w:r w:rsidR="00D67EB8" w:rsidRPr="009118AB">
        <w:t>§ </w:t>
      </w:r>
      <w:r w:rsidRPr="009118AB">
        <w:t>3</w:t>
      </w:r>
      <w:r w:rsidR="00D67EB8" w:rsidRPr="009118AB">
        <w:t> - </w:t>
      </w:r>
      <w:r w:rsidRPr="009118AB">
        <w:t>Die vorher steuerfreien Gewinne in Bezug auf ein geistiges Eigentumsrecht gelten als Gewinne des Besteuerungszeitraums, in dem der Antrag in Bezug auf dieses geistige Eigentumsrecht nicht mehr läuft und das geistige Eigentumsrecht nicht zuerkannt worden ist.</w:t>
      </w:r>
    </w:p>
    <w:p w14:paraId="44F63C52" w14:textId="77777777" w:rsidR="0031458F" w:rsidRPr="009118AB" w:rsidRDefault="0031458F" w:rsidP="0031458F">
      <w:pPr>
        <w:jc w:val="both"/>
      </w:pPr>
    </w:p>
    <w:p w14:paraId="3574DE9F" w14:textId="1289262A" w:rsidR="0031458F" w:rsidRPr="009118AB" w:rsidRDefault="0031458F" w:rsidP="0031458F">
      <w:pPr>
        <w:jc w:val="both"/>
      </w:pPr>
      <w:r w:rsidRPr="009118AB">
        <w:lastRenderedPageBreak/>
        <w:tab/>
      </w:r>
      <w:r w:rsidR="00D67EB8" w:rsidRPr="009118AB">
        <w:t>§ </w:t>
      </w:r>
      <w:r w:rsidRPr="009118AB">
        <w:t>4</w:t>
      </w:r>
      <w:r w:rsidR="00D67EB8" w:rsidRPr="009118AB">
        <w:t> - </w:t>
      </w:r>
      <w:r w:rsidRPr="009118AB">
        <w:t>Um die in vorliegendem Artikel erwähnte Steuerbefreiung zu erhalten, muss der Steuerpflichtige seiner Einkommensteuererklärung ab dem Steuerjahr, das sich auf den Besteuerungszeitraum bezieht, in dem der Antrag in Bezug auf ein geistiges Eigentumsrecht gestellt wird, und bis zu dem Steuerjahr, das sich auf den Besteuerungszeitraum bezieht, ab dem der Antrag nicht mehr läuft, eine Aufstellung beifügen, deren Muster vom Minister der Finanzen oder von seinem Beauftragten festgelegt wird.]</w:t>
      </w:r>
    </w:p>
    <w:p w14:paraId="5F8D4284" w14:textId="77777777" w:rsidR="0031458F" w:rsidRPr="009118AB" w:rsidRDefault="0031458F" w:rsidP="0031458F">
      <w:pPr>
        <w:jc w:val="both"/>
      </w:pPr>
    </w:p>
    <w:p w14:paraId="493DAA1A" w14:textId="4648F69C" w:rsidR="0031458F" w:rsidRPr="009118AB" w:rsidRDefault="0031458F" w:rsidP="0031458F">
      <w:pPr>
        <w:jc w:val="both"/>
        <w:rPr>
          <w:i/>
        </w:rPr>
      </w:pPr>
      <w:r w:rsidRPr="009118AB">
        <w:rPr>
          <w:i/>
        </w:rPr>
        <w:t>[</w:t>
      </w:r>
      <w:r w:rsidR="00D67EB8" w:rsidRPr="009118AB">
        <w:rPr>
          <w:i/>
        </w:rPr>
        <w:t>Art. </w:t>
      </w:r>
      <w:r w:rsidRPr="009118AB">
        <w:rPr>
          <w:i/>
        </w:rPr>
        <w:t xml:space="preserve">194quinquies eingefügt durch </w:t>
      </w:r>
      <w:r w:rsidR="00D67EB8" w:rsidRPr="009118AB">
        <w:rPr>
          <w:i/>
        </w:rPr>
        <w:t>Art. </w:t>
      </w:r>
      <w:r w:rsidRPr="009118AB">
        <w:rPr>
          <w:i/>
        </w:rPr>
        <w:t>4 des G. vom 9. Februar 2017 (B.S. vom 20. Februar 2017)</w:t>
      </w:r>
      <w:r w:rsidR="00D67EB8" w:rsidRPr="009118AB">
        <w:rPr>
          <w:i/>
        </w:rPr>
        <w:t> - </w:t>
      </w:r>
      <w:r w:rsidRPr="009118AB">
        <w:rPr>
          <w:i/>
        </w:rPr>
        <w:t>wirksam mit 1. Juli 2016</w:t>
      </w:r>
      <w:r w:rsidR="003366D9" w:rsidRPr="009118AB">
        <w:rPr>
          <w:i/>
        </w:rPr>
        <w:t> -;</w:t>
      </w:r>
      <w:r w:rsidR="00E5793B" w:rsidRPr="009118AB">
        <w:rPr>
          <w:i/>
        </w:rPr>
        <w:t xml:space="preserve"> </w:t>
      </w:r>
      <w:r w:rsidR="00D67EB8" w:rsidRPr="009118AB">
        <w:rPr>
          <w:i/>
        </w:rPr>
        <w:t>§ </w:t>
      </w:r>
      <w:r w:rsidR="00E5793B" w:rsidRPr="009118AB">
        <w:rPr>
          <w:i/>
        </w:rPr>
        <w:t xml:space="preserve">1 </w:t>
      </w:r>
      <w:r w:rsidR="00D67EB8" w:rsidRPr="009118AB">
        <w:rPr>
          <w:i/>
        </w:rPr>
        <w:t>Abs. </w:t>
      </w:r>
      <w:r w:rsidR="00E5793B" w:rsidRPr="009118AB">
        <w:rPr>
          <w:i/>
        </w:rPr>
        <w:t xml:space="preserve">2 abgeändert durch </w:t>
      </w:r>
      <w:r w:rsidR="00D67EB8" w:rsidRPr="009118AB">
        <w:rPr>
          <w:i/>
        </w:rPr>
        <w:t>Art. </w:t>
      </w:r>
      <w:r w:rsidR="00E5793B" w:rsidRPr="009118AB">
        <w:rPr>
          <w:i/>
        </w:rPr>
        <w:t>44 Buchstabe a) des G. vom 27. Juni 2021 (B.S. vom 30. Juni 2021)</w:t>
      </w:r>
      <w:r w:rsidR="00D67EB8" w:rsidRPr="009118AB">
        <w:rPr>
          <w:i/>
        </w:rPr>
        <w:t> - </w:t>
      </w:r>
      <w:r w:rsidR="00E5793B" w:rsidRPr="009118AB">
        <w:rPr>
          <w:i/>
        </w:rPr>
        <w:t>anwendbar ab dem Steuerjahr 2022</w:t>
      </w:r>
      <w:r w:rsidR="003366D9" w:rsidRPr="009118AB">
        <w:rPr>
          <w:i/>
        </w:rPr>
        <w:t> -</w:t>
      </w:r>
      <w:r w:rsidR="00F552DA">
        <w:rPr>
          <w:i/>
        </w:rPr>
        <w:t xml:space="preserve"> und </w:t>
      </w:r>
      <w:bookmarkStart w:id="14" w:name="_Hlk192759139"/>
      <w:r w:rsidR="00F552DA" w:rsidRPr="003E131B">
        <w:rPr>
          <w:i/>
          <w:iCs/>
          <w:spacing w:val="-2"/>
        </w:rPr>
        <w:t>Art. </w:t>
      </w:r>
      <w:r w:rsidR="00F552DA">
        <w:rPr>
          <w:i/>
          <w:iCs/>
          <w:spacing w:val="-2"/>
        </w:rPr>
        <w:t>51</w:t>
      </w:r>
      <w:r w:rsidR="00F552DA" w:rsidRPr="003E131B">
        <w:rPr>
          <w:i/>
          <w:iCs/>
          <w:spacing w:val="-2"/>
        </w:rPr>
        <w:t xml:space="preserve"> des G. vom 28. Dezember 2023 (B.S. vom 29. Dezember 2023)</w:t>
      </w:r>
      <w:bookmarkEnd w:id="14"/>
      <w:r w:rsidR="003366D9" w:rsidRPr="009118AB">
        <w:rPr>
          <w:i/>
        </w:rPr>
        <w:t>;</w:t>
      </w:r>
      <w:r w:rsidR="00320517" w:rsidRPr="009118AB">
        <w:rPr>
          <w:i/>
        </w:rPr>
        <w:t xml:space="preserve"> </w:t>
      </w:r>
      <w:r w:rsidR="00D67EB8" w:rsidRPr="009118AB">
        <w:rPr>
          <w:i/>
        </w:rPr>
        <w:t>§ </w:t>
      </w:r>
      <w:r w:rsidR="00320517" w:rsidRPr="009118AB">
        <w:rPr>
          <w:i/>
        </w:rPr>
        <w:t xml:space="preserve">1 </w:t>
      </w:r>
      <w:r w:rsidR="00D67EB8" w:rsidRPr="009118AB">
        <w:rPr>
          <w:i/>
        </w:rPr>
        <w:t>Abs. </w:t>
      </w:r>
      <w:r w:rsidR="00320517" w:rsidRPr="009118AB">
        <w:rPr>
          <w:i/>
        </w:rPr>
        <w:t xml:space="preserve">3 abgeändert durch </w:t>
      </w:r>
      <w:r w:rsidR="00D67EB8" w:rsidRPr="009118AB">
        <w:rPr>
          <w:i/>
        </w:rPr>
        <w:t>Art. </w:t>
      </w:r>
      <w:r w:rsidR="00320517" w:rsidRPr="009118AB">
        <w:rPr>
          <w:i/>
        </w:rPr>
        <w:t xml:space="preserve">32 </w:t>
      </w:r>
      <w:r w:rsidR="00D67EB8" w:rsidRPr="009118AB">
        <w:rPr>
          <w:i/>
        </w:rPr>
        <w:t>Nr. </w:t>
      </w:r>
      <w:r w:rsidR="00320517" w:rsidRPr="009118AB">
        <w:rPr>
          <w:i/>
        </w:rPr>
        <w:t>1</w:t>
      </w:r>
      <w:r w:rsidR="00320517" w:rsidRPr="009118AB">
        <w:rPr>
          <w:i/>
          <w:iCs/>
        </w:rPr>
        <w:t xml:space="preserve"> des G. vom 25. Dezember 2017 (III) (B.S. vom 29. Dezember 2017)</w:t>
      </w:r>
      <w:r w:rsidR="00D67EB8" w:rsidRPr="009118AB">
        <w:rPr>
          <w:i/>
          <w:iCs/>
        </w:rPr>
        <w:t> - </w:t>
      </w:r>
      <w:r w:rsidR="00320517" w:rsidRPr="009118AB">
        <w:rPr>
          <w:i/>
          <w:iCs/>
        </w:rPr>
        <w:t>in Kraft am 1. Januar 2018 und anwendbar ab dem Steuerjahr 2019, das sich auf einen Besteuerungszeitraum bezieht, der frühestens am 1. Januar 2018 beginnt</w:t>
      </w:r>
      <w:r w:rsidR="00D67EB8" w:rsidRPr="009118AB">
        <w:rPr>
          <w:i/>
          <w:iCs/>
        </w:rPr>
        <w:t> -</w:t>
      </w:r>
      <w:r w:rsidR="00AB4DE0">
        <w:rPr>
          <w:i/>
          <w:iCs/>
        </w:rPr>
        <w:t>,</w:t>
      </w:r>
      <w:r w:rsidR="00E5793B" w:rsidRPr="009118AB">
        <w:rPr>
          <w:i/>
          <w:iCs/>
        </w:rPr>
        <w:t xml:space="preserve"> </w:t>
      </w:r>
      <w:r w:rsidR="00D67EB8" w:rsidRPr="009118AB">
        <w:rPr>
          <w:i/>
          <w:iCs/>
        </w:rPr>
        <w:t>Art. </w:t>
      </w:r>
      <w:r w:rsidR="00E5793B" w:rsidRPr="009118AB">
        <w:rPr>
          <w:i/>
        </w:rPr>
        <w:t>44 Buchstabe b) des G. vom 27. Juni 2021 (B.S. vom 30. Juni 2021)</w:t>
      </w:r>
      <w:r w:rsidR="00D67EB8" w:rsidRPr="009118AB">
        <w:rPr>
          <w:i/>
        </w:rPr>
        <w:t> - </w:t>
      </w:r>
      <w:r w:rsidR="00E5793B" w:rsidRPr="009118AB">
        <w:rPr>
          <w:i/>
        </w:rPr>
        <w:t>anwendbar ab dem Steuerjahr 2022</w:t>
      </w:r>
      <w:r w:rsidR="003366D9" w:rsidRPr="009118AB">
        <w:rPr>
          <w:i/>
        </w:rPr>
        <w:t> -</w:t>
      </w:r>
      <w:r w:rsidR="00AB4DE0">
        <w:rPr>
          <w:i/>
        </w:rPr>
        <w:t xml:space="preserve"> und Art. 34</w:t>
      </w:r>
      <w:r w:rsidR="00AB4DE0" w:rsidRPr="00AB4DE0">
        <w:rPr>
          <w:i/>
          <w:iCs/>
        </w:rPr>
        <w:t xml:space="preserve"> des G. vom 22. Dezember 2023</w:t>
      </w:r>
      <w:r w:rsidR="00552005" w:rsidRPr="00552005">
        <w:rPr>
          <w:i/>
          <w:iCs/>
        </w:rPr>
        <w:t> (I)</w:t>
      </w:r>
      <w:r w:rsidR="00AB4DE0" w:rsidRPr="00AB4DE0">
        <w:rPr>
          <w:i/>
          <w:iCs/>
        </w:rPr>
        <w:t xml:space="preserve"> (B.S. vom 29. Dezember 2023)</w:t>
      </w:r>
      <w:r w:rsidR="00AB4DE0">
        <w:rPr>
          <w:i/>
          <w:iCs/>
        </w:rPr>
        <w:t> - anwendbar auf die Besteuerungszeiträume, die ab dem 31. Dezember 2023 enden -</w:t>
      </w:r>
      <w:r w:rsidR="003366D9" w:rsidRPr="009118AB">
        <w:rPr>
          <w:i/>
        </w:rPr>
        <w:t>;</w:t>
      </w:r>
      <w:r w:rsidR="00320517" w:rsidRPr="009118AB">
        <w:rPr>
          <w:i/>
          <w:iCs/>
        </w:rPr>
        <w:t xml:space="preserve"> </w:t>
      </w:r>
      <w:r w:rsidR="00D67EB8" w:rsidRPr="009118AB">
        <w:rPr>
          <w:i/>
          <w:iCs/>
        </w:rPr>
        <w:t>§ </w:t>
      </w:r>
      <w:r w:rsidR="00320517" w:rsidRPr="009118AB">
        <w:rPr>
          <w:i/>
          <w:iCs/>
        </w:rPr>
        <w:t xml:space="preserve">2 </w:t>
      </w:r>
      <w:r w:rsidR="00D67EB8" w:rsidRPr="009118AB">
        <w:rPr>
          <w:i/>
          <w:iCs/>
        </w:rPr>
        <w:t>Abs. </w:t>
      </w:r>
      <w:r w:rsidR="00320517" w:rsidRPr="009118AB">
        <w:rPr>
          <w:i/>
          <w:iCs/>
        </w:rPr>
        <w:t xml:space="preserve">2 abgeändert durch </w:t>
      </w:r>
      <w:r w:rsidR="00D67EB8" w:rsidRPr="009118AB">
        <w:rPr>
          <w:i/>
          <w:iCs/>
        </w:rPr>
        <w:t>Art. </w:t>
      </w:r>
      <w:r w:rsidR="00320517" w:rsidRPr="009118AB">
        <w:rPr>
          <w:i/>
          <w:iCs/>
        </w:rPr>
        <w:t xml:space="preserve">32 </w:t>
      </w:r>
      <w:r w:rsidR="00D67EB8" w:rsidRPr="009118AB">
        <w:rPr>
          <w:i/>
          <w:iCs/>
        </w:rPr>
        <w:t>Nr. </w:t>
      </w:r>
      <w:r w:rsidR="00320517" w:rsidRPr="009118AB">
        <w:rPr>
          <w:i/>
          <w:iCs/>
        </w:rPr>
        <w:t>2 des G. vom 25. Dezember 2017 (III) (B.S. vom 29. Dezember 2017)</w:t>
      </w:r>
      <w:r w:rsidR="00D67EB8" w:rsidRPr="009118AB">
        <w:rPr>
          <w:i/>
          <w:iCs/>
        </w:rPr>
        <w:t> - </w:t>
      </w:r>
      <w:r w:rsidR="00320517" w:rsidRPr="009118AB">
        <w:rPr>
          <w:i/>
          <w:iCs/>
        </w:rPr>
        <w:t>in Kraft am 1. Januar 2018 und anwendbar ab dem Steuerjahr 2019, das sich auf einen Besteuerungszeitraum bezieht, der frühestens am 1. Januar 2018 beginnt</w:t>
      </w:r>
      <w:r w:rsidR="00D67EB8" w:rsidRPr="009118AB">
        <w:rPr>
          <w:i/>
          <w:iCs/>
        </w:rPr>
        <w:t> - </w:t>
      </w:r>
      <w:r w:rsidR="00E5793B" w:rsidRPr="009118AB">
        <w:rPr>
          <w:i/>
          <w:iCs/>
        </w:rPr>
        <w:t xml:space="preserve">und </w:t>
      </w:r>
      <w:r w:rsidR="00D67EB8" w:rsidRPr="009118AB">
        <w:rPr>
          <w:i/>
          <w:iCs/>
        </w:rPr>
        <w:t>Art. </w:t>
      </w:r>
      <w:r w:rsidR="00E5793B" w:rsidRPr="009118AB">
        <w:rPr>
          <w:i/>
        </w:rPr>
        <w:t>44 Buchstabe c) des G. vom 27. Juni 2021 (B.S. vom 30. Juni 2021)</w:t>
      </w:r>
      <w:r w:rsidR="00D67EB8" w:rsidRPr="009118AB">
        <w:rPr>
          <w:i/>
        </w:rPr>
        <w:t> - </w:t>
      </w:r>
      <w:r w:rsidR="00E5793B" w:rsidRPr="009118AB">
        <w:rPr>
          <w:i/>
        </w:rPr>
        <w:t>anwendbar ab dem Steuerjahr 2022</w:t>
      </w:r>
      <w:r w:rsidR="003366D9" w:rsidRPr="009118AB">
        <w:rPr>
          <w:i/>
        </w:rPr>
        <w:t> -;</w:t>
      </w:r>
      <w:r w:rsidR="00E5793B" w:rsidRPr="009118AB">
        <w:rPr>
          <w:i/>
        </w:rPr>
        <w:t xml:space="preserve"> </w:t>
      </w:r>
      <w:r w:rsidR="00D67EB8" w:rsidRPr="009118AB">
        <w:rPr>
          <w:i/>
        </w:rPr>
        <w:t>§ </w:t>
      </w:r>
      <w:r w:rsidR="00E5793B" w:rsidRPr="009118AB">
        <w:rPr>
          <w:i/>
        </w:rPr>
        <w:t xml:space="preserve">2 </w:t>
      </w:r>
      <w:r w:rsidR="00D67EB8" w:rsidRPr="009118AB">
        <w:rPr>
          <w:i/>
        </w:rPr>
        <w:t>Abs. </w:t>
      </w:r>
      <w:r w:rsidR="00E5793B" w:rsidRPr="009118AB">
        <w:rPr>
          <w:i/>
        </w:rPr>
        <w:t xml:space="preserve">3 abgeändert durch </w:t>
      </w:r>
      <w:r w:rsidR="00D67EB8" w:rsidRPr="009118AB">
        <w:rPr>
          <w:i/>
        </w:rPr>
        <w:t>Art. </w:t>
      </w:r>
      <w:r w:rsidR="00E5793B" w:rsidRPr="009118AB">
        <w:rPr>
          <w:i/>
        </w:rPr>
        <w:t>44 Buchstabe d) des G. vom 27. Juni 2021 (B.S. vom 30. Juni 2021)</w:t>
      </w:r>
      <w:r w:rsidR="00D67EB8" w:rsidRPr="009118AB">
        <w:rPr>
          <w:i/>
        </w:rPr>
        <w:t> - </w:t>
      </w:r>
      <w:r w:rsidR="00E5793B" w:rsidRPr="009118AB">
        <w:rPr>
          <w:i/>
        </w:rPr>
        <w:t>anwendbar ab dem Steuerjahr 2022</w:t>
      </w:r>
      <w:r w:rsidR="00FD68E8" w:rsidRPr="009118AB">
        <w:rPr>
          <w:i/>
        </w:rPr>
        <w:t> -]</w:t>
      </w:r>
    </w:p>
    <w:p w14:paraId="5DB393B7" w14:textId="77777777" w:rsidR="00320517" w:rsidRPr="009118AB" w:rsidRDefault="00320517" w:rsidP="0031458F">
      <w:pPr>
        <w:jc w:val="both"/>
      </w:pPr>
    </w:p>
    <w:p w14:paraId="4D36BF60" w14:textId="77777777" w:rsidR="00CA0146" w:rsidRPr="009118AB" w:rsidRDefault="00CA0146" w:rsidP="00320517">
      <w:pPr>
        <w:autoSpaceDE w:val="0"/>
        <w:autoSpaceDN w:val="0"/>
        <w:adjustRightInd w:val="0"/>
        <w:jc w:val="both"/>
        <w:rPr>
          <w:iCs/>
        </w:rPr>
      </w:pPr>
    </w:p>
    <w:p w14:paraId="46789D51" w14:textId="77777777" w:rsidR="004368E0" w:rsidRPr="009118AB" w:rsidRDefault="004368E0">
      <w:r w:rsidRPr="009118AB">
        <w:br w:type="page"/>
      </w:r>
    </w:p>
    <w:p w14:paraId="4858B54B" w14:textId="57AE926D" w:rsidR="00320517" w:rsidRPr="009118AB" w:rsidRDefault="00320517" w:rsidP="00CD6AA7">
      <w:pPr>
        <w:jc w:val="center"/>
      </w:pPr>
      <w:r w:rsidRPr="009118AB">
        <w:lastRenderedPageBreak/>
        <w:t>[Unterabschnitt 7</w:t>
      </w:r>
      <w:r w:rsidR="00D67EB8" w:rsidRPr="009118AB">
        <w:t> - </w:t>
      </w:r>
      <w:r w:rsidRPr="009118AB">
        <w:t>Spezifische Steuerbefreiungen]</w:t>
      </w:r>
    </w:p>
    <w:p w14:paraId="0E2FDBE9" w14:textId="77777777" w:rsidR="00320517" w:rsidRPr="009118AB" w:rsidRDefault="00320517" w:rsidP="00320517">
      <w:pPr>
        <w:jc w:val="center"/>
      </w:pPr>
    </w:p>
    <w:p w14:paraId="5D142F11" w14:textId="725EF506" w:rsidR="00320517" w:rsidRPr="009118AB" w:rsidRDefault="004A30E0" w:rsidP="00320517">
      <w:pPr>
        <w:jc w:val="both"/>
        <w:rPr>
          <w:iCs/>
        </w:rPr>
      </w:pPr>
      <w:r w:rsidRPr="009118AB">
        <w:rPr>
          <w:i/>
        </w:rPr>
        <w:t>[Unterteilung U</w:t>
      </w:r>
      <w:r w:rsidR="00320517" w:rsidRPr="009118AB">
        <w:rPr>
          <w:i/>
        </w:rPr>
        <w:t>nterabschnitt </w:t>
      </w:r>
      <w:r w:rsidRPr="009118AB">
        <w:rPr>
          <w:i/>
        </w:rPr>
        <w:t>7</w:t>
      </w:r>
      <w:r w:rsidR="00320517" w:rsidRPr="009118AB">
        <w:rPr>
          <w:i/>
        </w:rPr>
        <w:t xml:space="preserve"> eingefügt durch </w:t>
      </w:r>
      <w:r w:rsidR="00D67EB8" w:rsidRPr="009118AB">
        <w:rPr>
          <w:i/>
        </w:rPr>
        <w:t>Art. </w:t>
      </w:r>
      <w:r w:rsidR="00320517" w:rsidRPr="009118AB">
        <w:rPr>
          <w:i/>
        </w:rPr>
        <w:t>33</w:t>
      </w:r>
      <w:r w:rsidR="00320517" w:rsidRPr="009118AB">
        <w:rPr>
          <w:i/>
          <w:iCs/>
        </w:rPr>
        <w:t xml:space="preserve"> des G. vom 25. Dezember 2017</w:t>
      </w:r>
      <w:r w:rsidR="00CD6AA7" w:rsidRPr="009118AB">
        <w:rPr>
          <w:i/>
          <w:iCs/>
        </w:rPr>
        <w:t> </w:t>
      </w:r>
      <w:r w:rsidR="00320517" w:rsidRPr="009118AB">
        <w:rPr>
          <w:i/>
          <w:iCs/>
        </w:rPr>
        <w:t>(III) (B.S. vom 29. Dezember 2017)</w:t>
      </w:r>
      <w:r w:rsidR="00D67EB8" w:rsidRPr="009118AB">
        <w:rPr>
          <w:i/>
          <w:iCs/>
        </w:rPr>
        <w:t> - </w:t>
      </w:r>
      <w:r w:rsidR="00320517" w:rsidRPr="009118AB">
        <w:rPr>
          <w:i/>
          <w:iCs/>
        </w:rPr>
        <w:t>in Kraft am 1. Januar 2019 und anwendbar ab dem Steuerjahr 2020, das sich auf einen Besteuerungszeitraum bezieht, der frühestens am 1. Januar 2019 beginnt</w:t>
      </w:r>
      <w:r w:rsidR="00FD68E8" w:rsidRPr="009118AB">
        <w:rPr>
          <w:i/>
          <w:iCs/>
        </w:rPr>
        <w:t> -]</w:t>
      </w:r>
    </w:p>
    <w:p w14:paraId="6A5E8C92" w14:textId="77777777" w:rsidR="00320517" w:rsidRPr="009118AB" w:rsidRDefault="00320517" w:rsidP="00320517">
      <w:pPr>
        <w:jc w:val="both"/>
        <w:rPr>
          <w:iCs/>
        </w:rPr>
      </w:pPr>
    </w:p>
    <w:p w14:paraId="48439E5F" w14:textId="77777777" w:rsidR="00320517" w:rsidRPr="009118AB" w:rsidRDefault="00320517" w:rsidP="00320517">
      <w:pPr>
        <w:jc w:val="both"/>
        <w:rPr>
          <w:iCs/>
        </w:rPr>
      </w:pPr>
    </w:p>
    <w:p w14:paraId="651F7A7A" w14:textId="4463050A" w:rsidR="004E33EF" w:rsidRPr="009118AB" w:rsidRDefault="00320517" w:rsidP="00F301C3">
      <w:pPr>
        <w:ind w:firstLine="709"/>
        <w:jc w:val="both"/>
      </w:pPr>
      <w:r w:rsidRPr="009118AB">
        <w:t>[</w:t>
      </w:r>
      <w:r w:rsidR="00D67EB8" w:rsidRPr="009118AB">
        <w:rPr>
          <w:b/>
          <w:bCs/>
        </w:rPr>
        <w:t>Art. </w:t>
      </w:r>
      <w:r w:rsidRPr="009118AB">
        <w:rPr>
          <w:b/>
          <w:bCs/>
        </w:rPr>
        <w:t>194</w:t>
      </w:r>
      <w:r w:rsidRPr="009118AB">
        <w:rPr>
          <w:b/>
          <w:bCs/>
          <w:i/>
        </w:rPr>
        <w:t>sexies</w:t>
      </w:r>
      <w:r w:rsidR="00D67EB8" w:rsidRPr="009118AB">
        <w:t> - </w:t>
      </w:r>
      <w:r w:rsidR="004E33EF" w:rsidRPr="009118AB">
        <w:t xml:space="preserve">Gewinne sind steuerfrei in Höhe des Gesamtbetrags der in Artikel 198/1 </w:t>
      </w:r>
      <w:r w:rsidR="00D67EB8" w:rsidRPr="009118AB">
        <w:t>§ </w:t>
      </w:r>
      <w:r w:rsidR="004E33EF" w:rsidRPr="009118AB">
        <w:t xml:space="preserve">2 erwähnten überschüssigen Fremdkapitalkosten, die in Anwendung von Artikel 198/1 </w:t>
      </w:r>
      <w:r w:rsidR="00D67EB8" w:rsidRPr="009118AB">
        <w:t>§ </w:t>
      </w:r>
      <w:r w:rsidR="004E33EF" w:rsidRPr="009118AB">
        <w:t>1 in einem der vorhergehenden Besteuerungszeiträume nicht als Werbungskosten in Betracht gekommen sind und die in Anwendung dieses Artikels 198/1 nicht als Grundlage für die Steuerbefreiung der Gewinne für den Steuerpflichtigen gedient haben.</w:t>
      </w:r>
    </w:p>
    <w:p w14:paraId="03AA7D9B" w14:textId="77777777" w:rsidR="004E33EF" w:rsidRPr="009118AB" w:rsidRDefault="004E33EF" w:rsidP="004E33EF">
      <w:pPr>
        <w:jc w:val="both"/>
      </w:pPr>
    </w:p>
    <w:p w14:paraId="3EA14A46" w14:textId="1E6B840F" w:rsidR="004E33EF" w:rsidRPr="009118AB" w:rsidRDefault="004E33EF" w:rsidP="00F301C3">
      <w:pPr>
        <w:ind w:firstLine="709"/>
        <w:jc w:val="both"/>
      </w:pPr>
      <w:r w:rsidRPr="009118AB">
        <w:t xml:space="preserve">Die in Absatz 1 erwähnte Steuerbefreiung darf nicht mehr betragen als die Plusdifferenz zwischen dem in Artikel 198/1 </w:t>
      </w:r>
      <w:r w:rsidR="00D67EB8" w:rsidRPr="009118AB">
        <w:t>§ </w:t>
      </w:r>
      <w:r w:rsidRPr="009118AB">
        <w:t xml:space="preserve">3 erwähnten Grenzbetrag und den in Artikel 198/1 </w:t>
      </w:r>
      <w:r w:rsidR="00D67EB8" w:rsidRPr="009118AB">
        <w:t>§ </w:t>
      </w:r>
      <w:r w:rsidRPr="009118AB">
        <w:t>2 erwähnten überschüssigen Fremdkapitalkosten.</w:t>
      </w:r>
    </w:p>
    <w:p w14:paraId="4CAB244A" w14:textId="77777777" w:rsidR="004E33EF" w:rsidRPr="009118AB" w:rsidRDefault="004E33EF" w:rsidP="004E33EF">
      <w:pPr>
        <w:jc w:val="both"/>
      </w:pPr>
    </w:p>
    <w:p w14:paraId="5C9C01F3" w14:textId="77777777" w:rsidR="00320517" w:rsidRPr="009118AB" w:rsidRDefault="004E33EF" w:rsidP="00F301C3">
      <w:pPr>
        <w:ind w:firstLine="709"/>
        <w:jc w:val="both"/>
      </w:pPr>
      <w:r w:rsidRPr="009118AB">
        <w:t>Um die in Absatz 1 erwähnte Steuerbefreiung erhalten zu können, muss die Gesellschaft ihrer Gesellschaftssteuererklärung eine Aufstellung beifügen, deren Muster vom König festgelegt wird.</w:t>
      </w:r>
      <w:r w:rsidR="00320517" w:rsidRPr="009118AB">
        <w:t>]</w:t>
      </w:r>
    </w:p>
    <w:p w14:paraId="6803A3A9" w14:textId="77777777" w:rsidR="004A5A80" w:rsidRPr="009118AB" w:rsidRDefault="004A5A80" w:rsidP="00320517">
      <w:pPr>
        <w:jc w:val="both"/>
      </w:pPr>
    </w:p>
    <w:p w14:paraId="6EAA892C" w14:textId="2BEE7562" w:rsidR="004A5A80" w:rsidRPr="009118AB" w:rsidRDefault="004A5A80" w:rsidP="00320517">
      <w:pPr>
        <w:jc w:val="both"/>
        <w:rPr>
          <w:iCs/>
        </w:rPr>
      </w:pPr>
      <w:r w:rsidRPr="009118AB">
        <w:rPr>
          <w:i/>
        </w:rPr>
        <w:t>[</w:t>
      </w:r>
      <w:r w:rsidR="00D67EB8" w:rsidRPr="009118AB">
        <w:rPr>
          <w:i/>
        </w:rPr>
        <w:t>Art. </w:t>
      </w:r>
      <w:r w:rsidRPr="009118AB">
        <w:rPr>
          <w:i/>
        </w:rPr>
        <w:t xml:space="preserve">194sexies eingefügt durch </w:t>
      </w:r>
      <w:r w:rsidR="00D67EB8" w:rsidRPr="009118AB">
        <w:rPr>
          <w:i/>
        </w:rPr>
        <w:t>Art. </w:t>
      </w:r>
      <w:r w:rsidRPr="009118AB">
        <w:rPr>
          <w:i/>
        </w:rPr>
        <w:t>34</w:t>
      </w:r>
      <w:r w:rsidRPr="009118AB">
        <w:rPr>
          <w:i/>
          <w:iCs/>
        </w:rPr>
        <w:t xml:space="preserve"> des G. vom 25. Dezember 2017 (III) (B.S. vom 29. Dezember 2017)</w:t>
      </w:r>
      <w:r w:rsidR="00D67EB8" w:rsidRPr="009118AB">
        <w:rPr>
          <w:i/>
          <w:iCs/>
        </w:rPr>
        <w:t> - </w:t>
      </w:r>
      <w:r w:rsidRPr="009118AB">
        <w:rPr>
          <w:i/>
          <w:iCs/>
        </w:rPr>
        <w:t>in Kraft am 1. Januar 20</w:t>
      </w:r>
      <w:r w:rsidR="00A40438" w:rsidRPr="009118AB">
        <w:rPr>
          <w:i/>
          <w:iCs/>
        </w:rPr>
        <w:t>19</w:t>
      </w:r>
      <w:r w:rsidRPr="009118AB">
        <w:rPr>
          <w:i/>
          <w:iCs/>
        </w:rPr>
        <w:t xml:space="preserve"> und anwendbar ab dem Steuerjahr 202</w:t>
      </w:r>
      <w:r w:rsidR="00A40438" w:rsidRPr="009118AB">
        <w:rPr>
          <w:i/>
          <w:iCs/>
        </w:rPr>
        <w:t>0</w:t>
      </w:r>
      <w:r w:rsidRPr="009118AB">
        <w:rPr>
          <w:i/>
          <w:iCs/>
        </w:rPr>
        <w:t>, das sich auf einen Besteuerungszeitraum bezieht, der frühestens am 1. Januar 20</w:t>
      </w:r>
      <w:r w:rsidR="00A40438" w:rsidRPr="009118AB">
        <w:rPr>
          <w:i/>
          <w:iCs/>
        </w:rPr>
        <w:t>19</w:t>
      </w:r>
      <w:r w:rsidRPr="009118AB">
        <w:rPr>
          <w:i/>
          <w:iCs/>
        </w:rPr>
        <w:t xml:space="preserve"> beginnt</w:t>
      </w:r>
      <w:r w:rsidR="00FD68E8" w:rsidRPr="009118AB">
        <w:rPr>
          <w:i/>
          <w:iCs/>
        </w:rPr>
        <w:t> -,</w:t>
      </w:r>
      <w:r w:rsidR="004E33EF" w:rsidRPr="009118AB">
        <w:rPr>
          <w:i/>
          <w:iCs/>
        </w:rPr>
        <w:t xml:space="preserve"> selbst ersetzt durch </w:t>
      </w:r>
      <w:r w:rsidR="00D67EB8" w:rsidRPr="009118AB">
        <w:rPr>
          <w:i/>
          <w:iCs/>
        </w:rPr>
        <w:t>Art. </w:t>
      </w:r>
      <w:r w:rsidR="004E33EF" w:rsidRPr="009118AB">
        <w:rPr>
          <w:i/>
          <w:iCs/>
        </w:rPr>
        <w:t>25 des G. vom 30. Juli 2018 (I) (B.S. vom 10. August 2018)</w:t>
      </w:r>
      <w:r w:rsidRPr="009118AB">
        <w:rPr>
          <w:i/>
          <w:iCs/>
        </w:rPr>
        <w:t>]</w:t>
      </w:r>
    </w:p>
    <w:p w14:paraId="1F5D43B7" w14:textId="77777777" w:rsidR="004A5A80" w:rsidRPr="009118AB" w:rsidRDefault="004A5A80" w:rsidP="00320517">
      <w:pPr>
        <w:jc w:val="both"/>
        <w:rPr>
          <w:iCs/>
        </w:rPr>
      </w:pPr>
    </w:p>
    <w:p w14:paraId="57FB7827" w14:textId="77777777" w:rsidR="004A5A80" w:rsidRPr="009118AB" w:rsidRDefault="004A5A80" w:rsidP="00320517">
      <w:pPr>
        <w:jc w:val="both"/>
        <w:rPr>
          <w:iCs/>
        </w:rPr>
      </w:pPr>
    </w:p>
    <w:p w14:paraId="653D649B" w14:textId="724FCAF7" w:rsidR="00765265" w:rsidRPr="009118AB" w:rsidRDefault="00CD6AA7" w:rsidP="00225EA1">
      <w:pPr>
        <w:ind w:firstLine="708"/>
        <w:jc w:val="both"/>
      </w:pPr>
      <w:r w:rsidRPr="009118AB">
        <w:tab/>
      </w:r>
      <w:r w:rsidR="004A5A80" w:rsidRPr="009118AB">
        <w:t>[</w:t>
      </w:r>
      <w:r w:rsidR="00D67EB8" w:rsidRPr="009118AB">
        <w:rPr>
          <w:b/>
          <w:iCs/>
        </w:rPr>
        <w:t>Art. </w:t>
      </w:r>
      <w:r w:rsidR="004A5A80" w:rsidRPr="009118AB">
        <w:rPr>
          <w:b/>
          <w:iCs/>
        </w:rPr>
        <w:t>194</w:t>
      </w:r>
      <w:r w:rsidR="004A5A80" w:rsidRPr="009118AB">
        <w:rPr>
          <w:b/>
          <w:i/>
          <w:iCs/>
        </w:rPr>
        <w:t>septies</w:t>
      </w:r>
      <w:r w:rsidR="00D67EB8" w:rsidRPr="009118AB">
        <w:rPr>
          <w:iCs/>
        </w:rPr>
        <w:t> - </w:t>
      </w:r>
      <w:r w:rsidR="004A5A80" w:rsidRPr="009118AB">
        <w:rPr>
          <w:iCs/>
        </w:rPr>
        <w:t>[</w:t>
      </w:r>
      <w:r w:rsidR="00765265" w:rsidRPr="009118AB">
        <w:rPr>
          <w:iCs/>
        </w:rPr>
        <w:t>Gewinne sind steuerfrei:</w:t>
      </w:r>
    </w:p>
    <w:p w14:paraId="7F49727C" w14:textId="77777777" w:rsidR="00765265" w:rsidRPr="009118AB" w:rsidRDefault="00765265" w:rsidP="00765265">
      <w:pPr>
        <w:jc w:val="both"/>
        <w:rPr>
          <w:iCs/>
        </w:rPr>
      </w:pPr>
    </w:p>
    <w:p w14:paraId="3FB9F9A1" w14:textId="3735A952" w:rsidR="00765265" w:rsidRPr="009118AB" w:rsidRDefault="00765265" w:rsidP="00F301C3">
      <w:pPr>
        <w:ind w:firstLine="708"/>
        <w:jc w:val="both"/>
        <w:rPr>
          <w:iCs/>
        </w:rPr>
      </w:pPr>
      <w:r w:rsidRPr="009118AB">
        <w:rPr>
          <w:iCs/>
        </w:rPr>
        <w:t xml:space="preserve">- in Höhe der in Artikel 205/5 </w:t>
      </w:r>
      <w:r w:rsidR="00D67EB8" w:rsidRPr="009118AB">
        <w:rPr>
          <w:iCs/>
        </w:rPr>
        <w:t>§ </w:t>
      </w:r>
      <w:r w:rsidRPr="009118AB">
        <w:rPr>
          <w:iCs/>
        </w:rPr>
        <w:t xml:space="preserve">3 Absatz 4 erwähnten Vergütung, die in Ausführung des in Artikel 205/5 </w:t>
      </w:r>
      <w:r w:rsidR="00D67EB8" w:rsidRPr="009118AB">
        <w:rPr>
          <w:iCs/>
        </w:rPr>
        <w:t>§ </w:t>
      </w:r>
      <w:r w:rsidRPr="009118AB">
        <w:rPr>
          <w:iCs/>
        </w:rPr>
        <w:t>3 erwähnten Konzernbeitragsvertrags als Gegenleistung für die Einbeziehung des Betrags des Konzernbeitrags in die Gewinne des Besteuerungszeitraums bezogen wird,</w:t>
      </w:r>
    </w:p>
    <w:p w14:paraId="5CAA759F" w14:textId="77777777" w:rsidR="00765265" w:rsidRPr="009118AB" w:rsidRDefault="00765265" w:rsidP="00765265">
      <w:pPr>
        <w:jc w:val="both"/>
        <w:rPr>
          <w:iCs/>
        </w:rPr>
      </w:pPr>
    </w:p>
    <w:p w14:paraId="126F3054" w14:textId="2B47F6CD" w:rsidR="004A5A80" w:rsidRPr="009118AB" w:rsidRDefault="00765265" w:rsidP="00F301C3">
      <w:pPr>
        <w:ind w:firstLine="708"/>
        <w:jc w:val="both"/>
        <w:rPr>
          <w:iCs/>
        </w:rPr>
      </w:pPr>
      <w:r w:rsidRPr="009118AB">
        <w:rPr>
          <w:iCs/>
        </w:rPr>
        <w:t xml:space="preserve">- in Höhe der in Artikel 198/1 </w:t>
      </w:r>
      <w:r w:rsidR="00D67EB8" w:rsidRPr="009118AB">
        <w:rPr>
          <w:iCs/>
        </w:rPr>
        <w:t>§ </w:t>
      </w:r>
      <w:r w:rsidRPr="009118AB">
        <w:rPr>
          <w:iCs/>
        </w:rPr>
        <w:t xml:space="preserve">4 Absatz 5 erwähnten Vergütung, die als Gegenleistung für die Übertragung des in Artikel 198/1 </w:t>
      </w:r>
      <w:r w:rsidR="00D67EB8" w:rsidRPr="009118AB">
        <w:rPr>
          <w:iCs/>
        </w:rPr>
        <w:t>§ </w:t>
      </w:r>
      <w:r w:rsidRPr="009118AB">
        <w:rPr>
          <w:iCs/>
        </w:rPr>
        <w:t>3 erwähnten Grenzbetrags von der inländischen Gesellschaft oder der belgischen Niederlassung, die Teil derselben Unternehmensgruppe wie der Steuerpflichtige ist, bezogen wird.</w:t>
      </w:r>
      <w:r w:rsidR="004A5A80" w:rsidRPr="009118AB">
        <w:rPr>
          <w:iCs/>
        </w:rPr>
        <w:t>]]</w:t>
      </w:r>
    </w:p>
    <w:p w14:paraId="4E9DB8A4" w14:textId="77777777" w:rsidR="004A5A80" w:rsidRPr="009118AB" w:rsidRDefault="004A5A80" w:rsidP="004A5A80">
      <w:pPr>
        <w:jc w:val="both"/>
        <w:rPr>
          <w:iCs/>
        </w:rPr>
      </w:pPr>
    </w:p>
    <w:p w14:paraId="13C15947" w14:textId="36BB8747" w:rsidR="004A5A80" w:rsidRPr="009118AB" w:rsidRDefault="004A5A80" w:rsidP="004A5A80">
      <w:pPr>
        <w:jc w:val="both"/>
        <w:rPr>
          <w:iCs/>
        </w:rPr>
      </w:pPr>
      <w:r w:rsidRPr="009118AB">
        <w:rPr>
          <w:i/>
          <w:iCs/>
        </w:rPr>
        <w:t>[</w:t>
      </w:r>
      <w:r w:rsidR="00D67EB8" w:rsidRPr="009118AB">
        <w:rPr>
          <w:i/>
          <w:iCs/>
        </w:rPr>
        <w:t>Art. </w:t>
      </w:r>
      <w:r w:rsidRPr="009118AB">
        <w:rPr>
          <w:i/>
          <w:iCs/>
        </w:rPr>
        <w:t xml:space="preserve">194septies eingefügt durch </w:t>
      </w:r>
      <w:r w:rsidR="00D67EB8" w:rsidRPr="009118AB">
        <w:rPr>
          <w:i/>
          <w:iCs/>
        </w:rPr>
        <w:t>Art. </w:t>
      </w:r>
      <w:r w:rsidRPr="009118AB">
        <w:rPr>
          <w:i/>
          <w:iCs/>
        </w:rPr>
        <w:t>35 des G. vom 25. Dezember 2017 (III) (B.S. vom 29. Dezember 2017)</w:t>
      </w:r>
      <w:r w:rsidR="00D67EB8" w:rsidRPr="009118AB">
        <w:rPr>
          <w:i/>
          <w:iCs/>
        </w:rPr>
        <w:t> - </w:t>
      </w:r>
      <w:r w:rsidRPr="009118AB">
        <w:rPr>
          <w:i/>
          <w:iCs/>
        </w:rPr>
        <w:t>in Kraft am 1. Januar 2019 und anwendbar ab dem Steuerjahr 2020, das sich auf einen Besteuerungszeitraum bezieht, der frühestens am 1. Januar 2019 beginnt</w:t>
      </w:r>
      <w:r w:rsidR="00FD68E8" w:rsidRPr="009118AB">
        <w:rPr>
          <w:i/>
          <w:iCs/>
        </w:rPr>
        <w:t> -,</w:t>
      </w:r>
      <w:r w:rsidR="00225EA1" w:rsidRPr="009118AB">
        <w:rPr>
          <w:i/>
          <w:iCs/>
        </w:rPr>
        <w:t xml:space="preserve"> selbst widerrufen durch </w:t>
      </w:r>
      <w:r w:rsidR="00D67EB8" w:rsidRPr="009118AB">
        <w:rPr>
          <w:i/>
          <w:iCs/>
        </w:rPr>
        <w:t>Art. </w:t>
      </w:r>
      <w:r w:rsidR="00225EA1" w:rsidRPr="009118AB">
        <w:rPr>
          <w:i/>
          <w:iCs/>
        </w:rPr>
        <w:t>5 des G. vom 11. Februar 2019 (B.S. vom 22. März 2019)</w:t>
      </w:r>
      <w:r w:rsidR="00D67EB8" w:rsidRPr="009118AB">
        <w:rPr>
          <w:i/>
          <w:iCs/>
        </w:rPr>
        <w:t> - </w:t>
      </w:r>
      <w:r w:rsidR="00225EA1" w:rsidRPr="009118AB">
        <w:rPr>
          <w:i/>
          <w:iCs/>
        </w:rPr>
        <w:t>in Kraft am 22. März 2019</w:t>
      </w:r>
      <w:r w:rsidR="00FD68E8" w:rsidRPr="009118AB">
        <w:rPr>
          <w:i/>
          <w:iCs/>
        </w:rPr>
        <w:t> -,</w:t>
      </w:r>
      <w:r w:rsidRPr="009118AB">
        <w:rPr>
          <w:i/>
          <w:iCs/>
        </w:rPr>
        <w:t xml:space="preserve"> und ersetzt durch </w:t>
      </w:r>
      <w:r w:rsidR="00D67EB8" w:rsidRPr="009118AB">
        <w:rPr>
          <w:i/>
          <w:iCs/>
        </w:rPr>
        <w:t>Art. </w:t>
      </w:r>
      <w:r w:rsidRPr="009118AB">
        <w:rPr>
          <w:i/>
          <w:iCs/>
        </w:rPr>
        <w:t>36 des G. vom 25. Dezember 2017 (III) (B.S. vom 29. Dezember 20</w:t>
      </w:r>
      <w:r w:rsidR="00A40438" w:rsidRPr="009118AB">
        <w:rPr>
          <w:i/>
          <w:iCs/>
        </w:rPr>
        <w:t>17)</w:t>
      </w:r>
      <w:r w:rsidR="00D67EB8" w:rsidRPr="009118AB">
        <w:rPr>
          <w:i/>
          <w:iCs/>
        </w:rPr>
        <w:t> - </w:t>
      </w:r>
      <w:r w:rsidR="00A40438" w:rsidRPr="009118AB">
        <w:rPr>
          <w:i/>
          <w:iCs/>
        </w:rPr>
        <w:t>in Kraft am 1. Januar 2019</w:t>
      </w:r>
      <w:r w:rsidRPr="009118AB">
        <w:rPr>
          <w:i/>
          <w:iCs/>
        </w:rPr>
        <w:t xml:space="preserve"> und anwendbar ab dem Steuerjahr 202</w:t>
      </w:r>
      <w:r w:rsidR="00A40438" w:rsidRPr="009118AB">
        <w:rPr>
          <w:i/>
          <w:iCs/>
        </w:rPr>
        <w:t>0</w:t>
      </w:r>
      <w:r w:rsidRPr="009118AB">
        <w:rPr>
          <w:i/>
          <w:iCs/>
        </w:rPr>
        <w:t>, das sich auf einen Besteuerungszeitraum bezieht, der frühestens am 1. Januar 20 beginnt</w:t>
      </w:r>
      <w:r w:rsidR="00FD68E8" w:rsidRPr="009118AB">
        <w:rPr>
          <w:i/>
          <w:iCs/>
        </w:rPr>
        <w:t> -,</w:t>
      </w:r>
      <w:r w:rsidR="00765265" w:rsidRPr="009118AB">
        <w:rPr>
          <w:i/>
          <w:iCs/>
        </w:rPr>
        <w:t xml:space="preserve"> selbst ersetzt durch </w:t>
      </w:r>
      <w:r w:rsidR="00D67EB8" w:rsidRPr="009118AB">
        <w:rPr>
          <w:i/>
          <w:iCs/>
        </w:rPr>
        <w:t>Art. </w:t>
      </w:r>
      <w:r w:rsidR="00765265" w:rsidRPr="009118AB">
        <w:rPr>
          <w:i/>
          <w:iCs/>
        </w:rPr>
        <w:t>27 des G. vom 30. Juli 2018 (I) (B.S. vom 10. August 2018)</w:t>
      </w:r>
      <w:r w:rsidRPr="009118AB">
        <w:rPr>
          <w:i/>
          <w:iCs/>
        </w:rPr>
        <w:t>]</w:t>
      </w:r>
    </w:p>
    <w:p w14:paraId="7B8AA945" w14:textId="666EB4DC" w:rsidR="00A56026" w:rsidRPr="009118AB" w:rsidRDefault="00A56026" w:rsidP="004A5A80">
      <w:pPr>
        <w:jc w:val="both"/>
        <w:rPr>
          <w:iCs/>
        </w:rPr>
      </w:pPr>
    </w:p>
    <w:p w14:paraId="401D49C4" w14:textId="3EA3C8FB" w:rsidR="009975E3" w:rsidRPr="009118AB" w:rsidRDefault="009975E3" w:rsidP="004A5A80">
      <w:pPr>
        <w:jc w:val="both"/>
        <w:rPr>
          <w:iCs/>
        </w:rPr>
      </w:pPr>
    </w:p>
    <w:p w14:paraId="2C622ACA" w14:textId="0034A7F4" w:rsidR="009975E3" w:rsidRPr="009118AB" w:rsidRDefault="009975E3" w:rsidP="009975E3">
      <w:pPr>
        <w:jc w:val="center"/>
        <w:rPr>
          <w:iCs/>
        </w:rPr>
      </w:pPr>
      <w:r w:rsidRPr="009118AB">
        <w:rPr>
          <w:iCs/>
        </w:rPr>
        <w:lastRenderedPageBreak/>
        <w:t>[</w:t>
      </w:r>
      <w:r w:rsidRPr="009118AB">
        <w:t>Unterabschnitt 8</w:t>
      </w:r>
      <w:r w:rsidR="00D67EB8" w:rsidRPr="009118AB">
        <w:t> - </w:t>
      </w:r>
      <w:r w:rsidRPr="009118AB">
        <w:t>Steuerbefreiung zur Stärkung der Zahlungsfähigkeit und des Eigenkapitals der Gesellschaften infolge der COVID-19-Pandemie</w:t>
      </w:r>
      <w:r w:rsidRPr="009118AB">
        <w:rPr>
          <w:iCs/>
        </w:rPr>
        <w:t>]</w:t>
      </w:r>
    </w:p>
    <w:p w14:paraId="472C9FD3" w14:textId="15FC4576" w:rsidR="009975E3" w:rsidRPr="009118AB" w:rsidRDefault="009975E3" w:rsidP="009975E3">
      <w:pPr>
        <w:jc w:val="center"/>
        <w:rPr>
          <w:iCs/>
        </w:rPr>
      </w:pPr>
    </w:p>
    <w:p w14:paraId="0A017140" w14:textId="073A8910" w:rsidR="009975E3" w:rsidRPr="009118AB" w:rsidRDefault="009975E3" w:rsidP="009975E3">
      <w:pPr>
        <w:jc w:val="both"/>
        <w:rPr>
          <w:iCs/>
        </w:rPr>
      </w:pPr>
      <w:r w:rsidRPr="009118AB">
        <w:rPr>
          <w:i/>
          <w:iCs/>
        </w:rPr>
        <w:t xml:space="preserve">[Unterteilung Unterabschnitt 8 eingefügt durch </w:t>
      </w:r>
      <w:r w:rsidR="00D67EB8" w:rsidRPr="009118AB">
        <w:rPr>
          <w:i/>
          <w:iCs/>
        </w:rPr>
        <w:t>Art. </w:t>
      </w:r>
      <w:r w:rsidRPr="009118AB">
        <w:rPr>
          <w:i/>
          <w:iCs/>
        </w:rPr>
        <w:t>19 des G. vom 23. Juni 2020 (B.S. vom 1. Juli 2020)]</w:t>
      </w:r>
    </w:p>
    <w:p w14:paraId="771391E6" w14:textId="44D12EB9" w:rsidR="009975E3" w:rsidRPr="009118AB" w:rsidRDefault="009975E3" w:rsidP="009975E3">
      <w:pPr>
        <w:jc w:val="both"/>
        <w:rPr>
          <w:iCs/>
        </w:rPr>
      </w:pPr>
    </w:p>
    <w:p w14:paraId="27FA46F3" w14:textId="4780A6A7" w:rsidR="009975E3" w:rsidRPr="009118AB" w:rsidRDefault="009975E3" w:rsidP="009975E3">
      <w:pPr>
        <w:jc w:val="both"/>
        <w:rPr>
          <w:iCs/>
        </w:rPr>
      </w:pPr>
    </w:p>
    <w:p w14:paraId="690C1DC8" w14:textId="78E9F3E2" w:rsidR="009975E3" w:rsidRPr="009118AB" w:rsidRDefault="009975E3" w:rsidP="009975E3">
      <w:pPr>
        <w:ind w:firstLine="708"/>
        <w:jc w:val="both"/>
      </w:pPr>
      <w:r w:rsidRPr="009118AB">
        <w:rPr>
          <w:iCs/>
        </w:rPr>
        <w:tab/>
        <w:t>[</w:t>
      </w:r>
      <w:r w:rsidR="00D67EB8" w:rsidRPr="009118AB">
        <w:rPr>
          <w:b/>
        </w:rPr>
        <w:t>Art. </w:t>
      </w:r>
      <w:r w:rsidRPr="009118AB">
        <w:rPr>
          <w:b/>
        </w:rPr>
        <w:t>194</w:t>
      </w:r>
      <w:r w:rsidRPr="009118AB">
        <w:rPr>
          <w:b/>
          <w:i/>
          <w:iCs/>
        </w:rPr>
        <w:t>septies</w:t>
      </w:r>
      <w:r w:rsidRPr="009118AB">
        <w:rPr>
          <w:b/>
        </w:rPr>
        <w:t>/1</w:t>
      </w:r>
      <w:r w:rsidR="00D67EB8" w:rsidRPr="009118AB">
        <w:t> - § </w:t>
      </w:r>
      <w:r w:rsidRPr="009118AB">
        <w:t>1</w:t>
      </w:r>
      <w:r w:rsidR="00D67EB8" w:rsidRPr="009118AB">
        <w:t> - </w:t>
      </w:r>
      <w:r w:rsidRPr="009118AB">
        <w:t xml:space="preserve">Für </w:t>
      </w:r>
      <w:r w:rsidR="00855A34" w:rsidRPr="009118AB">
        <w:t>[das Steuerjahr 2019 oder 2020, das einem Geschäftsjahr entspricht, das im Zeitraum vom 13. März 2019 bis zum 31. Juli 2020 abgeschlossen wird,]</w:t>
      </w:r>
      <w:r w:rsidRPr="009118AB">
        <w:t xml:space="preserve"> kann eine Gesellschaft die zeitweilige Steuerbefreiung des gesamten oder eines Teils des Ergebnisses des Besteuerungszeitraums beanspruchen </w:t>
      </w:r>
      <w:r w:rsidR="00855A34" w:rsidRPr="009118AB">
        <w:t>[aufgrund möglicher Verluste, die im Laufe des folgenden Besteuerungszeitraums erlitten werden, der je nach Fall an das Steuerjahr 2020 oder 2021 gebunden ist,]</w:t>
      </w:r>
      <w:r w:rsidRPr="009118AB">
        <w:t xml:space="preserve"> und zwar in nachstehenden Grenzen und unter nachstehenden Bedingungen.</w:t>
      </w:r>
    </w:p>
    <w:p w14:paraId="10DF70EE" w14:textId="77777777" w:rsidR="009975E3" w:rsidRPr="009118AB" w:rsidRDefault="009975E3" w:rsidP="009975E3">
      <w:pPr>
        <w:jc w:val="both"/>
      </w:pPr>
    </w:p>
    <w:p w14:paraId="66FC03D2" w14:textId="38850362" w:rsidR="009975E3" w:rsidRPr="009118AB" w:rsidRDefault="009975E3" w:rsidP="009975E3">
      <w:pPr>
        <w:ind w:firstLine="708"/>
        <w:jc w:val="both"/>
      </w:pPr>
      <w:r w:rsidRPr="009118AB">
        <w:t xml:space="preserve">Die in Absatz 1 erwähnte Steuerbefreiung erfolgt durch Bildung einer zeitweiligen steuerfreien Rücklage, die vom Gesamtbetrag der steuerpflichtigen Gewinnrücklagen </w:t>
      </w:r>
      <w:r w:rsidR="00855A34" w:rsidRPr="009118AB">
        <w:t>[des in Absatz 1 erwähnten Besteuerungszeitraums, der im Zeitraum vom 13. März 2019 bis zum 31. Juli 2020 endet,]</w:t>
      </w:r>
      <w:r w:rsidRPr="009118AB">
        <w:t xml:space="preserve"> abgezogen wird.</w:t>
      </w:r>
    </w:p>
    <w:p w14:paraId="6D2B7351" w14:textId="77777777" w:rsidR="009975E3" w:rsidRPr="009118AB" w:rsidRDefault="009975E3" w:rsidP="009975E3">
      <w:pPr>
        <w:jc w:val="both"/>
      </w:pPr>
    </w:p>
    <w:p w14:paraId="36F3D713" w14:textId="7C382BDD" w:rsidR="009975E3" w:rsidRPr="009118AB" w:rsidRDefault="009975E3" w:rsidP="009975E3">
      <w:pPr>
        <w:ind w:firstLine="708"/>
        <w:jc w:val="both"/>
      </w:pPr>
      <w:r w:rsidRPr="009118AB">
        <w:t xml:space="preserve">Eine zeitweilige steuerfreie Rücklage darf nur für einen einzigen Besteuerungszeitraum, der </w:t>
      </w:r>
      <w:r w:rsidR="00DE578D" w:rsidRPr="009118AB">
        <w:t>[im Zeitraum vom 13. März 2019 bis zum 31. Juli 2020]</w:t>
      </w:r>
      <w:r w:rsidRPr="009118AB">
        <w:t xml:space="preserve"> endet, gebildet werden.</w:t>
      </w:r>
    </w:p>
    <w:p w14:paraId="438EB610" w14:textId="77777777" w:rsidR="009975E3" w:rsidRPr="009118AB" w:rsidRDefault="009975E3" w:rsidP="009975E3">
      <w:pPr>
        <w:jc w:val="both"/>
      </w:pPr>
    </w:p>
    <w:p w14:paraId="54EB6C90" w14:textId="64F35577" w:rsidR="009975E3" w:rsidRPr="009118AB" w:rsidRDefault="00D67EB8" w:rsidP="009975E3">
      <w:pPr>
        <w:ind w:firstLine="708"/>
        <w:jc w:val="both"/>
      </w:pPr>
      <w:r w:rsidRPr="009118AB">
        <w:t>§ </w:t>
      </w:r>
      <w:r w:rsidR="009975E3" w:rsidRPr="009118AB">
        <w:t>2</w:t>
      </w:r>
      <w:r w:rsidRPr="009118AB">
        <w:t> - </w:t>
      </w:r>
      <w:r w:rsidR="009975E3" w:rsidRPr="009118AB">
        <w:t xml:space="preserve">Der Betrag der in </w:t>
      </w:r>
      <w:r w:rsidRPr="009118AB">
        <w:t>§ </w:t>
      </w:r>
      <w:r w:rsidR="009975E3" w:rsidRPr="009118AB">
        <w:t>1 erwähnten Steuerbefreiung darf nicht höher sein als:</w:t>
      </w:r>
    </w:p>
    <w:p w14:paraId="66B0A79A" w14:textId="77777777" w:rsidR="009975E3" w:rsidRPr="009118AB" w:rsidRDefault="009975E3" w:rsidP="009975E3">
      <w:pPr>
        <w:jc w:val="both"/>
      </w:pPr>
    </w:p>
    <w:p w14:paraId="221AB03D" w14:textId="77777777" w:rsidR="009975E3" w:rsidRPr="009118AB" w:rsidRDefault="009975E3" w:rsidP="009975E3">
      <w:pPr>
        <w:ind w:firstLine="708"/>
        <w:jc w:val="both"/>
      </w:pPr>
      <w:r w:rsidRPr="009118AB">
        <w:t>- der Betrag des Ergebnisses des Besteuerungszeitraums, der so festgelegt wird, als ob die in vorliegendem Artikel erwähnte Steuerbefreiung nicht beansprucht worden wäre, und um die in den Artikeln 202 bis 205/1 und 543 erwähnten abzugsfähigen Einkünfte verringert wird, die im Laufe des Besteuerungszeitraums bezogen wurden,</w:t>
      </w:r>
    </w:p>
    <w:p w14:paraId="74E7E036" w14:textId="77777777" w:rsidR="009975E3" w:rsidRPr="009118AB" w:rsidRDefault="009975E3" w:rsidP="009975E3">
      <w:pPr>
        <w:jc w:val="both"/>
      </w:pPr>
    </w:p>
    <w:p w14:paraId="7E915F77" w14:textId="77777777" w:rsidR="009975E3" w:rsidRPr="009118AB" w:rsidRDefault="009975E3" w:rsidP="009975E3">
      <w:pPr>
        <w:ind w:firstLine="708"/>
        <w:jc w:val="both"/>
      </w:pPr>
      <w:r w:rsidRPr="009118AB">
        <w:t>- 20 Millionen EUR.</w:t>
      </w:r>
    </w:p>
    <w:p w14:paraId="2A084F25" w14:textId="77777777" w:rsidR="009975E3" w:rsidRPr="009118AB" w:rsidRDefault="009975E3" w:rsidP="009975E3">
      <w:pPr>
        <w:jc w:val="both"/>
      </w:pPr>
    </w:p>
    <w:p w14:paraId="1BD0FC1C" w14:textId="5728F245" w:rsidR="009975E3" w:rsidRPr="009118AB" w:rsidRDefault="00D67EB8" w:rsidP="009975E3">
      <w:pPr>
        <w:ind w:firstLine="708"/>
        <w:jc w:val="both"/>
      </w:pPr>
      <w:r w:rsidRPr="009118AB">
        <w:t>§ </w:t>
      </w:r>
      <w:r w:rsidR="009975E3" w:rsidRPr="009118AB">
        <w:t>3</w:t>
      </w:r>
      <w:r w:rsidRPr="009118AB">
        <w:t> - </w:t>
      </w:r>
      <w:r w:rsidR="009975E3" w:rsidRPr="009118AB">
        <w:t xml:space="preserve">Die in </w:t>
      </w:r>
      <w:r w:rsidRPr="009118AB">
        <w:t>§ </w:t>
      </w:r>
      <w:r w:rsidR="009975E3" w:rsidRPr="009118AB">
        <w:t>1 erwähnte Steuerbefreiung ist nicht auf Gesellschaften anwendbar, die im Zeitraum vom 12. März 2020 bis einschließlich zum Tag der Einreichung der Erklärung, die an das Steuerjahr 2021 gebunden ist, einen Rückkauf eigener Aktien oder Anteile getätigt haben oder eine Zuerkennung oder Ausschüttung von Dividenden wie in Artikel 18 erwähnt, einschließlich der Ausschüttung von Liquidationsrücklagen wie in den Artikeln 184</w:t>
      </w:r>
      <w:r w:rsidR="009975E3" w:rsidRPr="009118AB">
        <w:rPr>
          <w:i/>
          <w:iCs/>
        </w:rPr>
        <w:t>quater</w:t>
      </w:r>
      <w:r w:rsidR="009975E3" w:rsidRPr="009118AB">
        <w:t xml:space="preserve"> und 541 erwähnt, oder eine Kapitalherabsetzung, einschließlich der Kapitalherabsetzung wie in Artikel 537 erwähnt, oder jede andere Herabsetzung oder Ausschüttung des Eigenkapitals durchgeführt haben.</w:t>
      </w:r>
    </w:p>
    <w:p w14:paraId="3B648475" w14:textId="77777777" w:rsidR="009975E3" w:rsidRPr="009118AB" w:rsidRDefault="009975E3" w:rsidP="009975E3">
      <w:pPr>
        <w:jc w:val="both"/>
      </w:pPr>
    </w:p>
    <w:p w14:paraId="1A3A3E85" w14:textId="7F2E0C17" w:rsidR="009975E3" w:rsidRPr="009118AB" w:rsidRDefault="009975E3" w:rsidP="009975E3">
      <w:pPr>
        <w:ind w:firstLine="708"/>
        <w:jc w:val="both"/>
      </w:pPr>
      <w:r w:rsidRPr="009118AB">
        <w:t xml:space="preserve">Diese Regelung ist auch nicht auf Gesellschaften anwendbar, die in dem Besteuerungszeitraum, der an das Steuerjahr gebunden ist, für das die in </w:t>
      </w:r>
      <w:r w:rsidR="00D67EB8" w:rsidRPr="009118AB">
        <w:t>§ </w:t>
      </w:r>
      <w:r w:rsidRPr="009118AB">
        <w:t>1 erwähnte Steuerbefreiung beansprucht wird, in den Anwendungsbereich einer der folgenden Bestimmungen fallen:</w:t>
      </w:r>
    </w:p>
    <w:p w14:paraId="477D28C4" w14:textId="77777777" w:rsidR="009975E3" w:rsidRPr="009118AB" w:rsidRDefault="009975E3" w:rsidP="009975E3">
      <w:pPr>
        <w:jc w:val="both"/>
      </w:pPr>
    </w:p>
    <w:p w14:paraId="2791C6BD" w14:textId="655C8DAF" w:rsidR="009975E3" w:rsidRPr="009118AB" w:rsidRDefault="009975E3" w:rsidP="009975E3">
      <w:pPr>
        <w:ind w:firstLine="708"/>
        <w:jc w:val="both"/>
      </w:pPr>
      <w:r w:rsidRPr="009118AB">
        <w:t xml:space="preserve">1. Investmentgesellschaften, die in den Artikeln 15 und 271/10 des Gesetzes vom 3. August 2012 über Organismen für gemeinsame Anlagen, die die Bedingungen der Richtlinie 2009/65/EG erfüllen, und Organismen für Anlagen in Forderungen erwähnt sind, Investmentgesellschaften, die in den Artikeln 190, 195, 285, 288 und 298 des Gesetzes vom </w:t>
      </w:r>
      <w:r w:rsidRPr="009118AB">
        <w:lastRenderedPageBreak/>
        <w:t>19. April 2014 über alternative Organismen für gemeinsame Anlagen und ihre Verwalter erwähnt sind, beaufsichtigte Immobiliengesellschaften</w:t>
      </w:r>
      <w:r w:rsidR="001F15B0" w:rsidRPr="009118AB">
        <w:t>[, europäische langfristige Investmentfonds]</w:t>
      </w:r>
      <w:r w:rsidRPr="009118AB">
        <w:t xml:space="preserve"> und Organismen für die Finanzierung von Pensionen, die in Artikel 8 des Gesetzes vom 27. Oktober 2006 über die Kontrolle der Einrichtungen der betrieblichen Altersversorgung erwähnt sind,</w:t>
      </w:r>
    </w:p>
    <w:p w14:paraId="1E820AD7" w14:textId="77777777" w:rsidR="009975E3" w:rsidRPr="009118AB" w:rsidRDefault="009975E3" w:rsidP="009975E3">
      <w:pPr>
        <w:jc w:val="both"/>
      </w:pPr>
    </w:p>
    <w:p w14:paraId="7DE6AD33" w14:textId="77777777" w:rsidR="009975E3" w:rsidRPr="009118AB" w:rsidRDefault="009975E3" w:rsidP="009975E3">
      <w:pPr>
        <w:ind w:firstLine="708"/>
        <w:jc w:val="both"/>
      </w:pPr>
      <w:r w:rsidRPr="009118AB">
        <w:t>2. Beteiligungsgenossenschaften in Anwendung des Gesetzes vom 22. Mai 2001 über die Beteiligung der Arbeitnehmer am Kapital der Gesellschaften und zur Einführung einer Gewinnprämie für die Arbeitnehmer,</w:t>
      </w:r>
    </w:p>
    <w:p w14:paraId="158F683A" w14:textId="77777777" w:rsidR="009975E3" w:rsidRPr="009118AB" w:rsidRDefault="009975E3" w:rsidP="009975E3">
      <w:pPr>
        <w:jc w:val="both"/>
      </w:pPr>
    </w:p>
    <w:p w14:paraId="399E45B9" w14:textId="77777777" w:rsidR="009975E3" w:rsidRPr="009118AB" w:rsidRDefault="009975E3" w:rsidP="009975E3">
      <w:pPr>
        <w:ind w:firstLine="708"/>
        <w:jc w:val="both"/>
      </w:pPr>
      <w:r w:rsidRPr="009118AB">
        <w:t>3. Seeschifffahrtsgesellschaften, die gemäß den Artikeln 115 bis 120 oder gemäß Artikel 124 des Programmgesetzes vom 2. August 2002 der Einkommensteuer unterliegen.</w:t>
      </w:r>
    </w:p>
    <w:p w14:paraId="07E59D15" w14:textId="77777777" w:rsidR="009975E3" w:rsidRPr="009118AB" w:rsidRDefault="009975E3" w:rsidP="009975E3">
      <w:pPr>
        <w:jc w:val="both"/>
      </w:pPr>
    </w:p>
    <w:p w14:paraId="0EC7DE10" w14:textId="77777777" w:rsidR="009975E3" w:rsidRPr="009118AB" w:rsidRDefault="009975E3" w:rsidP="009975E3">
      <w:pPr>
        <w:ind w:firstLine="708"/>
        <w:jc w:val="both"/>
      </w:pPr>
      <w:r w:rsidRPr="009118AB">
        <w:t>Des Weiteren ist diese Regelung nicht auf Gesellschaften anwendbar, die am 18. März 2020 als Unternehmen in Schwierigkeiten betrachtet werden konnten.</w:t>
      </w:r>
    </w:p>
    <w:p w14:paraId="249EBE77" w14:textId="77777777" w:rsidR="009975E3" w:rsidRPr="009118AB" w:rsidRDefault="009975E3" w:rsidP="009975E3">
      <w:pPr>
        <w:jc w:val="both"/>
      </w:pPr>
    </w:p>
    <w:p w14:paraId="78FDACF9" w14:textId="77777777" w:rsidR="009975E3" w:rsidRPr="009118AB" w:rsidRDefault="009975E3" w:rsidP="009975E3">
      <w:pPr>
        <w:ind w:firstLine="708"/>
        <w:jc w:val="both"/>
      </w:pPr>
      <w:r w:rsidRPr="009118AB">
        <w:t>Schließlich ist diese Regelung nicht auf Gesellschaften anwendbar, die im Zeitraum vom 12. März 2020 bis einschließlich zum Tag der Einreichung der Erklärung, die an das Steuerjahr 2021 gebunden ist:</w:t>
      </w:r>
    </w:p>
    <w:p w14:paraId="36E1D32E" w14:textId="77777777" w:rsidR="009975E3" w:rsidRPr="009118AB" w:rsidRDefault="009975E3" w:rsidP="009975E3">
      <w:pPr>
        <w:jc w:val="both"/>
      </w:pPr>
    </w:p>
    <w:p w14:paraId="106F55F8" w14:textId="2D61A8D6" w:rsidR="009975E3" w:rsidRPr="009118AB" w:rsidRDefault="009975E3" w:rsidP="009975E3">
      <w:pPr>
        <w:ind w:firstLine="708"/>
        <w:jc w:val="both"/>
      </w:pPr>
      <w:r w:rsidRPr="009118AB">
        <w:t xml:space="preserve">- entweder eine unmittelbare Beteiligung an einer Gesellschaft halten, die in einem Staat ansässig ist, der in einer der in Artikel 307 </w:t>
      </w:r>
      <w:r w:rsidR="00D67EB8" w:rsidRPr="009118AB">
        <w:t>§ </w:t>
      </w:r>
      <w:r w:rsidRPr="009118AB">
        <w:t>1/2 erwähnten Listen aufgenommen ist, oder in einem Staat, der in der in Artikel 179 des KE/EStGB 92 erwähnten Liste aufgenommen ist,</w:t>
      </w:r>
    </w:p>
    <w:p w14:paraId="1A41BECC" w14:textId="77777777" w:rsidR="009975E3" w:rsidRPr="009118AB" w:rsidRDefault="009975E3" w:rsidP="009975E3">
      <w:pPr>
        <w:jc w:val="both"/>
      </w:pPr>
    </w:p>
    <w:p w14:paraId="67415852" w14:textId="77777777" w:rsidR="009975E3" w:rsidRPr="009118AB" w:rsidRDefault="009975E3" w:rsidP="009975E3">
      <w:pPr>
        <w:ind w:firstLine="708"/>
        <w:jc w:val="both"/>
      </w:pPr>
      <w:r w:rsidRPr="009118AB">
        <w:t>- oder Zahlungen an Gesellschaften getätigt haben, die in einem der im ersten Gedankenstrich erwähnten Staaten ansässig sind, sofern diese Zahlungen sich im Laufe des Besteuerungszeitraums auf einen Gesamtbetrag von mindestens 100.000 EUR belaufen und nicht nachgewiesen wurde, dass diese Zahlungen im Rahmen tatsächlicher und ehrlicher Geschäfte getätigt wurden, die aus rechtmäßigen finanziellen oder wirtschaftlichen Bedürfnissen hervorgehen.</w:t>
      </w:r>
    </w:p>
    <w:p w14:paraId="50E6352E" w14:textId="77777777" w:rsidR="009975E3" w:rsidRPr="009118AB" w:rsidRDefault="009975E3" w:rsidP="009975E3">
      <w:pPr>
        <w:jc w:val="both"/>
      </w:pPr>
    </w:p>
    <w:p w14:paraId="2A92F510" w14:textId="1DB6CEFF" w:rsidR="009975E3" w:rsidRPr="009118AB" w:rsidRDefault="00D67EB8" w:rsidP="009975E3">
      <w:pPr>
        <w:ind w:firstLine="708"/>
        <w:jc w:val="both"/>
      </w:pPr>
      <w:r w:rsidRPr="009118AB">
        <w:t>§ </w:t>
      </w:r>
      <w:r w:rsidR="009975E3" w:rsidRPr="009118AB">
        <w:t>4</w:t>
      </w:r>
      <w:r w:rsidRPr="009118AB">
        <w:t> - </w:t>
      </w:r>
      <w:r w:rsidR="009975E3" w:rsidRPr="009118AB">
        <w:t xml:space="preserve">Der in Anwendung von </w:t>
      </w:r>
      <w:r w:rsidRPr="009118AB">
        <w:t>§ </w:t>
      </w:r>
      <w:r w:rsidR="009975E3" w:rsidRPr="009118AB">
        <w:t xml:space="preserve">1 steuerfreie Gesamtbetrag wird am Ende des Besteuerungszeitraums, der auf den in </w:t>
      </w:r>
      <w:r w:rsidRPr="009118AB">
        <w:t>§ </w:t>
      </w:r>
      <w:r w:rsidR="009975E3" w:rsidRPr="009118AB">
        <w:t>1 Absatz 2 erwähnten Besteuerungszeitraum folgt, zum Betrag der steuerpflichtigen Gewinnrücklagen hinzugefügt.</w:t>
      </w:r>
    </w:p>
    <w:p w14:paraId="62D02800" w14:textId="77777777" w:rsidR="009975E3" w:rsidRPr="009118AB" w:rsidRDefault="009975E3" w:rsidP="009975E3">
      <w:pPr>
        <w:jc w:val="both"/>
      </w:pPr>
    </w:p>
    <w:p w14:paraId="2D862E5C" w14:textId="09627945" w:rsidR="009975E3" w:rsidRPr="009118AB" w:rsidRDefault="00D67EB8" w:rsidP="009975E3">
      <w:pPr>
        <w:ind w:firstLine="708"/>
        <w:jc w:val="both"/>
        <w:rPr>
          <w:iCs/>
        </w:rPr>
      </w:pPr>
      <w:r w:rsidRPr="009118AB">
        <w:t>§ </w:t>
      </w:r>
      <w:r w:rsidR="009975E3" w:rsidRPr="009118AB">
        <w:t>5</w:t>
      </w:r>
      <w:r w:rsidRPr="009118AB">
        <w:t> - </w:t>
      </w:r>
      <w:r w:rsidR="009975E3" w:rsidRPr="009118AB">
        <w:t>Im Falle einer Steuerbefreiung auf der Grundlage des vorliegenden Artikels muss der Steuerpflichtige je nach Fal</w:t>
      </w:r>
      <w:r w:rsidR="00DE578D" w:rsidRPr="009118AB">
        <w:t>l der Einkommensteuererklärung [für die Steuerjahre 2019 und 2020 oder 2020 und 2021]</w:t>
      </w:r>
      <w:r w:rsidR="009975E3" w:rsidRPr="009118AB">
        <w:t xml:space="preserve"> eine Aufstellung beifügen, deren Muster vom König festgelegt wird, oder, wenn die Erklärung in Bezug auf eines oder mehrere dieser Steuerjahre zum Zeitpunkt des Inkrafttretens des vorliegenden Artikels bereits eingereicht worden ist, diese Aufstellung zusätzlich zur Erklärung gemäß den vom König bestimmten Modalitäten spätestens am 30. November 2020 übermitteln.</w:t>
      </w:r>
      <w:r w:rsidR="009975E3" w:rsidRPr="009118AB">
        <w:rPr>
          <w:iCs/>
        </w:rPr>
        <w:t>]</w:t>
      </w:r>
    </w:p>
    <w:p w14:paraId="5752E427" w14:textId="22077FB7" w:rsidR="009975E3" w:rsidRPr="009118AB" w:rsidRDefault="009975E3" w:rsidP="009975E3">
      <w:pPr>
        <w:ind w:firstLine="708"/>
        <w:jc w:val="both"/>
        <w:rPr>
          <w:iCs/>
        </w:rPr>
      </w:pPr>
    </w:p>
    <w:p w14:paraId="14BB5744" w14:textId="13A4B450" w:rsidR="009975E3" w:rsidRPr="009118AB" w:rsidRDefault="009975E3" w:rsidP="009975E3">
      <w:pPr>
        <w:jc w:val="both"/>
        <w:rPr>
          <w:i/>
          <w:iCs/>
        </w:rPr>
      </w:pPr>
      <w:r w:rsidRPr="009118AB">
        <w:rPr>
          <w:i/>
          <w:iCs/>
        </w:rPr>
        <w:t>[</w:t>
      </w:r>
      <w:r w:rsidR="00D67EB8" w:rsidRPr="009118AB">
        <w:rPr>
          <w:i/>
          <w:iCs/>
        </w:rPr>
        <w:t>Art. </w:t>
      </w:r>
      <w:r w:rsidRPr="009118AB">
        <w:rPr>
          <w:i/>
          <w:iCs/>
        </w:rPr>
        <w:t xml:space="preserve">194septies/1 eingefügt durch </w:t>
      </w:r>
      <w:r w:rsidR="00D67EB8" w:rsidRPr="009118AB">
        <w:rPr>
          <w:i/>
          <w:iCs/>
        </w:rPr>
        <w:t>Art. </w:t>
      </w:r>
      <w:r w:rsidRPr="009118AB">
        <w:rPr>
          <w:i/>
          <w:iCs/>
        </w:rPr>
        <w:t>20 des G. vom 23. Juni 2020 (B.S. vom 1. Juli 2020)</w:t>
      </w:r>
      <w:r w:rsidR="00DE578D" w:rsidRPr="009118AB">
        <w:rPr>
          <w:i/>
          <w:iCs/>
        </w:rPr>
        <w:t xml:space="preserve">; </w:t>
      </w:r>
      <w:r w:rsidR="00D67EB8" w:rsidRPr="009118AB">
        <w:rPr>
          <w:i/>
          <w:iCs/>
        </w:rPr>
        <w:t>§ </w:t>
      </w:r>
      <w:r w:rsidR="00DE578D" w:rsidRPr="009118AB">
        <w:rPr>
          <w:i/>
          <w:iCs/>
        </w:rPr>
        <w:t xml:space="preserve">1 </w:t>
      </w:r>
      <w:r w:rsidR="00D67EB8" w:rsidRPr="009118AB">
        <w:rPr>
          <w:i/>
          <w:iCs/>
        </w:rPr>
        <w:t>Abs. </w:t>
      </w:r>
      <w:r w:rsidR="00DE578D" w:rsidRPr="009118AB">
        <w:rPr>
          <w:i/>
          <w:iCs/>
        </w:rPr>
        <w:t xml:space="preserve">1 abgeändert durch </w:t>
      </w:r>
      <w:r w:rsidR="00D67EB8" w:rsidRPr="009118AB">
        <w:rPr>
          <w:i/>
          <w:iCs/>
        </w:rPr>
        <w:t>Art. </w:t>
      </w:r>
      <w:r w:rsidR="00DE578D" w:rsidRPr="009118AB">
        <w:rPr>
          <w:i/>
          <w:iCs/>
        </w:rPr>
        <w:t xml:space="preserve">13 </w:t>
      </w:r>
      <w:r w:rsidR="00D67EB8" w:rsidRPr="009118AB">
        <w:rPr>
          <w:i/>
          <w:iCs/>
        </w:rPr>
        <w:t>Nr. </w:t>
      </w:r>
      <w:r w:rsidR="00DE578D" w:rsidRPr="009118AB">
        <w:rPr>
          <w:i/>
          <w:iCs/>
        </w:rPr>
        <w:t>1 und 2 des G. vom 15. Juli 2020 (B.S. vom 23. Juli 2020)</w:t>
      </w:r>
      <w:r w:rsidR="00D67EB8" w:rsidRPr="009118AB">
        <w:rPr>
          <w:i/>
          <w:iCs/>
        </w:rPr>
        <w:t> - </w:t>
      </w:r>
      <w:r w:rsidR="00DE578D" w:rsidRPr="009118AB">
        <w:rPr>
          <w:i/>
          <w:iCs/>
        </w:rPr>
        <w:t>in Kraft am 31. Juli 2020</w:t>
      </w:r>
      <w:r w:rsidR="003366D9" w:rsidRPr="009118AB">
        <w:rPr>
          <w:i/>
          <w:iCs/>
        </w:rPr>
        <w:t> -;</w:t>
      </w:r>
      <w:r w:rsidR="00DE578D" w:rsidRPr="009118AB">
        <w:rPr>
          <w:i/>
          <w:iCs/>
        </w:rPr>
        <w:t xml:space="preserve"> </w:t>
      </w:r>
      <w:r w:rsidR="00D67EB8" w:rsidRPr="009118AB">
        <w:rPr>
          <w:i/>
          <w:iCs/>
        </w:rPr>
        <w:t>§ </w:t>
      </w:r>
      <w:r w:rsidR="00DE578D" w:rsidRPr="009118AB">
        <w:rPr>
          <w:i/>
          <w:iCs/>
        </w:rPr>
        <w:t xml:space="preserve">1 </w:t>
      </w:r>
      <w:r w:rsidR="00D67EB8" w:rsidRPr="009118AB">
        <w:rPr>
          <w:i/>
          <w:iCs/>
        </w:rPr>
        <w:t>Abs. </w:t>
      </w:r>
      <w:r w:rsidR="00DE578D" w:rsidRPr="009118AB">
        <w:rPr>
          <w:i/>
          <w:iCs/>
        </w:rPr>
        <w:t xml:space="preserve">2 abgeändert durch </w:t>
      </w:r>
      <w:r w:rsidR="00D67EB8" w:rsidRPr="009118AB">
        <w:rPr>
          <w:i/>
          <w:iCs/>
        </w:rPr>
        <w:t>Art. </w:t>
      </w:r>
      <w:r w:rsidR="00DE578D" w:rsidRPr="009118AB">
        <w:rPr>
          <w:i/>
          <w:iCs/>
        </w:rPr>
        <w:t xml:space="preserve">13 </w:t>
      </w:r>
      <w:r w:rsidR="00D67EB8" w:rsidRPr="009118AB">
        <w:rPr>
          <w:i/>
          <w:iCs/>
        </w:rPr>
        <w:t>Nr. </w:t>
      </w:r>
      <w:r w:rsidR="00DE578D" w:rsidRPr="009118AB">
        <w:rPr>
          <w:i/>
          <w:iCs/>
        </w:rPr>
        <w:t>3 des G. vom 15. Juli 2020 (B.S. vom 23. Juli 2020)</w:t>
      </w:r>
      <w:r w:rsidR="00D67EB8" w:rsidRPr="009118AB">
        <w:rPr>
          <w:i/>
          <w:iCs/>
        </w:rPr>
        <w:t> - </w:t>
      </w:r>
      <w:r w:rsidR="00DE578D" w:rsidRPr="009118AB">
        <w:rPr>
          <w:i/>
          <w:iCs/>
        </w:rPr>
        <w:t>in Kraft am 31. Juli 2020</w:t>
      </w:r>
      <w:r w:rsidR="003366D9" w:rsidRPr="009118AB">
        <w:rPr>
          <w:i/>
          <w:iCs/>
        </w:rPr>
        <w:t> -;</w:t>
      </w:r>
      <w:r w:rsidR="00DE578D" w:rsidRPr="009118AB">
        <w:rPr>
          <w:i/>
          <w:iCs/>
        </w:rPr>
        <w:t xml:space="preserve"> </w:t>
      </w:r>
      <w:r w:rsidR="00D67EB8" w:rsidRPr="009118AB">
        <w:rPr>
          <w:i/>
          <w:iCs/>
        </w:rPr>
        <w:t>§ </w:t>
      </w:r>
      <w:r w:rsidR="00DE578D" w:rsidRPr="009118AB">
        <w:rPr>
          <w:i/>
          <w:iCs/>
        </w:rPr>
        <w:t xml:space="preserve">1 </w:t>
      </w:r>
      <w:r w:rsidR="00D67EB8" w:rsidRPr="009118AB">
        <w:rPr>
          <w:i/>
          <w:iCs/>
        </w:rPr>
        <w:t>Abs. </w:t>
      </w:r>
      <w:r w:rsidR="00DE578D" w:rsidRPr="009118AB">
        <w:rPr>
          <w:i/>
          <w:iCs/>
        </w:rPr>
        <w:t xml:space="preserve">3 abgeändert durch </w:t>
      </w:r>
      <w:r w:rsidR="00D67EB8" w:rsidRPr="009118AB">
        <w:rPr>
          <w:i/>
          <w:iCs/>
        </w:rPr>
        <w:t>Art. </w:t>
      </w:r>
      <w:r w:rsidR="00DE578D" w:rsidRPr="009118AB">
        <w:rPr>
          <w:i/>
          <w:iCs/>
        </w:rPr>
        <w:t xml:space="preserve">13 </w:t>
      </w:r>
      <w:r w:rsidR="00D67EB8" w:rsidRPr="009118AB">
        <w:rPr>
          <w:i/>
          <w:iCs/>
        </w:rPr>
        <w:t>Nr. </w:t>
      </w:r>
      <w:r w:rsidR="00DE578D" w:rsidRPr="009118AB">
        <w:rPr>
          <w:i/>
          <w:iCs/>
        </w:rPr>
        <w:t>4 des G. vom 15. Juli 2020 (B.S. vom 23. Juli 2020)</w:t>
      </w:r>
      <w:r w:rsidR="00D67EB8" w:rsidRPr="009118AB">
        <w:rPr>
          <w:i/>
          <w:iCs/>
        </w:rPr>
        <w:t> - </w:t>
      </w:r>
      <w:r w:rsidR="00DE578D" w:rsidRPr="009118AB">
        <w:rPr>
          <w:i/>
          <w:iCs/>
        </w:rPr>
        <w:t>in Kraft am 31. Juli 2020</w:t>
      </w:r>
      <w:r w:rsidR="003366D9" w:rsidRPr="009118AB">
        <w:rPr>
          <w:i/>
          <w:iCs/>
        </w:rPr>
        <w:t> -;</w:t>
      </w:r>
      <w:r w:rsidR="00DE578D" w:rsidRPr="009118AB">
        <w:rPr>
          <w:i/>
          <w:iCs/>
        </w:rPr>
        <w:t xml:space="preserve"> </w:t>
      </w:r>
      <w:r w:rsidR="001F15B0" w:rsidRPr="009118AB">
        <w:rPr>
          <w:i/>
          <w:iCs/>
        </w:rPr>
        <w:t xml:space="preserve">§ 3 Abs. 2 Nr. 1 abgeändert durch Art. 17 des G. vom 21. Dezember 2022 (II) </w:t>
      </w:r>
      <w:r w:rsidR="001F15B0" w:rsidRPr="009118AB">
        <w:rPr>
          <w:i/>
          <w:iCs/>
        </w:rPr>
        <w:lastRenderedPageBreak/>
        <w:t>(B.S. vom 29. Dezember 2022)</w:t>
      </w:r>
      <w:r w:rsidR="00AD1D92" w:rsidRPr="009118AB">
        <w:rPr>
          <w:i/>
          <w:iCs/>
        </w:rPr>
        <w:t>;</w:t>
      </w:r>
      <w:r w:rsidR="001F15B0" w:rsidRPr="009118AB">
        <w:rPr>
          <w:i/>
          <w:iCs/>
        </w:rPr>
        <w:t xml:space="preserve"> </w:t>
      </w:r>
      <w:r w:rsidR="00D67EB8" w:rsidRPr="009118AB">
        <w:rPr>
          <w:i/>
          <w:iCs/>
        </w:rPr>
        <w:t>§ </w:t>
      </w:r>
      <w:r w:rsidR="00DE578D" w:rsidRPr="009118AB">
        <w:rPr>
          <w:i/>
          <w:iCs/>
        </w:rPr>
        <w:t xml:space="preserve">5 abgeändert durch </w:t>
      </w:r>
      <w:r w:rsidR="00D67EB8" w:rsidRPr="009118AB">
        <w:rPr>
          <w:i/>
          <w:iCs/>
        </w:rPr>
        <w:t>Art. </w:t>
      </w:r>
      <w:r w:rsidR="00DE578D" w:rsidRPr="009118AB">
        <w:rPr>
          <w:i/>
          <w:iCs/>
        </w:rPr>
        <w:t xml:space="preserve">13 </w:t>
      </w:r>
      <w:r w:rsidR="00D67EB8" w:rsidRPr="009118AB">
        <w:rPr>
          <w:i/>
          <w:iCs/>
        </w:rPr>
        <w:t>Nr. </w:t>
      </w:r>
      <w:r w:rsidR="00DE578D" w:rsidRPr="009118AB">
        <w:rPr>
          <w:i/>
          <w:iCs/>
        </w:rPr>
        <w:t>5 des G. vom 15. Juli 2020 (B.S. vom 23. Juli 2020)</w:t>
      </w:r>
      <w:r w:rsidR="00D67EB8" w:rsidRPr="009118AB">
        <w:rPr>
          <w:i/>
          <w:iCs/>
        </w:rPr>
        <w:t> - </w:t>
      </w:r>
      <w:r w:rsidR="00DE578D" w:rsidRPr="009118AB">
        <w:rPr>
          <w:i/>
          <w:iCs/>
        </w:rPr>
        <w:t>in Kraft am 31. Juli 2020</w:t>
      </w:r>
      <w:r w:rsidR="00FD68E8" w:rsidRPr="009118AB">
        <w:rPr>
          <w:i/>
          <w:iCs/>
        </w:rPr>
        <w:t> -]</w:t>
      </w:r>
    </w:p>
    <w:p w14:paraId="440E95E2" w14:textId="77777777" w:rsidR="009975E3" w:rsidRPr="009118AB" w:rsidRDefault="009975E3" w:rsidP="009975E3">
      <w:pPr>
        <w:jc w:val="both"/>
        <w:rPr>
          <w:i/>
          <w:iCs/>
        </w:rPr>
      </w:pPr>
    </w:p>
    <w:p w14:paraId="2BEF53F5" w14:textId="77777777" w:rsidR="001F15B0" w:rsidRPr="009118AB" w:rsidRDefault="001F15B0">
      <w:pPr>
        <w:rPr>
          <w:i/>
          <w:iCs/>
        </w:rPr>
      </w:pPr>
      <w:r w:rsidRPr="009118AB">
        <w:rPr>
          <w:i/>
          <w:iCs/>
        </w:rPr>
        <w:br w:type="page"/>
      </w:r>
    </w:p>
    <w:p w14:paraId="3632938B" w14:textId="0C296AB5" w:rsidR="00477B8F" w:rsidRPr="009118AB" w:rsidRDefault="00477B8F" w:rsidP="0031458F">
      <w:pPr>
        <w:autoSpaceDE w:val="0"/>
        <w:autoSpaceDN w:val="0"/>
        <w:adjustRightInd w:val="0"/>
        <w:jc w:val="center"/>
      </w:pPr>
      <w:r w:rsidRPr="009118AB">
        <w:rPr>
          <w:i/>
          <w:iCs/>
        </w:rPr>
        <w:lastRenderedPageBreak/>
        <w:t>Abschnitt </w:t>
      </w:r>
      <w:r w:rsidR="00D74862" w:rsidRPr="009118AB">
        <w:rPr>
          <w:i/>
          <w:iCs/>
        </w:rPr>
        <w:t>4</w:t>
      </w:r>
      <w:r w:rsidR="00D67EB8" w:rsidRPr="009118AB">
        <w:t> - </w:t>
      </w:r>
      <w:r w:rsidRPr="009118AB">
        <w:t>Festlegung des Nettoeinkommens</w:t>
      </w:r>
    </w:p>
    <w:p w14:paraId="4D531AF4" w14:textId="77777777" w:rsidR="00477B8F" w:rsidRPr="009118AB" w:rsidRDefault="00477B8F" w:rsidP="00477B8F">
      <w:pPr>
        <w:autoSpaceDE w:val="0"/>
        <w:autoSpaceDN w:val="0"/>
        <w:adjustRightInd w:val="0"/>
        <w:jc w:val="center"/>
      </w:pPr>
    </w:p>
    <w:p w14:paraId="083DEC38" w14:textId="77777777" w:rsidR="00477B8F" w:rsidRPr="009118AB" w:rsidRDefault="00477B8F" w:rsidP="00477B8F">
      <w:pPr>
        <w:autoSpaceDE w:val="0"/>
        <w:autoSpaceDN w:val="0"/>
        <w:adjustRightInd w:val="0"/>
        <w:jc w:val="center"/>
      </w:pPr>
    </w:p>
    <w:p w14:paraId="4A9BD132" w14:textId="60A8A989" w:rsidR="00477B8F" w:rsidRPr="009118AB" w:rsidRDefault="00477B8F" w:rsidP="00477B8F">
      <w:pPr>
        <w:autoSpaceDE w:val="0"/>
        <w:autoSpaceDN w:val="0"/>
        <w:adjustRightInd w:val="0"/>
        <w:jc w:val="center"/>
      </w:pPr>
      <w:r w:rsidRPr="009118AB">
        <w:t>Unterabschnitt </w:t>
      </w:r>
      <w:r w:rsidR="00D74862" w:rsidRPr="009118AB">
        <w:t>1</w:t>
      </w:r>
      <w:r w:rsidR="00D67EB8" w:rsidRPr="009118AB">
        <w:t> - </w:t>
      </w:r>
      <w:r w:rsidRPr="009118AB">
        <w:t>Werbungskosten</w:t>
      </w:r>
    </w:p>
    <w:p w14:paraId="0FEE8EBE" w14:textId="77777777" w:rsidR="004058B4" w:rsidRPr="009118AB" w:rsidRDefault="004058B4" w:rsidP="00477B8F">
      <w:pPr>
        <w:autoSpaceDE w:val="0"/>
        <w:autoSpaceDN w:val="0"/>
        <w:adjustRightInd w:val="0"/>
        <w:jc w:val="center"/>
      </w:pPr>
    </w:p>
    <w:p w14:paraId="28A0DB99" w14:textId="77777777" w:rsidR="004058B4" w:rsidRPr="009118AB" w:rsidRDefault="004058B4" w:rsidP="00477B8F">
      <w:pPr>
        <w:autoSpaceDE w:val="0"/>
        <w:autoSpaceDN w:val="0"/>
        <w:adjustRightInd w:val="0"/>
        <w:jc w:val="center"/>
      </w:pPr>
    </w:p>
    <w:p w14:paraId="591A4B53" w14:textId="77777777" w:rsidR="00ED6329" w:rsidRDefault="00ED6329" w:rsidP="00ED6329">
      <w:pPr>
        <w:jc w:val="both"/>
        <w:rPr>
          <w:iCs/>
        </w:rPr>
      </w:pPr>
      <w:r w:rsidRPr="009118AB">
        <w:rPr>
          <w:rFonts w:eastAsia="Calibri"/>
        </w:rPr>
        <w:tab/>
        <w:t>[</w:t>
      </w:r>
      <w:r w:rsidRPr="009118AB">
        <w:rPr>
          <w:rFonts w:eastAsia="Calibri"/>
          <w:b/>
        </w:rPr>
        <w:t>Art. 194</w:t>
      </w:r>
      <w:r w:rsidRPr="009118AB">
        <w:rPr>
          <w:rFonts w:eastAsia="Calibri"/>
          <w:b/>
          <w:i/>
        </w:rPr>
        <w:t>octies - </w:t>
      </w:r>
      <w:r w:rsidRPr="009118AB">
        <w:rPr>
          <w:iCs/>
        </w:rPr>
        <w:t>[Die Artikel 51 Absatz 2 Nr. 5 [</w:t>
      </w:r>
      <w:r>
        <w:t>und 64</w:t>
      </w:r>
      <w:r>
        <w:rPr>
          <w:i/>
          <w:iCs/>
        </w:rPr>
        <w:t>ter</w:t>
      </w:r>
      <w:r>
        <w:t xml:space="preserve"> Absatz 1 Nr. 2 und 3 und Absatz 2 und 3</w:t>
      </w:r>
      <w:r w:rsidRPr="00921A57">
        <w:rPr>
          <w:iCs/>
        </w:rPr>
        <w:t>]</w:t>
      </w:r>
      <w:r w:rsidRPr="009118AB">
        <w:rPr>
          <w:iCs/>
        </w:rPr>
        <w:t xml:space="preserve"> kommen] nicht zur Anwendung.]</w:t>
      </w:r>
    </w:p>
    <w:p w14:paraId="60C89A13" w14:textId="77777777" w:rsidR="00ED6329" w:rsidRDefault="00ED6329" w:rsidP="00ED6329">
      <w:pPr>
        <w:jc w:val="both"/>
        <w:rPr>
          <w:iCs/>
        </w:rPr>
      </w:pPr>
    </w:p>
    <w:p w14:paraId="0ACBAC76" w14:textId="77777777" w:rsidR="00ED6329" w:rsidRPr="009118AB" w:rsidRDefault="00ED6329" w:rsidP="00ED6329">
      <w:pPr>
        <w:jc w:val="both"/>
        <w:rPr>
          <w:iCs/>
        </w:rPr>
      </w:pPr>
      <w:r>
        <w:rPr>
          <w:iCs/>
        </w:rPr>
        <w:tab/>
        <w:t>[</w:t>
      </w:r>
      <w:r>
        <w:t>Artikel 64</w:t>
      </w:r>
      <w:r>
        <w:rPr>
          <w:i/>
        </w:rPr>
        <w:t xml:space="preserve">ter </w:t>
      </w:r>
      <w:r>
        <w:t>Absatz 1 Nr. 1 ist nur auf Gesellschaften anwendbar, die als kleine Gesellschaften betrachtet werden.]</w:t>
      </w:r>
    </w:p>
    <w:p w14:paraId="42A3F160" w14:textId="37171715" w:rsidR="00ED6329" w:rsidRDefault="00ED6329" w:rsidP="00ED6329">
      <w:pPr>
        <w:jc w:val="both"/>
        <w:rPr>
          <w:iCs/>
        </w:rPr>
      </w:pPr>
    </w:p>
    <w:p w14:paraId="2E3930D5" w14:textId="5911D0E8" w:rsidR="00057003" w:rsidRPr="00057003" w:rsidRDefault="00057003" w:rsidP="00057003">
      <w:pPr>
        <w:ind w:firstLine="708"/>
        <w:jc w:val="both"/>
      </w:pPr>
      <w:r>
        <w:t>[</w:t>
      </w:r>
      <w:r w:rsidRPr="00057003">
        <w:t>Artikel 53 Nr. 33 Buchstabe </w:t>
      </w:r>
      <w:r w:rsidRPr="00057003">
        <w:rPr>
          <w:i/>
          <w:iCs/>
        </w:rPr>
        <w:t>b)</w:t>
      </w:r>
      <w:r w:rsidRPr="00057003">
        <w:t xml:space="preserve"> ist auch nicht auf den Mietpreis und die Mietvorteile anwendbar, die sich auf ein unbewegliches Gut beziehen, das von einer regionalen Wohnungsbaugesellschaft oder einer von ihr oder von der Behörde, die für die Politik im Bereich des sozialen Wohnungsbaus zuständig ist, zugelassenen Gesellschaft für sozialen Wohnungsbau gemietet wird im Hinblick auf seine Zurverfügungstellung an:</w:t>
      </w:r>
    </w:p>
    <w:p w14:paraId="63133837" w14:textId="77777777" w:rsidR="00057003" w:rsidRPr="00057003" w:rsidRDefault="00057003" w:rsidP="00057003">
      <w:pPr>
        <w:jc w:val="both"/>
      </w:pPr>
    </w:p>
    <w:p w14:paraId="736071D7" w14:textId="77777777" w:rsidR="00057003" w:rsidRPr="00057003" w:rsidRDefault="00057003" w:rsidP="00057003">
      <w:pPr>
        <w:ind w:firstLine="708"/>
        <w:jc w:val="both"/>
      </w:pPr>
      <w:r w:rsidRPr="00057003">
        <w:t>- eine natürliche Person, die es ausschließlich zu Wohnzwecken nutzt, oder</w:t>
      </w:r>
    </w:p>
    <w:p w14:paraId="55FC3978" w14:textId="77777777" w:rsidR="00057003" w:rsidRPr="00057003" w:rsidRDefault="00057003" w:rsidP="00057003">
      <w:pPr>
        <w:jc w:val="both"/>
      </w:pPr>
    </w:p>
    <w:p w14:paraId="4A2E873D" w14:textId="1B882AFA" w:rsidR="00057003" w:rsidRDefault="00057003" w:rsidP="00057003">
      <w:pPr>
        <w:ind w:firstLine="708"/>
        <w:jc w:val="both"/>
        <w:rPr>
          <w:iCs/>
        </w:rPr>
      </w:pPr>
      <w:r w:rsidRPr="00057003">
        <w:t>- mehrere natürliche Personen, die es gemeinsam und ausschließlich zu Wohnzwecken nutzen.</w:t>
      </w:r>
      <w:r>
        <w:t>]</w:t>
      </w:r>
    </w:p>
    <w:p w14:paraId="0530AADA" w14:textId="77777777" w:rsidR="00057003" w:rsidRPr="009118AB" w:rsidRDefault="00057003" w:rsidP="00ED6329">
      <w:pPr>
        <w:jc w:val="both"/>
        <w:rPr>
          <w:iCs/>
        </w:rPr>
      </w:pPr>
    </w:p>
    <w:p w14:paraId="266FC6CB" w14:textId="56E4D879" w:rsidR="00ED6329" w:rsidRDefault="00ED6329" w:rsidP="00ED6329">
      <w:pPr>
        <w:jc w:val="both"/>
        <w:rPr>
          <w:i/>
        </w:rPr>
      </w:pPr>
      <w:r w:rsidRPr="009118AB">
        <w:rPr>
          <w:i/>
          <w:iCs/>
        </w:rPr>
        <w:t>[Art. 194octies eingefügt durch Art. 57 des G. vom 26. März 2018 (B.S. vom 30. März 2018) - wirksam mit 1. Januar 2018 und anwendbar ab dem Steuerjahr 2019 -</w:t>
      </w:r>
      <w:r>
        <w:rPr>
          <w:i/>
          <w:iCs/>
        </w:rPr>
        <w:t>; Abs. 1 (früherer einziger Absatz)</w:t>
      </w:r>
      <w:r w:rsidRPr="009118AB">
        <w:rPr>
          <w:i/>
          <w:iCs/>
        </w:rPr>
        <w:t xml:space="preserve"> abgeändert durch Art. 5</w:t>
      </w:r>
      <w:r w:rsidRPr="009118AB">
        <w:rPr>
          <w:i/>
        </w:rPr>
        <w:t xml:space="preserve"> des G. vom 30. Juli 2018 (I) (B.S. vom 10. August 2018) - in Kraft am 1. Januar 2020 und anwendbar ab dem Steuerjahr 2021, das sich auf einen Besteuerungszeitraum bezieht, der frühestens am 1. Januar 2020 beginnt -, Art. 21</w:t>
      </w:r>
      <w:r w:rsidRPr="009118AB">
        <w:rPr>
          <w:i/>
          <w:iCs/>
        </w:rPr>
        <w:t xml:space="preserve"> des G. vom 23. Juni 2020 (B.S. vom 1. Juli 2020)</w:t>
      </w:r>
      <w:r>
        <w:rPr>
          <w:i/>
          <w:iCs/>
        </w:rPr>
        <w:t>,</w:t>
      </w:r>
      <w:r w:rsidRPr="009118AB">
        <w:rPr>
          <w:i/>
          <w:iCs/>
        </w:rPr>
        <w:t xml:space="preserve"> Art. 20</w:t>
      </w:r>
      <w:r w:rsidRPr="009118AB">
        <w:rPr>
          <w:i/>
          <w:iCs/>
          <w:spacing w:val="-2"/>
        </w:rPr>
        <w:t xml:space="preserve"> des G. vom 5. Juli 2022 (B.S. vom 15. Juli 2022)</w:t>
      </w:r>
      <w:r>
        <w:rPr>
          <w:i/>
          <w:iCs/>
          <w:spacing w:val="-2"/>
        </w:rPr>
        <w:t xml:space="preserve"> und Art. 5 Nr. 1 des G. </w:t>
      </w:r>
      <w:r w:rsidRPr="006C600B">
        <w:rPr>
          <w:i/>
          <w:iCs/>
        </w:rPr>
        <w:t>vom 6. Februar 2024 (B.S. vom 20. Februar 2024) - in Kraft am 1. Januar 2024 und anwendbar ab dem Steuerjahr 2025, das sich auf einen Besteuerungszeitraum bezieht, der frühestens am 1. Januar 2024 beginnt -</w:t>
      </w:r>
      <w:r>
        <w:rPr>
          <w:i/>
          <w:iCs/>
        </w:rPr>
        <w:t xml:space="preserve">; Abs. 2 eingefügt durch </w:t>
      </w:r>
      <w:r>
        <w:rPr>
          <w:i/>
          <w:iCs/>
          <w:spacing w:val="-2"/>
        </w:rPr>
        <w:t xml:space="preserve">Art. 5 Nr. 2 des G. </w:t>
      </w:r>
      <w:r w:rsidRPr="006C600B">
        <w:rPr>
          <w:i/>
          <w:iCs/>
        </w:rPr>
        <w:t>vom 6. Februar 2024 (B.S. vom 20. Februar 2024) - in Kraft am 1. Januar 2024 und anwendbar ab dem Steuerjahr 2025, das sich auf einen Besteuerungszeitraum bezieht, der frühestens am 1. Januar 2024 beginnt -</w:t>
      </w:r>
      <w:r w:rsidR="00057003">
        <w:rPr>
          <w:i/>
          <w:iCs/>
        </w:rPr>
        <w:t xml:space="preserve">; Abs. 3 eingefügt </w:t>
      </w:r>
      <w:r w:rsidR="00057003" w:rsidRPr="00AB355F">
        <w:rPr>
          <w:rFonts w:ascii="Times New Roman Italique" w:hAnsi="Times New Roman Italique"/>
          <w:i/>
          <w:iCs/>
        </w:rPr>
        <w:t>durch Art. </w:t>
      </w:r>
      <w:r w:rsidR="00057003">
        <w:rPr>
          <w:rFonts w:ascii="Times New Roman Italique" w:hAnsi="Times New Roman Italique"/>
          <w:i/>
          <w:iCs/>
        </w:rPr>
        <w:t>3</w:t>
      </w:r>
      <w:r w:rsidR="00057003" w:rsidRPr="00AB355F">
        <w:rPr>
          <w:rFonts w:ascii="Times New Roman Italique" w:hAnsi="Times New Roman Italique"/>
          <w:i/>
          <w:iCs/>
        </w:rPr>
        <w:t xml:space="preserve"> des G. vom 20. Dezember 2024 (B.S. vom 31. Dezember 2024) </w:t>
      </w:r>
      <w:r w:rsidR="00057003">
        <w:rPr>
          <w:rFonts w:ascii="Times New Roman Italique" w:hAnsi="Times New Roman Italique"/>
          <w:i/>
          <w:iCs/>
        </w:rPr>
        <w:t>-</w:t>
      </w:r>
      <w:r w:rsidR="00057003">
        <w:rPr>
          <w:rFonts w:ascii="Times New Roman Italique" w:hAnsi="Times New Roman Italique" w:hint="eastAsia"/>
          <w:i/>
          <w:iCs/>
        </w:rPr>
        <w:t> </w:t>
      </w:r>
      <w:r w:rsidR="00057003" w:rsidRPr="00931607">
        <w:rPr>
          <w:rFonts w:ascii="Times New Roman Italique" w:hAnsi="Times New Roman Italique"/>
          <w:i/>
          <w:iCs/>
        </w:rPr>
        <w:t>wirksam ab dem Steuerjahr</w:t>
      </w:r>
      <w:r w:rsidR="00057003">
        <w:rPr>
          <w:rFonts w:ascii="Times New Roman Italique" w:hAnsi="Times New Roman Italique" w:hint="eastAsia"/>
          <w:i/>
          <w:iCs/>
        </w:rPr>
        <w:t> </w:t>
      </w:r>
      <w:r w:rsidR="00057003" w:rsidRPr="00931607">
        <w:rPr>
          <w:rFonts w:ascii="Times New Roman Italique" w:hAnsi="Times New Roman Italique"/>
          <w:i/>
          <w:iCs/>
        </w:rPr>
        <w:t>2024</w:t>
      </w:r>
      <w:r w:rsidR="00057003">
        <w:rPr>
          <w:rFonts w:ascii="Times New Roman Italique" w:hAnsi="Times New Roman Italique" w:hint="eastAsia"/>
          <w:i/>
          <w:iCs/>
        </w:rPr>
        <w:t> </w:t>
      </w:r>
      <w:r w:rsidR="00057003">
        <w:rPr>
          <w:rFonts w:ascii="Times New Roman Italique" w:hAnsi="Times New Roman Italique"/>
          <w:i/>
          <w:iCs/>
        </w:rPr>
        <w:t>-</w:t>
      </w:r>
      <w:r w:rsidRPr="009118AB">
        <w:rPr>
          <w:i/>
        </w:rPr>
        <w:t>]</w:t>
      </w:r>
    </w:p>
    <w:p w14:paraId="292A2833" w14:textId="77777777" w:rsidR="00ED6329" w:rsidRDefault="00ED6329" w:rsidP="00ED6329">
      <w:pPr>
        <w:jc w:val="both"/>
        <w:rPr>
          <w:i/>
        </w:rPr>
      </w:pPr>
    </w:p>
    <w:p w14:paraId="5154E6D2" w14:textId="77777777" w:rsidR="00ED6329" w:rsidRDefault="00ED6329" w:rsidP="00ED6329">
      <w:pPr>
        <w:jc w:val="both"/>
        <w:rPr>
          <w:iCs/>
        </w:rPr>
      </w:pPr>
    </w:p>
    <w:p w14:paraId="4127EC44" w14:textId="77777777" w:rsidR="00ED6329" w:rsidRPr="006C600B" w:rsidRDefault="00ED6329" w:rsidP="00ED6329">
      <w:pPr>
        <w:autoSpaceDE w:val="0"/>
        <w:autoSpaceDN w:val="0"/>
        <w:adjustRightInd w:val="0"/>
        <w:jc w:val="both"/>
        <w:rPr>
          <w:sz w:val="20"/>
          <w:szCs w:val="20"/>
        </w:rPr>
      </w:pPr>
      <w:r w:rsidRPr="006C600B">
        <w:rPr>
          <w:sz w:val="20"/>
          <w:szCs w:val="20"/>
        </w:rPr>
        <w:t>Ab dem 1. Januar 202</w:t>
      </w:r>
      <w:r>
        <w:rPr>
          <w:sz w:val="20"/>
          <w:szCs w:val="20"/>
        </w:rPr>
        <w:t>8</w:t>
      </w:r>
      <w:r w:rsidRPr="006C600B">
        <w:rPr>
          <w:sz w:val="20"/>
          <w:szCs w:val="20"/>
        </w:rPr>
        <w:t xml:space="preserve"> (gemäß Art. 6 Abs. </w:t>
      </w:r>
      <w:r>
        <w:rPr>
          <w:sz w:val="20"/>
          <w:szCs w:val="20"/>
        </w:rPr>
        <w:t>4</w:t>
      </w:r>
      <w:r w:rsidRPr="006C600B">
        <w:rPr>
          <w:sz w:val="20"/>
          <w:szCs w:val="20"/>
        </w:rPr>
        <w:t xml:space="preserve"> des G. vom 6. Februar 2024 (B.S. vom 20. Februar 2024)) lautet Art. </w:t>
      </w:r>
      <w:r>
        <w:rPr>
          <w:sz w:val="20"/>
          <w:szCs w:val="20"/>
        </w:rPr>
        <w:t>194</w:t>
      </w:r>
      <w:r w:rsidRPr="00DC5AB0">
        <w:rPr>
          <w:i/>
          <w:iCs/>
          <w:sz w:val="20"/>
          <w:szCs w:val="20"/>
        </w:rPr>
        <w:t>octies</w:t>
      </w:r>
      <w:r w:rsidRPr="006C600B">
        <w:rPr>
          <w:sz w:val="20"/>
          <w:szCs w:val="20"/>
        </w:rPr>
        <w:t xml:space="preserve"> wie folgt:</w:t>
      </w:r>
    </w:p>
    <w:p w14:paraId="339FCEB6" w14:textId="77777777" w:rsidR="00ED6329" w:rsidRPr="006C600B" w:rsidRDefault="00ED6329" w:rsidP="00ED6329">
      <w:pPr>
        <w:autoSpaceDE w:val="0"/>
        <w:autoSpaceDN w:val="0"/>
        <w:adjustRightInd w:val="0"/>
        <w:jc w:val="both"/>
      </w:pPr>
    </w:p>
    <w:p w14:paraId="14C9E613" w14:textId="77777777" w:rsidR="00ED6329" w:rsidRPr="00DC5AB0" w:rsidRDefault="00ED6329" w:rsidP="00ED6329">
      <w:pPr>
        <w:jc w:val="both"/>
        <w:rPr>
          <w:iCs/>
          <w:sz w:val="20"/>
          <w:szCs w:val="20"/>
        </w:rPr>
      </w:pPr>
      <w:r w:rsidRPr="006C600B">
        <w:rPr>
          <w:sz w:val="20"/>
          <w:szCs w:val="20"/>
        </w:rPr>
        <w:t>"[</w:t>
      </w:r>
      <w:r w:rsidRPr="006C600B">
        <w:rPr>
          <w:bCs/>
          <w:sz w:val="20"/>
          <w:szCs w:val="20"/>
        </w:rPr>
        <w:t>Art. </w:t>
      </w:r>
      <w:r>
        <w:rPr>
          <w:bCs/>
          <w:sz w:val="20"/>
          <w:szCs w:val="20"/>
        </w:rPr>
        <w:t>194</w:t>
      </w:r>
      <w:r w:rsidRPr="00DC5AB0">
        <w:rPr>
          <w:bCs/>
          <w:i/>
          <w:iCs/>
          <w:sz w:val="20"/>
          <w:szCs w:val="20"/>
        </w:rPr>
        <w:t>octies</w:t>
      </w:r>
      <w:r w:rsidRPr="006C600B">
        <w:rPr>
          <w:bCs/>
          <w:sz w:val="20"/>
          <w:szCs w:val="20"/>
        </w:rPr>
        <w:t> -</w:t>
      </w:r>
      <w:r w:rsidRPr="006C600B">
        <w:rPr>
          <w:sz w:val="20"/>
          <w:szCs w:val="20"/>
        </w:rPr>
        <w:t> </w:t>
      </w:r>
      <w:r w:rsidRPr="00DC5AB0">
        <w:rPr>
          <w:iCs/>
          <w:sz w:val="20"/>
          <w:szCs w:val="20"/>
        </w:rPr>
        <w:t>[Die Artikel 51 Absatz 2 Nr. 5 [</w:t>
      </w:r>
      <w:r w:rsidRPr="00DC5AB0">
        <w:rPr>
          <w:sz w:val="20"/>
          <w:szCs w:val="20"/>
        </w:rPr>
        <w:t>und 64</w:t>
      </w:r>
      <w:r w:rsidRPr="00DC5AB0">
        <w:rPr>
          <w:i/>
          <w:iCs/>
          <w:sz w:val="20"/>
          <w:szCs w:val="20"/>
        </w:rPr>
        <w:t>ter</w:t>
      </w:r>
      <w:r w:rsidRPr="00DC5AB0">
        <w:rPr>
          <w:iCs/>
          <w:sz w:val="20"/>
          <w:szCs w:val="20"/>
        </w:rPr>
        <w:t>] kommen] nicht zur Anwendung.]</w:t>
      </w:r>
    </w:p>
    <w:p w14:paraId="208C2518" w14:textId="77777777" w:rsidR="00ED6329" w:rsidRPr="00DC5AB0" w:rsidRDefault="00ED6329" w:rsidP="00ED6329">
      <w:pPr>
        <w:jc w:val="both"/>
        <w:rPr>
          <w:iCs/>
          <w:sz w:val="20"/>
          <w:szCs w:val="20"/>
        </w:rPr>
      </w:pPr>
    </w:p>
    <w:p w14:paraId="3B77DA6B" w14:textId="77777777" w:rsidR="00ED6329" w:rsidRDefault="00ED6329" w:rsidP="00ED6329">
      <w:pPr>
        <w:jc w:val="both"/>
        <w:rPr>
          <w:sz w:val="20"/>
          <w:szCs w:val="20"/>
        </w:rPr>
      </w:pPr>
      <w:r w:rsidRPr="00DC5AB0">
        <w:rPr>
          <w:iCs/>
          <w:sz w:val="20"/>
          <w:szCs w:val="20"/>
        </w:rPr>
        <w:t>[</w:t>
      </w:r>
      <w:r>
        <w:rPr>
          <w:sz w:val="20"/>
          <w:szCs w:val="20"/>
        </w:rPr>
        <w:t>..</w:t>
      </w:r>
      <w:r w:rsidRPr="00DC5AB0">
        <w:rPr>
          <w:sz w:val="20"/>
          <w:szCs w:val="20"/>
        </w:rPr>
        <w:t>.]</w:t>
      </w:r>
    </w:p>
    <w:p w14:paraId="20A11D33" w14:textId="77777777" w:rsidR="00C973C7" w:rsidRDefault="00C973C7" w:rsidP="00ED6329">
      <w:pPr>
        <w:jc w:val="both"/>
        <w:rPr>
          <w:sz w:val="20"/>
          <w:szCs w:val="20"/>
        </w:rPr>
      </w:pPr>
    </w:p>
    <w:p w14:paraId="6DA09CA6" w14:textId="77777777" w:rsidR="00C973C7" w:rsidRPr="00C973C7" w:rsidRDefault="00C973C7" w:rsidP="00C973C7">
      <w:pPr>
        <w:jc w:val="both"/>
        <w:rPr>
          <w:sz w:val="20"/>
          <w:szCs w:val="20"/>
        </w:rPr>
      </w:pPr>
      <w:r w:rsidRPr="00C973C7">
        <w:rPr>
          <w:sz w:val="20"/>
          <w:szCs w:val="20"/>
        </w:rPr>
        <w:t>[Artikel 53 Nr. 33 Buchstabe </w:t>
      </w:r>
      <w:r w:rsidRPr="00C973C7">
        <w:rPr>
          <w:i/>
          <w:iCs/>
          <w:sz w:val="20"/>
          <w:szCs w:val="20"/>
        </w:rPr>
        <w:t>b)</w:t>
      </w:r>
      <w:r w:rsidRPr="00C973C7">
        <w:rPr>
          <w:sz w:val="20"/>
          <w:szCs w:val="20"/>
        </w:rPr>
        <w:t xml:space="preserve"> ist auch nicht auf den Mietpreis und die Mietvorteile anwendbar, die sich auf ein unbewegliches Gut beziehen, das von einer regionalen Wohnungsbaugesellschaft oder einer von ihr oder von der Behörde, die für die Politik im Bereich des sozialen Wohnungsbaus zuständig ist, zugelassenen Gesellschaft für sozialen Wohnungsbau gemietet wird im Hinblick auf seine Zurverfügungstellung an:</w:t>
      </w:r>
    </w:p>
    <w:p w14:paraId="45A683BE" w14:textId="77777777" w:rsidR="00C973C7" w:rsidRPr="00C973C7" w:rsidRDefault="00C973C7" w:rsidP="00C973C7">
      <w:pPr>
        <w:jc w:val="both"/>
        <w:rPr>
          <w:sz w:val="20"/>
          <w:szCs w:val="20"/>
        </w:rPr>
      </w:pPr>
    </w:p>
    <w:p w14:paraId="2018D82F" w14:textId="77777777" w:rsidR="00C973C7" w:rsidRPr="00C973C7" w:rsidRDefault="00C973C7" w:rsidP="00C973C7">
      <w:pPr>
        <w:jc w:val="both"/>
        <w:rPr>
          <w:sz w:val="20"/>
          <w:szCs w:val="20"/>
        </w:rPr>
      </w:pPr>
      <w:r w:rsidRPr="00C973C7">
        <w:rPr>
          <w:sz w:val="20"/>
          <w:szCs w:val="20"/>
        </w:rPr>
        <w:t>- eine natürliche Person, die es ausschließlich zu Wohnzwecken nutzt, oder</w:t>
      </w:r>
    </w:p>
    <w:p w14:paraId="742A337A" w14:textId="77777777" w:rsidR="00C973C7" w:rsidRPr="00C973C7" w:rsidRDefault="00C973C7" w:rsidP="00C973C7">
      <w:pPr>
        <w:jc w:val="both"/>
        <w:rPr>
          <w:sz w:val="20"/>
          <w:szCs w:val="20"/>
        </w:rPr>
      </w:pPr>
    </w:p>
    <w:p w14:paraId="2E3DE8F0" w14:textId="1205B633" w:rsidR="00C973C7" w:rsidRPr="00C973C7" w:rsidRDefault="00C973C7" w:rsidP="00C973C7">
      <w:pPr>
        <w:jc w:val="both"/>
        <w:rPr>
          <w:iCs/>
          <w:sz w:val="20"/>
          <w:szCs w:val="20"/>
        </w:rPr>
      </w:pPr>
      <w:r w:rsidRPr="00C973C7">
        <w:rPr>
          <w:sz w:val="20"/>
          <w:szCs w:val="20"/>
        </w:rPr>
        <w:t>- mehrere natürliche Personen, die es gemeinsam und ausschließlich zu Wohnzwecken nutzen.]</w:t>
      </w:r>
    </w:p>
    <w:p w14:paraId="00030667" w14:textId="5308B94F" w:rsidR="00ED6329" w:rsidRPr="00DC5AB0" w:rsidRDefault="00ED6329" w:rsidP="00ED6329">
      <w:pPr>
        <w:jc w:val="both"/>
        <w:rPr>
          <w:iCs/>
          <w:sz w:val="20"/>
          <w:szCs w:val="20"/>
        </w:rPr>
      </w:pPr>
    </w:p>
    <w:p w14:paraId="0F19547E" w14:textId="245187BB" w:rsidR="00ED6329" w:rsidRPr="00C973C7" w:rsidRDefault="00ED6329" w:rsidP="00ED6329">
      <w:pPr>
        <w:jc w:val="both"/>
        <w:rPr>
          <w:i/>
          <w:sz w:val="20"/>
          <w:szCs w:val="20"/>
        </w:rPr>
      </w:pPr>
      <w:r w:rsidRPr="00DC5AB0">
        <w:rPr>
          <w:i/>
          <w:iCs/>
          <w:sz w:val="20"/>
          <w:szCs w:val="20"/>
        </w:rPr>
        <w:t>[Art. 194octies eingefügt durch Art. 57 des G. vom 26. März 2018 (B.S. vom 30. März 2018) - wirksam mit 1. Januar 2018 und anwendbar ab dem Steuerjahr 2019 -</w:t>
      </w:r>
      <w:r>
        <w:rPr>
          <w:i/>
          <w:iCs/>
          <w:sz w:val="20"/>
          <w:szCs w:val="20"/>
        </w:rPr>
        <w:t xml:space="preserve"> und</w:t>
      </w:r>
      <w:r w:rsidRPr="00DC5AB0">
        <w:rPr>
          <w:i/>
          <w:iCs/>
          <w:sz w:val="20"/>
          <w:szCs w:val="20"/>
        </w:rPr>
        <w:t xml:space="preserve"> abgeändert durch Art. 5</w:t>
      </w:r>
      <w:r w:rsidRPr="00DC5AB0">
        <w:rPr>
          <w:i/>
          <w:sz w:val="20"/>
          <w:szCs w:val="20"/>
        </w:rPr>
        <w:t xml:space="preserve"> des G. vom 30. Juli 2018 (I) (B.S. vom 10. August 2018) - in Kraft am 1. Januar 2020 und anwendbar ab dem Steuerjahr 2021, das sich auf einen Besteuerungszeitraum bezieht, der frühestens am 1. Januar 2020 beginnt -, Art. 21</w:t>
      </w:r>
      <w:r w:rsidRPr="00DC5AB0">
        <w:rPr>
          <w:i/>
          <w:iCs/>
          <w:sz w:val="20"/>
          <w:szCs w:val="20"/>
        </w:rPr>
        <w:t xml:space="preserve"> des G. vom 23. Juni 2020 (B.S. vom 1. Juli 2020), Art. 20</w:t>
      </w:r>
      <w:r w:rsidRPr="00DC5AB0">
        <w:rPr>
          <w:i/>
          <w:iCs/>
          <w:spacing w:val="-2"/>
          <w:sz w:val="20"/>
          <w:szCs w:val="20"/>
        </w:rPr>
        <w:t xml:space="preserve"> des G. vom 5. Juli 2022 (B.S. vom 15. Juli 2022)</w:t>
      </w:r>
      <w:r>
        <w:rPr>
          <w:i/>
          <w:iCs/>
          <w:spacing w:val="-2"/>
          <w:sz w:val="20"/>
          <w:szCs w:val="20"/>
        </w:rPr>
        <w:t xml:space="preserve">, </w:t>
      </w:r>
      <w:r w:rsidRPr="00DC5AB0">
        <w:rPr>
          <w:i/>
          <w:iCs/>
          <w:spacing w:val="-2"/>
          <w:sz w:val="20"/>
          <w:szCs w:val="20"/>
        </w:rPr>
        <w:t xml:space="preserve">Art. 5 Nr. 1 des G. </w:t>
      </w:r>
      <w:r w:rsidRPr="00DC5AB0">
        <w:rPr>
          <w:i/>
          <w:iCs/>
          <w:sz w:val="20"/>
          <w:szCs w:val="20"/>
        </w:rPr>
        <w:t>vom 6. Februar 2024 (B.S. vom 20. Februar 2024) - in Kraft am 1. Januar 2024 und anwendbar ab dem Steuerjahr 2025, das sich auf einen Besteuerungszeitraum bezieht, der frühestens am 1. Januar 2024 beginnt -</w:t>
      </w:r>
      <w:r w:rsidRPr="00DC5AB0">
        <w:rPr>
          <w:i/>
          <w:iCs/>
          <w:spacing w:val="-2"/>
          <w:sz w:val="20"/>
          <w:szCs w:val="20"/>
        </w:rPr>
        <w:t xml:space="preserve"> und Art. 5 Nr. </w:t>
      </w:r>
      <w:r>
        <w:rPr>
          <w:i/>
          <w:iCs/>
          <w:spacing w:val="-2"/>
          <w:sz w:val="20"/>
          <w:szCs w:val="20"/>
        </w:rPr>
        <w:t>3</w:t>
      </w:r>
      <w:r w:rsidRPr="00DC5AB0">
        <w:rPr>
          <w:i/>
          <w:iCs/>
          <w:spacing w:val="-2"/>
          <w:sz w:val="20"/>
          <w:szCs w:val="20"/>
        </w:rPr>
        <w:t xml:space="preserve"> des G. </w:t>
      </w:r>
      <w:r w:rsidRPr="00DC5AB0">
        <w:rPr>
          <w:i/>
          <w:iCs/>
          <w:sz w:val="20"/>
          <w:szCs w:val="20"/>
        </w:rPr>
        <w:t>vom 6. Februar 2024 (B.S. vom 20. Februar 2024) - </w:t>
      </w:r>
      <w:r>
        <w:rPr>
          <w:i/>
          <w:iCs/>
          <w:sz w:val="20"/>
          <w:szCs w:val="20"/>
        </w:rPr>
        <w:t xml:space="preserve">in Kraft </w:t>
      </w:r>
      <w:r w:rsidRPr="006C600B">
        <w:rPr>
          <w:i/>
          <w:iCs/>
          <w:sz w:val="20"/>
          <w:szCs w:val="20"/>
        </w:rPr>
        <w:t>am 1. Januar 2028 und anwendbar ab dem Steuerjahr 2029, das sich auf einen Besteuerungszeitraum bezieht, der frühestens am 1. Januar 2028 beginnt </w:t>
      </w:r>
      <w:r w:rsidRPr="00DC5AB0">
        <w:rPr>
          <w:i/>
          <w:iCs/>
          <w:sz w:val="20"/>
          <w:szCs w:val="20"/>
        </w:rPr>
        <w:t xml:space="preserve">-; </w:t>
      </w:r>
      <w:r>
        <w:rPr>
          <w:i/>
          <w:iCs/>
          <w:sz w:val="20"/>
          <w:szCs w:val="20"/>
        </w:rPr>
        <w:t xml:space="preserve">früherer </w:t>
      </w:r>
      <w:r w:rsidRPr="00DC5AB0">
        <w:rPr>
          <w:i/>
          <w:iCs/>
          <w:sz w:val="20"/>
          <w:szCs w:val="20"/>
        </w:rPr>
        <w:t>Abs</w:t>
      </w:r>
      <w:r>
        <w:rPr>
          <w:i/>
          <w:iCs/>
          <w:sz w:val="20"/>
          <w:szCs w:val="20"/>
        </w:rPr>
        <w:t>atz</w:t>
      </w:r>
      <w:r w:rsidRPr="00DC5AB0">
        <w:rPr>
          <w:i/>
          <w:iCs/>
          <w:sz w:val="20"/>
          <w:szCs w:val="20"/>
        </w:rPr>
        <w:t xml:space="preserve"> 2 </w:t>
      </w:r>
      <w:r w:rsidRPr="00ED6329">
        <w:rPr>
          <w:i/>
          <w:iCs/>
          <w:sz w:val="20"/>
          <w:szCs w:val="20"/>
        </w:rPr>
        <w:t>eingefügt durch Art. 5 Nr. 2 des G. vom 6. Februar 2024 (B.S. vom 20. Februar 2024) - in Kraft am 1. Januar 2024 und anwendbar ab dem Steuerjahr 2025, das sich auf einen Besteuerungszeitraum bezieht, der frühestens am 1. Januar 2024 beginnt -</w:t>
      </w:r>
      <w:r>
        <w:rPr>
          <w:i/>
          <w:iCs/>
          <w:sz w:val="20"/>
          <w:szCs w:val="20"/>
        </w:rPr>
        <w:t xml:space="preserve"> und aufgehoben</w:t>
      </w:r>
      <w:r w:rsidRPr="00DC5AB0">
        <w:rPr>
          <w:i/>
          <w:iCs/>
          <w:sz w:val="20"/>
          <w:szCs w:val="20"/>
        </w:rPr>
        <w:t xml:space="preserve"> durch </w:t>
      </w:r>
      <w:r w:rsidRPr="00DC5AB0">
        <w:rPr>
          <w:i/>
          <w:iCs/>
          <w:spacing w:val="-2"/>
          <w:sz w:val="20"/>
          <w:szCs w:val="20"/>
        </w:rPr>
        <w:t>Art. 5 Nr. </w:t>
      </w:r>
      <w:r>
        <w:rPr>
          <w:i/>
          <w:iCs/>
          <w:spacing w:val="-2"/>
          <w:sz w:val="20"/>
          <w:szCs w:val="20"/>
        </w:rPr>
        <w:t>4</w:t>
      </w:r>
      <w:r w:rsidRPr="00DC5AB0">
        <w:rPr>
          <w:i/>
          <w:iCs/>
          <w:spacing w:val="-2"/>
          <w:sz w:val="20"/>
          <w:szCs w:val="20"/>
        </w:rPr>
        <w:t xml:space="preserve"> des G. </w:t>
      </w:r>
      <w:r w:rsidRPr="00DC5AB0">
        <w:rPr>
          <w:i/>
          <w:iCs/>
          <w:sz w:val="20"/>
          <w:szCs w:val="20"/>
        </w:rPr>
        <w:t>vom 6. Februar 2024 (B.S. vom 20. Februar 2024) - </w:t>
      </w:r>
      <w:r w:rsidRPr="006C600B">
        <w:rPr>
          <w:i/>
          <w:iCs/>
          <w:sz w:val="20"/>
          <w:szCs w:val="20"/>
        </w:rPr>
        <w:t>in Kraft am 1. Januar 2028 und anwendbar ab dem Steuerjahr 2029, das sich auf einen Besteuerungszeitraum bezieht, der frühestens am 1. Januar 2028 beginnt </w:t>
      </w:r>
      <w:r w:rsidRPr="00DC5AB0">
        <w:rPr>
          <w:i/>
          <w:iCs/>
          <w:sz w:val="20"/>
          <w:szCs w:val="20"/>
        </w:rPr>
        <w:t>-</w:t>
      </w:r>
      <w:r w:rsidR="00C973C7">
        <w:rPr>
          <w:i/>
          <w:iCs/>
          <w:sz w:val="20"/>
          <w:szCs w:val="20"/>
        </w:rPr>
        <w:t xml:space="preserve">; </w:t>
      </w:r>
      <w:r w:rsidR="00C973C7" w:rsidRPr="00C973C7">
        <w:rPr>
          <w:i/>
          <w:iCs/>
          <w:sz w:val="20"/>
          <w:szCs w:val="20"/>
        </w:rPr>
        <w:t xml:space="preserve">Abs. 2 eingefügt </w:t>
      </w:r>
      <w:r w:rsidR="00C973C7" w:rsidRPr="00C973C7">
        <w:rPr>
          <w:rFonts w:ascii="Times New Roman Italique" w:hAnsi="Times New Roman Italique"/>
          <w:i/>
          <w:iCs/>
          <w:sz w:val="20"/>
          <w:szCs w:val="20"/>
        </w:rPr>
        <w:t>durch Art. 3 des G. vom 20. Dezember 2024 (B.S. vom 31. Dezember 2024) -</w:t>
      </w:r>
      <w:r w:rsidR="00C973C7" w:rsidRPr="00C973C7">
        <w:rPr>
          <w:rFonts w:ascii="Times New Roman Italique" w:hAnsi="Times New Roman Italique" w:hint="eastAsia"/>
          <w:i/>
          <w:iCs/>
          <w:sz w:val="20"/>
          <w:szCs w:val="20"/>
        </w:rPr>
        <w:t> </w:t>
      </w:r>
      <w:r w:rsidR="00C973C7" w:rsidRPr="00C973C7">
        <w:rPr>
          <w:rFonts w:ascii="Times New Roman Italique" w:hAnsi="Times New Roman Italique"/>
          <w:i/>
          <w:iCs/>
          <w:sz w:val="20"/>
          <w:szCs w:val="20"/>
        </w:rPr>
        <w:t>wirksam ab dem Steuerjahr</w:t>
      </w:r>
      <w:r w:rsidR="00C973C7" w:rsidRPr="00C973C7">
        <w:rPr>
          <w:rFonts w:ascii="Times New Roman Italique" w:hAnsi="Times New Roman Italique" w:hint="eastAsia"/>
          <w:i/>
          <w:iCs/>
          <w:sz w:val="20"/>
          <w:szCs w:val="20"/>
        </w:rPr>
        <w:t> </w:t>
      </w:r>
      <w:r w:rsidR="00C973C7" w:rsidRPr="00C973C7">
        <w:rPr>
          <w:rFonts w:ascii="Times New Roman Italique" w:hAnsi="Times New Roman Italique"/>
          <w:i/>
          <w:iCs/>
          <w:sz w:val="20"/>
          <w:szCs w:val="20"/>
        </w:rPr>
        <w:t>2024</w:t>
      </w:r>
      <w:r w:rsidR="00C973C7" w:rsidRPr="00C973C7">
        <w:rPr>
          <w:rFonts w:ascii="Times New Roman Italique" w:hAnsi="Times New Roman Italique" w:hint="eastAsia"/>
          <w:i/>
          <w:iCs/>
          <w:sz w:val="20"/>
          <w:szCs w:val="20"/>
        </w:rPr>
        <w:t> </w:t>
      </w:r>
      <w:r w:rsidR="00C973C7" w:rsidRPr="00C973C7">
        <w:rPr>
          <w:rFonts w:ascii="Times New Roman Italique" w:hAnsi="Times New Roman Italique"/>
          <w:i/>
          <w:iCs/>
          <w:sz w:val="20"/>
          <w:szCs w:val="20"/>
        </w:rPr>
        <w:t>-</w:t>
      </w:r>
      <w:r w:rsidRPr="00C973C7">
        <w:rPr>
          <w:i/>
          <w:sz w:val="20"/>
          <w:szCs w:val="20"/>
        </w:rPr>
        <w:t>]</w:t>
      </w:r>
      <w:r w:rsidRPr="00C973C7">
        <w:rPr>
          <w:iCs/>
          <w:sz w:val="20"/>
          <w:szCs w:val="20"/>
        </w:rPr>
        <w:t>"</w:t>
      </w:r>
    </w:p>
    <w:p w14:paraId="4EDB95DE" w14:textId="77777777" w:rsidR="004058B4" w:rsidRPr="009118AB" w:rsidRDefault="004058B4" w:rsidP="00C973C7">
      <w:pPr>
        <w:autoSpaceDE w:val="0"/>
        <w:autoSpaceDN w:val="0"/>
        <w:adjustRightInd w:val="0"/>
        <w:jc w:val="both"/>
      </w:pPr>
    </w:p>
    <w:p w14:paraId="059D6C96" w14:textId="77777777" w:rsidR="00477B8F" w:rsidRPr="009118AB" w:rsidRDefault="00477B8F" w:rsidP="00C973C7">
      <w:pPr>
        <w:autoSpaceDE w:val="0"/>
        <w:autoSpaceDN w:val="0"/>
        <w:adjustRightInd w:val="0"/>
        <w:jc w:val="both"/>
      </w:pPr>
    </w:p>
    <w:p w14:paraId="035B779C" w14:textId="30432A8B" w:rsidR="00477B8F" w:rsidRPr="009118AB" w:rsidRDefault="00477B8F" w:rsidP="00C973C7">
      <w:pPr>
        <w:autoSpaceDE w:val="0"/>
        <w:autoSpaceDN w:val="0"/>
        <w:adjustRightInd w:val="0"/>
        <w:jc w:val="both"/>
      </w:pPr>
      <w:r w:rsidRPr="009118AB">
        <w:tab/>
      </w:r>
      <w:r w:rsidR="00D67EB8" w:rsidRPr="009118AB">
        <w:rPr>
          <w:b/>
          <w:bCs/>
        </w:rPr>
        <w:t>Art. </w:t>
      </w:r>
      <w:r w:rsidRPr="009118AB">
        <w:rPr>
          <w:b/>
          <w:bCs/>
        </w:rPr>
        <w:t>195</w:t>
      </w:r>
      <w:r w:rsidR="00D67EB8" w:rsidRPr="009118AB">
        <w:t> - § </w:t>
      </w:r>
      <w:r w:rsidRPr="009118AB">
        <w:t>1</w:t>
      </w:r>
      <w:r w:rsidR="00D67EB8" w:rsidRPr="009118AB">
        <w:t> - </w:t>
      </w:r>
      <w:r w:rsidRPr="009118AB">
        <w:t>[Unternehmensleiter] werden für die Anwendung der Bestimmungen in Bezug auf Werbungskosten Arbeitnehmern gleichgestellt und ihre Entlohnungen und diesbezügliche Soziallasten gelten als Werbungskosten.</w:t>
      </w:r>
    </w:p>
    <w:p w14:paraId="6708493A" w14:textId="77777777" w:rsidR="00477B8F" w:rsidRPr="009118AB" w:rsidRDefault="00477B8F" w:rsidP="00477B8F">
      <w:pPr>
        <w:autoSpaceDE w:val="0"/>
        <w:autoSpaceDN w:val="0"/>
        <w:adjustRightInd w:val="0"/>
        <w:jc w:val="both"/>
      </w:pPr>
    </w:p>
    <w:p w14:paraId="43EE20B1" w14:textId="77777777" w:rsidR="00477B8F" w:rsidRPr="009118AB" w:rsidRDefault="00477B8F" w:rsidP="00477B8F">
      <w:pPr>
        <w:autoSpaceDE w:val="0"/>
        <w:autoSpaceDN w:val="0"/>
        <w:adjustRightInd w:val="0"/>
        <w:jc w:val="both"/>
      </w:pPr>
      <w:r w:rsidRPr="009118AB">
        <w:tab/>
        <w:t>Zahlungen für Sozialversicherung oder Sozialfürsorge [...] sind jedoch nur abzugsfähig in dem Maße, wie sie sich auf Entlohnungen beziehen, die regelmäßig und mindestens einmal monatlich gezahlt oder zuerkannt werden vor Ende des Besteuerungszeitraums, in dem die entlohnte Tätigkeit ausgeübt wurde, und unter der Bedingung, dass diese Entlohnungen von der Gesellschaft auf die Ergebnisse dieses Zeitraums angerechnet werden.</w:t>
      </w:r>
    </w:p>
    <w:p w14:paraId="21691259" w14:textId="77777777" w:rsidR="00477B8F" w:rsidRPr="009118AB" w:rsidRDefault="00477B8F" w:rsidP="00477B8F">
      <w:pPr>
        <w:autoSpaceDE w:val="0"/>
        <w:autoSpaceDN w:val="0"/>
        <w:adjustRightInd w:val="0"/>
        <w:jc w:val="both"/>
      </w:pPr>
    </w:p>
    <w:p w14:paraId="56F1B753" w14:textId="43EB4751"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[Außer wenn Verträge ausschließlich Vorteile im Todesfall vorsehen, werden Lebensversicherungsprämien in Bezug auf Verträge, die zugunsten des Unternehmens abgeschlossen wurden, den in Artikel 52 </w:t>
      </w:r>
      <w:r w:rsidR="00D67EB8" w:rsidRPr="009118AB">
        <w:t>Nr. </w:t>
      </w:r>
      <w:r w:rsidRPr="009118AB">
        <w:t>3 Buchstabe </w:t>
      </w:r>
      <w:r w:rsidRPr="009118AB">
        <w:rPr>
          <w:i/>
          <w:iCs/>
        </w:rPr>
        <w:t>b)</w:t>
      </w:r>
      <w:r w:rsidRPr="009118AB">
        <w:t xml:space="preserve"> erwähnten Beiträgen gleichgesetzt und sind sie unter denselben Bedingungen und in derselben Grenze nur abzugsfähig, wenn diese Verträge auf einen in Artikel 32 Absatz 1 </w:t>
      </w:r>
      <w:r w:rsidR="00D67EB8" w:rsidRPr="009118AB">
        <w:t>Nr. </w:t>
      </w:r>
      <w:r w:rsidRPr="009118AB">
        <w:t>1 erwähnten Unternehmensleiter abgeschlossen wurden, der außerhalb eines Arbeitsvertrags beschäftigt ist.</w:t>
      </w:r>
    </w:p>
    <w:p w14:paraId="1212C093" w14:textId="77777777" w:rsidR="00477B8F" w:rsidRPr="009118AB" w:rsidRDefault="00477B8F" w:rsidP="00477B8F">
      <w:pPr>
        <w:autoSpaceDE w:val="0"/>
        <w:autoSpaceDN w:val="0"/>
        <w:adjustRightInd w:val="0"/>
        <w:jc w:val="both"/>
      </w:pPr>
    </w:p>
    <w:p w14:paraId="74727D93" w14:textId="300B7A09" w:rsidR="00477B8F" w:rsidRPr="009118AB" w:rsidRDefault="00477B8F" w:rsidP="00477B8F">
      <w:pPr>
        <w:autoSpaceDE w:val="0"/>
        <w:autoSpaceDN w:val="0"/>
        <w:adjustRightInd w:val="0"/>
        <w:jc w:val="both"/>
      </w:pPr>
      <w:r w:rsidRPr="009118AB">
        <w:tab/>
        <w:t xml:space="preserve">Ausschließlich die in </w:t>
      </w:r>
      <w:r w:rsidR="00D67EB8" w:rsidRPr="009118AB">
        <w:t>§ </w:t>
      </w:r>
      <w:r w:rsidRPr="009118AB">
        <w:t>1 Absatz 2 definierten Entlohnungen werden für die Bestimmung des abzugsfähigen Teils der Prämien berücksichtigt.]</w:t>
      </w:r>
    </w:p>
    <w:p w14:paraId="674856C1" w14:textId="77777777" w:rsidR="00477B8F" w:rsidRPr="009118AB" w:rsidRDefault="00477B8F" w:rsidP="00477B8F">
      <w:pPr>
        <w:autoSpaceDE w:val="0"/>
        <w:autoSpaceDN w:val="0"/>
        <w:adjustRightInd w:val="0"/>
        <w:jc w:val="both"/>
      </w:pPr>
    </w:p>
    <w:p w14:paraId="5D3508BF" w14:textId="34592890"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195 </w:t>
      </w:r>
      <w:r w:rsidR="00D67EB8" w:rsidRPr="009118AB">
        <w:rPr>
          <w:i/>
          <w:iCs/>
        </w:rPr>
        <w:t>§ </w:t>
      </w:r>
      <w:r w:rsidRPr="009118AB">
        <w:rPr>
          <w:i/>
          <w:iCs/>
        </w:rPr>
        <w:t xml:space="preserve">1 </w:t>
      </w:r>
      <w:r w:rsidR="00D67EB8" w:rsidRPr="009118AB">
        <w:rPr>
          <w:i/>
          <w:iCs/>
        </w:rPr>
        <w:t>Abs. </w:t>
      </w:r>
      <w:r w:rsidRPr="009118AB">
        <w:rPr>
          <w:i/>
          <w:iCs/>
        </w:rPr>
        <w:t xml:space="preserve">1 abgeändert durch </w:t>
      </w:r>
      <w:r w:rsidR="00D67EB8" w:rsidRPr="009118AB">
        <w:rPr>
          <w:i/>
          <w:iCs/>
        </w:rPr>
        <w:t>Art. </w:t>
      </w:r>
      <w:r w:rsidRPr="009118AB">
        <w:rPr>
          <w:i/>
          <w:iCs/>
        </w:rPr>
        <w:t xml:space="preserve">22 </w:t>
      </w:r>
      <w:r w:rsidR="00D67EB8" w:rsidRPr="009118AB">
        <w:rPr>
          <w:i/>
          <w:iCs/>
        </w:rPr>
        <w:t>Nr. </w:t>
      </w:r>
      <w:r w:rsidRPr="009118AB">
        <w:rPr>
          <w:i/>
          <w:iCs/>
        </w:rPr>
        <w:t>1 des K.E. vom 20. Dezember 1996 (B.S.</w:t>
      </w:r>
      <w:r w:rsidR="001C445C" w:rsidRPr="009118AB">
        <w:rPr>
          <w:i/>
          <w:iCs/>
        </w:rPr>
        <w:t> </w:t>
      </w:r>
      <w:r w:rsidRPr="009118AB">
        <w:rPr>
          <w:i/>
          <w:iCs/>
        </w:rPr>
        <w:t>vom 31. Dezember 1996)</w:t>
      </w:r>
      <w:r w:rsidR="00D67EB8" w:rsidRPr="009118AB">
        <w:rPr>
          <w:i/>
          <w:iCs/>
        </w:rPr>
        <w:t> - </w:t>
      </w:r>
      <w:r w:rsidRPr="009118AB">
        <w:rPr>
          <w:i/>
          <w:iCs/>
        </w:rPr>
        <w:t>in Kraft ab dem Steuerjahr 1998</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abgeändert durch </w:t>
      </w:r>
      <w:r w:rsidR="00D67EB8" w:rsidRPr="009118AB">
        <w:rPr>
          <w:i/>
          <w:iCs/>
        </w:rPr>
        <w:t>Art. </w:t>
      </w:r>
      <w:r w:rsidRPr="009118AB">
        <w:rPr>
          <w:i/>
          <w:iCs/>
        </w:rPr>
        <w:t xml:space="preserve">177 </w:t>
      </w:r>
      <w:r w:rsidR="00D67EB8" w:rsidRPr="009118AB">
        <w:rPr>
          <w:i/>
          <w:iCs/>
        </w:rPr>
        <w:t>Nr. </w:t>
      </w:r>
      <w:r w:rsidRPr="009118AB">
        <w:rPr>
          <w:i/>
          <w:iCs/>
        </w:rPr>
        <w:t>1 des G. vom 27. Dezember 2005 (II) (B.S. vom 30. Dezember 2005)</w:t>
      </w:r>
      <w:r w:rsidR="00D67EB8" w:rsidRPr="009118AB">
        <w:rPr>
          <w:i/>
          <w:iCs/>
        </w:rPr>
        <w:t> - </w:t>
      </w:r>
      <w:r w:rsidRPr="009118AB">
        <w:rPr>
          <w:i/>
          <w:iCs/>
        </w:rPr>
        <w:t>anwendbar auf die ab dem 1. Januar 2006 gezahlten Prämien und Beiträge</w:t>
      </w:r>
      <w:r w:rsidR="003366D9" w:rsidRPr="009118AB">
        <w:rPr>
          <w:i/>
          <w:iCs/>
        </w:rPr>
        <w:t> -;</w:t>
      </w:r>
      <w:r w:rsidRPr="009118AB">
        <w:rPr>
          <w:i/>
          <w:iCs/>
        </w:rPr>
        <w:t xml:space="preserve"> </w:t>
      </w:r>
      <w:r w:rsidR="00D67EB8" w:rsidRPr="009118AB">
        <w:rPr>
          <w:i/>
          <w:iCs/>
        </w:rPr>
        <w:t>§ </w:t>
      </w:r>
      <w:r w:rsidRPr="009118AB">
        <w:rPr>
          <w:i/>
          <w:iCs/>
        </w:rPr>
        <w:t xml:space="preserve">2 ersetzt durch </w:t>
      </w:r>
      <w:r w:rsidR="00D67EB8" w:rsidRPr="009118AB">
        <w:rPr>
          <w:i/>
          <w:iCs/>
        </w:rPr>
        <w:t>Art. </w:t>
      </w:r>
      <w:r w:rsidRPr="009118AB">
        <w:rPr>
          <w:i/>
          <w:iCs/>
        </w:rPr>
        <w:t xml:space="preserve">177 </w:t>
      </w:r>
      <w:r w:rsidR="00D67EB8" w:rsidRPr="009118AB">
        <w:rPr>
          <w:i/>
          <w:iCs/>
        </w:rPr>
        <w:t>Nr. </w:t>
      </w:r>
      <w:r w:rsidRPr="009118AB">
        <w:rPr>
          <w:i/>
          <w:iCs/>
        </w:rPr>
        <w:t>2 des G. vom 27. Dezember 2005 (II) (B.S. vom 30. Dezember 2005)</w:t>
      </w:r>
      <w:r w:rsidR="00D67EB8" w:rsidRPr="009118AB">
        <w:rPr>
          <w:i/>
          <w:iCs/>
        </w:rPr>
        <w:t> - </w:t>
      </w:r>
      <w:r w:rsidRPr="009118AB">
        <w:rPr>
          <w:i/>
          <w:iCs/>
        </w:rPr>
        <w:t>anwendbar auf die ab dem 1. Januar 2006 gezahlten Prämien und Beiträge</w:t>
      </w:r>
      <w:r w:rsidR="00FD68E8" w:rsidRPr="009118AB">
        <w:rPr>
          <w:i/>
          <w:iCs/>
        </w:rPr>
        <w:t> -]</w:t>
      </w:r>
    </w:p>
    <w:p w14:paraId="569D7109" w14:textId="77777777" w:rsidR="00477B8F" w:rsidRPr="009118AB" w:rsidRDefault="00477B8F" w:rsidP="00477B8F">
      <w:pPr>
        <w:autoSpaceDE w:val="0"/>
        <w:autoSpaceDN w:val="0"/>
        <w:adjustRightInd w:val="0"/>
        <w:jc w:val="both"/>
      </w:pPr>
    </w:p>
    <w:p w14:paraId="71064474" w14:textId="77777777" w:rsidR="00A57755" w:rsidRPr="009118AB" w:rsidRDefault="00A57755" w:rsidP="00477B8F">
      <w:pPr>
        <w:autoSpaceDE w:val="0"/>
        <w:autoSpaceDN w:val="0"/>
        <w:adjustRightInd w:val="0"/>
        <w:jc w:val="both"/>
      </w:pPr>
    </w:p>
    <w:p w14:paraId="187CFC58" w14:textId="7993B219" w:rsidR="00A57755" w:rsidRPr="009118AB" w:rsidRDefault="00A57755" w:rsidP="00477B8F">
      <w:pPr>
        <w:autoSpaceDE w:val="0"/>
        <w:autoSpaceDN w:val="0"/>
        <w:adjustRightInd w:val="0"/>
        <w:jc w:val="both"/>
      </w:pPr>
      <w:r w:rsidRPr="009118AB">
        <w:tab/>
        <w:t>[</w:t>
      </w:r>
      <w:r w:rsidR="00D67EB8" w:rsidRPr="009118AB">
        <w:rPr>
          <w:b/>
        </w:rPr>
        <w:t>Art. </w:t>
      </w:r>
      <w:r w:rsidRPr="009118AB">
        <w:rPr>
          <w:b/>
        </w:rPr>
        <w:t>195/1</w:t>
      </w:r>
      <w:r w:rsidR="00D67EB8" w:rsidRPr="009118AB">
        <w:t> - </w:t>
      </w:r>
      <w:r w:rsidRPr="009118AB">
        <w:t xml:space="preserve">Kosten, die während des Besteuerungszeitraums tatsächlich gezahlt oder getragen werden oder die Beschaffenheit erwiesener und feststehender Schulden oder Verluste erhalten haben und als solche gebucht werden und die sich ganz oder teilweise auf einen zukünftigen Besteuerungszeitraum beziehen, sind in dem Besteuerungszeitraum, in dem sie </w:t>
      </w:r>
      <w:r w:rsidRPr="009118AB">
        <w:lastRenderedPageBreak/>
        <w:t>gezahlt oder getragen werden oder als Schuld gebucht werden, und in den folgenden Besteuerungszeiträumen nur im Verhältnis zu dem Teil dieser Kosten, der sich auf den betreffenden Besteuerungszeitraum bezieht, als Werbungskosten abzugsfähig.]</w:t>
      </w:r>
    </w:p>
    <w:p w14:paraId="0DE98C85" w14:textId="77777777" w:rsidR="00A57755" w:rsidRPr="009118AB" w:rsidRDefault="00A57755" w:rsidP="00477B8F">
      <w:pPr>
        <w:autoSpaceDE w:val="0"/>
        <w:autoSpaceDN w:val="0"/>
        <w:adjustRightInd w:val="0"/>
        <w:jc w:val="both"/>
      </w:pPr>
    </w:p>
    <w:p w14:paraId="53C087E8" w14:textId="55D5FA55" w:rsidR="00A57755" w:rsidRPr="009118AB" w:rsidRDefault="00A57755" w:rsidP="00477B8F">
      <w:pPr>
        <w:autoSpaceDE w:val="0"/>
        <w:autoSpaceDN w:val="0"/>
        <w:adjustRightInd w:val="0"/>
        <w:jc w:val="both"/>
        <w:rPr>
          <w:i/>
          <w:iCs/>
        </w:rPr>
      </w:pPr>
      <w:r w:rsidRPr="009118AB">
        <w:rPr>
          <w:i/>
        </w:rPr>
        <w:t>[</w:t>
      </w:r>
      <w:r w:rsidR="00D67EB8" w:rsidRPr="009118AB">
        <w:rPr>
          <w:i/>
        </w:rPr>
        <w:t>Art. </w:t>
      </w:r>
      <w:r w:rsidRPr="009118AB">
        <w:rPr>
          <w:i/>
        </w:rPr>
        <w:t xml:space="preserve">195/1 eingefügt durch </w:t>
      </w:r>
      <w:r w:rsidR="00D67EB8" w:rsidRPr="009118AB">
        <w:rPr>
          <w:i/>
        </w:rPr>
        <w:t>Art. </w:t>
      </w:r>
      <w:r w:rsidRPr="009118AB">
        <w:rPr>
          <w:i/>
        </w:rPr>
        <w:t>37</w:t>
      </w:r>
      <w:r w:rsidRPr="009118AB">
        <w:rPr>
          <w:i/>
          <w:iCs/>
        </w:rPr>
        <w:t xml:space="preserve">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p>
    <w:p w14:paraId="1C2AB4F6" w14:textId="77777777" w:rsidR="00A57755" w:rsidRPr="009118AB" w:rsidRDefault="00A57755" w:rsidP="00477B8F">
      <w:pPr>
        <w:autoSpaceDE w:val="0"/>
        <w:autoSpaceDN w:val="0"/>
        <w:adjustRightInd w:val="0"/>
        <w:jc w:val="both"/>
        <w:rPr>
          <w:i/>
        </w:rPr>
      </w:pPr>
    </w:p>
    <w:p w14:paraId="08A101B5" w14:textId="77777777" w:rsidR="00D36E8B" w:rsidRPr="009118AB" w:rsidRDefault="00D36E8B" w:rsidP="00BD6918">
      <w:pPr>
        <w:autoSpaceDE w:val="0"/>
        <w:autoSpaceDN w:val="0"/>
        <w:adjustRightInd w:val="0"/>
        <w:jc w:val="both"/>
        <w:rPr>
          <w:bCs/>
          <w:iCs/>
        </w:rPr>
      </w:pPr>
    </w:p>
    <w:p w14:paraId="0C881F2C" w14:textId="59272A50" w:rsidR="00BD6918" w:rsidRPr="009118AB" w:rsidRDefault="00D67EB8" w:rsidP="00D36E8B">
      <w:pPr>
        <w:autoSpaceDE w:val="0"/>
        <w:autoSpaceDN w:val="0"/>
        <w:adjustRightInd w:val="0"/>
        <w:ind w:firstLine="709"/>
        <w:jc w:val="both"/>
        <w:rPr>
          <w:iCs/>
        </w:rPr>
      </w:pPr>
      <w:r w:rsidRPr="009118AB">
        <w:rPr>
          <w:b/>
          <w:bCs/>
          <w:iCs/>
        </w:rPr>
        <w:t>Art. </w:t>
      </w:r>
      <w:r w:rsidR="00BD6918" w:rsidRPr="009118AB">
        <w:rPr>
          <w:b/>
          <w:bCs/>
          <w:iCs/>
        </w:rPr>
        <w:t>196</w:t>
      </w:r>
      <w:r w:rsidRPr="009118AB">
        <w:rPr>
          <w:iCs/>
        </w:rPr>
        <w:t> - </w:t>
      </w:r>
      <w:r w:rsidR="00BD6918" w:rsidRPr="009118AB">
        <w:rPr>
          <w:iCs/>
        </w:rPr>
        <w:t>[</w:t>
      </w:r>
      <w:r w:rsidRPr="009118AB">
        <w:rPr>
          <w:iCs/>
        </w:rPr>
        <w:t>§ </w:t>
      </w:r>
      <w:r w:rsidR="00BD6918" w:rsidRPr="009118AB">
        <w:rPr>
          <w:iCs/>
        </w:rPr>
        <w:t>1]</w:t>
      </w:r>
      <w:r w:rsidRPr="009118AB">
        <w:rPr>
          <w:iCs/>
        </w:rPr>
        <w:t> - </w:t>
      </w:r>
      <w:r w:rsidR="00BD6918" w:rsidRPr="009118AB">
        <w:rPr>
          <w:iCs/>
        </w:rPr>
        <w:t>Der König kann durch einen im Ministerrat beratenen Erlass Kriterien und Normen bestimmen, um festzulegen, in welchem Maße Kosten in Bezug auf Kraftfahrzeuge, die [Unternehmensleitern und] Mitgliedern des leitenden Personals zur Verfügung gestellt werden, als Kosten angesehen werden müssen, die auf unvertretbare Weise die beruflichen Bedürfnisse übersteigen.</w:t>
      </w:r>
    </w:p>
    <w:p w14:paraId="5D209BA5" w14:textId="77777777" w:rsidR="00BD6918" w:rsidRPr="009118AB" w:rsidRDefault="00BD6918" w:rsidP="00BD6918">
      <w:pPr>
        <w:autoSpaceDE w:val="0"/>
        <w:autoSpaceDN w:val="0"/>
        <w:adjustRightInd w:val="0"/>
        <w:jc w:val="both"/>
        <w:rPr>
          <w:iCs/>
        </w:rPr>
      </w:pPr>
    </w:p>
    <w:p w14:paraId="46FFFFC7" w14:textId="6713958A" w:rsidR="00BD6918" w:rsidRPr="009118AB" w:rsidRDefault="00BD6918" w:rsidP="00D36E8B">
      <w:pPr>
        <w:autoSpaceDE w:val="0"/>
        <w:autoSpaceDN w:val="0"/>
        <w:adjustRightInd w:val="0"/>
        <w:ind w:firstLine="709"/>
        <w:jc w:val="both"/>
        <w:rPr>
          <w:iCs/>
        </w:rPr>
      </w:pPr>
      <w:r w:rsidRPr="009118AB">
        <w:rPr>
          <w:iCs/>
        </w:rPr>
        <w:t>[</w:t>
      </w:r>
      <w:r w:rsidR="00D67EB8" w:rsidRPr="009118AB">
        <w:rPr>
          <w:iCs/>
        </w:rPr>
        <w:t>§ </w:t>
      </w:r>
      <w:r w:rsidRPr="009118AB">
        <w:rPr>
          <w:iCs/>
        </w:rPr>
        <w:t>2</w:t>
      </w:r>
      <w:r w:rsidR="00D67EB8" w:rsidRPr="009118AB">
        <w:rPr>
          <w:iCs/>
        </w:rPr>
        <w:t> - </w:t>
      </w:r>
      <w:r w:rsidRPr="009118AB">
        <w:rPr>
          <w:iCs/>
        </w:rPr>
        <w:t>[Die erste Jahresrate der Abschreibung in Bezug auf die während des Geschäfts</w:t>
      </w:r>
      <w:r w:rsidRPr="009118AB">
        <w:rPr>
          <w:iCs/>
        </w:rPr>
        <w:softHyphen/>
        <w:t>jahres erworbenen oder gebildeten Anlagen wird nur im Verhältnis zu dem Teil des Geschäftsjahres, in dem die Anlagen erworben oder gebildet wurden, als Werbungskosten berücksichtigt.]]</w:t>
      </w:r>
    </w:p>
    <w:p w14:paraId="66045247" w14:textId="77777777" w:rsidR="00BD6918" w:rsidRPr="009118AB" w:rsidRDefault="00BD6918" w:rsidP="00BD6918">
      <w:pPr>
        <w:autoSpaceDE w:val="0"/>
        <w:autoSpaceDN w:val="0"/>
        <w:adjustRightInd w:val="0"/>
        <w:jc w:val="both"/>
        <w:rPr>
          <w:iCs/>
        </w:rPr>
      </w:pPr>
    </w:p>
    <w:p w14:paraId="4ED55797" w14:textId="012F6E96" w:rsidR="00BD6918" w:rsidRPr="009118AB" w:rsidRDefault="00BD6918" w:rsidP="00D36E8B">
      <w:pPr>
        <w:autoSpaceDE w:val="0"/>
        <w:autoSpaceDN w:val="0"/>
        <w:adjustRightInd w:val="0"/>
        <w:ind w:firstLine="709"/>
        <w:jc w:val="both"/>
        <w:rPr>
          <w:iCs/>
        </w:rPr>
      </w:pPr>
      <w:r w:rsidRPr="009118AB">
        <w:rPr>
          <w:iCs/>
        </w:rPr>
        <w:t>[</w:t>
      </w:r>
      <w:r w:rsidR="00D67EB8" w:rsidRPr="009118AB">
        <w:rPr>
          <w:iCs/>
        </w:rPr>
        <w:t>§ </w:t>
      </w:r>
      <w:r w:rsidRPr="009118AB">
        <w:rPr>
          <w:iCs/>
        </w:rPr>
        <w:t>3</w:t>
      </w:r>
      <w:r w:rsidR="00D67EB8" w:rsidRPr="009118AB">
        <w:rPr>
          <w:iCs/>
        </w:rPr>
        <w:t> - </w:t>
      </w:r>
      <w:r w:rsidRPr="009118AB">
        <w:rPr>
          <w:iCs/>
        </w:rPr>
        <w:t>Das in Artikel 64 vorgesehene System der degressiven Abschreibung ist nicht anwendbar.</w:t>
      </w:r>
    </w:p>
    <w:p w14:paraId="698E27FA" w14:textId="77777777" w:rsidR="00BD6918" w:rsidRPr="009118AB" w:rsidRDefault="00BD6918" w:rsidP="00BD6918">
      <w:pPr>
        <w:autoSpaceDE w:val="0"/>
        <w:autoSpaceDN w:val="0"/>
        <w:adjustRightInd w:val="0"/>
        <w:jc w:val="both"/>
        <w:rPr>
          <w:iCs/>
        </w:rPr>
      </w:pPr>
    </w:p>
    <w:p w14:paraId="0DA07FC9" w14:textId="1971F454" w:rsidR="00BD6918" w:rsidRPr="009118AB" w:rsidRDefault="00D67EB8" w:rsidP="00D36E8B">
      <w:pPr>
        <w:autoSpaceDE w:val="0"/>
        <w:autoSpaceDN w:val="0"/>
        <w:adjustRightInd w:val="0"/>
        <w:ind w:firstLine="709"/>
        <w:jc w:val="both"/>
        <w:rPr>
          <w:iCs/>
        </w:rPr>
      </w:pPr>
      <w:r w:rsidRPr="009118AB">
        <w:rPr>
          <w:iCs/>
        </w:rPr>
        <w:t>§ </w:t>
      </w:r>
      <w:r w:rsidR="00BD6918" w:rsidRPr="009118AB">
        <w:rPr>
          <w:iCs/>
        </w:rPr>
        <w:t>4</w:t>
      </w:r>
      <w:r w:rsidRPr="009118AB">
        <w:rPr>
          <w:iCs/>
        </w:rPr>
        <w:t> - </w:t>
      </w:r>
      <w:r w:rsidR="00BD6918" w:rsidRPr="009118AB">
        <w:rPr>
          <w:iCs/>
        </w:rPr>
        <w:t xml:space="preserve">Zugunsten von Gesellschaften, die </w:t>
      </w:r>
      <w:r w:rsidR="00F87587" w:rsidRPr="009118AB">
        <w:rPr>
          <w:iCs/>
        </w:rPr>
        <w:t>[...</w:t>
      </w:r>
      <w:r w:rsidR="00BD6918" w:rsidRPr="009118AB">
        <w:rPr>
          <w:iCs/>
        </w:rPr>
        <w:t>] für das Steuerjahr, das sich auf den Besteuerungszeitraum bezieht, in dem eine immaterielle Anlage oder Sachanlage erworben oder gebildet wurde, als kleine Gesellschaften gelten, wird in Abweichung von Artikel 62 der Gesamtbetrag der Nebenkosten in Bezug auf den Kaufpreis entweder vollständig während des Besteuerungszeitraums, in dem diese Kosten gemacht werden, oder auf dieselbe Weise abgeschrieben wie die Hauptsumme des Anschaffungs- oder Investitionswertes der betreffenden Anlagen.</w:t>
      </w:r>
    </w:p>
    <w:p w14:paraId="6152ECF4" w14:textId="77777777" w:rsidR="00BD6918" w:rsidRPr="009118AB" w:rsidRDefault="00BD6918" w:rsidP="00BD6918">
      <w:pPr>
        <w:autoSpaceDE w:val="0"/>
        <w:autoSpaceDN w:val="0"/>
        <w:adjustRightInd w:val="0"/>
        <w:jc w:val="both"/>
        <w:rPr>
          <w:iCs/>
        </w:rPr>
      </w:pPr>
    </w:p>
    <w:p w14:paraId="4559298D" w14:textId="066CEDB9" w:rsidR="00BD6918" w:rsidRPr="009118AB" w:rsidRDefault="00BD6918" w:rsidP="00D36E8B">
      <w:pPr>
        <w:autoSpaceDE w:val="0"/>
        <w:autoSpaceDN w:val="0"/>
        <w:adjustRightInd w:val="0"/>
        <w:ind w:firstLine="709"/>
        <w:jc w:val="both"/>
        <w:rPr>
          <w:iCs/>
        </w:rPr>
      </w:pPr>
      <w:r w:rsidRPr="009118AB">
        <w:rPr>
          <w:iCs/>
        </w:rPr>
        <w:t xml:space="preserve">Zugunsten von Gesellschaften, die </w:t>
      </w:r>
      <w:r w:rsidR="00F87587" w:rsidRPr="009118AB">
        <w:rPr>
          <w:iCs/>
        </w:rPr>
        <w:t>[...</w:t>
      </w:r>
      <w:r w:rsidRPr="009118AB">
        <w:rPr>
          <w:iCs/>
        </w:rPr>
        <w:t>] für das Steuerjahr, das sich auf den Besteuerungszeitraum bezieht, in dem eine immaterielle Anlage oder Sachanlage erworben oder gebildet wurde, nicht als kleine Gesellschaften gelten, wird in Abweichung von Artikel 62 der Gesamtbetrag der Nebenkosten in Bezug auf den Kaufpreis auf dieselbe Weise abgeschrieben wie die Hauptsumme des Anschaffungs- oder Investitionswertes der betreffenden Anlagen.]</w:t>
      </w:r>
    </w:p>
    <w:p w14:paraId="089BE90F" w14:textId="77777777" w:rsidR="00BD6918" w:rsidRPr="009118AB" w:rsidRDefault="00BD6918" w:rsidP="00BD6918">
      <w:pPr>
        <w:autoSpaceDE w:val="0"/>
        <w:autoSpaceDN w:val="0"/>
        <w:adjustRightInd w:val="0"/>
        <w:jc w:val="both"/>
        <w:rPr>
          <w:iCs/>
        </w:rPr>
      </w:pPr>
    </w:p>
    <w:p w14:paraId="604887F7" w14:textId="005B62FB" w:rsidR="00BD6918" w:rsidRPr="009118AB" w:rsidRDefault="00BD6918" w:rsidP="00BD6918">
      <w:pPr>
        <w:autoSpaceDE w:val="0"/>
        <w:autoSpaceDN w:val="0"/>
        <w:adjustRightInd w:val="0"/>
        <w:jc w:val="both"/>
        <w:rPr>
          <w:iCs/>
        </w:rPr>
      </w:pPr>
      <w:r w:rsidRPr="009118AB">
        <w:rPr>
          <w:i/>
          <w:iCs/>
        </w:rPr>
        <w:t>[</w:t>
      </w:r>
      <w:r w:rsidR="00D67EB8" w:rsidRPr="009118AB">
        <w:rPr>
          <w:i/>
          <w:iCs/>
        </w:rPr>
        <w:t>Art. </w:t>
      </w:r>
      <w:r w:rsidRPr="009118AB">
        <w:rPr>
          <w:i/>
          <w:iCs/>
        </w:rPr>
        <w:t xml:space="preserve">196 </w:t>
      </w:r>
      <w:r w:rsidR="00D67EB8" w:rsidRPr="009118AB">
        <w:rPr>
          <w:i/>
          <w:iCs/>
        </w:rPr>
        <w:t>§ </w:t>
      </w:r>
      <w:r w:rsidRPr="009118AB">
        <w:rPr>
          <w:i/>
          <w:iCs/>
        </w:rPr>
        <w:t xml:space="preserve">1 nummeriert durch </w:t>
      </w:r>
      <w:r w:rsidR="00D67EB8" w:rsidRPr="009118AB">
        <w:rPr>
          <w:i/>
          <w:iCs/>
        </w:rPr>
        <w:t>Art. </w:t>
      </w:r>
      <w:r w:rsidRPr="009118AB">
        <w:rPr>
          <w:i/>
          <w:iCs/>
        </w:rPr>
        <w:t>7 des G. vom 24. Dezember 2002 (II) (B.S. vom 31. Dezember 2002)</w:t>
      </w:r>
      <w:r w:rsidR="00D67EB8" w:rsidRPr="009118AB">
        <w:rPr>
          <w:i/>
          <w:iCs/>
        </w:rPr>
        <w:t> - </w:t>
      </w:r>
      <w:r w:rsidRPr="009118AB">
        <w:rPr>
          <w:i/>
          <w:iCs/>
        </w:rPr>
        <w:t>anwendbar auf Anlagen, die in einem an das Steuerjahr 2004 oder an ein späteres Steuerjahr gebundenen Besteuerungszeitraum erworben oder gebildet werden</w:t>
      </w:r>
      <w:r w:rsidR="00D67EB8" w:rsidRPr="009118AB">
        <w:rPr>
          <w:i/>
          <w:iCs/>
        </w:rPr>
        <w:t> - </w:t>
      </w:r>
      <w:r w:rsidRPr="009118AB">
        <w:rPr>
          <w:i/>
          <w:iCs/>
        </w:rPr>
        <w:t xml:space="preserve">und abgeändert durch </w:t>
      </w:r>
      <w:r w:rsidR="00D67EB8" w:rsidRPr="009118AB">
        <w:rPr>
          <w:i/>
          <w:iCs/>
        </w:rPr>
        <w:t>Art. </w:t>
      </w:r>
      <w:r w:rsidRPr="009118AB">
        <w:rPr>
          <w:i/>
          <w:iCs/>
        </w:rPr>
        <w:t>23 des K.E. vom 20. Dezember 1996 (B.S. vom 31. Dezember 1996)</w:t>
      </w:r>
      <w:r w:rsidR="00D67EB8" w:rsidRPr="009118AB">
        <w:rPr>
          <w:i/>
          <w:iCs/>
        </w:rPr>
        <w:t> - </w:t>
      </w:r>
      <w:r w:rsidRPr="009118AB">
        <w:rPr>
          <w:i/>
          <w:iCs/>
        </w:rPr>
        <w:t>in Kraft ab dem Steuerjahr 1998</w:t>
      </w:r>
      <w:r w:rsidR="003366D9" w:rsidRPr="009118AB">
        <w:rPr>
          <w:i/>
          <w:iCs/>
        </w:rPr>
        <w:t> -;</w:t>
      </w:r>
      <w:r w:rsidRPr="009118AB">
        <w:rPr>
          <w:i/>
          <w:iCs/>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7 des G. vom 24. Dezember 2002 (II) (B.S. vom 31. Dezember 2002)</w:t>
      </w:r>
      <w:r w:rsidR="00D67EB8" w:rsidRPr="009118AB">
        <w:rPr>
          <w:i/>
          <w:iCs/>
        </w:rPr>
        <w:t> - </w:t>
      </w:r>
      <w:r w:rsidRPr="009118AB">
        <w:rPr>
          <w:i/>
          <w:iCs/>
        </w:rPr>
        <w:t xml:space="preserve">anwendbar auf Anlagen, die in einem an das Steuerjahr 2004 oder an ein späteres Steuerjahr gebundenen Besteuerungszeitraum erworben oder gebildet </w:t>
      </w:r>
      <w:r w:rsidRPr="009118AB">
        <w:rPr>
          <w:rFonts w:ascii="Times New Roman Italique" w:hAnsi="Times New Roman Italique"/>
          <w:i/>
          <w:iCs/>
          <w:spacing w:val="-2"/>
        </w:rPr>
        <w:t>werden</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38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des G. vom 25. Dezember 2017 (III) (B.S. vom 29. Dezember 2017)</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Januar 2020 und anwendbar auf Anlagen, die ab dem 1. Januar 2020 erworben oder gebildet werd</w:t>
      </w:r>
      <w:r w:rsidR="00E951F6" w:rsidRPr="009118AB">
        <w:rPr>
          <w:rFonts w:ascii="Times New Roman Italique" w:hAnsi="Times New Roman Italique"/>
          <w:i/>
          <w:iCs/>
          <w:spacing w:val="-2"/>
        </w:rPr>
        <w:t>en</w:t>
      </w:r>
      <w:r w:rsidR="003366D9" w:rsidRPr="009118AB">
        <w:rPr>
          <w:rFonts w:ascii="Times New Roman Italique" w:hAnsi="Times New Roman Italique"/>
          <w:i/>
          <w:iCs/>
          <w:spacing w:val="-2"/>
        </w:rPr>
        <w:t> -;</w:t>
      </w:r>
      <w:r w:rsidR="00E951F6"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E951F6" w:rsidRPr="009118AB">
        <w:rPr>
          <w:rFonts w:ascii="Times New Roman Italique" w:hAnsi="Times New Roman Italique"/>
          <w:i/>
          <w:iCs/>
          <w:spacing w:val="-2"/>
        </w:rPr>
        <w:t>3</w:t>
      </w:r>
      <w:r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38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25. Dezember 2017 (III) (B.S. vom 29. Dezember 2017)</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w:t>
      </w:r>
      <w:r w:rsidRPr="009118AB">
        <w:rPr>
          <w:i/>
          <w:iCs/>
        </w:rPr>
        <w:t xml:space="preserve"> 1. Januar 2020 und anwendbar auf Anlagen, die ab dem </w:t>
      </w:r>
      <w:r w:rsidRPr="009118AB">
        <w:rPr>
          <w:i/>
          <w:iCs/>
        </w:rPr>
        <w:lastRenderedPageBreak/>
        <w:t>1. Januar 2020 erworben oder gebildet werden</w:t>
      </w:r>
      <w:r w:rsidR="003366D9" w:rsidRPr="009118AB">
        <w:rPr>
          <w:i/>
          <w:iCs/>
        </w:rPr>
        <w:t> -;</w:t>
      </w:r>
      <w:r w:rsidRPr="009118AB">
        <w:rPr>
          <w:i/>
          <w:iCs/>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38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25. Dezember 2017 (III) (B.S. vom 29. Dezember 2017)</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w:t>
      </w:r>
      <w:r w:rsidRPr="009118AB">
        <w:rPr>
          <w:i/>
          <w:iCs/>
        </w:rPr>
        <w:t xml:space="preserve"> 1. Januar 2020 und anwendbar auf Anlagen, die ab dem 1. Januar 2020 erworben oder gebildet werden</w:t>
      </w:r>
      <w:r w:rsidR="003366D9" w:rsidRPr="009118AB">
        <w:rPr>
          <w:i/>
          <w:iCs/>
        </w:rPr>
        <w:t> -;</w:t>
      </w:r>
      <w:r w:rsidRPr="009118AB">
        <w:rPr>
          <w:i/>
          <w:iCs/>
        </w:rPr>
        <w:t xml:space="preserve"> </w:t>
      </w:r>
      <w:r w:rsidR="00D67EB8" w:rsidRPr="009118AB">
        <w:rPr>
          <w:i/>
          <w:iCs/>
        </w:rPr>
        <w:t>§ </w:t>
      </w:r>
      <w:r w:rsidRPr="009118AB">
        <w:rPr>
          <w:i/>
          <w:iCs/>
        </w:rPr>
        <w:t xml:space="preserve">4 </w:t>
      </w:r>
      <w:r w:rsidR="00D67EB8" w:rsidRPr="009118AB">
        <w:rPr>
          <w:i/>
          <w:iCs/>
        </w:rPr>
        <w:t>Abs. </w:t>
      </w:r>
      <w:r w:rsidRPr="009118AB">
        <w:rPr>
          <w:i/>
          <w:iCs/>
        </w:rPr>
        <w:t xml:space="preserve">1 abgeändert durch </w:t>
      </w:r>
      <w:r w:rsidR="00D67EB8" w:rsidRPr="009118AB">
        <w:rPr>
          <w:i/>
          <w:iCs/>
        </w:rPr>
        <w:t>Art. </w:t>
      </w:r>
      <w:r w:rsidRPr="009118AB">
        <w:rPr>
          <w:i/>
          <w:iCs/>
        </w:rPr>
        <w:t>35 des G. vom 17. März 2019 (III) (B.S. vom 10. Mai 2019)</w:t>
      </w:r>
      <w:r w:rsidR="00D67EB8" w:rsidRPr="009118AB">
        <w:rPr>
          <w:i/>
          <w:iCs/>
        </w:rPr>
        <w:t> - </w:t>
      </w:r>
      <w:r w:rsidRPr="009118AB">
        <w:rPr>
          <w:i/>
          <w:iCs/>
        </w:rPr>
        <w:t>in Kraft am 1. Januar 2020 und anwendbar auf Anlagen, die ab dem 1. Januar 2020 erworben oder gebildet werden</w:t>
      </w:r>
      <w:r w:rsidR="003366D9" w:rsidRPr="009118AB">
        <w:rPr>
          <w:i/>
          <w:iCs/>
        </w:rPr>
        <w:t> -</w:t>
      </w:r>
      <w:r w:rsidR="00F87587" w:rsidRPr="009118AB">
        <w:rPr>
          <w:i/>
          <w:iCs/>
        </w:rPr>
        <w:t xml:space="preserve"> und Art. 21</w:t>
      </w:r>
      <w:r w:rsidR="00F87587" w:rsidRPr="009118AB">
        <w:rPr>
          <w:i/>
          <w:iCs/>
          <w:spacing w:val="-2"/>
        </w:rPr>
        <w:t xml:space="preserve"> des G. vom 5. Juli 2022 (B.S. vom 15. Juli 2022)</w:t>
      </w:r>
      <w:r w:rsidR="003366D9" w:rsidRPr="009118AB">
        <w:rPr>
          <w:i/>
          <w:iCs/>
        </w:rPr>
        <w:t>;</w:t>
      </w:r>
      <w:r w:rsidRPr="009118AB">
        <w:rPr>
          <w:i/>
          <w:iCs/>
        </w:rPr>
        <w:t xml:space="preserve"> </w:t>
      </w:r>
      <w:r w:rsidR="00D67EB8" w:rsidRPr="009118AB">
        <w:rPr>
          <w:i/>
          <w:iCs/>
        </w:rPr>
        <w:t>§ </w:t>
      </w:r>
      <w:r w:rsidRPr="009118AB">
        <w:rPr>
          <w:i/>
          <w:iCs/>
        </w:rPr>
        <w:t xml:space="preserve">4 </w:t>
      </w:r>
      <w:r w:rsidR="00D67EB8" w:rsidRPr="009118AB">
        <w:rPr>
          <w:i/>
          <w:iCs/>
        </w:rPr>
        <w:t>Abs. </w:t>
      </w:r>
      <w:r w:rsidRPr="009118AB">
        <w:rPr>
          <w:i/>
          <w:iCs/>
        </w:rPr>
        <w:t xml:space="preserve">2 abgeändert durch </w:t>
      </w:r>
      <w:r w:rsidR="00D67EB8" w:rsidRPr="009118AB">
        <w:rPr>
          <w:i/>
          <w:iCs/>
        </w:rPr>
        <w:t>Art. </w:t>
      </w:r>
      <w:r w:rsidRPr="009118AB">
        <w:rPr>
          <w:i/>
          <w:iCs/>
        </w:rPr>
        <w:t>35 des G. vom 17. März 2019 (III) (B.S. vom 10. Mai 2019)</w:t>
      </w:r>
      <w:r w:rsidR="00D67EB8" w:rsidRPr="009118AB">
        <w:rPr>
          <w:i/>
          <w:iCs/>
        </w:rPr>
        <w:t> - </w:t>
      </w:r>
      <w:r w:rsidRPr="009118AB">
        <w:rPr>
          <w:i/>
          <w:iCs/>
        </w:rPr>
        <w:t>in Kraft am 1. Januar 2020 und anwendbar auf Anlagen, die ab dem 1. Januar 2020 erworben oder gebildet werden</w:t>
      </w:r>
      <w:r w:rsidR="00FD68E8" w:rsidRPr="009118AB">
        <w:rPr>
          <w:i/>
          <w:iCs/>
        </w:rPr>
        <w:t> -</w:t>
      </w:r>
      <w:r w:rsidR="00F87587" w:rsidRPr="009118AB">
        <w:rPr>
          <w:i/>
          <w:iCs/>
        </w:rPr>
        <w:t xml:space="preserve"> und Art. 21</w:t>
      </w:r>
      <w:r w:rsidR="00F87587" w:rsidRPr="009118AB">
        <w:rPr>
          <w:i/>
          <w:iCs/>
          <w:spacing w:val="-2"/>
        </w:rPr>
        <w:t xml:space="preserve"> des G. vom 5. Juli 2022 (B.S. vom 15. Juli 2022)</w:t>
      </w:r>
      <w:r w:rsidR="00FD68E8" w:rsidRPr="009118AB">
        <w:rPr>
          <w:i/>
          <w:iCs/>
        </w:rPr>
        <w:t>]</w:t>
      </w:r>
    </w:p>
    <w:p w14:paraId="5994EC51" w14:textId="77777777" w:rsidR="00BD6918" w:rsidRPr="009118AB" w:rsidRDefault="00BD6918" w:rsidP="00BD6918">
      <w:pPr>
        <w:autoSpaceDE w:val="0"/>
        <w:autoSpaceDN w:val="0"/>
        <w:adjustRightInd w:val="0"/>
        <w:jc w:val="both"/>
      </w:pPr>
    </w:p>
    <w:p w14:paraId="4D8AD363" w14:textId="77777777" w:rsidR="00477B8F" w:rsidRPr="009118AB" w:rsidRDefault="00477B8F" w:rsidP="00477B8F">
      <w:pPr>
        <w:autoSpaceDE w:val="0"/>
        <w:autoSpaceDN w:val="0"/>
        <w:adjustRightInd w:val="0"/>
        <w:jc w:val="both"/>
      </w:pPr>
    </w:p>
    <w:p w14:paraId="61DC53BB" w14:textId="1A42BE9C" w:rsidR="0026741A" w:rsidRPr="009118AB" w:rsidRDefault="00477B8F" w:rsidP="0026741A">
      <w:pPr>
        <w:ind w:firstLine="708"/>
        <w:jc w:val="both"/>
      </w:pPr>
      <w:r w:rsidRPr="009118AB">
        <w:tab/>
      </w:r>
      <w:r w:rsidR="00D67EB8" w:rsidRPr="009118AB">
        <w:rPr>
          <w:b/>
          <w:bCs/>
        </w:rPr>
        <w:t>Art. </w:t>
      </w:r>
      <w:r w:rsidRPr="009118AB">
        <w:rPr>
          <w:b/>
          <w:bCs/>
        </w:rPr>
        <w:t>197</w:t>
      </w:r>
      <w:r w:rsidR="00D67EB8" w:rsidRPr="009118AB">
        <w:t> - </w:t>
      </w:r>
      <w:r w:rsidRPr="009118AB">
        <w:t>[</w:t>
      </w:r>
      <w:r w:rsidR="00CB07FE" w:rsidRPr="009118AB">
        <w:t>[Nicht nachgewiesene Ausgaben und verschleierte Gewinne, die der in Artikel 219 vorgesehenen getrennten Steuer unterliegen, gelten als nicht abzugsfähige Werbungskosten.]</w:t>
      </w:r>
    </w:p>
    <w:p w14:paraId="5C8513CF" w14:textId="77777777" w:rsidR="0026741A" w:rsidRPr="009118AB" w:rsidRDefault="0026741A" w:rsidP="0026741A">
      <w:pPr>
        <w:jc w:val="both"/>
      </w:pPr>
    </w:p>
    <w:p w14:paraId="7855D519" w14:textId="33FD69B9" w:rsidR="001F2A58" w:rsidRPr="009118AB" w:rsidRDefault="0026741A" w:rsidP="0026741A">
      <w:pPr>
        <w:autoSpaceDE w:val="0"/>
        <w:autoSpaceDN w:val="0"/>
        <w:adjustRightInd w:val="0"/>
        <w:jc w:val="both"/>
      </w:pPr>
      <w:r w:rsidRPr="009118AB">
        <w:tab/>
        <w:t xml:space="preserve">Bei Anwendung von Artikel 219 </w:t>
      </w:r>
      <w:r w:rsidR="00E5793B" w:rsidRPr="009118AB">
        <w:t>[</w:t>
      </w:r>
      <w:r w:rsidRPr="009118AB">
        <w:t>Absatz </w:t>
      </w:r>
      <w:r w:rsidR="00E5793B" w:rsidRPr="009118AB">
        <w:t>5</w:t>
      </w:r>
      <w:r w:rsidRPr="009118AB">
        <w:t xml:space="preserve"> und </w:t>
      </w:r>
      <w:r w:rsidR="00E5793B" w:rsidRPr="009118AB">
        <w:t>6]</w:t>
      </w:r>
      <w:r w:rsidRPr="009118AB">
        <w:t xml:space="preserve"> gelten in Abweichung von </w:t>
      </w:r>
      <w:r w:rsidR="00E5793B" w:rsidRPr="009118AB">
        <w:t>[</w:t>
      </w:r>
      <w:r w:rsidRPr="009118AB">
        <w:t xml:space="preserve">Artikel 57 </w:t>
      </w:r>
      <w:r w:rsidR="00E5793B" w:rsidRPr="009118AB">
        <w:t xml:space="preserve">Absatz 1] </w:t>
      </w:r>
      <w:r w:rsidRPr="009118AB">
        <w:t>nicht nachgewiesene Ausgaben als Werbungskosten.</w:t>
      </w:r>
      <w:r w:rsidR="001F2A58" w:rsidRPr="009118AB">
        <w:t>]</w:t>
      </w:r>
    </w:p>
    <w:p w14:paraId="0FDD0550" w14:textId="77777777" w:rsidR="001F2A58" w:rsidRPr="009118AB" w:rsidRDefault="001F2A58" w:rsidP="00477B8F">
      <w:pPr>
        <w:autoSpaceDE w:val="0"/>
        <w:autoSpaceDN w:val="0"/>
        <w:adjustRightInd w:val="0"/>
        <w:jc w:val="both"/>
      </w:pPr>
    </w:p>
    <w:p w14:paraId="2D2190D3" w14:textId="2D728F43"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197 ersetzt durch </w:t>
      </w:r>
      <w:r w:rsidR="00D67EB8" w:rsidRPr="009118AB">
        <w:rPr>
          <w:i/>
          <w:iCs/>
        </w:rPr>
        <w:t>Art. </w:t>
      </w:r>
      <w:r w:rsidR="0026741A" w:rsidRPr="009118AB">
        <w:rPr>
          <w:i/>
          <w:iCs/>
        </w:rPr>
        <w:t xml:space="preserve">28 </w:t>
      </w:r>
      <w:r w:rsidR="0026741A" w:rsidRPr="009118AB">
        <w:rPr>
          <w:i/>
          <w:iCs/>
          <w:spacing w:val="-1"/>
        </w:rPr>
        <w:t>des G. vom 19. Dezember 2014 (B.S. vom 29. Dezember 2014)</w:t>
      </w:r>
      <w:r w:rsidR="00D67EB8" w:rsidRPr="009118AB">
        <w:rPr>
          <w:i/>
          <w:iCs/>
          <w:spacing w:val="-1"/>
        </w:rPr>
        <w:t> - </w:t>
      </w:r>
      <w:r w:rsidR="0026741A" w:rsidRPr="009118AB">
        <w:rPr>
          <w:i/>
          <w:iCs/>
          <w:spacing w:val="-1"/>
        </w:rPr>
        <w:t xml:space="preserve">in Kraft am 29. Dezember 2014 und anwendbar auf alle Rechtsstreite, die </w:t>
      </w:r>
      <w:r w:rsidR="00D169F7" w:rsidRPr="009118AB">
        <w:rPr>
          <w:i/>
          <w:iCs/>
          <w:spacing w:val="-1"/>
        </w:rPr>
        <w:t>an diesem Datum</w:t>
      </w:r>
      <w:r w:rsidR="00051AF9" w:rsidRPr="009118AB">
        <w:rPr>
          <w:i/>
          <w:iCs/>
          <w:spacing w:val="-1"/>
        </w:rPr>
        <w:t xml:space="preserve"> </w:t>
      </w:r>
      <w:r w:rsidR="0026741A" w:rsidRPr="009118AB">
        <w:rPr>
          <w:i/>
          <w:iCs/>
          <w:spacing w:val="-1"/>
        </w:rPr>
        <w:t>noch nicht endgültig abgeschlossen sind</w:t>
      </w:r>
      <w:r w:rsidR="003366D9" w:rsidRPr="009118AB">
        <w:rPr>
          <w:i/>
          <w:iCs/>
          <w:spacing w:val="-1"/>
        </w:rPr>
        <w:t> -;</w:t>
      </w:r>
      <w:r w:rsidR="004221B1" w:rsidRPr="009118AB">
        <w:rPr>
          <w:i/>
          <w:iCs/>
          <w:spacing w:val="-1"/>
        </w:rPr>
        <w:t xml:space="preserve"> </w:t>
      </w:r>
      <w:r w:rsidR="00CB07FE" w:rsidRPr="009118AB">
        <w:rPr>
          <w:i/>
          <w:iCs/>
          <w:spacing w:val="-1"/>
        </w:rPr>
        <w:t>Abs. 1 ersetzt durch Art. 46</w:t>
      </w:r>
      <w:r w:rsidR="00CB07FE" w:rsidRPr="009118AB">
        <w:rPr>
          <w:i/>
          <w:iCs/>
        </w:rPr>
        <w:t xml:space="preserve"> des G. vom 20. November 2022 (B.S. vom 30. November 2022); </w:t>
      </w:r>
      <w:r w:rsidR="00D67EB8" w:rsidRPr="009118AB">
        <w:rPr>
          <w:i/>
          <w:iCs/>
          <w:spacing w:val="-1"/>
        </w:rPr>
        <w:t>Abs. </w:t>
      </w:r>
      <w:r w:rsidR="004221B1" w:rsidRPr="009118AB">
        <w:rPr>
          <w:i/>
          <w:iCs/>
          <w:spacing w:val="-1"/>
        </w:rPr>
        <w:t>2</w:t>
      </w:r>
      <w:r w:rsidR="00E5793B" w:rsidRPr="009118AB">
        <w:rPr>
          <w:i/>
          <w:iCs/>
          <w:spacing w:val="-1"/>
        </w:rPr>
        <w:t xml:space="preserve"> abgeändert durch </w:t>
      </w:r>
      <w:r w:rsidR="00D67EB8" w:rsidRPr="009118AB">
        <w:rPr>
          <w:i/>
          <w:iCs/>
          <w:spacing w:val="-1"/>
        </w:rPr>
        <w:t>Art. </w:t>
      </w:r>
      <w:r w:rsidR="00E5793B" w:rsidRPr="009118AB">
        <w:rPr>
          <w:i/>
          <w:iCs/>
          <w:spacing w:val="-1"/>
        </w:rPr>
        <w:t>45</w:t>
      </w:r>
      <w:r w:rsidR="00E5793B" w:rsidRPr="009118AB">
        <w:rPr>
          <w:i/>
        </w:rPr>
        <w:t xml:space="preserve"> des G. vom 27. Juni 2021 (B.S. vom 30. Juni 2021)</w:t>
      </w:r>
      <w:r w:rsidRPr="009118AB">
        <w:rPr>
          <w:i/>
          <w:iCs/>
        </w:rPr>
        <w:t>]</w:t>
      </w:r>
    </w:p>
    <w:p w14:paraId="7BBDC26B" w14:textId="77777777" w:rsidR="00477B8F" w:rsidRPr="009118AB" w:rsidRDefault="00477B8F" w:rsidP="00477B8F">
      <w:pPr>
        <w:autoSpaceDE w:val="0"/>
        <w:autoSpaceDN w:val="0"/>
        <w:adjustRightInd w:val="0"/>
        <w:jc w:val="both"/>
      </w:pPr>
    </w:p>
    <w:p w14:paraId="39D885EC" w14:textId="77777777" w:rsidR="00477B8F" w:rsidRPr="009118AB" w:rsidRDefault="00477B8F" w:rsidP="00477B8F">
      <w:pPr>
        <w:autoSpaceDE w:val="0"/>
        <w:autoSpaceDN w:val="0"/>
        <w:adjustRightInd w:val="0"/>
        <w:jc w:val="both"/>
      </w:pPr>
      <w:r w:rsidRPr="009118AB">
        <w:tab/>
      </w:r>
    </w:p>
    <w:p w14:paraId="42967CBC" w14:textId="4808CC54" w:rsidR="0044234F" w:rsidRPr="00AE1D14" w:rsidRDefault="004E4B0C" w:rsidP="0044234F">
      <w:pPr>
        <w:autoSpaceDE w:val="0"/>
        <w:autoSpaceDN w:val="0"/>
        <w:adjustRightInd w:val="0"/>
        <w:jc w:val="both"/>
        <w:rPr>
          <w:bCs/>
          <w:iCs/>
        </w:rPr>
      </w:pPr>
      <w:r w:rsidRPr="009118AB">
        <w:rPr>
          <w:bCs/>
          <w:iCs/>
        </w:rPr>
        <w:tab/>
      </w:r>
      <w:r w:rsidR="00D67EB8" w:rsidRPr="00AE1D14">
        <w:rPr>
          <w:b/>
          <w:bCs/>
          <w:iCs/>
        </w:rPr>
        <w:t>Art. </w:t>
      </w:r>
      <w:r w:rsidR="0044234F" w:rsidRPr="00AE1D14">
        <w:rPr>
          <w:b/>
          <w:bCs/>
          <w:iCs/>
        </w:rPr>
        <w:t>198</w:t>
      </w:r>
      <w:r w:rsidR="00D67EB8" w:rsidRPr="00AE1D14">
        <w:rPr>
          <w:iCs/>
        </w:rPr>
        <w:t> - </w:t>
      </w:r>
      <w:r w:rsidR="0044234F" w:rsidRPr="00AE1D14">
        <w:rPr>
          <w:iCs/>
        </w:rPr>
        <w:t>[</w:t>
      </w:r>
      <w:r w:rsidR="00D67EB8" w:rsidRPr="00AE1D14">
        <w:rPr>
          <w:iCs/>
        </w:rPr>
        <w:t>§ </w:t>
      </w:r>
      <w:r w:rsidR="0044234F" w:rsidRPr="00AE1D14">
        <w:rPr>
          <w:iCs/>
        </w:rPr>
        <w:t>1]</w:t>
      </w:r>
      <w:r w:rsidR="00D67EB8" w:rsidRPr="00AE1D14">
        <w:rPr>
          <w:iCs/>
        </w:rPr>
        <w:t> - </w:t>
      </w:r>
      <w:r w:rsidR="0044234F" w:rsidRPr="00AE1D14">
        <w:rPr>
          <w:bCs/>
          <w:iCs/>
        </w:rPr>
        <w:t>Werbungskosten umfassen nicht:</w:t>
      </w:r>
    </w:p>
    <w:p w14:paraId="223C1583" w14:textId="77777777" w:rsidR="0044234F" w:rsidRPr="00AE1D14" w:rsidRDefault="0044234F" w:rsidP="0044234F">
      <w:pPr>
        <w:autoSpaceDE w:val="0"/>
        <w:autoSpaceDN w:val="0"/>
        <w:adjustRightInd w:val="0"/>
        <w:jc w:val="both"/>
        <w:rPr>
          <w:bCs/>
          <w:iCs/>
        </w:rPr>
      </w:pPr>
    </w:p>
    <w:p w14:paraId="7611F490" w14:textId="6167FFAE" w:rsidR="0044234F" w:rsidRPr="009118AB" w:rsidRDefault="004E4B0C" w:rsidP="0044234F">
      <w:pPr>
        <w:autoSpaceDE w:val="0"/>
        <w:autoSpaceDN w:val="0"/>
        <w:adjustRightInd w:val="0"/>
        <w:jc w:val="both"/>
        <w:rPr>
          <w:bCs/>
          <w:iCs/>
        </w:rPr>
      </w:pPr>
      <w:r w:rsidRPr="00AE1D14">
        <w:rPr>
          <w:bCs/>
          <w:iCs/>
        </w:rPr>
        <w:tab/>
      </w:r>
      <w:r w:rsidR="0044234F" w:rsidRPr="00AE1D14">
        <w:rPr>
          <w:bCs/>
          <w:iCs/>
        </w:rPr>
        <w:t>1. [die Gesellschaftssteuer[, Summen, die auf die Gesellschaftssteuer vorausgezahlt werden, und den Mobiliensteuervorabzug, den der Schuldner des Einkommens unter Missachtung von Artikel 261 zur</w:t>
      </w:r>
      <w:r w:rsidR="007B19C5" w:rsidRPr="00AE1D14">
        <w:rPr>
          <w:bCs/>
          <w:iCs/>
        </w:rPr>
        <w:t xml:space="preserve"> Entlastung des Empfängers trägt</w:t>
      </w:r>
      <w:r w:rsidR="00B86CA6" w:rsidRPr="00AE1D14">
        <w:rPr>
          <w:bCs/>
          <w:iCs/>
        </w:rPr>
        <w:t xml:space="preserve"> [</w:t>
      </w:r>
      <w:r w:rsidR="00B86CA6" w:rsidRPr="00AE1D14">
        <w:t>...]</w:t>
      </w:r>
      <w:r w:rsidR="0044234F" w:rsidRPr="00AE1D14">
        <w:rPr>
          <w:bCs/>
          <w:iCs/>
        </w:rPr>
        <w:t>,]</w:t>
      </w:r>
    </w:p>
    <w:p w14:paraId="29E03E70" w14:textId="07FE328E" w:rsidR="0044234F" w:rsidRPr="009118AB" w:rsidRDefault="0044234F" w:rsidP="0044234F">
      <w:pPr>
        <w:autoSpaceDE w:val="0"/>
        <w:autoSpaceDN w:val="0"/>
        <w:adjustRightInd w:val="0"/>
        <w:jc w:val="both"/>
        <w:rPr>
          <w:bCs/>
          <w:iCs/>
        </w:rPr>
      </w:pPr>
    </w:p>
    <w:p w14:paraId="1AC80790" w14:textId="77777777" w:rsidR="0044234F" w:rsidRPr="009118AB" w:rsidRDefault="004E4B0C" w:rsidP="0044234F">
      <w:pPr>
        <w:autoSpaceDE w:val="0"/>
        <w:autoSpaceDN w:val="0"/>
        <w:adjustRightInd w:val="0"/>
        <w:jc w:val="both"/>
        <w:rPr>
          <w:bCs/>
          <w:iCs/>
        </w:rPr>
      </w:pPr>
      <w:r w:rsidRPr="009118AB">
        <w:rPr>
          <w:bCs/>
          <w:iCs/>
        </w:rPr>
        <w:tab/>
      </w:r>
      <w:r w:rsidR="0044234F" w:rsidRPr="009118AB">
        <w:rPr>
          <w:bCs/>
          <w:iCs/>
        </w:rPr>
        <w:t>2. [die Steuer und die Zuschlagsteuer auf Beteiligungen, die der Schuldner des Einkommens zur Entlastung des Empfängers der Einkünfte zahlt und die in Artikel 113 des Gesetzbuches der der Einkommensteuer gleichgesetzten Steuern erwähnt sind,]</w:t>
      </w:r>
    </w:p>
    <w:p w14:paraId="06D6CD9F" w14:textId="77777777" w:rsidR="0044234F" w:rsidRPr="009118AB" w:rsidRDefault="0044234F" w:rsidP="0044234F">
      <w:pPr>
        <w:autoSpaceDE w:val="0"/>
        <w:autoSpaceDN w:val="0"/>
        <w:adjustRightInd w:val="0"/>
        <w:jc w:val="both"/>
        <w:rPr>
          <w:bCs/>
          <w:iCs/>
        </w:rPr>
      </w:pPr>
    </w:p>
    <w:p w14:paraId="799B09FA" w14:textId="77777777" w:rsidR="0044234F" w:rsidRPr="009118AB" w:rsidRDefault="004E4B0C" w:rsidP="0044234F">
      <w:pPr>
        <w:autoSpaceDE w:val="0"/>
        <w:autoSpaceDN w:val="0"/>
        <w:adjustRightInd w:val="0"/>
        <w:jc w:val="both"/>
        <w:rPr>
          <w:bCs/>
          <w:iCs/>
        </w:rPr>
      </w:pPr>
      <w:r w:rsidRPr="009118AB">
        <w:rPr>
          <w:bCs/>
          <w:iCs/>
        </w:rPr>
        <w:tab/>
      </w:r>
      <w:r w:rsidR="0044234F" w:rsidRPr="009118AB">
        <w:rPr>
          <w:bCs/>
          <w:iCs/>
        </w:rPr>
        <w:t>3. Zuschläge, Erhöhungen, Kosten und Verzugszinsen in Bezug auf die Gesellschaftssteuer und die Vorabzüge [ausschließlich des Immobiliensteuervorabzugs],</w:t>
      </w:r>
    </w:p>
    <w:p w14:paraId="4BDAA505" w14:textId="77777777" w:rsidR="0044234F" w:rsidRPr="009118AB" w:rsidRDefault="0044234F" w:rsidP="0044234F">
      <w:pPr>
        <w:autoSpaceDE w:val="0"/>
        <w:autoSpaceDN w:val="0"/>
        <w:adjustRightInd w:val="0"/>
        <w:jc w:val="both"/>
        <w:rPr>
          <w:bCs/>
          <w:iCs/>
        </w:rPr>
      </w:pPr>
    </w:p>
    <w:p w14:paraId="1DF98B8F" w14:textId="77777777" w:rsidR="0044234F" w:rsidRPr="009118AB" w:rsidRDefault="004E4B0C" w:rsidP="0044234F">
      <w:pPr>
        <w:autoSpaceDE w:val="0"/>
        <w:autoSpaceDN w:val="0"/>
        <w:adjustRightInd w:val="0"/>
        <w:jc w:val="both"/>
        <w:rPr>
          <w:bCs/>
          <w:iCs/>
        </w:rPr>
      </w:pPr>
      <w:r w:rsidRPr="009118AB">
        <w:rPr>
          <w:bCs/>
          <w:iCs/>
        </w:rPr>
        <w:tab/>
      </w:r>
      <w:r w:rsidR="0044234F" w:rsidRPr="009118AB">
        <w:rPr>
          <w:bCs/>
          <w:iCs/>
        </w:rPr>
        <w:t>4. [...] die [in Artikel 183</w:t>
      </w:r>
      <w:r w:rsidR="0044234F" w:rsidRPr="009118AB">
        <w:rPr>
          <w:bCs/>
          <w:i/>
          <w:iCs/>
        </w:rPr>
        <w:t>bis</w:t>
      </w:r>
      <w:r w:rsidR="0044234F" w:rsidRPr="009118AB">
        <w:rPr>
          <w:bCs/>
          <w:iCs/>
        </w:rPr>
        <w:t xml:space="preserve"> des Gesetzbuches der verschiedenen Gebühren und Steuern] vorgesehene jährliche Steuer auf Gewinnbeteiligungen,</w:t>
      </w:r>
    </w:p>
    <w:p w14:paraId="096B9F28" w14:textId="77777777" w:rsidR="0044234F" w:rsidRPr="009118AB" w:rsidRDefault="0044234F" w:rsidP="0044234F">
      <w:pPr>
        <w:autoSpaceDE w:val="0"/>
        <w:autoSpaceDN w:val="0"/>
        <w:adjustRightInd w:val="0"/>
        <w:jc w:val="both"/>
        <w:rPr>
          <w:bCs/>
          <w:iCs/>
        </w:rPr>
      </w:pPr>
    </w:p>
    <w:p w14:paraId="00C56979" w14:textId="064B1477" w:rsidR="0044234F" w:rsidRPr="009118AB" w:rsidRDefault="004E4B0C" w:rsidP="0044234F">
      <w:pPr>
        <w:autoSpaceDE w:val="0"/>
        <w:autoSpaceDN w:val="0"/>
        <w:adjustRightInd w:val="0"/>
        <w:jc w:val="both"/>
        <w:rPr>
          <w:bCs/>
          <w:iCs/>
        </w:rPr>
      </w:pPr>
      <w:r w:rsidRPr="009118AB">
        <w:rPr>
          <w:bCs/>
          <w:iCs/>
        </w:rPr>
        <w:tab/>
      </w:r>
      <w:r w:rsidR="0044234F" w:rsidRPr="009118AB">
        <w:rPr>
          <w:bCs/>
          <w:iCs/>
        </w:rPr>
        <w:t>5. [[</w:t>
      </w:r>
      <w:r w:rsidR="00892A4E">
        <w:rPr>
          <w:bCs/>
          <w:iCs/>
        </w:rPr>
        <w:t>[</w:t>
      </w:r>
      <w:r w:rsidR="00892A4E" w:rsidRPr="009541B3">
        <w:t>unbeschadet der Anwendung von Artikel 53 Nr. 32</w:t>
      </w:r>
      <w:r w:rsidR="00892A4E">
        <w:rPr>
          <w:bCs/>
          <w:iCs/>
        </w:rPr>
        <w:t xml:space="preserve">] </w:t>
      </w:r>
      <w:r w:rsidR="0044234F" w:rsidRPr="009118AB">
        <w:rPr>
          <w:bCs/>
          <w:iCs/>
        </w:rPr>
        <w:t xml:space="preserve">andere Regionalsteuern, </w:t>
      </w:r>
      <w:r w:rsidR="00231129">
        <w:rPr>
          <w:bCs/>
          <w:iCs/>
        </w:rPr>
        <w:br/>
      </w:r>
      <w:r w:rsidR="0044234F" w:rsidRPr="009118AB">
        <w:rPr>
          <w:bCs/>
          <w:iCs/>
        </w:rPr>
        <w:t>-abgaben und -gebühren als die, die in Artikel 3 des Sondergesetzes vom 16. Januar 1989 bezüglich der Finanzierung der Gemeinschaften und Regionen erwähnt sind, und die, die die Regionen für die Benutzung von Fahrzeugen oder die Benutzung der öffentlichen Straße eingeführt haben,] und Zuschläge, Erhöhungen, Kosten und Verzugszinsen in Bezug auf diese nicht abzugsfähigen Steuern, Abgaben und Gebühren,]</w:t>
      </w:r>
    </w:p>
    <w:p w14:paraId="306BF351" w14:textId="77777777" w:rsidR="0044234F" w:rsidRPr="009118AB" w:rsidRDefault="0044234F" w:rsidP="0044234F">
      <w:pPr>
        <w:autoSpaceDE w:val="0"/>
        <w:autoSpaceDN w:val="0"/>
        <w:adjustRightInd w:val="0"/>
        <w:jc w:val="both"/>
        <w:rPr>
          <w:bCs/>
          <w:iCs/>
        </w:rPr>
      </w:pPr>
    </w:p>
    <w:p w14:paraId="38623249" w14:textId="16F347DA" w:rsidR="0044234F" w:rsidRPr="009118AB" w:rsidRDefault="004E4B0C" w:rsidP="0044234F">
      <w:pPr>
        <w:autoSpaceDE w:val="0"/>
        <w:autoSpaceDN w:val="0"/>
        <w:adjustRightInd w:val="0"/>
        <w:jc w:val="both"/>
        <w:rPr>
          <w:bCs/>
          <w:iCs/>
        </w:rPr>
      </w:pPr>
      <w:r w:rsidRPr="009118AB">
        <w:rPr>
          <w:bCs/>
          <w:iCs/>
        </w:rPr>
        <w:tab/>
      </w:r>
      <w:r w:rsidR="0044234F" w:rsidRPr="009118AB">
        <w:rPr>
          <w:bCs/>
          <w:iCs/>
        </w:rPr>
        <w:t>6. [</w:t>
      </w:r>
      <w:r w:rsidR="00E13F17" w:rsidRPr="009118AB">
        <w:t>die in Artikel 201/4 des Gesetzbuches der verschiedenen Gebühren und Steuern erwähnte jährliche Steuer auf Wertpapierkonten,</w:t>
      </w:r>
      <w:r w:rsidR="0044234F" w:rsidRPr="009118AB">
        <w:rPr>
          <w:bCs/>
          <w:iCs/>
        </w:rPr>
        <w:t>]</w:t>
      </w:r>
    </w:p>
    <w:p w14:paraId="2A2FE0EB" w14:textId="77777777" w:rsidR="0044234F" w:rsidRPr="009118AB" w:rsidRDefault="0044234F" w:rsidP="0044234F">
      <w:pPr>
        <w:autoSpaceDE w:val="0"/>
        <w:autoSpaceDN w:val="0"/>
        <w:adjustRightInd w:val="0"/>
        <w:jc w:val="both"/>
        <w:rPr>
          <w:bCs/>
          <w:iCs/>
        </w:rPr>
      </w:pPr>
    </w:p>
    <w:p w14:paraId="2EE7B2E3" w14:textId="0CD69DAA" w:rsidR="001E6DB4" w:rsidRPr="009118AB" w:rsidRDefault="001E6DB4" w:rsidP="001E6DB4">
      <w:pPr>
        <w:ind w:firstLine="708"/>
        <w:jc w:val="both"/>
      </w:pPr>
      <w:r w:rsidRPr="009118AB">
        <w:rPr>
          <w:bCs/>
          <w:iCs/>
        </w:rPr>
        <w:tab/>
        <w:t>[</w:t>
      </w:r>
      <w:r w:rsidRPr="009118AB">
        <w:t>6/1. </w:t>
      </w:r>
      <w:r w:rsidR="00A476AF">
        <w:t>[die]</w:t>
      </w:r>
      <w:r w:rsidRPr="009118AB">
        <w:t xml:space="preserve"> in Artikel 201</w:t>
      </w:r>
      <w:r w:rsidRPr="009118AB">
        <w:rPr>
          <w:vertAlign w:val="superscript"/>
        </w:rPr>
        <w:t>11</w:t>
      </w:r>
      <w:r w:rsidRPr="009118AB">
        <w:t xml:space="preserve"> des Gesetzbuches der verschiedenen Gebühren und Steuern </w:t>
      </w:r>
      <w:r w:rsidR="00A476AF">
        <w:t>[</w:t>
      </w:r>
      <w:r w:rsidRPr="009118AB">
        <w:t>erwähnte</w:t>
      </w:r>
      <w:r w:rsidR="00A476AF">
        <w:t xml:space="preserve"> </w:t>
      </w:r>
      <w:r w:rsidRPr="009118AB">
        <w:t>jährliche</w:t>
      </w:r>
      <w:r w:rsidR="00A476AF">
        <w:t xml:space="preserve">] </w:t>
      </w:r>
      <w:r w:rsidRPr="009118AB">
        <w:t>Steuer auf Kreditinstitute,</w:t>
      </w:r>
    </w:p>
    <w:p w14:paraId="09C689CE" w14:textId="77777777" w:rsidR="001E6DB4" w:rsidRPr="009118AB" w:rsidRDefault="001E6DB4" w:rsidP="001E6DB4">
      <w:pPr>
        <w:jc w:val="both"/>
      </w:pPr>
    </w:p>
    <w:p w14:paraId="20A1676C" w14:textId="0A59CBC4" w:rsidR="001E6DB4" w:rsidRPr="009118AB" w:rsidRDefault="001E6DB4" w:rsidP="001E6DB4">
      <w:pPr>
        <w:ind w:firstLine="708"/>
        <w:jc w:val="both"/>
      </w:pPr>
      <w:r w:rsidRPr="009118AB">
        <w:t>6/2. </w:t>
      </w:r>
      <w:r w:rsidR="00A476AF" w:rsidRPr="00A476AF">
        <w:t xml:space="preserve">[die] </w:t>
      </w:r>
      <w:r w:rsidRPr="009118AB">
        <w:t>der in Artikel 201</w:t>
      </w:r>
      <w:r w:rsidRPr="009118AB">
        <w:rPr>
          <w:vertAlign w:val="superscript"/>
        </w:rPr>
        <w:t>21</w:t>
      </w:r>
      <w:r w:rsidRPr="009118AB">
        <w:t xml:space="preserve"> des Gesetzbuches der verschiedenen Gebühren und Steuern </w:t>
      </w:r>
      <w:r w:rsidR="00A476AF" w:rsidRPr="00A476AF">
        <w:t xml:space="preserve">[erwähnte jährliche] </w:t>
      </w:r>
      <w:r w:rsidRPr="009118AB">
        <w:t>Steuer auf Organismen für gemeinsame Anlagen,</w:t>
      </w:r>
    </w:p>
    <w:p w14:paraId="6B096DED" w14:textId="77777777" w:rsidR="001E6DB4" w:rsidRPr="009118AB" w:rsidRDefault="001E6DB4" w:rsidP="001E6DB4">
      <w:pPr>
        <w:jc w:val="both"/>
      </w:pPr>
    </w:p>
    <w:p w14:paraId="65722BB6" w14:textId="15C62B2A" w:rsidR="001E6DB4" w:rsidRPr="009118AB" w:rsidRDefault="001E6DB4" w:rsidP="001E6DB4">
      <w:pPr>
        <w:autoSpaceDE w:val="0"/>
        <w:autoSpaceDN w:val="0"/>
        <w:adjustRightInd w:val="0"/>
        <w:ind w:firstLine="708"/>
        <w:jc w:val="both"/>
        <w:rPr>
          <w:bCs/>
          <w:iCs/>
        </w:rPr>
      </w:pPr>
      <w:r w:rsidRPr="009118AB">
        <w:t>6/3. </w:t>
      </w:r>
      <w:r w:rsidR="00A476AF" w:rsidRPr="00A476AF">
        <w:t xml:space="preserve">[die] </w:t>
      </w:r>
      <w:r w:rsidRPr="009118AB">
        <w:t>in Artikel 201</w:t>
      </w:r>
      <w:r w:rsidRPr="009118AB">
        <w:rPr>
          <w:vertAlign w:val="superscript"/>
        </w:rPr>
        <w:t>30</w:t>
      </w:r>
      <w:r w:rsidRPr="009118AB">
        <w:t xml:space="preserve"> des Gesetzbuches der verschiedenen Gebühren und Steuern </w:t>
      </w:r>
      <w:r w:rsidR="00A476AF" w:rsidRPr="00A476AF">
        <w:t xml:space="preserve">[erwähnte jährliche] </w:t>
      </w:r>
      <w:r w:rsidRPr="009118AB">
        <w:t>Steuer auf Versicherungsunternehmen,</w:t>
      </w:r>
      <w:r w:rsidRPr="009118AB">
        <w:rPr>
          <w:bCs/>
          <w:iCs/>
        </w:rPr>
        <w:t>]</w:t>
      </w:r>
    </w:p>
    <w:p w14:paraId="2B87E5A6" w14:textId="77777777" w:rsidR="001E6DB4" w:rsidRPr="009118AB" w:rsidRDefault="001E6DB4" w:rsidP="0044234F">
      <w:pPr>
        <w:autoSpaceDE w:val="0"/>
        <w:autoSpaceDN w:val="0"/>
        <w:adjustRightInd w:val="0"/>
        <w:jc w:val="both"/>
        <w:rPr>
          <w:bCs/>
          <w:iCs/>
        </w:rPr>
      </w:pPr>
    </w:p>
    <w:p w14:paraId="09D4509F" w14:textId="51C2D160" w:rsidR="0044234F" w:rsidRPr="009118AB" w:rsidRDefault="004E4B0C" w:rsidP="0044234F">
      <w:pPr>
        <w:autoSpaceDE w:val="0"/>
        <w:autoSpaceDN w:val="0"/>
        <w:adjustRightInd w:val="0"/>
        <w:jc w:val="both"/>
        <w:rPr>
          <w:bCs/>
          <w:iCs/>
        </w:rPr>
      </w:pPr>
      <w:r w:rsidRPr="009118AB">
        <w:rPr>
          <w:bCs/>
          <w:iCs/>
        </w:rPr>
        <w:tab/>
      </w:r>
      <w:r w:rsidR="0044234F" w:rsidRPr="009118AB">
        <w:rPr>
          <w:bCs/>
          <w:iCs/>
        </w:rPr>
        <w:t>7. Wertminderungen und Minderwerte auf Aktien oder Anteile, ausschließlich der Minderwerte, die anlässlich der Gesamtverteilung des Gesellschaftsvermögens einer Gesellschaft [bis höchstens zum Verlust des eingezahlten Kapitals], das durch diese Aktien oder Anteile vertreten wird, gebucht werden, [</w:t>
      </w:r>
      <w:r w:rsidR="0044234F" w:rsidRPr="009118AB">
        <w:rPr>
          <w:iCs/>
        </w:rPr>
        <w:t>und der Wertminderungen und Minderwerte auf Aktien oder Anteile, die zum Handelsportfolio gehören wie in Artikel 35</w:t>
      </w:r>
      <w:r w:rsidR="0044234F" w:rsidRPr="009118AB">
        <w:rPr>
          <w:i/>
          <w:iCs/>
        </w:rPr>
        <w:t>ter</w:t>
      </w:r>
      <w:r w:rsidR="0044234F" w:rsidRPr="009118AB">
        <w:rPr>
          <w:iCs/>
        </w:rPr>
        <w:t xml:space="preserve"> </w:t>
      </w:r>
      <w:r w:rsidR="00D67EB8" w:rsidRPr="009118AB">
        <w:rPr>
          <w:iCs/>
        </w:rPr>
        <w:t>§ </w:t>
      </w:r>
      <w:r w:rsidR="0044234F" w:rsidRPr="009118AB">
        <w:rPr>
          <w:iCs/>
        </w:rPr>
        <w:t>1 Absatz 2 Buchstabe </w:t>
      </w:r>
      <w:r w:rsidR="0044234F" w:rsidRPr="009118AB">
        <w:rPr>
          <w:i/>
          <w:iCs/>
        </w:rPr>
        <w:t>a)</w:t>
      </w:r>
      <w:r w:rsidR="0044234F" w:rsidRPr="009118AB">
        <w:rPr>
          <w:iCs/>
        </w:rPr>
        <w:t xml:space="preserve"> des Königlichen Erlasses vom 23. September 1992 über den Jahresabschluss von Kreditinstituten, Investmentgesellschaften und Verwaltungsgesellschaften von Organismen für gemeinsame Anlagen erwähnt,]</w:t>
      </w:r>
    </w:p>
    <w:p w14:paraId="31258E8C" w14:textId="77777777" w:rsidR="0044234F" w:rsidRPr="009118AB" w:rsidRDefault="0044234F" w:rsidP="0044234F">
      <w:pPr>
        <w:autoSpaceDE w:val="0"/>
        <w:autoSpaceDN w:val="0"/>
        <w:adjustRightInd w:val="0"/>
        <w:jc w:val="both"/>
        <w:rPr>
          <w:bCs/>
          <w:iCs/>
        </w:rPr>
      </w:pPr>
    </w:p>
    <w:p w14:paraId="08DA5FD6" w14:textId="7503B451" w:rsidR="0044234F" w:rsidRPr="009118AB" w:rsidRDefault="004E4B0C" w:rsidP="0044234F">
      <w:pPr>
        <w:autoSpaceDE w:val="0"/>
        <w:autoSpaceDN w:val="0"/>
        <w:adjustRightInd w:val="0"/>
        <w:jc w:val="both"/>
        <w:rPr>
          <w:bCs/>
          <w:iCs/>
        </w:rPr>
      </w:pPr>
      <w:r w:rsidRPr="009118AB">
        <w:rPr>
          <w:bCs/>
          <w:iCs/>
        </w:rPr>
        <w:tab/>
      </w:r>
      <w:r w:rsidR="0044234F" w:rsidRPr="009118AB">
        <w:rPr>
          <w:bCs/>
          <w:iCs/>
        </w:rPr>
        <w:t xml:space="preserve">[8. </w:t>
      </w:r>
      <w:r w:rsidR="00B65CFE" w:rsidRPr="009118AB">
        <w:rPr>
          <w:bCs/>
          <w:iCs/>
        </w:rPr>
        <w:t>[den in den Kosten aufgenommenen Teil des auf nicht abschreibbare immaterielle Anlagen oder Sachanlagen oder Finanzanlagen gebuchten Diskonts, sofern der Kaufpreis weniger beträgt als der Realwert, erhöht um den Diskont,]</w:t>
      </w:r>
      <w:r w:rsidR="0044234F" w:rsidRPr="009118AB">
        <w:rPr>
          <w:bCs/>
          <w:iCs/>
        </w:rPr>
        <w:t>]</w:t>
      </w:r>
    </w:p>
    <w:p w14:paraId="3C9B5974" w14:textId="77777777" w:rsidR="0044234F" w:rsidRPr="009118AB" w:rsidRDefault="0044234F" w:rsidP="0044234F">
      <w:pPr>
        <w:autoSpaceDE w:val="0"/>
        <w:autoSpaceDN w:val="0"/>
        <w:adjustRightInd w:val="0"/>
        <w:jc w:val="both"/>
        <w:rPr>
          <w:bCs/>
          <w:iCs/>
        </w:rPr>
      </w:pPr>
    </w:p>
    <w:p w14:paraId="2EC38046" w14:textId="7803B770" w:rsidR="0044234F" w:rsidRPr="009118AB" w:rsidRDefault="004E4B0C" w:rsidP="0044234F">
      <w:pPr>
        <w:autoSpaceDE w:val="0"/>
        <w:autoSpaceDN w:val="0"/>
        <w:adjustRightInd w:val="0"/>
        <w:jc w:val="both"/>
        <w:rPr>
          <w:bCs/>
          <w:iCs/>
        </w:rPr>
      </w:pPr>
      <w:r w:rsidRPr="009118AB">
        <w:rPr>
          <w:bCs/>
          <w:iCs/>
        </w:rPr>
        <w:tab/>
      </w:r>
      <w:r w:rsidR="0044234F" w:rsidRPr="009118AB">
        <w:rPr>
          <w:bCs/>
          <w:iCs/>
        </w:rPr>
        <w:t xml:space="preserve">[9. </w:t>
      </w:r>
      <w:r w:rsidR="00E611CA" w:rsidRPr="009118AB">
        <w:rPr>
          <w:bCs/>
          <w:iCs/>
        </w:rPr>
        <w:t>[</w:t>
      </w:r>
      <w:r w:rsidR="006246F0" w:rsidRPr="009118AB">
        <w:rPr>
          <w:bCs/>
        </w:rPr>
        <w:t>...</w:t>
      </w:r>
      <w:r w:rsidR="00E611CA" w:rsidRPr="009118AB">
        <w:rPr>
          <w:bCs/>
          <w:iCs/>
        </w:rPr>
        <w:t xml:space="preserve">] </w:t>
      </w:r>
      <w:r w:rsidR="0044234F" w:rsidRPr="009118AB">
        <w:rPr>
          <w:bCs/>
          <w:iCs/>
        </w:rPr>
        <w:t>[Kosten der in Artikel 65 erwähnten Fahrzeuge[</w:t>
      </w:r>
      <w:r w:rsidR="0044234F" w:rsidRPr="009118AB">
        <w:rPr>
          <w:iCs/>
        </w:rPr>
        <w:t xml:space="preserve">, die kostenlos oder nicht kostenlos zu persönlichen Zwecken zur Verfügung gestellt werden, im Verhältnis zu 17 Prozent des </w:t>
      </w:r>
      <w:r w:rsidR="007B3C5C" w:rsidRPr="009118AB">
        <w:rPr>
          <w:iCs/>
        </w:rPr>
        <w:t>[</w:t>
      </w:r>
      <w:r w:rsidR="0044234F" w:rsidRPr="009118AB">
        <w:rPr>
          <w:iCs/>
        </w:rPr>
        <w:t xml:space="preserve">gemäß Artikel 36 </w:t>
      </w:r>
      <w:r w:rsidR="00D67EB8" w:rsidRPr="009118AB">
        <w:rPr>
          <w:iCs/>
        </w:rPr>
        <w:t>§ </w:t>
      </w:r>
      <w:r w:rsidR="0044234F" w:rsidRPr="009118AB">
        <w:rPr>
          <w:iCs/>
        </w:rPr>
        <w:t xml:space="preserve">2 Absatz 1 bis </w:t>
      </w:r>
      <w:r w:rsidR="007B3C5C" w:rsidRPr="009118AB">
        <w:rPr>
          <w:iCs/>
        </w:rPr>
        <w:t>12]</w:t>
      </w:r>
      <w:r w:rsidR="0044234F" w:rsidRPr="009118AB">
        <w:rPr>
          <w:iCs/>
        </w:rPr>
        <w:t xml:space="preserve"> bestimmten Betrags,</w:t>
      </w:r>
      <w:r w:rsidR="0044234F" w:rsidRPr="009118AB">
        <w:rPr>
          <w:bCs/>
          <w:iCs/>
        </w:rPr>
        <w:t>]]]</w:t>
      </w:r>
    </w:p>
    <w:p w14:paraId="1D1CBBB3" w14:textId="77777777" w:rsidR="00E611CA" w:rsidRPr="009118AB" w:rsidRDefault="00E611CA" w:rsidP="0044234F">
      <w:pPr>
        <w:autoSpaceDE w:val="0"/>
        <w:autoSpaceDN w:val="0"/>
        <w:adjustRightInd w:val="0"/>
        <w:jc w:val="both"/>
        <w:rPr>
          <w:bCs/>
          <w:iCs/>
        </w:rPr>
      </w:pPr>
    </w:p>
    <w:p w14:paraId="72597354" w14:textId="216A1E30" w:rsidR="00E611CA" w:rsidRPr="009118AB" w:rsidRDefault="00E611CA" w:rsidP="0044234F">
      <w:pPr>
        <w:autoSpaceDE w:val="0"/>
        <w:autoSpaceDN w:val="0"/>
        <w:adjustRightInd w:val="0"/>
        <w:jc w:val="both"/>
        <w:rPr>
          <w:bCs/>
          <w:iCs/>
        </w:rPr>
      </w:pPr>
      <w:r w:rsidRPr="009118AB">
        <w:rPr>
          <w:bCs/>
          <w:iCs/>
        </w:rPr>
        <w:tab/>
        <w:t>[</w:t>
      </w:r>
      <w:r w:rsidR="006246F0" w:rsidRPr="009118AB">
        <w:rPr>
          <w:rFonts w:eastAsia="Calibri"/>
          <w:iCs/>
        </w:rPr>
        <w:t>...</w:t>
      </w:r>
      <w:r w:rsidRPr="009118AB">
        <w:rPr>
          <w:bCs/>
          <w:iCs/>
        </w:rPr>
        <w:t>]</w:t>
      </w:r>
    </w:p>
    <w:p w14:paraId="6CAA4B48" w14:textId="77777777" w:rsidR="0044234F" w:rsidRPr="009118AB" w:rsidRDefault="0044234F" w:rsidP="0044234F">
      <w:pPr>
        <w:autoSpaceDE w:val="0"/>
        <w:autoSpaceDN w:val="0"/>
        <w:adjustRightInd w:val="0"/>
        <w:jc w:val="both"/>
        <w:rPr>
          <w:bCs/>
          <w:iCs/>
        </w:rPr>
      </w:pPr>
    </w:p>
    <w:p w14:paraId="5C170D67" w14:textId="230BBB35" w:rsidR="0044234F" w:rsidRPr="009118AB" w:rsidRDefault="004E4B0C" w:rsidP="0044234F">
      <w:pPr>
        <w:autoSpaceDE w:val="0"/>
        <w:autoSpaceDN w:val="0"/>
        <w:adjustRightInd w:val="0"/>
        <w:jc w:val="both"/>
        <w:rPr>
          <w:bCs/>
          <w:iCs/>
        </w:rPr>
      </w:pPr>
      <w:r w:rsidRPr="009118AB">
        <w:rPr>
          <w:bCs/>
          <w:iCs/>
        </w:rPr>
        <w:tab/>
      </w:r>
      <w:r w:rsidR="0044234F" w:rsidRPr="009118AB">
        <w:rPr>
          <w:bCs/>
          <w:iCs/>
        </w:rPr>
        <w:t>[</w:t>
      </w:r>
      <w:r w:rsidR="0044234F" w:rsidRPr="009118AB">
        <w:rPr>
          <w:iCs/>
        </w:rPr>
        <w:t>9</w:t>
      </w:r>
      <w:r w:rsidR="0044234F" w:rsidRPr="009118AB">
        <w:rPr>
          <w:i/>
          <w:iCs/>
        </w:rPr>
        <w:t>bis</w:t>
      </w:r>
      <w:r w:rsidR="0044234F" w:rsidRPr="009118AB">
        <w:rPr>
          <w:iCs/>
        </w:rPr>
        <w:t>. </w:t>
      </w:r>
      <w:r w:rsidR="006246F0" w:rsidRPr="009118AB">
        <w:rPr>
          <w:iCs/>
        </w:rPr>
        <w:t xml:space="preserve">[...] </w:t>
      </w:r>
      <w:r w:rsidR="00E611CA" w:rsidRPr="009118AB">
        <w:rPr>
          <w:rFonts w:eastAsia="Calibri"/>
          <w:spacing w:val="-2"/>
        </w:rPr>
        <w:t xml:space="preserve">in Abweichung von </w:t>
      </w:r>
      <w:r w:rsidR="00D67EB8" w:rsidRPr="009118AB">
        <w:rPr>
          <w:rFonts w:eastAsia="Calibri"/>
          <w:spacing w:val="-2"/>
        </w:rPr>
        <w:t>Nr. </w:t>
      </w:r>
      <w:r w:rsidR="00E611CA" w:rsidRPr="009118AB">
        <w:rPr>
          <w:rFonts w:eastAsia="Calibri"/>
          <w:spacing w:val="-2"/>
        </w:rPr>
        <w:t xml:space="preserve">9 </w:t>
      </w:r>
      <w:r w:rsidR="0044234F" w:rsidRPr="009118AB">
        <w:rPr>
          <w:iCs/>
        </w:rPr>
        <w:t xml:space="preserve">Kosten der in Artikel 65 erwähnten Fahrzeuge, die kostenlos oder nicht kostenlos zu persönlichen Zwecken zur Verfügung gestellt werden, im Verhältnis zu 40 Prozent des </w:t>
      </w:r>
      <w:r w:rsidR="007B3C5C" w:rsidRPr="009118AB">
        <w:rPr>
          <w:iCs/>
        </w:rPr>
        <w:t>[</w:t>
      </w:r>
      <w:r w:rsidR="0044234F" w:rsidRPr="009118AB">
        <w:rPr>
          <w:iCs/>
        </w:rPr>
        <w:t xml:space="preserve">gemäß Artikel 36 </w:t>
      </w:r>
      <w:r w:rsidR="00D67EB8" w:rsidRPr="009118AB">
        <w:rPr>
          <w:iCs/>
        </w:rPr>
        <w:t>§ </w:t>
      </w:r>
      <w:r w:rsidR="0044234F" w:rsidRPr="009118AB">
        <w:rPr>
          <w:iCs/>
        </w:rPr>
        <w:t xml:space="preserve">2 Absatz 1 bis </w:t>
      </w:r>
      <w:r w:rsidR="007B3C5C" w:rsidRPr="009118AB">
        <w:rPr>
          <w:iCs/>
        </w:rPr>
        <w:t>12]</w:t>
      </w:r>
      <w:r w:rsidR="0044234F" w:rsidRPr="009118AB">
        <w:rPr>
          <w:iCs/>
        </w:rPr>
        <w:t xml:space="preserve"> bestimmten Betrags, wenn die mit dieser persönlichen Nutzung verbundenen Treibstoffkosten ganz oder teilweise von der Gesellschaft übernommen werden,</w:t>
      </w:r>
      <w:r w:rsidR="0044234F" w:rsidRPr="009118AB">
        <w:rPr>
          <w:bCs/>
          <w:iCs/>
        </w:rPr>
        <w:t>]</w:t>
      </w:r>
    </w:p>
    <w:p w14:paraId="7B6A192F" w14:textId="77777777" w:rsidR="00E611CA" w:rsidRPr="009118AB" w:rsidRDefault="00E611CA" w:rsidP="0044234F">
      <w:pPr>
        <w:autoSpaceDE w:val="0"/>
        <w:autoSpaceDN w:val="0"/>
        <w:adjustRightInd w:val="0"/>
        <w:jc w:val="both"/>
        <w:rPr>
          <w:bCs/>
          <w:iCs/>
        </w:rPr>
      </w:pPr>
    </w:p>
    <w:p w14:paraId="30550813" w14:textId="157D16F2" w:rsidR="00E611CA" w:rsidRPr="009118AB" w:rsidRDefault="00E611CA" w:rsidP="0044234F">
      <w:pPr>
        <w:autoSpaceDE w:val="0"/>
        <w:autoSpaceDN w:val="0"/>
        <w:adjustRightInd w:val="0"/>
        <w:jc w:val="both"/>
        <w:rPr>
          <w:bCs/>
          <w:iCs/>
        </w:rPr>
      </w:pPr>
      <w:r w:rsidRPr="009118AB">
        <w:rPr>
          <w:bCs/>
          <w:iCs/>
        </w:rPr>
        <w:tab/>
        <w:t>[</w:t>
      </w:r>
      <w:r w:rsidR="006246F0" w:rsidRPr="009118AB">
        <w:rPr>
          <w:rFonts w:eastAsia="Calibri"/>
          <w:iCs/>
        </w:rPr>
        <w:t>...</w:t>
      </w:r>
      <w:r w:rsidRPr="009118AB">
        <w:rPr>
          <w:rFonts w:eastAsia="Calibri"/>
        </w:rPr>
        <w:t>]</w:t>
      </w:r>
    </w:p>
    <w:p w14:paraId="49239F3D" w14:textId="77777777" w:rsidR="0044234F" w:rsidRPr="009118AB" w:rsidRDefault="0044234F" w:rsidP="0044234F">
      <w:pPr>
        <w:autoSpaceDE w:val="0"/>
        <w:autoSpaceDN w:val="0"/>
        <w:adjustRightInd w:val="0"/>
        <w:jc w:val="both"/>
        <w:rPr>
          <w:bCs/>
          <w:iCs/>
        </w:rPr>
      </w:pPr>
    </w:p>
    <w:p w14:paraId="76A0B4EF" w14:textId="3B9939CC" w:rsidR="0044234F" w:rsidRPr="009118AB" w:rsidRDefault="004E4B0C" w:rsidP="0044234F">
      <w:pPr>
        <w:autoSpaceDE w:val="0"/>
        <w:autoSpaceDN w:val="0"/>
        <w:adjustRightInd w:val="0"/>
        <w:jc w:val="both"/>
        <w:rPr>
          <w:bCs/>
          <w:iCs/>
        </w:rPr>
      </w:pPr>
      <w:r w:rsidRPr="009118AB">
        <w:rPr>
          <w:bCs/>
          <w:iCs/>
        </w:rPr>
        <w:tab/>
      </w:r>
      <w:r w:rsidR="0044234F" w:rsidRPr="009118AB">
        <w:rPr>
          <w:bCs/>
          <w:iCs/>
        </w:rPr>
        <w:t xml:space="preserve">[10. [unbeschadet der Anwendung von Artikel 219 Zahlungen, die direkt oder indirekt in Staaten gehen, die in </w:t>
      </w:r>
      <w:r w:rsidR="0006310D" w:rsidRPr="009118AB">
        <w:rPr>
          <w:bCs/>
          <w:iCs/>
        </w:rPr>
        <w:t xml:space="preserve">[Artikel 307 </w:t>
      </w:r>
      <w:r w:rsidR="00D67EB8" w:rsidRPr="009118AB">
        <w:rPr>
          <w:bCs/>
          <w:iCs/>
        </w:rPr>
        <w:t>§ </w:t>
      </w:r>
      <w:r w:rsidR="0006310D" w:rsidRPr="009118AB">
        <w:rPr>
          <w:bCs/>
          <w:iCs/>
        </w:rPr>
        <w:t>1/2 Absatz 1</w:t>
      </w:r>
      <w:r w:rsidR="0044234F" w:rsidRPr="009118AB">
        <w:rPr>
          <w:bCs/>
          <w:iCs/>
        </w:rPr>
        <w:t xml:space="preserve">] erwähnt sind, und die nicht gemäß vorerwähntem </w:t>
      </w:r>
      <w:r w:rsidR="00DD3A02" w:rsidRPr="009118AB">
        <w:rPr>
          <w:bCs/>
          <w:iCs/>
        </w:rPr>
        <w:t xml:space="preserve">[Artikel 307 </w:t>
      </w:r>
      <w:r w:rsidR="00D67EB8" w:rsidRPr="009118AB">
        <w:rPr>
          <w:bCs/>
          <w:iCs/>
        </w:rPr>
        <w:t>§ </w:t>
      </w:r>
      <w:r w:rsidR="00DD3A02" w:rsidRPr="009118AB">
        <w:rPr>
          <w:bCs/>
          <w:iCs/>
        </w:rPr>
        <w:t xml:space="preserve">1/2 Absatz 1] </w:t>
      </w:r>
      <w:r w:rsidR="0044234F" w:rsidRPr="009118AB">
        <w:rPr>
          <w:bCs/>
          <w:iCs/>
        </w:rPr>
        <w:t>angegeben werden oder, wenn sie doch angegeben werden, für die der Steuerpflichtige nicht mit allen rechtlichen Mitteln nachweist, dass sie im Rahmen tatsächlicher und ehrlicher Geschäfte und mit anderen Personen als künstlichen Konstruktionen getätigt werden,]]</w:t>
      </w:r>
    </w:p>
    <w:p w14:paraId="0E4A237F" w14:textId="77777777" w:rsidR="0044234F" w:rsidRPr="009118AB" w:rsidRDefault="0044234F" w:rsidP="0044234F">
      <w:pPr>
        <w:autoSpaceDE w:val="0"/>
        <w:autoSpaceDN w:val="0"/>
        <w:adjustRightInd w:val="0"/>
        <w:jc w:val="both"/>
        <w:rPr>
          <w:bCs/>
          <w:iCs/>
        </w:rPr>
      </w:pPr>
    </w:p>
    <w:p w14:paraId="4D407D8D" w14:textId="0B553465" w:rsidR="002B016A" w:rsidRPr="009118AB" w:rsidRDefault="004E4B0C" w:rsidP="002B016A">
      <w:pPr>
        <w:autoSpaceDE w:val="0"/>
        <w:autoSpaceDN w:val="0"/>
        <w:adjustRightInd w:val="0"/>
        <w:jc w:val="both"/>
        <w:rPr>
          <w:bCs/>
          <w:iCs/>
        </w:rPr>
      </w:pPr>
      <w:r w:rsidRPr="009118AB">
        <w:rPr>
          <w:bCs/>
          <w:iCs/>
        </w:rPr>
        <w:tab/>
      </w:r>
      <w:r w:rsidR="002B016A" w:rsidRPr="009118AB">
        <w:rPr>
          <w:bCs/>
          <w:iCs/>
        </w:rPr>
        <w:t>[10/1. Zahlungen im Rahmen einer hybriden Gestaltung, sofern:</w:t>
      </w:r>
    </w:p>
    <w:p w14:paraId="3E1D6FD3" w14:textId="77777777" w:rsidR="002B016A" w:rsidRPr="009118AB" w:rsidRDefault="002B016A" w:rsidP="002B016A">
      <w:pPr>
        <w:autoSpaceDE w:val="0"/>
        <w:autoSpaceDN w:val="0"/>
        <w:adjustRightInd w:val="0"/>
        <w:jc w:val="both"/>
        <w:rPr>
          <w:bCs/>
          <w:iCs/>
        </w:rPr>
      </w:pPr>
    </w:p>
    <w:p w14:paraId="0A57D72F"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 die inländische Gesellschaft oder die belgische Niederlassung, die sie abziehen möchte, sie von Berufseinkünften abziehen möchte, die nicht auch in den steuerpflichtigen Einkünften eines ausländischen Unternehmens oder eines Zweigbetriebs eines solchen Unternehmens enthalten sind, und</w:t>
      </w:r>
    </w:p>
    <w:p w14:paraId="66E6DE45" w14:textId="77777777" w:rsidR="002B016A" w:rsidRPr="009118AB" w:rsidRDefault="002B016A" w:rsidP="002B016A">
      <w:pPr>
        <w:autoSpaceDE w:val="0"/>
        <w:autoSpaceDN w:val="0"/>
        <w:adjustRightInd w:val="0"/>
        <w:jc w:val="both"/>
        <w:rPr>
          <w:bCs/>
          <w:iCs/>
        </w:rPr>
      </w:pPr>
    </w:p>
    <w:p w14:paraId="41E9DFBF"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 ein ausländisches Unternehmen oder ein Zweigbetrieb eines solchen Unternehmens sie von seinen steuerpflichtigen Einkünften abziehen darf.</w:t>
      </w:r>
    </w:p>
    <w:p w14:paraId="443984B1" w14:textId="77777777" w:rsidR="002B016A" w:rsidRPr="009118AB" w:rsidRDefault="002B016A" w:rsidP="002B016A">
      <w:pPr>
        <w:autoSpaceDE w:val="0"/>
        <w:autoSpaceDN w:val="0"/>
        <w:adjustRightInd w:val="0"/>
        <w:jc w:val="both"/>
        <w:rPr>
          <w:bCs/>
          <w:iCs/>
        </w:rPr>
      </w:pPr>
    </w:p>
    <w:p w14:paraId="6DA46020"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Zahlungen, deren Abzug aufgrund der vorliegenden Bestimmung verweigert worden ist, dürfen von den Berufseinkünften der folgenden Besteuerungszeiträume abgezogen werden, sofern diese Berufseinkünfte auch in den steuerpflichtigen Einkünften eines ausländischen Unternehmens oder eines Zweigbetriebs eines solchen Unternehmens enthalten sind,</w:t>
      </w:r>
    </w:p>
    <w:p w14:paraId="5608A60F" w14:textId="77777777" w:rsidR="002B016A" w:rsidRPr="009118AB" w:rsidRDefault="002B016A" w:rsidP="002B016A">
      <w:pPr>
        <w:autoSpaceDE w:val="0"/>
        <w:autoSpaceDN w:val="0"/>
        <w:adjustRightInd w:val="0"/>
        <w:jc w:val="both"/>
        <w:rPr>
          <w:bCs/>
          <w:iCs/>
        </w:rPr>
      </w:pPr>
    </w:p>
    <w:p w14:paraId="24D75FCC" w14:textId="7AE5FEE7" w:rsidR="002B016A" w:rsidRPr="009118AB" w:rsidRDefault="004514C5" w:rsidP="002B016A">
      <w:pPr>
        <w:autoSpaceDE w:val="0"/>
        <w:autoSpaceDN w:val="0"/>
        <w:adjustRightInd w:val="0"/>
        <w:jc w:val="both"/>
        <w:rPr>
          <w:bCs/>
          <w:iCs/>
        </w:rPr>
      </w:pPr>
      <w:r w:rsidRPr="009118AB">
        <w:rPr>
          <w:bCs/>
          <w:iCs/>
        </w:rPr>
        <w:tab/>
      </w:r>
      <w:r w:rsidR="002B016A" w:rsidRPr="009118AB">
        <w:rPr>
          <w:bCs/>
          <w:iCs/>
        </w:rPr>
        <w:t>10/2. folgende Zahlungen im Rahmen einer hybriden Gestaltung, sofern sie nicht in den steuerpflichtigen Einkünften der Empfänger enthalten sind:</w:t>
      </w:r>
    </w:p>
    <w:p w14:paraId="7582E07C" w14:textId="77777777" w:rsidR="00763763" w:rsidRPr="009118AB" w:rsidRDefault="00763763">
      <w:pPr>
        <w:rPr>
          <w:bCs/>
          <w:i/>
          <w:iCs/>
        </w:rPr>
      </w:pPr>
    </w:p>
    <w:p w14:paraId="38EAEAE9" w14:textId="77777777" w:rsidR="002B016A" w:rsidRPr="009118AB" w:rsidRDefault="00763763" w:rsidP="002B016A">
      <w:pPr>
        <w:autoSpaceDE w:val="0"/>
        <w:autoSpaceDN w:val="0"/>
        <w:adjustRightInd w:val="0"/>
        <w:jc w:val="both"/>
        <w:rPr>
          <w:bCs/>
          <w:iCs/>
        </w:rPr>
      </w:pPr>
      <w:r w:rsidRPr="009118AB">
        <w:rPr>
          <w:bCs/>
          <w:i/>
          <w:iCs/>
        </w:rPr>
        <w:tab/>
      </w:r>
      <w:r w:rsidR="002B016A" w:rsidRPr="009118AB">
        <w:rPr>
          <w:bCs/>
          <w:i/>
          <w:iCs/>
        </w:rPr>
        <w:t>a)</w:t>
      </w:r>
      <w:r w:rsidR="002B016A" w:rsidRPr="009118AB">
        <w:rPr>
          <w:bCs/>
          <w:iCs/>
        </w:rPr>
        <w:t> eine Zahlung im Rahmen eines Finanzinstruments, wenn:</w:t>
      </w:r>
    </w:p>
    <w:p w14:paraId="2742BBD8" w14:textId="77777777" w:rsidR="002B016A" w:rsidRPr="009118AB" w:rsidRDefault="002B016A" w:rsidP="002B016A">
      <w:pPr>
        <w:autoSpaceDE w:val="0"/>
        <w:autoSpaceDN w:val="0"/>
        <w:adjustRightInd w:val="0"/>
        <w:jc w:val="both"/>
        <w:rPr>
          <w:bCs/>
          <w:iCs/>
        </w:rPr>
      </w:pPr>
    </w:p>
    <w:p w14:paraId="462D2715"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 die Tatsache, dass diese Zahlung in Ermangelung der vorliegenden Bestimmung abzugsfähig wäre, ohne in den steuerpflichtigen Einkünften des Empfängers enthalten zu sein, auf Unterschiede bei der Einordnung des Finanzinstruments oder der Einordnung der im Rahmen des Finanzinstruments geleisteten Zahlung zurückzuführen ist und</w:t>
      </w:r>
    </w:p>
    <w:p w14:paraId="4D4133C2" w14:textId="77777777" w:rsidR="002B016A" w:rsidRPr="009118AB" w:rsidRDefault="002B016A" w:rsidP="002B016A">
      <w:pPr>
        <w:autoSpaceDE w:val="0"/>
        <w:autoSpaceDN w:val="0"/>
        <w:adjustRightInd w:val="0"/>
        <w:jc w:val="both"/>
        <w:rPr>
          <w:bCs/>
          <w:iCs/>
        </w:rPr>
      </w:pPr>
    </w:p>
    <w:p w14:paraId="596B7F3A"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 diese Zahlung nicht innerhalb eines angemessenen Zeitraums in die steuerpflichtigen Einkünfte des Empfängers einbezogen wird.</w:t>
      </w:r>
    </w:p>
    <w:p w14:paraId="0BFCC78A" w14:textId="77777777" w:rsidR="002B016A" w:rsidRPr="009118AB" w:rsidRDefault="002B016A" w:rsidP="002B016A">
      <w:pPr>
        <w:autoSpaceDE w:val="0"/>
        <w:autoSpaceDN w:val="0"/>
        <w:adjustRightInd w:val="0"/>
        <w:jc w:val="both"/>
        <w:rPr>
          <w:bCs/>
          <w:iCs/>
        </w:rPr>
      </w:pPr>
    </w:p>
    <w:p w14:paraId="6B86946B"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Eine Zahlung im Rahmen eines Finanzinstruments wird so behandelt, als wäre sie innerhalb eines angemessenen Zeitraums in die steuerpflichtigen Einkünfte des Empfängers einbezogen worden, wenn:</w:t>
      </w:r>
    </w:p>
    <w:p w14:paraId="24F8CE93" w14:textId="77777777" w:rsidR="002B016A" w:rsidRPr="009118AB" w:rsidRDefault="002B016A" w:rsidP="002B016A">
      <w:pPr>
        <w:autoSpaceDE w:val="0"/>
        <w:autoSpaceDN w:val="0"/>
        <w:adjustRightInd w:val="0"/>
        <w:jc w:val="both"/>
        <w:rPr>
          <w:bCs/>
          <w:iCs/>
        </w:rPr>
      </w:pPr>
    </w:p>
    <w:p w14:paraId="7819A10F"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 die Zahlung vom Steuergebiet des Empfängers in einem Besteuerungszeitraum berücksichtigt wird, der innerhalb von zwölf Monaten nach Ende des Besteuerungszeitraums des Zahlers beginnt, oder</w:t>
      </w:r>
    </w:p>
    <w:p w14:paraId="0A44BD7B" w14:textId="77777777" w:rsidR="002B016A" w:rsidRPr="009118AB" w:rsidRDefault="002B016A" w:rsidP="002B016A">
      <w:pPr>
        <w:autoSpaceDE w:val="0"/>
        <w:autoSpaceDN w:val="0"/>
        <w:adjustRightInd w:val="0"/>
        <w:jc w:val="both"/>
        <w:rPr>
          <w:bCs/>
          <w:iCs/>
        </w:rPr>
      </w:pPr>
    </w:p>
    <w:p w14:paraId="0A25C312"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 vernünftigerweise davon auszugehen ist, dass die Zahlung vom Steuergebiet des Empfängers in einem künftigen Besteuerungszeitraum berücksichtigt wird, und die Zahlungsbedingungen so gestaltet sind, wie es zu erwarten wäre, wenn sie zwischen unabhängigen Unternehmen vereinbart worden wären.</w:t>
      </w:r>
    </w:p>
    <w:p w14:paraId="65B94388" w14:textId="77777777" w:rsidR="002B016A" w:rsidRPr="009118AB" w:rsidRDefault="002B016A" w:rsidP="002B016A">
      <w:pPr>
        <w:autoSpaceDE w:val="0"/>
        <w:autoSpaceDN w:val="0"/>
        <w:adjustRightInd w:val="0"/>
        <w:jc w:val="both"/>
        <w:rPr>
          <w:bCs/>
          <w:iCs/>
        </w:rPr>
      </w:pPr>
    </w:p>
    <w:p w14:paraId="0F60A8E0"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Aus einer Zahlung, die dem zugrunde liegenden Ertrag eines übertragenen Finanzinstruments entspricht, entsteht keine hybride Gestaltung, wenn die Zahlung von einem Wertpapierhändler im Rahmen einer am Markt getätigten hybriden Übertragung geleistet wird.</w:t>
      </w:r>
    </w:p>
    <w:p w14:paraId="0A3B6581" w14:textId="77777777" w:rsidR="002B016A" w:rsidRPr="009118AB" w:rsidRDefault="002B016A" w:rsidP="002B016A">
      <w:pPr>
        <w:autoSpaceDE w:val="0"/>
        <w:autoSpaceDN w:val="0"/>
        <w:adjustRightInd w:val="0"/>
        <w:jc w:val="both"/>
        <w:rPr>
          <w:bCs/>
          <w:iCs/>
        </w:rPr>
      </w:pPr>
    </w:p>
    <w:p w14:paraId="23B1CE52"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Für die Anwendung der vorliegenden Bestimmung versteht man unter:</w:t>
      </w:r>
    </w:p>
    <w:p w14:paraId="7744EC10" w14:textId="77777777" w:rsidR="002B016A" w:rsidRPr="009118AB" w:rsidRDefault="002B016A" w:rsidP="002B016A">
      <w:pPr>
        <w:autoSpaceDE w:val="0"/>
        <w:autoSpaceDN w:val="0"/>
        <w:adjustRightInd w:val="0"/>
        <w:jc w:val="both"/>
        <w:rPr>
          <w:bCs/>
          <w:iCs/>
        </w:rPr>
      </w:pPr>
    </w:p>
    <w:p w14:paraId="2A211E92"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 "Finanzinstrument": jedes Instrument, soweit es zu einem Finanzierungs- oder Eigenkapitalertrag führt, der gemäß den Vorschriften für die Besteuerung von Schulden, Kapital oder Finanzderivaten nach den belgischen Rechtsvorschriften oder den Rechts</w:t>
      </w:r>
      <w:r w:rsidR="002B016A" w:rsidRPr="009118AB">
        <w:rPr>
          <w:bCs/>
          <w:iCs/>
        </w:rPr>
        <w:softHyphen/>
        <w:t>vorschriften des Staates des ausländischen Unternehmens oder des Zweigbetriebs eines solchen Unternehmens besteuert wird, einschließlich hybrider Übertragungen,</w:t>
      </w:r>
    </w:p>
    <w:p w14:paraId="539E8B26" w14:textId="77777777" w:rsidR="002B016A" w:rsidRPr="009118AB" w:rsidRDefault="002B016A" w:rsidP="002B016A">
      <w:pPr>
        <w:autoSpaceDE w:val="0"/>
        <w:autoSpaceDN w:val="0"/>
        <w:adjustRightInd w:val="0"/>
        <w:jc w:val="both"/>
        <w:rPr>
          <w:bCs/>
          <w:iCs/>
        </w:rPr>
      </w:pPr>
    </w:p>
    <w:p w14:paraId="044D0EEB"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 "am Markt getätigter hybrider Übertragung": eine hybride Übertragung, die von einem Wertpapierhändler im Zuge seiner üblichen Geschäftstätigkeit und nicht im Rahmen einer strukturierten Gestaltung vorgenommen wird,</w:t>
      </w:r>
    </w:p>
    <w:p w14:paraId="1B42063F" w14:textId="77777777" w:rsidR="002B016A" w:rsidRPr="009118AB" w:rsidRDefault="002B016A" w:rsidP="002B016A">
      <w:pPr>
        <w:autoSpaceDE w:val="0"/>
        <w:autoSpaceDN w:val="0"/>
        <w:adjustRightInd w:val="0"/>
        <w:jc w:val="both"/>
        <w:rPr>
          <w:bCs/>
          <w:iCs/>
        </w:rPr>
      </w:pPr>
    </w:p>
    <w:p w14:paraId="4EF64D31"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 "Wertpapierhändler": eine Person oder ein Unternehmen, deren/dessen Geschäfts</w:t>
      </w:r>
      <w:r w:rsidR="002B016A" w:rsidRPr="009118AB">
        <w:rPr>
          <w:bCs/>
          <w:iCs/>
        </w:rPr>
        <w:softHyphen/>
        <w:t>tätigkeit darin besteht, regelmäßig auf eigene Rechnung für Zwecke der Gewinnerzielung Finanzinstrumente zu kaufen und zu verkaufen,</w:t>
      </w:r>
    </w:p>
    <w:p w14:paraId="59FC3461" w14:textId="77777777" w:rsidR="002B016A" w:rsidRPr="009118AB" w:rsidRDefault="002B016A" w:rsidP="002B016A">
      <w:pPr>
        <w:autoSpaceDE w:val="0"/>
        <w:autoSpaceDN w:val="0"/>
        <w:adjustRightInd w:val="0"/>
        <w:jc w:val="both"/>
        <w:rPr>
          <w:bCs/>
          <w:iCs/>
        </w:rPr>
      </w:pPr>
    </w:p>
    <w:p w14:paraId="3B725670" w14:textId="77777777" w:rsidR="002B016A" w:rsidRPr="009118AB" w:rsidRDefault="004E4B0C" w:rsidP="002B016A">
      <w:pPr>
        <w:autoSpaceDE w:val="0"/>
        <w:autoSpaceDN w:val="0"/>
        <w:adjustRightInd w:val="0"/>
        <w:jc w:val="both"/>
        <w:rPr>
          <w:bCs/>
          <w:iCs/>
        </w:rPr>
      </w:pPr>
      <w:r w:rsidRPr="009118AB">
        <w:rPr>
          <w:bCs/>
          <w:i/>
          <w:iCs/>
        </w:rPr>
        <w:tab/>
      </w:r>
      <w:r w:rsidR="002B016A" w:rsidRPr="009118AB">
        <w:rPr>
          <w:bCs/>
          <w:i/>
          <w:iCs/>
        </w:rPr>
        <w:t>b)</w:t>
      </w:r>
      <w:r w:rsidR="002B016A" w:rsidRPr="009118AB">
        <w:rPr>
          <w:bCs/>
          <w:iCs/>
        </w:rPr>
        <w:t> eine Zahlung an ein hybrides Unternehmen,</w:t>
      </w:r>
    </w:p>
    <w:p w14:paraId="2C6AE16D" w14:textId="77777777" w:rsidR="002B016A" w:rsidRPr="009118AB" w:rsidRDefault="002B016A" w:rsidP="002B016A">
      <w:pPr>
        <w:autoSpaceDE w:val="0"/>
        <w:autoSpaceDN w:val="0"/>
        <w:adjustRightInd w:val="0"/>
        <w:jc w:val="both"/>
        <w:rPr>
          <w:bCs/>
          <w:iCs/>
        </w:rPr>
      </w:pPr>
    </w:p>
    <w:p w14:paraId="1B56EB2A" w14:textId="77777777" w:rsidR="002B016A" w:rsidRPr="009118AB" w:rsidRDefault="004E4B0C" w:rsidP="002B016A">
      <w:pPr>
        <w:autoSpaceDE w:val="0"/>
        <w:autoSpaceDN w:val="0"/>
        <w:adjustRightInd w:val="0"/>
        <w:jc w:val="both"/>
        <w:rPr>
          <w:bCs/>
          <w:iCs/>
        </w:rPr>
      </w:pPr>
      <w:r w:rsidRPr="009118AB">
        <w:rPr>
          <w:bCs/>
          <w:i/>
          <w:iCs/>
        </w:rPr>
        <w:tab/>
      </w:r>
      <w:r w:rsidR="002B016A" w:rsidRPr="009118AB">
        <w:rPr>
          <w:bCs/>
          <w:i/>
          <w:iCs/>
        </w:rPr>
        <w:t>c)</w:t>
      </w:r>
      <w:r w:rsidR="002B016A" w:rsidRPr="009118AB">
        <w:rPr>
          <w:bCs/>
          <w:iCs/>
        </w:rPr>
        <w:t> eine Zahlung an ein Unternehmen mit einem oder mehreren Zweigbetrieben, wenn die Tatsache, dass diese Zahlung nicht in den steuerpflichtigen Einkünften dieses Unternehmens enthalten ist, auf Unterschiede bei der Zuordnung von Zahlungen zwischen dem Hauptsitz dieses Unternehmens und einem Zweigbetrieb oder zwischen zwei oder mehr Zweigbetrieben desselben Unternehmens nach den Rechtsvorschriften des Steuergebiets, in dem das genannte Unternehmen tätig ist, zurückzuführen ist,</w:t>
      </w:r>
    </w:p>
    <w:p w14:paraId="7088788E" w14:textId="77777777" w:rsidR="002B016A" w:rsidRPr="009118AB" w:rsidRDefault="002B016A" w:rsidP="002B016A">
      <w:pPr>
        <w:autoSpaceDE w:val="0"/>
        <w:autoSpaceDN w:val="0"/>
        <w:adjustRightInd w:val="0"/>
        <w:jc w:val="both"/>
        <w:rPr>
          <w:bCs/>
          <w:iCs/>
        </w:rPr>
      </w:pPr>
    </w:p>
    <w:p w14:paraId="3E85D8AC" w14:textId="77777777" w:rsidR="002B016A" w:rsidRPr="009118AB" w:rsidRDefault="004E4B0C" w:rsidP="002B016A">
      <w:pPr>
        <w:autoSpaceDE w:val="0"/>
        <w:autoSpaceDN w:val="0"/>
        <w:adjustRightInd w:val="0"/>
        <w:jc w:val="both"/>
        <w:rPr>
          <w:bCs/>
          <w:iCs/>
        </w:rPr>
      </w:pPr>
      <w:r w:rsidRPr="009118AB">
        <w:rPr>
          <w:bCs/>
          <w:i/>
          <w:iCs/>
        </w:rPr>
        <w:tab/>
      </w:r>
      <w:r w:rsidR="002B016A" w:rsidRPr="009118AB">
        <w:rPr>
          <w:bCs/>
          <w:i/>
          <w:iCs/>
        </w:rPr>
        <w:t>d)</w:t>
      </w:r>
      <w:r w:rsidR="002B016A" w:rsidRPr="009118AB">
        <w:rPr>
          <w:bCs/>
          <w:iCs/>
        </w:rPr>
        <w:t> eine Zahlung an einen Zweigbetrieb, der so behandelt wird, als führe er zu einer Betriebsstätte nach den Rechtsvorschriften des Steuergebiets des Hauptsitzes des Unter</w:t>
      </w:r>
      <w:r w:rsidR="002B016A" w:rsidRPr="009118AB">
        <w:rPr>
          <w:bCs/>
          <w:iCs/>
        </w:rPr>
        <w:softHyphen/>
        <w:t>nehmens, von dem er ein Teil ist, der nach den Rechtsvorschriften des Steuergebiets, in dem sich der Zweigbetrieb befindet, aber nicht als Betriebsstätte behandelt wird, außer wenn das der Zahlung entsprechende Einkommen nach den Rechtsvorschriften des Steuergebiets des Hauptsitzes des Unternehmens, von dem der Zweigbetrieb ein Teil ist, als steuerpflichtig betrachtet wird,</w:t>
      </w:r>
    </w:p>
    <w:p w14:paraId="2FD60658" w14:textId="77777777" w:rsidR="002B016A" w:rsidRPr="009118AB" w:rsidRDefault="002B016A" w:rsidP="002B016A">
      <w:pPr>
        <w:autoSpaceDE w:val="0"/>
        <w:autoSpaceDN w:val="0"/>
        <w:adjustRightInd w:val="0"/>
        <w:jc w:val="both"/>
        <w:rPr>
          <w:bCs/>
          <w:iCs/>
        </w:rPr>
      </w:pPr>
    </w:p>
    <w:p w14:paraId="40BE18DD" w14:textId="77777777" w:rsidR="002B016A" w:rsidRPr="009118AB" w:rsidRDefault="004E4B0C" w:rsidP="002B016A">
      <w:pPr>
        <w:autoSpaceDE w:val="0"/>
        <w:autoSpaceDN w:val="0"/>
        <w:adjustRightInd w:val="0"/>
        <w:jc w:val="both"/>
        <w:rPr>
          <w:bCs/>
          <w:iCs/>
        </w:rPr>
      </w:pPr>
      <w:r w:rsidRPr="009118AB">
        <w:rPr>
          <w:bCs/>
          <w:i/>
          <w:iCs/>
        </w:rPr>
        <w:tab/>
      </w:r>
      <w:r w:rsidR="002B016A" w:rsidRPr="009118AB">
        <w:rPr>
          <w:bCs/>
          <w:i/>
          <w:iCs/>
        </w:rPr>
        <w:t>e)</w:t>
      </w:r>
      <w:r w:rsidR="002B016A" w:rsidRPr="009118AB">
        <w:rPr>
          <w:bCs/>
          <w:iCs/>
        </w:rPr>
        <w:t> eine Zahlung eines hybriden Unternehmens, sofern diese Zahlung in Ermangelung der vorliegenden Bestimmung von den steuerpflichtigen Einkünften abgezogen würde, die nicht auch in den steuerpflichtigen Einkünften des Empfängers enthalten sind,</w:t>
      </w:r>
    </w:p>
    <w:p w14:paraId="57CCA748" w14:textId="77777777" w:rsidR="002B016A" w:rsidRPr="009118AB" w:rsidRDefault="002B016A" w:rsidP="002B016A">
      <w:pPr>
        <w:autoSpaceDE w:val="0"/>
        <w:autoSpaceDN w:val="0"/>
        <w:adjustRightInd w:val="0"/>
        <w:jc w:val="both"/>
        <w:rPr>
          <w:bCs/>
          <w:iCs/>
        </w:rPr>
      </w:pPr>
    </w:p>
    <w:p w14:paraId="613A5C8E" w14:textId="77777777" w:rsidR="002B016A" w:rsidRPr="009118AB" w:rsidRDefault="004E4B0C" w:rsidP="002B016A">
      <w:pPr>
        <w:autoSpaceDE w:val="0"/>
        <w:autoSpaceDN w:val="0"/>
        <w:adjustRightInd w:val="0"/>
        <w:jc w:val="both"/>
        <w:rPr>
          <w:bCs/>
          <w:iCs/>
        </w:rPr>
      </w:pPr>
      <w:r w:rsidRPr="009118AB">
        <w:rPr>
          <w:bCs/>
          <w:i/>
          <w:iCs/>
        </w:rPr>
        <w:tab/>
      </w:r>
      <w:r w:rsidR="002B016A" w:rsidRPr="009118AB">
        <w:rPr>
          <w:bCs/>
          <w:i/>
          <w:iCs/>
        </w:rPr>
        <w:t>f)</w:t>
      </w:r>
      <w:r w:rsidR="002B016A" w:rsidRPr="009118AB">
        <w:rPr>
          <w:bCs/>
          <w:iCs/>
        </w:rPr>
        <w:t> eine fiktive Zahlung zwischen dem Hauptsitz und einem Zweigbetrieb oder zwischen zwei oder mehr Zweigbetrieben, sofern diese Zahlung in Ermangelung der vorliegenden Bestimmung von den steuerpflichtigen Einkünften abgezogen würde, die nicht auch in den steuerpflichtigen Einkünften des Empfängers enthalten sind,</w:t>
      </w:r>
    </w:p>
    <w:p w14:paraId="16FDA6E7" w14:textId="77777777" w:rsidR="002B016A" w:rsidRPr="009118AB" w:rsidRDefault="002B016A" w:rsidP="002B016A">
      <w:pPr>
        <w:autoSpaceDE w:val="0"/>
        <w:autoSpaceDN w:val="0"/>
        <w:adjustRightInd w:val="0"/>
        <w:jc w:val="both"/>
        <w:rPr>
          <w:bCs/>
          <w:iCs/>
        </w:rPr>
      </w:pPr>
    </w:p>
    <w:p w14:paraId="1BF8B44D"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10/3. Zahlungen im Rahmen einer hybriden Gestaltung, sofern sie direkt oder indirekt in Ausgaben fließen, die bei mehreren ausländischen Unternehmen, bei einem ausländischen Unternehmen und einem Zweigbetrieb eines solchen Unternehmens, bei mehreren Zweigbetrieben desselben ausländischen Unternehmens oder bei einem ausländischen Unternehmen oder einem Zweigbetrieb eines solchen Unternehmens abzugsfähig sind, jedoch ohne dass im letzten Fall diesen Ausgaben Einkünfte entsprechen, die in den steuerpflichtigen Einkünften des Empfängers enthalten sind. Diese Zahlungen werden dennoch als Werbungskosten betrachtet, sofern eines der Steuergebiete, das von der hybriden Gestaltung betroffen ist, eine gleichwertige Anpassung in Bezug auf diese hybride Gestaltung vorgenommen hat,</w:t>
      </w:r>
    </w:p>
    <w:p w14:paraId="2F29B348" w14:textId="77777777" w:rsidR="002B016A" w:rsidRPr="009118AB" w:rsidRDefault="002B016A" w:rsidP="002B016A">
      <w:pPr>
        <w:autoSpaceDE w:val="0"/>
        <w:autoSpaceDN w:val="0"/>
        <w:adjustRightInd w:val="0"/>
        <w:jc w:val="both"/>
        <w:rPr>
          <w:bCs/>
          <w:iCs/>
        </w:rPr>
      </w:pPr>
    </w:p>
    <w:p w14:paraId="6DCFABAB" w14:textId="77777777" w:rsidR="002B016A" w:rsidRPr="009118AB" w:rsidRDefault="004E4B0C" w:rsidP="002B016A">
      <w:pPr>
        <w:autoSpaceDE w:val="0"/>
        <w:autoSpaceDN w:val="0"/>
        <w:adjustRightInd w:val="0"/>
        <w:jc w:val="both"/>
        <w:rPr>
          <w:bCs/>
          <w:iCs/>
        </w:rPr>
      </w:pPr>
      <w:r w:rsidRPr="009118AB">
        <w:rPr>
          <w:bCs/>
          <w:iCs/>
        </w:rPr>
        <w:tab/>
      </w:r>
      <w:r w:rsidR="002B016A" w:rsidRPr="009118AB">
        <w:rPr>
          <w:bCs/>
          <w:iCs/>
        </w:rPr>
        <w:t>10/4. Zahlungen einer inländischen Gesellschaft, die auch von einem oder mehreren anderen Steuergebieten, in dem beziehungsweise denen diese Zahlungen von den steuerpflichtigen Einkünften abzugsfähig sind, die nicht in den in Belgien steuerpflichtigen Einkünften der Gesellschaft enthalten sind, als inländische Gesellschaft betrachtet wird. Diese Zahlungen werden dennoch als Werbungskosten betrachtet, wenn das andere Steuergebiet beziehungsweise die anderen Steuergebiete Mitgliedstaaten der Europäischen Union sind, mit denen Belgien ein Abkommen zur Vermeidung der Doppelbesteuerung abgeschlossen hat, aufgrund dessen die Gesellschaft als Ansässiger Belgiens betrachtet wird,]</w:t>
      </w:r>
    </w:p>
    <w:p w14:paraId="52F9A925" w14:textId="77777777" w:rsidR="002B016A" w:rsidRPr="009118AB" w:rsidRDefault="002B016A" w:rsidP="002B016A">
      <w:pPr>
        <w:autoSpaceDE w:val="0"/>
        <w:autoSpaceDN w:val="0"/>
        <w:adjustRightInd w:val="0"/>
        <w:jc w:val="both"/>
        <w:rPr>
          <w:bCs/>
          <w:iCs/>
        </w:rPr>
      </w:pPr>
    </w:p>
    <w:p w14:paraId="04E083E9" w14:textId="4DDB1637" w:rsidR="0044234F" w:rsidRPr="009118AB" w:rsidRDefault="004E4B0C" w:rsidP="0044234F">
      <w:pPr>
        <w:autoSpaceDE w:val="0"/>
        <w:autoSpaceDN w:val="0"/>
        <w:adjustRightInd w:val="0"/>
        <w:jc w:val="both"/>
        <w:rPr>
          <w:bCs/>
          <w:iCs/>
        </w:rPr>
      </w:pPr>
      <w:r w:rsidRPr="009118AB">
        <w:rPr>
          <w:bCs/>
          <w:iCs/>
        </w:rPr>
        <w:tab/>
      </w:r>
      <w:r w:rsidR="0044234F" w:rsidRPr="009118AB">
        <w:rPr>
          <w:bCs/>
          <w:iCs/>
        </w:rPr>
        <w:t>[11. [</w:t>
      </w:r>
      <w:r w:rsidR="00F821B1" w:rsidRPr="009118AB">
        <w:t>unbeschadet der Anwendung der Artikel 54 und 55 gezahlte oder zuerkannte Zinsen auf Anleihen, wenn der tatsächliche Empfänger dieser Zinsen keiner Einkommen</w:t>
      </w:r>
      <w:r w:rsidR="00F821B1" w:rsidRPr="009118AB">
        <w:softHyphen/>
        <w:t>steuer oder für solche Einkünfte einem erheblich vorteilhafteren Besteuerungssystem unterliegt als dem, das aus den in Belgien anwendbaren Bestimmungen des allgemeinen Rechts hervorgeht, und falls</w:t>
      </w:r>
      <w:r w:rsidR="00D67EB8" w:rsidRPr="009118AB">
        <w:t> - </w:t>
      </w:r>
      <w:r w:rsidR="00F821B1" w:rsidRPr="009118AB">
        <w:t>im Maße dieser Überschreitung</w:t>
      </w:r>
      <w:r w:rsidR="00D67EB8" w:rsidRPr="009118AB">
        <w:t> - </w:t>
      </w:r>
      <w:r w:rsidR="00F821B1" w:rsidRPr="009118AB">
        <w:t xml:space="preserve">der Gesamtbetrag dieser Anleihen, die keine Schuldverschreibungen oder anderen ähnlichen Wertpapiere darstellen, die durch öffentliche Aufforderung zur Zeichnung ausgegeben werden, und keine Anleihen darstellen, die von Instituten erwähnt in Artikel 56 </w:t>
      </w:r>
      <w:r w:rsidR="00D67EB8" w:rsidRPr="009118AB">
        <w:t>§ </w:t>
      </w:r>
      <w:r w:rsidR="00F821B1" w:rsidRPr="009118AB">
        <w:t xml:space="preserve">2 </w:t>
      </w:r>
      <w:r w:rsidR="00D67EB8" w:rsidRPr="009118AB">
        <w:t>Nr. </w:t>
      </w:r>
      <w:r w:rsidR="00F821B1" w:rsidRPr="009118AB">
        <w:t>2 gewährt werden, höher ist als fünfmal die Summe der besteuerten Rücklagen zu Beginn des Besteuerungszeitraums und des eingezahlten Kapitals am Ende dieses Zeitraums,</w:t>
      </w:r>
      <w:r w:rsidR="0044234F" w:rsidRPr="009118AB">
        <w:rPr>
          <w:iCs/>
        </w:rPr>
        <w:t>]</w:t>
      </w:r>
      <w:r w:rsidR="0044234F" w:rsidRPr="009118AB">
        <w:rPr>
          <w:bCs/>
          <w:iCs/>
        </w:rPr>
        <w:t xml:space="preserve">] </w:t>
      </w:r>
    </w:p>
    <w:p w14:paraId="781E87F9" w14:textId="77777777" w:rsidR="00F821B1" w:rsidRPr="009118AB" w:rsidRDefault="00F821B1" w:rsidP="0044234F">
      <w:pPr>
        <w:autoSpaceDE w:val="0"/>
        <w:autoSpaceDN w:val="0"/>
        <w:adjustRightInd w:val="0"/>
        <w:jc w:val="both"/>
        <w:rPr>
          <w:bCs/>
          <w:iCs/>
        </w:rPr>
      </w:pPr>
    </w:p>
    <w:p w14:paraId="46534E9F" w14:textId="10B9D5D4" w:rsidR="00F821B1" w:rsidRPr="009118AB" w:rsidRDefault="00F821B1" w:rsidP="0044234F">
      <w:pPr>
        <w:autoSpaceDE w:val="0"/>
        <w:autoSpaceDN w:val="0"/>
        <w:adjustRightInd w:val="0"/>
        <w:jc w:val="both"/>
        <w:rPr>
          <w:bCs/>
          <w:iCs/>
        </w:rPr>
      </w:pPr>
      <w:r w:rsidRPr="009118AB">
        <w:rPr>
          <w:bCs/>
          <w:iCs/>
        </w:rPr>
        <w:tab/>
        <w:t>[</w:t>
      </w:r>
      <w:r w:rsidRPr="009118AB">
        <w:t xml:space="preserve">11/1. unbeschadet der Anwendung der Artikel 54 und 55 gezahlte oder zuerkannte Zinsen auf Anleihen erwähnt in Artikel 198/1 </w:t>
      </w:r>
      <w:r w:rsidR="00D67EB8" w:rsidRPr="009118AB">
        <w:t>§ </w:t>
      </w:r>
      <w:r w:rsidRPr="009118AB">
        <w:t>2 Absatz 2 erster Gedankenstrich, wenn der tatsächliche Empfänger dieser Zinsen Teil einer Unternehmensgruppe ist, der auch der Schuldner angehört, und falls</w:t>
      </w:r>
      <w:r w:rsidR="00D67EB8" w:rsidRPr="009118AB">
        <w:t> - </w:t>
      </w:r>
      <w:r w:rsidRPr="009118AB">
        <w:t>im Maße dieser Überschreitung</w:t>
      </w:r>
      <w:r w:rsidR="00D67EB8" w:rsidRPr="009118AB">
        <w:t> - </w:t>
      </w:r>
      <w:r w:rsidRPr="009118AB">
        <w:t xml:space="preserve">der Gesamtbetrag dieser Anleihen, die keine Schuldverschreibungen oder anderen ähnlichen Wertpapiere darstellen, die durch öffentliche Aufforderung zur Zeichnung ausgegeben werden, und keine Anleihen darstellen, die von Instituten erwähnt in Artikel 56 </w:t>
      </w:r>
      <w:r w:rsidR="00D67EB8" w:rsidRPr="009118AB">
        <w:t>§ </w:t>
      </w:r>
      <w:r w:rsidRPr="009118AB">
        <w:t xml:space="preserve">2 </w:t>
      </w:r>
      <w:r w:rsidR="00D67EB8" w:rsidRPr="009118AB">
        <w:t>Nr. </w:t>
      </w:r>
      <w:r w:rsidRPr="009118AB">
        <w:t>2 gewährt werden, höher ist als fünfmal die Summe der besteuerten Rücklagen zu Beginn des Besteuerungszeitraums und des eingezahlten Kapitals am Ende dieses Zeitraums,</w:t>
      </w:r>
      <w:r w:rsidRPr="009118AB">
        <w:rPr>
          <w:bCs/>
          <w:iCs/>
        </w:rPr>
        <w:t>]</w:t>
      </w:r>
    </w:p>
    <w:p w14:paraId="34313C8A" w14:textId="77777777" w:rsidR="0044234F" w:rsidRPr="009118AB" w:rsidRDefault="004E4B0C" w:rsidP="0044234F">
      <w:pPr>
        <w:autoSpaceDE w:val="0"/>
        <w:autoSpaceDN w:val="0"/>
        <w:adjustRightInd w:val="0"/>
        <w:jc w:val="both"/>
        <w:rPr>
          <w:bCs/>
          <w:iCs/>
        </w:rPr>
      </w:pPr>
      <w:r w:rsidRPr="009118AB">
        <w:rPr>
          <w:bCs/>
          <w:iCs/>
        </w:rPr>
        <w:tab/>
      </w:r>
    </w:p>
    <w:p w14:paraId="5FEC4B21" w14:textId="77777777" w:rsidR="0044234F" w:rsidRPr="009118AB" w:rsidRDefault="004E4B0C" w:rsidP="0044234F">
      <w:pPr>
        <w:autoSpaceDE w:val="0"/>
        <w:autoSpaceDN w:val="0"/>
        <w:adjustRightInd w:val="0"/>
        <w:jc w:val="both"/>
        <w:rPr>
          <w:bCs/>
          <w:iCs/>
        </w:rPr>
      </w:pPr>
      <w:r w:rsidRPr="009118AB">
        <w:rPr>
          <w:bCs/>
          <w:iCs/>
        </w:rPr>
        <w:tab/>
      </w:r>
      <w:r w:rsidR="0044234F" w:rsidRPr="009118AB">
        <w:rPr>
          <w:bCs/>
          <w:iCs/>
        </w:rPr>
        <w:t xml:space="preserve">[12. Beteiligungen an Kapital oder Gewinn einschließlich der Beteiligungen, die Arbeitnehmern aufgrund des Gesetzes vom 22. Mai 2001 </w:t>
      </w:r>
      <w:r w:rsidR="008604AB" w:rsidRPr="009118AB">
        <w:rPr>
          <w:bCs/>
          <w:iCs/>
        </w:rPr>
        <w:t>[über die Beteiligung der Arbeitnehmer am Kapital der Gesellschaften und zur Einführung einer Gewinnprämie für die Arbeitnehmer] im Rahmen eines Investitionssparplans zuerkannt werden,</w:t>
      </w:r>
      <w:r w:rsidR="0044234F" w:rsidRPr="009118AB">
        <w:rPr>
          <w:bCs/>
          <w:iCs/>
        </w:rPr>
        <w:t>]</w:t>
      </w:r>
    </w:p>
    <w:p w14:paraId="070B1865" w14:textId="77777777" w:rsidR="0044234F" w:rsidRPr="009118AB" w:rsidRDefault="0044234F" w:rsidP="0044234F">
      <w:pPr>
        <w:autoSpaceDE w:val="0"/>
        <w:autoSpaceDN w:val="0"/>
        <w:adjustRightInd w:val="0"/>
        <w:jc w:val="both"/>
        <w:rPr>
          <w:bCs/>
          <w:iCs/>
        </w:rPr>
      </w:pPr>
    </w:p>
    <w:p w14:paraId="4FB38147" w14:textId="77777777" w:rsidR="0044234F" w:rsidRPr="009118AB" w:rsidRDefault="004E4B0C" w:rsidP="0044234F">
      <w:pPr>
        <w:autoSpaceDE w:val="0"/>
        <w:autoSpaceDN w:val="0"/>
        <w:adjustRightInd w:val="0"/>
        <w:jc w:val="both"/>
        <w:rPr>
          <w:bCs/>
          <w:iCs/>
        </w:rPr>
      </w:pPr>
      <w:r w:rsidRPr="009118AB">
        <w:rPr>
          <w:bCs/>
          <w:iCs/>
        </w:rPr>
        <w:tab/>
      </w:r>
      <w:r w:rsidR="0044234F" w:rsidRPr="009118AB">
        <w:rPr>
          <w:bCs/>
          <w:iCs/>
        </w:rPr>
        <w:t>[13. Entschädigungen für fehlende Kupons, die in Ausführung von Vereinbarungen über die Leistung von dinglichen Sicherheiten oder von Verleihen mit Bezug auf Aktien oder Anteile gezahlt oder zuerkannt werden, bis zu einem Betrag, der der Differenz zwischen einerseits dem Gesamtbetrag der Bruttodividende, die für Aktien oder Anteile gezahlt oder zuerkannt wird, auf die diese Entschädigungen für fehlende Kupons sich beziehen, und andererseits dem Gesamtbruttobetrag der entweder tatsächlich erhaltenen Dividenden oder der Dividenden, in Bezug auf die eine Entschädigung für fehlende Kupons für vorerwähnte Aktien oder Anteile bezogen wurde, entspricht,]</w:t>
      </w:r>
    </w:p>
    <w:p w14:paraId="34736F8A" w14:textId="77777777" w:rsidR="0044234F" w:rsidRPr="009118AB" w:rsidRDefault="004E4B0C" w:rsidP="0044234F">
      <w:pPr>
        <w:autoSpaceDE w:val="0"/>
        <w:autoSpaceDN w:val="0"/>
        <w:adjustRightInd w:val="0"/>
        <w:jc w:val="both"/>
        <w:rPr>
          <w:bCs/>
          <w:iCs/>
        </w:rPr>
      </w:pPr>
      <w:r w:rsidRPr="009118AB">
        <w:rPr>
          <w:bCs/>
          <w:iCs/>
        </w:rPr>
        <w:tab/>
      </w:r>
    </w:p>
    <w:p w14:paraId="4B8AC671" w14:textId="0FC80D09" w:rsidR="0044234F" w:rsidRPr="009118AB" w:rsidRDefault="004E4B0C" w:rsidP="0044234F">
      <w:pPr>
        <w:autoSpaceDE w:val="0"/>
        <w:autoSpaceDN w:val="0"/>
        <w:adjustRightInd w:val="0"/>
        <w:jc w:val="both"/>
        <w:rPr>
          <w:bCs/>
          <w:iCs/>
        </w:rPr>
      </w:pPr>
      <w:r w:rsidRPr="009118AB">
        <w:rPr>
          <w:bCs/>
          <w:iCs/>
        </w:rPr>
        <w:tab/>
      </w:r>
      <w:r w:rsidR="0044234F" w:rsidRPr="009118AB">
        <w:rPr>
          <w:bCs/>
          <w:iCs/>
        </w:rPr>
        <w:t>[14. den Teil der [in den Artikeln 193</w:t>
      </w:r>
      <w:r w:rsidR="0044234F" w:rsidRPr="009118AB">
        <w:rPr>
          <w:bCs/>
          <w:i/>
          <w:iCs/>
        </w:rPr>
        <w:t>bis</w:t>
      </w:r>
      <w:r w:rsidR="0044234F" w:rsidRPr="009118AB">
        <w:rPr>
          <w:bCs/>
          <w:iCs/>
        </w:rPr>
        <w:t xml:space="preserve"> </w:t>
      </w:r>
      <w:r w:rsidR="00D67EB8" w:rsidRPr="009118AB">
        <w:rPr>
          <w:bCs/>
          <w:iCs/>
        </w:rPr>
        <w:t>§ </w:t>
      </w:r>
      <w:r w:rsidR="0044234F" w:rsidRPr="009118AB">
        <w:rPr>
          <w:bCs/>
          <w:iCs/>
        </w:rPr>
        <w:t>1 Absatz 2 und 193</w:t>
      </w:r>
      <w:r w:rsidR="0044234F" w:rsidRPr="009118AB">
        <w:rPr>
          <w:bCs/>
          <w:i/>
          <w:iCs/>
        </w:rPr>
        <w:t>ter</w:t>
      </w:r>
      <w:r w:rsidR="0044234F" w:rsidRPr="009118AB">
        <w:rPr>
          <w:bCs/>
          <w:iCs/>
        </w:rPr>
        <w:t xml:space="preserve"> </w:t>
      </w:r>
      <w:r w:rsidR="00D67EB8" w:rsidRPr="009118AB">
        <w:rPr>
          <w:bCs/>
          <w:iCs/>
        </w:rPr>
        <w:t>§ </w:t>
      </w:r>
      <w:r w:rsidR="0044234F" w:rsidRPr="009118AB">
        <w:rPr>
          <w:bCs/>
          <w:iCs/>
        </w:rPr>
        <w:t>1 erwähnten] Prämien, Kapital- und Zinszuschüsse, der vorher definitiv von der Steuer befreit wurde und der betreffenden Region zurückgezahlt wird,]</w:t>
      </w:r>
    </w:p>
    <w:p w14:paraId="25EBB791" w14:textId="77777777" w:rsidR="0044234F" w:rsidRPr="009118AB" w:rsidRDefault="0044234F" w:rsidP="0044234F">
      <w:pPr>
        <w:autoSpaceDE w:val="0"/>
        <w:autoSpaceDN w:val="0"/>
        <w:adjustRightInd w:val="0"/>
        <w:jc w:val="both"/>
        <w:rPr>
          <w:bCs/>
          <w:iCs/>
        </w:rPr>
      </w:pPr>
    </w:p>
    <w:p w14:paraId="5EEDF956" w14:textId="503DC4F6" w:rsidR="0044234F" w:rsidRPr="009118AB" w:rsidRDefault="004E4B0C" w:rsidP="0044234F">
      <w:pPr>
        <w:autoSpaceDE w:val="0"/>
        <w:autoSpaceDN w:val="0"/>
        <w:adjustRightInd w:val="0"/>
        <w:jc w:val="both"/>
        <w:rPr>
          <w:bCs/>
          <w:iCs/>
        </w:rPr>
      </w:pPr>
      <w:r w:rsidRPr="009118AB">
        <w:rPr>
          <w:bCs/>
          <w:iCs/>
        </w:rPr>
        <w:tab/>
      </w:r>
      <w:r w:rsidR="0044234F" w:rsidRPr="009118AB">
        <w:rPr>
          <w:bCs/>
          <w:iCs/>
        </w:rPr>
        <w:t>[15. [</w:t>
      </w:r>
      <w:bookmarkStart w:id="15" w:name="_Hlk41806119"/>
      <w:r w:rsidR="00F821B1" w:rsidRPr="009118AB">
        <w:t xml:space="preserve">die in Artikel 198/1 </w:t>
      </w:r>
      <w:r w:rsidR="00D67EB8" w:rsidRPr="009118AB">
        <w:t>§ </w:t>
      </w:r>
      <w:r w:rsidR="00F821B1" w:rsidRPr="009118AB">
        <w:t>4 Absatz 5 erwähnte Vergütung,</w:t>
      </w:r>
      <w:bookmarkEnd w:id="15"/>
      <w:r w:rsidR="0044234F" w:rsidRPr="009118AB">
        <w:rPr>
          <w:bCs/>
          <w:iCs/>
        </w:rPr>
        <w:t>]]</w:t>
      </w:r>
    </w:p>
    <w:p w14:paraId="6A8332E7" w14:textId="77777777" w:rsidR="002B016A" w:rsidRPr="009118AB" w:rsidRDefault="002B016A" w:rsidP="0044234F">
      <w:pPr>
        <w:autoSpaceDE w:val="0"/>
        <w:autoSpaceDN w:val="0"/>
        <w:adjustRightInd w:val="0"/>
        <w:jc w:val="both"/>
        <w:rPr>
          <w:bCs/>
          <w:iCs/>
        </w:rPr>
      </w:pPr>
    </w:p>
    <w:p w14:paraId="4644BFE1" w14:textId="17B6196E" w:rsidR="002B016A" w:rsidRPr="009118AB" w:rsidRDefault="004E4B0C" w:rsidP="00601106">
      <w:pPr>
        <w:jc w:val="both"/>
      </w:pPr>
      <w:r w:rsidRPr="009118AB">
        <w:tab/>
      </w:r>
      <w:r w:rsidR="002B016A" w:rsidRPr="009118AB">
        <w:t>[1</w:t>
      </w:r>
      <w:r w:rsidR="00601106" w:rsidRPr="009118AB">
        <w:t>6</w:t>
      </w:r>
      <w:r w:rsidR="002B016A" w:rsidRPr="009118AB">
        <w:t>. d</w:t>
      </w:r>
      <w:r w:rsidR="00601106" w:rsidRPr="009118AB">
        <w:t>ie</w:t>
      </w:r>
      <w:r w:rsidR="002B016A" w:rsidRPr="009118AB">
        <w:t xml:space="preserve"> in Artikel 205/5 </w:t>
      </w:r>
      <w:r w:rsidR="00D67EB8" w:rsidRPr="009118AB">
        <w:t>§ </w:t>
      </w:r>
      <w:r w:rsidR="002B016A" w:rsidRPr="009118AB">
        <w:t>3 Absatz </w:t>
      </w:r>
      <w:r w:rsidR="00601106" w:rsidRPr="009118AB">
        <w:t>4 oder in Artikel 205/</w:t>
      </w:r>
      <w:r w:rsidR="002B016A" w:rsidRPr="009118AB">
        <w:t>5</w:t>
      </w:r>
      <w:r w:rsidR="00601106" w:rsidRPr="009118AB">
        <w:t xml:space="preserve"> </w:t>
      </w:r>
      <w:r w:rsidR="00D67EB8" w:rsidRPr="009118AB">
        <w:t>§ </w:t>
      </w:r>
      <w:r w:rsidR="00601106" w:rsidRPr="009118AB">
        <w:t>4 Absatz 5</w:t>
      </w:r>
      <w:r w:rsidR="002B016A" w:rsidRPr="009118AB">
        <w:t xml:space="preserve"> erwähnte</w:t>
      </w:r>
      <w:r w:rsidR="00601106" w:rsidRPr="009118AB">
        <w:t xml:space="preserve"> Vergütung</w:t>
      </w:r>
      <w:r w:rsidR="0005312C" w:rsidRPr="009118AB">
        <w:t>,</w:t>
      </w:r>
      <w:r w:rsidR="002B016A" w:rsidRPr="009118AB">
        <w:t>]</w:t>
      </w:r>
    </w:p>
    <w:p w14:paraId="31AEDB09" w14:textId="1C15B692" w:rsidR="0005312C" w:rsidRPr="009118AB" w:rsidRDefault="0005312C" w:rsidP="00601106">
      <w:pPr>
        <w:jc w:val="both"/>
      </w:pPr>
    </w:p>
    <w:p w14:paraId="6875BAC0" w14:textId="77777777" w:rsidR="00A5386F" w:rsidRDefault="00A5386F">
      <w:r>
        <w:br w:type="page"/>
      </w:r>
    </w:p>
    <w:p w14:paraId="66A09832" w14:textId="419E1418" w:rsidR="0005312C" w:rsidRPr="009118AB" w:rsidRDefault="0005312C" w:rsidP="0005312C">
      <w:pPr>
        <w:jc w:val="both"/>
        <w:rPr>
          <w:rFonts w:eastAsia="Calibri"/>
          <w:lang w:eastAsia="en-US"/>
        </w:rPr>
      </w:pPr>
      <w:r w:rsidRPr="009118AB">
        <w:lastRenderedPageBreak/>
        <w:tab/>
        <w:t>[</w:t>
      </w:r>
      <w:r w:rsidRPr="009118AB">
        <w:rPr>
          <w:rFonts w:eastAsia="Calibri"/>
          <w:szCs w:val="22"/>
          <w:lang w:eastAsia="en-US"/>
        </w:rPr>
        <w:t>17. Provisionen, Maklergebühren, kommerzielle oder andere Ermäßigungen, zufällige oder nicht zufällige Entgelte oder Honorare, Zuwendungen, Vergütungen oder Vorteile jeglicher Art</w:t>
      </w:r>
      <w:r w:rsidR="00D67EB8" w:rsidRPr="009118AB">
        <w:rPr>
          <w:rFonts w:eastAsia="Calibri"/>
          <w:szCs w:val="22"/>
          <w:lang w:eastAsia="en-US"/>
        </w:rPr>
        <w:t> - </w:t>
      </w:r>
      <w:r w:rsidRPr="009118AB">
        <w:rPr>
          <w:rFonts w:eastAsia="Calibri"/>
          <w:szCs w:val="22"/>
          <w:lang w:eastAsia="en-US"/>
        </w:rPr>
        <w:t>in dem Maße, wie sie sich auf mehr als 3 Prozent der gesamten Bruttoentlohnung des Sportlers belaufen, die während der Dauer des Arbeitsvertrags pro Jahr berechnet wird</w:t>
      </w:r>
      <w:r w:rsidR="00FD68E8" w:rsidRPr="009118AB">
        <w:rPr>
          <w:rFonts w:eastAsia="Calibri"/>
          <w:szCs w:val="22"/>
          <w:lang w:eastAsia="en-US"/>
        </w:rPr>
        <w:t> -,</w:t>
      </w:r>
      <w:r w:rsidRPr="009118AB">
        <w:rPr>
          <w:rFonts w:eastAsia="Calibri"/>
          <w:szCs w:val="22"/>
          <w:lang w:eastAsia="en-US"/>
        </w:rPr>
        <w:t xml:space="preserve"> die direkt oder indirekt im Rahmen eines Vertrags gezahlt werden, der Folgendes zum Ziel hat:</w:t>
      </w:r>
    </w:p>
    <w:p w14:paraId="39FB98B2" w14:textId="77777777" w:rsidR="0005312C" w:rsidRPr="009118AB" w:rsidRDefault="0005312C" w:rsidP="0005312C">
      <w:pPr>
        <w:jc w:val="both"/>
        <w:rPr>
          <w:rFonts w:eastAsia="Calibri"/>
          <w:lang w:eastAsia="en-US"/>
        </w:rPr>
      </w:pPr>
    </w:p>
    <w:p w14:paraId="041DB90A" w14:textId="77777777" w:rsidR="0005312C" w:rsidRPr="009118AB" w:rsidRDefault="0005312C" w:rsidP="0005312C">
      <w:pPr>
        <w:jc w:val="both"/>
        <w:rPr>
          <w:rFonts w:eastAsia="Calibri"/>
          <w:lang w:eastAsia="en-US"/>
        </w:rPr>
      </w:pPr>
      <w:r w:rsidRPr="009118AB">
        <w:rPr>
          <w:rFonts w:eastAsia="Calibri"/>
          <w:szCs w:val="22"/>
          <w:lang w:eastAsia="en-US"/>
        </w:rPr>
        <w:tab/>
      </w:r>
      <w:r w:rsidRPr="009118AB">
        <w:rPr>
          <w:rFonts w:eastAsia="Calibri"/>
          <w:i/>
          <w:iCs/>
          <w:szCs w:val="22"/>
          <w:lang w:eastAsia="en-US"/>
        </w:rPr>
        <w:t>a)</w:t>
      </w:r>
      <w:r w:rsidRPr="009118AB">
        <w:rPr>
          <w:rFonts w:eastAsia="Calibri"/>
          <w:szCs w:val="22"/>
          <w:lang w:eastAsia="en-US"/>
        </w:rPr>
        <w:t> entweder einen Sportler bei Verhandlungen im Hinblick auf den Abschluss, die Verlängerung, Erneuerung oder Beendigung eines Arbeitsvertrags bei einem Sportclub zu unterstützen</w:t>
      </w:r>
    </w:p>
    <w:p w14:paraId="035055FB" w14:textId="77777777" w:rsidR="0005312C" w:rsidRPr="009118AB" w:rsidRDefault="0005312C" w:rsidP="0005312C">
      <w:pPr>
        <w:jc w:val="both"/>
        <w:rPr>
          <w:rFonts w:eastAsia="Calibri"/>
          <w:lang w:eastAsia="en-US"/>
        </w:rPr>
      </w:pPr>
    </w:p>
    <w:p w14:paraId="3BFF2B24" w14:textId="2DB60AEF" w:rsidR="0005312C" w:rsidRPr="009118AB" w:rsidRDefault="0005312C" w:rsidP="0005312C">
      <w:pPr>
        <w:jc w:val="both"/>
        <w:rPr>
          <w:rFonts w:eastAsia="Calibri"/>
          <w:lang w:eastAsia="en-US"/>
        </w:rPr>
      </w:pPr>
      <w:r w:rsidRPr="009118AB">
        <w:rPr>
          <w:rFonts w:eastAsia="Calibri"/>
          <w:szCs w:val="22"/>
          <w:lang w:eastAsia="en-US"/>
        </w:rPr>
        <w:tab/>
      </w:r>
      <w:r w:rsidRPr="009118AB">
        <w:rPr>
          <w:rFonts w:eastAsia="Calibri"/>
          <w:i/>
          <w:iCs/>
          <w:szCs w:val="22"/>
          <w:lang w:eastAsia="en-US"/>
        </w:rPr>
        <w:t>b)</w:t>
      </w:r>
      <w:r w:rsidRPr="009118AB">
        <w:rPr>
          <w:rFonts w:eastAsia="Calibri"/>
          <w:szCs w:val="22"/>
          <w:lang w:eastAsia="en-US"/>
        </w:rPr>
        <w:t xml:space="preserve"> oder einen in Artikel 270 </w:t>
      </w:r>
      <w:r w:rsidR="00D67EB8" w:rsidRPr="009118AB">
        <w:rPr>
          <w:rFonts w:eastAsia="Calibri"/>
          <w:szCs w:val="22"/>
          <w:lang w:eastAsia="en-US"/>
        </w:rPr>
        <w:t>Nr. </w:t>
      </w:r>
      <w:r w:rsidRPr="009118AB">
        <w:rPr>
          <w:rFonts w:eastAsia="Calibri"/>
          <w:szCs w:val="22"/>
          <w:lang w:eastAsia="en-US"/>
        </w:rPr>
        <w:t>1 oder 3 erwähnten Schuldner des Berufssteuer</w:t>
      </w:r>
      <w:r w:rsidRPr="009118AB">
        <w:rPr>
          <w:rFonts w:eastAsia="Calibri"/>
          <w:szCs w:val="22"/>
          <w:lang w:eastAsia="en-US"/>
        </w:rPr>
        <w:softHyphen/>
        <w:t>vorabzugs bei Verhandlungen im Hinblick auf den Abschluss, die Verlängerung, Erneuerung oder Beendigung eines Arbeitsvertrags mit einem Sportler zu unterstützen</w:t>
      </w:r>
    </w:p>
    <w:p w14:paraId="4726DD52" w14:textId="77777777" w:rsidR="0005312C" w:rsidRPr="009118AB" w:rsidRDefault="0005312C" w:rsidP="0005312C">
      <w:pPr>
        <w:jc w:val="both"/>
        <w:rPr>
          <w:rFonts w:eastAsia="Calibri"/>
          <w:lang w:eastAsia="en-US"/>
        </w:rPr>
      </w:pPr>
    </w:p>
    <w:p w14:paraId="0809D1C3" w14:textId="39056A15" w:rsidR="0005312C" w:rsidRPr="009118AB" w:rsidRDefault="0005312C" w:rsidP="0005312C">
      <w:pPr>
        <w:jc w:val="both"/>
      </w:pPr>
      <w:r w:rsidRPr="009118AB">
        <w:rPr>
          <w:rFonts w:eastAsia="Calibri"/>
          <w:szCs w:val="22"/>
          <w:lang w:eastAsia="en-US"/>
        </w:rPr>
        <w:tab/>
      </w:r>
      <w:r w:rsidRPr="009118AB">
        <w:rPr>
          <w:rFonts w:eastAsia="Calibri"/>
          <w:i/>
          <w:iCs/>
          <w:szCs w:val="22"/>
          <w:lang w:eastAsia="en-US"/>
        </w:rPr>
        <w:t>c)</w:t>
      </w:r>
      <w:r w:rsidRPr="009118AB">
        <w:rPr>
          <w:rFonts w:eastAsia="Calibri"/>
          <w:szCs w:val="22"/>
          <w:lang w:eastAsia="en-US"/>
        </w:rPr>
        <w:t> oder eine Ausleihe oder einen definitiven Transfer im Hinblick auf die Ankunft oder den Weggang eines Sportlers zu regeln.</w:t>
      </w:r>
      <w:r w:rsidRPr="009118AB">
        <w:t>]</w:t>
      </w:r>
    </w:p>
    <w:p w14:paraId="5681ED29" w14:textId="77777777" w:rsidR="0044234F" w:rsidRPr="009118AB" w:rsidRDefault="0044234F" w:rsidP="0044234F">
      <w:pPr>
        <w:autoSpaceDE w:val="0"/>
        <w:autoSpaceDN w:val="0"/>
        <w:adjustRightInd w:val="0"/>
        <w:jc w:val="both"/>
        <w:rPr>
          <w:bCs/>
          <w:iCs/>
        </w:rPr>
      </w:pPr>
    </w:p>
    <w:p w14:paraId="5174103D" w14:textId="28D596DC" w:rsidR="0044234F" w:rsidRPr="009118AB" w:rsidRDefault="004E4B0C" w:rsidP="0044234F">
      <w:pPr>
        <w:autoSpaceDE w:val="0"/>
        <w:autoSpaceDN w:val="0"/>
        <w:adjustRightInd w:val="0"/>
        <w:jc w:val="both"/>
        <w:rPr>
          <w:bCs/>
          <w:iCs/>
        </w:rPr>
      </w:pPr>
      <w:r w:rsidRPr="009118AB">
        <w:rPr>
          <w:bCs/>
          <w:iCs/>
        </w:rPr>
        <w:tab/>
      </w:r>
      <w:r w:rsidR="002B016A" w:rsidRPr="009118AB">
        <w:rPr>
          <w:bCs/>
          <w:iCs/>
        </w:rPr>
        <w:t>[</w:t>
      </w:r>
      <w:r w:rsidR="00D67EB8" w:rsidRPr="009118AB">
        <w:rPr>
          <w:bCs/>
          <w:iCs/>
        </w:rPr>
        <w:t>§ </w:t>
      </w:r>
      <w:r w:rsidR="002B016A" w:rsidRPr="009118AB">
        <w:rPr>
          <w:bCs/>
          <w:iCs/>
        </w:rPr>
        <w:t>2</w:t>
      </w:r>
      <w:r w:rsidR="0044234F" w:rsidRPr="009118AB">
        <w:rPr>
          <w:bCs/>
          <w:iCs/>
        </w:rPr>
        <w:t>]</w:t>
      </w:r>
      <w:r w:rsidR="00D67EB8" w:rsidRPr="009118AB">
        <w:rPr>
          <w:bCs/>
          <w:iCs/>
        </w:rPr>
        <w:t> - </w:t>
      </w:r>
      <w:r w:rsidR="0044234F" w:rsidRPr="009118AB">
        <w:rPr>
          <w:bCs/>
          <w:iCs/>
        </w:rPr>
        <w:t xml:space="preserve">[Ausschließlich für die Anwendung [von </w:t>
      </w:r>
      <w:r w:rsidR="00D67EB8" w:rsidRPr="009118AB">
        <w:rPr>
          <w:bCs/>
          <w:iCs/>
        </w:rPr>
        <w:t>§ </w:t>
      </w:r>
      <w:r w:rsidR="0044234F" w:rsidRPr="009118AB">
        <w:rPr>
          <w:bCs/>
          <w:iCs/>
        </w:rPr>
        <w:t xml:space="preserve">1 </w:t>
      </w:r>
      <w:r w:rsidR="00D67EB8" w:rsidRPr="009118AB">
        <w:rPr>
          <w:bCs/>
          <w:iCs/>
        </w:rPr>
        <w:t>Nr. </w:t>
      </w:r>
      <w:r w:rsidR="0044234F" w:rsidRPr="009118AB">
        <w:rPr>
          <w:bCs/>
          <w:iCs/>
        </w:rPr>
        <w:t>7] gelten in Abweichung von Artikel 184 jedoch als eingezahltes Kapital Herabsetzungen von eingezahltem Kapital, die zuvor getätigt wurden für den buchhalterischen Ausgleich erlittener Verluste oder für die Bildung einer Rückstellung zur Deckung eines voraussehbaren Verlusts, die zum buchhalterischen Ausgleich des erlittenen Verlusts genutzt wird.]</w:t>
      </w:r>
    </w:p>
    <w:p w14:paraId="6C9FE5E6" w14:textId="77777777" w:rsidR="0044234F" w:rsidRPr="009118AB" w:rsidRDefault="0044234F" w:rsidP="0044234F">
      <w:pPr>
        <w:autoSpaceDE w:val="0"/>
        <w:autoSpaceDN w:val="0"/>
        <w:adjustRightInd w:val="0"/>
        <w:jc w:val="both"/>
        <w:rPr>
          <w:bCs/>
          <w:iCs/>
        </w:rPr>
      </w:pPr>
    </w:p>
    <w:p w14:paraId="4D439E6B" w14:textId="77777777" w:rsidR="0044234F" w:rsidRPr="009118AB" w:rsidRDefault="004E4B0C" w:rsidP="0044234F">
      <w:pPr>
        <w:autoSpaceDE w:val="0"/>
        <w:autoSpaceDN w:val="0"/>
        <w:adjustRightInd w:val="0"/>
        <w:jc w:val="both"/>
        <w:rPr>
          <w:bCs/>
          <w:iCs/>
        </w:rPr>
      </w:pPr>
      <w:r w:rsidRPr="009118AB">
        <w:rPr>
          <w:bCs/>
          <w:iCs/>
        </w:rPr>
        <w:tab/>
      </w:r>
      <w:r w:rsidR="0044234F" w:rsidRPr="009118AB">
        <w:rPr>
          <w:bCs/>
          <w:iCs/>
        </w:rPr>
        <w:t>[…]</w:t>
      </w:r>
    </w:p>
    <w:p w14:paraId="36213E12" w14:textId="77777777" w:rsidR="0044234F" w:rsidRPr="009118AB" w:rsidRDefault="0044234F" w:rsidP="0044234F">
      <w:pPr>
        <w:autoSpaceDE w:val="0"/>
        <w:autoSpaceDN w:val="0"/>
        <w:adjustRightInd w:val="0"/>
        <w:jc w:val="both"/>
        <w:rPr>
          <w:bCs/>
          <w:iCs/>
        </w:rPr>
      </w:pPr>
    </w:p>
    <w:p w14:paraId="34571228" w14:textId="77777777" w:rsidR="0044234F" w:rsidRPr="009118AB" w:rsidRDefault="004E4B0C" w:rsidP="0044234F">
      <w:pPr>
        <w:autoSpaceDE w:val="0"/>
        <w:autoSpaceDN w:val="0"/>
        <w:adjustRightInd w:val="0"/>
        <w:jc w:val="both"/>
        <w:rPr>
          <w:bCs/>
          <w:iCs/>
        </w:rPr>
      </w:pPr>
      <w:r w:rsidRPr="009118AB">
        <w:rPr>
          <w:bCs/>
          <w:iCs/>
        </w:rPr>
        <w:tab/>
      </w:r>
      <w:r w:rsidR="0044234F" w:rsidRPr="009118AB">
        <w:rPr>
          <w:bCs/>
          <w:iCs/>
        </w:rPr>
        <w:t>[…]</w:t>
      </w:r>
    </w:p>
    <w:p w14:paraId="0B60454D" w14:textId="77777777" w:rsidR="0044234F" w:rsidRPr="009118AB" w:rsidRDefault="0044234F" w:rsidP="0044234F">
      <w:pPr>
        <w:autoSpaceDE w:val="0"/>
        <w:autoSpaceDN w:val="0"/>
        <w:adjustRightInd w:val="0"/>
        <w:jc w:val="both"/>
        <w:rPr>
          <w:bCs/>
          <w:iCs/>
        </w:rPr>
      </w:pPr>
    </w:p>
    <w:p w14:paraId="074F5A5E" w14:textId="65850E40" w:rsidR="0044234F" w:rsidRPr="009118AB" w:rsidRDefault="004E4B0C" w:rsidP="0044234F">
      <w:pPr>
        <w:autoSpaceDE w:val="0"/>
        <w:autoSpaceDN w:val="0"/>
        <w:adjustRightInd w:val="0"/>
        <w:jc w:val="both"/>
        <w:rPr>
          <w:iCs/>
        </w:rPr>
      </w:pPr>
      <w:r w:rsidRPr="009118AB">
        <w:rPr>
          <w:bCs/>
          <w:iCs/>
        </w:rPr>
        <w:tab/>
      </w:r>
      <w:r w:rsidR="0044234F" w:rsidRPr="009118AB">
        <w:rPr>
          <w:bCs/>
          <w:iCs/>
        </w:rPr>
        <w:t>[</w:t>
      </w:r>
      <w:r w:rsidR="0044234F" w:rsidRPr="009118AB">
        <w:rPr>
          <w:iCs/>
        </w:rPr>
        <w:t xml:space="preserve">Für die Anwendung </w:t>
      </w:r>
      <w:r w:rsidR="0044234F" w:rsidRPr="009118AB">
        <w:rPr>
          <w:bCs/>
          <w:iCs/>
        </w:rPr>
        <w:t xml:space="preserve">[von </w:t>
      </w:r>
      <w:r w:rsidR="00D67EB8" w:rsidRPr="009118AB">
        <w:rPr>
          <w:bCs/>
          <w:iCs/>
        </w:rPr>
        <w:t>§ </w:t>
      </w:r>
      <w:r w:rsidR="0044234F" w:rsidRPr="009118AB">
        <w:rPr>
          <w:bCs/>
          <w:iCs/>
        </w:rPr>
        <w:t xml:space="preserve">1 </w:t>
      </w:r>
      <w:r w:rsidR="00D67EB8" w:rsidRPr="009118AB">
        <w:rPr>
          <w:bCs/>
          <w:iCs/>
        </w:rPr>
        <w:t>Nr. </w:t>
      </w:r>
      <w:r w:rsidR="0044234F" w:rsidRPr="009118AB">
        <w:rPr>
          <w:bCs/>
          <w:iCs/>
        </w:rPr>
        <w:t>7]</w:t>
      </w:r>
      <w:r w:rsidR="0044234F" w:rsidRPr="009118AB">
        <w:rPr>
          <w:iCs/>
        </w:rPr>
        <w:t xml:space="preserve"> gelten in Bezug auf die in Artikel 192 </w:t>
      </w:r>
      <w:r w:rsidR="00D67EB8" w:rsidRPr="009118AB">
        <w:rPr>
          <w:iCs/>
        </w:rPr>
        <w:t>§ </w:t>
      </w:r>
      <w:r w:rsidR="0044234F" w:rsidRPr="009118AB">
        <w:rPr>
          <w:iCs/>
        </w:rPr>
        <w:t xml:space="preserve">1 Absatz 4 erwähnten Unternehmen interne Übertragungen von Aktien oder Anteilen aus dem oder in das Handelsportfolio als Veräußerung. Wertminderungen auf diese Aktien oder Anteile gelten als abzugsfähige Ausgaben des Besteuerungszeitraums, in dem diese Aktien oder Anteile das Handelsportfolio verlassen. Im Gegensatz dazu gelten Wertminderungen auf diese Aktien oder Anteile als nicht abzugsfähige Ausgaben des Besteuerungszeitraums, in dem diese Aktien oder Anteile [gemäß </w:t>
      </w:r>
      <w:r w:rsidR="00D67EB8" w:rsidRPr="009118AB">
        <w:rPr>
          <w:iCs/>
        </w:rPr>
        <w:t>§ </w:t>
      </w:r>
      <w:r w:rsidR="0044234F" w:rsidRPr="009118AB">
        <w:rPr>
          <w:iCs/>
        </w:rPr>
        <w:t xml:space="preserve">1 </w:t>
      </w:r>
      <w:r w:rsidR="00D67EB8" w:rsidRPr="009118AB">
        <w:rPr>
          <w:iCs/>
        </w:rPr>
        <w:t>Nr. </w:t>
      </w:r>
      <w:r w:rsidR="0044234F" w:rsidRPr="009118AB">
        <w:rPr>
          <w:iCs/>
        </w:rPr>
        <w:t>7] Teil des Handelsportfolios werden.]</w:t>
      </w:r>
    </w:p>
    <w:p w14:paraId="0A4A6EE4" w14:textId="77777777" w:rsidR="0044234F" w:rsidRPr="009118AB" w:rsidRDefault="0044234F" w:rsidP="0044234F">
      <w:pPr>
        <w:autoSpaceDE w:val="0"/>
        <w:autoSpaceDN w:val="0"/>
        <w:adjustRightInd w:val="0"/>
        <w:jc w:val="both"/>
        <w:rPr>
          <w:iCs/>
        </w:rPr>
      </w:pPr>
    </w:p>
    <w:p w14:paraId="648CD0C8" w14:textId="77777777" w:rsidR="0044234F" w:rsidRPr="009118AB" w:rsidRDefault="004E4B0C" w:rsidP="0044234F">
      <w:pPr>
        <w:autoSpaceDE w:val="0"/>
        <w:autoSpaceDN w:val="0"/>
        <w:adjustRightInd w:val="0"/>
        <w:jc w:val="both"/>
        <w:rPr>
          <w:iCs/>
        </w:rPr>
      </w:pPr>
      <w:r w:rsidRPr="009118AB">
        <w:rPr>
          <w:iCs/>
        </w:rPr>
        <w:tab/>
      </w:r>
      <w:r w:rsidR="0044234F" w:rsidRPr="009118AB">
        <w:rPr>
          <w:iCs/>
        </w:rPr>
        <w:t>[Für die Berechnung der Wertminderung in Anwendung [von Absatz 2] gilt der am 31. Dezember 2011 festgelegte Wert der Aktien oder Anteile als der Anschaffungs- oder Investitionswert abzüglich der vorher zugelassenen Wertminderungen, wenn die betreffenden Aktien oder Anteile am 31. Dezember 2011 schon in der Buchhaltung der Gesellschaft ausgewiesen sind.]</w:t>
      </w:r>
    </w:p>
    <w:p w14:paraId="09326C17" w14:textId="77777777" w:rsidR="0044234F" w:rsidRPr="009118AB" w:rsidRDefault="0044234F" w:rsidP="0044234F">
      <w:pPr>
        <w:autoSpaceDE w:val="0"/>
        <w:autoSpaceDN w:val="0"/>
        <w:adjustRightInd w:val="0"/>
        <w:jc w:val="both"/>
        <w:rPr>
          <w:iCs/>
        </w:rPr>
      </w:pPr>
    </w:p>
    <w:p w14:paraId="6E696341" w14:textId="38DF790E" w:rsidR="0044234F" w:rsidRPr="009118AB" w:rsidRDefault="004E4B0C" w:rsidP="0044234F">
      <w:pPr>
        <w:autoSpaceDE w:val="0"/>
        <w:autoSpaceDN w:val="0"/>
        <w:adjustRightInd w:val="0"/>
        <w:jc w:val="both"/>
        <w:rPr>
          <w:iCs/>
        </w:rPr>
      </w:pPr>
      <w:r w:rsidRPr="009118AB">
        <w:rPr>
          <w:iCs/>
        </w:rPr>
        <w:tab/>
      </w:r>
      <w:r w:rsidR="0044234F" w:rsidRPr="009118AB">
        <w:rPr>
          <w:iCs/>
        </w:rPr>
        <w:t xml:space="preserve">[Für die Anwendung von </w:t>
      </w:r>
      <w:r w:rsidR="00D67EB8" w:rsidRPr="009118AB">
        <w:rPr>
          <w:iCs/>
        </w:rPr>
        <w:t>§ </w:t>
      </w:r>
      <w:r w:rsidR="0044234F" w:rsidRPr="009118AB">
        <w:rPr>
          <w:iCs/>
        </w:rPr>
        <w:t xml:space="preserve">1 </w:t>
      </w:r>
      <w:r w:rsidR="00D67EB8" w:rsidRPr="009118AB">
        <w:rPr>
          <w:iCs/>
        </w:rPr>
        <w:t>Nr. </w:t>
      </w:r>
      <w:r w:rsidR="0044234F" w:rsidRPr="009118AB">
        <w:rPr>
          <w:iCs/>
        </w:rPr>
        <w:t xml:space="preserve">7 ist im Falle von Verrichtungen, die von einer ausländischen Gesellschaft durchgeführt werden, der Begriff "eingezahltes Kapital" gemäß Artikel 2 </w:t>
      </w:r>
      <w:r w:rsidR="00D67EB8" w:rsidRPr="009118AB">
        <w:rPr>
          <w:iCs/>
        </w:rPr>
        <w:t>§ </w:t>
      </w:r>
      <w:r w:rsidR="0044234F" w:rsidRPr="009118AB">
        <w:rPr>
          <w:iCs/>
        </w:rPr>
        <w:t xml:space="preserve">1 </w:t>
      </w:r>
      <w:r w:rsidR="00D67EB8" w:rsidRPr="009118AB">
        <w:rPr>
          <w:iCs/>
        </w:rPr>
        <w:t>Nr. </w:t>
      </w:r>
      <w:r w:rsidR="0044234F" w:rsidRPr="009118AB">
        <w:rPr>
          <w:iCs/>
        </w:rPr>
        <w:t>6 in dem Sinne zu verstehen, wie es in den Bestimmungen des vorliegenden Gesetzbuches in Bezug auf die Gesellschaftssteuer vorgesehen ist.]</w:t>
      </w:r>
    </w:p>
    <w:p w14:paraId="5C119798" w14:textId="77777777" w:rsidR="0044234F" w:rsidRPr="009118AB" w:rsidRDefault="0044234F" w:rsidP="0044234F">
      <w:pPr>
        <w:autoSpaceDE w:val="0"/>
        <w:autoSpaceDN w:val="0"/>
        <w:adjustRightInd w:val="0"/>
        <w:jc w:val="both"/>
        <w:rPr>
          <w:iCs/>
        </w:rPr>
      </w:pPr>
    </w:p>
    <w:p w14:paraId="29F17A1C" w14:textId="70264A71" w:rsidR="0044234F" w:rsidRPr="009118AB" w:rsidRDefault="004E4B0C" w:rsidP="0044234F">
      <w:pPr>
        <w:autoSpaceDE w:val="0"/>
        <w:autoSpaceDN w:val="0"/>
        <w:adjustRightInd w:val="0"/>
        <w:jc w:val="both"/>
        <w:rPr>
          <w:iCs/>
        </w:rPr>
      </w:pPr>
      <w:r w:rsidRPr="009118AB">
        <w:rPr>
          <w:iCs/>
        </w:rPr>
        <w:tab/>
      </w:r>
      <w:r w:rsidR="0044234F" w:rsidRPr="009118AB">
        <w:rPr>
          <w:iCs/>
        </w:rPr>
        <w:t>[</w:t>
      </w:r>
      <w:r w:rsidR="00D67EB8" w:rsidRPr="009118AB">
        <w:rPr>
          <w:iCs/>
        </w:rPr>
        <w:t>§ </w:t>
      </w:r>
      <w:r w:rsidR="0044234F" w:rsidRPr="009118AB">
        <w:rPr>
          <w:iCs/>
        </w:rPr>
        <w:t>3]</w:t>
      </w:r>
      <w:r w:rsidR="00D67EB8" w:rsidRPr="009118AB">
        <w:rPr>
          <w:iCs/>
        </w:rPr>
        <w:t> - </w:t>
      </w:r>
      <w:r w:rsidR="0044234F" w:rsidRPr="009118AB">
        <w:rPr>
          <w:iCs/>
        </w:rPr>
        <w:t>[</w:t>
      </w:r>
      <w:r w:rsidR="00F821B1" w:rsidRPr="009118AB">
        <w:rPr>
          <w:iCs/>
        </w:rPr>
        <w:t>..</w:t>
      </w:r>
      <w:r w:rsidR="0044234F" w:rsidRPr="009118AB">
        <w:rPr>
          <w:iCs/>
        </w:rPr>
        <w:t>.]</w:t>
      </w:r>
    </w:p>
    <w:p w14:paraId="2FE6607C" w14:textId="77777777" w:rsidR="0044234F" w:rsidRPr="009118AB" w:rsidRDefault="0044234F" w:rsidP="0044234F">
      <w:pPr>
        <w:autoSpaceDE w:val="0"/>
        <w:autoSpaceDN w:val="0"/>
        <w:adjustRightInd w:val="0"/>
        <w:jc w:val="both"/>
        <w:rPr>
          <w:iCs/>
        </w:rPr>
      </w:pPr>
    </w:p>
    <w:p w14:paraId="3410467F" w14:textId="3265989D" w:rsidR="0044234F" w:rsidRPr="009118AB" w:rsidRDefault="004E4B0C" w:rsidP="0044234F">
      <w:pPr>
        <w:autoSpaceDE w:val="0"/>
        <w:autoSpaceDN w:val="0"/>
        <w:adjustRightInd w:val="0"/>
        <w:jc w:val="both"/>
        <w:rPr>
          <w:iCs/>
        </w:rPr>
      </w:pPr>
      <w:r w:rsidRPr="009118AB">
        <w:rPr>
          <w:iCs/>
        </w:rPr>
        <w:tab/>
      </w:r>
      <w:r w:rsidR="0044234F" w:rsidRPr="009118AB">
        <w:rPr>
          <w:iCs/>
        </w:rPr>
        <w:t xml:space="preserve">[Im Falle von Anleihen, für die ein Dritter eine Sicherheit leistet, oder von Anleihen, für die ein Dritter dem Gläubiger die notwendigen Mittel im Hinblick auf die Finanzierung der </w:t>
      </w:r>
      <w:r w:rsidR="0044234F" w:rsidRPr="009118AB">
        <w:rPr>
          <w:iCs/>
        </w:rPr>
        <w:lastRenderedPageBreak/>
        <w:t xml:space="preserve">Anleihen verschafft hat und dieser Dritte die mit den Anleihen verbundenen Risiken ganz oder teilweise trägt, </w:t>
      </w:r>
      <w:r w:rsidR="00F821B1" w:rsidRPr="009118AB">
        <w:rPr>
          <w:iCs/>
        </w:rPr>
        <w:t>[</w:t>
      </w:r>
      <w:r w:rsidR="00F821B1" w:rsidRPr="009118AB">
        <w:t xml:space="preserve">gilt dieser Dritte für die Anwendung von </w:t>
      </w:r>
      <w:r w:rsidR="00D67EB8" w:rsidRPr="009118AB">
        <w:t>§ </w:t>
      </w:r>
      <w:r w:rsidR="00F821B1" w:rsidRPr="009118AB">
        <w:t xml:space="preserve">1 </w:t>
      </w:r>
      <w:r w:rsidR="00D67EB8" w:rsidRPr="009118AB">
        <w:t>Nr. </w:t>
      </w:r>
      <w:r w:rsidR="00F821B1" w:rsidRPr="009118AB">
        <w:t>11 und 11/1</w:t>
      </w:r>
      <w:r w:rsidR="00F821B1" w:rsidRPr="009118AB">
        <w:rPr>
          <w:iCs/>
        </w:rPr>
        <w:t>]</w:t>
      </w:r>
      <w:r w:rsidR="0044234F" w:rsidRPr="009118AB">
        <w:rPr>
          <w:iCs/>
        </w:rPr>
        <w:t xml:space="preserve"> als tatsächlicher Empfänger der Zinsen dieser Anleihe, wenn diese Sicherheitsleistung oder diese Verschaffung von Mitteln als hauptsächlichen Beweggrund die Steuerumgehung hat.]</w:t>
      </w:r>
    </w:p>
    <w:p w14:paraId="6F6D3A9E" w14:textId="77777777" w:rsidR="0044234F" w:rsidRPr="009118AB" w:rsidRDefault="0044234F" w:rsidP="0044234F">
      <w:pPr>
        <w:autoSpaceDE w:val="0"/>
        <w:autoSpaceDN w:val="0"/>
        <w:adjustRightInd w:val="0"/>
        <w:jc w:val="both"/>
        <w:rPr>
          <w:iCs/>
        </w:rPr>
      </w:pPr>
    </w:p>
    <w:p w14:paraId="4C6EC059" w14:textId="562EF73D" w:rsidR="0044234F" w:rsidRPr="009118AB" w:rsidRDefault="004E4B0C" w:rsidP="0044234F">
      <w:pPr>
        <w:autoSpaceDE w:val="0"/>
        <w:autoSpaceDN w:val="0"/>
        <w:adjustRightInd w:val="0"/>
        <w:jc w:val="both"/>
        <w:rPr>
          <w:iCs/>
        </w:rPr>
      </w:pPr>
      <w:r w:rsidRPr="009118AB">
        <w:rPr>
          <w:iCs/>
        </w:rPr>
        <w:tab/>
      </w:r>
      <w:r w:rsidR="00F821B1" w:rsidRPr="009118AB">
        <w:rPr>
          <w:iCs/>
        </w:rPr>
        <w:t xml:space="preserve">[Die [in </w:t>
      </w:r>
      <w:r w:rsidR="00D67EB8" w:rsidRPr="009118AB">
        <w:rPr>
          <w:iCs/>
        </w:rPr>
        <w:t>§ </w:t>
      </w:r>
      <w:r w:rsidR="00F821B1" w:rsidRPr="009118AB">
        <w:rPr>
          <w:iCs/>
        </w:rPr>
        <w:t xml:space="preserve">1 </w:t>
      </w:r>
      <w:r w:rsidR="00D67EB8" w:rsidRPr="009118AB">
        <w:rPr>
          <w:iCs/>
        </w:rPr>
        <w:t>Nr. </w:t>
      </w:r>
      <w:r w:rsidR="00F821B1" w:rsidRPr="009118AB">
        <w:rPr>
          <w:iCs/>
        </w:rPr>
        <w:t>11/1</w:t>
      </w:r>
      <w:r w:rsidR="0044234F" w:rsidRPr="009118AB">
        <w:rPr>
          <w:iCs/>
        </w:rPr>
        <w:t>] erwähnte Einschränkung der Abzugsfähigkeit ist nicht auf Anleihen anwendbar, die aufgenommen werden von:</w:t>
      </w:r>
    </w:p>
    <w:p w14:paraId="4FD60766" w14:textId="77777777" w:rsidR="0044234F" w:rsidRPr="009118AB" w:rsidRDefault="0044234F" w:rsidP="0044234F">
      <w:pPr>
        <w:autoSpaceDE w:val="0"/>
        <w:autoSpaceDN w:val="0"/>
        <w:adjustRightInd w:val="0"/>
        <w:jc w:val="both"/>
        <w:rPr>
          <w:iCs/>
        </w:rPr>
      </w:pPr>
    </w:p>
    <w:p w14:paraId="60E6B190" w14:textId="61305447" w:rsidR="0044234F" w:rsidRPr="009118AB" w:rsidRDefault="004E4B0C" w:rsidP="0044234F">
      <w:pPr>
        <w:autoSpaceDE w:val="0"/>
        <w:autoSpaceDN w:val="0"/>
        <w:adjustRightInd w:val="0"/>
        <w:jc w:val="both"/>
        <w:rPr>
          <w:iCs/>
        </w:rPr>
      </w:pPr>
      <w:r w:rsidRPr="009118AB">
        <w:rPr>
          <w:iCs/>
        </w:rPr>
        <w:tab/>
      </w:r>
      <w:r w:rsidR="0044234F" w:rsidRPr="009118AB">
        <w:rPr>
          <w:iCs/>
        </w:rPr>
        <w:t xml:space="preserve">- Mobilienleasinggesellschaften, die in Artikel 2 des Königlichen Erlasses </w:t>
      </w:r>
      <w:r w:rsidR="00D67EB8" w:rsidRPr="009118AB">
        <w:rPr>
          <w:iCs/>
        </w:rPr>
        <w:t>Nr. </w:t>
      </w:r>
      <w:r w:rsidR="0044234F" w:rsidRPr="009118AB">
        <w:rPr>
          <w:iCs/>
        </w:rPr>
        <w:t>55 vom 10. November 1967 zur Regelung der Rechtsform der auf Mietfinanzierung spezialisierten Unternehmen erwähnt sind, und Gesellschaften, deren Haupttätigkeit in der Ausübung von Factoring oder Immobilienleasing im Finanzsektor besteht, sofern geliehenes Kapital tatsächlich für Leasing- und Factoringtätigkeiten verwendet wird,</w:t>
      </w:r>
    </w:p>
    <w:p w14:paraId="0D36D588" w14:textId="77777777" w:rsidR="0044234F" w:rsidRPr="009118AB" w:rsidRDefault="0044234F" w:rsidP="0044234F">
      <w:pPr>
        <w:autoSpaceDE w:val="0"/>
        <w:autoSpaceDN w:val="0"/>
        <w:adjustRightInd w:val="0"/>
        <w:jc w:val="both"/>
        <w:rPr>
          <w:iCs/>
        </w:rPr>
      </w:pPr>
    </w:p>
    <w:p w14:paraId="0BAA6B52" w14:textId="77777777" w:rsidR="0044234F" w:rsidRPr="009118AB" w:rsidRDefault="004E4B0C" w:rsidP="0044234F">
      <w:pPr>
        <w:autoSpaceDE w:val="0"/>
        <w:autoSpaceDN w:val="0"/>
        <w:adjustRightInd w:val="0"/>
        <w:jc w:val="both"/>
        <w:rPr>
          <w:iCs/>
        </w:rPr>
      </w:pPr>
      <w:r w:rsidRPr="009118AB">
        <w:rPr>
          <w:iCs/>
        </w:rPr>
        <w:tab/>
      </w:r>
      <w:r w:rsidR="0044234F" w:rsidRPr="009118AB">
        <w:rPr>
          <w:iCs/>
        </w:rPr>
        <w:t>- Gesellschaften, deren Haupttätigkeit in der Verwirklichung eines Projekts einer öffentlich-privaten Partnerschaft besteht, das gemäß den Rechtsvorschriften über öffentliche Aufträge infolge eines Wettbewerbsaufrufs vergeben wird.]</w:t>
      </w:r>
    </w:p>
    <w:p w14:paraId="23E3E303" w14:textId="77777777" w:rsidR="0044234F" w:rsidRPr="009118AB" w:rsidRDefault="0044234F" w:rsidP="0044234F">
      <w:pPr>
        <w:autoSpaceDE w:val="0"/>
        <w:autoSpaceDN w:val="0"/>
        <w:adjustRightInd w:val="0"/>
        <w:jc w:val="both"/>
        <w:rPr>
          <w:iCs/>
        </w:rPr>
      </w:pPr>
    </w:p>
    <w:p w14:paraId="7888A2BC" w14:textId="584EEBC5" w:rsidR="0044234F" w:rsidRPr="009118AB" w:rsidRDefault="004E4B0C" w:rsidP="0044234F">
      <w:pPr>
        <w:autoSpaceDE w:val="0"/>
        <w:autoSpaceDN w:val="0"/>
        <w:adjustRightInd w:val="0"/>
        <w:jc w:val="both"/>
        <w:rPr>
          <w:iCs/>
        </w:rPr>
      </w:pPr>
      <w:r w:rsidRPr="009118AB">
        <w:rPr>
          <w:iCs/>
        </w:rPr>
        <w:tab/>
      </w:r>
      <w:r w:rsidR="0044234F" w:rsidRPr="009118AB">
        <w:rPr>
          <w:iCs/>
        </w:rPr>
        <w:t xml:space="preserve">[Für Steuerpflichtige, die der Gesellschaftssteuer unterliegen und auf die das Gesetz vom 27. Juni 1921 über die Vereinigungen ohne Gewinnerzielungsabsicht, die internationalen Vereinigungen ohne Gewinnerzielungsabsicht und die Stiftungen anwendbar ist, gilt als eingezahltes Kapital wie [in </w:t>
      </w:r>
      <w:r w:rsidR="00D67EB8" w:rsidRPr="009118AB">
        <w:rPr>
          <w:iCs/>
        </w:rPr>
        <w:t>§ </w:t>
      </w:r>
      <w:r w:rsidR="0044234F" w:rsidRPr="009118AB">
        <w:rPr>
          <w:iCs/>
        </w:rPr>
        <w:t xml:space="preserve">1 </w:t>
      </w:r>
      <w:r w:rsidR="00D67EB8" w:rsidRPr="009118AB">
        <w:rPr>
          <w:iCs/>
        </w:rPr>
        <w:t>Nr. </w:t>
      </w:r>
      <w:r w:rsidR="0044234F" w:rsidRPr="009118AB">
        <w:rPr>
          <w:iCs/>
        </w:rPr>
        <w:t>11</w:t>
      </w:r>
      <w:r w:rsidR="00A8581E" w:rsidRPr="009118AB">
        <w:rPr>
          <w:iCs/>
        </w:rPr>
        <w:t xml:space="preserve"> und 11/1</w:t>
      </w:r>
      <w:r w:rsidR="0044234F" w:rsidRPr="009118AB">
        <w:rPr>
          <w:iCs/>
        </w:rPr>
        <w:t>] erwähnt das Vermögen der Vereinigung, so wie es aus der von diesen Steuerpflichtigen erstellten Bilanz hervorgeht.]</w:t>
      </w:r>
    </w:p>
    <w:p w14:paraId="2CD7EC6D" w14:textId="77777777" w:rsidR="0044234F" w:rsidRPr="009118AB" w:rsidRDefault="0044234F" w:rsidP="0044234F">
      <w:pPr>
        <w:autoSpaceDE w:val="0"/>
        <w:autoSpaceDN w:val="0"/>
        <w:adjustRightInd w:val="0"/>
        <w:jc w:val="both"/>
        <w:rPr>
          <w:iCs/>
        </w:rPr>
      </w:pPr>
    </w:p>
    <w:p w14:paraId="7295DB40" w14:textId="749C968B" w:rsidR="0044234F" w:rsidRPr="009118AB" w:rsidRDefault="004E4B0C" w:rsidP="0044234F">
      <w:pPr>
        <w:autoSpaceDE w:val="0"/>
        <w:autoSpaceDN w:val="0"/>
        <w:adjustRightInd w:val="0"/>
        <w:jc w:val="both"/>
        <w:rPr>
          <w:iCs/>
        </w:rPr>
      </w:pPr>
      <w:r w:rsidRPr="009118AB">
        <w:rPr>
          <w:iCs/>
        </w:rPr>
        <w:tab/>
      </w:r>
      <w:r w:rsidR="0044234F" w:rsidRPr="009118AB">
        <w:rPr>
          <w:iCs/>
        </w:rPr>
        <w:t>[</w:t>
      </w:r>
      <w:r w:rsidR="00A8581E" w:rsidRPr="009118AB">
        <w:rPr>
          <w:iCs/>
        </w:rPr>
        <w:t>[</w:t>
      </w:r>
      <w:r w:rsidR="0044234F" w:rsidRPr="009118AB">
        <w:rPr>
          <w:iCs/>
        </w:rPr>
        <w:t xml:space="preserve">Für die Anwendung </w:t>
      </w:r>
      <w:r w:rsidR="0044234F" w:rsidRPr="009118AB">
        <w:rPr>
          <w:bCs/>
          <w:iCs/>
        </w:rPr>
        <w:t xml:space="preserve">von </w:t>
      </w:r>
      <w:r w:rsidR="00D67EB8" w:rsidRPr="009118AB">
        <w:rPr>
          <w:bCs/>
          <w:iCs/>
        </w:rPr>
        <w:t>§ </w:t>
      </w:r>
      <w:r w:rsidR="0044234F" w:rsidRPr="009118AB">
        <w:rPr>
          <w:bCs/>
          <w:iCs/>
        </w:rPr>
        <w:t xml:space="preserve">1 </w:t>
      </w:r>
      <w:r w:rsidR="00D67EB8" w:rsidRPr="009118AB">
        <w:rPr>
          <w:bCs/>
          <w:iCs/>
        </w:rPr>
        <w:t>Nr. </w:t>
      </w:r>
      <w:r w:rsidR="0044234F" w:rsidRPr="009118AB">
        <w:rPr>
          <w:bCs/>
          <w:iCs/>
        </w:rPr>
        <w:t>11</w:t>
      </w:r>
      <w:r w:rsidR="00A8581E" w:rsidRPr="009118AB">
        <w:rPr>
          <w:bCs/>
          <w:iCs/>
        </w:rPr>
        <w:t xml:space="preserve"> und 11/1</w:t>
      </w:r>
      <w:r w:rsidR="0044234F" w:rsidRPr="009118AB">
        <w:rPr>
          <w:bCs/>
          <w:iCs/>
        </w:rPr>
        <w:t xml:space="preserve">] </w:t>
      </w:r>
      <w:r w:rsidR="0044234F" w:rsidRPr="009118AB">
        <w:rPr>
          <w:iCs/>
        </w:rPr>
        <w:t>müssen steuerfreie Rücklagen, die anlässlich eines in Artikel 184</w:t>
      </w:r>
      <w:r w:rsidR="0044234F" w:rsidRPr="009118AB">
        <w:rPr>
          <w:i/>
          <w:iCs/>
        </w:rPr>
        <w:t>bis</w:t>
      </w:r>
      <w:r w:rsidR="0044234F" w:rsidRPr="009118AB">
        <w:rPr>
          <w:iCs/>
        </w:rPr>
        <w:t xml:space="preserve"> </w:t>
      </w:r>
      <w:r w:rsidR="00D67EB8" w:rsidRPr="009118AB">
        <w:rPr>
          <w:iCs/>
        </w:rPr>
        <w:t>§ </w:t>
      </w:r>
      <w:r w:rsidR="0044234F" w:rsidRPr="009118AB">
        <w:rPr>
          <w:iCs/>
        </w:rPr>
        <w:t>4 oder in Artikel 211 erwähnten Vorgangs durch Entnahmen aus den besteuerten Rücklagen oder durch korrelative Bildung einer negativen besteuerten Rücklage gebildet wurden aufgrund der Tatsache, dass die übernehmende oder begünstigte Gesellschaft zum Zeitpunkt des Vorgangs Aktien oder Anteile der übertragenden oder aufgespaltenen Gesellschaft besaß, mit besteuerten Rücklagen gleichgesetzt werden.]</w:t>
      </w:r>
    </w:p>
    <w:p w14:paraId="7A09154A" w14:textId="77777777" w:rsidR="0044234F" w:rsidRPr="009118AB" w:rsidRDefault="0044234F" w:rsidP="0044234F">
      <w:pPr>
        <w:autoSpaceDE w:val="0"/>
        <w:autoSpaceDN w:val="0"/>
        <w:adjustRightInd w:val="0"/>
        <w:jc w:val="both"/>
        <w:rPr>
          <w:iCs/>
        </w:rPr>
      </w:pPr>
    </w:p>
    <w:p w14:paraId="4982BF94" w14:textId="6D95CE34" w:rsidR="0044234F" w:rsidRPr="009118AB" w:rsidRDefault="004E4B0C" w:rsidP="0044234F">
      <w:pPr>
        <w:autoSpaceDE w:val="0"/>
        <w:autoSpaceDN w:val="0"/>
        <w:adjustRightInd w:val="0"/>
        <w:jc w:val="both"/>
        <w:rPr>
          <w:iCs/>
        </w:rPr>
      </w:pPr>
      <w:r w:rsidRPr="009118AB">
        <w:rPr>
          <w:iCs/>
        </w:rPr>
        <w:tab/>
      </w:r>
      <w:r w:rsidR="0044234F" w:rsidRPr="009118AB">
        <w:rPr>
          <w:iCs/>
        </w:rPr>
        <w:t>[</w:t>
      </w:r>
      <w:r w:rsidR="00D67EB8" w:rsidRPr="009118AB">
        <w:rPr>
          <w:iCs/>
        </w:rPr>
        <w:t>§ </w:t>
      </w:r>
      <w:r w:rsidR="0044234F" w:rsidRPr="009118AB">
        <w:rPr>
          <w:iCs/>
        </w:rPr>
        <w:t>4</w:t>
      </w:r>
      <w:r w:rsidR="00D67EB8" w:rsidRPr="009118AB">
        <w:rPr>
          <w:iCs/>
        </w:rPr>
        <w:t> - </w:t>
      </w:r>
      <w:r w:rsidR="00A8581E" w:rsidRPr="009118AB">
        <w:rPr>
          <w:iCs/>
        </w:rPr>
        <w:t>[</w:t>
      </w:r>
      <w:r w:rsidR="0044234F" w:rsidRPr="009118AB">
        <w:rPr>
          <w:iCs/>
        </w:rPr>
        <w:t xml:space="preserve">Für die Anwendung von </w:t>
      </w:r>
      <w:r w:rsidR="00D67EB8" w:rsidRPr="009118AB">
        <w:rPr>
          <w:iCs/>
        </w:rPr>
        <w:t>§ </w:t>
      </w:r>
      <w:r w:rsidR="0044234F" w:rsidRPr="009118AB">
        <w:rPr>
          <w:iCs/>
        </w:rPr>
        <w:t xml:space="preserve">1 </w:t>
      </w:r>
      <w:r w:rsidR="00D67EB8" w:rsidRPr="009118AB">
        <w:rPr>
          <w:iCs/>
        </w:rPr>
        <w:t>Nr. </w:t>
      </w:r>
      <w:r w:rsidR="0044234F" w:rsidRPr="009118AB">
        <w:rPr>
          <w:iCs/>
        </w:rPr>
        <w:t>11</w:t>
      </w:r>
      <w:r w:rsidR="00A8581E" w:rsidRPr="009118AB">
        <w:rPr>
          <w:iCs/>
        </w:rPr>
        <w:t>/1]</w:t>
      </w:r>
      <w:r w:rsidR="0044234F" w:rsidRPr="009118AB">
        <w:rPr>
          <w:iCs/>
        </w:rPr>
        <w:t xml:space="preserve"> versteht man in Bezug auf Finanzierungsgeschäfte, die im Rahmen eines Rahmenübereinkommens über das zentrale Cash-Management einer Gruppe getätigt werden, für die mit diesem zentralen Management beauftragte Gesellschaft unter gezahlten oder zuerkannten Zinsen auf Anleihen die Plusdifferenz zwischen:</w:t>
      </w:r>
    </w:p>
    <w:p w14:paraId="37FC68CF" w14:textId="77777777" w:rsidR="0044234F" w:rsidRPr="009118AB" w:rsidRDefault="0044234F" w:rsidP="0044234F">
      <w:pPr>
        <w:autoSpaceDE w:val="0"/>
        <w:autoSpaceDN w:val="0"/>
        <w:adjustRightInd w:val="0"/>
        <w:jc w:val="both"/>
        <w:rPr>
          <w:iCs/>
        </w:rPr>
      </w:pPr>
    </w:p>
    <w:p w14:paraId="694D9115" w14:textId="77777777" w:rsidR="0044234F" w:rsidRPr="009118AB" w:rsidRDefault="004E4B0C" w:rsidP="0044234F">
      <w:pPr>
        <w:autoSpaceDE w:val="0"/>
        <w:autoSpaceDN w:val="0"/>
        <w:adjustRightInd w:val="0"/>
        <w:jc w:val="both"/>
        <w:rPr>
          <w:iCs/>
        </w:rPr>
      </w:pPr>
      <w:r w:rsidRPr="009118AB">
        <w:rPr>
          <w:iCs/>
        </w:rPr>
        <w:tab/>
      </w:r>
      <w:r w:rsidR="0044234F" w:rsidRPr="009118AB">
        <w:rPr>
          <w:iCs/>
        </w:rPr>
        <w:t>- einerseits den gezahlten oder zuerkannten Zinsen in Bezug auf Summen, die Gesellschaften der Gruppe ihr zur Verfügung stellen,</w:t>
      </w:r>
    </w:p>
    <w:p w14:paraId="5FC3C232" w14:textId="77777777" w:rsidR="0044234F" w:rsidRPr="009118AB" w:rsidRDefault="0044234F" w:rsidP="0044234F">
      <w:pPr>
        <w:autoSpaceDE w:val="0"/>
        <w:autoSpaceDN w:val="0"/>
        <w:adjustRightInd w:val="0"/>
        <w:jc w:val="both"/>
        <w:rPr>
          <w:iCs/>
        </w:rPr>
      </w:pPr>
    </w:p>
    <w:p w14:paraId="73FDE3C2" w14:textId="0792F371" w:rsidR="0044234F" w:rsidRPr="009118AB" w:rsidRDefault="004E4B0C" w:rsidP="0044234F">
      <w:pPr>
        <w:autoSpaceDE w:val="0"/>
        <w:autoSpaceDN w:val="0"/>
        <w:adjustRightInd w:val="0"/>
        <w:jc w:val="both"/>
        <w:rPr>
          <w:iCs/>
        </w:rPr>
      </w:pPr>
      <w:r w:rsidRPr="009118AB">
        <w:rPr>
          <w:iCs/>
        </w:rPr>
        <w:tab/>
      </w:r>
      <w:r w:rsidR="0044234F" w:rsidRPr="009118AB">
        <w:rPr>
          <w:iCs/>
        </w:rPr>
        <w:t xml:space="preserve">- und andererseits den vereinnahmten oder erzielten Zinsen in Bezug auf Summen, die sie im Rahmen dieses Rahmenübereinkommens über das zentrale Cash-Management Gesellschaften der Gruppe tatsächlich zur Verfügung stellt, mit Ausnahme der in Artikel 56 </w:t>
      </w:r>
      <w:r w:rsidR="00D67EB8" w:rsidRPr="009118AB">
        <w:rPr>
          <w:iCs/>
        </w:rPr>
        <w:t>§ </w:t>
      </w:r>
      <w:r w:rsidR="0044234F" w:rsidRPr="009118AB">
        <w:rPr>
          <w:iCs/>
        </w:rPr>
        <w:t xml:space="preserve">2 </w:t>
      </w:r>
      <w:r w:rsidR="00D67EB8" w:rsidRPr="009118AB">
        <w:rPr>
          <w:iCs/>
        </w:rPr>
        <w:t>Nr. </w:t>
      </w:r>
      <w:r w:rsidR="0044234F" w:rsidRPr="009118AB">
        <w:rPr>
          <w:iCs/>
        </w:rPr>
        <w:t xml:space="preserve">2 erwähnten Institute und der Gesellschaften, die in </w:t>
      </w:r>
      <w:r w:rsidR="00D67EB8" w:rsidRPr="009118AB">
        <w:rPr>
          <w:iCs/>
        </w:rPr>
        <w:t>§ </w:t>
      </w:r>
      <w:r w:rsidR="0044234F" w:rsidRPr="009118AB">
        <w:rPr>
          <w:iCs/>
        </w:rPr>
        <w:t>3 Absatz 3 erwähnt sind oder die in einem anderen Mitgliedstaat des Europäischen Wirtschaftsraums ansässig sind und Tätigkeiten gleicher Art wie letztgenannte Gesellschaften ausüben.</w:t>
      </w:r>
    </w:p>
    <w:p w14:paraId="6E178362" w14:textId="77777777" w:rsidR="0044234F" w:rsidRPr="009118AB" w:rsidRDefault="0044234F" w:rsidP="0044234F">
      <w:pPr>
        <w:autoSpaceDE w:val="0"/>
        <w:autoSpaceDN w:val="0"/>
        <w:adjustRightInd w:val="0"/>
        <w:jc w:val="both"/>
        <w:rPr>
          <w:iCs/>
        </w:rPr>
      </w:pPr>
    </w:p>
    <w:p w14:paraId="171834D3" w14:textId="77777777" w:rsidR="0044234F" w:rsidRPr="009118AB" w:rsidRDefault="004E4B0C" w:rsidP="0044234F">
      <w:pPr>
        <w:autoSpaceDE w:val="0"/>
        <w:autoSpaceDN w:val="0"/>
        <w:adjustRightInd w:val="0"/>
        <w:jc w:val="both"/>
        <w:rPr>
          <w:iCs/>
        </w:rPr>
      </w:pPr>
      <w:r w:rsidRPr="009118AB">
        <w:rPr>
          <w:iCs/>
        </w:rPr>
        <w:tab/>
      </w:r>
      <w:r w:rsidR="0044234F" w:rsidRPr="009118AB">
        <w:rPr>
          <w:iCs/>
        </w:rPr>
        <w:t xml:space="preserve">Für die Bestimmung der vorerwähnten Plusdifferenz werden vereinnahmte oder erzielte Zinsen in Bezug auf Summen, die die mit dem zentralen Management beauftragte Gesellschaft Gesellschaften der Gruppe zur Verfügung stellt, die der Gesellschaftssteuer oder einer </w:t>
      </w:r>
      <w:r w:rsidR="0044234F" w:rsidRPr="009118AB">
        <w:rPr>
          <w:iCs/>
        </w:rPr>
        <w:lastRenderedPageBreak/>
        <w:t>ausländischen Steuer gleicher Art nicht unterliegen oder die in einem Land ansässig sind, in dem die Bestimmungen des allgemeinen Rechts in Bezug auf Steuern erheblich vorteilhafter sind als in Belgien, nicht berücksichtigt.</w:t>
      </w:r>
    </w:p>
    <w:p w14:paraId="16AF3DA0" w14:textId="77777777" w:rsidR="0044234F" w:rsidRPr="009118AB" w:rsidRDefault="0044234F" w:rsidP="0044234F">
      <w:pPr>
        <w:autoSpaceDE w:val="0"/>
        <w:autoSpaceDN w:val="0"/>
        <w:adjustRightInd w:val="0"/>
        <w:jc w:val="both"/>
        <w:rPr>
          <w:iCs/>
        </w:rPr>
      </w:pPr>
    </w:p>
    <w:p w14:paraId="5BDBD4BA" w14:textId="77777777" w:rsidR="0044234F" w:rsidRPr="009118AB" w:rsidRDefault="004E4B0C" w:rsidP="0044234F">
      <w:pPr>
        <w:autoSpaceDE w:val="0"/>
        <w:autoSpaceDN w:val="0"/>
        <w:adjustRightInd w:val="0"/>
        <w:jc w:val="both"/>
        <w:rPr>
          <w:iCs/>
        </w:rPr>
      </w:pPr>
      <w:r w:rsidRPr="009118AB">
        <w:rPr>
          <w:iCs/>
        </w:rPr>
        <w:tab/>
      </w:r>
      <w:r w:rsidR="0044234F" w:rsidRPr="009118AB">
        <w:rPr>
          <w:iCs/>
        </w:rPr>
        <w:t>Für die Anwendung von Absatz 2 gelten die Bestimmungen des allgemeinen Rechts in Bezug auf Steuern, die auf die in einem Mitgliedstaat des Europäischen Wirtschaftsraums ansässigen Gesellschaften anwendbar sind, nicht als erheblich vorteilhafter als in Belgien.</w:t>
      </w:r>
    </w:p>
    <w:p w14:paraId="1B7CC6DA" w14:textId="77777777" w:rsidR="0044234F" w:rsidRPr="009118AB" w:rsidRDefault="0044234F" w:rsidP="0044234F">
      <w:pPr>
        <w:autoSpaceDE w:val="0"/>
        <w:autoSpaceDN w:val="0"/>
        <w:adjustRightInd w:val="0"/>
        <w:jc w:val="both"/>
        <w:rPr>
          <w:iCs/>
        </w:rPr>
      </w:pPr>
    </w:p>
    <w:p w14:paraId="1CE56686" w14:textId="77777777" w:rsidR="0044234F" w:rsidRPr="009118AB" w:rsidRDefault="004E4B0C" w:rsidP="0044234F">
      <w:pPr>
        <w:autoSpaceDE w:val="0"/>
        <w:autoSpaceDN w:val="0"/>
        <w:adjustRightInd w:val="0"/>
        <w:jc w:val="both"/>
        <w:rPr>
          <w:iCs/>
        </w:rPr>
      </w:pPr>
      <w:r w:rsidRPr="009118AB">
        <w:rPr>
          <w:iCs/>
        </w:rPr>
        <w:tab/>
      </w:r>
      <w:r w:rsidR="0044234F" w:rsidRPr="009118AB">
        <w:rPr>
          <w:iCs/>
        </w:rPr>
        <w:t>Die Gesellschaft muss nachweisen, dass sowohl die gezahlten oder zuerkannten Zinsen als auch die vereinnahmten oder erzielten Zinsen in Zusammenhang mit dem zentralen Cash-Management stehen und auf das Rahmenübereinkommen über dieses zentrale Cash-Management zurückzuführen sind.</w:t>
      </w:r>
    </w:p>
    <w:p w14:paraId="279AE78A" w14:textId="77777777" w:rsidR="0044234F" w:rsidRPr="009118AB" w:rsidRDefault="0044234F" w:rsidP="0044234F">
      <w:pPr>
        <w:autoSpaceDE w:val="0"/>
        <w:autoSpaceDN w:val="0"/>
        <w:adjustRightInd w:val="0"/>
        <w:jc w:val="both"/>
        <w:rPr>
          <w:iCs/>
        </w:rPr>
      </w:pPr>
    </w:p>
    <w:p w14:paraId="7CB17032" w14:textId="59179494" w:rsidR="0044234F" w:rsidRPr="009118AB" w:rsidRDefault="004E4B0C" w:rsidP="0044234F">
      <w:pPr>
        <w:autoSpaceDE w:val="0"/>
        <w:autoSpaceDN w:val="0"/>
        <w:adjustRightInd w:val="0"/>
        <w:jc w:val="both"/>
        <w:rPr>
          <w:iCs/>
        </w:rPr>
      </w:pPr>
      <w:r w:rsidRPr="009118AB">
        <w:rPr>
          <w:iCs/>
        </w:rPr>
        <w:tab/>
      </w:r>
      <w:r w:rsidR="0044234F" w:rsidRPr="009118AB">
        <w:rPr>
          <w:iCs/>
        </w:rPr>
        <w:t>Für die Anwendung des vorliegenden Paragraphen versteht man unter:</w:t>
      </w:r>
    </w:p>
    <w:p w14:paraId="3E2A30EA" w14:textId="77777777" w:rsidR="0044234F" w:rsidRPr="009118AB" w:rsidRDefault="0044234F" w:rsidP="0044234F">
      <w:pPr>
        <w:autoSpaceDE w:val="0"/>
        <w:autoSpaceDN w:val="0"/>
        <w:adjustRightInd w:val="0"/>
        <w:jc w:val="both"/>
        <w:rPr>
          <w:iCs/>
        </w:rPr>
      </w:pPr>
    </w:p>
    <w:p w14:paraId="73A3597F" w14:textId="77777777" w:rsidR="0044234F" w:rsidRPr="009118AB" w:rsidRDefault="004E4B0C" w:rsidP="0044234F">
      <w:pPr>
        <w:autoSpaceDE w:val="0"/>
        <w:autoSpaceDN w:val="0"/>
        <w:adjustRightInd w:val="0"/>
        <w:jc w:val="both"/>
        <w:rPr>
          <w:iCs/>
        </w:rPr>
      </w:pPr>
      <w:r w:rsidRPr="009118AB">
        <w:rPr>
          <w:iCs/>
        </w:rPr>
        <w:tab/>
      </w:r>
      <w:r w:rsidR="0044234F" w:rsidRPr="009118AB">
        <w:rPr>
          <w:iCs/>
        </w:rPr>
        <w:t>1. zentralem Cash-Management das tägliche Cash-Management oder das kurzfristige oder ausnahmsweise längerfristige Cash-Management zwecks Berücksichtigung spezifischer Umstände im Rahmen des normalen Cash-Managements,</w:t>
      </w:r>
    </w:p>
    <w:p w14:paraId="5CAD4AD5" w14:textId="77777777" w:rsidR="0044234F" w:rsidRPr="009118AB" w:rsidRDefault="0044234F" w:rsidP="0044234F">
      <w:pPr>
        <w:autoSpaceDE w:val="0"/>
        <w:autoSpaceDN w:val="0"/>
        <w:adjustRightInd w:val="0"/>
        <w:jc w:val="both"/>
        <w:rPr>
          <w:iCs/>
        </w:rPr>
      </w:pPr>
    </w:p>
    <w:p w14:paraId="7F1CA438" w14:textId="77777777" w:rsidR="0044234F" w:rsidRPr="009118AB" w:rsidRDefault="004E4B0C" w:rsidP="0044234F">
      <w:pPr>
        <w:autoSpaceDE w:val="0"/>
        <w:autoSpaceDN w:val="0"/>
        <w:adjustRightInd w:val="0"/>
        <w:jc w:val="both"/>
        <w:rPr>
          <w:iCs/>
        </w:rPr>
      </w:pPr>
      <w:r w:rsidRPr="009118AB">
        <w:rPr>
          <w:iCs/>
        </w:rPr>
        <w:tab/>
      </w:r>
      <w:r w:rsidR="0044234F" w:rsidRPr="009118AB">
        <w:rPr>
          <w:iCs/>
        </w:rPr>
        <w:t>2. Rahmenübereinkommen das Übereinkommen, in dem Gesellschaften, die Teil einer Gruppe sind, das verwendete Finanzierungsmodell und die Tätigkeiten im Rahmen des zentralen Cash-Managements festlegen. In diesem Übereinkommen muss unter anderem Folgendes bestimmt werden:</w:t>
      </w:r>
    </w:p>
    <w:p w14:paraId="08D4E631" w14:textId="77777777" w:rsidR="0044234F" w:rsidRPr="009118AB" w:rsidRDefault="0044234F" w:rsidP="0044234F">
      <w:pPr>
        <w:autoSpaceDE w:val="0"/>
        <w:autoSpaceDN w:val="0"/>
        <w:adjustRightInd w:val="0"/>
        <w:jc w:val="both"/>
        <w:rPr>
          <w:iCs/>
        </w:rPr>
      </w:pPr>
    </w:p>
    <w:p w14:paraId="6A8FA45D" w14:textId="77777777" w:rsidR="0044234F" w:rsidRPr="009118AB" w:rsidRDefault="004E4B0C" w:rsidP="0044234F">
      <w:pPr>
        <w:autoSpaceDE w:val="0"/>
        <w:autoSpaceDN w:val="0"/>
        <w:adjustRightInd w:val="0"/>
        <w:jc w:val="both"/>
        <w:rPr>
          <w:iCs/>
        </w:rPr>
      </w:pPr>
      <w:r w:rsidRPr="009118AB">
        <w:rPr>
          <w:i/>
          <w:iCs/>
        </w:rPr>
        <w:tab/>
      </w:r>
      <w:r w:rsidR="0044234F" w:rsidRPr="009118AB">
        <w:rPr>
          <w:i/>
          <w:iCs/>
        </w:rPr>
        <w:t>a)</w:t>
      </w:r>
      <w:r w:rsidR="0044234F" w:rsidRPr="009118AB">
        <w:rPr>
          <w:iCs/>
        </w:rPr>
        <w:t> Tätigkeiten, die zum täglichen Cash-Management gehören und die die Gesellschaft für die Mitglieder der Gruppe ausführt,</w:t>
      </w:r>
    </w:p>
    <w:p w14:paraId="23A17754" w14:textId="77777777" w:rsidR="0044234F" w:rsidRPr="009118AB" w:rsidRDefault="0044234F" w:rsidP="0044234F">
      <w:pPr>
        <w:autoSpaceDE w:val="0"/>
        <w:autoSpaceDN w:val="0"/>
        <w:adjustRightInd w:val="0"/>
        <w:jc w:val="both"/>
        <w:rPr>
          <w:iCs/>
        </w:rPr>
      </w:pPr>
    </w:p>
    <w:p w14:paraId="046B8871" w14:textId="77777777" w:rsidR="0044234F" w:rsidRPr="009118AB" w:rsidRDefault="004E4B0C" w:rsidP="0044234F">
      <w:pPr>
        <w:autoSpaceDE w:val="0"/>
        <w:autoSpaceDN w:val="0"/>
        <w:adjustRightInd w:val="0"/>
        <w:jc w:val="both"/>
        <w:rPr>
          <w:iCs/>
        </w:rPr>
      </w:pPr>
      <w:r w:rsidRPr="009118AB">
        <w:rPr>
          <w:i/>
          <w:iCs/>
        </w:rPr>
        <w:tab/>
      </w:r>
      <w:r w:rsidR="0044234F" w:rsidRPr="009118AB">
        <w:rPr>
          <w:i/>
          <w:iCs/>
        </w:rPr>
        <w:t>b)</w:t>
      </w:r>
      <w:r w:rsidR="0044234F" w:rsidRPr="009118AB">
        <w:rPr>
          <w:iCs/>
        </w:rPr>
        <w:t> Art der Verrechnung von Forderungen und Schulden zwischen Gesellschaften, die vorerwähntem Rahmenübereinkommen angeschlossen sind,</w:t>
      </w:r>
    </w:p>
    <w:p w14:paraId="2C5E0FFF" w14:textId="77777777" w:rsidR="0044234F" w:rsidRPr="009118AB" w:rsidRDefault="0044234F" w:rsidP="0044234F">
      <w:pPr>
        <w:autoSpaceDE w:val="0"/>
        <w:autoSpaceDN w:val="0"/>
        <w:adjustRightInd w:val="0"/>
        <w:jc w:val="both"/>
        <w:rPr>
          <w:iCs/>
        </w:rPr>
      </w:pPr>
    </w:p>
    <w:p w14:paraId="2F988546" w14:textId="77777777" w:rsidR="0044234F" w:rsidRPr="009118AB" w:rsidRDefault="004E4B0C" w:rsidP="0044234F">
      <w:pPr>
        <w:autoSpaceDE w:val="0"/>
        <w:autoSpaceDN w:val="0"/>
        <w:adjustRightInd w:val="0"/>
        <w:jc w:val="both"/>
        <w:rPr>
          <w:iCs/>
        </w:rPr>
      </w:pPr>
      <w:r w:rsidRPr="009118AB">
        <w:rPr>
          <w:i/>
          <w:iCs/>
        </w:rPr>
        <w:tab/>
      </w:r>
      <w:r w:rsidR="0044234F" w:rsidRPr="009118AB">
        <w:rPr>
          <w:i/>
          <w:iCs/>
        </w:rPr>
        <w:t>c)</w:t>
      </w:r>
      <w:r w:rsidR="0044234F" w:rsidRPr="009118AB">
        <w:rPr>
          <w:iCs/>
        </w:rPr>
        <w:t> Modalitäten der Beteiligung der Gesellschaften und angewandte Zinssätze.]</w:t>
      </w:r>
    </w:p>
    <w:p w14:paraId="093DADE4" w14:textId="77777777" w:rsidR="0044234F" w:rsidRPr="009118AB" w:rsidRDefault="0044234F" w:rsidP="0044234F">
      <w:pPr>
        <w:autoSpaceDE w:val="0"/>
        <w:autoSpaceDN w:val="0"/>
        <w:adjustRightInd w:val="0"/>
        <w:jc w:val="both"/>
        <w:rPr>
          <w:bCs/>
          <w:iCs/>
        </w:rPr>
      </w:pPr>
    </w:p>
    <w:p w14:paraId="1E44C70B" w14:textId="182CCBE6" w:rsidR="00381C41" w:rsidRDefault="0044234F" w:rsidP="0044234F">
      <w:pPr>
        <w:autoSpaceDE w:val="0"/>
        <w:autoSpaceDN w:val="0"/>
        <w:adjustRightInd w:val="0"/>
        <w:jc w:val="both"/>
        <w:rPr>
          <w:bCs/>
          <w:i/>
          <w:iCs/>
          <w:spacing w:val="-2"/>
        </w:rPr>
      </w:pPr>
      <w:r w:rsidRPr="00AE1D14">
        <w:rPr>
          <w:rFonts w:ascii="Times New Roman Italique" w:hAnsi="Times New Roman Italique"/>
          <w:bCs/>
          <w:i/>
          <w:iCs/>
          <w:spacing w:val="-2"/>
        </w:rPr>
        <w:t>[</w:t>
      </w:r>
      <w:r w:rsidR="00D67EB8" w:rsidRPr="00AE1D14">
        <w:rPr>
          <w:rFonts w:ascii="Times New Roman Italique" w:hAnsi="Times New Roman Italique"/>
          <w:bCs/>
          <w:i/>
          <w:iCs/>
          <w:spacing w:val="-2"/>
        </w:rPr>
        <w:t>Art. </w:t>
      </w:r>
      <w:r w:rsidRPr="00AE1D14">
        <w:rPr>
          <w:rFonts w:ascii="Times New Roman Italique" w:hAnsi="Times New Roman Italique"/>
          <w:bCs/>
          <w:i/>
          <w:iCs/>
          <w:spacing w:val="-2"/>
        </w:rPr>
        <w:t xml:space="preserve">198 </w:t>
      </w:r>
      <w:r w:rsidR="00D67EB8" w:rsidRPr="00AE1D14">
        <w:rPr>
          <w:rFonts w:ascii="Times New Roman Italique" w:hAnsi="Times New Roman Italique"/>
          <w:bCs/>
          <w:i/>
          <w:iCs/>
          <w:spacing w:val="-2"/>
        </w:rPr>
        <w:t>§ </w:t>
      </w:r>
      <w:r w:rsidRPr="00AE1D14">
        <w:rPr>
          <w:rFonts w:ascii="Times New Roman Italique" w:hAnsi="Times New Roman Italique"/>
          <w:bCs/>
          <w:i/>
          <w:iCs/>
          <w:spacing w:val="-2"/>
        </w:rPr>
        <w:t xml:space="preserve">1 (früherer Absatz 1) nummeriert durch </w:t>
      </w:r>
      <w:r w:rsidR="00D67EB8" w:rsidRPr="00AE1D14">
        <w:rPr>
          <w:rFonts w:ascii="Times New Roman Italique" w:hAnsi="Times New Roman Italique"/>
          <w:bCs/>
          <w:i/>
          <w:iCs/>
          <w:spacing w:val="-2"/>
        </w:rPr>
        <w:t>Art. </w:t>
      </w:r>
      <w:r w:rsidRPr="00AE1D14">
        <w:rPr>
          <w:rFonts w:ascii="Times New Roman Italique" w:hAnsi="Times New Roman Italique"/>
          <w:bCs/>
          <w:i/>
          <w:iCs/>
          <w:spacing w:val="-2"/>
        </w:rPr>
        <w:t xml:space="preserve">89 </w:t>
      </w:r>
      <w:r w:rsidR="00D67EB8" w:rsidRPr="00AE1D14">
        <w:rPr>
          <w:rFonts w:ascii="Times New Roman Italique" w:hAnsi="Times New Roman Italique"/>
          <w:bCs/>
          <w:i/>
          <w:iCs/>
          <w:spacing w:val="-2"/>
        </w:rPr>
        <w:t>Nr. </w:t>
      </w:r>
      <w:r w:rsidRPr="00AE1D14">
        <w:rPr>
          <w:rFonts w:ascii="Times New Roman Italique" w:hAnsi="Times New Roman Italique"/>
          <w:bCs/>
          <w:i/>
          <w:iCs/>
          <w:spacing w:val="-2"/>
        </w:rPr>
        <w:t>1</w:t>
      </w:r>
      <w:r w:rsidRPr="00AE1D14">
        <w:rPr>
          <w:rFonts w:ascii="Times New Roman Italique" w:hAnsi="Times New Roman Italique"/>
          <w:i/>
          <w:iCs/>
          <w:spacing w:val="-2"/>
        </w:rPr>
        <w:t xml:space="preserve"> des G. vom 22. Juni 2012 (B.S. vom 28. Juni 2012)</w:t>
      </w:r>
      <w:r w:rsidR="00D67EB8" w:rsidRPr="00AE1D14">
        <w:rPr>
          <w:rFonts w:ascii="Times New Roman Italique" w:hAnsi="Times New Roman Italique"/>
          <w:i/>
          <w:iCs/>
          <w:spacing w:val="-2"/>
        </w:rPr>
        <w:t> - </w:t>
      </w:r>
      <w:r w:rsidRPr="00AE1D14">
        <w:rPr>
          <w:rFonts w:ascii="Times New Roman Italique" w:hAnsi="Times New Roman Italique"/>
          <w:i/>
          <w:iCs/>
          <w:spacing w:val="-2"/>
        </w:rPr>
        <w:t>in Kraft</w:t>
      </w:r>
      <w:r w:rsidRPr="00AE1D14">
        <w:rPr>
          <w:rFonts w:ascii="Times New Roman Italique" w:hAnsi="Times New Roman Italique"/>
          <w:bCs/>
          <w:i/>
          <w:iCs/>
          <w:spacing w:val="-2"/>
        </w:rPr>
        <w:t xml:space="preserve"> </w:t>
      </w:r>
      <w:r w:rsidRPr="00AE1D14">
        <w:rPr>
          <w:rFonts w:ascii="Times New Roman Italique" w:hAnsi="Times New Roman Italique"/>
          <w:i/>
          <w:iCs/>
          <w:spacing w:val="-2"/>
        </w:rPr>
        <w:t>am 1. Juli 2012</w:t>
      </w:r>
      <w:r w:rsidR="003366D9" w:rsidRPr="00AE1D14">
        <w:rPr>
          <w:rFonts w:ascii="Times New Roman Italique" w:hAnsi="Times New Roman Italique"/>
          <w:i/>
          <w:iCs/>
          <w:spacing w:val="-2"/>
        </w:rPr>
        <w:t> -;</w:t>
      </w:r>
      <w:r w:rsidRPr="00AE1D14">
        <w:rPr>
          <w:rFonts w:ascii="Times New Roman Italique" w:hAnsi="Times New Roman Italique"/>
          <w:i/>
          <w:iCs/>
          <w:spacing w:val="-2"/>
        </w:rPr>
        <w:t xml:space="preserve"> </w:t>
      </w:r>
      <w:r w:rsidR="00D67EB8" w:rsidRPr="00AE1D14">
        <w:rPr>
          <w:rFonts w:ascii="Times New Roman Italique" w:hAnsi="Times New Roman Italique"/>
          <w:i/>
          <w:iCs/>
          <w:spacing w:val="-2"/>
        </w:rPr>
        <w:t>§ </w:t>
      </w:r>
      <w:r w:rsidRPr="00AE1D14">
        <w:rPr>
          <w:rFonts w:ascii="Times New Roman Italique" w:hAnsi="Times New Roman Italique"/>
          <w:i/>
          <w:iCs/>
          <w:spacing w:val="-2"/>
        </w:rPr>
        <w:t xml:space="preserve">1 </w:t>
      </w:r>
      <w:r w:rsidRPr="00AE1D14">
        <w:rPr>
          <w:rFonts w:ascii="Times New Roman Italique" w:hAnsi="Times New Roman Italique"/>
          <w:bCs/>
          <w:i/>
          <w:iCs/>
          <w:spacing w:val="-2"/>
        </w:rPr>
        <w:t xml:space="preserve">einziger Absatz </w:t>
      </w:r>
      <w:r w:rsidR="00D67EB8" w:rsidRPr="00AE1D14">
        <w:rPr>
          <w:rFonts w:ascii="Times New Roman Italique" w:hAnsi="Times New Roman Italique"/>
          <w:bCs/>
          <w:i/>
          <w:iCs/>
          <w:spacing w:val="-2"/>
        </w:rPr>
        <w:t>Nr. </w:t>
      </w:r>
      <w:r w:rsidRPr="00AE1D14">
        <w:rPr>
          <w:rFonts w:ascii="Times New Roman Italique" w:hAnsi="Times New Roman Italique"/>
          <w:bCs/>
          <w:i/>
          <w:iCs/>
          <w:spacing w:val="-2"/>
        </w:rPr>
        <w:t xml:space="preserve">1 ersetzt durch </w:t>
      </w:r>
      <w:r w:rsidR="00D67EB8" w:rsidRPr="00AE1D14">
        <w:rPr>
          <w:rFonts w:ascii="Times New Roman Italique" w:hAnsi="Times New Roman Italique"/>
          <w:bCs/>
          <w:i/>
          <w:iCs/>
          <w:spacing w:val="-2"/>
        </w:rPr>
        <w:t>Art. </w:t>
      </w:r>
      <w:r w:rsidRPr="00AE1D14">
        <w:rPr>
          <w:rFonts w:ascii="Times New Roman Italique" w:hAnsi="Times New Roman Italique"/>
          <w:bCs/>
          <w:i/>
          <w:iCs/>
          <w:spacing w:val="-2"/>
        </w:rPr>
        <w:t>15 des G. vom 4. Mai 1999 (II) (B.S. vom 12. Juni 1999)</w:t>
      </w:r>
      <w:r w:rsidR="00D67EB8" w:rsidRPr="00AE1D14">
        <w:rPr>
          <w:rFonts w:ascii="Times New Roman Italique" w:hAnsi="Times New Roman Italique"/>
          <w:bCs/>
          <w:i/>
          <w:iCs/>
          <w:spacing w:val="-2"/>
        </w:rPr>
        <w:t> - </w:t>
      </w:r>
      <w:r w:rsidRPr="00AE1D14">
        <w:rPr>
          <w:rFonts w:ascii="Times New Roman Italique" w:hAnsi="Times New Roman Italique"/>
          <w:bCs/>
          <w:i/>
          <w:iCs/>
          <w:spacing w:val="-2"/>
        </w:rPr>
        <w:t>in Kraft ab dem Steuerjahr 1999</w:t>
      </w:r>
      <w:r w:rsidR="00D67EB8" w:rsidRPr="00AE1D14">
        <w:rPr>
          <w:rFonts w:ascii="Times New Roman Italique" w:hAnsi="Times New Roman Italique"/>
          <w:bCs/>
          <w:i/>
          <w:iCs/>
          <w:spacing w:val="-2"/>
        </w:rPr>
        <w:t> - </w:t>
      </w:r>
      <w:r w:rsidRPr="00AE1D14">
        <w:rPr>
          <w:rFonts w:ascii="Times New Roman Italique" w:hAnsi="Times New Roman Italique"/>
          <w:bCs/>
          <w:i/>
          <w:iCs/>
          <w:spacing w:val="-2"/>
        </w:rPr>
        <w:t xml:space="preserve">und abgeändert durch </w:t>
      </w:r>
      <w:r w:rsidR="00D67EB8" w:rsidRPr="00AE1D14">
        <w:rPr>
          <w:rFonts w:ascii="Times New Roman Italique" w:hAnsi="Times New Roman Italique"/>
          <w:bCs/>
          <w:i/>
          <w:iCs/>
          <w:spacing w:val="-2"/>
        </w:rPr>
        <w:t>Art. </w:t>
      </w:r>
      <w:r w:rsidRPr="00AE1D14">
        <w:rPr>
          <w:rFonts w:ascii="Times New Roman Italique" w:hAnsi="Times New Roman Italique" w:hint="eastAsia"/>
          <w:bCs/>
          <w:i/>
          <w:iCs/>
          <w:spacing w:val="-2"/>
        </w:rPr>
        <w:t>4</w:t>
      </w:r>
      <w:r w:rsidRPr="00AE1D14">
        <w:rPr>
          <w:rFonts w:ascii="Times New Roman Italique" w:hAnsi="Times New Roman Italique"/>
          <w:bCs/>
          <w:i/>
          <w:iCs/>
          <w:spacing w:val="-2"/>
        </w:rPr>
        <w:t xml:space="preserve">5 </w:t>
      </w:r>
      <w:r w:rsidR="00D67EB8" w:rsidRPr="00AE1D14">
        <w:rPr>
          <w:rFonts w:ascii="Times New Roman Italique" w:hAnsi="Times New Roman Italique"/>
          <w:bCs/>
          <w:i/>
          <w:iCs/>
          <w:spacing w:val="-2"/>
        </w:rPr>
        <w:t>Nr. </w:t>
      </w:r>
      <w:r w:rsidRPr="00AE1D14">
        <w:rPr>
          <w:rFonts w:ascii="Times New Roman Italique" w:hAnsi="Times New Roman Italique" w:hint="eastAsia"/>
          <w:bCs/>
          <w:i/>
          <w:iCs/>
          <w:spacing w:val="-2"/>
        </w:rPr>
        <w:t>1</w:t>
      </w:r>
      <w:r w:rsidRPr="00AE1D14">
        <w:rPr>
          <w:rFonts w:ascii="Times New Roman Italique" w:hAnsi="Times New Roman Italique"/>
          <w:i/>
          <w:iCs/>
          <w:spacing w:val="-2"/>
        </w:rPr>
        <w:t xml:space="preserve"> des G. vom 13. Dezember 2012 (B.S. vom </w:t>
      </w:r>
      <w:r w:rsidRPr="00AE1D14">
        <w:rPr>
          <w:i/>
          <w:iCs/>
        </w:rPr>
        <w:t>20. Dezember 2012)</w:t>
      </w:r>
      <w:r w:rsidR="00D67EB8" w:rsidRPr="00AE1D14">
        <w:rPr>
          <w:i/>
          <w:iCs/>
        </w:rPr>
        <w:t> - </w:t>
      </w:r>
      <w:r w:rsidRPr="00AE1D14">
        <w:rPr>
          <w:i/>
          <w:iCs/>
        </w:rPr>
        <w:t>anwendbar auf die ab dem 1. Januar 2012 getätigten oder getragenen Ausgaben</w:t>
      </w:r>
      <w:r w:rsidR="00FD68E8" w:rsidRPr="00AE1D14">
        <w:rPr>
          <w:i/>
          <w:iCs/>
        </w:rPr>
        <w:t> -,</w:t>
      </w:r>
      <w:r w:rsidRPr="00AE1D14">
        <w:rPr>
          <w:i/>
          <w:iCs/>
        </w:rPr>
        <w:t xml:space="preserve"> </w:t>
      </w:r>
      <w:r w:rsidR="00D67EB8" w:rsidRPr="00AE1D14">
        <w:rPr>
          <w:i/>
          <w:iCs/>
        </w:rPr>
        <w:t>Art. </w:t>
      </w:r>
      <w:r w:rsidRPr="00AE1D14">
        <w:rPr>
          <w:i/>
          <w:iCs/>
        </w:rPr>
        <w:t>83 des G. vom 27. Dezember 2012 (B.S. vom 31. Dezember 2012)</w:t>
      </w:r>
      <w:r w:rsidR="00D67EB8" w:rsidRPr="00AE1D14">
        <w:rPr>
          <w:i/>
          <w:iCs/>
        </w:rPr>
        <w:t> - </w:t>
      </w:r>
      <w:r w:rsidRPr="00AE1D14">
        <w:rPr>
          <w:i/>
          <w:iCs/>
        </w:rPr>
        <w:t>anwendbar auf die ab dem 1. Januar 2013 gemachten oder getragenen Ausgaben</w:t>
      </w:r>
      <w:r w:rsidR="00FD68E8" w:rsidRPr="00AE1D14">
        <w:rPr>
          <w:i/>
          <w:iCs/>
        </w:rPr>
        <w:t> -,</w:t>
      </w:r>
      <w:r w:rsidRPr="00AE1D14">
        <w:rPr>
          <w:i/>
          <w:iCs/>
        </w:rPr>
        <w:t xml:space="preserve"> </w:t>
      </w:r>
      <w:r w:rsidR="00D67EB8" w:rsidRPr="00AE1D14">
        <w:rPr>
          <w:i/>
          <w:iCs/>
        </w:rPr>
        <w:t>Art. </w:t>
      </w:r>
      <w:r w:rsidRPr="00AE1D14">
        <w:rPr>
          <w:i/>
          <w:iCs/>
        </w:rPr>
        <w:t>43 des G. vom 30. Juli 2013 (B.S. vom 1. August 2013)</w:t>
      </w:r>
      <w:r w:rsidR="00D67EB8" w:rsidRPr="00AE1D14">
        <w:rPr>
          <w:i/>
          <w:iCs/>
        </w:rPr>
        <w:t> - </w:t>
      </w:r>
      <w:r w:rsidRPr="00AE1D14">
        <w:rPr>
          <w:i/>
          <w:iCs/>
        </w:rPr>
        <w:t xml:space="preserve">in Kraft ab dem </w:t>
      </w:r>
      <w:r w:rsidRPr="00AE1D14">
        <w:rPr>
          <w:rFonts w:ascii="Times New Roman Italique" w:hAnsi="Times New Roman Italique"/>
          <w:i/>
          <w:iCs/>
          <w:spacing w:val="-2"/>
        </w:rPr>
        <w:t>Steuerjahr 2014</w:t>
      </w:r>
      <w:r w:rsidR="00FD68E8" w:rsidRPr="00AE1D14">
        <w:rPr>
          <w:rFonts w:ascii="Times New Roman Italique" w:hAnsi="Times New Roman Italique"/>
          <w:i/>
          <w:iCs/>
          <w:spacing w:val="-2"/>
        </w:rPr>
        <w:t> </w:t>
      </w:r>
      <w:r w:rsidR="00FD68E8" w:rsidRPr="00F97624">
        <w:rPr>
          <w:rFonts w:ascii="Times New Roman Italique" w:hAnsi="Times New Roman Italique"/>
          <w:i/>
          <w:iCs/>
          <w:spacing w:val="-2"/>
        </w:rPr>
        <w:t>-</w:t>
      </w:r>
      <w:r w:rsidR="00F97624" w:rsidRPr="00F97624">
        <w:rPr>
          <w:rFonts w:ascii="Times New Roman Italique" w:hAnsi="Times New Roman Italique"/>
          <w:i/>
          <w:iCs/>
          <w:spacing w:val="-2"/>
        </w:rPr>
        <w:t xml:space="preserve">, selbst bedingt für nichtig erklärt durch </w:t>
      </w:r>
      <w:r w:rsidR="00F97624" w:rsidRPr="00F97624">
        <w:rPr>
          <w:i/>
          <w:iCs/>
          <w:spacing w:val="-2"/>
        </w:rPr>
        <w:t>Entscheid Nr. 24/2018 des Verfassungsgerichtshofes vom 1. </w:t>
      </w:r>
      <w:r w:rsidR="00F97624" w:rsidRPr="00531C1E">
        <w:rPr>
          <w:i/>
          <w:iCs/>
          <w:spacing w:val="-2"/>
        </w:rPr>
        <w:t>März 2018 (B.S. vom 28. Mai 2018),</w:t>
      </w:r>
      <w:r w:rsidR="00F97624">
        <w:rPr>
          <w:rFonts w:ascii="Times New Roman Italique" w:hAnsi="Times New Roman Italique"/>
          <w:i/>
          <w:iCs/>
          <w:spacing w:val="-2"/>
        </w:rPr>
        <w:t xml:space="preserve"> und durch</w:t>
      </w:r>
      <w:r w:rsidRPr="00AE1D14">
        <w:rPr>
          <w:rFonts w:ascii="Times New Roman Italique" w:hAnsi="Times New Roman Italique"/>
          <w:i/>
          <w:iCs/>
          <w:spacing w:val="-2"/>
        </w:rPr>
        <w:t xml:space="preserve"> </w:t>
      </w:r>
      <w:r w:rsidR="00D67EB8" w:rsidRPr="00AE1D14">
        <w:rPr>
          <w:rFonts w:ascii="Times New Roman Italique" w:hAnsi="Times New Roman Italique"/>
          <w:i/>
          <w:iCs/>
          <w:spacing w:val="-2"/>
        </w:rPr>
        <w:t>Art. </w:t>
      </w:r>
      <w:r w:rsidRPr="00AE1D14">
        <w:rPr>
          <w:rFonts w:ascii="Times New Roman Italique" w:hAnsi="Times New Roman Italique"/>
          <w:i/>
          <w:iCs/>
          <w:spacing w:val="-2"/>
        </w:rPr>
        <w:t>45 des G. vom 19. Dezember 2014 (B.S. vom 29. Dezember 2014)</w:t>
      </w:r>
      <w:r w:rsidR="00D67EB8" w:rsidRPr="00AE1D14">
        <w:rPr>
          <w:rFonts w:ascii="Times New Roman Italique" w:hAnsi="Times New Roman Italique"/>
          <w:i/>
          <w:iCs/>
          <w:spacing w:val="-2"/>
        </w:rPr>
        <w:t> - </w:t>
      </w:r>
      <w:r w:rsidRPr="00AE1D14">
        <w:rPr>
          <w:rFonts w:ascii="Times New Roman Italique" w:hAnsi="Times New Roman Italique"/>
          <w:i/>
          <w:iCs/>
          <w:spacing w:val="-2"/>
        </w:rPr>
        <w:t>anwendbar ab dem Steuerjahr 2015</w:t>
      </w:r>
      <w:r w:rsidR="00FD68E8" w:rsidRPr="00AE1D14">
        <w:rPr>
          <w:rFonts w:ascii="Times New Roman Italique" w:hAnsi="Times New Roman Italique"/>
          <w:i/>
          <w:iCs/>
          <w:spacing w:val="-2"/>
        </w:rPr>
        <w:t> -,</w:t>
      </w:r>
      <w:r w:rsidRPr="00AE1D14">
        <w:rPr>
          <w:rFonts w:ascii="Times New Roman Italique" w:hAnsi="Times New Roman Italique"/>
          <w:i/>
          <w:iCs/>
          <w:spacing w:val="-2"/>
        </w:rPr>
        <w:t xml:space="preserve"> </w:t>
      </w:r>
      <w:r w:rsidR="00D67EB8" w:rsidRPr="00AE1D14">
        <w:rPr>
          <w:rFonts w:ascii="Times New Roman Italique" w:hAnsi="Times New Roman Italique"/>
          <w:i/>
          <w:iCs/>
          <w:spacing w:val="-2"/>
        </w:rPr>
        <w:t>Art. </w:t>
      </w:r>
      <w:r w:rsidRPr="00AE1D14">
        <w:rPr>
          <w:rFonts w:ascii="Times New Roman Italique" w:hAnsi="Times New Roman Italique"/>
          <w:i/>
          <w:iCs/>
          <w:spacing w:val="-2"/>
        </w:rPr>
        <w:t>46 des G. vom 18. Dezember 2015 (II) (B.S. vom 28. Dezember 2015)</w:t>
      </w:r>
      <w:r w:rsidR="00D67EB8" w:rsidRPr="00AE1D14">
        <w:rPr>
          <w:rFonts w:ascii="Times New Roman Italique" w:hAnsi="Times New Roman Italique"/>
          <w:i/>
          <w:iCs/>
          <w:spacing w:val="-2"/>
        </w:rPr>
        <w:t> - </w:t>
      </w:r>
      <w:r w:rsidRPr="00AE1D14">
        <w:rPr>
          <w:rFonts w:ascii="Times New Roman Italique" w:hAnsi="Times New Roman Italique"/>
          <w:i/>
          <w:iCs/>
          <w:spacing w:val="-2"/>
        </w:rPr>
        <w:t>anwendbar ab dem Steuerjahr 2015</w:t>
      </w:r>
      <w:r w:rsidR="00FD68E8" w:rsidRPr="00AE1D14">
        <w:rPr>
          <w:rFonts w:ascii="Times New Roman Italique" w:hAnsi="Times New Roman Italique"/>
          <w:i/>
          <w:iCs/>
          <w:spacing w:val="-2"/>
        </w:rPr>
        <w:t> -,</w:t>
      </w:r>
      <w:r w:rsidR="007B19C5" w:rsidRPr="00AE1D14">
        <w:rPr>
          <w:rFonts w:ascii="Times New Roman Italique" w:hAnsi="Times New Roman Italique"/>
          <w:i/>
          <w:iCs/>
          <w:spacing w:val="-2"/>
        </w:rPr>
        <w:t xml:space="preserve"> </w:t>
      </w:r>
      <w:r w:rsidR="00D67EB8" w:rsidRPr="00AE1D14">
        <w:rPr>
          <w:rFonts w:ascii="Times New Roman Italique" w:hAnsi="Times New Roman Italique"/>
          <w:i/>
          <w:iCs/>
          <w:spacing w:val="-2"/>
        </w:rPr>
        <w:t>Art. </w:t>
      </w:r>
      <w:r w:rsidRPr="00AE1D14">
        <w:rPr>
          <w:rFonts w:ascii="Times New Roman Italique" w:hAnsi="Times New Roman Italique"/>
          <w:i/>
          <w:iCs/>
          <w:spacing w:val="-2"/>
        </w:rPr>
        <w:t>39</w:t>
      </w:r>
      <w:r w:rsidRPr="00AE1D14">
        <w:rPr>
          <w:i/>
          <w:iCs/>
        </w:rPr>
        <w:t xml:space="preserve"> </w:t>
      </w:r>
      <w:r w:rsidR="00D67EB8" w:rsidRPr="00AE1D14">
        <w:rPr>
          <w:i/>
          <w:iCs/>
        </w:rPr>
        <w:t>Nr. </w:t>
      </w:r>
      <w:r w:rsidRPr="00AE1D14">
        <w:rPr>
          <w:i/>
          <w:iCs/>
        </w:rPr>
        <w:t>1 des G. vom 25. Dezember 2017 (III) (B.S. vom 29. Dezember 2017)</w:t>
      </w:r>
      <w:r w:rsidR="00D67EB8" w:rsidRPr="00AE1D14">
        <w:rPr>
          <w:i/>
          <w:iCs/>
        </w:rPr>
        <w:t> - </w:t>
      </w:r>
      <w:r w:rsidRPr="00AE1D14">
        <w:rPr>
          <w:i/>
          <w:iCs/>
        </w:rPr>
        <w:t>in Kraft am</w:t>
      </w:r>
      <w:r w:rsidRPr="009118AB">
        <w:rPr>
          <w:i/>
          <w:iCs/>
        </w:rPr>
        <w:t xml:space="preserve"> 1. Januar 2018 und anwendbar ab dem Steuerjahr 2019, das sich auf einen Besteuerungszeitraum bezieht, der frühestens am 1. Januar 2018 beginnt</w:t>
      </w:r>
      <w:r w:rsidR="00FD68E8" w:rsidRPr="009118AB">
        <w:rPr>
          <w:i/>
          <w:iCs/>
        </w:rPr>
        <w:t> -,</w:t>
      </w:r>
      <w:r w:rsidR="00B86CA6" w:rsidRPr="009118AB">
        <w:rPr>
          <w:i/>
          <w:iCs/>
        </w:rPr>
        <w:t xml:space="preserve"> </w:t>
      </w:r>
      <w:r w:rsidR="00D67EB8" w:rsidRPr="009118AB">
        <w:rPr>
          <w:i/>
          <w:iCs/>
        </w:rPr>
        <w:t>Art. </w:t>
      </w:r>
      <w:r w:rsidR="00B86CA6" w:rsidRPr="009118AB">
        <w:rPr>
          <w:i/>
          <w:iCs/>
        </w:rPr>
        <w:t xml:space="preserve">39 </w:t>
      </w:r>
      <w:r w:rsidR="00D67EB8" w:rsidRPr="009118AB">
        <w:rPr>
          <w:i/>
          <w:iCs/>
        </w:rPr>
        <w:t>Nr. </w:t>
      </w:r>
      <w:r w:rsidR="00B86CA6" w:rsidRPr="009118AB">
        <w:rPr>
          <w:i/>
          <w:iCs/>
        </w:rPr>
        <w:t>2 des G. vom 25. Dezember 2017 (III) (B.S. vom 29. Dezember 2017)</w:t>
      </w:r>
      <w:r w:rsidR="00D67EB8" w:rsidRPr="009118AB">
        <w:rPr>
          <w:i/>
          <w:iCs/>
        </w:rPr>
        <w:t> - </w:t>
      </w:r>
      <w:r w:rsidR="00B86CA6" w:rsidRPr="009118AB">
        <w:rPr>
          <w:i/>
          <w:iCs/>
        </w:rPr>
        <w:t>in Kraft am 1. Januar 2020 und anwendbar ab dem Steuerjahr 2021, das sich auf einen Besteuerungszeitraum bezieht, der frühestens am 1. Januar 2020 beginnt</w:t>
      </w:r>
      <w:r w:rsidR="00FD68E8" w:rsidRPr="009118AB">
        <w:rPr>
          <w:i/>
          <w:iCs/>
        </w:rPr>
        <w:t> -,</w:t>
      </w:r>
      <w:r w:rsidR="00B86CA6" w:rsidRPr="009118AB">
        <w:rPr>
          <w:i/>
          <w:iCs/>
        </w:rPr>
        <w:t xml:space="preserve"> selbst widerrufen </w:t>
      </w:r>
      <w:r w:rsidR="00B86CA6" w:rsidRPr="009118AB">
        <w:rPr>
          <w:i/>
          <w:iCs/>
        </w:rPr>
        <w:lastRenderedPageBreak/>
        <w:t xml:space="preserve">durch </w:t>
      </w:r>
      <w:r w:rsidR="00D67EB8" w:rsidRPr="009118AB">
        <w:rPr>
          <w:i/>
          <w:iCs/>
        </w:rPr>
        <w:t>Art. </w:t>
      </w:r>
      <w:r w:rsidR="00B86CA6" w:rsidRPr="009118AB">
        <w:rPr>
          <w:i/>
          <w:iCs/>
        </w:rPr>
        <w:t>7 des G. vom 13. April 2019</w:t>
      </w:r>
      <w:r w:rsidR="00A43EA0" w:rsidRPr="009118AB">
        <w:rPr>
          <w:i/>
          <w:iCs/>
        </w:rPr>
        <w:t> (I)</w:t>
      </w:r>
      <w:r w:rsidR="00B86CA6" w:rsidRPr="009118AB">
        <w:rPr>
          <w:i/>
          <w:iCs/>
        </w:rPr>
        <w:t xml:space="preserve"> (B.S. vom 26. April 2019),</w:t>
      </w:r>
      <w:r w:rsidR="007B19C5" w:rsidRPr="009118AB">
        <w:rPr>
          <w:i/>
          <w:iCs/>
        </w:rPr>
        <w:t xml:space="preserve"> </w:t>
      </w:r>
      <w:r w:rsidR="00D67EB8" w:rsidRPr="009118AB">
        <w:rPr>
          <w:i/>
          <w:iCs/>
        </w:rPr>
        <w:t>Art. </w:t>
      </w:r>
      <w:r w:rsidR="007B19C5" w:rsidRPr="009118AB">
        <w:rPr>
          <w:i/>
          <w:iCs/>
        </w:rPr>
        <w:t xml:space="preserve">2 </w:t>
      </w:r>
      <w:r w:rsidR="00D67EB8" w:rsidRPr="009118AB">
        <w:rPr>
          <w:i/>
          <w:iCs/>
        </w:rPr>
        <w:t>Nr. </w:t>
      </w:r>
      <w:r w:rsidR="007B19C5" w:rsidRPr="009118AB">
        <w:rPr>
          <w:i/>
          <w:iCs/>
        </w:rPr>
        <w:t>1 des G. vom 13. April 2019</w:t>
      </w:r>
      <w:r w:rsidR="00A43EA0" w:rsidRPr="009118AB">
        <w:rPr>
          <w:i/>
          <w:iCs/>
        </w:rPr>
        <w:t> (I)</w:t>
      </w:r>
      <w:r w:rsidR="007B19C5" w:rsidRPr="009118AB">
        <w:rPr>
          <w:i/>
          <w:iCs/>
        </w:rPr>
        <w:t xml:space="preserve"> (B.S. vom 26. April 2019)</w:t>
      </w:r>
      <w:r w:rsidR="00D67EB8" w:rsidRPr="009118AB">
        <w:rPr>
          <w:i/>
          <w:iCs/>
        </w:rPr>
        <w:t> - </w:t>
      </w:r>
      <w:r w:rsidR="007B19C5" w:rsidRPr="009118AB">
        <w:rPr>
          <w:i/>
          <w:iCs/>
        </w:rPr>
        <w:t xml:space="preserve">anwendbar </w:t>
      </w:r>
      <w:r w:rsidR="007B19C5" w:rsidRPr="009118AB">
        <w:rPr>
          <w:i/>
        </w:rPr>
        <w:t>ab dem Steuerjahr 2019, das sich auf einen Besteuerungszeitraum bezieht, der frühestens am 1. Januar 2018 beginnt</w:t>
      </w:r>
      <w:r w:rsidR="00D67EB8" w:rsidRPr="009118AB">
        <w:rPr>
          <w:i/>
        </w:rPr>
        <w:t> - </w:t>
      </w:r>
      <w:r w:rsidR="00B86CA6" w:rsidRPr="009118AB">
        <w:rPr>
          <w:i/>
        </w:rPr>
        <w:t xml:space="preserve">und </w:t>
      </w:r>
      <w:r w:rsidR="00D67EB8" w:rsidRPr="009118AB">
        <w:rPr>
          <w:i/>
        </w:rPr>
        <w:t>Art. </w:t>
      </w:r>
      <w:r w:rsidR="00B86CA6" w:rsidRPr="009118AB">
        <w:rPr>
          <w:i/>
        </w:rPr>
        <w:t xml:space="preserve">2 </w:t>
      </w:r>
      <w:r w:rsidR="00D67EB8" w:rsidRPr="009118AB">
        <w:rPr>
          <w:i/>
        </w:rPr>
        <w:t>Nr. </w:t>
      </w:r>
      <w:r w:rsidR="00B86CA6" w:rsidRPr="009118AB">
        <w:rPr>
          <w:i/>
        </w:rPr>
        <w:t>2</w:t>
      </w:r>
      <w:r w:rsidR="00B86CA6" w:rsidRPr="009118AB">
        <w:rPr>
          <w:i/>
          <w:iCs/>
        </w:rPr>
        <w:t xml:space="preserve"> des G. vom 13. April 2019</w:t>
      </w:r>
      <w:r w:rsidR="00A43EA0" w:rsidRPr="009118AB">
        <w:rPr>
          <w:i/>
          <w:iCs/>
        </w:rPr>
        <w:t> (I)</w:t>
      </w:r>
      <w:r w:rsidR="00B86CA6" w:rsidRPr="009118AB">
        <w:rPr>
          <w:i/>
          <w:iCs/>
        </w:rPr>
        <w:t xml:space="preserve"> (B.S. vom 26. April 2019)</w:t>
      </w:r>
      <w:r w:rsidR="00D67EB8" w:rsidRPr="009118AB">
        <w:rPr>
          <w:i/>
          <w:iCs/>
        </w:rPr>
        <w:t> - </w:t>
      </w:r>
      <w:r w:rsidR="00B86CA6" w:rsidRPr="009118AB">
        <w:rPr>
          <w:i/>
          <w:iCs/>
        </w:rPr>
        <w:t>anwendbar ab dem Steuerjahr 2021, das sich auf einen Besteuerungszeitraum bezieht, der frühestens am 1. Januar 2020 beginnt</w:t>
      </w:r>
      <w:r w:rsidR="003366D9" w:rsidRPr="009118AB">
        <w:rPr>
          <w:i/>
        </w:rPr>
        <w:t> -;</w:t>
      </w:r>
      <w:r w:rsidRPr="009118AB">
        <w:rPr>
          <w:bCs/>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2 aufgehoben durch </w:t>
      </w:r>
      <w:r w:rsidR="00D67EB8" w:rsidRPr="009118AB">
        <w:rPr>
          <w:bCs/>
          <w:i/>
          <w:iCs/>
        </w:rPr>
        <w:t>Art. </w:t>
      </w:r>
      <w:r w:rsidRPr="009118AB">
        <w:rPr>
          <w:bCs/>
          <w:i/>
          <w:iCs/>
        </w:rPr>
        <w:t xml:space="preserve">5 </w:t>
      </w:r>
      <w:r w:rsidR="00D67EB8" w:rsidRPr="009118AB">
        <w:rPr>
          <w:bCs/>
          <w:i/>
          <w:iCs/>
        </w:rPr>
        <w:t>Nr. </w:t>
      </w:r>
      <w:r w:rsidRPr="009118AB">
        <w:rPr>
          <w:bCs/>
          <w:i/>
          <w:iCs/>
        </w:rPr>
        <w:t>1 des G. vom 22. Juli 1993 (B.S. vom 26. Juli 1993)</w:t>
      </w:r>
      <w:r w:rsidR="00D67EB8" w:rsidRPr="009118AB">
        <w:rPr>
          <w:bCs/>
          <w:i/>
          <w:iCs/>
        </w:rPr>
        <w:t> - </w:t>
      </w:r>
      <w:r w:rsidRPr="009118AB">
        <w:rPr>
          <w:bCs/>
          <w:i/>
          <w:iCs/>
        </w:rPr>
        <w:t>in Kraft ab dem Steuerjahr 1994</w:t>
      </w:r>
      <w:r w:rsidR="00D67EB8" w:rsidRPr="009118AB">
        <w:rPr>
          <w:bCs/>
          <w:i/>
          <w:iCs/>
        </w:rPr>
        <w:t> - </w:t>
      </w:r>
      <w:r w:rsidRPr="009118AB">
        <w:rPr>
          <w:bCs/>
          <w:i/>
          <w:iCs/>
        </w:rPr>
        <w:t xml:space="preserve">und wieder aufgenommen durch </w:t>
      </w:r>
      <w:r w:rsidR="00D67EB8" w:rsidRPr="009118AB">
        <w:rPr>
          <w:bCs/>
          <w:i/>
          <w:iCs/>
        </w:rPr>
        <w:t>Art. </w:t>
      </w:r>
      <w:r w:rsidRPr="009118AB">
        <w:rPr>
          <w:bCs/>
          <w:i/>
          <w:iCs/>
        </w:rPr>
        <w:t>26 Buchstabe a) des G. vom 22. Mai 2001 (B.S. vom 9. Juni 2001)</w:t>
      </w:r>
      <w:r w:rsidR="00D67EB8" w:rsidRPr="009118AB">
        <w:rPr>
          <w:bCs/>
          <w:i/>
          <w:iCs/>
        </w:rPr>
        <w:t> - </w:t>
      </w:r>
      <w:r w:rsidRPr="009118AB">
        <w:rPr>
          <w:bCs/>
          <w:i/>
          <w:iCs/>
        </w:rPr>
        <w:t>in Kraft ab dem Steuerjahr</w:t>
      </w:r>
      <w:r w:rsidRPr="009118AB">
        <w:rPr>
          <w:rFonts w:hint="eastAsia"/>
          <w:bCs/>
          <w:i/>
          <w:iCs/>
        </w:rPr>
        <w:t> </w:t>
      </w:r>
      <w:r w:rsidRPr="009118AB">
        <w:rPr>
          <w:bCs/>
          <w:i/>
          <w:iCs/>
        </w:rPr>
        <w:t>2002</w:t>
      </w:r>
      <w:r w:rsidR="003366D9" w:rsidRPr="009118AB">
        <w:rPr>
          <w:bCs/>
          <w:i/>
          <w:iCs/>
        </w:rPr>
        <w:t> -;</w:t>
      </w:r>
      <w:r w:rsidRPr="009118AB">
        <w:rPr>
          <w:bCs/>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3 ergänzt durch </w:t>
      </w:r>
      <w:r w:rsidR="00D67EB8" w:rsidRPr="009118AB">
        <w:rPr>
          <w:bCs/>
          <w:i/>
          <w:iCs/>
        </w:rPr>
        <w:t>Art. </w:t>
      </w:r>
      <w:r w:rsidRPr="009118AB">
        <w:rPr>
          <w:bCs/>
          <w:i/>
          <w:iCs/>
        </w:rPr>
        <w:t xml:space="preserve">5 </w:t>
      </w:r>
      <w:r w:rsidR="00D67EB8" w:rsidRPr="009118AB">
        <w:rPr>
          <w:bCs/>
          <w:i/>
          <w:iCs/>
        </w:rPr>
        <w:t>Nr. </w:t>
      </w:r>
      <w:r w:rsidRPr="009118AB">
        <w:rPr>
          <w:bCs/>
          <w:i/>
          <w:iCs/>
        </w:rPr>
        <w:t>2 des G. vom 22. Juli 1993 (B.S. vom 26. Juli 1993)</w:t>
      </w:r>
      <w:r w:rsidR="00D67EB8" w:rsidRPr="009118AB">
        <w:rPr>
          <w:bCs/>
          <w:i/>
          <w:iCs/>
        </w:rPr>
        <w:t> - </w:t>
      </w:r>
      <w:r w:rsidRPr="009118AB">
        <w:rPr>
          <w:bCs/>
          <w:i/>
          <w:iCs/>
        </w:rPr>
        <w:t>in Kraft ab dem Steuerjahr 1994</w:t>
      </w:r>
      <w:r w:rsidR="003366D9" w:rsidRPr="009118AB">
        <w:rPr>
          <w:bCs/>
          <w:i/>
          <w:iCs/>
        </w:rPr>
        <w:t> -;</w:t>
      </w:r>
      <w:r w:rsidRPr="009118AB">
        <w:rPr>
          <w:bCs/>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4 abgeändert durch </w:t>
      </w:r>
      <w:r w:rsidR="00D67EB8" w:rsidRPr="009118AB">
        <w:rPr>
          <w:bCs/>
          <w:i/>
          <w:iCs/>
        </w:rPr>
        <w:t>Art. </w:t>
      </w:r>
      <w:r w:rsidRPr="009118AB">
        <w:rPr>
          <w:bCs/>
          <w:i/>
          <w:iCs/>
        </w:rPr>
        <w:t xml:space="preserve">17 </w:t>
      </w:r>
      <w:r w:rsidR="00D67EB8" w:rsidRPr="009118AB">
        <w:rPr>
          <w:bCs/>
          <w:i/>
          <w:iCs/>
        </w:rPr>
        <w:t>Nr. </w:t>
      </w:r>
      <w:r w:rsidRPr="009118AB">
        <w:rPr>
          <w:bCs/>
          <w:i/>
          <w:iCs/>
        </w:rPr>
        <w:t>1 des G. vom 28. Juli 1992 (B.S. vom 31. Juli 1992)</w:t>
      </w:r>
      <w:r w:rsidR="00D67EB8" w:rsidRPr="009118AB">
        <w:rPr>
          <w:bCs/>
          <w:i/>
          <w:iCs/>
        </w:rPr>
        <w:t> - </w:t>
      </w:r>
      <w:r w:rsidRPr="009118AB">
        <w:rPr>
          <w:bCs/>
          <w:i/>
          <w:iCs/>
        </w:rPr>
        <w:t>in Kraft ab dem Steuerjahr 1993</w:t>
      </w:r>
      <w:r w:rsidR="00D67EB8" w:rsidRPr="009118AB">
        <w:rPr>
          <w:bCs/>
          <w:i/>
          <w:iCs/>
        </w:rPr>
        <w:t> -</w:t>
      </w:r>
      <w:r w:rsidR="006022EA">
        <w:rPr>
          <w:bCs/>
          <w:i/>
          <w:iCs/>
        </w:rPr>
        <w:t xml:space="preserve"> </w:t>
      </w:r>
      <w:r w:rsidRPr="009118AB">
        <w:rPr>
          <w:bCs/>
          <w:i/>
          <w:iCs/>
        </w:rPr>
        <w:t xml:space="preserve">und </w:t>
      </w:r>
      <w:r w:rsidR="00D67EB8" w:rsidRPr="009118AB">
        <w:rPr>
          <w:bCs/>
          <w:i/>
          <w:iCs/>
        </w:rPr>
        <w:t>Art. </w:t>
      </w:r>
      <w:r w:rsidRPr="009118AB">
        <w:rPr>
          <w:bCs/>
          <w:i/>
          <w:iCs/>
        </w:rPr>
        <w:t xml:space="preserve">58 </w:t>
      </w:r>
      <w:r w:rsidR="00D67EB8" w:rsidRPr="009118AB">
        <w:rPr>
          <w:bCs/>
          <w:i/>
          <w:iCs/>
        </w:rPr>
        <w:t>Nr. </w:t>
      </w:r>
      <w:r w:rsidRPr="009118AB">
        <w:rPr>
          <w:bCs/>
          <w:i/>
          <w:iCs/>
        </w:rPr>
        <w:t xml:space="preserve">1 des G. vom 22. Dezember 2009 (I) </w:t>
      </w:r>
      <w:r w:rsidRPr="009118AB">
        <w:rPr>
          <w:rFonts w:ascii="Times New Roman Italique" w:hAnsi="Times New Roman Italique"/>
          <w:bCs/>
          <w:i/>
          <w:iCs/>
          <w:spacing w:val="-2"/>
        </w:rPr>
        <w:t xml:space="preserve">(B.S. vom 31. Dezember 2009); </w:t>
      </w:r>
      <w:r w:rsidR="00D67EB8" w:rsidRPr="009118AB">
        <w:rPr>
          <w:rFonts w:ascii="Times New Roman Italique" w:hAnsi="Times New Roman Italique"/>
          <w:bCs/>
          <w:i/>
          <w:iCs/>
          <w:spacing w:val="-2"/>
        </w:rPr>
        <w:t>§ </w:t>
      </w:r>
      <w:r w:rsidRPr="009118AB">
        <w:rPr>
          <w:rFonts w:ascii="Times New Roman Italique" w:hAnsi="Times New Roman Italique"/>
          <w:bCs/>
          <w:i/>
          <w:iCs/>
          <w:spacing w:val="-2"/>
        </w:rPr>
        <w:t xml:space="preserve">1 einziger Absatz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 xml:space="preserve">5 aufgehoben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 xml:space="preserve">23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1 des G. vom 22. Dezember 1998 (B.S. vom 15. Januar 1999)</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ab dem Steuerjahr 1992</w:t>
      </w:r>
      <w:r w:rsidR="00FD68E8" w:rsidRPr="009118AB">
        <w:rPr>
          <w:rFonts w:ascii="Times New Roman Italique" w:hAnsi="Times New Roman Italique"/>
          <w:bCs/>
          <w:i/>
          <w:iCs/>
          <w:spacing w:val="-2"/>
        </w:rPr>
        <w:t> -,</w:t>
      </w:r>
      <w:r w:rsidRPr="009118AB">
        <w:rPr>
          <w:rFonts w:ascii="Times New Roman Italique" w:hAnsi="Times New Roman Italique"/>
          <w:bCs/>
          <w:i/>
          <w:iCs/>
          <w:spacing w:val="-2"/>
        </w:rPr>
        <w:t xml:space="preserve"> wieder</w:t>
      </w:r>
      <w:r w:rsidRPr="009118AB">
        <w:rPr>
          <w:bCs/>
          <w:i/>
          <w:iCs/>
        </w:rPr>
        <w:t xml:space="preserve"> aufgenommen durch </w:t>
      </w:r>
      <w:r w:rsidR="00D67EB8" w:rsidRPr="009118AB">
        <w:rPr>
          <w:bCs/>
          <w:i/>
          <w:iCs/>
        </w:rPr>
        <w:t>Art. </w:t>
      </w:r>
      <w:r w:rsidRPr="009118AB">
        <w:rPr>
          <w:bCs/>
          <w:i/>
          <w:iCs/>
        </w:rPr>
        <w:t xml:space="preserve">8 </w:t>
      </w:r>
      <w:r w:rsidR="00D67EB8" w:rsidRPr="009118AB">
        <w:rPr>
          <w:bCs/>
          <w:i/>
          <w:iCs/>
        </w:rPr>
        <w:t>Nr. </w:t>
      </w:r>
      <w:r w:rsidRPr="009118AB">
        <w:rPr>
          <w:bCs/>
          <w:i/>
          <w:iCs/>
        </w:rPr>
        <w:t>1 des G. vom 24. Dezember 2002</w:t>
      </w:r>
      <w:r w:rsidR="00F97624">
        <w:rPr>
          <w:bCs/>
          <w:i/>
          <w:iCs/>
        </w:rPr>
        <w:t> </w:t>
      </w:r>
      <w:r w:rsidRPr="009118AB">
        <w:rPr>
          <w:bCs/>
          <w:i/>
          <w:iCs/>
        </w:rPr>
        <w:t>(II) (B.S. vom 31. Dezember 2002)</w:t>
      </w:r>
      <w:r w:rsidR="00D67EB8" w:rsidRPr="009118AB">
        <w:rPr>
          <w:bCs/>
          <w:i/>
          <w:iCs/>
        </w:rPr>
        <w:t> - </w:t>
      </w:r>
      <w:r w:rsidRPr="009118AB">
        <w:rPr>
          <w:bCs/>
          <w:i/>
          <w:iCs/>
        </w:rPr>
        <w:t>in Kraft ab dem Steuerjahr 2004</w:t>
      </w:r>
      <w:r w:rsidR="00D67EB8" w:rsidRPr="009118AB">
        <w:rPr>
          <w:bCs/>
          <w:i/>
          <w:iCs/>
        </w:rPr>
        <w:t> - </w:t>
      </w:r>
      <w:r w:rsidRPr="009118AB">
        <w:rPr>
          <w:bCs/>
          <w:i/>
          <w:iCs/>
        </w:rPr>
        <w:t xml:space="preserve">und abgeändert durch </w:t>
      </w:r>
      <w:r w:rsidR="00D67EB8" w:rsidRPr="009118AB">
        <w:rPr>
          <w:bCs/>
          <w:i/>
          <w:iCs/>
        </w:rPr>
        <w:t>Art. </w:t>
      </w:r>
      <w:r w:rsidRPr="009118AB">
        <w:rPr>
          <w:bCs/>
          <w:i/>
          <w:iCs/>
        </w:rPr>
        <w:t>2 des G. vom 21. Dezember 2013 (I) (B.S. vom 31. Dezember 2013)</w:t>
      </w:r>
      <w:r w:rsidR="00D67EB8" w:rsidRPr="009118AB">
        <w:rPr>
          <w:bCs/>
          <w:i/>
          <w:iCs/>
        </w:rPr>
        <w:t> - </w:t>
      </w:r>
      <w:r w:rsidRPr="009118AB">
        <w:rPr>
          <w:bCs/>
          <w:i/>
          <w:iCs/>
        </w:rPr>
        <w:t>in Kraft am 1. April 2016</w:t>
      </w:r>
      <w:r w:rsidR="003366D9" w:rsidRPr="009118AB">
        <w:rPr>
          <w:bCs/>
          <w:i/>
          <w:iCs/>
        </w:rPr>
        <w:t> -</w:t>
      </w:r>
      <w:r w:rsidR="006022EA">
        <w:rPr>
          <w:bCs/>
          <w:i/>
          <w:iCs/>
        </w:rPr>
        <w:t xml:space="preserve"> und </w:t>
      </w:r>
      <w:r w:rsidR="006022EA" w:rsidRPr="003E131B">
        <w:rPr>
          <w:i/>
          <w:iCs/>
          <w:spacing w:val="-2"/>
        </w:rPr>
        <w:t>Art. </w:t>
      </w:r>
      <w:r w:rsidR="006022EA">
        <w:rPr>
          <w:i/>
          <w:iCs/>
          <w:spacing w:val="-2"/>
        </w:rPr>
        <w:t>52</w:t>
      </w:r>
      <w:r w:rsidR="006022EA" w:rsidRPr="003E131B">
        <w:rPr>
          <w:i/>
          <w:iCs/>
          <w:spacing w:val="-2"/>
        </w:rPr>
        <w:t xml:space="preserve"> des G. vom 28. Dezember 2023 (B.S. vom 29. Dezember </w:t>
      </w:r>
      <w:r w:rsidR="006022EA" w:rsidRPr="00096990">
        <w:rPr>
          <w:i/>
          <w:iCs/>
          <w:spacing w:val="-2"/>
        </w:rPr>
        <w:t>2023) -</w:t>
      </w:r>
      <w:r w:rsidR="006022EA" w:rsidRPr="00096990">
        <w:t> </w:t>
      </w:r>
      <w:r w:rsidR="00096990" w:rsidRPr="00511165">
        <w:rPr>
          <w:i/>
          <w:iCs/>
          <w:spacing w:val="-2"/>
        </w:rPr>
        <w:t>anwendbar</w:t>
      </w:r>
      <w:r w:rsidR="00096990" w:rsidRPr="005D6934">
        <w:rPr>
          <w:i/>
          <w:iCs/>
          <w:spacing w:val="-2"/>
          <w:sz w:val="22"/>
          <w:szCs w:val="22"/>
        </w:rPr>
        <w:t xml:space="preserve"> </w:t>
      </w:r>
      <w:r w:rsidR="00096990" w:rsidRPr="005D6934">
        <w:rPr>
          <w:i/>
          <w:iCs/>
        </w:rPr>
        <w:t xml:space="preserve">auf die ab dem 1. Januar 2024 geschuldeten </w:t>
      </w:r>
      <w:r w:rsidR="00096990" w:rsidRPr="00096990">
        <w:rPr>
          <w:i/>
          <w:iCs/>
        </w:rPr>
        <w:t>Steuern </w:t>
      </w:r>
      <w:r w:rsidR="004553B5">
        <w:rPr>
          <w:i/>
          <w:iCs/>
        </w:rPr>
        <w:t>-</w:t>
      </w:r>
      <w:r w:rsidR="003366D9" w:rsidRPr="00096990">
        <w:rPr>
          <w:bCs/>
          <w:i/>
          <w:iCs/>
        </w:rPr>
        <w:t>;</w:t>
      </w:r>
      <w:r w:rsidRPr="00096990">
        <w:rPr>
          <w:bCs/>
          <w:i/>
          <w:iCs/>
        </w:rPr>
        <w:t xml:space="preserve"> </w:t>
      </w:r>
      <w:r w:rsidR="00D67EB8" w:rsidRPr="00096990">
        <w:rPr>
          <w:bCs/>
          <w:i/>
          <w:iCs/>
        </w:rPr>
        <w:t>§ </w:t>
      </w:r>
      <w:r w:rsidRPr="00096990">
        <w:rPr>
          <w:bCs/>
          <w:i/>
          <w:iCs/>
        </w:rPr>
        <w:t>1 einzig</w:t>
      </w:r>
      <w:r w:rsidRPr="009118AB">
        <w:rPr>
          <w:bCs/>
          <w:i/>
          <w:iCs/>
        </w:rPr>
        <w:t xml:space="preserve">er Absatz </w:t>
      </w:r>
      <w:r w:rsidR="00D67EB8" w:rsidRPr="009118AB">
        <w:rPr>
          <w:bCs/>
          <w:i/>
          <w:iCs/>
        </w:rPr>
        <w:t>Nr. </w:t>
      </w:r>
      <w:r w:rsidRPr="009118AB">
        <w:rPr>
          <w:bCs/>
          <w:i/>
          <w:iCs/>
        </w:rPr>
        <w:t xml:space="preserve">6 aufgehoben durch </w:t>
      </w:r>
      <w:r w:rsidR="00D67EB8" w:rsidRPr="009118AB">
        <w:rPr>
          <w:bCs/>
          <w:i/>
          <w:iCs/>
        </w:rPr>
        <w:t>Art. </w:t>
      </w:r>
      <w:r w:rsidRPr="009118AB">
        <w:rPr>
          <w:bCs/>
          <w:i/>
          <w:iCs/>
        </w:rPr>
        <w:t xml:space="preserve">39 </w:t>
      </w:r>
      <w:r w:rsidR="00D67EB8" w:rsidRPr="009118AB">
        <w:rPr>
          <w:bCs/>
          <w:i/>
          <w:iCs/>
        </w:rPr>
        <w:t>Nr. </w:t>
      </w:r>
      <w:r w:rsidRPr="009118AB">
        <w:rPr>
          <w:bCs/>
          <w:i/>
          <w:iCs/>
        </w:rPr>
        <w:t>3</w:t>
      </w:r>
      <w:r w:rsidRPr="009118AB">
        <w:rPr>
          <w:i/>
          <w:iCs/>
        </w:rPr>
        <w:t xml:space="preserve">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D67EB8" w:rsidRPr="009118AB">
        <w:rPr>
          <w:i/>
          <w:iCs/>
        </w:rPr>
        <w:t> - </w:t>
      </w:r>
      <w:r w:rsidR="00E13F17" w:rsidRPr="009118AB">
        <w:rPr>
          <w:i/>
          <w:iCs/>
        </w:rPr>
        <w:t xml:space="preserve">und wieder aufgenommen durch </w:t>
      </w:r>
      <w:r w:rsidR="00D67EB8" w:rsidRPr="009118AB">
        <w:rPr>
          <w:i/>
          <w:iCs/>
        </w:rPr>
        <w:t>Art. </w:t>
      </w:r>
      <w:r w:rsidR="00E13F17" w:rsidRPr="009118AB">
        <w:rPr>
          <w:i/>
          <w:iCs/>
        </w:rPr>
        <w:t>18 des G. vom 17. Februar 2021</w:t>
      </w:r>
      <w:r w:rsidR="007A716D" w:rsidRPr="009118AB">
        <w:rPr>
          <w:i/>
          <w:iCs/>
        </w:rPr>
        <w:t> (I)</w:t>
      </w:r>
      <w:r w:rsidR="00E13F17" w:rsidRPr="009118AB">
        <w:rPr>
          <w:i/>
          <w:iCs/>
        </w:rPr>
        <w:t xml:space="preserve"> (B.S. vom 25. Februar 2021)</w:t>
      </w:r>
      <w:r w:rsidR="00D67EB8" w:rsidRPr="009118AB">
        <w:rPr>
          <w:i/>
          <w:iCs/>
        </w:rPr>
        <w:t> - </w:t>
      </w:r>
      <w:r w:rsidR="00E13F17" w:rsidRPr="009118AB">
        <w:rPr>
          <w:i/>
          <w:iCs/>
        </w:rPr>
        <w:t>in Kraft am 26. Februar 2021</w:t>
      </w:r>
      <w:r w:rsidR="003366D9" w:rsidRPr="009118AB">
        <w:rPr>
          <w:i/>
          <w:iCs/>
        </w:rPr>
        <w:t> -;</w:t>
      </w:r>
      <w:r w:rsidR="00FF37FD" w:rsidRPr="009118AB">
        <w:rPr>
          <w:i/>
          <w:iCs/>
        </w:rPr>
        <w:t xml:space="preserve"> § 1 einziger Absatz Nr. 6/1 bis 6/3 eingefügt durch Art. 114 </w:t>
      </w:r>
      <w:r w:rsidR="00FF37FD" w:rsidRPr="009118AB">
        <w:rPr>
          <w:bCs/>
          <w:i/>
          <w:iCs/>
        </w:rPr>
        <w:t>des G. vom 26. Dezember 2022</w:t>
      </w:r>
      <w:r w:rsidR="00236038" w:rsidRPr="009118AB">
        <w:rPr>
          <w:bCs/>
          <w:i/>
          <w:iCs/>
        </w:rPr>
        <w:t> (I)</w:t>
      </w:r>
      <w:r w:rsidR="00FF37FD" w:rsidRPr="009118AB">
        <w:rPr>
          <w:bCs/>
          <w:i/>
          <w:iCs/>
        </w:rPr>
        <w:t xml:space="preserve"> (B.S. vom 30. Dezember 2022) - anwendbar </w:t>
      </w:r>
      <w:r w:rsidR="00FF37FD" w:rsidRPr="009118AB">
        <w:rPr>
          <w:i/>
          <w:iCs/>
        </w:rPr>
        <w:t>auf die ab dem 1. Januar 2023 geschuldeten Steuern</w:t>
      </w:r>
      <w:r w:rsidR="00FF37FD" w:rsidRPr="009118AB">
        <w:rPr>
          <w:bCs/>
          <w:i/>
          <w:iCs/>
        </w:rPr>
        <w:t> -</w:t>
      </w:r>
      <w:r w:rsidR="00A476AF">
        <w:rPr>
          <w:bCs/>
          <w:i/>
          <w:iCs/>
        </w:rPr>
        <w:t xml:space="preserve"> und abgeändert durch Art. 44</w:t>
      </w:r>
      <w:r w:rsidR="00A476AF" w:rsidRPr="00A476AF">
        <w:rPr>
          <w:bCs/>
          <w:i/>
          <w:iCs/>
        </w:rPr>
        <w:t xml:space="preserve"> des G. vom 22. Dezember 2023 (II) (B.S. vom 29. Dezember 2023) - anwendbar </w:t>
      </w:r>
      <w:r w:rsidR="00A476AF">
        <w:rPr>
          <w:bCs/>
          <w:i/>
          <w:iCs/>
        </w:rPr>
        <w:t xml:space="preserve">auf die </w:t>
      </w:r>
      <w:r w:rsidR="00A476AF" w:rsidRPr="00A476AF">
        <w:rPr>
          <w:bCs/>
          <w:i/>
          <w:iCs/>
        </w:rPr>
        <w:t xml:space="preserve">ab dem </w:t>
      </w:r>
      <w:r w:rsidR="00A476AF">
        <w:rPr>
          <w:bCs/>
          <w:i/>
          <w:iCs/>
        </w:rPr>
        <w:t>1. Januar </w:t>
      </w:r>
      <w:r w:rsidR="00A476AF" w:rsidRPr="00A476AF">
        <w:rPr>
          <w:bCs/>
          <w:i/>
          <w:iCs/>
        </w:rPr>
        <w:t>2024</w:t>
      </w:r>
      <w:r w:rsidR="00A476AF">
        <w:rPr>
          <w:bCs/>
          <w:i/>
          <w:iCs/>
        </w:rPr>
        <w:t xml:space="preserve"> geschuldeten Steuern</w:t>
      </w:r>
      <w:r w:rsidR="00A476AF" w:rsidRPr="00A476AF">
        <w:rPr>
          <w:bCs/>
          <w:i/>
          <w:iCs/>
        </w:rPr>
        <w:t> -</w:t>
      </w:r>
      <w:r w:rsidR="00FF37FD" w:rsidRPr="009118AB">
        <w:rPr>
          <w:bCs/>
          <w:i/>
          <w:iCs/>
        </w:rPr>
        <w:t>;</w:t>
      </w:r>
      <w:r w:rsidRPr="009118AB">
        <w:rPr>
          <w:bCs/>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7 abgeändert durch </w:t>
      </w:r>
      <w:r w:rsidR="00D67EB8" w:rsidRPr="009118AB">
        <w:rPr>
          <w:bCs/>
          <w:i/>
          <w:iCs/>
        </w:rPr>
        <w:t>Art. </w:t>
      </w:r>
      <w:r w:rsidRPr="009118AB">
        <w:rPr>
          <w:bCs/>
          <w:i/>
          <w:iCs/>
        </w:rPr>
        <w:t>28 des G. vom 6. Juli 1994 (B.S. vom 16. Juli 1994)</w:t>
      </w:r>
      <w:r w:rsidR="00D67EB8" w:rsidRPr="009118AB">
        <w:rPr>
          <w:bCs/>
          <w:i/>
          <w:iCs/>
        </w:rPr>
        <w:t> - </w:t>
      </w:r>
      <w:r w:rsidRPr="009118AB">
        <w:rPr>
          <w:bCs/>
          <w:i/>
          <w:iCs/>
        </w:rPr>
        <w:t>anwendbar ab dem Steuerjahr 1992</w:t>
      </w:r>
      <w:r w:rsidR="00D67EB8" w:rsidRPr="009118AB">
        <w:rPr>
          <w:bCs/>
          <w:i/>
          <w:iCs/>
        </w:rPr>
        <w:t> - </w:t>
      </w:r>
      <w:r w:rsidRPr="009118AB">
        <w:rPr>
          <w:bCs/>
          <w:i/>
          <w:iCs/>
        </w:rPr>
        <w:t xml:space="preserve">und </w:t>
      </w:r>
      <w:r w:rsidR="00D67EB8" w:rsidRPr="009118AB">
        <w:rPr>
          <w:bCs/>
          <w:i/>
          <w:iCs/>
        </w:rPr>
        <w:t>Art. </w:t>
      </w:r>
      <w:r w:rsidRPr="009118AB">
        <w:rPr>
          <w:bCs/>
          <w:i/>
          <w:iCs/>
        </w:rPr>
        <w:t xml:space="preserve">147 </w:t>
      </w:r>
      <w:r w:rsidR="00D67EB8" w:rsidRPr="009118AB">
        <w:rPr>
          <w:bCs/>
          <w:i/>
          <w:iCs/>
        </w:rPr>
        <w:t>Nr. </w:t>
      </w:r>
      <w:r w:rsidRPr="009118AB">
        <w:rPr>
          <w:bCs/>
          <w:i/>
          <w:iCs/>
        </w:rPr>
        <w:t xml:space="preserve">1 </w:t>
      </w:r>
      <w:r w:rsidRPr="009118AB">
        <w:rPr>
          <w:i/>
          <w:iCs/>
        </w:rPr>
        <w:t>des G. (I) vom 29. März 2012 (B.S. vom 6. April 2012)</w:t>
      </w:r>
      <w:r w:rsidR="00D67EB8" w:rsidRPr="009118AB">
        <w:rPr>
          <w:i/>
          <w:iCs/>
        </w:rPr>
        <w:t> - </w:t>
      </w:r>
      <w:r w:rsidRPr="009118AB">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3366D9" w:rsidRPr="009118AB">
        <w:rPr>
          <w:i/>
          <w:iCs/>
        </w:rPr>
        <w:t> -;</w:t>
      </w:r>
      <w:r w:rsidRPr="009118AB">
        <w:rPr>
          <w:bCs/>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8 eingefügt durch </w:t>
      </w:r>
      <w:r w:rsidR="00D67EB8" w:rsidRPr="009118AB">
        <w:rPr>
          <w:bCs/>
          <w:i/>
          <w:iCs/>
        </w:rPr>
        <w:t>Art. </w:t>
      </w:r>
      <w:r w:rsidRPr="009118AB">
        <w:rPr>
          <w:bCs/>
          <w:i/>
          <w:iCs/>
        </w:rPr>
        <w:t xml:space="preserve">17 </w:t>
      </w:r>
      <w:r w:rsidR="00D67EB8" w:rsidRPr="009118AB">
        <w:rPr>
          <w:bCs/>
          <w:i/>
          <w:iCs/>
        </w:rPr>
        <w:t>Nr. </w:t>
      </w:r>
      <w:r w:rsidRPr="009118AB">
        <w:rPr>
          <w:bCs/>
          <w:i/>
          <w:iCs/>
        </w:rPr>
        <w:t>2 des G.</w:t>
      </w:r>
      <w:r w:rsidR="004421E9" w:rsidRPr="009118AB">
        <w:rPr>
          <w:bCs/>
          <w:i/>
          <w:iCs/>
        </w:rPr>
        <w:t xml:space="preserve"> </w:t>
      </w:r>
      <w:r w:rsidRPr="009118AB">
        <w:rPr>
          <w:bCs/>
          <w:i/>
          <w:iCs/>
        </w:rPr>
        <w:t>vom 28. Juli 1992 (B.S.</w:t>
      </w:r>
      <w:r w:rsidR="006246F0" w:rsidRPr="009118AB">
        <w:rPr>
          <w:bCs/>
          <w:i/>
          <w:iCs/>
        </w:rPr>
        <w:t xml:space="preserve"> </w:t>
      </w:r>
      <w:r w:rsidRPr="009118AB">
        <w:rPr>
          <w:bCs/>
          <w:i/>
          <w:iCs/>
        </w:rPr>
        <w:t>vom 31. Juli 1992)</w:t>
      </w:r>
      <w:r w:rsidR="00D67EB8" w:rsidRPr="009118AB">
        <w:rPr>
          <w:bCs/>
          <w:i/>
          <w:iCs/>
        </w:rPr>
        <w:t> - </w:t>
      </w:r>
      <w:r w:rsidRPr="009118AB">
        <w:rPr>
          <w:bCs/>
          <w:i/>
          <w:iCs/>
        </w:rPr>
        <w:t>in Kraft ab dem Steuerjahr 1993</w:t>
      </w:r>
      <w:r w:rsidR="00D67EB8" w:rsidRPr="009118AB">
        <w:rPr>
          <w:bCs/>
          <w:i/>
          <w:iCs/>
        </w:rPr>
        <w:t> - </w:t>
      </w:r>
      <w:r w:rsidRPr="009118AB">
        <w:rPr>
          <w:bCs/>
          <w:i/>
          <w:iCs/>
        </w:rPr>
        <w:t xml:space="preserve">und </w:t>
      </w:r>
      <w:r w:rsidR="00B65CFE" w:rsidRPr="009118AB">
        <w:rPr>
          <w:bCs/>
          <w:i/>
          <w:iCs/>
        </w:rPr>
        <w:t>ersetzt durch Art. 39 Nr. 4 des G. vom 25. Dezember 2017 (B.S. vom 29. Dezember 2017) - in Kraft am 1. Januar 2020 und anwendbar ab dem Steuerjahr 2021, das sich auf einen Besteuerungszeitraum bezieht, der frühestens am 1. Januar 2020 beginnt -</w:t>
      </w:r>
      <w:r w:rsidRPr="009118AB">
        <w:rPr>
          <w:bCs/>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9 eingefügt durch </w:t>
      </w:r>
      <w:r w:rsidR="00D67EB8" w:rsidRPr="009118AB">
        <w:rPr>
          <w:bCs/>
          <w:i/>
          <w:iCs/>
        </w:rPr>
        <w:t>Art. </w:t>
      </w:r>
      <w:r w:rsidRPr="009118AB">
        <w:rPr>
          <w:bCs/>
          <w:i/>
          <w:iCs/>
        </w:rPr>
        <w:t>7 des G. vom 27. Dezember 1993 (B.S. vom 31. Dezember 1993)</w:t>
      </w:r>
      <w:r w:rsidR="00D67EB8" w:rsidRPr="009118AB">
        <w:rPr>
          <w:bCs/>
          <w:i/>
          <w:iCs/>
        </w:rPr>
        <w:t> - </w:t>
      </w:r>
      <w:r w:rsidRPr="009118AB">
        <w:rPr>
          <w:bCs/>
          <w:i/>
          <w:iCs/>
        </w:rPr>
        <w:t>in Kraft ab dem 1. Januar 1994</w:t>
      </w:r>
      <w:r w:rsidR="00FD68E8" w:rsidRPr="009118AB">
        <w:rPr>
          <w:bCs/>
          <w:i/>
          <w:iCs/>
        </w:rPr>
        <w:t> -,</w:t>
      </w:r>
      <w:r w:rsidRPr="009118AB">
        <w:rPr>
          <w:bCs/>
          <w:i/>
          <w:iCs/>
        </w:rPr>
        <w:t xml:space="preserve"> aufgehoben durch </w:t>
      </w:r>
      <w:r w:rsidR="00D67EB8" w:rsidRPr="009118AB">
        <w:rPr>
          <w:bCs/>
          <w:i/>
          <w:iCs/>
        </w:rPr>
        <w:t>Art. </w:t>
      </w:r>
      <w:r w:rsidRPr="009118AB">
        <w:rPr>
          <w:bCs/>
          <w:i/>
          <w:iCs/>
        </w:rPr>
        <w:t xml:space="preserve">58 </w:t>
      </w:r>
      <w:r w:rsidR="00D67EB8" w:rsidRPr="009118AB">
        <w:rPr>
          <w:bCs/>
          <w:i/>
          <w:iCs/>
        </w:rPr>
        <w:t>Nr. </w:t>
      </w:r>
      <w:r w:rsidRPr="009118AB">
        <w:rPr>
          <w:bCs/>
          <w:i/>
          <w:iCs/>
        </w:rPr>
        <w:t>4 des G. vom 22. Dezember 2009</w:t>
      </w:r>
      <w:r w:rsidRPr="009118AB">
        <w:rPr>
          <w:rFonts w:hint="eastAsia"/>
          <w:bCs/>
          <w:i/>
          <w:iCs/>
        </w:rPr>
        <w:t> </w:t>
      </w:r>
      <w:r w:rsidR="0006310D" w:rsidRPr="009118AB">
        <w:rPr>
          <w:bCs/>
          <w:i/>
          <w:iCs/>
        </w:rPr>
        <w:t xml:space="preserve">(I) (B.S. </w:t>
      </w:r>
      <w:r w:rsidRPr="009118AB">
        <w:rPr>
          <w:bCs/>
          <w:i/>
          <w:iCs/>
        </w:rPr>
        <w:t xml:space="preserve">vom 31. Dezember 2009), wieder aufgenommen </w:t>
      </w:r>
      <w:r w:rsidR="0006310D" w:rsidRPr="009118AB">
        <w:rPr>
          <w:i/>
          <w:iCs/>
        </w:rPr>
        <w:t xml:space="preserve">durch </w:t>
      </w:r>
      <w:r w:rsidR="00D67EB8" w:rsidRPr="009118AB">
        <w:rPr>
          <w:i/>
          <w:iCs/>
        </w:rPr>
        <w:t>Art. </w:t>
      </w:r>
      <w:r w:rsidRPr="009118AB">
        <w:rPr>
          <w:i/>
          <w:iCs/>
        </w:rPr>
        <w:t xml:space="preserve">43 </w:t>
      </w:r>
      <w:r w:rsidRPr="009118AB">
        <w:rPr>
          <w:bCs/>
          <w:i/>
          <w:iCs/>
        </w:rPr>
        <w:t>des G. vom 28. Dezember 2011 (B.S. vom 30. Dezember 2011)</w:t>
      </w:r>
      <w:r w:rsidR="00D67EB8" w:rsidRPr="009118AB">
        <w:rPr>
          <w:bCs/>
          <w:i/>
          <w:iCs/>
        </w:rPr>
        <w:t> - </w:t>
      </w:r>
      <w:r w:rsidRPr="009118AB">
        <w:rPr>
          <w:i/>
          <w:iCs/>
        </w:rPr>
        <w:t>anwendbar auf die ab dem 1.</w:t>
      </w:r>
      <w:r w:rsidRPr="009118AB">
        <w:rPr>
          <w:rFonts w:hint="eastAsia"/>
          <w:i/>
          <w:iCs/>
        </w:rPr>
        <w:t> </w:t>
      </w:r>
      <w:r w:rsidRPr="009118AB">
        <w:rPr>
          <w:i/>
          <w:iCs/>
        </w:rPr>
        <w:t>Januar 2012 zuerkannten Vorteile jeglicher Art</w:t>
      </w:r>
      <w:r w:rsidR="00D67EB8" w:rsidRPr="009118AB">
        <w:rPr>
          <w:i/>
          <w:iCs/>
        </w:rPr>
        <w:t> - </w:t>
      </w:r>
      <w:r w:rsidRPr="009118AB">
        <w:rPr>
          <w:i/>
          <w:iCs/>
        </w:rPr>
        <w:t xml:space="preserve">und abgeändert durch </w:t>
      </w:r>
      <w:r w:rsidR="00D67EB8" w:rsidRPr="009118AB">
        <w:rPr>
          <w:i/>
          <w:iCs/>
        </w:rPr>
        <w:t>Art. </w:t>
      </w:r>
      <w:r w:rsidRPr="009118AB">
        <w:rPr>
          <w:rFonts w:hint="eastAsia"/>
          <w:i/>
          <w:iCs/>
        </w:rPr>
        <w:t>4</w:t>
      </w:r>
      <w:r w:rsidRPr="009118AB">
        <w:rPr>
          <w:i/>
          <w:iCs/>
        </w:rPr>
        <w:t xml:space="preserve">5 </w:t>
      </w:r>
      <w:r w:rsidR="00D67EB8" w:rsidRPr="009118AB">
        <w:rPr>
          <w:i/>
          <w:iCs/>
        </w:rPr>
        <w:t>Nr. </w:t>
      </w:r>
      <w:r w:rsidRPr="009118AB">
        <w:rPr>
          <w:rFonts w:hint="eastAsia"/>
          <w:i/>
          <w:iCs/>
        </w:rPr>
        <w:t>2</w:t>
      </w:r>
      <w:r w:rsidRPr="009118AB">
        <w:rPr>
          <w:i/>
          <w:iCs/>
        </w:rPr>
        <w:t xml:space="preserve"> des G. vom 13. Dezember 2012 (B.S. vom 20. Dezember 2012)</w:t>
      </w:r>
      <w:r w:rsidR="00D67EB8" w:rsidRPr="009118AB">
        <w:rPr>
          <w:i/>
          <w:iCs/>
        </w:rPr>
        <w:t> - </w:t>
      </w:r>
      <w:r w:rsidRPr="009118AB">
        <w:rPr>
          <w:i/>
          <w:iCs/>
        </w:rPr>
        <w:t>anwendbar</w:t>
      </w:r>
      <w:r w:rsidRPr="009118AB">
        <w:rPr>
          <w:bCs/>
          <w:i/>
          <w:iCs/>
        </w:rPr>
        <w:t xml:space="preserve"> </w:t>
      </w:r>
      <w:r w:rsidRPr="009118AB">
        <w:rPr>
          <w:i/>
          <w:iCs/>
        </w:rPr>
        <w:t>auf die ab dem 1. Januar 2012 zuerkannten Vorteile jeglicher Art</w:t>
      </w:r>
      <w:r w:rsidR="00FD68E8" w:rsidRPr="009118AB">
        <w:rPr>
          <w:i/>
          <w:iCs/>
        </w:rPr>
        <w:t> -,</w:t>
      </w:r>
      <w:r w:rsidRPr="009118AB">
        <w:rPr>
          <w:bCs/>
          <w:i/>
          <w:iCs/>
        </w:rPr>
        <w:t xml:space="preserve"> </w:t>
      </w:r>
      <w:r w:rsidR="00D67EB8" w:rsidRPr="009118AB">
        <w:rPr>
          <w:bCs/>
          <w:i/>
          <w:iCs/>
        </w:rPr>
        <w:t>Art. </w:t>
      </w:r>
      <w:r w:rsidRPr="009118AB">
        <w:rPr>
          <w:bCs/>
          <w:i/>
          <w:iCs/>
        </w:rPr>
        <w:t>67 Buchstabe a)</w:t>
      </w:r>
      <w:r w:rsidRPr="009118AB">
        <w:rPr>
          <w:i/>
          <w:iCs/>
        </w:rPr>
        <w:t xml:space="preserve"> des G. vom 25. Dezember 2016 (I) (B.S. vom 29. Dezember 2016)</w:t>
      </w:r>
      <w:r w:rsidR="00D67EB8" w:rsidRPr="009118AB">
        <w:rPr>
          <w:i/>
          <w:iCs/>
        </w:rPr>
        <w:t> - </w:t>
      </w:r>
      <w:r w:rsidRPr="009118AB">
        <w:rPr>
          <w:i/>
          <w:iCs/>
        </w:rPr>
        <w:t xml:space="preserve">in Kraft und anwendbar ab dem </w:t>
      </w:r>
      <w:r w:rsidRPr="00F97624">
        <w:rPr>
          <w:i/>
          <w:iCs/>
        </w:rPr>
        <w:t>1. Januar 2017</w:t>
      </w:r>
      <w:r w:rsidR="00D67EB8" w:rsidRPr="00F97624">
        <w:rPr>
          <w:i/>
          <w:iCs/>
        </w:rPr>
        <w:t> - </w:t>
      </w:r>
      <w:r w:rsidR="007B3C5C" w:rsidRPr="00F97624">
        <w:rPr>
          <w:i/>
          <w:iCs/>
        </w:rPr>
        <w:t xml:space="preserve">und </w:t>
      </w:r>
      <w:r w:rsidR="00D67EB8" w:rsidRPr="00F97624">
        <w:rPr>
          <w:i/>
          <w:iCs/>
        </w:rPr>
        <w:t>Art. </w:t>
      </w:r>
      <w:r w:rsidR="007B3C5C" w:rsidRPr="00F97624">
        <w:rPr>
          <w:i/>
          <w:iCs/>
        </w:rPr>
        <w:t>41 des G. vom 21. Januar 2022 (B.S. vom 28. Januar 2022)</w:t>
      </w:r>
      <w:r w:rsidR="00F97624" w:rsidRPr="00F97624">
        <w:rPr>
          <w:i/>
          <w:iCs/>
        </w:rPr>
        <w:t>,</w:t>
      </w:r>
      <w:r w:rsidR="00E611CA" w:rsidRPr="00F97624">
        <w:rPr>
          <w:bCs/>
          <w:i/>
          <w:iCs/>
        </w:rPr>
        <w:t xml:space="preserve"> </w:t>
      </w:r>
      <w:r w:rsidR="00D67EB8" w:rsidRPr="00F97624">
        <w:rPr>
          <w:bCs/>
          <w:i/>
          <w:iCs/>
        </w:rPr>
        <w:t>Art. </w:t>
      </w:r>
      <w:r w:rsidR="00E611CA" w:rsidRPr="00F97624">
        <w:rPr>
          <w:bCs/>
          <w:i/>
          <w:iCs/>
        </w:rPr>
        <w:t xml:space="preserve">29 </w:t>
      </w:r>
      <w:r w:rsidR="00D67EB8" w:rsidRPr="00F97624">
        <w:rPr>
          <w:bCs/>
          <w:i/>
          <w:iCs/>
        </w:rPr>
        <w:t>Nr. </w:t>
      </w:r>
      <w:r w:rsidR="00E611CA" w:rsidRPr="00F97624">
        <w:rPr>
          <w:bCs/>
          <w:i/>
          <w:iCs/>
        </w:rPr>
        <w:t>1</w:t>
      </w:r>
      <w:r w:rsidR="00E611CA" w:rsidRPr="00F97624">
        <w:rPr>
          <w:i/>
        </w:rPr>
        <w:t xml:space="preserve"> des G. vom 30. März 2018 (B.S. vom 7. Mai 2018)</w:t>
      </w:r>
      <w:r w:rsidR="00D67EB8" w:rsidRPr="00F97624">
        <w:rPr>
          <w:i/>
        </w:rPr>
        <w:t> - </w:t>
      </w:r>
      <w:r w:rsidR="00E611CA" w:rsidRPr="00F97624">
        <w:rPr>
          <w:i/>
        </w:rPr>
        <w:t>in</w:t>
      </w:r>
      <w:r w:rsidR="00F97624" w:rsidRPr="00F97624">
        <w:rPr>
          <w:i/>
        </w:rPr>
        <w:t xml:space="preserve"> </w:t>
      </w:r>
      <w:r w:rsidR="00E611CA" w:rsidRPr="00F97624">
        <w:rPr>
          <w:i/>
        </w:rPr>
        <w:t>Kraft</w:t>
      </w:r>
      <w:r w:rsidR="00F97624" w:rsidRPr="00F97624">
        <w:rPr>
          <w:i/>
        </w:rPr>
        <w:t xml:space="preserve"> </w:t>
      </w:r>
      <w:r w:rsidR="00E611CA" w:rsidRPr="00F97624">
        <w:rPr>
          <w:i/>
        </w:rPr>
        <w:t>am 1. Januar 2018</w:t>
      </w:r>
      <w:r w:rsidR="00FD68E8" w:rsidRPr="00F97624">
        <w:rPr>
          <w:i/>
        </w:rPr>
        <w:t> -,</w:t>
      </w:r>
      <w:r w:rsidR="006246F0" w:rsidRPr="00F97624">
        <w:rPr>
          <w:i/>
        </w:rPr>
        <w:t xml:space="preserve"> selbst </w:t>
      </w:r>
      <w:r w:rsidR="006246F0" w:rsidRPr="00F97624">
        <w:rPr>
          <w:i/>
        </w:rPr>
        <w:lastRenderedPageBreak/>
        <w:t>für nichtig erklärt durch</w:t>
      </w:r>
      <w:r w:rsidR="006246F0" w:rsidRPr="00F97624">
        <w:rPr>
          <w:i/>
          <w:iCs/>
        </w:rPr>
        <w:t xml:space="preserve"> Entscheid </w:t>
      </w:r>
      <w:r w:rsidR="00D67EB8" w:rsidRPr="00F97624">
        <w:rPr>
          <w:i/>
          <w:iCs/>
        </w:rPr>
        <w:t>Nr. </w:t>
      </w:r>
      <w:r w:rsidR="006246F0" w:rsidRPr="00F97624">
        <w:rPr>
          <w:i/>
          <w:iCs/>
        </w:rPr>
        <w:t xml:space="preserve">11/2020 des Verfassungsgerichtshofes vom 23. Januar 2020 (B.S. </w:t>
      </w:r>
      <w:r w:rsidR="006246F0" w:rsidRPr="00F97624">
        <w:rPr>
          <w:rFonts w:ascii="Times New Roman Italique" w:hAnsi="Times New Roman Italique"/>
          <w:i/>
          <w:iCs/>
          <w:spacing w:val="-2"/>
        </w:rPr>
        <w:t>vom 24. Februar 2020)</w:t>
      </w:r>
      <w:r w:rsidR="00F97624">
        <w:rPr>
          <w:rFonts w:ascii="Times New Roman Italique" w:hAnsi="Times New Roman Italique"/>
          <w:i/>
          <w:iCs/>
          <w:spacing w:val="-2"/>
        </w:rPr>
        <w:t>,</w:t>
      </w:r>
      <w:r w:rsidR="00F97624" w:rsidRPr="00F97624">
        <w:rPr>
          <w:rFonts w:ascii="Times New Roman Italique" w:hAnsi="Times New Roman Italique"/>
          <w:i/>
          <w:iCs/>
          <w:spacing w:val="-2"/>
        </w:rPr>
        <w:t xml:space="preserve"> und durch Art.</w:t>
      </w:r>
      <w:r w:rsidR="00F97624" w:rsidRPr="00F97624">
        <w:rPr>
          <w:rFonts w:ascii="Times New Roman Italique" w:hAnsi="Times New Roman Italique" w:hint="eastAsia"/>
          <w:i/>
          <w:iCs/>
          <w:spacing w:val="-2"/>
        </w:rPr>
        <w:t> </w:t>
      </w:r>
      <w:r w:rsidR="00F97624" w:rsidRPr="00F97624">
        <w:rPr>
          <w:rFonts w:ascii="Times New Roman Italique" w:hAnsi="Times New Roman Italique"/>
          <w:i/>
          <w:iCs/>
          <w:spacing w:val="-2"/>
        </w:rPr>
        <w:t>41</w:t>
      </w:r>
      <w:r w:rsidR="00F97624" w:rsidRPr="00F97624">
        <w:rPr>
          <w:i/>
          <w:iCs/>
        </w:rPr>
        <w:t xml:space="preserve"> des G. vom 21. Januar 2022 (B.S. vom 28. Januar 2022)</w:t>
      </w:r>
      <w:r w:rsidR="00E611CA" w:rsidRPr="00F97624">
        <w:rPr>
          <w:rFonts w:ascii="Times New Roman Italique" w:hAnsi="Times New Roman Italique"/>
          <w:i/>
          <w:spacing w:val="-2"/>
        </w:rPr>
        <w:t xml:space="preserve">; </w:t>
      </w:r>
      <w:r w:rsidR="00D67EB8" w:rsidRPr="00F97624">
        <w:rPr>
          <w:rFonts w:ascii="Times New Roman Italique" w:hAnsi="Times New Roman Italique"/>
          <w:i/>
          <w:spacing w:val="-2"/>
        </w:rPr>
        <w:t>§ </w:t>
      </w:r>
      <w:r w:rsidR="00E611CA" w:rsidRPr="00F97624">
        <w:rPr>
          <w:rFonts w:ascii="Times New Roman Italique" w:hAnsi="Times New Roman Italique"/>
          <w:i/>
          <w:spacing w:val="-2"/>
        </w:rPr>
        <w:t xml:space="preserve">1 einziger Absatz </w:t>
      </w:r>
      <w:r w:rsidR="00D67EB8" w:rsidRPr="00F97624">
        <w:rPr>
          <w:rFonts w:ascii="Times New Roman Italique" w:hAnsi="Times New Roman Italique"/>
          <w:i/>
          <w:spacing w:val="-2"/>
        </w:rPr>
        <w:t>Nr. </w:t>
      </w:r>
      <w:r w:rsidR="00E611CA" w:rsidRPr="00F97624">
        <w:rPr>
          <w:rFonts w:ascii="Times New Roman Italique" w:hAnsi="Times New Roman Italique"/>
          <w:i/>
          <w:spacing w:val="-2"/>
        </w:rPr>
        <w:t xml:space="preserve">9 </w:t>
      </w:r>
      <w:r w:rsidR="006246F0" w:rsidRPr="00F97624">
        <w:rPr>
          <w:rFonts w:ascii="Times New Roman Italique" w:hAnsi="Times New Roman Italique"/>
          <w:i/>
          <w:spacing w:val="-2"/>
        </w:rPr>
        <w:t xml:space="preserve">früherer </w:t>
      </w:r>
      <w:r w:rsidR="00E611CA" w:rsidRPr="00F97624">
        <w:rPr>
          <w:rFonts w:ascii="Times New Roman Italique" w:hAnsi="Times New Roman Italique"/>
          <w:i/>
          <w:spacing w:val="-2"/>
        </w:rPr>
        <w:t xml:space="preserve">Buchstabe b) eingefügt durch </w:t>
      </w:r>
      <w:r w:rsidR="00D67EB8" w:rsidRPr="00F97624">
        <w:rPr>
          <w:rFonts w:ascii="Times New Roman Italique" w:hAnsi="Times New Roman Italique"/>
          <w:i/>
          <w:spacing w:val="-2"/>
        </w:rPr>
        <w:t>Art. </w:t>
      </w:r>
      <w:r w:rsidR="00E611CA" w:rsidRPr="00F97624">
        <w:rPr>
          <w:rFonts w:ascii="Times New Roman Italique" w:hAnsi="Times New Roman Italique"/>
          <w:i/>
          <w:spacing w:val="-2"/>
        </w:rPr>
        <w:t xml:space="preserve">29 </w:t>
      </w:r>
      <w:r w:rsidR="00D67EB8" w:rsidRPr="00F97624">
        <w:rPr>
          <w:rFonts w:ascii="Times New Roman Italique" w:hAnsi="Times New Roman Italique"/>
          <w:i/>
          <w:spacing w:val="-2"/>
        </w:rPr>
        <w:t>Nr. </w:t>
      </w:r>
      <w:r w:rsidR="00E611CA" w:rsidRPr="00F97624">
        <w:rPr>
          <w:rFonts w:ascii="Times New Roman Italique" w:hAnsi="Times New Roman Italique"/>
          <w:i/>
          <w:spacing w:val="-2"/>
        </w:rPr>
        <w:t>2 des G. vom 30. März 2018 (B.S. vom 7. Mai 2018)</w:t>
      </w:r>
      <w:r w:rsidR="00D67EB8" w:rsidRPr="00F97624">
        <w:rPr>
          <w:rFonts w:ascii="Times New Roman Italique" w:hAnsi="Times New Roman Italique"/>
          <w:i/>
          <w:spacing w:val="-2"/>
        </w:rPr>
        <w:t> - </w:t>
      </w:r>
      <w:r w:rsidR="00E611CA" w:rsidRPr="00F97624">
        <w:rPr>
          <w:rFonts w:ascii="Times New Roman Italique" w:hAnsi="Times New Roman Italique"/>
          <w:i/>
          <w:spacing w:val="-2"/>
        </w:rPr>
        <w:t>in Kraft am 1. Januar 2018</w:t>
      </w:r>
      <w:r w:rsidR="00FD68E8" w:rsidRPr="00F97624">
        <w:rPr>
          <w:rFonts w:ascii="Times New Roman Italique" w:hAnsi="Times New Roman Italique"/>
          <w:i/>
          <w:spacing w:val="-2"/>
        </w:rPr>
        <w:t> -,</w:t>
      </w:r>
      <w:r w:rsidR="006246F0" w:rsidRPr="00F97624">
        <w:rPr>
          <w:i/>
        </w:rPr>
        <w:t xml:space="preserve"> selbst für nichtig erklärt durch</w:t>
      </w:r>
      <w:r w:rsidR="006246F0" w:rsidRPr="00F97624">
        <w:rPr>
          <w:i/>
          <w:iCs/>
        </w:rPr>
        <w:t xml:space="preserve"> Entscheid </w:t>
      </w:r>
      <w:r w:rsidR="00D67EB8" w:rsidRPr="00F97624">
        <w:rPr>
          <w:i/>
          <w:iCs/>
        </w:rPr>
        <w:t>Nr. </w:t>
      </w:r>
      <w:r w:rsidR="006246F0" w:rsidRPr="00F97624">
        <w:rPr>
          <w:i/>
          <w:iCs/>
        </w:rPr>
        <w:t>11/2020 des Verfassungsgerichtshofes vom 23. Januar 2020 (B.S. vom 24. Februar 2020)</w:t>
      </w:r>
      <w:r w:rsidR="00E611CA" w:rsidRPr="00F97624">
        <w:rPr>
          <w:i/>
        </w:rPr>
        <w:t>;</w:t>
      </w:r>
      <w:r w:rsidRPr="00F97624">
        <w:rPr>
          <w:bCs/>
          <w:i/>
          <w:iCs/>
        </w:rPr>
        <w:t xml:space="preserve"> </w:t>
      </w:r>
      <w:r w:rsidR="00D67EB8" w:rsidRPr="00F97624">
        <w:rPr>
          <w:bCs/>
          <w:i/>
          <w:iCs/>
        </w:rPr>
        <w:t>§ </w:t>
      </w:r>
      <w:r w:rsidRPr="00F97624">
        <w:rPr>
          <w:bCs/>
          <w:i/>
          <w:iCs/>
        </w:rPr>
        <w:t xml:space="preserve">1 einziger Absatz </w:t>
      </w:r>
      <w:r w:rsidR="00D67EB8" w:rsidRPr="00F97624">
        <w:rPr>
          <w:bCs/>
          <w:i/>
          <w:iCs/>
        </w:rPr>
        <w:t>Nr. </w:t>
      </w:r>
      <w:r w:rsidRPr="00F97624">
        <w:rPr>
          <w:bCs/>
          <w:i/>
          <w:iCs/>
        </w:rPr>
        <w:t xml:space="preserve">9bis eingefügt durch </w:t>
      </w:r>
      <w:r w:rsidR="00D67EB8" w:rsidRPr="00F97624">
        <w:rPr>
          <w:bCs/>
          <w:i/>
          <w:iCs/>
        </w:rPr>
        <w:t>Art. </w:t>
      </w:r>
      <w:r w:rsidRPr="00F97624">
        <w:rPr>
          <w:bCs/>
          <w:i/>
          <w:iCs/>
        </w:rPr>
        <w:t>67 Buchstabe b)</w:t>
      </w:r>
      <w:r w:rsidRPr="00F97624">
        <w:rPr>
          <w:i/>
          <w:iCs/>
        </w:rPr>
        <w:t xml:space="preserve"> des G. vom 25. Dezember 2016 (I) (B.S. vom 29. Dezember 2016)</w:t>
      </w:r>
      <w:r w:rsidR="00D67EB8" w:rsidRPr="00F97624">
        <w:rPr>
          <w:i/>
          <w:iCs/>
        </w:rPr>
        <w:t> - </w:t>
      </w:r>
      <w:r w:rsidRPr="00F97624">
        <w:rPr>
          <w:i/>
          <w:iCs/>
        </w:rPr>
        <w:t>in Kraft und anwendbar ab dem 1. Januar 2017</w:t>
      </w:r>
      <w:r w:rsidR="00FD68E8" w:rsidRPr="00F97624">
        <w:rPr>
          <w:i/>
          <w:iCs/>
        </w:rPr>
        <w:t> -,</w:t>
      </w:r>
      <w:r w:rsidR="00210047" w:rsidRPr="00F97624">
        <w:rPr>
          <w:i/>
          <w:iCs/>
        </w:rPr>
        <w:t xml:space="preserve"> und abgeändert durch </w:t>
      </w:r>
      <w:r w:rsidR="00D67EB8" w:rsidRPr="00F97624">
        <w:rPr>
          <w:i/>
          <w:iCs/>
        </w:rPr>
        <w:t>Art. </w:t>
      </w:r>
      <w:r w:rsidR="00210047" w:rsidRPr="00F97624">
        <w:rPr>
          <w:i/>
          <w:iCs/>
        </w:rPr>
        <w:t xml:space="preserve">29 </w:t>
      </w:r>
      <w:r w:rsidR="00D67EB8" w:rsidRPr="00F97624">
        <w:rPr>
          <w:i/>
          <w:iCs/>
        </w:rPr>
        <w:t>Nr. </w:t>
      </w:r>
      <w:r w:rsidR="00210047" w:rsidRPr="00F97624">
        <w:rPr>
          <w:i/>
          <w:iCs/>
        </w:rPr>
        <w:t>3</w:t>
      </w:r>
      <w:r w:rsidR="00210047" w:rsidRPr="00F97624">
        <w:rPr>
          <w:i/>
        </w:rPr>
        <w:t xml:space="preserve"> des G. vom 30. März 2018 (B.S. vom 7. Mai 2018)</w:t>
      </w:r>
      <w:r w:rsidR="00D67EB8" w:rsidRPr="00F97624">
        <w:rPr>
          <w:i/>
        </w:rPr>
        <w:t> - </w:t>
      </w:r>
      <w:r w:rsidR="00210047" w:rsidRPr="00F97624">
        <w:rPr>
          <w:i/>
        </w:rPr>
        <w:t>in Kraft am 1. Januar 2018</w:t>
      </w:r>
      <w:r w:rsidR="00FD68E8" w:rsidRPr="00F97624">
        <w:rPr>
          <w:i/>
        </w:rPr>
        <w:t> -,</w:t>
      </w:r>
      <w:r w:rsidR="00210047" w:rsidRPr="00F97624">
        <w:rPr>
          <w:i/>
        </w:rPr>
        <w:t xml:space="preserve"> selbst für nichtig erklärt durch</w:t>
      </w:r>
      <w:r w:rsidR="00210047" w:rsidRPr="00F97624">
        <w:rPr>
          <w:i/>
          <w:iCs/>
        </w:rPr>
        <w:t xml:space="preserve"> Entscheid </w:t>
      </w:r>
      <w:r w:rsidR="00D67EB8" w:rsidRPr="00F97624">
        <w:rPr>
          <w:i/>
          <w:iCs/>
        </w:rPr>
        <w:t>Nr. </w:t>
      </w:r>
      <w:r w:rsidR="00210047" w:rsidRPr="00F97624">
        <w:rPr>
          <w:i/>
          <w:iCs/>
        </w:rPr>
        <w:t>11/2020 des Verfassungsgerichtshofes vom 23. Januar 2020 (B.S. vom 24. Februar 2020), und</w:t>
      </w:r>
      <w:r w:rsidR="007B3C5C" w:rsidRPr="00F97624">
        <w:rPr>
          <w:i/>
          <w:iCs/>
        </w:rPr>
        <w:t xml:space="preserve"> durch </w:t>
      </w:r>
      <w:r w:rsidR="00D67EB8" w:rsidRPr="00F97624">
        <w:rPr>
          <w:i/>
          <w:iCs/>
        </w:rPr>
        <w:t>Art. </w:t>
      </w:r>
      <w:r w:rsidR="007B3C5C" w:rsidRPr="00F97624">
        <w:rPr>
          <w:i/>
          <w:iCs/>
        </w:rPr>
        <w:t>42 des G. vom 21. Januar 2022 (B.S. vom 28. Januar 2022)</w:t>
      </w:r>
      <w:r w:rsidRPr="00F97624">
        <w:rPr>
          <w:i/>
          <w:iCs/>
        </w:rPr>
        <w:t>;</w:t>
      </w:r>
      <w:r w:rsidR="00E611CA" w:rsidRPr="00F97624">
        <w:rPr>
          <w:i/>
        </w:rPr>
        <w:t xml:space="preserve"> </w:t>
      </w:r>
      <w:r w:rsidR="00D67EB8" w:rsidRPr="00F97624">
        <w:rPr>
          <w:i/>
        </w:rPr>
        <w:t>§ </w:t>
      </w:r>
      <w:r w:rsidR="00E611CA" w:rsidRPr="00F97624">
        <w:rPr>
          <w:i/>
        </w:rPr>
        <w:t xml:space="preserve">1 einziger Absatz </w:t>
      </w:r>
      <w:r w:rsidR="00D67EB8" w:rsidRPr="00F97624">
        <w:rPr>
          <w:i/>
        </w:rPr>
        <w:t>Nr. </w:t>
      </w:r>
      <w:r w:rsidR="00E611CA" w:rsidRPr="00F97624">
        <w:rPr>
          <w:i/>
        </w:rPr>
        <w:t xml:space="preserve">9bis </w:t>
      </w:r>
      <w:r w:rsidR="00210047" w:rsidRPr="00F97624">
        <w:rPr>
          <w:i/>
        </w:rPr>
        <w:t xml:space="preserve">früherer </w:t>
      </w:r>
      <w:r w:rsidR="00E611CA" w:rsidRPr="00F97624">
        <w:rPr>
          <w:i/>
        </w:rPr>
        <w:t xml:space="preserve">Buchstabe b) eingefügt durch </w:t>
      </w:r>
      <w:r w:rsidR="00D67EB8" w:rsidRPr="00F97624">
        <w:rPr>
          <w:i/>
        </w:rPr>
        <w:t>Art. </w:t>
      </w:r>
      <w:r w:rsidR="00E611CA" w:rsidRPr="00F97624">
        <w:rPr>
          <w:i/>
        </w:rPr>
        <w:t xml:space="preserve">29 </w:t>
      </w:r>
      <w:r w:rsidR="00D67EB8" w:rsidRPr="00F97624">
        <w:rPr>
          <w:i/>
        </w:rPr>
        <w:t>Nr. </w:t>
      </w:r>
      <w:r w:rsidR="00E611CA" w:rsidRPr="00F97624">
        <w:rPr>
          <w:i/>
        </w:rPr>
        <w:t>4 des G. vom 30. März 2018 (B.S. vom 7. Mai 2018)</w:t>
      </w:r>
      <w:r w:rsidR="00D67EB8" w:rsidRPr="00F97624">
        <w:rPr>
          <w:i/>
        </w:rPr>
        <w:t> - </w:t>
      </w:r>
      <w:r w:rsidR="00E611CA" w:rsidRPr="00F97624">
        <w:rPr>
          <w:i/>
        </w:rPr>
        <w:t>in Kraft am 1. Januar 2018</w:t>
      </w:r>
      <w:r w:rsidR="00FD68E8" w:rsidRPr="00F97624">
        <w:rPr>
          <w:i/>
        </w:rPr>
        <w:t> -,</w:t>
      </w:r>
      <w:r w:rsidR="00210047" w:rsidRPr="00F97624">
        <w:rPr>
          <w:i/>
        </w:rPr>
        <w:t xml:space="preserve"> selbst für nichtig erklärt durch</w:t>
      </w:r>
      <w:r w:rsidR="00210047" w:rsidRPr="00F97624">
        <w:rPr>
          <w:i/>
          <w:iCs/>
        </w:rPr>
        <w:t xml:space="preserve"> Entscheid </w:t>
      </w:r>
      <w:r w:rsidR="00D67EB8" w:rsidRPr="00F97624">
        <w:rPr>
          <w:i/>
          <w:iCs/>
        </w:rPr>
        <w:t>Nr. </w:t>
      </w:r>
      <w:r w:rsidR="00210047" w:rsidRPr="00F97624">
        <w:rPr>
          <w:i/>
          <w:iCs/>
        </w:rPr>
        <w:t>11/2020 des Verfassungsgerichtshofes vom 23. Januar 2020 (B.S. vom 24. Februar 2020)</w:t>
      </w:r>
      <w:r w:rsidR="00E611CA" w:rsidRPr="00F97624">
        <w:rPr>
          <w:i/>
        </w:rPr>
        <w:t>;</w:t>
      </w:r>
      <w:r w:rsidRPr="00F97624">
        <w:rPr>
          <w:i/>
          <w:iCs/>
        </w:rPr>
        <w:t xml:space="preserve"> </w:t>
      </w:r>
      <w:r w:rsidR="00D67EB8" w:rsidRPr="00F97624">
        <w:rPr>
          <w:bCs/>
          <w:i/>
          <w:iCs/>
        </w:rPr>
        <w:t>§ </w:t>
      </w:r>
      <w:r w:rsidRPr="00F97624">
        <w:rPr>
          <w:bCs/>
          <w:i/>
          <w:iCs/>
        </w:rPr>
        <w:t xml:space="preserve">1 einziger Absatz </w:t>
      </w:r>
      <w:r w:rsidR="00D67EB8" w:rsidRPr="00F97624">
        <w:rPr>
          <w:bCs/>
          <w:i/>
          <w:iCs/>
        </w:rPr>
        <w:t>Nr. </w:t>
      </w:r>
      <w:r w:rsidRPr="00F97624">
        <w:rPr>
          <w:bCs/>
          <w:i/>
          <w:iCs/>
        </w:rPr>
        <w:t xml:space="preserve">10 eingefügt durch </w:t>
      </w:r>
      <w:r w:rsidR="00D67EB8" w:rsidRPr="00F97624">
        <w:rPr>
          <w:bCs/>
          <w:i/>
          <w:iCs/>
        </w:rPr>
        <w:t>Art. </w:t>
      </w:r>
      <w:r w:rsidRPr="00F97624">
        <w:rPr>
          <w:bCs/>
          <w:i/>
          <w:iCs/>
        </w:rPr>
        <w:t>11 des</w:t>
      </w:r>
      <w:r w:rsidR="0006310D" w:rsidRPr="00F97624">
        <w:rPr>
          <w:bCs/>
          <w:i/>
          <w:iCs/>
        </w:rPr>
        <w:t xml:space="preserve"> G. vom 20. Dezember 1995 (B.S. </w:t>
      </w:r>
      <w:r w:rsidRPr="00F97624">
        <w:rPr>
          <w:bCs/>
          <w:i/>
          <w:iCs/>
        </w:rPr>
        <w:t xml:space="preserve">vom </w:t>
      </w:r>
      <w:r w:rsidRPr="00F97624">
        <w:rPr>
          <w:rFonts w:ascii="Times New Roman Italique" w:hAnsi="Times New Roman Italique"/>
          <w:bCs/>
          <w:i/>
          <w:iCs/>
          <w:spacing w:val="-2"/>
        </w:rPr>
        <w:t>23. Dezember 1995)</w:t>
      </w:r>
      <w:r w:rsidR="00D67EB8" w:rsidRPr="00F97624">
        <w:rPr>
          <w:rFonts w:ascii="Times New Roman Italique" w:hAnsi="Times New Roman Italique"/>
          <w:bCs/>
          <w:i/>
          <w:iCs/>
          <w:spacing w:val="-2"/>
        </w:rPr>
        <w:t> - </w:t>
      </w:r>
      <w:r w:rsidRPr="00F97624">
        <w:rPr>
          <w:rFonts w:ascii="Times New Roman Italique" w:hAnsi="Times New Roman Italique"/>
          <w:bCs/>
          <w:i/>
          <w:iCs/>
          <w:spacing w:val="-2"/>
        </w:rPr>
        <w:t>in Kraft ab dem Steuerjahr 1996</w:t>
      </w:r>
      <w:r w:rsidR="00FD68E8" w:rsidRPr="00F97624">
        <w:rPr>
          <w:rFonts w:ascii="Times New Roman Italique" w:hAnsi="Times New Roman Italique"/>
          <w:bCs/>
          <w:i/>
          <w:iCs/>
          <w:spacing w:val="-2"/>
        </w:rPr>
        <w:t> -,</w:t>
      </w:r>
      <w:r w:rsidRPr="00F97624">
        <w:rPr>
          <w:rFonts w:ascii="Times New Roman Italique" w:hAnsi="Times New Roman Italique"/>
          <w:bCs/>
          <w:i/>
          <w:iCs/>
          <w:spacing w:val="-2"/>
        </w:rPr>
        <w:t xml:space="preserve"> aufgehoben durch </w:t>
      </w:r>
      <w:r w:rsidR="00D67EB8" w:rsidRPr="00F97624">
        <w:rPr>
          <w:rFonts w:ascii="Times New Roman Italique" w:hAnsi="Times New Roman Italique"/>
          <w:bCs/>
          <w:i/>
          <w:iCs/>
          <w:spacing w:val="-2"/>
        </w:rPr>
        <w:t>Art</w:t>
      </w:r>
      <w:r w:rsidR="00D67EB8" w:rsidRPr="009118AB">
        <w:rPr>
          <w:rFonts w:ascii="Times New Roman Italique" w:hAnsi="Times New Roman Italique"/>
          <w:bCs/>
          <w:i/>
          <w:iCs/>
          <w:spacing w:val="-2"/>
        </w:rPr>
        <w:t>. </w:t>
      </w:r>
      <w:r w:rsidRPr="009118AB">
        <w:rPr>
          <w:rFonts w:ascii="Times New Roman Italique" w:hAnsi="Times New Roman Italique"/>
          <w:bCs/>
          <w:i/>
          <w:iCs/>
          <w:spacing w:val="-2"/>
        </w:rPr>
        <w:t xml:space="preserve">8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2 des G. vom 24. Dezember 2002 (II) (B.S. vom 31. Dezember 2002)</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in Kraft ab dem Steuerjahr 2004</w:t>
      </w:r>
      <w:r w:rsidR="00FD68E8" w:rsidRPr="009118AB">
        <w:rPr>
          <w:rFonts w:ascii="Times New Roman Italique" w:hAnsi="Times New Roman Italique"/>
          <w:bCs/>
          <w:i/>
          <w:iCs/>
          <w:spacing w:val="-2"/>
        </w:rPr>
        <w:t> -,</w:t>
      </w:r>
      <w:r w:rsidRPr="009118AB">
        <w:rPr>
          <w:bCs/>
          <w:i/>
          <w:iCs/>
        </w:rPr>
        <w:t xml:space="preserve"> wieder aufgenommen durch </w:t>
      </w:r>
      <w:r w:rsidR="00D67EB8" w:rsidRPr="009118AB">
        <w:rPr>
          <w:bCs/>
          <w:i/>
          <w:iCs/>
        </w:rPr>
        <w:t>Art. </w:t>
      </w:r>
      <w:r w:rsidRPr="009118AB">
        <w:rPr>
          <w:bCs/>
          <w:i/>
          <w:iCs/>
        </w:rPr>
        <w:t>128 des G. vom 23. Dezember 2009 (B.S. vom 30. Dezember 2009)</w:t>
      </w:r>
      <w:r w:rsidR="00D67EB8" w:rsidRPr="009118AB">
        <w:rPr>
          <w:bCs/>
          <w:i/>
          <w:iCs/>
        </w:rPr>
        <w:t> - </w:t>
      </w:r>
      <w:r w:rsidRPr="009118AB">
        <w:rPr>
          <w:bCs/>
          <w:i/>
          <w:iCs/>
        </w:rPr>
        <w:t>in Kraft ab dem Steuerjahr 2010 für die ab dem 1. Januar 2010 getätigten Zahlungen</w:t>
      </w:r>
      <w:r w:rsidR="00D67EB8" w:rsidRPr="009118AB">
        <w:rPr>
          <w:bCs/>
          <w:i/>
          <w:iCs/>
        </w:rPr>
        <w:t> - </w:t>
      </w:r>
      <w:r w:rsidRPr="009118AB">
        <w:rPr>
          <w:bCs/>
          <w:i/>
          <w:iCs/>
        </w:rPr>
        <w:t xml:space="preserve">und abgeändert durch </w:t>
      </w:r>
      <w:r w:rsidR="00D67EB8" w:rsidRPr="009118AB">
        <w:rPr>
          <w:bCs/>
          <w:i/>
          <w:iCs/>
        </w:rPr>
        <w:t>Art. </w:t>
      </w:r>
      <w:r w:rsidRPr="009118AB">
        <w:rPr>
          <w:bCs/>
          <w:i/>
          <w:iCs/>
        </w:rPr>
        <w:t>21 des G. vom 18. Dezember 2015 (II) (B.S. vom 28. Dezember 2015)</w:t>
      </w:r>
      <w:r w:rsidR="0006310D" w:rsidRPr="009118AB">
        <w:rPr>
          <w:bCs/>
          <w:i/>
          <w:iCs/>
        </w:rPr>
        <w:t xml:space="preserve"> und </w:t>
      </w:r>
      <w:r w:rsidR="00D67EB8" w:rsidRPr="009118AB">
        <w:rPr>
          <w:bCs/>
          <w:i/>
          <w:iCs/>
        </w:rPr>
        <w:t>Art. </w:t>
      </w:r>
      <w:r w:rsidR="0006310D" w:rsidRPr="009118AB">
        <w:rPr>
          <w:bCs/>
          <w:i/>
          <w:iCs/>
        </w:rPr>
        <w:t>91</w:t>
      </w:r>
      <w:r w:rsidR="0006310D" w:rsidRPr="009118AB">
        <w:rPr>
          <w:i/>
          <w:iCs/>
          <w:spacing w:val="2"/>
        </w:rPr>
        <w:t xml:space="preserve"> des G. vom 25. Dezember 2017 (IV) (B.S. vom 29. Dezember 2017)</w:t>
      </w:r>
      <w:r w:rsidR="00D67EB8" w:rsidRPr="009118AB">
        <w:rPr>
          <w:i/>
          <w:iCs/>
          <w:spacing w:val="2"/>
        </w:rPr>
        <w:t> - </w:t>
      </w:r>
      <w:r w:rsidR="0006310D" w:rsidRPr="009118AB">
        <w:rPr>
          <w:i/>
          <w:iCs/>
          <w:spacing w:val="2"/>
        </w:rPr>
        <w:t>in Kraft am 1. Januar 2018</w:t>
      </w:r>
      <w:r w:rsidR="003366D9" w:rsidRPr="009118AB">
        <w:rPr>
          <w:i/>
          <w:iCs/>
          <w:spacing w:val="2"/>
        </w:rPr>
        <w:t> -;</w:t>
      </w:r>
      <w:r w:rsidRPr="009118AB">
        <w:rPr>
          <w:bCs/>
          <w:i/>
          <w:iCs/>
        </w:rPr>
        <w:t xml:space="preserve"> </w:t>
      </w:r>
      <w:r w:rsidR="00D67EB8" w:rsidRPr="009118AB">
        <w:rPr>
          <w:bCs/>
          <w:i/>
          <w:iCs/>
        </w:rPr>
        <w:t>§ </w:t>
      </w:r>
      <w:r w:rsidR="002B016A" w:rsidRPr="009118AB">
        <w:rPr>
          <w:bCs/>
          <w:i/>
          <w:iCs/>
        </w:rPr>
        <w:t xml:space="preserve">1 einziger Absatz </w:t>
      </w:r>
      <w:r w:rsidR="00D67EB8" w:rsidRPr="009118AB">
        <w:rPr>
          <w:bCs/>
          <w:i/>
          <w:iCs/>
        </w:rPr>
        <w:t>Nr. </w:t>
      </w:r>
      <w:r w:rsidR="002B016A" w:rsidRPr="009118AB">
        <w:rPr>
          <w:bCs/>
          <w:i/>
          <w:iCs/>
        </w:rPr>
        <w:t xml:space="preserve">10/1 bis 10/4 eingefügt durch </w:t>
      </w:r>
      <w:r w:rsidR="00D67EB8" w:rsidRPr="009118AB">
        <w:rPr>
          <w:bCs/>
          <w:i/>
          <w:iCs/>
        </w:rPr>
        <w:t>Art. </w:t>
      </w:r>
      <w:r w:rsidR="002B016A" w:rsidRPr="009118AB">
        <w:rPr>
          <w:bCs/>
          <w:i/>
          <w:iCs/>
        </w:rPr>
        <w:t xml:space="preserve">39 </w:t>
      </w:r>
      <w:r w:rsidR="00D67EB8" w:rsidRPr="009118AB">
        <w:rPr>
          <w:bCs/>
          <w:i/>
          <w:iCs/>
        </w:rPr>
        <w:t>Nr. </w:t>
      </w:r>
      <w:r w:rsidR="002B016A" w:rsidRPr="009118AB">
        <w:rPr>
          <w:bCs/>
          <w:i/>
          <w:iCs/>
        </w:rPr>
        <w:t>5</w:t>
      </w:r>
      <w:r w:rsidR="002B016A" w:rsidRPr="009118AB">
        <w:rPr>
          <w:i/>
          <w:iCs/>
        </w:rPr>
        <w:t xml:space="preserve"> des G. vom 25. Dezember 2017 (III) (B.S. vom 29. Dezember 2017)</w:t>
      </w:r>
      <w:r w:rsidR="00D67EB8" w:rsidRPr="009118AB">
        <w:rPr>
          <w:i/>
          <w:iCs/>
        </w:rPr>
        <w:t> - </w:t>
      </w:r>
      <w:r w:rsidR="002B016A" w:rsidRPr="009118AB">
        <w:rPr>
          <w:i/>
          <w:iCs/>
        </w:rPr>
        <w:t>in Kraft am 1. Januar 2019 und anwendbar ab dem Steuerjahr 2020, das sich auf einen Besteuerungszeitraum bezieht, der frühestens am 1. Januar 2019 beginnt</w:t>
      </w:r>
      <w:r w:rsidR="003366D9" w:rsidRPr="009118AB">
        <w:rPr>
          <w:i/>
          <w:iCs/>
        </w:rPr>
        <w:t> -;</w:t>
      </w:r>
      <w:r w:rsidR="002B016A" w:rsidRPr="009118AB">
        <w:rPr>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11 eingefügt durch </w:t>
      </w:r>
      <w:r w:rsidR="00D67EB8" w:rsidRPr="009118AB">
        <w:rPr>
          <w:bCs/>
          <w:i/>
          <w:iCs/>
        </w:rPr>
        <w:t>Art. </w:t>
      </w:r>
      <w:r w:rsidRPr="009118AB">
        <w:rPr>
          <w:bCs/>
          <w:i/>
          <w:iCs/>
        </w:rPr>
        <w:t>24 des K.E.</w:t>
      </w:r>
      <w:r w:rsidR="00F97624">
        <w:rPr>
          <w:bCs/>
          <w:i/>
          <w:iCs/>
        </w:rPr>
        <w:t xml:space="preserve"> </w:t>
      </w:r>
      <w:r w:rsidRPr="009118AB">
        <w:rPr>
          <w:bCs/>
          <w:i/>
          <w:iCs/>
        </w:rPr>
        <w:t>vom 20. Dezember 1996 (B.S. vom 31. Dezember 1996)</w:t>
      </w:r>
      <w:r w:rsidR="00D67EB8" w:rsidRPr="009118AB">
        <w:rPr>
          <w:bCs/>
          <w:i/>
          <w:iCs/>
        </w:rPr>
        <w:t> - </w:t>
      </w:r>
      <w:r w:rsidRPr="009118AB">
        <w:rPr>
          <w:bCs/>
          <w:i/>
          <w:iCs/>
        </w:rPr>
        <w:t>anwendbar auf Einkünfte, die ab dem 1. Januar 1997 zuerkannt oder ausgeschüttet werden</w:t>
      </w:r>
      <w:r w:rsidR="00D67EB8" w:rsidRPr="009118AB">
        <w:rPr>
          <w:bCs/>
          <w:i/>
          <w:iCs/>
        </w:rPr>
        <w:t> - </w:t>
      </w:r>
      <w:r w:rsidRPr="009118AB">
        <w:rPr>
          <w:bCs/>
          <w:i/>
          <w:iCs/>
        </w:rPr>
        <w:t xml:space="preserve">und ersetzt durch </w:t>
      </w:r>
      <w:r w:rsidR="00D67EB8" w:rsidRPr="009118AB">
        <w:rPr>
          <w:bCs/>
          <w:i/>
          <w:iCs/>
        </w:rPr>
        <w:t>Art. </w:t>
      </w:r>
      <w:r w:rsidR="00B95694" w:rsidRPr="009118AB">
        <w:rPr>
          <w:bCs/>
          <w:i/>
          <w:iCs/>
        </w:rPr>
        <w:t xml:space="preserve">39 </w:t>
      </w:r>
      <w:r w:rsidR="00D67EB8" w:rsidRPr="009118AB">
        <w:rPr>
          <w:bCs/>
          <w:i/>
          <w:iCs/>
        </w:rPr>
        <w:t>Nr. </w:t>
      </w:r>
      <w:r w:rsidR="00B95694" w:rsidRPr="009118AB">
        <w:rPr>
          <w:bCs/>
          <w:i/>
          <w:iCs/>
        </w:rPr>
        <w:t>6</w:t>
      </w:r>
      <w:r w:rsidR="00B95694" w:rsidRPr="009118AB">
        <w:rPr>
          <w:i/>
          <w:iCs/>
        </w:rPr>
        <w:t xml:space="preserve"> des G. vom 25. Dezember 2017 (III) (B.S. vom 29. Dezember 2017)</w:t>
      </w:r>
      <w:r w:rsidR="00D67EB8" w:rsidRPr="009118AB">
        <w:rPr>
          <w:i/>
          <w:iCs/>
        </w:rPr>
        <w:t> - </w:t>
      </w:r>
      <w:r w:rsidR="00B95694" w:rsidRPr="009118AB">
        <w:rPr>
          <w:i/>
          <w:iCs/>
        </w:rPr>
        <w:t>in Kraft am 1. Januar 2019 und anwendbar ab dem Steuerjahr 2020, das sich auf einen Besteuerungszeitraum bezieht, der frühestens am 1. Januar 2019 beginnt</w:t>
      </w:r>
      <w:r w:rsidR="003366D9" w:rsidRPr="009118AB">
        <w:rPr>
          <w:i/>
          <w:iCs/>
        </w:rPr>
        <w:t> -;</w:t>
      </w:r>
      <w:r w:rsidRPr="009118AB">
        <w:rPr>
          <w:bCs/>
          <w:i/>
          <w:iCs/>
        </w:rPr>
        <w:t xml:space="preserve"> </w:t>
      </w:r>
      <w:r w:rsidR="00D67EB8" w:rsidRPr="009118AB">
        <w:rPr>
          <w:bCs/>
          <w:i/>
          <w:iCs/>
        </w:rPr>
        <w:t>§ </w:t>
      </w:r>
      <w:r w:rsidR="00B95694" w:rsidRPr="009118AB">
        <w:rPr>
          <w:bCs/>
          <w:i/>
          <w:iCs/>
        </w:rPr>
        <w:t xml:space="preserve">1 einziger Absatz </w:t>
      </w:r>
      <w:r w:rsidR="00D67EB8" w:rsidRPr="009118AB">
        <w:rPr>
          <w:bCs/>
          <w:i/>
          <w:iCs/>
        </w:rPr>
        <w:t>Nr. </w:t>
      </w:r>
      <w:r w:rsidR="00B95694" w:rsidRPr="009118AB">
        <w:rPr>
          <w:bCs/>
          <w:i/>
          <w:iCs/>
        </w:rPr>
        <w:t xml:space="preserve">11/1 eingefügt durch </w:t>
      </w:r>
      <w:r w:rsidR="00D67EB8" w:rsidRPr="009118AB">
        <w:rPr>
          <w:bCs/>
          <w:i/>
          <w:iCs/>
        </w:rPr>
        <w:t>Art. </w:t>
      </w:r>
      <w:r w:rsidR="00B95694" w:rsidRPr="009118AB">
        <w:rPr>
          <w:bCs/>
          <w:i/>
          <w:iCs/>
        </w:rPr>
        <w:t xml:space="preserve">39 </w:t>
      </w:r>
      <w:r w:rsidR="00D67EB8" w:rsidRPr="009118AB">
        <w:rPr>
          <w:bCs/>
          <w:i/>
          <w:iCs/>
        </w:rPr>
        <w:t>Nr. </w:t>
      </w:r>
      <w:r w:rsidR="00B95694" w:rsidRPr="009118AB">
        <w:rPr>
          <w:bCs/>
          <w:i/>
          <w:iCs/>
        </w:rPr>
        <w:t>7</w:t>
      </w:r>
      <w:r w:rsidR="00B95694" w:rsidRPr="009118AB">
        <w:rPr>
          <w:i/>
          <w:iCs/>
        </w:rPr>
        <w:t xml:space="preserve"> des G. vom 25. Dezember 2017 (III) (B.S. vom 29. Dezember 2017)</w:t>
      </w:r>
      <w:r w:rsidR="00D67EB8" w:rsidRPr="009118AB">
        <w:rPr>
          <w:i/>
          <w:iCs/>
        </w:rPr>
        <w:t> - </w:t>
      </w:r>
      <w:r w:rsidR="00B95694" w:rsidRPr="009118AB">
        <w:rPr>
          <w:i/>
          <w:iCs/>
        </w:rPr>
        <w:t>in Kraft am 1. Januar 2019 und anwendbar ab dem Steuerjahr 2020, das sich auf einen Besteuerungszeitraum bezieht, der frühestens am 1. Januar 2019 beginnt</w:t>
      </w:r>
      <w:r w:rsidR="003366D9" w:rsidRPr="009118AB">
        <w:rPr>
          <w:i/>
          <w:iCs/>
        </w:rPr>
        <w:t> -;</w:t>
      </w:r>
      <w:r w:rsidR="00B95694" w:rsidRPr="009118AB">
        <w:rPr>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12 eingefügt durch </w:t>
      </w:r>
      <w:r w:rsidR="00D67EB8" w:rsidRPr="009118AB">
        <w:rPr>
          <w:bCs/>
          <w:i/>
          <w:iCs/>
        </w:rPr>
        <w:t>Art. </w:t>
      </w:r>
      <w:r w:rsidRPr="009118AB">
        <w:rPr>
          <w:bCs/>
          <w:i/>
          <w:iCs/>
        </w:rPr>
        <w:t>26 Buchstabe b) des G. vom 22. Mai 2001 (B.S. vom 9. Juni 2001)</w:t>
      </w:r>
      <w:r w:rsidR="00D67EB8" w:rsidRPr="009118AB">
        <w:rPr>
          <w:bCs/>
          <w:i/>
          <w:iCs/>
        </w:rPr>
        <w:t> - </w:t>
      </w:r>
      <w:r w:rsidRPr="009118AB">
        <w:rPr>
          <w:bCs/>
          <w:i/>
          <w:iCs/>
        </w:rPr>
        <w:t>in Kraft ab dem Steuerjahr</w:t>
      </w:r>
      <w:r w:rsidR="004421E9" w:rsidRPr="009118AB">
        <w:rPr>
          <w:bCs/>
          <w:i/>
          <w:iCs/>
        </w:rPr>
        <w:t> </w:t>
      </w:r>
      <w:r w:rsidRPr="009118AB">
        <w:rPr>
          <w:bCs/>
          <w:i/>
          <w:iCs/>
        </w:rPr>
        <w:t>2002</w:t>
      </w:r>
      <w:r w:rsidR="00D67EB8" w:rsidRPr="009118AB">
        <w:rPr>
          <w:bCs/>
          <w:i/>
          <w:iCs/>
        </w:rPr>
        <w:t> - </w:t>
      </w:r>
      <w:r w:rsidR="008604AB" w:rsidRPr="009118AB">
        <w:rPr>
          <w:bCs/>
          <w:i/>
          <w:iCs/>
        </w:rPr>
        <w:t xml:space="preserve">und abgeändert durch </w:t>
      </w:r>
      <w:r w:rsidR="00D67EB8" w:rsidRPr="009118AB">
        <w:rPr>
          <w:bCs/>
          <w:i/>
          <w:iCs/>
        </w:rPr>
        <w:t>Art. </w:t>
      </w:r>
      <w:r w:rsidR="008604AB" w:rsidRPr="009118AB">
        <w:rPr>
          <w:bCs/>
          <w:i/>
          <w:iCs/>
        </w:rPr>
        <w:t>84</w:t>
      </w:r>
      <w:r w:rsidR="008604AB" w:rsidRPr="009118AB">
        <w:rPr>
          <w:i/>
          <w:iCs/>
          <w:spacing w:val="2"/>
        </w:rPr>
        <w:t xml:space="preserve"> des G. vom 25. Dezember 2017 (IV) (B.S. vom 29. Dezember 2017)</w:t>
      </w:r>
      <w:r w:rsidRPr="009118AB">
        <w:rPr>
          <w:bCs/>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13 eingefügt durch </w:t>
      </w:r>
      <w:r w:rsidR="00D67EB8" w:rsidRPr="009118AB">
        <w:rPr>
          <w:bCs/>
          <w:i/>
          <w:iCs/>
        </w:rPr>
        <w:t>Art. </w:t>
      </w:r>
      <w:r w:rsidRPr="009118AB">
        <w:rPr>
          <w:bCs/>
          <w:i/>
          <w:iCs/>
        </w:rPr>
        <w:t xml:space="preserve">43 </w:t>
      </w:r>
      <w:r w:rsidR="00D67EB8" w:rsidRPr="009118AB">
        <w:rPr>
          <w:bCs/>
          <w:i/>
          <w:iCs/>
        </w:rPr>
        <w:t>Nr. </w:t>
      </w:r>
      <w:r w:rsidRPr="009118AB">
        <w:rPr>
          <w:bCs/>
          <w:i/>
          <w:iCs/>
        </w:rPr>
        <w:t>1 des G. vom 15. Dezember 2004 (B.S. vom 1. Februar 2005)</w:t>
      </w:r>
      <w:r w:rsidR="00D67EB8" w:rsidRPr="009118AB">
        <w:rPr>
          <w:bCs/>
          <w:i/>
          <w:iCs/>
        </w:rPr>
        <w:t> - </w:t>
      </w:r>
      <w:r w:rsidRPr="009118AB">
        <w:rPr>
          <w:bCs/>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118AB">
        <w:rPr>
          <w:bCs/>
          <w:i/>
          <w:iCs/>
        </w:rPr>
        <w:t> -;</w:t>
      </w:r>
      <w:r w:rsidRPr="009118AB">
        <w:rPr>
          <w:bCs/>
          <w:i/>
          <w:iCs/>
        </w:rPr>
        <w:t xml:space="preserve"> </w:t>
      </w:r>
      <w:r w:rsidR="00D67EB8" w:rsidRPr="009118AB">
        <w:rPr>
          <w:bCs/>
          <w:i/>
          <w:iCs/>
        </w:rPr>
        <w:t>§ </w:t>
      </w:r>
      <w:r w:rsidRPr="009118AB">
        <w:rPr>
          <w:bCs/>
          <w:i/>
          <w:iCs/>
        </w:rPr>
        <w:t xml:space="preserve">1 </w:t>
      </w:r>
      <w:r w:rsidRPr="009118AB">
        <w:rPr>
          <w:rFonts w:ascii="Times New Roman Italique" w:hAnsi="Times New Roman Italique"/>
          <w:bCs/>
          <w:i/>
          <w:iCs/>
          <w:spacing w:val="2"/>
        </w:rPr>
        <w:t>einziger Absatz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 xml:space="preserve">14 eingefügt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118 des G. vom 23. Dezember 2005 (B.S. vom 30. Dezember 2005)</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auf die ab dem 1. Januar 2006 notifizierten Prämien und Zuschüsse in dem Maße, wie das Datum der Notifizierung sich frühestens auf den Besteuerungszeitraum bezieht, der an das Steuerjahr 2007 gebunden ist</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 xml:space="preserve">und abgeändert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141 des G. (IV) vom 25. April 2007 (I) (B.S. vom 8. Mai 2007)</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auf die ab</w:t>
      </w:r>
      <w:r w:rsidRPr="009118AB">
        <w:rPr>
          <w:bCs/>
          <w:i/>
          <w:iCs/>
        </w:rPr>
        <w:t xml:space="preserve"> dem 1. Januar 2007 notifizierten Prämien und Zuschüsse in dem Maße, wie das Datum der Notifizierung sich frühestens auf den Besteuerungszeitraum bezieht, der an das Steuerjahr 2008 gebunden ist</w:t>
      </w:r>
      <w:r w:rsidR="003366D9" w:rsidRPr="009118AB">
        <w:rPr>
          <w:bCs/>
          <w:i/>
          <w:iCs/>
        </w:rPr>
        <w:t> -;</w:t>
      </w:r>
      <w:r w:rsidRPr="009118AB">
        <w:rPr>
          <w:bCs/>
          <w:i/>
          <w:iCs/>
        </w:rPr>
        <w:t xml:space="preserve"> </w:t>
      </w:r>
      <w:r w:rsidR="00D67EB8" w:rsidRPr="009118AB">
        <w:rPr>
          <w:bCs/>
          <w:i/>
          <w:iCs/>
        </w:rPr>
        <w:t>§ </w:t>
      </w:r>
      <w:r w:rsidRPr="009118AB">
        <w:rPr>
          <w:bCs/>
          <w:i/>
          <w:iCs/>
        </w:rPr>
        <w:t xml:space="preserve">1 einziger Absatz </w:t>
      </w:r>
      <w:r w:rsidR="00D67EB8" w:rsidRPr="009118AB">
        <w:rPr>
          <w:bCs/>
          <w:i/>
          <w:iCs/>
        </w:rPr>
        <w:t>Nr. </w:t>
      </w:r>
      <w:r w:rsidRPr="009118AB">
        <w:rPr>
          <w:bCs/>
          <w:i/>
          <w:iCs/>
        </w:rPr>
        <w:t xml:space="preserve">15 eingefügt durch </w:t>
      </w:r>
      <w:r w:rsidR="00D67EB8" w:rsidRPr="009118AB">
        <w:rPr>
          <w:bCs/>
          <w:i/>
          <w:iCs/>
        </w:rPr>
        <w:t>Art. </w:t>
      </w:r>
      <w:r w:rsidRPr="009118AB">
        <w:rPr>
          <w:bCs/>
          <w:i/>
          <w:iCs/>
        </w:rPr>
        <w:t xml:space="preserve">14 des G. vom 17. Juni 2013 (B.S. vom </w:t>
      </w:r>
      <w:r w:rsidRPr="009118AB">
        <w:rPr>
          <w:bCs/>
          <w:i/>
          <w:iCs/>
        </w:rPr>
        <w:lastRenderedPageBreak/>
        <w:t>28. Juni 2013)</w:t>
      </w:r>
      <w:r w:rsidR="00D67EB8" w:rsidRPr="009118AB">
        <w:rPr>
          <w:bCs/>
          <w:i/>
          <w:iCs/>
        </w:rPr>
        <w:t> - </w:t>
      </w:r>
      <w:r w:rsidRPr="009118AB">
        <w:rPr>
          <w:bCs/>
          <w:i/>
          <w:iCs/>
        </w:rPr>
        <w:t>anwendbar ab dem Steuerjahr 2014</w:t>
      </w:r>
      <w:r w:rsidR="00FD68E8" w:rsidRPr="009118AB">
        <w:rPr>
          <w:bCs/>
          <w:i/>
          <w:iCs/>
        </w:rPr>
        <w:t> -,</w:t>
      </w:r>
      <w:r w:rsidRPr="009118AB">
        <w:rPr>
          <w:bCs/>
          <w:i/>
          <w:iCs/>
        </w:rPr>
        <w:t xml:space="preserve"> aufgehoben durch </w:t>
      </w:r>
      <w:r w:rsidR="00D67EB8" w:rsidRPr="009118AB">
        <w:rPr>
          <w:bCs/>
          <w:i/>
          <w:iCs/>
        </w:rPr>
        <w:t>Art. </w:t>
      </w:r>
      <w:r w:rsidRPr="009118AB">
        <w:rPr>
          <w:bCs/>
          <w:i/>
          <w:iCs/>
        </w:rPr>
        <w:t>29 des G. vom 19. Dezember 2014 (B.S. vom 29. Dezember 2014)</w:t>
      </w:r>
      <w:r w:rsidR="00D67EB8" w:rsidRPr="009118AB">
        <w:rPr>
          <w:bCs/>
          <w:i/>
          <w:iCs/>
        </w:rPr>
        <w:t> - </w:t>
      </w:r>
      <w:r w:rsidRPr="009118AB">
        <w:rPr>
          <w:bCs/>
          <w:i/>
          <w:iCs/>
        </w:rPr>
        <w:t>in Kraft am 29. Dezember 2014 und anwendbar auf alle Rechtsstreite, die an diesem Datum noch nicht endgültig abgeschlossen sind</w:t>
      </w:r>
      <w:r w:rsidR="00D67EB8" w:rsidRPr="009118AB">
        <w:rPr>
          <w:bCs/>
          <w:i/>
          <w:iCs/>
        </w:rPr>
        <w:t> - </w:t>
      </w:r>
      <w:r w:rsidR="00B95694" w:rsidRPr="009118AB">
        <w:rPr>
          <w:bCs/>
          <w:i/>
          <w:iCs/>
        </w:rPr>
        <w:t xml:space="preserve">und wieder aufgenommen durch </w:t>
      </w:r>
      <w:r w:rsidR="00D67EB8" w:rsidRPr="009118AB">
        <w:rPr>
          <w:bCs/>
          <w:i/>
          <w:iCs/>
        </w:rPr>
        <w:t>Art. </w:t>
      </w:r>
      <w:r w:rsidR="00B95694" w:rsidRPr="009118AB">
        <w:rPr>
          <w:bCs/>
          <w:i/>
          <w:iCs/>
        </w:rPr>
        <w:t xml:space="preserve">39 </w:t>
      </w:r>
      <w:r w:rsidR="00D67EB8" w:rsidRPr="009118AB">
        <w:rPr>
          <w:bCs/>
          <w:i/>
          <w:iCs/>
        </w:rPr>
        <w:t>Nr. </w:t>
      </w:r>
      <w:r w:rsidR="00B95694" w:rsidRPr="009118AB">
        <w:rPr>
          <w:bCs/>
          <w:i/>
          <w:iCs/>
        </w:rPr>
        <w:t>8</w:t>
      </w:r>
      <w:r w:rsidR="00B95694" w:rsidRPr="009118AB">
        <w:rPr>
          <w:i/>
          <w:iCs/>
        </w:rPr>
        <w:t xml:space="preserve"> des G. vom 25. Dezember 2017 (III) (B.S. vom 29. Dezember 2017)</w:t>
      </w:r>
      <w:r w:rsidR="00D67EB8" w:rsidRPr="009118AB">
        <w:rPr>
          <w:i/>
          <w:iCs/>
        </w:rPr>
        <w:t> - </w:t>
      </w:r>
      <w:r w:rsidR="00B95694" w:rsidRPr="009118AB">
        <w:rPr>
          <w:i/>
          <w:iCs/>
        </w:rPr>
        <w:t>in Kraft am 1. Januar 2019 und anwendbar ab dem Steuerjahr 2020, das sich auf einen Besteuerungszeitraum bezieht, der frühestens am 1. Januar 2019 beginnt</w:t>
      </w:r>
      <w:r w:rsidR="003366D9" w:rsidRPr="009118AB">
        <w:rPr>
          <w:i/>
          <w:iCs/>
        </w:rPr>
        <w:t> -;</w:t>
      </w:r>
      <w:r w:rsidRPr="009118AB">
        <w:rPr>
          <w:bCs/>
          <w:i/>
          <w:iCs/>
        </w:rPr>
        <w:t xml:space="preserve"> </w:t>
      </w:r>
      <w:r w:rsidR="00D67EB8" w:rsidRPr="009118AB">
        <w:rPr>
          <w:bCs/>
          <w:i/>
          <w:iCs/>
        </w:rPr>
        <w:t>§ </w:t>
      </w:r>
      <w:r w:rsidR="002B016A" w:rsidRPr="009118AB">
        <w:rPr>
          <w:bCs/>
          <w:i/>
          <w:iCs/>
        </w:rPr>
        <w:t xml:space="preserve">1 einziger Absatz </w:t>
      </w:r>
      <w:r w:rsidR="00D67EB8" w:rsidRPr="009118AB">
        <w:rPr>
          <w:bCs/>
          <w:i/>
          <w:iCs/>
        </w:rPr>
        <w:t>Nr. </w:t>
      </w:r>
      <w:r w:rsidR="00833002" w:rsidRPr="009118AB">
        <w:rPr>
          <w:bCs/>
          <w:i/>
          <w:iCs/>
        </w:rPr>
        <w:t>16 (frühere Nummer</w:t>
      </w:r>
      <w:r w:rsidR="002B016A" w:rsidRPr="009118AB">
        <w:rPr>
          <w:bCs/>
          <w:i/>
          <w:iCs/>
        </w:rPr>
        <w:t> 15/1</w:t>
      </w:r>
      <w:r w:rsidR="00833002" w:rsidRPr="009118AB">
        <w:rPr>
          <w:bCs/>
          <w:i/>
          <w:iCs/>
        </w:rPr>
        <w:t>)</w:t>
      </w:r>
      <w:r w:rsidR="002B016A" w:rsidRPr="009118AB">
        <w:rPr>
          <w:bCs/>
          <w:i/>
          <w:iCs/>
        </w:rPr>
        <w:t xml:space="preserve"> eingefügt durch </w:t>
      </w:r>
      <w:r w:rsidR="00D67EB8" w:rsidRPr="009118AB">
        <w:rPr>
          <w:bCs/>
          <w:i/>
          <w:iCs/>
        </w:rPr>
        <w:t>Art. </w:t>
      </w:r>
      <w:r w:rsidR="002B016A" w:rsidRPr="009118AB">
        <w:rPr>
          <w:bCs/>
          <w:i/>
          <w:iCs/>
        </w:rPr>
        <w:t xml:space="preserve">39 </w:t>
      </w:r>
      <w:r w:rsidR="00D67EB8" w:rsidRPr="009118AB">
        <w:rPr>
          <w:bCs/>
          <w:i/>
          <w:iCs/>
        </w:rPr>
        <w:t>Nr. </w:t>
      </w:r>
      <w:r w:rsidR="002B016A" w:rsidRPr="009118AB">
        <w:rPr>
          <w:bCs/>
          <w:i/>
          <w:iCs/>
        </w:rPr>
        <w:t>9</w:t>
      </w:r>
      <w:r w:rsidR="002B016A" w:rsidRPr="009118AB">
        <w:rPr>
          <w:i/>
          <w:iCs/>
        </w:rPr>
        <w:t xml:space="preserve"> des G. vom 25. Dezember 2017 (III) (B.S. vom 29. Dezember 2017)</w:t>
      </w:r>
      <w:r w:rsidR="00D67EB8" w:rsidRPr="009118AB">
        <w:rPr>
          <w:i/>
          <w:iCs/>
        </w:rPr>
        <w:t> - </w:t>
      </w:r>
      <w:r w:rsidR="002B016A" w:rsidRPr="009118AB">
        <w:rPr>
          <w:i/>
          <w:iCs/>
        </w:rPr>
        <w:t>in Kraft am 1. Januar 2019 und anwendbar ab dem Steuerjahr 2020, das sich auf einen Besteuerungszeitraum bezieht, der frühestens am 1. Januar 2019 beginnt</w:t>
      </w:r>
      <w:r w:rsidR="00FD68E8" w:rsidRPr="009118AB">
        <w:rPr>
          <w:i/>
          <w:iCs/>
        </w:rPr>
        <w:t> -,</w:t>
      </w:r>
      <w:r w:rsidR="00833002" w:rsidRPr="009118AB">
        <w:rPr>
          <w:i/>
          <w:iCs/>
        </w:rPr>
        <w:t xml:space="preserve"> selbst ersetzt durch </w:t>
      </w:r>
      <w:r w:rsidR="00D67EB8" w:rsidRPr="009118AB">
        <w:rPr>
          <w:i/>
          <w:iCs/>
        </w:rPr>
        <w:t>Art. </w:t>
      </w:r>
      <w:r w:rsidR="00833002" w:rsidRPr="009118AB">
        <w:rPr>
          <w:i/>
          <w:iCs/>
        </w:rPr>
        <w:t>28 des G. vom 30. Juli 2018 (I) (B.S. vom 10. August 2018)</w:t>
      </w:r>
      <w:r w:rsidR="002B016A" w:rsidRPr="009118AB">
        <w:rPr>
          <w:i/>
          <w:iCs/>
        </w:rPr>
        <w:t xml:space="preserve">; </w:t>
      </w:r>
      <w:r w:rsidR="00D67EB8" w:rsidRPr="009118AB">
        <w:rPr>
          <w:i/>
          <w:iCs/>
        </w:rPr>
        <w:t>§ </w:t>
      </w:r>
      <w:r w:rsidR="0005312C" w:rsidRPr="009118AB">
        <w:rPr>
          <w:i/>
          <w:iCs/>
        </w:rPr>
        <w:t xml:space="preserve">1 einziger Absatz </w:t>
      </w:r>
      <w:r w:rsidR="00D67EB8" w:rsidRPr="009118AB">
        <w:rPr>
          <w:i/>
          <w:iCs/>
        </w:rPr>
        <w:t>Nr. </w:t>
      </w:r>
      <w:r w:rsidR="0005312C" w:rsidRPr="009118AB">
        <w:rPr>
          <w:i/>
          <w:iCs/>
        </w:rPr>
        <w:t xml:space="preserve">17 eingefügt durch </w:t>
      </w:r>
      <w:r w:rsidR="00D67EB8" w:rsidRPr="009118AB">
        <w:rPr>
          <w:i/>
          <w:iCs/>
        </w:rPr>
        <w:t>Art. </w:t>
      </w:r>
      <w:r w:rsidR="0005312C" w:rsidRPr="009118AB">
        <w:rPr>
          <w:i/>
          <w:iCs/>
        </w:rPr>
        <w:t>5</w:t>
      </w:r>
      <w:r w:rsidR="0005312C" w:rsidRPr="009118AB">
        <w:rPr>
          <w:i/>
        </w:rPr>
        <w:t xml:space="preserve"> des G. vom 27. Dezember 2021 (B.S. vom 31. Dezember 2021)</w:t>
      </w:r>
      <w:r w:rsidR="00D67EB8" w:rsidRPr="009118AB">
        <w:rPr>
          <w:i/>
        </w:rPr>
        <w:t> - </w:t>
      </w:r>
      <w:r w:rsidR="0005312C" w:rsidRPr="009118AB">
        <w:rPr>
          <w:i/>
        </w:rPr>
        <w:t>anwendbar ab dem 1. Januar 2022</w:t>
      </w:r>
      <w:r w:rsidR="003366D9" w:rsidRPr="009118AB">
        <w:rPr>
          <w:i/>
        </w:rPr>
        <w:t> -;</w:t>
      </w:r>
      <w:r w:rsidR="0005312C" w:rsidRPr="009118AB">
        <w:rPr>
          <w:i/>
        </w:rPr>
        <w:t xml:space="preserve"> </w:t>
      </w:r>
      <w:r w:rsidR="00D67EB8" w:rsidRPr="009118AB">
        <w:rPr>
          <w:bCs/>
          <w:i/>
          <w:iCs/>
        </w:rPr>
        <w:t>§ </w:t>
      </w:r>
      <w:r w:rsidRPr="009118AB">
        <w:rPr>
          <w:bCs/>
          <w:i/>
          <w:iCs/>
        </w:rPr>
        <w:t xml:space="preserve">2 (frühere Absätze 2 bis 4) nummeriert durch </w:t>
      </w:r>
      <w:r w:rsidR="00D67EB8" w:rsidRPr="009118AB">
        <w:rPr>
          <w:bCs/>
          <w:i/>
          <w:iCs/>
        </w:rPr>
        <w:t>Art. </w:t>
      </w:r>
      <w:r w:rsidRPr="009118AB">
        <w:rPr>
          <w:bCs/>
          <w:i/>
          <w:iCs/>
        </w:rPr>
        <w:t xml:space="preserve">89 </w:t>
      </w:r>
      <w:r w:rsidR="00D67EB8" w:rsidRPr="009118AB">
        <w:rPr>
          <w:bCs/>
          <w:i/>
          <w:iCs/>
        </w:rPr>
        <w:t>Nr. </w:t>
      </w:r>
      <w:r w:rsidRPr="009118AB">
        <w:rPr>
          <w:bCs/>
          <w:i/>
          <w:iCs/>
        </w:rPr>
        <w:t>3</w:t>
      </w:r>
      <w:r w:rsidRPr="009118AB">
        <w:rPr>
          <w:i/>
          <w:iCs/>
        </w:rPr>
        <w:t xml:space="preserve"> des G. vom 22. Juni 2012 (B.S. vom 28. Juni 2012)</w:t>
      </w:r>
      <w:r w:rsidR="00D67EB8" w:rsidRPr="009118AB">
        <w:rPr>
          <w:i/>
          <w:iCs/>
        </w:rPr>
        <w:t> - </w:t>
      </w:r>
      <w:r w:rsidRPr="009118AB">
        <w:rPr>
          <w:i/>
          <w:iCs/>
        </w:rPr>
        <w:t>in Kraft</w:t>
      </w:r>
      <w:r w:rsidRPr="009118AB">
        <w:rPr>
          <w:bCs/>
          <w:i/>
          <w:iCs/>
        </w:rPr>
        <w:t xml:space="preserve"> </w:t>
      </w:r>
      <w:r w:rsidRPr="009118AB">
        <w:rPr>
          <w:i/>
          <w:iCs/>
        </w:rPr>
        <w:t>am 1. Juli 2012</w:t>
      </w:r>
      <w:r w:rsidR="003366D9" w:rsidRPr="009118AB">
        <w:rPr>
          <w:i/>
          <w:iCs/>
        </w:rPr>
        <w:t> -;</w:t>
      </w:r>
      <w:r w:rsidRPr="009118AB">
        <w:rPr>
          <w:i/>
          <w:iCs/>
        </w:rPr>
        <w:t xml:space="preserve"> </w:t>
      </w:r>
      <w:r w:rsidR="00D67EB8" w:rsidRPr="009118AB">
        <w:rPr>
          <w:bCs/>
          <w:i/>
          <w:iCs/>
        </w:rPr>
        <w:t>§ </w:t>
      </w:r>
      <w:r w:rsidRPr="009118AB">
        <w:rPr>
          <w:bCs/>
          <w:i/>
          <w:iCs/>
        </w:rPr>
        <w:t xml:space="preserve">2 </w:t>
      </w:r>
      <w:r w:rsidR="00D67EB8" w:rsidRPr="009118AB">
        <w:rPr>
          <w:bCs/>
          <w:i/>
          <w:iCs/>
        </w:rPr>
        <w:t>Abs. </w:t>
      </w:r>
      <w:r w:rsidRPr="009118AB">
        <w:rPr>
          <w:bCs/>
          <w:i/>
          <w:iCs/>
        </w:rPr>
        <w:t xml:space="preserve">1 eingefügt durch </w:t>
      </w:r>
      <w:r w:rsidR="00D67EB8" w:rsidRPr="009118AB">
        <w:rPr>
          <w:bCs/>
          <w:i/>
          <w:iCs/>
        </w:rPr>
        <w:t>Art. </w:t>
      </w:r>
      <w:r w:rsidRPr="009118AB">
        <w:rPr>
          <w:bCs/>
          <w:i/>
          <w:iCs/>
        </w:rPr>
        <w:t xml:space="preserve">23 </w:t>
      </w:r>
      <w:r w:rsidR="00D67EB8" w:rsidRPr="009118AB">
        <w:rPr>
          <w:bCs/>
          <w:i/>
          <w:iCs/>
        </w:rPr>
        <w:t>Nr. </w:t>
      </w:r>
      <w:r w:rsidRPr="009118AB">
        <w:rPr>
          <w:bCs/>
          <w:i/>
          <w:iCs/>
        </w:rPr>
        <w:t xml:space="preserve">2 des G. vom 22. Dezember 1998 (B.S. vom </w:t>
      </w:r>
      <w:r w:rsidRPr="009118AB">
        <w:rPr>
          <w:bCs/>
          <w:i/>
          <w:iCs/>
          <w:spacing w:val="2"/>
        </w:rPr>
        <w:t>15. Januar 1999)</w:t>
      </w:r>
      <w:r w:rsidR="00D67EB8" w:rsidRPr="009118AB">
        <w:rPr>
          <w:bCs/>
          <w:i/>
          <w:iCs/>
          <w:spacing w:val="2"/>
        </w:rPr>
        <w:t> - </w:t>
      </w:r>
      <w:r w:rsidRPr="009118AB">
        <w:rPr>
          <w:bCs/>
          <w:i/>
          <w:iCs/>
          <w:spacing w:val="2"/>
        </w:rPr>
        <w:t xml:space="preserve">anwendbar auf Minderwerte auf Aktien oder Anteile, die ab dem 1. Januar 1997 anlässlich der Gesamtverteilung des Gesellschaftsvermögens einer ausgebenden Gesellschaft erlitten werden, insofern die </w:t>
      </w:r>
      <w:r w:rsidRPr="009118AB">
        <w:rPr>
          <w:rFonts w:ascii="Times New Roman Italique" w:hAnsi="Times New Roman Italique"/>
          <w:bCs/>
          <w:i/>
          <w:iCs/>
          <w:spacing w:val="-2"/>
        </w:rPr>
        <w:t xml:space="preserve">betreffende Herabsetzung des </w:t>
      </w:r>
      <w:r w:rsidRPr="009118AB">
        <w:rPr>
          <w:rFonts w:ascii="Times New Roman Italique" w:hAnsi="Times New Roman Italique"/>
          <w:bCs/>
          <w:i/>
          <w:iCs/>
        </w:rPr>
        <w:t>eingezahlten Kapitals frühestens ab dem 24. Juli 1991 durchgeführt worden ist</w:t>
      </w:r>
      <w:r w:rsidR="00D67EB8" w:rsidRPr="009118AB">
        <w:rPr>
          <w:rFonts w:ascii="Times New Roman Italique" w:hAnsi="Times New Roman Italique"/>
          <w:bCs/>
          <w:i/>
          <w:iCs/>
        </w:rPr>
        <w:t> - </w:t>
      </w:r>
      <w:r w:rsidRPr="009118AB">
        <w:rPr>
          <w:rFonts w:ascii="Times New Roman Italique" w:hAnsi="Times New Roman Italique"/>
          <w:bCs/>
          <w:i/>
          <w:iCs/>
        </w:rPr>
        <w:t xml:space="preserve">und abgeändert durch </w:t>
      </w:r>
      <w:r w:rsidR="00D67EB8" w:rsidRPr="009118AB">
        <w:rPr>
          <w:rFonts w:ascii="Times New Roman Italique" w:hAnsi="Times New Roman Italique"/>
          <w:bCs/>
          <w:i/>
          <w:iCs/>
        </w:rPr>
        <w:t>Art. </w:t>
      </w:r>
      <w:r w:rsidRPr="009118AB">
        <w:rPr>
          <w:rFonts w:ascii="Times New Roman Italique" w:hAnsi="Times New Roman Italique"/>
          <w:bCs/>
          <w:i/>
          <w:iCs/>
        </w:rPr>
        <w:t xml:space="preserve">89 </w:t>
      </w:r>
      <w:r w:rsidR="00D67EB8" w:rsidRPr="009118AB">
        <w:rPr>
          <w:rFonts w:ascii="Times New Roman Italique" w:hAnsi="Times New Roman Italique"/>
          <w:bCs/>
          <w:i/>
          <w:iCs/>
        </w:rPr>
        <w:t>Nr. </w:t>
      </w:r>
      <w:r w:rsidRPr="009118AB">
        <w:rPr>
          <w:rFonts w:ascii="Times New Roman Italique" w:hAnsi="Times New Roman Italique"/>
          <w:bCs/>
          <w:i/>
          <w:iCs/>
        </w:rPr>
        <w:t>4</w:t>
      </w:r>
      <w:r w:rsidRPr="009118AB">
        <w:rPr>
          <w:rFonts w:ascii="Times New Roman Italique" w:hAnsi="Times New Roman Italique"/>
          <w:i/>
          <w:iCs/>
        </w:rPr>
        <w:t xml:space="preserve"> des G. vom 22. Juni 2012 (B.S. vom 28. Juni 2012)</w:t>
      </w:r>
      <w:r w:rsidR="00D67EB8" w:rsidRPr="009118AB">
        <w:rPr>
          <w:rFonts w:ascii="Times New Roman Italique" w:hAnsi="Times New Roman Italique"/>
          <w:i/>
          <w:iCs/>
        </w:rPr>
        <w:t> - </w:t>
      </w:r>
      <w:r w:rsidRPr="009118AB">
        <w:rPr>
          <w:rFonts w:ascii="Times New Roman Italique" w:hAnsi="Times New Roman Italique"/>
          <w:i/>
          <w:iCs/>
        </w:rPr>
        <w:t>in Kraft</w:t>
      </w:r>
      <w:r w:rsidRPr="009118AB">
        <w:rPr>
          <w:rFonts w:ascii="Times New Roman Italique" w:hAnsi="Times New Roman Italique"/>
          <w:bCs/>
          <w:i/>
          <w:iCs/>
        </w:rPr>
        <w:t xml:space="preserve"> </w:t>
      </w:r>
      <w:r w:rsidRPr="009118AB">
        <w:rPr>
          <w:rFonts w:ascii="Times New Roman Italique" w:hAnsi="Times New Roman Italique"/>
          <w:i/>
          <w:iCs/>
        </w:rPr>
        <w:t>am 1. Juli 2012</w:t>
      </w:r>
      <w:r w:rsidR="003366D9" w:rsidRPr="009118AB">
        <w:rPr>
          <w:rFonts w:ascii="Times New Roman Italique" w:hAnsi="Times New Roman Italique"/>
          <w:i/>
          <w:iCs/>
        </w:rPr>
        <w:t> </w:t>
      </w:r>
      <w:r w:rsidR="003366D9" w:rsidRPr="009118AB">
        <w:rPr>
          <w:rFonts w:ascii="Times New Roman Italique" w:hAnsi="Times New Roman Italique" w:hint="eastAsia"/>
          <w:i/>
          <w:iCs/>
        </w:rPr>
        <w:t>-;</w:t>
      </w:r>
      <w:r w:rsidRPr="009118AB">
        <w:rPr>
          <w:rFonts w:ascii="Times New Roman Italique" w:hAnsi="Times New Roman Italique"/>
          <w:bCs/>
          <w:i/>
          <w:iCs/>
        </w:rPr>
        <w:t xml:space="preserve"> </w:t>
      </w:r>
      <w:r w:rsidR="00D67EB8" w:rsidRPr="009118AB">
        <w:rPr>
          <w:rFonts w:ascii="Times New Roman Italique" w:hAnsi="Times New Roman Italique"/>
          <w:bCs/>
          <w:i/>
          <w:iCs/>
        </w:rPr>
        <w:t>§ </w:t>
      </w:r>
      <w:r w:rsidRPr="009118AB">
        <w:rPr>
          <w:rFonts w:ascii="Times New Roman Italique" w:hAnsi="Times New Roman Italique"/>
          <w:bCs/>
          <w:i/>
          <w:iCs/>
        </w:rPr>
        <w:t xml:space="preserve">2 früherer Absatz 2 eingefügt durch </w:t>
      </w:r>
      <w:r w:rsidR="00D67EB8" w:rsidRPr="009118AB">
        <w:rPr>
          <w:rFonts w:ascii="Times New Roman Italique" w:hAnsi="Times New Roman Italique"/>
          <w:bCs/>
          <w:i/>
          <w:iCs/>
        </w:rPr>
        <w:t>Art. </w:t>
      </w:r>
      <w:r w:rsidRPr="009118AB">
        <w:rPr>
          <w:rFonts w:ascii="Times New Roman Italique" w:hAnsi="Times New Roman Italique"/>
          <w:bCs/>
          <w:i/>
          <w:iCs/>
        </w:rPr>
        <w:t>11 des G. vom 20. Dezember 1995 (B.S. vom 23. Dezember 1995)</w:t>
      </w:r>
      <w:r w:rsidR="00D67EB8" w:rsidRPr="009118AB">
        <w:rPr>
          <w:rFonts w:ascii="Times New Roman Italique" w:hAnsi="Times New Roman Italique"/>
          <w:bCs/>
          <w:i/>
          <w:iCs/>
        </w:rPr>
        <w:t> - </w:t>
      </w:r>
      <w:r w:rsidRPr="009118AB">
        <w:rPr>
          <w:rFonts w:ascii="Times New Roman Italique" w:hAnsi="Times New Roman Italique"/>
          <w:bCs/>
          <w:i/>
          <w:iCs/>
        </w:rPr>
        <w:t>in Kraft ab dem Steuerjahr</w:t>
      </w:r>
      <w:r w:rsidRPr="009118AB">
        <w:rPr>
          <w:rFonts w:ascii="Times New Roman Italique" w:hAnsi="Times New Roman Italique" w:hint="eastAsia"/>
          <w:bCs/>
          <w:i/>
          <w:iCs/>
        </w:rPr>
        <w:t> </w:t>
      </w:r>
      <w:r w:rsidRPr="009118AB">
        <w:rPr>
          <w:rFonts w:ascii="Times New Roman Italique" w:hAnsi="Times New Roman Italique"/>
          <w:bCs/>
          <w:i/>
          <w:iCs/>
        </w:rPr>
        <w:t>1996</w:t>
      </w:r>
      <w:r w:rsidR="00D67EB8" w:rsidRPr="009118AB">
        <w:rPr>
          <w:rFonts w:ascii="Times New Roman Italique" w:hAnsi="Times New Roman Italique"/>
          <w:bCs/>
          <w:i/>
          <w:iCs/>
        </w:rPr>
        <w:t> - </w:t>
      </w:r>
      <w:r w:rsidRPr="009118AB">
        <w:rPr>
          <w:bCs/>
          <w:i/>
          <w:iCs/>
        </w:rPr>
        <w:t xml:space="preserve">und aufgehoben durch </w:t>
      </w:r>
      <w:r w:rsidR="00D67EB8" w:rsidRPr="009118AB">
        <w:rPr>
          <w:bCs/>
          <w:i/>
          <w:iCs/>
        </w:rPr>
        <w:t>Art. </w:t>
      </w:r>
      <w:r w:rsidRPr="009118AB">
        <w:rPr>
          <w:bCs/>
          <w:i/>
          <w:iCs/>
        </w:rPr>
        <w:t xml:space="preserve">8 </w:t>
      </w:r>
      <w:r w:rsidR="00D67EB8" w:rsidRPr="009118AB">
        <w:rPr>
          <w:bCs/>
          <w:i/>
          <w:iCs/>
        </w:rPr>
        <w:t>Nr. </w:t>
      </w:r>
      <w:r w:rsidRPr="009118AB">
        <w:rPr>
          <w:bCs/>
          <w:i/>
          <w:iCs/>
        </w:rPr>
        <w:t>2 des G. vom 24. Dezember 2002 (II) (B.S. vom 31. Dezember 2002)</w:t>
      </w:r>
      <w:r w:rsidR="00D67EB8" w:rsidRPr="009118AB">
        <w:rPr>
          <w:bCs/>
          <w:i/>
          <w:iCs/>
        </w:rPr>
        <w:t> - </w:t>
      </w:r>
      <w:r w:rsidRPr="009118AB">
        <w:rPr>
          <w:bCs/>
          <w:i/>
          <w:iCs/>
        </w:rPr>
        <w:t>in Kraft ab dem Steuerjahr 2004</w:t>
      </w:r>
      <w:r w:rsidR="003366D9" w:rsidRPr="009118AB">
        <w:rPr>
          <w:bCs/>
          <w:i/>
          <w:iCs/>
        </w:rPr>
        <w:t> -;</w:t>
      </w:r>
      <w:r w:rsidRPr="009118AB">
        <w:rPr>
          <w:bCs/>
          <w:i/>
          <w:iCs/>
        </w:rPr>
        <w:t xml:space="preserve"> </w:t>
      </w:r>
      <w:r w:rsidR="00D67EB8" w:rsidRPr="009118AB">
        <w:rPr>
          <w:bCs/>
          <w:i/>
          <w:iCs/>
        </w:rPr>
        <w:t>§ </w:t>
      </w:r>
      <w:r w:rsidRPr="009118AB">
        <w:rPr>
          <w:bCs/>
          <w:i/>
          <w:iCs/>
        </w:rPr>
        <w:t xml:space="preserve">2 früherer Absatz 3 eingefügt durch </w:t>
      </w:r>
      <w:r w:rsidR="00D67EB8" w:rsidRPr="009118AB">
        <w:rPr>
          <w:bCs/>
          <w:i/>
          <w:iCs/>
        </w:rPr>
        <w:t>Art. </w:t>
      </w:r>
      <w:r w:rsidRPr="009118AB">
        <w:rPr>
          <w:bCs/>
          <w:i/>
          <w:iCs/>
        </w:rPr>
        <w:t>49 des G. vom 10. März 1999 (B.S.</w:t>
      </w:r>
      <w:r w:rsidR="00F97624">
        <w:rPr>
          <w:bCs/>
          <w:i/>
          <w:iCs/>
        </w:rPr>
        <w:t xml:space="preserve"> </w:t>
      </w:r>
      <w:r w:rsidRPr="009118AB">
        <w:rPr>
          <w:bCs/>
          <w:i/>
          <w:iCs/>
        </w:rPr>
        <w:t>vom 14. April 1999)</w:t>
      </w:r>
      <w:r w:rsidR="00D67EB8" w:rsidRPr="009118AB">
        <w:rPr>
          <w:bCs/>
          <w:i/>
          <w:iCs/>
        </w:rPr>
        <w:t> - </w:t>
      </w:r>
      <w:r w:rsidRPr="009118AB">
        <w:rPr>
          <w:bCs/>
          <w:i/>
          <w:iCs/>
        </w:rPr>
        <w:t>in Kraft ab dem Steuerjahr 1999</w:t>
      </w:r>
      <w:r w:rsidR="00D67EB8" w:rsidRPr="009118AB">
        <w:rPr>
          <w:bCs/>
          <w:i/>
          <w:iCs/>
        </w:rPr>
        <w:t> - </w:t>
      </w:r>
      <w:r w:rsidRPr="009118AB">
        <w:rPr>
          <w:bCs/>
          <w:i/>
          <w:iCs/>
        </w:rPr>
        <w:t xml:space="preserve">und aufgehoben durch </w:t>
      </w:r>
      <w:r w:rsidR="00D67EB8" w:rsidRPr="009118AB">
        <w:rPr>
          <w:bCs/>
          <w:i/>
          <w:iCs/>
        </w:rPr>
        <w:t>Art. </w:t>
      </w:r>
      <w:r w:rsidRPr="009118AB">
        <w:rPr>
          <w:bCs/>
          <w:i/>
          <w:iCs/>
        </w:rPr>
        <w:t xml:space="preserve">43 </w:t>
      </w:r>
      <w:r w:rsidR="00D67EB8" w:rsidRPr="009118AB">
        <w:rPr>
          <w:bCs/>
          <w:i/>
          <w:iCs/>
        </w:rPr>
        <w:t>Nr. </w:t>
      </w:r>
      <w:r w:rsidRPr="009118AB">
        <w:rPr>
          <w:bCs/>
          <w:i/>
          <w:iCs/>
        </w:rPr>
        <w:t>2 des G.</w:t>
      </w:r>
      <w:r w:rsidR="00F97624">
        <w:rPr>
          <w:bCs/>
          <w:i/>
          <w:iCs/>
        </w:rPr>
        <w:t xml:space="preserve"> </w:t>
      </w:r>
      <w:r w:rsidRPr="009118AB">
        <w:rPr>
          <w:bCs/>
          <w:i/>
          <w:iCs/>
        </w:rPr>
        <w:t>vom 15. Dezember 2004 (B.S.</w:t>
      </w:r>
      <w:r w:rsidR="00F97624">
        <w:rPr>
          <w:bCs/>
          <w:i/>
          <w:iCs/>
        </w:rPr>
        <w:t xml:space="preserve"> </w:t>
      </w:r>
      <w:r w:rsidRPr="009118AB">
        <w:rPr>
          <w:bCs/>
          <w:i/>
          <w:iCs/>
        </w:rPr>
        <w:t>vom 1. Februar 2005)</w:t>
      </w:r>
      <w:r w:rsidR="00D67EB8" w:rsidRPr="009118AB">
        <w:rPr>
          <w:bCs/>
          <w:i/>
          <w:iCs/>
        </w:rPr>
        <w:t> - </w:t>
      </w:r>
      <w:r w:rsidRPr="009118AB">
        <w:rPr>
          <w:bCs/>
          <w:i/>
          <w:iCs/>
        </w:rPr>
        <w:t>anwendbar auf Aktien- oder Anteilverleihe, die ab dem 1. Februar 2005 abgeschlossen werden</w:t>
      </w:r>
      <w:r w:rsidR="003366D9" w:rsidRPr="009118AB">
        <w:rPr>
          <w:bCs/>
          <w:i/>
          <w:iCs/>
        </w:rPr>
        <w:t> -;</w:t>
      </w:r>
      <w:r w:rsidRPr="009118AB">
        <w:rPr>
          <w:bCs/>
          <w:i/>
          <w:iCs/>
        </w:rPr>
        <w:t xml:space="preserve"> </w:t>
      </w:r>
      <w:r w:rsidR="00D67EB8" w:rsidRPr="009118AB">
        <w:rPr>
          <w:bCs/>
          <w:i/>
          <w:iCs/>
        </w:rPr>
        <w:t>§ </w:t>
      </w:r>
      <w:r w:rsidRPr="009118AB">
        <w:rPr>
          <w:bCs/>
          <w:i/>
          <w:iCs/>
        </w:rPr>
        <w:t xml:space="preserve">2 </w:t>
      </w:r>
      <w:r w:rsidR="00D67EB8" w:rsidRPr="009118AB">
        <w:rPr>
          <w:bCs/>
          <w:i/>
          <w:iCs/>
        </w:rPr>
        <w:t>Abs. </w:t>
      </w:r>
      <w:r w:rsidRPr="009118AB">
        <w:rPr>
          <w:bCs/>
          <w:i/>
          <w:iCs/>
        </w:rPr>
        <w:t xml:space="preserve">2 eingefügt durch </w:t>
      </w:r>
      <w:r w:rsidR="00D67EB8" w:rsidRPr="009118AB">
        <w:rPr>
          <w:bCs/>
          <w:i/>
          <w:iCs/>
        </w:rPr>
        <w:t>Art. </w:t>
      </w:r>
      <w:r w:rsidRPr="009118AB">
        <w:rPr>
          <w:bCs/>
          <w:i/>
          <w:iCs/>
        </w:rPr>
        <w:t xml:space="preserve">147 </w:t>
      </w:r>
      <w:r w:rsidR="00D67EB8" w:rsidRPr="009118AB">
        <w:rPr>
          <w:bCs/>
          <w:i/>
          <w:iCs/>
        </w:rPr>
        <w:t>Nr. </w:t>
      </w:r>
      <w:r w:rsidRPr="009118AB">
        <w:rPr>
          <w:bCs/>
          <w:i/>
          <w:iCs/>
        </w:rPr>
        <w:t xml:space="preserve">3 </w:t>
      </w:r>
      <w:r w:rsidRPr="009118AB">
        <w:rPr>
          <w:i/>
          <w:iCs/>
        </w:rPr>
        <w:t>des G.</w:t>
      </w:r>
      <w:r w:rsidR="00F97624">
        <w:rPr>
          <w:i/>
          <w:iCs/>
        </w:rPr>
        <w:t> </w:t>
      </w:r>
      <w:r w:rsidRPr="009118AB">
        <w:rPr>
          <w:i/>
          <w:iCs/>
        </w:rPr>
        <w:t>(I) vom 29. März 2012 (B.S. vom 6. April 2012)</w:t>
      </w:r>
      <w:r w:rsidR="00D67EB8" w:rsidRPr="009118AB">
        <w:rPr>
          <w:i/>
          <w:iCs/>
        </w:rPr>
        <w:t> - </w:t>
      </w:r>
      <w:r w:rsidRPr="009118AB">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118AB">
        <w:rPr>
          <w:i/>
          <w:iCs/>
        </w:rPr>
        <w:t> - </w:t>
      </w:r>
      <w:r w:rsidRPr="009118AB">
        <w:rPr>
          <w:i/>
          <w:iCs/>
        </w:rPr>
        <w:t xml:space="preserve">und abgeändert </w:t>
      </w:r>
      <w:r w:rsidRPr="009118AB">
        <w:rPr>
          <w:bCs/>
          <w:i/>
          <w:iCs/>
        </w:rPr>
        <w:t xml:space="preserve">durch </w:t>
      </w:r>
      <w:r w:rsidR="00D67EB8" w:rsidRPr="009118AB">
        <w:rPr>
          <w:bCs/>
          <w:i/>
          <w:iCs/>
        </w:rPr>
        <w:t>Art. </w:t>
      </w:r>
      <w:r w:rsidRPr="009118AB">
        <w:rPr>
          <w:bCs/>
          <w:i/>
          <w:iCs/>
        </w:rPr>
        <w:t xml:space="preserve">89 </w:t>
      </w:r>
      <w:r w:rsidR="00D67EB8" w:rsidRPr="009118AB">
        <w:rPr>
          <w:bCs/>
          <w:i/>
          <w:iCs/>
        </w:rPr>
        <w:t>Nr. </w:t>
      </w:r>
      <w:r w:rsidRPr="009118AB">
        <w:rPr>
          <w:bCs/>
          <w:i/>
          <w:iCs/>
        </w:rPr>
        <w:t>5</w:t>
      </w:r>
      <w:r w:rsidRPr="009118AB">
        <w:rPr>
          <w:i/>
          <w:iCs/>
        </w:rPr>
        <w:t xml:space="preserve"> des G. vom 22. Juni 2012 (B.S. vom 28. Juni 2012)</w:t>
      </w:r>
      <w:r w:rsidR="00D67EB8" w:rsidRPr="009118AB">
        <w:rPr>
          <w:i/>
          <w:iCs/>
        </w:rPr>
        <w:t> - </w:t>
      </w:r>
      <w:r w:rsidRPr="009118AB">
        <w:rPr>
          <w:i/>
          <w:iCs/>
        </w:rPr>
        <w:t>in Kraft</w:t>
      </w:r>
      <w:r w:rsidRPr="009118AB">
        <w:rPr>
          <w:bCs/>
          <w:i/>
          <w:iCs/>
        </w:rPr>
        <w:t xml:space="preserve"> </w:t>
      </w:r>
      <w:r w:rsidRPr="009118AB">
        <w:rPr>
          <w:i/>
          <w:iCs/>
        </w:rPr>
        <w:t>am 1. Juli 2012</w:t>
      </w:r>
      <w:r w:rsidR="003366D9" w:rsidRPr="009118AB">
        <w:rPr>
          <w:i/>
          <w:iCs/>
        </w:rPr>
        <w:t> -;</w:t>
      </w:r>
      <w:r w:rsidRPr="009118AB">
        <w:rPr>
          <w:bCs/>
          <w:i/>
          <w:iCs/>
        </w:rPr>
        <w:t xml:space="preserve"> </w:t>
      </w:r>
      <w:r w:rsidR="00D67EB8" w:rsidRPr="009118AB">
        <w:rPr>
          <w:bCs/>
          <w:i/>
          <w:iCs/>
        </w:rPr>
        <w:t>§ </w:t>
      </w:r>
      <w:r w:rsidRPr="009118AB">
        <w:rPr>
          <w:bCs/>
          <w:i/>
          <w:iCs/>
        </w:rPr>
        <w:t xml:space="preserve">2 </w:t>
      </w:r>
      <w:r w:rsidR="00D67EB8" w:rsidRPr="009118AB">
        <w:rPr>
          <w:bCs/>
          <w:i/>
          <w:iCs/>
        </w:rPr>
        <w:t>Abs. </w:t>
      </w:r>
      <w:r w:rsidRPr="009118AB">
        <w:rPr>
          <w:bCs/>
          <w:i/>
          <w:iCs/>
        </w:rPr>
        <w:t xml:space="preserve">3 eingefügt durch </w:t>
      </w:r>
      <w:r w:rsidR="00D67EB8" w:rsidRPr="009118AB">
        <w:rPr>
          <w:bCs/>
          <w:i/>
          <w:iCs/>
        </w:rPr>
        <w:t>Art. </w:t>
      </w:r>
      <w:r w:rsidRPr="009118AB">
        <w:rPr>
          <w:bCs/>
          <w:i/>
          <w:iCs/>
        </w:rPr>
        <w:t xml:space="preserve">147 </w:t>
      </w:r>
      <w:r w:rsidR="00D67EB8" w:rsidRPr="009118AB">
        <w:rPr>
          <w:bCs/>
          <w:i/>
          <w:iCs/>
        </w:rPr>
        <w:t>Nr. </w:t>
      </w:r>
      <w:r w:rsidRPr="009118AB">
        <w:rPr>
          <w:bCs/>
          <w:i/>
          <w:iCs/>
        </w:rPr>
        <w:t xml:space="preserve">3 </w:t>
      </w:r>
      <w:r w:rsidRPr="009118AB">
        <w:rPr>
          <w:i/>
          <w:iCs/>
        </w:rPr>
        <w:t>des G. (I) vom 29. März 2012 (B.S. vom 6. A</w:t>
      </w:r>
      <w:r w:rsidR="00E951F6" w:rsidRPr="009118AB">
        <w:rPr>
          <w:i/>
          <w:iCs/>
        </w:rPr>
        <w:t>pril 2012)</w:t>
      </w:r>
      <w:r w:rsidR="00D67EB8" w:rsidRPr="009118AB">
        <w:rPr>
          <w:i/>
          <w:iCs/>
        </w:rPr>
        <w:t> - </w:t>
      </w:r>
      <w:r w:rsidRPr="009118AB">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118AB">
        <w:rPr>
          <w:i/>
          <w:iCs/>
        </w:rPr>
        <w:t> - </w:t>
      </w:r>
      <w:r w:rsidRPr="009118AB">
        <w:rPr>
          <w:i/>
          <w:iCs/>
        </w:rPr>
        <w:t xml:space="preserve">und abgeändert </w:t>
      </w:r>
      <w:r w:rsidRPr="009118AB">
        <w:rPr>
          <w:bCs/>
          <w:i/>
          <w:iCs/>
        </w:rPr>
        <w:t xml:space="preserve">durch </w:t>
      </w:r>
      <w:r w:rsidR="00D67EB8" w:rsidRPr="009118AB">
        <w:rPr>
          <w:bCs/>
          <w:i/>
          <w:iCs/>
        </w:rPr>
        <w:t>Art. </w:t>
      </w:r>
      <w:r w:rsidRPr="009118AB">
        <w:rPr>
          <w:bCs/>
          <w:i/>
          <w:iCs/>
        </w:rPr>
        <w:t xml:space="preserve">89 </w:t>
      </w:r>
      <w:r w:rsidR="00D67EB8" w:rsidRPr="009118AB">
        <w:rPr>
          <w:bCs/>
          <w:i/>
          <w:iCs/>
        </w:rPr>
        <w:t>Nr. </w:t>
      </w:r>
      <w:r w:rsidRPr="009118AB">
        <w:rPr>
          <w:bCs/>
          <w:i/>
          <w:iCs/>
        </w:rPr>
        <w:t>6</w:t>
      </w:r>
      <w:r w:rsidRPr="009118AB">
        <w:rPr>
          <w:i/>
          <w:iCs/>
        </w:rPr>
        <w:t xml:space="preserve"> des G. vom 22. Juni 2012 (B.S. vom 28. Juni 2012)</w:t>
      </w:r>
      <w:r w:rsidR="00D67EB8" w:rsidRPr="009118AB">
        <w:rPr>
          <w:i/>
          <w:iCs/>
        </w:rPr>
        <w:t> - </w:t>
      </w:r>
      <w:r w:rsidRPr="009118AB">
        <w:rPr>
          <w:i/>
          <w:iCs/>
        </w:rPr>
        <w:t>in Kraft</w:t>
      </w:r>
      <w:r w:rsidRPr="009118AB">
        <w:rPr>
          <w:bCs/>
          <w:i/>
          <w:iCs/>
        </w:rPr>
        <w:t xml:space="preserve"> </w:t>
      </w:r>
      <w:r w:rsidRPr="009118AB">
        <w:rPr>
          <w:i/>
          <w:iCs/>
        </w:rPr>
        <w:t>am 1. Juli 2012</w:t>
      </w:r>
      <w:r w:rsidR="003366D9" w:rsidRPr="009118AB">
        <w:rPr>
          <w:i/>
          <w:iCs/>
        </w:rPr>
        <w:t> -;</w:t>
      </w:r>
      <w:r w:rsidRPr="009118AB">
        <w:rPr>
          <w:bCs/>
          <w:i/>
          <w:iCs/>
        </w:rPr>
        <w:t xml:space="preserve"> </w:t>
      </w:r>
      <w:r w:rsidR="00D67EB8" w:rsidRPr="009118AB">
        <w:rPr>
          <w:bCs/>
          <w:i/>
          <w:iCs/>
        </w:rPr>
        <w:t>§ </w:t>
      </w:r>
      <w:r w:rsidRPr="009118AB">
        <w:rPr>
          <w:bCs/>
          <w:i/>
          <w:iCs/>
        </w:rPr>
        <w:t xml:space="preserve">2 </w:t>
      </w:r>
      <w:r w:rsidR="00D67EB8" w:rsidRPr="009118AB">
        <w:rPr>
          <w:bCs/>
          <w:i/>
          <w:iCs/>
        </w:rPr>
        <w:t>Abs. </w:t>
      </w:r>
      <w:r w:rsidRPr="009118AB">
        <w:rPr>
          <w:bCs/>
          <w:i/>
          <w:iCs/>
        </w:rPr>
        <w:t xml:space="preserve">4 eingefügt durch </w:t>
      </w:r>
      <w:r w:rsidR="00D67EB8" w:rsidRPr="009118AB">
        <w:rPr>
          <w:bCs/>
          <w:i/>
          <w:iCs/>
        </w:rPr>
        <w:t>Art. </w:t>
      </w:r>
      <w:r w:rsidRPr="009118AB">
        <w:rPr>
          <w:bCs/>
          <w:i/>
          <w:iCs/>
        </w:rPr>
        <w:t>98</w:t>
      </w:r>
      <w:r w:rsidRPr="009118AB">
        <w:rPr>
          <w:i/>
          <w:iCs/>
        </w:rPr>
        <w:t xml:space="preserve"> des G. vom 25. Dezember 2016 (I) (B.S. vom 29. Dezember 2016)</w:t>
      </w:r>
      <w:r w:rsidR="00D67EB8" w:rsidRPr="009118AB">
        <w:rPr>
          <w:i/>
          <w:iCs/>
        </w:rPr>
        <w:t> - </w:t>
      </w:r>
      <w:r w:rsidRPr="009118AB">
        <w:rPr>
          <w:i/>
          <w:iCs/>
        </w:rPr>
        <w:t>in Kraft am 1. Januar 2017</w:t>
      </w:r>
      <w:r w:rsidR="003366D9" w:rsidRPr="009118AB">
        <w:rPr>
          <w:i/>
          <w:iCs/>
        </w:rPr>
        <w:t> -;</w:t>
      </w:r>
      <w:r w:rsidRPr="009118AB">
        <w:rPr>
          <w:i/>
          <w:iCs/>
        </w:rPr>
        <w:t xml:space="preserve"> </w:t>
      </w:r>
      <w:r w:rsidR="00D67EB8" w:rsidRPr="009118AB">
        <w:rPr>
          <w:bCs/>
          <w:i/>
          <w:iCs/>
        </w:rPr>
        <w:t>§ </w:t>
      </w:r>
      <w:r w:rsidRPr="009118AB">
        <w:rPr>
          <w:bCs/>
          <w:i/>
          <w:iCs/>
        </w:rPr>
        <w:t xml:space="preserve">3 (frühere Absätze 5 bis 9) nummeriert durch </w:t>
      </w:r>
      <w:r w:rsidR="00D67EB8" w:rsidRPr="009118AB">
        <w:rPr>
          <w:bCs/>
          <w:i/>
          <w:iCs/>
        </w:rPr>
        <w:t>Art. </w:t>
      </w:r>
      <w:r w:rsidRPr="009118AB">
        <w:rPr>
          <w:bCs/>
          <w:i/>
          <w:iCs/>
        </w:rPr>
        <w:t xml:space="preserve">89 </w:t>
      </w:r>
      <w:r w:rsidR="00D67EB8" w:rsidRPr="009118AB">
        <w:rPr>
          <w:bCs/>
          <w:i/>
          <w:iCs/>
        </w:rPr>
        <w:t>Nr. </w:t>
      </w:r>
      <w:r w:rsidRPr="009118AB">
        <w:rPr>
          <w:bCs/>
          <w:i/>
          <w:iCs/>
        </w:rPr>
        <w:t>7</w:t>
      </w:r>
      <w:r w:rsidRPr="009118AB">
        <w:rPr>
          <w:i/>
          <w:iCs/>
        </w:rPr>
        <w:t xml:space="preserve"> des G. vom 22. Juni 2012 (B.S. vom 28. Juni 2012)</w:t>
      </w:r>
      <w:r w:rsidR="00D67EB8" w:rsidRPr="009118AB">
        <w:rPr>
          <w:i/>
          <w:iCs/>
        </w:rPr>
        <w:t> - </w:t>
      </w:r>
      <w:r w:rsidRPr="009118AB">
        <w:rPr>
          <w:i/>
          <w:iCs/>
        </w:rPr>
        <w:t>in Kraft</w:t>
      </w:r>
      <w:r w:rsidRPr="009118AB">
        <w:rPr>
          <w:bCs/>
          <w:i/>
          <w:iCs/>
        </w:rPr>
        <w:t xml:space="preserve"> </w:t>
      </w:r>
      <w:r w:rsidRPr="009118AB">
        <w:rPr>
          <w:i/>
          <w:iCs/>
        </w:rPr>
        <w:t>am 1. Juli 2012</w:t>
      </w:r>
      <w:r w:rsidR="003366D9" w:rsidRPr="009118AB">
        <w:rPr>
          <w:i/>
          <w:iCs/>
        </w:rPr>
        <w:t> -;</w:t>
      </w:r>
      <w:r w:rsidRPr="009118AB">
        <w:rPr>
          <w:i/>
          <w:iCs/>
        </w:rPr>
        <w:t xml:space="preserve"> </w:t>
      </w:r>
      <w:r w:rsidR="00D67EB8" w:rsidRPr="009118AB">
        <w:rPr>
          <w:i/>
          <w:iCs/>
        </w:rPr>
        <w:t>§ </w:t>
      </w:r>
      <w:r w:rsidRPr="009118AB">
        <w:rPr>
          <w:i/>
          <w:iCs/>
        </w:rPr>
        <w:t xml:space="preserve">3 </w:t>
      </w:r>
      <w:r w:rsidR="00B95694" w:rsidRPr="009118AB">
        <w:rPr>
          <w:i/>
          <w:iCs/>
        </w:rPr>
        <w:t xml:space="preserve">früherer </w:t>
      </w:r>
      <w:r w:rsidRPr="009118AB">
        <w:rPr>
          <w:i/>
          <w:iCs/>
        </w:rPr>
        <w:t>Abs</w:t>
      </w:r>
      <w:r w:rsidR="00B95694" w:rsidRPr="009118AB">
        <w:rPr>
          <w:i/>
          <w:iCs/>
        </w:rPr>
        <w:t>atz</w:t>
      </w:r>
      <w:r w:rsidRPr="009118AB">
        <w:rPr>
          <w:i/>
          <w:iCs/>
        </w:rPr>
        <w:t xml:space="preserve"> 1 </w:t>
      </w:r>
      <w:r w:rsidRPr="009118AB">
        <w:rPr>
          <w:bCs/>
          <w:i/>
          <w:iCs/>
        </w:rPr>
        <w:t xml:space="preserve">eingefügt durch </w:t>
      </w:r>
      <w:r w:rsidR="00D67EB8" w:rsidRPr="009118AB">
        <w:rPr>
          <w:bCs/>
          <w:i/>
          <w:iCs/>
        </w:rPr>
        <w:t>Art. </w:t>
      </w:r>
      <w:r w:rsidRPr="009118AB">
        <w:rPr>
          <w:bCs/>
          <w:i/>
          <w:iCs/>
        </w:rPr>
        <w:t xml:space="preserve">147 </w:t>
      </w:r>
      <w:r w:rsidR="00D67EB8" w:rsidRPr="009118AB">
        <w:rPr>
          <w:bCs/>
          <w:i/>
          <w:iCs/>
        </w:rPr>
        <w:t>Nr. </w:t>
      </w:r>
      <w:r w:rsidRPr="009118AB">
        <w:rPr>
          <w:bCs/>
          <w:i/>
          <w:iCs/>
        </w:rPr>
        <w:t xml:space="preserve">3 </w:t>
      </w:r>
      <w:r w:rsidRPr="009118AB">
        <w:rPr>
          <w:i/>
          <w:iCs/>
        </w:rPr>
        <w:t>des G. (I) vom 29. März 2012 (B.S. vom 6. April 2012)</w:t>
      </w:r>
      <w:r w:rsidR="00D67EB8" w:rsidRPr="009118AB">
        <w:rPr>
          <w:i/>
          <w:iCs/>
        </w:rPr>
        <w:t> - </w:t>
      </w:r>
      <w:r w:rsidRPr="009118AB">
        <w:rPr>
          <w:i/>
          <w:iCs/>
        </w:rPr>
        <w:t xml:space="preserve">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w:t>
      </w:r>
      <w:r w:rsidRPr="009118AB">
        <w:rPr>
          <w:i/>
          <w:iCs/>
        </w:rPr>
        <w:lastRenderedPageBreak/>
        <w:t>stattfinden, und zwar in einem Besteuerungszeitraum, der frühestens am 6. April 2012 endet und an das Steuerjahr 2012 gebunden ist</w:t>
      </w:r>
      <w:r w:rsidR="00D67EB8" w:rsidRPr="009118AB">
        <w:rPr>
          <w:i/>
          <w:iCs/>
        </w:rPr>
        <w:t> - </w:t>
      </w:r>
      <w:r w:rsidRPr="009118AB">
        <w:rPr>
          <w:i/>
          <w:iCs/>
        </w:rPr>
        <w:t xml:space="preserve">und </w:t>
      </w:r>
      <w:r w:rsidR="00B95694" w:rsidRPr="009118AB">
        <w:rPr>
          <w:i/>
          <w:iCs/>
        </w:rPr>
        <w:t xml:space="preserve">aufgehoben durch </w:t>
      </w:r>
      <w:r w:rsidR="00D67EB8" w:rsidRPr="009118AB">
        <w:rPr>
          <w:i/>
          <w:iCs/>
        </w:rPr>
        <w:t>Art. </w:t>
      </w:r>
      <w:r w:rsidR="00B95694" w:rsidRPr="009118AB">
        <w:rPr>
          <w:i/>
          <w:iCs/>
        </w:rPr>
        <w:t xml:space="preserve">39 </w:t>
      </w:r>
      <w:r w:rsidR="00D67EB8" w:rsidRPr="009118AB">
        <w:rPr>
          <w:i/>
          <w:iCs/>
        </w:rPr>
        <w:t>Nr. </w:t>
      </w:r>
      <w:r w:rsidR="00B95694" w:rsidRPr="009118AB">
        <w:rPr>
          <w:i/>
          <w:iCs/>
        </w:rPr>
        <w:t>10 des G. vom 25. Dezember 2017 (III) (B.S. vom 29. Dezember 2017)</w:t>
      </w:r>
      <w:r w:rsidR="00D67EB8" w:rsidRPr="009118AB">
        <w:rPr>
          <w:i/>
          <w:iCs/>
        </w:rPr>
        <w:t> - </w:t>
      </w:r>
      <w:r w:rsidR="00B95694" w:rsidRPr="009118AB">
        <w:rPr>
          <w:i/>
          <w:iCs/>
        </w:rPr>
        <w:t>in Kraft am 1. Januar 2019 und anwendbar ab dem Steuerjahr 2020, das sich auf einen Besteuerungszeitraum bezieht, der frühestens am 1. Januar 2019 beginnt</w:t>
      </w:r>
      <w:r w:rsidR="003366D9" w:rsidRPr="009118AB">
        <w:rPr>
          <w:i/>
          <w:iCs/>
        </w:rPr>
        <w:t> -;</w:t>
      </w:r>
      <w:r w:rsidR="00B95694" w:rsidRPr="009118AB">
        <w:rPr>
          <w:i/>
          <w:iCs/>
        </w:rPr>
        <w:t xml:space="preserve"> </w:t>
      </w:r>
      <w:r w:rsidR="00D67EB8" w:rsidRPr="009118AB">
        <w:rPr>
          <w:i/>
          <w:iCs/>
        </w:rPr>
        <w:t>§ </w:t>
      </w:r>
      <w:r w:rsidR="00B95694" w:rsidRPr="009118AB">
        <w:rPr>
          <w:i/>
          <w:iCs/>
        </w:rPr>
        <w:t xml:space="preserve">3 </w:t>
      </w:r>
      <w:r w:rsidR="008C6CEE" w:rsidRPr="009118AB">
        <w:rPr>
          <w:i/>
          <w:iCs/>
        </w:rPr>
        <w:t xml:space="preserve">neuer </w:t>
      </w:r>
      <w:r w:rsidR="00B95694" w:rsidRPr="009118AB">
        <w:rPr>
          <w:i/>
          <w:iCs/>
        </w:rPr>
        <w:t>Abs</w:t>
      </w:r>
      <w:r w:rsidR="008C6CEE" w:rsidRPr="009118AB">
        <w:rPr>
          <w:i/>
          <w:iCs/>
        </w:rPr>
        <w:t>atz</w:t>
      </w:r>
      <w:r w:rsidR="00B95694" w:rsidRPr="009118AB">
        <w:rPr>
          <w:i/>
          <w:iCs/>
        </w:rPr>
        <w:t> 1</w:t>
      </w:r>
      <w:r w:rsidR="008C6CEE" w:rsidRPr="009118AB">
        <w:rPr>
          <w:i/>
          <w:iCs/>
        </w:rPr>
        <w:t xml:space="preserve"> </w:t>
      </w:r>
      <w:r w:rsidRPr="009118AB">
        <w:rPr>
          <w:bCs/>
          <w:i/>
          <w:iCs/>
        </w:rPr>
        <w:t xml:space="preserve">eingefügt durch </w:t>
      </w:r>
      <w:r w:rsidR="00D67EB8" w:rsidRPr="009118AB">
        <w:rPr>
          <w:bCs/>
          <w:i/>
          <w:iCs/>
        </w:rPr>
        <w:t>Art. </w:t>
      </w:r>
      <w:r w:rsidRPr="009118AB">
        <w:rPr>
          <w:bCs/>
          <w:i/>
          <w:iCs/>
        </w:rPr>
        <w:t xml:space="preserve">147 </w:t>
      </w:r>
      <w:r w:rsidR="00D67EB8" w:rsidRPr="009118AB">
        <w:rPr>
          <w:bCs/>
          <w:i/>
          <w:iCs/>
        </w:rPr>
        <w:t>Nr. </w:t>
      </w:r>
      <w:r w:rsidRPr="009118AB">
        <w:rPr>
          <w:bCs/>
          <w:i/>
          <w:iCs/>
        </w:rPr>
        <w:t xml:space="preserve">3 </w:t>
      </w:r>
      <w:r w:rsidR="00DD3A02" w:rsidRPr="009118AB">
        <w:rPr>
          <w:i/>
          <w:iCs/>
        </w:rPr>
        <w:t>des G. </w:t>
      </w:r>
      <w:r w:rsidRPr="009118AB">
        <w:rPr>
          <w:i/>
          <w:iCs/>
        </w:rPr>
        <w:t>(I) vom 29. März </w:t>
      </w:r>
      <w:r w:rsidR="00DA621F" w:rsidRPr="009118AB">
        <w:rPr>
          <w:i/>
          <w:iCs/>
        </w:rPr>
        <w:t>2012 (B.S. vom 6. April 2012)</w:t>
      </w:r>
      <w:r w:rsidR="00D67EB8" w:rsidRPr="009118AB">
        <w:rPr>
          <w:i/>
          <w:iCs/>
        </w:rPr>
        <w:t> - </w:t>
      </w:r>
      <w:r w:rsidRPr="009118AB">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118AB">
        <w:rPr>
          <w:i/>
          <w:iCs/>
        </w:rPr>
        <w:t> - </w:t>
      </w:r>
      <w:r w:rsidR="00B95694" w:rsidRPr="009118AB">
        <w:rPr>
          <w:i/>
          <w:iCs/>
        </w:rPr>
        <w:t xml:space="preserve">und abgeändert durch </w:t>
      </w:r>
      <w:r w:rsidR="00D67EB8" w:rsidRPr="009118AB">
        <w:rPr>
          <w:i/>
          <w:iCs/>
        </w:rPr>
        <w:t>Art. </w:t>
      </w:r>
      <w:r w:rsidR="00B95694" w:rsidRPr="009118AB">
        <w:rPr>
          <w:i/>
          <w:iCs/>
        </w:rPr>
        <w:t xml:space="preserve">39 </w:t>
      </w:r>
      <w:r w:rsidR="00D67EB8" w:rsidRPr="009118AB">
        <w:rPr>
          <w:i/>
          <w:iCs/>
        </w:rPr>
        <w:t>Nr. </w:t>
      </w:r>
      <w:r w:rsidR="00B95694" w:rsidRPr="009118AB">
        <w:rPr>
          <w:i/>
          <w:iCs/>
        </w:rPr>
        <w:t>11 des G. vom 25. Dezember 2017 (III) (B.S. vom 29. Dezember 2017)</w:t>
      </w:r>
      <w:r w:rsidR="00D67EB8" w:rsidRPr="009118AB">
        <w:rPr>
          <w:i/>
          <w:iCs/>
        </w:rPr>
        <w:t> - </w:t>
      </w:r>
      <w:r w:rsidR="00B95694" w:rsidRPr="009118AB">
        <w:rPr>
          <w:i/>
          <w:iCs/>
        </w:rPr>
        <w:t>in Kraft am 1. Januar 2019 und anwendbar ab dem Steuerjahr 2020, das sich auf einen Besteuerungszeitraum bezieht, der frühestens am 1. Januar 2019 beginnt</w:t>
      </w:r>
      <w:r w:rsidR="003366D9" w:rsidRPr="009118AB">
        <w:rPr>
          <w:i/>
          <w:iCs/>
        </w:rPr>
        <w:t> -;</w:t>
      </w:r>
      <w:r w:rsidR="00B95694" w:rsidRPr="009118AB">
        <w:rPr>
          <w:i/>
          <w:iCs/>
        </w:rPr>
        <w:t xml:space="preserve"> </w:t>
      </w:r>
      <w:r w:rsidR="00D67EB8" w:rsidRPr="009118AB">
        <w:rPr>
          <w:i/>
          <w:iCs/>
        </w:rPr>
        <w:t>§ </w:t>
      </w:r>
      <w:r w:rsidR="00B95694" w:rsidRPr="009118AB">
        <w:rPr>
          <w:i/>
          <w:iCs/>
        </w:rPr>
        <w:t xml:space="preserve">3 </w:t>
      </w:r>
      <w:r w:rsidR="00D67EB8" w:rsidRPr="009118AB">
        <w:rPr>
          <w:i/>
          <w:iCs/>
        </w:rPr>
        <w:t>Abs. </w:t>
      </w:r>
      <w:r w:rsidR="00B95694" w:rsidRPr="009118AB">
        <w:rPr>
          <w:i/>
          <w:iCs/>
        </w:rPr>
        <w:t>2</w:t>
      </w:r>
      <w:r w:rsidRPr="009118AB">
        <w:rPr>
          <w:i/>
          <w:iCs/>
        </w:rPr>
        <w:t xml:space="preserve"> </w:t>
      </w:r>
      <w:r w:rsidRPr="009118AB">
        <w:rPr>
          <w:bCs/>
          <w:i/>
          <w:iCs/>
        </w:rPr>
        <w:t xml:space="preserve">eingefügt durch </w:t>
      </w:r>
      <w:r w:rsidR="00D67EB8" w:rsidRPr="009118AB">
        <w:rPr>
          <w:bCs/>
          <w:i/>
          <w:iCs/>
        </w:rPr>
        <w:t>Art. </w:t>
      </w:r>
      <w:r w:rsidRPr="009118AB">
        <w:rPr>
          <w:bCs/>
          <w:i/>
          <w:iCs/>
        </w:rPr>
        <w:t xml:space="preserve">147 </w:t>
      </w:r>
      <w:r w:rsidR="00D67EB8" w:rsidRPr="009118AB">
        <w:rPr>
          <w:bCs/>
          <w:i/>
          <w:iCs/>
        </w:rPr>
        <w:t>Nr. </w:t>
      </w:r>
      <w:r w:rsidRPr="009118AB">
        <w:rPr>
          <w:bCs/>
          <w:i/>
          <w:iCs/>
        </w:rPr>
        <w:t xml:space="preserve">3 </w:t>
      </w:r>
      <w:r w:rsidRPr="009118AB">
        <w:rPr>
          <w:i/>
          <w:iCs/>
        </w:rPr>
        <w:t>des G.</w:t>
      </w:r>
      <w:r w:rsidR="0006310D" w:rsidRPr="009118AB">
        <w:rPr>
          <w:i/>
          <w:iCs/>
        </w:rPr>
        <w:t> </w:t>
      </w:r>
      <w:r w:rsidRPr="009118AB">
        <w:rPr>
          <w:i/>
          <w:iCs/>
        </w:rPr>
        <w:t>(I) vom 29. März 2012 (B.S. vom 6. April 2012)</w:t>
      </w:r>
      <w:r w:rsidR="00D67EB8" w:rsidRPr="009118AB">
        <w:rPr>
          <w:i/>
          <w:iCs/>
        </w:rPr>
        <w:t> - </w:t>
      </w:r>
      <w:r w:rsidRPr="009118AB">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3366D9" w:rsidRPr="009118AB">
        <w:rPr>
          <w:i/>
          <w:iCs/>
        </w:rPr>
        <w:t> -;</w:t>
      </w:r>
      <w:r w:rsidRPr="009118AB">
        <w:rPr>
          <w:i/>
          <w:iCs/>
        </w:rPr>
        <w:t xml:space="preserve"> </w:t>
      </w:r>
      <w:r w:rsidR="00D67EB8" w:rsidRPr="009118AB">
        <w:rPr>
          <w:i/>
          <w:iCs/>
        </w:rPr>
        <w:t>§ </w:t>
      </w:r>
      <w:r w:rsidRPr="009118AB">
        <w:rPr>
          <w:i/>
          <w:iCs/>
        </w:rPr>
        <w:t xml:space="preserve">3 </w:t>
      </w:r>
      <w:r w:rsidR="00D67EB8" w:rsidRPr="009118AB">
        <w:rPr>
          <w:i/>
          <w:iCs/>
        </w:rPr>
        <w:t>Abs. </w:t>
      </w:r>
      <w:r w:rsidR="00B95694" w:rsidRPr="009118AB">
        <w:rPr>
          <w:i/>
          <w:iCs/>
        </w:rPr>
        <w:t>2</w:t>
      </w:r>
      <w:r w:rsidRPr="009118AB">
        <w:rPr>
          <w:i/>
          <w:iCs/>
        </w:rPr>
        <w:t xml:space="preserve"> einleitende Bestimmung abgeändert durch </w:t>
      </w:r>
      <w:r w:rsidR="00D67EB8" w:rsidRPr="009118AB">
        <w:rPr>
          <w:i/>
          <w:iCs/>
        </w:rPr>
        <w:t>Art. </w:t>
      </w:r>
      <w:r w:rsidRPr="009118AB">
        <w:rPr>
          <w:bCs/>
          <w:i/>
          <w:iCs/>
        </w:rPr>
        <w:t xml:space="preserve">89 </w:t>
      </w:r>
      <w:r w:rsidR="00D67EB8" w:rsidRPr="009118AB">
        <w:rPr>
          <w:bCs/>
          <w:i/>
          <w:iCs/>
        </w:rPr>
        <w:t>Nr. </w:t>
      </w:r>
      <w:r w:rsidRPr="009118AB">
        <w:rPr>
          <w:bCs/>
          <w:i/>
          <w:iCs/>
        </w:rPr>
        <w:t>9</w:t>
      </w:r>
      <w:r w:rsidRPr="009118AB">
        <w:rPr>
          <w:i/>
          <w:iCs/>
        </w:rPr>
        <w:t xml:space="preserve"> des G. vom 22. Juni 2012 (B.S. vom 28. Juni 2012)</w:t>
      </w:r>
      <w:r w:rsidR="00D67EB8" w:rsidRPr="009118AB">
        <w:rPr>
          <w:i/>
          <w:iCs/>
        </w:rPr>
        <w:t> - </w:t>
      </w:r>
      <w:r w:rsidRPr="009118AB">
        <w:rPr>
          <w:i/>
          <w:iCs/>
        </w:rPr>
        <w:t>in Kraft</w:t>
      </w:r>
      <w:r w:rsidRPr="009118AB">
        <w:rPr>
          <w:bCs/>
          <w:i/>
          <w:iCs/>
        </w:rPr>
        <w:t xml:space="preserve"> </w:t>
      </w:r>
      <w:r w:rsidRPr="009118AB">
        <w:rPr>
          <w:i/>
          <w:iCs/>
        </w:rPr>
        <w:t>am 1. Juli 2012</w:t>
      </w:r>
      <w:r w:rsidR="00D67EB8" w:rsidRPr="009118AB">
        <w:rPr>
          <w:i/>
          <w:iCs/>
        </w:rPr>
        <w:t> - </w:t>
      </w:r>
      <w:r w:rsidR="00B95694" w:rsidRPr="009118AB">
        <w:rPr>
          <w:i/>
          <w:iCs/>
        </w:rPr>
        <w:t xml:space="preserve">und </w:t>
      </w:r>
      <w:r w:rsidR="00D67EB8" w:rsidRPr="009118AB">
        <w:rPr>
          <w:i/>
          <w:iCs/>
        </w:rPr>
        <w:t>Art. </w:t>
      </w:r>
      <w:r w:rsidR="00B95694" w:rsidRPr="009118AB">
        <w:rPr>
          <w:i/>
          <w:iCs/>
        </w:rPr>
        <w:t xml:space="preserve">39 </w:t>
      </w:r>
      <w:r w:rsidR="00D67EB8" w:rsidRPr="009118AB">
        <w:rPr>
          <w:i/>
          <w:iCs/>
        </w:rPr>
        <w:t>Nr. </w:t>
      </w:r>
      <w:r w:rsidR="00B95694" w:rsidRPr="009118AB">
        <w:rPr>
          <w:i/>
          <w:iCs/>
        </w:rPr>
        <w:t>12 des G. vom 25. Dezember 2017 (III) (B.S. vom 29. Dezember 2017)</w:t>
      </w:r>
      <w:r w:rsidR="00D67EB8" w:rsidRPr="009118AB">
        <w:rPr>
          <w:i/>
          <w:iCs/>
        </w:rPr>
        <w:t> - </w:t>
      </w:r>
      <w:r w:rsidR="00B95694" w:rsidRPr="009118AB">
        <w:rPr>
          <w:i/>
          <w:iCs/>
        </w:rPr>
        <w:t>in Kraft am 1. Januar 2019 und anwendbar ab dem Steuerjahr 2020, das sich auf einen Besteuerungszeitraum bezieht, der frühestens am 1. Januar 2019 beginnt</w:t>
      </w:r>
      <w:r w:rsidR="003366D9" w:rsidRPr="009118AB">
        <w:rPr>
          <w:i/>
          <w:iCs/>
        </w:rPr>
        <w:t> -;</w:t>
      </w:r>
      <w:r w:rsidRPr="009118AB">
        <w:rPr>
          <w:i/>
          <w:iCs/>
        </w:rPr>
        <w:t xml:space="preserve"> </w:t>
      </w:r>
      <w:r w:rsidR="00D67EB8" w:rsidRPr="009118AB">
        <w:rPr>
          <w:i/>
          <w:iCs/>
        </w:rPr>
        <w:t>§ </w:t>
      </w:r>
      <w:r w:rsidRPr="009118AB">
        <w:rPr>
          <w:i/>
          <w:iCs/>
        </w:rPr>
        <w:t xml:space="preserve">3 </w:t>
      </w:r>
      <w:r w:rsidR="00D67EB8" w:rsidRPr="009118AB">
        <w:rPr>
          <w:i/>
          <w:iCs/>
        </w:rPr>
        <w:t>Abs. </w:t>
      </w:r>
      <w:r w:rsidR="00B95694" w:rsidRPr="009118AB">
        <w:rPr>
          <w:i/>
          <w:iCs/>
        </w:rPr>
        <w:t>3</w:t>
      </w:r>
      <w:r w:rsidRPr="009118AB">
        <w:rPr>
          <w:i/>
          <w:iCs/>
        </w:rPr>
        <w:t xml:space="preserve"> </w:t>
      </w:r>
      <w:r w:rsidRPr="009118AB">
        <w:rPr>
          <w:bCs/>
          <w:i/>
          <w:iCs/>
        </w:rPr>
        <w:t xml:space="preserve">eingefügt durch </w:t>
      </w:r>
      <w:r w:rsidR="00D67EB8" w:rsidRPr="009118AB">
        <w:rPr>
          <w:bCs/>
          <w:i/>
          <w:iCs/>
        </w:rPr>
        <w:t>Art. </w:t>
      </w:r>
      <w:r w:rsidRPr="009118AB">
        <w:rPr>
          <w:bCs/>
          <w:i/>
          <w:iCs/>
        </w:rPr>
        <w:t xml:space="preserve">147 </w:t>
      </w:r>
      <w:r w:rsidR="00D67EB8" w:rsidRPr="009118AB">
        <w:rPr>
          <w:bCs/>
          <w:i/>
          <w:iCs/>
        </w:rPr>
        <w:t>Nr. </w:t>
      </w:r>
      <w:r w:rsidRPr="009118AB">
        <w:rPr>
          <w:bCs/>
          <w:i/>
          <w:iCs/>
        </w:rPr>
        <w:t xml:space="preserve">3 </w:t>
      </w:r>
      <w:r w:rsidRPr="009118AB">
        <w:rPr>
          <w:i/>
          <w:iCs/>
        </w:rPr>
        <w:t>des G. (I) vom 29. März </w:t>
      </w:r>
      <w:r w:rsidR="00D27B17" w:rsidRPr="009118AB">
        <w:rPr>
          <w:i/>
          <w:iCs/>
        </w:rPr>
        <w:t>2012 (B.S. vom 6. April 2012)</w:t>
      </w:r>
      <w:r w:rsidR="00D67EB8" w:rsidRPr="009118AB">
        <w:rPr>
          <w:i/>
          <w:iCs/>
        </w:rPr>
        <w:t> - </w:t>
      </w:r>
      <w:r w:rsidRPr="009118AB">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118AB">
        <w:rPr>
          <w:i/>
          <w:iCs/>
        </w:rPr>
        <w:t> - </w:t>
      </w:r>
      <w:r w:rsidRPr="009118AB">
        <w:rPr>
          <w:i/>
          <w:iCs/>
        </w:rPr>
        <w:t xml:space="preserve">und abgeändert </w:t>
      </w:r>
      <w:r w:rsidRPr="009118AB">
        <w:rPr>
          <w:bCs/>
          <w:i/>
          <w:iCs/>
        </w:rPr>
        <w:t xml:space="preserve">durch </w:t>
      </w:r>
      <w:r w:rsidR="00D67EB8" w:rsidRPr="009118AB">
        <w:rPr>
          <w:bCs/>
          <w:i/>
          <w:iCs/>
        </w:rPr>
        <w:t>Art. </w:t>
      </w:r>
      <w:r w:rsidRPr="009118AB">
        <w:rPr>
          <w:bCs/>
          <w:i/>
          <w:iCs/>
        </w:rPr>
        <w:t xml:space="preserve">89 </w:t>
      </w:r>
      <w:r w:rsidR="00D67EB8" w:rsidRPr="009118AB">
        <w:rPr>
          <w:bCs/>
          <w:i/>
          <w:iCs/>
        </w:rPr>
        <w:t>Nr. </w:t>
      </w:r>
      <w:r w:rsidRPr="009118AB">
        <w:rPr>
          <w:bCs/>
          <w:i/>
          <w:iCs/>
        </w:rPr>
        <w:t>10 des G.</w:t>
      </w:r>
      <w:r w:rsidRPr="009118AB">
        <w:rPr>
          <w:i/>
          <w:iCs/>
        </w:rPr>
        <w:t xml:space="preserve"> vom 22. Juni 2012 (B.S. vom 28. Juni 2012)</w:t>
      </w:r>
      <w:r w:rsidR="00D67EB8" w:rsidRPr="009118AB">
        <w:rPr>
          <w:i/>
          <w:iCs/>
        </w:rPr>
        <w:t> - </w:t>
      </w:r>
      <w:r w:rsidRPr="009118AB">
        <w:rPr>
          <w:i/>
          <w:iCs/>
        </w:rPr>
        <w:t>in Kraft</w:t>
      </w:r>
      <w:r w:rsidRPr="009118AB">
        <w:rPr>
          <w:bCs/>
          <w:i/>
          <w:iCs/>
        </w:rPr>
        <w:t xml:space="preserve"> </w:t>
      </w:r>
      <w:r w:rsidRPr="009118AB">
        <w:rPr>
          <w:i/>
          <w:iCs/>
        </w:rPr>
        <w:t>am 1. Juli 2012</w:t>
      </w:r>
      <w:r w:rsidR="00D67EB8" w:rsidRPr="009118AB">
        <w:rPr>
          <w:i/>
          <w:iCs/>
        </w:rPr>
        <w:t> - </w:t>
      </w:r>
      <w:r w:rsidR="00B95694" w:rsidRPr="009118AB">
        <w:rPr>
          <w:i/>
          <w:iCs/>
        </w:rPr>
        <w:t xml:space="preserve">und </w:t>
      </w:r>
      <w:r w:rsidR="00D67EB8" w:rsidRPr="009118AB">
        <w:rPr>
          <w:i/>
          <w:iCs/>
        </w:rPr>
        <w:t>Art. </w:t>
      </w:r>
      <w:r w:rsidR="00B95694" w:rsidRPr="009118AB">
        <w:rPr>
          <w:i/>
          <w:iCs/>
        </w:rPr>
        <w:t xml:space="preserve">39 </w:t>
      </w:r>
      <w:r w:rsidR="00D67EB8" w:rsidRPr="009118AB">
        <w:rPr>
          <w:i/>
          <w:iCs/>
        </w:rPr>
        <w:t>Nr. </w:t>
      </w:r>
      <w:r w:rsidR="00B95694" w:rsidRPr="009118AB">
        <w:rPr>
          <w:i/>
          <w:iCs/>
        </w:rPr>
        <w:t>13 des G. vom 25. Dezember 2017 (III) (B.S. vom 29. Dezember 2017)</w:t>
      </w:r>
      <w:r w:rsidR="00D67EB8" w:rsidRPr="009118AB">
        <w:rPr>
          <w:i/>
          <w:iCs/>
        </w:rPr>
        <w:t> - </w:t>
      </w:r>
      <w:r w:rsidR="00B95694" w:rsidRPr="009118AB">
        <w:rPr>
          <w:i/>
          <w:iCs/>
        </w:rPr>
        <w:t>in Kraft am 1. Januar 2019 und anwendbar ab dem Steuerjahr 2020, das sich auf einen Besteuerungszeitraum bezieht, der frühestens am 1. Januar 2019 beginnt</w:t>
      </w:r>
      <w:r w:rsidR="003366D9" w:rsidRPr="009118AB">
        <w:rPr>
          <w:i/>
          <w:iCs/>
        </w:rPr>
        <w:t> -;</w:t>
      </w:r>
      <w:r w:rsidRPr="009118AB">
        <w:rPr>
          <w:i/>
          <w:iCs/>
        </w:rPr>
        <w:t xml:space="preserve"> </w:t>
      </w:r>
      <w:r w:rsidR="00D67EB8" w:rsidRPr="009118AB">
        <w:rPr>
          <w:i/>
          <w:iCs/>
        </w:rPr>
        <w:t>§ </w:t>
      </w:r>
      <w:r w:rsidRPr="009118AB">
        <w:rPr>
          <w:i/>
          <w:iCs/>
        </w:rPr>
        <w:t xml:space="preserve">3 </w:t>
      </w:r>
      <w:r w:rsidR="00D67EB8" w:rsidRPr="009118AB">
        <w:rPr>
          <w:i/>
          <w:iCs/>
        </w:rPr>
        <w:t>Abs. </w:t>
      </w:r>
      <w:r w:rsidR="00B95694" w:rsidRPr="009118AB">
        <w:rPr>
          <w:i/>
          <w:iCs/>
        </w:rPr>
        <w:t>4</w:t>
      </w:r>
      <w:r w:rsidRPr="009118AB">
        <w:rPr>
          <w:i/>
          <w:iCs/>
        </w:rPr>
        <w:t xml:space="preserve"> </w:t>
      </w:r>
      <w:r w:rsidRPr="009118AB">
        <w:rPr>
          <w:bCs/>
          <w:i/>
          <w:iCs/>
        </w:rPr>
        <w:t xml:space="preserve">eingefügt durch </w:t>
      </w:r>
      <w:r w:rsidR="00D67EB8" w:rsidRPr="009118AB">
        <w:rPr>
          <w:bCs/>
          <w:i/>
          <w:iCs/>
        </w:rPr>
        <w:t>Art. </w:t>
      </w:r>
      <w:r w:rsidRPr="009118AB">
        <w:rPr>
          <w:bCs/>
          <w:i/>
          <w:iCs/>
        </w:rPr>
        <w:t xml:space="preserve">147 </w:t>
      </w:r>
      <w:r w:rsidR="00D67EB8" w:rsidRPr="009118AB">
        <w:rPr>
          <w:bCs/>
          <w:i/>
          <w:iCs/>
        </w:rPr>
        <w:t>Nr. </w:t>
      </w:r>
      <w:r w:rsidRPr="009118AB">
        <w:rPr>
          <w:bCs/>
          <w:i/>
          <w:iCs/>
        </w:rPr>
        <w:t xml:space="preserve">3 </w:t>
      </w:r>
      <w:r w:rsidRPr="009118AB">
        <w:rPr>
          <w:i/>
          <w:iCs/>
        </w:rPr>
        <w:t>des G. (I) vom 29. März </w:t>
      </w:r>
      <w:r w:rsidR="00DA621F" w:rsidRPr="009118AB">
        <w:rPr>
          <w:i/>
          <w:iCs/>
        </w:rPr>
        <w:t>2012 (B.S. vom 6. April 2012)</w:t>
      </w:r>
      <w:r w:rsidR="00D67EB8" w:rsidRPr="009118AB">
        <w:rPr>
          <w:i/>
          <w:iCs/>
        </w:rPr>
        <w:t> - </w:t>
      </w:r>
      <w:r w:rsidRPr="009118AB">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118AB">
        <w:rPr>
          <w:i/>
          <w:iCs/>
        </w:rPr>
        <w:t> - </w:t>
      </w:r>
      <w:r w:rsidRPr="009118AB">
        <w:rPr>
          <w:i/>
          <w:iCs/>
        </w:rPr>
        <w:t xml:space="preserve">und abgeändert </w:t>
      </w:r>
      <w:r w:rsidRPr="009118AB">
        <w:rPr>
          <w:bCs/>
          <w:i/>
          <w:iCs/>
        </w:rPr>
        <w:t xml:space="preserve">durch </w:t>
      </w:r>
      <w:r w:rsidR="00D67EB8" w:rsidRPr="009118AB">
        <w:rPr>
          <w:bCs/>
          <w:i/>
          <w:iCs/>
        </w:rPr>
        <w:t>Art. </w:t>
      </w:r>
      <w:r w:rsidRPr="009118AB">
        <w:rPr>
          <w:bCs/>
          <w:i/>
          <w:iCs/>
        </w:rPr>
        <w:t xml:space="preserve">89 </w:t>
      </w:r>
      <w:r w:rsidR="00D67EB8" w:rsidRPr="009118AB">
        <w:rPr>
          <w:bCs/>
          <w:i/>
          <w:iCs/>
        </w:rPr>
        <w:t>Nr. </w:t>
      </w:r>
      <w:r w:rsidRPr="009118AB">
        <w:rPr>
          <w:bCs/>
          <w:i/>
          <w:iCs/>
        </w:rPr>
        <w:t>11</w:t>
      </w:r>
      <w:r w:rsidRPr="009118AB">
        <w:rPr>
          <w:i/>
          <w:iCs/>
        </w:rPr>
        <w:t xml:space="preserve"> des G. vom 22. Juni 2012 (B.S. vom 28. Juni 2012)</w:t>
      </w:r>
      <w:r w:rsidR="00D67EB8" w:rsidRPr="009118AB">
        <w:rPr>
          <w:i/>
          <w:iCs/>
        </w:rPr>
        <w:t> - </w:t>
      </w:r>
      <w:r w:rsidRPr="009118AB">
        <w:rPr>
          <w:i/>
          <w:iCs/>
        </w:rPr>
        <w:t>in Kraft</w:t>
      </w:r>
      <w:r w:rsidRPr="009118AB">
        <w:rPr>
          <w:bCs/>
          <w:i/>
          <w:iCs/>
        </w:rPr>
        <w:t xml:space="preserve"> </w:t>
      </w:r>
      <w:r w:rsidRPr="009118AB">
        <w:rPr>
          <w:i/>
          <w:iCs/>
        </w:rPr>
        <w:t>am 1. Juli 2012</w:t>
      </w:r>
      <w:r w:rsidR="00D67EB8" w:rsidRPr="009118AB">
        <w:rPr>
          <w:i/>
          <w:iCs/>
        </w:rPr>
        <w:t> - </w:t>
      </w:r>
      <w:r w:rsidR="00B95694" w:rsidRPr="009118AB">
        <w:rPr>
          <w:i/>
          <w:iCs/>
        </w:rPr>
        <w:t xml:space="preserve">und </w:t>
      </w:r>
      <w:r w:rsidR="00D67EB8" w:rsidRPr="009118AB">
        <w:rPr>
          <w:i/>
          <w:iCs/>
        </w:rPr>
        <w:t>Art. </w:t>
      </w:r>
      <w:r w:rsidR="00B95694" w:rsidRPr="009118AB">
        <w:rPr>
          <w:i/>
          <w:iCs/>
        </w:rPr>
        <w:t xml:space="preserve">39 </w:t>
      </w:r>
      <w:r w:rsidR="00D67EB8" w:rsidRPr="009118AB">
        <w:rPr>
          <w:i/>
          <w:iCs/>
        </w:rPr>
        <w:t>Nr. </w:t>
      </w:r>
      <w:r w:rsidR="00B95694" w:rsidRPr="009118AB">
        <w:rPr>
          <w:i/>
          <w:iCs/>
        </w:rPr>
        <w:t>14 des G. vom 25. Dezember 2017 (III) (B.S. vom 29. Dezember 2017)</w:t>
      </w:r>
      <w:r w:rsidR="00D67EB8" w:rsidRPr="009118AB">
        <w:rPr>
          <w:i/>
          <w:iCs/>
        </w:rPr>
        <w:t> - </w:t>
      </w:r>
      <w:r w:rsidR="00B95694" w:rsidRPr="009118AB">
        <w:rPr>
          <w:i/>
          <w:iCs/>
        </w:rPr>
        <w:t>in Kraft am 1. Januar 2019 und anwendbar ab dem Steuerjahr 2020, das sich auf einen Besteuerungszeitraum bezieht, der frühestens am 1. Januar 2019 beginnt</w:t>
      </w:r>
      <w:r w:rsidR="003366D9" w:rsidRPr="009118AB">
        <w:rPr>
          <w:i/>
          <w:iCs/>
        </w:rPr>
        <w:t> -;</w:t>
      </w:r>
      <w:r w:rsidRPr="009118AB">
        <w:rPr>
          <w:i/>
          <w:iCs/>
        </w:rPr>
        <w:t xml:space="preserve"> </w:t>
      </w:r>
      <w:r w:rsidR="00D67EB8" w:rsidRPr="009118AB">
        <w:rPr>
          <w:i/>
          <w:iCs/>
          <w:spacing w:val="-2"/>
        </w:rPr>
        <w:t>§ </w:t>
      </w:r>
      <w:r w:rsidRPr="009118AB">
        <w:rPr>
          <w:i/>
          <w:iCs/>
          <w:spacing w:val="-2"/>
        </w:rPr>
        <w:t xml:space="preserve">4 eingefügt </w:t>
      </w:r>
      <w:r w:rsidRPr="009118AB">
        <w:rPr>
          <w:bCs/>
          <w:i/>
          <w:iCs/>
          <w:spacing w:val="-2"/>
        </w:rPr>
        <w:t xml:space="preserve">durch </w:t>
      </w:r>
      <w:r w:rsidR="00D67EB8" w:rsidRPr="009118AB">
        <w:rPr>
          <w:bCs/>
          <w:i/>
          <w:iCs/>
          <w:spacing w:val="-2"/>
        </w:rPr>
        <w:t>Art. </w:t>
      </w:r>
      <w:r w:rsidRPr="009118AB">
        <w:rPr>
          <w:bCs/>
          <w:i/>
          <w:iCs/>
          <w:spacing w:val="-2"/>
        </w:rPr>
        <w:t xml:space="preserve">89 </w:t>
      </w:r>
      <w:r w:rsidR="00D67EB8" w:rsidRPr="009118AB">
        <w:rPr>
          <w:bCs/>
          <w:i/>
          <w:iCs/>
          <w:spacing w:val="-2"/>
        </w:rPr>
        <w:t>Nr. </w:t>
      </w:r>
      <w:r w:rsidRPr="009118AB">
        <w:rPr>
          <w:bCs/>
          <w:i/>
          <w:iCs/>
          <w:spacing w:val="-2"/>
        </w:rPr>
        <w:t>12</w:t>
      </w:r>
      <w:r w:rsidRPr="009118AB">
        <w:rPr>
          <w:i/>
          <w:iCs/>
          <w:spacing w:val="-2"/>
        </w:rPr>
        <w:t xml:space="preserve"> des G. vom 22. Juni 2012 (B.S. vom 28. Juni 2012)</w:t>
      </w:r>
      <w:r w:rsidR="00D67EB8" w:rsidRPr="009118AB">
        <w:rPr>
          <w:i/>
          <w:iCs/>
          <w:spacing w:val="-2"/>
        </w:rPr>
        <w:t> - </w:t>
      </w:r>
      <w:r w:rsidRPr="009118AB">
        <w:rPr>
          <w:i/>
          <w:iCs/>
          <w:spacing w:val="-2"/>
        </w:rPr>
        <w:t>in Kraft</w:t>
      </w:r>
      <w:r w:rsidRPr="009118AB">
        <w:rPr>
          <w:bCs/>
          <w:i/>
          <w:iCs/>
          <w:spacing w:val="-2"/>
        </w:rPr>
        <w:t xml:space="preserve"> </w:t>
      </w:r>
      <w:r w:rsidRPr="009118AB">
        <w:rPr>
          <w:i/>
          <w:iCs/>
          <w:spacing w:val="-2"/>
        </w:rPr>
        <w:t>am 1. Juli 2012</w:t>
      </w:r>
      <w:r w:rsidR="003366D9" w:rsidRPr="009118AB">
        <w:rPr>
          <w:i/>
          <w:iCs/>
          <w:spacing w:val="-2"/>
        </w:rPr>
        <w:t> -;</w:t>
      </w:r>
      <w:r w:rsidR="00B95694" w:rsidRPr="009118AB">
        <w:rPr>
          <w:i/>
          <w:iCs/>
          <w:spacing w:val="-2"/>
        </w:rPr>
        <w:t xml:space="preserve"> </w:t>
      </w:r>
      <w:r w:rsidR="00D67EB8" w:rsidRPr="009118AB">
        <w:rPr>
          <w:i/>
          <w:iCs/>
          <w:spacing w:val="-2"/>
        </w:rPr>
        <w:t>§ </w:t>
      </w:r>
      <w:r w:rsidR="00B95694" w:rsidRPr="009118AB">
        <w:rPr>
          <w:i/>
          <w:iCs/>
          <w:spacing w:val="-2"/>
        </w:rPr>
        <w:t xml:space="preserve">4 </w:t>
      </w:r>
      <w:r w:rsidR="00D67EB8" w:rsidRPr="009118AB">
        <w:rPr>
          <w:i/>
          <w:iCs/>
          <w:spacing w:val="-2"/>
        </w:rPr>
        <w:t>Abs. </w:t>
      </w:r>
      <w:r w:rsidR="00B95694" w:rsidRPr="009118AB">
        <w:rPr>
          <w:i/>
          <w:iCs/>
          <w:spacing w:val="-2"/>
        </w:rPr>
        <w:t xml:space="preserve">1 abgeändert durch </w:t>
      </w:r>
      <w:r w:rsidR="00D67EB8" w:rsidRPr="009118AB">
        <w:rPr>
          <w:i/>
          <w:iCs/>
          <w:spacing w:val="-2"/>
        </w:rPr>
        <w:t>Art. </w:t>
      </w:r>
      <w:r w:rsidR="00B95694" w:rsidRPr="009118AB">
        <w:rPr>
          <w:i/>
          <w:iCs/>
          <w:spacing w:val="-2"/>
        </w:rPr>
        <w:t xml:space="preserve">39 </w:t>
      </w:r>
      <w:r w:rsidR="00D67EB8" w:rsidRPr="009118AB">
        <w:rPr>
          <w:i/>
          <w:iCs/>
          <w:spacing w:val="-2"/>
        </w:rPr>
        <w:t>Nr. </w:t>
      </w:r>
      <w:r w:rsidR="00B95694" w:rsidRPr="009118AB">
        <w:rPr>
          <w:i/>
          <w:iCs/>
          <w:spacing w:val="-2"/>
        </w:rPr>
        <w:t>15</w:t>
      </w:r>
      <w:r w:rsidR="00B95694" w:rsidRPr="009118AB">
        <w:rPr>
          <w:i/>
          <w:iCs/>
        </w:rPr>
        <w:t xml:space="preserve"> des G. vom 25. Dezember 2017 (III) (B.S. vom 29. Dezember 2017)</w:t>
      </w:r>
      <w:r w:rsidR="00D67EB8" w:rsidRPr="009118AB">
        <w:rPr>
          <w:i/>
          <w:iCs/>
        </w:rPr>
        <w:t> - </w:t>
      </w:r>
      <w:r w:rsidR="00B95694" w:rsidRPr="009118AB">
        <w:rPr>
          <w:i/>
          <w:iCs/>
        </w:rPr>
        <w:t>in Kraft am 1. Januar 2019 und anwendbar ab dem Steuerjahr 2020, das sich auf einen Besteuerungszeitraum bezieht, der frühestens am 1. Januar 2019 beginnt</w:t>
      </w:r>
      <w:r w:rsidR="003366D9" w:rsidRPr="009118AB">
        <w:rPr>
          <w:i/>
          <w:iCs/>
        </w:rPr>
        <w:t> -</w:t>
      </w:r>
      <w:r w:rsidRPr="009118AB">
        <w:rPr>
          <w:bCs/>
          <w:i/>
          <w:iCs/>
          <w:spacing w:val="-2"/>
        </w:rPr>
        <w:t>]</w:t>
      </w:r>
    </w:p>
    <w:p w14:paraId="079F0F04" w14:textId="77777777" w:rsidR="000F4874" w:rsidRDefault="000F4874" w:rsidP="0044234F">
      <w:pPr>
        <w:autoSpaceDE w:val="0"/>
        <w:autoSpaceDN w:val="0"/>
        <w:adjustRightInd w:val="0"/>
        <w:jc w:val="both"/>
        <w:rPr>
          <w:b/>
          <w:bCs/>
          <w:iCs/>
        </w:rPr>
      </w:pPr>
    </w:p>
    <w:p w14:paraId="0093DE0C" w14:textId="77777777" w:rsidR="000F4874" w:rsidRDefault="000F4874" w:rsidP="0044234F">
      <w:pPr>
        <w:autoSpaceDE w:val="0"/>
        <w:autoSpaceDN w:val="0"/>
        <w:adjustRightInd w:val="0"/>
        <w:jc w:val="both"/>
        <w:rPr>
          <w:b/>
          <w:bCs/>
          <w:iCs/>
        </w:rPr>
      </w:pPr>
    </w:p>
    <w:p w14:paraId="28DC3438" w14:textId="43F5918A" w:rsidR="00730367" w:rsidRPr="009118AB" w:rsidRDefault="00CF19FA" w:rsidP="0092156D">
      <w:pPr>
        <w:autoSpaceDE w:val="0"/>
        <w:autoSpaceDN w:val="0"/>
        <w:adjustRightInd w:val="0"/>
        <w:ind w:firstLine="709"/>
        <w:jc w:val="both"/>
        <w:rPr>
          <w:iCs/>
        </w:rPr>
      </w:pPr>
      <w:r w:rsidRPr="009118AB">
        <w:t>[</w:t>
      </w:r>
      <w:r w:rsidR="00D67EB8" w:rsidRPr="009118AB">
        <w:rPr>
          <w:b/>
          <w:bCs/>
          <w:iCs/>
        </w:rPr>
        <w:t>Art. </w:t>
      </w:r>
      <w:r w:rsidRPr="009118AB">
        <w:rPr>
          <w:b/>
          <w:bCs/>
          <w:iCs/>
        </w:rPr>
        <w:t>198/1</w:t>
      </w:r>
      <w:r w:rsidR="00D67EB8" w:rsidRPr="009118AB">
        <w:rPr>
          <w:iCs/>
        </w:rPr>
        <w:t> - § </w:t>
      </w:r>
      <w:r w:rsidR="00730367" w:rsidRPr="009118AB">
        <w:rPr>
          <w:iCs/>
        </w:rPr>
        <w:t>1</w:t>
      </w:r>
      <w:r w:rsidR="00D67EB8" w:rsidRPr="009118AB">
        <w:rPr>
          <w:iCs/>
        </w:rPr>
        <w:t> - </w:t>
      </w:r>
      <w:r w:rsidR="00730367" w:rsidRPr="009118AB">
        <w:rPr>
          <w:iCs/>
        </w:rPr>
        <w:t xml:space="preserve">Unbeschadet der Anwendung der Artikel 54 und 55 umfassen Werbungskosten nicht die in </w:t>
      </w:r>
      <w:r w:rsidR="00D67EB8" w:rsidRPr="009118AB">
        <w:rPr>
          <w:iCs/>
        </w:rPr>
        <w:t>§ </w:t>
      </w:r>
      <w:r w:rsidR="00730367" w:rsidRPr="009118AB">
        <w:rPr>
          <w:iCs/>
        </w:rPr>
        <w:t xml:space="preserve">2 erwähnten überschüssigen Fremdkapitalkosten, sofern der Gesamtbetrag dieser Zinsen den in </w:t>
      </w:r>
      <w:r w:rsidR="00D67EB8" w:rsidRPr="009118AB">
        <w:rPr>
          <w:iCs/>
        </w:rPr>
        <w:t>§ </w:t>
      </w:r>
      <w:r w:rsidR="00730367" w:rsidRPr="009118AB">
        <w:rPr>
          <w:iCs/>
        </w:rPr>
        <w:t>3 erwähnten Grenzbetrag übersteigt.</w:t>
      </w:r>
    </w:p>
    <w:p w14:paraId="22CC2209" w14:textId="77777777" w:rsidR="00730367" w:rsidRPr="009118AB" w:rsidRDefault="00730367" w:rsidP="00730367">
      <w:pPr>
        <w:autoSpaceDE w:val="0"/>
        <w:autoSpaceDN w:val="0"/>
        <w:adjustRightInd w:val="0"/>
        <w:jc w:val="both"/>
        <w:rPr>
          <w:iCs/>
        </w:rPr>
      </w:pPr>
    </w:p>
    <w:p w14:paraId="0C427702" w14:textId="11A5BE6B" w:rsidR="00730367" w:rsidRPr="009118AB" w:rsidRDefault="00D67EB8" w:rsidP="0092156D">
      <w:pPr>
        <w:autoSpaceDE w:val="0"/>
        <w:autoSpaceDN w:val="0"/>
        <w:adjustRightInd w:val="0"/>
        <w:ind w:firstLine="709"/>
        <w:jc w:val="both"/>
        <w:rPr>
          <w:iCs/>
        </w:rPr>
      </w:pPr>
      <w:r w:rsidRPr="009118AB">
        <w:rPr>
          <w:iCs/>
        </w:rPr>
        <w:t>§ </w:t>
      </w:r>
      <w:r w:rsidR="00730367" w:rsidRPr="009118AB">
        <w:rPr>
          <w:iCs/>
        </w:rPr>
        <w:t>2</w:t>
      </w:r>
      <w:r w:rsidRPr="009118AB">
        <w:rPr>
          <w:iCs/>
        </w:rPr>
        <w:t> - </w:t>
      </w:r>
      <w:r w:rsidR="00730367" w:rsidRPr="009118AB">
        <w:rPr>
          <w:iCs/>
        </w:rPr>
        <w:t>Für die Anwendung des vorliegenden Artikels versteht man unter überschüssigen Fremdkapitalkosten die Plusdifferenz zwischen:</w:t>
      </w:r>
    </w:p>
    <w:p w14:paraId="6CDC42FE" w14:textId="77777777" w:rsidR="00730367" w:rsidRPr="009118AB" w:rsidRDefault="00730367" w:rsidP="00730367">
      <w:pPr>
        <w:autoSpaceDE w:val="0"/>
        <w:autoSpaceDN w:val="0"/>
        <w:adjustRightInd w:val="0"/>
        <w:jc w:val="both"/>
        <w:rPr>
          <w:iCs/>
        </w:rPr>
      </w:pPr>
    </w:p>
    <w:p w14:paraId="5902FE1D" w14:textId="7FED489D" w:rsidR="00730367" w:rsidRPr="009118AB" w:rsidRDefault="00730367" w:rsidP="0092156D">
      <w:pPr>
        <w:autoSpaceDE w:val="0"/>
        <w:autoSpaceDN w:val="0"/>
        <w:adjustRightInd w:val="0"/>
        <w:ind w:firstLine="709"/>
        <w:jc w:val="both"/>
        <w:rPr>
          <w:iCs/>
        </w:rPr>
      </w:pPr>
      <w:r w:rsidRPr="009118AB">
        <w:rPr>
          <w:iCs/>
        </w:rPr>
        <w:t xml:space="preserve">- einerseits der Gesamtheit der Zinsen und sonstigen vom König beschriebenen Kosten, die wirtschaftlich gleichwertig mit Zinsen sind, die </w:t>
      </w:r>
      <w:r w:rsidR="0057314A" w:rsidRPr="009118AB">
        <w:rPr>
          <w:iCs/>
        </w:rPr>
        <w:t>[</w:t>
      </w:r>
      <w:r w:rsidR="0057314A" w:rsidRPr="009118AB">
        <w:t>gemäß den anderen Artikeln des vorliegenden Gesetzbuches</w:t>
      </w:r>
      <w:r w:rsidR="0057314A" w:rsidRPr="009118AB">
        <w:rPr>
          <w:iCs/>
        </w:rPr>
        <w:t>]</w:t>
      </w:r>
      <w:r w:rsidRPr="009118AB">
        <w:rPr>
          <w:iCs/>
        </w:rPr>
        <w:t xml:space="preserve"> als Werbungskosten des Besteuerungszeitraums gelten und nicht mit einer Betriebsstätte verbunden sind, deren Gewinne aufgrund eines Abkommens zur Vermeidung der Doppelbesteuerung steuerfrei sind,</w:t>
      </w:r>
    </w:p>
    <w:p w14:paraId="62DB717B" w14:textId="77777777" w:rsidR="00730367" w:rsidRPr="009118AB" w:rsidRDefault="00730367" w:rsidP="00730367">
      <w:pPr>
        <w:autoSpaceDE w:val="0"/>
        <w:autoSpaceDN w:val="0"/>
        <w:adjustRightInd w:val="0"/>
        <w:jc w:val="both"/>
        <w:rPr>
          <w:iCs/>
        </w:rPr>
      </w:pPr>
    </w:p>
    <w:p w14:paraId="179D5873" w14:textId="77777777" w:rsidR="00730367" w:rsidRPr="009118AB" w:rsidRDefault="00730367" w:rsidP="0092156D">
      <w:pPr>
        <w:autoSpaceDE w:val="0"/>
        <w:autoSpaceDN w:val="0"/>
        <w:adjustRightInd w:val="0"/>
        <w:ind w:firstLine="709"/>
        <w:jc w:val="both"/>
        <w:rPr>
          <w:iCs/>
        </w:rPr>
      </w:pPr>
      <w:r w:rsidRPr="009118AB">
        <w:rPr>
          <w:iCs/>
        </w:rPr>
        <w:t>- und andererseits der Gesamtheit der Zinsen und sonstigen vom König beschriebenen Erträge, die wirtschaftlich gleichwertig mit Zinsen sind, die in die Gewinne des Besteuerungszeitraums einbezogen werden und nicht aufgrund eines Abkommens zur Vermeidung der Doppelbesteuerung steuerfrei sind.</w:t>
      </w:r>
    </w:p>
    <w:p w14:paraId="2AB099FA" w14:textId="46158FF1" w:rsidR="004058B4" w:rsidRPr="009118AB" w:rsidRDefault="004058B4">
      <w:pPr>
        <w:rPr>
          <w:iCs/>
        </w:rPr>
      </w:pPr>
    </w:p>
    <w:p w14:paraId="4234C2D2" w14:textId="5B7686E6" w:rsidR="00730367" w:rsidRPr="009118AB" w:rsidRDefault="00730367" w:rsidP="0092156D">
      <w:pPr>
        <w:autoSpaceDE w:val="0"/>
        <w:autoSpaceDN w:val="0"/>
        <w:adjustRightInd w:val="0"/>
        <w:ind w:firstLine="709"/>
        <w:jc w:val="both"/>
        <w:rPr>
          <w:iCs/>
        </w:rPr>
      </w:pPr>
      <w:r w:rsidRPr="009118AB">
        <w:rPr>
          <w:iCs/>
        </w:rPr>
        <w:t xml:space="preserve">Werden die vom König festgelegten Modalitäten eingehalten, werden </w:t>
      </w:r>
      <w:r w:rsidR="0057314A" w:rsidRPr="009118AB">
        <w:rPr>
          <w:iCs/>
        </w:rPr>
        <w:t>[</w:t>
      </w:r>
      <w:r w:rsidR="0057314A" w:rsidRPr="009118AB">
        <w:t>die Zinsen und sonstigen vom König beschriebenen Kosten oder Erträge, die wirtschaftlich gleichwertig mit Zinsen sind,</w:t>
      </w:r>
      <w:r w:rsidR="0057314A" w:rsidRPr="009118AB">
        <w:rPr>
          <w:iCs/>
        </w:rPr>
        <w:t>]</w:t>
      </w:r>
      <w:r w:rsidRPr="009118AB">
        <w:rPr>
          <w:iCs/>
        </w:rPr>
        <w:t xml:space="preserve"> auf folgende Anleihen bei der Festlegung der überschüssigen Fremdkapitalkosten nicht berücksichtigt:</w:t>
      </w:r>
    </w:p>
    <w:p w14:paraId="7D22CF1F" w14:textId="77777777" w:rsidR="00730367" w:rsidRPr="009118AB" w:rsidRDefault="00730367" w:rsidP="00730367">
      <w:pPr>
        <w:autoSpaceDE w:val="0"/>
        <w:autoSpaceDN w:val="0"/>
        <w:adjustRightInd w:val="0"/>
        <w:jc w:val="both"/>
        <w:rPr>
          <w:iCs/>
        </w:rPr>
      </w:pPr>
    </w:p>
    <w:p w14:paraId="3B70DA7D" w14:textId="77777777" w:rsidR="00730367" w:rsidRPr="009118AB" w:rsidRDefault="00730367" w:rsidP="0092156D">
      <w:pPr>
        <w:autoSpaceDE w:val="0"/>
        <w:autoSpaceDN w:val="0"/>
        <w:adjustRightInd w:val="0"/>
        <w:ind w:firstLine="709"/>
        <w:jc w:val="both"/>
        <w:rPr>
          <w:iCs/>
        </w:rPr>
      </w:pPr>
      <w:r w:rsidRPr="009118AB">
        <w:rPr>
          <w:iCs/>
        </w:rPr>
        <w:t>- Anleihen, für die der Steuerpflichtige nachgewiesen hat, dass der Vertrag vor dem 17. Juni 2016 geschlossen wurde, und die seit diesem Datum keine grundlegenden Änderungen erfahren haben,</w:t>
      </w:r>
    </w:p>
    <w:p w14:paraId="737ABB8F" w14:textId="77777777" w:rsidR="00730367" w:rsidRPr="009118AB" w:rsidRDefault="00730367" w:rsidP="00730367">
      <w:pPr>
        <w:autoSpaceDE w:val="0"/>
        <w:autoSpaceDN w:val="0"/>
        <w:adjustRightInd w:val="0"/>
        <w:jc w:val="both"/>
        <w:rPr>
          <w:iCs/>
        </w:rPr>
      </w:pPr>
    </w:p>
    <w:p w14:paraId="467A4819" w14:textId="7FDDB885" w:rsidR="00730367" w:rsidRPr="009118AB" w:rsidRDefault="00730367" w:rsidP="0092156D">
      <w:pPr>
        <w:autoSpaceDE w:val="0"/>
        <w:autoSpaceDN w:val="0"/>
        <w:adjustRightInd w:val="0"/>
        <w:ind w:firstLine="709"/>
        <w:jc w:val="both"/>
        <w:rPr>
          <w:iCs/>
        </w:rPr>
      </w:pPr>
      <w:r w:rsidRPr="009118AB">
        <w:rPr>
          <w:iCs/>
        </w:rPr>
        <w:t xml:space="preserve">- Anleihen, </w:t>
      </w:r>
      <w:r w:rsidR="0020287D" w:rsidRPr="009118AB">
        <w:rPr>
          <w:iCs/>
        </w:rPr>
        <w:t>[</w:t>
      </w:r>
      <w:r w:rsidR="0020287D" w:rsidRPr="009118AB">
        <w:t>die in Ausführung eines langfristigen öffentlichen Infrastrukturprojekts aufgenommen werden,</w:t>
      </w:r>
      <w:r w:rsidR="0020287D" w:rsidRPr="009118AB">
        <w:rPr>
          <w:iCs/>
        </w:rPr>
        <w:t>]</w:t>
      </w:r>
      <w:r w:rsidRPr="009118AB">
        <w:rPr>
          <w:iCs/>
        </w:rPr>
        <w:t xml:space="preserve"> wenn Projektbetreiber, Fremdkapitalkosten, Aktiva und Einkünfte alle in der Europäischen Union gelegen sind.</w:t>
      </w:r>
    </w:p>
    <w:p w14:paraId="5C2CB754" w14:textId="77777777" w:rsidR="00730367" w:rsidRPr="009118AB" w:rsidRDefault="00730367" w:rsidP="00730367">
      <w:pPr>
        <w:autoSpaceDE w:val="0"/>
        <w:autoSpaceDN w:val="0"/>
        <w:adjustRightInd w:val="0"/>
        <w:jc w:val="both"/>
        <w:rPr>
          <w:iCs/>
        </w:rPr>
      </w:pPr>
    </w:p>
    <w:p w14:paraId="3A81FFF6" w14:textId="77777777" w:rsidR="00730367" w:rsidRPr="009118AB" w:rsidRDefault="00730367" w:rsidP="0092156D">
      <w:pPr>
        <w:autoSpaceDE w:val="0"/>
        <w:autoSpaceDN w:val="0"/>
        <w:adjustRightInd w:val="0"/>
        <w:ind w:firstLine="709"/>
        <w:jc w:val="both"/>
        <w:rPr>
          <w:iCs/>
        </w:rPr>
      </w:pPr>
      <w:r w:rsidRPr="009118AB">
        <w:rPr>
          <w:iCs/>
        </w:rPr>
        <w:t>Ist der Steuerpflichtige Teil einer Unternehmensgruppe, werden die Zinsen und sonstigen vom König beschriebenen Kosten oder Erträge, die wirtschaftlich gleichwertig mit Zinsen sind, die einer inländischen Gesellschaft oder einer belgischen Niederlassung, die Teil dieser Gruppe ist und nicht von der Anwendung des vorliegenden Artikels ausgeschlossen ist, geschuldet werden oder von einer solchen Gesellschaft oder Niederlassung geschuldet werden, bei der Festlegung der überschüssigen Fremdkapitalkosten nicht berücksichtigt.</w:t>
      </w:r>
    </w:p>
    <w:p w14:paraId="2845502B" w14:textId="77777777" w:rsidR="00730367" w:rsidRPr="009118AB" w:rsidRDefault="00730367" w:rsidP="00730367">
      <w:pPr>
        <w:autoSpaceDE w:val="0"/>
        <w:autoSpaceDN w:val="0"/>
        <w:adjustRightInd w:val="0"/>
        <w:jc w:val="both"/>
        <w:rPr>
          <w:iCs/>
        </w:rPr>
      </w:pPr>
    </w:p>
    <w:p w14:paraId="06214642" w14:textId="35C60061" w:rsidR="00730367" w:rsidRPr="009118AB" w:rsidRDefault="00D67EB8" w:rsidP="0092156D">
      <w:pPr>
        <w:autoSpaceDE w:val="0"/>
        <w:autoSpaceDN w:val="0"/>
        <w:adjustRightInd w:val="0"/>
        <w:ind w:firstLine="709"/>
        <w:jc w:val="both"/>
        <w:rPr>
          <w:iCs/>
        </w:rPr>
      </w:pPr>
      <w:r w:rsidRPr="009118AB">
        <w:rPr>
          <w:iCs/>
        </w:rPr>
        <w:t>§ </w:t>
      </w:r>
      <w:r w:rsidR="00730367" w:rsidRPr="009118AB">
        <w:rPr>
          <w:iCs/>
        </w:rPr>
        <w:t>3</w:t>
      </w:r>
      <w:r w:rsidRPr="009118AB">
        <w:rPr>
          <w:iCs/>
        </w:rPr>
        <w:t> - </w:t>
      </w:r>
      <w:r w:rsidR="00730367" w:rsidRPr="009118AB">
        <w:rPr>
          <w:iCs/>
        </w:rPr>
        <w:t>Der in vorliegendem Artikel erwähnte Grenzbetrag ist der höchste der beiden folgenden Beträge:</w:t>
      </w:r>
    </w:p>
    <w:p w14:paraId="45911423" w14:textId="77777777" w:rsidR="00730367" w:rsidRPr="009118AB" w:rsidRDefault="00730367" w:rsidP="00730367">
      <w:pPr>
        <w:autoSpaceDE w:val="0"/>
        <w:autoSpaceDN w:val="0"/>
        <w:adjustRightInd w:val="0"/>
        <w:jc w:val="both"/>
        <w:rPr>
          <w:iCs/>
        </w:rPr>
      </w:pPr>
    </w:p>
    <w:p w14:paraId="69BE6B76" w14:textId="77777777" w:rsidR="00730367" w:rsidRPr="009118AB" w:rsidRDefault="00730367" w:rsidP="0092156D">
      <w:pPr>
        <w:autoSpaceDE w:val="0"/>
        <w:autoSpaceDN w:val="0"/>
        <w:adjustRightInd w:val="0"/>
        <w:ind w:firstLine="709"/>
        <w:jc w:val="both"/>
        <w:rPr>
          <w:iCs/>
        </w:rPr>
      </w:pPr>
      <w:r w:rsidRPr="009118AB">
        <w:rPr>
          <w:i/>
          <w:iCs/>
        </w:rPr>
        <w:t>a)</w:t>
      </w:r>
      <w:r w:rsidRPr="009118AB">
        <w:rPr>
          <w:iCs/>
        </w:rPr>
        <w:t> 3 Millionen EUR,</w:t>
      </w:r>
    </w:p>
    <w:p w14:paraId="492D8B86" w14:textId="77777777" w:rsidR="00730367" w:rsidRPr="009118AB" w:rsidRDefault="00730367" w:rsidP="00730367">
      <w:pPr>
        <w:autoSpaceDE w:val="0"/>
        <w:autoSpaceDN w:val="0"/>
        <w:adjustRightInd w:val="0"/>
        <w:jc w:val="both"/>
        <w:rPr>
          <w:iCs/>
        </w:rPr>
      </w:pPr>
    </w:p>
    <w:p w14:paraId="734E5E9B" w14:textId="64A91D36" w:rsidR="00730367" w:rsidRPr="009118AB" w:rsidRDefault="00730367" w:rsidP="0092156D">
      <w:pPr>
        <w:autoSpaceDE w:val="0"/>
        <w:autoSpaceDN w:val="0"/>
        <w:adjustRightInd w:val="0"/>
        <w:ind w:firstLine="709"/>
        <w:jc w:val="both"/>
        <w:rPr>
          <w:iCs/>
        </w:rPr>
      </w:pPr>
      <w:r w:rsidRPr="009118AB">
        <w:rPr>
          <w:i/>
          <w:iCs/>
        </w:rPr>
        <w:t>b)</w:t>
      </w:r>
      <w:r w:rsidRPr="009118AB">
        <w:rPr>
          <w:iCs/>
        </w:rPr>
        <w:t xml:space="preserve"> 30 Prozent des EBITDA des Steuerpflichtigen, </w:t>
      </w:r>
      <w:r w:rsidR="0020287D" w:rsidRPr="009118AB">
        <w:rPr>
          <w:iCs/>
        </w:rPr>
        <w:t>[</w:t>
      </w:r>
      <w:r w:rsidR="0020287D" w:rsidRPr="009118AB">
        <w:t>das sich gemäß vorliegendem Paragraphen zusammensetzt</w:t>
      </w:r>
      <w:r w:rsidR="0020287D" w:rsidRPr="009118AB">
        <w:rPr>
          <w:iCs/>
        </w:rPr>
        <w:t>]</w:t>
      </w:r>
      <w:r w:rsidRPr="009118AB">
        <w:rPr>
          <w:iCs/>
        </w:rPr>
        <w:t>.</w:t>
      </w:r>
    </w:p>
    <w:p w14:paraId="209052BA" w14:textId="77777777" w:rsidR="00730367" w:rsidRPr="009118AB" w:rsidRDefault="00730367" w:rsidP="00730367">
      <w:pPr>
        <w:autoSpaceDE w:val="0"/>
        <w:autoSpaceDN w:val="0"/>
        <w:adjustRightInd w:val="0"/>
        <w:jc w:val="both"/>
        <w:rPr>
          <w:iCs/>
        </w:rPr>
      </w:pPr>
    </w:p>
    <w:p w14:paraId="6120A007" w14:textId="77777777" w:rsidR="00A5386F" w:rsidRDefault="00A5386F">
      <w:pPr>
        <w:rPr>
          <w:iCs/>
        </w:rPr>
      </w:pPr>
      <w:r>
        <w:rPr>
          <w:iCs/>
        </w:rPr>
        <w:br w:type="page"/>
      </w:r>
    </w:p>
    <w:p w14:paraId="5BC26B22" w14:textId="078A5662" w:rsidR="00730367" w:rsidRPr="009118AB" w:rsidRDefault="00730367" w:rsidP="0092156D">
      <w:pPr>
        <w:autoSpaceDE w:val="0"/>
        <w:autoSpaceDN w:val="0"/>
        <w:adjustRightInd w:val="0"/>
        <w:ind w:firstLine="709"/>
        <w:jc w:val="both"/>
        <w:rPr>
          <w:iCs/>
        </w:rPr>
      </w:pPr>
      <w:r w:rsidRPr="009118AB">
        <w:rPr>
          <w:iCs/>
        </w:rPr>
        <w:lastRenderedPageBreak/>
        <w:t>Das EBITDA setzt sich zusammen aus dem Ergebnis des Besteuerungszeitraums, erhöht um:</w:t>
      </w:r>
    </w:p>
    <w:p w14:paraId="4C94CEB8" w14:textId="77777777" w:rsidR="00730367" w:rsidRPr="009118AB" w:rsidRDefault="00730367" w:rsidP="00730367">
      <w:pPr>
        <w:autoSpaceDE w:val="0"/>
        <w:autoSpaceDN w:val="0"/>
        <w:adjustRightInd w:val="0"/>
        <w:jc w:val="both"/>
        <w:rPr>
          <w:iCs/>
        </w:rPr>
      </w:pPr>
    </w:p>
    <w:p w14:paraId="03CB3ABF" w14:textId="59694724" w:rsidR="00730367" w:rsidRPr="009118AB" w:rsidRDefault="00730367" w:rsidP="0092156D">
      <w:pPr>
        <w:autoSpaceDE w:val="0"/>
        <w:autoSpaceDN w:val="0"/>
        <w:adjustRightInd w:val="0"/>
        <w:ind w:firstLine="709"/>
        <w:jc w:val="both"/>
        <w:rPr>
          <w:iCs/>
        </w:rPr>
      </w:pPr>
      <w:r w:rsidRPr="009118AB">
        <w:rPr>
          <w:iCs/>
        </w:rPr>
        <w:t>- die Abschreibungen und Wertminderungen, die als Werbungskosten des Besteuerungszeitraums gelten,</w:t>
      </w:r>
    </w:p>
    <w:p w14:paraId="36DB1276" w14:textId="0D5FFF4E" w:rsidR="008826F1" w:rsidRPr="009118AB" w:rsidRDefault="008826F1" w:rsidP="0092156D">
      <w:pPr>
        <w:autoSpaceDE w:val="0"/>
        <w:autoSpaceDN w:val="0"/>
        <w:adjustRightInd w:val="0"/>
        <w:ind w:firstLine="709"/>
        <w:jc w:val="both"/>
        <w:rPr>
          <w:iCs/>
        </w:rPr>
      </w:pPr>
    </w:p>
    <w:p w14:paraId="36D1FCEC" w14:textId="7F3B9E2B" w:rsidR="008826F1" w:rsidRPr="009118AB" w:rsidRDefault="008826F1" w:rsidP="0092156D">
      <w:pPr>
        <w:autoSpaceDE w:val="0"/>
        <w:autoSpaceDN w:val="0"/>
        <w:adjustRightInd w:val="0"/>
        <w:ind w:firstLine="709"/>
        <w:jc w:val="both"/>
        <w:rPr>
          <w:iCs/>
        </w:rPr>
      </w:pPr>
      <w:r w:rsidRPr="009118AB">
        <w:rPr>
          <w:iCs/>
        </w:rPr>
        <w:t>[</w:t>
      </w:r>
      <w:r w:rsidRPr="009118AB">
        <w:t>- die in Artikel 194</w:t>
      </w:r>
      <w:r w:rsidRPr="009118AB">
        <w:rPr>
          <w:i/>
          <w:iCs/>
        </w:rPr>
        <w:t>sexies</w:t>
      </w:r>
      <w:r w:rsidRPr="009118AB">
        <w:t xml:space="preserve"> erwähnten steuerfreien Gewinne,</w:t>
      </w:r>
      <w:r w:rsidRPr="009118AB">
        <w:rPr>
          <w:iCs/>
        </w:rPr>
        <w:t>]</w:t>
      </w:r>
    </w:p>
    <w:p w14:paraId="269952F5" w14:textId="77777777" w:rsidR="00730367" w:rsidRPr="009118AB" w:rsidRDefault="00730367" w:rsidP="00730367">
      <w:pPr>
        <w:autoSpaceDE w:val="0"/>
        <w:autoSpaceDN w:val="0"/>
        <w:adjustRightInd w:val="0"/>
        <w:jc w:val="both"/>
        <w:rPr>
          <w:iCs/>
        </w:rPr>
      </w:pPr>
    </w:p>
    <w:p w14:paraId="631042DD" w14:textId="629BB3B1" w:rsidR="00730367" w:rsidRPr="009118AB" w:rsidRDefault="00730367" w:rsidP="0092156D">
      <w:pPr>
        <w:autoSpaceDE w:val="0"/>
        <w:autoSpaceDN w:val="0"/>
        <w:adjustRightInd w:val="0"/>
        <w:ind w:firstLine="709"/>
        <w:jc w:val="both"/>
        <w:rPr>
          <w:iCs/>
        </w:rPr>
      </w:pPr>
      <w:r w:rsidRPr="009118AB">
        <w:rPr>
          <w:iCs/>
        </w:rPr>
        <w:t xml:space="preserve">- die in </w:t>
      </w:r>
      <w:r w:rsidR="00D67EB8" w:rsidRPr="009118AB">
        <w:rPr>
          <w:iCs/>
        </w:rPr>
        <w:t>§ </w:t>
      </w:r>
      <w:r w:rsidRPr="009118AB">
        <w:rPr>
          <w:iCs/>
        </w:rPr>
        <w:t xml:space="preserve">2 erwähnten überschüssigen Fremdkapitalkosten, mit Ausnahme des Teils, der gemäß </w:t>
      </w:r>
      <w:r w:rsidR="00D67EB8" w:rsidRPr="009118AB">
        <w:rPr>
          <w:iCs/>
        </w:rPr>
        <w:t>§ </w:t>
      </w:r>
      <w:r w:rsidRPr="009118AB">
        <w:rPr>
          <w:iCs/>
        </w:rPr>
        <w:t>1 nicht als Werbungskosten gilt,</w:t>
      </w:r>
    </w:p>
    <w:p w14:paraId="01E20B87" w14:textId="77777777" w:rsidR="00730367" w:rsidRPr="009118AB" w:rsidRDefault="00730367" w:rsidP="00730367">
      <w:pPr>
        <w:autoSpaceDE w:val="0"/>
        <w:autoSpaceDN w:val="0"/>
        <w:adjustRightInd w:val="0"/>
        <w:jc w:val="both"/>
        <w:rPr>
          <w:iCs/>
        </w:rPr>
      </w:pPr>
    </w:p>
    <w:p w14:paraId="57E0FB74" w14:textId="77777777" w:rsidR="00730367" w:rsidRPr="009118AB" w:rsidRDefault="0092156D" w:rsidP="0092156D">
      <w:pPr>
        <w:rPr>
          <w:iCs/>
        </w:rPr>
      </w:pPr>
      <w:r w:rsidRPr="009118AB">
        <w:rPr>
          <w:iCs/>
        </w:rPr>
        <w:tab/>
      </w:r>
      <w:r w:rsidR="00730367" w:rsidRPr="009118AB">
        <w:rPr>
          <w:iCs/>
        </w:rPr>
        <w:t>und verringert um:</w:t>
      </w:r>
    </w:p>
    <w:p w14:paraId="6D1B80EF" w14:textId="77777777" w:rsidR="00730367" w:rsidRPr="009118AB" w:rsidRDefault="00730367" w:rsidP="00730367">
      <w:pPr>
        <w:autoSpaceDE w:val="0"/>
        <w:autoSpaceDN w:val="0"/>
        <w:adjustRightInd w:val="0"/>
        <w:jc w:val="both"/>
        <w:rPr>
          <w:iCs/>
        </w:rPr>
      </w:pPr>
    </w:p>
    <w:p w14:paraId="532E41F7" w14:textId="77777777" w:rsidR="00730367" w:rsidRPr="009118AB" w:rsidRDefault="00730367" w:rsidP="0092156D">
      <w:pPr>
        <w:autoSpaceDE w:val="0"/>
        <w:autoSpaceDN w:val="0"/>
        <w:adjustRightInd w:val="0"/>
        <w:ind w:firstLine="709"/>
        <w:jc w:val="both"/>
        <w:rPr>
          <w:iCs/>
        </w:rPr>
      </w:pPr>
      <w:r w:rsidRPr="009118AB">
        <w:rPr>
          <w:iCs/>
        </w:rPr>
        <w:t>- den in Artikel 205/5 erwähnten Betrag des Konzernbeitrags, der von den Gewinnen des Besteuerungszeitraums abgezogen wird,</w:t>
      </w:r>
    </w:p>
    <w:p w14:paraId="30A5855C" w14:textId="77777777" w:rsidR="00730367" w:rsidRPr="009118AB" w:rsidRDefault="00730367" w:rsidP="00730367">
      <w:pPr>
        <w:autoSpaceDE w:val="0"/>
        <w:autoSpaceDN w:val="0"/>
        <w:adjustRightInd w:val="0"/>
        <w:jc w:val="both"/>
        <w:rPr>
          <w:iCs/>
        </w:rPr>
      </w:pPr>
    </w:p>
    <w:p w14:paraId="58F9F216" w14:textId="77777777" w:rsidR="00730367" w:rsidRPr="009118AB" w:rsidRDefault="00730367" w:rsidP="0092156D">
      <w:pPr>
        <w:autoSpaceDE w:val="0"/>
        <w:autoSpaceDN w:val="0"/>
        <w:adjustRightInd w:val="0"/>
        <w:ind w:firstLine="709"/>
        <w:jc w:val="both"/>
        <w:rPr>
          <w:iCs/>
        </w:rPr>
      </w:pPr>
      <w:r w:rsidRPr="009118AB">
        <w:rPr>
          <w:iCs/>
        </w:rPr>
        <w:t>- die in Artikel 202 erwähnten Einkünfte des Besteuerungszeitraums, die gemäß den Artikeln 203 bis 205 von den Gewinnen des laufenden Besteuerungszeitraums oder eines folgenden Besteuerungszeitraums abgezogen werden können,</w:t>
      </w:r>
    </w:p>
    <w:p w14:paraId="07C923C4" w14:textId="77777777" w:rsidR="00730367" w:rsidRPr="009118AB" w:rsidRDefault="00730367" w:rsidP="00730367">
      <w:pPr>
        <w:autoSpaceDE w:val="0"/>
        <w:autoSpaceDN w:val="0"/>
        <w:adjustRightInd w:val="0"/>
        <w:jc w:val="both"/>
        <w:rPr>
          <w:iCs/>
        </w:rPr>
      </w:pPr>
    </w:p>
    <w:p w14:paraId="4A6DCDA6" w14:textId="77777777" w:rsidR="00730367" w:rsidRPr="009118AB" w:rsidRDefault="00730367" w:rsidP="0092156D">
      <w:pPr>
        <w:autoSpaceDE w:val="0"/>
        <w:autoSpaceDN w:val="0"/>
        <w:adjustRightInd w:val="0"/>
        <w:ind w:firstLine="709"/>
        <w:jc w:val="both"/>
        <w:rPr>
          <w:iCs/>
        </w:rPr>
      </w:pPr>
      <w:r w:rsidRPr="009118AB">
        <w:rPr>
          <w:iCs/>
        </w:rPr>
        <w:t>- 85 Prozent der in den Artikeln 205/2 und 205/3 erwähnten Einkünfte des Besteuerungszeitraums, die gemäß Artikel 205/1 von den Gewinnen des laufenden Besteuerungszeitraums oder eines folgenden Besteuerungszeitraums abgezogen werden können,</w:t>
      </w:r>
    </w:p>
    <w:p w14:paraId="71774307" w14:textId="77777777" w:rsidR="00730367" w:rsidRPr="009118AB" w:rsidRDefault="00730367" w:rsidP="00730367">
      <w:pPr>
        <w:autoSpaceDE w:val="0"/>
        <w:autoSpaceDN w:val="0"/>
        <w:adjustRightInd w:val="0"/>
        <w:jc w:val="both"/>
        <w:rPr>
          <w:iCs/>
        </w:rPr>
      </w:pPr>
    </w:p>
    <w:p w14:paraId="075348B3" w14:textId="77777777" w:rsidR="00730367" w:rsidRPr="009118AB" w:rsidRDefault="00730367" w:rsidP="0092156D">
      <w:pPr>
        <w:autoSpaceDE w:val="0"/>
        <w:autoSpaceDN w:val="0"/>
        <w:adjustRightInd w:val="0"/>
        <w:ind w:firstLine="709"/>
        <w:jc w:val="both"/>
        <w:rPr>
          <w:iCs/>
        </w:rPr>
      </w:pPr>
      <w:r w:rsidRPr="009118AB">
        <w:rPr>
          <w:iCs/>
        </w:rPr>
        <w:t>- 80 Prozent der gemäß Artikel 543 bestimmten Einkünfte aus Patenten, die für den Abzug von den Gewinnen des Besteuerungszeitraums berücksichtigt werden,</w:t>
      </w:r>
    </w:p>
    <w:p w14:paraId="2118B6E6" w14:textId="77777777" w:rsidR="00730367" w:rsidRPr="009118AB" w:rsidRDefault="00730367" w:rsidP="00730367">
      <w:pPr>
        <w:autoSpaceDE w:val="0"/>
        <w:autoSpaceDN w:val="0"/>
        <w:adjustRightInd w:val="0"/>
        <w:jc w:val="both"/>
        <w:rPr>
          <w:iCs/>
        </w:rPr>
      </w:pPr>
    </w:p>
    <w:p w14:paraId="4C2D4E0D" w14:textId="77777777" w:rsidR="00730367" w:rsidRPr="009118AB" w:rsidRDefault="00730367" w:rsidP="0092156D">
      <w:pPr>
        <w:autoSpaceDE w:val="0"/>
        <w:autoSpaceDN w:val="0"/>
        <w:adjustRightInd w:val="0"/>
        <w:ind w:firstLine="709"/>
        <w:jc w:val="both"/>
        <w:rPr>
          <w:iCs/>
        </w:rPr>
      </w:pPr>
      <w:r w:rsidRPr="009118AB">
        <w:rPr>
          <w:iCs/>
        </w:rPr>
        <w:t>- den Teil der Gewinne des Besteuerungszeitraums, der aufgrund eines Abkommens zur Vermeidung der Doppelbesteuerung steuerfrei ist,</w:t>
      </w:r>
    </w:p>
    <w:p w14:paraId="011820EB" w14:textId="77777777" w:rsidR="00730367" w:rsidRPr="009118AB" w:rsidRDefault="00730367" w:rsidP="00730367">
      <w:pPr>
        <w:autoSpaceDE w:val="0"/>
        <w:autoSpaceDN w:val="0"/>
        <w:adjustRightInd w:val="0"/>
        <w:jc w:val="both"/>
        <w:rPr>
          <w:iCs/>
        </w:rPr>
      </w:pPr>
    </w:p>
    <w:p w14:paraId="15B382D5" w14:textId="086B785D" w:rsidR="00730367" w:rsidRPr="009118AB" w:rsidRDefault="00730367" w:rsidP="0092156D">
      <w:pPr>
        <w:autoSpaceDE w:val="0"/>
        <w:autoSpaceDN w:val="0"/>
        <w:adjustRightInd w:val="0"/>
        <w:ind w:firstLine="709"/>
        <w:jc w:val="both"/>
        <w:rPr>
          <w:iCs/>
        </w:rPr>
      </w:pPr>
      <w:r w:rsidRPr="009118AB">
        <w:rPr>
          <w:iCs/>
        </w:rPr>
        <w:t xml:space="preserve">- die Gewinne, </w:t>
      </w:r>
      <w:r w:rsidR="0020287D" w:rsidRPr="009118AB">
        <w:rPr>
          <w:iCs/>
        </w:rPr>
        <w:t>[</w:t>
      </w:r>
      <w:r w:rsidR="0020287D" w:rsidRPr="009118AB">
        <w:t>die in Ausführung eines langfristigen öffentlichen Infrastrukturprojekts erzielt werden,</w:t>
      </w:r>
      <w:r w:rsidR="0020287D" w:rsidRPr="009118AB">
        <w:rPr>
          <w:iCs/>
        </w:rPr>
        <w:t>]</w:t>
      </w:r>
      <w:r w:rsidRPr="009118AB">
        <w:rPr>
          <w:iCs/>
        </w:rPr>
        <w:t xml:space="preserve"> wenn Projektbetreiber, Fremdkapitalkosten, Aktiva und Einkünfte alle in der Europäischen Union gelegen sind.</w:t>
      </w:r>
    </w:p>
    <w:p w14:paraId="22AEE658" w14:textId="77777777" w:rsidR="00730367" w:rsidRPr="009118AB" w:rsidRDefault="00730367" w:rsidP="00730367">
      <w:pPr>
        <w:autoSpaceDE w:val="0"/>
        <w:autoSpaceDN w:val="0"/>
        <w:adjustRightInd w:val="0"/>
        <w:jc w:val="both"/>
        <w:rPr>
          <w:iCs/>
        </w:rPr>
      </w:pPr>
    </w:p>
    <w:p w14:paraId="2AC78F74" w14:textId="77777777" w:rsidR="00730367" w:rsidRPr="009118AB" w:rsidRDefault="00730367" w:rsidP="0092156D">
      <w:pPr>
        <w:autoSpaceDE w:val="0"/>
        <w:autoSpaceDN w:val="0"/>
        <w:adjustRightInd w:val="0"/>
        <w:ind w:firstLine="709"/>
        <w:jc w:val="both"/>
        <w:rPr>
          <w:iCs/>
        </w:rPr>
      </w:pPr>
      <w:r w:rsidRPr="009118AB">
        <w:rPr>
          <w:iCs/>
        </w:rPr>
        <w:t>Ist der Steuerpflichtige Teil einer Unternehmensgruppe:</w:t>
      </w:r>
    </w:p>
    <w:p w14:paraId="44D7304A" w14:textId="77777777" w:rsidR="00730367" w:rsidRPr="009118AB" w:rsidRDefault="00730367" w:rsidP="00730367">
      <w:pPr>
        <w:autoSpaceDE w:val="0"/>
        <w:autoSpaceDN w:val="0"/>
        <w:adjustRightInd w:val="0"/>
        <w:jc w:val="both"/>
        <w:rPr>
          <w:iCs/>
        </w:rPr>
      </w:pPr>
    </w:p>
    <w:p w14:paraId="0E647298" w14:textId="77777777" w:rsidR="00730367" w:rsidRPr="009118AB" w:rsidRDefault="00730367" w:rsidP="0092156D">
      <w:pPr>
        <w:autoSpaceDE w:val="0"/>
        <w:autoSpaceDN w:val="0"/>
        <w:adjustRightInd w:val="0"/>
        <w:ind w:firstLine="709"/>
        <w:jc w:val="both"/>
        <w:rPr>
          <w:iCs/>
        </w:rPr>
      </w:pPr>
      <w:r w:rsidRPr="009118AB">
        <w:rPr>
          <w:iCs/>
        </w:rPr>
        <w:t>- wird der in Absatz 1 Buchstabe </w:t>
      </w:r>
      <w:r w:rsidRPr="009118AB">
        <w:rPr>
          <w:i/>
          <w:iCs/>
        </w:rPr>
        <w:t>a)</w:t>
      </w:r>
      <w:r w:rsidRPr="009118AB">
        <w:rPr>
          <w:iCs/>
        </w:rPr>
        <w:t xml:space="preserve"> erwähnte Betrag gemäß der vom König festgelegten Methode proportional auf die inländischen Gesellschaften und die belgischen Niederlassungen, die während des gesamten Besteuerungszeitraums Teil dieser Gruppe waren und nicht von der Anwendung des vorliegenden Artikels ausgeschlossen sind, verteilt,</w:t>
      </w:r>
    </w:p>
    <w:p w14:paraId="3E8CFBFF" w14:textId="77777777" w:rsidR="00730367" w:rsidRPr="009118AB" w:rsidRDefault="00730367" w:rsidP="00730367">
      <w:pPr>
        <w:autoSpaceDE w:val="0"/>
        <w:autoSpaceDN w:val="0"/>
        <w:adjustRightInd w:val="0"/>
        <w:jc w:val="both"/>
        <w:rPr>
          <w:iCs/>
        </w:rPr>
      </w:pPr>
    </w:p>
    <w:p w14:paraId="41AC4A1E" w14:textId="5F8ADB18" w:rsidR="00730367" w:rsidRPr="009118AB" w:rsidRDefault="00730367" w:rsidP="0092156D">
      <w:pPr>
        <w:autoSpaceDE w:val="0"/>
        <w:autoSpaceDN w:val="0"/>
        <w:adjustRightInd w:val="0"/>
        <w:ind w:firstLine="709"/>
        <w:jc w:val="both"/>
        <w:rPr>
          <w:iCs/>
        </w:rPr>
      </w:pPr>
      <w:r w:rsidRPr="009118AB">
        <w:rPr>
          <w:iCs/>
        </w:rPr>
        <w:t>- </w:t>
      </w:r>
      <w:r w:rsidR="008826F1" w:rsidRPr="009118AB">
        <w:rPr>
          <w:iCs/>
        </w:rPr>
        <w:t>[</w:t>
      </w:r>
      <w:r w:rsidR="008826F1" w:rsidRPr="009118AB">
        <w:t>werden die Kosten, die einer inländischen Gesellschaft oder einer belgischen Niederlassung, die während des gesamten Besteuerungszeitraums Teil dieser Unternehmensgruppe war und nicht von der Anwendung des vorliegenden Artikels ausgeschlossen ist, geschuldet werden, oder die Einkünfte, die von einer solchen Gesellschaft oder Niederlassung geschuldet werden, bei der Festlegung des in Absatz 1 Buchstabe </w:t>
      </w:r>
      <w:r w:rsidR="008826F1" w:rsidRPr="009118AB">
        <w:rPr>
          <w:i/>
          <w:iCs/>
        </w:rPr>
        <w:t>b)</w:t>
      </w:r>
      <w:r w:rsidR="008826F1" w:rsidRPr="009118AB">
        <w:t xml:space="preserve"> erwähnten EBITDA nicht berücksichtigt,</w:t>
      </w:r>
      <w:r w:rsidR="008826F1" w:rsidRPr="009118AB">
        <w:rPr>
          <w:iCs/>
        </w:rPr>
        <w:t>]</w:t>
      </w:r>
    </w:p>
    <w:p w14:paraId="09A42AA2" w14:textId="77777777" w:rsidR="00730367" w:rsidRPr="009118AB" w:rsidRDefault="00730367" w:rsidP="00730367">
      <w:pPr>
        <w:autoSpaceDE w:val="0"/>
        <w:autoSpaceDN w:val="0"/>
        <w:adjustRightInd w:val="0"/>
        <w:jc w:val="both"/>
        <w:rPr>
          <w:iCs/>
        </w:rPr>
      </w:pPr>
    </w:p>
    <w:p w14:paraId="7A043222" w14:textId="77777777" w:rsidR="00730367" w:rsidRPr="009118AB" w:rsidRDefault="00730367" w:rsidP="0092156D">
      <w:pPr>
        <w:autoSpaceDE w:val="0"/>
        <w:autoSpaceDN w:val="0"/>
        <w:adjustRightInd w:val="0"/>
        <w:ind w:firstLine="709"/>
        <w:jc w:val="both"/>
        <w:rPr>
          <w:iCs/>
        </w:rPr>
      </w:pPr>
      <w:r w:rsidRPr="009118AB">
        <w:rPr>
          <w:iCs/>
        </w:rPr>
        <w:lastRenderedPageBreak/>
        <w:t>- hat der Steuerpflichtige die Möglichkeit, einen Zinsabzugsvertrag mit einer anderen inländischen Gesellschaft oder einer belgischen Niederlassung, die während des gesamten Besteuerungszeitraums Teil dieser Unternehmensgruppe war und nicht von der Anwendung des vorliegenden Artikels ausgeschlossen ist, zu schließen,</w:t>
      </w:r>
    </w:p>
    <w:p w14:paraId="0E0445C7" w14:textId="77777777" w:rsidR="00730367" w:rsidRPr="009118AB" w:rsidRDefault="00730367" w:rsidP="00730367">
      <w:pPr>
        <w:autoSpaceDE w:val="0"/>
        <w:autoSpaceDN w:val="0"/>
        <w:adjustRightInd w:val="0"/>
        <w:jc w:val="both"/>
        <w:rPr>
          <w:iCs/>
        </w:rPr>
      </w:pPr>
    </w:p>
    <w:p w14:paraId="54F5ADD8" w14:textId="6D042333" w:rsidR="00730367" w:rsidRPr="009118AB" w:rsidRDefault="00730367" w:rsidP="0092156D">
      <w:pPr>
        <w:autoSpaceDE w:val="0"/>
        <w:autoSpaceDN w:val="0"/>
        <w:adjustRightInd w:val="0"/>
        <w:ind w:firstLine="709"/>
        <w:jc w:val="both"/>
        <w:rPr>
          <w:iCs/>
        </w:rPr>
      </w:pPr>
      <w:r w:rsidRPr="009118AB">
        <w:rPr>
          <w:iCs/>
        </w:rPr>
        <w:t>- wird der Grenzbetrag des Steuerpflichtigen entsprechend dem Vertrag um den übertragenen Grenzbetrag, der im Zinsabzugsvertrag festgelegt worden ist, erhöht oder verringert.</w:t>
      </w:r>
    </w:p>
    <w:p w14:paraId="52C7428E" w14:textId="41511222" w:rsidR="008826F1" w:rsidRPr="009118AB" w:rsidRDefault="008826F1" w:rsidP="0092156D">
      <w:pPr>
        <w:autoSpaceDE w:val="0"/>
        <w:autoSpaceDN w:val="0"/>
        <w:adjustRightInd w:val="0"/>
        <w:ind w:firstLine="709"/>
        <w:jc w:val="both"/>
        <w:rPr>
          <w:iCs/>
        </w:rPr>
      </w:pPr>
    </w:p>
    <w:p w14:paraId="5E31864E" w14:textId="709B32BC" w:rsidR="008826F1" w:rsidRPr="009118AB" w:rsidRDefault="008826F1" w:rsidP="0092156D">
      <w:pPr>
        <w:autoSpaceDE w:val="0"/>
        <w:autoSpaceDN w:val="0"/>
        <w:adjustRightInd w:val="0"/>
        <w:ind w:firstLine="709"/>
        <w:jc w:val="both"/>
        <w:rPr>
          <w:iCs/>
        </w:rPr>
      </w:pPr>
      <w:r w:rsidRPr="009118AB">
        <w:rPr>
          <w:iCs/>
        </w:rPr>
        <w:t>[</w:t>
      </w:r>
      <w:r w:rsidRPr="009118AB">
        <w:t>Der König bestimmt, auf welche Weise die in Absatz 3 zweiter Gedankenstrich erwähnten Kosten und Einkünfte bei der Festlegung des EBITDA eines Steuerpflichtigen, der Teil einer Unternehmensgruppe ist, nicht berücksichtigt werden.</w:t>
      </w:r>
      <w:r w:rsidRPr="009118AB">
        <w:rPr>
          <w:iCs/>
        </w:rPr>
        <w:t>]</w:t>
      </w:r>
    </w:p>
    <w:p w14:paraId="701B2D67" w14:textId="77777777" w:rsidR="00730367" w:rsidRPr="009118AB" w:rsidRDefault="00730367" w:rsidP="00730367">
      <w:pPr>
        <w:autoSpaceDE w:val="0"/>
        <w:autoSpaceDN w:val="0"/>
        <w:adjustRightInd w:val="0"/>
        <w:jc w:val="both"/>
        <w:rPr>
          <w:iCs/>
        </w:rPr>
      </w:pPr>
    </w:p>
    <w:p w14:paraId="5DA9C4DF" w14:textId="6B81040E" w:rsidR="00730367" w:rsidRPr="009118AB" w:rsidRDefault="00D67EB8" w:rsidP="0092156D">
      <w:pPr>
        <w:autoSpaceDE w:val="0"/>
        <w:autoSpaceDN w:val="0"/>
        <w:adjustRightInd w:val="0"/>
        <w:ind w:firstLine="709"/>
        <w:jc w:val="both"/>
        <w:rPr>
          <w:iCs/>
        </w:rPr>
      </w:pPr>
      <w:r w:rsidRPr="009118AB">
        <w:rPr>
          <w:iCs/>
        </w:rPr>
        <w:t>§ </w:t>
      </w:r>
      <w:r w:rsidR="00730367" w:rsidRPr="009118AB">
        <w:rPr>
          <w:iCs/>
        </w:rPr>
        <w:t>4</w:t>
      </w:r>
      <w:r w:rsidRPr="009118AB">
        <w:rPr>
          <w:iCs/>
        </w:rPr>
        <w:t> - </w:t>
      </w:r>
      <w:r w:rsidR="00730367" w:rsidRPr="009118AB">
        <w:rPr>
          <w:iCs/>
        </w:rPr>
        <w:t>Ein Vertrag kommt nur dann als Zinsabzugsvertrag in Betracht, wenn er die Bedingungen des vorliegenden Paragraphen erfüllt und die Parteien diesen Bedingungen auch tatsächlich nachkommen.</w:t>
      </w:r>
    </w:p>
    <w:p w14:paraId="54F293F9" w14:textId="77777777" w:rsidR="00730367" w:rsidRPr="009118AB" w:rsidRDefault="00730367" w:rsidP="00730367">
      <w:pPr>
        <w:autoSpaceDE w:val="0"/>
        <w:autoSpaceDN w:val="0"/>
        <w:adjustRightInd w:val="0"/>
        <w:jc w:val="both"/>
        <w:rPr>
          <w:iCs/>
        </w:rPr>
      </w:pPr>
    </w:p>
    <w:p w14:paraId="7923A60C" w14:textId="77777777" w:rsidR="00730367" w:rsidRPr="009118AB" w:rsidRDefault="00730367" w:rsidP="0092156D">
      <w:pPr>
        <w:autoSpaceDE w:val="0"/>
        <w:autoSpaceDN w:val="0"/>
        <w:adjustRightInd w:val="0"/>
        <w:ind w:firstLine="709"/>
        <w:jc w:val="both"/>
        <w:rPr>
          <w:iCs/>
        </w:rPr>
      </w:pPr>
      <w:r w:rsidRPr="009118AB">
        <w:rPr>
          <w:iCs/>
        </w:rPr>
        <w:t>Der Steuerpflichtige und die inländische Gesellschaft oder die belgische Niederlassung einer ausländischen Gesellschaft, die Teil derselben Unternehmensgruppe ist, werden als die beiden Parteien des Zinsabzugsvertrags identifiziert.</w:t>
      </w:r>
    </w:p>
    <w:p w14:paraId="67A61E75" w14:textId="77777777" w:rsidR="00730367" w:rsidRPr="009118AB" w:rsidRDefault="00730367" w:rsidP="00730367">
      <w:pPr>
        <w:autoSpaceDE w:val="0"/>
        <w:autoSpaceDN w:val="0"/>
        <w:adjustRightInd w:val="0"/>
        <w:jc w:val="both"/>
        <w:rPr>
          <w:iCs/>
        </w:rPr>
      </w:pPr>
    </w:p>
    <w:p w14:paraId="6AEB5155" w14:textId="77777777" w:rsidR="00730367" w:rsidRPr="009118AB" w:rsidRDefault="00730367" w:rsidP="0092156D">
      <w:pPr>
        <w:autoSpaceDE w:val="0"/>
        <w:autoSpaceDN w:val="0"/>
        <w:adjustRightInd w:val="0"/>
        <w:ind w:firstLine="709"/>
        <w:jc w:val="both"/>
        <w:rPr>
          <w:iCs/>
        </w:rPr>
      </w:pPr>
      <w:r w:rsidRPr="009118AB">
        <w:rPr>
          <w:iCs/>
        </w:rPr>
        <w:t>In diesem Vertrag wird der zu übertragende Grenzbetrag festgelegt. Überträgt der Steuerpflichtige einen Betrag, der den Grenzbetrag des Steuerpflichtigen übersteigt, werden die Ausgaben des Steuerpflichtigen für einen Betrag, der der Plusdifferenz zwischen dem übertragenen Betrag und dem Grenzbetrag entspricht, abgelehnt.</w:t>
      </w:r>
    </w:p>
    <w:p w14:paraId="609C1A1F" w14:textId="77777777" w:rsidR="00730367" w:rsidRPr="009118AB" w:rsidRDefault="00730367" w:rsidP="00730367">
      <w:pPr>
        <w:autoSpaceDE w:val="0"/>
        <w:autoSpaceDN w:val="0"/>
        <w:adjustRightInd w:val="0"/>
        <w:jc w:val="both"/>
        <w:rPr>
          <w:iCs/>
        </w:rPr>
      </w:pPr>
    </w:p>
    <w:p w14:paraId="5FA2F4FF" w14:textId="77777777" w:rsidR="00730367" w:rsidRPr="009118AB" w:rsidRDefault="00730367" w:rsidP="0092156D">
      <w:pPr>
        <w:autoSpaceDE w:val="0"/>
        <w:autoSpaceDN w:val="0"/>
        <w:adjustRightInd w:val="0"/>
        <w:ind w:firstLine="709"/>
        <w:jc w:val="both"/>
        <w:rPr>
          <w:iCs/>
        </w:rPr>
      </w:pPr>
      <w:r w:rsidRPr="009118AB">
        <w:rPr>
          <w:iCs/>
        </w:rPr>
        <w:t>In diesem Vertrag verpflichten sich die beiden Parteien, den übertragenen Grenzbetrag in die Gesellschaftssteuererklärung oder die Erklärung zur Steuer der Gebietsfremden des Besteuerungszeitraums, der an das im Vertrag erwähnte Steuerjahr gebunden ist, aufzunehmen.</w:t>
      </w:r>
    </w:p>
    <w:p w14:paraId="099DBD65" w14:textId="77777777" w:rsidR="00730367" w:rsidRPr="009118AB" w:rsidRDefault="00730367" w:rsidP="00730367">
      <w:pPr>
        <w:autoSpaceDE w:val="0"/>
        <w:autoSpaceDN w:val="0"/>
        <w:adjustRightInd w:val="0"/>
        <w:jc w:val="both"/>
        <w:rPr>
          <w:iCs/>
        </w:rPr>
      </w:pPr>
    </w:p>
    <w:p w14:paraId="03778E9B" w14:textId="77777777" w:rsidR="00730367" w:rsidRPr="009118AB" w:rsidRDefault="00730367" w:rsidP="0092156D">
      <w:pPr>
        <w:autoSpaceDE w:val="0"/>
        <w:autoSpaceDN w:val="0"/>
        <w:adjustRightInd w:val="0"/>
        <w:ind w:firstLine="709"/>
        <w:jc w:val="both"/>
        <w:rPr>
          <w:iCs/>
        </w:rPr>
      </w:pPr>
      <w:r w:rsidRPr="009118AB">
        <w:rPr>
          <w:iCs/>
        </w:rPr>
        <w:t>In diesem Vertrag können die Parteien nur die Zahlung einer Vergütung vorsehen, die der Gesellschaftssteuer oder der Steuer der Gebietsfremden entspricht, die von einer der Parteien geschuldet worden wäre, wenn keine Übertragung stattgefunden hätte.</w:t>
      </w:r>
    </w:p>
    <w:p w14:paraId="1CA68BA7" w14:textId="77777777" w:rsidR="00730367" w:rsidRPr="009118AB" w:rsidRDefault="00730367" w:rsidP="00730367">
      <w:pPr>
        <w:autoSpaceDE w:val="0"/>
        <w:autoSpaceDN w:val="0"/>
        <w:adjustRightInd w:val="0"/>
        <w:jc w:val="both"/>
        <w:rPr>
          <w:iCs/>
        </w:rPr>
      </w:pPr>
    </w:p>
    <w:p w14:paraId="3C485A1D" w14:textId="50313126" w:rsidR="00730367" w:rsidRPr="009118AB" w:rsidRDefault="00D67EB8" w:rsidP="0092156D">
      <w:pPr>
        <w:autoSpaceDE w:val="0"/>
        <w:autoSpaceDN w:val="0"/>
        <w:adjustRightInd w:val="0"/>
        <w:ind w:firstLine="709"/>
        <w:jc w:val="both"/>
        <w:rPr>
          <w:iCs/>
        </w:rPr>
      </w:pPr>
      <w:r w:rsidRPr="009118AB">
        <w:rPr>
          <w:iCs/>
        </w:rPr>
        <w:t>§ </w:t>
      </w:r>
      <w:r w:rsidR="00730367" w:rsidRPr="009118AB">
        <w:rPr>
          <w:iCs/>
        </w:rPr>
        <w:t>5</w:t>
      </w:r>
      <w:r w:rsidRPr="009118AB">
        <w:rPr>
          <w:iCs/>
        </w:rPr>
        <w:t> - </w:t>
      </w:r>
      <w:r w:rsidR="00730367" w:rsidRPr="009118AB">
        <w:rPr>
          <w:iCs/>
        </w:rPr>
        <w:t xml:space="preserve">Zur Rechtfertigung einer Änderung des Grenzbetrags muss der Steuerpflichtige seiner Gesellschaftssteuererklärung oder seiner Erklärung zur Steuer der Gebietsfremden den in </w:t>
      </w:r>
      <w:r w:rsidRPr="009118AB">
        <w:rPr>
          <w:iCs/>
        </w:rPr>
        <w:t>§ </w:t>
      </w:r>
      <w:r w:rsidR="00730367" w:rsidRPr="009118AB">
        <w:rPr>
          <w:iCs/>
        </w:rPr>
        <w:t>4 erwähnten Vertrag beifügen, dessen Muster vom König festgelegt wird.</w:t>
      </w:r>
    </w:p>
    <w:p w14:paraId="3EB5D936" w14:textId="77777777" w:rsidR="00730367" w:rsidRPr="009118AB" w:rsidRDefault="00730367" w:rsidP="00730367">
      <w:pPr>
        <w:autoSpaceDE w:val="0"/>
        <w:autoSpaceDN w:val="0"/>
        <w:adjustRightInd w:val="0"/>
        <w:jc w:val="both"/>
        <w:rPr>
          <w:iCs/>
        </w:rPr>
      </w:pPr>
    </w:p>
    <w:p w14:paraId="615ABBD1" w14:textId="08A99F9C" w:rsidR="00730367" w:rsidRPr="009118AB" w:rsidRDefault="00D67EB8" w:rsidP="0092156D">
      <w:pPr>
        <w:autoSpaceDE w:val="0"/>
        <w:autoSpaceDN w:val="0"/>
        <w:adjustRightInd w:val="0"/>
        <w:ind w:firstLine="709"/>
        <w:jc w:val="both"/>
        <w:rPr>
          <w:iCs/>
        </w:rPr>
      </w:pPr>
      <w:r w:rsidRPr="009118AB">
        <w:rPr>
          <w:iCs/>
        </w:rPr>
        <w:t>§ </w:t>
      </w:r>
      <w:r w:rsidR="00730367" w:rsidRPr="009118AB">
        <w:rPr>
          <w:iCs/>
        </w:rPr>
        <w:t>6</w:t>
      </w:r>
      <w:r w:rsidRPr="009118AB">
        <w:rPr>
          <w:iCs/>
        </w:rPr>
        <w:t> - </w:t>
      </w:r>
      <w:r w:rsidR="00730367" w:rsidRPr="009118AB">
        <w:rPr>
          <w:iCs/>
        </w:rPr>
        <w:t>Vorliegender Artikel ist nicht anwendbar, wenn der Steuerpflichtige nachweist, dass er in den Anwendungsbereich einer der folgenden Begriffsbestimmungen fällt:</w:t>
      </w:r>
    </w:p>
    <w:p w14:paraId="70E41A8A" w14:textId="77777777" w:rsidR="00730367" w:rsidRPr="009118AB" w:rsidRDefault="00730367" w:rsidP="00730367">
      <w:pPr>
        <w:autoSpaceDE w:val="0"/>
        <w:autoSpaceDN w:val="0"/>
        <w:adjustRightInd w:val="0"/>
        <w:jc w:val="both"/>
        <w:rPr>
          <w:iCs/>
        </w:rPr>
      </w:pPr>
    </w:p>
    <w:p w14:paraId="79DB0342" w14:textId="52DE7586" w:rsidR="00730367" w:rsidRPr="009118AB" w:rsidRDefault="00730367" w:rsidP="0092156D">
      <w:pPr>
        <w:autoSpaceDE w:val="0"/>
        <w:autoSpaceDN w:val="0"/>
        <w:adjustRightInd w:val="0"/>
        <w:ind w:firstLine="709"/>
        <w:jc w:val="both"/>
        <w:rPr>
          <w:iCs/>
        </w:rPr>
      </w:pPr>
      <w:r w:rsidRPr="009118AB">
        <w:rPr>
          <w:iCs/>
        </w:rPr>
        <w:t xml:space="preserve">1. Kreditinstitute im Sinne von Artikel 1 </w:t>
      </w:r>
      <w:r w:rsidR="00D67EB8" w:rsidRPr="009118AB">
        <w:rPr>
          <w:iCs/>
        </w:rPr>
        <w:t>§ </w:t>
      </w:r>
      <w:r w:rsidRPr="009118AB">
        <w:rPr>
          <w:iCs/>
        </w:rPr>
        <w:t>3 des Gesetzes vom 25. April 2014 über den Status und die Kontrolle der Kreditinstitute und der Börsengesellschaften,</w:t>
      </w:r>
    </w:p>
    <w:p w14:paraId="6219072A" w14:textId="77777777" w:rsidR="00730367" w:rsidRPr="009118AB" w:rsidRDefault="00730367" w:rsidP="00730367">
      <w:pPr>
        <w:autoSpaceDE w:val="0"/>
        <w:autoSpaceDN w:val="0"/>
        <w:adjustRightInd w:val="0"/>
        <w:jc w:val="both"/>
        <w:rPr>
          <w:iCs/>
        </w:rPr>
      </w:pPr>
    </w:p>
    <w:p w14:paraId="7534D0C3" w14:textId="750B09BB" w:rsidR="00730367" w:rsidRPr="009118AB" w:rsidRDefault="00730367" w:rsidP="0092156D">
      <w:pPr>
        <w:autoSpaceDE w:val="0"/>
        <w:autoSpaceDN w:val="0"/>
        <w:adjustRightInd w:val="0"/>
        <w:ind w:firstLine="709"/>
        <w:jc w:val="both"/>
        <w:rPr>
          <w:iCs/>
        </w:rPr>
      </w:pPr>
      <w:r w:rsidRPr="009118AB">
        <w:rPr>
          <w:iCs/>
        </w:rPr>
        <w:t xml:space="preserve">2. Wertpapierfirmen im Sinne von Artikel 3 </w:t>
      </w:r>
      <w:r w:rsidR="00D67EB8" w:rsidRPr="009118AB">
        <w:rPr>
          <w:iCs/>
        </w:rPr>
        <w:t>§ </w:t>
      </w:r>
      <w:r w:rsidRPr="009118AB">
        <w:rPr>
          <w:iCs/>
        </w:rPr>
        <w:t>1 des Gesetzes vom 25. Oktober 2016 über den Zugang zu Wertpapierdienstleistungstätigkeiten und den Status und die Kontrolle der Vermögensverwaltungs- und Anlageberatungsgesellschaften,</w:t>
      </w:r>
    </w:p>
    <w:p w14:paraId="0639C85F" w14:textId="77777777" w:rsidR="00730367" w:rsidRPr="009118AB" w:rsidRDefault="00730367" w:rsidP="00730367">
      <w:pPr>
        <w:autoSpaceDE w:val="0"/>
        <w:autoSpaceDN w:val="0"/>
        <w:adjustRightInd w:val="0"/>
        <w:jc w:val="both"/>
        <w:rPr>
          <w:iCs/>
        </w:rPr>
      </w:pPr>
    </w:p>
    <w:p w14:paraId="71C89DFB" w14:textId="33B9D543" w:rsidR="00730367" w:rsidRPr="009118AB" w:rsidRDefault="00730367" w:rsidP="0092156D">
      <w:pPr>
        <w:autoSpaceDE w:val="0"/>
        <w:autoSpaceDN w:val="0"/>
        <w:adjustRightInd w:val="0"/>
        <w:ind w:firstLine="709"/>
        <w:jc w:val="both"/>
        <w:rPr>
          <w:iCs/>
        </w:rPr>
      </w:pPr>
      <w:r w:rsidRPr="009118AB">
        <w:rPr>
          <w:iCs/>
        </w:rPr>
        <w:t xml:space="preserve">3. AOGA-Verwalter im Sinne von Artikel 3 </w:t>
      </w:r>
      <w:r w:rsidR="00D67EB8" w:rsidRPr="009118AB">
        <w:rPr>
          <w:iCs/>
        </w:rPr>
        <w:t>Nr. </w:t>
      </w:r>
      <w:r w:rsidRPr="009118AB">
        <w:rPr>
          <w:iCs/>
        </w:rPr>
        <w:t>13 des Gesetzes vom 19. April 2014 über alternative Organismen für gemeinsame Anlagen und ihre Verwalter,</w:t>
      </w:r>
    </w:p>
    <w:p w14:paraId="38618C3D" w14:textId="77777777" w:rsidR="00730367" w:rsidRPr="009118AB" w:rsidRDefault="00730367" w:rsidP="00730367">
      <w:pPr>
        <w:autoSpaceDE w:val="0"/>
        <w:autoSpaceDN w:val="0"/>
        <w:adjustRightInd w:val="0"/>
        <w:jc w:val="both"/>
        <w:rPr>
          <w:iCs/>
        </w:rPr>
      </w:pPr>
    </w:p>
    <w:p w14:paraId="114DC2ED" w14:textId="0F7A6903" w:rsidR="00730367" w:rsidRPr="009118AB" w:rsidRDefault="00730367" w:rsidP="0092156D">
      <w:pPr>
        <w:autoSpaceDE w:val="0"/>
        <w:autoSpaceDN w:val="0"/>
        <w:adjustRightInd w:val="0"/>
        <w:ind w:firstLine="709"/>
        <w:jc w:val="both"/>
        <w:rPr>
          <w:iCs/>
        </w:rPr>
      </w:pPr>
      <w:r w:rsidRPr="009118AB">
        <w:rPr>
          <w:iCs/>
        </w:rPr>
        <w:t xml:space="preserve">4. Verwaltungsgesellschaften von Organismen für gemeinsame Anlagen im Sinne von Artikel 3 </w:t>
      </w:r>
      <w:r w:rsidR="00D67EB8" w:rsidRPr="009118AB">
        <w:rPr>
          <w:iCs/>
        </w:rPr>
        <w:t>Nr. </w:t>
      </w:r>
      <w:r w:rsidRPr="009118AB">
        <w:rPr>
          <w:iCs/>
        </w:rPr>
        <w:t>12 des Gesetzes vom 3. August 2012 über Organismen für gemeinsame Anlagen, die die Bedingungen der Richtlinie 2009/65/EG erfüllen, und Organismen für Anlagen in Forderungen,</w:t>
      </w:r>
    </w:p>
    <w:p w14:paraId="6F3BAB80" w14:textId="77777777" w:rsidR="00730367" w:rsidRPr="009118AB" w:rsidRDefault="00730367" w:rsidP="00730367">
      <w:pPr>
        <w:autoSpaceDE w:val="0"/>
        <w:autoSpaceDN w:val="0"/>
        <w:adjustRightInd w:val="0"/>
        <w:jc w:val="both"/>
        <w:rPr>
          <w:iCs/>
        </w:rPr>
      </w:pPr>
    </w:p>
    <w:p w14:paraId="5F2F508C" w14:textId="3FBBD085" w:rsidR="00730367" w:rsidRPr="009118AB" w:rsidRDefault="00730367" w:rsidP="0092156D">
      <w:pPr>
        <w:autoSpaceDE w:val="0"/>
        <w:autoSpaceDN w:val="0"/>
        <w:adjustRightInd w:val="0"/>
        <w:ind w:firstLine="709"/>
        <w:jc w:val="both"/>
        <w:rPr>
          <w:iCs/>
        </w:rPr>
      </w:pPr>
      <w:r w:rsidRPr="009118AB">
        <w:rPr>
          <w:iCs/>
        </w:rPr>
        <w:t xml:space="preserve">5. Versicherungsunternehmen im Sinne von Artikel 5 </w:t>
      </w:r>
      <w:r w:rsidR="00D67EB8" w:rsidRPr="009118AB">
        <w:rPr>
          <w:iCs/>
        </w:rPr>
        <w:t>Nr. </w:t>
      </w:r>
      <w:r w:rsidRPr="009118AB">
        <w:rPr>
          <w:iCs/>
        </w:rPr>
        <w:t>1 des Gesetzes vom 13. März 2016 über den Status und die Kontrolle der Versicherungs- oder Rückversicherungs</w:t>
      </w:r>
      <w:r w:rsidRPr="009118AB">
        <w:rPr>
          <w:iCs/>
        </w:rPr>
        <w:softHyphen/>
        <w:t>unternehmen,</w:t>
      </w:r>
    </w:p>
    <w:p w14:paraId="3531FF39" w14:textId="77777777" w:rsidR="00730367" w:rsidRPr="009118AB" w:rsidRDefault="00730367" w:rsidP="00730367">
      <w:pPr>
        <w:autoSpaceDE w:val="0"/>
        <w:autoSpaceDN w:val="0"/>
        <w:adjustRightInd w:val="0"/>
        <w:jc w:val="both"/>
        <w:rPr>
          <w:iCs/>
        </w:rPr>
      </w:pPr>
    </w:p>
    <w:p w14:paraId="5A190AEB" w14:textId="38557553" w:rsidR="00730367" w:rsidRPr="009118AB" w:rsidRDefault="00730367" w:rsidP="0092156D">
      <w:pPr>
        <w:autoSpaceDE w:val="0"/>
        <w:autoSpaceDN w:val="0"/>
        <w:adjustRightInd w:val="0"/>
        <w:ind w:firstLine="709"/>
        <w:jc w:val="both"/>
        <w:rPr>
          <w:iCs/>
        </w:rPr>
      </w:pPr>
      <w:r w:rsidRPr="009118AB">
        <w:rPr>
          <w:iCs/>
        </w:rPr>
        <w:t xml:space="preserve">6. Rückversicherungsunternehmen im Sinne von Artikel 5 </w:t>
      </w:r>
      <w:r w:rsidR="00D67EB8" w:rsidRPr="009118AB">
        <w:rPr>
          <w:iCs/>
        </w:rPr>
        <w:t>Nr. </w:t>
      </w:r>
      <w:r w:rsidRPr="009118AB">
        <w:rPr>
          <w:iCs/>
        </w:rPr>
        <w:t>2 des Gesetzes vom 13. März 2016 über den Status und die Kontrolle der Versicherungs- oder Rückversicherungs</w:t>
      </w:r>
      <w:r w:rsidRPr="009118AB">
        <w:rPr>
          <w:iCs/>
        </w:rPr>
        <w:softHyphen/>
        <w:t>unternehmen,</w:t>
      </w:r>
    </w:p>
    <w:p w14:paraId="0DC4B1B7" w14:textId="77777777" w:rsidR="00730367" w:rsidRPr="009118AB" w:rsidRDefault="00730367" w:rsidP="00730367">
      <w:pPr>
        <w:autoSpaceDE w:val="0"/>
        <w:autoSpaceDN w:val="0"/>
        <w:adjustRightInd w:val="0"/>
        <w:jc w:val="both"/>
        <w:rPr>
          <w:iCs/>
        </w:rPr>
      </w:pPr>
    </w:p>
    <w:p w14:paraId="4DE272E0" w14:textId="4DB2F1FC" w:rsidR="00730367" w:rsidRPr="009118AB" w:rsidRDefault="00730367" w:rsidP="0092156D">
      <w:pPr>
        <w:autoSpaceDE w:val="0"/>
        <w:autoSpaceDN w:val="0"/>
        <w:adjustRightInd w:val="0"/>
        <w:ind w:firstLine="709"/>
        <w:jc w:val="both"/>
        <w:rPr>
          <w:iCs/>
        </w:rPr>
      </w:pPr>
      <w:r w:rsidRPr="009118AB">
        <w:rPr>
          <w:iCs/>
        </w:rPr>
        <w:t xml:space="preserve">7. Einrichtungen der betrieblichen Altersversorgung im Sinne von Artikel 2 </w:t>
      </w:r>
      <w:r w:rsidR="00D67EB8" w:rsidRPr="009118AB">
        <w:rPr>
          <w:iCs/>
        </w:rPr>
        <w:t>Nr. </w:t>
      </w:r>
      <w:r w:rsidRPr="009118AB">
        <w:rPr>
          <w:iCs/>
        </w:rPr>
        <w:t>1 des Gesetzes vom 27. Oktober 2006 über die Kontrolle der Einrichtungen der betrieblichen Altersversorgung,</w:t>
      </w:r>
    </w:p>
    <w:p w14:paraId="035DDA77" w14:textId="77777777" w:rsidR="00730367" w:rsidRPr="009118AB" w:rsidRDefault="00730367" w:rsidP="00730367">
      <w:pPr>
        <w:autoSpaceDE w:val="0"/>
        <w:autoSpaceDN w:val="0"/>
        <w:adjustRightInd w:val="0"/>
        <w:jc w:val="both"/>
        <w:rPr>
          <w:iCs/>
        </w:rPr>
      </w:pPr>
    </w:p>
    <w:p w14:paraId="4292A79A" w14:textId="4FC92782" w:rsidR="00730367" w:rsidRPr="009118AB" w:rsidRDefault="00730367" w:rsidP="0092156D">
      <w:pPr>
        <w:autoSpaceDE w:val="0"/>
        <w:autoSpaceDN w:val="0"/>
        <w:adjustRightInd w:val="0"/>
        <w:ind w:firstLine="709"/>
        <w:jc w:val="both"/>
        <w:rPr>
          <w:iCs/>
        </w:rPr>
      </w:pPr>
      <w:r w:rsidRPr="009118AB">
        <w:rPr>
          <w:iCs/>
        </w:rPr>
        <w:t xml:space="preserve">8. Einrichtungen der Altersversorgung, die Altersversorgungssysteme betreiben, die als Systeme der sozialen Sicherheit im Sinne der Verordnung (EG) </w:t>
      </w:r>
      <w:r w:rsidR="00D67EB8" w:rsidRPr="009118AB">
        <w:rPr>
          <w:iCs/>
        </w:rPr>
        <w:t>Nr. </w:t>
      </w:r>
      <w:r w:rsidRPr="009118AB">
        <w:rPr>
          <w:iCs/>
        </w:rPr>
        <w:t xml:space="preserve">883/2004 des Europäischen Parlaments und des Rates vom 29. April 2004 zur Koordinierung der Systeme der sozialen Sicherheit und der Verordnung (EG) </w:t>
      </w:r>
      <w:r w:rsidR="00D67EB8" w:rsidRPr="009118AB">
        <w:rPr>
          <w:iCs/>
        </w:rPr>
        <w:t>Nr. </w:t>
      </w:r>
      <w:r w:rsidRPr="009118AB">
        <w:rPr>
          <w:iCs/>
        </w:rPr>
        <w:t xml:space="preserve">987/2009 des Europäischen Parlaments und des Rates vom 16. September 2009 zur Festlegung der Modalitäten für die Durchführung der Verordnung (EG) </w:t>
      </w:r>
      <w:r w:rsidR="00D67EB8" w:rsidRPr="009118AB">
        <w:rPr>
          <w:iCs/>
        </w:rPr>
        <w:t>Nr. </w:t>
      </w:r>
      <w:r w:rsidRPr="009118AB">
        <w:rPr>
          <w:iCs/>
        </w:rPr>
        <w:t>883/2004 über die Koordinierung der Systeme der sozialen Sicherheit gelten, sowie juristische Personen, die für die Anlagezwecke solcher Systeme gegründet wurden,</w:t>
      </w:r>
    </w:p>
    <w:p w14:paraId="0F348468" w14:textId="77777777" w:rsidR="00730367" w:rsidRPr="009118AB" w:rsidRDefault="00730367" w:rsidP="00730367">
      <w:pPr>
        <w:autoSpaceDE w:val="0"/>
        <w:autoSpaceDN w:val="0"/>
        <w:adjustRightInd w:val="0"/>
        <w:jc w:val="both"/>
        <w:rPr>
          <w:iCs/>
        </w:rPr>
      </w:pPr>
    </w:p>
    <w:p w14:paraId="6CC84BDE" w14:textId="01E4C0D4" w:rsidR="00730367" w:rsidRPr="009118AB" w:rsidRDefault="00730367" w:rsidP="0092156D">
      <w:pPr>
        <w:autoSpaceDE w:val="0"/>
        <w:autoSpaceDN w:val="0"/>
        <w:adjustRightInd w:val="0"/>
        <w:ind w:firstLine="709"/>
        <w:jc w:val="both"/>
        <w:rPr>
          <w:iCs/>
        </w:rPr>
      </w:pPr>
      <w:r w:rsidRPr="009118AB">
        <w:rPr>
          <w:iCs/>
        </w:rPr>
        <w:t xml:space="preserve">9. alternative Organismen für gemeinsame Anlagen im Sinne von Artikel 3 </w:t>
      </w:r>
      <w:r w:rsidR="00D67EB8" w:rsidRPr="009118AB">
        <w:rPr>
          <w:iCs/>
        </w:rPr>
        <w:t>Nr. </w:t>
      </w:r>
      <w:r w:rsidRPr="009118AB">
        <w:rPr>
          <w:iCs/>
        </w:rPr>
        <w:t>2 des Gesetzes vom 19. April 2014 über alternative Organismen für gemeinsame Anlagen und ihre Verwalter,</w:t>
      </w:r>
    </w:p>
    <w:p w14:paraId="5B13656E" w14:textId="77777777" w:rsidR="00730367" w:rsidRPr="009118AB" w:rsidRDefault="00730367" w:rsidP="00730367">
      <w:pPr>
        <w:autoSpaceDE w:val="0"/>
        <w:autoSpaceDN w:val="0"/>
        <w:adjustRightInd w:val="0"/>
        <w:jc w:val="both"/>
        <w:rPr>
          <w:iCs/>
        </w:rPr>
      </w:pPr>
    </w:p>
    <w:p w14:paraId="12270874" w14:textId="2F58AF25" w:rsidR="00730367" w:rsidRPr="009118AB" w:rsidRDefault="00730367" w:rsidP="0092156D">
      <w:pPr>
        <w:autoSpaceDE w:val="0"/>
        <w:autoSpaceDN w:val="0"/>
        <w:adjustRightInd w:val="0"/>
        <w:ind w:firstLine="709"/>
        <w:jc w:val="both"/>
        <w:rPr>
          <w:iCs/>
        </w:rPr>
      </w:pPr>
      <w:r w:rsidRPr="009118AB">
        <w:rPr>
          <w:iCs/>
        </w:rPr>
        <w:t>10. Organismen für gemeinsame Anlagen, die die Bedingungen der Richt</w:t>
      </w:r>
      <w:r w:rsidRPr="009118AB">
        <w:rPr>
          <w:iCs/>
        </w:rPr>
        <w:softHyphen/>
        <w:t xml:space="preserve">linie 2009/65/EG erfüllen, im Sinne von Artikel 3 </w:t>
      </w:r>
      <w:r w:rsidR="00D67EB8" w:rsidRPr="009118AB">
        <w:rPr>
          <w:iCs/>
        </w:rPr>
        <w:t>Nr. </w:t>
      </w:r>
      <w:r w:rsidRPr="009118AB">
        <w:rPr>
          <w:iCs/>
        </w:rPr>
        <w:t>8 des Gesetzes vom 3. August 2012 über Organismen für gemeinsame Anlagen, die die Bedingungen der Richtlinie 2009/65/EG erfüllen, und Organismen für Anlagen in Forderungen,</w:t>
      </w:r>
    </w:p>
    <w:p w14:paraId="7E7BF54C" w14:textId="77777777" w:rsidR="00730367" w:rsidRPr="009118AB" w:rsidRDefault="00730367" w:rsidP="00730367">
      <w:pPr>
        <w:autoSpaceDE w:val="0"/>
        <w:autoSpaceDN w:val="0"/>
        <w:adjustRightInd w:val="0"/>
        <w:jc w:val="both"/>
        <w:rPr>
          <w:iCs/>
        </w:rPr>
      </w:pPr>
    </w:p>
    <w:p w14:paraId="747E566C" w14:textId="4345B598" w:rsidR="00730367" w:rsidRPr="009118AB" w:rsidRDefault="00730367" w:rsidP="0092156D">
      <w:pPr>
        <w:autoSpaceDE w:val="0"/>
        <w:autoSpaceDN w:val="0"/>
        <w:adjustRightInd w:val="0"/>
        <w:ind w:firstLine="709"/>
        <w:jc w:val="both"/>
        <w:rPr>
          <w:iCs/>
        </w:rPr>
      </w:pPr>
      <w:r w:rsidRPr="009118AB">
        <w:rPr>
          <w:iCs/>
        </w:rPr>
        <w:t xml:space="preserve">11. zentrale Gegenparteien im Sinne von Artikel 2 </w:t>
      </w:r>
      <w:r w:rsidR="00D67EB8" w:rsidRPr="009118AB">
        <w:rPr>
          <w:iCs/>
        </w:rPr>
        <w:t>Nr. </w:t>
      </w:r>
      <w:r w:rsidRPr="009118AB">
        <w:rPr>
          <w:iCs/>
        </w:rPr>
        <w:t xml:space="preserve">1 der Verordnung (EU) </w:t>
      </w:r>
      <w:r w:rsidR="00D67EB8" w:rsidRPr="009118AB">
        <w:rPr>
          <w:iCs/>
        </w:rPr>
        <w:t>Nr. </w:t>
      </w:r>
      <w:r w:rsidRPr="009118AB">
        <w:rPr>
          <w:iCs/>
        </w:rPr>
        <w:t>648/2012 des Europäischen Parlaments und des Rates vom 4. Juli 2012 über OTC-Derivate, zentrale Gegenparteien und Transaktionsregister,</w:t>
      </w:r>
    </w:p>
    <w:p w14:paraId="2DC66A24" w14:textId="77777777" w:rsidR="00730367" w:rsidRPr="009118AB" w:rsidRDefault="00730367" w:rsidP="00730367">
      <w:pPr>
        <w:autoSpaceDE w:val="0"/>
        <w:autoSpaceDN w:val="0"/>
        <w:adjustRightInd w:val="0"/>
        <w:jc w:val="both"/>
        <w:rPr>
          <w:iCs/>
        </w:rPr>
      </w:pPr>
    </w:p>
    <w:p w14:paraId="2FE2B920" w14:textId="322BAEDF" w:rsidR="00730367" w:rsidRPr="009118AB" w:rsidRDefault="00730367" w:rsidP="0092156D">
      <w:pPr>
        <w:autoSpaceDE w:val="0"/>
        <w:autoSpaceDN w:val="0"/>
        <w:adjustRightInd w:val="0"/>
        <w:ind w:firstLine="709"/>
        <w:jc w:val="both"/>
        <w:rPr>
          <w:iCs/>
        </w:rPr>
      </w:pPr>
      <w:r w:rsidRPr="009118AB">
        <w:rPr>
          <w:iCs/>
        </w:rPr>
        <w:t xml:space="preserve">12. Zentralverwahrer im Sinne von Artikel 2 Absatz 1 </w:t>
      </w:r>
      <w:r w:rsidR="00D67EB8" w:rsidRPr="009118AB">
        <w:rPr>
          <w:iCs/>
        </w:rPr>
        <w:t>Nr. </w:t>
      </w:r>
      <w:r w:rsidRPr="009118AB">
        <w:rPr>
          <w:iCs/>
        </w:rPr>
        <w:t xml:space="preserve">1 der Verordnung (EU) </w:t>
      </w:r>
      <w:r w:rsidR="00D67EB8" w:rsidRPr="009118AB">
        <w:rPr>
          <w:iCs/>
        </w:rPr>
        <w:t>Nr. </w:t>
      </w:r>
      <w:r w:rsidRPr="009118AB">
        <w:rPr>
          <w:iCs/>
        </w:rPr>
        <w:t xml:space="preserve">909/2014 des Europäischen Parlaments und des Rates vom 23. Juli 2014 zur Verbesserung der Wertpapierlieferungen und -abrechnungen in der Europäischen Union und über Zentralverwahrer sowie zur Änderung der Richtlinien 98/26/EG und 2014/65/EU und der Verordnung (EU) </w:t>
      </w:r>
      <w:r w:rsidR="00D67EB8" w:rsidRPr="009118AB">
        <w:rPr>
          <w:iCs/>
        </w:rPr>
        <w:t>Nr. </w:t>
      </w:r>
      <w:r w:rsidRPr="009118AB">
        <w:rPr>
          <w:iCs/>
        </w:rPr>
        <w:t>236/2012,</w:t>
      </w:r>
    </w:p>
    <w:p w14:paraId="27E4D67F" w14:textId="77777777" w:rsidR="00730367" w:rsidRPr="009118AB" w:rsidRDefault="00730367" w:rsidP="00730367">
      <w:pPr>
        <w:autoSpaceDE w:val="0"/>
        <w:autoSpaceDN w:val="0"/>
        <w:adjustRightInd w:val="0"/>
        <w:jc w:val="both"/>
        <w:rPr>
          <w:iCs/>
        </w:rPr>
      </w:pPr>
    </w:p>
    <w:p w14:paraId="5AC8E4C8" w14:textId="4B7FD39F" w:rsidR="008826F1" w:rsidRPr="009118AB" w:rsidRDefault="00730367" w:rsidP="008826F1">
      <w:pPr>
        <w:autoSpaceDE w:val="0"/>
        <w:autoSpaceDN w:val="0"/>
        <w:adjustRightInd w:val="0"/>
        <w:ind w:firstLine="709"/>
        <w:jc w:val="both"/>
        <w:rPr>
          <w:iCs/>
        </w:rPr>
      </w:pPr>
      <w:r w:rsidRPr="009118AB">
        <w:rPr>
          <w:iCs/>
        </w:rPr>
        <w:t xml:space="preserve">13. Gesellschaften, deren einzige Tätigkeit ausschließlich </w:t>
      </w:r>
      <w:r w:rsidR="0020287D" w:rsidRPr="009118AB">
        <w:rPr>
          <w:iCs/>
        </w:rPr>
        <w:t>[</w:t>
      </w:r>
      <w:r w:rsidR="0020287D" w:rsidRPr="009118AB">
        <w:t>in der Verwirklichung eines langfristigen öffentlichen Infrastrukturprojekts besteht,</w:t>
      </w:r>
      <w:r w:rsidR="0020287D" w:rsidRPr="009118AB">
        <w:rPr>
          <w:iCs/>
        </w:rPr>
        <w:t>]</w:t>
      </w:r>
      <w:r w:rsidRPr="009118AB">
        <w:rPr>
          <w:iCs/>
        </w:rPr>
        <w:t xml:space="preserve"> wenn Projektbetreiber, Fremdkapitalkosten, Aktiva und Einkünfte alle in der Europäischen Union gelegen sind,</w:t>
      </w:r>
    </w:p>
    <w:p w14:paraId="7348ED93" w14:textId="67FDADC3" w:rsidR="00B86CA6" w:rsidRPr="009118AB" w:rsidRDefault="00B86CA6" w:rsidP="008826F1">
      <w:pPr>
        <w:autoSpaceDE w:val="0"/>
        <w:autoSpaceDN w:val="0"/>
        <w:adjustRightInd w:val="0"/>
        <w:ind w:firstLine="709"/>
        <w:jc w:val="both"/>
        <w:rPr>
          <w:iCs/>
        </w:rPr>
      </w:pPr>
    </w:p>
    <w:p w14:paraId="5D9ADD2D" w14:textId="366C4968" w:rsidR="00730367" w:rsidRPr="009118AB" w:rsidRDefault="00730367" w:rsidP="0092156D">
      <w:pPr>
        <w:autoSpaceDE w:val="0"/>
        <w:autoSpaceDN w:val="0"/>
        <w:adjustRightInd w:val="0"/>
        <w:ind w:firstLine="709"/>
        <w:jc w:val="both"/>
        <w:rPr>
          <w:iCs/>
        </w:rPr>
      </w:pPr>
      <w:r w:rsidRPr="009118AB">
        <w:rPr>
          <w:iCs/>
        </w:rPr>
        <w:lastRenderedPageBreak/>
        <w:t>14. Gesellschaften, die nicht Teil einer Unternehmensgruppe sind und über keine ausländischen Niederlassungen verfügen und die:</w:t>
      </w:r>
    </w:p>
    <w:p w14:paraId="1923F44C" w14:textId="77777777" w:rsidR="00730367" w:rsidRPr="009118AB" w:rsidRDefault="00730367" w:rsidP="00730367">
      <w:pPr>
        <w:autoSpaceDE w:val="0"/>
        <w:autoSpaceDN w:val="0"/>
        <w:adjustRightInd w:val="0"/>
        <w:jc w:val="both"/>
        <w:rPr>
          <w:iCs/>
        </w:rPr>
      </w:pPr>
    </w:p>
    <w:p w14:paraId="135FBF22" w14:textId="77777777" w:rsidR="00730367" w:rsidRPr="009118AB" w:rsidRDefault="00730367" w:rsidP="0092156D">
      <w:pPr>
        <w:autoSpaceDE w:val="0"/>
        <w:autoSpaceDN w:val="0"/>
        <w:adjustRightInd w:val="0"/>
        <w:ind w:firstLine="709"/>
        <w:jc w:val="both"/>
        <w:rPr>
          <w:iCs/>
        </w:rPr>
      </w:pPr>
      <w:r w:rsidRPr="009118AB">
        <w:rPr>
          <w:iCs/>
        </w:rPr>
        <w:t>- weder unmittelbar noch mittelbar eine Beteiligung an einer Gesellschaft halten, die mindestens 25 Prozent der Stimmrechte oder des Kapitals dieser Gesellschaft beträgt oder Anspruch auf mindestens 25 Prozent der Gewinne dieser Gesellschaft gibt,</w:t>
      </w:r>
    </w:p>
    <w:p w14:paraId="5B3445AE" w14:textId="77777777" w:rsidR="00730367" w:rsidRPr="009118AB" w:rsidRDefault="00730367" w:rsidP="00730367">
      <w:pPr>
        <w:autoSpaceDE w:val="0"/>
        <w:autoSpaceDN w:val="0"/>
        <w:adjustRightInd w:val="0"/>
        <w:jc w:val="both"/>
        <w:rPr>
          <w:iCs/>
        </w:rPr>
      </w:pPr>
    </w:p>
    <w:p w14:paraId="7F62053D" w14:textId="77777777" w:rsidR="00730367" w:rsidRPr="009118AB" w:rsidRDefault="00730367" w:rsidP="0092156D">
      <w:pPr>
        <w:autoSpaceDE w:val="0"/>
        <w:autoSpaceDN w:val="0"/>
        <w:adjustRightInd w:val="0"/>
        <w:ind w:firstLine="709"/>
        <w:jc w:val="both"/>
        <w:rPr>
          <w:iCs/>
        </w:rPr>
      </w:pPr>
      <w:r w:rsidRPr="009118AB">
        <w:rPr>
          <w:iCs/>
        </w:rPr>
        <w:t>- keine natürliche oder juristische Person als Aktionär oder Gesellschafter haben, die unmittelbar oder mittelbar eine Beteiligung an dieser Gesellschaft und an einer anderen Gesellschaft hält, die jede mindestens 25 Prozent der Stimmrechte oder des Kapitals dieser Gesellschaften beträgt oder Anspruch auf mindestens 25 Prozent der Gewinne dieser beiden Gesellschaften gibt,</w:t>
      </w:r>
    </w:p>
    <w:p w14:paraId="6E6FFDFA" w14:textId="77777777" w:rsidR="00730367" w:rsidRPr="009118AB" w:rsidRDefault="00730367" w:rsidP="00730367">
      <w:pPr>
        <w:autoSpaceDE w:val="0"/>
        <w:autoSpaceDN w:val="0"/>
        <w:adjustRightInd w:val="0"/>
        <w:jc w:val="both"/>
        <w:rPr>
          <w:iCs/>
        </w:rPr>
      </w:pPr>
    </w:p>
    <w:p w14:paraId="596F53BC" w14:textId="13393215" w:rsidR="00730367" w:rsidRPr="009118AB" w:rsidRDefault="00730367" w:rsidP="0092156D">
      <w:pPr>
        <w:autoSpaceDE w:val="0"/>
        <w:autoSpaceDN w:val="0"/>
        <w:adjustRightInd w:val="0"/>
        <w:ind w:firstLine="709"/>
        <w:jc w:val="both"/>
        <w:rPr>
          <w:iCs/>
        </w:rPr>
      </w:pPr>
      <w:r w:rsidRPr="009118AB">
        <w:rPr>
          <w:iCs/>
        </w:rPr>
        <w:t>15. </w:t>
      </w:r>
      <w:r w:rsidR="0020287D" w:rsidRPr="009118AB">
        <w:rPr>
          <w:iCs/>
        </w:rPr>
        <w:t>[...]</w:t>
      </w:r>
    </w:p>
    <w:p w14:paraId="1EEC2D23" w14:textId="77777777" w:rsidR="00730367" w:rsidRPr="009118AB" w:rsidRDefault="00730367" w:rsidP="00730367">
      <w:pPr>
        <w:autoSpaceDE w:val="0"/>
        <w:autoSpaceDN w:val="0"/>
        <w:adjustRightInd w:val="0"/>
        <w:jc w:val="both"/>
        <w:rPr>
          <w:iCs/>
        </w:rPr>
      </w:pPr>
    </w:p>
    <w:p w14:paraId="658C6962" w14:textId="770DB4A7" w:rsidR="00CF19FA" w:rsidRPr="009118AB" w:rsidRDefault="00730367" w:rsidP="0092156D">
      <w:pPr>
        <w:autoSpaceDE w:val="0"/>
        <w:autoSpaceDN w:val="0"/>
        <w:adjustRightInd w:val="0"/>
        <w:ind w:firstLine="709"/>
        <w:jc w:val="both"/>
        <w:rPr>
          <w:iCs/>
        </w:rPr>
      </w:pPr>
      <w:r w:rsidRPr="009118AB">
        <w:rPr>
          <w:iCs/>
        </w:rPr>
        <w:t>16. </w:t>
      </w:r>
      <w:r w:rsidR="0020287D" w:rsidRPr="009118AB">
        <w:rPr>
          <w:iCs/>
        </w:rPr>
        <w:t>[...]</w:t>
      </w:r>
      <w:r w:rsidRPr="009118AB">
        <w:rPr>
          <w:iCs/>
        </w:rPr>
        <w:t>.</w:t>
      </w:r>
      <w:r w:rsidR="00CF19FA" w:rsidRPr="009118AB">
        <w:rPr>
          <w:iCs/>
        </w:rPr>
        <w:t>]</w:t>
      </w:r>
    </w:p>
    <w:p w14:paraId="63D85B49" w14:textId="7E32D9A8" w:rsidR="0020287D" w:rsidRPr="009118AB" w:rsidRDefault="0020287D" w:rsidP="0092156D">
      <w:pPr>
        <w:autoSpaceDE w:val="0"/>
        <w:autoSpaceDN w:val="0"/>
        <w:adjustRightInd w:val="0"/>
        <w:ind w:firstLine="709"/>
        <w:jc w:val="both"/>
        <w:rPr>
          <w:iCs/>
        </w:rPr>
      </w:pPr>
    </w:p>
    <w:p w14:paraId="7FD4EF93" w14:textId="4B5A560A" w:rsidR="0020287D" w:rsidRPr="009118AB" w:rsidRDefault="0020287D" w:rsidP="0092156D">
      <w:pPr>
        <w:autoSpaceDE w:val="0"/>
        <w:autoSpaceDN w:val="0"/>
        <w:adjustRightInd w:val="0"/>
        <w:ind w:firstLine="709"/>
        <w:jc w:val="both"/>
        <w:rPr>
          <w:iCs/>
        </w:rPr>
      </w:pPr>
      <w:r w:rsidRPr="009118AB">
        <w:rPr>
          <w:iCs/>
        </w:rPr>
        <w:t>[</w:t>
      </w:r>
      <w:r w:rsidRPr="009118AB">
        <w:t>Der König kann bestimmen, wie der Nachweis zu erbringen ist, dass der Steuerpflich</w:t>
      </w:r>
      <w:r w:rsidRPr="009118AB">
        <w:softHyphen/>
        <w:t>tige in den Anwendungsbereich einer der in Absatz 1 erwähnten Begriffsbestimmungen fällt.</w:t>
      </w:r>
      <w:r w:rsidRPr="009118AB">
        <w:rPr>
          <w:iCs/>
        </w:rPr>
        <w:t>]</w:t>
      </w:r>
    </w:p>
    <w:p w14:paraId="56B3D45A" w14:textId="77777777" w:rsidR="00CF19FA" w:rsidRPr="009118AB" w:rsidRDefault="00CF19FA" w:rsidP="00CF19FA">
      <w:pPr>
        <w:autoSpaceDE w:val="0"/>
        <w:autoSpaceDN w:val="0"/>
        <w:adjustRightInd w:val="0"/>
        <w:jc w:val="both"/>
        <w:rPr>
          <w:iCs/>
        </w:rPr>
      </w:pPr>
    </w:p>
    <w:p w14:paraId="4BE67549" w14:textId="3970FF1C" w:rsidR="00CF19FA" w:rsidRPr="009118AB" w:rsidRDefault="00CF19FA" w:rsidP="0092156D">
      <w:pPr>
        <w:autoSpaceDE w:val="0"/>
        <w:autoSpaceDN w:val="0"/>
        <w:adjustRightInd w:val="0"/>
        <w:jc w:val="both"/>
        <w:rPr>
          <w:iCs/>
        </w:rPr>
      </w:pPr>
      <w:r w:rsidRPr="009118AB">
        <w:rPr>
          <w:i/>
          <w:iCs/>
        </w:rPr>
        <w:t>[</w:t>
      </w:r>
      <w:r w:rsidR="00D67EB8" w:rsidRPr="009118AB">
        <w:rPr>
          <w:i/>
          <w:iCs/>
        </w:rPr>
        <w:t>Art. </w:t>
      </w:r>
      <w:r w:rsidRPr="009118AB">
        <w:rPr>
          <w:i/>
          <w:iCs/>
        </w:rPr>
        <w:t xml:space="preserve">198/1 eingefügt durch </w:t>
      </w:r>
      <w:r w:rsidR="00D67EB8" w:rsidRPr="009118AB">
        <w:rPr>
          <w:i/>
          <w:iCs/>
        </w:rPr>
        <w:t>Art. </w:t>
      </w:r>
      <w:r w:rsidRPr="009118AB">
        <w:rPr>
          <w:i/>
          <w:iCs/>
        </w:rPr>
        <w:t>40 des G. vom 25. Dezember 2017 (III) (B.S. vom 29. Dezember 2017)</w:t>
      </w:r>
      <w:r w:rsidR="00D67EB8" w:rsidRPr="009118AB">
        <w:rPr>
          <w:i/>
          <w:iCs/>
        </w:rPr>
        <w:t> - </w:t>
      </w:r>
      <w:r w:rsidRPr="009118AB">
        <w:rPr>
          <w:i/>
          <w:iCs/>
        </w:rPr>
        <w:t>in Kraft am 1. Januar 20</w:t>
      </w:r>
      <w:r w:rsidR="000933B7" w:rsidRPr="009118AB">
        <w:rPr>
          <w:i/>
          <w:iCs/>
        </w:rPr>
        <w:t>19</w:t>
      </w:r>
      <w:r w:rsidRPr="009118AB">
        <w:rPr>
          <w:i/>
          <w:iCs/>
        </w:rPr>
        <w:t xml:space="preserve"> und anwendbar ab dem Steuerjahr 202</w:t>
      </w:r>
      <w:r w:rsidR="000933B7" w:rsidRPr="009118AB">
        <w:rPr>
          <w:i/>
          <w:iCs/>
        </w:rPr>
        <w:t>0</w:t>
      </w:r>
      <w:r w:rsidRPr="009118AB">
        <w:rPr>
          <w:i/>
          <w:iCs/>
        </w:rPr>
        <w:t>, das sich auf einen Besteuerungszeitraum bezieht, der frühestens am 1. Januar 20</w:t>
      </w:r>
      <w:r w:rsidR="000933B7" w:rsidRPr="009118AB">
        <w:rPr>
          <w:i/>
          <w:iCs/>
        </w:rPr>
        <w:t>19</w:t>
      </w:r>
      <w:r w:rsidRPr="009118AB">
        <w:rPr>
          <w:i/>
          <w:iCs/>
        </w:rPr>
        <w:t xml:space="preserve"> beginnt</w:t>
      </w:r>
      <w:r w:rsidR="00FD68E8" w:rsidRPr="009118AB">
        <w:rPr>
          <w:i/>
          <w:iCs/>
        </w:rPr>
        <w:t> -,</w:t>
      </w:r>
      <w:r w:rsidR="00730367" w:rsidRPr="009118AB">
        <w:rPr>
          <w:i/>
          <w:iCs/>
        </w:rPr>
        <w:t xml:space="preserve"> selbst ersetzt durch </w:t>
      </w:r>
      <w:r w:rsidR="00D67EB8" w:rsidRPr="009118AB">
        <w:rPr>
          <w:i/>
          <w:iCs/>
        </w:rPr>
        <w:t>Art. </w:t>
      </w:r>
      <w:r w:rsidR="00730367" w:rsidRPr="009118AB">
        <w:rPr>
          <w:i/>
          <w:iCs/>
        </w:rPr>
        <w:t>29 des G. vom 30. Juli 2018 (I) (B.S. vom 10. August 2018)</w:t>
      </w:r>
      <w:r w:rsidR="008826F1" w:rsidRPr="009118AB">
        <w:rPr>
          <w:i/>
          <w:iCs/>
        </w:rPr>
        <w:t xml:space="preserve">; </w:t>
      </w:r>
      <w:r w:rsidR="00D67EB8" w:rsidRPr="009118AB">
        <w:rPr>
          <w:i/>
          <w:iCs/>
        </w:rPr>
        <w:t>§ </w:t>
      </w:r>
      <w:r w:rsidR="0020287D" w:rsidRPr="009118AB">
        <w:rPr>
          <w:i/>
          <w:iCs/>
        </w:rPr>
        <w:t xml:space="preserve">2 </w:t>
      </w:r>
      <w:r w:rsidR="00D67EB8" w:rsidRPr="009118AB">
        <w:rPr>
          <w:i/>
          <w:iCs/>
        </w:rPr>
        <w:t>Abs. </w:t>
      </w:r>
      <w:r w:rsidR="0020287D" w:rsidRPr="009118AB">
        <w:rPr>
          <w:i/>
          <w:iCs/>
        </w:rPr>
        <w:t xml:space="preserve">1 erster Gedankenstrich abgeändert durch </w:t>
      </w:r>
      <w:r w:rsidR="00D67EB8" w:rsidRPr="009118AB">
        <w:rPr>
          <w:i/>
          <w:iCs/>
        </w:rPr>
        <w:t>Art. </w:t>
      </w:r>
      <w:r w:rsidR="0020287D" w:rsidRPr="009118AB">
        <w:rPr>
          <w:i/>
          <w:iCs/>
        </w:rPr>
        <w:t xml:space="preserve">5 </w:t>
      </w:r>
      <w:r w:rsidR="00D67EB8" w:rsidRPr="009118AB">
        <w:rPr>
          <w:i/>
          <w:iCs/>
        </w:rPr>
        <w:t>Nr. </w:t>
      </w:r>
      <w:r w:rsidR="0020287D" w:rsidRPr="009118AB">
        <w:rPr>
          <w:i/>
          <w:iCs/>
        </w:rPr>
        <w:t xml:space="preserve">1 des G. vom 20. Dezember 2020 (II) (B.S. vom </w:t>
      </w:r>
      <w:r w:rsidR="0020287D" w:rsidRPr="009118AB">
        <w:rPr>
          <w:rFonts w:ascii="Times New Roman Italique" w:hAnsi="Times New Roman Italique"/>
          <w:i/>
          <w:iCs/>
          <w:spacing w:val="-2"/>
        </w:rPr>
        <w:t>30. Dezember 2020)</w:t>
      </w:r>
      <w:r w:rsidR="00D67EB8" w:rsidRPr="009118AB">
        <w:rPr>
          <w:rFonts w:ascii="Times New Roman Italique" w:hAnsi="Times New Roman Italique"/>
          <w:i/>
          <w:iCs/>
          <w:spacing w:val="-2"/>
        </w:rPr>
        <w:t> - </w:t>
      </w:r>
      <w:r w:rsidR="0020287D" w:rsidRPr="009118AB">
        <w:rPr>
          <w:rFonts w:ascii="Times New Roman Italique" w:hAnsi="Times New Roman Italique"/>
          <w:i/>
          <w:iCs/>
          <w:spacing w:val="-2"/>
        </w:rPr>
        <w:t>in Kraft am 31. Dezember 2020 und anwendbar auf Besteuerungs</w:t>
      </w:r>
      <w:r w:rsidR="0020287D" w:rsidRPr="009118AB">
        <w:rPr>
          <w:rFonts w:ascii="Times New Roman Italique" w:hAnsi="Times New Roman Italique"/>
          <w:i/>
          <w:iCs/>
          <w:spacing w:val="-2"/>
        </w:rPr>
        <w:softHyphen/>
        <w:t>zeit</w:t>
      </w:r>
      <w:r w:rsidR="0020287D" w:rsidRPr="009118AB">
        <w:rPr>
          <w:rFonts w:ascii="Times New Roman Italique" w:hAnsi="Times New Roman Italique"/>
          <w:i/>
          <w:iCs/>
          <w:spacing w:val="-2"/>
        </w:rPr>
        <w:softHyphen/>
        <w:t>räume, die ab diesem Datum enden</w:t>
      </w:r>
      <w:r w:rsidR="003366D9" w:rsidRPr="009118AB">
        <w:rPr>
          <w:rFonts w:ascii="Times New Roman Italique" w:hAnsi="Times New Roman Italique"/>
          <w:i/>
          <w:iCs/>
          <w:spacing w:val="-2"/>
        </w:rPr>
        <w:t> -;</w:t>
      </w:r>
      <w:r w:rsidR="0020287D"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20287D"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20287D" w:rsidRPr="009118AB">
        <w:rPr>
          <w:rFonts w:ascii="Times New Roman Italique" w:hAnsi="Times New Roman Italique"/>
          <w:i/>
          <w:iCs/>
          <w:spacing w:val="-2"/>
        </w:rPr>
        <w:t xml:space="preserve">2 einleitende Bestimmung abgeändert durch </w:t>
      </w:r>
      <w:r w:rsidR="00D67EB8" w:rsidRPr="009118AB">
        <w:rPr>
          <w:rFonts w:ascii="Times New Roman Italique" w:hAnsi="Times New Roman Italique"/>
          <w:i/>
          <w:iCs/>
          <w:spacing w:val="-2"/>
        </w:rPr>
        <w:t>Art. </w:t>
      </w:r>
      <w:r w:rsidR="0020287D" w:rsidRPr="009118AB">
        <w:rPr>
          <w:rFonts w:ascii="Times New Roman Italique" w:hAnsi="Times New Roman Italique"/>
          <w:i/>
          <w:iCs/>
          <w:spacing w:val="-2"/>
        </w:rPr>
        <w:t xml:space="preserve">5 </w:t>
      </w:r>
      <w:r w:rsidR="00D67EB8" w:rsidRPr="009118AB">
        <w:rPr>
          <w:rFonts w:ascii="Times New Roman Italique" w:hAnsi="Times New Roman Italique"/>
          <w:i/>
          <w:iCs/>
          <w:spacing w:val="-2"/>
        </w:rPr>
        <w:t>Nr. </w:t>
      </w:r>
      <w:r w:rsidR="0020287D" w:rsidRPr="009118AB">
        <w:rPr>
          <w:rFonts w:ascii="Times New Roman Italique" w:hAnsi="Times New Roman Italique"/>
          <w:i/>
          <w:iCs/>
          <w:spacing w:val="-2"/>
        </w:rPr>
        <w:t>2 des G. vom 20. Dezember 2020 (II) (B.S. vom 30. Dezember 2020)</w:t>
      </w:r>
      <w:r w:rsidR="00D67EB8" w:rsidRPr="009118AB">
        <w:rPr>
          <w:rFonts w:ascii="Times New Roman Italique" w:hAnsi="Times New Roman Italique"/>
          <w:i/>
          <w:iCs/>
          <w:spacing w:val="-2"/>
        </w:rPr>
        <w:t> - </w:t>
      </w:r>
      <w:r w:rsidR="0020287D" w:rsidRPr="009118AB">
        <w:rPr>
          <w:rFonts w:ascii="Times New Roman Italique" w:hAnsi="Times New Roman Italique"/>
          <w:i/>
          <w:iCs/>
          <w:spacing w:val="-2"/>
        </w:rPr>
        <w:t>in Kraft am 31. Dezember 2020 und anwendbar auf Besteuerungs</w:t>
      </w:r>
      <w:r w:rsidR="0020287D" w:rsidRPr="009118AB">
        <w:rPr>
          <w:rFonts w:ascii="Times New Roman Italique" w:hAnsi="Times New Roman Italique"/>
          <w:i/>
          <w:iCs/>
          <w:spacing w:val="-2"/>
        </w:rPr>
        <w:softHyphen/>
        <w:t>zeit</w:t>
      </w:r>
      <w:r w:rsidR="0020287D" w:rsidRPr="009118AB">
        <w:rPr>
          <w:rFonts w:ascii="Times New Roman Italique" w:hAnsi="Times New Roman Italique"/>
          <w:i/>
          <w:iCs/>
          <w:spacing w:val="-2"/>
        </w:rPr>
        <w:softHyphen/>
        <w:t>räume, die ab diesem Datum enden</w:t>
      </w:r>
      <w:r w:rsidR="003366D9" w:rsidRPr="009118AB">
        <w:rPr>
          <w:rFonts w:ascii="Times New Roman Italique" w:hAnsi="Times New Roman Italique"/>
          <w:i/>
          <w:iCs/>
          <w:spacing w:val="-2"/>
        </w:rPr>
        <w:t> -;</w:t>
      </w:r>
      <w:r w:rsidR="0020287D" w:rsidRPr="009118AB">
        <w:rPr>
          <w:rFonts w:ascii="Times New Roman Italique" w:hAnsi="Times New Roman Italique"/>
          <w:i/>
          <w:iCs/>
          <w:spacing w:val="-2"/>
        </w:rPr>
        <w:t xml:space="preserve"> </w:t>
      </w:r>
      <w:r w:rsidR="00D67EB8" w:rsidRPr="009118AB">
        <w:rPr>
          <w:i/>
          <w:iCs/>
        </w:rPr>
        <w:t>§ </w:t>
      </w:r>
      <w:r w:rsidR="0020287D" w:rsidRPr="009118AB">
        <w:rPr>
          <w:i/>
          <w:iCs/>
        </w:rPr>
        <w:t xml:space="preserve">2 </w:t>
      </w:r>
      <w:r w:rsidR="00D67EB8" w:rsidRPr="009118AB">
        <w:rPr>
          <w:i/>
          <w:iCs/>
        </w:rPr>
        <w:t>Abs. </w:t>
      </w:r>
      <w:r w:rsidR="0020287D" w:rsidRPr="009118AB">
        <w:rPr>
          <w:i/>
          <w:iCs/>
        </w:rPr>
        <w:t xml:space="preserve">2 zweiter Gedankenstrich abgeändert durch </w:t>
      </w:r>
      <w:r w:rsidR="00D67EB8" w:rsidRPr="009118AB">
        <w:rPr>
          <w:i/>
          <w:iCs/>
        </w:rPr>
        <w:t>Art. </w:t>
      </w:r>
      <w:r w:rsidR="0020287D" w:rsidRPr="009118AB">
        <w:rPr>
          <w:i/>
          <w:iCs/>
        </w:rPr>
        <w:t xml:space="preserve">5 </w:t>
      </w:r>
      <w:r w:rsidR="00D67EB8" w:rsidRPr="009118AB">
        <w:rPr>
          <w:i/>
          <w:iCs/>
        </w:rPr>
        <w:t>Nr. </w:t>
      </w:r>
      <w:r w:rsidR="0020287D" w:rsidRPr="009118AB">
        <w:rPr>
          <w:i/>
          <w:iCs/>
        </w:rPr>
        <w:t>3 des G. vom 20. Dezember 2020 (II) (B.S. vom 30. Dezember 2020)</w:t>
      </w:r>
      <w:r w:rsidR="00D67EB8" w:rsidRPr="009118AB">
        <w:rPr>
          <w:i/>
          <w:iCs/>
        </w:rPr>
        <w:t> - </w:t>
      </w:r>
      <w:r w:rsidR="0020287D" w:rsidRPr="009118AB">
        <w:rPr>
          <w:i/>
          <w:iCs/>
        </w:rPr>
        <w:t>in Kraft am 31. Dezember 2020 und anwendbar auf Besteuerungs</w:t>
      </w:r>
      <w:r w:rsidR="0020287D" w:rsidRPr="009118AB">
        <w:rPr>
          <w:i/>
          <w:iCs/>
        </w:rPr>
        <w:softHyphen/>
        <w:t>zeit</w:t>
      </w:r>
      <w:r w:rsidR="0020287D" w:rsidRPr="009118AB">
        <w:rPr>
          <w:i/>
          <w:iCs/>
        </w:rPr>
        <w:softHyphen/>
        <w:t>räume, die ab diesem Datum enden</w:t>
      </w:r>
      <w:r w:rsidR="003366D9" w:rsidRPr="009118AB">
        <w:rPr>
          <w:i/>
          <w:iCs/>
        </w:rPr>
        <w:t> -;</w:t>
      </w:r>
      <w:r w:rsidR="0020287D" w:rsidRPr="009118AB">
        <w:rPr>
          <w:i/>
          <w:iCs/>
        </w:rPr>
        <w:t xml:space="preserve"> </w:t>
      </w:r>
      <w:r w:rsidR="00D67EB8" w:rsidRPr="009118AB">
        <w:rPr>
          <w:i/>
          <w:iCs/>
        </w:rPr>
        <w:t>§ </w:t>
      </w:r>
      <w:r w:rsidR="0020287D" w:rsidRPr="009118AB">
        <w:rPr>
          <w:i/>
          <w:iCs/>
        </w:rPr>
        <w:t xml:space="preserve">3 </w:t>
      </w:r>
      <w:r w:rsidR="00D67EB8" w:rsidRPr="009118AB">
        <w:rPr>
          <w:i/>
          <w:iCs/>
        </w:rPr>
        <w:t>Abs. </w:t>
      </w:r>
      <w:r w:rsidR="0020287D" w:rsidRPr="009118AB">
        <w:rPr>
          <w:i/>
          <w:iCs/>
        </w:rPr>
        <w:t xml:space="preserve">1 Buchstabe b) abgeändert durch </w:t>
      </w:r>
      <w:r w:rsidR="00D67EB8" w:rsidRPr="009118AB">
        <w:rPr>
          <w:i/>
          <w:iCs/>
        </w:rPr>
        <w:t>Art. </w:t>
      </w:r>
      <w:r w:rsidR="0020287D" w:rsidRPr="009118AB">
        <w:rPr>
          <w:i/>
          <w:iCs/>
        </w:rPr>
        <w:t xml:space="preserve">5 </w:t>
      </w:r>
      <w:r w:rsidR="00D67EB8" w:rsidRPr="009118AB">
        <w:rPr>
          <w:i/>
          <w:iCs/>
        </w:rPr>
        <w:t>Nr. </w:t>
      </w:r>
      <w:r w:rsidR="0020287D" w:rsidRPr="009118AB">
        <w:rPr>
          <w:i/>
          <w:iCs/>
        </w:rPr>
        <w:t>4 des G. vom 20. Dezember 2020 (II) (B.S. vom 30. Dezember 2020)</w:t>
      </w:r>
      <w:r w:rsidR="00D67EB8" w:rsidRPr="009118AB">
        <w:rPr>
          <w:i/>
          <w:iCs/>
        </w:rPr>
        <w:t> - </w:t>
      </w:r>
      <w:r w:rsidR="0020287D" w:rsidRPr="009118AB">
        <w:rPr>
          <w:i/>
          <w:iCs/>
        </w:rPr>
        <w:t>in Kraft am 31. Dezember 2020 und anwendbar auf Besteuerungs</w:t>
      </w:r>
      <w:r w:rsidR="0020287D" w:rsidRPr="009118AB">
        <w:rPr>
          <w:i/>
          <w:iCs/>
        </w:rPr>
        <w:softHyphen/>
        <w:t>zeit</w:t>
      </w:r>
      <w:r w:rsidR="0020287D" w:rsidRPr="009118AB">
        <w:rPr>
          <w:i/>
          <w:iCs/>
        </w:rPr>
        <w:softHyphen/>
        <w:t>räume, die ab diesem Datum enden</w:t>
      </w:r>
      <w:r w:rsidR="003366D9" w:rsidRPr="009118AB">
        <w:rPr>
          <w:i/>
          <w:iCs/>
        </w:rPr>
        <w:t> -;</w:t>
      </w:r>
      <w:r w:rsidR="0020287D" w:rsidRPr="009118AB">
        <w:rPr>
          <w:i/>
          <w:iCs/>
        </w:rPr>
        <w:t xml:space="preserve"> </w:t>
      </w:r>
      <w:r w:rsidR="00D67EB8" w:rsidRPr="009118AB">
        <w:rPr>
          <w:i/>
          <w:iCs/>
        </w:rPr>
        <w:t>§ </w:t>
      </w:r>
      <w:r w:rsidR="008826F1" w:rsidRPr="009118AB">
        <w:rPr>
          <w:i/>
          <w:iCs/>
        </w:rPr>
        <w:t xml:space="preserve">3 </w:t>
      </w:r>
      <w:r w:rsidR="00D67EB8" w:rsidRPr="009118AB">
        <w:rPr>
          <w:i/>
          <w:iCs/>
        </w:rPr>
        <w:t>Abs. </w:t>
      </w:r>
      <w:r w:rsidR="008826F1" w:rsidRPr="009118AB">
        <w:rPr>
          <w:i/>
          <w:iCs/>
        </w:rPr>
        <w:t xml:space="preserve">2 neuer zweiter Gedankenstrich eingefügt durch </w:t>
      </w:r>
      <w:r w:rsidR="00D67EB8" w:rsidRPr="009118AB">
        <w:rPr>
          <w:i/>
          <w:iCs/>
        </w:rPr>
        <w:t>Art. </w:t>
      </w:r>
      <w:r w:rsidR="008826F1" w:rsidRPr="009118AB">
        <w:rPr>
          <w:i/>
          <w:iCs/>
        </w:rPr>
        <w:t>23 Buchstabe a)</w:t>
      </w:r>
      <w:r w:rsidR="008826F1" w:rsidRPr="009118AB">
        <w:rPr>
          <w:i/>
        </w:rPr>
        <w:t xml:space="preserve"> des G. vom 2. Mai 2019 (III) (B.S. vom 1</w:t>
      </w:r>
      <w:r w:rsidR="00A00E05" w:rsidRPr="009118AB">
        <w:rPr>
          <w:i/>
        </w:rPr>
        <w:t>5</w:t>
      </w:r>
      <w:r w:rsidR="008826F1" w:rsidRPr="009118AB">
        <w:rPr>
          <w:i/>
        </w:rPr>
        <w:t>. Mai 2019)</w:t>
      </w:r>
      <w:r w:rsidR="00D67EB8" w:rsidRPr="009118AB">
        <w:rPr>
          <w:i/>
        </w:rPr>
        <w:t> - </w:t>
      </w:r>
      <w:r w:rsidR="00497719" w:rsidRPr="009118AB">
        <w:rPr>
          <w:i/>
        </w:rPr>
        <w:t>anwendbar ab dem Steuerjahr 2020, das sich auf einen Besteuerungszeitraum bezieht, der frühestens am 1. Januar 2019</w:t>
      </w:r>
      <w:r w:rsidR="003366D9" w:rsidRPr="009118AB">
        <w:rPr>
          <w:i/>
        </w:rPr>
        <w:t> -;</w:t>
      </w:r>
      <w:r w:rsidR="00497719" w:rsidRPr="009118AB">
        <w:rPr>
          <w:i/>
        </w:rPr>
        <w:t xml:space="preserve"> </w:t>
      </w:r>
      <w:r w:rsidR="00D67EB8" w:rsidRPr="009118AB">
        <w:rPr>
          <w:i/>
        </w:rPr>
        <w:t>§ </w:t>
      </w:r>
      <w:r w:rsidR="0020287D" w:rsidRPr="009118AB">
        <w:rPr>
          <w:i/>
        </w:rPr>
        <w:t xml:space="preserve">3 </w:t>
      </w:r>
      <w:r w:rsidR="00D67EB8" w:rsidRPr="009118AB">
        <w:rPr>
          <w:i/>
        </w:rPr>
        <w:t>Abs. </w:t>
      </w:r>
      <w:r w:rsidR="0020287D" w:rsidRPr="009118AB">
        <w:rPr>
          <w:i/>
        </w:rPr>
        <w:t xml:space="preserve">2 neunter Gedankenstrich abgeändert durch </w:t>
      </w:r>
      <w:r w:rsidR="00D67EB8" w:rsidRPr="009118AB">
        <w:rPr>
          <w:i/>
        </w:rPr>
        <w:t>Art. </w:t>
      </w:r>
      <w:r w:rsidR="0020287D" w:rsidRPr="009118AB">
        <w:rPr>
          <w:i/>
        </w:rPr>
        <w:t xml:space="preserve">5 </w:t>
      </w:r>
      <w:r w:rsidR="00D67EB8" w:rsidRPr="009118AB">
        <w:rPr>
          <w:i/>
        </w:rPr>
        <w:t>Nr. </w:t>
      </w:r>
      <w:r w:rsidR="0020287D" w:rsidRPr="009118AB">
        <w:rPr>
          <w:i/>
        </w:rPr>
        <w:t>5</w:t>
      </w:r>
      <w:r w:rsidR="0020287D" w:rsidRPr="009118AB">
        <w:rPr>
          <w:i/>
          <w:iCs/>
        </w:rPr>
        <w:t xml:space="preserve"> des G. vom 20. Dezember 2020 (II) (B.S. vom 30. Dezember 2020)</w:t>
      </w:r>
      <w:r w:rsidR="00D67EB8" w:rsidRPr="009118AB">
        <w:rPr>
          <w:i/>
          <w:iCs/>
        </w:rPr>
        <w:t> - </w:t>
      </w:r>
      <w:r w:rsidR="0020287D" w:rsidRPr="009118AB">
        <w:rPr>
          <w:i/>
          <w:iCs/>
        </w:rPr>
        <w:t>in Kraft am 31. Dezember 2020 und anwendbar auf Besteuerungs</w:t>
      </w:r>
      <w:r w:rsidR="0020287D" w:rsidRPr="009118AB">
        <w:rPr>
          <w:i/>
          <w:iCs/>
        </w:rPr>
        <w:softHyphen/>
        <w:t>zeit</w:t>
      </w:r>
      <w:r w:rsidR="0020287D" w:rsidRPr="009118AB">
        <w:rPr>
          <w:i/>
          <w:iCs/>
        </w:rPr>
        <w:softHyphen/>
        <w:t>räume, die ab diesem Datum enden</w:t>
      </w:r>
      <w:r w:rsidR="003366D9" w:rsidRPr="009118AB">
        <w:rPr>
          <w:i/>
          <w:iCs/>
        </w:rPr>
        <w:t> -;</w:t>
      </w:r>
      <w:r w:rsidR="0020287D" w:rsidRPr="009118AB">
        <w:rPr>
          <w:i/>
          <w:iCs/>
        </w:rPr>
        <w:t xml:space="preserve"> </w:t>
      </w:r>
      <w:r w:rsidR="00D67EB8" w:rsidRPr="009118AB">
        <w:rPr>
          <w:i/>
        </w:rPr>
        <w:t>§ </w:t>
      </w:r>
      <w:r w:rsidR="00497719" w:rsidRPr="009118AB">
        <w:rPr>
          <w:i/>
        </w:rPr>
        <w:t xml:space="preserve">3 </w:t>
      </w:r>
      <w:r w:rsidR="00D67EB8" w:rsidRPr="009118AB">
        <w:rPr>
          <w:i/>
        </w:rPr>
        <w:t>Abs. </w:t>
      </w:r>
      <w:r w:rsidR="00497719" w:rsidRPr="009118AB">
        <w:rPr>
          <w:i/>
        </w:rPr>
        <w:t xml:space="preserve">3 zweiter Gedankenstrich ersetzt durch </w:t>
      </w:r>
      <w:r w:rsidR="00D67EB8" w:rsidRPr="009118AB">
        <w:rPr>
          <w:i/>
        </w:rPr>
        <w:t>Art. </w:t>
      </w:r>
      <w:r w:rsidR="00497719" w:rsidRPr="009118AB">
        <w:rPr>
          <w:i/>
        </w:rPr>
        <w:t>23 Buchstabe b) des G. vom 2. Mai 2019 (III) (B.S. vom 1</w:t>
      </w:r>
      <w:r w:rsidR="00A00E05" w:rsidRPr="009118AB">
        <w:rPr>
          <w:i/>
        </w:rPr>
        <w:t>5</w:t>
      </w:r>
      <w:r w:rsidR="00497719" w:rsidRPr="009118AB">
        <w:rPr>
          <w:i/>
        </w:rPr>
        <w:t>. Mai 2019)</w:t>
      </w:r>
      <w:r w:rsidR="00D67EB8" w:rsidRPr="009118AB">
        <w:rPr>
          <w:i/>
        </w:rPr>
        <w:t> - </w:t>
      </w:r>
      <w:r w:rsidR="00497719" w:rsidRPr="009118AB">
        <w:rPr>
          <w:i/>
        </w:rPr>
        <w:t>anwendbar ab dem Steuerjahr 2020, das sich auf einen Besteuerungszeitraum bezieht, der frühestens am 1. Januar 2019</w:t>
      </w:r>
      <w:r w:rsidR="003366D9" w:rsidRPr="009118AB">
        <w:rPr>
          <w:i/>
        </w:rPr>
        <w:t> -;</w:t>
      </w:r>
      <w:r w:rsidR="00497719" w:rsidRPr="009118AB">
        <w:rPr>
          <w:i/>
        </w:rPr>
        <w:t xml:space="preserve"> </w:t>
      </w:r>
      <w:r w:rsidR="00D67EB8" w:rsidRPr="009118AB">
        <w:rPr>
          <w:i/>
        </w:rPr>
        <w:t>§ </w:t>
      </w:r>
      <w:r w:rsidR="00497719" w:rsidRPr="009118AB">
        <w:rPr>
          <w:i/>
        </w:rPr>
        <w:t xml:space="preserve">3 </w:t>
      </w:r>
      <w:r w:rsidR="00D67EB8" w:rsidRPr="009118AB">
        <w:rPr>
          <w:i/>
        </w:rPr>
        <w:t>Abs. </w:t>
      </w:r>
      <w:r w:rsidR="00497719" w:rsidRPr="009118AB">
        <w:rPr>
          <w:i/>
        </w:rPr>
        <w:t xml:space="preserve">4 eingefügt durch </w:t>
      </w:r>
      <w:r w:rsidR="00D67EB8" w:rsidRPr="009118AB">
        <w:rPr>
          <w:i/>
        </w:rPr>
        <w:t>Art. </w:t>
      </w:r>
      <w:r w:rsidR="00497719" w:rsidRPr="009118AB">
        <w:rPr>
          <w:i/>
        </w:rPr>
        <w:t>23 Buchstabe c) des G. vom 2. Mai 2019 (III) (B.S. vom 1</w:t>
      </w:r>
      <w:r w:rsidR="00A00E05" w:rsidRPr="009118AB">
        <w:rPr>
          <w:i/>
        </w:rPr>
        <w:t>5</w:t>
      </w:r>
      <w:r w:rsidR="00497719" w:rsidRPr="009118AB">
        <w:rPr>
          <w:i/>
        </w:rPr>
        <w:t>. Mai 2019)</w:t>
      </w:r>
      <w:r w:rsidR="00D67EB8" w:rsidRPr="009118AB">
        <w:rPr>
          <w:i/>
        </w:rPr>
        <w:t> - </w:t>
      </w:r>
      <w:r w:rsidR="00497719" w:rsidRPr="009118AB">
        <w:rPr>
          <w:i/>
        </w:rPr>
        <w:t>anwendbar ab dem Steuerjahr 2020, das sich auf einen Besteuerungszeitraum bezieht, der frühestens am 1. Januar 2019</w:t>
      </w:r>
      <w:r w:rsidR="003366D9" w:rsidRPr="009118AB">
        <w:rPr>
          <w:i/>
        </w:rPr>
        <w:t> -;</w:t>
      </w:r>
      <w:r w:rsidR="0020287D" w:rsidRPr="009118AB">
        <w:rPr>
          <w:i/>
        </w:rPr>
        <w:t xml:space="preserve"> </w:t>
      </w:r>
      <w:r w:rsidR="00D67EB8" w:rsidRPr="009118AB">
        <w:rPr>
          <w:i/>
        </w:rPr>
        <w:t>§ </w:t>
      </w:r>
      <w:r w:rsidR="0020287D" w:rsidRPr="009118AB">
        <w:rPr>
          <w:i/>
        </w:rPr>
        <w:t xml:space="preserve">6 </w:t>
      </w:r>
      <w:r w:rsidR="00D67EB8" w:rsidRPr="009118AB">
        <w:rPr>
          <w:i/>
        </w:rPr>
        <w:t>Abs. </w:t>
      </w:r>
      <w:r w:rsidR="0020287D" w:rsidRPr="009118AB">
        <w:rPr>
          <w:i/>
        </w:rPr>
        <w:t xml:space="preserve">1 </w:t>
      </w:r>
      <w:r w:rsidR="00D67EB8" w:rsidRPr="009118AB">
        <w:rPr>
          <w:i/>
        </w:rPr>
        <w:t>Nr. </w:t>
      </w:r>
      <w:r w:rsidR="0020287D" w:rsidRPr="009118AB">
        <w:rPr>
          <w:i/>
        </w:rPr>
        <w:t xml:space="preserve">13 abgeändert durch </w:t>
      </w:r>
      <w:r w:rsidR="00D67EB8" w:rsidRPr="009118AB">
        <w:rPr>
          <w:i/>
        </w:rPr>
        <w:t>Art. </w:t>
      </w:r>
      <w:r w:rsidR="0020287D" w:rsidRPr="009118AB">
        <w:rPr>
          <w:i/>
        </w:rPr>
        <w:t xml:space="preserve">5 </w:t>
      </w:r>
      <w:r w:rsidR="00D67EB8" w:rsidRPr="009118AB">
        <w:rPr>
          <w:i/>
        </w:rPr>
        <w:t>Nr. </w:t>
      </w:r>
      <w:r w:rsidR="0020287D" w:rsidRPr="009118AB">
        <w:rPr>
          <w:i/>
        </w:rPr>
        <w:t>6</w:t>
      </w:r>
      <w:r w:rsidR="0020287D" w:rsidRPr="009118AB">
        <w:rPr>
          <w:i/>
          <w:iCs/>
        </w:rPr>
        <w:t xml:space="preserve"> des G. vom 20. Dezember 2020 (II) (B.S. vom 30. Dezember 2020)</w:t>
      </w:r>
      <w:r w:rsidR="00D67EB8" w:rsidRPr="009118AB">
        <w:rPr>
          <w:i/>
          <w:iCs/>
        </w:rPr>
        <w:t> - </w:t>
      </w:r>
      <w:r w:rsidR="0020287D" w:rsidRPr="009118AB">
        <w:rPr>
          <w:i/>
          <w:iCs/>
        </w:rPr>
        <w:t>in Kraft am 31. Dezember 2020 und anwendbar auf Besteuerungs</w:t>
      </w:r>
      <w:r w:rsidR="0020287D" w:rsidRPr="009118AB">
        <w:rPr>
          <w:i/>
          <w:iCs/>
        </w:rPr>
        <w:softHyphen/>
        <w:t>zeit</w:t>
      </w:r>
      <w:r w:rsidR="0020287D" w:rsidRPr="009118AB">
        <w:rPr>
          <w:i/>
          <w:iCs/>
        </w:rPr>
        <w:softHyphen/>
        <w:t>räume, die ab diesem Datum enden</w:t>
      </w:r>
      <w:r w:rsidR="003366D9" w:rsidRPr="009118AB">
        <w:rPr>
          <w:i/>
          <w:iCs/>
        </w:rPr>
        <w:t> -;</w:t>
      </w:r>
      <w:r w:rsidR="0020287D" w:rsidRPr="009118AB">
        <w:rPr>
          <w:i/>
          <w:iCs/>
        </w:rPr>
        <w:t xml:space="preserve"> </w:t>
      </w:r>
      <w:r w:rsidR="00D67EB8" w:rsidRPr="009118AB">
        <w:rPr>
          <w:i/>
          <w:iCs/>
        </w:rPr>
        <w:t>§ </w:t>
      </w:r>
      <w:r w:rsidR="0020287D" w:rsidRPr="009118AB">
        <w:rPr>
          <w:i/>
          <w:iCs/>
        </w:rPr>
        <w:t xml:space="preserve">6 </w:t>
      </w:r>
      <w:r w:rsidR="00D67EB8" w:rsidRPr="009118AB">
        <w:rPr>
          <w:i/>
          <w:iCs/>
        </w:rPr>
        <w:t>Abs. </w:t>
      </w:r>
      <w:r w:rsidR="0020287D" w:rsidRPr="009118AB">
        <w:rPr>
          <w:i/>
          <w:iCs/>
        </w:rPr>
        <w:t xml:space="preserve">1 </w:t>
      </w:r>
      <w:r w:rsidR="00D67EB8" w:rsidRPr="009118AB">
        <w:rPr>
          <w:i/>
          <w:iCs/>
        </w:rPr>
        <w:t>Nr. </w:t>
      </w:r>
      <w:r w:rsidR="0020287D" w:rsidRPr="009118AB">
        <w:rPr>
          <w:i/>
          <w:iCs/>
        </w:rPr>
        <w:t xml:space="preserve">15 und 16 aufgehoben durch </w:t>
      </w:r>
      <w:r w:rsidR="00D67EB8" w:rsidRPr="009118AB">
        <w:rPr>
          <w:i/>
          <w:iCs/>
        </w:rPr>
        <w:t>Art. </w:t>
      </w:r>
      <w:r w:rsidR="0020287D" w:rsidRPr="009118AB">
        <w:rPr>
          <w:i/>
          <w:iCs/>
        </w:rPr>
        <w:t xml:space="preserve">5 </w:t>
      </w:r>
      <w:r w:rsidR="00D67EB8" w:rsidRPr="009118AB">
        <w:rPr>
          <w:i/>
          <w:iCs/>
        </w:rPr>
        <w:t>Nr. </w:t>
      </w:r>
      <w:r w:rsidR="0020287D" w:rsidRPr="009118AB">
        <w:rPr>
          <w:i/>
          <w:iCs/>
        </w:rPr>
        <w:t>7 des G. vom 20. Dezember 2020 (II) (B.S. vom 30. Dezember 2020)</w:t>
      </w:r>
      <w:r w:rsidR="00D67EB8" w:rsidRPr="009118AB">
        <w:rPr>
          <w:i/>
          <w:iCs/>
        </w:rPr>
        <w:t> - </w:t>
      </w:r>
      <w:r w:rsidR="0020287D" w:rsidRPr="009118AB">
        <w:rPr>
          <w:i/>
          <w:iCs/>
        </w:rPr>
        <w:t>in Kraft am 31. Dezem</w:t>
      </w:r>
      <w:r w:rsidR="0020287D" w:rsidRPr="009118AB">
        <w:rPr>
          <w:i/>
          <w:iCs/>
        </w:rPr>
        <w:softHyphen/>
        <w:t>ber 2020 und anwendbar auf Besteuerungszeiträume, die ab diesem Datum enden</w:t>
      </w:r>
      <w:r w:rsidR="003366D9" w:rsidRPr="009118AB">
        <w:rPr>
          <w:i/>
          <w:iCs/>
        </w:rPr>
        <w:t> -;</w:t>
      </w:r>
      <w:r w:rsidR="0020287D" w:rsidRPr="009118AB">
        <w:rPr>
          <w:i/>
          <w:iCs/>
        </w:rPr>
        <w:t xml:space="preserve"> </w:t>
      </w:r>
      <w:r w:rsidR="00D67EB8" w:rsidRPr="009118AB">
        <w:rPr>
          <w:i/>
          <w:iCs/>
        </w:rPr>
        <w:t>§ </w:t>
      </w:r>
      <w:r w:rsidR="008F2E42" w:rsidRPr="009118AB">
        <w:rPr>
          <w:i/>
          <w:iCs/>
        </w:rPr>
        <w:t>6</w:t>
      </w:r>
      <w:r w:rsidR="0020287D" w:rsidRPr="009118AB">
        <w:rPr>
          <w:i/>
          <w:iCs/>
        </w:rPr>
        <w:t xml:space="preserve"> </w:t>
      </w:r>
      <w:r w:rsidR="00D67EB8" w:rsidRPr="009118AB">
        <w:rPr>
          <w:i/>
          <w:iCs/>
        </w:rPr>
        <w:t>Abs. </w:t>
      </w:r>
      <w:r w:rsidR="0020287D" w:rsidRPr="009118AB">
        <w:rPr>
          <w:i/>
          <w:iCs/>
        </w:rPr>
        <w:t xml:space="preserve">2 </w:t>
      </w:r>
      <w:r w:rsidR="0020287D" w:rsidRPr="009118AB">
        <w:rPr>
          <w:i/>
          <w:iCs/>
        </w:rPr>
        <w:lastRenderedPageBreak/>
        <w:t xml:space="preserve">eingefügt durch </w:t>
      </w:r>
      <w:r w:rsidR="00D67EB8" w:rsidRPr="009118AB">
        <w:rPr>
          <w:i/>
          <w:iCs/>
        </w:rPr>
        <w:t>Art. </w:t>
      </w:r>
      <w:r w:rsidR="008F2E42" w:rsidRPr="009118AB">
        <w:rPr>
          <w:i/>
          <w:iCs/>
        </w:rPr>
        <w:t>5</w:t>
      </w:r>
      <w:r w:rsidR="0020287D" w:rsidRPr="009118AB">
        <w:rPr>
          <w:i/>
          <w:iCs/>
        </w:rPr>
        <w:t xml:space="preserve"> </w:t>
      </w:r>
      <w:r w:rsidR="00D67EB8" w:rsidRPr="009118AB">
        <w:rPr>
          <w:i/>
          <w:iCs/>
        </w:rPr>
        <w:t>Nr. </w:t>
      </w:r>
      <w:r w:rsidR="0020287D" w:rsidRPr="009118AB">
        <w:rPr>
          <w:i/>
          <w:iCs/>
        </w:rPr>
        <w:t>8 des G. vom 20. Dezember 2020 (II) (B.S. vom 30. Dezember 2020)</w:t>
      </w:r>
      <w:r w:rsidR="00D67EB8" w:rsidRPr="009118AB">
        <w:rPr>
          <w:i/>
          <w:iCs/>
        </w:rPr>
        <w:t> - </w:t>
      </w:r>
      <w:r w:rsidR="0020287D" w:rsidRPr="009118AB">
        <w:rPr>
          <w:i/>
          <w:iCs/>
        </w:rPr>
        <w:t>in Kraft am 31. Dezember 2020 und anwendbar auf Besteuerungs</w:t>
      </w:r>
      <w:r w:rsidR="0020287D" w:rsidRPr="009118AB">
        <w:rPr>
          <w:i/>
          <w:iCs/>
        </w:rPr>
        <w:softHyphen/>
        <w:t>zeit</w:t>
      </w:r>
      <w:r w:rsidR="0020287D" w:rsidRPr="009118AB">
        <w:rPr>
          <w:i/>
          <w:iCs/>
        </w:rPr>
        <w:softHyphen/>
        <w:t>räume, die ab diesem Datum enden</w:t>
      </w:r>
      <w:r w:rsidR="00FD68E8" w:rsidRPr="009118AB">
        <w:rPr>
          <w:i/>
          <w:iCs/>
        </w:rPr>
        <w:t> -]</w:t>
      </w:r>
    </w:p>
    <w:p w14:paraId="632E3D45" w14:textId="77777777" w:rsidR="00CF19FA" w:rsidRPr="009118AB" w:rsidRDefault="00CF19FA" w:rsidP="009B3949">
      <w:pPr>
        <w:autoSpaceDE w:val="0"/>
        <w:autoSpaceDN w:val="0"/>
        <w:adjustRightInd w:val="0"/>
        <w:jc w:val="both"/>
      </w:pPr>
    </w:p>
    <w:p w14:paraId="7FF17267" w14:textId="77777777" w:rsidR="00484CF7" w:rsidRPr="009118AB" w:rsidRDefault="00484CF7" w:rsidP="009B3949">
      <w:pPr>
        <w:autoSpaceDE w:val="0"/>
        <w:autoSpaceDN w:val="0"/>
        <w:adjustRightInd w:val="0"/>
        <w:jc w:val="both"/>
      </w:pPr>
    </w:p>
    <w:p w14:paraId="6CBEE0A9" w14:textId="5F0FB282" w:rsidR="00A96238" w:rsidRPr="009118AB" w:rsidRDefault="00736DD6" w:rsidP="00A96238">
      <w:pPr>
        <w:autoSpaceDE w:val="0"/>
        <w:autoSpaceDN w:val="0"/>
        <w:adjustRightInd w:val="0"/>
        <w:jc w:val="both"/>
        <w:rPr>
          <w:i/>
          <w:iCs/>
        </w:rPr>
      </w:pPr>
      <w:r w:rsidRPr="009118AB">
        <w:tab/>
      </w:r>
      <w:bookmarkStart w:id="16" w:name="_Hlk128065530"/>
      <w:r w:rsidR="00F32B0F" w:rsidRPr="009118AB">
        <w:t>[</w:t>
      </w:r>
      <w:r w:rsidR="00D67EB8" w:rsidRPr="009118AB">
        <w:rPr>
          <w:b/>
        </w:rPr>
        <w:t>Art. </w:t>
      </w:r>
      <w:r w:rsidR="00F32B0F" w:rsidRPr="009118AB">
        <w:rPr>
          <w:b/>
        </w:rPr>
        <w:t>198</w:t>
      </w:r>
      <w:r w:rsidR="00F32B0F" w:rsidRPr="009118AB">
        <w:rPr>
          <w:b/>
          <w:i/>
          <w:iCs/>
        </w:rPr>
        <w:t>bis</w:t>
      </w:r>
      <w:r w:rsidR="00D67EB8" w:rsidRPr="009118AB">
        <w:t> - </w:t>
      </w:r>
      <w:r w:rsidR="00A96238" w:rsidRPr="009118AB">
        <w:rPr>
          <w:iCs/>
        </w:rPr>
        <w:t xml:space="preserve">[Der in Artikel 66 </w:t>
      </w:r>
      <w:r w:rsidR="00D67EB8" w:rsidRPr="009118AB">
        <w:rPr>
          <w:iCs/>
        </w:rPr>
        <w:t>§ </w:t>
      </w:r>
      <w:r w:rsidR="00A96238" w:rsidRPr="009118AB">
        <w:rPr>
          <w:iCs/>
        </w:rPr>
        <w:t>1 Absatz 2 vorgesehene Mindestsatz von 75 Prozent für gemachte oder getragene Werbungskosten in Bezug auf die Nutzung von Fahrzeugen, die vor dem 1. Januar 2018 gekauft worden sind, ist nicht anwendbar.]]</w:t>
      </w:r>
    </w:p>
    <w:p w14:paraId="71BDAE59" w14:textId="77777777" w:rsidR="00A96238" w:rsidRPr="009118AB" w:rsidRDefault="00A96238" w:rsidP="00A96238">
      <w:pPr>
        <w:autoSpaceDE w:val="0"/>
        <w:autoSpaceDN w:val="0"/>
        <w:adjustRightInd w:val="0"/>
        <w:jc w:val="both"/>
        <w:rPr>
          <w:i/>
          <w:iCs/>
        </w:rPr>
      </w:pPr>
    </w:p>
    <w:p w14:paraId="14D68F62" w14:textId="2651CFC1" w:rsidR="00A96238" w:rsidRPr="009118AB" w:rsidRDefault="00A96238" w:rsidP="00A96238">
      <w:pPr>
        <w:autoSpaceDE w:val="0"/>
        <w:autoSpaceDN w:val="0"/>
        <w:adjustRightInd w:val="0"/>
        <w:jc w:val="both"/>
        <w:rPr>
          <w:iCs/>
        </w:rPr>
      </w:pPr>
      <w:r w:rsidRPr="009118AB">
        <w:rPr>
          <w:i/>
          <w:iCs/>
        </w:rPr>
        <w:t>[</w:t>
      </w:r>
      <w:r w:rsidR="00D67EB8" w:rsidRPr="009118AB">
        <w:rPr>
          <w:i/>
          <w:iCs/>
        </w:rPr>
        <w:t>Art. </w:t>
      </w:r>
      <w:r w:rsidRPr="009118AB">
        <w:rPr>
          <w:i/>
          <w:iCs/>
        </w:rPr>
        <w:t xml:space="preserve">198bis eingefügt durch </w:t>
      </w:r>
      <w:r w:rsidR="00D67EB8" w:rsidRPr="009118AB">
        <w:rPr>
          <w:i/>
          <w:iCs/>
        </w:rPr>
        <w:t>Art. </w:t>
      </w:r>
      <w:r w:rsidRPr="009118AB">
        <w:rPr>
          <w:i/>
          <w:iCs/>
        </w:rPr>
        <w:t>84 des G. vom 27. April 20</w:t>
      </w:r>
      <w:r w:rsidR="00D27B17" w:rsidRPr="009118AB">
        <w:rPr>
          <w:i/>
          <w:iCs/>
        </w:rPr>
        <w:t>07 (I) (B.S. vom 8. Mai 2007)</w:t>
      </w:r>
      <w:r w:rsidR="00D67EB8" w:rsidRPr="009118AB">
        <w:rPr>
          <w:i/>
          <w:iCs/>
        </w:rPr>
        <w:t> - </w:t>
      </w:r>
      <w:r w:rsidRPr="009118AB">
        <w:rPr>
          <w:i/>
          <w:iCs/>
        </w:rPr>
        <w:t>wirksam mit 1. April 2007</w:t>
      </w:r>
      <w:r w:rsidR="00D67EB8" w:rsidRPr="009118AB">
        <w:rPr>
          <w:i/>
          <w:iCs/>
        </w:rPr>
        <w:t> - </w:t>
      </w:r>
      <w:r w:rsidRPr="009118AB">
        <w:rPr>
          <w:i/>
          <w:iCs/>
        </w:rPr>
        <w:t xml:space="preserve">und ersetzt durch </w:t>
      </w:r>
      <w:r w:rsidR="00D67EB8" w:rsidRPr="009118AB">
        <w:rPr>
          <w:i/>
          <w:iCs/>
        </w:rPr>
        <w:t>Art. </w:t>
      </w:r>
      <w:r w:rsidRPr="009118AB">
        <w:rPr>
          <w:i/>
          <w:iCs/>
        </w:rPr>
        <w:t xml:space="preserve">41 </w:t>
      </w:r>
      <w:r w:rsidR="00D67EB8" w:rsidRPr="009118AB">
        <w:rPr>
          <w:i/>
          <w:iCs/>
        </w:rPr>
        <w:t>Nr. </w:t>
      </w:r>
      <w:r w:rsidRPr="009118AB">
        <w:rPr>
          <w:i/>
          <w:iCs/>
        </w:rPr>
        <w:t>5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FD68E8" w:rsidRPr="009118AB">
        <w:rPr>
          <w:i/>
          <w:iCs/>
        </w:rPr>
        <w:t> -]</w:t>
      </w:r>
    </w:p>
    <w:bookmarkEnd w:id="16"/>
    <w:p w14:paraId="0647709B" w14:textId="0C37A8DF" w:rsidR="00A96238" w:rsidRPr="009118AB" w:rsidRDefault="00A96238" w:rsidP="00A96238">
      <w:pPr>
        <w:autoSpaceDE w:val="0"/>
        <w:autoSpaceDN w:val="0"/>
        <w:adjustRightInd w:val="0"/>
        <w:jc w:val="both"/>
        <w:rPr>
          <w:iCs/>
        </w:rPr>
      </w:pPr>
    </w:p>
    <w:p w14:paraId="4E562D01" w14:textId="5B096FD4" w:rsidR="007628C1" w:rsidRPr="009118AB" w:rsidRDefault="007628C1" w:rsidP="00A96238">
      <w:pPr>
        <w:autoSpaceDE w:val="0"/>
        <w:autoSpaceDN w:val="0"/>
        <w:adjustRightInd w:val="0"/>
        <w:jc w:val="both"/>
        <w:rPr>
          <w:iCs/>
        </w:rPr>
      </w:pPr>
    </w:p>
    <w:p w14:paraId="29A230EA" w14:textId="4DCBC3E9" w:rsidR="007628C1" w:rsidRPr="009118AB" w:rsidRDefault="007628C1" w:rsidP="007628C1">
      <w:pPr>
        <w:autoSpaceDE w:val="0"/>
        <w:autoSpaceDN w:val="0"/>
        <w:adjustRightInd w:val="0"/>
        <w:jc w:val="both"/>
        <w:rPr>
          <w:sz w:val="20"/>
          <w:szCs w:val="20"/>
        </w:rPr>
      </w:pPr>
      <w:r w:rsidRPr="009118AB">
        <w:rPr>
          <w:sz w:val="20"/>
          <w:szCs w:val="20"/>
        </w:rPr>
        <w:t xml:space="preserve">Ab dem 1. Januar 2026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5 des G. vom 25. November 2021 (B.S. vom 3. Dezember 2021)) lautet </w:t>
      </w:r>
      <w:r w:rsidR="00D67EB8" w:rsidRPr="009118AB">
        <w:rPr>
          <w:sz w:val="20"/>
          <w:szCs w:val="20"/>
        </w:rPr>
        <w:t>Art. </w:t>
      </w:r>
      <w:r w:rsidR="00474E60" w:rsidRPr="009118AB">
        <w:rPr>
          <w:sz w:val="20"/>
          <w:szCs w:val="20"/>
        </w:rPr>
        <w:t>198</w:t>
      </w:r>
      <w:r w:rsidR="00474E60" w:rsidRPr="009118AB">
        <w:rPr>
          <w:i/>
          <w:iCs/>
          <w:sz w:val="20"/>
          <w:szCs w:val="20"/>
        </w:rPr>
        <w:t>bis</w:t>
      </w:r>
      <w:r w:rsidRPr="009118AB">
        <w:rPr>
          <w:sz w:val="20"/>
          <w:szCs w:val="20"/>
        </w:rPr>
        <w:t xml:space="preserve"> wie folgt:</w:t>
      </w:r>
    </w:p>
    <w:p w14:paraId="4E3B5B25" w14:textId="77777777" w:rsidR="007628C1" w:rsidRPr="009118AB" w:rsidRDefault="007628C1" w:rsidP="007628C1">
      <w:pPr>
        <w:autoSpaceDE w:val="0"/>
        <w:autoSpaceDN w:val="0"/>
        <w:adjustRightInd w:val="0"/>
        <w:jc w:val="both"/>
        <w:rPr>
          <w:sz w:val="20"/>
          <w:szCs w:val="20"/>
        </w:rPr>
      </w:pPr>
    </w:p>
    <w:p w14:paraId="1C4C60DC" w14:textId="14AB0BEC" w:rsidR="007628C1" w:rsidRPr="009118AB" w:rsidRDefault="007628C1" w:rsidP="007628C1">
      <w:pPr>
        <w:autoSpaceDE w:val="0"/>
        <w:autoSpaceDN w:val="0"/>
        <w:adjustRightInd w:val="0"/>
        <w:jc w:val="both"/>
        <w:rPr>
          <w:i/>
          <w:iCs/>
          <w:sz w:val="20"/>
          <w:szCs w:val="20"/>
        </w:rPr>
      </w:pPr>
      <w:r w:rsidRPr="009118AB">
        <w:rPr>
          <w:sz w:val="20"/>
          <w:szCs w:val="20"/>
        </w:rPr>
        <w:t>"[</w:t>
      </w:r>
      <w:r w:rsidR="00D67EB8" w:rsidRPr="009118AB">
        <w:rPr>
          <w:bCs/>
          <w:sz w:val="20"/>
          <w:szCs w:val="20"/>
        </w:rPr>
        <w:t>Art. </w:t>
      </w:r>
      <w:r w:rsidRPr="009118AB">
        <w:rPr>
          <w:bCs/>
          <w:sz w:val="20"/>
          <w:szCs w:val="20"/>
        </w:rPr>
        <w:t>198</w:t>
      </w:r>
      <w:r w:rsidRPr="009118AB">
        <w:rPr>
          <w:bCs/>
          <w:i/>
          <w:iCs/>
          <w:sz w:val="20"/>
          <w:szCs w:val="20"/>
        </w:rPr>
        <w:t>bis</w:t>
      </w:r>
      <w:r w:rsidR="00D67EB8" w:rsidRPr="009118AB">
        <w:rPr>
          <w:sz w:val="20"/>
          <w:szCs w:val="20"/>
        </w:rPr>
        <w:t> - </w:t>
      </w:r>
      <w:r w:rsidRPr="009118AB">
        <w:rPr>
          <w:iCs/>
          <w:sz w:val="20"/>
          <w:szCs w:val="20"/>
        </w:rPr>
        <w:t>[Artikel 550 Absatz 3 ist nicht anwendbar.]]</w:t>
      </w:r>
    </w:p>
    <w:p w14:paraId="392C8B53" w14:textId="77777777" w:rsidR="007628C1" w:rsidRPr="009118AB" w:rsidRDefault="007628C1" w:rsidP="007628C1">
      <w:pPr>
        <w:autoSpaceDE w:val="0"/>
        <w:autoSpaceDN w:val="0"/>
        <w:adjustRightInd w:val="0"/>
        <w:jc w:val="both"/>
        <w:rPr>
          <w:i/>
          <w:iCs/>
          <w:sz w:val="20"/>
          <w:szCs w:val="20"/>
        </w:rPr>
      </w:pPr>
    </w:p>
    <w:p w14:paraId="7CE9B9DA" w14:textId="0101A839" w:rsidR="007628C1" w:rsidRPr="009118AB" w:rsidRDefault="007628C1" w:rsidP="007628C1">
      <w:pPr>
        <w:autoSpaceDE w:val="0"/>
        <w:autoSpaceDN w:val="0"/>
        <w:adjustRightInd w:val="0"/>
        <w:jc w:val="both"/>
        <w:rPr>
          <w:sz w:val="20"/>
          <w:szCs w:val="20"/>
        </w:rPr>
      </w:pPr>
      <w:r w:rsidRPr="009118AB">
        <w:rPr>
          <w:i/>
          <w:iCs/>
          <w:sz w:val="20"/>
          <w:szCs w:val="20"/>
        </w:rPr>
        <w:t>[</w:t>
      </w:r>
      <w:r w:rsidR="00D67EB8" w:rsidRPr="009118AB">
        <w:rPr>
          <w:i/>
          <w:iCs/>
          <w:sz w:val="20"/>
          <w:szCs w:val="20"/>
        </w:rPr>
        <w:t>Art. </w:t>
      </w:r>
      <w:r w:rsidRPr="009118AB">
        <w:rPr>
          <w:i/>
          <w:iCs/>
          <w:sz w:val="20"/>
          <w:szCs w:val="20"/>
        </w:rPr>
        <w:t xml:space="preserve">198bis eingefügt durch </w:t>
      </w:r>
      <w:r w:rsidR="00D67EB8" w:rsidRPr="009118AB">
        <w:rPr>
          <w:i/>
          <w:iCs/>
          <w:sz w:val="20"/>
          <w:szCs w:val="20"/>
        </w:rPr>
        <w:t>Art. </w:t>
      </w:r>
      <w:r w:rsidRPr="009118AB">
        <w:rPr>
          <w:i/>
          <w:iCs/>
          <w:sz w:val="20"/>
          <w:szCs w:val="20"/>
        </w:rPr>
        <w:t>84 des G. vom 27. April 2007 (I) (B.S. vom 8. Mai 2007)</w:t>
      </w:r>
      <w:r w:rsidR="00D67EB8" w:rsidRPr="009118AB">
        <w:rPr>
          <w:i/>
          <w:iCs/>
          <w:sz w:val="20"/>
          <w:szCs w:val="20"/>
        </w:rPr>
        <w:t> - </w:t>
      </w:r>
      <w:r w:rsidRPr="009118AB">
        <w:rPr>
          <w:i/>
          <w:iCs/>
          <w:sz w:val="20"/>
          <w:szCs w:val="20"/>
        </w:rPr>
        <w:t>wirksam mit 1. April 2007</w:t>
      </w:r>
      <w:r w:rsidR="00D67EB8" w:rsidRPr="009118AB">
        <w:rPr>
          <w:i/>
          <w:iCs/>
          <w:sz w:val="20"/>
          <w:szCs w:val="20"/>
        </w:rPr>
        <w:t> - </w:t>
      </w:r>
      <w:r w:rsidRPr="009118AB">
        <w:rPr>
          <w:i/>
          <w:iCs/>
          <w:sz w:val="20"/>
          <w:szCs w:val="20"/>
        </w:rPr>
        <w:t xml:space="preserve">und ersetzt durch </w:t>
      </w:r>
      <w:r w:rsidR="00D67EB8" w:rsidRPr="009118AB">
        <w:rPr>
          <w:i/>
          <w:iCs/>
          <w:sz w:val="20"/>
          <w:szCs w:val="20"/>
        </w:rPr>
        <w:t>Art. </w:t>
      </w:r>
      <w:r w:rsidRPr="009118AB">
        <w:rPr>
          <w:i/>
          <w:iCs/>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FD68E8" w:rsidRPr="009118AB">
        <w:rPr>
          <w:i/>
          <w:iCs/>
          <w:sz w:val="20"/>
          <w:szCs w:val="20"/>
        </w:rPr>
        <w:t> -]</w:t>
      </w:r>
      <w:r w:rsidRPr="009118AB">
        <w:rPr>
          <w:sz w:val="20"/>
          <w:szCs w:val="20"/>
        </w:rPr>
        <w:t>"</w:t>
      </w:r>
    </w:p>
    <w:p w14:paraId="14140A82" w14:textId="77777777" w:rsidR="007628C1" w:rsidRPr="009118AB" w:rsidRDefault="007628C1" w:rsidP="00A96238">
      <w:pPr>
        <w:autoSpaceDE w:val="0"/>
        <w:autoSpaceDN w:val="0"/>
        <w:adjustRightInd w:val="0"/>
        <w:jc w:val="both"/>
        <w:rPr>
          <w:iCs/>
        </w:rPr>
      </w:pPr>
    </w:p>
    <w:p w14:paraId="7DB7A127" w14:textId="77777777" w:rsidR="00DA4CB3" w:rsidRPr="009118AB" w:rsidRDefault="00DA4CB3" w:rsidP="00A96238">
      <w:pPr>
        <w:autoSpaceDE w:val="0"/>
        <w:autoSpaceDN w:val="0"/>
        <w:adjustRightInd w:val="0"/>
        <w:jc w:val="both"/>
        <w:rPr>
          <w:iCs/>
        </w:rPr>
      </w:pPr>
    </w:p>
    <w:p w14:paraId="24DFBDE2" w14:textId="0A2CB147" w:rsidR="00A96238" w:rsidRPr="009118AB" w:rsidRDefault="00DA4CB3" w:rsidP="004421E9">
      <w:pPr>
        <w:ind w:firstLine="708"/>
        <w:jc w:val="both"/>
        <w:rPr>
          <w:iCs/>
        </w:rPr>
      </w:pPr>
      <w:r w:rsidRPr="009118AB">
        <w:rPr>
          <w:iCs/>
        </w:rPr>
        <w:tab/>
      </w:r>
      <w:r w:rsidR="004421E9" w:rsidRPr="009118AB">
        <w:rPr>
          <w:rFonts w:eastAsia="Calibri"/>
        </w:rPr>
        <w:t>[...]</w:t>
      </w:r>
    </w:p>
    <w:p w14:paraId="36845F25" w14:textId="77777777" w:rsidR="00DA4CB3" w:rsidRPr="009118AB" w:rsidRDefault="00DA4CB3" w:rsidP="00DA4CB3">
      <w:pPr>
        <w:autoSpaceDE w:val="0"/>
        <w:autoSpaceDN w:val="0"/>
        <w:adjustRightInd w:val="0"/>
        <w:ind w:firstLine="708"/>
        <w:jc w:val="both"/>
        <w:rPr>
          <w:iCs/>
        </w:rPr>
      </w:pPr>
    </w:p>
    <w:p w14:paraId="118BA9B9" w14:textId="42F27924" w:rsidR="009B3949" w:rsidRPr="009118AB" w:rsidRDefault="00DA4CB3" w:rsidP="0020287D">
      <w:pPr>
        <w:autoSpaceDE w:val="0"/>
        <w:autoSpaceDN w:val="0"/>
        <w:adjustRightInd w:val="0"/>
        <w:jc w:val="both"/>
        <w:rPr>
          <w:iCs/>
        </w:rPr>
      </w:pPr>
      <w:r w:rsidRPr="009118AB">
        <w:rPr>
          <w:i/>
          <w:iCs/>
        </w:rPr>
        <w:t>[</w:t>
      </w:r>
      <w:r w:rsidR="004421E9" w:rsidRPr="009118AB">
        <w:rPr>
          <w:i/>
          <w:iCs/>
        </w:rPr>
        <w:t xml:space="preserve">Früherer </w:t>
      </w:r>
      <w:r w:rsidR="005E3D7F" w:rsidRPr="009118AB">
        <w:rPr>
          <w:i/>
          <w:iCs/>
        </w:rPr>
        <w:t>Art</w:t>
      </w:r>
      <w:r w:rsidR="004421E9" w:rsidRPr="009118AB">
        <w:rPr>
          <w:i/>
          <w:iCs/>
        </w:rPr>
        <w:t>ikel</w:t>
      </w:r>
      <w:r w:rsidR="005E3D7F" w:rsidRPr="009118AB">
        <w:rPr>
          <w:i/>
          <w:iCs/>
        </w:rPr>
        <w:t> </w:t>
      </w:r>
      <w:r w:rsidRPr="009118AB">
        <w:rPr>
          <w:i/>
          <w:iCs/>
        </w:rPr>
        <w:t xml:space="preserve">198ter eingefügt durch </w:t>
      </w:r>
      <w:r w:rsidR="00D67EB8" w:rsidRPr="009118AB">
        <w:rPr>
          <w:i/>
          <w:iCs/>
        </w:rPr>
        <w:t>Art. </w:t>
      </w:r>
      <w:r w:rsidRPr="009118AB">
        <w:rPr>
          <w:i/>
          <w:iCs/>
        </w:rPr>
        <w:t>30</w:t>
      </w:r>
      <w:r w:rsidRPr="009118AB">
        <w:rPr>
          <w:i/>
        </w:rPr>
        <w:t xml:space="preserve"> des G. vom 30. März 2018 (B.S. vom 7. Mai 2018)</w:t>
      </w:r>
      <w:r w:rsidR="00D67EB8" w:rsidRPr="009118AB">
        <w:rPr>
          <w:i/>
        </w:rPr>
        <w:t> - </w:t>
      </w:r>
      <w:r w:rsidRPr="009118AB">
        <w:rPr>
          <w:i/>
        </w:rPr>
        <w:t>in Kraft am 1. Januar 2018</w:t>
      </w:r>
      <w:r w:rsidR="00FD68E8" w:rsidRPr="009118AB">
        <w:rPr>
          <w:i/>
        </w:rPr>
        <w:t> -,</w:t>
      </w:r>
      <w:r w:rsidR="004421E9" w:rsidRPr="009118AB">
        <w:rPr>
          <w:i/>
        </w:rPr>
        <w:t xml:space="preserve"> selbst für nichtig erklärt durch</w:t>
      </w:r>
      <w:r w:rsidR="004421E9" w:rsidRPr="009118AB">
        <w:rPr>
          <w:i/>
          <w:iCs/>
        </w:rPr>
        <w:t xml:space="preserve"> Entscheid </w:t>
      </w:r>
      <w:r w:rsidR="00D67EB8" w:rsidRPr="009118AB">
        <w:rPr>
          <w:i/>
          <w:iCs/>
        </w:rPr>
        <w:t>Nr. </w:t>
      </w:r>
      <w:r w:rsidR="004421E9" w:rsidRPr="009118AB">
        <w:rPr>
          <w:i/>
          <w:iCs/>
        </w:rPr>
        <w:t>11/2020 des Verfassungsgerichtshofes vom 23. Januar 2020 (B.S. vom 24. Februar 2020)</w:t>
      </w:r>
      <w:r w:rsidRPr="009118AB">
        <w:rPr>
          <w:i/>
        </w:rPr>
        <w:t>]</w:t>
      </w:r>
    </w:p>
    <w:p w14:paraId="23C2054A" w14:textId="704B173F" w:rsidR="00D30556" w:rsidRPr="009118AB" w:rsidRDefault="006A2667" w:rsidP="00D30556">
      <w:pPr>
        <w:autoSpaceDE w:val="0"/>
        <w:autoSpaceDN w:val="0"/>
        <w:adjustRightInd w:val="0"/>
        <w:jc w:val="center"/>
      </w:pPr>
      <w:r w:rsidRPr="009118AB">
        <w:br w:type="page"/>
      </w:r>
      <w:r w:rsidR="00D30556" w:rsidRPr="009118AB">
        <w:lastRenderedPageBreak/>
        <w:t>Unterabschnitt 2</w:t>
      </w:r>
      <w:r w:rsidR="00D67EB8" w:rsidRPr="009118AB">
        <w:t> - </w:t>
      </w:r>
      <w:r w:rsidR="00D30556" w:rsidRPr="009118AB">
        <w:t>Abzug von steuerfreien Einkünften</w:t>
      </w:r>
    </w:p>
    <w:p w14:paraId="6551AC24" w14:textId="77777777" w:rsidR="00D30556" w:rsidRPr="009118AB" w:rsidRDefault="00D30556" w:rsidP="00D30556">
      <w:pPr>
        <w:autoSpaceDE w:val="0"/>
        <w:autoSpaceDN w:val="0"/>
        <w:adjustRightInd w:val="0"/>
        <w:jc w:val="center"/>
      </w:pPr>
    </w:p>
    <w:p w14:paraId="0945CD21" w14:textId="77777777" w:rsidR="00D30556" w:rsidRPr="009118AB" w:rsidRDefault="00D30556" w:rsidP="00D30556">
      <w:pPr>
        <w:autoSpaceDE w:val="0"/>
        <w:autoSpaceDN w:val="0"/>
        <w:adjustRightInd w:val="0"/>
        <w:jc w:val="both"/>
        <w:rPr>
          <w:iCs/>
          <w:sz w:val="20"/>
          <w:szCs w:val="20"/>
        </w:rPr>
      </w:pPr>
    </w:p>
    <w:p w14:paraId="55DB1B9E" w14:textId="09553278" w:rsidR="00D30556" w:rsidRPr="009118AB" w:rsidRDefault="00D30556" w:rsidP="00D30556">
      <w:pPr>
        <w:autoSpaceDE w:val="0"/>
        <w:autoSpaceDN w:val="0"/>
        <w:adjustRightInd w:val="0"/>
        <w:ind w:firstLine="709"/>
        <w:jc w:val="both"/>
        <w:rPr>
          <w:iCs/>
          <w:szCs w:val="20"/>
        </w:rPr>
      </w:pPr>
      <w:r w:rsidRPr="009118AB">
        <w:t>[</w:t>
      </w:r>
      <w:r w:rsidR="00D67EB8" w:rsidRPr="009118AB">
        <w:rPr>
          <w:b/>
        </w:rPr>
        <w:t>Art. </w:t>
      </w:r>
      <w:r w:rsidRPr="009118AB">
        <w:rPr>
          <w:b/>
        </w:rPr>
        <w:t>198</w:t>
      </w:r>
      <w:r w:rsidR="0051631E" w:rsidRPr="009118AB">
        <w:rPr>
          <w:b/>
          <w:i/>
        </w:rPr>
        <w:t>qua</w:t>
      </w:r>
      <w:r w:rsidRPr="009118AB">
        <w:rPr>
          <w:b/>
          <w:i/>
        </w:rPr>
        <w:t>ter</w:t>
      </w:r>
      <w:r w:rsidR="00D67EB8" w:rsidRPr="009118AB">
        <w:t> - </w:t>
      </w:r>
      <w:r w:rsidRPr="009118AB">
        <w:t>Die in den Artikeln 67 bis 67</w:t>
      </w:r>
      <w:r w:rsidRPr="009118AB">
        <w:rPr>
          <w:i/>
        </w:rPr>
        <w:t>ter</w:t>
      </w:r>
      <w:r w:rsidRPr="009118AB">
        <w:t xml:space="preserve"> erwähnten wirtschaftlichen Steuer</w:t>
      </w:r>
      <w:r w:rsidRPr="009118AB">
        <w:softHyphen/>
        <w:t>befreiungen sind nicht anwendbar.</w:t>
      </w:r>
      <w:r w:rsidRPr="009118AB">
        <w:rPr>
          <w:iCs/>
          <w:szCs w:val="20"/>
        </w:rPr>
        <w:t>]</w:t>
      </w:r>
    </w:p>
    <w:p w14:paraId="51BF51D1" w14:textId="77777777" w:rsidR="00D30556" w:rsidRPr="009118AB" w:rsidRDefault="00D30556" w:rsidP="00D30556">
      <w:pPr>
        <w:autoSpaceDE w:val="0"/>
        <w:autoSpaceDN w:val="0"/>
        <w:adjustRightInd w:val="0"/>
        <w:jc w:val="both"/>
        <w:rPr>
          <w:iCs/>
          <w:szCs w:val="20"/>
        </w:rPr>
      </w:pPr>
    </w:p>
    <w:p w14:paraId="33B29B77" w14:textId="01922659" w:rsidR="00D30556" w:rsidRPr="009118AB" w:rsidRDefault="00D30556" w:rsidP="00D30556">
      <w:pPr>
        <w:autoSpaceDE w:val="0"/>
        <w:autoSpaceDN w:val="0"/>
        <w:adjustRightInd w:val="0"/>
        <w:jc w:val="both"/>
        <w:rPr>
          <w:iCs/>
          <w:szCs w:val="20"/>
        </w:rPr>
      </w:pPr>
      <w:r w:rsidRPr="009118AB">
        <w:rPr>
          <w:i/>
          <w:iCs/>
          <w:szCs w:val="20"/>
        </w:rPr>
        <w:t>[</w:t>
      </w:r>
      <w:r w:rsidR="00D67EB8" w:rsidRPr="009118AB">
        <w:rPr>
          <w:i/>
          <w:iCs/>
          <w:szCs w:val="20"/>
        </w:rPr>
        <w:t>Art. </w:t>
      </w:r>
      <w:r w:rsidRPr="009118AB">
        <w:rPr>
          <w:i/>
          <w:iCs/>
          <w:szCs w:val="20"/>
        </w:rPr>
        <w:t>198</w:t>
      </w:r>
      <w:r w:rsidR="0051631E" w:rsidRPr="009118AB">
        <w:rPr>
          <w:i/>
          <w:iCs/>
          <w:szCs w:val="20"/>
        </w:rPr>
        <w:t>qua</w:t>
      </w:r>
      <w:r w:rsidRPr="009118AB">
        <w:rPr>
          <w:i/>
          <w:iCs/>
          <w:szCs w:val="20"/>
        </w:rPr>
        <w:t xml:space="preserve">ter eingefügt durch </w:t>
      </w:r>
      <w:r w:rsidR="00D67EB8" w:rsidRPr="009118AB">
        <w:rPr>
          <w:i/>
          <w:iCs/>
          <w:szCs w:val="20"/>
        </w:rPr>
        <w:t>Art. </w:t>
      </w:r>
      <w:r w:rsidRPr="009118AB">
        <w:rPr>
          <w:i/>
          <w:iCs/>
          <w:szCs w:val="20"/>
        </w:rPr>
        <w:t>42 des G. vom 25. Dezember 2017 (III) (B.S. vom 29. Dezember 2017)</w:t>
      </w:r>
      <w:r w:rsidR="00D67EB8" w:rsidRPr="009118AB">
        <w:rPr>
          <w:i/>
          <w:iCs/>
          <w:szCs w:val="20"/>
        </w:rPr>
        <w:t> - </w:t>
      </w:r>
      <w:r w:rsidRPr="009118AB">
        <w:rPr>
          <w:i/>
          <w:iCs/>
          <w:szCs w:val="20"/>
        </w:rPr>
        <w:t>in Kraft am 1. Januar 2020 und anwendbar ab dem Steuerjahr 2021, das sich auf einen Besteuerungszeitraum bezieht, der frühestens am 1. Januar 2020 beginnt</w:t>
      </w:r>
      <w:r w:rsidR="00FD68E8" w:rsidRPr="009118AB">
        <w:rPr>
          <w:i/>
          <w:iCs/>
          <w:szCs w:val="20"/>
        </w:rPr>
        <w:t> -,</w:t>
      </w:r>
      <w:r w:rsidR="0051631E" w:rsidRPr="009118AB">
        <w:rPr>
          <w:i/>
          <w:iCs/>
        </w:rPr>
        <w:t xml:space="preserve"> selbst abgeändert durch </w:t>
      </w:r>
      <w:r w:rsidR="00D67EB8" w:rsidRPr="009118AB">
        <w:rPr>
          <w:i/>
          <w:iCs/>
        </w:rPr>
        <w:t>Art. </w:t>
      </w:r>
      <w:r w:rsidR="0051631E" w:rsidRPr="009118AB">
        <w:rPr>
          <w:i/>
          <w:iCs/>
        </w:rPr>
        <w:t>45</w:t>
      </w:r>
      <w:r w:rsidR="0051631E" w:rsidRPr="009118AB">
        <w:rPr>
          <w:i/>
        </w:rPr>
        <w:t xml:space="preserve"> </w:t>
      </w:r>
      <w:r w:rsidR="00D67EB8" w:rsidRPr="009118AB">
        <w:rPr>
          <w:i/>
        </w:rPr>
        <w:t>Nr. </w:t>
      </w:r>
      <w:r w:rsidR="0051631E" w:rsidRPr="009118AB">
        <w:rPr>
          <w:i/>
        </w:rPr>
        <w:t>2 des G. vom 2. Mai 2019 (III) (B.S. vom 1</w:t>
      </w:r>
      <w:r w:rsidR="00347BC3" w:rsidRPr="009118AB">
        <w:rPr>
          <w:i/>
        </w:rPr>
        <w:t>5</w:t>
      </w:r>
      <w:r w:rsidR="0051631E" w:rsidRPr="009118AB">
        <w:rPr>
          <w:i/>
        </w:rPr>
        <w:t>. Mai 2019)</w:t>
      </w:r>
      <w:r w:rsidRPr="009118AB">
        <w:rPr>
          <w:i/>
          <w:iCs/>
          <w:szCs w:val="20"/>
        </w:rPr>
        <w:t>]</w:t>
      </w:r>
    </w:p>
    <w:p w14:paraId="6602E438" w14:textId="77777777" w:rsidR="00D30556" w:rsidRPr="009118AB" w:rsidRDefault="00D30556" w:rsidP="00D30556">
      <w:pPr>
        <w:autoSpaceDE w:val="0"/>
        <w:autoSpaceDN w:val="0"/>
        <w:adjustRightInd w:val="0"/>
        <w:jc w:val="both"/>
        <w:rPr>
          <w:iCs/>
          <w:szCs w:val="20"/>
        </w:rPr>
      </w:pPr>
    </w:p>
    <w:p w14:paraId="7409FB0E" w14:textId="77777777" w:rsidR="009410A0" w:rsidRPr="009118AB" w:rsidRDefault="009410A0" w:rsidP="009410A0">
      <w:pPr>
        <w:autoSpaceDE w:val="0"/>
        <w:autoSpaceDN w:val="0"/>
        <w:adjustRightInd w:val="0"/>
        <w:jc w:val="both"/>
      </w:pPr>
    </w:p>
    <w:p w14:paraId="3DF12FCA" w14:textId="6BBE84F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199</w:t>
      </w:r>
      <w:r w:rsidR="00D67EB8" w:rsidRPr="009118AB">
        <w:t> - </w:t>
      </w:r>
      <w:r w:rsidRPr="009118AB">
        <w:t xml:space="preserve">[Mit Ausnahme </w:t>
      </w:r>
      <w:r w:rsidR="00252ECF" w:rsidRPr="009118AB">
        <w:t xml:space="preserve">[der </w:t>
      </w:r>
      <w:r w:rsidR="00924EAF" w:rsidRPr="009118AB">
        <w:t>[</w:t>
      </w:r>
      <w:r w:rsidR="00252ECF" w:rsidRPr="009118AB">
        <w:t xml:space="preserve">in Artikel 21 </w:t>
      </w:r>
      <w:r w:rsidR="00924EAF" w:rsidRPr="009118AB">
        <w:t xml:space="preserve">Absatz 1 </w:t>
      </w:r>
      <w:r w:rsidR="00D67EB8" w:rsidRPr="009118AB">
        <w:t>Nr. </w:t>
      </w:r>
      <w:r w:rsidR="00252ECF" w:rsidRPr="009118AB">
        <w:t>5, 10</w:t>
      </w:r>
      <w:r w:rsidR="0070587A" w:rsidRPr="009118AB">
        <w:t>, 11</w:t>
      </w:r>
      <w:r w:rsidR="00110931" w:rsidRPr="009118AB">
        <w:t>, 13</w:t>
      </w:r>
      <w:r w:rsidR="0070587A" w:rsidRPr="009118AB">
        <w:t xml:space="preserve"> und 1</w:t>
      </w:r>
      <w:r w:rsidR="00110931" w:rsidRPr="009118AB">
        <w:t>4</w:t>
      </w:r>
      <w:r w:rsidR="0070587A" w:rsidRPr="009118AB">
        <w:t>]</w:t>
      </w:r>
      <w:r w:rsidR="00252ECF" w:rsidRPr="009118AB">
        <w:t xml:space="preserve"> erwähnten Einkünfte]</w:t>
      </w:r>
      <w:r w:rsidRPr="009118AB">
        <w:t xml:space="preserve"> und der </w:t>
      </w:r>
      <w:r w:rsidR="00484CF7" w:rsidRPr="009118AB">
        <w:t>[</w:t>
      </w:r>
      <w:r w:rsidR="001B3DA4" w:rsidRPr="009118AB">
        <w:t>in Artikel 145</w:t>
      </w:r>
      <w:r w:rsidR="001B3DA4" w:rsidRPr="009118AB">
        <w:rPr>
          <w:vertAlign w:val="superscript"/>
        </w:rPr>
        <w:t>33</w:t>
      </w:r>
      <w:r w:rsidR="001B3DA4" w:rsidRPr="009118AB">
        <w:t xml:space="preserve"> </w:t>
      </w:r>
      <w:r w:rsidR="00D67EB8" w:rsidRPr="009118AB">
        <w:t>§ </w:t>
      </w:r>
      <w:r w:rsidR="001B3DA4" w:rsidRPr="009118AB">
        <w:t xml:space="preserve">1 Absatz 1 </w:t>
      </w:r>
      <w:r w:rsidR="00D67EB8" w:rsidRPr="009118AB">
        <w:t>Nr. </w:t>
      </w:r>
      <w:r w:rsidR="001B3DA4" w:rsidRPr="009118AB">
        <w:t>4 Buchstabe </w:t>
      </w:r>
      <w:r w:rsidR="001B3DA4" w:rsidRPr="009118AB">
        <w:rPr>
          <w:i/>
        </w:rPr>
        <w:t>b)</w:t>
      </w:r>
      <w:r w:rsidR="00484CF7" w:rsidRPr="009118AB">
        <w:t>]</w:t>
      </w:r>
      <w:r w:rsidRPr="009118AB">
        <w:t xml:space="preserve"> erwähnten unentgeltlichen Zuwendungen in der Form von Kunstgegenständen werden die aufgrund des vorliegenden Gesetzbuches oder von besonderen Gesetzesbestimmungen steuerfreien Einkünfte</w:t>
      </w:r>
      <w:r w:rsidR="00484CF7" w:rsidRPr="009118AB">
        <w:t xml:space="preserve"> [und für eine Steuerermäßigung für unentgeltliche Zuwen</w:t>
      </w:r>
      <w:r w:rsidR="00484CF7" w:rsidRPr="009118AB">
        <w:softHyphen/>
        <w:t>dungen in Betracht kommenden Ausgaben]</w:t>
      </w:r>
      <w:r w:rsidRPr="009118AB">
        <w:t>, die in den Gewinnen des Besteuerungszeitraums enthalten sind, für die Festlegung des steuerpflichtigen Einkommens von diesen Gewinnen abgezogen.]</w:t>
      </w:r>
    </w:p>
    <w:p w14:paraId="68C31AD8" w14:textId="77777777" w:rsidR="00477B8F" w:rsidRPr="009118AB" w:rsidRDefault="00477B8F" w:rsidP="00477B8F">
      <w:pPr>
        <w:autoSpaceDE w:val="0"/>
        <w:autoSpaceDN w:val="0"/>
        <w:adjustRightInd w:val="0"/>
        <w:jc w:val="both"/>
      </w:pPr>
    </w:p>
    <w:p w14:paraId="1FE9AEBB" w14:textId="75F7F7DD"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199 ersetzt durch </w:t>
      </w:r>
      <w:r w:rsidR="00D67EB8" w:rsidRPr="009118AB">
        <w:rPr>
          <w:i/>
          <w:iCs/>
        </w:rPr>
        <w:t>Art. </w:t>
      </w:r>
      <w:r w:rsidRPr="009118AB">
        <w:rPr>
          <w:i/>
          <w:iCs/>
        </w:rPr>
        <w:t>24 des G. vom 22. Dezember 1998 (B.S. vom 15. Januar 1999)</w:t>
      </w:r>
      <w:r w:rsidR="00D67EB8" w:rsidRPr="009118AB">
        <w:rPr>
          <w:i/>
          <w:iCs/>
        </w:rPr>
        <w:t> - </w:t>
      </w:r>
      <w:r w:rsidRPr="009118AB">
        <w:rPr>
          <w:i/>
          <w:iCs/>
        </w:rPr>
        <w:t>anwendbar ab dem Steuerjahr 1992</w:t>
      </w:r>
      <w:r w:rsidR="00D67EB8" w:rsidRPr="009118AB">
        <w:rPr>
          <w:i/>
          <w:iCs/>
        </w:rPr>
        <w:t> - </w:t>
      </w:r>
      <w:r w:rsidRPr="009118AB">
        <w:rPr>
          <w:i/>
          <w:iCs/>
        </w:rPr>
        <w:t xml:space="preserve">und abgeändert durch </w:t>
      </w:r>
      <w:r w:rsidR="00D67EB8" w:rsidRPr="009118AB">
        <w:rPr>
          <w:i/>
          <w:iCs/>
        </w:rPr>
        <w:t>Art. </w:t>
      </w:r>
      <w:r w:rsidRPr="009118AB">
        <w:rPr>
          <w:i/>
          <w:iCs/>
        </w:rPr>
        <w:t>63 des G. vom 26. März 1999 (B.S. vom 1. April 1999)</w:t>
      </w:r>
      <w:r w:rsidR="00D67EB8" w:rsidRPr="009118AB">
        <w:rPr>
          <w:i/>
          <w:iCs/>
        </w:rPr>
        <w:t> - </w:t>
      </w:r>
      <w:r w:rsidRPr="009118AB">
        <w:rPr>
          <w:i/>
          <w:iCs/>
        </w:rPr>
        <w:t xml:space="preserve">anwendbar auf Einkünfte, die ab dem </w:t>
      </w:r>
      <w:r w:rsidRPr="009118AB">
        <w:rPr>
          <w:rFonts w:ascii="Times New Roman Italique" w:hAnsi="Times New Roman Italique"/>
          <w:i/>
          <w:iCs/>
          <w:spacing w:val="-2"/>
        </w:rPr>
        <w:t>1. Januar 1999 gezahlt oder zuerkannt werden</w:t>
      </w:r>
      <w:r w:rsidR="00FD68E8" w:rsidRPr="009118AB">
        <w:rPr>
          <w:rFonts w:ascii="Times New Roman Italique" w:hAnsi="Times New Roman Italique"/>
          <w:i/>
          <w:iCs/>
          <w:spacing w:val="-2"/>
        </w:rPr>
        <w:t> -,</w:t>
      </w:r>
      <w:r w:rsidR="00484CF7"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484CF7" w:rsidRPr="009118AB">
        <w:rPr>
          <w:rFonts w:ascii="Times New Roman Italique" w:hAnsi="Times New Roman Italique"/>
          <w:i/>
          <w:iCs/>
          <w:spacing w:val="-2"/>
        </w:rPr>
        <w:t>46 des G. vom 13. Dezember 2012</w:t>
      </w:r>
      <w:r w:rsidR="00D27B17" w:rsidRPr="009118AB">
        <w:rPr>
          <w:rFonts w:ascii="Times New Roman Italique" w:hAnsi="Times New Roman Italique"/>
          <w:i/>
          <w:iCs/>
          <w:spacing w:val="-2"/>
        </w:rPr>
        <w:t xml:space="preserve"> (B.S. vom 20. Dezember 2012)</w:t>
      </w:r>
      <w:r w:rsidR="00D67EB8" w:rsidRPr="009118AB">
        <w:rPr>
          <w:rFonts w:ascii="Times New Roman Italique" w:hAnsi="Times New Roman Italique"/>
          <w:i/>
          <w:iCs/>
          <w:spacing w:val="-2"/>
        </w:rPr>
        <w:t> - </w:t>
      </w:r>
      <w:r w:rsidR="00484CF7" w:rsidRPr="009118AB">
        <w:rPr>
          <w:rFonts w:ascii="Times New Roman Italique" w:hAnsi="Times New Roman Italique"/>
          <w:i/>
          <w:iCs/>
          <w:spacing w:val="-2"/>
        </w:rPr>
        <w:t>anwendbar ab dem 1. Januar 2012</w:t>
      </w:r>
      <w:r w:rsidR="00FD68E8" w:rsidRPr="009118AB">
        <w:rPr>
          <w:rFonts w:ascii="Times New Roman Italique" w:hAnsi="Times New Roman Italique"/>
          <w:i/>
          <w:iCs/>
          <w:spacing w:val="-2"/>
        </w:rPr>
        <w:t> -,</w:t>
      </w:r>
      <w:r w:rsidR="001B3DA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1B3DA4" w:rsidRPr="009118AB">
        <w:rPr>
          <w:rFonts w:ascii="Times New Roman Italique" w:hAnsi="Times New Roman Italique"/>
          <w:i/>
          <w:iCs/>
          <w:spacing w:val="-2"/>
        </w:rPr>
        <w:t>15</w:t>
      </w:r>
      <w:r w:rsidR="00C83EA3" w:rsidRPr="009118AB">
        <w:rPr>
          <w:rFonts w:ascii="Times New Roman Italique" w:hAnsi="Times New Roman Italique"/>
          <w:i/>
          <w:iCs/>
          <w:spacing w:val="-2"/>
        </w:rPr>
        <w:t xml:space="preserve"> </w:t>
      </w:r>
      <w:r w:rsidR="001B3DA4" w:rsidRPr="009118AB">
        <w:rPr>
          <w:rFonts w:ascii="Times New Roman Italique" w:hAnsi="Times New Roman Italique"/>
          <w:i/>
          <w:iCs/>
          <w:spacing w:val="-2"/>
        </w:rPr>
        <w:t>des G. vom 17. Juni 2013 (B.S. vom 28. Juni 2013)</w:t>
      </w:r>
      <w:r w:rsidR="00D67EB8" w:rsidRPr="009118AB">
        <w:rPr>
          <w:rFonts w:ascii="Times New Roman Italique" w:hAnsi="Times New Roman Italique"/>
          <w:i/>
          <w:iCs/>
          <w:spacing w:val="-2"/>
        </w:rPr>
        <w:t> - </w:t>
      </w:r>
      <w:r w:rsidR="001B3DA4" w:rsidRPr="009118AB">
        <w:rPr>
          <w:rFonts w:ascii="Times New Roman Italique" w:hAnsi="Times New Roman Italique"/>
          <w:i/>
          <w:iCs/>
          <w:spacing w:val="-2"/>
        </w:rPr>
        <w:t>anwendbar ab dem Steuerjahr 2014</w:t>
      </w:r>
      <w:r w:rsidR="00FD68E8" w:rsidRPr="009118AB">
        <w:rPr>
          <w:rFonts w:ascii="Times New Roman Italique" w:hAnsi="Times New Roman Italique"/>
          <w:i/>
          <w:iCs/>
          <w:spacing w:val="-2"/>
        </w:rPr>
        <w:t> -,</w:t>
      </w:r>
      <w:r w:rsidR="00252ECF"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252ECF" w:rsidRPr="009118AB">
        <w:rPr>
          <w:rFonts w:ascii="Times New Roman Italique" w:hAnsi="Times New Roman Italique"/>
          <w:i/>
          <w:iCs/>
          <w:spacing w:val="-2"/>
        </w:rPr>
        <w:t>46 des G. vom 19. Dezember 2014 (B.S. vom 29. Dezember 2014)</w:t>
      </w:r>
      <w:r w:rsidR="00D67EB8" w:rsidRPr="009118AB">
        <w:rPr>
          <w:rFonts w:ascii="Times New Roman Italique" w:hAnsi="Times New Roman Italique"/>
          <w:i/>
          <w:iCs/>
          <w:spacing w:val="-2"/>
        </w:rPr>
        <w:t> - </w:t>
      </w:r>
      <w:r w:rsidR="00252ECF" w:rsidRPr="009118AB">
        <w:rPr>
          <w:rFonts w:ascii="Times New Roman Italique" w:hAnsi="Times New Roman Italique"/>
          <w:i/>
          <w:iCs/>
          <w:spacing w:val="-2"/>
        </w:rPr>
        <w:t>an</w:t>
      </w:r>
      <w:r w:rsidR="00110931" w:rsidRPr="009118AB">
        <w:rPr>
          <w:rFonts w:ascii="Times New Roman Italique" w:hAnsi="Times New Roman Italique"/>
          <w:i/>
          <w:iCs/>
          <w:spacing w:val="-2"/>
        </w:rPr>
        <w:t>wendbar ab dem Steuerjahr 2015</w:t>
      </w:r>
      <w:r w:rsidR="00FD68E8" w:rsidRPr="009118AB">
        <w:rPr>
          <w:rFonts w:ascii="Times New Roman Italique" w:hAnsi="Times New Roman Italique"/>
          <w:i/>
          <w:iCs/>
          <w:spacing w:val="-2"/>
        </w:rPr>
        <w:t> -,</w:t>
      </w:r>
      <w:r w:rsidR="0070587A" w:rsidRPr="009118AB">
        <w:rPr>
          <w:i/>
          <w:iCs/>
          <w:spacing w:val="-1"/>
        </w:rPr>
        <w:t xml:space="preserve"> </w:t>
      </w:r>
      <w:r w:rsidR="00D67EB8" w:rsidRPr="009118AB">
        <w:rPr>
          <w:i/>
          <w:iCs/>
          <w:spacing w:val="-1"/>
        </w:rPr>
        <w:t>Art. </w:t>
      </w:r>
      <w:r w:rsidR="0070587A" w:rsidRPr="009118AB">
        <w:rPr>
          <w:i/>
          <w:iCs/>
          <w:spacing w:val="-1"/>
        </w:rPr>
        <w:t>61</w:t>
      </w:r>
      <w:r w:rsidR="0070587A" w:rsidRPr="009118AB">
        <w:rPr>
          <w:i/>
          <w:iCs/>
        </w:rPr>
        <w:t xml:space="preserve"> des G. vom 10. August 2015 (B.S. vom 18. August 2015)</w:t>
      </w:r>
      <w:r w:rsidR="00D67EB8" w:rsidRPr="009118AB">
        <w:rPr>
          <w:i/>
          <w:iCs/>
        </w:rPr>
        <w:t> - </w:t>
      </w:r>
      <w:r w:rsidR="0070587A" w:rsidRPr="009118AB">
        <w:rPr>
          <w:i/>
        </w:rPr>
        <w:t>anwendbar auf die ab dem 1. August 2015 abgeschlossenen Darlehen</w:t>
      </w:r>
      <w:r w:rsidR="00FD68E8" w:rsidRPr="009118AB">
        <w:rPr>
          <w:i/>
        </w:rPr>
        <w:t> -,</w:t>
      </w:r>
      <w:r w:rsidR="00110931" w:rsidRPr="009118AB">
        <w:rPr>
          <w:i/>
        </w:rPr>
        <w:t xml:space="preserve"> </w:t>
      </w:r>
      <w:r w:rsidR="00D67EB8" w:rsidRPr="009118AB">
        <w:rPr>
          <w:i/>
        </w:rPr>
        <w:t>Art. </w:t>
      </w:r>
      <w:r w:rsidR="00110931" w:rsidRPr="009118AB">
        <w:rPr>
          <w:i/>
        </w:rPr>
        <w:t xml:space="preserve">108 </w:t>
      </w:r>
      <w:r w:rsidR="00D67EB8" w:rsidRPr="009118AB">
        <w:rPr>
          <w:i/>
        </w:rPr>
        <w:t>Nr. </w:t>
      </w:r>
      <w:r w:rsidR="00110931" w:rsidRPr="009118AB">
        <w:rPr>
          <w:i/>
        </w:rPr>
        <w:t>1</w:t>
      </w:r>
      <w:r w:rsidR="00110931" w:rsidRPr="009118AB">
        <w:rPr>
          <w:i/>
          <w:iCs/>
        </w:rPr>
        <w:t xml:space="preserve"> des G. vom 25. Dezember 2017 (IV) (B.S. vom 29. Dezember 2017)</w:t>
      </w:r>
      <w:r w:rsidR="00D67EB8" w:rsidRPr="009118AB">
        <w:rPr>
          <w:i/>
        </w:rPr>
        <w:t> - </w:t>
      </w:r>
      <w:r w:rsidR="00110931" w:rsidRPr="009118AB">
        <w:rPr>
          <w:i/>
        </w:rPr>
        <w:t>anwendbar ab d</w:t>
      </w:r>
      <w:r w:rsidR="00405084" w:rsidRPr="009118AB">
        <w:rPr>
          <w:i/>
        </w:rPr>
        <w:t>em 30. Dezember 2016</w:t>
      </w:r>
      <w:r w:rsidR="00D67EB8" w:rsidRPr="009118AB">
        <w:rPr>
          <w:i/>
        </w:rPr>
        <w:t> - </w:t>
      </w:r>
      <w:r w:rsidR="00110931" w:rsidRPr="009118AB">
        <w:rPr>
          <w:i/>
        </w:rPr>
        <w:t xml:space="preserve">und </w:t>
      </w:r>
      <w:r w:rsidR="00D67EB8" w:rsidRPr="009118AB">
        <w:rPr>
          <w:i/>
        </w:rPr>
        <w:t>Art. </w:t>
      </w:r>
      <w:r w:rsidR="00110931" w:rsidRPr="009118AB">
        <w:rPr>
          <w:i/>
        </w:rPr>
        <w:t xml:space="preserve">108 </w:t>
      </w:r>
      <w:r w:rsidR="00D67EB8" w:rsidRPr="009118AB">
        <w:rPr>
          <w:i/>
        </w:rPr>
        <w:t>Nr. </w:t>
      </w:r>
      <w:r w:rsidR="00110931" w:rsidRPr="009118AB">
        <w:rPr>
          <w:i/>
        </w:rPr>
        <w:t>2</w:t>
      </w:r>
      <w:r w:rsidR="00110931" w:rsidRPr="009118AB">
        <w:rPr>
          <w:rFonts w:ascii="Times New Roman Italique" w:hAnsi="Times New Roman Italique"/>
          <w:i/>
          <w:iCs/>
          <w:spacing w:val="-2"/>
        </w:rPr>
        <w:t xml:space="preserve"> </w:t>
      </w:r>
      <w:r w:rsidR="00110931" w:rsidRPr="009118AB">
        <w:rPr>
          <w:i/>
          <w:iCs/>
        </w:rPr>
        <w:t>des G. vom 25. Dezember 2017 (IV)</w:t>
      </w:r>
      <w:r w:rsidR="00405084" w:rsidRPr="009118AB">
        <w:rPr>
          <w:i/>
          <w:iCs/>
        </w:rPr>
        <w:t xml:space="preserve"> (B.S. vom 29. Dezember 2017)</w:t>
      </w:r>
      <w:r w:rsidR="00D67EB8" w:rsidRPr="009118AB">
        <w:rPr>
          <w:i/>
          <w:iCs/>
        </w:rPr>
        <w:t> - </w:t>
      </w:r>
      <w:r w:rsidR="00110931" w:rsidRPr="009118AB">
        <w:rPr>
          <w:i/>
        </w:rPr>
        <w:t>anwendbar auf die ab dem 1. Januar 2018 gezahlten oder zuerkannten Einkünfte</w:t>
      </w:r>
      <w:r w:rsidR="00FD68E8" w:rsidRPr="009118AB">
        <w:rPr>
          <w:i/>
        </w:rPr>
        <w:t> -]</w:t>
      </w:r>
    </w:p>
    <w:p w14:paraId="62E102BD" w14:textId="77777777" w:rsidR="00477B8F" w:rsidRPr="009118AB" w:rsidRDefault="00477B8F" w:rsidP="00477B8F">
      <w:pPr>
        <w:autoSpaceDE w:val="0"/>
        <w:autoSpaceDN w:val="0"/>
        <w:adjustRightInd w:val="0"/>
        <w:jc w:val="both"/>
      </w:pPr>
    </w:p>
    <w:p w14:paraId="6D32FF73" w14:textId="77777777" w:rsidR="00477B8F" w:rsidRPr="009118AB" w:rsidRDefault="00477B8F" w:rsidP="00477B8F">
      <w:pPr>
        <w:autoSpaceDE w:val="0"/>
        <w:autoSpaceDN w:val="0"/>
        <w:adjustRightInd w:val="0"/>
        <w:jc w:val="both"/>
      </w:pPr>
    </w:p>
    <w:p w14:paraId="587EC31B" w14:textId="618190D2"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200</w:t>
      </w:r>
      <w:r w:rsidR="00D67EB8" w:rsidRPr="009118AB">
        <w:t> - </w:t>
      </w:r>
      <w:r w:rsidRPr="009118AB">
        <w:t>Der Prozentsatz von 10 Prozen</w:t>
      </w:r>
      <w:r w:rsidR="00C137FE" w:rsidRPr="009118AB">
        <w:t>t und der Höchstbetrag von [250.</w:t>
      </w:r>
      <w:r w:rsidRPr="009118AB">
        <w:t xml:space="preserve">000 EUR], </w:t>
      </w:r>
      <w:r w:rsidR="00484CF7" w:rsidRPr="009118AB">
        <w:t>[die in Artikel 145</w:t>
      </w:r>
      <w:r w:rsidR="00484CF7" w:rsidRPr="009118AB">
        <w:rPr>
          <w:vertAlign w:val="superscript"/>
        </w:rPr>
        <w:t>33</w:t>
      </w:r>
      <w:r w:rsidR="00484CF7" w:rsidRPr="009118AB">
        <w:t xml:space="preserve"> </w:t>
      </w:r>
      <w:r w:rsidR="00D67EB8" w:rsidRPr="009118AB">
        <w:t>§ </w:t>
      </w:r>
      <w:r w:rsidR="00484CF7" w:rsidRPr="009118AB">
        <w:t>1 Absatz 4 in Bezug auf die Ermäßigung für unentgeltliche Zuwendungen vorgesehen sind]</w:t>
      </w:r>
      <w:r w:rsidRPr="009118AB">
        <w:t>, werden auf 5 Prozent beziehungsweise [500.000 EUR] festgelegt.</w:t>
      </w:r>
    </w:p>
    <w:p w14:paraId="120FC50B" w14:textId="77777777" w:rsidR="00477B8F" w:rsidRPr="009118AB" w:rsidRDefault="00477B8F" w:rsidP="00477B8F">
      <w:pPr>
        <w:autoSpaceDE w:val="0"/>
        <w:autoSpaceDN w:val="0"/>
        <w:adjustRightInd w:val="0"/>
        <w:jc w:val="both"/>
      </w:pPr>
    </w:p>
    <w:p w14:paraId="0206EF7F" w14:textId="4B18DC56"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200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r w:rsidR="00484CF7" w:rsidRPr="009118AB">
        <w:rPr>
          <w:i/>
          <w:iCs/>
        </w:rPr>
        <w:t xml:space="preserve"> und durch </w:t>
      </w:r>
      <w:r w:rsidR="00D67EB8" w:rsidRPr="009118AB">
        <w:rPr>
          <w:i/>
          <w:iCs/>
        </w:rPr>
        <w:t>Art. </w:t>
      </w:r>
      <w:r w:rsidR="00484CF7" w:rsidRPr="009118AB">
        <w:rPr>
          <w:i/>
          <w:iCs/>
        </w:rPr>
        <w:t>47 des G. vom 13. Dezember 2012 (B.S. vom 20. Dezember 2012)</w:t>
      </w:r>
      <w:r w:rsidR="00D67EB8" w:rsidRPr="009118AB">
        <w:rPr>
          <w:i/>
          <w:iCs/>
        </w:rPr>
        <w:t> - </w:t>
      </w:r>
      <w:r w:rsidR="00484CF7" w:rsidRPr="009118AB">
        <w:rPr>
          <w:i/>
          <w:iCs/>
        </w:rPr>
        <w:t>anwendbar ab dem 1. Januar 2012</w:t>
      </w:r>
      <w:r w:rsidR="00FD68E8" w:rsidRPr="009118AB">
        <w:rPr>
          <w:i/>
          <w:iCs/>
        </w:rPr>
        <w:t> -]</w:t>
      </w:r>
    </w:p>
    <w:p w14:paraId="5F1E8CF6" w14:textId="77777777" w:rsidR="00477B8F" w:rsidRPr="009118AB" w:rsidRDefault="00477B8F" w:rsidP="00477B8F">
      <w:pPr>
        <w:autoSpaceDE w:val="0"/>
        <w:autoSpaceDN w:val="0"/>
        <w:adjustRightInd w:val="0"/>
        <w:jc w:val="both"/>
      </w:pPr>
    </w:p>
    <w:p w14:paraId="3212B18E" w14:textId="57053542" w:rsidR="00477B8F" w:rsidRPr="009118AB" w:rsidRDefault="00477B8F" w:rsidP="00477B8F">
      <w:pPr>
        <w:autoSpaceDE w:val="0"/>
        <w:autoSpaceDN w:val="0"/>
        <w:adjustRightInd w:val="0"/>
        <w:jc w:val="both"/>
      </w:pPr>
    </w:p>
    <w:p w14:paraId="7DD908DA" w14:textId="795A68B3" w:rsidR="006340E1" w:rsidRPr="009118AB" w:rsidRDefault="006340E1" w:rsidP="00477B8F">
      <w:pPr>
        <w:autoSpaceDE w:val="0"/>
        <w:autoSpaceDN w:val="0"/>
        <w:adjustRightInd w:val="0"/>
        <w:jc w:val="both"/>
      </w:pPr>
      <w:r w:rsidRPr="009118AB">
        <w:tab/>
        <w:t>[</w:t>
      </w:r>
      <w:r w:rsidR="00D67EB8" w:rsidRPr="009118AB">
        <w:rPr>
          <w:b/>
        </w:rPr>
        <w:t>Art. </w:t>
      </w:r>
      <w:r w:rsidRPr="009118AB">
        <w:rPr>
          <w:b/>
        </w:rPr>
        <w:t>200/1</w:t>
      </w:r>
      <w:r w:rsidR="00D67EB8" w:rsidRPr="009118AB">
        <w:t> - </w:t>
      </w:r>
      <w:r w:rsidRPr="009118AB">
        <w:t>Artikel 67</w:t>
      </w:r>
      <w:r w:rsidRPr="009118AB">
        <w:rPr>
          <w:i/>
          <w:iCs/>
        </w:rPr>
        <w:t>sexies</w:t>
      </w:r>
      <w:r w:rsidRPr="009118AB">
        <w:t xml:space="preserve"> ist nicht anwendbar.]</w:t>
      </w:r>
    </w:p>
    <w:p w14:paraId="50CCA6C6" w14:textId="5626E06E" w:rsidR="006340E1" w:rsidRPr="009118AB" w:rsidRDefault="006340E1" w:rsidP="00477B8F">
      <w:pPr>
        <w:autoSpaceDE w:val="0"/>
        <w:autoSpaceDN w:val="0"/>
        <w:adjustRightInd w:val="0"/>
        <w:jc w:val="both"/>
      </w:pPr>
    </w:p>
    <w:p w14:paraId="2C7CC862" w14:textId="718B9497" w:rsidR="006340E1" w:rsidRPr="009118AB" w:rsidRDefault="006340E1" w:rsidP="00477B8F">
      <w:pPr>
        <w:autoSpaceDE w:val="0"/>
        <w:autoSpaceDN w:val="0"/>
        <w:adjustRightInd w:val="0"/>
        <w:jc w:val="both"/>
        <w:rPr>
          <w:i/>
        </w:rPr>
      </w:pPr>
      <w:r w:rsidRPr="009118AB">
        <w:rPr>
          <w:i/>
        </w:rPr>
        <w:t>[</w:t>
      </w:r>
      <w:r w:rsidR="00D67EB8" w:rsidRPr="009118AB">
        <w:rPr>
          <w:i/>
        </w:rPr>
        <w:t>Art. </w:t>
      </w:r>
      <w:r w:rsidRPr="009118AB">
        <w:rPr>
          <w:i/>
        </w:rPr>
        <w:t xml:space="preserve">200/1 eingefügt durch </w:t>
      </w:r>
      <w:r w:rsidR="00D67EB8" w:rsidRPr="009118AB">
        <w:rPr>
          <w:i/>
        </w:rPr>
        <w:t>Art. </w:t>
      </w:r>
      <w:r w:rsidRPr="009118AB">
        <w:rPr>
          <w:i/>
        </w:rPr>
        <w:t>11</w:t>
      </w:r>
      <w:r w:rsidRPr="009118AB">
        <w:rPr>
          <w:i/>
          <w:iCs/>
        </w:rPr>
        <w:t xml:space="preserve"> des G. vom 23. Juni 2020 (B.S. vom 1. Juli 2020)]</w:t>
      </w:r>
    </w:p>
    <w:p w14:paraId="12326C8E" w14:textId="01643C8E" w:rsidR="009E50AC" w:rsidRPr="009118AB" w:rsidRDefault="00477B8F" w:rsidP="00CC5A06">
      <w:pPr>
        <w:ind w:firstLine="708"/>
        <w:jc w:val="both"/>
      </w:pPr>
      <w:r w:rsidRPr="009118AB">
        <w:lastRenderedPageBreak/>
        <w:tab/>
      </w:r>
    </w:p>
    <w:p w14:paraId="7D73D3F2" w14:textId="77777777" w:rsidR="006340E1" w:rsidRPr="009118AB" w:rsidRDefault="006340E1" w:rsidP="00CC5A06">
      <w:pPr>
        <w:ind w:firstLine="708"/>
        <w:jc w:val="both"/>
      </w:pPr>
    </w:p>
    <w:p w14:paraId="337B4081" w14:textId="6BA1B097" w:rsidR="00CC5A06" w:rsidRPr="009118AB" w:rsidRDefault="00D67EB8" w:rsidP="00CC5A06">
      <w:pPr>
        <w:ind w:firstLine="708"/>
        <w:jc w:val="both"/>
      </w:pPr>
      <w:r w:rsidRPr="009118AB">
        <w:rPr>
          <w:b/>
          <w:bCs/>
        </w:rPr>
        <w:t>Art. </w:t>
      </w:r>
      <w:r w:rsidR="00477B8F" w:rsidRPr="009118AB">
        <w:rPr>
          <w:b/>
          <w:bCs/>
        </w:rPr>
        <w:t>201</w:t>
      </w:r>
      <w:r w:rsidRPr="009118AB">
        <w:t> - </w:t>
      </w:r>
      <w:r w:rsidR="00FB757A" w:rsidRPr="009118AB">
        <w:t>[</w:t>
      </w:r>
      <w:r w:rsidRPr="009118AB">
        <w:t>§ </w:t>
      </w:r>
      <w:r w:rsidR="00FB757A" w:rsidRPr="009118AB">
        <w:t>1]</w:t>
      </w:r>
      <w:r w:rsidRPr="009118AB">
        <w:t> - </w:t>
      </w:r>
      <w:r w:rsidR="004B5353" w:rsidRPr="009118AB">
        <w:t>[</w:t>
      </w:r>
      <w:r w:rsidR="00477B8F" w:rsidRPr="009118AB">
        <w:t>[</w:t>
      </w:r>
      <w:r w:rsidR="00CC5A06" w:rsidRPr="009118AB">
        <w:t xml:space="preserve">In den in Artikel 69 </w:t>
      </w:r>
      <w:r w:rsidRPr="009118AB">
        <w:t>§ </w:t>
      </w:r>
      <w:r w:rsidR="00CC5A06" w:rsidRPr="009118AB">
        <w:t xml:space="preserve">1 Absatz 1 </w:t>
      </w:r>
      <w:r w:rsidRPr="009118AB">
        <w:t>Nr. </w:t>
      </w:r>
      <w:r w:rsidR="00CC5A06" w:rsidRPr="009118AB">
        <w:t>1 erw</w:t>
      </w:r>
      <w:r w:rsidR="00575C60" w:rsidRPr="009118AB">
        <w:t>ähnten Fällen beträgt der Basis</w:t>
      </w:r>
      <w:r w:rsidR="00CC5A06" w:rsidRPr="009118AB">
        <w:t>prozentsatz des Investitionsabzugs:</w:t>
      </w:r>
    </w:p>
    <w:p w14:paraId="1A666231" w14:textId="77777777" w:rsidR="00CC5A06" w:rsidRPr="009118AB" w:rsidRDefault="00CC5A06" w:rsidP="00CC5A06">
      <w:pPr>
        <w:jc w:val="both"/>
      </w:pPr>
    </w:p>
    <w:p w14:paraId="64D1B6A8" w14:textId="51AF80DE" w:rsidR="00CC5A06" w:rsidRPr="009118AB" w:rsidRDefault="00CC5A06" w:rsidP="00CC5A06">
      <w:pPr>
        <w:ind w:firstLine="708"/>
        <w:jc w:val="both"/>
      </w:pPr>
      <w:r w:rsidRPr="009118AB">
        <w:t xml:space="preserve">1. für Anlagen, die von einer Gesellschaft erworben oder gebildet werden, die </w:t>
      </w:r>
      <w:r w:rsidR="00F87587" w:rsidRPr="009118AB">
        <w:t>[...</w:t>
      </w:r>
      <w:r w:rsidR="00994333" w:rsidRPr="009118AB">
        <w:t>]</w:t>
      </w:r>
      <w:r w:rsidRPr="009118AB">
        <w:t xml:space="preserve"> für das Steuerjahr, das sich auf den Besteuerungszeitraum bezieht, in dem diese Investitionen getätigt werden, als kleine Gesellschaft gilt, 8 Prozent des Anschaffungs- oder Investitionswertes der neuen Sachanlagen oder immateriellen Anlagen, sofern diese Anlagen in direktem Zusammenhang mit der bestehenden oder geplanten wirtschaftlichen Tätigkeit stehen, die von der Gesellschaft tatsächlich ausgeübt wird</w:t>
      </w:r>
      <w:r w:rsidR="00585F9B" w:rsidRPr="009118AB">
        <w:t>. [Für Anlagen, die zwischen dem 1. Januar 2018 und dem 31. Dezember 2019 erworben oder gebildet werden, beträgt der Basisprozentsatz des Abzugs jedoch 20 Prozent</w:t>
      </w:r>
      <w:r w:rsidR="001C3783" w:rsidRPr="009118AB">
        <w:t>.</w:t>
      </w:r>
      <w:r w:rsidR="00585F9B" w:rsidRPr="009118AB">
        <w:t>]</w:t>
      </w:r>
      <w:r w:rsidR="001C3783" w:rsidRPr="009118AB">
        <w:t xml:space="preserve"> [Für Anlagen, die zwischen dem 12. März 2020 und dem </w:t>
      </w:r>
      <w:r w:rsidR="00575C60" w:rsidRPr="009118AB">
        <w:t>[</w:t>
      </w:r>
      <w:r w:rsidR="001C3783" w:rsidRPr="009118AB">
        <w:t>31. Dezember 202</w:t>
      </w:r>
      <w:r w:rsidR="00575C60" w:rsidRPr="009118AB">
        <w:t>2]</w:t>
      </w:r>
      <w:r w:rsidR="001C3783" w:rsidRPr="009118AB">
        <w:t xml:space="preserve"> erworben oder gebildet werden, beträgt der Basisprozentsatz des Abzugs 25 Prozent,]</w:t>
      </w:r>
    </w:p>
    <w:p w14:paraId="5C594876" w14:textId="77777777" w:rsidR="00CC5A06" w:rsidRPr="009118AB" w:rsidRDefault="00CC5A06" w:rsidP="00CC5A06">
      <w:pPr>
        <w:jc w:val="both"/>
      </w:pPr>
    </w:p>
    <w:p w14:paraId="683DB340" w14:textId="7BCCC3BB" w:rsidR="00477B8F" w:rsidRPr="009118AB" w:rsidRDefault="0025558F" w:rsidP="00CC5A06">
      <w:pPr>
        <w:autoSpaceDE w:val="0"/>
        <w:autoSpaceDN w:val="0"/>
        <w:adjustRightInd w:val="0"/>
        <w:jc w:val="both"/>
      </w:pPr>
      <w:r w:rsidRPr="009118AB">
        <w:tab/>
      </w:r>
      <w:r w:rsidR="00CC5A06" w:rsidRPr="009118AB">
        <w:t xml:space="preserve">2. für Anlagen, die von einer Gesellschaft erworben oder gebildet werden, die nicht in </w:t>
      </w:r>
      <w:r w:rsidR="00D67EB8" w:rsidRPr="009118AB">
        <w:t>Nr. </w:t>
      </w:r>
      <w:r w:rsidR="00CC5A06" w:rsidRPr="009118AB">
        <w:t>1 erwähnt ist, 0 Prozent.</w:t>
      </w:r>
      <w:r w:rsidR="00FB757A" w:rsidRPr="009118AB">
        <w:t>]</w:t>
      </w:r>
    </w:p>
    <w:p w14:paraId="22129D08" w14:textId="77777777" w:rsidR="00CB2F34" w:rsidRPr="009118AB" w:rsidRDefault="00CB2F34" w:rsidP="00477B8F">
      <w:pPr>
        <w:autoSpaceDE w:val="0"/>
        <w:autoSpaceDN w:val="0"/>
        <w:adjustRightInd w:val="0"/>
        <w:jc w:val="both"/>
      </w:pPr>
    </w:p>
    <w:p w14:paraId="3F1EFC45" w14:textId="77777777" w:rsidR="00CB2F34" w:rsidRPr="009118AB" w:rsidRDefault="00CB2F34" w:rsidP="00CB2F34">
      <w:pPr>
        <w:ind w:firstLine="708"/>
        <w:jc w:val="both"/>
      </w:pPr>
      <w:r w:rsidRPr="009118AB">
        <w:t>[</w:t>
      </w:r>
      <w:r w:rsidR="00CC5A06" w:rsidRPr="009118AB">
        <w:t>...]</w:t>
      </w:r>
    </w:p>
    <w:p w14:paraId="22C0BE08" w14:textId="77777777" w:rsidR="00CB2F34" w:rsidRPr="009118AB" w:rsidRDefault="00CB2F34" w:rsidP="00CB2F34">
      <w:pPr>
        <w:jc w:val="both"/>
      </w:pPr>
    </w:p>
    <w:p w14:paraId="5C36DF2C" w14:textId="0C9AEE7A" w:rsidR="00CB2F34" w:rsidRPr="009118AB" w:rsidRDefault="00CC5A06" w:rsidP="00FF37FD">
      <w:pPr>
        <w:ind w:firstLine="708"/>
        <w:jc w:val="both"/>
      </w:pPr>
      <w:r w:rsidRPr="009118AB">
        <w:t>[</w:t>
      </w:r>
      <w:r w:rsidR="00FF37FD" w:rsidRPr="009118AB">
        <w:t>..</w:t>
      </w:r>
      <w:r w:rsidR="00CB2F34" w:rsidRPr="009118AB">
        <w:t>.</w:t>
      </w:r>
      <w:r w:rsidR="0025558F" w:rsidRPr="009118AB">
        <w:t>]</w:t>
      </w:r>
    </w:p>
    <w:p w14:paraId="401C7EA4" w14:textId="77777777" w:rsidR="00CB2F34" w:rsidRPr="009118AB" w:rsidRDefault="00CB2F34" w:rsidP="00CB2F34">
      <w:pPr>
        <w:jc w:val="both"/>
      </w:pPr>
    </w:p>
    <w:p w14:paraId="20332362" w14:textId="2F67AEA2" w:rsidR="00CB2F34" w:rsidRPr="009118AB" w:rsidRDefault="0025558F" w:rsidP="00CB2F34">
      <w:pPr>
        <w:ind w:firstLine="708"/>
        <w:jc w:val="both"/>
      </w:pPr>
      <w:r w:rsidRPr="009118AB">
        <w:t>[</w:t>
      </w:r>
      <w:r w:rsidR="00CB2F34" w:rsidRPr="009118AB">
        <w:t xml:space="preserve">Der in </w:t>
      </w:r>
      <w:r w:rsidR="00CC5A06" w:rsidRPr="009118AB">
        <w:t>[</w:t>
      </w:r>
      <w:r w:rsidR="00CB2F34" w:rsidRPr="009118AB">
        <w:t>Absatz </w:t>
      </w:r>
      <w:r w:rsidR="00CC5A06" w:rsidRPr="009118AB">
        <w:t>1]</w:t>
      </w:r>
      <w:r w:rsidR="00CB2F34" w:rsidRPr="009118AB">
        <w:t xml:space="preserve"> erwähnte Abzug wird immer in einem Mal angewandt.</w:t>
      </w:r>
      <w:r w:rsidR="001C3783" w:rsidRPr="009118AB">
        <w:t>]</w:t>
      </w:r>
    </w:p>
    <w:p w14:paraId="64E13D37" w14:textId="77777777" w:rsidR="00CB2F34" w:rsidRPr="009118AB" w:rsidRDefault="00CB2F34" w:rsidP="00CB2F34">
      <w:pPr>
        <w:jc w:val="both"/>
      </w:pPr>
    </w:p>
    <w:p w14:paraId="2FF66649" w14:textId="64019F30" w:rsidR="00CB2F34" w:rsidRPr="009118AB" w:rsidRDefault="001C3783" w:rsidP="00CB2F34">
      <w:pPr>
        <w:ind w:firstLine="708"/>
        <w:jc w:val="both"/>
      </w:pPr>
      <w:r w:rsidRPr="009118AB">
        <w:t>[</w:t>
      </w:r>
      <w:r w:rsidR="00CB2F34" w:rsidRPr="009118AB">
        <w:t xml:space="preserve">In Bezug auf den in </w:t>
      </w:r>
      <w:r w:rsidR="00CC5A06" w:rsidRPr="009118AB">
        <w:t>[</w:t>
      </w:r>
      <w:r w:rsidR="00CB2F34" w:rsidRPr="009118AB">
        <w:t>Absatz </w:t>
      </w:r>
      <w:r w:rsidR="00CC5A06" w:rsidRPr="009118AB">
        <w:t>1]</w:t>
      </w:r>
      <w:r w:rsidR="00CB2F34" w:rsidRPr="009118AB">
        <w:t xml:space="preserve"> erwähnten Investitionsabzug ist die in Artikel 72 erwähnte Übertragung der bei nicht vorhandenen oder unzureichenden Gewinnen nicht gewährten Steuerbefreiung nur für den folgenden Besteuerungszeitraum</w:t>
      </w:r>
      <w:r w:rsidRPr="009118AB">
        <w:t xml:space="preserve"> [und </w:t>
      </w:r>
      <w:r w:rsidR="00575C60" w:rsidRPr="009118AB">
        <w:t>[für die ab dem 1. Januar 2019 und bis zum 31. Dezember 2021 erworbenen oder gebildeten Anlagen]</w:t>
      </w:r>
      <w:r w:rsidRPr="009118AB">
        <w:t xml:space="preserve"> nur für die zwei folgenden Besteuerungszeiträume]</w:t>
      </w:r>
      <w:r w:rsidR="00CB2F34" w:rsidRPr="009118AB">
        <w:t xml:space="preserve"> möglich.</w:t>
      </w:r>
      <w:r w:rsidR="00CC5A06" w:rsidRPr="009118AB">
        <w:t>]</w:t>
      </w:r>
    </w:p>
    <w:p w14:paraId="1ABEC94D" w14:textId="77777777" w:rsidR="00CB2F34" w:rsidRPr="009118AB" w:rsidRDefault="00CB2F34" w:rsidP="00CB2F34">
      <w:pPr>
        <w:jc w:val="both"/>
      </w:pPr>
    </w:p>
    <w:p w14:paraId="243D4D17" w14:textId="77777777" w:rsidR="00477B8F" w:rsidRPr="009118AB" w:rsidRDefault="00CB2F34" w:rsidP="00CC5A06">
      <w:pPr>
        <w:autoSpaceDE w:val="0"/>
        <w:autoSpaceDN w:val="0"/>
        <w:adjustRightInd w:val="0"/>
        <w:jc w:val="both"/>
      </w:pPr>
      <w:r w:rsidRPr="009118AB">
        <w:tab/>
      </w:r>
      <w:r w:rsidR="00CC5A06" w:rsidRPr="009118AB">
        <w:t>[...]</w:t>
      </w:r>
    </w:p>
    <w:p w14:paraId="5EC33515" w14:textId="77777777" w:rsidR="005A4349" w:rsidRPr="009118AB" w:rsidRDefault="005A4349" w:rsidP="00477B8F">
      <w:pPr>
        <w:autoSpaceDE w:val="0"/>
        <w:autoSpaceDN w:val="0"/>
        <w:adjustRightInd w:val="0"/>
      </w:pPr>
    </w:p>
    <w:p w14:paraId="01D85CA5" w14:textId="77777777" w:rsidR="00477B8F" w:rsidRPr="009118AB" w:rsidRDefault="00477B8F" w:rsidP="00581D17">
      <w:pPr>
        <w:autoSpaceDE w:val="0"/>
        <w:autoSpaceDN w:val="0"/>
        <w:adjustRightInd w:val="0"/>
        <w:jc w:val="both"/>
      </w:pPr>
      <w:r w:rsidRPr="009118AB">
        <w:tab/>
        <w:t>[...]]</w:t>
      </w:r>
    </w:p>
    <w:p w14:paraId="6466DCA3" w14:textId="77777777" w:rsidR="00484CF7" w:rsidRPr="009118AB" w:rsidRDefault="00484CF7" w:rsidP="00581D17">
      <w:pPr>
        <w:autoSpaceDE w:val="0"/>
        <w:autoSpaceDN w:val="0"/>
        <w:adjustRightInd w:val="0"/>
        <w:jc w:val="both"/>
      </w:pPr>
    </w:p>
    <w:p w14:paraId="592B49FC" w14:textId="20A8F1C9" w:rsidR="000F512B" w:rsidRPr="009118AB" w:rsidRDefault="000F512B" w:rsidP="00581D17">
      <w:pPr>
        <w:autoSpaceDE w:val="0"/>
        <w:autoSpaceDN w:val="0"/>
        <w:adjustRightInd w:val="0"/>
        <w:jc w:val="both"/>
      </w:pPr>
      <w:r w:rsidRPr="009118AB">
        <w:tab/>
        <w:t xml:space="preserve">[In dem in Artikel 69 </w:t>
      </w:r>
      <w:r w:rsidR="00D67EB8" w:rsidRPr="009118AB">
        <w:t>§ </w:t>
      </w:r>
      <w:r w:rsidRPr="009118AB">
        <w:t xml:space="preserve">1 Absatz 1 </w:t>
      </w:r>
      <w:r w:rsidR="00D67EB8" w:rsidRPr="009118AB">
        <w:t>Nr. </w:t>
      </w:r>
      <w:r w:rsidRPr="009118AB">
        <w:t>2 Buchstabe </w:t>
      </w:r>
      <w:r w:rsidRPr="009118AB">
        <w:rPr>
          <w:i/>
        </w:rPr>
        <w:t>f)</w:t>
      </w:r>
      <w:r w:rsidRPr="009118AB">
        <w:t xml:space="preserve"> erwähnten Fall ist der Investitionsabzug nur anwendbar in Bezug auf Gesellschaften, die </w:t>
      </w:r>
      <w:r w:rsidR="00F87587" w:rsidRPr="009118AB">
        <w:t>[...</w:t>
      </w:r>
      <w:r w:rsidR="00994333" w:rsidRPr="009118AB">
        <w:t xml:space="preserve">] </w:t>
      </w:r>
      <w:r w:rsidRPr="009118AB">
        <w:t>für das Steuerjahr, das sich auf den Besteuerungszeitraum bezieht, in dem die Anlagen erworben oder gebildet werden, als kleine Gesellschaften gelten.]</w:t>
      </w:r>
    </w:p>
    <w:p w14:paraId="6CC2212F" w14:textId="77777777" w:rsidR="000F512B" w:rsidRPr="009118AB" w:rsidRDefault="000F512B" w:rsidP="00581D17">
      <w:pPr>
        <w:autoSpaceDE w:val="0"/>
        <w:autoSpaceDN w:val="0"/>
        <w:adjustRightInd w:val="0"/>
        <w:jc w:val="both"/>
      </w:pPr>
    </w:p>
    <w:p w14:paraId="6E8003B4" w14:textId="2F9B1384" w:rsidR="00477B8F" w:rsidRPr="009118AB" w:rsidRDefault="00477B8F" w:rsidP="00477B8F">
      <w:pPr>
        <w:autoSpaceDE w:val="0"/>
        <w:autoSpaceDN w:val="0"/>
        <w:adjustRightInd w:val="0"/>
        <w:jc w:val="both"/>
      </w:pPr>
      <w:r w:rsidRPr="009118AB">
        <w:tab/>
        <w:t xml:space="preserve">[In dem in Artikel 69 </w:t>
      </w:r>
      <w:r w:rsidR="00D67EB8" w:rsidRPr="009118AB">
        <w:t>§ </w:t>
      </w:r>
      <w:r w:rsidRPr="009118AB">
        <w:t xml:space="preserve">1 Absatz 1 </w:t>
      </w:r>
      <w:r w:rsidR="00D67EB8" w:rsidRPr="009118AB">
        <w:t>Nr. </w:t>
      </w:r>
      <w:r w:rsidRPr="009118AB">
        <w:t xml:space="preserve">3 erwähnten Fall ist der Investitionsabzug </w:t>
      </w:r>
      <w:r w:rsidR="00CC5A06" w:rsidRPr="009118AB">
        <w:t>[</w:t>
      </w:r>
      <w:r w:rsidR="00950EB6" w:rsidRPr="009118AB">
        <w:t>nur in Bezug auf inländische Gesellschaften anwendbar, die]</w:t>
      </w:r>
      <w:r w:rsidR="00E913B0" w:rsidRPr="009118AB">
        <w:t xml:space="preserve"> </w:t>
      </w:r>
      <w:r w:rsidR="00950EB6" w:rsidRPr="009118AB">
        <w:t>[</w:t>
      </w:r>
      <w:r w:rsidR="00F87587" w:rsidRPr="009118AB">
        <w:t>...</w:t>
      </w:r>
      <w:r w:rsidR="00994333" w:rsidRPr="009118AB">
        <w:t xml:space="preserve">] </w:t>
      </w:r>
      <w:r w:rsidR="00E913B0" w:rsidRPr="009118AB">
        <w:t>für das Steuerjahr, das sich auf den Besteuerungszeitraum bezieht, in dem die Anlagen erworben oder gebildet werden, als kleine Gesellschaften gelten]</w:t>
      </w:r>
      <w:r w:rsidRPr="009118AB">
        <w:t>.]</w:t>
      </w:r>
    </w:p>
    <w:p w14:paraId="401B0581" w14:textId="77777777" w:rsidR="00477B8F" w:rsidRPr="009118AB" w:rsidRDefault="00477B8F" w:rsidP="00477B8F">
      <w:pPr>
        <w:autoSpaceDE w:val="0"/>
        <w:autoSpaceDN w:val="0"/>
        <w:adjustRightInd w:val="0"/>
        <w:jc w:val="both"/>
      </w:pPr>
    </w:p>
    <w:p w14:paraId="67AEFC1B" w14:textId="77777777" w:rsidR="00477B8F" w:rsidRPr="009118AB" w:rsidRDefault="00477B8F" w:rsidP="00477B8F">
      <w:pPr>
        <w:autoSpaceDE w:val="0"/>
        <w:autoSpaceDN w:val="0"/>
        <w:adjustRightInd w:val="0"/>
        <w:jc w:val="both"/>
      </w:pPr>
      <w:r w:rsidRPr="009118AB">
        <w:tab/>
        <w:t xml:space="preserve">[In dem in Artikel 70 </w:t>
      </w:r>
      <w:r w:rsidR="00950EB6" w:rsidRPr="009118AB">
        <w:t>[</w:t>
      </w:r>
      <w:r w:rsidRPr="009118AB">
        <w:t>Absatz </w:t>
      </w:r>
      <w:r w:rsidR="00950EB6" w:rsidRPr="009118AB">
        <w:t>3]</w:t>
      </w:r>
      <w:r w:rsidRPr="009118AB">
        <w:t xml:space="preserve"> erwähnten Fall wird der Prozentsatz des Abzugs auf 0 herabgesetzt.]</w:t>
      </w:r>
    </w:p>
    <w:p w14:paraId="3F0A7445" w14:textId="77777777" w:rsidR="00477B8F" w:rsidRPr="009118AB" w:rsidRDefault="00477B8F" w:rsidP="00477B8F">
      <w:pPr>
        <w:autoSpaceDE w:val="0"/>
        <w:autoSpaceDN w:val="0"/>
        <w:adjustRightInd w:val="0"/>
        <w:jc w:val="both"/>
      </w:pPr>
    </w:p>
    <w:p w14:paraId="0F1B5A74" w14:textId="5A2747F2" w:rsidR="00477B8F" w:rsidRPr="009118AB" w:rsidRDefault="00477B8F" w:rsidP="00477B8F">
      <w:pPr>
        <w:autoSpaceDE w:val="0"/>
        <w:autoSpaceDN w:val="0"/>
        <w:adjustRightInd w:val="0"/>
        <w:jc w:val="both"/>
      </w:pPr>
      <w:r w:rsidRPr="009118AB">
        <w:tab/>
        <w:t>[Steuerpflichtige, die unwiderruflich für die in Artikel 289</w:t>
      </w:r>
      <w:r w:rsidRPr="009118AB">
        <w:rPr>
          <w:i/>
          <w:iCs/>
        </w:rPr>
        <w:t>quater</w:t>
      </w:r>
      <w:r w:rsidRPr="009118AB">
        <w:t xml:space="preserve"> erwähnte Steuergutschrift für Forschung und Entwicklung optiert haben, können den </w:t>
      </w:r>
      <w:r w:rsidR="00950EB6" w:rsidRPr="009118AB">
        <w:t xml:space="preserve">[in den Artikeln 69 </w:t>
      </w:r>
      <w:r w:rsidR="00D67EB8" w:rsidRPr="009118AB">
        <w:lastRenderedPageBreak/>
        <w:t>§ </w:t>
      </w:r>
      <w:r w:rsidR="00950EB6" w:rsidRPr="009118AB">
        <w:t xml:space="preserve">1 Absatz 1 </w:t>
      </w:r>
      <w:r w:rsidR="00D67EB8" w:rsidRPr="009118AB">
        <w:t>Nr. </w:t>
      </w:r>
      <w:r w:rsidR="00950EB6" w:rsidRPr="009118AB">
        <w:t>2 Buchstabe </w:t>
      </w:r>
      <w:r w:rsidR="00950EB6" w:rsidRPr="009118AB">
        <w:rPr>
          <w:i/>
        </w:rPr>
        <w:t>a)</w:t>
      </w:r>
      <w:r w:rsidR="00950EB6" w:rsidRPr="009118AB">
        <w:t xml:space="preserve"> und </w:t>
      </w:r>
      <w:r w:rsidR="00950EB6" w:rsidRPr="009118AB">
        <w:rPr>
          <w:i/>
        </w:rPr>
        <w:t>b)</w:t>
      </w:r>
      <w:r w:rsidR="00950EB6" w:rsidRPr="009118AB">
        <w:t xml:space="preserve"> und 70 Absatz 1 </w:t>
      </w:r>
      <w:r w:rsidR="00D67EB8" w:rsidRPr="009118AB">
        <w:t>Nr. </w:t>
      </w:r>
      <w:r w:rsidR="00950EB6" w:rsidRPr="009118AB">
        <w:t>1]</w:t>
      </w:r>
      <w:r w:rsidRPr="009118AB">
        <w:t xml:space="preserve"> erwähnten Investitionsabzug nicht mehr erhalten und für diese Steuerpflichtigen werden die in Artikel 72 Absatz 2 vorgesehenen Beträge von 620.000 EUR und 2.480.000 EUR auf 310.000 EUR beziehungsweise 1.240.000 EUR festgelegt.] [Diese Beträge werden jährlich an den Verbraucherpreisindex des Königreichs angepasst, und zwar </w:t>
      </w:r>
      <w:r w:rsidR="005B2315" w:rsidRPr="009118AB">
        <w:t xml:space="preserve">[mit dem in Artikel 178 </w:t>
      </w:r>
      <w:r w:rsidR="00D67EB8" w:rsidRPr="009118AB">
        <w:t>§ </w:t>
      </w:r>
      <w:r w:rsidR="005B2315" w:rsidRPr="009118AB">
        <w:t xml:space="preserve">3 Absatz 1 </w:t>
      </w:r>
      <w:r w:rsidR="00D67EB8" w:rsidRPr="009118AB">
        <w:t>Nr. </w:t>
      </w:r>
      <w:r w:rsidR="005B2315" w:rsidRPr="009118AB">
        <w:t>2 festgelegten Koeffizienten]</w:t>
      </w:r>
      <w:r w:rsidRPr="009118AB">
        <w:t>.]</w:t>
      </w:r>
    </w:p>
    <w:p w14:paraId="2769D063" w14:textId="77777777" w:rsidR="00950EB6" w:rsidRPr="009118AB" w:rsidRDefault="00950EB6" w:rsidP="00477B8F">
      <w:pPr>
        <w:autoSpaceDE w:val="0"/>
        <w:autoSpaceDN w:val="0"/>
        <w:adjustRightInd w:val="0"/>
        <w:jc w:val="both"/>
      </w:pPr>
    </w:p>
    <w:p w14:paraId="216C1AF1" w14:textId="71B2BF3A" w:rsidR="00950EB6" w:rsidRPr="009118AB" w:rsidRDefault="00950EB6" w:rsidP="00950EB6">
      <w:pPr>
        <w:ind w:firstLine="708"/>
        <w:jc w:val="both"/>
      </w:pPr>
      <w:r w:rsidRPr="009118AB">
        <w:tab/>
        <w:t>[</w:t>
      </w:r>
      <w:r w:rsidR="00D67EB8" w:rsidRPr="009118AB">
        <w:t>§ </w:t>
      </w:r>
      <w:r w:rsidRPr="009118AB">
        <w:t>2</w:t>
      </w:r>
      <w:r w:rsidR="00D67EB8" w:rsidRPr="009118AB">
        <w:t> - </w:t>
      </w:r>
      <w:r w:rsidRPr="009118AB">
        <w:t xml:space="preserve">In Abweichung von </w:t>
      </w:r>
      <w:r w:rsidR="00D67EB8" w:rsidRPr="009118AB">
        <w:t>§ </w:t>
      </w:r>
      <w:r w:rsidRPr="009118AB">
        <w:t>1 Absatz 1 beläuft sich der Investitionsabzug auf 3 Prozent, wenn es sich um Sachanlagen handelt, die ausschließlich dazu dienen, Produktions</w:t>
      </w:r>
      <w:r w:rsidRPr="009118AB">
        <w:softHyphen/>
        <w:t>verfahren von wiederverwendbaren Behältern für Getränke und Industrieerzeugnisse, die in Buch III "Umweltsteuern" des ordentlichen Gesetzes vom 16. Juli 1993 zur Vollendung der föderalen Staatsstruktur erwähnt sind, zu gewährleisten.</w:t>
      </w:r>
    </w:p>
    <w:p w14:paraId="4B525323" w14:textId="77777777" w:rsidR="00950EB6" w:rsidRPr="009118AB" w:rsidRDefault="00950EB6" w:rsidP="00950EB6">
      <w:pPr>
        <w:jc w:val="both"/>
      </w:pPr>
    </w:p>
    <w:p w14:paraId="304C3969" w14:textId="77777777" w:rsidR="00950EB6" w:rsidRPr="009118AB" w:rsidRDefault="00950EB6" w:rsidP="00950EB6">
      <w:pPr>
        <w:ind w:firstLine="708"/>
        <w:jc w:val="both"/>
      </w:pPr>
      <w:r w:rsidRPr="009118AB">
        <w:t>Dieser Prozentsatz ist ebenfalls auf Sachanlagen anwendbar, die ausschließlich dazu dienen, Rücknahme in den Verkaufsstellen, Zwischenlagerung, Beförderung zur Abfüllanlage oder zu einer Vertriebszentrale im Hinblick auf die Sortierung und Reinigung und Sortierung und Reinigung im Hinblick auf den Rücktransport der in Absatz 1 erwähnten wieder</w:t>
      </w:r>
      <w:r w:rsidRPr="009118AB">
        <w:softHyphen/>
        <w:t>verwendbaren Behälter zu den jeweiligen Abfüllanlagen zu gewährleisten.</w:t>
      </w:r>
    </w:p>
    <w:p w14:paraId="774346DC" w14:textId="77777777" w:rsidR="00950EB6" w:rsidRPr="009118AB" w:rsidRDefault="00950EB6" w:rsidP="00950EB6">
      <w:pPr>
        <w:jc w:val="both"/>
      </w:pPr>
    </w:p>
    <w:p w14:paraId="6B025E54" w14:textId="77777777" w:rsidR="00950EB6" w:rsidRPr="009118AB" w:rsidRDefault="00950EB6" w:rsidP="00950EB6">
      <w:pPr>
        <w:autoSpaceDE w:val="0"/>
        <w:autoSpaceDN w:val="0"/>
        <w:adjustRightInd w:val="0"/>
        <w:jc w:val="both"/>
      </w:pPr>
      <w:r w:rsidRPr="009118AB">
        <w:tab/>
        <w:t>Der König bestimmt die Weise, wie der in den Absätzen 1 und 2 erwähnte Investitionsabzug angewandt wird, welche Verpflichtungen Steuerpflichtige erfüllen müssen, um zu diesem Abzug berechtigt zu sein, und welche Kriterien die Anlagen erfüllen müssen, um zu dem Abzug zu berechtigen, und Er legt fest, was unter Produktionsverfahren zu verstehen ist.]</w:t>
      </w:r>
    </w:p>
    <w:p w14:paraId="54E9B8D2" w14:textId="77777777" w:rsidR="00477B8F" w:rsidRPr="009118AB" w:rsidRDefault="00477B8F" w:rsidP="00477B8F">
      <w:pPr>
        <w:autoSpaceDE w:val="0"/>
        <w:autoSpaceDN w:val="0"/>
        <w:adjustRightInd w:val="0"/>
        <w:jc w:val="both"/>
      </w:pPr>
    </w:p>
    <w:p w14:paraId="25643751" w14:textId="692070E2" w:rsidR="00477B8F" w:rsidRDefault="00477B8F" w:rsidP="00477B8F">
      <w:pPr>
        <w:autoSpaceDE w:val="0"/>
        <w:autoSpaceDN w:val="0"/>
        <w:adjustRightInd w:val="0"/>
        <w:jc w:val="both"/>
        <w:rPr>
          <w:i/>
        </w:rPr>
      </w:pPr>
      <w:r w:rsidRPr="009118AB">
        <w:rPr>
          <w:i/>
          <w:iCs/>
        </w:rPr>
        <w:t>[</w:t>
      </w:r>
      <w:r w:rsidR="00D67EB8" w:rsidRPr="009118AB">
        <w:rPr>
          <w:i/>
          <w:iCs/>
        </w:rPr>
        <w:t>Art. </w:t>
      </w:r>
      <w:r w:rsidRPr="009118AB">
        <w:rPr>
          <w:i/>
          <w:iCs/>
        </w:rPr>
        <w:t xml:space="preserve">201 </w:t>
      </w:r>
      <w:r w:rsidR="00D67EB8" w:rsidRPr="009118AB">
        <w:rPr>
          <w:i/>
          <w:iCs/>
        </w:rPr>
        <w:t>§ </w:t>
      </w:r>
      <w:r w:rsidR="00950EB6" w:rsidRPr="009118AB">
        <w:rPr>
          <w:i/>
          <w:iCs/>
        </w:rPr>
        <w:t xml:space="preserve">1 nummeriert durch </w:t>
      </w:r>
      <w:r w:rsidR="00D67EB8" w:rsidRPr="009118AB">
        <w:rPr>
          <w:i/>
          <w:iCs/>
        </w:rPr>
        <w:t>Art. </w:t>
      </w:r>
      <w:r w:rsidR="00950EB6" w:rsidRPr="009118AB">
        <w:rPr>
          <w:i/>
          <w:iCs/>
        </w:rPr>
        <w:t>89 Buchstabe a)</w:t>
      </w:r>
      <w:r w:rsidR="00950EB6" w:rsidRPr="009118AB">
        <w:rPr>
          <w:i/>
        </w:rPr>
        <w:t xml:space="preserve"> des G. vom 26. Dezember 2015 (II) (B.S. vom 30. Dezember 2015)</w:t>
      </w:r>
      <w:r w:rsidR="00D67EB8" w:rsidRPr="009118AB">
        <w:t> - </w:t>
      </w:r>
      <w:r w:rsidR="00950EB6" w:rsidRPr="009118AB">
        <w:rPr>
          <w:i/>
        </w:rPr>
        <w:t>anwendbar auf die ab dem 1. Januar 2016 erworbenen oder gebildeten Anlagen</w:t>
      </w:r>
      <w:r w:rsidR="00D67EB8" w:rsidRPr="009118AB">
        <w:rPr>
          <w:i/>
        </w:rPr>
        <w:t> - </w:t>
      </w:r>
      <w:r w:rsidR="00950EB6" w:rsidRPr="009118AB">
        <w:rPr>
          <w:i/>
        </w:rPr>
        <w:t xml:space="preserve">und </w:t>
      </w:r>
      <w:r w:rsidRPr="009118AB">
        <w:rPr>
          <w:i/>
          <w:iCs/>
        </w:rPr>
        <w:t xml:space="preserve">ersetzt durch </w:t>
      </w:r>
      <w:r w:rsidR="00D67EB8" w:rsidRPr="009118AB">
        <w:rPr>
          <w:i/>
          <w:iCs/>
        </w:rPr>
        <w:t>Art. </w:t>
      </w:r>
      <w:r w:rsidRPr="009118AB">
        <w:rPr>
          <w:i/>
          <w:iCs/>
        </w:rPr>
        <w:t>18 des G. vom 28. Juli 1992 (B.S. vom 31. Juli 1992)</w:t>
      </w:r>
      <w:r w:rsidR="00D67EB8" w:rsidRPr="009118AB">
        <w:rPr>
          <w:i/>
          <w:iCs/>
        </w:rPr>
        <w:t> - </w:t>
      </w:r>
      <w:r w:rsidRPr="009118AB">
        <w:rPr>
          <w:i/>
          <w:iCs/>
        </w:rPr>
        <w:t xml:space="preserve">in Kraft ab dem 10. August 1992 mit Ausnahme von </w:t>
      </w:r>
      <w:r w:rsidR="00D67EB8" w:rsidRPr="009118AB">
        <w:rPr>
          <w:i/>
          <w:iCs/>
        </w:rPr>
        <w:t>§ </w:t>
      </w:r>
      <w:r w:rsidR="004B5353"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1 und </w:t>
      </w:r>
      <w:r w:rsidR="00D67EB8" w:rsidRPr="009118AB">
        <w:rPr>
          <w:i/>
          <w:iCs/>
        </w:rPr>
        <w:t>§ </w:t>
      </w:r>
      <w:r w:rsidR="004B5353" w:rsidRPr="009118AB">
        <w:rPr>
          <w:i/>
          <w:iCs/>
        </w:rPr>
        <w:t xml:space="preserve">1 </w:t>
      </w:r>
      <w:r w:rsidR="00D67EB8" w:rsidRPr="009118AB">
        <w:rPr>
          <w:i/>
          <w:iCs/>
        </w:rPr>
        <w:t>Abs. </w:t>
      </w:r>
      <w:r w:rsidRPr="009118AB">
        <w:rPr>
          <w:i/>
          <w:iCs/>
        </w:rPr>
        <w:t>4 (in Kraft ab dem Steuerjahr</w:t>
      </w:r>
      <w:r w:rsidR="00581D17" w:rsidRPr="009118AB">
        <w:rPr>
          <w:i/>
          <w:iCs/>
        </w:rPr>
        <w:t> </w:t>
      </w:r>
      <w:r w:rsidRPr="009118AB">
        <w:rPr>
          <w:i/>
          <w:iCs/>
        </w:rPr>
        <w:t xml:space="preserve">1993, insofern die Anlagen ab dem 1. Januar 1992 erworben oder gebildet werden) und </w:t>
      </w:r>
      <w:r w:rsidR="00D67EB8" w:rsidRPr="009118AB">
        <w:rPr>
          <w:i/>
          <w:iCs/>
        </w:rPr>
        <w:t>§ </w:t>
      </w:r>
      <w:r w:rsidR="004B5353"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2 und </w:t>
      </w:r>
      <w:r w:rsidR="00D67EB8" w:rsidRPr="009118AB">
        <w:rPr>
          <w:i/>
          <w:iCs/>
        </w:rPr>
        <w:t>§ </w:t>
      </w:r>
      <w:r w:rsidR="004B5353" w:rsidRPr="009118AB">
        <w:rPr>
          <w:i/>
          <w:iCs/>
        </w:rPr>
        <w:t xml:space="preserve">1 </w:t>
      </w:r>
      <w:r w:rsidR="00D67EB8" w:rsidRPr="009118AB">
        <w:rPr>
          <w:i/>
          <w:iCs/>
        </w:rPr>
        <w:t>Abs. </w:t>
      </w:r>
      <w:r w:rsidRPr="009118AB">
        <w:rPr>
          <w:i/>
          <w:iCs/>
        </w:rPr>
        <w:t>2 und 3 (anwendbar auf die Anlagen, die ab dem 27. März 1992 erworben oder gebildet werden)</w:t>
      </w:r>
      <w:r w:rsidR="003366D9" w:rsidRPr="009118AB">
        <w:rPr>
          <w:i/>
          <w:iCs/>
        </w:rPr>
        <w:t> -;</w:t>
      </w:r>
      <w:r w:rsidRPr="009118AB">
        <w:rPr>
          <w:i/>
          <w:iCs/>
        </w:rPr>
        <w:t xml:space="preserve"> </w:t>
      </w:r>
      <w:r w:rsidR="00D67EB8" w:rsidRPr="009118AB">
        <w:rPr>
          <w:i/>
          <w:iCs/>
        </w:rPr>
        <w:t>§ </w:t>
      </w:r>
      <w:r w:rsidR="004B5353" w:rsidRPr="009118AB">
        <w:rPr>
          <w:i/>
          <w:iCs/>
        </w:rPr>
        <w:t xml:space="preserve">1 </w:t>
      </w:r>
      <w:r w:rsidR="00D67EB8" w:rsidRPr="009118AB">
        <w:rPr>
          <w:i/>
          <w:iCs/>
        </w:rPr>
        <w:t>Abs. </w:t>
      </w:r>
      <w:r w:rsidRPr="009118AB">
        <w:rPr>
          <w:i/>
          <w:iCs/>
        </w:rPr>
        <w:t xml:space="preserve">1 </w:t>
      </w:r>
      <w:r w:rsidR="00950EB6" w:rsidRPr="009118AB">
        <w:rPr>
          <w:i/>
          <w:iCs/>
        </w:rPr>
        <w:t xml:space="preserve">ersetzt durch </w:t>
      </w:r>
      <w:r w:rsidR="00D67EB8" w:rsidRPr="009118AB">
        <w:rPr>
          <w:i/>
          <w:iCs/>
        </w:rPr>
        <w:t>Art. </w:t>
      </w:r>
      <w:r w:rsidR="00950EB6" w:rsidRPr="009118AB">
        <w:rPr>
          <w:i/>
          <w:iCs/>
        </w:rPr>
        <w:t>89 Buchstabe b)</w:t>
      </w:r>
      <w:r w:rsidR="00950EB6" w:rsidRPr="009118AB">
        <w:rPr>
          <w:i/>
        </w:rPr>
        <w:t xml:space="preserve"> des G. vom 26. Dezember 2015 (II) (B.S. vom 30. Dezember 2015)</w:t>
      </w:r>
      <w:r w:rsidR="00D67EB8" w:rsidRPr="009118AB">
        <w:t> - </w:t>
      </w:r>
      <w:r w:rsidR="00950EB6" w:rsidRPr="009118AB">
        <w:rPr>
          <w:i/>
        </w:rPr>
        <w:t>anwendbar auf die ab dem 1. Januar 2016 erworbenen oder gebildeten Anlagen</w:t>
      </w:r>
      <w:r w:rsidR="003366D9" w:rsidRPr="009118AB">
        <w:rPr>
          <w:i/>
        </w:rPr>
        <w:t> -;</w:t>
      </w:r>
      <w:r w:rsidR="0025558F" w:rsidRPr="009118AB">
        <w:rPr>
          <w:i/>
          <w:iCs/>
        </w:rPr>
        <w:t xml:space="preserve"> </w:t>
      </w:r>
      <w:r w:rsidR="00D67EB8" w:rsidRPr="009118AB">
        <w:rPr>
          <w:i/>
          <w:iCs/>
        </w:rPr>
        <w:t>§ </w:t>
      </w:r>
      <w:r w:rsidR="00585F9B" w:rsidRPr="009118AB">
        <w:rPr>
          <w:i/>
          <w:iCs/>
        </w:rPr>
        <w:t xml:space="preserve">1 </w:t>
      </w:r>
      <w:r w:rsidR="00D67EB8" w:rsidRPr="009118AB">
        <w:rPr>
          <w:i/>
          <w:iCs/>
        </w:rPr>
        <w:t>Abs. </w:t>
      </w:r>
      <w:r w:rsidR="00585F9B" w:rsidRPr="009118AB">
        <w:rPr>
          <w:i/>
          <w:iCs/>
        </w:rPr>
        <w:t xml:space="preserve">1 </w:t>
      </w:r>
      <w:r w:rsidR="00D67EB8" w:rsidRPr="009118AB">
        <w:rPr>
          <w:i/>
          <w:iCs/>
        </w:rPr>
        <w:t>Nr. </w:t>
      </w:r>
      <w:r w:rsidR="00585F9B" w:rsidRPr="009118AB">
        <w:rPr>
          <w:i/>
          <w:iCs/>
        </w:rPr>
        <w:t xml:space="preserve">1 </w:t>
      </w:r>
      <w:r w:rsidR="00994333" w:rsidRPr="009118AB">
        <w:rPr>
          <w:i/>
          <w:iCs/>
        </w:rPr>
        <w:t>abgeänder</w:t>
      </w:r>
      <w:r w:rsidR="00585F9B" w:rsidRPr="009118AB">
        <w:rPr>
          <w:i/>
          <w:iCs/>
        </w:rPr>
        <w:t xml:space="preserve">t durch </w:t>
      </w:r>
      <w:r w:rsidR="00D67EB8" w:rsidRPr="009118AB">
        <w:rPr>
          <w:i/>
          <w:iCs/>
        </w:rPr>
        <w:t>Art. </w:t>
      </w:r>
      <w:r w:rsidR="00585F9B" w:rsidRPr="009118AB">
        <w:rPr>
          <w:i/>
          <w:iCs/>
        </w:rPr>
        <w:t xml:space="preserve">43 </w:t>
      </w:r>
      <w:r w:rsidR="00D67EB8" w:rsidRPr="009118AB">
        <w:rPr>
          <w:i/>
          <w:iCs/>
        </w:rPr>
        <w:t>Nr. </w:t>
      </w:r>
      <w:r w:rsidR="00585F9B" w:rsidRPr="009118AB">
        <w:rPr>
          <w:i/>
          <w:iCs/>
        </w:rPr>
        <w:t>2 des G. vom 25. Dezember 2017 (III) (B.S. vom 29. Dezember 2017)</w:t>
      </w:r>
      <w:r w:rsidR="001C3783" w:rsidRPr="009118AB">
        <w:rPr>
          <w:i/>
          <w:iCs/>
        </w:rPr>
        <w:t>,</w:t>
      </w:r>
      <w:r w:rsidR="00994333" w:rsidRPr="009118AB">
        <w:rPr>
          <w:i/>
          <w:iCs/>
        </w:rPr>
        <w:t xml:space="preserve"> </w:t>
      </w:r>
      <w:r w:rsidR="00D67EB8" w:rsidRPr="009118AB">
        <w:rPr>
          <w:i/>
          <w:iCs/>
        </w:rPr>
        <w:t>Art. </w:t>
      </w:r>
      <w:r w:rsidR="00994333" w:rsidRPr="009118AB">
        <w:rPr>
          <w:i/>
          <w:iCs/>
        </w:rPr>
        <w:t>38</w:t>
      </w:r>
      <w:r w:rsidR="00994333" w:rsidRPr="009118AB">
        <w:rPr>
          <w:i/>
          <w:iCs/>
          <w:spacing w:val="-2"/>
        </w:rPr>
        <w:t xml:space="preserve"> des G. vom 17. März 2019 (III) (B.S. vom 10. Mai 2019)</w:t>
      </w:r>
      <w:r w:rsidR="00D67EB8" w:rsidRPr="009118AB">
        <w:rPr>
          <w:i/>
          <w:iCs/>
          <w:spacing w:val="-2"/>
        </w:rPr>
        <w:t> - </w:t>
      </w:r>
      <w:r w:rsidR="00994333" w:rsidRPr="009118AB">
        <w:rPr>
          <w:i/>
          <w:iCs/>
          <w:spacing w:val="-2"/>
        </w:rPr>
        <w:t>in Kraft am 1. Mai 2019</w:t>
      </w:r>
      <w:r w:rsidR="00FD68E8" w:rsidRPr="009118AB">
        <w:rPr>
          <w:i/>
          <w:iCs/>
          <w:spacing w:val="-2"/>
        </w:rPr>
        <w:t> -,</w:t>
      </w:r>
      <w:r w:rsidR="001C3783" w:rsidRPr="009118AB">
        <w:rPr>
          <w:i/>
          <w:iCs/>
          <w:spacing w:val="-2"/>
        </w:rPr>
        <w:t xml:space="preserve"> </w:t>
      </w:r>
      <w:r w:rsidR="00D67EB8" w:rsidRPr="009118AB">
        <w:rPr>
          <w:i/>
          <w:iCs/>
          <w:spacing w:val="-2"/>
        </w:rPr>
        <w:t>Art. </w:t>
      </w:r>
      <w:r w:rsidR="001C3783" w:rsidRPr="009118AB">
        <w:rPr>
          <w:i/>
          <w:iCs/>
          <w:spacing w:val="-2"/>
        </w:rPr>
        <w:t xml:space="preserve">12 </w:t>
      </w:r>
      <w:r w:rsidR="00D67EB8" w:rsidRPr="009118AB">
        <w:rPr>
          <w:i/>
          <w:iCs/>
          <w:spacing w:val="-2"/>
        </w:rPr>
        <w:t>Nr. </w:t>
      </w:r>
      <w:r w:rsidR="001C3783" w:rsidRPr="009118AB">
        <w:rPr>
          <w:i/>
          <w:iCs/>
          <w:spacing w:val="-2"/>
        </w:rPr>
        <w:t>1</w:t>
      </w:r>
      <w:r w:rsidR="001C3783" w:rsidRPr="009118AB">
        <w:rPr>
          <w:rFonts w:ascii="Times New Roman Italique" w:hAnsi="Times New Roman Italique"/>
          <w:i/>
          <w:spacing w:val="-4"/>
        </w:rPr>
        <w:t xml:space="preserve"> des G. vom 15. Juli 2020 (B.S. vom</w:t>
      </w:r>
      <w:r w:rsidR="003721AC" w:rsidRPr="009118AB">
        <w:rPr>
          <w:rFonts w:ascii="Times New Roman Italique" w:hAnsi="Times New Roman Italique"/>
          <w:i/>
          <w:spacing w:val="-4"/>
        </w:rPr>
        <w:t xml:space="preserve"> 23. Juli 2020)</w:t>
      </w:r>
      <w:r w:rsidR="00D67EB8" w:rsidRPr="009118AB">
        <w:rPr>
          <w:rFonts w:ascii="Times New Roman Italique" w:hAnsi="Times New Roman Italique"/>
          <w:i/>
          <w:spacing w:val="-4"/>
        </w:rPr>
        <w:t> - </w:t>
      </w:r>
      <w:r w:rsidR="003721AC" w:rsidRPr="009118AB">
        <w:rPr>
          <w:rFonts w:ascii="Times New Roman Italique" w:hAnsi="Times New Roman Italique"/>
          <w:i/>
          <w:spacing w:val="-4"/>
        </w:rPr>
        <w:t xml:space="preserve">in Kraft am </w:t>
      </w:r>
      <w:r w:rsidR="007A0C0C" w:rsidRPr="009118AB">
        <w:rPr>
          <w:rFonts w:ascii="Times New Roman Italique" w:hAnsi="Times New Roman Italique"/>
          <w:i/>
          <w:spacing w:val="-4"/>
        </w:rPr>
        <w:t>23</w:t>
      </w:r>
      <w:r w:rsidR="001C3783" w:rsidRPr="009118AB">
        <w:rPr>
          <w:rFonts w:ascii="Times New Roman Italique" w:hAnsi="Times New Roman Italique"/>
          <w:i/>
          <w:spacing w:val="-4"/>
        </w:rPr>
        <w:t>. Juli 2020</w:t>
      </w:r>
      <w:r w:rsidR="00D67EB8" w:rsidRPr="009118AB">
        <w:rPr>
          <w:rFonts w:ascii="Times New Roman Italique" w:hAnsi="Times New Roman Italique"/>
          <w:i/>
          <w:spacing w:val="-4"/>
        </w:rPr>
        <w:t> -</w:t>
      </w:r>
      <w:r w:rsidR="00F87587" w:rsidRPr="009118AB">
        <w:rPr>
          <w:rFonts w:ascii="Times New Roman Italique" w:hAnsi="Times New Roman Italique"/>
          <w:i/>
          <w:spacing w:val="-4"/>
        </w:rPr>
        <w:t>,</w:t>
      </w:r>
      <w:r w:rsidR="00575C60" w:rsidRPr="009118AB">
        <w:rPr>
          <w:rFonts w:ascii="Times New Roman Italique" w:hAnsi="Times New Roman Italique"/>
          <w:i/>
          <w:spacing w:val="-4"/>
        </w:rPr>
        <w:t xml:space="preserve"> </w:t>
      </w:r>
      <w:r w:rsidR="00D67EB8" w:rsidRPr="009118AB">
        <w:rPr>
          <w:rFonts w:ascii="Times New Roman Italique" w:hAnsi="Times New Roman Italique"/>
          <w:i/>
          <w:spacing w:val="-4"/>
        </w:rPr>
        <w:t>Art. </w:t>
      </w:r>
      <w:r w:rsidR="00575C60" w:rsidRPr="009118AB">
        <w:rPr>
          <w:rFonts w:ascii="Times New Roman Italique" w:hAnsi="Times New Roman Italique"/>
          <w:i/>
          <w:spacing w:val="-4"/>
        </w:rPr>
        <w:t xml:space="preserve">5 </w:t>
      </w:r>
      <w:r w:rsidR="00D67EB8" w:rsidRPr="009118AB">
        <w:rPr>
          <w:rFonts w:ascii="Times New Roman Italique" w:hAnsi="Times New Roman Italique"/>
          <w:i/>
          <w:spacing w:val="-4"/>
        </w:rPr>
        <w:t>Nr. </w:t>
      </w:r>
      <w:r w:rsidR="00575C60" w:rsidRPr="009118AB">
        <w:rPr>
          <w:rFonts w:ascii="Times New Roman Italique" w:hAnsi="Times New Roman Italique"/>
          <w:i/>
          <w:spacing w:val="-4"/>
        </w:rPr>
        <w:t>1</w:t>
      </w:r>
      <w:r w:rsidR="00575C60" w:rsidRPr="009118AB">
        <w:rPr>
          <w:rFonts w:ascii="Times New Roman Italique" w:hAnsi="Times New Roman Italique"/>
          <w:i/>
        </w:rPr>
        <w:t xml:space="preserve"> des G. vom 20. Dezember 2020</w:t>
      </w:r>
      <w:r w:rsidR="00B43C02" w:rsidRPr="009118AB">
        <w:rPr>
          <w:rFonts w:ascii="Times New Roman Italique" w:hAnsi="Times New Roman Italique"/>
          <w:i/>
        </w:rPr>
        <w:t> (I)</w:t>
      </w:r>
      <w:r w:rsidR="00575C60" w:rsidRPr="009118AB">
        <w:rPr>
          <w:rFonts w:ascii="Times New Roman Italique" w:hAnsi="Times New Roman Italique"/>
          <w:i/>
        </w:rPr>
        <w:t xml:space="preserve"> (B.S. vom 30. Dezember 2020)</w:t>
      </w:r>
      <w:r w:rsidR="00D67EB8" w:rsidRPr="009118AB">
        <w:rPr>
          <w:rFonts w:ascii="Times New Roman Italique" w:hAnsi="Times New Roman Italique"/>
          <w:i/>
        </w:rPr>
        <w:t> - </w:t>
      </w:r>
      <w:r w:rsidR="00575C60" w:rsidRPr="009118AB">
        <w:rPr>
          <w:rFonts w:ascii="Times New Roman Italique" w:hAnsi="Times New Roman Italique"/>
          <w:i/>
        </w:rPr>
        <w:t>in Kraft am 1. Januar 2021</w:t>
      </w:r>
      <w:r w:rsidR="003366D9" w:rsidRPr="009118AB">
        <w:rPr>
          <w:rFonts w:ascii="Times New Roman Italique" w:hAnsi="Times New Roman Italique"/>
          <w:i/>
        </w:rPr>
        <w:t> -</w:t>
      </w:r>
      <w:r w:rsidR="00F87587" w:rsidRPr="009118AB">
        <w:rPr>
          <w:rFonts w:ascii="Times New Roman Italique" w:hAnsi="Times New Roman Italique"/>
          <w:i/>
        </w:rPr>
        <w:t xml:space="preserve"> und Art.</w:t>
      </w:r>
      <w:r w:rsidR="00F87587" w:rsidRPr="009118AB">
        <w:rPr>
          <w:rFonts w:ascii="Times New Roman Italique" w:hAnsi="Times New Roman Italique" w:hint="eastAsia"/>
          <w:i/>
        </w:rPr>
        <w:t> </w:t>
      </w:r>
      <w:r w:rsidR="00F87587" w:rsidRPr="009118AB">
        <w:rPr>
          <w:rFonts w:ascii="Times New Roman Italique" w:hAnsi="Times New Roman Italique"/>
          <w:i/>
        </w:rPr>
        <w:t>22</w:t>
      </w:r>
      <w:r w:rsidR="00F87587" w:rsidRPr="009118AB">
        <w:rPr>
          <w:i/>
          <w:iCs/>
          <w:spacing w:val="-2"/>
        </w:rPr>
        <w:t xml:space="preserve"> des G. vom 5. Juli 2022 (B.S. vom 15. Juli 2022)</w:t>
      </w:r>
      <w:r w:rsidR="003366D9" w:rsidRPr="009118AB">
        <w:rPr>
          <w:rFonts w:ascii="Times New Roman Italique" w:hAnsi="Times New Roman Italique"/>
          <w:i/>
        </w:rPr>
        <w:t>;</w:t>
      </w:r>
      <w:r w:rsidR="00585F9B" w:rsidRPr="009118AB">
        <w:rPr>
          <w:i/>
          <w:iCs/>
        </w:rPr>
        <w:t xml:space="preserve"> </w:t>
      </w:r>
      <w:r w:rsidR="00D67EB8" w:rsidRPr="009118AB">
        <w:rPr>
          <w:i/>
          <w:iCs/>
        </w:rPr>
        <w:t>§ </w:t>
      </w:r>
      <w:r w:rsidR="004B5353" w:rsidRPr="009118AB">
        <w:rPr>
          <w:i/>
          <w:iCs/>
        </w:rPr>
        <w:t xml:space="preserve">1 </w:t>
      </w:r>
      <w:r w:rsidR="0025558F" w:rsidRPr="009118AB">
        <w:rPr>
          <w:i/>
          <w:iCs/>
        </w:rPr>
        <w:t xml:space="preserve">früherer Absatz 2 aufgehoben durch </w:t>
      </w:r>
      <w:r w:rsidR="00D67EB8" w:rsidRPr="009118AB">
        <w:rPr>
          <w:i/>
          <w:iCs/>
        </w:rPr>
        <w:t>Art. </w:t>
      </w:r>
      <w:r w:rsidR="0025558F" w:rsidRPr="009118AB">
        <w:rPr>
          <w:i/>
          <w:iCs/>
        </w:rPr>
        <w:t>89 Buchstabe b)</w:t>
      </w:r>
      <w:r w:rsidR="0025558F" w:rsidRPr="009118AB">
        <w:rPr>
          <w:i/>
        </w:rPr>
        <w:t xml:space="preserve"> des G. vom 26. Dezember 2015 (II) (B.S. vom 30. Dezember 2015)</w:t>
      </w:r>
      <w:r w:rsidR="00D67EB8" w:rsidRPr="009118AB">
        <w:t> - </w:t>
      </w:r>
      <w:r w:rsidR="0025558F" w:rsidRPr="009118AB">
        <w:rPr>
          <w:i/>
        </w:rPr>
        <w:t>anwendbar auf die ab dem 1. Januar 2016 erworbenen oder gebildeten Anlagen</w:t>
      </w:r>
      <w:r w:rsidR="003366D9" w:rsidRPr="009118AB">
        <w:rPr>
          <w:i/>
        </w:rPr>
        <w:t> -;</w:t>
      </w:r>
      <w:r w:rsidR="00097798" w:rsidRPr="009118AB">
        <w:rPr>
          <w:i/>
          <w:iCs/>
        </w:rPr>
        <w:t xml:space="preserve"> </w:t>
      </w:r>
      <w:r w:rsidR="00D67EB8" w:rsidRPr="009118AB">
        <w:rPr>
          <w:i/>
          <w:iCs/>
        </w:rPr>
        <w:t>§ </w:t>
      </w:r>
      <w:r w:rsidR="004B5353" w:rsidRPr="009118AB">
        <w:rPr>
          <w:i/>
          <w:iCs/>
        </w:rPr>
        <w:t xml:space="preserve">1 </w:t>
      </w:r>
      <w:r w:rsidR="00097798" w:rsidRPr="009118AB">
        <w:rPr>
          <w:i/>
          <w:iCs/>
        </w:rPr>
        <w:t>neue Absätze </w:t>
      </w:r>
      <w:r w:rsidR="0025558F" w:rsidRPr="009118AB">
        <w:rPr>
          <w:i/>
          <w:iCs/>
        </w:rPr>
        <w:t>2</w:t>
      </w:r>
      <w:r w:rsidR="00CB2F34" w:rsidRPr="009118AB">
        <w:rPr>
          <w:i/>
          <w:iCs/>
        </w:rPr>
        <w:t xml:space="preserve"> </w:t>
      </w:r>
      <w:r w:rsidR="0025558F" w:rsidRPr="009118AB">
        <w:rPr>
          <w:i/>
          <w:iCs/>
        </w:rPr>
        <w:t>und 3</w:t>
      </w:r>
      <w:r w:rsidR="00CB2F34" w:rsidRPr="009118AB">
        <w:rPr>
          <w:i/>
          <w:iCs/>
        </w:rPr>
        <w:t xml:space="preserve"> eingefügt durch </w:t>
      </w:r>
      <w:r w:rsidR="00D67EB8" w:rsidRPr="009118AB">
        <w:rPr>
          <w:i/>
          <w:iCs/>
        </w:rPr>
        <w:t>Art. </w:t>
      </w:r>
      <w:r w:rsidR="00CB2F34" w:rsidRPr="009118AB">
        <w:rPr>
          <w:i/>
          <w:iCs/>
        </w:rPr>
        <w:t>51 des G. (I) vom 26. Dezember 2013 (II) (B.S. vom 31. Dezember 2013)</w:t>
      </w:r>
      <w:r w:rsidR="00D67EB8" w:rsidRPr="009118AB">
        <w:rPr>
          <w:i/>
          <w:iCs/>
        </w:rPr>
        <w:t> - </w:t>
      </w:r>
      <w:r w:rsidR="00CB2F34" w:rsidRPr="009118AB">
        <w:rPr>
          <w:i/>
          <w:iCs/>
        </w:rPr>
        <w:t>in Kraft ab dem 1. Januar 2014</w:t>
      </w:r>
      <w:r w:rsidR="003366D9" w:rsidRPr="009118AB">
        <w:rPr>
          <w:i/>
          <w:iCs/>
        </w:rPr>
        <w:t> -</w:t>
      </w:r>
      <w:r w:rsidR="00FF37FD" w:rsidRPr="009118AB">
        <w:rPr>
          <w:i/>
          <w:iCs/>
        </w:rPr>
        <w:t xml:space="preserve"> und aufgehoben durch Art. 116</w:t>
      </w:r>
      <w:r w:rsidR="00FF37FD" w:rsidRPr="009118AB">
        <w:rPr>
          <w:bCs/>
          <w:i/>
          <w:iCs/>
        </w:rPr>
        <w:t xml:space="preserve"> des G. vom 26. Dezember 2022</w:t>
      </w:r>
      <w:r w:rsidR="00236038" w:rsidRPr="009118AB">
        <w:rPr>
          <w:bCs/>
          <w:i/>
          <w:iCs/>
        </w:rPr>
        <w:t> (I)</w:t>
      </w:r>
      <w:r w:rsidR="00FF37FD" w:rsidRPr="009118AB">
        <w:rPr>
          <w:bCs/>
          <w:i/>
          <w:iCs/>
        </w:rPr>
        <w:t xml:space="preserve"> (B.S. vom 30. Dezember 2022) - anwendbar auf die Besteuerungszeiträume, die ab dem 31. Dezember 2023 enden -</w:t>
      </w:r>
      <w:r w:rsidR="003366D9" w:rsidRPr="009118AB">
        <w:rPr>
          <w:i/>
          <w:iCs/>
        </w:rPr>
        <w:t>;</w:t>
      </w:r>
      <w:r w:rsidR="00CB2F34" w:rsidRPr="009118AB">
        <w:rPr>
          <w:i/>
          <w:iCs/>
        </w:rPr>
        <w:t xml:space="preserve"> </w:t>
      </w:r>
      <w:r w:rsidR="00D67EB8" w:rsidRPr="009118AB">
        <w:rPr>
          <w:i/>
          <w:iCs/>
        </w:rPr>
        <w:t>§ </w:t>
      </w:r>
      <w:r w:rsidR="004B5353" w:rsidRPr="009118AB">
        <w:rPr>
          <w:i/>
          <w:iCs/>
        </w:rPr>
        <w:t xml:space="preserve">1 </w:t>
      </w:r>
      <w:r w:rsidR="0025558F" w:rsidRPr="009118AB">
        <w:rPr>
          <w:i/>
          <w:iCs/>
        </w:rPr>
        <w:t>neue</w:t>
      </w:r>
      <w:r w:rsidR="001C3783" w:rsidRPr="009118AB">
        <w:rPr>
          <w:i/>
          <w:iCs/>
        </w:rPr>
        <w:t>r</w:t>
      </w:r>
      <w:r w:rsidR="0025558F" w:rsidRPr="009118AB">
        <w:rPr>
          <w:i/>
          <w:iCs/>
        </w:rPr>
        <w:t xml:space="preserve"> Abs</w:t>
      </w:r>
      <w:r w:rsidR="001C3783" w:rsidRPr="009118AB">
        <w:rPr>
          <w:i/>
          <w:iCs/>
        </w:rPr>
        <w:t>atz</w:t>
      </w:r>
      <w:r w:rsidR="0025558F" w:rsidRPr="009118AB">
        <w:rPr>
          <w:i/>
          <w:iCs/>
        </w:rPr>
        <w:t> </w:t>
      </w:r>
      <w:r w:rsidR="001C3783" w:rsidRPr="009118AB">
        <w:rPr>
          <w:i/>
          <w:iCs/>
        </w:rPr>
        <w:t>4</w:t>
      </w:r>
      <w:r w:rsidR="0025558F" w:rsidRPr="009118AB">
        <w:rPr>
          <w:i/>
          <w:iCs/>
        </w:rPr>
        <w:t xml:space="preserve"> eingefügt durch </w:t>
      </w:r>
      <w:r w:rsidR="00D67EB8" w:rsidRPr="009118AB">
        <w:rPr>
          <w:i/>
          <w:iCs/>
        </w:rPr>
        <w:t>Art. </w:t>
      </w:r>
      <w:r w:rsidR="0025558F" w:rsidRPr="009118AB">
        <w:rPr>
          <w:i/>
          <w:iCs/>
        </w:rPr>
        <w:t>51 des G. (I) vom 26. Dezember 2013 (II) (B.S. vom 31. Dezember 2013)</w:t>
      </w:r>
      <w:r w:rsidR="00D67EB8" w:rsidRPr="009118AB">
        <w:rPr>
          <w:i/>
          <w:iCs/>
        </w:rPr>
        <w:t> - </w:t>
      </w:r>
      <w:r w:rsidR="0025558F" w:rsidRPr="009118AB">
        <w:rPr>
          <w:i/>
          <w:iCs/>
        </w:rPr>
        <w:t>in Kraft ab dem 1. Januar 2014</w:t>
      </w:r>
      <w:r w:rsidR="00D67EB8" w:rsidRPr="009118AB">
        <w:rPr>
          <w:i/>
          <w:iCs/>
        </w:rPr>
        <w:t> - </w:t>
      </w:r>
      <w:r w:rsidR="00867BE7" w:rsidRPr="009118AB">
        <w:rPr>
          <w:i/>
          <w:iCs/>
        </w:rPr>
        <w:t xml:space="preserve">und abgeändert durch </w:t>
      </w:r>
      <w:r w:rsidR="00D67EB8" w:rsidRPr="009118AB">
        <w:rPr>
          <w:i/>
          <w:iCs/>
        </w:rPr>
        <w:t>Art. </w:t>
      </w:r>
      <w:r w:rsidR="00867BE7" w:rsidRPr="009118AB">
        <w:rPr>
          <w:i/>
          <w:iCs/>
        </w:rPr>
        <w:t>89 Buchstabe c)</w:t>
      </w:r>
      <w:r w:rsidR="00867BE7" w:rsidRPr="009118AB">
        <w:rPr>
          <w:i/>
        </w:rPr>
        <w:t xml:space="preserve"> des G. vom 26. Dezember 2015 (II) (B.S. vom 30. Dezember 2015)</w:t>
      </w:r>
      <w:r w:rsidR="00D67EB8" w:rsidRPr="009118AB">
        <w:t> - </w:t>
      </w:r>
      <w:r w:rsidR="00867BE7" w:rsidRPr="009118AB">
        <w:rPr>
          <w:i/>
        </w:rPr>
        <w:t>anwendbar auf die ab dem 1. Januar 2016 erworbenen oder gebildeten Anlagen</w:t>
      </w:r>
      <w:r w:rsidR="003366D9" w:rsidRPr="009118AB">
        <w:rPr>
          <w:i/>
        </w:rPr>
        <w:t> -;</w:t>
      </w:r>
      <w:r w:rsidR="0025558F" w:rsidRPr="009118AB">
        <w:rPr>
          <w:i/>
          <w:iCs/>
        </w:rPr>
        <w:t xml:space="preserve"> </w:t>
      </w:r>
      <w:r w:rsidR="00D67EB8" w:rsidRPr="009118AB">
        <w:rPr>
          <w:i/>
          <w:iCs/>
        </w:rPr>
        <w:t>§ </w:t>
      </w:r>
      <w:r w:rsidR="001C3783" w:rsidRPr="009118AB">
        <w:rPr>
          <w:i/>
          <w:iCs/>
        </w:rPr>
        <w:t xml:space="preserve">1 neuer Absatz 5 eingefügt durch </w:t>
      </w:r>
      <w:r w:rsidR="00D67EB8" w:rsidRPr="009118AB">
        <w:rPr>
          <w:i/>
          <w:iCs/>
        </w:rPr>
        <w:t>Art. </w:t>
      </w:r>
      <w:r w:rsidR="001C3783" w:rsidRPr="009118AB">
        <w:rPr>
          <w:i/>
          <w:iCs/>
        </w:rPr>
        <w:t xml:space="preserve">51 des G. (I) vom 26. Dezember 2013 (II) </w:t>
      </w:r>
      <w:r w:rsidR="001C3783" w:rsidRPr="009118AB">
        <w:rPr>
          <w:i/>
          <w:iCs/>
        </w:rPr>
        <w:lastRenderedPageBreak/>
        <w:t>(B.S. vom 31. Dezember 2013)</w:t>
      </w:r>
      <w:r w:rsidR="00D67EB8" w:rsidRPr="009118AB">
        <w:rPr>
          <w:i/>
          <w:iCs/>
        </w:rPr>
        <w:t> - </w:t>
      </w:r>
      <w:r w:rsidR="001C3783" w:rsidRPr="009118AB">
        <w:rPr>
          <w:i/>
          <w:iCs/>
        </w:rPr>
        <w:t>in Kraft ab dem 1. Januar 2014</w:t>
      </w:r>
      <w:r w:rsidR="00D67EB8" w:rsidRPr="009118AB">
        <w:rPr>
          <w:i/>
          <w:iCs/>
        </w:rPr>
        <w:t> - </w:t>
      </w:r>
      <w:r w:rsidR="001C3783" w:rsidRPr="009118AB">
        <w:rPr>
          <w:i/>
          <w:iCs/>
        </w:rPr>
        <w:t xml:space="preserve">und abgeändert durch </w:t>
      </w:r>
      <w:r w:rsidR="00D67EB8" w:rsidRPr="009118AB">
        <w:rPr>
          <w:i/>
          <w:iCs/>
        </w:rPr>
        <w:t>Art. </w:t>
      </w:r>
      <w:r w:rsidR="001C3783" w:rsidRPr="009118AB">
        <w:rPr>
          <w:i/>
          <w:iCs/>
        </w:rPr>
        <w:t>89 Buchstabe c)</w:t>
      </w:r>
      <w:r w:rsidR="001C3783" w:rsidRPr="009118AB">
        <w:rPr>
          <w:i/>
        </w:rPr>
        <w:t xml:space="preserve"> des G. vom 26. Dezember 2015 (II) (B.S. vom 30. Dezember 2015)</w:t>
      </w:r>
      <w:r w:rsidR="00D67EB8" w:rsidRPr="009118AB">
        <w:t> - </w:t>
      </w:r>
      <w:r w:rsidR="001C3783" w:rsidRPr="009118AB">
        <w:rPr>
          <w:i/>
        </w:rPr>
        <w:t>anwendbar auf die ab dem 1. Januar 2016 erworbenen oder gebildeten Anlagen</w:t>
      </w:r>
      <w:r w:rsidR="00FD68E8" w:rsidRPr="009118AB">
        <w:rPr>
          <w:i/>
        </w:rPr>
        <w:t> -,</w:t>
      </w:r>
      <w:r w:rsidR="001C3783" w:rsidRPr="009118AB">
        <w:rPr>
          <w:i/>
        </w:rPr>
        <w:t xml:space="preserve"> </w:t>
      </w:r>
      <w:r w:rsidR="00D67EB8" w:rsidRPr="009118AB">
        <w:rPr>
          <w:i/>
        </w:rPr>
        <w:t>Art. </w:t>
      </w:r>
      <w:r w:rsidR="001C3783" w:rsidRPr="009118AB">
        <w:rPr>
          <w:i/>
        </w:rPr>
        <w:t xml:space="preserve">12 </w:t>
      </w:r>
      <w:r w:rsidR="00D67EB8" w:rsidRPr="009118AB">
        <w:rPr>
          <w:i/>
        </w:rPr>
        <w:t>Nr. </w:t>
      </w:r>
      <w:r w:rsidR="001C3783" w:rsidRPr="009118AB">
        <w:rPr>
          <w:i/>
        </w:rPr>
        <w:t>2</w:t>
      </w:r>
      <w:r w:rsidR="001C3783" w:rsidRPr="009118AB">
        <w:rPr>
          <w:rFonts w:ascii="Times New Roman Italique" w:hAnsi="Times New Roman Italique"/>
          <w:i/>
          <w:spacing w:val="-4"/>
        </w:rPr>
        <w:t xml:space="preserve"> des G. vom 15. Juli 2020 (B.S. vom 23. J</w:t>
      </w:r>
      <w:r w:rsidR="003721AC" w:rsidRPr="009118AB">
        <w:rPr>
          <w:rFonts w:ascii="Times New Roman Italique" w:hAnsi="Times New Roman Italique"/>
          <w:i/>
          <w:spacing w:val="-4"/>
        </w:rPr>
        <w:t>uli 2020)</w:t>
      </w:r>
      <w:r w:rsidR="00D67EB8" w:rsidRPr="009118AB">
        <w:rPr>
          <w:rFonts w:ascii="Times New Roman Italique" w:hAnsi="Times New Roman Italique"/>
          <w:i/>
          <w:spacing w:val="-4"/>
        </w:rPr>
        <w:t> - </w:t>
      </w:r>
      <w:r w:rsidR="003721AC" w:rsidRPr="009118AB">
        <w:rPr>
          <w:rFonts w:ascii="Times New Roman Italique" w:hAnsi="Times New Roman Italique"/>
          <w:i/>
          <w:spacing w:val="-4"/>
        </w:rPr>
        <w:t xml:space="preserve">in Kraft am </w:t>
      </w:r>
      <w:r w:rsidR="007A0C0C" w:rsidRPr="009118AB">
        <w:rPr>
          <w:rFonts w:ascii="Times New Roman Italique" w:hAnsi="Times New Roman Italique"/>
          <w:i/>
          <w:spacing w:val="-4"/>
        </w:rPr>
        <w:t>23</w:t>
      </w:r>
      <w:r w:rsidR="001C3783" w:rsidRPr="009118AB">
        <w:rPr>
          <w:rFonts w:ascii="Times New Roman Italique" w:hAnsi="Times New Roman Italique"/>
          <w:i/>
          <w:spacing w:val="-4"/>
        </w:rPr>
        <w:t>. Juli 2020</w:t>
      </w:r>
      <w:r w:rsidR="00D67EB8" w:rsidRPr="009118AB">
        <w:rPr>
          <w:rFonts w:ascii="Times New Roman Italique" w:hAnsi="Times New Roman Italique"/>
          <w:i/>
          <w:spacing w:val="-4"/>
        </w:rPr>
        <w:t> - </w:t>
      </w:r>
      <w:r w:rsidR="00575C60" w:rsidRPr="009118AB">
        <w:rPr>
          <w:rFonts w:ascii="Times New Roman Italique" w:hAnsi="Times New Roman Italique"/>
          <w:i/>
          <w:spacing w:val="-4"/>
        </w:rPr>
        <w:t xml:space="preserve">und </w:t>
      </w:r>
      <w:r w:rsidR="00D67EB8" w:rsidRPr="009118AB">
        <w:rPr>
          <w:rFonts w:ascii="Times New Roman Italique" w:hAnsi="Times New Roman Italique"/>
          <w:i/>
          <w:spacing w:val="-4"/>
        </w:rPr>
        <w:t>Art. </w:t>
      </w:r>
      <w:r w:rsidR="00575C60" w:rsidRPr="009118AB">
        <w:rPr>
          <w:rFonts w:ascii="Times New Roman Italique" w:hAnsi="Times New Roman Italique"/>
          <w:i/>
          <w:spacing w:val="-4"/>
        </w:rPr>
        <w:t xml:space="preserve">5 </w:t>
      </w:r>
      <w:r w:rsidR="00D67EB8" w:rsidRPr="009118AB">
        <w:rPr>
          <w:rFonts w:ascii="Times New Roman Italique" w:hAnsi="Times New Roman Italique"/>
          <w:i/>
          <w:spacing w:val="-4"/>
        </w:rPr>
        <w:t>Nr. </w:t>
      </w:r>
      <w:r w:rsidR="00575C60" w:rsidRPr="009118AB">
        <w:rPr>
          <w:rFonts w:ascii="Times New Roman Italique" w:hAnsi="Times New Roman Italique"/>
          <w:i/>
          <w:spacing w:val="-4"/>
        </w:rPr>
        <w:t>2</w:t>
      </w:r>
      <w:r w:rsidR="00575C60" w:rsidRPr="009118AB">
        <w:rPr>
          <w:rFonts w:ascii="Times New Roman Italique" w:hAnsi="Times New Roman Italique"/>
          <w:i/>
        </w:rPr>
        <w:t xml:space="preserve"> des G. vom 20. Dezember 2020</w:t>
      </w:r>
      <w:r w:rsidR="00B43C02" w:rsidRPr="009118AB">
        <w:rPr>
          <w:rFonts w:ascii="Times New Roman Italique" w:hAnsi="Times New Roman Italique"/>
          <w:i/>
        </w:rPr>
        <w:t> (I)</w:t>
      </w:r>
      <w:r w:rsidR="00575C60" w:rsidRPr="009118AB">
        <w:rPr>
          <w:rFonts w:ascii="Times New Roman Italique" w:hAnsi="Times New Roman Italique"/>
          <w:i/>
        </w:rPr>
        <w:t xml:space="preserve"> (B.S. vom 30. Dezember 2020)</w:t>
      </w:r>
      <w:r w:rsidR="00D67EB8" w:rsidRPr="009118AB">
        <w:rPr>
          <w:rFonts w:ascii="Times New Roman Italique" w:hAnsi="Times New Roman Italique"/>
          <w:i/>
        </w:rPr>
        <w:t> - </w:t>
      </w:r>
      <w:r w:rsidR="00575C60" w:rsidRPr="009118AB">
        <w:rPr>
          <w:rFonts w:ascii="Times New Roman Italique" w:hAnsi="Times New Roman Italique"/>
          <w:i/>
        </w:rPr>
        <w:t>in Kraft am 1. Januar 2021</w:t>
      </w:r>
      <w:r w:rsidR="003366D9" w:rsidRPr="009118AB">
        <w:rPr>
          <w:rFonts w:ascii="Times New Roman Italique" w:hAnsi="Times New Roman Italique"/>
          <w:i/>
        </w:rPr>
        <w:t> -;</w:t>
      </w:r>
      <w:r w:rsidR="001C3783" w:rsidRPr="009118AB">
        <w:rPr>
          <w:i/>
          <w:iCs/>
        </w:rPr>
        <w:t xml:space="preserve"> </w:t>
      </w:r>
      <w:r w:rsidR="00D67EB8" w:rsidRPr="009118AB">
        <w:rPr>
          <w:i/>
          <w:iCs/>
        </w:rPr>
        <w:t>§ </w:t>
      </w:r>
      <w:r w:rsidR="004B5353" w:rsidRPr="009118AB">
        <w:rPr>
          <w:i/>
          <w:iCs/>
        </w:rPr>
        <w:t xml:space="preserve">1 </w:t>
      </w:r>
      <w:r w:rsidR="00867BE7" w:rsidRPr="009118AB">
        <w:rPr>
          <w:i/>
          <w:iCs/>
        </w:rPr>
        <w:t xml:space="preserve">frühere Absätze 6 bis 8 aufgehoben durch </w:t>
      </w:r>
      <w:r w:rsidR="00D67EB8" w:rsidRPr="009118AB">
        <w:rPr>
          <w:i/>
          <w:iCs/>
        </w:rPr>
        <w:t>Art. </w:t>
      </w:r>
      <w:r w:rsidR="00867BE7" w:rsidRPr="009118AB">
        <w:rPr>
          <w:i/>
          <w:iCs/>
        </w:rPr>
        <w:t>89 Buchstabe d)</w:t>
      </w:r>
      <w:r w:rsidR="00867BE7" w:rsidRPr="009118AB">
        <w:rPr>
          <w:i/>
        </w:rPr>
        <w:t xml:space="preserve"> des G. vom 26. Dezember 2015 (II) (B.S. vom 30. Dezember 2015)</w:t>
      </w:r>
      <w:r w:rsidR="00D67EB8" w:rsidRPr="009118AB">
        <w:t> - </w:t>
      </w:r>
      <w:r w:rsidR="00867BE7" w:rsidRPr="009118AB">
        <w:rPr>
          <w:i/>
        </w:rPr>
        <w:t>anwendbar auf die ab dem 1. Januar 2016 erworbenen oder gebildeten Anlagen</w:t>
      </w:r>
      <w:r w:rsidR="003366D9" w:rsidRPr="009118AB">
        <w:rPr>
          <w:i/>
        </w:rPr>
        <w:t> -;</w:t>
      </w:r>
      <w:r w:rsidR="00005AA3" w:rsidRPr="009118AB">
        <w:rPr>
          <w:i/>
          <w:iCs/>
        </w:rPr>
        <w:t xml:space="preserve"> </w:t>
      </w:r>
      <w:r w:rsidR="00D67EB8" w:rsidRPr="009118AB">
        <w:rPr>
          <w:i/>
          <w:iCs/>
        </w:rPr>
        <w:t>§ </w:t>
      </w:r>
      <w:r w:rsidR="004B5353" w:rsidRPr="009118AB">
        <w:rPr>
          <w:i/>
          <w:iCs/>
        </w:rPr>
        <w:t xml:space="preserve">1 </w:t>
      </w:r>
      <w:r w:rsidR="00005AA3" w:rsidRPr="009118AB">
        <w:rPr>
          <w:i/>
          <w:iCs/>
        </w:rPr>
        <w:t>früherer Absatz </w:t>
      </w:r>
      <w:r w:rsidR="00824DFE" w:rsidRPr="009118AB">
        <w:rPr>
          <w:i/>
          <w:iCs/>
        </w:rPr>
        <w:t>9</w:t>
      </w:r>
      <w:r w:rsidR="00005AA3" w:rsidRPr="009118AB">
        <w:rPr>
          <w:i/>
          <w:iCs/>
        </w:rPr>
        <w:t xml:space="preserve"> </w:t>
      </w:r>
      <w:r w:rsidRPr="009118AB">
        <w:rPr>
          <w:i/>
          <w:iCs/>
        </w:rPr>
        <w:t xml:space="preserve">aufgehoben durch </w:t>
      </w:r>
      <w:r w:rsidR="00D67EB8" w:rsidRPr="009118AB">
        <w:rPr>
          <w:i/>
          <w:iCs/>
        </w:rPr>
        <w:t>Art. </w:t>
      </w:r>
      <w:r w:rsidRPr="009118AB">
        <w:rPr>
          <w:i/>
          <w:iCs/>
        </w:rPr>
        <w:t xml:space="preserve">3 </w:t>
      </w:r>
      <w:r w:rsidR="00D67EB8" w:rsidRPr="009118AB">
        <w:rPr>
          <w:i/>
          <w:iCs/>
        </w:rPr>
        <w:t>Nr. </w:t>
      </w:r>
      <w:r w:rsidRPr="009118AB">
        <w:rPr>
          <w:i/>
          <w:iCs/>
        </w:rPr>
        <w:t>3 des G. vom 22. Juni 2005 (B.S. vom 30. Juni 2005)</w:t>
      </w:r>
      <w:r w:rsidR="00D67EB8" w:rsidRPr="009118AB">
        <w:rPr>
          <w:i/>
          <w:iCs/>
        </w:rPr>
        <w:t> - </w:t>
      </w:r>
      <w:r w:rsidRPr="009118AB">
        <w:rPr>
          <w:i/>
          <w:iCs/>
        </w:rPr>
        <w:t>in Kraft ab dem Steuerjahr 2007</w:t>
      </w:r>
      <w:r w:rsidR="003366D9" w:rsidRPr="009118AB">
        <w:rPr>
          <w:i/>
          <w:iCs/>
        </w:rPr>
        <w:t> -;</w:t>
      </w:r>
      <w:r w:rsidR="00CB2F34" w:rsidRPr="009118AB">
        <w:rPr>
          <w:i/>
          <w:iCs/>
        </w:rPr>
        <w:t xml:space="preserve"> </w:t>
      </w:r>
      <w:r w:rsidR="00D67EB8" w:rsidRPr="009118AB">
        <w:rPr>
          <w:i/>
          <w:iCs/>
        </w:rPr>
        <w:t>§ </w:t>
      </w:r>
      <w:r w:rsidR="004B5353" w:rsidRPr="009118AB">
        <w:rPr>
          <w:i/>
          <w:iCs/>
        </w:rPr>
        <w:t xml:space="preserve">1 </w:t>
      </w:r>
      <w:r w:rsidR="00820321" w:rsidRPr="009118AB">
        <w:rPr>
          <w:i/>
          <w:iCs/>
        </w:rPr>
        <w:t>neuer Absatz </w:t>
      </w:r>
      <w:r w:rsidR="007C5F74" w:rsidRPr="009118AB">
        <w:rPr>
          <w:i/>
          <w:iCs/>
        </w:rPr>
        <w:t>6</w:t>
      </w:r>
      <w:r w:rsidR="00820321" w:rsidRPr="009118AB">
        <w:rPr>
          <w:i/>
          <w:iCs/>
        </w:rPr>
        <w:t xml:space="preserve"> eingefügt durch </w:t>
      </w:r>
      <w:r w:rsidR="00D67EB8" w:rsidRPr="009118AB">
        <w:rPr>
          <w:i/>
          <w:iCs/>
        </w:rPr>
        <w:t>Art. </w:t>
      </w:r>
      <w:r w:rsidR="00820321" w:rsidRPr="009118AB">
        <w:rPr>
          <w:i/>
          <w:iCs/>
        </w:rPr>
        <w:t>75 des G. vom 10. August 2015 (B.S. vom 18. August 2015)</w:t>
      </w:r>
      <w:r w:rsidR="00D67EB8" w:rsidRPr="009118AB">
        <w:rPr>
          <w:i/>
          <w:iCs/>
        </w:rPr>
        <w:t> - </w:t>
      </w:r>
      <w:r w:rsidR="00820321" w:rsidRPr="009118AB">
        <w:rPr>
          <w:i/>
          <w:iCs/>
        </w:rPr>
        <w:t>in Kraft ab dem Steuerjahr 2016</w:t>
      </w:r>
      <w:r w:rsidR="00D67EB8" w:rsidRPr="009118AB">
        <w:rPr>
          <w:i/>
          <w:iCs/>
        </w:rPr>
        <w:t> - </w:t>
      </w:r>
      <w:r w:rsidR="005276D2" w:rsidRPr="009118AB">
        <w:rPr>
          <w:i/>
          <w:iCs/>
        </w:rPr>
        <w:t xml:space="preserve">und abgeändert durch </w:t>
      </w:r>
      <w:r w:rsidR="00D67EB8" w:rsidRPr="009118AB">
        <w:rPr>
          <w:i/>
          <w:iCs/>
        </w:rPr>
        <w:t>Art. </w:t>
      </w:r>
      <w:r w:rsidR="005276D2" w:rsidRPr="009118AB">
        <w:rPr>
          <w:i/>
          <w:iCs/>
        </w:rPr>
        <w:t xml:space="preserve">52 </w:t>
      </w:r>
      <w:r w:rsidR="00D67EB8" w:rsidRPr="009118AB">
        <w:rPr>
          <w:i/>
          <w:iCs/>
        </w:rPr>
        <w:t>Nr. </w:t>
      </w:r>
      <w:r w:rsidR="005276D2" w:rsidRPr="009118AB">
        <w:rPr>
          <w:i/>
          <w:iCs/>
        </w:rPr>
        <w:t xml:space="preserve">1 </w:t>
      </w:r>
      <w:r w:rsidR="005276D2" w:rsidRPr="009118AB">
        <w:rPr>
          <w:i/>
        </w:rPr>
        <w:t>des G. vom 18. Dezember 2015</w:t>
      </w:r>
      <w:r w:rsidR="007D0EAE" w:rsidRPr="009118AB">
        <w:rPr>
          <w:i/>
        </w:rPr>
        <w:t> (I)</w:t>
      </w:r>
      <w:r w:rsidR="005276D2" w:rsidRPr="009118AB">
        <w:rPr>
          <w:i/>
        </w:rPr>
        <w:t xml:space="preserve"> (B.S. vom 30. Dezember 2015)</w:t>
      </w:r>
      <w:r w:rsidR="00D67EB8" w:rsidRPr="009118AB">
        <w:rPr>
          <w:i/>
        </w:rPr>
        <w:t> - </w:t>
      </w:r>
      <w:r w:rsidR="00B52789" w:rsidRPr="009118AB">
        <w:rPr>
          <w:i/>
        </w:rPr>
        <w:t>anwendbar auf Besteuerungs</w:t>
      </w:r>
      <w:r w:rsidR="00343042" w:rsidRPr="009118AB">
        <w:rPr>
          <w:i/>
        </w:rPr>
        <w:softHyphen/>
      </w:r>
      <w:r w:rsidR="00B52789" w:rsidRPr="009118AB">
        <w:rPr>
          <w:i/>
        </w:rPr>
        <w:t>zeiträume, die ab dem 1. Januar 2016 beginnen</w:t>
      </w:r>
      <w:r w:rsidR="00D67EB8" w:rsidRPr="009118AB">
        <w:rPr>
          <w:i/>
        </w:rPr>
        <w:t> -</w:t>
      </w:r>
      <w:r w:rsidR="00F87587" w:rsidRPr="009118AB">
        <w:rPr>
          <w:i/>
        </w:rPr>
        <w:t>,</w:t>
      </w:r>
      <w:r w:rsidR="00994333" w:rsidRPr="009118AB">
        <w:rPr>
          <w:i/>
        </w:rPr>
        <w:t xml:space="preserve"> </w:t>
      </w:r>
      <w:r w:rsidR="00D67EB8" w:rsidRPr="009118AB">
        <w:rPr>
          <w:i/>
        </w:rPr>
        <w:t>Art. </w:t>
      </w:r>
      <w:r w:rsidR="00994333" w:rsidRPr="009118AB">
        <w:rPr>
          <w:i/>
        </w:rPr>
        <w:t>38</w:t>
      </w:r>
      <w:r w:rsidR="00994333" w:rsidRPr="009118AB">
        <w:rPr>
          <w:i/>
          <w:iCs/>
          <w:spacing w:val="-2"/>
        </w:rPr>
        <w:t xml:space="preserve"> des G. vom 17. März 2019 (III) (B.S. vom 10. Mai 2019)</w:t>
      </w:r>
      <w:r w:rsidR="00D67EB8" w:rsidRPr="009118AB">
        <w:rPr>
          <w:i/>
          <w:iCs/>
          <w:spacing w:val="-2"/>
        </w:rPr>
        <w:t> - </w:t>
      </w:r>
      <w:r w:rsidR="00994333" w:rsidRPr="009118AB">
        <w:rPr>
          <w:i/>
          <w:iCs/>
          <w:spacing w:val="-2"/>
        </w:rPr>
        <w:t>in Kraft am 1. Mai 2019</w:t>
      </w:r>
      <w:r w:rsidR="003366D9" w:rsidRPr="009118AB">
        <w:rPr>
          <w:i/>
          <w:iCs/>
          <w:spacing w:val="-2"/>
        </w:rPr>
        <w:t> -</w:t>
      </w:r>
      <w:r w:rsidR="00F87587" w:rsidRPr="009118AB">
        <w:rPr>
          <w:i/>
          <w:iCs/>
          <w:spacing w:val="-2"/>
        </w:rPr>
        <w:t xml:space="preserve"> und Art. 22 des G. vom 5. Juli 2022 (B.S. vom 15. Juli 2022)</w:t>
      </w:r>
      <w:r w:rsidR="003366D9" w:rsidRPr="009118AB">
        <w:rPr>
          <w:i/>
          <w:iCs/>
          <w:spacing w:val="-2"/>
        </w:rPr>
        <w:t>;</w:t>
      </w:r>
      <w:r w:rsidR="00820321" w:rsidRPr="009118AB">
        <w:rPr>
          <w:i/>
          <w:iCs/>
        </w:rPr>
        <w:t xml:space="preserve"> </w:t>
      </w:r>
      <w:r w:rsidR="00D67EB8" w:rsidRPr="009118AB">
        <w:rPr>
          <w:i/>
          <w:iCs/>
        </w:rPr>
        <w:t>§ </w:t>
      </w:r>
      <w:r w:rsidR="004B5353" w:rsidRPr="009118AB">
        <w:rPr>
          <w:i/>
          <w:iCs/>
        </w:rPr>
        <w:t xml:space="preserve">1 </w:t>
      </w:r>
      <w:r w:rsidR="00D67EB8" w:rsidRPr="009118AB">
        <w:rPr>
          <w:i/>
          <w:iCs/>
        </w:rPr>
        <w:t>Abs. </w:t>
      </w:r>
      <w:r w:rsidR="007C5F74" w:rsidRPr="009118AB">
        <w:rPr>
          <w:i/>
          <w:iCs/>
        </w:rPr>
        <w:t>7</w:t>
      </w:r>
      <w:r w:rsidRPr="009118AB">
        <w:rPr>
          <w:i/>
          <w:iCs/>
        </w:rPr>
        <w:t xml:space="preserve"> eingefügt durch </w:t>
      </w:r>
      <w:r w:rsidR="00D67EB8" w:rsidRPr="009118AB">
        <w:rPr>
          <w:i/>
          <w:iCs/>
        </w:rPr>
        <w:t>Art. </w:t>
      </w:r>
      <w:r w:rsidRPr="009118AB">
        <w:rPr>
          <w:i/>
          <w:iCs/>
        </w:rPr>
        <w:t>107 des G.</w:t>
      </w:r>
      <w:r w:rsidR="00581D17" w:rsidRPr="009118AB">
        <w:rPr>
          <w:i/>
          <w:iCs/>
        </w:rPr>
        <w:t> </w:t>
      </w:r>
      <w:r w:rsidRPr="009118AB">
        <w:rPr>
          <w:i/>
          <w:iCs/>
        </w:rPr>
        <w:t>vom 8. April 2003 (B.S. vom 17. April 2003)</w:t>
      </w:r>
      <w:r w:rsidR="00D67EB8" w:rsidRPr="009118AB">
        <w:rPr>
          <w:i/>
          <w:iCs/>
        </w:rPr>
        <w:t> - </w:t>
      </w:r>
      <w:r w:rsidRPr="009118AB">
        <w:rPr>
          <w:i/>
          <w:iCs/>
        </w:rPr>
        <w:t>in Kraft ab dem Steuerjahr 2004</w:t>
      </w:r>
      <w:r w:rsidR="00FD68E8" w:rsidRPr="009118AB">
        <w:rPr>
          <w:i/>
          <w:iCs/>
        </w:rPr>
        <w:t> -,</w:t>
      </w:r>
      <w:r w:rsidRPr="009118AB">
        <w:rPr>
          <w:i/>
          <w:iCs/>
        </w:rPr>
        <w:t xml:space="preserve"> ersetzt durch </w:t>
      </w:r>
      <w:r w:rsidR="00D67EB8" w:rsidRPr="009118AB">
        <w:rPr>
          <w:i/>
          <w:iCs/>
        </w:rPr>
        <w:t>Art. </w:t>
      </w:r>
      <w:r w:rsidRPr="009118AB">
        <w:rPr>
          <w:i/>
          <w:iCs/>
        </w:rPr>
        <w:t>373 des G. vom 27.</w:t>
      </w:r>
      <w:r w:rsidR="00097798" w:rsidRPr="009118AB">
        <w:rPr>
          <w:i/>
          <w:iCs/>
        </w:rPr>
        <w:t> </w:t>
      </w:r>
      <w:r w:rsidRPr="009118AB">
        <w:rPr>
          <w:i/>
          <w:iCs/>
        </w:rPr>
        <w:t>Dezember 2004 (B.S. vom 31. Dezember 2004)</w:t>
      </w:r>
      <w:r w:rsidR="00D67EB8" w:rsidRPr="009118AB">
        <w:rPr>
          <w:i/>
          <w:iCs/>
        </w:rPr>
        <w:t> - </w:t>
      </w:r>
      <w:r w:rsidRPr="009118AB">
        <w:rPr>
          <w:i/>
          <w:iCs/>
        </w:rPr>
        <w:t>anwendbar auf Anlagen, die in einem an das Steuerjahr 2006 oder an ein späteres Steuerjahr gebundenen Besteuerungszeitraum erworben oder gebildet werden</w:t>
      </w:r>
      <w:r w:rsidR="00D67EB8" w:rsidRPr="009118AB">
        <w:rPr>
          <w:i/>
          <w:iCs/>
        </w:rPr>
        <w:t> - </w:t>
      </w:r>
      <w:r w:rsidR="00097798" w:rsidRPr="009118AB">
        <w:rPr>
          <w:i/>
          <w:iCs/>
        </w:rPr>
        <w:t xml:space="preserve">und abgeändert durch </w:t>
      </w:r>
      <w:r w:rsidR="00D67EB8" w:rsidRPr="009118AB">
        <w:rPr>
          <w:i/>
          <w:iCs/>
        </w:rPr>
        <w:t>Art. </w:t>
      </w:r>
      <w:r w:rsidR="008A6CDA" w:rsidRPr="009118AB">
        <w:rPr>
          <w:i/>
          <w:iCs/>
        </w:rPr>
        <w:t>4</w:t>
      </w:r>
      <w:r w:rsidR="00E913B0" w:rsidRPr="009118AB">
        <w:rPr>
          <w:i/>
          <w:iCs/>
        </w:rPr>
        <w:t xml:space="preserve">7 des </w:t>
      </w:r>
      <w:r w:rsidR="00DC1F9F" w:rsidRPr="009118AB">
        <w:rPr>
          <w:i/>
          <w:iCs/>
        </w:rPr>
        <w:t>G. vom 22. Dezember 2009</w:t>
      </w:r>
      <w:r w:rsidR="00097798" w:rsidRPr="009118AB">
        <w:rPr>
          <w:i/>
          <w:iCs/>
        </w:rPr>
        <w:t> </w:t>
      </w:r>
      <w:r w:rsidR="00DC1F9F" w:rsidRPr="009118AB">
        <w:rPr>
          <w:i/>
          <w:iCs/>
        </w:rPr>
        <w:t>(I)</w:t>
      </w:r>
      <w:r w:rsidR="00E913B0" w:rsidRPr="009118AB">
        <w:rPr>
          <w:i/>
          <w:iCs/>
        </w:rPr>
        <w:t xml:space="preserve"> (B.S. vom 31. Dezember 2009)</w:t>
      </w:r>
      <w:r w:rsidR="00D67EB8" w:rsidRPr="009118AB">
        <w:rPr>
          <w:i/>
          <w:iCs/>
        </w:rPr>
        <w:t> - </w:t>
      </w:r>
      <w:r w:rsidR="00E913B0" w:rsidRPr="009118AB">
        <w:rPr>
          <w:i/>
          <w:iCs/>
        </w:rPr>
        <w:t>anwendbar ab dem Steuerjahr 2010</w:t>
      </w:r>
      <w:r w:rsidR="00FD68E8" w:rsidRPr="009118AB">
        <w:rPr>
          <w:i/>
          <w:iCs/>
        </w:rPr>
        <w:t> -,</w:t>
      </w:r>
      <w:r w:rsidR="005276D2" w:rsidRPr="009118AB">
        <w:rPr>
          <w:i/>
          <w:iCs/>
        </w:rPr>
        <w:t xml:space="preserve"> </w:t>
      </w:r>
      <w:r w:rsidR="00D67EB8" w:rsidRPr="009118AB">
        <w:rPr>
          <w:i/>
          <w:iCs/>
        </w:rPr>
        <w:t>Art. </w:t>
      </w:r>
      <w:r w:rsidR="005276D2" w:rsidRPr="009118AB">
        <w:rPr>
          <w:i/>
          <w:iCs/>
        </w:rPr>
        <w:t xml:space="preserve">52 </w:t>
      </w:r>
      <w:r w:rsidR="00D67EB8" w:rsidRPr="009118AB">
        <w:rPr>
          <w:i/>
          <w:iCs/>
        </w:rPr>
        <w:t>Nr. </w:t>
      </w:r>
      <w:r w:rsidR="005276D2" w:rsidRPr="009118AB">
        <w:rPr>
          <w:i/>
          <w:iCs/>
        </w:rPr>
        <w:t xml:space="preserve">2 </w:t>
      </w:r>
      <w:r w:rsidR="005276D2" w:rsidRPr="009118AB">
        <w:rPr>
          <w:i/>
        </w:rPr>
        <w:t>des G. vom 18. Dezember 2015</w:t>
      </w:r>
      <w:r w:rsidR="007D0EAE" w:rsidRPr="009118AB">
        <w:rPr>
          <w:i/>
        </w:rPr>
        <w:t> (I)</w:t>
      </w:r>
      <w:r w:rsidR="005276D2" w:rsidRPr="009118AB">
        <w:rPr>
          <w:i/>
        </w:rPr>
        <w:t xml:space="preserve"> (B.S. vom 30. Dezember 2015)</w:t>
      </w:r>
      <w:r w:rsidR="00D67EB8" w:rsidRPr="009118AB">
        <w:rPr>
          <w:i/>
        </w:rPr>
        <w:t> - </w:t>
      </w:r>
      <w:r w:rsidR="00B52789" w:rsidRPr="009118AB">
        <w:rPr>
          <w:i/>
        </w:rPr>
        <w:t>anwendbar auf Besteuerungs</w:t>
      </w:r>
      <w:r w:rsidR="007D0EAE" w:rsidRPr="009118AB">
        <w:rPr>
          <w:i/>
        </w:rPr>
        <w:softHyphen/>
      </w:r>
      <w:r w:rsidR="00B52789" w:rsidRPr="009118AB">
        <w:rPr>
          <w:i/>
        </w:rPr>
        <w:t>zeiträume, die ab dem 1. Januar 2016 beginnen</w:t>
      </w:r>
      <w:r w:rsidR="00FD68E8" w:rsidRPr="009118AB">
        <w:rPr>
          <w:i/>
        </w:rPr>
        <w:t> -,</w:t>
      </w:r>
      <w:r w:rsidR="007C5F74" w:rsidRPr="009118AB">
        <w:rPr>
          <w:i/>
        </w:rPr>
        <w:t xml:space="preserve"> </w:t>
      </w:r>
      <w:r w:rsidR="00D67EB8" w:rsidRPr="009118AB">
        <w:rPr>
          <w:i/>
        </w:rPr>
        <w:t>Art. </w:t>
      </w:r>
      <w:r w:rsidR="007C5F74" w:rsidRPr="009118AB">
        <w:rPr>
          <w:i/>
        </w:rPr>
        <w:t>89 Buchstabe e) des G. vom 26. Dezember 2015 (II) (B.S. vom 30. Dezember 2015)</w:t>
      </w:r>
      <w:r w:rsidR="00D67EB8" w:rsidRPr="009118AB">
        <w:t> - </w:t>
      </w:r>
      <w:r w:rsidR="007C5F74" w:rsidRPr="009118AB">
        <w:rPr>
          <w:i/>
        </w:rPr>
        <w:t>anwendbar auf die ab dem 1. Januar 2016 erworbenen oder gebildeten Anlagen</w:t>
      </w:r>
      <w:r w:rsidR="00D67EB8" w:rsidRPr="009118AB">
        <w:rPr>
          <w:i/>
        </w:rPr>
        <w:t> -</w:t>
      </w:r>
      <w:r w:rsidR="00F87587" w:rsidRPr="009118AB">
        <w:rPr>
          <w:i/>
        </w:rPr>
        <w:t>,</w:t>
      </w:r>
      <w:r w:rsidR="00994333" w:rsidRPr="009118AB">
        <w:rPr>
          <w:i/>
        </w:rPr>
        <w:t xml:space="preserve"> </w:t>
      </w:r>
      <w:r w:rsidR="00D67EB8" w:rsidRPr="009118AB">
        <w:rPr>
          <w:i/>
        </w:rPr>
        <w:t>Art. </w:t>
      </w:r>
      <w:r w:rsidR="00994333" w:rsidRPr="009118AB">
        <w:rPr>
          <w:i/>
        </w:rPr>
        <w:t>38</w:t>
      </w:r>
      <w:r w:rsidR="00994333" w:rsidRPr="009118AB">
        <w:rPr>
          <w:i/>
          <w:iCs/>
          <w:spacing w:val="-2"/>
        </w:rPr>
        <w:t xml:space="preserve"> des G. vom 17. März 2019 (III) (B.S. vom 10. Mai 2019)</w:t>
      </w:r>
      <w:r w:rsidR="00D67EB8" w:rsidRPr="009118AB">
        <w:rPr>
          <w:i/>
          <w:iCs/>
          <w:spacing w:val="-2"/>
        </w:rPr>
        <w:t> - </w:t>
      </w:r>
      <w:r w:rsidR="00994333" w:rsidRPr="009118AB">
        <w:rPr>
          <w:i/>
          <w:iCs/>
          <w:spacing w:val="-2"/>
        </w:rPr>
        <w:t>in Kraft am 1. Mai 2019</w:t>
      </w:r>
      <w:r w:rsidR="003366D9" w:rsidRPr="009118AB">
        <w:rPr>
          <w:i/>
          <w:iCs/>
          <w:spacing w:val="-2"/>
        </w:rPr>
        <w:t> -</w:t>
      </w:r>
      <w:r w:rsidR="00F87587" w:rsidRPr="009118AB">
        <w:rPr>
          <w:i/>
          <w:iCs/>
          <w:spacing w:val="-2"/>
        </w:rPr>
        <w:t xml:space="preserve"> und Art. 22 des G. vom 5. Juli 2022 (B.S. vom 15. Juli 2022)</w:t>
      </w:r>
      <w:r w:rsidR="003366D9" w:rsidRPr="009118AB">
        <w:rPr>
          <w:i/>
          <w:iCs/>
          <w:spacing w:val="-2"/>
        </w:rPr>
        <w:t>;</w:t>
      </w:r>
      <w:r w:rsidRPr="009118AB">
        <w:rPr>
          <w:i/>
          <w:iCs/>
        </w:rPr>
        <w:t xml:space="preserve"> </w:t>
      </w:r>
      <w:r w:rsidR="00D67EB8" w:rsidRPr="009118AB">
        <w:rPr>
          <w:i/>
          <w:iCs/>
        </w:rPr>
        <w:t>§ </w:t>
      </w:r>
      <w:r w:rsidR="004B5353" w:rsidRPr="009118AB">
        <w:rPr>
          <w:i/>
          <w:iCs/>
        </w:rPr>
        <w:t xml:space="preserve">1 </w:t>
      </w:r>
      <w:r w:rsidR="00D67EB8" w:rsidRPr="009118AB">
        <w:rPr>
          <w:i/>
          <w:iCs/>
        </w:rPr>
        <w:t>Abs. </w:t>
      </w:r>
      <w:r w:rsidR="007C5F74" w:rsidRPr="009118AB">
        <w:rPr>
          <w:i/>
          <w:iCs/>
        </w:rPr>
        <w:t>8</w:t>
      </w:r>
      <w:r w:rsidR="00005AA3" w:rsidRPr="009118AB">
        <w:rPr>
          <w:i/>
          <w:iCs/>
        </w:rPr>
        <w:t xml:space="preserve"> </w:t>
      </w:r>
      <w:r w:rsidRPr="009118AB">
        <w:rPr>
          <w:i/>
          <w:iCs/>
        </w:rPr>
        <w:t xml:space="preserve">eingefügt durch </w:t>
      </w:r>
      <w:r w:rsidR="00D67EB8" w:rsidRPr="009118AB">
        <w:rPr>
          <w:i/>
          <w:iCs/>
        </w:rPr>
        <w:t>Art. </w:t>
      </w:r>
      <w:r w:rsidRPr="009118AB">
        <w:rPr>
          <w:i/>
          <w:iCs/>
        </w:rPr>
        <w:t xml:space="preserve">3 </w:t>
      </w:r>
      <w:r w:rsidR="00D67EB8" w:rsidRPr="009118AB">
        <w:rPr>
          <w:i/>
          <w:iCs/>
        </w:rPr>
        <w:t>Nr. </w:t>
      </w:r>
      <w:r w:rsidRPr="009118AB">
        <w:rPr>
          <w:i/>
          <w:iCs/>
        </w:rPr>
        <w:t>4 des G. vom 22. Juni 2005 (B.S. vom 30. Juni 2005)</w:t>
      </w:r>
      <w:r w:rsidR="00D67EB8" w:rsidRPr="009118AB">
        <w:rPr>
          <w:i/>
          <w:iCs/>
        </w:rPr>
        <w:t> - </w:t>
      </w:r>
      <w:r w:rsidRPr="009118AB">
        <w:rPr>
          <w:i/>
          <w:iCs/>
        </w:rPr>
        <w:t>in Kraft ab dem Steuerjahr 2007</w:t>
      </w:r>
      <w:r w:rsidR="00D67EB8" w:rsidRPr="009118AB">
        <w:rPr>
          <w:i/>
          <w:iCs/>
        </w:rPr>
        <w:t> - </w:t>
      </w:r>
      <w:r w:rsidR="007C5F74" w:rsidRPr="009118AB">
        <w:rPr>
          <w:i/>
          <w:iCs/>
        </w:rPr>
        <w:t xml:space="preserve">und abgeändert durch </w:t>
      </w:r>
      <w:r w:rsidR="00D67EB8" w:rsidRPr="009118AB">
        <w:rPr>
          <w:i/>
          <w:iCs/>
        </w:rPr>
        <w:t>Art. </w:t>
      </w:r>
      <w:r w:rsidR="007C5F74" w:rsidRPr="009118AB">
        <w:rPr>
          <w:i/>
          <w:iCs/>
        </w:rPr>
        <w:t>89 Buchstabe f)</w:t>
      </w:r>
      <w:r w:rsidR="007C5F74" w:rsidRPr="009118AB">
        <w:rPr>
          <w:i/>
        </w:rPr>
        <w:t xml:space="preserve"> des G. vom 26. Dezember 2015 (II) (B.S. vom 30. Dezember 2015)</w:t>
      </w:r>
      <w:r w:rsidR="00D67EB8" w:rsidRPr="009118AB">
        <w:t> - </w:t>
      </w:r>
      <w:r w:rsidR="007C5F74" w:rsidRPr="009118AB">
        <w:rPr>
          <w:i/>
        </w:rPr>
        <w:t>anwendbar auf die ab dem 1. Januar 2016 erworbenen oder gebildeten Anlagen</w:t>
      </w:r>
      <w:r w:rsidR="003366D9" w:rsidRPr="009118AB">
        <w:rPr>
          <w:i/>
        </w:rPr>
        <w:t> -;</w:t>
      </w:r>
      <w:r w:rsidRPr="009118AB">
        <w:rPr>
          <w:i/>
          <w:iCs/>
        </w:rPr>
        <w:t xml:space="preserve"> </w:t>
      </w:r>
      <w:r w:rsidR="00D67EB8" w:rsidRPr="009118AB">
        <w:rPr>
          <w:i/>
          <w:iCs/>
        </w:rPr>
        <w:t>§ </w:t>
      </w:r>
      <w:r w:rsidR="004B5353" w:rsidRPr="009118AB">
        <w:rPr>
          <w:i/>
          <w:iCs/>
        </w:rPr>
        <w:t xml:space="preserve">1 </w:t>
      </w:r>
      <w:r w:rsidR="00D67EB8" w:rsidRPr="009118AB">
        <w:rPr>
          <w:i/>
          <w:iCs/>
        </w:rPr>
        <w:t>Abs. </w:t>
      </w:r>
      <w:r w:rsidR="007C5F74" w:rsidRPr="009118AB">
        <w:rPr>
          <w:i/>
          <w:iCs/>
        </w:rPr>
        <w:t>9</w:t>
      </w:r>
      <w:r w:rsidR="00005AA3" w:rsidRPr="009118AB">
        <w:rPr>
          <w:i/>
          <w:iCs/>
        </w:rPr>
        <w:t xml:space="preserve"> </w:t>
      </w:r>
      <w:r w:rsidRPr="009118AB">
        <w:rPr>
          <w:i/>
          <w:iCs/>
        </w:rPr>
        <w:t xml:space="preserve">eingefügt durch </w:t>
      </w:r>
      <w:r w:rsidR="00D67EB8" w:rsidRPr="009118AB">
        <w:rPr>
          <w:i/>
          <w:iCs/>
        </w:rPr>
        <w:t>Art. </w:t>
      </w:r>
      <w:r w:rsidRPr="009118AB">
        <w:rPr>
          <w:i/>
          <w:iCs/>
        </w:rPr>
        <w:t>120 des G.</w:t>
      </w:r>
      <w:r w:rsidR="00E913B0" w:rsidRPr="009118AB">
        <w:rPr>
          <w:i/>
          <w:iCs/>
        </w:rPr>
        <w:t> </w:t>
      </w:r>
      <w:r w:rsidRPr="009118AB">
        <w:rPr>
          <w:i/>
          <w:iCs/>
        </w:rPr>
        <w:t>vom 23. Dezember 2005 (B.S.</w:t>
      </w:r>
      <w:r w:rsidR="00581D17" w:rsidRPr="009118AB">
        <w:rPr>
          <w:i/>
          <w:iCs/>
        </w:rPr>
        <w:t> </w:t>
      </w:r>
      <w:r w:rsidRPr="009118AB">
        <w:rPr>
          <w:i/>
          <w:iCs/>
        </w:rPr>
        <w:t>vom 30. Dezember 2005)</w:t>
      </w:r>
      <w:r w:rsidR="00D67EB8" w:rsidRPr="009118AB">
        <w:rPr>
          <w:i/>
          <w:iCs/>
        </w:rPr>
        <w:t> - </w:t>
      </w:r>
      <w:r w:rsidRPr="009118AB">
        <w:rPr>
          <w:i/>
          <w:iCs/>
        </w:rPr>
        <w:t>in Kraft ab dem Steuerjahr 2007</w:t>
      </w:r>
      <w:r w:rsidR="00D67EB8" w:rsidRPr="009118AB">
        <w:rPr>
          <w:i/>
          <w:iCs/>
        </w:rPr>
        <w:t> - </w:t>
      </w:r>
      <w:r w:rsidRPr="009118AB">
        <w:rPr>
          <w:i/>
          <w:iCs/>
        </w:rPr>
        <w:t xml:space="preserve">und </w:t>
      </w:r>
      <w:r w:rsidR="005B2315" w:rsidRPr="009118AB">
        <w:rPr>
          <w:i/>
          <w:iCs/>
        </w:rPr>
        <w:t>abgeänder</w:t>
      </w:r>
      <w:r w:rsidRPr="009118AB">
        <w:rPr>
          <w:i/>
          <w:iCs/>
        </w:rPr>
        <w:t xml:space="preserve">t durch </w:t>
      </w:r>
      <w:r w:rsidR="00D67EB8" w:rsidRPr="009118AB">
        <w:rPr>
          <w:i/>
          <w:iCs/>
        </w:rPr>
        <w:t>Art. </w:t>
      </w:r>
      <w:r w:rsidR="00C824AF" w:rsidRPr="009118AB">
        <w:rPr>
          <w:i/>
          <w:iCs/>
        </w:rPr>
        <w:t>286 des G. </w:t>
      </w:r>
      <w:r w:rsidR="00581D17" w:rsidRPr="009118AB">
        <w:rPr>
          <w:i/>
          <w:iCs/>
        </w:rPr>
        <w:t xml:space="preserve">(I) </w:t>
      </w:r>
      <w:r w:rsidRPr="009118AB">
        <w:rPr>
          <w:i/>
          <w:iCs/>
        </w:rPr>
        <w:t>vom 27. Dezember 2006 (</w:t>
      </w:r>
      <w:r w:rsidR="00581D17" w:rsidRPr="009118AB">
        <w:rPr>
          <w:i/>
          <w:iCs/>
        </w:rPr>
        <w:t>I</w:t>
      </w:r>
      <w:r w:rsidRPr="009118AB">
        <w:rPr>
          <w:i/>
          <w:iCs/>
        </w:rPr>
        <w:t>I) (B.S. vom 28. Dezember 2006)</w:t>
      </w:r>
      <w:r w:rsidR="00D67EB8" w:rsidRPr="009118AB">
        <w:rPr>
          <w:i/>
          <w:iCs/>
        </w:rPr>
        <w:t> - </w:t>
      </w:r>
      <w:r w:rsidRPr="009118AB">
        <w:rPr>
          <w:i/>
          <w:iCs/>
        </w:rPr>
        <w:t>anwendbar ab dem Steuerjahr 2007</w:t>
      </w:r>
      <w:r w:rsidR="00FD68E8" w:rsidRPr="009118AB">
        <w:rPr>
          <w:i/>
          <w:iCs/>
        </w:rPr>
        <w:t> -,</w:t>
      </w:r>
      <w:r w:rsidR="005B2315" w:rsidRPr="009118AB">
        <w:rPr>
          <w:i/>
          <w:iCs/>
        </w:rPr>
        <w:t xml:space="preserve"> </w:t>
      </w:r>
      <w:r w:rsidR="00D67EB8" w:rsidRPr="009118AB">
        <w:rPr>
          <w:i/>
          <w:iCs/>
        </w:rPr>
        <w:t>Art. </w:t>
      </w:r>
      <w:r w:rsidR="005B2315" w:rsidRPr="009118AB">
        <w:rPr>
          <w:i/>
          <w:iCs/>
        </w:rPr>
        <w:t>7</w:t>
      </w:r>
      <w:r w:rsidR="005B2315" w:rsidRPr="009118AB">
        <w:rPr>
          <w:i/>
          <w:iCs/>
          <w:spacing w:val="-1"/>
        </w:rPr>
        <w:t xml:space="preserve"> des G. vom 19. Dezember 2014</w:t>
      </w:r>
      <w:r w:rsidR="00D27B17" w:rsidRPr="009118AB">
        <w:rPr>
          <w:i/>
          <w:iCs/>
          <w:spacing w:val="-1"/>
        </w:rPr>
        <w:t xml:space="preserve"> (B.S. vom 29. Dezember 2014)</w:t>
      </w:r>
      <w:r w:rsidR="00D67EB8" w:rsidRPr="009118AB">
        <w:rPr>
          <w:i/>
          <w:iCs/>
          <w:spacing w:val="-1"/>
        </w:rPr>
        <w:t> - </w:t>
      </w:r>
      <w:r w:rsidR="005B2315" w:rsidRPr="009118AB">
        <w:rPr>
          <w:i/>
          <w:iCs/>
          <w:spacing w:val="-1"/>
        </w:rPr>
        <w:t>anwendbar ab dem Steuerjahr 2015</w:t>
      </w:r>
      <w:r w:rsidR="00D67EB8" w:rsidRPr="009118AB">
        <w:rPr>
          <w:i/>
          <w:iCs/>
          <w:spacing w:val="-1"/>
        </w:rPr>
        <w:t> - </w:t>
      </w:r>
      <w:r w:rsidR="007C5F74" w:rsidRPr="009118AB">
        <w:rPr>
          <w:i/>
          <w:iCs/>
          <w:spacing w:val="-1"/>
        </w:rPr>
        <w:t xml:space="preserve">und </w:t>
      </w:r>
      <w:r w:rsidR="00D67EB8" w:rsidRPr="009118AB">
        <w:rPr>
          <w:i/>
          <w:iCs/>
          <w:spacing w:val="-1"/>
        </w:rPr>
        <w:t>Art. </w:t>
      </w:r>
      <w:r w:rsidR="007C5F74" w:rsidRPr="009118AB">
        <w:rPr>
          <w:i/>
          <w:iCs/>
          <w:spacing w:val="-1"/>
        </w:rPr>
        <w:t>89 Buchstabe g)</w:t>
      </w:r>
      <w:r w:rsidR="007C5F74" w:rsidRPr="009118AB">
        <w:rPr>
          <w:i/>
        </w:rPr>
        <w:t xml:space="preserve"> des G. vom 26. Dezember 2015 (II) (B.S. vom 30. Dezember 2015)</w:t>
      </w:r>
      <w:r w:rsidR="00D67EB8" w:rsidRPr="009118AB">
        <w:t> - </w:t>
      </w:r>
      <w:r w:rsidR="007C5F74" w:rsidRPr="009118AB">
        <w:rPr>
          <w:i/>
        </w:rPr>
        <w:t>anwendbar auf die ab dem 1. Januar 2016 erworbenen oder gebildeten Anlagen</w:t>
      </w:r>
      <w:r w:rsidR="003366D9" w:rsidRPr="009118AB">
        <w:rPr>
          <w:i/>
        </w:rPr>
        <w:t> -;</w:t>
      </w:r>
      <w:r w:rsidR="007C5F74" w:rsidRPr="009118AB">
        <w:rPr>
          <w:i/>
        </w:rPr>
        <w:t xml:space="preserve"> </w:t>
      </w:r>
      <w:r w:rsidR="00D67EB8" w:rsidRPr="009118AB">
        <w:rPr>
          <w:i/>
        </w:rPr>
        <w:t>§ </w:t>
      </w:r>
      <w:r w:rsidR="007C5F74" w:rsidRPr="009118AB">
        <w:rPr>
          <w:i/>
        </w:rPr>
        <w:t xml:space="preserve">2 eingefügt durch </w:t>
      </w:r>
      <w:r w:rsidR="00D67EB8" w:rsidRPr="009118AB">
        <w:rPr>
          <w:i/>
        </w:rPr>
        <w:t>Art. </w:t>
      </w:r>
      <w:r w:rsidR="007C5F74" w:rsidRPr="009118AB">
        <w:rPr>
          <w:i/>
        </w:rPr>
        <w:t>89 Buchstabe h) des G. vom 26. Dezember 2015 (II) (B.S. vom 30. Dezember 2015)</w:t>
      </w:r>
      <w:r w:rsidR="00D67EB8" w:rsidRPr="009118AB">
        <w:t> - </w:t>
      </w:r>
      <w:r w:rsidR="007C5F74" w:rsidRPr="009118AB">
        <w:rPr>
          <w:i/>
        </w:rPr>
        <w:t>anwendbar auf die ab dem 1. Januar 2016 erworbenen oder gebildeten Anlagen</w:t>
      </w:r>
      <w:r w:rsidR="00FD68E8" w:rsidRPr="009118AB">
        <w:rPr>
          <w:i/>
        </w:rPr>
        <w:t> -]</w:t>
      </w:r>
    </w:p>
    <w:p w14:paraId="6C2F5F05" w14:textId="77777777" w:rsidR="00A70886" w:rsidRDefault="00A70886" w:rsidP="00477B8F">
      <w:pPr>
        <w:autoSpaceDE w:val="0"/>
        <w:autoSpaceDN w:val="0"/>
        <w:adjustRightInd w:val="0"/>
        <w:jc w:val="both"/>
        <w:rPr>
          <w:iCs/>
        </w:rPr>
      </w:pPr>
    </w:p>
    <w:p w14:paraId="3FE1C230" w14:textId="77777777" w:rsidR="00A70886" w:rsidRDefault="00A70886" w:rsidP="00477B8F">
      <w:pPr>
        <w:autoSpaceDE w:val="0"/>
        <w:autoSpaceDN w:val="0"/>
        <w:adjustRightInd w:val="0"/>
        <w:jc w:val="both"/>
        <w:rPr>
          <w:iCs/>
        </w:rPr>
      </w:pPr>
    </w:p>
    <w:p w14:paraId="03E47A48" w14:textId="0FB7DA7F" w:rsidR="00A70886" w:rsidRDefault="00A70886" w:rsidP="00A70886">
      <w:pPr>
        <w:autoSpaceDE w:val="0"/>
        <w:autoSpaceDN w:val="0"/>
        <w:adjustRightInd w:val="0"/>
        <w:jc w:val="both"/>
        <w:rPr>
          <w:sz w:val="20"/>
          <w:szCs w:val="20"/>
        </w:rPr>
      </w:pPr>
      <w:r>
        <w:rPr>
          <w:sz w:val="20"/>
          <w:szCs w:val="20"/>
        </w:rPr>
        <w:t>Ab dem Steuerjahr 2026 (gemäß Art. 21 Abs. 2 des G. vom 12. Mai 2024 (B.S. vom 29. Mai 2024)) lautet Art. 201 wie folgt:</w:t>
      </w:r>
    </w:p>
    <w:p w14:paraId="6F33DF5D" w14:textId="77777777" w:rsidR="00A70886" w:rsidRDefault="00A70886" w:rsidP="00A70886">
      <w:pPr>
        <w:autoSpaceDE w:val="0"/>
        <w:autoSpaceDN w:val="0"/>
        <w:adjustRightInd w:val="0"/>
        <w:jc w:val="both"/>
        <w:rPr>
          <w:sz w:val="20"/>
          <w:szCs w:val="20"/>
        </w:rPr>
      </w:pPr>
    </w:p>
    <w:p w14:paraId="6CACA671" w14:textId="1C956FF3" w:rsidR="00A70886" w:rsidRPr="00A70886" w:rsidRDefault="00A70886" w:rsidP="00A70886">
      <w:pPr>
        <w:autoSpaceDE w:val="0"/>
        <w:autoSpaceDN w:val="0"/>
        <w:adjustRightInd w:val="0"/>
        <w:jc w:val="both"/>
        <w:rPr>
          <w:sz w:val="20"/>
          <w:szCs w:val="20"/>
        </w:rPr>
      </w:pPr>
      <w:r>
        <w:rPr>
          <w:sz w:val="20"/>
          <w:szCs w:val="20"/>
        </w:rPr>
        <w:t>"</w:t>
      </w:r>
      <w:r w:rsidRPr="00A70886">
        <w:rPr>
          <w:sz w:val="20"/>
          <w:szCs w:val="20"/>
        </w:rPr>
        <w:t>Art. 201 - [§ 1] - [[</w:t>
      </w:r>
      <w:r>
        <w:rPr>
          <w:sz w:val="20"/>
          <w:szCs w:val="20"/>
        </w:rPr>
        <w:t>[</w:t>
      </w:r>
      <w:r w:rsidRPr="00A70886">
        <w:rPr>
          <w:sz w:val="20"/>
          <w:szCs w:val="20"/>
        </w:rPr>
        <w:t>Der in Artikel 69 Absatz 1 Nr. 1 erwähnte Basisabzug des Investitionsabzugs beläuft sich auf:</w:t>
      </w:r>
      <w:r>
        <w:rPr>
          <w:sz w:val="20"/>
          <w:szCs w:val="20"/>
        </w:rPr>
        <w:t>]</w:t>
      </w:r>
    </w:p>
    <w:p w14:paraId="367A39F5" w14:textId="77777777" w:rsidR="00A70886" w:rsidRPr="00A70886" w:rsidRDefault="00A70886" w:rsidP="00A70886">
      <w:pPr>
        <w:autoSpaceDE w:val="0"/>
        <w:autoSpaceDN w:val="0"/>
        <w:adjustRightInd w:val="0"/>
        <w:jc w:val="both"/>
        <w:rPr>
          <w:sz w:val="20"/>
          <w:szCs w:val="20"/>
        </w:rPr>
      </w:pPr>
    </w:p>
    <w:p w14:paraId="0A0E3E0E" w14:textId="754F7B14" w:rsidR="00A70886" w:rsidRPr="00A70886" w:rsidRDefault="00A70886" w:rsidP="00A70886">
      <w:pPr>
        <w:autoSpaceDE w:val="0"/>
        <w:autoSpaceDN w:val="0"/>
        <w:adjustRightInd w:val="0"/>
        <w:jc w:val="both"/>
        <w:rPr>
          <w:sz w:val="20"/>
          <w:szCs w:val="20"/>
        </w:rPr>
      </w:pPr>
      <w:r w:rsidRPr="00A70886">
        <w:rPr>
          <w:sz w:val="20"/>
          <w:szCs w:val="20"/>
        </w:rPr>
        <w:t>1. </w:t>
      </w:r>
      <w:r>
        <w:rPr>
          <w:sz w:val="20"/>
          <w:szCs w:val="20"/>
        </w:rPr>
        <w:t>[</w:t>
      </w:r>
      <w:r w:rsidRPr="00A70886">
        <w:rPr>
          <w:sz w:val="20"/>
          <w:szCs w:val="20"/>
        </w:rPr>
        <w:t xml:space="preserve">für Anlagen, die von einer Gesellschaft erworben oder gebildet werden, die für das Steuerjahr, das sich auf den Besteuerungszeitraum bezieht, in dem diese Investitionen getätigt werden, als kleine Gesellschaft gilt, 10 Prozent des Anschaffungs- oder Investitionswertes der neuen Sachanlagen oder immateriellen Anlagen, sofern diese Anlagen in direktem Zusammenhang mit der bestehenden oder geplanten wirtschaftlichen Tätigkeit stehen, die </w:t>
      </w:r>
      <w:r w:rsidRPr="00A70886">
        <w:rPr>
          <w:sz w:val="20"/>
          <w:szCs w:val="20"/>
        </w:rPr>
        <w:lastRenderedPageBreak/>
        <w:t>von der Gesellschaft tatsächlich ausgeübt wird. Dieser Basisprozentsatz wird jedoch um 10 Prozentpunkte erhöht, wenn es sich um digitale Anlagen handelt,</w:t>
      </w:r>
      <w:r>
        <w:rPr>
          <w:sz w:val="20"/>
          <w:szCs w:val="20"/>
        </w:rPr>
        <w:t>]</w:t>
      </w:r>
    </w:p>
    <w:p w14:paraId="5F6F4E97" w14:textId="77777777" w:rsidR="00A70886" w:rsidRPr="00A70886" w:rsidRDefault="00A70886" w:rsidP="00A70886">
      <w:pPr>
        <w:autoSpaceDE w:val="0"/>
        <w:autoSpaceDN w:val="0"/>
        <w:adjustRightInd w:val="0"/>
        <w:jc w:val="both"/>
        <w:rPr>
          <w:sz w:val="20"/>
          <w:szCs w:val="20"/>
        </w:rPr>
      </w:pPr>
    </w:p>
    <w:p w14:paraId="4C26D6D7" w14:textId="26338CBF" w:rsidR="00A70886" w:rsidRPr="00A70886" w:rsidRDefault="00A70886" w:rsidP="00A70886">
      <w:pPr>
        <w:autoSpaceDE w:val="0"/>
        <w:autoSpaceDN w:val="0"/>
        <w:adjustRightInd w:val="0"/>
        <w:jc w:val="both"/>
        <w:rPr>
          <w:sz w:val="20"/>
          <w:szCs w:val="20"/>
        </w:rPr>
      </w:pPr>
      <w:r w:rsidRPr="00A70886">
        <w:rPr>
          <w:sz w:val="20"/>
          <w:szCs w:val="20"/>
        </w:rPr>
        <w:t>2. für Anlagen, die von einer Gesellschaft erworben oder gebildet werden, die nicht in Nr. 1 erwähnt ist, 0 Prozent.]</w:t>
      </w:r>
    </w:p>
    <w:p w14:paraId="090CC3BC" w14:textId="77777777" w:rsidR="00A70886" w:rsidRPr="00A70886" w:rsidRDefault="00A70886" w:rsidP="00A70886">
      <w:pPr>
        <w:autoSpaceDE w:val="0"/>
        <w:autoSpaceDN w:val="0"/>
        <w:adjustRightInd w:val="0"/>
        <w:jc w:val="both"/>
        <w:rPr>
          <w:sz w:val="20"/>
          <w:szCs w:val="20"/>
        </w:rPr>
      </w:pPr>
    </w:p>
    <w:p w14:paraId="49BDBDAA" w14:textId="77777777" w:rsidR="00A70886" w:rsidRPr="00A70886" w:rsidRDefault="00A70886" w:rsidP="00A70886">
      <w:pPr>
        <w:autoSpaceDE w:val="0"/>
        <w:autoSpaceDN w:val="0"/>
        <w:adjustRightInd w:val="0"/>
        <w:jc w:val="both"/>
        <w:rPr>
          <w:sz w:val="20"/>
          <w:szCs w:val="20"/>
        </w:rPr>
      </w:pPr>
      <w:r w:rsidRPr="00A70886">
        <w:rPr>
          <w:sz w:val="20"/>
          <w:szCs w:val="20"/>
        </w:rPr>
        <w:t>[...]</w:t>
      </w:r>
    </w:p>
    <w:p w14:paraId="0F220FB5" w14:textId="77777777" w:rsidR="00A70886" w:rsidRPr="00A70886" w:rsidRDefault="00A70886" w:rsidP="00A70886">
      <w:pPr>
        <w:autoSpaceDE w:val="0"/>
        <w:autoSpaceDN w:val="0"/>
        <w:adjustRightInd w:val="0"/>
        <w:jc w:val="both"/>
        <w:rPr>
          <w:sz w:val="20"/>
          <w:szCs w:val="20"/>
        </w:rPr>
      </w:pPr>
    </w:p>
    <w:p w14:paraId="28C14A47" w14:textId="77777777" w:rsidR="00A70886" w:rsidRPr="00A70886" w:rsidRDefault="00A70886" w:rsidP="00A70886">
      <w:pPr>
        <w:autoSpaceDE w:val="0"/>
        <w:autoSpaceDN w:val="0"/>
        <w:adjustRightInd w:val="0"/>
        <w:jc w:val="both"/>
        <w:rPr>
          <w:sz w:val="20"/>
          <w:szCs w:val="20"/>
        </w:rPr>
      </w:pPr>
      <w:r w:rsidRPr="00A70886">
        <w:rPr>
          <w:sz w:val="20"/>
          <w:szCs w:val="20"/>
        </w:rPr>
        <w:t>[...]</w:t>
      </w:r>
    </w:p>
    <w:p w14:paraId="1A4B5020" w14:textId="77777777" w:rsidR="00A70886" w:rsidRPr="00A70886" w:rsidRDefault="00A70886" w:rsidP="00A70886">
      <w:pPr>
        <w:autoSpaceDE w:val="0"/>
        <w:autoSpaceDN w:val="0"/>
        <w:adjustRightInd w:val="0"/>
        <w:jc w:val="both"/>
        <w:rPr>
          <w:sz w:val="20"/>
          <w:szCs w:val="20"/>
        </w:rPr>
      </w:pPr>
    </w:p>
    <w:p w14:paraId="564D964B" w14:textId="77777777" w:rsidR="00A70886" w:rsidRPr="00A70886" w:rsidRDefault="00A70886" w:rsidP="00A70886">
      <w:pPr>
        <w:autoSpaceDE w:val="0"/>
        <w:autoSpaceDN w:val="0"/>
        <w:adjustRightInd w:val="0"/>
        <w:jc w:val="both"/>
        <w:rPr>
          <w:sz w:val="20"/>
          <w:szCs w:val="20"/>
        </w:rPr>
      </w:pPr>
      <w:r w:rsidRPr="00A70886">
        <w:rPr>
          <w:sz w:val="20"/>
          <w:szCs w:val="20"/>
        </w:rPr>
        <w:t>[Der in [Absatz 1] erwähnte Abzug wird immer in einem Mal angewandt.]</w:t>
      </w:r>
    </w:p>
    <w:p w14:paraId="798B9DB3" w14:textId="77777777" w:rsidR="00A70886" w:rsidRPr="00A70886" w:rsidRDefault="00A70886" w:rsidP="00A70886">
      <w:pPr>
        <w:autoSpaceDE w:val="0"/>
        <w:autoSpaceDN w:val="0"/>
        <w:adjustRightInd w:val="0"/>
        <w:jc w:val="both"/>
        <w:rPr>
          <w:sz w:val="20"/>
          <w:szCs w:val="20"/>
        </w:rPr>
      </w:pPr>
    </w:p>
    <w:p w14:paraId="7C2DCFCA" w14:textId="16A74B7A" w:rsidR="00A70886" w:rsidRPr="00A70886" w:rsidRDefault="00A70886" w:rsidP="00A70886">
      <w:pPr>
        <w:autoSpaceDE w:val="0"/>
        <w:autoSpaceDN w:val="0"/>
        <w:adjustRightInd w:val="0"/>
        <w:jc w:val="both"/>
        <w:rPr>
          <w:sz w:val="20"/>
          <w:szCs w:val="20"/>
        </w:rPr>
      </w:pPr>
      <w:r w:rsidRPr="00A70886">
        <w:rPr>
          <w:sz w:val="20"/>
          <w:szCs w:val="20"/>
        </w:rPr>
        <w:t>[In Bezug auf den in [Absatz 1] erwähnten Investitionsabzug ist die in Artikel 72 erwähnte Übertragung der bei nicht vorhandenen oder unzureichenden Gewinnen nicht gewährten Steuerbefreiung nur für den folgenden Besteuerungszeitraum [</w:t>
      </w:r>
      <w:r w:rsidR="00BC7566">
        <w:rPr>
          <w:sz w:val="20"/>
          <w:szCs w:val="20"/>
        </w:rPr>
        <w:t>…</w:t>
      </w:r>
      <w:r w:rsidRPr="00A70886">
        <w:rPr>
          <w:sz w:val="20"/>
          <w:szCs w:val="20"/>
        </w:rPr>
        <w:t>] möglich.]</w:t>
      </w:r>
    </w:p>
    <w:p w14:paraId="04896AA7" w14:textId="77777777" w:rsidR="00A70886" w:rsidRPr="00A70886" w:rsidRDefault="00A70886" w:rsidP="00A70886">
      <w:pPr>
        <w:autoSpaceDE w:val="0"/>
        <w:autoSpaceDN w:val="0"/>
        <w:adjustRightInd w:val="0"/>
        <w:jc w:val="both"/>
        <w:rPr>
          <w:sz w:val="20"/>
          <w:szCs w:val="20"/>
        </w:rPr>
      </w:pPr>
    </w:p>
    <w:p w14:paraId="26CD3C4C" w14:textId="22AB3AC7" w:rsidR="00A70886" w:rsidRPr="00A70886" w:rsidRDefault="00A70886" w:rsidP="00A70886">
      <w:pPr>
        <w:autoSpaceDE w:val="0"/>
        <w:autoSpaceDN w:val="0"/>
        <w:adjustRightInd w:val="0"/>
        <w:jc w:val="both"/>
        <w:rPr>
          <w:sz w:val="20"/>
          <w:szCs w:val="20"/>
        </w:rPr>
      </w:pPr>
      <w:r w:rsidRPr="00A70886">
        <w:rPr>
          <w:sz w:val="20"/>
          <w:szCs w:val="20"/>
        </w:rPr>
        <w:t>[...]</w:t>
      </w:r>
    </w:p>
    <w:p w14:paraId="2A8EE8DB" w14:textId="77777777" w:rsidR="00A70886" w:rsidRPr="00A70886" w:rsidRDefault="00A70886" w:rsidP="00A70886">
      <w:pPr>
        <w:autoSpaceDE w:val="0"/>
        <w:autoSpaceDN w:val="0"/>
        <w:adjustRightInd w:val="0"/>
        <w:jc w:val="both"/>
        <w:rPr>
          <w:sz w:val="20"/>
          <w:szCs w:val="20"/>
        </w:rPr>
      </w:pPr>
    </w:p>
    <w:p w14:paraId="4787EAB5" w14:textId="65F02174" w:rsidR="00A70886" w:rsidRPr="00A70886" w:rsidRDefault="00A70886" w:rsidP="00A70886">
      <w:pPr>
        <w:autoSpaceDE w:val="0"/>
        <w:autoSpaceDN w:val="0"/>
        <w:adjustRightInd w:val="0"/>
        <w:jc w:val="both"/>
        <w:rPr>
          <w:sz w:val="20"/>
          <w:szCs w:val="20"/>
        </w:rPr>
      </w:pPr>
      <w:r w:rsidRPr="00A70886">
        <w:rPr>
          <w:sz w:val="20"/>
          <w:szCs w:val="20"/>
        </w:rPr>
        <w:t>[...]</w:t>
      </w:r>
    </w:p>
    <w:p w14:paraId="4443F0BA" w14:textId="77777777" w:rsidR="00A70886" w:rsidRDefault="00A70886" w:rsidP="00A70886">
      <w:pPr>
        <w:autoSpaceDE w:val="0"/>
        <w:autoSpaceDN w:val="0"/>
        <w:adjustRightInd w:val="0"/>
        <w:jc w:val="both"/>
        <w:rPr>
          <w:sz w:val="20"/>
          <w:szCs w:val="20"/>
        </w:rPr>
      </w:pPr>
    </w:p>
    <w:p w14:paraId="080FB0B5" w14:textId="77777777" w:rsidR="00A65ECB" w:rsidRPr="00A70886" w:rsidRDefault="00A65ECB" w:rsidP="00A65ECB">
      <w:pPr>
        <w:autoSpaceDE w:val="0"/>
        <w:autoSpaceDN w:val="0"/>
        <w:adjustRightInd w:val="0"/>
        <w:jc w:val="both"/>
        <w:rPr>
          <w:sz w:val="20"/>
          <w:szCs w:val="20"/>
        </w:rPr>
      </w:pPr>
      <w:r w:rsidRPr="00A70886">
        <w:rPr>
          <w:sz w:val="20"/>
          <w:szCs w:val="20"/>
        </w:rPr>
        <w:t>[...]</w:t>
      </w:r>
    </w:p>
    <w:p w14:paraId="7E933C8D" w14:textId="77777777" w:rsidR="00A65ECB" w:rsidRDefault="00A65ECB" w:rsidP="00A65ECB">
      <w:pPr>
        <w:autoSpaceDE w:val="0"/>
        <w:autoSpaceDN w:val="0"/>
        <w:adjustRightInd w:val="0"/>
        <w:jc w:val="both"/>
        <w:rPr>
          <w:sz w:val="20"/>
          <w:szCs w:val="20"/>
        </w:rPr>
      </w:pPr>
    </w:p>
    <w:p w14:paraId="6FD7166C" w14:textId="412D3691" w:rsidR="00A65ECB" w:rsidRPr="00A70886" w:rsidRDefault="00A65ECB" w:rsidP="00A65ECB">
      <w:pPr>
        <w:autoSpaceDE w:val="0"/>
        <w:autoSpaceDN w:val="0"/>
        <w:adjustRightInd w:val="0"/>
        <w:jc w:val="both"/>
        <w:rPr>
          <w:sz w:val="20"/>
          <w:szCs w:val="20"/>
        </w:rPr>
      </w:pPr>
      <w:r w:rsidRPr="00A70886">
        <w:rPr>
          <w:sz w:val="20"/>
          <w:szCs w:val="20"/>
        </w:rPr>
        <w:t>[...]</w:t>
      </w:r>
    </w:p>
    <w:p w14:paraId="1C230F53" w14:textId="77777777" w:rsidR="00A65ECB" w:rsidRPr="00A70886" w:rsidRDefault="00A65ECB" w:rsidP="00A70886">
      <w:pPr>
        <w:autoSpaceDE w:val="0"/>
        <w:autoSpaceDN w:val="0"/>
        <w:adjustRightInd w:val="0"/>
        <w:jc w:val="both"/>
        <w:rPr>
          <w:sz w:val="20"/>
          <w:szCs w:val="20"/>
        </w:rPr>
      </w:pPr>
    </w:p>
    <w:p w14:paraId="14739B4B" w14:textId="18497772" w:rsidR="00A70886" w:rsidRPr="00A70886" w:rsidRDefault="00BC7566" w:rsidP="00BC7566">
      <w:pPr>
        <w:autoSpaceDE w:val="0"/>
        <w:autoSpaceDN w:val="0"/>
        <w:adjustRightInd w:val="0"/>
        <w:jc w:val="both"/>
        <w:rPr>
          <w:sz w:val="20"/>
          <w:szCs w:val="20"/>
        </w:rPr>
      </w:pPr>
      <w:r>
        <w:rPr>
          <w:sz w:val="20"/>
          <w:szCs w:val="20"/>
        </w:rPr>
        <w:t>[..</w:t>
      </w:r>
      <w:r w:rsidR="00A70886" w:rsidRPr="00A70886">
        <w:rPr>
          <w:sz w:val="20"/>
          <w:szCs w:val="20"/>
        </w:rPr>
        <w:t>.]</w:t>
      </w:r>
    </w:p>
    <w:p w14:paraId="321943C5" w14:textId="77777777" w:rsidR="00A70886" w:rsidRPr="00A70886" w:rsidRDefault="00A70886" w:rsidP="00A70886">
      <w:pPr>
        <w:autoSpaceDE w:val="0"/>
        <w:autoSpaceDN w:val="0"/>
        <w:adjustRightInd w:val="0"/>
        <w:jc w:val="both"/>
        <w:rPr>
          <w:sz w:val="20"/>
          <w:szCs w:val="20"/>
        </w:rPr>
      </w:pPr>
    </w:p>
    <w:p w14:paraId="0E49A6E6" w14:textId="5CEAB0B9" w:rsidR="00A70886" w:rsidRPr="00A70886" w:rsidRDefault="00A70886" w:rsidP="00A70886">
      <w:pPr>
        <w:autoSpaceDE w:val="0"/>
        <w:autoSpaceDN w:val="0"/>
        <w:adjustRightInd w:val="0"/>
        <w:jc w:val="both"/>
        <w:rPr>
          <w:sz w:val="20"/>
          <w:szCs w:val="20"/>
        </w:rPr>
      </w:pPr>
      <w:r w:rsidRPr="00A70886">
        <w:rPr>
          <w:sz w:val="20"/>
          <w:szCs w:val="20"/>
        </w:rPr>
        <w:t>[Steuerpflichtige, die unwiderruflich für die in Artikel 289</w:t>
      </w:r>
      <w:r w:rsidRPr="00A70886">
        <w:rPr>
          <w:i/>
          <w:iCs/>
          <w:sz w:val="20"/>
          <w:szCs w:val="20"/>
        </w:rPr>
        <w:t>quater</w:t>
      </w:r>
      <w:r w:rsidRPr="00A70886">
        <w:rPr>
          <w:sz w:val="20"/>
          <w:szCs w:val="20"/>
        </w:rPr>
        <w:t xml:space="preserve"> erwähnte Steuergutschrift für Forschung und Entwicklung optiert haben, können den </w:t>
      </w:r>
      <w:r w:rsidR="00BC7566">
        <w:rPr>
          <w:sz w:val="20"/>
          <w:szCs w:val="20"/>
        </w:rPr>
        <w:t>[</w:t>
      </w:r>
      <w:r w:rsidR="00BC7566" w:rsidRPr="00BC7566">
        <w:rPr>
          <w:sz w:val="20"/>
          <w:szCs w:val="20"/>
        </w:rPr>
        <w:t>in den Artikeln 69 Absatz 1 Nr. 2 und 3 und 70</w:t>
      </w:r>
      <w:r w:rsidRPr="00A70886">
        <w:rPr>
          <w:sz w:val="20"/>
          <w:szCs w:val="20"/>
        </w:rPr>
        <w:t>] erwähnten Investitionsabzug nicht mehr erhalten und für diese Steuerpflichtigen werden die in Artikel 72 Absatz 2 vorgesehenen Beträge von 620.000 EUR und 2.480.000 EUR auf 310.000 EUR beziehungsweise 1.240.000 EUR festgelegt.] [Diese Beträge werden jährlich an den Verbraucherpreisindex des Königreichs angepasst, und zwar [mit dem in Artikel 178 § 3 Absatz 1 Nr. 2 festgelegten Koeffizienten].]</w:t>
      </w:r>
    </w:p>
    <w:p w14:paraId="3A948039" w14:textId="77777777" w:rsidR="00A70886" w:rsidRPr="00A70886" w:rsidRDefault="00A70886" w:rsidP="00A70886">
      <w:pPr>
        <w:autoSpaceDE w:val="0"/>
        <w:autoSpaceDN w:val="0"/>
        <w:adjustRightInd w:val="0"/>
        <w:jc w:val="both"/>
        <w:rPr>
          <w:sz w:val="20"/>
          <w:szCs w:val="20"/>
        </w:rPr>
      </w:pPr>
    </w:p>
    <w:p w14:paraId="01C16253" w14:textId="0C83D643" w:rsidR="00A70886" w:rsidRPr="00A70886" w:rsidRDefault="00A70886" w:rsidP="00BC7566">
      <w:pPr>
        <w:autoSpaceDE w:val="0"/>
        <w:autoSpaceDN w:val="0"/>
        <w:adjustRightInd w:val="0"/>
        <w:jc w:val="both"/>
        <w:rPr>
          <w:sz w:val="20"/>
          <w:szCs w:val="20"/>
        </w:rPr>
      </w:pPr>
      <w:r w:rsidRPr="00A70886">
        <w:rPr>
          <w:sz w:val="20"/>
          <w:szCs w:val="20"/>
        </w:rPr>
        <w:t>[§ 2 - </w:t>
      </w:r>
      <w:r w:rsidR="00BC7566">
        <w:rPr>
          <w:sz w:val="20"/>
          <w:szCs w:val="20"/>
        </w:rPr>
        <w:t>[</w:t>
      </w:r>
      <w:r w:rsidR="00BC7566" w:rsidRPr="00BC7566">
        <w:rPr>
          <w:sz w:val="20"/>
          <w:szCs w:val="20"/>
        </w:rPr>
        <w:t>Für Gesellschaften, die für das Steuerjahr, das sich auf den Besteuerungszeitraum bezieht, in dem diese Investitionen getätigt werden, nicht als kleine Gesellschaften gelten, beträgt der Prozentsatz des in Artikel 69 Absatz 1 Nr. 2 erwähnten erhöhten thematischen Abzugs 30 Prozent.</w:t>
      </w:r>
      <w:r w:rsidR="00BC7566">
        <w:rPr>
          <w:sz w:val="20"/>
          <w:szCs w:val="20"/>
        </w:rPr>
        <w:t>]</w:t>
      </w:r>
      <w:r w:rsidRPr="00A70886">
        <w:rPr>
          <w:sz w:val="20"/>
          <w:szCs w:val="20"/>
        </w:rPr>
        <w:t>]</w:t>
      </w:r>
    </w:p>
    <w:p w14:paraId="72E5B90E" w14:textId="77777777" w:rsidR="00A70886" w:rsidRPr="00A70886" w:rsidRDefault="00A70886" w:rsidP="00A70886">
      <w:pPr>
        <w:autoSpaceDE w:val="0"/>
        <w:autoSpaceDN w:val="0"/>
        <w:adjustRightInd w:val="0"/>
        <w:jc w:val="both"/>
        <w:rPr>
          <w:sz w:val="20"/>
          <w:szCs w:val="20"/>
        </w:rPr>
      </w:pPr>
    </w:p>
    <w:p w14:paraId="7E62BC1E" w14:textId="66D0C861" w:rsidR="00A70886" w:rsidRPr="00A70886" w:rsidRDefault="00A70886" w:rsidP="00A70886">
      <w:pPr>
        <w:autoSpaceDE w:val="0"/>
        <w:autoSpaceDN w:val="0"/>
        <w:adjustRightInd w:val="0"/>
        <w:jc w:val="both"/>
        <w:rPr>
          <w:iCs/>
        </w:rPr>
      </w:pPr>
      <w:r w:rsidRPr="00A70886">
        <w:rPr>
          <w:i/>
          <w:iCs/>
          <w:sz w:val="20"/>
          <w:szCs w:val="20"/>
        </w:rPr>
        <w:t>[Art. 201 § 1 nummeriert durch Art. 89 Buchstabe a)</w:t>
      </w:r>
      <w:r w:rsidRPr="00A70886">
        <w:rPr>
          <w:i/>
          <w:sz w:val="20"/>
          <w:szCs w:val="20"/>
        </w:rPr>
        <w:t xml:space="preserve"> des G. vom 26. Dezember 2015 (II) (B.S. vom 30. Dezember 2015)</w:t>
      </w:r>
      <w:r w:rsidRPr="00A70886">
        <w:rPr>
          <w:sz w:val="20"/>
          <w:szCs w:val="20"/>
        </w:rPr>
        <w:t> - </w:t>
      </w:r>
      <w:r w:rsidRPr="00A70886">
        <w:rPr>
          <w:i/>
          <w:sz w:val="20"/>
          <w:szCs w:val="20"/>
        </w:rPr>
        <w:t xml:space="preserve">anwendbar auf die ab dem 1. Januar 2016 erworbenen oder gebildeten Anlagen - und </w:t>
      </w:r>
      <w:r w:rsidRPr="00A70886">
        <w:rPr>
          <w:i/>
          <w:iCs/>
          <w:sz w:val="20"/>
          <w:szCs w:val="20"/>
        </w:rPr>
        <w:t>ersetzt durch Art. 18 des G. vom 28. Juli 1992 (B.S. vom 31. Juli 1992) - in Kraft ab dem 10. August 1992 mit Ausnahme von § 1 Abs. 1 Nr. 1 und § 1 Abs. 4 (in Kraft ab dem Steuerjahr 1993, insofern die Anlagen ab dem 1. Januar 1992 erworben oder gebildet werden) und § 1 Abs. 1 Nr. 2 und § 1 Abs. 2 und 3 (anwendbar auf die Anlagen, die ab dem 27. März 1992 erworben oder gebildet werden) -; § 1 Abs. 1 ersetzt durch Art. 89 Buchstabe b)</w:t>
      </w:r>
      <w:r w:rsidRPr="00A70886">
        <w:rPr>
          <w:i/>
          <w:sz w:val="20"/>
          <w:szCs w:val="20"/>
        </w:rPr>
        <w:t xml:space="preserve"> des G. vom 26. Dezember 2015 (II) (B.S. vom 30. Dezember 2015)</w:t>
      </w:r>
      <w:r w:rsidRPr="00A70886">
        <w:rPr>
          <w:sz w:val="20"/>
          <w:szCs w:val="20"/>
        </w:rPr>
        <w:t> - </w:t>
      </w:r>
      <w:r w:rsidRPr="00A70886">
        <w:rPr>
          <w:i/>
          <w:sz w:val="20"/>
          <w:szCs w:val="20"/>
        </w:rPr>
        <w:t>anwendbar auf die ab dem 1. Januar 2016 erworbenen oder gebildeten Anlagen -;</w:t>
      </w:r>
      <w:r w:rsidRPr="00A70886">
        <w:rPr>
          <w:i/>
          <w:iCs/>
          <w:sz w:val="20"/>
          <w:szCs w:val="20"/>
        </w:rPr>
        <w:t xml:space="preserve"> </w:t>
      </w:r>
      <w:r w:rsidR="00BC7566">
        <w:rPr>
          <w:i/>
          <w:iCs/>
          <w:sz w:val="20"/>
          <w:szCs w:val="20"/>
        </w:rPr>
        <w:t>§ 1 Abs. 1 einleitende Bestimmung ersetzt durch Art.</w:t>
      </w:r>
      <w:r w:rsidR="00382EE3">
        <w:rPr>
          <w:i/>
          <w:iCs/>
          <w:sz w:val="20"/>
          <w:szCs w:val="20"/>
        </w:rPr>
        <w:t> </w:t>
      </w:r>
      <w:r w:rsidR="00BC7566">
        <w:rPr>
          <w:i/>
          <w:iCs/>
          <w:sz w:val="20"/>
          <w:szCs w:val="20"/>
        </w:rPr>
        <w:t>13 Nr. 1</w:t>
      </w:r>
      <w:r w:rsidR="00BC7566" w:rsidRPr="00BC7566">
        <w:rPr>
          <w:i/>
          <w:iCs/>
          <w:sz w:val="20"/>
          <w:szCs w:val="20"/>
        </w:rPr>
        <w:t xml:space="preserve"> des G. vom 12. Mai 2024 (B.S. vom 29. Mai 2024) - anwendbar auf die ab dem 1. Januar 2025 erworbenen oder gebildeten Anlagen -</w:t>
      </w:r>
      <w:r w:rsidR="00BC7566">
        <w:rPr>
          <w:i/>
          <w:iCs/>
          <w:sz w:val="20"/>
          <w:szCs w:val="20"/>
        </w:rPr>
        <w:t xml:space="preserve">: </w:t>
      </w:r>
      <w:r w:rsidRPr="00A70886">
        <w:rPr>
          <w:i/>
          <w:iCs/>
          <w:sz w:val="20"/>
          <w:szCs w:val="20"/>
        </w:rPr>
        <w:t>§ 1 Abs. 1 Nr. 1</w:t>
      </w:r>
      <w:r w:rsidR="00BC7566">
        <w:rPr>
          <w:i/>
          <w:iCs/>
          <w:sz w:val="20"/>
          <w:szCs w:val="20"/>
        </w:rPr>
        <w:t xml:space="preserve"> ersetzt durch Art.</w:t>
      </w:r>
      <w:r w:rsidR="00382EE3">
        <w:rPr>
          <w:i/>
          <w:iCs/>
          <w:sz w:val="20"/>
          <w:szCs w:val="20"/>
        </w:rPr>
        <w:t> </w:t>
      </w:r>
      <w:r w:rsidR="00BC7566">
        <w:rPr>
          <w:i/>
          <w:iCs/>
          <w:sz w:val="20"/>
          <w:szCs w:val="20"/>
        </w:rPr>
        <w:t>13 Nr. </w:t>
      </w:r>
      <w:r w:rsidR="00382EE3">
        <w:rPr>
          <w:i/>
          <w:iCs/>
          <w:sz w:val="20"/>
          <w:szCs w:val="20"/>
        </w:rPr>
        <w:t>2</w:t>
      </w:r>
      <w:r w:rsidR="00BC7566" w:rsidRPr="00BC7566">
        <w:rPr>
          <w:i/>
          <w:iCs/>
          <w:sz w:val="20"/>
          <w:szCs w:val="20"/>
        </w:rPr>
        <w:t xml:space="preserve"> des G. vom 12. Mai 2024 (B.S. vom 29. Mai 2024) - anwendbar auf die ab dem 1. Januar 2025 erworbenen oder gebildeten Anlagen -</w:t>
      </w:r>
      <w:r w:rsidRPr="00A70886">
        <w:rPr>
          <w:i/>
          <w:sz w:val="20"/>
          <w:szCs w:val="20"/>
        </w:rPr>
        <w:t>;</w:t>
      </w:r>
      <w:r w:rsidRPr="00A70886">
        <w:rPr>
          <w:i/>
          <w:iCs/>
          <w:sz w:val="20"/>
          <w:szCs w:val="20"/>
        </w:rPr>
        <w:t xml:space="preserve"> § 1 früherer Absatz 2 aufgehoben durch Art. 89 Buchstabe b)</w:t>
      </w:r>
      <w:r w:rsidRPr="00A70886">
        <w:rPr>
          <w:i/>
          <w:sz w:val="20"/>
          <w:szCs w:val="20"/>
        </w:rPr>
        <w:t xml:space="preserve"> des G. vom 26. Dezember 2015 (II) (B.S. vom 30. Dezember 2015)</w:t>
      </w:r>
      <w:r w:rsidRPr="00A70886">
        <w:rPr>
          <w:sz w:val="20"/>
          <w:szCs w:val="20"/>
        </w:rPr>
        <w:t> - </w:t>
      </w:r>
      <w:r w:rsidRPr="00A70886">
        <w:rPr>
          <w:i/>
          <w:sz w:val="20"/>
          <w:szCs w:val="20"/>
        </w:rPr>
        <w:t>anwendbar auf die ab dem 1. Januar 2016 erworbenen oder gebildeten Anlagen -;</w:t>
      </w:r>
      <w:r w:rsidRPr="00A70886">
        <w:rPr>
          <w:i/>
          <w:iCs/>
          <w:sz w:val="20"/>
          <w:szCs w:val="20"/>
        </w:rPr>
        <w:t xml:space="preserve"> § 1 </w:t>
      </w:r>
      <w:r w:rsidR="00A65ECB">
        <w:rPr>
          <w:i/>
          <w:iCs/>
          <w:sz w:val="20"/>
          <w:szCs w:val="20"/>
        </w:rPr>
        <w:t>früher</w:t>
      </w:r>
      <w:r w:rsidRPr="00A70886">
        <w:rPr>
          <w:i/>
          <w:iCs/>
          <w:sz w:val="20"/>
          <w:szCs w:val="20"/>
        </w:rPr>
        <w:t>e Absätze </w:t>
      </w:r>
      <w:r w:rsidR="00A65ECB">
        <w:rPr>
          <w:i/>
          <w:iCs/>
          <w:sz w:val="20"/>
          <w:szCs w:val="20"/>
        </w:rPr>
        <w:t>3</w:t>
      </w:r>
      <w:r w:rsidRPr="00A70886">
        <w:rPr>
          <w:i/>
          <w:iCs/>
          <w:sz w:val="20"/>
          <w:szCs w:val="20"/>
        </w:rPr>
        <w:t xml:space="preserve"> und </w:t>
      </w:r>
      <w:r w:rsidR="00A65ECB">
        <w:rPr>
          <w:i/>
          <w:iCs/>
          <w:sz w:val="20"/>
          <w:szCs w:val="20"/>
        </w:rPr>
        <w:t>4</w:t>
      </w:r>
      <w:r w:rsidRPr="00A70886">
        <w:rPr>
          <w:i/>
          <w:iCs/>
          <w:sz w:val="20"/>
          <w:szCs w:val="20"/>
        </w:rPr>
        <w:t xml:space="preserve"> eingefügt durch Art. 51 des G. (I) vom 26. Dezember 2013 (II) (B.S. vom 31. Dezember 2013) - in Kraft ab dem 1. Januar 2014 - und aufgehoben durch Art. 116</w:t>
      </w:r>
      <w:r w:rsidRPr="00A70886">
        <w:rPr>
          <w:bCs/>
          <w:i/>
          <w:iCs/>
          <w:sz w:val="20"/>
          <w:szCs w:val="20"/>
        </w:rPr>
        <w:t xml:space="preserve"> des G. vom 26. Dezember 2022 (I) (B.S. vom 30. Dezember 2022) - anwendbar auf die Besteuerungszeiträume, die ab dem 31. Dezember 2023 enden -</w:t>
      </w:r>
      <w:r w:rsidRPr="00A70886">
        <w:rPr>
          <w:i/>
          <w:iCs/>
          <w:sz w:val="20"/>
          <w:szCs w:val="20"/>
        </w:rPr>
        <w:t>; § 1 neuer Absatz </w:t>
      </w:r>
      <w:r w:rsidR="00BC7566">
        <w:rPr>
          <w:i/>
          <w:iCs/>
          <w:sz w:val="20"/>
          <w:szCs w:val="20"/>
        </w:rPr>
        <w:t>2</w:t>
      </w:r>
      <w:r w:rsidRPr="00A70886">
        <w:rPr>
          <w:i/>
          <w:iCs/>
          <w:sz w:val="20"/>
          <w:szCs w:val="20"/>
        </w:rPr>
        <w:t xml:space="preserve"> eingefügt durch Art. 51 des G. (I) vom 26. Dezember 2013 (II) (B.S. vom 31. Dezember 2013) - in </w:t>
      </w:r>
      <w:r w:rsidRPr="00BC7566">
        <w:rPr>
          <w:i/>
          <w:iCs/>
          <w:spacing w:val="-2"/>
          <w:sz w:val="20"/>
          <w:szCs w:val="20"/>
        </w:rPr>
        <w:t>Kraft ab dem 1. Januar 2014 - und abgeändert durch Art. 89 Buchstabe c)</w:t>
      </w:r>
      <w:r w:rsidRPr="00BC7566">
        <w:rPr>
          <w:i/>
          <w:spacing w:val="-2"/>
          <w:sz w:val="20"/>
          <w:szCs w:val="20"/>
        </w:rPr>
        <w:t xml:space="preserve"> des G. vom 26. Dezember 2015 (II) (B.S. vom 30. Dezember 2015)</w:t>
      </w:r>
      <w:r w:rsidRPr="00BC7566">
        <w:rPr>
          <w:spacing w:val="-2"/>
          <w:sz w:val="20"/>
          <w:szCs w:val="20"/>
        </w:rPr>
        <w:t> - </w:t>
      </w:r>
      <w:r w:rsidRPr="00BC7566">
        <w:rPr>
          <w:i/>
          <w:spacing w:val="-2"/>
          <w:sz w:val="20"/>
          <w:szCs w:val="20"/>
        </w:rPr>
        <w:t>anwendbar auf die ab dem 1. Januar 2016 erworbenen oder gebildeten Anlagen -;</w:t>
      </w:r>
      <w:r w:rsidRPr="00BC7566">
        <w:rPr>
          <w:i/>
          <w:iCs/>
          <w:spacing w:val="-2"/>
          <w:sz w:val="20"/>
          <w:szCs w:val="20"/>
        </w:rPr>
        <w:t xml:space="preserve"> </w:t>
      </w:r>
      <w:r w:rsidRPr="00A70886">
        <w:rPr>
          <w:i/>
          <w:iCs/>
          <w:sz w:val="20"/>
          <w:szCs w:val="20"/>
        </w:rPr>
        <w:t>§ 1 Abs</w:t>
      </w:r>
      <w:r w:rsidR="00BC7566">
        <w:rPr>
          <w:i/>
          <w:iCs/>
          <w:sz w:val="20"/>
          <w:szCs w:val="20"/>
        </w:rPr>
        <w:t>. 3</w:t>
      </w:r>
      <w:r w:rsidRPr="00A70886">
        <w:rPr>
          <w:i/>
          <w:iCs/>
          <w:sz w:val="20"/>
          <w:szCs w:val="20"/>
        </w:rPr>
        <w:t xml:space="preserve"> eingefügt durch Art. 51 des G. (I) vom 26. Dezember 2013 (II) (B.S. vom 31. Dezember 2013) - in Kraft ab dem 1. Januar 2014 - und abgeändert durch Art. 89 Buchstabe c)</w:t>
      </w:r>
      <w:r w:rsidRPr="00A70886">
        <w:rPr>
          <w:i/>
          <w:sz w:val="20"/>
          <w:szCs w:val="20"/>
        </w:rPr>
        <w:t xml:space="preserve"> des G. vom 26. Dezember 2015 (II) (B.S. vom 30. Dezember 2015)</w:t>
      </w:r>
      <w:r w:rsidRPr="00A70886">
        <w:rPr>
          <w:sz w:val="20"/>
          <w:szCs w:val="20"/>
        </w:rPr>
        <w:t> - </w:t>
      </w:r>
      <w:r w:rsidRPr="00A70886">
        <w:rPr>
          <w:i/>
          <w:sz w:val="20"/>
          <w:szCs w:val="20"/>
        </w:rPr>
        <w:t>anwendbar auf die ab dem 1. Januar 2016 erworbenen oder gebildeten Anlagen -, Art. 12 Nr. 2 des G. vom 15. Juli 2020 (B.S. vom 23. Juli 2020) - in Kraft am 23. Juli 2020 -</w:t>
      </w:r>
      <w:r w:rsidR="00BC7566">
        <w:rPr>
          <w:i/>
          <w:sz w:val="20"/>
          <w:szCs w:val="20"/>
        </w:rPr>
        <w:t>,</w:t>
      </w:r>
      <w:r w:rsidRPr="00A70886">
        <w:rPr>
          <w:i/>
          <w:sz w:val="20"/>
          <w:szCs w:val="20"/>
        </w:rPr>
        <w:t xml:space="preserve"> Art. 5 Nr. 2 des G. vom 20. Dezember 2020 (I) (B.S. vom 30. Dezember 2020) - in Kraft am </w:t>
      </w:r>
      <w:r w:rsidRPr="00A70886">
        <w:rPr>
          <w:i/>
          <w:sz w:val="20"/>
          <w:szCs w:val="20"/>
        </w:rPr>
        <w:lastRenderedPageBreak/>
        <w:t>1. Januar 2021 -</w:t>
      </w:r>
      <w:r w:rsidR="00BC7566">
        <w:rPr>
          <w:i/>
          <w:sz w:val="20"/>
          <w:szCs w:val="20"/>
        </w:rPr>
        <w:t xml:space="preserve"> und Art. 13 Nr. 3</w:t>
      </w:r>
      <w:r w:rsidR="00BC7566" w:rsidRPr="00BC7566">
        <w:rPr>
          <w:i/>
          <w:iCs/>
          <w:sz w:val="20"/>
          <w:szCs w:val="20"/>
        </w:rPr>
        <w:t xml:space="preserve"> des G. vom </w:t>
      </w:r>
      <w:r w:rsidR="00BC7566" w:rsidRPr="00BC7566">
        <w:rPr>
          <w:i/>
          <w:iCs/>
          <w:spacing w:val="2"/>
          <w:sz w:val="20"/>
          <w:szCs w:val="20"/>
        </w:rPr>
        <w:t>12. Mai 2024 (B.S. vom 29. Mai 2024) - anwendbar auf die ab dem 1. Januar 2025 erworbenen oder gebildeten Anlagen -</w:t>
      </w:r>
      <w:r w:rsidRPr="00BC7566">
        <w:rPr>
          <w:i/>
          <w:spacing w:val="2"/>
          <w:sz w:val="20"/>
          <w:szCs w:val="20"/>
        </w:rPr>
        <w:t>;</w:t>
      </w:r>
      <w:r w:rsidRPr="00BC7566">
        <w:rPr>
          <w:i/>
          <w:iCs/>
          <w:spacing w:val="2"/>
          <w:sz w:val="20"/>
          <w:szCs w:val="20"/>
        </w:rPr>
        <w:t xml:space="preserve"> § 1 frühere Absätze </w:t>
      </w:r>
      <w:r w:rsidR="00344F73">
        <w:rPr>
          <w:i/>
          <w:iCs/>
          <w:spacing w:val="2"/>
          <w:sz w:val="20"/>
          <w:szCs w:val="20"/>
        </w:rPr>
        <w:t>7</w:t>
      </w:r>
      <w:r w:rsidRPr="00BC7566">
        <w:rPr>
          <w:i/>
          <w:iCs/>
          <w:spacing w:val="2"/>
          <w:sz w:val="20"/>
          <w:szCs w:val="20"/>
        </w:rPr>
        <w:t xml:space="preserve"> bis </w:t>
      </w:r>
      <w:r w:rsidR="00344F73">
        <w:rPr>
          <w:i/>
          <w:iCs/>
          <w:spacing w:val="2"/>
          <w:sz w:val="20"/>
          <w:szCs w:val="20"/>
        </w:rPr>
        <w:t>9</w:t>
      </w:r>
      <w:r w:rsidRPr="00BC7566">
        <w:rPr>
          <w:i/>
          <w:iCs/>
          <w:spacing w:val="2"/>
          <w:sz w:val="20"/>
          <w:szCs w:val="20"/>
        </w:rPr>
        <w:t xml:space="preserve"> aufgehoben durch Art. 89 Buchstabe d)</w:t>
      </w:r>
      <w:r w:rsidRPr="00BC7566">
        <w:rPr>
          <w:i/>
          <w:spacing w:val="2"/>
          <w:sz w:val="20"/>
          <w:szCs w:val="20"/>
        </w:rPr>
        <w:t xml:space="preserve"> des G. vom 26. Dezember 2015 (II) (B.S. vom 30. Dezember 2015)</w:t>
      </w:r>
      <w:r w:rsidRPr="00BC7566">
        <w:rPr>
          <w:spacing w:val="2"/>
          <w:sz w:val="20"/>
          <w:szCs w:val="20"/>
        </w:rPr>
        <w:t> - </w:t>
      </w:r>
      <w:r w:rsidRPr="00BC7566">
        <w:rPr>
          <w:i/>
          <w:spacing w:val="2"/>
          <w:sz w:val="20"/>
          <w:szCs w:val="20"/>
        </w:rPr>
        <w:t>anwendbar auf die ab dem 1. Januar 2016 erworbenen oder gebildeten Anlagen -;</w:t>
      </w:r>
      <w:r w:rsidRPr="00A70886">
        <w:rPr>
          <w:i/>
          <w:iCs/>
          <w:sz w:val="20"/>
          <w:szCs w:val="20"/>
        </w:rPr>
        <w:t xml:space="preserve"> § 1 früherer Absatz </w:t>
      </w:r>
      <w:r w:rsidR="00344F73">
        <w:rPr>
          <w:i/>
          <w:iCs/>
          <w:sz w:val="20"/>
          <w:szCs w:val="20"/>
        </w:rPr>
        <w:t>10</w:t>
      </w:r>
      <w:r w:rsidRPr="00A70886">
        <w:rPr>
          <w:i/>
          <w:iCs/>
          <w:sz w:val="20"/>
          <w:szCs w:val="20"/>
        </w:rPr>
        <w:t xml:space="preserve"> aufgehoben durch Art. 3 Nr. 3 des G. vom 22. Juni 2005 (B.S. vom 30. Juni 2005) - in Kraft ab dem Steuerjahr 2007 -; § 1 </w:t>
      </w:r>
      <w:r w:rsidR="00BC7566">
        <w:rPr>
          <w:i/>
          <w:iCs/>
          <w:sz w:val="20"/>
          <w:szCs w:val="20"/>
        </w:rPr>
        <w:t>früher</w:t>
      </w:r>
      <w:r w:rsidRPr="00A70886">
        <w:rPr>
          <w:i/>
          <w:iCs/>
          <w:sz w:val="20"/>
          <w:szCs w:val="20"/>
        </w:rPr>
        <w:t>er Absatz </w:t>
      </w:r>
      <w:r w:rsidR="00344F73">
        <w:rPr>
          <w:i/>
          <w:iCs/>
          <w:sz w:val="20"/>
          <w:szCs w:val="20"/>
        </w:rPr>
        <w:t>11</w:t>
      </w:r>
      <w:r w:rsidRPr="00A70886">
        <w:rPr>
          <w:i/>
          <w:iCs/>
          <w:sz w:val="20"/>
          <w:szCs w:val="20"/>
        </w:rPr>
        <w:t xml:space="preserve"> eingefügt durch Art. 75 des G. vom 10. August 2015 (B.S. vom 18. August 2015) - in Kraft ab dem Steuerjahr 2016 - und </w:t>
      </w:r>
      <w:r w:rsidR="00BC7566">
        <w:rPr>
          <w:i/>
          <w:iCs/>
          <w:sz w:val="20"/>
          <w:szCs w:val="20"/>
        </w:rPr>
        <w:t>aufgehoben durch Art. 13 Nr. 4</w:t>
      </w:r>
      <w:r w:rsidR="00BC7566" w:rsidRPr="00BC7566">
        <w:rPr>
          <w:i/>
          <w:iCs/>
          <w:sz w:val="20"/>
          <w:szCs w:val="20"/>
        </w:rPr>
        <w:t xml:space="preserve"> des G. vom 12. Mai 2024 (B.S. vom 29. Mai 2024) - anwendbar auf die ab dem 1. Januar 2025 erworbenen oder gebildeten Anlagen -</w:t>
      </w:r>
      <w:r w:rsidRPr="00A70886">
        <w:rPr>
          <w:i/>
          <w:iCs/>
          <w:sz w:val="20"/>
          <w:szCs w:val="20"/>
        </w:rPr>
        <w:t xml:space="preserve">; § 1 </w:t>
      </w:r>
      <w:r w:rsidR="00BC7566">
        <w:rPr>
          <w:i/>
          <w:iCs/>
          <w:sz w:val="20"/>
          <w:szCs w:val="20"/>
        </w:rPr>
        <w:t xml:space="preserve">früherer </w:t>
      </w:r>
      <w:r w:rsidRPr="00A70886">
        <w:rPr>
          <w:i/>
          <w:iCs/>
          <w:sz w:val="20"/>
          <w:szCs w:val="20"/>
        </w:rPr>
        <w:t>Abs</w:t>
      </w:r>
      <w:r w:rsidR="00BC7566">
        <w:rPr>
          <w:i/>
          <w:iCs/>
          <w:sz w:val="20"/>
          <w:szCs w:val="20"/>
        </w:rPr>
        <w:t>atz</w:t>
      </w:r>
      <w:r w:rsidRPr="00A70886">
        <w:rPr>
          <w:i/>
          <w:iCs/>
          <w:sz w:val="20"/>
          <w:szCs w:val="20"/>
        </w:rPr>
        <w:t> </w:t>
      </w:r>
      <w:r w:rsidR="00344F73">
        <w:rPr>
          <w:i/>
          <w:iCs/>
          <w:sz w:val="20"/>
          <w:szCs w:val="20"/>
        </w:rPr>
        <w:t>12</w:t>
      </w:r>
      <w:r w:rsidRPr="00A70886">
        <w:rPr>
          <w:i/>
          <w:iCs/>
          <w:sz w:val="20"/>
          <w:szCs w:val="20"/>
        </w:rPr>
        <w:t xml:space="preserve"> eingefügt durch Art. 107 des G. vom 8. April 2003 (B.S. vom 17. April 2003) - in Kraft ab dem Steuerjahr</w:t>
      </w:r>
      <w:r w:rsidR="005A7D42">
        <w:rPr>
          <w:i/>
          <w:iCs/>
          <w:sz w:val="20"/>
          <w:szCs w:val="20"/>
        </w:rPr>
        <w:t> </w:t>
      </w:r>
      <w:r w:rsidRPr="00A70886">
        <w:rPr>
          <w:i/>
          <w:iCs/>
          <w:sz w:val="20"/>
          <w:szCs w:val="20"/>
        </w:rPr>
        <w:t>2004 -</w:t>
      </w:r>
      <w:r w:rsidR="00BC7566">
        <w:rPr>
          <w:i/>
          <w:iCs/>
          <w:sz w:val="20"/>
          <w:szCs w:val="20"/>
        </w:rPr>
        <w:t xml:space="preserve"> und aufgehoben durch Art.</w:t>
      </w:r>
      <w:r w:rsidR="00382EE3">
        <w:rPr>
          <w:i/>
          <w:iCs/>
          <w:sz w:val="20"/>
          <w:szCs w:val="20"/>
        </w:rPr>
        <w:t> </w:t>
      </w:r>
      <w:r w:rsidR="00BC7566">
        <w:rPr>
          <w:i/>
          <w:iCs/>
          <w:sz w:val="20"/>
          <w:szCs w:val="20"/>
        </w:rPr>
        <w:t>13 Nr. 4</w:t>
      </w:r>
      <w:r w:rsidR="00BC7566" w:rsidRPr="00BC7566">
        <w:rPr>
          <w:i/>
          <w:iCs/>
          <w:sz w:val="20"/>
          <w:szCs w:val="20"/>
        </w:rPr>
        <w:t xml:space="preserve"> des G. vom 12. Mai 2024 (B.S. vom 29. Mai 2024) - anwendbar auf die ab dem 1. Januar 2025 erworbenen oder gebildeten Anlagen -</w:t>
      </w:r>
      <w:r w:rsidRPr="00A70886">
        <w:rPr>
          <w:i/>
          <w:iCs/>
          <w:sz w:val="20"/>
          <w:szCs w:val="20"/>
        </w:rPr>
        <w:t xml:space="preserve">; § 1 </w:t>
      </w:r>
      <w:r w:rsidR="00BC7566">
        <w:rPr>
          <w:i/>
          <w:iCs/>
          <w:sz w:val="20"/>
          <w:szCs w:val="20"/>
        </w:rPr>
        <w:t xml:space="preserve">früherer </w:t>
      </w:r>
      <w:r w:rsidRPr="00A70886">
        <w:rPr>
          <w:i/>
          <w:iCs/>
          <w:sz w:val="20"/>
          <w:szCs w:val="20"/>
        </w:rPr>
        <w:t>Abs</w:t>
      </w:r>
      <w:r w:rsidR="00BC7566">
        <w:rPr>
          <w:i/>
          <w:iCs/>
          <w:sz w:val="20"/>
          <w:szCs w:val="20"/>
        </w:rPr>
        <w:t>atz</w:t>
      </w:r>
      <w:r w:rsidRPr="00A70886">
        <w:rPr>
          <w:i/>
          <w:iCs/>
          <w:sz w:val="20"/>
          <w:szCs w:val="20"/>
        </w:rPr>
        <w:t> </w:t>
      </w:r>
      <w:r w:rsidR="00344F73">
        <w:rPr>
          <w:i/>
          <w:iCs/>
          <w:sz w:val="20"/>
          <w:szCs w:val="20"/>
        </w:rPr>
        <w:t>13</w:t>
      </w:r>
      <w:r w:rsidRPr="00A70886">
        <w:rPr>
          <w:i/>
          <w:iCs/>
          <w:sz w:val="20"/>
          <w:szCs w:val="20"/>
        </w:rPr>
        <w:t xml:space="preserve"> eingefügt durch Art. 3 Nr. 4 des G. vom 22. Juni 2005 (B.S. vom 30. Juni 2005) - in Kraft ab dem Steuerjahr 2007 - und </w:t>
      </w:r>
      <w:r w:rsidR="00BC7566">
        <w:rPr>
          <w:i/>
          <w:iCs/>
          <w:sz w:val="20"/>
          <w:szCs w:val="20"/>
        </w:rPr>
        <w:t>aufgehoben durch Art. 13 Nr. 4</w:t>
      </w:r>
      <w:r w:rsidR="00BC7566" w:rsidRPr="00BC7566">
        <w:rPr>
          <w:i/>
          <w:iCs/>
          <w:sz w:val="20"/>
          <w:szCs w:val="20"/>
        </w:rPr>
        <w:t xml:space="preserve"> des G. vom 12. Mai 2024 (B.S. vom 29. Mai 2024) - anwendbar auf die ab dem 1. Januar 2025 erworbenen oder gebildeten Anlagen -</w:t>
      </w:r>
      <w:r w:rsidRPr="00A70886">
        <w:rPr>
          <w:i/>
          <w:sz w:val="20"/>
          <w:szCs w:val="20"/>
        </w:rPr>
        <w:t>;</w:t>
      </w:r>
      <w:r w:rsidRPr="00A70886">
        <w:rPr>
          <w:i/>
          <w:iCs/>
          <w:sz w:val="20"/>
          <w:szCs w:val="20"/>
        </w:rPr>
        <w:t xml:space="preserve"> § 1 Abs. </w:t>
      </w:r>
      <w:r w:rsidR="00BC7566">
        <w:rPr>
          <w:i/>
          <w:iCs/>
          <w:sz w:val="20"/>
          <w:szCs w:val="20"/>
        </w:rPr>
        <w:t xml:space="preserve">4 </w:t>
      </w:r>
      <w:r w:rsidRPr="00A70886">
        <w:rPr>
          <w:i/>
          <w:iCs/>
          <w:sz w:val="20"/>
          <w:szCs w:val="20"/>
        </w:rPr>
        <w:t>eingefügt durch Art. 120 des G. vom 23. Dezember 2005 (B.S. vom 30. Dezember 2005) - in Kraft ab dem Steuerjahr 2007 - und abgeändert durch Art. 286 des G. (I) vom 27. Dezember 2006 (II) (B.S. vom 28. Dezember 2006) - anwendbar ab dem Steuerjahr 2007 -, Art. 7 des G. vom 19. Dezember 2014 (B.S. vom 29. Dezember 2014) - anwendbar ab dem Steuerjahr 2015 -</w:t>
      </w:r>
      <w:r w:rsidR="00BC7566">
        <w:rPr>
          <w:i/>
          <w:iCs/>
          <w:sz w:val="20"/>
          <w:szCs w:val="20"/>
        </w:rPr>
        <w:t>,</w:t>
      </w:r>
      <w:r w:rsidRPr="00A70886">
        <w:rPr>
          <w:i/>
          <w:iCs/>
          <w:sz w:val="20"/>
          <w:szCs w:val="20"/>
        </w:rPr>
        <w:t xml:space="preserve"> Art. 89 Buchstabe g)</w:t>
      </w:r>
      <w:r w:rsidRPr="00A70886">
        <w:rPr>
          <w:i/>
          <w:sz w:val="20"/>
          <w:szCs w:val="20"/>
        </w:rPr>
        <w:t xml:space="preserve"> des G. vom 26. Dezember 2015 (II) (B.S. vom 30. Dezember 2015)</w:t>
      </w:r>
      <w:r w:rsidRPr="00A70886">
        <w:rPr>
          <w:sz w:val="20"/>
          <w:szCs w:val="20"/>
        </w:rPr>
        <w:t> - </w:t>
      </w:r>
      <w:r w:rsidRPr="00A70886">
        <w:rPr>
          <w:i/>
          <w:sz w:val="20"/>
          <w:szCs w:val="20"/>
        </w:rPr>
        <w:t>anwendbar auf die ab dem 1. Januar 2016 erworbenen oder gebildeten Anlagen -</w:t>
      </w:r>
      <w:r w:rsidR="00BC7566">
        <w:rPr>
          <w:i/>
          <w:sz w:val="20"/>
          <w:szCs w:val="20"/>
        </w:rPr>
        <w:t xml:space="preserve"> und Art. 13 Nr. 5</w:t>
      </w:r>
      <w:r w:rsidR="00BC7566" w:rsidRPr="00BC7566">
        <w:rPr>
          <w:i/>
          <w:iCs/>
          <w:sz w:val="20"/>
          <w:szCs w:val="20"/>
        </w:rPr>
        <w:t xml:space="preserve"> des G. vom 12. Mai 2024 (B.S. vom 29. Mai 2024) - anwendbar auf die ab dem 1. Januar 2025 erworbenen oder gebildeten Anlagen -</w:t>
      </w:r>
      <w:r w:rsidRPr="00A70886">
        <w:rPr>
          <w:i/>
          <w:sz w:val="20"/>
          <w:szCs w:val="20"/>
        </w:rPr>
        <w:t>; § 2 eingefügt durch Art. 89 Buchstabe h) des G. vom 26. Dezember 2015 (II) (B.S. vom 30. Dezember 2015)</w:t>
      </w:r>
      <w:r w:rsidRPr="00A70886">
        <w:rPr>
          <w:sz w:val="20"/>
          <w:szCs w:val="20"/>
        </w:rPr>
        <w:t> - </w:t>
      </w:r>
      <w:r w:rsidRPr="00A70886">
        <w:rPr>
          <w:i/>
          <w:sz w:val="20"/>
          <w:szCs w:val="20"/>
        </w:rPr>
        <w:t>anwendbar auf die ab dem 1. Januar 2016 erworbenen oder gebildeten Anlagen -</w:t>
      </w:r>
      <w:r w:rsidR="00BC7566">
        <w:rPr>
          <w:i/>
          <w:sz w:val="20"/>
          <w:szCs w:val="20"/>
        </w:rPr>
        <w:t xml:space="preserve"> und ersetzt durch Art.</w:t>
      </w:r>
      <w:r w:rsidR="00382EE3">
        <w:rPr>
          <w:i/>
          <w:sz w:val="20"/>
          <w:szCs w:val="20"/>
        </w:rPr>
        <w:t> </w:t>
      </w:r>
      <w:r w:rsidR="00BC7566">
        <w:rPr>
          <w:i/>
          <w:sz w:val="20"/>
          <w:szCs w:val="20"/>
        </w:rPr>
        <w:t>13 Nr. 6</w:t>
      </w:r>
      <w:r w:rsidR="00BC7566" w:rsidRPr="00BC7566">
        <w:rPr>
          <w:i/>
          <w:iCs/>
          <w:sz w:val="20"/>
          <w:szCs w:val="20"/>
        </w:rPr>
        <w:t xml:space="preserve"> des G. vom 12. Mai 2024 (B.S. vom 29. Mai 2024) - anwendbar auf die ab dem 1. Januar 2025 erworbenen oder gebildeten Anlagen -</w:t>
      </w:r>
      <w:r w:rsidRPr="00A70886">
        <w:rPr>
          <w:i/>
          <w:sz w:val="20"/>
          <w:szCs w:val="20"/>
        </w:rPr>
        <w:t>]</w:t>
      </w:r>
      <w:r>
        <w:rPr>
          <w:iCs/>
          <w:sz w:val="20"/>
          <w:szCs w:val="20"/>
        </w:rPr>
        <w:t>"</w:t>
      </w:r>
    </w:p>
    <w:p w14:paraId="10AAEEE7" w14:textId="446D702B" w:rsidR="00477B8F" w:rsidRPr="009118AB" w:rsidRDefault="00477B8F" w:rsidP="00477B8F">
      <w:pPr>
        <w:autoSpaceDE w:val="0"/>
        <w:autoSpaceDN w:val="0"/>
        <w:adjustRightInd w:val="0"/>
        <w:jc w:val="center"/>
      </w:pPr>
      <w:r w:rsidRPr="009118AB">
        <w:br w:type="page"/>
      </w:r>
      <w:r w:rsidRPr="009118AB">
        <w:lastRenderedPageBreak/>
        <w:t>Unterabschnitt </w:t>
      </w:r>
      <w:r w:rsidR="00D74862" w:rsidRPr="009118AB">
        <w:t>3</w:t>
      </w:r>
      <w:r w:rsidR="00D67EB8" w:rsidRPr="009118AB">
        <w:t> - </w:t>
      </w:r>
      <w:r w:rsidRPr="009118AB">
        <w:t>Von steuerpflichtigen Gewinnen abzugsfähige Einkünfte</w:t>
      </w:r>
    </w:p>
    <w:p w14:paraId="089BCA8B" w14:textId="77777777" w:rsidR="00477B8F" w:rsidRPr="009118AB" w:rsidRDefault="00477B8F" w:rsidP="00477B8F">
      <w:pPr>
        <w:autoSpaceDE w:val="0"/>
        <w:autoSpaceDN w:val="0"/>
        <w:adjustRightInd w:val="0"/>
        <w:jc w:val="both"/>
      </w:pPr>
    </w:p>
    <w:p w14:paraId="5BB5F9EE" w14:textId="77777777" w:rsidR="00477B8F" w:rsidRPr="009118AB" w:rsidRDefault="00477B8F" w:rsidP="00477B8F">
      <w:pPr>
        <w:autoSpaceDE w:val="0"/>
        <w:autoSpaceDN w:val="0"/>
        <w:adjustRightInd w:val="0"/>
        <w:jc w:val="both"/>
      </w:pPr>
    </w:p>
    <w:p w14:paraId="6F420B94" w14:textId="1EC93E33" w:rsidR="00585F9B" w:rsidRPr="009118AB" w:rsidRDefault="007C6470" w:rsidP="00585F9B">
      <w:pPr>
        <w:autoSpaceDE w:val="0"/>
        <w:autoSpaceDN w:val="0"/>
        <w:adjustRightInd w:val="0"/>
        <w:jc w:val="both"/>
        <w:rPr>
          <w:iCs/>
        </w:rPr>
      </w:pPr>
      <w:r w:rsidRPr="009118AB">
        <w:rPr>
          <w:b/>
          <w:bCs/>
          <w:iCs/>
        </w:rPr>
        <w:tab/>
      </w:r>
      <w:r w:rsidR="00D67EB8" w:rsidRPr="009118AB">
        <w:rPr>
          <w:b/>
          <w:bCs/>
          <w:iCs/>
        </w:rPr>
        <w:t>Art. </w:t>
      </w:r>
      <w:r w:rsidR="00585F9B" w:rsidRPr="009118AB">
        <w:rPr>
          <w:b/>
          <w:bCs/>
          <w:iCs/>
        </w:rPr>
        <w:t>202</w:t>
      </w:r>
      <w:r w:rsidR="00D67EB8" w:rsidRPr="009118AB">
        <w:rPr>
          <w:iCs/>
        </w:rPr>
        <w:t> - </w:t>
      </w:r>
      <w:r w:rsidR="00585F9B" w:rsidRPr="009118AB">
        <w:rPr>
          <w:iCs/>
        </w:rPr>
        <w:t>[</w:t>
      </w:r>
      <w:r w:rsidR="00D67EB8" w:rsidRPr="009118AB">
        <w:rPr>
          <w:iCs/>
        </w:rPr>
        <w:t>§ </w:t>
      </w:r>
      <w:r w:rsidR="00585F9B" w:rsidRPr="009118AB">
        <w:rPr>
          <w:iCs/>
        </w:rPr>
        <w:t>1]</w:t>
      </w:r>
      <w:r w:rsidR="00D67EB8" w:rsidRPr="009118AB">
        <w:rPr>
          <w:iCs/>
        </w:rPr>
        <w:t> - </w:t>
      </w:r>
      <w:r w:rsidR="00585F9B" w:rsidRPr="009118AB">
        <w:rPr>
          <w:iCs/>
        </w:rPr>
        <w:t>Von den Gewinnen des Besteuerungszeitraums werden in dem Maße, wie sie sich darin befinden, ebenfalls abgezogen:</w:t>
      </w:r>
    </w:p>
    <w:p w14:paraId="53C33117" w14:textId="77777777" w:rsidR="00585F9B" w:rsidRPr="009118AB" w:rsidRDefault="00585F9B" w:rsidP="00585F9B">
      <w:pPr>
        <w:autoSpaceDE w:val="0"/>
        <w:autoSpaceDN w:val="0"/>
        <w:adjustRightInd w:val="0"/>
        <w:jc w:val="both"/>
        <w:rPr>
          <w:iCs/>
        </w:rPr>
      </w:pPr>
    </w:p>
    <w:p w14:paraId="023F10CE" w14:textId="77777777" w:rsidR="00585F9B" w:rsidRPr="009118AB" w:rsidRDefault="007C6470" w:rsidP="00585F9B">
      <w:pPr>
        <w:autoSpaceDE w:val="0"/>
        <w:autoSpaceDN w:val="0"/>
        <w:adjustRightInd w:val="0"/>
        <w:jc w:val="both"/>
        <w:rPr>
          <w:iCs/>
        </w:rPr>
      </w:pPr>
      <w:r w:rsidRPr="009118AB">
        <w:rPr>
          <w:iCs/>
        </w:rPr>
        <w:tab/>
      </w:r>
      <w:r w:rsidR="00585F9B" w:rsidRPr="009118AB">
        <w:rPr>
          <w:iCs/>
        </w:rPr>
        <w:t>1. Dividenden ausschließlich [...] der Einkünfte, die anlässlich der Übertragung auf eine Gesellschaft ihrer eigenen Aktien oder Anteile oder anlässlich der Gesamt- oder Teilverteilung des Gesellschaftsvermögens einer Gesellschaft erzielt werden,</w:t>
      </w:r>
    </w:p>
    <w:p w14:paraId="48747352" w14:textId="77777777" w:rsidR="00585F9B" w:rsidRPr="009118AB" w:rsidRDefault="00585F9B" w:rsidP="00585F9B">
      <w:pPr>
        <w:autoSpaceDE w:val="0"/>
        <w:autoSpaceDN w:val="0"/>
        <w:adjustRightInd w:val="0"/>
        <w:jc w:val="both"/>
        <w:rPr>
          <w:iCs/>
        </w:rPr>
      </w:pPr>
    </w:p>
    <w:p w14:paraId="3678EB61" w14:textId="77777777" w:rsidR="00585F9B" w:rsidRPr="009118AB" w:rsidRDefault="007C6470" w:rsidP="00585F9B">
      <w:pPr>
        <w:autoSpaceDE w:val="0"/>
        <w:autoSpaceDN w:val="0"/>
        <w:adjustRightInd w:val="0"/>
        <w:jc w:val="both"/>
        <w:rPr>
          <w:iCs/>
        </w:rPr>
      </w:pPr>
      <w:r w:rsidRPr="009118AB">
        <w:rPr>
          <w:iCs/>
        </w:rPr>
        <w:tab/>
      </w:r>
      <w:r w:rsidR="00585F9B" w:rsidRPr="009118AB">
        <w:rPr>
          <w:iCs/>
        </w:rPr>
        <w:t>2. die Plusdifferenz zwischen erhaltenen Summen oder dem Wert erhaltener Bestandteile und dem Anschaffungs- oder Investitionswert der Aktien oder Anteile, die von der Gesellschaft erworben, ausgezahlt oder umgetauscht werden, die sie ausgegeben hatte, eventuell erhöht um diesbezügliche Mehrwerte, die vorher aufgezeichnet und nicht steuerfrei waren, in dem Maße, wie diese Plusdifferenz eine Dividende darstellt, auf die die Artikel 186, 187 oder 209 oder ähnliche Bestimmungen ausländischen Rechts angewandt wurden,</w:t>
      </w:r>
    </w:p>
    <w:p w14:paraId="57EAC9DE" w14:textId="77777777" w:rsidR="00585F9B" w:rsidRPr="009118AB" w:rsidRDefault="00585F9B" w:rsidP="00585F9B">
      <w:pPr>
        <w:autoSpaceDE w:val="0"/>
        <w:autoSpaceDN w:val="0"/>
        <w:adjustRightInd w:val="0"/>
        <w:jc w:val="both"/>
        <w:rPr>
          <w:iCs/>
        </w:rPr>
      </w:pPr>
    </w:p>
    <w:p w14:paraId="654F3D7C" w14:textId="01849C24" w:rsidR="00585F9B" w:rsidRPr="009118AB" w:rsidRDefault="007C6470" w:rsidP="00585F9B">
      <w:pPr>
        <w:autoSpaceDE w:val="0"/>
        <w:autoSpaceDN w:val="0"/>
        <w:adjustRightInd w:val="0"/>
        <w:jc w:val="both"/>
        <w:rPr>
          <w:iCs/>
        </w:rPr>
      </w:pPr>
      <w:r w:rsidRPr="009118AB">
        <w:rPr>
          <w:iCs/>
        </w:rPr>
        <w:tab/>
      </w:r>
      <w:r w:rsidR="00585F9B" w:rsidRPr="009118AB">
        <w:rPr>
          <w:iCs/>
        </w:rPr>
        <w:t xml:space="preserve">3. </w:t>
      </w:r>
      <w:r w:rsidR="00E5793B" w:rsidRPr="009118AB">
        <w:rPr>
          <w:iCs/>
        </w:rPr>
        <w:t>[...]</w:t>
      </w:r>
    </w:p>
    <w:p w14:paraId="2BF6B735" w14:textId="77777777" w:rsidR="00585F9B" w:rsidRPr="009118AB" w:rsidRDefault="00585F9B" w:rsidP="00585F9B">
      <w:pPr>
        <w:autoSpaceDE w:val="0"/>
        <w:autoSpaceDN w:val="0"/>
        <w:adjustRightInd w:val="0"/>
        <w:jc w:val="both"/>
        <w:rPr>
          <w:iCs/>
        </w:rPr>
      </w:pPr>
    </w:p>
    <w:p w14:paraId="32DF3B14" w14:textId="3DC6C9CF" w:rsidR="00585F9B" w:rsidRPr="009118AB" w:rsidRDefault="007C6470" w:rsidP="00585F9B">
      <w:pPr>
        <w:autoSpaceDE w:val="0"/>
        <w:autoSpaceDN w:val="0"/>
        <w:adjustRightInd w:val="0"/>
        <w:jc w:val="both"/>
        <w:rPr>
          <w:iCs/>
        </w:rPr>
      </w:pPr>
      <w:r w:rsidRPr="009118AB">
        <w:rPr>
          <w:iCs/>
        </w:rPr>
        <w:tab/>
      </w:r>
      <w:r w:rsidR="00585F9B" w:rsidRPr="009118AB">
        <w:rPr>
          <w:iCs/>
        </w:rPr>
        <w:t>4. [</w:t>
      </w:r>
      <w:r w:rsidR="00C5158F">
        <w:t>...]</w:t>
      </w:r>
    </w:p>
    <w:p w14:paraId="38EA4B67" w14:textId="77777777" w:rsidR="00585F9B" w:rsidRPr="009118AB" w:rsidRDefault="00585F9B" w:rsidP="00585F9B">
      <w:pPr>
        <w:autoSpaceDE w:val="0"/>
        <w:autoSpaceDN w:val="0"/>
        <w:adjustRightInd w:val="0"/>
        <w:jc w:val="both"/>
        <w:rPr>
          <w:iCs/>
        </w:rPr>
      </w:pPr>
    </w:p>
    <w:p w14:paraId="0F5B7FCB" w14:textId="32552AC4" w:rsidR="00585F9B" w:rsidRPr="009118AB" w:rsidRDefault="007C6470" w:rsidP="00585F9B">
      <w:pPr>
        <w:autoSpaceDE w:val="0"/>
        <w:autoSpaceDN w:val="0"/>
        <w:adjustRightInd w:val="0"/>
        <w:jc w:val="both"/>
        <w:rPr>
          <w:iCs/>
        </w:rPr>
      </w:pPr>
      <w:r w:rsidRPr="009118AB">
        <w:rPr>
          <w:iCs/>
        </w:rPr>
        <w:tab/>
      </w:r>
      <w:r w:rsidR="00585F9B" w:rsidRPr="009118AB">
        <w:rPr>
          <w:iCs/>
        </w:rPr>
        <w:t>5. [</w:t>
      </w:r>
      <w:r w:rsidR="00C5158F">
        <w:t>..</w:t>
      </w:r>
      <w:r w:rsidR="00685053" w:rsidRPr="009118AB">
        <w:t>.</w:t>
      </w:r>
      <w:r w:rsidR="00585F9B" w:rsidRPr="009118AB">
        <w:rPr>
          <w:iCs/>
        </w:rPr>
        <w:t>]</w:t>
      </w:r>
      <w:r w:rsidR="00C5158F">
        <w:rPr>
          <w:iCs/>
        </w:rPr>
        <w:t>.</w:t>
      </w:r>
    </w:p>
    <w:p w14:paraId="44424C43" w14:textId="77777777" w:rsidR="00585F9B" w:rsidRPr="009118AB" w:rsidRDefault="00585F9B" w:rsidP="00585F9B">
      <w:pPr>
        <w:autoSpaceDE w:val="0"/>
        <w:autoSpaceDN w:val="0"/>
        <w:adjustRightInd w:val="0"/>
        <w:jc w:val="both"/>
        <w:rPr>
          <w:iCs/>
        </w:rPr>
      </w:pPr>
    </w:p>
    <w:p w14:paraId="3E74850D" w14:textId="197E6F68" w:rsidR="00685053" w:rsidRPr="009118AB" w:rsidRDefault="00685053" w:rsidP="00585F9B">
      <w:pPr>
        <w:autoSpaceDE w:val="0"/>
        <w:autoSpaceDN w:val="0"/>
        <w:adjustRightInd w:val="0"/>
        <w:jc w:val="both"/>
        <w:rPr>
          <w:iCs/>
        </w:rPr>
      </w:pPr>
      <w:r w:rsidRPr="009118AB">
        <w:rPr>
          <w:iCs/>
        </w:rPr>
        <w:tab/>
        <w:t>[</w:t>
      </w:r>
      <w:r w:rsidR="00C5158F">
        <w:t>..</w:t>
      </w:r>
      <w:r w:rsidRPr="009118AB">
        <w:t>.</w:t>
      </w:r>
      <w:r w:rsidRPr="009118AB">
        <w:rPr>
          <w:iCs/>
        </w:rPr>
        <w:t>]</w:t>
      </w:r>
    </w:p>
    <w:p w14:paraId="17210DFB" w14:textId="77777777" w:rsidR="00685053" w:rsidRPr="009118AB" w:rsidRDefault="00685053" w:rsidP="00585F9B">
      <w:pPr>
        <w:autoSpaceDE w:val="0"/>
        <w:autoSpaceDN w:val="0"/>
        <w:adjustRightInd w:val="0"/>
        <w:jc w:val="both"/>
        <w:rPr>
          <w:iCs/>
        </w:rPr>
      </w:pPr>
    </w:p>
    <w:p w14:paraId="6A2209E2" w14:textId="76CA23B9" w:rsidR="00585F9B" w:rsidRPr="009118AB" w:rsidRDefault="007C6470" w:rsidP="00585F9B">
      <w:pPr>
        <w:autoSpaceDE w:val="0"/>
        <w:autoSpaceDN w:val="0"/>
        <w:adjustRightInd w:val="0"/>
        <w:jc w:val="both"/>
        <w:rPr>
          <w:iCs/>
        </w:rPr>
      </w:pPr>
      <w:r w:rsidRPr="009118AB">
        <w:rPr>
          <w:iCs/>
        </w:rPr>
        <w:tab/>
      </w:r>
      <w:r w:rsidR="00585F9B" w:rsidRPr="009118AB">
        <w:rPr>
          <w:iCs/>
        </w:rPr>
        <w:t>[</w:t>
      </w:r>
      <w:r w:rsidR="00D67EB8" w:rsidRPr="009118AB">
        <w:rPr>
          <w:iCs/>
        </w:rPr>
        <w:t>§ </w:t>
      </w:r>
      <w:r w:rsidR="00585F9B" w:rsidRPr="009118AB">
        <w:rPr>
          <w:iCs/>
        </w:rPr>
        <w:t>2</w:t>
      </w:r>
      <w:r w:rsidR="00D67EB8" w:rsidRPr="009118AB">
        <w:rPr>
          <w:iCs/>
        </w:rPr>
        <w:t> - </w:t>
      </w:r>
      <w:r w:rsidR="00585F9B" w:rsidRPr="009118AB">
        <w:rPr>
          <w:iCs/>
        </w:rPr>
        <w:t xml:space="preserve">[[Außer sofern eine Plusdifferenz aus der Anwendung von Artikel 211 </w:t>
      </w:r>
      <w:r w:rsidR="00D67EB8" w:rsidRPr="009118AB">
        <w:rPr>
          <w:iCs/>
        </w:rPr>
        <w:t>§ </w:t>
      </w:r>
      <w:r w:rsidR="00585F9B" w:rsidRPr="009118AB">
        <w:rPr>
          <w:iCs/>
        </w:rPr>
        <w:t xml:space="preserve">2 Absatz 3 oder von Bestimmungen mit ähnlicher Wirkung in einem anderen Mitgliedstaat [des Europäischen Wirtschaftsraums] hervorgeht, sind in </w:t>
      </w:r>
      <w:r w:rsidR="00D67EB8" w:rsidRPr="009118AB">
        <w:rPr>
          <w:iCs/>
        </w:rPr>
        <w:t>§ </w:t>
      </w:r>
      <w:r w:rsidR="00585F9B" w:rsidRPr="009118AB">
        <w:rPr>
          <w:iCs/>
        </w:rPr>
        <w:t xml:space="preserve">1 </w:t>
      </w:r>
      <w:r w:rsidR="00D67EB8" w:rsidRPr="009118AB">
        <w:rPr>
          <w:iCs/>
        </w:rPr>
        <w:t>Nr. </w:t>
      </w:r>
      <w:r w:rsidR="00585F9B" w:rsidRPr="009118AB">
        <w:rPr>
          <w:iCs/>
        </w:rPr>
        <w:t>1 und 2 erwähnte Einkünfte nur abzugsfähig, sofern:]</w:t>
      </w:r>
    </w:p>
    <w:p w14:paraId="36E209AE" w14:textId="77777777" w:rsidR="00585F9B" w:rsidRPr="009118AB" w:rsidRDefault="00585F9B" w:rsidP="00585F9B">
      <w:pPr>
        <w:autoSpaceDE w:val="0"/>
        <w:autoSpaceDN w:val="0"/>
        <w:adjustRightInd w:val="0"/>
        <w:jc w:val="both"/>
        <w:rPr>
          <w:iCs/>
        </w:rPr>
      </w:pPr>
    </w:p>
    <w:p w14:paraId="189A253D" w14:textId="77777777" w:rsidR="00585F9B" w:rsidRPr="009118AB" w:rsidRDefault="007C6470" w:rsidP="00585F9B">
      <w:pPr>
        <w:autoSpaceDE w:val="0"/>
        <w:autoSpaceDN w:val="0"/>
        <w:adjustRightInd w:val="0"/>
        <w:jc w:val="both"/>
        <w:rPr>
          <w:iCs/>
        </w:rPr>
      </w:pPr>
      <w:r w:rsidRPr="009118AB">
        <w:rPr>
          <w:iCs/>
        </w:rPr>
        <w:tab/>
      </w:r>
      <w:r w:rsidR="00585F9B" w:rsidRPr="009118AB">
        <w:rPr>
          <w:iCs/>
        </w:rPr>
        <w:t>1. am Datum der Zuerkennung oder Ausschüttung dieser Einkünfte die Gesellschaft, die die Einkünfte bezieht, am Kapital der Gesellschaft, die sie ausschüttet, eine Beteiligung von mindestens 10 Prozent oder mit einem Investitionswert von [mindestens 2.500.000 EUR] besitzt,</w:t>
      </w:r>
    </w:p>
    <w:p w14:paraId="6C936482" w14:textId="77777777" w:rsidR="00585F9B" w:rsidRPr="009118AB" w:rsidRDefault="00585F9B" w:rsidP="00585F9B">
      <w:pPr>
        <w:autoSpaceDE w:val="0"/>
        <w:autoSpaceDN w:val="0"/>
        <w:adjustRightInd w:val="0"/>
        <w:jc w:val="both"/>
        <w:rPr>
          <w:iCs/>
        </w:rPr>
      </w:pPr>
    </w:p>
    <w:p w14:paraId="6D83B6C6" w14:textId="77777777" w:rsidR="00585F9B" w:rsidRPr="009118AB" w:rsidRDefault="007C6470" w:rsidP="00585F9B">
      <w:pPr>
        <w:autoSpaceDE w:val="0"/>
        <w:autoSpaceDN w:val="0"/>
        <w:adjustRightInd w:val="0"/>
        <w:jc w:val="both"/>
        <w:rPr>
          <w:iCs/>
        </w:rPr>
      </w:pPr>
      <w:r w:rsidRPr="009118AB">
        <w:rPr>
          <w:iCs/>
        </w:rPr>
        <w:tab/>
      </w:r>
      <w:r w:rsidR="00585F9B" w:rsidRPr="009118AB">
        <w:rPr>
          <w:iCs/>
        </w:rPr>
        <w:t>2. diese Einkünfte sich auf Aktien oder Anteile beziehen, die […] während eines ununterbrochenen Zeitraums von mindestens einem Jahr in Volleigentum sind oder waren.</w:t>
      </w:r>
    </w:p>
    <w:p w14:paraId="7107CB54" w14:textId="77777777" w:rsidR="00585F9B" w:rsidRPr="009118AB" w:rsidRDefault="00585F9B" w:rsidP="00585F9B">
      <w:pPr>
        <w:autoSpaceDE w:val="0"/>
        <w:autoSpaceDN w:val="0"/>
        <w:adjustRightInd w:val="0"/>
        <w:jc w:val="both"/>
        <w:rPr>
          <w:iCs/>
        </w:rPr>
      </w:pPr>
    </w:p>
    <w:p w14:paraId="53104A07" w14:textId="77777777" w:rsidR="00585F9B" w:rsidRPr="009118AB" w:rsidRDefault="007C6470" w:rsidP="00585F9B">
      <w:pPr>
        <w:autoSpaceDE w:val="0"/>
        <w:autoSpaceDN w:val="0"/>
        <w:adjustRightInd w:val="0"/>
        <w:jc w:val="both"/>
        <w:rPr>
          <w:iCs/>
        </w:rPr>
      </w:pPr>
      <w:r w:rsidRPr="009118AB">
        <w:rPr>
          <w:iCs/>
        </w:rPr>
        <w:tab/>
      </w:r>
      <w:r w:rsidR="00585F9B" w:rsidRPr="009118AB">
        <w:rPr>
          <w:iCs/>
        </w:rPr>
        <w:t>[…]</w:t>
      </w:r>
    </w:p>
    <w:p w14:paraId="32F4D9C4" w14:textId="77777777" w:rsidR="00585F9B" w:rsidRPr="009118AB" w:rsidRDefault="00585F9B" w:rsidP="00585F9B">
      <w:pPr>
        <w:autoSpaceDE w:val="0"/>
        <w:autoSpaceDN w:val="0"/>
        <w:adjustRightInd w:val="0"/>
        <w:jc w:val="both"/>
        <w:rPr>
          <w:iCs/>
        </w:rPr>
      </w:pPr>
    </w:p>
    <w:p w14:paraId="76530B44" w14:textId="203CE8FC" w:rsidR="00585F9B" w:rsidRPr="009118AB" w:rsidRDefault="007C6470" w:rsidP="00585F9B">
      <w:pPr>
        <w:autoSpaceDE w:val="0"/>
        <w:autoSpaceDN w:val="0"/>
        <w:adjustRightInd w:val="0"/>
        <w:jc w:val="both"/>
        <w:rPr>
          <w:iCs/>
        </w:rPr>
      </w:pPr>
      <w:r w:rsidRPr="009118AB">
        <w:rPr>
          <w:iCs/>
        </w:rPr>
        <w:tab/>
      </w:r>
      <w:r w:rsidR="00585F9B" w:rsidRPr="009118AB">
        <w:rPr>
          <w:iCs/>
        </w:rPr>
        <w:t xml:space="preserve">Für Umtausch von Aktien oder Anteilen aufgrund der in Artikel 45 erwähnten Geschäfte und für Veräußerung oder Erwerb von Aktien oder Anteilen aufgrund von steuerneutralen Geschäften, die in den Artikeln 46 </w:t>
      </w:r>
      <w:r w:rsidR="00D67EB8" w:rsidRPr="009118AB">
        <w:rPr>
          <w:iCs/>
        </w:rPr>
        <w:t>§ </w:t>
      </w:r>
      <w:r w:rsidR="00585F9B" w:rsidRPr="009118AB">
        <w:rPr>
          <w:iCs/>
        </w:rPr>
        <w:t xml:space="preserve">1 Absatz 1 </w:t>
      </w:r>
      <w:r w:rsidR="00D67EB8" w:rsidRPr="009118AB">
        <w:rPr>
          <w:iCs/>
        </w:rPr>
        <w:t>Nr. </w:t>
      </w:r>
      <w:r w:rsidR="00585F9B" w:rsidRPr="009118AB">
        <w:rPr>
          <w:iCs/>
        </w:rPr>
        <w:t xml:space="preserve">2, 211, 214 </w:t>
      </w:r>
      <w:r w:rsidR="00D67EB8" w:rsidRPr="009118AB">
        <w:rPr>
          <w:iCs/>
        </w:rPr>
        <w:t>§ </w:t>
      </w:r>
      <w:r w:rsidR="00585F9B" w:rsidRPr="009118AB">
        <w:rPr>
          <w:iCs/>
        </w:rPr>
        <w:t>1 und 231 §</w:t>
      </w:r>
      <w:r w:rsidR="00D67EB8" w:rsidRPr="009118AB">
        <w:rPr>
          <w:iCs/>
        </w:rPr>
        <w:t>§ </w:t>
      </w:r>
      <w:r w:rsidR="00585F9B" w:rsidRPr="009118AB">
        <w:rPr>
          <w:iCs/>
        </w:rPr>
        <w:t xml:space="preserve">2 und 3 erwähnt sind, gilt für die Anwendung von Absatz 1 </w:t>
      </w:r>
      <w:r w:rsidR="00D67EB8" w:rsidRPr="009118AB">
        <w:rPr>
          <w:iCs/>
        </w:rPr>
        <w:t>Nr. </w:t>
      </w:r>
      <w:r w:rsidR="00585F9B" w:rsidRPr="009118AB">
        <w:rPr>
          <w:iCs/>
        </w:rPr>
        <w:t>2, dass sie nicht stattgefunden haben.</w:t>
      </w:r>
    </w:p>
    <w:p w14:paraId="6AE43273" w14:textId="77777777" w:rsidR="00585F9B" w:rsidRPr="009118AB" w:rsidRDefault="00585F9B" w:rsidP="00585F9B">
      <w:pPr>
        <w:autoSpaceDE w:val="0"/>
        <w:autoSpaceDN w:val="0"/>
        <w:adjustRightInd w:val="0"/>
        <w:jc w:val="both"/>
        <w:rPr>
          <w:iCs/>
        </w:rPr>
      </w:pPr>
    </w:p>
    <w:p w14:paraId="4F7064A1" w14:textId="085664F1" w:rsidR="00585F9B" w:rsidRPr="009118AB" w:rsidRDefault="007C6470" w:rsidP="00585F9B">
      <w:pPr>
        <w:autoSpaceDE w:val="0"/>
        <w:autoSpaceDN w:val="0"/>
        <w:adjustRightInd w:val="0"/>
        <w:jc w:val="both"/>
        <w:rPr>
          <w:iCs/>
        </w:rPr>
      </w:pPr>
      <w:r w:rsidRPr="009118AB">
        <w:rPr>
          <w:iCs/>
        </w:rPr>
        <w:tab/>
      </w:r>
      <w:r w:rsidR="00585F9B" w:rsidRPr="009118AB">
        <w:rPr>
          <w:iCs/>
        </w:rPr>
        <w:t>Die in Absatz 1 erwähnten Bedingungen sind jedoch nicht anwendbar auf Einkünfte:</w:t>
      </w:r>
    </w:p>
    <w:p w14:paraId="25D16243" w14:textId="77777777" w:rsidR="00585F9B" w:rsidRPr="009118AB" w:rsidRDefault="00585F9B" w:rsidP="00585F9B">
      <w:pPr>
        <w:autoSpaceDE w:val="0"/>
        <w:autoSpaceDN w:val="0"/>
        <w:adjustRightInd w:val="0"/>
        <w:jc w:val="both"/>
        <w:rPr>
          <w:iCs/>
        </w:rPr>
      </w:pPr>
    </w:p>
    <w:p w14:paraId="6CB35BC9" w14:textId="77777777" w:rsidR="00585F9B" w:rsidRPr="009118AB" w:rsidRDefault="007C6470" w:rsidP="00585F9B">
      <w:pPr>
        <w:autoSpaceDE w:val="0"/>
        <w:autoSpaceDN w:val="0"/>
        <w:adjustRightInd w:val="0"/>
        <w:jc w:val="both"/>
        <w:rPr>
          <w:iCs/>
        </w:rPr>
      </w:pPr>
      <w:r w:rsidRPr="009118AB">
        <w:rPr>
          <w:iCs/>
        </w:rPr>
        <w:tab/>
      </w:r>
      <w:r w:rsidR="00585F9B" w:rsidRPr="009118AB">
        <w:rPr>
          <w:iCs/>
        </w:rPr>
        <w:t>1. die von Investmentgesellschaften [und beaufsichtigten Immobiliengesellschaften] bezogen werden,</w:t>
      </w:r>
    </w:p>
    <w:p w14:paraId="37D517BF" w14:textId="77777777" w:rsidR="00585F9B" w:rsidRPr="009118AB" w:rsidRDefault="00585F9B" w:rsidP="00585F9B">
      <w:pPr>
        <w:autoSpaceDE w:val="0"/>
        <w:autoSpaceDN w:val="0"/>
        <w:adjustRightInd w:val="0"/>
        <w:jc w:val="both"/>
        <w:rPr>
          <w:iCs/>
        </w:rPr>
      </w:pPr>
    </w:p>
    <w:p w14:paraId="04FCB941" w14:textId="2D2786A8" w:rsidR="00585F9B" w:rsidRPr="009118AB" w:rsidRDefault="007C6470" w:rsidP="00585F9B">
      <w:pPr>
        <w:autoSpaceDE w:val="0"/>
        <w:autoSpaceDN w:val="0"/>
        <w:adjustRightInd w:val="0"/>
        <w:jc w:val="both"/>
        <w:rPr>
          <w:iCs/>
        </w:rPr>
      </w:pPr>
      <w:r w:rsidRPr="009118AB">
        <w:rPr>
          <w:iCs/>
        </w:rPr>
        <w:tab/>
      </w:r>
      <w:r w:rsidR="00585F9B" w:rsidRPr="009118AB">
        <w:rPr>
          <w:iCs/>
        </w:rPr>
        <w:t xml:space="preserve">2. [die von Interkommunalen, Zusammenarbeitsverbänden, Projektvereinigungen, autonomen Gemeinderegien und Vereinigungen gewährt oder zuerkannt werden, die </w:t>
      </w:r>
      <w:r w:rsidR="009C4694" w:rsidRPr="009118AB">
        <w:rPr>
          <w:iCs/>
        </w:rPr>
        <w:t>[</w:t>
      </w:r>
      <w:r w:rsidR="00585F9B" w:rsidRPr="009118AB">
        <w:rPr>
          <w:iCs/>
        </w:rPr>
        <w:t xml:space="preserve">in Artikel 180 </w:t>
      </w:r>
      <w:r w:rsidR="009C4694" w:rsidRPr="009118AB">
        <w:rPr>
          <w:iCs/>
        </w:rPr>
        <w:t xml:space="preserve">Absatz 1 </w:t>
      </w:r>
      <w:r w:rsidR="00D67EB8" w:rsidRPr="009118AB">
        <w:rPr>
          <w:iCs/>
        </w:rPr>
        <w:t>Nr. </w:t>
      </w:r>
      <w:r w:rsidR="00585F9B" w:rsidRPr="009118AB">
        <w:rPr>
          <w:iCs/>
        </w:rPr>
        <w:t>1</w:t>
      </w:r>
      <w:r w:rsidR="009C4694" w:rsidRPr="009118AB">
        <w:rPr>
          <w:iCs/>
        </w:rPr>
        <w:t>]</w:t>
      </w:r>
      <w:r w:rsidR="00585F9B" w:rsidRPr="009118AB">
        <w:rPr>
          <w:iCs/>
        </w:rPr>
        <w:t xml:space="preserve"> erwähnt sind,]</w:t>
      </w:r>
    </w:p>
    <w:p w14:paraId="6E5BB54C" w14:textId="77777777" w:rsidR="00585F9B" w:rsidRPr="009118AB" w:rsidRDefault="00585F9B" w:rsidP="00585F9B">
      <w:pPr>
        <w:autoSpaceDE w:val="0"/>
        <w:autoSpaceDN w:val="0"/>
        <w:adjustRightInd w:val="0"/>
        <w:jc w:val="both"/>
        <w:rPr>
          <w:iCs/>
        </w:rPr>
      </w:pPr>
    </w:p>
    <w:p w14:paraId="4F4717C6" w14:textId="77777777" w:rsidR="00585F9B" w:rsidRPr="009118AB" w:rsidRDefault="007C6470" w:rsidP="00585F9B">
      <w:pPr>
        <w:autoSpaceDE w:val="0"/>
        <w:autoSpaceDN w:val="0"/>
        <w:adjustRightInd w:val="0"/>
        <w:jc w:val="both"/>
        <w:rPr>
          <w:iCs/>
        </w:rPr>
      </w:pPr>
      <w:r w:rsidRPr="009118AB">
        <w:rPr>
          <w:iCs/>
        </w:rPr>
        <w:tab/>
      </w:r>
      <w:r w:rsidR="00585F9B" w:rsidRPr="009118AB">
        <w:rPr>
          <w:iCs/>
        </w:rPr>
        <w:t>3. die von Investmentgesellschaften [und beaufsichtigten Immobiliengesellschaften] gewährt oder zuerkannt werden.</w:t>
      </w:r>
    </w:p>
    <w:p w14:paraId="7567E7CF" w14:textId="77777777" w:rsidR="00585F9B" w:rsidRPr="009118AB" w:rsidRDefault="00585F9B" w:rsidP="00585F9B">
      <w:pPr>
        <w:autoSpaceDE w:val="0"/>
        <w:autoSpaceDN w:val="0"/>
        <w:adjustRightInd w:val="0"/>
        <w:jc w:val="both"/>
        <w:rPr>
          <w:iCs/>
        </w:rPr>
      </w:pPr>
    </w:p>
    <w:p w14:paraId="2E34EB15" w14:textId="77777777" w:rsidR="00585F9B" w:rsidRPr="009118AB" w:rsidRDefault="007C6470" w:rsidP="00585F9B">
      <w:pPr>
        <w:autoSpaceDE w:val="0"/>
        <w:autoSpaceDN w:val="0"/>
        <w:adjustRightInd w:val="0"/>
        <w:jc w:val="both"/>
        <w:rPr>
          <w:iCs/>
        </w:rPr>
      </w:pPr>
      <w:r w:rsidRPr="009118AB">
        <w:rPr>
          <w:iCs/>
        </w:rPr>
        <w:tab/>
      </w:r>
      <w:r w:rsidR="00585F9B" w:rsidRPr="009118AB">
        <w:rPr>
          <w:iCs/>
        </w:rPr>
        <w:t>[…]</w:t>
      </w:r>
    </w:p>
    <w:p w14:paraId="3F2B5A46" w14:textId="77777777" w:rsidR="00585F9B" w:rsidRPr="009118AB" w:rsidRDefault="00585F9B" w:rsidP="00585F9B">
      <w:pPr>
        <w:autoSpaceDE w:val="0"/>
        <w:autoSpaceDN w:val="0"/>
        <w:adjustRightInd w:val="0"/>
        <w:jc w:val="both"/>
        <w:rPr>
          <w:iCs/>
        </w:rPr>
      </w:pPr>
    </w:p>
    <w:p w14:paraId="7D32FA81" w14:textId="5D2F0C6C" w:rsidR="00585F9B" w:rsidRPr="009118AB" w:rsidRDefault="007C6470" w:rsidP="00585F9B">
      <w:pPr>
        <w:autoSpaceDE w:val="0"/>
        <w:autoSpaceDN w:val="0"/>
        <w:adjustRightInd w:val="0"/>
        <w:jc w:val="both"/>
        <w:rPr>
          <w:iCs/>
        </w:rPr>
      </w:pPr>
      <w:r w:rsidRPr="009118AB">
        <w:rPr>
          <w:iCs/>
        </w:rPr>
        <w:tab/>
      </w:r>
      <w:r w:rsidR="00585F9B" w:rsidRPr="009118AB">
        <w:rPr>
          <w:iCs/>
        </w:rPr>
        <w:t xml:space="preserve">[Die in Artikel 2 </w:t>
      </w:r>
      <w:r w:rsidR="00D67EB8" w:rsidRPr="009118AB">
        <w:rPr>
          <w:iCs/>
        </w:rPr>
        <w:t>§ </w:t>
      </w:r>
      <w:r w:rsidR="00585F9B" w:rsidRPr="009118AB">
        <w:rPr>
          <w:iCs/>
        </w:rPr>
        <w:t xml:space="preserve">2 erwähnte Fiktion der Nichtübertragung des Eigentums ist für die Bestimmung, ob die in Absatz 1 </w:t>
      </w:r>
      <w:r w:rsidR="00D67EB8" w:rsidRPr="009118AB">
        <w:rPr>
          <w:iCs/>
        </w:rPr>
        <w:t>Nr. </w:t>
      </w:r>
      <w:r w:rsidR="00585F9B" w:rsidRPr="009118AB">
        <w:rPr>
          <w:iCs/>
        </w:rPr>
        <w:t>1 erwähnte Bedingung erfüllt ist, nicht anwendbar.]]]</w:t>
      </w:r>
    </w:p>
    <w:p w14:paraId="27C12738" w14:textId="77777777" w:rsidR="00585F9B" w:rsidRPr="009118AB" w:rsidRDefault="00585F9B" w:rsidP="00585F9B">
      <w:pPr>
        <w:autoSpaceDE w:val="0"/>
        <w:autoSpaceDN w:val="0"/>
        <w:adjustRightInd w:val="0"/>
        <w:jc w:val="both"/>
        <w:rPr>
          <w:iCs/>
        </w:rPr>
      </w:pPr>
    </w:p>
    <w:p w14:paraId="380A48AA" w14:textId="386DE8D8" w:rsidR="00585F9B" w:rsidRDefault="007C6470" w:rsidP="00585F9B">
      <w:pPr>
        <w:autoSpaceDE w:val="0"/>
        <w:autoSpaceDN w:val="0"/>
        <w:adjustRightInd w:val="0"/>
        <w:jc w:val="both"/>
        <w:rPr>
          <w:iCs/>
        </w:rPr>
      </w:pPr>
      <w:r w:rsidRPr="009118AB">
        <w:rPr>
          <w:iCs/>
        </w:rPr>
        <w:tab/>
      </w:r>
      <w:r w:rsidR="00585F9B" w:rsidRPr="009118AB">
        <w:rPr>
          <w:iCs/>
        </w:rPr>
        <w:t xml:space="preserve">[Zudem sind in </w:t>
      </w:r>
      <w:r w:rsidR="00D67EB8" w:rsidRPr="009118AB">
        <w:rPr>
          <w:iCs/>
        </w:rPr>
        <w:t>§ </w:t>
      </w:r>
      <w:r w:rsidR="00585F9B" w:rsidRPr="009118AB">
        <w:rPr>
          <w:iCs/>
        </w:rPr>
        <w:t xml:space="preserve">1 Absatz 1 </w:t>
      </w:r>
      <w:r w:rsidR="00D67EB8" w:rsidRPr="009118AB">
        <w:rPr>
          <w:iCs/>
        </w:rPr>
        <w:t>Nr. </w:t>
      </w:r>
      <w:r w:rsidR="00585F9B" w:rsidRPr="009118AB">
        <w:rPr>
          <w:iCs/>
        </w:rPr>
        <w:t xml:space="preserve">1 und 2 </w:t>
      </w:r>
      <w:r w:rsidR="00585F9B" w:rsidRPr="009118AB">
        <w:rPr>
          <w:i/>
          <w:iCs/>
        </w:rPr>
        <w:t xml:space="preserve">[sic, zu lesen ist: </w:t>
      </w:r>
      <w:r w:rsidR="00D67EB8" w:rsidRPr="009118AB">
        <w:rPr>
          <w:i/>
          <w:iCs/>
        </w:rPr>
        <w:t>§ </w:t>
      </w:r>
      <w:r w:rsidR="00585F9B" w:rsidRPr="009118AB">
        <w:rPr>
          <w:i/>
          <w:iCs/>
        </w:rPr>
        <w:t xml:space="preserve">1 einziger Absatz </w:t>
      </w:r>
      <w:r w:rsidR="00D67EB8" w:rsidRPr="009118AB">
        <w:rPr>
          <w:i/>
          <w:iCs/>
        </w:rPr>
        <w:t>Nr. </w:t>
      </w:r>
      <w:r w:rsidR="00585F9B" w:rsidRPr="009118AB">
        <w:rPr>
          <w:i/>
          <w:iCs/>
        </w:rPr>
        <w:t>1 und 2]</w:t>
      </w:r>
      <w:r w:rsidR="00585F9B" w:rsidRPr="009118AB">
        <w:rPr>
          <w:iCs/>
        </w:rPr>
        <w:t xml:space="preserve"> erwähnte Einkünfte, die aufgrund von Aktien oder Anteilen bezogen werden, die aufgrund einer Vereinbarung über die Leistung von dinglichen Sicherheiten oder eines Verleihs mit Bezug auf Finanzinstrumente erworben wurden, nicht abzugsfähig.]</w:t>
      </w:r>
    </w:p>
    <w:p w14:paraId="311ECF26" w14:textId="77777777" w:rsidR="00C5158F" w:rsidRDefault="00C5158F" w:rsidP="00585F9B">
      <w:pPr>
        <w:autoSpaceDE w:val="0"/>
        <w:autoSpaceDN w:val="0"/>
        <w:adjustRightInd w:val="0"/>
        <w:jc w:val="both"/>
        <w:rPr>
          <w:iCs/>
        </w:rPr>
      </w:pPr>
    </w:p>
    <w:p w14:paraId="730AF5E8" w14:textId="1864103B" w:rsidR="00C5158F" w:rsidRPr="00FF1F87" w:rsidRDefault="00C5158F" w:rsidP="00C5158F">
      <w:pPr>
        <w:ind w:firstLine="708"/>
        <w:jc w:val="both"/>
      </w:pPr>
      <w:r>
        <w:rPr>
          <w:iCs/>
        </w:rPr>
        <w:tab/>
        <w:t>[</w:t>
      </w:r>
      <w:r w:rsidRPr="00FF1F87">
        <w:t>§ 3 - Von den Gewinnen des Besteuerungszeitraums werden ebenfalls die Gewinne abgezogen, die von einer in Artikel 185/2 § 2 erwähnten ausländischen Gesellschaft ausgeschüttet werden, sofern sie sich darin befinden und sofern und in dem Maße, wie der Steuerpflichtige nachgewiesen hat, dass diese Gewinne bereits in einem vorhergehenden Besteuerungszeitraum in Anwendung von Artikel 185/2 bei ihm als nicht ausgeschüttete Gewinne besteuert wurden und dass sie noch nicht von der Steuer befreit worden sind.</w:t>
      </w:r>
    </w:p>
    <w:p w14:paraId="0688C6FC" w14:textId="77777777" w:rsidR="00C5158F" w:rsidRPr="00FF1F87" w:rsidRDefault="00C5158F" w:rsidP="00C5158F">
      <w:pPr>
        <w:jc w:val="both"/>
      </w:pPr>
    </w:p>
    <w:p w14:paraId="72F7AC91" w14:textId="51CF56F0" w:rsidR="00C5158F" w:rsidRPr="009118AB" w:rsidRDefault="00C5158F" w:rsidP="00C5158F">
      <w:pPr>
        <w:autoSpaceDE w:val="0"/>
        <w:autoSpaceDN w:val="0"/>
        <w:adjustRightInd w:val="0"/>
        <w:ind w:firstLine="708"/>
        <w:jc w:val="both"/>
        <w:rPr>
          <w:iCs/>
        </w:rPr>
      </w:pPr>
      <w:r w:rsidRPr="00FF1F87">
        <w:t>Für die Anwendung des vorliegenden Paragraphen wird davon ausgegangen, dass die Gewinne der ausländischen Gesellschaft oder die Gewinne einer in einem Drittland gelegenen Niederlassung dieser Gesellschaft, die gemäß Artikel 185/2 bei der inländischen Gesellschaft besteuert wurden, zuerst ausgeschüttet werden.</w:t>
      </w:r>
      <w:r>
        <w:t>]</w:t>
      </w:r>
    </w:p>
    <w:p w14:paraId="7D9279DF" w14:textId="77777777" w:rsidR="00585F9B" w:rsidRPr="009118AB" w:rsidRDefault="00585F9B" w:rsidP="00585F9B">
      <w:pPr>
        <w:autoSpaceDE w:val="0"/>
        <w:autoSpaceDN w:val="0"/>
        <w:adjustRightInd w:val="0"/>
        <w:jc w:val="both"/>
        <w:rPr>
          <w:iCs/>
        </w:rPr>
      </w:pPr>
    </w:p>
    <w:p w14:paraId="775A513A" w14:textId="7B5790A3" w:rsidR="00585F9B" w:rsidRPr="009118AB" w:rsidRDefault="00585F9B" w:rsidP="00585F9B">
      <w:pPr>
        <w:autoSpaceDE w:val="0"/>
        <w:autoSpaceDN w:val="0"/>
        <w:adjustRightInd w:val="0"/>
        <w:jc w:val="both"/>
        <w:rPr>
          <w:iCs/>
        </w:rPr>
      </w:pPr>
      <w:r w:rsidRPr="009118AB">
        <w:rPr>
          <w:i/>
          <w:iCs/>
        </w:rPr>
        <w:t>[</w:t>
      </w:r>
      <w:r w:rsidR="00D67EB8" w:rsidRPr="009118AB">
        <w:rPr>
          <w:i/>
          <w:iCs/>
        </w:rPr>
        <w:t>Art. </w:t>
      </w:r>
      <w:r w:rsidRPr="009118AB">
        <w:rPr>
          <w:i/>
          <w:iCs/>
        </w:rPr>
        <w:t xml:space="preserve">202 </w:t>
      </w:r>
      <w:r w:rsidR="00D67EB8" w:rsidRPr="009118AB">
        <w:rPr>
          <w:i/>
          <w:iCs/>
        </w:rPr>
        <w:t>§ </w:t>
      </w:r>
      <w:r w:rsidRPr="009118AB">
        <w:rPr>
          <w:i/>
          <w:iCs/>
        </w:rPr>
        <w:t xml:space="preserve">1 nummeriert durch </w:t>
      </w:r>
      <w:r w:rsidR="00D67EB8" w:rsidRPr="009118AB">
        <w:rPr>
          <w:i/>
          <w:iCs/>
        </w:rPr>
        <w:t>Art. </w:t>
      </w:r>
      <w:r w:rsidRPr="009118AB">
        <w:rPr>
          <w:i/>
          <w:iCs/>
        </w:rPr>
        <w:t>25 des K.E. vom 20. Dezember 1996 (B.S. vom 31. Dezember 1996)</w:t>
      </w:r>
      <w:r w:rsidR="00D67EB8" w:rsidRPr="009118AB">
        <w:rPr>
          <w:i/>
          <w:iCs/>
        </w:rPr>
        <w:t> - </w:t>
      </w:r>
      <w:r w:rsidRPr="009118AB">
        <w:rPr>
          <w:i/>
          <w:iCs/>
        </w:rPr>
        <w:t>anwendbar auf Einkünfte, die ab dem 1. Januar 1997 zuerkannt oder ausgeschüttet werden</w:t>
      </w:r>
      <w:r w:rsidR="003366D9" w:rsidRPr="009118AB">
        <w:rPr>
          <w:i/>
          <w:iCs/>
        </w:rPr>
        <w:t> -;</w:t>
      </w:r>
      <w:r w:rsidRPr="009118AB">
        <w:rPr>
          <w:i/>
          <w:iCs/>
        </w:rPr>
        <w:t xml:space="preserve"> </w:t>
      </w:r>
      <w:r w:rsidR="00D67EB8" w:rsidRPr="009118AB">
        <w:rPr>
          <w:i/>
          <w:iCs/>
        </w:rPr>
        <w:t>§ </w:t>
      </w:r>
      <w:r w:rsidRPr="009118AB">
        <w:rPr>
          <w:i/>
          <w:iCs/>
        </w:rPr>
        <w:t xml:space="preserve">1 </w:t>
      </w:r>
      <w:r w:rsidR="00F2664D" w:rsidRPr="009118AB">
        <w:rPr>
          <w:i/>
          <w:iCs/>
        </w:rPr>
        <w:t>einziger Absatz</w:t>
      </w:r>
      <w:r w:rsidRPr="009118AB">
        <w:rPr>
          <w:i/>
          <w:iCs/>
        </w:rPr>
        <w:t xml:space="preserve"> </w:t>
      </w:r>
      <w:r w:rsidR="00D67EB8" w:rsidRPr="009118AB">
        <w:rPr>
          <w:i/>
          <w:iCs/>
        </w:rPr>
        <w:t>Nr. </w:t>
      </w:r>
      <w:r w:rsidRPr="009118AB">
        <w:rPr>
          <w:i/>
          <w:iCs/>
        </w:rPr>
        <w:t xml:space="preserve">1 abgeändert durch </w:t>
      </w:r>
      <w:r w:rsidR="00D67EB8" w:rsidRPr="009118AB">
        <w:rPr>
          <w:i/>
          <w:iCs/>
        </w:rPr>
        <w:t>Art. </w:t>
      </w:r>
      <w:r w:rsidRPr="009118AB">
        <w:rPr>
          <w:i/>
          <w:iCs/>
        </w:rPr>
        <w:t>19 des G. vom 28. Juli 1992 (B.S. vom 31. Juli 1992)</w:t>
      </w:r>
      <w:r w:rsidR="00D67EB8" w:rsidRPr="009118AB">
        <w:rPr>
          <w:i/>
          <w:iCs/>
        </w:rPr>
        <w:t> - </w:t>
      </w:r>
      <w:r w:rsidRPr="009118AB">
        <w:rPr>
          <w:i/>
          <w:iCs/>
        </w:rPr>
        <w:t>anwendbar auf Zinsen auf Vorschüsse, die ab dem 27. März 1992 gezahlt oder zuerkannt werden</w:t>
      </w:r>
      <w:r w:rsidR="003366D9" w:rsidRPr="009118AB">
        <w:rPr>
          <w:i/>
          <w:iCs/>
        </w:rPr>
        <w:t> -;</w:t>
      </w:r>
      <w:r w:rsidRPr="009118AB">
        <w:rPr>
          <w:i/>
          <w:iCs/>
        </w:rPr>
        <w:t xml:space="preserve"> </w:t>
      </w:r>
      <w:r w:rsidR="00D67EB8" w:rsidRPr="009118AB">
        <w:rPr>
          <w:i/>
          <w:iCs/>
        </w:rPr>
        <w:t>§ </w:t>
      </w:r>
      <w:r w:rsidR="009C4694" w:rsidRPr="009118AB">
        <w:rPr>
          <w:i/>
          <w:iCs/>
        </w:rPr>
        <w:t xml:space="preserve">1 </w:t>
      </w:r>
      <w:r w:rsidR="00C5158F">
        <w:rPr>
          <w:i/>
          <w:iCs/>
        </w:rPr>
        <w:t>einziger Absatz</w:t>
      </w:r>
      <w:r w:rsidR="009C4694" w:rsidRPr="009118AB">
        <w:rPr>
          <w:i/>
          <w:iCs/>
        </w:rPr>
        <w:t xml:space="preserve"> </w:t>
      </w:r>
      <w:r w:rsidR="00D67EB8" w:rsidRPr="009118AB">
        <w:rPr>
          <w:i/>
          <w:iCs/>
        </w:rPr>
        <w:t>Nr. </w:t>
      </w:r>
      <w:r w:rsidR="009C4694" w:rsidRPr="009118AB">
        <w:rPr>
          <w:i/>
          <w:iCs/>
        </w:rPr>
        <w:t xml:space="preserve">3 aufgehoben durch </w:t>
      </w:r>
      <w:r w:rsidR="00D67EB8" w:rsidRPr="009118AB">
        <w:rPr>
          <w:i/>
          <w:iCs/>
        </w:rPr>
        <w:t>Art. </w:t>
      </w:r>
      <w:r w:rsidR="009C4694" w:rsidRPr="009118AB">
        <w:rPr>
          <w:i/>
          <w:iCs/>
        </w:rPr>
        <w:t xml:space="preserve">46 </w:t>
      </w:r>
      <w:r w:rsidR="00D67EB8" w:rsidRPr="009118AB">
        <w:rPr>
          <w:i/>
          <w:iCs/>
        </w:rPr>
        <w:t>Nr. </w:t>
      </w:r>
      <w:r w:rsidR="009C4694" w:rsidRPr="009118AB">
        <w:rPr>
          <w:i/>
          <w:iCs/>
        </w:rPr>
        <w:t>1</w:t>
      </w:r>
      <w:r w:rsidR="009C4694" w:rsidRPr="009118AB">
        <w:rPr>
          <w:i/>
        </w:rPr>
        <w:t xml:space="preserve"> des G. vom 27. Juni 2021 (B.S. vom 30. Juni 2021); </w:t>
      </w:r>
      <w:r w:rsidR="00D67EB8" w:rsidRPr="009118AB">
        <w:rPr>
          <w:i/>
          <w:iCs/>
        </w:rPr>
        <w:t>§ </w:t>
      </w:r>
      <w:r w:rsidRPr="009118AB">
        <w:rPr>
          <w:i/>
          <w:iCs/>
        </w:rPr>
        <w:t xml:space="preserve">1 </w:t>
      </w:r>
      <w:r w:rsidR="00C5158F">
        <w:rPr>
          <w:i/>
          <w:iCs/>
        </w:rPr>
        <w:t>einziger Absatz</w:t>
      </w:r>
      <w:r w:rsidRPr="009118AB">
        <w:rPr>
          <w:i/>
          <w:iCs/>
        </w:rPr>
        <w:t xml:space="preserve"> </w:t>
      </w:r>
      <w:r w:rsidR="00D67EB8" w:rsidRPr="009118AB">
        <w:rPr>
          <w:i/>
          <w:iCs/>
        </w:rPr>
        <w:t>Nr. </w:t>
      </w:r>
      <w:r w:rsidRPr="009118AB">
        <w:rPr>
          <w:i/>
          <w:iCs/>
        </w:rPr>
        <w:t xml:space="preserve">4 aufgehoben durch </w:t>
      </w:r>
      <w:r w:rsidR="00D67EB8" w:rsidRPr="009118AB">
        <w:rPr>
          <w:i/>
          <w:iCs/>
        </w:rPr>
        <w:t>Art. </w:t>
      </w:r>
      <w:r w:rsidR="00C5158F">
        <w:rPr>
          <w:i/>
          <w:iCs/>
        </w:rPr>
        <w:t>24 Nr. 1</w:t>
      </w:r>
      <w:r w:rsidR="00C5158F" w:rsidRPr="00C5158F">
        <w:rPr>
          <w:i/>
          <w:iCs/>
        </w:rPr>
        <w:t xml:space="preserve"> des G. vom 22. Dezember 2023 (II) (B.S. vom 29. Dezember 2023) - anwendbar ab dem Steuerjahr 2024 -</w:t>
      </w:r>
      <w:r w:rsidRPr="009118AB">
        <w:rPr>
          <w:i/>
          <w:iCs/>
        </w:rPr>
        <w:t xml:space="preserve">; </w:t>
      </w:r>
      <w:r w:rsidR="00D67EB8" w:rsidRPr="009118AB">
        <w:rPr>
          <w:i/>
          <w:iCs/>
        </w:rPr>
        <w:t>§ </w:t>
      </w:r>
      <w:r w:rsidRPr="009118AB">
        <w:rPr>
          <w:i/>
          <w:iCs/>
        </w:rPr>
        <w:t xml:space="preserve">1 </w:t>
      </w:r>
      <w:r w:rsidR="00C5158F">
        <w:rPr>
          <w:i/>
          <w:iCs/>
        </w:rPr>
        <w:t>einziger Absatz</w:t>
      </w:r>
      <w:r w:rsidRPr="009118AB">
        <w:rPr>
          <w:i/>
          <w:iCs/>
        </w:rPr>
        <w:t xml:space="preserve"> </w:t>
      </w:r>
      <w:r w:rsidR="00D67EB8" w:rsidRPr="009118AB">
        <w:rPr>
          <w:i/>
          <w:iCs/>
        </w:rPr>
        <w:t>Nr. </w:t>
      </w:r>
      <w:r w:rsidRPr="009118AB">
        <w:rPr>
          <w:i/>
          <w:iCs/>
        </w:rPr>
        <w:t xml:space="preserve">5 aufgehoben durch </w:t>
      </w:r>
      <w:r w:rsidR="00D67EB8" w:rsidRPr="009118AB">
        <w:rPr>
          <w:i/>
          <w:iCs/>
        </w:rPr>
        <w:t>Art. </w:t>
      </w:r>
      <w:r w:rsidR="00C5158F">
        <w:rPr>
          <w:i/>
          <w:iCs/>
        </w:rPr>
        <w:t>2</w:t>
      </w:r>
      <w:r w:rsidRPr="009118AB">
        <w:rPr>
          <w:i/>
          <w:iCs/>
        </w:rPr>
        <w:t xml:space="preserve">4 </w:t>
      </w:r>
      <w:r w:rsidR="00D67EB8" w:rsidRPr="009118AB">
        <w:rPr>
          <w:i/>
          <w:iCs/>
        </w:rPr>
        <w:t>Nr.</w:t>
      </w:r>
      <w:r w:rsidR="00C5158F">
        <w:rPr>
          <w:i/>
          <w:iCs/>
        </w:rPr>
        <w:t xml:space="preserve"> 1 </w:t>
      </w:r>
      <w:r w:rsidR="00C5158F" w:rsidRPr="00C5158F">
        <w:rPr>
          <w:i/>
          <w:iCs/>
        </w:rPr>
        <w:t>des G. vom 22. Dezember 2023 (II) (B.S. vom 29. Dezember 2023) - anwendbar ab dem Steuerjahr 2024 -</w:t>
      </w:r>
      <w:r w:rsidRPr="009118AB">
        <w:rPr>
          <w:i/>
          <w:iCs/>
        </w:rPr>
        <w:t xml:space="preserve">; </w:t>
      </w:r>
      <w:r w:rsidR="00D67EB8" w:rsidRPr="009118AB">
        <w:rPr>
          <w:i/>
          <w:iCs/>
        </w:rPr>
        <w:t>§ </w:t>
      </w:r>
      <w:r w:rsidR="00F2664D" w:rsidRPr="009118AB">
        <w:rPr>
          <w:i/>
          <w:iCs/>
        </w:rPr>
        <w:t xml:space="preserve">1 </w:t>
      </w:r>
      <w:r w:rsidR="00C5158F">
        <w:rPr>
          <w:i/>
          <w:iCs/>
        </w:rPr>
        <w:t xml:space="preserve">früherer </w:t>
      </w:r>
      <w:r w:rsidR="00D67EB8" w:rsidRPr="009118AB">
        <w:rPr>
          <w:i/>
          <w:iCs/>
        </w:rPr>
        <w:t>Abs</w:t>
      </w:r>
      <w:r w:rsidR="00C5158F">
        <w:rPr>
          <w:i/>
          <w:iCs/>
        </w:rPr>
        <w:t>atz</w:t>
      </w:r>
      <w:r w:rsidR="00D67EB8" w:rsidRPr="009118AB">
        <w:rPr>
          <w:i/>
          <w:iCs/>
        </w:rPr>
        <w:t> </w:t>
      </w:r>
      <w:r w:rsidR="00F2664D" w:rsidRPr="009118AB">
        <w:rPr>
          <w:i/>
          <w:iCs/>
        </w:rPr>
        <w:t xml:space="preserve">2 eingefügt durch </w:t>
      </w:r>
      <w:r w:rsidR="00D67EB8" w:rsidRPr="009118AB">
        <w:rPr>
          <w:i/>
          <w:iCs/>
        </w:rPr>
        <w:t>Art. </w:t>
      </w:r>
      <w:r w:rsidR="00F2664D" w:rsidRPr="009118AB">
        <w:rPr>
          <w:i/>
          <w:iCs/>
        </w:rPr>
        <w:t xml:space="preserve">44 </w:t>
      </w:r>
      <w:r w:rsidR="00D67EB8" w:rsidRPr="009118AB">
        <w:rPr>
          <w:i/>
          <w:iCs/>
        </w:rPr>
        <w:t>Nr. </w:t>
      </w:r>
      <w:r w:rsidR="00F2664D" w:rsidRPr="009118AB">
        <w:rPr>
          <w:i/>
          <w:iCs/>
        </w:rPr>
        <w:t>3 des G. vom 25. Dezember 2017 (III) (B.S. vom 29. Dezember 2017)</w:t>
      </w:r>
      <w:r w:rsidR="00D67EB8" w:rsidRPr="009118AB">
        <w:rPr>
          <w:i/>
          <w:iCs/>
        </w:rPr>
        <w:t> - </w:t>
      </w:r>
      <w:r w:rsidR="00F2664D" w:rsidRPr="009118AB">
        <w:rPr>
          <w:i/>
          <w:iCs/>
        </w:rPr>
        <w:t>in Kraft am 1. Januar 2019 und anwendbar ab dem Steuerjahr 2020, das sich auf einen Besteuerungszeitraum bezieht, der frühestens am 1. Januar 2019 beginnt</w:t>
      </w:r>
      <w:r w:rsidR="00FD68E8" w:rsidRPr="009118AB">
        <w:rPr>
          <w:i/>
          <w:iCs/>
        </w:rPr>
        <w:t> -,</w:t>
      </w:r>
      <w:r w:rsidR="00F2664D" w:rsidRPr="009118AB">
        <w:rPr>
          <w:i/>
          <w:iCs/>
        </w:rPr>
        <w:t xml:space="preserve"> selbst eingefügt durch </w:t>
      </w:r>
      <w:r w:rsidR="00D67EB8" w:rsidRPr="009118AB">
        <w:rPr>
          <w:i/>
          <w:iCs/>
        </w:rPr>
        <w:t>Art. </w:t>
      </w:r>
      <w:r w:rsidR="00F2664D" w:rsidRPr="009118AB">
        <w:rPr>
          <w:i/>
          <w:iCs/>
        </w:rPr>
        <w:t>30 Buchstabe b)</w:t>
      </w:r>
      <w:r w:rsidR="00F2664D" w:rsidRPr="009118AB">
        <w:rPr>
          <w:i/>
        </w:rPr>
        <w:t xml:space="preserve"> des G. vom 30. Juli 2018 (I) (B.S. vom 10. August 2018)</w:t>
      </w:r>
      <w:r w:rsidR="00C5158F">
        <w:rPr>
          <w:i/>
        </w:rPr>
        <w:t>, und aufgehoben durch Art. 24 Nr. 2</w:t>
      </w:r>
      <w:r w:rsidR="00C5158F" w:rsidRPr="00C5158F">
        <w:rPr>
          <w:i/>
          <w:iCs/>
        </w:rPr>
        <w:t xml:space="preserve"> des G. vom 22. Dezember 2023 (II) (B.S. vom 29. Dezember 2023) - anwendbar ab dem Steuerjahr 2024 -</w:t>
      </w:r>
      <w:r w:rsidR="00F2664D" w:rsidRPr="009118AB">
        <w:rPr>
          <w:i/>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25 des K.E. vom 20. Dezember 1996</w:t>
      </w:r>
      <w:r w:rsidR="00D27B17" w:rsidRPr="009118AB">
        <w:rPr>
          <w:i/>
          <w:iCs/>
        </w:rPr>
        <w:t xml:space="preserve"> (B.S. vom 31. Dezember 1996)</w:t>
      </w:r>
      <w:r w:rsidR="00D67EB8" w:rsidRPr="009118AB">
        <w:rPr>
          <w:i/>
          <w:iCs/>
        </w:rPr>
        <w:t> - </w:t>
      </w:r>
      <w:r w:rsidRPr="009118AB">
        <w:rPr>
          <w:i/>
          <w:iCs/>
        </w:rPr>
        <w:t>anwendbar auf Einkünfte, die ab dem 1. Januar 1997 zuerkannt oder ausgeschüttet werden</w:t>
      </w:r>
      <w:r w:rsidR="00D67EB8" w:rsidRPr="009118AB">
        <w:rPr>
          <w:i/>
          <w:iCs/>
        </w:rPr>
        <w:t> - </w:t>
      </w:r>
      <w:r w:rsidRPr="009118AB">
        <w:rPr>
          <w:i/>
          <w:iCs/>
        </w:rPr>
        <w:t xml:space="preserve">und ersetzt durch </w:t>
      </w:r>
      <w:r w:rsidR="00D67EB8" w:rsidRPr="009118AB">
        <w:rPr>
          <w:i/>
          <w:iCs/>
        </w:rPr>
        <w:t>Art. </w:t>
      </w:r>
      <w:r w:rsidRPr="009118AB">
        <w:rPr>
          <w:i/>
          <w:iCs/>
        </w:rPr>
        <w:t>9 des G. vom 24. Dezember 2002 (II) (B.S. vom 31. Dezember 2002)</w:t>
      </w:r>
      <w:r w:rsidR="00D67EB8" w:rsidRPr="009118AB">
        <w:rPr>
          <w:i/>
          <w:iCs/>
        </w:rPr>
        <w:t> - </w:t>
      </w:r>
      <w:r w:rsidRPr="009118AB">
        <w:rPr>
          <w:i/>
          <w:iCs/>
        </w:rPr>
        <w:t>in Kraft ab dem Steuerjahr 2004</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einleitende Bestimmung ersetzt durch </w:t>
      </w:r>
      <w:r w:rsidR="00D67EB8" w:rsidRPr="009118AB">
        <w:rPr>
          <w:i/>
          <w:iCs/>
        </w:rPr>
        <w:t>Art. </w:t>
      </w:r>
      <w:r w:rsidRPr="009118AB">
        <w:rPr>
          <w:i/>
          <w:iCs/>
        </w:rPr>
        <w:t xml:space="preserve">17 des G. vom 11. Dezember 2008 (B.S. vom </w:t>
      </w:r>
      <w:r w:rsidRPr="009118AB">
        <w:rPr>
          <w:i/>
          <w:iCs/>
        </w:rPr>
        <w:lastRenderedPageBreak/>
        <w:t>12. 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Pr="009118AB">
        <w:rPr>
          <w:i/>
          <w:iCs/>
        </w:rPr>
        <w:t xml:space="preserve">und abgeändert durch </w:t>
      </w:r>
      <w:r w:rsidR="00D67EB8" w:rsidRPr="009118AB">
        <w:rPr>
          <w:i/>
          <w:iCs/>
        </w:rPr>
        <w:t>Art. </w:t>
      </w:r>
      <w:r w:rsidRPr="009118AB">
        <w:rPr>
          <w:i/>
          <w:iCs/>
        </w:rPr>
        <w:t xml:space="preserve">44 </w:t>
      </w:r>
      <w:r w:rsidR="00D67EB8" w:rsidRPr="009118AB">
        <w:rPr>
          <w:i/>
          <w:iCs/>
        </w:rPr>
        <w:t>Nr. </w:t>
      </w:r>
      <w:r w:rsidRPr="009118AB">
        <w:rPr>
          <w:i/>
          <w:iCs/>
        </w:rPr>
        <w:t>1 des G. vom 14. April 2011 (B.S. vom 6. Mai 2011)</w:t>
      </w:r>
      <w:r w:rsidR="00D67EB8" w:rsidRPr="009118AB">
        <w:rPr>
          <w:i/>
          <w:iCs/>
        </w:rPr>
        <w:t> - </w:t>
      </w:r>
      <w:r w:rsidRPr="009118AB">
        <w:rPr>
          <w:i/>
          <w:iCs/>
        </w:rPr>
        <w:t>wirksam mit 1. Januar 2011</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w:t>
      </w:r>
      <w:r w:rsidR="00D67EB8" w:rsidRPr="009118AB">
        <w:rPr>
          <w:i/>
          <w:iCs/>
        </w:rPr>
        <w:t>Nr. </w:t>
      </w:r>
      <w:r w:rsidRPr="009118AB">
        <w:rPr>
          <w:i/>
          <w:iCs/>
        </w:rPr>
        <w:t xml:space="preserve">1 abgeändert durch </w:t>
      </w:r>
      <w:r w:rsidR="00D67EB8" w:rsidRPr="009118AB">
        <w:rPr>
          <w:i/>
          <w:iCs/>
        </w:rPr>
        <w:t>Art. </w:t>
      </w:r>
      <w:r w:rsidRPr="009118AB">
        <w:rPr>
          <w:i/>
          <w:iCs/>
        </w:rPr>
        <w:t>130 des G. vom 23. Dezember 2009 (B.S. vom 30. Dezember 2009)</w:t>
      </w:r>
      <w:r w:rsidR="00D67EB8" w:rsidRPr="009118AB">
        <w:rPr>
          <w:i/>
          <w:iCs/>
        </w:rPr>
        <w:t> - </w:t>
      </w:r>
      <w:r w:rsidRPr="009118AB">
        <w:rPr>
          <w:i/>
          <w:iCs/>
        </w:rPr>
        <w:t xml:space="preserve">anwendbar auf die ab dem </w:t>
      </w:r>
      <w:r w:rsidRPr="009118AB">
        <w:rPr>
          <w:rFonts w:ascii="Times New Roman Italique" w:hAnsi="Times New Roman Italique"/>
          <w:i/>
          <w:iCs/>
          <w:spacing w:val="-2"/>
        </w:rPr>
        <w:t>1. Januar 2010 zuerkannten oder ausgeschütteten Einkünfte</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44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14. April 2011 (B.S. vom 6. Mai 2011)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wirksam mit 1. Januar 2011</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früherer Absatz 2 aufgehoben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44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3 des G. vom 14. April 2011 (B.S. vom 6. Mai 2011)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wirksam mit 1. Januar 2011</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2</w:t>
      </w:r>
      <w:r w:rsidRPr="009118AB">
        <w:rPr>
          <w:i/>
          <w:iCs/>
        </w:rPr>
        <w:t xml:space="preserve"> </w:t>
      </w:r>
      <w:r w:rsidR="00D67EB8" w:rsidRPr="009118AB">
        <w:rPr>
          <w:i/>
          <w:iCs/>
        </w:rPr>
        <w:t>Abs. </w:t>
      </w:r>
      <w:r w:rsidRPr="009118AB">
        <w:rPr>
          <w:i/>
          <w:iCs/>
        </w:rPr>
        <w:t xml:space="preserve">3 </w:t>
      </w:r>
      <w:r w:rsidR="00D67EB8" w:rsidRPr="009118AB">
        <w:rPr>
          <w:i/>
          <w:iCs/>
        </w:rPr>
        <w:t>Nr. </w:t>
      </w:r>
      <w:r w:rsidRPr="009118AB">
        <w:rPr>
          <w:i/>
          <w:iCs/>
        </w:rPr>
        <w:t xml:space="preserve">1 abgeändert durch </w:t>
      </w:r>
      <w:r w:rsidR="00D67EB8" w:rsidRPr="009118AB">
        <w:rPr>
          <w:i/>
          <w:iCs/>
        </w:rPr>
        <w:t>Art. </w:t>
      </w:r>
      <w:r w:rsidRPr="009118AB">
        <w:rPr>
          <w:i/>
          <w:iCs/>
        </w:rPr>
        <w:t>87 des G. vom 12. Mai 2014 (II) (B.S. vom 30. Juni 2014)</w:t>
      </w:r>
      <w:r w:rsidR="00D67EB8" w:rsidRPr="009118AB">
        <w:rPr>
          <w:i/>
          <w:iCs/>
        </w:rPr>
        <w:t> - </w:t>
      </w:r>
      <w:r w:rsidRPr="009118AB">
        <w:rPr>
          <w:i/>
          <w:iCs/>
        </w:rPr>
        <w:t>in Kraft ab dem 16. Juli 2014</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3 </w:t>
      </w:r>
      <w:r w:rsidR="00D67EB8" w:rsidRPr="009118AB">
        <w:rPr>
          <w:i/>
          <w:iCs/>
        </w:rPr>
        <w:t>Nr. </w:t>
      </w:r>
      <w:r w:rsidRPr="009118AB">
        <w:rPr>
          <w:i/>
          <w:iCs/>
        </w:rPr>
        <w:t xml:space="preserve">2 aufgehoben durch </w:t>
      </w:r>
      <w:r w:rsidR="00D67EB8" w:rsidRPr="009118AB">
        <w:rPr>
          <w:i/>
          <w:iCs/>
        </w:rPr>
        <w:t>Art. </w:t>
      </w:r>
      <w:r w:rsidRPr="009118AB">
        <w:rPr>
          <w:i/>
          <w:iCs/>
        </w:rPr>
        <w:t>18 des G. vom 19. Dezember 2014 (B.S. vom 29. Dezember 2014)</w:t>
      </w:r>
      <w:r w:rsidR="00D67EB8" w:rsidRPr="009118AB">
        <w:rPr>
          <w:i/>
          <w:iCs/>
        </w:rPr>
        <w:t> - </w:t>
      </w:r>
      <w:r w:rsidRPr="009118AB">
        <w:rPr>
          <w:i/>
          <w:iCs/>
        </w:rPr>
        <w:t xml:space="preserve">in Kraft ab dem Steuerjahr 2015 und anwendbar auf Dividenden, die von Interkommunalen, Zusammenarbeitsverbänden und Projektvereinigungen erwähnt in Artikel 180 </w:t>
      </w:r>
      <w:r w:rsidR="00D67EB8" w:rsidRPr="009118AB">
        <w:rPr>
          <w:i/>
          <w:iCs/>
        </w:rPr>
        <w:t>Nr. </w:t>
      </w:r>
      <w:r w:rsidRPr="009118AB">
        <w:rPr>
          <w:i/>
          <w:iCs/>
        </w:rPr>
        <w:t>1 desselben Gesetzbuches, so wie er vor seiner Aufhebung durch Artikel 17 bestand, gewährt oder zuerkannt werden für ihre Geschäftsjahre, die frühestens am 1. J</w:t>
      </w:r>
      <w:r w:rsidR="009C4694" w:rsidRPr="009118AB">
        <w:rPr>
          <w:i/>
          <w:iCs/>
        </w:rPr>
        <w:t>uli 2015 abgeschlossen werden</w:t>
      </w:r>
      <w:r w:rsidR="00FD68E8" w:rsidRPr="009118AB">
        <w:rPr>
          <w:i/>
          <w:iCs/>
        </w:rPr>
        <w:t> -,</w:t>
      </w:r>
      <w:r w:rsidRPr="009118AB">
        <w:rPr>
          <w:i/>
          <w:iCs/>
        </w:rPr>
        <w:t xml:space="preserve"> wieder aufgenommen durch </w:t>
      </w:r>
      <w:r w:rsidR="00D67EB8" w:rsidRPr="009118AB">
        <w:rPr>
          <w:i/>
          <w:iCs/>
        </w:rPr>
        <w:t>Art. </w:t>
      </w:r>
      <w:r w:rsidRPr="009118AB">
        <w:rPr>
          <w:i/>
          <w:iCs/>
        </w:rPr>
        <w:t>87 des G. vom 10. August 2015 (B.S. vom 18. August 2015)</w:t>
      </w:r>
      <w:r w:rsidR="00D67EB8" w:rsidRPr="009118AB">
        <w:rPr>
          <w:i/>
          <w:iCs/>
        </w:rPr>
        <w:t> - </w:t>
      </w:r>
      <w:r w:rsidRPr="009118AB">
        <w:rPr>
          <w:i/>
          <w:iCs/>
        </w:rPr>
        <w:t>anwendbar ab dem Steuerjahr 2015 auf Divi</w:t>
      </w:r>
      <w:r w:rsidR="00F2664D" w:rsidRPr="009118AB">
        <w:rPr>
          <w:i/>
          <w:iCs/>
        </w:rPr>
        <w:softHyphen/>
      </w:r>
      <w:r w:rsidRPr="009118AB">
        <w:rPr>
          <w:rFonts w:ascii="Times New Roman Italique" w:hAnsi="Times New Roman Italique"/>
          <w:i/>
          <w:iCs/>
          <w:spacing w:val="-2"/>
        </w:rPr>
        <w:t xml:space="preserve">denden, die von den in Artikel 180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des Einkommensteuergesetzbuches 1992 erwähnten Interkom</w:t>
      </w:r>
      <w:r w:rsidRPr="009118AB">
        <w:rPr>
          <w:rFonts w:ascii="Times New Roman Italique" w:hAnsi="Times New Roman Italique"/>
          <w:i/>
          <w:iCs/>
          <w:spacing w:val="-2"/>
        </w:rPr>
        <w:softHyphen/>
        <w:t>munalen, Zusammenarbeitsverbänden, Projektvereinigungen, autonomen Gemeinde</w:t>
      </w:r>
      <w:r w:rsidR="00F2664D" w:rsidRPr="009118AB">
        <w:rPr>
          <w:rFonts w:ascii="Times New Roman Italique" w:hAnsi="Times New Roman Italique"/>
          <w:i/>
          <w:iCs/>
          <w:spacing w:val="-2"/>
        </w:rPr>
        <w:softHyphen/>
      </w:r>
      <w:r w:rsidRPr="009118AB">
        <w:rPr>
          <w:rFonts w:ascii="Times New Roman Italique" w:hAnsi="Times New Roman Italique"/>
          <w:i/>
          <w:iCs/>
          <w:spacing w:val="-2"/>
        </w:rPr>
        <w:t>regien und Vereinigungen gewährt oder zuerkannt werden für ihre Geschäftsjahre, die frühestens am 1. August 2015 abgeschlossen werden</w:t>
      </w:r>
      <w:r w:rsidR="00D67EB8" w:rsidRPr="009118AB">
        <w:rPr>
          <w:rFonts w:ascii="Times New Roman Italique" w:hAnsi="Times New Roman Italique"/>
          <w:i/>
          <w:iCs/>
          <w:spacing w:val="-2"/>
        </w:rPr>
        <w:t> - </w:t>
      </w:r>
      <w:r w:rsidR="009C4694"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9C4694" w:rsidRPr="009118AB">
        <w:rPr>
          <w:rFonts w:ascii="Times New Roman Italique" w:hAnsi="Times New Roman Italique"/>
          <w:i/>
          <w:iCs/>
          <w:spacing w:val="-2"/>
        </w:rPr>
        <w:t xml:space="preserve">46 </w:t>
      </w:r>
      <w:r w:rsidR="00D67EB8" w:rsidRPr="009118AB">
        <w:rPr>
          <w:rFonts w:ascii="Times New Roman Italique" w:hAnsi="Times New Roman Italique"/>
          <w:i/>
          <w:iCs/>
          <w:spacing w:val="-2"/>
        </w:rPr>
        <w:t>Nr. </w:t>
      </w:r>
      <w:r w:rsidR="009C4694" w:rsidRPr="009118AB">
        <w:rPr>
          <w:rFonts w:ascii="Times New Roman Italique" w:hAnsi="Times New Roman Italique"/>
          <w:i/>
          <w:iCs/>
          <w:spacing w:val="-2"/>
        </w:rPr>
        <w:t>2</w:t>
      </w:r>
      <w:r w:rsidR="009C4694" w:rsidRPr="009118AB">
        <w:rPr>
          <w:i/>
        </w:rPr>
        <w:t xml:space="preserve"> des G. vom 27. Juni 2021 (B.S. vom 30. Juni 2021)</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3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87 des G. vom 12. Mai 2014 (II) (B.S. vom 30. Juni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16. Juli 2014</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früherer Absatz 4 aufgehoben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54 des G. vom 22. Dezember 2009 (I) (B.S. vom </w:t>
      </w:r>
      <w:r w:rsidRPr="009118AB">
        <w:rPr>
          <w:i/>
          <w:iCs/>
        </w:rPr>
        <w:t>31. Dezember 2009)</w:t>
      </w:r>
      <w:r w:rsidR="00D67EB8" w:rsidRPr="009118AB">
        <w:rPr>
          <w:i/>
          <w:iCs/>
        </w:rPr>
        <w:t> - </w:t>
      </w:r>
      <w:r w:rsidRPr="009118AB">
        <w:rPr>
          <w:i/>
          <w:iCs/>
        </w:rPr>
        <w:t>anwendbar ab dem Steuerjahr 2010</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4 (früherer Absatz 6) </w:t>
      </w:r>
      <w:r w:rsidRPr="009118AB">
        <w:rPr>
          <w:rFonts w:ascii="Times New Roman Italique" w:hAnsi="Times New Roman Italique"/>
          <w:i/>
          <w:iCs/>
          <w:spacing w:val="-2"/>
        </w:rPr>
        <w:t xml:space="preserve">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44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des G. vom 15. Dezember 20</w:t>
      </w:r>
      <w:r w:rsidR="00D27B17" w:rsidRPr="009118AB">
        <w:rPr>
          <w:rFonts w:ascii="Times New Roman Italique" w:hAnsi="Times New Roman Italique"/>
          <w:i/>
          <w:iCs/>
          <w:spacing w:val="-2"/>
        </w:rPr>
        <w:t>04 (B.S. vom 1. Februar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Vereinbarungen über die Leistung von dinglichen Sicherheiten und auf Verleihe mit Bezug auf Finanzinstrumente, die ab dem 1. Februar 2005 abgeschlossen werden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i/>
          <w:iCs/>
        </w:rPr>
        <w:t xml:space="preserve">2 </w:t>
      </w:r>
      <w:r w:rsidR="00D67EB8" w:rsidRPr="009118AB">
        <w:rPr>
          <w:i/>
          <w:iCs/>
        </w:rPr>
        <w:t>Abs. </w:t>
      </w:r>
      <w:r w:rsidRPr="009118AB">
        <w:rPr>
          <w:i/>
          <w:iCs/>
        </w:rPr>
        <w:t xml:space="preserve">5 eingefügt durch </w:t>
      </w:r>
      <w:r w:rsidR="00D67EB8" w:rsidRPr="009118AB">
        <w:rPr>
          <w:i/>
          <w:iCs/>
        </w:rPr>
        <w:t>Art. </w:t>
      </w:r>
      <w:r w:rsidRPr="009118AB">
        <w:rPr>
          <w:i/>
          <w:iCs/>
        </w:rPr>
        <w:t xml:space="preserve">44 </w:t>
      </w:r>
      <w:r w:rsidR="00D67EB8" w:rsidRPr="009118AB">
        <w:rPr>
          <w:i/>
          <w:iCs/>
        </w:rPr>
        <w:t>Nr. </w:t>
      </w:r>
      <w:r w:rsidRPr="009118AB">
        <w:rPr>
          <w:i/>
          <w:iCs/>
        </w:rPr>
        <w:t>2 des G. vom 15. Dezember 2004 (B.S. vom 1. Februar 2005)</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FD68E8" w:rsidRPr="009118AB">
        <w:rPr>
          <w:i/>
          <w:iCs/>
        </w:rPr>
        <w:t> -</w:t>
      </w:r>
      <w:r w:rsidR="00C5158F">
        <w:rPr>
          <w:i/>
          <w:iCs/>
        </w:rPr>
        <w:t>; § 3 eingefügt durch Art. 24 Nr. 3</w:t>
      </w:r>
      <w:r w:rsidR="00C5158F" w:rsidRPr="00C5158F">
        <w:rPr>
          <w:i/>
          <w:iCs/>
        </w:rPr>
        <w:t xml:space="preserve"> des G. vom 22. Dezember 2023 (II) (B.S. vom 29. Dezember 2023) - anwendbar ab dem Steuerjahr 2024 -</w:t>
      </w:r>
      <w:r w:rsidR="00FD68E8" w:rsidRPr="009118AB">
        <w:rPr>
          <w:i/>
          <w:iCs/>
        </w:rPr>
        <w:t>]</w:t>
      </w:r>
    </w:p>
    <w:p w14:paraId="5EEB0997" w14:textId="77777777" w:rsidR="00585F9B" w:rsidRPr="009118AB" w:rsidRDefault="00585F9B" w:rsidP="00585F9B">
      <w:pPr>
        <w:autoSpaceDE w:val="0"/>
        <w:autoSpaceDN w:val="0"/>
        <w:adjustRightInd w:val="0"/>
        <w:jc w:val="both"/>
      </w:pPr>
    </w:p>
    <w:p w14:paraId="79DBD8DE" w14:textId="77777777" w:rsidR="00477B8F" w:rsidRPr="009118AB" w:rsidRDefault="00477B8F" w:rsidP="00477B8F">
      <w:pPr>
        <w:autoSpaceDE w:val="0"/>
        <w:autoSpaceDN w:val="0"/>
        <w:adjustRightInd w:val="0"/>
        <w:jc w:val="both"/>
      </w:pPr>
    </w:p>
    <w:p w14:paraId="021BB5E3" w14:textId="22E4CEFE" w:rsidR="00477B8F" w:rsidRPr="009118AB" w:rsidRDefault="00D67EB8" w:rsidP="006E671D">
      <w:pPr>
        <w:autoSpaceDE w:val="0"/>
        <w:autoSpaceDN w:val="0"/>
        <w:adjustRightInd w:val="0"/>
        <w:ind w:firstLine="708"/>
        <w:jc w:val="both"/>
      </w:pPr>
      <w:r w:rsidRPr="009118AB">
        <w:rPr>
          <w:b/>
        </w:rPr>
        <w:t>Art. </w:t>
      </w:r>
      <w:r w:rsidR="00477B8F" w:rsidRPr="009118AB">
        <w:rPr>
          <w:b/>
        </w:rPr>
        <w:t>203</w:t>
      </w:r>
      <w:r w:rsidRPr="009118AB">
        <w:t> - </w:t>
      </w:r>
      <w:r w:rsidR="00477B8F" w:rsidRPr="009118AB">
        <w:t>[</w:t>
      </w:r>
      <w:r w:rsidRPr="009118AB">
        <w:t>§ </w:t>
      </w:r>
      <w:r w:rsidR="00477B8F" w:rsidRPr="009118AB">
        <w:t>1</w:t>
      </w:r>
      <w:r w:rsidRPr="009118AB">
        <w:t> - </w:t>
      </w:r>
      <w:r w:rsidR="00477B8F" w:rsidRPr="009118AB">
        <w:t xml:space="preserve">In Artikel 202 </w:t>
      </w:r>
      <w:r w:rsidRPr="009118AB">
        <w:t>§ </w:t>
      </w:r>
      <w:r w:rsidR="00477B8F" w:rsidRPr="009118AB">
        <w:t xml:space="preserve">1 </w:t>
      </w:r>
      <w:r w:rsidRPr="009118AB">
        <w:t>Nr. </w:t>
      </w:r>
      <w:r w:rsidR="00477B8F" w:rsidRPr="009118AB">
        <w:t>1 und 2 erwähnte Einkünfte sind zudem nicht abzugsfähig, wenn sie gewährt oder zuerkannt werden von:</w:t>
      </w:r>
    </w:p>
    <w:p w14:paraId="7C1D750A" w14:textId="77777777" w:rsidR="00477B8F" w:rsidRPr="009118AB" w:rsidRDefault="00477B8F" w:rsidP="00477B8F">
      <w:pPr>
        <w:autoSpaceDE w:val="0"/>
        <w:autoSpaceDN w:val="0"/>
        <w:adjustRightInd w:val="0"/>
        <w:jc w:val="both"/>
      </w:pPr>
    </w:p>
    <w:p w14:paraId="11200DF4" w14:textId="18F44226" w:rsidR="00477B8F" w:rsidRPr="009118AB" w:rsidRDefault="00477B8F" w:rsidP="006E671D">
      <w:pPr>
        <w:autoSpaceDE w:val="0"/>
        <w:autoSpaceDN w:val="0"/>
        <w:adjustRightInd w:val="0"/>
        <w:ind w:firstLine="708"/>
        <w:jc w:val="both"/>
      </w:pPr>
      <w:r w:rsidRPr="009118AB">
        <w:t>1. einer Gesellschaft, die der Gesellschaftssteuer oder einer ausländischen Steuer gleicher Art nicht unterliegt oder die in einem Land ansässig ist, in dem die Bestimmungen des allgemeinen Rechts in Bezug auf Steuern erheblich vorteilhafter sind als in Belgien,</w:t>
      </w:r>
      <w:r w:rsidR="00724D24" w:rsidRPr="009118AB">
        <w:t xml:space="preserve"> [oder die in einem Steuergebiet ansässig ist, das am Ende des Besteuerungszeitraums in der EU-Liste nicht kooperativer Steuergebiete aufgenommen ist,]</w:t>
      </w:r>
    </w:p>
    <w:p w14:paraId="15C403DD" w14:textId="77777777" w:rsidR="00477B8F" w:rsidRPr="009118AB" w:rsidRDefault="00477B8F" w:rsidP="00477B8F">
      <w:pPr>
        <w:autoSpaceDE w:val="0"/>
        <w:autoSpaceDN w:val="0"/>
        <w:adjustRightInd w:val="0"/>
        <w:jc w:val="both"/>
      </w:pPr>
    </w:p>
    <w:p w14:paraId="1BD4EDEF" w14:textId="5B6811F0" w:rsidR="00477B8F" w:rsidRPr="009118AB" w:rsidRDefault="00477B8F" w:rsidP="006E671D">
      <w:pPr>
        <w:autoSpaceDE w:val="0"/>
        <w:autoSpaceDN w:val="0"/>
        <w:adjustRightInd w:val="0"/>
        <w:ind w:firstLine="708"/>
        <w:jc w:val="both"/>
      </w:pPr>
      <w:r w:rsidRPr="009118AB">
        <w:t xml:space="preserve">2. einer Finanzierungsgesellschaft, einer Geldanlagegesellschaft oder einer Investmentgesellschaft, </w:t>
      </w:r>
      <w:r w:rsidR="00A8362B" w:rsidRPr="009118AB">
        <w:t xml:space="preserve">[die keine der in </w:t>
      </w:r>
      <w:r w:rsidR="00D67EB8" w:rsidRPr="009118AB">
        <w:t>Nr. </w:t>
      </w:r>
      <w:r w:rsidR="00A8362B" w:rsidRPr="009118AB">
        <w:t>2</w:t>
      </w:r>
      <w:r w:rsidR="00A8362B" w:rsidRPr="009118AB">
        <w:rPr>
          <w:i/>
        </w:rPr>
        <w:t>bis</w:t>
      </w:r>
      <w:r w:rsidR="00A8362B" w:rsidRPr="009118AB">
        <w:t xml:space="preserve"> erwähnten Gesellschaften ist und] </w:t>
      </w:r>
      <w:r w:rsidRPr="009118AB">
        <w:t>die zwar im Land ihres Steuerwohnsitzes einer in Nummer 1 erwähnten Steuer unterliegt, zu deren Gunsten in diesem Land aber ein vom allgemeinen Recht abweichendes Besteuerungssystem angewandt wird,</w:t>
      </w:r>
    </w:p>
    <w:p w14:paraId="52B8A996" w14:textId="77777777" w:rsidR="00477B8F" w:rsidRPr="009118AB" w:rsidRDefault="00477B8F" w:rsidP="00477B8F">
      <w:pPr>
        <w:autoSpaceDE w:val="0"/>
        <w:autoSpaceDN w:val="0"/>
        <w:adjustRightInd w:val="0"/>
        <w:jc w:val="both"/>
      </w:pPr>
    </w:p>
    <w:p w14:paraId="114ECF70" w14:textId="77777777" w:rsidR="00693A25" w:rsidRPr="009118AB" w:rsidRDefault="00C81482" w:rsidP="00693A25">
      <w:pPr>
        <w:jc w:val="both"/>
      </w:pPr>
      <w:r w:rsidRPr="009118AB">
        <w:tab/>
        <w:t>[2</w:t>
      </w:r>
      <w:r w:rsidRPr="009118AB">
        <w:rPr>
          <w:i/>
        </w:rPr>
        <w:t>bis</w:t>
      </w:r>
      <w:r w:rsidRPr="009118AB">
        <w:t>. </w:t>
      </w:r>
      <w:r w:rsidR="006F182E" w:rsidRPr="009118AB">
        <w:t>[</w:t>
      </w:r>
      <w:r w:rsidR="00693A25" w:rsidRPr="009118AB">
        <w:t>einer Investmentgesellschaft mit fixem Kapital für Immobilien, einer beaufsichtigten Immobiliengesellschaft oder einer ausländischen Gesellschaft:</w:t>
      </w:r>
    </w:p>
    <w:p w14:paraId="1778BD67" w14:textId="77777777" w:rsidR="00693A25" w:rsidRPr="009118AB" w:rsidRDefault="00693A25" w:rsidP="00693A25">
      <w:pPr>
        <w:jc w:val="both"/>
      </w:pPr>
    </w:p>
    <w:p w14:paraId="0E06D75C" w14:textId="77777777" w:rsidR="00693A25" w:rsidRPr="009118AB" w:rsidRDefault="00693A25" w:rsidP="00693A25">
      <w:pPr>
        <w:jc w:val="both"/>
      </w:pPr>
      <w:r w:rsidRPr="009118AB">
        <w:tab/>
        <w:t>- deren hauptsächlicher Zweck im Erwerb oder Bau von Immobilien im Hinblick auf die Zurverfügungstellung an Nutzer oder im direkten oder indirekten Besitz von Beteiligungen an Einheiten, die einen ähnlichen Gesellschaftszweck haben, besteht,</w:t>
      </w:r>
    </w:p>
    <w:p w14:paraId="3780AE14" w14:textId="77777777" w:rsidR="00693A25" w:rsidRPr="009118AB" w:rsidRDefault="00693A25" w:rsidP="00693A25">
      <w:pPr>
        <w:jc w:val="both"/>
      </w:pPr>
    </w:p>
    <w:p w14:paraId="5EA2FDF2" w14:textId="77777777" w:rsidR="00693A25" w:rsidRPr="009118AB" w:rsidRDefault="00693A25" w:rsidP="00693A25">
      <w:pPr>
        <w:jc w:val="both"/>
      </w:pPr>
      <w:r w:rsidRPr="009118AB">
        <w:tab/>
        <w:t>- die Einschränkungen unterliegt, zu denen zumindest die Verpflichtung zur Ausschüttung eines Teils ihrer Einkünfte an ihre Aktionäre gehört,</w:t>
      </w:r>
    </w:p>
    <w:p w14:paraId="2DF50E19" w14:textId="77777777" w:rsidR="00693A25" w:rsidRPr="009118AB" w:rsidRDefault="00693A25" w:rsidP="00693A25">
      <w:pPr>
        <w:jc w:val="both"/>
      </w:pPr>
    </w:p>
    <w:p w14:paraId="2D2A9F1D" w14:textId="77777777" w:rsidR="00693A25" w:rsidRPr="009118AB" w:rsidRDefault="00693A25" w:rsidP="00693A25">
      <w:pPr>
        <w:jc w:val="both"/>
      </w:pPr>
      <w:r w:rsidRPr="009118AB">
        <w:tab/>
        <w:t>- die zwar im Land ihres Steuerwohnsitzes einer in Nummer 1 erwähnten Steuer unterliegt, zu deren Gunsten in diesem Land aber ein vom allgemeinen Recht abweichendes Besteuerungssystem angewandt wird,</w:t>
      </w:r>
    </w:p>
    <w:p w14:paraId="5726E0B1" w14:textId="77777777" w:rsidR="00693A25" w:rsidRPr="009118AB" w:rsidRDefault="00693A25" w:rsidP="00693A25">
      <w:pPr>
        <w:jc w:val="both"/>
      </w:pPr>
    </w:p>
    <w:p w14:paraId="0986D93F" w14:textId="77777777" w:rsidR="00C81482" w:rsidRPr="009118AB" w:rsidRDefault="00693A25" w:rsidP="00A8362B">
      <w:pPr>
        <w:jc w:val="both"/>
      </w:pPr>
      <w:r w:rsidRPr="009118AB">
        <w:tab/>
      </w:r>
      <w:r w:rsidR="00A8362B" w:rsidRPr="009118AB">
        <w:t>[…]</w:t>
      </w:r>
      <w:r w:rsidR="006F182E" w:rsidRPr="009118AB">
        <w:t>]</w:t>
      </w:r>
      <w:r w:rsidR="00C81482" w:rsidRPr="009118AB">
        <w:t>]</w:t>
      </w:r>
    </w:p>
    <w:p w14:paraId="1548EB6E" w14:textId="77777777" w:rsidR="00C81482" w:rsidRPr="009118AB" w:rsidRDefault="00C81482" w:rsidP="00C81482">
      <w:pPr>
        <w:autoSpaceDE w:val="0"/>
        <w:autoSpaceDN w:val="0"/>
        <w:adjustRightInd w:val="0"/>
        <w:jc w:val="both"/>
      </w:pPr>
    </w:p>
    <w:p w14:paraId="297C8E83" w14:textId="77777777" w:rsidR="00477B8F" w:rsidRPr="009118AB" w:rsidRDefault="00477B8F" w:rsidP="006E671D">
      <w:pPr>
        <w:autoSpaceDE w:val="0"/>
        <w:autoSpaceDN w:val="0"/>
        <w:adjustRightInd w:val="0"/>
        <w:ind w:firstLine="708"/>
        <w:jc w:val="both"/>
      </w:pPr>
      <w:r w:rsidRPr="009118AB">
        <w:t>3. einer Gesellschaft in dem Maße, wie die Einkünfte, die sie erzielt, die keine Dividenden sind, ihren Ursprung außerhalb des Landes ihres Steuerwohnsitzes haben und im Land des Steuerwohnsitzes zu ihren Gunsten ein besonderes vom allgemeinen Recht abweichendes Besteuerungssystem angewandt wird,</w:t>
      </w:r>
    </w:p>
    <w:p w14:paraId="2A74103B" w14:textId="77777777" w:rsidR="00477B8F" w:rsidRPr="009118AB" w:rsidRDefault="00477B8F" w:rsidP="00477B8F">
      <w:pPr>
        <w:autoSpaceDE w:val="0"/>
        <w:autoSpaceDN w:val="0"/>
        <w:adjustRightInd w:val="0"/>
        <w:jc w:val="both"/>
      </w:pPr>
    </w:p>
    <w:p w14:paraId="419F7CB4" w14:textId="77777777" w:rsidR="00477B8F" w:rsidRPr="009118AB" w:rsidRDefault="00477B8F" w:rsidP="006E671D">
      <w:pPr>
        <w:autoSpaceDE w:val="0"/>
        <w:autoSpaceDN w:val="0"/>
        <w:adjustRightInd w:val="0"/>
        <w:ind w:firstLine="708"/>
        <w:jc w:val="both"/>
      </w:pPr>
      <w:r w:rsidRPr="009118AB">
        <w:t>4. [einer Gesellschaft in dem Maße, wie sie Gewinne durch eine oder mehrere ausländische Niederlassungen erzielt, die global gesehen einem erheblich vorteilhafteren Besteuerungssystem als in Belgien unterliegen,]</w:t>
      </w:r>
    </w:p>
    <w:p w14:paraId="1E7FD3FE" w14:textId="77777777" w:rsidR="00477B8F" w:rsidRPr="009118AB" w:rsidRDefault="00477B8F" w:rsidP="00477B8F">
      <w:pPr>
        <w:autoSpaceDE w:val="0"/>
        <w:autoSpaceDN w:val="0"/>
        <w:adjustRightInd w:val="0"/>
        <w:jc w:val="both"/>
      </w:pPr>
    </w:p>
    <w:p w14:paraId="28F47F82" w14:textId="03B8DCB8" w:rsidR="00477B8F" w:rsidRPr="009118AB" w:rsidRDefault="00477B8F" w:rsidP="006E671D">
      <w:pPr>
        <w:autoSpaceDE w:val="0"/>
        <w:autoSpaceDN w:val="0"/>
        <w:adjustRightInd w:val="0"/>
        <w:ind w:firstLine="708"/>
        <w:jc w:val="both"/>
      </w:pPr>
      <w:r w:rsidRPr="009118AB">
        <w:t xml:space="preserve">5. einer Gesellschaft, die keine Investmentgesellschaft </w:t>
      </w:r>
      <w:r w:rsidR="00A8362B" w:rsidRPr="009118AB">
        <w:t xml:space="preserve">[oder in </w:t>
      </w:r>
      <w:r w:rsidR="00D67EB8" w:rsidRPr="009118AB">
        <w:t>Nr. </w:t>
      </w:r>
      <w:r w:rsidR="00A8362B" w:rsidRPr="009118AB">
        <w:t>2</w:t>
      </w:r>
      <w:r w:rsidR="00A8362B" w:rsidRPr="009118AB">
        <w:rPr>
          <w:i/>
        </w:rPr>
        <w:t>bis</w:t>
      </w:r>
      <w:r w:rsidR="00A8362B" w:rsidRPr="009118AB">
        <w:t xml:space="preserve"> erwähnte Gesellschaft] </w:t>
      </w:r>
      <w:r w:rsidRPr="009118AB">
        <w:t>ist und die Dividenden neu ausschüttet, die in Anwendung der Nummern 1 bis 4 selbst nicht zu mindestens 90 P</w:t>
      </w:r>
      <w:r w:rsidR="00E9217A" w:rsidRPr="009118AB">
        <w:t>rozent abgezogen werden könnten,</w:t>
      </w:r>
    </w:p>
    <w:p w14:paraId="46CC5599" w14:textId="77777777" w:rsidR="00E9217A" w:rsidRPr="009118AB" w:rsidRDefault="00E9217A" w:rsidP="006E671D">
      <w:pPr>
        <w:autoSpaceDE w:val="0"/>
        <w:autoSpaceDN w:val="0"/>
        <w:adjustRightInd w:val="0"/>
        <w:ind w:firstLine="708"/>
        <w:jc w:val="both"/>
      </w:pPr>
    </w:p>
    <w:p w14:paraId="27FCB157" w14:textId="77777777" w:rsidR="00E9217A" w:rsidRPr="009118AB" w:rsidRDefault="00E9217A" w:rsidP="00E9217A">
      <w:pPr>
        <w:jc w:val="both"/>
      </w:pPr>
      <w:r w:rsidRPr="009118AB">
        <w:tab/>
        <w:t>[6. einer Gesellschaft in dem Maße, wie sie diese Einkünfte von ihren Gewinnen abgezogen hat oder abziehen kann,</w:t>
      </w:r>
    </w:p>
    <w:p w14:paraId="242C1985" w14:textId="77777777" w:rsidR="00E9217A" w:rsidRPr="009118AB" w:rsidRDefault="00E9217A" w:rsidP="00E9217A">
      <w:pPr>
        <w:jc w:val="both"/>
      </w:pPr>
    </w:p>
    <w:p w14:paraId="4ADBBEA9" w14:textId="7A5C68BD" w:rsidR="00E9217A" w:rsidRPr="009118AB" w:rsidRDefault="00E9217A" w:rsidP="00E9217A">
      <w:pPr>
        <w:autoSpaceDE w:val="0"/>
        <w:autoSpaceDN w:val="0"/>
        <w:adjustRightInd w:val="0"/>
        <w:ind w:firstLine="708"/>
        <w:jc w:val="both"/>
      </w:pPr>
      <w:r w:rsidRPr="009118AB">
        <w:tab/>
        <w:t xml:space="preserve">7. einer Gesellschaft, die Einkünfte ausschüttet, die mit einer Rechtshandlung oder einer Gesamtheit von Rechtshandlungen verbunden sind, wenn die Verwaltung unter Berücksichtigung aller relevanten Fakten und Umstände außer bei Beweis des Gegenteils nachgewiesen hat, dass diese Handlung oder diese Gesamtheit von Handlungen unangemessen ist und dass ihr wesentlicher Zweck oder einer der wesentlichen Zwecke darin besteht, den Abzug der in Artikel 202 </w:t>
      </w:r>
      <w:r w:rsidR="00D67EB8" w:rsidRPr="009118AB">
        <w:t>§ </w:t>
      </w:r>
      <w:r w:rsidRPr="009118AB">
        <w:t xml:space="preserve">1 </w:t>
      </w:r>
      <w:r w:rsidR="00D67EB8" w:rsidRPr="009118AB">
        <w:t>Nr. </w:t>
      </w:r>
      <w:r w:rsidRPr="009118AB">
        <w:t>1 und 2 erwähnten Einkünfte, den in Artikel 266 Absatz 1 erwähnten Verzicht in Bezug auf diese Einkünfte oder einen der Vorteile der Richtlinie 2011/96/EU in einem anderen Mitgliedstaat der Europäischen Union zu erlangen.]</w:t>
      </w:r>
    </w:p>
    <w:p w14:paraId="6B2E2DD6" w14:textId="77777777" w:rsidR="00477B8F" w:rsidRPr="009118AB" w:rsidRDefault="00477B8F" w:rsidP="00477B8F">
      <w:pPr>
        <w:autoSpaceDE w:val="0"/>
        <w:autoSpaceDN w:val="0"/>
        <w:adjustRightInd w:val="0"/>
        <w:jc w:val="both"/>
      </w:pPr>
    </w:p>
    <w:p w14:paraId="65A15FC7" w14:textId="77777777" w:rsidR="00477B8F" w:rsidRPr="009118AB" w:rsidRDefault="00477B8F" w:rsidP="006E671D">
      <w:pPr>
        <w:autoSpaceDE w:val="0"/>
        <w:autoSpaceDN w:val="0"/>
        <w:adjustRightInd w:val="0"/>
        <w:ind w:firstLine="708"/>
        <w:jc w:val="both"/>
      </w:pPr>
      <w:r w:rsidRPr="009118AB">
        <w:t>[...]</w:t>
      </w:r>
    </w:p>
    <w:p w14:paraId="7AE44B01" w14:textId="77777777" w:rsidR="006E671D" w:rsidRPr="009118AB" w:rsidRDefault="006E671D" w:rsidP="006E671D">
      <w:pPr>
        <w:autoSpaceDE w:val="0"/>
        <w:autoSpaceDN w:val="0"/>
        <w:adjustRightInd w:val="0"/>
        <w:ind w:firstLine="708"/>
      </w:pPr>
    </w:p>
    <w:p w14:paraId="5C79880B" w14:textId="73F56E21" w:rsidR="00477B8F" w:rsidRPr="009118AB" w:rsidRDefault="00477B8F" w:rsidP="00A429B4">
      <w:pPr>
        <w:autoSpaceDE w:val="0"/>
        <w:autoSpaceDN w:val="0"/>
        <w:adjustRightInd w:val="0"/>
        <w:ind w:firstLine="708"/>
        <w:jc w:val="both"/>
      </w:pPr>
      <w:r w:rsidRPr="009118AB">
        <w:t xml:space="preserve">[Die in Absatz 1 </w:t>
      </w:r>
      <w:r w:rsidR="00D67EB8" w:rsidRPr="009118AB">
        <w:t>Nr. </w:t>
      </w:r>
      <w:r w:rsidRPr="009118AB">
        <w:t>1 erwähnten Bestimmungen des allgemeinen Rechts in Bezug auf Steuern gelten als erheblich vorteilhafter als in Belgien, wenn in den vom König durch einen im Ministerrat beratenen Erlass bestimmten Fällen:</w:t>
      </w:r>
    </w:p>
    <w:p w14:paraId="3D65026F" w14:textId="77777777" w:rsidR="00477B8F" w:rsidRPr="009118AB" w:rsidRDefault="00477B8F" w:rsidP="00477B8F">
      <w:pPr>
        <w:autoSpaceDE w:val="0"/>
        <w:autoSpaceDN w:val="0"/>
        <w:adjustRightInd w:val="0"/>
        <w:jc w:val="both"/>
      </w:pPr>
    </w:p>
    <w:p w14:paraId="671B4080" w14:textId="77777777" w:rsidR="00477B8F" w:rsidRPr="009118AB" w:rsidRDefault="00477B8F" w:rsidP="006E671D">
      <w:pPr>
        <w:autoSpaceDE w:val="0"/>
        <w:autoSpaceDN w:val="0"/>
        <w:adjustRightInd w:val="0"/>
        <w:ind w:firstLine="708"/>
        <w:jc w:val="both"/>
      </w:pPr>
      <w:r w:rsidRPr="009118AB">
        <w:t>- entweder der gemeinrechtliche nominale Satz der Steuer auf die Gewinne der Gesellschaft unter 15 Prozent liegt</w:t>
      </w:r>
    </w:p>
    <w:p w14:paraId="1B866916" w14:textId="77777777" w:rsidR="00477B8F" w:rsidRPr="009118AB" w:rsidRDefault="00477B8F" w:rsidP="00477B8F">
      <w:pPr>
        <w:autoSpaceDE w:val="0"/>
        <w:autoSpaceDN w:val="0"/>
        <w:adjustRightInd w:val="0"/>
        <w:jc w:val="both"/>
      </w:pPr>
    </w:p>
    <w:p w14:paraId="0E7A2AC4" w14:textId="77777777" w:rsidR="00477B8F" w:rsidRPr="009118AB" w:rsidRDefault="00477B8F" w:rsidP="006E671D">
      <w:pPr>
        <w:autoSpaceDE w:val="0"/>
        <w:autoSpaceDN w:val="0"/>
        <w:adjustRightInd w:val="0"/>
        <w:ind w:firstLine="708"/>
        <w:jc w:val="both"/>
      </w:pPr>
      <w:r w:rsidRPr="009118AB">
        <w:t>- oder im allgemeinen Recht der Satz, der der tatsächlichen Steuerlast entspricht, unter 15 Prozent liegt.</w:t>
      </w:r>
    </w:p>
    <w:p w14:paraId="7FC75666" w14:textId="77777777" w:rsidR="00477B8F" w:rsidRPr="009118AB" w:rsidRDefault="00477B8F" w:rsidP="00477B8F">
      <w:pPr>
        <w:autoSpaceDE w:val="0"/>
        <w:autoSpaceDN w:val="0"/>
        <w:adjustRightInd w:val="0"/>
        <w:jc w:val="both"/>
      </w:pPr>
    </w:p>
    <w:p w14:paraId="1D4A85E9" w14:textId="6B90C469" w:rsidR="00477B8F" w:rsidRPr="009118AB" w:rsidRDefault="00477B8F" w:rsidP="006E671D">
      <w:pPr>
        <w:autoSpaceDE w:val="0"/>
        <w:autoSpaceDN w:val="0"/>
        <w:adjustRightInd w:val="0"/>
        <w:ind w:firstLine="708"/>
        <w:jc w:val="both"/>
      </w:pPr>
      <w:r w:rsidRPr="009118AB">
        <w:t xml:space="preserve">Für die Anwendung von Absatz 1 </w:t>
      </w:r>
      <w:r w:rsidR="00D67EB8" w:rsidRPr="009118AB">
        <w:t>Nr. </w:t>
      </w:r>
      <w:r w:rsidRPr="009118AB">
        <w:t>1 gelten die Bestimmungen des allgemeinen Rechts in Bezug auf Steuern, die auf die in einem Mitgliedstaat der Europäischen Union ansässigen Gesellschaften anwendbar sind, nicht als erheblich vorteilhafter als in Belgien.]</w:t>
      </w:r>
    </w:p>
    <w:p w14:paraId="4F00030D" w14:textId="77777777" w:rsidR="00477B8F" w:rsidRPr="009118AB" w:rsidRDefault="00477B8F" w:rsidP="00477B8F">
      <w:pPr>
        <w:autoSpaceDE w:val="0"/>
        <w:autoSpaceDN w:val="0"/>
        <w:adjustRightInd w:val="0"/>
        <w:jc w:val="both"/>
      </w:pPr>
    </w:p>
    <w:p w14:paraId="4E81E788" w14:textId="0B2836D4" w:rsidR="008844AD" w:rsidRPr="009118AB" w:rsidRDefault="00D67EB8" w:rsidP="006E671D">
      <w:pPr>
        <w:autoSpaceDE w:val="0"/>
        <w:autoSpaceDN w:val="0"/>
        <w:adjustRightInd w:val="0"/>
        <w:ind w:firstLine="708"/>
        <w:jc w:val="both"/>
        <w:rPr>
          <w:spacing w:val="-2"/>
        </w:rPr>
      </w:pPr>
      <w:r w:rsidRPr="009118AB">
        <w:rPr>
          <w:spacing w:val="-2"/>
        </w:rPr>
        <w:t>§ </w:t>
      </w:r>
      <w:r w:rsidR="00477B8F" w:rsidRPr="009118AB">
        <w:rPr>
          <w:spacing w:val="-2"/>
        </w:rPr>
        <w:t>2</w:t>
      </w:r>
      <w:r w:rsidRPr="009118AB">
        <w:rPr>
          <w:spacing w:val="-2"/>
        </w:rPr>
        <w:t> - </w:t>
      </w:r>
      <w:r w:rsidR="00C7012A" w:rsidRPr="009118AB">
        <w:rPr>
          <w:spacing w:val="-2"/>
        </w:rPr>
        <w:t>[</w:t>
      </w:r>
      <w:r w:rsidR="00554A0F" w:rsidRPr="009118AB">
        <w:rPr>
          <w:spacing w:val="-2"/>
        </w:rPr>
        <w:t xml:space="preserve">Paragraph 1 Absatz 1 </w:t>
      </w:r>
      <w:r w:rsidRPr="009118AB">
        <w:rPr>
          <w:spacing w:val="-2"/>
        </w:rPr>
        <w:t>Nr. </w:t>
      </w:r>
      <w:r w:rsidR="00554A0F" w:rsidRPr="009118AB">
        <w:rPr>
          <w:spacing w:val="-2"/>
        </w:rPr>
        <w:t>1 ist nicht auf Dividenden anwendbar, die von Inter</w:t>
      </w:r>
      <w:r w:rsidR="00554A0F" w:rsidRPr="009118AB">
        <w:rPr>
          <w:spacing w:val="-2"/>
        </w:rPr>
        <w:softHyphen/>
        <w:t>kom</w:t>
      </w:r>
      <w:r w:rsidR="00554A0F" w:rsidRPr="009118AB">
        <w:rPr>
          <w:spacing w:val="-2"/>
        </w:rPr>
        <w:softHyphen/>
        <w:t>munalen, Zusammenarbeitsverbänden, Projektvereinigungen, autonomen Gemeinde</w:t>
      </w:r>
      <w:r w:rsidR="00554A0F" w:rsidRPr="009118AB">
        <w:rPr>
          <w:spacing w:val="-2"/>
        </w:rPr>
        <w:softHyphen/>
        <w:t xml:space="preserve">regien und Vereinigungen gewährt oder zuerkannt werden, die </w:t>
      </w:r>
      <w:r w:rsidR="006E1F37" w:rsidRPr="009118AB">
        <w:rPr>
          <w:spacing w:val="-2"/>
        </w:rPr>
        <w:t>[</w:t>
      </w:r>
      <w:r w:rsidR="00554A0F" w:rsidRPr="009118AB">
        <w:rPr>
          <w:spacing w:val="-2"/>
        </w:rPr>
        <w:t>in Artikel 180</w:t>
      </w:r>
      <w:r w:rsidR="006E1F37" w:rsidRPr="009118AB">
        <w:rPr>
          <w:spacing w:val="-2"/>
        </w:rPr>
        <w:t xml:space="preserve"> </w:t>
      </w:r>
      <w:r w:rsidR="006E1F37" w:rsidRPr="009118AB">
        <w:t>Absatz 1</w:t>
      </w:r>
      <w:r w:rsidR="00554A0F" w:rsidRPr="009118AB">
        <w:rPr>
          <w:spacing w:val="-2"/>
        </w:rPr>
        <w:t xml:space="preserve"> </w:t>
      </w:r>
      <w:r w:rsidRPr="009118AB">
        <w:rPr>
          <w:spacing w:val="-2"/>
        </w:rPr>
        <w:t>Nr. </w:t>
      </w:r>
      <w:r w:rsidR="00554A0F" w:rsidRPr="009118AB">
        <w:rPr>
          <w:spacing w:val="-2"/>
        </w:rPr>
        <w:t>1</w:t>
      </w:r>
      <w:r w:rsidR="006E1F37" w:rsidRPr="009118AB">
        <w:rPr>
          <w:spacing w:val="-2"/>
        </w:rPr>
        <w:t>]</w:t>
      </w:r>
      <w:r w:rsidR="00554A0F" w:rsidRPr="009118AB">
        <w:rPr>
          <w:spacing w:val="-2"/>
        </w:rPr>
        <w:t xml:space="preserve"> erwähnt sind.</w:t>
      </w:r>
      <w:r w:rsidR="00C7012A" w:rsidRPr="009118AB">
        <w:rPr>
          <w:spacing w:val="-2"/>
        </w:rPr>
        <w:t>]</w:t>
      </w:r>
    </w:p>
    <w:p w14:paraId="689C3621" w14:textId="77777777" w:rsidR="002743D0" w:rsidRPr="009118AB" w:rsidRDefault="002743D0" w:rsidP="006E671D">
      <w:pPr>
        <w:autoSpaceDE w:val="0"/>
        <w:autoSpaceDN w:val="0"/>
        <w:adjustRightInd w:val="0"/>
        <w:ind w:firstLine="708"/>
        <w:jc w:val="both"/>
      </w:pPr>
    </w:p>
    <w:p w14:paraId="4BD57524" w14:textId="0AAC6AF0" w:rsidR="00477B8F" w:rsidRPr="009118AB" w:rsidRDefault="00C81482" w:rsidP="006E671D">
      <w:pPr>
        <w:autoSpaceDE w:val="0"/>
        <w:autoSpaceDN w:val="0"/>
        <w:adjustRightInd w:val="0"/>
        <w:ind w:firstLine="708"/>
        <w:jc w:val="both"/>
      </w:pPr>
      <w:r w:rsidRPr="009118AB">
        <w:t>[</w:t>
      </w:r>
      <w:r w:rsidR="00844B05" w:rsidRPr="009118AB">
        <w:t xml:space="preserve">Paragraph 1 Absatz 1 </w:t>
      </w:r>
      <w:r w:rsidR="00D67EB8" w:rsidRPr="009118AB">
        <w:t>Nr. </w:t>
      </w:r>
      <w:r w:rsidR="00844B05" w:rsidRPr="009118AB">
        <w:t>2 und 2</w:t>
      </w:r>
      <w:r w:rsidR="00844B05" w:rsidRPr="009118AB">
        <w:rPr>
          <w:i/>
        </w:rPr>
        <w:t>bis</w:t>
      </w:r>
      <w:r w:rsidR="00844B05" w:rsidRPr="009118AB">
        <w:t xml:space="preserve"> ist nicht auf Dividenden anwendbar, die von Investmentgesellschaften beziehungsweise von den in </w:t>
      </w:r>
      <w:r w:rsidR="00D67EB8" w:rsidRPr="009118AB">
        <w:t>§ </w:t>
      </w:r>
      <w:r w:rsidR="00844B05" w:rsidRPr="009118AB">
        <w:t xml:space="preserve">1 Absatz 1 </w:t>
      </w:r>
      <w:r w:rsidR="00D67EB8" w:rsidRPr="009118AB">
        <w:t>Nr. </w:t>
      </w:r>
      <w:r w:rsidR="00844B05" w:rsidRPr="009118AB">
        <w:t>2</w:t>
      </w:r>
      <w:r w:rsidR="00844B05" w:rsidRPr="009118AB">
        <w:rPr>
          <w:i/>
        </w:rPr>
        <w:t>bis</w:t>
      </w:r>
      <w:r w:rsidR="00844B05" w:rsidRPr="009118AB">
        <w:t xml:space="preserve"> erwähnten Gesellschaften ausgeschüttet werden, deren Satzung die jährliche Ausschüttung von mindestens 90 Prozent oder, wenn es sich um eine in </w:t>
      </w:r>
      <w:r w:rsidR="00D67EB8" w:rsidRPr="009118AB">
        <w:t>§ </w:t>
      </w:r>
      <w:r w:rsidR="00844B05" w:rsidRPr="009118AB">
        <w:t xml:space="preserve">1 Absatz 1 </w:t>
      </w:r>
      <w:r w:rsidR="00D67EB8" w:rsidRPr="009118AB">
        <w:t>Nr. </w:t>
      </w:r>
      <w:r w:rsidR="00844B05" w:rsidRPr="009118AB">
        <w:t>2</w:t>
      </w:r>
      <w:r w:rsidR="00844B05" w:rsidRPr="009118AB">
        <w:rPr>
          <w:i/>
        </w:rPr>
        <w:t>bis</w:t>
      </w:r>
      <w:r w:rsidR="00844B05" w:rsidRPr="009118AB">
        <w:t xml:space="preserve"> erwähnte Gesellschaft handelt, von mindestens 80 Prozent der Einkünfte, die sie erzielt haben, nach Abzug der Entlohnungen, Provisionen und Kosten vorsieht, sofern und in dem Maße, wie diese Einkünfte aus Dividenden stammen, die selbst </w:t>
      </w:r>
      <w:r w:rsidR="00A8362B" w:rsidRPr="009118AB">
        <w:t xml:space="preserve">[die in </w:t>
      </w:r>
      <w:r w:rsidR="00D67EB8" w:rsidRPr="009118AB">
        <w:t>§ </w:t>
      </w:r>
      <w:r w:rsidR="00A8362B" w:rsidRPr="009118AB">
        <w:t xml:space="preserve">1 Absatz 1 </w:t>
      </w:r>
      <w:r w:rsidR="00D67EB8" w:rsidRPr="009118AB">
        <w:t>Nr. </w:t>
      </w:r>
      <w:r w:rsidR="00A8362B" w:rsidRPr="009118AB">
        <w:t>1 bis 4 erwähnten Abzugs</w:t>
      </w:r>
      <w:r w:rsidR="00A8362B" w:rsidRPr="009118AB">
        <w:softHyphen/>
        <w:t>bedingungen]</w:t>
      </w:r>
      <w:r w:rsidR="00844B05" w:rsidRPr="009118AB">
        <w:t xml:space="preserve"> erfüllen, oder wie sie aus Mehrwerten stammen, die die Gesellschaften auf Aktien oder Anteile verwirklicht haben, die aufgrund von Artikel 192 </w:t>
      </w:r>
      <w:r w:rsidR="00D67EB8" w:rsidRPr="009118AB">
        <w:t>§ </w:t>
      </w:r>
      <w:r w:rsidR="00844B05" w:rsidRPr="009118AB">
        <w:t>1 von der Steuer befreit werden können.]</w:t>
      </w:r>
      <w:r w:rsidR="004B584A" w:rsidRPr="009118AB">
        <w:t xml:space="preserve"> [</w:t>
      </w:r>
      <w:r w:rsidR="004B584A" w:rsidRPr="009118AB">
        <w:rPr>
          <w:lang w:eastAsia="fr-BE"/>
        </w:rPr>
        <w:t>Die vorwähnte Schwelle von 90 Prozent ist nicht auf Dividenden anwendbar, die von europäischen langfristigen Investmentfonds ausgeschüttet werden.</w:t>
      </w:r>
      <w:r w:rsidR="004B584A" w:rsidRPr="009118AB">
        <w:t>]</w:t>
      </w:r>
    </w:p>
    <w:p w14:paraId="56FBC828" w14:textId="77777777" w:rsidR="00477B8F" w:rsidRPr="009118AB" w:rsidRDefault="00477B8F" w:rsidP="00477B8F">
      <w:pPr>
        <w:autoSpaceDE w:val="0"/>
        <w:autoSpaceDN w:val="0"/>
        <w:adjustRightInd w:val="0"/>
        <w:jc w:val="both"/>
      </w:pPr>
    </w:p>
    <w:p w14:paraId="143A9DD2" w14:textId="75D9B120" w:rsidR="00477B8F" w:rsidRPr="009118AB" w:rsidRDefault="00477B8F" w:rsidP="006E671D">
      <w:pPr>
        <w:autoSpaceDE w:val="0"/>
        <w:autoSpaceDN w:val="0"/>
        <w:adjustRightInd w:val="0"/>
        <w:ind w:firstLine="708"/>
        <w:jc w:val="both"/>
        <w:rPr>
          <w:spacing w:val="-2"/>
        </w:rPr>
      </w:pPr>
      <w:r w:rsidRPr="009118AB">
        <w:rPr>
          <w:spacing w:val="-2"/>
        </w:rPr>
        <w:t xml:space="preserve">[Paragraph 1 Absatz 1 </w:t>
      </w:r>
      <w:r w:rsidR="00D67EB8" w:rsidRPr="009118AB">
        <w:rPr>
          <w:spacing w:val="-2"/>
        </w:rPr>
        <w:t>Nr. </w:t>
      </w:r>
      <w:r w:rsidRPr="009118AB">
        <w:rPr>
          <w:spacing w:val="-2"/>
        </w:rPr>
        <w:t>2 ist nicht auf Dividenden anwendbar, die von privaten Kapi</w:t>
      </w:r>
      <w:r w:rsidR="00554A0F" w:rsidRPr="009118AB">
        <w:rPr>
          <w:spacing w:val="-2"/>
        </w:rPr>
        <w:softHyphen/>
      </w:r>
      <w:r w:rsidRPr="009118AB">
        <w:rPr>
          <w:spacing w:val="-2"/>
        </w:rPr>
        <w:t>tal</w:t>
      </w:r>
      <w:r w:rsidR="00554A0F" w:rsidRPr="009118AB">
        <w:rPr>
          <w:spacing w:val="-2"/>
        </w:rPr>
        <w:softHyphen/>
      </w:r>
      <w:r w:rsidRPr="009118AB">
        <w:rPr>
          <w:spacing w:val="-2"/>
        </w:rPr>
        <w:t xml:space="preserve">anlagefonds mit fixem Kapital erwähnt in </w:t>
      </w:r>
      <w:r w:rsidR="00674AA0" w:rsidRPr="009118AB">
        <w:rPr>
          <w:spacing w:val="-2"/>
        </w:rPr>
        <w:t>[</w:t>
      </w:r>
      <w:r w:rsidR="00674AA0" w:rsidRPr="009118AB">
        <w:t>Artikel 298 des Gesetzes vom 19. April 2014 über alternative Organismen für gemeinsame Anlagen und ihre Verwalter</w:t>
      </w:r>
      <w:r w:rsidR="00674AA0" w:rsidRPr="009118AB">
        <w:rPr>
          <w:spacing w:val="-2"/>
        </w:rPr>
        <w:t>]</w:t>
      </w:r>
      <w:r w:rsidRPr="009118AB">
        <w:rPr>
          <w:spacing w:val="-2"/>
        </w:rPr>
        <w:t xml:space="preserve"> ausgeschüttet werden, in dem Maße, wie die Einkünfte aus Mehrwerten stammen, die auf Anlagen erwähnt in Artikel 192 </w:t>
      </w:r>
      <w:r w:rsidR="00D67EB8" w:rsidRPr="009118AB">
        <w:rPr>
          <w:spacing w:val="-2"/>
        </w:rPr>
        <w:t>§ </w:t>
      </w:r>
      <w:r w:rsidRPr="009118AB">
        <w:rPr>
          <w:spacing w:val="-2"/>
        </w:rPr>
        <w:t xml:space="preserve">3 </w:t>
      </w:r>
      <w:r w:rsidR="00D67EB8" w:rsidRPr="009118AB">
        <w:rPr>
          <w:spacing w:val="-2"/>
        </w:rPr>
        <w:t>Nr. </w:t>
      </w:r>
      <w:r w:rsidRPr="009118AB">
        <w:rPr>
          <w:spacing w:val="-2"/>
        </w:rPr>
        <w:t>1 und 2 verwirklicht werden, oder aus Dividenden, die aus diesen Anlagen hervorgehen.]</w:t>
      </w:r>
    </w:p>
    <w:p w14:paraId="27C53B5C" w14:textId="77777777" w:rsidR="00477B8F" w:rsidRPr="009118AB" w:rsidRDefault="00477B8F" w:rsidP="00477B8F">
      <w:pPr>
        <w:autoSpaceDE w:val="0"/>
        <w:autoSpaceDN w:val="0"/>
        <w:adjustRightInd w:val="0"/>
        <w:jc w:val="both"/>
      </w:pPr>
    </w:p>
    <w:p w14:paraId="5483097E" w14:textId="0A416474" w:rsidR="00477B8F" w:rsidRPr="009118AB" w:rsidRDefault="00477B8F" w:rsidP="006E671D">
      <w:pPr>
        <w:autoSpaceDE w:val="0"/>
        <w:autoSpaceDN w:val="0"/>
        <w:adjustRightInd w:val="0"/>
        <w:ind w:firstLine="708"/>
        <w:jc w:val="both"/>
      </w:pPr>
      <w:r w:rsidRPr="009118AB">
        <w:t xml:space="preserve">[Für die Anwendung von Absatz 3 werden Investmentgesellschaften, die in einem Mitgliedstaat der Europäischen Union den Merkmalen </w:t>
      </w:r>
      <w:r w:rsidR="00674AA0" w:rsidRPr="009118AB">
        <w:t xml:space="preserve">[eines in Artikel 3 </w:t>
      </w:r>
      <w:r w:rsidR="00D67EB8" w:rsidRPr="009118AB">
        <w:t>Nr. </w:t>
      </w:r>
      <w:r w:rsidR="00674AA0" w:rsidRPr="009118AB">
        <w:t>9 des Gesetzes vom 19. April 2014 erwähnten alternativen Organismus für gemeinsame Anlagen mit fixer Anzahl Anteile]</w:t>
      </w:r>
      <w:r w:rsidRPr="009118AB">
        <w:t xml:space="preserve"> entsprechen, Satzungsform haben, für eine bestimmte Dauer gegründet sind und deren ausschließlicher Zweck die gemeinsame Anlage in zugelassene Finanzinstrumente ist, die von nicht notierten Gesellschaften ausgegeben werden, deren Finanzinstrumente gemäß den entsprechenden Bestimmungen dieses Mitgliedstaates in Bezug auf die öffentliche Aufforderung zur Zeichnung privat gehalten werden, mit den in </w:t>
      </w:r>
      <w:r w:rsidR="00B570E1" w:rsidRPr="009118AB">
        <w:t>[</w:t>
      </w:r>
      <w:r w:rsidRPr="009118AB">
        <w:t>Artikel </w:t>
      </w:r>
      <w:r w:rsidR="00674AA0" w:rsidRPr="009118AB">
        <w:t>298</w:t>
      </w:r>
      <w:r w:rsidR="00B570E1" w:rsidRPr="009118AB">
        <w:t>]</w:t>
      </w:r>
      <w:r w:rsidRPr="009118AB">
        <w:t xml:space="preserve"> desselben Gesetzes erwähnten privaten Kapitalanlagefonds mit fixem Kapital gleichgesetzt.]</w:t>
      </w:r>
    </w:p>
    <w:p w14:paraId="42101525" w14:textId="77777777" w:rsidR="00477B8F" w:rsidRPr="009118AB" w:rsidRDefault="00477B8F" w:rsidP="00477B8F">
      <w:pPr>
        <w:autoSpaceDE w:val="0"/>
        <w:autoSpaceDN w:val="0"/>
        <w:adjustRightInd w:val="0"/>
        <w:jc w:val="both"/>
      </w:pPr>
    </w:p>
    <w:p w14:paraId="7E07F545" w14:textId="5BC62ACB" w:rsidR="00477B8F" w:rsidRPr="009118AB" w:rsidRDefault="00A8362B" w:rsidP="006E671D">
      <w:pPr>
        <w:autoSpaceDE w:val="0"/>
        <w:autoSpaceDN w:val="0"/>
        <w:adjustRightInd w:val="0"/>
        <w:ind w:firstLine="708"/>
        <w:jc w:val="both"/>
      </w:pPr>
      <w:r w:rsidRPr="009118AB">
        <w:t xml:space="preserve">[Paragraph 1 Absatz 1 </w:t>
      </w:r>
      <w:r w:rsidR="00D67EB8" w:rsidRPr="009118AB">
        <w:t>Nr. </w:t>
      </w:r>
      <w:r w:rsidRPr="009118AB">
        <w:t xml:space="preserve">2 und 5] </w:t>
      </w:r>
      <w:r w:rsidR="00477B8F" w:rsidRPr="009118AB">
        <w:t>sind nicht auf Dividenden anwendbar, die aufgrund einer direkten oder indirekten Beteiligung an einer in einem Mitgliedstaat der Europäischen Union ansässigen Finanzierungsgesellschaft erzielt werden, die für den Aktionär rechtmäßigen finanziellen oder wirtschaftlichen Bedürfnissen entspricht, sofern und in dem Maße, wie die Summe der besteuerten Rücklagen zu Beginn des Besteuerungszeitraums und des eingezahlten Kapitals am Ende dieses Zeitraums der Finanzierungsgesellschaft 33 Prozent der Schulden nicht übersteigt.</w:t>
      </w:r>
    </w:p>
    <w:p w14:paraId="12594730" w14:textId="77777777" w:rsidR="00477B8F" w:rsidRPr="009118AB" w:rsidRDefault="00477B8F" w:rsidP="00477B8F">
      <w:pPr>
        <w:autoSpaceDE w:val="0"/>
        <w:autoSpaceDN w:val="0"/>
        <w:adjustRightInd w:val="0"/>
        <w:jc w:val="both"/>
      </w:pPr>
    </w:p>
    <w:p w14:paraId="060CBE4E" w14:textId="7901D224" w:rsidR="00A8362B" w:rsidRPr="009118AB" w:rsidRDefault="00A8362B" w:rsidP="00A8362B">
      <w:pPr>
        <w:ind w:firstLine="708"/>
        <w:jc w:val="both"/>
      </w:pPr>
      <w:r w:rsidRPr="009118AB">
        <w:tab/>
        <w:t>[</w:t>
      </w:r>
      <w:r w:rsidR="004B584A" w:rsidRPr="009118AB">
        <w:t>[</w:t>
      </w:r>
      <w:r w:rsidR="004B584A" w:rsidRPr="009118AB">
        <w:rPr>
          <w:lang w:eastAsia="fr-BE"/>
        </w:rPr>
        <w:t xml:space="preserve">Paragraph 1 Absatz 1 </w:t>
      </w:r>
      <w:r w:rsidR="00D67EB8" w:rsidRPr="009118AB">
        <w:rPr>
          <w:lang w:eastAsia="fr-BE"/>
        </w:rPr>
        <w:t>Nr. </w:t>
      </w:r>
      <w:r w:rsidR="004B584A" w:rsidRPr="009118AB">
        <w:rPr>
          <w:lang w:eastAsia="fr-BE"/>
        </w:rPr>
        <w:t xml:space="preserve">2, </w:t>
      </w:r>
      <w:r w:rsidR="001F15B0" w:rsidRPr="009118AB">
        <w:rPr>
          <w:lang w:eastAsia="fr-BE"/>
        </w:rPr>
        <w:t>[</w:t>
      </w:r>
      <w:r w:rsidR="001F15B0" w:rsidRPr="009118AB">
        <w:t xml:space="preserve">was die Einkünfte betrifft, die von einer beim FÖD Finanzen im Verzeichnis der spezialisierten Immobilieninvestmentfonds eingetragenen </w:t>
      </w:r>
      <w:r w:rsidR="001F15B0" w:rsidRPr="009118AB">
        <w:lastRenderedPageBreak/>
        <w:t>Gesellschaft oder von einem von der Autorität Finanzielle Dienste und Märkte zugelassenen europäischen langfristigen Investmentfonds gewährt oder zuerkannt werden</w:t>
      </w:r>
      <w:r w:rsidR="001F15B0" w:rsidRPr="009118AB">
        <w:rPr>
          <w:lang w:eastAsia="fr-BE"/>
        </w:rPr>
        <w:t>]</w:t>
      </w:r>
      <w:r w:rsidR="004B584A" w:rsidRPr="009118AB">
        <w:rPr>
          <w:lang w:eastAsia="fr-BE"/>
        </w:rPr>
        <w:t xml:space="preserve">, und </w:t>
      </w:r>
      <w:r w:rsidR="00D67EB8" w:rsidRPr="009118AB">
        <w:rPr>
          <w:lang w:eastAsia="fr-BE"/>
        </w:rPr>
        <w:t>Nr. </w:t>
      </w:r>
      <w:r w:rsidR="004B584A" w:rsidRPr="009118AB">
        <w:rPr>
          <w:lang w:eastAsia="fr-BE"/>
        </w:rPr>
        <w:t>2</w:t>
      </w:r>
      <w:r w:rsidR="004B584A" w:rsidRPr="009118AB">
        <w:rPr>
          <w:i/>
          <w:iCs/>
          <w:lang w:eastAsia="fr-BE"/>
        </w:rPr>
        <w:t>bis</w:t>
      </w:r>
      <w:r w:rsidR="004B584A" w:rsidRPr="009118AB">
        <w:rPr>
          <w:lang w:eastAsia="fr-BE"/>
        </w:rPr>
        <w:t xml:space="preserve"> ist nicht auf den Teil der gewährten oder zuerkannten Einkünfte anwendbar, der aus Einkünften aus unbeweglichen Gütern stammt:</w:t>
      </w:r>
      <w:r w:rsidR="004B584A" w:rsidRPr="009118AB">
        <w:t>]</w:t>
      </w:r>
    </w:p>
    <w:p w14:paraId="31ED5CDA" w14:textId="77777777" w:rsidR="00A8362B" w:rsidRPr="009118AB" w:rsidRDefault="00A8362B" w:rsidP="00A8362B">
      <w:pPr>
        <w:jc w:val="both"/>
      </w:pPr>
    </w:p>
    <w:p w14:paraId="7A0FD89B" w14:textId="77777777" w:rsidR="00A8362B" w:rsidRPr="009118AB" w:rsidRDefault="00A8362B" w:rsidP="00A8362B">
      <w:pPr>
        <w:ind w:firstLine="708"/>
        <w:jc w:val="both"/>
      </w:pPr>
      <w:r w:rsidRPr="009118AB">
        <w:t>- die in einem anderen Mitgliedstaat der Europäischen Union oder in einem Staat gelegen sind, mit dem Belgien ein Abkommen zur Vermeidung der Doppelbesteuerung abgeschlossen hat, unter der Bedingung, dass dieses Abkommen oder ein anderes Abkommen den Austausch von Auskünften vorsieht, die erforderlich sind, um die Bestimmungen der nationalen Rechtsvorschriften der Vertragsstaaten anzuwenden, und</w:t>
      </w:r>
    </w:p>
    <w:p w14:paraId="4CF5A21A" w14:textId="77777777" w:rsidR="00A8362B" w:rsidRPr="009118AB" w:rsidRDefault="00A8362B" w:rsidP="00A8362B">
      <w:pPr>
        <w:jc w:val="both"/>
      </w:pPr>
    </w:p>
    <w:p w14:paraId="06589997" w14:textId="77777777" w:rsidR="00A8362B" w:rsidRPr="009118AB" w:rsidRDefault="00A8362B" w:rsidP="00A8362B">
      <w:pPr>
        <w:autoSpaceDE w:val="0"/>
        <w:autoSpaceDN w:val="0"/>
        <w:adjustRightInd w:val="0"/>
        <w:ind w:firstLine="708"/>
        <w:jc w:val="both"/>
      </w:pPr>
      <w:r w:rsidRPr="009118AB">
        <w:t>- die der Gesellschaftssteuer, der Steuer der Gebietsfremden oder einer diesen Steuern ähnlichen ausländischen Steuer unterliegen und für die kein besonderes vom allgemeinen Recht abweichendes Besteuerungssystem angewandt wird.]</w:t>
      </w:r>
    </w:p>
    <w:p w14:paraId="1008D6AD" w14:textId="77777777" w:rsidR="00A8362B" w:rsidRPr="009118AB" w:rsidRDefault="00A8362B" w:rsidP="00477B8F">
      <w:pPr>
        <w:autoSpaceDE w:val="0"/>
        <w:autoSpaceDN w:val="0"/>
        <w:adjustRightInd w:val="0"/>
        <w:jc w:val="both"/>
      </w:pPr>
    </w:p>
    <w:p w14:paraId="3E2073C1" w14:textId="1D64795E" w:rsidR="00477B8F" w:rsidRPr="009118AB" w:rsidRDefault="00477B8F" w:rsidP="006E671D">
      <w:pPr>
        <w:autoSpaceDE w:val="0"/>
        <w:autoSpaceDN w:val="0"/>
        <w:adjustRightInd w:val="0"/>
        <w:ind w:firstLine="708"/>
        <w:jc w:val="both"/>
      </w:pPr>
      <w:r w:rsidRPr="009118AB">
        <w:t xml:space="preserve">[Paragraph 1 Absatz 1 </w:t>
      </w:r>
      <w:r w:rsidR="00D67EB8" w:rsidRPr="009118AB">
        <w:t>Nr. </w:t>
      </w:r>
      <w:r w:rsidRPr="009118AB">
        <w:t>4 ist nicht anwendbar, wenn die tatsächlich global erhobene Steuer auf Gewinne der ausländischen Niederlassung mindestens 15 Prozent beträgt oder wenn die Gesellschaft und ihre ausländische Niederlassung in Mitgliedstaaten der Europäischen Union ansässig sind.]</w:t>
      </w:r>
    </w:p>
    <w:p w14:paraId="7E0582D5" w14:textId="77777777" w:rsidR="00477B8F" w:rsidRPr="009118AB" w:rsidRDefault="00477B8F" w:rsidP="00477B8F">
      <w:pPr>
        <w:autoSpaceDE w:val="0"/>
        <w:autoSpaceDN w:val="0"/>
        <w:adjustRightInd w:val="0"/>
        <w:jc w:val="both"/>
      </w:pPr>
    </w:p>
    <w:p w14:paraId="34792FC6" w14:textId="79072E1A" w:rsidR="00477B8F" w:rsidRPr="009118AB" w:rsidRDefault="009567AF" w:rsidP="006E671D">
      <w:pPr>
        <w:autoSpaceDE w:val="0"/>
        <w:autoSpaceDN w:val="0"/>
        <w:adjustRightInd w:val="0"/>
        <w:ind w:firstLine="708"/>
        <w:jc w:val="both"/>
      </w:pPr>
      <w:r w:rsidRPr="009118AB">
        <w:t>[</w:t>
      </w:r>
      <w:r w:rsidR="00477B8F" w:rsidRPr="009118AB">
        <w:t xml:space="preserve">Paragraph 1 </w:t>
      </w:r>
      <w:r w:rsidRPr="009118AB">
        <w:t xml:space="preserve">Absatz 1 </w:t>
      </w:r>
      <w:r w:rsidR="00D67EB8" w:rsidRPr="009118AB">
        <w:t>Nr. </w:t>
      </w:r>
      <w:r w:rsidR="00477B8F" w:rsidRPr="009118AB">
        <w:t>5</w:t>
      </w:r>
      <w:r w:rsidRPr="009118AB">
        <w:t>]</w:t>
      </w:r>
      <w:r w:rsidR="00477B8F" w:rsidRPr="009118AB">
        <w:t xml:space="preserve"> ist nicht anwendbar, wenn die neu ausschüttende Gesellschaft:</w:t>
      </w:r>
    </w:p>
    <w:p w14:paraId="282A854A" w14:textId="77777777" w:rsidR="00477B8F" w:rsidRPr="009118AB" w:rsidRDefault="00477B8F" w:rsidP="00477B8F">
      <w:pPr>
        <w:autoSpaceDE w:val="0"/>
        <w:autoSpaceDN w:val="0"/>
        <w:adjustRightInd w:val="0"/>
        <w:jc w:val="both"/>
      </w:pPr>
    </w:p>
    <w:p w14:paraId="024830DE" w14:textId="77777777" w:rsidR="00477B8F" w:rsidRPr="009118AB" w:rsidRDefault="00477B8F" w:rsidP="006E671D">
      <w:pPr>
        <w:autoSpaceDE w:val="0"/>
        <w:autoSpaceDN w:val="0"/>
        <w:adjustRightInd w:val="0"/>
        <w:ind w:firstLine="708"/>
        <w:jc w:val="both"/>
      </w:pPr>
      <w:r w:rsidRPr="009118AB">
        <w:t xml:space="preserve">1. eine inländische Gesellschaft ist oder eine ausländische Gesellschaft, die in einem Land ansässig ist, mit dem Belgien ein Abkommen zur Vermeidung der Doppelbesteuerung unterzeichnet hat und die dort einer ähnlichen Steuer wie der Gesellschaftssteuer unterliegt, ohne dass ein vom allgemeinen Recht abweichendes Besteuerungssystem zu ihren Gunsten angewandt wird, und deren Aktien [notiert sind an einer Wertpapierbörse] eines Mitgliedstaates der Europäischen Union unter den Bedingungen </w:t>
      </w:r>
      <w:r w:rsidR="00E177C8" w:rsidRPr="009118AB">
        <w:t>[der Richtlinie 2001/34/EG des Europäischen Parlaments und des Rates vom 28. Mai 2001 über die Zulassung von Wertpapieren zur amtlichen Börsennotierung und über die hinsichtlich dieser Wertpapiere zu veröffentlichenden Informationen]</w:t>
      </w:r>
      <w:r w:rsidRPr="009118AB">
        <w:t xml:space="preserve"> oder aber eines Drittstaates, dessen Rechtsvorschriften zumindest gleichwertige Zulassungsbedingungen vorsehen,</w:t>
      </w:r>
    </w:p>
    <w:p w14:paraId="268764FB" w14:textId="77777777" w:rsidR="002743D0" w:rsidRPr="009118AB" w:rsidRDefault="002743D0" w:rsidP="006E671D">
      <w:pPr>
        <w:autoSpaceDE w:val="0"/>
        <w:autoSpaceDN w:val="0"/>
        <w:adjustRightInd w:val="0"/>
        <w:ind w:firstLine="708"/>
        <w:jc w:val="both"/>
      </w:pPr>
    </w:p>
    <w:p w14:paraId="3339AABB" w14:textId="77777777" w:rsidR="00477B8F" w:rsidRPr="009118AB" w:rsidRDefault="00477B8F" w:rsidP="008844AD">
      <w:pPr>
        <w:autoSpaceDE w:val="0"/>
        <w:autoSpaceDN w:val="0"/>
        <w:adjustRightInd w:val="0"/>
        <w:ind w:firstLine="708"/>
        <w:jc w:val="both"/>
      </w:pPr>
      <w:r w:rsidRPr="009118AB">
        <w:t>2. eine Gesellschaft ist, deren erzielte Einkünfte vom Recht auf Abzug, das durch vorliegenden Artikel in Belgien oder durch eine Maßnahme ausländischen Rechts mit ähnlicher Auswirkung geregelt wird, ausgeschlossen wurden.</w:t>
      </w:r>
    </w:p>
    <w:p w14:paraId="4657A598" w14:textId="77777777" w:rsidR="00477B8F" w:rsidRPr="009118AB" w:rsidRDefault="00477B8F" w:rsidP="00477B8F">
      <w:pPr>
        <w:autoSpaceDE w:val="0"/>
        <w:autoSpaceDN w:val="0"/>
        <w:adjustRightInd w:val="0"/>
        <w:jc w:val="both"/>
      </w:pPr>
    </w:p>
    <w:p w14:paraId="2B789402" w14:textId="77777777" w:rsidR="00477B8F" w:rsidRPr="009118AB" w:rsidRDefault="00477B8F" w:rsidP="006E671D">
      <w:pPr>
        <w:autoSpaceDE w:val="0"/>
        <w:autoSpaceDN w:val="0"/>
        <w:adjustRightInd w:val="0"/>
        <w:ind w:firstLine="708"/>
        <w:jc w:val="both"/>
      </w:pPr>
      <w:r w:rsidRPr="009118AB">
        <w:t>[...]</w:t>
      </w:r>
    </w:p>
    <w:p w14:paraId="4BD2D7C2" w14:textId="77777777" w:rsidR="00477B8F" w:rsidRPr="009118AB" w:rsidRDefault="00477B8F" w:rsidP="00477B8F">
      <w:pPr>
        <w:autoSpaceDE w:val="0"/>
        <w:autoSpaceDN w:val="0"/>
        <w:adjustRightInd w:val="0"/>
        <w:jc w:val="both"/>
      </w:pPr>
    </w:p>
    <w:p w14:paraId="72AC0ECE" w14:textId="63A06BDC" w:rsidR="00E9217A" w:rsidRPr="009118AB" w:rsidRDefault="00E9217A" w:rsidP="00477B8F">
      <w:pPr>
        <w:autoSpaceDE w:val="0"/>
        <w:autoSpaceDN w:val="0"/>
        <w:adjustRightInd w:val="0"/>
        <w:jc w:val="both"/>
      </w:pPr>
      <w:r w:rsidRPr="009118AB">
        <w:tab/>
        <w:t xml:space="preserve">[Für die Anwendung von </w:t>
      </w:r>
      <w:r w:rsidR="00D67EB8" w:rsidRPr="009118AB">
        <w:t>§ </w:t>
      </w:r>
      <w:r w:rsidRPr="009118AB">
        <w:t xml:space="preserve">1 Absatz 1 </w:t>
      </w:r>
      <w:r w:rsidR="00D67EB8" w:rsidRPr="009118AB">
        <w:t>Nr. </w:t>
      </w:r>
      <w:r w:rsidRPr="009118AB">
        <w:t>7 gilt eine Rechtshandlung oder eine Gesamtheit von Rechtshandlungen in dem Umfang als unangemessen, wie diese Handlung oder diese Gesamtheit von Handlungen nicht aus triftigen wirtschaftlichen Gründen vorgenommen wurde, die die wirtschaftliche Realität widerspiegeln.]</w:t>
      </w:r>
    </w:p>
    <w:p w14:paraId="4DC0F32A" w14:textId="77777777" w:rsidR="00E9217A" w:rsidRPr="009118AB" w:rsidRDefault="00E9217A" w:rsidP="00477B8F">
      <w:pPr>
        <w:autoSpaceDE w:val="0"/>
        <w:autoSpaceDN w:val="0"/>
        <w:adjustRightInd w:val="0"/>
        <w:jc w:val="both"/>
      </w:pPr>
    </w:p>
    <w:p w14:paraId="7E3D75AF" w14:textId="50CF8E36" w:rsidR="00477B8F" w:rsidRPr="009118AB" w:rsidRDefault="00D67EB8" w:rsidP="006E671D">
      <w:pPr>
        <w:autoSpaceDE w:val="0"/>
        <w:autoSpaceDN w:val="0"/>
        <w:adjustRightInd w:val="0"/>
        <w:ind w:firstLine="708"/>
        <w:jc w:val="both"/>
      </w:pPr>
      <w:r w:rsidRPr="009118AB">
        <w:t>§ </w:t>
      </w:r>
      <w:r w:rsidR="00477B8F" w:rsidRPr="009118AB">
        <w:t>3</w:t>
      </w:r>
      <w:r w:rsidRPr="009118AB">
        <w:t> - </w:t>
      </w:r>
      <w:r w:rsidR="00477B8F" w:rsidRPr="009118AB">
        <w:t xml:space="preserve">Für die Anwendung von </w:t>
      </w:r>
      <w:r w:rsidR="009567AF" w:rsidRPr="009118AB">
        <w:t>[</w:t>
      </w:r>
      <w:r w:rsidRPr="009118AB">
        <w:t>§ </w:t>
      </w:r>
      <w:r w:rsidR="00477B8F" w:rsidRPr="009118AB">
        <w:t xml:space="preserve">1 </w:t>
      </w:r>
      <w:r w:rsidR="009567AF" w:rsidRPr="009118AB">
        <w:t xml:space="preserve">Absatz 1 </w:t>
      </w:r>
      <w:r w:rsidRPr="009118AB">
        <w:t>Nr. </w:t>
      </w:r>
      <w:r w:rsidR="00477B8F" w:rsidRPr="009118AB">
        <w:t>5</w:t>
      </w:r>
      <w:r w:rsidR="009567AF" w:rsidRPr="009118AB">
        <w:t>]</w:t>
      </w:r>
      <w:r w:rsidR="00477B8F" w:rsidRPr="009118AB">
        <w:t xml:space="preserve"> und unbeschadet des Paragraphen 2 gelten direkt oder indirekt </w:t>
      </w:r>
      <w:r w:rsidR="009567AF" w:rsidRPr="009118AB">
        <w:t>[</w:t>
      </w:r>
      <w:r w:rsidR="00477B8F" w:rsidRPr="009118AB">
        <w:t xml:space="preserve">von den in </w:t>
      </w:r>
      <w:r w:rsidRPr="009118AB">
        <w:t>§ </w:t>
      </w:r>
      <w:r w:rsidR="00477B8F" w:rsidRPr="009118AB">
        <w:t xml:space="preserve">1 </w:t>
      </w:r>
      <w:r w:rsidR="009567AF" w:rsidRPr="009118AB">
        <w:t xml:space="preserve">Absatz 1 </w:t>
      </w:r>
      <w:r w:rsidRPr="009118AB">
        <w:t>Nr. </w:t>
      </w:r>
      <w:r w:rsidR="009567AF" w:rsidRPr="009118AB">
        <w:t>1 bis</w:t>
      </w:r>
      <w:r w:rsidR="00477B8F" w:rsidRPr="009118AB">
        <w:t> 2</w:t>
      </w:r>
      <w:r w:rsidR="009567AF" w:rsidRPr="009118AB">
        <w:rPr>
          <w:i/>
        </w:rPr>
        <w:t>bis</w:t>
      </w:r>
      <w:r w:rsidR="00477B8F" w:rsidRPr="009118AB">
        <w:t xml:space="preserve"> erwähnten Gesellschaften</w:t>
      </w:r>
      <w:r w:rsidR="009567AF" w:rsidRPr="009118AB">
        <w:t>]</w:t>
      </w:r>
      <w:r w:rsidR="00477B8F" w:rsidRPr="009118AB">
        <w:t xml:space="preserve"> gewährte oder zuerkannte Dividenden als Dividenden, die die Abzugsbedingungen nicht erfüllen.]</w:t>
      </w:r>
    </w:p>
    <w:p w14:paraId="16D8BC34" w14:textId="77777777" w:rsidR="00477B8F" w:rsidRPr="009118AB" w:rsidRDefault="00477B8F" w:rsidP="00477B8F">
      <w:pPr>
        <w:autoSpaceDE w:val="0"/>
        <w:autoSpaceDN w:val="0"/>
        <w:adjustRightInd w:val="0"/>
        <w:jc w:val="both"/>
      </w:pPr>
    </w:p>
    <w:p w14:paraId="13B8D3A9" w14:textId="3009F122" w:rsidR="00477B8F" w:rsidRPr="009118AB" w:rsidRDefault="00477B8F" w:rsidP="006E671D">
      <w:pPr>
        <w:autoSpaceDE w:val="0"/>
        <w:autoSpaceDN w:val="0"/>
        <w:adjustRightInd w:val="0"/>
        <w:ind w:firstLine="708"/>
        <w:jc w:val="both"/>
      </w:pPr>
      <w:r w:rsidRPr="009118AB">
        <w:lastRenderedPageBreak/>
        <w:t>[</w:t>
      </w:r>
      <w:r w:rsidR="00D67EB8" w:rsidRPr="009118AB">
        <w:t>§ </w:t>
      </w:r>
      <w:r w:rsidRPr="009118AB">
        <w:t>4</w:t>
      </w:r>
      <w:r w:rsidR="00D67EB8" w:rsidRPr="009118AB">
        <w:t> - </w:t>
      </w:r>
      <w:r w:rsidRPr="009118AB">
        <w:t xml:space="preserve">Für die Bewilligung der Regelung der definitiv besteuerten Einkünfte für Dividenden von Gesellschaften mit fixem Kapital, die von der </w:t>
      </w:r>
      <w:r w:rsidR="00C47F3A" w:rsidRPr="009118AB">
        <w:t>[Autorität Finanzielle Dienste und Märkte]</w:t>
      </w:r>
      <w:r w:rsidRPr="009118AB">
        <w:t xml:space="preserve"> zugelassen sind für Anlagen in nicht notierte Aktien, gilt die in </w:t>
      </w:r>
      <w:r w:rsidR="00D67EB8" w:rsidRPr="009118AB">
        <w:t>§ </w:t>
      </w:r>
      <w:r w:rsidRPr="009118AB">
        <w:t xml:space="preserve">2 Absatz 2 erwähnte Schwelle von 90 Prozent als erreicht, wenn diese Investmentgesellschaften </w:t>
      </w:r>
      <w:r w:rsidR="00935D10" w:rsidRPr="009118AB">
        <w:t>[den Gewinn des Geschäftsjahres in Anwendung von Artikel 35 des Königlichen Erlasses vom 10. Juli 2016 über alternative Organismen für gemeinsame Anlagen in nicht notierten Gesellschaften und Wachstumsgesellschaften ausgeschüttet haben]</w:t>
      </w:r>
      <w:r w:rsidRPr="009118AB">
        <w:t xml:space="preserve"> und sofern sie in Anwendung dieses Artikels dazu verpflichtet waren.]</w:t>
      </w:r>
    </w:p>
    <w:p w14:paraId="349CB9C9" w14:textId="77777777" w:rsidR="009567AF" w:rsidRPr="009118AB" w:rsidRDefault="009567AF" w:rsidP="006E671D">
      <w:pPr>
        <w:autoSpaceDE w:val="0"/>
        <w:autoSpaceDN w:val="0"/>
        <w:adjustRightInd w:val="0"/>
        <w:ind w:firstLine="708"/>
        <w:jc w:val="both"/>
      </w:pPr>
    </w:p>
    <w:p w14:paraId="7B90211E" w14:textId="7471D850" w:rsidR="009567AF" w:rsidRPr="009118AB" w:rsidRDefault="009567AF" w:rsidP="006E671D">
      <w:pPr>
        <w:autoSpaceDE w:val="0"/>
        <w:autoSpaceDN w:val="0"/>
        <w:adjustRightInd w:val="0"/>
        <w:ind w:firstLine="708"/>
        <w:jc w:val="both"/>
      </w:pPr>
      <w:r w:rsidRPr="009118AB">
        <w:t>[</w:t>
      </w:r>
      <w:r w:rsidR="00D67EB8" w:rsidRPr="009118AB">
        <w:t>§ </w:t>
      </w:r>
      <w:r w:rsidRPr="009118AB">
        <w:t>5</w:t>
      </w:r>
      <w:r w:rsidR="00D67EB8" w:rsidRPr="009118AB">
        <w:t> - </w:t>
      </w:r>
      <w:r w:rsidRPr="009118AB">
        <w:t xml:space="preserve">Für die Bewilligung der Regelung der definitiv besteuerten Einkünfte für Dividenden von Investmentgesellschaften mit fixem Kapital für Immobilien oder von Gesellschaften wie in </w:t>
      </w:r>
      <w:r w:rsidR="00D67EB8" w:rsidRPr="009118AB">
        <w:t>§ </w:t>
      </w:r>
      <w:r w:rsidRPr="009118AB">
        <w:t xml:space="preserve">1 Absatz 1 </w:t>
      </w:r>
      <w:r w:rsidR="00D67EB8" w:rsidRPr="009118AB">
        <w:t>Nr. </w:t>
      </w:r>
      <w:r w:rsidRPr="009118AB">
        <w:t>2</w:t>
      </w:r>
      <w:r w:rsidRPr="009118AB">
        <w:rPr>
          <w:i/>
        </w:rPr>
        <w:t>bis</w:t>
      </w:r>
      <w:r w:rsidRPr="009118AB">
        <w:t xml:space="preserve"> erwähnt gilt die in </w:t>
      </w:r>
      <w:r w:rsidR="00D67EB8" w:rsidRPr="009118AB">
        <w:t>§ </w:t>
      </w:r>
      <w:r w:rsidRPr="009118AB">
        <w:t xml:space="preserve">2 Absatz 2 erwähnte Schwelle von 80 Prozent als erreicht, wenn diese Investmentgesellschaften den Nettoertrag in Anwendung von Artikel 27 </w:t>
      </w:r>
      <w:r w:rsidR="00D67EB8" w:rsidRPr="009118AB">
        <w:t>§ </w:t>
      </w:r>
      <w:r w:rsidRPr="009118AB">
        <w:t xml:space="preserve">1 des Königlichen Erlasses vom 7. Dezember 2010 über Immobilieninvestmentgesellschaften mit fixem Kapital, Artikel 13 </w:t>
      </w:r>
      <w:r w:rsidR="00D67EB8" w:rsidRPr="009118AB">
        <w:t>§ </w:t>
      </w:r>
      <w:r w:rsidRPr="009118AB">
        <w:t>1 des Königlichen Erlasses vom 13. Juli 2014 über die beaufsichtigten Immobiliengesellschaften beziehungs</w:t>
      </w:r>
      <w:r w:rsidRPr="009118AB">
        <w:softHyphen/>
        <w:t>weise Artikel 22 des Königlichen Erlasses vom 9. November 2016 über spezialisierte Immobilieninvestmentfonds ausgeschüttet haben, sofern sie in Anwendung der vorerwähnten Artikel dazu verpflichtet waren.]</w:t>
      </w:r>
    </w:p>
    <w:p w14:paraId="63537894" w14:textId="77777777" w:rsidR="00477B8F" w:rsidRPr="009118AB" w:rsidRDefault="00477B8F" w:rsidP="00477B8F">
      <w:pPr>
        <w:autoSpaceDE w:val="0"/>
        <w:autoSpaceDN w:val="0"/>
        <w:adjustRightInd w:val="0"/>
        <w:jc w:val="both"/>
      </w:pPr>
    </w:p>
    <w:p w14:paraId="1445A933" w14:textId="50DB2DDD" w:rsidR="008844AD" w:rsidRPr="009118AB" w:rsidRDefault="00477B8F" w:rsidP="00477B8F">
      <w:pPr>
        <w:autoSpaceDE w:val="0"/>
        <w:autoSpaceDN w:val="0"/>
        <w:adjustRightInd w:val="0"/>
        <w:jc w:val="both"/>
        <w:rPr>
          <w:i/>
          <w:iCs/>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203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26 des K.E. vom 20. Dezember 1996 (B.S. vom 31. Dezember 1996)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Einkünfte, die ab dem 1. Januar 1997 zuerkannt oder ausgeschüttet werden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724D24"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724D24"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00724D24" w:rsidRPr="009118AB">
        <w:rPr>
          <w:rFonts w:ascii="Times New Roman Italique" w:hAnsi="Times New Roman Italique"/>
          <w:i/>
          <w:iCs/>
          <w:spacing w:val="-2"/>
        </w:rPr>
        <w:t xml:space="preserve">1 ergänzt durch </w:t>
      </w:r>
      <w:r w:rsidR="00D67EB8" w:rsidRPr="009118AB">
        <w:rPr>
          <w:rFonts w:ascii="Times New Roman Italique" w:hAnsi="Times New Roman Italique"/>
          <w:i/>
          <w:iCs/>
          <w:spacing w:val="-2"/>
        </w:rPr>
        <w:t>Art. </w:t>
      </w:r>
      <w:r w:rsidR="00724D24" w:rsidRPr="009118AB">
        <w:rPr>
          <w:rFonts w:ascii="Times New Roman Italique" w:hAnsi="Times New Roman Italique"/>
          <w:i/>
          <w:iCs/>
          <w:spacing w:val="-2"/>
        </w:rPr>
        <w:t>9</w:t>
      </w:r>
      <w:r w:rsidR="00724D24" w:rsidRPr="009118AB">
        <w:rPr>
          <w:i/>
          <w:iCs/>
        </w:rPr>
        <w:t xml:space="preserve"> des G. vom 20. Dezember 2020 (II) (B.S. vom 30. Dezember 2020)</w:t>
      </w:r>
      <w:r w:rsidR="00D67EB8" w:rsidRPr="009118AB">
        <w:rPr>
          <w:i/>
          <w:iCs/>
        </w:rPr>
        <w:t> - </w:t>
      </w:r>
      <w:r w:rsidR="00CE06B8" w:rsidRPr="009118AB">
        <w:rPr>
          <w:i/>
          <w:iCs/>
        </w:rPr>
        <w:t xml:space="preserve">in Kraft am 31. Dezember 2020 und </w:t>
      </w:r>
      <w:r w:rsidR="00724D24" w:rsidRPr="009118AB">
        <w:rPr>
          <w:i/>
          <w:iCs/>
        </w:rPr>
        <w:t xml:space="preserve">anwendbar auf die in Artikel 202 </w:t>
      </w:r>
      <w:r w:rsidR="00D67EB8" w:rsidRPr="009118AB">
        <w:rPr>
          <w:i/>
          <w:iCs/>
        </w:rPr>
        <w:t>§ </w:t>
      </w:r>
      <w:r w:rsidR="00724D24" w:rsidRPr="009118AB">
        <w:rPr>
          <w:i/>
          <w:iCs/>
        </w:rPr>
        <w:t xml:space="preserve">1 </w:t>
      </w:r>
      <w:r w:rsidR="00D67EB8" w:rsidRPr="009118AB">
        <w:rPr>
          <w:i/>
          <w:iCs/>
        </w:rPr>
        <w:t>Nr. </w:t>
      </w:r>
      <w:r w:rsidR="00724D24" w:rsidRPr="009118AB">
        <w:rPr>
          <w:i/>
          <w:iCs/>
        </w:rPr>
        <w:t>1 und 2 des Einkommensteuergesetz</w:t>
      </w:r>
      <w:r w:rsidR="00724D24" w:rsidRPr="009118AB">
        <w:rPr>
          <w:i/>
          <w:iCs/>
        </w:rPr>
        <w:softHyphen/>
        <w:t>buches 1992 erwähnten Dividenden, die ab dem 1. Januar 2021 gewährt oder zuerkannt werden</w:t>
      </w:r>
      <w:r w:rsidR="003366D9" w:rsidRPr="009118AB">
        <w:rPr>
          <w:i/>
          <w:iCs/>
        </w:rPr>
        <w:t> -;</w:t>
      </w:r>
      <w:r w:rsidR="00724D24" w:rsidRPr="009118AB">
        <w:rPr>
          <w:i/>
          <w:iCs/>
        </w:rPr>
        <w:t xml:space="preserve"> </w:t>
      </w:r>
      <w:r w:rsidR="00D67EB8" w:rsidRPr="009118AB">
        <w:rPr>
          <w:rFonts w:ascii="Times New Roman Italique" w:hAnsi="Times New Roman Italique"/>
          <w:i/>
          <w:iCs/>
          <w:spacing w:val="-2"/>
        </w:rPr>
        <w:t>§ </w:t>
      </w:r>
      <w:r w:rsidR="009567AF"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9567AF"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009567AF"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9567AF" w:rsidRPr="009118AB">
        <w:rPr>
          <w:rFonts w:ascii="Times New Roman Italique" w:hAnsi="Times New Roman Italique"/>
          <w:i/>
          <w:iCs/>
          <w:spacing w:val="-2"/>
        </w:rPr>
        <w:t xml:space="preserve">5 </w:t>
      </w:r>
      <w:r w:rsidR="00D67EB8" w:rsidRPr="009118AB">
        <w:rPr>
          <w:rFonts w:ascii="Times New Roman Italique" w:hAnsi="Times New Roman Italique"/>
          <w:i/>
          <w:iCs/>
          <w:spacing w:val="-2"/>
        </w:rPr>
        <w:t>Nr. </w:t>
      </w:r>
      <w:r w:rsidR="009567AF" w:rsidRPr="009118AB">
        <w:rPr>
          <w:rFonts w:ascii="Times New Roman Italique" w:hAnsi="Times New Roman Italique"/>
          <w:i/>
          <w:iCs/>
          <w:spacing w:val="-2"/>
        </w:rPr>
        <w:t>1 des G. vom 25. Dezember 2017 (II) (B.S. vom</w:t>
      </w:r>
      <w:r w:rsidR="009567AF" w:rsidRPr="009118AB">
        <w:rPr>
          <w:i/>
          <w:iCs/>
        </w:rPr>
        <w:t xml:space="preserve"> 29. Dezember 2017)</w:t>
      </w:r>
      <w:r w:rsidR="00D67EB8" w:rsidRPr="009118AB">
        <w:rPr>
          <w:i/>
          <w:iCs/>
        </w:rPr>
        <w:t> - </w:t>
      </w:r>
      <w:r w:rsidR="009567AF" w:rsidRPr="009118AB">
        <w:rPr>
          <w:i/>
          <w:iCs/>
        </w:rPr>
        <w:t>in Kraft am 29. Dezember 2017</w:t>
      </w:r>
      <w:r w:rsidR="003366D9" w:rsidRPr="009118AB">
        <w:rPr>
          <w:i/>
          <w:iCs/>
        </w:rPr>
        <w:t> -;</w:t>
      </w:r>
      <w:r w:rsidR="009567AF" w:rsidRPr="009118AB">
        <w:rPr>
          <w:i/>
          <w:iCs/>
        </w:rPr>
        <w:t xml:space="preserve"> </w:t>
      </w:r>
      <w:r w:rsidR="00D67EB8" w:rsidRPr="009118AB">
        <w:rPr>
          <w:i/>
          <w:iCs/>
        </w:rPr>
        <w:t>§ </w:t>
      </w:r>
      <w:r w:rsidR="00B570E1" w:rsidRPr="009118AB">
        <w:rPr>
          <w:i/>
          <w:iCs/>
        </w:rPr>
        <w:t xml:space="preserve">1 </w:t>
      </w:r>
      <w:r w:rsidR="00D67EB8" w:rsidRPr="009118AB">
        <w:rPr>
          <w:i/>
          <w:iCs/>
        </w:rPr>
        <w:t>Abs. </w:t>
      </w:r>
      <w:r w:rsidR="00B570E1" w:rsidRPr="009118AB">
        <w:rPr>
          <w:i/>
          <w:iCs/>
        </w:rPr>
        <w:t xml:space="preserve">1 </w:t>
      </w:r>
      <w:r w:rsidR="00D67EB8" w:rsidRPr="009118AB">
        <w:rPr>
          <w:i/>
          <w:iCs/>
        </w:rPr>
        <w:t>Nr. </w:t>
      </w:r>
      <w:r w:rsidR="00B570E1" w:rsidRPr="009118AB">
        <w:rPr>
          <w:i/>
          <w:iCs/>
        </w:rPr>
        <w:t xml:space="preserve">2bis eingefügt durch </w:t>
      </w:r>
      <w:r w:rsidR="00D67EB8" w:rsidRPr="009118AB">
        <w:rPr>
          <w:i/>
          <w:iCs/>
        </w:rPr>
        <w:t>Art. </w:t>
      </w:r>
      <w:r w:rsidR="00B570E1" w:rsidRPr="009118AB">
        <w:rPr>
          <w:i/>
          <w:iCs/>
        </w:rPr>
        <w:t>88 Buchstabe a) des G. vom 12. Mai 2014 (II) (B.S. vom 30. Juni 2014)</w:t>
      </w:r>
      <w:r w:rsidR="00D67EB8" w:rsidRPr="009118AB">
        <w:rPr>
          <w:i/>
          <w:iCs/>
        </w:rPr>
        <w:t> - </w:t>
      </w:r>
      <w:r w:rsidR="00B570E1" w:rsidRPr="009118AB">
        <w:rPr>
          <w:i/>
          <w:iCs/>
        </w:rPr>
        <w:t>in Kraft ab dem 16. Juli 2014</w:t>
      </w:r>
      <w:r w:rsidR="00D67EB8" w:rsidRPr="009118AB">
        <w:rPr>
          <w:i/>
          <w:iCs/>
        </w:rPr>
        <w:t> - </w:t>
      </w:r>
      <w:r w:rsidR="007A2343" w:rsidRPr="009118AB">
        <w:rPr>
          <w:i/>
          <w:iCs/>
        </w:rPr>
        <w:t xml:space="preserve">und ersetzt durch </w:t>
      </w:r>
      <w:r w:rsidR="00D67EB8" w:rsidRPr="009118AB">
        <w:rPr>
          <w:i/>
          <w:iCs/>
        </w:rPr>
        <w:t>Art. </w:t>
      </w:r>
      <w:r w:rsidR="007A2343" w:rsidRPr="009118AB">
        <w:rPr>
          <w:i/>
          <w:iCs/>
        </w:rPr>
        <w:t xml:space="preserve">10 </w:t>
      </w:r>
      <w:r w:rsidR="00D67EB8" w:rsidRPr="009118AB">
        <w:rPr>
          <w:i/>
          <w:iCs/>
        </w:rPr>
        <w:t>Nr. </w:t>
      </w:r>
      <w:r w:rsidR="007A2343" w:rsidRPr="009118AB">
        <w:rPr>
          <w:i/>
          <w:iCs/>
        </w:rPr>
        <w:t>1</w:t>
      </w:r>
      <w:r w:rsidR="007A2343" w:rsidRPr="009118AB">
        <w:rPr>
          <w:i/>
        </w:rPr>
        <w:t xml:space="preserve"> des G. (II) vom 3. August 2016 (VI) (B.S. vom 16. August 2016)</w:t>
      </w:r>
      <w:r w:rsidR="00D67EB8" w:rsidRPr="009118AB">
        <w:rPr>
          <w:i/>
        </w:rPr>
        <w:t> - </w:t>
      </w:r>
      <w:r w:rsidR="007A2343" w:rsidRPr="009118AB">
        <w:rPr>
          <w:i/>
        </w:rPr>
        <w:t>in Kraft ab dem Steuerjahr 2016 für Vorgänge und Einkünfte, die ab dem 1. Juli 2016 stattfinden beziehungsweise zuerkannt oder ausgeschüttet werden</w:t>
      </w:r>
      <w:r w:rsidR="003366D9" w:rsidRPr="009118AB">
        <w:rPr>
          <w:i/>
        </w:rPr>
        <w:t> -;</w:t>
      </w:r>
      <w:r w:rsidR="009567AF" w:rsidRPr="009118AB">
        <w:rPr>
          <w:i/>
          <w:iCs/>
        </w:rPr>
        <w:t xml:space="preserve"> </w:t>
      </w:r>
      <w:r w:rsidR="00D67EB8" w:rsidRPr="009118AB">
        <w:rPr>
          <w:i/>
          <w:iCs/>
        </w:rPr>
        <w:t>§ </w:t>
      </w:r>
      <w:r w:rsidR="009567AF" w:rsidRPr="009118AB">
        <w:rPr>
          <w:i/>
          <w:iCs/>
        </w:rPr>
        <w:t xml:space="preserve">1 </w:t>
      </w:r>
      <w:r w:rsidR="00D67EB8" w:rsidRPr="009118AB">
        <w:rPr>
          <w:i/>
          <w:iCs/>
        </w:rPr>
        <w:t>Abs. </w:t>
      </w:r>
      <w:r w:rsidR="009567AF" w:rsidRPr="009118AB">
        <w:rPr>
          <w:i/>
          <w:iCs/>
        </w:rPr>
        <w:t xml:space="preserve">1 </w:t>
      </w:r>
      <w:r w:rsidR="00D67EB8" w:rsidRPr="009118AB">
        <w:rPr>
          <w:i/>
          <w:iCs/>
        </w:rPr>
        <w:t>Nr. </w:t>
      </w:r>
      <w:r w:rsidR="009567AF" w:rsidRPr="009118AB">
        <w:rPr>
          <w:i/>
          <w:iCs/>
        </w:rPr>
        <w:t xml:space="preserve">2bis früherer Absatz 2 aufgehoben durch </w:t>
      </w:r>
      <w:r w:rsidR="00D67EB8" w:rsidRPr="009118AB">
        <w:rPr>
          <w:i/>
          <w:iCs/>
        </w:rPr>
        <w:t>Art. </w:t>
      </w:r>
      <w:r w:rsidR="009567AF" w:rsidRPr="009118AB">
        <w:rPr>
          <w:i/>
          <w:iCs/>
        </w:rPr>
        <w:t xml:space="preserve">5 </w:t>
      </w:r>
      <w:r w:rsidR="00D67EB8" w:rsidRPr="009118AB">
        <w:rPr>
          <w:i/>
          <w:iCs/>
        </w:rPr>
        <w:t>Nr. </w:t>
      </w:r>
      <w:r w:rsidR="009567AF" w:rsidRPr="009118AB">
        <w:rPr>
          <w:i/>
          <w:iCs/>
        </w:rPr>
        <w:t>2 des G. vom 25. Dezember 2017 (II) (B.S. vom 29. Dezember 2017)</w:t>
      </w:r>
      <w:r w:rsidR="00D67EB8" w:rsidRPr="009118AB">
        <w:rPr>
          <w:i/>
          <w:iCs/>
        </w:rPr>
        <w:t> - </w:t>
      </w:r>
      <w:r w:rsidR="009567AF" w:rsidRPr="009118AB">
        <w:rPr>
          <w:i/>
          <w:iCs/>
        </w:rPr>
        <w:t>in Kraft am 29. Dezember 2017</w:t>
      </w:r>
      <w:r w:rsidR="003366D9" w:rsidRPr="009118AB">
        <w:rPr>
          <w:i/>
          <w:iCs/>
        </w:rPr>
        <w:t> -;</w:t>
      </w:r>
      <w:r w:rsidR="00B570E1"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4 ersetzt durch </w:t>
      </w:r>
      <w:r w:rsidR="00D67EB8" w:rsidRPr="009118AB">
        <w:rPr>
          <w:i/>
          <w:iCs/>
        </w:rPr>
        <w:t>Art. </w:t>
      </w:r>
      <w:r w:rsidRPr="009118AB">
        <w:rPr>
          <w:i/>
          <w:iCs/>
        </w:rPr>
        <w:t xml:space="preserve">10 </w:t>
      </w:r>
      <w:r w:rsidR="00D67EB8" w:rsidRPr="009118AB">
        <w:rPr>
          <w:i/>
          <w:iCs/>
        </w:rPr>
        <w:t>Nr. </w:t>
      </w:r>
      <w:r w:rsidRPr="009118AB">
        <w:rPr>
          <w:i/>
          <w:iCs/>
        </w:rPr>
        <w:t>1 des G. vom 24. Dezember 2002</w:t>
      </w:r>
      <w:r w:rsidR="00D86BCC" w:rsidRPr="009118AB">
        <w:rPr>
          <w:i/>
          <w:iCs/>
        </w:rPr>
        <w:t xml:space="preserve"> (II)</w:t>
      </w:r>
      <w:r w:rsidRPr="009118AB">
        <w:rPr>
          <w:i/>
          <w:iCs/>
        </w:rPr>
        <w:t xml:space="preserve"> (B.S. vom 31. Dezember 2002)</w:t>
      </w:r>
      <w:r w:rsidR="00D67EB8" w:rsidRPr="009118AB">
        <w:rPr>
          <w:i/>
          <w:iCs/>
        </w:rPr>
        <w:t> - </w:t>
      </w:r>
      <w:r w:rsidRPr="009118AB">
        <w:rPr>
          <w:i/>
          <w:iCs/>
        </w:rPr>
        <w:t>in Kraft ab dem Steuerjahr 2004</w:t>
      </w:r>
      <w:r w:rsidR="003366D9" w:rsidRPr="009118AB">
        <w:rPr>
          <w:i/>
          <w:iCs/>
        </w:rPr>
        <w:t> -;</w:t>
      </w:r>
      <w:r w:rsidRPr="009118AB">
        <w:rPr>
          <w:i/>
          <w:iCs/>
        </w:rPr>
        <w:t xml:space="preserve"> </w:t>
      </w:r>
      <w:r w:rsidR="00D67EB8" w:rsidRPr="009118AB">
        <w:rPr>
          <w:i/>
          <w:iCs/>
        </w:rPr>
        <w:t>§ </w:t>
      </w:r>
      <w:r w:rsidR="0064487D" w:rsidRPr="009118AB">
        <w:rPr>
          <w:i/>
          <w:iCs/>
        </w:rPr>
        <w:t xml:space="preserve">1 </w:t>
      </w:r>
      <w:r w:rsidR="00D67EB8" w:rsidRPr="009118AB">
        <w:rPr>
          <w:i/>
          <w:iCs/>
        </w:rPr>
        <w:t>Abs. </w:t>
      </w:r>
      <w:r w:rsidR="0064487D" w:rsidRPr="009118AB">
        <w:rPr>
          <w:i/>
          <w:iCs/>
        </w:rPr>
        <w:t xml:space="preserve">1 </w:t>
      </w:r>
      <w:r w:rsidR="00D67EB8" w:rsidRPr="009118AB">
        <w:rPr>
          <w:i/>
          <w:iCs/>
        </w:rPr>
        <w:t>Nr. </w:t>
      </w:r>
      <w:r w:rsidR="0064487D" w:rsidRPr="009118AB">
        <w:rPr>
          <w:i/>
          <w:iCs/>
        </w:rPr>
        <w:t xml:space="preserve">5 und 6 eingefügt durch </w:t>
      </w:r>
      <w:r w:rsidR="00D67EB8" w:rsidRPr="009118AB">
        <w:rPr>
          <w:i/>
          <w:iCs/>
        </w:rPr>
        <w:t>Art. </w:t>
      </w:r>
      <w:r w:rsidR="0064487D" w:rsidRPr="009118AB">
        <w:rPr>
          <w:i/>
          <w:iCs/>
        </w:rPr>
        <w:t>3 Buchstabe a) des G. vom 1. Dezember 2016 (B.S. vom 8. Dezember 2016)</w:t>
      </w:r>
      <w:r w:rsidR="00D67EB8" w:rsidRPr="009118AB">
        <w:rPr>
          <w:i/>
          <w:iCs/>
        </w:rPr>
        <w:t> - </w:t>
      </w:r>
      <w:r w:rsidR="0064487D" w:rsidRPr="009118AB">
        <w:rPr>
          <w:i/>
          <w:iCs/>
        </w:rPr>
        <w:t xml:space="preserve">anwendbar </w:t>
      </w:r>
      <w:r w:rsidR="005A471B" w:rsidRPr="009118AB">
        <w:rPr>
          <w:i/>
          <w:iCs/>
        </w:rPr>
        <w:t>auf die ab dem 1. Januar 2016 gewährten oder zuerkannten Einkünfte</w:t>
      </w:r>
      <w:r w:rsidR="000009D7" w:rsidRPr="009118AB">
        <w:rPr>
          <w:i/>
          <w:iCs/>
        </w:rPr>
        <w:t>, jedoch nicht auf Einkünfte, die im Laufe eines Besteuerungszeitraums gewährt oder zuerkannt werden, der vor dem 1. Januar 2017 abgeschlossen wird</w:t>
      </w:r>
      <w:r w:rsidR="003366D9" w:rsidRPr="009118AB">
        <w:rPr>
          <w:i/>
          <w:iCs/>
        </w:rPr>
        <w:t> -;</w:t>
      </w:r>
      <w:r w:rsidR="0064487D" w:rsidRPr="009118AB">
        <w:rPr>
          <w:i/>
          <w:iCs/>
        </w:rPr>
        <w:t xml:space="preserve"> </w:t>
      </w:r>
      <w:r w:rsidR="00D67EB8" w:rsidRPr="009118AB">
        <w:rPr>
          <w:i/>
          <w:iCs/>
        </w:rPr>
        <w:t>§ </w:t>
      </w:r>
      <w:r w:rsidR="009567AF" w:rsidRPr="009118AB">
        <w:rPr>
          <w:i/>
          <w:iCs/>
        </w:rPr>
        <w:t xml:space="preserve">1 </w:t>
      </w:r>
      <w:r w:rsidR="00D67EB8" w:rsidRPr="009118AB">
        <w:rPr>
          <w:i/>
          <w:iCs/>
        </w:rPr>
        <w:t>Abs. </w:t>
      </w:r>
      <w:r w:rsidR="009567AF" w:rsidRPr="009118AB">
        <w:rPr>
          <w:i/>
          <w:iCs/>
        </w:rPr>
        <w:t xml:space="preserve">1 </w:t>
      </w:r>
      <w:r w:rsidR="00D67EB8" w:rsidRPr="009118AB">
        <w:rPr>
          <w:i/>
          <w:iCs/>
        </w:rPr>
        <w:t>Nr. </w:t>
      </w:r>
      <w:r w:rsidR="009567AF" w:rsidRPr="009118AB">
        <w:rPr>
          <w:i/>
          <w:iCs/>
        </w:rPr>
        <w:t xml:space="preserve">5 abgeändert durch </w:t>
      </w:r>
      <w:r w:rsidR="00D67EB8" w:rsidRPr="009118AB">
        <w:rPr>
          <w:i/>
          <w:iCs/>
        </w:rPr>
        <w:t>Art. </w:t>
      </w:r>
      <w:r w:rsidR="009567AF" w:rsidRPr="009118AB">
        <w:rPr>
          <w:i/>
          <w:iCs/>
        </w:rPr>
        <w:t xml:space="preserve">5 </w:t>
      </w:r>
      <w:r w:rsidR="00D67EB8" w:rsidRPr="009118AB">
        <w:rPr>
          <w:i/>
          <w:iCs/>
        </w:rPr>
        <w:t>Nr. </w:t>
      </w:r>
      <w:r w:rsidR="009567AF" w:rsidRPr="009118AB">
        <w:rPr>
          <w:i/>
          <w:iCs/>
        </w:rPr>
        <w:t>3 des G. vom 25. Dezember 2017 (II) (B.S. vom 29. Dezember 2017)</w:t>
      </w:r>
      <w:r w:rsidR="00D67EB8" w:rsidRPr="009118AB">
        <w:rPr>
          <w:i/>
          <w:iCs/>
        </w:rPr>
        <w:t> - </w:t>
      </w:r>
      <w:r w:rsidR="009567AF" w:rsidRPr="009118AB">
        <w:rPr>
          <w:i/>
          <w:iCs/>
        </w:rPr>
        <w:t>in Kraft am 29. Dezember 2017</w:t>
      </w:r>
      <w:r w:rsidR="003366D9" w:rsidRPr="009118AB">
        <w:rPr>
          <w:i/>
          <w:iCs/>
        </w:rPr>
        <w:t> -;</w:t>
      </w:r>
      <w:r w:rsidR="009567AF" w:rsidRPr="009118AB">
        <w:rPr>
          <w:i/>
          <w:iCs/>
        </w:rPr>
        <w:t xml:space="preserve"> </w:t>
      </w:r>
      <w:r w:rsidR="00D67EB8" w:rsidRPr="009118AB">
        <w:rPr>
          <w:i/>
          <w:iCs/>
        </w:rPr>
        <w:t>§ </w:t>
      </w:r>
      <w:r w:rsidRPr="009118AB">
        <w:rPr>
          <w:i/>
          <w:iCs/>
        </w:rPr>
        <w:t xml:space="preserve">1 früherer Absatz 2 eingefügt durch </w:t>
      </w:r>
      <w:r w:rsidR="00D67EB8" w:rsidRPr="009118AB">
        <w:rPr>
          <w:i/>
          <w:iCs/>
        </w:rPr>
        <w:t>Art. </w:t>
      </w:r>
      <w:r w:rsidRPr="009118AB">
        <w:rPr>
          <w:i/>
          <w:iCs/>
        </w:rPr>
        <w:t xml:space="preserve">51 </w:t>
      </w:r>
      <w:r w:rsidR="00D67EB8" w:rsidRPr="009118AB">
        <w:rPr>
          <w:i/>
          <w:iCs/>
        </w:rPr>
        <w:t>Nr. </w:t>
      </w:r>
      <w:r w:rsidRPr="009118AB">
        <w:rPr>
          <w:i/>
          <w:iCs/>
        </w:rPr>
        <w:t>1 des G. vom 10. März 1999 (B.S. vom 14. April 1999)</w:t>
      </w:r>
      <w:r w:rsidR="00D67EB8" w:rsidRPr="009118AB">
        <w:rPr>
          <w:i/>
          <w:iCs/>
        </w:rPr>
        <w:t> - </w:t>
      </w:r>
      <w:r w:rsidRPr="009118AB">
        <w:rPr>
          <w:i/>
          <w:iCs/>
        </w:rPr>
        <w:t>in Kraft ab dem 14. April 1999</w:t>
      </w:r>
      <w:r w:rsidR="00D67EB8" w:rsidRPr="009118AB">
        <w:rPr>
          <w:i/>
          <w:iCs/>
        </w:rPr>
        <w:t> - </w:t>
      </w:r>
      <w:r w:rsidRPr="009118AB">
        <w:rPr>
          <w:i/>
          <w:iCs/>
        </w:rPr>
        <w:t xml:space="preserve">und aufgehoben durch </w:t>
      </w:r>
      <w:r w:rsidR="00D67EB8" w:rsidRPr="009118AB">
        <w:rPr>
          <w:i/>
          <w:iCs/>
        </w:rPr>
        <w:t>Art. </w:t>
      </w:r>
      <w:r w:rsidRPr="009118AB">
        <w:rPr>
          <w:i/>
          <w:iCs/>
        </w:rPr>
        <w:t xml:space="preserve">45 </w:t>
      </w:r>
      <w:r w:rsidR="00D67EB8" w:rsidRPr="009118AB">
        <w:rPr>
          <w:i/>
          <w:iCs/>
        </w:rPr>
        <w:t>Nr. </w:t>
      </w:r>
      <w:r w:rsidRPr="009118AB">
        <w:rPr>
          <w:i/>
          <w:iCs/>
        </w:rPr>
        <w:t>1 des G</w:t>
      </w:r>
      <w:r w:rsidR="00453ED5" w:rsidRPr="009118AB">
        <w:rPr>
          <w:i/>
          <w:iCs/>
        </w:rPr>
        <w:t xml:space="preserve">. </w:t>
      </w:r>
      <w:r w:rsidRPr="009118AB">
        <w:rPr>
          <w:i/>
          <w:iCs/>
        </w:rPr>
        <w:t>vom 15. Dezember 2004 (B.S. vom 1. Februar 2005)</w:t>
      </w:r>
      <w:r w:rsidR="00D67EB8" w:rsidRPr="009118AB">
        <w:rPr>
          <w:i/>
          <w:iCs/>
        </w:rPr>
        <w:t> - </w:t>
      </w:r>
      <w:r w:rsidRPr="009118AB">
        <w:rPr>
          <w:i/>
          <w:iCs/>
        </w:rPr>
        <w:t>anwendbar auf Aktien- oder Anteilverleihe, die ab dem 1. Februar 2005 abgeschlossen werden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2 und 3 (frühere Absätze 3 und 4) einge</w:t>
      </w:r>
      <w:r w:rsidR="00453ED5" w:rsidRPr="009118AB">
        <w:rPr>
          <w:i/>
          <w:iCs/>
        </w:rPr>
        <w:t xml:space="preserve">fügt durch </w:t>
      </w:r>
      <w:r w:rsidR="00D67EB8" w:rsidRPr="009118AB">
        <w:rPr>
          <w:i/>
          <w:iCs/>
        </w:rPr>
        <w:t>Art. </w:t>
      </w:r>
      <w:r w:rsidR="00453ED5" w:rsidRPr="009118AB">
        <w:rPr>
          <w:i/>
          <w:iCs/>
        </w:rPr>
        <w:t xml:space="preserve">10 </w:t>
      </w:r>
      <w:r w:rsidR="00D67EB8" w:rsidRPr="009118AB">
        <w:rPr>
          <w:i/>
          <w:iCs/>
        </w:rPr>
        <w:t>Nr. </w:t>
      </w:r>
      <w:r w:rsidR="00453ED5" w:rsidRPr="009118AB">
        <w:rPr>
          <w:i/>
          <w:iCs/>
        </w:rPr>
        <w:t xml:space="preserve">2 des G. </w:t>
      </w:r>
      <w:r w:rsidRPr="009118AB">
        <w:rPr>
          <w:i/>
          <w:iCs/>
        </w:rPr>
        <w:t>vom 24. Dezember 2002</w:t>
      </w:r>
      <w:r w:rsidR="00453ED5" w:rsidRPr="009118AB">
        <w:rPr>
          <w:i/>
          <w:iCs/>
        </w:rPr>
        <w:t> </w:t>
      </w:r>
      <w:r w:rsidR="00D86BCC" w:rsidRPr="009118AB">
        <w:rPr>
          <w:i/>
          <w:iCs/>
        </w:rPr>
        <w:t>(II)</w:t>
      </w:r>
      <w:r w:rsidRPr="009118AB">
        <w:rPr>
          <w:i/>
          <w:iCs/>
        </w:rPr>
        <w:t xml:space="preserve"> (B.S.</w:t>
      </w:r>
      <w:r w:rsidR="00453ED5" w:rsidRPr="009118AB">
        <w:rPr>
          <w:i/>
          <w:iCs/>
        </w:rPr>
        <w:t xml:space="preserve"> </w:t>
      </w:r>
      <w:r w:rsidRPr="009118AB">
        <w:rPr>
          <w:i/>
          <w:iCs/>
        </w:rPr>
        <w:t>vom 31. Dezember 200</w:t>
      </w:r>
      <w:r w:rsidR="00453ED5" w:rsidRPr="009118AB">
        <w:rPr>
          <w:i/>
          <w:iCs/>
        </w:rPr>
        <w:t>2)</w:t>
      </w:r>
      <w:r w:rsidR="00D67EB8" w:rsidRPr="009118AB">
        <w:rPr>
          <w:i/>
          <w:iCs/>
        </w:rPr>
        <w:t> - </w:t>
      </w:r>
      <w:r w:rsidR="00453ED5" w:rsidRPr="009118AB">
        <w:rPr>
          <w:i/>
          <w:iCs/>
        </w:rPr>
        <w:t>in Kraft ab dem Steuerjahr </w:t>
      </w:r>
      <w:r w:rsidRPr="009118AB">
        <w:rPr>
          <w:i/>
          <w:iCs/>
        </w:rPr>
        <w:t>2004</w:t>
      </w:r>
      <w:r w:rsidR="003366D9" w:rsidRPr="009118AB">
        <w:rPr>
          <w:i/>
          <w:iCs/>
        </w:rPr>
        <w:t> -;</w:t>
      </w:r>
      <w:r w:rsidRPr="009118AB">
        <w:rPr>
          <w:i/>
          <w:iCs/>
        </w:rPr>
        <w:t xml:space="preserve"> </w:t>
      </w:r>
      <w:r w:rsidR="00D67EB8" w:rsidRPr="009118AB">
        <w:rPr>
          <w:i/>
          <w:iCs/>
        </w:rPr>
        <w:t>§ </w:t>
      </w:r>
      <w:r w:rsidR="00372B23" w:rsidRPr="009118AB">
        <w:rPr>
          <w:i/>
          <w:iCs/>
        </w:rPr>
        <w:t xml:space="preserve">2 </w:t>
      </w:r>
      <w:r w:rsidR="00D67EB8" w:rsidRPr="009118AB">
        <w:rPr>
          <w:i/>
          <w:iCs/>
        </w:rPr>
        <w:t>Abs. </w:t>
      </w:r>
      <w:r w:rsidR="00372B23" w:rsidRPr="009118AB">
        <w:rPr>
          <w:i/>
          <w:iCs/>
        </w:rPr>
        <w:t xml:space="preserve">1 </w:t>
      </w:r>
      <w:r w:rsidR="00C7012A" w:rsidRPr="009118AB">
        <w:rPr>
          <w:i/>
          <w:iCs/>
        </w:rPr>
        <w:t xml:space="preserve">aufgehoben durch </w:t>
      </w:r>
      <w:r w:rsidR="00D67EB8" w:rsidRPr="009118AB">
        <w:rPr>
          <w:i/>
          <w:iCs/>
        </w:rPr>
        <w:t>Art. </w:t>
      </w:r>
      <w:r w:rsidR="00C7012A" w:rsidRPr="009118AB">
        <w:rPr>
          <w:i/>
          <w:iCs/>
        </w:rPr>
        <w:t>1</w:t>
      </w:r>
      <w:r w:rsidR="00ED31A8" w:rsidRPr="009118AB">
        <w:rPr>
          <w:i/>
          <w:iCs/>
        </w:rPr>
        <w:t>9</w:t>
      </w:r>
      <w:r w:rsidR="00C7012A" w:rsidRPr="009118AB">
        <w:rPr>
          <w:i/>
          <w:iCs/>
        </w:rPr>
        <w:t xml:space="preserve"> </w:t>
      </w:r>
      <w:r w:rsidR="00C7012A" w:rsidRPr="009118AB">
        <w:rPr>
          <w:i/>
          <w:iCs/>
          <w:spacing w:val="-1"/>
        </w:rPr>
        <w:t>des G. vom 19. Dezember 2014 (B.S. vom 29. Dezember 2014)</w:t>
      </w:r>
      <w:r w:rsidR="00D67EB8" w:rsidRPr="009118AB">
        <w:rPr>
          <w:i/>
          <w:iCs/>
          <w:spacing w:val="-1"/>
        </w:rPr>
        <w:t> - </w:t>
      </w:r>
      <w:r w:rsidR="00C7012A" w:rsidRPr="009118AB">
        <w:rPr>
          <w:i/>
          <w:iCs/>
          <w:spacing w:val="-1"/>
        </w:rPr>
        <w:t xml:space="preserve">in Kraft ab dem Steuerjahr 2015 und anwendbar auf Dividenden, die von Interkommunalen, Zusammenarbeitsverbänden und Projektvereinigungen erwähnt in Artikel 180 </w:t>
      </w:r>
      <w:r w:rsidR="00D67EB8" w:rsidRPr="009118AB">
        <w:rPr>
          <w:i/>
          <w:iCs/>
          <w:spacing w:val="-1"/>
        </w:rPr>
        <w:t>Nr. </w:t>
      </w:r>
      <w:r w:rsidR="00C7012A" w:rsidRPr="009118AB">
        <w:rPr>
          <w:i/>
          <w:iCs/>
          <w:spacing w:val="-1"/>
        </w:rPr>
        <w:t xml:space="preserve">1 desselben </w:t>
      </w:r>
      <w:r w:rsidR="00C7012A" w:rsidRPr="009118AB">
        <w:rPr>
          <w:i/>
          <w:iCs/>
          <w:spacing w:val="-1"/>
        </w:rPr>
        <w:lastRenderedPageBreak/>
        <w:t>Gesetzbuches, so wie er vor seiner Aufhebung durch Artikel 17 bestand, gewährt oder zuerkannt werden für ihre Geschäftsjahre, die frühestens am 1. Juli 2015 abgeschlossen werden</w:t>
      </w:r>
      <w:r w:rsidR="00FD68E8" w:rsidRPr="009118AB">
        <w:rPr>
          <w:i/>
          <w:iCs/>
          <w:spacing w:val="-1"/>
        </w:rPr>
        <w:t> -,</w:t>
      </w:r>
      <w:r w:rsidR="00DA63BA" w:rsidRPr="009118AB">
        <w:rPr>
          <w:i/>
          <w:iCs/>
          <w:spacing w:val="-1"/>
        </w:rPr>
        <w:t xml:space="preserve"> wieder aufgenommen durch </w:t>
      </w:r>
      <w:r w:rsidR="00D67EB8" w:rsidRPr="009118AB">
        <w:rPr>
          <w:i/>
          <w:iCs/>
          <w:spacing w:val="-1"/>
        </w:rPr>
        <w:t>Art. </w:t>
      </w:r>
      <w:r w:rsidR="00DA63BA" w:rsidRPr="009118AB">
        <w:rPr>
          <w:i/>
          <w:iCs/>
          <w:spacing w:val="-1"/>
        </w:rPr>
        <w:t>88 des G. vom 10. August 2015 (B.S. vom 18. August 2015)</w:t>
      </w:r>
      <w:r w:rsidR="00D67EB8" w:rsidRPr="009118AB">
        <w:rPr>
          <w:i/>
          <w:iCs/>
          <w:spacing w:val="-1"/>
        </w:rPr>
        <w:t> - </w:t>
      </w:r>
      <w:r w:rsidR="00DA63BA" w:rsidRPr="009118AB">
        <w:rPr>
          <w:i/>
          <w:iCs/>
          <w:spacing w:val="-1"/>
        </w:rPr>
        <w:t xml:space="preserve">anwendbar </w:t>
      </w:r>
      <w:r w:rsidR="00DA63BA" w:rsidRPr="009118AB">
        <w:rPr>
          <w:i/>
        </w:rPr>
        <w:t xml:space="preserve">ab dem Steuerjahr 2015 auf Dividenden, die von den in Artikel 180 </w:t>
      </w:r>
      <w:r w:rsidR="00D67EB8" w:rsidRPr="009118AB">
        <w:rPr>
          <w:i/>
        </w:rPr>
        <w:t>Nr. </w:t>
      </w:r>
      <w:r w:rsidR="00DA63BA" w:rsidRPr="009118AB">
        <w:rPr>
          <w:i/>
        </w:rPr>
        <w:t>1 des Einkommensteuergesetzbuches 1992 erwähnten Interkom</w:t>
      </w:r>
      <w:r w:rsidR="00DA63BA" w:rsidRPr="009118AB">
        <w:rPr>
          <w:i/>
        </w:rPr>
        <w:softHyphen/>
        <w:t>munalen, Zusammenarbeitsverbänden, Projektvereinigungen, autonomen Gemeinderegien und Vereinigungen gewährt oder zuerkannt werden für ihre Geschäftsjahre, die frühestens am 1. August 2015 abgeschlossen werden</w:t>
      </w:r>
      <w:r w:rsidR="00D67EB8" w:rsidRPr="009118AB">
        <w:rPr>
          <w:i/>
          <w:iCs/>
          <w:spacing w:val="-1"/>
        </w:rPr>
        <w:t> - </w:t>
      </w:r>
      <w:r w:rsidR="006E1F37" w:rsidRPr="009118AB">
        <w:rPr>
          <w:i/>
          <w:iCs/>
          <w:spacing w:val="-1"/>
        </w:rPr>
        <w:t xml:space="preserve">und abgeändert durch </w:t>
      </w:r>
      <w:r w:rsidR="00D67EB8" w:rsidRPr="009118AB">
        <w:rPr>
          <w:i/>
          <w:iCs/>
          <w:spacing w:val="-1"/>
        </w:rPr>
        <w:t>Art. </w:t>
      </w:r>
      <w:r w:rsidR="006E1F37" w:rsidRPr="009118AB">
        <w:rPr>
          <w:i/>
          <w:iCs/>
          <w:spacing w:val="-1"/>
        </w:rPr>
        <w:t>47</w:t>
      </w:r>
      <w:r w:rsidR="006E1F37" w:rsidRPr="009118AB">
        <w:rPr>
          <w:i/>
        </w:rPr>
        <w:t xml:space="preserve"> des G. vom 27. Juni 2021 (B.S. vom 30. Juni 2021)</w:t>
      </w:r>
      <w:r w:rsidR="00372B23" w:rsidRPr="009118AB">
        <w:rPr>
          <w:i/>
          <w:iCs/>
        </w:rPr>
        <w:t xml:space="preserve">; </w:t>
      </w:r>
      <w:r w:rsidR="00D67EB8" w:rsidRPr="009118AB">
        <w:rPr>
          <w:i/>
          <w:iCs/>
        </w:rPr>
        <w:t>§ </w:t>
      </w:r>
      <w:r w:rsidRPr="009118AB">
        <w:rPr>
          <w:i/>
          <w:iCs/>
        </w:rPr>
        <w:t xml:space="preserve">2 </w:t>
      </w:r>
      <w:r w:rsidR="00D67EB8" w:rsidRPr="009118AB">
        <w:rPr>
          <w:i/>
          <w:iCs/>
        </w:rPr>
        <w:t>Abs. </w:t>
      </w:r>
      <w:r w:rsidR="00DA63BA" w:rsidRPr="009118AB">
        <w:rPr>
          <w:i/>
          <w:iCs/>
        </w:rPr>
        <w:t>2</w:t>
      </w:r>
      <w:r w:rsidRPr="009118AB">
        <w:rPr>
          <w:i/>
          <w:iCs/>
        </w:rPr>
        <w:t xml:space="preserve"> </w:t>
      </w:r>
      <w:r w:rsidR="00C1692C" w:rsidRPr="009118AB">
        <w:rPr>
          <w:i/>
          <w:iCs/>
        </w:rPr>
        <w:t xml:space="preserve">ersetzt durch </w:t>
      </w:r>
      <w:r w:rsidR="00D67EB8" w:rsidRPr="009118AB">
        <w:rPr>
          <w:i/>
          <w:iCs/>
        </w:rPr>
        <w:t>Art. </w:t>
      </w:r>
      <w:r w:rsidR="00C1692C" w:rsidRPr="009118AB">
        <w:rPr>
          <w:i/>
          <w:iCs/>
        </w:rPr>
        <w:t xml:space="preserve">10 </w:t>
      </w:r>
      <w:r w:rsidR="00D67EB8" w:rsidRPr="009118AB">
        <w:rPr>
          <w:i/>
          <w:iCs/>
        </w:rPr>
        <w:t>Nr. </w:t>
      </w:r>
      <w:r w:rsidR="00C1692C" w:rsidRPr="009118AB">
        <w:rPr>
          <w:i/>
          <w:iCs/>
        </w:rPr>
        <w:t>2</w:t>
      </w:r>
      <w:r w:rsidR="00C1692C" w:rsidRPr="009118AB">
        <w:rPr>
          <w:i/>
        </w:rPr>
        <w:t xml:space="preserve"> des G. (II) vom 3. August 2016 (VI) (B.S. vom 16. August 2016)</w:t>
      </w:r>
      <w:r w:rsidR="00D67EB8" w:rsidRPr="009118AB">
        <w:rPr>
          <w:i/>
        </w:rPr>
        <w:t> - </w:t>
      </w:r>
      <w:r w:rsidR="00C1692C" w:rsidRPr="009118AB">
        <w:rPr>
          <w:i/>
        </w:rPr>
        <w:t>in Kraft ab dem Steuerjahr 2016 für Vorgänge und Einkünfte, die ab dem 1. Juli 2016 stattfinden beziehungsweise zuerkannt oder ausgeschüttet werden</w:t>
      </w:r>
      <w:r w:rsidR="00D67EB8" w:rsidRPr="009118AB">
        <w:rPr>
          <w:i/>
        </w:rPr>
        <w:t> - </w:t>
      </w:r>
      <w:r w:rsidR="009567AF" w:rsidRPr="009118AB">
        <w:rPr>
          <w:i/>
        </w:rPr>
        <w:t xml:space="preserve">und abgeändert durch </w:t>
      </w:r>
      <w:r w:rsidR="00D67EB8" w:rsidRPr="009118AB">
        <w:rPr>
          <w:i/>
        </w:rPr>
        <w:t>Art. </w:t>
      </w:r>
      <w:r w:rsidR="00453ED5" w:rsidRPr="009118AB">
        <w:rPr>
          <w:i/>
        </w:rPr>
        <w:t xml:space="preserve">5 </w:t>
      </w:r>
      <w:r w:rsidR="00D67EB8" w:rsidRPr="009118AB">
        <w:rPr>
          <w:i/>
        </w:rPr>
        <w:t>Nr. </w:t>
      </w:r>
      <w:r w:rsidR="00453ED5" w:rsidRPr="009118AB">
        <w:rPr>
          <w:i/>
        </w:rPr>
        <w:t>4</w:t>
      </w:r>
      <w:r w:rsidR="00453ED5" w:rsidRPr="009118AB">
        <w:rPr>
          <w:i/>
          <w:iCs/>
        </w:rPr>
        <w:t xml:space="preserve"> des G. vom 25. Dezember 2017 (II) (B.S. vom 29. Dezember 2017)</w:t>
      </w:r>
      <w:r w:rsidR="00D67EB8" w:rsidRPr="009118AB">
        <w:rPr>
          <w:i/>
          <w:iCs/>
        </w:rPr>
        <w:t> - </w:t>
      </w:r>
      <w:r w:rsidR="00453ED5" w:rsidRPr="009118AB">
        <w:rPr>
          <w:i/>
          <w:iCs/>
        </w:rPr>
        <w:t>in Kraft am 29. Dezember 2017</w:t>
      </w:r>
      <w:r w:rsidR="00D67EB8" w:rsidRPr="009118AB">
        <w:rPr>
          <w:i/>
          <w:iCs/>
        </w:rPr>
        <w:t> - </w:t>
      </w:r>
      <w:r w:rsidR="004B584A" w:rsidRPr="009118AB">
        <w:rPr>
          <w:i/>
          <w:iCs/>
        </w:rPr>
        <w:t xml:space="preserve">und </w:t>
      </w:r>
      <w:r w:rsidR="00D67EB8" w:rsidRPr="009118AB">
        <w:rPr>
          <w:i/>
          <w:iCs/>
        </w:rPr>
        <w:t>Art. </w:t>
      </w:r>
      <w:r w:rsidR="004B584A" w:rsidRPr="009118AB">
        <w:rPr>
          <w:i/>
          <w:iCs/>
        </w:rPr>
        <w:t xml:space="preserve">65 </w:t>
      </w:r>
      <w:r w:rsidR="00D67EB8" w:rsidRPr="009118AB">
        <w:rPr>
          <w:i/>
          <w:iCs/>
        </w:rPr>
        <w:t>Nr. </w:t>
      </w:r>
      <w:r w:rsidR="004B584A" w:rsidRPr="009118AB">
        <w:rPr>
          <w:i/>
          <w:iCs/>
        </w:rPr>
        <w:t>1</w:t>
      </w:r>
      <w:r w:rsidR="004B584A" w:rsidRPr="009118AB">
        <w:rPr>
          <w:bCs/>
          <w:i/>
          <w:iCs/>
          <w:sz w:val="20"/>
          <w:szCs w:val="20"/>
        </w:rPr>
        <w:t xml:space="preserve"> </w:t>
      </w:r>
      <w:r w:rsidR="004B584A" w:rsidRPr="009118AB">
        <w:rPr>
          <w:bCs/>
          <w:i/>
          <w:iCs/>
        </w:rPr>
        <w:t>des G. vom 21. Januar 2022 (B.S. vom 28. Januar 2022)</w:t>
      </w:r>
      <w:r w:rsidRPr="009118AB">
        <w:rPr>
          <w:i/>
          <w:iCs/>
        </w:rPr>
        <w:t xml:space="preserve">; </w:t>
      </w:r>
      <w:r w:rsidR="00D67EB8" w:rsidRPr="009118AB">
        <w:rPr>
          <w:rFonts w:ascii="Times New Roman Italique" w:hAnsi="Times New Roman Italique"/>
          <w:i/>
          <w:iCs/>
          <w:spacing w:val="-2"/>
        </w:rPr>
        <w:t>§ </w:t>
      </w:r>
      <w:r w:rsidR="00C7012A"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DA63BA" w:rsidRPr="009118AB">
        <w:rPr>
          <w:rFonts w:ascii="Times New Roman Italique" w:hAnsi="Times New Roman Italique"/>
          <w:i/>
          <w:iCs/>
          <w:spacing w:val="-2"/>
        </w:rPr>
        <w:t>3</w:t>
      </w:r>
      <w:r w:rsidR="00453ED5"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322 </w:t>
      </w:r>
      <w:r w:rsidR="00D67EB8" w:rsidRPr="009118AB">
        <w:rPr>
          <w:rFonts w:ascii="Times New Roman Italique" w:hAnsi="Times New Roman Italique"/>
          <w:i/>
          <w:iCs/>
          <w:spacing w:val="-2"/>
        </w:rPr>
        <w:t>Nr. </w:t>
      </w:r>
      <w:r w:rsidR="00453ED5" w:rsidRPr="009118AB">
        <w:rPr>
          <w:rFonts w:ascii="Times New Roman Italique" w:hAnsi="Times New Roman Italique"/>
          <w:i/>
          <w:iCs/>
          <w:spacing w:val="-2"/>
        </w:rPr>
        <w:t>1 des G.</w:t>
      </w:r>
      <w:r w:rsidR="00453ED5" w:rsidRPr="009118AB">
        <w:rPr>
          <w:rFonts w:ascii="Times New Roman Italique" w:hAnsi="Times New Roman Italique" w:hint="eastAsia"/>
          <w:i/>
          <w:iCs/>
          <w:spacing w:val="-2"/>
        </w:rPr>
        <w:t> </w:t>
      </w:r>
      <w:r w:rsidR="00A429B4" w:rsidRPr="009118AB">
        <w:rPr>
          <w:rFonts w:ascii="Times New Roman Italique" w:hAnsi="Times New Roman Italique"/>
          <w:i/>
          <w:iCs/>
          <w:spacing w:val="-2"/>
        </w:rPr>
        <w:t xml:space="preserve">(I) </w:t>
      </w:r>
      <w:r w:rsidRPr="009118AB">
        <w:rPr>
          <w:rFonts w:ascii="Times New Roman Italique" w:hAnsi="Times New Roman Italique"/>
          <w:i/>
          <w:iCs/>
          <w:spacing w:val="-2"/>
        </w:rPr>
        <w:t>vom 27. </w:t>
      </w:r>
      <w:r w:rsidR="00453ED5" w:rsidRPr="009118AB">
        <w:rPr>
          <w:rFonts w:ascii="Times New Roman Italique" w:hAnsi="Times New Roman Italique"/>
          <w:i/>
          <w:iCs/>
          <w:spacing w:val="-2"/>
        </w:rPr>
        <w:t>Dezember 2006 </w:t>
      </w:r>
      <w:r w:rsidRPr="009118AB">
        <w:rPr>
          <w:rFonts w:ascii="Times New Roman Italique" w:hAnsi="Times New Roman Italique"/>
          <w:i/>
          <w:iCs/>
          <w:spacing w:val="-2"/>
        </w:rPr>
        <w:t>(I</w:t>
      </w:r>
      <w:r w:rsidR="00A429B4" w:rsidRPr="009118AB">
        <w:rPr>
          <w:rFonts w:ascii="Times New Roman Italique" w:hAnsi="Times New Roman Italique"/>
          <w:i/>
          <w:iCs/>
          <w:spacing w:val="-2"/>
        </w:rPr>
        <w:t>I</w:t>
      </w:r>
      <w:r w:rsidRPr="009118AB">
        <w:rPr>
          <w:rFonts w:ascii="Times New Roman Italique" w:hAnsi="Times New Roman Italique"/>
          <w:i/>
          <w:iCs/>
          <w:spacing w:val="-2"/>
        </w:rPr>
        <w:t>) (B.S. vom 28. Dezember 2006)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2007</w:t>
      </w:r>
      <w:r w:rsidR="00D67EB8" w:rsidRPr="009118AB">
        <w:rPr>
          <w:rFonts w:ascii="Times New Roman Italique" w:hAnsi="Times New Roman Italique"/>
          <w:i/>
          <w:iCs/>
          <w:spacing w:val="-2"/>
        </w:rPr>
        <w:t> - </w:t>
      </w:r>
      <w:r w:rsidR="00674AA0"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674AA0" w:rsidRPr="009118AB">
        <w:rPr>
          <w:rFonts w:ascii="Times New Roman Italique" w:hAnsi="Times New Roman Italique"/>
          <w:i/>
          <w:iCs/>
          <w:spacing w:val="-2"/>
        </w:rPr>
        <w:t>22 Buchstabe a)</w:t>
      </w:r>
      <w:r w:rsidR="00674AA0" w:rsidRPr="009118AB">
        <w:rPr>
          <w:i/>
          <w:iCs/>
        </w:rPr>
        <w:t xml:space="preserve"> des G. vom 18. Dezember 2015 (II) (B.S. vom 28. Dezember 2015)</w:t>
      </w:r>
      <w:r w:rsidRPr="009118AB">
        <w:rPr>
          <w:rFonts w:ascii="Times New Roman Italique" w:hAnsi="Times New Roman Italique"/>
          <w:i/>
          <w:iCs/>
          <w:spacing w:val="-2"/>
        </w:rPr>
        <w:t xml:space="preserve">; </w:t>
      </w:r>
      <w:r w:rsidR="00D67EB8" w:rsidRPr="009118AB">
        <w:rPr>
          <w:i/>
          <w:iCs/>
        </w:rPr>
        <w:t>§ </w:t>
      </w:r>
      <w:r w:rsidRPr="009118AB">
        <w:rPr>
          <w:i/>
          <w:iCs/>
        </w:rPr>
        <w:t xml:space="preserve">2 </w:t>
      </w:r>
      <w:r w:rsidR="00D67EB8" w:rsidRPr="009118AB">
        <w:rPr>
          <w:i/>
          <w:iCs/>
        </w:rPr>
        <w:t>Abs. </w:t>
      </w:r>
      <w:r w:rsidR="00DA63BA" w:rsidRPr="009118AB">
        <w:rPr>
          <w:i/>
          <w:iCs/>
        </w:rPr>
        <w:t>4</w:t>
      </w:r>
      <w:r w:rsidR="00453ED5" w:rsidRPr="009118AB">
        <w:rPr>
          <w:i/>
          <w:iCs/>
        </w:rPr>
        <w:t xml:space="preserve"> eingefügt durch </w:t>
      </w:r>
      <w:r w:rsidR="00D67EB8" w:rsidRPr="009118AB">
        <w:rPr>
          <w:i/>
          <w:iCs/>
        </w:rPr>
        <w:t>Art. </w:t>
      </w:r>
      <w:r w:rsidR="00453ED5" w:rsidRPr="009118AB">
        <w:rPr>
          <w:i/>
          <w:iCs/>
        </w:rPr>
        <w:t xml:space="preserve">322 </w:t>
      </w:r>
      <w:r w:rsidR="00D67EB8" w:rsidRPr="009118AB">
        <w:rPr>
          <w:i/>
          <w:iCs/>
        </w:rPr>
        <w:t>Nr. </w:t>
      </w:r>
      <w:r w:rsidR="00453ED5" w:rsidRPr="009118AB">
        <w:rPr>
          <w:i/>
          <w:iCs/>
        </w:rPr>
        <w:t>1 des G. </w:t>
      </w:r>
      <w:r w:rsidR="00A429B4" w:rsidRPr="009118AB">
        <w:rPr>
          <w:i/>
          <w:iCs/>
        </w:rPr>
        <w:t xml:space="preserve">(I) </w:t>
      </w:r>
      <w:r w:rsidRPr="009118AB">
        <w:rPr>
          <w:i/>
          <w:iCs/>
        </w:rPr>
        <w:t>vom 27. Dezemb</w:t>
      </w:r>
      <w:r w:rsidR="00453ED5" w:rsidRPr="009118AB">
        <w:rPr>
          <w:i/>
          <w:iCs/>
        </w:rPr>
        <w:t>er 2006 </w:t>
      </w:r>
      <w:r w:rsidRPr="009118AB">
        <w:rPr>
          <w:i/>
          <w:iCs/>
        </w:rPr>
        <w:t>(</w:t>
      </w:r>
      <w:r w:rsidR="00A429B4" w:rsidRPr="009118AB">
        <w:rPr>
          <w:i/>
          <w:iCs/>
        </w:rPr>
        <w:t>I</w:t>
      </w:r>
      <w:r w:rsidRPr="009118AB">
        <w:rPr>
          <w:i/>
          <w:iCs/>
        </w:rPr>
        <w:t>I) (B.S. vom 28. Dezember 2006)</w:t>
      </w:r>
      <w:r w:rsidR="00D67EB8" w:rsidRPr="009118AB">
        <w:rPr>
          <w:i/>
          <w:iCs/>
        </w:rPr>
        <w:t> - </w:t>
      </w:r>
      <w:r w:rsidRPr="009118AB">
        <w:rPr>
          <w:i/>
          <w:iCs/>
        </w:rPr>
        <w:t>in Kraft ab dem 1. Januar 2007</w:t>
      </w:r>
      <w:r w:rsidR="00D67EB8" w:rsidRPr="009118AB">
        <w:rPr>
          <w:i/>
          <w:iCs/>
        </w:rPr>
        <w:t> - </w:t>
      </w:r>
      <w:r w:rsidR="004A68C9" w:rsidRPr="009118AB">
        <w:rPr>
          <w:i/>
          <w:iCs/>
        </w:rPr>
        <w:t>und</w:t>
      </w:r>
      <w:r w:rsidR="00B570E1" w:rsidRPr="009118AB">
        <w:rPr>
          <w:i/>
          <w:iCs/>
        </w:rPr>
        <w:t xml:space="preserve"> abgeändert durch </w:t>
      </w:r>
      <w:r w:rsidR="00D67EB8" w:rsidRPr="009118AB">
        <w:rPr>
          <w:i/>
          <w:iCs/>
        </w:rPr>
        <w:t>Art. </w:t>
      </w:r>
      <w:r w:rsidR="00B570E1" w:rsidRPr="009118AB">
        <w:rPr>
          <w:i/>
          <w:iCs/>
        </w:rPr>
        <w:t>88 Buchstabe c) des G. vom 12. Mai 2014 (II) (B.S. vom 30. Juni 2014)</w:t>
      </w:r>
      <w:r w:rsidR="00D67EB8" w:rsidRPr="009118AB">
        <w:rPr>
          <w:i/>
          <w:iCs/>
        </w:rPr>
        <w:t> - </w:t>
      </w:r>
      <w:r w:rsidR="00B570E1" w:rsidRPr="009118AB">
        <w:rPr>
          <w:i/>
          <w:iCs/>
        </w:rPr>
        <w:t xml:space="preserve">in Kraft ab dem </w:t>
      </w:r>
      <w:r w:rsidR="00B570E1" w:rsidRPr="009118AB">
        <w:rPr>
          <w:rFonts w:ascii="Times New Roman Italique" w:hAnsi="Times New Roman Italique"/>
          <w:i/>
          <w:iCs/>
          <w:spacing w:val="-2"/>
        </w:rPr>
        <w:t>16. Juli 2014</w:t>
      </w:r>
      <w:r w:rsidR="00D67EB8" w:rsidRPr="009118AB">
        <w:rPr>
          <w:rFonts w:ascii="Times New Roman Italique" w:hAnsi="Times New Roman Italique"/>
          <w:i/>
          <w:iCs/>
          <w:spacing w:val="-2"/>
        </w:rPr>
        <w:t> - </w:t>
      </w:r>
      <w:r w:rsidR="00674AA0"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674AA0" w:rsidRPr="009118AB">
        <w:rPr>
          <w:rFonts w:ascii="Times New Roman Italique" w:hAnsi="Times New Roman Italique"/>
          <w:i/>
          <w:iCs/>
          <w:spacing w:val="-2"/>
        </w:rPr>
        <w:t>22 Buchstabe</w:t>
      </w:r>
      <w:r w:rsidR="00453ED5" w:rsidRPr="009118AB">
        <w:rPr>
          <w:rFonts w:ascii="Times New Roman Italique" w:hAnsi="Times New Roman Italique" w:hint="eastAsia"/>
          <w:i/>
          <w:iCs/>
          <w:spacing w:val="-2"/>
        </w:rPr>
        <w:t> </w:t>
      </w:r>
      <w:r w:rsidR="00674AA0" w:rsidRPr="009118AB">
        <w:rPr>
          <w:rFonts w:ascii="Times New Roman Italique" w:hAnsi="Times New Roman Italique"/>
          <w:i/>
          <w:iCs/>
          <w:spacing w:val="-2"/>
        </w:rPr>
        <w:t>b) des G. vom 18. Dezember 2015 (II) (B.S. vom 28. Dezember 2015)</w:t>
      </w:r>
      <w:r w:rsidR="00B570E1"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453ED5"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453ED5" w:rsidRPr="009118AB">
        <w:rPr>
          <w:rFonts w:ascii="Times New Roman Italique" w:hAnsi="Times New Roman Italique" w:hint="eastAsia"/>
          <w:i/>
          <w:iCs/>
          <w:spacing w:val="-2"/>
        </w:rPr>
        <w:t>5</w:t>
      </w:r>
      <w:r w:rsidR="00453ED5" w:rsidRPr="009118AB">
        <w:rPr>
          <w:rFonts w:ascii="Times New Roman Italique" w:hAnsi="Times New Roman Italique"/>
          <w:i/>
          <w:iCs/>
          <w:spacing w:val="-2"/>
        </w:rPr>
        <w:t xml:space="preserve"> abgeändert durch </w:t>
      </w:r>
      <w:r w:rsidR="00D67EB8" w:rsidRPr="009118AB">
        <w:rPr>
          <w:rFonts w:ascii="Times New Roman Italique" w:hAnsi="Times New Roman Italique"/>
          <w:i/>
          <w:iCs/>
          <w:spacing w:val="-2"/>
        </w:rPr>
        <w:t>Art. </w:t>
      </w:r>
      <w:r w:rsidR="00453ED5" w:rsidRPr="009118AB">
        <w:rPr>
          <w:rFonts w:ascii="Times New Roman Italique" w:hAnsi="Times New Roman Italique"/>
          <w:i/>
          <w:iCs/>
          <w:spacing w:val="-2"/>
        </w:rPr>
        <w:t xml:space="preserve">5 </w:t>
      </w:r>
      <w:r w:rsidR="00D67EB8" w:rsidRPr="009118AB">
        <w:rPr>
          <w:rFonts w:ascii="Times New Roman Italique" w:hAnsi="Times New Roman Italique"/>
          <w:i/>
          <w:iCs/>
          <w:spacing w:val="-2"/>
        </w:rPr>
        <w:t>Nr. </w:t>
      </w:r>
      <w:r w:rsidR="00453ED5" w:rsidRPr="009118AB">
        <w:rPr>
          <w:rFonts w:ascii="Times New Roman Italique" w:hAnsi="Times New Roman Italique" w:hint="eastAsia"/>
          <w:i/>
          <w:iCs/>
          <w:spacing w:val="-2"/>
        </w:rPr>
        <w:t>5</w:t>
      </w:r>
      <w:r w:rsidR="00453ED5" w:rsidRPr="009118AB">
        <w:rPr>
          <w:i/>
          <w:iCs/>
        </w:rPr>
        <w:t xml:space="preserve"> des G. vom 25. Dezember 2017 (II) (B.S. vom 29. Dezember 2017)</w:t>
      </w:r>
      <w:r w:rsidR="00D67EB8" w:rsidRPr="009118AB">
        <w:rPr>
          <w:i/>
          <w:iCs/>
        </w:rPr>
        <w:t> - </w:t>
      </w:r>
      <w:r w:rsidR="00453ED5" w:rsidRPr="009118AB">
        <w:rPr>
          <w:i/>
          <w:iCs/>
        </w:rPr>
        <w:t>in Kraft am 29. Dezember 2017</w:t>
      </w:r>
      <w:r w:rsidR="003366D9" w:rsidRPr="009118AB">
        <w:rPr>
          <w:i/>
          <w:iCs/>
        </w:rPr>
        <w:t> -;</w:t>
      </w:r>
      <w:r w:rsidR="00453ED5" w:rsidRPr="009118AB">
        <w:rPr>
          <w:i/>
          <w:iCs/>
        </w:rPr>
        <w:t xml:space="preserve"> </w:t>
      </w:r>
      <w:r w:rsidR="00D67EB8" w:rsidRPr="009118AB">
        <w:rPr>
          <w:i/>
          <w:iCs/>
        </w:rPr>
        <w:t>§ </w:t>
      </w:r>
      <w:r w:rsidR="001809EA" w:rsidRPr="009118AB">
        <w:rPr>
          <w:i/>
          <w:iCs/>
        </w:rPr>
        <w:t xml:space="preserve">2 neuer Absatz 6 eingefügt durch </w:t>
      </w:r>
      <w:r w:rsidR="00D67EB8" w:rsidRPr="009118AB">
        <w:rPr>
          <w:i/>
          <w:iCs/>
        </w:rPr>
        <w:t>Art. </w:t>
      </w:r>
      <w:r w:rsidR="001809EA" w:rsidRPr="009118AB">
        <w:rPr>
          <w:i/>
          <w:iCs/>
        </w:rPr>
        <w:t xml:space="preserve">5 </w:t>
      </w:r>
      <w:r w:rsidR="00D67EB8" w:rsidRPr="009118AB">
        <w:rPr>
          <w:i/>
          <w:iCs/>
        </w:rPr>
        <w:t>Nr. </w:t>
      </w:r>
      <w:r w:rsidR="001809EA" w:rsidRPr="009118AB">
        <w:rPr>
          <w:i/>
          <w:iCs/>
        </w:rPr>
        <w:t>6 des G. vom 25. Dezember 2017 (II) (B.S. vom 29. Dezember 2017)</w:t>
      </w:r>
      <w:r w:rsidR="00D67EB8" w:rsidRPr="009118AB">
        <w:rPr>
          <w:i/>
          <w:iCs/>
        </w:rPr>
        <w:t> - </w:t>
      </w:r>
      <w:r w:rsidR="001809EA" w:rsidRPr="009118AB">
        <w:rPr>
          <w:i/>
          <w:iCs/>
        </w:rPr>
        <w:t>in Kraft am 29. Dezember 2017</w:t>
      </w:r>
      <w:r w:rsidR="003366D9" w:rsidRPr="009118AB">
        <w:rPr>
          <w:i/>
          <w:iCs/>
        </w:rPr>
        <w:t> -;</w:t>
      </w:r>
      <w:r w:rsidR="001809EA" w:rsidRPr="009118AB">
        <w:rPr>
          <w:i/>
          <w:iCs/>
        </w:rPr>
        <w:t xml:space="preserve"> </w:t>
      </w:r>
      <w:r w:rsidR="00D67EB8" w:rsidRPr="009118AB">
        <w:rPr>
          <w:i/>
          <w:iCs/>
        </w:rPr>
        <w:t>§ </w:t>
      </w:r>
      <w:r w:rsidR="004B584A" w:rsidRPr="009118AB">
        <w:rPr>
          <w:i/>
          <w:iCs/>
        </w:rPr>
        <w:t xml:space="preserve">2 </w:t>
      </w:r>
      <w:r w:rsidR="00D67EB8" w:rsidRPr="009118AB">
        <w:rPr>
          <w:i/>
          <w:iCs/>
        </w:rPr>
        <w:t>Abs. </w:t>
      </w:r>
      <w:r w:rsidR="004B584A" w:rsidRPr="009118AB">
        <w:rPr>
          <w:i/>
          <w:iCs/>
        </w:rPr>
        <w:t xml:space="preserve">6 einleitende Bestimmung ersetzt durch </w:t>
      </w:r>
      <w:r w:rsidR="00D67EB8" w:rsidRPr="009118AB">
        <w:rPr>
          <w:i/>
          <w:iCs/>
        </w:rPr>
        <w:t>Art. </w:t>
      </w:r>
      <w:r w:rsidR="004B584A" w:rsidRPr="009118AB">
        <w:rPr>
          <w:i/>
          <w:iCs/>
        </w:rPr>
        <w:t xml:space="preserve">65 </w:t>
      </w:r>
      <w:r w:rsidR="00D67EB8" w:rsidRPr="009118AB">
        <w:rPr>
          <w:i/>
          <w:iCs/>
        </w:rPr>
        <w:t>Nr. </w:t>
      </w:r>
      <w:r w:rsidR="004B584A" w:rsidRPr="009118AB">
        <w:rPr>
          <w:i/>
          <w:iCs/>
        </w:rPr>
        <w:t>2</w:t>
      </w:r>
      <w:r w:rsidR="004B584A" w:rsidRPr="009118AB">
        <w:rPr>
          <w:bCs/>
          <w:i/>
          <w:iCs/>
          <w:sz w:val="20"/>
          <w:szCs w:val="20"/>
        </w:rPr>
        <w:t xml:space="preserve"> </w:t>
      </w:r>
      <w:r w:rsidR="004B584A" w:rsidRPr="009118AB">
        <w:rPr>
          <w:bCs/>
          <w:i/>
          <w:iCs/>
        </w:rPr>
        <w:t>des G. vom 21. Januar 2022 (B.S. vom 28. Januar 2022)</w:t>
      </w:r>
      <w:r w:rsidR="00C92CD1" w:rsidRPr="009118AB">
        <w:rPr>
          <w:bCs/>
          <w:i/>
          <w:iCs/>
        </w:rPr>
        <w:t xml:space="preserve"> und abgeändert durch Art. 18</w:t>
      </w:r>
      <w:r w:rsidR="00C92CD1" w:rsidRPr="009118AB">
        <w:rPr>
          <w:i/>
          <w:iCs/>
        </w:rPr>
        <w:t xml:space="preserve"> des G. vom 21. Dezember 2022 (II) (B.S. vom 29. Dezember 2022)</w:t>
      </w:r>
      <w:r w:rsidR="004B584A" w:rsidRPr="009118AB">
        <w:rPr>
          <w:bCs/>
          <w:i/>
          <w:iCs/>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1809EA" w:rsidRPr="009118AB">
        <w:rPr>
          <w:rFonts w:ascii="Times New Roman Italique" w:hAnsi="Times New Roman Italique"/>
          <w:i/>
          <w:iCs/>
          <w:spacing w:val="-2"/>
        </w:rPr>
        <w:t>7</w:t>
      </w:r>
      <w:r w:rsidR="00BD673B" w:rsidRPr="009118AB">
        <w:rPr>
          <w:rFonts w:ascii="Times New Roman Italique" w:hAnsi="Times New Roman Italique"/>
          <w:i/>
          <w:iCs/>
          <w:spacing w:val="-2"/>
        </w:rPr>
        <w:t xml:space="preserve"> (früherer Absatz 6)</w:t>
      </w:r>
      <w:r w:rsidR="001809EA" w:rsidRPr="009118AB">
        <w:rPr>
          <w:rFonts w:ascii="Times New Roman Italique" w:hAnsi="Times New Roman Italique"/>
          <w:i/>
          <w:iCs/>
          <w:spacing w:val="-2"/>
        </w:rPr>
        <w:t xml:space="preserve"> </w:t>
      </w:r>
      <w:r w:rsidRPr="009118AB">
        <w:rPr>
          <w:rFonts w:ascii="Times New Roman Italique" w:hAnsi="Times New Roman Italique"/>
          <w:i/>
          <w:iCs/>
          <w:spacing w:val="-2"/>
        </w:rPr>
        <w:t xml:space="preserve">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10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3 des G. vom 24. Dezember 2002</w:t>
      </w:r>
      <w:r w:rsidR="001809EA" w:rsidRPr="009118AB">
        <w:rPr>
          <w:rFonts w:ascii="Times New Roman Italique" w:hAnsi="Times New Roman Italique"/>
          <w:i/>
          <w:iCs/>
          <w:spacing w:val="-2"/>
        </w:rPr>
        <w:t> </w:t>
      </w:r>
      <w:r w:rsidR="00D86BCC" w:rsidRPr="009118AB">
        <w:rPr>
          <w:rFonts w:ascii="Times New Roman Italique" w:hAnsi="Times New Roman Italique"/>
          <w:i/>
          <w:iCs/>
          <w:spacing w:val="-2"/>
        </w:rPr>
        <w:t>(II)</w:t>
      </w:r>
      <w:r w:rsidRPr="009118AB">
        <w:rPr>
          <w:i/>
          <w:iCs/>
          <w:spacing w:val="-2"/>
        </w:rPr>
        <w:t xml:space="preserve"> (B.S.</w:t>
      </w:r>
      <w:r w:rsidR="001809EA" w:rsidRPr="009118AB">
        <w:rPr>
          <w:i/>
          <w:iCs/>
          <w:spacing w:val="-2"/>
        </w:rPr>
        <w:t xml:space="preserve"> </w:t>
      </w:r>
      <w:r w:rsidRPr="009118AB">
        <w:rPr>
          <w:i/>
          <w:iCs/>
          <w:spacing w:val="-2"/>
        </w:rPr>
        <w:t>vom 31. Dezember 2002)</w:t>
      </w:r>
      <w:r w:rsidR="00D67EB8" w:rsidRPr="009118AB">
        <w:rPr>
          <w:i/>
          <w:iCs/>
          <w:spacing w:val="-2"/>
        </w:rPr>
        <w:t> - </w:t>
      </w:r>
      <w:r w:rsidRPr="009118AB">
        <w:rPr>
          <w:i/>
          <w:iCs/>
          <w:spacing w:val="-2"/>
        </w:rPr>
        <w:t>in Kraft ab dem Steuerjahr 2004</w:t>
      </w:r>
      <w:r w:rsidR="003366D9" w:rsidRPr="009118AB">
        <w:rPr>
          <w:i/>
          <w:iCs/>
          <w:spacing w:val="-2"/>
        </w:rPr>
        <w:t> -;</w:t>
      </w:r>
      <w:r w:rsidRPr="009118AB">
        <w:rPr>
          <w:i/>
          <w:iCs/>
        </w:rPr>
        <w:t xml:space="preserve"> </w:t>
      </w:r>
      <w:r w:rsidR="00D67EB8" w:rsidRPr="009118AB">
        <w:rPr>
          <w:i/>
          <w:iCs/>
        </w:rPr>
        <w:t>§ </w:t>
      </w:r>
      <w:r w:rsidR="001809EA" w:rsidRPr="009118AB">
        <w:rPr>
          <w:i/>
          <w:iCs/>
        </w:rPr>
        <w:t>2</w:t>
      </w:r>
      <w:r w:rsidR="00E951F6" w:rsidRPr="009118AB">
        <w:rPr>
          <w:i/>
          <w:iCs/>
        </w:rPr>
        <w:t xml:space="preserve"> </w:t>
      </w:r>
      <w:r w:rsidR="00D67EB8" w:rsidRPr="009118AB">
        <w:rPr>
          <w:i/>
          <w:iCs/>
        </w:rPr>
        <w:t>Abs. </w:t>
      </w:r>
      <w:r w:rsidR="00E951F6" w:rsidRPr="009118AB">
        <w:rPr>
          <w:i/>
          <w:iCs/>
        </w:rPr>
        <w:t xml:space="preserve">8 einleitende Bestimmung </w:t>
      </w:r>
      <w:r w:rsidR="001809EA" w:rsidRPr="009118AB">
        <w:rPr>
          <w:i/>
          <w:iCs/>
        </w:rPr>
        <w:t xml:space="preserve">abgeändert durch </w:t>
      </w:r>
      <w:r w:rsidR="00D67EB8" w:rsidRPr="009118AB">
        <w:rPr>
          <w:i/>
          <w:iCs/>
        </w:rPr>
        <w:t>Art. </w:t>
      </w:r>
      <w:r w:rsidR="001809EA" w:rsidRPr="009118AB">
        <w:rPr>
          <w:i/>
          <w:iCs/>
        </w:rPr>
        <w:t xml:space="preserve">5 </w:t>
      </w:r>
      <w:r w:rsidR="00D67EB8" w:rsidRPr="009118AB">
        <w:rPr>
          <w:i/>
          <w:iCs/>
        </w:rPr>
        <w:t>Nr. </w:t>
      </w:r>
      <w:r w:rsidR="001809EA" w:rsidRPr="009118AB">
        <w:rPr>
          <w:i/>
          <w:iCs/>
        </w:rPr>
        <w:t>7 des G. vom 25. Dezember 2017 (II) (B.S. vom 29. Dezember 2017)</w:t>
      </w:r>
      <w:r w:rsidR="00D67EB8" w:rsidRPr="009118AB">
        <w:rPr>
          <w:i/>
          <w:iCs/>
        </w:rPr>
        <w:t> - </w:t>
      </w:r>
      <w:r w:rsidR="001809EA" w:rsidRPr="009118AB">
        <w:rPr>
          <w:i/>
          <w:iCs/>
        </w:rPr>
        <w:t>in Kraft am 29. Dezember 2017</w:t>
      </w:r>
      <w:r w:rsidR="003366D9" w:rsidRPr="009118AB">
        <w:rPr>
          <w:i/>
          <w:iCs/>
        </w:rPr>
        <w:t> -;</w:t>
      </w:r>
      <w:r w:rsidR="001809EA" w:rsidRPr="009118AB">
        <w:rPr>
          <w:i/>
          <w:iCs/>
        </w:rPr>
        <w:t xml:space="preserve"> </w:t>
      </w:r>
      <w:r w:rsidR="00D67EB8" w:rsidRPr="009118AB">
        <w:rPr>
          <w:i/>
          <w:iCs/>
        </w:rPr>
        <w:t>§ </w:t>
      </w:r>
      <w:r w:rsidRPr="009118AB">
        <w:rPr>
          <w:i/>
          <w:iCs/>
        </w:rPr>
        <w:t xml:space="preserve">2 </w:t>
      </w:r>
      <w:r w:rsidR="00D67EB8" w:rsidRPr="009118AB">
        <w:rPr>
          <w:i/>
          <w:iCs/>
        </w:rPr>
        <w:t>Abs. </w:t>
      </w:r>
      <w:r w:rsidR="001809EA" w:rsidRPr="009118AB">
        <w:rPr>
          <w:i/>
          <w:iCs/>
        </w:rPr>
        <w:t>8</w:t>
      </w:r>
      <w:r w:rsidRPr="009118AB">
        <w:rPr>
          <w:i/>
          <w:iCs/>
        </w:rPr>
        <w:t xml:space="preserve"> </w:t>
      </w:r>
      <w:r w:rsidR="00D67EB8" w:rsidRPr="009118AB">
        <w:rPr>
          <w:i/>
          <w:iCs/>
        </w:rPr>
        <w:t>Nr. </w:t>
      </w:r>
      <w:r w:rsidRPr="009118AB">
        <w:rPr>
          <w:i/>
          <w:iCs/>
        </w:rPr>
        <w:t xml:space="preserve">1 abgeändert durch </w:t>
      </w:r>
      <w:r w:rsidR="00D67EB8" w:rsidRPr="009118AB">
        <w:rPr>
          <w:i/>
          <w:iCs/>
        </w:rPr>
        <w:t>Art. </w:t>
      </w:r>
      <w:r w:rsidRPr="009118AB">
        <w:rPr>
          <w:i/>
          <w:iCs/>
        </w:rPr>
        <w:t xml:space="preserve">17 </w:t>
      </w:r>
      <w:r w:rsidR="00D67EB8" w:rsidRPr="009118AB">
        <w:rPr>
          <w:i/>
          <w:iCs/>
        </w:rPr>
        <w:t>Nr. </w:t>
      </w:r>
      <w:r w:rsidRPr="009118AB">
        <w:rPr>
          <w:i/>
          <w:iCs/>
        </w:rPr>
        <w:t>1 des G.</w:t>
      </w:r>
      <w:r w:rsidR="00D86BCC" w:rsidRPr="009118AB">
        <w:rPr>
          <w:i/>
          <w:iCs/>
        </w:rPr>
        <w:t> </w:t>
      </w:r>
      <w:r w:rsidRPr="009118AB">
        <w:rPr>
          <w:i/>
          <w:iCs/>
        </w:rPr>
        <w:t>vom 4. Mai 1999 (II) (B.S. vom 12. Juni 1999)</w:t>
      </w:r>
      <w:r w:rsidR="00D67EB8" w:rsidRPr="009118AB">
        <w:rPr>
          <w:i/>
          <w:iCs/>
        </w:rPr>
        <w:t> - </w:t>
      </w:r>
      <w:r w:rsidRPr="009118AB">
        <w:rPr>
          <w:i/>
          <w:iCs/>
        </w:rPr>
        <w:t>anwendbar auf Einkünfte, die ab dem 1. Januar 1997 zuerkannt oder ausgeschüttet werden</w:t>
      </w:r>
      <w:r w:rsidR="00D67EB8" w:rsidRPr="009118AB">
        <w:rPr>
          <w:i/>
          <w:iCs/>
        </w:rPr>
        <w:t> - </w:t>
      </w:r>
      <w:r w:rsidR="00E177C8" w:rsidRPr="009118AB">
        <w:rPr>
          <w:i/>
          <w:iCs/>
        </w:rPr>
        <w:t xml:space="preserve">und </w:t>
      </w:r>
      <w:r w:rsidR="00D67EB8" w:rsidRPr="009118AB">
        <w:rPr>
          <w:i/>
          <w:iCs/>
        </w:rPr>
        <w:t>Art. </w:t>
      </w:r>
      <w:r w:rsidR="00E177C8" w:rsidRPr="009118AB">
        <w:rPr>
          <w:i/>
          <w:iCs/>
        </w:rPr>
        <w:t>47 des G. vom 18. Dezember 2015 (II) (B.S. vom 28. Dezember 2015)</w:t>
      </w:r>
      <w:r w:rsidRPr="009118AB">
        <w:rPr>
          <w:i/>
          <w:iCs/>
        </w:rPr>
        <w:t xml:space="preserve">; </w:t>
      </w:r>
      <w:r w:rsidR="00D67EB8" w:rsidRPr="009118AB">
        <w:rPr>
          <w:i/>
          <w:iCs/>
        </w:rPr>
        <w:t>§ </w:t>
      </w:r>
      <w:r w:rsidRPr="009118AB">
        <w:rPr>
          <w:i/>
          <w:iCs/>
        </w:rPr>
        <w:t xml:space="preserve">2 </w:t>
      </w:r>
      <w:r w:rsidR="0064487D" w:rsidRPr="009118AB">
        <w:rPr>
          <w:i/>
          <w:iCs/>
        </w:rPr>
        <w:t xml:space="preserve">früherer </w:t>
      </w:r>
      <w:r w:rsidRPr="009118AB">
        <w:rPr>
          <w:i/>
          <w:iCs/>
        </w:rPr>
        <w:t>Abs</w:t>
      </w:r>
      <w:r w:rsidR="0064487D" w:rsidRPr="009118AB">
        <w:rPr>
          <w:i/>
          <w:iCs/>
        </w:rPr>
        <w:t>atz</w:t>
      </w:r>
      <w:r w:rsidRPr="009118AB">
        <w:rPr>
          <w:i/>
          <w:iCs/>
        </w:rPr>
        <w:t> </w:t>
      </w:r>
      <w:r w:rsidR="00DA63BA" w:rsidRPr="009118AB">
        <w:rPr>
          <w:i/>
          <w:iCs/>
        </w:rPr>
        <w:t>8</w:t>
      </w:r>
      <w:r w:rsidRPr="009118AB">
        <w:rPr>
          <w:i/>
          <w:iCs/>
        </w:rPr>
        <w:t xml:space="preserve"> eingefügt durch </w:t>
      </w:r>
      <w:r w:rsidR="00D67EB8" w:rsidRPr="009118AB">
        <w:rPr>
          <w:i/>
          <w:iCs/>
        </w:rPr>
        <w:t>Art. </w:t>
      </w:r>
      <w:r w:rsidRPr="009118AB">
        <w:rPr>
          <w:i/>
          <w:iCs/>
        </w:rPr>
        <w:t xml:space="preserve">51 </w:t>
      </w:r>
      <w:r w:rsidR="00D67EB8" w:rsidRPr="009118AB">
        <w:rPr>
          <w:i/>
          <w:iCs/>
        </w:rPr>
        <w:t>Nr. </w:t>
      </w:r>
      <w:r w:rsidRPr="009118AB">
        <w:rPr>
          <w:i/>
          <w:iCs/>
        </w:rPr>
        <w:t>2 des G.</w:t>
      </w:r>
      <w:r w:rsidR="00372B23" w:rsidRPr="009118AB">
        <w:rPr>
          <w:i/>
          <w:iCs/>
        </w:rPr>
        <w:t> </w:t>
      </w:r>
      <w:r w:rsidRPr="009118AB">
        <w:rPr>
          <w:i/>
          <w:iCs/>
        </w:rPr>
        <w:t>vom 10. März 1999 (B.S. vom 14. April 1999)</w:t>
      </w:r>
      <w:r w:rsidR="00D67EB8" w:rsidRPr="009118AB">
        <w:rPr>
          <w:i/>
          <w:iCs/>
        </w:rPr>
        <w:t> - </w:t>
      </w:r>
      <w:r w:rsidRPr="009118AB">
        <w:rPr>
          <w:i/>
          <w:iCs/>
        </w:rPr>
        <w:t>in Kraft ab dem 14. April 1999</w:t>
      </w:r>
      <w:r w:rsidR="00D67EB8" w:rsidRPr="009118AB">
        <w:rPr>
          <w:i/>
          <w:iCs/>
        </w:rPr>
        <w:t> - </w:t>
      </w:r>
      <w:r w:rsidRPr="009118AB">
        <w:rPr>
          <w:i/>
          <w:iCs/>
        </w:rPr>
        <w:t xml:space="preserve">und aufgehoben durch </w:t>
      </w:r>
      <w:r w:rsidR="00D67EB8" w:rsidRPr="009118AB">
        <w:rPr>
          <w:i/>
          <w:iCs/>
        </w:rPr>
        <w:t>Art. </w:t>
      </w:r>
      <w:r w:rsidRPr="009118AB">
        <w:rPr>
          <w:i/>
          <w:iCs/>
        </w:rPr>
        <w:t xml:space="preserve">45 </w:t>
      </w:r>
      <w:r w:rsidR="00D67EB8" w:rsidRPr="009118AB">
        <w:rPr>
          <w:i/>
          <w:iCs/>
        </w:rPr>
        <w:t>Nr. </w:t>
      </w:r>
      <w:r w:rsidRPr="009118AB">
        <w:rPr>
          <w:i/>
          <w:iCs/>
        </w:rPr>
        <w:t>2 des G. vom 15. Dezember 2004 (B.S. vom 1. Februar 2005)</w:t>
      </w:r>
      <w:r w:rsidR="00D67EB8" w:rsidRPr="009118AB">
        <w:rPr>
          <w:i/>
          <w:iCs/>
        </w:rPr>
        <w:t> - </w:t>
      </w:r>
      <w:r w:rsidRPr="009118AB">
        <w:rPr>
          <w:i/>
          <w:iCs/>
        </w:rPr>
        <w:t>anwendbar auf Aktien- oder Anteilverleihe, die ab dem 1. Februar 2005 abgeschlossen werden</w:t>
      </w:r>
      <w:r w:rsidR="003366D9" w:rsidRPr="009118AB">
        <w:rPr>
          <w:i/>
          <w:iCs/>
        </w:rPr>
        <w:t> -;</w:t>
      </w:r>
      <w:r w:rsidRPr="009118AB">
        <w:rPr>
          <w:i/>
          <w:iCs/>
        </w:rPr>
        <w:t xml:space="preserve"> </w:t>
      </w:r>
      <w:r w:rsidR="00D67EB8" w:rsidRPr="009118AB">
        <w:rPr>
          <w:i/>
          <w:iCs/>
        </w:rPr>
        <w:t>§ </w:t>
      </w:r>
      <w:r w:rsidR="0064487D" w:rsidRPr="009118AB">
        <w:rPr>
          <w:i/>
          <w:iCs/>
        </w:rPr>
        <w:t xml:space="preserve">2 neuer Absatz 8 eingefügt durch </w:t>
      </w:r>
      <w:r w:rsidR="00D67EB8" w:rsidRPr="009118AB">
        <w:rPr>
          <w:i/>
          <w:iCs/>
        </w:rPr>
        <w:t>Art. </w:t>
      </w:r>
      <w:r w:rsidR="0064487D" w:rsidRPr="009118AB">
        <w:rPr>
          <w:i/>
          <w:iCs/>
        </w:rPr>
        <w:t>3 Buchstabe b)</w:t>
      </w:r>
      <w:r w:rsidR="00182A5E" w:rsidRPr="009118AB">
        <w:rPr>
          <w:i/>
          <w:iCs/>
        </w:rPr>
        <w:t xml:space="preserve"> des G. vom 1. Dezember 2016 (B.S. vom 8. Dezember 2016)</w:t>
      </w:r>
      <w:r w:rsidR="00D67EB8" w:rsidRPr="009118AB">
        <w:rPr>
          <w:i/>
          <w:iCs/>
        </w:rPr>
        <w:t> - </w:t>
      </w:r>
      <w:r w:rsidR="00E07945" w:rsidRPr="009118AB">
        <w:rPr>
          <w:i/>
          <w:iCs/>
        </w:rPr>
        <w:t>anwendbar auf die ab dem 1. Januar 2016 gewährten oder zuerkannten Einkünfte, jedoch nicht auf Einkünfte, die im Laufe eines Besteuerungszeitraums gewährt oder zuerkannt werden, der vor dem 1. Januar 2017 abgeschlossen wird</w:t>
      </w:r>
      <w:r w:rsidR="003366D9" w:rsidRPr="009118AB">
        <w:rPr>
          <w:i/>
          <w:iCs/>
        </w:rPr>
        <w:t> -;</w:t>
      </w:r>
      <w:r w:rsidR="001809EA" w:rsidRPr="009118AB">
        <w:rPr>
          <w:i/>
          <w:iCs/>
        </w:rPr>
        <w:t xml:space="preserve"> </w:t>
      </w:r>
      <w:r w:rsidR="00D67EB8" w:rsidRPr="009118AB">
        <w:rPr>
          <w:i/>
          <w:iCs/>
        </w:rPr>
        <w:t>§ </w:t>
      </w:r>
      <w:r w:rsidR="001809EA" w:rsidRPr="009118AB">
        <w:rPr>
          <w:i/>
          <w:iCs/>
        </w:rPr>
        <w:t xml:space="preserve">3 abgeändert durch </w:t>
      </w:r>
      <w:r w:rsidR="00D67EB8" w:rsidRPr="009118AB">
        <w:rPr>
          <w:i/>
          <w:iCs/>
        </w:rPr>
        <w:t>Art. </w:t>
      </w:r>
      <w:r w:rsidR="001809EA" w:rsidRPr="009118AB">
        <w:rPr>
          <w:i/>
          <w:iCs/>
        </w:rPr>
        <w:t xml:space="preserve">5 </w:t>
      </w:r>
      <w:r w:rsidR="00D67EB8" w:rsidRPr="009118AB">
        <w:rPr>
          <w:i/>
          <w:iCs/>
        </w:rPr>
        <w:t>Nr. </w:t>
      </w:r>
      <w:r w:rsidR="001809EA" w:rsidRPr="009118AB">
        <w:rPr>
          <w:i/>
          <w:iCs/>
        </w:rPr>
        <w:t>8 des G. vom 25. Dezember 2017 (II) (B.S. vom 29. Dezember 2017)</w:t>
      </w:r>
      <w:r w:rsidR="00D67EB8" w:rsidRPr="009118AB">
        <w:rPr>
          <w:i/>
          <w:iCs/>
        </w:rPr>
        <w:t> - </w:t>
      </w:r>
      <w:r w:rsidR="001809EA" w:rsidRPr="009118AB">
        <w:rPr>
          <w:i/>
          <w:iCs/>
        </w:rPr>
        <w:t>in Kraft am 29. Dezember 2017</w:t>
      </w:r>
      <w:r w:rsidR="003366D9" w:rsidRPr="009118AB">
        <w:rPr>
          <w:i/>
          <w:iCs/>
        </w:rPr>
        <w:t> -;</w:t>
      </w:r>
      <w:r w:rsidR="00182A5E" w:rsidRPr="009118AB">
        <w:rPr>
          <w:i/>
          <w:iCs/>
        </w:rPr>
        <w:t xml:space="preserve"> </w:t>
      </w:r>
      <w:r w:rsidR="00D67EB8" w:rsidRPr="009118AB">
        <w:rPr>
          <w:i/>
          <w:iCs/>
        </w:rPr>
        <w:t>§ </w:t>
      </w:r>
      <w:r w:rsidR="001809EA" w:rsidRPr="009118AB">
        <w:rPr>
          <w:i/>
          <w:iCs/>
        </w:rPr>
        <w:t xml:space="preserve">4 eingefügt durch </w:t>
      </w:r>
      <w:r w:rsidR="00D67EB8" w:rsidRPr="009118AB">
        <w:rPr>
          <w:i/>
          <w:iCs/>
        </w:rPr>
        <w:t>Art. </w:t>
      </w:r>
      <w:r w:rsidR="001809EA" w:rsidRPr="009118AB">
        <w:rPr>
          <w:i/>
          <w:iCs/>
        </w:rPr>
        <w:t xml:space="preserve">322 </w:t>
      </w:r>
      <w:r w:rsidR="00D67EB8" w:rsidRPr="009118AB">
        <w:rPr>
          <w:i/>
          <w:iCs/>
        </w:rPr>
        <w:t>Nr. </w:t>
      </w:r>
      <w:r w:rsidR="001809EA" w:rsidRPr="009118AB">
        <w:rPr>
          <w:i/>
          <w:iCs/>
        </w:rPr>
        <w:t>2 des G. </w:t>
      </w:r>
      <w:r w:rsidR="0014743B" w:rsidRPr="009118AB">
        <w:rPr>
          <w:i/>
          <w:iCs/>
        </w:rPr>
        <w:t xml:space="preserve">(I) </w:t>
      </w:r>
      <w:r w:rsidR="001809EA" w:rsidRPr="009118AB">
        <w:rPr>
          <w:i/>
          <w:iCs/>
        </w:rPr>
        <w:t>vom 27. Dezember 2006 </w:t>
      </w:r>
      <w:r w:rsidRPr="009118AB">
        <w:rPr>
          <w:i/>
          <w:iCs/>
        </w:rPr>
        <w:t>(</w:t>
      </w:r>
      <w:r w:rsidR="0014743B" w:rsidRPr="009118AB">
        <w:rPr>
          <w:i/>
          <w:iCs/>
        </w:rPr>
        <w:t>I</w:t>
      </w:r>
      <w:r w:rsidRPr="009118AB">
        <w:rPr>
          <w:i/>
          <w:iCs/>
        </w:rPr>
        <w:t>I) (B.S. vom 28. Dezember 2006)</w:t>
      </w:r>
      <w:r w:rsidR="00D67EB8" w:rsidRPr="009118AB">
        <w:rPr>
          <w:i/>
          <w:iCs/>
        </w:rPr>
        <w:t> - </w:t>
      </w:r>
      <w:r w:rsidRPr="009118AB">
        <w:rPr>
          <w:i/>
          <w:iCs/>
        </w:rPr>
        <w:t>in Kraft ab dem 1. Januar 2007</w:t>
      </w:r>
      <w:r w:rsidR="00D67EB8" w:rsidRPr="009118AB">
        <w:rPr>
          <w:i/>
          <w:iCs/>
        </w:rPr>
        <w:t> - </w:t>
      </w:r>
      <w:r w:rsidR="00C47F3A" w:rsidRPr="009118AB">
        <w:rPr>
          <w:i/>
          <w:iCs/>
        </w:rPr>
        <w:t>und abgeändert durch</w:t>
      </w:r>
      <w:r w:rsidR="00C47F3A"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C47F3A" w:rsidRPr="009118AB">
        <w:rPr>
          <w:rFonts w:ascii="Times New Roman Italique" w:hAnsi="Times New Roman Italique"/>
          <w:i/>
          <w:iCs/>
          <w:spacing w:val="-2"/>
        </w:rPr>
        <w:t>331 des K.E. vom 3. März 2011 (B.S</w:t>
      </w:r>
      <w:r w:rsidR="00FE02D0" w:rsidRPr="009118AB">
        <w:rPr>
          <w:rFonts w:ascii="Times New Roman Italique" w:hAnsi="Times New Roman Italique"/>
          <w:i/>
          <w:iCs/>
          <w:spacing w:val="-2"/>
        </w:rPr>
        <w:t>.</w:t>
      </w:r>
      <w:r w:rsidR="00C47F3A" w:rsidRPr="009118AB">
        <w:rPr>
          <w:rFonts w:ascii="Times New Roman Italique" w:hAnsi="Times New Roman Italique"/>
          <w:i/>
          <w:iCs/>
          <w:spacing w:val="-2"/>
        </w:rPr>
        <w:t xml:space="preserve"> vom 9. März 2011)</w:t>
      </w:r>
      <w:r w:rsidR="00D67EB8" w:rsidRPr="009118AB">
        <w:rPr>
          <w:rFonts w:ascii="Times New Roman Italique" w:hAnsi="Times New Roman Italique"/>
          <w:i/>
          <w:iCs/>
          <w:spacing w:val="-2"/>
        </w:rPr>
        <w:t> - </w:t>
      </w:r>
      <w:r w:rsidR="00C47F3A" w:rsidRPr="009118AB">
        <w:rPr>
          <w:rFonts w:ascii="Times New Roman Italique" w:hAnsi="Times New Roman Italique"/>
          <w:i/>
          <w:iCs/>
          <w:spacing w:val="-2"/>
        </w:rPr>
        <w:t>in Kraft am 1. April 2011</w:t>
      </w:r>
      <w:r w:rsidR="00D67EB8" w:rsidRPr="009118AB">
        <w:rPr>
          <w:rFonts w:ascii="Times New Roman Italique" w:hAnsi="Times New Roman Italique"/>
          <w:i/>
          <w:iCs/>
          <w:spacing w:val="-2"/>
        </w:rPr>
        <w:t> - </w:t>
      </w:r>
      <w:r w:rsidR="00935D10"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935D10" w:rsidRPr="009118AB">
        <w:rPr>
          <w:rFonts w:ascii="Times New Roman Italique" w:hAnsi="Times New Roman Italique"/>
          <w:i/>
          <w:iCs/>
          <w:spacing w:val="-2"/>
        </w:rPr>
        <w:t>13</w:t>
      </w:r>
      <w:r w:rsidR="00935D10" w:rsidRPr="009118AB">
        <w:rPr>
          <w:i/>
        </w:rPr>
        <w:t xml:space="preserve"> des G. vom 2. Mai 2019 (III) (B.S. vom 1</w:t>
      </w:r>
      <w:r w:rsidR="004A76B1" w:rsidRPr="009118AB">
        <w:rPr>
          <w:i/>
        </w:rPr>
        <w:t>5</w:t>
      </w:r>
      <w:r w:rsidR="00935D10" w:rsidRPr="009118AB">
        <w:rPr>
          <w:i/>
        </w:rPr>
        <w:t>. Mai 2019)</w:t>
      </w:r>
      <w:r w:rsidR="001809EA"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1809EA" w:rsidRPr="009118AB">
        <w:rPr>
          <w:rFonts w:ascii="Times New Roman Italique" w:hAnsi="Times New Roman Italique"/>
          <w:i/>
          <w:iCs/>
          <w:spacing w:val="-2"/>
        </w:rPr>
        <w:t xml:space="preserve">5 eingefügt durch </w:t>
      </w:r>
      <w:r w:rsidR="00D67EB8" w:rsidRPr="009118AB">
        <w:rPr>
          <w:rFonts w:ascii="Times New Roman Italique" w:hAnsi="Times New Roman Italique"/>
          <w:i/>
          <w:iCs/>
          <w:spacing w:val="-2"/>
        </w:rPr>
        <w:t>Art. </w:t>
      </w:r>
      <w:r w:rsidR="001809EA" w:rsidRPr="009118AB">
        <w:rPr>
          <w:rFonts w:ascii="Times New Roman Italique" w:hAnsi="Times New Roman Italique"/>
          <w:i/>
          <w:iCs/>
          <w:spacing w:val="-2"/>
        </w:rPr>
        <w:t xml:space="preserve">5 </w:t>
      </w:r>
      <w:r w:rsidR="00D67EB8" w:rsidRPr="009118AB">
        <w:rPr>
          <w:rFonts w:ascii="Times New Roman Italique" w:hAnsi="Times New Roman Italique"/>
          <w:i/>
          <w:iCs/>
          <w:spacing w:val="-2"/>
        </w:rPr>
        <w:t>Nr. </w:t>
      </w:r>
      <w:r w:rsidR="001809EA" w:rsidRPr="009118AB">
        <w:rPr>
          <w:rFonts w:ascii="Times New Roman Italique" w:hAnsi="Times New Roman Italique"/>
          <w:i/>
          <w:iCs/>
          <w:spacing w:val="-2"/>
        </w:rPr>
        <w:t>9</w:t>
      </w:r>
      <w:r w:rsidR="001809EA" w:rsidRPr="009118AB">
        <w:rPr>
          <w:i/>
          <w:iCs/>
        </w:rPr>
        <w:t xml:space="preserve"> des G. vom 25. Dezember 2017 (II) (B.S. vom 29. Dezember 2017)</w:t>
      </w:r>
      <w:r w:rsidR="00D67EB8" w:rsidRPr="009118AB">
        <w:rPr>
          <w:i/>
          <w:iCs/>
        </w:rPr>
        <w:t> - </w:t>
      </w:r>
      <w:r w:rsidR="001809EA" w:rsidRPr="009118AB">
        <w:rPr>
          <w:i/>
          <w:iCs/>
        </w:rPr>
        <w:t>in Kraft am 29. Dezember 2017</w:t>
      </w:r>
      <w:r w:rsidR="00FD68E8" w:rsidRPr="009118AB">
        <w:rPr>
          <w:i/>
          <w:iCs/>
        </w:rPr>
        <w:t> -]</w:t>
      </w:r>
    </w:p>
    <w:p w14:paraId="7CBA424F" w14:textId="77777777" w:rsidR="004B584A" w:rsidRPr="009118AB" w:rsidRDefault="004B584A" w:rsidP="000A696B">
      <w:pPr>
        <w:autoSpaceDE w:val="0"/>
        <w:autoSpaceDN w:val="0"/>
        <w:adjustRightInd w:val="0"/>
        <w:jc w:val="both"/>
      </w:pPr>
    </w:p>
    <w:p w14:paraId="53750E48" w14:textId="77777777" w:rsidR="004B584A" w:rsidRPr="009118AB" w:rsidRDefault="004B584A" w:rsidP="000A696B">
      <w:pPr>
        <w:autoSpaceDE w:val="0"/>
        <w:autoSpaceDN w:val="0"/>
        <w:adjustRightInd w:val="0"/>
        <w:jc w:val="both"/>
      </w:pPr>
    </w:p>
    <w:p w14:paraId="17238B96" w14:textId="5D038FB5" w:rsidR="000A696B" w:rsidRPr="009118AB" w:rsidRDefault="00477B8F" w:rsidP="000A696B">
      <w:pPr>
        <w:autoSpaceDE w:val="0"/>
        <w:autoSpaceDN w:val="0"/>
        <w:adjustRightInd w:val="0"/>
        <w:jc w:val="both"/>
        <w:rPr>
          <w:iCs/>
        </w:rPr>
      </w:pPr>
      <w:r w:rsidRPr="009118AB">
        <w:lastRenderedPageBreak/>
        <w:tab/>
      </w:r>
      <w:r w:rsidR="00D67EB8" w:rsidRPr="009118AB">
        <w:rPr>
          <w:b/>
          <w:bCs/>
        </w:rPr>
        <w:t>Art. </w:t>
      </w:r>
      <w:r w:rsidRPr="009118AB">
        <w:rPr>
          <w:b/>
          <w:bCs/>
        </w:rPr>
        <w:t>204</w:t>
      </w:r>
      <w:r w:rsidR="00D67EB8" w:rsidRPr="009118AB">
        <w:t> - </w:t>
      </w:r>
      <w:r w:rsidR="000A696B" w:rsidRPr="009118AB">
        <w:rPr>
          <w:iCs/>
        </w:rPr>
        <w:t>[</w:t>
      </w:r>
      <w:r w:rsidR="00F10268" w:rsidRPr="009118AB">
        <w:t xml:space="preserve">Gemäß Artikel 202 </w:t>
      </w:r>
      <w:r w:rsidR="00D67EB8" w:rsidRPr="009118AB">
        <w:t>§ </w:t>
      </w:r>
      <w:r w:rsidR="00F10268" w:rsidRPr="009118AB">
        <w:t>1 abzugsfähige Einkünfte gelten als in den Gewinnen des Besteuerungszeitraums befindlich bis zu dem eingenommenen oder erhaltenen Betrag, eventuell erhöht um den tatsächlichen oder fiktiven Mobiliensteuervorabzug.</w:t>
      </w:r>
      <w:r w:rsidR="000A696B" w:rsidRPr="009118AB">
        <w:rPr>
          <w:iCs/>
        </w:rPr>
        <w:t>]</w:t>
      </w:r>
    </w:p>
    <w:p w14:paraId="49AEA879" w14:textId="77777777" w:rsidR="000A696B" w:rsidRPr="009118AB" w:rsidRDefault="000A696B" w:rsidP="000A696B">
      <w:pPr>
        <w:autoSpaceDE w:val="0"/>
        <w:autoSpaceDN w:val="0"/>
        <w:adjustRightInd w:val="0"/>
        <w:jc w:val="both"/>
        <w:rPr>
          <w:iCs/>
        </w:rPr>
      </w:pPr>
    </w:p>
    <w:p w14:paraId="4C81FF86" w14:textId="52BA9A34" w:rsidR="000A696B" w:rsidRPr="009118AB" w:rsidRDefault="000A696B" w:rsidP="000A696B">
      <w:pPr>
        <w:autoSpaceDE w:val="0"/>
        <w:autoSpaceDN w:val="0"/>
        <w:adjustRightInd w:val="0"/>
        <w:jc w:val="both"/>
        <w:rPr>
          <w:iCs/>
        </w:rPr>
      </w:pPr>
      <w:r w:rsidRPr="009118AB">
        <w:rPr>
          <w:i/>
          <w:iCs/>
        </w:rPr>
        <w:t>[</w:t>
      </w:r>
      <w:r w:rsidR="00D67EB8" w:rsidRPr="009118AB">
        <w:rPr>
          <w:i/>
          <w:iCs/>
        </w:rPr>
        <w:t>Art. </w:t>
      </w:r>
      <w:r w:rsidRPr="009118AB">
        <w:rPr>
          <w:i/>
          <w:iCs/>
        </w:rPr>
        <w:t xml:space="preserve">204 ersetzt durch </w:t>
      </w:r>
      <w:r w:rsidR="00D67EB8" w:rsidRPr="009118AB">
        <w:rPr>
          <w:i/>
          <w:iCs/>
        </w:rPr>
        <w:t>Art. </w:t>
      </w:r>
      <w:r w:rsidR="00F10268" w:rsidRPr="009118AB">
        <w:rPr>
          <w:i/>
          <w:iCs/>
        </w:rPr>
        <w:t>45 des G. vom 25. Dezember 2017 (III) (B.S. vom 29. Dezember 2017)</w:t>
      </w:r>
      <w:r w:rsidR="00D67EB8" w:rsidRPr="009118AB">
        <w:rPr>
          <w:i/>
          <w:iCs/>
        </w:rPr>
        <w:t> - </w:t>
      </w:r>
      <w:r w:rsidR="00F10268" w:rsidRPr="009118AB">
        <w:rPr>
          <w:i/>
          <w:iCs/>
        </w:rPr>
        <w:t>in Kraft am 1. Januar 2018 und anwendbar ab dem Steuerjahr 2019, das sich auf einen Besteuerungszeitraum bezieht, der frühestens am 1. Januar 2018 beginnt</w:t>
      </w:r>
      <w:r w:rsidR="00FD68E8" w:rsidRPr="009118AB">
        <w:rPr>
          <w:i/>
          <w:iCs/>
        </w:rPr>
        <w:t> -]</w:t>
      </w:r>
    </w:p>
    <w:p w14:paraId="3234A227" w14:textId="77777777" w:rsidR="000A696B" w:rsidRPr="009118AB" w:rsidRDefault="000A696B" w:rsidP="000A696B">
      <w:pPr>
        <w:autoSpaceDE w:val="0"/>
        <w:autoSpaceDN w:val="0"/>
        <w:adjustRightInd w:val="0"/>
        <w:jc w:val="both"/>
      </w:pPr>
    </w:p>
    <w:p w14:paraId="283D9048" w14:textId="77777777" w:rsidR="004A3400" w:rsidRPr="009118AB" w:rsidRDefault="004A3400" w:rsidP="00477B8F">
      <w:pPr>
        <w:autoSpaceDE w:val="0"/>
        <w:autoSpaceDN w:val="0"/>
        <w:adjustRightInd w:val="0"/>
        <w:jc w:val="both"/>
      </w:pPr>
    </w:p>
    <w:p w14:paraId="5CD4D307" w14:textId="162064CD" w:rsidR="006A2667" w:rsidRPr="009118AB" w:rsidRDefault="00477B8F" w:rsidP="006A2667">
      <w:pPr>
        <w:autoSpaceDE w:val="0"/>
        <w:autoSpaceDN w:val="0"/>
        <w:adjustRightInd w:val="0"/>
        <w:jc w:val="both"/>
        <w:rPr>
          <w:bCs/>
          <w:iCs/>
        </w:rPr>
      </w:pPr>
      <w:r w:rsidRPr="009118AB">
        <w:tab/>
      </w:r>
      <w:r w:rsidR="00D67EB8" w:rsidRPr="009118AB">
        <w:rPr>
          <w:b/>
          <w:bCs/>
        </w:rPr>
        <w:t>Art. </w:t>
      </w:r>
      <w:r w:rsidRPr="009118AB">
        <w:rPr>
          <w:b/>
          <w:bCs/>
        </w:rPr>
        <w:t>205</w:t>
      </w:r>
      <w:r w:rsidR="00D67EB8" w:rsidRPr="009118AB">
        <w:t> - </w:t>
      </w:r>
      <w:r w:rsidR="00D67EB8" w:rsidRPr="009118AB">
        <w:rPr>
          <w:bCs/>
          <w:iCs/>
        </w:rPr>
        <w:t>§ </w:t>
      </w:r>
      <w:r w:rsidR="006A2667" w:rsidRPr="009118AB">
        <w:rPr>
          <w:bCs/>
          <w:iCs/>
        </w:rPr>
        <w:t>1</w:t>
      </w:r>
      <w:r w:rsidR="00D67EB8" w:rsidRPr="009118AB">
        <w:rPr>
          <w:bCs/>
          <w:iCs/>
        </w:rPr>
        <w:t> - </w:t>
      </w:r>
      <w:r w:rsidR="006A2667" w:rsidRPr="009118AB">
        <w:rPr>
          <w:bCs/>
          <w:iCs/>
        </w:rPr>
        <w:t>Kein Abzug aufgrund von Artikel 202 wird gewährt in Bezug auf Einkünfte aus Aktiva, die zur Ausübung der Berufstätigkeit genutzt werden in Niederlassungen, über die der Steuerpflichtige im Ausland verfügt und deren Gewinne aufgrund internationaler Abkommen zur Vermeidung der Doppelbesteuerung steuerfrei sind.</w:t>
      </w:r>
    </w:p>
    <w:p w14:paraId="6BB08836" w14:textId="77777777" w:rsidR="006A2667" w:rsidRPr="009118AB" w:rsidRDefault="006A2667" w:rsidP="006A2667">
      <w:pPr>
        <w:autoSpaceDE w:val="0"/>
        <w:autoSpaceDN w:val="0"/>
        <w:adjustRightInd w:val="0"/>
        <w:jc w:val="both"/>
        <w:rPr>
          <w:bCs/>
          <w:iCs/>
        </w:rPr>
      </w:pPr>
    </w:p>
    <w:p w14:paraId="6E666332" w14:textId="53C7C02B" w:rsidR="006A2667" w:rsidRPr="009118AB" w:rsidRDefault="00D67EB8" w:rsidP="00665549">
      <w:pPr>
        <w:autoSpaceDE w:val="0"/>
        <w:autoSpaceDN w:val="0"/>
        <w:adjustRightInd w:val="0"/>
        <w:ind w:firstLine="708"/>
        <w:jc w:val="both"/>
        <w:rPr>
          <w:bCs/>
          <w:iCs/>
        </w:rPr>
      </w:pPr>
      <w:r w:rsidRPr="009118AB">
        <w:rPr>
          <w:bCs/>
          <w:iCs/>
        </w:rPr>
        <w:t>§ </w:t>
      </w:r>
      <w:r w:rsidR="006A2667" w:rsidRPr="009118AB">
        <w:rPr>
          <w:bCs/>
          <w:iCs/>
        </w:rPr>
        <w:t>2</w:t>
      </w:r>
      <w:r w:rsidRPr="009118AB">
        <w:rPr>
          <w:bCs/>
          <w:iCs/>
        </w:rPr>
        <w:t> - </w:t>
      </w:r>
      <w:r w:rsidR="006A2667" w:rsidRPr="009118AB">
        <w:rPr>
          <w:bCs/>
          <w:iCs/>
        </w:rPr>
        <w:t>[Der in Artikel 202 vorgesehene Abzug wird auf den Betrag der Gewinne des Besteuerungszeitraums beschränkt, der nach der Anwendung von Artikel 199 übrig bleibt, verringert um:</w:t>
      </w:r>
    </w:p>
    <w:p w14:paraId="68F85E70" w14:textId="77777777" w:rsidR="006A2667" w:rsidRPr="009118AB" w:rsidRDefault="006A2667" w:rsidP="006A2667">
      <w:pPr>
        <w:autoSpaceDE w:val="0"/>
        <w:autoSpaceDN w:val="0"/>
        <w:adjustRightInd w:val="0"/>
        <w:jc w:val="both"/>
        <w:rPr>
          <w:bCs/>
          <w:iCs/>
        </w:rPr>
      </w:pPr>
    </w:p>
    <w:p w14:paraId="1B4BD079" w14:textId="77777777" w:rsidR="006A2667" w:rsidRPr="009118AB" w:rsidRDefault="006A2667" w:rsidP="00665549">
      <w:pPr>
        <w:autoSpaceDE w:val="0"/>
        <w:autoSpaceDN w:val="0"/>
        <w:adjustRightInd w:val="0"/>
        <w:ind w:firstLine="708"/>
        <w:jc w:val="both"/>
        <w:rPr>
          <w:bCs/>
          <w:iCs/>
        </w:rPr>
      </w:pPr>
      <w:r w:rsidRPr="009118AB">
        <w:rPr>
          <w:bCs/>
          <w:iCs/>
        </w:rPr>
        <w:t>1. nicht als Werbungskosten abzugsfähige unentgeltliche Zuwendungen, mit Ausnahme der in Anwendung der Artikel 199 und 200 von den Gewinnen abgezogenen unentgeltlichen Zuwendungen,</w:t>
      </w:r>
    </w:p>
    <w:p w14:paraId="46896702" w14:textId="77777777" w:rsidR="006A2667" w:rsidRPr="009118AB" w:rsidRDefault="006A2667" w:rsidP="006A2667">
      <w:pPr>
        <w:autoSpaceDE w:val="0"/>
        <w:autoSpaceDN w:val="0"/>
        <w:adjustRightInd w:val="0"/>
        <w:jc w:val="both"/>
        <w:rPr>
          <w:bCs/>
          <w:iCs/>
        </w:rPr>
      </w:pPr>
    </w:p>
    <w:p w14:paraId="20418248" w14:textId="1B6242AB" w:rsidR="006A2667" w:rsidRPr="009118AB" w:rsidRDefault="006A2667" w:rsidP="00665549">
      <w:pPr>
        <w:autoSpaceDE w:val="0"/>
        <w:autoSpaceDN w:val="0"/>
        <w:adjustRightInd w:val="0"/>
        <w:ind w:firstLine="708"/>
        <w:jc w:val="both"/>
        <w:rPr>
          <w:bCs/>
          <w:iCs/>
        </w:rPr>
      </w:pPr>
      <w:r w:rsidRPr="009118AB">
        <w:rPr>
          <w:bCs/>
          <w:iCs/>
        </w:rPr>
        <w:t xml:space="preserve">2. [in Artikel 53 </w:t>
      </w:r>
      <w:r w:rsidR="00D67EB8" w:rsidRPr="009118AB">
        <w:rPr>
          <w:bCs/>
          <w:iCs/>
        </w:rPr>
        <w:t>Nr. </w:t>
      </w:r>
      <w:r w:rsidRPr="009118AB">
        <w:rPr>
          <w:bCs/>
          <w:iCs/>
        </w:rPr>
        <w:t>6 bis 11, 14 und [21 bis 24] erwähnte Kosten,]</w:t>
      </w:r>
    </w:p>
    <w:p w14:paraId="0C2FD3BC" w14:textId="77777777" w:rsidR="006A2667" w:rsidRPr="009118AB" w:rsidRDefault="006A2667" w:rsidP="006A2667">
      <w:pPr>
        <w:autoSpaceDE w:val="0"/>
        <w:autoSpaceDN w:val="0"/>
        <w:adjustRightInd w:val="0"/>
        <w:jc w:val="both"/>
        <w:rPr>
          <w:bCs/>
          <w:iCs/>
        </w:rPr>
      </w:pPr>
    </w:p>
    <w:p w14:paraId="21DA8307" w14:textId="77777777" w:rsidR="006A2667" w:rsidRPr="009118AB" w:rsidRDefault="006A2667" w:rsidP="00665549">
      <w:pPr>
        <w:autoSpaceDE w:val="0"/>
        <w:autoSpaceDN w:val="0"/>
        <w:adjustRightInd w:val="0"/>
        <w:ind w:firstLine="708"/>
        <w:jc w:val="both"/>
        <w:rPr>
          <w:bCs/>
          <w:iCs/>
        </w:rPr>
      </w:pPr>
      <w:r w:rsidRPr="009118AB">
        <w:rPr>
          <w:bCs/>
          <w:iCs/>
        </w:rPr>
        <w:t>3. in Artikel 54 erwähnte Zinsen, Vergütungen und Entlohnungen,</w:t>
      </w:r>
    </w:p>
    <w:p w14:paraId="56E17211" w14:textId="77777777" w:rsidR="006A2667" w:rsidRPr="009118AB" w:rsidRDefault="006A2667" w:rsidP="006A2667">
      <w:pPr>
        <w:autoSpaceDE w:val="0"/>
        <w:autoSpaceDN w:val="0"/>
        <w:adjustRightInd w:val="0"/>
        <w:jc w:val="both"/>
        <w:rPr>
          <w:bCs/>
          <w:iCs/>
        </w:rPr>
      </w:pPr>
    </w:p>
    <w:p w14:paraId="21E1DDCE" w14:textId="77777777" w:rsidR="006A2667" w:rsidRPr="009118AB" w:rsidRDefault="006A2667" w:rsidP="00665549">
      <w:pPr>
        <w:autoSpaceDE w:val="0"/>
        <w:autoSpaceDN w:val="0"/>
        <w:adjustRightInd w:val="0"/>
        <w:ind w:firstLine="708"/>
        <w:jc w:val="both"/>
        <w:rPr>
          <w:bCs/>
          <w:iCs/>
        </w:rPr>
      </w:pPr>
      <w:r w:rsidRPr="009118AB">
        <w:rPr>
          <w:bCs/>
          <w:iCs/>
        </w:rPr>
        <w:t>4. in Artikel 55 erwähnte nicht abzugsfähige Zinsen,</w:t>
      </w:r>
    </w:p>
    <w:p w14:paraId="7106E354" w14:textId="77777777" w:rsidR="006A2667" w:rsidRPr="009118AB" w:rsidRDefault="006A2667" w:rsidP="006A2667">
      <w:pPr>
        <w:autoSpaceDE w:val="0"/>
        <w:autoSpaceDN w:val="0"/>
        <w:adjustRightInd w:val="0"/>
        <w:jc w:val="both"/>
        <w:rPr>
          <w:bCs/>
          <w:iCs/>
        </w:rPr>
      </w:pPr>
    </w:p>
    <w:p w14:paraId="304BEFE6" w14:textId="7360FFCF" w:rsidR="006A2667" w:rsidRPr="009118AB" w:rsidRDefault="006A2667" w:rsidP="00665549">
      <w:pPr>
        <w:autoSpaceDE w:val="0"/>
        <w:autoSpaceDN w:val="0"/>
        <w:adjustRightInd w:val="0"/>
        <w:ind w:firstLine="708"/>
        <w:jc w:val="both"/>
        <w:rPr>
          <w:bCs/>
          <w:iCs/>
        </w:rPr>
      </w:pPr>
      <w:r w:rsidRPr="009118AB">
        <w:rPr>
          <w:bCs/>
          <w:iCs/>
        </w:rPr>
        <w:t xml:space="preserve">5. [in Artikel 52 </w:t>
      </w:r>
      <w:r w:rsidR="00D67EB8" w:rsidRPr="009118AB">
        <w:rPr>
          <w:bCs/>
          <w:iCs/>
        </w:rPr>
        <w:t>Nr. </w:t>
      </w:r>
      <w:r w:rsidRPr="009118AB">
        <w:rPr>
          <w:bCs/>
          <w:iCs/>
        </w:rPr>
        <w:t>3 Buchstabe </w:t>
      </w:r>
      <w:r w:rsidRPr="009118AB">
        <w:rPr>
          <w:bCs/>
          <w:i/>
          <w:iCs/>
        </w:rPr>
        <w:t>b)</w:t>
      </w:r>
      <w:r w:rsidRPr="009118AB">
        <w:rPr>
          <w:bCs/>
          <w:iCs/>
        </w:rPr>
        <w:t xml:space="preserve"> erwähnte Beiträge und Prämien und damit gleichgesetzte Prämien gewisser Lebensversicherungen in dem Maße, wie diese Beiträge und Prämien den in den Artikeln 59 und 195 festgelegten Bedingungen und Grenzen nicht entsprechen, und Pensionen, ergänzende Pensionen, Renten und andere als solche geltende Zulagen in dem Maße, wie diese Summen den Bedingungen und der Grenze, die in Artikel 60 festgelegt sind, nicht entsprechen,]</w:t>
      </w:r>
    </w:p>
    <w:p w14:paraId="6C3F110F" w14:textId="77777777" w:rsidR="006A2667" w:rsidRPr="009118AB" w:rsidRDefault="006A2667" w:rsidP="006A2667">
      <w:pPr>
        <w:autoSpaceDE w:val="0"/>
        <w:autoSpaceDN w:val="0"/>
        <w:adjustRightInd w:val="0"/>
        <w:jc w:val="both"/>
        <w:rPr>
          <w:bCs/>
          <w:iCs/>
        </w:rPr>
      </w:pPr>
    </w:p>
    <w:p w14:paraId="4A7E69BB" w14:textId="77777777" w:rsidR="006A2667" w:rsidRPr="009118AB" w:rsidRDefault="006A2667" w:rsidP="00665549">
      <w:pPr>
        <w:autoSpaceDE w:val="0"/>
        <w:autoSpaceDN w:val="0"/>
        <w:adjustRightInd w:val="0"/>
        <w:ind w:firstLine="708"/>
        <w:jc w:val="both"/>
        <w:rPr>
          <w:bCs/>
          <w:iCs/>
        </w:rPr>
      </w:pPr>
      <w:r w:rsidRPr="009118AB">
        <w:rPr>
          <w:bCs/>
          <w:iCs/>
        </w:rPr>
        <w:t>6. [den nicht abzugsfähigen Teil] der Kosten und Minderwerte in Bezug auf die Nutzung der in Artikel 66 erwähnten Personenkraftwagen, Kombiwagen und Kleinbusse […],</w:t>
      </w:r>
    </w:p>
    <w:p w14:paraId="6EAAF962" w14:textId="77777777" w:rsidR="006A2667" w:rsidRPr="009118AB" w:rsidRDefault="006A2667" w:rsidP="006A2667">
      <w:pPr>
        <w:autoSpaceDE w:val="0"/>
        <w:autoSpaceDN w:val="0"/>
        <w:adjustRightInd w:val="0"/>
        <w:jc w:val="both"/>
        <w:rPr>
          <w:bCs/>
          <w:iCs/>
        </w:rPr>
      </w:pPr>
    </w:p>
    <w:p w14:paraId="302E0543" w14:textId="490541CD" w:rsidR="006A2667" w:rsidRPr="009118AB" w:rsidRDefault="006A2667" w:rsidP="00665549">
      <w:pPr>
        <w:autoSpaceDE w:val="0"/>
        <w:autoSpaceDN w:val="0"/>
        <w:adjustRightInd w:val="0"/>
        <w:ind w:firstLine="708"/>
        <w:jc w:val="both"/>
        <w:rPr>
          <w:bCs/>
          <w:iCs/>
        </w:rPr>
      </w:pPr>
      <w:r w:rsidRPr="009118AB">
        <w:rPr>
          <w:bCs/>
          <w:iCs/>
        </w:rPr>
        <w:t xml:space="preserve">7. in Artikel 189 </w:t>
      </w:r>
      <w:r w:rsidR="00D67EB8" w:rsidRPr="009118AB">
        <w:rPr>
          <w:bCs/>
          <w:iCs/>
        </w:rPr>
        <w:t>§ </w:t>
      </w:r>
      <w:r w:rsidRPr="009118AB">
        <w:rPr>
          <w:bCs/>
          <w:iCs/>
        </w:rPr>
        <w:t>1 erwähnte Rabatte, die als Gewinne gelten,</w:t>
      </w:r>
    </w:p>
    <w:p w14:paraId="708C9B1A" w14:textId="77777777" w:rsidR="006A2667" w:rsidRPr="009118AB" w:rsidRDefault="006A2667" w:rsidP="006A2667">
      <w:pPr>
        <w:autoSpaceDE w:val="0"/>
        <w:autoSpaceDN w:val="0"/>
        <w:adjustRightInd w:val="0"/>
        <w:jc w:val="both"/>
        <w:rPr>
          <w:bCs/>
          <w:iCs/>
        </w:rPr>
      </w:pPr>
    </w:p>
    <w:p w14:paraId="5D272463" w14:textId="05C178DF" w:rsidR="006A2667" w:rsidRPr="009118AB" w:rsidRDefault="006A2667" w:rsidP="00665549">
      <w:pPr>
        <w:autoSpaceDE w:val="0"/>
        <w:autoSpaceDN w:val="0"/>
        <w:adjustRightInd w:val="0"/>
        <w:ind w:firstLine="708"/>
        <w:jc w:val="both"/>
        <w:rPr>
          <w:bCs/>
          <w:iCs/>
        </w:rPr>
      </w:pPr>
      <w:r w:rsidRPr="009118AB">
        <w:rPr>
          <w:bCs/>
          <w:iCs/>
        </w:rPr>
        <w:t xml:space="preserve">8. </w:t>
      </w:r>
      <w:r w:rsidR="00E13F17" w:rsidRPr="009118AB">
        <w:rPr>
          <w:bCs/>
          <w:iCs/>
        </w:rPr>
        <w:t>[</w:t>
      </w:r>
      <w:r w:rsidR="006B7F62" w:rsidRPr="009118AB">
        <w:t xml:space="preserve">in den Artikeln 53 </w:t>
      </w:r>
      <w:r w:rsidR="00D67EB8" w:rsidRPr="009118AB">
        <w:t>Nr. </w:t>
      </w:r>
      <w:r w:rsidR="006B7F62" w:rsidRPr="009118AB">
        <w:t xml:space="preserve">30 und 198 </w:t>
      </w:r>
      <w:r w:rsidR="00D67EB8" w:rsidRPr="009118AB">
        <w:t>§ </w:t>
      </w:r>
      <w:r w:rsidR="006B7F62" w:rsidRPr="009118AB">
        <w:t xml:space="preserve">1 </w:t>
      </w:r>
      <w:r w:rsidR="00D67EB8" w:rsidRPr="009118AB">
        <w:t>Nr. </w:t>
      </w:r>
      <w:r w:rsidR="006B7F62" w:rsidRPr="009118AB">
        <w:t>4 und 6 erwähnte Steuern</w:t>
      </w:r>
      <w:r w:rsidR="00FF37FD" w:rsidRPr="009118AB">
        <w:rPr>
          <w:bCs/>
          <w:iCs/>
        </w:rPr>
        <w:t>,</w:t>
      </w:r>
      <w:r w:rsidRPr="009118AB">
        <w:rPr>
          <w:bCs/>
          <w:iCs/>
        </w:rPr>
        <w:t>]</w:t>
      </w:r>
    </w:p>
    <w:p w14:paraId="33B46387" w14:textId="77777777" w:rsidR="00FF37FD" w:rsidRPr="009118AB" w:rsidRDefault="00FF37FD" w:rsidP="00665549">
      <w:pPr>
        <w:autoSpaceDE w:val="0"/>
        <w:autoSpaceDN w:val="0"/>
        <w:adjustRightInd w:val="0"/>
        <w:ind w:firstLine="708"/>
        <w:jc w:val="both"/>
        <w:rPr>
          <w:bCs/>
          <w:iCs/>
        </w:rPr>
      </w:pPr>
    </w:p>
    <w:p w14:paraId="7DD03DB7" w14:textId="0CF50529" w:rsidR="00FF37FD" w:rsidRPr="009118AB" w:rsidRDefault="00FF37FD" w:rsidP="00665549">
      <w:pPr>
        <w:autoSpaceDE w:val="0"/>
        <w:autoSpaceDN w:val="0"/>
        <w:adjustRightInd w:val="0"/>
        <w:ind w:firstLine="708"/>
        <w:jc w:val="both"/>
        <w:rPr>
          <w:bCs/>
          <w:iCs/>
        </w:rPr>
      </w:pPr>
      <w:r w:rsidRPr="009118AB">
        <w:rPr>
          <w:bCs/>
          <w:iCs/>
        </w:rPr>
        <w:t>[</w:t>
      </w:r>
      <w:r w:rsidRPr="009118AB">
        <w:t>9. den nicht als Werbungskosten abzugsfähigen Teil der in Artikel 198 § 1 Nr. 6/1, 6/2 und 6/3 erwähnten Steuern.</w:t>
      </w:r>
      <w:r w:rsidRPr="009118AB">
        <w:rPr>
          <w:bCs/>
          <w:iCs/>
        </w:rPr>
        <w:t>]</w:t>
      </w:r>
    </w:p>
    <w:p w14:paraId="41ABD231" w14:textId="77777777" w:rsidR="006A2667" w:rsidRPr="009118AB" w:rsidRDefault="006A2667" w:rsidP="006A2667">
      <w:pPr>
        <w:autoSpaceDE w:val="0"/>
        <w:autoSpaceDN w:val="0"/>
        <w:adjustRightInd w:val="0"/>
        <w:jc w:val="both"/>
        <w:rPr>
          <w:bCs/>
          <w:iCs/>
        </w:rPr>
      </w:pPr>
    </w:p>
    <w:p w14:paraId="77AB6EAD" w14:textId="4562FEDF" w:rsidR="006A2667" w:rsidRPr="009118AB" w:rsidRDefault="006A2667" w:rsidP="00665549">
      <w:pPr>
        <w:autoSpaceDE w:val="0"/>
        <w:autoSpaceDN w:val="0"/>
        <w:adjustRightInd w:val="0"/>
        <w:ind w:firstLine="708"/>
        <w:jc w:val="both"/>
        <w:rPr>
          <w:bCs/>
          <w:iCs/>
        </w:rPr>
      </w:pPr>
      <w:r w:rsidRPr="009118AB">
        <w:rPr>
          <w:bCs/>
          <w:iCs/>
        </w:rPr>
        <w:t xml:space="preserve">[Die in Absatz 1 aufgezählten Verringerungen sind nicht auf die in Artikel 202 </w:t>
      </w:r>
      <w:r w:rsidR="00D67EB8" w:rsidRPr="009118AB">
        <w:rPr>
          <w:bCs/>
          <w:iCs/>
        </w:rPr>
        <w:t>§ </w:t>
      </w:r>
      <w:r w:rsidRPr="009118AB">
        <w:rPr>
          <w:bCs/>
          <w:iCs/>
        </w:rPr>
        <w:t xml:space="preserve">1 </w:t>
      </w:r>
      <w:r w:rsidR="00D67EB8" w:rsidRPr="009118AB">
        <w:rPr>
          <w:bCs/>
          <w:iCs/>
        </w:rPr>
        <w:t>Nr. </w:t>
      </w:r>
      <w:r w:rsidRPr="009118AB">
        <w:rPr>
          <w:bCs/>
          <w:iCs/>
        </w:rPr>
        <w:t xml:space="preserve">1 und 3 erwähnten Einkünfte anwendbar, [die von einer Gesellschaft gewährt oder zuerkannt werden, die in einem Mitgliedstaat des Europäischen Wirtschaftsraums ansässig ist, sofern die in Artikel 202 </w:t>
      </w:r>
      <w:r w:rsidR="00D67EB8" w:rsidRPr="009118AB">
        <w:rPr>
          <w:bCs/>
          <w:iCs/>
        </w:rPr>
        <w:t>§ </w:t>
      </w:r>
      <w:r w:rsidRPr="009118AB">
        <w:rPr>
          <w:bCs/>
          <w:iCs/>
        </w:rPr>
        <w:t xml:space="preserve">2 Absatz 1 </w:t>
      </w:r>
      <w:r w:rsidR="00D67EB8" w:rsidRPr="009118AB">
        <w:rPr>
          <w:bCs/>
          <w:iCs/>
        </w:rPr>
        <w:t>Nr. </w:t>
      </w:r>
      <w:r w:rsidRPr="009118AB">
        <w:rPr>
          <w:bCs/>
          <w:iCs/>
        </w:rPr>
        <w:t>1 und 2 erwähnten Bedingungen erfüllt sind].]</w:t>
      </w:r>
    </w:p>
    <w:p w14:paraId="06C1CAA1" w14:textId="77777777" w:rsidR="006A2667" w:rsidRPr="009118AB" w:rsidRDefault="006A2667" w:rsidP="006A2667">
      <w:pPr>
        <w:autoSpaceDE w:val="0"/>
        <w:autoSpaceDN w:val="0"/>
        <w:adjustRightInd w:val="0"/>
        <w:jc w:val="both"/>
        <w:rPr>
          <w:bCs/>
          <w:iCs/>
        </w:rPr>
      </w:pPr>
    </w:p>
    <w:p w14:paraId="538725A1" w14:textId="77777777" w:rsidR="006A2667" w:rsidRPr="009118AB" w:rsidRDefault="006A2667" w:rsidP="00665549">
      <w:pPr>
        <w:autoSpaceDE w:val="0"/>
        <w:autoSpaceDN w:val="0"/>
        <w:adjustRightInd w:val="0"/>
        <w:ind w:firstLine="708"/>
        <w:jc w:val="both"/>
        <w:rPr>
          <w:bCs/>
          <w:iCs/>
        </w:rPr>
      </w:pPr>
      <w:r w:rsidRPr="009118AB">
        <w:rPr>
          <w:bCs/>
          <w:iCs/>
        </w:rPr>
        <w:lastRenderedPageBreak/>
        <w:t>[...]</w:t>
      </w:r>
    </w:p>
    <w:p w14:paraId="02BB7299" w14:textId="77777777" w:rsidR="006A2667" w:rsidRPr="009118AB" w:rsidRDefault="006A2667" w:rsidP="006A2667">
      <w:pPr>
        <w:autoSpaceDE w:val="0"/>
        <w:autoSpaceDN w:val="0"/>
        <w:adjustRightInd w:val="0"/>
        <w:jc w:val="both"/>
        <w:rPr>
          <w:bCs/>
          <w:iCs/>
        </w:rPr>
      </w:pPr>
    </w:p>
    <w:p w14:paraId="6C281AA4" w14:textId="232F5C2C" w:rsidR="006A2667" w:rsidRPr="009118AB" w:rsidRDefault="006A2667" w:rsidP="00665549">
      <w:pPr>
        <w:autoSpaceDE w:val="0"/>
        <w:autoSpaceDN w:val="0"/>
        <w:adjustRightInd w:val="0"/>
        <w:ind w:firstLine="708"/>
        <w:jc w:val="both"/>
        <w:rPr>
          <w:bCs/>
          <w:iCs/>
        </w:rPr>
      </w:pPr>
      <w:r w:rsidRPr="009118AB">
        <w:rPr>
          <w:bCs/>
          <w:iCs/>
        </w:rPr>
        <w:t>[</w:t>
      </w:r>
      <w:r w:rsidR="00D67EB8" w:rsidRPr="009118AB">
        <w:rPr>
          <w:bCs/>
          <w:iCs/>
        </w:rPr>
        <w:t>§ </w:t>
      </w:r>
      <w:r w:rsidRPr="009118AB">
        <w:rPr>
          <w:bCs/>
          <w:iCs/>
        </w:rPr>
        <w:t>3</w:t>
      </w:r>
      <w:r w:rsidR="00D67EB8" w:rsidRPr="009118AB">
        <w:rPr>
          <w:bCs/>
          <w:iCs/>
        </w:rPr>
        <w:t> - </w:t>
      </w:r>
      <w:r w:rsidRPr="009118AB">
        <w:rPr>
          <w:bCs/>
          <w:iCs/>
        </w:rPr>
        <w:t xml:space="preserve">In Artikel 202 </w:t>
      </w:r>
      <w:r w:rsidR="00D67EB8" w:rsidRPr="009118AB">
        <w:rPr>
          <w:bCs/>
          <w:iCs/>
        </w:rPr>
        <w:t>§ </w:t>
      </w:r>
      <w:r w:rsidRPr="009118AB">
        <w:rPr>
          <w:bCs/>
          <w:iCs/>
        </w:rPr>
        <w:t xml:space="preserve">1 </w:t>
      </w:r>
      <w:r w:rsidR="00D67EB8" w:rsidRPr="009118AB">
        <w:rPr>
          <w:bCs/>
          <w:iCs/>
        </w:rPr>
        <w:t>Nr. </w:t>
      </w:r>
      <w:r w:rsidRPr="009118AB">
        <w:rPr>
          <w:bCs/>
          <w:iCs/>
        </w:rPr>
        <w:t xml:space="preserve">1 und 3 erwähnte [Einkünfte, die von einer in </w:t>
      </w:r>
      <w:r w:rsidR="00D67EB8" w:rsidRPr="009118AB">
        <w:rPr>
          <w:bCs/>
          <w:iCs/>
        </w:rPr>
        <w:t>§ </w:t>
      </w:r>
      <w:r w:rsidRPr="009118AB">
        <w:rPr>
          <w:bCs/>
          <w:iCs/>
        </w:rPr>
        <w:t xml:space="preserve">2 Absatz 2 erwähnten Gesellschaft gewährt oder zuerkannt werden und nicht abgezogen werden können, </w:t>
      </w:r>
      <w:r w:rsidR="00A24E36" w:rsidRPr="009118AB">
        <w:rPr>
          <w:bCs/>
          <w:iCs/>
        </w:rPr>
        <w:t>[</w:t>
      </w:r>
      <w:r w:rsidR="00A24E36" w:rsidRPr="009118AB">
        <w:t xml:space="preserve">einschließlich der Einkünfte, die </w:t>
      </w:r>
      <w:r w:rsidR="00281C7B" w:rsidRPr="009118AB">
        <w:t>[</w:t>
      </w:r>
      <w:r w:rsidR="00A24E36" w:rsidRPr="009118AB">
        <w:t xml:space="preserve">in Anwendung von </w:t>
      </w:r>
      <w:r w:rsidR="004C713D" w:rsidRPr="009118AB">
        <w:t>[Artikel 207 Absatz 9 und 10]</w:t>
      </w:r>
      <w:r w:rsidR="0015747F" w:rsidRPr="009118AB">
        <w:t>]</w:t>
      </w:r>
      <w:r w:rsidR="00A24E36" w:rsidRPr="009118AB">
        <w:t xml:space="preserve"> nicht abgezogen werden,</w:t>
      </w:r>
      <w:r w:rsidR="00A24E36" w:rsidRPr="009118AB">
        <w:rPr>
          <w:bCs/>
          <w:iCs/>
        </w:rPr>
        <w:t xml:space="preserve">] </w:t>
      </w:r>
      <w:r w:rsidRPr="009118AB">
        <w:rPr>
          <w:bCs/>
          <w:iCs/>
        </w:rPr>
        <w:t xml:space="preserve">dürfen] </w:t>
      </w:r>
      <w:r w:rsidR="00F10268" w:rsidRPr="009118AB">
        <w:rPr>
          <w:bCs/>
          <w:iCs/>
        </w:rPr>
        <w:t>[…]</w:t>
      </w:r>
      <w:r w:rsidRPr="009118AB">
        <w:rPr>
          <w:bCs/>
          <w:iCs/>
        </w:rPr>
        <w:t xml:space="preserve"> auf die folgenden Besteuerungszeiträume übertragen werden.]</w:t>
      </w:r>
    </w:p>
    <w:p w14:paraId="5992F539" w14:textId="77777777" w:rsidR="006A2667" w:rsidRPr="009118AB" w:rsidRDefault="006A2667" w:rsidP="006A2667">
      <w:pPr>
        <w:autoSpaceDE w:val="0"/>
        <w:autoSpaceDN w:val="0"/>
        <w:adjustRightInd w:val="0"/>
        <w:jc w:val="both"/>
        <w:rPr>
          <w:bCs/>
          <w:iCs/>
        </w:rPr>
      </w:pPr>
    </w:p>
    <w:p w14:paraId="75D66EFC" w14:textId="3127EA11" w:rsidR="006A2667" w:rsidRPr="009118AB" w:rsidRDefault="006A2667" w:rsidP="006A2667">
      <w:pPr>
        <w:autoSpaceDE w:val="0"/>
        <w:autoSpaceDN w:val="0"/>
        <w:adjustRightInd w:val="0"/>
        <w:jc w:val="both"/>
        <w:rPr>
          <w:bCs/>
          <w:iCs/>
        </w:rPr>
      </w:pPr>
      <w:r w:rsidRPr="009118AB">
        <w:rPr>
          <w:bCs/>
          <w:i/>
          <w:iCs/>
        </w:rPr>
        <w:t>[</w:t>
      </w:r>
      <w:r w:rsidR="00D67EB8" w:rsidRPr="009118AB">
        <w:rPr>
          <w:bCs/>
          <w:i/>
          <w:iCs/>
        </w:rPr>
        <w:t>Art. </w:t>
      </w:r>
      <w:r w:rsidRPr="009118AB">
        <w:rPr>
          <w:bCs/>
          <w:i/>
          <w:iCs/>
        </w:rPr>
        <w:t xml:space="preserve">205 </w:t>
      </w:r>
      <w:r w:rsidR="00D67EB8" w:rsidRPr="009118AB">
        <w:rPr>
          <w:bCs/>
          <w:i/>
          <w:iCs/>
        </w:rPr>
        <w:t>§ </w:t>
      </w:r>
      <w:r w:rsidRPr="009118AB">
        <w:rPr>
          <w:bCs/>
          <w:i/>
          <w:iCs/>
        </w:rPr>
        <w:t xml:space="preserve">2 ersetzt durch </w:t>
      </w:r>
      <w:r w:rsidR="00D67EB8" w:rsidRPr="009118AB">
        <w:rPr>
          <w:bCs/>
          <w:i/>
          <w:iCs/>
        </w:rPr>
        <w:t>Art. </w:t>
      </w:r>
      <w:r w:rsidRPr="009118AB">
        <w:rPr>
          <w:bCs/>
          <w:i/>
          <w:iCs/>
        </w:rPr>
        <w:t>28 des K.E. vom 20. Dezember 1996 (B.S. vom 31. Dezember 1996)</w:t>
      </w:r>
      <w:r w:rsidR="00D67EB8" w:rsidRPr="009118AB">
        <w:rPr>
          <w:bCs/>
          <w:i/>
          <w:iCs/>
        </w:rPr>
        <w:t> - </w:t>
      </w:r>
      <w:r w:rsidRPr="009118AB">
        <w:rPr>
          <w:bCs/>
          <w:i/>
          <w:iCs/>
        </w:rPr>
        <w:t>anwendbar auf Einkünfte, die ab dem 1. Januar 1997 zuerkannt oder ausgeschüttet werden</w:t>
      </w:r>
      <w:r w:rsidR="003366D9" w:rsidRPr="009118AB">
        <w:rPr>
          <w:bCs/>
          <w:i/>
          <w:iCs/>
        </w:rPr>
        <w:t> -;</w:t>
      </w:r>
      <w:r w:rsidRPr="009118AB">
        <w:rPr>
          <w:bCs/>
          <w:i/>
          <w:iCs/>
        </w:rPr>
        <w:t xml:space="preserve"> </w:t>
      </w:r>
      <w:r w:rsidR="00D67EB8" w:rsidRPr="009118AB">
        <w:rPr>
          <w:bCs/>
          <w:i/>
          <w:iCs/>
        </w:rPr>
        <w:t>§ </w:t>
      </w:r>
      <w:r w:rsidRPr="009118AB">
        <w:rPr>
          <w:bCs/>
          <w:i/>
          <w:iCs/>
        </w:rPr>
        <w:t xml:space="preserve">2 </w:t>
      </w:r>
      <w:r w:rsidR="00D67EB8" w:rsidRPr="009118AB">
        <w:rPr>
          <w:bCs/>
          <w:i/>
          <w:iCs/>
        </w:rPr>
        <w:t>Abs. </w:t>
      </w:r>
      <w:r w:rsidRPr="009118AB">
        <w:rPr>
          <w:bCs/>
          <w:i/>
          <w:iCs/>
        </w:rPr>
        <w:t xml:space="preserve">1 </w:t>
      </w:r>
      <w:r w:rsidR="00D67EB8" w:rsidRPr="009118AB">
        <w:rPr>
          <w:bCs/>
          <w:i/>
          <w:iCs/>
        </w:rPr>
        <w:t>Nr. </w:t>
      </w:r>
      <w:r w:rsidRPr="009118AB">
        <w:rPr>
          <w:bCs/>
          <w:i/>
          <w:iCs/>
        </w:rPr>
        <w:t xml:space="preserve">2 ersetzt durch </w:t>
      </w:r>
      <w:r w:rsidR="00D67EB8" w:rsidRPr="009118AB">
        <w:rPr>
          <w:bCs/>
          <w:i/>
          <w:iCs/>
        </w:rPr>
        <w:t>Art. </w:t>
      </w:r>
      <w:r w:rsidRPr="009118AB">
        <w:rPr>
          <w:bCs/>
          <w:i/>
          <w:iCs/>
        </w:rPr>
        <w:t xml:space="preserve">88 </w:t>
      </w:r>
      <w:r w:rsidR="00D67EB8" w:rsidRPr="009118AB">
        <w:rPr>
          <w:bCs/>
          <w:i/>
          <w:iCs/>
        </w:rPr>
        <w:t>Nr. </w:t>
      </w:r>
      <w:r w:rsidRPr="009118AB">
        <w:rPr>
          <w:bCs/>
          <w:i/>
          <w:iCs/>
        </w:rPr>
        <w:t>1 des G. vom 28. April 2003 (B.S. vom 15. Mai 2003)</w:t>
      </w:r>
      <w:r w:rsidR="00D67EB8" w:rsidRPr="009118AB">
        <w:rPr>
          <w:bCs/>
          <w:i/>
          <w:iCs/>
        </w:rPr>
        <w:t> - </w:t>
      </w:r>
      <w:r w:rsidRPr="009118AB">
        <w:rPr>
          <w:bCs/>
          <w:i/>
          <w:iCs/>
        </w:rPr>
        <w:t xml:space="preserve">anwendbar auf Beiträge und Prämien, die in Ausführung der ab dem 1. Januar 2004 abgeschlossenen individuellen Vereinbarungen gezahlt werden, in dem Maße, wie die durch diesen Artikel abgeänderte Bestimmung auf </w:t>
      </w:r>
      <w:r w:rsidR="00D67EB8" w:rsidRPr="009118AB">
        <w:rPr>
          <w:bCs/>
          <w:i/>
          <w:iCs/>
        </w:rPr>
        <w:t>Art. </w:t>
      </w:r>
      <w:r w:rsidRPr="009118AB">
        <w:rPr>
          <w:bCs/>
          <w:i/>
          <w:iCs/>
        </w:rPr>
        <w:t xml:space="preserve">53 </w:t>
      </w:r>
      <w:r w:rsidR="00D67EB8" w:rsidRPr="009118AB">
        <w:rPr>
          <w:bCs/>
          <w:i/>
          <w:iCs/>
        </w:rPr>
        <w:t>Nr. </w:t>
      </w:r>
      <w:r w:rsidRPr="009118AB">
        <w:rPr>
          <w:bCs/>
          <w:i/>
          <w:iCs/>
        </w:rPr>
        <w:t xml:space="preserve">21 und 22 des vorliegenden Gesetzbuches verweist, auf andere als hier oben erwähnte Beiträge und Prämien, die ab dem 1. Januar 2004 gezahlt werden und auf Leibrenten, Renten, Entschädigungen, andere als in </w:t>
      </w:r>
      <w:r w:rsidR="00D67EB8" w:rsidRPr="009118AB">
        <w:rPr>
          <w:bCs/>
          <w:i/>
          <w:iCs/>
        </w:rPr>
        <w:t>Art. </w:t>
      </w:r>
      <w:r w:rsidRPr="009118AB">
        <w:rPr>
          <w:bCs/>
          <w:i/>
          <w:iCs/>
        </w:rPr>
        <w:t xml:space="preserve">23 </w:t>
      </w:r>
      <w:r w:rsidR="00D67EB8" w:rsidRPr="009118AB">
        <w:rPr>
          <w:bCs/>
          <w:i/>
          <w:iCs/>
        </w:rPr>
        <w:t>§ </w:t>
      </w:r>
      <w:r w:rsidRPr="009118AB">
        <w:rPr>
          <w:bCs/>
          <w:i/>
          <w:iCs/>
        </w:rPr>
        <w:t>3 Buchstabe</w:t>
      </w:r>
      <w:r w:rsidR="004C713D" w:rsidRPr="009118AB">
        <w:rPr>
          <w:bCs/>
          <w:i/>
          <w:iCs/>
        </w:rPr>
        <w:t> </w:t>
      </w:r>
      <w:r w:rsidRPr="009118AB">
        <w:rPr>
          <w:bCs/>
          <w:i/>
          <w:iCs/>
        </w:rPr>
        <w:t xml:space="preserve">A </w:t>
      </w:r>
      <w:r w:rsidR="00D67EB8" w:rsidRPr="009118AB">
        <w:rPr>
          <w:bCs/>
          <w:i/>
          <w:iCs/>
        </w:rPr>
        <w:t>Nr. </w:t>
      </w:r>
      <w:r w:rsidRPr="009118AB">
        <w:rPr>
          <w:bCs/>
          <w:i/>
          <w:iCs/>
        </w:rPr>
        <w:t xml:space="preserve">6 erwähnte Kapitalien, Rückkaufswerte von </w:t>
      </w:r>
      <w:r w:rsidRPr="009118AB">
        <w:rPr>
          <w:rFonts w:ascii="Times New Roman Italique" w:hAnsi="Times New Roman Italique"/>
          <w:bCs/>
          <w:i/>
          <w:iCs/>
          <w:spacing w:val="-2"/>
        </w:rPr>
        <w:t xml:space="preserve">Lebensversicherungsverträgen, Pensionen und ergänzende Pensionen, die ab dem 1. Januar 2004 ausgezahlt werden, in dem Maße, wie die durch diesen Artikel abgeänderte Bestimmung auf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 xml:space="preserve">53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23 des vorliegenden Gesetzbuches verweist</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 xml:space="preserve">und abgeändert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10 des G. vom 11. Mai 2007 (B.S. vom 8. Juni 2007)</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in Kraft ab dem 8. Juni 2007</w:t>
      </w:r>
      <w:r w:rsidR="003366D9" w:rsidRPr="009118AB">
        <w:rPr>
          <w:rFonts w:ascii="Times New Roman Italique" w:hAnsi="Times New Roman Italique"/>
          <w:bCs/>
          <w:i/>
          <w:iCs/>
          <w:spacing w:val="-2"/>
        </w:rPr>
        <w:t> -;</w:t>
      </w:r>
      <w:r w:rsidRPr="009118AB">
        <w:rPr>
          <w:bCs/>
          <w:i/>
          <w:iCs/>
        </w:rPr>
        <w:t xml:space="preserve"> </w:t>
      </w:r>
      <w:r w:rsidR="00D67EB8" w:rsidRPr="009118AB">
        <w:rPr>
          <w:bCs/>
          <w:i/>
          <w:iCs/>
        </w:rPr>
        <w:t>§ </w:t>
      </w:r>
      <w:r w:rsidRPr="009118AB">
        <w:rPr>
          <w:bCs/>
          <w:i/>
          <w:iCs/>
        </w:rPr>
        <w:t xml:space="preserve">2 </w:t>
      </w:r>
      <w:r w:rsidR="00D67EB8" w:rsidRPr="009118AB">
        <w:rPr>
          <w:bCs/>
          <w:i/>
          <w:iCs/>
        </w:rPr>
        <w:t>Abs. </w:t>
      </w:r>
      <w:r w:rsidRPr="009118AB">
        <w:rPr>
          <w:bCs/>
          <w:i/>
          <w:iCs/>
        </w:rPr>
        <w:t xml:space="preserve">1 </w:t>
      </w:r>
      <w:r w:rsidR="00D67EB8" w:rsidRPr="009118AB">
        <w:rPr>
          <w:bCs/>
          <w:i/>
          <w:iCs/>
        </w:rPr>
        <w:t>Nr. </w:t>
      </w:r>
      <w:r w:rsidRPr="009118AB">
        <w:rPr>
          <w:bCs/>
          <w:i/>
          <w:iCs/>
        </w:rPr>
        <w:t xml:space="preserve">5 ersetzt durch </w:t>
      </w:r>
      <w:r w:rsidR="00D67EB8" w:rsidRPr="009118AB">
        <w:rPr>
          <w:bCs/>
          <w:i/>
          <w:iCs/>
        </w:rPr>
        <w:t>Art. </w:t>
      </w:r>
      <w:r w:rsidRPr="009118AB">
        <w:rPr>
          <w:bCs/>
          <w:i/>
          <w:iCs/>
        </w:rPr>
        <w:t xml:space="preserve">88 </w:t>
      </w:r>
      <w:r w:rsidR="00D67EB8" w:rsidRPr="009118AB">
        <w:rPr>
          <w:bCs/>
          <w:i/>
          <w:iCs/>
        </w:rPr>
        <w:t>Nr. </w:t>
      </w:r>
      <w:r w:rsidRPr="009118AB">
        <w:rPr>
          <w:bCs/>
          <w:i/>
          <w:iCs/>
        </w:rPr>
        <w:t>2 des G. vom 28. April 2003 (B.S. vom 15. Mai 2003)</w:t>
      </w:r>
      <w:r w:rsidR="00D67EB8" w:rsidRPr="009118AB">
        <w:rPr>
          <w:bCs/>
          <w:i/>
          <w:iCs/>
        </w:rPr>
        <w:t> - </w:t>
      </w:r>
      <w:r w:rsidRPr="009118AB">
        <w:rPr>
          <w:bCs/>
          <w:i/>
          <w:iCs/>
        </w:rPr>
        <w:t>anwendbar auf Beiträge und Prämien, die ab dem 1. Januar 2004 gezahlt werden, aber andere als diejenigen, die in Ausführung der ab dem 1. Januar 2004 abgeschlossenen individuellen Vereinbarungen gezahlt werden</w:t>
      </w:r>
      <w:r w:rsidR="003366D9" w:rsidRPr="009118AB">
        <w:rPr>
          <w:bCs/>
          <w:i/>
          <w:iCs/>
        </w:rPr>
        <w:t> -;</w:t>
      </w:r>
      <w:r w:rsidRPr="009118AB">
        <w:rPr>
          <w:bCs/>
          <w:i/>
          <w:iCs/>
        </w:rPr>
        <w:t xml:space="preserve"> </w:t>
      </w:r>
      <w:r w:rsidR="00D67EB8" w:rsidRPr="009118AB">
        <w:rPr>
          <w:bCs/>
          <w:i/>
          <w:iCs/>
        </w:rPr>
        <w:t>§ </w:t>
      </w:r>
      <w:r w:rsidRPr="009118AB">
        <w:rPr>
          <w:bCs/>
          <w:i/>
          <w:iCs/>
        </w:rPr>
        <w:t xml:space="preserve">2 </w:t>
      </w:r>
      <w:r w:rsidR="00D67EB8" w:rsidRPr="009118AB">
        <w:rPr>
          <w:bCs/>
          <w:i/>
          <w:iCs/>
        </w:rPr>
        <w:t>Abs. </w:t>
      </w:r>
      <w:r w:rsidRPr="009118AB">
        <w:rPr>
          <w:bCs/>
          <w:i/>
          <w:iCs/>
        </w:rPr>
        <w:t xml:space="preserve">1 </w:t>
      </w:r>
      <w:r w:rsidR="00D67EB8" w:rsidRPr="009118AB">
        <w:rPr>
          <w:bCs/>
          <w:i/>
          <w:iCs/>
        </w:rPr>
        <w:t>Nr. </w:t>
      </w:r>
      <w:r w:rsidRPr="009118AB">
        <w:rPr>
          <w:bCs/>
          <w:i/>
          <w:iCs/>
        </w:rPr>
        <w:t xml:space="preserve">6 abgeändert durch </w:t>
      </w:r>
      <w:r w:rsidR="00D67EB8" w:rsidRPr="009118AB">
        <w:rPr>
          <w:bCs/>
          <w:i/>
          <w:iCs/>
        </w:rPr>
        <w:t>Art. </w:t>
      </w:r>
      <w:r w:rsidRPr="009118AB">
        <w:rPr>
          <w:bCs/>
          <w:i/>
          <w:iCs/>
        </w:rPr>
        <w:t>144 d</w:t>
      </w:r>
      <w:r w:rsidR="00724D24" w:rsidRPr="009118AB">
        <w:rPr>
          <w:bCs/>
          <w:i/>
          <w:iCs/>
        </w:rPr>
        <w:t>es G. (I) vom 22. Dezember 2008 </w:t>
      </w:r>
      <w:r w:rsidRPr="009118AB">
        <w:rPr>
          <w:bCs/>
          <w:i/>
          <w:iCs/>
        </w:rPr>
        <w:t>(II)</w:t>
      </w:r>
      <w:r w:rsidR="00D27B17" w:rsidRPr="009118AB">
        <w:rPr>
          <w:bCs/>
          <w:i/>
          <w:iCs/>
        </w:rPr>
        <w:t xml:space="preserve"> (B.S. vom 29. Dezember 2008)</w:t>
      </w:r>
      <w:r w:rsidR="00D67EB8" w:rsidRPr="009118AB">
        <w:rPr>
          <w:bCs/>
          <w:i/>
          <w:iCs/>
        </w:rPr>
        <w:t> - </w:t>
      </w:r>
      <w:r w:rsidRPr="009118AB">
        <w:rPr>
          <w:bCs/>
          <w:i/>
          <w:iCs/>
        </w:rPr>
        <w:t>anwendbar ab dem Steuerjahr 2009</w:t>
      </w:r>
      <w:r w:rsidR="00D67EB8" w:rsidRPr="009118AB">
        <w:rPr>
          <w:bCs/>
          <w:i/>
          <w:iCs/>
        </w:rPr>
        <w:t> - </w:t>
      </w:r>
      <w:r w:rsidRPr="009118AB">
        <w:rPr>
          <w:bCs/>
          <w:i/>
          <w:iCs/>
        </w:rPr>
        <w:t xml:space="preserve">und </w:t>
      </w:r>
      <w:r w:rsidR="00D67EB8" w:rsidRPr="009118AB">
        <w:rPr>
          <w:bCs/>
          <w:i/>
          <w:iCs/>
        </w:rPr>
        <w:t>Art. </w:t>
      </w:r>
      <w:r w:rsidRPr="009118AB">
        <w:rPr>
          <w:bCs/>
          <w:i/>
          <w:iCs/>
        </w:rPr>
        <w:t>131 des G. vom 23. Dezember 2009 (B.S. vom 30. Dezember 2009)</w:t>
      </w:r>
      <w:r w:rsidR="00D67EB8" w:rsidRPr="009118AB">
        <w:rPr>
          <w:bCs/>
          <w:i/>
          <w:iCs/>
        </w:rPr>
        <w:t> - </w:t>
      </w:r>
      <w:r w:rsidRPr="009118AB">
        <w:rPr>
          <w:bCs/>
          <w:i/>
          <w:iCs/>
        </w:rPr>
        <w:t>anwendbar auf die ab dem 1. Januar 2010 gemachten oder getragenen Kosten</w:t>
      </w:r>
      <w:r w:rsidR="003366D9" w:rsidRPr="009118AB">
        <w:rPr>
          <w:bCs/>
          <w:i/>
          <w:iCs/>
        </w:rPr>
        <w:t> -;</w:t>
      </w:r>
      <w:r w:rsidRPr="009118AB">
        <w:rPr>
          <w:bCs/>
          <w:i/>
          <w:iCs/>
        </w:rPr>
        <w:t xml:space="preserve"> </w:t>
      </w:r>
      <w:r w:rsidR="00D67EB8" w:rsidRPr="009118AB">
        <w:rPr>
          <w:bCs/>
          <w:i/>
          <w:iCs/>
        </w:rPr>
        <w:t>§ </w:t>
      </w:r>
      <w:r w:rsidRPr="009118AB">
        <w:rPr>
          <w:bCs/>
          <w:i/>
          <w:iCs/>
        </w:rPr>
        <w:t xml:space="preserve">2 </w:t>
      </w:r>
      <w:r w:rsidR="00D67EB8" w:rsidRPr="009118AB">
        <w:rPr>
          <w:bCs/>
          <w:i/>
          <w:iCs/>
        </w:rPr>
        <w:t>Abs. </w:t>
      </w:r>
      <w:r w:rsidRPr="009118AB">
        <w:rPr>
          <w:bCs/>
          <w:i/>
          <w:iCs/>
        </w:rPr>
        <w:t xml:space="preserve">1 </w:t>
      </w:r>
      <w:r w:rsidR="00D67EB8" w:rsidRPr="009118AB">
        <w:rPr>
          <w:bCs/>
          <w:i/>
          <w:iCs/>
        </w:rPr>
        <w:t>Nr. </w:t>
      </w:r>
      <w:r w:rsidRPr="009118AB">
        <w:rPr>
          <w:bCs/>
          <w:i/>
          <w:iCs/>
        </w:rPr>
        <w:t xml:space="preserve">8 </w:t>
      </w:r>
      <w:r w:rsidR="00B85FB6" w:rsidRPr="009118AB">
        <w:rPr>
          <w:bCs/>
          <w:i/>
          <w:iCs/>
        </w:rPr>
        <w:t xml:space="preserve">ersetzt durch </w:t>
      </w:r>
      <w:r w:rsidR="00D67EB8" w:rsidRPr="009118AB">
        <w:rPr>
          <w:bCs/>
          <w:i/>
          <w:iCs/>
        </w:rPr>
        <w:t>Art. </w:t>
      </w:r>
      <w:r w:rsidR="00B85FB6" w:rsidRPr="009118AB">
        <w:rPr>
          <w:bCs/>
          <w:i/>
          <w:iCs/>
        </w:rPr>
        <w:t>41</w:t>
      </w:r>
      <w:r w:rsidR="00B85FB6"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B85FB6" w:rsidRPr="009118AB">
        <w:rPr>
          <w:rFonts w:ascii="Times New Roman Italique" w:hAnsi="Times New Roman Italique"/>
          <w:i/>
        </w:rPr>
        <w:t>in Kraft am 1. April 2022</w:t>
      </w:r>
      <w:r w:rsidR="003366D9" w:rsidRPr="009118AB">
        <w:rPr>
          <w:rFonts w:ascii="Times New Roman Italique" w:hAnsi="Times New Roman Italique"/>
          <w:i/>
        </w:rPr>
        <w:t> -;</w:t>
      </w:r>
      <w:r w:rsidRPr="009118AB">
        <w:rPr>
          <w:rFonts w:ascii="Times New Roman Italique" w:hAnsi="Times New Roman Italique"/>
          <w:i/>
          <w:iCs/>
          <w:spacing w:val="-2"/>
        </w:rPr>
        <w:t xml:space="preserve"> </w:t>
      </w:r>
      <w:r w:rsidR="00FF37FD" w:rsidRPr="009118AB">
        <w:rPr>
          <w:rFonts w:ascii="Times New Roman Italique" w:hAnsi="Times New Roman Italique"/>
          <w:i/>
          <w:iCs/>
          <w:spacing w:val="-2"/>
        </w:rPr>
        <w:t>§</w:t>
      </w:r>
      <w:r w:rsidR="00FF37FD" w:rsidRPr="009118AB">
        <w:rPr>
          <w:rFonts w:ascii="Times New Roman Italique" w:hAnsi="Times New Roman Italique" w:hint="eastAsia"/>
          <w:i/>
          <w:iCs/>
          <w:spacing w:val="-2"/>
        </w:rPr>
        <w:t> </w:t>
      </w:r>
      <w:r w:rsidR="00FF37FD" w:rsidRPr="009118AB">
        <w:rPr>
          <w:rFonts w:ascii="Times New Roman Italique" w:hAnsi="Times New Roman Italique"/>
          <w:i/>
          <w:iCs/>
          <w:spacing w:val="-2"/>
        </w:rPr>
        <w:t>2 Abs.</w:t>
      </w:r>
      <w:r w:rsidR="00FF37FD" w:rsidRPr="009118AB">
        <w:rPr>
          <w:rFonts w:ascii="Times New Roman Italique" w:hAnsi="Times New Roman Italique" w:hint="eastAsia"/>
          <w:i/>
          <w:iCs/>
          <w:spacing w:val="-2"/>
        </w:rPr>
        <w:t> </w:t>
      </w:r>
      <w:r w:rsidR="00FF37FD" w:rsidRPr="009118AB">
        <w:rPr>
          <w:rFonts w:ascii="Times New Roman Italique" w:hAnsi="Times New Roman Italique"/>
          <w:i/>
          <w:iCs/>
          <w:spacing w:val="-2"/>
        </w:rPr>
        <w:t>1 Nr.</w:t>
      </w:r>
      <w:r w:rsidR="00FF37FD" w:rsidRPr="009118AB">
        <w:rPr>
          <w:rFonts w:ascii="Times New Roman Italique" w:hAnsi="Times New Roman Italique" w:hint="eastAsia"/>
          <w:i/>
          <w:iCs/>
          <w:spacing w:val="-2"/>
        </w:rPr>
        <w:t> </w:t>
      </w:r>
      <w:r w:rsidR="00FF37FD" w:rsidRPr="009118AB">
        <w:rPr>
          <w:rFonts w:ascii="Times New Roman Italique" w:hAnsi="Times New Roman Italique"/>
          <w:i/>
          <w:iCs/>
          <w:spacing w:val="-2"/>
        </w:rPr>
        <w:t>9 eingefügt durch Art. 115</w:t>
      </w:r>
      <w:r w:rsidR="00FF37FD" w:rsidRPr="009118AB">
        <w:rPr>
          <w:rFonts w:ascii="Times New Roman Italique" w:hAnsi="Times New Roman Italique"/>
          <w:bCs/>
          <w:i/>
          <w:iCs/>
          <w:spacing w:val="-2"/>
        </w:rPr>
        <w:t xml:space="preserve"> des G. vom 26. Dezember 2022</w:t>
      </w:r>
      <w:r w:rsidR="00236038" w:rsidRPr="009118AB">
        <w:rPr>
          <w:rFonts w:ascii="Times New Roman Italique" w:hAnsi="Times New Roman Italique"/>
          <w:bCs/>
          <w:i/>
          <w:iCs/>
          <w:spacing w:val="-2"/>
        </w:rPr>
        <w:t> (I)</w:t>
      </w:r>
      <w:r w:rsidR="00FF37FD" w:rsidRPr="009118AB">
        <w:rPr>
          <w:rFonts w:ascii="Times New Roman Italique" w:hAnsi="Times New Roman Italique"/>
          <w:bCs/>
          <w:i/>
          <w:iCs/>
          <w:spacing w:val="-2"/>
        </w:rPr>
        <w:t xml:space="preserve"> (B.S. vom 30. Dezember 2022); </w:t>
      </w:r>
      <w:r w:rsidR="00D67EB8" w:rsidRPr="009118AB">
        <w:rPr>
          <w:rFonts w:ascii="Times New Roman Italique" w:hAnsi="Times New Roman Italique"/>
          <w:bCs/>
          <w:i/>
          <w:iCs/>
          <w:spacing w:val="-2"/>
        </w:rPr>
        <w:t>§ </w:t>
      </w:r>
      <w:r w:rsidRPr="009118AB">
        <w:rPr>
          <w:rFonts w:ascii="Times New Roman Italique" w:hAnsi="Times New Roman Italique"/>
          <w:bCs/>
          <w:i/>
          <w:iCs/>
          <w:spacing w:val="-2"/>
        </w:rPr>
        <w:t xml:space="preserve">2 </w:t>
      </w:r>
      <w:r w:rsidR="00D67EB8" w:rsidRPr="009118AB">
        <w:rPr>
          <w:rFonts w:ascii="Times New Roman Italique" w:hAnsi="Times New Roman Italique"/>
          <w:bCs/>
          <w:i/>
          <w:iCs/>
          <w:spacing w:val="-2"/>
        </w:rPr>
        <w:t>Abs. </w:t>
      </w:r>
      <w:r w:rsidRPr="009118AB">
        <w:rPr>
          <w:rFonts w:ascii="Times New Roman Italique" w:hAnsi="Times New Roman Italique"/>
          <w:bCs/>
          <w:i/>
          <w:iCs/>
          <w:spacing w:val="-2"/>
        </w:rPr>
        <w:t xml:space="preserve">2 eingefügt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2 des G. vom 2. Mai 2005 (B.S. vom 31. Mai 2005)</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in Kraft ab</w:t>
      </w:r>
      <w:r w:rsidRPr="009118AB">
        <w:rPr>
          <w:bCs/>
          <w:i/>
          <w:iCs/>
        </w:rPr>
        <w:t xml:space="preserve"> dem Steuerjahr 2005</w:t>
      </w:r>
      <w:r w:rsidR="00D67EB8" w:rsidRPr="009118AB">
        <w:rPr>
          <w:bCs/>
          <w:i/>
          <w:iCs/>
        </w:rPr>
        <w:t> - </w:t>
      </w:r>
      <w:r w:rsidRPr="009118AB">
        <w:rPr>
          <w:bCs/>
          <w:i/>
          <w:iCs/>
        </w:rPr>
        <w:t xml:space="preserve">und abgeändert durch </w:t>
      </w:r>
      <w:r w:rsidR="00D67EB8" w:rsidRPr="009118AB">
        <w:rPr>
          <w:bCs/>
          <w:i/>
          <w:iCs/>
        </w:rPr>
        <w:t>Art. </w:t>
      </w:r>
      <w:r w:rsidRPr="009118AB">
        <w:rPr>
          <w:bCs/>
          <w:i/>
          <w:iCs/>
        </w:rPr>
        <w:t xml:space="preserve">45 </w:t>
      </w:r>
      <w:r w:rsidR="00D67EB8" w:rsidRPr="009118AB">
        <w:rPr>
          <w:bCs/>
          <w:i/>
          <w:iCs/>
        </w:rPr>
        <w:t>Nr. </w:t>
      </w:r>
      <w:r w:rsidRPr="009118AB">
        <w:rPr>
          <w:bCs/>
          <w:i/>
          <w:iCs/>
        </w:rPr>
        <w:t>1 des G. vom 14. April 2011 (B.S. vom 6. Mai 2011)</w:t>
      </w:r>
      <w:r w:rsidR="00D67EB8" w:rsidRPr="009118AB">
        <w:rPr>
          <w:bCs/>
          <w:i/>
          <w:iCs/>
        </w:rPr>
        <w:t> - </w:t>
      </w:r>
      <w:r w:rsidRPr="009118AB">
        <w:rPr>
          <w:bCs/>
          <w:i/>
          <w:iCs/>
        </w:rPr>
        <w:t>wirksam mit 1. Januar 2011</w:t>
      </w:r>
      <w:r w:rsidR="003366D9" w:rsidRPr="009118AB">
        <w:rPr>
          <w:bCs/>
          <w:i/>
          <w:iCs/>
        </w:rPr>
        <w:t> -;</w:t>
      </w:r>
      <w:r w:rsidRPr="009118AB">
        <w:rPr>
          <w:bCs/>
          <w:i/>
          <w:iCs/>
        </w:rPr>
        <w:t xml:space="preserve"> </w:t>
      </w:r>
      <w:r w:rsidR="00D67EB8" w:rsidRPr="009118AB">
        <w:rPr>
          <w:bCs/>
          <w:i/>
          <w:iCs/>
        </w:rPr>
        <w:t>§ </w:t>
      </w:r>
      <w:r w:rsidRPr="009118AB">
        <w:rPr>
          <w:bCs/>
          <w:i/>
          <w:iCs/>
        </w:rPr>
        <w:t xml:space="preserve">2 </w:t>
      </w:r>
      <w:r w:rsidR="00D67EB8" w:rsidRPr="009118AB">
        <w:rPr>
          <w:bCs/>
          <w:i/>
          <w:iCs/>
        </w:rPr>
        <w:t>Abs. </w:t>
      </w:r>
      <w:r w:rsidRPr="009118AB">
        <w:rPr>
          <w:bCs/>
          <w:i/>
          <w:iCs/>
        </w:rPr>
        <w:t xml:space="preserve">3 eingefügt durch </w:t>
      </w:r>
      <w:r w:rsidR="00D67EB8" w:rsidRPr="009118AB">
        <w:rPr>
          <w:bCs/>
          <w:i/>
          <w:iCs/>
        </w:rPr>
        <w:t>Art. </w:t>
      </w:r>
      <w:r w:rsidRPr="009118AB">
        <w:rPr>
          <w:bCs/>
          <w:i/>
          <w:iCs/>
        </w:rPr>
        <w:t>2 des G. vom 2. Mai 2005 (B.S. vom 31. Mai 2005)</w:t>
      </w:r>
      <w:r w:rsidR="00D67EB8" w:rsidRPr="009118AB">
        <w:rPr>
          <w:bCs/>
          <w:i/>
          <w:iCs/>
        </w:rPr>
        <w:t> - </w:t>
      </w:r>
      <w:r w:rsidRPr="009118AB">
        <w:rPr>
          <w:bCs/>
          <w:i/>
          <w:iCs/>
        </w:rPr>
        <w:t>in Kraft ab dem Steuerjahr 2005</w:t>
      </w:r>
      <w:r w:rsidR="00D67EB8" w:rsidRPr="009118AB">
        <w:rPr>
          <w:bCs/>
          <w:i/>
          <w:iCs/>
        </w:rPr>
        <w:t> - </w:t>
      </w:r>
      <w:r w:rsidRPr="009118AB">
        <w:rPr>
          <w:bCs/>
          <w:i/>
          <w:iCs/>
        </w:rPr>
        <w:t xml:space="preserve">und aufgehoben durch </w:t>
      </w:r>
      <w:r w:rsidR="00D67EB8" w:rsidRPr="009118AB">
        <w:rPr>
          <w:bCs/>
          <w:i/>
          <w:iCs/>
        </w:rPr>
        <w:t>Art. </w:t>
      </w:r>
      <w:r w:rsidRPr="009118AB">
        <w:rPr>
          <w:bCs/>
          <w:i/>
          <w:iCs/>
        </w:rPr>
        <w:t xml:space="preserve">45 </w:t>
      </w:r>
      <w:r w:rsidR="00D67EB8" w:rsidRPr="009118AB">
        <w:rPr>
          <w:bCs/>
          <w:i/>
          <w:iCs/>
        </w:rPr>
        <w:t>Nr. </w:t>
      </w:r>
      <w:r w:rsidRPr="009118AB">
        <w:rPr>
          <w:bCs/>
          <w:i/>
          <w:iCs/>
        </w:rPr>
        <w:t>2 des G. vom 14. April 2011 (B.S. vom 6. Mai 2011)</w:t>
      </w:r>
      <w:r w:rsidR="00D67EB8" w:rsidRPr="009118AB">
        <w:rPr>
          <w:bCs/>
          <w:i/>
          <w:iCs/>
        </w:rPr>
        <w:t> - </w:t>
      </w:r>
      <w:r w:rsidRPr="009118AB">
        <w:rPr>
          <w:bCs/>
          <w:i/>
          <w:iCs/>
        </w:rPr>
        <w:t>wirksam mit 1. Januar 2011</w:t>
      </w:r>
      <w:r w:rsidR="003366D9" w:rsidRPr="009118AB">
        <w:rPr>
          <w:bCs/>
          <w:i/>
          <w:iCs/>
        </w:rPr>
        <w:t> -;</w:t>
      </w:r>
      <w:r w:rsidRPr="009118AB">
        <w:rPr>
          <w:bCs/>
          <w:i/>
          <w:iCs/>
        </w:rPr>
        <w:t xml:space="preserve"> </w:t>
      </w:r>
      <w:r w:rsidR="00D67EB8" w:rsidRPr="009118AB">
        <w:rPr>
          <w:bCs/>
          <w:i/>
          <w:iCs/>
        </w:rPr>
        <w:t>§ </w:t>
      </w:r>
      <w:r w:rsidRPr="009118AB">
        <w:rPr>
          <w:bCs/>
          <w:i/>
          <w:iCs/>
        </w:rPr>
        <w:t xml:space="preserve">3 eingefügt durch </w:t>
      </w:r>
      <w:r w:rsidR="00D67EB8" w:rsidRPr="009118AB">
        <w:rPr>
          <w:bCs/>
          <w:i/>
          <w:iCs/>
        </w:rPr>
        <w:t>Art. </w:t>
      </w:r>
      <w:r w:rsidRPr="009118AB">
        <w:rPr>
          <w:bCs/>
          <w:i/>
          <w:iCs/>
        </w:rPr>
        <w:t>8 des G. vom 21. Dezember 2009 (B.S. vom 31. Dezember 2009)</w:t>
      </w:r>
      <w:r w:rsidR="00D67EB8" w:rsidRPr="009118AB">
        <w:rPr>
          <w:bCs/>
          <w:i/>
          <w:iCs/>
        </w:rPr>
        <w:t> - </w:t>
      </w:r>
      <w:r w:rsidRPr="009118AB">
        <w:rPr>
          <w:bCs/>
          <w:i/>
          <w:iCs/>
        </w:rPr>
        <w:t>in Kraft am 1. Januar 2010</w:t>
      </w:r>
      <w:r w:rsidR="00D67EB8" w:rsidRPr="009118AB">
        <w:rPr>
          <w:bCs/>
          <w:i/>
          <w:iCs/>
        </w:rPr>
        <w:t> - </w:t>
      </w:r>
      <w:r w:rsidRPr="009118AB">
        <w:rPr>
          <w:bCs/>
          <w:i/>
          <w:iCs/>
        </w:rPr>
        <w:t xml:space="preserve">und abgeändert durch </w:t>
      </w:r>
      <w:r w:rsidR="00D67EB8" w:rsidRPr="009118AB">
        <w:rPr>
          <w:bCs/>
          <w:i/>
          <w:iCs/>
        </w:rPr>
        <w:t>Art. </w:t>
      </w:r>
      <w:r w:rsidRPr="009118AB">
        <w:rPr>
          <w:bCs/>
          <w:i/>
          <w:iCs/>
        </w:rPr>
        <w:t xml:space="preserve">45 </w:t>
      </w:r>
      <w:r w:rsidR="00D67EB8" w:rsidRPr="009118AB">
        <w:rPr>
          <w:bCs/>
          <w:i/>
          <w:iCs/>
        </w:rPr>
        <w:t>Nr. </w:t>
      </w:r>
      <w:r w:rsidRPr="009118AB">
        <w:rPr>
          <w:bCs/>
          <w:i/>
          <w:iCs/>
        </w:rPr>
        <w:t>3 des G. vom 14. April 2011 (B.S. vom 6. Mai 2011)</w:t>
      </w:r>
      <w:r w:rsidR="00D67EB8" w:rsidRPr="009118AB">
        <w:rPr>
          <w:bCs/>
          <w:i/>
          <w:iCs/>
        </w:rPr>
        <w:t> - </w:t>
      </w:r>
      <w:r w:rsidRPr="009118AB">
        <w:rPr>
          <w:bCs/>
          <w:i/>
          <w:iCs/>
        </w:rPr>
        <w:t>wirksam mit 1. Januar 2011</w:t>
      </w:r>
      <w:r w:rsidR="00FD68E8" w:rsidRPr="009118AB">
        <w:rPr>
          <w:bCs/>
          <w:i/>
          <w:iCs/>
        </w:rPr>
        <w:t> -,</w:t>
      </w:r>
      <w:r w:rsidR="00E65AD2" w:rsidRPr="009118AB">
        <w:rPr>
          <w:bCs/>
          <w:i/>
          <w:iCs/>
        </w:rPr>
        <w:t xml:space="preserve"> </w:t>
      </w:r>
      <w:r w:rsidR="00D67EB8" w:rsidRPr="009118AB">
        <w:rPr>
          <w:bCs/>
          <w:i/>
          <w:iCs/>
        </w:rPr>
        <w:t>Art. </w:t>
      </w:r>
      <w:r w:rsidR="00E65AD2" w:rsidRPr="009118AB">
        <w:rPr>
          <w:bCs/>
          <w:i/>
          <w:iCs/>
        </w:rPr>
        <w:t>96</w:t>
      </w:r>
      <w:r w:rsidR="00E65AD2" w:rsidRPr="009118AB">
        <w:rPr>
          <w:i/>
        </w:rPr>
        <w:t xml:space="preserve"> des G. vom 10. August 2015 (B.S. vom 18. August 2015)</w:t>
      </w:r>
      <w:r w:rsidR="00D67EB8" w:rsidRPr="009118AB">
        <w:rPr>
          <w:i/>
        </w:rPr>
        <w:t> - </w:t>
      </w:r>
      <w:r w:rsidR="00033953" w:rsidRPr="009118AB">
        <w:rPr>
          <w:i/>
        </w:rPr>
        <w:t>in Kraft</w:t>
      </w:r>
      <w:r w:rsidR="00E65AD2" w:rsidRPr="009118AB">
        <w:rPr>
          <w:i/>
        </w:rPr>
        <w:t xml:space="preserve"> ab dem Steuerjahr 2016</w:t>
      </w:r>
      <w:r w:rsidR="00FD68E8" w:rsidRPr="009118AB">
        <w:rPr>
          <w:i/>
        </w:rPr>
        <w:t> -,</w:t>
      </w:r>
      <w:r w:rsidR="0015747F" w:rsidRPr="009118AB">
        <w:rPr>
          <w:i/>
        </w:rPr>
        <w:t xml:space="preserve"> </w:t>
      </w:r>
      <w:r w:rsidR="00D67EB8" w:rsidRPr="009118AB">
        <w:rPr>
          <w:i/>
        </w:rPr>
        <w:t>Art. </w:t>
      </w:r>
      <w:r w:rsidR="0015747F" w:rsidRPr="009118AB">
        <w:rPr>
          <w:i/>
        </w:rPr>
        <w:t xml:space="preserve">10 </w:t>
      </w:r>
      <w:r w:rsidR="0015747F" w:rsidRPr="009118AB">
        <w:rPr>
          <w:i/>
          <w:iCs/>
          <w:spacing w:val="-4"/>
        </w:rPr>
        <w:t>des G. vom 3. August 2016 </w:t>
      </w:r>
      <w:r w:rsidR="00E13F17" w:rsidRPr="009118AB">
        <w:rPr>
          <w:i/>
          <w:iCs/>
          <w:spacing w:val="-4"/>
        </w:rPr>
        <w:t>(IV) (B.S. vom 11. August 2016)</w:t>
      </w:r>
      <w:r w:rsidR="00D67EB8" w:rsidRPr="009118AB">
        <w:rPr>
          <w:i/>
          <w:iCs/>
          <w:spacing w:val="-4"/>
        </w:rPr>
        <w:t> - </w:t>
      </w:r>
      <w:r w:rsidR="00E13F17" w:rsidRPr="009118AB">
        <w:rPr>
          <w:i/>
          <w:iCs/>
          <w:spacing w:val="-4"/>
        </w:rPr>
        <w:t>in Kraft ab dem Steuerjahr 2017</w:t>
      </w:r>
      <w:r w:rsidR="00D67EB8" w:rsidRPr="009118AB">
        <w:rPr>
          <w:i/>
          <w:iCs/>
          <w:spacing w:val="-4"/>
        </w:rPr>
        <w:t> -</w:t>
      </w:r>
      <w:r w:rsidR="004C713D" w:rsidRPr="009118AB">
        <w:rPr>
          <w:i/>
          <w:iCs/>
          <w:spacing w:val="-4"/>
        </w:rPr>
        <w:t>,</w:t>
      </w:r>
      <w:r w:rsidR="00F10268" w:rsidRPr="009118AB">
        <w:rPr>
          <w:i/>
          <w:iCs/>
          <w:spacing w:val="-4"/>
        </w:rPr>
        <w:t xml:space="preserve"> </w:t>
      </w:r>
      <w:r w:rsidR="00D67EB8" w:rsidRPr="009118AB">
        <w:rPr>
          <w:i/>
          <w:iCs/>
          <w:spacing w:val="-4"/>
        </w:rPr>
        <w:t>Art. </w:t>
      </w:r>
      <w:r w:rsidR="00F10268" w:rsidRPr="009118AB">
        <w:rPr>
          <w:i/>
          <w:iCs/>
          <w:spacing w:val="-4"/>
        </w:rPr>
        <w:t>46</w:t>
      </w:r>
      <w:r w:rsidR="00F10268" w:rsidRPr="009118AB">
        <w:rPr>
          <w:i/>
          <w:iCs/>
        </w:rPr>
        <w:t xml:space="preserve"> des G. vom 25. Dezember 2017 (III) (B.S. vom 29. Dezember 2017)</w:t>
      </w:r>
      <w:r w:rsidR="00D67EB8" w:rsidRPr="009118AB">
        <w:rPr>
          <w:i/>
          <w:iCs/>
        </w:rPr>
        <w:t> - </w:t>
      </w:r>
      <w:r w:rsidR="00F10268" w:rsidRPr="009118AB">
        <w:rPr>
          <w:i/>
          <w:iCs/>
        </w:rPr>
        <w:t>in Kraft am 1. Januar 2018 und anwendbar ab dem Steuerjahr 2019, das sich auf einen Besteuerungszeitraum bezieht, der frühestens am 1. Januar 2018 beginnt</w:t>
      </w:r>
      <w:r w:rsidR="00FD68E8" w:rsidRPr="009118AB">
        <w:rPr>
          <w:i/>
          <w:iCs/>
        </w:rPr>
        <w:t> -</w:t>
      </w:r>
      <w:r w:rsidR="004C713D" w:rsidRPr="009118AB">
        <w:rPr>
          <w:i/>
          <w:iCs/>
        </w:rPr>
        <w:t xml:space="preserve"> und Art. 19 des G. vom 21. Dezember 2022 (II) (B.S. vom 29. Dezember 2022)</w:t>
      </w:r>
      <w:r w:rsidR="00FD68E8" w:rsidRPr="009118AB">
        <w:rPr>
          <w:i/>
          <w:iCs/>
        </w:rPr>
        <w:t>]</w:t>
      </w:r>
    </w:p>
    <w:p w14:paraId="3E6CAD3D" w14:textId="77777777" w:rsidR="006A2667" w:rsidRPr="009118AB" w:rsidRDefault="006A2667" w:rsidP="006A2667">
      <w:pPr>
        <w:autoSpaceDE w:val="0"/>
        <w:autoSpaceDN w:val="0"/>
        <w:adjustRightInd w:val="0"/>
        <w:jc w:val="both"/>
      </w:pPr>
    </w:p>
    <w:p w14:paraId="6A3EC204" w14:textId="71086894" w:rsidR="0031458F" w:rsidRPr="009118AB" w:rsidRDefault="004A3400" w:rsidP="0031458F">
      <w:pPr>
        <w:autoSpaceDE w:val="0"/>
        <w:autoSpaceDN w:val="0"/>
        <w:adjustRightInd w:val="0"/>
        <w:jc w:val="center"/>
      </w:pPr>
      <w:r w:rsidRPr="009118AB">
        <w:br w:type="page"/>
      </w:r>
      <w:r w:rsidR="0031458F" w:rsidRPr="009118AB">
        <w:lastRenderedPageBreak/>
        <w:t>[Unterabschnitt 3</w:t>
      </w:r>
      <w:r w:rsidR="0031458F" w:rsidRPr="009118AB">
        <w:rPr>
          <w:i/>
          <w:iCs/>
        </w:rPr>
        <w:t>bis</w:t>
      </w:r>
      <w:r w:rsidR="00D67EB8" w:rsidRPr="009118AB">
        <w:t> - </w:t>
      </w:r>
      <w:r w:rsidR="0031458F" w:rsidRPr="009118AB">
        <w:t>[Abzug für Einkünfte aus Innovationen]]</w:t>
      </w:r>
    </w:p>
    <w:p w14:paraId="04A610E3" w14:textId="77777777" w:rsidR="0031458F" w:rsidRPr="009118AB" w:rsidRDefault="0031458F" w:rsidP="0031458F">
      <w:pPr>
        <w:jc w:val="both"/>
        <w:rPr>
          <w:i/>
        </w:rPr>
      </w:pPr>
    </w:p>
    <w:p w14:paraId="71E28A7C" w14:textId="1054E813" w:rsidR="0031458F" w:rsidRPr="009118AB" w:rsidRDefault="0031458F" w:rsidP="0031458F">
      <w:pPr>
        <w:jc w:val="both"/>
        <w:rPr>
          <w:i/>
          <w:iCs/>
        </w:rPr>
      </w:pPr>
      <w:r w:rsidRPr="009118AB">
        <w:rPr>
          <w:i/>
        </w:rPr>
        <w:t xml:space="preserve">[Unterteilung Unterabschnitt 3bis eingefügt durch </w:t>
      </w:r>
      <w:r w:rsidR="00D67EB8" w:rsidRPr="009118AB">
        <w:rPr>
          <w:i/>
        </w:rPr>
        <w:t>Art. </w:t>
      </w:r>
      <w:r w:rsidRPr="009118AB">
        <w:rPr>
          <w:i/>
        </w:rPr>
        <w:t>86 des G. vom 27. April 2007 (I) (B.S. vom 8. Mai 2007)</w:t>
      </w:r>
      <w:r w:rsidR="00D67EB8" w:rsidRPr="009118AB">
        <w:rPr>
          <w:i/>
          <w:iCs/>
        </w:rPr>
        <w:t> - </w:t>
      </w:r>
      <w:r w:rsidRPr="009118AB">
        <w:rPr>
          <w:i/>
          <w:iCs/>
        </w:rPr>
        <w:t xml:space="preserve">anwendbar </w:t>
      </w:r>
      <w:r w:rsidRPr="009118AB">
        <w:rPr>
          <w:i/>
        </w:rPr>
        <w:t>ab dem Steuerjahr 2008 auf die in Artikel 205</w:t>
      </w:r>
      <w:r w:rsidRPr="009118AB">
        <w:rPr>
          <w:i/>
          <w:vertAlign w:val="superscript"/>
        </w:rPr>
        <w:t>2</w:t>
      </w:r>
      <w:r w:rsidRPr="009118AB">
        <w:rPr>
          <w:i/>
        </w:rPr>
        <w:t xml:space="preserve"> des Einkommensteuergesetzbuches 1992 erwähnten Einkünfte aus Patenten, die sich auf Patente im Sinne von Artikel 205</w:t>
      </w:r>
      <w:r w:rsidRPr="009118AB">
        <w:rPr>
          <w:i/>
          <w:vertAlign w:val="superscript"/>
        </w:rPr>
        <w:t>2</w:t>
      </w:r>
      <w:r w:rsidRPr="009118AB">
        <w:rPr>
          <w:i/>
        </w:rPr>
        <w:t> </w:t>
      </w:r>
      <w:r w:rsidR="00D67EB8" w:rsidRPr="009118AB">
        <w:rPr>
          <w:i/>
        </w:rPr>
        <w:t>§ </w:t>
      </w:r>
      <w:r w:rsidRPr="009118AB">
        <w:rPr>
          <w:i/>
        </w:rPr>
        <w:t>2 desselben Gesetzbuches beziehen, die die Gesellschaft, ein Lizenznehmer oder verbundene Unternehmen nicht vor dem 1. Januar 2007 zum Verkauf von Gütern oder Dienstleistungen an unabhängige Dritte genutzt hat</w:t>
      </w:r>
      <w:r w:rsidR="003366D9" w:rsidRPr="009118AB">
        <w:rPr>
          <w:i/>
        </w:rPr>
        <w:t> -;</w:t>
      </w:r>
      <w:r w:rsidRPr="009118AB">
        <w:rPr>
          <w:i/>
          <w:iCs/>
        </w:rPr>
        <w:t xml:space="preserve"> Überschrift von Unterabschnitt 3bis ersetzt durch </w:t>
      </w:r>
      <w:r w:rsidR="00D67EB8" w:rsidRPr="009118AB">
        <w:rPr>
          <w:i/>
          <w:iCs/>
        </w:rPr>
        <w:t>Art. </w:t>
      </w:r>
      <w:r w:rsidRPr="009118AB">
        <w:rPr>
          <w:i/>
          <w:iCs/>
        </w:rPr>
        <w:t>5</w:t>
      </w:r>
      <w:r w:rsidRPr="009118AB">
        <w:rPr>
          <w:i/>
        </w:rPr>
        <w:t xml:space="preserve"> des G. vom 9. Februar 2017 (B.S. vom 20. Februar 2017)</w:t>
      </w:r>
      <w:r w:rsidR="00D67EB8" w:rsidRPr="009118AB">
        <w:rPr>
          <w:i/>
        </w:rPr>
        <w:t> - </w:t>
      </w:r>
      <w:r w:rsidRPr="009118AB">
        <w:rPr>
          <w:i/>
        </w:rPr>
        <w:t>wirksam mit 1. Juli 2016</w:t>
      </w:r>
      <w:r w:rsidR="00FD68E8" w:rsidRPr="009118AB">
        <w:rPr>
          <w:i/>
        </w:rPr>
        <w:t> -]</w:t>
      </w:r>
    </w:p>
    <w:p w14:paraId="1AE7B5D4" w14:textId="77777777" w:rsidR="00323F24" w:rsidRPr="009118AB" w:rsidRDefault="00323F24" w:rsidP="004A3400">
      <w:pPr>
        <w:jc w:val="both"/>
        <w:rPr>
          <w:i/>
        </w:rPr>
      </w:pPr>
    </w:p>
    <w:p w14:paraId="46374661" w14:textId="77777777" w:rsidR="00323F24" w:rsidRPr="009118AB" w:rsidRDefault="00323F24" w:rsidP="004A3400">
      <w:pPr>
        <w:jc w:val="both"/>
        <w:rPr>
          <w:i/>
        </w:rPr>
      </w:pPr>
    </w:p>
    <w:p w14:paraId="5193D233" w14:textId="231C466E" w:rsidR="004A3400" w:rsidRPr="009118AB" w:rsidRDefault="004A3400" w:rsidP="004A3400">
      <w:pPr>
        <w:ind w:firstLine="720"/>
        <w:jc w:val="both"/>
        <w:rPr>
          <w:b/>
          <w:bCs/>
        </w:rPr>
      </w:pPr>
      <w:r w:rsidRPr="009118AB">
        <w:rPr>
          <w:bCs/>
        </w:rPr>
        <w:t>[</w:t>
      </w:r>
      <w:r w:rsidR="00D67EB8" w:rsidRPr="009118AB">
        <w:rPr>
          <w:b/>
        </w:rPr>
        <w:t>Art. </w:t>
      </w:r>
      <w:r w:rsidRPr="009118AB">
        <w:rPr>
          <w:b/>
        </w:rPr>
        <w:t>205</w:t>
      </w:r>
      <w:r w:rsidRPr="009118AB">
        <w:rPr>
          <w:b/>
          <w:vertAlign w:val="superscript"/>
        </w:rPr>
        <w:t>1</w:t>
      </w:r>
      <w:r w:rsidR="00D67EB8" w:rsidRPr="009118AB">
        <w:t> - </w:t>
      </w:r>
      <w:r w:rsidR="00542E06" w:rsidRPr="009118AB">
        <w:t>[...]</w:t>
      </w:r>
      <w:r w:rsidRPr="009118AB">
        <w:t>]</w:t>
      </w:r>
    </w:p>
    <w:p w14:paraId="2EF3DC00" w14:textId="77777777" w:rsidR="004A3400" w:rsidRPr="009118AB" w:rsidRDefault="004A3400" w:rsidP="004A3400">
      <w:pPr>
        <w:jc w:val="both"/>
      </w:pPr>
    </w:p>
    <w:p w14:paraId="5C4BADEF" w14:textId="5BEDD735" w:rsidR="00323F24" w:rsidRPr="009118AB" w:rsidRDefault="00323F24" w:rsidP="004A3400">
      <w:pPr>
        <w:jc w:val="both"/>
      </w:pPr>
      <w:r w:rsidRPr="009118AB">
        <w:rPr>
          <w:i/>
        </w:rPr>
        <w:t>[</w:t>
      </w:r>
      <w:r w:rsidR="00D67EB8" w:rsidRPr="009118AB">
        <w:rPr>
          <w:i/>
        </w:rPr>
        <w:t>Art. </w:t>
      </w:r>
      <w:r w:rsidRPr="009118AB">
        <w:rPr>
          <w:i/>
        </w:rPr>
        <w:t>205</w:t>
      </w:r>
      <w:r w:rsidRPr="009118AB">
        <w:rPr>
          <w:i/>
          <w:vertAlign w:val="superscript"/>
        </w:rPr>
        <w:t>1</w:t>
      </w:r>
      <w:r w:rsidRPr="009118AB">
        <w:rPr>
          <w:i/>
        </w:rPr>
        <w:t xml:space="preserve"> eingefügt durch </w:t>
      </w:r>
      <w:r w:rsidR="00D67EB8" w:rsidRPr="009118AB">
        <w:rPr>
          <w:i/>
        </w:rPr>
        <w:t>Art. </w:t>
      </w:r>
      <w:r w:rsidRPr="009118AB">
        <w:rPr>
          <w:i/>
        </w:rPr>
        <w:t>8</w:t>
      </w:r>
      <w:r w:rsidR="00260C3F" w:rsidRPr="009118AB">
        <w:rPr>
          <w:i/>
        </w:rPr>
        <w:t>7</w:t>
      </w:r>
      <w:r w:rsidR="0040383E" w:rsidRPr="009118AB">
        <w:rPr>
          <w:i/>
        </w:rPr>
        <w:t xml:space="preserve"> des G. vom 27. April </w:t>
      </w:r>
      <w:r w:rsidRPr="009118AB">
        <w:rPr>
          <w:i/>
        </w:rPr>
        <w:t>2007</w:t>
      </w:r>
      <w:r w:rsidR="002C1851" w:rsidRPr="009118AB">
        <w:rPr>
          <w:i/>
        </w:rPr>
        <w:t> </w:t>
      </w:r>
      <w:r w:rsidR="00E9592B" w:rsidRPr="009118AB">
        <w:rPr>
          <w:i/>
        </w:rPr>
        <w:t xml:space="preserve">(I) </w:t>
      </w:r>
      <w:r w:rsidR="0040383E" w:rsidRPr="009118AB">
        <w:rPr>
          <w:i/>
        </w:rPr>
        <w:t>(B.S. vom 8. Mai </w:t>
      </w:r>
      <w:r w:rsidRPr="009118AB">
        <w:rPr>
          <w:i/>
        </w:rPr>
        <w:t>2007)</w:t>
      </w:r>
      <w:r w:rsidR="00D67EB8" w:rsidRPr="009118AB">
        <w:rPr>
          <w:i/>
          <w:iCs/>
        </w:rPr>
        <w:t> - </w:t>
      </w:r>
      <w:r w:rsidRPr="009118AB">
        <w:rPr>
          <w:i/>
          <w:iCs/>
        </w:rPr>
        <w:t xml:space="preserve">anwendbar </w:t>
      </w:r>
      <w:r w:rsidR="0040383E" w:rsidRPr="009118AB">
        <w:rPr>
          <w:i/>
        </w:rPr>
        <w:t>ab dem Steuerjahr </w:t>
      </w:r>
      <w:r w:rsidRPr="009118AB">
        <w:rPr>
          <w:i/>
        </w:rPr>
        <w:t>2008 auf die in Artikel</w:t>
      </w:r>
      <w:r w:rsidR="0040383E" w:rsidRPr="009118AB">
        <w:rPr>
          <w:i/>
        </w:rPr>
        <w:t> </w:t>
      </w:r>
      <w:r w:rsidRPr="009118AB">
        <w:rPr>
          <w:i/>
        </w:rPr>
        <w:t>205</w:t>
      </w:r>
      <w:r w:rsidRPr="009118AB">
        <w:rPr>
          <w:i/>
          <w:vertAlign w:val="superscript"/>
        </w:rPr>
        <w:t>2</w:t>
      </w:r>
      <w:r w:rsidRPr="009118AB">
        <w:rPr>
          <w:i/>
        </w:rPr>
        <w:t xml:space="preserve"> des Einkommensteuer</w:t>
      </w:r>
      <w:r w:rsidR="0040383E" w:rsidRPr="009118AB">
        <w:rPr>
          <w:i/>
        </w:rPr>
        <w:softHyphen/>
      </w:r>
      <w:r w:rsidRPr="009118AB">
        <w:rPr>
          <w:i/>
        </w:rPr>
        <w:t>gesetzbuches 1992 erwähnten Einkünfte aus Patenten, die sich a</w:t>
      </w:r>
      <w:r w:rsidR="00260C3F" w:rsidRPr="009118AB">
        <w:rPr>
          <w:i/>
        </w:rPr>
        <w:t>uf Patente im Sinne von Artikel</w:t>
      </w:r>
      <w:r w:rsidR="00487D41" w:rsidRPr="009118AB">
        <w:rPr>
          <w:i/>
        </w:rPr>
        <w:t> </w:t>
      </w:r>
      <w:r w:rsidRPr="009118AB">
        <w:rPr>
          <w:i/>
        </w:rPr>
        <w:t>205</w:t>
      </w:r>
      <w:r w:rsidRPr="009118AB">
        <w:rPr>
          <w:i/>
          <w:vertAlign w:val="superscript"/>
        </w:rPr>
        <w:t>2</w:t>
      </w:r>
      <w:r w:rsidRPr="009118AB">
        <w:rPr>
          <w:i/>
        </w:rPr>
        <w:t> </w:t>
      </w:r>
      <w:r w:rsidR="00D67EB8" w:rsidRPr="009118AB">
        <w:rPr>
          <w:i/>
        </w:rPr>
        <w:t>§ </w:t>
      </w:r>
      <w:r w:rsidRPr="009118AB">
        <w:rPr>
          <w:i/>
        </w:rPr>
        <w:t>2 desselben Gesetzbuches beziehen, die die Gesellschaft, ein Lizenznehmer oder verbundene Unternehmen nicht vor dem 1. Januar 2007 zum Verkauf von Gütern oder Dienstleistungen an unabhängige Dritte genutzt hat</w:t>
      </w:r>
      <w:r w:rsidR="00D67EB8" w:rsidRPr="009118AB">
        <w:rPr>
          <w:i/>
        </w:rPr>
        <w:t> - </w:t>
      </w:r>
      <w:r w:rsidR="00542E06" w:rsidRPr="009118AB">
        <w:rPr>
          <w:i/>
          <w:iCs/>
        </w:rPr>
        <w:t xml:space="preserve">und aufgehoben durch </w:t>
      </w:r>
      <w:r w:rsidR="00D67EB8" w:rsidRPr="009118AB">
        <w:rPr>
          <w:i/>
          <w:iCs/>
        </w:rPr>
        <w:t>Art. </w:t>
      </w:r>
      <w:r w:rsidR="00542E06" w:rsidRPr="009118AB">
        <w:rPr>
          <w:i/>
          <w:iCs/>
        </w:rPr>
        <w:t>4 des G. vom 3. August 2016</w:t>
      </w:r>
      <w:r w:rsidR="002C1851" w:rsidRPr="009118AB">
        <w:rPr>
          <w:i/>
          <w:iCs/>
        </w:rPr>
        <w:t> </w:t>
      </w:r>
      <w:r w:rsidR="00E616A4" w:rsidRPr="009118AB">
        <w:rPr>
          <w:i/>
          <w:iCs/>
        </w:rPr>
        <w:t xml:space="preserve">(I) </w:t>
      </w:r>
      <w:r w:rsidR="00542E06" w:rsidRPr="009118AB">
        <w:rPr>
          <w:i/>
          <w:iCs/>
        </w:rPr>
        <w:t>(B.S. vom 28. März 2017)</w:t>
      </w:r>
      <w:r w:rsidR="00D67EB8" w:rsidRPr="009118AB">
        <w:rPr>
          <w:i/>
          <w:iCs/>
        </w:rPr>
        <w:t> - </w:t>
      </w:r>
      <w:r w:rsidR="00542E06" w:rsidRPr="009118AB">
        <w:rPr>
          <w:i/>
          <w:iCs/>
        </w:rPr>
        <w:t>in Kraft am 1. Juli 2016</w:t>
      </w:r>
      <w:r w:rsidR="00FD68E8" w:rsidRPr="009118AB">
        <w:rPr>
          <w:i/>
          <w:iCs/>
        </w:rPr>
        <w:t> -]</w:t>
      </w:r>
    </w:p>
    <w:p w14:paraId="5E5CA408" w14:textId="77777777" w:rsidR="004A3400" w:rsidRPr="009118AB" w:rsidRDefault="004A3400" w:rsidP="004A3400">
      <w:pPr>
        <w:jc w:val="both"/>
      </w:pPr>
    </w:p>
    <w:p w14:paraId="230DAA90" w14:textId="77777777" w:rsidR="00260C3F" w:rsidRPr="009118AB" w:rsidRDefault="00260C3F" w:rsidP="004A3400">
      <w:pPr>
        <w:jc w:val="both"/>
      </w:pPr>
    </w:p>
    <w:p w14:paraId="5E55201E" w14:textId="46317FE5" w:rsidR="0031458F" w:rsidRPr="009118AB" w:rsidRDefault="0031458F" w:rsidP="0031458F">
      <w:pPr>
        <w:ind w:firstLine="709"/>
        <w:jc w:val="both"/>
      </w:pPr>
      <w:r w:rsidRPr="009118AB">
        <w:t>[</w:t>
      </w:r>
      <w:r w:rsidR="00D67EB8" w:rsidRPr="009118AB">
        <w:rPr>
          <w:b/>
        </w:rPr>
        <w:t>Art. </w:t>
      </w:r>
      <w:r w:rsidRPr="009118AB">
        <w:rPr>
          <w:b/>
        </w:rPr>
        <w:t>205/1</w:t>
      </w:r>
      <w:r w:rsidR="00D67EB8" w:rsidRPr="009118AB">
        <w:t> - § </w:t>
      </w:r>
      <w:r w:rsidRPr="009118AB">
        <w:t>1</w:t>
      </w:r>
      <w:r w:rsidR="00D67EB8" w:rsidRPr="009118AB">
        <w:t> - </w:t>
      </w:r>
      <w:r w:rsidRPr="009118AB">
        <w:t>Gewinne des Besteuerungszeitraums werden um 85 Prozent der gemäß Artikel 205/3 festgelegten Beträge verringert. Diese Verringerung wird "Abzug für Einkünfte aus Innovationen" genannt.</w:t>
      </w:r>
    </w:p>
    <w:p w14:paraId="02BDF585" w14:textId="77777777" w:rsidR="0031458F" w:rsidRPr="009118AB" w:rsidRDefault="0031458F" w:rsidP="0031458F">
      <w:pPr>
        <w:jc w:val="both"/>
      </w:pPr>
    </w:p>
    <w:p w14:paraId="4C80A1E4" w14:textId="77777777" w:rsidR="0031458F" w:rsidRDefault="0031458F" w:rsidP="0031458F">
      <w:pPr>
        <w:jc w:val="both"/>
      </w:pPr>
      <w:r w:rsidRPr="009118AB">
        <w:tab/>
        <w:t>Gibt es in dem Besteuerungszeitraum keine oder unzureichende Gewinne, um die vollständige Anwendung des Abzugs für Einkünfte aus Innovationen zu ermöglichen, darf der Teil, der nicht abgezogen werden konnte, auf die nachfolgenden Besteuerungszeiträume übertragen werden.</w:t>
      </w:r>
    </w:p>
    <w:p w14:paraId="7385CD41" w14:textId="77777777" w:rsidR="001009A1" w:rsidRDefault="001009A1" w:rsidP="0031458F">
      <w:pPr>
        <w:jc w:val="both"/>
      </w:pPr>
    </w:p>
    <w:p w14:paraId="6B6300A7" w14:textId="77777777" w:rsidR="001009A1" w:rsidRPr="00700308" w:rsidRDefault="001009A1" w:rsidP="001009A1">
      <w:pPr>
        <w:ind w:firstLine="708"/>
        <w:jc w:val="both"/>
      </w:pPr>
      <w:r>
        <w:tab/>
        <w:t>[</w:t>
      </w:r>
      <w:r w:rsidRPr="00700308">
        <w:t>In Abweichung von Artikel 207 Absatz 2 dritter Gedankenstrich und Absatz 3 zweiter Gedankenstrich kann eine Gesellschaft dafür optieren, einen Teil oder die Gesamtheit des in Absatz 1 erwähnten Abzugs für Einkünfte aus Innovationen sowie des in Artikel 207 Absatz 3 zweiter Gedankenstrich erwähnten übertragenen Abzugs für Einkünfte aus Innovationen nicht von den Gewinnen des Besteuerungszeitraums abzuziehen, sondern gemäß den Artikeln 289</w:t>
      </w:r>
      <w:r w:rsidRPr="00700308">
        <w:rPr>
          <w:i/>
          <w:iCs/>
        </w:rPr>
        <w:t>decies</w:t>
      </w:r>
      <w:r w:rsidRPr="00700308">
        <w:t xml:space="preserve"> und 292</w:t>
      </w:r>
      <w:r w:rsidRPr="00700308">
        <w:rPr>
          <w:i/>
          <w:iCs/>
        </w:rPr>
        <w:t>ter</w:t>
      </w:r>
      <w:r w:rsidRPr="00700308">
        <w:t xml:space="preserve"> in eine nicht erstattungsfähige Steuergutschrift für Einkünfte aus Innovationen umzuwandeln.</w:t>
      </w:r>
    </w:p>
    <w:p w14:paraId="501CF57C" w14:textId="77777777" w:rsidR="001009A1" w:rsidRPr="00700308" w:rsidRDefault="001009A1" w:rsidP="001009A1">
      <w:pPr>
        <w:jc w:val="both"/>
      </w:pPr>
    </w:p>
    <w:p w14:paraId="3E434B5F" w14:textId="65E8F206" w:rsidR="001009A1" w:rsidRPr="009118AB" w:rsidRDefault="001009A1" w:rsidP="001009A1">
      <w:pPr>
        <w:ind w:firstLine="708"/>
        <w:jc w:val="both"/>
      </w:pPr>
      <w:r w:rsidRPr="00700308">
        <w:t>Die in Artikel 207 erwähnten Beträge der anderen Abzüge und die übrig bleibenden Restbeträge werden so festgelegt, als ob die Gesellschaft nicht für die in Absatz 3 erwähnte Umwandlung in eine Steuergutschrift optiert hätte.</w:t>
      </w:r>
      <w:r>
        <w:t>]</w:t>
      </w:r>
    </w:p>
    <w:p w14:paraId="7DCF98F8" w14:textId="77777777" w:rsidR="0031458F" w:rsidRPr="009118AB" w:rsidRDefault="0031458F" w:rsidP="0031458F">
      <w:pPr>
        <w:jc w:val="both"/>
      </w:pPr>
    </w:p>
    <w:p w14:paraId="081093FE" w14:textId="77777777" w:rsidR="001009A1" w:rsidRDefault="001009A1">
      <w:r>
        <w:br w:type="page"/>
      </w:r>
    </w:p>
    <w:p w14:paraId="202C5D94" w14:textId="3499B70F" w:rsidR="0031458F" w:rsidRPr="009118AB" w:rsidRDefault="0031458F" w:rsidP="0031458F">
      <w:pPr>
        <w:jc w:val="both"/>
      </w:pPr>
      <w:r w:rsidRPr="009118AB">
        <w:lastRenderedPageBreak/>
        <w:tab/>
      </w:r>
      <w:r w:rsidR="00D67EB8" w:rsidRPr="009118AB">
        <w:t>§ </w:t>
      </w:r>
      <w:r w:rsidRPr="009118AB">
        <w:t>2</w:t>
      </w:r>
      <w:r w:rsidR="00D67EB8" w:rsidRPr="009118AB">
        <w:t> - </w:t>
      </w:r>
      <w:r w:rsidRPr="009118AB">
        <w:t>Für die Anwendung des vorliegenden Unterabschnitts versteht man unter:</w:t>
      </w:r>
    </w:p>
    <w:p w14:paraId="610EB76D" w14:textId="77777777" w:rsidR="0031458F" w:rsidRPr="009118AB" w:rsidRDefault="0031458F" w:rsidP="0031458F">
      <w:pPr>
        <w:jc w:val="both"/>
      </w:pPr>
    </w:p>
    <w:p w14:paraId="0C9FC770" w14:textId="77777777" w:rsidR="0031458F" w:rsidRPr="009118AB" w:rsidRDefault="0031458F" w:rsidP="0031458F">
      <w:pPr>
        <w:jc w:val="both"/>
      </w:pPr>
      <w:r w:rsidRPr="009118AB">
        <w:tab/>
        <w:t>1. geistigen Eigentumsrechten: nachstehend aufgeführte Rechte, deren Volleigen</w:t>
      </w:r>
      <w:r w:rsidRPr="009118AB">
        <w:softHyphen/>
        <w:t>tümer, Miteigentümer, Nießbraucher, Lizenzinhaber oder Rechteinhaber die Gesellschaft ist:</w:t>
      </w:r>
    </w:p>
    <w:p w14:paraId="68B2CA4F" w14:textId="77777777" w:rsidR="0031458F" w:rsidRPr="009118AB" w:rsidRDefault="0031458F" w:rsidP="0031458F">
      <w:pPr>
        <w:jc w:val="both"/>
      </w:pPr>
    </w:p>
    <w:p w14:paraId="2E082280" w14:textId="77777777" w:rsidR="0031458F" w:rsidRPr="009118AB" w:rsidRDefault="0031458F" w:rsidP="0031458F">
      <w:pPr>
        <w:jc w:val="both"/>
      </w:pPr>
      <w:r w:rsidRPr="009118AB">
        <w:tab/>
      </w:r>
      <w:r w:rsidRPr="009118AB">
        <w:rPr>
          <w:i/>
        </w:rPr>
        <w:t>a)</w:t>
      </w:r>
      <w:r w:rsidRPr="009118AB">
        <w:t> </w:t>
      </w:r>
      <w:r w:rsidR="00CE70A9" w:rsidRPr="009118AB">
        <w:t>[Patente oder ergänzende Schutzzertifikate, die die Gesellschaft, ein Lizenznehmer oder ein verbundenes Unternehmen nicht vor dem 1. Januar 2007 zum Verkauf von Gütern oder Dienstleistungen an unabhängige Dritte genutzt hat, oder]</w:t>
      </w:r>
    </w:p>
    <w:p w14:paraId="09204E43" w14:textId="77777777" w:rsidR="0031458F" w:rsidRPr="009118AB" w:rsidRDefault="0031458F" w:rsidP="0031458F">
      <w:pPr>
        <w:jc w:val="both"/>
      </w:pPr>
    </w:p>
    <w:p w14:paraId="376717F0" w14:textId="77777777" w:rsidR="0031458F" w:rsidRPr="009118AB" w:rsidRDefault="0031458F" w:rsidP="0031458F">
      <w:pPr>
        <w:jc w:val="both"/>
      </w:pPr>
      <w:r w:rsidRPr="009118AB">
        <w:tab/>
      </w:r>
      <w:r w:rsidRPr="009118AB">
        <w:rPr>
          <w:i/>
        </w:rPr>
        <w:t>b)</w:t>
      </w:r>
      <w:r w:rsidRPr="009118AB">
        <w:t> Sortenschutzrechte, für die der Antrag frühestens am 1. Juli 2016 eingereicht worden ist oder die im Falle erworbener Sortenschutzrechte nach dem 30. Juni 2016 erworben wurden, oder</w:t>
      </w:r>
    </w:p>
    <w:p w14:paraId="090E237D" w14:textId="77777777" w:rsidR="0031458F" w:rsidRPr="009118AB" w:rsidRDefault="0031458F" w:rsidP="0031458F">
      <w:pPr>
        <w:jc w:val="both"/>
      </w:pPr>
    </w:p>
    <w:p w14:paraId="7E7428F4" w14:textId="77777777" w:rsidR="0031458F" w:rsidRPr="009118AB" w:rsidRDefault="0031458F" w:rsidP="0031458F">
      <w:pPr>
        <w:jc w:val="both"/>
      </w:pPr>
      <w:r w:rsidRPr="009118AB">
        <w:tab/>
      </w:r>
      <w:r w:rsidRPr="009118AB">
        <w:rPr>
          <w:i/>
        </w:rPr>
        <w:t>c)</w:t>
      </w:r>
      <w:r w:rsidRPr="009118AB">
        <w:t> Arzneimittel für seltene Leiden, begrenzt auf die ersten zehn Jahre ihrer Eintragung als solche in das Europäische Register für Arzneimittel für seltene Leiden, für die der Antrag frühestens am 1. Juli 2016 eingereicht worden ist oder die im Falle erworbener Arzneimittel für seltene Leiden nach dem 30. Juni 2016 erworben wurden, oder</w:t>
      </w:r>
    </w:p>
    <w:p w14:paraId="495421D6" w14:textId="77777777" w:rsidR="0031458F" w:rsidRPr="009118AB" w:rsidRDefault="0031458F" w:rsidP="0031458F">
      <w:pPr>
        <w:jc w:val="both"/>
      </w:pPr>
    </w:p>
    <w:p w14:paraId="3BA2D8B2" w14:textId="7F0A2D12" w:rsidR="0031458F" w:rsidRPr="009118AB" w:rsidRDefault="0031458F" w:rsidP="0031458F">
      <w:pPr>
        <w:jc w:val="both"/>
      </w:pPr>
      <w:r w:rsidRPr="009118AB">
        <w:tab/>
      </w:r>
      <w:r w:rsidRPr="009118AB">
        <w:rPr>
          <w:i/>
        </w:rPr>
        <w:t>d)</w:t>
      </w:r>
      <w:r w:rsidRPr="009118AB">
        <w:t> Daten- oder Marktexklusivität</w:t>
      </w:r>
      <w:r w:rsidR="00CE70A9" w:rsidRPr="009118AB">
        <w:t>[, begrenzt auf die ersten elf Jahre]</w:t>
      </w:r>
      <w:r w:rsidRPr="009118AB">
        <w:t>, die nach dem 30. Juni 2016 amtlich zuerkannt worden ist in Anwendung:</w:t>
      </w:r>
    </w:p>
    <w:p w14:paraId="71600937" w14:textId="77777777" w:rsidR="0031458F" w:rsidRPr="009118AB" w:rsidRDefault="0031458F" w:rsidP="0031458F">
      <w:pPr>
        <w:jc w:val="both"/>
      </w:pPr>
    </w:p>
    <w:p w14:paraId="0C4E7A0C" w14:textId="5C2C569E" w:rsidR="0031458F" w:rsidRPr="009118AB" w:rsidRDefault="0031458F" w:rsidP="0031458F">
      <w:pPr>
        <w:jc w:val="both"/>
      </w:pPr>
      <w:r w:rsidRPr="009118AB">
        <w:tab/>
        <w:t xml:space="preserve">- von Artikel 59 der Verordnung (EG) </w:t>
      </w:r>
      <w:r w:rsidR="00D67EB8" w:rsidRPr="009118AB">
        <w:t>Nr. </w:t>
      </w:r>
      <w:r w:rsidRPr="009118AB">
        <w:t>1107/2009 des Europäischen Parlaments und des Rates vom 21. Oktober 2009 über das Inverkehrbringen von Pflanzenschutzmitteln und zur Aufhebung der Richtlinien 79/117/EWG und 91/414/EWG des Rates,</w:t>
      </w:r>
    </w:p>
    <w:p w14:paraId="39ACC399" w14:textId="77777777" w:rsidR="0031458F" w:rsidRPr="009118AB" w:rsidRDefault="0031458F" w:rsidP="0031458F">
      <w:pPr>
        <w:jc w:val="both"/>
      </w:pPr>
    </w:p>
    <w:p w14:paraId="33D8A8FD" w14:textId="2753AB1A" w:rsidR="0031458F" w:rsidRPr="009118AB" w:rsidRDefault="0031458F" w:rsidP="0031458F">
      <w:pPr>
        <w:jc w:val="both"/>
      </w:pPr>
      <w:r w:rsidRPr="009118AB">
        <w:tab/>
        <w:t xml:space="preserve">- von Artikel 14.11 der Verordnung (EG) </w:t>
      </w:r>
      <w:r w:rsidR="00D67EB8" w:rsidRPr="009118AB">
        <w:t>Nr. </w:t>
      </w:r>
      <w:r w:rsidRPr="009118AB">
        <w:t>726/2004 des Europäischen Parlaments und des Rates vom 31. März 2004 zur Festlegung von Gemeinschaftsverfahren für die Genehmigung und Überwachung von Human- und Tierarzneimitteln und zur Errichtung einer Europäischen Arzneimittel-Agentur,</w:t>
      </w:r>
    </w:p>
    <w:p w14:paraId="19D7B4AD" w14:textId="77777777" w:rsidR="0031458F" w:rsidRPr="009118AB" w:rsidRDefault="0031458F" w:rsidP="0031458F">
      <w:pPr>
        <w:jc w:val="both"/>
      </w:pPr>
    </w:p>
    <w:p w14:paraId="033AFE42" w14:textId="77777777" w:rsidR="0031458F" w:rsidRPr="009118AB" w:rsidRDefault="0031458F" w:rsidP="0031458F">
      <w:pPr>
        <w:jc w:val="both"/>
      </w:pPr>
      <w:r w:rsidRPr="009118AB">
        <w:tab/>
        <w:t>- der Artikel 10.1, 10.5 oder 74a der Richtlinie 2001/83/EG des Europäischen Parlaments und des Rates vom 6. November 2001 zur Schaffung eines Gemeinschaftskodexes für Humanarzneimittel,</w:t>
      </w:r>
    </w:p>
    <w:p w14:paraId="0938E04E" w14:textId="77777777" w:rsidR="0031458F" w:rsidRPr="009118AB" w:rsidRDefault="0031458F" w:rsidP="0031458F">
      <w:pPr>
        <w:jc w:val="both"/>
      </w:pPr>
    </w:p>
    <w:p w14:paraId="6601B7E6" w14:textId="77777777" w:rsidR="0031458F" w:rsidRPr="009118AB" w:rsidRDefault="0031458F" w:rsidP="0031458F">
      <w:pPr>
        <w:jc w:val="both"/>
      </w:pPr>
      <w:r w:rsidRPr="009118AB">
        <w:tab/>
        <w:t>- der Artikel 13.1, 13.5 oder 13a der Richtlinie 2001/82/EG des Europäischen Parlaments und des Rates vom 6. November 2001 zur Schaffung eines Gemeinschaftskodexes für Tierarzneimittel,</w:t>
      </w:r>
    </w:p>
    <w:p w14:paraId="6AF8DFCA" w14:textId="77777777" w:rsidR="0031458F" w:rsidRPr="009118AB" w:rsidRDefault="0031458F" w:rsidP="0031458F">
      <w:pPr>
        <w:jc w:val="both"/>
      </w:pPr>
    </w:p>
    <w:p w14:paraId="68AE32DB" w14:textId="24C8671A" w:rsidR="0031458F" w:rsidRPr="009118AB" w:rsidRDefault="0031458F" w:rsidP="0031458F">
      <w:pPr>
        <w:jc w:val="both"/>
      </w:pPr>
      <w:r w:rsidRPr="009118AB">
        <w:tab/>
        <w:t xml:space="preserve">- von Artikel 8 der Verordnung (EG) </w:t>
      </w:r>
      <w:r w:rsidR="00D67EB8" w:rsidRPr="009118AB">
        <w:t>Nr. </w:t>
      </w:r>
      <w:r w:rsidRPr="009118AB">
        <w:t>141/2000 des Europäischen Parlaments und des Rates vom 16. Dezember 1999 über Arzneimittel für seltene Leiden,</w:t>
      </w:r>
    </w:p>
    <w:p w14:paraId="7DE1D9BD" w14:textId="77777777" w:rsidR="0031458F" w:rsidRPr="009118AB" w:rsidRDefault="0031458F" w:rsidP="0031458F">
      <w:pPr>
        <w:jc w:val="both"/>
      </w:pPr>
    </w:p>
    <w:p w14:paraId="5C6B3439" w14:textId="77777777" w:rsidR="0031458F" w:rsidRPr="009118AB" w:rsidRDefault="0031458F" w:rsidP="0031458F">
      <w:pPr>
        <w:jc w:val="both"/>
      </w:pPr>
      <w:r w:rsidRPr="009118AB">
        <w:tab/>
        <w:t xml:space="preserve">- entsprechender Bestimmungen nationalen oder internationalen Rechts </w:t>
      </w:r>
      <w:r w:rsidR="00CC6E47" w:rsidRPr="009118AB">
        <w:t>[…]</w:t>
      </w:r>
      <w:r w:rsidRPr="009118AB">
        <w:t xml:space="preserve"> oder</w:t>
      </w:r>
    </w:p>
    <w:p w14:paraId="17BF659F" w14:textId="77777777" w:rsidR="0031458F" w:rsidRPr="009118AB" w:rsidRDefault="0031458F" w:rsidP="0031458F">
      <w:pPr>
        <w:jc w:val="both"/>
      </w:pPr>
    </w:p>
    <w:p w14:paraId="24AA425B" w14:textId="2B0A43E8" w:rsidR="0031458F" w:rsidRPr="009118AB" w:rsidRDefault="0031458F" w:rsidP="0031458F">
      <w:pPr>
        <w:jc w:val="both"/>
      </w:pPr>
      <w:r w:rsidRPr="009118AB">
        <w:tab/>
      </w:r>
      <w:r w:rsidRPr="009118AB">
        <w:rPr>
          <w:i/>
        </w:rPr>
        <w:t>e)</w:t>
      </w:r>
      <w:r w:rsidRPr="009118AB">
        <w:t> urheberrechtlich geschützte Computerprogramme, abgeleitete Schaffungen oder Anpassungen eines bestehenden Computerprogramms einbegriffen, die aus einem in Artikel 275</w:t>
      </w:r>
      <w:r w:rsidRPr="009118AB">
        <w:rPr>
          <w:vertAlign w:val="superscript"/>
        </w:rPr>
        <w:t>3</w:t>
      </w:r>
      <w:r w:rsidRPr="009118AB">
        <w:t xml:space="preserve"> </w:t>
      </w:r>
      <w:r w:rsidR="00D67EB8" w:rsidRPr="009118AB">
        <w:t>§ </w:t>
      </w:r>
      <w:r w:rsidRPr="009118AB">
        <w:t>3 erwähnten Forschungs- oder Entwicklungsprojekt oder -programm hervorgehen und vor dem 1. Juli 2016 noch keine Einkünfte erzeugt haben,</w:t>
      </w:r>
    </w:p>
    <w:p w14:paraId="32C05C60" w14:textId="77777777" w:rsidR="0031458F" w:rsidRPr="009118AB" w:rsidRDefault="0031458F" w:rsidP="0031458F">
      <w:pPr>
        <w:jc w:val="both"/>
      </w:pPr>
    </w:p>
    <w:p w14:paraId="18A49503" w14:textId="77777777" w:rsidR="0031458F" w:rsidRPr="009118AB" w:rsidRDefault="0031458F" w:rsidP="0031458F">
      <w:pPr>
        <w:jc w:val="both"/>
      </w:pPr>
      <w:r w:rsidRPr="009118AB">
        <w:tab/>
        <w:t xml:space="preserve">2. zu berücksichtigenden Einkünften aus Innovationen: nachstehend aufgeführte Einkünfte, die, wenn zwischen dem Schuldner der Vergütungen und der begünstigten </w:t>
      </w:r>
      <w:r w:rsidRPr="009118AB">
        <w:lastRenderedPageBreak/>
        <w:t>Gesellschaft besondere Beziehungen bestehen, jedoch nur berücksichtigt werden, sofern diese Vergütungen nicht höher sind als Vergütungen, die nicht verbundene Unternehmen miteinander vereinbart hätten:</w:t>
      </w:r>
    </w:p>
    <w:p w14:paraId="7CF54829" w14:textId="77777777" w:rsidR="0031458F" w:rsidRPr="009118AB" w:rsidRDefault="0031458F" w:rsidP="0031458F">
      <w:pPr>
        <w:jc w:val="both"/>
      </w:pPr>
    </w:p>
    <w:p w14:paraId="68DE5650" w14:textId="77777777" w:rsidR="0031458F" w:rsidRPr="009118AB" w:rsidRDefault="0031458F" w:rsidP="0031458F">
      <w:pPr>
        <w:jc w:val="both"/>
      </w:pPr>
      <w:r w:rsidRPr="009118AB">
        <w:tab/>
        <w:t>- Lizenzgebühren, sofern diese Gebühren in dem in Belgien steuerpflichtigen Ergebnis des Besteuerungszeitraums einbegriffen sind,</w:t>
      </w:r>
    </w:p>
    <w:p w14:paraId="34A219FF" w14:textId="77777777" w:rsidR="0031458F" w:rsidRPr="009118AB" w:rsidRDefault="0031458F" w:rsidP="0031458F">
      <w:pPr>
        <w:jc w:val="both"/>
      </w:pPr>
    </w:p>
    <w:p w14:paraId="49CC2ACC" w14:textId="77777777" w:rsidR="0031458F" w:rsidRPr="009118AB" w:rsidRDefault="0031458F" w:rsidP="0031458F">
      <w:pPr>
        <w:jc w:val="both"/>
      </w:pPr>
      <w:r w:rsidRPr="009118AB">
        <w:tab/>
        <w:t>- Vergütungen, die der Gesellschaft für den Besteuerungszeitraum geschuldet würden, wenn die von oder für Rechnung der Gesellschaft erzeugten Güter oder erbrachten Dienstleistungen von einem Dritten aufgrund einer von der Gesellschaft erteilten Lizenz erzeugt oder erbracht würden, sofern diese Vergütungen in dem in Belgien steuerpflichtigen Ergebnis des Besteuerungszeitraums einbegriffen wären,</w:t>
      </w:r>
    </w:p>
    <w:p w14:paraId="3892A1D0" w14:textId="77777777" w:rsidR="0031458F" w:rsidRPr="009118AB" w:rsidRDefault="0031458F" w:rsidP="0031458F">
      <w:pPr>
        <w:jc w:val="both"/>
      </w:pPr>
    </w:p>
    <w:p w14:paraId="6C5669E6" w14:textId="18F9BA91" w:rsidR="0031458F" w:rsidRPr="009118AB" w:rsidRDefault="0031458F" w:rsidP="0031458F">
      <w:pPr>
        <w:jc w:val="both"/>
      </w:pPr>
      <w:r w:rsidRPr="009118AB">
        <w:tab/>
        <w:t xml:space="preserve">- Vergütungen, die der Gesellschaft für den Besteuerungszeitraum geschuldet würden, wenn das von oder für Rechnung der Gesellschaft angewandte Produktionsverfahren, das untrennbar mit den in </w:t>
      </w:r>
      <w:r w:rsidR="00D67EB8" w:rsidRPr="009118AB">
        <w:t>Nr. </w:t>
      </w:r>
      <w:r w:rsidRPr="009118AB">
        <w:t>1 erwähnten Rechten verbunden ist, von einem Dritten aufgrund einer von der Gesellschaft erteilten Lizenz angewandt würde, sofern diese Vergütungen in dem in Belgien steuerpflichtigen Ergebnis des Besteuerungszeitraums einbegriffen wären,</w:t>
      </w:r>
    </w:p>
    <w:p w14:paraId="4A298561" w14:textId="77777777" w:rsidR="0031458F" w:rsidRPr="009118AB" w:rsidRDefault="0031458F" w:rsidP="0031458F">
      <w:pPr>
        <w:jc w:val="both"/>
      </w:pPr>
    </w:p>
    <w:p w14:paraId="35EEB893" w14:textId="77777777" w:rsidR="0031458F" w:rsidRPr="009118AB" w:rsidRDefault="0031458F" w:rsidP="0031458F">
      <w:pPr>
        <w:jc w:val="both"/>
      </w:pPr>
      <w:r w:rsidRPr="009118AB">
        <w:tab/>
        <w:t>- Entschädigungen, die der Gesellschaft aufgrund einer gerichtlichen Entscheidung oder einer Schiedsentscheidung, aufgrund einer gütlichen Einigung oder aufgrund eines Versicherungsvertrags infolge einer Verletzung eines geistigen Eigentumsrechts geschuldet werden, sofern diese Entschädigungen sich direkt auf das geistige Eigentumsrecht beziehen und in dem in Belgien steuerpflichtigen Ergebnis des Besteuerungszeitraums einbegriffen sind,</w:t>
      </w:r>
    </w:p>
    <w:p w14:paraId="222BAD2E" w14:textId="77777777" w:rsidR="0031458F" w:rsidRPr="009118AB" w:rsidRDefault="0031458F" w:rsidP="0031458F">
      <w:pPr>
        <w:jc w:val="both"/>
      </w:pPr>
    </w:p>
    <w:p w14:paraId="009F8605" w14:textId="750A32CF" w:rsidR="0031458F" w:rsidRPr="009118AB" w:rsidRDefault="0031458F" w:rsidP="0031458F">
      <w:pPr>
        <w:jc w:val="both"/>
      </w:pPr>
      <w:r w:rsidRPr="009118AB">
        <w:tab/>
        <w:t>- </w:t>
      </w:r>
      <w:r w:rsidR="00CC6E47" w:rsidRPr="009118AB">
        <w:t>[Vergütungen]</w:t>
      </w:r>
      <w:r w:rsidRPr="009118AB">
        <w:t xml:space="preserve">, die anlässlich der Veräußerung eines geistigen Eigentumsrechts bezogen werden, das die Beschaffenheit einer Anlage hat und spätestens im vorhergehenden Besteuerungszeitraum begründet </w:t>
      </w:r>
      <w:r w:rsidR="00CC6E47" w:rsidRPr="009118AB">
        <w:t>[oder, wenn es sich um ein erworbenes geistiges Eigentumsrecht handelt, mindestens vierundzwanzig Monate vor der Veräußerung]</w:t>
      </w:r>
      <w:r w:rsidRPr="009118AB">
        <w:t xml:space="preserve"> erworben wurde</w:t>
      </w:r>
      <w:r w:rsidR="006E1F37" w:rsidRPr="009118AB">
        <w:t>[, sofern diese Vergütungen in dem in Belgien steuerpflichtigen Ergebnis des Besteuerungszeitraums einbegriffen sind]</w:t>
      </w:r>
      <w:r w:rsidRPr="009118AB">
        <w:t>,</w:t>
      </w:r>
    </w:p>
    <w:p w14:paraId="02E52C29" w14:textId="77777777" w:rsidR="0031458F" w:rsidRPr="009118AB" w:rsidRDefault="0031458F" w:rsidP="0031458F">
      <w:pPr>
        <w:jc w:val="both"/>
      </w:pPr>
    </w:p>
    <w:p w14:paraId="2CDBD92B" w14:textId="5697E3F2" w:rsidR="0031458F" w:rsidRPr="009118AB" w:rsidRDefault="0031458F" w:rsidP="0031458F">
      <w:pPr>
        <w:jc w:val="both"/>
      </w:pPr>
      <w:r w:rsidRPr="009118AB">
        <w:tab/>
        <w:t xml:space="preserve">3. Nettoeinkünften: den Bruttobetrag der Einkünfte aus Innovationen abzüglich der in den Kosten aufgenommenen Ausgaben, die in </w:t>
      </w:r>
      <w:r w:rsidR="00D67EB8" w:rsidRPr="009118AB">
        <w:t>Nr. </w:t>
      </w:r>
      <w:r w:rsidRPr="009118AB">
        <w:t>5 erwähnt sind und in dem betreffenden Besteuerungszeitraum getätigt oder getragen wurden und die nicht niedriger sind als die Kosten, die zwischen nicht verbundenen Unternehmen anwendbar gewesen wären,</w:t>
      </w:r>
    </w:p>
    <w:p w14:paraId="09271569" w14:textId="77777777" w:rsidR="0031458F" w:rsidRPr="009118AB" w:rsidRDefault="0031458F" w:rsidP="0031458F">
      <w:pPr>
        <w:jc w:val="both"/>
      </w:pPr>
    </w:p>
    <w:p w14:paraId="3B6D0C9D" w14:textId="461B7FC6" w:rsidR="0031458F" w:rsidRPr="009118AB" w:rsidRDefault="0031458F" w:rsidP="0031458F">
      <w:pPr>
        <w:jc w:val="both"/>
      </w:pPr>
      <w:r w:rsidRPr="009118AB">
        <w:tab/>
        <w:t xml:space="preserve">4. in Betracht kommenden Ausgaben: Ausgaben für Forschung und Entwicklung, die sich direkt auf ein in </w:t>
      </w:r>
      <w:r w:rsidR="00D67EB8" w:rsidRPr="009118AB">
        <w:t>Nr. </w:t>
      </w:r>
      <w:r w:rsidRPr="009118AB">
        <w:t>1 erwähntes geistiges Eigentumsrecht beziehen, Zinsen, Ausgaben in Bezug auf Grundstücke und Gebäude und andere Ausgaben, die sich nicht direkt auf das geistige Eigentumsrecht beziehen, ausgenommen, und die von der Gesellschaft für Forschungs- und Entwicklungstätigkeiten, die von der Gesellschaft selbst ausgeführt werden, getätigt oder von der Gesellschaft gezahlt werden:</w:t>
      </w:r>
    </w:p>
    <w:p w14:paraId="6189AC5A" w14:textId="77777777" w:rsidR="0031458F" w:rsidRPr="009118AB" w:rsidRDefault="0031458F" w:rsidP="0031458F">
      <w:pPr>
        <w:jc w:val="both"/>
      </w:pPr>
    </w:p>
    <w:p w14:paraId="79A5DB99" w14:textId="77777777" w:rsidR="0031458F" w:rsidRPr="009118AB" w:rsidRDefault="0031458F" w:rsidP="0031458F">
      <w:pPr>
        <w:jc w:val="both"/>
      </w:pPr>
      <w:r w:rsidRPr="009118AB">
        <w:tab/>
        <w:t>- an ein nicht verbundenes Unternehmen oder</w:t>
      </w:r>
    </w:p>
    <w:p w14:paraId="6AE673CA" w14:textId="77777777" w:rsidR="0031458F" w:rsidRPr="009118AB" w:rsidRDefault="0031458F" w:rsidP="0031458F">
      <w:pPr>
        <w:jc w:val="both"/>
      </w:pPr>
    </w:p>
    <w:p w14:paraId="25F50C4A" w14:textId="77777777" w:rsidR="0031458F" w:rsidRPr="009118AB" w:rsidRDefault="0031458F" w:rsidP="0031458F">
      <w:pPr>
        <w:jc w:val="both"/>
      </w:pPr>
      <w:r w:rsidRPr="009118AB">
        <w:tab/>
        <w:t>- an ein verbundenes Unternehmen, sofern dieses Unternehmen die erhaltenen Vergütungen ohne Marge an ein nicht verbundenes Unternehmen weiterleitet,</w:t>
      </w:r>
    </w:p>
    <w:p w14:paraId="44E528C2" w14:textId="77777777" w:rsidR="0031458F" w:rsidRPr="009118AB" w:rsidRDefault="0031458F" w:rsidP="0031458F">
      <w:pPr>
        <w:jc w:val="both"/>
      </w:pPr>
    </w:p>
    <w:p w14:paraId="1626B050" w14:textId="77777777" w:rsidR="001009A1" w:rsidRDefault="001009A1">
      <w:r>
        <w:br w:type="page"/>
      </w:r>
    </w:p>
    <w:p w14:paraId="265964F5" w14:textId="446FF56A" w:rsidR="0031458F" w:rsidRPr="009118AB" w:rsidRDefault="0031458F" w:rsidP="0031458F">
      <w:pPr>
        <w:jc w:val="both"/>
      </w:pPr>
      <w:r w:rsidRPr="009118AB">
        <w:lastRenderedPageBreak/>
        <w:tab/>
        <w:t>5. Gesamtausgaben: die Gesamtheit:</w:t>
      </w:r>
    </w:p>
    <w:p w14:paraId="4E82D39C" w14:textId="77777777" w:rsidR="0031458F" w:rsidRPr="009118AB" w:rsidRDefault="0031458F" w:rsidP="0031458F">
      <w:pPr>
        <w:jc w:val="both"/>
      </w:pPr>
    </w:p>
    <w:p w14:paraId="0BFCE1E4" w14:textId="613050B2" w:rsidR="0031458F" w:rsidRPr="009118AB" w:rsidRDefault="0031458F" w:rsidP="0031458F">
      <w:pPr>
        <w:jc w:val="both"/>
      </w:pPr>
      <w:r w:rsidRPr="009118AB">
        <w:tab/>
        <w:t xml:space="preserve">- der in </w:t>
      </w:r>
      <w:r w:rsidR="00D67EB8" w:rsidRPr="009118AB">
        <w:t>Nr. </w:t>
      </w:r>
      <w:r w:rsidRPr="009118AB">
        <w:t>4 erwähnten in Betracht kommenden Ausgaben und</w:t>
      </w:r>
    </w:p>
    <w:p w14:paraId="7F728F9D" w14:textId="77777777" w:rsidR="0031458F" w:rsidRPr="009118AB" w:rsidRDefault="0031458F" w:rsidP="0031458F">
      <w:pPr>
        <w:jc w:val="both"/>
      </w:pPr>
    </w:p>
    <w:p w14:paraId="68FC652E" w14:textId="03302414" w:rsidR="0031458F" w:rsidRPr="009118AB" w:rsidRDefault="0031458F" w:rsidP="0031458F">
      <w:pPr>
        <w:jc w:val="both"/>
      </w:pPr>
      <w:r w:rsidRPr="009118AB">
        <w:tab/>
        <w:t xml:space="preserve">- der Ausgaben für den Erwerb des in </w:t>
      </w:r>
      <w:r w:rsidR="00D67EB8" w:rsidRPr="009118AB">
        <w:t>Nr. </w:t>
      </w:r>
      <w:r w:rsidRPr="009118AB">
        <w:t>4 erwähnten geistigen Eigentumsrechts, Zinsen und andere Ausgaben, die sich nicht direkt auf das geistige Eigentumsrecht beziehen, ausgenommen, und</w:t>
      </w:r>
    </w:p>
    <w:p w14:paraId="35C28C53" w14:textId="77777777" w:rsidR="0031458F" w:rsidRPr="009118AB" w:rsidRDefault="0031458F" w:rsidP="0031458F">
      <w:pPr>
        <w:jc w:val="both"/>
      </w:pPr>
    </w:p>
    <w:p w14:paraId="038E143D" w14:textId="02D61840" w:rsidR="0031458F" w:rsidRPr="009118AB" w:rsidRDefault="0031458F" w:rsidP="0031458F">
      <w:pPr>
        <w:jc w:val="both"/>
      </w:pPr>
      <w:r w:rsidRPr="009118AB">
        <w:tab/>
        <w:t xml:space="preserve">- der Ausgaben für Forschung und Entwicklung, die sich direkt auf das in </w:t>
      </w:r>
      <w:r w:rsidR="00D67EB8" w:rsidRPr="009118AB">
        <w:t>Nr. </w:t>
      </w:r>
      <w:r w:rsidRPr="009118AB">
        <w:t xml:space="preserve">4 erwähnte geistige Eigentumsrecht beziehen, Zinsen, Ausgaben in Bezug auf Grundstücke und Gebäude und andere Ausgaben, die sich nicht direkt auf das geistige Eigentumsrecht beziehen, ausgenommen, und die zugunsten eines verbundenen Unternehmens getätigt werden, in </w:t>
      </w:r>
      <w:r w:rsidR="00D67EB8" w:rsidRPr="009118AB">
        <w:t>Nr. </w:t>
      </w:r>
      <w:r w:rsidRPr="009118AB">
        <w:t>4 zweiter Gedankenstrich erwähnte Ausgaben ausgenommen,</w:t>
      </w:r>
    </w:p>
    <w:p w14:paraId="7CAB1198" w14:textId="77777777" w:rsidR="0031458F" w:rsidRPr="009118AB" w:rsidRDefault="0031458F" w:rsidP="0031458F">
      <w:pPr>
        <w:jc w:val="both"/>
      </w:pPr>
    </w:p>
    <w:p w14:paraId="49CEDF37" w14:textId="77777777" w:rsidR="0031458F" w:rsidRPr="009118AB" w:rsidRDefault="0031458F" w:rsidP="0031458F">
      <w:pPr>
        <w:jc w:val="both"/>
      </w:pPr>
      <w:r w:rsidRPr="009118AB">
        <w:tab/>
        <w:t>6. verbundenem Unternehmen: ein Unternehmen, dem gegenüber die Gesellschaft sich direkt oder indirekt in einem Verhältnis gegenseitiger Abhängigkeit befindet,</w:t>
      </w:r>
    </w:p>
    <w:p w14:paraId="20562982" w14:textId="77777777" w:rsidR="0031458F" w:rsidRPr="009118AB" w:rsidRDefault="0031458F" w:rsidP="0031458F">
      <w:pPr>
        <w:jc w:val="both"/>
      </w:pPr>
    </w:p>
    <w:p w14:paraId="2483229D" w14:textId="6546A781" w:rsidR="0031458F" w:rsidRPr="009118AB" w:rsidRDefault="0031458F" w:rsidP="0031458F">
      <w:pPr>
        <w:jc w:val="both"/>
        <w:rPr>
          <w:spacing w:val="-2"/>
        </w:rPr>
      </w:pPr>
      <w:r w:rsidRPr="009118AB">
        <w:rPr>
          <w:spacing w:val="-2"/>
        </w:rPr>
        <w:tab/>
        <w:t>7. nicht verbundenem Unternehmen: ein Unternehmen, dem gegenüber die Gesellschaft sich weder direkt noch indirekt in einem Verhältnis gegenseitiger Abhängigkeit befindet.]</w:t>
      </w:r>
    </w:p>
    <w:p w14:paraId="55D3B853" w14:textId="77777777" w:rsidR="0031458F" w:rsidRPr="009118AB" w:rsidRDefault="0031458F" w:rsidP="0031458F">
      <w:pPr>
        <w:jc w:val="both"/>
      </w:pPr>
    </w:p>
    <w:p w14:paraId="36533972" w14:textId="040C4D46" w:rsidR="0031458F" w:rsidRPr="009118AB" w:rsidRDefault="0031458F" w:rsidP="0031458F">
      <w:pPr>
        <w:jc w:val="both"/>
        <w:rPr>
          <w:i/>
        </w:rPr>
      </w:pPr>
      <w:r w:rsidRPr="009118AB">
        <w:rPr>
          <w:i/>
        </w:rPr>
        <w:t>[</w:t>
      </w:r>
      <w:r w:rsidR="00D67EB8" w:rsidRPr="009118AB">
        <w:rPr>
          <w:i/>
        </w:rPr>
        <w:t>Art. </w:t>
      </w:r>
      <w:r w:rsidRPr="009118AB">
        <w:rPr>
          <w:i/>
        </w:rPr>
        <w:t xml:space="preserve">205/1 eingefügt durch </w:t>
      </w:r>
      <w:r w:rsidR="00D67EB8" w:rsidRPr="009118AB">
        <w:rPr>
          <w:i/>
        </w:rPr>
        <w:t>Art. </w:t>
      </w:r>
      <w:r w:rsidRPr="009118AB">
        <w:rPr>
          <w:i/>
        </w:rPr>
        <w:t>6 des G. vom 9. Februar 201</w:t>
      </w:r>
      <w:r w:rsidR="00D27B17" w:rsidRPr="009118AB">
        <w:rPr>
          <w:i/>
        </w:rPr>
        <w:t>7 (B.S. vom 20. Februar 2017)</w:t>
      </w:r>
      <w:r w:rsidR="00D67EB8" w:rsidRPr="009118AB">
        <w:rPr>
          <w:i/>
        </w:rPr>
        <w:t> - </w:t>
      </w:r>
      <w:r w:rsidRPr="009118AB">
        <w:rPr>
          <w:i/>
        </w:rPr>
        <w:t>wirksam mit 1. Juli 2016</w:t>
      </w:r>
      <w:r w:rsidR="003366D9" w:rsidRPr="009118AB">
        <w:rPr>
          <w:i/>
        </w:rPr>
        <w:t> -;</w:t>
      </w:r>
      <w:r w:rsidR="00CC6E47" w:rsidRPr="009118AB">
        <w:rPr>
          <w:i/>
        </w:rPr>
        <w:t xml:space="preserve"> </w:t>
      </w:r>
      <w:r w:rsidR="001009A1">
        <w:rPr>
          <w:i/>
        </w:rPr>
        <w:t>§ 1 Abs. 3 und 4 eingefügt durch Art. 2</w:t>
      </w:r>
      <w:r w:rsidR="00E36CB6">
        <w:rPr>
          <w:i/>
        </w:rPr>
        <w:t>4</w:t>
      </w:r>
      <w:r w:rsidR="001009A1" w:rsidRPr="001009A1">
        <w:rPr>
          <w:i/>
          <w:iCs/>
        </w:rPr>
        <w:t xml:space="preserve"> des G. vom 12. Mai 2024 (B.S. vom 29. Mai 2024)</w:t>
      </w:r>
      <w:r w:rsidR="001009A1">
        <w:rPr>
          <w:i/>
          <w:iCs/>
        </w:rPr>
        <w:t> </w:t>
      </w:r>
      <w:r w:rsidR="001009A1" w:rsidRPr="001009A1">
        <w:rPr>
          <w:i/>
          <w:iCs/>
        </w:rPr>
        <w:t>-</w:t>
      </w:r>
      <w:r w:rsidR="001009A1">
        <w:rPr>
          <w:i/>
          <w:iCs/>
        </w:rPr>
        <w:t> </w:t>
      </w:r>
      <w:r w:rsidR="001009A1" w:rsidRPr="001009A1">
        <w:rPr>
          <w:i/>
          <w:iCs/>
        </w:rPr>
        <w:t>anwendbar</w:t>
      </w:r>
      <w:r w:rsidR="001009A1">
        <w:rPr>
          <w:i/>
          <w:iCs/>
        </w:rPr>
        <w:t> </w:t>
      </w:r>
      <w:r w:rsidR="001009A1" w:rsidRPr="001009A1">
        <w:rPr>
          <w:i/>
          <w:iCs/>
        </w:rPr>
        <w:t>ab dem Steuerjahr 2025</w:t>
      </w:r>
      <w:r w:rsidR="001009A1">
        <w:rPr>
          <w:i/>
          <w:iCs/>
        </w:rPr>
        <w:t xml:space="preserve"> -; </w:t>
      </w:r>
      <w:r w:rsidR="00D67EB8" w:rsidRPr="009118AB">
        <w:rPr>
          <w:i/>
        </w:rPr>
        <w:t>§ </w:t>
      </w:r>
      <w:r w:rsidR="00CC6E47" w:rsidRPr="009118AB">
        <w:rPr>
          <w:i/>
        </w:rPr>
        <w:t xml:space="preserve">2 einziger Absatz </w:t>
      </w:r>
      <w:r w:rsidR="00D67EB8" w:rsidRPr="009118AB">
        <w:rPr>
          <w:i/>
        </w:rPr>
        <w:t>Nr. </w:t>
      </w:r>
      <w:r w:rsidR="00CC6E47" w:rsidRPr="009118AB">
        <w:rPr>
          <w:i/>
        </w:rPr>
        <w:t xml:space="preserve">1 einziger Absatz Buchstabe a) ersetzt durch </w:t>
      </w:r>
      <w:r w:rsidR="00D67EB8" w:rsidRPr="009118AB">
        <w:rPr>
          <w:i/>
        </w:rPr>
        <w:t>Art. </w:t>
      </w:r>
      <w:r w:rsidR="00CC6E47" w:rsidRPr="009118AB">
        <w:rPr>
          <w:i/>
        </w:rPr>
        <w:t xml:space="preserve">5 </w:t>
      </w:r>
      <w:r w:rsidR="00D67EB8" w:rsidRPr="009118AB">
        <w:rPr>
          <w:i/>
        </w:rPr>
        <w:t>Nr. </w:t>
      </w:r>
      <w:r w:rsidR="00CC6E47" w:rsidRPr="009118AB">
        <w:rPr>
          <w:i/>
        </w:rPr>
        <w:t>1</w:t>
      </w:r>
      <w:r w:rsidR="00CC6E47" w:rsidRPr="009118AB">
        <w:rPr>
          <w:i/>
          <w:iCs/>
        </w:rPr>
        <w:t xml:space="preserve"> </w:t>
      </w:r>
      <w:r w:rsidR="00CC6E47" w:rsidRPr="009118AB">
        <w:rPr>
          <w:rFonts w:ascii="Times New Roman Italique" w:hAnsi="Times New Roman Italique"/>
          <w:i/>
          <w:spacing w:val="2"/>
        </w:rPr>
        <w:t>des G. vom 17. Dezember 2017 (B.S. vom 22. Dezember 2017)</w:t>
      </w:r>
      <w:r w:rsidR="00D67EB8" w:rsidRPr="009118AB">
        <w:rPr>
          <w:rFonts w:ascii="Times New Roman Italique" w:hAnsi="Times New Roman Italique"/>
          <w:i/>
          <w:spacing w:val="2"/>
        </w:rPr>
        <w:t> - </w:t>
      </w:r>
      <w:r w:rsidR="00CC6E47" w:rsidRPr="009118AB">
        <w:rPr>
          <w:rFonts w:ascii="Times New Roman Italique" w:hAnsi="Times New Roman Italique"/>
          <w:i/>
          <w:spacing w:val="2"/>
        </w:rPr>
        <w:t>wirksam mit 1. Juli 2016</w:t>
      </w:r>
      <w:r w:rsidR="003366D9" w:rsidRPr="009118AB">
        <w:rPr>
          <w:rFonts w:ascii="Times New Roman Italique" w:hAnsi="Times New Roman Italique"/>
          <w:i/>
          <w:spacing w:val="2"/>
        </w:rPr>
        <w:t> -;</w:t>
      </w:r>
      <w:r w:rsidR="00CC6E47" w:rsidRPr="009118AB">
        <w:rPr>
          <w:rFonts w:ascii="Times New Roman Italique" w:hAnsi="Times New Roman Italique"/>
          <w:i/>
          <w:spacing w:val="2"/>
        </w:rPr>
        <w:t xml:space="preserve"> </w:t>
      </w:r>
      <w:r w:rsidR="00D67EB8" w:rsidRPr="009118AB">
        <w:rPr>
          <w:i/>
        </w:rPr>
        <w:t>§ </w:t>
      </w:r>
      <w:r w:rsidR="00CC6E47" w:rsidRPr="009118AB">
        <w:rPr>
          <w:i/>
        </w:rPr>
        <w:t xml:space="preserve">2 einziger Absatz </w:t>
      </w:r>
      <w:r w:rsidR="00D67EB8" w:rsidRPr="009118AB">
        <w:rPr>
          <w:i/>
        </w:rPr>
        <w:t>Nr. </w:t>
      </w:r>
      <w:r w:rsidR="00CC6E47" w:rsidRPr="009118AB">
        <w:rPr>
          <w:i/>
        </w:rPr>
        <w:t xml:space="preserve">1 einziger Absatz Buchstabe d) einziger Absatz einleitende Bestimmung abgeändert durch </w:t>
      </w:r>
      <w:r w:rsidR="00D67EB8" w:rsidRPr="009118AB">
        <w:rPr>
          <w:i/>
        </w:rPr>
        <w:t>Art. </w:t>
      </w:r>
      <w:r w:rsidR="00CC6E47" w:rsidRPr="009118AB">
        <w:rPr>
          <w:i/>
        </w:rPr>
        <w:t xml:space="preserve">5 </w:t>
      </w:r>
      <w:r w:rsidR="00D67EB8" w:rsidRPr="009118AB">
        <w:rPr>
          <w:i/>
        </w:rPr>
        <w:t>Nr. </w:t>
      </w:r>
      <w:r w:rsidR="00CC6E47" w:rsidRPr="009118AB">
        <w:rPr>
          <w:i/>
        </w:rPr>
        <w:t>2</w:t>
      </w:r>
      <w:r w:rsidR="00CC6E47" w:rsidRPr="009118AB">
        <w:rPr>
          <w:i/>
          <w:iCs/>
        </w:rPr>
        <w:t xml:space="preserve"> </w:t>
      </w:r>
      <w:r w:rsidR="00CC6E47" w:rsidRPr="009118AB">
        <w:rPr>
          <w:rFonts w:ascii="Times New Roman Italique" w:hAnsi="Times New Roman Italique"/>
          <w:i/>
          <w:spacing w:val="2"/>
        </w:rPr>
        <w:t xml:space="preserve">des G. vom 17. Dezember 2017 (B.S. vom 22. Dezember 2017); </w:t>
      </w:r>
      <w:r w:rsidR="00D67EB8" w:rsidRPr="009118AB">
        <w:rPr>
          <w:i/>
        </w:rPr>
        <w:t>§ </w:t>
      </w:r>
      <w:r w:rsidR="00CC6E47" w:rsidRPr="009118AB">
        <w:rPr>
          <w:i/>
        </w:rPr>
        <w:t xml:space="preserve">2 einziger Absatz </w:t>
      </w:r>
      <w:r w:rsidR="00D67EB8" w:rsidRPr="009118AB">
        <w:rPr>
          <w:i/>
        </w:rPr>
        <w:t>Nr. </w:t>
      </w:r>
      <w:r w:rsidR="00CC6E47" w:rsidRPr="009118AB">
        <w:rPr>
          <w:i/>
        </w:rPr>
        <w:t xml:space="preserve">1 einziger Absatz Buchstabe d) einziger Absatz sechster Gedankenstrich abgeändert durch </w:t>
      </w:r>
      <w:r w:rsidR="00D67EB8" w:rsidRPr="009118AB">
        <w:rPr>
          <w:i/>
        </w:rPr>
        <w:t>Art. </w:t>
      </w:r>
      <w:r w:rsidR="00CC6E47" w:rsidRPr="009118AB">
        <w:rPr>
          <w:i/>
        </w:rPr>
        <w:t xml:space="preserve">5 </w:t>
      </w:r>
      <w:r w:rsidR="00D67EB8" w:rsidRPr="009118AB">
        <w:rPr>
          <w:i/>
        </w:rPr>
        <w:t>Nr. </w:t>
      </w:r>
      <w:r w:rsidR="00CC6E47" w:rsidRPr="009118AB">
        <w:rPr>
          <w:i/>
        </w:rPr>
        <w:t>3</w:t>
      </w:r>
      <w:r w:rsidR="00CC6E47" w:rsidRPr="009118AB">
        <w:rPr>
          <w:i/>
          <w:iCs/>
        </w:rPr>
        <w:t xml:space="preserve"> </w:t>
      </w:r>
      <w:r w:rsidR="00CC6E47" w:rsidRPr="009118AB">
        <w:rPr>
          <w:rFonts w:ascii="Times New Roman Italique" w:hAnsi="Times New Roman Italique"/>
          <w:i/>
          <w:spacing w:val="2"/>
        </w:rPr>
        <w:t xml:space="preserve">des G. vom 17. Dezember 2017 (B.S. vom 22. Dezember 2017); </w:t>
      </w:r>
      <w:r w:rsidR="00D67EB8" w:rsidRPr="009118AB">
        <w:rPr>
          <w:rFonts w:ascii="Times New Roman Italique" w:hAnsi="Times New Roman Italique"/>
          <w:i/>
          <w:spacing w:val="2"/>
        </w:rPr>
        <w:t>§ </w:t>
      </w:r>
      <w:r w:rsidR="00CC6E47" w:rsidRPr="009118AB">
        <w:rPr>
          <w:rFonts w:ascii="Times New Roman Italique" w:hAnsi="Times New Roman Italique"/>
          <w:i/>
          <w:spacing w:val="2"/>
        </w:rPr>
        <w:t xml:space="preserve">2 einziger Absatz </w:t>
      </w:r>
      <w:r w:rsidR="00D67EB8" w:rsidRPr="009118AB">
        <w:rPr>
          <w:rFonts w:ascii="Times New Roman Italique" w:hAnsi="Times New Roman Italique"/>
          <w:i/>
          <w:spacing w:val="2"/>
        </w:rPr>
        <w:t>Nr. </w:t>
      </w:r>
      <w:r w:rsidR="00CC6E47" w:rsidRPr="009118AB">
        <w:rPr>
          <w:rFonts w:ascii="Times New Roman Italique" w:hAnsi="Times New Roman Italique"/>
          <w:i/>
          <w:spacing w:val="2"/>
        </w:rPr>
        <w:t xml:space="preserve">2 einziger Absatz fünfter Gedankenstrich abgeändert durch </w:t>
      </w:r>
      <w:r w:rsidR="00D67EB8" w:rsidRPr="009118AB">
        <w:rPr>
          <w:rFonts w:ascii="Times New Roman Italique" w:hAnsi="Times New Roman Italique"/>
          <w:i/>
          <w:spacing w:val="2"/>
        </w:rPr>
        <w:t>Art. </w:t>
      </w:r>
      <w:r w:rsidR="00CC6E47" w:rsidRPr="009118AB">
        <w:rPr>
          <w:rFonts w:ascii="Times New Roman Italique" w:hAnsi="Times New Roman Italique"/>
          <w:i/>
          <w:spacing w:val="2"/>
        </w:rPr>
        <w:t xml:space="preserve">5 </w:t>
      </w:r>
      <w:r w:rsidR="00D67EB8" w:rsidRPr="009118AB">
        <w:rPr>
          <w:rFonts w:ascii="Times New Roman Italique" w:hAnsi="Times New Roman Italique"/>
          <w:i/>
          <w:spacing w:val="2"/>
        </w:rPr>
        <w:t>Nr. </w:t>
      </w:r>
      <w:r w:rsidR="00CC6E47" w:rsidRPr="009118AB">
        <w:rPr>
          <w:rFonts w:ascii="Times New Roman Italique" w:hAnsi="Times New Roman Italique"/>
          <w:i/>
          <w:spacing w:val="2"/>
        </w:rPr>
        <w:t>4</w:t>
      </w:r>
      <w:r w:rsidR="00CC6E47" w:rsidRPr="009118AB">
        <w:rPr>
          <w:i/>
          <w:iCs/>
        </w:rPr>
        <w:t xml:space="preserve"> </w:t>
      </w:r>
      <w:r w:rsidR="00CC6E47" w:rsidRPr="009118AB">
        <w:rPr>
          <w:rFonts w:ascii="Times New Roman Italique" w:hAnsi="Times New Roman Italique"/>
          <w:i/>
          <w:spacing w:val="2"/>
        </w:rPr>
        <w:t>des G. vom 17. Dezember 2017 (B.S. vom 22. Dezember 2017)</w:t>
      </w:r>
      <w:r w:rsidR="00D67EB8" w:rsidRPr="009118AB">
        <w:rPr>
          <w:rFonts w:ascii="Times New Roman Italique" w:hAnsi="Times New Roman Italique"/>
          <w:i/>
          <w:spacing w:val="2"/>
        </w:rPr>
        <w:t> - </w:t>
      </w:r>
      <w:r w:rsidR="00CC6E47" w:rsidRPr="009118AB">
        <w:rPr>
          <w:rFonts w:ascii="Times New Roman Italique" w:hAnsi="Times New Roman Italique"/>
          <w:i/>
          <w:spacing w:val="2"/>
        </w:rPr>
        <w:t>wirksam mit 1. Juli 2016</w:t>
      </w:r>
      <w:r w:rsidR="00D67EB8" w:rsidRPr="009118AB">
        <w:rPr>
          <w:rFonts w:ascii="Times New Roman Italique" w:hAnsi="Times New Roman Italique"/>
          <w:i/>
          <w:spacing w:val="2"/>
        </w:rPr>
        <w:t> - </w:t>
      </w:r>
      <w:r w:rsidR="006E1F37" w:rsidRPr="009118AB">
        <w:rPr>
          <w:rFonts w:ascii="Times New Roman Italique" w:hAnsi="Times New Roman Italique"/>
          <w:i/>
          <w:spacing w:val="2"/>
        </w:rPr>
        <w:t xml:space="preserve">und </w:t>
      </w:r>
      <w:r w:rsidR="00D67EB8" w:rsidRPr="009118AB">
        <w:rPr>
          <w:rFonts w:ascii="Times New Roman Italique" w:hAnsi="Times New Roman Italique"/>
          <w:i/>
          <w:spacing w:val="2"/>
        </w:rPr>
        <w:t>Art. </w:t>
      </w:r>
      <w:r w:rsidR="006E1F37" w:rsidRPr="009118AB">
        <w:rPr>
          <w:rFonts w:ascii="Times New Roman Italique" w:hAnsi="Times New Roman Italique"/>
          <w:i/>
          <w:spacing w:val="2"/>
        </w:rPr>
        <w:t>49</w:t>
      </w:r>
      <w:r w:rsidR="006E1F37" w:rsidRPr="009118AB">
        <w:rPr>
          <w:i/>
        </w:rPr>
        <w:t xml:space="preserve"> des G. vom 27. Juni 2021 (B.S. vom 30. Juni 2021)</w:t>
      </w:r>
      <w:r w:rsidRPr="009118AB">
        <w:rPr>
          <w:i/>
        </w:rPr>
        <w:t>]</w:t>
      </w:r>
    </w:p>
    <w:p w14:paraId="31CF9678" w14:textId="77777777" w:rsidR="0031458F" w:rsidRPr="009118AB" w:rsidRDefault="0031458F" w:rsidP="0031458F">
      <w:pPr>
        <w:jc w:val="both"/>
      </w:pPr>
    </w:p>
    <w:p w14:paraId="03CC3B16" w14:textId="77777777" w:rsidR="0031458F" w:rsidRPr="009118AB" w:rsidRDefault="0031458F" w:rsidP="0031458F">
      <w:pPr>
        <w:jc w:val="both"/>
      </w:pPr>
    </w:p>
    <w:p w14:paraId="4D036507" w14:textId="2E5B54EC" w:rsidR="004A3400" w:rsidRPr="009118AB" w:rsidRDefault="0031458F" w:rsidP="0031458F">
      <w:pPr>
        <w:ind w:firstLine="720"/>
        <w:jc w:val="both"/>
      </w:pPr>
      <w:r w:rsidRPr="009118AB">
        <w:rPr>
          <w:bCs/>
        </w:rPr>
        <w:t xml:space="preserve"> </w:t>
      </w:r>
      <w:r w:rsidR="004A3400" w:rsidRPr="009118AB">
        <w:rPr>
          <w:bCs/>
        </w:rPr>
        <w:t>[</w:t>
      </w:r>
      <w:r w:rsidR="00D67EB8" w:rsidRPr="009118AB">
        <w:rPr>
          <w:b/>
        </w:rPr>
        <w:t>Art. </w:t>
      </w:r>
      <w:r w:rsidR="004A3400" w:rsidRPr="009118AB">
        <w:rPr>
          <w:b/>
        </w:rPr>
        <w:t>205</w:t>
      </w:r>
      <w:r w:rsidR="004A3400" w:rsidRPr="009118AB">
        <w:rPr>
          <w:b/>
          <w:vertAlign w:val="superscript"/>
        </w:rPr>
        <w:t>2</w:t>
      </w:r>
      <w:r w:rsidR="00D67EB8" w:rsidRPr="009118AB">
        <w:t> - </w:t>
      </w:r>
      <w:r w:rsidR="00AD2494" w:rsidRPr="009118AB">
        <w:t>[...]</w:t>
      </w:r>
      <w:r w:rsidR="004A3400" w:rsidRPr="009118AB">
        <w:t>]</w:t>
      </w:r>
    </w:p>
    <w:p w14:paraId="16479390" w14:textId="77777777" w:rsidR="004A3400" w:rsidRPr="009118AB" w:rsidRDefault="004A3400" w:rsidP="004A3400">
      <w:pPr>
        <w:jc w:val="both"/>
      </w:pPr>
    </w:p>
    <w:p w14:paraId="52F4C2DE" w14:textId="364757BF" w:rsidR="00260C3F" w:rsidRPr="009118AB" w:rsidRDefault="00260C3F" w:rsidP="00260C3F">
      <w:pPr>
        <w:jc w:val="both"/>
      </w:pPr>
      <w:r w:rsidRPr="009118AB">
        <w:rPr>
          <w:i/>
        </w:rPr>
        <w:t>[</w:t>
      </w:r>
      <w:r w:rsidR="00D67EB8" w:rsidRPr="009118AB">
        <w:rPr>
          <w:i/>
        </w:rPr>
        <w:t>Art. </w:t>
      </w:r>
      <w:r w:rsidRPr="009118AB">
        <w:rPr>
          <w:i/>
        </w:rPr>
        <w:t>205</w:t>
      </w:r>
      <w:r w:rsidRPr="009118AB">
        <w:rPr>
          <w:i/>
          <w:vertAlign w:val="superscript"/>
        </w:rPr>
        <w:t>2</w:t>
      </w:r>
      <w:r w:rsidR="002C1851" w:rsidRPr="009118AB">
        <w:rPr>
          <w:i/>
        </w:rPr>
        <w:t xml:space="preserve"> eingefügt durch </w:t>
      </w:r>
      <w:r w:rsidR="00D67EB8" w:rsidRPr="009118AB">
        <w:rPr>
          <w:i/>
        </w:rPr>
        <w:t>Art. </w:t>
      </w:r>
      <w:r w:rsidRPr="009118AB">
        <w:rPr>
          <w:i/>
        </w:rPr>
        <w:t>88</w:t>
      </w:r>
      <w:r w:rsidR="002C1851" w:rsidRPr="009118AB">
        <w:rPr>
          <w:i/>
        </w:rPr>
        <w:t xml:space="preserve"> des G. vom 27. April </w:t>
      </w:r>
      <w:r w:rsidRPr="009118AB">
        <w:rPr>
          <w:i/>
        </w:rPr>
        <w:t>2007</w:t>
      </w:r>
      <w:r w:rsidR="002C1851" w:rsidRPr="009118AB">
        <w:rPr>
          <w:i/>
        </w:rPr>
        <w:t> </w:t>
      </w:r>
      <w:r w:rsidR="00E9592B" w:rsidRPr="009118AB">
        <w:rPr>
          <w:i/>
        </w:rPr>
        <w:t xml:space="preserve">(I) </w:t>
      </w:r>
      <w:r w:rsidRPr="009118AB">
        <w:rPr>
          <w:i/>
        </w:rPr>
        <w:t>(B.S. vom 8. Mai 2007)</w:t>
      </w:r>
      <w:r w:rsidR="00D67EB8" w:rsidRPr="009118AB">
        <w:rPr>
          <w:i/>
          <w:iCs/>
        </w:rPr>
        <w:t> - </w:t>
      </w:r>
      <w:r w:rsidRPr="009118AB">
        <w:rPr>
          <w:i/>
          <w:iCs/>
        </w:rPr>
        <w:t xml:space="preserve">anwendbar </w:t>
      </w:r>
      <w:r w:rsidR="002C1851" w:rsidRPr="009118AB">
        <w:rPr>
          <w:i/>
        </w:rPr>
        <w:t>ab dem Steuerjahr </w:t>
      </w:r>
      <w:r w:rsidRPr="009118AB">
        <w:rPr>
          <w:i/>
        </w:rPr>
        <w:t>2008 auf die in Artikel 205</w:t>
      </w:r>
      <w:r w:rsidRPr="009118AB">
        <w:rPr>
          <w:i/>
          <w:vertAlign w:val="superscript"/>
        </w:rPr>
        <w:t>2</w:t>
      </w:r>
      <w:r w:rsidRPr="009118AB">
        <w:rPr>
          <w:i/>
        </w:rPr>
        <w:t xml:space="preserve"> des Einkommensteuer</w:t>
      </w:r>
      <w:r w:rsidR="0040383E" w:rsidRPr="009118AB">
        <w:rPr>
          <w:i/>
        </w:rPr>
        <w:softHyphen/>
      </w:r>
      <w:r w:rsidRPr="009118AB">
        <w:rPr>
          <w:i/>
        </w:rPr>
        <w:t>gesetzbuches 1992 erwähnten Einkünfte aus Patenten, die sich auf Patente im Sinne von Artikel</w:t>
      </w:r>
      <w:r w:rsidR="00487D41" w:rsidRPr="009118AB">
        <w:rPr>
          <w:i/>
        </w:rPr>
        <w:t> </w:t>
      </w:r>
      <w:r w:rsidRPr="009118AB">
        <w:rPr>
          <w:i/>
        </w:rPr>
        <w:t>205</w:t>
      </w:r>
      <w:r w:rsidRPr="009118AB">
        <w:rPr>
          <w:i/>
          <w:vertAlign w:val="superscript"/>
        </w:rPr>
        <w:t>2</w:t>
      </w:r>
      <w:r w:rsidRPr="009118AB">
        <w:rPr>
          <w:i/>
        </w:rPr>
        <w:t> </w:t>
      </w:r>
      <w:r w:rsidR="00D67EB8" w:rsidRPr="009118AB">
        <w:rPr>
          <w:i/>
        </w:rPr>
        <w:t>§ </w:t>
      </w:r>
      <w:r w:rsidRPr="009118AB">
        <w:rPr>
          <w:i/>
        </w:rPr>
        <w:t>2 desselben Gesetzbuches beziehen, die die Gesellschaft, ein Lizenznehmer oder verbundene Unternehmen nicht vor dem 1. Januar 2007 zum Verkauf von Gütern oder Dienstleistungen an unabhängige Dritte genutzt hat</w:t>
      </w:r>
      <w:r w:rsidR="00D67EB8" w:rsidRPr="009118AB">
        <w:rPr>
          <w:i/>
        </w:rPr>
        <w:t> - </w:t>
      </w:r>
      <w:r w:rsidR="00AD2494" w:rsidRPr="009118AB">
        <w:rPr>
          <w:i/>
          <w:iCs/>
        </w:rPr>
        <w:t xml:space="preserve">und aufgehoben durch </w:t>
      </w:r>
      <w:r w:rsidR="00D67EB8" w:rsidRPr="009118AB">
        <w:rPr>
          <w:i/>
          <w:iCs/>
        </w:rPr>
        <w:t>Art. </w:t>
      </w:r>
      <w:r w:rsidR="002C1851" w:rsidRPr="009118AB">
        <w:rPr>
          <w:i/>
          <w:iCs/>
        </w:rPr>
        <w:t>5 des G. vom 3. August 2016 </w:t>
      </w:r>
      <w:r w:rsidR="00E616A4" w:rsidRPr="009118AB">
        <w:rPr>
          <w:i/>
          <w:iCs/>
        </w:rPr>
        <w:t xml:space="preserve">(I) </w:t>
      </w:r>
      <w:r w:rsidR="00AD2494" w:rsidRPr="009118AB">
        <w:rPr>
          <w:i/>
          <w:iCs/>
        </w:rPr>
        <w:t>(B.S. vom 28. März 2017)</w:t>
      </w:r>
      <w:r w:rsidR="00D67EB8" w:rsidRPr="009118AB">
        <w:rPr>
          <w:i/>
          <w:iCs/>
        </w:rPr>
        <w:t> - </w:t>
      </w:r>
      <w:r w:rsidR="00AD2494" w:rsidRPr="009118AB">
        <w:rPr>
          <w:i/>
          <w:iCs/>
        </w:rPr>
        <w:t>in Kraft am 1. Juli 2016</w:t>
      </w:r>
      <w:r w:rsidR="00FD68E8" w:rsidRPr="009118AB">
        <w:rPr>
          <w:i/>
          <w:iCs/>
        </w:rPr>
        <w:t> -]</w:t>
      </w:r>
    </w:p>
    <w:p w14:paraId="12E4AA66" w14:textId="77777777" w:rsidR="0031458F" w:rsidRPr="009118AB" w:rsidRDefault="0031458F" w:rsidP="0031458F">
      <w:pPr>
        <w:jc w:val="both"/>
      </w:pPr>
    </w:p>
    <w:p w14:paraId="6969C62C" w14:textId="77777777" w:rsidR="0031458F" w:rsidRPr="009118AB" w:rsidRDefault="0031458F" w:rsidP="0031458F">
      <w:pPr>
        <w:jc w:val="both"/>
      </w:pPr>
    </w:p>
    <w:p w14:paraId="19E46BE4" w14:textId="4A931E8D" w:rsidR="0031458F" w:rsidRPr="009118AB" w:rsidRDefault="0031458F" w:rsidP="0031458F">
      <w:pPr>
        <w:jc w:val="both"/>
      </w:pPr>
      <w:r w:rsidRPr="009118AB">
        <w:tab/>
        <w:t>[</w:t>
      </w:r>
      <w:r w:rsidR="00D67EB8" w:rsidRPr="009118AB">
        <w:rPr>
          <w:b/>
        </w:rPr>
        <w:t>Art. </w:t>
      </w:r>
      <w:r w:rsidRPr="009118AB">
        <w:rPr>
          <w:b/>
        </w:rPr>
        <w:t>205/2</w:t>
      </w:r>
      <w:r w:rsidR="00D67EB8" w:rsidRPr="009118AB">
        <w:t> - § </w:t>
      </w:r>
      <w:r w:rsidRPr="009118AB">
        <w:t>1</w:t>
      </w:r>
      <w:r w:rsidR="00D67EB8" w:rsidRPr="009118AB">
        <w:t> - </w:t>
      </w:r>
      <w:r w:rsidRPr="009118AB">
        <w:t>Für die Bestimmung des Abzugs für Einkünfte aus Innovationen für einen Besteuerungszeitraum entsprechen die zu berücksichtigenden Einkünfte aus Innovationen dem Teil der Nettoeinkünfte, der sich ausschließlich auf ein geistiges Eigentumsrecht bezieht.</w:t>
      </w:r>
      <w:r w:rsidR="0068045B" w:rsidRPr="009118AB">
        <w:t xml:space="preserve"> [Wird für einen Teil dieses Besteuerungszeitraums in Bezug auf dasselbe geistige Eigentumsrecht auch der Abzug für Einkünfte aus Patenten gemäß den </w:t>
      </w:r>
      <w:r w:rsidR="0068045B" w:rsidRPr="009118AB">
        <w:lastRenderedPageBreak/>
        <w:t>Artikeln 205</w:t>
      </w:r>
      <w:r w:rsidR="0068045B" w:rsidRPr="009118AB">
        <w:rPr>
          <w:vertAlign w:val="superscript"/>
        </w:rPr>
        <w:t>1</w:t>
      </w:r>
      <w:r w:rsidR="0068045B" w:rsidRPr="009118AB">
        <w:t xml:space="preserve"> bis 205</w:t>
      </w:r>
      <w:r w:rsidR="0068045B" w:rsidRPr="009118AB">
        <w:rPr>
          <w:vertAlign w:val="superscript"/>
        </w:rPr>
        <w:t>4</w:t>
      </w:r>
      <w:r w:rsidR="0068045B" w:rsidRPr="009118AB">
        <w:t>, so wie sie vor ihrer Aufhebung durch die Artikel 4 bis 7 des Gesetzes vom 3. August 2016 zur Festlegung dringender steuerrechtlicher Bestimmungen bestanden, angewandt, werden die Einkünfte aus Innovationen in Bezug auf diesen Teil des Besteuerungszeitraums nicht berücksichtigt.]</w:t>
      </w:r>
    </w:p>
    <w:p w14:paraId="6B0BBE80" w14:textId="77777777" w:rsidR="0031458F" w:rsidRPr="009118AB" w:rsidRDefault="0031458F" w:rsidP="0031458F">
      <w:pPr>
        <w:jc w:val="both"/>
      </w:pPr>
    </w:p>
    <w:p w14:paraId="3C9828F0" w14:textId="45916DE3" w:rsidR="0031458F" w:rsidRPr="009118AB" w:rsidRDefault="0031458F" w:rsidP="0031458F">
      <w:pPr>
        <w:jc w:val="both"/>
      </w:pPr>
      <w:r w:rsidRPr="009118AB">
        <w:tab/>
        <w:t xml:space="preserve">Die Bestimmung der Einkünfte aus Innovationen wie in Absatz 1 erwähnt muss pro geistiges Eigentumsrecht getrennt erfolgen. Kann die Gesellschaft von der in Artikel 205/4 </w:t>
      </w:r>
      <w:r w:rsidR="00D67EB8" w:rsidRPr="009118AB">
        <w:t>§ </w:t>
      </w:r>
      <w:r w:rsidRPr="009118AB">
        <w:t>1 Absatz 2 erwähnten Abweichung Gebrauch machen, darf sie die Einkünfte aus Innovationen jedoch entweder pro Produkt- oder Dienstleistungsart oder pro Produkt- oder Dienstleistungsgruppe bestimmen.</w:t>
      </w:r>
    </w:p>
    <w:p w14:paraId="34676384" w14:textId="77777777" w:rsidR="0031458F" w:rsidRPr="009118AB" w:rsidRDefault="0031458F" w:rsidP="0031458F">
      <w:pPr>
        <w:jc w:val="both"/>
      </w:pPr>
    </w:p>
    <w:p w14:paraId="7D61A11B" w14:textId="77777777" w:rsidR="0031458F" w:rsidRPr="009118AB" w:rsidRDefault="0031458F" w:rsidP="0031458F">
      <w:pPr>
        <w:jc w:val="both"/>
      </w:pPr>
      <w:r w:rsidRPr="009118AB">
        <w:tab/>
        <w:t>Ergibt die Bestimmung der Einkünfte aus Innovationen ein negatives Ergebnis, wird dieses negative Ergebnis nacheinander von den Nettoeinkünften aus Innovationen in Bezug auf dasselbe geistige Eigentumsrecht oder in Bezug auf dieselbe Produkt- oder Dienstleistungsart oder dieselbe Produkt- oder Dienstleistungsgruppe eines jeden der folgenden Besteuerungszeiträume abgezogen.</w:t>
      </w:r>
    </w:p>
    <w:p w14:paraId="256E8711" w14:textId="77777777" w:rsidR="0031458F" w:rsidRPr="009118AB" w:rsidRDefault="0031458F" w:rsidP="0031458F">
      <w:pPr>
        <w:jc w:val="both"/>
      </w:pPr>
    </w:p>
    <w:p w14:paraId="1C404D34" w14:textId="0D749E72" w:rsidR="0031458F" w:rsidRPr="009118AB" w:rsidRDefault="0031458F" w:rsidP="0031458F">
      <w:pPr>
        <w:jc w:val="both"/>
      </w:pPr>
      <w:r w:rsidRPr="009118AB">
        <w:tab/>
      </w:r>
      <w:r w:rsidR="00D67EB8" w:rsidRPr="009118AB">
        <w:t>§ </w:t>
      </w:r>
      <w:r w:rsidRPr="009118AB">
        <w:t>2</w:t>
      </w:r>
      <w:r w:rsidR="00D67EB8" w:rsidRPr="009118AB">
        <w:t> - </w:t>
      </w:r>
      <w:r w:rsidRPr="009118AB">
        <w:t xml:space="preserve">Für den Besteuerungszeitraum, für den die Einkünfte aus Innovationen erstmals gemäß </w:t>
      </w:r>
      <w:r w:rsidR="00D67EB8" w:rsidRPr="009118AB">
        <w:t>§ </w:t>
      </w:r>
      <w:r w:rsidRPr="009118AB">
        <w:t>1 getrennt bestimmt werden, wird dieser Betrag um die Gesamtausgaben verringert, die in den vorhergehenden nach dem 30. Juni 2016 endenden Besteuerungszeiträumen in den Kosten aufgenommen sind und nicht bereits für die Bestimmung der Steuerbefreiung wie in Artikel 194</w:t>
      </w:r>
      <w:r w:rsidRPr="009118AB">
        <w:rPr>
          <w:i/>
        </w:rPr>
        <w:t>quinquies</w:t>
      </w:r>
      <w:r w:rsidRPr="009118AB">
        <w:t xml:space="preserve"> erwähnt abgezogen wurden. Nicht abgezogen werden müssen Kosten, die im Laufe eines Besteuerungszeitraums gemacht oder getragen wurden, in dem die Gesellschaft in Bezug auf dieses geistige Eigentumsrecht oder in Bezug auf diese Produkt- oder Dienst</w:t>
      </w:r>
      <w:r w:rsidR="006E1F37" w:rsidRPr="009118AB">
        <w:softHyphen/>
      </w:r>
      <w:r w:rsidRPr="009118AB">
        <w:t>leistungs</w:t>
      </w:r>
      <w:r w:rsidR="006E1F37" w:rsidRPr="009118AB">
        <w:softHyphen/>
      </w:r>
      <w:r w:rsidRPr="009118AB">
        <w:t>art oder diese Produkt- oder Dienstleistungsgruppe den Abzug für Einkünfte aus Patenten gemäß den Artikeln 205</w:t>
      </w:r>
      <w:r w:rsidRPr="009118AB">
        <w:rPr>
          <w:vertAlign w:val="superscript"/>
        </w:rPr>
        <w:t>1</w:t>
      </w:r>
      <w:r w:rsidRPr="009118AB">
        <w:t xml:space="preserve"> bis 205</w:t>
      </w:r>
      <w:r w:rsidRPr="009118AB">
        <w:rPr>
          <w:vertAlign w:val="superscript"/>
        </w:rPr>
        <w:t>4</w:t>
      </w:r>
      <w:r w:rsidRPr="009118AB">
        <w:t>, so wie sie vor ihrer Aufhebung durch die Artikel 4 bis 7 des Gesetzes vom 3. August 2016 zur Festlegung dringender steuerrechtlicher Bestim</w:t>
      </w:r>
      <w:r w:rsidR="006E1F37" w:rsidRPr="009118AB">
        <w:softHyphen/>
      </w:r>
      <w:r w:rsidRPr="009118AB">
        <w:t>mungen bestanden, angewandt hat.</w:t>
      </w:r>
      <w:r w:rsidR="0068045B" w:rsidRPr="009118AB">
        <w:t xml:space="preserve"> [Wird der vorerwähnte Abzug für Einkünfte aus Patenten nur in Bezug auf einen Teil des Besteuerungszeitraums angewandt, werden nur die Kosten nicht abgezogen, die im Verhältnis zu dem Teil des Besteuerungszeitraums gemacht oder getragen wurden, in Bezug auf den der vorerwähnte Abzug für Einkünfte aus Patenten angewandt wird.]</w:t>
      </w:r>
    </w:p>
    <w:p w14:paraId="69DE75F1" w14:textId="77777777" w:rsidR="0031458F" w:rsidRPr="009118AB" w:rsidRDefault="0031458F" w:rsidP="0031458F">
      <w:pPr>
        <w:jc w:val="both"/>
      </w:pPr>
    </w:p>
    <w:p w14:paraId="165F8548" w14:textId="77777777" w:rsidR="0031458F" w:rsidRPr="009118AB" w:rsidRDefault="0031458F" w:rsidP="0031458F">
      <w:pPr>
        <w:jc w:val="both"/>
      </w:pPr>
      <w:r w:rsidRPr="009118AB">
        <w:tab/>
        <w:t>Nach Anwendung von Absatz 1 wird das eventuelle negative Ergebnis nacheinander von den Nettoeinkünften aus Innovationen in Bezug auf dasselbe geistige Eigentumsrecht oder in Bezug auf dieselbe Produkt- oder Dienstleistungsart oder dieselbe Produkt- oder Dienstleistungsgruppe eines jeden der folgenden Besteuerungszeiträume abgezogen.</w:t>
      </w:r>
    </w:p>
    <w:p w14:paraId="6988CFC1" w14:textId="77777777" w:rsidR="0031458F" w:rsidRPr="009118AB" w:rsidRDefault="0031458F" w:rsidP="0031458F">
      <w:pPr>
        <w:jc w:val="both"/>
      </w:pPr>
    </w:p>
    <w:p w14:paraId="40970C95" w14:textId="23C878FF" w:rsidR="0031458F" w:rsidRPr="009118AB" w:rsidRDefault="0031458F" w:rsidP="0031458F">
      <w:pPr>
        <w:jc w:val="both"/>
      </w:pPr>
      <w:r w:rsidRPr="009118AB">
        <w:tab/>
        <w:t>In Abweichung von Absatz 1 kann die Gesellschaft im Laufe des Besteuerungs</w:t>
      </w:r>
      <w:r w:rsidRPr="009118AB">
        <w:softHyphen/>
        <w:t xml:space="preserve">zeitraums, für den die Einkünfte aus Innovationen erstmals gemäß </w:t>
      </w:r>
      <w:r w:rsidR="00D67EB8" w:rsidRPr="009118AB">
        <w:t>§ </w:t>
      </w:r>
      <w:r w:rsidRPr="009118AB">
        <w:t>1 getrennt bestimmt werden, unwiderruflich dafür optieren, dass die in Absatz 1 erwähnten Ausgaben während eines Zeitraums von höchstens sieben aufeinander folgenden Besteuerungszeiträumen linear verteilt werden.</w:t>
      </w:r>
    </w:p>
    <w:p w14:paraId="7DCA986D" w14:textId="77777777" w:rsidR="0031458F" w:rsidRPr="009118AB" w:rsidRDefault="0031458F" w:rsidP="0031458F">
      <w:pPr>
        <w:jc w:val="both"/>
      </w:pPr>
    </w:p>
    <w:p w14:paraId="604687CE" w14:textId="4FA17A46" w:rsidR="0031458F" w:rsidRPr="009118AB" w:rsidRDefault="0031458F" w:rsidP="0031458F">
      <w:pPr>
        <w:jc w:val="both"/>
      </w:pPr>
      <w:r w:rsidRPr="009118AB">
        <w:tab/>
      </w:r>
      <w:r w:rsidR="006E1F37" w:rsidRPr="009118AB">
        <w:t>[Im letzten Besteuerungszeitraum der in Absatz 3 erwähnten gewählten Frist]</w:t>
      </w:r>
      <w:r w:rsidRPr="009118AB">
        <w:t xml:space="preserve">, oder eventuell früher, wenn der Abzug für Einkünfte aus Innovationen in Bezug auf dieses geistige Eigentumsrecht oder in Bezug auf diese Produkt- oder Dienstleistungsart oder diese Produkt- oder Dienstleistungsgruppe nicht mehr angewandt wird, wird der Gewinn des Besteuerungszeitraums um einen Betrag erhöht, der der Plusdifferenz entspricht, die zwischen dem für diesen Besteuerungszeitraum und dem </w:t>
      </w:r>
      <w:r w:rsidR="006E1F37" w:rsidRPr="009118AB">
        <w:t>[</w:t>
      </w:r>
      <w:r w:rsidRPr="009118AB">
        <w:t>höchstens für die s</w:t>
      </w:r>
      <w:r w:rsidR="006E1F37" w:rsidRPr="009118AB">
        <w:t>echs</w:t>
      </w:r>
      <w:r w:rsidRPr="009118AB">
        <w:t xml:space="preserve"> vorhergehenden Besteuerungszeiträume</w:t>
      </w:r>
      <w:r w:rsidR="006E1F37" w:rsidRPr="009118AB">
        <w:t>]</w:t>
      </w:r>
      <w:r w:rsidRPr="009118AB">
        <w:t xml:space="preserve"> gewährten oder übertragenen Abzug für Einkünfte aus Innovationen </w:t>
      </w:r>
      <w:r w:rsidRPr="009118AB">
        <w:lastRenderedPageBreak/>
        <w:t>in Bezug auf dieses geistige Eigentumsrecht oder in Bezug auf diese Produkt- oder Dienstleistungsart oder diese Produkt- oder Dienstleistungsgruppe und dem Abzug für Einkünfte aus Innovationen besteht, der für diese Besteuerungszeiträume in Bezug auf dieses geistige Eigentumsrecht oder in Bezug auf diese Produkt- oder Dienstleistungsart oder diese Produkt- oder Dienstleistungsgruppe angewandt worden wäre, wenn der Steuerpflichtige nicht für die in Absatz 3 erwähnte Methode optiert hätte.</w:t>
      </w:r>
    </w:p>
    <w:p w14:paraId="0CD4CD92" w14:textId="77777777" w:rsidR="0031458F" w:rsidRPr="009118AB" w:rsidRDefault="0031458F" w:rsidP="0031458F">
      <w:pPr>
        <w:jc w:val="both"/>
      </w:pPr>
    </w:p>
    <w:p w14:paraId="5ADF0472" w14:textId="77777777" w:rsidR="0031458F" w:rsidRPr="009118AB" w:rsidRDefault="0031458F" w:rsidP="0031458F">
      <w:pPr>
        <w:jc w:val="both"/>
      </w:pPr>
      <w:r w:rsidRPr="009118AB">
        <w:tab/>
        <w:t>Wenn der Abzug für Einkünfte aus Innovationen in Bezug auf dieses geistige Eigentumsrecht oder in Bezug auf diese Produkt- oder Dienstleistungsart oder diese Produkt- oder Dienstleistungsgruppe nach Ablauf der in Absatz 4 erwähnten Frist weiterhin angewandt wird, wird außerdem der Restbetrag der in Absatz 1 erwähnten Ausgaben, die nicht abgezogen worden wären, wenn der Steuerpflichtige nicht für die in Absatz 3 erwähnte Methode der linearen Verteilung optiert hätte, weiterhin gemäß Absatz 2 während der folgenden Besteuerungszeiträume abgezogen.]</w:t>
      </w:r>
    </w:p>
    <w:p w14:paraId="38BA8246" w14:textId="77777777" w:rsidR="0031458F" w:rsidRPr="009118AB" w:rsidRDefault="0031458F" w:rsidP="0031458F">
      <w:pPr>
        <w:jc w:val="both"/>
      </w:pPr>
    </w:p>
    <w:p w14:paraId="662490BE" w14:textId="2DF99DCB" w:rsidR="0031458F" w:rsidRPr="009118AB" w:rsidRDefault="0031458F" w:rsidP="0031458F">
      <w:pPr>
        <w:jc w:val="both"/>
        <w:rPr>
          <w:i/>
        </w:rPr>
      </w:pPr>
      <w:r w:rsidRPr="009118AB">
        <w:rPr>
          <w:i/>
        </w:rPr>
        <w:t>[</w:t>
      </w:r>
      <w:r w:rsidR="00D67EB8" w:rsidRPr="009118AB">
        <w:rPr>
          <w:i/>
        </w:rPr>
        <w:t>Art. </w:t>
      </w:r>
      <w:r w:rsidRPr="009118AB">
        <w:rPr>
          <w:i/>
        </w:rPr>
        <w:t xml:space="preserve">205/2 eingefügt durch </w:t>
      </w:r>
      <w:r w:rsidR="00D67EB8" w:rsidRPr="009118AB">
        <w:rPr>
          <w:i/>
        </w:rPr>
        <w:t>Art. </w:t>
      </w:r>
      <w:r w:rsidRPr="009118AB">
        <w:rPr>
          <w:i/>
        </w:rPr>
        <w:t>7 des G. vom 9. Februar 201</w:t>
      </w:r>
      <w:r w:rsidR="00D27B17" w:rsidRPr="009118AB">
        <w:rPr>
          <w:i/>
        </w:rPr>
        <w:t>7 (B.S. vom 20. Februar 2017)</w:t>
      </w:r>
      <w:r w:rsidR="00D67EB8" w:rsidRPr="009118AB">
        <w:rPr>
          <w:i/>
        </w:rPr>
        <w:t> - </w:t>
      </w:r>
      <w:r w:rsidRPr="009118AB">
        <w:rPr>
          <w:i/>
        </w:rPr>
        <w:t>wirksam mit 1. Juli 2016</w:t>
      </w:r>
      <w:r w:rsidR="003366D9" w:rsidRPr="009118AB">
        <w:rPr>
          <w:i/>
        </w:rPr>
        <w:t> -;</w:t>
      </w:r>
      <w:r w:rsidR="0068045B" w:rsidRPr="009118AB">
        <w:rPr>
          <w:i/>
        </w:rPr>
        <w:t xml:space="preserve"> </w:t>
      </w:r>
      <w:r w:rsidR="00D67EB8" w:rsidRPr="009118AB">
        <w:rPr>
          <w:i/>
        </w:rPr>
        <w:t>§ </w:t>
      </w:r>
      <w:r w:rsidR="0068045B" w:rsidRPr="009118AB">
        <w:rPr>
          <w:i/>
        </w:rPr>
        <w:t xml:space="preserve">1 </w:t>
      </w:r>
      <w:r w:rsidR="00D67EB8" w:rsidRPr="009118AB">
        <w:rPr>
          <w:i/>
        </w:rPr>
        <w:t>Abs. </w:t>
      </w:r>
      <w:r w:rsidR="0068045B" w:rsidRPr="009118AB">
        <w:rPr>
          <w:i/>
        </w:rPr>
        <w:t xml:space="preserve">1 ergänzt durch </w:t>
      </w:r>
      <w:r w:rsidR="00D67EB8" w:rsidRPr="009118AB">
        <w:rPr>
          <w:i/>
        </w:rPr>
        <w:t>Art. </w:t>
      </w:r>
      <w:r w:rsidR="0068045B" w:rsidRPr="009118AB">
        <w:rPr>
          <w:i/>
        </w:rPr>
        <w:t xml:space="preserve">6 </w:t>
      </w:r>
      <w:r w:rsidR="00D67EB8" w:rsidRPr="009118AB">
        <w:rPr>
          <w:i/>
        </w:rPr>
        <w:t>Nr. </w:t>
      </w:r>
      <w:r w:rsidR="0068045B" w:rsidRPr="009118AB">
        <w:rPr>
          <w:i/>
        </w:rPr>
        <w:t>1</w:t>
      </w:r>
      <w:r w:rsidR="0068045B" w:rsidRPr="009118AB">
        <w:rPr>
          <w:i/>
          <w:iCs/>
        </w:rPr>
        <w:t xml:space="preserve"> </w:t>
      </w:r>
      <w:r w:rsidR="0068045B" w:rsidRPr="009118AB">
        <w:rPr>
          <w:rFonts w:ascii="Times New Roman Italique" w:hAnsi="Times New Roman Italique"/>
          <w:i/>
          <w:spacing w:val="2"/>
        </w:rPr>
        <w:t>des G. vom 17. Dezember 2017 (B.S. vom 22. Dezember 2017)</w:t>
      </w:r>
      <w:r w:rsidR="00D67EB8" w:rsidRPr="009118AB">
        <w:rPr>
          <w:rFonts w:ascii="Times New Roman Italique" w:hAnsi="Times New Roman Italique"/>
          <w:i/>
          <w:spacing w:val="2"/>
        </w:rPr>
        <w:t> - </w:t>
      </w:r>
      <w:r w:rsidR="0068045B" w:rsidRPr="009118AB">
        <w:rPr>
          <w:rFonts w:ascii="Times New Roman Italique" w:hAnsi="Times New Roman Italique"/>
          <w:i/>
          <w:spacing w:val="2"/>
        </w:rPr>
        <w:t>wirksam mit 1. Juli 2016</w:t>
      </w:r>
      <w:r w:rsidR="003366D9" w:rsidRPr="009118AB">
        <w:rPr>
          <w:rFonts w:ascii="Times New Roman Italique" w:hAnsi="Times New Roman Italique"/>
          <w:i/>
          <w:spacing w:val="2"/>
        </w:rPr>
        <w:t> -;</w:t>
      </w:r>
      <w:r w:rsidR="0068045B"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68045B" w:rsidRPr="009118AB">
        <w:rPr>
          <w:rFonts w:ascii="Times New Roman Italique" w:hAnsi="Times New Roman Italique"/>
          <w:i/>
          <w:spacing w:val="2"/>
        </w:rPr>
        <w:t xml:space="preserve">2 </w:t>
      </w:r>
      <w:r w:rsidR="00D67EB8" w:rsidRPr="009118AB">
        <w:rPr>
          <w:rFonts w:ascii="Times New Roman Italique" w:hAnsi="Times New Roman Italique"/>
          <w:i/>
          <w:spacing w:val="2"/>
        </w:rPr>
        <w:t>Abs. </w:t>
      </w:r>
      <w:r w:rsidR="0068045B" w:rsidRPr="009118AB">
        <w:rPr>
          <w:rFonts w:ascii="Times New Roman Italique" w:hAnsi="Times New Roman Italique"/>
          <w:i/>
          <w:spacing w:val="2"/>
        </w:rPr>
        <w:t xml:space="preserve">1 ergänzt durch </w:t>
      </w:r>
      <w:r w:rsidR="00D67EB8" w:rsidRPr="009118AB">
        <w:rPr>
          <w:rFonts w:ascii="Times New Roman Italique" w:hAnsi="Times New Roman Italique"/>
          <w:i/>
          <w:spacing w:val="2"/>
        </w:rPr>
        <w:t>Art. </w:t>
      </w:r>
      <w:r w:rsidR="0068045B" w:rsidRPr="009118AB">
        <w:rPr>
          <w:rFonts w:ascii="Times New Roman Italique" w:hAnsi="Times New Roman Italique"/>
          <w:i/>
          <w:spacing w:val="2"/>
        </w:rPr>
        <w:t xml:space="preserve">6 </w:t>
      </w:r>
      <w:r w:rsidR="00D67EB8" w:rsidRPr="009118AB">
        <w:rPr>
          <w:rFonts w:ascii="Times New Roman Italique" w:hAnsi="Times New Roman Italique"/>
          <w:i/>
          <w:spacing w:val="2"/>
        </w:rPr>
        <w:t>Nr. </w:t>
      </w:r>
      <w:r w:rsidR="0068045B" w:rsidRPr="009118AB">
        <w:rPr>
          <w:rFonts w:ascii="Times New Roman Italique" w:hAnsi="Times New Roman Italique"/>
          <w:i/>
          <w:spacing w:val="2"/>
        </w:rPr>
        <w:t>2</w:t>
      </w:r>
      <w:r w:rsidR="0068045B" w:rsidRPr="009118AB">
        <w:rPr>
          <w:i/>
          <w:iCs/>
        </w:rPr>
        <w:t xml:space="preserve"> </w:t>
      </w:r>
      <w:r w:rsidR="0068045B" w:rsidRPr="009118AB">
        <w:rPr>
          <w:rFonts w:ascii="Times New Roman Italique" w:hAnsi="Times New Roman Italique"/>
          <w:i/>
          <w:spacing w:val="2"/>
        </w:rPr>
        <w:t>des G. vom 17. Dezember 2017</w:t>
      </w:r>
      <w:r w:rsidR="00D27B17" w:rsidRPr="009118AB">
        <w:rPr>
          <w:rFonts w:ascii="Times New Roman Italique" w:hAnsi="Times New Roman Italique"/>
          <w:i/>
          <w:spacing w:val="2"/>
        </w:rPr>
        <w:t xml:space="preserve"> (B.S. vom 22. Dezember 2017)</w:t>
      </w:r>
      <w:r w:rsidR="00D67EB8" w:rsidRPr="009118AB">
        <w:rPr>
          <w:rFonts w:ascii="Times New Roman Italique" w:hAnsi="Times New Roman Italique"/>
          <w:i/>
          <w:spacing w:val="2"/>
        </w:rPr>
        <w:t> - </w:t>
      </w:r>
      <w:r w:rsidR="0068045B" w:rsidRPr="009118AB">
        <w:rPr>
          <w:rFonts w:ascii="Times New Roman Italique" w:hAnsi="Times New Roman Italique"/>
          <w:i/>
          <w:spacing w:val="2"/>
        </w:rPr>
        <w:t>wirksam mit 1. Juli 2016</w:t>
      </w:r>
      <w:r w:rsidR="003366D9" w:rsidRPr="009118AB">
        <w:rPr>
          <w:rFonts w:ascii="Times New Roman Italique" w:hAnsi="Times New Roman Italique"/>
          <w:i/>
          <w:spacing w:val="2"/>
        </w:rPr>
        <w:t> -;</w:t>
      </w:r>
      <w:r w:rsidR="006E1F37"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6E1F37" w:rsidRPr="009118AB">
        <w:rPr>
          <w:rFonts w:ascii="Times New Roman Italique" w:hAnsi="Times New Roman Italique"/>
          <w:i/>
          <w:spacing w:val="2"/>
        </w:rPr>
        <w:t xml:space="preserve">2 </w:t>
      </w:r>
      <w:r w:rsidR="00D67EB8" w:rsidRPr="009118AB">
        <w:rPr>
          <w:rFonts w:ascii="Times New Roman Italique" w:hAnsi="Times New Roman Italique"/>
          <w:i/>
          <w:spacing w:val="2"/>
        </w:rPr>
        <w:t>Abs. </w:t>
      </w:r>
      <w:r w:rsidR="006E1F37" w:rsidRPr="009118AB">
        <w:rPr>
          <w:rFonts w:ascii="Times New Roman Italique" w:hAnsi="Times New Roman Italique"/>
          <w:i/>
          <w:spacing w:val="2"/>
        </w:rPr>
        <w:t xml:space="preserve">4 abgeändert durch </w:t>
      </w:r>
      <w:r w:rsidR="00D67EB8" w:rsidRPr="009118AB">
        <w:rPr>
          <w:rFonts w:ascii="Times New Roman Italique" w:hAnsi="Times New Roman Italique"/>
          <w:i/>
          <w:spacing w:val="2"/>
        </w:rPr>
        <w:t>Art. </w:t>
      </w:r>
      <w:r w:rsidR="006E1F37" w:rsidRPr="009118AB">
        <w:rPr>
          <w:rFonts w:ascii="Times New Roman Italique" w:hAnsi="Times New Roman Italique"/>
          <w:i/>
          <w:spacing w:val="2"/>
        </w:rPr>
        <w:t>50</w:t>
      </w:r>
      <w:r w:rsidR="006E1F37" w:rsidRPr="009118AB">
        <w:rPr>
          <w:i/>
        </w:rPr>
        <w:t xml:space="preserve"> des G. vom 27. Juni 2021 (B.S. vom 30. Juni 2021)</w:t>
      </w:r>
      <w:r w:rsidRPr="009118AB">
        <w:rPr>
          <w:i/>
        </w:rPr>
        <w:t>]</w:t>
      </w:r>
    </w:p>
    <w:p w14:paraId="23D1B6A5" w14:textId="77777777" w:rsidR="004A3400" w:rsidRPr="009118AB" w:rsidRDefault="004A3400" w:rsidP="004A3400">
      <w:pPr>
        <w:jc w:val="both"/>
      </w:pPr>
    </w:p>
    <w:p w14:paraId="3F58A7D1" w14:textId="77777777" w:rsidR="0084119D" w:rsidRPr="009118AB" w:rsidRDefault="0084119D" w:rsidP="004A3400">
      <w:pPr>
        <w:jc w:val="both"/>
      </w:pPr>
    </w:p>
    <w:p w14:paraId="472AC887" w14:textId="106DE79F" w:rsidR="004A3400" w:rsidRPr="009118AB" w:rsidRDefault="00307C2B" w:rsidP="00AD2494">
      <w:pPr>
        <w:ind w:firstLine="720"/>
        <w:jc w:val="both"/>
      </w:pPr>
      <w:r w:rsidRPr="009118AB">
        <w:t>[</w:t>
      </w:r>
      <w:r w:rsidR="00D67EB8" w:rsidRPr="009118AB">
        <w:rPr>
          <w:b/>
        </w:rPr>
        <w:t>Art. </w:t>
      </w:r>
      <w:r w:rsidR="004A3400" w:rsidRPr="009118AB">
        <w:rPr>
          <w:b/>
        </w:rPr>
        <w:t>205</w:t>
      </w:r>
      <w:r w:rsidR="004A3400" w:rsidRPr="009118AB">
        <w:rPr>
          <w:b/>
          <w:vertAlign w:val="superscript"/>
        </w:rPr>
        <w:t>3</w:t>
      </w:r>
      <w:r w:rsidR="00D67EB8" w:rsidRPr="009118AB">
        <w:t> - </w:t>
      </w:r>
      <w:r w:rsidR="00AD2494" w:rsidRPr="009118AB">
        <w:t>[...]</w:t>
      </w:r>
      <w:r w:rsidRPr="009118AB">
        <w:t>]</w:t>
      </w:r>
    </w:p>
    <w:p w14:paraId="4F5BC772" w14:textId="77777777" w:rsidR="004A3400" w:rsidRPr="009118AB" w:rsidRDefault="004A3400" w:rsidP="004A3400">
      <w:pPr>
        <w:jc w:val="both"/>
      </w:pPr>
    </w:p>
    <w:p w14:paraId="0EFF498B" w14:textId="50330B15" w:rsidR="0084119D" w:rsidRPr="009118AB" w:rsidRDefault="0084119D" w:rsidP="0084119D">
      <w:pPr>
        <w:jc w:val="both"/>
      </w:pPr>
      <w:r w:rsidRPr="009118AB">
        <w:rPr>
          <w:i/>
        </w:rPr>
        <w:t>[</w:t>
      </w:r>
      <w:r w:rsidR="00D67EB8" w:rsidRPr="009118AB">
        <w:rPr>
          <w:i/>
        </w:rPr>
        <w:t>Art. </w:t>
      </w:r>
      <w:r w:rsidRPr="009118AB">
        <w:rPr>
          <w:i/>
        </w:rPr>
        <w:t>205</w:t>
      </w:r>
      <w:r w:rsidRPr="009118AB">
        <w:rPr>
          <w:i/>
          <w:vertAlign w:val="superscript"/>
        </w:rPr>
        <w:t>3</w:t>
      </w:r>
      <w:r w:rsidR="002C1851" w:rsidRPr="009118AB">
        <w:rPr>
          <w:i/>
        </w:rPr>
        <w:t xml:space="preserve"> eingefügt durch </w:t>
      </w:r>
      <w:r w:rsidR="00D67EB8" w:rsidRPr="009118AB">
        <w:rPr>
          <w:i/>
        </w:rPr>
        <w:t>Art. </w:t>
      </w:r>
      <w:r w:rsidRPr="009118AB">
        <w:rPr>
          <w:i/>
        </w:rPr>
        <w:t>8</w:t>
      </w:r>
      <w:r w:rsidR="000843A1" w:rsidRPr="009118AB">
        <w:rPr>
          <w:i/>
        </w:rPr>
        <w:t>9</w:t>
      </w:r>
      <w:r w:rsidR="002C1851" w:rsidRPr="009118AB">
        <w:rPr>
          <w:i/>
        </w:rPr>
        <w:t xml:space="preserve"> des G. vom 27. April </w:t>
      </w:r>
      <w:r w:rsidRPr="009118AB">
        <w:rPr>
          <w:i/>
        </w:rPr>
        <w:t>2007</w:t>
      </w:r>
      <w:r w:rsidR="002C1851" w:rsidRPr="009118AB">
        <w:rPr>
          <w:i/>
        </w:rPr>
        <w:t> </w:t>
      </w:r>
      <w:r w:rsidR="00E9592B" w:rsidRPr="009118AB">
        <w:rPr>
          <w:i/>
        </w:rPr>
        <w:t xml:space="preserve">(I) </w:t>
      </w:r>
      <w:r w:rsidR="002C1851" w:rsidRPr="009118AB">
        <w:rPr>
          <w:i/>
        </w:rPr>
        <w:t>(B.S. vom 8. Mai </w:t>
      </w:r>
      <w:r w:rsidRPr="009118AB">
        <w:rPr>
          <w:i/>
        </w:rPr>
        <w:t>2007)</w:t>
      </w:r>
      <w:r w:rsidR="00D67EB8" w:rsidRPr="009118AB">
        <w:rPr>
          <w:i/>
          <w:iCs/>
        </w:rPr>
        <w:t> - </w:t>
      </w:r>
      <w:r w:rsidRPr="009118AB">
        <w:rPr>
          <w:i/>
          <w:iCs/>
        </w:rPr>
        <w:t xml:space="preserve">anwendbar </w:t>
      </w:r>
      <w:r w:rsidR="002C1851" w:rsidRPr="009118AB">
        <w:rPr>
          <w:i/>
        </w:rPr>
        <w:t>ab dem Steuerjahr </w:t>
      </w:r>
      <w:r w:rsidRPr="009118AB">
        <w:rPr>
          <w:i/>
        </w:rPr>
        <w:t>2008 auf</w:t>
      </w:r>
      <w:r w:rsidR="002C1851" w:rsidRPr="009118AB">
        <w:rPr>
          <w:i/>
        </w:rPr>
        <w:t xml:space="preserve"> die in Artikel </w:t>
      </w:r>
      <w:r w:rsidRPr="009118AB">
        <w:rPr>
          <w:i/>
        </w:rPr>
        <w:t>205</w:t>
      </w:r>
      <w:r w:rsidRPr="009118AB">
        <w:rPr>
          <w:i/>
          <w:vertAlign w:val="superscript"/>
        </w:rPr>
        <w:t>2</w:t>
      </w:r>
      <w:r w:rsidRPr="009118AB">
        <w:rPr>
          <w:i/>
        </w:rPr>
        <w:t xml:space="preserve"> des Einkommensteuer</w:t>
      </w:r>
      <w:r w:rsidR="00C33A35" w:rsidRPr="009118AB">
        <w:rPr>
          <w:i/>
        </w:rPr>
        <w:softHyphen/>
      </w:r>
      <w:r w:rsidRPr="009118AB">
        <w:rPr>
          <w:i/>
        </w:rPr>
        <w:t>gesetzbuches 1992 erwähnten Einkünfte aus Patenten, die sich auf Patente im Sinne von Artikel</w:t>
      </w:r>
      <w:r w:rsidR="00487D41" w:rsidRPr="009118AB">
        <w:rPr>
          <w:i/>
        </w:rPr>
        <w:t> </w:t>
      </w:r>
      <w:r w:rsidRPr="009118AB">
        <w:rPr>
          <w:i/>
        </w:rPr>
        <w:t>205</w:t>
      </w:r>
      <w:r w:rsidRPr="009118AB">
        <w:rPr>
          <w:i/>
          <w:vertAlign w:val="superscript"/>
        </w:rPr>
        <w:t>2</w:t>
      </w:r>
      <w:r w:rsidRPr="009118AB">
        <w:rPr>
          <w:i/>
        </w:rPr>
        <w:t> </w:t>
      </w:r>
      <w:r w:rsidR="00D67EB8" w:rsidRPr="009118AB">
        <w:rPr>
          <w:i/>
        </w:rPr>
        <w:t>§ </w:t>
      </w:r>
      <w:r w:rsidRPr="009118AB">
        <w:rPr>
          <w:i/>
        </w:rPr>
        <w:t>2 desselben Gesetzbuches beziehen, die die Gesellschaft, ein Lizenznehmer oder verbundene Unternehmen nicht vor dem 1. Januar 2007 zum Verkauf von Gütern oder Dienstleistungen an unabhängige Dritte genutzt hat</w:t>
      </w:r>
      <w:r w:rsidR="00D67EB8" w:rsidRPr="009118AB">
        <w:rPr>
          <w:i/>
        </w:rPr>
        <w:t> - </w:t>
      </w:r>
      <w:r w:rsidR="00AD2494" w:rsidRPr="009118AB">
        <w:rPr>
          <w:i/>
          <w:iCs/>
        </w:rPr>
        <w:t xml:space="preserve">und aufgehoben durch </w:t>
      </w:r>
      <w:r w:rsidR="00D67EB8" w:rsidRPr="009118AB">
        <w:rPr>
          <w:i/>
          <w:iCs/>
        </w:rPr>
        <w:t>Art. </w:t>
      </w:r>
      <w:r w:rsidR="002C1851" w:rsidRPr="009118AB">
        <w:rPr>
          <w:i/>
          <w:iCs/>
        </w:rPr>
        <w:t>6 des G. vom 3. August 2016 </w:t>
      </w:r>
      <w:r w:rsidR="00E616A4" w:rsidRPr="009118AB">
        <w:rPr>
          <w:i/>
          <w:iCs/>
        </w:rPr>
        <w:t xml:space="preserve">(I) </w:t>
      </w:r>
      <w:r w:rsidR="00AD2494" w:rsidRPr="009118AB">
        <w:rPr>
          <w:i/>
          <w:iCs/>
        </w:rPr>
        <w:t>(B.S. vom 28. März 2017)</w:t>
      </w:r>
      <w:r w:rsidR="00D67EB8" w:rsidRPr="009118AB">
        <w:rPr>
          <w:i/>
          <w:iCs/>
        </w:rPr>
        <w:t> - </w:t>
      </w:r>
      <w:r w:rsidR="00AD2494" w:rsidRPr="009118AB">
        <w:rPr>
          <w:i/>
          <w:iCs/>
        </w:rPr>
        <w:t>in Kraft am 1. Juli 2016</w:t>
      </w:r>
      <w:r w:rsidR="00FD68E8" w:rsidRPr="009118AB">
        <w:rPr>
          <w:i/>
          <w:iCs/>
        </w:rPr>
        <w:t> -]</w:t>
      </w:r>
    </w:p>
    <w:p w14:paraId="72B506E6" w14:textId="77777777" w:rsidR="0084119D" w:rsidRPr="009118AB" w:rsidRDefault="0084119D" w:rsidP="004A3400">
      <w:pPr>
        <w:jc w:val="both"/>
      </w:pPr>
    </w:p>
    <w:p w14:paraId="25D6A89B" w14:textId="77777777" w:rsidR="0031458F" w:rsidRPr="009118AB" w:rsidRDefault="0031458F" w:rsidP="004A3400">
      <w:pPr>
        <w:jc w:val="both"/>
      </w:pPr>
    </w:p>
    <w:p w14:paraId="370F104F" w14:textId="03FC32AA" w:rsidR="0031458F" w:rsidRPr="009118AB" w:rsidRDefault="0031458F" w:rsidP="0031458F">
      <w:pPr>
        <w:jc w:val="both"/>
      </w:pPr>
      <w:r w:rsidRPr="009118AB">
        <w:tab/>
        <w:t>[</w:t>
      </w:r>
      <w:r w:rsidR="00D67EB8" w:rsidRPr="009118AB">
        <w:rPr>
          <w:b/>
        </w:rPr>
        <w:t>Art. </w:t>
      </w:r>
      <w:r w:rsidRPr="009118AB">
        <w:rPr>
          <w:b/>
        </w:rPr>
        <w:t>205/3</w:t>
      </w:r>
      <w:r w:rsidR="00D67EB8" w:rsidRPr="009118AB">
        <w:t> - § </w:t>
      </w:r>
      <w:r w:rsidRPr="009118AB">
        <w:t>1</w:t>
      </w:r>
      <w:r w:rsidR="00D67EB8" w:rsidRPr="009118AB">
        <w:t> - </w:t>
      </w:r>
      <w:r w:rsidRPr="009118AB">
        <w:t>Gemäß Artikel 205/2 getrennt bestimmte Einkünfte aus Innova</w:t>
      </w:r>
      <w:r w:rsidRPr="009118AB">
        <w:softHyphen/>
        <w:t>tionen werden mit einem Bruch multipliziert:</w:t>
      </w:r>
    </w:p>
    <w:p w14:paraId="57F183E9" w14:textId="77777777" w:rsidR="0031458F" w:rsidRPr="009118AB" w:rsidRDefault="0031458F" w:rsidP="0031458F">
      <w:pPr>
        <w:jc w:val="both"/>
      </w:pPr>
    </w:p>
    <w:p w14:paraId="675E59FC" w14:textId="77777777" w:rsidR="0031458F" w:rsidRPr="009118AB" w:rsidRDefault="0031458F" w:rsidP="0031458F">
      <w:pPr>
        <w:jc w:val="both"/>
      </w:pPr>
      <w:r w:rsidRPr="009118AB">
        <w:tab/>
        <w:t>- dessen Zähler den in Betracht kommenden Ausgaben entspricht, die in dem Besteuerungszeitraum und in den vorhergehenden Besteuerungszeiträumen getätigt worden sind und sich auf das geistige Eigentumsrecht oder auf die Produkt- oder Dienstleistungsart oder die Produkt- oder Dienstleistungsgruppe beziehen, aus dem/der diese Einkünfte aus Innovationen hervorgehen. Die so erhaltene Zahl kann dann um 30 Prozent erhöht werden bis höchstens zur Zahl des Nenners,</w:t>
      </w:r>
    </w:p>
    <w:p w14:paraId="29AEF84F" w14:textId="77777777" w:rsidR="0031458F" w:rsidRPr="009118AB" w:rsidRDefault="0031458F" w:rsidP="0031458F">
      <w:pPr>
        <w:jc w:val="both"/>
      </w:pPr>
    </w:p>
    <w:p w14:paraId="3878A76C" w14:textId="77777777" w:rsidR="0031458F" w:rsidRPr="009118AB" w:rsidRDefault="0031458F" w:rsidP="0031458F">
      <w:pPr>
        <w:jc w:val="both"/>
      </w:pPr>
      <w:r w:rsidRPr="009118AB">
        <w:tab/>
        <w:t>- dessen Nenner den Gesamtausgaben entspricht, die in dem Besteuerungszeitraum und in den vorhergehenden Besteuerungszeiträumen getätigt worden sind und sich auf das geistige Eigentumsrecht oder auf die Produkt- oder Dienstleistungsart oder die Produkt- oder Dienstleistungsgruppe beziehen, aus dem/der diese Einkünfte aus Innovationen hervorgehen.</w:t>
      </w:r>
    </w:p>
    <w:p w14:paraId="07BBA0F8" w14:textId="77777777" w:rsidR="0031458F" w:rsidRPr="009118AB" w:rsidRDefault="0031458F" w:rsidP="0031458F">
      <w:pPr>
        <w:jc w:val="both"/>
      </w:pPr>
    </w:p>
    <w:p w14:paraId="441B0F8D" w14:textId="08E61FB3" w:rsidR="0031458F" w:rsidRPr="009118AB" w:rsidRDefault="0031458F" w:rsidP="0031458F">
      <w:pPr>
        <w:jc w:val="both"/>
      </w:pPr>
      <w:r w:rsidRPr="009118AB">
        <w:lastRenderedPageBreak/>
        <w:tab/>
        <w:t xml:space="preserve">In Abweichung von Absatz 1 und sofern nicht für mindestens drei aufeinander folgende Besteuerungszeiträume Belege gemäß Artikel 205/4 </w:t>
      </w:r>
      <w:r w:rsidR="00D67EB8" w:rsidRPr="009118AB">
        <w:t>§ </w:t>
      </w:r>
      <w:r w:rsidRPr="009118AB">
        <w:t>1 zur Verfügung gehalten werden konnten, werden für die Steuerjahre 2019 und vorhergehende gemäß Artikel 205/2 getrennt bestimmte Einkünfte aus Innovationen mit einem Bruch multipliziert:</w:t>
      </w:r>
    </w:p>
    <w:p w14:paraId="5D307CAC" w14:textId="77777777" w:rsidR="0031458F" w:rsidRPr="009118AB" w:rsidRDefault="0031458F" w:rsidP="0031458F">
      <w:pPr>
        <w:jc w:val="both"/>
      </w:pPr>
    </w:p>
    <w:p w14:paraId="282BB444" w14:textId="5B6F4ED3" w:rsidR="0031458F" w:rsidRPr="009118AB" w:rsidRDefault="0031458F" w:rsidP="0031458F">
      <w:pPr>
        <w:jc w:val="both"/>
      </w:pPr>
      <w:r w:rsidRPr="009118AB">
        <w:tab/>
        <w:t>- dessen Nenner allen Ausgaben entspricht, die in diesem Besteuerungszeitraum und in einem der beiden vorhergehenden Besteuerungszeiträumen im Rahmen von Forschungs- oder Entwicklungsprojekten oder -programmen wie in Artikel 275</w:t>
      </w:r>
      <w:r w:rsidRPr="009118AB">
        <w:rPr>
          <w:vertAlign w:val="superscript"/>
        </w:rPr>
        <w:t>3</w:t>
      </w:r>
      <w:r w:rsidRPr="009118AB">
        <w:t xml:space="preserve"> </w:t>
      </w:r>
      <w:r w:rsidR="00D67EB8" w:rsidRPr="009118AB">
        <w:t>§ </w:t>
      </w:r>
      <w:r w:rsidRPr="009118AB">
        <w:t>3 erwähnt getätigt worden sind,</w:t>
      </w:r>
    </w:p>
    <w:p w14:paraId="2FAF701E" w14:textId="77777777" w:rsidR="0031458F" w:rsidRPr="009118AB" w:rsidRDefault="0031458F" w:rsidP="0031458F">
      <w:pPr>
        <w:jc w:val="both"/>
      </w:pPr>
    </w:p>
    <w:p w14:paraId="786CF973" w14:textId="77777777" w:rsidR="0031458F" w:rsidRPr="009118AB" w:rsidRDefault="0031458F" w:rsidP="0031458F">
      <w:pPr>
        <w:jc w:val="both"/>
      </w:pPr>
      <w:r w:rsidRPr="009118AB">
        <w:tab/>
        <w:t>- dessen Zähler der Zahl des Nenners entspricht, ausgenommen Ausgaben für den Erwerb eines geistigen Eigentumsrechts und Ausgaben, die Vergütungen für ein verbundenes Unternehmen darstellen, außer wenn das verbundene Unternehmen diese Vergütungen ohne Marge an ein nicht verbundenes Unternehmen weiterleitet. Die so erhaltene Zahl kann dann um 30 Prozent erhöht werden bis höchstens zur Zahl des Nenners.</w:t>
      </w:r>
    </w:p>
    <w:p w14:paraId="07AAA6B8" w14:textId="77777777" w:rsidR="0031458F" w:rsidRPr="009118AB" w:rsidRDefault="0031458F" w:rsidP="0031458F">
      <w:pPr>
        <w:jc w:val="both"/>
      </w:pPr>
    </w:p>
    <w:p w14:paraId="38CA90B9" w14:textId="3DE08022" w:rsidR="0031458F" w:rsidRPr="009118AB" w:rsidRDefault="0031458F" w:rsidP="0031458F">
      <w:pPr>
        <w:jc w:val="both"/>
      </w:pPr>
      <w:r w:rsidRPr="009118AB">
        <w:tab/>
        <w:t xml:space="preserve">Ab dem Besteuerungszeitraum, in dem eine Gesellschaft, die in Bezug auf ein geistiges Eigentumsrecht oder in Bezug auf eine Produkt- oder Dienstleistungsart oder eine Produkt- oder Dienstleistungsgruppe im Laufe der vorhergehenden Besteuerungszeiträume den in vorliegendem Artikel erwähnten Bruch auf der Grundlage der in Absatz 2 erwähnten Methode angewandt hat, gemäß Artikel 205/4 </w:t>
      </w:r>
      <w:r w:rsidR="00D67EB8" w:rsidRPr="009118AB">
        <w:t>§ </w:t>
      </w:r>
      <w:r w:rsidRPr="009118AB">
        <w:t>1 für drei aufeinander folgende Besteuerungszeiträume in Bezug auf das geistige Eigentumsrecht oder in Bezug auf die Produkt- oder Dienstleistungsart oder die Produkt- oder Dienstleistungsgruppe Belege zur Verfügung halten kann, und spätestens ab dem Steuerjahr 2020 wird der Bruch auf der Grundlage von Absatz 1 bestimmt und auf die Ausgaben beschränkt, die in dem ersten Besteuerungszeitraum, für den die Gesellschaft in Bezug auf das geistige Eigentumsrecht oder in Bezug auf die Produkt- oder Dienstleistungsart oder die Produkt- oder Dienstleistungs</w:t>
      </w:r>
      <w:r w:rsidRPr="009118AB">
        <w:softHyphen/>
        <w:t>gruppe Belege zur Verfügung halten konnte, und in den folgenden Besteuerungszeiträumen getätigt wurden.</w:t>
      </w:r>
    </w:p>
    <w:p w14:paraId="4E1EE5AB" w14:textId="77777777" w:rsidR="0031458F" w:rsidRPr="009118AB" w:rsidRDefault="0031458F" w:rsidP="0031458F">
      <w:pPr>
        <w:jc w:val="both"/>
      </w:pPr>
    </w:p>
    <w:p w14:paraId="125DB082" w14:textId="3FA12C39" w:rsidR="0031458F" w:rsidRPr="009118AB" w:rsidRDefault="0031458F" w:rsidP="0031458F">
      <w:pPr>
        <w:jc w:val="both"/>
      </w:pPr>
      <w:r w:rsidRPr="009118AB">
        <w:tab/>
      </w:r>
      <w:r w:rsidR="00D67EB8" w:rsidRPr="009118AB">
        <w:t>§ </w:t>
      </w:r>
      <w:r w:rsidRPr="009118AB">
        <w:t>2</w:t>
      </w:r>
      <w:r w:rsidR="00D67EB8" w:rsidRPr="009118AB">
        <w:t> - </w:t>
      </w:r>
      <w:r w:rsidRPr="009118AB">
        <w:t xml:space="preserve">In Abweichung von </w:t>
      </w:r>
      <w:r w:rsidR="00D67EB8" w:rsidRPr="009118AB">
        <w:t>§ </w:t>
      </w:r>
      <w:r w:rsidRPr="009118AB">
        <w:t>1 kann die Gesellschaft den Bruch, mit dem die gemäß Artikel 205/2 getrennt bestimmten Einkünfte aus Innovationen multipliziert werden, auf der Grundlage des Verhältnisses des Mehrwertes der von ihr selbst ausgeführten Forschungs- und Entwicklungstätigkeiten zur Gesamtheit der Forschungs- und Entwicklungstätigkeiten in Bezug auf ein geistiges Eigentumsrecht oder in Bezug auf eine Produkt- oder Dienstleistungsart oder eine Produkt- oder Dienstleistungsgruppe bestimmen, sofern folgende Bedingungen erfüllt sind:</w:t>
      </w:r>
    </w:p>
    <w:p w14:paraId="2F492778" w14:textId="77777777" w:rsidR="0031458F" w:rsidRPr="009118AB" w:rsidRDefault="0031458F" w:rsidP="0031458F">
      <w:pPr>
        <w:jc w:val="both"/>
      </w:pPr>
    </w:p>
    <w:p w14:paraId="247C01EF" w14:textId="7CFEE12B" w:rsidR="0031458F" w:rsidRPr="009118AB" w:rsidRDefault="0031458F" w:rsidP="0031458F">
      <w:pPr>
        <w:jc w:val="both"/>
      </w:pPr>
      <w:r w:rsidRPr="009118AB">
        <w:tab/>
        <w:t xml:space="preserve">- Der gemäß </w:t>
      </w:r>
      <w:r w:rsidR="00D67EB8" w:rsidRPr="009118AB">
        <w:t>§ </w:t>
      </w:r>
      <w:r w:rsidRPr="009118AB">
        <w:t>1 Absatz 1 oder 2 bestimmte Bruch beträgt</w:t>
      </w:r>
      <w:r w:rsidR="00D67EB8" w:rsidRPr="009118AB">
        <w:t> - </w:t>
      </w:r>
      <w:r w:rsidRPr="009118AB">
        <w:t>vor Anwendung der Erhöhung von 30 Prozent</w:t>
      </w:r>
      <w:r w:rsidR="00D67EB8" w:rsidRPr="009118AB">
        <w:t> - </w:t>
      </w:r>
      <w:r w:rsidRPr="009118AB">
        <w:t>mindestens 25 Prozent.</w:t>
      </w:r>
    </w:p>
    <w:p w14:paraId="4462F169" w14:textId="77777777" w:rsidR="0031458F" w:rsidRPr="009118AB" w:rsidRDefault="0031458F" w:rsidP="0031458F">
      <w:pPr>
        <w:jc w:val="both"/>
      </w:pPr>
    </w:p>
    <w:p w14:paraId="22D41CD7" w14:textId="087031AC" w:rsidR="0031458F" w:rsidRPr="009118AB" w:rsidRDefault="0031458F" w:rsidP="0031458F">
      <w:pPr>
        <w:jc w:val="both"/>
      </w:pPr>
      <w:r w:rsidRPr="009118AB">
        <w:tab/>
        <w:t xml:space="preserve">- Die Gesellschaft weist nach, dass der gemäß </w:t>
      </w:r>
      <w:r w:rsidR="00D67EB8" w:rsidRPr="009118AB">
        <w:t>§ </w:t>
      </w:r>
      <w:r w:rsidRPr="009118AB">
        <w:t>1 Absatz 1 oder 2 bestimmte Bruch aufgrund außergewöhnlicher Umstände nicht dem Mehrwert der von ihr selbst ausgeführten Forschungs- und Entwicklungstätigkeiten im Verhältnis zur Gesamtheit der Forschungs- und Entwicklungstätigkeiten in Bezug auf ein geistiges Eigentumsrecht oder in Bezug auf eine Produkt- oder Dienstleistungsart oder eine Produkt- oder Dienstleistungsgruppe entspricht.</w:t>
      </w:r>
    </w:p>
    <w:p w14:paraId="3E6339D3" w14:textId="77777777" w:rsidR="0031458F" w:rsidRPr="009118AB" w:rsidRDefault="0031458F" w:rsidP="0031458F">
      <w:pPr>
        <w:jc w:val="both"/>
      </w:pPr>
    </w:p>
    <w:p w14:paraId="7FAE25B2" w14:textId="77777777" w:rsidR="0031458F" w:rsidRPr="009118AB" w:rsidRDefault="0031458F" w:rsidP="0031458F">
      <w:pPr>
        <w:jc w:val="both"/>
      </w:pPr>
      <w:r w:rsidRPr="009118AB">
        <w:tab/>
        <w:t>Die Gesellschaft liefert jedes Jahr den Nachweis, dass die in Absatz 1 erwähnten Bedingungen weiterhin erfüllt sind.</w:t>
      </w:r>
    </w:p>
    <w:p w14:paraId="56E919E5" w14:textId="77777777" w:rsidR="0031458F" w:rsidRPr="009118AB" w:rsidRDefault="0031458F" w:rsidP="0031458F">
      <w:pPr>
        <w:jc w:val="both"/>
      </w:pPr>
    </w:p>
    <w:p w14:paraId="47934653" w14:textId="77777777" w:rsidR="0031458F" w:rsidRPr="009118AB" w:rsidRDefault="0031458F" w:rsidP="0031458F">
      <w:pPr>
        <w:jc w:val="both"/>
      </w:pPr>
      <w:r w:rsidRPr="009118AB">
        <w:lastRenderedPageBreak/>
        <w:tab/>
        <w:t>Absatz 1 wird angewandt durch Vorausentscheidung gemäß dem Gesetz vom 24. Dezember 2002 zur Abänderung der Gesellschaftsregelung in Bezug auf die Einkommen</w:t>
      </w:r>
      <w:r w:rsidRPr="009118AB">
        <w:softHyphen/>
        <w:t>steuer und zur Einführung eines Systems der Vorausentscheidung in Steuerangelegenheiten.]</w:t>
      </w:r>
    </w:p>
    <w:p w14:paraId="77FDB9B6" w14:textId="77777777" w:rsidR="0031458F" w:rsidRPr="009118AB" w:rsidRDefault="0031458F" w:rsidP="0031458F">
      <w:pPr>
        <w:jc w:val="both"/>
      </w:pPr>
    </w:p>
    <w:p w14:paraId="5BCA79F8" w14:textId="2CFAE7C2" w:rsidR="0031458F" w:rsidRPr="009118AB" w:rsidRDefault="0031458F" w:rsidP="0031458F">
      <w:pPr>
        <w:jc w:val="both"/>
        <w:rPr>
          <w:i/>
        </w:rPr>
      </w:pPr>
      <w:r w:rsidRPr="009118AB">
        <w:rPr>
          <w:i/>
        </w:rPr>
        <w:t>[</w:t>
      </w:r>
      <w:r w:rsidR="00D67EB8" w:rsidRPr="009118AB">
        <w:rPr>
          <w:i/>
        </w:rPr>
        <w:t>Art. </w:t>
      </w:r>
      <w:r w:rsidRPr="009118AB">
        <w:rPr>
          <w:i/>
        </w:rPr>
        <w:t xml:space="preserve">205/3 eingefügt durch </w:t>
      </w:r>
      <w:r w:rsidR="00D67EB8" w:rsidRPr="009118AB">
        <w:rPr>
          <w:i/>
        </w:rPr>
        <w:t>Art. </w:t>
      </w:r>
      <w:r w:rsidRPr="009118AB">
        <w:rPr>
          <w:i/>
        </w:rPr>
        <w:t>8 des G. vom 9. Februar 201</w:t>
      </w:r>
      <w:r w:rsidR="00D27B17" w:rsidRPr="009118AB">
        <w:rPr>
          <w:i/>
        </w:rPr>
        <w:t>7 (B.S. vom 20. Februar 2017)</w:t>
      </w:r>
      <w:r w:rsidR="00D67EB8" w:rsidRPr="009118AB">
        <w:rPr>
          <w:i/>
        </w:rPr>
        <w:t> - </w:t>
      </w:r>
      <w:r w:rsidRPr="009118AB">
        <w:rPr>
          <w:i/>
        </w:rPr>
        <w:t>wirksam mit 1. Juli 2016</w:t>
      </w:r>
      <w:r w:rsidR="00FD68E8" w:rsidRPr="009118AB">
        <w:rPr>
          <w:i/>
        </w:rPr>
        <w:t> -]</w:t>
      </w:r>
    </w:p>
    <w:p w14:paraId="01B60CDE" w14:textId="77777777" w:rsidR="004A3400" w:rsidRPr="009118AB" w:rsidRDefault="004A3400" w:rsidP="004A3400">
      <w:pPr>
        <w:jc w:val="both"/>
      </w:pPr>
    </w:p>
    <w:p w14:paraId="40185818" w14:textId="77777777" w:rsidR="0031458F" w:rsidRPr="009118AB" w:rsidRDefault="0031458F" w:rsidP="004A3400">
      <w:pPr>
        <w:jc w:val="both"/>
      </w:pPr>
    </w:p>
    <w:p w14:paraId="00F87A73" w14:textId="35572BB5" w:rsidR="004A3400" w:rsidRPr="009118AB" w:rsidRDefault="00307C2B" w:rsidP="004A3400">
      <w:pPr>
        <w:ind w:firstLine="720"/>
        <w:jc w:val="both"/>
      </w:pPr>
      <w:r w:rsidRPr="009118AB">
        <w:rPr>
          <w:bCs/>
        </w:rPr>
        <w:t>[</w:t>
      </w:r>
      <w:r w:rsidR="00D67EB8" w:rsidRPr="009118AB">
        <w:rPr>
          <w:b/>
        </w:rPr>
        <w:t>Art. </w:t>
      </w:r>
      <w:r w:rsidR="004A3400" w:rsidRPr="009118AB">
        <w:rPr>
          <w:b/>
        </w:rPr>
        <w:t>205</w:t>
      </w:r>
      <w:r w:rsidR="004A3400" w:rsidRPr="009118AB">
        <w:rPr>
          <w:b/>
          <w:vertAlign w:val="superscript"/>
        </w:rPr>
        <w:t>4</w:t>
      </w:r>
      <w:r w:rsidR="00D67EB8" w:rsidRPr="009118AB">
        <w:t> - </w:t>
      </w:r>
      <w:r w:rsidR="00AD2494" w:rsidRPr="009118AB">
        <w:t>[...]</w:t>
      </w:r>
      <w:r w:rsidRPr="009118AB">
        <w:t>]</w:t>
      </w:r>
    </w:p>
    <w:p w14:paraId="577E3D35" w14:textId="77777777" w:rsidR="0084119D" w:rsidRPr="009118AB" w:rsidRDefault="0084119D" w:rsidP="0084119D">
      <w:pPr>
        <w:jc w:val="both"/>
      </w:pPr>
    </w:p>
    <w:p w14:paraId="20FEF346" w14:textId="159BD5FE" w:rsidR="0084119D" w:rsidRPr="009118AB" w:rsidRDefault="0084119D" w:rsidP="0084119D">
      <w:pPr>
        <w:jc w:val="both"/>
      </w:pPr>
      <w:r w:rsidRPr="009118AB">
        <w:rPr>
          <w:i/>
        </w:rPr>
        <w:t>[</w:t>
      </w:r>
      <w:r w:rsidR="00D67EB8" w:rsidRPr="009118AB">
        <w:rPr>
          <w:i/>
        </w:rPr>
        <w:t>Art. </w:t>
      </w:r>
      <w:r w:rsidRPr="009118AB">
        <w:rPr>
          <w:i/>
        </w:rPr>
        <w:t>205</w:t>
      </w:r>
      <w:r w:rsidRPr="009118AB">
        <w:rPr>
          <w:i/>
          <w:vertAlign w:val="superscript"/>
        </w:rPr>
        <w:t>4</w:t>
      </w:r>
      <w:r w:rsidR="002C1851" w:rsidRPr="009118AB">
        <w:rPr>
          <w:i/>
        </w:rPr>
        <w:t xml:space="preserve"> eingefügt durch </w:t>
      </w:r>
      <w:r w:rsidR="00D67EB8" w:rsidRPr="009118AB">
        <w:rPr>
          <w:i/>
        </w:rPr>
        <w:t>Art. </w:t>
      </w:r>
      <w:r w:rsidR="000843A1" w:rsidRPr="009118AB">
        <w:rPr>
          <w:i/>
        </w:rPr>
        <w:t>90</w:t>
      </w:r>
      <w:r w:rsidR="002C1851" w:rsidRPr="009118AB">
        <w:rPr>
          <w:i/>
        </w:rPr>
        <w:t xml:space="preserve"> des G. vom 27. April </w:t>
      </w:r>
      <w:r w:rsidRPr="009118AB">
        <w:rPr>
          <w:i/>
        </w:rPr>
        <w:t>2007</w:t>
      </w:r>
      <w:r w:rsidR="002C1851" w:rsidRPr="009118AB">
        <w:rPr>
          <w:i/>
        </w:rPr>
        <w:t> </w:t>
      </w:r>
      <w:r w:rsidR="00E9592B" w:rsidRPr="009118AB">
        <w:rPr>
          <w:i/>
        </w:rPr>
        <w:t xml:space="preserve">(I) </w:t>
      </w:r>
      <w:r w:rsidR="002C1851" w:rsidRPr="009118AB">
        <w:rPr>
          <w:i/>
        </w:rPr>
        <w:t>(B.S. vom 8. Mai </w:t>
      </w:r>
      <w:r w:rsidRPr="009118AB">
        <w:rPr>
          <w:i/>
        </w:rPr>
        <w:t>2007)</w:t>
      </w:r>
      <w:r w:rsidR="00D67EB8" w:rsidRPr="009118AB">
        <w:rPr>
          <w:i/>
          <w:iCs/>
        </w:rPr>
        <w:t> - </w:t>
      </w:r>
      <w:r w:rsidRPr="009118AB">
        <w:rPr>
          <w:i/>
          <w:iCs/>
        </w:rPr>
        <w:t xml:space="preserve">anwendbar </w:t>
      </w:r>
      <w:r w:rsidR="002C1851" w:rsidRPr="009118AB">
        <w:rPr>
          <w:i/>
        </w:rPr>
        <w:t>ab dem Steuerjahr </w:t>
      </w:r>
      <w:r w:rsidRPr="009118AB">
        <w:rPr>
          <w:i/>
        </w:rPr>
        <w:t>2008 auf</w:t>
      </w:r>
      <w:r w:rsidR="0040383E" w:rsidRPr="009118AB">
        <w:rPr>
          <w:i/>
        </w:rPr>
        <w:t xml:space="preserve"> die in Artikel </w:t>
      </w:r>
      <w:r w:rsidRPr="009118AB">
        <w:rPr>
          <w:i/>
        </w:rPr>
        <w:t>205</w:t>
      </w:r>
      <w:r w:rsidRPr="009118AB">
        <w:rPr>
          <w:i/>
          <w:vertAlign w:val="superscript"/>
        </w:rPr>
        <w:t>2</w:t>
      </w:r>
      <w:r w:rsidRPr="009118AB">
        <w:rPr>
          <w:i/>
        </w:rPr>
        <w:t xml:space="preserve"> des Einkommensteuer</w:t>
      </w:r>
      <w:r w:rsidR="0040383E" w:rsidRPr="009118AB">
        <w:rPr>
          <w:i/>
        </w:rPr>
        <w:softHyphen/>
      </w:r>
      <w:r w:rsidRPr="009118AB">
        <w:rPr>
          <w:i/>
        </w:rPr>
        <w:t>gesetzbuches 1992 erwähnten Einkünfte aus Patenten, die sich a</w:t>
      </w:r>
      <w:r w:rsidR="002C1851" w:rsidRPr="009118AB">
        <w:rPr>
          <w:i/>
        </w:rPr>
        <w:t>uf Patente im Sinne von Artikel </w:t>
      </w:r>
      <w:r w:rsidRPr="009118AB">
        <w:rPr>
          <w:i/>
        </w:rPr>
        <w:t>205</w:t>
      </w:r>
      <w:r w:rsidRPr="009118AB">
        <w:rPr>
          <w:i/>
          <w:vertAlign w:val="superscript"/>
        </w:rPr>
        <w:t>2</w:t>
      </w:r>
      <w:r w:rsidRPr="009118AB">
        <w:rPr>
          <w:i/>
        </w:rPr>
        <w:t> </w:t>
      </w:r>
      <w:r w:rsidR="00D67EB8" w:rsidRPr="009118AB">
        <w:rPr>
          <w:i/>
        </w:rPr>
        <w:t>§ </w:t>
      </w:r>
      <w:r w:rsidRPr="009118AB">
        <w:rPr>
          <w:i/>
        </w:rPr>
        <w:t>2 desselben Gesetzbuches beziehen, die die Gesellschaft, ein Lizenznehmer oder verbundene Unternehmen nicht vor dem 1. Januar 2007 zum Verkauf von Gütern oder Dienstleistungen an unabhängige Dritte genutzt hat</w:t>
      </w:r>
      <w:r w:rsidR="00D67EB8" w:rsidRPr="009118AB">
        <w:rPr>
          <w:i/>
        </w:rPr>
        <w:t> - </w:t>
      </w:r>
      <w:r w:rsidR="00AD2494" w:rsidRPr="009118AB">
        <w:rPr>
          <w:i/>
          <w:iCs/>
        </w:rPr>
        <w:t xml:space="preserve">und aufgehoben durch </w:t>
      </w:r>
      <w:r w:rsidR="00D67EB8" w:rsidRPr="009118AB">
        <w:rPr>
          <w:i/>
          <w:iCs/>
        </w:rPr>
        <w:t>Art. </w:t>
      </w:r>
      <w:r w:rsidR="00003C65" w:rsidRPr="009118AB">
        <w:rPr>
          <w:i/>
          <w:iCs/>
        </w:rPr>
        <w:t>7</w:t>
      </w:r>
      <w:r w:rsidR="00AD2494" w:rsidRPr="009118AB">
        <w:rPr>
          <w:i/>
          <w:iCs/>
        </w:rPr>
        <w:t xml:space="preserve"> des G. vom 3. August 2016 </w:t>
      </w:r>
      <w:r w:rsidR="00E616A4" w:rsidRPr="009118AB">
        <w:rPr>
          <w:i/>
          <w:iCs/>
        </w:rPr>
        <w:t xml:space="preserve">(I) </w:t>
      </w:r>
      <w:r w:rsidR="00AD2494" w:rsidRPr="009118AB">
        <w:rPr>
          <w:i/>
          <w:iCs/>
        </w:rPr>
        <w:t>(B.S. vom 28. März 2017)</w:t>
      </w:r>
      <w:r w:rsidR="00D67EB8" w:rsidRPr="009118AB">
        <w:rPr>
          <w:i/>
          <w:iCs/>
        </w:rPr>
        <w:t> - </w:t>
      </w:r>
      <w:r w:rsidR="00AD2494" w:rsidRPr="009118AB">
        <w:rPr>
          <w:i/>
          <w:iCs/>
        </w:rPr>
        <w:t>in Kraft am 1. Juli 2016</w:t>
      </w:r>
      <w:r w:rsidR="00FD68E8" w:rsidRPr="009118AB">
        <w:rPr>
          <w:i/>
          <w:iCs/>
        </w:rPr>
        <w:t> -]</w:t>
      </w:r>
    </w:p>
    <w:p w14:paraId="6FC77B46" w14:textId="77777777" w:rsidR="0084119D" w:rsidRPr="009118AB" w:rsidRDefault="0084119D" w:rsidP="0084119D">
      <w:pPr>
        <w:jc w:val="both"/>
      </w:pPr>
    </w:p>
    <w:p w14:paraId="52D12B22" w14:textId="77777777" w:rsidR="004A3400" w:rsidRPr="009118AB" w:rsidRDefault="004A3400" w:rsidP="004A3400">
      <w:pPr>
        <w:jc w:val="both"/>
      </w:pPr>
    </w:p>
    <w:p w14:paraId="3D70972F" w14:textId="707A22D1" w:rsidR="0031458F" w:rsidRPr="009118AB" w:rsidRDefault="0031458F" w:rsidP="0031458F">
      <w:pPr>
        <w:jc w:val="both"/>
      </w:pPr>
      <w:r w:rsidRPr="009118AB">
        <w:tab/>
        <w:t>[</w:t>
      </w:r>
      <w:r w:rsidR="00D67EB8" w:rsidRPr="009118AB">
        <w:rPr>
          <w:b/>
        </w:rPr>
        <w:t>Art. </w:t>
      </w:r>
      <w:r w:rsidRPr="009118AB">
        <w:rPr>
          <w:b/>
        </w:rPr>
        <w:t>205/4</w:t>
      </w:r>
      <w:r w:rsidR="00D67EB8" w:rsidRPr="009118AB">
        <w:t> - § </w:t>
      </w:r>
      <w:r w:rsidRPr="009118AB">
        <w:t>1</w:t>
      </w:r>
      <w:r w:rsidR="00D67EB8" w:rsidRPr="009118AB">
        <w:t> - </w:t>
      </w:r>
      <w:r w:rsidRPr="009118AB">
        <w:t>Der Steuerpflichtige hält Belege zur Verfügung der Verwaltung, die pro geistiges Eigentumsrecht die Feststellung ermöglichen:</w:t>
      </w:r>
    </w:p>
    <w:p w14:paraId="2364CC21" w14:textId="77777777" w:rsidR="0031458F" w:rsidRPr="009118AB" w:rsidRDefault="0031458F" w:rsidP="0031458F">
      <w:pPr>
        <w:jc w:val="both"/>
      </w:pPr>
    </w:p>
    <w:p w14:paraId="6CF7D099" w14:textId="77777777" w:rsidR="0031458F" w:rsidRPr="009118AB" w:rsidRDefault="0031458F" w:rsidP="0031458F">
      <w:pPr>
        <w:jc w:val="both"/>
      </w:pPr>
      <w:r w:rsidRPr="009118AB">
        <w:tab/>
        <w:t>- des Realwerts der von einem verbundenen Unternehmen erworbenen geistigen Eigentumsrechte, aus denen das geistige Eigentumsrecht hervorgeht,</w:t>
      </w:r>
    </w:p>
    <w:p w14:paraId="7A0A69C6" w14:textId="77777777" w:rsidR="0031458F" w:rsidRPr="009118AB" w:rsidRDefault="0031458F" w:rsidP="0031458F">
      <w:pPr>
        <w:jc w:val="both"/>
      </w:pPr>
    </w:p>
    <w:p w14:paraId="7C88DC38" w14:textId="261508D6" w:rsidR="0031458F" w:rsidRPr="009118AB" w:rsidRDefault="0031458F" w:rsidP="0031458F">
      <w:pPr>
        <w:jc w:val="both"/>
      </w:pPr>
      <w:r w:rsidRPr="009118AB">
        <w:tab/>
        <w:t xml:space="preserve">- der in Artikel 205/1 </w:t>
      </w:r>
      <w:r w:rsidR="00D67EB8" w:rsidRPr="009118AB">
        <w:t>§ </w:t>
      </w:r>
      <w:r w:rsidRPr="009118AB">
        <w:t xml:space="preserve">2 </w:t>
      </w:r>
      <w:r w:rsidR="00D67EB8" w:rsidRPr="009118AB">
        <w:t>Nr. </w:t>
      </w:r>
      <w:r w:rsidRPr="009118AB">
        <w:t>2 erwähnten Einkünfte aus Innovationen, die sich ausschließlich auf das geistige Eigentumsrecht beziehen,</w:t>
      </w:r>
    </w:p>
    <w:p w14:paraId="297543F6" w14:textId="77777777" w:rsidR="0031458F" w:rsidRPr="009118AB" w:rsidRDefault="0031458F" w:rsidP="0031458F">
      <w:pPr>
        <w:jc w:val="both"/>
      </w:pPr>
    </w:p>
    <w:p w14:paraId="12BCF256" w14:textId="07D38E8F" w:rsidR="0031458F" w:rsidRPr="009118AB" w:rsidRDefault="0031458F" w:rsidP="0031458F">
      <w:pPr>
        <w:jc w:val="both"/>
      </w:pPr>
      <w:r w:rsidRPr="009118AB">
        <w:tab/>
        <w:t xml:space="preserve">- der Kosten, die von den Einkünften aus Innovationen abgezogen werden, um die in Artikel 205/1 </w:t>
      </w:r>
      <w:r w:rsidR="00D67EB8" w:rsidRPr="009118AB">
        <w:t>§ </w:t>
      </w:r>
      <w:r w:rsidRPr="009118AB">
        <w:t xml:space="preserve">2 </w:t>
      </w:r>
      <w:r w:rsidR="00D67EB8" w:rsidRPr="009118AB">
        <w:t>Nr. </w:t>
      </w:r>
      <w:r w:rsidRPr="009118AB">
        <w:t>3 erwähnten Nettoeinkünfte zu erhalten,</w:t>
      </w:r>
    </w:p>
    <w:p w14:paraId="75A98908" w14:textId="77777777" w:rsidR="0031458F" w:rsidRPr="009118AB" w:rsidRDefault="0031458F" w:rsidP="0031458F">
      <w:pPr>
        <w:jc w:val="both"/>
      </w:pPr>
    </w:p>
    <w:p w14:paraId="03FAF62A" w14:textId="4E7F0096" w:rsidR="0031458F" w:rsidRPr="009118AB" w:rsidRDefault="0031458F" w:rsidP="0031458F">
      <w:pPr>
        <w:jc w:val="both"/>
      </w:pPr>
      <w:r w:rsidRPr="009118AB">
        <w:tab/>
        <w:t xml:space="preserve">- der in Artikel 205/1 </w:t>
      </w:r>
      <w:r w:rsidR="00D67EB8" w:rsidRPr="009118AB">
        <w:t>§ </w:t>
      </w:r>
      <w:r w:rsidRPr="009118AB">
        <w:t xml:space="preserve">2 </w:t>
      </w:r>
      <w:r w:rsidR="00D67EB8" w:rsidRPr="009118AB">
        <w:t>Nr. </w:t>
      </w:r>
      <w:r w:rsidRPr="009118AB">
        <w:t>4 erwähnten Ausgaben, die sich direkt auf das geistige Eigentumsrecht beziehen,</w:t>
      </w:r>
    </w:p>
    <w:p w14:paraId="4DC25F48" w14:textId="77777777" w:rsidR="0031458F" w:rsidRPr="009118AB" w:rsidRDefault="0031458F" w:rsidP="0031458F">
      <w:pPr>
        <w:jc w:val="both"/>
      </w:pPr>
    </w:p>
    <w:p w14:paraId="34CE2593" w14:textId="1D850B5E" w:rsidR="0031458F" w:rsidRPr="009118AB" w:rsidRDefault="0031458F" w:rsidP="0031458F">
      <w:pPr>
        <w:jc w:val="both"/>
      </w:pPr>
      <w:r w:rsidRPr="009118AB">
        <w:tab/>
        <w:t xml:space="preserve">- der in Artikel 205/1 </w:t>
      </w:r>
      <w:r w:rsidR="00D67EB8" w:rsidRPr="009118AB">
        <w:t>§ </w:t>
      </w:r>
      <w:r w:rsidRPr="009118AB">
        <w:t xml:space="preserve">2 </w:t>
      </w:r>
      <w:r w:rsidR="00D67EB8" w:rsidRPr="009118AB">
        <w:t>Nr. </w:t>
      </w:r>
      <w:r w:rsidRPr="009118AB">
        <w:t>5 erwähnten Ausgaben, die in den Kosten aufgenommen sind und sich direkt auf das geistige Eigentumsrecht beziehen.</w:t>
      </w:r>
    </w:p>
    <w:p w14:paraId="638438C4" w14:textId="77777777" w:rsidR="0031458F" w:rsidRPr="009118AB" w:rsidRDefault="0031458F" w:rsidP="0031458F">
      <w:pPr>
        <w:jc w:val="both"/>
      </w:pPr>
    </w:p>
    <w:p w14:paraId="6282922A" w14:textId="77777777" w:rsidR="0031458F" w:rsidRPr="009118AB" w:rsidRDefault="0031458F" w:rsidP="0031458F">
      <w:pPr>
        <w:jc w:val="both"/>
      </w:pPr>
      <w:r w:rsidRPr="009118AB">
        <w:tab/>
        <w:t>Kann die Gesellschaft nachweisen, dass die Festlegung der Einkünfte aus Innovationen pro geistiges Eigentumsrecht aus praktischer Sicht nicht durchführbar ist, darf sie die Einkünfte aus Innovationen pro Produkt- oder Dienstleistungsart oder pro Produkt- oder Dienstleistungsgruppe, die aus geistigen Eigentumsrechten hervorgeht, festlegen.</w:t>
      </w:r>
    </w:p>
    <w:p w14:paraId="462E42BA" w14:textId="77777777" w:rsidR="0031458F" w:rsidRPr="009118AB" w:rsidRDefault="0031458F" w:rsidP="0031458F">
      <w:pPr>
        <w:jc w:val="both"/>
      </w:pPr>
    </w:p>
    <w:p w14:paraId="77C2C1DE" w14:textId="1E3B5558" w:rsidR="0031458F" w:rsidRPr="009118AB" w:rsidRDefault="0031458F" w:rsidP="0031458F">
      <w:pPr>
        <w:jc w:val="both"/>
      </w:pPr>
      <w:r w:rsidRPr="009118AB">
        <w:tab/>
      </w:r>
      <w:r w:rsidR="00D67EB8" w:rsidRPr="009118AB">
        <w:t>§ </w:t>
      </w:r>
      <w:r w:rsidRPr="009118AB">
        <w:t>2</w:t>
      </w:r>
      <w:r w:rsidR="00D67EB8" w:rsidRPr="009118AB">
        <w:t> - </w:t>
      </w:r>
      <w:r w:rsidRPr="009118AB">
        <w:t xml:space="preserve">Der König bestimmt Modalitäten und Frist für die in </w:t>
      </w:r>
      <w:r w:rsidR="00D67EB8" w:rsidRPr="009118AB">
        <w:t>§ </w:t>
      </w:r>
      <w:r w:rsidRPr="009118AB">
        <w:t>1 erwähnte Verpflichtung.</w:t>
      </w:r>
    </w:p>
    <w:p w14:paraId="05945BDC" w14:textId="77777777" w:rsidR="0031458F" w:rsidRPr="009118AB" w:rsidRDefault="0031458F" w:rsidP="0031458F">
      <w:pPr>
        <w:jc w:val="both"/>
      </w:pPr>
    </w:p>
    <w:p w14:paraId="2794C44A" w14:textId="4511A719" w:rsidR="0031458F" w:rsidRPr="009118AB" w:rsidRDefault="0031458F" w:rsidP="0031458F">
      <w:pPr>
        <w:jc w:val="both"/>
      </w:pPr>
      <w:r w:rsidRPr="009118AB">
        <w:tab/>
      </w:r>
      <w:r w:rsidR="00D67EB8" w:rsidRPr="009118AB">
        <w:t>§ </w:t>
      </w:r>
      <w:r w:rsidRPr="009118AB">
        <w:t>3</w:t>
      </w:r>
      <w:r w:rsidR="00D67EB8" w:rsidRPr="009118AB">
        <w:t> - </w:t>
      </w:r>
      <w:r w:rsidRPr="009118AB">
        <w:t>Zur Rechtfertigung des Vorteils des Abzugs für Einkünfte aus Innovationen muss der Steuerpflichtige seiner Einkommensteuererklärung eine Aufstellung beifügen, deren Muster vom Minister der Finanzen oder von seinem Beauftragten festgelegt wird; dies gilt für jedes Steuerjahr, in dem:</w:t>
      </w:r>
    </w:p>
    <w:p w14:paraId="113B1BA9" w14:textId="77777777" w:rsidR="0031458F" w:rsidRPr="009118AB" w:rsidRDefault="0031458F" w:rsidP="0031458F">
      <w:pPr>
        <w:jc w:val="both"/>
      </w:pPr>
    </w:p>
    <w:p w14:paraId="23A0CE88" w14:textId="77777777" w:rsidR="0031458F" w:rsidRPr="009118AB" w:rsidRDefault="0031458F" w:rsidP="0031458F">
      <w:pPr>
        <w:jc w:val="both"/>
      </w:pPr>
      <w:r w:rsidRPr="009118AB">
        <w:tab/>
        <w:t>- entweder der Abzug für Einkünfte aus Innovationen angewandt wird</w:t>
      </w:r>
    </w:p>
    <w:p w14:paraId="6B1FEA5B" w14:textId="77777777" w:rsidR="0031458F" w:rsidRPr="009118AB" w:rsidRDefault="0031458F" w:rsidP="0031458F">
      <w:pPr>
        <w:jc w:val="both"/>
      </w:pPr>
    </w:p>
    <w:p w14:paraId="426E92AE" w14:textId="3025AB27" w:rsidR="0031458F" w:rsidRPr="009118AB" w:rsidRDefault="0031458F" w:rsidP="0031458F">
      <w:pPr>
        <w:jc w:val="both"/>
      </w:pPr>
      <w:r w:rsidRPr="009118AB">
        <w:tab/>
        <w:t xml:space="preserve">- oder die Frist für </w:t>
      </w:r>
      <w:r w:rsidR="000F23EB" w:rsidRPr="009118AB">
        <w:t xml:space="preserve">[die in Artikel 205/2 </w:t>
      </w:r>
      <w:r w:rsidR="00D67EB8" w:rsidRPr="009118AB">
        <w:t>§ </w:t>
      </w:r>
      <w:r w:rsidR="000F23EB" w:rsidRPr="009118AB">
        <w:t>2 Absatz 3 erwähnte Methode der linearen Verteilung]</w:t>
      </w:r>
      <w:r w:rsidRPr="009118AB">
        <w:t>, die in einem vorhergehenden Besteuerungszeitraum gewählt worden ist, noch nicht abgelaufen ist, außer wenn der Abzug für Einkünfte aus Innovationen in Bezug auf dieses geistige Eigentumsrecht oder in Bezug auf diese Produkt- oder Dienstleistungsart oder diese Produkt- oder Dienstleistungsgruppe, für den die Methode der linearen Verteilung gewählt worden ist, nicht mehr angewandt wird,</w:t>
      </w:r>
    </w:p>
    <w:p w14:paraId="26FDED29" w14:textId="77777777" w:rsidR="0031458F" w:rsidRPr="009118AB" w:rsidRDefault="0031458F" w:rsidP="0031458F">
      <w:pPr>
        <w:jc w:val="both"/>
      </w:pPr>
    </w:p>
    <w:p w14:paraId="76801076" w14:textId="68DC8DFC" w:rsidR="0031458F" w:rsidRPr="009118AB" w:rsidRDefault="0031458F" w:rsidP="0031458F">
      <w:pPr>
        <w:jc w:val="both"/>
      </w:pPr>
      <w:r w:rsidRPr="009118AB">
        <w:tab/>
        <w:t xml:space="preserve">- oder die in </w:t>
      </w:r>
      <w:r w:rsidR="00D67EB8" w:rsidRPr="009118AB">
        <w:t>§ </w:t>
      </w:r>
      <w:r w:rsidRPr="009118AB">
        <w:t>5 erwähnte Wiederanlagefrist infolge der in einem vorhergehenden Besteuerungszeitraum erfolgten Veräußerung eines geistigen Eigentumsrechts noch nicht abgelaufen ist.</w:t>
      </w:r>
    </w:p>
    <w:p w14:paraId="2A048584" w14:textId="77777777" w:rsidR="0031458F" w:rsidRPr="009118AB" w:rsidRDefault="0031458F" w:rsidP="0031458F">
      <w:pPr>
        <w:jc w:val="both"/>
      </w:pPr>
    </w:p>
    <w:p w14:paraId="0A82DC2B" w14:textId="41CF1357" w:rsidR="0031458F" w:rsidRPr="009118AB" w:rsidRDefault="0031458F" w:rsidP="0031458F">
      <w:pPr>
        <w:jc w:val="both"/>
      </w:pPr>
      <w:r w:rsidRPr="009118AB">
        <w:tab/>
      </w:r>
      <w:r w:rsidR="00D67EB8" w:rsidRPr="009118AB">
        <w:t>§ </w:t>
      </w:r>
      <w:r w:rsidRPr="009118AB">
        <w:t>4</w:t>
      </w:r>
      <w:r w:rsidR="00D67EB8" w:rsidRPr="009118AB">
        <w:t> - </w:t>
      </w:r>
      <w:r w:rsidRPr="009118AB">
        <w:t>Wendet die Gesellschaft den Abzug für Einkünfte aus Patenten gemäß Artikel 543 an, sind die Artikel 205/1 bis 205/4 in Bezug auf das Patent, für das der Abzug für Einkünfte aus Patenten angewandt wird, weder für diesen Besteuerungszeitraum noch für die folgenden Besteuerungszeiträume, die vor dem 1. Juli 2021 enden, anwendbar.</w:t>
      </w:r>
    </w:p>
    <w:p w14:paraId="59450E79" w14:textId="77777777" w:rsidR="0031458F" w:rsidRPr="009118AB" w:rsidRDefault="0031458F" w:rsidP="0031458F">
      <w:pPr>
        <w:jc w:val="both"/>
      </w:pPr>
    </w:p>
    <w:p w14:paraId="49492248" w14:textId="03479AF0" w:rsidR="0031458F" w:rsidRPr="009118AB" w:rsidRDefault="0031458F" w:rsidP="0031458F">
      <w:pPr>
        <w:jc w:val="both"/>
      </w:pPr>
      <w:r w:rsidRPr="009118AB">
        <w:tab/>
      </w:r>
      <w:r w:rsidR="00D67EB8" w:rsidRPr="009118AB">
        <w:t>§ </w:t>
      </w:r>
      <w:r w:rsidRPr="009118AB">
        <w:t>5</w:t>
      </w:r>
      <w:r w:rsidR="00D67EB8" w:rsidRPr="009118AB">
        <w:t> - </w:t>
      </w:r>
      <w:r w:rsidRPr="009118AB">
        <w:t xml:space="preserve">Hat die Gesellschaft </w:t>
      </w:r>
      <w:r w:rsidR="006E1F37" w:rsidRPr="009118AB">
        <w:t>[Vergütungen]</w:t>
      </w:r>
      <w:r w:rsidRPr="009118AB">
        <w:t xml:space="preserve">, die sie anlässlich der Veräußerung eines geistigen Eigentumsrechts wie in Artikel 205/1 </w:t>
      </w:r>
      <w:r w:rsidR="00D67EB8" w:rsidRPr="009118AB">
        <w:t>§ </w:t>
      </w:r>
      <w:r w:rsidRPr="009118AB">
        <w:t xml:space="preserve">2 </w:t>
      </w:r>
      <w:r w:rsidR="00D67EB8" w:rsidRPr="009118AB">
        <w:t>Nr. </w:t>
      </w:r>
      <w:r w:rsidRPr="009118AB">
        <w:t xml:space="preserve">2 fünfter Gedankenstrich erwähnt bezogen hat, nicht innerhalb einer Frist von fünf Jahren ab dem ersten Tag des Kalenderjahres der Veräußerung und spätestens bei Einstellung der Berufstätigkeit für die in Artikel 205/1 </w:t>
      </w:r>
      <w:r w:rsidR="00D67EB8" w:rsidRPr="009118AB">
        <w:t>§ </w:t>
      </w:r>
      <w:r w:rsidRPr="009118AB">
        <w:t xml:space="preserve">2 </w:t>
      </w:r>
      <w:r w:rsidR="00D67EB8" w:rsidRPr="009118AB">
        <w:t>Nr. </w:t>
      </w:r>
      <w:r w:rsidRPr="009118AB">
        <w:t xml:space="preserve">4 erwähnten Ausgaben verwendet, die sich auf ein oder mehrere andere in Artikel 205/1 </w:t>
      </w:r>
      <w:r w:rsidR="00D67EB8" w:rsidRPr="009118AB">
        <w:t>§ </w:t>
      </w:r>
      <w:r w:rsidRPr="009118AB">
        <w:t xml:space="preserve">2 </w:t>
      </w:r>
      <w:r w:rsidR="00D67EB8" w:rsidRPr="009118AB">
        <w:t>Nr. </w:t>
      </w:r>
      <w:r w:rsidRPr="009118AB">
        <w:t>1 erwähnte geistige Eigentumsrechte beziehen, gilt der Gesamtbetrag der Gewinne, die in einem vorhergehenden Besteuerungszeitraum aufgrund der Artikel 205/1 bis 205/4 steuerfrei waren und sich auf diese Veräußerung beziehen, als Einkommen des Besteuerungszeitraums.]</w:t>
      </w:r>
    </w:p>
    <w:p w14:paraId="15B4F455" w14:textId="77777777" w:rsidR="0031458F" w:rsidRPr="009118AB" w:rsidRDefault="0031458F" w:rsidP="0031458F">
      <w:pPr>
        <w:jc w:val="both"/>
      </w:pPr>
    </w:p>
    <w:p w14:paraId="5A0E21FE" w14:textId="6AEA8311" w:rsidR="0031458F" w:rsidRPr="009118AB" w:rsidRDefault="0031458F" w:rsidP="0031458F">
      <w:pPr>
        <w:jc w:val="both"/>
        <w:rPr>
          <w:i/>
        </w:rPr>
      </w:pPr>
      <w:r w:rsidRPr="009118AB">
        <w:rPr>
          <w:i/>
        </w:rPr>
        <w:t>[</w:t>
      </w:r>
      <w:r w:rsidR="00D67EB8" w:rsidRPr="009118AB">
        <w:rPr>
          <w:i/>
        </w:rPr>
        <w:t>Art. </w:t>
      </w:r>
      <w:r w:rsidRPr="009118AB">
        <w:rPr>
          <w:i/>
        </w:rPr>
        <w:t xml:space="preserve">205/4 eingefügt durch </w:t>
      </w:r>
      <w:r w:rsidR="00D67EB8" w:rsidRPr="009118AB">
        <w:rPr>
          <w:i/>
        </w:rPr>
        <w:t>Art. </w:t>
      </w:r>
      <w:r w:rsidRPr="009118AB">
        <w:rPr>
          <w:i/>
        </w:rPr>
        <w:t>9 des G. vom 9. Februar 201</w:t>
      </w:r>
      <w:r w:rsidR="00D27B17" w:rsidRPr="009118AB">
        <w:rPr>
          <w:i/>
        </w:rPr>
        <w:t>7 (B.S. vom 20. Februar 2017)</w:t>
      </w:r>
      <w:r w:rsidR="00D67EB8" w:rsidRPr="009118AB">
        <w:rPr>
          <w:i/>
        </w:rPr>
        <w:t> - </w:t>
      </w:r>
      <w:r w:rsidRPr="009118AB">
        <w:rPr>
          <w:i/>
        </w:rPr>
        <w:t>wirksam mit 1. Juli 2016</w:t>
      </w:r>
      <w:r w:rsidR="003366D9" w:rsidRPr="009118AB">
        <w:rPr>
          <w:i/>
        </w:rPr>
        <w:t> -;</w:t>
      </w:r>
      <w:r w:rsidR="000F23EB" w:rsidRPr="009118AB">
        <w:rPr>
          <w:i/>
        </w:rPr>
        <w:t xml:space="preserve"> </w:t>
      </w:r>
      <w:r w:rsidR="00D67EB8" w:rsidRPr="009118AB">
        <w:rPr>
          <w:i/>
        </w:rPr>
        <w:t>§ </w:t>
      </w:r>
      <w:r w:rsidR="000F23EB" w:rsidRPr="009118AB">
        <w:rPr>
          <w:i/>
        </w:rPr>
        <w:t xml:space="preserve">3 einziger Absatz zweiter Gedankenstrich abgeändert durch </w:t>
      </w:r>
      <w:r w:rsidR="00D67EB8" w:rsidRPr="009118AB">
        <w:rPr>
          <w:i/>
        </w:rPr>
        <w:t>Art. </w:t>
      </w:r>
      <w:r w:rsidR="000F23EB" w:rsidRPr="009118AB">
        <w:rPr>
          <w:i/>
        </w:rPr>
        <w:t>11</w:t>
      </w:r>
      <w:r w:rsidR="000F23EB" w:rsidRPr="009118AB">
        <w:rPr>
          <w:i/>
          <w:iCs/>
        </w:rPr>
        <w:t xml:space="preserve"> des G. vom 25. Dezember 2017 (II) (B.S. vom 29. Dezember 2017)</w:t>
      </w:r>
      <w:r w:rsidR="006E1F37" w:rsidRPr="009118AB">
        <w:rPr>
          <w:i/>
          <w:iCs/>
        </w:rPr>
        <w:t xml:space="preserve">; </w:t>
      </w:r>
      <w:r w:rsidR="00D67EB8" w:rsidRPr="009118AB">
        <w:rPr>
          <w:i/>
          <w:iCs/>
        </w:rPr>
        <w:t>§ </w:t>
      </w:r>
      <w:r w:rsidR="006E1F37" w:rsidRPr="009118AB">
        <w:rPr>
          <w:i/>
          <w:iCs/>
        </w:rPr>
        <w:t xml:space="preserve">5 abgeändert durch </w:t>
      </w:r>
      <w:r w:rsidR="00D67EB8" w:rsidRPr="009118AB">
        <w:rPr>
          <w:i/>
          <w:iCs/>
        </w:rPr>
        <w:t>Art. </w:t>
      </w:r>
      <w:r w:rsidR="006E1F37" w:rsidRPr="009118AB">
        <w:rPr>
          <w:i/>
          <w:iCs/>
        </w:rPr>
        <w:t>51</w:t>
      </w:r>
      <w:r w:rsidR="006E1F37" w:rsidRPr="009118AB">
        <w:rPr>
          <w:i/>
        </w:rPr>
        <w:t xml:space="preserve"> des G. vom 27. Juni 2021 (B.S. vom 30. Juni 2021)</w:t>
      </w:r>
      <w:r w:rsidRPr="009118AB">
        <w:rPr>
          <w:i/>
        </w:rPr>
        <w:t>]</w:t>
      </w:r>
    </w:p>
    <w:p w14:paraId="6B3AE131" w14:textId="77777777" w:rsidR="0031458F" w:rsidRPr="009118AB" w:rsidRDefault="0031458F" w:rsidP="0031458F">
      <w:pPr>
        <w:jc w:val="both"/>
      </w:pPr>
    </w:p>
    <w:p w14:paraId="4CDDFF6C" w14:textId="77777777" w:rsidR="00487D41" w:rsidRPr="009118AB" w:rsidRDefault="00487D41" w:rsidP="00161947">
      <w:pPr>
        <w:autoSpaceDE w:val="0"/>
        <w:autoSpaceDN w:val="0"/>
        <w:adjustRightInd w:val="0"/>
        <w:jc w:val="both"/>
        <w:rPr>
          <w:iCs/>
          <w:sz w:val="20"/>
          <w:szCs w:val="20"/>
        </w:rPr>
      </w:pPr>
    </w:p>
    <w:p w14:paraId="13F7C4B8" w14:textId="77777777" w:rsidR="004C713D" w:rsidRPr="009118AB" w:rsidRDefault="004C713D">
      <w:r w:rsidRPr="009118AB">
        <w:br w:type="page"/>
      </w:r>
    </w:p>
    <w:p w14:paraId="7B9CBE5A" w14:textId="23A5353A" w:rsidR="00F10268" w:rsidRPr="009118AB" w:rsidRDefault="00F10268" w:rsidP="00133038">
      <w:pPr>
        <w:autoSpaceDE w:val="0"/>
        <w:autoSpaceDN w:val="0"/>
        <w:adjustRightInd w:val="0"/>
        <w:jc w:val="center"/>
      </w:pPr>
      <w:r w:rsidRPr="009118AB">
        <w:lastRenderedPageBreak/>
        <w:t>[Unterabschnitt 3</w:t>
      </w:r>
      <w:r w:rsidRPr="009118AB">
        <w:rPr>
          <w:i/>
        </w:rPr>
        <w:t>bis</w:t>
      </w:r>
      <w:r w:rsidRPr="009118AB">
        <w:t>/1</w:t>
      </w:r>
      <w:r w:rsidR="00D67EB8" w:rsidRPr="009118AB">
        <w:t> - </w:t>
      </w:r>
      <w:r w:rsidRPr="009118AB">
        <w:t>Abzug des Konzernbeitrags]</w:t>
      </w:r>
    </w:p>
    <w:p w14:paraId="473F8705" w14:textId="77777777" w:rsidR="00F10268" w:rsidRPr="009118AB" w:rsidRDefault="00F10268" w:rsidP="00477B8F">
      <w:pPr>
        <w:autoSpaceDE w:val="0"/>
        <w:autoSpaceDN w:val="0"/>
        <w:adjustRightInd w:val="0"/>
        <w:jc w:val="center"/>
      </w:pPr>
    </w:p>
    <w:p w14:paraId="6B2B9C43" w14:textId="76D0ECC5" w:rsidR="00582578" w:rsidRPr="009118AB" w:rsidRDefault="00F10268" w:rsidP="00582578">
      <w:pPr>
        <w:autoSpaceDE w:val="0"/>
        <w:autoSpaceDN w:val="0"/>
        <w:adjustRightInd w:val="0"/>
        <w:jc w:val="both"/>
        <w:rPr>
          <w:iCs/>
        </w:rPr>
      </w:pPr>
      <w:r w:rsidRPr="009118AB">
        <w:rPr>
          <w:i/>
        </w:rPr>
        <w:t xml:space="preserve">[Unterteilung Unterabschnitt 3bis/1 eingefügt durch </w:t>
      </w:r>
      <w:r w:rsidR="00D67EB8" w:rsidRPr="009118AB">
        <w:rPr>
          <w:i/>
        </w:rPr>
        <w:t>Art. </w:t>
      </w:r>
      <w:r w:rsidRPr="009118AB">
        <w:rPr>
          <w:i/>
        </w:rPr>
        <w:t>47</w:t>
      </w:r>
      <w:r w:rsidRPr="009118AB">
        <w:rPr>
          <w:i/>
          <w:iCs/>
        </w:rPr>
        <w:t xml:space="preserve"> des G. vom 25. Dezember 2017 (III) (B.S. vom 29. Dezember 2017)</w:t>
      </w:r>
      <w:r w:rsidR="00D67EB8" w:rsidRPr="009118AB">
        <w:rPr>
          <w:i/>
          <w:iCs/>
        </w:rPr>
        <w:t> - </w:t>
      </w:r>
      <w:r w:rsidRPr="009118AB">
        <w:rPr>
          <w:i/>
          <w:iCs/>
        </w:rPr>
        <w:t>in Kraft am 1. Januar 2019 und anwendbar ab dem Steuerjahr 2020, das sich auf einen Besteuerungszeitraum bezieht, der frühestens am 1. Januar 2019 beginnt</w:t>
      </w:r>
      <w:r w:rsidR="00FD68E8" w:rsidRPr="009118AB">
        <w:rPr>
          <w:i/>
          <w:iCs/>
        </w:rPr>
        <w:t> -]</w:t>
      </w:r>
    </w:p>
    <w:p w14:paraId="0316A131" w14:textId="77777777" w:rsidR="00582578" w:rsidRPr="009118AB" w:rsidRDefault="00582578" w:rsidP="00582578">
      <w:pPr>
        <w:autoSpaceDE w:val="0"/>
        <w:autoSpaceDN w:val="0"/>
        <w:adjustRightInd w:val="0"/>
        <w:jc w:val="both"/>
      </w:pPr>
    </w:p>
    <w:p w14:paraId="1632892E" w14:textId="77777777" w:rsidR="00582578" w:rsidRPr="009118AB" w:rsidRDefault="00582578" w:rsidP="00582578">
      <w:pPr>
        <w:autoSpaceDE w:val="0"/>
        <w:autoSpaceDN w:val="0"/>
        <w:adjustRightInd w:val="0"/>
        <w:jc w:val="both"/>
      </w:pPr>
    </w:p>
    <w:p w14:paraId="2BC55BEB" w14:textId="2B98C2C4" w:rsidR="007D2F30" w:rsidRPr="009118AB" w:rsidRDefault="00133038" w:rsidP="007D2F30">
      <w:pPr>
        <w:ind w:firstLine="708"/>
        <w:jc w:val="both"/>
      </w:pPr>
      <w:r w:rsidRPr="009118AB">
        <w:tab/>
      </w:r>
      <w:r w:rsidR="00582578" w:rsidRPr="009118AB">
        <w:t>[</w:t>
      </w:r>
      <w:r w:rsidR="00D67EB8" w:rsidRPr="009118AB">
        <w:rPr>
          <w:b/>
          <w:iCs/>
        </w:rPr>
        <w:t>Art. </w:t>
      </w:r>
      <w:r w:rsidR="00582578" w:rsidRPr="009118AB">
        <w:rPr>
          <w:b/>
          <w:iCs/>
        </w:rPr>
        <w:t>205/5</w:t>
      </w:r>
      <w:r w:rsidR="00D67EB8" w:rsidRPr="009118AB">
        <w:rPr>
          <w:iCs/>
        </w:rPr>
        <w:t> - </w:t>
      </w:r>
      <w:r w:rsidR="00D67EB8" w:rsidRPr="009118AB">
        <w:t>§ </w:t>
      </w:r>
      <w:r w:rsidR="007D2F30" w:rsidRPr="009118AB">
        <w:t>1</w:t>
      </w:r>
      <w:r w:rsidR="00D67EB8" w:rsidRPr="009118AB">
        <w:t> - </w:t>
      </w:r>
      <w:r w:rsidR="007D2F30" w:rsidRPr="009118AB">
        <w:t>Für die Festlegung des steuerpflichtigen Einkommens werden die Gewinne des Besteuerungszeitraums um den in vorliegendem Artikel beschriebenen Betrag des Konzernbeitrags verringert. Diese Verringerung wird "Abzug des Konzernbeitrags" genannt.</w:t>
      </w:r>
    </w:p>
    <w:p w14:paraId="4D64054F" w14:textId="77777777" w:rsidR="007D2F30" w:rsidRPr="009118AB" w:rsidRDefault="007D2F30" w:rsidP="007D2F30">
      <w:pPr>
        <w:jc w:val="both"/>
      </w:pPr>
    </w:p>
    <w:p w14:paraId="112C97B8" w14:textId="7DEE7FB3" w:rsidR="007D2F30" w:rsidRPr="009118AB" w:rsidRDefault="00D67EB8" w:rsidP="007D2F30">
      <w:pPr>
        <w:ind w:firstLine="708"/>
        <w:jc w:val="both"/>
      </w:pPr>
      <w:r w:rsidRPr="009118AB">
        <w:t>§ </w:t>
      </w:r>
      <w:r w:rsidR="007D2F30" w:rsidRPr="009118AB">
        <w:t>2</w:t>
      </w:r>
      <w:r w:rsidRPr="009118AB">
        <w:t> - </w:t>
      </w:r>
      <w:r w:rsidR="007D2F30" w:rsidRPr="009118AB">
        <w:t xml:space="preserve">Der Betrag des Konzernbeitrags wird in einem Konzernbeitragsvertrag wie in </w:t>
      </w:r>
      <w:r w:rsidRPr="009118AB">
        <w:t>§ </w:t>
      </w:r>
      <w:r w:rsidR="007D2F30" w:rsidRPr="009118AB">
        <w:t>3 oder 4 erwähnt festgelegt, der zwischen dem Steuerpflichtigen und einer in Betracht kommenden inländischen oder ausländischen Gesellschaft geschlossen wird und sich auf ein bestimmtes Steuerjahr bezieht.</w:t>
      </w:r>
    </w:p>
    <w:p w14:paraId="76C53685" w14:textId="77777777" w:rsidR="007D2F30" w:rsidRPr="009118AB" w:rsidRDefault="007D2F30" w:rsidP="007D2F30">
      <w:pPr>
        <w:jc w:val="both"/>
      </w:pPr>
    </w:p>
    <w:p w14:paraId="06C993DE" w14:textId="77777777" w:rsidR="007D2F30" w:rsidRPr="009118AB" w:rsidRDefault="007D2F30" w:rsidP="007D2F30">
      <w:pPr>
        <w:ind w:firstLine="708"/>
        <w:jc w:val="both"/>
      </w:pPr>
      <w:r w:rsidRPr="009118AB">
        <w:t>Kein Betrag des Konzernbeitrags kann auf der Grundlage eines Konzern</w:t>
      </w:r>
      <w:r w:rsidRPr="009118AB">
        <w:softHyphen/>
        <w:t>beitragsvertrags, der sich auf ein anderes Steuerjahr bezieht, von den Gewinnen abgezogen werden.</w:t>
      </w:r>
    </w:p>
    <w:p w14:paraId="7E3A4F63" w14:textId="77777777" w:rsidR="007D2F30" w:rsidRPr="009118AB" w:rsidRDefault="007D2F30" w:rsidP="007D2F30">
      <w:pPr>
        <w:jc w:val="both"/>
      </w:pPr>
    </w:p>
    <w:p w14:paraId="1E047B75" w14:textId="77777777" w:rsidR="007D2F30" w:rsidRPr="009118AB" w:rsidRDefault="007D2F30" w:rsidP="007D2F30">
      <w:pPr>
        <w:ind w:firstLine="708"/>
        <w:jc w:val="both"/>
      </w:pPr>
      <w:r w:rsidRPr="009118AB">
        <w:t>Eine in Betracht kommende inländische oder ausländische Gesellschaft ist eine Gesellschaft, die während eines ununterbrochenen Zeitraums von fünf Jahren, der am 1. Januar des vierten Kalenderjahres vor dem Kalenderjahr beginnt, dessen Jahreszahl das Steuerjahr bestimmt, mit dem Steuerpflichtigen verbunden ist.</w:t>
      </w:r>
    </w:p>
    <w:p w14:paraId="2D00FFF6" w14:textId="77777777" w:rsidR="007D2F30" w:rsidRPr="009118AB" w:rsidRDefault="007D2F30" w:rsidP="007D2F30">
      <w:pPr>
        <w:jc w:val="both"/>
      </w:pPr>
    </w:p>
    <w:p w14:paraId="1A684CA6" w14:textId="77777777" w:rsidR="007D2F30" w:rsidRPr="009118AB" w:rsidRDefault="007D2F30" w:rsidP="007D2F30">
      <w:pPr>
        <w:ind w:firstLine="708"/>
        <w:jc w:val="both"/>
      </w:pPr>
      <w:r w:rsidRPr="009118AB">
        <w:t>Ist der Steuerpflichtige oder eine inländische oder ausländische Gesellschaft, die mit dem Steuerpflichtigen verbunden ist, in dem in Absatz 3 erwähnten Zeitraum infolge einer Fusion durch Gründung einer neuen Gesellschaft, einer Aufspaltung durch Gründung neuer Gesellschaften, einer gemischten Aufspaltung oder eines damit gleichgesetzten Vorgangs gegründet worden, kann der Steuerpflichtige oder die mit dem Steuerpflichtigen verbundene Gesellschaft für die Anwendung dieses Absatzes 3 mit der Gesellschaft oder mit jeder Gesellschaft gleichgesetzt werden, in der sich vor der Durchführung dieser Fusion, dieser Aufspaltung oder dieses damit gleichgesetzten Vorgangs das gesamte Gesellschaftsvermögen des Steuerpflichtigen oder der mit ihm verbundenen Gesellschaft befand.</w:t>
      </w:r>
    </w:p>
    <w:p w14:paraId="2E512C56" w14:textId="77777777" w:rsidR="007D2F30" w:rsidRPr="009118AB" w:rsidRDefault="007D2F30" w:rsidP="007D2F30">
      <w:pPr>
        <w:jc w:val="both"/>
      </w:pPr>
    </w:p>
    <w:p w14:paraId="7B1EA346" w14:textId="77777777" w:rsidR="007D2F30" w:rsidRPr="009118AB" w:rsidRDefault="007D2F30" w:rsidP="007D2F30">
      <w:pPr>
        <w:ind w:firstLine="708"/>
        <w:jc w:val="both"/>
      </w:pPr>
      <w:r w:rsidRPr="009118AB">
        <w:t>Ist das Gesellschaftsvermögen oder ein Teil des Gesellschaftsvermögens einer Gesellschaft in dem in Absatz 3 erwähnten Zeitraum in das Gesellschaftsvermögen des Steuerpflichtigen oder einer inländischen oder ausländischen Gesellschaft, die mit dem Steuerpflichtigen verbunden ist, übertragen worden, und zwar infolge einer Fusion durch Übernahme, einer Aufspaltung durch Übernahme oder eines damit gleichgesetzten Vorgangs, einer Einbringung eines Teilbetriebs oder einer Einbringung eines Gesamtvermögens, wird jede Gesellschaft, in der sich vor der Durchführung dieser Fusion, dieser Aufspaltung, dieser Einbringung oder dieses damit gleichgesetzten Vorgangs ein Teil des gesamten Gesellschaftsvermögens des Steuerpflichtigen oder der Gesellschaft, die mit dem Steuerpflichtigen verbunden ist, befand, für die Anwendung von Absatz 3 mit dem Steuerpflichtigen oder der inländischen oder ausländischen Gesellschaft, die mit dem Steuerpflichtigen verbunden ist, gleichgesetzt und muss sie ebenfalls die Bedingungen für die Anwendung dieses Absatzes 3 erfüllen.</w:t>
      </w:r>
    </w:p>
    <w:p w14:paraId="616AB1EF" w14:textId="77777777" w:rsidR="007D2F30" w:rsidRPr="009118AB" w:rsidRDefault="007D2F30" w:rsidP="007D2F30">
      <w:pPr>
        <w:jc w:val="both"/>
      </w:pPr>
    </w:p>
    <w:p w14:paraId="55390141" w14:textId="77777777" w:rsidR="007D2F30" w:rsidRPr="009118AB" w:rsidRDefault="007D2F30" w:rsidP="007D2F30">
      <w:pPr>
        <w:ind w:firstLine="708"/>
        <w:jc w:val="both"/>
      </w:pPr>
      <w:r w:rsidRPr="009118AB">
        <w:lastRenderedPageBreak/>
        <w:t>Für die Anwendung des vorliegenden Artikels ist eine inländische oder ausländische Gesellschaft, die mit dem Steuerpflichtigen verbunden ist, eine Gesellschaft:</w:t>
      </w:r>
    </w:p>
    <w:p w14:paraId="06F1F5E1" w14:textId="77777777" w:rsidR="007D2F30" w:rsidRPr="009118AB" w:rsidRDefault="007D2F30" w:rsidP="007D2F30">
      <w:pPr>
        <w:jc w:val="both"/>
      </w:pPr>
    </w:p>
    <w:p w14:paraId="0B72755C" w14:textId="77777777" w:rsidR="007D2F30" w:rsidRPr="009118AB" w:rsidRDefault="007D2F30" w:rsidP="007D2F30">
      <w:pPr>
        <w:ind w:firstLine="708"/>
        <w:jc w:val="both"/>
      </w:pPr>
      <w:r w:rsidRPr="009118AB">
        <w:t>- die eine unmittelbare Beteiligung von mindestens 90 Prozent am Kapital des Steuerpflichtigen hält oder</w:t>
      </w:r>
    </w:p>
    <w:p w14:paraId="410CFBE0" w14:textId="77777777" w:rsidR="007D2F30" w:rsidRPr="009118AB" w:rsidRDefault="007D2F30" w:rsidP="007D2F30">
      <w:pPr>
        <w:jc w:val="both"/>
      </w:pPr>
    </w:p>
    <w:p w14:paraId="2A2795B8" w14:textId="77777777" w:rsidR="007D2F30" w:rsidRPr="009118AB" w:rsidRDefault="007D2F30" w:rsidP="007D2F30">
      <w:pPr>
        <w:ind w:firstLine="708"/>
        <w:jc w:val="both"/>
      </w:pPr>
      <w:r w:rsidRPr="009118AB">
        <w:t>- deren Kapital zu mindestens 90 Prozent unmittelbar vom Steuerpflichtigen gehalten wird oder</w:t>
      </w:r>
    </w:p>
    <w:p w14:paraId="4BA78969" w14:textId="77777777" w:rsidR="007D2F30" w:rsidRPr="009118AB" w:rsidRDefault="007D2F30" w:rsidP="007D2F30">
      <w:pPr>
        <w:jc w:val="both"/>
      </w:pPr>
    </w:p>
    <w:p w14:paraId="754F6B9D" w14:textId="77777777" w:rsidR="007D2F30" w:rsidRPr="009118AB" w:rsidRDefault="007D2F30" w:rsidP="007D2F30">
      <w:pPr>
        <w:ind w:firstLine="708"/>
        <w:jc w:val="both"/>
      </w:pPr>
      <w:r w:rsidRPr="009118AB">
        <w:t>- deren Kapital zu mindestens 90 Prozent unmittelbar von einer anderen inländischen oder ausländischen Gesellschaft gehalten wird, sofern diese andere inländische oder ausländische Gesellschaft eine Beteiligung von mindestens 90 Prozent am Kapital des Steuerpflichtigen hält.</w:t>
      </w:r>
    </w:p>
    <w:p w14:paraId="02E06A83" w14:textId="77777777" w:rsidR="007D2F30" w:rsidRPr="009118AB" w:rsidRDefault="007D2F30" w:rsidP="007D2F30">
      <w:pPr>
        <w:jc w:val="both"/>
      </w:pPr>
    </w:p>
    <w:p w14:paraId="7662DC75" w14:textId="77777777" w:rsidR="007D2F30" w:rsidRPr="009118AB" w:rsidRDefault="007D2F30" w:rsidP="007D2F30">
      <w:pPr>
        <w:ind w:firstLine="708"/>
        <w:jc w:val="both"/>
      </w:pPr>
      <w:r w:rsidRPr="009118AB">
        <w:t>Für die Anwendung des vorliegenden Artikels wird eine ausländische Gesellschaft nur als in Betracht kommende ausländische Gesellschaft berücksichtigt, wenn sie im Europäischen Wirtschaftsraum ansässig ist.</w:t>
      </w:r>
    </w:p>
    <w:p w14:paraId="49B06F8A" w14:textId="77777777" w:rsidR="007D2F30" w:rsidRPr="009118AB" w:rsidRDefault="007D2F30" w:rsidP="007D2F30">
      <w:pPr>
        <w:jc w:val="both"/>
      </w:pPr>
    </w:p>
    <w:p w14:paraId="10B3D56E" w14:textId="77777777" w:rsidR="007D2F30" w:rsidRPr="009118AB" w:rsidRDefault="007D2F30" w:rsidP="007D2F30">
      <w:pPr>
        <w:ind w:firstLine="708"/>
        <w:jc w:val="both"/>
      </w:pPr>
      <w:r w:rsidRPr="009118AB">
        <w:t>Der in Absatz 1 erwähnte Vertrag kann nicht geschlossen werden, wenn eine der beiden Parteien:</w:t>
      </w:r>
    </w:p>
    <w:p w14:paraId="5E0F9DB3" w14:textId="77777777" w:rsidR="007D2F30" w:rsidRPr="009118AB" w:rsidRDefault="007D2F30" w:rsidP="007D2F30">
      <w:pPr>
        <w:jc w:val="both"/>
      </w:pPr>
    </w:p>
    <w:p w14:paraId="1821B379" w14:textId="6A701CD3" w:rsidR="007D2F30" w:rsidRPr="009118AB" w:rsidRDefault="007D2F30" w:rsidP="007D2F30">
      <w:pPr>
        <w:ind w:firstLine="708"/>
        <w:jc w:val="both"/>
      </w:pPr>
      <w:r w:rsidRPr="009118AB">
        <w:t>- eine Gesellschaft ist, die ein unbewegliches Gut oder andere dingliche Rechte an einem solchen Gut einer oder mehreren natürlichen Personen, die in der Gesellschaft ein Mandat oder Funktionen wie in Artikel 32 Absatz 1 erwähnt ausüben, dem Ehepartner oder den Kindern dieser Personen</w:t>
      </w:r>
      <w:r w:rsidR="00D67EB8" w:rsidRPr="009118AB">
        <w:t> - </w:t>
      </w:r>
      <w:r w:rsidRPr="009118AB">
        <w:t>wenn diese Personen oder ihr Ehepartner das gesetzliche Nutzungsrecht an den Einkünften dieser Kinder haben</w:t>
      </w:r>
      <w:r w:rsidR="00D67EB8" w:rsidRPr="009118AB">
        <w:t> - </w:t>
      </w:r>
      <w:r w:rsidRPr="009118AB">
        <w:t>zur Verfügung stellt,</w:t>
      </w:r>
    </w:p>
    <w:p w14:paraId="5FEEDB75" w14:textId="77777777" w:rsidR="007D2F30" w:rsidRPr="009118AB" w:rsidRDefault="007D2F30" w:rsidP="007D2F30">
      <w:pPr>
        <w:jc w:val="both"/>
      </w:pPr>
    </w:p>
    <w:p w14:paraId="696601AD" w14:textId="77777777" w:rsidR="007D2F30" w:rsidRPr="009118AB" w:rsidRDefault="007D2F30" w:rsidP="007D2F30">
      <w:pPr>
        <w:ind w:firstLine="708"/>
        <w:jc w:val="both"/>
      </w:pPr>
      <w:r w:rsidRPr="009118AB">
        <w:t>- eine in Artikel 185</w:t>
      </w:r>
      <w:r w:rsidRPr="009118AB">
        <w:rPr>
          <w:i/>
        </w:rPr>
        <w:t>bis</w:t>
      </w:r>
      <w:r w:rsidRPr="009118AB">
        <w:t xml:space="preserve"> erwähnte Gesellschaft ist,</w:t>
      </w:r>
    </w:p>
    <w:p w14:paraId="095B3274" w14:textId="77777777" w:rsidR="007D2F30" w:rsidRPr="009118AB" w:rsidRDefault="007D2F30" w:rsidP="007D2F30">
      <w:pPr>
        <w:jc w:val="both"/>
      </w:pPr>
    </w:p>
    <w:p w14:paraId="0AAB2F23" w14:textId="77777777" w:rsidR="007D2F30" w:rsidRPr="009118AB" w:rsidRDefault="007D2F30" w:rsidP="007D2F30">
      <w:pPr>
        <w:ind w:firstLine="708"/>
        <w:jc w:val="both"/>
      </w:pPr>
      <w:r w:rsidRPr="009118AB">
        <w:t>- eine Seeschifffahrtsgesellschaft ist, die in Anwendung der Artikel 115 bis 120 oder in Anwendung von Artikel 124 des Programmgesetzes vom 2. August 2002 der Steuer unterliegt,</w:t>
      </w:r>
    </w:p>
    <w:p w14:paraId="643BFE85" w14:textId="77777777" w:rsidR="007D2F30" w:rsidRPr="009118AB" w:rsidRDefault="007D2F30" w:rsidP="007D2F30">
      <w:pPr>
        <w:jc w:val="both"/>
      </w:pPr>
    </w:p>
    <w:p w14:paraId="6CA025FB" w14:textId="77777777" w:rsidR="007D2F30" w:rsidRPr="009118AB" w:rsidRDefault="007D2F30" w:rsidP="007D2F30">
      <w:pPr>
        <w:ind w:firstLine="708"/>
        <w:jc w:val="both"/>
      </w:pPr>
      <w:r w:rsidRPr="009118AB">
        <w:t>- eine als Diamanthändler registrierte Gesellschaft ist, die in Anwendung der Artikel 67 bis 71 des Programmgesetzes vom 10. August 2015 der Steuer unterliegt,</w:t>
      </w:r>
    </w:p>
    <w:p w14:paraId="56DDFD14" w14:textId="77777777" w:rsidR="007D2F30" w:rsidRPr="009118AB" w:rsidRDefault="007D2F30" w:rsidP="007D2F30">
      <w:pPr>
        <w:jc w:val="both"/>
      </w:pPr>
    </w:p>
    <w:p w14:paraId="1D42BB83" w14:textId="4DA5BFE0" w:rsidR="007D2F30" w:rsidRPr="009118AB" w:rsidRDefault="007D2F30" w:rsidP="007D2F30">
      <w:pPr>
        <w:ind w:firstLine="708"/>
        <w:jc w:val="both"/>
      </w:pPr>
      <w:r w:rsidRPr="009118AB">
        <w:t>- eine Gesellschaft ist, die in Anwendung von Artikel 342 §</w:t>
      </w:r>
      <w:r w:rsidR="00D67EB8" w:rsidRPr="009118AB">
        <w:t>§ </w:t>
      </w:r>
      <w:r w:rsidRPr="009118AB">
        <w:t>2 und 4 nach den Gewinnen des Besteuerungszeitraums pauschal veranlagt wird,</w:t>
      </w:r>
    </w:p>
    <w:p w14:paraId="242062DD" w14:textId="77777777" w:rsidR="007D2F30" w:rsidRPr="009118AB" w:rsidRDefault="007D2F30" w:rsidP="007D2F30">
      <w:pPr>
        <w:jc w:val="both"/>
      </w:pPr>
    </w:p>
    <w:p w14:paraId="097D7CB3" w14:textId="35951EAB" w:rsidR="007D2F30" w:rsidRPr="009118AB" w:rsidRDefault="007D2F30" w:rsidP="007D2F30">
      <w:pPr>
        <w:ind w:firstLine="708"/>
        <w:jc w:val="both"/>
      </w:pPr>
      <w:r w:rsidRPr="009118AB">
        <w:t xml:space="preserve">- für die Anwendung von </w:t>
      </w:r>
      <w:r w:rsidR="00D67EB8" w:rsidRPr="009118AB">
        <w:t>§ </w:t>
      </w:r>
      <w:r w:rsidRPr="009118AB">
        <w:t>4 eine im Ausland ansässige Gesellschaft ist, die zwar im Land ihres Steuerwohnsitzes der Gesellschaftssteuer oder einer dieser Steuer ähnlichen ausländischen Steuer unterliegt, zu deren Gunsten in diesem Land aber ein vom allgemeinen Recht abweichendes Besteuerungssystem angewandt wird.</w:t>
      </w:r>
    </w:p>
    <w:p w14:paraId="2E258C49" w14:textId="77777777" w:rsidR="007D2F30" w:rsidRPr="009118AB" w:rsidRDefault="007D2F30" w:rsidP="007D2F30">
      <w:pPr>
        <w:jc w:val="both"/>
      </w:pPr>
    </w:p>
    <w:p w14:paraId="71839B44" w14:textId="5366B24B" w:rsidR="007D2F30" w:rsidRPr="009118AB" w:rsidRDefault="00D67EB8" w:rsidP="007D2F30">
      <w:pPr>
        <w:ind w:firstLine="708"/>
        <w:jc w:val="both"/>
      </w:pPr>
      <w:r w:rsidRPr="009118AB">
        <w:t>§ </w:t>
      </w:r>
      <w:r w:rsidR="007D2F30" w:rsidRPr="009118AB">
        <w:t>3</w:t>
      </w:r>
      <w:r w:rsidRPr="009118AB">
        <w:t> - </w:t>
      </w:r>
      <w:r w:rsidR="007D2F30" w:rsidRPr="009118AB">
        <w:t>Ein Vertrag kommt nur dann als Konzernbeitragsvertrag in Betracht, wenn er die Bedingungen des vorliegenden Paragraphen erfüllt und die Parteien diesen Bedingungen auch tatsächlich nachkommen.</w:t>
      </w:r>
    </w:p>
    <w:p w14:paraId="60E87C3B" w14:textId="77777777" w:rsidR="007D2F30" w:rsidRPr="009118AB" w:rsidRDefault="007D2F30" w:rsidP="007D2F30">
      <w:pPr>
        <w:jc w:val="both"/>
      </w:pPr>
    </w:p>
    <w:p w14:paraId="51F2DF70" w14:textId="77777777" w:rsidR="007D2F30" w:rsidRPr="009118AB" w:rsidRDefault="007D2F30" w:rsidP="007D2F30">
      <w:pPr>
        <w:ind w:firstLine="708"/>
        <w:jc w:val="both"/>
      </w:pPr>
      <w:r w:rsidRPr="009118AB">
        <w:t>Der Steuerpflichtige und die in Betracht kommende inländische Gesellschaft oder die belgische Niederlassung einer in Betracht kommenden ausländischen Gesellschaft werden als die beiden Vertragsparteien identifiziert.</w:t>
      </w:r>
    </w:p>
    <w:p w14:paraId="6D72BD20" w14:textId="77777777" w:rsidR="007D2F30" w:rsidRPr="009118AB" w:rsidRDefault="007D2F30" w:rsidP="007D2F30">
      <w:pPr>
        <w:jc w:val="both"/>
      </w:pPr>
    </w:p>
    <w:p w14:paraId="65CE74FA" w14:textId="35655EDF" w:rsidR="007D2F30" w:rsidRPr="009118AB" w:rsidRDefault="007D2F30" w:rsidP="007D2F30">
      <w:pPr>
        <w:ind w:firstLine="708"/>
        <w:jc w:val="both"/>
      </w:pPr>
      <w:r w:rsidRPr="009118AB">
        <w:t xml:space="preserve">In diesem Vertrag verpflichtet sich diese inländische Gesellschaft oder belgische Niederlassung, den im Vertrag festgehaltenen Betrag des Konzernbeitrags gemäß Artikel 185 </w:t>
      </w:r>
      <w:r w:rsidR="00D67EB8" w:rsidRPr="009118AB">
        <w:t>§ </w:t>
      </w:r>
      <w:r w:rsidRPr="009118AB">
        <w:t>4 Absatz 1 in die Gesellschaftssteuererklärung oder die Erklärung zur Steuer der Gebietsfremden als Gewinn eines Besteuerungszeitraums, der an das Steuerjahr gebunden ist, auf den sich der Vertrag bezieht, aufzunehmen.</w:t>
      </w:r>
    </w:p>
    <w:p w14:paraId="3C6A7A81" w14:textId="77777777" w:rsidR="007D2F30" w:rsidRPr="009118AB" w:rsidRDefault="007D2F30" w:rsidP="007D2F30">
      <w:pPr>
        <w:jc w:val="both"/>
      </w:pPr>
    </w:p>
    <w:p w14:paraId="5BEA7EFA" w14:textId="77777777" w:rsidR="007D2F30" w:rsidRPr="009118AB" w:rsidRDefault="007D2F30" w:rsidP="007D2F30">
      <w:pPr>
        <w:ind w:firstLine="708"/>
        <w:jc w:val="both"/>
      </w:pPr>
      <w:r w:rsidRPr="009118AB">
        <w:t>In diesem Vertrag verpflichtet sich der Steuerpflichtige, dieser inländischen Gesellschaft oder belgischen Niederlassung eine Vergütung zu zahlen, die der Gesell</w:t>
      </w:r>
      <w:r w:rsidRPr="009118AB">
        <w:softHyphen/>
        <w:t>schaftssteuer oder der Steuer der Gebietsfremden entspricht, die geschuldet würde, wenn der im Vertrag festgehaltene Betrag des Konzernbeitrags nicht von den Gewinnen des Besteuerungszeitraums abgezogen worden wäre.</w:t>
      </w:r>
    </w:p>
    <w:p w14:paraId="4E162E09" w14:textId="77777777" w:rsidR="007D2F30" w:rsidRPr="009118AB" w:rsidRDefault="007D2F30" w:rsidP="007D2F30">
      <w:pPr>
        <w:jc w:val="both"/>
      </w:pPr>
    </w:p>
    <w:p w14:paraId="43F0FAB7" w14:textId="2057A566" w:rsidR="007D2F30" w:rsidRPr="009118AB" w:rsidRDefault="00D67EB8" w:rsidP="007D2F30">
      <w:pPr>
        <w:ind w:firstLine="708"/>
        <w:jc w:val="both"/>
      </w:pPr>
      <w:r w:rsidRPr="009118AB">
        <w:t>§ </w:t>
      </w:r>
      <w:r w:rsidR="007D2F30" w:rsidRPr="009118AB">
        <w:t>4</w:t>
      </w:r>
      <w:r w:rsidRPr="009118AB">
        <w:t> - </w:t>
      </w:r>
      <w:r w:rsidR="007D2F30" w:rsidRPr="009118AB">
        <w:t>Hat eine in Betracht kommende ausländische Gesellschaft ihre Tätigkeiten definitiv eingestellt und werden diese Tätigkeiten nicht binnen drei Jahren ab ihrer Einstellung von einer anderen Gesellschaft übernommen, die Teil derselben Unter</w:t>
      </w:r>
      <w:r w:rsidR="007D2F30" w:rsidRPr="009118AB">
        <w:softHyphen/>
        <w:t>nehmensgruppe wie diese ausländische Gesellschaft ist, kann der Steuerpflichtige einen Konzernbeitragsvertrag mit dieser ausländischen Gesellschaft schließen, wenn dieser Vertrag die Bedingungen des vorliegenden Paragraphen erfüllt und die Parteien diesen Bedingungen auch tatsächlich nachkommen.</w:t>
      </w:r>
    </w:p>
    <w:p w14:paraId="0ECF2A75" w14:textId="77777777" w:rsidR="007D2F30" w:rsidRPr="009118AB" w:rsidRDefault="007D2F30" w:rsidP="007D2F30">
      <w:pPr>
        <w:jc w:val="both"/>
      </w:pPr>
    </w:p>
    <w:p w14:paraId="3C9C742A" w14:textId="77777777" w:rsidR="007D2F30" w:rsidRPr="009118AB" w:rsidRDefault="007D2F30" w:rsidP="007D2F30">
      <w:pPr>
        <w:ind w:firstLine="708"/>
        <w:jc w:val="both"/>
      </w:pPr>
      <w:r w:rsidRPr="009118AB">
        <w:t>Der Steuerpflichtige und die in Absatz 1 erwähnte in Betracht kommende ausländische Gesellschaft werden als die beiden Vertragsparteien identifiziert.</w:t>
      </w:r>
    </w:p>
    <w:p w14:paraId="592148CC" w14:textId="77777777" w:rsidR="007D2F30" w:rsidRPr="009118AB" w:rsidRDefault="007D2F30" w:rsidP="007D2F30">
      <w:pPr>
        <w:jc w:val="both"/>
      </w:pPr>
    </w:p>
    <w:p w14:paraId="6CF29645" w14:textId="77777777" w:rsidR="007D2F30" w:rsidRPr="009118AB" w:rsidRDefault="007D2F30" w:rsidP="007D2F30">
      <w:pPr>
        <w:ind w:firstLine="708"/>
        <w:jc w:val="both"/>
      </w:pPr>
      <w:r w:rsidRPr="009118AB">
        <w:t>In diesem Vertrag wird der Betrag des Konzernbeitrags festgehalten. Dieser Betrag darf die beruflichen Verluste nicht übersteigen, die gemäß den Bestimmungen des vorliegenden Gesetzbuches bestimmt werden und die die in Absatz 1 erwähnte in Betracht kommende ausländische Gesellschaft in dem Besteuerungszeitraum erleidet, in dem die Tätigkeiten definitiv eingestellt wurden.</w:t>
      </w:r>
    </w:p>
    <w:p w14:paraId="317BBEF1" w14:textId="77777777" w:rsidR="007D2F30" w:rsidRPr="009118AB" w:rsidRDefault="007D2F30" w:rsidP="007D2F30">
      <w:pPr>
        <w:jc w:val="both"/>
      </w:pPr>
    </w:p>
    <w:p w14:paraId="7358F059" w14:textId="77777777" w:rsidR="007D2F30" w:rsidRPr="009118AB" w:rsidRDefault="007D2F30" w:rsidP="007D2F30">
      <w:pPr>
        <w:ind w:firstLine="708"/>
        <w:jc w:val="both"/>
      </w:pPr>
      <w:r w:rsidRPr="009118AB">
        <w:t>Dürfen vorerwähnte berufliche Verluste ganz oder teilweise durch die ausländische Gesellschaft oder durch eine andere Person abgezogen werden, werden die im vorhergehenden Absatz erwähnten beruflichen Verluste auf den Teil der beruflichen Verluste begrenzt, der nicht durch die ausländische Gesellschaft oder durch eine andere Person abgezogen werden darf.</w:t>
      </w:r>
    </w:p>
    <w:p w14:paraId="36098D81" w14:textId="77777777" w:rsidR="007D2F30" w:rsidRPr="009118AB" w:rsidRDefault="007D2F30" w:rsidP="007D2F30">
      <w:pPr>
        <w:jc w:val="both"/>
      </w:pPr>
    </w:p>
    <w:p w14:paraId="27865B6A" w14:textId="77777777" w:rsidR="007D2F30" w:rsidRPr="009118AB" w:rsidRDefault="007D2F30" w:rsidP="007D2F30">
      <w:pPr>
        <w:ind w:firstLine="708"/>
        <w:jc w:val="both"/>
      </w:pPr>
      <w:r w:rsidRPr="009118AB">
        <w:t>In diesem Vertrag verpflichtet sich der Steuerpflichtige, dieser ausländischen Gesellschaft eine Vergütung zu zahlen, die der Gesellschaftssteuer oder der Steuer der Gebietsfremden entspricht, die geschuldet würde, wenn der im Vertrag festgehaltene Betrag des Konzernbeitrags nicht von den Gewinnen des Besteuerungszeitraums abgezogen worden wäre.</w:t>
      </w:r>
    </w:p>
    <w:p w14:paraId="686DCB45" w14:textId="77777777" w:rsidR="007D2F30" w:rsidRPr="009118AB" w:rsidRDefault="007D2F30" w:rsidP="007D2F30">
      <w:pPr>
        <w:jc w:val="both"/>
      </w:pPr>
    </w:p>
    <w:p w14:paraId="571C0722" w14:textId="55883033" w:rsidR="00582578" w:rsidRPr="009118AB" w:rsidRDefault="00D67EB8" w:rsidP="007D2F30">
      <w:pPr>
        <w:autoSpaceDE w:val="0"/>
        <w:autoSpaceDN w:val="0"/>
        <w:adjustRightInd w:val="0"/>
        <w:ind w:firstLine="708"/>
        <w:jc w:val="both"/>
        <w:rPr>
          <w:iCs/>
        </w:rPr>
      </w:pPr>
      <w:r w:rsidRPr="009118AB">
        <w:t>§ </w:t>
      </w:r>
      <w:r w:rsidR="007D2F30" w:rsidRPr="009118AB">
        <w:t>5</w:t>
      </w:r>
      <w:r w:rsidRPr="009118AB">
        <w:t> - </w:t>
      </w:r>
      <w:r w:rsidR="007D2F30" w:rsidRPr="009118AB">
        <w:t xml:space="preserve">Zur Rechtfertigung des Vorteils des Abzugs des Konzernbeitrags muss der Steuerpflichtige seiner Gesellschaftssteuererklärung oder seiner Erklärung zur Steuer der Gebietsfremden den in </w:t>
      </w:r>
      <w:r w:rsidRPr="009118AB">
        <w:t>§ </w:t>
      </w:r>
      <w:r w:rsidR="007D2F30" w:rsidRPr="009118AB">
        <w:t>3 oder 4 erwähnten Vertrag beifügen, dessen Muster vom König festgelegt wird.</w:t>
      </w:r>
      <w:r w:rsidR="00582578" w:rsidRPr="009118AB">
        <w:rPr>
          <w:iCs/>
        </w:rPr>
        <w:t>]</w:t>
      </w:r>
    </w:p>
    <w:p w14:paraId="694A80DC" w14:textId="77777777" w:rsidR="00582578" w:rsidRPr="009118AB" w:rsidRDefault="00582578" w:rsidP="00582578">
      <w:pPr>
        <w:autoSpaceDE w:val="0"/>
        <w:autoSpaceDN w:val="0"/>
        <w:adjustRightInd w:val="0"/>
        <w:jc w:val="both"/>
        <w:rPr>
          <w:iCs/>
        </w:rPr>
      </w:pPr>
    </w:p>
    <w:p w14:paraId="6A3E6C22" w14:textId="0C491101" w:rsidR="00582578" w:rsidRPr="009118AB" w:rsidRDefault="00582578" w:rsidP="00582578">
      <w:pPr>
        <w:autoSpaceDE w:val="0"/>
        <w:autoSpaceDN w:val="0"/>
        <w:adjustRightInd w:val="0"/>
        <w:jc w:val="both"/>
        <w:rPr>
          <w:iCs/>
        </w:rPr>
      </w:pPr>
      <w:r w:rsidRPr="009118AB">
        <w:rPr>
          <w:i/>
          <w:iCs/>
        </w:rPr>
        <w:t>[</w:t>
      </w:r>
      <w:r w:rsidR="00D67EB8" w:rsidRPr="009118AB">
        <w:rPr>
          <w:i/>
          <w:iCs/>
        </w:rPr>
        <w:t>Art. </w:t>
      </w:r>
      <w:r w:rsidRPr="009118AB">
        <w:rPr>
          <w:i/>
          <w:iCs/>
        </w:rPr>
        <w:t xml:space="preserve">205/5 eingefügt durch </w:t>
      </w:r>
      <w:r w:rsidR="00D67EB8" w:rsidRPr="009118AB">
        <w:rPr>
          <w:i/>
          <w:iCs/>
        </w:rPr>
        <w:t>Art. </w:t>
      </w:r>
      <w:r w:rsidRPr="009118AB">
        <w:rPr>
          <w:i/>
          <w:iCs/>
        </w:rPr>
        <w:t>48 des G. vom 25. Dezember 2017 (III) (B.S. vom 29. Dezember 2017)</w:t>
      </w:r>
      <w:r w:rsidR="00D67EB8" w:rsidRPr="009118AB">
        <w:rPr>
          <w:i/>
          <w:iCs/>
        </w:rPr>
        <w:t> - </w:t>
      </w:r>
      <w:r w:rsidRPr="009118AB">
        <w:rPr>
          <w:i/>
          <w:iCs/>
        </w:rPr>
        <w:t>in Kraft am 1. Januar 2019 und anwendbar ab dem Steuerjahr 2020, das sich auf einen Besteuerungszeitraum bezieht, der frühestens am 1. Januar 2019 beginnt</w:t>
      </w:r>
      <w:r w:rsidR="00FD68E8" w:rsidRPr="009118AB">
        <w:rPr>
          <w:i/>
          <w:iCs/>
        </w:rPr>
        <w:t> -,</w:t>
      </w:r>
      <w:r w:rsidR="007D2F30" w:rsidRPr="009118AB">
        <w:rPr>
          <w:i/>
          <w:iCs/>
        </w:rPr>
        <w:t xml:space="preserve"> selbst ersetzt durch </w:t>
      </w:r>
      <w:r w:rsidR="00D67EB8" w:rsidRPr="009118AB">
        <w:rPr>
          <w:i/>
          <w:iCs/>
        </w:rPr>
        <w:t>Art. </w:t>
      </w:r>
      <w:r w:rsidR="007D2F30" w:rsidRPr="009118AB">
        <w:rPr>
          <w:i/>
          <w:iCs/>
        </w:rPr>
        <w:t>32</w:t>
      </w:r>
      <w:r w:rsidR="007D2F30" w:rsidRPr="009118AB">
        <w:rPr>
          <w:i/>
        </w:rPr>
        <w:t xml:space="preserve"> des G. vom 30. Juli 2018 (I) (B.S. vom 10. August 2018)</w:t>
      </w:r>
      <w:r w:rsidRPr="009118AB">
        <w:rPr>
          <w:i/>
          <w:iCs/>
        </w:rPr>
        <w:t>]</w:t>
      </w:r>
    </w:p>
    <w:p w14:paraId="77C749FC" w14:textId="12273A98" w:rsidR="00477B8F" w:rsidRPr="009118AB" w:rsidRDefault="00477B8F" w:rsidP="00582578">
      <w:pPr>
        <w:autoSpaceDE w:val="0"/>
        <w:autoSpaceDN w:val="0"/>
        <w:adjustRightInd w:val="0"/>
        <w:jc w:val="center"/>
      </w:pPr>
      <w:r w:rsidRPr="009118AB">
        <w:br w:type="page"/>
      </w:r>
      <w:r w:rsidRPr="009118AB">
        <w:lastRenderedPageBreak/>
        <w:t>[Unterabschnitt </w:t>
      </w:r>
      <w:r w:rsidR="00582578" w:rsidRPr="009118AB">
        <w:t>[3</w:t>
      </w:r>
      <w:r w:rsidR="00582578" w:rsidRPr="009118AB">
        <w:rPr>
          <w:i/>
        </w:rPr>
        <w:t>ter</w:t>
      </w:r>
      <w:r w:rsidR="00582578" w:rsidRPr="009118AB">
        <w:rPr>
          <w:iCs/>
        </w:rPr>
        <w:t>]</w:t>
      </w:r>
      <w:r w:rsidR="00D67EB8" w:rsidRPr="009118AB">
        <w:t> - </w:t>
      </w:r>
      <w:r w:rsidR="00453E21" w:rsidRPr="009118AB">
        <w:t>[...]</w:t>
      </w:r>
      <w:r w:rsidRPr="009118AB">
        <w:t>]</w:t>
      </w:r>
    </w:p>
    <w:p w14:paraId="336E4F7E" w14:textId="77777777" w:rsidR="00477B8F" w:rsidRPr="009118AB" w:rsidRDefault="00477B8F" w:rsidP="00477B8F">
      <w:pPr>
        <w:autoSpaceDE w:val="0"/>
        <w:autoSpaceDN w:val="0"/>
        <w:adjustRightInd w:val="0"/>
        <w:jc w:val="both"/>
      </w:pPr>
    </w:p>
    <w:p w14:paraId="29EC73DC" w14:textId="596F1CBB" w:rsidR="00477B8F" w:rsidRPr="009118AB" w:rsidRDefault="00477B8F" w:rsidP="00477B8F">
      <w:pPr>
        <w:autoSpaceDE w:val="0"/>
        <w:autoSpaceDN w:val="0"/>
        <w:adjustRightInd w:val="0"/>
        <w:jc w:val="both"/>
        <w:rPr>
          <w:rFonts w:ascii="Times New Roman Italique" w:hAnsi="Times New Roman Italique"/>
          <w:spacing w:val="-4"/>
        </w:rPr>
      </w:pPr>
      <w:r w:rsidRPr="009118AB">
        <w:rPr>
          <w:rFonts w:ascii="Times New Roman Italique" w:hAnsi="Times New Roman Italique"/>
          <w:i/>
          <w:iCs/>
          <w:spacing w:val="-2"/>
        </w:rPr>
        <w:t xml:space="preserve">[Unterteilung Unterabschnitt </w:t>
      </w:r>
      <w:r w:rsidR="00D74862" w:rsidRPr="009118AB">
        <w:rPr>
          <w:rFonts w:ascii="Times New Roman Italique" w:hAnsi="Times New Roman Italique"/>
          <w:i/>
          <w:iCs/>
          <w:spacing w:val="-2"/>
        </w:rPr>
        <w:t>3</w:t>
      </w:r>
      <w:r w:rsidR="0040383E" w:rsidRPr="009118AB">
        <w:rPr>
          <w:rFonts w:ascii="Times New Roman Italique" w:hAnsi="Times New Roman Italique"/>
          <w:i/>
          <w:iCs/>
          <w:spacing w:val="-2"/>
        </w:rPr>
        <w:t xml:space="preserve">bis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4 des G. vom 22. Juni 2005 (B.S.</w:t>
      </w:r>
      <w:r w:rsidR="0040383E" w:rsidRPr="009118AB">
        <w:rPr>
          <w:rFonts w:ascii="Times New Roman Italique" w:hAnsi="Times New Roman Italique"/>
          <w:i/>
          <w:iCs/>
          <w:spacing w:val="-2"/>
        </w:rPr>
        <w:t> </w:t>
      </w:r>
      <w:r w:rsidRPr="009118AB">
        <w:rPr>
          <w:rFonts w:ascii="Times New Roman Italique" w:hAnsi="Times New Roman Italique"/>
          <w:i/>
          <w:iCs/>
          <w:spacing w:val="-2"/>
        </w:rPr>
        <w:t>vom 30. Juni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2007</w:t>
      </w:r>
      <w:r w:rsidR="00D67EB8" w:rsidRPr="009118AB">
        <w:rPr>
          <w:rFonts w:ascii="Times New Roman Italique" w:hAnsi="Times New Roman Italique"/>
          <w:i/>
          <w:iCs/>
          <w:spacing w:val="-2"/>
        </w:rPr>
        <w:t> -</w:t>
      </w:r>
      <w:r w:rsidR="00453E21" w:rsidRPr="009118AB">
        <w:rPr>
          <w:rFonts w:ascii="Times New Roman Italique" w:hAnsi="Times New Roman Italique"/>
          <w:i/>
          <w:iCs/>
          <w:spacing w:val="-2"/>
        </w:rPr>
        <w:t>,</w:t>
      </w:r>
      <w:r w:rsidR="00582578" w:rsidRPr="009118AB">
        <w:rPr>
          <w:rFonts w:ascii="Times New Roman Italique" w:hAnsi="Times New Roman Italique"/>
          <w:i/>
          <w:iCs/>
          <w:spacing w:val="-2"/>
        </w:rPr>
        <w:t xml:space="preserve"> umnummeriert zu Unterabschnitt 3</w:t>
      </w:r>
      <w:r w:rsidR="00B65CFE" w:rsidRPr="009118AB">
        <w:rPr>
          <w:rFonts w:ascii="Times New Roman Italique" w:hAnsi="Times New Roman Italique"/>
          <w:i/>
          <w:iCs/>
          <w:spacing w:val="-2"/>
        </w:rPr>
        <w:t>ter</w:t>
      </w:r>
      <w:r w:rsidR="00582578" w:rsidRPr="009118AB">
        <w:rPr>
          <w:rFonts w:ascii="Times New Roman Italique" w:hAnsi="Times New Roman Italique"/>
          <w:i/>
          <w:iCs/>
          <w:spacing w:val="-2"/>
        </w:rPr>
        <w:t xml:space="preserve"> durch </w:t>
      </w:r>
      <w:r w:rsidR="00D67EB8" w:rsidRPr="009118AB">
        <w:rPr>
          <w:rFonts w:ascii="Times New Roman Italique" w:hAnsi="Times New Roman Italique"/>
          <w:i/>
          <w:iCs/>
          <w:spacing w:val="-2"/>
        </w:rPr>
        <w:t>Art. </w:t>
      </w:r>
      <w:r w:rsidR="00582578" w:rsidRPr="009118AB">
        <w:rPr>
          <w:rFonts w:ascii="Times New Roman Italique" w:hAnsi="Times New Roman Italique"/>
          <w:i/>
          <w:spacing w:val="-2"/>
        </w:rPr>
        <w:t>86 des G. vom 27. April 2007 (I) (B.S. vom 8. Mai 2007)</w:t>
      </w:r>
      <w:r w:rsidR="00D67EB8" w:rsidRPr="009118AB">
        <w:rPr>
          <w:rFonts w:ascii="Times New Roman Italique" w:hAnsi="Times New Roman Italique"/>
          <w:i/>
          <w:iCs/>
          <w:spacing w:val="-2"/>
        </w:rPr>
        <w:t> - </w:t>
      </w:r>
      <w:r w:rsidR="00582578" w:rsidRPr="009118AB">
        <w:rPr>
          <w:rFonts w:ascii="Times New Roman Italique" w:hAnsi="Times New Roman Italique"/>
          <w:i/>
          <w:iCs/>
          <w:spacing w:val="-2"/>
        </w:rPr>
        <w:t xml:space="preserve">anwendbar </w:t>
      </w:r>
      <w:r w:rsidR="00582578" w:rsidRPr="009118AB">
        <w:rPr>
          <w:rFonts w:ascii="Times New Roman Italique" w:hAnsi="Times New Roman Italique"/>
          <w:i/>
          <w:spacing w:val="-2"/>
        </w:rPr>
        <w:t>ab dem Steuer</w:t>
      </w:r>
      <w:r w:rsidR="00C86FB3" w:rsidRPr="009118AB">
        <w:rPr>
          <w:rFonts w:ascii="Times New Roman Italique" w:hAnsi="Times New Roman Italique"/>
          <w:i/>
          <w:spacing w:val="-2"/>
        </w:rPr>
        <w:softHyphen/>
      </w:r>
      <w:r w:rsidR="00582578" w:rsidRPr="009118AB">
        <w:rPr>
          <w:rFonts w:ascii="Times New Roman Italique" w:hAnsi="Times New Roman Italique"/>
          <w:i/>
          <w:spacing w:val="-4"/>
        </w:rPr>
        <w:t>jahr 2008 auf die in Artikel 205</w:t>
      </w:r>
      <w:r w:rsidR="00582578" w:rsidRPr="009118AB">
        <w:rPr>
          <w:rFonts w:ascii="Times New Roman Italique" w:hAnsi="Times New Roman Italique"/>
          <w:i/>
          <w:spacing w:val="-4"/>
          <w:vertAlign w:val="superscript"/>
        </w:rPr>
        <w:t>2</w:t>
      </w:r>
      <w:r w:rsidR="00582578" w:rsidRPr="009118AB">
        <w:rPr>
          <w:rFonts w:ascii="Times New Roman Italique" w:hAnsi="Times New Roman Italique"/>
          <w:i/>
          <w:spacing w:val="-4"/>
        </w:rPr>
        <w:t xml:space="preserve"> des Einkommensteuergesetzbuches 1992 erwähnten Einkünfte aus Patenten, die sich auf Patente im Sinne von Artikel 205</w:t>
      </w:r>
      <w:r w:rsidR="00582578" w:rsidRPr="009118AB">
        <w:rPr>
          <w:rFonts w:ascii="Times New Roman Italique" w:hAnsi="Times New Roman Italique"/>
          <w:i/>
          <w:spacing w:val="-4"/>
          <w:vertAlign w:val="superscript"/>
        </w:rPr>
        <w:t>2</w:t>
      </w:r>
      <w:r w:rsidR="00582578" w:rsidRPr="009118AB">
        <w:rPr>
          <w:rFonts w:ascii="Times New Roman Italique" w:hAnsi="Times New Roman Italique"/>
          <w:i/>
          <w:spacing w:val="-4"/>
        </w:rPr>
        <w:t> </w:t>
      </w:r>
      <w:r w:rsidR="00D67EB8" w:rsidRPr="009118AB">
        <w:rPr>
          <w:rFonts w:ascii="Times New Roman Italique" w:hAnsi="Times New Roman Italique"/>
          <w:i/>
          <w:spacing w:val="-4"/>
        </w:rPr>
        <w:t>§ </w:t>
      </w:r>
      <w:r w:rsidR="00582578" w:rsidRPr="009118AB">
        <w:rPr>
          <w:rFonts w:ascii="Times New Roman Italique" w:hAnsi="Times New Roman Italique"/>
          <w:i/>
          <w:spacing w:val="-4"/>
        </w:rPr>
        <w:t>2 desselben Gesetzbuches beziehen, die die Gesellschaft, ein Lizenznehmer oder verbundene Unternehmen nicht vor dem 1. Januar 2007 zum Verkauf von Gütern oder Dienstleistungen an unabhängige Dritte genutzt hat</w:t>
      </w:r>
      <w:r w:rsidR="00FD68E8" w:rsidRPr="009118AB">
        <w:rPr>
          <w:rFonts w:ascii="Times New Roman Italique" w:hAnsi="Times New Roman Italique"/>
          <w:i/>
          <w:spacing w:val="-4"/>
        </w:rPr>
        <w:t> -</w:t>
      </w:r>
      <w:r w:rsidR="00453E21" w:rsidRPr="009118AB">
        <w:rPr>
          <w:rFonts w:ascii="Times New Roman Italique" w:hAnsi="Times New Roman Italique"/>
          <w:i/>
          <w:spacing w:val="-4"/>
        </w:rPr>
        <w:t xml:space="preserve"> und aufgehoben durch Art. 117</w:t>
      </w:r>
      <w:r w:rsidR="00453E21" w:rsidRPr="009118AB">
        <w:rPr>
          <w:rFonts w:ascii="Times New Roman Italique" w:hAnsi="Times New Roman Italique"/>
          <w:bCs/>
          <w:i/>
          <w:iCs/>
          <w:spacing w:val="-4"/>
        </w:rPr>
        <w:t xml:space="preserve"> des G. vom 26. Dezember 2022</w:t>
      </w:r>
      <w:bookmarkStart w:id="17" w:name="_Hlk173925561"/>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bookmarkEnd w:id="17"/>
      <w:r w:rsidR="002B5D49" w:rsidRPr="009118AB">
        <w:rPr>
          <w:rFonts w:ascii="Times New Roman Italique" w:hAnsi="Times New Roman Italique"/>
          <w:bCs/>
          <w:i/>
          <w:iCs/>
          <w:spacing w:val="-4"/>
        </w:rPr>
        <w:t xml:space="preserve"> </w:t>
      </w:r>
      <w:r w:rsidR="00453E21" w:rsidRPr="009118AB">
        <w:rPr>
          <w:rFonts w:ascii="Times New Roman Italique" w:hAnsi="Times New Roman Italique"/>
          <w:bCs/>
          <w:i/>
          <w:iCs/>
          <w:spacing w:val="-4"/>
        </w:rPr>
        <w:t>(B.S. vom 30. Dezember 2022) - anwendbar auf die Besteuerungszeiträume, die ab dem 31. Dezember 2023 enden -</w:t>
      </w:r>
      <w:r w:rsidR="00FD68E8" w:rsidRPr="009118AB">
        <w:rPr>
          <w:rFonts w:ascii="Times New Roman Italique" w:hAnsi="Times New Roman Italique"/>
          <w:i/>
          <w:spacing w:val="-4"/>
        </w:rPr>
        <w:t>]</w:t>
      </w:r>
    </w:p>
    <w:p w14:paraId="6F2585A7" w14:textId="77777777" w:rsidR="00477B8F" w:rsidRPr="009118AB" w:rsidRDefault="00477B8F" w:rsidP="00477B8F">
      <w:pPr>
        <w:autoSpaceDE w:val="0"/>
        <w:autoSpaceDN w:val="0"/>
        <w:adjustRightInd w:val="0"/>
        <w:jc w:val="both"/>
      </w:pPr>
    </w:p>
    <w:p w14:paraId="0D85437E" w14:textId="77777777" w:rsidR="00477B8F" w:rsidRPr="009118AB" w:rsidRDefault="00477B8F" w:rsidP="00477B8F">
      <w:pPr>
        <w:autoSpaceDE w:val="0"/>
        <w:autoSpaceDN w:val="0"/>
        <w:adjustRightInd w:val="0"/>
        <w:jc w:val="both"/>
      </w:pPr>
    </w:p>
    <w:p w14:paraId="4C7AFAEF" w14:textId="3571AB59"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205</w:t>
      </w:r>
      <w:r w:rsidRPr="009118AB">
        <w:rPr>
          <w:b/>
          <w:bCs/>
          <w:i/>
          <w:iCs/>
        </w:rPr>
        <w:t>bis</w:t>
      </w:r>
      <w:r w:rsidR="00D67EB8" w:rsidRPr="009118AB">
        <w:t> - </w:t>
      </w:r>
      <w:r w:rsidR="00453E21" w:rsidRPr="009118AB">
        <w:t>[..</w:t>
      </w:r>
      <w:r w:rsidRPr="009118AB">
        <w:t>.</w:t>
      </w:r>
      <w:r w:rsidR="00453E21" w:rsidRPr="009118AB">
        <w:t>]</w:t>
      </w:r>
      <w:r w:rsidRPr="009118AB">
        <w:t>]</w:t>
      </w:r>
    </w:p>
    <w:p w14:paraId="24F98B93" w14:textId="77777777" w:rsidR="00477B8F" w:rsidRPr="009118AB" w:rsidRDefault="00477B8F" w:rsidP="00477B8F">
      <w:pPr>
        <w:autoSpaceDE w:val="0"/>
        <w:autoSpaceDN w:val="0"/>
        <w:adjustRightInd w:val="0"/>
        <w:jc w:val="both"/>
      </w:pPr>
    </w:p>
    <w:p w14:paraId="146C5DB2" w14:textId="4339644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205bis eingefügt durch </w:t>
      </w:r>
      <w:r w:rsidR="00D67EB8" w:rsidRPr="009118AB">
        <w:rPr>
          <w:i/>
          <w:iCs/>
        </w:rPr>
        <w:t>Art. </w:t>
      </w:r>
      <w:r w:rsidRPr="009118AB">
        <w:rPr>
          <w:i/>
          <w:iCs/>
        </w:rPr>
        <w:t>5 des G. vom 22. Juni 2005 (B.S. vom 30. Juni 2005)</w:t>
      </w:r>
      <w:r w:rsidR="00D67EB8" w:rsidRPr="009118AB">
        <w:rPr>
          <w:i/>
          <w:iCs/>
        </w:rPr>
        <w:t> - </w:t>
      </w:r>
      <w:r w:rsidRPr="009118AB">
        <w:rPr>
          <w:i/>
          <w:iCs/>
        </w:rPr>
        <w:t>in Kraft ab dem Steuerjahr 2007</w:t>
      </w:r>
      <w:r w:rsidR="00FD68E8" w:rsidRPr="009118AB">
        <w:rPr>
          <w:i/>
          <w:iCs/>
        </w:rPr>
        <w:t> -</w:t>
      </w:r>
      <w:r w:rsidR="00453E21" w:rsidRPr="009118AB">
        <w:rPr>
          <w:i/>
          <w:iCs/>
        </w:rPr>
        <w:t xml:space="preserve"> und aufgehoben durch Art. 117</w:t>
      </w:r>
      <w:r w:rsidR="00453E21" w:rsidRPr="009118AB">
        <w:rPr>
          <w:bCs/>
          <w:i/>
          <w:iCs/>
        </w:rPr>
        <w:t xml:space="preserve"> des G. vom 26. Dezember 2022</w:t>
      </w:r>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r w:rsidR="00236038" w:rsidRPr="009118AB">
        <w:rPr>
          <w:bCs/>
          <w:i/>
          <w:iCs/>
        </w:rPr>
        <w:t> </w:t>
      </w:r>
      <w:r w:rsidR="00453E21" w:rsidRPr="009118AB">
        <w:rPr>
          <w:bCs/>
          <w:i/>
          <w:iCs/>
        </w:rPr>
        <w:t>(B.S. vom 30. Dezember 2022) - anwendbar auf die Besteuerungszeit</w:t>
      </w:r>
      <w:r w:rsidR="002B5D49" w:rsidRPr="009118AB">
        <w:rPr>
          <w:bCs/>
          <w:i/>
          <w:iCs/>
        </w:rPr>
        <w:softHyphen/>
      </w:r>
      <w:r w:rsidR="00453E21" w:rsidRPr="009118AB">
        <w:rPr>
          <w:bCs/>
          <w:i/>
          <w:iCs/>
        </w:rPr>
        <w:t>räume, die ab dem 31. Dezember 2023 enden -</w:t>
      </w:r>
      <w:r w:rsidR="00FD68E8" w:rsidRPr="009118AB">
        <w:rPr>
          <w:i/>
          <w:iCs/>
        </w:rPr>
        <w:t>]</w:t>
      </w:r>
    </w:p>
    <w:p w14:paraId="1C534098" w14:textId="77777777" w:rsidR="00477B8F" w:rsidRPr="009118AB" w:rsidRDefault="00477B8F" w:rsidP="00477B8F">
      <w:pPr>
        <w:autoSpaceDE w:val="0"/>
        <w:autoSpaceDN w:val="0"/>
        <w:adjustRightInd w:val="0"/>
        <w:jc w:val="both"/>
      </w:pPr>
    </w:p>
    <w:p w14:paraId="40E1D345" w14:textId="77777777" w:rsidR="00477B8F" w:rsidRPr="009118AB" w:rsidRDefault="00477B8F" w:rsidP="00477B8F">
      <w:pPr>
        <w:autoSpaceDE w:val="0"/>
        <w:autoSpaceDN w:val="0"/>
        <w:adjustRightInd w:val="0"/>
        <w:jc w:val="both"/>
      </w:pPr>
    </w:p>
    <w:p w14:paraId="266AFF17" w14:textId="7DA59AC3" w:rsidR="00477B8F" w:rsidRPr="009118AB" w:rsidRDefault="00477B8F" w:rsidP="00453E21">
      <w:pPr>
        <w:jc w:val="both"/>
      </w:pPr>
      <w:r w:rsidRPr="009118AB">
        <w:tab/>
        <w:t>[</w:t>
      </w:r>
      <w:r w:rsidR="00D67EB8" w:rsidRPr="009118AB">
        <w:rPr>
          <w:b/>
          <w:bCs/>
        </w:rPr>
        <w:t>Art. </w:t>
      </w:r>
      <w:r w:rsidRPr="009118AB">
        <w:rPr>
          <w:b/>
          <w:bCs/>
        </w:rPr>
        <w:t>205</w:t>
      </w:r>
      <w:r w:rsidRPr="009118AB">
        <w:rPr>
          <w:b/>
          <w:bCs/>
          <w:i/>
          <w:iCs/>
        </w:rPr>
        <w:t>ter</w:t>
      </w:r>
      <w:r w:rsidR="00D67EB8" w:rsidRPr="009118AB">
        <w:t> - </w:t>
      </w:r>
      <w:r w:rsidR="00453E21" w:rsidRPr="009118AB">
        <w:t>[...]</w:t>
      </w:r>
      <w:r w:rsidRPr="009118AB">
        <w:t>]</w:t>
      </w:r>
    </w:p>
    <w:p w14:paraId="71C8D5CB" w14:textId="77777777" w:rsidR="00477B8F" w:rsidRPr="009118AB" w:rsidRDefault="00477B8F" w:rsidP="00477B8F">
      <w:pPr>
        <w:autoSpaceDE w:val="0"/>
        <w:autoSpaceDN w:val="0"/>
        <w:adjustRightInd w:val="0"/>
        <w:jc w:val="both"/>
      </w:pPr>
    </w:p>
    <w:p w14:paraId="40BEAEAD" w14:textId="0C58269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205ter eingefügt durch </w:t>
      </w:r>
      <w:r w:rsidR="00D67EB8" w:rsidRPr="009118AB">
        <w:rPr>
          <w:i/>
          <w:iCs/>
        </w:rPr>
        <w:t>Art. </w:t>
      </w:r>
      <w:r w:rsidRPr="009118AB">
        <w:rPr>
          <w:i/>
          <w:iCs/>
        </w:rPr>
        <w:t>6 des G. vom 22. Juni 2005 (B.S. vom 30. Juni 2005)</w:t>
      </w:r>
      <w:r w:rsidR="00D67EB8" w:rsidRPr="009118AB">
        <w:rPr>
          <w:i/>
          <w:iCs/>
        </w:rPr>
        <w:t> - </w:t>
      </w:r>
      <w:r w:rsidRPr="009118AB">
        <w:rPr>
          <w:i/>
          <w:iCs/>
        </w:rPr>
        <w:t>in Kraft ab dem Steuerjahr 2007</w:t>
      </w:r>
      <w:r w:rsidR="003366D9" w:rsidRPr="009118AB">
        <w:rPr>
          <w:i/>
          <w:iCs/>
        </w:rPr>
        <w:t> -</w:t>
      </w:r>
      <w:r w:rsidR="00453E21" w:rsidRPr="009118AB">
        <w:rPr>
          <w:i/>
          <w:iCs/>
        </w:rPr>
        <w:t xml:space="preserve"> und aufgehoben durch Art. 117</w:t>
      </w:r>
      <w:r w:rsidR="009637D6" w:rsidRPr="009118AB">
        <w:rPr>
          <w:bCs/>
          <w:i/>
          <w:iCs/>
        </w:rPr>
        <w:t xml:space="preserve"> des G. vom 26. Dezember 2022</w:t>
      </w:r>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r w:rsidR="009637D6" w:rsidRPr="009118AB">
        <w:rPr>
          <w:bCs/>
          <w:i/>
          <w:iCs/>
        </w:rPr>
        <w:t xml:space="preserve"> (B.S. vom 30. Dezember 2022) - anwendbar</w:t>
      </w:r>
      <w:r w:rsidR="00453E21" w:rsidRPr="009118AB">
        <w:t xml:space="preserve"> </w:t>
      </w:r>
      <w:r w:rsidR="00453E21" w:rsidRPr="009118AB">
        <w:rPr>
          <w:i/>
          <w:iCs/>
        </w:rPr>
        <w:t>auf die Besteuerungszeiträume anwendbar, die ab dem 31. Dezember 2023 enden -</w:t>
      </w:r>
      <w:r w:rsidR="00FD68E8" w:rsidRPr="009118AB">
        <w:rPr>
          <w:i/>
        </w:rPr>
        <w:t>]</w:t>
      </w:r>
    </w:p>
    <w:p w14:paraId="6E400C45" w14:textId="77777777" w:rsidR="00620D15" w:rsidRPr="009118AB" w:rsidRDefault="00620D15" w:rsidP="00477B8F">
      <w:pPr>
        <w:autoSpaceDE w:val="0"/>
        <w:autoSpaceDN w:val="0"/>
        <w:adjustRightInd w:val="0"/>
        <w:jc w:val="both"/>
      </w:pPr>
    </w:p>
    <w:p w14:paraId="2A23A2B6" w14:textId="77777777" w:rsidR="00BD7BA5" w:rsidRPr="009118AB" w:rsidRDefault="00BD7BA5" w:rsidP="00477B8F">
      <w:pPr>
        <w:autoSpaceDE w:val="0"/>
        <w:autoSpaceDN w:val="0"/>
        <w:adjustRightInd w:val="0"/>
        <w:jc w:val="both"/>
      </w:pPr>
    </w:p>
    <w:p w14:paraId="69EA52B6" w14:textId="39F53A80" w:rsidR="006A2667" w:rsidRPr="009118AB" w:rsidRDefault="00477B8F" w:rsidP="00453E21">
      <w:pPr>
        <w:autoSpaceDE w:val="0"/>
        <w:autoSpaceDN w:val="0"/>
        <w:adjustRightInd w:val="0"/>
        <w:jc w:val="both"/>
        <w:rPr>
          <w:bCs/>
          <w:iCs/>
        </w:rPr>
      </w:pPr>
      <w:r w:rsidRPr="009118AB">
        <w:tab/>
        <w:t>[</w:t>
      </w:r>
      <w:r w:rsidR="00D67EB8" w:rsidRPr="009118AB">
        <w:rPr>
          <w:b/>
          <w:bCs/>
        </w:rPr>
        <w:t>Art. </w:t>
      </w:r>
      <w:r w:rsidRPr="009118AB">
        <w:rPr>
          <w:b/>
          <w:bCs/>
        </w:rPr>
        <w:t>205</w:t>
      </w:r>
      <w:r w:rsidRPr="009118AB">
        <w:rPr>
          <w:b/>
          <w:bCs/>
          <w:i/>
          <w:iCs/>
        </w:rPr>
        <w:t>quater</w:t>
      </w:r>
      <w:r w:rsidR="00D67EB8" w:rsidRPr="009118AB">
        <w:t> - </w:t>
      </w:r>
      <w:r w:rsidR="00453E21" w:rsidRPr="009118AB">
        <w:rPr>
          <w:bCs/>
          <w:iCs/>
        </w:rPr>
        <w:t>[...]</w:t>
      </w:r>
      <w:r w:rsidR="006A2667" w:rsidRPr="009118AB">
        <w:rPr>
          <w:bCs/>
          <w:iCs/>
        </w:rPr>
        <w:t>]</w:t>
      </w:r>
    </w:p>
    <w:p w14:paraId="5D73FBF0" w14:textId="77777777" w:rsidR="006A2667" w:rsidRPr="009118AB" w:rsidRDefault="006A2667" w:rsidP="006A2667">
      <w:pPr>
        <w:autoSpaceDE w:val="0"/>
        <w:autoSpaceDN w:val="0"/>
        <w:adjustRightInd w:val="0"/>
        <w:jc w:val="both"/>
        <w:rPr>
          <w:bCs/>
          <w:iCs/>
        </w:rPr>
      </w:pPr>
    </w:p>
    <w:p w14:paraId="025F6500" w14:textId="6FD55481" w:rsidR="006A2667" w:rsidRPr="009118AB" w:rsidRDefault="006A2667" w:rsidP="006A2667">
      <w:pPr>
        <w:autoSpaceDE w:val="0"/>
        <w:autoSpaceDN w:val="0"/>
        <w:adjustRightInd w:val="0"/>
        <w:jc w:val="both"/>
      </w:pPr>
      <w:r w:rsidRPr="009118AB">
        <w:rPr>
          <w:bCs/>
          <w:i/>
          <w:iCs/>
        </w:rPr>
        <w:t>[</w:t>
      </w:r>
      <w:r w:rsidR="00D67EB8" w:rsidRPr="009118AB">
        <w:rPr>
          <w:bCs/>
          <w:i/>
          <w:iCs/>
        </w:rPr>
        <w:t>Art. </w:t>
      </w:r>
      <w:r w:rsidRPr="009118AB">
        <w:rPr>
          <w:bCs/>
          <w:i/>
          <w:iCs/>
        </w:rPr>
        <w:t xml:space="preserve">205quater eingefügt durch </w:t>
      </w:r>
      <w:r w:rsidR="00D67EB8" w:rsidRPr="009118AB">
        <w:rPr>
          <w:bCs/>
          <w:i/>
          <w:iCs/>
        </w:rPr>
        <w:t>Art. </w:t>
      </w:r>
      <w:r w:rsidRPr="009118AB">
        <w:rPr>
          <w:bCs/>
          <w:i/>
          <w:iCs/>
        </w:rPr>
        <w:t>7 des G. vom 22. Juni 2005 (B.S. vom 30. Juni 2005)</w:t>
      </w:r>
      <w:r w:rsidR="00D67EB8" w:rsidRPr="009118AB">
        <w:rPr>
          <w:bCs/>
          <w:i/>
          <w:iCs/>
        </w:rPr>
        <w:t> - </w:t>
      </w:r>
      <w:r w:rsidRPr="009118AB">
        <w:rPr>
          <w:bCs/>
          <w:i/>
          <w:iCs/>
        </w:rPr>
        <w:t>in Kraft ab dem Steuerjahr 2007</w:t>
      </w:r>
      <w:r w:rsidR="003366D9" w:rsidRPr="009118AB">
        <w:rPr>
          <w:bCs/>
          <w:i/>
          <w:iCs/>
        </w:rPr>
        <w:t> -</w:t>
      </w:r>
      <w:r w:rsidR="00453E21" w:rsidRPr="009118AB">
        <w:rPr>
          <w:bCs/>
          <w:i/>
          <w:iCs/>
        </w:rPr>
        <w:t xml:space="preserve"> und aufgehoben durch Art. 117 des G. vom 26. Dezember 2022</w:t>
      </w:r>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r w:rsidR="00236038" w:rsidRPr="009118AB">
        <w:rPr>
          <w:bCs/>
          <w:i/>
          <w:iCs/>
        </w:rPr>
        <w:t> </w:t>
      </w:r>
      <w:r w:rsidR="00453E21" w:rsidRPr="009118AB">
        <w:rPr>
          <w:bCs/>
          <w:i/>
          <w:iCs/>
        </w:rPr>
        <w:t>(B.S. vom 30. Dezember 2022) - anwendbar auf die Besteuerungs</w:t>
      </w:r>
      <w:r w:rsidR="00236038" w:rsidRPr="009118AB">
        <w:rPr>
          <w:bCs/>
          <w:i/>
          <w:iCs/>
        </w:rPr>
        <w:softHyphen/>
      </w:r>
      <w:r w:rsidR="00453E21" w:rsidRPr="009118AB">
        <w:rPr>
          <w:bCs/>
          <w:i/>
          <w:iCs/>
        </w:rPr>
        <w:t>zeit</w:t>
      </w:r>
      <w:r w:rsidR="00236038" w:rsidRPr="009118AB">
        <w:rPr>
          <w:bCs/>
          <w:i/>
          <w:iCs/>
        </w:rPr>
        <w:softHyphen/>
      </w:r>
      <w:r w:rsidR="00453E21" w:rsidRPr="009118AB">
        <w:rPr>
          <w:bCs/>
          <w:i/>
          <w:iCs/>
        </w:rPr>
        <w:t>räume, die ab dem 31. Dezember 2023 enden -</w:t>
      </w:r>
      <w:r w:rsidR="009637D6" w:rsidRPr="009118AB">
        <w:rPr>
          <w:bCs/>
          <w:i/>
          <w:iCs/>
        </w:rPr>
        <w:t>]</w:t>
      </w:r>
    </w:p>
    <w:p w14:paraId="20B2660D" w14:textId="77777777" w:rsidR="006A2667" w:rsidRPr="009118AB" w:rsidRDefault="006A2667" w:rsidP="006A2667">
      <w:pPr>
        <w:autoSpaceDE w:val="0"/>
        <w:autoSpaceDN w:val="0"/>
        <w:adjustRightInd w:val="0"/>
        <w:jc w:val="both"/>
      </w:pPr>
    </w:p>
    <w:p w14:paraId="5E29B053" w14:textId="0AC8583E" w:rsidR="006E1F37" w:rsidRPr="009118AB" w:rsidRDefault="006E1F37"/>
    <w:p w14:paraId="744BE3CE" w14:textId="07895C4C" w:rsidR="00477B8F" w:rsidRPr="009118AB" w:rsidRDefault="00477B8F" w:rsidP="00453E21">
      <w:pPr>
        <w:ind w:firstLine="708"/>
        <w:jc w:val="both"/>
      </w:pPr>
      <w:r w:rsidRPr="009118AB">
        <w:t>[</w:t>
      </w:r>
      <w:r w:rsidR="00D67EB8" w:rsidRPr="009118AB">
        <w:rPr>
          <w:b/>
          <w:bCs/>
        </w:rPr>
        <w:t>Art. </w:t>
      </w:r>
      <w:r w:rsidRPr="009118AB">
        <w:rPr>
          <w:b/>
          <w:bCs/>
        </w:rPr>
        <w:t>205</w:t>
      </w:r>
      <w:r w:rsidRPr="009118AB">
        <w:rPr>
          <w:b/>
          <w:bCs/>
          <w:i/>
          <w:iCs/>
        </w:rPr>
        <w:t>quinquies</w:t>
      </w:r>
      <w:r w:rsidR="00D67EB8" w:rsidRPr="009118AB">
        <w:t> - </w:t>
      </w:r>
      <w:r w:rsidR="00484CF7" w:rsidRPr="009118AB">
        <w:t>[</w:t>
      </w:r>
      <w:r w:rsidR="00453E21" w:rsidRPr="009118AB">
        <w:t>...</w:t>
      </w:r>
      <w:r w:rsidR="00484CF7" w:rsidRPr="009118AB">
        <w:t>]]</w:t>
      </w:r>
    </w:p>
    <w:p w14:paraId="1E6F5AFC" w14:textId="77777777" w:rsidR="00477B8F" w:rsidRPr="009118AB" w:rsidRDefault="00477B8F" w:rsidP="00477B8F">
      <w:pPr>
        <w:autoSpaceDE w:val="0"/>
        <w:autoSpaceDN w:val="0"/>
        <w:adjustRightInd w:val="0"/>
        <w:jc w:val="both"/>
      </w:pPr>
    </w:p>
    <w:p w14:paraId="310246D8" w14:textId="3D4EE637"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205quinquies eingefügt durch </w:t>
      </w:r>
      <w:r w:rsidR="00D67EB8" w:rsidRPr="009118AB">
        <w:rPr>
          <w:i/>
          <w:iCs/>
        </w:rPr>
        <w:t>Art. </w:t>
      </w:r>
      <w:r w:rsidRPr="009118AB">
        <w:rPr>
          <w:i/>
          <w:iCs/>
        </w:rPr>
        <w:t>8 des G. vom 22. Juni 2005 (</w:t>
      </w:r>
      <w:r w:rsidR="00D27B17" w:rsidRPr="009118AB">
        <w:rPr>
          <w:i/>
          <w:iCs/>
        </w:rPr>
        <w:t>B.S. vom 30. Juni 2005)</w:t>
      </w:r>
      <w:r w:rsidR="00D67EB8" w:rsidRPr="009118AB">
        <w:rPr>
          <w:i/>
          <w:iCs/>
        </w:rPr>
        <w:t> - </w:t>
      </w:r>
      <w:r w:rsidRPr="009118AB">
        <w:rPr>
          <w:i/>
          <w:iCs/>
        </w:rPr>
        <w:t>in Kraft ab dem Steuerjahr 2007</w:t>
      </w:r>
      <w:r w:rsidR="00FD68E8" w:rsidRPr="009118AB">
        <w:rPr>
          <w:i/>
          <w:iCs/>
        </w:rPr>
        <w:t> -</w:t>
      </w:r>
      <w:r w:rsidR="00453E21" w:rsidRPr="009118AB">
        <w:rPr>
          <w:i/>
          <w:iCs/>
        </w:rPr>
        <w:t xml:space="preserve"> und</w:t>
      </w:r>
      <w:r w:rsidR="005172B2" w:rsidRPr="009118AB">
        <w:rPr>
          <w:i/>
          <w:iCs/>
        </w:rPr>
        <w:t xml:space="preserve"> </w:t>
      </w:r>
      <w:r w:rsidR="00484CF7" w:rsidRPr="009118AB">
        <w:rPr>
          <w:i/>
          <w:iCs/>
        </w:rPr>
        <w:t xml:space="preserve">aufgehoben durch </w:t>
      </w:r>
      <w:r w:rsidR="00D67EB8" w:rsidRPr="009118AB">
        <w:rPr>
          <w:i/>
          <w:iCs/>
        </w:rPr>
        <w:t>Art. </w:t>
      </w:r>
      <w:r w:rsidR="00453E21" w:rsidRPr="009118AB">
        <w:rPr>
          <w:i/>
          <w:iCs/>
        </w:rPr>
        <w:t>117</w:t>
      </w:r>
      <w:r w:rsidR="00453E21" w:rsidRPr="009118AB">
        <w:rPr>
          <w:bCs/>
          <w:i/>
          <w:iCs/>
        </w:rPr>
        <w:t xml:space="preserve"> des G. vom 26. Dezember 2022</w:t>
      </w:r>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r w:rsidR="00236038" w:rsidRPr="009118AB">
        <w:rPr>
          <w:bCs/>
          <w:i/>
          <w:iCs/>
        </w:rPr>
        <w:t> </w:t>
      </w:r>
      <w:r w:rsidR="00453E21" w:rsidRPr="009118AB">
        <w:rPr>
          <w:bCs/>
          <w:i/>
          <w:iCs/>
        </w:rPr>
        <w:t>(B.S. vom 30. Dezember 2022) - anwendbar auf die Besteuerungszeit</w:t>
      </w:r>
      <w:r w:rsidR="00455574" w:rsidRPr="009118AB">
        <w:rPr>
          <w:bCs/>
          <w:i/>
          <w:iCs/>
        </w:rPr>
        <w:softHyphen/>
      </w:r>
      <w:r w:rsidR="00453E21" w:rsidRPr="009118AB">
        <w:rPr>
          <w:bCs/>
          <w:i/>
          <w:iCs/>
        </w:rPr>
        <w:t>räume, die ab dem 31. Dezember 2023 enden -</w:t>
      </w:r>
      <w:r w:rsidR="00FD68E8" w:rsidRPr="009118AB">
        <w:rPr>
          <w:i/>
        </w:rPr>
        <w:t>]</w:t>
      </w:r>
    </w:p>
    <w:p w14:paraId="3F64A961" w14:textId="77777777" w:rsidR="00477B8F" w:rsidRPr="009118AB" w:rsidRDefault="00477B8F" w:rsidP="00477B8F">
      <w:pPr>
        <w:autoSpaceDE w:val="0"/>
        <w:autoSpaceDN w:val="0"/>
        <w:adjustRightInd w:val="0"/>
        <w:jc w:val="both"/>
      </w:pPr>
    </w:p>
    <w:p w14:paraId="13C2D112" w14:textId="77777777" w:rsidR="00487D41" w:rsidRPr="009118AB" w:rsidRDefault="00487D41"/>
    <w:p w14:paraId="41C4F0A5" w14:textId="77777777" w:rsidR="009637D6" w:rsidRPr="009118AB" w:rsidRDefault="009637D6">
      <w:r w:rsidRPr="009118AB">
        <w:br w:type="page"/>
      </w:r>
    </w:p>
    <w:p w14:paraId="33DB696B" w14:textId="44E28995" w:rsidR="00477B8F" w:rsidRPr="009118AB" w:rsidRDefault="00477B8F" w:rsidP="0069219E">
      <w:pPr>
        <w:tabs>
          <w:tab w:val="left" w:pos="720"/>
        </w:tabs>
        <w:autoSpaceDE w:val="0"/>
        <w:autoSpaceDN w:val="0"/>
        <w:adjustRightInd w:val="0"/>
        <w:ind w:left="720" w:hanging="720"/>
        <w:jc w:val="both"/>
      </w:pPr>
      <w:r w:rsidRPr="009118AB">
        <w:lastRenderedPageBreak/>
        <w:tab/>
      </w:r>
      <w:r w:rsidR="0069219E" w:rsidRPr="009118AB">
        <w:t>[</w:t>
      </w:r>
      <w:r w:rsidR="00D67EB8" w:rsidRPr="009118AB">
        <w:rPr>
          <w:b/>
          <w:bCs/>
        </w:rPr>
        <w:t>Art. </w:t>
      </w:r>
      <w:r w:rsidR="0069219E" w:rsidRPr="009118AB">
        <w:rPr>
          <w:b/>
          <w:bCs/>
        </w:rPr>
        <w:t>205</w:t>
      </w:r>
      <w:r w:rsidR="0069219E" w:rsidRPr="009118AB">
        <w:rPr>
          <w:b/>
          <w:bCs/>
          <w:i/>
          <w:iCs/>
        </w:rPr>
        <w:t>sexies</w:t>
      </w:r>
      <w:r w:rsidR="00D67EB8" w:rsidRPr="009118AB">
        <w:t> - </w:t>
      </w:r>
      <w:r w:rsidR="0069219E" w:rsidRPr="009118AB">
        <w:t xml:space="preserve">[…]] </w:t>
      </w:r>
    </w:p>
    <w:p w14:paraId="03680B76" w14:textId="77777777" w:rsidR="0069219E" w:rsidRPr="009118AB" w:rsidRDefault="0069219E" w:rsidP="0069219E">
      <w:pPr>
        <w:tabs>
          <w:tab w:val="left" w:pos="720"/>
        </w:tabs>
        <w:autoSpaceDE w:val="0"/>
        <w:autoSpaceDN w:val="0"/>
        <w:adjustRightInd w:val="0"/>
        <w:ind w:left="720" w:hanging="720"/>
        <w:jc w:val="both"/>
      </w:pPr>
    </w:p>
    <w:p w14:paraId="498C5C53" w14:textId="6EE85F25"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205sexies eingefügt durch </w:t>
      </w:r>
      <w:r w:rsidR="00D67EB8" w:rsidRPr="009118AB">
        <w:rPr>
          <w:i/>
          <w:iCs/>
        </w:rPr>
        <w:t>Art. </w:t>
      </w:r>
      <w:r w:rsidRPr="009118AB">
        <w:rPr>
          <w:i/>
          <w:iCs/>
        </w:rPr>
        <w:t>9 des G. vom 22. Juni 2005 (B.S. vom 30. Juni 2005)</w:t>
      </w:r>
      <w:r w:rsidR="00D67EB8" w:rsidRPr="009118AB">
        <w:rPr>
          <w:i/>
          <w:iCs/>
        </w:rPr>
        <w:t> - </w:t>
      </w:r>
      <w:r w:rsidRPr="009118AB">
        <w:rPr>
          <w:i/>
          <w:iCs/>
        </w:rPr>
        <w:t>in Kraft ab dem Steuerjahr 2007</w:t>
      </w:r>
      <w:r w:rsidR="00D67EB8" w:rsidRPr="009118AB">
        <w:rPr>
          <w:i/>
          <w:iCs/>
        </w:rPr>
        <w:t> - </w:t>
      </w:r>
      <w:r w:rsidRPr="009118AB">
        <w:rPr>
          <w:i/>
          <w:iCs/>
        </w:rPr>
        <w:t xml:space="preserve">und widerrufen durch </w:t>
      </w:r>
      <w:r w:rsidR="00D67EB8" w:rsidRPr="009118AB">
        <w:rPr>
          <w:i/>
          <w:iCs/>
        </w:rPr>
        <w:t>Art. </w:t>
      </w:r>
      <w:r w:rsidRPr="009118AB">
        <w:rPr>
          <w:i/>
          <w:iCs/>
        </w:rPr>
        <w:t>115 des G. vom 23. Dezember 2005 (B.S. vom 30. Dezember 2005)]</w:t>
      </w:r>
    </w:p>
    <w:p w14:paraId="28BEA74F" w14:textId="77777777" w:rsidR="00477B8F" w:rsidRPr="009118AB" w:rsidRDefault="00477B8F" w:rsidP="00477B8F">
      <w:pPr>
        <w:autoSpaceDE w:val="0"/>
        <w:autoSpaceDN w:val="0"/>
        <w:adjustRightInd w:val="0"/>
        <w:jc w:val="both"/>
      </w:pPr>
    </w:p>
    <w:p w14:paraId="35253C4B" w14:textId="77777777" w:rsidR="00477B8F" w:rsidRPr="009118AB" w:rsidRDefault="00477B8F" w:rsidP="00477B8F">
      <w:pPr>
        <w:autoSpaceDE w:val="0"/>
        <w:autoSpaceDN w:val="0"/>
        <w:adjustRightInd w:val="0"/>
        <w:jc w:val="both"/>
      </w:pPr>
    </w:p>
    <w:p w14:paraId="7086E4BB" w14:textId="188AC24F"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205</w:t>
      </w:r>
      <w:r w:rsidRPr="009118AB">
        <w:rPr>
          <w:b/>
          <w:bCs/>
          <w:i/>
          <w:iCs/>
        </w:rPr>
        <w:t>septies</w:t>
      </w:r>
      <w:r w:rsidR="00D67EB8" w:rsidRPr="009118AB">
        <w:t> - </w:t>
      </w:r>
      <w:r w:rsidR="00A734C9" w:rsidRPr="009118AB">
        <w:t>[...]</w:t>
      </w:r>
      <w:r w:rsidRPr="009118AB">
        <w:t>]</w:t>
      </w:r>
    </w:p>
    <w:p w14:paraId="0201D1D3" w14:textId="77777777" w:rsidR="00477B8F" w:rsidRPr="009118AB" w:rsidRDefault="00477B8F" w:rsidP="00477B8F">
      <w:pPr>
        <w:autoSpaceDE w:val="0"/>
        <w:autoSpaceDN w:val="0"/>
        <w:adjustRightInd w:val="0"/>
        <w:jc w:val="both"/>
      </w:pPr>
    </w:p>
    <w:p w14:paraId="1ADB30BF" w14:textId="16E28EAB"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205septies eingefügt durch </w:t>
      </w:r>
      <w:r w:rsidR="00D67EB8" w:rsidRPr="009118AB">
        <w:rPr>
          <w:i/>
          <w:iCs/>
        </w:rPr>
        <w:t>Art. </w:t>
      </w:r>
      <w:r w:rsidRPr="009118AB">
        <w:rPr>
          <w:i/>
          <w:iCs/>
        </w:rPr>
        <w:t>10 des G. vom 22. Juni </w:t>
      </w:r>
      <w:r w:rsidR="00D27B17" w:rsidRPr="009118AB">
        <w:rPr>
          <w:i/>
          <w:iCs/>
        </w:rPr>
        <w:t>2005 (B.S. vom 30. Juni 2005)</w:t>
      </w:r>
      <w:r w:rsidR="00D67EB8" w:rsidRPr="009118AB">
        <w:rPr>
          <w:i/>
          <w:iCs/>
        </w:rPr>
        <w:t> - </w:t>
      </w:r>
      <w:r w:rsidRPr="009118AB">
        <w:rPr>
          <w:i/>
          <w:iCs/>
        </w:rPr>
        <w:t>in Kraft ab dem Steuerjahr 2007</w:t>
      </w:r>
      <w:r w:rsidR="00FD68E8" w:rsidRPr="009118AB">
        <w:rPr>
          <w:i/>
          <w:iCs/>
        </w:rPr>
        <w:t> -</w:t>
      </w:r>
      <w:r w:rsidR="00A734C9" w:rsidRPr="009118AB">
        <w:rPr>
          <w:i/>
          <w:iCs/>
        </w:rPr>
        <w:t xml:space="preserve"> und aufgehoben durch Art. 117</w:t>
      </w:r>
      <w:r w:rsidR="00A734C9" w:rsidRPr="009118AB">
        <w:rPr>
          <w:bCs/>
          <w:i/>
          <w:iCs/>
        </w:rPr>
        <w:t xml:space="preserve"> des G. vom 26. Dezember 2022</w:t>
      </w:r>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r w:rsidR="00236038" w:rsidRPr="009118AB">
        <w:rPr>
          <w:bCs/>
          <w:i/>
          <w:iCs/>
        </w:rPr>
        <w:t> </w:t>
      </w:r>
      <w:r w:rsidR="00A734C9" w:rsidRPr="009118AB">
        <w:rPr>
          <w:bCs/>
          <w:i/>
          <w:iCs/>
        </w:rPr>
        <w:t>(B.S. vom 30. Dezember 2022) - anwendbar auf die Besteuerungszeit</w:t>
      </w:r>
      <w:r w:rsidR="00236038" w:rsidRPr="009118AB">
        <w:rPr>
          <w:bCs/>
          <w:i/>
          <w:iCs/>
        </w:rPr>
        <w:softHyphen/>
      </w:r>
      <w:r w:rsidR="00A734C9" w:rsidRPr="009118AB">
        <w:rPr>
          <w:bCs/>
          <w:i/>
          <w:iCs/>
        </w:rPr>
        <w:t>räume, die ab dem 31. Dezember 2023 enden -</w:t>
      </w:r>
      <w:r w:rsidR="00FD68E8" w:rsidRPr="009118AB">
        <w:rPr>
          <w:i/>
          <w:iCs/>
        </w:rPr>
        <w:t>]</w:t>
      </w:r>
    </w:p>
    <w:p w14:paraId="65E9BF7E" w14:textId="77777777" w:rsidR="00477B8F" w:rsidRPr="009118AB" w:rsidRDefault="00477B8F" w:rsidP="00477B8F">
      <w:pPr>
        <w:autoSpaceDE w:val="0"/>
        <w:autoSpaceDN w:val="0"/>
        <w:adjustRightInd w:val="0"/>
        <w:jc w:val="both"/>
      </w:pPr>
    </w:p>
    <w:p w14:paraId="536426C7" w14:textId="77777777" w:rsidR="00477B8F" w:rsidRPr="009118AB" w:rsidRDefault="00477B8F" w:rsidP="00477B8F">
      <w:pPr>
        <w:autoSpaceDE w:val="0"/>
        <w:autoSpaceDN w:val="0"/>
        <w:adjustRightInd w:val="0"/>
        <w:jc w:val="both"/>
      </w:pPr>
    </w:p>
    <w:p w14:paraId="37352B72" w14:textId="1111C677" w:rsidR="00477B8F" w:rsidRPr="009118AB" w:rsidRDefault="00477B8F" w:rsidP="00A734C9">
      <w:pPr>
        <w:autoSpaceDE w:val="0"/>
        <w:autoSpaceDN w:val="0"/>
        <w:adjustRightInd w:val="0"/>
        <w:jc w:val="both"/>
      </w:pPr>
      <w:r w:rsidRPr="009118AB">
        <w:tab/>
        <w:t>[</w:t>
      </w:r>
      <w:r w:rsidR="00D67EB8" w:rsidRPr="009118AB">
        <w:rPr>
          <w:b/>
          <w:bCs/>
        </w:rPr>
        <w:t>Art. </w:t>
      </w:r>
      <w:r w:rsidRPr="009118AB">
        <w:rPr>
          <w:b/>
          <w:bCs/>
        </w:rPr>
        <w:t>205</w:t>
      </w:r>
      <w:r w:rsidRPr="009118AB">
        <w:rPr>
          <w:b/>
          <w:bCs/>
          <w:i/>
          <w:iCs/>
        </w:rPr>
        <w:t>octies</w:t>
      </w:r>
      <w:r w:rsidR="00D67EB8" w:rsidRPr="009118AB">
        <w:t> - </w:t>
      </w:r>
      <w:r w:rsidR="00A734C9" w:rsidRPr="009118AB">
        <w:t>[...]]</w:t>
      </w:r>
    </w:p>
    <w:p w14:paraId="3E52FF1D" w14:textId="77777777" w:rsidR="00A734C9" w:rsidRPr="009118AB" w:rsidRDefault="00A734C9" w:rsidP="00A734C9">
      <w:pPr>
        <w:autoSpaceDE w:val="0"/>
        <w:autoSpaceDN w:val="0"/>
        <w:adjustRightInd w:val="0"/>
        <w:jc w:val="both"/>
      </w:pPr>
    </w:p>
    <w:p w14:paraId="0DD08DA8" w14:textId="32448412" w:rsidR="00477B8F" w:rsidRPr="009118AB" w:rsidRDefault="00477B8F" w:rsidP="00477B8F">
      <w:pPr>
        <w:autoSpaceDE w:val="0"/>
        <w:autoSpaceDN w:val="0"/>
        <w:adjustRightInd w:val="0"/>
        <w:jc w:val="both"/>
        <w:rPr>
          <w:rFonts w:ascii="Times New Roman Italique" w:hAnsi="Times New Roman Italique"/>
          <w:spacing w:val="-2"/>
        </w:rPr>
      </w:pPr>
      <w:r w:rsidRPr="009118AB">
        <w:rPr>
          <w:i/>
          <w:iCs/>
        </w:rPr>
        <w:t>[</w:t>
      </w:r>
      <w:r w:rsidR="00D67EB8" w:rsidRPr="009118AB">
        <w:rPr>
          <w:i/>
          <w:iCs/>
        </w:rPr>
        <w:t>Art. </w:t>
      </w:r>
      <w:r w:rsidRPr="009118AB">
        <w:rPr>
          <w:i/>
          <w:iCs/>
        </w:rPr>
        <w:t xml:space="preserve">205octies eingefügt durch </w:t>
      </w:r>
      <w:r w:rsidR="00D67EB8" w:rsidRPr="009118AB">
        <w:rPr>
          <w:i/>
          <w:iCs/>
        </w:rPr>
        <w:t>Art. </w:t>
      </w:r>
      <w:r w:rsidRPr="009118AB">
        <w:rPr>
          <w:i/>
          <w:iCs/>
        </w:rPr>
        <w:t>11 des G. vom 22. Juni 2005 (B.S. vom 30. Juni 2005)</w:t>
      </w:r>
      <w:r w:rsidR="00D67EB8" w:rsidRPr="009118AB">
        <w:rPr>
          <w:i/>
          <w:iCs/>
        </w:rPr>
        <w:t> - </w:t>
      </w:r>
      <w:r w:rsidRPr="009118AB">
        <w:rPr>
          <w:i/>
          <w:iCs/>
        </w:rPr>
        <w:t>in Kraft ab dem Steuerjahr 2007</w:t>
      </w:r>
      <w:r w:rsidR="003366D9" w:rsidRPr="009118AB">
        <w:rPr>
          <w:i/>
          <w:iCs/>
        </w:rPr>
        <w:t> </w:t>
      </w:r>
      <w:r w:rsidR="00A734C9" w:rsidRPr="009118AB">
        <w:rPr>
          <w:i/>
          <w:iCs/>
        </w:rPr>
        <w:t>- und aufgehoben durch Art. 117</w:t>
      </w:r>
      <w:r w:rsidR="00A734C9" w:rsidRPr="009118AB">
        <w:rPr>
          <w:bCs/>
          <w:i/>
          <w:iCs/>
        </w:rPr>
        <w:t xml:space="preserve"> des G. vom </w:t>
      </w:r>
      <w:r w:rsidR="00236038" w:rsidRPr="009118AB">
        <w:rPr>
          <w:bCs/>
          <w:i/>
          <w:iCs/>
        </w:rPr>
        <w:t>26. Dezember 2022</w:t>
      </w:r>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r w:rsidR="00236038" w:rsidRPr="009118AB">
        <w:rPr>
          <w:bCs/>
          <w:i/>
          <w:iCs/>
        </w:rPr>
        <w:t> </w:t>
      </w:r>
      <w:r w:rsidR="00A734C9" w:rsidRPr="009118AB">
        <w:rPr>
          <w:bCs/>
          <w:i/>
          <w:iCs/>
        </w:rPr>
        <w:t>(B.S. vom 30. Dezember 2022) - anwendbar auf die Besteuerungszeit</w:t>
      </w:r>
      <w:r w:rsidR="00236038" w:rsidRPr="009118AB">
        <w:rPr>
          <w:bCs/>
          <w:i/>
          <w:iCs/>
        </w:rPr>
        <w:softHyphen/>
      </w:r>
      <w:r w:rsidR="00A734C9" w:rsidRPr="009118AB">
        <w:rPr>
          <w:bCs/>
          <w:i/>
          <w:iCs/>
        </w:rPr>
        <w:t>räume, die ab dem 31. Dezember 2023 enden -]</w:t>
      </w:r>
    </w:p>
    <w:p w14:paraId="14D72653" w14:textId="77777777" w:rsidR="00477B8F" w:rsidRPr="009118AB" w:rsidRDefault="00477B8F" w:rsidP="00477B8F">
      <w:pPr>
        <w:autoSpaceDE w:val="0"/>
        <w:autoSpaceDN w:val="0"/>
        <w:adjustRightInd w:val="0"/>
        <w:jc w:val="both"/>
      </w:pPr>
    </w:p>
    <w:p w14:paraId="1CE5EBC9" w14:textId="77777777" w:rsidR="00477B8F" w:rsidRPr="009118AB" w:rsidRDefault="00477B8F" w:rsidP="00477B8F">
      <w:pPr>
        <w:autoSpaceDE w:val="0"/>
        <w:autoSpaceDN w:val="0"/>
        <w:adjustRightInd w:val="0"/>
        <w:jc w:val="both"/>
      </w:pPr>
    </w:p>
    <w:p w14:paraId="3B934940" w14:textId="71B7497C"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205</w:t>
      </w:r>
      <w:r w:rsidRPr="009118AB">
        <w:rPr>
          <w:b/>
          <w:bCs/>
          <w:i/>
          <w:iCs/>
        </w:rPr>
        <w:t>novies</w:t>
      </w:r>
      <w:r w:rsidR="00D67EB8" w:rsidRPr="009118AB">
        <w:t> - </w:t>
      </w:r>
      <w:r w:rsidR="0042600B" w:rsidRPr="009118AB">
        <w:t>[…]</w:t>
      </w:r>
      <w:r w:rsidRPr="009118AB">
        <w:t>]</w:t>
      </w:r>
    </w:p>
    <w:p w14:paraId="1C6DDDD1" w14:textId="77777777" w:rsidR="00477B8F" w:rsidRPr="009118AB" w:rsidRDefault="00477B8F" w:rsidP="00477B8F">
      <w:pPr>
        <w:autoSpaceDE w:val="0"/>
        <w:autoSpaceDN w:val="0"/>
        <w:adjustRightInd w:val="0"/>
        <w:jc w:val="both"/>
      </w:pPr>
    </w:p>
    <w:p w14:paraId="3DE34BEE" w14:textId="7CEF3075" w:rsidR="006137CC" w:rsidRPr="009118AB" w:rsidRDefault="006137CC" w:rsidP="006137CC">
      <w:pPr>
        <w:autoSpaceDE w:val="0"/>
        <w:autoSpaceDN w:val="0"/>
        <w:adjustRightInd w:val="0"/>
        <w:jc w:val="both"/>
        <w:rPr>
          <w:iCs/>
        </w:rPr>
      </w:pPr>
      <w:r w:rsidRPr="009118AB">
        <w:rPr>
          <w:i/>
          <w:iCs/>
        </w:rPr>
        <w:t>[</w:t>
      </w:r>
      <w:r w:rsidR="00D67EB8" w:rsidRPr="009118AB">
        <w:rPr>
          <w:i/>
          <w:iCs/>
        </w:rPr>
        <w:t>Art. </w:t>
      </w:r>
      <w:r w:rsidRPr="009118AB">
        <w:rPr>
          <w:i/>
          <w:iCs/>
        </w:rPr>
        <w:t xml:space="preserve">205novies eingefügt durch </w:t>
      </w:r>
      <w:r w:rsidR="00D67EB8" w:rsidRPr="009118AB">
        <w:rPr>
          <w:i/>
          <w:iCs/>
        </w:rPr>
        <w:t>Art. </w:t>
      </w:r>
      <w:r w:rsidRPr="009118AB">
        <w:rPr>
          <w:i/>
          <w:iCs/>
        </w:rPr>
        <w:t>12 des G. vom 22. Juni 2005 (B.S. vom 30. Juni 2005)</w:t>
      </w:r>
      <w:r w:rsidR="00D67EB8" w:rsidRPr="009118AB">
        <w:rPr>
          <w:i/>
          <w:iCs/>
        </w:rPr>
        <w:t> - </w:t>
      </w:r>
      <w:r w:rsidRPr="009118AB">
        <w:rPr>
          <w:i/>
          <w:iCs/>
        </w:rPr>
        <w:t>in Kraft ab dem Steuerjahr 2007</w:t>
      </w:r>
      <w:r w:rsidR="00D67EB8" w:rsidRPr="009118AB">
        <w:rPr>
          <w:i/>
          <w:iCs/>
        </w:rPr>
        <w:t> - </w:t>
      </w:r>
      <w:r w:rsidRPr="009118AB">
        <w:rPr>
          <w:i/>
          <w:iCs/>
        </w:rPr>
        <w:t xml:space="preserve">und aufgehoben durch </w:t>
      </w:r>
      <w:r w:rsidR="00D67EB8" w:rsidRPr="009118AB">
        <w:rPr>
          <w:i/>
          <w:iCs/>
        </w:rPr>
        <w:t>Art. </w:t>
      </w:r>
      <w:r w:rsidRPr="009118AB">
        <w:rPr>
          <w:i/>
          <w:iCs/>
        </w:rPr>
        <w:t>51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FD68E8" w:rsidRPr="009118AB">
        <w:rPr>
          <w:i/>
          <w:iCs/>
        </w:rPr>
        <w:t> -]</w:t>
      </w:r>
    </w:p>
    <w:p w14:paraId="53E4BB5B" w14:textId="77777777" w:rsidR="006137CC" w:rsidRPr="009118AB" w:rsidRDefault="006137CC" w:rsidP="006137CC">
      <w:pPr>
        <w:autoSpaceDE w:val="0"/>
        <w:autoSpaceDN w:val="0"/>
        <w:adjustRightInd w:val="0"/>
        <w:jc w:val="both"/>
        <w:rPr>
          <w:i/>
        </w:rPr>
      </w:pPr>
    </w:p>
    <w:p w14:paraId="08F4805B" w14:textId="5911F0D9" w:rsidR="00477B8F" w:rsidRPr="009118AB" w:rsidRDefault="00477B8F" w:rsidP="00477B8F">
      <w:pPr>
        <w:autoSpaceDE w:val="0"/>
        <w:autoSpaceDN w:val="0"/>
        <w:adjustRightInd w:val="0"/>
        <w:jc w:val="center"/>
      </w:pPr>
      <w:r w:rsidRPr="009118AB">
        <w:br w:type="page"/>
      </w:r>
      <w:r w:rsidRPr="009118AB">
        <w:lastRenderedPageBreak/>
        <w:t>Unterabschnitt </w:t>
      </w:r>
      <w:r w:rsidR="00D74862" w:rsidRPr="009118AB">
        <w:t>4</w:t>
      </w:r>
      <w:r w:rsidR="00D67EB8" w:rsidRPr="009118AB">
        <w:t> - </w:t>
      </w:r>
      <w:r w:rsidRPr="009118AB">
        <w:t>Vorherige Verluste</w:t>
      </w:r>
    </w:p>
    <w:p w14:paraId="26ECE4EC" w14:textId="77777777" w:rsidR="00477B8F" w:rsidRPr="009118AB" w:rsidRDefault="00477B8F" w:rsidP="00477B8F">
      <w:pPr>
        <w:autoSpaceDE w:val="0"/>
        <w:autoSpaceDN w:val="0"/>
        <w:adjustRightInd w:val="0"/>
        <w:jc w:val="center"/>
      </w:pPr>
    </w:p>
    <w:p w14:paraId="6916FE9C" w14:textId="77777777" w:rsidR="00477B8F" w:rsidRPr="009118AB" w:rsidRDefault="00477B8F" w:rsidP="00477B8F">
      <w:pPr>
        <w:autoSpaceDE w:val="0"/>
        <w:autoSpaceDN w:val="0"/>
        <w:adjustRightInd w:val="0"/>
        <w:jc w:val="center"/>
      </w:pPr>
    </w:p>
    <w:p w14:paraId="210179EC" w14:textId="7CD8B5F6" w:rsidR="00ED0E3A" w:rsidRPr="009118AB" w:rsidRDefault="008D133D" w:rsidP="00ED0E3A">
      <w:pPr>
        <w:autoSpaceDE w:val="0"/>
        <w:autoSpaceDN w:val="0"/>
        <w:adjustRightInd w:val="0"/>
        <w:jc w:val="both"/>
        <w:rPr>
          <w:iCs/>
        </w:rPr>
      </w:pPr>
      <w:bookmarkStart w:id="18" w:name="_Hlk126760214"/>
      <w:r w:rsidRPr="009118AB">
        <w:tab/>
      </w:r>
      <w:r w:rsidR="00D67EB8" w:rsidRPr="009118AB">
        <w:rPr>
          <w:b/>
          <w:bCs/>
        </w:rPr>
        <w:t>Art. </w:t>
      </w:r>
      <w:r w:rsidRPr="009118AB">
        <w:rPr>
          <w:b/>
          <w:bCs/>
        </w:rPr>
        <w:t>206</w:t>
      </w:r>
      <w:r w:rsidR="00D67EB8" w:rsidRPr="009118AB">
        <w:t> - </w:t>
      </w:r>
      <w:bookmarkEnd w:id="18"/>
      <w:r w:rsidR="00ED0E3A" w:rsidRPr="009118AB">
        <w:rPr>
          <w:iCs/>
        </w:rPr>
        <w:t>[</w:t>
      </w:r>
      <w:r w:rsidR="00D67EB8" w:rsidRPr="009118AB">
        <w:rPr>
          <w:iCs/>
        </w:rPr>
        <w:t>§ </w:t>
      </w:r>
      <w:r w:rsidR="00ED0E3A" w:rsidRPr="009118AB">
        <w:rPr>
          <w:iCs/>
        </w:rPr>
        <w:t>1</w:t>
      </w:r>
      <w:r w:rsidR="00D67EB8" w:rsidRPr="009118AB">
        <w:rPr>
          <w:iCs/>
        </w:rPr>
        <w:t> - </w:t>
      </w:r>
      <w:r w:rsidR="00ED0E3A" w:rsidRPr="009118AB">
        <w:rPr>
          <w:iCs/>
        </w:rPr>
        <w:t>Vorherige berufliche Verluste werden nacheinander von den Berufseinkünften jedes folgenden Besteuerungszeitraums abgezogen.</w:t>
      </w:r>
    </w:p>
    <w:p w14:paraId="50AF169E" w14:textId="77777777" w:rsidR="00ED0E3A" w:rsidRPr="009118AB" w:rsidRDefault="00ED0E3A" w:rsidP="00ED0E3A">
      <w:pPr>
        <w:autoSpaceDE w:val="0"/>
        <w:autoSpaceDN w:val="0"/>
        <w:adjustRightInd w:val="0"/>
        <w:jc w:val="both"/>
        <w:rPr>
          <w:iCs/>
        </w:rPr>
      </w:pPr>
    </w:p>
    <w:p w14:paraId="68039AF7" w14:textId="4ABF3B17" w:rsidR="00ED0E3A" w:rsidRPr="009118AB" w:rsidRDefault="008D42F7" w:rsidP="00ED0E3A">
      <w:pPr>
        <w:autoSpaceDE w:val="0"/>
        <w:autoSpaceDN w:val="0"/>
        <w:adjustRightInd w:val="0"/>
        <w:jc w:val="both"/>
        <w:rPr>
          <w:iCs/>
        </w:rPr>
      </w:pPr>
      <w:r w:rsidRPr="009118AB">
        <w:rPr>
          <w:iCs/>
        </w:rPr>
        <w:tab/>
      </w:r>
      <w:r w:rsidR="00ED0E3A" w:rsidRPr="009118AB">
        <w:rPr>
          <w:iCs/>
        </w:rPr>
        <w:t>[...]</w:t>
      </w:r>
    </w:p>
    <w:p w14:paraId="6D5CE153" w14:textId="77777777" w:rsidR="00ED0E3A" w:rsidRPr="009118AB" w:rsidRDefault="00ED0E3A" w:rsidP="00ED0E3A">
      <w:pPr>
        <w:autoSpaceDE w:val="0"/>
        <w:autoSpaceDN w:val="0"/>
        <w:adjustRightInd w:val="0"/>
        <w:jc w:val="both"/>
        <w:rPr>
          <w:iCs/>
        </w:rPr>
      </w:pPr>
    </w:p>
    <w:p w14:paraId="75EB9845" w14:textId="42E797AE" w:rsidR="00ED0E3A" w:rsidRPr="009118AB" w:rsidRDefault="008D42F7" w:rsidP="00ED0E3A">
      <w:pPr>
        <w:autoSpaceDE w:val="0"/>
        <w:autoSpaceDN w:val="0"/>
        <w:adjustRightInd w:val="0"/>
        <w:jc w:val="both"/>
        <w:rPr>
          <w:iCs/>
        </w:rPr>
      </w:pPr>
      <w:r w:rsidRPr="009118AB">
        <w:rPr>
          <w:iCs/>
        </w:rPr>
        <w:tab/>
      </w:r>
      <w:r w:rsidR="00ED0E3A" w:rsidRPr="009118AB">
        <w:rPr>
          <w:iCs/>
        </w:rPr>
        <w:t>[Für die Anwendung von Absatz 1 versteht man unter vorherigen beruflichen Verlusten Verluste, die gemäß den Rechtsvorschriften festgelegt wurden, die für die betreffenden Besteuerungszeiträume galten, und die vorher nicht abgezogen werden konnten oder die vorher nicht unter den Gesellschaftern aufgeteilt worden sind oder</w:t>
      </w:r>
      <w:r w:rsidR="00D67EB8" w:rsidRPr="009118AB">
        <w:rPr>
          <w:iCs/>
        </w:rPr>
        <w:t> - </w:t>
      </w:r>
      <w:r w:rsidR="00ED0E3A" w:rsidRPr="009118AB">
        <w:rPr>
          <w:iCs/>
        </w:rPr>
        <w:t>im Falle vorheriger beruflicher Verluste, die in Ländern erlitten wurden, in denen die Gewinne durch Abkommen befreit sind</w:t>
      </w:r>
      <w:r w:rsidR="00D67EB8" w:rsidRPr="009118AB">
        <w:rPr>
          <w:iCs/>
        </w:rPr>
        <w:t> - </w:t>
      </w:r>
      <w:r w:rsidR="00ED0E3A" w:rsidRPr="009118AB">
        <w:rPr>
          <w:iCs/>
        </w:rPr>
        <w:t>die vorher nicht durch Gewinne, die durch Abkommen befreit sind, gedeckt waren.]</w:t>
      </w:r>
    </w:p>
    <w:p w14:paraId="6A3D8959" w14:textId="52B8281A" w:rsidR="00ED0E3A" w:rsidRPr="009118AB" w:rsidRDefault="00ED0E3A" w:rsidP="00ED0E3A">
      <w:pPr>
        <w:autoSpaceDE w:val="0"/>
        <w:autoSpaceDN w:val="0"/>
        <w:adjustRightInd w:val="0"/>
        <w:jc w:val="both"/>
        <w:rPr>
          <w:iCs/>
        </w:rPr>
      </w:pPr>
    </w:p>
    <w:p w14:paraId="3873FF26" w14:textId="40804D61" w:rsidR="00ED0E3A" w:rsidRPr="009118AB" w:rsidRDefault="008D42F7" w:rsidP="00ED0E3A">
      <w:pPr>
        <w:autoSpaceDE w:val="0"/>
        <w:autoSpaceDN w:val="0"/>
        <w:adjustRightInd w:val="0"/>
        <w:jc w:val="both"/>
        <w:rPr>
          <w:iCs/>
        </w:rPr>
      </w:pPr>
      <w:r w:rsidRPr="009118AB">
        <w:rPr>
          <w:iCs/>
        </w:rPr>
        <w:tab/>
      </w:r>
      <w:r w:rsidR="00ED0E3A" w:rsidRPr="009118AB">
        <w:rPr>
          <w:iCs/>
        </w:rPr>
        <w:t>[Vorherige berufliche Verluste, die während eines Besteuerungszeitraums, der vor dem 1. Januar 2020 begonnen hat, in einer ausländischen Niederlassung erlitten wurden, die in einem Staat gelegen ist, mit dem Belgien ein Abkommen zur Vermeidung der Doppelbesteuerung abgeschlossen hat:</w:t>
      </w:r>
    </w:p>
    <w:p w14:paraId="55101E4F" w14:textId="77777777" w:rsidR="00ED0E3A" w:rsidRPr="009118AB" w:rsidRDefault="00ED0E3A" w:rsidP="00ED0E3A">
      <w:pPr>
        <w:autoSpaceDE w:val="0"/>
        <w:autoSpaceDN w:val="0"/>
        <w:adjustRightInd w:val="0"/>
        <w:jc w:val="both"/>
        <w:rPr>
          <w:iCs/>
        </w:rPr>
      </w:pPr>
    </w:p>
    <w:p w14:paraId="66679DCE" w14:textId="15254860" w:rsidR="00ED0E3A" w:rsidRPr="009118AB" w:rsidRDefault="008D42F7" w:rsidP="00ED0E3A">
      <w:pPr>
        <w:autoSpaceDE w:val="0"/>
        <w:autoSpaceDN w:val="0"/>
        <w:adjustRightInd w:val="0"/>
        <w:jc w:val="both"/>
        <w:rPr>
          <w:iCs/>
        </w:rPr>
      </w:pPr>
      <w:r w:rsidRPr="009118AB">
        <w:rPr>
          <w:iCs/>
        </w:rPr>
        <w:tab/>
      </w:r>
      <w:r w:rsidR="00ED0E3A" w:rsidRPr="009118AB">
        <w:rPr>
          <w:iCs/>
        </w:rPr>
        <w:t>- sind von der Anwendung von Absatz 1 ausgeschlossen, wenn die Gesellschaft nicht nachweist, dass diese Verluste nicht von den Gewinnen dieser ausländischen Niederlassung abgezogen worden sind oder werden, die von dem Staat festgelegt worden sind oder werden, in dem diese Niederlassung gelegen ist. Darüber hinaus sind diese Verluste auch von der Anwendung von Absatz 1 ausgeschlossen, wenn die betreffende ausländische Niederlassung im Rahmen einer Einbringung, einer Fusion, einer Aufspaltung oder eines damit gleichgesetzten Vorgangs übertragen worden ist,</w:t>
      </w:r>
    </w:p>
    <w:p w14:paraId="301DD143" w14:textId="77777777" w:rsidR="00ED0E3A" w:rsidRPr="009118AB" w:rsidRDefault="00ED0E3A" w:rsidP="00ED0E3A">
      <w:pPr>
        <w:autoSpaceDE w:val="0"/>
        <w:autoSpaceDN w:val="0"/>
        <w:adjustRightInd w:val="0"/>
        <w:jc w:val="both"/>
        <w:rPr>
          <w:iCs/>
        </w:rPr>
      </w:pPr>
    </w:p>
    <w:p w14:paraId="02F1C0A0" w14:textId="52563EF3" w:rsidR="00ED0E3A" w:rsidRPr="009118AB" w:rsidRDefault="008D42F7" w:rsidP="00ED0E3A">
      <w:pPr>
        <w:autoSpaceDE w:val="0"/>
        <w:autoSpaceDN w:val="0"/>
        <w:adjustRightInd w:val="0"/>
        <w:jc w:val="both"/>
        <w:rPr>
          <w:iCs/>
        </w:rPr>
      </w:pPr>
      <w:r w:rsidRPr="009118AB">
        <w:rPr>
          <w:iCs/>
        </w:rPr>
        <w:tab/>
      </w:r>
      <w:r w:rsidR="00ED0E3A" w:rsidRPr="009118AB">
        <w:rPr>
          <w:iCs/>
        </w:rPr>
        <w:t>- können nur in dem Maße von den übrig bleibenden Gewinnen abgezogen werden, wie sie die durch Abkommen befreiten Gewinne überschreiten.</w:t>
      </w:r>
    </w:p>
    <w:p w14:paraId="0F775FF8" w14:textId="77777777" w:rsidR="00ED0E3A" w:rsidRPr="009118AB" w:rsidRDefault="00ED0E3A" w:rsidP="00ED0E3A">
      <w:pPr>
        <w:autoSpaceDE w:val="0"/>
        <w:autoSpaceDN w:val="0"/>
        <w:adjustRightInd w:val="0"/>
        <w:jc w:val="both"/>
        <w:rPr>
          <w:iCs/>
        </w:rPr>
      </w:pPr>
    </w:p>
    <w:p w14:paraId="71A95627" w14:textId="003561CD" w:rsidR="00ED0E3A" w:rsidRPr="009118AB" w:rsidRDefault="008D42F7" w:rsidP="00ED0E3A">
      <w:pPr>
        <w:autoSpaceDE w:val="0"/>
        <w:autoSpaceDN w:val="0"/>
        <w:adjustRightInd w:val="0"/>
        <w:jc w:val="both"/>
        <w:rPr>
          <w:iCs/>
        </w:rPr>
      </w:pPr>
      <w:r w:rsidRPr="009118AB">
        <w:rPr>
          <w:iCs/>
        </w:rPr>
        <w:tab/>
      </w:r>
      <w:r w:rsidR="00ED0E3A" w:rsidRPr="009118AB">
        <w:rPr>
          <w:iCs/>
        </w:rPr>
        <w:t xml:space="preserve">In Artikel 185 </w:t>
      </w:r>
      <w:r w:rsidR="00D67EB8" w:rsidRPr="009118AB">
        <w:rPr>
          <w:iCs/>
        </w:rPr>
        <w:t>§ </w:t>
      </w:r>
      <w:r w:rsidR="00ED0E3A" w:rsidRPr="009118AB">
        <w:rPr>
          <w:iCs/>
        </w:rPr>
        <w:t>3 erwähnte endgültige berufliche Verluste können ebenfalls nur in dem Maße von den übrig bleibenden Gewinnen abgezogen werden, wie sie die durch Abkommen befreiten Gewinne überschreiten.</w:t>
      </w:r>
    </w:p>
    <w:p w14:paraId="085B1BB2" w14:textId="77777777" w:rsidR="00ED0E3A" w:rsidRPr="009118AB" w:rsidRDefault="00ED0E3A" w:rsidP="00ED0E3A">
      <w:pPr>
        <w:autoSpaceDE w:val="0"/>
        <w:autoSpaceDN w:val="0"/>
        <w:adjustRightInd w:val="0"/>
        <w:jc w:val="both"/>
        <w:rPr>
          <w:iCs/>
        </w:rPr>
      </w:pPr>
    </w:p>
    <w:p w14:paraId="7DE759DD" w14:textId="5BEF5481" w:rsidR="00ED0E3A" w:rsidRPr="009118AB" w:rsidRDefault="008D42F7" w:rsidP="00ED0E3A">
      <w:pPr>
        <w:autoSpaceDE w:val="0"/>
        <w:autoSpaceDN w:val="0"/>
        <w:adjustRightInd w:val="0"/>
        <w:jc w:val="both"/>
        <w:rPr>
          <w:iCs/>
        </w:rPr>
      </w:pPr>
      <w:r w:rsidRPr="009118AB">
        <w:rPr>
          <w:iCs/>
        </w:rPr>
        <w:tab/>
      </w:r>
      <w:r w:rsidR="00ED0E3A" w:rsidRPr="009118AB">
        <w:rPr>
          <w:iCs/>
        </w:rPr>
        <w:t xml:space="preserve">Nimmt die Gesellschaft binnen drei Jahren nach Abzug der endgültigen beruflichen Verluste erneut Tätigkeiten auf wie in Artikel 185 </w:t>
      </w:r>
      <w:r w:rsidR="00D67EB8" w:rsidRPr="009118AB">
        <w:rPr>
          <w:iCs/>
        </w:rPr>
        <w:t>§ </w:t>
      </w:r>
      <w:r w:rsidR="00ED0E3A" w:rsidRPr="009118AB">
        <w:rPr>
          <w:iCs/>
        </w:rPr>
        <w:t>3 Absatz 6 erwähnt, sind die übrig bleibenden endgültigen beruflichen Verluste, die während vorhergehender Besteuerungszeit</w:t>
      </w:r>
      <w:r w:rsidR="00ED0E3A" w:rsidRPr="009118AB">
        <w:rPr>
          <w:iCs/>
        </w:rPr>
        <w:softHyphen/>
        <w:t>räume noch nicht in Anwendung des vorliegenden Artikels abgezogen worden sind, von der Anwendung von Absatz 1 ausgeschlossen.]</w:t>
      </w:r>
    </w:p>
    <w:p w14:paraId="215AA6DC" w14:textId="77777777" w:rsidR="00ED0E3A" w:rsidRPr="009118AB" w:rsidRDefault="00ED0E3A" w:rsidP="00ED0E3A">
      <w:pPr>
        <w:autoSpaceDE w:val="0"/>
        <w:autoSpaceDN w:val="0"/>
        <w:adjustRightInd w:val="0"/>
        <w:jc w:val="both"/>
        <w:rPr>
          <w:iCs/>
        </w:rPr>
      </w:pPr>
    </w:p>
    <w:p w14:paraId="55CB05F4" w14:textId="6B5B04C3" w:rsidR="00ED0E3A" w:rsidRPr="009118AB" w:rsidRDefault="008D42F7" w:rsidP="00ED0E3A">
      <w:pPr>
        <w:autoSpaceDE w:val="0"/>
        <w:autoSpaceDN w:val="0"/>
        <w:adjustRightInd w:val="0"/>
        <w:jc w:val="both"/>
        <w:rPr>
          <w:iCs/>
        </w:rPr>
      </w:pPr>
      <w:r w:rsidRPr="009118AB">
        <w:rPr>
          <w:iCs/>
        </w:rPr>
        <w:tab/>
      </w:r>
      <w:r w:rsidR="00D67EB8" w:rsidRPr="009118AB">
        <w:rPr>
          <w:iCs/>
        </w:rPr>
        <w:t>§ </w:t>
      </w:r>
      <w:r w:rsidR="00ED0E3A" w:rsidRPr="009118AB">
        <w:rPr>
          <w:iCs/>
        </w:rPr>
        <w:t>2</w:t>
      </w:r>
      <w:r w:rsidR="00D67EB8" w:rsidRPr="009118AB">
        <w:rPr>
          <w:iCs/>
        </w:rPr>
        <w:t> - </w:t>
      </w:r>
      <w:r w:rsidR="00ED0E3A" w:rsidRPr="009118AB">
        <w:rPr>
          <w:iCs/>
        </w:rPr>
        <w:t xml:space="preserve">Wenn [in Anwendung von Artikel 46 </w:t>
      </w:r>
      <w:r w:rsidR="00D67EB8" w:rsidRPr="009118AB">
        <w:rPr>
          <w:iCs/>
        </w:rPr>
        <w:t>§ </w:t>
      </w:r>
      <w:r w:rsidR="00ED0E3A" w:rsidRPr="009118AB">
        <w:rPr>
          <w:iCs/>
        </w:rPr>
        <w:t xml:space="preserve">1 Absatz 1 </w:t>
      </w:r>
      <w:r w:rsidR="00D67EB8" w:rsidRPr="009118AB">
        <w:rPr>
          <w:iCs/>
        </w:rPr>
        <w:t>Nr. </w:t>
      </w:r>
      <w:r w:rsidR="00ED0E3A" w:rsidRPr="009118AB">
        <w:rPr>
          <w:iCs/>
        </w:rPr>
        <w:t xml:space="preserve">2 und Absatz 3] beziehungsweise von Artikel 211 </w:t>
      </w:r>
      <w:r w:rsidR="00D67EB8" w:rsidRPr="009118AB">
        <w:rPr>
          <w:iCs/>
        </w:rPr>
        <w:t>§ </w:t>
      </w:r>
      <w:r w:rsidR="00ED0E3A" w:rsidRPr="009118AB">
        <w:rPr>
          <w:iCs/>
        </w:rPr>
        <w:t xml:space="preserve">1 eine Gesellschaft die Einbringung eines Teilbetriebs beziehungsweise eines Teils einer Tätigkeit oder eines Gesamtvermögens erhält oder wenn sie eine andere Gesellschaft ganz oder teilweise [durch Fusion, Aufspaltung oder einen damit gleichgesetzten Vorgang] übernimmt, sind [berufliche Verluste und in Artikel 205 </w:t>
      </w:r>
      <w:r w:rsidR="00D67EB8" w:rsidRPr="009118AB">
        <w:rPr>
          <w:iCs/>
        </w:rPr>
        <w:t>§ </w:t>
      </w:r>
      <w:r w:rsidR="00ED0E3A" w:rsidRPr="009118AB">
        <w:rPr>
          <w:iCs/>
        </w:rPr>
        <w:t xml:space="preserve">3 erwähnte Einkünfte, die die übernehmende oder begünstigte Gesellschaft vor dieser Einbringung oder Übernahme noch nicht abziehen konnte], nur definitiv abzugsfähig nach Verhältnis des proportionalen Teils des Steuerreinvermögens der übernehmenden oder begünstigten Gesellschaft vor diesem Vorgang in der Gesamtsumme des Steuerreinvermögens dieser </w:t>
      </w:r>
      <w:r w:rsidR="00ED0E3A" w:rsidRPr="009118AB">
        <w:rPr>
          <w:iCs/>
        </w:rPr>
        <w:lastRenderedPageBreak/>
        <w:t>Gesellschaft und des Nettosteuerwertes der eingebrachten oder übertragenen Bestandteile, ebenfalls vor dem Vorgang. [Keine vorherigen beruflichen Verluste können angerechnet werden, wenn der Netto</w:t>
      </w:r>
      <w:r w:rsidR="00ED0E3A" w:rsidRPr="009118AB">
        <w:rPr>
          <w:iCs/>
        </w:rPr>
        <w:softHyphen/>
        <w:t>steuerwert der übernehmenden oder begünstigten Gesellschaft vor dem Vorgang gleich null ist.]</w:t>
      </w:r>
    </w:p>
    <w:p w14:paraId="68B04DAF" w14:textId="77777777" w:rsidR="00ED0E3A" w:rsidRPr="009118AB" w:rsidRDefault="00ED0E3A" w:rsidP="00ED0E3A">
      <w:pPr>
        <w:autoSpaceDE w:val="0"/>
        <w:autoSpaceDN w:val="0"/>
        <w:adjustRightInd w:val="0"/>
        <w:jc w:val="both"/>
        <w:rPr>
          <w:iCs/>
        </w:rPr>
      </w:pPr>
    </w:p>
    <w:p w14:paraId="4EA12FEE" w14:textId="75253375" w:rsidR="00ED0E3A" w:rsidRPr="009118AB" w:rsidRDefault="008D42F7" w:rsidP="00ED0E3A">
      <w:pPr>
        <w:autoSpaceDE w:val="0"/>
        <w:autoSpaceDN w:val="0"/>
        <w:adjustRightInd w:val="0"/>
        <w:jc w:val="both"/>
        <w:rPr>
          <w:iCs/>
        </w:rPr>
      </w:pPr>
      <w:r w:rsidRPr="009118AB">
        <w:rPr>
          <w:iCs/>
        </w:rPr>
        <w:tab/>
      </w:r>
      <w:r w:rsidR="00ED0E3A" w:rsidRPr="009118AB">
        <w:rPr>
          <w:iCs/>
        </w:rPr>
        <w:t xml:space="preserve">Bei einer in Anwendung von Artikel 211 </w:t>
      </w:r>
      <w:r w:rsidR="00D67EB8" w:rsidRPr="009118AB">
        <w:rPr>
          <w:iCs/>
        </w:rPr>
        <w:t>§ </w:t>
      </w:r>
      <w:r w:rsidR="00ED0E3A" w:rsidRPr="009118AB">
        <w:rPr>
          <w:iCs/>
        </w:rPr>
        <w:t xml:space="preserve">1 vorgenommenen Fusion bleiben [berufliche Verluste und in Artikel 205 </w:t>
      </w:r>
      <w:r w:rsidR="00D67EB8" w:rsidRPr="009118AB">
        <w:rPr>
          <w:iCs/>
        </w:rPr>
        <w:t>§ </w:t>
      </w:r>
      <w:r w:rsidR="00ED0E3A" w:rsidRPr="009118AB">
        <w:rPr>
          <w:iCs/>
        </w:rPr>
        <w:t xml:space="preserve">3 erwähnte Einkünfte, die eine übertragende Gesellschaft vor dieser Fusion noch nicht abziehen konnte], abzugsfähig bei der übernehmenden Gesellschaft nach Verhältnis des proportionalen Teils des Steuerreinvermögens der übertragenen Bestandteile der ersterwähnten Gesellschaft vor der Fusion in der Gesamtsumme des Steuerreinvermögens der übernehmenden Gesellschaft und des Nettosteuerwertes der übertragenen Bestandteile, ebenfalls vor der Fusion. Bei einer in Anwendung von Artikel 211 </w:t>
      </w:r>
      <w:r w:rsidR="00D67EB8" w:rsidRPr="009118AB">
        <w:rPr>
          <w:iCs/>
        </w:rPr>
        <w:t>§ </w:t>
      </w:r>
      <w:r w:rsidR="00ED0E3A" w:rsidRPr="009118AB">
        <w:rPr>
          <w:iCs/>
        </w:rPr>
        <w:t>1 vorgenommenen Aufspaltung ist vorerwähnte Regel auf den Teil der beruflichen Verluste anwendbar, der nach Verhältnis des Nettosteuerwertes der übertragenen Bestandteile in der Gesamtsumme des Steuerreinvermögens der übertragenden Gesellschaft festgelegt wird.]</w:t>
      </w:r>
    </w:p>
    <w:p w14:paraId="18B892E2" w14:textId="77777777" w:rsidR="00ED0E3A" w:rsidRPr="009118AB" w:rsidRDefault="00ED0E3A" w:rsidP="00ED0E3A">
      <w:pPr>
        <w:autoSpaceDE w:val="0"/>
        <w:autoSpaceDN w:val="0"/>
        <w:adjustRightInd w:val="0"/>
        <w:jc w:val="both"/>
        <w:rPr>
          <w:iCs/>
        </w:rPr>
      </w:pPr>
    </w:p>
    <w:p w14:paraId="7BE79E45" w14:textId="6B5BDD93" w:rsidR="00ED0E3A" w:rsidRPr="009118AB" w:rsidRDefault="008D42F7" w:rsidP="00ED0E3A">
      <w:pPr>
        <w:autoSpaceDE w:val="0"/>
        <w:autoSpaceDN w:val="0"/>
        <w:adjustRightInd w:val="0"/>
        <w:jc w:val="both"/>
        <w:rPr>
          <w:iCs/>
        </w:rPr>
      </w:pPr>
      <w:r w:rsidRPr="009118AB">
        <w:rPr>
          <w:iCs/>
        </w:rPr>
        <w:tab/>
      </w:r>
      <w:r w:rsidR="00ED0E3A" w:rsidRPr="009118AB">
        <w:rPr>
          <w:iCs/>
        </w:rPr>
        <w:t>[Absatz 2 ist nicht anwendbar, wenn der Nettosteuerwert der Einbringungen gleich null ist.]</w:t>
      </w:r>
    </w:p>
    <w:p w14:paraId="7FAFC9C7" w14:textId="77777777" w:rsidR="00ED0E3A" w:rsidRPr="009118AB" w:rsidRDefault="00ED0E3A" w:rsidP="00ED0E3A">
      <w:pPr>
        <w:autoSpaceDE w:val="0"/>
        <w:autoSpaceDN w:val="0"/>
        <w:adjustRightInd w:val="0"/>
        <w:jc w:val="both"/>
        <w:rPr>
          <w:iCs/>
        </w:rPr>
      </w:pPr>
    </w:p>
    <w:p w14:paraId="15DCDC4B" w14:textId="3E504045" w:rsidR="00ED0E3A" w:rsidRPr="009118AB" w:rsidRDefault="008D42F7" w:rsidP="00ED0E3A">
      <w:pPr>
        <w:autoSpaceDE w:val="0"/>
        <w:autoSpaceDN w:val="0"/>
        <w:adjustRightInd w:val="0"/>
        <w:jc w:val="both"/>
        <w:rPr>
          <w:iCs/>
        </w:rPr>
      </w:pPr>
      <w:r w:rsidRPr="009118AB">
        <w:rPr>
          <w:iCs/>
        </w:rPr>
        <w:tab/>
      </w:r>
      <w:r w:rsidR="00ED0E3A" w:rsidRPr="009118AB">
        <w:rPr>
          <w:iCs/>
        </w:rPr>
        <w:t>[Absatz 1 ist ebenfalls anwendbar im Falle einer Fusion, einer Aufspaltung oder eines damit gleichgesetzten Vorgangs oder im Falle einer Einbringung eines Teilbetriebs bezie</w:t>
      </w:r>
      <w:r w:rsidR="00ED0E3A" w:rsidRPr="009118AB">
        <w:rPr>
          <w:iCs/>
        </w:rPr>
        <w:softHyphen/>
        <w:t>hungsweise eines Teils einer Tätigkeit oder eines Gesamtvermögens, falls die übertragende, aufgespaltene oder einbringende Gesellschaft eine innereuropäische Gesellschaft ist und der Vorgang steuerlich neutral ist.]</w:t>
      </w:r>
    </w:p>
    <w:p w14:paraId="54FBEC9B" w14:textId="77777777" w:rsidR="00ED0E3A" w:rsidRPr="009118AB" w:rsidRDefault="00ED0E3A" w:rsidP="00ED0E3A">
      <w:pPr>
        <w:autoSpaceDE w:val="0"/>
        <w:autoSpaceDN w:val="0"/>
        <w:adjustRightInd w:val="0"/>
        <w:jc w:val="both"/>
        <w:rPr>
          <w:iCs/>
        </w:rPr>
      </w:pPr>
    </w:p>
    <w:p w14:paraId="5FB0DB76" w14:textId="1F47E0B5" w:rsidR="00ED0E3A" w:rsidRPr="009118AB" w:rsidRDefault="008D42F7" w:rsidP="00ED0E3A">
      <w:pPr>
        <w:autoSpaceDE w:val="0"/>
        <w:autoSpaceDN w:val="0"/>
        <w:adjustRightInd w:val="0"/>
        <w:jc w:val="both"/>
        <w:rPr>
          <w:iCs/>
        </w:rPr>
      </w:pPr>
      <w:r w:rsidRPr="009118AB">
        <w:rPr>
          <w:iCs/>
        </w:rPr>
        <w:tab/>
      </w:r>
      <w:r w:rsidR="00ED0E3A" w:rsidRPr="009118AB">
        <w:rPr>
          <w:iCs/>
        </w:rPr>
        <w:t xml:space="preserve">[Im Falle eines in Artikel 231 </w:t>
      </w:r>
      <w:r w:rsidR="00D67EB8" w:rsidRPr="009118AB">
        <w:rPr>
          <w:iCs/>
        </w:rPr>
        <w:t>§ </w:t>
      </w:r>
      <w:r w:rsidR="00ED0E3A" w:rsidRPr="009118AB">
        <w:rPr>
          <w:iCs/>
        </w:rPr>
        <w:t xml:space="preserve">2 oder </w:t>
      </w:r>
      <w:r w:rsidR="00D67EB8" w:rsidRPr="009118AB">
        <w:rPr>
          <w:iCs/>
        </w:rPr>
        <w:t>§ </w:t>
      </w:r>
      <w:r w:rsidR="00ED0E3A" w:rsidRPr="009118AB">
        <w:rPr>
          <w:iCs/>
        </w:rPr>
        <w:t xml:space="preserve">3 erwähnten Vorgangs sind [berufliche Verluste und in Artikel 205 </w:t>
      </w:r>
      <w:r w:rsidR="00D67EB8" w:rsidRPr="009118AB">
        <w:rPr>
          <w:iCs/>
        </w:rPr>
        <w:t>§ </w:t>
      </w:r>
      <w:r w:rsidR="00ED0E3A" w:rsidRPr="009118AB">
        <w:rPr>
          <w:iCs/>
        </w:rPr>
        <w:t>3 erwähnte Einkünfte, die die übernehmende oder begünstigte Gesellschaft vor diesem Vorgang noch nicht abziehen konnte], nur definitiv abzugsfähig nach Verhältnis des proportionalen Teils des Nettosteuerwertes der übernehmenden oder begünstigten Gesellschaft vor dem Vorgang in der Gesamtsumme der Nettosteuerwerte, ebenfalls vor dem Vorgang, dieser Gesellschaft und der vor diesem Vor</w:t>
      </w:r>
      <w:r w:rsidR="00ED0E3A" w:rsidRPr="009118AB">
        <w:rPr>
          <w:iCs/>
        </w:rPr>
        <w:softHyphen/>
        <w:t>gang in Belgien vorhandenen belgischen Niederlassung und der anderen eingebrachten Bestandteile der übertragenden, aufgespaltenen oder einbringenden Gesellschaft, die in Belgien gelegen sind.]</w:t>
      </w:r>
    </w:p>
    <w:p w14:paraId="1EE01FF3" w14:textId="77777777" w:rsidR="00ED0E3A" w:rsidRPr="009118AB" w:rsidRDefault="00ED0E3A" w:rsidP="00ED0E3A">
      <w:pPr>
        <w:autoSpaceDE w:val="0"/>
        <w:autoSpaceDN w:val="0"/>
        <w:adjustRightInd w:val="0"/>
        <w:jc w:val="both"/>
        <w:rPr>
          <w:iCs/>
        </w:rPr>
      </w:pPr>
    </w:p>
    <w:p w14:paraId="17367E34" w14:textId="7B6761ED" w:rsidR="00ED0E3A" w:rsidRPr="009118AB" w:rsidRDefault="008D42F7" w:rsidP="00ED0E3A">
      <w:pPr>
        <w:autoSpaceDE w:val="0"/>
        <w:autoSpaceDN w:val="0"/>
        <w:adjustRightInd w:val="0"/>
        <w:jc w:val="both"/>
        <w:rPr>
          <w:iCs/>
        </w:rPr>
      </w:pPr>
      <w:r w:rsidRPr="009118AB">
        <w:rPr>
          <w:iCs/>
        </w:rPr>
        <w:tab/>
      </w:r>
      <w:r w:rsidR="00ED0E3A" w:rsidRPr="009118AB">
        <w:rPr>
          <w:iCs/>
        </w:rPr>
        <w:t xml:space="preserve">[Im Falle eines in Artikel 231 </w:t>
      </w:r>
      <w:r w:rsidR="00D67EB8" w:rsidRPr="009118AB">
        <w:rPr>
          <w:iCs/>
        </w:rPr>
        <w:t>§ </w:t>
      </w:r>
      <w:r w:rsidR="00ED0E3A" w:rsidRPr="009118AB">
        <w:rPr>
          <w:iCs/>
        </w:rPr>
        <w:t xml:space="preserve">2 oder </w:t>
      </w:r>
      <w:r w:rsidR="00D67EB8" w:rsidRPr="009118AB">
        <w:rPr>
          <w:iCs/>
        </w:rPr>
        <w:t>§ </w:t>
      </w:r>
      <w:r w:rsidR="00ED0E3A" w:rsidRPr="009118AB">
        <w:rPr>
          <w:iCs/>
        </w:rPr>
        <w:t xml:space="preserve">3 erwähnten Vorgangs ist Absatz 2 nur anwendbar in Bezug auf [berufliche Verluste und in Artikel 205 </w:t>
      </w:r>
      <w:r w:rsidR="00D67EB8" w:rsidRPr="009118AB">
        <w:rPr>
          <w:iCs/>
        </w:rPr>
        <w:t>§ </w:t>
      </w:r>
      <w:r w:rsidR="00ED0E3A" w:rsidRPr="009118AB">
        <w:rPr>
          <w:iCs/>
        </w:rPr>
        <w:t>3 erwähnte Einkünfte, die die übertragende, aufgespaltene oder einbringende Gesellschaft vor diesem Vorgang in ihrer belgischen Niederlassung noch nicht abziehen konnte], und wird das in Absatz 2 erwähnte Verhältnis nur auf der Grundlage des Nettosteuerwertes der belgischen Niederlassung vor dem Vorgang in der Gesamtsumme der Nettosteuerwerte, ebenfalls vor dem Vorgang, der übernehmenden oder begünstigten inländischen Gesellschaft und dieser übertragenen oder erhaltenen belgischen Niederlassung festgelegt.]</w:t>
      </w:r>
    </w:p>
    <w:p w14:paraId="20944AF6" w14:textId="77777777" w:rsidR="00ED0E3A" w:rsidRPr="009118AB" w:rsidRDefault="00ED0E3A" w:rsidP="00ED0E3A">
      <w:pPr>
        <w:autoSpaceDE w:val="0"/>
        <w:autoSpaceDN w:val="0"/>
        <w:adjustRightInd w:val="0"/>
        <w:jc w:val="both"/>
        <w:rPr>
          <w:iCs/>
        </w:rPr>
      </w:pPr>
    </w:p>
    <w:p w14:paraId="740C9070" w14:textId="46BF05C9" w:rsidR="00ED0E3A" w:rsidRPr="009118AB" w:rsidRDefault="008D42F7" w:rsidP="00ED0E3A">
      <w:pPr>
        <w:autoSpaceDE w:val="0"/>
        <w:autoSpaceDN w:val="0"/>
        <w:adjustRightInd w:val="0"/>
        <w:jc w:val="both"/>
        <w:rPr>
          <w:iCs/>
        </w:rPr>
      </w:pPr>
      <w:r w:rsidRPr="009118AB">
        <w:rPr>
          <w:iCs/>
        </w:rPr>
        <w:tab/>
      </w:r>
      <w:r w:rsidR="00ED0E3A" w:rsidRPr="009118AB">
        <w:rPr>
          <w:iCs/>
        </w:rPr>
        <w:t xml:space="preserve">[Für die Anwendung des vorliegenden Paragraphen wird davon ausgegangen, dass die Einschränkung der Abzugsfähigkeit sich zuerst auf die beruflichen Verluste und danach auf die in Artikel 205 </w:t>
      </w:r>
      <w:r w:rsidR="00D67EB8" w:rsidRPr="009118AB">
        <w:rPr>
          <w:iCs/>
        </w:rPr>
        <w:t>§ </w:t>
      </w:r>
      <w:r w:rsidR="00ED0E3A" w:rsidRPr="009118AB">
        <w:rPr>
          <w:iCs/>
        </w:rPr>
        <w:t>3 erwähnten Einkünfte bezieht.]</w:t>
      </w:r>
    </w:p>
    <w:p w14:paraId="210E070F" w14:textId="77777777" w:rsidR="00ED0E3A" w:rsidRPr="009118AB" w:rsidRDefault="00ED0E3A" w:rsidP="00ED0E3A">
      <w:pPr>
        <w:autoSpaceDE w:val="0"/>
        <w:autoSpaceDN w:val="0"/>
        <w:adjustRightInd w:val="0"/>
        <w:jc w:val="both"/>
        <w:rPr>
          <w:iCs/>
        </w:rPr>
      </w:pPr>
    </w:p>
    <w:p w14:paraId="3231935B" w14:textId="3442C7D1" w:rsidR="00ED0E3A" w:rsidRPr="009118AB" w:rsidRDefault="008D42F7" w:rsidP="00ED0E3A">
      <w:pPr>
        <w:autoSpaceDE w:val="0"/>
        <w:autoSpaceDN w:val="0"/>
        <w:adjustRightInd w:val="0"/>
        <w:jc w:val="both"/>
        <w:rPr>
          <w:iCs/>
        </w:rPr>
      </w:pPr>
      <w:r w:rsidRPr="009118AB">
        <w:rPr>
          <w:iCs/>
        </w:rPr>
        <w:tab/>
      </w:r>
      <w:r w:rsidR="00ED0E3A" w:rsidRPr="009118AB">
        <w:rPr>
          <w:iCs/>
        </w:rPr>
        <w:t>[</w:t>
      </w:r>
      <w:r w:rsidR="00D67EB8" w:rsidRPr="009118AB">
        <w:rPr>
          <w:iCs/>
        </w:rPr>
        <w:t>§ </w:t>
      </w:r>
      <w:r w:rsidR="00ED0E3A" w:rsidRPr="009118AB">
        <w:rPr>
          <w:iCs/>
        </w:rPr>
        <w:t>3</w:t>
      </w:r>
      <w:r w:rsidR="00D67EB8" w:rsidRPr="009118AB">
        <w:rPr>
          <w:iCs/>
        </w:rPr>
        <w:t> - </w:t>
      </w:r>
      <w:r w:rsidR="00ED0E3A" w:rsidRPr="009118AB">
        <w:rPr>
          <w:iCs/>
        </w:rPr>
        <w:t>[Wenn eine ausländische Gesellschaft […] ihre Hauptnieder</w:t>
      </w:r>
      <w:r w:rsidR="00ED0E3A" w:rsidRPr="009118AB">
        <w:rPr>
          <w:iCs/>
        </w:rPr>
        <w:softHyphen/>
        <w:t xml:space="preserve">lassung oder ihren Geschäftsführungs- oder Verwaltungssitz nach Belgien verlegt, ist die Bestimmung von </w:t>
      </w:r>
      <w:r w:rsidR="00D67EB8" w:rsidRPr="009118AB">
        <w:rPr>
          <w:iCs/>
        </w:rPr>
        <w:t>§ </w:t>
      </w:r>
      <w:r w:rsidR="00ED0E3A" w:rsidRPr="009118AB">
        <w:rPr>
          <w:iCs/>
        </w:rPr>
        <w:t xml:space="preserve">1 </w:t>
      </w:r>
      <w:r w:rsidR="00ED0E3A" w:rsidRPr="009118AB">
        <w:rPr>
          <w:iCs/>
        </w:rPr>
        <w:lastRenderedPageBreak/>
        <w:t>Absatz 1 anwendbar in Bezug auf berufliche Verluste, die diese Gesellschaft in einer belgischen Niederlassung hatte, über die sie vor dieser Verlegung verfügte.]]</w:t>
      </w:r>
    </w:p>
    <w:p w14:paraId="32EED9C9" w14:textId="77777777" w:rsidR="00ED0E3A" w:rsidRPr="009118AB" w:rsidRDefault="00ED0E3A" w:rsidP="00ED0E3A">
      <w:pPr>
        <w:autoSpaceDE w:val="0"/>
        <w:autoSpaceDN w:val="0"/>
        <w:adjustRightInd w:val="0"/>
        <w:jc w:val="both"/>
        <w:rPr>
          <w:iCs/>
        </w:rPr>
      </w:pPr>
    </w:p>
    <w:p w14:paraId="1025B1B0" w14:textId="58302085" w:rsidR="00ED0E3A" w:rsidRPr="009118AB" w:rsidRDefault="008D42F7" w:rsidP="00ED0E3A">
      <w:pPr>
        <w:autoSpaceDE w:val="0"/>
        <w:autoSpaceDN w:val="0"/>
        <w:adjustRightInd w:val="0"/>
        <w:jc w:val="both"/>
        <w:rPr>
          <w:iCs/>
        </w:rPr>
      </w:pPr>
      <w:r w:rsidRPr="009118AB">
        <w:rPr>
          <w:iCs/>
        </w:rPr>
        <w:tab/>
      </w:r>
      <w:r w:rsidR="00ED0E3A" w:rsidRPr="009118AB">
        <w:rPr>
          <w:iCs/>
        </w:rPr>
        <w:t>[</w:t>
      </w:r>
      <w:r w:rsidR="00D67EB8" w:rsidRPr="009118AB">
        <w:rPr>
          <w:iCs/>
        </w:rPr>
        <w:t>§ </w:t>
      </w:r>
      <w:r w:rsidR="00ED0E3A" w:rsidRPr="009118AB">
        <w:rPr>
          <w:iCs/>
        </w:rPr>
        <w:t>4</w:t>
      </w:r>
      <w:r w:rsidR="00D67EB8" w:rsidRPr="009118AB">
        <w:rPr>
          <w:iCs/>
        </w:rPr>
        <w:t> - </w:t>
      </w:r>
      <w:r w:rsidR="00ED0E3A" w:rsidRPr="009118AB">
        <w:rPr>
          <w:iCs/>
        </w:rPr>
        <w:t xml:space="preserve">In Abweichung von </w:t>
      </w:r>
      <w:r w:rsidR="00D67EB8" w:rsidRPr="009118AB">
        <w:rPr>
          <w:iCs/>
        </w:rPr>
        <w:t>§ </w:t>
      </w:r>
      <w:r w:rsidR="00ED0E3A" w:rsidRPr="009118AB">
        <w:rPr>
          <w:iCs/>
        </w:rPr>
        <w:t>1 Absatz 1 wird der Teil der beruflichen Verluste, der Schäden an Landwirtschaftskulturen zuzurechnen ist, die durch schlechte Witterungs</w:t>
      </w:r>
      <w:r w:rsidR="00ED0E3A" w:rsidRPr="009118AB">
        <w:rPr>
          <w:iCs/>
        </w:rPr>
        <w:softHyphen/>
        <w:t xml:space="preserve">bedingungen verursacht und in einer Region erlitten worden sind, mit der ein Protokoll wie in Artikel 78 </w:t>
      </w:r>
      <w:r w:rsidR="00D67EB8" w:rsidRPr="009118AB">
        <w:rPr>
          <w:iCs/>
        </w:rPr>
        <w:t>§ </w:t>
      </w:r>
      <w:r w:rsidR="00ED0E3A" w:rsidRPr="009118AB">
        <w:rPr>
          <w:iCs/>
        </w:rPr>
        <w:t xml:space="preserve">2 Absatz 3 erwähnt geschlossen worden ist, auf Antrag eines Steuerpflichtigen hin, der die in Artikel 78 </w:t>
      </w:r>
      <w:r w:rsidR="00D67EB8" w:rsidRPr="009118AB">
        <w:rPr>
          <w:iCs/>
        </w:rPr>
        <w:t>§ </w:t>
      </w:r>
      <w:r w:rsidR="00ED0E3A" w:rsidRPr="009118AB">
        <w:rPr>
          <w:iCs/>
        </w:rPr>
        <w:t>2 Absatz 4 erwähnten Kriterien erfüllt, nacheinander von den Berufs</w:t>
      </w:r>
      <w:r w:rsidR="00ED0E3A" w:rsidRPr="009118AB">
        <w:rPr>
          <w:iCs/>
        </w:rPr>
        <w:softHyphen/>
        <w:t>einkünften der drei Besteuerungszeiträume abgezogen, die dem Besteuerungszeitraum vorangehen, in dem diese Schäden definitiv festgestellt worden sind, wobei mit dem ältesten begonnen werden muss. Der Teil dieser beruflichen Verluste, der nicht von diesen Berufs</w:t>
      </w:r>
      <w:r w:rsidR="00ED0E3A" w:rsidRPr="009118AB">
        <w:rPr>
          <w:iCs/>
        </w:rPr>
        <w:softHyphen/>
        <w:t xml:space="preserve">einkünften abgezogen werden kann, ist gemäß </w:t>
      </w:r>
      <w:r w:rsidR="00D67EB8" w:rsidRPr="009118AB">
        <w:rPr>
          <w:iCs/>
        </w:rPr>
        <w:t>§ </w:t>
      </w:r>
      <w:r w:rsidR="00ED0E3A" w:rsidRPr="009118AB">
        <w:rPr>
          <w:iCs/>
        </w:rPr>
        <w:t>1 abzugsfähig.</w:t>
      </w:r>
    </w:p>
    <w:p w14:paraId="111E7339" w14:textId="77777777" w:rsidR="00ED0E3A" w:rsidRPr="009118AB" w:rsidRDefault="00ED0E3A" w:rsidP="00ED0E3A">
      <w:pPr>
        <w:autoSpaceDE w:val="0"/>
        <w:autoSpaceDN w:val="0"/>
        <w:adjustRightInd w:val="0"/>
        <w:jc w:val="both"/>
        <w:rPr>
          <w:iCs/>
        </w:rPr>
      </w:pPr>
    </w:p>
    <w:p w14:paraId="583713B8" w14:textId="3218932E" w:rsidR="00ED0E3A" w:rsidRPr="009118AB" w:rsidRDefault="008D42F7" w:rsidP="00ED0E3A">
      <w:pPr>
        <w:autoSpaceDE w:val="0"/>
        <w:autoSpaceDN w:val="0"/>
        <w:adjustRightInd w:val="0"/>
        <w:jc w:val="both"/>
        <w:rPr>
          <w:iCs/>
        </w:rPr>
      </w:pPr>
      <w:r w:rsidRPr="009118AB">
        <w:rPr>
          <w:iCs/>
        </w:rPr>
        <w:tab/>
      </w:r>
      <w:r w:rsidR="00ED0E3A" w:rsidRPr="009118AB">
        <w:rPr>
          <w:iCs/>
        </w:rPr>
        <w:t>Der Teil der beruflichen Verluste, der den in Absatz 1 beschriebenen Schäden zuzu</w:t>
      </w:r>
      <w:r w:rsidR="00ED0E3A" w:rsidRPr="009118AB">
        <w:rPr>
          <w:iCs/>
        </w:rPr>
        <w:softHyphen/>
        <w:t xml:space="preserve">rechnen ist, entspricht dem Betrag der beruflichen Verluste, der auf den gemäß Artikel 78 </w:t>
      </w:r>
      <w:r w:rsidR="00D67EB8" w:rsidRPr="009118AB">
        <w:rPr>
          <w:iCs/>
        </w:rPr>
        <w:t>§ </w:t>
      </w:r>
      <w:r w:rsidR="00ED0E3A" w:rsidRPr="009118AB">
        <w:rPr>
          <w:iCs/>
        </w:rPr>
        <w:t>2 Absatz 2 beschriebenen Betrag dieser Schäden begrenzt ist, die im Besteuerungszeitraum definitiv festgestellt worden sind. Der König kann nach Konsultierung der Interministeriellen Konferenz "Agrarpolitik" den Zeitpunkt näher bestimmen, zu dem die Schäden definitiv fest</w:t>
      </w:r>
      <w:r w:rsidR="00ED0E3A" w:rsidRPr="009118AB">
        <w:rPr>
          <w:iCs/>
        </w:rPr>
        <w:softHyphen/>
        <w:t>gestellt sind.</w:t>
      </w:r>
    </w:p>
    <w:p w14:paraId="53FC54A8" w14:textId="77777777" w:rsidR="00ED0E3A" w:rsidRPr="009118AB" w:rsidRDefault="00ED0E3A" w:rsidP="00ED0E3A">
      <w:pPr>
        <w:autoSpaceDE w:val="0"/>
        <w:autoSpaceDN w:val="0"/>
        <w:adjustRightInd w:val="0"/>
        <w:jc w:val="both"/>
        <w:rPr>
          <w:iCs/>
        </w:rPr>
      </w:pPr>
    </w:p>
    <w:p w14:paraId="12489091" w14:textId="02944F18" w:rsidR="00ED0E3A" w:rsidRPr="009118AB" w:rsidRDefault="008D42F7" w:rsidP="00ED0E3A">
      <w:pPr>
        <w:autoSpaceDE w:val="0"/>
        <w:autoSpaceDN w:val="0"/>
        <w:adjustRightInd w:val="0"/>
        <w:jc w:val="both"/>
        <w:rPr>
          <w:iCs/>
        </w:rPr>
      </w:pPr>
      <w:r w:rsidRPr="009118AB">
        <w:rPr>
          <w:iCs/>
        </w:rPr>
        <w:tab/>
      </w:r>
      <w:r w:rsidR="00ED0E3A" w:rsidRPr="009118AB">
        <w:rPr>
          <w:iCs/>
        </w:rPr>
        <w:t xml:space="preserve">Berufliche Verluste, für die die Anwendung des rückwirkenden Verlustabzugs beantragt wird, werden nach Abzug der beruflichen Verluste von vorherigen Besteuerungszeiträumen in Anwendung von </w:t>
      </w:r>
      <w:r w:rsidR="00D67EB8" w:rsidRPr="009118AB">
        <w:rPr>
          <w:iCs/>
        </w:rPr>
        <w:t>§ </w:t>
      </w:r>
      <w:r w:rsidR="00ED0E3A" w:rsidRPr="009118AB">
        <w:rPr>
          <w:iCs/>
        </w:rPr>
        <w:t>1 abgezogen.</w:t>
      </w:r>
    </w:p>
    <w:p w14:paraId="04DED4DC" w14:textId="77777777" w:rsidR="00ED0E3A" w:rsidRPr="009118AB" w:rsidRDefault="00ED0E3A" w:rsidP="00ED0E3A">
      <w:pPr>
        <w:autoSpaceDE w:val="0"/>
        <w:autoSpaceDN w:val="0"/>
        <w:adjustRightInd w:val="0"/>
        <w:jc w:val="both"/>
        <w:rPr>
          <w:iCs/>
        </w:rPr>
      </w:pPr>
    </w:p>
    <w:p w14:paraId="7398A8A7" w14:textId="39673AE7" w:rsidR="00ED0E3A" w:rsidRPr="009118AB" w:rsidRDefault="008D42F7" w:rsidP="00ED0E3A">
      <w:pPr>
        <w:autoSpaceDE w:val="0"/>
        <w:autoSpaceDN w:val="0"/>
        <w:adjustRightInd w:val="0"/>
        <w:jc w:val="both"/>
        <w:rPr>
          <w:iCs/>
        </w:rPr>
      </w:pPr>
      <w:r w:rsidRPr="009118AB">
        <w:rPr>
          <w:iCs/>
        </w:rPr>
        <w:tab/>
      </w:r>
      <w:r w:rsidR="00ED0E3A" w:rsidRPr="009118AB">
        <w:rPr>
          <w:iCs/>
        </w:rPr>
        <w:t>[Der Steuerpflichtige beantragt die Anwendung des rückwirkenden Verlustabzugs anhand eines Formulars, dessen Muster vom König festgelegt wird und das für festgelegte Veranlagungen wirksam wird, die sich auf die drei Besteuerungszeiträume beziehen, die dem Besteuerungszeitraum vorangehen, in dem die in Absatz 1 erwähnten Schäden definitiv festgestellt worden sind. Dieser Antrag ist endgültig und unwiderruflich. Der König bestimmt die Modalitäten für die Einreichung dieses Formulars.]]</w:t>
      </w:r>
    </w:p>
    <w:p w14:paraId="428AF95E" w14:textId="77777777" w:rsidR="00ED0E3A" w:rsidRPr="009118AB" w:rsidRDefault="00ED0E3A" w:rsidP="00ED0E3A">
      <w:pPr>
        <w:autoSpaceDE w:val="0"/>
        <w:autoSpaceDN w:val="0"/>
        <w:adjustRightInd w:val="0"/>
        <w:jc w:val="both"/>
        <w:rPr>
          <w:iCs/>
        </w:rPr>
      </w:pPr>
    </w:p>
    <w:p w14:paraId="60EE33BF" w14:textId="7C8F1F5B" w:rsidR="00ED0E3A" w:rsidRPr="009118AB" w:rsidRDefault="00ED0E3A" w:rsidP="00ED0E3A">
      <w:pPr>
        <w:autoSpaceDE w:val="0"/>
        <w:autoSpaceDN w:val="0"/>
        <w:adjustRightInd w:val="0"/>
        <w:jc w:val="both"/>
      </w:pPr>
      <w:r w:rsidRPr="009118AB">
        <w:rPr>
          <w:i/>
          <w:iCs/>
        </w:rPr>
        <w:t>[</w:t>
      </w:r>
      <w:r w:rsidR="00D67EB8" w:rsidRPr="009118AB">
        <w:rPr>
          <w:i/>
          <w:iCs/>
        </w:rPr>
        <w:t>Art. </w:t>
      </w:r>
      <w:r w:rsidRPr="009118AB">
        <w:rPr>
          <w:i/>
          <w:iCs/>
        </w:rPr>
        <w:t xml:space="preserve">206 ersetzt durch </w:t>
      </w:r>
      <w:r w:rsidR="00D67EB8" w:rsidRPr="009118AB">
        <w:rPr>
          <w:i/>
          <w:iCs/>
        </w:rPr>
        <w:t>Art. </w:t>
      </w:r>
      <w:r w:rsidRPr="009118AB">
        <w:rPr>
          <w:i/>
          <w:iCs/>
        </w:rPr>
        <w:t>1 des G. vom 6. August 1993 (II) (B.S. vom 31. August 1993)</w:t>
      </w:r>
      <w:r w:rsidR="00D67EB8" w:rsidRPr="009118AB">
        <w:rPr>
          <w:i/>
          <w:iCs/>
        </w:rPr>
        <w:t> - </w:t>
      </w:r>
      <w:r w:rsidRPr="009118AB">
        <w:rPr>
          <w:i/>
          <w:iCs/>
        </w:rPr>
        <w:t>anwendbar auf Vorgänge, die ab dem 1. Oktober 1993 stattfinden</w:t>
      </w:r>
      <w:r w:rsidR="003366D9" w:rsidRPr="009118AB">
        <w:rPr>
          <w:i/>
          <w:iCs/>
        </w:rPr>
        <w:t> -;</w:t>
      </w:r>
      <w:r w:rsidRPr="009118AB">
        <w:rPr>
          <w:i/>
          <w:iCs/>
        </w:rPr>
        <w:t xml:space="preserve"> </w:t>
      </w:r>
      <w:r w:rsidR="00D67EB8" w:rsidRPr="009118AB">
        <w:rPr>
          <w:i/>
          <w:iCs/>
        </w:rPr>
        <w:t>§ </w:t>
      </w:r>
      <w:r w:rsidRPr="009118AB">
        <w:rPr>
          <w:i/>
          <w:iCs/>
        </w:rPr>
        <w:t xml:space="preserve">1 früherer Absatz 2 aufgehoben durch </w:t>
      </w:r>
      <w:r w:rsidR="00D67EB8" w:rsidRPr="009118AB">
        <w:rPr>
          <w:i/>
          <w:iCs/>
        </w:rPr>
        <w:t>Art. </w:t>
      </w:r>
      <w:r w:rsidRPr="009118AB">
        <w:rPr>
          <w:i/>
          <w:iCs/>
        </w:rPr>
        <w:t xml:space="preserve">4 </w:t>
      </w:r>
      <w:r w:rsidR="00D67EB8" w:rsidRPr="009118AB">
        <w:rPr>
          <w:i/>
          <w:iCs/>
        </w:rPr>
        <w:t>Nr. </w:t>
      </w:r>
      <w:r w:rsidRPr="009118AB">
        <w:rPr>
          <w:i/>
          <w:iCs/>
        </w:rPr>
        <w:t>1 des G. vom 4. April 1995 (B.S. vom 23. Mai 1995)</w:t>
      </w:r>
      <w:r w:rsidR="00D67EB8" w:rsidRPr="009118AB">
        <w:rPr>
          <w:i/>
          <w:iCs/>
        </w:rPr>
        <w:t> - </w:t>
      </w:r>
      <w:r w:rsidRPr="009118AB">
        <w:rPr>
          <w:i/>
          <w:iCs/>
        </w:rPr>
        <w:t>in Kraft ab dem Steuerjahr 1998</w:t>
      </w:r>
      <w:r w:rsidR="003366D9" w:rsidRPr="009118AB">
        <w:rPr>
          <w:i/>
          <w:iCs/>
        </w:rPr>
        <w:t> -;</w:t>
      </w:r>
      <w:r w:rsidRPr="009118AB">
        <w:rPr>
          <w:i/>
          <w:iCs/>
        </w:rPr>
        <w:t xml:space="preserve"> </w:t>
      </w:r>
      <w:r w:rsidR="00D67EB8" w:rsidRPr="009118AB">
        <w:rPr>
          <w:i/>
          <w:iCs/>
        </w:rPr>
        <w:t>§ </w:t>
      </w:r>
      <w:r w:rsidRPr="009118AB">
        <w:rPr>
          <w:i/>
          <w:iCs/>
        </w:rPr>
        <w:t xml:space="preserve">1 neuer Absatz 2 eingefügt durch </w:t>
      </w:r>
      <w:r w:rsidR="00D67EB8" w:rsidRPr="009118AB">
        <w:rPr>
          <w:i/>
          <w:iCs/>
        </w:rPr>
        <w:t>Art. </w:t>
      </w:r>
      <w:r w:rsidRPr="009118AB">
        <w:rPr>
          <w:i/>
          <w:iCs/>
        </w:rPr>
        <w:t xml:space="preserve">19 </w:t>
      </w:r>
      <w:r w:rsidR="00D67EB8" w:rsidRPr="009118AB">
        <w:rPr>
          <w:i/>
          <w:iCs/>
        </w:rPr>
        <w:t>Nr. </w:t>
      </w:r>
      <w:r w:rsidRPr="009118AB">
        <w:rPr>
          <w:i/>
          <w:iCs/>
        </w:rPr>
        <w:t>1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Pr="009118AB">
        <w:rPr>
          <w:i/>
          <w:iCs/>
        </w:rPr>
        <w:t xml:space="preserve">und ersetzt durch </w:t>
      </w:r>
      <w:r w:rsidR="00D67EB8" w:rsidRPr="009118AB">
        <w:rPr>
          <w:i/>
          <w:iCs/>
        </w:rPr>
        <w:t>Art. </w:t>
      </w:r>
      <w:r w:rsidRPr="009118AB">
        <w:rPr>
          <w:i/>
          <w:iCs/>
        </w:rPr>
        <w:t>54 Buchstabe a) des G. vom 27. Juni 2021 (B.S. vom 30. Juni 2021)</w:t>
      </w:r>
      <w:r w:rsidR="00D67EB8" w:rsidRPr="009118AB">
        <w:rPr>
          <w:i/>
          <w:iCs/>
        </w:rPr>
        <w:t> - </w:t>
      </w:r>
      <w:r w:rsidRPr="009118AB">
        <w:rPr>
          <w:i/>
          <w:iCs/>
        </w:rPr>
        <w:t>anwendbar ab dem Steuerjahr 2022</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bis 4 eingefügt durch </w:t>
      </w:r>
      <w:r w:rsidR="00D67EB8" w:rsidRPr="009118AB">
        <w:rPr>
          <w:i/>
          <w:iCs/>
        </w:rPr>
        <w:t>Art. </w:t>
      </w:r>
      <w:r w:rsidRPr="009118AB">
        <w:rPr>
          <w:i/>
          <w:iCs/>
        </w:rPr>
        <w:t>54 Buchstabe b) des G. vom 27. Juni 2021 (B.S. vom 30. Juni 2021)</w:t>
      </w:r>
      <w:r w:rsidR="00D67EB8" w:rsidRPr="009118AB">
        <w:rPr>
          <w:i/>
          <w:iCs/>
        </w:rPr>
        <w:t> - </w:t>
      </w:r>
      <w:r w:rsidRPr="009118AB">
        <w:rPr>
          <w:i/>
          <w:iCs/>
        </w:rPr>
        <w:t>anwendbar ab dem Steuerjahr 2022</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abgeändert durch </w:t>
      </w:r>
      <w:r w:rsidR="00D67EB8" w:rsidRPr="009118AB">
        <w:rPr>
          <w:i/>
          <w:iCs/>
        </w:rPr>
        <w:t>Art. </w:t>
      </w:r>
      <w:r w:rsidRPr="009118AB">
        <w:rPr>
          <w:i/>
          <w:iCs/>
        </w:rPr>
        <w:t>26 des G. vom 22. Dezember 1998 (B.S. vom 15. Januar 1999)</w:t>
      </w:r>
      <w:r w:rsidR="00D67EB8" w:rsidRPr="009118AB">
        <w:rPr>
          <w:i/>
          <w:iCs/>
        </w:rPr>
        <w:t> - </w:t>
      </w:r>
      <w:r w:rsidRPr="009118AB">
        <w:rPr>
          <w:i/>
          <w:iCs/>
        </w:rPr>
        <w:t>in Kraft ab dem 2. Januar 1995</w:t>
      </w:r>
      <w:r w:rsidR="00FD68E8" w:rsidRPr="009118AB">
        <w:rPr>
          <w:i/>
          <w:iCs/>
        </w:rPr>
        <w:t> -,</w:t>
      </w:r>
      <w:r w:rsidRPr="009118AB">
        <w:rPr>
          <w:i/>
          <w:iCs/>
        </w:rPr>
        <w:t xml:space="preserve"> </w:t>
      </w:r>
      <w:r w:rsidR="00D67EB8" w:rsidRPr="009118AB">
        <w:rPr>
          <w:i/>
          <w:iCs/>
        </w:rPr>
        <w:t>Art. </w:t>
      </w:r>
      <w:r w:rsidRPr="009118AB">
        <w:rPr>
          <w:i/>
          <w:iCs/>
        </w:rPr>
        <w:t xml:space="preserve">19 </w:t>
      </w:r>
      <w:r w:rsidR="00D67EB8" w:rsidRPr="009118AB">
        <w:rPr>
          <w:i/>
          <w:iCs/>
        </w:rPr>
        <w:t>Nr. </w:t>
      </w:r>
      <w:r w:rsidRPr="009118AB">
        <w:rPr>
          <w:i/>
          <w:iCs/>
        </w:rPr>
        <w:t>2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FD68E8" w:rsidRPr="009118AB">
        <w:rPr>
          <w:i/>
          <w:iCs/>
        </w:rPr>
        <w:t> -,</w:t>
      </w:r>
      <w:r w:rsidRPr="009118AB">
        <w:rPr>
          <w:i/>
          <w:iCs/>
        </w:rPr>
        <w:t xml:space="preserve"> </w:t>
      </w:r>
      <w:r w:rsidR="00D67EB8" w:rsidRPr="009118AB">
        <w:rPr>
          <w:i/>
          <w:iCs/>
        </w:rPr>
        <w:t>Art. </w:t>
      </w:r>
      <w:r w:rsidRPr="009118AB">
        <w:rPr>
          <w:i/>
          <w:iCs/>
        </w:rPr>
        <w:t xml:space="preserve">19 </w:t>
      </w:r>
      <w:r w:rsidR="00D67EB8" w:rsidRPr="009118AB">
        <w:rPr>
          <w:i/>
          <w:iCs/>
        </w:rPr>
        <w:t>Nr. </w:t>
      </w:r>
      <w:r w:rsidRPr="009118AB">
        <w:rPr>
          <w:i/>
          <w:iCs/>
        </w:rPr>
        <w:t>3 des G. vom 11. Dezember 2008 (B.S. vom 12. Januar 2009)</w:t>
      </w:r>
      <w:r w:rsidR="00D67EB8" w:rsidRPr="009118AB">
        <w:rPr>
          <w:i/>
          <w:iCs/>
        </w:rPr>
        <w:t> - </w:t>
      </w:r>
      <w:r w:rsidRPr="009118AB">
        <w:rPr>
          <w:i/>
          <w:iCs/>
        </w:rPr>
        <w:t>anwendbar ab dem Steuerjahr 2009 für die ab dem 1. Januar 1990 erfolgten Vorgänge</w:t>
      </w:r>
      <w:r w:rsidR="00FD68E8" w:rsidRPr="009118AB">
        <w:t> -,</w:t>
      </w:r>
      <w:r w:rsidRPr="009118AB">
        <w:rPr>
          <w:i/>
          <w:iCs/>
        </w:rPr>
        <w:t xml:space="preserve"> </w:t>
      </w:r>
      <w:r w:rsidR="00D67EB8" w:rsidRPr="009118AB">
        <w:rPr>
          <w:i/>
          <w:iCs/>
        </w:rPr>
        <w:t>Art. </w:t>
      </w:r>
      <w:r w:rsidRPr="009118AB">
        <w:rPr>
          <w:i/>
          <w:iCs/>
        </w:rPr>
        <w:t xml:space="preserve">52 </w:t>
      </w:r>
      <w:r w:rsidR="00D67EB8" w:rsidRPr="009118AB">
        <w:rPr>
          <w:i/>
          <w:iCs/>
        </w:rPr>
        <w:t>Nr. </w:t>
      </w:r>
      <w:r w:rsidRPr="009118AB">
        <w:rPr>
          <w:i/>
          <w:iCs/>
        </w:rPr>
        <w:t>2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r w:rsidRPr="009118AB">
        <w:rPr>
          <w:i/>
          <w:iCs/>
        </w:rPr>
        <w:t xml:space="preserve"> selbst widerrufen durch </w:t>
      </w:r>
      <w:r w:rsidR="00D67EB8" w:rsidRPr="009118AB">
        <w:rPr>
          <w:i/>
          <w:iCs/>
        </w:rPr>
        <w:t>Art. </w:t>
      </w:r>
      <w:r w:rsidRPr="009118AB">
        <w:rPr>
          <w:i/>
          <w:iCs/>
        </w:rPr>
        <w:t xml:space="preserve">39 des G. vom 30. Juli 2018 (I) (B.S. vom 10. August 2018), und durch </w:t>
      </w:r>
      <w:r w:rsidR="00D67EB8" w:rsidRPr="009118AB">
        <w:rPr>
          <w:i/>
          <w:iCs/>
        </w:rPr>
        <w:t>Art. </w:t>
      </w:r>
      <w:r w:rsidRPr="009118AB">
        <w:rPr>
          <w:i/>
          <w:iCs/>
        </w:rPr>
        <w:t xml:space="preserve">8 </w:t>
      </w:r>
      <w:r w:rsidR="00D67EB8" w:rsidRPr="009118AB">
        <w:rPr>
          <w:i/>
          <w:iCs/>
        </w:rPr>
        <w:t>Nr. </w:t>
      </w:r>
      <w:r w:rsidRPr="009118AB">
        <w:rPr>
          <w:i/>
          <w:iCs/>
        </w:rPr>
        <w:t>1 des G. vom 30. Juli 2018 (I) (B.S. vom 10. August 2018)</w:t>
      </w:r>
      <w:r w:rsidR="00D67EB8" w:rsidRPr="009118AB">
        <w:rPr>
          <w:i/>
          <w:iCs/>
        </w:rPr>
        <w:t> - </w:t>
      </w:r>
      <w:r w:rsidRPr="009118AB">
        <w:rPr>
          <w:i/>
          <w:iCs/>
        </w:rPr>
        <w:t xml:space="preserve">in Kraft am </w:t>
      </w:r>
      <w:r w:rsidRPr="009118AB">
        <w:rPr>
          <w:i/>
          <w:iCs/>
        </w:rPr>
        <w:lastRenderedPageBreak/>
        <w:t>10. August 2018 und anwendbar auf Vorgänge, die ab dem 1. Januar 2018 stattgefunden haben</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2 abgeändert durch </w:t>
      </w:r>
      <w:r w:rsidR="00D67EB8" w:rsidRPr="009118AB">
        <w:rPr>
          <w:i/>
          <w:iCs/>
        </w:rPr>
        <w:t>Art. </w:t>
      </w:r>
      <w:r w:rsidRPr="009118AB">
        <w:rPr>
          <w:i/>
          <w:iCs/>
        </w:rPr>
        <w:t xml:space="preserve">52 </w:t>
      </w:r>
      <w:r w:rsidR="00D67EB8" w:rsidRPr="009118AB">
        <w:rPr>
          <w:i/>
          <w:iCs/>
        </w:rPr>
        <w:t>Nr. </w:t>
      </w:r>
      <w:r w:rsidRPr="009118AB">
        <w:rPr>
          <w:i/>
          <w:iCs/>
        </w:rPr>
        <w:t>3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r w:rsidRPr="009118AB">
        <w:rPr>
          <w:i/>
          <w:iCs/>
        </w:rPr>
        <w:t xml:space="preserve"> selbst widerrufen durch </w:t>
      </w:r>
      <w:r w:rsidR="00D67EB8" w:rsidRPr="009118AB">
        <w:rPr>
          <w:i/>
          <w:iCs/>
        </w:rPr>
        <w:t>Art. </w:t>
      </w:r>
      <w:r w:rsidRPr="009118AB">
        <w:rPr>
          <w:i/>
          <w:iCs/>
        </w:rPr>
        <w:t xml:space="preserve">39 des G. vom 30. Juli 2018 (I) (B.S. vom 10. August 2018), und durch </w:t>
      </w:r>
      <w:r w:rsidR="00D67EB8" w:rsidRPr="009118AB">
        <w:rPr>
          <w:i/>
          <w:iCs/>
        </w:rPr>
        <w:t>Art. </w:t>
      </w:r>
      <w:r w:rsidRPr="009118AB">
        <w:rPr>
          <w:i/>
          <w:iCs/>
        </w:rPr>
        <w:t xml:space="preserve">8 </w:t>
      </w:r>
      <w:r w:rsidR="00D67EB8" w:rsidRPr="009118AB">
        <w:rPr>
          <w:i/>
          <w:iCs/>
        </w:rPr>
        <w:t>Nr. </w:t>
      </w:r>
      <w:r w:rsidRPr="009118AB">
        <w:rPr>
          <w:i/>
          <w:iCs/>
        </w:rPr>
        <w:t>2 des G. vom 30. Juli 2018 (I) (B.S. vom 10. August 2018)</w:t>
      </w:r>
      <w:r w:rsidR="00D67EB8" w:rsidRPr="009118AB">
        <w:rPr>
          <w:i/>
          <w:iCs/>
        </w:rPr>
        <w:t> - </w:t>
      </w:r>
      <w:r w:rsidRPr="009118AB">
        <w:rPr>
          <w:i/>
          <w:iCs/>
        </w:rPr>
        <w:t>in Kraft am 10. August 2018 und anwendbar auf Vorgänge, die ab dem 1. Januar 2018 stattgefunden haben</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3 eingefügt durch </w:t>
      </w:r>
      <w:r w:rsidR="00D67EB8" w:rsidRPr="009118AB">
        <w:rPr>
          <w:i/>
          <w:iCs/>
        </w:rPr>
        <w:t>Art. </w:t>
      </w:r>
      <w:r w:rsidRPr="009118AB">
        <w:rPr>
          <w:i/>
          <w:iCs/>
        </w:rPr>
        <w:t xml:space="preserve">19 </w:t>
      </w:r>
      <w:r w:rsidR="00D67EB8" w:rsidRPr="009118AB">
        <w:rPr>
          <w:i/>
          <w:iCs/>
        </w:rPr>
        <w:t>Nr. </w:t>
      </w:r>
      <w:r w:rsidRPr="009118AB">
        <w:rPr>
          <w:i/>
          <w:iCs/>
        </w:rPr>
        <w:t>3 des G. vom 11. Dezember 2008 (B.S. vom 12. Januar 2009)</w:t>
      </w:r>
      <w:r w:rsidR="00D67EB8" w:rsidRPr="009118AB">
        <w:rPr>
          <w:i/>
          <w:iCs/>
        </w:rPr>
        <w:t> - </w:t>
      </w:r>
      <w:r w:rsidRPr="009118AB">
        <w:rPr>
          <w:i/>
          <w:iCs/>
        </w:rPr>
        <w:t>anwendbar ab dem Steuerjahr 2009 für die ab dem 1. Oktober 1993 erfolgten Vorgänge</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4 eingefügt durch </w:t>
      </w:r>
      <w:r w:rsidR="00D67EB8" w:rsidRPr="009118AB">
        <w:rPr>
          <w:i/>
          <w:iCs/>
        </w:rPr>
        <w:t>Art. </w:t>
      </w:r>
      <w:r w:rsidRPr="009118AB">
        <w:rPr>
          <w:i/>
          <w:iCs/>
        </w:rPr>
        <w:t xml:space="preserve">19 </w:t>
      </w:r>
      <w:r w:rsidR="00D67EB8" w:rsidRPr="009118AB">
        <w:rPr>
          <w:i/>
          <w:iCs/>
        </w:rPr>
        <w:t>Nr. </w:t>
      </w:r>
      <w:r w:rsidRPr="009118AB">
        <w:rPr>
          <w:i/>
          <w:iCs/>
        </w:rPr>
        <w:t>5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5 eingefügt durch </w:t>
      </w:r>
      <w:r w:rsidR="00D67EB8" w:rsidRPr="009118AB">
        <w:rPr>
          <w:i/>
          <w:iCs/>
        </w:rPr>
        <w:t>Art. </w:t>
      </w:r>
      <w:r w:rsidRPr="009118AB">
        <w:rPr>
          <w:i/>
          <w:iCs/>
        </w:rPr>
        <w:t xml:space="preserve">19 </w:t>
      </w:r>
      <w:r w:rsidR="00D67EB8" w:rsidRPr="009118AB">
        <w:rPr>
          <w:i/>
          <w:iCs/>
        </w:rPr>
        <w:t>Nr. </w:t>
      </w:r>
      <w:r w:rsidRPr="009118AB">
        <w:rPr>
          <w:i/>
          <w:iCs/>
        </w:rPr>
        <w:t>5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Pr="009118AB">
        <w:rPr>
          <w:i/>
          <w:iCs/>
        </w:rPr>
        <w:t xml:space="preserve">und abgeändert durch </w:t>
      </w:r>
      <w:r w:rsidR="00D67EB8" w:rsidRPr="009118AB">
        <w:rPr>
          <w:i/>
          <w:iCs/>
        </w:rPr>
        <w:t>Art. </w:t>
      </w:r>
      <w:r w:rsidRPr="009118AB">
        <w:rPr>
          <w:i/>
          <w:iCs/>
        </w:rPr>
        <w:t xml:space="preserve">52 </w:t>
      </w:r>
      <w:r w:rsidR="00D67EB8" w:rsidRPr="009118AB">
        <w:rPr>
          <w:i/>
          <w:iCs/>
        </w:rPr>
        <w:t>Nr. </w:t>
      </w:r>
      <w:r w:rsidRPr="009118AB">
        <w:rPr>
          <w:i/>
          <w:iCs/>
        </w:rPr>
        <w:t>4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r w:rsidRPr="009118AB">
        <w:rPr>
          <w:i/>
          <w:iCs/>
        </w:rPr>
        <w:t xml:space="preserve"> selbst widerrufen durch </w:t>
      </w:r>
      <w:r w:rsidR="00D67EB8" w:rsidRPr="009118AB">
        <w:rPr>
          <w:i/>
          <w:iCs/>
        </w:rPr>
        <w:t>Art. </w:t>
      </w:r>
      <w:r w:rsidRPr="009118AB">
        <w:rPr>
          <w:i/>
          <w:iCs/>
        </w:rPr>
        <w:t xml:space="preserve">39 des G. vom 30. Juli 2018 (I) (B.S. vom 10. August 2018), und durch </w:t>
      </w:r>
      <w:r w:rsidR="00D67EB8" w:rsidRPr="009118AB">
        <w:rPr>
          <w:i/>
          <w:iCs/>
        </w:rPr>
        <w:t>Art. </w:t>
      </w:r>
      <w:r w:rsidRPr="009118AB">
        <w:rPr>
          <w:i/>
          <w:iCs/>
        </w:rPr>
        <w:t xml:space="preserve">8 </w:t>
      </w:r>
      <w:r w:rsidR="00D67EB8" w:rsidRPr="009118AB">
        <w:rPr>
          <w:i/>
          <w:iCs/>
        </w:rPr>
        <w:t>Nr. </w:t>
      </w:r>
      <w:r w:rsidRPr="009118AB">
        <w:rPr>
          <w:i/>
          <w:iCs/>
        </w:rPr>
        <w:t>3 des G. vom 30. Juli 2018 (I) (B.S. vom 10. August 2018)</w:t>
      </w:r>
      <w:r w:rsidR="00D67EB8" w:rsidRPr="009118AB">
        <w:rPr>
          <w:i/>
          <w:iCs/>
        </w:rPr>
        <w:t> - </w:t>
      </w:r>
      <w:r w:rsidRPr="009118AB">
        <w:rPr>
          <w:i/>
          <w:iCs/>
        </w:rPr>
        <w:t>in Kraft am 10. August 2018 und anwendbar auf Vorgänge, die ab dem 1. Januar 2018 stattgefunden haben</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6 eingefügt durch </w:t>
      </w:r>
      <w:r w:rsidR="00D67EB8" w:rsidRPr="009118AB">
        <w:rPr>
          <w:i/>
          <w:iCs/>
        </w:rPr>
        <w:t>Art. </w:t>
      </w:r>
      <w:r w:rsidRPr="009118AB">
        <w:rPr>
          <w:i/>
          <w:iCs/>
        </w:rPr>
        <w:t xml:space="preserve">19 </w:t>
      </w:r>
      <w:r w:rsidR="00D67EB8" w:rsidRPr="009118AB">
        <w:rPr>
          <w:i/>
          <w:iCs/>
        </w:rPr>
        <w:t>Nr. </w:t>
      </w:r>
      <w:r w:rsidRPr="009118AB">
        <w:rPr>
          <w:i/>
          <w:iCs/>
        </w:rPr>
        <w:t>5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Pr="009118AB">
        <w:rPr>
          <w:i/>
          <w:iCs/>
        </w:rPr>
        <w:t xml:space="preserve">und abgeändert durch </w:t>
      </w:r>
      <w:r w:rsidR="00D67EB8" w:rsidRPr="009118AB">
        <w:rPr>
          <w:i/>
          <w:iCs/>
        </w:rPr>
        <w:t>Art. </w:t>
      </w:r>
      <w:r w:rsidRPr="009118AB">
        <w:rPr>
          <w:i/>
          <w:iCs/>
        </w:rPr>
        <w:t xml:space="preserve">52 </w:t>
      </w:r>
      <w:r w:rsidR="00D67EB8" w:rsidRPr="009118AB">
        <w:rPr>
          <w:i/>
          <w:iCs/>
        </w:rPr>
        <w:t>Nr. </w:t>
      </w:r>
      <w:r w:rsidRPr="009118AB">
        <w:rPr>
          <w:i/>
          <w:iCs/>
        </w:rPr>
        <w:t>5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r w:rsidRPr="009118AB">
        <w:rPr>
          <w:i/>
          <w:iCs/>
        </w:rPr>
        <w:t xml:space="preserve"> selbst widerrufen durch </w:t>
      </w:r>
      <w:r w:rsidR="00D67EB8" w:rsidRPr="009118AB">
        <w:rPr>
          <w:i/>
          <w:iCs/>
        </w:rPr>
        <w:t>Art. </w:t>
      </w:r>
      <w:r w:rsidRPr="009118AB">
        <w:rPr>
          <w:i/>
          <w:iCs/>
        </w:rPr>
        <w:t xml:space="preserve">39 des G. vom 30. Juli 2018 (I) (B.S. vom 10. August 2018), und erneut eingefügt durch </w:t>
      </w:r>
      <w:r w:rsidR="00D67EB8" w:rsidRPr="009118AB">
        <w:rPr>
          <w:i/>
          <w:iCs/>
        </w:rPr>
        <w:t>Art. </w:t>
      </w:r>
      <w:r w:rsidRPr="009118AB">
        <w:rPr>
          <w:i/>
          <w:iCs/>
        </w:rPr>
        <w:t xml:space="preserve">8 </w:t>
      </w:r>
      <w:r w:rsidR="00D67EB8" w:rsidRPr="009118AB">
        <w:rPr>
          <w:i/>
          <w:iCs/>
        </w:rPr>
        <w:t>Nr. </w:t>
      </w:r>
      <w:r w:rsidRPr="009118AB">
        <w:rPr>
          <w:i/>
          <w:iCs/>
        </w:rPr>
        <w:t>4 des G. vom 30. Juli 2018 (I) (B.S. vom 10. August 2018)</w:t>
      </w:r>
      <w:r w:rsidR="00D67EB8" w:rsidRPr="009118AB">
        <w:rPr>
          <w:i/>
          <w:iCs/>
        </w:rPr>
        <w:t> - </w:t>
      </w:r>
      <w:r w:rsidRPr="009118AB">
        <w:rPr>
          <w:i/>
          <w:iCs/>
        </w:rPr>
        <w:t>in Kraft am 10. August 2018 und anwendbar auf Vorgänge, die ab dem 1. Januar 2018 stattgefunden haben</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7 eingefügt durch </w:t>
      </w:r>
      <w:r w:rsidR="00D67EB8" w:rsidRPr="009118AB">
        <w:rPr>
          <w:i/>
          <w:iCs/>
        </w:rPr>
        <w:t>Art. </w:t>
      </w:r>
      <w:r w:rsidRPr="009118AB">
        <w:rPr>
          <w:i/>
          <w:iCs/>
        </w:rPr>
        <w:t xml:space="preserve">52 </w:t>
      </w:r>
      <w:r w:rsidR="00D67EB8" w:rsidRPr="009118AB">
        <w:rPr>
          <w:i/>
          <w:iCs/>
        </w:rPr>
        <w:t>Nr. </w:t>
      </w:r>
      <w:r w:rsidRPr="009118AB">
        <w:rPr>
          <w:i/>
          <w:iCs/>
        </w:rPr>
        <w:t>6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r w:rsidRPr="009118AB">
        <w:rPr>
          <w:i/>
          <w:iCs/>
        </w:rPr>
        <w:t xml:space="preserve"> selbst widerrufen durch </w:t>
      </w:r>
      <w:r w:rsidR="00D67EB8" w:rsidRPr="009118AB">
        <w:rPr>
          <w:i/>
          <w:iCs/>
        </w:rPr>
        <w:t>Art. </w:t>
      </w:r>
      <w:r w:rsidRPr="009118AB">
        <w:rPr>
          <w:i/>
          <w:iCs/>
        </w:rPr>
        <w:t xml:space="preserve">39 des G. vom 30. Juli 2018 (I) (B.S. vom 10. August 2018), und erneut eingefügt durch </w:t>
      </w:r>
      <w:r w:rsidR="00D67EB8" w:rsidRPr="009118AB">
        <w:rPr>
          <w:i/>
          <w:iCs/>
        </w:rPr>
        <w:t>Art. </w:t>
      </w:r>
      <w:r w:rsidRPr="009118AB">
        <w:rPr>
          <w:i/>
          <w:iCs/>
        </w:rPr>
        <w:t xml:space="preserve">8 </w:t>
      </w:r>
      <w:r w:rsidR="00D67EB8" w:rsidRPr="009118AB">
        <w:rPr>
          <w:i/>
          <w:iCs/>
        </w:rPr>
        <w:t>Nr. </w:t>
      </w:r>
      <w:r w:rsidRPr="009118AB">
        <w:rPr>
          <w:i/>
          <w:iCs/>
        </w:rPr>
        <w:t>5 des G. vom 30. Juli 2018 (I) (B.S. vom 10. August 2018)</w:t>
      </w:r>
      <w:r w:rsidR="00D67EB8" w:rsidRPr="009118AB">
        <w:rPr>
          <w:i/>
          <w:iCs/>
        </w:rPr>
        <w:t> - </w:t>
      </w:r>
      <w:r w:rsidRPr="009118AB">
        <w:rPr>
          <w:i/>
          <w:iCs/>
        </w:rPr>
        <w:t>in Kraft am 10. August 2018 und anwendbar auf Vorgänge, die ab dem 1. Januar 2018 stattgefunden haben</w:t>
      </w:r>
      <w:r w:rsidR="003366D9" w:rsidRPr="009118AB">
        <w:rPr>
          <w:i/>
          <w:iCs/>
        </w:rPr>
        <w:t> -;</w:t>
      </w:r>
      <w:r w:rsidRPr="009118AB">
        <w:rPr>
          <w:i/>
          <w:iCs/>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 xml:space="preserve">4 </w:t>
      </w:r>
      <w:r w:rsidR="00D67EB8" w:rsidRPr="009118AB">
        <w:rPr>
          <w:i/>
          <w:iCs/>
        </w:rPr>
        <w:t>Nr. </w:t>
      </w:r>
      <w:r w:rsidRPr="009118AB">
        <w:rPr>
          <w:i/>
          <w:iCs/>
        </w:rPr>
        <w:t>2 des G. vom 4. April 1995 (B.S. vom 23. Mai 1995)</w:t>
      </w:r>
      <w:r w:rsidR="00D67EB8" w:rsidRPr="009118AB">
        <w:rPr>
          <w:i/>
          <w:iCs/>
        </w:rPr>
        <w:t> - </w:t>
      </w:r>
      <w:r w:rsidRPr="009118AB">
        <w:rPr>
          <w:i/>
          <w:iCs/>
        </w:rPr>
        <w:t>in Kraft ab dem Steuerjahr</w:t>
      </w:r>
      <w:r w:rsidR="00FD68E8" w:rsidRPr="009118AB">
        <w:rPr>
          <w:i/>
          <w:iCs/>
        </w:rPr>
        <w:t> -,</w:t>
      </w:r>
      <w:r w:rsidRPr="009118AB">
        <w:rPr>
          <w:i/>
          <w:iCs/>
        </w:rPr>
        <w:t xml:space="preserve"> für nichtig erklärt durch Entscheid </w:t>
      </w:r>
      <w:r w:rsidR="00D67EB8" w:rsidRPr="009118AB">
        <w:rPr>
          <w:i/>
          <w:iCs/>
        </w:rPr>
        <w:t>Nr. </w:t>
      </w:r>
      <w:r w:rsidRPr="009118AB">
        <w:rPr>
          <w:i/>
          <w:iCs/>
        </w:rPr>
        <w:t xml:space="preserve">70/96 des Schiedshofs vom 11. Dezember 1996 (B.S. vom 19. Dezember 1996), wieder aufgenommen durch </w:t>
      </w:r>
      <w:r w:rsidR="00D67EB8" w:rsidRPr="009118AB">
        <w:rPr>
          <w:i/>
          <w:iCs/>
        </w:rPr>
        <w:t>Art. </w:t>
      </w:r>
      <w:r w:rsidRPr="009118AB">
        <w:rPr>
          <w:i/>
          <w:iCs/>
        </w:rPr>
        <w:t xml:space="preserve">19 </w:t>
      </w:r>
      <w:r w:rsidR="00D67EB8" w:rsidRPr="009118AB">
        <w:rPr>
          <w:i/>
          <w:iCs/>
        </w:rPr>
        <w:t>Nr. </w:t>
      </w:r>
      <w:r w:rsidRPr="009118AB">
        <w:rPr>
          <w:i/>
          <w:iCs/>
        </w:rPr>
        <w:t>6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Pr="009118AB">
        <w:rPr>
          <w:i/>
          <w:iCs/>
        </w:rPr>
        <w:t xml:space="preserve">und abgeändert durch </w:t>
      </w:r>
      <w:r w:rsidR="00D67EB8" w:rsidRPr="009118AB">
        <w:rPr>
          <w:i/>
          <w:iCs/>
        </w:rPr>
        <w:t>Art. </w:t>
      </w:r>
      <w:r w:rsidRPr="009118AB">
        <w:rPr>
          <w:i/>
          <w:iCs/>
        </w:rPr>
        <w:t>41 des G. vom 17. März 2019 (III) (B.S. vom 10. Mai 2019)</w:t>
      </w:r>
      <w:r w:rsidR="00D67EB8" w:rsidRPr="009118AB">
        <w:rPr>
          <w:i/>
          <w:iCs/>
        </w:rPr>
        <w:t> - </w:t>
      </w:r>
      <w:r w:rsidRPr="009118AB">
        <w:rPr>
          <w:i/>
          <w:iCs/>
        </w:rPr>
        <w:t>in Kraft am 1. Mai 2019</w:t>
      </w:r>
      <w:r w:rsidR="003366D9" w:rsidRPr="009118AB">
        <w:rPr>
          <w:i/>
          <w:iCs/>
        </w:rPr>
        <w:t> -;</w:t>
      </w:r>
      <w:r w:rsidRPr="009118AB">
        <w:rPr>
          <w:i/>
          <w:iCs/>
        </w:rPr>
        <w:t xml:space="preserve"> </w:t>
      </w:r>
      <w:r w:rsidR="00D67EB8" w:rsidRPr="009118AB">
        <w:rPr>
          <w:i/>
          <w:iCs/>
        </w:rPr>
        <w:t>§ </w:t>
      </w:r>
      <w:r w:rsidRPr="009118AB">
        <w:rPr>
          <w:i/>
          <w:iCs/>
        </w:rPr>
        <w:t xml:space="preserve">4 eingefügt durch </w:t>
      </w:r>
      <w:r w:rsidR="00D67EB8" w:rsidRPr="009118AB">
        <w:rPr>
          <w:i/>
          <w:iCs/>
        </w:rPr>
        <w:t>Art. </w:t>
      </w:r>
      <w:r w:rsidRPr="009118AB">
        <w:rPr>
          <w:i/>
          <w:iCs/>
        </w:rPr>
        <w:t>90 des G. vom 11. Februar 2019 (B.S. vom 22. März 2020)</w:t>
      </w:r>
      <w:r w:rsidR="00D67EB8" w:rsidRPr="009118AB">
        <w:rPr>
          <w:i/>
          <w:iCs/>
        </w:rPr>
        <w:t> - </w:t>
      </w:r>
      <w:r w:rsidRPr="009118AB">
        <w:rPr>
          <w:i/>
          <w:iCs/>
        </w:rPr>
        <w:t>anwendbar ab dem Steuerjahr 2019 auf berufliche Verluste, die Schäden an Landwirtschaftskulturen zuzurechnen sind, die durch ab dem 1. Januar 2018 aufgetretene schlechte Witterungsbedingungen verursacht worden sind</w:t>
      </w:r>
      <w:r w:rsidR="003366D9" w:rsidRPr="009118AB">
        <w:rPr>
          <w:i/>
          <w:iCs/>
        </w:rPr>
        <w:t> -;</w:t>
      </w:r>
      <w:r w:rsidRPr="009118AB">
        <w:rPr>
          <w:i/>
          <w:iCs/>
        </w:rPr>
        <w:t xml:space="preserve"> </w:t>
      </w:r>
      <w:r w:rsidR="00D67EB8" w:rsidRPr="009118AB">
        <w:rPr>
          <w:i/>
          <w:iCs/>
        </w:rPr>
        <w:t>§ </w:t>
      </w:r>
      <w:r w:rsidRPr="009118AB">
        <w:rPr>
          <w:i/>
          <w:iCs/>
        </w:rPr>
        <w:t xml:space="preserve">4 </w:t>
      </w:r>
      <w:r w:rsidR="00D67EB8" w:rsidRPr="009118AB">
        <w:rPr>
          <w:i/>
          <w:iCs/>
        </w:rPr>
        <w:t>Abs. </w:t>
      </w:r>
      <w:r w:rsidRPr="009118AB">
        <w:rPr>
          <w:i/>
          <w:iCs/>
        </w:rPr>
        <w:t xml:space="preserve">4 ersetzt durch </w:t>
      </w:r>
      <w:r w:rsidR="00D67EB8" w:rsidRPr="009118AB">
        <w:rPr>
          <w:i/>
          <w:iCs/>
        </w:rPr>
        <w:t>Art. </w:t>
      </w:r>
      <w:r w:rsidRPr="009118AB">
        <w:rPr>
          <w:i/>
          <w:iCs/>
        </w:rPr>
        <w:t>54 Buchstabe c) des G. vom 27. Juni 2021 (B.S. vom 30. Juni 2021)</w:t>
      </w:r>
      <w:r w:rsidR="00D67EB8" w:rsidRPr="009118AB">
        <w:rPr>
          <w:i/>
          <w:iCs/>
        </w:rPr>
        <w:t> - </w:t>
      </w:r>
      <w:r w:rsidRPr="009118AB">
        <w:rPr>
          <w:i/>
          <w:iCs/>
        </w:rPr>
        <w:t>anwendbar ab dem Steuerjahr 2022</w:t>
      </w:r>
      <w:r w:rsidR="00FD68E8" w:rsidRPr="009118AB">
        <w:rPr>
          <w:i/>
          <w:iCs/>
        </w:rPr>
        <w:t> -]</w:t>
      </w:r>
    </w:p>
    <w:p w14:paraId="2D22E30E" w14:textId="4B718E0E" w:rsidR="00477B8F" w:rsidRPr="009118AB" w:rsidRDefault="00477B8F" w:rsidP="0074350A">
      <w:pPr>
        <w:autoSpaceDE w:val="0"/>
        <w:autoSpaceDN w:val="0"/>
        <w:adjustRightInd w:val="0"/>
        <w:jc w:val="center"/>
      </w:pPr>
      <w:r w:rsidRPr="009118AB">
        <w:rPr>
          <w:sz w:val="32"/>
          <w:szCs w:val="32"/>
        </w:rPr>
        <w:br w:type="page"/>
      </w:r>
      <w:r w:rsidRPr="009118AB">
        <w:lastRenderedPageBreak/>
        <w:t>Unterabschnitt </w:t>
      </w:r>
      <w:r w:rsidR="00D74862" w:rsidRPr="009118AB">
        <w:t>5</w:t>
      </w:r>
      <w:r w:rsidR="00D67EB8" w:rsidRPr="009118AB">
        <w:t> - </w:t>
      </w:r>
      <w:r w:rsidR="00614E58" w:rsidRPr="009118AB">
        <w:t>[</w:t>
      </w:r>
      <w:r w:rsidR="00614E58" w:rsidRPr="009118AB">
        <w:rPr>
          <w:lang w:eastAsia="fr-BE"/>
        </w:rPr>
        <w:t>Gemeinsame Bestimmungen und Reihenfolge der Anwendung der Gesetzesbestimmungen für die Festlegung des steuerpflichtigen Einkommens</w:t>
      </w:r>
      <w:r w:rsidR="00614E58" w:rsidRPr="009118AB">
        <w:t>]</w:t>
      </w:r>
    </w:p>
    <w:p w14:paraId="53F1544E" w14:textId="77777777" w:rsidR="00614E58" w:rsidRPr="009118AB" w:rsidRDefault="00614E58" w:rsidP="0074350A">
      <w:pPr>
        <w:autoSpaceDE w:val="0"/>
        <w:autoSpaceDN w:val="0"/>
        <w:adjustRightInd w:val="0"/>
        <w:jc w:val="center"/>
      </w:pPr>
    </w:p>
    <w:p w14:paraId="5732236F" w14:textId="7E74F2E1" w:rsidR="00614E58" w:rsidRPr="009118AB" w:rsidRDefault="00614E58" w:rsidP="00614E58">
      <w:pPr>
        <w:autoSpaceDE w:val="0"/>
        <w:autoSpaceDN w:val="0"/>
        <w:adjustRightInd w:val="0"/>
        <w:jc w:val="both"/>
        <w:rPr>
          <w:i/>
          <w:iCs/>
        </w:rPr>
      </w:pPr>
      <w:r w:rsidRPr="009118AB">
        <w:rPr>
          <w:i/>
          <w:iCs/>
        </w:rPr>
        <w:t xml:space="preserve">[Überschrift von Unterabschnitt 5 ersetzt durch </w:t>
      </w:r>
      <w:r w:rsidR="00D67EB8" w:rsidRPr="009118AB">
        <w:rPr>
          <w:i/>
          <w:iCs/>
        </w:rPr>
        <w:t>Art. </w:t>
      </w:r>
      <w:r w:rsidRPr="009118AB">
        <w:rPr>
          <w:i/>
          <w:iCs/>
        </w:rPr>
        <w:t>9 des G. vom 21. Januar 2022 (B.S. vom 28. Januar 2022)</w:t>
      </w:r>
      <w:r w:rsidR="00D67EB8" w:rsidRPr="009118AB">
        <w:rPr>
          <w:i/>
          <w:iCs/>
        </w:rPr>
        <w:t> - </w:t>
      </w:r>
      <w:r w:rsidRPr="009118AB">
        <w:rPr>
          <w:i/>
          <w:iCs/>
        </w:rPr>
        <w:t>anwendbar ab dem Steuerjahr 2022</w:t>
      </w:r>
      <w:r w:rsidR="00FD68E8" w:rsidRPr="009118AB">
        <w:rPr>
          <w:i/>
          <w:iCs/>
        </w:rPr>
        <w:t> -]</w:t>
      </w:r>
    </w:p>
    <w:p w14:paraId="2E6D6E7F" w14:textId="77777777" w:rsidR="00477B8F" w:rsidRPr="009118AB" w:rsidRDefault="00477B8F" w:rsidP="00614E58">
      <w:pPr>
        <w:autoSpaceDE w:val="0"/>
        <w:autoSpaceDN w:val="0"/>
        <w:adjustRightInd w:val="0"/>
        <w:jc w:val="both"/>
      </w:pPr>
    </w:p>
    <w:p w14:paraId="20AE616B" w14:textId="77777777" w:rsidR="00614E58" w:rsidRPr="009118AB" w:rsidRDefault="00614E58" w:rsidP="00614E58">
      <w:pPr>
        <w:autoSpaceDE w:val="0"/>
        <w:autoSpaceDN w:val="0"/>
        <w:adjustRightInd w:val="0"/>
        <w:jc w:val="both"/>
      </w:pPr>
    </w:p>
    <w:p w14:paraId="768C53FD" w14:textId="0B4AD9FC" w:rsidR="00614E58" w:rsidRPr="009118AB" w:rsidRDefault="00614E58" w:rsidP="00614E58">
      <w:pPr>
        <w:jc w:val="both"/>
        <w:rPr>
          <w:lang w:eastAsia="fr-BE"/>
        </w:rPr>
      </w:pPr>
      <w:r w:rsidRPr="009118AB">
        <w:tab/>
        <w:t>[</w:t>
      </w:r>
      <w:r w:rsidR="00D67EB8" w:rsidRPr="009118AB">
        <w:rPr>
          <w:b/>
          <w:bCs/>
          <w:lang w:eastAsia="fr-BE"/>
        </w:rPr>
        <w:t>Art. </w:t>
      </w:r>
      <w:r w:rsidRPr="009118AB">
        <w:rPr>
          <w:b/>
          <w:bCs/>
          <w:lang w:eastAsia="fr-BE"/>
        </w:rPr>
        <w:t>206/1</w:t>
      </w:r>
      <w:r w:rsidR="00D67EB8" w:rsidRPr="009118AB">
        <w:rPr>
          <w:lang w:eastAsia="fr-BE"/>
        </w:rPr>
        <w:t> - </w:t>
      </w:r>
      <w:r w:rsidRPr="009118AB">
        <w:rPr>
          <w:lang w:eastAsia="fr-BE"/>
        </w:rPr>
        <w:t>Im Hinblick auf die Festlegung des steuerpflichtigen Ergebnisses wird das Ergebnis des Besteuerungszeitraums, Gewinnrücklagen ausgenommen, die aufgrund des vorliegenden Gesetzbuches oder aufgrund spezifischer Gesetzesbestimmungen steuerfrei sind, entsprechend seinem Verwendungszweck aufgeschlüsselt nach:</w:t>
      </w:r>
    </w:p>
    <w:p w14:paraId="007EFDC9" w14:textId="77777777" w:rsidR="00614E58" w:rsidRPr="009118AB" w:rsidRDefault="00614E58" w:rsidP="00614E58">
      <w:pPr>
        <w:jc w:val="both"/>
        <w:rPr>
          <w:lang w:eastAsia="fr-BE"/>
        </w:rPr>
      </w:pPr>
    </w:p>
    <w:p w14:paraId="22DAB8A6" w14:textId="77777777" w:rsidR="00614E58" w:rsidRPr="009118AB" w:rsidRDefault="00614E58" w:rsidP="00614E58">
      <w:pPr>
        <w:jc w:val="both"/>
        <w:rPr>
          <w:lang w:eastAsia="fr-BE"/>
        </w:rPr>
      </w:pPr>
      <w:r w:rsidRPr="009118AB">
        <w:rPr>
          <w:lang w:eastAsia="fr-BE"/>
        </w:rPr>
        <w:tab/>
        <w:t>1. Rücklagen,</w:t>
      </w:r>
    </w:p>
    <w:p w14:paraId="3BEA8DBA" w14:textId="77777777" w:rsidR="00614E58" w:rsidRPr="009118AB" w:rsidRDefault="00614E58" w:rsidP="00614E58">
      <w:pPr>
        <w:jc w:val="both"/>
        <w:rPr>
          <w:lang w:eastAsia="fr-BE"/>
        </w:rPr>
      </w:pPr>
    </w:p>
    <w:p w14:paraId="304BDA3F" w14:textId="77777777" w:rsidR="00614E58" w:rsidRPr="009118AB" w:rsidRDefault="00614E58" w:rsidP="00614E58">
      <w:pPr>
        <w:jc w:val="both"/>
        <w:rPr>
          <w:lang w:eastAsia="fr-BE"/>
        </w:rPr>
      </w:pPr>
      <w:r w:rsidRPr="009118AB">
        <w:rPr>
          <w:lang w:eastAsia="fr-BE"/>
        </w:rPr>
        <w:tab/>
        <w:t>2. nicht zugelassenen Ausgaben und anderen Bestandteilen des Ergebnisses,</w:t>
      </w:r>
    </w:p>
    <w:p w14:paraId="6900718F" w14:textId="77777777" w:rsidR="00614E58" w:rsidRPr="009118AB" w:rsidRDefault="00614E58" w:rsidP="00614E58">
      <w:pPr>
        <w:jc w:val="both"/>
        <w:rPr>
          <w:lang w:eastAsia="fr-BE"/>
        </w:rPr>
      </w:pPr>
    </w:p>
    <w:p w14:paraId="51117083" w14:textId="77777777" w:rsidR="00614E58" w:rsidRPr="009118AB" w:rsidRDefault="00614E58" w:rsidP="00614E58">
      <w:pPr>
        <w:jc w:val="both"/>
        <w:rPr>
          <w:lang w:eastAsia="fr-BE"/>
        </w:rPr>
      </w:pPr>
      <w:r w:rsidRPr="009118AB">
        <w:rPr>
          <w:lang w:eastAsia="fr-BE"/>
        </w:rPr>
        <w:tab/>
        <w:t>3. Dividenden.</w:t>
      </w:r>
    </w:p>
    <w:p w14:paraId="25162B35" w14:textId="77777777" w:rsidR="00614E58" w:rsidRPr="009118AB" w:rsidRDefault="00614E58" w:rsidP="00614E58">
      <w:pPr>
        <w:jc w:val="both"/>
        <w:rPr>
          <w:lang w:eastAsia="fr-BE"/>
        </w:rPr>
      </w:pPr>
    </w:p>
    <w:p w14:paraId="5E844D05" w14:textId="77777777" w:rsidR="00614E58" w:rsidRPr="009118AB" w:rsidRDefault="00614E58" w:rsidP="00614E58">
      <w:pPr>
        <w:jc w:val="both"/>
        <w:rPr>
          <w:lang w:eastAsia="fr-BE"/>
        </w:rPr>
      </w:pPr>
      <w:r w:rsidRPr="009118AB">
        <w:rPr>
          <w:lang w:eastAsia="fr-BE"/>
        </w:rPr>
        <w:tab/>
        <w:t>Für die Anwendung von Absatz 1 versteht man unter:</w:t>
      </w:r>
    </w:p>
    <w:p w14:paraId="148B9E92" w14:textId="77777777" w:rsidR="00614E58" w:rsidRPr="009118AB" w:rsidRDefault="00614E58" w:rsidP="00614E58">
      <w:pPr>
        <w:jc w:val="both"/>
        <w:rPr>
          <w:lang w:eastAsia="fr-BE"/>
        </w:rPr>
      </w:pPr>
    </w:p>
    <w:p w14:paraId="4B4F1424" w14:textId="77777777" w:rsidR="00614E58" w:rsidRPr="009118AB" w:rsidRDefault="00614E58" w:rsidP="00614E58">
      <w:pPr>
        <w:jc w:val="both"/>
        <w:rPr>
          <w:lang w:eastAsia="fr-BE"/>
        </w:rPr>
      </w:pPr>
      <w:r w:rsidRPr="009118AB">
        <w:rPr>
          <w:lang w:eastAsia="fr-BE"/>
        </w:rPr>
        <w:tab/>
        <w:t>1. "Rücklagen": die Ergebnisrücklage, verringert um:</w:t>
      </w:r>
    </w:p>
    <w:p w14:paraId="33C47F66" w14:textId="77777777" w:rsidR="00614E58" w:rsidRPr="009118AB" w:rsidRDefault="00614E58" w:rsidP="00614E58">
      <w:pPr>
        <w:jc w:val="both"/>
        <w:rPr>
          <w:lang w:eastAsia="fr-BE"/>
        </w:rPr>
      </w:pPr>
    </w:p>
    <w:p w14:paraId="14582920" w14:textId="77777777" w:rsidR="00614E58" w:rsidRPr="009118AB" w:rsidRDefault="00614E58" w:rsidP="00614E58">
      <w:pPr>
        <w:jc w:val="both"/>
        <w:rPr>
          <w:lang w:eastAsia="fr-BE"/>
        </w:rPr>
      </w:pPr>
      <w:r w:rsidRPr="009118AB">
        <w:rPr>
          <w:lang w:eastAsia="fr-BE"/>
        </w:rPr>
        <w:tab/>
      </w:r>
      <w:r w:rsidRPr="009118AB">
        <w:rPr>
          <w:i/>
          <w:iCs/>
          <w:lang w:eastAsia="fr-BE"/>
        </w:rPr>
        <w:t>a)</w:t>
      </w:r>
      <w:r w:rsidRPr="009118AB">
        <w:rPr>
          <w:lang w:eastAsia="fr-BE"/>
        </w:rPr>
        <w:t> Gewinne, die aus Minderwerten hervorgehen, die der Schuldner auf Passiva gebucht hat infolge der Homologierung eines Reorganisationsplans oder der Feststellung einer gütlichen Einigung durch das Gericht aufgrund von Buch XX Titel 5 des Wirtschaftsgesetzbuches, und die das Steuerjahr betreffen, das sich auf den Besteuerungszeitraum bezieht, in dem der Reorganisationsplan oder die gütliche Einigung vollständig ausgeführt wird, insofern die in Ausführung von Artikel 48/1 festgelegten Bedingungen erfüllt sind,</w:t>
      </w:r>
    </w:p>
    <w:p w14:paraId="152E6587" w14:textId="77777777" w:rsidR="00614E58" w:rsidRPr="009118AB" w:rsidRDefault="00614E58" w:rsidP="00614E58">
      <w:pPr>
        <w:jc w:val="both"/>
        <w:rPr>
          <w:lang w:eastAsia="fr-BE"/>
        </w:rPr>
      </w:pPr>
    </w:p>
    <w:p w14:paraId="2FF9A8A9" w14:textId="0D1EA8A5" w:rsidR="00614E58" w:rsidRPr="009118AB" w:rsidRDefault="00614E58" w:rsidP="00614E58">
      <w:pPr>
        <w:jc w:val="both"/>
        <w:rPr>
          <w:lang w:eastAsia="fr-BE"/>
        </w:rPr>
      </w:pPr>
      <w:r w:rsidRPr="009118AB">
        <w:rPr>
          <w:lang w:eastAsia="fr-BE"/>
        </w:rPr>
        <w:tab/>
      </w:r>
      <w:r w:rsidRPr="009118AB">
        <w:rPr>
          <w:i/>
          <w:iCs/>
          <w:lang w:eastAsia="fr-BE"/>
        </w:rPr>
        <w:t>b)</w:t>
      </w:r>
      <w:r w:rsidRPr="009118AB">
        <w:rPr>
          <w:lang w:eastAsia="fr-BE"/>
        </w:rPr>
        <w:t xml:space="preserve"> den Anteil des Mehrwertes auf die in Artikel 65 erwähnten Fahrzeuge, in Artikel 66 </w:t>
      </w:r>
      <w:r w:rsidR="00D67EB8" w:rsidRPr="009118AB">
        <w:rPr>
          <w:lang w:eastAsia="fr-BE"/>
        </w:rPr>
        <w:t>§ </w:t>
      </w:r>
      <w:r w:rsidRPr="009118AB">
        <w:rPr>
          <w:lang w:eastAsia="fr-BE"/>
        </w:rPr>
        <w:t xml:space="preserve">2 </w:t>
      </w:r>
      <w:r w:rsidR="00D67EB8" w:rsidRPr="009118AB">
        <w:rPr>
          <w:lang w:eastAsia="fr-BE"/>
        </w:rPr>
        <w:t>Nr. </w:t>
      </w:r>
      <w:r w:rsidRPr="009118AB">
        <w:rPr>
          <w:lang w:eastAsia="fr-BE"/>
        </w:rPr>
        <w:t>1 bis 3 erwähnte Fahrzeuge ausgenommen, der aufgrund von Artikel 24 Absatz 4 nicht berücksichtigt wird,</w:t>
      </w:r>
    </w:p>
    <w:p w14:paraId="17C83337" w14:textId="77777777" w:rsidR="00614E58" w:rsidRPr="009118AB" w:rsidRDefault="00614E58" w:rsidP="00614E58">
      <w:pPr>
        <w:jc w:val="both"/>
        <w:rPr>
          <w:lang w:eastAsia="fr-BE"/>
        </w:rPr>
      </w:pPr>
    </w:p>
    <w:p w14:paraId="766173F5" w14:textId="2F4FF729" w:rsidR="00614E58" w:rsidRPr="009118AB" w:rsidRDefault="00614E58" w:rsidP="00614E58">
      <w:pPr>
        <w:jc w:val="both"/>
        <w:rPr>
          <w:lang w:eastAsia="fr-BE"/>
        </w:rPr>
      </w:pPr>
      <w:r w:rsidRPr="009118AB">
        <w:rPr>
          <w:lang w:eastAsia="fr-BE"/>
        </w:rPr>
        <w:tab/>
      </w:r>
      <w:r w:rsidRPr="009118AB">
        <w:rPr>
          <w:i/>
          <w:iCs/>
          <w:lang w:eastAsia="fr-BE"/>
        </w:rPr>
        <w:t>c)</w:t>
      </w:r>
      <w:r w:rsidRPr="009118AB">
        <w:rPr>
          <w:lang w:eastAsia="fr-BE"/>
        </w:rPr>
        <w:t xml:space="preserve"> Mehrwerte auf Aktien oder Anteile, die </w:t>
      </w:r>
      <w:r w:rsidR="006E21BE" w:rsidRPr="009118AB">
        <w:rPr>
          <w:lang w:eastAsia="fr-BE"/>
        </w:rPr>
        <w:t>[</w:t>
      </w:r>
      <w:r w:rsidRPr="009118AB">
        <w:rPr>
          <w:lang w:eastAsia="fr-BE"/>
        </w:rPr>
        <w:t>aufgrund</w:t>
      </w:r>
      <w:r w:rsidR="006E21BE" w:rsidRPr="009118AB">
        <w:rPr>
          <w:lang w:eastAsia="fr-BE"/>
        </w:rPr>
        <w:t xml:space="preserve"> von</w:t>
      </w:r>
      <w:r w:rsidRPr="009118AB">
        <w:rPr>
          <w:lang w:eastAsia="fr-BE"/>
        </w:rPr>
        <w:t xml:space="preserve"> Artikel 192</w:t>
      </w:r>
      <w:r w:rsidR="006E21BE" w:rsidRPr="009118AB">
        <w:rPr>
          <w:lang w:eastAsia="fr-BE"/>
        </w:rPr>
        <w:t>]</w:t>
      </w:r>
      <w:r w:rsidRPr="009118AB">
        <w:rPr>
          <w:lang w:eastAsia="fr-BE"/>
        </w:rPr>
        <w:t xml:space="preserve"> steuerfrei sind, und während des Besteuerungszeitraums zurückgenommene Wertminderungen auf Aktien oder Anteile, die vorher aufgrund von Artikel 198 </w:t>
      </w:r>
      <w:r w:rsidR="00D67EB8" w:rsidRPr="009118AB">
        <w:rPr>
          <w:lang w:eastAsia="fr-BE"/>
        </w:rPr>
        <w:t>§ </w:t>
      </w:r>
      <w:r w:rsidRPr="009118AB">
        <w:rPr>
          <w:lang w:eastAsia="fr-BE"/>
        </w:rPr>
        <w:t xml:space="preserve">1 </w:t>
      </w:r>
      <w:r w:rsidR="00D67EB8" w:rsidRPr="009118AB">
        <w:rPr>
          <w:lang w:eastAsia="fr-BE"/>
        </w:rPr>
        <w:t>Nr. </w:t>
      </w:r>
      <w:r w:rsidRPr="009118AB">
        <w:rPr>
          <w:lang w:eastAsia="fr-BE"/>
        </w:rPr>
        <w:t>7 als nicht zugelassene Ausgaben besteuert worden sind, in dem Maße, wie diese Wertminderungen am Ende dieses Besteuerungszeitraums nicht mehr gerechtfertigt sind,</w:t>
      </w:r>
    </w:p>
    <w:p w14:paraId="13AA79F0" w14:textId="77777777" w:rsidR="00614E58" w:rsidRPr="009118AB" w:rsidRDefault="00614E58" w:rsidP="00614E58">
      <w:pPr>
        <w:jc w:val="both"/>
        <w:rPr>
          <w:lang w:eastAsia="fr-BE"/>
        </w:rPr>
      </w:pPr>
    </w:p>
    <w:p w14:paraId="0E14B073" w14:textId="77777777" w:rsidR="00614E58" w:rsidRPr="009118AB" w:rsidRDefault="00614E58" w:rsidP="00614E58">
      <w:pPr>
        <w:jc w:val="both"/>
        <w:rPr>
          <w:lang w:eastAsia="fr-BE"/>
        </w:rPr>
      </w:pPr>
      <w:r w:rsidRPr="009118AB">
        <w:rPr>
          <w:lang w:eastAsia="fr-BE"/>
        </w:rPr>
        <w:tab/>
      </w:r>
      <w:r w:rsidRPr="009118AB">
        <w:rPr>
          <w:i/>
          <w:iCs/>
          <w:lang w:eastAsia="fr-BE"/>
        </w:rPr>
        <w:t>d)</w:t>
      </w:r>
      <w:r w:rsidRPr="009118AB">
        <w:rPr>
          <w:lang w:eastAsia="fr-BE"/>
        </w:rPr>
        <w:t> Entnahmen aus eingezahltem Kapital im Sinne von Artikel 184 mit Ausnahme der Rückzahlungen von eingezahltem Kapital, die in Ausführung einer ordnungsgemäß getroffenen Entscheidung der Gesellschaft gemäß dem Gesetzbuch der Gesellschaften und Vereinigungen oder, wenn die Gesellschaft diesem Gesetzbuch nicht unterliegt, gemäß den Bestimmungen des Rechts, dem sie unterliegt, geleistet werden,</w:t>
      </w:r>
    </w:p>
    <w:p w14:paraId="4AC1F176" w14:textId="77777777" w:rsidR="00614E58" w:rsidRPr="009118AB" w:rsidRDefault="00614E58" w:rsidP="00614E58">
      <w:pPr>
        <w:jc w:val="both"/>
        <w:rPr>
          <w:lang w:eastAsia="fr-BE"/>
        </w:rPr>
      </w:pPr>
    </w:p>
    <w:p w14:paraId="0D5912DD" w14:textId="77777777" w:rsidR="00614E58" w:rsidRPr="009118AB" w:rsidRDefault="00614E58" w:rsidP="00614E58">
      <w:pPr>
        <w:jc w:val="both"/>
        <w:rPr>
          <w:lang w:eastAsia="fr-BE"/>
        </w:rPr>
      </w:pPr>
      <w:r w:rsidRPr="009118AB">
        <w:rPr>
          <w:lang w:eastAsia="fr-BE"/>
        </w:rPr>
        <w:tab/>
      </w:r>
      <w:r w:rsidRPr="009118AB">
        <w:rPr>
          <w:i/>
          <w:iCs/>
          <w:lang w:eastAsia="fr-BE"/>
        </w:rPr>
        <w:t>e)</w:t>
      </w:r>
      <w:r w:rsidRPr="009118AB">
        <w:rPr>
          <w:lang w:eastAsia="fr-BE"/>
        </w:rPr>
        <w:t xml:space="preserve"> Gewinne aus Erstattungen von Steuern während des Besteuerungszeitraums, die vorher nicht als Werbungskosten zugelassen worden sind, und Berichtigungen veranschlagter Steuerschulden, die vorher als nicht zugelassene Ausgaben besteuert worden sind, in dem Maße, wie diese Erstattungen und Berichtigungen nicht von den nicht abzugsfähigen Steuern </w:t>
      </w:r>
      <w:r w:rsidRPr="009118AB">
        <w:rPr>
          <w:lang w:eastAsia="fr-BE"/>
        </w:rPr>
        <w:lastRenderedPageBreak/>
        <w:t>abgezogen werden können, die in den nicht zugelassenen Ausgaben des Besteuerungszeitraums enthalten sein müssen,</w:t>
      </w:r>
    </w:p>
    <w:p w14:paraId="2D355757" w14:textId="77777777" w:rsidR="00614E58" w:rsidRPr="009118AB" w:rsidRDefault="00614E58" w:rsidP="00614E58">
      <w:pPr>
        <w:jc w:val="both"/>
        <w:rPr>
          <w:lang w:eastAsia="fr-BE"/>
        </w:rPr>
      </w:pPr>
    </w:p>
    <w:p w14:paraId="72648124" w14:textId="77777777" w:rsidR="00614E58" w:rsidRPr="009118AB" w:rsidRDefault="00614E58" w:rsidP="00614E58">
      <w:pPr>
        <w:jc w:val="both"/>
        <w:rPr>
          <w:lang w:eastAsia="fr-BE"/>
        </w:rPr>
      </w:pPr>
      <w:r w:rsidRPr="009118AB">
        <w:rPr>
          <w:lang w:eastAsia="fr-BE"/>
        </w:rPr>
        <w:tab/>
      </w:r>
      <w:r w:rsidRPr="009118AB">
        <w:rPr>
          <w:i/>
          <w:iCs/>
          <w:lang w:eastAsia="fr-BE"/>
        </w:rPr>
        <w:t>f)</w:t>
      </w:r>
      <w:r w:rsidRPr="009118AB">
        <w:rPr>
          <w:lang w:eastAsia="fr-BE"/>
        </w:rPr>
        <w:t> Summen, die aufgrund der Artikel 194</w:t>
      </w:r>
      <w:r w:rsidRPr="009118AB">
        <w:rPr>
          <w:i/>
          <w:iCs/>
          <w:lang w:eastAsia="fr-BE"/>
        </w:rPr>
        <w:t>ter</w:t>
      </w:r>
      <w:r w:rsidRPr="009118AB">
        <w:rPr>
          <w:lang w:eastAsia="fr-BE"/>
        </w:rPr>
        <w:t>, 194</w:t>
      </w:r>
      <w:r w:rsidRPr="009118AB">
        <w:rPr>
          <w:i/>
          <w:iCs/>
          <w:lang w:eastAsia="fr-BE"/>
        </w:rPr>
        <w:t>ter</w:t>
      </w:r>
      <w:r w:rsidRPr="009118AB">
        <w:rPr>
          <w:lang w:eastAsia="fr-BE"/>
        </w:rPr>
        <w:t>/1 und 194</w:t>
      </w:r>
      <w:r w:rsidRPr="009118AB">
        <w:rPr>
          <w:i/>
          <w:iCs/>
          <w:lang w:eastAsia="fr-BE"/>
        </w:rPr>
        <w:t>ter</w:t>
      </w:r>
      <w:r w:rsidRPr="009118AB">
        <w:rPr>
          <w:lang w:eastAsia="fr-BE"/>
        </w:rPr>
        <w:t>/3 definitiv steuerfrei sind,</w:t>
      </w:r>
    </w:p>
    <w:p w14:paraId="14BB286F" w14:textId="77777777" w:rsidR="00614E58" w:rsidRPr="009118AB" w:rsidRDefault="00614E58" w:rsidP="00614E58">
      <w:pPr>
        <w:jc w:val="both"/>
        <w:rPr>
          <w:lang w:eastAsia="fr-BE"/>
        </w:rPr>
      </w:pPr>
    </w:p>
    <w:p w14:paraId="6B0AE298" w14:textId="1985FCC6" w:rsidR="00614E58" w:rsidRPr="009118AB" w:rsidRDefault="00614E58" w:rsidP="00614E58">
      <w:pPr>
        <w:jc w:val="both"/>
        <w:rPr>
          <w:lang w:eastAsia="fr-BE"/>
        </w:rPr>
      </w:pPr>
      <w:r w:rsidRPr="009118AB">
        <w:rPr>
          <w:lang w:eastAsia="fr-BE"/>
        </w:rPr>
        <w:tab/>
      </w:r>
      <w:r w:rsidRPr="009118AB">
        <w:rPr>
          <w:i/>
          <w:iCs/>
          <w:lang w:eastAsia="fr-BE"/>
        </w:rPr>
        <w:t>g)</w:t>
      </w:r>
      <w:r w:rsidRPr="009118AB">
        <w:rPr>
          <w:lang w:eastAsia="fr-BE"/>
        </w:rPr>
        <w:t> Summen, die aufgrund der Artikel 193</w:t>
      </w:r>
      <w:r w:rsidRPr="009118AB">
        <w:rPr>
          <w:i/>
          <w:iCs/>
          <w:lang w:eastAsia="fr-BE"/>
        </w:rPr>
        <w:t>bis</w:t>
      </w:r>
      <w:r w:rsidRPr="009118AB">
        <w:rPr>
          <w:lang w:eastAsia="fr-BE"/>
        </w:rPr>
        <w:t xml:space="preserve"> </w:t>
      </w:r>
      <w:r w:rsidR="00D67EB8" w:rsidRPr="009118AB">
        <w:rPr>
          <w:lang w:eastAsia="fr-BE"/>
        </w:rPr>
        <w:t>§ </w:t>
      </w:r>
      <w:r w:rsidRPr="009118AB">
        <w:rPr>
          <w:lang w:eastAsia="fr-BE"/>
        </w:rPr>
        <w:t>1 und 193</w:t>
      </w:r>
      <w:r w:rsidRPr="009118AB">
        <w:rPr>
          <w:i/>
          <w:iCs/>
          <w:lang w:eastAsia="fr-BE"/>
        </w:rPr>
        <w:t>ter</w:t>
      </w:r>
      <w:r w:rsidRPr="009118AB">
        <w:rPr>
          <w:lang w:eastAsia="fr-BE"/>
        </w:rPr>
        <w:t xml:space="preserve"> </w:t>
      </w:r>
      <w:r w:rsidR="00D67EB8" w:rsidRPr="009118AB">
        <w:rPr>
          <w:lang w:eastAsia="fr-BE"/>
        </w:rPr>
        <w:t>§ </w:t>
      </w:r>
      <w:r w:rsidRPr="009118AB">
        <w:rPr>
          <w:lang w:eastAsia="fr-BE"/>
        </w:rPr>
        <w:t>1 steuerfrei sind,</w:t>
      </w:r>
    </w:p>
    <w:p w14:paraId="1BA3CADF" w14:textId="77777777" w:rsidR="00614E58" w:rsidRPr="009118AB" w:rsidRDefault="00614E58" w:rsidP="00614E58">
      <w:pPr>
        <w:jc w:val="both"/>
        <w:rPr>
          <w:lang w:eastAsia="fr-BE"/>
        </w:rPr>
      </w:pPr>
    </w:p>
    <w:p w14:paraId="75AA84FB" w14:textId="62B20E37" w:rsidR="00614E58" w:rsidRPr="009118AB" w:rsidRDefault="00614E58" w:rsidP="00614E58">
      <w:pPr>
        <w:jc w:val="both"/>
        <w:rPr>
          <w:lang w:eastAsia="fr-BE"/>
        </w:rPr>
      </w:pPr>
      <w:r w:rsidRPr="009118AB">
        <w:rPr>
          <w:lang w:eastAsia="fr-BE"/>
        </w:rPr>
        <w:tab/>
      </w:r>
      <w:r w:rsidRPr="009118AB">
        <w:rPr>
          <w:i/>
          <w:iCs/>
          <w:lang w:eastAsia="fr-BE"/>
        </w:rPr>
        <w:t>h)</w:t>
      </w:r>
      <w:r w:rsidRPr="009118AB">
        <w:rPr>
          <w:lang w:eastAsia="fr-BE"/>
        </w:rPr>
        <w:t xml:space="preserve"> den Betrag, der in die Gewinne einbezogen ist, die für eine übertragende Gesellschaft anlässlich der gemäß Artikel 46 </w:t>
      </w:r>
      <w:r w:rsidR="00D67EB8" w:rsidRPr="009118AB">
        <w:rPr>
          <w:lang w:eastAsia="fr-BE"/>
        </w:rPr>
        <w:t>§ </w:t>
      </w:r>
      <w:r w:rsidRPr="009118AB">
        <w:rPr>
          <w:lang w:eastAsia="fr-BE"/>
        </w:rPr>
        <w:t xml:space="preserve">1 Absatz 1 </w:t>
      </w:r>
      <w:r w:rsidR="00D67EB8" w:rsidRPr="009118AB">
        <w:rPr>
          <w:lang w:eastAsia="fr-BE"/>
        </w:rPr>
        <w:t>Nr. </w:t>
      </w:r>
      <w:r w:rsidRPr="009118AB">
        <w:rPr>
          <w:lang w:eastAsia="fr-BE"/>
        </w:rPr>
        <w:t xml:space="preserve">2 getätigten Einbringung eines oder mehrerer Teilbetriebe beziehungsweise eines oder mehrerer Teile einer Tätigkeit oder eines Gesamtvermögens steuerfrei sind, der unter den Bedingungen von Artikel 192 </w:t>
      </w:r>
      <w:r w:rsidR="00D67EB8" w:rsidRPr="009118AB">
        <w:rPr>
          <w:lang w:eastAsia="fr-BE"/>
        </w:rPr>
        <w:t>§ </w:t>
      </w:r>
      <w:r w:rsidRPr="009118AB">
        <w:rPr>
          <w:lang w:eastAsia="fr-BE"/>
        </w:rPr>
        <w:t>2 steuerfrei ist und der seinen Ursprung in einer in Artikel 47 erwähnten Wiederanlage oder einem in Artikel 362 erwähnten Kapitalzuschuss hat, die beziehungsweise der Teil dieser Einbringung ist,</w:t>
      </w:r>
    </w:p>
    <w:p w14:paraId="29BC8553" w14:textId="77777777" w:rsidR="00614E58" w:rsidRPr="009118AB" w:rsidRDefault="00614E58" w:rsidP="00614E58">
      <w:pPr>
        <w:jc w:val="both"/>
        <w:rPr>
          <w:lang w:eastAsia="fr-BE"/>
        </w:rPr>
      </w:pPr>
    </w:p>
    <w:p w14:paraId="4053899C" w14:textId="7A9E7DB6" w:rsidR="00614E58" w:rsidRPr="009118AB" w:rsidRDefault="00614E58" w:rsidP="00614E58">
      <w:pPr>
        <w:jc w:val="both"/>
        <w:rPr>
          <w:lang w:eastAsia="fr-BE"/>
        </w:rPr>
      </w:pPr>
      <w:r w:rsidRPr="009118AB">
        <w:rPr>
          <w:lang w:eastAsia="fr-BE"/>
        </w:rPr>
        <w:tab/>
      </w:r>
      <w:r w:rsidRPr="009118AB">
        <w:rPr>
          <w:i/>
          <w:iCs/>
          <w:lang w:eastAsia="fr-BE"/>
        </w:rPr>
        <w:t>i)</w:t>
      </w:r>
      <w:r w:rsidRPr="009118AB">
        <w:rPr>
          <w:lang w:eastAsia="fr-BE"/>
        </w:rPr>
        <w:t> Summen, die aufgrund von Artikel 194</w:t>
      </w:r>
      <w:r w:rsidRPr="009118AB">
        <w:rPr>
          <w:i/>
          <w:lang w:eastAsia="fr-BE"/>
        </w:rPr>
        <w:t>quinquies</w:t>
      </w:r>
      <w:r w:rsidRPr="009118AB">
        <w:rPr>
          <w:lang w:eastAsia="fr-BE"/>
        </w:rPr>
        <w:t xml:space="preserve"> </w:t>
      </w:r>
      <w:r w:rsidR="00D67EB8" w:rsidRPr="009118AB">
        <w:rPr>
          <w:lang w:eastAsia="fr-BE"/>
        </w:rPr>
        <w:t>§ </w:t>
      </w:r>
      <w:r w:rsidRPr="009118AB">
        <w:rPr>
          <w:lang w:eastAsia="fr-BE"/>
        </w:rPr>
        <w:t>2 definitiv steuerfrei sind,</w:t>
      </w:r>
    </w:p>
    <w:p w14:paraId="5FD2F1F2" w14:textId="77777777" w:rsidR="00614E58" w:rsidRPr="009118AB" w:rsidRDefault="00614E58" w:rsidP="00614E58">
      <w:pPr>
        <w:jc w:val="both"/>
        <w:rPr>
          <w:lang w:eastAsia="fr-BE"/>
        </w:rPr>
      </w:pPr>
    </w:p>
    <w:p w14:paraId="3A98CDAC" w14:textId="77777777" w:rsidR="00614E58" w:rsidRPr="009118AB" w:rsidRDefault="00614E58" w:rsidP="00614E58">
      <w:pPr>
        <w:jc w:val="both"/>
        <w:rPr>
          <w:lang w:eastAsia="fr-BE"/>
        </w:rPr>
      </w:pPr>
      <w:r w:rsidRPr="009118AB">
        <w:rPr>
          <w:lang w:eastAsia="fr-BE"/>
        </w:rPr>
        <w:tab/>
      </w:r>
      <w:r w:rsidRPr="009118AB">
        <w:rPr>
          <w:i/>
          <w:iCs/>
          <w:lang w:eastAsia="fr-BE"/>
        </w:rPr>
        <w:t>j)</w:t>
      </w:r>
      <w:r w:rsidRPr="009118AB">
        <w:rPr>
          <w:lang w:eastAsia="fr-BE"/>
        </w:rPr>
        <w:t> Gewinne in Höhe des Gesamtbetrags der überschüssigen Fremdkapitalkosten, die aufgrund der Artikel 194</w:t>
      </w:r>
      <w:r w:rsidRPr="009118AB">
        <w:rPr>
          <w:i/>
          <w:lang w:eastAsia="fr-BE"/>
        </w:rPr>
        <w:t>sexies</w:t>
      </w:r>
      <w:r w:rsidRPr="009118AB">
        <w:rPr>
          <w:lang w:eastAsia="fr-BE"/>
        </w:rPr>
        <w:t xml:space="preserve"> und 194</w:t>
      </w:r>
      <w:r w:rsidRPr="009118AB">
        <w:rPr>
          <w:i/>
          <w:lang w:eastAsia="fr-BE"/>
        </w:rPr>
        <w:t>septies</w:t>
      </w:r>
      <w:r w:rsidRPr="009118AB">
        <w:rPr>
          <w:lang w:eastAsia="fr-BE"/>
        </w:rPr>
        <w:t xml:space="preserve"> zweiter Gedankenstrich steuerfrei sind,</w:t>
      </w:r>
    </w:p>
    <w:p w14:paraId="13170386" w14:textId="77777777" w:rsidR="00614E58" w:rsidRPr="009118AB" w:rsidRDefault="00614E58" w:rsidP="00614E58">
      <w:pPr>
        <w:jc w:val="both"/>
        <w:rPr>
          <w:lang w:eastAsia="fr-BE"/>
        </w:rPr>
      </w:pPr>
    </w:p>
    <w:p w14:paraId="74EEDC75" w14:textId="77777777" w:rsidR="00614E58" w:rsidRPr="009118AB" w:rsidRDefault="00614E58" w:rsidP="00614E58">
      <w:pPr>
        <w:jc w:val="both"/>
        <w:rPr>
          <w:lang w:eastAsia="fr-BE"/>
        </w:rPr>
      </w:pPr>
      <w:r w:rsidRPr="009118AB">
        <w:rPr>
          <w:lang w:eastAsia="fr-BE"/>
        </w:rPr>
        <w:tab/>
      </w:r>
      <w:r w:rsidRPr="009118AB">
        <w:rPr>
          <w:i/>
          <w:iCs/>
          <w:lang w:eastAsia="fr-BE"/>
        </w:rPr>
        <w:t>k)</w:t>
      </w:r>
      <w:r w:rsidRPr="009118AB">
        <w:rPr>
          <w:lang w:eastAsia="fr-BE"/>
        </w:rPr>
        <w:t> Gewinne in Höhe der in Ausführung eines Konzernbeitragsvertrags bezogenen Vergütung, die in Anwendung von Artikel 194</w:t>
      </w:r>
      <w:r w:rsidRPr="009118AB">
        <w:rPr>
          <w:i/>
          <w:lang w:eastAsia="fr-BE"/>
        </w:rPr>
        <w:t>septies</w:t>
      </w:r>
      <w:r w:rsidRPr="009118AB">
        <w:rPr>
          <w:lang w:eastAsia="fr-BE"/>
        </w:rPr>
        <w:t xml:space="preserve"> erster Gedankenstrich steuerfrei sind,</w:t>
      </w:r>
    </w:p>
    <w:p w14:paraId="0A8C57DD" w14:textId="77777777" w:rsidR="00614E58" w:rsidRPr="009118AB" w:rsidRDefault="00614E58" w:rsidP="00614E58">
      <w:pPr>
        <w:jc w:val="both"/>
        <w:rPr>
          <w:lang w:eastAsia="fr-BE"/>
        </w:rPr>
      </w:pPr>
    </w:p>
    <w:p w14:paraId="4513675E" w14:textId="7F226B2B" w:rsidR="00614E58" w:rsidRPr="009118AB" w:rsidRDefault="00614E58" w:rsidP="00614E58">
      <w:pPr>
        <w:jc w:val="both"/>
        <w:rPr>
          <w:lang w:eastAsia="fr-BE"/>
        </w:rPr>
      </w:pPr>
      <w:r w:rsidRPr="009118AB">
        <w:rPr>
          <w:lang w:eastAsia="fr-BE"/>
        </w:rPr>
        <w:tab/>
      </w:r>
      <w:r w:rsidRPr="009118AB">
        <w:rPr>
          <w:i/>
          <w:iCs/>
          <w:lang w:eastAsia="fr-BE"/>
        </w:rPr>
        <w:t>l)</w:t>
      </w:r>
      <w:r w:rsidRPr="009118AB">
        <w:rPr>
          <w:lang w:eastAsia="fr-BE"/>
        </w:rPr>
        <w:t> Gewinne aus der Erstattung eines Teils der Steuergutschrift für Forschung und Entwicklung im Besteuerungszeitraum gemäß Artikel 292</w:t>
      </w:r>
      <w:r w:rsidRPr="009118AB">
        <w:rPr>
          <w:i/>
          <w:lang w:eastAsia="fr-BE"/>
        </w:rPr>
        <w:t>bis</w:t>
      </w:r>
      <w:r w:rsidRPr="009118AB">
        <w:rPr>
          <w:lang w:eastAsia="fr-BE"/>
        </w:rPr>
        <w:t xml:space="preserve"> </w:t>
      </w:r>
      <w:r w:rsidR="00D67EB8" w:rsidRPr="009118AB">
        <w:rPr>
          <w:lang w:eastAsia="fr-BE"/>
        </w:rPr>
        <w:t>§ </w:t>
      </w:r>
      <w:r w:rsidRPr="009118AB">
        <w:rPr>
          <w:lang w:eastAsia="fr-BE"/>
        </w:rPr>
        <w:t>1 Absatz 5,</w:t>
      </w:r>
    </w:p>
    <w:p w14:paraId="14714FD3" w14:textId="77777777" w:rsidR="00614E58" w:rsidRPr="009118AB" w:rsidRDefault="00614E58" w:rsidP="00614E58">
      <w:pPr>
        <w:jc w:val="both"/>
        <w:rPr>
          <w:lang w:eastAsia="fr-BE"/>
        </w:rPr>
      </w:pPr>
    </w:p>
    <w:p w14:paraId="5A1020DA" w14:textId="18B98AF3" w:rsidR="00614E58" w:rsidRPr="009118AB" w:rsidRDefault="00614E58" w:rsidP="00614E58">
      <w:pPr>
        <w:jc w:val="both"/>
        <w:rPr>
          <w:lang w:eastAsia="fr-BE"/>
        </w:rPr>
      </w:pPr>
      <w:r w:rsidRPr="009118AB">
        <w:rPr>
          <w:lang w:eastAsia="fr-BE"/>
        </w:rPr>
        <w:tab/>
      </w:r>
      <w:r w:rsidRPr="009118AB">
        <w:rPr>
          <w:i/>
          <w:iCs/>
          <w:lang w:eastAsia="fr-BE"/>
        </w:rPr>
        <w:t>m)</w:t>
      </w:r>
      <w:r w:rsidRPr="009118AB">
        <w:rPr>
          <w:lang w:eastAsia="fr-BE"/>
        </w:rPr>
        <w:t> </w:t>
      </w:r>
      <w:r w:rsidR="006E21BE" w:rsidRPr="009118AB">
        <w:rPr>
          <w:lang w:eastAsia="fr-BE"/>
        </w:rPr>
        <w:t>[...]</w:t>
      </w:r>
    </w:p>
    <w:p w14:paraId="37C924CF" w14:textId="77777777" w:rsidR="00614E58" w:rsidRPr="009118AB" w:rsidRDefault="00614E58" w:rsidP="00614E58">
      <w:pPr>
        <w:jc w:val="both"/>
        <w:rPr>
          <w:lang w:eastAsia="fr-BE"/>
        </w:rPr>
      </w:pPr>
    </w:p>
    <w:p w14:paraId="3A95FC54" w14:textId="77777777" w:rsidR="00614E58" w:rsidRPr="009118AB" w:rsidRDefault="00614E58" w:rsidP="00614E58">
      <w:pPr>
        <w:jc w:val="both"/>
        <w:rPr>
          <w:lang w:eastAsia="fr-BE"/>
        </w:rPr>
      </w:pPr>
      <w:r w:rsidRPr="009118AB">
        <w:rPr>
          <w:lang w:eastAsia="fr-BE"/>
        </w:rPr>
        <w:tab/>
      </w:r>
      <w:r w:rsidRPr="009118AB">
        <w:rPr>
          <w:i/>
          <w:iCs/>
          <w:lang w:eastAsia="fr-BE"/>
        </w:rPr>
        <w:t>n)</w:t>
      </w:r>
      <w:r w:rsidRPr="009118AB">
        <w:rPr>
          <w:lang w:eastAsia="fr-BE"/>
        </w:rPr>
        <w:t> definitiv steuerfreie Summen für die Rücknahme von Wertminderungen gemäß Artikel 184</w:t>
      </w:r>
      <w:r w:rsidRPr="009118AB">
        <w:rPr>
          <w:i/>
          <w:lang w:eastAsia="fr-BE"/>
        </w:rPr>
        <w:t>quinquies</w:t>
      </w:r>
      <w:r w:rsidRPr="009118AB">
        <w:rPr>
          <w:lang w:eastAsia="fr-BE"/>
        </w:rPr>
        <w:t xml:space="preserve"> Absatz 2,</w:t>
      </w:r>
    </w:p>
    <w:p w14:paraId="26FE0845" w14:textId="77777777" w:rsidR="00614E58" w:rsidRPr="009118AB" w:rsidRDefault="00614E58" w:rsidP="00614E58">
      <w:pPr>
        <w:jc w:val="both"/>
        <w:rPr>
          <w:lang w:eastAsia="fr-BE"/>
        </w:rPr>
      </w:pPr>
    </w:p>
    <w:p w14:paraId="7A900C2A" w14:textId="0521618A" w:rsidR="00614E58" w:rsidRPr="009118AB" w:rsidRDefault="00614E58" w:rsidP="00614E58">
      <w:pPr>
        <w:jc w:val="both"/>
        <w:rPr>
          <w:lang w:eastAsia="fr-BE"/>
        </w:rPr>
      </w:pPr>
      <w:r w:rsidRPr="009118AB">
        <w:rPr>
          <w:lang w:eastAsia="fr-BE"/>
        </w:rPr>
        <w:tab/>
      </w:r>
      <w:r w:rsidRPr="009118AB">
        <w:rPr>
          <w:i/>
          <w:iCs/>
          <w:lang w:eastAsia="fr-BE"/>
        </w:rPr>
        <w:t>o)</w:t>
      </w:r>
      <w:r w:rsidRPr="009118AB">
        <w:rPr>
          <w:lang w:eastAsia="fr-BE"/>
        </w:rPr>
        <w:t> </w:t>
      </w:r>
      <w:r w:rsidR="006E21BE" w:rsidRPr="009118AB">
        <w:rPr>
          <w:lang w:eastAsia="fr-BE"/>
        </w:rPr>
        <w:t>[.</w:t>
      </w:r>
      <w:r w:rsidR="00681121" w:rsidRPr="009118AB">
        <w:rPr>
          <w:lang w:eastAsia="fr-BE"/>
        </w:rPr>
        <w:t>..</w:t>
      </w:r>
      <w:r w:rsidR="006E21BE" w:rsidRPr="009118AB">
        <w:rPr>
          <w:lang w:eastAsia="fr-BE"/>
        </w:rPr>
        <w:t>]</w:t>
      </w:r>
    </w:p>
    <w:p w14:paraId="032FA3F1" w14:textId="77777777" w:rsidR="00614E58" w:rsidRPr="009118AB" w:rsidRDefault="00614E58" w:rsidP="00614E58">
      <w:pPr>
        <w:jc w:val="both"/>
        <w:rPr>
          <w:lang w:eastAsia="fr-BE"/>
        </w:rPr>
      </w:pPr>
    </w:p>
    <w:p w14:paraId="55B1119E" w14:textId="6632475D" w:rsidR="00614E58" w:rsidRPr="009118AB" w:rsidRDefault="00614E58" w:rsidP="00614E58">
      <w:pPr>
        <w:jc w:val="both"/>
        <w:rPr>
          <w:lang w:eastAsia="fr-BE"/>
        </w:rPr>
      </w:pPr>
      <w:r w:rsidRPr="009118AB">
        <w:rPr>
          <w:lang w:eastAsia="fr-BE"/>
        </w:rPr>
        <w:tab/>
      </w:r>
      <w:r w:rsidRPr="009118AB">
        <w:rPr>
          <w:i/>
          <w:iCs/>
          <w:lang w:eastAsia="fr-BE"/>
        </w:rPr>
        <w:t>p)</w:t>
      </w:r>
      <w:r w:rsidRPr="009118AB">
        <w:rPr>
          <w:lang w:eastAsia="fr-BE"/>
        </w:rPr>
        <w:t xml:space="preserve"> Gewinne, die in Anwendung von Artikel 185 </w:t>
      </w:r>
      <w:r w:rsidR="00D67EB8" w:rsidRPr="009118AB">
        <w:rPr>
          <w:lang w:eastAsia="fr-BE"/>
        </w:rPr>
        <w:t>§ </w:t>
      </w:r>
      <w:r w:rsidRPr="009118AB">
        <w:rPr>
          <w:lang w:eastAsia="fr-BE"/>
        </w:rPr>
        <w:t>2 Buchstabe </w:t>
      </w:r>
      <w:r w:rsidRPr="009118AB">
        <w:rPr>
          <w:i/>
          <w:lang w:eastAsia="fr-BE"/>
        </w:rPr>
        <w:t>b)</w:t>
      </w:r>
      <w:r w:rsidRPr="009118AB">
        <w:rPr>
          <w:lang w:eastAsia="fr-BE"/>
        </w:rPr>
        <w:t xml:space="preserve"> angepasst werden,</w:t>
      </w:r>
    </w:p>
    <w:p w14:paraId="04FDB5AB" w14:textId="77777777" w:rsidR="00614E58" w:rsidRPr="009118AB" w:rsidRDefault="00614E58" w:rsidP="00614E58">
      <w:pPr>
        <w:jc w:val="both"/>
        <w:rPr>
          <w:lang w:eastAsia="fr-BE"/>
        </w:rPr>
      </w:pPr>
    </w:p>
    <w:p w14:paraId="142F0E61" w14:textId="77777777" w:rsidR="00614E58" w:rsidRPr="009118AB" w:rsidRDefault="00614E58" w:rsidP="00614E58">
      <w:pPr>
        <w:jc w:val="both"/>
        <w:rPr>
          <w:lang w:eastAsia="fr-BE"/>
        </w:rPr>
      </w:pPr>
      <w:r w:rsidRPr="009118AB">
        <w:rPr>
          <w:lang w:eastAsia="fr-BE"/>
        </w:rPr>
        <w:tab/>
      </w:r>
      <w:r w:rsidRPr="009118AB">
        <w:rPr>
          <w:i/>
          <w:iCs/>
          <w:lang w:eastAsia="fr-BE"/>
        </w:rPr>
        <w:t>q)</w:t>
      </w:r>
      <w:r w:rsidRPr="009118AB">
        <w:rPr>
          <w:lang w:eastAsia="fr-BE"/>
        </w:rPr>
        <w:t> andere durch Gesetz befreite Gewinne, in Artikel 206/5 erwähnte Gewinne ausgenommen,</w:t>
      </w:r>
    </w:p>
    <w:p w14:paraId="6C476DFC" w14:textId="77777777" w:rsidR="00614E58" w:rsidRPr="009118AB" w:rsidRDefault="00614E58" w:rsidP="00614E58">
      <w:pPr>
        <w:jc w:val="both"/>
        <w:rPr>
          <w:lang w:eastAsia="fr-BE"/>
        </w:rPr>
      </w:pPr>
    </w:p>
    <w:p w14:paraId="0B535915" w14:textId="77777777" w:rsidR="00614E58" w:rsidRPr="009118AB" w:rsidRDefault="00614E58" w:rsidP="00614E58">
      <w:pPr>
        <w:jc w:val="both"/>
        <w:rPr>
          <w:lang w:eastAsia="fr-BE"/>
        </w:rPr>
      </w:pPr>
      <w:r w:rsidRPr="009118AB">
        <w:rPr>
          <w:lang w:eastAsia="fr-BE"/>
        </w:rPr>
        <w:tab/>
        <w:t>und erhöht um die Beträge, die von der Anfangssituation der Rücklagen abgezogen worden sind,</w:t>
      </w:r>
    </w:p>
    <w:p w14:paraId="178D29E9" w14:textId="77777777" w:rsidR="00614E58" w:rsidRPr="009118AB" w:rsidRDefault="00614E58" w:rsidP="00614E58">
      <w:pPr>
        <w:jc w:val="both"/>
        <w:rPr>
          <w:lang w:eastAsia="fr-BE"/>
        </w:rPr>
      </w:pPr>
    </w:p>
    <w:p w14:paraId="1D8D9ABA" w14:textId="77777777" w:rsidR="00614E58" w:rsidRPr="009118AB" w:rsidRDefault="00614E58" w:rsidP="00614E58">
      <w:pPr>
        <w:jc w:val="both"/>
        <w:rPr>
          <w:lang w:eastAsia="fr-BE"/>
        </w:rPr>
      </w:pPr>
      <w:r w:rsidRPr="009118AB">
        <w:rPr>
          <w:lang w:eastAsia="fr-BE"/>
        </w:rPr>
        <w:tab/>
        <w:t>2. "nicht zugelassenen Ausgaben und anderen Bestandteilen des Ergebnisses":</w:t>
      </w:r>
    </w:p>
    <w:p w14:paraId="5C758532" w14:textId="77777777" w:rsidR="00614E58" w:rsidRPr="009118AB" w:rsidRDefault="00614E58" w:rsidP="00614E58">
      <w:pPr>
        <w:jc w:val="both"/>
        <w:rPr>
          <w:lang w:eastAsia="fr-BE"/>
        </w:rPr>
      </w:pPr>
    </w:p>
    <w:p w14:paraId="2383AEC6" w14:textId="77777777" w:rsidR="00614E58" w:rsidRPr="009118AB" w:rsidRDefault="00614E58" w:rsidP="00614E58">
      <w:pPr>
        <w:jc w:val="both"/>
        <w:rPr>
          <w:lang w:eastAsia="fr-BE"/>
        </w:rPr>
      </w:pPr>
      <w:r w:rsidRPr="009118AB">
        <w:rPr>
          <w:lang w:eastAsia="fr-BE"/>
        </w:rPr>
        <w:tab/>
        <w:t>- Beträge, die nicht als Werbungskosten abzugsfähig sind,</w:t>
      </w:r>
    </w:p>
    <w:p w14:paraId="0DD4B315" w14:textId="77777777" w:rsidR="00614E58" w:rsidRPr="009118AB" w:rsidRDefault="00614E58" w:rsidP="00614E58">
      <w:pPr>
        <w:jc w:val="both"/>
        <w:rPr>
          <w:lang w:eastAsia="fr-BE"/>
        </w:rPr>
      </w:pPr>
    </w:p>
    <w:p w14:paraId="33E6D53E" w14:textId="7AEEA548" w:rsidR="00614E58" w:rsidRPr="009118AB" w:rsidRDefault="00614E58" w:rsidP="00614E58">
      <w:pPr>
        <w:jc w:val="both"/>
        <w:rPr>
          <w:lang w:eastAsia="fr-BE"/>
        </w:rPr>
      </w:pPr>
      <w:r w:rsidRPr="009118AB">
        <w:rPr>
          <w:lang w:eastAsia="fr-BE"/>
        </w:rPr>
        <w:tab/>
        <w:t>- Betrag</w:t>
      </w:r>
      <w:r w:rsidR="00D67EB8" w:rsidRPr="009118AB">
        <w:rPr>
          <w:lang w:eastAsia="fr-BE"/>
        </w:rPr>
        <w:t> - </w:t>
      </w:r>
      <w:r w:rsidRPr="009118AB">
        <w:rPr>
          <w:lang w:eastAsia="fr-BE"/>
        </w:rPr>
        <w:t>vor Abzug des steuerfreien Teils</w:t>
      </w:r>
      <w:r w:rsidR="00D67EB8" w:rsidRPr="009118AB">
        <w:rPr>
          <w:lang w:eastAsia="fr-BE"/>
        </w:rPr>
        <w:t> - </w:t>
      </w:r>
      <w:r w:rsidRPr="009118AB">
        <w:rPr>
          <w:lang w:eastAsia="fr-BE"/>
        </w:rPr>
        <w:t>der unentgeltlichen Zuwendungen wie in Artikel 145</w:t>
      </w:r>
      <w:r w:rsidRPr="009118AB">
        <w:rPr>
          <w:vertAlign w:val="superscript"/>
          <w:lang w:eastAsia="fr-BE"/>
        </w:rPr>
        <w:t>33</w:t>
      </w:r>
      <w:r w:rsidRPr="009118AB">
        <w:rPr>
          <w:lang w:eastAsia="fr-BE"/>
        </w:rPr>
        <w:t xml:space="preserve"> </w:t>
      </w:r>
      <w:r w:rsidR="00D67EB8" w:rsidRPr="009118AB">
        <w:rPr>
          <w:lang w:eastAsia="fr-BE"/>
        </w:rPr>
        <w:t>§ </w:t>
      </w:r>
      <w:r w:rsidRPr="009118AB">
        <w:rPr>
          <w:lang w:eastAsia="fr-BE"/>
        </w:rPr>
        <w:t xml:space="preserve">1 Absatz 1 </w:t>
      </w:r>
      <w:r w:rsidR="00D67EB8" w:rsidRPr="009118AB">
        <w:rPr>
          <w:lang w:eastAsia="fr-BE"/>
        </w:rPr>
        <w:t>Nr. </w:t>
      </w:r>
      <w:r w:rsidRPr="009118AB">
        <w:rPr>
          <w:lang w:eastAsia="fr-BE"/>
        </w:rPr>
        <w:t>1 bis 4 Buchstabe </w:t>
      </w:r>
      <w:r w:rsidRPr="009118AB">
        <w:rPr>
          <w:i/>
          <w:iCs/>
          <w:lang w:eastAsia="fr-BE"/>
        </w:rPr>
        <w:t>a)</w:t>
      </w:r>
      <w:r w:rsidRPr="009118AB">
        <w:rPr>
          <w:lang w:eastAsia="fr-BE"/>
        </w:rPr>
        <w:t xml:space="preserve"> erwähnt,</w:t>
      </w:r>
    </w:p>
    <w:p w14:paraId="398F703C" w14:textId="77777777" w:rsidR="00614E58" w:rsidRPr="009118AB" w:rsidRDefault="00614E58" w:rsidP="00614E58">
      <w:pPr>
        <w:jc w:val="both"/>
        <w:rPr>
          <w:lang w:eastAsia="fr-BE"/>
        </w:rPr>
      </w:pPr>
    </w:p>
    <w:p w14:paraId="4ED176ED" w14:textId="77777777" w:rsidR="00614E58" w:rsidRPr="009118AB" w:rsidRDefault="00614E58" w:rsidP="00614E58">
      <w:pPr>
        <w:jc w:val="both"/>
        <w:rPr>
          <w:lang w:eastAsia="fr-BE"/>
        </w:rPr>
      </w:pPr>
      <w:r w:rsidRPr="009118AB">
        <w:rPr>
          <w:lang w:eastAsia="fr-BE"/>
        </w:rPr>
        <w:lastRenderedPageBreak/>
        <w:tab/>
        <w:t>- vorher steuerfreie Gewinne, die während des Besteuerungszeitraums steuerpflichtig werden, in dem Maße, wie sie nicht in der Ergebnisrücklage enthalten sind,</w:t>
      </w:r>
    </w:p>
    <w:p w14:paraId="54CC46BA" w14:textId="77777777" w:rsidR="00614E58" w:rsidRPr="009118AB" w:rsidRDefault="00614E58" w:rsidP="00614E58">
      <w:pPr>
        <w:jc w:val="both"/>
        <w:rPr>
          <w:lang w:eastAsia="fr-BE"/>
        </w:rPr>
      </w:pPr>
    </w:p>
    <w:p w14:paraId="3BC2253D" w14:textId="77777777" w:rsidR="00614E58" w:rsidRPr="009118AB" w:rsidRDefault="00614E58" w:rsidP="00614E58">
      <w:pPr>
        <w:jc w:val="both"/>
        <w:rPr>
          <w:lang w:eastAsia="fr-BE"/>
        </w:rPr>
      </w:pPr>
      <w:r w:rsidRPr="009118AB">
        <w:rPr>
          <w:lang w:eastAsia="fr-BE"/>
        </w:rPr>
        <w:tab/>
        <w:t>- andere durch Gesetz festgelegte steuerpflichtige Bestandteile, die keiner anderen Kategorie angehören,</w:t>
      </w:r>
    </w:p>
    <w:p w14:paraId="221B5C92" w14:textId="77777777" w:rsidR="00614E58" w:rsidRPr="009118AB" w:rsidRDefault="00614E58" w:rsidP="00614E58">
      <w:pPr>
        <w:jc w:val="both"/>
        <w:rPr>
          <w:lang w:eastAsia="fr-BE"/>
        </w:rPr>
      </w:pPr>
    </w:p>
    <w:p w14:paraId="7F2A4F4B" w14:textId="0AB2BC0F" w:rsidR="00614E58" w:rsidRPr="009118AB" w:rsidRDefault="00614E58" w:rsidP="00614E58">
      <w:pPr>
        <w:autoSpaceDE w:val="0"/>
        <w:autoSpaceDN w:val="0"/>
        <w:adjustRightInd w:val="0"/>
        <w:jc w:val="both"/>
        <w:rPr>
          <w:lang w:eastAsia="fr-BE"/>
        </w:rPr>
      </w:pPr>
      <w:r w:rsidRPr="009118AB">
        <w:rPr>
          <w:lang w:eastAsia="fr-BE"/>
        </w:rPr>
        <w:tab/>
        <w:t>3. "Dividenden": Dividenden wie in Artikel 18 erwähnt.]</w:t>
      </w:r>
    </w:p>
    <w:p w14:paraId="485268C2" w14:textId="77777777" w:rsidR="00614E58" w:rsidRPr="009118AB" w:rsidRDefault="00614E58" w:rsidP="00614E58">
      <w:pPr>
        <w:autoSpaceDE w:val="0"/>
        <w:autoSpaceDN w:val="0"/>
        <w:adjustRightInd w:val="0"/>
        <w:jc w:val="both"/>
        <w:rPr>
          <w:lang w:eastAsia="fr-BE"/>
        </w:rPr>
      </w:pPr>
    </w:p>
    <w:p w14:paraId="6AF9AC09" w14:textId="0DD69AC4" w:rsidR="00614E58" w:rsidRPr="009118AB" w:rsidRDefault="00614E58" w:rsidP="00614E58">
      <w:pPr>
        <w:autoSpaceDE w:val="0"/>
        <w:autoSpaceDN w:val="0"/>
        <w:adjustRightInd w:val="0"/>
        <w:jc w:val="both"/>
        <w:rPr>
          <w:i/>
          <w:iCs/>
        </w:rPr>
      </w:pPr>
      <w:r w:rsidRPr="009118AB">
        <w:rPr>
          <w:i/>
          <w:iCs/>
          <w:lang w:eastAsia="fr-BE"/>
        </w:rPr>
        <w:t>[</w:t>
      </w:r>
      <w:r w:rsidR="00D67EB8" w:rsidRPr="009118AB">
        <w:rPr>
          <w:i/>
          <w:iCs/>
          <w:lang w:eastAsia="fr-BE"/>
        </w:rPr>
        <w:t>Art. </w:t>
      </w:r>
      <w:r w:rsidRPr="009118AB">
        <w:rPr>
          <w:i/>
          <w:iCs/>
          <w:lang w:eastAsia="fr-BE"/>
        </w:rPr>
        <w:t xml:space="preserve">206/1 eingefügt durch </w:t>
      </w:r>
      <w:r w:rsidR="00D67EB8" w:rsidRPr="009118AB">
        <w:rPr>
          <w:i/>
          <w:iCs/>
          <w:lang w:eastAsia="fr-BE"/>
        </w:rPr>
        <w:t>Art. </w:t>
      </w:r>
      <w:r w:rsidRPr="009118AB">
        <w:rPr>
          <w:i/>
          <w:iCs/>
          <w:lang w:eastAsia="fr-BE"/>
        </w:rPr>
        <w:t>10</w:t>
      </w:r>
      <w:r w:rsidRPr="009118AB">
        <w:rPr>
          <w:i/>
          <w:iCs/>
        </w:rPr>
        <w:t xml:space="preserve"> des G. vom 21. Januar 2022 (B.S. vom 28. Januar 2022)</w:t>
      </w:r>
      <w:r w:rsidR="00D67EB8" w:rsidRPr="009118AB">
        <w:rPr>
          <w:i/>
          <w:iCs/>
        </w:rPr>
        <w:t> - </w:t>
      </w:r>
      <w:r w:rsidRPr="009118AB">
        <w:rPr>
          <w:i/>
          <w:iCs/>
        </w:rPr>
        <w:t>anwendbar ab dem Steuerjahr 2022</w:t>
      </w:r>
      <w:r w:rsidR="00FD68E8" w:rsidRPr="009118AB">
        <w:rPr>
          <w:i/>
          <w:iCs/>
        </w:rPr>
        <w:t> -</w:t>
      </w:r>
      <w:r w:rsidR="006E21BE" w:rsidRPr="009118AB">
        <w:rPr>
          <w:i/>
          <w:iCs/>
        </w:rPr>
        <w:t>; Abs. 2 Nr. 1 einziger Absatz Buchstabe c) abgeändert durch Art. 21 Nr. 1 des G. vom 21. Dezember 2022 (II) (B.S. vom 29. Dezember 2022); Abs. 2 Nr. 1 einziger Absatz Buchstabe m) aufgehoben durch Art. 21 Nr. 2 des G. vom 21. Dezember 2022 (II) (B.S. vom 29. Dezember 2022); Abs. 2 Nr. 1 einziger Absatz Buchstabe o) aufgehoben durch Art. 21 Nr. 2 des G. vom 21. Dezember 2022 (II) (B.S. vom 29. Dezember 2022)</w:t>
      </w:r>
      <w:r w:rsidR="00FD68E8" w:rsidRPr="009118AB">
        <w:rPr>
          <w:i/>
          <w:iCs/>
        </w:rPr>
        <w:t>]</w:t>
      </w:r>
    </w:p>
    <w:p w14:paraId="274E8CA4" w14:textId="77777777" w:rsidR="00614E58" w:rsidRPr="009118AB" w:rsidRDefault="00614E58" w:rsidP="00614E58">
      <w:pPr>
        <w:autoSpaceDE w:val="0"/>
        <w:autoSpaceDN w:val="0"/>
        <w:adjustRightInd w:val="0"/>
        <w:jc w:val="both"/>
        <w:rPr>
          <w:i/>
          <w:iCs/>
        </w:rPr>
      </w:pPr>
    </w:p>
    <w:p w14:paraId="3734D2E2" w14:textId="77777777" w:rsidR="00477B8F" w:rsidRPr="009118AB" w:rsidRDefault="00477B8F" w:rsidP="00477B8F">
      <w:pPr>
        <w:autoSpaceDE w:val="0"/>
        <w:autoSpaceDN w:val="0"/>
        <w:adjustRightInd w:val="0"/>
        <w:jc w:val="both"/>
      </w:pPr>
    </w:p>
    <w:p w14:paraId="47AE28A9" w14:textId="46D917D8" w:rsidR="00614E58" w:rsidRPr="009118AB" w:rsidRDefault="00614E58" w:rsidP="00477B8F">
      <w:pPr>
        <w:autoSpaceDE w:val="0"/>
        <w:autoSpaceDN w:val="0"/>
        <w:adjustRightInd w:val="0"/>
        <w:jc w:val="both"/>
        <w:rPr>
          <w:lang w:eastAsia="fr-BE"/>
        </w:rPr>
      </w:pPr>
      <w:r w:rsidRPr="009118AB">
        <w:tab/>
        <w:t>[</w:t>
      </w:r>
      <w:r w:rsidR="00D67EB8" w:rsidRPr="009118AB">
        <w:rPr>
          <w:b/>
          <w:bCs/>
          <w:lang w:eastAsia="fr-BE"/>
        </w:rPr>
        <w:t>Art. </w:t>
      </w:r>
      <w:r w:rsidRPr="009118AB">
        <w:rPr>
          <w:b/>
          <w:bCs/>
          <w:lang w:eastAsia="fr-BE"/>
        </w:rPr>
        <w:t>206/2</w:t>
      </w:r>
      <w:r w:rsidR="00D67EB8" w:rsidRPr="009118AB">
        <w:rPr>
          <w:lang w:eastAsia="fr-BE"/>
        </w:rPr>
        <w:t> - </w:t>
      </w:r>
      <w:r w:rsidRPr="009118AB">
        <w:rPr>
          <w:lang w:eastAsia="fr-BE"/>
        </w:rPr>
        <w:t>Der Gesamtbetrag des gemäß Artikel 206/1 festgelegten Ergebnisses wird um das tatsächliche Ergebnis der Seeschifffahrtstätigkeiten oder des Seeschiffsmanagements für Rechnung Dritter verringert, für die der Gewinn gemäß den Artikeln 115 bis 120 beziehungsweise 124 des Programmgesetzes vom 2. August 2002 pauschal festgelegt wird.]</w:t>
      </w:r>
    </w:p>
    <w:p w14:paraId="78F2075B" w14:textId="77777777" w:rsidR="00614E58" w:rsidRPr="009118AB" w:rsidRDefault="00614E58" w:rsidP="00477B8F">
      <w:pPr>
        <w:autoSpaceDE w:val="0"/>
        <w:autoSpaceDN w:val="0"/>
        <w:adjustRightInd w:val="0"/>
        <w:jc w:val="both"/>
        <w:rPr>
          <w:lang w:eastAsia="fr-BE"/>
        </w:rPr>
      </w:pPr>
    </w:p>
    <w:p w14:paraId="38705557" w14:textId="35A23A8C" w:rsidR="00614E58" w:rsidRPr="009118AB" w:rsidRDefault="00614E58" w:rsidP="00614E58">
      <w:pPr>
        <w:autoSpaceDE w:val="0"/>
        <w:autoSpaceDN w:val="0"/>
        <w:adjustRightInd w:val="0"/>
        <w:jc w:val="both"/>
        <w:rPr>
          <w:i/>
          <w:iCs/>
        </w:rPr>
      </w:pPr>
      <w:r w:rsidRPr="009118AB">
        <w:rPr>
          <w:i/>
          <w:iCs/>
          <w:lang w:eastAsia="fr-BE"/>
        </w:rPr>
        <w:t>[</w:t>
      </w:r>
      <w:r w:rsidR="00D67EB8" w:rsidRPr="009118AB">
        <w:rPr>
          <w:i/>
          <w:iCs/>
          <w:lang w:eastAsia="fr-BE"/>
        </w:rPr>
        <w:t>Art. </w:t>
      </w:r>
      <w:r w:rsidRPr="009118AB">
        <w:rPr>
          <w:i/>
          <w:iCs/>
          <w:lang w:eastAsia="fr-BE"/>
        </w:rPr>
        <w:t xml:space="preserve">206/2 eingefügt durch </w:t>
      </w:r>
      <w:r w:rsidR="00D67EB8" w:rsidRPr="009118AB">
        <w:rPr>
          <w:i/>
          <w:iCs/>
          <w:lang w:eastAsia="fr-BE"/>
        </w:rPr>
        <w:t>Art. </w:t>
      </w:r>
      <w:r w:rsidRPr="009118AB">
        <w:rPr>
          <w:i/>
          <w:iCs/>
          <w:lang w:eastAsia="fr-BE"/>
        </w:rPr>
        <w:t>11</w:t>
      </w:r>
      <w:r w:rsidRPr="009118AB">
        <w:rPr>
          <w:i/>
          <w:iCs/>
        </w:rPr>
        <w:t xml:space="preserve"> des G. vom 21. Januar 2022 (B.S. vom 28. Januar 2022)</w:t>
      </w:r>
      <w:r w:rsidR="00D67EB8" w:rsidRPr="009118AB">
        <w:rPr>
          <w:i/>
          <w:iCs/>
        </w:rPr>
        <w:t> - </w:t>
      </w:r>
      <w:r w:rsidRPr="009118AB">
        <w:rPr>
          <w:i/>
          <w:iCs/>
        </w:rPr>
        <w:t>anwendbar ab dem Steuerjahr 2022</w:t>
      </w:r>
      <w:r w:rsidR="00FD68E8" w:rsidRPr="009118AB">
        <w:rPr>
          <w:i/>
          <w:iCs/>
        </w:rPr>
        <w:t> -]</w:t>
      </w:r>
    </w:p>
    <w:p w14:paraId="4331B43B" w14:textId="77777777" w:rsidR="00614E58" w:rsidRPr="009118AB" w:rsidRDefault="00614E58" w:rsidP="00477B8F">
      <w:pPr>
        <w:autoSpaceDE w:val="0"/>
        <w:autoSpaceDN w:val="0"/>
        <w:adjustRightInd w:val="0"/>
        <w:jc w:val="both"/>
      </w:pPr>
    </w:p>
    <w:p w14:paraId="3E595268" w14:textId="77777777" w:rsidR="00614E58" w:rsidRPr="009118AB" w:rsidRDefault="00614E58" w:rsidP="00477B8F">
      <w:pPr>
        <w:autoSpaceDE w:val="0"/>
        <w:autoSpaceDN w:val="0"/>
        <w:adjustRightInd w:val="0"/>
        <w:jc w:val="both"/>
      </w:pPr>
    </w:p>
    <w:p w14:paraId="0629497B" w14:textId="47F2E48D" w:rsidR="00614E58" w:rsidRPr="009118AB" w:rsidRDefault="00614E58" w:rsidP="00614E58">
      <w:pPr>
        <w:jc w:val="both"/>
        <w:rPr>
          <w:lang w:eastAsia="fr-BE"/>
        </w:rPr>
      </w:pPr>
      <w:r w:rsidRPr="009118AB">
        <w:tab/>
        <w:t>[</w:t>
      </w:r>
      <w:r w:rsidR="00D67EB8" w:rsidRPr="009118AB">
        <w:rPr>
          <w:b/>
          <w:bCs/>
          <w:lang w:eastAsia="fr-BE"/>
        </w:rPr>
        <w:t>Art. </w:t>
      </w:r>
      <w:r w:rsidRPr="009118AB">
        <w:rPr>
          <w:b/>
          <w:bCs/>
          <w:lang w:eastAsia="fr-BE"/>
        </w:rPr>
        <w:t>206/3</w:t>
      </w:r>
      <w:r w:rsidR="00D67EB8" w:rsidRPr="009118AB">
        <w:rPr>
          <w:lang w:eastAsia="fr-BE"/>
        </w:rPr>
        <w:t> - § </w:t>
      </w:r>
      <w:r w:rsidRPr="009118AB">
        <w:rPr>
          <w:lang w:eastAsia="fr-BE"/>
        </w:rPr>
        <w:t>1</w:t>
      </w:r>
      <w:r w:rsidR="00D67EB8" w:rsidRPr="009118AB">
        <w:rPr>
          <w:lang w:eastAsia="fr-BE"/>
        </w:rPr>
        <w:t> - </w:t>
      </w:r>
      <w:r w:rsidRPr="009118AB">
        <w:rPr>
          <w:lang w:eastAsia="fr-BE"/>
        </w:rPr>
        <w:t>Von dem gemäß Artikel 206/2 festgelegten Ergebnis werden die Bestandteile abgezogen, auf die weder einer der in den Artikeln 199 bis 206, 536 und 543 bestimmten Abzüge noch ein Ausgleich des Verlusts des Besteuerungszeitraums angewandt werden darf:</w:t>
      </w:r>
    </w:p>
    <w:p w14:paraId="78F4ACC7" w14:textId="77777777" w:rsidR="00614E58" w:rsidRPr="009118AB" w:rsidRDefault="00614E58" w:rsidP="00614E58">
      <w:pPr>
        <w:jc w:val="both"/>
        <w:rPr>
          <w:lang w:eastAsia="fr-BE"/>
        </w:rPr>
      </w:pPr>
    </w:p>
    <w:p w14:paraId="5D9537DE" w14:textId="77777777" w:rsidR="00614E58" w:rsidRPr="009118AB" w:rsidRDefault="00614E58" w:rsidP="00614E58">
      <w:pPr>
        <w:jc w:val="both"/>
        <w:rPr>
          <w:lang w:eastAsia="fr-BE"/>
        </w:rPr>
      </w:pPr>
      <w:r w:rsidRPr="009118AB">
        <w:rPr>
          <w:lang w:eastAsia="fr-BE"/>
        </w:rPr>
        <w:tab/>
        <w:t>- der Teil des Ergebnisses, der aus ungewöhnlichen oder freiwilligen Vorteilen wie in Artikel 79 erwähnt hervorgeht,</w:t>
      </w:r>
    </w:p>
    <w:p w14:paraId="408D16F1" w14:textId="77777777" w:rsidR="00614E58" w:rsidRPr="009118AB" w:rsidRDefault="00614E58" w:rsidP="00614E58">
      <w:pPr>
        <w:jc w:val="both"/>
        <w:rPr>
          <w:lang w:eastAsia="fr-BE"/>
        </w:rPr>
      </w:pPr>
    </w:p>
    <w:p w14:paraId="7FB5E67A" w14:textId="177CF9E5" w:rsidR="00614E58" w:rsidRPr="009118AB" w:rsidRDefault="00614E58" w:rsidP="00614E58">
      <w:pPr>
        <w:jc w:val="both"/>
        <w:rPr>
          <w:lang w:eastAsia="fr-BE"/>
        </w:rPr>
      </w:pPr>
      <w:r w:rsidRPr="009118AB">
        <w:rPr>
          <w:lang w:eastAsia="fr-BE"/>
        </w:rPr>
        <w:tab/>
        <w:t xml:space="preserve">- die erhaltenen finanziellen Vorteile oder Vorteile jeglicher Art wie in Artikel 53 </w:t>
      </w:r>
      <w:r w:rsidR="00D67EB8" w:rsidRPr="009118AB">
        <w:rPr>
          <w:lang w:eastAsia="fr-BE"/>
        </w:rPr>
        <w:t>Nr. </w:t>
      </w:r>
      <w:r w:rsidRPr="009118AB">
        <w:rPr>
          <w:lang w:eastAsia="fr-BE"/>
        </w:rPr>
        <w:t>24 erwähnt,</w:t>
      </w:r>
    </w:p>
    <w:p w14:paraId="0057C8BD" w14:textId="77777777" w:rsidR="00614E58" w:rsidRPr="009118AB" w:rsidRDefault="00614E58" w:rsidP="00614E58">
      <w:pPr>
        <w:jc w:val="both"/>
        <w:rPr>
          <w:lang w:eastAsia="fr-BE"/>
        </w:rPr>
      </w:pPr>
    </w:p>
    <w:p w14:paraId="42BCBC39" w14:textId="77777777" w:rsidR="00614E58" w:rsidRPr="009118AB" w:rsidRDefault="00614E58" w:rsidP="00614E58">
      <w:pPr>
        <w:jc w:val="both"/>
        <w:rPr>
          <w:lang w:eastAsia="fr-BE"/>
        </w:rPr>
      </w:pPr>
      <w:r w:rsidRPr="009118AB">
        <w:rPr>
          <w:lang w:eastAsia="fr-BE"/>
        </w:rPr>
        <w:tab/>
        <w:t>- die Grundlage für die in Artikel 219 erwähnte getrennte Steuer,</w:t>
      </w:r>
    </w:p>
    <w:p w14:paraId="5D8DAE13" w14:textId="77777777" w:rsidR="00614E58" w:rsidRPr="009118AB" w:rsidRDefault="00614E58" w:rsidP="00614E58">
      <w:pPr>
        <w:jc w:val="both"/>
        <w:rPr>
          <w:lang w:eastAsia="fr-BE"/>
        </w:rPr>
      </w:pPr>
    </w:p>
    <w:p w14:paraId="1F5BEF30" w14:textId="5115005B" w:rsidR="00614E58" w:rsidRPr="009118AB" w:rsidRDefault="00614E58" w:rsidP="00614E58">
      <w:pPr>
        <w:jc w:val="both"/>
        <w:rPr>
          <w:lang w:eastAsia="fr-BE"/>
        </w:rPr>
      </w:pPr>
      <w:r w:rsidRPr="009118AB">
        <w:rPr>
          <w:lang w:eastAsia="fr-BE"/>
        </w:rPr>
        <w:tab/>
        <w:t xml:space="preserve">- der Teil der Gewinne, die für Ausgaben wie in </w:t>
      </w:r>
      <w:r w:rsidR="00810D9F" w:rsidRPr="009118AB">
        <w:rPr>
          <w:lang w:eastAsia="fr-BE"/>
        </w:rPr>
        <w:t>[</w:t>
      </w:r>
      <w:r w:rsidR="00810D9F" w:rsidRPr="009118AB">
        <w:rPr>
          <w:rFonts w:eastAsia="Calibri"/>
          <w:kern w:val="2"/>
          <w:szCs w:val="22"/>
          <w:lang w:eastAsia="en-US"/>
          <w14:ligatures w14:val="standardContextual"/>
        </w:rPr>
        <w:t>Artikel 198 § 1 Nr. 9, 9</w:t>
      </w:r>
      <w:r w:rsidR="00810D9F" w:rsidRPr="009118AB">
        <w:rPr>
          <w:rFonts w:eastAsia="Calibri"/>
          <w:i/>
          <w:iCs/>
          <w:kern w:val="2"/>
          <w:szCs w:val="22"/>
          <w:lang w:eastAsia="en-US"/>
          <w14:ligatures w14:val="standardContextual"/>
        </w:rPr>
        <w:t>bis</w:t>
      </w:r>
      <w:r w:rsidR="00810D9F" w:rsidRPr="009118AB">
        <w:rPr>
          <w:rFonts w:eastAsia="Calibri"/>
          <w:kern w:val="2"/>
          <w:szCs w:val="22"/>
          <w:lang w:eastAsia="en-US"/>
          <w14:ligatures w14:val="standardContextual"/>
        </w:rPr>
        <w:t>, 12 und 17</w:t>
      </w:r>
      <w:r w:rsidR="00810D9F" w:rsidRPr="009118AB">
        <w:rPr>
          <w:lang w:eastAsia="fr-BE"/>
        </w:rPr>
        <w:t>]</w:t>
      </w:r>
      <w:r w:rsidRPr="009118AB">
        <w:rPr>
          <w:lang w:eastAsia="fr-BE"/>
        </w:rPr>
        <w:t xml:space="preserve"> erwähnt bestimmt sind,</w:t>
      </w:r>
    </w:p>
    <w:p w14:paraId="24F3C793" w14:textId="77777777" w:rsidR="00614E58" w:rsidRPr="009118AB" w:rsidRDefault="00614E58" w:rsidP="00614E58">
      <w:pPr>
        <w:jc w:val="both"/>
        <w:rPr>
          <w:lang w:eastAsia="fr-BE"/>
        </w:rPr>
      </w:pPr>
    </w:p>
    <w:p w14:paraId="373C22A7" w14:textId="79478914" w:rsidR="00614E58" w:rsidRPr="009118AB" w:rsidRDefault="00614E58" w:rsidP="00614E58">
      <w:pPr>
        <w:jc w:val="both"/>
        <w:rPr>
          <w:lang w:eastAsia="fr-BE"/>
        </w:rPr>
      </w:pPr>
      <w:r w:rsidRPr="009118AB">
        <w:rPr>
          <w:lang w:eastAsia="fr-BE"/>
        </w:rPr>
        <w:tab/>
        <w:t>- der Teil der Gewinne, die aus der Nichteinhaltung von Artikel 194</w:t>
      </w:r>
      <w:r w:rsidRPr="009118AB">
        <w:rPr>
          <w:i/>
          <w:iCs/>
          <w:lang w:eastAsia="fr-BE"/>
        </w:rPr>
        <w:t>quater</w:t>
      </w:r>
      <w:r w:rsidRPr="009118AB">
        <w:rPr>
          <w:lang w:eastAsia="fr-BE"/>
        </w:rPr>
        <w:t xml:space="preserve"> </w:t>
      </w:r>
      <w:r w:rsidR="00D67EB8" w:rsidRPr="009118AB">
        <w:rPr>
          <w:lang w:eastAsia="fr-BE"/>
        </w:rPr>
        <w:t>§ </w:t>
      </w:r>
      <w:r w:rsidRPr="009118AB">
        <w:rPr>
          <w:lang w:eastAsia="fr-BE"/>
        </w:rPr>
        <w:t>2 Absatz 4 und der Anwendung von Artikel 194</w:t>
      </w:r>
      <w:r w:rsidRPr="009118AB">
        <w:rPr>
          <w:i/>
          <w:iCs/>
          <w:lang w:eastAsia="fr-BE"/>
        </w:rPr>
        <w:t>quater</w:t>
      </w:r>
      <w:r w:rsidRPr="009118AB">
        <w:rPr>
          <w:lang w:eastAsia="fr-BE"/>
        </w:rPr>
        <w:t xml:space="preserve"> </w:t>
      </w:r>
      <w:r w:rsidR="00D67EB8" w:rsidRPr="009118AB">
        <w:rPr>
          <w:lang w:eastAsia="fr-BE"/>
        </w:rPr>
        <w:t>§ </w:t>
      </w:r>
      <w:r w:rsidRPr="009118AB">
        <w:rPr>
          <w:lang w:eastAsia="fr-BE"/>
        </w:rPr>
        <w:t>4 hervorgehen,</w:t>
      </w:r>
    </w:p>
    <w:p w14:paraId="190A28C0" w14:textId="77777777" w:rsidR="00614E58" w:rsidRPr="009118AB" w:rsidRDefault="00614E58" w:rsidP="00614E58">
      <w:pPr>
        <w:jc w:val="both"/>
        <w:rPr>
          <w:lang w:eastAsia="fr-BE"/>
        </w:rPr>
      </w:pPr>
    </w:p>
    <w:p w14:paraId="35CA1D8D" w14:textId="49237F50" w:rsidR="00614E58" w:rsidRPr="009118AB" w:rsidRDefault="00614E58" w:rsidP="00614E58">
      <w:pPr>
        <w:jc w:val="both"/>
        <w:rPr>
          <w:lang w:eastAsia="fr-BE"/>
        </w:rPr>
      </w:pPr>
      <w:r w:rsidRPr="009118AB">
        <w:rPr>
          <w:lang w:eastAsia="fr-BE"/>
        </w:rPr>
        <w:tab/>
        <w:t xml:space="preserve">- die in Artikel 217 Absatz 1 </w:t>
      </w:r>
      <w:r w:rsidR="00D67EB8" w:rsidRPr="009118AB">
        <w:rPr>
          <w:lang w:eastAsia="fr-BE"/>
        </w:rPr>
        <w:t>Nr. </w:t>
      </w:r>
      <w:r w:rsidRPr="009118AB">
        <w:rPr>
          <w:lang w:eastAsia="fr-BE"/>
        </w:rPr>
        <w:t>4 erwähnten Kapital- und Zinszuschüsse, die Landwirten von den zuständigen regionalen Einrichtungen unter Beachtung der europäischen Vorschriften im Bereich der staatlichen Beihilfen gezahlt werden,</w:t>
      </w:r>
    </w:p>
    <w:p w14:paraId="25DC6EDC" w14:textId="77777777" w:rsidR="00614E58" w:rsidRPr="009118AB" w:rsidRDefault="00614E58" w:rsidP="00614E58">
      <w:pPr>
        <w:jc w:val="both"/>
        <w:rPr>
          <w:lang w:eastAsia="fr-BE"/>
        </w:rPr>
      </w:pPr>
    </w:p>
    <w:p w14:paraId="1495B016" w14:textId="0C778B0B" w:rsidR="00614E58" w:rsidRPr="009118AB" w:rsidRDefault="00614E58" w:rsidP="00614E58">
      <w:pPr>
        <w:jc w:val="both"/>
        <w:rPr>
          <w:lang w:eastAsia="fr-BE"/>
        </w:rPr>
      </w:pPr>
      <w:r w:rsidRPr="009118AB">
        <w:rPr>
          <w:lang w:eastAsia="fr-BE"/>
        </w:rPr>
        <w:tab/>
        <w:t>- die Grundlage für die in Artikel 519</w:t>
      </w:r>
      <w:r w:rsidRPr="009118AB">
        <w:rPr>
          <w:i/>
          <w:iCs/>
          <w:lang w:eastAsia="fr-BE"/>
        </w:rPr>
        <w:t>ter</w:t>
      </w:r>
      <w:r w:rsidRPr="009118AB">
        <w:rPr>
          <w:lang w:eastAsia="fr-BE"/>
        </w:rPr>
        <w:t xml:space="preserve"> </w:t>
      </w:r>
      <w:r w:rsidR="00D67EB8" w:rsidRPr="009118AB">
        <w:rPr>
          <w:lang w:eastAsia="fr-BE"/>
        </w:rPr>
        <w:t>§ </w:t>
      </w:r>
      <w:r w:rsidRPr="009118AB">
        <w:rPr>
          <w:lang w:eastAsia="fr-BE"/>
        </w:rPr>
        <w:t>1 erwähnte Steuer,</w:t>
      </w:r>
    </w:p>
    <w:p w14:paraId="4D90FE61" w14:textId="77777777" w:rsidR="00614E58" w:rsidRPr="009118AB" w:rsidRDefault="00614E58" w:rsidP="00614E58">
      <w:pPr>
        <w:jc w:val="both"/>
        <w:rPr>
          <w:lang w:eastAsia="fr-BE"/>
        </w:rPr>
      </w:pPr>
    </w:p>
    <w:p w14:paraId="4E7BA687" w14:textId="4F37A073" w:rsidR="00614E58" w:rsidRPr="009118AB" w:rsidRDefault="00614E58" w:rsidP="00614E58">
      <w:pPr>
        <w:jc w:val="both"/>
        <w:rPr>
          <w:lang w:eastAsia="fr-BE"/>
        </w:rPr>
      </w:pPr>
      <w:r w:rsidRPr="009118AB">
        <w:rPr>
          <w:lang w:eastAsia="fr-BE"/>
        </w:rPr>
        <w:tab/>
        <w:t xml:space="preserve">- der Teil des Betrags des in Artikel 185 </w:t>
      </w:r>
      <w:r w:rsidR="00D67EB8" w:rsidRPr="009118AB">
        <w:rPr>
          <w:lang w:eastAsia="fr-BE"/>
        </w:rPr>
        <w:t>§ </w:t>
      </w:r>
      <w:r w:rsidRPr="009118AB">
        <w:rPr>
          <w:lang w:eastAsia="fr-BE"/>
        </w:rPr>
        <w:t>4 Absatz 1 erwähnten Konzernbeitrags, der das negative Ergebnis übersteigt, das vor Aufnahme des Konzernbeitrags in die Besteuerungsgrundlage des Besteuerungszeitraums festgelegt wird.</w:t>
      </w:r>
    </w:p>
    <w:p w14:paraId="78B07A55" w14:textId="77777777" w:rsidR="00614E58" w:rsidRPr="009118AB" w:rsidRDefault="00614E58" w:rsidP="00614E58">
      <w:pPr>
        <w:jc w:val="both"/>
        <w:rPr>
          <w:lang w:eastAsia="fr-BE"/>
        </w:rPr>
      </w:pPr>
    </w:p>
    <w:p w14:paraId="2552014C" w14:textId="119D8D52" w:rsidR="00614E58" w:rsidRPr="009118AB" w:rsidRDefault="00614E58" w:rsidP="00614E58">
      <w:pPr>
        <w:jc w:val="both"/>
        <w:rPr>
          <w:lang w:eastAsia="fr-BE"/>
        </w:rPr>
      </w:pPr>
      <w:r w:rsidRPr="009118AB">
        <w:rPr>
          <w:lang w:eastAsia="fr-BE"/>
        </w:rPr>
        <w:tab/>
        <w:t xml:space="preserve">Von dem gemäß Artikel 206/2 festgelegten Ergebnis werden auch die Bestandteile abgezogen, auf die weder einer der in den Artikeln 199 bis 206, 536 und 543 bestimmten Abzüge noch ein Ausgleich des Verlusts des Besteuerungszeitraums angewandt werden darf, mit Ausnahme der gemäß Artikel 205 </w:t>
      </w:r>
      <w:r w:rsidR="00D67EB8" w:rsidRPr="009118AB">
        <w:rPr>
          <w:lang w:eastAsia="fr-BE"/>
        </w:rPr>
        <w:t>§ </w:t>
      </w:r>
      <w:r w:rsidRPr="009118AB">
        <w:rPr>
          <w:lang w:eastAsia="fr-BE"/>
        </w:rPr>
        <w:t>2 abzugsfähigen Einkünfte:</w:t>
      </w:r>
    </w:p>
    <w:p w14:paraId="5608822C" w14:textId="77777777" w:rsidR="00614E58" w:rsidRPr="009118AB" w:rsidRDefault="00614E58" w:rsidP="00614E58">
      <w:pPr>
        <w:jc w:val="both"/>
        <w:rPr>
          <w:lang w:eastAsia="fr-BE"/>
        </w:rPr>
      </w:pPr>
    </w:p>
    <w:p w14:paraId="1F76A95A" w14:textId="77777777" w:rsidR="00614E58" w:rsidRPr="009118AB" w:rsidRDefault="00614E58" w:rsidP="00614E58">
      <w:pPr>
        <w:jc w:val="both"/>
        <w:rPr>
          <w:lang w:eastAsia="fr-BE"/>
        </w:rPr>
      </w:pPr>
      <w:r w:rsidRPr="009118AB">
        <w:rPr>
          <w:lang w:eastAsia="fr-BE"/>
        </w:rPr>
        <w:tab/>
        <w:t>- der Teil des Ergebnisses, für den eine in Artikel 346 erwähnte Berichtigung der Erklärung oder eine in Artikel 351 erwähnte Veranlagung von Amts wegen durchgeführt wird, für die die in Artikel 444 erwähnten Steuerzuschläge zu einem Satz von mindestens 10 Prozent tatsächlich angewandt werden.</w:t>
      </w:r>
    </w:p>
    <w:p w14:paraId="264BB398" w14:textId="77777777" w:rsidR="00614E58" w:rsidRPr="009118AB" w:rsidRDefault="00614E58" w:rsidP="00614E58">
      <w:pPr>
        <w:jc w:val="both"/>
        <w:rPr>
          <w:lang w:eastAsia="fr-BE"/>
        </w:rPr>
      </w:pPr>
    </w:p>
    <w:p w14:paraId="4CEAF3D5" w14:textId="5DF0475D" w:rsidR="00614E58" w:rsidRPr="009118AB" w:rsidRDefault="00614E58" w:rsidP="00614E58">
      <w:pPr>
        <w:autoSpaceDE w:val="0"/>
        <w:autoSpaceDN w:val="0"/>
        <w:adjustRightInd w:val="0"/>
        <w:jc w:val="both"/>
      </w:pPr>
      <w:r w:rsidRPr="009118AB">
        <w:rPr>
          <w:lang w:eastAsia="fr-BE"/>
        </w:rPr>
        <w:tab/>
      </w:r>
      <w:r w:rsidR="00D67EB8" w:rsidRPr="009118AB">
        <w:rPr>
          <w:lang w:eastAsia="fr-BE"/>
        </w:rPr>
        <w:t>§ </w:t>
      </w:r>
      <w:r w:rsidRPr="009118AB">
        <w:rPr>
          <w:lang w:eastAsia="fr-BE"/>
        </w:rPr>
        <w:t xml:space="preserve">2 ­ Nach Anwendung von </w:t>
      </w:r>
      <w:r w:rsidR="00D67EB8" w:rsidRPr="009118AB">
        <w:rPr>
          <w:lang w:eastAsia="fr-BE"/>
        </w:rPr>
        <w:t>§ </w:t>
      </w:r>
      <w:r w:rsidRPr="009118AB">
        <w:rPr>
          <w:lang w:eastAsia="fr-BE"/>
        </w:rPr>
        <w:t xml:space="preserve">1 wird der Gesamtbetrag des Ergebnisses anschließend um den Betrag der Verluste erhöht, die aufgrund von Artikel 185 </w:t>
      </w:r>
      <w:r w:rsidR="00D67EB8" w:rsidRPr="009118AB">
        <w:rPr>
          <w:lang w:eastAsia="fr-BE"/>
        </w:rPr>
        <w:t>§ </w:t>
      </w:r>
      <w:r w:rsidRPr="009118AB">
        <w:rPr>
          <w:lang w:eastAsia="fr-BE"/>
        </w:rPr>
        <w:t>3 Absatz 1 oder 2 nicht berücksichtigt werden.]</w:t>
      </w:r>
    </w:p>
    <w:p w14:paraId="427E08D3" w14:textId="77777777" w:rsidR="00614E58" w:rsidRPr="009118AB" w:rsidRDefault="00614E58" w:rsidP="00477B8F">
      <w:pPr>
        <w:autoSpaceDE w:val="0"/>
        <w:autoSpaceDN w:val="0"/>
        <w:adjustRightInd w:val="0"/>
        <w:jc w:val="both"/>
      </w:pPr>
    </w:p>
    <w:p w14:paraId="17E2A2A7" w14:textId="74F259DD" w:rsidR="00614E58" w:rsidRPr="009118AB" w:rsidRDefault="00614E58" w:rsidP="00614E58">
      <w:pPr>
        <w:autoSpaceDE w:val="0"/>
        <w:autoSpaceDN w:val="0"/>
        <w:adjustRightInd w:val="0"/>
        <w:jc w:val="both"/>
        <w:rPr>
          <w:i/>
          <w:iCs/>
        </w:rPr>
      </w:pPr>
      <w:r w:rsidRPr="009118AB">
        <w:rPr>
          <w:i/>
          <w:iCs/>
          <w:lang w:eastAsia="fr-BE"/>
        </w:rPr>
        <w:t>[</w:t>
      </w:r>
      <w:r w:rsidR="00D67EB8" w:rsidRPr="009118AB">
        <w:rPr>
          <w:i/>
          <w:iCs/>
          <w:lang w:eastAsia="fr-BE"/>
        </w:rPr>
        <w:t>Art. </w:t>
      </w:r>
      <w:r w:rsidRPr="009118AB">
        <w:rPr>
          <w:i/>
          <w:iCs/>
          <w:lang w:eastAsia="fr-BE"/>
        </w:rPr>
        <w:t xml:space="preserve">206/3 eingefügt durch </w:t>
      </w:r>
      <w:r w:rsidR="00D67EB8" w:rsidRPr="009118AB">
        <w:rPr>
          <w:i/>
          <w:iCs/>
          <w:lang w:eastAsia="fr-BE"/>
        </w:rPr>
        <w:t>Art. </w:t>
      </w:r>
      <w:r w:rsidRPr="009118AB">
        <w:rPr>
          <w:i/>
          <w:iCs/>
          <w:lang w:eastAsia="fr-BE"/>
        </w:rPr>
        <w:t>12</w:t>
      </w:r>
      <w:r w:rsidRPr="009118AB">
        <w:rPr>
          <w:i/>
          <w:iCs/>
        </w:rPr>
        <w:t xml:space="preserve"> des G. vom 21. Januar 2022 (B.S. vom 28. Januar 2022)</w:t>
      </w:r>
      <w:r w:rsidR="00D67EB8" w:rsidRPr="009118AB">
        <w:rPr>
          <w:i/>
          <w:iCs/>
        </w:rPr>
        <w:t> - </w:t>
      </w:r>
      <w:r w:rsidRPr="009118AB">
        <w:rPr>
          <w:i/>
          <w:iCs/>
        </w:rPr>
        <w:t>anwendbar ab dem Steuerjahr 2022</w:t>
      </w:r>
      <w:r w:rsidR="00FD68E8" w:rsidRPr="009118AB">
        <w:rPr>
          <w:i/>
          <w:iCs/>
        </w:rPr>
        <w:t> -</w:t>
      </w:r>
      <w:r w:rsidR="00810D9F" w:rsidRPr="009118AB">
        <w:rPr>
          <w:i/>
          <w:iCs/>
        </w:rPr>
        <w:t>; § 1 Abs. 1 vierter Gedankenstrich abgeändert durch Art. 24 des G. vom 5. Juli 2022 (B.S. vom 15. Juli 2022) - wirksam mit 1. Januar 2022 -</w:t>
      </w:r>
      <w:r w:rsidR="00FD68E8" w:rsidRPr="009118AB">
        <w:rPr>
          <w:i/>
          <w:iCs/>
        </w:rPr>
        <w:t>]</w:t>
      </w:r>
    </w:p>
    <w:p w14:paraId="5D6D19DB" w14:textId="77777777" w:rsidR="00614E58" w:rsidRPr="009118AB" w:rsidRDefault="00614E58" w:rsidP="00477B8F">
      <w:pPr>
        <w:autoSpaceDE w:val="0"/>
        <w:autoSpaceDN w:val="0"/>
        <w:adjustRightInd w:val="0"/>
        <w:jc w:val="both"/>
      </w:pPr>
    </w:p>
    <w:p w14:paraId="3B755F9E" w14:textId="77777777" w:rsidR="00614E58" w:rsidRPr="009118AB" w:rsidRDefault="00614E58" w:rsidP="00477B8F">
      <w:pPr>
        <w:autoSpaceDE w:val="0"/>
        <w:autoSpaceDN w:val="0"/>
        <w:adjustRightInd w:val="0"/>
        <w:jc w:val="both"/>
      </w:pPr>
    </w:p>
    <w:p w14:paraId="64FB4D20" w14:textId="4950FAD2" w:rsidR="00614E58" w:rsidRPr="009118AB" w:rsidRDefault="00614E58" w:rsidP="00614E58">
      <w:pPr>
        <w:jc w:val="both"/>
        <w:rPr>
          <w:lang w:eastAsia="fr-BE"/>
        </w:rPr>
      </w:pPr>
      <w:r w:rsidRPr="009118AB">
        <w:tab/>
        <w:t>[</w:t>
      </w:r>
      <w:r w:rsidR="00D67EB8" w:rsidRPr="009118AB">
        <w:rPr>
          <w:b/>
          <w:bCs/>
          <w:lang w:eastAsia="fr-BE"/>
        </w:rPr>
        <w:t>Art. </w:t>
      </w:r>
      <w:r w:rsidRPr="009118AB">
        <w:rPr>
          <w:b/>
          <w:bCs/>
          <w:lang w:eastAsia="fr-BE"/>
        </w:rPr>
        <w:t>206/4</w:t>
      </w:r>
      <w:r w:rsidR="00D67EB8" w:rsidRPr="009118AB">
        <w:rPr>
          <w:lang w:eastAsia="fr-BE"/>
        </w:rPr>
        <w:t> - </w:t>
      </w:r>
      <w:r w:rsidRPr="009118AB">
        <w:rPr>
          <w:lang w:eastAsia="fr-BE"/>
        </w:rPr>
        <w:t>Der Gesamtbetrag des gemäß den Artikeln 206/1 bis 206/3 festgelegten Ergebnisses wird gegebenenfalls entsprechend seiner Herkunft aufgeschlüsselt nach:</w:t>
      </w:r>
    </w:p>
    <w:p w14:paraId="17CAA61C" w14:textId="77777777" w:rsidR="00614E58" w:rsidRPr="009118AB" w:rsidRDefault="00614E58" w:rsidP="00614E58">
      <w:pPr>
        <w:jc w:val="both"/>
        <w:rPr>
          <w:lang w:eastAsia="fr-BE"/>
        </w:rPr>
      </w:pPr>
    </w:p>
    <w:p w14:paraId="54533FB6" w14:textId="77777777" w:rsidR="00614E58" w:rsidRPr="009118AB" w:rsidRDefault="00614E58" w:rsidP="00614E58">
      <w:pPr>
        <w:jc w:val="both"/>
        <w:rPr>
          <w:lang w:eastAsia="fr-BE"/>
        </w:rPr>
      </w:pPr>
      <w:r w:rsidRPr="009118AB">
        <w:rPr>
          <w:lang w:eastAsia="fr-BE"/>
        </w:rPr>
        <w:tab/>
        <w:t>1. in Belgien erzieltem Ergebnis, nachstehend, sofern es positiv ist, "belgische Gewinne" genannt,</w:t>
      </w:r>
    </w:p>
    <w:p w14:paraId="18C00428" w14:textId="77777777" w:rsidR="00614E58" w:rsidRPr="009118AB" w:rsidRDefault="00614E58" w:rsidP="00614E58">
      <w:pPr>
        <w:jc w:val="both"/>
        <w:rPr>
          <w:lang w:eastAsia="fr-BE"/>
        </w:rPr>
      </w:pPr>
    </w:p>
    <w:p w14:paraId="196C409C" w14:textId="77777777" w:rsidR="00614E58" w:rsidRPr="009118AB" w:rsidRDefault="00614E58" w:rsidP="00614E58">
      <w:pPr>
        <w:jc w:val="both"/>
        <w:rPr>
          <w:lang w:eastAsia="fr-BE"/>
        </w:rPr>
      </w:pPr>
      <w:r w:rsidRPr="009118AB">
        <w:rPr>
          <w:lang w:eastAsia="fr-BE"/>
        </w:rPr>
        <w:tab/>
        <w:t>2. im Ausland erzieltem Ergebnis, das aufgrund internationaler Abkommen nicht steuerfrei ist, nachstehend, sofern es positiv ist, "nicht durch Abkommen befreite Gewinne" genannt,</w:t>
      </w:r>
    </w:p>
    <w:p w14:paraId="68F75E7C" w14:textId="77777777" w:rsidR="00614E58" w:rsidRPr="009118AB" w:rsidRDefault="00614E58" w:rsidP="00614E58">
      <w:pPr>
        <w:jc w:val="both"/>
        <w:rPr>
          <w:lang w:eastAsia="fr-BE"/>
        </w:rPr>
      </w:pPr>
    </w:p>
    <w:p w14:paraId="74F0B5A0" w14:textId="77777777" w:rsidR="00614E58" w:rsidRPr="009118AB" w:rsidRDefault="00614E58" w:rsidP="00614E58">
      <w:pPr>
        <w:jc w:val="both"/>
        <w:rPr>
          <w:lang w:eastAsia="fr-BE"/>
        </w:rPr>
      </w:pPr>
      <w:r w:rsidRPr="009118AB">
        <w:rPr>
          <w:lang w:eastAsia="fr-BE"/>
        </w:rPr>
        <w:tab/>
        <w:t>3. im Ausland erzieltem Ergebnis, das aufgrund internationaler Abkommen steuerfrei ist, nachstehend, sofern es positiv ist, "durch Abkommen befreite Gewinne" genannt.</w:t>
      </w:r>
    </w:p>
    <w:p w14:paraId="5174C19F" w14:textId="77777777" w:rsidR="00614E58" w:rsidRPr="009118AB" w:rsidRDefault="00614E58" w:rsidP="00614E58">
      <w:pPr>
        <w:jc w:val="both"/>
        <w:rPr>
          <w:lang w:eastAsia="fr-BE"/>
        </w:rPr>
      </w:pPr>
    </w:p>
    <w:p w14:paraId="0734CC67" w14:textId="77777777" w:rsidR="00614E58" w:rsidRPr="009118AB" w:rsidRDefault="00614E58" w:rsidP="00614E58">
      <w:pPr>
        <w:jc w:val="both"/>
        <w:rPr>
          <w:lang w:eastAsia="fr-BE"/>
        </w:rPr>
      </w:pPr>
      <w:r w:rsidRPr="009118AB">
        <w:rPr>
          <w:lang w:eastAsia="fr-BE"/>
        </w:rPr>
        <w:tab/>
        <w:t xml:space="preserve">Bevor diese Aufschlüsselung erfolgt, werden Verluste, die während des Besteuerungszeitraums in einem Land erlitten wurden, in nachstehender Reihenfolge nacheinander auf den Gesamtbetrag der Gewinne aus anderen Ländern angerechnet: </w:t>
      </w:r>
    </w:p>
    <w:p w14:paraId="0F924484" w14:textId="77777777" w:rsidR="00614E58" w:rsidRPr="009118AB" w:rsidRDefault="00614E58" w:rsidP="00614E58">
      <w:pPr>
        <w:jc w:val="both"/>
        <w:rPr>
          <w:lang w:eastAsia="fr-BE"/>
        </w:rPr>
      </w:pPr>
    </w:p>
    <w:p w14:paraId="795B3F29" w14:textId="77777777" w:rsidR="00614E58" w:rsidRPr="009118AB" w:rsidRDefault="00614E58" w:rsidP="00614E58">
      <w:pPr>
        <w:jc w:val="both"/>
        <w:rPr>
          <w:lang w:eastAsia="fr-BE"/>
        </w:rPr>
      </w:pPr>
      <w:r w:rsidRPr="009118AB">
        <w:rPr>
          <w:lang w:eastAsia="fr-BE"/>
        </w:rPr>
        <w:tab/>
      </w:r>
      <w:r w:rsidRPr="009118AB">
        <w:rPr>
          <w:i/>
          <w:iCs/>
          <w:lang w:eastAsia="fr-BE"/>
        </w:rPr>
        <w:t>a)</w:t>
      </w:r>
      <w:r w:rsidRPr="009118AB">
        <w:rPr>
          <w:lang w:eastAsia="fr-BE"/>
        </w:rPr>
        <w:t> Verluste, die in einem Land erlitten wurden, für das die Gewinne durch Abkommen befreit sind: vorrangig auf die durch Abkommen befreiten Gewinne, im Falle unzureichender Gewinne danach auf die nicht durch Abkommen befreiten Gewinne und schließlich auf die belgischen Gewinne,</w:t>
      </w:r>
    </w:p>
    <w:p w14:paraId="3C93057A" w14:textId="77777777" w:rsidR="00614E58" w:rsidRPr="009118AB" w:rsidRDefault="00614E58" w:rsidP="00614E58">
      <w:pPr>
        <w:jc w:val="both"/>
        <w:rPr>
          <w:lang w:eastAsia="fr-BE"/>
        </w:rPr>
      </w:pPr>
    </w:p>
    <w:p w14:paraId="6F45DD47" w14:textId="77777777" w:rsidR="00614E58" w:rsidRPr="009118AB" w:rsidRDefault="00614E58" w:rsidP="00614E58">
      <w:pPr>
        <w:jc w:val="both"/>
        <w:rPr>
          <w:lang w:eastAsia="fr-BE"/>
        </w:rPr>
      </w:pPr>
      <w:r w:rsidRPr="009118AB">
        <w:rPr>
          <w:lang w:eastAsia="fr-BE"/>
        </w:rPr>
        <w:tab/>
      </w:r>
      <w:r w:rsidRPr="009118AB">
        <w:rPr>
          <w:i/>
          <w:iCs/>
          <w:lang w:eastAsia="fr-BE"/>
        </w:rPr>
        <w:t>b)</w:t>
      </w:r>
      <w:r w:rsidRPr="009118AB">
        <w:rPr>
          <w:lang w:eastAsia="fr-BE"/>
        </w:rPr>
        <w:t> Verluste, die in einem Land erlitten wurden, für das die Gewinne nicht durch Abkommen befreit sind: vorrangig auf die nicht durch Abkommen befreiten Gewinne, im Falle unzureichender Gewinne danach auf die belgischen Gewinne,</w:t>
      </w:r>
    </w:p>
    <w:p w14:paraId="6646E354" w14:textId="77777777" w:rsidR="00614E58" w:rsidRPr="009118AB" w:rsidRDefault="00614E58" w:rsidP="00614E58">
      <w:pPr>
        <w:jc w:val="both"/>
        <w:rPr>
          <w:i/>
          <w:iCs/>
          <w:lang w:eastAsia="fr-BE"/>
        </w:rPr>
      </w:pPr>
    </w:p>
    <w:p w14:paraId="488BF524" w14:textId="77777777" w:rsidR="00614E58" w:rsidRPr="009118AB" w:rsidRDefault="00614E58" w:rsidP="00614E58">
      <w:pPr>
        <w:jc w:val="both"/>
        <w:rPr>
          <w:lang w:eastAsia="fr-BE"/>
        </w:rPr>
      </w:pPr>
      <w:r w:rsidRPr="009118AB">
        <w:rPr>
          <w:i/>
          <w:lang w:eastAsia="fr-BE"/>
        </w:rPr>
        <w:tab/>
      </w:r>
      <w:r w:rsidRPr="009118AB">
        <w:rPr>
          <w:i/>
          <w:iCs/>
          <w:lang w:eastAsia="fr-BE"/>
        </w:rPr>
        <w:t>c)</w:t>
      </w:r>
      <w:r w:rsidRPr="009118AB">
        <w:rPr>
          <w:lang w:eastAsia="fr-BE"/>
        </w:rPr>
        <w:t> in Belgien erlittene Verluste: vorrangig auf die belgischen Gewinne, im Falle unzureichender Gewinne danach auf die nicht durch Abkommen befreiten Gewinne.</w:t>
      </w:r>
    </w:p>
    <w:p w14:paraId="3C4847EF" w14:textId="77777777" w:rsidR="00614E58" w:rsidRPr="009118AB" w:rsidRDefault="00614E58" w:rsidP="00614E58">
      <w:pPr>
        <w:jc w:val="both"/>
        <w:rPr>
          <w:lang w:eastAsia="fr-BE"/>
        </w:rPr>
      </w:pPr>
    </w:p>
    <w:p w14:paraId="3BFC7E35" w14:textId="1BCB94FE" w:rsidR="00614E58" w:rsidRPr="009118AB" w:rsidRDefault="00614E58" w:rsidP="00614E58">
      <w:pPr>
        <w:jc w:val="both"/>
        <w:rPr>
          <w:lang w:eastAsia="fr-BE"/>
        </w:rPr>
      </w:pPr>
      <w:r w:rsidRPr="009118AB">
        <w:rPr>
          <w:lang w:eastAsia="fr-BE"/>
        </w:rPr>
        <w:tab/>
      </w:r>
      <w:r w:rsidR="001D7DA2">
        <w:rPr>
          <w:lang w:eastAsia="fr-BE"/>
        </w:rPr>
        <w:t>[</w:t>
      </w:r>
      <w:r w:rsidR="001D7DA2" w:rsidRPr="00FF1F87">
        <w:t>Wenn die Gewinne einer ausländischen Betriebsstätte aufgrund internationaler Abkommen in Belgien nicht von der Steuer befreit sind oder wenn die Gewinne dieser ausländischen Betriebsstätte aufgrund von Artikel 185/2 besteuert werden müssen, werden diese Gewinne in die Kategorie "nicht durch Abkommen befreite Gewinne" aufgenommen.</w:t>
      </w:r>
      <w:r w:rsidR="001D7DA2">
        <w:t>]</w:t>
      </w:r>
    </w:p>
    <w:p w14:paraId="60827DAF" w14:textId="77777777" w:rsidR="00614E58" w:rsidRPr="009118AB" w:rsidRDefault="00614E58" w:rsidP="00614E58">
      <w:pPr>
        <w:jc w:val="both"/>
        <w:rPr>
          <w:lang w:eastAsia="fr-BE"/>
        </w:rPr>
      </w:pPr>
    </w:p>
    <w:p w14:paraId="091C98E4" w14:textId="77777777" w:rsidR="00614E58" w:rsidRPr="009118AB" w:rsidRDefault="00614E58" w:rsidP="00614E58">
      <w:pPr>
        <w:jc w:val="both"/>
        <w:rPr>
          <w:lang w:eastAsia="fr-BE"/>
        </w:rPr>
      </w:pPr>
      <w:r w:rsidRPr="009118AB">
        <w:rPr>
          <w:lang w:eastAsia="fr-BE"/>
        </w:rPr>
        <w:tab/>
        <w:t>Für den Fall, dass die Kategorie "nicht durch Abkommen befreite Gewinne" Gewinne enthält, für die die Steuer in Anwendung internationaler Abkommen ermäßigt wird, werden in Anwendung von Absatz 2:</w:t>
      </w:r>
    </w:p>
    <w:p w14:paraId="29220F0A" w14:textId="77777777" w:rsidR="00614E58" w:rsidRPr="009118AB" w:rsidRDefault="00614E58" w:rsidP="00614E58">
      <w:pPr>
        <w:jc w:val="both"/>
        <w:rPr>
          <w:lang w:eastAsia="fr-BE"/>
        </w:rPr>
      </w:pPr>
    </w:p>
    <w:p w14:paraId="1AA7AC8E" w14:textId="77777777" w:rsidR="00614E58" w:rsidRPr="009118AB" w:rsidRDefault="00614E58" w:rsidP="00614E58">
      <w:pPr>
        <w:jc w:val="both"/>
        <w:rPr>
          <w:lang w:eastAsia="fr-BE"/>
        </w:rPr>
      </w:pPr>
      <w:r w:rsidRPr="009118AB">
        <w:rPr>
          <w:lang w:eastAsia="fr-BE"/>
        </w:rPr>
        <w:tab/>
        <w:t>- entweder die Verluste zuerst auf die anderen nicht durch Abkommen befreiten Gewinne angerechnet, bevor sie auf die Gewinne angerechnet werden, für die die Steuer in Anwendung eines Abkommens zur Vermeidung der Doppelbesteuerung ermäßigt wird,</w:t>
      </w:r>
    </w:p>
    <w:p w14:paraId="2D9386B9" w14:textId="77777777" w:rsidR="00614E58" w:rsidRPr="009118AB" w:rsidRDefault="00614E58" w:rsidP="00614E58">
      <w:pPr>
        <w:jc w:val="both"/>
        <w:rPr>
          <w:lang w:eastAsia="fr-BE"/>
        </w:rPr>
      </w:pPr>
    </w:p>
    <w:p w14:paraId="0FA43775" w14:textId="77777777" w:rsidR="00614E58" w:rsidRPr="009118AB" w:rsidRDefault="00614E58" w:rsidP="00614E58">
      <w:pPr>
        <w:jc w:val="both"/>
        <w:rPr>
          <w:lang w:eastAsia="fr-BE"/>
        </w:rPr>
      </w:pPr>
      <w:r w:rsidRPr="009118AB">
        <w:rPr>
          <w:lang w:eastAsia="fr-BE"/>
        </w:rPr>
        <w:tab/>
        <w:t>- oder die Verluste nur auf die anderen nicht durch Abkommen befreiten Gewinne angerechnet, wenn der Steuerpflichtige dies auf unwiderrufliche Weise in seiner Erklärung beantragt, ohne dass sie auf die Gewinne angerechnet werden, für die die Steuer in Anwendung eines Abkommens zur Vermeidung der Doppelbesteuerung ermäßigt wird.</w:t>
      </w:r>
    </w:p>
    <w:p w14:paraId="29F04B96" w14:textId="77777777" w:rsidR="00614E58" w:rsidRPr="009118AB" w:rsidRDefault="00614E58" w:rsidP="00614E58">
      <w:pPr>
        <w:jc w:val="both"/>
        <w:rPr>
          <w:lang w:eastAsia="fr-BE"/>
        </w:rPr>
      </w:pPr>
    </w:p>
    <w:p w14:paraId="1B36B1C2" w14:textId="0CDD0344" w:rsidR="00614E58" w:rsidRPr="009118AB" w:rsidRDefault="00614E58" w:rsidP="00614E58">
      <w:pPr>
        <w:autoSpaceDE w:val="0"/>
        <w:autoSpaceDN w:val="0"/>
        <w:adjustRightInd w:val="0"/>
        <w:jc w:val="both"/>
        <w:rPr>
          <w:lang w:eastAsia="fr-BE"/>
        </w:rPr>
      </w:pPr>
      <w:r w:rsidRPr="009118AB">
        <w:rPr>
          <w:lang w:eastAsia="fr-BE"/>
        </w:rPr>
        <w:tab/>
        <w:t>Verluste, die in einem Land erlitten wurden, für das die Gewinne durch Abkommen befreit sind, können nur in Anwendung von Absatz 2 Buchstabe </w:t>
      </w:r>
      <w:r w:rsidRPr="009118AB">
        <w:rPr>
          <w:i/>
          <w:iCs/>
          <w:lang w:eastAsia="fr-BE"/>
        </w:rPr>
        <w:t>a)</w:t>
      </w:r>
      <w:r w:rsidRPr="009118AB">
        <w:rPr>
          <w:lang w:eastAsia="fr-BE"/>
        </w:rPr>
        <w:t xml:space="preserve"> auf die belgischen Gewinne oder auf die nicht durch Abkommen befreiten Gewinne angerechnet werden, wenn der Steuerpflichtige in einer Anlage zu seiner Erklärung auf unwiderrufliche Weise das Land angibt, in dem diese Verluste erlitten wurden, sowie den Betrag dieser Verluste und den Besteuerungszeitraum, in dem diese Verluste erlitten wurden.]</w:t>
      </w:r>
    </w:p>
    <w:p w14:paraId="58C75338" w14:textId="77777777" w:rsidR="00614E58" w:rsidRPr="009118AB" w:rsidRDefault="00614E58" w:rsidP="00614E58">
      <w:pPr>
        <w:autoSpaceDE w:val="0"/>
        <w:autoSpaceDN w:val="0"/>
        <w:adjustRightInd w:val="0"/>
        <w:jc w:val="both"/>
        <w:rPr>
          <w:lang w:eastAsia="fr-BE"/>
        </w:rPr>
      </w:pPr>
    </w:p>
    <w:p w14:paraId="5248162C" w14:textId="40859527" w:rsidR="00614E58" w:rsidRPr="009118AB" w:rsidRDefault="00614E58" w:rsidP="00614E58">
      <w:pPr>
        <w:autoSpaceDE w:val="0"/>
        <w:autoSpaceDN w:val="0"/>
        <w:adjustRightInd w:val="0"/>
        <w:jc w:val="both"/>
        <w:rPr>
          <w:i/>
          <w:iCs/>
        </w:rPr>
      </w:pPr>
      <w:r w:rsidRPr="009118AB">
        <w:rPr>
          <w:i/>
          <w:iCs/>
          <w:lang w:eastAsia="fr-BE"/>
        </w:rPr>
        <w:t>[</w:t>
      </w:r>
      <w:r w:rsidR="00D67EB8" w:rsidRPr="009118AB">
        <w:rPr>
          <w:i/>
          <w:iCs/>
          <w:lang w:eastAsia="fr-BE"/>
        </w:rPr>
        <w:t>Art. </w:t>
      </w:r>
      <w:r w:rsidRPr="009118AB">
        <w:rPr>
          <w:i/>
          <w:iCs/>
          <w:lang w:eastAsia="fr-BE"/>
        </w:rPr>
        <w:t xml:space="preserve">206/4 eingefügt durch </w:t>
      </w:r>
      <w:r w:rsidR="00D67EB8" w:rsidRPr="009118AB">
        <w:rPr>
          <w:i/>
          <w:iCs/>
          <w:lang w:eastAsia="fr-BE"/>
        </w:rPr>
        <w:t>Art. </w:t>
      </w:r>
      <w:r w:rsidRPr="009118AB">
        <w:rPr>
          <w:i/>
          <w:iCs/>
          <w:lang w:eastAsia="fr-BE"/>
        </w:rPr>
        <w:t>13</w:t>
      </w:r>
      <w:r w:rsidRPr="009118AB">
        <w:rPr>
          <w:i/>
          <w:iCs/>
        </w:rPr>
        <w:t xml:space="preserve"> des G. vom 21. Januar 2022 (B.S. vom 28. Januar 2022)</w:t>
      </w:r>
      <w:r w:rsidR="00D67EB8" w:rsidRPr="009118AB">
        <w:rPr>
          <w:i/>
          <w:iCs/>
        </w:rPr>
        <w:t> - </w:t>
      </w:r>
      <w:r w:rsidRPr="009118AB">
        <w:rPr>
          <w:i/>
          <w:iCs/>
        </w:rPr>
        <w:t>anwendbar ab dem Steuerjahr 2022</w:t>
      </w:r>
      <w:r w:rsidR="00FD68E8" w:rsidRPr="009118AB">
        <w:rPr>
          <w:i/>
          <w:iCs/>
        </w:rPr>
        <w:t> -</w:t>
      </w:r>
      <w:r w:rsidR="001D7DA2">
        <w:rPr>
          <w:i/>
          <w:iCs/>
        </w:rPr>
        <w:t>; Abs. 3 ersetzt durch Art. 25</w:t>
      </w:r>
      <w:r w:rsidR="001D7DA2" w:rsidRPr="001D7DA2">
        <w:rPr>
          <w:i/>
          <w:iCs/>
        </w:rPr>
        <w:t xml:space="preserve"> des G. vom 22. Dezember 2023 (II) (B.S. vom 29. Dezember 2023) - anwendbar ab dem Steuerjahr 2024 -</w:t>
      </w:r>
      <w:r w:rsidR="00FD68E8" w:rsidRPr="009118AB">
        <w:rPr>
          <w:i/>
          <w:iCs/>
        </w:rPr>
        <w:t>]</w:t>
      </w:r>
    </w:p>
    <w:p w14:paraId="658C8DCD" w14:textId="77777777" w:rsidR="00614E58" w:rsidRPr="009118AB" w:rsidRDefault="00614E58" w:rsidP="00614E58">
      <w:pPr>
        <w:autoSpaceDE w:val="0"/>
        <w:autoSpaceDN w:val="0"/>
        <w:adjustRightInd w:val="0"/>
        <w:jc w:val="both"/>
      </w:pPr>
    </w:p>
    <w:p w14:paraId="2AFBCEFC" w14:textId="77777777" w:rsidR="00614E58" w:rsidRPr="009118AB" w:rsidRDefault="00614E58" w:rsidP="00614E58">
      <w:pPr>
        <w:autoSpaceDE w:val="0"/>
        <w:autoSpaceDN w:val="0"/>
        <w:adjustRightInd w:val="0"/>
        <w:jc w:val="both"/>
      </w:pPr>
    </w:p>
    <w:p w14:paraId="10A6A350" w14:textId="0B4969DB" w:rsidR="00614E58" w:rsidRPr="009118AB" w:rsidRDefault="00614E58" w:rsidP="00614E58">
      <w:pPr>
        <w:jc w:val="both"/>
        <w:rPr>
          <w:lang w:eastAsia="fr-BE"/>
        </w:rPr>
      </w:pPr>
      <w:r w:rsidRPr="009118AB">
        <w:tab/>
        <w:t>[</w:t>
      </w:r>
      <w:r w:rsidR="00D67EB8" w:rsidRPr="009118AB">
        <w:rPr>
          <w:b/>
          <w:bCs/>
          <w:lang w:eastAsia="fr-BE"/>
        </w:rPr>
        <w:t>Art. </w:t>
      </w:r>
      <w:r w:rsidRPr="009118AB">
        <w:rPr>
          <w:b/>
          <w:bCs/>
          <w:lang w:eastAsia="fr-BE"/>
        </w:rPr>
        <w:t>206/5</w:t>
      </w:r>
      <w:r w:rsidR="00D67EB8" w:rsidRPr="009118AB">
        <w:rPr>
          <w:lang w:eastAsia="fr-BE"/>
        </w:rPr>
        <w:t> - </w:t>
      </w:r>
      <w:r w:rsidRPr="009118AB">
        <w:rPr>
          <w:lang w:eastAsia="fr-BE"/>
        </w:rPr>
        <w:t>Vom Restbetrag der Gewinne, der gemäß den Artikeln 206/1 bis 206/4 festgelegt und aufgeschlüsselt wird, werden in dem Maße, wie sie sich noch darin befinden, nacheinander abgezogen:</w:t>
      </w:r>
    </w:p>
    <w:p w14:paraId="63D3F83F" w14:textId="77777777" w:rsidR="00614E58" w:rsidRPr="009118AB" w:rsidRDefault="00614E58" w:rsidP="00614E58">
      <w:pPr>
        <w:jc w:val="both"/>
        <w:rPr>
          <w:lang w:eastAsia="fr-BE"/>
        </w:rPr>
      </w:pPr>
    </w:p>
    <w:p w14:paraId="55E76DF7" w14:textId="77777777" w:rsidR="00614E58" w:rsidRPr="009118AB" w:rsidRDefault="00614E58" w:rsidP="00614E58">
      <w:pPr>
        <w:jc w:val="both"/>
        <w:rPr>
          <w:lang w:eastAsia="fr-BE"/>
        </w:rPr>
      </w:pPr>
      <w:r w:rsidRPr="009118AB">
        <w:rPr>
          <w:lang w:eastAsia="fr-BE"/>
        </w:rPr>
        <w:tab/>
        <w:t>1. durch Abkommen befreite Gewinne,</w:t>
      </w:r>
    </w:p>
    <w:p w14:paraId="2A7277D8" w14:textId="77777777" w:rsidR="00614E58" w:rsidRPr="009118AB" w:rsidRDefault="00614E58" w:rsidP="00614E58">
      <w:pPr>
        <w:jc w:val="both"/>
        <w:rPr>
          <w:lang w:eastAsia="fr-BE"/>
        </w:rPr>
      </w:pPr>
    </w:p>
    <w:p w14:paraId="046C6E84" w14:textId="77777777" w:rsidR="00614E58" w:rsidRPr="009118AB" w:rsidRDefault="00614E58" w:rsidP="00614E58">
      <w:pPr>
        <w:jc w:val="both"/>
        <w:rPr>
          <w:lang w:eastAsia="fr-BE"/>
        </w:rPr>
      </w:pPr>
      <w:r w:rsidRPr="009118AB">
        <w:rPr>
          <w:lang w:eastAsia="fr-BE"/>
        </w:rPr>
        <w:tab/>
        <w:t>2. global:</w:t>
      </w:r>
    </w:p>
    <w:p w14:paraId="4ED877A6" w14:textId="77777777" w:rsidR="00614E58" w:rsidRPr="009118AB" w:rsidRDefault="00614E58" w:rsidP="00614E58">
      <w:pPr>
        <w:jc w:val="both"/>
        <w:rPr>
          <w:lang w:eastAsia="fr-BE"/>
        </w:rPr>
      </w:pPr>
    </w:p>
    <w:p w14:paraId="6172EFE6" w14:textId="11AAF78B" w:rsidR="00614E58" w:rsidRPr="009118AB" w:rsidRDefault="00614E58" w:rsidP="00614E58">
      <w:pPr>
        <w:jc w:val="both"/>
        <w:rPr>
          <w:lang w:eastAsia="fr-BE"/>
        </w:rPr>
      </w:pPr>
      <w:r w:rsidRPr="009118AB">
        <w:rPr>
          <w:lang w:eastAsia="fr-BE"/>
        </w:rPr>
        <w:tab/>
      </w:r>
      <w:r w:rsidRPr="009118AB">
        <w:rPr>
          <w:i/>
          <w:iCs/>
          <w:lang w:eastAsia="fr-BE"/>
        </w:rPr>
        <w:t>a)</w:t>
      </w:r>
      <w:r w:rsidRPr="009118AB">
        <w:rPr>
          <w:lang w:eastAsia="fr-BE"/>
        </w:rPr>
        <w:t> der steuerfreie Teil der unentgeltlichen Zuwendungen wie in Artikel 145</w:t>
      </w:r>
      <w:r w:rsidRPr="009118AB">
        <w:rPr>
          <w:vertAlign w:val="superscript"/>
          <w:lang w:eastAsia="fr-BE"/>
        </w:rPr>
        <w:t>33</w:t>
      </w:r>
      <w:r w:rsidRPr="009118AB">
        <w:rPr>
          <w:lang w:eastAsia="fr-BE"/>
        </w:rPr>
        <w:t xml:space="preserve"> </w:t>
      </w:r>
      <w:r w:rsidR="00D67EB8" w:rsidRPr="009118AB">
        <w:rPr>
          <w:lang w:eastAsia="fr-BE"/>
        </w:rPr>
        <w:t>§ </w:t>
      </w:r>
      <w:r w:rsidRPr="009118AB">
        <w:rPr>
          <w:lang w:eastAsia="fr-BE"/>
        </w:rPr>
        <w:t xml:space="preserve">1 Absatz 1 </w:t>
      </w:r>
      <w:r w:rsidR="00D67EB8" w:rsidRPr="009118AB">
        <w:rPr>
          <w:lang w:eastAsia="fr-BE"/>
        </w:rPr>
        <w:t>Nr. </w:t>
      </w:r>
      <w:r w:rsidRPr="009118AB">
        <w:rPr>
          <w:lang w:eastAsia="fr-BE"/>
        </w:rPr>
        <w:t>1 bis 3 und 4 Buchstabe </w:t>
      </w:r>
      <w:r w:rsidRPr="009118AB">
        <w:rPr>
          <w:i/>
          <w:iCs/>
          <w:lang w:eastAsia="fr-BE"/>
        </w:rPr>
        <w:t>a)</w:t>
      </w:r>
      <w:r w:rsidRPr="009118AB">
        <w:rPr>
          <w:lang w:eastAsia="fr-BE"/>
        </w:rPr>
        <w:t xml:space="preserve"> erwähnt,</w:t>
      </w:r>
    </w:p>
    <w:p w14:paraId="116A272B" w14:textId="77777777" w:rsidR="00614E58" w:rsidRPr="009118AB" w:rsidRDefault="00614E58" w:rsidP="00614E58">
      <w:pPr>
        <w:jc w:val="both"/>
        <w:rPr>
          <w:lang w:eastAsia="fr-BE"/>
        </w:rPr>
      </w:pPr>
    </w:p>
    <w:p w14:paraId="306D6394" w14:textId="2C44698E" w:rsidR="00614E58" w:rsidRPr="009118AB" w:rsidRDefault="00614E58" w:rsidP="00614E58">
      <w:pPr>
        <w:jc w:val="both"/>
        <w:rPr>
          <w:lang w:eastAsia="fr-BE"/>
        </w:rPr>
      </w:pPr>
      <w:r w:rsidRPr="009118AB">
        <w:rPr>
          <w:lang w:eastAsia="fr-BE"/>
        </w:rPr>
        <w:tab/>
      </w:r>
      <w:r w:rsidRPr="009118AB">
        <w:rPr>
          <w:i/>
          <w:iCs/>
          <w:lang w:eastAsia="fr-BE"/>
        </w:rPr>
        <w:t>b)</w:t>
      </w:r>
      <w:r w:rsidRPr="009118AB">
        <w:rPr>
          <w:lang w:eastAsia="fr-BE"/>
        </w:rPr>
        <w:t xml:space="preserve"> andere nicht steuerpflichtige Bestandteile, die in den Gewinnen enthalten sind und nicht in </w:t>
      </w:r>
      <w:r w:rsidR="00D67EB8" w:rsidRPr="009118AB">
        <w:rPr>
          <w:lang w:eastAsia="fr-BE"/>
        </w:rPr>
        <w:t>Nr. </w:t>
      </w:r>
      <w:r w:rsidRPr="009118AB">
        <w:rPr>
          <w:lang w:eastAsia="fr-BE"/>
        </w:rPr>
        <w:t>1 oder 2 Buchstabe </w:t>
      </w:r>
      <w:r w:rsidRPr="009118AB">
        <w:rPr>
          <w:i/>
          <w:iCs/>
          <w:lang w:eastAsia="fr-BE"/>
        </w:rPr>
        <w:t>a)</w:t>
      </w:r>
      <w:r w:rsidRPr="009118AB">
        <w:rPr>
          <w:lang w:eastAsia="fr-BE"/>
        </w:rPr>
        <w:t xml:space="preserve"> erwähnt sind, insbesondere die in Artikel 67</w:t>
      </w:r>
      <w:r w:rsidRPr="009118AB">
        <w:rPr>
          <w:i/>
          <w:iCs/>
          <w:lang w:eastAsia="fr-BE"/>
        </w:rPr>
        <w:t>quater</w:t>
      </w:r>
      <w:r w:rsidRPr="009118AB">
        <w:rPr>
          <w:lang w:eastAsia="fr-BE"/>
        </w:rPr>
        <w:t xml:space="preserve"> erwähnte Steuerbefreiung für Sozialverbindlichkeiten aufgrund des Einheitsstatuts, die in </w:t>
      </w:r>
      <w:r w:rsidRPr="009118AB">
        <w:rPr>
          <w:lang w:eastAsia="fr-BE"/>
        </w:rPr>
        <w:lastRenderedPageBreak/>
        <w:t>Artikel 67</w:t>
      </w:r>
      <w:r w:rsidRPr="009118AB">
        <w:rPr>
          <w:i/>
          <w:iCs/>
          <w:lang w:eastAsia="fr-BE"/>
        </w:rPr>
        <w:t>quinquies</w:t>
      </w:r>
      <w:r w:rsidRPr="009118AB">
        <w:rPr>
          <w:lang w:eastAsia="fr-BE"/>
        </w:rPr>
        <w:t xml:space="preserve"> erwähnten Ausgleichsentschädigungen für Verdienstausfall und die Erstattungen der in Artikel 53 </w:t>
      </w:r>
      <w:r w:rsidR="00D67EB8" w:rsidRPr="009118AB">
        <w:rPr>
          <w:lang w:eastAsia="fr-BE"/>
        </w:rPr>
        <w:t>Nr. </w:t>
      </w:r>
      <w:r w:rsidRPr="009118AB">
        <w:rPr>
          <w:lang w:eastAsia="fr-BE"/>
        </w:rPr>
        <w:t>6 erwähnten Geldbußen.</w:t>
      </w:r>
    </w:p>
    <w:p w14:paraId="6F91FF20" w14:textId="77777777" w:rsidR="00614E58" w:rsidRPr="009118AB" w:rsidRDefault="00614E58" w:rsidP="00614E58">
      <w:pPr>
        <w:jc w:val="both"/>
        <w:rPr>
          <w:lang w:eastAsia="fr-BE"/>
        </w:rPr>
      </w:pPr>
    </w:p>
    <w:p w14:paraId="5801F55C" w14:textId="223A0E8C" w:rsidR="00614E58" w:rsidRPr="009118AB" w:rsidRDefault="00614E58" w:rsidP="00614E58">
      <w:pPr>
        <w:autoSpaceDE w:val="0"/>
        <w:autoSpaceDN w:val="0"/>
        <w:adjustRightInd w:val="0"/>
        <w:jc w:val="both"/>
        <w:rPr>
          <w:lang w:eastAsia="fr-BE"/>
        </w:rPr>
      </w:pPr>
      <w:r w:rsidRPr="009118AB">
        <w:rPr>
          <w:lang w:eastAsia="fr-BE"/>
        </w:rPr>
        <w:tab/>
        <w:t xml:space="preserve">Die Summe der in Absatz 1 </w:t>
      </w:r>
      <w:r w:rsidR="00D67EB8" w:rsidRPr="009118AB">
        <w:rPr>
          <w:lang w:eastAsia="fr-BE"/>
        </w:rPr>
        <w:t>Nr. </w:t>
      </w:r>
      <w:r w:rsidRPr="009118AB">
        <w:rPr>
          <w:lang w:eastAsia="fr-BE"/>
        </w:rPr>
        <w:t>2 erwähnten Beträge wird vorrangig von den belgischen Gewinnen des Besteuerungszeitraums und im Verhältnis zum eventuellen Überschuss von den nicht durch Abkommen befreiten Gewinnen dieses Zeitraums abgezogen.]</w:t>
      </w:r>
    </w:p>
    <w:p w14:paraId="030E1808" w14:textId="77777777" w:rsidR="00614E58" w:rsidRPr="009118AB" w:rsidRDefault="00614E58" w:rsidP="00614E58">
      <w:pPr>
        <w:autoSpaceDE w:val="0"/>
        <w:autoSpaceDN w:val="0"/>
        <w:adjustRightInd w:val="0"/>
        <w:jc w:val="both"/>
      </w:pPr>
    </w:p>
    <w:p w14:paraId="1D85C53A" w14:textId="48B16F10" w:rsidR="00614E58" w:rsidRPr="009118AB" w:rsidRDefault="00614E58" w:rsidP="00614E58">
      <w:pPr>
        <w:autoSpaceDE w:val="0"/>
        <w:autoSpaceDN w:val="0"/>
        <w:adjustRightInd w:val="0"/>
        <w:jc w:val="both"/>
        <w:rPr>
          <w:i/>
          <w:iCs/>
        </w:rPr>
      </w:pPr>
      <w:r w:rsidRPr="009118AB">
        <w:rPr>
          <w:i/>
          <w:iCs/>
          <w:lang w:eastAsia="fr-BE"/>
        </w:rPr>
        <w:t>[</w:t>
      </w:r>
      <w:r w:rsidR="00D67EB8" w:rsidRPr="009118AB">
        <w:rPr>
          <w:i/>
          <w:iCs/>
          <w:lang w:eastAsia="fr-BE"/>
        </w:rPr>
        <w:t>Art. </w:t>
      </w:r>
      <w:r w:rsidRPr="009118AB">
        <w:rPr>
          <w:i/>
          <w:iCs/>
          <w:lang w:eastAsia="fr-BE"/>
        </w:rPr>
        <w:t xml:space="preserve">206/5 eingefügt durch </w:t>
      </w:r>
      <w:r w:rsidR="00D67EB8" w:rsidRPr="009118AB">
        <w:rPr>
          <w:i/>
          <w:iCs/>
          <w:lang w:eastAsia="fr-BE"/>
        </w:rPr>
        <w:t>Art. </w:t>
      </w:r>
      <w:r w:rsidRPr="009118AB">
        <w:rPr>
          <w:i/>
          <w:iCs/>
          <w:lang w:eastAsia="fr-BE"/>
        </w:rPr>
        <w:t>14</w:t>
      </w:r>
      <w:r w:rsidRPr="009118AB">
        <w:rPr>
          <w:i/>
          <w:iCs/>
        </w:rPr>
        <w:t xml:space="preserve"> des G. vom 21. Januar 2022 (B.S. vom 28. Januar 2022)</w:t>
      </w:r>
      <w:r w:rsidR="00D67EB8" w:rsidRPr="009118AB">
        <w:rPr>
          <w:i/>
          <w:iCs/>
        </w:rPr>
        <w:t> - </w:t>
      </w:r>
      <w:r w:rsidRPr="009118AB">
        <w:rPr>
          <w:i/>
          <w:iCs/>
        </w:rPr>
        <w:t>anwendbar ab dem Steuerjahr 2022</w:t>
      </w:r>
      <w:r w:rsidR="00FD68E8" w:rsidRPr="009118AB">
        <w:rPr>
          <w:i/>
          <w:iCs/>
        </w:rPr>
        <w:t> -]</w:t>
      </w:r>
    </w:p>
    <w:p w14:paraId="4F275B3E" w14:textId="77777777" w:rsidR="00614E58" w:rsidRPr="009118AB" w:rsidRDefault="00614E58" w:rsidP="00477B8F">
      <w:pPr>
        <w:autoSpaceDE w:val="0"/>
        <w:autoSpaceDN w:val="0"/>
        <w:adjustRightInd w:val="0"/>
        <w:jc w:val="both"/>
      </w:pPr>
    </w:p>
    <w:p w14:paraId="56FA6CC8" w14:textId="77777777" w:rsidR="00614E58" w:rsidRPr="009118AB" w:rsidRDefault="00614E58" w:rsidP="00477B8F">
      <w:pPr>
        <w:autoSpaceDE w:val="0"/>
        <w:autoSpaceDN w:val="0"/>
        <w:adjustRightInd w:val="0"/>
        <w:jc w:val="both"/>
      </w:pPr>
    </w:p>
    <w:p w14:paraId="52DD3C71" w14:textId="72A41AF6" w:rsidR="00F77D61" w:rsidRPr="0034188D" w:rsidRDefault="00477B8F" w:rsidP="0034188D">
      <w:pPr>
        <w:autoSpaceDE w:val="0"/>
        <w:autoSpaceDN w:val="0"/>
        <w:adjustRightInd w:val="0"/>
        <w:jc w:val="both"/>
        <w:rPr>
          <w:bCs/>
          <w:iCs/>
        </w:rPr>
      </w:pPr>
      <w:r w:rsidRPr="009118AB">
        <w:tab/>
      </w:r>
      <w:r w:rsidR="00D67EB8" w:rsidRPr="009118AB">
        <w:rPr>
          <w:b/>
          <w:bCs/>
          <w:iCs/>
        </w:rPr>
        <w:t>Art. </w:t>
      </w:r>
      <w:r w:rsidR="008130C1" w:rsidRPr="009118AB">
        <w:rPr>
          <w:b/>
          <w:bCs/>
          <w:iCs/>
        </w:rPr>
        <w:t>207</w:t>
      </w:r>
      <w:r w:rsidR="00D67EB8" w:rsidRPr="009118AB">
        <w:rPr>
          <w:iCs/>
        </w:rPr>
        <w:t> - </w:t>
      </w:r>
      <w:r w:rsidR="00F77D61" w:rsidRPr="0034188D">
        <w:rPr>
          <w:bCs/>
          <w:iCs/>
        </w:rPr>
        <w:t>[</w:t>
      </w:r>
      <w:r w:rsidR="00F77D61" w:rsidRPr="0034188D">
        <w:rPr>
          <w:bCs/>
        </w:rPr>
        <w:t>Die in den Artikeln 201 bis 206, 536 und 543 erwähnten Abzüge werden wie folgt von den Gewinnen abgezogen, die nach Anwendung von Artikel 206/5 übrig bleiben. Diese Abzüge werden unter Berücksichtigung der Herkunft der Gewinne vorgenommen und vorrangig von den Gewinnen abgezogen, in denen diese Beträge enthalten sind.</w:t>
      </w:r>
      <w:r w:rsidR="00F77D61" w:rsidRPr="0034188D">
        <w:rPr>
          <w:bCs/>
          <w:iCs/>
        </w:rPr>
        <w:t>]</w:t>
      </w:r>
    </w:p>
    <w:p w14:paraId="0C64A647" w14:textId="77777777" w:rsidR="00F77D61" w:rsidRPr="0034188D" w:rsidRDefault="00F77D61" w:rsidP="0034188D">
      <w:pPr>
        <w:autoSpaceDE w:val="0"/>
        <w:autoSpaceDN w:val="0"/>
        <w:adjustRightInd w:val="0"/>
        <w:ind w:firstLine="709"/>
        <w:jc w:val="both"/>
        <w:rPr>
          <w:bCs/>
          <w:iCs/>
        </w:rPr>
      </w:pPr>
    </w:p>
    <w:p w14:paraId="4CA5BE86" w14:textId="1CAB3486" w:rsidR="00F77D61" w:rsidRPr="0034188D" w:rsidRDefault="00F77D61" w:rsidP="0034188D">
      <w:pPr>
        <w:autoSpaceDE w:val="0"/>
        <w:autoSpaceDN w:val="0"/>
        <w:adjustRightInd w:val="0"/>
        <w:ind w:firstLine="709"/>
        <w:jc w:val="both"/>
        <w:rPr>
          <w:bCs/>
          <w:iCs/>
        </w:rPr>
      </w:pPr>
      <w:r w:rsidRPr="0034188D">
        <w:rPr>
          <w:bCs/>
          <w:iCs/>
        </w:rPr>
        <w:t>[An erster Stelle und in nachstehend festgelegter Reihenfolge bis zum übrig bleibenden</w:t>
      </w:r>
      <w:r w:rsidR="0034188D">
        <w:rPr>
          <w:bCs/>
          <w:iCs/>
        </w:rPr>
        <w:t xml:space="preserve"> </w:t>
      </w:r>
      <w:r w:rsidRPr="0034188D">
        <w:rPr>
          <w:bCs/>
          <w:iCs/>
        </w:rPr>
        <w:t>Restbetrag der Gewinne des Besteuerungszeitraums:</w:t>
      </w:r>
    </w:p>
    <w:p w14:paraId="0D8AF319" w14:textId="77777777" w:rsidR="00F77D61" w:rsidRPr="0034188D" w:rsidRDefault="00F77D61" w:rsidP="0034188D">
      <w:pPr>
        <w:autoSpaceDE w:val="0"/>
        <w:autoSpaceDN w:val="0"/>
        <w:adjustRightInd w:val="0"/>
        <w:ind w:firstLine="709"/>
        <w:jc w:val="both"/>
        <w:rPr>
          <w:bCs/>
          <w:iCs/>
        </w:rPr>
      </w:pPr>
    </w:p>
    <w:p w14:paraId="269CC673" w14:textId="77777777" w:rsidR="00F77D61" w:rsidRPr="0034188D" w:rsidRDefault="00F77D61" w:rsidP="0034188D">
      <w:pPr>
        <w:autoSpaceDE w:val="0"/>
        <w:autoSpaceDN w:val="0"/>
        <w:adjustRightInd w:val="0"/>
        <w:ind w:firstLine="709"/>
        <w:jc w:val="both"/>
        <w:rPr>
          <w:bCs/>
          <w:iCs/>
        </w:rPr>
      </w:pPr>
      <w:r w:rsidRPr="0034188D">
        <w:rPr>
          <w:bCs/>
          <w:iCs/>
        </w:rPr>
        <w:t>- [...]</w:t>
      </w:r>
    </w:p>
    <w:p w14:paraId="6775DE60" w14:textId="77777777" w:rsidR="00F77D61" w:rsidRPr="0034188D" w:rsidRDefault="00F77D61" w:rsidP="0034188D">
      <w:pPr>
        <w:autoSpaceDE w:val="0"/>
        <w:autoSpaceDN w:val="0"/>
        <w:adjustRightInd w:val="0"/>
        <w:ind w:firstLine="709"/>
        <w:jc w:val="both"/>
        <w:rPr>
          <w:bCs/>
          <w:iCs/>
        </w:rPr>
      </w:pPr>
    </w:p>
    <w:p w14:paraId="2FE0F659" w14:textId="77777777" w:rsidR="00F77D61" w:rsidRPr="0034188D" w:rsidRDefault="00F77D61" w:rsidP="0034188D">
      <w:pPr>
        <w:autoSpaceDE w:val="0"/>
        <w:autoSpaceDN w:val="0"/>
        <w:adjustRightInd w:val="0"/>
        <w:ind w:firstLine="709"/>
        <w:jc w:val="both"/>
        <w:rPr>
          <w:bCs/>
          <w:iCs/>
        </w:rPr>
      </w:pPr>
      <w:r w:rsidRPr="0034188D">
        <w:rPr>
          <w:bCs/>
          <w:iCs/>
        </w:rPr>
        <w:t>- der in den Artikeln 202 bis 205 erwähnte Abzug unter Ausschluss des Teils dieses Abzugs, der sich auf die in Artikel 205 § 3 erwähnten Einkünfte eines vorhergehenden Besteuerungszeitraums bezieht, die nicht von den Gewinnen dieses Zeitraums abgezogen werden konnten,</w:t>
      </w:r>
    </w:p>
    <w:p w14:paraId="64577644" w14:textId="77777777" w:rsidR="00F77D61" w:rsidRPr="0034188D" w:rsidRDefault="00F77D61" w:rsidP="0034188D">
      <w:pPr>
        <w:autoSpaceDE w:val="0"/>
        <w:autoSpaceDN w:val="0"/>
        <w:adjustRightInd w:val="0"/>
        <w:ind w:firstLine="709"/>
        <w:jc w:val="both"/>
        <w:rPr>
          <w:bCs/>
          <w:iCs/>
        </w:rPr>
      </w:pPr>
    </w:p>
    <w:p w14:paraId="0A6108EA" w14:textId="77777777" w:rsidR="00F77D61" w:rsidRPr="0034188D" w:rsidRDefault="00F77D61" w:rsidP="0034188D">
      <w:pPr>
        <w:autoSpaceDE w:val="0"/>
        <w:autoSpaceDN w:val="0"/>
        <w:adjustRightInd w:val="0"/>
        <w:ind w:firstLine="709"/>
        <w:jc w:val="both"/>
        <w:rPr>
          <w:bCs/>
          <w:iCs/>
        </w:rPr>
      </w:pPr>
      <w:r w:rsidRPr="0034188D">
        <w:rPr>
          <w:bCs/>
          <w:iCs/>
        </w:rPr>
        <w:t>- der in Artikel 543 erwähnte Abzug für Einkünfte aus Patenten,</w:t>
      </w:r>
    </w:p>
    <w:p w14:paraId="479FB64D" w14:textId="77777777" w:rsidR="00F77D61" w:rsidRPr="0034188D" w:rsidRDefault="00F77D61" w:rsidP="0034188D">
      <w:pPr>
        <w:autoSpaceDE w:val="0"/>
        <w:autoSpaceDN w:val="0"/>
        <w:adjustRightInd w:val="0"/>
        <w:ind w:firstLine="709"/>
        <w:jc w:val="both"/>
        <w:rPr>
          <w:bCs/>
          <w:iCs/>
        </w:rPr>
      </w:pPr>
    </w:p>
    <w:p w14:paraId="552171C7" w14:textId="77777777" w:rsidR="00F77D61" w:rsidRPr="0034188D" w:rsidRDefault="00F77D61" w:rsidP="0034188D">
      <w:pPr>
        <w:autoSpaceDE w:val="0"/>
        <w:autoSpaceDN w:val="0"/>
        <w:adjustRightInd w:val="0"/>
        <w:ind w:firstLine="709"/>
        <w:jc w:val="both"/>
        <w:rPr>
          <w:bCs/>
          <w:iCs/>
        </w:rPr>
      </w:pPr>
      <w:r w:rsidRPr="0034188D">
        <w:rPr>
          <w:bCs/>
          <w:iCs/>
        </w:rPr>
        <w:t>- der in den Artikeln 205/1 bis 205/4 erwähnte Abzug unter Ausschluss des Teils dieses Abzugs, der sich auf die in Artikel 205/1 § 1 Absatz 2 erwähnten Einkünfte eines vor</w:t>
      </w:r>
      <w:r w:rsidRPr="0034188D">
        <w:rPr>
          <w:bCs/>
          <w:iCs/>
        </w:rPr>
        <w:softHyphen/>
        <w:t>hergehenden Besteuerungszeitraums bezieht, die nicht von den Gewinnen dieses Zeitraums abgezogen werden konnten,</w:t>
      </w:r>
    </w:p>
    <w:p w14:paraId="7F16B5E8" w14:textId="77777777" w:rsidR="00F77D61" w:rsidRPr="0034188D" w:rsidRDefault="00F77D61" w:rsidP="0034188D">
      <w:pPr>
        <w:autoSpaceDE w:val="0"/>
        <w:autoSpaceDN w:val="0"/>
        <w:adjustRightInd w:val="0"/>
        <w:ind w:firstLine="709"/>
        <w:jc w:val="both"/>
        <w:rPr>
          <w:bCs/>
          <w:iCs/>
        </w:rPr>
      </w:pPr>
    </w:p>
    <w:p w14:paraId="254D8496" w14:textId="77777777" w:rsidR="00F77D61" w:rsidRPr="0034188D" w:rsidRDefault="00F77D61" w:rsidP="0034188D">
      <w:pPr>
        <w:autoSpaceDE w:val="0"/>
        <w:autoSpaceDN w:val="0"/>
        <w:adjustRightInd w:val="0"/>
        <w:ind w:firstLine="709"/>
        <w:jc w:val="both"/>
        <w:rPr>
          <w:bCs/>
          <w:iCs/>
        </w:rPr>
      </w:pPr>
      <w:r w:rsidRPr="0034188D">
        <w:rPr>
          <w:bCs/>
          <w:iCs/>
        </w:rPr>
        <w:t>- [</w:t>
      </w:r>
      <w:r w:rsidRPr="0034188D">
        <w:rPr>
          <w:bCs/>
        </w:rPr>
        <w:t>der Investitionsabzug, der nur vom Betrag der belgischen Gewinne abgezogen wird, der nach Anwendung der vorhergehenden Gedankenstriche übrig bleibt,</w:t>
      </w:r>
      <w:r w:rsidRPr="0034188D">
        <w:rPr>
          <w:bCs/>
          <w:iCs/>
        </w:rPr>
        <w:t>]]</w:t>
      </w:r>
    </w:p>
    <w:p w14:paraId="29E43959" w14:textId="77777777" w:rsidR="00F77D61" w:rsidRPr="0034188D" w:rsidRDefault="00F77D61" w:rsidP="0034188D">
      <w:pPr>
        <w:autoSpaceDE w:val="0"/>
        <w:autoSpaceDN w:val="0"/>
        <w:adjustRightInd w:val="0"/>
        <w:ind w:firstLine="709"/>
        <w:jc w:val="both"/>
        <w:rPr>
          <w:bCs/>
          <w:iCs/>
        </w:rPr>
      </w:pPr>
    </w:p>
    <w:p w14:paraId="3378D06B" w14:textId="77777777" w:rsidR="00F77D61" w:rsidRPr="0034188D" w:rsidRDefault="00F77D61" w:rsidP="0034188D">
      <w:pPr>
        <w:autoSpaceDE w:val="0"/>
        <w:autoSpaceDN w:val="0"/>
        <w:adjustRightInd w:val="0"/>
        <w:ind w:firstLine="709"/>
        <w:jc w:val="both"/>
        <w:rPr>
          <w:bCs/>
          <w:iCs/>
        </w:rPr>
      </w:pPr>
      <w:r w:rsidRPr="0034188D">
        <w:rPr>
          <w:bCs/>
          <w:iCs/>
        </w:rPr>
        <w:t>[- der in Artikel 205/5 erwähnte Abzug des Konzernbeitrags.]</w:t>
      </w:r>
    </w:p>
    <w:p w14:paraId="3CE05E7B" w14:textId="77777777" w:rsidR="00F77D61" w:rsidRPr="0034188D" w:rsidRDefault="00F77D61" w:rsidP="0034188D">
      <w:pPr>
        <w:autoSpaceDE w:val="0"/>
        <w:autoSpaceDN w:val="0"/>
        <w:adjustRightInd w:val="0"/>
        <w:ind w:firstLine="709"/>
        <w:jc w:val="both"/>
        <w:rPr>
          <w:bCs/>
          <w:iCs/>
        </w:rPr>
      </w:pPr>
    </w:p>
    <w:p w14:paraId="069564B6" w14:textId="77777777" w:rsidR="00F77D61" w:rsidRPr="0034188D" w:rsidRDefault="00F77D61" w:rsidP="0034188D">
      <w:pPr>
        <w:autoSpaceDE w:val="0"/>
        <w:autoSpaceDN w:val="0"/>
        <w:adjustRightInd w:val="0"/>
        <w:ind w:firstLine="709"/>
        <w:jc w:val="both"/>
        <w:rPr>
          <w:bCs/>
          <w:iCs/>
        </w:rPr>
      </w:pPr>
      <w:r w:rsidRPr="0034188D">
        <w:rPr>
          <w:bCs/>
          <w:iCs/>
        </w:rPr>
        <w:t>[An zweiter Stelle und in nachstehend festgelegter Reihenfolge bis zum Restbetrag der Gewinne des Besteuerungszeitraums, der nach Anwendung von Absatz 2 übrig bleibt:</w:t>
      </w:r>
    </w:p>
    <w:p w14:paraId="2C454D4B" w14:textId="77777777" w:rsidR="00F77D61" w:rsidRPr="0034188D" w:rsidRDefault="00F77D61" w:rsidP="0034188D">
      <w:pPr>
        <w:autoSpaceDE w:val="0"/>
        <w:autoSpaceDN w:val="0"/>
        <w:adjustRightInd w:val="0"/>
        <w:ind w:firstLine="709"/>
        <w:jc w:val="both"/>
        <w:rPr>
          <w:bCs/>
          <w:iCs/>
        </w:rPr>
      </w:pPr>
    </w:p>
    <w:p w14:paraId="79B31268" w14:textId="77777777" w:rsidR="00F77D61" w:rsidRPr="0034188D" w:rsidRDefault="00F77D61" w:rsidP="0034188D">
      <w:pPr>
        <w:autoSpaceDE w:val="0"/>
        <w:autoSpaceDN w:val="0"/>
        <w:adjustRightInd w:val="0"/>
        <w:ind w:firstLine="709"/>
        <w:jc w:val="both"/>
        <w:rPr>
          <w:bCs/>
          <w:iCs/>
        </w:rPr>
      </w:pPr>
      <w:r w:rsidRPr="0034188D">
        <w:rPr>
          <w:bCs/>
          <w:iCs/>
        </w:rPr>
        <w:t>- [...]</w:t>
      </w:r>
    </w:p>
    <w:p w14:paraId="65D609A7" w14:textId="77777777" w:rsidR="00F77D61" w:rsidRPr="0034188D" w:rsidRDefault="00F77D61" w:rsidP="0034188D">
      <w:pPr>
        <w:autoSpaceDE w:val="0"/>
        <w:autoSpaceDN w:val="0"/>
        <w:adjustRightInd w:val="0"/>
        <w:ind w:firstLine="709"/>
        <w:jc w:val="both"/>
        <w:rPr>
          <w:bCs/>
          <w:iCs/>
        </w:rPr>
      </w:pPr>
    </w:p>
    <w:p w14:paraId="5F3D3ED5" w14:textId="77777777" w:rsidR="00F77D61" w:rsidRPr="0034188D" w:rsidRDefault="00F77D61" w:rsidP="0034188D">
      <w:pPr>
        <w:autoSpaceDE w:val="0"/>
        <w:autoSpaceDN w:val="0"/>
        <w:adjustRightInd w:val="0"/>
        <w:ind w:firstLine="709"/>
        <w:jc w:val="both"/>
        <w:rPr>
          <w:bCs/>
          <w:iCs/>
        </w:rPr>
      </w:pPr>
      <w:r w:rsidRPr="0034188D">
        <w:rPr>
          <w:bCs/>
          <w:iCs/>
        </w:rPr>
        <w:t>- der Abzug der in Artikel 205 § 3 erwähnten Einkünfte eines vorhergehenden Besteuerungszeitraums, die nicht von den Gewinnen dieses Zeitraums oder eines späteren Zeitraums abgezogen werden konnten,</w:t>
      </w:r>
    </w:p>
    <w:p w14:paraId="4BA05230" w14:textId="77777777" w:rsidR="00F77D61" w:rsidRPr="0034188D" w:rsidRDefault="00F77D61" w:rsidP="0034188D">
      <w:pPr>
        <w:autoSpaceDE w:val="0"/>
        <w:autoSpaceDN w:val="0"/>
        <w:adjustRightInd w:val="0"/>
        <w:ind w:firstLine="709"/>
        <w:jc w:val="both"/>
        <w:rPr>
          <w:bCs/>
          <w:iCs/>
        </w:rPr>
      </w:pPr>
    </w:p>
    <w:p w14:paraId="607DC8FD" w14:textId="77777777" w:rsidR="00F77D61" w:rsidRPr="0034188D" w:rsidRDefault="00F77D61" w:rsidP="0034188D">
      <w:pPr>
        <w:autoSpaceDE w:val="0"/>
        <w:autoSpaceDN w:val="0"/>
        <w:adjustRightInd w:val="0"/>
        <w:ind w:firstLine="709"/>
        <w:jc w:val="both"/>
        <w:rPr>
          <w:bCs/>
          <w:iCs/>
        </w:rPr>
      </w:pPr>
      <w:r w:rsidRPr="0034188D">
        <w:rPr>
          <w:bCs/>
          <w:iCs/>
        </w:rPr>
        <w:t>- der Abzug der in Artikel 205/1 § 1 Absatz 2 erwähnten Einkünfte eines vorher</w:t>
      </w:r>
      <w:r w:rsidRPr="0034188D">
        <w:rPr>
          <w:bCs/>
          <w:iCs/>
        </w:rPr>
        <w:softHyphen/>
        <w:t>gehenden Besteuerungszeitraums, die nicht von den Gewinnen dieses Zeitraums oder eines späteren Zeitraums abgezogen werden konnten,</w:t>
      </w:r>
    </w:p>
    <w:p w14:paraId="54946BAC" w14:textId="77777777" w:rsidR="00F77D61" w:rsidRPr="0034188D" w:rsidRDefault="00F77D61" w:rsidP="0034188D">
      <w:pPr>
        <w:autoSpaceDE w:val="0"/>
        <w:autoSpaceDN w:val="0"/>
        <w:adjustRightInd w:val="0"/>
        <w:ind w:firstLine="709"/>
        <w:jc w:val="both"/>
        <w:rPr>
          <w:bCs/>
          <w:iCs/>
        </w:rPr>
      </w:pPr>
    </w:p>
    <w:p w14:paraId="5CF3968D" w14:textId="77777777" w:rsidR="00F77D61" w:rsidRPr="0034188D" w:rsidRDefault="00F77D61" w:rsidP="0034188D">
      <w:pPr>
        <w:autoSpaceDE w:val="0"/>
        <w:autoSpaceDN w:val="0"/>
        <w:adjustRightInd w:val="0"/>
        <w:ind w:firstLine="709"/>
        <w:jc w:val="both"/>
        <w:rPr>
          <w:bCs/>
          <w:iCs/>
        </w:rPr>
      </w:pPr>
      <w:r w:rsidRPr="0034188D">
        <w:rPr>
          <w:bCs/>
          <w:iCs/>
        </w:rPr>
        <w:t>- die in Artikel 206 erwähnten vorherigen beruflichen Verluste,</w:t>
      </w:r>
    </w:p>
    <w:p w14:paraId="07E37CBD" w14:textId="77777777" w:rsidR="00F77D61" w:rsidRPr="0034188D" w:rsidRDefault="00F77D61" w:rsidP="0034188D">
      <w:pPr>
        <w:autoSpaceDE w:val="0"/>
        <w:autoSpaceDN w:val="0"/>
        <w:adjustRightInd w:val="0"/>
        <w:ind w:firstLine="709"/>
        <w:jc w:val="both"/>
        <w:rPr>
          <w:bCs/>
          <w:iCs/>
        </w:rPr>
      </w:pPr>
    </w:p>
    <w:p w14:paraId="3D350626" w14:textId="77777777" w:rsidR="00F77D61" w:rsidRPr="0034188D" w:rsidRDefault="00F77D61" w:rsidP="0034188D">
      <w:pPr>
        <w:autoSpaceDE w:val="0"/>
        <w:autoSpaceDN w:val="0"/>
        <w:adjustRightInd w:val="0"/>
        <w:ind w:firstLine="709"/>
        <w:jc w:val="both"/>
        <w:rPr>
          <w:bCs/>
          <w:iCs/>
        </w:rPr>
      </w:pPr>
      <w:r w:rsidRPr="0034188D">
        <w:rPr>
          <w:bCs/>
          <w:iCs/>
        </w:rPr>
        <w:t>- der in Artikel 536 Absatz 3 erwähnte Abzug,</w:t>
      </w:r>
    </w:p>
    <w:p w14:paraId="3639AF14" w14:textId="77777777" w:rsidR="00F77D61" w:rsidRPr="0034188D" w:rsidRDefault="00F77D61" w:rsidP="0034188D">
      <w:pPr>
        <w:autoSpaceDE w:val="0"/>
        <w:autoSpaceDN w:val="0"/>
        <w:adjustRightInd w:val="0"/>
        <w:ind w:firstLine="709"/>
        <w:jc w:val="both"/>
        <w:rPr>
          <w:bCs/>
          <w:iCs/>
        </w:rPr>
      </w:pPr>
    </w:p>
    <w:p w14:paraId="5DFE72D9" w14:textId="77777777" w:rsidR="00F77D61" w:rsidRPr="0034188D" w:rsidRDefault="00F77D61" w:rsidP="0034188D">
      <w:pPr>
        <w:autoSpaceDE w:val="0"/>
        <w:autoSpaceDN w:val="0"/>
        <w:adjustRightInd w:val="0"/>
        <w:ind w:firstLine="709"/>
        <w:jc w:val="both"/>
        <w:rPr>
          <w:bCs/>
          <w:iCs/>
        </w:rPr>
      </w:pPr>
      <w:r w:rsidRPr="0034188D">
        <w:rPr>
          <w:bCs/>
          <w:iCs/>
        </w:rPr>
        <w:t>- der in Artikel 536 Absatz 1 und 2 erwähnte Abzug.]</w:t>
      </w:r>
    </w:p>
    <w:p w14:paraId="0588CDD8" w14:textId="77777777" w:rsidR="00F77D61" w:rsidRPr="0034188D" w:rsidRDefault="00F77D61" w:rsidP="0034188D">
      <w:pPr>
        <w:autoSpaceDE w:val="0"/>
        <w:autoSpaceDN w:val="0"/>
        <w:adjustRightInd w:val="0"/>
        <w:ind w:firstLine="709"/>
        <w:jc w:val="both"/>
        <w:rPr>
          <w:bCs/>
          <w:iCs/>
        </w:rPr>
      </w:pPr>
    </w:p>
    <w:p w14:paraId="6C4D973B" w14:textId="77777777" w:rsidR="00F77D61" w:rsidRPr="0034188D" w:rsidRDefault="00F77D61" w:rsidP="0034188D">
      <w:pPr>
        <w:autoSpaceDE w:val="0"/>
        <w:autoSpaceDN w:val="0"/>
        <w:adjustRightInd w:val="0"/>
        <w:ind w:firstLine="709"/>
        <w:jc w:val="both"/>
        <w:rPr>
          <w:bCs/>
          <w:iCs/>
        </w:rPr>
      </w:pPr>
      <w:r w:rsidRPr="0038223E">
        <w:rPr>
          <w:bCs/>
          <w:iCs/>
        </w:rPr>
        <w:t>[</w:t>
      </w:r>
      <w:r w:rsidRPr="0038223E">
        <w:rPr>
          <w:bCs/>
        </w:rPr>
        <w:t>Der König kann die Weise, wie die in den Artikeln 199 bis 206 und 536 vorgesehenen Abzüge berechnet werden, näher bestimmen.</w:t>
      </w:r>
      <w:r w:rsidRPr="0038223E">
        <w:rPr>
          <w:bCs/>
          <w:iCs/>
        </w:rPr>
        <w:t>]</w:t>
      </w:r>
    </w:p>
    <w:p w14:paraId="77AFA260" w14:textId="77777777" w:rsidR="00F77D61" w:rsidRPr="0034188D" w:rsidRDefault="00F77D61" w:rsidP="0034188D">
      <w:pPr>
        <w:autoSpaceDE w:val="0"/>
        <w:autoSpaceDN w:val="0"/>
        <w:adjustRightInd w:val="0"/>
        <w:ind w:firstLine="709"/>
        <w:jc w:val="both"/>
        <w:rPr>
          <w:bCs/>
          <w:iCs/>
        </w:rPr>
      </w:pPr>
    </w:p>
    <w:p w14:paraId="27F5251A" w14:textId="4278AC27" w:rsidR="00F77D61" w:rsidRPr="0034188D" w:rsidRDefault="00F77D61" w:rsidP="0034188D">
      <w:pPr>
        <w:autoSpaceDE w:val="0"/>
        <w:autoSpaceDN w:val="0"/>
        <w:adjustRightInd w:val="0"/>
        <w:ind w:firstLine="709"/>
        <w:jc w:val="both"/>
        <w:rPr>
          <w:bCs/>
          <w:iCs/>
        </w:rPr>
      </w:pPr>
      <w:r w:rsidRPr="0034188D">
        <w:rPr>
          <w:bCs/>
          <w:iCs/>
        </w:rPr>
        <w:t>[Der Gesamtbetrag der in Absatz 3 erwähnten Abzüge ist für den Besteuerungs</w:t>
      </w:r>
      <w:r w:rsidRPr="0034188D">
        <w:rPr>
          <w:bCs/>
          <w:iCs/>
        </w:rPr>
        <w:softHyphen/>
        <w:t>zeitraum auf 1.000.000 EUR begrenzt, [erhöht um 70 Prozent] des Teils der nach Anwendung der in Absatz 2 erwähnten Abzüge übrig bleibenden Gewinne, der 1.000.000 EUR übersteigt. Der so begrenzte Abzug wird in der in Absatz 3 festgelegten Reihenfolge vorgenommen. [</w:t>
      </w:r>
      <w:r w:rsidRPr="0034188D">
        <w:rPr>
          <w:bCs/>
        </w:rPr>
        <w:t>Der König kann die Weise, wie diese Abzüge berechnet werden, näher bestimmen.</w:t>
      </w:r>
      <w:r w:rsidRPr="0034188D">
        <w:rPr>
          <w:bCs/>
          <w:iCs/>
        </w:rPr>
        <w:t>]]</w:t>
      </w:r>
    </w:p>
    <w:p w14:paraId="029D2367" w14:textId="77777777" w:rsidR="00F77D61" w:rsidRPr="0034188D" w:rsidRDefault="00F77D61" w:rsidP="0034188D">
      <w:pPr>
        <w:autoSpaceDE w:val="0"/>
        <w:autoSpaceDN w:val="0"/>
        <w:adjustRightInd w:val="0"/>
        <w:ind w:firstLine="709"/>
        <w:jc w:val="both"/>
        <w:rPr>
          <w:bCs/>
          <w:iCs/>
        </w:rPr>
      </w:pPr>
    </w:p>
    <w:p w14:paraId="6163C86F" w14:textId="77777777" w:rsidR="00F77D61" w:rsidRPr="0034188D" w:rsidRDefault="00F77D61" w:rsidP="0034188D">
      <w:pPr>
        <w:autoSpaceDE w:val="0"/>
        <w:autoSpaceDN w:val="0"/>
        <w:adjustRightInd w:val="0"/>
        <w:ind w:firstLine="709"/>
        <w:jc w:val="both"/>
        <w:rPr>
          <w:bCs/>
          <w:iCs/>
        </w:rPr>
      </w:pPr>
      <w:r w:rsidRPr="0034188D">
        <w:rPr>
          <w:bCs/>
          <w:iCs/>
        </w:rPr>
        <w:t>[Für Gesellschaften, die [...</w:t>
      </w:r>
      <w:r w:rsidRPr="0034188D">
        <w:rPr>
          <w:bCs/>
        </w:rPr>
        <w:t xml:space="preserve">] </w:t>
      </w:r>
      <w:r w:rsidRPr="0034188D">
        <w:rPr>
          <w:bCs/>
          <w:iCs/>
        </w:rPr>
        <w:t>als kleine Gesellschaften gelten, ist Absatz 5 während der ersten vier Besteuerungs</w:t>
      </w:r>
      <w:r w:rsidRPr="0034188D">
        <w:rPr>
          <w:bCs/>
          <w:iCs/>
        </w:rPr>
        <w:softHyphen/>
        <w:t>zeiträume ab ihrer Gründung wie in Artikel 145</w:t>
      </w:r>
      <w:r w:rsidRPr="0034188D">
        <w:rPr>
          <w:bCs/>
          <w:iCs/>
          <w:vertAlign w:val="superscript"/>
        </w:rPr>
        <w:t>26</w:t>
      </w:r>
      <w:r w:rsidRPr="0034188D">
        <w:rPr>
          <w:bCs/>
          <w:iCs/>
        </w:rPr>
        <w:t xml:space="preserve"> § 1 Absatz 3 und 4 erwähnt nicht auf die in Absatz 206 erwähnten Verluste anwendbar.]</w:t>
      </w:r>
    </w:p>
    <w:p w14:paraId="4C0D3600" w14:textId="77777777" w:rsidR="00F77D61" w:rsidRPr="0034188D" w:rsidRDefault="00F77D61" w:rsidP="0034188D">
      <w:pPr>
        <w:autoSpaceDE w:val="0"/>
        <w:autoSpaceDN w:val="0"/>
        <w:adjustRightInd w:val="0"/>
        <w:ind w:firstLine="709"/>
        <w:jc w:val="both"/>
        <w:rPr>
          <w:bCs/>
          <w:iCs/>
        </w:rPr>
      </w:pPr>
    </w:p>
    <w:p w14:paraId="31DD6927" w14:textId="77777777" w:rsidR="00F77D61" w:rsidRPr="0034188D" w:rsidRDefault="00F77D61" w:rsidP="0034188D">
      <w:pPr>
        <w:autoSpaceDE w:val="0"/>
        <w:autoSpaceDN w:val="0"/>
        <w:adjustRightInd w:val="0"/>
        <w:ind w:firstLine="709"/>
        <w:jc w:val="both"/>
        <w:rPr>
          <w:bCs/>
          <w:iCs/>
        </w:rPr>
      </w:pPr>
      <w:r w:rsidRPr="0034188D">
        <w:rPr>
          <w:bCs/>
          <w:iCs/>
        </w:rPr>
        <w:t>[</w:t>
      </w:r>
      <w:r w:rsidRPr="0034188D">
        <w:rPr>
          <w:bCs/>
        </w:rPr>
        <w:t>Der Abzug der vorherigen beruflichen Verluste erfolgt gemäß Artikel 206/4.</w:t>
      </w:r>
      <w:r w:rsidRPr="0034188D">
        <w:rPr>
          <w:bCs/>
          <w:iCs/>
        </w:rPr>
        <w:t>]</w:t>
      </w:r>
    </w:p>
    <w:p w14:paraId="1617DE21" w14:textId="77777777" w:rsidR="00F77D61" w:rsidRPr="0034188D" w:rsidRDefault="00F77D61" w:rsidP="0034188D">
      <w:pPr>
        <w:autoSpaceDE w:val="0"/>
        <w:autoSpaceDN w:val="0"/>
        <w:adjustRightInd w:val="0"/>
        <w:ind w:firstLine="709"/>
        <w:jc w:val="both"/>
        <w:rPr>
          <w:bCs/>
          <w:iCs/>
        </w:rPr>
      </w:pPr>
    </w:p>
    <w:p w14:paraId="2CB14D1D" w14:textId="77777777" w:rsidR="00F77D61" w:rsidRPr="0034188D" w:rsidRDefault="00F77D61" w:rsidP="0034188D">
      <w:pPr>
        <w:autoSpaceDE w:val="0"/>
        <w:autoSpaceDN w:val="0"/>
        <w:adjustRightInd w:val="0"/>
        <w:ind w:firstLine="709"/>
        <w:jc w:val="both"/>
        <w:rPr>
          <w:bCs/>
          <w:iCs/>
        </w:rPr>
      </w:pPr>
      <w:r w:rsidRPr="0034188D">
        <w:rPr>
          <w:bCs/>
          <w:iCs/>
        </w:rPr>
        <w:t>[</w:t>
      </w:r>
      <w:r w:rsidRPr="0034188D">
        <w:rPr>
          <w:bCs/>
        </w:rPr>
        <w:t>...</w:t>
      </w:r>
      <w:r w:rsidRPr="0034188D">
        <w:rPr>
          <w:bCs/>
          <w:iCs/>
        </w:rPr>
        <w:t>]</w:t>
      </w:r>
    </w:p>
    <w:p w14:paraId="28E8230F" w14:textId="77777777" w:rsidR="00F77D61" w:rsidRPr="0034188D" w:rsidRDefault="00F77D61" w:rsidP="0034188D">
      <w:pPr>
        <w:autoSpaceDE w:val="0"/>
        <w:autoSpaceDN w:val="0"/>
        <w:adjustRightInd w:val="0"/>
        <w:ind w:firstLine="709"/>
        <w:jc w:val="both"/>
        <w:rPr>
          <w:bCs/>
          <w:iCs/>
        </w:rPr>
      </w:pPr>
    </w:p>
    <w:p w14:paraId="6C95C1E6" w14:textId="2A712072" w:rsidR="00F77D61" w:rsidRPr="0034188D" w:rsidRDefault="00F77D61" w:rsidP="0034188D">
      <w:pPr>
        <w:autoSpaceDE w:val="0"/>
        <w:autoSpaceDN w:val="0"/>
        <w:adjustRightInd w:val="0"/>
        <w:ind w:firstLine="709"/>
        <w:jc w:val="both"/>
        <w:rPr>
          <w:bCs/>
          <w:iCs/>
        </w:rPr>
      </w:pPr>
      <w:r w:rsidRPr="0034188D">
        <w:rPr>
          <w:bCs/>
          <w:iCs/>
        </w:rPr>
        <w:t>[Im Falle der Übernahme oder Änderung in einem Besteuerungszeitraum der Kontrolle einer Gesellschaft, die keinen rechtmäßigen finanziellen oder wirtschaftlichen Bedürfnissen entspricht, sind weder von den Gewinnen dieses Zeitraums noch von denen eines anderen späteren Besteuerungszeitraums abzugsfähig:</w:t>
      </w:r>
    </w:p>
    <w:p w14:paraId="483C9163" w14:textId="77777777" w:rsidR="00F77D61" w:rsidRPr="0034188D" w:rsidRDefault="00F77D61" w:rsidP="0034188D">
      <w:pPr>
        <w:autoSpaceDE w:val="0"/>
        <w:autoSpaceDN w:val="0"/>
        <w:adjustRightInd w:val="0"/>
        <w:ind w:firstLine="709"/>
        <w:jc w:val="both"/>
        <w:rPr>
          <w:bCs/>
          <w:iCs/>
        </w:rPr>
      </w:pPr>
    </w:p>
    <w:p w14:paraId="56A24E1E" w14:textId="77777777" w:rsidR="00F77D61" w:rsidRPr="0034188D" w:rsidRDefault="00F77D61" w:rsidP="0034188D">
      <w:pPr>
        <w:autoSpaceDE w:val="0"/>
        <w:autoSpaceDN w:val="0"/>
        <w:adjustRightInd w:val="0"/>
        <w:ind w:firstLine="709"/>
        <w:jc w:val="both"/>
        <w:rPr>
          <w:bCs/>
          <w:iCs/>
        </w:rPr>
      </w:pPr>
      <w:r w:rsidRPr="0034188D">
        <w:rPr>
          <w:bCs/>
          <w:iCs/>
        </w:rPr>
        <w:t>- in Abweichung von Artikel 72 der Investitionsabzug, der wegen nicht vorhandener oder unzureichender Gewinne der Besteuerungszeiträume, die dem erstgenannten Zeitraum vorhergehen, nicht gewährt wurde,</w:t>
      </w:r>
    </w:p>
    <w:p w14:paraId="2B9BB5DB" w14:textId="77777777" w:rsidR="00F77D61" w:rsidRPr="0034188D" w:rsidRDefault="00F77D61" w:rsidP="0034188D">
      <w:pPr>
        <w:autoSpaceDE w:val="0"/>
        <w:autoSpaceDN w:val="0"/>
        <w:adjustRightInd w:val="0"/>
        <w:ind w:firstLine="709"/>
        <w:jc w:val="both"/>
        <w:rPr>
          <w:bCs/>
          <w:iCs/>
        </w:rPr>
      </w:pPr>
    </w:p>
    <w:p w14:paraId="59F00419" w14:textId="18090C99" w:rsidR="001D7DA2" w:rsidRPr="0034188D" w:rsidRDefault="001D7DA2" w:rsidP="0034188D">
      <w:pPr>
        <w:autoSpaceDE w:val="0"/>
        <w:autoSpaceDN w:val="0"/>
        <w:adjustRightInd w:val="0"/>
        <w:ind w:firstLine="709"/>
        <w:jc w:val="both"/>
        <w:rPr>
          <w:bCs/>
          <w:iCs/>
        </w:rPr>
      </w:pPr>
      <w:r w:rsidRPr="0034188D">
        <w:rPr>
          <w:bCs/>
          <w:iCs/>
        </w:rPr>
        <w:t>[- in Abweichung von Artikel 202 § 3 Gewinne, die von einer in Artikel 185/2 § 2 erwähnten ausländischen Gesellschaft ausgeschüttet werden und die in einem vorhergehenden Besteuerungszeitraum in Anwendung von Artikel 185/2 als nicht ausgeschüttete Gewinne besteuert wurden,]</w:t>
      </w:r>
    </w:p>
    <w:p w14:paraId="7C926A68" w14:textId="77777777" w:rsidR="001D7DA2" w:rsidRPr="0034188D" w:rsidRDefault="001D7DA2" w:rsidP="0034188D">
      <w:pPr>
        <w:autoSpaceDE w:val="0"/>
        <w:autoSpaceDN w:val="0"/>
        <w:adjustRightInd w:val="0"/>
        <w:ind w:firstLine="709"/>
        <w:jc w:val="both"/>
        <w:rPr>
          <w:bCs/>
          <w:iCs/>
        </w:rPr>
      </w:pPr>
    </w:p>
    <w:p w14:paraId="0F9C6E0D" w14:textId="77777777" w:rsidR="00F77D61" w:rsidRPr="0034188D" w:rsidRDefault="00F77D61" w:rsidP="0034188D">
      <w:pPr>
        <w:autoSpaceDE w:val="0"/>
        <w:autoSpaceDN w:val="0"/>
        <w:adjustRightInd w:val="0"/>
        <w:ind w:firstLine="709"/>
        <w:jc w:val="both"/>
        <w:rPr>
          <w:bCs/>
          <w:iCs/>
        </w:rPr>
      </w:pPr>
      <w:r w:rsidRPr="0034188D">
        <w:rPr>
          <w:bCs/>
          <w:iCs/>
        </w:rPr>
        <w:t>[- in Abweichung von Artikel 205 § 3 der in den Artikeln 202 bis 205 erwähnte Ab</w:t>
      </w:r>
      <w:r w:rsidRPr="0034188D">
        <w:rPr>
          <w:bCs/>
          <w:iCs/>
        </w:rPr>
        <w:softHyphen/>
        <w:t>zug, der wegen nicht vorhandener oder unzureichender Gewinne der Besteuerungszeiträume, die dem erstgenannten Zeitraum vorhergehen, nicht gewährt wurde,</w:t>
      </w:r>
    </w:p>
    <w:p w14:paraId="7F3693E1" w14:textId="77777777" w:rsidR="00F77D61" w:rsidRPr="0034188D" w:rsidRDefault="00F77D61" w:rsidP="0034188D">
      <w:pPr>
        <w:autoSpaceDE w:val="0"/>
        <w:autoSpaceDN w:val="0"/>
        <w:adjustRightInd w:val="0"/>
        <w:ind w:firstLine="709"/>
        <w:jc w:val="both"/>
        <w:rPr>
          <w:bCs/>
          <w:iCs/>
        </w:rPr>
      </w:pPr>
    </w:p>
    <w:p w14:paraId="6BD4108D" w14:textId="77777777" w:rsidR="00F77D61" w:rsidRPr="0034188D" w:rsidRDefault="00F77D61" w:rsidP="0034188D">
      <w:pPr>
        <w:autoSpaceDE w:val="0"/>
        <w:autoSpaceDN w:val="0"/>
        <w:adjustRightInd w:val="0"/>
        <w:ind w:firstLine="709"/>
        <w:jc w:val="both"/>
        <w:rPr>
          <w:bCs/>
          <w:iCs/>
        </w:rPr>
      </w:pPr>
      <w:r w:rsidRPr="0034188D">
        <w:rPr>
          <w:bCs/>
          <w:iCs/>
        </w:rPr>
        <w:t>- in Abweichung von Artikel 205/1 § 1 Absatz 2 der Abzug für Einkünfte aus Innovationen, der wegen nicht vorhandener oder unzureichender Gewinne der Besteue</w:t>
      </w:r>
      <w:r w:rsidRPr="0034188D">
        <w:rPr>
          <w:bCs/>
          <w:iCs/>
        </w:rPr>
        <w:softHyphen/>
        <w:t>rungszeiträume, die dem erstgenannten Zeitraum vorhergehen, nicht gewährt wurde,]</w:t>
      </w:r>
    </w:p>
    <w:p w14:paraId="418BEE21" w14:textId="77777777" w:rsidR="00F77D61" w:rsidRPr="0034188D" w:rsidRDefault="00F77D61" w:rsidP="0034188D">
      <w:pPr>
        <w:autoSpaceDE w:val="0"/>
        <w:autoSpaceDN w:val="0"/>
        <w:adjustRightInd w:val="0"/>
        <w:ind w:firstLine="709"/>
        <w:jc w:val="both"/>
        <w:rPr>
          <w:bCs/>
          <w:iCs/>
        </w:rPr>
      </w:pPr>
    </w:p>
    <w:p w14:paraId="303B3A09" w14:textId="77777777" w:rsidR="00F77D61" w:rsidRPr="0034188D" w:rsidRDefault="00F77D61" w:rsidP="0034188D">
      <w:pPr>
        <w:autoSpaceDE w:val="0"/>
        <w:autoSpaceDN w:val="0"/>
        <w:adjustRightInd w:val="0"/>
        <w:ind w:firstLine="709"/>
        <w:jc w:val="both"/>
        <w:rPr>
          <w:bCs/>
          <w:iCs/>
        </w:rPr>
      </w:pPr>
      <w:r w:rsidRPr="0034188D">
        <w:rPr>
          <w:bCs/>
          <w:iCs/>
        </w:rPr>
        <w:t>[- in Abweichung von [Artikel 536] der Abzug für Risikokapital, der wegen nicht vorhandener oder unzureichender Gewinne der Besteuerungszeiträume, die dem erstgenannten Zeitraum vorhergehen, nicht gewährt wurde,]</w:t>
      </w:r>
    </w:p>
    <w:p w14:paraId="6B2E4123" w14:textId="77777777" w:rsidR="00F77D61" w:rsidRPr="0034188D" w:rsidRDefault="00F77D61" w:rsidP="0034188D">
      <w:pPr>
        <w:autoSpaceDE w:val="0"/>
        <w:autoSpaceDN w:val="0"/>
        <w:adjustRightInd w:val="0"/>
        <w:ind w:firstLine="709"/>
        <w:jc w:val="both"/>
        <w:rPr>
          <w:bCs/>
          <w:iCs/>
        </w:rPr>
      </w:pPr>
    </w:p>
    <w:p w14:paraId="6885BBB2" w14:textId="77777777" w:rsidR="00F77D61" w:rsidRPr="0034188D" w:rsidRDefault="00F77D61" w:rsidP="0034188D">
      <w:pPr>
        <w:autoSpaceDE w:val="0"/>
        <w:autoSpaceDN w:val="0"/>
        <w:adjustRightInd w:val="0"/>
        <w:ind w:firstLine="709"/>
        <w:jc w:val="both"/>
        <w:rPr>
          <w:bCs/>
          <w:iCs/>
        </w:rPr>
      </w:pPr>
      <w:r w:rsidRPr="0034188D">
        <w:rPr>
          <w:bCs/>
          <w:iCs/>
        </w:rPr>
        <w:lastRenderedPageBreak/>
        <w:t>- in Abweichung von Artikel 206 vorherige berufliche Verluste.]</w:t>
      </w:r>
    </w:p>
    <w:p w14:paraId="6D7E8FBA" w14:textId="77777777" w:rsidR="00F77D61" w:rsidRPr="0034188D" w:rsidRDefault="00F77D61" w:rsidP="0034188D">
      <w:pPr>
        <w:autoSpaceDE w:val="0"/>
        <w:autoSpaceDN w:val="0"/>
        <w:adjustRightInd w:val="0"/>
        <w:ind w:firstLine="709"/>
        <w:jc w:val="both"/>
        <w:rPr>
          <w:bCs/>
          <w:iCs/>
        </w:rPr>
      </w:pPr>
    </w:p>
    <w:p w14:paraId="2B5CBA46" w14:textId="77777777" w:rsidR="00F77D61" w:rsidRPr="0034188D" w:rsidRDefault="00F77D61" w:rsidP="0034188D">
      <w:pPr>
        <w:autoSpaceDE w:val="0"/>
        <w:autoSpaceDN w:val="0"/>
        <w:adjustRightInd w:val="0"/>
        <w:ind w:firstLine="709"/>
        <w:jc w:val="both"/>
        <w:rPr>
          <w:bCs/>
          <w:iCs/>
        </w:rPr>
      </w:pPr>
      <w:r w:rsidRPr="0034188D">
        <w:rPr>
          <w:bCs/>
          <w:iCs/>
        </w:rPr>
        <w:t>[...]</w:t>
      </w:r>
    </w:p>
    <w:p w14:paraId="1F62D1E5" w14:textId="77777777" w:rsidR="00F77D61" w:rsidRPr="0034188D" w:rsidRDefault="00F77D61" w:rsidP="0034188D">
      <w:pPr>
        <w:autoSpaceDE w:val="0"/>
        <w:autoSpaceDN w:val="0"/>
        <w:adjustRightInd w:val="0"/>
        <w:ind w:firstLine="709"/>
        <w:jc w:val="both"/>
        <w:rPr>
          <w:bCs/>
          <w:iCs/>
        </w:rPr>
      </w:pPr>
    </w:p>
    <w:p w14:paraId="2D1AF617" w14:textId="77777777" w:rsidR="00F77D61" w:rsidRPr="0034188D" w:rsidRDefault="00F77D61" w:rsidP="0034188D">
      <w:pPr>
        <w:autoSpaceDE w:val="0"/>
        <w:autoSpaceDN w:val="0"/>
        <w:adjustRightInd w:val="0"/>
        <w:ind w:firstLine="709"/>
        <w:jc w:val="both"/>
        <w:rPr>
          <w:bCs/>
          <w:iCs/>
        </w:rPr>
      </w:pPr>
      <w:r w:rsidRPr="0034188D">
        <w:rPr>
          <w:bCs/>
          <w:iCs/>
        </w:rPr>
        <w:t>[...]</w:t>
      </w:r>
    </w:p>
    <w:p w14:paraId="7E5F9729" w14:textId="77777777" w:rsidR="00F77D61" w:rsidRPr="0034188D" w:rsidRDefault="00F77D61" w:rsidP="0034188D">
      <w:pPr>
        <w:autoSpaceDE w:val="0"/>
        <w:autoSpaceDN w:val="0"/>
        <w:adjustRightInd w:val="0"/>
        <w:ind w:firstLine="709"/>
        <w:jc w:val="both"/>
        <w:rPr>
          <w:bCs/>
          <w:iCs/>
        </w:rPr>
      </w:pPr>
    </w:p>
    <w:p w14:paraId="3436F2B0" w14:textId="77777777" w:rsidR="00F77D61" w:rsidRPr="0034188D" w:rsidRDefault="00F77D61" w:rsidP="0034188D">
      <w:pPr>
        <w:autoSpaceDE w:val="0"/>
        <w:autoSpaceDN w:val="0"/>
        <w:adjustRightInd w:val="0"/>
        <w:ind w:firstLine="709"/>
        <w:jc w:val="both"/>
        <w:rPr>
          <w:bCs/>
          <w:iCs/>
        </w:rPr>
      </w:pPr>
      <w:r w:rsidRPr="0034188D">
        <w:rPr>
          <w:bCs/>
          <w:iCs/>
        </w:rPr>
        <w:t>[...]</w:t>
      </w:r>
    </w:p>
    <w:p w14:paraId="3B0907E7" w14:textId="77777777" w:rsidR="00F77D61" w:rsidRPr="0034188D" w:rsidRDefault="00F77D61" w:rsidP="0034188D">
      <w:pPr>
        <w:autoSpaceDE w:val="0"/>
        <w:autoSpaceDN w:val="0"/>
        <w:adjustRightInd w:val="0"/>
        <w:ind w:firstLine="709"/>
        <w:jc w:val="both"/>
        <w:rPr>
          <w:bCs/>
          <w:iCs/>
        </w:rPr>
      </w:pPr>
    </w:p>
    <w:p w14:paraId="64810B12" w14:textId="594016D2" w:rsidR="00F77D61" w:rsidRPr="0034188D" w:rsidRDefault="00F77D61" w:rsidP="0034188D">
      <w:pPr>
        <w:autoSpaceDE w:val="0"/>
        <w:autoSpaceDN w:val="0"/>
        <w:adjustRightInd w:val="0"/>
        <w:ind w:firstLine="709"/>
        <w:jc w:val="both"/>
        <w:rPr>
          <w:bCs/>
          <w:iCs/>
        </w:rPr>
      </w:pPr>
      <w:r w:rsidRPr="0034188D">
        <w:rPr>
          <w:bCs/>
          <w:iCs/>
        </w:rPr>
        <w:t>[...]</w:t>
      </w:r>
    </w:p>
    <w:p w14:paraId="4592AFCB" w14:textId="77777777" w:rsidR="00F77D61" w:rsidRPr="0034188D" w:rsidRDefault="00F77D61" w:rsidP="0034188D">
      <w:pPr>
        <w:autoSpaceDE w:val="0"/>
        <w:autoSpaceDN w:val="0"/>
        <w:adjustRightInd w:val="0"/>
        <w:ind w:firstLine="709"/>
        <w:jc w:val="both"/>
        <w:rPr>
          <w:bCs/>
          <w:iCs/>
        </w:rPr>
      </w:pPr>
    </w:p>
    <w:p w14:paraId="276EDB0F" w14:textId="5DE95C82" w:rsidR="00F77D61" w:rsidRPr="0034188D" w:rsidRDefault="00F77D61" w:rsidP="0034188D">
      <w:pPr>
        <w:autoSpaceDE w:val="0"/>
        <w:autoSpaceDN w:val="0"/>
        <w:adjustRightInd w:val="0"/>
        <w:jc w:val="both"/>
        <w:rPr>
          <w:bCs/>
        </w:rPr>
      </w:pPr>
      <w:r w:rsidRPr="0034188D">
        <w:rPr>
          <w:bCs/>
          <w:i/>
          <w:iCs/>
        </w:rPr>
        <w:t>[Art. 207 neuer Absatz 1 eingefügt durch Art. 53 Nr. 1 des G. vom 25. Dezember 2017</w:t>
      </w:r>
      <w:r w:rsidR="0034188D">
        <w:rPr>
          <w:bCs/>
          <w:i/>
          <w:iCs/>
        </w:rPr>
        <w:t> </w:t>
      </w:r>
      <w:r w:rsidRPr="0034188D">
        <w:rPr>
          <w:bCs/>
          <w:i/>
          <w:iCs/>
        </w:rPr>
        <w:t>(III) (B.S. vom 29. Dezember 2017) - in Kraft am 1. Januar 2018 und anwendbar ab dem Steuerjahr 2019, das sich auf einen Besteuerungszeitraum bezieht, der frühestens am 1. Januar 2018 beginnt - und ersetzt durch Art. 15 Buchstabe a) des G. vom 21. Januar 2022 (B.S. vom 28. Januar 2022) - anwendbar ab dem Steuerjahr 2022 -; neuer Absatz 2 eingefügt durch Art. 53 Nr. 1 des G. vom 25. Dezember 2017 (III) (B.S. vom 29. Dezember 2017) - in Kraft am 1. Januar 2018 und anwendbar ab dem Steuerjahr 2019, das sich auf einen Besteuerungszeitraum bezieht, der frühestens am 1. Januar 2018 beginnt -; Abs. 2 erster Gedankenstrich aufgehoben durch Art. 15 Buchstabe b) des G. vom 21. Januar 2022 (B.S. vom 28. Januar 2022) - anwendbar ab dem Steuerjahr 2022 -; Abs. 2 fünfter Gedankenstrich ersetzt durch Art. 55 Buchstabe a) des G. vom 27. Juni 2021 (B.S. vom 30. Juni 2021) - in Kraft am 31. Dezember 2021 und anwendbar ab dem Steuerjahr 2022 -; Abs. 2 sechster Gedankenstrich eingefügt durch Art. 53 Nr. 2 des G. vom 25. Dezember 2017 (III) (B.S. vom 29. Dezember 2017) - in Kraft am 1. Januar 2019 und anwendbar ab dem Steuerjahr 2020, das sich auf einen Besteuerungszeitraum bezieht, der frühestens am 1. Januar 2019 beginnt -; neuer Absatz 3 eingefügt durch Art. 53 Nr. 1 des G. vom 25. Dezember 2017 (III) (B.S. vom 29. Dezember 2017) - in Kraft am 1. Januar 2018 und anwendbar ab dem Steuerjahr 2019, das sich auf einen Besteuerungszeitraum bezieht, der frühestens am 1. Januar 2018 beginnt -; Abs. 3 erster Gedankenstrich aufgehoben durch Art. 118 Nr. 1 des G. vom 26. Dezember 2022</w:t>
      </w:r>
      <w:r w:rsidR="00455574" w:rsidRPr="0034188D">
        <w:rPr>
          <w:rFonts w:hint="eastAsia"/>
          <w:bCs/>
          <w:i/>
          <w:iCs/>
        </w:rPr>
        <w:t> </w:t>
      </w:r>
      <w:r w:rsidR="00455574" w:rsidRPr="0034188D">
        <w:rPr>
          <w:bCs/>
          <w:i/>
          <w:iCs/>
        </w:rPr>
        <w:t>(I)</w:t>
      </w:r>
      <w:r w:rsidRPr="0034188D">
        <w:rPr>
          <w:bCs/>
          <w:i/>
          <w:iCs/>
        </w:rPr>
        <w:t xml:space="preserve"> (B.S. vom 30. Dezember 2022) - anwendbar auf die Besteuerungszeiträume, die ab dem 31. Dezember 2023 enden -; Abs. 4 ersetzt durch Art. 55 Buchstabe b) des G. vom 27. Juni 2021 (B.S. vom 30. Juni 2021) - in Kraft am 31. Dezember 2021 und anwendbar ab dem Steuerjahr 2022 -; neuer Absatz 5 eingefügt durch Art. 53 Nr. 3 des G. vom 25. Dezember 2017 (III) (B.S. vom 29. Dezember 2017) - in Kraft am 1. Januar 2018 und anwendbar ab dem Steuerjahr 2019, das sich auf einen Besteuerungszeitraum bezieht, der frühestens am 1. Januar 2018 beginnt - und abgeändert durch Art. 55 Buchstabe c) des G. vom 27. Juni 2021 (B.S. vom 30. Juni 2021) - in Kraft am 31. Dezember 2021 und anwendbar ab dem Steuerjahr 2022 -</w:t>
      </w:r>
      <w:r w:rsidR="006607A6" w:rsidRPr="0034188D">
        <w:rPr>
          <w:bCs/>
          <w:i/>
          <w:iCs/>
        </w:rPr>
        <w:t xml:space="preserve">, Art. 122 Nr. 1 des G. vom 26. Dezember 2022 (I) (B.S. vom 30. Dezember 2022) - in Kraft am 1. Januar 2023 und anwendbar ab dem Steuerjahr 2024, das sich auf einen Besteuerungszeitraum bezieht, der frühestens am 1. Januar 2023 beginnt - </w:t>
      </w:r>
      <w:r w:rsidR="00C82479" w:rsidRPr="0034188D">
        <w:rPr>
          <w:bCs/>
          <w:i/>
          <w:iCs/>
        </w:rPr>
        <w:t>und Art. 122 Nr. 2 des G. vom 26. Dezember 2022 (I) (B.S. vom 30. Dezember 2022) - in Kraft am 1. Januar 2024 und anwendbar ab dem Steuerjahr 2025, das sich auf einen Besteuerungszeitraum bezieht, der frühestens am 1. Januar 2024 beginnt, sofern ein Gesetz zur Umsetzung des Vorschlags für eine Richtlinie des Rates (COM/2021/823) zur Gewährleistung einer globalen Mindestbesteuerung für multinationale Unternehmensgruppen in der Union in Kraft getreten ist. Die Erfüllung dieser Bedingung wird vom Minister der Finanzen durch eine Bekanntmachung im Belgischen Staatsblatt veröffentlicht -</w:t>
      </w:r>
      <w:r w:rsidRPr="0034188D">
        <w:rPr>
          <w:bCs/>
          <w:i/>
          <w:iCs/>
        </w:rPr>
        <w:t xml:space="preserve">; neuer Absatz 6 eingefügt durch Art. 53 Nr. 3 des G. vom 25. Dezember 2017 (III) (B.S. vom 29. Dezember 2017) - in Kraft am 1. Januar 2018 und anwendbar ab dem Steuerjahr 2019, das sich auf einen Besteuerungszeitraum bezieht, der </w:t>
      </w:r>
      <w:r w:rsidRPr="0034188D">
        <w:rPr>
          <w:bCs/>
          <w:i/>
          <w:iCs/>
        </w:rPr>
        <w:lastRenderedPageBreak/>
        <w:t>frühestens am 1. Januar 2018 beginnt - und abgeändert durch Art. 42 des G. vom 17. März 2019 (III) (B.S. vom 10. Mai 2019) - in Kraft am 1. Mai 2019 - und Art. 25 des G. vom 5. Juli 2022 (B.S. vom 15. Juli 2022); Abs. 7 ersetzt durch Art. 15 Buchstabe c) des G. vom 21. Januar 2022 (B.S. vom 28. Januar 2022) - anwendbar ab dem Steuerjahr 2022 -; früherer Absatz 8 eingefügt durch Art. 53/1</w:t>
      </w:r>
      <w:r w:rsidRPr="0034188D">
        <w:rPr>
          <w:bCs/>
          <w:i/>
        </w:rPr>
        <w:t xml:space="preserve"> des G. vom 25. Dezember 2017 (III) (B.S. vom 29. Dezember 2017)</w:t>
      </w:r>
      <w:r w:rsidRPr="0034188D">
        <w:rPr>
          <w:bCs/>
          <w:i/>
          <w:iCs/>
        </w:rPr>
        <w:t> - in Kraft am 1. Januar 2019 und anwendbar ab dem Steuerjahr 2020, das sich auf einen Besteuerungszeitraum bezieht, der frühestens am 1. Januar 2019 beginnt -, selbst eingefügt durch Art. 33</w:t>
      </w:r>
      <w:r w:rsidRPr="0034188D">
        <w:rPr>
          <w:bCs/>
          <w:i/>
        </w:rPr>
        <w:t xml:space="preserve"> des G. vom 30. Juli 2018 (I) (B.S. vom 10. August 2018), und aufgehoben durch Art. 15 Buchstabe d)</w:t>
      </w:r>
      <w:r w:rsidRPr="0034188D">
        <w:rPr>
          <w:bCs/>
          <w:i/>
          <w:iCs/>
        </w:rPr>
        <w:t xml:space="preserve"> des G. vom 21. Januar 2022 (B.S. vom 28. Januar 2022) - anwendbar ab dem Steuerjahr 2022 -; Abs. 8 eingefügt durch Art. 29 des K.E. vom 20. Dezember 1996 (B.S. vom 31. Dezember 1996) - anwendbar auf eine nach dem 1. Januar 1997 zustande gekommene Übernahme oder Änderung der Kontrolle einer </w:t>
      </w:r>
      <w:r w:rsidRPr="00F97624">
        <w:rPr>
          <w:rFonts w:ascii="Times New Roman Italique" w:hAnsi="Times New Roman Italique"/>
          <w:bCs/>
          <w:i/>
          <w:iCs/>
          <w:spacing w:val="-2"/>
        </w:rPr>
        <w:t xml:space="preserve">Gesellschaft -; </w:t>
      </w:r>
      <w:r w:rsidR="001D7DA2" w:rsidRPr="00F97624">
        <w:rPr>
          <w:rFonts w:ascii="Times New Roman Italique" w:hAnsi="Times New Roman Italique"/>
          <w:bCs/>
          <w:i/>
          <w:iCs/>
          <w:spacing w:val="-2"/>
        </w:rPr>
        <w:t xml:space="preserve">Abs. 8 neuer zweiter Gedankenstrich eingefügt durch Art. 26 des G. vom 22. Dezember 2023 (II) (B.S. vom 29. Dezember 2023) - anwendbar ab dem Steuerjahr 2024 -; </w:t>
      </w:r>
      <w:r w:rsidRPr="00F97624">
        <w:rPr>
          <w:rFonts w:ascii="Times New Roman Italique" w:hAnsi="Times New Roman Italique"/>
          <w:bCs/>
          <w:i/>
          <w:iCs/>
          <w:spacing w:val="-2"/>
        </w:rPr>
        <w:t xml:space="preserve">Abs. 8 neuer </w:t>
      </w:r>
      <w:r w:rsidR="001D7DA2" w:rsidRPr="00F97624">
        <w:rPr>
          <w:rFonts w:ascii="Times New Roman Italique" w:hAnsi="Times New Roman Italique"/>
          <w:bCs/>
          <w:i/>
          <w:iCs/>
          <w:spacing w:val="-2"/>
        </w:rPr>
        <w:t>dritt</w:t>
      </w:r>
      <w:r w:rsidRPr="00F97624">
        <w:rPr>
          <w:rFonts w:ascii="Times New Roman Italique" w:hAnsi="Times New Roman Italique"/>
          <w:bCs/>
          <w:i/>
          <w:iCs/>
          <w:spacing w:val="-2"/>
        </w:rPr>
        <w:t xml:space="preserve">er und </w:t>
      </w:r>
      <w:r w:rsidR="001D7DA2" w:rsidRPr="00F97624">
        <w:rPr>
          <w:rFonts w:ascii="Times New Roman Italique" w:hAnsi="Times New Roman Italique"/>
          <w:bCs/>
          <w:i/>
          <w:iCs/>
          <w:spacing w:val="-2"/>
        </w:rPr>
        <w:t>vier</w:t>
      </w:r>
      <w:r w:rsidRPr="00F97624">
        <w:rPr>
          <w:rFonts w:ascii="Times New Roman Italique" w:hAnsi="Times New Roman Italique"/>
          <w:bCs/>
          <w:i/>
          <w:iCs/>
          <w:spacing w:val="-2"/>
        </w:rPr>
        <w:t>ter Gedankenstrich eingefügt durch Art. 53 Nr. 5 des G. vom</w:t>
      </w:r>
      <w:r w:rsidRPr="0034188D">
        <w:rPr>
          <w:bCs/>
          <w:i/>
          <w:iCs/>
        </w:rPr>
        <w:t xml:space="preserve"> 25. Dezember 2017 (III) (B.S. vom 29. Dezember 2017) - in Kraft am 1. Januar 2018 und anwendbar ab dem Steuerjahr 2019, das sich auf einen Besteuerungszeitraum bezieht, der frühestens am 1. Januar 2018 beginnt -; Abs. 8 </w:t>
      </w:r>
      <w:r w:rsidR="001D7DA2" w:rsidRPr="0034188D">
        <w:rPr>
          <w:bCs/>
          <w:i/>
          <w:iCs/>
        </w:rPr>
        <w:t>fünfter</w:t>
      </w:r>
      <w:r w:rsidRPr="0034188D">
        <w:rPr>
          <w:bCs/>
          <w:i/>
          <w:iCs/>
        </w:rPr>
        <w:t xml:space="preserve"> Gedankenstrich eingefügt durch Art. 13 des G. vom 22. Juni 2005 (B.S. vom 30. Juni 2005) - in Kraft ab dem Steuerjahr 2007 - und abgeändert durch Art. 97 Nr. 2 des G. vom 10. August 2015 (B.S. vom 18. August 2015) - in Kraft ab dem Steuerjahr 2016 -; früherer Absatz 9 eingefügt durch Art. 97 Nr. 3 des G. vom 10. August 2015 (B.S. vom 18. August 2015) - in Kraft ab dem Steuerjahr 2016 - und aufgehoben durch Art. 11 Nr. 1 des G. vom 3. August 2016 (IV) (B.S. vom 11. August 2016) - in Kraft ab dem Steuerjahr 2017 -; früherer Absatz 10 eingefügt durch Art. 107 Buchstabe A) Nr. 1 des G. (I) vom 26. Dezember 2015</w:t>
      </w:r>
      <w:r w:rsidRPr="0034188D">
        <w:rPr>
          <w:bCs/>
          <w:iCs/>
        </w:rPr>
        <w:t> </w:t>
      </w:r>
      <w:r w:rsidRPr="0034188D">
        <w:rPr>
          <w:bCs/>
          <w:i/>
          <w:iCs/>
        </w:rPr>
        <w:t>(I) (B.S. vom 30. Dezember 2015) - in Kraft ab dem Steuerjahr 2016 - und aufgehoben durch Art. 11 Nr. 2 des G. vom 3. August 2016 (IV) (B.S. vom 11. August 2016) - in Kraft ab dem Steuerjahr 2017 -; früherer Absatz 11 eingefügt durch Art. 97 Nr. 3 des G. vom 10. August 2015 (B.S. vom 18. August 2015) - in Kraft ab dem Steuerjahr 2016 - und aufgehoben durch Art. 11 Nr. 3 des G. vom 3. August 2016 (IV) (B.S. vom 11. August 2016) - in Kraft ab dem Steuerjahr 2017 -; neuer Absatz 9 eingefügt durch Art. 97 Nr. 3 des G. vom 10. August 2015 (B.S. vom 18. August 2015) - in Kraft ab dem Steuerjahr 2016 -</w:t>
      </w:r>
      <w:r w:rsidR="00AF520F" w:rsidRPr="0034188D">
        <w:rPr>
          <w:bCs/>
          <w:i/>
          <w:iCs/>
        </w:rPr>
        <w:t xml:space="preserve"> und</w:t>
      </w:r>
      <w:r w:rsidRPr="0034188D">
        <w:rPr>
          <w:bCs/>
          <w:i/>
          <w:iCs/>
        </w:rPr>
        <w:t xml:space="preserve"> aufgehoben durch Art. 118 Nr. 2 des G. vom 26. Dezember 2022</w:t>
      </w:r>
      <w:r w:rsidR="00455574" w:rsidRPr="0034188D">
        <w:rPr>
          <w:rFonts w:hint="eastAsia"/>
          <w:bCs/>
          <w:i/>
          <w:iCs/>
        </w:rPr>
        <w:t> </w:t>
      </w:r>
      <w:r w:rsidR="00455574" w:rsidRPr="0034188D">
        <w:rPr>
          <w:bCs/>
          <w:i/>
          <w:iCs/>
        </w:rPr>
        <w:t>(I)</w:t>
      </w:r>
      <w:r w:rsidR="00236038" w:rsidRPr="0034188D">
        <w:rPr>
          <w:bCs/>
          <w:i/>
          <w:iCs/>
        </w:rPr>
        <w:t> </w:t>
      </w:r>
      <w:r w:rsidRPr="0034188D">
        <w:rPr>
          <w:bCs/>
          <w:i/>
          <w:iCs/>
        </w:rPr>
        <w:t>(B.S. vom 30. Dezember 2022) - anwendbar auf die Besteuerungszeiträume, die ab dem 31. Dezember 2023 enden -; Abs. 10 eingefügt durch Art. 97 Nr. 3 des G. vom 10. August 2015 (B.S. vom 18. August 2015) - in Kraft ab dem Steuerjahr 2016 - und aufgehoben durch Art. 118 Nr. 2 des G. vom 26. Dezember 2022</w:t>
      </w:r>
      <w:r w:rsidR="00455574" w:rsidRPr="0034188D">
        <w:rPr>
          <w:rFonts w:hint="eastAsia"/>
          <w:bCs/>
          <w:i/>
          <w:iCs/>
        </w:rPr>
        <w:t> </w:t>
      </w:r>
      <w:r w:rsidR="00455574" w:rsidRPr="0034188D">
        <w:rPr>
          <w:bCs/>
          <w:i/>
          <w:iCs/>
        </w:rPr>
        <w:t>(I)</w:t>
      </w:r>
      <w:r w:rsidR="00236038" w:rsidRPr="0034188D">
        <w:rPr>
          <w:bCs/>
          <w:i/>
          <w:iCs/>
        </w:rPr>
        <w:t> </w:t>
      </w:r>
      <w:r w:rsidRPr="0034188D">
        <w:rPr>
          <w:bCs/>
          <w:i/>
          <w:iCs/>
        </w:rPr>
        <w:t>(B.S. vom 30. Dezember 2022) - anwendbar auf die Besteuerungszeiträume, die ab dem 31. Dezember 2023 enden -</w:t>
      </w:r>
      <w:r w:rsidRPr="00F97624">
        <w:rPr>
          <w:bCs/>
          <w:i/>
          <w:iCs/>
        </w:rPr>
        <w:t>]</w:t>
      </w:r>
    </w:p>
    <w:p w14:paraId="4EA2F457" w14:textId="77777777" w:rsidR="0038223E" w:rsidRDefault="00B436DD" w:rsidP="006A2667">
      <w:pPr>
        <w:autoSpaceDE w:val="0"/>
        <w:autoSpaceDN w:val="0"/>
        <w:adjustRightInd w:val="0"/>
        <w:jc w:val="both"/>
        <w:rPr>
          <w:bCs/>
          <w:iCs/>
        </w:rPr>
      </w:pPr>
      <w:r w:rsidRPr="009118AB">
        <w:rPr>
          <w:bCs/>
          <w:iCs/>
        </w:rPr>
        <w:tab/>
      </w:r>
    </w:p>
    <w:p w14:paraId="48DDA72D" w14:textId="77777777" w:rsidR="00CB1997" w:rsidRDefault="00CB1997" w:rsidP="0038223E">
      <w:pPr>
        <w:autoSpaceDE w:val="0"/>
        <w:autoSpaceDN w:val="0"/>
        <w:adjustRightInd w:val="0"/>
        <w:ind w:firstLine="360"/>
        <w:jc w:val="both"/>
        <w:rPr>
          <w:bCs/>
          <w:iCs/>
        </w:rPr>
      </w:pPr>
    </w:p>
    <w:p w14:paraId="204F2DB3" w14:textId="5CD0947F" w:rsidR="00B436DD" w:rsidRPr="009118AB" w:rsidRDefault="00B436DD" w:rsidP="0038223E">
      <w:pPr>
        <w:autoSpaceDE w:val="0"/>
        <w:autoSpaceDN w:val="0"/>
        <w:adjustRightInd w:val="0"/>
        <w:ind w:firstLine="360"/>
        <w:jc w:val="both"/>
        <w:rPr>
          <w:lang w:eastAsia="fr-BE"/>
        </w:rPr>
      </w:pPr>
      <w:r w:rsidRPr="009118AB">
        <w:rPr>
          <w:bCs/>
          <w:iCs/>
        </w:rPr>
        <w:t>[</w:t>
      </w:r>
      <w:r w:rsidR="00D67EB8" w:rsidRPr="009118AB">
        <w:rPr>
          <w:b/>
          <w:bCs/>
          <w:lang w:eastAsia="fr-BE"/>
        </w:rPr>
        <w:t>Art. </w:t>
      </w:r>
      <w:r w:rsidRPr="009118AB">
        <w:rPr>
          <w:b/>
          <w:bCs/>
          <w:lang w:eastAsia="fr-BE"/>
        </w:rPr>
        <w:t>207/1</w:t>
      </w:r>
      <w:r w:rsidR="00D67EB8" w:rsidRPr="009118AB">
        <w:rPr>
          <w:lang w:eastAsia="fr-BE"/>
        </w:rPr>
        <w:t> - </w:t>
      </w:r>
      <w:r w:rsidRPr="009118AB">
        <w:rPr>
          <w:lang w:eastAsia="fr-BE"/>
        </w:rPr>
        <w:t>Das Ergebnis nach Anwendung von Artikel 207 wird um den Gewinn aus der Seeschifffahrt und dem Seeschiffsmanagement für Rechnung Dritter erhöht, der gemäß den Artikeln 115 bis 120 beziehungsweise 124 des Programmgesetzes vom 2. August 2002 pauschal festgelegt wird.]</w:t>
      </w:r>
    </w:p>
    <w:p w14:paraId="16F70267" w14:textId="77777777" w:rsidR="00B436DD" w:rsidRPr="009118AB" w:rsidRDefault="00B436DD" w:rsidP="006A2667">
      <w:pPr>
        <w:autoSpaceDE w:val="0"/>
        <w:autoSpaceDN w:val="0"/>
        <w:adjustRightInd w:val="0"/>
        <w:jc w:val="both"/>
        <w:rPr>
          <w:lang w:eastAsia="fr-BE"/>
        </w:rPr>
      </w:pPr>
    </w:p>
    <w:p w14:paraId="413FF8A9" w14:textId="08D5AED2" w:rsidR="00B436DD" w:rsidRPr="009118AB" w:rsidRDefault="00B436DD" w:rsidP="00B436DD">
      <w:pPr>
        <w:autoSpaceDE w:val="0"/>
        <w:autoSpaceDN w:val="0"/>
        <w:adjustRightInd w:val="0"/>
        <w:jc w:val="both"/>
        <w:rPr>
          <w:i/>
          <w:iCs/>
        </w:rPr>
      </w:pPr>
      <w:r w:rsidRPr="009118AB">
        <w:rPr>
          <w:i/>
          <w:iCs/>
          <w:lang w:eastAsia="fr-BE"/>
        </w:rPr>
        <w:t>[</w:t>
      </w:r>
      <w:r w:rsidR="00D67EB8" w:rsidRPr="009118AB">
        <w:rPr>
          <w:i/>
          <w:iCs/>
          <w:lang w:eastAsia="fr-BE"/>
        </w:rPr>
        <w:t>Art. </w:t>
      </w:r>
      <w:r w:rsidRPr="009118AB">
        <w:rPr>
          <w:i/>
          <w:iCs/>
          <w:lang w:eastAsia="fr-BE"/>
        </w:rPr>
        <w:t xml:space="preserve">207/1 eingefügt durch </w:t>
      </w:r>
      <w:r w:rsidR="00D67EB8" w:rsidRPr="009118AB">
        <w:rPr>
          <w:i/>
          <w:iCs/>
          <w:lang w:eastAsia="fr-BE"/>
        </w:rPr>
        <w:t>Art. </w:t>
      </w:r>
      <w:r w:rsidRPr="009118AB">
        <w:rPr>
          <w:i/>
          <w:iCs/>
          <w:lang w:eastAsia="fr-BE"/>
        </w:rPr>
        <w:t>16</w:t>
      </w:r>
      <w:r w:rsidRPr="009118AB">
        <w:rPr>
          <w:i/>
          <w:iCs/>
        </w:rPr>
        <w:t xml:space="preserve"> des G. vom 21. Januar 2022 (B.S. vom 28. Januar 2022)</w:t>
      </w:r>
      <w:r w:rsidR="00D67EB8" w:rsidRPr="009118AB">
        <w:rPr>
          <w:i/>
          <w:iCs/>
        </w:rPr>
        <w:t> - </w:t>
      </w:r>
      <w:r w:rsidRPr="009118AB">
        <w:rPr>
          <w:i/>
          <w:iCs/>
        </w:rPr>
        <w:t>anwendbar ab dem Steuerjahr 2022</w:t>
      </w:r>
      <w:r w:rsidR="00FD68E8" w:rsidRPr="009118AB">
        <w:rPr>
          <w:i/>
          <w:iCs/>
        </w:rPr>
        <w:t> -]</w:t>
      </w:r>
    </w:p>
    <w:p w14:paraId="046DC867" w14:textId="77777777" w:rsidR="00B436DD" w:rsidRPr="009118AB" w:rsidRDefault="00B436DD" w:rsidP="006A2667">
      <w:pPr>
        <w:autoSpaceDE w:val="0"/>
        <w:autoSpaceDN w:val="0"/>
        <w:adjustRightInd w:val="0"/>
        <w:jc w:val="both"/>
        <w:rPr>
          <w:bCs/>
          <w:iCs/>
        </w:rPr>
      </w:pPr>
    </w:p>
    <w:p w14:paraId="7E58EF6A" w14:textId="77777777" w:rsidR="00B436DD" w:rsidRPr="009118AB" w:rsidRDefault="00B436DD"/>
    <w:p w14:paraId="6F516B51" w14:textId="02ACFF27" w:rsidR="00B436DD" w:rsidRPr="009118AB" w:rsidRDefault="00B436DD" w:rsidP="00B436DD">
      <w:pPr>
        <w:jc w:val="both"/>
        <w:rPr>
          <w:lang w:eastAsia="fr-BE"/>
        </w:rPr>
      </w:pPr>
      <w:r w:rsidRPr="009118AB">
        <w:lastRenderedPageBreak/>
        <w:tab/>
        <w:t>[</w:t>
      </w:r>
      <w:r w:rsidR="00D67EB8" w:rsidRPr="009118AB">
        <w:rPr>
          <w:b/>
          <w:bCs/>
          <w:lang w:eastAsia="fr-BE"/>
        </w:rPr>
        <w:t>Art. </w:t>
      </w:r>
      <w:r w:rsidRPr="009118AB">
        <w:rPr>
          <w:b/>
          <w:bCs/>
          <w:lang w:eastAsia="fr-BE"/>
        </w:rPr>
        <w:t>207/2</w:t>
      </w:r>
      <w:r w:rsidR="00D67EB8" w:rsidRPr="009118AB">
        <w:rPr>
          <w:lang w:eastAsia="fr-BE"/>
        </w:rPr>
        <w:t> - </w:t>
      </w:r>
      <w:r w:rsidRPr="009118AB">
        <w:rPr>
          <w:lang w:eastAsia="fr-BE"/>
        </w:rPr>
        <w:t xml:space="preserve">Der in Artikel 206/3 </w:t>
      </w:r>
      <w:r w:rsidR="00D67EB8" w:rsidRPr="009118AB">
        <w:rPr>
          <w:lang w:eastAsia="fr-BE"/>
        </w:rPr>
        <w:t>§ </w:t>
      </w:r>
      <w:r w:rsidRPr="009118AB">
        <w:rPr>
          <w:lang w:eastAsia="fr-BE"/>
        </w:rPr>
        <w:t>1 Absatz 1 erwähnte Teil des Ergebnisses wird dem nach Anwendung von Artikel 207/1 erhaltenen Ergebnis wieder hinzugefügt.</w:t>
      </w:r>
    </w:p>
    <w:p w14:paraId="218EFE49" w14:textId="77777777" w:rsidR="00B436DD" w:rsidRPr="009118AB" w:rsidRDefault="00B436DD" w:rsidP="00B436DD">
      <w:pPr>
        <w:jc w:val="both"/>
        <w:rPr>
          <w:lang w:eastAsia="fr-BE"/>
        </w:rPr>
      </w:pPr>
    </w:p>
    <w:p w14:paraId="3F849811" w14:textId="2437F9C4" w:rsidR="00B436DD" w:rsidRPr="009118AB" w:rsidRDefault="00B436DD" w:rsidP="00B436DD">
      <w:pPr>
        <w:jc w:val="both"/>
        <w:rPr>
          <w:lang w:eastAsia="fr-BE"/>
        </w:rPr>
      </w:pPr>
      <w:r w:rsidRPr="009118AB">
        <w:rPr>
          <w:lang w:eastAsia="fr-BE"/>
        </w:rPr>
        <w:tab/>
        <w:t xml:space="preserve">Der in Artikel 206/3 </w:t>
      </w:r>
      <w:r w:rsidR="00D67EB8" w:rsidRPr="009118AB">
        <w:rPr>
          <w:lang w:eastAsia="fr-BE"/>
        </w:rPr>
        <w:t>§ </w:t>
      </w:r>
      <w:r w:rsidRPr="009118AB">
        <w:rPr>
          <w:lang w:eastAsia="fr-BE"/>
        </w:rPr>
        <w:t>1 Absatz 2 erwähnte Teil des Ergebnisses wird ebenfalls</w:t>
      </w:r>
      <w:r w:rsidR="00D67EB8" w:rsidRPr="009118AB">
        <w:rPr>
          <w:lang w:eastAsia="fr-BE"/>
        </w:rPr>
        <w:t> - </w:t>
      </w:r>
      <w:r w:rsidRPr="009118AB">
        <w:rPr>
          <w:lang w:eastAsia="fr-BE"/>
        </w:rPr>
        <w:t xml:space="preserve">nach Abzug der übrig bleibenden gemäß Artikel 205 </w:t>
      </w:r>
      <w:r w:rsidR="00D67EB8" w:rsidRPr="009118AB">
        <w:rPr>
          <w:lang w:eastAsia="fr-BE"/>
        </w:rPr>
        <w:t>§ </w:t>
      </w:r>
      <w:r w:rsidRPr="009118AB">
        <w:rPr>
          <w:lang w:eastAsia="fr-BE"/>
        </w:rPr>
        <w:t>2 abzugsfähigen Einkünfte</w:t>
      </w:r>
      <w:r w:rsidR="00D67EB8" w:rsidRPr="009118AB">
        <w:rPr>
          <w:lang w:eastAsia="fr-BE"/>
        </w:rPr>
        <w:t> - </w:t>
      </w:r>
      <w:r w:rsidRPr="009118AB">
        <w:rPr>
          <w:lang w:eastAsia="fr-BE"/>
        </w:rPr>
        <w:t>dem nach Anwendung von Artikel 207/1 erhaltenen Ergebnis wieder hinzugefügt.]</w:t>
      </w:r>
    </w:p>
    <w:p w14:paraId="64816C99" w14:textId="77777777" w:rsidR="00B436DD" w:rsidRPr="009118AB" w:rsidRDefault="00B436DD" w:rsidP="00B436DD">
      <w:pPr>
        <w:jc w:val="both"/>
        <w:rPr>
          <w:lang w:eastAsia="fr-BE"/>
        </w:rPr>
      </w:pPr>
    </w:p>
    <w:p w14:paraId="6679E3E9" w14:textId="0AB11AF1" w:rsidR="00B436DD" w:rsidRDefault="00B436DD" w:rsidP="00B436DD">
      <w:pPr>
        <w:autoSpaceDE w:val="0"/>
        <w:autoSpaceDN w:val="0"/>
        <w:adjustRightInd w:val="0"/>
        <w:jc w:val="both"/>
        <w:rPr>
          <w:i/>
          <w:iCs/>
        </w:rPr>
      </w:pPr>
      <w:r w:rsidRPr="009118AB">
        <w:rPr>
          <w:i/>
          <w:iCs/>
          <w:lang w:eastAsia="fr-BE"/>
        </w:rPr>
        <w:t>[</w:t>
      </w:r>
      <w:r w:rsidR="00D67EB8" w:rsidRPr="009118AB">
        <w:rPr>
          <w:i/>
          <w:iCs/>
          <w:lang w:eastAsia="fr-BE"/>
        </w:rPr>
        <w:t>Art. </w:t>
      </w:r>
      <w:r w:rsidRPr="009118AB">
        <w:rPr>
          <w:i/>
          <w:iCs/>
          <w:lang w:eastAsia="fr-BE"/>
        </w:rPr>
        <w:t xml:space="preserve">207/2 eingefügt durch </w:t>
      </w:r>
      <w:r w:rsidR="00D67EB8" w:rsidRPr="009118AB">
        <w:rPr>
          <w:i/>
          <w:iCs/>
          <w:lang w:eastAsia="fr-BE"/>
        </w:rPr>
        <w:t>Art. </w:t>
      </w:r>
      <w:r w:rsidRPr="009118AB">
        <w:rPr>
          <w:i/>
          <w:iCs/>
          <w:lang w:eastAsia="fr-BE"/>
        </w:rPr>
        <w:t>17</w:t>
      </w:r>
      <w:r w:rsidRPr="009118AB">
        <w:rPr>
          <w:i/>
          <w:iCs/>
        </w:rPr>
        <w:t xml:space="preserve"> des G. vom 21. Januar 2022 (B.S. vom 28. Januar 2022)</w:t>
      </w:r>
      <w:r w:rsidR="00D67EB8" w:rsidRPr="009118AB">
        <w:rPr>
          <w:i/>
          <w:iCs/>
        </w:rPr>
        <w:t> - </w:t>
      </w:r>
      <w:r w:rsidRPr="009118AB">
        <w:rPr>
          <w:i/>
          <w:iCs/>
        </w:rPr>
        <w:t>anwendbar ab dem Steuerjahr 2022</w:t>
      </w:r>
      <w:r w:rsidR="00FD68E8" w:rsidRPr="009118AB">
        <w:rPr>
          <w:i/>
          <w:iCs/>
        </w:rPr>
        <w:t> -]</w:t>
      </w:r>
    </w:p>
    <w:p w14:paraId="29CE30FE" w14:textId="77777777" w:rsidR="00E17928" w:rsidRDefault="00E17928" w:rsidP="00B436DD">
      <w:pPr>
        <w:autoSpaceDE w:val="0"/>
        <w:autoSpaceDN w:val="0"/>
        <w:adjustRightInd w:val="0"/>
        <w:jc w:val="both"/>
        <w:rPr>
          <w:i/>
          <w:iCs/>
        </w:rPr>
      </w:pPr>
    </w:p>
    <w:p w14:paraId="6618EDCB" w14:textId="77777777" w:rsidR="00E17928" w:rsidRPr="009118AB" w:rsidRDefault="00E17928" w:rsidP="00B436DD">
      <w:pPr>
        <w:autoSpaceDE w:val="0"/>
        <w:autoSpaceDN w:val="0"/>
        <w:adjustRightInd w:val="0"/>
        <w:jc w:val="both"/>
        <w:rPr>
          <w:i/>
          <w:iCs/>
        </w:rPr>
      </w:pPr>
    </w:p>
    <w:p w14:paraId="4D140A97" w14:textId="77777777" w:rsidR="00E17928" w:rsidRDefault="00E17928">
      <w:r>
        <w:br w:type="page"/>
      </w:r>
    </w:p>
    <w:p w14:paraId="06B85EF1" w14:textId="65677583" w:rsidR="00447FA7" w:rsidRPr="009118AB" w:rsidRDefault="008443F0" w:rsidP="006A2667">
      <w:pPr>
        <w:autoSpaceDE w:val="0"/>
        <w:autoSpaceDN w:val="0"/>
        <w:adjustRightInd w:val="0"/>
        <w:jc w:val="center"/>
      </w:pPr>
      <w:r w:rsidRPr="009118AB">
        <w:lastRenderedPageBreak/>
        <w:t>[</w:t>
      </w:r>
      <w:r w:rsidR="00447FA7" w:rsidRPr="009118AB">
        <w:t>[...]</w:t>
      </w:r>
    </w:p>
    <w:p w14:paraId="425C092E" w14:textId="77777777" w:rsidR="00447FA7" w:rsidRPr="009118AB" w:rsidRDefault="00447FA7" w:rsidP="006A2667">
      <w:pPr>
        <w:autoSpaceDE w:val="0"/>
        <w:autoSpaceDN w:val="0"/>
        <w:adjustRightInd w:val="0"/>
        <w:jc w:val="center"/>
      </w:pPr>
    </w:p>
    <w:p w14:paraId="15876B0B" w14:textId="0152B9BC" w:rsidR="00447FA7" w:rsidRPr="009118AB" w:rsidRDefault="00447FA7" w:rsidP="00447FA7">
      <w:pPr>
        <w:autoSpaceDE w:val="0"/>
        <w:autoSpaceDN w:val="0"/>
        <w:adjustRightInd w:val="0"/>
        <w:jc w:val="both"/>
        <w:rPr>
          <w:i/>
          <w:iCs/>
        </w:rPr>
      </w:pPr>
      <w:r w:rsidRPr="009118AB">
        <w:rPr>
          <w:i/>
          <w:iCs/>
        </w:rPr>
        <w:t>[Unterabschnitt 6 mit den Artikeln 207/1 bis 207/9 eingefügt durch die Artikel 56 bis 65 des G. vom 27. Juni 2021 (B.S. vom 30. Juni 2021)</w:t>
      </w:r>
      <w:r w:rsidR="00D67EB8" w:rsidRPr="009118AB">
        <w:rPr>
          <w:i/>
          <w:iCs/>
        </w:rPr>
        <w:t> - </w:t>
      </w:r>
      <w:r w:rsidRPr="009118AB">
        <w:rPr>
          <w:i/>
          <w:iCs/>
        </w:rPr>
        <w:t>in Kraft am 31. Dezember 2021 und anwendbar ab dem Steuerjahr 2022</w:t>
      </w:r>
      <w:r w:rsidR="00FD68E8" w:rsidRPr="009118AB">
        <w:rPr>
          <w:i/>
          <w:iCs/>
        </w:rPr>
        <w:t> -,</w:t>
      </w:r>
      <w:r w:rsidRPr="009118AB">
        <w:rPr>
          <w:i/>
          <w:iCs/>
        </w:rPr>
        <w:t xml:space="preserve"> selbst widerrufen durch </w:t>
      </w:r>
      <w:r w:rsidR="00D67EB8" w:rsidRPr="009118AB">
        <w:rPr>
          <w:i/>
          <w:iCs/>
        </w:rPr>
        <w:t>Art. </w:t>
      </w:r>
      <w:r w:rsidRPr="009118AB">
        <w:rPr>
          <w:i/>
          <w:iCs/>
        </w:rPr>
        <w:t>22 des G. vom 21. Januar 2022 (B.S. vom 28. Januar 2022)]</w:t>
      </w:r>
    </w:p>
    <w:p w14:paraId="52CCFFD2" w14:textId="77777777" w:rsidR="001D1D5D" w:rsidRPr="009118AB" w:rsidRDefault="001D1D5D" w:rsidP="00447FA7">
      <w:pPr>
        <w:autoSpaceDE w:val="0"/>
        <w:autoSpaceDN w:val="0"/>
        <w:adjustRightInd w:val="0"/>
        <w:jc w:val="both"/>
      </w:pPr>
    </w:p>
    <w:p w14:paraId="2E8856E1" w14:textId="77777777" w:rsidR="001D1D5D" w:rsidRPr="009118AB" w:rsidRDefault="001D1D5D" w:rsidP="00447FA7">
      <w:pPr>
        <w:autoSpaceDE w:val="0"/>
        <w:autoSpaceDN w:val="0"/>
        <w:adjustRightInd w:val="0"/>
        <w:jc w:val="both"/>
      </w:pPr>
    </w:p>
    <w:p w14:paraId="3EE3B506" w14:textId="15E44F6B" w:rsidR="001D1D5D" w:rsidRPr="009118AB" w:rsidRDefault="001D1D5D" w:rsidP="00447FA7">
      <w:pPr>
        <w:autoSpaceDE w:val="0"/>
        <w:autoSpaceDN w:val="0"/>
        <w:adjustRightInd w:val="0"/>
        <w:jc w:val="both"/>
      </w:pPr>
      <w:r w:rsidRPr="009118AB">
        <w:tab/>
        <w:t>[...]]</w:t>
      </w:r>
    </w:p>
    <w:p w14:paraId="47E016FE" w14:textId="77777777" w:rsidR="00447FA7" w:rsidRPr="009118AB" w:rsidRDefault="00447FA7" w:rsidP="00447FA7">
      <w:pPr>
        <w:autoSpaceDE w:val="0"/>
        <w:autoSpaceDN w:val="0"/>
        <w:adjustRightInd w:val="0"/>
        <w:jc w:val="center"/>
        <w:rPr>
          <w:i/>
          <w:iCs/>
        </w:rPr>
      </w:pPr>
    </w:p>
    <w:p w14:paraId="63F26156" w14:textId="0D0CFAEC" w:rsidR="00477B8F" w:rsidRPr="009118AB" w:rsidRDefault="00477B8F" w:rsidP="00447FA7">
      <w:pPr>
        <w:autoSpaceDE w:val="0"/>
        <w:autoSpaceDN w:val="0"/>
        <w:adjustRightInd w:val="0"/>
        <w:jc w:val="center"/>
        <w:rPr>
          <w:bCs/>
          <w:iCs/>
          <w:sz w:val="20"/>
          <w:szCs w:val="20"/>
        </w:rPr>
      </w:pPr>
      <w:r w:rsidRPr="009118AB">
        <w:br w:type="page"/>
      </w:r>
      <w:r w:rsidRPr="009118AB">
        <w:rPr>
          <w:i/>
          <w:iCs/>
        </w:rPr>
        <w:lastRenderedPageBreak/>
        <w:t>Abschnitt </w:t>
      </w:r>
      <w:r w:rsidR="00D74862" w:rsidRPr="009118AB">
        <w:rPr>
          <w:i/>
          <w:iCs/>
        </w:rPr>
        <w:t>5</w:t>
      </w:r>
      <w:r w:rsidR="00D67EB8" w:rsidRPr="009118AB">
        <w:t> - </w:t>
      </w:r>
      <w:r w:rsidRPr="009118AB">
        <w:t>Auflösung und Liquidation</w:t>
      </w:r>
    </w:p>
    <w:p w14:paraId="648D041F" w14:textId="77777777" w:rsidR="00477B8F" w:rsidRPr="009118AB" w:rsidRDefault="00477B8F" w:rsidP="00477B8F">
      <w:pPr>
        <w:autoSpaceDE w:val="0"/>
        <w:autoSpaceDN w:val="0"/>
        <w:adjustRightInd w:val="0"/>
        <w:jc w:val="center"/>
      </w:pPr>
    </w:p>
    <w:p w14:paraId="10E3F7F9" w14:textId="77777777" w:rsidR="00477B8F" w:rsidRPr="009118AB" w:rsidRDefault="00477B8F" w:rsidP="00477B8F">
      <w:pPr>
        <w:autoSpaceDE w:val="0"/>
        <w:autoSpaceDN w:val="0"/>
        <w:adjustRightInd w:val="0"/>
        <w:jc w:val="center"/>
      </w:pPr>
    </w:p>
    <w:p w14:paraId="14ACD5B7" w14:textId="786E994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208</w:t>
      </w:r>
      <w:r w:rsidR="00D67EB8" w:rsidRPr="009118AB">
        <w:t> - </w:t>
      </w:r>
      <w:r w:rsidRPr="009118AB">
        <w:t>In Liquidation befindliche Gesellschaften bleiben der Gesellschaftssteuer gemäß den Bestimmungen der Artikel </w:t>
      </w:r>
      <w:r w:rsidR="00852970" w:rsidRPr="009118AB">
        <w:t>[</w:t>
      </w:r>
      <w:r w:rsidRPr="009118AB">
        <w:t>183 bis 207</w:t>
      </w:r>
      <w:r w:rsidR="00852970" w:rsidRPr="009118AB">
        <w:t>/</w:t>
      </w:r>
      <w:r w:rsidR="00B436DD" w:rsidRPr="009118AB">
        <w:t>2</w:t>
      </w:r>
      <w:r w:rsidR="00852970" w:rsidRPr="009118AB">
        <w:t>]</w:t>
      </w:r>
      <w:r w:rsidRPr="009118AB">
        <w:t xml:space="preserve"> unterworfen.</w:t>
      </w:r>
    </w:p>
    <w:p w14:paraId="458F812E" w14:textId="77777777" w:rsidR="00477B8F" w:rsidRPr="009118AB" w:rsidRDefault="00477B8F" w:rsidP="00477B8F">
      <w:pPr>
        <w:autoSpaceDE w:val="0"/>
        <w:autoSpaceDN w:val="0"/>
        <w:adjustRightInd w:val="0"/>
        <w:jc w:val="both"/>
      </w:pPr>
    </w:p>
    <w:p w14:paraId="2D5BA84A" w14:textId="77777777" w:rsidR="00477B8F" w:rsidRPr="009118AB" w:rsidRDefault="00477B8F" w:rsidP="00477B8F">
      <w:pPr>
        <w:autoSpaceDE w:val="0"/>
        <w:autoSpaceDN w:val="0"/>
        <w:adjustRightInd w:val="0"/>
        <w:jc w:val="both"/>
      </w:pPr>
      <w:r w:rsidRPr="009118AB">
        <w:tab/>
        <w:t>Ihre Gewinne umfassen ebenfalls anlässlich der Verteilung des Gesellschafts</w:t>
      </w:r>
      <w:r w:rsidR="008C06F1" w:rsidRPr="009118AB">
        <w:softHyphen/>
      </w:r>
      <w:r w:rsidRPr="009118AB">
        <w:t>vermögens verwirklichte oder festgestellte Mehrwerte.</w:t>
      </w:r>
    </w:p>
    <w:p w14:paraId="3053EBE9" w14:textId="1A99DF01" w:rsidR="00477B8F" w:rsidRPr="009118AB" w:rsidRDefault="00477B8F" w:rsidP="00477B8F">
      <w:pPr>
        <w:autoSpaceDE w:val="0"/>
        <w:autoSpaceDN w:val="0"/>
        <w:adjustRightInd w:val="0"/>
        <w:jc w:val="both"/>
      </w:pPr>
    </w:p>
    <w:p w14:paraId="1C0CD87F" w14:textId="45209FF3" w:rsidR="00852970" w:rsidRPr="009118AB" w:rsidRDefault="00852970" w:rsidP="00477B8F">
      <w:pPr>
        <w:autoSpaceDE w:val="0"/>
        <w:autoSpaceDN w:val="0"/>
        <w:adjustRightInd w:val="0"/>
        <w:jc w:val="both"/>
        <w:rPr>
          <w:bCs/>
          <w:i/>
          <w:iCs/>
        </w:rPr>
      </w:pPr>
      <w:r w:rsidRPr="009118AB">
        <w:rPr>
          <w:i/>
          <w:iCs/>
        </w:rPr>
        <w:t>[</w:t>
      </w:r>
      <w:r w:rsidR="00D67EB8" w:rsidRPr="009118AB">
        <w:rPr>
          <w:i/>
          <w:iCs/>
        </w:rPr>
        <w:t>Art. </w:t>
      </w:r>
      <w:r w:rsidRPr="009118AB">
        <w:rPr>
          <w:i/>
          <w:iCs/>
        </w:rPr>
        <w:t xml:space="preserve">208 </w:t>
      </w:r>
      <w:r w:rsidR="00D67EB8" w:rsidRPr="009118AB">
        <w:rPr>
          <w:i/>
          <w:iCs/>
        </w:rPr>
        <w:t>Abs. </w:t>
      </w:r>
      <w:r w:rsidRPr="009118AB">
        <w:rPr>
          <w:i/>
          <w:iCs/>
        </w:rPr>
        <w:t xml:space="preserve">1 abgeändert durch </w:t>
      </w:r>
      <w:r w:rsidR="00D67EB8" w:rsidRPr="009118AB">
        <w:rPr>
          <w:i/>
          <w:iCs/>
        </w:rPr>
        <w:t>Art. </w:t>
      </w:r>
      <w:r w:rsidRPr="009118AB">
        <w:rPr>
          <w:i/>
          <w:iCs/>
        </w:rPr>
        <w:t>66</w:t>
      </w:r>
      <w:r w:rsidRPr="009118AB">
        <w:rPr>
          <w:bCs/>
          <w:i/>
          <w:iCs/>
        </w:rPr>
        <w:t xml:space="preserve"> des G. vom 27. Juni 2021 (B.S. vom 30. Juni 2021)</w:t>
      </w:r>
      <w:r w:rsidR="00B436DD" w:rsidRPr="009118AB">
        <w:rPr>
          <w:bCs/>
          <w:i/>
          <w:iCs/>
        </w:rPr>
        <w:t xml:space="preserve"> und </w:t>
      </w:r>
      <w:r w:rsidR="00D67EB8" w:rsidRPr="009118AB">
        <w:rPr>
          <w:bCs/>
          <w:i/>
          <w:iCs/>
        </w:rPr>
        <w:t>Art. </w:t>
      </w:r>
      <w:r w:rsidR="00B436DD" w:rsidRPr="009118AB">
        <w:rPr>
          <w:bCs/>
          <w:i/>
          <w:iCs/>
        </w:rPr>
        <w:t>18</w:t>
      </w:r>
      <w:r w:rsidR="00B436DD" w:rsidRPr="009118AB">
        <w:rPr>
          <w:i/>
          <w:iCs/>
        </w:rPr>
        <w:t xml:space="preserve"> des G. vom 21. Januar 2022 (B.S. vom 28. Januar 2022)</w:t>
      </w:r>
      <w:r w:rsidR="00D67EB8" w:rsidRPr="009118AB">
        <w:rPr>
          <w:i/>
          <w:iCs/>
        </w:rPr>
        <w:t> - </w:t>
      </w:r>
      <w:r w:rsidR="00B436DD" w:rsidRPr="009118AB">
        <w:rPr>
          <w:i/>
          <w:iCs/>
        </w:rPr>
        <w:t>anwendbar ab dem Steuerjahr 2022</w:t>
      </w:r>
      <w:r w:rsidR="00FD68E8" w:rsidRPr="009118AB">
        <w:rPr>
          <w:i/>
          <w:iCs/>
        </w:rPr>
        <w:t> -]</w:t>
      </w:r>
    </w:p>
    <w:p w14:paraId="60818F45" w14:textId="77777777" w:rsidR="00852970" w:rsidRPr="009118AB" w:rsidRDefault="00852970" w:rsidP="00477B8F">
      <w:pPr>
        <w:autoSpaceDE w:val="0"/>
        <w:autoSpaceDN w:val="0"/>
        <w:adjustRightInd w:val="0"/>
        <w:jc w:val="both"/>
        <w:rPr>
          <w:i/>
          <w:iCs/>
        </w:rPr>
      </w:pPr>
    </w:p>
    <w:p w14:paraId="1E8E18FF" w14:textId="77777777" w:rsidR="00477B8F" w:rsidRPr="009118AB" w:rsidRDefault="00477B8F" w:rsidP="00477B8F">
      <w:pPr>
        <w:autoSpaceDE w:val="0"/>
        <w:autoSpaceDN w:val="0"/>
        <w:adjustRightInd w:val="0"/>
        <w:jc w:val="both"/>
      </w:pPr>
    </w:p>
    <w:p w14:paraId="4C61AFD3" w14:textId="25707CF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209</w:t>
      </w:r>
      <w:r w:rsidR="00D67EB8" w:rsidRPr="009118AB">
        <w:t> - </w:t>
      </w:r>
      <w:r w:rsidRPr="009118AB">
        <w:t>Im Falle der Verteilung des Gesellschaftsvermögens einer Gesellschaft aufgrund einer Auflösung oder aus anderen Gründen gilt die Plusdifferenz zwischen den in bar, in Wertpapieren oder in anderer Form verteilten Summen und dem neu bewerteten Wert des eingezahlten Kapitals als ausgeschüttete Dividende.</w:t>
      </w:r>
    </w:p>
    <w:p w14:paraId="5AA30C8A" w14:textId="77777777" w:rsidR="00477B8F" w:rsidRPr="009118AB" w:rsidRDefault="00477B8F" w:rsidP="00477B8F">
      <w:pPr>
        <w:autoSpaceDE w:val="0"/>
        <w:autoSpaceDN w:val="0"/>
        <w:adjustRightInd w:val="0"/>
        <w:jc w:val="both"/>
      </w:pPr>
    </w:p>
    <w:p w14:paraId="3C24F0A3" w14:textId="77777777" w:rsidR="00477B8F" w:rsidRPr="009118AB" w:rsidRDefault="00477B8F" w:rsidP="00477B8F">
      <w:pPr>
        <w:autoSpaceDE w:val="0"/>
        <w:autoSpaceDN w:val="0"/>
        <w:adjustRightInd w:val="0"/>
        <w:jc w:val="both"/>
      </w:pPr>
      <w:r w:rsidRPr="009118AB">
        <w:tab/>
        <w:t>Es wird davon ausgegangen, dass die verteilten Summen nacheinander stammen:</w:t>
      </w:r>
    </w:p>
    <w:p w14:paraId="70306345" w14:textId="77777777" w:rsidR="00477B8F" w:rsidRPr="009118AB" w:rsidRDefault="00477B8F" w:rsidP="00477B8F">
      <w:pPr>
        <w:autoSpaceDE w:val="0"/>
        <w:autoSpaceDN w:val="0"/>
        <w:adjustRightInd w:val="0"/>
        <w:jc w:val="both"/>
      </w:pPr>
    </w:p>
    <w:p w14:paraId="0B5D47E7" w14:textId="77777777" w:rsidR="00477B8F" w:rsidRPr="009118AB" w:rsidRDefault="00477B8F" w:rsidP="00477B8F">
      <w:pPr>
        <w:autoSpaceDE w:val="0"/>
        <w:autoSpaceDN w:val="0"/>
        <w:adjustRightInd w:val="0"/>
        <w:jc w:val="both"/>
      </w:pPr>
      <w:r w:rsidRPr="009118AB">
        <w:tab/>
        <w:t>1. zuerst aus dem neu bewerteten Wert des eingezahlten Kapitals,</w:t>
      </w:r>
    </w:p>
    <w:p w14:paraId="149C29E2" w14:textId="77777777" w:rsidR="00F00FCD" w:rsidRPr="009118AB" w:rsidRDefault="00F00FCD" w:rsidP="00477B8F">
      <w:pPr>
        <w:autoSpaceDE w:val="0"/>
        <w:autoSpaceDN w:val="0"/>
        <w:adjustRightInd w:val="0"/>
        <w:jc w:val="both"/>
      </w:pPr>
    </w:p>
    <w:p w14:paraId="45FF8916" w14:textId="77777777" w:rsidR="00F00FCD" w:rsidRPr="009118AB" w:rsidRDefault="00F00FCD" w:rsidP="00477B8F">
      <w:pPr>
        <w:autoSpaceDE w:val="0"/>
        <w:autoSpaceDN w:val="0"/>
        <w:adjustRightInd w:val="0"/>
        <w:jc w:val="both"/>
      </w:pPr>
      <w:r w:rsidRPr="009118AB">
        <w:tab/>
        <w:t>[1/1. </w:t>
      </w:r>
      <w:r w:rsidR="007628F6" w:rsidRPr="009118AB">
        <w:t>[dann aus der in Artikel 184</w:t>
      </w:r>
      <w:r w:rsidR="007628F6" w:rsidRPr="009118AB">
        <w:rPr>
          <w:i/>
        </w:rPr>
        <w:t>quater</w:t>
      </w:r>
      <w:r w:rsidR="007628F6" w:rsidRPr="009118AB">
        <w:t xml:space="preserve"> oder in Artikel 541 erwähnten Liquidationsrücklage,]</w:t>
      </w:r>
      <w:r w:rsidRPr="009118AB">
        <w:t>]</w:t>
      </w:r>
    </w:p>
    <w:p w14:paraId="773ADD7E" w14:textId="77777777" w:rsidR="00477B8F" w:rsidRPr="009118AB" w:rsidRDefault="00477B8F" w:rsidP="00477B8F">
      <w:pPr>
        <w:autoSpaceDE w:val="0"/>
        <w:autoSpaceDN w:val="0"/>
        <w:adjustRightInd w:val="0"/>
        <w:jc w:val="both"/>
      </w:pPr>
    </w:p>
    <w:p w14:paraId="28501613" w14:textId="221D6104" w:rsidR="00477B8F" w:rsidRPr="009118AB" w:rsidRDefault="00477B8F" w:rsidP="00477B8F">
      <w:pPr>
        <w:autoSpaceDE w:val="0"/>
        <w:autoSpaceDN w:val="0"/>
        <w:adjustRightInd w:val="0"/>
        <w:jc w:val="both"/>
      </w:pPr>
      <w:r w:rsidRPr="009118AB">
        <w:tab/>
        <w:t xml:space="preserve">2. dann aus vorherigen Gewinnrücklagen, die </w:t>
      </w:r>
      <w:r w:rsidR="00F00FCD" w:rsidRPr="009118AB">
        <w:t xml:space="preserve">[nicht in </w:t>
      </w:r>
      <w:r w:rsidR="00D67EB8" w:rsidRPr="009118AB">
        <w:t>Nr. </w:t>
      </w:r>
      <w:r w:rsidR="00F00FCD" w:rsidRPr="009118AB">
        <w:t xml:space="preserve">1/1 erwähnt sind und] </w:t>
      </w:r>
      <w:r w:rsidRPr="009118AB">
        <w:t>der Gesellschaftssteuer schon unterlagen, einschließlich der Mehrwerte, die anlässlich der Verteilung des Gesellschaftsvermögens verwirklicht oder festgestellt werden,</w:t>
      </w:r>
    </w:p>
    <w:p w14:paraId="236B8E93" w14:textId="77777777" w:rsidR="00477B8F" w:rsidRPr="009118AB" w:rsidRDefault="00477B8F" w:rsidP="00477B8F">
      <w:pPr>
        <w:autoSpaceDE w:val="0"/>
        <w:autoSpaceDN w:val="0"/>
        <w:adjustRightInd w:val="0"/>
        <w:jc w:val="both"/>
      </w:pPr>
    </w:p>
    <w:p w14:paraId="704975AA" w14:textId="77777777" w:rsidR="00477B8F" w:rsidRPr="009118AB" w:rsidRDefault="00477B8F" w:rsidP="00477B8F">
      <w:pPr>
        <w:autoSpaceDE w:val="0"/>
        <w:autoSpaceDN w:val="0"/>
        <w:adjustRightInd w:val="0"/>
        <w:jc w:val="both"/>
      </w:pPr>
      <w:r w:rsidRPr="009118AB">
        <w:tab/>
        <w:t>3. und schließlich aus vorher von der Steuer befreiten Gewinnen.</w:t>
      </w:r>
    </w:p>
    <w:p w14:paraId="4D33F9E9" w14:textId="77777777" w:rsidR="00477B8F" w:rsidRPr="009118AB" w:rsidRDefault="00477B8F" w:rsidP="00477B8F">
      <w:pPr>
        <w:autoSpaceDE w:val="0"/>
        <w:autoSpaceDN w:val="0"/>
        <w:adjustRightInd w:val="0"/>
        <w:jc w:val="both"/>
      </w:pPr>
    </w:p>
    <w:p w14:paraId="5E0742EC" w14:textId="77777777" w:rsidR="00477B8F" w:rsidRPr="009118AB" w:rsidRDefault="00477B8F" w:rsidP="00477B8F">
      <w:pPr>
        <w:autoSpaceDE w:val="0"/>
        <w:autoSpaceDN w:val="0"/>
        <w:adjustRightInd w:val="0"/>
        <w:jc w:val="both"/>
      </w:pPr>
      <w:r w:rsidRPr="009118AB">
        <w:tab/>
        <w:t>Wenn die Verteilung des Gesellschaftsvermögens stufenweise erfolgt, ist Absatz 1 jedes Mal anwendbar, wenn eine Verteilung die Differenz überschreitet zwischen einerseits dem Betrag des bei der Auflösung eingezahlten Kapitals, das entsprechend den am Datum dieser Verteilung anwendbaren Koeffizienten neu bewertet wird, und andererseits den früheren Verteilungen, die selbst gemäß den an demselben Datum anwendbaren Koeffizienten neu bewertet werden für die Jahre, in denen diese Verteilungen stattfanden.</w:t>
      </w:r>
    </w:p>
    <w:p w14:paraId="579F4B6C" w14:textId="77777777" w:rsidR="00F00FCD" w:rsidRPr="009118AB" w:rsidRDefault="00F00FCD" w:rsidP="00477B8F">
      <w:pPr>
        <w:autoSpaceDE w:val="0"/>
        <w:autoSpaceDN w:val="0"/>
        <w:adjustRightInd w:val="0"/>
        <w:jc w:val="both"/>
      </w:pPr>
    </w:p>
    <w:p w14:paraId="151D5976" w14:textId="488201E8" w:rsidR="00F00FCD" w:rsidRPr="009118AB" w:rsidRDefault="00F00FCD" w:rsidP="00477B8F">
      <w:pPr>
        <w:autoSpaceDE w:val="0"/>
        <w:autoSpaceDN w:val="0"/>
        <w:adjustRightInd w:val="0"/>
        <w:jc w:val="both"/>
        <w:rPr>
          <w:i/>
        </w:rPr>
      </w:pPr>
      <w:r w:rsidRPr="009118AB">
        <w:rPr>
          <w:i/>
        </w:rPr>
        <w:t>[</w:t>
      </w:r>
      <w:r w:rsidR="00D67EB8" w:rsidRPr="009118AB">
        <w:rPr>
          <w:i/>
        </w:rPr>
        <w:t>Art. </w:t>
      </w:r>
      <w:r w:rsidRPr="009118AB">
        <w:rPr>
          <w:i/>
        </w:rPr>
        <w:t xml:space="preserve">209 </w:t>
      </w:r>
      <w:r w:rsidR="00D67EB8" w:rsidRPr="009118AB">
        <w:rPr>
          <w:i/>
        </w:rPr>
        <w:t>Abs. </w:t>
      </w:r>
      <w:r w:rsidRPr="009118AB">
        <w:rPr>
          <w:i/>
        </w:rPr>
        <w:t xml:space="preserve">2 </w:t>
      </w:r>
      <w:r w:rsidR="00D67EB8" w:rsidRPr="009118AB">
        <w:rPr>
          <w:i/>
        </w:rPr>
        <w:t>Nr. </w:t>
      </w:r>
      <w:r w:rsidRPr="009118AB">
        <w:rPr>
          <w:i/>
        </w:rPr>
        <w:t xml:space="preserve">1/1 eingefügt durch </w:t>
      </w:r>
      <w:r w:rsidR="00D67EB8" w:rsidRPr="009118AB">
        <w:rPr>
          <w:i/>
        </w:rPr>
        <w:t>Art. </w:t>
      </w:r>
      <w:r w:rsidRPr="009118AB">
        <w:rPr>
          <w:i/>
        </w:rPr>
        <w:t>47 Buchstabe a)</w:t>
      </w:r>
      <w:r w:rsidRPr="009118AB">
        <w:rPr>
          <w:i/>
          <w:iCs/>
        </w:rPr>
        <w:t xml:space="preserve"> </w:t>
      </w:r>
      <w:r w:rsidRPr="009118AB">
        <w:rPr>
          <w:i/>
          <w:iCs/>
          <w:spacing w:val="-1"/>
        </w:rPr>
        <w:t>des G. vom 19. Dezember 2014 (B.S. vom 29. Dezember 2014)</w:t>
      </w:r>
      <w:r w:rsidR="00D67EB8" w:rsidRPr="009118AB">
        <w:rPr>
          <w:i/>
          <w:iCs/>
          <w:spacing w:val="-1"/>
        </w:rPr>
        <w:t> - </w:t>
      </w:r>
      <w:r w:rsidRPr="009118AB">
        <w:rPr>
          <w:i/>
          <w:iCs/>
          <w:spacing w:val="-1"/>
        </w:rPr>
        <w:t>anwendbar ab dem Steuerjahr 2015</w:t>
      </w:r>
      <w:r w:rsidR="00D67EB8" w:rsidRPr="009118AB">
        <w:rPr>
          <w:i/>
          <w:iCs/>
          <w:spacing w:val="-1"/>
        </w:rPr>
        <w:t> - </w:t>
      </w:r>
      <w:r w:rsidR="007628F6" w:rsidRPr="009118AB">
        <w:rPr>
          <w:i/>
          <w:iCs/>
          <w:spacing w:val="-1"/>
        </w:rPr>
        <w:t xml:space="preserve">und ersetzt durch </w:t>
      </w:r>
      <w:r w:rsidR="00D67EB8" w:rsidRPr="009118AB">
        <w:rPr>
          <w:i/>
          <w:iCs/>
          <w:spacing w:val="-1"/>
        </w:rPr>
        <w:t>Art. </w:t>
      </w:r>
      <w:r w:rsidR="007628F6" w:rsidRPr="009118AB">
        <w:rPr>
          <w:i/>
          <w:iCs/>
          <w:spacing w:val="-1"/>
        </w:rPr>
        <w:t>79</w:t>
      </w:r>
      <w:r w:rsidR="007628F6" w:rsidRPr="009118AB">
        <w:rPr>
          <w:i/>
          <w:iCs/>
        </w:rPr>
        <w:t xml:space="preserve"> des G. vom 10. August 2015 (B.S. vom 18. August 2015)</w:t>
      </w:r>
      <w:r w:rsidR="00D67EB8" w:rsidRPr="009118AB">
        <w:rPr>
          <w:i/>
          <w:iCs/>
        </w:rPr>
        <w:t> - </w:t>
      </w:r>
      <w:r w:rsidR="007628F6" w:rsidRPr="009118AB">
        <w:rPr>
          <w:i/>
          <w:iCs/>
        </w:rPr>
        <w:t>in Kraft ab dem 18. August 2015</w:t>
      </w:r>
      <w:r w:rsidR="003366D9" w:rsidRPr="009118AB">
        <w:rPr>
          <w:i/>
          <w:iCs/>
        </w:rPr>
        <w:t> -;</w:t>
      </w:r>
      <w:r w:rsidRPr="009118AB">
        <w:rPr>
          <w:i/>
          <w:iCs/>
          <w:spacing w:val="-1"/>
        </w:rPr>
        <w:t xml:space="preserve"> </w:t>
      </w:r>
      <w:r w:rsidR="00D67EB8" w:rsidRPr="009118AB">
        <w:rPr>
          <w:i/>
          <w:iCs/>
          <w:spacing w:val="-1"/>
        </w:rPr>
        <w:t>Abs. </w:t>
      </w:r>
      <w:r w:rsidRPr="009118AB">
        <w:rPr>
          <w:i/>
          <w:iCs/>
          <w:spacing w:val="-1"/>
        </w:rPr>
        <w:t xml:space="preserve">2 </w:t>
      </w:r>
      <w:r w:rsidR="00D67EB8" w:rsidRPr="009118AB">
        <w:rPr>
          <w:i/>
          <w:iCs/>
          <w:spacing w:val="-1"/>
        </w:rPr>
        <w:t>Nr. </w:t>
      </w:r>
      <w:r w:rsidRPr="009118AB">
        <w:rPr>
          <w:i/>
          <w:iCs/>
          <w:spacing w:val="-1"/>
        </w:rPr>
        <w:t xml:space="preserve">2 abgeändert durch </w:t>
      </w:r>
      <w:r w:rsidR="00D67EB8" w:rsidRPr="009118AB">
        <w:rPr>
          <w:i/>
          <w:iCs/>
          <w:spacing w:val="-1"/>
        </w:rPr>
        <w:t>Art. </w:t>
      </w:r>
      <w:r w:rsidRPr="009118AB">
        <w:rPr>
          <w:i/>
          <w:iCs/>
          <w:spacing w:val="-1"/>
        </w:rPr>
        <w:t>47 Buchstabe b)</w:t>
      </w:r>
      <w:r w:rsidRPr="009118AB">
        <w:rPr>
          <w:i/>
          <w:iCs/>
        </w:rPr>
        <w:t xml:space="preserve"> </w:t>
      </w:r>
      <w:r w:rsidRPr="009118AB">
        <w:rPr>
          <w:i/>
          <w:iCs/>
          <w:spacing w:val="-1"/>
        </w:rPr>
        <w:t>des G. vom 19. Dezember 2014 (B.S. vom 29. Dezember 2014)</w:t>
      </w:r>
      <w:r w:rsidR="00D67EB8" w:rsidRPr="009118AB">
        <w:rPr>
          <w:i/>
          <w:iCs/>
          <w:spacing w:val="-1"/>
        </w:rPr>
        <w:t> - </w:t>
      </w:r>
      <w:r w:rsidRPr="009118AB">
        <w:rPr>
          <w:i/>
          <w:iCs/>
          <w:spacing w:val="-1"/>
        </w:rPr>
        <w:t>anwendbar ab dem Steuerjahr 2015</w:t>
      </w:r>
      <w:r w:rsidR="00FD68E8" w:rsidRPr="009118AB">
        <w:rPr>
          <w:i/>
          <w:iCs/>
          <w:spacing w:val="-1"/>
        </w:rPr>
        <w:t> -]</w:t>
      </w:r>
    </w:p>
    <w:p w14:paraId="21FDB493" w14:textId="77777777" w:rsidR="00477B8F" w:rsidRPr="009118AB" w:rsidRDefault="00477B8F" w:rsidP="00477B8F">
      <w:pPr>
        <w:autoSpaceDE w:val="0"/>
        <w:autoSpaceDN w:val="0"/>
        <w:adjustRightInd w:val="0"/>
        <w:jc w:val="both"/>
      </w:pPr>
    </w:p>
    <w:p w14:paraId="1D05216E" w14:textId="77777777" w:rsidR="00477B8F" w:rsidRPr="009118AB" w:rsidRDefault="00477B8F" w:rsidP="00477B8F">
      <w:pPr>
        <w:autoSpaceDE w:val="0"/>
        <w:autoSpaceDN w:val="0"/>
        <w:adjustRightInd w:val="0"/>
        <w:jc w:val="both"/>
      </w:pPr>
    </w:p>
    <w:p w14:paraId="68E02B03" w14:textId="45ADED0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210</w:t>
      </w:r>
      <w:r w:rsidR="00D67EB8" w:rsidRPr="009118AB">
        <w:t> - </w:t>
      </w:r>
      <w:r w:rsidRPr="009118AB">
        <w:t>[</w:t>
      </w:r>
      <w:r w:rsidR="00D67EB8" w:rsidRPr="009118AB">
        <w:t>§ </w:t>
      </w:r>
      <w:r w:rsidRPr="009118AB">
        <w:t>1</w:t>
      </w:r>
      <w:r w:rsidR="00D67EB8" w:rsidRPr="009118AB">
        <w:t> - </w:t>
      </w:r>
      <w:r w:rsidRPr="009118AB">
        <w:t>Die Artikel 208 und 209 sind ebenfalls anwendbar:</w:t>
      </w:r>
    </w:p>
    <w:p w14:paraId="7ADEF8D0" w14:textId="77777777" w:rsidR="00477B8F" w:rsidRPr="009118AB" w:rsidRDefault="00477B8F" w:rsidP="00477B8F">
      <w:pPr>
        <w:autoSpaceDE w:val="0"/>
        <w:autoSpaceDN w:val="0"/>
        <w:adjustRightInd w:val="0"/>
        <w:jc w:val="both"/>
      </w:pPr>
    </w:p>
    <w:p w14:paraId="56FC44E3" w14:textId="77777777" w:rsidR="00477B8F" w:rsidRPr="009118AB" w:rsidRDefault="00477B8F" w:rsidP="00477B8F">
      <w:pPr>
        <w:autoSpaceDE w:val="0"/>
        <w:autoSpaceDN w:val="0"/>
        <w:adjustRightInd w:val="0"/>
        <w:jc w:val="both"/>
      </w:pPr>
      <w:r w:rsidRPr="009118AB">
        <w:tab/>
        <w:t xml:space="preserve">1. im Falle einer Fusion durch Übernahme, einer Fusion durch Gründung einer neuen Gesellschaft, einer Aufspaltung durch Übernahme, einer Aufspaltung durch Gründung neuer </w:t>
      </w:r>
      <w:r w:rsidRPr="009118AB">
        <w:lastRenderedPageBreak/>
        <w:t>Gesellschaften, einer gemischten Aufspaltung oder eines mit einer Fusion durch Übernahme gleichgesetzten Vorgangs,</w:t>
      </w:r>
    </w:p>
    <w:p w14:paraId="26EBA616" w14:textId="77777777" w:rsidR="00477B8F" w:rsidRPr="009118AB" w:rsidRDefault="00477B8F" w:rsidP="00477B8F">
      <w:pPr>
        <w:autoSpaceDE w:val="0"/>
        <w:autoSpaceDN w:val="0"/>
        <w:adjustRightInd w:val="0"/>
        <w:jc w:val="both"/>
      </w:pPr>
    </w:p>
    <w:p w14:paraId="394F69DE" w14:textId="3B9D6996" w:rsidR="00477B8F" w:rsidRPr="009118AB" w:rsidRDefault="00477B8F" w:rsidP="00477B8F">
      <w:pPr>
        <w:autoSpaceDE w:val="0"/>
        <w:autoSpaceDN w:val="0"/>
        <w:adjustRightInd w:val="0"/>
        <w:jc w:val="both"/>
      </w:pPr>
      <w:r w:rsidRPr="009118AB">
        <w:tab/>
        <w:t>1</w:t>
      </w:r>
      <w:r w:rsidRPr="009118AB">
        <w:rPr>
          <w:i/>
          <w:iCs/>
        </w:rPr>
        <w:t>bis</w:t>
      </w:r>
      <w:r w:rsidRPr="009118AB">
        <w:t xml:space="preserve">. im Falle eines mit einer </w:t>
      </w:r>
      <w:r w:rsidR="00DA7561" w:rsidRPr="009118AB">
        <w:t>[…]</w:t>
      </w:r>
      <w:r w:rsidRPr="009118AB">
        <w:t xml:space="preserve"> Aufspaltung gleichgesetzten Vorgangs</w:t>
      </w:r>
      <w:r w:rsidR="00DA7561" w:rsidRPr="009118AB">
        <w:t xml:space="preserve"> […]</w:t>
      </w:r>
      <w:r w:rsidRPr="009118AB">
        <w:t>,</w:t>
      </w:r>
    </w:p>
    <w:p w14:paraId="369D3541" w14:textId="77777777" w:rsidR="00477B8F" w:rsidRPr="009118AB" w:rsidRDefault="00477B8F" w:rsidP="00477B8F">
      <w:pPr>
        <w:autoSpaceDE w:val="0"/>
        <w:autoSpaceDN w:val="0"/>
        <w:adjustRightInd w:val="0"/>
        <w:jc w:val="both"/>
      </w:pPr>
    </w:p>
    <w:p w14:paraId="4810BCA7" w14:textId="1038BB54" w:rsidR="00477B8F" w:rsidRPr="009118AB" w:rsidRDefault="00477B8F" w:rsidP="00477B8F">
      <w:pPr>
        <w:autoSpaceDE w:val="0"/>
        <w:autoSpaceDN w:val="0"/>
        <w:adjustRightInd w:val="0"/>
        <w:jc w:val="both"/>
      </w:pPr>
      <w:r w:rsidRPr="009118AB">
        <w:tab/>
        <w:t>2.</w:t>
      </w:r>
      <w:r w:rsidR="00DA7561" w:rsidRPr="009118AB">
        <w:t xml:space="preserve"> im Falle einer Auflösung ohne [Gesamtv</w:t>
      </w:r>
      <w:r w:rsidRPr="009118AB">
        <w:t>erteilung</w:t>
      </w:r>
      <w:r w:rsidR="00DA7561" w:rsidRPr="009118AB">
        <w:t>]</w:t>
      </w:r>
      <w:r w:rsidRPr="009118AB">
        <w:t xml:space="preserve"> des Gesellschaftsvermögens, die nicht den in den Nummern 1 und 1</w:t>
      </w:r>
      <w:r w:rsidRPr="009118AB">
        <w:rPr>
          <w:i/>
          <w:iCs/>
        </w:rPr>
        <w:t>bis</w:t>
      </w:r>
      <w:r w:rsidRPr="009118AB">
        <w:t xml:space="preserve"> erwähnten Fällen entspricht,</w:t>
      </w:r>
    </w:p>
    <w:p w14:paraId="45223BCB" w14:textId="77777777" w:rsidR="008C06F1" w:rsidRPr="009118AB" w:rsidRDefault="008C06F1" w:rsidP="00477B8F">
      <w:pPr>
        <w:autoSpaceDE w:val="0"/>
        <w:autoSpaceDN w:val="0"/>
        <w:adjustRightInd w:val="0"/>
      </w:pPr>
    </w:p>
    <w:p w14:paraId="785EBF78" w14:textId="4DF5B834" w:rsidR="00FF006D" w:rsidRPr="009118AB" w:rsidRDefault="00FF006D" w:rsidP="00FF006D">
      <w:pPr>
        <w:autoSpaceDE w:val="0"/>
        <w:autoSpaceDN w:val="0"/>
        <w:adjustRightInd w:val="0"/>
        <w:jc w:val="both"/>
      </w:pPr>
      <w:r w:rsidRPr="009118AB">
        <w:tab/>
        <w:t>[2</w:t>
      </w:r>
      <w:r w:rsidRPr="009118AB">
        <w:rPr>
          <w:i/>
          <w:iCs/>
        </w:rPr>
        <w:t>bis</w:t>
      </w:r>
      <w:r w:rsidRPr="009118AB">
        <w:t>. im Falle einer Übertragung</w:t>
      </w:r>
      <w:r w:rsidR="00D67EB8" w:rsidRPr="009118AB">
        <w:t> - </w:t>
      </w:r>
      <w:r w:rsidRPr="009118AB">
        <w:t>ohne Auflösung</w:t>
      </w:r>
      <w:r w:rsidR="00D67EB8" w:rsidRPr="009118AB">
        <w:t> - </w:t>
      </w:r>
      <w:r w:rsidRPr="009118AB">
        <w:t xml:space="preserve">des ganzen oder eines Teils des Gesellschaftsvermögens im Rahmen eines Vorgangs, der mit den in </w:t>
      </w:r>
      <w:r w:rsidR="00D67EB8" w:rsidRPr="009118AB">
        <w:t>Nr. </w:t>
      </w:r>
      <w:r w:rsidRPr="009118AB">
        <w:t>1</w:t>
      </w:r>
      <w:r w:rsidRPr="009118AB">
        <w:rPr>
          <w:i/>
          <w:iCs/>
        </w:rPr>
        <w:t>bis</w:t>
      </w:r>
      <w:r w:rsidRPr="009118AB">
        <w:t xml:space="preserve"> erwähnten Vorgängen vergleichbar ist,]</w:t>
      </w:r>
    </w:p>
    <w:p w14:paraId="249B3989" w14:textId="77777777" w:rsidR="00FF006D" w:rsidRPr="009118AB" w:rsidRDefault="00FF006D" w:rsidP="00477B8F">
      <w:pPr>
        <w:autoSpaceDE w:val="0"/>
        <w:autoSpaceDN w:val="0"/>
        <w:adjustRightInd w:val="0"/>
      </w:pPr>
    </w:p>
    <w:p w14:paraId="4D5CAE84" w14:textId="049A0D67" w:rsidR="00477B8F" w:rsidRPr="009118AB" w:rsidRDefault="00477B8F" w:rsidP="00FF006D">
      <w:pPr>
        <w:autoSpaceDE w:val="0"/>
        <w:autoSpaceDN w:val="0"/>
        <w:adjustRightInd w:val="0"/>
        <w:jc w:val="both"/>
      </w:pPr>
      <w:r w:rsidRPr="009118AB">
        <w:tab/>
        <w:t>3. im Falle der Ann</w:t>
      </w:r>
      <w:r w:rsidR="00FF006D" w:rsidRPr="009118AB">
        <w:t>ahme einer anderen Rechtsform, [außer in den in den Artikeln 14:2 bis 14:14, 15:32 bis 15:33 und 16:10 bis 16:11 des Gesetzbuches der Gesellschaften und Vereinigungen erwähnten Fällen und in den anderen Fällen, in denen eine andere Rechtsform angenommen wird, sofern diese Umwandlung ohne Unterbrechung der Rechtspersönlichkeit und in Übereinstimmung mit dem Recht der juristischen Personen, dem die Umwandlung unterliegt, erfolgt]</w:t>
      </w:r>
      <w:r w:rsidRPr="009118AB">
        <w:t>,</w:t>
      </w:r>
    </w:p>
    <w:p w14:paraId="779FDAA3" w14:textId="77777777" w:rsidR="00477B8F" w:rsidRPr="009118AB" w:rsidRDefault="00477B8F" w:rsidP="00477B8F">
      <w:pPr>
        <w:autoSpaceDE w:val="0"/>
        <w:autoSpaceDN w:val="0"/>
        <w:adjustRightInd w:val="0"/>
        <w:jc w:val="both"/>
      </w:pPr>
    </w:p>
    <w:p w14:paraId="4A939381" w14:textId="4005C6DC" w:rsidR="00477B8F" w:rsidRPr="009118AB" w:rsidRDefault="00477B8F" w:rsidP="00477B8F">
      <w:pPr>
        <w:autoSpaceDE w:val="0"/>
        <w:autoSpaceDN w:val="0"/>
        <w:adjustRightInd w:val="0"/>
        <w:jc w:val="both"/>
      </w:pPr>
      <w:r w:rsidRPr="009118AB">
        <w:tab/>
        <w:t xml:space="preserve">4. im Falle der Verlegung </w:t>
      </w:r>
      <w:r w:rsidR="00FF006D" w:rsidRPr="009118AB">
        <w:t>[…]</w:t>
      </w:r>
      <w:r w:rsidRPr="009118AB">
        <w:t xml:space="preserve"> der Hauptniederlassung oder des Geschäftsführungs- oder Verwaltungssitzes ins Ausland,</w:t>
      </w:r>
    </w:p>
    <w:p w14:paraId="1A8E921C" w14:textId="77777777" w:rsidR="00477B8F" w:rsidRPr="009118AB" w:rsidRDefault="00477B8F" w:rsidP="00477B8F">
      <w:pPr>
        <w:autoSpaceDE w:val="0"/>
        <w:autoSpaceDN w:val="0"/>
        <w:adjustRightInd w:val="0"/>
        <w:jc w:val="both"/>
      </w:pPr>
    </w:p>
    <w:p w14:paraId="6A87F245" w14:textId="77777777" w:rsidR="00143366" w:rsidRPr="009118AB" w:rsidRDefault="00477B8F" w:rsidP="00477B8F">
      <w:pPr>
        <w:autoSpaceDE w:val="0"/>
        <w:autoSpaceDN w:val="0"/>
        <w:adjustRightInd w:val="0"/>
        <w:jc w:val="both"/>
      </w:pPr>
      <w:r w:rsidRPr="009118AB">
        <w:tab/>
        <w:t xml:space="preserve">5. </w:t>
      </w:r>
      <w:r w:rsidR="00143366" w:rsidRPr="009118AB">
        <w:t>[</w:t>
      </w:r>
      <w:r w:rsidR="007A2343" w:rsidRPr="009118AB">
        <w:t>im Falle der Zulassung als Investmentgesellschaft mit fixem Kapital für Immobilien oder nicht notierte Aktien oder als beaufsichtigte Immobiliengesellschaft durch die Autorität Finanzielle Dienste und Märkte, außer wenn sie zum Zeitpunkt der Zulassung bereits als Investmentgesellschaft mit fixem Kapital für Immobilien oder nicht notierte Aktien oder als beaufsichtigte Immobiliengesellschaft zugelassen war oder beim FÖD Finanzen bereits als spezialisierter Immobilieninvestmentfonds eingetragen war,</w:t>
      </w:r>
      <w:r w:rsidR="00143366" w:rsidRPr="009118AB">
        <w:t>]</w:t>
      </w:r>
    </w:p>
    <w:p w14:paraId="7C662072" w14:textId="77777777" w:rsidR="00143366" w:rsidRPr="009118AB" w:rsidRDefault="00143366" w:rsidP="00477B8F">
      <w:pPr>
        <w:autoSpaceDE w:val="0"/>
        <w:autoSpaceDN w:val="0"/>
        <w:adjustRightInd w:val="0"/>
        <w:jc w:val="both"/>
      </w:pPr>
    </w:p>
    <w:p w14:paraId="74F7BE61" w14:textId="074C8761" w:rsidR="00477B8F" w:rsidRPr="009118AB" w:rsidRDefault="00143366" w:rsidP="00477B8F">
      <w:pPr>
        <w:autoSpaceDE w:val="0"/>
        <w:autoSpaceDN w:val="0"/>
        <w:adjustRightInd w:val="0"/>
        <w:jc w:val="both"/>
      </w:pPr>
      <w:r w:rsidRPr="009118AB">
        <w:tab/>
        <w:t>[6. </w:t>
      </w:r>
      <w:r w:rsidR="007A2343" w:rsidRPr="009118AB">
        <w:t>[im Falle der Eintragung als spezialisierter Immobilieninvestmentfonds beim FÖD Finanzen, außer wenn er zum Zeitpunkt der Eintragung bereits durch die Autorität Finanzielle Dienste und Märkte als Investmentgesellschaft mit fixem Kapital für Immobilien oder nicht notierte Aktien oder als beaufsichtigte Immobi</w:t>
      </w:r>
      <w:r w:rsidR="00FF006D" w:rsidRPr="009118AB">
        <w:t>liengesellschaft zugelassen war,</w:t>
      </w:r>
      <w:r w:rsidR="007A2343" w:rsidRPr="009118AB">
        <w:t>]</w:t>
      </w:r>
      <w:r w:rsidRPr="009118AB">
        <w:t>]</w:t>
      </w:r>
    </w:p>
    <w:p w14:paraId="1DF259D9" w14:textId="77777777" w:rsidR="00FF006D" w:rsidRPr="009118AB" w:rsidRDefault="00FF006D" w:rsidP="00477B8F">
      <w:pPr>
        <w:autoSpaceDE w:val="0"/>
        <w:autoSpaceDN w:val="0"/>
        <w:adjustRightInd w:val="0"/>
        <w:jc w:val="both"/>
      </w:pPr>
    </w:p>
    <w:p w14:paraId="2AE5D739" w14:textId="77777777" w:rsidR="00FF006D" w:rsidRPr="009118AB" w:rsidRDefault="00FF006D" w:rsidP="00FF006D">
      <w:pPr>
        <w:jc w:val="both"/>
      </w:pPr>
      <w:r w:rsidRPr="009118AB">
        <w:tab/>
        <w:t>[7. im Falle der Zulassung als Landwirtschaftsunternehmen wie in Artikel 8:2 des Gesetzbuches der Gesellschaften und Vereinigungen erwähnt, außer wenn die Gesellschaft weiterhin der Gesellschaftssteuer unterliegt,</w:t>
      </w:r>
    </w:p>
    <w:p w14:paraId="4E7E7F8C" w14:textId="77777777" w:rsidR="00FF006D" w:rsidRPr="009118AB" w:rsidRDefault="00FF006D" w:rsidP="00FF006D">
      <w:pPr>
        <w:jc w:val="both"/>
      </w:pPr>
    </w:p>
    <w:p w14:paraId="756DA9DA" w14:textId="65EFEF87" w:rsidR="00FF006D" w:rsidRPr="009118AB" w:rsidRDefault="00FF006D" w:rsidP="00FF006D">
      <w:pPr>
        <w:autoSpaceDE w:val="0"/>
        <w:autoSpaceDN w:val="0"/>
        <w:adjustRightInd w:val="0"/>
        <w:jc w:val="both"/>
      </w:pPr>
      <w:r w:rsidRPr="009118AB">
        <w:tab/>
        <w:t>8. wenn ein Landwirtschaftsunternehmen wie in Artikel 8:2 des Gesetzbuches der Gesellschaften und Vereinigungen erwähnt der Gesellschaftssteuer nicht mehr unterliegt.]</w:t>
      </w:r>
    </w:p>
    <w:p w14:paraId="5F4F90F0" w14:textId="77777777" w:rsidR="00477B8F" w:rsidRPr="009118AB" w:rsidRDefault="00477B8F" w:rsidP="00477B8F">
      <w:pPr>
        <w:autoSpaceDE w:val="0"/>
        <w:autoSpaceDN w:val="0"/>
        <w:adjustRightInd w:val="0"/>
        <w:jc w:val="both"/>
      </w:pPr>
    </w:p>
    <w:p w14:paraId="0A783137" w14:textId="6BBFA155"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In den in </w:t>
      </w:r>
      <w:r w:rsidR="00D67EB8" w:rsidRPr="009118AB">
        <w:t>§ </w:t>
      </w:r>
      <w:r w:rsidRPr="009118AB">
        <w:t>1 erwähnten Fällen wird der Realwert des Gesellschaftsvermögens am Datum, an dem vorerwähnte Vorgänge stattgefunden haben, einer im Falle der Verteilung des Gesellschaftsvermögens verteilten Summe gleichgesetzt.</w:t>
      </w:r>
    </w:p>
    <w:p w14:paraId="4004BF48" w14:textId="77777777" w:rsidR="00477B8F" w:rsidRPr="009118AB" w:rsidRDefault="00477B8F" w:rsidP="00477B8F">
      <w:pPr>
        <w:autoSpaceDE w:val="0"/>
        <w:autoSpaceDN w:val="0"/>
        <w:adjustRightInd w:val="0"/>
        <w:jc w:val="both"/>
      </w:pPr>
    </w:p>
    <w:p w14:paraId="112AFEC2" w14:textId="7509C922" w:rsidR="00477B8F" w:rsidRPr="009118AB" w:rsidRDefault="00477B8F" w:rsidP="00477B8F">
      <w:pPr>
        <w:autoSpaceDE w:val="0"/>
        <w:autoSpaceDN w:val="0"/>
        <w:adjustRightInd w:val="0"/>
        <w:jc w:val="both"/>
      </w:pPr>
      <w:r w:rsidRPr="009118AB">
        <w:tab/>
      </w:r>
      <w:r w:rsidR="00D67EB8" w:rsidRPr="009118AB">
        <w:t>§ </w:t>
      </w:r>
      <w:r w:rsidRPr="009118AB">
        <w:t>3</w:t>
      </w:r>
      <w:r w:rsidR="00D67EB8" w:rsidRPr="009118AB">
        <w:t> - </w:t>
      </w:r>
      <w:r w:rsidRPr="009118AB">
        <w:t xml:space="preserve">In Abweichung von </w:t>
      </w:r>
      <w:r w:rsidR="00D67EB8" w:rsidRPr="009118AB">
        <w:t>§ </w:t>
      </w:r>
      <w:r w:rsidRPr="009118AB">
        <w:t xml:space="preserve">1 sind im Falle eines in </w:t>
      </w:r>
      <w:r w:rsidR="00D67EB8" w:rsidRPr="009118AB">
        <w:t>§ </w:t>
      </w:r>
      <w:r w:rsidRPr="009118AB">
        <w:t xml:space="preserve">1 </w:t>
      </w:r>
      <w:r w:rsidR="00D67EB8" w:rsidRPr="009118AB">
        <w:t>Nr. </w:t>
      </w:r>
      <w:r w:rsidRPr="009118AB">
        <w:t>1</w:t>
      </w:r>
      <w:r w:rsidRPr="009118AB">
        <w:rPr>
          <w:i/>
          <w:iCs/>
        </w:rPr>
        <w:t>bis</w:t>
      </w:r>
      <w:r w:rsidRPr="009118AB">
        <w:t xml:space="preserve"> erwähnten mit einer Aufspaltung gleichgesetzten Vorgangs </w:t>
      </w:r>
      <w:r w:rsidR="00FF006D" w:rsidRPr="009118AB">
        <w:t xml:space="preserve">[und einer in </w:t>
      </w:r>
      <w:r w:rsidR="00D67EB8" w:rsidRPr="009118AB">
        <w:t>§ </w:t>
      </w:r>
      <w:r w:rsidR="00FF006D" w:rsidRPr="009118AB">
        <w:t xml:space="preserve">1 </w:t>
      </w:r>
      <w:r w:rsidR="00D67EB8" w:rsidRPr="009118AB">
        <w:t>Nr. </w:t>
      </w:r>
      <w:r w:rsidR="00FF006D" w:rsidRPr="009118AB">
        <w:t>2</w:t>
      </w:r>
      <w:r w:rsidR="00FF006D" w:rsidRPr="009118AB">
        <w:rPr>
          <w:i/>
          <w:iCs/>
        </w:rPr>
        <w:t>bis</w:t>
      </w:r>
      <w:r w:rsidR="00FF006D" w:rsidRPr="009118AB">
        <w:t xml:space="preserve"> erwähnten Übertragung] </w:t>
      </w:r>
      <w:r w:rsidRPr="009118AB">
        <w:t>die Bestimmungen der Artikel 208 und 209 nicht anwendbar auf das Gesellschaftsvermögen, das bei dem Vorgang von der übertragenden Gesellschaft nicht übertragen wird.</w:t>
      </w:r>
    </w:p>
    <w:p w14:paraId="397C0489" w14:textId="77777777" w:rsidR="00477B8F" w:rsidRPr="009118AB" w:rsidRDefault="00477B8F" w:rsidP="00477B8F">
      <w:pPr>
        <w:autoSpaceDE w:val="0"/>
        <w:autoSpaceDN w:val="0"/>
        <w:adjustRightInd w:val="0"/>
        <w:jc w:val="both"/>
      </w:pPr>
    </w:p>
    <w:p w14:paraId="65C6CE1D" w14:textId="765D6740" w:rsidR="00477B8F" w:rsidRPr="009118AB" w:rsidRDefault="00477B8F" w:rsidP="00477B8F">
      <w:pPr>
        <w:autoSpaceDE w:val="0"/>
        <w:autoSpaceDN w:val="0"/>
        <w:adjustRightInd w:val="0"/>
        <w:jc w:val="both"/>
      </w:pPr>
      <w:r w:rsidRPr="009118AB">
        <w:lastRenderedPageBreak/>
        <w:tab/>
        <w:t xml:space="preserve">In diesem Fall wird die in </w:t>
      </w:r>
      <w:r w:rsidR="00D67EB8" w:rsidRPr="009118AB">
        <w:t>§ </w:t>
      </w:r>
      <w:r w:rsidRPr="009118AB">
        <w:t>2 erwähnte Gleichsetzung mit einer im Falle der Verteilung des Gesellschaftsvermögens verteilten Summe auf den Realwert des Gesellschaftsvermögens beschränkt, das bei dem Vorgang in die begünstigte Gesellschaft eingebracht wird.</w:t>
      </w:r>
    </w:p>
    <w:p w14:paraId="16DE2047" w14:textId="77777777" w:rsidR="00477B8F" w:rsidRPr="009118AB" w:rsidRDefault="00477B8F" w:rsidP="00477B8F">
      <w:pPr>
        <w:autoSpaceDE w:val="0"/>
        <w:autoSpaceDN w:val="0"/>
        <w:adjustRightInd w:val="0"/>
        <w:jc w:val="both"/>
      </w:pPr>
    </w:p>
    <w:p w14:paraId="6289134A" w14:textId="48070781" w:rsidR="00477B8F" w:rsidRPr="009118AB" w:rsidRDefault="00477B8F" w:rsidP="00477B8F">
      <w:pPr>
        <w:autoSpaceDE w:val="0"/>
        <w:autoSpaceDN w:val="0"/>
        <w:adjustRightInd w:val="0"/>
        <w:jc w:val="both"/>
      </w:pPr>
      <w:r w:rsidRPr="009118AB">
        <w:tab/>
        <w:t xml:space="preserve">Für die Anwendung von Artikel 209 Absatz 2 </w:t>
      </w:r>
      <w:r w:rsidR="00D67EB8" w:rsidRPr="009118AB">
        <w:t>Nr. </w:t>
      </w:r>
      <w:r w:rsidRPr="009118AB">
        <w:t>1 wird in Bezug auf einen solchen Vorgang das eingezahlte Kapital der übertragenden Gesellschaft bestimmt nach Verhältnis des proportionalen Teils, den der Realwert des Gesellschaftsvermögens, das bei dem Vorgang in die begünstigte Gesellschaft eingebracht wird, in der Gesamtsumme des Realwertes des Gesellschaftsvermögens der übertragenden Gesellschaft vor dem Vorgang darstellt.</w:t>
      </w:r>
    </w:p>
    <w:p w14:paraId="3FB5F35F" w14:textId="77777777" w:rsidR="00477B8F" w:rsidRPr="009118AB" w:rsidRDefault="00477B8F" w:rsidP="00477B8F">
      <w:pPr>
        <w:autoSpaceDE w:val="0"/>
        <w:autoSpaceDN w:val="0"/>
        <w:adjustRightInd w:val="0"/>
        <w:jc w:val="both"/>
      </w:pPr>
    </w:p>
    <w:p w14:paraId="42465628" w14:textId="77777777" w:rsidR="00477B8F" w:rsidRPr="009118AB" w:rsidRDefault="00477B8F" w:rsidP="00477B8F">
      <w:pPr>
        <w:autoSpaceDE w:val="0"/>
        <w:autoSpaceDN w:val="0"/>
        <w:adjustRightInd w:val="0"/>
        <w:jc w:val="both"/>
      </w:pPr>
      <w:r w:rsidRPr="009118AB">
        <w:tab/>
        <w:t>Entnahmen aus Gewinnen des Geschäftsjahres oder aus Gewinnrücklagen, die der Gesellschaftssteuer bereits unterlagen, werden bis zum Betrag der verteilten Summe, die auf das eingezahlte Kapital im Sinne des vorhergehenden Absatzes anzurechnen ist und nicht Anlass einer tatsächlichen Kapitalherabsetzung war, bei der Festlegung des steuerpflichtigen Gewinns nicht berücksichtigt.</w:t>
      </w:r>
    </w:p>
    <w:p w14:paraId="1F6423C9" w14:textId="77777777" w:rsidR="00477B8F" w:rsidRPr="009118AB" w:rsidRDefault="00477B8F" w:rsidP="00477B8F">
      <w:pPr>
        <w:autoSpaceDE w:val="0"/>
        <w:autoSpaceDN w:val="0"/>
        <w:adjustRightInd w:val="0"/>
        <w:jc w:val="both"/>
      </w:pPr>
    </w:p>
    <w:p w14:paraId="5FBD9508" w14:textId="3372D844" w:rsidR="00477B8F" w:rsidRPr="009118AB" w:rsidRDefault="00477B8F" w:rsidP="00477B8F">
      <w:pPr>
        <w:autoSpaceDE w:val="0"/>
        <w:autoSpaceDN w:val="0"/>
        <w:adjustRightInd w:val="0"/>
        <w:jc w:val="both"/>
      </w:pPr>
      <w:r w:rsidRPr="009118AB">
        <w:tab/>
      </w:r>
      <w:r w:rsidR="00D67EB8" w:rsidRPr="009118AB">
        <w:t>§ </w:t>
      </w:r>
      <w:r w:rsidRPr="009118AB">
        <w:t>4</w:t>
      </w:r>
      <w:r w:rsidR="00D67EB8" w:rsidRPr="009118AB">
        <w:t> - </w:t>
      </w:r>
      <w:r w:rsidRPr="009118AB">
        <w:t xml:space="preserve">Im Falle einer Fusion durch Übernahme, einer Fusion durch Gründung einer neuen Gesellschaft, einer Aufspaltung durch Übernahme, einer Aufspaltung durch Gründung neuer Gesellschaften, einer gemischten Aufspaltung und </w:t>
      </w:r>
      <w:r w:rsidR="00FF006D" w:rsidRPr="009118AB">
        <w:t>[eines mit einer Fusion oder Aufspaltung gleichgesetzten Vorgangs] […]</w:t>
      </w:r>
      <w:r w:rsidRPr="009118AB">
        <w:t xml:space="preserve"> gilt für die übernehmende oder begünstigte Gesellschaft, dass:</w:t>
      </w:r>
    </w:p>
    <w:p w14:paraId="070B4AE5" w14:textId="77777777" w:rsidR="00477B8F" w:rsidRPr="009118AB" w:rsidRDefault="00477B8F" w:rsidP="00477B8F">
      <w:pPr>
        <w:autoSpaceDE w:val="0"/>
        <w:autoSpaceDN w:val="0"/>
        <w:adjustRightInd w:val="0"/>
        <w:jc w:val="both"/>
      </w:pPr>
    </w:p>
    <w:p w14:paraId="5744F7C0" w14:textId="52162C51" w:rsidR="00477B8F" w:rsidRPr="009118AB" w:rsidRDefault="00477B8F" w:rsidP="00477B8F">
      <w:pPr>
        <w:autoSpaceDE w:val="0"/>
        <w:autoSpaceDN w:val="0"/>
        <w:adjustRightInd w:val="0"/>
        <w:jc w:val="both"/>
      </w:pPr>
      <w:r w:rsidRPr="009118AB">
        <w:tab/>
        <w:t xml:space="preserve">- das durch die Einbringung eingezahlte Kapital dem in </w:t>
      </w:r>
      <w:r w:rsidR="00D67EB8" w:rsidRPr="009118AB">
        <w:t>§ </w:t>
      </w:r>
      <w:r w:rsidRPr="009118AB">
        <w:t xml:space="preserve">2 oder </w:t>
      </w:r>
      <w:r w:rsidR="00D67EB8" w:rsidRPr="009118AB">
        <w:t>§ </w:t>
      </w:r>
      <w:r w:rsidRPr="009118AB">
        <w:t>3 Absatz 2 erwähnten Realwert des Gesellschaftsvermögens entspricht, das in diese Gesellschaft eingebracht wird, in dem Maße, wie die Einbringungen durch neue Aktien oder Anteile vergütet werden, die zu diesem Zweck ausgegeben werden,</w:t>
      </w:r>
    </w:p>
    <w:p w14:paraId="0BE1624F" w14:textId="77777777" w:rsidR="008C06F1" w:rsidRPr="009118AB" w:rsidRDefault="008C06F1" w:rsidP="00477B8F">
      <w:pPr>
        <w:autoSpaceDE w:val="0"/>
        <w:autoSpaceDN w:val="0"/>
        <w:adjustRightInd w:val="0"/>
      </w:pPr>
    </w:p>
    <w:p w14:paraId="60853735" w14:textId="77777777" w:rsidR="00477B8F" w:rsidRPr="009118AB" w:rsidRDefault="00477B8F" w:rsidP="00E64B8A">
      <w:pPr>
        <w:autoSpaceDE w:val="0"/>
        <w:autoSpaceDN w:val="0"/>
        <w:adjustRightInd w:val="0"/>
        <w:jc w:val="both"/>
      </w:pPr>
      <w:r w:rsidRPr="009118AB">
        <w:tab/>
        <w:t>- der Anschaffungswert der eingebrachten Bestandteile dem Realwert entspricht, den sie bei der übertragenden oder aufgespaltenen Gesellschaft an dem Datum hatten, an dem der Vorgang stattgefunden hat.]</w:t>
      </w:r>
    </w:p>
    <w:p w14:paraId="71A3C32B" w14:textId="77777777" w:rsidR="005C09A2" w:rsidRPr="009118AB" w:rsidRDefault="005C09A2" w:rsidP="00E64B8A">
      <w:pPr>
        <w:autoSpaceDE w:val="0"/>
        <w:autoSpaceDN w:val="0"/>
        <w:adjustRightInd w:val="0"/>
        <w:jc w:val="both"/>
      </w:pPr>
    </w:p>
    <w:p w14:paraId="32833D6F" w14:textId="31C8A0E3" w:rsidR="005C09A2" w:rsidRPr="009118AB" w:rsidRDefault="005C09A2" w:rsidP="005C09A2">
      <w:pPr>
        <w:ind w:firstLine="708"/>
        <w:jc w:val="both"/>
      </w:pPr>
      <w:r w:rsidRPr="009118AB">
        <w:tab/>
        <w:t>[</w:t>
      </w:r>
      <w:r w:rsidR="00D67EB8" w:rsidRPr="009118AB">
        <w:t>§ </w:t>
      </w:r>
      <w:r w:rsidRPr="009118AB">
        <w:t>5</w:t>
      </w:r>
      <w:r w:rsidR="00D67EB8" w:rsidRPr="009118AB">
        <w:t> - </w:t>
      </w:r>
      <w:r w:rsidRPr="009118AB">
        <w:t xml:space="preserve">Für die Anwendung von Artikel 209 werden im Falle der Zulassung als Investmentgesellschaft mit fixem Kapital für Immobilien oder als beaufsichtigte Immobiliengesellschaft durch die Autorität Finanzielle Dienste und Märkte oder im Falle der Eintragung dieser Gesellschaft als spezialisierter Immobilieninvestmentfonds beim FÖD Finanzen gemäß </w:t>
      </w:r>
      <w:r w:rsidR="00D67EB8" w:rsidRPr="009118AB">
        <w:t>§ </w:t>
      </w:r>
      <w:r w:rsidRPr="009118AB">
        <w:t xml:space="preserve">1 </w:t>
      </w:r>
      <w:r w:rsidR="00D67EB8" w:rsidRPr="009118AB">
        <w:t>Nr. </w:t>
      </w:r>
      <w:r w:rsidRPr="009118AB">
        <w:t>5 und 6 der Betrag des eingezahlten Kapitals in Abweichung von den Artikeln 184, 184</w:t>
      </w:r>
      <w:r w:rsidRPr="009118AB">
        <w:rPr>
          <w:i/>
        </w:rPr>
        <w:t>bis</w:t>
      </w:r>
      <w:r w:rsidRPr="009118AB">
        <w:t xml:space="preserve"> und 184</w:t>
      </w:r>
      <w:r w:rsidRPr="009118AB">
        <w:rPr>
          <w:i/>
        </w:rPr>
        <w:t>ter</w:t>
      </w:r>
      <w:r w:rsidRPr="009118AB">
        <w:t xml:space="preserve"> </w:t>
      </w:r>
      <w:r w:rsidR="00D67EB8" w:rsidRPr="009118AB">
        <w:t>§ </w:t>
      </w:r>
      <w:r w:rsidRPr="009118AB">
        <w:t>1 Absatz 1 und der Betrag der vorherigen Gewinnrücklagen herabgesetzt um die Plusdifferenz zwischen dem Betrag der Neubewertungsmehrwerte und dem Betrag der Abschreibungen, die bereits vor der Zulassung dieser Gesellschaft als Investmentgesellschaft mit fixem Kapital für Immobilien oder als beaufsichtigte Immobiliengesellschaft oder vor der Eintragung dieser Gesellschaft als spezialisierter Immobilieninvestmentfonds beim FÖD Finanzen auf diese Neubewertungsmehrwerte gebucht worden sind, und zwar in dem Maße, wie die Beträge, die dieser Differenz entsprechen, im Betrag des eingezahlten Kapitals oder der vorherigen Gewinnrücklagen wiederzufinden sind.</w:t>
      </w:r>
    </w:p>
    <w:p w14:paraId="6FD8AC0E" w14:textId="77777777" w:rsidR="005C09A2" w:rsidRPr="009118AB" w:rsidRDefault="005C09A2" w:rsidP="005C09A2">
      <w:pPr>
        <w:jc w:val="both"/>
      </w:pPr>
    </w:p>
    <w:p w14:paraId="664D8208" w14:textId="5392A43B" w:rsidR="005C09A2" w:rsidRPr="009118AB" w:rsidRDefault="005C09A2" w:rsidP="005C09A2">
      <w:pPr>
        <w:ind w:firstLine="708"/>
        <w:jc w:val="both"/>
      </w:pPr>
      <w:r w:rsidRPr="009118AB">
        <w:t xml:space="preserve">Für die Anwendung von Absatz 1 werden in dem Fall, in dem eine Vereinigung ohne Gewinnerzielungsabsicht in </w:t>
      </w:r>
      <w:r w:rsidR="00FF006D" w:rsidRPr="009118AB">
        <w:t>[ein gemäß Artikel 8:5 des Gesetzbuches der Gesellschaften und Vereinigungen zugelassenes Sozialunternehmen]</w:t>
      </w:r>
      <w:r w:rsidRPr="009118AB">
        <w:t xml:space="preserve"> umgewandelt wurde, bevor diese Gesellschaft</w:t>
      </w:r>
      <w:r w:rsidR="00D67EB8" w:rsidRPr="009118AB">
        <w:t> - </w:t>
      </w:r>
      <w:r w:rsidRPr="009118AB">
        <w:t xml:space="preserve">die in ihrer Satzung die Eigenschaft </w:t>
      </w:r>
      <w:r w:rsidR="00FF006D" w:rsidRPr="009118AB">
        <w:t>[eines gemäß Artikel 8:5 des Gesetzbuches der Gesellschaften und Vereinigungen zugelassenen Sozialunternehmens]</w:t>
      </w:r>
      <w:r w:rsidRPr="009118AB">
        <w:t xml:space="preserve"> behält oder nicht</w:t>
      </w:r>
      <w:r w:rsidR="00D67EB8" w:rsidRPr="009118AB">
        <w:t> - </w:t>
      </w:r>
      <w:r w:rsidRPr="009118AB">
        <w:t xml:space="preserve">durch die Autorität Finanzielle Dienste und Märkte als Investmentgesellschaft mit fixem </w:t>
      </w:r>
      <w:r w:rsidRPr="009118AB">
        <w:lastRenderedPageBreak/>
        <w:t>Kapital für Immobilien oder als beaufsichtigte Immobiliengesellschaft zugelassen wird oder bevor diese Gesellschaft beim FÖD Finanzen als spezialisierter Immobilieninvestmentfonds eingetragen wird, der Betrag des eingezahlten Kapitals dieser Gesellschaft in Abweichung von den Artikeln 184, 184</w:t>
      </w:r>
      <w:r w:rsidRPr="009118AB">
        <w:rPr>
          <w:i/>
        </w:rPr>
        <w:t>bis</w:t>
      </w:r>
      <w:r w:rsidRPr="009118AB">
        <w:t xml:space="preserve"> und 184</w:t>
      </w:r>
      <w:r w:rsidRPr="009118AB">
        <w:rPr>
          <w:i/>
        </w:rPr>
        <w:t>ter</w:t>
      </w:r>
      <w:r w:rsidRPr="009118AB">
        <w:t xml:space="preserve"> </w:t>
      </w:r>
      <w:r w:rsidR="00D67EB8" w:rsidRPr="009118AB">
        <w:t>§ </w:t>
      </w:r>
      <w:r w:rsidRPr="009118AB">
        <w:t>1 Absatz 1 und der Betrag der vorherigen Gewinnrücklagen ebenfalls herabgesetzt um die Plusdifferenz zwischen dem Betrag der Neubewertungsmehrwerte und dem Betrag der Abschreibungen, die bereits vor der Umwandlung dieser Vereinigung ohne Gewinnerzie</w:t>
      </w:r>
      <w:r w:rsidRPr="009118AB">
        <w:softHyphen/>
        <w:t xml:space="preserve">lungsabsicht in </w:t>
      </w:r>
      <w:r w:rsidR="00FF006D" w:rsidRPr="009118AB">
        <w:t xml:space="preserve">[ein gemäß Artikel 8:5 des Gesetzbuches der Gesellschaften und Vereinigungen zugelassenes Sozialunternehmen] </w:t>
      </w:r>
      <w:r w:rsidRPr="009118AB">
        <w:t>auf diese Neubewertungsmehrwerte gebucht worden sind, und zwar in dem Maße, wie die Beträge, die dieser Differenz entsprechen, im Betrag des eingezahlten Kapitals oder der vorherigen Gewinnrücklagen wiederzufinden sind.</w:t>
      </w:r>
    </w:p>
    <w:p w14:paraId="46824AF1" w14:textId="77777777" w:rsidR="005C09A2" w:rsidRPr="009118AB" w:rsidRDefault="005C09A2" w:rsidP="005C09A2">
      <w:pPr>
        <w:jc w:val="both"/>
      </w:pPr>
    </w:p>
    <w:p w14:paraId="0F81D7D2" w14:textId="77777777" w:rsidR="005C09A2" w:rsidRPr="009118AB" w:rsidRDefault="005C09A2" w:rsidP="005C09A2">
      <w:pPr>
        <w:ind w:firstLine="708"/>
        <w:jc w:val="both"/>
      </w:pPr>
      <w:r w:rsidRPr="009118AB">
        <w:t>Vorliegender Paragraph ist nicht auf Gesellschaften anwendbar, die als Investment</w:t>
      </w:r>
      <w:r w:rsidRPr="009118AB">
        <w:softHyphen/>
        <w:t>gesellschaften mit fixem Kapital für Immobilien oder als beaufsichtigte Immobiliengesell</w:t>
      </w:r>
      <w:r w:rsidRPr="009118AB">
        <w:softHyphen/>
        <w:t>schaften zugelassen oder als spezialisierte Immobilieninvestmentfonds eingetragen werden und die seit ihrer Gründung der Gesellschaftssteuer unterliegen.</w:t>
      </w:r>
    </w:p>
    <w:p w14:paraId="034145B8" w14:textId="77777777" w:rsidR="005C09A2" w:rsidRPr="009118AB" w:rsidRDefault="005C09A2" w:rsidP="005C09A2">
      <w:pPr>
        <w:jc w:val="both"/>
      </w:pPr>
    </w:p>
    <w:p w14:paraId="7A1C60AF" w14:textId="77777777" w:rsidR="005C09A2" w:rsidRPr="009118AB" w:rsidRDefault="005C09A2" w:rsidP="005C09A2">
      <w:pPr>
        <w:autoSpaceDE w:val="0"/>
        <w:autoSpaceDN w:val="0"/>
        <w:adjustRightInd w:val="0"/>
        <w:ind w:firstLine="708"/>
        <w:jc w:val="both"/>
      </w:pPr>
      <w:r w:rsidRPr="009118AB">
        <w:t>Die Anwendung des vorliegenden Paragraphen hat keine Auswirkung auf die Festlegung des Betrags der Dividenden für die Gesellschafter und Aktionäre.]</w:t>
      </w:r>
    </w:p>
    <w:p w14:paraId="2DB6064D" w14:textId="77777777" w:rsidR="00477B8F" w:rsidRPr="009118AB" w:rsidRDefault="00477B8F" w:rsidP="00477B8F">
      <w:pPr>
        <w:autoSpaceDE w:val="0"/>
        <w:autoSpaceDN w:val="0"/>
        <w:adjustRightInd w:val="0"/>
        <w:jc w:val="both"/>
      </w:pPr>
    </w:p>
    <w:p w14:paraId="3B1C7198" w14:textId="36147540"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210 ersetzt durch </w:t>
      </w:r>
      <w:r w:rsidR="00D67EB8" w:rsidRPr="009118AB">
        <w:rPr>
          <w:i/>
          <w:iCs/>
        </w:rPr>
        <w:t>Art. </w:t>
      </w:r>
      <w:r w:rsidRPr="009118AB">
        <w:rPr>
          <w:i/>
          <w:iCs/>
        </w:rPr>
        <w:t>12 des G. vom 16. Juli 2001 (B.S. vom 20. Juli 2001)</w:t>
      </w:r>
      <w:r w:rsidR="00D67EB8" w:rsidRPr="009118AB">
        <w:rPr>
          <w:i/>
          <w:iCs/>
        </w:rPr>
        <w:t> - </w:t>
      </w:r>
      <w:r w:rsidRPr="009118AB">
        <w:rPr>
          <w:i/>
          <w:iCs/>
        </w:rPr>
        <w:t>in Kraft ab dem 6. Februar 2001</w:t>
      </w:r>
      <w:r w:rsidR="003366D9" w:rsidRPr="009118AB">
        <w:rPr>
          <w:i/>
          <w:iCs/>
        </w:rPr>
        <w:t> -;</w:t>
      </w:r>
      <w:r w:rsidRPr="009118AB">
        <w:rPr>
          <w:i/>
          <w:iCs/>
        </w:rPr>
        <w:t xml:space="preserve"> </w:t>
      </w:r>
      <w:r w:rsidR="00D67EB8" w:rsidRPr="009118AB">
        <w:rPr>
          <w:i/>
          <w:iCs/>
        </w:rPr>
        <w:t>§ </w:t>
      </w:r>
      <w:r w:rsidR="00FF006D" w:rsidRPr="009118AB">
        <w:rPr>
          <w:i/>
          <w:iCs/>
        </w:rPr>
        <w:t xml:space="preserve">1 einziger Absatz </w:t>
      </w:r>
      <w:r w:rsidR="00D67EB8" w:rsidRPr="009118AB">
        <w:rPr>
          <w:i/>
          <w:iCs/>
        </w:rPr>
        <w:t>Nr. </w:t>
      </w:r>
      <w:r w:rsidR="00FF006D" w:rsidRPr="009118AB">
        <w:rPr>
          <w:i/>
          <w:iCs/>
        </w:rPr>
        <w:t xml:space="preserve">1bis abgeändert durch </w:t>
      </w:r>
      <w:r w:rsidR="00D67EB8" w:rsidRPr="009118AB">
        <w:rPr>
          <w:i/>
          <w:iCs/>
        </w:rPr>
        <w:t>Art. </w:t>
      </w:r>
      <w:r w:rsidR="00FF006D" w:rsidRPr="009118AB">
        <w:rPr>
          <w:i/>
          <w:iCs/>
        </w:rPr>
        <w:t xml:space="preserve">43 </w:t>
      </w:r>
      <w:r w:rsidR="00D67EB8" w:rsidRPr="009118AB">
        <w:rPr>
          <w:i/>
          <w:iCs/>
        </w:rPr>
        <w:t>Nr. </w:t>
      </w:r>
      <w:r w:rsidR="00FF006D" w:rsidRPr="009118AB">
        <w:rPr>
          <w:i/>
          <w:iCs/>
        </w:rPr>
        <w:t>1</w:t>
      </w:r>
      <w:r w:rsidR="00FF006D" w:rsidRPr="009118AB">
        <w:rPr>
          <w:i/>
          <w:iCs/>
          <w:spacing w:val="-2"/>
        </w:rPr>
        <w:t xml:space="preserve"> des G. vom 17. März 2019 (III) (B.S. vom 10. Mai 2019)</w:t>
      </w:r>
      <w:r w:rsidR="00D67EB8" w:rsidRPr="009118AB">
        <w:rPr>
          <w:i/>
          <w:iCs/>
          <w:spacing w:val="-2"/>
        </w:rPr>
        <w:t> - </w:t>
      </w:r>
      <w:r w:rsidR="00FF006D" w:rsidRPr="009118AB">
        <w:rPr>
          <w:i/>
          <w:iCs/>
          <w:spacing w:val="-2"/>
        </w:rPr>
        <w:t>in Kraft am 1. Mai 2019</w:t>
      </w:r>
      <w:r w:rsidR="003366D9" w:rsidRPr="009118AB">
        <w:rPr>
          <w:i/>
          <w:iCs/>
          <w:spacing w:val="-2"/>
        </w:rPr>
        <w:t> -;</w:t>
      </w:r>
      <w:r w:rsidR="00FF006D" w:rsidRPr="009118AB">
        <w:rPr>
          <w:i/>
          <w:iCs/>
          <w:spacing w:val="-2"/>
        </w:rPr>
        <w:t xml:space="preserve"> </w:t>
      </w:r>
      <w:r w:rsidR="00D67EB8" w:rsidRPr="009118AB">
        <w:rPr>
          <w:i/>
          <w:iCs/>
          <w:spacing w:val="-2"/>
        </w:rPr>
        <w:t>§ </w:t>
      </w:r>
      <w:r w:rsidR="00FF006D" w:rsidRPr="009118AB">
        <w:rPr>
          <w:i/>
          <w:iCs/>
          <w:spacing w:val="-2"/>
        </w:rPr>
        <w:t xml:space="preserve">1 einziger Absatz </w:t>
      </w:r>
      <w:r w:rsidR="00D67EB8" w:rsidRPr="009118AB">
        <w:rPr>
          <w:i/>
          <w:iCs/>
          <w:spacing w:val="-2"/>
        </w:rPr>
        <w:t>Nr. </w:t>
      </w:r>
      <w:r w:rsidR="000A5A43" w:rsidRPr="009118AB">
        <w:rPr>
          <w:i/>
          <w:iCs/>
          <w:spacing w:val="-2"/>
        </w:rPr>
        <w:t xml:space="preserve">2 abgeändert durch </w:t>
      </w:r>
      <w:r w:rsidR="00D67EB8" w:rsidRPr="009118AB">
        <w:rPr>
          <w:i/>
          <w:iCs/>
          <w:spacing w:val="-2"/>
        </w:rPr>
        <w:t>Art. </w:t>
      </w:r>
      <w:r w:rsidR="000A5A43" w:rsidRPr="009118AB">
        <w:rPr>
          <w:i/>
          <w:iCs/>
          <w:spacing w:val="-2"/>
        </w:rPr>
        <w:t xml:space="preserve">43 </w:t>
      </w:r>
      <w:r w:rsidR="00D67EB8" w:rsidRPr="009118AB">
        <w:rPr>
          <w:i/>
          <w:iCs/>
          <w:spacing w:val="-2"/>
        </w:rPr>
        <w:t>Nr. </w:t>
      </w:r>
      <w:r w:rsidR="000A5A43" w:rsidRPr="009118AB">
        <w:rPr>
          <w:i/>
          <w:iCs/>
          <w:spacing w:val="-2"/>
        </w:rPr>
        <w:t>2 des G. vom 17. März 2019 (III) (B.S. vom 10. Mai 2019)</w:t>
      </w:r>
      <w:r w:rsidR="00D67EB8" w:rsidRPr="009118AB">
        <w:rPr>
          <w:i/>
          <w:iCs/>
          <w:spacing w:val="-2"/>
        </w:rPr>
        <w:t> - </w:t>
      </w:r>
      <w:r w:rsidR="000A5A43" w:rsidRPr="009118AB">
        <w:rPr>
          <w:i/>
          <w:iCs/>
          <w:spacing w:val="-2"/>
        </w:rPr>
        <w:t>in Kraft am 1. Mai 2019</w:t>
      </w:r>
      <w:r w:rsidR="003366D9" w:rsidRPr="009118AB">
        <w:rPr>
          <w:i/>
          <w:iCs/>
          <w:spacing w:val="-2"/>
        </w:rPr>
        <w:t> -;</w:t>
      </w:r>
      <w:r w:rsidR="000A5A43" w:rsidRPr="009118AB">
        <w:rPr>
          <w:i/>
          <w:iCs/>
          <w:spacing w:val="-2"/>
        </w:rPr>
        <w:t xml:space="preserve"> </w:t>
      </w:r>
      <w:r w:rsidR="00D67EB8" w:rsidRPr="009118AB">
        <w:rPr>
          <w:i/>
          <w:iCs/>
          <w:spacing w:val="-2"/>
        </w:rPr>
        <w:t>§ </w:t>
      </w:r>
      <w:r w:rsidR="000A5A43" w:rsidRPr="009118AB">
        <w:rPr>
          <w:i/>
          <w:iCs/>
          <w:spacing w:val="-2"/>
        </w:rPr>
        <w:t xml:space="preserve">1 einziger Absatz </w:t>
      </w:r>
      <w:r w:rsidR="00D67EB8" w:rsidRPr="009118AB">
        <w:rPr>
          <w:i/>
          <w:iCs/>
          <w:spacing w:val="-2"/>
        </w:rPr>
        <w:t>Nr. </w:t>
      </w:r>
      <w:r w:rsidR="000A5A43" w:rsidRPr="009118AB">
        <w:rPr>
          <w:i/>
          <w:iCs/>
          <w:spacing w:val="-2"/>
        </w:rPr>
        <w:t xml:space="preserve">2bis eingefügt durch </w:t>
      </w:r>
      <w:r w:rsidR="00D67EB8" w:rsidRPr="009118AB">
        <w:rPr>
          <w:i/>
          <w:iCs/>
          <w:spacing w:val="-2"/>
        </w:rPr>
        <w:t>Art. </w:t>
      </w:r>
      <w:r w:rsidR="000A5A43" w:rsidRPr="009118AB">
        <w:rPr>
          <w:i/>
          <w:iCs/>
          <w:spacing w:val="-2"/>
        </w:rPr>
        <w:t xml:space="preserve">43 </w:t>
      </w:r>
      <w:r w:rsidR="00D67EB8" w:rsidRPr="009118AB">
        <w:rPr>
          <w:i/>
          <w:iCs/>
          <w:spacing w:val="-2"/>
        </w:rPr>
        <w:t>Nr. </w:t>
      </w:r>
      <w:r w:rsidR="000A5A43" w:rsidRPr="009118AB">
        <w:rPr>
          <w:i/>
          <w:iCs/>
          <w:spacing w:val="-2"/>
        </w:rPr>
        <w:t>3 des G. vom 17. März 2019 (III) (B.S. vom 10. Mai 2019)</w:t>
      </w:r>
      <w:r w:rsidR="00D67EB8" w:rsidRPr="009118AB">
        <w:rPr>
          <w:i/>
          <w:iCs/>
          <w:spacing w:val="-2"/>
        </w:rPr>
        <w:t> - </w:t>
      </w:r>
      <w:r w:rsidR="000A5A43" w:rsidRPr="009118AB">
        <w:rPr>
          <w:i/>
          <w:iCs/>
          <w:spacing w:val="-2"/>
        </w:rPr>
        <w:t>in Kraft am 1. Mai 2019</w:t>
      </w:r>
      <w:r w:rsidR="003366D9" w:rsidRPr="009118AB">
        <w:rPr>
          <w:i/>
          <w:iCs/>
          <w:spacing w:val="-2"/>
        </w:rPr>
        <w:t> -;</w:t>
      </w:r>
      <w:r w:rsidR="000A5A43" w:rsidRPr="009118AB">
        <w:rPr>
          <w:i/>
          <w:iCs/>
          <w:spacing w:val="-2"/>
        </w:rPr>
        <w:t xml:space="preserve"> </w:t>
      </w:r>
      <w:r w:rsidR="00D67EB8" w:rsidRPr="009118AB">
        <w:rPr>
          <w:i/>
          <w:iCs/>
          <w:spacing w:val="-2"/>
        </w:rPr>
        <w:t>§ </w:t>
      </w:r>
      <w:r w:rsidR="000A5A43" w:rsidRPr="009118AB">
        <w:rPr>
          <w:i/>
          <w:iCs/>
          <w:spacing w:val="-2"/>
        </w:rPr>
        <w:t xml:space="preserve">1 einziger Absatz </w:t>
      </w:r>
      <w:r w:rsidR="00D67EB8" w:rsidRPr="009118AB">
        <w:rPr>
          <w:i/>
          <w:iCs/>
          <w:spacing w:val="-2"/>
        </w:rPr>
        <w:t>Nr. </w:t>
      </w:r>
      <w:r w:rsidR="000A5A43" w:rsidRPr="009118AB">
        <w:rPr>
          <w:i/>
          <w:iCs/>
          <w:spacing w:val="-2"/>
        </w:rPr>
        <w:t xml:space="preserve">3 abgeändert durch </w:t>
      </w:r>
      <w:r w:rsidR="00D67EB8" w:rsidRPr="009118AB">
        <w:rPr>
          <w:i/>
          <w:iCs/>
          <w:spacing w:val="-2"/>
        </w:rPr>
        <w:t>Art. </w:t>
      </w:r>
      <w:r w:rsidR="000A5A43" w:rsidRPr="009118AB">
        <w:rPr>
          <w:i/>
          <w:iCs/>
          <w:spacing w:val="-2"/>
        </w:rPr>
        <w:t xml:space="preserve">43 </w:t>
      </w:r>
      <w:r w:rsidR="00D67EB8" w:rsidRPr="009118AB">
        <w:rPr>
          <w:i/>
          <w:iCs/>
          <w:spacing w:val="-2"/>
        </w:rPr>
        <w:t>Nr. </w:t>
      </w:r>
      <w:r w:rsidR="000A5A43" w:rsidRPr="009118AB">
        <w:rPr>
          <w:i/>
          <w:iCs/>
          <w:spacing w:val="-2"/>
        </w:rPr>
        <w:t>4 des G. vom 17. März 2019 (III) (B.S. vom 10. Mai 2019)</w:t>
      </w:r>
      <w:r w:rsidR="00D67EB8" w:rsidRPr="009118AB">
        <w:rPr>
          <w:i/>
          <w:iCs/>
          <w:spacing w:val="-2"/>
        </w:rPr>
        <w:t> - </w:t>
      </w:r>
      <w:r w:rsidR="000A5A43" w:rsidRPr="009118AB">
        <w:rPr>
          <w:i/>
          <w:iCs/>
          <w:spacing w:val="-2"/>
        </w:rPr>
        <w:t xml:space="preserve">in Kraft am 1. Mai 2019 und anwendbar </w:t>
      </w:r>
      <w:r w:rsidR="000A5A43" w:rsidRPr="009118AB">
        <w:rPr>
          <w:i/>
        </w:rPr>
        <w:t>auf Änderungen der Rechtsform, die ab dem 1. Mai 2019 vorgenommen werden oder</w:t>
      </w:r>
      <w:r w:rsidR="00D67EB8" w:rsidRPr="009118AB">
        <w:rPr>
          <w:i/>
        </w:rPr>
        <w:t> - </w:t>
      </w:r>
      <w:r w:rsidR="000A5A43" w:rsidRPr="009118AB">
        <w:rPr>
          <w:i/>
        </w:rPr>
        <w:t xml:space="preserve">im Falle einer in </w:t>
      </w:r>
      <w:r w:rsidR="00D67EB8" w:rsidRPr="009118AB">
        <w:rPr>
          <w:i/>
        </w:rPr>
        <w:t>§ </w:t>
      </w:r>
      <w:r w:rsidR="000A5A43" w:rsidRPr="009118AB">
        <w:rPr>
          <w:i/>
        </w:rPr>
        <w:t>2 erwähnten Gesellschaft, Vereinigung oder Stiftung</w:t>
      </w:r>
      <w:r w:rsidR="00D67EB8" w:rsidRPr="009118AB">
        <w:rPr>
          <w:i/>
        </w:rPr>
        <w:t> - </w:t>
      </w:r>
      <w:r w:rsidR="000A5A43" w:rsidRPr="009118AB">
        <w:rPr>
          <w:i/>
        </w:rPr>
        <w:t>ab dem Tag, an dem das Gesetzbuch der Gesellschaften und Vereinigungen auf sie anwendbar wird</w:t>
      </w:r>
      <w:r w:rsidR="003366D9" w:rsidRPr="009118AB">
        <w:rPr>
          <w:i/>
        </w:rPr>
        <w:t> -;</w:t>
      </w:r>
      <w:r w:rsidR="000A5A43" w:rsidRPr="009118AB">
        <w:rPr>
          <w:i/>
          <w:iCs/>
          <w:spacing w:val="-2"/>
        </w:rPr>
        <w:t xml:space="preserve"> </w:t>
      </w:r>
      <w:r w:rsidR="00D67EB8" w:rsidRPr="009118AB">
        <w:rPr>
          <w:i/>
          <w:iCs/>
          <w:spacing w:val="-2"/>
        </w:rPr>
        <w:t>§ </w:t>
      </w:r>
      <w:r w:rsidR="000A5A43" w:rsidRPr="009118AB">
        <w:rPr>
          <w:i/>
          <w:iCs/>
          <w:spacing w:val="-2"/>
        </w:rPr>
        <w:t xml:space="preserve">1 einziger Absatz </w:t>
      </w:r>
      <w:r w:rsidR="00D67EB8" w:rsidRPr="009118AB">
        <w:rPr>
          <w:i/>
          <w:iCs/>
          <w:spacing w:val="-2"/>
        </w:rPr>
        <w:t>Nr. </w:t>
      </w:r>
      <w:r w:rsidR="000A5A43" w:rsidRPr="009118AB">
        <w:rPr>
          <w:i/>
          <w:iCs/>
          <w:spacing w:val="-2"/>
        </w:rPr>
        <w:t xml:space="preserve">4 abgeändert durch </w:t>
      </w:r>
      <w:r w:rsidR="00D67EB8" w:rsidRPr="009118AB">
        <w:rPr>
          <w:i/>
          <w:iCs/>
          <w:spacing w:val="-2"/>
        </w:rPr>
        <w:t>Art. </w:t>
      </w:r>
      <w:r w:rsidR="000A5A43" w:rsidRPr="009118AB">
        <w:rPr>
          <w:i/>
          <w:iCs/>
          <w:spacing w:val="-2"/>
        </w:rPr>
        <w:t xml:space="preserve">43 </w:t>
      </w:r>
      <w:r w:rsidR="00D67EB8" w:rsidRPr="009118AB">
        <w:rPr>
          <w:i/>
          <w:iCs/>
          <w:spacing w:val="-2"/>
        </w:rPr>
        <w:t>Nr. </w:t>
      </w:r>
      <w:r w:rsidR="000A5A43" w:rsidRPr="009118AB">
        <w:rPr>
          <w:i/>
          <w:iCs/>
          <w:spacing w:val="-2"/>
        </w:rPr>
        <w:t>5 des G. vom 17. März 2019 (III) (B.S. vom 10. Mai 2019)</w:t>
      </w:r>
      <w:r w:rsidR="00D67EB8" w:rsidRPr="009118AB">
        <w:rPr>
          <w:i/>
          <w:iCs/>
          <w:spacing w:val="-2"/>
        </w:rPr>
        <w:t> - </w:t>
      </w:r>
      <w:r w:rsidR="000A5A43" w:rsidRPr="009118AB">
        <w:rPr>
          <w:i/>
          <w:iCs/>
          <w:spacing w:val="-2"/>
        </w:rPr>
        <w:t>in Kraft am 1. Mai 2019</w:t>
      </w:r>
      <w:r w:rsidR="003366D9" w:rsidRPr="009118AB">
        <w:rPr>
          <w:i/>
          <w:iCs/>
          <w:spacing w:val="-2"/>
        </w:rPr>
        <w:t> -;</w:t>
      </w:r>
      <w:r w:rsidR="000A5A43" w:rsidRPr="009118AB">
        <w:rPr>
          <w:i/>
          <w:iCs/>
          <w:spacing w:val="-2"/>
        </w:rPr>
        <w:t xml:space="preserve"> </w:t>
      </w:r>
      <w:r w:rsidR="00D67EB8" w:rsidRPr="009118AB">
        <w:rPr>
          <w:i/>
          <w:iCs/>
        </w:rPr>
        <w:t>§ </w:t>
      </w:r>
      <w:r w:rsidR="00FE02D0" w:rsidRPr="009118AB">
        <w:rPr>
          <w:i/>
          <w:iCs/>
        </w:rPr>
        <w:t xml:space="preserve">1 einziger Absatz </w:t>
      </w:r>
      <w:r w:rsidR="00D67EB8" w:rsidRPr="009118AB">
        <w:rPr>
          <w:i/>
          <w:iCs/>
        </w:rPr>
        <w:t>Nr. </w:t>
      </w:r>
      <w:r w:rsidR="00FE02D0" w:rsidRPr="009118AB">
        <w:rPr>
          <w:i/>
          <w:iCs/>
        </w:rPr>
        <w:t xml:space="preserve">5 </w:t>
      </w:r>
      <w:r w:rsidR="00E66ABC" w:rsidRPr="009118AB">
        <w:rPr>
          <w:i/>
          <w:iCs/>
        </w:rPr>
        <w:t xml:space="preserve">ersetzt durch </w:t>
      </w:r>
      <w:r w:rsidR="00D67EB8" w:rsidRPr="009118AB">
        <w:rPr>
          <w:i/>
          <w:iCs/>
        </w:rPr>
        <w:t>Art. </w:t>
      </w:r>
      <w:r w:rsidR="00E66ABC" w:rsidRPr="009118AB">
        <w:rPr>
          <w:i/>
          <w:iCs/>
        </w:rPr>
        <w:t xml:space="preserve">11 </w:t>
      </w:r>
      <w:r w:rsidR="00D67EB8" w:rsidRPr="009118AB">
        <w:rPr>
          <w:i/>
          <w:iCs/>
        </w:rPr>
        <w:t>Nr. </w:t>
      </w:r>
      <w:r w:rsidR="00E66ABC" w:rsidRPr="009118AB">
        <w:rPr>
          <w:i/>
          <w:iCs/>
        </w:rPr>
        <w:t>1</w:t>
      </w:r>
      <w:r w:rsidR="00E66ABC" w:rsidRPr="009118AB">
        <w:rPr>
          <w:i/>
        </w:rPr>
        <w:t xml:space="preserve"> des G. (II) vom 3. August 2016 (VI) (B.S. vom 16. August 2016)</w:t>
      </w:r>
      <w:r w:rsidR="00D67EB8" w:rsidRPr="009118AB">
        <w:rPr>
          <w:i/>
        </w:rPr>
        <w:t> - </w:t>
      </w:r>
      <w:r w:rsidR="00E66ABC" w:rsidRPr="009118AB">
        <w:rPr>
          <w:i/>
        </w:rPr>
        <w:t>in Kraft ab dem Steuerjahr 2016 für Vorgänge und Einkünfte, die ab dem 1. Juli 2016 stattfinden beziehungsweise zuerkannt oder ausgeschüttet werden</w:t>
      </w:r>
      <w:r w:rsidR="003366D9" w:rsidRPr="009118AB">
        <w:rPr>
          <w:i/>
        </w:rPr>
        <w:t> -;</w:t>
      </w:r>
      <w:r w:rsidR="00143366" w:rsidRPr="009118AB">
        <w:rPr>
          <w:i/>
          <w:iCs/>
        </w:rPr>
        <w:t xml:space="preserve"> </w:t>
      </w:r>
      <w:r w:rsidR="00D67EB8" w:rsidRPr="009118AB">
        <w:rPr>
          <w:i/>
          <w:iCs/>
        </w:rPr>
        <w:t>§ </w:t>
      </w:r>
      <w:r w:rsidR="00143366" w:rsidRPr="009118AB">
        <w:rPr>
          <w:i/>
          <w:iCs/>
        </w:rPr>
        <w:t xml:space="preserve">1 einziger Absatz </w:t>
      </w:r>
      <w:r w:rsidR="00D67EB8" w:rsidRPr="009118AB">
        <w:rPr>
          <w:i/>
          <w:iCs/>
        </w:rPr>
        <w:t>Nr. </w:t>
      </w:r>
      <w:r w:rsidR="00143366" w:rsidRPr="009118AB">
        <w:rPr>
          <w:i/>
          <w:iCs/>
        </w:rPr>
        <w:t xml:space="preserve">6 eingefügt durch </w:t>
      </w:r>
      <w:r w:rsidR="00D67EB8" w:rsidRPr="009118AB">
        <w:rPr>
          <w:i/>
          <w:iCs/>
        </w:rPr>
        <w:t>Art. </w:t>
      </w:r>
      <w:r w:rsidR="00143366" w:rsidRPr="009118AB">
        <w:rPr>
          <w:i/>
          <w:iCs/>
        </w:rPr>
        <w:t>90 Buchstabe b) des G. vom 12. Mai 2014 (II) (B.S. vom 30. Juni 2014)</w:t>
      </w:r>
      <w:r w:rsidR="00D67EB8" w:rsidRPr="009118AB">
        <w:rPr>
          <w:i/>
          <w:iCs/>
        </w:rPr>
        <w:t> - </w:t>
      </w:r>
      <w:r w:rsidR="00143366" w:rsidRPr="009118AB">
        <w:rPr>
          <w:i/>
          <w:iCs/>
        </w:rPr>
        <w:t>in Kraft ab dem 16. Juli 2014</w:t>
      </w:r>
      <w:r w:rsidR="00D67EB8" w:rsidRPr="009118AB">
        <w:rPr>
          <w:i/>
          <w:iCs/>
        </w:rPr>
        <w:t> - </w:t>
      </w:r>
      <w:r w:rsidR="00E66ABC" w:rsidRPr="009118AB">
        <w:rPr>
          <w:i/>
          <w:iCs/>
        </w:rPr>
        <w:t xml:space="preserve">und ersetzt durch </w:t>
      </w:r>
      <w:r w:rsidR="00D67EB8" w:rsidRPr="009118AB">
        <w:rPr>
          <w:i/>
          <w:iCs/>
        </w:rPr>
        <w:t>Art. </w:t>
      </w:r>
      <w:r w:rsidR="00E66ABC" w:rsidRPr="009118AB">
        <w:rPr>
          <w:i/>
          <w:iCs/>
        </w:rPr>
        <w:t xml:space="preserve">11 </w:t>
      </w:r>
      <w:r w:rsidR="00D67EB8" w:rsidRPr="009118AB">
        <w:rPr>
          <w:i/>
          <w:iCs/>
        </w:rPr>
        <w:t>Nr. </w:t>
      </w:r>
      <w:r w:rsidR="00E66ABC" w:rsidRPr="009118AB">
        <w:rPr>
          <w:i/>
          <w:iCs/>
        </w:rPr>
        <w:t>2</w:t>
      </w:r>
      <w:r w:rsidR="00E66ABC" w:rsidRPr="009118AB">
        <w:rPr>
          <w:i/>
        </w:rPr>
        <w:t xml:space="preserve"> des G. (II) vom 3. August 2016 (VI) (B.S. vom 16. August 2016)</w:t>
      </w:r>
      <w:r w:rsidR="00D67EB8" w:rsidRPr="009118AB">
        <w:rPr>
          <w:i/>
        </w:rPr>
        <w:t> - </w:t>
      </w:r>
      <w:r w:rsidR="00E66ABC" w:rsidRPr="009118AB">
        <w:rPr>
          <w:i/>
        </w:rPr>
        <w:t>in Kraft ab dem Steuerjahr 2016 für Vorgänge und Einkünfte, die ab dem 1. Juli 2016 stattfinden beziehungsweise zuerkannt oder ausgeschüttet werden</w:t>
      </w:r>
      <w:r w:rsidR="003366D9" w:rsidRPr="009118AB">
        <w:rPr>
          <w:i/>
        </w:rPr>
        <w:t> -;</w:t>
      </w:r>
      <w:r w:rsidR="005C09A2" w:rsidRPr="009118AB">
        <w:rPr>
          <w:i/>
        </w:rPr>
        <w:t xml:space="preserve"> </w:t>
      </w:r>
      <w:r w:rsidR="00D67EB8" w:rsidRPr="009118AB">
        <w:rPr>
          <w:i/>
        </w:rPr>
        <w:t>§ </w:t>
      </w:r>
      <w:r w:rsidR="000A5A43" w:rsidRPr="009118AB">
        <w:rPr>
          <w:i/>
        </w:rPr>
        <w:t xml:space="preserve">1 einziger Absatz </w:t>
      </w:r>
      <w:r w:rsidR="00D67EB8" w:rsidRPr="009118AB">
        <w:rPr>
          <w:i/>
        </w:rPr>
        <w:t>Nr. </w:t>
      </w:r>
      <w:r w:rsidR="000A5A43" w:rsidRPr="009118AB">
        <w:rPr>
          <w:i/>
        </w:rPr>
        <w:t xml:space="preserve">7 und 8 eingefügt durch </w:t>
      </w:r>
      <w:r w:rsidR="00D67EB8" w:rsidRPr="009118AB">
        <w:rPr>
          <w:i/>
        </w:rPr>
        <w:t>Art. </w:t>
      </w:r>
      <w:r w:rsidR="000A5A43" w:rsidRPr="009118AB">
        <w:rPr>
          <w:i/>
        </w:rPr>
        <w:t xml:space="preserve">43 </w:t>
      </w:r>
      <w:r w:rsidR="00D67EB8" w:rsidRPr="009118AB">
        <w:rPr>
          <w:i/>
        </w:rPr>
        <w:t>Nr. </w:t>
      </w:r>
      <w:r w:rsidR="000A5A43" w:rsidRPr="009118AB">
        <w:rPr>
          <w:i/>
        </w:rPr>
        <w:t>6</w:t>
      </w:r>
      <w:r w:rsidR="000A5A43" w:rsidRPr="009118AB">
        <w:rPr>
          <w:i/>
          <w:iCs/>
          <w:spacing w:val="-2"/>
        </w:rPr>
        <w:t xml:space="preserve"> des G. vom 17. März 2019 (III) (B.S. vom 10. Mai 2019)</w:t>
      </w:r>
      <w:r w:rsidR="00D67EB8" w:rsidRPr="009118AB">
        <w:rPr>
          <w:i/>
          <w:iCs/>
          <w:spacing w:val="-2"/>
        </w:rPr>
        <w:t> - </w:t>
      </w:r>
      <w:r w:rsidR="000A5A43" w:rsidRPr="009118AB">
        <w:rPr>
          <w:i/>
          <w:iCs/>
          <w:spacing w:val="-2"/>
        </w:rPr>
        <w:t>in Kraft am 1. Mai 2019</w:t>
      </w:r>
      <w:r w:rsidR="003366D9" w:rsidRPr="009118AB">
        <w:rPr>
          <w:i/>
          <w:iCs/>
          <w:spacing w:val="-2"/>
        </w:rPr>
        <w:t> -;</w:t>
      </w:r>
      <w:r w:rsidR="000A5A43" w:rsidRPr="009118AB">
        <w:rPr>
          <w:i/>
          <w:iCs/>
          <w:spacing w:val="-2"/>
        </w:rPr>
        <w:t xml:space="preserve"> </w:t>
      </w:r>
      <w:r w:rsidR="00D67EB8" w:rsidRPr="009118AB">
        <w:rPr>
          <w:i/>
          <w:iCs/>
          <w:spacing w:val="-2"/>
        </w:rPr>
        <w:t>§ </w:t>
      </w:r>
      <w:r w:rsidR="000A5A43" w:rsidRPr="009118AB">
        <w:rPr>
          <w:i/>
          <w:iCs/>
          <w:spacing w:val="-2"/>
        </w:rPr>
        <w:t xml:space="preserve">3 </w:t>
      </w:r>
      <w:r w:rsidR="00D67EB8" w:rsidRPr="009118AB">
        <w:rPr>
          <w:i/>
          <w:iCs/>
          <w:spacing w:val="-2"/>
        </w:rPr>
        <w:t>Abs. </w:t>
      </w:r>
      <w:r w:rsidR="000A5A43" w:rsidRPr="009118AB">
        <w:rPr>
          <w:i/>
          <w:iCs/>
          <w:spacing w:val="-2"/>
        </w:rPr>
        <w:t xml:space="preserve">1 abgeändert durch </w:t>
      </w:r>
      <w:r w:rsidR="00D67EB8" w:rsidRPr="009118AB">
        <w:rPr>
          <w:i/>
          <w:iCs/>
          <w:spacing w:val="-2"/>
        </w:rPr>
        <w:t>Art. </w:t>
      </w:r>
      <w:r w:rsidR="000A5A43" w:rsidRPr="009118AB">
        <w:rPr>
          <w:i/>
          <w:iCs/>
          <w:spacing w:val="-2"/>
        </w:rPr>
        <w:t xml:space="preserve">43 </w:t>
      </w:r>
      <w:r w:rsidR="00D67EB8" w:rsidRPr="009118AB">
        <w:rPr>
          <w:i/>
          <w:iCs/>
          <w:spacing w:val="-2"/>
        </w:rPr>
        <w:t>Nr. </w:t>
      </w:r>
      <w:r w:rsidR="000A5A43" w:rsidRPr="009118AB">
        <w:rPr>
          <w:i/>
          <w:iCs/>
          <w:spacing w:val="-2"/>
        </w:rPr>
        <w:t>7 des G. vom 17. März 2019 (III) (B.S. vom 10. Mai 2019)</w:t>
      </w:r>
      <w:r w:rsidR="00D67EB8" w:rsidRPr="009118AB">
        <w:rPr>
          <w:i/>
          <w:iCs/>
          <w:spacing w:val="-2"/>
        </w:rPr>
        <w:t> - </w:t>
      </w:r>
      <w:r w:rsidR="000A5A43" w:rsidRPr="009118AB">
        <w:rPr>
          <w:i/>
          <w:iCs/>
          <w:spacing w:val="-2"/>
        </w:rPr>
        <w:t>in Kraft am 1. Mai 2019</w:t>
      </w:r>
      <w:r w:rsidR="003366D9" w:rsidRPr="009118AB">
        <w:rPr>
          <w:i/>
          <w:iCs/>
          <w:spacing w:val="-2"/>
        </w:rPr>
        <w:t> -;</w:t>
      </w:r>
      <w:r w:rsidR="000A5A43" w:rsidRPr="009118AB">
        <w:rPr>
          <w:i/>
          <w:iCs/>
          <w:spacing w:val="-2"/>
        </w:rPr>
        <w:t xml:space="preserve"> </w:t>
      </w:r>
      <w:r w:rsidR="00D67EB8" w:rsidRPr="009118AB">
        <w:rPr>
          <w:i/>
          <w:iCs/>
          <w:spacing w:val="-2"/>
        </w:rPr>
        <w:t>§ </w:t>
      </w:r>
      <w:r w:rsidR="000A5A43" w:rsidRPr="009118AB">
        <w:rPr>
          <w:i/>
          <w:iCs/>
          <w:spacing w:val="-2"/>
        </w:rPr>
        <w:t>4 einziger</w:t>
      </w:r>
      <w:r w:rsidR="003B0B00" w:rsidRPr="009118AB">
        <w:rPr>
          <w:i/>
          <w:iCs/>
          <w:spacing w:val="-2"/>
        </w:rPr>
        <w:t xml:space="preserve"> Absatz einleitende Bestimmung </w:t>
      </w:r>
      <w:r w:rsidR="000A5A43" w:rsidRPr="009118AB">
        <w:rPr>
          <w:i/>
          <w:iCs/>
          <w:spacing w:val="-2"/>
        </w:rPr>
        <w:t xml:space="preserve">abgeändert durch </w:t>
      </w:r>
      <w:r w:rsidR="00D67EB8" w:rsidRPr="009118AB">
        <w:rPr>
          <w:i/>
          <w:iCs/>
          <w:spacing w:val="-2"/>
        </w:rPr>
        <w:t>Art. </w:t>
      </w:r>
      <w:r w:rsidR="000A5A43" w:rsidRPr="009118AB">
        <w:rPr>
          <w:i/>
          <w:iCs/>
          <w:spacing w:val="-2"/>
        </w:rPr>
        <w:t xml:space="preserve">43 </w:t>
      </w:r>
      <w:r w:rsidR="00D67EB8" w:rsidRPr="009118AB">
        <w:rPr>
          <w:i/>
          <w:iCs/>
          <w:spacing w:val="-2"/>
        </w:rPr>
        <w:t>Nr. </w:t>
      </w:r>
      <w:r w:rsidR="000A5A43" w:rsidRPr="009118AB">
        <w:rPr>
          <w:i/>
          <w:iCs/>
          <w:spacing w:val="-2"/>
        </w:rPr>
        <w:t>8 des G. vom 17. März 2019 (III) (B.S. vom 10. Mai 2019)</w:t>
      </w:r>
      <w:r w:rsidR="00D67EB8" w:rsidRPr="009118AB">
        <w:rPr>
          <w:i/>
          <w:iCs/>
          <w:spacing w:val="-2"/>
        </w:rPr>
        <w:t> - </w:t>
      </w:r>
      <w:r w:rsidR="000A5A43" w:rsidRPr="009118AB">
        <w:rPr>
          <w:i/>
          <w:iCs/>
          <w:spacing w:val="-2"/>
        </w:rPr>
        <w:t>in Kraft am 1. Mai 2019</w:t>
      </w:r>
      <w:r w:rsidR="003366D9" w:rsidRPr="009118AB">
        <w:rPr>
          <w:i/>
          <w:iCs/>
          <w:spacing w:val="-2"/>
        </w:rPr>
        <w:t> -;</w:t>
      </w:r>
      <w:r w:rsidR="000A5A43" w:rsidRPr="009118AB">
        <w:rPr>
          <w:i/>
          <w:iCs/>
          <w:spacing w:val="-2"/>
        </w:rPr>
        <w:t xml:space="preserve"> </w:t>
      </w:r>
      <w:r w:rsidR="00D67EB8" w:rsidRPr="009118AB">
        <w:rPr>
          <w:i/>
        </w:rPr>
        <w:t>§ </w:t>
      </w:r>
      <w:r w:rsidR="005C09A2" w:rsidRPr="009118AB">
        <w:rPr>
          <w:i/>
        </w:rPr>
        <w:t xml:space="preserve">5 eingefügt durch </w:t>
      </w:r>
      <w:r w:rsidR="00D67EB8" w:rsidRPr="009118AB">
        <w:rPr>
          <w:i/>
        </w:rPr>
        <w:t>Art. </w:t>
      </w:r>
      <w:r w:rsidR="005C09A2" w:rsidRPr="009118AB">
        <w:rPr>
          <w:i/>
        </w:rPr>
        <w:t>10</w:t>
      </w:r>
      <w:r w:rsidR="005C09A2" w:rsidRPr="009118AB">
        <w:rPr>
          <w:i/>
          <w:iCs/>
        </w:rPr>
        <w:t xml:space="preserve"> </w:t>
      </w:r>
      <w:r w:rsidR="005C09A2" w:rsidRPr="009118AB">
        <w:rPr>
          <w:rFonts w:ascii="Times New Roman Italique" w:hAnsi="Times New Roman Italique"/>
          <w:i/>
          <w:spacing w:val="2"/>
        </w:rPr>
        <w:t>des G. vom 17. Dezember 2017 (B.S. vom 22. Dezember 2017)</w:t>
      </w:r>
      <w:r w:rsidR="00D67EB8" w:rsidRPr="009118AB">
        <w:rPr>
          <w:rFonts w:ascii="Times New Roman Italique" w:hAnsi="Times New Roman Italique"/>
          <w:i/>
          <w:spacing w:val="2"/>
        </w:rPr>
        <w:t> - </w:t>
      </w:r>
      <w:r w:rsidR="005C09A2" w:rsidRPr="009118AB">
        <w:rPr>
          <w:rFonts w:ascii="Times New Roman Italique" w:hAnsi="Times New Roman Italique"/>
          <w:i/>
          <w:spacing w:val="2"/>
        </w:rPr>
        <w:t>in Kraft am 22.</w:t>
      </w:r>
      <w:r w:rsidR="005C09A2" w:rsidRPr="009118AB">
        <w:rPr>
          <w:rFonts w:ascii="Times New Roman Italique" w:hAnsi="Times New Roman Italique" w:hint="eastAsia"/>
          <w:i/>
          <w:spacing w:val="2"/>
        </w:rPr>
        <w:t xml:space="preserve"> Dezember 2017 und anwendbar auf </w:t>
      </w:r>
      <w:r w:rsidR="005C09A2" w:rsidRPr="009118AB">
        <w:rPr>
          <w:rFonts w:ascii="Times New Roman Italique" w:hAnsi="Times New Roman Italique"/>
          <w:i/>
          <w:spacing w:val="2"/>
        </w:rPr>
        <w:t>Vorgänge, die ab dem 22. Dezember 2017 stattfinden</w:t>
      </w:r>
      <w:r w:rsidR="003366D9" w:rsidRPr="009118AB">
        <w:rPr>
          <w:rFonts w:ascii="Times New Roman Italique" w:hAnsi="Times New Roman Italique"/>
          <w:i/>
          <w:spacing w:val="2"/>
        </w:rPr>
        <w:t> -;</w:t>
      </w:r>
      <w:r w:rsidR="000A5A43"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0A5A43" w:rsidRPr="009118AB">
        <w:rPr>
          <w:rFonts w:ascii="Times New Roman Italique" w:hAnsi="Times New Roman Italique"/>
          <w:i/>
          <w:spacing w:val="2"/>
        </w:rPr>
        <w:t xml:space="preserve">5 </w:t>
      </w:r>
      <w:r w:rsidR="00D67EB8" w:rsidRPr="009118AB">
        <w:rPr>
          <w:rFonts w:ascii="Times New Roman Italique" w:hAnsi="Times New Roman Italique"/>
          <w:i/>
          <w:spacing w:val="2"/>
        </w:rPr>
        <w:t>Abs. </w:t>
      </w:r>
      <w:r w:rsidR="000A5A43" w:rsidRPr="009118AB">
        <w:rPr>
          <w:rFonts w:ascii="Times New Roman Italique" w:hAnsi="Times New Roman Italique"/>
          <w:i/>
          <w:spacing w:val="2"/>
        </w:rPr>
        <w:t xml:space="preserve">2 abgeändert durch </w:t>
      </w:r>
      <w:r w:rsidR="00D67EB8" w:rsidRPr="009118AB">
        <w:rPr>
          <w:rFonts w:ascii="Times New Roman Italique" w:hAnsi="Times New Roman Italique"/>
          <w:i/>
          <w:spacing w:val="2"/>
        </w:rPr>
        <w:t>Art. </w:t>
      </w:r>
      <w:r w:rsidR="000A5A43" w:rsidRPr="009118AB">
        <w:rPr>
          <w:rFonts w:ascii="Times New Roman Italique" w:hAnsi="Times New Roman Italique"/>
          <w:i/>
          <w:spacing w:val="2"/>
        </w:rPr>
        <w:t xml:space="preserve">43 </w:t>
      </w:r>
      <w:r w:rsidR="00D67EB8" w:rsidRPr="009118AB">
        <w:rPr>
          <w:rFonts w:ascii="Times New Roman Italique" w:hAnsi="Times New Roman Italique"/>
          <w:i/>
          <w:spacing w:val="2"/>
        </w:rPr>
        <w:t>Nr. </w:t>
      </w:r>
      <w:r w:rsidR="000A5A43" w:rsidRPr="009118AB">
        <w:rPr>
          <w:rFonts w:ascii="Times New Roman Italique" w:hAnsi="Times New Roman Italique"/>
          <w:i/>
          <w:spacing w:val="2"/>
        </w:rPr>
        <w:t>9</w:t>
      </w:r>
      <w:r w:rsidR="000A5A43" w:rsidRPr="009118AB">
        <w:rPr>
          <w:i/>
          <w:iCs/>
          <w:spacing w:val="-2"/>
        </w:rPr>
        <w:t xml:space="preserve"> des G. vom 17. März 2019 (III) (B.S. vom 10. Mai 2019)</w:t>
      </w:r>
      <w:r w:rsidR="00D67EB8" w:rsidRPr="009118AB">
        <w:rPr>
          <w:i/>
          <w:iCs/>
          <w:spacing w:val="-2"/>
        </w:rPr>
        <w:t> - </w:t>
      </w:r>
      <w:r w:rsidR="000A5A43" w:rsidRPr="009118AB">
        <w:rPr>
          <w:i/>
          <w:iCs/>
          <w:spacing w:val="-2"/>
        </w:rPr>
        <w:t>in Kraft am 1. Mai 2019</w:t>
      </w:r>
      <w:r w:rsidR="00FD68E8" w:rsidRPr="009118AB">
        <w:rPr>
          <w:i/>
          <w:iCs/>
          <w:spacing w:val="-2"/>
        </w:rPr>
        <w:t> -]</w:t>
      </w:r>
    </w:p>
    <w:p w14:paraId="4D3EA1D8" w14:textId="77777777" w:rsidR="00477B8F" w:rsidRPr="009118AB" w:rsidRDefault="00477B8F" w:rsidP="00477B8F">
      <w:pPr>
        <w:autoSpaceDE w:val="0"/>
        <w:autoSpaceDN w:val="0"/>
        <w:adjustRightInd w:val="0"/>
        <w:jc w:val="both"/>
      </w:pPr>
    </w:p>
    <w:p w14:paraId="360ACF96" w14:textId="77777777" w:rsidR="000A5A43" w:rsidRPr="009118AB" w:rsidRDefault="000A5A43" w:rsidP="00477B8F">
      <w:pPr>
        <w:autoSpaceDE w:val="0"/>
        <w:autoSpaceDN w:val="0"/>
        <w:adjustRightInd w:val="0"/>
        <w:jc w:val="both"/>
      </w:pPr>
    </w:p>
    <w:p w14:paraId="56B8AFCF" w14:textId="648045B3" w:rsidR="000A5A43" w:rsidRPr="009118AB" w:rsidRDefault="000A5A43" w:rsidP="000A5A43">
      <w:pPr>
        <w:jc w:val="both"/>
      </w:pPr>
      <w:r w:rsidRPr="009118AB">
        <w:lastRenderedPageBreak/>
        <w:tab/>
        <w:t>[</w:t>
      </w:r>
      <w:r w:rsidR="00D67EB8" w:rsidRPr="009118AB">
        <w:rPr>
          <w:b/>
        </w:rPr>
        <w:t>Art. </w:t>
      </w:r>
      <w:r w:rsidRPr="009118AB">
        <w:rPr>
          <w:b/>
        </w:rPr>
        <w:t>210/1</w:t>
      </w:r>
      <w:r w:rsidR="00D67EB8" w:rsidRPr="009118AB">
        <w:t> - </w:t>
      </w:r>
      <w:r w:rsidRPr="009118AB">
        <w:t>Die Artikel 208 und 209 sind auch anwendbar, wenn eine Gesellschaft der Gesellschaftssteuer nicht mehr unterliegt und der Steuer der juristischen Personen unterworfen wird.</w:t>
      </w:r>
    </w:p>
    <w:p w14:paraId="063D7B8F" w14:textId="77777777" w:rsidR="000A5A43" w:rsidRPr="009118AB" w:rsidRDefault="000A5A43" w:rsidP="000A5A43">
      <w:pPr>
        <w:jc w:val="both"/>
      </w:pPr>
    </w:p>
    <w:p w14:paraId="57CA6B9B" w14:textId="7FB9CAE0" w:rsidR="000A5A43" w:rsidRPr="009118AB" w:rsidRDefault="000A5A43" w:rsidP="000A5A43">
      <w:pPr>
        <w:autoSpaceDE w:val="0"/>
        <w:autoSpaceDN w:val="0"/>
        <w:adjustRightInd w:val="0"/>
        <w:jc w:val="both"/>
      </w:pPr>
      <w:r w:rsidRPr="009118AB">
        <w:tab/>
        <w:t>Für die Anwendung des vorliegenden Artikels wird der Teil der steuerfreien Rücklagen, der im Laufe eines Besteuerungszeitraums gebildet wurde, der an ein Steuerjahr gebunden ist, für das die Gesellschaft der Gesellschaftssteuer nicht unterlag, und der Teil der anlässlich der Anwendung von Absatz 1 festgestellten Mehrwerte, der sich auf einen Besteuerungszeitraum bezieht, der an ein Steuerjahr gebunden ist, für das die Gesellschaft der Gesellschaftssteuer nicht unterlag, bei der Festlegung der Besteuerungsgrundlage nicht berücksichtigt.]</w:t>
      </w:r>
    </w:p>
    <w:p w14:paraId="15A900D8" w14:textId="77777777" w:rsidR="000A5A43" w:rsidRPr="009118AB" w:rsidRDefault="000A5A43" w:rsidP="000A5A43">
      <w:pPr>
        <w:autoSpaceDE w:val="0"/>
        <w:autoSpaceDN w:val="0"/>
        <w:adjustRightInd w:val="0"/>
        <w:jc w:val="both"/>
      </w:pPr>
    </w:p>
    <w:p w14:paraId="0F920F8D" w14:textId="232EC55D" w:rsidR="000A5A43" w:rsidRPr="009118AB" w:rsidRDefault="000A5A43" w:rsidP="000A5A43">
      <w:pPr>
        <w:autoSpaceDE w:val="0"/>
        <w:autoSpaceDN w:val="0"/>
        <w:adjustRightInd w:val="0"/>
        <w:jc w:val="both"/>
        <w:rPr>
          <w:i/>
        </w:rPr>
      </w:pPr>
      <w:r w:rsidRPr="009118AB">
        <w:rPr>
          <w:i/>
        </w:rPr>
        <w:t>[</w:t>
      </w:r>
      <w:r w:rsidR="00D67EB8" w:rsidRPr="009118AB">
        <w:rPr>
          <w:i/>
        </w:rPr>
        <w:t>Art. </w:t>
      </w:r>
      <w:r w:rsidRPr="009118AB">
        <w:rPr>
          <w:i/>
        </w:rPr>
        <w:t xml:space="preserve">210/1 eingefügt durch </w:t>
      </w:r>
      <w:r w:rsidR="00D67EB8" w:rsidRPr="009118AB">
        <w:rPr>
          <w:i/>
        </w:rPr>
        <w:t>Art. </w:t>
      </w:r>
      <w:r w:rsidRPr="009118AB">
        <w:rPr>
          <w:i/>
        </w:rPr>
        <w:t>44</w:t>
      </w:r>
      <w:r w:rsidRPr="009118AB">
        <w:rPr>
          <w:i/>
          <w:iCs/>
          <w:spacing w:val="-2"/>
        </w:rPr>
        <w:t xml:space="preserve"> des G. vom 17. März 2019 (III) (B.S. vom 10. Mai 2019)</w:t>
      </w:r>
      <w:r w:rsidR="00D67EB8" w:rsidRPr="009118AB">
        <w:rPr>
          <w:i/>
          <w:iCs/>
          <w:spacing w:val="-2"/>
        </w:rPr>
        <w:t> - </w:t>
      </w:r>
      <w:r w:rsidRPr="009118AB">
        <w:rPr>
          <w:i/>
          <w:iCs/>
          <w:spacing w:val="-2"/>
        </w:rPr>
        <w:t>in Kraft am 1. Mai 2019</w:t>
      </w:r>
      <w:r w:rsidR="00FD68E8" w:rsidRPr="009118AB">
        <w:rPr>
          <w:i/>
          <w:iCs/>
          <w:spacing w:val="-2"/>
        </w:rPr>
        <w:t> -]</w:t>
      </w:r>
    </w:p>
    <w:p w14:paraId="76D3BC33" w14:textId="77777777" w:rsidR="00477B8F" w:rsidRPr="009118AB" w:rsidRDefault="00477B8F" w:rsidP="00477B8F">
      <w:pPr>
        <w:autoSpaceDE w:val="0"/>
        <w:autoSpaceDN w:val="0"/>
        <w:adjustRightInd w:val="0"/>
        <w:jc w:val="both"/>
      </w:pPr>
    </w:p>
    <w:p w14:paraId="759BB954" w14:textId="77777777" w:rsidR="000A5A43" w:rsidRPr="009118AB" w:rsidRDefault="000A5A43" w:rsidP="00477B8F">
      <w:pPr>
        <w:autoSpaceDE w:val="0"/>
        <w:autoSpaceDN w:val="0"/>
        <w:adjustRightInd w:val="0"/>
        <w:jc w:val="both"/>
      </w:pPr>
    </w:p>
    <w:p w14:paraId="33E7DD79" w14:textId="408E2C41" w:rsidR="003C7ED2" w:rsidRPr="009118AB" w:rsidRDefault="00477B8F" w:rsidP="003C7ED2">
      <w:pPr>
        <w:jc w:val="both"/>
      </w:pPr>
      <w:r w:rsidRPr="009118AB">
        <w:tab/>
      </w:r>
      <w:r w:rsidR="00D67EB8" w:rsidRPr="009118AB">
        <w:rPr>
          <w:b/>
          <w:bCs/>
        </w:rPr>
        <w:t>Art. </w:t>
      </w:r>
      <w:r w:rsidRPr="009118AB">
        <w:rPr>
          <w:b/>
          <w:bCs/>
        </w:rPr>
        <w:t>211</w:t>
      </w:r>
      <w:r w:rsidR="00D67EB8" w:rsidRPr="009118AB">
        <w:t> - </w:t>
      </w:r>
      <w:r w:rsidR="00C80168" w:rsidRPr="009118AB">
        <w:t>[</w:t>
      </w:r>
      <w:r w:rsidR="00D67EB8" w:rsidRPr="009118AB">
        <w:t>§ </w:t>
      </w:r>
      <w:r w:rsidR="003C7ED2" w:rsidRPr="009118AB">
        <w:t>1</w:t>
      </w:r>
      <w:r w:rsidR="00D67EB8" w:rsidRPr="009118AB">
        <w:t> - </w:t>
      </w:r>
      <w:r w:rsidR="003C7ED2" w:rsidRPr="009118AB">
        <w:t xml:space="preserve">Im Falle einer Fusion, einer Aufspaltung oder eines mit einer Fusion durch Übernahme gleichgesetzten Vorgangs wie in Artikel 210 </w:t>
      </w:r>
      <w:r w:rsidR="00D67EB8" w:rsidRPr="009118AB">
        <w:t>§ </w:t>
      </w:r>
      <w:r w:rsidR="003C7ED2" w:rsidRPr="009118AB">
        <w:t xml:space="preserve">1 </w:t>
      </w:r>
      <w:r w:rsidR="00D67EB8" w:rsidRPr="009118AB">
        <w:t>Nr. </w:t>
      </w:r>
      <w:r w:rsidR="003C7ED2" w:rsidRPr="009118AB">
        <w:t xml:space="preserve">1 erwähnt und im Falle eines mit einer Aufspaltung gleichgesetzten Vorgangs wie in Artikel 210 </w:t>
      </w:r>
      <w:r w:rsidR="00D67EB8" w:rsidRPr="009118AB">
        <w:t>§ </w:t>
      </w:r>
      <w:r w:rsidR="003C7ED2" w:rsidRPr="009118AB">
        <w:t xml:space="preserve">1 </w:t>
      </w:r>
      <w:r w:rsidR="00D67EB8" w:rsidRPr="009118AB">
        <w:t>Nr. </w:t>
      </w:r>
      <w:r w:rsidR="003C7ED2" w:rsidRPr="009118AB">
        <w:t>1</w:t>
      </w:r>
      <w:r w:rsidR="003C7ED2" w:rsidRPr="009118AB">
        <w:rPr>
          <w:i/>
          <w:iCs/>
        </w:rPr>
        <w:t>bis</w:t>
      </w:r>
      <w:r w:rsidR="003C7ED2" w:rsidRPr="009118AB">
        <w:t xml:space="preserve"> erwähnt:</w:t>
      </w:r>
    </w:p>
    <w:p w14:paraId="612848FE" w14:textId="77777777" w:rsidR="003C7ED2" w:rsidRPr="009118AB" w:rsidRDefault="003C7ED2" w:rsidP="003C7ED2">
      <w:pPr>
        <w:jc w:val="both"/>
      </w:pPr>
    </w:p>
    <w:p w14:paraId="6185108A" w14:textId="6CD7262C" w:rsidR="003C7ED2" w:rsidRPr="009118AB" w:rsidRDefault="005D5BEB" w:rsidP="003C7ED2">
      <w:pPr>
        <w:jc w:val="both"/>
      </w:pPr>
      <w:r w:rsidRPr="009118AB">
        <w:tab/>
      </w:r>
      <w:r w:rsidR="003C7ED2" w:rsidRPr="009118AB">
        <w:t xml:space="preserve">1. werden in den Artikeln 44 </w:t>
      </w:r>
      <w:r w:rsidR="00D67EB8" w:rsidRPr="009118AB">
        <w:t>§ </w:t>
      </w:r>
      <w:r w:rsidR="003C7ED2" w:rsidRPr="009118AB">
        <w:t xml:space="preserve">1 </w:t>
      </w:r>
      <w:r w:rsidR="00D67EB8" w:rsidRPr="009118AB">
        <w:t>Nr. </w:t>
      </w:r>
      <w:r w:rsidR="003C7ED2" w:rsidRPr="009118AB">
        <w:t>1 und 47 erwähnte Mehrwerte, die zum Zeitpunkt des Vorgangs steuerfrei sind, in Artikel 362 erwähnte Kapitalzuschüsse, die zum Zeitpunkt des Vorgangs noch nicht als Gewinne gelten, und anlässlich dieses Vorgangs verwirklichte oder festgestellte Mehrwerte bei der in Artikel 208 Absatz 2 oder in Artikel 209 vorgesehenen Besteuerung nicht berücksichtigt,</w:t>
      </w:r>
    </w:p>
    <w:p w14:paraId="48D856EC" w14:textId="77777777" w:rsidR="003C7ED2" w:rsidRPr="009118AB" w:rsidRDefault="003C7ED2" w:rsidP="003C7ED2">
      <w:pPr>
        <w:jc w:val="both"/>
      </w:pPr>
    </w:p>
    <w:p w14:paraId="2E8B7EF1" w14:textId="7AD209D3" w:rsidR="003C7ED2" w:rsidRPr="009118AB" w:rsidRDefault="005D5BEB" w:rsidP="003C7ED2">
      <w:pPr>
        <w:jc w:val="both"/>
      </w:pPr>
      <w:r w:rsidRPr="009118AB">
        <w:tab/>
      </w:r>
      <w:r w:rsidR="003C7ED2" w:rsidRPr="009118AB">
        <w:t xml:space="preserve">2. ist die in Artikel 209 vorgesehene Besteuerung nicht auf den Restbetrag anwendbar in dem Maße, wie die Einbringungen durch neue Aktien oder Anteile, die zu diesem Zweck ausgegeben werden, vergütet werden, oder in dem Maße, wie die übernehmende oder begünstigte Gesellschaft in den in </w:t>
      </w:r>
      <w:r w:rsidR="00D67EB8" w:rsidRPr="009118AB">
        <w:t>§ </w:t>
      </w:r>
      <w:r w:rsidR="003C7ED2" w:rsidRPr="009118AB">
        <w:t>2 Absatz 3 erwähnten Fällen die vor dem Vorgang in der übertragenden oder aufgespaltenen Gesellschaft vorhandenen steuerfreien Rücklagen über</w:t>
      </w:r>
      <w:r w:rsidR="003C7ED2" w:rsidRPr="009118AB">
        <w:softHyphen/>
        <w:t>nimmt, die nicht einer ausländischen Niederlassung dieser Gesellschaft, die in einem Staat gelegen ist, mit dem Belgien ein Abkommen zur Vermeidung der Doppelbesteuerung unterzeichnet hat, zugerechnet werden.</w:t>
      </w:r>
    </w:p>
    <w:p w14:paraId="3891A9E9" w14:textId="77777777" w:rsidR="003C7ED2" w:rsidRPr="009118AB" w:rsidRDefault="003C7ED2" w:rsidP="003C7ED2">
      <w:pPr>
        <w:jc w:val="both"/>
      </w:pPr>
    </w:p>
    <w:p w14:paraId="473018A0" w14:textId="35FFD28F" w:rsidR="003C7ED2" w:rsidRPr="009118AB" w:rsidRDefault="005D5BEB" w:rsidP="003C7ED2">
      <w:pPr>
        <w:jc w:val="both"/>
      </w:pPr>
      <w:r w:rsidRPr="009118AB">
        <w:tab/>
      </w:r>
      <w:r w:rsidR="003C7ED2" w:rsidRPr="009118AB">
        <w:t xml:space="preserve">Im Falle einer Aufspaltung oder eines mit einer Aufspaltung gleichgesetzten Vorgangs ist die in Absatz 1 </w:t>
      </w:r>
      <w:r w:rsidR="00D67EB8" w:rsidRPr="009118AB">
        <w:t>Nr. </w:t>
      </w:r>
      <w:r w:rsidR="003C7ED2" w:rsidRPr="009118AB">
        <w:t>2 erwähnte Übernahme der steuerfreien Rücklagen auf den Teil der in der aufgespaltenen Gesellschaft vorhandenen steuerfreien Rücklagen begrenzt, der propor</w:t>
      </w:r>
      <w:r w:rsidR="003C7ED2" w:rsidRPr="009118AB">
        <w:softHyphen/>
        <w:t>tional zum Anteil des vollständigen Nettosteuerwertes der aufgespaltenen Gesellschaft ist, der auf die übernehmende oder begünstigte Gesellschaft übertragen wird.</w:t>
      </w:r>
    </w:p>
    <w:p w14:paraId="1B2D88D2" w14:textId="77777777" w:rsidR="003C7ED2" w:rsidRPr="009118AB" w:rsidRDefault="003C7ED2" w:rsidP="003C7ED2">
      <w:pPr>
        <w:jc w:val="both"/>
      </w:pPr>
    </w:p>
    <w:p w14:paraId="3CE699D6" w14:textId="7C5A0338" w:rsidR="003C7ED2" w:rsidRPr="009118AB" w:rsidRDefault="005D5BEB" w:rsidP="003C7ED2">
      <w:pPr>
        <w:jc w:val="both"/>
      </w:pPr>
      <w:r w:rsidRPr="009118AB">
        <w:tab/>
      </w:r>
      <w:r w:rsidR="003C7ED2" w:rsidRPr="009118AB">
        <w:t xml:space="preserve">Ist der Nettosteuerwert der aufgespaltenen Gesellschaft gleich null, ist die in Absatz 1 </w:t>
      </w:r>
      <w:r w:rsidR="00D67EB8" w:rsidRPr="009118AB">
        <w:t>Nr. </w:t>
      </w:r>
      <w:r w:rsidR="003C7ED2" w:rsidRPr="009118AB">
        <w:t>2 erwähnte Übernahme in Abweichung von vorhergehendem Absatz auf den Teil der steuerfreien Rücklagen der aufgespaltenen Gesellschaft begrenzt, der proportional zum Nettosteuerwert der Aktiva der aufgespaltenen Gesellschaft ist, die auf die übernehmende oder begünstigte Gesellschaft übertragen werden.</w:t>
      </w:r>
    </w:p>
    <w:p w14:paraId="75A86D66" w14:textId="77777777" w:rsidR="003C7ED2" w:rsidRPr="009118AB" w:rsidRDefault="003C7ED2" w:rsidP="003C7ED2">
      <w:pPr>
        <w:jc w:val="both"/>
      </w:pPr>
    </w:p>
    <w:p w14:paraId="2FD09F01" w14:textId="77777777" w:rsidR="003C7ED2" w:rsidRPr="009118AB" w:rsidRDefault="005D5BEB" w:rsidP="003C7ED2">
      <w:pPr>
        <w:jc w:val="both"/>
      </w:pPr>
      <w:r w:rsidRPr="009118AB">
        <w:tab/>
      </w:r>
      <w:r w:rsidR="003C7ED2" w:rsidRPr="009118AB">
        <w:t>Absatz 1 ist nur anwendbar unter der Bedingung, dass:</w:t>
      </w:r>
    </w:p>
    <w:p w14:paraId="7170B257" w14:textId="77777777" w:rsidR="003C7ED2" w:rsidRPr="009118AB" w:rsidRDefault="003C7ED2" w:rsidP="003C7ED2">
      <w:pPr>
        <w:jc w:val="both"/>
      </w:pPr>
    </w:p>
    <w:p w14:paraId="0B76B0AA" w14:textId="77777777" w:rsidR="003C7ED2" w:rsidRPr="009118AB" w:rsidRDefault="005D5BEB" w:rsidP="003C7ED2">
      <w:pPr>
        <w:jc w:val="both"/>
      </w:pPr>
      <w:r w:rsidRPr="009118AB">
        <w:tab/>
      </w:r>
      <w:r w:rsidR="003C7ED2" w:rsidRPr="009118AB">
        <w:t>1. die übernehmende oder begünstigte Gesellschaft eine inländische Gesellschaft oder eine innereuropäische Gesellschaft ist,</w:t>
      </w:r>
    </w:p>
    <w:p w14:paraId="63642360" w14:textId="77777777" w:rsidR="003C7ED2" w:rsidRPr="009118AB" w:rsidRDefault="003C7ED2" w:rsidP="003C7ED2">
      <w:pPr>
        <w:jc w:val="both"/>
      </w:pPr>
    </w:p>
    <w:p w14:paraId="13AE0DDE" w14:textId="51220554" w:rsidR="003C7ED2" w:rsidRPr="009118AB" w:rsidRDefault="005D5BEB" w:rsidP="003C7ED2">
      <w:pPr>
        <w:jc w:val="both"/>
      </w:pPr>
      <w:r w:rsidRPr="009118AB">
        <w:tab/>
      </w:r>
      <w:r w:rsidR="003C7ED2" w:rsidRPr="009118AB">
        <w:t xml:space="preserve">2. </w:t>
      </w:r>
      <w:r w:rsidR="000A5A43" w:rsidRPr="009118AB">
        <w:t>[…]</w:t>
      </w:r>
    </w:p>
    <w:p w14:paraId="1756B805" w14:textId="77777777" w:rsidR="003C7ED2" w:rsidRPr="009118AB" w:rsidRDefault="003C7ED2" w:rsidP="003C7ED2">
      <w:pPr>
        <w:jc w:val="both"/>
      </w:pPr>
    </w:p>
    <w:p w14:paraId="74DE5E65" w14:textId="77777777" w:rsidR="003C7ED2" w:rsidRPr="009118AB" w:rsidRDefault="005D5BEB" w:rsidP="003C7ED2">
      <w:pPr>
        <w:jc w:val="both"/>
      </w:pPr>
      <w:r w:rsidRPr="009118AB">
        <w:tab/>
      </w:r>
      <w:r w:rsidR="003C7ED2" w:rsidRPr="009118AB">
        <w:t>3. der Vorgang den Bestimmungen von Artikel 183</w:t>
      </w:r>
      <w:r w:rsidR="003C7ED2" w:rsidRPr="009118AB">
        <w:rPr>
          <w:i/>
        </w:rPr>
        <w:t>bis</w:t>
      </w:r>
      <w:r w:rsidR="003C7ED2" w:rsidRPr="009118AB">
        <w:t xml:space="preserve"> entspricht.</w:t>
      </w:r>
    </w:p>
    <w:p w14:paraId="11D84CF1" w14:textId="77777777" w:rsidR="003C7ED2" w:rsidRPr="009118AB" w:rsidRDefault="003C7ED2" w:rsidP="003C7ED2">
      <w:pPr>
        <w:jc w:val="both"/>
      </w:pPr>
    </w:p>
    <w:p w14:paraId="320C83F5" w14:textId="77777777" w:rsidR="003C7ED2" w:rsidRPr="009118AB" w:rsidRDefault="005D5BEB" w:rsidP="003C7ED2">
      <w:pPr>
        <w:jc w:val="both"/>
      </w:pPr>
      <w:r w:rsidRPr="009118AB">
        <w:tab/>
      </w:r>
      <w:r w:rsidR="003C7ED2" w:rsidRPr="009118AB">
        <w:t>Wenn die übernehmende oder begünstigte Gesellschaft eine innereuropäische Gesellschaft ist, ist Absatz 1 anwendbar in Bezug auf:</w:t>
      </w:r>
    </w:p>
    <w:p w14:paraId="252F0FA5" w14:textId="77777777" w:rsidR="003C7ED2" w:rsidRPr="009118AB" w:rsidRDefault="003C7ED2" w:rsidP="003C7ED2">
      <w:pPr>
        <w:jc w:val="both"/>
      </w:pPr>
    </w:p>
    <w:p w14:paraId="1977E4EA" w14:textId="51A9EB9E" w:rsidR="003C7ED2" w:rsidRPr="009118AB" w:rsidRDefault="005D5BEB" w:rsidP="003C7ED2">
      <w:pPr>
        <w:jc w:val="both"/>
      </w:pPr>
      <w:r w:rsidRPr="009118AB">
        <w:tab/>
      </w:r>
      <w:r w:rsidR="003C7ED2" w:rsidRPr="009118AB">
        <w:t xml:space="preserve">- die infolge des Vorgangs erhaltenen Bestandteile, die in einer in Artikel 229 </w:t>
      </w:r>
      <w:r w:rsidR="00D67EB8" w:rsidRPr="009118AB">
        <w:t>§ </w:t>
      </w:r>
      <w:r w:rsidR="003C7ED2" w:rsidRPr="009118AB">
        <w:t>1 erwähnten belgischen Niederlassung genutzt und belassen werden, über die die übernehmen</w:t>
      </w:r>
      <w:r w:rsidR="003C7ED2" w:rsidRPr="009118AB">
        <w:softHyphen/>
        <w:t>de oder begünstigte Gesellschaft in Belgien verfügt, ob infolge dieses Vorgangs oder nicht, und die zur Erzielung der Ergebnisse dieser Niederlassung beitragen, die in Anwendung von Artikel 233 für die Besteuerungsgrundlage berücksichtigt werden,</w:t>
      </w:r>
    </w:p>
    <w:p w14:paraId="2795B2C9" w14:textId="77777777" w:rsidR="003C7ED2" w:rsidRPr="009118AB" w:rsidRDefault="003C7ED2" w:rsidP="003C7ED2">
      <w:pPr>
        <w:jc w:val="both"/>
      </w:pPr>
    </w:p>
    <w:p w14:paraId="34F89154" w14:textId="77777777" w:rsidR="003C7ED2" w:rsidRPr="009118AB" w:rsidRDefault="005D5BEB" w:rsidP="003C7ED2">
      <w:pPr>
        <w:jc w:val="both"/>
      </w:pPr>
      <w:r w:rsidRPr="009118AB">
        <w:tab/>
      </w:r>
      <w:r w:rsidR="003C7ED2" w:rsidRPr="009118AB">
        <w:t>- und steuerfreie Rücklagen der übertragenden oder aufgespaltenen Gesellschaften, die keine steuerfreien Rücklagen sind, die einer ausländischen Niederlassung zugerechnet werden, und die im Eigenkapital der vorerwähnten belgischen Niederlassung wiederzufinden sind.</w:t>
      </w:r>
    </w:p>
    <w:p w14:paraId="3EEC01DB" w14:textId="77777777" w:rsidR="003C7ED2" w:rsidRPr="009118AB" w:rsidRDefault="003C7ED2" w:rsidP="003C7ED2">
      <w:pPr>
        <w:jc w:val="both"/>
      </w:pPr>
    </w:p>
    <w:p w14:paraId="7F100D31" w14:textId="535BFB7A" w:rsidR="003C7ED2" w:rsidRPr="009118AB" w:rsidRDefault="005D5BEB" w:rsidP="003C7ED2">
      <w:pPr>
        <w:jc w:val="both"/>
      </w:pPr>
      <w:r w:rsidRPr="009118AB">
        <w:tab/>
      </w:r>
      <w:r w:rsidR="003C7ED2" w:rsidRPr="009118AB">
        <w:t>Absatz 1 ist ebenfalls nicht auf Vorgänge anwendbar, an denen eine Investmentgesell</w:t>
      </w:r>
      <w:r w:rsidR="003C7ED2" w:rsidRPr="009118AB">
        <w:softHyphen/>
        <w:t>schaft mit fixem Kapital für Immobilien oder nicht notierte Aktien</w:t>
      </w:r>
      <w:r w:rsidR="00765011" w:rsidRPr="009118AB">
        <w:t>[</w:t>
      </w:r>
      <w:r w:rsidR="001241FE" w:rsidRPr="009118AB">
        <w:rPr>
          <w:lang w:eastAsia="fr-BE"/>
        </w:rPr>
        <w:t>, eine beaufsichtigte Immobiliengesellschaft oder ein europäischer langfristiger Investmentfonds, die/der</w:t>
      </w:r>
      <w:r w:rsidR="001241FE" w:rsidRPr="009118AB">
        <w:t>]</w:t>
      </w:r>
      <w:r w:rsidR="003C7ED2" w:rsidRPr="009118AB">
        <w:t xml:space="preserve"> von der </w:t>
      </w:r>
      <w:r w:rsidR="009135EA" w:rsidRPr="009118AB">
        <w:t>[Autorität Finanzielle Dienste und Märkte] </w:t>
      </w:r>
      <w:r w:rsidR="003C7ED2" w:rsidRPr="009118AB">
        <w:t xml:space="preserve">zugelassen ist, </w:t>
      </w:r>
      <w:r w:rsidR="00E66ABC" w:rsidRPr="009118AB">
        <w:t>[oder eine beim FÖD Finanzen im Verzeichnis der privaten Kapitalanlagefonds mit fixem Kapital oder im Verzeichnis der spezialisierten Immobilieninvestmentfonds eingetragene Gesellschaft beteiligt ist, außer wenn ausschließlich solche Gesellschaften an dem Vorgang beteiligt sind]</w:t>
      </w:r>
      <w:r w:rsidR="003C7ED2" w:rsidRPr="009118AB">
        <w:t>.</w:t>
      </w:r>
    </w:p>
    <w:p w14:paraId="25D6FA74" w14:textId="77777777" w:rsidR="003C7ED2" w:rsidRPr="009118AB" w:rsidRDefault="003C7ED2" w:rsidP="003C7ED2">
      <w:pPr>
        <w:jc w:val="both"/>
      </w:pPr>
    </w:p>
    <w:p w14:paraId="4352EC1D" w14:textId="44FF5027" w:rsidR="003C7ED2" w:rsidRPr="009118AB" w:rsidRDefault="005D5BEB" w:rsidP="003C7ED2">
      <w:pPr>
        <w:jc w:val="both"/>
      </w:pPr>
      <w:r w:rsidRPr="009118AB">
        <w:tab/>
      </w:r>
      <w:r w:rsidR="00D67EB8" w:rsidRPr="009118AB">
        <w:t>§ </w:t>
      </w:r>
      <w:r w:rsidR="003C7ED2" w:rsidRPr="009118AB">
        <w:t>2</w:t>
      </w:r>
      <w:r w:rsidR="00D67EB8" w:rsidRPr="009118AB">
        <w:t> - </w:t>
      </w:r>
      <w:r w:rsidR="003C7ED2" w:rsidRPr="009118AB">
        <w:t>Wird die Einbringung anders vergütet als durch neue Aktien oder Anteile, die von der übernehmenden oder begünstigten Gesellschaft ausgegeben werden, wird der Betrag des eingezahlten Kapitals und der Gewinnrücklagen der übertragenden oder aufgespaltenen Gesellschaft bei der übernehmenden oder begünstigten Gesellschaft um den Teil der Ein</w:t>
      </w:r>
      <w:r w:rsidR="003C7ED2" w:rsidRPr="009118AB">
        <w:softHyphen/>
        <w:t>bringung herabgesetzt, der nicht durch neue Aktien oder Anteile, die anlässlich des Vorgangs ausgegeben werden, vergütet wird.</w:t>
      </w:r>
    </w:p>
    <w:p w14:paraId="5F38E24F" w14:textId="77777777" w:rsidR="003C7ED2" w:rsidRPr="009118AB" w:rsidRDefault="003C7ED2" w:rsidP="003C7ED2">
      <w:pPr>
        <w:jc w:val="both"/>
      </w:pPr>
    </w:p>
    <w:p w14:paraId="244EDF5F" w14:textId="77777777" w:rsidR="003C7ED2" w:rsidRPr="009118AB" w:rsidRDefault="005D5BEB" w:rsidP="003C7ED2">
      <w:pPr>
        <w:jc w:val="both"/>
      </w:pPr>
      <w:r w:rsidRPr="009118AB">
        <w:tab/>
      </w:r>
      <w:r w:rsidR="003C7ED2" w:rsidRPr="009118AB">
        <w:t>Die Herabsetzung wird zuerst auf die besteuerten Rücklagen, dann, wenn diese Rücklagen nicht ausreichen, auf die steuerfreien Rücklagen und schließlich auf das eingezahlte Kapital angerechnet.</w:t>
      </w:r>
    </w:p>
    <w:p w14:paraId="00DBFDDB" w14:textId="77777777" w:rsidR="003C7ED2" w:rsidRPr="009118AB" w:rsidRDefault="003C7ED2" w:rsidP="003C7ED2">
      <w:pPr>
        <w:jc w:val="both"/>
      </w:pPr>
    </w:p>
    <w:p w14:paraId="12A672D5" w14:textId="77777777" w:rsidR="003C7ED2" w:rsidRPr="009118AB" w:rsidRDefault="005D5BEB" w:rsidP="003C7ED2">
      <w:pPr>
        <w:jc w:val="both"/>
      </w:pPr>
      <w:r w:rsidRPr="009118AB">
        <w:tab/>
      </w:r>
      <w:r w:rsidR="003C7ED2" w:rsidRPr="009118AB">
        <w:t>Werden die Einbringungen aufgrund der Tatsache nicht vergütet, dass die über</w:t>
      </w:r>
      <w:r w:rsidR="003C7ED2" w:rsidRPr="009118AB">
        <w:softHyphen/>
        <w:t>nehmenden oder begünstigten Gesellschaften Aktien oder Anteile der übertragenden oder aufgespaltenen Gesellschaft besitzen, wird die Herabsetzung in Abweichung von Absatz 2 proportional auf das eingezahlte Kapital und die Rücklagen angerechnet, wobei die Herabsetzung der Rücklagen vorrangig auf die besteuerten Rücklagen angerechnet wird.</w:t>
      </w:r>
    </w:p>
    <w:p w14:paraId="169018AB" w14:textId="77777777" w:rsidR="003C7ED2" w:rsidRPr="009118AB" w:rsidRDefault="003C7ED2" w:rsidP="003C7ED2">
      <w:pPr>
        <w:jc w:val="both"/>
      </w:pPr>
    </w:p>
    <w:p w14:paraId="310F1B72" w14:textId="5EFF233C" w:rsidR="003C7ED2" w:rsidRPr="009118AB" w:rsidRDefault="005D5BEB" w:rsidP="003C7ED2">
      <w:pPr>
        <w:jc w:val="both"/>
      </w:pPr>
      <w:r w:rsidRPr="009118AB">
        <w:tab/>
      </w:r>
      <w:r w:rsidR="003C7ED2" w:rsidRPr="009118AB">
        <w:t xml:space="preserve">Keine Herabsetzung wird auf die in </w:t>
      </w:r>
      <w:r w:rsidR="00D67EB8" w:rsidRPr="009118AB">
        <w:t>§ </w:t>
      </w:r>
      <w:r w:rsidR="003C7ED2" w:rsidRPr="009118AB">
        <w:t xml:space="preserve">1 Absatz 1 </w:t>
      </w:r>
      <w:r w:rsidR="00D67EB8" w:rsidRPr="009118AB">
        <w:t>Nr. </w:t>
      </w:r>
      <w:r w:rsidR="003C7ED2" w:rsidRPr="009118AB">
        <w:t xml:space="preserve">1 erwähnten Mehrwerte und Kapitalzuschüsse, auf die in </w:t>
      </w:r>
      <w:r w:rsidR="00D67EB8" w:rsidRPr="009118AB">
        <w:t>§ </w:t>
      </w:r>
      <w:r w:rsidR="003C7ED2" w:rsidRPr="009118AB">
        <w:t xml:space="preserve">1 Absatz 1 </w:t>
      </w:r>
      <w:r w:rsidR="00D67EB8" w:rsidRPr="009118AB">
        <w:t>Nr. </w:t>
      </w:r>
      <w:r w:rsidR="003C7ED2" w:rsidRPr="009118AB">
        <w:t xml:space="preserve">2 erwähnten steuerfreien Rücklagen und auf steuerfreie Wertminderungen und Rückstellungen, die als solche in der Buchhaltung der übernehmenden oder begünstigten Gesellschaften oder der in </w:t>
      </w:r>
      <w:r w:rsidR="00D67EB8" w:rsidRPr="009118AB">
        <w:t>§ </w:t>
      </w:r>
      <w:r w:rsidR="003C7ED2" w:rsidRPr="009118AB">
        <w:t>1 Absatz 5 erwähnten bel</w:t>
      </w:r>
      <w:r w:rsidR="003C7ED2" w:rsidRPr="009118AB">
        <w:softHyphen/>
        <w:t>gischen Niederlassung vorkommen, angerechnet.</w:t>
      </w:r>
    </w:p>
    <w:p w14:paraId="2B9CB2E7" w14:textId="77777777" w:rsidR="003C7ED2" w:rsidRPr="009118AB" w:rsidRDefault="003C7ED2" w:rsidP="003C7ED2">
      <w:pPr>
        <w:jc w:val="both"/>
      </w:pPr>
    </w:p>
    <w:p w14:paraId="358818E1" w14:textId="44553BC8" w:rsidR="003C7ED2" w:rsidRPr="009118AB" w:rsidRDefault="005D5BEB" w:rsidP="003C7ED2">
      <w:pPr>
        <w:jc w:val="both"/>
      </w:pPr>
      <w:r w:rsidRPr="009118AB">
        <w:lastRenderedPageBreak/>
        <w:tab/>
      </w:r>
      <w:r w:rsidR="003C7ED2" w:rsidRPr="009118AB">
        <w:t xml:space="preserve">Die Herabsetzung des eingezahlten Kapitals gilt als an dem Datum des in </w:t>
      </w:r>
      <w:r w:rsidR="00D67EB8" w:rsidRPr="009118AB">
        <w:t>§ </w:t>
      </w:r>
      <w:r w:rsidR="003C7ED2" w:rsidRPr="009118AB">
        <w:t>1 Absatz 1 erwähnten Vorgangs erfolgt.</w:t>
      </w:r>
    </w:p>
    <w:p w14:paraId="412F4079" w14:textId="77777777" w:rsidR="003C7ED2" w:rsidRPr="009118AB" w:rsidRDefault="003C7ED2" w:rsidP="003C7ED2">
      <w:pPr>
        <w:jc w:val="both"/>
      </w:pPr>
    </w:p>
    <w:p w14:paraId="4CC9441D" w14:textId="711087D4" w:rsidR="003C7ED2" w:rsidRPr="009118AB" w:rsidRDefault="005D5BEB" w:rsidP="003C7ED2">
      <w:pPr>
        <w:autoSpaceDE w:val="0"/>
        <w:autoSpaceDN w:val="0"/>
        <w:adjustRightInd w:val="0"/>
        <w:jc w:val="both"/>
      </w:pPr>
      <w:r w:rsidRPr="009118AB">
        <w:tab/>
      </w:r>
      <w:r w:rsidR="003C7ED2" w:rsidRPr="009118AB">
        <w:t>Die Bestimmungen der Absätze 1 und 2 sind ebenfalls anwendbar, sofern</w:t>
      </w:r>
      <w:r w:rsidR="00D67EB8" w:rsidRPr="009118AB">
        <w:t> - </w:t>
      </w:r>
      <w:r w:rsidR="003C7ED2" w:rsidRPr="009118AB">
        <w:t>im Falle der Übernahme oder des Erwerbs durch eine innereuropäische Gesellschaft</w:t>
      </w:r>
      <w:r w:rsidR="00D67EB8" w:rsidRPr="009118AB">
        <w:t> - </w:t>
      </w:r>
      <w:r w:rsidR="003C7ED2" w:rsidRPr="009118AB">
        <w:t xml:space="preserve">die infolge des Vorgangs übertragenen oder erhaltenen Bestandteile nicht in einer in Artikel 229 </w:t>
      </w:r>
      <w:r w:rsidR="00D67EB8" w:rsidRPr="009118AB">
        <w:t>§ </w:t>
      </w:r>
      <w:r w:rsidR="003C7ED2" w:rsidRPr="009118AB">
        <w:t>1 erwähnten belgischen Niederlassung genutzt werden, über die die übernehmende oder be</w:t>
      </w:r>
      <w:r w:rsidR="003C7ED2" w:rsidRPr="009118AB">
        <w:softHyphen/>
        <w:t>günstigte Gesellschaft in Belgien verfügt, ob infolge dieses Vorgangs oder nicht, oder sofern sie nicht zur Erzielung der Ergebnisse dieser Niederlassung beitragen, die in Anwendung von Artikel 233 für die Festlegung der Besteuerungsgrundlage berücksichtigt werden.]</w:t>
      </w:r>
    </w:p>
    <w:p w14:paraId="6046E46D" w14:textId="77777777" w:rsidR="003C7ED2" w:rsidRPr="009118AB" w:rsidRDefault="003C7ED2" w:rsidP="003C7ED2">
      <w:pPr>
        <w:autoSpaceDE w:val="0"/>
        <w:autoSpaceDN w:val="0"/>
        <w:adjustRightInd w:val="0"/>
        <w:jc w:val="both"/>
      </w:pPr>
    </w:p>
    <w:p w14:paraId="1AB605E9" w14:textId="14F72145" w:rsidR="003C7ED2" w:rsidRPr="009118AB" w:rsidRDefault="003C7ED2" w:rsidP="003C7ED2">
      <w:pPr>
        <w:autoSpaceDE w:val="0"/>
        <w:autoSpaceDN w:val="0"/>
        <w:adjustRightInd w:val="0"/>
        <w:jc w:val="both"/>
      </w:pPr>
      <w:r w:rsidRPr="009118AB">
        <w:rPr>
          <w:i/>
        </w:rPr>
        <w:t>[</w:t>
      </w:r>
      <w:r w:rsidR="00D67EB8" w:rsidRPr="009118AB">
        <w:rPr>
          <w:i/>
        </w:rPr>
        <w:t>Art. </w:t>
      </w:r>
      <w:r w:rsidRPr="009118AB">
        <w:rPr>
          <w:i/>
        </w:rPr>
        <w:t xml:space="preserve">211 ersetzt durch </w:t>
      </w:r>
      <w:r w:rsidR="00D67EB8" w:rsidRPr="009118AB">
        <w:rPr>
          <w:i/>
        </w:rPr>
        <w:t>Art. </w:t>
      </w:r>
      <w:r w:rsidRPr="009118AB">
        <w:rPr>
          <w:i/>
        </w:rPr>
        <w:t>20</w:t>
      </w:r>
      <w:r w:rsidRPr="009118AB">
        <w:rPr>
          <w:i/>
          <w:iCs/>
          <w:spacing w:val="-5"/>
        </w:rPr>
        <w:t xml:space="preserve"> des G. vom 11. Dezember 2008 (B.S. vom 12. Januar 2009)</w:t>
      </w:r>
      <w:r w:rsidR="00D67EB8" w:rsidRPr="009118AB">
        <w:rPr>
          <w:i/>
          <w:iCs/>
          <w:spacing w:val="-5"/>
        </w:rPr>
        <w:t> - </w:t>
      </w:r>
      <w:r w:rsidRPr="009118AB">
        <w:rPr>
          <w:i/>
          <w:iCs/>
        </w:rPr>
        <w:t>anwendbar auf Vorgänge oder Verlegungen, die ab dem 12. Januar 2009 statt</w:t>
      </w:r>
      <w:r w:rsidRPr="009118AB">
        <w:rPr>
          <w:i/>
          <w:iCs/>
        </w:rPr>
        <w:softHyphen/>
        <w:t>finden</w:t>
      </w:r>
      <w:r w:rsidR="003366D9" w:rsidRPr="009118AB">
        <w:rPr>
          <w:i/>
          <w:iCs/>
        </w:rPr>
        <w:t> -;</w:t>
      </w:r>
      <w:r w:rsidR="00D85D5D" w:rsidRPr="009118AB">
        <w:rPr>
          <w:i/>
          <w:iCs/>
        </w:rPr>
        <w:t xml:space="preserve"> </w:t>
      </w:r>
      <w:r w:rsidR="00D67EB8" w:rsidRPr="009118AB">
        <w:rPr>
          <w:i/>
          <w:iCs/>
        </w:rPr>
        <w:t>§ </w:t>
      </w:r>
      <w:r w:rsidR="000A5A43" w:rsidRPr="009118AB">
        <w:rPr>
          <w:i/>
          <w:iCs/>
        </w:rPr>
        <w:t xml:space="preserve">1 </w:t>
      </w:r>
      <w:r w:rsidR="00D67EB8" w:rsidRPr="009118AB">
        <w:rPr>
          <w:i/>
          <w:iCs/>
        </w:rPr>
        <w:t>Abs. </w:t>
      </w:r>
      <w:r w:rsidR="000A5A43" w:rsidRPr="009118AB">
        <w:rPr>
          <w:i/>
          <w:iCs/>
        </w:rPr>
        <w:t xml:space="preserve">4 </w:t>
      </w:r>
      <w:r w:rsidR="00D67EB8" w:rsidRPr="009118AB">
        <w:rPr>
          <w:i/>
          <w:iCs/>
        </w:rPr>
        <w:t>Nr. </w:t>
      </w:r>
      <w:r w:rsidR="000A5A43" w:rsidRPr="009118AB">
        <w:rPr>
          <w:i/>
          <w:iCs/>
        </w:rPr>
        <w:t xml:space="preserve">2 aufgehoben durch </w:t>
      </w:r>
      <w:r w:rsidR="00D67EB8" w:rsidRPr="009118AB">
        <w:rPr>
          <w:i/>
          <w:iCs/>
        </w:rPr>
        <w:t>Art. </w:t>
      </w:r>
      <w:r w:rsidR="000A5A43" w:rsidRPr="009118AB">
        <w:rPr>
          <w:i/>
          <w:iCs/>
        </w:rPr>
        <w:t>45</w:t>
      </w:r>
      <w:r w:rsidR="000A5A43" w:rsidRPr="009118AB">
        <w:rPr>
          <w:i/>
          <w:iCs/>
          <w:spacing w:val="-2"/>
        </w:rPr>
        <w:t xml:space="preserve"> des G. vom 17. März 2019 (III) (B.S. vom 10. Mai 2019)</w:t>
      </w:r>
      <w:r w:rsidR="00D67EB8" w:rsidRPr="009118AB">
        <w:rPr>
          <w:i/>
          <w:iCs/>
          <w:spacing w:val="-2"/>
        </w:rPr>
        <w:t> - </w:t>
      </w:r>
      <w:r w:rsidR="000A5A43" w:rsidRPr="009118AB">
        <w:rPr>
          <w:i/>
          <w:iCs/>
          <w:spacing w:val="-2"/>
        </w:rPr>
        <w:t>in Kraft am 1. Mai 2019</w:t>
      </w:r>
      <w:r w:rsidR="003366D9" w:rsidRPr="009118AB">
        <w:rPr>
          <w:i/>
          <w:iCs/>
          <w:spacing w:val="-2"/>
        </w:rPr>
        <w:t> -;</w:t>
      </w:r>
      <w:r w:rsidR="009135EA" w:rsidRPr="009118AB">
        <w:rPr>
          <w:i/>
          <w:iCs/>
        </w:rPr>
        <w:t xml:space="preserve"> </w:t>
      </w:r>
      <w:r w:rsidR="00D67EB8" w:rsidRPr="009118AB">
        <w:rPr>
          <w:i/>
          <w:iCs/>
        </w:rPr>
        <w:t>§ </w:t>
      </w:r>
      <w:r w:rsidR="009135EA" w:rsidRPr="009118AB">
        <w:rPr>
          <w:i/>
          <w:iCs/>
        </w:rPr>
        <w:t xml:space="preserve">1 </w:t>
      </w:r>
      <w:r w:rsidR="00D67EB8" w:rsidRPr="009118AB">
        <w:rPr>
          <w:i/>
          <w:iCs/>
        </w:rPr>
        <w:t>Abs. </w:t>
      </w:r>
      <w:r w:rsidR="009135EA" w:rsidRPr="009118AB">
        <w:rPr>
          <w:i/>
          <w:iCs/>
        </w:rPr>
        <w:t>6 abgeändert durch</w:t>
      </w:r>
      <w:r w:rsidR="009135EA"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9135EA" w:rsidRPr="009118AB">
        <w:rPr>
          <w:rFonts w:ascii="Times New Roman Italique" w:hAnsi="Times New Roman Italique"/>
          <w:i/>
          <w:iCs/>
          <w:spacing w:val="-2"/>
        </w:rPr>
        <w:t>331 des K.E. vom 3. März 2011 (B.S</w:t>
      </w:r>
      <w:r w:rsidR="00FE02D0" w:rsidRPr="009118AB">
        <w:rPr>
          <w:rFonts w:ascii="Times New Roman Italique" w:hAnsi="Times New Roman Italique"/>
          <w:i/>
          <w:iCs/>
          <w:spacing w:val="-2"/>
        </w:rPr>
        <w:t>.</w:t>
      </w:r>
      <w:r w:rsidR="009135EA" w:rsidRPr="009118AB">
        <w:rPr>
          <w:rFonts w:ascii="Times New Roman Italique" w:hAnsi="Times New Roman Italique"/>
          <w:i/>
          <w:iCs/>
          <w:spacing w:val="-2"/>
        </w:rPr>
        <w:t xml:space="preserve"> vom 9. März 2011)</w:t>
      </w:r>
      <w:r w:rsidR="00D67EB8" w:rsidRPr="009118AB">
        <w:rPr>
          <w:rFonts w:ascii="Times New Roman Italique" w:hAnsi="Times New Roman Italique"/>
          <w:i/>
          <w:iCs/>
          <w:spacing w:val="-2"/>
        </w:rPr>
        <w:t> - </w:t>
      </w:r>
      <w:r w:rsidR="009135EA" w:rsidRPr="009118AB">
        <w:rPr>
          <w:rFonts w:ascii="Times New Roman Italique" w:hAnsi="Times New Roman Italique"/>
          <w:i/>
          <w:iCs/>
          <w:spacing w:val="-2"/>
        </w:rPr>
        <w:t>in Kraft am 1. April 2011</w:t>
      </w:r>
      <w:r w:rsidR="00FD68E8" w:rsidRPr="009118AB">
        <w:rPr>
          <w:rFonts w:ascii="Times New Roman Italique" w:hAnsi="Times New Roman Italique"/>
          <w:i/>
          <w:iCs/>
          <w:spacing w:val="-2"/>
        </w:rPr>
        <w:t> -,</w:t>
      </w:r>
      <w:r w:rsidR="00765011"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765011" w:rsidRPr="009118AB">
        <w:rPr>
          <w:rFonts w:ascii="Times New Roman Italique" w:hAnsi="Times New Roman Italique"/>
          <w:i/>
          <w:iCs/>
          <w:spacing w:val="-2"/>
        </w:rPr>
        <w:t>91</w:t>
      </w:r>
      <w:r w:rsidR="00765011" w:rsidRPr="009118AB">
        <w:rPr>
          <w:i/>
          <w:iCs/>
        </w:rPr>
        <w:t xml:space="preserve"> des G. vom 12. Mai 2014 (II) (B.S. vom 30. Juni 2014)</w:t>
      </w:r>
      <w:r w:rsidR="00D67EB8" w:rsidRPr="009118AB">
        <w:rPr>
          <w:i/>
          <w:iCs/>
        </w:rPr>
        <w:t> - </w:t>
      </w:r>
      <w:r w:rsidR="00765011" w:rsidRPr="009118AB">
        <w:rPr>
          <w:i/>
          <w:iCs/>
        </w:rPr>
        <w:t>in Kraft ab dem 16. Juli 2014</w:t>
      </w:r>
      <w:r w:rsidR="00FD68E8" w:rsidRPr="009118AB">
        <w:rPr>
          <w:i/>
          <w:iCs/>
        </w:rPr>
        <w:t> -,</w:t>
      </w:r>
      <w:r w:rsidR="00E66ABC" w:rsidRPr="009118AB">
        <w:rPr>
          <w:i/>
          <w:iCs/>
        </w:rPr>
        <w:t xml:space="preserve"> </w:t>
      </w:r>
      <w:r w:rsidR="00D67EB8" w:rsidRPr="009118AB">
        <w:rPr>
          <w:i/>
          <w:iCs/>
        </w:rPr>
        <w:t>Art. </w:t>
      </w:r>
      <w:r w:rsidR="00E66ABC" w:rsidRPr="009118AB">
        <w:rPr>
          <w:i/>
          <w:iCs/>
        </w:rPr>
        <w:t>12</w:t>
      </w:r>
      <w:r w:rsidR="00E66ABC" w:rsidRPr="009118AB">
        <w:rPr>
          <w:i/>
        </w:rPr>
        <w:t xml:space="preserve"> des G. (II) vom 3. August 2016 (VI) (B.S. vom 16. August 2016)</w:t>
      </w:r>
      <w:r w:rsidR="00D67EB8" w:rsidRPr="009118AB">
        <w:rPr>
          <w:i/>
        </w:rPr>
        <w:t> - </w:t>
      </w:r>
      <w:r w:rsidR="00E66ABC" w:rsidRPr="009118AB">
        <w:rPr>
          <w:i/>
        </w:rPr>
        <w:t>in Kraft ab dem Steuerjahr 2016 für Vorgänge und Einkünfte, die ab dem 1. Juli 2016 stattfinden beziehungsweise zuerkannt oder ausgeschüttet werden</w:t>
      </w:r>
      <w:r w:rsidR="00D67EB8" w:rsidRPr="009118AB">
        <w:rPr>
          <w:i/>
        </w:rPr>
        <w:t> - </w:t>
      </w:r>
      <w:r w:rsidR="001241FE" w:rsidRPr="009118AB">
        <w:rPr>
          <w:i/>
        </w:rPr>
        <w:t xml:space="preserve">und </w:t>
      </w:r>
      <w:r w:rsidR="00D67EB8" w:rsidRPr="009118AB">
        <w:rPr>
          <w:i/>
        </w:rPr>
        <w:t>Art. </w:t>
      </w:r>
      <w:r w:rsidR="001241FE" w:rsidRPr="009118AB">
        <w:rPr>
          <w:i/>
        </w:rPr>
        <w:t>67</w:t>
      </w:r>
      <w:r w:rsidR="001241FE" w:rsidRPr="009118AB">
        <w:rPr>
          <w:bCs/>
          <w:i/>
          <w:iCs/>
          <w:sz w:val="20"/>
          <w:szCs w:val="20"/>
        </w:rPr>
        <w:t xml:space="preserve"> </w:t>
      </w:r>
      <w:r w:rsidR="001241FE" w:rsidRPr="009118AB">
        <w:rPr>
          <w:bCs/>
          <w:i/>
          <w:iCs/>
        </w:rPr>
        <w:t>des G. vom 21. Januar 2022 (B.S. vom 28. Januar 2022)</w:t>
      </w:r>
      <w:r w:rsidR="009135EA" w:rsidRPr="009118AB">
        <w:rPr>
          <w:rFonts w:ascii="Times New Roman Italique" w:hAnsi="Times New Roman Italique"/>
          <w:i/>
          <w:iCs/>
          <w:spacing w:val="-2"/>
        </w:rPr>
        <w:t>]</w:t>
      </w:r>
    </w:p>
    <w:p w14:paraId="540D8D17" w14:textId="77777777" w:rsidR="003C7ED2" w:rsidRPr="009118AB" w:rsidRDefault="003C7ED2" w:rsidP="003C7ED2">
      <w:pPr>
        <w:autoSpaceDE w:val="0"/>
        <w:autoSpaceDN w:val="0"/>
        <w:adjustRightInd w:val="0"/>
        <w:jc w:val="both"/>
      </w:pPr>
    </w:p>
    <w:p w14:paraId="26EA9634" w14:textId="77777777" w:rsidR="00477B8F" w:rsidRPr="009118AB" w:rsidRDefault="00477B8F" w:rsidP="00477B8F">
      <w:pPr>
        <w:autoSpaceDE w:val="0"/>
        <w:autoSpaceDN w:val="0"/>
        <w:adjustRightInd w:val="0"/>
        <w:jc w:val="both"/>
      </w:pPr>
    </w:p>
    <w:p w14:paraId="1091237B" w14:textId="584DB21B" w:rsidR="0031458F" w:rsidRPr="009118AB" w:rsidRDefault="0031458F" w:rsidP="0031458F">
      <w:pPr>
        <w:autoSpaceDE w:val="0"/>
        <w:autoSpaceDN w:val="0"/>
        <w:adjustRightInd w:val="0"/>
        <w:jc w:val="both"/>
      </w:pPr>
      <w:r w:rsidRPr="009118AB">
        <w:tab/>
      </w:r>
      <w:r w:rsidR="00D67EB8" w:rsidRPr="009118AB">
        <w:rPr>
          <w:b/>
          <w:bCs/>
        </w:rPr>
        <w:t>Art. </w:t>
      </w:r>
      <w:r w:rsidRPr="009118AB">
        <w:rPr>
          <w:b/>
          <w:bCs/>
        </w:rPr>
        <w:t>212</w:t>
      </w:r>
      <w:r w:rsidR="00D67EB8" w:rsidRPr="009118AB">
        <w:t> - </w:t>
      </w:r>
      <w:r w:rsidRPr="009118AB">
        <w:t xml:space="preserve">[In den in Artikel 211 erwähnten Fällen werden Abschreibungen, Investitionsabzüge, [Steuergutschriften für Forschung und Entwicklung, [Abzüge für Einkünfte aus Patenten, Abzüge für Einkünfte aus Innovationen,] Abzüge für Risikokapital,] [Kapitalzuschüsse], </w:t>
      </w:r>
      <w:r w:rsidR="00497719" w:rsidRPr="009118AB">
        <w:t xml:space="preserve">[überschüssige Fremdkapitalkosten, die in einem der vorhergehenden Besteuerungszeiträume nicht als Werbungskosten in Betracht gekommen sind,] </w:t>
      </w:r>
      <w:r w:rsidRPr="009118AB">
        <w:t>Minder- oder Mehrwerte, die bei den übernehmenden oder begünstigten Gesellschaften in Bezug auf die bei ihnen eingebrachten Bestandteile zu berücksichtigen sind, und das eingezahlte Kapital bestimmt, als ob die Fusion oder Aufspaltung nicht stattgefunden hätte.</w:t>
      </w:r>
    </w:p>
    <w:p w14:paraId="2B0AF050" w14:textId="77777777" w:rsidR="0031458F" w:rsidRPr="009118AB" w:rsidRDefault="0031458F" w:rsidP="0031458F">
      <w:pPr>
        <w:autoSpaceDE w:val="0"/>
        <w:autoSpaceDN w:val="0"/>
        <w:adjustRightInd w:val="0"/>
        <w:jc w:val="both"/>
      </w:pPr>
    </w:p>
    <w:p w14:paraId="5DB2039A" w14:textId="77777777" w:rsidR="0031458F" w:rsidRPr="009118AB" w:rsidRDefault="0031458F" w:rsidP="0031458F">
      <w:pPr>
        <w:autoSpaceDE w:val="0"/>
        <w:autoSpaceDN w:val="0"/>
        <w:adjustRightInd w:val="0"/>
        <w:jc w:val="both"/>
      </w:pPr>
      <w:r w:rsidRPr="009118AB">
        <w:tab/>
        <w:t>In denselben Fällen bleiben die Bestimmungen des vorliegenden Gesetzbuches auf die Weise und unter den Bedingungen, die darin vorgesehen sind, anwendbar auf Wertminderungen, Rückstellungen, Unterbewertungen, Überbewertungen, [Kapitalzuschüsse], Forderungen, Mehrwerte und Rücklagen, die in den übertragenden oder aufgespaltenen Gesellschaften bestanden, in dem Maße, wie diese Bestandteile in den Aktiva der übernehmenden oder begünstigten Gesellschaften wieder zu finden sind; die Fusion oder Aufspaltung darf keine Verlängerung der ursprünglich vorgesehenen Wiederanlagefrist der Mehrwerte, die dieser Bedingung unterliegen, zur Folge haben.]</w:t>
      </w:r>
    </w:p>
    <w:p w14:paraId="11412349" w14:textId="77777777" w:rsidR="000A230E" w:rsidRPr="009118AB" w:rsidRDefault="000A230E" w:rsidP="0031458F">
      <w:pPr>
        <w:autoSpaceDE w:val="0"/>
        <w:autoSpaceDN w:val="0"/>
        <w:adjustRightInd w:val="0"/>
        <w:jc w:val="both"/>
      </w:pPr>
    </w:p>
    <w:p w14:paraId="0AF3500F" w14:textId="28BFCD73" w:rsidR="0031458F" w:rsidRPr="009118AB" w:rsidRDefault="0031458F" w:rsidP="0031458F">
      <w:pPr>
        <w:autoSpaceDE w:val="0"/>
        <w:autoSpaceDN w:val="0"/>
        <w:adjustRightInd w:val="0"/>
        <w:jc w:val="both"/>
      </w:pPr>
      <w:r w:rsidRPr="009118AB">
        <w:tab/>
        <w:t xml:space="preserve">[Für die Anwendung des vorliegenden Gesetzbuches werden die in Artikel 211 </w:t>
      </w:r>
      <w:r w:rsidR="00D67EB8" w:rsidRPr="009118AB">
        <w:t>§ </w:t>
      </w:r>
      <w:r w:rsidRPr="009118AB">
        <w:t xml:space="preserve">1 Absatz 1 </w:t>
      </w:r>
      <w:r w:rsidR="00D67EB8" w:rsidRPr="009118AB">
        <w:t>Nr. </w:t>
      </w:r>
      <w:r w:rsidRPr="009118AB">
        <w:t xml:space="preserve">1 erwähnten Mehrwerte, die bei diesem Vorgang verwirklicht oder festgestellt werden, als nicht verwirklicht betrachtet.] [Sofern diese Mehrwerte aufgezeichnet werden, werden sie mit den in Artikel 44 </w:t>
      </w:r>
      <w:r w:rsidR="00D67EB8" w:rsidRPr="009118AB">
        <w:t>§ </w:t>
      </w:r>
      <w:r w:rsidRPr="009118AB">
        <w:t xml:space="preserve">1 </w:t>
      </w:r>
      <w:r w:rsidR="00D67EB8" w:rsidRPr="009118AB">
        <w:t>Nr. </w:t>
      </w:r>
      <w:r w:rsidRPr="009118AB">
        <w:t>1 erwähnten aufgezeichneten, nicht verwirklichten Mehrwerten gleichgesetzt.]</w:t>
      </w:r>
    </w:p>
    <w:p w14:paraId="33530D31" w14:textId="77777777" w:rsidR="0031458F" w:rsidRPr="009118AB" w:rsidRDefault="0031458F" w:rsidP="0031458F">
      <w:pPr>
        <w:autoSpaceDE w:val="0"/>
        <w:autoSpaceDN w:val="0"/>
        <w:adjustRightInd w:val="0"/>
        <w:jc w:val="both"/>
      </w:pPr>
    </w:p>
    <w:p w14:paraId="142DDE0E" w14:textId="0EABEBA3" w:rsidR="0031458F" w:rsidRPr="009118AB" w:rsidRDefault="0031458F" w:rsidP="0031458F">
      <w:pPr>
        <w:autoSpaceDE w:val="0"/>
        <w:autoSpaceDN w:val="0"/>
        <w:adjustRightInd w:val="0"/>
        <w:jc w:val="both"/>
      </w:pPr>
      <w:r w:rsidRPr="009118AB">
        <w:rPr>
          <w:i/>
          <w:iCs/>
        </w:rPr>
        <w:t>[</w:t>
      </w:r>
      <w:r w:rsidR="00D67EB8" w:rsidRPr="009118AB">
        <w:rPr>
          <w:i/>
          <w:iCs/>
        </w:rPr>
        <w:t>Art. </w:t>
      </w:r>
      <w:r w:rsidRPr="009118AB">
        <w:rPr>
          <w:i/>
          <w:iCs/>
        </w:rPr>
        <w:t xml:space="preserve">212 ersetzt durch </w:t>
      </w:r>
      <w:r w:rsidR="00D67EB8" w:rsidRPr="009118AB">
        <w:rPr>
          <w:i/>
          <w:iCs/>
        </w:rPr>
        <w:t>Art. </w:t>
      </w:r>
      <w:r w:rsidRPr="009118AB">
        <w:rPr>
          <w:i/>
          <w:iCs/>
        </w:rPr>
        <w:t>4 des G. vom 6. August 1993 (II) (B.S. vom 31. A</w:t>
      </w:r>
      <w:r w:rsidR="00D27B17" w:rsidRPr="009118AB">
        <w:rPr>
          <w:i/>
          <w:iCs/>
        </w:rPr>
        <w:t>ugust 1993)</w:t>
      </w:r>
      <w:r w:rsidR="00D67EB8" w:rsidRPr="009118AB">
        <w:rPr>
          <w:i/>
          <w:iCs/>
        </w:rPr>
        <w:t> - </w:t>
      </w:r>
      <w:r w:rsidRPr="009118AB">
        <w:rPr>
          <w:i/>
          <w:iCs/>
        </w:rPr>
        <w:t>anwendbar auf Vorgänge, die ab dem 1. Oktober 1993 stattfinden</w:t>
      </w:r>
      <w:r w:rsidR="003366D9" w:rsidRPr="009118AB">
        <w:rPr>
          <w:i/>
          <w:iCs/>
        </w:rPr>
        <w:t> -;</w:t>
      </w:r>
      <w:r w:rsidRPr="009118AB">
        <w:rPr>
          <w:i/>
          <w:iCs/>
        </w:rPr>
        <w:t xml:space="preserve"> </w:t>
      </w:r>
      <w:r w:rsidR="00D67EB8" w:rsidRPr="009118AB">
        <w:rPr>
          <w:i/>
          <w:iCs/>
        </w:rPr>
        <w:t>Abs. </w:t>
      </w:r>
      <w:r w:rsidRPr="009118AB">
        <w:rPr>
          <w:i/>
          <w:iCs/>
        </w:rPr>
        <w:t xml:space="preserve">1 abgeändert durch </w:t>
      </w:r>
      <w:r w:rsidR="00D67EB8" w:rsidRPr="009118AB">
        <w:rPr>
          <w:i/>
          <w:iCs/>
        </w:rPr>
        <w:t>Art. </w:t>
      </w:r>
      <w:r w:rsidRPr="009118AB">
        <w:rPr>
          <w:i/>
          <w:iCs/>
        </w:rPr>
        <w:t xml:space="preserve">29 </w:t>
      </w:r>
      <w:r w:rsidR="00D67EB8" w:rsidRPr="009118AB">
        <w:rPr>
          <w:i/>
          <w:iCs/>
        </w:rPr>
        <w:t>Nr. </w:t>
      </w:r>
      <w:r w:rsidRPr="009118AB">
        <w:rPr>
          <w:i/>
          <w:iCs/>
        </w:rPr>
        <w:t>1 des G. vom 22. Dezember 1998 (B.S. vom 15. Januar 1999)</w:t>
      </w:r>
      <w:r w:rsidR="00D67EB8" w:rsidRPr="009118AB">
        <w:rPr>
          <w:i/>
          <w:iCs/>
        </w:rPr>
        <w:t> - </w:t>
      </w:r>
      <w:r w:rsidRPr="009118AB">
        <w:rPr>
          <w:i/>
          <w:iCs/>
        </w:rPr>
        <w:t xml:space="preserve">anwendbar auf Fusions- oder Aufspaltungsvorgänge, die ab dem </w:t>
      </w:r>
      <w:r w:rsidRPr="009118AB">
        <w:rPr>
          <w:i/>
          <w:iCs/>
        </w:rPr>
        <w:lastRenderedPageBreak/>
        <w:t>15. Januar 1999 stattfinden</w:t>
      </w:r>
      <w:r w:rsidR="00FD68E8" w:rsidRPr="009118AB">
        <w:rPr>
          <w:i/>
          <w:iCs/>
        </w:rPr>
        <w:t> -,</w:t>
      </w:r>
      <w:r w:rsidRPr="009118AB">
        <w:rPr>
          <w:i/>
          <w:iCs/>
        </w:rPr>
        <w:t xml:space="preserve"> </w:t>
      </w:r>
      <w:r w:rsidR="00D67EB8" w:rsidRPr="009118AB">
        <w:rPr>
          <w:i/>
          <w:iCs/>
        </w:rPr>
        <w:t>Art. </w:t>
      </w:r>
      <w:r w:rsidRPr="009118AB">
        <w:rPr>
          <w:i/>
          <w:iCs/>
        </w:rPr>
        <w:t xml:space="preserve">21 </w:t>
      </w:r>
      <w:r w:rsidR="00D67EB8" w:rsidRPr="009118AB">
        <w:rPr>
          <w:i/>
          <w:iCs/>
        </w:rPr>
        <w:t>Nr. </w:t>
      </w:r>
      <w:r w:rsidRPr="009118AB">
        <w:rPr>
          <w:i/>
          <w:iCs/>
        </w:rPr>
        <w:t>1 des G. vom 11. Dezember 2008 (B.S. vom 12. Januar 2009)</w:t>
      </w:r>
      <w:r w:rsidR="00D67EB8" w:rsidRPr="009118AB">
        <w:rPr>
          <w:i/>
          <w:iCs/>
        </w:rPr>
        <w:t> - </w:t>
      </w:r>
      <w:r w:rsidRPr="009118AB">
        <w:rPr>
          <w:i/>
          <w:iCs/>
        </w:rPr>
        <w:t>anwendbar ab dem Steuerjahr 2007</w:t>
      </w:r>
      <w:r w:rsidR="00FD68E8" w:rsidRPr="009118AB">
        <w:rPr>
          <w:i/>
          <w:iCs/>
        </w:rPr>
        <w:t> -,</w:t>
      </w:r>
      <w:r w:rsidRPr="009118AB">
        <w:rPr>
          <w:i/>
          <w:iCs/>
        </w:rPr>
        <w:t xml:space="preserve"> </w:t>
      </w:r>
      <w:r w:rsidR="00D67EB8" w:rsidRPr="009118AB">
        <w:rPr>
          <w:i/>
          <w:iCs/>
        </w:rPr>
        <w:t>Art. </w:t>
      </w:r>
      <w:r w:rsidRPr="009118AB">
        <w:rPr>
          <w:i/>
          <w:iCs/>
        </w:rPr>
        <w:t>10</w:t>
      </w:r>
      <w:r w:rsidRPr="009118AB">
        <w:rPr>
          <w:i/>
        </w:rPr>
        <w:t xml:space="preserve"> des G. vom 9. Februar 201</w:t>
      </w:r>
      <w:r w:rsidR="00D27B17" w:rsidRPr="009118AB">
        <w:rPr>
          <w:i/>
        </w:rPr>
        <w:t>7 (B.S. vom 20. Februar 2017)</w:t>
      </w:r>
      <w:r w:rsidR="00D67EB8" w:rsidRPr="009118AB">
        <w:rPr>
          <w:i/>
        </w:rPr>
        <w:t> - </w:t>
      </w:r>
      <w:r w:rsidRPr="009118AB">
        <w:rPr>
          <w:i/>
        </w:rPr>
        <w:t>wirksam mit 1. Juli 2016</w:t>
      </w:r>
      <w:r w:rsidR="00D67EB8" w:rsidRPr="009118AB">
        <w:rPr>
          <w:i/>
        </w:rPr>
        <w:t> - </w:t>
      </w:r>
      <w:r w:rsidR="00497719" w:rsidRPr="009118AB">
        <w:rPr>
          <w:i/>
        </w:rPr>
        <w:t xml:space="preserve">und </w:t>
      </w:r>
      <w:r w:rsidR="00D67EB8" w:rsidRPr="009118AB">
        <w:rPr>
          <w:i/>
        </w:rPr>
        <w:t>Art. </w:t>
      </w:r>
      <w:r w:rsidR="00497719" w:rsidRPr="009118AB">
        <w:rPr>
          <w:i/>
        </w:rPr>
        <w:t>24 des G. vom 2. Mai 2019 (III) (B.S. vom 1</w:t>
      </w:r>
      <w:r w:rsidR="00A00E05" w:rsidRPr="009118AB">
        <w:rPr>
          <w:i/>
        </w:rPr>
        <w:t>5</w:t>
      </w:r>
      <w:r w:rsidR="00497719" w:rsidRPr="009118AB">
        <w:rPr>
          <w:i/>
        </w:rPr>
        <w:t>. Mai 2019)</w:t>
      </w:r>
      <w:r w:rsidR="00D67EB8" w:rsidRPr="009118AB">
        <w:rPr>
          <w:i/>
        </w:rPr>
        <w:t> - </w:t>
      </w:r>
      <w:r w:rsidR="00497719" w:rsidRPr="009118AB">
        <w:rPr>
          <w:i/>
        </w:rPr>
        <w:t>anwendbar ab dem Steuerjahr 2020, das sich auf einen Besteuerungszeitraum bezieht, der frühestens am 1. Januar 2019</w:t>
      </w:r>
      <w:r w:rsidR="003366D9" w:rsidRPr="009118AB">
        <w:rPr>
          <w:i/>
        </w:rPr>
        <w:t> -;</w:t>
      </w:r>
      <w:r w:rsidRPr="009118AB">
        <w:rPr>
          <w:i/>
          <w:iCs/>
        </w:rPr>
        <w:t xml:space="preserve"> </w:t>
      </w:r>
      <w:r w:rsidR="00D67EB8" w:rsidRPr="009118AB">
        <w:rPr>
          <w:i/>
          <w:iCs/>
        </w:rPr>
        <w:t>Abs. </w:t>
      </w:r>
      <w:r w:rsidRPr="009118AB">
        <w:rPr>
          <w:i/>
          <w:iCs/>
        </w:rPr>
        <w:t xml:space="preserve">2 </w:t>
      </w:r>
      <w:r w:rsidRPr="009118AB">
        <w:rPr>
          <w:i/>
          <w:iCs/>
          <w:spacing w:val="2"/>
        </w:rPr>
        <w:t xml:space="preserve">abgeändert durch </w:t>
      </w:r>
      <w:r w:rsidR="00D67EB8" w:rsidRPr="009118AB">
        <w:rPr>
          <w:i/>
          <w:iCs/>
          <w:spacing w:val="2"/>
        </w:rPr>
        <w:t>Art. </w:t>
      </w:r>
      <w:r w:rsidRPr="009118AB">
        <w:rPr>
          <w:i/>
          <w:iCs/>
          <w:spacing w:val="2"/>
        </w:rPr>
        <w:t xml:space="preserve">29 </w:t>
      </w:r>
      <w:r w:rsidR="00D67EB8" w:rsidRPr="009118AB">
        <w:rPr>
          <w:i/>
          <w:iCs/>
          <w:spacing w:val="2"/>
        </w:rPr>
        <w:t>Nr. </w:t>
      </w:r>
      <w:r w:rsidRPr="009118AB">
        <w:rPr>
          <w:i/>
          <w:iCs/>
          <w:spacing w:val="2"/>
        </w:rPr>
        <w:t>2 des G. vom 22. Dezember 1998 (B.S. vom 15. Januar 1999)</w:t>
      </w:r>
      <w:r w:rsidR="00D67EB8" w:rsidRPr="009118AB">
        <w:rPr>
          <w:i/>
          <w:iCs/>
          <w:spacing w:val="2"/>
        </w:rPr>
        <w:t> - </w:t>
      </w:r>
      <w:r w:rsidRPr="009118AB">
        <w:rPr>
          <w:i/>
          <w:iCs/>
          <w:spacing w:val="2"/>
        </w:rPr>
        <w:t>anwendbar auf Fusions- oder Aufspaltungsvorgänge, die ab dem 15. Januar 1999 stattfinden</w:t>
      </w:r>
      <w:r w:rsidR="003366D9" w:rsidRPr="009118AB">
        <w:rPr>
          <w:i/>
          <w:iCs/>
          <w:spacing w:val="2"/>
        </w:rPr>
        <w:t> -;</w:t>
      </w:r>
      <w:r w:rsidRPr="009118AB">
        <w:rPr>
          <w:i/>
          <w:iCs/>
        </w:rPr>
        <w:t xml:space="preserve"> </w:t>
      </w:r>
      <w:r w:rsidR="00D67EB8" w:rsidRPr="009118AB">
        <w:rPr>
          <w:i/>
          <w:iCs/>
        </w:rPr>
        <w:t>Abs. </w:t>
      </w:r>
      <w:r w:rsidRPr="009118AB">
        <w:rPr>
          <w:i/>
          <w:iCs/>
        </w:rPr>
        <w:t xml:space="preserve">3 eingefügt durch </w:t>
      </w:r>
      <w:r w:rsidR="00D67EB8" w:rsidRPr="009118AB">
        <w:rPr>
          <w:i/>
          <w:iCs/>
        </w:rPr>
        <w:t>Art. </w:t>
      </w:r>
      <w:r w:rsidRPr="009118AB">
        <w:rPr>
          <w:i/>
          <w:iCs/>
        </w:rPr>
        <w:t xml:space="preserve">29 </w:t>
      </w:r>
      <w:r w:rsidR="00D67EB8" w:rsidRPr="009118AB">
        <w:rPr>
          <w:i/>
          <w:iCs/>
        </w:rPr>
        <w:t>Nr. </w:t>
      </w:r>
      <w:r w:rsidRPr="009118AB">
        <w:rPr>
          <w:i/>
          <w:iCs/>
        </w:rPr>
        <w:t>3 des G. vom 22. Dezember 1998 (B.S. vom 15. Januar 1999)</w:t>
      </w:r>
      <w:r w:rsidR="00D67EB8" w:rsidRPr="009118AB">
        <w:rPr>
          <w:i/>
          <w:iCs/>
        </w:rPr>
        <w:t> - </w:t>
      </w:r>
      <w:r w:rsidRPr="009118AB">
        <w:rPr>
          <w:i/>
          <w:iCs/>
        </w:rPr>
        <w:t>anwendbar auf Fusions- oder Aufspaltungsvorgänge, die ab dem 1. Oktober 1993 stattfinden</w:t>
      </w:r>
      <w:r w:rsidR="00D67EB8" w:rsidRPr="009118AB">
        <w:rPr>
          <w:i/>
          <w:iCs/>
        </w:rPr>
        <w:t> - </w:t>
      </w:r>
      <w:r w:rsidRPr="009118AB">
        <w:rPr>
          <w:i/>
          <w:iCs/>
        </w:rPr>
        <w:t xml:space="preserve">und ergänzt durch </w:t>
      </w:r>
      <w:r w:rsidR="00D67EB8" w:rsidRPr="009118AB">
        <w:rPr>
          <w:i/>
          <w:iCs/>
        </w:rPr>
        <w:t>Art. </w:t>
      </w:r>
      <w:r w:rsidRPr="009118AB">
        <w:rPr>
          <w:i/>
          <w:iCs/>
        </w:rPr>
        <w:t xml:space="preserve">21 </w:t>
      </w:r>
      <w:r w:rsidR="00D67EB8" w:rsidRPr="009118AB">
        <w:rPr>
          <w:i/>
          <w:iCs/>
        </w:rPr>
        <w:t>Nr. </w:t>
      </w:r>
      <w:r w:rsidRPr="009118AB">
        <w:rPr>
          <w:i/>
          <w:iCs/>
        </w:rPr>
        <w:t>2 des G. vom 11. Dezember 2008 (B.S. vom 12. Januar 2009)</w:t>
      </w:r>
      <w:r w:rsidR="00D67EB8" w:rsidRPr="009118AB">
        <w:rPr>
          <w:i/>
          <w:iCs/>
        </w:rPr>
        <w:t> - </w:t>
      </w:r>
      <w:r w:rsidRPr="009118AB">
        <w:rPr>
          <w:i/>
          <w:iCs/>
        </w:rPr>
        <w:t>anwendbar ab dem Steuerjahr 2009 auf die ab dem 1. Oktober 1993 erfolgten Fusionen, Aufspaltungen und damit gleichgesetzten Vorgänge</w:t>
      </w:r>
      <w:r w:rsidR="00FD68E8" w:rsidRPr="009118AB">
        <w:rPr>
          <w:i/>
          <w:iCs/>
        </w:rPr>
        <w:t> -]</w:t>
      </w:r>
      <w:r w:rsidRPr="009118AB">
        <w:rPr>
          <w:i/>
          <w:iCs/>
        </w:rPr>
        <w:t xml:space="preserve"> </w:t>
      </w:r>
    </w:p>
    <w:p w14:paraId="3EAC7CFA" w14:textId="77777777" w:rsidR="00477B8F" w:rsidRPr="009118AB" w:rsidRDefault="00477B8F" w:rsidP="00477B8F">
      <w:pPr>
        <w:autoSpaceDE w:val="0"/>
        <w:autoSpaceDN w:val="0"/>
        <w:adjustRightInd w:val="0"/>
        <w:jc w:val="both"/>
      </w:pPr>
    </w:p>
    <w:p w14:paraId="7A435E01" w14:textId="77777777" w:rsidR="0031458F" w:rsidRPr="009118AB" w:rsidRDefault="0031458F" w:rsidP="00477B8F">
      <w:pPr>
        <w:autoSpaceDE w:val="0"/>
        <w:autoSpaceDN w:val="0"/>
        <w:adjustRightInd w:val="0"/>
        <w:jc w:val="both"/>
      </w:pPr>
    </w:p>
    <w:p w14:paraId="057A4EBE" w14:textId="7C1168A9" w:rsidR="00154229" w:rsidRPr="009118AB" w:rsidRDefault="00477B8F" w:rsidP="00154229">
      <w:pPr>
        <w:autoSpaceDE w:val="0"/>
        <w:autoSpaceDN w:val="0"/>
        <w:adjustRightInd w:val="0"/>
        <w:jc w:val="both"/>
        <w:rPr>
          <w:iCs/>
        </w:rPr>
      </w:pPr>
      <w:r w:rsidRPr="009118AB">
        <w:tab/>
      </w:r>
      <w:r w:rsidR="00D67EB8" w:rsidRPr="009118AB">
        <w:rPr>
          <w:b/>
          <w:bCs/>
        </w:rPr>
        <w:t>Art. </w:t>
      </w:r>
      <w:r w:rsidRPr="009118AB">
        <w:rPr>
          <w:b/>
          <w:bCs/>
        </w:rPr>
        <w:t>213</w:t>
      </w:r>
      <w:r w:rsidR="00D67EB8" w:rsidRPr="009118AB">
        <w:t> - </w:t>
      </w:r>
      <w:r w:rsidR="00154229" w:rsidRPr="009118AB">
        <w:rPr>
          <w:iCs/>
        </w:rPr>
        <w:t xml:space="preserve">[Zur Festlegung des eingezahlten Kapitals und der vorherigen Gewinnrücklagen, die im Falle einer Aufspaltung bei allen übernehmenden oder begünstigten Gesellschaften zu berücksichtigen sind, und zur Festlegung der in Artikel 211 </w:t>
      </w:r>
      <w:r w:rsidR="00D67EB8" w:rsidRPr="009118AB">
        <w:rPr>
          <w:iCs/>
        </w:rPr>
        <w:t>§ </w:t>
      </w:r>
      <w:r w:rsidR="00154229" w:rsidRPr="009118AB">
        <w:rPr>
          <w:iCs/>
        </w:rPr>
        <w:t>2 erwähnten Herabsetzung gilt, dass diese Gesellschaften das eingezahlte Kapital, die besteuerten und die steuerfreien Rücklagen der aufgespaltenen Gesellschaft proportional zum Nettosteuerwert der Einbringungen, die letztgenannte Gesellschaft zugunsten jeder von ihnen getätigt hat, übernommen oder erhalten haben.]</w:t>
      </w:r>
    </w:p>
    <w:p w14:paraId="402B8499" w14:textId="77777777" w:rsidR="00154229" w:rsidRPr="009118AB" w:rsidRDefault="00154229" w:rsidP="00154229">
      <w:pPr>
        <w:autoSpaceDE w:val="0"/>
        <w:autoSpaceDN w:val="0"/>
        <w:adjustRightInd w:val="0"/>
        <w:jc w:val="both"/>
        <w:rPr>
          <w:iCs/>
        </w:rPr>
      </w:pPr>
    </w:p>
    <w:p w14:paraId="608AB68D" w14:textId="77777777" w:rsidR="00154229" w:rsidRPr="009118AB" w:rsidRDefault="005D5BEB" w:rsidP="00154229">
      <w:pPr>
        <w:autoSpaceDE w:val="0"/>
        <w:autoSpaceDN w:val="0"/>
        <w:adjustRightInd w:val="0"/>
        <w:jc w:val="both"/>
        <w:rPr>
          <w:iCs/>
        </w:rPr>
      </w:pPr>
      <w:r w:rsidRPr="009118AB">
        <w:rPr>
          <w:iCs/>
        </w:rPr>
        <w:tab/>
      </w:r>
      <w:r w:rsidR="00154229" w:rsidRPr="009118AB">
        <w:rPr>
          <w:iCs/>
        </w:rPr>
        <w:t>[Ist der Nettosteuerwert der aufgespaltenen Gesellschaft gleich null, ist Absatz 1 anwendbar unter Berücksichtigung des Nettosteuerwertes der Aktiva, die diese Gesellschaft auf jede der übernehmenden oder begünstigten Gesellschaften übertragen hat.]</w:t>
      </w:r>
    </w:p>
    <w:p w14:paraId="448A1850" w14:textId="77777777" w:rsidR="00154229" w:rsidRPr="009118AB" w:rsidRDefault="00154229" w:rsidP="00154229">
      <w:pPr>
        <w:autoSpaceDE w:val="0"/>
        <w:autoSpaceDN w:val="0"/>
        <w:adjustRightInd w:val="0"/>
        <w:jc w:val="both"/>
        <w:rPr>
          <w:iCs/>
        </w:rPr>
      </w:pPr>
    </w:p>
    <w:p w14:paraId="00D38DC8" w14:textId="616F70C3" w:rsidR="00154229" w:rsidRPr="009118AB" w:rsidRDefault="005D5BEB" w:rsidP="00154229">
      <w:pPr>
        <w:autoSpaceDE w:val="0"/>
        <w:autoSpaceDN w:val="0"/>
        <w:adjustRightInd w:val="0"/>
        <w:jc w:val="both"/>
        <w:rPr>
          <w:iCs/>
        </w:rPr>
      </w:pPr>
      <w:r w:rsidRPr="009118AB">
        <w:rPr>
          <w:iCs/>
        </w:rPr>
        <w:tab/>
      </w:r>
      <w:r w:rsidR="00154229" w:rsidRPr="009118AB">
        <w:rPr>
          <w:iCs/>
        </w:rPr>
        <w:t xml:space="preserve">[Im Falle eines in Artikel 211 </w:t>
      </w:r>
      <w:r w:rsidR="00D67EB8" w:rsidRPr="009118AB">
        <w:rPr>
          <w:iCs/>
        </w:rPr>
        <w:t>§ </w:t>
      </w:r>
      <w:r w:rsidR="00154229" w:rsidRPr="009118AB">
        <w:rPr>
          <w:iCs/>
        </w:rPr>
        <w:t>1 erwähnten mit der Aufspaltung gleichgesetzten Vorgangs gilt die übertragende Gesellschaft für die Anwendung des vorliegenden Gesetzbuches je nach Fall entweder als aufgespaltene Gesellschaft oder als übernehmende oder begünstigte Gesellschaft.]</w:t>
      </w:r>
    </w:p>
    <w:p w14:paraId="4EF2E787" w14:textId="77777777" w:rsidR="00154229" w:rsidRPr="009118AB" w:rsidRDefault="00154229" w:rsidP="00154229">
      <w:pPr>
        <w:autoSpaceDE w:val="0"/>
        <w:autoSpaceDN w:val="0"/>
        <w:adjustRightInd w:val="0"/>
        <w:jc w:val="both"/>
        <w:rPr>
          <w:iCs/>
        </w:rPr>
      </w:pPr>
    </w:p>
    <w:p w14:paraId="57A916E3" w14:textId="08108F70" w:rsidR="00154229" w:rsidRPr="009118AB" w:rsidRDefault="00154229" w:rsidP="00154229">
      <w:pPr>
        <w:autoSpaceDE w:val="0"/>
        <w:autoSpaceDN w:val="0"/>
        <w:adjustRightInd w:val="0"/>
        <w:jc w:val="both"/>
        <w:rPr>
          <w:iCs/>
        </w:rPr>
      </w:pPr>
      <w:r w:rsidRPr="009118AB">
        <w:rPr>
          <w:i/>
          <w:iCs/>
        </w:rPr>
        <w:t>[</w:t>
      </w:r>
      <w:r w:rsidR="00D67EB8" w:rsidRPr="009118AB">
        <w:rPr>
          <w:i/>
          <w:iCs/>
        </w:rPr>
        <w:t>Art. </w:t>
      </w:r>
      <w:r w:rsidRPr="009118AB">
        <w:rPr>
          <w:i/>
          <w:iCs/>
        </w:rPr>
        <w:t xml:space="preserve">213 ersetzt durch </w:t>
      </w:r>
      <w:r w:rsidR="00D67EB8" w:rsidRPr="009118AB">
        <w:rPr>
          <w:i/>
          <w:iCs/>
        </w:rPr>
        <w:t>Art. </w:t>
      </w:r>
      <w:r w:rsidRPr="009118AB">
        <w:rPr>
          <w:i/>
          <w:iCs/>
        </w:rPr>
        <w:t>5 des G. vom 6. August 1993 (I</w:t>
      </w:r>
      <w:r w:rsidR="00D27B17" w:rsidRPr="009118AB">
        <w:rPr>
          <w:i/>
          <w:iCs/>
        </w:rPr>
        <w:t>I) (B.S. vom 31. August 1993)</w:t>
      </w:r>
      <w:r w:rsidR="00D67EB8" w:rsidRPr="009118AB">
        <w:rPr>
          <w:i/>
          <w:iCs/>
        </w:rPr>
        <w:t> - </w:t>
      </w:r>
      <w:r w:rsidRPr="009118AB">
        <w:rPr>
          <w:i/>
          <w:iCs/>
        </w:rPr>
        <w:t>anwendbar auf Vorgänge, die ab dem 1. Oktober 1993 stattfinden</w:t>
      </w:r>
      <w:r w:rsidR="003366D9" w:rsidRPr="009118AB">
        <w:rPr>
          <w:i/>
          <w:iCs/>
        </w:rPr>
        <w:t> -;</w:t>
      </w:r>
      <w:r w:rsidRPr="009118AB">
        <w:rPr>
          <w:i/>
          <w:iCs/>
        </w:rPr>
        <w:t xml:space="preserve"> neuer Absatz</w:t>
      </w:r>
      <w:r w:rsidR="0074561D">
        <w:rPr>
          <w:i/>
          <w:iCs/>
        </w:rPr>
        <w:t> </w:t>
      </w:r>
      <w:r w:rsidRPr="009118AB">
        <w:rPr>
          <w:i/>
          <w:iCs/>
        </w:rPr>
        <w:t xml:space="preserve">2 eingefügt durch </w:t>
      </w:r>
      <w:r w:rsidR="00D67EB8" w:rsidRPr="009118AB">
        <w:rPr>
          <w:i/>
          <w:iCs/>
        </w:rPr>
        <w:t>Art. </w:t>
      </w:r>
      <w:r w:rsidRPr="009118AB">
        <w:rPr>
          <w:i/>
          <w:iCs/>
        </w:rPr>
        <w:t>22</w:t>
      </w:r>
      <w:r w:rsidRPr="009118AB">
        <w:rPr>
          <w:i/>
          <w:iCs/>
          <w:spacing w:val="-5"/>
        </w:rPr>
        <w:t xml:space="preserve"> des G. vom 11. Dezember 2008 (B.S. vom 12. Januar 2009)</w:t>
      </w:r>
      <w:r w:rsidR="00D67EB8" w:rsidRPr="009118AB">
        <w:rPr>
          <w:i/>
          <w:iCs/>
          <w:spacing w:val="-5"/>
        </w:rPr>
        <w:t> - </w:t>
      </w:r>
      <w:r w:rsidRPr="009118AB">
        <w:rPr>
          <w:i/>
          <w:iCs/>
        </w:rPr>
        <w:t>anwendbar auf Vorgänge oder Verlegungen, die ab dem 12. Januar 2009 statt</w:t>
      </w:r>
      <w:r w:rsidRPr="009118AB">
        <w:rPr>
          <w:i/>
          <w:iCs/>
        </w:rPr>
        <w:softHyphen/>
        <w:t>fi</w:t>
      </w:r>
      <w:r w:rsidR="00487D41" w:rsidRPr="009118AB">
        <w:rPr>
          <w:i/>
          <w:iCs/>
        </w:rPr>
        <w:t>nden</w:t>
      </w:r>
      <w:r w:rsidR="003366D9" w:rsidRPr="009118AB">
        <w:rPr>
          <w:i/>
          <w:iCs/>
        </w:rPr>
        <w:t> -;</w:t>
      </w:r>
      <w:r w:rsidR="00487D41" w:rsidRPr="009118AB">
        <w:rPr>
          <w:i/>
          <w:iCs/>
        </w:rPr>
        <w:t xml:space="preserve"> </w:t>
      </w:r>
      <w:r w:rsidR="00D67EB8" w:rsidRPr="009118AB">
        <w:rPr>
          <w:i/>
          <w:iCs/>
        </w:rPr>
        <w:t>Abs. </w:t>
      </w:r>
      <w:r w:rsidR="00487D41" w:rsidRPr="009118AB">
        <w:rPr>
          <w:i/>
          <w:iCs/>
        </w:rPr>
        <w:t>3 (früherer Absatz </w:t>
      </w:r>
      <w:r w:rsidRPr="009118AB">
        <w:rPr>
          <w:i/>
          <w:iCs/>
        </w:rPr>
        <w:t xml:space="preserve">2) eingefügt durch </w:t>
      </w:r>
      <w:r w:rsidR="00D67EB8" w:rsidRPr="009118AB">
        <w:rPr>
          <w:i/>
          <w:iCs/>
        </w:rPr>
        <w:t>Art. </w:t>
      </w:r>
      <w:r w:rsidRPr="009118AB">
        <w:rPr>
          <w:i/>
          <w:iCs/>
        </w:rPr>
        <w:t>14 des G. vom 16. Juli 2001 (B.S. vom 20. Juli 2001)</w:t>
      </w:r>
      <w:r w:rsidR="00D67EB8" w:rsidRPr="009118AB">
        <w:rPr>
          <w:i/>
          <w:iCs/>
        </w:rPr>
        <w:t> - </w:t>
      </w:r>
      <w:r w:rsidRPr="009118AB">
        <w:rPr>
          <w:i/>
          <w:iCs/>
        </w:rPr>
        <w:t>in Kraft ab dem 16. Juli 2001</w:t>
      </w:r>
      <w:r w:rsidR="00FD68E8" w:rsidRPr="009118AB">
        <w:rPr>
          <w:i/>
          <w:iCs/>
        </w:rPr>
        <w:t> -]</w:t>
      </w:r>
    </w:p>
    <w:p w14:paraId="0CDFD68A" w14:textId="77777777" w:rsidR="00154229" w:rsidRPr="009118AB" w:rsidRDefault="00154229" w:rsidP="00154229">
      <w:pPr>
        <w:autoSpaceDE w:val="0"/>
        <w:autoSpaceDN w:val="0"/>
        <w:adjustRightInd w:val="0"/>
        <w:jc w:val="both"/>
      </w:pPr>
    </w:p>
    <w:p w14:paraId="023617F8" w14:textId="77777777" w:rsidR="00154229" w:rsidRPr="009118AB" w:rsidRDefault="00154229" w:rsidP="00154229">
      <w:pPr>
        <w:autoSpaceDE w:val="0"/>
        <w:autoSpaceDN w:val="0"/>
        <w:adjustRightInd w:val="0"/>
        <w:jc w:val="both"/>
      </w:pPr>
    </w:p>
    <w:p w14:paraId="70424288" w14:textId="6647138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214</w:t>
      </w:r>
      <w:r w:rsidR="00D67EB8" w:rsidRPr="009118AB">
        <w:t> - </w:t>
      </w:r>
      <w:r w:rsidRPr="009118AB">
        <w:t>[</w:t>
      </w:r>
      <w:r w:rsidR="00D67EB8" w:rsidRPr="009118AB">
        <w:t>§ </w:t>
      </w:r>
      <w:r w:rsidRPr="009118AB">
        <w:t>1</w:t>
      </w:r>
      <w:r w:rsidR="00D67EB8" w:rsidRPr="009118AB">
        <w:t> - </w:t>
      </w:r>
      <w:r w:rsidR="000A5A43" w:rsidRPr="009118AB">
        <w:t xml:space="preserve">[Artikel 212 ist auf Gesellschaften anwendbar, die in Anwendung von Artikel 210 </w:t>
      </w:r>
      <w:r w:rsidR="00D67EB8" w:rsidRPr="009118AB">
        <w:t>§ </w:t>
      </w:r>
      <w:r w:rsidR="000A5A43" w:rsidRPr="009118AB">
        <w:t xml:space="preserve">1 </w:t>
      </w:r>
      <w:r w:rsidR="00D67EB8" w:rsidRPr="009118AB">
        <w:t>Nr. </w:t>
      </w:r>
      <w:r w:rsidR="000A5A43" w:rsidRPr="009118AB">
        <w:t>3 unter Steuerbefreiung eine andere Rechtsform angenommen haben.]</w:t>
      </w:r>
    </w:p>
    <w:p w14:paraId="38FF5983" w14:textId="77777777" w:rsidR="00477B8F" w:rsidRPr="009118AB" w:rsidRDefault="00477B8F" w:rsidP="00477B8F">
      <w:pPr>
        <w:autoSpaceDE w:val="0"/>
        <w:autoSpaceDN w:val="0"/>
        <w:adjustRightInd w:val="0"/>
        <w:jc w:val="both"/>
      </w:pPr>
    </w:p>
    <w:p w14:paraId="3719DBF8" w14:textId="77777777" w:rsidR="00175D43" w:rsidRPr="009118AB" w:rsidRDefault="00477B8F" w:rsidP="00477B8F">
      <w:pPr>
        <w:autoSpaceDE w:val="0"/>
        <w:autoSpaceDN w:val="0"/>
        <w:adjustRightInd w:val="0"/>
        <w:jc w:val="both"/>
      </w:pPr>
      <w:r w:rsidRPr="009118AB">
        <w:tab/>
        <w:t>Artikel 212 ist ebenfalls anwendbar, wenn Gesellschaften, die in einer der im Handelsgesetzbuch vorgesehenen Formen gegründet worden sind, vor Inkrafttreten des Gesetzes vom 23. Februar 1967 zur Abänderung der koordinierten Gesetze über die Handelsgesellschaften hinsichtlich der Umwandlung von Gesellschaften unter Steuerbefreiung umgewandelt wurden.</w:t>
      </w:r>
    </w:p>
    <w:p w14:paraId="761889B7" w14:textId="77777777" w:rsidR="00C408AC" w:rsidRPr="009118AB" w:rsidRDefault="00C408AC" w:rsidP="00477B8F">
      <w:pPr>
        <w:autoSpaceDE w:val="0"/>
        <w:autoSpaceDN w:val="0"/>
        <w:adjustRightInd w:val="0"/>
        <w:jc w:val="both"/>
      </w:pPr>
    </w:p>
    <w:p w14:paraId="26681C68" w14:textId="3F735FEE"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Artikel 212, in der Fassung nach dem Gesetz vom 22. Dezember 1998 zur Festlegung steuerrechtlicher und anderer Bestimmungen, ist ebenfalls anwendbar im Falle einer </w:t>
      </w:r>
      <w:r w:rsidRPr="009118AB">
        <w:lastRenderedPageBreak/>
        <w:t>Fusion oder einer Aufspaltung von Gesellschaften, die vor dem 1. Oktober 1993 unter Steuerbefreiung stattgefunden hat.</w:t>
      </w:r>
    </w:p>
    <w:p w14:paraId="03167D0E" w14:textId="77777777" w:rsidR="00175D43" w:rsidRPr="009118AB" w:rsidRDefault="00175D43" w:rsidP="00477B8F">
      <w:pPr>
        <w:autoSpaceDE w:val="0"/>
        <w:autoSpaceDN w:val="0"/>
        <w:adjustRightInd w:val="0"/>
      </w:pPr>
    </w:p>
    <w:p w14:paraId="10C82934" w14:textId="0F174600" w:rsidR="00477B8F" w:rsidRPr="009118AB" w:rsidRDefault="00477B8F" w:rsidP="00C408AC">
      <w:pPr>
        <w:autoSpaceDE w:val="0"/>
        <w:autoSpaceDN w:val="0"/>
        <w:adjustRightInd w:val="0"/>
        <w:jc w:val="both"/>
      </w:pPr>
      <w:r w:rsidRPr="009118AB">
        <w:tab/>
      </w:r>
      <w:r w:rsidR="00D67EB8" w:rsidRPr="009118AB">
        <w:t>§ </w:t>
      </w:r>
      <w:r w:rsidRPr="009118AB">
        <w:t>3</w:t>
      </w:r>
      <w:r w:rsidR="00D67EB8" w:rsidRPr="009118AB">
        <w:t> - </w:t>
      </w:r>
      <w:r w:rsidRPr="009118AB">
        <w:t>Für die Anwendung der Artikel 212 und 213 gilt, dass Fusionen, Aufspaltungen, Umwandlungen und Einbringungen eines oder mehrerer Teilbetriebe beziehungsweise eines oder mehrerer Teile einer Tätigkeit oder eines Gesamtvermögens, an denen die übertragenden, aufgespaltenen oder umgewandelten Gesellschaften vorher unter Steuerbefreiung beteiligt waren, nicht stattgefunden haben.]</w:t>
      </w:r>
    </w:p>
    <w:p w14:paraId="69E15C53" w14:textId="77777777" w:rsidR="00477B8F" w:rsidRPr="009118AB" w:rsidRDefault="00477B8F" w:rsidP="00477B8F">
      <w:pPr>
        <w:autoSpaceDE w:val="0"/>
        <w:autoSpaceDN w:val="0"/>
        <w:adjustRightInd w:val="0"/>
        <w:jc w:val="both"/>
      </w:pPr>
    </w:p>
    <w:p w14:paraId="059FC1FC" w14:textId="51E04403" w:rsidR="00477B8F" w:rsidRPr="009118AB" w:rsidRDefault="00477B8F" w:rsidP="00477B8F">
      <w:pPr>
        <w:autoSpaceDE w:val="0"/>
        <w:autoSpaceDN w:val="0"/>
        <w:adjustRightInd w:val="0"/>
        <w:jc w:val="both"/>
        <w:rPr>
          <w:iCs/>
        </w:rPr>
      </w:pPr>
      <w:r w:rsidRPr="009118AB">
        <w:rPr>
          <w:i/>
          <w:iCs/>
        </w:rPr>
        <w:t>[</w:t>
      </w:r>
      <w:r w:rsidR="00D67EB8" w:rsidRPr="009118AB">
        <w:rPr>
          <w:i/>
          <w:iCs/>
        </w:rPr>
        <w:t>Art. </w:t>
      </w:r>
      <w:r w:rsidRPr="009118AB">
        <w:rPr>
          <w:i/>
          <w:iCs/>
        </w:rPr>
        <w:t xml:space="preserve">214 ersetzt durch </w:t>
      </w:r>
      <w:r w:rsidR="00D67EB8" w:rsidRPr="009118AB">
        <w:rPr>
          <w:i/>
          <w:iCs/>
        </w:rPr>
        <w:t>Art. </w:t>
      </w:r>
      <w:r w:rsidRPr="009118AB">
        <w:rPr>
          <w:i/>
          <w:iCs/>
        </w:rPr>
        <w:t>18 des G. vom 4. Mai 1999 (II) (B.S. vom 12. Juni 1999)</w:t>
      </w:r>
      <w:r w:rsidR="00D67EB8" w:rsidRPr="009118AB">
        <w:rPr>
          <w:i/>
          <w:iCs/>
        </w:rPr>
        <w:t> - </w:t>
      </w:r>
      <w:r w:rsidRPr="009118AB">
        <w:rPr>
          <w:i/>
          <w:iCs/>
        </w:rPr>
        <w:t>in Kraft ab dem 18. Dezember 1998</w:t>
      </w:r>
      <w:r w:rsidR="003366D9" w:rsidRPr="009118AB">
        <w:rPr>
          <w:i/>
          <w:iCs/>
        </w:rPr>
        <w:t> -;</w:t>
      </w:r>
      <w:r w:rsidR="000A5A43" w:rsidRPr="009118AB">
        <w:rPr>
          <w:i/>
          <w:iCs/>
        </w:rPr>
        <w:t xml:space="preserve"> </w:t>
      </w:r>
      <w:r w:rsidR="00D67EB8" w:rsidRPr="009118AB">
        <w:rPr>
          <w:i/>
          <w:iCs/>
        </w:rPr>
        <w:t>§ </w:t>
      </w:r>
      <w:r w:rsidR="000A5A43" w:rsidRPr="009118AB">
        <w:rPr>
          <w:i/>
          <w:iCs/>
        </w:rPr>
        <w:t xml:space="preserve">1 </w:t>
      </w:r>
      <w:r w:rsidR="00D67EB8" w:rsidRPr="009118AB">
        <w:rPr>
          <w:i/>
          <w:iCs/>
        </w:rPr>
        <w:t>Abs. </w:t>
      </w:r>
      <w:r w:rsidR="000A5A43" w:rsidRPr="009118AB">
        <w:rPr>
          <w:i/>
          <w:iCs/>
        </w:rPr>
        <w:t xml:space="preserve">1 ersetzt durch </w:t>
      </w:r>
      <w:r w:rsidR="00D67EB8" w:rsidRPr="009118AB">
        <w:rPr>
          <w:i/>
          <w:iCs/>
        </w:rPr>
        <w:t>Art. </w:t>
      </w:r>
      <w:r w:rsidR="000A5A43" w:rsidRPr="009118AB">
        <w:rPr>
          <w:i/>
          <w:iCs/>
        </w:rPr>
        <w:t>46</w:t>
      </w:r>
      <w:r w:rsidR="000A5A43" w:rsidRPr="009118AB">
        <w:rPr>
          <w:i/>
          <w:iCs/>
          <w:spacing w:val="-2"/>
        </w:rPr>
        <w:t xml:space="preserve"> des G. vom 17. März 2019 (III) (B.S. vom 10. Mai 2019)</w:t>
      </w:r>
      <w:r w:rsidR="00D67EB8" w:rsidRPr="009118AB">
        <w:rPr>
          <w:i/>
          <w:iCs/>
          <w:spacing w:val="-2"/>
        </w:rPr>
        <w:t> - </w:t>
      </w:r>
      <w:r w:rsidR="000A5A43" w:rsidRPr="009118AB">
        <w:rPr>
          <w:i/>
          <w:iCs/>
          <w:spacing w:val="-2"/>
        </w:rPr>
        <w:t>in Kraft am 1. Mai 2019</w:t>
      </w:r>
      <w:r w:rsidR="00FD68E8" w:rsidRPr="009118AB">
        <w:rPr>
          <w:i/>
          <w:iCs/>
          <w:spacing w:val="-2"/>
        </w:rPr>
        <w:t> -]</w:t>
      </w:r>
    </w:p>
    <w:p w14:paraId="5CE18E40" w14:textId="77777777" w:rsidR="00065BEB" w:rsidRPr="009118AB" w:rsidRDefault="00065BEB" w:rsidP="00477B8F">
      <w:pPr>
        <w:autoSpaceDE w:val="0"/>
        <w:autoSpaceDN w:val="0"/>
        <w:adjustRightInd w:val="0"/>
        <w:jc w:val="both"/>
        <w:rPr>
          <w:iCs/>
        </w:rPr>
      </w:pPr>
    </w:p>
    <w:p w14:paraId="541B25CF" w14:textId="77777777" w:rsidR="00765011" w:rsidRPr="009118AB" w:rsidRDefault="00765011" w:rsidP="00477B8F">
      <w:pPr>
        <w:autoSpaceDE w:val="0"/>
        <w:autoSpaceDN w:val="0"/>
        <w:adjustRightInd w:val="0"/>
        <w:jc w:val="both"/>
        <w:rPr>
          <w:iCs/>
        </w:rPr>
      </w:pPr>
    </w:p>
    <w:p w14:paraId="30865A01" w14:textId="4746CA35" w:rsidR="00065BEB" w:rsidRPr="009118AB" w:rsidRDefault="005D5BEB" w:rsidP="00065BEB">
      <w:pPr>
        <w:autoSpaceDE w:val="0"/>
        <w:autoSpaceDN w:val="0"/>
        <w:adjustRightInd w:val="0"/>
        <w:jc w:val="both"/>
        <w:rPr>
          <w:iCs/>
        </w:rPr>
      </w:pPr>
      <w:r w:rsidRPr="009118AB">
        <w:rPr>
          <w:iCs/>
        </w:rPr>
        <w:tab/>
      </w:r>
      <w:r w:rsidR="00065BEB" w:rsidRPr="009118AB">
        <w:rPr>
          <w:iCs/>
        </w:rPr>
        <w:t>[</w:t>
      </w:r>
      <w:r w:rsidR="00D67EB8" w:rsidRPr="009118AB">
        <w:rPr>
          <w:b/>
          <w:iCs/>
        </w:rPr>
        <w:t>Art. </w:t>
      </w:r>
      <w:r w:rsidR="00065BEB" w:rsidRPr="009118AB">
        <w:rPr>
          <w:b/>
          <w:iCs/>
        </w:rPr>
        <w:t>214</w:t>
      </w:r>
      <w:r w:rsidR="00065BEB" w:rsidRPr="009118AB">
        <w:rPr>
          <w:b/>
          <w:i/>
          <w:iCs/>
        </w:rPr>
        <w:t>bis</w:t>
      </w:r>
      <w:r w:rsidR="00D67EB8" w:rsidRPr="009118AB">
        <w:rPr>
          <w:iCs/>
        </w:rPr>
        <w:t> - </w:t>
      </w:r>
      <w:r w:rsidR="00065BEB" w:rsidRPr="009118AB">
        <w:rPr>
          <w:iCs/>
        </w:rPr>
        <w:t xml:space="preserve">Ungeachtet von Artikel 210 </w:t>
      </w:r>
      <w:r w:rsidR="00D67EB8" w:rsidRPr="009118AB">
        <w:rPr>
          <w:iCs/>
        </w:rPr>
        <w:t>§ </w:t>
      </w:r>
      <w:r w:rsidR="00065BEB" w:rsidRPr="009118AB">
        <w:rPr>
          <w:iCs/>
        </w:rPr>
        <w:t xml:space="preserve">1 </w:t>
      </w:r>
      <w:r w:rsidR="00D67EB8" w:rsidRPr="009118AB">
        <w:rPr>
          <w:iCs/>
        </w:rPr>
        <w:t>Nr. </w:t>
      </w:r>
      <w:r w:rsidR="00065BEB" w:rsidRPr="009118AB">
        <w:rPr>
          <w:iCs/>
        </w:rPr>
        <w:t xml:space="preserve">4 erfolgt im Falle der Verlegung </w:t>
      </w:r>
      <w:r w:rsidR="000A5A43" w:rsidRPr="009118AB">
        <w:rPr>
          <w:iCs/>
        </w:rPr>
        <w:t>[…]</w:t>
      </w:r>
      <w:r w:rsidR="00065BEB" w:rsidRPr="009118AB">
        <w:rPr>
          <w:iCs/>
        </w:rPr>
        <w:t xml:space="preserve"> der Hauptniederlassung oder des Geschäftsführungs- oder Verwaltungs</w:t>
      </w:r>
      <w:r w:rsidR="00065BEB" w:rsidRPr="009118AB">
        <w:rPr>
          <w:iCs/>
        </w:rPr>
        <w:softHyphen/>
        <w:t xml:space="preserve">sitzes </w:t>
      </w:r>
      <w:r w:rsidR="0076553C" w:rsidRPr="009118AB">
        <w:rPr>
          <w:iCs/>
        </w:rPr>
        <w:t>[</w:t>
      </w:r>
      <w:r w:rsidR="0076553C" w:rsidRPr="009118AB">
        <w:t>durch eine inländische Gesellschaft]</w:t>
      </w:r>
      <w:r w:rsidR="0076553C" w:rsidRPr="009118AB">
        <w:rPr>
          <w:iCs/>
        </w:rPr>
        <w:t xml:space="preserve"> </w:t>
      </w:r>
      <w:r w:rsidR="00065BEB" w:rsidRPr="009118AB">
        <w:rPr>
          <w:iCs/>
        </w:rPr>
        <w:t>in einen anderen Mitgliedstaat der Europäischen Union keine Besteuerung aufgrund von Artikel 208 Absatz 2 oder Artikel 209:</w:t>
      </w:r>
    </w:p>
    <w:p w14:paraId="2D37B01B" w14:textId="77777777" w:rsidR="00065BEB" w:rsidRPr="009118AB" w:rsidRDefault="00065BEB" w:rsidP="00065BEB">
      <w:pPr>
        <w:autoSpaceDE w:val="0"/>
        <w:autoSpaceDN w:val="0"/>
        <w:adjustRightInd w:val="0"/>
        <w:jc w:val="both"/>
        <w:rPr>
          <w:iCs/>
        </w:rPr>
      </w:pPr>
    </w:p>
    <w:p w14:paraId="4C6BCA2F" w14:textId="54B72540" w:rsidR="00065BEB" w:rsidRPr="009118AB" w:rsidRDefault="005D5BEB" w:rsidP="00065BEB">
      <w:pPr>
        <w:autoSpaceDE w:val="0"/>
        <w:autoSpaceDN w:val="0"/>
        <w:adjustRightInd w:val="0"/>
        <w:jc w:val="both"/>
        <w:rPr>
          <w:iCs/>
        </w:rPr>
      </w:pPr>
      <w:r w:rsidRPr="009118AB">
        <w:rPr>
          <w:iCs/>
        </w:rPr>
        <w:tab/>
      </w:r>
      <w:r w:rsidR="00065BEB" w:rsidRPr="009118AB">
        <w:rPr>
          <w:iCs/>
        </w:rPr>
        <w:t xml:space="preserve">- in Bezug auf Bestandteile, die dauerhaft in einer in Artikel 229 </w:t>
      </w:r>
      <w:r w:rsidR="00D67EB8" w:rsidRPr="009118AB">
        <w:rPr>
          <w:iCs/>
        </w:rPr>
        <w:t>§ </w:t>
      </w:r>
      <w:r w:rsidR="00065BEB" w:rsidRPr="009118AB">
        <w:rPr>
          <w:iCs/>
        </w:rPr>
        <w:t>1 erwähnten belgischen Niederlassung belassen werden, über die die Gesellschaft in Belgien verfügt, ob infolge dieses Vorgangs oder nicht, und die zur Erzielung der Ergebnisse dieser Nieder</w:t>
      </w:r>
      <w:r w:rsidR="00065BEB" w:rsidRPr="009118AB">
        <w:rPr>
          <w:iCs/>
        </w:rPr>
        <w:softHyphen/>
        <w:t>lassung beitragen, die in Anwendung von Artikel 233 für die Festlegung der Besteu</w:t>
      </w:r>
      <w:r w:rsidR="00065BEB" w:rsidRPr="009118AB">
        <w:rPr>
          <w:iCs/>
        </w:rPr>
        <w:softHyphen/>
        <w:t>erungsgrundlage berücksichtigt werden,</w:t>
      </w:r>
    </w:p>
    <w:p w14:paraId="5E3846C3" w14:textId="77777777" w:rsidR="00065BEB" w:rsidRPr="009118AB" w:rsidRDefault="00065BEB" w:rsidP="00065BEB">
      <w:pPr>
        <w:autoSpaceDE w:val="0"/>
        <w:autoSpaceDN w:val="0"/>
        <w:adjustRightInd w:val="0"/>
        <w:jc w:val="both"/>
        <w:rPr>
          <w:iCs/>
        </w:rPr>
      </w:pPr>
    </w:p>
    <w:p w14:paraId="2FFF90F1" w14:textId="77777777" w:rsidR="00065BEB" w:rsidRPr="009118AB" w:rsidRDefault="005D5BEB" w:rsidP="00065BEB">
      <w:pPr>
        <w:autoSpaceDE w:val="0"/>
        <w:autoSpaceDN w:val="0"/>
        <w:adjustRightInd w:val="0"/>
        <w:jc w:val="both"/>
        <w:rPr>
          <w:iCs/>
        </w:rPr>
      </w:pPr>
      <w:r w:rsidRPr="009118AB">
        <w:rPr>
          <w:iCs/>
        </w:rPr>
        <w:tab/>
      </w:r>
      <w:r w:rsidR="00065BEB" w:rsidRPr="009118AB">
        <w:rPr>
          <w:iCs/>
        </w:rPr>
        <w:t xml:space="preserve">- in dem Maße, wie die vor dieser Verlegung steuerfreien Rücklagen </w:t>
      </w:r>
      <w:r w:rsidR="0076553C" w:rsidRPr="009118AB">
        <w:rPr>
          <w:iCs/>
        </w:rPr>
        <w:t>[</w:t>
      </w:r>
      <w:r w:rsidR="0076553C" w:rsidRPr="009118AB">
        <w:t>der inländischen Gesellschaft]</w:t>
      </w:r>
      <w:r w:rsidR="00065BEB" w:rsidRPr="009118AB">
        <w:rPr>
          <w:iCs/>
        </w:rPr>
        <w:t>, die nicht einer ausländischen Niederlassung zugerechnet werden, als solche im Eigenkapital der belgischen Niederlassung dieser Gesellschaft wiederzufinden sind.]</w:t>
      </w:r>
    </w:p>
    <w:p w14:paraId="7A6828D1" w14:textId="77777777" w:rsidR="00065BEB" w:rsidRPr="009118AB" w:rsidRDefault="00065BEB" w:rsidP="00065BEB">
      <w:pPr>
        <w:autoSpaceDE w:val="0"/>
        <w:autoSpaceDN w:val="0"/>
        <w:adjustRightInd w:val="0"/>
        <w:jc w:val="both"/>
        <w:rPr>
          <w:iCs/>
        </w:rPr>
      </w:pPr>
    </w:p>
    <w:p w14:paraId="08F2CDC5" w14:textId="7EBC05F5" w:rsidR="00065BEB" w:rsidRPr="009118AB" w:rsidRDefault="00065BEB" w:rsidP="00065BEB">
      <w:pPr>
        <w:autoSpaceDE w:val="0"/>
        <w:autoSpaceDN w:val="0"/>
        <w:adjustRightInd w:val="0"/>
        <w:jc w:val="both"/>
      </w:pPr>
      <w:r w:rsidRPr="009118AB">
        <w:rPr>
          <w:i/>
          <w:iCs/>
        </w:rPr>
        <w:t>[</w:t>
      </w:r>
      <w:r w:rsidR="00D67EB8" w:rsidRPr="009118AB">
        <w:rPr>
          <w:i/>
          <w:iCs/>
        </w:rPr>
        <w:t>Art. </w:t>
      </w:r>
      <w:r w:rsidRPr="009118AB">
        <w:rPr>
          <w:i/>
          <w:iCs/>
        </w:rPr>
        <w:t xml:space="preserve">214bis eingefügt durch </w:t>
      </w:r>
      <w:r w:rsidR="00D67EB8" w:rsidRPr="009118AB">
        <w:rPr>
          <w:i/>
          <w:iCs/>
        </w:rPr>
        <w:t>Art. </w:t>
      </w:r>
      <w:r w:rsidRPr="009118AB">
        <w:rPr>
          <w:i/>
          <w:iCs/>
        </w:rPr>
        <w:t>23</w:t>
      </w:r>
      <w:r w:rsidRPr="009118AB">
        <w:rPr>
          <w:i/>
          <w:iCs/>
          <w:spacing w:val="-5"/>
        </w:rPr>
        <w:t xml:space="preserve"> des G. vom 11. Dezember 2008 (B.S. vom 12. Januar 2009)</w:t>
      </w:r>
      <w:r w:rsidR="00D67EB8" w:rsidRPr="009118AB">
        <w:rPr>
          <w:i/>
          <w:iCs/>
          <w:spacing w:val="-5"/>
        </w:rPr>
        <w:t> - </w:t>
      </w:r>
      <w:r w:rsidRPr="009118AB">
        <w:rPr>
          <w:i/>
          <w:iCs/>
        </w:rPr>
        <w:t>anwendbar auf Vorgänge oder Verlegungen, die ab dem 12. Januar 2009 statt</w:t>
      </w:r>
      <w:r w:rsidRPr="009118AB">
        <w:rPr>
          <w:i/>
          <w:iCs/>
        </w:rPr>
        <w:softHyphen/>
        <w:t>finden</w:t>
      </w:r>
      <w:r w:rsidR="003366D9" w:rsidRPr="009118AB">
        <w:rPr>
          <w:i/>
          <w:iCs/>
        </w:rPr>
        <w:t> -;</w:t>
      </w:r>
      <w:r w:rsidR="0076553C" w:rsidRPr="009118AB">
        <w:rPr>
          <w:i/>
          <w:iCs/>
        </w:rPr>
        <w:t xml:space="preserve"> einziger Absatz einleitende Bestimmung abgeändert durch </w:t>
      </w:r>
      <w:r w:rsidR="00D67EB8" w:rsidRPr="009118AB">
        <w:rPr>
          <w:i/>
          <w:iCs/>
        </w:rPr>
        <w:t>Art. </w:t>
      </w:r>
      <w:r w:rsidR="0076553C" w:rsidRPr="009118AB">
        <w:rPr>
          <w:i/>
          <w:iCs/>
        </w:rPr>
        <w:t xml:space="preserve">47 </w:t>
      </w:r>
      <w:r w:rsidR="00D67EB8" w:rsidRPr="009118AB">
        <w:rPr>
          <w:i/>
          <w:iCs/>
        </w:rPr>
        <w:t>Nr. </w:t>
      </w:r>
      <w:r w:rsidR="0076553C" w:rsidRPr="009118AB">
        <w:rPr>
          <w:i/>
          <w:iCs/>
        </w:rPr>
        <w:t>1 des G. vom 14. April 2011 (B.S. vom 6. Mai 2011)</w:t>
      </w:r>
      <w:r w:rsidR="00D67EB8" w:rsidRPr="009118AB">
        <w:rPr>
          <w:i/>
          <w:iCs/>
        </w:rPr>
        <w:t> - </w:t>
      </w:r>
      <w:r w:rsidR="0076553C" w:rsidRPr="009118AB">
        <w:rPr>
          <w:i/>
          <w:iCs/>
        </w:rPr>
        <w:t>wirksam mit 1. Januar 2011</w:t>
      </w:r>
      <w:r w:rsidR="00D67EB8" w:rsidRPr="009118AB">
        <w:rPr>
          <w:i/>
          <w:iCs/>
        </w:rPr>
        <w:t> - </w:t>
      </w:r>
      <w:r w:rsidR="00E36365" w:rsidRPr="009118AB">
        <w:rPr>
          <w:i/>
          <w:iCs/>
        </w:rPr>
        <w:t xml:space="preserve">und </w:t>
      </w:r>
      <w:r w:rsidR="00D67EB8" w:rsidRPr="009118AB">
        <w:rPr>
          <w:i/>
          <w:iCs/>
        </w:rPr>
        <w:t>Art. </w:t>
      </w:r>
      <w:r w:rsidR="00E36365" w:rsidRPr="009118AB">
        <w:rPr>
          <w:i/>
          <w:iCs/>
        </w:rPr>
        <w:t>47</w:t>
      </w:r>
      <w:r w:rsidR="00E36365" w:rsidRPr="009118AB">
        <w:rPr>
          <w:i/>
          <w:iCs/>
          <w:spacing w:val="-2"/>
        </w:rPr>
        <w:t xml:space="preserve"> des G. vom 17. März 2019 (III) (B.S. vom 10. Mai 2019)</w:t>
      </w:r>
      <w:r w:rsidR="00D67EB8" w:rsidRPr="009118AB">
        <w:rPr>
          <w:i/>
          <w:iCs/>
          <w:spacing w:val="-2"/>
        </w:rPr>
        <w:t> - </w:t>
      </w:r>
      <w:r w:rsidR="00E36365" w:rsidRPr="009118AB">
        <w:rPr>
          <w:i/>
          <w:iCs/>
          <w:spacing w:val="-2"/>
        </w:rPr>
        <w:t>in Kraft am 1. Mai 2019</w:t>
      </w:r>
      <w:r w:rsidR="003366D9" w:rsidRPr="009118AB">
        <w:rPr>
          <w:i/>
          <w:iCs/>
          <w:spacing w:val="-2"/>
        </w:rPr>
        <w:t> -;</w:t>
      </w:r>
      <w:r w:rsidR="0076553C" w:rsidRPr="009118AB">
        <w:rPr>
          <w:i/>
          <w:iCs/>
        </w:rPr>
        <w:t xml:space="preserve"> einziger Absatz zweiter Gedankenstrich abgeändert durch </w:t>
      </w:r>
      <w:r w:rsidR="00D67EB8" w:rsidRPr="009118AB">
        <w:rPr>
          <w:i/>
          <w:iCs/>
        </w:rPr>
        <w:t>Art. </w:t>
      </w:r>
      <w:r w:rsidR="0076553C" w:rsidRPr="009118AB">
        <w:rPr>
          <w:i/>
          <w:iCs/>
        </w:rPr>
        <w:t xml:space="preserve">47 </w:t>
      </w:r>
      <w:r w:rsidR="00D67EB8" w:rsidRPr="009118AB">
        <w:rPr>
          <w:i/>
          <w:iCs/>
        </w:rPr>
        <w:t>Nr. </w:t>
      </w:r>
      <w:r w:rsidR="0076553C" w:rsidRPr="009118AB">
        <w:rPr>
          <w:i/>
          <w:iCs/>
        </w:rPr>
        <w:t>2 des G. vom 14. April 2011 (B.S. vom 6. Mai 2011)</w:t>
      </w:r>
      <w:r w:rsidR="00D67EB8" w:rsidRPr="009118AB">
        <w:rPr>
          <w:i/>
          <w:iCs/>
        </w:rPr>
        <w:t> - </w:t>
      </w:r>
      <w:r w:rsidR="0076553C" w:rsidRPr="009118AB">
        <w:rPr>
          <w:i/>
          <w:iCs/>
        </w:rPr>
        <w:t>wirksam mit 1. Januar 2011</w:t>
      </w:r>
      <w:r w:rsidR="00FD68E8" w:rsidRPr="009118AB">
        <w:rPr>
          <w:i/>
          <w:iCs/>
        </w:rPr>
        <w:t> -]</w:t>
      </w:r>
    </w:p>
    <w:p w14:paraId="65CCAB26" w14:textId="4061EC7A" w:rsidR="00477B8F" w:rsidRPr="009118AB" w:rsidRDefault="00477B8F" w:rsidP="00477B8F">
      <w:pPr>
        <w:autoSpaceDE w:val="0"/>
        <w:autoSpaceDN w:val="0"/>
        <w:adjustRightInd w:val="0"/>
        <w:jc w:val="center"/>
      </w:pPr>
      <w:r w:rsidRPr="009118AB">
        <w:br w:type="page"/>
      </w:r>
      <w:r w:rsidR="00BF28DD" w:rsidRPr="009118AB">
        <w:rPr>
          <w:b/>
          <w:bCs/>
        </w:rPr>
        <w:lastRenderedPageBreak/>
        <w:t>KAPITEL </w:t>
      </w:r>
      <w:r w:rsidR="007828ED" w:rsidRPr="009118AB">
        <w:rPr>
          <w:b/>
          <w:bCs/>
        </w:rPr>
        <w:t>3</w:t>
      </w:r>
      <w:r w:rsidR="00D67EB8" w:rsidRPr="009118AB">
        <w:t> - </w:t>
      </w:r>
      <w:r w:rsidRPr="009118AB">
        <w:rPr>
          <w:i/>
          <w:iCs/>
        </w:rPr>
        <w:t>Steuerberechnung</w:t>
      </w:r>
    </w:p>
    <w:p w14:paraId="77CEAD90" w14:textId="77777777" w:rsidR="00477B8F" w:rsidRPr="009118AB" w:rsidRDefault="00477B8F" w:rsidP="00477B8F">
      <w:pPr>
        <w:autoSpaceDE w:val="0"/>
        <w:autoSpaceDN w:val="0"/>
        <w:adjustRightInd w:val="0"/>
        <w:jc w:val="center"/>
      </w:pPr>
    </w:p>
    <w:p w14:paraId="4EE56892" w14:textId="77777777" w:rsidR="00477B8F" w:rsidRPr="009118AB" w:rsidRDefault="00477B8F" w:rsidP="00477B8F">
      <w:pPr>
        <w:autoSpaceDE w:val="0"/>
        <w:autoSpaceDN w:val="0"/>
        <w:adjustRightInd w:val="0"/>
        <w:jc w:val="center"/>
      </w:pPr>
    </w:p>
    <w:p w14:paraId="51E97B3C" w14:textId="011F35FA" w:rsidR="00477B8F" w:rsidRPr="009118AB" w:rsidRDefault="00477B8F" w:rsidP="00477B8F">
      <w:pPr>
        <w:autoSpaceDE w:val="0"/>
        <w:autoSpaceDN w:val="0"/>
        <w:adjustRightInd w:val="0"/>
        <w:jc w:val="center"/>
      </w:pPr>
      <w:r w:rsidRPr="009118AB">
        <w:rPr>
          <w:i/>
          <w:iCs/>
        </w:rPr>
        <w:t>Abschnitt </w:t>
      </w:r>
      <w:r w:rsidR="00D74862" w:rsidRPr="009118AB">
        <w:rPr>
          <w:i/>
          <w:iCs/>
        </w:rPr>
        <w:t>1</w:t>
      </w:r>
      <w:r w:rsidR="00D67EB8" w:rsidRPr="009118AB">
        <w:t> - </w:t>
      </w:r>
      <w:r w:rsidRPr="009118AB">
        <w:t>Gewöhnliches Besteuerungssystem</w:t>
      </w:r>
    </w:p>
    <w:p w14:paraId="0529909B" w14:textId="77777777" w:rsidR="00477B8F" w:rsidRPr="009118AB" w:rsidRDefault="00477B8F" w:rsidP="00477B8F">
      <w:pPr>
        <w:autoSpaceDE w:val="0"/>
        <w:autoSpaceDN w:val="0"/>
        <w:adjustRightInd w:val="0"/>
        <w:jc w:val="center"/>
      </w:pPr>
    </w:p>
    <w:p w14:paraId="269D3BB0" w14:textId="77777777" w:rsidR="00477B8F" w:rsidRPr="009118AB" w:rsidRDefault="00477B8F" w:rsidP="00477B8F">
      <w:pPr>
        <w:autoSpaceDE w:val="0"/>
        <w:autoSpaceDN w:val="0"/>
        <w:adjustRightInd w:val="0"/>
        <w:jc w:val="center"/>
      </w:pPr>
    </w:p>
    <w:p w14:paraId="79079D4F" w14:textId="625D94BE" w:rsidR="00477B8F" w:rsidRPr="009118AB" w:rsidRDefault="00477B8F" w:rsidP="00477B8F">
      <w:pPr>
        <w:autoSpaceDE w:val="0"/>
        <w:autoSpaceDN w:val="0"/>
        <w:adjustRightInd w:val="0"/>
        <w:jc w:val="center"/>
      </w:pPr>
      <w:r w:rsidRPr="009118AB">
        <w:t>Unterabschnitt </w:t>
      </w:r>
      <w:r w:rsidR="00D74862" w:rsidRPr="009118AB">
        <w:t>1</w:t>
      </w:r>
      <w:r w:rsidR="00D67EB8" w:rsidRPr="009118AB">
        <w:t> - </w:t>
      </w:r>
      <w:r w:rsidRPr="009118AB">
        <w:t>Steuersätze</w:t>
      </w:r>
    </w:p>
    <w:p w14:paraId="342ADFC1" w14:textId="77777777" w:rsidR="00477B8F" w:rsidRPr="009118AB" w:rsidRDefault="00477B8F" w:rsidP="00477B8F">
      <w:pPr>
        <w:autoSpaceDE w:val="0"/>
        <w:autoSpaceDN w:val="0"/>
        <w:adjustRightInd w:val="0"/>
        <w:jc w:val="center"/>
      </w:pPr>
    </w:p>
    <w:p w14:paraId="6BD6B2EC" w14:textId="77777777" w:rsidR="00477B8F" w:rsidRPr="009118AB" w:rsidRDefault="00477B8F" w:rsidP="00477B8F">
      <w:pPr>
        <w:autoSpaceDE w:val="0"/>
        <w:autoSpaceDN w:val="0"/>
        <w:adjustRightInd w:val="0"/>
        <w:jc w:val="center"/>
      </w:pPr>
    </w:p>
    <w:p w14:paraId="269AF056" w14:textId="5A8B4D4D" w:rsidR="000A230E" w:rsidRPr="009118AB" w:rsidRDefault="00477B8F" w:rsidP="00532023">
      <w:pPr>
        <w:jc w:val="both"/>
        <w:rPr>
          <w:iCs/>
        </w:rPr>
      </w:pPr>
      <w:r w:rsidRPr="009118AB">
        <w:tab/>
      </w:r>
      <w:r w:rsidR="00D67EB8" w:rsidRPr="009118AB">
        <w:rPr>
          <w:b/>
          <w:bCs/>
        </w:rPr>
        <w:t>Art. </w:t>
      </w:r>
      <w:r w:rsidRPr="009118AB">
        <w:rPr>
          <w:b/>
          <w:bCs/>
        </w:rPr>
        <w:t>215</w:t>
      </w:r>
      <w:r w:rsidR="00D67EB8" w:rsidRPr="009118AB">
        <w:t> - </w:t>
      </w:r>
      <w:r w:rsidR="000A230E" w:rsidRPr="009118AB">
        <w:rPr>
          <w:iCs/>
        </w:rPr>
        <w:t>[Der Gesellschaftssteuersatz wird auf [25 Prozent] festgelegt.]</w:t>
      </w:r>
    </w:p>
    <w:p w14:paraId="2102DC99" w14:textId="77777777" w:rsidR="000A230E" w:rsidRPr="009118AB" w:rsidRDefault="000A230E" w:rsidP="000A230E">
      <w:pPr>
        <w:autoSpaceDE w:val="0"/>
        <w:autoSpaceDN w:val="0"/>
        <w:adjustRightInd w:val="0"/>
        <w:jc w:val="both"/>
        <w:rPr>
          <w:iCs/>
        </w:rPr>
      </w:pPr>
    </w:p>
    <w:p w14:paraId="05D5ACC2" w14:textId="5870F9AF" w:rsidR="000A230E" w:rsidRPr="009118AB" w:rsidRDefault="000A230E" w:rsidP="00532023">
      <w:pPr>
        <w:autoSpaceDE w:val="0"/>
        <w:autoSpaceDN w:val="0"/>
        <w:adjustRightInd w:val="0"/>
        <w:ind w:firstLine="709"/>
        <w:jc w:val="both"/>
        <w:rPr>
          <w:iCs/>
        </w:rPr>
      </w:pPr>
      <w:r w:rsidRPr="009118AB">
        <w:rPr>
          <w:iCs/>
        </w:rPr>
        <w:t xml:space="preserve">[Für Gesellschaften, die </w:t>
      </w:r>
      <w:r w:rsidR="00B818A6" w:rsidRPr="009118AB">
        <w:rPr>
          <w:iCs/>
        </w:rPr>
        <w:t>[...</w:t>
      </w:r>
      <w:r w:rsidR="00E36365" w:rsidRPr="009118AB">
        <w:t xml:space="preserve">] </w:t>
      </w:r>
      <w:r w:rsidRPr="009118AB">
        <w:rPr>
          <w:iCs/>
        </w:rPr>
        <w:t>als kleine Gesellschaften gelten, wird der Steuersatz auf den ersten Teilbetrag von 0 bis 100.000 EUR jedoch auf 20 Prozent festgelegt.]</w:t>
      </w:r>
    </w:p>
    <w:p w14:paraId="7151336A" w14:textId="77777777" w:rsidR="000A230E" w:rsidRPr="009118AB" w:rsidRDefault="000A230E" w:rsidP="000A230E">
      <w:pPr>
        <w:autoSpaceDE w:val="0"/>
        <w:autoSpaceDN w:val="0"/>
        <w:adjustRightInd w:val="0"/>
        <w:jc w:val="both"/>
        <w:rPr>
          <w:iCs/>
        </w:rPr>
      </w:pPr>
    </w:p>
    <w:p w14:paraId="532E5867" w14:textId="77777777" w:rsidR="000A230E" w:rsidRPr="009118AB" w:rsidRDefault="000A230E" w:rsidP="00532023">
      <w:pPr>
        <w:autoSpaceDE w:val="0"/>
        <w:autoSpaceDN w:val="0"/>
        <w:adjustRightInd w:val="0"/>
        <w:ind w:firstLine="709"/>
        <w:jc w:val="both"/>
        <w:rPr>
          <w:iCs/>
        </w:rPr>
      </w:pPr>
      <w:r w:rsidRPr="009118AB">
        <w:rPr>
          <w:iCs/>
        </w:rPr>
        <w:t>Absatz 2 ist nicht anwendbar:</w:t>
      </w:r>
    </w:p>
    <w:p w14:paraId="34023AAA" w14:textId="77777777" w:rsidR="000A230E" w:rsidRPr="009118AB" w:rsidRDefault="000A230E" w:rsidP="000A230E">
      <w:pPr>
        <w:autoSpaceDE w:val="0"/>
        <w:autoSpaceDN w:val="0"/>
        <w:adjustRightInd w:val="0"/>
        <w:jc w:val="both"/>
        <w:rPr>
          <w:iCs/>
        </w:rPr>
      </w:pPr>
    </w:p>
    <w:p w14:paraId="54915E07" w14:textId="73A308C1" w:rsidR="000A230E" w:rsidRPr="009118AB" w:rsidRDefault="000A230E" w:rsidP="00532023">
      <w:pPr>
        <w:autoSpaceDE w:val="0"/>
        <w:autoSpaceDN w:val="0"/>
        <w:adjustRightInd w:val="0"/>
        <w:ind w:firstLine="709"/>
        <w:jc w:val="both"/>
        <w:rPr>
          <w:iCs/>
        </w:rPr>
      </w:pPr>
      <w:r w:rsidRPr="009118AB">
        <w:rPr>
          <w:iCs/>
        </w:rPr>
        <w:t xml:space="preserve">1. [auf Gesellschaften, die </w:t>
      </w:r>
      <w:r w:rsidR="00E36365" w:rsidRPr="009118AB">
        <w:rPr>
          <w:iCs/>
        </w:rPr>
        <w:t>[</w:t>
      </w:r>
      <w:r w:rsidR="00E36365" w:rsidRPr="009118AB">
        <w:t>keine gemäß Artikel 8:4 des Gesetzbuches der Gesellschaften und Vereinigungen zugelassenen Genossenschaften</w:t>
      </w:r>
      <w:r w:rsidR="00E36365" w:rsidRPr="009118AB">
        <w:rPr>
          <w:iCs/>
        </w:rPr>
        <w:t>]</w:t>
      </w:r>
      <w:r w:rsidRPr="009118AB">
        <w:rPr>
          <w:iCs/>
        </w:rPr>
        <w:t xml:space="preserve"> sind, die Aktien oder Anteile besitzen, deren Investitionswert mehr als 50 Prozent entweder des neu bewerteten Wertes des eingezahlten Kapitals oder des um die besteuerten Rücklagen und die gebuchten Mehrwerte erhöhten eingezahlten Kapitals beträgt. Berücksichtigt werden der Wert der Aktien oder Anteile und der Betrag des eingezahlten Kapitals, der Rücklagen und der Mehrwerte an dem Tag, an dem die Gesellschaft, die die Aktien oder Anteile besitzt, den Jahresabschluss aufgestellt hat. Bei der Bestimmung, ob die Grenze von 50 Prozent überschritten ist, werden Aktien oder Anteile nicht berücksichtigt, die mindestens 75 Prozent des eingezahlten Kapitals der Gesellschaft vertreten, die die Aktien oder Anteile ausgegeben hat,]</w:t>
      </w:r>
    </w:p>
    <w:p w14:paraId="67D11D50" w14:textId="77777777" w:rsidR="000A230E" w:rsidRPr="009118AB" w:rsidRDefault="000A230E" w:rsidP="000A230E">
      <w:pPr>
        <w:autoSpaceDE w:val="0"/>
        <w:autoSpaceDN w:val="0"/>
        <w:adjustRightInd w:val="0"/>
        <w:jc w:val="both"/>
        <w:rPr>
          <w:iCs/>
        </w:rPr>
      </w:pPr>
    </w:p>
    <w:p w14:paraId="5C5E800B" w14:textId="7A39F127" w:rsidR="000A230E" w:rsidRPr="009118AB" w:rsidRDefault="000A230E" w:rsidP="00532023">
      <w:pPr>
        <w:autoSpaceDE w:val="0"/>
        <w:autoSpaceDN w:val="0"/>
        <w:adjustRightInd w:val="0"/>
        <w:ind w:firstLine="709"/>
        <w:jc w:val="both"/>
        <w:rPr>
          <w:iCs/>
        </w:rPr>
      </w:pPr>
      <w:r w:rsidRPr="009118AB">
        <w:rPr>
          <w:iCs/>
        </w:rPr>
        <w:t xml:space="preserve">2. auf Gesellschaften, die </w:t>
      </w:r>
      <w:r w:rsidR="00E36365" w:rsidRPr="009118AB">
        <w:rPr>
          <w:iCs/>
        </w:rPr>
        <w:t>[</w:t>
      </w:r>
      <w:r w:rsidR="00E36365" w:rsidRPr="009118AB">
        <w:t>keine gemäß Artikel 8:4 des Gesetzbuches der Gesellschaften und Vereinigungen zugelassenen Genossenschaften</w:t>
      </w:r>
      <w:r w:rsidR="00E36365" w:rsidRPr="009118AB">
        <w:rPr>
          <w:iCs/>
        </w:rPr>
        <w:t>]</w:t>
      </w:r>
      <w:r w:rsidRPr="009118AB">
        <w:rPr>
          <w:iCs/>
        </w:rPr>
        <w:t xml:space="preserve"> sind, deren Aktien oder Anteile, die das </w:t>
      </w:r>
      <w:r w:rsidR="00E36365" w:rsidRPr="009118AB">
        <w:rPr>
          <w:iCs/>
        </w:rPr>
        <w:t>[K</w:t>
      </w:r>
      <w:r w:rsidRPr="009118AB">
        <w:rPr>
          <w:iCs/>
        </w:rPr>
        <w:t>apital</w:t>
      </w:r>
      <w:r w:rsidR="00E36365" w:rsidRPr="009118AB">
        <w:rPr>
          <w:iCs/>
        </w:rPr>
        <w:t>]</w:t>
      </w:r>
      <w:r w:rsidRPr="009118AB">
        <w:rPr>
          <w:iCs/>
        </w:rPr>
        <w:t xml:space="preserve"> vertreten, mindestens zur Hälfte im Besitz einer oder mehrerer anderer Gesellschaften sind,</w:t>
      </w:r>
    </w:p>
    <w:p w14:paraId="30631B1C" w14:textId="77777777" w:rsidR="000A230E" w:rsidRPr="009118AB" w:rsidRDefault="000A230E" w:rsidP="000A230E">
      <w:pPr>
        <w:autoSpaceDE w:val="0"/>
        <w:autoSpaceDN w:val="0"/>
        <w:adjustRightInd w:val="0"/>
        <w:jc w:val="both"/>
        <w:rPr>
          <w:iCs/>
        </w:rPr>
      </w:pPr>
    </w:p>
    <w:p w14:paraId="6513D756" w14:textId="77777777" w:rsidR="000A230E" w:rsidRPr="009118AB" w:rsidRDefault="000A230E" w:rsidP="00532023">
      <w:pPr>
        <w:autoSpaceDE w:val="0"/>
        <w:autoSpaceDN w:val="0"/>
        <w:adjustRightInd w:val="0"/>
        <w:ind w:firstLine="709"/>
        <w:jc w:val="both"/>
        <w:rPr>
          <w:iCs/>
        </w:rPr>
      </w:pPr>
      <w:r w:rsidRPr="009118AB">
        <w:rPr>
          <w:iCs/>
        </w:rPr>
        <w:t>3. [...]</w:t>
      </w:r>
    </w:p>
    <w:p w14:paraId="4538FA19" w14:textId="77777777" w:rsidR="000A230E" w:rsidRPr="009118AB" w:rsidRDefault="000A230E" w:rsidP="000A230E">
      <w:pPr>
        <w:autoSpaceDE w:val="0"/>
        <w:autoSpaceDN w:val="0"/>
        <w:adjustRightInd w:val="0"/>
        <w:jc w:val="both"/>
        <w:rPr>
          <w:iCs/>
        </w:rPr>
      </w:pPr>
    </w:p>
    <w:p w14:paraId="35DF7496" w14:textId="539478C7" w:rsidR="000A230E" w:rsidRPr="009118AB" w:rsidRDefault="00440E18" w:rsidP="00532023">
      <w:pPr>
        <w:autoSpaceDE w:val="0"/>
        <w:autoSpaceDN w:val="0"/>
        <w:adjustRightInd w:val="0"/>
        <w:ind w:firstLine="709"/>
        <w:jc w:val="both"/>
        <w:rPr>
          <w:iCs/>
        </w:rPr>
      </w:pPr>
      <w:r w:rsidRPr="009118AB">
        <w:rPr>
          <w:iCs/>
        </w:rPr>
        <w:t xml:space="preserve">[4. [auf Gesellschaften, die </w:t>
      </w:r>
      <w:r w:rsidR="00E36365" w:rsidRPr="009118AB">
        <w:rPr>
          <w:iCs/>
        </w:rPr>
        <w:t>[</w:t>
      </w:r>
      <w:r w:rsidR="00E36365" w:rsidRPr="009118AB">
        <w:t>keine gemäß Artikel 8:4 des Gesetzbuches der Gesellschaften und Vereinigungen zugelassenen Genossenschaften</w:t>
      </w:r>
      <w:r w:rsidR="00E36365" w:rsidRPr="009118AB">
        <w:rPr>
          <w:iCs/>
        </w:rPr>
        <w:t>]</w:t>
      </w:r>
      <w:r w:rsidRPr="009118AB">
        <w:rPr>
          <w:iCs/>
        </w:rPr>
        <w:t xml:space="preserve"> und keine in Artikel 219</w:t>
      </w:r>
      <w:r w:rsidRPr="009118AB">
        <w:rPr>
          <w:i/>
          <w:iCs/>
        </w:rPr>
        <w:t>quinquies</w:t>
      </w:r>
      <w:r w:rsidRPr="009118AB">
        <w:rPr>
          <w:iCs/>
        </w:rPr>
        <w:t xml:space="preserve"> </w:t>
      </w:r>
      <w:r w:rsidR="00D67EB8" w:rsidRPr="009118AB">
        <w:rPr>
          <w:iCs/>
        </w:rPr>
        <w:t>§ </w:t>
      </w:r>
      <w:r w:rsidRPr="009118AB">
        <w:rPr>
          <w:iCs/>
        </w:rPr>
        <w:t>5 erwähnten Gesell</w:t>
      </w:r>
      <w:r w:rsidRPr="009118AB">
        <w:rPr>
          <w:iCs/>
        </w:rPr>
        <w:softHyphen/>
        <w:t>schaften sind, die zu Lasten des Ergebnisses des Besteuerungszeitraums nicht mindestens [einem Unternehmensleiter wie in Artikel 32 erwähnt] eine Entlohnung bewilligen, die mindestens 45.000 EUR beträgt. Beträgt die Entlohnung weniger als 45.000 EUR, muss diese Entlohnung zu Lasten des Ergebnisses des Besteuerungszeitraums [dem steuerpflichtigen Einkommen der Gesellschaft entsprechen oder darüber liegen],]]</w:t>
      </w:r>
    </w:p>
    <w:p w14:paraId="588880B9" w14:textId="77777777" w:rsidR="00440E18" w:rsidRPr="009118AB" w:rsidRDefault="00440E18" w:rsidP="000A230E">
      <w:pPr>
        <w:autoSpaceDE w:val="0"/>
        <w:autoSpaceDN w:val="0"/>
        <w:adjustRightInd w:val="0"/>
        <w:jc w:val="both"/>
        <w:rPr>
          <w:iCs/>
        </w:rPr>
      </w:pPr>
    </w:p>
    <w:p w14:paraId="07BF1812" w14:textId="77777777" w:rsidR="000A230E" w:rsidRPr="009118AB" w:rsidRDefault="000A230E" w:rsidP="00532023">
      <w:pPr>
        <w:autoSpaceDE w:val="0"/>
        <w:autoSpaceDN w:val="0"/>
        <w:adjustRightInd w:val="0"/>
        <w:ind w:firstLine="709"/>
        <w:jc w:val="both"/>
        <w:rPr>
          <w:iCs/>
        </w:rPr>
      </w:pPr>
      <w:r w:rsidRPr="009118AB">
        <w:rPr>
          <w:iCs/>
        </w:rPr>
        <w:t>[5. […]]</w:t>
      </w:r>
    </w:p>
    <w:p w14:paraId="490B1C5E" w14:textId="77777777" w:rsidR="000A230E" w:rsidRPr="009118AB" w:rsidRDefault="000A230E" w:rsidP="000A230E">
      <w:pPr>
        <w:autoSpaceDE w:val="0"/>
        <w:autoSpaceDN w:val="0"/>
        <w:adjustRightInd w:val="0"/>
        <w:jc w:val="both"/>
        <w:rPr>
          <w:iCs/>
        </w:rPr>
      </w:pPr>
    </w:p>
    <w:p w14:paraId="4A4C13F8" w14:textId="017301CC" w:rsidR="000A230E" w:rsidRPr="009118AB" w:rsidRDefault="000A230E" w:rsidP="00532023">
      <w:pPr>
        <w:autoSpaceDE w:val="0"/>
        <w:autoSpaceDN w:val="0"/>
        <w:adjustRightInd w:val="0"/>
        <w:ind w:firstLine="709"/>
        <w:jc w:val="both"/>
        <w:rPr>
          <w:iCs/>
        </w:rPr>
      </w:pPr>
      <w:r w:rsidRPr="009118AB">
        <w:rPr>
          <w:iCs/>
        </w:rPr>
        <w:t>[6. [</w:t>
      </w:r>
      <w:r w:rsidR="006E21BE" w:rsidRPr="009118AB">
        <w:rPr>
          <w:iCs/>
        </w:rPr>
        <w:t>[</w:t>
      </w:r>
      <w:r w:rsidR="006E21BE" w:rsidRPr="009118AB">
        <w:t xml:space="preserve">auf Investmentgesellschaften, die in den Artikeln 6, 271/5 und 281/10 des Gesetzes vom 3. August 2012 über Organismen für gemeinsame Anlagen, die die Bedingungen der Richtlinie 2009/65/EG erfüllen, und Organismen für Anlagen in Forderungen erwähnt sind, auf Investmentgesellschaften, die in den Artikeln 181, 282, 288 und 298 des Gesetzes vom 19. April 2014 über alternative Organismen für gemeinsame Anlagen und ihre Verwalter </w:t>
      </w:r>
      <w:r w:rsidR="006E21BE" w:rsidRPr="009118AB">
        <w:lastRenderedPageBreak/>
        <w:t>erwähnt sind</w:t>
      </w:r>
      <w:r w:rsidR="006E21BE" w:rsidRPr="009118AB">
        <w:rPr>
          <w:iCs/>
        </w:rPr>
        <w:t>]</w:t>
      </w:r>
      <w:r w:rsidRPr="009118AB">
        <w:rPr>
          <w:iCs/>
        </w:rPr>
        <w:t xml:space="preserve">, </w:t>
      </w:r>
      <w:r w:rsidR="00AE61F5" w:rsidRPr="009118AB">
        <w:rPr>
          <w:iCs/>
        </w:rPr>
        <w:t>[</w:t>
      </w:r>
      <w:r w:rsidR="00AE61F5" w:rsidRPr="009118AB">
        <w:rPr>
          <w:lang w:eastAsia="fr-BE"/>
        </w:rPr>
        <w:t>auf europäische langfristige Investmentfonds,</w:t>
      </w:r>
      <w:r w:rsidR="00AE61F5" w:rsidRPr="009118AB">
        <w:rPr>
          <w:iCs/>
        </w:rPr>
        <w:t xml:space="preserve">] </w:t>
      </w:r>
      <w:r w:rsidRPr="009118AB">
        <w:rPr>
          <w:iCs/>
        </w:rPr>
        <w:t>auf beaufsichtigte Immobiliengesellschaften[, auf Investmentgesellschaften mit fixem Kapital für Immobilien] und auf Organismen für die Finanzierung von Pensionen, die in Artikel 8 des Gesetzes vom 27. Oktober 2006 über die Kontrolle der Einrichtungen der betrieblichen Altersversorgung erwähnt sind, in dem Maße, wie Artikel 185</w:t>
      </w:r>
      <w:r w:rsidRPr="009118AB">
        <w:rPr>
          <w:i/>
          <w:iCs/>
        </w:rPr>
        <w:t>bis</w:t>
      </w:r>
      <w:r w:rsidRPr="009118AB">
        <w:rPr>
          <w:iCs/>
        </w:rPr>
        <w:t xml:space="preserve"> </w:t>
      </w:r>
      <w:r w:rsidR="00D67EB8" w:rsidRPr="009118AB">
        <w:rPr>
          <w:iCs/>
        </w:rPr>
        <w:t>§ </w:t>
      </w:r>
      <w:r w:rsidRPr="009118AB">
        <w:rPr>
          <w:iCs/>
        </w:rPr>
        <w:t>1 Anwendung findet.]]</w:t>
      </w:r>
    </w:p>
    <w:p w14:paraId="63A6F86B" w14:textId="77777777" w:rsidR="000A230E" w:rsidRPr="009118AB" w:rsidRDefault="000A230E" w:rsidP="000A230E">
      <w:pPr>
        <w:autoSpaceDE w:val="0"/>
        <w:autoSpaceDN w:val="0"/>
        <w:adjustRightInd w:val="0"/>
        <w:jc w:val="both"/>
        <w:rPr>
          <w:iCs/>
        </w:rPr>
      </w:pPr>
    </w:p>
    <w:p w14:paraId="17950D38" w14:textId="29C00ADA" w:rsidR="000A230E" w:rsidRPr="009118AB" w:rsidRDefault="000A230E" w:rsidP="000A230E">
      <w:pPr>
        <w:autoSpaceDE w:val="0"/>
        <w:autoSpaceDN w:val="0"/>
        <w:adjustRightInd w:val="0"/>
        <w:jc w:val="both"/>
        <w:rPr>
          <w:iCs/>
        </w:rPr>
      </w:pPr>
      <w:r w:rsidRPr="009118AB">
        <w:rPr>
          <w:i/>
          <w:iCs/>
        </w:rPr>
        <w:t>[</w:t>
      </w:r>
      <w:r w:rsidR="00D67EB8" w:rsidRPr="009118AB">
        <w:rPr>
          <w:i/>
          <w:iCs/>
        </w:rPr>
        <w:t>Art. </w:t>
      </w:r>
      <w:r w:rsidRPr="009118AB">
        <w:rPr>
          <w:i/>
          <w:iCs/>
        </w:rPr>
        <w:t xml:space="preserve">215 </w:t>
      </w:r>
      <w:r w:rsidR="00D67EB8" w:rsidRPr="009118AB">
        <w:rPr>
          <w:i/>
          <w:iCs/>
        </w:rPr>
        <w:t>Abs. </w:t>
      </w:r>
      <w:r w:rsidRPr="009118AB">
        <w:rPr>
          <w:i/>
          <w:iCs/>
        </w:rPr>
        <w:t xml:space="preserve">1 ersetzt durch </w:t>
      </w:r>
      <w:r w:rsidR="00D67EB8" w:rsidRPr="009118AB">
        <w:rPr>
          <w:i/>
          <w:iCs/>
        </w:rPr>
        <w:t>Art. </w:t>
      </w:r>
      <w:r w:rsidRPr="009118AB">
        <w:rPr>
          <w:i/>
          <w:iCs/>
        </w:rPr>
        <w:t xml:space="preserve">54 </w:t>
      </w:r>
      <w:r w:rsidR="00D67EB8" w:rsidRPr="009118AB">
        <w:rPr>
          <w:i/>
          <w:iCs/>
        </w:rPr>
        <w:t>Nr. </w:t>
      </w:r>
      <w:r w:rsidRPr="009118AB">
        <w:rPr>
          <w:i/>
          <w:iCs/>
        </w:rPr>
        <w:t>1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D67EB8" w:rsidRPr="009118AB">
        <w:rPr>
          <w:i/>
          <w:iCs/>
        </w:rPr>
        <w:t> - </w:t>
      </w:r>
      <w:r w:rsidRPr="009118AB">
        <w:rPr>
          <w:i/>
          <w:iCs/>
        </w:rPr>
        <w:t xml:space="preserve">und abgeändert durch </w:t>
      </w:r>
      <w:r w:rsidR="00D67EB8" w:rsidRPr="009118AB">
        <w:rPr>
          <w:i/>
          <w:iCs/>
        </w:rPr>
        <w:t>Art. </w:t>
      </w:r>
      <w:r w:rsidRPr="009118AB">
        <w:rPr>
          <w:i/>
          <w:iCs/>
        </w:rPr>
        <w:t xml:space="preserve">54 </w:t>
      </w:r>
      <w:r w:rsidR="00D67EB8" w:rsidRPr="009118AB">
        <w:rPr>
          <w:i/>
          <w:iCs/>
        </w:rPr>
        <w:t>Nr. </w:t>
      </w:r>
      <w:r w:rsidRPr="009118AB">
        <w:rPr>
          <w:i/>
          <w:iCs/>
        </w:rPr>
        <w:t>3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Pr="009118AB">
        <w:rPr>
          <w:i/>
          <w:iCs/>
        </w:rPr>
        <w:t xml:space="preserve"> </w:t>
      </w:r>
      <w:r w:rsidR="00D67EB8" w:rsidRPr="009118AB">
        <w:rPr>
          <w:i/>
          <w:iCs/>
        </w:rPr>
        <w:t>Abs. </w:t>
      </w:r>
      <w:r w:rsidRPr="009118AB">
        <w:rPr>
          <w:i/>
          <w:iCs/>
        </w:rPr>
        <w:t xml:space="preserve">2 ersetzt durch </w:t>
      </w:r>
      <w:r w:rsidR="00D67EB8" w:rsidRPr="009118AB">
        <w:rPr>
          <w:i/>
          <w:iCs/>
        </w:rPr>
        <w:t>Art. </w:t>
      </w:r>
      <w:r w:rsidRPr="009118AB">
        <w:rPr>
          <w:i/>
          <w:iCs/>
        </w:rPr>
        <w:t xml:space="preserve">54 </w:t>
      </w:r>
      <w:r w:rsidR="00D67EB8" w:rsidRPr="009118AB">
        <w:rPr>
          <w:i/>
          <w:iCs/>
        </w:rPr>
        <w:t>Nr. </w:t>
      </w:r>
      <w:r w:rsidRPr="009118AB">
        <w:rPr>
          <w:i/>
          <w:iCs/>
        </w:rPr>
        <w:t>1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D67EB8" w:rsidRPr="009118AB">
        <w:rPr>
          <w:i/>
          <w:iCs/>
        </w:rPr>
        <w:t> - </w:t>
      </w:r>
      <w:r w:rsidR="00E36365" w:rsidRPr="009118AB">
        <w:rPr>
          <w:i/>
          <w:iCs/>
        </w:rPr>
        <w:t xml:space="preserve">und abgeändert durch </w:t>
      </w:r>
      <w:r w:rsidR="00D67EB8" w:rsidRPr="009118AB">
        <w:rPr>
          <w:i/>
          <w:iCs/>
        </w:rPr>
        <w:t>Art. </w:t>
      </w:r>
      <w:r w:rsidR="00E36365" w:rsidRPr="009118AB">
        <w:rPr>
          <w:i/>
          <w:iCs/>
        </w:rPr>
        <w:t xml:space="preserve">48 </w:t>
      </w:r>
      <w:r w:rsidR="00D67EB8" w:rsidRPr="009118AB">
        <w:rPr>
          <w:i/>
          <w:iCs/>
        </w:rPr>
        <w:t>Nr. </w:t>
      </w:r>
      <w:r w:rsidR="00E36365" w:rsidRPr="009118AB">
        <w:rPr>
          <w:i/>
          <w:iCs/>
        </w:rPr>
        <w:t>1</w:t>
      </w:r>
      <w:r w:rsidR="00E36365" w:rsidRPr="009118AB">
        <w:rPr>
          <w:i/>
          <w:iCs/>
          <w:spacing w:val="-2"/>
        </w:rPr>
        <w:t xml:space="preserve"> des G. vom 17. März 2019 (III) (B.S. vom 10. Mai 2019)</w:t>
      </w:r>
      <w:r w:rsidR="00D67EB8" w:rsidRPr="009118AB">
        <w:rPr>
          <w:i/>
          <w:iCs/>
          <w:spacing w:val="-2"/>
        </w:rPr>
        <w:t> - </w:t>
      </w:r>
      <w:r w:rsidR="00E36365" w:rsidRPr="009118AB">
        <w:rPr>
          <w:i/>
          <w:iCs/>
          <w:spacing w:val="-2"/>
        </w:rPr>
        <w:t>in Kraft am 1. Mai 2019</w:t>
      </w:r>
      <w:r w:rsidR="003366D9" w:rsidRPr="009118AB">
        <w:rPr>
          <w:i/>
          <w:iCs/>
          <w:spacing w:val="-2"/>
        </w:rPr>
        <w:t> -</w:t>
      </w:r>
      <w:r w:rsidR="00B818A6" w:rsidRPr="009118AB">
        <w:rPr>
          <w:i/>
          <w:iCs/>
          <w:spacing w:val="-2"/>
        </w:rPr>
        <w:t xml:space="preserve"> und Art. 26 des G. vom 5. Juli 2022 (B.S. vom 15. Juli 2022)</w:t>
      </w:r>
      <w:r w:rsidR="003366D9" w:rsidRPr="009118AB">
        <w:rPr>
          <w:i/>
          <w:iCs/>
          <w:spacing w:val="-2"/>
        </w:rPr>
        <w:t>;</w:t>
      </w:r>
      <w:r w:rsidRPr="009118AB">
        <w:rPr>
          <w:i/>
          <w:iCs/>
        </w:rPr>
        <w:t xml:space="preserve"> </w:t>
      </w:r>
      <w:r w:rsidR="00D67EB8" w:rsidRPr="009118AB">
        <w:rPr>
          <w:i/>
          <w:iCs/>
        </w:rPr>
        <w:t>Abs. </w:t>
      </w:r>
      <w:r w:rsidRPr="009118AB">
        <w:rPr>
          <w:i/>
          <w:iCs/>
        </w:rPr>
        <w:t xml:space="preserve">3 </w:t>
      </w:r>
      <w:r w:rsidR="00D67EB8" w:rsidRPr="009118AB">
        <w:rPr>
          <w:i/>
          <w:iCs/>
        </w:rPr>
        <w:t>Nr. </w:t>
      </w:r>
      <w:r w:rsidRPr="009118AB">
        <w:rPr>
          <w:i/>
          <w:iCs/>
        </w:rPr>
        <w:t xml:space="preserve">1 ersetzt durch </w:t>
      </w:r>
      <w:r w:rsidR="00D67EB8" w:rsidRPr="009118AB">
        <w:rPr>
          <w:i/>
          <w:iCs/>
        </w:rPr>
        <w:t>Art. </w:t>
      </w:r>
      <w:r w:rsidRPr="009118AB">
        <w:rPr>
          <w:i/>
          <w:iCs/>
        </w:rPr>
        <w:t xml:space="preserve">31 </w:t>
      </w:r>
      <w:r w:rsidR="00D67EB8" w:rsidRPr="009118AB">
        <w:rPr>
          <w:i/>
          <w:iCs/>
        </w:rPr>
        <w:t>Nr. </w:t>
      </w:r>
      <w:r w:rsidRPr="009118AB">
        <w:rPr>
          <w:i/>
          <w:iCs/>
        </w:rPr>
        <w:t xml:space="preserve">1 des G. vom 22. Dezember 1998 </w:t>
      </w:r>
      <w:r w:rsidRPr="009118AB">
        <w:rPr>
          <w:rFonts w:ascii="Times New Roman Italique" w:hAnsi="Times New Roman Italique"/>
          <w:i/>
          <w:iCs/>
          <w:spacing w:val="-2"/>
        </w:rPr>
        <w:t>(B.S. vom 15. Januar 1999)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1999</w:t>
      </w:r>
      <w:r w:rsidR="00D67EB8" w:rsidRPr="009118AB">
        <w:rPr>
          <w:rFonts w:ascii="Times New Roman Italique" w:hAnsi="Times New Roman Italique"/>
          <w:i/>
          <w:iCs/>
          <w:spacing w:val="-2"/>
        </w:rPr>
        <w:t> - </w:t>
      </w:r>
      <w:r w:rsidR="00E36365"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E36365" w:rsidRPr="009118AB">
        <w:rPr>
          <w:rFonts w:ascii="Times New Roman Italique" w:hAnsi="Times New Roman Italique"/>
          <w:i/>
          <w:iCs/>
          <w:spacing w:val="-2"/>
        </w:rPr>
        <w:t xml:space="preserve">48 </w:t>
      </w:r>
      <w:r w:rsidR="00D67EB8" w:rsidRPr="009118AB">
        <w:rPr>
          <w:rFonts w:ascii="Times New Roman Italique" w:hAnsi="Times New Roman Italique"/>
          <w:i/>
          <w:iCs/>
          <w:spacing w:val="-2"/>
        </w:rPr>
        <w:t>Nr. </w:t>
      </w:r>
      <w:r w:rsidR="00E36365" w:rsidRPr="009118AB">
        <w:rPr>
          <w:rFonts w:ascii="Times New Roman Italique" w:hAnsi="Times New Roman Italique"/>
          <w:i/>
          <w:iCs/>
          <w:spacing w:val="-2"/>
        </w:rPr>
        <w:t>2 des G. vom 17. März 2019 (III) (B.S. vom 10. Mai 2019)</w:t>
      </w:r>
      <w:r w:rsidR="00D67EB8" w:rsidRPr="009118AB">
        <w:rPr>
          <w:rFonts w:ascii="Times New Roman Italique" w:hAnsi="Times New Roman Italique"/>
          <w:i/>
          <w:iCs/>
          <w:spacing w:val="-2"/>
        </w:rPr>
        <w:t> - </w:t>
      </w:r>
      <w:r w:rsidR="00E36365" w:rsidRPr="009118AB">
        <w:rPr>
          <w:rFonts w:ascii="Times New Roman Italique" w:hAnsi="Times New Roman Italique"/>
          <w:i/>
          <w:iCs/>
          <w:spacing w:val="-2"/>
        </w:rPr>
        <w:t>in Kraft am 1. Mai 2019</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E36365"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Nr. </w:t>
      </w:r>
      <w:r w:rsidR="00E36365"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E36365" w:rsidRPr="009118AB">
        <w:rPr>
          <w:rFonts w:ascii="Times New Roman Italique" w:hAnsi="Times New Roman Italique"/>
          <w:i/>
          <w:iCs/>
          <w:spacing w:val="-2"/>
        </w:rPr>
        <w:t xml:space="preserve">48 </w:t>
      </w:r>
      <w:r w:rsidR="00D67EB8" w:rsidRPr="009118AB">
        <w:rPr>
          <w:rFonts w:ascii="Times New Roman Italique" w:hAnsi="Times New Roman Italique"/>
          <w:i/>
          <w:iCs/>
          <w:spacing w:val="-2"/>
        </w:rPr>
        <w:t>Nr. </w:t>
      </w:r>
      <w:r w:rsidR="00E36365" w:rsidRPr="009118AB">
        <w:rPr>
          <w:rFonts w:ascii="Times New Roman Italique" w:hAnsi="Times New Roman Italique"/>
          <w:i/>
          <w:iCs/>
          <w:spacing w:val="-2"/>
        </w:rPr>
        <w:t>3 Buchstabe</w:t>
      </w:r>
      <w:r w:rsidR="00E36365" w:rsidRPr="009118AB">
        <w:rPr>
          <w:rFonts w:ascii="Times New Roman Italique" w:hAnsi="Times New Roman Italique" w:hint="eastAsia"/>
          <w:i/>
          <w:iCs/>
          <w:spacing w:val="-2"/>
        </w:rPr>
        <w:t> </w:t>
      </w:r>
      <w:r w:rsidR="00E36365" w:rsidRPr="009118AB">
        <w:rPr>
          <w:rFonts w:ascii="Times New Roman Italique" w:hAnsi="Times New Roman Italique"/>
          <w:i/>
          <w:iCs/>
          <w:spacing w:val="-2"/>
        </w:rPr>
        <w:t>a) und b)</w:t>
      </w:r>
      <w:r w:rsidR="00E36365" w:rsidRPr="009118AB">
        <w:rPr>
          <w:i/>
          <w:iCs/>
          <w:spacing w:val="-2"/>
        </w:rPr>
        <w:t xml:space="preserve"> des G. vom 17. März 2019 (III) (B.S. vom 10. Mai 2019)</w:t>
      </w:r>
      <w:r w:rsidR="00D67EB8" w:rsidRPr="009118AB">
        <w:rPr>
          <w:i/>
          <w:iCs/>
          <w:spacing w:val="-2"/>
        </w:rPr>
        <w:t> - </w:t>
      </w:r>
      <w:r w:rsidR="00E36365" w:rsidRPr="009118AB">
        <w:rPr>
          <w:i/>
          <w:iCs/>
          <w:spacing w:val="-2"/>
        </w:rPr>
        <w:t>in Kraft am 1. Mai 2019</w:t>
      </w:r>
      <w:r w:rsidR="003366D9" w:rsidRPr="009118AB">
        <w:rPr>
          <w:i/>
          <w:iCs/>
          <w:spacing w:val="-2"/>
        </w:rPr>
        <w:t> -;</w:t>
      </w:r>
      <w:r w:rsidR="00E36365" w:rsidRPr="009118AB">
        <w:rPr>
          <w:i/>
          <w:iCs/>
          <w:spacing w:val="-2"/>
        </w:rPr>
        <w:t xml:space="preserve"> </w:t>
      </w:r>
      <w:r w:rsidR="00D67EB8" w:rsidRPr="009118AB">
        <w:rPr>
          <w:rFonts w:ascii="Times New Roman Italique" w:hAnsi="Times New Roman Italique"/>
          <w:i/>
          <w:iCs/>
          <w:spacing w:val="-2"/>
        </w:rPr>
        <w:t>Abs. </w:t>
      </w:r>
      <w:r w:rsidRPr="009118AB">
        <w:rPr>
          <w:i/>
          <w:iCs/>
        </w:rPr>
        <w:t xml:space="preserve">3 </w:t>
      </w:r>
      <w:r w:rsidR="00D67EB8" w:rsidRPr="009118AB">
        <w:rPr>
          <w:i/>
          <w:iCs/>
        </w:rPr>
        <w:t>Nr. </w:t>
      </w:r>
      <w:r w:rsidRPr="009118AB">
        <w:rPr>
          <w:i/>
          <w:iCs/>
        </w:rPr>
        <w:t xml:space="preserve">3 aufgehoben durch </w:t>
      </w:r>
      <w:r w:rsidR="00D67EB8" w:rsidRPr="009118AB">
        <w:rPr>
          <w:i/>
          <w:iCs/>
        </w:rPr>
        <w:t>Art. </w:t>
      </w:r>
      <w:r w:rsidRPr="009118AB">
        <w:rPr>
          <w:i/>
          <w:iCs/>
        </w:rPr>
        <w:t xml:space="preserve">54 </w:t>
      </w:r>
      <w:r w:rsidR="00D67EB8" w:rsidRPr="009118AB">
        <w:rPr>
          <w:i/>
          <w:iCs/>
        </w:rPr>
        <w:t>Nr. </w:t>
      </w:r>
      <w:r w:rsidRPr="009118AB">
        <w:rPr>
          <w:i/>
          <w:iCs/>
        </w:rPr>
        <w:t>2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3366D9" w:rsidRPr="009118AB">
        <w:rPr>
          <w:i/>
          <w:iCs/>
        </w:rPr>
        <w:t> -;</w:t>
      </w:r>
      <w:r w:rsidRPr="009118AB">
        <w:rPr>
          <w:i/>
          <w:iCs/>
        </w:rPr>
        <w:t xml:space="preserve"> </w:t>
      </w:r>
      <w:r w:rsidR="00D67EB8" w:rsidRPr="009118AB">
        <w:rPr>
          <w:i/>
          <w:iCs/>
        </w:rPr>
        <w:t>Abs. </w:t>
      </w:r>
      <w:r w:rsidRPr="009118AB">
        <w:rPr>
          <w:i/>
          <w:iCs/>
        </w:rPr>
        <w:t xml:space="preserve">3 </w:t>
      </w:r>
      <w:r w:rsidR="00D67EB8" w:rsidRPr="009118AB">
        <w:rPr>
          <w:i/>
          <w:iCs/>
        </w:rPr>
        <w:t>Nr. </w:t>
      </w:r>
      <w:r w:rsidRPr="009118AB">
        <w:rPr>
          <w:i/>
          <w:iCs/>
        </w:rPr>
        <w:t xml:space="preserve">4 eingefügt durch </w:t>
      </w:r>
      <w:r w:rsidR="00D67EB8" w:rsidRPr="009118AB">
        <w:rPr>
          <w:i/>
          <w:iCs/>
        </w:rPr>
        <w:t>Art. </w:t>
      </w:r>
      <w:r w:rsidRPr="009118AB">
        <w:rPr>
          <w:i/>
          <w:iCs/>
        </w:rPr>
        <w:t xml:space="preserve">10 </w:t>
      </w:r>
      <w:r w:rsidR="00D67EB8" w:rsidRPr="009118AB">
        <w:rPr>
          <w:i/>
          <w:iCs/>
        </w:rPr>
        <w:t>Nr. </w:t>
      </w:r>
      <w:r w:rsidRPr="009118AB">
        <w:rPr>
          <w:i/>
          <w:iCs/>
        </w:rPr>
        <w:t>1 des G. vom 28. Dezember 1992</w:t>
      </w:r>
      <w:r w:rsidR="00D27B17" w:rsidRPr="009118AB">
        <w:rPr>
          <w:i/>
          <w:iCs/>
        </w:rPr>
        <w:t xml:space="preserve"> (B.S. vom 31. Dezember 1992)</w:t>
      </w:r>
      <w:r w:rsidR="00D67EB8" w:rsidRPr="009118AB">
        <w:rPr>
          <w:i/>
          <w:iCs/>
        </w:rPr>
        <w:t> - </w:t>
      </w:r>
      <w:r w:rsidRPr="009118AB">
        <w:rPr>
          <w:i/>
          <w:iCs/>
        </w:rPr>
        <w:t>anwendbar ab dem Steuerjahr 1994</w:t>
      </w:r>
      <w:r w:rsidR="00FD68E8" w:rsidRPr="009118AB">
        <w:rPr>
          <w:i/>
          <w:iCs/>
        </w:rPr>
        <w:t> -,</w:t>
      </w:r>
      <w:r w:rsidRPr="009118AB">
        <w:rPr>
          <w:i/>
          <w:iCs/>
        </w:rPr>
        <w:t xml:space="preserve"> ersetzt durch </w:t>
      </w:r>
      <w:r w:rsidR="00D67EB8" w:rsidRPr="009118AB">
        <w:rPr>
          <w:i/>
          <w:iCs/>
        </w:rPr>
        <w:t>Art. </w:t>
      </w:r>
      <w:r w:rsidRPr="009118AB">
        <w:rPr>
          <w:i/>
          <w:iCs/>
        </w:rPr>
        <w:t xml:space="preserve">54 </w:t>
      </w:r>
      <w:r w:rsidR="00D67EB8" w:rsidRPr="009118AB">
        <w:rPr>
          <w:i/>
          <w:iCs/>
        </w:rPr>
        <w:t>Nr. </w:t>
      </w:r>
      <w:r w:rsidRPr="009118AB">
        <w:rPr>
          <w:i/>
          <w:iCs/>
        </w:rPr>
        <w:t>4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D67EB8" w:rsidRPr="009118AB">
        <w:rPr>
          <w:i/>
          <w:iCs/>
        </w:rPr>
        <w:t> - </w:t>
      </w:r>
      <w:r w:rsidR="00440E18" w:rsidRPr="009118AB">
        <w:rPr>
          <w:i/>
          <w:iCs/>
        </w:rPr>
        <w:t xml:space="preserve">und abgeändert durch </w:t>
      </w:r>
      <w:r w:rsidR="00D67EB8" w:rsidRPr="009118AB">
        <w:rPr>
          <w:i/>
          <w:iCs/>
        </w:rPr>
        <w:t>Art. </w:t>
      </w:r>
      <w:r w:rsidR="00440E18" w:rsidRPr="009118AB">
        <w:rPr>
          <w:i/>
          <w:iCs/>
        </w:rPr>
        <w:t xml:space="preserve">9 </w:t>
      </w:r>
      <w:r w:rsidR="00D67EB8" w:rsidRPr="009118AB">
        <w:rPr>
          <w:i/>
          <w:iCs/>
        </w:rPr>
        <w:t>Nr. </w:t>
      </w:r>
      <w:r w:rsidR="00440E18" w:rsidRPr="009118AB">
        <w:rPr>
          <w:i/>
          <w:iCs/>
        </w:rPr>
        <w:t xml:space="preserve">1 und 2 des G. vom </w:t>
      </w:r>
      <w:r w:rsidR="00440E18" w:rsidRPr="009118AB">
        <w:rPr>
          <w:rFonts w:ascii="Times New Roman Italique" w:hAnsi="Times New Roman Italique"/>
          <w:i/>
          <w:iCs/>
          <w:spacing w:val="-2"/>
        </w:rPr>
        <w:t>30. Juli 2018 (I) (B.S. vom 10. August 2018)</w:t>
      </w:r>
      <w:r w:rsidR="00E36365" w:rsidRPr="009118AB">
        <w:rPr>
          <w:rFonts w:ascii="Times New Roman Italique" w:hAnsi="Times New Roman Italique"/>
          <w:i/>
          <w:iCs/>
          <w:spacing w:val="-2"/>
        </w:rPr>
        <w:t xml:space="preserve"> und </w:t>
      </w:r>
      <w:r w:rsidR="00D67EB8" w:rsidRPr="009118AB">
        <w:rPr>
          <w:rFonts w:ascii="Times New Roman Italique" w:hAnsi="Times New Roman Italique"/>
          <w:i/>
          <w:iCs/>
          <w:spacing w:val="-2"/>
        </w:rPr>
        <w:t>Art. </w:t>
      </w:r>
      <w:r w:rsidR="00E36365" w:rsidRPr="009118AB">
        <w:rPr>
          <w:rFonts w:ascii="Times New Roman Italique" w:hAnsi="Times New Roman Italique"/>
          <w:i/>
          <w:iCs/>
          <w:spacing w:val="-2"/>
        </w:rPr>
        <w:t xml:space="preserve">48 </w:t>
      </w:r>
      <w:r w:rsidR="00D67EB8" w:rsidRPr="009118AB">
        <w:rPr>
          <w:rFonts w:ascii="Times New Roman Italique" w:hAnsi="Times New Roman Italique"/>
          <w:i/>
          <w:iCs/>
          <w:spacing w:val="-2"/>
        </w:rPr>
        <w:t>Nr. </w:t>
      </w:r>
      <w:r w:rsidR="00E36365" w:rsidRPr="009118AB">
        <w:rPr>
          <w:rFonts w:ascii="Times New Roman Italique" w:hAnsi="Times New Roman Italique"/>
          <w:i/>
          <w:iCs/>
          <w:spacing w:val="-2"/>
        </w:rPr>
        <w:t>4</w:t>
      </w:r>
      <w:r w:rsidR="00E36365" w:rsidRPr="009118AB">
        <w:rPr>
          <w:i/>
          <w:iCs/>
          <w:spacing w:val="-2"/>
        </w:rPr>
        <w:t xml:space="preserve"> des G. vom 17. März 2019 (III) (B.S. vom 10. Mai 2019)</w:t>
      </w:r>
      <w:r w:rsidR="00D67EB8" w:rsidRPr="009118AB">
        <w:rPr>
          <w:i/>
          <w:iCs/>
          <w:spacing w:val="-2"/>
        </w:rPr>
        <w:t> - </w:t>
      </w:r>
      <w:r w:rsidR="00E36365" w:rsidRPr="009118AB">
        <w:rPr>
          <w:i/>
          <w:iCs/>
          <w:spacing w:val="-2"/>
        </w:rPr>
        <w:t>in Kraft am 1. Mai 2019</w:t>
      </w:r>
      <w:r w:rsidR="003366D9" w:rsidRPr="009118AB">
        <w:rPr>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5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10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des G. vom 28. Dezember 1992 (B.S. vom 31. Dezember 1992)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aufgehoben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16 des G. vom 21. Dezember 2013 (II) (B.S. vom </w:t>
      </w:r>
      <w:r w:rsidR="00431609" w:rsidRPr="009118AB">
        <w:rPr>
          <w:i/>
          <w:iCs/>
        </w:rPr>
        <w:t>31.</w:t>
      </w:r>
      <w:r w:rsidR="000B6C77" w:rsidRPr="009118AB">
        <w:rPr>
          <w:i/>
          <w:iCs/>
        </w:rPr>
        <w:t> </w:t>
      </w:r>
      <w:r w:rsidR="00431609" w:rsidRPr="009118AB">
        <w:rPr>
          <w:i/>
          <w:iCs/>
        </w:rPr>
        <w:t>Dezember</w:t>
      </w:r>
      <w:r w:rsidR="000B6C77" w:rsidRPr="009118AB">
        <w:rPr>
          <w:i/>
          <w:iCs/>
        </w:rPr>
        <w:t> </w:t>
      </w:r>
      <w:r w:rsidR="00431609" w:rsidRPr="009118AB">
        <w:rPr>
          <w:i/>
          <w:iCs/>
        </w:rPr>
        <w:t>2013</w:t>
      </w:r>
      <w:r w:rsidRPr="009118AB">
        <w:rPr>
          <w:i/>
          <w:iCs/>
        </w:rPr>
        <w:t xml:space="preserve">); </w:t>
      </w:r>
      <w:r w:rsidR="00D67EB8" w:rsidRPr="009118AB">
        <w:rPr>
          <w:i/>
          <w:iCs/>
        </w:rPr>
        <w:t>Abs. </w:t>
      </w:r>
      <w:r w:rsidRPr="009118AB">
        <w:rPr>
          <w:i/>
          <w:iCs/>
        </w:rPr>
        <w:t xml:space="preserve">3 </w:t>
      </w:r>
      <w:r w:rsidR="00D67EB8" w:rsidRPr="009118AB">
        <w:rPr>
          <w:i/>
          <w:iCs/>
        </w:rPr>
        <w:t>Nr. </w:t>
      </w:r>
      <w:r w:rsidRPr="009118AB">
        <w:rPr>
          <w:i/>
          <w:iCs/>
        </w:rPr>
        <w:t xml:space="preserve">6 eingefügt durch </w:t>
      </w:r>
      <w:r w:rsidR="00D67EB8" w:rsidRPr="009118AB">
        <w:rPr>
          <w:i/>
          <w:iCs/>
        </w:rPr>
        <w:t>Art. </w:t>
      </w:r>
      <w:r w:rsidRPr="009118AB">
        <w:rPr>
          <w:i/>
          <w:iCs/>
        </w:rPr>
        <w:t>323 des G. (I) vom 27. Dezember 2006 (II) (B.S. vom 28. Dezember 2006)</w:t>
      </w:r>
      <w:r w:rsidR="00D67EB8" w:rsidRPr="009118AB">
        <w:rPr>
          <w:i/>
          <w:iCs/>
        </w:rPr>
        <w:t> - </w:t>
      </w:r>
      <w:r w:rsidRPr="009118AB">
        <w:rPr>
          <w:i/>
          <w:iCs/>
        </w:rPr>
        <w:t>in Kraft ab dem 1. Januar 2007</w:t>
      </w:r>
      <w:r w:rsidR="00FD68E8" w:rsidRPr="009118AB">
        <w:rPr>
          <w:i/>
          <w:iCs/>
        </w:rPr>
        <w:t> -,</w:t>
      </w:r>
      <w:r w:rsidRPr="009118AB">
        <w:rPr>
          <w:i/>
          <w:iCs/>
        </w:rPr>
        <w:t xml:space="preserve"> ersetzt durch </w:t>
      </w:r>
      <w:r w:rsidR="00D67EB8" w:rsidRPr="009118AB">
        <w:rPr>
          <w:i/>
          <w:iCs/>
        </w:rPr>
        <w:t>Art. </w:t>
      </w:r>
      <w:r w:rsidRPr="009118AB">
        <w:rPr>
          <w:i/>
          <w:iCs/>
        </w:rPr>
        <w:t xml:space="preserve">24 des G. vom 18. Dezember 2015 (II) (B.S. vom 28. Dezember 2015) und abgeändert durch </w:t>
      </w:r>
      <w:r w:rsidR="00D67EB8" w:rsidRPr="009118AB">
        <w:rPr>
          <w:i/>
          <w:iCs/>
        </w:rPr>
        <w:t>Art. </w:t>
      </w:r>
      <w:r w:rsidRPr="009118AB">
        <w:rPr>
          <w:i/>
          <w:iCs/>
        </w:rPr>
        <w:t>13 des G. (II) vom 3. August 2016 (VI) (B.S. vom 16. August 2016)</w:t>
      </w:r>
      <w:r w:rsidR="00D67EB8" w:rsidRPr="009118AB">
        <w:rPr>
          <w:i/>
          <w:iCs/>
        </w:rPr>
        <w:t> - </w:t>
      </w:r>
      <w:r w:rsidRPr="009118AB">
        <w:rPr>
          <w:i/>
          <w:iCs/>
        </w:rPr>
        <w:t>in Kraft ab dem Steuerjahr 2016 für Vorgänge und Einkünfte, die ab dem 1. Juli 2016 stattfinden beziehungsweise zuerkannt oder ausgeschüttet werden</w:t>
      </w:r>
      <w:r w:rsidR="00D67EB8" w:rsidRPr="009118AB">
        <w:rPr>
          <w:i/>
          <w:iCs/>
        </w:rPr>
        <w:t> -</w:t>
      </w:r>
      <w:r w:rsidR="006E21BE" w:rsidRPr="009118AB">
        <w:rPr>
          <w:i/>
          <w:iCs/>
        </w:rPr>
        <w:t xml:space="preserve">, </w:t>
      </w:r>
      <w:r w:rsidR="00D67EB8" w:rsidRPr="009118AB">
        <w:rPr>
          <w:i/>
          <w:iCs/>
        </w:rPr>
        <w:t>Art. </w:t>
      </w:r>
      <w:r w:rsidR="00AE61F5" w:rsidRPr="009118AB">
        <w:rPr>
          <w:i/>
          <w:iCs/>
        </w:rPr>
        <w:t>68</w:t>
      </w:r>
      <w:r w:rsidR="00AE61F5" w:rsidRPr="009118AB">
        <w:rPr>
          <w:bCs/>
          <w:i/>
          <w:iCs/>
          <w:sz w:val="20"/>
          <w:szCs w:val="20"/>
        </w:rPr>
        <w:t xml:space="preserve"> </w:t>
      </w:r>
      <w:r w:rsidR="00AE61F5" w:rsidRPr="009118AB">
        <w:rPr>
          <w:bCs/>
          <w:i/>
          <w:iCs/>
        </w:rPr>
        <w:t>des G. vom 21. Januar 2022 (B.S. vom 28. Januar 2022)</w:t>
      </w:r>
      <w:r w:rsidR="006E21BE" w:rsidRPr="009118AB">
        <w:rPr>
          <w:bCs/>
          <w:i/>
          <w:iCs/>
        </w:rPr>
        <w:t xml:space="preserve"> und Art. 22</w:t>
      </w:r>
      <w:r w:rsidR="006E21BE" w:rsidRPr="009118AB">
        <w:rPr>
          <w:i/>
          <w:iCs/>
        </w:rPr>
        <w:t xml:space="preserve"> des G. vom 21. Dezember 2022 (II) (B.S. vom 29. Dezember 2022)</w:t>
      </w:r>
      <w:r w:rsidRPr="009118AB">
        <w:rPr>
          <w:i/>
          <w:iCs/>
        </w:rPr>
        <w:t>]</w:t>
      </w:r>
    </w:p>
    <w:p w14:paraId="4C28E9D8" w14:textId="77777777" w:rsidR="000A230E" w:rsidRPr="009118AB" w:rsidRDefault="000A230E" w:rsidP="000A230E">
      <w:pPr>
        <w:autoSpaceDE w:val="0"/>
        <w:autoSpaceDN w:val="0"/>
        <w:adjustRightInd w:val="0"/>
        <w:jc w:val="both"/>
        <w:rPr>
          <w:spacing w:val="2"/>
        </w:rPr>
      </w:pPr>
    </w:p>
    <w:p w14:paraId="589FEEC4" w14:textId="77777777" w:rsidR="00477B8F" w:rsidRPr="009118AB" w:rsidRDefault="00477B8F" w:rsidP="00477B8F">
      <w:pPr>
        <w:autoSpaceDE w:val="0"/>
        <w:autoSpaceDN w:val="0"/>
        <w:adjustRightInd w:val="0"/>
        <w:jc w:val="both"/>
        <w:rPr>
          <w:spacing w:val="-2"/>
        </w:rPr>
      </w:pPr>
    </w:p>
    <w:p w14:paraId="0A97B33E" w14:textId="0501265B" w:rsidR="00477B8F" w:rsidRPr="009118AB" w:rsidRDefault="00477B8F" w:rsidP="00477B8F">
      <w:pPr>
        <w:autoSpaceDE w:val="0"/>
        <w:autoSpaceDN w:val="0"/>
        <w:adjustRightInd w:val="0"/>
        <w:jc w:val="both"/>
        <w:rPr>
          <w:spacing w:val="-2"/>
        </w:rPr>
      </w:pPr>
      <w:r w:rsidRPr="009118AB">
        <w:rPr>
          <w:spacing w:val="-2"/>
        </w:rPr>
        <w:tab/>
      </w:r>
      <w:r w:rsidR="00D67EB8" w:rsidRPr="009118AB">
        <w:rPr>
          <w:b/>
          <w:bCs/>
          <w:spacing w:val="-2"/>
        </w:rPr>
        <w:t>Art. </w:t>
      </w:r>
      <w:r w:rsidRPr="009118AB">
        <w:rPr>
          <w:b/>
          <w:bCs/>
          <w:spacing w:val="-2"/>
        </w:rPr>
        <w:t>216</w:t>
      </w:r>
      <w:r w:rsidR="00D67EB8" w:rsidRPr="009118AB">
        <w:rPr>
          <w:spacing w:val="-2"/>
        </w:rPr>
        <w:t> - </w:t>
      </w:r>
      <w:r w:rsidRPr="009118AB">
        <w:rPr>
          <w:spacing w:val="-2"/>
        </w:rPr>
        <w:t>[Der Gesellschaftssteuersatz wird festgelegt:</w:t>
      </w:r>
    </w:p>
    <w:p w14:paraId="78C4036C" w14:textId="77777777" w:rsidR="00477B8F" w:rsidRPr="009118AB" w:rsidRDefault="00477B8F" w:rsidP="00477B8F">
      <w:pPr>
        <w:autoSpaceDE w:val="0"/>
        <w:autoSpaceDN w:val="0"/>
        <w:adjustRightInd w:val="0"/>
        <w:jc w:val="both"/>
        <w:rPr>
          <w:spacing w:val="-2"/>
        </w:rPr>
      </w:pPr>
    </w:p>
    <w:p w14:paraId="12C44564" w14:textId="5E117C25" w:rsidR="00E00256" w:rsidRPr="009118AB" w:rsidRDefault="00CF468A" w:rsidP="00CF468A">
      <w:pPr>
        <w:autoSpaceDE w:val="0"/>
        <w:autoSpaceDN w:val="0"/>
        <w:adjustRightInd w:val="0"/>
        <w:ind w:firstLine="720"/>
        <w:jc w:val="both"/>
        <w:rPr>
          <w:spacing w:val="-2"/>
        </w:rPr>
      </w:pPr>
      <w:r w:rsidRPr="009118AB">
        <w:rPr>
          <w:spacing w:val="-2"/>
        </w:rPr>
        <w:t xml:space="preserve">1. </w:t>
      </w:r>
      <w:r w:rsidR="00E00256" w:rsidRPr="009118AB">
        <w:rPr>
          <w:spacing w:val="-2"/>
        </w:rPr>
        <w:t>[</w:t>
      </w:r>
      <w:r w:rsidR="00B818A6" w:rsidRPr="009118AB">
        <w:rPr>
          <w:spacing w:val="-2"/>
        </w:rPr>
        <w:t>...</w:t>
      </w:r>
      <w:r w:rsidR="00E00256" w:rsidRPr="009118AB">
        <w:rPr>
          <w:spacing w:val="-2"/>
        </w:rPr>
        <w:t>]</w:t>
      </w:r>
    </w:p>
    <w:p w14:paraId="0EA6CA40" w14:textId="77777777" w:rsidR="00E00256" w:rsidRPr="009118AB" w:rsidRDefault="00E00256" w:rsidP="00E00256">
      <w:pPr>
        <w:autoSpaceDE w:val="0"/>
        <w:autoSpaceDN w:val="0"/>
        <w:adjustRightInd w:val="0"/>
        <w:ind w:left="1065"/>
        <w:jc w:val="both"/>
        <w:rPr>
          <w:spacing w:val="-2"/>
        </w:rPr>
      </w:pPr>
    </w:p>
    <w:p w14:paraId="2FA9A037" w14:textId="77777777" w:rsidR="00477B8F" w:rsidRPr="009118AB" w:rsidRDefault="00477B8F" w:rsidP="00477B8F">
      <w:pPr>
        <w:autoSpaceDE w:val="0"/>
        <w:autoSpaceDN w:val="0"/>
        <w:adjustRightInd w:val="0"/>
        <w:jc w:val="both"/>
        <w:rPr>
          <w:spacing w:val="-2"/>
        </w:rPr>
      </w:pPr>
      <w:r w:rsidRPr="009118AB">
        <w:rPr>
          <w:spacing w:val="-2"/>
        </w:rPr>
        <w:tab/>
        <w:t>[1</w:t>
      </w:r>
      <w:r w:rsidRPr="009118AB">
        <w:rPr>
          <w:i/>
          <w:iCs/>
          <w:spacing w:val="-2"/>
        </w:rPr>
        <w:t>bis</w:t>
      </w:r>
      <w:r w:rsidRPr="009118AB">
        <w:rPr>
          <w:spacing w:val="-2"/>
        </w:rPr>
        <w:t xml:space="preserve">. </w:t>
      </w:r>
      <w:r w:rsidR="00E00256" w:rsidRPr="009118AB">
        <w:rPr>
          <w:spacing w:val="-2"/>
        </w:rPr>
        <w:t>[…]</w:t>
      </w:r>
      <w:r w:rsidRPr="009118AB">
        <w:rPr>
          <w:spacing w:val="-2"/>
        </w:rPr>
        <w:t>]</w:t>
      </w:r>
    </w:p>
    <w:p w14:paraId="197422D8" w14:textId="77777777" w:rsidR="00477B8F" w:rsidRPr="009118AB" w:rsidRDefault="00477B8F" w:rsidP="00477B8F">
      <w:pPr>
        <w:autoSpaceDE w:val="0"/>
        <w:autoSpaceDN w:val="0"/>
        <w:adjustRightInd w:val="0"/>
        <w:jc w:val="both"/>
        <w:rPr>
          <w:spacing w:val="-2"/>
        </w:rPr>
      </w:pPr>
    </w:p>
    <w:p w14:paraId="73B185D0" w14:textId="77777777" w:rsidR="00AE61F5" w:rsidRPr="009118AB" w:rsidRDefault="00AE61F5">
      <w:pPr>
        <w:rPr>
          <w:spacing w:val="-2"/>
        </w:rPr>
      </w:pPr>
      <w:r w:rsidRPr="009118AB">
        <w:rPr>
          <w:spacing w:val="-2"/>
        </w:rPr>
        <w:br w:type="page"/>
      </w:r>
    </w:p>
    <w:p w14:paraId="1769692D" w14:textId="5E72C30C" w:rsidR="00477B8F" w:rsidRPr="009118AB" w:rsidRDefault="00477B8F" w:rsidP="00477B8F">
      <w:pPr>
        <w:autoSpaceDE w:val="0"/>
        <w:autoSpaceDN w:val="0"/>
        <w:adjustRightInd w:val="0"/>
        <w:jc w:val="both"/>
        <w:rPr>
          <w:spacing w:val="-2"/>
        </w:rPr>
      </w:pPr>
      <w:r w:rsidRPr="009118AB">
        <w:rPr>
          <w:spacing w:val="-2"/>
        </w:rPr>
        <w:lastRenderedPageBreak/>
        <w:tab/>
        <w:t>2. [auf 5 Prozent:</w:t>
      </w:r>
    </w:p>
    <w:p w14:paraId="41F4995F" w14:textId="77777777" w:rsidR="00477B8F" w:rsidRPr="009118AB" w:rsidRDefault="00477B8F" w:rsidP="00477B8F">
      <w:pPr>
        <w:autoSpaceDE w:val="0"/>
        <w:autoSpaceDN w:val="0"/>
        <w:adjustRightInd w:val="0"/>
        <w:jc w:val="both"/>
        <w:rPr>
          <w:spacing w:val="-2"/>
        </w:rPr>
      </w:pPr>
    </w:p>
    <w:p w14:paraId="5FACA9ED" w14:textId="77777777" w:rsidR="007E42EB" w:rsidRPr="009118AB" w:rsidRDefault="00477B8F" w:rsidP="00477B8F">
      <w:pPr>
        <w:autoSpaceDE w:val="0"/>
        <w:autoSpaceDN w:val="0"/>
        <w:adjustRightInd w:val="0"/>
        <w:jc w:val="both"/>
        <w:rPr>
          <w:spacing w:val="-2"/>
        </w:rPr>
      </w:pPr>
      <w:r w:rsidRPr="009118AB">
        <w:rPr>
          <w:spacing w:val="-2"/>
        </w:rPr>
        <w:tab/>
      </w:r>
      <w:r w:rsidRPr="009118AB">
        <w:rPr>
          <w:i/>
          <w:iCs/>
          <w:spacing w:val="-2"/>
        </w:rPr>
        <w:t>a)</w:t>
      </w:r>
      <w:r w:rsidRPr="009118AB">
        <w:rPr>
          <w:spacing w:val="-2"/>
        </w:rPr>
        <w:t xml:space="preserve"> </w:t>
      </w:r>
      <w:r w:rsidR="0042600B" w:rsidRPr="009118AB">
        <w:rPr>
          <w:spacing w:val="-2"/>
        </w:rPr>
        <w:t>[…]</w:t>
      </w:r>
    </w:p>
    <w:p w14:paraId="7DFFCFD2" w14:textId="77777777" w:rsidR="00C408AC" w:rsidRPr="009118AB" w:rsidRDefault="00C408AC" w:rsidP="00477B8F">
      <w:pPr>
        <w:autoSpaceDE w:val="0"/>
        <w:autoSpaceDN w:val="0"/>
        <w:adjustRightInd w:val="0"/>
        <w:jc w:val="both"/>
        <w:rPr>
          <w:spacing w:val="-2"/>
        </w:rPr>
      </w:pPr>
    </w:p>
    <w:p w14:paraId="13D0B147" w14:textId="120B5EE9" w:rsidR="00EF4CE2" w:rsidRPr="009118AB" w:rsidRDefault="00477B8F" w:rsidP="00EF4CE2">
      <w:pPr>
        <w:jc w:val="both"/>
        <w:rPr>
          <w:lang w:eastAsia="fr-BE"/>
        </w:rPr>
      </w:pPr>
      <w:r w:rsidRPr="009118AB">
        <w:rPr>
          <w:spacing w:val="2"/>
        </w:rPr>
        <w:tab/>
      </w:r>
      <w:r w:rsidRPr="009118AB">
        <w:rPr>
          <w:i/>
          <w:iCs/>
          <w:spacing w:val="2"/>
        </w:rPr>
        <w:t>b)</w:t>
      </w:r>
      <w:r w:rsidRPr="009118AB">
        <w:rPr>
          <w:spacing w:val="2"/>
        </w:rPr>
        <w:t xml:space="preserve"> [</w:t>
      </w:r>
      <w:r w:rsidR="00EF4CE2" w:rsidRPr="009118AB">
        <w:rPr>
          <w:lang w:eastAsia="fr-BE"/>
        </w:rPr>
        <w:t>für folgende Gesellschaften für Wohnkredite:</w:t>
      </w:r>
    </w:p>
    <w:p w14:paraId="482DB700" w14:textId="77777777" w:rsidR="00EF4CE2" w:rsidRPr="009118AB" w:rsidRDefault="00EF4CE2" w:rsidP="00EF4CE2">
      <w:pPr>
        <w:jc w:val="both"/>
        <w:rPr>
          <w:lang w:eastAsia="fr-BE"/>
        </w:rPr>
      </w:pPr>
    </w:p>
    <w:p w14:paraId="1CD25C69" w14:textId="0BEC00B6" w:rsidR="00EF4CE2" w:rsidRPr="009118AB" w:rsidRDefault="00EF4CE2" w:rsidP="00EF4CE2">
      <w:pPr>
        <w:jc w:val="both"/>
        <w:rPr>
          <w:lang w:eastAsia="fr-BE"/>
        </w:rPr>
      </w:pPr>
      <w:r w:rsidRPr="009118AB">
        <w:rPr>
          <w:lang w:eastAsia="fr-BE"/>
        </w:rPr>
        <w:tab/>
        <w:t xml:space="preserve">- "Vlaamse Maatschappij voor Sociaal Wonen", Wallonische Wohnungsbaugesellschaft, "Société du Logement de la Région de Bruxelles-Capitale"/"Brusselse Gewestelijke Huisvestingsmaatschappij", "Vlaamse Landmaatschappij" </w:t>
      </w:r>
      <w:r w:rsidR="006E21BE" w:rsidRPr="009118AB">
        <w:rPr>
          <w:lang w:eastAsia="fr-BE"/>
        </w:rPr>
        <w:t>[</w:t>
      </w:r>
      <w:r w:rsidR="006E21BE" w:rsidRPr="009118AB">
        <w:t>oder andere regionale Wohnungsbaugesellschaften</w:t>
      </w:r>
      <w:r w:rsidR="006E21BE" w:rsidRPr="009118AB">
        <w:rPr>
          <w:lang w:eastAsia="fr-BE"/>
        </w:rPr>
        <w:t xml:space="preserve">] </w:t>
      </w:r>
      <w:r w:rsidRPr="009118AB">
        <w:rPr>
          <w:lang w:eastAsia="fr-BE"/>
        </w:rPr>
        <w:t>und von ihnen oder von der zuständigen Regierung zugelassene lokale Gesellschaften für sozialen Wohnungsbau,</w:t>
      </w:r>
    </w:p>
    <w:p w14:paraId="4D2FE0B7" w14:textId="77777777" w:rsidR="00EF4CE2" w:rsidRPr="009118AB" w:rsidRDefault="00EF4CE2" w:rsidP="00EF4CE2">
      <w:pPr>
        <w:jc w:val="both"/>
        <w:rPr>
          <w:lang w:eastAsia="fr-BE"/>
        </w:rPr>
      </w:pPr>
    </w:p>
    <w:p w14:paraId="59D4AC9D" w14:textId="40CCABA4" w:rsidR="00477B8F" w:rsidRPr="009118AB" w:rsidRDefault="00EF4CE2" w:rsidP="00EF4CE2">
      <w:pPr>
        <w:autoSpaceDE w:val="0"/>
        <w:autoSpaceDN w:val="0"/>
        <w:adjustRightInd w:val="0"/>
        <w:jc w:val="both"/>
        <w:rPr>
          <w:spacing w:val="2"/>
        </w:rPr>
      </w:pPr>
      <w:r w:rsidRPr="009118AB">
        <w:rPr>
          <w:lang w:eastAsia="fr-BE"/>
        </w:rPr>
        <w:tab/>
        <w:t>- "Vlaams Woningfonds", Wallonische Gesellschaft für Sozialkredit, Wohnungsfonds der kinderreichen Familien der Wallonie und "Fonds du Logement de la Région de Bruxelles-Capitale"/"Woningfonds van het Brussels Hoofdstedelijk Gewest" und von der Flämischen Region, der Region Brüssel-Hauptstadt oder der Wallonischen Region zugelassene Gesellschaften und Einrichtungen, deren Zweck darin besteht, Darlehen zu gewähren für den Kauf von Grundstücken, für Kauf, Bau, Umbau, Renovierung oder Einrichten von Familienwohnungen und deren Ausstattung mit geeignetem Mobiliar oder für die Durchführung von Energiesparmaßnahmen.</w:t>
      </w:r>
      <w:r w:rsidR="00477B8F" w:rsidRPr="009118AB">
        <w:rPr>
          <w:spacing w:val="2"/>
        </w:rPr>
        <w:t>]]]</w:t>
      </w:r>
    </w:p>
    <w:p w14:paraId="4EEEF0A8" w14:textId="77777777" w:rsidR="00477B8F" w:rsidRPr="009118AB" w:rsidRDefault="00477B8F" w:rsidP="00477B8F">
      <w:pPr>
        <w:autoSpaceDE w:val="0"/>
        <w:autoSpaceDN w:val="0"/>
        <w:adjustRightInd w:val="0"/>
        <w:jc w:val="both"/>
        <w:rPr>
          <w:spacing w:val="2"/>
        </w:rPr>
      </w:pPr>
    </w:p>
    <w:p w14:paraId="3F932CE8" w14:textId="669A4A8E"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216 ersetzt durch </w:t>
      </w:r>
      <w:r w:rsidR="00D67EB8" w:rsidRPr="009118AB">
        <w:rPr>
          <w:i/>
          <w:iCs/>
        </w:rPr>
        <w:t>Art. </w:t>
      </w:r>
      <w:r w:rsidRPr="009118AB">
        <w:rPr>
          <w:i/>
          <w:iCs/>
        </w:rPr>
        <w:t xml:space="preserve">213 des G. vom 17. Juni 1991 (B.S. vom 9. Juli 1991), selbst ersetzt durch </w:t>
      </w:r>
      <w:r w:rsidR="00D67EB8" w:rsidRPr="009118AB">
        <w:rPr>
          <w:i/>
          <w:iCs/>
        </w:rPr>
        <w:t>Art. </w:t>
      </w:r>
      <w:r w:rsidRPr="009118AB">
        <w:rPr>
          <w:i/>
          <w:iCs/>
        </w:rPr>
        <w:t xml:space="preserve">35 des G. vom 28. Dezember 1992 (B.S. vom 31. Dezember 1992); </w:t>
      </w:r>
      <w:r w:rsidR="00E00256" w:rsidRPr="009118AB">
        <w:rPr>
          <w:i/>
          <w:iCs/>
        </w:rPr>
        <w:t xml:space="preserve">einziger Absatz </w:t>
      </w:r>
      <w:r w:rsidR="00D67EB8" w:rsidRPr="009118AB">
        <w:rPr>
          <w:i/>
          <w:iCs/>
        </w:rPr>
        <w:t>Nr. </w:t>
      </w:r>
      <w:r w:rsidR="00B818A6" w:rsidRPr="009118AB">
        <w:rPr>
          <w:i/>
          <w:iCs/>
        </w:rPr>
        <w:t>1 aufgehoben durch Art. 27</w:t>
      </w:r>
      <w:r w:rsidR="00B818A6" w:rsidRPr="009118AB">
        <w:rPr>
          <w:i/>
          <w:iCs/>
          <w:spacing w:val="-2"/>
        </w:rPr>
        <w:t xml:space="preserve"> des G. vom 5. Juli 2022 (B.S. vom 15. Juli 2022)</w:t>
      </w:r>
      <w:r w:rsidR="00E00256" w:rsidRPr="009118AB">
        <w:rPr>
          <w:i/>
          <w:iCs/>
        </w:rPr>
        <w:t xml:space="preserve">; </w:t>
      </w:r>
      <w:r w:rsidRPr="009118AB">
        <w:rPr>
          <w:i/>
          <w:iCs/>
        </w:rPr>
        <w:t xml:space="preserve">einziger Absatz </w:t>
      </w:r>
      <w:r w:rsidR="00D67EB8" w:rsidRPr="009118AB">
        <w:rPr>
          <w:i/>
          <w:iCs/>
        </w:rPr>
        <w:t>Nr. </w:t>
      </w:r>
      <w:r w:rsidRPr="009118AB">
        <w:rPr>
          <w:i/>
          <w:iCs/>
        </w:rPr>
        <w:t xml:space="preserve">1bis eingefügt durch </w:t>
      </w:r>
      <w:r w:rsidR="00D67EB8" w:rsidRPr="009118AB">
        <w:rPr>
          <w:i/>
          <w:iCs/>
        </w:rPr>
        <w:t>Art. </w:t>
      </w:r>
      <w:r w:rsidRPr="009118AB">
        <w:rPr>
          <w:i/>
          <w:iCs/>
        </w:rPr>
        <w:t xml:space="preserve">103 des G. vom 21. Dezember 1994 (B.S. vom 23. Dezember 1994) und </w:t>
      </w:r>
      <w:r w:rsidR="00E00256" w:rsidRPr="009118AB">
        <w:rPr>
          <w:i/>
          <w:iCs/>
        </w:rPr>
        <w:t xml:space="preserve">aufgehoben durch </w:t>
      </w:r>
      <w:r w:rsidR="00D67EB8" w:rsidRPr="009118AB">
        <w:rPr>
          <w:i/>
          <w:iCs/>
        </w:rPr>
        <w:t>Art. </w:t>
      </w:r>
      <w:r w:rsidR="00E00256" w:rsidRPr="009118AB">
        <w:rPr>
          <w:i/>
          <w:iCs/>
        </w:rPr>
        <w:t xml:space="preserve">148 </w:t>
      </w:r>
      <w:r w:rsidR="00D67EB8" w:rsidRPr="009118AB">
        <w:rPr>
          <w:i/>
          <w:iCs/>
        </w:rPr>
        <w:t>Nr. </w:t>
      </w:r>
      <w:r w:rsidR="00E00256" w:rsidRPr="009118AB">
        <w:rPr>
          <w:i/>
          <w:iCs/>
        </w:rPr>
        <w:t>2 des G. (I) vom 29. März 2012 (B.S. vom 6. April 2012)</w:t>
      </w:r>
      <w:r w:rsidR="00D67EB8" w:rsidRPr="009118AB">
        <w:rPr>
          <w:i/>
          <w:iCs/>
        </w:rPr>
        <w:t> - </w:t>
      </w:r>
      <w:r w:rsidR="00E00256" w:rsidRPr="009118AB">
        <w:rPr>
          <w:i/>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3366D9" w:rsidRPr="009118AB">
        <w:rPr>
          <w:i/>
        </w:rPr>
        <w:t> -;</w:t>
      </w:r>
      <w:r w:rsidRPr="009118AB">
        <w:rPr>
          <w:i/>
          <w:iCs/>
        </w:rPr>
        <w:t xml:space="preserve"> einziger Absatz </w:t>
      </w:r>
      <w:r w:rsidR="00D67EB8" w:rsidRPr="009118AB">
        <w:rPr>
          <w:i/>
          <w:iCs/>
        </w:rPr>
        <w:t>Nr. </w:t>
      </w:r>
      <w:r w:rsidRPr="009118AB">
        <w:rPr>
          <w:i/>
          <w:iCs/>
        </w:rPr>
        <w:t xml:space="preserve">2 ersetzt durch </w:t>
      </w:r>
      <w:r w:rsidR="00D67EB8" w:rsidRPr="009118AB">
        <w:rPr>
          <w:i/>
          <w:iCs/>
        </w:rPr>
        <w:t>Art. </w:t>
      </w:r>
      <w:r w:rsidRPr="009118AB">
        <w:rPr>
          <w:i/>
          <w:iCs/>
        </w:rPr>
        <w:t>32 des G. vom 22. Dezember 1998 (B.S.</w:t>
      </w:r>
      <w:r w:rsidR="00C137FE" w:rsidRPr="009118AB">
        <w:rPr>
          <w:i/>
          <w:iCs/>
        </w:rPr>
        <w:t> </w:t>
      </w:r>
      <w:r w:rsidRPr="009118AB">
        <w:rPr>
          <w:i/>
          <w:iCs/>
        </w:rPr>
        <w:t>vom 15. Januar 1999)</w:t>
      </w:r>
      <w:r w:rsidR="00D67EB8" w:rsidRPr="009118AB">
        <w:rPr>
          <w:i/>
          <w:iCs/>
        </w:rPr>
        <w:t> - </w:t>
      </w:r>
      <w:r w:rsidRPr="009118AB">
        <w:rPr>
          <w:i/>
          <w:iCs/>
        </w:rPr>
        <w:t>anwendbar ab dem Steuerjahr 1998</w:t>
      </w:r>
      <w:r w:rsidR="003366D9" w:rsidRPr="009118AB">
        <w:rPr>
          <w:i/>
          <w:iCs/>
        </w:rPr>
        <w:t> -;</w:t>
      </w:r>
      <w:r w:rsidRPr="009118AB">
        <w:rPr>
          <w:i/>
          <w:iCs/>
        </w:rPr>
        <w:t xml:space="preserve"> </w:t>
      </w:r>
      <w:r w:rsidR="00250228" w:rsidRPr="009118AB">
        <w:rPr>
          <w:i/>
          <w:iCs/>
        </w:rPr>
        <w:t xml:space="preserve">einziger Absatz </w:t>
      </w:r>
      <w:r w:rsidR="00D67EB8" w:rsidRPr="009118AB">
        <w:rPr>
          <w:i/>
          <w:iCs/>
        </w:rPr>
        <w:t>Nr. </w:t>
      </w:r>
      <w:r w:rsidR="00250228" w:rsidRPr="009118AB">
        <w:rPr>
          <w:i/>
          <w:iCs/>
        </w:rPr>
        <w:t xml:space="preserve">2 einziger Absatz Buchstabe a) aufgehoben durch </w:t>
      </w:r>
      <w:r w:rsidR="00D67EB8" w:rsidRPr="009118AB">
        <w:rPr>
          <w:i/>
          <w:iCs/>
        </w:rPr>
        <w:t>Art. </w:t>
      </w:r>
      <w:r w:rsidR="00250228" w:rsidRPr="009118AB">
        <w:rPr>
          <w:i/>
          <w:iCs/>
        </w:rPr>
        <w:t xml:space="preserve">49 des G. vom 18. Dezember 2015 (II) (B.S. vom 28. Dezember 2015); </w:t>
      </w:r>
      <w:r w:rsidRPr="009118AB">
        <w:rPr>
          <w:i/>
          <w:iCs/>
        </w:rPr>
        <w:t xml:space="preserve">einziger Absatz </w:t>
      </w:r>
      <w:r w:rsidR="00D67EB8" w:rsidRPr="009118AB">
        <w:rPr>
          <w:i/>
          <w:iCs/>
        </w:rPr>
        <w:t>Nr. </w:t>
      </w:r>
      <w:r w:rsidRPr="009118AB">
        <w:rPr>
          <w:i/>
          <w:iCs/>
        </w:rPr>
        <w:t xml:space="preserve">2 einziger Absatz Buchstabe b) ersetzt durch </w:t>
      </w:r>
      <w:r w:rsidR="00D67EB8" w:rsidRPr="009118AB">
        <w:rPr>
          <w:i/>
          <w:iCs/>
        </w:rPr>
        <w:t>Art. </w:t>
      </w:r>
      <w:r w:rsidR="00EF4CE2" w:rsidRPr="009118AB">
        <w:rPr>
          <w:i/>
          <w:iCs/>
        </w:rPr>
        <w:t>44 des G. vom 21. Januar 2022 (B.S. vom 28. Januar 2022)</w:t>
      </w:r>
      <w:r w:rsidR="006E21BE" w:rsidRPr="009118AB">
        <w:rPr>
          <w:i/>
          <w:iCs/>
        </w:rPr>
        <w:t>; einziger Absatz Nr. 2 einziger Absatz Buchstabe b) einziger Absatz erster Gedankenstrich abgeändert durch Art. 23 des G. vom 21. Dezember 2022 (II) (B.S. vom 29. Dezember 2022) - wirksam mit 1. Januar 2022 -</w:t>
      </w:r>
      <w:r w:rsidRPr="009118AB">
        <w:rPr>
          <w:i/>
          <w:iCs/>
        </w:rPr>
        <w:t>]</w:t>
      </w:r>
    </w:p>
    <w:p w14:paraId="0C2E8BE3" w14:textId="77777777" w:rsidR="00477B8F" w:rsidRPr="009118AB" w:rsidRDefault="00477B8F" w:rsidP="00477B8F">
      <w:pPr>
        <w:autoSpaceDE w:val="0"/>
        <w:autoSpaceDN w:val="0"/>
        <w:adjustRightInd w:val="0"/>
        <w:jc w:val="both"/>
      </w:pPr>
    </w:p>
    <w:p w14:paraId="70B94181" w14:textId="77777777" w:rsidR="00477B8F" w:rsidRPr="009118AB" w:rsidRDefault="00477B8F" w:rsidP="00477B8F">
      <w:pPr>
        <w:autoSpaceDE w:val="0"/>
        <w:autoSpaceDN w:val="0"/>
        <w:adjustRightInd w:val="0"/>
        <w:jc w:val="both"/>
      </w:pPr>
    </w:p>
    <w:p w14:paraId="0E12DAFE" w14:textId="77777777" w:rsidR="00477B8F" w:rsidRPr="009118AB" w:rsidRDefault="00474F8C" w:rsidP="00477B8F">
      <w:pPr>
        <w:autoSpaceDE w:val="0"/>
        <w:autoSpaceDN w:val="0"/>
        <w:adjustRightInd w:val="0"/>
        <w:jc w:val="center"/>
      </w:pPr>
      <w:r w:rsidRPr="009118AB">
        <w:br w:type="page"/>
      </w:r>
      <w:r w:rsidR="00477B8F" w:rsidRPr="009118AB">
        <w:lastRenderedPageBreak/>
        <w:t>[...]</w:t>
      </w:r>
    </w:p>
    <w:p w14:paraId="0467EFC2" w14:textId="77777777" w:rsidR="00477B8F" w:rsidRPr="009118AB" w:rsidRDefault="00477B8F" w:rsidP="00477B8F">
      <w:pPr>
        <w:autoSpaceDE w:val="0"/>
        <w:autoSpaceDN w:val="0"/>
        <w:adjustRightInd w:val="0"/>
        <w:jc w:val="center"/>
      </w:pPr>
    </w:p>
    <w:p w14:paraId="2265A2C5" w14:textId="6A7F60E9" w:rsidR="00477B8F" w:rsidRPr="009118AB" w:rsidRDefault="00477B8F" w:rsidP="00477B8F">
      <w:pPr>
        <w:autoSpaceDE w:val="0"/>
        <w:autoSpaceDN w:val="0"/>
        <w:adjustRightInd w:val="0"/>
        <w:jc w:val="both"/>
      </w:pPr>
      <w:r w:rsidRPr="009118AB">
        <w:rPr>
          <w:i/>
          <w:iCs/>
        </w:rPr>
        <w:t>[</w:t>
      </w:r>
      <w:r w:rsidR="003F0FB2" w:rsidRPr="009118AB">
        <w:rPr>
          <w:i/>
          <w:iCs/>
        </w:rPr>
        <w:t xml:space="preserve">Frühere </w:t>
      </w:r>
      <w:r w:rsidR="00E00256" w:rsidRPr="009118AB">
        <w:rPr>
          <w:i/>
          <w:iCs/>
        </w:rPr>
        <w:t xml:space="preserve">Unterteilung von </w:t>
      </w:r>
      <w:r w:rsidRPr="009118AB">
        <w:rPr>
          <w:i/>
          <w:iCs/>
        </w:rPr>
        <w:t>Unterabschnitt </w:t>
      </w:r>
      <w:r w:rsidR="00D74862" w:rsidRPr="009118AB">
        <w:rPr>
          <w:i/>
          <w:iCs/>
        </w:rPr>
        <w:t>2</w:t>
      </w:r>
      <w:r w:rsidRPr="009118AB">
        <w:rPr>
          <w:i/>
          <w:iCs/>
        </w:rPr>
        <w:t xml:space="preserve"> aufgehoben durch </w:t>
      </w:r>
      <w:r w:rsidR="00D67EB8" w:rsidRPr="009118AB">
        <w:rPr>
          <w:i/>
          <w:iCs/>
        </w:rPr>
        <w:t>Art. </w:t>
      </w:r>
      <w:r w:rsidRPr="009118AB">
        <w:rPr>
          <w:i/>
          <w:iCs/>
        </w:rPr>
        <w:t>13 des G. vom 24. Dezember 2002</w:t>
      </w:r>
      <w:r w:rsidR="00E00256" w:rsidRPr="009118AB">
        <w:rPr>
          <w:i/>
          <w:iCs/>
        </w:rPr>
        <w:t> </w:t>
      </w:r>
      <w:r w:rsidR="00D86BCC" w:rsidRPr="009118AB">
        <w:rPr>
          <w:i/>
          <w:iCs/>
        </w:rPr>
        <w:t>(II)</w:t>
      </w:r>
      <w:r w:rsidRPr="009118AB">
        <w:rPr>
          <w:i/>
          <w:iCs/>
        </w:rPr>
        <w:t xml:space="preserve"> (B.S. vom 31. Dezember 2002)</w:t>
      </w:r>
      <w:r w:rsidR="00D67EB8" w:rsidRPr="009118AB">
        <w:rPr>
          <w:i/>
          <w:iCs/>
        </w:rPr>
        <w:t> - </w:t>
      </w:r>
      <w:r w:rsidRPr="009118AB">
        <w:rPr>
          <w:i/>
          <w:iCs/>
        </w:rPr>
        <w:t>in Kraft ab dem Steuerjahr 2004</w:t>
      </w:r>
      <w:r w:rsidR="00FD68E8" w:rsidRPr="009118AB">
        <w:rPr>
          <w:i/>
          <w:iCs/>
        </w:rPr>
        <w:t> -]</w:t>
      </w:r>
    </w:p>
    <w:p w14:paraId="3022295F" w14:textId="77777777" w:rsidR="00477B8F" w:rsidRPr="009118AB" w:rsidRDefault="00477B8F" w:rsidP="00477B8F">
      <w:pPr>
        <w:autoSpaceDE w:val="0"/>
        <w:autoSpaceDN w:val="0"/>
        <w:adjustRightInd w:val="0"/>
        <w:jc w:val="both"/>
      </w:pPr>
    </w:p>
    <w:p w14:paraId="2999F821" w14:textId="77777777" w:rsidR="00477B8F" w:rsidRPr="009118AB" w:rsidRDefault="00477B8F" w:rsidP="00477B8F">
      <w:pPr>
        <w:autoSpaceDE w:val="0"/>
        <w:autoSpaceDN w:val="0"/>
        <w:adjustRightInd w:val="0"/>
        <w:jc w:val="both"/>
      </w:pPr>
    </w:p>
    <w:p w14:paraId="12D0E2EE" w14:textId="7B681212" w:rsidR="00052493" w:rsidRPr="009118AB" w:rsidRDefault="00D67EB8" w:rsidP="00532023">
      <w:pPr>
        <w:ind w:firstLine="708"/>
        <w:jc w:val="both"/>
        <w:rPr>
          <w:iCs/>
        </w:rPr>
      </w:pPr>
      <w:r w:rsidRPr="009118AB">
        <w:rPr>
          <w:b/>
          <w:bCs/>
        </w:rPr>
        <w:t>Art. </w:t>
      </w:r>
      <w:r w:rsidR="00477B8F" w:rsidRPr="009118AB">
        <w:rPr>
          <w:b/>
          <w:bCs/>
        </w:rPr>
        <w:t>217</w:t>
      </w:r>
      <w:r w:rsidRPr="009118AB">
        <w:t> - </w:t>
      </w:r>
      <w:r w:rsidR="00052493" w:rsidRPr="009118AB">
        <w:rPr>
          <w:iCs/>
        </w:rPr>
        <w:t>[Der Gesellschaftssteuersatz wird jedoch festgelegt:</w:t>
      </w:r>
    </w:p>
    <w:p w14:paraId="729E8F3D" w14:textId="77777777" w:rsidR="00052493" w:rsidRPr="009118AB" w:rsidRDefault="00052493" w:rsidP="00052493">
      <w:pPr>
        <w:jc w:val="both"/>
        <w:rPr>
          <w:iCs/>
        </w:rPr>
      </w:pPr>
    </w:p>
    <w:p w14:paraId="47E9FBA4" w14:textId="77777777" w:rsidR="00052493" w:rsidRPr="009118AB" w:rsidRDefault="00052493" w:rsidP="00532023">
      <w:pPr>
        <w:ind w:firstLine="708"/>
        <w:jc w:val="both"/>
        <w:rPr>
          <w:iCs/>
        </w:rPr>
      </w:pPr>
      <w:r w:rsidRPr="009118AB">
        <w:rPr>
          <w:iCs/>
        </w:rPr>
        <w:t>1. [auf [15 Prozent] in Bezug auf:</w:t>
      </w:r>
    </w:p>
    <w:p w14:paraId="76678C61" w14:textId="77777777" w:rsidR="00052493" w:rsidRPr="009118AB" w:rsidRDefault="00052493" w:rsidP="00052493">
      <w:pPr>
        <w:jc w:val="both"/>
        <w:rPr>
          <w:iCs/>
        </w:rPr>
      </w:pPr>
    </w:p>
    <w:p w14:paraId="7D816237" w14:textId="31B02994" w:rsidR="00052493" w:rsidRPr="009118AB" w:rsidRDefault="00052493" w:rsidP="00532023">
      <w:pPr>
        <w:ind w:firstLine="708"/>
        <w:jc w:val="both"/>
        <w:rPr>
          <w:iCs/>
        </w:rPr>
      </w:pPr>
      <w:r w:rsidRPr="009118AB">
        <w:rPr>
          <w:iCs/>
        </w:rPr>
        <w:t xml:space="preserve">- Summen, die bei einem in den Artikeln 46 </w:t>
      </w:r>
      <w:r w:rsidR="00D67EB8" w:rsidRPr="009118AB">
        <w:rPr>
          <w:iCs/>
        </w:rPr>
        <w:t>§ </w:t>
      </w:r>
      <w:r w:rsidRPr="009118AB">
        <w:rPr>
          <w:iCs/>
        </w:rPr>
        <w:t xml:space="preserve">1 Absatz 2, 210 </w:t>
      </w:r>
      <w:r w:rsidR="00D67EB8" w:rsidRPr="009118AB">
        <w:rPr>
          <w:iCs/>
        </w:rPr>
        <w:t>§ </w:t>
      </w:r>
      <w:r w:rsidRPr="009118AB">
        <w:rPr>
          <w:iCs/>
        </w:rPr>
        <w:t xml:space="preserve">1 </w:t>
      </w:r>
      <w:r w:rsidR="00D67EB8" w:rsidRPr="009118AB">
        <w:rPr>
          <w:iCs/>
        </w:rPr>
        <w:t>Nr. </w:t>
      </w:r>
      <w:r w:rsidRPr="009118AB">
        <w:rPr>
          <w:iCs/>
        </w:rPr>
        <w:t xml:space="preserve">5 und 6 und 211 </w:t>
      </w:r>
      <w:r w:rsidR="00D67EB8" w:rsidRPr="009118AB">
        <w:rPr>
          <w:iCs/>
        </w:rPr>
        <w:t>§ </w:t>
      </w:r>
      <w:r w:rsidRPr="009118AB">
        <w:rPr>
          <w:iCs/>
        </w:rPr>
        <w:t>1 Absatz 6 erwähnten Vorgang steuerpflichtig sind,</w:t>
      </w:r>
    </w:p>
    <w:p w14:paraId="67A1D748" w14:textId="77777777" w:rsidR="00052493" w:rsidRPr="009118AB" w:rsidRDefault="00052493" w:rsidP="00052493">
      <w:pPr>
        <w:jc w:val="both"/>
        <w:rPr>
          <w:iCs/>
        </w:rPr>
      </w:pPr>
    </w:p>
    <w:p w14:paraId="46CCD65F" w14:textId="5B629A09" w:rsidR="00052493" w:rsidRPr="009118AB" w:rsidRDefault="00052493" w:rsidP="00532023">
      <w:pPr>
        <w:ind w:firstLine="708"/>
        <w:jc w:val="both"/>
        <w:rPr>
          <w:iCs/>
        </w:rPr>
      </w:pPr>
      <w:r w:rsidRPr="009118AB">
        <w:rPr>
          <w:iCs/>
        </w:rPr>
        <w:t>- einen Mehrwert, der verwirklicht wird bei einer ausschließlich durch neue Aktien oder Anteile vergüteten Einbringung eines unbeweglichen Gutes in eine Investmentgesellschaft mit fixem Kapital für Immobilien</w:t>
      </w:r>
      <w:r w:rsidR="006E21BE" w:rsidRPr="009118AB">
        <w:rPr>
          <w:iCs/>
        </w:rPr>
        <w:t>[</w:t>
      </w:r>
      <w:r w:rsidR="006E21BE" w:rsidRPr="009118AB">
        <w:t>, eine beaufsichtigte Immobiliengesellschaft oder einen europäischen langfristigen Investmentfonds, die/der von der Autorität Finanzielle Dienste und Märkte zugelassen ist, oder in eine beim FÖD Finanzen im Verzeichnis der spezialisierten Immobilieninvestmentfonds eingetragene Gesellschaft</w:t>
      </w:r>
      <w:r w:rsidR="006E21BE" w:rsidRPr="009118AB">
        <w:rPr>
          <w:iCs/>
        </w:rPr>
        <w:t>]</w:t>
      </w:r>
      <w:r w:rsidRPr="009118AB">
        <w:rPr>
          <w:iCs/>
        </w:rPr>
        <w:t>, insofern die in Artikel 185</w:t>
      </w:r>
      <w:r w:rsidRPr="009118AB">
        <w:rPr>
          <w:i/>
          <w:iCs/>
        </w:rPr>
        <w:t>bis</w:t>
      </w:r>
      <w:r w:rsidRPr="009118AB">
        <w:rPr>
          <w:iCs/>
        </w:rPr>
        <w:t xml:space="preserve"> vorgesehene Regelung auf sie angewandt wird,]</w:t>
      </w:r>
    </w:p>
    <w:p w14:paraId="3B48E5F6" w14:textId="77777777" w:rsidR="00052493" w:rsidRPr="009118AB" w:rsidRDefault="00052493" w:rsidP="00052493">
      <w:pPr>
        <w:jc w:val="both"/>
        <w:rPr>
          <w:iCs/>
        </w:rPr>
      </w:pPr>
    </w:p>
    <w:p w14:paraId="76AAD3F9" w14:textId="77777777" w:rsidR="00052493" w:rsidRPr="009118AB" w:rsidRDefault="00052493" w:rsidP="00532023">
      <w:pPr>
        <w:ind w:firstLine="708"/>
        <w:jc w:val="both"/>
        <w:rPr>
          <w:iCs/>
        </w:rPr>
      </w:pPr>
      <w:r w:rsidRPr="009118AB">
        <w:rPr>
          <w:iCs/>
        </w:rPr>
        <w:t>2. […]</w:t>
      </w:r>
    </w:p>
    <w:p w14:paraId="1292EDD9" w14:textId="77777777" w:rsidR="00052493" w:rsidRPr="009118AB" w:rsidRDefault="00052493" w:rsidP="00052493">
      <w:pPr>
        <w:jc w:val="both"/>
        <w:rPr>
          <w:iCs/>
        </w:rPr>
      </w:pPr>
    </w:p>
    <w:p w14:paraId="29BB5102" w14:textId="77777777" w:rsidR="00052493" w:rsidRPr="009118AB" w:rsidRDefault="00052493" w:rsidP="00532023">
      <w:pPr>
        <w:ind w:firstLine="708"/>
        <w:jc w:val="both"/>
        <w:rPr>
          <w:iCs/>
        </w:rPr>
      </w:pPr>
      <w:r w:rsidRPr="009118AB">
        <w:rPr>
          <w:iCs/>
        </w:rPr>
        <w:t>[3. […]]</w:t>
      </w:r>
    </w:p>
    <w:p w14:paraId="121F95E4" w14:textId="77777777" w:rsidR="00052493" w:rsidRPr="009118AB" w:rsidRDefault="00052493" w:rsidP="00052493">
      <w:pPr>
        <w:jc w:val="both"/>
        <w:rPr>
          <w:iCs/>
        </w:rPr>
      </w:pPr>
    </w:p>
    <w:p w14:paraId="60C60F56" w14:textId="77777777" w:rsidR="00052493" w:rsidRPr="009118AB" w:rsidRDefault="00052493" w:rsidP="00532023">
      <w:pPr>
        <w:ind w:firstLine="708"/>
        <w:jc w:val="both"/>
        <w:rPr>
          <w:iCs/>
        </w:rPr>
      </w:pPr>
      <w:r w:rsidRPr="009118AB">
        <w:rPr>
          <w:iCs/>
        </w:rPr>
        <w:t>[4. [auf 5 Prozent in Bezug auf Kapital- und Zinszuschüsse, die Landwirten im Rahmen von Beihilfen für die Landwirtschaft von den zuständigen regionalen Einrichtungen unter Beachtung der europäischen Vorschriften im Bereich der staatlichen Beihilfen gezahlt werden im Hinblick auf Niederlassung, Existenzgründung und/oder Erwerb oder Bildung von immateriellen Anlagen und Sachanlagen.]]</w:t>
      </w:r>
    </w:p>
    <w:p w14:paraId="29474955" w14:textId="77777777" w:rsidR="00052493" w:rsidRPr="009118AB" w:rsidRDefault="00052493" w:rsidP="00052493">
      <w:pPr>
        <w:jc w:val="both"/>
        <w:rPr>
          <w:iCs/>
        </w:rPr>
      </w:pPr>
    </w:p>
    <w:p w14:paraId="2ED51BB8" w14:textId="49573650" w:rsidR="00052493" w:rsidRPr="009118AB" w:rsidRDefault="00052493" w:rsidP="00532023">
      <w:pPr>
        <w:ind w:firstLine="708"/>
        <w:jc w:val="both"/>
        <w:rPr>
          <w:iCs/>
        </w:rPr>
      </w:pPr>
      <w:r w:rsidRPr="009118AB">
        <w:rPr>
          <w:iCs/>
        </w:rPr>
        <w:t xml:space="preserve">[Der in Absatz 1 </w:t>
      </w:r>
      <w:r w:rsidR="00D67EB8" w:rsidRPr="009118AB">
        <w:rPr>
          <w:iCs/>
        </w:rPr>
        <w:t>Nr. </w:t>
      </w:r>
      <w:r w:rsidRPr="009118AB">
        <w:rPr>
          <w:iCs/>
        </w:rPr>
        <w:t>4 erwähnte Satz gilt, wenn die Zuschüsse sich auf Investitionen in Sachanlagen oder in immaterielle Anlagen beziehen, die abschreibbar sind und nicht aufgrund der Artikel 44</w:t>
      </w:r>
      <w:r w:rsidRPr="009118AB">
        <w:rPr>
          <w:i/>
          <w:iCs/>
        </w:rPr>
        <w:t>bis</w:t>
      </w:r>
      <w:r w:rsidRPr="009118AB">
        <w:rPr>
          <w:iCs/>
        </w:rPr>
        <w:t>, 44</w:t>
      </w:r>
      <w:r w:rsidRPr="009118AB">
        <w:rPr>
          <w:i/>
          <w:iCs/>
        </w:rPr>
        <w:t>ter</w:t>
      </w:r>
      <w:r w:rsidRPr="009118AB">
        <w:rPr>
          <w:iCs/>
        </w:rPr>
        <w:t>, 47 und 194</w:t>
      </w:r>
      <w:r w:rsidRPr="009118AB">
        <w:rPr>
          <w:i/>
          <w:iCs/>
        </w:rPr>
        <w:t>quater</w:t>
      </w:r>
      <w:r w:rsidRPr="009118AB">
        <w:rPr>
          <w:iCs/>
        </w:rPr>
        <w:t xml:space="preserve"> als Wiederanlage gelten.</w:t>
      </w:r>
      <w:r w:rsidR="001E5326" w:rsidRPr="009118AB">
        <w:rPr>
          <w:iCs/>
        </w:rPr>
        <w:t>]</w:t>
      </w:r>
    </w:p>
    <w:p w14:paraId="40953384" w14:textId="77777777" w:rsidR="00052493" w:rsidRPr="009118AB" w:rsidRDefault="00052493" w:rsidP="00052493">
      <w:pPr>
        <w:jc w:val="both"/>
        <w:rPr>
          <w:iCs/>
        </w:rPr>
      </w:pPr>
    </w:p>
    <w:p w14:paraId="36E62858" w14:textId="4B73E1E9" w:rsidR="00052493" w:rsidRPr="009118AB" w:rsidRDefault="001E5326" w:rsidP="00532023">
      <w:pPr>
        <w:ind w:firstLine="708"/>
        <w:jc w:val="both"/>
        <w:rPr>
          <w:iCs/>
        </w:rPr>
      </w:pPr>
      <w:r w:rsidRPr="009118AB">
        <w:rPr>
          <w:iCs/>
        </w:rPr>
        <w:t>[</w:t>
      </w:r>
      <w:r w:rsidR="00B436DD" w:rsidRPr="009118AB">
        <w:rPr>
          <w:iCs/>
        </w:rPr>
        <w:t>..</w:t>
      </w:r>
      <w:r w:rsidR="00052493" w:rsidRPr="009118AB">
        <w:rPr>
          <w:iCs/>
        </w:rPr>
        <w:t>.</w:t>
      </w:r>
      <w:r w:rsidRPr="009118AB">
        <w:rPr>
          <w:iCs/>
        </w:rPr>
        <w:t>]</w:t>
      </w:r>
    </w:p>
    <w:p w14:paraId="36A68632" w14:textId="77777777" w:rsidR="00052493" w:rsidRPr="009118AB" w:rsidRDefault="00052493" w:rsidP="00052493">
      <w:pPr>
        <w:jc w:val="both"/>
        <w:rPr>
          <w:iCs/>
        </w:rPr>
      </w:pPr>
    </w:p>
    <w:p w14:paraId="2D76F7EB" w14:textId="4BFCD7E0" w:rsidR="00052493" w:rsidRPr="009118AB" w:rsidRDefault="001E5326" w:rsidP="00532023">
      <w:pPr>
        <w:ind w:firstLine="708"/>
        <w:jc w:val="both"/>
        <w:rPr>
          <w:iCs/>
        </w:rPr>
      </w:pPr>
      <w:r w:rsidRPr="009118AB">
        <w:rPr>
          <w:iCs/>
        </w:rPr>
        <w:t>[</w:t>
      </w:r>
      <w:r w:rsidR="00052493" w:rsidRPr="009118AB">
        <w:rPr>
          <w:iCs/>
        </w:rPr>
        <w:t xml:space="preserve">Im Falle der Veräußerung einer der in Absatz 1 </w:t>
      </w:r>
      <w:r w:rsidR="00D67EB8" w:rsidRPr="009118AB">
        <w:rPr>
          <w:iCs/>
        </w:rPr>
        <w:t>Nr. </w:t>
      </w:r>
      <w:r w:rsidR="00052493" w:rsidRPr="009118AB">
        <w:rPr>
          <w:iCs/>
        </w:rPr>
        <w:t>4 erwähnten Anlagen</w:t>
      </w:r>
      <w:r w:rsidR="00D67EB8" w:rsidRPr="009118AB">
        <w:rPr>
          <w:iCs/>
        </w:rPr>
        <w:t> - </w:t>
      </w:r>
      <w:r w:rsidR="00052493" w:rsidRPr="009118AB">
        <w:rPr>
          <w:iCs/>
        </w:rPr>
        <w:t>außer einer Veräußerung anlässlich eines Schadensfalls, einer Enteignung, einer Eigentumsrequirierung oder eines anderen ähnlichen Ereignisses</w:t>
      </w:r>
      <w:r w:rsidR="00FD68E8" w:rsidRPr="009118AB">
        <w:rPr>
          <w:iCs/>
        </w:rPr>
        <w:t> -,</w:t>
      </w:r>
      <w:r w:rsidR="00052493" w:rsidRPr="009118AB">
        <w:rPr>
          <w:iCs/>
        </w:rPr>
        <w:t xml:space="preserve"> die in den ersten drei Jahren der Investition erfolgt, wird die ermäßigte Besteuerung in Bezug auf diese Anlage ab dem Besteuerungs</w:t>
      </w:r>
      <w:r w:rsidR="00052493" w:rsidRPr="009118AB">
        <w:rPr>
          <w:iCs/>
        </w:rPr>
        <w:softHyphen/>
        <w:t>zeitraum, in dem die Veräußerung stattfand, nicht mehr gewährt.]</w:t>
      </w:r>
    </w:p>
    <w:p w14:paraId="4811BE59" w14:textId="77777777" w:rsidR="00052493" w:rsidRPr="009118AB" w:rsidRDefault="00052493" w:rsidP="00052493">
      <w:pPr>
        <w:jc w:val="both"/>
        <w:rPr>
          <w:iCs/>
        </w:rPr>
      </w:pPr>
    </w:p>
    <w:p w14:paraId="6BC03D36" w14:textId="1C7F5469" w:rsidR="00052493" w:rsidRPr="009118AB" w:rsidRDefault="00052493" w:rsidP="00532023">
      <w:pPr>
        <w:jc w:val="both"/>
        <w:rPr>
          <w:i/>
          <w:iCs/>
        </w:rPr>
      </w:pPr>
      <w:r w:rsidRPr="009118AB">
        <w:rPr>
          <w:i/>
          <w:iCs/>
        </w:rPr>
        <w:t>[</w:t>
      </w:r>
      <w:r w:rsidR="00D67EB8" w:rsidRPr="009118AB">
        <w:rPr>
          <w:i/>
          <w:iCs/>
        </w:rPr>
        <w:t>Art. </w:t>
      </w:r>
      <w:r w:rsidRPr="009118AB">
        <w:rPr>
          <w:i/>
          <w:iCs/>
        </w:rPr>
        <w:t xml:space="preserve">217 aufgehoben durch </w:t>
      </w:r>
      <w:r w:rsidR="00D67EB8" w:rsidRPr="009118AB">
        <w:rPr>
          <w:i/>
          <w:iCs/>
        </w:rPr>
        <w:t>Art. </w:t>
      </w:r>
      <w:r w:rsidRPr="009118AB">
        <w:rPr>
          <w:i/>
          <w:iCs/>
        </w:rPr>
        <w:t>13 des G. vom 24. Dezember 2002 (II) (B.S. vom 31. Dezember 2002)</w:t>
      </w:r>
      <w:r w:rsidR="00D67EB8" w:rsidRPr="009118AB">
        <w:rPr>
          <w:i/>
          <w:iCs/>
        </w:rPr>
        <w:t> - </w:t>
      </w:r>
      <w:r w:rsidRPr="009118AB">
        <w:rPr>
          <w:i/>
          <w:iCs/>
        </w:rPr>
        <w:t>in Kraft ab dem Steuerjahr 2004</w:t>
      </w:r>
      <w:r w:rsidR="00D67EB8" w:rsidRPr="009118AB">
        <w:rPr>
          <w:i/>
          <w:iCs/>
        </w:rPr>
        <w:t> - </w:t>
      </w:r>
      <w:r w:rsidRPr="009118AB">
        <w:rPr>
          <w:i/>
          <w:iCs/>
        </w:rPr>
        <w:t xml:space="preserve">und wieder aufgenommen durch </w:t>
      </w:r>
      <w:r w:rsidR="00D67EB8" w:rsidRPr="009118AB">
        <w:rPr>
          <w:i/>
          <w:iCs/>
        </w:rPr>
        <w:t>Art. </w:t>
      </w:r>
      <w:r w:rsidRPr="009118AB">
        <w:rPr>
          <w:i/>
          <w:iCs/>
        </w:rPr>
        <w:t>149 des G. (I) vom 29. März 2012 (B.S. vom 6. April 2012)</w:t>
      </w:r>
      <w:r w:rsidR="00D67EB8" w:rsidRPr="009118AB">
        <w:rPr>
          <w:i/>
          <w:iCs/>
        </w:rPr>
        <w:t> - </w:t>
      </w:r>
      <w:r w:rsidRPr="009118AB">
        <w:rPr>
          <w:i/>
          <w:iCs/>
        </w:rPr>
        <w:t xml:space="preserve">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w:t>
      </w:r>
      <w:r w:rsidRPr="009118AB">
        <w:rPr>
          <w:i/>
          <w:iCs/>
        </w:rPr>
        <w:lastRenderedPageBreak/>
        <w:t>Besteuerungszeitraum, der frühestens am 6. April 2012 endet und an das Steuerjahr 2012 gebunden ist</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1 ersetzt durch </w:t>
      </w:r>
      <w:r w:rsidR="00D67EB8" w:rsidRPr="009118AB">
        <w:rPr>
          <w:i/>
          <w:iCs/>
        </w:rPr>
        <w:t>Art. </w:t>
      </w:r>
      <w:r w:rsidRPr="009118AB">
        <w:rPr>
          <w:i/>
          <w:iCs/>
        </w:rPr>
        <w:t>14 des G. (II) vom 3. August 2016 (VI) (B.S. vom 16. August 2016)</w:t>
      </w:r>
      <w:r w:rsidR="00D67EB8" w:rsidRPr="009118AB">
        <w:rPr>
          <w:i/>
          <w:iCs/>
        </w:rPr>
        <w:t> - </w:t>
      </w:r>
      <w:r w:rsidRPr="009118AB">
        <w:rPr>
          <w:i/>
          <w:iCs/>
        </w:rPr>
        <w:t>in Kraft ab dem Steuerjahr 2016 für Vorgänge und Einkünfte, die ab dem 1. Juli 2016 stattfinden beziehungsweise zuerkannt oder ausgeschüttet werden</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1 einziger Absatz einleitende Bestimmung abgeändert durch </w:t>
      </w:r>
      <w:r w:rsidR="00D67EB8" w:rsidRPr="009118AB">
        <w:rPr>
          <w:i/>
          <w:iCs/>
        </w:rPr>
        <w:t>Art. </w:t>
      </w:r>
      <w:r w:rsidRPr="009118AB">
        <w:rPr>
          <w:i/>
          <w:iCs/>
        </w:rPr>
        <w:t xml:space="preserve">55 </w:t>
      </w:r>
      <w:r w:rsidR="00D67EB8" w:rsidRPr="009118AB">
        <w:rPr>
          <w:i/>
          <w:iCs/>
        </w:rPr>
        <w:t>Nr. </w:t>
      </w:r>
      <w:r w:rsidRPr="009118AB">
        <w:rPr>
          <w:i/>
          <w:iCs/>
        </w:rPr>
        <w:t>1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r w:rsidR="00E5178F" w:rsidRPr="009118AB">
        <w:rPr>
          <w:i/>
          <w:iCs/>
        </w:rPr>
        <w:t xml:space="preserve"> selbst widerrufen durch </w:t>
      </w:r>
      <w:r w:rsidR="00D67EB8" w:rsidRPr="009118AB">
        <w:rPr>
          <w:i/>
          <w:iCs/>
        </w:rPr>
        <w:t>Art. </w:t>
      </w:r>
      <w:r w:rsidR="00E5178F" w:rsidRPr="009118AB">
        <w:rPr>
          <w:i/>
          <w:iCs/>
        </w:rPr>
        <w:t xml:space="preserve">40 des G. vom 30. Juli 2018 (I) (B.S. vom 10. August 2018), und durch </w:t>
      </w:r>
      <w:r w:rsidR="00D67EB8" w:rsidRPr="009118AB">
        <w:rPr>
          <w:i/>
          <w:iCs/>
        </w:rPr>
        <w:t>Art. </w:t>
      </w:r>
      <w:r w:rsidR="00E5178F" w:rsidRPr="009118AB">
        <w:rPr>
          <w:i/>
          <w:iCs/>
        </w:rPr>
        <w:t xml:space="preserve">10 </w:t>
      </w:r>
      <w:r w:rsidR="00D67EB8" w:rsidRPr="009118AB">
        <w:rPr>
          <w:i/>
          <w:iCs/>
        </w:rPr>
        <w:t>Nr. </w:t>
      </w:r>
      <w:r w:rsidR="00E5178F" w:rsidRPr="009118AB">
        <w:rPr>
          <w:i/>
          <w:iCs/>
        </w:rPr>
        <w:t>1 des G. vom 30. Juli 2018 (I) (B.S. vom 10. August 2018)</w:t>
      </w:r>
      <w:r w:rsidR="00D67EB8" w:rsidRPr="009118AB">
        <w:rPr>
          <w:i/>
          <w:iCs/>
        </w:rPr>
        <w:t> - </w:t>
      </w:r>
      <w:r w:rsidR="00E5178F" w:rsidRPr="009118AB">
        <w:rPr>
          <w:i/>
          <w:iCs/>
        </w:rPr>
        <w:t>in Kraft am 10. August 2018 und anwendbar auf Vorgänge, die ab dem 1. Januar 2018 stattgefunden haben</w:t>
      </w:r>
      <w:r w:rsidR="00FD68E8" w:rsidRPr="009118AB">
        <w:rPr>
          <w:i/>
          <w:iCs/>
        </w:rPr>
        <w:t> -,</w:t>
      </w:r>
      <w:r w:rsidRPr="009118AB">
        <w:rPr>
          <w:i/>
          <w:iCs/>
        </w:rPr>
        <w:t xml:space="preserve"> </w:t>
      </w:r>
      <w:r w:rsidR="00D67EB8" w:rsidRPr="009118AB">
        <w:rPr>
          <w:i/>
          <w:iCs/>
        </w:rPr>
        <w:t>Art. </w:t>
      </w:r>
      <w:r w:rsidRPr="009118AB">
        <w:rPr>
          <w:i/>
          <w:iCs/>
        </w:rPr>
        <w:t xml:space="preserve">55 </w:t>
      </w:r>
      <w:r w:rsidR="00D67EB8" w:rsidRPr="009118AB">
        <w:rPr>
          <w:i/>
          <w:iCs/>
        </w:rPr>
        <w:t>Nr. </w:t>
      </w:r>
      <w:r w:rsidRPr="009118AB">
        <w:rPr>
          <w:i/>
          <w:iCs/>
        </w:rPr>
        <w:t>2 des G. vom 25.</w:t>
      </w:r>
      <w:r w:rsidR="00DD12DB" w:rsidRPr="009118AB">
        <w:rPr>
          <w:i/>
          <w:iCs/>
        </w:rPr>
        <w:t> </w:t>
      </w:r>
      <w:r w:rsidRPr="009118AB">
        <w:rPr>
          <w:i/>
          <w:iCs/>
        </w:rPr>
        <w:t>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w:t>
      </w:r>
      <w:r w:rsidR="00E5178F" w:rsidRPr="009118AB">
        <w:rPr>
          <w:i/>
          <w:iCs/>
        </w:rPr>
        <w:t> </w:t>
      </w:r>
      <w:r w:rsidRPr="009118AB">
        <w:rPr>
          <w:i/>
          <w:iCs/>
        </w:rPr>
        <w:t>Januar</w:t>
      </w:r>
      <w:r w:rsidR="00E5178F" w:rsidRPr="009118AB">
        <w:rPr>
          <w:i/>
          <w:iCs/>
        </w:rPr>
        <w:t> </w:t>
      </w:r>
      <w:r w:rsidRPr="009118AB">
        <w:rPr>
          <w:i/>
          <w:iCs/>
        </w:rPr>
        <w:t>2020 beginnt</w:t>
      </w:r>
      <w:r w:rsidR="00FD68E8" w:rsidRPr="009118AB">
        <w:rPr>
          <w:i/>
          <w:iCs/>
        </w:rPr>
        <w:t> -,</w:t>
      </w:r>
      <w:r w:rsidR="00E5178F" w:rsidRPr="009118AB">
        <w:rPr>
          <w:i/>
          <w:iCs/>
        </w:rPr>
        <w:t xml:space="preserve"> selbst widerrufen durch </w:t>
      </w:r>
      <w:r w:rsidR="00D67EB8" w:rsidRPr="009118AB">
        <w:rPr>
          <w:i/>
          <w:iCs/>
        </w:rPr>
        <w:t>Art. </w:t>
      </w:r>
      <w:r w:rsidR="00E5178F" w:rsidRPr="009118AB">
        <w:rPr>
          <w:i/>
          <w:iCs/>
        </w:rPr>
        <w:t xml:space="preserve">40 des G. vom 30. Juli 2018 (I) (B.S. vom 10. August 2018), und durch </w:t>
      </w:r>
      <w:r w:rsidR="00D67EB8" w:rsidRPr="009118AB">
        <w:rPr>
          <w:i/>
          <w:iCs/>
        </w:rPr>
        <w:t>Art. </w:t>
      </w:r>
      <w:r w:rsidR="00E5178F" w:rsidRPr="009118AB">
        <w:rPr>
          <w:i/>
          <w:iCs/>
        </w:rPr>
        <w:t xml:space="preserve">10 </w:t>
      </w:r>
      <w:r w:rsidR="00D67EB8" w:rsidRPr="009118AB">
        <w:rPr>
          <w:i/>
          <w:iCs/>
        </w:rPr>
        <w:t>Nr. </w:t>
      </w:r>
      <w:r w:rsidR="00E5178F" w:rsidRPr="009118AB">
        <w:rPr>
          <w:i/>
          <w:iCs/>
        </w:rPr>
        <w:t>2 des G. vom 30. Juli 2018 (I) (B.S. vom 10. August 2018)</w:t>
      </w:r>
      <w:r w:rsidR="00D67EB8" w:rsidRPr="009118AB">
        <w:rPr>
          <w:i/>
          <w:iCs/>
        </w:rPr>
        <w:t> - </w:t>
      </w:r>
      <w:r w:rsidR="00E5178F" w:rsidRPr="009118AB">
        <w:rPr>
          <w:i/>
          <w:iCs/>
        </w:rPr>
        <w:t>in Kraft am 1. Januar 2020 und anwendbar auf Vorgänge, die ab dem 1. Januar 2020 stattgefunden haben</w:t>
      </w:r>
      <w:r w:rsidR="003366D9" w:rsidRPr="009118AB">
        <w:rPr>
          <w:i/>
          <w:iCs/>
        </w:rPr>
        <w:t> -</w:t>
      </w:r>
      <w:r w:rsidR="006E21BE" w:rsidRPr="009118AB">
        <w:rPr>
          <w:i/>
          <w:iCs/>
        </w:rPr>
        <w:t xml:space="preserve">; Abs. 1 Nr. 1 einziger Absatz </w:t>
      </w:r>
      <w:r w:rsidR="00CA61DC" w:rsidRPr="009118AB">
        <w:rPr>
          <w:i/>
          <w:iCs/>
        </w:rPr>
        <w:t xml:space="preserve">zweiter Gedankenstrich abgeändert durch Art. 24 des G. vom 21. Dezember 2022 (II) (B.S. vom 29. Dezember 2022); </w:t>
      </w:r>
      <w:r w:rsidR="00D67EB8" w:rsidRPr="009118AB">
        <w:rPr>
          <w:i/>
          <w:iCs/>
        </w:rPr>
        <w:t>Abs. </w:t>
      </w:r>
      <w:r w:rsidRPr="009118AB">
        <w:rPr>
          <w:i/>
          <w:iCs/>
        </w:rPr>
        <w:t xml:space="preserve">1 </w:t>
      </w:r>
      <w:r w:rsidR="00D67EB8" w:rsidRPr="009118AB">
        <w:rPr>
          <w:i/>
          <w:iCs/>
        </w:rPr>
        <w:t>Nr. </w:t>
      </w:r>
      <w:r w:rsidRPr="009118AB">
        <w:rPr>
          <w:i/>
          <w:iCs/>
        </w:rPr>
        <w:t xml:space="preserve">2 aufgehoben durch </w:t>
      </w:r>
      <w:r w:rsidR="00D67EB8" w:rsidRPr="009118AB">
        <w:rPr>
          <w:i/>
          <w:iCs/>
        </w:rPr>
        <w:t>Art. </w:t>
      </w:r>
      <w:r w:rsidRPr="009118AB">
        <w:rPr>
          <w:i/>
          <w:iCs/>
        </w:rPr>
        <w:t xml:space="preserve">55 </w:t>
      </w:r>
      <w:r w:rsidR="00D67EB8" w:rsidRPr="009118AB">
        <w:rPr>
          <w:i/>
          <w:iCs/>
        </w:rPr>
        <w:t>Nr. </w:t>
      </w:r>
      <w:r w:rsidRPr="009118AB">
        <w:rPr>
          <w:i/>
          <w:iCs/>
        </w:rPr>
        <w:t>4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3 eingefügt durch </w:t>
      </w:r>
      <w:r w:rsidR="00D67EB8" w:rsidRPr="009118AB">
        <w:rPr>
          <w:i/>
          <w:iCs/>
        </w:rPr>
        <w:t>Art. </w:t>
      </w:r>
      <w:r w:rsidRPr="009118AB">
        <w:rPr>
          <w:i/>
          <w:iCs/>
        </w:rPr>
        <w:t>100 des G. vom 27. Dezember 2012</w:t>
      </w:r>
      <w:r w:rsidR="00D27B17" w:rsidRPr="009118AB">
        <w:rPr>
          <w:i/>
          <w:iCs/>
        </w:rPr>
        <w:t xml:space="preserve"> (B.S. vom 31. Dezember 2012)</w:t>
      </w:r>
      <w:r w:rsidR="00D67EB8" w:rsidRPr="009118AB">
        <w:rPr>
          <w:i/>
          <w:iCs/>
        </w:rPr>
        <w:t> - </w:t>
      </w:r>
      <w:r w:rsidRPr="009118AB">
        <w:rPr>
          <w:i/>
          <w:iCs/>
        </w:rPr>
        <w:t>anwendbar ab dem Steuerjahr 2014</w:t>
      </w:r>
      <w:r w:rsidR="00D67EB8" w:rsidRPr="009118AB">
        <w:rPr>
          <w:i/>
          <w:iCs/>
        </w:rPr>
        <w:t> - </w:t>
      </w:r>
      <w:r w:rsidRPr="009118AB">
        <w:rPr>
          <w:i/>
          <w:iCs/>
        </w:rPr>
        <w:t xml:space="preserve">und aufgehoben durch </w:t>
      </w:r>
      <w:r w:rsidR="00D67EB8" w:rsidRPr="009118AB">
        <w:rPr>
          <w:i/>
          <w:iCs/>
        </w:rPr>
        <w:t>Art. </w:t>
      </w:r>
      <w:r w:rsidRPr="009118AB">
        <w:rPr>
          <w:i/>
          <w:iCs/>
        </w:rPr>
        <w:t xml:space="preserve">55 </w:t>
      </w:r>
      <w:r w:rsidR="00D67EB8" w:rsidRPr="009118AB">
        <w:rPr>
          <w:i/>
          <w:iCs/>
        </w:rPr>
        <w:t>Nr. </w:t>
      </w:r>
      <w:r w:rsidRPr="009118AB">
        <w:rPr>
          <w:i/>
          <w:iCs/>
        </w:rPr>
        <w:t>5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4 eingefügt durch </w:t>
      </w:r>
      <w:r w:rsidR="00D67EB8" w:rsidRPr="009118AB">
        <w:rPr>
          <w:i/>
          <w:iCs/>
        </w:rPr>
        <w:t>Art. </w:t>
      </w:r>
      <w:r w:rsidRPr="009118AB">
        <w:rPr>
          <w:i/>
          <w:iCs/>
        </w:rPr>
        <w:t xml:space="preserve">53 </w:t>
      </w:r>
      <w:r w:rsidR="00D67EB8" w:rsidRPr="009118AB">
        <w:rPr>
          <w:i/>
          <w:iCs/>
        </w:rPr>
        <w:t>Nr. </w:t>
      </w:r>
      <w:r w:rsidRPr="009118AB">
        <w:rPr>
          <w:i/>
          <w:iCs/>
        </w:rPr>
        <w:t xml:space="preserve">1 des G. vom </w:t>
      </w:r>
      <w:r w:rsidRPr="009118AB">
        <w:rPr>
          <w:rFonts w:ascii="Times New Roman Italique" w:hAnsi="Times New Roman Italique"/>
          <w:i/>
          <w:iCs/>
          <w:spacing w:val="-2"/>
        </w:rPr>
        <w:t>19. Dezember 2014 (B.S. vom 29. Dezember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2015 zuerkannten Kapital- und Zinszuschüsse, sofern diese Zuschüsse frühestens am 1. Januar 2008 notifiziert wurden</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71 des G. vom 18. Dezember 2015 (II) (B.S. vom 28. Dezember 2015)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2016</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1E5326" w:rsidRPr="009118AB">
        <w:rPr>
          <w:i/>
          <w:iCs/>
        </w:rPr>
        <w:t xml:space="preserve">2 eingefügt durch </w:t>
      </w:r>
      <w:r w:rsidR="00D67EB8" w:rsidRPr="009118AB">
        <w:rPr>
          <w:i/>
          <w:iCs/>
        </w:rPr>
        <w:t>Art. </w:t>
      </w:r>
      <w:r w:rsidR="001E5326" w:rsidRPr="009118AB">
        <w:rPr>
          <w:i/>
          <w:iCs/>
        </w:rPr>
        <w:t xml:space="preserve">53 </w:t>
      </w:r>
      <w:r w:rsidR="00D67EB8" w:rsidRPr="009118AB">
        <w:rPr>
          <w:i/>
          <w:iCs/>
        </w:rPr>
        <w:t>Nr. </w:t>
      </w:r>
      <w:r w:rsidR="001E5326" w:rsidRPr="009118AB">
        <w:rPr>
          <w:i/>
          <w:iCs/>
        </w:rPr>
        <w:t>2 des G. vom 19. Dezember 2014 (B.S. vom 29. Dezember 2014)</w:t>
      </w:r>
      <w:r w:rsidR="00D67EB8" w:rsidRPr="009118AB">
        <w:rPr>
          <w:i/>
          <w:iCs/>
        </w:rPr>
        <w:t> - </w:t>
      </w:r>
      <w:r w:rsidR="001E5326" w:rsidRPr="009118AB">
        <w:rPr>
          <w:i/>
          <w:iCs/>
        </w:rPr>
        <w:t>anwendbar auf die ab 2015 zuerkannten Kapital- und Zinszuschüsse, sofern diese Zuschüsse frühestens am 1. Januar 2008 notifiziert wurden</w:t>
      </w:r>
      <w:r w:rsidR="003366D9" w:rsidRPr="009118AB">
        <w:rPr>
          <w:i/>
          <w:iCs/>
        </w:rPr>
        <w:t> -;</w:t>
      </w:r>
      <w:r w:rsidR="00D249BB" w:rsidRPr="009118AB">
        <w:rPr>
          <w:i/>
          <w:iCs/>
        </w:rPr>
        <w:t xml:space="preserve"> früherer</w:t>
      </w:r>
      <w:r w:rsidR="001E5326" w:rsidRPr="009118AB">
        <w:rPr>
          <w:i/>
          <w:iCs/>
        </w:rPr>
        <w:t xml:space="preserve"> </w:t>
      </w:r>
      <w:r w:rsidR="001E5326" w:rsidRPr="009118AB">
        <w:rPr>
          <w:rFonts w:ascii="Times New Roman Italique" w:hAnsi="Times New Roman Italique"/>
          <w:i/>
          <w:iCs/>
          <w:spacing w:val="-2"/>
        </w:rPr>
        <w:t>Abs</w:t>
      </w:r>
      <w:r w:rsidR="00D249BB" w:rsidRPr="009118AB">
        <w:rPr>
          <w:rFonts w:ascii="Times New Roman Italique" w:hAnsi="Times New Roman Italique"/>
          <w:i/>
          <w:iCs/>
          <w:spacing w:val="-2"/>
        </w:rPr>
        <w:t>atz</w:t>
      </w:r>
      <w:r w:rsidR="001E5326" w:rsidRPr="009118AB">
        <w:rPr>
          <w:i/>
          <w:iCs/>
        </w:rPr>
        <w:t xml:space="preserve"> 3 eingefügt durch </w:t>
      </w:r>
      <w:r w:rsidR="00D67EB8" w:rsidRPr="009118AB">
        <w:rPr>
          <w:i/>
          <w:iCs/>
        </w:rPr>
        <w:t>Art. </w:t>
      </w:r>
      <w:r w:rsidR="001E5326" w:rsidRPr="009118AB">
        <w:rPr>
          <w:i/>
          <w:iCs/>
        </w:rPr>
        <w:t xml:space="preserve">53 </w:t>
      </w:r>
      <w:r w:rsidR="00D67EB8" w:rsidRPr="009118AB">
        <w:rPr>
          <w:i/>
          <w:iCs/>
        </w:rPr>
        <w:t>Nr. </w:t>
      </w:r>
      <w:r w:rsidR="001E5326" w:rsidRPr="009118AB">
        <w:rPr>
          <w:i/>
          <w:iCs/>
        </w:rPr>
        <w:t>2 des G. vom 19. Dezember 2014 (B.S. vom 29. Dezember 2014)</w:t>
      </w:r>
      <w:r w:rsidR="00D67EB8" w:rsidRPr="009118AB">
        <w:t> - </w:t>
      </w:r>
      <w:r w:rsidR="001E5326" w:rsidRPr="009118AB">
        <w:rPr>
          <w:i/>
          <w:iCs/>
        </w:rPr>
        <w:t>anwendbar auf die ab 2015 zuerkannten Kapital- und Zinszuschüsse, sofern diese Zuschüsse frühestens am 1. Januar 2008 notifiziert wurden</w:t>
      </w:r>
      <w:r w:rsidR="00D67EB8" w:rsidRPr="009118AB">
        <w:rPr>
          <w:i/>
          <w:iCs/>
        </w:rPr>
        <w:t> - </w:t>
      </w:r>
      <w:r w:rsidR="001E5326" w:rsidRPr="009118AB">
        <w:rPr>
          <w:i/>
          <w:iCs/>
        </w:rPr>
        <w:t xml:space="preserve">und </w:t>
      </w:r>
      <w:r w:rsidR="00D249BB" w:rsidRPr="009118AB">
        <w:rPr>
          <w:i/>
          <w:iCs/>
        </w:rPr>
        <w:t xml:space="preserve">aufgehoben durch </w:t>
      </w:r>
      <w:r w:rsidR="00D67EB8" w:rsidRPr="009118AB">
        <w:rPr>
          <w:i/>
          <w:iCs/>
        </w:rPr>
        <w:t>Art. </w:t>
      </w:r>
      <w:r w:rsidR="00D249BB" w:rsidRPr="009118AB">
        <w:rPr>
          <w:i/>
          <w:iCs/>
        </w:rPr>
        <w:t>19 des G. vom 21. Januar 2022 (B.S. vom 28. Januar 2022)</w:t>
      </w:r>
      <w:r w:rsidR="00D67EB8" w:rsidRPr="009118AB">
        <w:rPr>
          <w:i/>
          <w:iCs/>
        </w:rPr>
        <w:t> - </w:t>
      </w:r>
      <w:r w:rsidR="00D249BB" w:rsidRPr="009118AB">
        <w:rPr>
          <w:i/>
          <w:iCs/>
        </w:rPr>
        <w:t>anwendbar ab dem Steuerjahr 2022</w:t>
      </w:r>
      <w:r w:rsidR="003366D9" w:rsidRPr="009118AB">
        <w:rPr>
          <w:i/>
          <w:iCs/>
        </w:rPr>
        <w:t> -;</w:t>
      </w:r>
      <w:r w:rsidR="00D249BB" w:rsidRPr="009118AB">
        <w:rPr>
          <w:i/>
          <w:iCs/>
        </w:rPr>
        <w:t xml:space="preserve"> </w:t>
      </w:r>
      <w:r w:rsidR="00271EEB" w:rsidRPr="009118AB">
        <w:rPr>
          <w:i/>
          <w:iCs/>
        </w:rPr>
        <w:t xml:space="preserve">neuer </w:t>
      </w:r>
      <w:r w:rsidR="001E5326" w:rsidRPr="009118AB">
        <w:rPr>
          <w:rFonts w:ascii="Times New Roman Italique" w:hAnsi="Times New Roman Italique"/>
          <w:i/>
          <w:iCs/>
          <w:spacing w:val="-2"/>
        </w:rPr>
        <w:t>Abs</w:t>
      </w:r>
      <w:r w:rsidR="00271EEB" w:rsidRPr="009118AB">
        <w:rPr>
          <w:rFonts w:ascii="Times New Roman Italique" w:hAnsi="Times New Roman Italique"/>
          <w:i/>
          <w:iCs/>
          <w:spacing w:val="-2"/>
        </w:rPr>
        <w:t>atz</w:t>
      </w:r>
      <w:r w:rsidR="001E5326" w:rsidRPr="009118AB">
        <w:rPr>
          <w:i/>
          <w:iCs/>
        </w:rPr>
        <w:t> </w:t>
      </w:r>
      <w:r w:rsidR="00D249BB" w:rsidRPr="009118AB">
        <w:rPr>
          <w:i/>
          <w:iCs/>
        </w:rPr>
        <w:t>3</w:t>
      </w:r>
      <w:r w:rsidR="001E5326" w:rsidRPr="009118AB">
        <w:rPr>
          <w:i/>
          <w:iCs/>
        </w:rPr>
        <w:t xml:space="preserve"> eingefügt durch </w:t>
      </w:r>
      <w:r w:rsidR="00D67EB8" w:rsidRPr="009118AB">
        <w:rPr>
          <w:i/>
          <w:iCs/>
        </w:rPr>
        <w:t>Art. </w:t>
      </w:r>
      <w:r w:rsidR="001E5326" w:rsidRPr="009118AB">
        <w:rPr>
          <w:i/>
          <w:iCs/>
        </w:rPr>
        <w:t xml:space="preserve">53 </w:t>
      </w:r>
      <w:r w:rsidR="00D67EB8" w:rsidRPr="009118AB">
        <w:rPr>
          <w:i/>
          <w:iCs/>
        </w:rPr>
        <w:t>Nr. </w:t>
      </w:r>
      <w:r w:rsidR="001E5326" w:rsidRPr="009118AB">
        <w:rPr>
          <w:i/>
          <w:iCs/>
        </w:rPr>
        <w:t>2 des G. vom 19. Dezember 2014 (B.S. vom 29. Dezember 2014)</w:t>
      </w:r>
      <w:r w:rsidR="00D67EB8" w:rsidRPr="009118AB">
        <w:rPr>
          <w:i/>
          <w:iCs/>
        </w:rPr>
        <w:t> - </w:t>
      </w:r>
      <w:r w:rsidR="001E5326" w:rsidRPr="009118AB">
        <w:rPr>
          <w:i/>
          <w:iCs/>
        </w:rPr>
        <w:t>anwendbar auf die ab 2015 zuerkannten Kapital- und Zinszuschüsse, sofern diese Zuschüsse frühestens am 1. Januar 2008 notifiziert wurden</w:t>
      </w:r>
      <w:r w:rsidR="00FD68E8" w:rsidRPr="009118AB">
        <w:rPr>
          <w:i/>
          <w:iCs/>
        </w:rPr>
        <w:t> -]</w:t>
      </w:r>
    </w:p>
    <w:p w14:paraId="48F93B80" w14:textId="77777777" w:rsidR="0026016D" w:rsidRPr="009118AB" w:rsidRDefault="0026016D" w:rsidP="00477B8F">
      <w:pPr>
        <w:autoSpaceDE w:val="0"/>
        <w:autoSpaceDN w:val="0"/>
        <w:adjustRightInd w:val="0"/>
        <w:jc w:val="center"/>
      </w:pPr>
    </w:p>
    <w:p w14:paraId="1C6C7325" w14:textId="77777777" w:rsidR="0026016D" w:rsidRPr="009118AB" w:rsidRDefault="0026016D" w:rsidP="00477B8F">
      <w:pPr>
        <w:autoSpaceDE w:val="0"/>
        <w:autoSpaceDN w:val="0"/>
        <w:adjustRightInd w:val="0"/>
        <w:jc w:val="center"/>
      </w:pPr>
    </w:p>
    <w:p w14:paraId="078A1D86" w14:textId="58E7E97F" w:rsidR="0026016D" w:rsidRPr="009118AB" w:rsidRDefault="0026016D" w:rsidP="0026016D">
      <w:pPr>
        <w:ind w:firstLine="709"/>
        <w:jc w:val="both"/>
      </w:pPr>
      <w:r w:rsidRPr="009118AB">
        <w:t>[</w:t>
      </w:r>
      <w:r w:rsidR="00D67EB8" w:rsidRPr="009118AB">
        <w:rPr>
          <w:b/>
        </w:rPr>
        <w:t>Art. </w:t>
      </w:r>
      <w:r w:rsidRPr="009118AB">
        <w:rPr>
          <w:b/>
        </w:rPr>
        <w:t>217/1</w:t>
      </w:r>
      <w:r w:rsidR="00D67EB8" w:rsidRPr="009118AB">
        <w:t> - § </w:t>
      </w:r>
      <w:r w:rsidRPr="009118AB">
        <w:t>1</w:t>
      </w:r>
      <w:r w:rsidR="00D67EB8" w:rsidRPr="009118AB">
        <w:t> - </w:t>
      </w:r>
      <w:r w:rsidRPr="009118AB">
        <w:t>Der Gesellschaftssteuersatz entspricht jedoch dem in Absatz 3 erwähnten Prozentsatz in Bezug auf:</w:t>
      </w:r>
    </w:p>
    <w:p w14:paraId="589B514E" w14:textId="77777777" w:rsidR="0026016D" w:rsidRPr="009118AB" w:rsidRDefault="0026016D" w:rsidP="0026016D">
      <w:pPr>
        <w:jc w:val="both"/>
      </w:pPr>
    </w:p>
    <w:p w14:paraId="598AFCF1" w14:textId="2D3B0EA2" w:rsidR="0026016D" w:rsidRPr="009118AB" w:rsidRDefault="0026016D" w:rsidP="0026016D">
      <w:pPr>
        <w:jc w:val="both"/>
      </w:pPr>
      <w:r w:rsidRPr="009118AB">
        <w:tab/>
        <w:t>- den Teil der in den Artikeln 44</w:t>
      </w:r>
      <w:r w:rsidRPr="009118AB">
        <w:rPr>
          <w:i/>
        </w:rPr>
        <w:t>bis</w:t>
      </w:r>
      <w:r w:rsidRPr="009118AB">
        <w:t>, 44</w:t>
      </w:r>
      <w:r w:rsidRPr="009118AB">
        <w:rPr>
          <w:i/>
        </w:rPr>
        <w:t>ter</w:t>
      </w:r>
      <w:r w:rsidRPr="009118AB">
        <w:t xml:space="preserve"> und 47 des vorliegenden Gesetzbuches und in Artikel 122 </w:t>
      </w:r>
      <w:r w:rsidR="00D67EB8" w:rsidRPr="009118AB">
        <w:t>§ </w:t>
      </w:r>
      <w:r w:rsidRPr="009118AB">
        <w:t>2 des Programmgesetzes vom 2. August 2002 erwähnten steuerfreien Mehrwerte, der gemäß Artikel 190 Absatz 4 steuerpflichtig geworden ist, bevor er in Höhe eines Betrags und auf eine Weise wie in den Artikeln 44</w:t>
      </w:r>
      <w:r w:rsidRPr="009118AB">
        <w:rPr>
          <w:i/>
        </w:rPr>
        <w:t>bis</w:t>
      </w:r>
      <w:r w:rsidRPr="009118AB">
        <w:t>, 44</w:t>
      </w:r>
      <w:r w:rsidRPr="009118AB">
        <w:rPr>
          <w:i/>
        </w:rPr>
        <w:t>ter</w:t>
      </w:r>
      <w:r w:rsidRPr="009118AB">
        <w:t xml:space="preserve"> und 47 des vorliegenden </w:t>
      </w:r>
      <w:r w:rsidRPr="009118AB">
        <w:lastRenderedPageBreak/>
        <w:t>Gesetzbuches beziehungsweise in Artikel 122 §</w:t>
      </w:r>
      <w:r w:rsidR="00D67EB8" w:rsidRPr="009118AB">
        <w:t>§ </w:t>
      </w:r>
      <w:r w:rsidRPr="009118AB">
        <w:t>2 bis 4 des Programmgesetzes vom 2. August 2002 erwähnt wieder angelegt worden ist,</w:t>
      </w:r>
    </w:p>
    <w:p w14:paraId="4416A110" w14:textId="77777777" w:rsidR="0026016D" w:rsidRPr="009118AB" w:rsidRDefault="0026016D" w:rsidP="0026016D">
      <w:pPr>
        <w:jc w:val="both"/>
      </w:pPr>
    </w:p>
    <w:p w14:paraId="332DB1CA" w14:textId="4DA44C70" w:rsidR="0026016D" w:rsidRPr="009118AB" w:rsidRDefault="0026016D" w:rsidP="0026016D">
      <w:pPr>
        <w:jc w:val="both"/>
      </w:pPr>
      <w:r w:rsidRPr="009118AB">
        <w:tab/>
        <w:t>- den Teil der steuerfreien Mehrwerte, der gemäß den Artikeln 44</w:t>
      </w:r>
      <w:r w:rsidRPr="009118AB">
        <w:rPr>
          <w:i/>
        </w:rPr>
        <w:t>bis</w:t>
      </w:r>
      <w:r w:rsidRPr="009118AB">
        <w:t xml:space="preserve"> </w:t>
      </w:r>
      <w:r w:rsidR="00D67EB8" w:rsidRPr="009118AB">
        <w:t>§ </w:t>
      </w:r>
      <w:r w:rsidRPr="009118AB">
        <w:t>5, 44</w:t>
      </w:r>
      <w:r w:rsidRPr="009118AB">
        <w:rPr>
          <w:i/>
        </w:rPr>
        <w:t>ter</w:t>
      </w:r>
      <w:r w:rsidRPr="009118AB">
        <w:t xml:space="preserve"> </w:t>
      </w:r>
      <w:r w:rsidR="00D67EB8" w:rsidRPr="009118AB">
        <w:t>§ </w:t>
      </w:r>
      <w:r w:rsidRPr="009118AB">
        <w:t xml:space="preserve">5 oder 47 </w:t>
      </w:r>
      <w:r w:rsidR="00D67EB8" w:rsidRPr="009118AB">
        <w:t>§ </w:t>
      </w:r>
      <w:r w:rsidRPr="009118AB">
        <w:t xml:space="preserve">6 des vorliegenden Gesetzbuches oder gemäß Artikel 122 </w:t>
      </w:r>
      <w:r w:rsidR="00D67EB8" w:rsidRPr="009118AB">
        <w:t>§ </w:t>
      </w:r>
      <w:r w:rsidRPr="009118AB">
        <w:t>6 des Programm</w:t>
      </w:r>
      <w:r w:rsidRPr="009118AB">
        <w:softHyphen/>
        <w:t>gesetzes vom 2. August 2002 steuerpflichtig geworden ist,</w:t>
      </w:r>
    </w:p>
    <w:p w14:paraId="7B0A5717" w14:textId="77777777" w:rsidR="0026016D" w:rsidRPr="009118AB" w:rsidRDefault="0026016D" w:rsidP="0026016D">
      <w:pPr>
        <w:jc w:val="both"/>
      </w:pPr>
    </w:p>
    <w:p w14:paraId="56BBFCD9" w14:textId="77777777" w:rsidR="0026016D" w:rsidRPr="009118AB" w:rsidRDefault="0026016D" w:rsidP="0026016D">
      <w:pPr>
        <w:jc w:val="both"/>
      </w:pPr>
      <w:r w:rsidRPr="009118AB">
        <w:tab/>
        <w:t>- den Teil der in Artikel 48 erwähnten steuerfreien Rückstellungen, der aufgelöst wird,</w:t>
      </w:r>
    </w:p>
    <w:p w14:paraId="04DFF577" w14:textId="77777777" w:rsidR="0026016D" w:rsidRPr="009118AB" w:rsidRDefault="0026016D" w:rsidP="0026016D">
      <w:pPr>
        <w:jc w:val="both"/>
      </w:pPr>
    </w:p>
    <w:p w14:paraId="1ED88789" w14:textId="31F3A286" w:rsidR="0026016D" w:rsidRPr="009118AB" w:rsidRDefault="0026016D" w:rsidP="0026016D">
      <w:pPr>
        <w:jc w:val="both"/>
      </w:pPr>
      <w:r w:rsidRPr="009118AB">
        <w:tab/>
        <w:t>- den Teil der in Artikel 194</w:t>
      </w:r>
      <w:r w:rsidRPr="009118AB">
        <w:rPr>
          <w:i/>
        </w:rPr>
        <w:t>quater</w:t>
      </w:r>
      <w:r w:rsidRPr="009118AB">
        <w:t xml:space="preserve"> erwähnten Investitionsrücklage, der gemäß Artikel 190 Absatz 4 steuerpflichtig geworden ist, bevor er in Höhe eines Betrags und auf eine Weise wie in Artikel 194</w:t>
      </w:r>
      <w:r w:rsidRPr="009118AB">
        <w:rPr>
          <w:i/>
        </w:rPr>
        <w:t>quater</w:t>
      </w:r>
      <w:r w:rsidRPr="009118AB">
        <w:t xml:space="preserve"> </w:t>
      </w:r>
      <w:r w:rsidR="00D67EB8" w:rsidRPr="009118AB">
        <w:t>§ </w:t>
      </w:r>
      <w:r w:rsidRPr="009118AB">
        <w:t>3 erwähnt wieder angelegt worden ist, oder der gemäß Artikel 194</w:t>
      </w:r>
      <w:r w:rsidRPr="009118AB">
        <w:rPr>
          <w:i/>
        </w:rPr>
        <w:t>quater</w:t>
      </w:r>
      <w:r w:rsidRPr="009118AB">
        <w:t xml:space="preserve"> </w:t>
      </w:r>
      <w:r w:rsidR="00D67EB8" w:rsidRPr="009118AB">
        <w:t>§ </w:t>
      </w:r>
      <w:r w:rsidRPr="009118AB">
        <w:t>4 steuerpflichtig geworden ist.</w:t>
      </w:r>
    </w:p>
    <w:p w14:paraId="73D45A2C" w14:textId="77777777" w:rsidR="0026016D" w:rsidRPr="009118AB" w:rsidRDefault="0026016D" w:rsidP="0026016D">
      <w:pPr>
        <w:jc w:val="both"/>
      </w:pPr>
    </w:p>
    <w:p w14:paraId="34944E29" w14:textId="77777777" w:rsidR="0026016D" w:rsidRPr="009118AB" w:rsidRDefault="0026016D" w:rsidP="0026016D">
      <w:pPr>
        <w:jc w:val="both"/>
      </w:pPr>
      <w:r w:rsidRPr="009118AB">
        <w:tab/>
        <w:t>Absatz 1 ist nur anwendbar, wenn die steuerfreie Rücklage oder die Rückstellung, auf die sich der in Absatz 1 erwähnte steuerpflichtige Sachverhalt bezieht, während eines Besteuerungszeitraums gebildet wird, der frühestens am 1. Januar 2017 und spätestens am 30. Dezember 2020 endet.</w:t>
      </w:r>
    </w:p>
    <w:p w14:paraId="38873E41" w14:textId="77777777" w:rsidR="0026016D" w:rsidRPr="009118AB" w:rsidRDefault="0026016D" w:rsidP="0026016D">
      <w:pPr>
        <w:jc w:val="both"/>
      </w:pPr>
    </w:p>
    <w:p w14:paraId="376C28C4" w14:textId="77777777" w:rsidR="0026016D" w:rsidRPr="009118AB" w:rsidRDefault="0026016D" w:rsidP="0026016D">
      <w:pPr>
        <w:jc w:val="both"/>
      </w:pPr>
      <w:r w:rsidRPr="009118AB">
        <w:tab/>
        <w:t>Der in Absatz 1 erwähnte Satz wird auf 33,99 oder 29,58 Prozent festgelegt, je nachdem, ob sich der in Absatz 1 erwähnte steuerpflichtige Sachverhalt auf eine steuerfreie Rücklage oder eine Rückstellung bezieht, die während eines Besteuerungszeitraums gebildet wird, der an die Steuerjahre 2018 und vorhergehende beziehungsweise an die Steuerjahre 2019 und folgende gebunden ist.</w:t>
      </w:r>
    </w:p>
    <w:p w14:paraId="4B64C949" w14:textId="77777777" w:rsidR="0026016D" w:rsidRPr="009118AB" w:rsidRDefault="0026016D" w:rsidP="0026016D">
      <w:pPr>
        <w:jc w:val="both"/>
      </w:pPr>
    </w:p>
    <w:p w14:paraId="748AC670" w14:textId="77777777" w:rsidR="0026016D" w:rsidRPr="009118AB" w:rsidRDefault="0026016D" w:rsidP="0026016D">
      <w:pPr>
        <w:autoSpaceDE w:val="0"/>
        <w:autoSpaceDN w:val="0"/>
        <w:adjustRightInd w:val="0"/>
        <w:ind w:firstLine="709"/>
        <w:jc w:val="both"/>
      </w:pPr>
      <w:r w:rsidRPr="009118AB">
        <w:t>Bei Auflösung einer Rückstellung wird davon ausgegangen, dass die ältesten Rückstellungsbeträge als Erstes aufgelöst werden.]</w:t>
      </w:r>
    </w:p>
    <w:p w14:paraId="0AEBBD7D" w14:textId="77777777" w:rsidR="0026016D" w:rsidRPr="009118AB" w:rsidRDefault="0026016D" w:rsidP="0026016D">
      <w:pPr>
        <w:autoSpaceDE w:val="0"/>
        <w:autoSpaceDN w:val="0"/>
        <w:adjustRightInd w:val="0"/>
        <w:ind w:firstLine="709"/>
        <w:jc w:val="both"/>
      </w:pPr>
    </w:p>
    <w:p w14:paraId="10D10F33" w14:textId="5B293424" w:rsidR="0026016D" w:rsidRPr="009118AB" w:rsidRDefault="0026016D" w:rsidP="0026016D">
      <w:pPr>
        <w:autoSpaceDE w:val="0"/>
        <w:autoSpaceDN w:val="0"/>
        <w:adjustRightInd w:val="0"/>
        <w:jc w:val="both"/>
        <w:rPr>
          <w:i/>
          <w:iCs/>
        </w:rPr>
      </w:pPr>
      <w:r w:rsidRPr="009118AB">
        <w:rPr>
          <w:i/>
        </w:rPr>
        <w:t>[</w:t>
      </w:r>
      <w:r w:rsidR="00D67EB8" w:rsidRPr="009118AB">
        <w:rPr>
          <w:i/>
        </w:rPr>
        <w:t>Art. </w:t>
      </w:r>
      <w:r w:rsidRPr="009118AB">
        <w:rPr>
          <w:i/>
        </w:rPr>
        <w:t xml:space="preserve">217/1 eingefügt durch </w:t>
      </w:r>
      <w:r w:rsidR="00D67EB8" w:rsidRPr="009118AB">
        <w:rPr>
          <w:i/>
        </w:rPr>
        <w:t>Art. </w:t>
      </w:r>
      <w:r w:rsidRPr="009118AB">
        <w:rPr>
          <w:i/>
        </w:rPr>
        <w:t>56</w:t>
      </w:r>
      <w:r w:rsidRPr="009118AB">
        <w:rPr>
          <w:i/>
          <w:iCs/>
        </w:rPr>
        <w:t xml:space="preserve">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FD68E8" w:rsidRPr="009118AB">
        <w:rPr>
          <w:i/>
          <w:iCs/>
        </w:rPr>
        <w:t> -]</w:t>
      </w:r>
    </w:p>
    <w:p w14:paraId="3F40C024" w14:textId="60D28EFB" w:rsidR="00477B8F" w:rsidRPr="009118AB" w:rsidRDefault="00477B8F" w:rsidP="0026016D">
      <w:pPr>
        <w:autoSpaceDE w:val="0"/>
        <w:autoSpaceDN w:val="0"/>
        <w:adjustRightInd w:val="0"/>
        <w:ind w:firstLine="709"/>
        <w:jc w:val="both"/>
      </w:pPr>
      <w:r w:rsidRPr="009118AB">
        <w:br w:type="page"/>
      </w:r>
      <w:r w:rsidRPr="009118AB">
        <w:lastRenderedPageBreak/>
        <w:t>Unterabschnitt </w:t>
      </w:r>
      <w:r w:rsidR="00D74862" w:rsidRPr="009118AB">
        <w:t>3</w:t>
      </w:r>
      <w:r w:rsidR="00D67EB8" w:rsidRPr="009118AB">
        <w:t> - </w:t>
      </w:r>
      <w:r w:rsidRPr="009118AB">
        <w:t>Erhöhung bei ausbleibender oder unzureichender Vorauszahlung</w:t>
      </w:r>
    </w:p>
    <w:p w14:paraId="3217E9CA" w14:textId="77777777" w:rsidR="00477B8F" w:rsidRPr="009118AB" w:rsidRDefault="00477B8F" w:rsidP="00477B8F">
      <w:pPr>
        <w:autoSpaceDE w:val="0"/>
        <w:autoSpaceDN w:val="0"/>
        <w:adjustRightInd w:val="0"/>
        <w:jc w:val="center"/>
      </w:pPr>
    </w:p>
    <w:p w14:paraId="5A70B383" w14:textId="77777777" w:rsidR="00477B8F" w:rsidRPr="009118AB" w:rsidRDefault="00477B8F" w:rsidP="00477B8F">
      <w:pPr>
        <w:autoSpaceDE w:val="0"/>
        <w:autoSpaceDN w:val="0"/>
        <w:adjustRightInd w:val="0"/>
        <w:jc w:val="both"/>
      </w:pPr>
    </w:p>
    <w:p w14:paraId="30A38D38" w14:textId="700A9062" w:rsidR="00D41CB4" w:rsidRPr="009118AB" w:rsidRDefault="00477B8F" w:rsidP="00D41CB4">
      <w:pPr>
        <w:autoSpaceDE w:val="0"/>
        <w:autoSpaceDN w:val="0"/>
        <w:adjustRightInd w:val="0"/>
        <w:jc w:val="both"/>
      </w:pPr>
      <w:r w:rsidRPr="009118AB">
        <w:tab/>
      </w:r>
      <w:r w:rsidR="00D67EB8" w:rsidRPr="009118AB">
        <w:rPr>
          <w:b/>
          <w:bCs/>
        </w:rPr>
        <w:t>Art. </w:t>
      </w:r>
      <w:r w:rsidRPr="009118AB">
        <w:rPr>
          <w:b/>
          <w:bCs/>
        </w:rPr>
        <w:t>218</w:t>
      </w:r>
      <w:r w:rsidR="00D67EB8" w:rsidRPr="009118AB">
        <w:t> - </w:t>
      </w:r>
      <w:r w:rsidRPr="009118AB">
        <w:t>[</w:t>
      </w:r>
      <w:r w:rsidR="00D67EB8" w:rsidRPr="009118AB">
        <w:t>§ </w:t>
      </w:r>
      <w:r w:rsidRPr="009118AB">
        <w:t>1]</w:t>
      </w:r>
      <w:r w:rsidR="00D67EB8" w:rsidRPr="009118AB">
        <w:t> - </w:t>
      </w:r>
      <w:r w:rsidR="00D41CB4" w:rsidRPr="009118AB">
        <w:t>[Die gemäß den Artikeln 215 bis 217 berechnete Steuer und die in Artikel 219</w:t>
      </w:r>
      <w:r w:rsidR="00D41CB4" w:rsidRPr="009118AB">
        <w:rPr>
          <w:i/>
        </w:rPr>
        <w:t>quinquies</w:t>
      </w:r>
      <w:r w:rsidR="00D41CB4" w:rsidRPr="009118AB">
        <w:t xml:space="preserve"> erwähnte getrennte Steuer, ausschließlich des in Artikel 413/1 </w:t>
      </w:r>
      <w:r w:rsidR="00D67EB8" w:rsidRPr="009118AB">
        <w:t>§ </w:t>
      </w:r>
      <w:r w:rsidR="00D41CB4" w:rsidRPr="009118AB">
        <w:t>1 erwähnten Anteils der Steuer, werden]</w:t>
      </w:r>
      <w:r w:rsidR="009D7948" w:rsidRPr="009118AB">
        <w:t xml:space="preserve"> </w:t>
      </w:r>
      <w:r w:rsidR="00D41CB4" w:rsidRPr="009118AB">
        <w:t>bei ausbleibenden oder unzureichenden Vorauszahlungen eventuell erhöht, wie es in den Artikeln 157 bis 168 in Bezug auf die Steuer der natürlichen Personen vorgesehen ist.</w:t>
      </w:r>
    </w:p>
    <w:p w14:paraId="0D6D7503" w14:textId="77777777" w:rsidR="00477B8F" w:rsidRPr="009118AB" w:rsidRDefault="00477B8F" w:rsidP="00477B8F">
      <w:pPr>
        <w:autoSpaceDE w:val="0"/>
        <w:autoSpaceDN w:val="0"/>
        <w:adjustRightInd w:val="0"/>
        <w:jc w:val="both"/>
      </w:pPr>
    </w:p>
    <w:p w14:paraId="3B2EBB7F" w14:textId="77777777" w:rsidR="0026016D" w:rsidRPr="009118AB" w:rsidRDefault="0026016D" w:rsidP="00477B8F">
      <w:pPr>
        <w:autoSpaceDE w:val="0"/>
        <w:autoSpaceDN w:val="0"/>
        <w:adjustRightInd w:val="0"/>
        <w:jc w:val="both"/>
      </w:pPr>
      <w:r w:rsidRPr="009118AB">
        <w:tab/>
        <w:t>[Für die Anwendung des vorliegenden Artikels darf der in Artikel 161 erwähnte Richtsatz nicht unter 3 Prozent liegen.]</w:t>
      </w:r>
    </w:p>
    <w:p w14:paraId="0ADBD4F3" w14:textId="77777777" w:rsidR="0026016D" w:rsidRPr="009118AB" w:rsidRDefault="0026016D" w:rsidP="00477B8F">
      <w:pPr>
        <w:autoSpaceDE w:val="0"/>
        <w:autoSpaceDN w:val="0"/>
        <w:adjustRightInd w:val="0"/>
        <w:jc w:val="both"/>
      </w:pPr>
    </w:p>
    <w:p w14:paraId="2E8531A4" w14:textId="77777777" w:rsidR="00477B8F" w:rsidRPr="009118AB" w:rsidRDefault="00477B8F" w:rsidP="00477B8F">
      <w:pPr>
        <w:autoSpaceDE w:val="0"/>
        <w:autoSpaceDN w:val="0"/>
        <w:adjustRightInd w:val="0"/>
        <w:jc w:val="both"/>
      </w:pPr>
      <w:r w:rsidRPr="009118AB">
        <w:tab/>
        <w:t>In Abweichung von den Artikeln 160 und 165 sind die Begrenzung der Erhöhung auf 90 Prozent und die Erhöhung der Berechnungsgrundlage auf 106 Prozent der Staatssteuer jedoch nicht anwendbar.</w:t>
      </w:r>
    </w:p>
    <w:p w14:paraId="46CE1F5E" w14:textId="77777777" w:rsidR="0026016D" w:rsidRPr="009118AB" w:rsidRDefault="0026016D" w:rsidP="00477B8F">
      <w:pPr>
        <w:autoSpaceDE w:val="0"/>
        <w:autoSpaceDN w:val="0"/>
        <w:adjustRightInd w:val="0"/>
        <w:jc w:val="both"/>
      </w:pPr>
    </w:p>
    <w:p w14:paraId="6C963B3A" w14:textId="77777777" w:rsidR="0026016D" w:rsidRPr="009118AB" w:rsidRDefault="0026016D" w:rsidP="00477B8F">
      <w:pPr>
        <w:autoSpaceDE w:val="0"/>
        <w:autoSpaceDN w:val="0"/>
        <w:adjustRightInd w:val="0"/>
        <w:jc w:val="both"/>
      </w:pPr>
      <w:r w:rsidRPr="009118AB">
        <w:tab/>
        <w:t>[Die in Artikel 163 vorgesehene Ausnahme von der Erhöhung ist nicht anwendbar.]</w:t>
      </w:r>
    </w:p>
    <w:p w14:paraId="5A6B175B" w14:textId="77777777" w:rsidR="00477B8F" w:rsidRPr="009118AB" w:rsidRDefault="00477B8F" w:rsidP="00477B8F">
      <w:pPr>
        <w:autoSpaceDE w:val="0"/>
        <w:autoSpaceDN w:val="0"/>
        <w:adjustRightInd w:val="0"/>
        <w:jc w:val="both"/>
      </w:pPr>
    </w:p>
    <w:p w14:paraId="596BDE7D" w14:textId="317DF4BB" w:rsidR="00477B8F" w:rsidRPr="009118AB" w:rsidRDefault="00477B8F" w:rsidP="00477B8F">
      <w:pPr>
        <w:autoSpaceDE w:val="0"/>
        <w:autoSpaceDN w:val="0"/>
        <w:adjustRightInd w:val="0"/>
        <w:jc w:val="both"/>
      </w:pPr>
      <w:r w:rsidRPr="009118AB">
        <w:tab/>
        <w:t>[</w:t>
      </w:r>
      <w:r w:rsidR="00D67EB8" w:rsidRPr="009118AB">
        <w:t>§ </w:t>
      </w:r>
      <w:r w:rsidRPr="009118AB">
        <w:t>2</w:t>
      </w:r>
      <w:r w:rsidR="00D67EB8" w:rsidRPr="009118AB">
        <w:t> - </w:t>
      </w:r>
      <w:r w:rsidR="00E913B0" w:rsidRPr="009118AB">
        <w:t xml:space="preserve">[Gesellschaften, die </w:t>
      </w:r>
      <w:r w:rsidR="00B818A6" w:rsidRPr="009118AB">
        <w:t>[...</w:t>
      </w:r>
      <w:r w:rsidR="00E36365" w:rsidRPr="009118AB">
        <w:t xml:space="preserve">] </w:t>
      </w:r>
      <w:r w:rsidR="00E913B0" w:rsidRPr="009118AB">
        <w:t>als kleine Gesellschaften gelten, schulden keine Erhöhung auf die Steuer, die sich auf die ersten drei Geschäftsjahre ab ihrer Gründung bezieht.]]</w:t>
      </w:r>
    </w:p>
    <w:p w14:paraId="1A4358D9" w14:textId="77777777" w:rsidR="00477B8F" w:rsidRPr="009118AB" w:rsidRDefault="00477B8F" w:rsidP="00477B8F">
      <w:pPr>
        <w:autoSpaceDE w:val="0"/>
        <w:autoSpaceDN w:val="0"/>
        <w:adjustRightInd w:val="0"/>
        <w:jc w:val="both"/>
      </w:pPr>
    </w:p>
    <w:p w14:paraId="24B444D7" w14:textId="787C5426" w:rsidR="00477B8F" w:rsidRPr="009118AB" w:rsidRDefault="00477B8F" w:rsidP="00477B8F">
      <w:pPr>
        <w:autoSpaceDE w:val="0"/>
        <w:autoSpaceDN w:val="0"/>
        <w:adjustRightInd w:val="0"/>
        <w:jc w:val="both"/>
        <w:rPr>
          <w:i/>
          <w:iCs/>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218 </w:t>
      </w:r>
      <w:r w:rsidR="00D67EB8" w:rsidRPr="009118AB">
        <w:rPr>
          <w:rFonts w:ascii="Times New Roman Italique" w:hAnsi="Times New Roman Italique"/>
          <w:i/>
          <w:iCs/>
          <w:spacing w:val="-2"/>
        </w:rPr>
        <w:t>§ </w:t>
      </w:r>
      <w:r w:rsidRPr="009118AB">
        <w:rPr>
          <w:rFonts w:ascii="Times New Roman Italique" w:hAnsi="Times New Roman Italique"/>
          <w:i/>
          <w:iCs/>
          <w:spacing w:val="-2"/>
        </w:rPr>
        <w:t>1 nummeriert</w:t>
      </w:r>
      <w:r w:rsidR="00E913B0" w:rsidRPr="009118AB">
        <w:rPr>
          <w:rFonts w:ascii="Times New Roman Italique" w:hAnsi="Times New Roman Italique"/>
          <w:i/>
          <w:iCs/>
          <w:spacing w:val="-2"/>
        </w:rPr>
        <w:t xml:space="preserve"> durch </w:t>
      </w:r>
      <w:r w:rsidR="00D67EB8" w:rsidRPr="009118AB">
        <w:rPr>
          <w:rFonts w:ascii="Times New Roman Italique" w:hAnsi="Times New Roman Italique"/>
          <w:i/>
          <w:iCs/>
          <w:spacing w:val="-2"/>
        </w:rPr>
        <w:t>Art. </w:t>
      </w:r>
      <w:r w:rsidR="00E913B0" w:rsidRPr="009118AB">
        <w:rPr>
          <w:rFonts w:ascii="Times New Roman Italique" w:hAnsi="Times New Roman Italique"/>
          <w:i/>
          <w:iCs/>
          <w:spacing w:val="-2"/>
        </w:rPr>
        <w:t xml:space="preserve">14 des G. vom 24. Dezember 2002 (II) (B.S. vom </w:t>
      </w:r>
      <w:r w:rsidR="00E913B0" w:rsidRPr="008720AB">
        <w:rPr>
          <w:rFonts w:ascii="Times New Roman Italique" w:hAnsi="Times New Roman Italique"/>
          <w:i/>
          <w:iCs/>
          <w:spacing w:val="-2"/>
        </w:rPr>
        <w:t>31. Dezember 2002)</w:t>
      </w:r>
      <w:r w:rsidR="00D67EB8" w:rsidRPr="008720AB">
        <w:rPr>
          <w:rFonts w:ascii="Times New Roman Italique" w:hAnsi="Times New Roman Italique"/>
          <w:i/>
          <w:iCs/>
          <w:spacing w:val="-2"/>
        </w:rPr>
        <w:t> - </w:t>
      </w:r>
      <w:r w:rsidR="00E913B0" w:rsidRPr="008720AB">
        <w:rPr>
          <w:rFonts w:ascii="Times New Roman Italique" w:hAnsi="Times New Roman Italique"/>
          <w:i/>
          <w:iCs/>
          <w:spacing w:val="-2"/>
        </w:rPr>
        <w:t>anwendbar auf Gesellschaften, deren erstes Geschäftsjahr an das Steuerjahr 2004 oder ein späteres Steuerjahr gebunden ist</w:t>
      </w:r>
      <w:r w:rsidR="003366D9" w:rsidRPr="008720AB">
        <w:rPr>
          <w:rFonts w:ascii="Times New Roman Italique" w:hAnsi="Times New Roman Italique"/>
          <w:i/>
          <w:iCs/>
          <w:spacing w:val="-2"/>
        </w:rPr>
        <w:t> -;</w:t>
      </w:r>
      <w:r w:rsidRPr="008720AB">
        <w:rPr>
          <w:rFonts w:ascii="Times New Roman Italique" w:hAnsi="Times New Roman Italique"/>
          <w:i/>
          <w:iCs/>
          <w:spacing w:val="-2"/>
        </w:rPr>
        <w:t xml:space="preserve"> </w:t>
      </w:r>
      <w:r w:rsidR="00D67EB8" w:rsidRPr="008720AB">
        <w:rPr>
          <w:rFonts w:ascii="Times New Roman Italique" w:hAnsi="Times New Roman Italique"/>
          <w:i/>
          <w:iCs/>
          <w:spacing w:val="-2"/>
        </w:rPr>
        <w:t>§ </w:t>
      </w:r>
      <w:r w:rsidR="00AF0F85" w:rsidRPr="008720AB">
        <w:rPr>
          <w:rFonts w:ascii="Times New Roman Italique" w:hAnsi="Times New Roman Italique"/>
          <w:i/>
          <w:iCs/>
          <w:spacing w:val="-2"/>
        </w:rPr>
        <w:t xml:space="preserve">1 </w:t>
      </w:r>
      <w:r w:rsidR="00D67EB8" w:rsidRPr="008720AB">
        <w:rPr>
          <w:rFonts w:ascii="Times New Roman Italique" w:hAnsi="Times New Roman Italique"/>
          <w:i/>
          <w:iCs/>
          <w:spacing w:val="-2"/>
        </w:rPr>
        <w:t>Abs. </w:t>
      </w:r>
      <w:r w:rsidR="00AF0F85" w:rsidRPr="008720AB">
        <w:rPr>
          <w:rFonts w:ascii="Times New Roman Italique" w:hAnsi="Times New Roman Italique"/>
          <w:i/>
          <w:iCs/>
          <w:spacing w:val="-2"/>
        </w:rPr>
        <w:t xml:space="preserve">1 abgeändert durch </w:t>
      </w:r>
      <w:r w:rsidR="00D67EB8" w:rsidRPr="008720AB">
        <w:rPr>
          <w:rFonts w:ascii="Times New Roman Italique" w:hAnsi="Times New Roman Italique"/>
          <w:i/>
          <w:iCs/>
          <w:spacing w:val="-2"/>
        </w:rPr>
        <w:t>Art. </w:t>
      </w:r>
      <w:r w:rsidR="00AF0F85" w:rsidRPr="008720AB">
        <w:rPr>
          <w:rFonts w:ascii="Times New Roman Italique" w:hAnsi="Times New Roman Italique"/>
          <w:i/>
          <w:iCs/>
          <w:spacing w:val="-2"/>
        </w:rPr>
        <w:t>45</w:t>
      </w:r>
      <w:r w:rsidR="00AF0F85" w:rsidRPr="008720AB">
        <w:rPr>
          <w:rFonts w:ascii="Times New Roman Italique" w:hAnsi="Times New Roman Italique"/>
          <w:i/>
          <w:spacing w:val="-2"/>
        </w:rPr>
        <w:t xml:space="preserve"> des G. vom 30. Juli 2013 (B.S. vom 1. August 2013)</w:t>
      </w:r>
      <w:r w:rsidR="00D67EB8" w:rsidRPr="008720AB">
        <w:rPr>
          <w:rFonts w:ascii="Times New Roman Italique" w:hAnsi="Times New Roman Italique"/>
          <w:i/>
          <w:spacing w:val="-2"/>
        </w:rPr>
        <w:t> - </w:t>
      </w:r>
      <w:r w:rsidR="00AF0F85" w:rsidRPr="008720AB">
        <w:rPr>
          <w:rFonts w:ascii="Times New Roman Italique" w:hAnsi="Times New Roman Italique"/>
          <w:i/>
          <w:spacing w:val="-2"/>
        </w:rPr>
        <w:t>in Kraft ab dem Steuerjahr 2014</w:t>
      </w:r>
      <w:r w:rsidR="00FD68E8" w:rsidRPr="008720AB">
        <w:rPr>
          <w:rFonts w:ascii="Times New Roman Italique" w:hAnsi="Times New Roman Italique"/>
          <w:i/>
          <w:spacing w:val="-2"/>
        </w:rPr>
        <w:t> -,</w:t>
      </w:r>
      <w:r w:rsidR="008B4FF3" w:rsidRPr="008720AB">
        <w:rPr>
          <w:rFonts w:ascii="Times New Roman Italique" w:hAnsi="Times New Roman Italique"/>
          <w:i/>
          <w:spacing w:val="-2"/>
        </w:rPr>
        <w:t xml:space="preserve"> selbs</w:t>
      </w:r>
      <w:r w:rsidR="00A54EC2" w:rsidRPr="008720AB">
        <w:rPr>
          <w:rFonts w:ascii="Times New Roman Italique" w:hAnsi="Times New Roman Italique"/>
          <w:i/>
          <w:spacing w:val="-2"/>
        </w:rPr>
        <w:t>t bedingt für nichtig erklärt d</w:t>
      </w:r>
      <w:r w:rsidR="008B4FF3" w:rsidRPr="008720AB">
        <w:rPr>
          <w:rFonts w:ascii="Times New Roman Italique" w:hAnsi="Times New Roman Italique"/>
          <w:i/>
          <w:spacing w:val="-2"/>
        </w:rPr>
        <w:t>u</w:t>
      </w:r>
      <w:r w:rsidR="00A54EC2" w:rsidRPr="008720AB">
        <w:rPr>
          <w:rFonts w:ascii="Times New Roman Italique" w:hAnsi="Times New Roman Italique"/>
          <w:i/>
          <w:spacing w:val="-2"/>
        </w:rPr>
        <w:t>r</w:t>
      </w:r>
      <w:r w:rsidR="008B4FF3" w:rsidRPr="008720AB">
        <w:rPr>
          <w:rFonts w:ascii="Times New Roman Italique" w:hAnsi="Times New Roman Italique"/>
          <w:i/>
          <w:spacing w:val="-2"/>
        </w:rPr>
        <w:t xml:space="preserve">ch Entscheid </w:t>
      </w:r>
      <w:r w:rsidR="00D67EB8" w:rsidRPr="008720AB">
        <w:rPr>
          <w:rFonts w:ascii="Times New Roman Italique" w:hAnsi="Times New Roman Italique"/>
          <w:i/>
          <w:spacing w:val="-2"/>
        </w:rPr>
        <w:t>Nr. </w:t>
      </w:r>
      <w:r w:rsidR="008B4FF3" w:rsidRPr="008720AB">
        <w:rPr>
          <w:rFonts w:ascii="Times New Roman Italique" w:hAnsi="Times New Roman Italique"/>
          <w:i/>
          <w:spacing w:val="-2"/>
        </w:rPr>
        <w:t>24/2018 des Verfassungsgerichtshofes vom 1.</w:t>
      </w:r>
      <w:r w:rsidR="008B4FF3" w:rsidRPr="008720AB">
        <w:rPr>
          <w:rFonts w:ascii="Times New Roman Italique" w:hAnsi="Times New Roman Italique" w:hint="eastAsia"/>
          <w:i/>
          <w:spacing w:val="-2"/>
        </w:rPr>
        <w:t> </w:t>
      </w:r>
      <w:r w:rsidR="008B4FF3" w:rsidRPr="008720AB">
        <w:rPr>
          <w:rFonts w:ascii="Times New Roman Italique" w:hAnsi="Times New Roman Italique"/>
          <w:i/>
          <w:spacing w:val="-2"/>
        </w:rPr>
        <w:t>März</w:t>
      </w:r>
      <w:r w:rsidR="008B4FF3" w:rsidRPr="008720AB">
        <w:rPr>
          <w:rFonts w:ascii="Times New Roman Italique" w:hAnsi="Times New Roman Italique" w:hint="eastAsia"/>
          <w:i/>
          <w:spacing w:val="-2"/>
        </w:rPr>
        <w:t> </w:t>
      </w:r>
      <w:r w:rsidR="008B4FF3" w:rsidRPr="008720AB">
        <w:rPr>
          <w:rFonts w:ascii="Times New Roman Italique" w:hAnsi="Times New Roman Italique"/>
          <w:i/>
          <w:spacing w:val="-2"/>
        </w:rPr>
        <w:t>2018 (B.S. vom 28.</w:t>
      </w:r>
      <w:r w:rsidR="008B4FF3" w:rsidRPr="008720AB">
        <w:rPr>
          <w:rFonts w:ascii="Times New Roman Italique" w:hAnsi="Times New Roman Italique" w:hint="eastAsia"/>
          <w:i/>
          <w:spacing w:val="-2"/>
        </w:rPr>
        <w:t> </w:t>
      </w:r>
      <w:r w:rsidR="008B4FF3" w:rsidRPr="008720AB">
        <w:rPr>
          <w:rFonts w:ascii="Times New Roman Italique" w:hAnsi="Times New Roman Italique"/>
          <w:i/>
          <w:spacing w:val="-2"/>
        </w:rPr>
        <w:t>Mai</w:t>
      </w:r>
      <w:r w:rsidR="008B4FF3" w:rsidRPr="008720AB">
        <w:rPr>
          <w:rFonts w:ascii="Times New Roman Italique" w:hAnsi="Times New Roman Italique" w:hint="eastAsia"/>
          <w:i/>
          <w:spacing w:val="-2"/>
        </w:rPr>
        <w:t> </w:t>
      </w:r>
      <w:r w:rsidR="008B4FF3" w:rsidRPr="008720AB">
        <w:rPr>
          <w:rFonts w:ascii="Times New Roman Italique" w:hAnsi="Times New Roman Italique"/>
          <w:i/>
          <w:spacing w:val="-2"/>
        </w:rPr>
        <w:t>2018), und durch</w:t>
      </w:r>
      <w:r w:rsidR="00CB712A" w:rsidRPr="008720AB">
        <w:rPr>
          <w:rFonts w:ascii="Times New Roman Italique" w:hAnsi="Times New Roman Italique"/>
          <w:i/>
          <w:spacing w:val="-2"/>
        </w:rPr>
        <w:t xml:space="preserve"> </w:t>
      </w:r>
      <w:r w:rsidR="00D67EB8" w:rsidRPr="008720AB">
        <w:rPr>
          <w:rFonts w:ascii="Times New Roman Italique" w:hAnsi="Times New Roman Italique"/>
          <w:i/>
          <w:spacing w:val="-2"/>
        </w:rPr>
        <w:t>Art. </w:t>
      </w:r>
      <w:r w:rsidR="00CB712A" w:rsidRPr="008720AB">
        <w:rPr>
          <w:rFonts w:ascii="Times New Roman Italique" w:hAnsi="Times New Roman Italique" w:hint="eastAsia"/>
          <w:i/>
          <w:spacing w:val="-2"/>
        </w:rPr>
        <w:t>7</w:t>
      </w:r>
      <w:r w:rsidR="00CB712A" w:rsidRPr="008720AB">
        <w:rPr>
          <w:i/>
          <w:iCs/>
        </w:rPr>
        <w:t xml:space="preserve"> des G. vom 1. Dezember 2016 (B.S. vom 8. Dezember 2016)</w:t>
      </w:r>
      <w:r w:rsidR="00D67EB8" w:rsidRPr="008720AB">
        <w:rPr>
          <w:i/>
          <w:iCs/>
        </w:rPr>
        <w:t> - </w:t>
      </w:r>
      <w:r w:rsidR="00CB712A" w:rsidRPr="008720AB">
        <w:rPr>
          <w:i/>
          <w:iCs/>
        </w:rPr>
        <w:t>anwendbar ab dem Steuerjahr 2017 auf Vorgänge, die ab dem 8. Dezember 2016 stattfinden</w:t>
      </w:r>
      <w:r w:rsidR="00D67EB8" w:rsidRPr="008720AB">
        <w:rPr>
          <w:i/>
          <w:iCs/>
        </w:rPr>
        <w:t> - </w:t>
      </w:r>
      <w:r w:rsidR="00D41CB4" w:rsidRPr="008720AB">
        <w:rPr>
          <w:i/>
          <w:iCs/>
        </w:rPr>
        <w:t xml:space="preserve">und </w:t>
      </w:r>
      <w:r w:rsidR="00D67EB8" w:rsidRPr="008720AB">
        <w:rPr>
          <w:i/>
          <w:iCs/>
        </w:rPr>
        <w:t>Art. </w:t>
      </w:r>
      <w:r w:rsidR="00D41CB4" w:rsidRPr="008720AB">
        <w:rPr>
          <w:i/>
          <w:iCs/>
        </w:rPr>
        <w:t>11</w:t>
      </w:r>
      <w:r w:rsidR="00D41CB4" w:rsidRPr="008720AB">
        <w:rPr>
          <w:i/>
        </w:rPr>
        <w:t xml:space="preserve"> des G. vom 30. Juli 2018 (I) (B.S. vom</w:t>
      </w:r>
      <w:r w:rsidR="00D41CB4" w:rsidRPr="009118AB">
        <w:rPr>
          <w:i/>
        </w:rPr>
        <w:t xml:space="preserve"> 10. August 2018)</w:t>
      </w:r>
      <w:r w:rsidR="00D67EB8" w:rsidRPr="009118AB">
        <w:rPr>
          <w:i/>
        </w:rPr>
        <w:t> - </w:t>
      </w:r>
      <w:r w:rsidR="00D41CB4" w:rsidRPr="009118AB">
        <w:rPr>
          <w:i/>
        </w:rPr>
        <w:t>anwendbar ab dem Steuerjahr 2019, das sich auf einen Be</w:t>
      </w:r>
      <w:r w:rsidR="003B0B00" w:rsidRPr="009118AB">
        <w:rPr>
          <w:i/>
        </w:rPr>
        <w:t>steuerungszeitraum bezieht, der</w:t>
      </w:r>
      <w:r w:rsidR="00D41CB4" w:rsidRPr="009118AB">
        <w:rPr>
          <w:i/>
        </w:rPr>
        <w:t xml:space="preserve"> frühestens am 1. Januar 2018 beginnt</w:t>
      </w:r>
      <w:r w:rsidR="003366D9" w:rsidRPr="009118AB">
        <w:rPr>
          <w:i/>
        </w:rPr>
        <w:t> -;</w:t>
      </w:r>
      <w:r w:rsidR="0026016D"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26016D" w:rsidRPr="009118AB">
        <w:rPr>
          <w:rFonts w:ascii="Times New Roman Italique" w:hAnsi="Times New Roman Italique"/>
          <w:i/>
          <w:spacing w:val="-2"/>
        </w:rPr>
        <w:t xml:space="preserve">1 neuer Absatz 2 eingefügt durch </w:t>
      </w:r>
      <w:r w:rsidR="00D67EB8" w:rsidRPr="009118AB">
        <w:rPr>
          <w:rFonts w:ascii="Times New Roman Italique" w:hAnsi="Times New Roman Italique"/>
          <w:i/>
          <w:spacing w:val="-2"/>
        </w:rPr>
        <w:t>Art. </w:t>
      </w:r>
      <w:r w:rsidR="0026016D" w:rsidRPr="009118AB">
        <w:rPr>
          <w:rFonts w:ascii="Times New Roman Italique" w:hAnsi="Times New Roman Italique"/>
          <w:i/>
          <w:spacing w:val="-2"/>
        </w:rPr>
        <w:t xml:space="preserve">57 </w:t>
      </w:r>
      <w:r w:rsidR="00D67EB8" w:rsidRPr="009118AB">
        <w:rPr>
          <w:rFonts w:ascii="Times New Roman Italique" w:hAnsi="Times New Roman Italique"/>
          <w:i/>
          <w:spacing w:val="-2"/>
        </w:rPr>
        <w:t>Nr. </w:t>
      </w:r>
      <w:r w:rsidR="0026016D" w:rsidRPr="009118AB">
        <w:rPr>
          <w:rFonts w:ascii="Times New Roman Italique" w:hAnsi="Times New Roman Italique" w:hint="eastAsia"/>
          <w:i/>
          <w:spacing w:val="-2"/>
        </w:rPr>
        <w:t>1</w:t>
      </w:r>
      <w:r w:rsidR="0026016D" w:rsidRPr="009118AB">
        <w:rPr>
          <w:i/>
          <w:iCs/>
        </w:rPr>
        <w:t xml:space="preserve"> des G. vom 25. Dezember 2017 (III) (B.S. vom 29. Dezember 2017)</w:t>
      </w:r>
      <w:r w:rsidR="00D67EB8" w:rsidRPr="009118AB">
        <w:rPr>
          <w:i/>
          <w:iCs/>
        </w:rPr>
        <w:t> - </w:t>
      </w:r>
      <w:r w:rsidR="0026016D" w:rsidRPr="009118AB">
        <w:rPr>
          <w:i/>
          <w:iCs/>
        </w:rPr>
        <w:t>in Kraft am 1. Januar 2018 und anwendbar ab dem Steuerjahr 2019, das sich auf einen Besteuerungszeitraum bezieht, der frühestens am 1. Januar 2018 beginnt</w:t>
      </w:r>
      <w:r w:rsidR="003366D9" w:rsidRPr="009118AB">
        <w:rPr>
          <w:i/>
          <w:iCs/>
        </w:rPr>
        <w:t> -;</w:t>
      </w:r>
      <w:r w:rsidR="0026016D" w:rsidRPr="009118AB">
        <w:rPr>
          <w:i/>
          <w:iCs/>
        </w:rPr>
        <w:t xml:space="preserve"> </w:t>
      </w:r>
      <w:r w:rsidR="00D67EB8" w:rsidRPr="009118AB">
        <w:rPr>
          <w:i/>
          <w:iCs/>
        </w:rPr>
        <w:t>§ </w:t>
      </w:r>
      <w:r w:rsidR="0026016D" w:rsidRPr="009118AB">
        <w:rPr>
          <w:i/>
          <w:iCs/>
        </w:rPr>
        <w:t xml:space="preserve">1 </w:t>
      </w:r>
      <w:r w:rsidR="00D67EB8" w:rsidRPr="009118AB">
        <w:rPr>
          <w:i/>
          <w:iCs/>
        </w:rPr>
        <w:t>Abs. </w:t>
      </w:r>
      <w:r w:rsidR="0026016D" w:rsidRPr="009118AB">
        <w:rPr>
          <w:i/>
          <w:iCs/>
        </w:rPr>
        <w:t xml:space="preserve">4 eingefügt durch </w:t>
      </w:r>
      <w:r w:rsidR="00D67EB8" w:rsidRPr="009118AB">
        <w:rPr>
          <w:i/>
          <w:iCs/>
        </w:rPr>
        <w:t>Art. </w:t>
      </w:r>
      <w:r w:rsidR="0026016D" w:rsidRPr="009118AB">
        <w:rPr>
          <w:i/>
          <w:iCs/>
        </w:rPr>
        <w:t xml:space="preserve">57 </w:t>
      </w:r>
      <w:r w:rsidR="00D67EB8" w:rsidRPr="009118AB">
        <w:rPr>
          <w:i/>
          <w:iCs/>
        </w:rPr>
        <w:t>Nr. </w:t>
      </w:r>
      <w:r w:rsidR="0026016D" w:rsidRPr="009118AB">
        <w:rPr>
          <w:i/>
          <w:iCs/>
        </w:rPr>
        <w:t>2 des G. vom 25. Dezember 2017 (III) (B.S. vom 29. Dezember 2017)</w:t>
      </w:r>
      <w:r w:rsidR="00D67EB8" w:rsidRPr="009118AB">
        <w:rPr>
          <w:i/>
          <w:iCs/>
        </w:rPr>
        <w:t> - </w:t>
      </w:r>
      <w:r w:rsidR="0026016D" w:rsidRPr="009118AB">
        <w:rPr>
          <w:i/>
          <w:iCs/>
        </w:rPr>
        <w:t>in Kraft am 1. Januar 2018 und anwendbar ab dem Steuerjahr 2019, das sich auf einen Besteuerungszeitraum bezieht, der frühestens am 1. Januar 2018 beginnt</w:t>
      </w:r>
      <w:r w:rsidR="003366D9" w:rsidRPr="009118AB">
        <w:rPr>
          <w:i/>
          <w:iCs/>
        </w:rPr>
        <w:t> -;</w:t>
      </w:r>
      <w:r w:rsidR="00AF0F85" w:rsidRPr="009118AB">
        <w:rPr>
          <w:i/>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14 des G. vom 24. Dezember 2002</w:t>
      </w:r>
      <w:r w:rsidR="00D86BCC" w:rsidRPr="009118AB">
        <w:rPr>
          <w:i/>
          <w:iCs/>
        </w:rPr>
        <w:t xml:space="preserve"> (II) </w:t>
      </w:r>
      <w:r w:rsidR="00D27B17" w:rsidRPr="009118AB">
        <w:rPr>
          <w:i/>
          <w:iCs/>
        </w:rPr>
        <w:t>(B.S. vom 31. Dezember 2002)</w:t>
      </w:r>
      <w:r w:rsidR="00D67EB8" w:rsidRPr="009118AB">
        <w:rPr>
          <w:i/>
          <w:iCs/>
        </w:rPr>
        <w:t> - </w:t>
      </w:r>
      <w:r w:rsidRPr="009118AB">
        <w:rPr>
          <w:i/>
          <w:iCs/>
        </w:rPr>
        <w:t>anwendbar auf Gesellschaften, deren erstes Geschäftsjahr an das Steuerjahr 2004 oder ein späteres Steuerjahr gebunden ist</w:t>
      </w:r>
      <w:r w:rsidR="00FD68E8" w:rsidRPr="009118AB">
        <w:rPr>
          <w:i/>
          <w:iCs/>
        </w:rPr>
        <w:t> -,</w:t>
      </w:r>
      <w:r w:rsidR="00C0094D" w:rsidRPr="009118AB">
        <w:rPr>
          <w:i/>
          <w:iCs/>
        </w:rPr>
        <w:t xml:space="preserve"> </w:t>
      </w:r>
      <w:r w:rsidR="00E913B0" w:rsidRPr="009118AB">
        <w:rPr>
          <w:i/>
          <w:iCs/>
        </w:rPr>
        <w:t xml:space="preserve">ersetzt durch </w:t>
      </w:r>
      <w:r w:rsidR="00D67EB8" w:rsidRPr="009118AB">
        <w:rPr>
          <w:i/>
          <w:iCs/>
        </w:rPr>
        <w:t>Art. </w:t>
      </w:r>
      <w:r w:rsidR="00E913B0" w:rsidRPr="009118AB">
        <w:rPr>
          <w:i/>
          <w:iCs/>
        </w:rPr>
        <w:t xml:space="preserve">49 des </w:t>
      </w:r>
      <w:r w:rsidR="00DC1F9F" w:rsidRPr="009118AB">
        <w:rPr>
          <w:i/>
          <w:iCs/>
        </w:rPr>
        <w:t>G. vom 22. Dezember 2009 (I)</w:t>
      </w:r>
      <w:r w:rsidR="00E913B0" w:rsidRPr="009118AB">
        <w:rPr>
          <w:i/>
          <w:iCs/>
        </w:rPr>
        <w:t xml:space="preserve"> (B.S.</w:t>
      </w:r>
      <w:r w:rsidR="00231115" w:rsidRPr="009118AB">
        <w:rPr>
          <w:i/>
          <w:iCs/>
        </w:rPr>
        <w:t> </w:t>
      </w:r>
      <w:r w:rsidR="00E913B0" w:rsidRPr="009118AB">
        <w:rPr>
          <w:i/>
          <w:iCs/>
        </w:rPr>
        <w:t>vom 31. Dezember 2009)</w:t>
      </w:r>
      <w:r w:rsidR="00D67EB8" w:rsidRPr="009118AB">
        <w:rPr>
          <w:i/>
          <w:iCs/>
        </w:rPr>
        <w:t> - </w:t>
      </w:r>
      <w:r w:rsidR="00231115" w:rsidRPr="009118AB">
        <w:rPr>
          <w:i/>
          <w:iCs/>
        </w:rPr>
        <w:t>anwendbar ab dem Steuerjahr</w:t>
      </w:r>
      <w:r w:rsidR="00B818A6" w:rsidRPr="009118AB">
        <w:rPr>
          <w:i/>
          <w:iCs/>
        </w:rPr>
        <w:t> </w:t>
      </w:r>
      <w:r w:rsidR="00231115" w:rsidRPr="009118AB">
        <w:rPr>
          <w:i/>
          <w:iCs/>
        </w:rPr>
        <w:t>2011</w:t>
      </w:r>
      <w:r w:rsidR="00D67EB8" w:rsidRPr="009118AB">
        <w:rPr>
          <w:i/>
          <w:iCs/>
        </w:rPr>
        <w:t> - </w:t>
      </w:r>
      <w:r w:rsidR="00C0094D" w:rsidRPr="009118AB">
        <w:rPr>
          <w:i/>
          <w:iCs/>
        </w:rPr>
        <w:t xml:space="preserve">und abgeändert durch </w:t>
      </w:r>
      <w:r w:rsidR="00D67EB8" w:rsidRPr="009118AB">
        <w:rPr>
          <w:i/>
          <w:iCs/>
        </w:rPr>
        <w:t>Art. </w:t>
      </w:r>
      <w:r w:rsidR="00C0094D" w:rsidRPr="009118AB">
        <w:rPr>
          <w:i/>
          <w:iCs/>
        </w:rPr>
        <w:t xml:space="preserve">56 </w:t>
      </w:r>
      <w:r w:rsidR="00C0094D" w:rsidRPr="009118AB">
        <w:rPr>
          <w:i/>
        </w:rPr>
        <w:t>des G. vom 18. Dezember 2015</w:t>
      </w:r>
      <w:r w:rsidR="00E56969" w:rsidRPr="009118AB">
        <w:rPr>
          <w:i/>
        </w:rPr>
        <w:t xml:space="preserve"> (I)</w:t>
      </w:r>
      <w:r w:rsidR="00C0094D" w:rsidRPr="009118AB">
        <w:rPr>
          <w:i/>
        </w:rPr>
        <w:t xml:space="preserve"> (B.S. vom 30. Dezember 2015)</w:t>
      </w:r>
      <w:r w:rsidR="00D67EB8" w:rsidRPr="009118AB">
        <w:rPr>
          <w:i/>
        </w:rPr>
        <w:t> - </w:t>
      </w:r>
      <w:r w:rsidR="00D9107F" w:rsidRPr="009118AB">
        <w:rPr>
          <w:i/>
        </w:rPr>
        <w:t>anwendbar auf Besteuerungszeiträume, die ab dem 1. Januar 2016 beginnen</w:t>
      </w:r>
      <w:r w:rsidR="00D67EB8" w:rsidRPr="009118AB">
        <w:rPr>
          <w:i/>
        </w:rPr>
        <w:t> -</w:t>
      </w:r>
      <w:r w:rsidR="00B818A6" w:rsidRPr="009118AB">
        <w:rPr>
          <w:i/>
        </w:rPr>
        <w:t>,</w:t>
      </w:r>
      <w:r w:rsidR="006F3A5D" w:rsidRPr="009118AB">
        <w:rPr>
          <w:i/>
        </w:rPr>
        <w:t xml:space="preserve"> </w:t>
      </w:r>
      <w:r w:rsidR="00D67EB8" w:rsidRPr="009118AB">
        <w:rPr>
          <w:i/>
        </w:rPr>
        <w:t>Art. </w:t>
      </w:r>
      <w:r w:rsidR="006F3A5D" w:rsidRPr="009118AB">
        <w:rPr>
          <w:i/>
        </w:rPr>
        <w:t>49</w:t>
      </w:r>
      <w:r w:rsidR="006F3A5D" w:rsidRPr="009118AB">
        <w:rPr>
          <w:i/>
          <w:iCs/>
          <w:spacing w:val="-2"/>
        </w:rPr>
        <w:t xml:space="preserve"> des G. vom 17. März 2019 (III) (B.S. vom 10. Mai 2019)</w:t>
      </w:r>
      <w:r w:rsidR="00D67EB8" w:rsidRPr="009118AB">
        <w:rPr>
          <w:i/>
          <w:iCs/>
          <w:spacing w:val="-2"/>
        </w:rPr>
        <w:t> - </w:t>
      </w:r>
      <w:r w:rsidR="006F3A5D" w:rsidRPr="009118AB">
        <w:rPr>
          <w:i/>
          <w:iCs/>
          <w:spacing w:val="-2"/>
        </w:rPr>
        <w:t>in Kraft am 1. Mai 2019</w:t>
      </w:r>
      <w:r w:rsidR="00FD68E8" w:rsidRPr="009118AB">
        <w:rPr>
          <w:i/>
          <w:iCs/>
          <w:spacing w:val="-2"/>
        </w:rPr>
        <w:t> -</w:t>
      </w:r>
      <w:r w:rsidR="00B818A6" w:rsidRPr="009118AB">
        <w:rPr>
          <w:i/>
          <w:iCs/>
          <w:spacing w:val="-2"/>
        </w:rPr>
        <w:t xml:space="preserve"> und Art. 28 des G. vom 5. Juli 2022 (B.S. vom 15. Juli 2022)</w:t>
      </w:r>
      <w:r w:rsidR="00FD68E8" w:rsidRPr="009118AB">
        <w:rPr>
          <w:i/>
          <w:iCs/>
          <w:spacing w:val="-2"/>
        </w:rPr>
        <w:t>]</w:t>
      </w:r>
    </w:p>
    <w:p w14:paraId="32C1B4F0" w14:textId="77777777" w:rsidR="00E24BB2" w:rsidRPr="009118AB" w:rsidRDefault="00E24BB2">
      <w:r w:rsidRPr="009118AB">
        <w:br w:type="page"/>
      </w:r>
    </w:p>
    <w:p w14:paraId="4C4723F1" w14:textId="28C28819" w:rsidR="00E24BB2" w:rsidRPr="009118AB" w:rsidRDefault="00E24BB2" w:rsidP="00E24BB2">
      <w:pPr>
        <w:autoSpaceDE w:val="0"/>
        <w:autoSpaceDN w:val="0"/>
        <w:adjustRightInd w:val="0"/>
        <w:jc w:val="center"/>
      </w:pPr>
      <w:r w:rsidRPr="009118AB">
        <w:lastRenderedPageBreak/>
        <w:t>[Unterabschnitt 4</w:t>
      </w:r>
      <w:r w:rsidR="00D67EB8" w:rsidRPr="009118AB">
        <w:t> - </w:t>
      </w:r>
      <w:r w:rsidRPr="009118AB">
        <w:t>Erhöhung bei Überschreitung der Beihilfehöchstintensität infolge des rückwirkenden Abzugs von beruflichen Verlusten]</w:t>
      </w:r>
    </w:p>
    <w:p w14:paraId="603ABCB3" w14:textId="77777777" w:rsidR="00E24BB2" w:rsidRPr="009118AB" w:rsidRDefault="00E24BB2" w:rsidP="00E24BB2">
      <w:pPr>
        <w:autoSpaceDE w:val="0"/>
        <w:autoSpaceDN w:val="0"/>
        <w:adjustRightInd w:val="0"/>
        <w:jc w:val="center"/>
      </w:pPr>
    </w:p>
    <w:p w14:paraId="48660B4C" w14:textId="7F658195" w:rsidR="00E24BB2" w:rsidRPr="009118AB" w:rsidRDefault="00E24BB2" w:rsidP="00E24BB2">
      <w:pPr>
        <w:autoSpaceDE w:val="0"/>
        <w:autoSpaceDN w:val="0"/>
        <w:adjustRightInd w:val="0"/>
        <w:jc w:val="both"/>
        <w:rPr>
          <w:i/>
          <w:iCs/>
          <w:spacing w:val="-2"/>
        </w:rPr>
      </w:pPr>
      <w:r w:rsidRPr="009118AB">
        <w:rPr>
          <w:i/>
          <w:iCs/>
        </w:rPr>
        <w:t xml:space="preserve">[Unterteilung Unterabschnitt 4 eingefügt durch </w:t>
      </w:r>
      <w:r w:rsidR="00D67EB8" w:rsidRPr="009118AB">
        <w:rPr>
          <w:i/>
          <w:iCs/>
        </w:rPr>
        <w:t>Art. </w:t>
      </w:r>
      <w:r w:rsidRPr="009118AB">
        <w:rPr>
          <w:i/>
          <w:iCs/>
        </w:rPr>
        <w:t>91</w:t>
      </w:r>
      <w:r w:rsidRPr="009118AB">
        <w:rPr>
          <w:i/>
          <w:iCs/>
          <w:spacing w:val="-2"/>
        </w:rPr>
        <w:t xml:space="preserve"> des G. vom 11. Februar 2019 (B.S. vom 22. März 2020)</w:t>
      </w:r>
      <w:r w:rsidR="00D67EB8" w:rsidRPr="009118AB">
        <w:rPr>
          <w:i/>
          <w:iCs/>
          <w:spacing w:val="-2"/>
        </w:rPr>
        <w:t> - </w:t>
      </w:r>
      <w:r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p>
    <w:p w14:paraId="0DCC4E82" w14:textId="77777777" w:rsidR="00E24BB2" w:rsidRPr="009118AB" w:rsidRDefault="00E24BB2" w:rsidP="00E24BB2">
      <w:pPr>
        <w:autoSpaceDE w:val="0"/>
        <w:autoSpaceDN w:val="0"/>
        <w:adjustRightInd w:val="0"/>
        <w:jc w:val="both"/>
        <w:rPr>
          <w:spacing w:val="-2"/>
        </w:rPr>
      </w:pPr>
    </w:p>
    <w:p w14:paraId="71EC9A47" w14:textId="77777777" w:rsidR="00E24BB2" w:rsidRPr="009118AB" w:rsidRDefault="00E24BB2" w:rsidP="00E24BB2">
      <w:pPr>
        <w:autoSpaceDE w:val="0"/>
        <w:autoSpaceDN w:val="0"/>
        <w:adjustRightInd w:val="0"/>
        <w:jc w:val="both"/>
        <w:rPr>
          <w:spacing w:val="-2"/>
        </w:rPr>
      </w:pPr>
    </w:p>
    <w:p w14:paraId="1CE799D2" w14:textId="01C9795B" w:rsidR="00E24BB2" w:rsidRPr="009118AB" w:rsidRDefault="00E24BB2" w:rsidP="00E24BB2">
      <w:pPr>
        <w:jc w:val="both"/>
      </w:pPr>
      <w:r w:rsidRPr="009118AB">
        <w:rPr>
          <w:spacing w:val="-2"/>
        </w:rPr>
        <w:tab/>
        <w:t>[</w:t>
      </w:r>
      <w:r w:rsidR="00D67EB8" w:rsidRPr="009118AB">
        <w:rPr>
          <w:b/>
          <w:bCs/>
        </w:rPr>
        <w:t>Art. </w:t>
      </w:r>
      <w:r w:rsidRPr="009118AB">
        <w:rPr>
          <w:b/>
          <w:bCs/>
        </w:rPr>
        <w:t>218/1</w:t>
      </w:r>
      <w:r w:rsidR="00D67EB8" w:rsidRPr="009118AB">
        <w:t> - </w:t>
      </w:r>
      <w:r w:rsidRPr="009118AB">
        <w:t xml:space="preserve">Wenn ein Steuerpflichtiger für den rückwirkenden Abzug von beruflichen Verlusten in Anwendung von Artikel 206 </w:t>
      </w:r>
      <w:r w:rsidR="00D67EB8" w:rsidRPr="009118AB">
        <w:t>§ </w:t>
      </w:r>
      <w:r w:rsidRPr="009118AB">
        <w:t xml:space="preserve">4 optiert hat und infolge dieses Abzugs der Steuerüberschuss in Anwendung von Artikel 375/1 von Rechts wegen nachgelassen wird, wird die Gesamtsteuer des Besteuerungszeitraums, für den die in Artikel 168/1 </w:t>
      </w:r>
      <w:r w:rsidR="00D67EB8" w:rsidRPr="009118AB">
        <w:t>§ </w:t>
      </w:r>
      <w:r w:rsidRPr="009118AB">
        <w:t xml:space="preserve">2 beschriebene alternative Berechnung gemäß Absatz 2 desselben Paragraphen zuletzt vorgenommen worden ist, um den gemäß Artikel 168/1 </w:t>
      </w:r>
      <w:r w:rsidR="00D67EB8" w:rsidRPr="009118AB">
        <w:t>§ </w:t>
      </w:r>
      <w:r w:rsidRPr="009118AB">
        <w:t>3 festgelegten Betrag erhöht.</w:t>
      </w:r>
    </w:p>
    <w:p w14:paraId="7C04C2DC" w14:textId="77777777" w:rsidR="00E24BB2" w:rsidRPr="009118AB" w:rsidRDefault="00E24BB2" w:rsidP="00E24BB2">
      <w:pPr>
        <w:jc w:val="both"/>
      </w:pPr>
    </w:p>
    <w:p w14:paraId="5DB46D41" w14:textId="3C8658A6" w:rsidR="00E24BB2" w:rsidRPr="009118AB" w:rsidRDefault="00E24BB2" w:rsidP="00E24BB2">
      <w:pPr>
        <w:autoSpaceDE w:val="0"/>
        <w:autoSpaceDN w:val="0"/>
        <w:adjustRightInd w:val="0"/>
        <w:jc w:val="both"/>
        <w:rPr>
          <w:spacing w:val="-2"/>
        </w:rPr>
      </w:pPr>
      <w:r w:rsidRPr="009118AB">
        <w:tab/>
        <w:t xml:space="preserve">Der König bestimmt die Modalitäten gemäß Artikel 168/1 </w:t>
      </w:r>
      <w:r w:rsidR="00D67EB8" w:rsidRPr="009118AB">
        <w:t>§ </w:t>
      </w:r>
      <w:r w:rsidRPr="009118AB">
        <w:t>4.</w:t>
      </w:r>
      <w:r w:rsidRPr="009118AB">
        <w:rPr>
          <w:spacing w:val="-2"/>
        </w:rPr>
        <w:t>]</w:t>
      </w:r>
    </w:p>
    <w:p w14:paraId="6DD02FDA" w14:textId="77777777" w:rsidR="00E24BB2" w:rsidRPr="009118AB" w:rsidRDefault="00E24BB2" w:rsidP="00E24BB2">
      <w:pPr>
        <w:autoSpaceDE w:val="0"/>
        <w:autoSpaceDN w:val="0"/>
        <w:adjustRightInd w:val="0"/>
        <w:jc w:val="both"/>
        <w:rPr>
          <w:spacing w:val="-2"/>
        </w:rPr>
      </w:pPr>
    </w:p>
    <w:p w14:paraId="66C8A4D8" w14:textId="691495B1" w:rsidR="00E24BB2" w:rsidRPr="009118AB" w:rsidRDefault="00E24BB2" w:rsidP="00E24BB2">
      <w:pPr>
        <w:autoSpaceDE w:val="0"/>
        <w:autoSpaceDN w:val="0"/>
        <w:adjustRightInd w:val="0"/>
        <w:jc w:val="both"/>
        <w:rPr>
          <w:i/>
          <w:iCs/>
        </w:rPr>
      </w:pPr>
      <w:r w:rsidRPr="009118AB">
        <w:rPr>
          <w:i/>
          <w:iCs/>
          <w:spacing w:val="-2"/>
        </w:rPr>
        <w:t>[</w:t>
      </w:r>
      <w:r w:rsidR="00D67EB8" w:rsidRPr="009118AB">
        <w:rPr>
          <w:i/>
          <w:iCs/>
          <w:spacing w:val="-2"/>
        </w:rPr>
        <w:t>Art. </w:t>
      </w:r>
      <w:r w:rsidRPr="009118AB">
        <w:rPr>
          <w:i/>
          <w:iCs/>
          <w:spacing w:val="-2"/>
        </w:rPr>
        <w:t xml:space="preserve">218/1 eingefügt durch </w:t>
      </w:r>
      <w:r w:rsidR="00D67EB8" w:rsidRPr="009118AB">
        <w:rPr>
          <w:i/>
          <w:iCs/>
          <w:spacing w:val="-2"/>
        </w:rPr>
        <w:t>Art. </w:t>
      </w:r>
      <w:r w:rsidRPr="009118AB">
        <w:rPr>
          <w:i/>
          <w:iCs/>
          <w:spacing w:val="-2"/>
        </w:rPr>
        <w:t>92 des G. vom 11. Februar 2019 (B.S. vom 22. März 2020)</w:t>
      </w:r>
      <w:r w:rsidR="00D67EB8" w:rsidRPr="009118AB">
        <w:rPr>
          <w:i/>
          <w:iCs/>
          <w:spacing w:val="-2"/>
        </w:rPr>
        <w:t> - </w:t>
      </w:r>
      <w:r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p>
    <w:p w14:paraId="3A68ECFA" w14:textId="3EE6B332" w:rsidR="00477B8F" w:rsidRPr="009118AB" w:rsidRDefault="00477B8F" w:rsidP="00477B8F">
      <w:pPr>
        <w:autoSpaceDE w:val="0"/>
        <w:autoSpaceDN w:val="0"/>
        <w:adjustRightInd w:val="0"/>
        <w:jc w:val="center"/>
      </w:pPr>
      <w:r w:rsidRPr="009118AB">
        <w:br w:type="page"/>
      </w:r>
      <w:r w:rsidRPr="009118AB">
        <w:rPr>
          <w:i/>
          <w:iCs/>
        </w:rPr>
        <w:lastRenderedPageBreak/>
        <w:t>Abschnitt </w:t>
      </w:r>
      <w:r w:rsidR="00D74862" w:rsidRPr="009118AB">
        <w:rPr>
          <w:i/>
          <w:iCs/>
        </w:rPr>
        <w:t>2</w:t>
      </w:r>
      <w:r w:rsidR="00D67EB8" w:rsidRPr="009118AB">
        <w:t> - </w:t>
      </w:r>
      <w:r w:rsidRPr="009118AB">
        <w:t>[Getrennte Steuern]</w:t>
      </w:r>
    </w:p>
    <w:p w14:paraId="66580BFC" w14:textId="77777777" w:rsidR="00477B8F" w:rsidRPr="009118AB" w:rsidRDefault="00477B8F" w:rsidP="00477B8F">
      <w:pPr>
        <w:autoSpaceDE w:val="0"/>
        <w:autoSpaceDN w:val="0"/>
        <w:adjustRightInd w:val="0"/>
        <w:jc w:val="center"/>
      </w:pPr>
    </w:p>
    <w:p w14:paraId="5AD0A23B" w14:textId="508B83EC" w:rsidR="00477B8F" w:rsidRPr="009118AB" w:rsidRDefault="00477B8F" w:rsidP="00477B8F">
      <w:pPr>
        <w:autoSpaceDE w:val="0"/>
        <w:autoSpaceDN w:val="0"/>
        <w:adjustRightInd w:val="0"/>
        <w:jc w:val="both"/>
      </w:pPr>
      <w:r w:rsidRPr="009118AB">
        <w:rPr>
          <w:i/>
          <w:iCs/>
        </w:rPr>
        <w:t>[Überschrift von Abschnitt </w:t>
      </w:r>
      <w:r w:rsidR="00D74862" w:rsidRPr="009118AB">
        <w:rPr>
          <w:i/>
          <w:iCs/>
        </w:rPr>
        <w:t>2</w:t>
      </w:r>
      <w:r w:rsidRPr="009118AB">
        <w:rPr>
          <w:i/>
          <w:iCs/>
        </w:rPr>
        <w:t xml:space="preserve"> ersetzt durch </w:t>
      </w:r>
      <w:r w:rsidR="00D67EB8" w:rsidRPr="009118AB">
        <w:rPr>
          <w:i/>
          <w:iCs/>
        </w:rPr>
        <w:t>Art. </w:t>
      </w:r>
      <w:r w:rsidRPr="009118AB">
        <w:rPr>
          <w:i/>
          <w:iCs/>
        </w:rPr>
        <w:t>20 des G. vom 4. Mai 1999 (II) (B.S. vom 12. Juni 1999)]</w:t>
      </w:r>
    </w:p>
    <w:p w14:paraId="10EC898D" w14:textId="77777777" w:rsidR="00477B8F" w:rsidRPr="009118AB" w:rsidRDefault="00477B8F" w:rsidP="00477B8F">
      <w:pPr>
        <w:autoSpaceDE w:val="0"/>
        <w:autoSpaceDN w:val="0"/>
        <w:adjustRightInd w:val="0"/>
        <w:jc w:val="both"/>
      </w:pPr>
    </w:p>
    <w:p w14:paraId="5D65B113" w14:textId="77777777" w:rsidR="00477B8F" w:rsidRPr="009118AB" w:rsidRDefault="00477B8F" w:rsidP="00477B8F">
      <w:pPr>
        <w:autoSpaceDE w:val="0"/>
        <w:autoSpaceDN w:val="0"/>
        <w:adjustRightInd w:val="0"/>
        <w:jc w:val="both"/>
      </w:pPr>
    </w:p>
    <w:p w14:paraId="2147115A" w14:textId="1D7E3CCF" w:rsidR="0026016D" w:rsidRPr="009118AB" w:rsidRDefault="00477B8F" w:rsidP="00922FE1">
      <w:pPr>
        <w:ind w:firstLine="708"/>
        <w:jc w:val="both"/>
        <w:rPr>
          <w:iCs/>
        </w:rPr>
      </w:pPr>
      <w:r w:rsidRPr="009118AB">
        <w:tab/>
      </w:r>
      <w:r w:rsidR="00D67EB8" w:rsidRPr="009118AB">
        <w:rPr>
          <w:b/>
          <w:bCs/>
        </w:rPr>
        <w:t>Art. </w:t>
      </w:r>
      <w:r w:rsidRPr="009118AB">
        <w:rPr>
          <w:b/>
          <w:bCs/>
        </w:rPr>
        <w:t>219</w:t>
      </w:r>
      <w:r w:rsidR="00D67EB8" w:rsidRPr="009118AB">
        <w:t> - </w:t>
      </w:r>
      <w:r w:rsidR="0026016D" w:rsidRPr="009118AB">
        <w:rPr>
          <w:iCs/>
        </w:rPr>
        <w:t xml:space="preserve">[Eine getrennte Steuer wird festgelegt auf die in </w:t>
      </w:r>
      <w:r w:rsidR="001E5326" w:rsidRPr="009118AB">
        <w:rPr>
          <w:iCs/>
        </w:rPr>
        <w:t>[</w:t>
      </w:r>
      <w:r w:rsidR="0026016D" w:rsidRPr="009118AB">
        <w:rPr>
          <w:iCs/>
        </w:rPr>
        <w:t>Artikel 57</w:t>
      </w:r>
      <w:r w:rsidR="001E5326" w:rsidRPr="009118AB">
        <w:rPr>
          <w:iCs/>
        </w:rPr>
        <w:t xml:space="preserve"> Absatz 1]</w:t>
      </w:r>
      <w:r w:rsidR="0026016D" w:rsidRPr="009118AB">
        <w:rPr>
          <w:iCs/>
        </w:rPr>
        <w:t xml:space="preserve"> erwähnten Ausgaben</w:t>
      </w:r>
      <w:r w:rsidR="00EF4CE2" w:rsidRPr="009118AB">
        <w:rPr>
          <w:iCs/>
        </w:rPr>
        <w:t>[</w:t>
      </w:r>
      <w:r w:rsidR="00EF4CE2" w:rsidRPr="009118AB">
        <w:rPr>
          <w:lang w:eastAsia="fr-BE"/>
        </w:rPr>
        <w:t xml:space="preserve">, die in den Artikeln 31 Absatz 2 </w:t>
      </w:r>
      <w:r w:rsidR="00D67EB8" w:rsidRPr="009118AB">
        <w:rPr>
          <w:lang w:eastAsia="fr-BE"/>
        </w:rPr>
        <w:t>Nr. </w:t>
      </w:r>
      <w:r w:rsidR="00EF4CE2" w:rsidRPr="009118AB">
        <w:rPr>
          <w:lang w:eastAsia="fr-BE"/>
        </w:rPr>
        <w:t xml:space="preserve">2 und 32 Absatz 2 </w:t>
      </w:r>
      <w:r w:rsidR="00D67EB8" w:rsidRPr="009118AB">
        <w:rPr>
          <w:lang w:eastAsia="fr-BE"/>
        </w:rPr>
        <w:t>Nr. </w:t>
      </w:r>
      <w:r w:rsidR="00EF4CE2" w:rsidRPr="009118AB">
        <w:rPr>
          <w:lang w:eastAsia="fr-BE"/>
        </w:rPr>
        <w:t xml:space="preserve">2 erwähnten Vorteile jeglicher Art und die in Artikel 17 </w:t>
      </w:r>
      <w:r w:rsidR="00D67EB8" w:rsidRPr="009118AB">
        <w:rPr>
          <w:lang w:eastAsia="fr-BE"/>
        </w:rPr>
        <w:t>§ </w:t>
      </w:r>
      <w:r w:rsidR="00EF4CE2" w:rsidRPr="009118AB">
        <w:rPr>
          <w:lang w:eastAsia="fr-BE"/>
        </w:rPr>
        <w:t xml:space="preserve">1 </w:t>
      </w:r>
      <w:r w:rsidR="00D67EB8" w:rsidRPr="009118AB">
        <w:rPr>
          <w:lang w:eastAsia="fr-BE"/>
        </w:rPr>
        <w:t>Nr. </w:t>
      </w:r>
      <w:r w:rsidR="00EF4CE2" w:rsidRPr="009118AB">
        <w:rPr>
          <w:lang w:eastAsia="fr-BE"/>
        </w:rPr>
        <w:t xml:space="preserve">3, was Urheberrechte und ähnliche Rechte betrifft, und </w:t>
      </w:r>
      <w:r w:rsidR="00D67EB8" w:rsidRPr="009118AB">
        <w:rPr>
          <w:lang w:eastAsia="fr-BE"/>
        </w:rPr>
        <w:t>Nr. </w:t>
      </w:r>
      <w:r w:rsidR="00EF4CE2" w:rsidRPr="009118AB">
        <w:rPr>
          <w:lang w:eastAsia="fr-BE"/>
        </w:rPr>
        <w:t>5 erwähnten Einkünfte</w:t>
      </w:r>
      <w:r w:rsidR="00EF4CE2" w:rsidRPr="009118AB">
        <w:rPr>
          <w:iCs/>
        </w:rPr>
        <w:t>]</w:t>
      </w:r>
      <w:r w:rsidR="0026016D" w:rsidRPr="009118AB">
        <w:rPr>
          <w:iCs/>
        </w:rPr>
        <w:t xml:space="preserve">, die nicht durch Individualkarten </w:t>
      </w:r>
      <w:r w:rsidR="00CA61DC" w:rsidRPr="009118AB">
        <w:rPr>
          <w:iCs/>
        </w:rPr>
        <w:t>[...]</w:t>
      </w:r>
      <w:r w:rsidR="0026016D" w:rsidRPr="009118AB">
        <w:rPr>
          <w:iCs/>
        </w:rPr>
        <w:t xml:space="preserve"> nachgewiesen werden, auf verschleierte Gewinne, die nicht in den Bestandteilen des Gesellschaftsvermögens vorkommen, und auf die in Artikel 53 </w:t>
      </w:r>
      <w:r w:rsidR="00D67EB8" w:rsidRPr="009118AB">
        <w:rPr>
          <w:iCs/>
        </w:rPr>
        <w:t>Nr. </w:t>
      </w:r>
      <w:r w:rsidR="0026016D" w:rsidRPr="009118AB">
        <w:rPr>
          <w:iCs/>
        </w:rPr>
        <w:t>24 erwähnten finanziellen Vorteile oder Vorteile jeglicher Art.</w:t>
      </w:r>
    </w:p>
    <w:p w14:paraId="3E716F4E" w14:textId="77777777" w:rsidR="0026016D" w:rsidRPr="009118AB" w:rsidRDefault="0026016D" w:rsidP="0026016D">
      <w:pPr>
        <w:autoSpaceDE w:val="0"/>
        <w:autoSpaceDN w:val="0"/>
        <w:adjustRightInd w:val="0"/>
        <w:jc w:val="both"/>
        <w:rPr>
          <w:iCs/>
        </w:rPr>
      </w:pPr>
    </w:p>
    <w:p w14:paraId="20C7D35D" w14:textId="538FB1FA" w:rsidR="0026016D" w:rsidRPr="009118AB" w:rsidRDefault="0026016D" w:rsidP="00922FE1">
      <w:pPr>
        <w:autoSpaceDE w:val="0"/>
        <w:autoSpaceDN w:val="0"/>
        <w:adjustRightInd w:val="0"/>
        <w:ind w:firstLine="708"/>
        <w:jc w:val="both"/>
        <w:rPr>
          <w:iCs/>
        </w:rPr>
      </w:pPr>
      <w:r w:rsidRPr="009118AB">
        <w:rPr>
          <w:iCs/>
        </w:rPr>
        <w:t xml:space="preserve">Diese Steuer entspricht 100 Prozent dieser Ausgaben, Vorteile jeglicher Art, </w:t>
      </w:r>
      <w:r w:rsidR="00EF4CE2" w:rsidRPr="009118AB">
        <w:rPr>
          <w:iCs/>
        </w:rPr>
        <w:t>[</w:t>
      </w:r>
      <w:r w:rsidR="00EF4CE2" w:rsidRPr="009118AB">
        <w:rPr>
          <w:lang w:eastAsia="fr-BE"/>
        </w:rPr>
        <w:t xml:space="preserve">in Artikel 17 </w:t>
      </w:r>
      <w:r w:rsidR="00D67EB8" w:rsidRPr="009118AB">
        <w:rPr>
          <w:lang w:eastAsia="fr-BE"/>
        </w:rPr>
        <w:t>§ </w:t>
      </w:r>
      <w:r w:rsidR="00EF4CE2" w:rsidRPr="009118AB">
        <w:rPr>
          <w:lang w:eastAsia="fr-BE"/>
        </w:rPr>
        <w:t xml:space="preserve">1 </w:t>
      </w:r>
      <w:r w:rsidR="00D67EB8" w:rsidRPr="009118AB">
        <w:rPr>
          <w:lang w:eastAsia="fr-BE"/>
        </w:rPr>
        <w:t>Nr. </w:t>
      </w:r>
      <w:r w:rsidR="00EF4CE2" w:rsidRPr="009118AB">
        <w:rPr>
          <w:lang w:eastAsia="fr-BE"/>
        </w:rPr>
        <w:t xml:space="preserve">3, was Urheberrechte und ähnliche Rechte betrifft, und </w:t>
      </w:r>
      <w:r w:rsidR="00D67EB8" w:rsidRPr="009118AB">
        <w:rPr>
          <w:lang w:eastAsia="fr-BE"/>
        </w:rPr>
        <w:t>Nr. </w:t>
      </w:r>
      <w:r w:rsidR="00EF4CE2" w:rsidRPr="009118AB">
        <w:rPr>
          <w:lang w:eastAsia="fr-BE"/>
        </w:rPr>
        <w:t>5 erwähnten Einkünfte,</w:t>
      </w:r>
      <w:r w:rsidR="00EF4CE2" w:rsidRPr="009118AB">
        <w:rPr>
          <w:iCs/>
        </w:rPr>
        <w:t xml:space="preserve">] </w:t>
      </w:r>
      <w:r w:rsidRPr="009118AB">
        <w:rPr>
          <w:iCs/>
        </w:rPr>
        <w:t>finanziellen Vorteile und verschleierten Gewinne, außer wenn nachgewiesen werden kann, dass der Empfänger dieser Ausgaben, Vorteile jeglicher Art</w:t>
      </w:r>
      <w:r w:rsidR="00EF4CE2" w:rsidRPr="009118AB">
        <w:rPr>
          <w:iCs/>
        </w:rPr>
        <w:t>[</w:t>
      </w:r>
      <w:r w:rsidR="00EF4CE2" w:rsidRPr="009118AB">
        <w:rPr>
          <w:lang w:eastAsia="fr-BE"/>
        </w:rPr>
        <w:t xml:space="preserve">, finanziellen Vorteile und in Artikel 17 </w:t>
      </w:r>
      <w:r w:rsidR="00D67EB8" w:rsidRPr="009118AB">
        <w:rPr>
          <w:lang w:eastAsia="fr-BE"/>
        </w:rPr>
        <w:t>§ </w:t>
      </w:r>
      <w:r w:rsidR="00EF4CE2" w:rsidRPr="009118AB">
        <w:rPr>
          <w:lang w:eastAsia="fr-BE"/>
        </w:rPr>
        <w:t xml:space="preserve">1 </w:t>
      </w:r>
      <w:r w:rsidR="00D67EB8" w:rsidRPr="009118AB">
        <w:rPr>
          <w:lang w:eastAsia="fr-BE"/>
        </w:rPr>
        <w:t>Nr. </w:t>
      </w:r>
      <w:r w:rsidR="00EF4CE2" w:rsidRPr="009118AB">
        <w:rPr>
          <w:lang w:eastAsia="fr-BE"/>
        </w:rPr>
        <w:t xml:space="preserve">3, was Urheberrechte und ähnliche Rechte betrifft, und </w:t>
      </w:r>
      <w:r w:rsidR="00D67EB8" w:rsidRPr="009118AB">
        <w:rPr>
          <w:lang w:eastAsia="fr-BE"/>
        </w:rPr>
        <w:t>Nr. </w:t>
      </w:r>
      <w:r w:rsidR="00EF4CE2" w:rsidRPr="009118AB">
        <w:rPr>
          <w:lang w:eastAsia="fr-BE"/>
        </w:rPr>
        <w:t>5 erwähnten Einkünfte]</w:t>
      </w:r>
      <w:r w:rsidR="00EF4CE2" w:rsidRPr="009118AB">
        <w:rPr>
          <w:iCs/>
        </w:rPr>
        <w:t xml:space="preserve"> </w:t>
      </w:r>
      <w:r w:rsidRPr="009118AB">
        <w:rPr>
          <w:iCs/>
        </w:rPr>
        <w:t>eine juristische Person ist[; in diesem Fall wird der Steuersatz auf 50 Prozent festgelegt].</w:t>
      </w:r>
    </w:p>
    <w:p w14:paraId="2D0449F6" w14:textId="77777777" w:rsidR="0026016D" w:rsidRPr="009118AB" w:rsidRDefault="0026016D" w:rsidP="0026016D">
      <w:pPr>
        <w:autoSpaceDE w:val="0"/>
        <w:autoSpaceDN w:val="0"/>
        <w:adjustRightInd w:val="0"/>
        <w:jc w:val="both"/>
        <w:rPr>
          <w:iCs/>
        </w:rPr>
      </w:pPr>
    </w:p>
    <w:p w14:paraId="18963E88" w14:textId="1106C372" w:rsidR="0026016D" w:rsidRPr="009118AB" w:rsidRDefault="0026016D" w:rsidP="00922FE1">
      <w:pPr>
        <w:autoSpaceDE w:val="0"/>
        <w:autoSpaceDN w:val="0"/>
        <w:adjustRightInd w:val="0"/>
        <w:ind w:firstLine="708"/>
        <w:jc w:val="both"/>
        <w:rPr>
          <w:iCs/>
        </w:rPr>
      </w:pPr>
      <w:r w:rsidRPr="009118AB">
        <w:rPr>
          <w:iCs/>
        </w:rPr>
        <w:t xml:space="preserve">In Artikel 24 Absatz 1 </w:t>
      </w:r>
      <w:r w:rsidR="00D67EB8" w:rsidRPr="009118AB">
        <w:rPr>
          <w:iCs/>
        </w:rPr>
        <w:t>Nr. </w:t>
      </w:r>
      <w:r w:rsidRPr="009118AB">
        <w:rPr>
          <w:iCs/>
        </w:rPr>
        <w:t>2 bis 4 erwähnte Rücklagen gelten nicht als verschleierte Gewinne.</w:t>
      </w:r>
    </w:p>
    <w:p w14:paraId="56E9AAEA" w14:textId="77777777" w:rsidR="0026016D" w:rsidRPr="009118AB" w:rsidRDefault="0026016D" w:rsidP="0026016D">
      <w:pPr>
        <w:autoSpaceDE w:val="0"/>
        <w:autoSpaceDN w:val="0"/>
        <w:adjustRightInd w:val="0"/>
        <w:jc w:val="both"/>
        <w:rPr>
          <w:iCs/>
        </w:rPr>
      </w:pPr>
    </w:p>
    <w:p w14:paraId="5D4EC619" w14:textId="77777777" w:rsidR="0026016D" w:rsidRPr="009118AB" w:rsidRDefault="0026016D" w:rsidP="00922FE1">
      <w:pPr>
        <w:autoSpaceDE w:val="0"/>
        <w:autoSpaceDN w:val="0"/>
        <w:adjustRightInd w:val="0"/>
        <w:ind w:firstLine="708"/>
        <w:jc w:val="both"/>
        <w:rPr>
          <w:iCs/>
        </w:rPr>
      </w:pPr>
      <w:r w:rsidRPr="009118AB">
        <w:rPr>
          <w:iCs/>
        </w:rPr>
        <w:t>[…]</w:t>
      </w:r>
    </w:p>
    <w:p w14:paraId="321286EC" w14:textId="77777777" w:rsidR="0026016D" w:rsidRPr="009118AB" w:rsidRDefault="0026016D" w:rsidP="0026016D">
      <w:pPr>
        <w:autoSpaceDE w:val="0"/>
        <w:autoSpaceDN w:val="0"/>
        <w:adjustRightInd w:val="0"/>
        <w:jc w:val="both"/>
        <w:rPr>
          <w:iCs/>
        </w:rPr>
      </w:pPr>
    </w:p>
    <w:p w14:paraId="0BCEDD69" w14:textId="77777777" w:rsidR="0026016D" w:rsidRPr="009118AB" w:rsidRDefault="0026016D" w:rsidP="00922FE1">
      <w:pPr>
        <w:autoSpaceDE w:val="0"/>
        <w:autoSpaceDN w:val="0"/>
        <w:adjustRightInd w:val="0"/>
        <w:ind w:firstLine="708"/>
        <w:jc w:val="both"/>
        <w:rPr>
          <w:iCs/>
        </w:rPr>
      </w:pPr>
      <w:r w:rsidRPr="009118AB">
        <w:rPr>
          <w:iCs/>
        </w:rPr>
        <w:t>Darüber hinaus unterliegen vorerwähnte verschleierte Gewinne dieser getrennten Steuer nur, wenn sie nicht Folge der Ablehnung von Werbungskosten sind.</w:t>
      </w:r>
    </w:p>
    <w:p w14:paraId="1A10B82C" w14:textId="77777777" w:rsidR="0026016D" w:rsidRPr="009118AB" w:rsidRDefault="0026016D" w:rsidP="0026016D">
      <w:pPr>
        <w:autoSpaceDE w:val="0"/>
        <w:autoSpaceDN w:val="0"/>
        <w:adjustRightInd w:val="0"/>
        <w:jc w:val="both"/>
        <w:rPr>
          <w:iCs/>
        </w:rPr>
      </w:pPr>
    </w:p>
    <w:p w14:paraId="0E763E36" w14:textId="366A1B72" w:rsidR="0026016D" w:rsidRPr="009118AB" w:rsidRDefault="0026016D" w:rsidP="00922FE1">
      <w:pPr>
        <w:autoSpaceDE w:val="0"/>
        <w:autoSpaceDN w:val="0"/>
        <w:adjustRightInd w:val="0"/>
        <w:ind w:firstLine="708"/>
        <w:jc w:val="both"/>
        <w:rPr>
          <w:iCs/>
        </w:rPr>
      </w:pPr>
      <w:r w:rsidRPr="009118AB">
        <w:rPr>
          <w:iCs/>
        </w:rPr>
        <w:t xml:space="preserve">Diese Steuer ist nicht anwendbar, wenn der Steuerpflichtige nachweist, dass der Betrag der in </w:t>
      </w:r>
      <w:r w:rsidR="001E5326" w:rsidRPr="009118AB">
        <w:rPr>
          <w:iCs/>
        </w:rPr>
        <w:t xml:space="preserve">[Artikel 57 Absatz 1] </w:t>
      </w:r>
      <w:r w:rsidRPr="009118AB">
        <w:rPr>
          <w:iCs/>
        </w:rPr>
        <w:t>erwähnten Ausgaben</w:t>
      </w:r>
      <w:r w:rsidR="00EF4CE2" w:rsidRPr="009118AB">
        <w:rPr>
          <w:iCs/>
        </w:rPr>
        <w:t>[</w:t>
      </w:r>
      <w:r w:rsidR="00EF4CE2" w:rsidRPr="009118AB">
        <w:rPr>
          <w:lang w:eastAsia="fr-BE"/>
        </w:rPr>
        <w:t xml:space="preserve">, der in den Artikeln 31 Absatz 2 </w:t>
      </w:r>
      <w:r w:rsidR="00D67EB8" w:rsidRPr="009118AB">
        <w:rPr>
          <w:lang w:eastAsia="fr-BE"/>
        </w:rPr>
        <w:t>Nr. </w:t>
      </w:r>
      <w:r w:rsidR="00EF4CE2" w:rsidRPr="009118AB">
        <w:rPr>
          <w:lang w:eastAsia="fr-BE"/>
        </w:rPr>
        <w:t xml:space="preserve">2 und 32 Absatz 2 </w:t>
      </w:r>
      <w:r w:rsidR="00D67EB8" w:rsidRPr="009118AB">
        <w:rPr>
          <w:lang w:eastAsia="fr-BE"/>
        </w:rPr>
        <w:t>Nr. </w:t>
      </w:r>
      <w:r w:rsidR="00EF4CE2" w:rsidRPr="009118AB">
        <w:rPr>
          <w:lang w:eastAsia="fr-BE"/>
        </w:rPr>
        <w:t xml:space="preserve">2 erwähnten Vorteile jeglicher Art oder der in Artikel 17 </w:t>
      </w:r>
      <w:r w:rsidR="00D67EB8" w:rsidRPr="009118AB">
        <w:rPr>
          <w:lang w:eastAsia="fr-BE"/>
        </w:rPr>
        <w:t>§ </w:t>
      </w:r>
      <w:r w:rsidR="00EF4CE2" w:rsidRPr="009118AB">
        <w:rPr>
          <w:lang w:eastAsia="fr-BE"/>
        </w:rPr>
        <w:t xml:space="preserve">1 </w:t>
      </w:r>
      <w:r w:rsidR="00D67EB8" w:rsidRPr="009118AB">
        <w:rPr>
          <w:lang w:eastAsia="fr-BE"/>
        </w:rPr>
        <w:t>Nr. </w:t>
      </w:r>
      <w:r w:rsidR="00EF4CE2" w:rsidRPr="009118AB">
        <w:rPr>
          <w:lang w:eastAsia="fr-BE"/>
        </w:rPr>
        <w:t xml:space="preserve">3, was Urheberrechte und ähnliche Rechte betrifft, und </w:t>
      </w:r>
      <w:r w:rsidR="00D67EB8" w:rsidRPr="009118AB">
        <w:rPr>
          <w:lang w:eastAsia="fr-BE"/>
        </w:rPr>
        <w:t>Nr. </w:t>
      </w:r>
      <w:r w:rsidR="00EF4CE2" w:rsidRPr="009118AB">
        <w:rPr>
          <w:lang w:eastAsia="fr-BE"/>
        </w:rPr>
        <w:t>5 erwähnten Einkünfte</w:t>
      </w:r>
      <w:r w:rsidR="00EF4CE2" w:rsidRPr="009118AB">
        <w:rPr>
          <w:iCs/>
        </w:rPr>
        <w:t>]</w:t>
      </w:r>
      <w:r w:rsidRPr="009118AB">
        <w:rPr>
          <w:iCs/>
        </w:rPr>
        <w:t xml:space="preserve"> in einer vom Empfänger gemäß Artikel 305 eingereichten Erklärung oder in einer vom Empfänger im Ausland eingereichten gleichartigen Erklärung enthalten ist.</w:t>
      </w:r>
    </w:p>
    <w:p w14:paraId="693D695E" w14:textId="77777777" w:rsidR="0026016D" w:rsidRPr="009118AB" w:rsidRDefault="0026016D" w:rsidP="0026016D">
      <w:pPr>
        <w:autoSpaceDE w:val="0"/>
        <w:autoSpaceDN w:val="0"/>
        <w:adjustRightInd w:val="0"/>
        <w:jc w:val="both"/>
        <w:rPr>
          <w:iCs/>
        </w:rPr>
      </w:pPr>
    </w:p>
    <w:p w14:paraId="74002D7C" w14:textId="53B2CD32" w:rsidR="0026016D" w:rsidRPr="009118AB" w:rsidRDefault="0026016D" w:rsidP="00922FE1">
      <w:pPr>
        <w:autoSpaceDE w:val="0"/>
        <w:autoSpaceDN w:val="0"/>
        <w:adjustRightInd w:val="0"/>
        <w:ind w:firstLine="708"/>
        <w:jc w:val="both"/>
        <w:rPr>
          <w:iCs/>
        </w:rPr>
      </w:pPr>
      <w:r w:rsidRPr="009118AB">
        <w:rPr>
          <w:iCs/>
        </w:rPr>
        <w:t xml:space="preserve">Ist der Betrag der in </w:t>
      </w:r>
      <w:r w:rsidR="001E5326" w:rsidRPr="009118AB">
        <w:rPr>
          <w:iCs/>
        </w:rPr>
        <w:t xml:space="preserve">[Artikel 57 Absatz 1] </w:t>
      </w:r>
      <w:r w:rsidRPr="009118AB">
        <w:rPr>
          <w:iCs/>
        </w:rPr>
        <w:t>erwähnten Ausgaben</w:t>
      </w:r>
      <w:r w:rsidR="00EF4CE2" w:rsidRPr="009118AB">
        <w:rPr>
          <w:iCs/>
        </w:rPr>
        <w:t>[</w:t>
      </w:r>
      <w:r w:rsidR="00EF4CE2" w:rsidRPr="009118AB">
        <w:rPr>
          <w:lang w:eastAsia="fr-BE"/>
        </w:rPr>
        <w:t xml:space="preserve">, der in den Artikeln 31 Absatz 2 </w:t>
      </w:r>
      <w:r w:rsidR="00D67EB8" w:rsidRPr="009118AB">
        <w:rPr>
          <w:lang w:eastAsia="fr-BE"/>
        </w:rPr>
        <w:t>Nr. </w:t>
      </w:r>
      <w:r w:rsidR="00EF4CE2" w:rsidRPr="009118AB">
        <w:rPr>
          <w:lang w:eastAsia="fr-BE"/>
        </w:rPr>
        <w:t xml:space="preserve">2 und 32 Absatz 2 </w:t>
      </w:r>
      <w:r w:rsidR="00D67EB8" w:rsidRPr="009118AB">
        <w:rPr>
          <w:lang w:eastAsia="fr-BE"/>
        </w:rPr>
        <w:t>Nr. </w:t>
      </w:r>
      <w:r w:rsidR="00EF4CE2" w:rsidRPr="009118AB">
        <w:rPr>
          <w:lang w:eastAsia="fr-BE"/>
        </w:rPr>
        <w:t xml:space="preserve">2 erwähnten Vorteile jeglicher Art oder der in Artikel 17 </w:t>
      </w:r>
      <w:r w:rsidR="00D67EB8" w:rsidRPr="009118AB">
        <w:rPr>
          <w:lang w:eastAsia="fr-BE"/>
        </w:rPr>
        <w:t>§ </w:t>
      </w:r>
      <w:r w:rsidR="00EF4CE2" w:rsidRPr="009118AB">
        <w:rPr>
          <w:lang w:eastAsia="fr-BE"/>
        </w:rPr>
        <w:t xml:space="preserve">1 </w:t>
      </w:r>
      <w:r w:rsidR="00D67EB8" w:rsidRPr="009118AB">
        <w:rPr>
          <w:lang w:eastAsia="fr-BE"/>
        </w:rPr>
        <w:t>Nr. </w:t>
      </w:r>
      <w:r w:rsidR="00EF4CE2" w:rsidRPr="009118AB">
        <w:rPr>
          <w:lang w:eastAsia="fr-BE"/>
        </w:rPr>
        <w:t xml:space="preserve">3, was Urheberrechte und ähnliche Rechte betrifft, und </w:t>
      </w:r>
      <w:r w:rsidR="00D67EB8" w:rsidRPr="009118AB">
        <w:rPr>
          <w:lang w:eastAsia="fr-BE"/>
        </w:rPr>
        <w:t>Nr. </w:t>
      </w:r>
      <w:r w:rsidR="00EF4CE2" w:rsidRPr="009118AB">
        <w:rPr>
          <w:lang w:eastAsia="fr-BE"/>
        </w:rPr>
        <w:t>5 erwähnten Einkünfte</w:t>
      </w:r>
      <w:r w:rsidR="00EF4CE2" w:rsidRPr="009118AB">
        <w:rPr>
          <w:iCs/>
        </w:rPr>
        <w:t xml:space="preserve">] </w:t>
      </w:r>
      <w:r w:rsidRPr="009118AB">
        <w:rPr>
          <w:iCs/>
        </w:rPr>
        <w:t>nicht in einer vom Empfänger gemäß Artikel 305 eingereichten Erklärung oder in einer vom Empfänger im Ausland eingereichten gleichartigen Erklärung enthalten, ist die getrennte Steuer nicht zu Lasten des Steuerpflichtigen anwendbar, wenn der Empfänger spätestens zwei Jahre und sechs Monate ab dem 1. Januar des betreffenden Steuerjahres eindeutig identifiziert worden ist</w:t>
      </w:r>
      <w:r w:rsidR="00614030" w:rsidRPr="009118AB">
        <w:rPr>
          <w:iCs/>
        </w:rPr>
        <w:t xml:space="preserve"> </w:t>
      </w:r>
      <w:r w:rsidR="001E5326" w:rsidRPr="009118AB">
        <w:rPr>
          <w:iCs/>
        </w:rPr>
        <w:t>[</w:t>
      </w:r>
      <w:r w:rsidR="001E5326" w:rsidRPr="009118AB">
        <w:t xml:space="preserve">oder wenn der Betrag in einer Veranlagung enthalten ist, die in den in den Artikeln 354 Absatz 1 und 2 und 358 erwähnten Fristen </w:t>
      </w:r>
      <w:r w:rsidR="00B818A6" w:rsidRPr="009118AB">
        <w:t>[</w:t>
      </w:r>
      <w:r w:rsidR="00B818A6" w:rsidRPr="009118AB">
        <w:rPr>
          <w:rFonts w:eastAsia="Calibri"/>
          <w:kern w:val="2"/>
          <w:szCs w:val="22"/>
          <w:lang w:eastAsia="en-US"/>
          <w14:ligatures w14:val="standardContextual"/>
        </w:rPr>
        <w:t>bei einem steuerpflichtigen Empfänger wie in Artikel 305 Absatz 1 erwähnt mit seinem Einverständnis</w:t>
      </w:r>
      <w:r w:rsidR="00B818A6" w:rsidRPr="009118AB">
        <w:t>]</w:t>
      </w:r>
      <w:r w:rsidR="001E5326" w:rsidRPr="009118AB">
        <w:t xml:space="preserve"> festgelegt wird</w:t>
      </w:r>
      <w:r w:rsidR="001E5326" w:rsidRPr="009118AB">
        <w:rPr>
          <w:iCs/>
        </w:rPr>
        <w:t>]</w:t>
      </w:r>
      <w:r w:rsidRPr="009118AB">
        <w:rPr>
          <w:iCs/>
        </w:rPr>
        <w:t>.]</w:t>
      </w:r>
    </w:p>
    <w:p w14:paraId="45DDF54B" w14:textId="77777777" w:rsidR="0026016D" w:rsidRPr="009118AB" w:rsidRDefault="0026016D" w:rsidP="0026016D">
      <w:pPr>
        <w:autoSpaceDE w:val="0"/>
        <w:autoSpaceDN w:val="0"/>
        <w:adjustRightInd w:val="0"/>
        <w:jc w:val="both"/>
        <w:rPr>
          <w:iCs/>
        </w:rPr>
      </w:pPr>
    </w:p>
    <w:p w14:paraId="6F1812D6" w14:textId="2B1A397A" w:rsidR="0026016D" w:rsidRPr="009118AB" w:rsidRDefault="0026016D" w:rsidP="00922FE1">
      <w:pPr>
        <w:autoSpaceDE w:val="0"/>
        <w:autoSpaceDN w:val="0"/>
        <w:adjustRightInd w:val="0"/>
        <w:jc w:val="both"/>
      </w:pPr>
      <w:r w:rsidRPr="009118AB">
        <w:rPr>
          <w:i/>
          <w:iCs/>
        </w:rPr>
        <w:t>[</w:t>
      </w:r>
      <w:r w:rsidR="00D67EB8" w:rsidRPr="009118AB">
        <w:rPr>
          <w:i/>
          <w:iCs/>
        </w:rPr>
        <w:t>Art. </w:t>
      </w:r>
      <w:r w:rsidRPr="009118AB">
        <w:rPr>
          <w:i/>
          <w:iCs/>
        </w:rPr>
        <w:t xml:space="preserve">219 ersetzt durch </w:t>
      </w:r>
      <w:r w:rsidR="00D67EB8" w:rsidRPr="009118AB">
        <w:rPr>
          <w:i/>
          <w:iCs/>
        </w:rPr>
        <w:t>Art. </w:t>
      </w:r>
      <w:r w:rsidRPr="009118AB">
        <w:rPr>
          <w:i/>
          <w:iCs/>
        </w:rPr>
        <w:t>30 des G. vom 19. Dezember 2014</w:t>
      </w:r>
      <w:r w:rsidR="00D27B17" w:rsidRPr="009118AB">
        <w:rPr>
          <w:i/>
          <w:iCs/>
        </w:rPr>
        <w:t xml:space="preserve"> (B.S. vom 29. Dezember 2014)</w:t>
      </w:r>
      <w:r w:rsidR="00D67EB8" w:rsidRPr="009118AB">
        <w:rPr>
          <w:i/>
          <w:iCs/>
        </w:rPr>
        <w:t> - </w:t>
      </w:r>
      <w:r w:rsidRPr="009118AB">
        <w:rPr>
          <w:i/>
          <w:iCs/>
        </w:rPr>
        <w:t>in Kraft am 29. Dezember 2014 und anwendbar auf alle Rec</w:t>
      </w:r>
      <w:r w:rsidR="003B0B00" w:rsidRPr="009118AB">
        <w:rPr>
          <w:i/>
          <w:iCs/>
        </w:rPr>
        <w:t xml:space="preserve">htsstreite, </w:t>
      </w:r>
      <w:r w:rsidR="003B0B00" w:rsidRPr="009118AB">
        <w:rPr>
          <w:i/>
          <w:iCs/>
        </w:rPr>
        <w:lastRenderedPageBreak/>
        <w:t>die an diesem Datum</w:t>
      </w:r>
      <w:r w:rsidRPr="009118AB">
        <w:rPr>
          <w:i/>
          <w:iCs/>
        </w:rPr>
        <w:t xml:space="preserve"> noch nicht endgültig abgeschlossen sind</w:t>
      </w:r>
      <w:r w:rsidR="003366D9" w:rsidRPr="009118AB">
        <w:rPr>
          <w:i/>
          <w:iCs/>
        </w:rPr>
        <w:t> -;</w:t>
      </w:r>
      <w:r w:rsidR="001E5326" w:rsidRPr="009118AB">
        <w:rPr>
          <w:i/>
          <w:iCs/>
        </w:rPr>
        <w:t xml:space="preserve"> </w:t>
      </w:r>
      <w:r w:rsidR="00D67EB8" w:rsidRPr="009118AB">
        <w:rPr>
          <w:i/>
          <w:iCs/>
        </w:rPr>
        <w:t>Abs. </w:t>
      </w:r>
      <w:r w:rsidR="001E5326" w:rsidRPr="009118AB">
        <w:rPr>
          <w:i/>
          <w:iCs/>
        </w:rPr>
        <w:t xml:space="preserve">1 abgeändert durch </w:t>
      </w:r>
      <w:r w:rsidR="00D67EB8" w:rsidRPr="009118AB">
        <w:rPr>
          <w:i/>
          <w:iCs/>
        </w:rPr>
        <w:t>Art. </w:t>
      </w:r>
      <w:r w:rsidR="001E5326" w:rsidRPr="009118AB">
        <w:rPr>
          <w:i/>
          <w:iCs/>
        </w:rPr>
        <w:t>68 Buchstabe a)</w:t>
      </w:r>
      <w:r w:rsidR="001E5326" w:rsidRPr="009118AB">
        <w:rPr>
          <w:bCs/>
          <w:i/>
          <w:iCs/>
        </w:rPr>
        <w:t xml:space="preserve"> des G. vom 27. Juni 2021 (B.S. vom 30. Juni 2021)</w:t>
      </w:r>
      <w:r w:rsidR="00CA61DC" w:rsidRPr="009118AB">
        <w:rPr>
          <w:bCs/>
          <w:i/>
          <w:iCs/>
        </w:rPr>
        <w:t>,</w:t>
      </w:r>
      <w:r w:rsidR="00EF4CE2" w:rsidRPr="009118AB">
        <w:rPr>
          <w:bCs/>
          <w:i/>
          <w:iCs/>
        </w:rPr>
        <w:t xml:space="preserve"> </w:t>
      </w:r>
      <w:r w:rsidR="00D67EB8" w:rsidRPr="009118AB">
        <w:rPr>
          <w:bCs/>
          <w:i/>
          <w:iCs/>
        </w:rPr>
        <w:t>Art. </w:t>
      </w:r>
      <w:r w:rsidR="00EF4CE2" w:rsidRPr="009118AB">
        <w:rPr>
          <w:bCs/>
          <w:i/>
          <w:iCs/>
        </w:rPr>
        <w:t xml:space="preserve">45 </w:t>
      </w:r>
      <w:r w:rsidR="00D67EB8" w:rsidRPr="009118AB">
        <w:rPr>
          <w:bCs/>
          <w:i/>
          <w:iCs/>
        </w:rPr>
        <w:t>Nr. </w:t>
      </w:r>
      <w:r w:rsidR="00EF4CE2" w:rsidRPr="009118AB">
        <w:rPr>
          <w:bCs/>
          <w:i/>
          <w:iCs/>
        </w:rPr>
        <w:t>1</w:t>
      </w:r>
      <w:r w:rsidR="00EF4CE2" w:rsidRPr="009118AB">
        <w:rPr>
          <w:i/>
          <w:iCs/>
        </w:rPr>
        <w:t xml:space="preserve"> des G. vom 21.</w:t>
      </w:r>
      <w:r w:rsidR="0030013C" w:rsidRPr="009118AB">
        <w:rPr>
          <w:i/>
          <w:iCs/>
        </w:rPr>
        <w:t> </w:t>
      </w:r>
      <w:r w:rsidR="00EF4CE2" w:rsidRPr="009118AB">
        <w:rPr>
          <w:i/>
          <w:iCs/>
        </w:rPr>
        <w:t>Januar</w:t>
      </w:r>
      <w:r w:rsidR="0030013C" w:rsidRPr="009118AB">
        <w:rPr>
          <w:i/>
          <w:iCs/>
        </w:rPr>
        <w:t> </w:t>
      </w:r>
      <w:r w:rsidR="00EF4CE2" w:rsidRPr="009118AB">
        <w:rPr>
          <w:i/>
          <w:iCs/>
        </w:rPr>
        <w:t>2022 (B.S. vom 28.</w:t>
      </w:r>
      <w:r w:rsidR="0030013C" w:rsidRPr="009118AB">
        <w:rPr>
          <w:i/>
          <w:iCs/>
        </w:rPr>
        <w:t> </w:t>
      </w:r>
      <w:r w:rsidR="00EF4CE2" w:rsidRPr="009118AB">
        <w:rPr>
          <w:i/>
          <w:iCs/>
        </w:rPr>
        <w:t>Januar</w:t>
      </w:r>
      <w:r w:rsidR="0030013C" w:rsidRPr="009118AB">
        <w:rPr>
          <w:i/>
          <w:iCs/>
        </w:rPr>
        <w:t> </w:t>
      </w:r>
      <w:r w:rsidR="00EF4CE2" w:rsidRPr="009118AB">
        <w:rPr>
          <w:i/>
          <w:iCs/>
        </w:rPr>
        <w:t>2022)</w:t>
      </w:r>
      <w:r w:rsidR="00D67EB8" w:rsidRPr="009118AB">
        <w:rPr>
          <w:i/>
          <w:iCs/>
        </w:rPr>
        <w:t> - </w:t>
      </w:r>
      <w:r w:rsidR="00EF4CE2" w:rsidRPr="009118AB">
        <w:rPr>
          <w:i/>
          <w:iCs/>
          <w:lang w:eastAsia="fr-BE"/>
        </w:rPr>
        <w:t>anwendbar auf Einkünfte, die ab dem 1. Januar 2021 während eines Besteuerungszeitraums gezahlt oder zuerkannt werden, der frühestens an das Steuerjahr 2022 gebunden ist</w:t>
      </w:r>
      <w:r w:rsidR="003366D9" w:rsidRPr="009118AB">
        <w:rPr>
          <w:i/>
          <w:iCs/>
          <w:lang w:eastAsia="fr-BE"/>
        </w:rPr>
        <w:t> -</w:t>
      </w:r>
      <w:r w:rsidR="00CA61DC" w:rsidRPr="009118AB">
        <w:rPr>
          <w:i/>
          <w:iCs/>
          <w:lang w:eastAsia="fr-BE"/>
        </w:rPr>
        <w:t xml:space="preserve"> und Art. 25</w:t>
      </w:r>
      <w:r w:rsidR="00CA61DC" w:rsidRPr="009118AB">
        <w:rPr>
          <w:i/>
          <w:iCs/>
        </w:rPr>
        <w:t xml:space="preserve"> des G. vom 21. Dezember 2022 (II) (B.S. vom 29. Dezember 2022) - in Kraft am 1. Januar 2023 -</w:t>
      </w:r>
      <w:r w:rsidR="003366D9" w:rsidRPr="009118AB">
        <w:rPr>
          <w:i/>
          <w:iCs/>
          <w:lang w:eastAsia="fr-BE"/>
        </w:rPr>
        <w:t>;</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 xml:space="preserve">58 </w:t>
      </w:r>
      <w:r w:rsidR="00D67EB8" w:rsidRPr="009118AB">
        <w:rPr>
          <w:i/>
          <w:iCs/>
        </w:rPr>
        <w:t>Nr. </w:t>
      </w:r>
      <w:r w:rsidRPr="009118AB">
        <w:rPr>
          <w:i/>
          <w:iCs/>
        </w:rPr>
        <w:t>1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D67EB8" w:rsidRPr="009118AB">
        <w:rPr>
          <w:i/>
          <w:iCs/>
        </w:rPr>
        <w:t> - </w:t>
      </w:r>
      <w:r w:rsidR="00EF4CE2" w:rsidRPr="009118AB">
        <w:rPr>
          <w:i/>
          <w:iCs/>
        </w:rPr>
        <w:t xml:space="preserve">und </w:t>
      </w:r>
      <w:r w:rsidR="00D67EB8" w:rsidRPr="009118AB">
        <w:rPr>
          <w:i/>
          <w:iCs/>
        </w:rPr>
        <w:t>Art. </w:t>
      </w:r>
      <w:r w:rsidR="00EF4CE2" w:rsidRPr="009118AB">
        <w:rPr>
          <w:i/>
          <w:iCs/>
        </w:rPr>
        <w:t xml:space="preserve">45 </w:t>
      </w:r>
      <w:r w:rsidR="00D67EB8" w:rsidRPr="009118AB">
        <w:rPr>
          <w:i/>
          <w:iCs/>
        </w:rPr>
        <w:t>Nr. </w:t>
      </w:r>
      <w:r w:rsidR="00EF4CE2" w:rsidRPr="009118AB">
        <w:rPr>
          <w:i/>
          <w:iCs/>
        </w:rPr>
        <w:t>2 des G. vom 21.</w:t>
      </w:r>
      <w:r w:rsidR="0030013C" w:rsidRPr="009118AB">
        <w:rPr>
          <w:i/>
          <w:iCs/>
        </w:rPr>
        <w:t> </w:t>
      </w:r>
      <w:r w:rsidR="00EF4CE2" w:rsidRPr="009118AB">
        <w:rPr>
          <w:i/>
          <w:iCs/>
        </w:rPr>
        <w:t>Januar</w:t>
      </w:r>
      <w:r w:rsidR="0030013C" w:rsidRPr="009118AB">
        <w:rPr>
          <w:i/>
          <w:iCs/>
        </w:rPr>
        <w:t> </w:t>
      </w:r>
      <w:r w:rsidR="00EF4CE2" w:rsidRPr="009118AB">
        <w:rPr>
          <w:i/>
          <w:iCs/>
        </w:rPr>
        <w:t>2022 (B.S. vom 28.</w:t>
      </w:r>
      <w:r w:rsidR="0030013C" w:rsidRPr="009118AB">
        <w:rPr>
          <w:i/>
          <w:iCs/>
        </w:rPr>
        <w:t> </w:t>
      </w:r>
      <w:r w:rsidR="00EF4CE2" w:rsidRPr="009118AB">
        <w:rPr>
          <w:i/>
          <w:iCs/>
        </w:rPr>
        <w:t>Januar</w:t>
      </w:r>
      <w:r w:rsidR="0030013C" w:rsidRPr="009118AB">
        <w:rPr>
          <w:i/>
          <w:iCs/>
        </w:rPr>
        <w:t> </w:t>
      </w:r>
      <w:r w:rsidR="00EF4CE2" w:rsidRPr="009118AB">
        <w:rPr>
          <w:i/>
          <w:iCs/>
        </w:rPr>
        <w:t>2022)</w:t>
      </w:r>
      <w:r w:rsidR="00D67EB8" w:rsidRPr="009118AB">
        <w:rPr>
          <w:i/>
          <w:iCs/>
        </w:rPr>
        <w:t> - </w:t>
      </w:r>
      <w:r w:rsidR="00EF4CE2" w:rsidRPr="009118AB">
        <w:rPr>
          <w:i/>
          <w:iCs/>
          <w:lang w:eastAsia="fr-BE"/>
        </w:rPr>
        <w:t>anwendbar auf Einkünfte, die ab dem 1. Januar 2021 während eines Besteuerungszeitraums gezahlt oder zuerkannt werden, der frühestens an das Steuerjahr 2022 gebunden ist</w:t>
      </w:r>
      <w:r w:rsidR="003366D9" w:rsidRPr="009118AB">
        <w:rPr>
          <w:i/>
          <w:iCs/>
          <w:lang w:eastAsia="fr-BE"/>
        </w:rPr>
        <w:t> -;</w:t>
      </w:r>
      <w:r w:rsidRPr="009118AB">
        <w:rPr>
          <w:i/>
          <w:iCs/>
        </w:rPr>
        <w:t xml:space="preserve"> früherer Absatz 4 aufgehoben durch </w:t>
      </w:r>
      <w:r w:rsidR="00D67EB8" w:rsidRPr="009118AB">
        <w:rPr>
          <w:i/>
          <w:iCs/>
        </w:rPr>
        <w:t>Art. </w:t>
      </w:r>
      <w:r w:rsidRPr="009118AB">
        <w:rPr>
          <w:i/>
          <w:iCs/>
        </w:rPr>
        <w:t xml:space="preserve">58 </w:t>
      </w:r>
      <w:r w:rsidR="00D67EB8" w:rsidRPr="009118AB">
        <w:rPr>
          <w:i/>
          <w:iCs/>
        </w:rPr>
        <w:t>Nr. </w:t>
      </w:r>
      <w:r w:rsidRPr="009118AB">
        <w:rPr>
          <w:i/>
          <w:iCs/>
        </w:rPr>
        <w:t>2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001E5326" w:rsidRPr="009118AB">
        <w:rPr>
          <w:i/>
          <w:iCs/>
        </w:rPr>
        <w:t xml:space="preserve"> </w:t>
      </w:r>
      <w:r w:rsidR="00D67EB8" w:rsidRPr="009118AB">
        <w:rPr>
          <w:i/>
          <w:iCs/>
        </w:rPr>
        <w:t>Abs. </w:t>
      </w:r>
      <w:r w:rsidR="001E5326" w:rsidRPr="009118AB">
        <w:rPr>
          <w:i/>
          <w:iCs/>
        </w:rPr>
        <w:t xml:space="preserve">5 abgeändert durch </w:t>
      </w:r>
      <w:r w:rsidR="00D67EB8" w:rsidRPr="009118AB">
        <w:rPr>
          <w:i/>
          <w:iCs/>
        </w:rPr>
        <w:t>Art. </w:t>
      </w:r>
      <w:r w:rsidR="001E5326" w:rsidRPr="009118AB">
        <w:rPr>
          <w:i/>
          <w:iCs/>
        </w:rPr>
        <w:t>68 Buchstabe b)</w:t>
      </w:r>
      <w:r w:rsidR="001E5326" w:rsidRPr="009118AB">
        <w:rPr>
          <w:bCs/>
          <w:i/>
          <w:iCs/>
        </w:rPr>
        <w:t xml:space="preserve"> des G. vom 27. Juni 2021 (B.S. vom 30. Juni 2021)</w:t>
      </w:r>
      <w:r w:rsidR="00EF4CE2" w:rsidRPr="009118AB">
        <w:rPr>
          <w:bCs/>
          <w:i/>
          <w:iCs/>
        </w:rPr>
        <w:t xml:space="preserve"> und </w:t>
      </w:r>
      <w:r w:rsidR="00D67EB8" w:rsidRPr="009118AB">
        <w:rPr>
          <w:bCs/>
          <w:i/>
          <w:iCs/>
        </w:rPr>
        <w:t>Art. </w:t>
      </w:r>
      <w:r w:rsidR="00EF4CE2" w:rsidRPr="009118AB">
        <w:rPr>
          <w:bCs/>
          <w:i/>
          <w:iCs/>
        </w:rPr>
        <w:t xml:space="preserve">45 </w:t>
      </w:r>
      <w:r w:rsidR="00D67EB8" w:rsidRPr="009118AB">
        <w:rPr>
          <w:bCs/>
          <w:i/>
          <w:iCs/>
        </w:rPr>
        <w:t>Nr. </w:t>
      </w:r>
      <w:r w:rsidR="00EF4CE2" w:rsidRPr="009118AB">
        <w:rPr>
          <w:bCs/>
          <w:i/>
          <w:iCs/>
        </w:rPr>
        <w:t>3</w:t>
      </w:r>
      <w:r w:rsidR="00EF4CE2" w:rsidRPr="009118AB">
        <w:rPr>
          <w:i/>
          <w:iCs/>
        </w:rPr>
        <w:t xml:space="preserve"> des G. vom 21.</w:t>
      </w:r>
      <w:r w:rsidR="0030013C" w:rsidRPr="009118AB">
        <w:rPr>
          <w:i/>
          <w:iCs/>
        </w:rPr>
        <w:t> </w:t>
      </w:r>
      <w:r w:rsidR="00EF4CE2" w:rsidRPr="009118AB">
        <w:rPr>
          <w:i/>
          <w:iCs/>
        </w:rPr>
        <w:t>Januar</w:t>
      </w:r>
      <w:r w:rsidR="0030013C" w:rsidRPr="009118AB">
        <w:rPr>
          <w:i/>
          <w:iCs/>
        </w:rPr>
        <w:t> </w:t>
      </w:r>
      <w:r w:rsidR="00EF4CE2" w:rsidRPr="009118AB">
        <w:rPr>
          <w:i/>
          <w:iCs/>
        </w:rPr>
        <w:t>2022 (B.S. vom 28.</w:t>
      </w:r>
      <w:r w:rsidR="0030013C" w:rsidRPr="009118AB">
        <w:rPr>
          <w:i/>
          <w:iCs/>
        </w:rPr>
        <w:t> </w:t>
      </w:r>
      <w:r w:rsidR="00EF4CE2" w:rsidRPr="009118AB">
        <w:rPr>
          <w:i/>
          <w:iCs/>
        </w:rPr>
        <w:t>Januar</w:t>
      </w:r>
      <w:r w:rsidR="0030013C" w:rsidRPr="009118AB">
        <w:rPr>
          <w:i/>
          <w:iCs/>
        </w:rPr>
        <w:t> </w:t>
      </w:r>
      <w:r w:rsidR="00EF4CE2" w:rsidRPr="009118AB">
        <w:rPr>
          <w:i/>
          <w:iCs/>
        </w:rPr>
        <w:t>2022)</w:t>
      </w:r>
      <w:r w:rsidR="00D67EB8" w:rsidRPr="009118AB">
        <w:rPr>
          <w:i/>
          <w:iCs/>
        </w:rPr>
        <w:t> - </w:t>
      </w:r>
      <w:r w:rsidR="00EF4CE2" w:rsidRPr="009118AB">
        <w:rPr>
          <w:i/>
          <w:iCs/>
          <w:lang w:eastAsia="fr-BE"/>
        </w:rPr>
        <w:t>anwendbar auf Einkünfte, die ab dem 1. Januar 2021 während eines Besteuerungszeitraums gezahlt oder zuerkannt werden, der frühestens an das Steuerjahr 2022 gebunden ist</w:t>
      </w:r>
      <w:r w:rsidR="003366D9" w:rsidRPr="009118AB">
        <w:rPr>
          <w:i/>
          <w:iCs/>
          <w:lang w:eastAsia="fr-BE"/>
        </w:rPr>
        <w:t> -;</w:t>
      </w:r>
      <w:r w:rsidR="001E5326" w:rsidRPr="009118AB">
        <w:rPr>
          <w:bCs/>
          <w:i/>
          <w:iCs/>
        </w:rPr>
        <w:t xml:space="preserve"> </w:t>
      </w:r>
      <w:r w:rsidR="00D67EB8" w:rsidRPr="009118AB">
        <w:rPr>
          <w:bCs/>
          <w:i/>
          <w:iCs/>
        </w:rPr>
        <w:t>Abs. </w:t>
      </w:r>
      <w:r w:rsidR="001E5326" w:rsidRPr="009118AB">
        <w:rPr>
          <w:bCs/>
          <w:i/>
          <w:iCs/>
        </w:rPr>
        <w:t xml:space="preserve">6 abgeändert durch </w:t>
      </w:r>
      <w:r w:rsidR="00D67EB8" w:rsidRPr="009118AB">
        <w:rPr>
          <w:bCs/>
          <w:i/>
          <w:iCs/>
        </w:rPr>
        <w:t>Art. </w:t>
      </w:r>
      <w:r w:rsidR="001E5326" w:rsidRPr="009118AB">
        <w:rPr>
          <w:bCs/>
          <w:i/>
          <w:iCs/>
        </w:rPr>
        <w:t>68 Buchstabe b) und c) des G. vom 27. Juni 2021 (B.S. vom 30. Juni 2021)</w:t>
      </w:r>
      <w:r w:rsidR="00B818A6" w:rsidRPr="009118AB">
        <w:rPr>
          <w:bCs/>
          <w:i/>
          <w:iCs/>
        </w:rPr>
        <w:t>,</w:t>
      </w:r>
      <w:r w:rsidR="00EF4CE2" w:rsidRPr="009118AB">
        <w:rPr>
          <w:bCs/>
          <w:i/>
          <w:iCs/>
        </w:rPr>
        <w:t xml:space="preserve"> </w:t>
      </w:r>
      <w:r w:rsidR="00D67EB8" w:rsidRPr="009118AB">
        <w:rPr>
          <w:bCs/>
          <w:i/>
          <w:iCs/>
        </w:rPr>
        <w:t>Art. </w:t>
      </w:r>
      <w:r w:rsidR="00EF4CE2" w:rsidRPr="009118AB">
        <w:rPr>
          <w:bCs/>
          <w:i/>
          <w:iCs/>
        </w:rPr>
        <w:t xml:space="preserve">45 </w:t>
      </w:r>
      <w:r w:rsidR="00D67EB8" w:rsidRPr="009118AB">
        <w:rPr>
          <w:bCs/>
          <w:i/>
          <w:iCs/>
        </w:rPr>
        <w:t>Nr. </w:t>
      </w:r>
      <w:r w:rsidR="00EF4CE2" w:rsidRPr="009118AB">
        <w:rPr>
          <w:bCs/>
          <w:i/>
          <w:iCs/>
        </w:rPr>
        <w:t>4</w:t>
      </w:r>
      <w:r w:rsidR="00EF4CE2" w:rsidRPr="009118AB">
        <w:rPr>
          <w:i/>
          <w:iCs/>
        </w:rPr>
        <w:t xml:space="preserve"> des G. vom 21.</w:t>
      </w:r>
      <w:r w:rsidR="0030013C" w:rsidRPr="009118AB">
        <w:rPr>
          <w:i/>
          <w:iCs/>
        </w:rPr>
        <w:t> </w:t>
      </w:r>
      <w:r w:rsidR="00EF4CE2" w:rsidRPr="009118AB">
        <w:rPr>
          <w:i/>
          <w:iCs/>
        </w:rPr>
        <w:t>Januar</w:t>
      </w:r>
      <w:r w:rsidR="0030013C" w:rsidRPr="009118AB">
        <w:rPr>
          <w:i/>
          <w:iCs/>
        </w:rPr>
        <w:t> </w:t>
      </w:r>
      <w:r w:rsidR="00EF4CE2" w:rsidRPr="009118AB">
        <w:rPr>
          <w:i/>
          <w:iCs/>
        </w:rPr>
        <w:t>2022 (B.S. vom 28.</w:t>
      </w:r>
      <w:r w:rsidR="0030013C" w:rsidRPr="009118AB">
        <w:rPr>
          <w:i/>
          <w:iCs/>
        </w:rPr>
        <w:t> </w:t>
      </w:r>
      <w:r w:rsidR="00EF4CE2" w:rsidRPr="009118AB">
        <w:rPr>
          <w:i/>
          <w:iCs/>
        </w:rPr>
        <w:t>Januar</w:t>
      </w:r>
      <w:r w:rsidR="0030013C" w:rsidRPr="009118AB">
        <w:rPr>
          <w:i/>
          <w:iCs/>
        </w:rPr>
        <w:t> </w:t>
      </w:r>
      <w:r w:rsidR="00EF4CE2" w:rsidRPr="009118AB">
        <w:rPr>
          <w:i/>
          <w:iCs/>
        </w:rPr>
        <w:t>2022)</w:t>
      </w:r>
      <w:r w:rsidR="00D67EB8" w:rsidRPr="009118AB">
        <w:rPr>
          <w:i/>
          <w:iCs/>
        </w:rPr>
        <w:t> - </w:t>
      </w:r>
      <w:r w:rsidR="00EF4CE2" w:rsidRPr="009118AB">
        <w:rPr>
          <w:i/>
          <w:iCs/>
          <w:lang w:eastAsia="fr-BE"/>
        </w:rPr>
        <w:t>anwendbar auf Einkünfte, die ab dem 1. Januar 2021 während eines Besteuerungszeitraums gezahlt oder zuerkannt werden, der frühestens an das Steuerjahr 2022 gebunden ist</w:t>
      </w:r>
      <w:r w:rsidR="00FD68E8" w:rsidRPr="009118AB">
        <w:rPr>
          <w:i/>
          <w:iCs/>
          <w:lang w:eastAsia="fr-BE"/>
        </w:rPr>
        <w:t> -</w:t>
      </w:r>
      <w:r w:rsidR="00B818A6" w:rsidRPr="009118AB">
        <w:rPr>
          <w:i/>
          <w:iCs/>
          <w:lang w:eastAsia="fr-BE"/>
        </w:rPr>
        <w:t xml:space="preserve"> und Art. 29</w:t>
      </w:r>
      <w:r w:rsidR="00B818A6" w:rsidRPr="009118AB">
        <w:rPr>
          <w:i/>
          <w:iCs/>
          <w:spacing w:val="-2"/>
        </w:rPr>
        <w:t xml:space="preserve"> des G. vom 5. Juli 2022 (B.S. vom 15. Juli 2022)</w:t>
      </w:r>
      <w:r w:rsidR="00FD68E8" w:rsidRPr="009118AB">
        <w:rPr>
          <w:i/>
          <w:iCs/>
          <w:lang w:eastAsia="fr-BE"/>
        </w:rPr>
        <w:t>]</w:t>
      </w:r>
    </w:p>
    <w:p w14:paraId="09979EB8" w14:textId="77777777" w:rsidR="00477B8F" w:rsidRPr="009118AB" w:rsidRDefault="00477B8F" w:rsidP="00477B8F">
      <w:pPr>
        <w:autoSpaceDE w:val="0"/>
        <w:autoSpaceDN w:val="0"/>
        <w:adjustRightInd w:val="0"/>
        <w:jc w:val="both"/>
      </w:pPr>
    </w:p>
    <w:p w14:paraId="18B0BFCE" w14:textId="77777777" w:rsidR="00477B8F" w:rsidRPr="009118AB" w:rsidRDefault="00477B8F" w:rsidP="00477B8F">
      <w:pPr>
        <w:autoSpaceDE w:val="0"/>
        <w:autoSpaceDN w:val="0"/>
        <w:adjustRightInd w:val="0"/>
        <w:jc w:val="both"/>
      </w:pPr>
    </w:p>
    <w:p w14:paraId="4FBAF5D6" w14:textId="64E89DEC"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219</w:t>
      </w:r>
      <w:r w:rsidRPr="009118AB">
        <w:rPr>
          <w:b/>
          <w:bCs/>
          <w:i/>
          <w:iCs/>
        </w:rPr>
        <w:t>bis</w:t>
      </w:r>
      <w:r w:rsidR="00D67EB8" w:rsidRPr="009118AB">
        <w:t> - § </w:t>
      </w:r>
      <w:r w:rsidRPr="009118AB">
        <w:t>1</w:t>
      </w:r>
      <w:r w:rsidR="00D67EB8" w:rsidRPr="009118AB">
        <w:t> - </w:t>
      </w:r>
      <w:r w:rsidRPr="009118AB">
        <w:t>Zu Lasten von Kreditvereinigungen und Kreditgarantiegesell</w:t>
      </w:r>
      <w:r w:rsidR="000F23EB" w:rsidRPr="009118AB">
        <w:softHyphen/>
      </w:r>
      <w:r w:rsidRPr="009118AB">
        <w:t xml:space="preserve">schaften, die Mitglied im Verband des Berufskredits sind, und zu Lasten der von der </w:t>
      </w:r>
      <w:r w:rsidR="00353AF3">
        <w:t>[</w:t>
      </w:r>
      <w:r w:rsidR="00353AF3" w:rsidRPr="009541B3">
        <w:t>Crelan AG</w:t>
      </w:r>
      <w:r w:rsidR="00353AF3">
        <w:t>]</w:t>
      </w:r>
      <w:r w:rsidRPr="009118AB">
        <w:t xml:space="preserve"> zugelassenen Kreditanstalten wird eine getrennte Steuer bei Ausschluss oder Austritt aus diesem Verband oder bei Entzug dieser oder Verzicht auf diese Zulassung festgelegt.</w:t>
      </w:r>
    </w:p>
    <w:p w14:paraId="5275EED4" w14:textId="77777777" w:rsidR="00477B8F" w:rsidRPr="009118AB" w:rsidRDefault="00477B8F" w:rsidP="00477B8F">
      <w:pPr>
        <w:autoSpaceDE w:val="0"/>
        <w:autoSpaceDN w:val="0"/>
        <w:adjustRightInd w:val="0"/>
        <w:jc w:val="both"/>
      </w:pPr>
    </w:p>
    <w:p w14:paraId="11581DED" w14:textId="77777777" w:rsidR="00477B8F" w:rsidRPr="009118AB" w:rsidRDefault="00477B8F" w:rsidP="00477B8F">
      <w:pPr>
        <w:autoSpaceDE w:val="0"/>
        <w:autoSpaceDN w:val="0"/>
        <w:adjustRightInd w:val="0"/>
        <w:jc w:val="both"/>
      </w:pPr>
      <w:r w:rsidRPr="009118AB">
        <w:tab/>
        <w:t>Diese Steuer wird für den Besteuerungszeitraum festgelegt, in dem diese Vereinigung, Gesellschaft oder Anstalt aus dem Verband des Berufskredits ausgeschlossen wird oder austritt beziehungsweise in dem entweder die Zulassung entzogen oder auf diese Zulassung verzichtet wird.</w:t>
      </w:r>
    </w:p>
    <w:p w14:paraId="7C80B794" w14:textId="77777777" w:rsidR="00477B8F" w:rsidRPr="009118AB" w:rsidRDefault="00477B8F" w:rsidP="00477B8F">
      <w:pPr>
        <w:autoSpaceDE w:val="0"/>
        <w:autoSpaceDN w:val="0"/>
        <w:adjustRightInd w:val="0"/>
        <w:jc w:val="both"/>
      </w:pPr>
    </w:p>
    <w:p w14:paraId="710FA897" w14:textId="77777777" w:rsidR="00477B8F" w:rsidRPr="009118AB" w:rsidRDefault="00477B8F" w:rsidP="00477B8F">
      <w:pPr>
        <w:autoSpaceDE w:val="0"/>
        <w:autoSpaceDN w:val="0"/>
        <w:adjustRightInd w:val="0"/>
        <w:jc w:val="both"/>
      </w:pPr>
      <w:r w:rsidRPr="009118AB">
        <w:tab/>
        <w:t>Diese Steuer entspricht 34 Prozent des Gesamtbetrags der besteuerten Rücklagen, so wie sie am Ende des an das Steuerjahr 1993 gebundenen Besteuerungszeitraums bestanden.</w:t>
      </w:r>
    </w:p>
    <w:p w14:paraId="00C3A491" w14:textId="77777777" w:rsidR="00745800" w:rsidRPr="009118AB" w:rsidRDefault="00745800" w:rsidP="00477B8F">
      <w:pPr>
        <w:autoSpaceDE w:val="0"/>
        <w:autoSpaceDN w:val="0"/>
        <w:adjustRightInd w:val="0"/>
        <w:jc w:val="both"/>
      </w:pPr>
    </w:p>
    <w:p w14:paraId="6C8CFDF4" w14:textId="275FAABA"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000F23EB" w:rsidRPr="009118AB">
        <w:t xml:space="preserve">[Zu Lasten der Gesellschaften wie erwähnt in Artikel 216 </w:t>
      </w:r>
      <w:r w:rsidR="00D67EB8" w:rsidRPr="009118AB">
        <w:t>Nr. </w:t>
      </w:r>
      <w:r w:rsidR="000F23EB" w:rsidRPr="009118AB">
        <w:t>2 Buchstabe </w:t>
      </w:r>
      <w:r w:rsidR="000F23EB" w:rsidRPr="009118AB">
        <w:rPr>
          <w:i/>
        </w:rPr>
        <w:t>a)</w:t>
      </w:r>
      <w:r w:rsidR="000F23EB" w:rsidRPr="009118AB">
        <w:t>, so wie er vor seiner Aufhebung durch Artikel 49 des Gesetzes vom 18. Dezember 2015 bestand,]</w:t>
      </w:r>
      <w:r w:rsidRPr="009118AB">
        <w:t xml:space="preserve"> und der in Artikel 216 </w:t>
      </w:r>
      <w:r w:rsidR="00D67EB8" w:rsidRPr="009118AB">
        <w:t>Nr. </w:t>
      </w:r>
      <w:r w:rsidRPr="009118AB">
        <w:t>2 Buchstabe </w:t>
      </w:r>
      <w:r w:rsidRPr="009118AB">
        <w:rPr>
          <w:i/>
          <w:iCs/>
        </w:rPr>
        <w:t>b)</w:t>
      </w:r>
      <w:r w:rsidRPr="009118AB">
        <w:t xml:space="preserve"> erwähnten Gesellschaften, die entweder </w:t>
      </w:r>
      <w:r w:rsidR="006A32B7" w:rsidRPr="009118AB">
        <w:t>[</w:t>
      </w:r>
      <w:r w:rsidR="006A32B7" w:rsidRPr="009118AB">
        <w:rPr>
          <w:lang w:eastAsia="fr-BE"/>
        </w:rPr>
        <w:t>von der "Vlaamse Maatschappij voor Sociaal Wonen", der Wallonischen Wohnungsbaugesellschaft</w:t>
      </w:r>
      <w:r w:rsidR="006A32B7" w:rsidRPr="009118AB">
        <w:t>]</w:t>
      </w:r>
      <w:r w:rsidRPr="009118AB">
        <w:t xml:space="preserve">, der </w:t>
      </w:r>
      <w:r w:rsidR="00117C1A" w:rsidRPr="009118AB">
        <w:t>"</w:t>
      </w:r>
      <w:r w:rsidRPr="009118AB">
        <w:t>Société régionale bruxelloise du logement</w:t>
      </w:r>
      <w:r w:rsidR="00117C1A" w:rsidRPr="009118AB">
        <w:t>"</w:t>
      </w:r>
      <w:r w:rsidRPr="009118AB">
        <w:t>/</w:t>
      </w:r>
      <w:r w:rsidR="00117C1A" w:rsidRPr="009118AB">
        <w:t>"</w:t>
      </w:r>
      <w:r w:rsidRPr="009118AB">
        <w:t>Brusselse Gewestelijke Huisvestingsmaatschappij</w:t>
      </w:r>
      <w:r w:rsidR="00117C1A" w:rsidRPr="009118AB">
        <w:t>"</w:t>
      </w:r>
      <w:r w:rsidRPr="009118AB">
        <w:t xml:space="preserve"> oder der </w:t>
      </w:r>
      <w:r w:rsidR="00117C1A" w:rsidRPr="009118AB">
        <w:t>"</w:t>
      </w:r>
      <w:r w:rsidRPr="009118AB">
        <w:t>Vlaamse Landmaatschappij</w:t>
      </w:r>
      <w:r w:rsidR="00117C1A" w:rsidRPr="009118AB">
        <w:t>"</w:t>
      </w:r>
      <w:r w:rsidRPr="009118AB">
        <w:t xml:space="preserve"> oder von der Flämischen Region, der Region Brüssel</w:t>
      </w:r>
      <w:r w:rsidRPr="009118AB">
        <w:noBreakHyphen/>
        <w:t xml:space="preserve">Hauptstadt oder der Wallonischen Region zugelassen sind, wird eine getrennte Steuer bei Ausschluss oder Austritt aus dem Verband des Berufskredits oder bei Entzug dieser oder Verzicht auf diese Zulassung festgelegt. </w:t>
      </w:r>
    </w:p>
    <w:p w14:paraId="77F76B15" w14:textId="77777777" w:rsidR="00477B8F" w:rsidRPr="009118AB" w:rsidRDefault="00477B8F" w:rsidP="00477B8F">
      <w:pPr>
        <w:autoSpaceDE w:val="0"/>
        <w:autoSpaceDN w:val="0"/>
        <w:adjustRightInd w:val="0"/>
        <w:jc w:val="both"/>
      </w:pPr>
    </w:p>
    <w:p w14:paraId="69D3EA28" w14:textId="77777777" w:rsidR="00477B8F" w:rsidRPr="009118AB" w:rsidRDefault="00477B8F" w:rsidP="00477B8F">
      <w:pPr>
        <w:autoSpaceDE w:val="0"/>
        <w:autoSpaceDN w:val="0"/>
        <w:adjustRightInd w:val="0"/>
        <w:jc w:val="both"/>
      </w:pPr>
      <w:r w:rsidRPr="009118AB">
        <w:lastRenderedPageBreak/>
        <w:tab/>
        <w:t>Diese Steuer wird für den Besteuerungszeitraum festgelegt, in dem die Gesellschaft oder Vereinigung aus dem Verband des Berufskredits ausgeschlossen wird oder austritt beziehungsweise in dem entweder die Zulassung entzogen oder auf diese Zulassung verzichtet wird.</w:t>
      </w:r>
    </w:p>
    <w:p w14:paraId="01CADF2B" w14:textId="77777777" w:rsidR="00477B8F" w:rsidRPr="009118AB" w:rsidRDefault="00477B8F" w:rsidP="00477B8F">
      <w:pPr>
        <w:autoSpaceDE w:val="0"/>
        <w:autoSpaceDN w:val="0"/>
        <w:adjustRightInd w:val="0"/>
        <w:jc w:val="both"/>
      </w:pPr>
    </w:p>
    <w:p w14:paraId="63121744" w14:textId="77777777" w:rsidR="001E5326" w:rsidRPr="009118AB" w:rsidRDefault="00477B8F" w:rsidP="001E5326">
      <w:pPr>
        <w:jc w:val="both"/>
      </w:pPr>
      <w:r w:rsidRPr="009118AB">
        <w:tab/>
      </w:r>
      <w:r w:rsidR="0069219E" w:rsidRPr="009118AB">
        <w:t>[</w:t>
      </w:r>
      <w:r w:rsidR="001E5326" w:rsidRPr="009118AB">
        <w:t>Diese Steuer entspricht dem Gesamtbetrag der besteuerten Rücklagen zu Beginn des Besteuerungszeitraums, der entsprechend dem Besteuerungszeitraum, in dem die besteuerten Rücklagen gebildet wurden, mit einem Prozentsatz zu multiplizieren ist. Dieser Prozentsatz beträgt:</w:t>
      </w:r>
    </w:p>
    <w:p w14:paraId="4813767A" w14:textId="77777777" w:rsidR="001E5326" w:rsidRPr="009118AB" w:rsidRDefault="001E5326" w:rsidP="001E5326">
      <w:pPr>
        <w:jc w:val="both"/>
      </w:pPr>
    </w:p>
    <w:p w14:paraId="2DB4F9F1" w14:textId="77777777" w:rsidR="001E5326" w:rsidRPr="009118AB" w:rsidRDefault="001E5326" w:rsidP="001E5326">
      <w:pPr>
        <w:jc w:val="both"/>
      </w:pPr>
      <w:r w:rsidRPr="009118AB">
        <w:tab/>
        <w:t>- 34 Prozent für die besteuerten Rücklagen, die während eines an die Steuerjahre 2003 und vorhergehende gebundenen Besteuerungszeitraums gebildet wurden,</w:t>
      </w:r>
    </w:p>
    <w:p w14:paraId="12E5614E" w14:textId="77777777" w:rsidR="001E5326" w:rsidRPr="009118AB" w:rsidRDefault="001E5326" w:rsidP="001E5326">
      <w:pPr>
        <w:jc w:val="both"/>
      </w:pPr>
    </w:p>
    <w:p w14:paraId="04D29D25" w14:textId="77777777" w:rsidR="001E5326" w:rsidRPr="009118AB" w:rsidRDefault="001E5326" w:rsidP="001E5326">
      <w:pPr>
        <w:jc w:val="both"/>
      </w:pPr>
      <w:r w:rsidRPr="009118AB">
        <w:tab/>
        <w:t>- 28 Prozent für die besteuerten Rücklagen, die während eines Besteuerungszeitraums gebildet wurden, der spätestens am 31. Dezember 2017 beginnt und an die Steuerjahre 2004 bis 2019 gebunden ist,</w:t>
      </w:r>
    </w:p>
    <w:p w14:paraId="1EE34393" w14:textId="77777777" w:rsidR="001E5326" w:rsidRPr="009118AB" w:rsidRDefault="001E5326" w:rsidP="001E5326">
      <w:pPr>
        <w:jc w:val="both"/>
      </w:pPr>
    </w:p>
    <w:p w14:paraId="0FA41B8C" w14:textId="77777777" w:rsidR="001E5326" w:rsidRPr="009118AB" w:rsidRDefault="001E5326" w:rsidP="001E5326">
      <w:pPr>
        <w:jc w:val="both"/>
      </w:pPr>
      <w:r w:rsidRPr="009118AB">
        <w:tab/>
        <w:t>- 24 Prozent für die besteuerten Rücklagen, die während eines Besteuerungszeitraums gebildet wurden, der frühestens am 1. Januar 2018 und spätestens am 31. Dezember 2019 beginnt und an die Steuerjahre 2019 bis 2021 gebunden ist,</w:t>
      </w:r>
    </w:p>
    <w:p w14:paraId="25C185BB" w14:textId="77777777" w:rsidR="001E5326" w:rsidRPr="009118AB" w:rsidRDefault="001E5326" w:rsidP="001E5326">
      <w:pPr>
        <w:jc w:val="both"/>
      </w:pPr>
    </w:p>
    <w:p w14:paraId="5EE037E8" w14:textId="0C340F6F" w:rsidR="00477B8F" w:rsidRPr="009118AB" w:rsidRDefault="001E5326" w:rsidP="001E5326">
      <w:pPr>
        <w:autoSpaceDE w:val="0"/>
        <w:autoSpaceDN w:val="0"/>
        <w:adjustRightInd w:val="0"/>
        <w:jc w:val="both"/>
      </w:pPr>
      <w:r w:rsidRPr="009118AB">
        <w:tab/>
        <w:t>- 20 Prozent für die besteuerten Rücklagen, die während eines Besteuerungszeitraums gebildet wurden, der frühestens am 1. Januar 2020 beginnt und an die Steuerjahre 2021 und folgende gebunden ist.</w:t>
      </w:r>
      <w:r w:rsidR="0069219E" w:rsidRPr="009118AB">
        <w:t>]</w:t>
      </w:r>
    </w:p>
    <w:p w14:paraId="5ACD9D78" w14:textId="77777777" w:rsidR="00477B8F" w:rsidRPr="009118AB" w:rsidRDefault="00477B8F" w:rsidP="00477B8F">
      <w:pPr>
        <w:autoSpaceDE w:val="0"/>
        <w:autoSpaceDN w:val="0"/>
        <w:adjustRightInd w:val="0"/>
        <w:jc w:val="both"/>
      </w:pPr>
    </w:p>
    <w:p w14:paraId="1D1EDB70" w14:textId="532ECEAD" w:rsidR="000F23EB" w:rsidRPr="009118AB" w:rsidRDefault="000F23EB" w:rsidP="00477B8F">
      <w:pPr>
        <w:autoSpaceDE w:val="0"/>
        <w:autoSpaceDN w:val="0"/>
        <w:adjustRightInd w:val="0"/>
        <w:jc w:val="both"/>
      </w:pPr>
      <w:r w:rsidRPr="009118AB">
        <w:tab/>
        <w:t xml:space="preserve">[Zu Lasten der Gesellschaften wie erwähnt in Artikel 216 </w:t>
      </w:r>
      <w:r w:rsidR="00D67EB8" w:rsidRPr="009118AB">
        <w:t>Nr. </w:t>
      </w:r>
      <w:r w:rsidRPr="009118AB">
        <w:t>2 Buchstabe </w:t>
      </w:r>
      <w:r w:rsidRPr="009118AB">
        <w:rPr>
          <w:i/>
        </w:rPr>
        <w:t>a)</w:t>
      </w:r>
      <w:r w:rsidRPr="009118AB">
        <w:t>, so wie er vor seiner Aufhebung durch Artikel 49 des Gesetzes vom 18. Dezember 2015 bestand, werden nur die Rücklagen berücksichtigt, die während eines an ein Steuerjahr vor dem Steuerjahr 2017 gebundenen Besteuerungszeitraums gebildet wurden.]</w:t>
      </w:r>
    </w:p>
    <w:p w14:paraId="43D51F2B" w14:textId="77777777" w:rsidR="000F23EB" w:rsidRPr="009118AB" w:rsidRDefault="000F23EB" w:rsidP="00477B8F">
      <w:pPr>
        <w:autoSpaceDE w:val="0"/>
        <w:autoSpaceDN w:val="0"/>
        <w:adjustRightInd w:val="0"/>
        <w:jc w:val="both"/>
      </w:pPr>
    </w:p>
    <w:p w14:paraId="0B9BA60A" w14:textId="612C166E" w:rsidR="006A32B7" w:rsidRPr="009118AB" w:rsidRDefault="006A32B7" w:rsidP="006A32B7">
      <w:pPr>
        <w:jc w:val="both"/>
        <w:rPr>
          <w:lang w:eastAsia="fr-BE"/>
        </w:rPr>
      </w:pPr>
      <w:r w:rsidRPr="009118AB">
        <w:tab/>
        <w:t>[</w:t>
      </w:r>
      <w:r w:rsidRPr="009118AB">
        <w:rPr>
          <w:lang w:eastAsia="fr-BE"/>
        </w:rPr>
        <w:t xml:space="preserve">Zu Lasten der Gesellschaften wie erwähnt in Artikel 216 </w:t>
      </w:r>
      <w:r w:rsidR="00D67EB8" w:rsidRPr="009118AB">
        <w:rPr>
          <w:lang w:eastAsia="fr-BE"/>
        </w:rPr>
        <w:t>Nr. </w:t>
      </w:r>
      <w:r w:rsidRPr="009118AB">
        <w:rPr>
          <w:lang w:eastAsia="fr-BE"/>
        </w:rPr>
        <w:t>2 Buchstabe </w:t>
      </w:r>
      <w:r w:rsidRPr="009118AB">
        <w:rPr>
          <w:i/>
          <w:iCs/>
          <w:lang w:eastAsia="fr-BE"/>
        </w:rPr>
        <w:t>b)</w:t>
      </w:r>
      <w:r w:rsidRPr="009118AB">
        <w:rPr>
          <w:lang w:eastAsia="fr-BE"/>
        </w:rPr>
        <w:t xml:space="preserve"> wird diese Steuer nicht auf die Rücklagen festgelegt, die auf eine andere in Artikel 216 </w:t>
      </w:r>
      <w:r w:rsidR="00D67EB8" w:rsidRPr="009118AB">
        <w:rPr>
          <w:lang w:eastAsia="fr-BE"/>
        </w:rPr>
        <w:t>Nr. </w:t>
      </w:r>
      <w:r w:rsidRPr="009118AB">
        <w:rPr>
          <w:lang w:eastAsia="fr-BE"/>
        </w:rPr>
        <w:t>2 Buchstabe </w:t>
      </w:r>
      <w:r w:rsidRPr="009118AB">
        <w:rPr>
          <w:i/>
          <w:iCs/>
          <w:lang w:eastAsia="fr-BE"/>
        </w:rPr>
        <w:t>b)</w:t>
      </w:r>
      <w:r w:rsidRPr="009118AB">
        <w:rPr>
          <w:lang w:eastAsia="fr-BE"/>
        </w:rPr>
        <w:t xml:space="preserve"> erwähnte Gesellschaft übertragen werden. Für die Anwendung des vorliegenden Artikels wird davon ausgegangen, dass diese Rücklagen bei der Gesellschaft, die sie erhalten hat, während des Besteuerungszeitraums gebildet wurden, in dem die übertragende Gesellschaft sie gebildet hat.</w:t>
      </w:r>
    </w:p>
    <w:p w14:paraId="6D3D8634" w14:textId="77777777" w:rsidR="006A32B7" w:rsidRPr="009118AB" w:rsidRDefault="006A32B7" w:rsidP="006A32B7">
      <w:pPr>
        <w:jc w:val="both"/>
        <w:rPr>
          <w:lang w:eastAsia="fr-BE"/>
        </w:rPr>
      </w:pPr>
    </w:p>
    <w:p w14:paraId="215EAA6E" w14:textId="5B2CACA7" w:rsidR="006A32B7" w:rsidRPr="009118AB" w:rsidRDefault="006A32B7" w:rsidP="006A32B7">
      <w:pPr>
        <w:autoSpaceDE w:val="0"/>
        <w:autoSpaceDN w:val="0"/>
        <w:adjustRightInd w:val="0"/>
        <w:jc w:val="both"/>
      </w:pPr>
      <w:r w:rsidRPr="009118AB">
        <w:rPr>
          <w:lang w:eastAsia="fr-BE"/>
        </w:rPr>
        <w:tab/>
        <w:t xml:space="preserve">Die Dividende, die im Falle eines in Artikel 210 </w:t>
      </w:r>
      <w:r w:rsidR="00D67EB8" w:rsidRPr="009118AB">
        <w:rPr>
          <w:lang w:eastAsia="fr-BE"/>
        </w:rPr>
        <w:t>§ </w:t>
      </w:r>
      <w:r w:rsidRPr="009118AB">
        <w:rPr>
          <w:lang w:eastAsia="fr-BE"/>
        </w:rPr>
        <w:t xml:space="preserve">1 </w:t>
      </w:r>
      <w:r w:rsidR="00D67EB8" w:rsidRPr="009118AB">
        <w:rPr>
          <w:lang w:eastAsia="fr-BE"/>
        </w:rPr>
        <w:t>Nr. </w:t>
      </w:r>
      <w:r w:rsidRPr="009118AB">
        <w:rPr>
          <w:lang w:eastAsia="fr-BE"/>
        </w:rPr>
        <w:t>1 erwähnten Vorgangs aus den Rücklagen entnommen wird, wird für die Anwendung des vorliegenden Artikels auch als übertragene Rücklage betrachtet.</w:t>
      </w:r>
      <w:r w:rsidRPr="009118AB">
        <w:t>]</w:t>
      </w:r>
    </w:p>
    <w:p w14:paraId="4A61BCEF" w14:textId="77777777" w:rsidR="006A32B7" w:rsidRPr="009118AB" w:rsidRDefault="006A32B7" w:rsidP="00477B8F">
      <w:pPr>
        <w:autoSpaceDE w:val="0"/>
        <w:autoSpaceDN w:val="0"/>
        <w:adjustRightInd w:val="0"/>
        <w:jc w:val="both"/>
      </w:pPr>
    </w:p>
    <w:p w14:paraId="62199966" w14:textId="64416538" w:rsidR="00477B8F" w:rsidRPr="009118AB" w:rsidRDefault="00477B8F" w:rsidP="00477B8F">
      <w:pPr>
        <w:autoSpaceDE w:val="0"/>
        <w:autoSpaceDN w:val="0"/>
        <w:adjustRightInd w:val="0"/>
        <w:jc w:val="both"/>
      </w:pPr>
      <w:r w:rsidRPr="009118AB">
        <w:tab/>
      </w:r>
      <w:r w:rsidR="00D67EB8" w:rsidRPr="009118AB">
        <w:t>§ </w:t>
      </w:r>
      <w:r w:rsidRPr="009118AB">
        <w:t>3</w:t>
      </w:r>
      <w:r w:rsidR="00D67EB8" w:rsidRPr="009118AB">
        <w:t> - </w:t>
      </w:r>
      <w:r w:rsidRPr="009118AB">
        <w:t xml:space="preserve">Zu Lasten der in Artikel 216 </w:t>
      </w:r>
      <w:r w:rsidR="00D67EB8" w:rsidRPr="009118AB">
        <w:t>Nr. </w:t>
      </w:r>
      <w:r w:rsidRPr="009118AB">
        <w:t>2 erwähnten Gesellschaften wird eine getrennte Steuer auf ausgeschüttete Dividenden festgelegt.</w:t>
      </w:r>
    </w:p>
    <w:p w14:paraId="0B1EC3A9" w14:textId="77777777" w:rsidR="00477B8F" w:rsidRPr="009118AB" w:rsidRDefault="00477B8F" w:rsidP="00477B8F">
      <w:pPr>
        <w:autoSpaceDE w:val="0"/>
        <w:autoSpaceDN w:val="0"/>
        <w:adjustRightInd w:val="0"/>
        <w:jc w:val="both"/>
      </w:pPr>
    </w:p>
    <w:p w14:paraId="3644E98F" w14:textId="7BD9B4A2" w:rsidR="00477B8F" w:rsidRPr="009118AB" w:rsidRDefault="00477B8F" w:rsidP="00477B8F">
      <w:pPr>
        <w:autoSpaceDE w:val="0"/>
        <w:autoSpaceDN w:val="0"/>
        <w:adjustRightInd w:val="0"/>
        <w:jc w:val="both"/>
      </w:pPr>
      <w:r w:rsidRPr="009118AB">
        <w:tab/>
        <w:t xml:space="preserve">Diese Steuer entspricht </w:t>
      </w:r>
      <w:r w:rsidR="0069219E" w:rsidRPr="009118AB">
        <w:t>[2</w:t>
      </w:r>
      <w:r w:rsidR="001E5326" w:rsidRPr="009118AB">
        <w:t xml:space="preserve">0 </w:t>
      </w:r>
      <w:r w:rsidRPr="009118AB">
        <w:t>Prozent</w:t>
      </w:r>
      <w:r w:rsidR="0069219E" w:rsidRPr="009118AB">
        <w:t>]</w:t>
      </w:r>
      <w:r w:rsidRPr="009118AB">
        <w:t xml:space="preserve"> dieser ausgeschütteten Dividenden.]</w:t>
      </w:r>
    </w:p>
    <w:p w14:paraId="0CC0F183" w14:textId="77777777" w:rsidR="000F23EB" w:rsidRPr="009118AB" w:rsidRDefault="000F23EB" w:rsidP="00477B8F">
      <w:pPr>
        <w:autoSpaceDE w:val="0"/>
        <w:autoSpaceDN w:val="0"/>
        <w:adjustRightInd w:val="0"/>
        <w:jc w:val="both"/>
      </w:pPr>
    </w:p>
    <w:p w14:paraId="60FDEAE8" w14:textId="0F2E7F65" w:rsidR="000F23EB" w:rsidRPr="009118AB" w:rsidRDefault="000F23EB" w:rsidP="00477B8F">
      <w:pPr>
        <w:autoSpaceDE w:val="0"/>
        <w:autoSpaceDN w:val="0"/>
        <w:adjustRightInd w:val="0"/>
        <w:jc w:val="both"/>
      </w:pPr>
      <w:r w:rsidRPr="009118AB">
        <w:tab/>
        <w:t xml:space="preserve">[Die Absätze 1 und 2 sind ebenfalls anwendbar auf die Gesellschaften wie erwähnt in Artikel 216 </w:t>
      </w:r>
      <w:r w:rsidR="00D67EB8" w:rsidRPr="009118AB">
        <w:t>Nr. </w:t>
      </w:r>
      <w:r w:rsidRPr="009118AB">
        <w:t>2 Buchstabe </w:t>
      </w:r>
      <w:r w:rsidRPr="009118AB">
        <w:rPr>
          <w:i/>
        </w:rPr>
        <w:t>a)</w:t>
      </w:r>
      <w:r w:rsidRPr="009118AB">
        <w:t xml:space="preserve">, so wie er vor seiner Aufhebung durch Artikel 49 des Gesetzes vom 18. Dezember 2015 bestand. In diesem Fall werden nur die Dividenden berücksichtigt, die </w:t>
      </w:r>
      <w:r w:rsidRPr="009118AB">
        <w:lastRenderedPageBreak/>
        <w:t>aus Rücklagen stammen, die während eines an ein Steuerjahr vor dem Steuerjahr 2017 gebundenen Besteuerungszeitraums gebildet wurden.]</w:t>
      </w:r>
    </w:p>
    <w:p w14:paraId="0829A897" w14:textId="77777777" w:rsidR="000F23EB" w:rsidRPr="009118AB" w:rsidRDefault="000F23EB" w:rsidP="00477B8F">
      <w:pPr>
        <w:autoSpaceDE w:val="0"/>
        <w:autoSpaceDN w:val="0"/>
        <w:adjustRightInd w:val="0"/>
        <w:jc w:val="both"/>
      </w:pPr>
    </w:p>
    <w:p w14:paraId="2DB86A60" w14:textId="162167CE" w:rsidR="006A32B7" w:rsidRPr="009118AB" w:rsidRDefault="006A32B7" w:rsidP="00477B8F">
      <w:pPr>
        <w:autoSpaceDE w:val="0"/>
        <w:autoSpaceDN w:val="0"/>
        <w:adjustRightInd w:val="0"/>
        <w:jc w:val="both"/>
      </w:pPr>
      <w:r w:rsidRPr="009118AB">
        <w:tab/>
        <w:t>[</w:t>
      </w:r>
      <w:r w:rsidRPr="009118AB">
        <w:rPr>
          <w:lang w:eastAsia="fr-BE"/>
        </w:rPr>
        <w:t xml:space="preserve">Zu Lasten der Gesellschaften wie erwähnt in Artikel 216 </w:t>
      </w:r>
      <w:r w:rsidR="00D67EB8" w:rsidRPr="009118AB">
        <w:rPr>
          <w:lang w:eastAsia="fr-BE"/>
        </w:rPr>
        <w:t>Nr. </w:t>
      </w:r>
      <w:r w:rsidRPr="009118AB">
        <w:rPr>
          <w:lang w:eastAsia="fr-BE"/>
        </w:rPr>
        <w:t>2 Buchstabe </w:t>
      </w:r>
      <w:r w:rsidRPr="009118AB">
        <w:rPr>
          <w:i/>
          <w:iCs/>
          <w:lang w:eastAsia="fr-BE"/>
        </w:rPr>
        <w:t>b)</w:t>
      </w:r>
      <w:r w:rsidRPr="009118AB">
        <w:rPr>
          <w:lang w:eastAsia="fr-BE"/>
        </w:rPr>
        <w:t xml:space="preserve"> wird diese Steuer nicht festgelegt, wenn die Dividende an eine andere in Artikel 216 </w:t>
      </w:r>
      <w:r w:rsidR="00D67EB8" w:rsidRPr="009118AB">
        <w:rPr>
          <w:lang w:eastAsia="fr-BE"/>
        </w:rPr>
        <w:t>Nr. </w:t>
      </w:r>
      <w:r w:rsidRPr="009118AB">
        <w:rPr>
          <w:lang w:eastAsia="fr-BE"/>
        </w:rPr>
        <w:t>2 Buchstabe </w:t>
      </w:r>
      <w:r w:rsidRPr="009118AB">
        <w:rPr>
          <w:i/>
          <w:iCs/>
          <w:lang w:eastAsia="fr-BE"/>
        </w:rPr>
        <w:t>b)</w:t>
      </w:r>
      <w:r w:rsidRPr="009118AB">
        <w:rPr>
          <w:lang w:eastAsia="fr-BE"/>
        </w:rPr>
        <w:t xml:space="preserve"> erwähnte Gesellschaft ausgeschüttet wird. Die Steuer wird auch nicht festgelegt, wenn die Dividende an eine Gesellschaft ausgeschüttet wird, die nicht in Artikel 216 </w:t>
      </w:r>
      <w:r w:rsidR="00D67EB8" w:rsidRPr="009118AB">
        <w:rPr>
          <w:lang w:eastAsia="fr-BE"/>
        </w:rPr>
        <w:t>Nr. </w:t>
      </w:r>
      <w:r w:rsidRPr="009118AB">
        <w:rPr>
          <w:lang w:eastAsia="fr-BE"/>
        </w:rPr>
        <w:t>2 Buchstabe </w:t>
      </w:r>
      <w:r w:rsidRPr="009118AB">
        <w:rPr>
          <w:i/>
          <w:iCs/>
          <w:lang w:eastAsia="fr-BE"/>
        </w:rPr>
        <w:t>b)</w:t>
      </w:r>
      <w:r w:rsidRPr="009118AB">
        <w:rPr>
          <w:lang w:eastAsia="fr-BE"/>
        </w:rPr>
        <w:t xml:space="preserve"> erwähnt ist, und diese Gesellschaft die ausgeschüttete Dividende sofort dem Kapital einer in Artikel 216 </w:t>
      </w:r>
      <w:r w:rsidR="00D67EB8" w:rsidRPr="009118AB">
        <w:rPr>
          <w:lang w:eastAsia="fr-BE"/>
        </w:rPr>
        <w:t>Nr. </w:t>
      </w:r>
      <w:r w:rsidRPr="009118AB">
        <w:rPr>
          <w:lang w:eastAsia="fr-BE"/>
        </w:rPr>
        <w:t>2 Buchstabe </w:t>
      </w:r>
      <w:r w:rsidRPr="009118AB">
        <w:rPr>
          <w:i/>
          <w:iCs/>
          <w:lang w:eastAsia="fr-BE"/>
        </w:rPr>
        <w:t>b)</w:t>
      </w:r>
      <w:r w:rsidRPr="009118AB">
        <w:rPr>
          <w:lang w:eastAsia="fr-BE"/>
        </w:rPr>
        <w:t xml:space="preserve"> erwähnten Gesellschaft zuführt. Führt die begünstigte Gesellschaft später eine Kapitalherabsetzung durch, wird davon ausgegangen, dass diese Herabsetzung zuerst von diesen eingebrachten Kapitalien abgezogen wird. Für die Anwendung des vorliegenden Artikels wird die Herabsetzung dieser eingebrachten Kapitalien in Abweichung von Artikel 18 Absatz 1 </w:t>
      </w:r>
      <w:r w:rsidR="00D67EB8" w:rsidRPr="009118AB">
        <w:rPr>
          <w:lang w:eastAsia="fr-BE"/>
        </w:rPr>
        <w:t>Nr. </w:t>
      </w:r>
      <w:r w:rsidRPr="009118AB">
        <w:rPr>
          <w:lang w:eastAsia="fr-BE"/>
        </w:rPr>
        <w:t>2 als Dividende betrachtet.</w:t>
      </w:r>
      <w:r w:rsidRPr="009118AB">
        <w:t>]</w:t>
      </w:r>
    </w:p>
    <w:p w14:paraId="78E693D8" w14:textId="77777777" w:rsidR="006A32B7" w:rsidRPr="009118AB" w:rsidRDefault="006A32B7" w:rsidP="00477B8F">
      <w:pPr>
        <w:autoSpaceDE w:val="0"/>
        <w:autoSpaceDN w:val="0"/>
        <w:adjustRightInd w:val="0"/>
        <w:jc w:val="both"/>
      </w:pPr>
    </w:p>
    <w:p w14:paraId="41356852" w14:textId="787D4F78" w:rsidR="000F23EB" w:rsidRPr="009118AB" w:rsidRDefault="000F23EB" w:rsidP="00477B8F">
      <w:pPr>
        <w:autoSpaceDE w:val="0"/>
        <w:autoSpaceDN w:val="0"/>
        <w:adjustRightInd w:val="0"/>
        <w:jc w:val="both"/>
      </w:pPr>
      <w:r w:rsidRPr="009118AB">
        <w:tab/>
        <w:t>[</w:t>
      </w:r>
      <w:r w:rsidR="00D67EB8" w:rsidRPr="009118AB">
        <w:t>§ </w:t>
      </w:r>
      <w:r w:rsidRPr="009118AB">
        <w:t>4</w:t>
      </w:r>
      <w:r w:rsidR="00D67EB8" w:rsidRPr="009118AB">
        <w:t> - </w:t>
      </w:r>
      <w:r w:rsidRPr="009118AB">
        <w:t>Für die Anwendung des vorliegenden Artikels wird davon ausgegangen, dass die ältesten Rücklagen als Erstes zurückgenommen werden.]</w:t>
      </w:r>
    </w:p>
    <w:p w14:paraId="38EFE5DC" w14:textId="77777777" w:rsidR="00477B8F" w:rsidRPr="009118AB" w:rsidRDefault="00477B8F" w:rsidP="00477B8F">
      <w:pPr>
        <w:autoSpaceDE w:val="0"/>
        <w:autoSpaceDN w:val="0"/>
        <w:adjustRightInd w:val="0"/>
        <w:jc w:val="both"/>
      </w:pPr>
    </w:p>
    <w:p w14:paraId="6651FB1E" w14:textId="0E758CFD"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219bis eingefügt durch </w:t>
      </w:r>
      <w:r w:rsidR="00D67EB8" w:rsidRPr="009118AB">
        <w:rPr>
          <w:i/>
          <w:iCs/>
        </w:rPr>
        <w:t>Art. </w:t>
      </w:r>
      <w:r w:rsidRPr="009118AB">
        <w:rPr>
          <w:i/>
          <w:iCs/>
        </w:rPr>
        <w:t>22 des G. vom 4. Mai 1999 (II) (B.S. vom 12. Juni 1999)</w:t>
      </w:r>
      <w:r w:rsidR="00D67EB8" w:rsidRPr="009118AB">
        <w:rPr>
          <w:i/>
          <w:iCs/>
        </w:rPr>
        <w:t> - § </w:t>
      </w:r>
      <w:r w:rsidRPr="009118AB">
        <w:rPr>
          <w:i/>
          <w:iCs/>
        </w:rPr>
        <w:t xml:space="preserve">1 in Kraft ab dem Steuerjahr 1999, </w:t>
      </w:r>
      <w:r w:rsidR="00D67EB8" w:rsidRPr="009118AB">
        <w:rPr>
          <w:i/>
          <w:iCs/>
        </w:rPr>
        <w:t>§ </w:t>
      </w:r>
      <w:r w:rsidRPr="009118AB">
        <w:rPr>
          <w:i/>
          <w:iCs/>
        </w:rPr>
        <w:t xml:space="preserve">2 in Kraft ab dem Steuerjahr 2002 und </w:t>
      </w:r>
      <w:r w:rsidR="00D67EB8" w:rsidRPr="009118AB">
        <w:rPr>
          <w:i/>
          <w:iCs/>
        </w:rPr>
        <w:t>§ </w:t>
      </w:r>
      <w:r w:rsidRPr="009118AB">
        <w:rPr>
          <w:i/>
          <w:iCs/>
        </w:rPr>
        <w:t>3 anwendbar auf die ab dem 18. Dezember 1998 ausgeschütteten Dividenden</w:t>
      </w:r>
      <w:r w:rsidR="003366D9" w:rsidRPr="009118AB">
        <w:rPr>
          <w:i/>
          <w:iCs/>
        </w:rPr>
        <w:t> -;</w:t>
      </w:r>
      <w:r w:rsidR="005301AD">
        <w:rPr>
          <w:i/>
          <w:iCs/>
        </w:rPr>
        <w:t xml:space="preserve"> § 1 Abs. 1 abgeändert </w:t>
      </w:r>
      <w:r w:rsidR="005301AD" w:rsidRPr="003E131B">
        <w:rPr>
          <w:i/>
          <w:iCs/>
          <w:spacing w:val="-2"/>
        </w:rPr>
        <w:t>durch Art. </w:t>
      </w:r>
      <w:r w:rsidR="005301AD">
        <w:rPr>
          <w:i/>
          <w:iCs/>
          <w:spacing w:val="-2"/>
        </w:rPr>
        <w:t>5</w:t>
      </w:r>
      <w:r w:rsidR="00BD0EAE">
        <w:rPr>
          <w:i/>
          <w:iCs/>
          <w:spacing w:val="-2"/>
        </w:rPr>
        <w:t>3</w:t>
      </w:r>
      <w:r w:rsidR="005301AD" w:rsidRPr="003E131B">
        <w:rPr>
          <w:i/>
          <w:iCs/>
          <w:spacing w:val="-2"/>
        </w:rPr>
        <w:t xml:space="preserve"> des G. vom 28. Dezember 2023 (B.S. vom 29. Dezember 2023)</w:t>
      </w:r>
      <w:r w:rsidR="005301AD">
        <w:rPr>
          <w:i/>
          <w:iCs/>
        </w:rPr>
        <w:t xml:space="preserve">; </w:t>
      </w:r>
      <w:r w:rsidR="00D67EB8" w:rsidRPr="005301AD">
        <w:rPr>
          <w:i/>
          <w:iCs/>
        </w:rPr>
        <w:t>§ </w:t>
      </w:r>
      <w:r w:rsidR="000F23EB" w:rsidRPr="005301AD">
        <w:rPr>
          <w:i/>
          <w:iCs/>
        </w:rPr>
        <w:t xml:space="preserve">2 </w:t>
      </w:r>
      <w:r w:rsidR="00D67EB8" w:rsidRPr="005301AD">
        <w:rPr>
          <w:i/>
          <w:iCs/>
        </w:rPr>
        <w:t>Abs. </w:t>
      </w:r>
      <w:r w:rsidR="000F23EB" w:rsidRPr="005301AD">
        <w:rPr>
          <w:i/>
          <w:iCs/>
        </w:rPr>
        <w:t xml:space="preserve">1 abgeändert durch </w:t>
      </w:r>
      <w:r w:rsidR="00D67EB8" w:rsidRPr="005301AD">
        <w:rPr>
          <w:i/>
          <w:iCs/>
        </w:rPr>
        <w:t>A</w:t>
      </w:r>
      <w:r w:rsidR="00D67EB8" w:rsidRPr="009118AB">
        <w:rPr>
          <w:i/>
          <w:iCs/>
        </w:rPr>
        <w:t>rt. </w:t>
      </w:r>
      <w:r w:rsidR="000F23EB" w:rsidRPr="009118AB">
        <w:rPr>
          <w:i/>
          <w:iCs/>
        </w:rPr>
        <w:t xml:space="preserve">12 </w:t>
      </w:r>
      <w:r w:rsidR="00D67EB8" w:rsidRPr="009118AB">
        <w:rPr>
          <w:i/>
          <w:iCs/>
        </w:rPr>
        <w:t>Nr. </w:t>
      </w:r>
      <w:r w:rsidR="000F23EB" w:rsidRPr="009118AB">
        <w:rPr>
          <w:i/>
          <w:iCs/>
        </w:rPr>
        <w:t>1 des G. vom 25. Dezember 2017 (II) (B.S. vom 29. Dezember 2017)</w:t>
      </w:r>
      <w:r w:rsidR="00D67EB8" w:rsidRPr="009118AB">
        <w:rPr>
          <w:i/>
          <w:iCs/>
        </w:rPr>
        <w:t> - </w:t>
      </w:r>
      <w:r w:rsidR="000F23EB" w:rsidRPr="009118AB">
        <w:rPr>
          <w:i/>
          <w:iCs/>
        </w:rPr>
        <w:t>anwendbar ab dem Steuerjahr 2018</w:t>
      </w:r>
      <w:r w:rsidR="00D67EB8" w:rsidRPr="009118AB">
        <w:rPr>
          <w:i/>
          <w:iCs/>
        </w:rPr>
        <w:t> - </w:t>
      </w:r>
      <w:r w:rsidR="006A32B7" w:rsidRPr="009118AB">
        <w:rPr>
          <w:i/>
          <w:iCs/>
        </w:rPr>
        <w:t xml:space="preserve">und </w:t>
      </w:r>
      <w:r w:rsidR="00D67EB8" w:rsidRPr="009118AB">
        <w:rPr>
          <w:i/>
          <w:iCs/>
        </w:rPr>
        <w:t>Art. </w:t>
      </w:r>
      <w:r w:rsidR="006A32B7" w:rsidRPr="009118AB">
        <w:rPr>
          <w:i/>
          <w:iCs/>
        </w:rPr>
        <w:t xml:space="preserve">46 </w:t>
      </w:r>
      <w:r w:rsidR="00D67EB8" w:rsidRPr="009118AB">
        <w:rPr>
          <w:i/>
          <w:iCs/>
        </w:rPr>
        <w:t>Nr. </w:t>
      </w:r>
      <w:r w:rsidR="006A32B7" w:rsidRPr="009118AB">
        <w:rPr>
          <w:i/>
          <w:iCs/>
        </w:rPr>
        <w:t>1 des G. vom 21. Januar 2022 (B.S. vom 28. Januar 2022)</w:t>
      </w:r>
      <w:r w:rsidR="00D67EB8" w:rsidRPr="009118AB">
        <w:rPr>
          <w:i/>
          <w:iCs/>
        </w:rPr>
        <w:t> - </w:t>
      </w:r>
      <w:r w:rsidR="006A32B7" w:rsidRPr="009118AB">
        <w:rPr>
          <w:i/>
          <w:iCs/>
          <w:lang w:eastAsia="fr-BE"/>
        </w:rPr>
        <w:t>anwendbar ab dem Steuerjahr 2021, das sich auf einen Besteuerungszeitraum bezieht, der frühestens am 1. Januar 2020 beginnt</w:t>
      </w:r>
      <w:r w:rsidR="003366D9" w:rsidRPr="009118AB">
        <w:rPr>
          <w:i/>
          <w:iCs/>
          <w:lang w:eastAsia="fr-BE"/>
        </w:rPr>
        <w:t> -;</w:t>
      </w:r>
      <w:r w:rsidR="000F23EB" w:rsidRPr="009118AB">
        <w:rPr>
          <w:i/>
          <w:iCs/>
        </w:rPr>
        <w:t xml:space="preserve"> </w:t>
      </w:r>
      <w:r w:rsidR="00D67EB8" w:rsidRPr="009118AB">
        <w:rPr>
          <w:i/>
          <w:iCs/>
        </w:rPr>
        <w:t>§ </w:t>
      </w:r>
      <w:r w:rsidR="0069219E" w:rsidRPr="009118AB">
        <w:rPr>
          <w:i/>
          <w:iCs/>
        </w:rPr>
        <w:t xml:space="preserve">2 </w:t>
      </w:r>
      <w:r w:rsidR="00D67EB8" w:rsidRPr="009118AB">
        <w:rPr>
          <w:i/>
          <w:iCs/>
        </w:rPr>
        <w:t>Abs. </w:t>
      </w:r>
      <w:r w:rsidR="0069219E" w:rsidRPr="009118AB">
        <w:rPr>
          <w:i/>
          <w:iCs/>
        </w:rPr>
        <w:t xml:space="preserve">3 ersetzt durch </w:t>
      </w:r>
      <w:r w:rsidR="00D67EB8" w:rsidRPr="009118AB">
        <w:rPr>
          <w:i/>
          <w:iCs/>
        </w:rPr>
        <w:t>Art. </w:t>
      </w:r>
      <w:r w:rsidR="004775D6" w:rsidRPr="009118AB">
        <w:rPr>
          <w:i/>
          <w:iCs/>
        </w:rPr>
        <w:t>69 Buchstabe a)</w:t>
      </w:r>
      <w:r w:rsidR="004775D6" w:rsidRPr="009118AB">
        <w:rPr>
          <w:bCs/>
          <w:i/>
          <w:iCs/>
        </w:rPr>
        <w:t xml:space="preserve"> des G. vom 27. Juni 2021 (B.S. vom 30. Juni 2021)</w:t>
      </w:r>
      <w:r w:rsidR="00D67EB8" w:rsidRPr="009118AB">
        <w:rPr>
          <w:bCs/>
          <w:i/>
          <w:iCs/>
        </w:rPr>
        <w:t> - </w:t>
      </w:r>
      <w:r w:rsidR="004775D6" w:rsidRPr="009118AB">
        <w:rPr>
          <w:bCs/>
          <w:i/>
          <w:iCs/>
        </w:rPr>
        <w:t>anwendbar ab dem Steuerjahr 2021, das sich auf einen Besteuerungszeitraum bezieht, der frühestens am 1. Januar 2020 beginnt</w:t>
      </w:r>
      <w:r w:rsidR="003366D9" w:rsidRPr="009118AB">
        <w:rPr>
          <w:bCs/>
          <w:i/>
          <w:iCs/>
        </w:rPr>
        <w:t> -;</w:t>
      </w:r>
      <w:r w:rsidR="0069219E" w:rsidRPr="009118AB">
        <w:rPr>
          <w:i/>
          <w:iCs/>
        </w:rPr>
        <w:t xml:space="preserve"> </w:t>
      </w:r>
      <w:r w:rsidR="00D67EB8" w:rsidRPr="009118AB">
        <w:rPr>
          <w:i/>
          <w:iCs/>
        </w:rPr>
        <w:t>§ </w:t>
      </w:r>
      <w:r w:rsidR="000F23EB" w:rsidRPr="009118AB">
        <w:rPr>
          <w:i/>
          <w:iCs/>
        </w:rPr>
        <w:t xml:space="preserve">2 </w:t>
      </w:r>
      <w:r w:rsidR="00D67EB8" w:rsidRPr="009118AB">
        <w:rPr>
          <w:i/>
          <w:iCs/>
        </w:rPr>
        <w:t>Abs. </w:t>
      </w:r>
      <w:r w:rsidR="000F23EB" w:rsidRPr="009118AB">
        <w:rPr>
          <w:i/>
          <w:iCs/>
        </w:rPr>
        <w:t xml:space="preserve">4 eingefügt durch </w:t>
      </w:r>
      <w:r w:rsidR="00D67EB8" w:rsidRPr="009118AB">
        <w:rPr>
          <w:i/>
          <w:iCs/>
        </w:rPr>
        <w:t>Art. </w:t>
      </w:r>
      <w:r w:rsidR="000F23EB" w:rsidRPr="009118AB">
        <w:rPr>
          <w:i/>
          <w:iCs/>
        </w:rPr>
        <w:t xml:space="preserve">12 </w:t>
      </w:r>
      <w:r w:rsidR="00D67EB8" w:rsidRPr="009118AB">
        <w:rPr>
          <w:i/>
          <w:iCs/>
        </w:rPr>
        <w:t>Nr. </w:t>
      </w:r>
      <w:r w:rsidR="000F23EB" w:rsidRPr="009118AB">
        <w:rPr>
          <w:i/>
          <w:iCs/>
        </w:rPr>
        <w:t>2 des G. vom 25. Dezember 2017 (II)</w:t>
      </w:r>
      <w:r w:rsidR="00D27B17" w:rsidRPr="009118AB">
        <w:rPr>
          <w:i/>
          <w:iCs/>
        </w:rPr>
        <w:t xml:space="preserve"> (B.S. vom 29. Dezember 2017)</w:t>
      </w:r>
      <w:r w:rsidR="00D67EB8" w:rsidRPr="009118AB">
        <w:rPr>
          <w:i/>
          <w:iCs/>
        </w:rPr>
        <w:t> - </w:t>
      </w:r>
      <w:r w:rsidR="000F23EB" w:rsidRPr="009118AB">
        <w:rPr>
          <w:i/>
          <w:iCs/>
        </w:rPr>
        <w:t>anwendbar ab dem Steuerjahr 2018</w:t>
      </w:r>
      <w:r w:rsidR="003366D9" w:rsidRPr="009118AB">
        <w:rPr>
          <w:i/>
          <w:iCs/>
        </w:rPr>
        <w:t> -;</w:t>
      </w:r>
      <w:r w:rsidR="000F23EB" w:rsidRPr="009118AB">
        <w:rPr>
          <w:i/>
          <w:iCs/>
        </w:rPr>
        <w:t xml:space="preserve"> </w:t>
      </w:r>
      <w:r w:rsidR="00D67EB8" w:rsidRPr="009118AB">
        <w:rPr>
          <w:i/>
          <w:iCs/>
        </w:rPr>
        <w:t>§ </w:t>
      </w:r>
      <w:r w:rsidR="006A32B7" w:rsidRPr="009118AB">
        <w:rPr>
          <w:i/>
          <w:iCs/>
        </w:rPr>
        <w:t xml:space="preserve">2 </w:t>
      </w:r>
      <w:r w:rsidR="00D67EB8" w:rsidRPr="009118AB">
        <w:rPr>
          <w:i/>
          <w:iCs/>
        </w:rPr>
        <w:t>Abs. </w:t>
      </w:r>
      <w:r w:rsidR="006A32B7" w:rsidRPr="009118AB">
        <w:rPr>
          <w:i/>
          <w:iCs/>
        </w:rPr>
        <w:t xml:space="preserve">5 und 6 eingefügt durch </w:t>
      </w:r>
      <w:r w:rsidR="00D67EB8" w:rsidRPr="009118AB">
        <w:rPr>
          <w:i/>
          <w:iCs/>
        </w:rPr>
        <w:t>Art. </w:t>
      </w:r>
      <w:r w:rsidR="006A32B7" w:rsidRPr="009118AB">
        <w:rPr>
          <w:i/>
          <w:iCs/>
        </w:rPr>
        <w:t xml:space="preserve">46 </w:t>
      </w:r>
      <w:r w:rsidR="00D67EB8" w:rsidRPr="009118AB">
        <w:rPr>
          <w:i/>
          <w:iCs/>
        </w:rPr>
        <w:t>Nr. </w:t>
      </w:r>
      <w:r w:rsidR="006A32B7" w:rsidRPr="009118AB">
        <w:rPr>
          <w:i/>
          <w:iCs/>
        </w:rPr>
        <w:t>2 des G. vom 21. Januar 2022 (B.S. vom 28. Januar 2022)</w:t>
      </w:r>
      <w:r w:rsidR="00D67EB8" w:rsidRPr="009118AB">
        <w:rPr>
          <w:i/>
          <w:iCs/>
        </w:rPr>
        <w:t> - </w:t>
      </w:r>
      <w:r w:rsidR="006A32B7" w:rsidRPr="009118AB">
        <w:rPr>
          <w:i/>
          <w:iCs/>
          <w:lang w:eastAsia="fr-BE"/>
        </w:rPr>
        <w:t>anwendbar ab dem Steuerjahr 2021, das sich auf einen Besteuerungszeitraum bezieht, der frühestens am 1. Januar 2020 beginnt</w:t>
      </w:r>
      <w:r w:rsidR="003366D9" w:rsidRPr="009118AB">
        <w:rPr>
          <w:i/>
          <w:iCs/>
          <w:lang w:eastAsia="fr-BE"/>
        </w:rPr>
        <w:t> -;</w:t>
      </w:r>
      <w:r w:rsidR="006A32B7" w:rsidRPr="009118AB">
        <w:rPr>
          <w:i/>
          <w:iCs/>
          <w:lang w:eastAsia="fr-BE"/>
        </w:rPr>
        <w:t xml:space="preserve"> </w:t>
      </w:r>
      <w:r w:rsidR="00D67EB8" w:rsidRPr="009118AB">
        <w:rPr>
          <w:i/>
          <w:iCs/>
        </w:rPr>
        <w:t>§ </w:t>
      </w:r>
      <w:r w:rsidR="0069219E" w:rsidRPr="009118AB">
        <w:rPr>
          <w:i/>
          <w:iCs/>
        </w:rPr>
        <w:t xml:space="preserve">3 </w:t>
      </w:r>
      <w:r w:rsidR="00D67EB8" w:rsidRPr="009118AB">
        <w:rPr>
          <w:i/>
          <w:iCs/>
        </w:rPr>
        <w:t>Abs. </w:t>
      </w:r>
      <w:r w:rsidR="0069219E" w:rsidRPr="009118AB">
        <w:rPr>
          <w:i/>
          <w:iCs/>
        </w:rPr>
        <w:t xml:space="preserve">2 abgeändert durch </w:t>
      </w:r>
      <w:r w:rsidR="00D67EB8" w:rsidRPr="009118AB">
        <w:rPr>
          <w:i/>
          <w:iCs/>
        </w:rPr>
        <w:t>Art. </w:t>
      </w:r>
      <w:r w:rsidR="0069219E" w:rsidRPr="009118AB">
        <w:rPr>
          <w:i/>
          <w:iCs/>
        </w:rPr>
        <w:t xml:space="preserve">49 </w:t>
      </w:r>
      <w:r w:rsidR="00D67EB8" w:rsidRPr="009118AB">
        <w:rPr>
          <w:i/>
          <w:iCs/>
        </w:rPr>
        <w:t>Nr. </w:t>
      </w:r>
      <w:r w:rsidR="0069219E" w:rsidRPr="009118AB">
        <w:rPr>
          <w:i/>
          <w:iCs/>
        </w:rPr>
        <w:t>2 des G. vom 13. Dezember 2012 (B.S. vom 20. Dezember 2012)</w:t>
      </w:r>
      <w:r w:rsidR="00D67EB8" w:rsidRPr="009118AB">
        <w:rPr>
          <w:i/>
          <w:iCs/>
        </w:rPr>
        <w:t> - </w:t>
      </w:r>
      <w:r w:rsidR="0069219E" w:rsidRPr="009118AB">
        <w:rPr>
          <w:i/>
          <w:iCs/>
        </w:rPr>
        <w:t>anwendbar auf die ab dem 1. Januar 2013 zuerkannten oder ausgeschütteten Dividenden</w:t>
      </w:r>
      <w:r w:rsidR="00D67EB8" w:rsidRPr="009118AB">
        <w:rPr>
          <w:i/>
          <w:iCs/>
        </w:rPr>
        <w:t> - </w:t>
      </w:r>
      <w:r w:rsidR="004775D6" w:rsidRPr="009118AB">
        <w:rPr>
          <w:i/>
          <w:iCs/>
        </w:rPr>
        <w:t xml:space="preserve">und </w:t>
      </w:r>
      <w:r w:rsidR="00D67EB8" w:rsidRPr="009118AB">
        <w:rPr>
          <w:i/>
          <w:iCs/>
        </w:rPr>
        <w:t>Art. </w:t>
      </w:r>
      <w:r w:rsidR="004775D6" w:rsidRPr="009118AB">
        <w:rPr>
          <w:i/>
          <w:iCs/>
        </w:rPr>
        <w:t>69 Buchstabe b)</w:t>
      </w:r>
      <w:r w:rsidR="004775D6" w:rsidRPr="009118AB">
        <w:rPr>
          <w:bCs/>
          <w:i/>
          <w:iCs/>
        </w:rPr>
        <w:t xml:space="preserve"> des G. vom 27. Juni 2021 (B.S. vom 30. Juni 2021)</w:t>
      </w:r>
      <w:r w:rsidR="00D67EB8" w:rsidRPr="009118AB">
        <w:rPr>
          <w:bCs/>
          <w:i/>
          <w:iCs/>
        </w:rPr>
        <w:t> - </w:t>
      </w:r>
      <w:r w:rsidR="004775D6" w:rsidRPr="009118AB">
        <w:rPr>
          <w:bCs/>
          <w:i/>
          <w:iCs/>
        </w:rPr>
        <w:t>anwendbar ab dem Steuerjahr 2021, das sich auf einen Besteuerungszeitraum bezieht, der frühestens am 1. Januar 2020 beginnt</w:t>
      </w:r>
      <w:r w:rsidR="003366D9" w:rsidRPr="009118AB">
        <w:rPr>
          <w:bCs/>
          <w:i/>
          <w:iCs/>
        </w:rPr>
        <w:t> -;</w:t>
      </w:r>
      <w:r w:rsidR="000F23EB" w:rsidRPr="009118AB">
        <w:rPr>
          <w:i/>
          <w:iCs/>
        </w:rPr>
        <w:t xml:space="preserve"> </w:t>
      </w:r>
      <w:r w:rsidR="00D67EB8" w:rsidRPr="009118AB">
        <w:rPr>
          <w:i/>
          <w:iCs/>
        </w:rPr>
        <w:t>§ </w:t>
      </w:r>
      <w:r w:rsidR="000F23EB" w:rsidRPr="009118AB">
        <w:rPr>
          <w:i/>
          <w:iCs/>
        </w:rPr>
        <w:t xml:space="preserve">3 </w:t>
      </w:r>
      <w:r w:rsidR="00D67EB8" w:rsidRPr="009118AB">
        <w:rPr>
          <w:i/>
          <w:iCs/>
        </w:rPr>
        <w:t>Abs. </w:t>
      </w:r>
      <w:r w:rsidR="000F23EB" w:rsidRPr="009118AB">
        <w:rPr>
          <w:i/>
          <w:iCs/>
        </w:rPr>
        <w:t xml:space="preserve">3 eingefügt durch </w:t>
      </w:r>
      <w:r w:rsidR="00D67EB8" w:rsidRPr="009118AB">
        <w:rPr>
          <w:i/>
          <w:iCs/>
        </w:rPr>
        <w:t>Art. </w:t>
      </w:r>
      <w:r w:rsidR="000F23EB" w:rsidRPr="009118AB">
        <w:rPr>
          <w:i/>
          <w:iCs/>
        </w:rPr>
        <w:t xml:space="preserve">12 </w:t>
      </w:r>
      <w:r w:rsidR="00D67EB8" w:rsidRPr="009118AB">
        <w:rPr>
          <w:i/>
          <w:iCs/>
        </w:rPr>
        <w:t>Nr. </w:t>
      </w:r>
      <w:r w:rsidR="000F23EB" w:rsidRPr="009118AB">
        <w:rPr>
          <w:i/>
          <w:iCs/>
        </w:rPr>
        <w:t>3 des G. vom 25. Dezember 2017 (II) (B.S. vom 29. Dezember 2017)</w:t>
      </w:r>
      <w:r w:rsidR="00D67EB8" w:rsidRPr="009118AB">
        <w:rPr>
          <w:i/>
          <w:iCs/>
        </w:rPr>
        <w:t> - </w:t>
      </w:r>
      <w:r w:rsidR="000F23EB" w:rsidRPr="009118AB">
        <w:rPr>
          <w:i/>
          <w:iCs/>
        </w:rPr>
        <w:t>anwendbar ab dem Steuerjahr 2018</w:t>
      </w:r>
      <w:r w:rsidR="003366D9" w:rsidRPr="009118AB">
        <w:rPr>
          <w:i/>
          <w:iCs/>
        </w:rPr>
        <w:t> -;</w:t>
      </w:r>
      <w:r w:rsidR="006A32B7" w:rsidRPr="009118AB">
        <w:rPr>
          <w:i/>
          <w:iCs/>
        </w:rPr>
        <w:t xml:space="preserve"> </w:t>
      </w:r>
      <w:r w:rsidR="00D67EB8" w:rsidRPr="009118AB">
        <w:rPr>
          <w:i/>
          <w:iCs/>
        </w:rPr>
        <w:t>§ </w:t>
      </w:r>
      <w:r w:rsidR="006A32B7" w:rsidRPr="009118AB">
        <w:rPr>
          <w:i/>
          <w:iCs/>
        </w:rPr>
        <w:t xml:space="preserve">3 </w:t>
      </w:r>
      <w:r w:rsidR="00D67EB8" w:rsidRPr="009118AB">
        <w:rPr>
          <w:i/>
          <w:iCs/>
        </w:rPr>
        <w:t>Abs. </w:t>
      </w:r>
      <w:r w:rsidR="006A32B7" w:rsidRPr="009118AB">
        <w:rPr>
          <w:i/>
          <w:iCs/>
        </w:rPr>
        <w:t xml:space="preserve">4 eingefügt durch </w:t>
      </w:r>
      <w:r w:rsidR="00D67EB8" w:rsidRPr="009118AB">
        <w:rPr>
          <w:i/>
          <w:iCs/>
        </w:rPr>
        <w:t>Art. </w:t>
      </w:r>
      <w:r w:rsidR="006A32B7" w:rsidRPr="009118AB">
        <w:rPr>
          <w:i/>
          <w:iCs/>
        </w:rPr>
        <w:t xml:space="preserve">46 </w:t>
      </w:r>
      <w:r w:rsidR="00D67EB8" w:rsidRPr="009118AB">
        <w:rPr>
          <w:i/>
          <w:iCs/>
        </w:rPr>
        <w:t>Nr. </w:t>
      </w:r>
      <w:r w:rsidR="006A32B7" w:rsidRPr="009118AB">
        <w:rPr>
          <w:i/>
          <w:iCs/>
        </w:rPr>
        <w:t>3 des G. vom 21. Januar 2022 (B.S. vom 28. Januar 2022)</w:t>
      </w:r>
      <w:r w:rsidR="00D67EB8" w:rsidRPr="009118AB">
        <w:rPr>
          <w:i/>
          <w:iCs/>
        </w:rPr>
        <w:t> - </w:t>
      </w:r>
      <w:r w:rsidR="006A32B7" w:rsidRPr="009118AB">
        <w:rPr>
          <w:i/>
          <w:iCs/>
          <w:lang w:eastAsia="fr-BE"/>
        </w:rPr>
        <w:t>anwendbar ab dem Steuerjahr 2021, das sich auf einen Besteuerungszeitraum bezieht, der frühestens am 1. Januar 2020 beginnt</w:t>
      </w:r>
      <w:r w:rsidR="003366D9" w:rsidRPr="009118AB">
        <w:rPr>
          <w:i/>
          <w:iCs/>
          <w:lang w:eastAsia="fr-BE"/>
        </w:rPr>
        <w:t> -;</w:t>
      </w:r>
      <w:r w:rsidR="000F23EB" w:rsidRPr="009118AB">
        <w:rPr>
          <w:i/>
          <w:iCs/>
        </w:rPr>
        <w:t xml:space="preserve"> </w:t>
      </w:r>
      <w:r w:rsidR="00D67EB8" w:rsidRPr="009118AB">
        <w:rPr>
          <w:i/>
          <w:iCs/>
        </w:rPr>
        <w:t>§ </w:t>
      </w:r>
      <w:r w:rsidR="000F23EB" w:rsidRPr="009118AB">
        <w:rPr>
          <w:i/>
          <w:iCs/>
        </w:rPr>
        <w:t xml:space="preserve">4 eingefügt durch </w:t>
      </w:r>
      <w:r w:rsidR="00D67EB8" w:rsidRPr="009118AB">
        <w:rPr>
          <w:i/>
          <w:iCs/>
        </w:rPr>
        <w:t>Art. </w:t>
      </w:r>
      <w:r w:rsidR="000F23EB" w:rsidRPr="009118AB">
        <w:rPr>
          <w:i/>
          <w:iCs/>
        </w:rPr>
        <w:t xml:space="preserve">12 </w:t>
      </w:r>
      <w:r w:rsidR="00D67EB8" w:rsidRPr="009118AB">
        <w:rPr>
          <w:i/>
          <w:iCs/>
        </w:rPr>
        <w:t>Nr. </w:t>
      </w:r>
      <w:r w:rsidR="000F23EB" w:rsidRPr="009118AB">
        <w:rPr>
          <w:i/>
          <w:iCs/>
        </w:rPr>
        <w:t>4 des G. vom 25. Dezember 2017 (II) (B.S. vom 29. Dezember 2017)</w:t>
      </w:r>
      <w:r w:rsidR="00D67EB8" w:rsidRPr="009118AB">
        <w:rPr>
          <w:i/>
          <w:iCs/>
        </w:rPr>
        <w:t> - </w:t>
      </w:r>
      <w:r w:rsidR="000F23EB" w:rsidRPr="009118AB">
        <w:rPr>
          <w:i/>
          <w:iCs/>
        </w:rPr>
        <w:t>anwendbar ab dem Steuerjahr 2018</w:t>
      </w:r>
      <w:r w:rsidR="00FD68E8" w:rsidRPr="009118AB">
        <w:rPr>
          <w:i/>
          <w:iCs/>
        </w:rPr>
        <w:t> -]</w:t>
      </w:r>
    </w:p>
    <w:p w14:paraId="721B91B3" w14:textId="77777777" w:rsidR="00AF0F85" w:rsidRPr="009118AB" w:rsidRDefault="00AF0F85" w:rsidP="00477B8F">
      <w:pPr>
        <w:autoSpaceDE w:val="0"/>
        <w:autoSpaceDN w:val="0"/>
        <w:adjustRightInd w:val="0"/>
        <w:jc w:val="center"/>
      </w:pPr>
    </w:p>
    <w:p w14:paraId="26B17E22" w14:textId="77777777" w:rsidR="00AF0F85" w:rsidRPr="009118AB" w:rsidRDefault="00AF0F85" w:rsidP="00477B8F">
      <w:pPr>
        <w:autoSpaceDE w:val="0"/>
        <w:autoSpaceDN w:val="0"/>
        <w:adjustRightInd w:val="0"/>
        <w:jc w:val="center"/>
      </w:pPr>
    </w:p>
    <w:p w14:paraId="02CD27EF" w14:textId="53C2AC5B" w:rsidR="000E3529" w:rsidRPr="009118AB" w:rsidRDefault="00AF0F85" w:rsidP="000E3529">
      <w:pPr>
        <w:ind w:firstLine="708"/>
        <w:jc w:val="both"/>
      </w:pPr>
      <w:r w:rsidRPr="009118AB">
        <w:tab/>
        <w:t>[</w:t>
      </w:r>
      <w:r w:rsidR="00D67EB8" w:rsidRPr="009118AB">
        <w:rPr>
          <w:b/>
        </w:rPr>
        <w:t>Art. </w:t>
      </w:r>
      <w:r w:rsidRPr="009118AB">
        <w:rPr>
          <w:b/>
        </w:rPr>
        <w:t>219</w:t>
      </w:r>
      <w:r w:rsidRPr="009118AB">
        <w:rPr>
          <w:b/>
          <w:i/>
        </w:rPr>
        <w:t>ter</w:t>
      </w:r>
      <w:r w:rsidR="00D67EB8" w:rsidRPr="009118AB">
        <w:t> - </w:t>
      </w:r>
      <w:r w:rsidR="000E3529" w:rsidRPr="009118AB">
        <w:t>[</w:t>
      </w:r>
      <w:r w:rsidR="00D67EB8" w:rsidRPr="009118AB">
        <w:t>§ </w:t>
      </w:r>
      <w:r w:rsidR="000E3529" w:rsidRPr="009118AB">
        <w:t>1</w:t>
      </w:r>
      <w:r w:rsidR="00D67EB8" w:rsidRPr="009118AB">
        <w:t> - </w:t>
      </w:r>
      <w:r w:rsidR="000E3529" w:rsidRPr="009118AB">
        <w:t>Für den Besteuerungszeitraum, in dem der in Artikel 194</w:t>
      </w:r>
      <w:r w:rsidR="000E3529" w:rsidRPr="009118AB">
        <w:rPr>
          <w:i/>
          <w:iCs/>
        </w:rPr>
        <w:t>septies</w:t>
      </w:r>
      <w:r w:rsidR="000E3529" w:rsidRPr="009118AB">
        <w:t xml:space="preserve">/1 </w:t>
      </w:r>
      <w:r w:rsidR="00D67EB8" w:rsidRPr="009118AB">
        <w:t>§ </w:t>
      </w:r>
      <w:r w:rsidR="000E3529" w:rsidRPr="009118AB">
        <w:t xml:space="preserve">1 erwähnte steuerfreie Betrag gemäß </w:t>
      </w:r>
      <w:r w:rsidR="00D67EB8" w:rsidRPr="009118AB">
        <w:t>§ </w:t>
      </w:r>
      <w:r w:rsidR="000E3529" w:rsidRPr="009118AB">
        <w:t xml:space="preserve">4 desselben Artikels steuerpflichtig wird, wird eine getrennte Steuer festgelegt, deren Grundlage gemäß </w:t>
      </w:r>
      <w:r w:rsidR="00D67EB8" w:rsidRPr="009118AB">
        <w:t>§ </w:t>
      </w:r>
      <w:r w:rsidR="000E3529" w:rsidRPr="009118AB">
        <w:t xml:space="preserve">2 und deren Satz gemäß </w:t>
      </w:r>
      <w:r w:rsidR="00D67EB8" w:rsidRPr="009118AB">
        <w:t>§ </w:t>
      </w:r>
      <w:r w:rsidR="000E3529" w:rsidRPr="009118AB">
        <w:t>3 festgelegt werden.</w:t>
      </w:r>
    </w:p>
    <w:p w14:paraId="13819F91" w14:textId="77777777" w:rsidR="000E3529" w:rsidRPr="009118AB" w:rsidRDefault="000E3529" w:rsidP="000E3529">
      <w:pPr>
        <w:jc w:val="both"/>
      </w:pPr>
    </w:p>
    <w:p w14:paraId="6ED349CE" w14:textId="31BDF03B" w:rsidR="000E3529" w:rsidRPr="009118AB" w:rsidRDefault="00D67EB8" w:rsidP="000E3529">
      <w:pPr>
        <w:ind w:firstLine="708"/>
        <w:jc w:val="both"/>
      </w:pPr>
      <w:r w:rsidRPr="009118AB">
        <w:lastRenderedPageBreak/>
        <w:t>§ </w:t>
      </w:r>
      <w:r w:rsidR="000E3529" w:rsidRPr="009118AB">
        <w:t>2</w:t>
      </w:r>
      <w:r w:rsidRPr="009118AB">
        <w:t> - </w:t>
      </w:r>
      <w:r w:rsidR="000E3529" w:rsidRPr="009118AB">
        <w:t>Die Grundlage für die getrennte Steuer bildet der in Artikel 215 Absatz 1 erwähnte Gesellschaftssteuersatz, multipliziert mit dem in Absatz 2 beschriebenen Betrag des Gewinns, der um 10 Prozent des Verlusts verringert wird, der ohne Wiederaufnahme der in Artikel 194</w:t>
      </w:r>
      <w:r w:rsidR="000E3529" w:rsidRPr="009118AB">
        <w:rPr>
          <w:i/>
          <w:iCs/>
        </w:rPr>
        <w:t>septies</w:t>
      </w:r>
      <w:r w:rsidR="000E3529" w:rsidRPr="009118AB">
        <w:t xml:space="preserve">/1 </w:t>
      </w:r>
      <w:r w:rsidRPr="009118AB">
        <w:t>§ </w:t>
      </w:r>
      <w:r w:rsidR="000E3529" w:rsidRPr="009118AB">
        <w:t>1 erwähnten Rücklage erlitten worden wäre und dessen Betrag dem in Artikel 194</w:t>
      </w:r>
      <w:r w:rsidR="000E3529" w:rsidRPr="009118AB">
        <w:rPr>
          <w:i/>
          <w:iCs/>
        </w:rPr>
        <w:t>septies</w:t>
      </w:r>
      <w:r w:rsidR="000E3529" w:rsidRPr="009118AB">
        <w:t xml:space="preserve">/1 </w:t>
      </w:r>
      <w:r w:rsidRPr="009118AB">
        <w:t>§ </w:t>
      </w:r>
      <w:r w:rsidR="000E3529" w:rsidRPr="009118AB">
        <w:t>1 erwähnten steuerfreien Betrag entspricht, der gemäß Artikel 194</w:t>
      </w:r>
      <w:r w:rsidR="000E3529" w:rsidRPr="009118AB">
        <w:rPr>
          <w:i/>
          <w:iCs/>
        </w:rPr>
        <w:t>septies</w:t>
      </w:r>
      <w:r w:rsidR="000E3529" w:rsidRPr="009118AB">
        <w:t xml:space="preserve">/1 </w:t>
      </w:r>
      <w:r w:rsidRPr="009118AB">
        <w:t>§ </w:t>
      </w:r>
      <w:r w:rsidR="000E3529" w:rsidRPr="009118AB">
        <w:t xml:space="preserve">4 steuerpflichtig wird, erhöht um den in Artikel 185 </w:t>
      </w:r>
      <w:r w:rsidRPr="009118AB">
        <w:t>§ </w:t>
      </w:r>
      <w:r w:rsidR="000E3529" w:rsidRPr="009118AB">
        <w:t>5 erwähnten Betrag und verringert um den in Absatz 2 beschriebenen Betrag des Gewinns.</w:t>
      </w:r>
    </w:p>
    <w:p w14:paraId="3AC3434C" w14:textId="77777777" w:rsidR="000E3529" w:rsidRPr="009118AB" w:rsidRDefault="000E3529" w:rsidP="000E3529">
      <w:pPr>
        <w:jc w:val="both"/>
      </w:pPr>
    </w:p>
    <w:p w14:paraId="6FF97DF8" w14:textId="48ACB593" w:rsidR="000E3529" w:rsidRPr="009118AB" w:rsidRDefault="000E3529" w:rsidP="000E3529">
      <w:pPr>
        <w:ind w:firstLine="708"/>
        <w:jc w:val="both"/>
      </w:pPr>
      <w:r w:rsidRPr="009118AB">
        <w:t>Der in vorliegendem Paragraphen erwähnte Betrag des Gewinns setzt sich zusammen aus dem positiven Ergebnis des Besteuerungszeitraums, in dem der in Artikel 194</w:t>
      </w:r>
      <w:r w:rsidRPr="009118AB">
        <w:rPr>
          <w:i/>
          <w:iCs/>
        </w:rPr>
        <w:t>septies</w:t>
      </w:r>
      <w:r w:rsidRPr="009118AB">
        <w:t xml:space="preserve">/1 </w:t>
      </w:r>
      <w:r w:rsidR="00D67EB8" w:rsidRPr="009118AB">
        <w:t>§ </w:t>
      </w:r>
      <w:r w:rsidRPr="009118AB">
        <w:t>1 erwähnte steuerfreie Betrag in Anwendung von Artikel 194</w:t>
      </w:r>
      <w:r w:rsidRPr="009118AB">
        <w:rPr>
          <w:i/>
          <w:iCs/>
        </w:rPr>
        <w:t>septies</w:t>
      </w:r>
      <w:r w:rsidRPr="009118AB">
        <w:t xml:space="preserve">/1 </w:t>
      </w:r>
      <w:r w:rsidR="00D67EB8" w:rsidRPr="009118AB">
        <w:t>§ </w:t>
      </w:r>
      <w:r w:rsidRPr="009118AB">
        <w:t>4 steuerpflichtig wird, verringert um die in den Artikeln 202 bis 205/1 und 543 erwähnten abzugsfähigen Einkünfte, die im Laufe des Besteuerungszeitraums bezogen wurden.</w:t>
      </w:r>
    </w:p>
    <w:p w14:paraId="5162783F" w14:textId="77777777" w:rsidR="000E3529" w:rsidRPr="009118AB" w:rsidRDefault="000E3529" w:rsidP="000E3529">
      <w:pPr>
        <w:jc w:val="both"/>
      </w:pPr>
    </w:p>
    <w:p w14:paraId="49ABEB1E" w14:textId="2A7D1861" w:rsidR="000E3529" w:rsidRPr="009118AB" w:rsidRDefault="000E3529" w:rsidP="000E3529">
      <w:pPr>
        <w:ind w:firstLine="708"/>
        <w:jc w:val="both"/>
      </w:pPr>
      <w:r w:rsidRPr="009118AB">
        <w:t>Der in Absatz 2 erwähnte Betrag kann nicht höher sein als der in Artikel 194</w:t>
      </w:r>
      <w:r w:rsidRPr="009118AB">
        <w:rPr>
          <w:i/>
          <w:iCs/>
        </w:rPr>
        <w:t>septies</w:t>
      </w:r>
      <w:r w:rsidRPr="009118AB">
        <w:t xml:space="preserve">/1 </w:t>
      </w:r>
      <w:r w:rsidR="00D67EB8" w:rsidRPr="009118AB">
        <w:t>§ </w:t>
      </w:r>
      <w:r w:rsidRPr="009118AB">
        <w:t>1 erwähnte steuerfreie Betrag, der gemäß Artikel 194</w:t>
      </w:r>
      <w:r w:rsidRPr="009118AB">
        <w:rPr>
          <w:i/>
          <w:iCs/>
        </w:rPr>
        <w:t>septies</w:t>
      </w:r>
      <w:r w:rsidRPr="009118AB">
        <w:t xml:space="preserve">/1 </w:t>
      </w:r>
      <w:r w:rsidR="00D67EB8" w:rsidRPr="009118AB">
        <w:t>§ </w:t>
      </w:r>
      <w:r w:rsidRPr="009118AB">
        <w:t>4 steuerpflichtig wird.</w:t>
      </w:r>
    </w:p>
    <w:p w14:paraId="6367BCC1" w14:textId="77777777" w:rsidR="000E3529" w:rsidRPr="009118AB" w:rsidRDefault="000E3529" w:rsidP="000E3529">
      <w:pPr>
        <w:jc w:val="both"/>
      </w:pPr>
    </w:p>
    <w:p w14:paraId="1DC136AB" w14:textId="77777777" w:rsidR="000E3529" w:rsidRPr="009118AB" w:rsidRDefault="000E3529" w:rsidP="000E3529">
      <w:pPr>
        <w:ind w:firstLine="708"/>
        <w:jc w:val="both"/>
      </w:pPr>
      <w:r w:rsidRPr="009118AB">
        <w:t>Für die Festlegung der in vorliegendem Paragraphen erwähnten Grundlage kann der Betrag des Verlustes nicht unter null liegen.</w:t>
      </w:r>
    </w:p>
    <w:p w14:paraId="185B0FF2" w14:textId="77777777" w:rsidR="000E3529" w:rsidRPr="009118AB" w:rsidRDefault="000E3529" w:rsidP="000E3529">
      <w:pPr>
        <w:jc w:val="both"/>
      </w:pPr>
    </w:p>
    <w:p w14:paraId="787F77E0" w14:textId="7F6B304F" w:rsidR="000E3529" w:rsidRPr="009118AB" w:rsidRDefault="00D67EB8" w:rsidP="000E3529">
      <w:pPr>
        <w:ind w:firstLine="708"/>
        <w:jc w:val="both"/>
      </w:pPr>
      <w:r w:rsidRPr="009118AB">
        <w:t>§ </w:t>
      </w:r>
      <w:r w:rsidR="000E3529" w:rsidRPr="009118AB">
        <w:t>3</w:t>
      </w:r>
      <w:r w:rsidRPr="009118AB">
        <w:t> - </w:t>
      </w:r>
      <w:r w:rsidR="000E3529" w:rsidRPr="009118AB">
        <w:t>Der Satz dieser getrennten Steuer beträgt mindestens 2 Prozent und höchstens 40 Prozent und wird bestimmt, indem 20 Prozent mit dem gemäß Absatz 2 festgelegten Faktor multipliziert werden.</w:t>
      </w:r>
    </w:p>
    <w:p w14:paraId="4D26B8B9" w14:textId="77777777" w:rsidR="000E3529" w:rsidRPr="009118AB" w:rsidRDefault="000E3529" w:rsidP="000E3529">
      <w:pPr>
        <w:jc w:val="both"/>
      </w:pPr>
    </w:p>
    <w:p w14:paraId="6DE293CA" w14:textId="199EEF1B" w:rsidR="000E3529" w:rsidRPr="009118AB" w:rsidRDefault="000E3529" w:rsidP="000E3529">
      <w:pPr>
        <w:ind w:firstLine="708"/>
        <w:jc w:val="both"/>
      </w:pPr>
      <w:r w:rsidRPr="009118AB">
        <w:t xml:space="preserve">Der in vorliegendem Paragraphen erwähnte Faktor wird durch das Verhältnis festgelegt, bei dem im Zähler der in </w:t>
      </w:r>
      <w:r w:rsidR="00D67EB8" w:rsidRPr="009118AB">
        <w:t>§ </w:t>
      </w:r>
      <w:r w:rsidRPr="009118AB">
        <w:t>2 Absatz 2 erwähnte Betrag des Gewinns steht und im Nenner der Betrag, der gebildet wird, indem der Betrag A erst um den Betrag B erhöht und dann um den Betrag C verringert wird:</w:t>
      </w:r>
    </w:p>
    <w:p w14:paraId="284CA88A" w14:textId="77777777" w:rsidR="000E3529" w:rsidRPr="009118AB" w:rsidRDefault="000E3529" w:rsidP="000E3529">
      <w:pPr>
        <w:jc w:val="both"/>
      </w:pPr>
    </w:p>
    <w:p w14:paraId="1FEA8F3A" w14:textId="7BD80E28" w:rsidR="000E3529" w:rsidRPr="009118AB" w:rsidRDefault="000E3529" w:rsidP="000E3529">
      <w:pPr>
        <w:ind w:firstLine="708"/>
        <w:jc w:val="both"/>
      </w:pPr>
      <w:r w:rsidRPr="009118AB">
        <w:t>- wobei der Betrag A dem in Artikel 194</w:t>
      </w:r>
      <w:r w:rsidRPr="009118AB">
        <w:rPr>
          <w:i/>
          <w:iCs/>
        </w:rPr>
        <w:t>septies</w:t>
      </w:r>
      <w:r w:rsidRPr="009118AB">
        <w:t xml:space="preserve">/1 </w:t>
      </w:r>
      <w:r w:rsidR="00D67EB8" w:rsidRPr="009118AB">
        <w:t>§ </w:t>
      </w:r>
      <w:r w:rsidRPr="009118AB">
        <w:t>1 erwähnten steuerfreien Betrag entspricht, der gemäß Artikel 194</w:t>
      </w:r>
      <w:r w:rsidRPr="009118AB">
        <w:rPr>
          <w:i/>
          <w:iCs/>
        </w:rPr>
        <w:t>septies</w:t>
      </w:r>
      <w:r w:rsidRPr="009118AB">
        <w:t xml:space="preserve">/1 </w:t>
      </w:r>
      <w:r w:rsidR="00D67EB8" w:rsidRPr="009118AB">
        <w:t>§ </w:t>
      </w:r>
      <w:r w:rsidRPr="009118AB">
        <w:t>4 steuerpflichtig wird,</w:t>
      </w:r>
    </w:p>
    <w:p w14:paraId="0485566D" w14:textId="77777777" w:rsidR="000E3529" w:rsidRPr="009118AB" w:rsidRDefault="000E3529" w:rsidP="000E3529">
      <w:pPr>
        <w:jc w:val="both"/>
      </w:pPr>
    </w:p>
    <w:p w14:paraId="0A51497A" w14:textId="7188DB64" w:rsidR="000E3529" w:rsidRPr="009118AB" w:rsidRDefault="000E3529" w:rsidP="000E3529">
      <w:pPr>
        <w:ind w:firstLine="708"/>
        <w:jc w:val="both"/>
      </w:pPr>
      <w:r w:rsidRPr="009118AB">
        <w:t xml:space="preserve">- wobei der Betrag B dem in Artikel 185 </w:t>
      </w:r>
      <w:r w:rsidR="00D67EB8" w:rsidRPr="009118AB">
        <w:t>§ </w:t>
      </w:r>
      <w:r w:rsidRPr="009118AB">
        <w:t>5 erwähnten Betrag entspricht,</w:t>
      </w:r>
    </w:p>
    <w:p w14:paraId="6B7C716F" w14:textId="77777777" w:rsidR="000E3529" w:rsidRPr="009118AB" w:rsidRDefault="000E3529" w:rsidP="000E3529">
      <w:pPr>
        <w:jc w:val="both"/>
      </w:pPr>
    </w:p>
    <w:p w14:paraId="20189E4C" w14:textId="2A618592" w:rsidR="000E3529" w:rsidRPr="009118AB" w:rsidRDefault="000E3529" w:rsidP="000E3529">
      <w:pPr>
        <w:ind w:firstLine="708"/>
        <w:jc w:val="both"/>
      </w:pPr>
      <w:r w:rsidRPr="009118AB">
        <w:t xml:space="preserve">- wobei der Betrag C dem in </w:t>
      </w:r>
      <w:r w:rsidR="00D67EB8" w:rsidRPr="009118AB">
        <w:t>§ </w:t>
      </w:r>
      <w:r w:rsidRPr="009118AB">
        <w:t>2 Absatz 2 erwähnten Betrag des Gewinns entspricht.</w:t>
      </w:r>
    </w:p>
    <w:p w14:paraId="6B7D7D88" w14:textId="77777777" w:rsidR="000E3529" w:rsidRPr="009118AB" w:rsidRDefault="000E3529" w:rsidP="000E3529">
      <w:pPr>
        <w:jc w:val="both"/>
      </w:pPr>
    </w:p>
    <w:p w14:paraId="4845C5E3" w14:textId="77777777" w:rsidR="000E3529" w:rsidRPr="009118AB" w:rsidRDefault="000E3529" w:rsidP="000E3529">
      <w:pPr>
        <w:ind w:firstLine="708"/>
        <w:jc w:val="both"/>
      </w:pPr>
      <w:r w:rsidRPr="009118AB">
        <w:t>Der gemäß vorliegendem Paragraphen bestimmte Satz wird auf die höhere oder niedrigere zweite Dezimalstelle abgerundet, je nachdem ob die Ziffer der dritten Dezimalstelle 5 erreicht oder nicht.</w:t>
      </w:r>
    </w:p>
    <w:p w14:paraId="37C57C7E" w14:textId="77777777" w:rsidR="000E3529" w:rsidRPr="009118AB" w:rsidRDefault="000E3529" w:rsidP="000E3529">
      <w:pPr>
        <w:jc w:val="both"/>
      </w:pPr>
    </w:p>
    <w:p w14:paraId="61922A60" w14:textId="6ED82BD8" w:rsidR="00AF0F85" w:rsidRPr="009118AB" w:rsidRDefault="000E3529" w:rsidP="000E3529">
      <w:pPr>
        <w:ind w:firstLine="708"/>
        <w:jc w:val="both"/>
      </w:pPr>
      <w:r w:rsidRPr="009118AB">
        <w:t xml:space="preserve">Entspricht der in </w:t>
      </w:r>
      <w:r w:rsidR="00D67EB8" w:rsidRPr="009118AB">
        <w:t>§ </w:t>
      </w:r>
      <w:r w:rsidRPr="009118AB">
        <w:t>2 Absatz 2 erwähnte Betrag des Gewinns dem in Artikel 194</w:t>
      </w:r>
      <w:r w:rsidRPr="009118AB">
        <w:rPr>
          <w:i/>
          <w:iCs/>
        </w:rPr>
        <w:t>septies</w:t>
      </w:r>
      <w:r w:rsidRPr="009118AB">
        <w:t xml:space="preserve">/1 </w:t>
      </w:r>
      <w:r w:rsidR="00D67EB8" w:rsidRPr="009118AB">
        <w:t>§ </w:t>
      </w:r>
      <w:r w:rsidRPr="009118AB">
        <w:t>1 erwähnten steuerfreien Betrag, der gemäß Artikel 194</w:t>
      </w:r>
      <w:r w:rsidRPr="009118AB">
        <w:rPr>
          <w:i/>
          <w:iCs/>
        </w:rPr>
        <w:t>septies</w:t>
      </w:r>
      <w:r w:rsidRPr="009118AB">
        <w:t xml:space="preserve">/1 </w:t>
      </w:r>
      <w:r w:rsidR="00D67EB8" w:rsidRPr="009118AB">
        <w:t>§ </w:t>
      </w:r>
      <w:r w:rsidRPr="009118AB">
        <w:t xml:space="preserve">4 steuerpflichtig wird, erhöht um den in Artikel 185 </w:t>
      </w:r>
      <w:r w:rsidR="00D67EB8" w:rsidRPr="009118AB">
        <w:t>§ </w:t>
      </w:r>
      <w:r w:rsidRPr="009118AB">
        <w:t>5 erwähnten Betrag, oder liegt er darüber, beträgt der Satz dieser getrennten Steuer 40 Prozent.]</w:t>
      </w:r>
      <w:r w:rsidR="00AF0F85" w:rsidRPr="009118AB">
        <w:t>]</w:t>
      </w:r>
    </w:p>
    <w:p w14:paraId="3F709019" w14:textId="77777777" w:rsidR="00AF0F85" w:rsidRPr="009118AB" w:rsidRDefault="00AF0F85" w:rsidP="00AF0F85">
      <w:pPr>
        <w:autoSpaceDE w:val="0"/>
        <w:autoSpaceDN w:val="0"/>
        <w:adjustRightInd w:val="0"/>
        <w:jc w:val="both"/>
      </w:pPr>
    </w:p>
    <w:p w14:paraId="5C54E626" w14:textId="09A0773D" w:rsidR="00AF0F85" w:rsidRPr="009118AB" w:rsidRDefault="00AF0F85" w:rsidP="00AF0F85">
      <w:pPr>
        <w:autoSpaceDE w:val="0"/>
        <w:autoSpaceDN w:val="0"/>
        <w:adjustRightInd w:val="0"/>
        <w:jc w:val="both"/>
        <w:rPr>
          <w:i/>
        </w:rPr>
      </w:pPr>
      <w:r w:rsidRPr="009118AB">
        <w:rPr>
          <w:i/>
        </w:rPr>
        <w:t>[</w:t>
      </w:r>
      <w:r w:rsidR="00D67EB8" w:rsidRPr="009118AB">
        <w:rPr>
          <w:i/>
        </w:rPr>
        <w:t>Art. </w:t>
      </w:r>
      <w:r w:rsidRPr="009118AB">
        <w:rPr>
          <w:i/>
        </w:rPr>
        <w:t xml:space="preserve">219ter eingefügt durch </w:t>
      </w:r>
      <w:r w:rsidR="00D67EB8" w:rsidRPr="009118AB">
        <w:rPr>
          <w:i/>
        </w:rPr>
        <w:t>Art. </w:t>
      </w:r>
      <w:r w:rsidRPr="009118AB">
        <w:rPr>
          <w:i/>
        </w:rPr>
        <w:t>46 des G. vom 30. Juli 2013 (B.S. vom 1. August 2013)</w:t>
      </w:r>
      <w:r w:rsidR="00D67EB8" w:rsidRPr="009118AB">
        <w:rPr>
          <w:i/>
        </w:rPr>
        <w:t> - </w:t>
      </w:r>
      <w:r w:rsidRPr="009118AB">
        <w:rPr>
          <w:i/>
        </w:rPr>
        <w:t>in Kraft ab dem Steuerjahr 2014</w:t>
      </w:r>
      <w:r w:rsidR="00FD68E8" w:rsidRPr="009118AB">
        <w:rPr>
          <w:i/>
        </w:rPr>
        <w:t> -,</w:t>
      </w:r>
      <w:r w:rsidR="000E3529" w:rsidRPr="009118AB">
        <w:rPr>
          <w:i/>
        </w:rPr>
        <w:t xml:space="preserve"> </w:t>
      </w:r>
      <w:r w:rsidR="00FF6761" w:rsidRPr="009118AB">
        <w:rPr>
          <w:i/>
        </w:rPr>
        <w:t xml:space="preserve">selbst </w:t>
      </w:r>
      <w:r w:rsidR="000E3529" w:rsidRPr="009118AB">
        <w:rPr>
          <w:i/>
        </w:rPr>
        <w:t xml:space="preserve">für nichtig erklärt durch </w:t>
      </w:r>
      <w:r w:rsidR="00DC0F1B" w:rsidRPr="009118AB">
        <w:rPr>
          <w:i/>
        </w:rPr>
        <w:t xml:space="preserve">Entscheid </w:t>
      </w:r>
      <w:r w:rsidR="00D67EB8" w:rsidRPr="009118AB">
        <w:rPr>
          <w:i/>
        </w:rPr>
        <w:t>Nr. </w:t>
      </w:r>
      <w:r w:rsidR="00DC0F1B" w:rsidRPr="009118AB">
        <w:rPr>
          <w:i/>
        </w:rPr>
        <w:t>24/2018 des Verfassungsgerichtshofes vom 1. März 2018 (B.S. vom 28. Mai 2018)</w:t>
      </w:r>
      <w:r w:rsidR="00FF6761" w:rsidRPr="009118AB">
        <w:rPr>
          <w:i/>
        </w:rPr>
        <w:t>,</w:t>
      </w:r>
      <w:r w:rsidR="000E3529" w:rsidRPr="009118AB">
        <w:rPr>
          <w:i/>
        </w:rPr>
        <w:t xml:space="preserve"> und </w:t>
      </w:r>
      <w:r w:rsidR="00FF6761" w:rsidRPr="009118AB">
        <w:rPr>
          <w:i/>
        </w:rPr>
        <w:t xml:space="preserve">erneut eingefügt </w:t>
      </w:r>
      <w:r w:rsidR="000E3529" w:rsidRPr="009118AB">
        <w:rPr>
          <w:i/>
        </w:rPr>
        <w:t xml:space="preserve">durch </w:t>
      </w:r>
      <w:r w:rsidR="00D67EB8" w:rsidRPr="009118AB">
        <w:rPr>
          <w:i/>
        </w:rPr>
        <w:t>Art. </w:t>
      </w:r>
      <w:r w:rsidR="000E3529" w:rsidRPr="009118AB">
        <w:rPr>
          <w:i/>
        </w:rPr>
        <w:t>22</w:t>
      </w:r>
      <w:r w:rsidR="000E3529" w:rsidRPr="009118AB">
        <w:rPr>
          <w:i/>
          <w:iCs/>
        </w:rPr>
        <w:t xml:space="preserve"> des G. vom 23. Juni 2020 (B.S. vom 1. Juli 2020)</w:t>
      </w:r>
      <w:r w:rsidRPr="009118AB">
        <w:rPr>
          <w:i/>
        </w:rPr>
        <w:t>]</w:t>
      </w:r>
    </w:p>
    <w:p w14:paraId="400E1C31" w14:textId="77777777" w:rsidR="00AF0F85" w:rsidRPr="009118AB" w:rsidRDefault="00AF0F85" w:rsidP="00AF0F85">
      <w:pPr>
        <w:autoSpaceDE w:val="0"/>
        <w:autoSpaceDN w:val="0"/>
        <w:adjustRightInd w:val="0"/>
        <w:jc w:val="both"/>
        <w:rPr>
          <w:i/>
        </w:rPr>
      </w:pPr>
    </w:p>
    <w:p w14:paraId="785C5C37" w14:textId="77777777" w:rsidR="001D34FD" w:rsidRPr="009118AB" w:rsidRDefault="001D34FD" w:rsidP="00AF0F85">
      <w:pPr>
        <w:autoSpaceDE w:val="0"/>
        <w:autoSpaceDN w:val="0"/>
        <w:adjustRightInd w:val="0"/>
        <w:jc w:val="center"/>
      </w:pPr>
    </w:p>
    <w:p w14:paraId="0A4A90B6" w14:textId="3F2E26E6" w:rsidR="001D34FD" w:rsidRPr="009118AB" w:rsidRDefault="001D34FD" w:rsidP="001D34FD">
      <w:pPr>
        <w:ind w:firstLine="708"/>
        <w:jc w:val="both"/>
      </w:pPr>
      <w:r w:rsidRPr="009118AB">
        <w:tab/>
        <w:t>[</w:t>
      </w:r>
      <w:r w:rsidR="00D67EB8" w:rsidRPr="009118AB">
        <w:rPr>
          <w:b/>
        </w:rPr>
        <w:t>Art. </w:t>
      </w:r>
      <w:r w:rsidRPr="009118AB">
        <w:rPr>
          <w:b/>
        </w:rPr>
        <w:t>219</w:t>
      </w:r>
      <w:r w:rsidRPr="009118AB">
        <w:rPr>
          <w:b/>
          <w:i/>
        </w:rPr>
        <w:t>quater</w:t>
      </w:r>
      <w:r w:rsidR="00D67EB8" w:rsidRPr="009118AB">
        <w:t> - </w:t>
      </w:r>
      <w:r w:rsidRPr="009118AB">
        <w:t>Für den Besteuerungszeitraum, in dem im Sinne von Artikel 184</w:t>
      </w:r>
      <w:r w:rsidRPr="009118AB">
        <w:rPr>
          <w:i/>
        </w:rPr>
        <w:t>quater</w:t>
      </w:r>
      <w:r w:rsidRPr="009118AB">
        <w:t xml:space="preserve"> eine Liquidationsrücklage gebildet wird, wird eine getrennte Steuer festgelegt.</w:t>
      </w:r>
    </w:p>
    <w:p w14:paraId="699E4ACA" w14:textId="77777777" w:rsidR="001D34FD" w:rsidRPr="009118AB" w:rsidRDefault="001D34FD" w:rsidP="001D34FD">
      <w:pPr>
        <w:jc w:val="both"/>
      </w:pPr>
    </w:p>
    <w:p w14:paraId="78A81BD1" w14:textId="77777777" w:rsidR="001D34FD" w:rsidRPr="009118AB" w:rsidRDefault="001D34FD" w:rsidP="001D34FD">
      <w:pPr>
        <w:ind w:firstLine="708"/>
        <w:jc w:val="both"/>
      </w:pPr>
      <w:r w:rsidRPr="009118AB">
        <w:t>Die Grundlage für diese Steuer bilden die in Artikel 184</w:t>
      </w:r>
      <w:r w:rsidRPr="009118AB">
        <w:rPr>
          <w:i/>
        </w:rPr>
        <w:t>quater</w:t>
      </w:r>
      <w:r w:rsidRPr="009118AB">
        <w:t xml:space="preserve"> Absatz 2 erwähnten Gewinne.</w:t>
      </w:r>
    </w:p>
    <w:p w14:paraId="64402B77" w14:textId="77777777" w:rsidR="001D34FD" w:rsidRPr="009118AB" w:rsidRDefault="001D34FD" w:rsidP="001D34FD">
      <w:pPr>
        <w:jc w:val="both"/>
      </w:pPr>
    </w:p>
    <w:p w14:paraId="0CD06EE4" w14:textId="77777777" w:rsidR="001D34FD" w:rsidRPr="009118AB" w:rsidRDefault="001D34FD" w:rsidP="001D34FD">
      <w:pPr>
        <w:ind w:firstLine="708"/>
        <w:jc w:val="both"/>
      </w:pPr>
      <w:r w:rsidRPr="009118AB">
        <w:t>Die getrennte Steuer entspricht 10 Prozent der in vorhergehendem Absatz erwähnten Grundlage.</w:t>
      </w:r>
    </w:p>
    <w:p w14:paraId="333AE191" w14:textId="77777777" w:rsidR="001D34FD" w:rsidRPr="009118AB" w:rsidRDefault="001D34FD" w:rsidP="001D34FD">
      <w:pPr>
        <w:jc w:val="both"/>
      </w:pPr>
    </w:p>
    <w:p w14:paraId="74EC4F1D" w14:textId="77777777" w:rsidR="001D34FD" w:rsidRPr="009118AB" w:rsidRDefault="001D34FD" w:rsidP="001D34FD">
      <w:pPr>
        <w:autoSpaceDE w:val="0"/>
        <w:autoSpaceDN w:val="0"/>
        <w:adjustRightInd w:val="0"/>
        <w:jc w:val="both"/>
      </w:pPr>
      <w:r w:rsidRPr="009118AB">
        <w:tab/>
        <w:t>Diese getrennte Steuer ist unabhängig von und gegebenenfalls ergänzend zu anderen Steuern, die aufgrund anderer Bestimmungen des vorliegenden Gesetzbuches oder gegebenenfalls in Anwendung besonderer Gesetzesbestimmungen geschuldet werden.]</w:t>
      </w:r>
    </w:p>
    <w:p w14:paraId="28A40AC4" w14:textId="77777777" w:rsidR="001D34FD" w:rsidRPr="009118AB" w:rsidRDefault="001D34FD" w:rsidP="001D34FD">
      <w:pPr>
        <w:autoSpaceDE w:val="0"/>
        <w:autoSpaceDN w:val="0"/>
        <w:adjustRightInd w:val="0"/>
        <w:jc w:val="both"/>
      </w:pPr>
    </w:p>
    <w:p w14:paraId="383DC52A" w14:textId="2E4B7220" w:rsidR="001D34FD" w:rsidRPr="009118AB" w:rsidRDefault="001D34FD" w:rsidP="001D34FD">
      <w:pPr>
        <w:autoSpaceDE w:val="0"/>
        <w:autoSpaceDN w:val="0"/>
        <w:adjustRightInd w:val="0"/>
        <w:jc w:val="both"/>
        <w:rPr>
          <w:i/>
          <w:iCs/>
          <w:spacing w:val="-1"/>
        </w:rPr>
      </w:pPr>
      <w:r w:rsidRPr="009118AB">
        <w:rPr>
          <w:i/>
        </w:rPr>
        <w:t>[</w:t>
      </w:r>
      <w:r w:rsidR="00D67EB8" w:rsidRPr="009118AB">
        <w:rPr>
          <w:i/>
        </w:rPr>
        <w:t>Art. </w:t>
      </w:r>
      <w:r w:rsidRPr="009118AB">
        <w:rPr>
          <w:i/>
        </w:rPr>
        <w:t xml:space="preserve">219quater eingefügt durch </w:t>
      </w:r>
      <w:r w:rsidR="00D67EB8" w:rsidRPr="009118AB">
        <w:rPr>
          <w:i/>
        </w:rPr>
        <w:t>Art. </w:t>
      </w:r>
      <w:r w:rsidRPr="009118AB">
        <w:rPr>
          <w:i/>
        </w:rPr>
        <w:t>48</w:t>
      </w:r>
      <w:r w:rsidRPr="009118AB">
        <w:rPr>
          <w:i/>
          <w:iCs/>
        </w:rPr>
        <w:t xml:space="preserve"> </w:t>
      </w:r>
      <w:r w:rsidRPr="009118AB">
        <w:rPr>
          <w:i/>
          <w:iCs/>
          <w:spacing w:val="-1"/>
        </w:rPr>
        <w:t>des G. vom 19. Dezember 2014 (B.S. vom 29. Dezember 2014)</w:t>
      </w:r>
      <w:r w:rsidR="00D67EB8" w:rsidRPr="009118AB">
        <w:rPr>
          <w:i/>
          <w:iCs/>
          <w:spacing w:val="-1"/>
        </w:rPr>
        <w:t> - </w:t>
      </w:r>
      <w:r w:rsidRPr="009118AB">
        <w:rPr>
          <w:i/>
          <w:iCs/>
          <w:spacing w:val="-1"/>
        </w:rPr>
        <w:t>anwendbar ab dem Steuerjahr 2015</w:t>
      </w:r>
      <w:r w:rsidR="00FD68E8" w:rsidRPr="009118AB">
        <w:rPr>
          <w:i/>
          <w:iCs/>
          <w:spacing w:val="-1"/>
        </w:rPr>
        <w:t> -]</w:t>
      </w:r>
    </w:p>
    <w:p w14:paraId="34C1AC6F" w14:textId="77777777" w:rsidR="001D34FD" w:rsidRPr="009118AB" w:rsidRDefault="001D34FD" w:rsidP="001D34FD">
      <w:pPr>
        <w:autoSpaceDE w:val="0"/>
        <w:autoSpaceDN w:val="0"/>
        <w:adjustRightInd w:val="0"/>
        <w:jc w:val="both"/>
        <w:rPr>
          <w:i/>
          <w:iCs/>
          <w:spacing w:val="-1"/>
        </w:rPr>
      </w:pPr>
    </w:p>
    <w:p w14:paraId="0500DF71" w14:textId="77777777" w:rsidR="0026016D" w:rsidRPr="009118AB" w:rsidRDefault="0026016D" w:rsidP="0026016D">
      <w:pPr>
        <w:autoSpaceDE w:val="0"/>
        <w:autoSpaceDN w:val="0"/>
        <w:adjustRightInd w:val="0"/>
        <w:jc w:val="both"/>
      </w:pPr>
    </w:p>
    <w:p w14:paraId="0A93B2C6" w14:textId="77777777" w:rsidR="0027186E" w:rsidRPr="00FF1F87" w:rsidRDefault="0026016D" w:rsidP="0027186E">
      <w:pPr>
        <w:ind w:firstLine="708"/>
        <w:jc w:val="both"/>
      </w:pPr>
      <w:r w:rsidRPr="009118AB">
        <w:t>[</w:t>
      </w:r>
      <w:r w:rsidR="00D67EB8" w:rsidRPr="009118AB">
        <w:rPr>
          <w:b/>
        </w:rPr>
        <w:t>Art. </w:t>
      </w:r>
      <w:r w:rsidRPr="009118AB">
        <w:rPr>
          <w:b/>
        </w:rPr>
        <w:t>219</w:t>
      </w:r>
      <w:r w:rsidRPr="009118AB">
        <w:rPr>
          <w:b/>
          <w:i/>
        </w:rPr>
        <w:t>quinquies</w:t>
      </w:r>
      <w:r w:rsidR="00D67EB8" w:rsidRPr="009118AB">
        <w:t> - </w:t>
      </w:r>
      <w:r w:rsidR="008C743F" w:rsidRPr="009118AB">
        <w:t>[</w:t>
      </w:r>
      <w:r w:rsidR="0027186E" w:rsidRPr="00FF1F87">
        <w:t>§ 1 ­ Eine getrennte Steuer von 10 Prozent wird festgelegt in Bezug auf:</w:t>
      </w:r>
    </w:p>
    <w:p w14:paraId="5F3DFA6B" w14:textId="77777777" w:rsidR="0027186E" w:rsidRPr="00FF1F87" w:rsidRDefault="0027186E" w:rsidP="0027186E">
      <w:pPr>
        <w:jc w:val="both"/>
      </w:pPr>
    </w:p>
    <w:p w14:paraId="67BCC651" w14:textId="77777777" w:rsidR="0027186E" w:rsidRPr="00FF1F87" w:rsidRDefault="0027186E" w:rsidP="0027186E">
      <w:pPr>
        <w:ind w:firstLine="708"/>
        <w:jc w:val="both"/>
      </w:pPr>
      <w:r w:rsidRPr="00FF1F87">
        <w:t>- Summen, die bei einem in den Artikeln 210 § 1 Nr. 6 und 211 § 1 Absatz 6 erwähnten Vorgang steuerpflichtig sind,</w:t>
      </w:r>
    </w:p>
    <w:p w14:paraId="5010FD66" w14:textId="77777777" w:rsidR="0027186E" w:rsidRPr="00FF1F87" w:rsidRDefault="0027186E" w:rsidP="0027186E">
      <w:pPr>
        <w:jc w:val="both"/>
      </w:pPr>
    </w:p>
    <w:p w14:paraId="36D60214" w14:textId="77777777" w:rsidR="0027186E" w:rsidRPr="00FF1F87" w:rsidRDefault="0027186E" w:rsidP="0027186E">
      <w:pPr>
        <w:ind w:firstLine="708"/>
        <w:jc w:val="both"/>
      </w:pPr>
      <w:r w:rsidRPr="00FF1F87">
        <w:t>- Summen, die bei einem in Artikel 46 § 1 Absatz 2 erwähnten Vorgang steuerpflichtig sind, oder einen Mehrwert, der verwirklicht wird bei einer ausschließlich durch neue Aktien oder Anteile vergüteten Einbringung eines unbeweglichen Gutes in eine beim FÖD Finanzen im Verzeichnis der spezialisierten Immobilieninvestmentfonds eingetragene Gesellschaft.</w:t>
      </w:r>
    </w:p>
    <w:p w14:paraId="4B1A92CE" w14:textId="77777777" w:rsidR="0027186E" w:rsidRPr="00FF1F87" w:rsidRDefault="0027186E" w:rsidP="0027186E">
      <w:pPr>
        <w:jc w:val="both"/>
      </w:pPr>
    </w:p>
    <w:p w14:paraId="557EC4FF" w14:textId="77777777" w:rsidR="0027186E" w:rsidRPr="00FF1F87" w:rsidRDefault="0027186E" w:rsidP="0027186E">
      <w:pPr>
        <w:ind w:firstLine="708"/>
        <w:jc w:val="both"/>
      </w:pPr>
      <w:r w:rsidRPr="00FF1F87">
        <w:t>§ 2 - Die in § 1 erwähnte Steuer wird nur festgelegt, sofern der in Artikel 217 Absatz 1 Nr. 1 erwähnte Satz angewandt wurde und wenn:</w:t>
      </w:r>
    </w:p>
    <w:p w14:paraId="7B585482" w14:textId="77777777" w:rsidR="0027186E" w:rsidRPr="00FF1F87" w:rsidRDefault="0027186E" w:rsidP="0027186E">
      <w:pPr>
        <w:jc w:val="both"/>
      </w:pPr>
    </w:p>
    <w:p w14:paraId="06AEF252" w14:textId="77777777" w:rsidR="0027186E" w:rsidRPr="00FF1F87" w:rsidRDefault="0027186E" w:rsidP="0027186E">
      <w:pPr>
        <w:ind w:firstLine="708"/>
        <w:jc w:val="both"/>
      </w:pPr>
      <w:r w:rsidRPr="00FF1F87">
        <w:t>- in den in § 1 erster Gedankenstrich erwähnten Fällen der spezialisierte Immobilieninvestmentfonds, der an den in dieser Bestimmung erwähnten Vorgängen beteiligt war, ab dem Datum seiner Eintragung beim FÖD Finanzen in das Verzeichnis der spezialisierten Immobilieninvestmentfonds nicht während eines Zeitraums von mindestens fünf Jahren ununterbrochen eingetragen geblieben ist oder</w:t>
      </w:r>
    </w:p>
    <w:p w14:paraId="0092E745" w14:textId="77777777" w:rsidR="0027186E" w:rsidRPr="00FF1F87" w:rsidRDefault="0027186E" w:rsidP="0027186E">
      <w:pPr>
        <w:jc w:val="both"/>
      </w:pPr>
    </w:p>
    <w:p w14:paraId="1EBEED61" w14:textId="77777777" w:rsidR="0027186E" w:rsidRPr="00FF1F87" w:rsidRDefault="0027186E" w:rsidP="0027186E">
      <w:pPr>
        <w:ind w:firstLine="708"/>
        <w:jc w:val="both"/>
      </w:pPr>
      <w:r w:rsidRPr="00FF1F87">
        <w:t>- in den in § 1 zweiter Gedankenstrich erwähnten Fällen der Einbringer die im Umtausch für die Einbringung in den spezialisierten Immobilieninvestmentfonds erhaltenen Aktien oder Anteile ab dem Datum des Erwerbs dieser Aktien oder Anteile nicht während eines Zeitraums von mindestens fünf Jahren ununterbrochen gehalten hat.</w:t>
      </w:r>
    </w:p>
    <w:p w14:paraId="1DA55545" w14:textId="77777777" w:rsidR="0027186E" w:rsidRPr="00FF1F87" w:rsidRDefault="0027186E" w:rsidP="0027186E">
      <w:pPr>
        <w:jc w:val="both"/>
      </w:pPr>
    </w:p>
    <w:p w14:paraId="363059F6" w14:textId="090EC4E8" w:rsidR="0026016D" w:rsidRPr="009118AB" w:rsidRDefault="0027186E" w:rsidP="0027186E">
      <w:pPr>
        <w:ind w:firstLine="709"/>
        <w:jc w:val="both"/>
      </w:pPr>
      <w:r w:rsidRPr="00FF1F87">
        <w:t>§ 3 - Paragraph 1 ist für den Besteuerungszeitraum anwendbar, in dem der in § 2 erwähnte ununterbrochene Zeitraum nicht mehr eingehalten wird.</w:t>
      </w:r>
      <w:r w:rsidR="009D7948" w:rsidRPr="009118AB">
        <w:t>]</w:t>
      </w:r>
      <w:r w:rsidR="0026016D" w:rsidRPr="009118AB">
        <w:t>]</w:t>
      </w:r>
    </w:p>
    <w:p w14:paraId="77F8071C" w14:textId="77777777" w:rsidR="0026016D" w:rsidRPr="009118AB" w:rsidRDefault="0026016D" w:rsidP="0026016D">
      <w:pPr>
        <w:autoSpaceDE w:val="0"/>
        <w:autoSpaceDN w:val="0"/>
        <w:adjustRightInd w:val="0"/>
        <w:ind w:firstLine="709"/>
        <w:jc w:val="both"/>
      </w:pPr>
    </w:p>
    <w:p w14:paraId="0135A7B9" w14:textId="41A92999" w:rsidR="0026016D" w:rsidRPr="009118AB" w:rsidRDefault="0026016D" w:rsidP="0026016D">
      <w:pPr>
        <w:autoSpaceDE w:val="0"/>
        <w:autoSpaceDN w:val="0"/>
        <w:adjustRightInd w:val="0"/>
        <w:jc w:val="both"/>
        <w:rPr>
          <w:i/>
          <w:iCs/>
        </w:rPr>
      </w:pPr>
      <w:r w:rsidRPr="009118AB">
        <w:rPr>
          <w:i/>
        </w:rPr>
        <w:t>[</w:t>
      </w:r>
      <w:r w:rsidR="00D67EB8" w:rsidRPr="009118AB">
        <w:rPr>
          <w:i/>
        </w:rPr>
        <w:t>Art. </w:t>
      </w:r>
      <w:r w:rsidRPr="009118AB">
        <w:rPr>
          <w:i/>
        </w:rPr>
        <w:t xml:space="preserve">219quinquies eingefügt durch </w:t>
      </w:r>
      <w:r w:rsidR="00D67EB8" w:rsidRPr="009118AB">
        <w:rPr>
          <w:i/>
        </w:rPr>
        <w:t>Art. </w:t>
      </w:r>
      <w:r w:rsidRPr="009118AB">
        <w:rPr>
          <w:i/>
        </w:rPr>
        <w:t>59</w:t>
      </w:r>
      <w:r w:rsidRPr="009118AB">
        <w:rPr>
          <w:i/>
          <w:iCs/>
        </w:rPr>
        <w:t xml:space="preserve">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D67EB8" w:rsidRPr="009118AB">
        <w:rPr>
          <w:i/>
          <w:iCs/>
        </w:rPr>
        <w:t> -</w:t>
      </w:r>
      <w:r w:rsidR="0027186E">
        <w:rPr>
          <w:i/>
          <w:iCs/>
        </w:rPr>
        <w:t>,</w:t>
      </w:r>
      <w:r w:rsidR="008C743F" w:rsidRPr="009118AB">
        <w:rPr>
          <w:i/>
          <w:iCs/>
        </w:rPr>
        <w:t xml:space="preserve"> </w:t>
      </w:r>
      <w:r w:rsidR="008C743F" w:rsidRPr="009118AB">
        <w:rPr>
          <w:i/>
          <w:iCs/>
        </w:rPr>
        <w:lastRenderedPageBreak/>
        <w:t xml:space="preserve">zurückgenommen durch </w:t>
      </w:r>
      <w:r w:rsidR="00D67EB8" w:rsidRPr="009118AB">
        <w:rPr>
          <w:i/>
          <w:iCs/>
        </w:rPr>
        <w:t>Art. </w:t>
      </w:r>
      <w:r w:rsidR="008C743F" w:rsidRPr="009118AB">
        <w:rPr>
          <w:i/>
          <w:iCs/>
        </w:rPr>
        <w:t>5 des G. vom 13. April 2019 (I) (B.S. vom 26. April 2019)</w:t>
      </w:r>
      <w:r w:rsidR="00D67EB8" w:rsidRPr="009118AB">
        <w:rPr>
          <w:i/>
          <w:iCs/>
        </w:rPr>
        <w:t> - </w:t>
      </w:r>
      <w:r w:rsidR="008C743F" w:rsidRPr="009118AB">
        <w:rPr>
          <w:i/>
          <w:iCs/>
        </w:rPr>
        <w:t>in Kraft am 1. Januar 2018</w:t>
      </w:r>
      <w:r w:rsidR="00FD68E8" w:rsidRPr="009118AB">
        <w:rPr>
          <w:i/>
          <w:iCs/>
        </w:rPr>
        <w:t> -</w:t>
      </w:r>
      <w:r w:rsidR="0027186E">
        <w:rPr>
          <w:i/>
          <w:iCs/>
        </w:rPr>
        <w:t xml:space="preserve"> und wieder aufgenommen durch Art. 15</w:t>
      </w:r>
      <w:r w:rsidR="0027186E" w:rsidRPr="0027186E">
        <w:rPr>
          <w:i/>
          <w:iCs/>
        </w:rPr>
        <w:t xml:space="preserve"> des G. vom 22. Dezember 2023 (II) (B.S. vom 29. Dezember 2023)</w:t>
      </w:r>
      <w:r w:rsidR="0027186E">
        <w:rPr>
          <w:i/>
          <w:iCs/>
        </w:rPr>
        <w:t> - </w:t>
      </w:r>
      <w:r w:rsidR="0027186E" w:rsidRPr="0027186E">
        <w:rPr>
          <w:i/>
          <w:iCs/>
        </w:rPr>
        <w:t>in Kraft am 1. Januar 2024 und anwendbar in den Fällen, in denen die Bedingung eines ununterbrochenen Zeitraums von mindestens fünf Jahren wie in Artikel 15 erwähnt ab dem 1. Januar 2024 nicht mehr eingehalten wird</w:t>
      </w:r>
      <w:r w:rsidR="0027186E">
        <w:rPr>
          <w:i/>
          <w:iCs/>
        </w:rPr>
        <w:t> -</w:t>
      </w:r>
      <w:r w:rsidR="00FD68E8" w:rsidRPr="009118AB">
        <w:rPr>
          <w:i/>
          <w:iCs/>
        </w:rPr>
        <w:t>]</w:t>
      </w:r>
    </w:p>
    <w:p w14:paraId="02702313" w14:textId="683D8212" w:rsidR="0026016D" w:rsidRPr="009118AB" w:rsidRDefault="0026016D" w:rsidP="0026016D">
      <w:pPr>
        <w:autoSpaceDE w:val="0"/>
        <w:autoSpaceDN w:val="0"/>
        <w:adjustRightInd w:val="0"/>
        <w:jc w:val="both"/>
        <w:rPr>
          <w:i/>
        </w:rPr>
      </w:pPr>
    </w:p>
    <w:p w14:paraId="22FE5297" w14:textId="77777777" w:rsidR="0026016D" w:rsidRPr="009118AB" w:rsidRDefault="0026016D" w:rsidP="0026016D">
      <w:pPr>
        <w:autoSpaceDE w:val="0"/>
        <w:autoSpaceDN w:val="0"/>
        <w:adjustRightInd w:val="0"/>
        <w:ind w:firstLine="709"/>
        <w:jc w:val="center"/>
      </w:pPr>
    </w:p>
    <w:p w14:paraId="11B34329" w14:textId="77777777" w:rsidR="001D6AB4" w:rsidRPr="009118AB" w:rsidRDefault="001D6AB4" w:rsidP="001D6AB4">
      <w:pPr>
        <w:autoSpaceDE w:val="0"/>
        <w:autoSpaceDN w:val="0"/>
        <w:adjustRightInd w:val="0"/>
        <w:ind w:firstLine="709"/>
        <w:jc w:val="both"/>
        <w:rPr>
          <w:iCs/>
          <w:sz w:val="20"/>
          <w:szCs w:val="20"/>
        </w:rPr>
      </w:pPr>
    </w:p>
    <w:p w14:paraId="25242DFC" w14:textId="77777777" w:rsidR="001D6AB4" w:rsidRPr="009118AB" w:rsidRDefault="001D6AB4" w:rsidP="0026016D">
      <w:pPr>
        <w:autoSpaceDE w:val="0"/>
        <w:autoSpaceDN w:val="0"/>
        <w:adjustRightInd w:val="0"/>
        <w:ind w:firstLine="709"/>
        <w:jc w:val="center"/>
        <w:rPr>
          <w:iCs/>
          <w:sz w:val="20"/>
          <w:szCs w:val="20"/>
        </w:rPr>
      </w:pPr>
    </w:p>
    <w:p w14:paraId="7804F393" w14:textId="14DE7938" w:rsidR="00477B8F" w:rsidRPr="009118AB" w:rsidRDefault="00477B8F" w:rsidP="001D6AB4">
      <w:pPr>
        <w:autoSpaceDE w:val="0"/>
        <w:autoSpaceDN w:val="0"/>
        <w:adjustRightInd w:val="0"/>
        <w:ind w:firstLine="709"/>
        <w:jc w:val="center"/>
        <w:rPr>
          <w:i/>
          <w:iCs/>
        </w:rPr>
      </w:pPr>
      <w:r w:rsidRPr="009118AB">
        <w:br w:type="page"/>
      </w:r>
      <w:r w:rsidRPr="009118AB">
        <w:rPr>
          <w:b/>
          <w:bCs/>
        </w:rPr>
        <w:lastRenderedPageBreak/>
        <w:t>TITEL IV</w:t>
      </w:r>
      <w:r w:rsidR="00D67EB8" w:rsidRPr="009118AB">
        <w:rPr>
          <w:i/>
          <w:iCs/>
        </w:rPr>
        <w:t> - </w:t>
      </w:r>
      <w:r w:rsidRPr="009118AB">
        <w:rPr>
          <w:b/>
          <w:bCs/>
          <w:i/>
          <w:iCs/>
        </w:rPr>
        <w:t>Steuer der juristischen Personen</w:t>
      </w:r>
    </w:p>
    <w:p w14:paraId="71013A7C" w14:textId="77777777" w:rsidR="00477B8F" w:rsidRPr="009118AB" w:rsidRDefault="00477B8F" w:rsidP="00477B8F">
      <w:pPr>
        <w:autoSpaceDE w:val="0"/>
        <w:autoSpaceDN w:val="0"/>
        <w:adjustRightInd w:val="0"/>
        <w:jc w:val="center"/>
        <w:rPr>
          <w:i/>
          <w:iCs/>
        </w:rPr>
      </w:pPr>
    </w:p>
    <w:p w14:paraId="572D94D1" w14:textId="77777777" w:rsidR="00477B8F" w:rsidRPr="009118AB" w:rsidRDefault="00477B8F" w:rsidP="00477B8F">
      <w:pPr>
        <w:autoSpaceDE w:val="0"/>
        <w:autoSpaceDN w:val="0"/>
        <w:adjustRightInd w:val="0"/>
        <w:jc w:val="center"/>
        <w:rPr>
          <w:i/>
          <w:iCs/>
        </w:rPr>
      </w:pPr>
    </w:p>
    <w:p w14:paraId="0AB2F3D1" w14:textId="0049978A" w:rsidR="00477B8F" w:rsidRPr="009118AB" w:rsidRDefault="00BF28DD" w:rsidP="00477B8F">
      <w:pPr>
        <w:autoSpaceDE w:val="0"/>
        <w:autoSpaceDN w:val="0"/>
        <w:adjustRightInd w:val="0"/>
        <w:jc w:val="center"/>
      </w:pPr>
      <w:r w:rsidRPr="009118AB">
        <w:rPr>
          <w:b/>
          <w:bCs/>
        </w:rPr>
        <w:t>KAPITEL </w:t>
      </w:r>
      <w:r w:rsidR="007828ED" w:rsidRPr="009118AB">
        <w:rPr>
          <w:b/>
          <w:bCs/>
        </w:rPr>
        <w:t>1</w:t>
      </w:r>
      <w:r w:rsidR="00D67EB8" w:rsidRPr="009118AB">
        <w:t> - </w:t>
      </w:r>
      <w:r w:rsidR="00477B8F" w:rsidRPr="009118AB">
        <w:rPr>
          <w:i/>
          <w:iCs/>
        </w:rPr>
        <w:t>Steuerpflichtige juristische Personen</w:t>
      </w:r>
    </w:p>
    <w:p w14:paraId="0E403CE5" w14:textId="77777777" w:rsidR="00477B8F" w:rsidRPr="009118AB" w:rsidRDefault="00477B8F" w:rsidP="00477B8F">
      <w:pPr>
        <w:autoSpaceDE w:val="0"/>
        <w:autoSpaceDN w:val="0"/>
        <w:adjustRightInd w:val="0"/>
        <w:jc w:val="center"/>
      </w:pPr>
    </w:p>
    <w:p w14:paraId="516CD7DC" w14:textId="77777777" w:rsidR="00477B8F" w:rsidRPr="009118AB" w:rsidRDefault="00477B8F" w:rsidP="00477B8F">
      <w:pPr>
        <w:autoSpaceDE w:val="0"/>
        <w:autoSpaceDN w:val="0"/>
        <w:adjustRightInd w:val="0"/>
        <w:jc w:val="both"/>
      </w:pPr>
    </w:p>
    <w:p w14:paraId="57A1F560" w14:textId="1E9D0480"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220</w:t>
      </w:r>
      <w:r w:rsidR="00D67EB8" w:rsidRPr="009118AB">
        <w:t> - </w:t>
      </w:r>
      <w:r w:rsidRPr="009118AB">
        <w:t>Der Steuer der juristischen Personen unterliegen:</w:t>
      </w:r>
    </w:p>
    <w:p w14:paraId="7B4F57A3" w14:textId="77777777" w:rsidR="00477B8F" w:rsidRPr="009118AB" w:rsidRDefault="00477B8F" w:rsidP="00477B8F">
      <w:pPr>
        <w:autoSpaceDE w:val="0"/>
        <w:autoSpaceDN w:val="0"/>
        <w:adjustRightInd w:val="0"/>
        <w:jc w:val="both"/>
      </w:pPr>
    </w:p>
    <w:p w14:paraId="2DE1FA68" w14:textId="77777777" w:rsidR="00477B8F" w:rsidRPr="009118AB" w:rsidRDefault="00477B8F" w:rsidP="00477B8F">
      <w:pPr>
        <w:autoSpaceDE w:val="0"/>
        <w:autoSpaceDN w:val="0"/>
        <w:adjustRightInd w:val="0"/>
        <w:jc w:val="both"/>
      </w:pPr>
      <w:r w:rsidRPr="009118AB">
        <w:tab/>
        <w:t>1. Staat, Gemeinschaften, Regionen, Provinzen, Agglomerationen, Gemeindeföderationen, Gemeinden, öffentliche Sozialhilfezentren [...]</w:t>
      </w:r>
      <w:r w:rsidR="001D4878" w:rsidRPr="009118AB">
        <w:t xml:space="preserve">[, </w:t>
      </w:r>
      <w:r w:rsidRPr="009118AB">
        <w:t>öffentliche Einrichtungen der Kulte</w:t>
      </w:r>
      <w:r w:rsidR="007844B1" w:rsidRPr="009118AB">
        <w:t>[, Hilfeleistungszonen, Polizeizonen]</w:t>
      </w:r>
      <w:r w:rsidR="001D4878" w:rsidRPr="009118AB">
        <w:t xml:space="preserve"> und Entwässerungs- und Bewässerungsgenossenschaften]</w:t>
      </w:r>
      <w:r w:rsidRPr="009118AB">
        <w:t>,</w:t>
      </w:r>
    </w:p>
    <w:p w14:paraId="51503ABA" w14:textId="77777777" w:rsidR="00477B8F" w:rsidRPr="009118AB" w:rsidRDefault="00477B8F" w:rsidP="00477B8F">
      <w:pPr>
        <w:autoSpaceDE w:val="0"/>
        <w:autoSpaceDN w:val="0"/>
        <w:adjustRightInd w:val="0"/>
        <w:jc w:val="both"/>
      </w:pPr>
    </w:p>
    <w:p w14:paraId="0DE9CE56" w14:textId="77777777" w:rsidR="00477B8F" w:rsidRPr="009118AB" w:rsidRDefault="00477B8F" w:rsidP="00477B8F">
      <w:pPr>
        <w:autoSpaceDE w:val="0"/>
        <w:autoSpaceDN w:val="0"/>
        <w:adjustRightInd w:val="0"/>
        <w:jc w:val="both"/>
      </w:pPr>
      <w:r w:rsidRPr="009118AB">
        <w:tab/>
        <w:t>2. juristische Personen, die aufgrund von Artikel 180 der Gesellschaftssteuer nicht unterliegen,</w:t>
      </w:r>
    </w:p>
    <w:p w14:paraId="5D9D67C5" w14:textId="77777777" w:rsidR="00477B8F" w:rsidRPr="009118AB" w:rsidRDefault="00477B8F" w:rsidP="00477B8F">
      <w:pPr>
        <w:autoSpaceDE w:val="0"/>
        <w:autoSpaceDN w:val="0"/>
        <w:adjustRightInd w:val="0"/>
        <w:jc w:val="both"/>
      </w:pPr>
    </w:p>
    <w:p w14:paraId="7AA2E90C" w14:textId="79D43890" w:rsidR="00477B8F" w:rsidRPr="009118AB" w:rsidRDefault="00477B8F" w:rsidP="00477B8F">
      <w:pPr>
        <w:autoSpaceDE w:val="0"/>
        <w:autoSpaceDN w:val="0"/>
        <w:adjustRightInd w:val="0"/>
        <w:jc w:val="both"/>
      </w:pPr>
      <w:r w:rsidRPr="009118AB">
        <w:tab/>
        <w:t xml:space="preserve">3. juristische Personen, deren </w:t>
      </w:r>
      <w:r w:rsidR="002700C6" w:rsidRPr="009118AB">
        <w:t>[…]</w:t>
      </w:r>
      <w:r w:rsidRPr="009118AB">
        <w:t xml:space="preserve"> Hauptniederlassung oder Geschäftsführungs- oder Verwaltungssitz in Belgien liegt und die kein Unternehmen beziehungsweise keine Geschäfte mit gewinnbringendem Zweck betreiben oder die gemäß den Artikeln 181 und 182 der Gesell</w:t>
      </w:r>
      <w:r w:rsidR="00DD3A02" w:rsidRPr="009118AB">
        <w:t>schaftssteuer nicht unterliegen,</w:t>
      </w:r>
    </w:p>
    <w:p w14:paraId="56D3748F" w14:textId="77777777" w:rsidR="00DD3A02" w:rsidRPr="009118AB" w:rsidRDefault="00DD3A02" w:rsidP="00477B8F">
      <w:pPr>
        <w:autoSpaceDE w:val="0"/>
        <w:autoSpaceDN w:val="0"/>
        <w:adjustRightInd w:val="0"/>
        <w:jc w:val="both"/>
      </w:pPr>
    </w:p>
    <w:p w14:paraId="092B6DE4" w14:textId="77777777" w:rsidR="00DD3A02" w:rsidRPr="009118AB" w:rsidRDefault="00DD3A02" w:rsidP="00477B8F">
      <w:pPr>
        <w:autoSpaceDE w:val="0"/>
        <w:autoSpaceDN w:val="0"/>
        <w:adjustRightInd w:val="0"/>
        <w:jc w:val="both"/>
      </w:pPr>
      <w:r w:rsidRPr="009118AB">
        <w:tab/>
        <w:t>[4. Vereinigungen, die nicht in den vorhergehenden Bestimmungen erwähnt sind, die nicht der Gesellschaftssteuer unterliegen, die keine Gewinne oder Profite erzielen und die für mindestens sechs aufeinander folgende Besteuerungszeiträume auf die vom König festgelegte Weise dafür optiert haben, der Steuer der juristischen Personen zu unterliegen.]</w:t>
      </w:r>
    </w:p>
    <w:p w14:paraId="6223726F" w14:textId="77777777" w:rsidR="00477B8F" w:rsidRPr="009118AB" w:rsidRDefault="00477B8F" w:rsidP="00477B8F">
      <w:pPr>
        <w:autoSpaceDE w:val="0"/>
        <w:autoSpaceDN w:val="0"/>
        <w:adjustRightInd w:val="0"/>
        <w:jc w:val="both"/>
      </w:pPr>
    </w:p>
    <w:p w14:paraId="04E9E56B" w14:textId="7F0930B8"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220 einziger Absatz </w:t>
      </w:r>
      <w:r w:rsidR="00D67EB8" w:rsidRPr="009118AB">
        <w:rPr>
          <w:i/>
          <w:iCs/>
        </w:rPr>
        <w:t>Nr. </w:t>
      </w:r>
      <w:r w:rsidRPr="009118AB">
        <w:rPr>
          <w:i/>
          <w:iCs/>
        </w:rPr>
        <w:t xml:space="preserve">1 abgeändert durch </w:t>
      </w:r>
      <w:r w:rsidR="00D67EB8" w:rsidRPr="009118AB">
        <w:rPr>
          <w:i/>
          <w:iCs/>
        </w:rPr>
        <w:t>Art. </w:t>
      </w:r>
      <w:r w:rsidRPr="009118AB">
        <w:rPr>
          <w:i/>
          <w:iCs/>
        </w:rPr>
        <w:t>30 des G. vom 6. Juli 1994 (B.S. vom 16. Juli 1994)</w:t>
      </w:r>
      <w:r w:rsidR="007844B1" w:rsidRPr="009118AB">
        <w:rPr>
          <w:i/>
          <w:iCs/>
        </w:rPr>
        <w:t>,</w:t>
      </w:r>
      <w:r w:rsidR="001D4878" w:rsidRPr="009118AB">
        <w:rPr>
          <w:i/>
          <w:iCs/>
        </w:rPr>
        <w:t xml:space="preserve"> </w:t>
      </w:r>
      <w:r w:rsidR="00D67EB8" w:rsidRPr="009118AB">
        <w:rPr>
          <w:i/>
          <w:iCs/>
        </w:rPr>
        <w:t>Art. </w:t>
      </w:r>
      <w:r w:rsidR="001D4878" w:rsidRPr="009118AB">
        <w:rPr>
          <w:i/>
          <w:iCs/>
        </w:rPr>
        <w:t>2 des G. vom 21. Februar 2010 (B.S. vom 5. März 2010)</w:t>
      </w:r>
      <w:r w:rsidR="00D67EB8" w:rsidRPr="009118AB">
        <w:rPr>
          <w:i/>
          <w:iCs/>
        </w:rPr>
        <w:t> - </w:t>
      </w:r>
      <w:r w:rsidR="001D4878" w:rsidRPr="009118AB">
        <w:rPr>
          <w:i/>
          <w:iCs/>
        </w:rPr>
        <w:t>anwendbar ab dem Steuerjahr 2011</w:t>
      </w:r>
      <w:r w:rsidR="00D67EB8" w:rsidRPr="009118AB">
        <w:rPr>
          <w:i/>
          <w:iCs/>
        </w:rPr>
        <w:t> - </w:t>
      </w:r>
      <w:r w:rsidR="007844B1" w:rsidRPr="009118AB">
        <w:rPr>
          <w:i/>
          <w:iCs/>
        </w:rPr>
        <w:t xml:space="preserve">und </w:t>
      </w:r>
      <w:r w:rsidR="00D67EB8" w:rsidRPr="009118AB">
        <w:rPr>
          <w:i/>
          <w:iCs/>
        </w:rPr>
        <w:t>Art. </w:t>
      </w:r>
      <w:r w:rsidR="007844B1" w:rsidRPr="009118AB">
        <w:rPr>
          <w:i/>
          <w:iCs/>
        </w:rPr>
        <w:t>50 des G. vom 18. Dezember 2015 (II) (B.S. vom 28. Dezember 2015)</w:t>
      </w:r>
      <w:r w:rsidR="00DD3A02" w:rsidRPr="009118AB">
        <w:rPr>
          <w:i/>
          <w:iCs/>
        </w:rPr>
        <w:t xml:space="preserve">; </w:t>
      </w:r>
      <w:r w:rsidR="002700C6" w:rsidRPr="009118AB">
        <w:rPr>
          <w:i/>
          <w:iCs/>
        </w:rPr>
        <w:t xml:space="preserve">einziger Absatz </w:t>
      </w:r>
      <w:r w:rsidR="00D67EB8" w:rsidRPr="009118AB">
        <w:rPr>
          <w:i/>
          <w:iCs/>
        </w:rPr>
        <w:t>Nr. </w:t>
      </w:r>
      <w:r w:rsidR="002700C6" w:rsidRPr="009118AB">
        <w:rPr>
          <w:i/>
          <w:iCs/>
        </w:rPr>
        <w:t xml:space="preserve">3 abgeändert durch </w:t>
      </w:r>
      <w:r w:rsidR="00D67EB8" w:rsidRPr="009118AB">
        <w:rPr>
          <w:i/>
          <w:iCs/>
        </w:rPr>
        <w:t>Art. </w:t>
      </w:r>
      <w:r w:rsidR="002700C6" w:rsidRPr="009118AB">
        <w:rPr>
          <w:i/>
          <w:iCs/>
        </w:rPr>
        <w:t>52</w:t>
      </w:r>
      <w:r w:rsidR="002700C6" w:rsidRPr="009118AB">
        <w:rPr>
          <w:i/>
          <w:iCs/>
          <w:spacing w:val="-2"/>
        </w:rPr>
        <w:t xml:space="preserve"> des G. vom 17. März 2019 (III) (B.S. vom 10. Mai 2019)</w:t>
      </w:r>
      <w:r w:rsidR="00D67EB8" w:rsidRPr="009118AB">
        <w:rPr>
          <w:i/>
          <w:iCs/>
          <w:spacing w:val="-2"/>
        </w:rPr>
        <w:t> - </w:t>
      </w:r>
      <w:r w:rsidR="002700C6" w:rsidRPr="009118AB">
        <w:rPr>
          <w:i/>
          <w:iCs/>
          <w:spacing w:val="-2"/>
        </w:rPr>
        <w:t>in Kraft am 1. Mai 2019</w:t>
      </w:r>
      <w:r w:rsidR="003366D9" w:rsidRPr="009118AB">
        <w:rPr>
          <w:i/>
          <w:iCs/>
          <w:spacing w:val="-2"/>
        </w:rPr>
        <w:t> -;</w:t>
      </w:r>
      <w:r w:rsidR="002700C6" w:rsidRPr="009118AB">
        <w:rPr>
          <w:i/>
          <w:iCs/>
          <w:spacing w:val="-2"/>
        </w:rPr>
        <w:t xml:space="preserve"> </w:t>
      </w:r>
      <w:r w:rsidR="00DD3A02" w:rsidRPr="009118AB">
        <w:rPr>
          <w:i/>
          <w:iCs/>
        </w:rPr>
        <w:t xml:space="preserve">einziger Absatz </w:t>
      </w:r>
      <w:r w:rsidR="00D67EB8" w:rsidRPr="009118AB">
        <w:rPr>
          <w:i/>
          <w:iCs/>
        </w:rPr>
        <w:t>Nr. </w:t>
      </w:r>
      <w:r w:rsidR="00DD3A02" w:rsidRPr="009118AB">
        <w:rPr>
          <w:i/>
          <w:iCs/>
        </w:rPr>
        <w:t xml:space="preserve">4 eingefügt durch </w:t>
      </w:r>
      <w:r w:rsidR="00D67EB8" w:rsidRPr="009118AB">
        <w:rPr>
          <w:i/>
          <w:iCs/>
        </w:rPr>
        <w:t>Art. </w:t>
      </w:r>
      <w:r w:rsidR="00DD3A02" w:rsidRPr="009118AB">
        <w:rPr>
          <w:i/>
          <w:iCs/>
        </w:rPr>
        <w:t>92 des G. vom 25. Dezember 2017 (IV) (B.S. vom 29. Dezember 2017)</w:t>
      </w:r>
      <w:r w:rsidR="00D67EB8" w:rsidRPr="009118AB">
        <w:rPr>
          <w:i/>
          <w:iCs/>
        </w:rPr>
        <w:t> - </w:t>
      </w:r>
      <w:r w:rsidR="00DD3A02" w:rsidRPr="009118AB">
        <w:rPr>
          <w:i/>
          <w:iCs/>
        </w:rPr>
        <w:t>in Kraft am 1. Januar 2018</w:t>
      </w:r>
      <w:r w:rsidR="00FD68E8" w:rsidRPr="009118AB">
        <w:rPr>
          <w:i/>
          <w:iCs/>
        </w:rPr>
        <w:t> -]</w:t>
      </w:r>
    </w:p>
    <w:p w14:paraId="1C12EC3A" w14:textId="77777777" w:rsidR="009A6A5D" w:rsidRPr="009118AB" w:rsidRDefault="009A6A5D" w:rsidP="00477B8F">
      <w:pPr>
        <w:autoSpaceDE w:val="0"/>
        <w:autoSpaceDN w:val="0"/>
        <w:adjustRightInd w:val="0"/>
        <w:jc w:val="center"/>
      </w:pPr>
    </w:p>
    <w:p w14:paraId="1CFD22F2" w14:textId="77777777" w:rsidR="009A6A5D" w:rsidRPr="009118AB" w:rsidRDefault="009A6A5D" w:rsidP="009A6A5D">
      <w:pPr>
        <w:ind w:firstLine="708"/>
        <w:jc w:val="both"/>
      </w:pPr>
    </w:p>
    <w:p w14:paraId="36326865" w14:textId="165255FC" w:rsidR="009A6A5D" w:rsidRPr="009118AB" w:rsidRDefault="009A6A5D" w:rsidP="009A6A5D">
      <w:pPr>
        <w:ind w:firstLine="708"/>
        <w:jc w:val="both"/>
      </w:pPr>
      <w:r w:rsidRPr="009118AB">
        <w:t>[</w:t>
      </w:r>
      <w:r w:rsidR="00D67EB8" w:rsidRPr="009118AB">
        <w:rPr>
          <w:b/>
        </w:rPr>
        <w:t>Art. </w:t>
      </w:r>
      <w:r w:rsidRPr="009118AB">
        <w:rPr>
          <w:b/>
        </w:rPr>
        <w:t>220/1</w:t>
      </w:r>
      <w:r w:rsidR="00D67EB8" w:rsidRPr="009118AB">
        <w:t> - § </w:t>
      </w:r>
      <w:r w:rsidRPr="009118AB">
        <w:t>1</w:t>
      </w:r>
      <w:r w:rsidR="00D67EB8" w:rsidRPr="009118AB">
        <w:t> - </w:t>
      </w:r>
      <w:r w:rsidR="003914DD" w:rsidRPr="009118AB">
        <w:t>[Die von einer Rechtsvereinbarung bezogenen Einkünfte sind bei der in Arti</w:t>
      </w:r>
      <w:r w:rsidR="003914DD" w:rsidRPr="009118AB">
        <w:softHyphen/>
        <w:t>kel 220 erwähnten juristischen Person, die Gründer dieser Rechtsvereinbarung ist, steuer</w:t>
      </w:r>
      <w:r w:rsidR="003914DD" w:rsidRPr="009118AB">
        <w:softHyphen/>
        <w:t>pflichtig, als ob diese juristische Person sie direkt bezogen hätte.]</w:t>
      </w:r>
    </w:p>
    <w:p w14:paraId="46DBB34C" w14:textId="77777777" w:rsidR="009A6A5D" w:rsidRDefault="009A6A5D" w:rsidP="009A6A5D">
      <w:pPr>
        <w:jc w:val="both"/>
      </w:pPr>
    </w:p>
    <w:p w14:paraId="0B5A51BA" w14:textId="784E45F7" w:rsidR="00186364" w:rsidRDefault="00186364" w:rsidP="009A6A5D">
      <w:pPr>
        <w:jc w:val="both"/>
      </w:pPr>
      <w:r>
        <w:tab/>
        <w:t>[</w:t>
      </w:r>
      <w:r w:rsidRPr="00FF1F87">
        <w:t>In Abweichung von Absatz 1 sind die von einer Tochterkonstruktion bezogenen Einkünfte nur bei der in Artikel 220 erwähnten juristischen Person, die Gründer der Tochterkonstruktion ist, steuerpflichtig, insoweit dieser Gründer über eine zwischengeschaltete Konstruktion oder über eine Kette von zwischengeschalteten Konstruktionen mittelbar die juristischen oder wirtschaftlichen Rechte an den Aktien oder Anteilen der Tochterkonstruktion besitzt.</w:t>
      </w:r>
      <w:r>
        <w:t>]</w:t>
      </w:r>
    </w:p>
    <w:p w14:paraId="20783A7D" w14:textId="77777777" w:rsidR="00186364" w:rsidRPr="009118AB" w:rsidRDefault="00186364" w:rsidP="009A6A5D">
      <w:pPr>
        <w:jc w:val="both"/>
      </w:pPr>
    </w:p>
    <w:p w14:paraId="757A44D2" w14:textId="75A90752" w:rsidR="009A6A5D" w:rsidRPr="009118AB" w:rsidRDefault="009A6A5D" w:rsidP="009A6A5D">
      <w:pPr>
        <w:ind w:firstLine="708"/>
        <w:jc w:val="both"/>
      </w:pPr>
      <w:r w:rsidRPr="009118AB">
        <w:t xml:space="preserve">Die </w:t>
      </w:r>
      <w:r w:rsidR="00186364">
        <w:t>[</w:t>
      </w:r>
      <w:r w:rsidR="00186364" w:rsidRPr="00FF1F87">
        <w:t>in Artikel 5/1 § 1 Absatz 3 bis 6, 8 und 9</w:t>
      </w:r>
      <w:r w:rsidR="003914DD" w:rsidRPr="009118AB">
        <w:t>]</w:t>
      </w:r>
      <w:r w:rsidRPr="009118AB">
        <w:t xml:space="preserve"> erwähnten Bestimmungen sind auf die in Absatz 1 erwähnten juristischen Personen anwendbar.</w:t>
      </w:r>
    </w:p>
    <w:p w14:paraId="6EAF20CD" w14:textId="77777777" w:rsidR="009A6A5D" w:rsidRPr="009118AB" w:rsidRDefault="009A6A5D" w:rsidP="009A6A5D">
      <w:pPr>
        <w:jc w:val="both"/>
      </w:pPr>
    </w:p>
    <w:p w14:paraId="59FDF431" w14:textId="6DC8B82A" w:rsidR="009A6A5D" w:rsidRPr="009118AB" w:rsidRDefault="00D67EB8" w:rsidP="00186364">
      <w:pPr>
        <w:ind w:firstLine="708"/>
        <w:jc w:val="both"/>
      </w:pPr>
      <w:r w:rsidRPr="009118AB">
        <w:t>§ </w:t>
      </w:r>
      <w:r w:rsidR="009A6A5D" w:rsidRPr="009118AB">
        <w:t>2</w:t>
      </w:r>
      <w:r w:rsidRPr="009118AB">
        <w:t> - </w:t>
      </w:r>
      <w:r w:rsidR="003914DD" w:rsidRPr="009118AB">
        <w:t>[</w:t>
      </w:r>
      <w:r w:rsidR="00186364">
        <w:t>..</w:t>
      </w:r>
      <w:r w:rsidR="003914DD" w:rsidRPr="009118AB">
        <w:t>.]</w:t>
      </w:r>
    </w:p>
    <w:p w14:paraId="7E8DD017" w14:textId="77777777" w:rsidR="009A6A5D" w:rsidRPr="009118AB" w:rsidRDefault="009A6A5D" w:rsidP="009A6A5D">
      <w:pPr>
        <w:autoSpaceDE w:val="0"/>
        <w:autoSpaceDN w:val="0"/>
        <w:adjustRightInd w:val="0"/>
        <w:jc w:val="center"/>
      </w:pPr>
    </w:p>
    <w:p w14:paraId="21750FD3" w14:textId="26495584" w:rsidR="009A6A5D" w:rsidRPr="009118AB" w:rsidRDefault="00D67EB8" w:rsidP="009A6A5D">
      <w:pPr>
        <w:autoSpaceDE w:val="0"/>
        <w:autoSpaceDN w:val="0"/>
        <w:adjustRightInd w:val="0"/>
        <w:ind w:firstLine="709"/>
        <w:jc w:val="both"/>
      </w:pPr>
      <w:r w:rsidRPr="009118AB">
        <w:t>§ </w:t>
      </w:r>
      <w:r w:rsidR="009A6A5D" w:rsidRPr="009118AB">
        <w:t>3</w:t>
      </w:r>
      <w:r w:rsidRPr="009118AB">
        <w:t> - </w:t>
      </w:r>
      <w:r w:rsidR="00186364">
        <w:t>[[</w:t>
      </w:r>
      <w:r w:rsidR="00186364" w:rsidRPr="00FF1F87">
        <w:t>Paragraph 1 ist</w:t>
      </w:r>
      <w:r w:rsidR="00186364">
        <w:t>]</w:t>
      </w:r>
      <w:r w:rsidR="00DD65E2" w:rsidRPr="009118AB">
        <w:t xml:space="preserve"> in den in Artikel 5/1 </w:t>
      </w:r>
      <w:r w:rsidRPr="009118AB">
        <w:t>§ </w:t>
      </w:r>
      <w:r w:rsidR="00DD65E2" w:rsidRPr="009118AB">
        <w:t>3 erwähnten Fällen nicht anwendbar.]</w:t>
      </w:r>
      <w:r w:rsidR="009A6A5D" w:rsidRPr="009118AB">
        <w:t>]</w:t>
      </w:r>
    </w:p>
    <w:p w14:paraId="22ECC2BC" w14:textId="77777777" w:rsidR="009A6A5D" w:rsidRPr="009118AB" w:rsidRDefault="009A6A5D" w:rsidP="009A6A5D">
      <w:pPr>
        <w:autoSpaceDE w:val="0"/>
        <w:autoSpaceDN w:val="0"/>
        <w:adjustRightInd w:val="0"/>
        <w:ind w:firstLine="709"/>
        <w:jc w:val="both"/>
      </w:pPr>
    </w:p>
    <w:p w14:paraId="6FF758CC" w14:textId="240120E7" w:rsidR="009A6A5D" w:rsidRPr="009118AB" w:rsidRDefault="009A6A5D" w:rsidP="00DD65E2">
      <w:pPr>
        <w:autoSpaceDE w:val="0"/>
        <w:autoSpaceDN w:val="0"/>
        <w:adjustRightInd w:val="0"/>
        <w:jc w:val="both"/>
        <w:rPr>
          <w:i/>
        </w:rPr>
      </w:pPr>
      <w:r w:rsidRPr="009118AB">
        <w:rPr>
          <w:i/>
        </w:rPr>
        <w:t>[</w:t>
      </w:r>
      <w:r w:rsidR="00D67EB8" w:rsidRPr="009118AB">
        <w:rPr>
          <w:i/>
        </w:rPr>
        <w:t>Art. </w:t>
      </w:r>
      <w:r w:rsidRPr="009118AB">
        <w:rPr>
          <w:i/>
        </w:rPr>
        <w:t xml:space="preserve">220/1 eingefügt durch </w:t>
      </w:r>
      <w:r w:rsidR="00D67EB8" w:rsidRPr="009118AB">
        <w:rPr>
          <w:i/>
        </w:rPr>
        <w:t>Art. </w:t>
      </w:r>
      <w:r w:rsidRPr="009118AB">
        <w:rPr>
          <w:i/>
        </w:rPr>
        <w:t>42 des G. vom 10. August 2015 (B.S. vom 18. August 2015)</w:t>
      </w:r>
      <w:r w:rsidR="00DD65E2" w:rsidRPr="009118AB">
        <w:rPr>
          <w:i/>
        </w:rPr>
        <w:t>;</w:t>
      </w:r>
      <w:r w:rsidR="003914DD" w:rsidRPr="009118AB">
        <w:rPr>
          <w:i/>
        </w:rPr>
        <w:t xml:space="preserve"> </w:t>
      </w:r>
      <w:r w:rsidR="00D67EB8" w:rsidRPr="009118AB">
        <w:rPr>
          <w:i/>
        </w:rPr>
        <w:t>§ </w:t>
      </w:r>
      <w:r w:rsidR="003914DD" w:rsidRPr="009118AB">
        <w:rPr>
          <w:i/>
        </w:rPr>
        <w:t xml:space="preserve">1 </w:t>
      </w:r>
      <w:r w:rsidR="00D67EB8" w:rsidRPr="009118AB">
        <w:rPr>
          <w:i/>
        </w:rPr>
        <w:t>Abs. </w:t>
      </w:r>
      <w:r w:rsidR="003914DD" w:rsidRPr="009118AB">
        <w:rPr>
          <w:i/>
        </w:rPr>
        <w:t xml:space="preserve">1 ersetzt durch </w:t>
      </w:r>
      <w:r w:rsidR="00D67EB8" w:rsidRPr="009118AB">
        <w:rPr>
          <w:i/>
        </w:rPr>
        <w:t>Art. </w:t>
      </w:r>
      <w:r w:rsidR="003914DD" w:rsidRPr="009118AB">
        <w:rPr>
          <w:i/>
        </w:rPr>
        <w:t xml:space="preserve">93 </w:t>
      </w:r>
      <w:r w:rsidR="00D67EB8" w:rsidRPr="009118AB">
        <w:rPr>
          <w:i/>
        </w:rPr>
        <w:t>Nr. </w:t>
      </w:r>
      <w:r w:rsidR="003914DD" w:rsidRPr="009118AB">
        <w:rPr>
          <w:i/>
        </w:rPr>
        <w:t xml:space="preserve">1 </w:t>
      </w:r>
      <w:r w:rsidR="003914DD" w:rsidRPr="009118AB">
        <w:rPr>
          <w:i/>
          <w:iCs/>
        </w:rPr>
        <w:t>des G. vom 25. Dezember 2017 (IV) (B.S. vom 29. Dezember 2017)</w:t>
      </w:r>
      <w:r w:rsidR="00D67EB8" w:rsidRPr="009118AB">
        <w:rPr>
          <w:i/>
          <w:iCs/>
        </w:rPr>
        <w:t> - </w:t>
      </w:r>
      <w:r w:rsidR="003914DD" w:rsidRPr="009118AB">
        <w:rPr>
          <w:i/>
          <w:iCs/>
        </w:rPr>
        <w:t>anwendbar auf Einkünfte, die ab dem 17. September 2017 von einer Rechtsvereinbarung bezogen, zuerkannt oder ausge</w:t>
      </w:r>
      <w:r w:rsidR="003914DD" w:rsidRPr="009118AB">
        <w:rPr>
          <w:i/>
          <w:iCs/>
        </w:rPr>
        <w:softHyphen/>
        <w:t>schüttet werden, und</w:t>
      </w:r>
      <w:r w:rsidR="00D67EB8" w:rsidRPr="009118AB">
        <w:rPr>
          <w:i/>
          <w:iCs/>
        </w:rPr>
        <w:t> - </w:t>
      </w:r>
      <w:r w:rsidR="003914DD" w:rsidRPr="009118AB">
        <w:rPr>
          <w:i/>
          <w:iCs/>
        </w:rPr>
        <w:t>in Bezug auf die Anwendung des Mobiliensteuervorabzugs</w:t>
      </w:r>
      <w:r w:rsidR="00D67EB8" w:rsidRPr="009118AB">
        <w:rPr>
          <w:i/>
          <w:iCs/>
        </w:rPr>
        <w:t> - </w:t>
      </w:r>
      <w:r w:rsidR="003914DD" w:rsidRPr="009118AB">
        <w:rPr>
          <w:i/>
          <w:iCs/>
        </w:rPr>
        <w:t>auf Einkünfte, die ab dem 1. Januar 2018 zuerkannt oder ausgeschüttet werden</w:t>
      </w:r>
      <w:r w:rsidR="003366D9" w:rsidRPr="009118AB">
        <w:rPr>
          <w:i/>
          <w:iCs/>
        </w:rPr>
        <w:t> -;</w:t>
      </w:r>
      <w:r w:rsidR="003914DD" w:rsidRPr="009118AB">
        <w:rPr>
          <w:i/>
          <w:iCs/>
        </w:rPr>
        <w:t xml:space="preserve"> </w:t>
      </w:r>
      <w:r w:rsidR="00186364">
        <w:rPr>
          <w:i/>
          <w:iCs/>
        </w:rPr>
        <w:t>§ 1 neuer Absatz 2 eingefügt durch Art. 37 Nr. 1</w:t>
      </w:r>
      <w:r w:rsidR="00186364" w:rsidRPr="00186364">
        <w:rPr>
          <w:i/>
          <w:iCs/>
        </w:rPr>
        <w:t xml:space="preserve"> des G. vom 22. Dezember 2023 (II) (B.S. vom 29. Dezember 2023) - anwendbar auf Einkünfte, die ab dem 1. Januar 2024 von einer Rechtsvereinbarung bezogen, zuerkannt oder ausgeschüttet werden -</w:t>
      </w:r>
      <w:r w:rsidR="00186364">
        <w:rPr>
          <w:i/>
          <w:iCs/>
        </w:rPr>
        <w:t xml:space="preserve">; </w:t>
      </w:r>
      <w:r w:rsidR="00D67EB8" w:rsidRPr="009118AB">
        <w:rPr>
          <w:i/>
          <w:iCs/>
        </w:rPr>
        <w:t>§ </w:t>
      </w:r>
      <w:r w:rsidR="003914DD" w:rsidRPr="009118AB">
        <w:rPr>
          <w:i/>
          <w:iCs/>
        </w:rPr>
        <w:t xml:space="preserve">1 </w:t>
      </w:r>
      <w:r w:rsidR="00D67EB8" w:rsidRPr="009118AB">
        <w:rPr>
          <w:i/>
          <w:iCs/>
        </w:rPr>
        <w:t>Abs. </w:t>
      </w:r>
      <w:r w:rsidR="00186364">
        <w:rPr>
          <w:i/>
          <w:iCs/>
        </w:rPr>
        <w:t xml:space="preserve">3 (früherer Absatz </w:t>
      </w:r>
      <w:r w:rsidR="003914DD" w:rsidRPr="009118AB">
        <w:rPr>
          <w:i/>
          <w:iCs/>
        </w:rPr>
        <w:t>2</w:t>
      </w:r>
      <w:r w:rsidR="00186364">
        <w:rPr>
          <w:i/>
          <w:iCs/>
        </w:rPr>
        <w:t>)</w:t>
      </w:r>
      <w:r w:rsidR="003914DD" w:rsidRPr="009118AB">
        <w:rPr>
          <w:i/>
          <w:iCs/>
        </w:rPr>
        <w:t xml:space="preserve"> abgeändert durch </w:t>
      </w:r>
      <w:r w:rsidR="00D67EB8" w:rsidRPr="009118AB">
        <w:rPr>
          <w:i/>
          <w:iCs/>
        </w:rPr>
        <w:t>Art. </w:t>
      </w:r>
      <w:r w:rsidR="003914DD" w:rsidRPr="009118AB">
        <w:rPr>
          <w:i/>
          <w:iCs/>
        </w:rPr>
        <w:t xml:space="preserve">93 </w:t>
      </w:r>
      <w:r w:rsidR="00D67EB8" w:rsidRPr="009118AB">
        <w:rPr>
          <w:i/>
          <w:iCs/>
        </w:rPr>
        <w:t>Nr. </w:t>
      </w:r>
      <w:r w:rsidR="003914DD" w:rsidRPr="009118AB">
        <w:rPr>
          <w:i/>
          <w:iCs/>
        </w:rPr>
        <w:t>2 des G. vom 25. Dezember 2017 (IV) (B.S. vom 29. Dezember 2017)</w:t>
      </w:r>
      <w:r w:rsidR="00D67EB8" w:rsidRPr="009118AB">
        <w:rPr>
          <w:i/>
          <w:iCs/>
        </w:rPr>
        <w:t> - </w:t>
      </w:r>
      <w:r w:rsidR="003914DD" w:rsidRPr="009118AB">
        <w:rPr>
          <w:i/>
          <w:iCs/>
        </w:rPr>
        <w:t>in Kraft am 1. Januar 2018</w:t>
      </w:r>
      <w:r w:rsidR="003366D9" w:rsidRPr="009118AB">
        <w:rPr>
          <w:i/>
          <w:iCs/>
        </w:rPr>
        <w:t> -</w:t>
      </w:r>
      <w:r w:rsidR="00186364">
        <w:rPr>
          <w:i/>
          <w:iCs/>
        </w:rPr>
        <w:t xml:space="preserve"> und Art. 37 Nr. 2</w:t>
      </w:r>
      <w:r w:rsidR="00186364" w:rsidRPr="00186364">
        <w:rPr>
          <w:i/>
          <w:iCs/>
        </w:rPr>
        <w:t xml:space="preserve"> des G. vom 22. Dezember 2023 (II) (B.S. vom 29. Dezember 2023) - anwendbar auf Einkünfte, die ab dem 1. Januar 2024 von einer Rechtsvereinbarung bezogen, zuerkannt oder ausgeschüttet werden -</w:t>
      </w:r>
      <w:r w:rsidR="003366D9" w:rsidRPr="009118AB">
        <w:rPr>
          <w:i/>
          <w:iCs/>
        </w:rPr>
        <w:t>;</w:t>
      </w:r>
      <w:r w:rsidR="003914DD" w:rsidRPr="009118AB">
        <w:rPr>
          <w:i/>
          <w:iCs/>
        </w:rPr>
        <w:t xml:space="preserve"> </w:t>
      </w:r>
      <w:r w:rsidR="00D67EB8" w:rsidRPr="009118AB">
        <w:rPr>
          <w:i/>
          <w:iCs/>
        </w:rPr>
        <w:t>§ </w:t>
      </w:r>
      <w:r w:rsidR="003914DD" w:rsidRPr="009118AB">
        <w:rPr>
          <w:i/>
          <w:iCs/>
        </w:rPr>
        <w:t xml:space="preserve">2 </w:t>
      </w:r>
      <w:r w:rsidR="00186364">
        <w:rPr>
          <w:i/>
          <w:iCs/>
        </w:rPr>
        <w:t>aufgehoben durch Art. 37 Nr. 3</w:t>
      </w:r>
      <w:r w:rsidR="00186364" w:rsidRPr="00186364">
        <w:rPr>
          <w:i/>
          <w:iCs/>
        </w:rPr>
        <w:t xml:space="preserve"> des G. vom </w:t>
      </w:r>
      <w:r w:rsidR="00186364" w:rsidRPr="00186364">
        <w:rPr>
          <w:rFonts w:ascii="Times New Roman Italique" w:hAnsi="Times New Roman Italique"/>
          <w:i/>
          <w:iCs/>
          <w:spacing w:val="-2"/>
        </w:rPr>
        <w:t>22. Dezember 2023 (II) (B.S. vom 29. Dezember 2023) - anwendbar auf Einkünfte, die ab dem 1. Januar 2024 von einer Rechtsvereinbarung bezogen, zuerkannt oder ausgeschüttet werden -</w:t>
      </w:r>
      <w:r w:rsidR="004775D6" w:rsidRPr="00186364">
        <w:rPr>
          <w:rFonts w:ascii="Times New Roman Italique" w:hAnsi="Times New Roman Italique"/>
          <w:i/>
          <w:spacing w:val="-2"/>
        </w:rPr>
        <w:t>;</w:t>
      </w:r>
      <w:r w:rsidR="004775D6" w:rsidRPr="009118AB">
        <w:rPr>
          <w:i/>
        </w:rPr>
        <w:t xml:space="preserve"> </w:t>
      </w:r>
      <w:r w:rsidR="00D67EB8" w:rsidRPr="009118AB">
        <w:rPr>
          <w:i/>
        </w:rPr>
        <w:t>§ </w:t>
      </w:r>
      <w:r w:rsidR="00DD65E2" w:rsidRPr="009118AB">
        <w:rPr>
          <w:i/>
        </w:rPr>
        <w:t xml:space="preserve">3 ersetzt durch </w:t>
      </w:r>
      <w:r w:rsidR="00D67EB8" w:rsidRPr="009118AB">
        <w:rPr>
          <w:i/>
        </w:rPr>
        <w:t>Art. </w:t>
      </w:r>
      <w:r w:rsidR="00DD65E2" w:rsidRPr="009118AB">
        <w:rPr>
          <w:i/>
        </w:rPr>
        <w:t>106 des G. vom 26. Dezember 2015 (II) (B.S. vom 30. Dezember 2015)</w:t>
      </w:r>
      <w:r w:rsidR="00D67EB8" w:rsidRPr="009118AB">
        <w:t> - </w:t>
      </w:r>
      <w:r w:rsidR="00DD65E2" w:rsidRPr="009118AB">
        <w:rPr>
          <w:i/>
        </w:rPr>
        <w:t>in Kraft ab dem Steuerjahr 2016</w:t>
      </w:r>
      <w:r w:rsidR="00FD68E8" w:rsidRPr="009118AB">
        <w:rPr>
          <w:i/>
        </w:rPr>
        <w:t> -</w:t>
      </w:r>
      <w:r w:rsidR="00186364">
        <w:rPr>
          <w:i/>
        </w:rPr>
        <w:t xml:space="preserve"> und abgeändert durch Art. 37 Nr. 4</w:t>
      </w:r>
      <w:r w:rsidR="00186364" w:rsidRPr="00186364">
        <w:rPr>
          <w:i/>
          <w:iCs/>
        </w:rPr>
        <w:t xml:space="preserve"> des G. vom 22. Dezember 2023 (II) (B.S. vom 29. Dezember 2023) - anwendbar auf Einkünfte, die ab dem 1. Januar 2024 von einer Rechtsvereinbarung bezogen, zuerkannt oder ausgeschüttet werden -</w:t>
      </w:r>
      <w:r w:rsidR="00FD68E8" w:rsidRPr="009118AB">
        <w:rPr>
          <w:i/>
        </w:rPr>
        <w:t>]</w:t>
      </w:r>
    </w:p>
    <w:p w14:paraId="7F167447" w14:textId="77777777" w:rsidR="00DD65E2" w:rsidRPr="009118AB" w:rsidRDefault="00DD65E2" w:rsidP="00477B8F">
      <w:pPr>
        <w:autoSpaceDE w:val="0"/>
        <w:autoSpaceDN w:val="0"/>
        <w:adjustRightInd w:val="0"/>
        <w:jc w:val="center"/>
        <w:rPr>
          <w:i/>
        </w:rPr>
      </w:pPr>
    </w:p>
    <w:p w14:paraId="1B77D6D5" w14:textId="77777777" w:rsidR="009A6A5D" w:rsidRPr="009118AB" w:rsidRDefault="009A6A5D" w:rsidP="00477B8F">
      <w:pPr>
        <w:autoSpaceDE w:val="0"/>
        <w:autoSpaceDN w:val="0"/>
        <w:adjustRightInd w:val="0"/>
        <w:jc w:val="center"/>
        <w:rPr>
          <w:i/>
        </w:rPr>
      </w:pPr>
    </w:p>
    <w:p w14:paraId="5F7979C6" w14:textId="71A69F79" w:rsidR="00477B8F" w:rsidRPr="009118AB" w:rsidRDefault="00477B8F" w:rsidP="00477B8F">
      <w:pPr>
        <w:autoSpaceDE w:val="0"/>
        <w:autoSpaceDN w:val="0"/>
        <w:adjustRightInd w:val="0"/>
        <w:jc w:val="center"/>
      </w:pPr>
      <w:r w:rsidRPr="009118AB">
        <w:br w:type="page"/>
      </w:r>
      <w:r w:rsidR="00BF28DD" w:rsidRPr="009118AB">
        <w:rPr>
          <w:b/>
          <w:bCs/>
        </w:rPr>
        <w:lastRenderedPageBreak/>
        <w:t>KAPITEL </w:t>
      </w:r>
      <w:r w:rsidR="007828ED" w:rsidRPr="009118AB">
        <w:rPr>
          <w:b/>
          <w:bCs/>
        </w:rPr>
        <w:t>2</w:t>
      </w:r>
      <w:r w:rsidR="00D67EB8" w:rsidRPr="009118AB">
        <w:t> - </w:t>
      </w:r>
      <w:r w:rsidRPr="009118AB">
        <w:rPr>
          <w:i/>
          <w:iCs/>
        </w:rPr>
        <w:t>Besteuerungsgrundlage</w:t>
      </w:r>
    </w:p>
    <w:p w14:paraId="52419D4F" w14:textId="77777777" w:rsidR="00477B8F" w:rsidRPr="009118AB" w:rsidRDefault="00477B8F" w:rsidP="00477B8F">
      <w:pPr>
        <w:autoSpaceDE w:val="0"/>
        <w:autoSpaceDN w:val="0"/>
        <w:adjustRightInd w:val="0"/>
        <w:jc w:val="center"/>
      </w:pPr>
    </w:p>
    <w:p w14:paraId="3A3CCD9F" w14:textId="77777777" w:rsidR="00477B8F" w:rsidRPr="009118AB" w:rsidRDefault="00477B8F" w:rsidP="00477B8F">
      <w:pPr>
        <w:autoSpaceDE w:val="0"/>
        <w:autoSpaceDN w:val="0"/>
        <w:adjustRightInd w:val="0"/>
        <w:jc w:val="both"/>
      </w:pPr>
    </w:p>
    <w:p w14:paraId="49A91225" w14:textId="736AD5CF"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221</w:t>
      </w:r>
      <w:r w:rsidR="00D67EB8" w:rsidRPr="009118AB">
        <w:t> - </w:t>
      </w:r>
      <w:r w:rsidRPr="009118AB">
        <w:t>Juristische Personen, die der Steuer der juristischen Personen unterliegen, sind ausschließlich steuerpflichtig aufgrund:</w:t>
      </w:r>
    </w:p>
    <w:p w14:paraId="7629F6EC" w14:textId="77777777" w:rsidR="00477B8F" w:rsidRPr="009118AB" w:rsidRDefault="00477B8F" w:rsidP="00477B8F">
      <w:pPr>
        <w:autoSpaceDE w:val="0"/>
        <w:autoSpaceDN w:val="0"/>
        <w:adjustRightInd w:val="0"/>
        <w:jc w:val="both"/>
      </w:pPr>
    </w:p>
    <w:p w14:paraId="42F2A1A3" w14:textId="77777777" w:rsidR="00477B8F" w:rsidRPr="009118AB" w:rsidRDefault="00477B8F" w:rsidP="00477B8F">
      <w:pPr>
        <w:autoSpaceDE w:val="0"/>
        <w:autoSpaceDN w:val="0"/>
        <w:adjustRightInd w:val="0"/>
        <w:jc w:val="both"/>
      </w:pPr>
      <w:r w:rsidRPr="009118AB">
        <w:tab/>
        <w:t>1. des Katastereinkommens ihrer in Belgien gelegenen unbeweglichen Güter, wenn dieses Katastereinkommen nicht aufgrund von Artikel 253 oder von besonderen Gesetzesbestimmungen vom Immobiliensteuervorabzug befreit ist,</w:t>
      </w:r>
    </w:p>
    <w:p w14:paraId="712FC540" w14:textId="77777777" w:rsidR="00477B8F" w:rsidRPr="009118AB" w:rsidRDefault="00477B8F" w:rsidP="00477B8F">
      <w:pPr>
        <w:autoSpaceDE w:val="0"/>
        <w:autoSpaceDN w:val="0"/>
        <w:adjustRightInd w:val="0"/>
        <w:jc w:val="both"/>
      </w:pPr>
    </w:p>
    <w:p w14:paraId="50AF1CB0" w14:textId="0E471638" w:rsidR="00477B8F" w:rsidRPr="009118AB" w:rsidRDefault="00477B8F" w:rsidP="00477B8F">
      <w:pPr>
        <w:autoSpaceDE w:val="0"/>
        <w:autoSpaceDN w:val="0"/>
        <w:adjustRightInd w:val="0"/>
        <w:jc w:val="both"/>
      </w:pPr>
      <w:r w:rsidRPr="009118AB">
        <w:tab/>
        <w:t>2. [</w:t>
      </w:r>
      <w:r w:rsidR="00441B7B" w:rsidRPr="009118AB">
        <w:t xml:space="preserve">der Einkünfte und Erträge aus Kapitalvermögen und beweglichen Gütern, </w:t>
      </w:r>
      <w:r w:rsidR="009E50AC" w:rsidRPr="009118AB">
        <w:t xml:space="preserve">[in Artikel 21 Absatz 1 </w:t>
      </w:r>
      <w:r w:rsidR="00D67EB8" w:rsidRPr="009118AB">
        <w:t>Nr. </w:t>
      </w:r>
      <w:r w:rsidR="009E50AC" w:rsidRPr="009118AB">
        <w:t>5, 10 und 14]</w:t>
      </w:r>
      <w:r w:rsidR="00441B7B" w:rsidRPr="009118AB">
        <w:t xml:space="preserve"> erwähnte erste Einkommensteilbeträge und </w:t>
      </w:r>
      <w:r w:rsidR="009E50AC" w:rsidRPr="009118AB">
        <w:t>[</w:t>
      </w:r>
      <w:r w:rsidR="00441B7B" w:rsidRPr="009118AB">
        <w:t xml:space="preserve">in Artikel 21 </w:t>
      </w:r>
      <w:r w:rsidR="009E50AC" w:rsidRPr="009118AB">
        <w:t xml:space="preserve">Absatz 1 </w:t>
      </w:r>
      <w:r w:rsidR="00D67EB8" w:rsidRPr="009118AB">
        <w:t>Nr. </w:t>
      </w:r>
      <w:r w:rsidR="00441B7B" w:rsidRPr="009118AB">
        <w:t>13</w:t>
      </w:r>
      <w:r w:rsidR="009E50AC" w:rsidRPr="009118AB">
        <w:t>]</w:t>
      </w:r>
      <w:r w:rsidR="00441B7B" w:rsidRPr="009118AB">
        <w:t xml:space="preserve"> erwähnte Zinsen einbegriffen, und der in </w:t>
      </w:r>
      <w:r w:rsidR="00D61E20" w:rsidRPr="009118AB">
        <w:t xml:space="preserve">[Artikel 90 Absatz 1 </w:t>
      </w:r>
      <w:r w:rsidR="00D67EB8" w:rsidRPr="009118AB">
        <w:t>Nr. </w:t>
      </w:r>
      <w:r w:rsidR="00D61E20" w:rsidRPr="009118AB">
        <w:t>5 bis 7 und 11]</w:t>
      </w:r>
      <w:r w:rsidR="00441B7B" w:rsidRPr="009118AB">
        <w:t xml:space="preserve"> erwähnten verschiedenen Einkünfte.</w:t>
      </w:r>
      <w:r w:rsidRPr="009118AB">
        <w:t>]</w:t>
      </w:r>
    </w:p>
    <w:p w14:paraId="68EC7044" w14:textId="77777777" w:rsidR="009A6A5D" w:rsidRPr="009118AB" w:rsidRDefault="009A6A5D" w:rsidP="00477B8F">
      <w:pPr>
        <w:autoSpaceDE w:val="0"/>
        <w:autoSpaceDN w:val="0"/>
        <w:adjustRightInd w:val="0"/>
        <w:jc w:val="both"/>
      </w:pPr>
    </w:p>
    <w:p w14:paraId="519BC2DC" w14:textId="2D28B827" w:rsidR="009A6A5D" w:rsidRPr="009118AB" w:rsidRDefault="009A6A5D" w:rsidP="00477B8F">
      <w:pPr>
        <w:autoSpaceDE w:val="0"/>
        <w:autoSpaceDN w:val="0"/>
        <w:adjustRightInd w:val="0"/>
        <w:jc w:val="both"/>
      </w:pPr>
      <w:r w:rsidRPr="009118AB">
        <w:rPr>
          <w:i/>
        </w:rPr>
        <w:tab/>
      </w:r>
      <w:r w:rsidRPr="009118AB">
        <w:t>[</w:t>
      </w:r>
      <w:r w:rsidR="009E50AC" w:rsidRPr="009118AB">
        <w:t>[</w:t>
      </w:r>
      <w:r w:rsidRPr="009118AB">
        <w:t xml:space="preserve">Artikel 21 </w:t>
      </w:r>
      <w:r w:rsidR="009E50AC" w:rsidRPr="009118AB">
        <w:t xml:space="preserve">Absatz 1 </w:t>
      </w:r>
      <w:r w:rsidR="00D67EB8" w:rsidRPr="009118AB">
        <w:t>Nr. </w:t>
      </w:r>
      <w:r w:rsidRPr="009118AB">
        <w:t>12</w:t>
      </w:r>
      <w:r w:rsidR="009E50AC" w:rsidRPr="009118AB">
        <w:t>]</w:t>
      </w:r>
      <w:r w:rsidRPr="009118AB">
        <w:t xml:space="preserve"> ist auf die gemäß Artikel 220/1 besteuerten juristischen Personen anwendbar.]</w:t>
      </w:r>
    </w:p>
    <w:p w14:paraId="5F8F49D0" w14:textId="77777777" w:rsidR="00477B8F" w:rsidRPr="009118AB" w:rsidRDefault="00477B8F" w:rsidP="00477B8F">
      <w:pPr>
        <w:autoSpaceDE w:val="0"/>
        <w:autoSpaceDN w:val="0"/>
        <w:adjustRightInd w:val="0"/>
        <w:jc w:val="both"/>
      </w:pPr>
    </w:p>
    <w:p w14:paraId="170F8CE1" w14:textId="48125207"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221 </w:t>
      </w:r>
      <w:r w:rsidR="00D67EB8" w:rsidRPr="009118AB">
        <w:rPr>
          <w:i/>
          <w:iCs/>
        </w:rPr>
        <w:t>Abs. </w:t>
      </w:r>
      <w:r w:rsidR="009A6A5D" w:rsidRPr="009118AB">
        <w:rPr>
          <w:i/>
          <w:iCs/>
        </w:rPr>
        <w:t xml:space="preserve">1 </w:t>
      </w:r>
      <w:r w:rsidR="00D67EB8" w:rsidRPr="009118AB">
        <w:rPr>
          <w:i/>
          <w:iCs/>
        </w:rPr>
        <w:t>Nr. </w:t>
      </w:r>
      <w:r w:rsidRPr="009118AB">
        <w:rPr>
          <w:i/>
          <w:iCs/>
        </w:rPr>
        <w:t xml:space="preserve">2 ersetzt durch </w:t>
      </w:r>
      <w:r w:rsidR="00D67EB8" w:rsidRPr="009118AB">
        <w:rPr>
          <w:i/>
        </w:rPr>
        <w:t>Art. </w:t>
      </w:r>
      <w:r w:rsidR="00342730" w:rsidRPr="009118AB">
        <w:rPr>
          <w:i/>
        </w:rPr>
        <w:t>62</w:t>
      </w:r>
      <w:r w:rsidR="00342730" w:rsidRPr="009118AB">
        <w:rPr>
          <w:i/>
          <w:iCs/>
        </w:rPr>
        <w:t xml:space="preserve"> des G. vom 10. August 2015 (B.S. vom 18. August 2015)</w:t>
      </w:r>
      <w:r w:rsidR="00D67EB8" w:rsidRPr="009118AB">
        <w:rPr>
          <w:i/>
          <w:iCs/>
        </w:rPr>
        <w:t> - </w:t>
      </w:r>
      <w:r w:rsidR="00342730" w:rsidRPr="009118AB">
        <w:rPr>
          <w:i/>
        </w:rPr>
        <w:t>anwendbar auf die ab dem 1. August 2015 abgeschlossenen Darlehen</w:t>
      </w:r>
      <w:r w:rsidR="00D67EB8" w:rsidRPr="009118AB">
        <w:rPr>
          <w:i/>
        </w:rPr>
        <w:t> - </w:t>
      </w:r>
      <w:r w:rsidR="00D61E20" w:rsidRPr="009118AB">
        <w:rPr>
          <w:i/>
        </w:rPr>
        <w:t xml:space="preserve">und abgeändert durch </w:t>
      </w:r>
      <w:r w:rsidR="00D67EB8" w:rsidRPr="009118AB">
        <w:rPr>
          <w:i/>
        </w:rPr>
        <w:t>Art. </w:t>
      </w:r>
      <w:r w:rsidR="00D61E20" w:rsidRPr="009118AB">
        <w:rPr>
          <w:i/>
        </w:rPr>
        <w:t>71 des G. vom 26. Dezember 2015 (II) (B.S. vom 30. Dezember 2015)</w:t>
      </w:r>
      <w:r w:rsidR="00D67EB8" w:rsidRPr="009118AB">
        <w:t> - </w:t>
      </w:r>
      <w:r w:rsidR="00D61E20"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r w:rsidR="009E50AC" w:rsidRPr="009118AB">
        <w:rPr>
          <w:i/>
        </w:rPr>
        <w:t xml:space="preserve"> </w:t>
      </w:r>
      <w:r w:rsidR="00D67EB8" w:rsidRPr="009118AB">
        <w:rPr>
          <w:i/>
        </w:rPr>
        <w:t>Art. </w:t>
      </w:r>
      <w:r w:rsidR="009E50AC" w:rsidRPr="009118AB">
        <w:rPr>
          <w:i/>
        </w:rPr>
        <w:t xml:space="preserve">109 </w:t>
      </w:r>
      <w:r w:rsidR="00D67EB8" w:rsidRPr="009118AB">
        <w:rPr>
          <w:i/>
        </w:rPr>
        <w:t>Nr. </w:t>
      </w:r>
      <w:r w:rsidR="009E50AC" w:rsidRPr="009118AB">
        <w:rPr>
          <w:i/>
        </w:rPr>
        <w:t>1</w:t>
      </w:r>
      <w:r w:rsidR="009E50AC" w:rsidRPr="009118AB">
        <w:rPr>
          <w:i/>
          <w:iCs/>
        </w:rPr>
        <w:t xml:space="preserve"> des G. vom 25. Dezember 2017 (IV) (B.S. vom 29. Dezember 2017)</w:t>
      </w:r>
      <w:r w:rsidR="00D67EB8" w:rsidRPr="009118AB">
        <w:rPr>
          <w:i/>
        </w:rPr>
        <w:t> - </w:t>
      </w:r>
      <w:r w:rsidR="009E50AC" w:rsidRPr="009118AB">
        <w:rPr>
          <w:i/>
        </w:rPr>
        <w:t>anwendbar ab dem 30. Dezember 2016</w:t>
      </w:r>
      <w:r w:rsidR="00D67EB8" w:rsidRPr="009118AB">
        <w:rPr>
          <w:i/>
        </w:rPr>
        <w:t> - </w:t>
      </w:r>
      <w:r w:rsidR="009E50AC" w:rsidRPr="009118AB">
        <w:rPr>
          <w:i/>
        </w:rPr>
        <w:t xml:space="preserve">und </w:t>
      </w:r>
      <w:r w:rsidR="00D67EB8" w:rsidRPr="009118AB">
        <w:rPr>
          <w:i/>
        </w:rPr>
        <w:t>Art. </w:t>
      </w:r>
      <w:r w:rsidR="009E50AC" w:rsidRPr="009118AB">
        <w:rPr>
          <w:i/>
        </w:rPr>
        <w:t xml:space="preserve">109 </w:t>
      </w:r>
      <w:r w:rsidR="00D67EB8" w:rsidRPr="009118AB">
        <w:rPr>
          <w:i/>
        </w:rPr>
        <w:t>Nr. </w:t>
      </w:r>
      <w:r w:rsidR="009E50AC" w:rsidRPr="009118AB">
        <w:rPr>
          <w:i/>
        </w:rPr>
        <w:t>2</w:t>
      </w:r>
      <w:r w:rsidR="009E50AC" w:rsidRPr="009118AB">
        <w:rPr>
          <w:rFonts w:ascii="Times New Roman Italique" w:hAnsi="Times New Roman Italique"/>
          <w:i/>
          <w:iCs/>
          <w:spacing w:val="-2"/>
        </w:rPr>
        <w:t xml:space="preserve"> </w:t>
      </w:r>
      <w:r w:rsidR="009E50AC" w:rsidRPr="009118AB">
        <w:rPr>
          <w:i/>
          <w:iCs/>
        </w:rPr>
        <w:t>des G. vom 25. Dezember 2017 (IV) (B.S. vom 29. Dezember 2017)</w:t>
      </w:r>
      <w:r w:rsidR="00D67EB8" w:rsidRPr="009118AB">
        <w:rPr>
          <w:i/>
          <w:iCs/>
        </w:rPr>
        <w:t> - </w:t>
      </w:r>
      <w:r w:rsidR="009E50AC" w:rsidRPr="009118AB">
        <w:rPr>
          <w:i/>
        </w:rPr>
        <w:t>anwendbar auf die ab dem 1. Januar 2018 gezahlten oder zuerkannten Einkünfte</w:t>
      </w:r>
      <w:r w:rsidR="003366D9" w:rsidRPr="009118AB">
        <w:rPr>
          <w:i/>
        </w:rPr>
        <w:t> -;</w:t>
      </w:r>
      <w:r w:rsidR="009A6A5D" w:rsidRPr="009118AB">
        <w:rPr>
          <w:i/>
          <w:iCs/>
        </w:rPr>
        <w:t xml:space="preserve"> </w:t>
      </w:r>
      <w:r w:rsidR="00D67EB8" w:rsidRPr="009118AB">
        <w:rPr>
          <w:i/>
          <w:iCs/>
        </w:rPr>
        <w:t>Abs. </w:t>
      </w:r>
      <w:r w:rsidR="009A6A5D" w:rsidRPr="009118AB">
        <w:rPr>
          <w:i/>
          <w:iCs/>
        </w:rPr>
        <w:t xml:space="preserve">2 eingefügt durch </w:t>
      </w:r>
      <w:r w:rsidR="00D67EB8" w:rsidRPr="009118AB">
        <w:rPr>
          <w:i/>
          <w:iCs/>
        </w:rPr>
        <w:t>Art. </w:t>
      </w:r>
      <w:r w:rsidR="009A6A5D" w:rsidRPr="009118AB">
        <w:rPr>
          <w:i/>
          <w:iCs/>
        </w:rPr>
        <w:t>43</w:t>
      </w:r>
      <w:r w:rsidR="009A6A5D" w:rsidRPr="009118AB">
        <w:rPr>
          <w:i/>
        </w:rPr>
        <w:t xml:space="preserve"> des G. vom 10. August 2015 (B.S. vom 18. August 2015)</w:t>
      </w:r>
      <w:r w:rsidR="00D67EB8" w:rsidRPr="009118AB">
        <w:rPr>
          <w:i/>
        </w:rPr>
        <w:t> - </w:t>
      </w:r>
      <w:r w:rsidR="009A6A5D" w:rsidRPr="009118AB">
        <w:rPr>
          <w:i/>
          <w:lang w:bidi="de-DE"/>
        </w:rPr>
        <w:t>anwendbar au</w:t>
      </w:r>
      <w:r w:rsidR="00681DBF" w:rsidRPr="009118AB">
        <w:rPr>
          <w:i/>
          <w:lang w:bidi="de-DE"/>
        </w:rPr>
        <w:t>f Einkünfte, die ab dem 1. Janu</w:t>
      </w:r>
      <w:r w:rsidR="009A6A5D" w:rsidRPr="009118AB">
        <w:rPr>
          <w:i/>
          <w:lang w:bidi="de-DE"/>
        </w:rPr>
        <w:t>ar 2015 von einer Rechtsvereinbarung bezogen, zuerkannt oder ausgeschüttet werden, und</w:t>
      </w:r>
      <w:r w:rsidR="00D67EB8" w:rsidRPr="009118AB">
        <w:rPr>
          <w:i/>
          <w:lang w:bidi="de-DE"/>
        </w:rPr>
        <w:t> - </w:t>
      </w:r>
      <w:r w:rsidR="009A6A5D" w:rsidRPr="009118AB">
        <w:rPr>
          <w:i/>
          <w:lang w:bidi="de-DE"/>
        </w:rPr>
        <w:t>in Bezug auf die Anwendung des Mobiliensteuervorabzugs oder des Berufssteuervorabzugs</w:t>
      </w:r>
      <w:r w:rsidR="00D67EB8" w:rsidRPr="009118AB">
        <w:rPr>
          <w:i/>
          <w:lang w:bidi="de-DE"/>
        </w:rPr>
        <w:t> - </w:t>
      </w:r>
      <w:r w:rsidR="009A6A5D" w:rsidRPr="009118AB">
        <w:rPr>
          <w:i/>
          <w:lang w:bidi="de-DE"/>
        </w:rPr>
        <w:t>auf Einkünfte, die ab dem 1. September 2015 zuerkannt oder ausgeschüttet werden</w:t>
      </w:r>
      <w:r w:rsidR="00D67EB8" w:rsidRPr="009118AB">
        <w:rPr>
          <w:i/>
        </w:rPr>
        <w:t> - </w:t>
      </w:r>
      <w:r w:rsidR="009E50AC" w:rsidRPr="009118AB">
        <w:rPr>
          <w:i/>
        </w:rPr>
        <w:t xml:space="preserve">und abgeändert durch </w:t>
      </w:r>
      <w:r w:rsidR="00D67EB8" w:rsidRPr="009118AB">
        <w:rPr>
          <w:i/>
        </w:rPr>
        <w:t>Art. </w:t>
      </w:r>
      <w:r w:rsidR="009E50AC" w:rsidRPr="009118AB">
        <w:rPr>
          <w:i/>
        </w:rPr>
        <w:t xml:space="preserve">109 </w:t>
      </w:r>
      <w:r w:rsidR="00D67EB8" w:rsidRPr="009118AB">
        <w:rPr>
          <w:i/>
        </w:rPr>
        <w:t>Nr. </w:t>
      </w:r>
      <w:r w:rsidR="009E50AC" w:rsidRPr="009118AB">
        <w:rPr>
          <w:i/>
        </w:rPr>
        <w:t>3</w:t>
      </w:r>
      <w:r w:rsidR="009E50AC" w:rsidRPr="009118AB">
        <w:rPr>
          <w:i/>
          <w:iCs/>
        </w:rPr>
        <w:t xml:space="preserve"> des G. vom 25. Dezember 2017 (IV) (B.S. vom 29. Dezember 2017)</w:t>
      </w:r>
      <w:r w:rsidR="00D67EB8" w:rsidRPr="009118AB">
        <w:rPr>
          <w:i/>
        </w:rPr>
        <w:t> - </w:t>
      </w:r>
      <w:r w:rsidR="009E50AC" w:rsidRPr="009118AB">
        <w:rPr>
          <w:i/>
        </w:rPr>
        <w:t>anwendbar ab dem 30. Dezember 2016</w:t>
      </w:r>
      <w:r w:rsidR="00FD68E8" w:rsidRPr="009118AB">
        <w:rPr>
          <w:i/>
        </w:rPr>
        <w:t> -]</w:t>
      </w:r>
    </w:p>
    <w:p w14:paraId="4A9C3ED2" w14:textId="77777777" w:rsidR="00477B8F" w:rsidRPr="009118AB" w:rsidRDefault="00477B8F" w:rsidP="00477B8F">
      <w:pPr>
        <w:autoSpaceDE w:val="0"/>
        <w:autoSpaceDN w:val="0"/>
        <w:adjustRightInd w:val="0"/>
        <w:jc w:val="both"/>
      </w:pPr>
    </w:p>
    <w:p w14:paraId="6722E922" w14:textId="77777777" w:rsidR="00477B8F" w:rsidRPr="009118AB" w:rsidRDefault="00477B8F" w:rsidP="00477B8F">
      <w:pPr>
        <w:autoSpaceDE w:val="0"/>
        <w:autoSpaceDN w:val="0"/>
        <w:adjustRightInd w:val="0"/>
        <w:jc w:val="both"/>
      </w:pPr>
    </w:p>
    <w:p w14:paraId="4156BE4E" w14:textId="1F8E98DD" w:rsidR="001B7631" w:rsidRPr="009118AB" w:rsidRDefault="00477B8F" w:rsidP="001B7631">
      <w:pPr>
        <w:autoSpaceDE w:val="0"/>
        <w:autoSpaceDN w:val="0"/>
        <w:adjustRightInd w:val="0"/>
        <w:jc w:val="both"/>
        <w:rPr>
          <w:iCs/>
        </w:rPr>
      </w:pPr>
      <w:r w:rsidRPr="009118AB">
        <w:tab/>
      </w:r>
      <w:r w:rsidR="00D67EB8" w:rsidRPr="009118AB">
        <w:rPr>
          <w:b/>
          <w:bCs/>
        </w:rPr>
        <w:t>Art. </w:t>
      </w:r>
      <w:r w:rsidRPr="009118AB">
        <w:rPr>
          <w:b/>
          <w:bCs/>
        </w:rPr>
        <w:t>222</w:t>
      </w:r>
      <w:r w:rsidR="00D67EB8" w:rsidRPr="009118AB">
        <w:t> - </w:t>
      </w:r>
      <w:r w:rsidR="00DA63BA" w:rsidRPr="009118AB">
        <w:t xml:space="preserve">[In den Artikeln 180 </w:t>
      </w:r>
      <w:r w:rsidR="00D67EB8" w:rsidRPr="009118AB">
        <w:t>Nr. </w:t>
      </w:r>
      <w:r w:rsidR="00DA63BA" w:rsidRPr="009118AB">
        <w:t xml:space="preserve">1 und 220 </w:t>
      </w:r>
      <w:r w:rsidR="00D67EB8" w:rsidRPr="009118AB">
        <w:t>Nr. </w:t>
      </w:r>
      <w:r w:rsidR="00DA63BA" w:rsidRPr="009118AB">
        <w:t>3]</w:t>
      </w:r>
      <w:r w:rsidR="00DA63BA" w:rsidRPr="009118AB">
        <w:rPr>
          <w:iCs/>
        </w:rPr>
        <w:t xml:space="preserve"> </w:t>
      </w:r>
      <w:r w:rsidR="001B7631" w:rsidRPr="009118AB">
        <w:rPr>
          <w:iCs/>
        </w:rPr>
        <w:t>erwähnte juristische Personen sind ebenfalls steuerpflichtig aufgrund:</w:t>
      </w:r>
    </w:p>
    <w:p w14:paraId="37CF80F7" w14:textId="77777777" w:rsidR="001B7631" w:rsidRPr="009118AB" w:rsidRDefault="001B7631" w:rsidP="001B7631">
      <w:pPr>
        <w:autoSpaceDE w:val="0"/>
        <w:autoSpaceDN w:val="0"/>
        <w:adjustRightInd w:val="0"/>
        <w:jc w:val="both"/>
        <w:rPr>
          <w:iCs/>
        </w:rPr>
      </w:pPr>
    </w:p>
    <w:p w14:paraId="2E935A46" w14:textId="77777777" w:rsidR="001B7631" w:rsidRPr="009118AB" w:rsidRDefault="005D5BEB" w:rsidP="001B7631">
      <w:pPr>
        <w:autoSpaceDE w:val="0"/>
        <w:autoSpaceDN w:val="0"/>
        <w:adjustRightInd w:val="0"/>
        <w:jc w:val="both"/>
        <w:rPr>
          <w:iCs/>
        </w:rPr>
      </w:pPr>
      <w:r w:rsidRPr="009118AB">
        <w:rPr>
          <w:iCs/>
        </w:rPr>
        <w:tab/>
      </w:r>
      <w:r w:rsidR="001B7631" w:rsidRPr="009118AB">
        <w:rPr>
          <w:iCs/>
        </w:rPr>
        <w:t>1. der Einkünfte ihrer im Ausland gelegenen unbeweglichen Güter, außer wenn es sich um unbewegliche Güter handelt, deren Katastereinkommen vom Immobiliensteuervorabzug befreit wäre, wenn diese Güter in Belgien gelegen wären; der steuerpflichtige Betrag dieser Einkünfte wird gemäß den Artikeln 7 bis 11 und 13 festgelegt,</w:t>
      </w:r>
    </w:p>
    <w:p w14:paraId="05A8BF90" w14:textId="77777777" w:rsidR="002700C6" w:rsidRPr="009118AB" w:rsidRDefault="002700C6" w:rsidP="001B7631">
      <w:pPr>
        <w:autoSpaceDE w:val="0"/>
        <w:autoSpaceDN w:val="0"/>
        <w:adjustRightInd w:val="0"/>
        <w:jc w:val="both"/>
        <w:rPr>
          <w:iCs/>
        </w:rPr>
      </w:pPr>
    </w:p>
    <w:p w14:paraId="13D80280" w14:textId="77777777" w:rsidR="002700C6" w:rsidRPr="009118AB" w:rsidRDefault="002700C6">
      <w:pPr>
        <w:rPr>
          <w:iCs/>
        </w:rPr>
      </w:pPr>
      <w:r w:rsidRPr="009118AB">
        <w:rPr>
          <w:iCs/>
        </w:rPr>
        <w:br w:type="page"/>
      </w:r>
    </w:p>
    <w:p w14:paraId="69719B51" w14:textId="35C9A552" w:rsidR="001B7631" w:rsidRPr="009118AB" w:rsidRDefault="005D5BEB" w:rsidP="001B7631">
      <w:pPr>
        <w:autoSpaceDE w:val="0"/>
        <w:autoSpaceDN w:val="0"/>
        <w:adjustRightInd w:val="0"/>
        <w:jc w:val="both"/>
        <w:rPr>
          <w:iCs/>
        </w:rPr>
      </w:pPr>
      <w:r w:rsidRPr="009118AB">
        <w:rPr>
          <w:iCs/>
        </w:rPr>
        <w:lastRenderedPageBreak/>
        <w:tab/>
      </w:r>
      <w:r w:rsidR="001B7631" w:rsidRPr="009118AB">
        <w:rPr>
          <w:iCs/>
        </w:rPr>
        <w:t>2. des Teils des Nettobetrags des Mietpreises und der Mietvorteile der in Belgien gelegenen unbeweglichen Güter, der das Katastereinkommen dieser Güter übersteigt, außer wenn es sich handelt um:</w:t>
      </w:r>
    </w:p>
    <w:p w14:paraId="46605688" w14:textId="77777777" w:rsidR="001B7631" w:rsidRPr="009118AB" w:rsidRDefault="001B7631" w:rsidP="001B7631">
      <w:pPr>
        <w:autoSpaceDE w:val="0"/>
        <w:autoSpaceDN w:val="0"/>
        <w:adjustRightInd w:val="0"/>
        <w:jc w:val="both"/>
        <w:rPr>
          <w:iCs/>
        </w:rPr>
      </w:pPr>
    </w:p>
    <w:p w14:paraId="78E46CA7" w14:textId="77777777" w:rsidR="001B7631" w:rsidRPr="009118AB" w:rsidRDefault="005D5BEB" w:rsidP="001B7631">
      <w:pPr>
        <w:autoSpaceDE w:val="0"/>
        <w:autoSpaceDN w:val="0"/>
        <w:adjustRightInd w:val="0"/>
        <w:jc w:val="both"/>
        <w:rPr>
          <w:iCs/>
        </w:rPr>
      </w:pPr>
      <w:r w:rsidRPr="009118AB">
        <w:rPr>
          <w:iCs/>
        </w:rPr>
        <w:tab/>
      </w:r>
      <w:r w:rsidR="001B7631" w:rsidRPr="009118AB">
        <w:rPr>
          <w:iCs/>
        </w:rPr>
        <w:t>- Güter, die an eine natürliche Person vermietet sind, die diese Güter weder ganz noch teilweise zur Ausübung ihrer Berufstätigkeit nutzt,</w:t>
      </w:r>
    </w:p>
    <w:p w14:paraId="6E294D48" w14:textId="77777777" w:rsidR="001B7631" w:rsidRPr="009118AB" w:rsidRDefault="001B7631" w:rsidP="001B7631">
      <w:pPr>
        <w:autoSpaceDE w:val="0"/>
        <w:autoSpaceDN w:val="0"/>
        <w:adjustRightInd w:val="0"/>
        <w:jc w:val="both"/>
        <w:rPr>
          <w:iCs/>
        </w:rPr>
      </w:pPr>
    </w:p>
    <w:p w14:paraId="4186C4DB" w14:textId="77777777" w:rsidR="001B7631" w:rsidRPr="009118AB" w:rsidRDefault="005D5BEB" w:rsidP="001B7631">
      <w:pPr>
        <w:autoSpaceDE w:val="0"/>
        <w:autoSpaceDN w:val="0"/>
        <w:adjustRightInd w:val="0"/>
        <w:jc w:val="both"/>
        <w:rPr>
          <w:iCs/>
        </w:rPr>
      </w:pPr>
      <w:r w:rsidRPr="009118AB">
        <w:rPr>
          <w:iCs/>
        </w:rPr>
        <w:tab/>
      </w:r>
      <w:r w:rsidR="001B7631" w:rsidRPr="009118AB">
        <w:rPr>
          <w:iCs/>
        </w:rPr>
        <w:t>- Güter, die gemäß den Rechtsvorschriften über den Landpachtvertrag vermietet sind und vom Mieter zu landwirtschaftlichen oder gartenbaulichen Zwecken genutzt werden,</w:t>
      </w:r>
    </w:p>
    <w:p w14:paraId="6A3AEF94" w14:textId="77777777" w:rsidR="001B7631" w:rsidRPr="009118AB" w:rsidRDefault="001B7631" w:rsidP="001B7631">
      <w:pPr>
        <w:autoSpaceDE w:val="0"/>
        <w:autoSpaceDN w:val="0"/>
        <w:adjustRightInd w:val="0"/>
        <w:jc w:val="both"/>
        <w:rPr>
          <w:iCs/>
        </w:rPr>
      </w:pPr>
    </w:p>
    <w:p w14:paraId="720601CA" w14:textId="5038D3CB" w:rsidR="001B7631" w:rsidRPr="009118AB" w:rsidRDefault="005D5BEB" w:rsidP="001B7631">
      <w:pPr>
        <w:autoSpaceDE w:val="0"/>
        <w:autoSpaceDN w:val="0"/>
        <w:adjustRightInd w:val="0"/>
        <w:jc w:val="both"/>
        <w:rPr>
          <w:iCs/>
        </w:rPr>
      </w:pPr>
      <w:r w:rsidRPr="009118AB">
        <w:rPr>
          <w:iCs/>
        </w:rPr>
        <w:tab/>
      </w:r>
      <w:r w:rsidR="001B7631" w:rsidRPr="009118AB">
        <w:rPr>
          <w:iCs/>
        </w:rPr>
        <w:t xml:space="preserve">- andere Güter unter der Bedingung, dass der Mieter keine Gewinnerzielungsabsicht verfolgt und diese Güter zu einem der in Artikel 12 </w:t>
      </w:r>
      <w:r w:rsidR="00D67EB8" w:rsidRPr="009118AB">
        <w:rPr>
          <w:iCs/>
        </w:rPr>
        <w:t>§ </w:t>
      </w:r>
      <w:r w:rsidR="001B7631" w:rsidRPr="009118AB">
        <w:rPr>
          <w:iCs/>
        </w:rPr>
        <w:t>1 vorgesehenen Zwecke nutzt;</w:t>
      </w:r>
    </w:p>
    <w:p w14:paraId="6B7F9A57" w14:textId="77777777" w:rsidR="001B7631" w:rsidRPr="009118AB" w:rsidRDefault="001B7631" w:rsidP="001B7631">
      <w:pPr>
        <w:autoSpaceDE w:val="0"/>
        <w:autoSpaceDN w:val="0"/>
        <w:adjustRightInd w:val="0"/>
        <w:jc w:val="both"/>
        <w:rPr>
          <w:iCs/>
        </w:rPr>
      </w:pPr>
    </w:p>
    <w:p w14:paraId="1950F478" w14:textId="77777777" w:rsidR="001B7631" w:rsidRPr="009118AB" w:rsidRDefault="005D5BEB" w:rsidP="001B7631">
      <w:pPr>
        <w:autoSpaceDE w:val="0"/>
        <w:autoSpaceDN w:val="0"/>
        <w:adjustRightInd w:val="0"/>
        <w:jc w:val="both"/>
        <w:rPr>
          <w:iCs/>
        </w:rPr>
      </w:pPr>
      <w:r w:rsidRPr="009118AB">
        <w:rPr>
          <w:iCs/>
        </w:rPr>
        <w:tab/>
      </w:r>
      <w:r w:rsidR="001B7631" w:rsidRPr="009118AB">
        <w:rPr>
          <w:iCs/>
        </w:rPr>
        <w:t>der steuerpflichtige Betrag dieser Einkünfte wird ebenfalls gemäß den Artikeln 7 bis 11 und 13 festgelegt,</w:t>
      </w:r>
    </w:p>
    <w:p w14:paraId="51BF529F" w14:textId="77777777" w:rsidR="001B7631" w:rsidRPr="009118AB" w:rsidRDefault="001B7631" w:rsidP="001B7631">
      <w:pPr>
        <w:autoSpaceDE w:val="0"/>
        <w:autoSpaceDN w:val="0"/>
        <w:adjustRightInd w:val="0"/>
        <w:jc w:val="both"/>
        <w:rPr>
          <w:iCs/>
        </w:rPr>
      </w:pPr>
    </w:p>
    <w:p w14:paraId="33D16BFD" w14:textId="31C56200" w:rsidR="001B7631" w:rsidRPr="009118AB" w:rsidRDefault="005D5BEB" w:rsidP="001B7631">
      <w:pPr>
        <w:autoSpaceDE w:val="0"/>
        <w:autoSpaceDN w:val="0"/>
        <w:adjustRightInd w:val="0"/>
        <w:jc w:val="both"/>
        <w:rPr>
          <w:iCs/>
        </w:rPr>
      </w:pPr>
      <w:r w:rsidRPr="009118AB">
        <w:rPr>
          <w:iCs/>
        </w:rPr>
        <w:tab/>
      </w:r>
      <w:r w:rsidR="001B7631" w:rsidRPr="009118AB">
        <w:rPr>
          <w:iCs/>
        </w:rPr>
        <w:t xml:space="preserve">3. der Beträge, die anlässlich der Begründung oder Abtretung eines Erbpachtrechts oder Erbbaurechts oder gleichartiger Rechte an unbeweglichen Gütern in Bezug auf ein in Belgien oder im Ausland gelegenes unbewegliches Gut bezogen werden, wobei die in </w:t>
      </w:r>
      <w:r w:rsidR="00D67EB8" w:rsidRPr="009118AB">
        <w:rPr>
          <w:iCs/>
        </w:rPr>
        <w:t>Nr. </w:t>
      </w:r>
      <w:r w:rsidR="001B7631" w:rsidRPr="009118AB">
        <w:rPr>
          <w:iCs/>
        </w:rPr>
        <w:t>2 vorgesehenen Ausnahmen auch hier gelten; der steuerpflichtige Betrag dieser Summen wird ebenfalls gemäß den Artikeln 7 bis 11 und 13 festgelegt,</w:t>
      </w:r>
    </w:p>
    <w:p w14:paraId="042894AB" w14:textId="77777777" w:rsidR="001B7631" w:rsidRPr="009118AB" w:rsidRDefault="001B7631" w:rsidP="001B7631">
      <w:pPr>
        <w:autoSpaceDE w:val="0"/>
        <w:autoSpaceDN w:val="0"/>
        <w:adjustRightInd w:val="0"/>
        <w:jc w:val="both"/>
        <w:rPr>
          <w:iCs/>
        </w:rPr>
      </w:pPr>
    </w:p>
    <w:p w14:paraId="23DC09BD" w14:textId="43CE848B" w:rsidR="001B7631" w:rsidRPr="009118AB" w:rsidRDefault="005D5BEB" w:rsidP="001B7631">
      <w:pPr>
        <w:autoSpaceDE w:val="0"/>
        <w:autoSpaceDN w:val="0"/>
        <w:adjustRightInd w:val="0"/>
        <w:jc w:val="both"/>
        <w:rPr>
          <w:iCs/>
        </w:rPr>
      </w:pPr>
      <w:r w:rsidRPr="009118AB">
        <w:rPr>
          <w:iCs/>
        </w:rPr>
        <w:tab/>
      </w:r>
      <w:r w:rsidR="001B7631" w:rsidRPr="009118AB">
        <w:rPr>
          <w:iCs/>
        </w:rPr>
        <w:t xml:space="preserve">4. der Mehrwerte, die anlässlich einer in </w:t>
      </w:r>
      <w:r w:rsidR="00D61E20" w:rsidRPr="009118AB">
        <w:rPr>
          <w:iCs/>
        </w:rPr>
        <w:t xml:space="preserve">[Artikel 90 Absatz 1 </w:t>
      </w:r>
      <w:r w:rsidR="00D67EB8" w:rsidRPr="009118AB">
        <w:rPr>
          <w:iCs/>
        </w:rPr>
        <w:t>Nr. </w:t>
      </w:r>
      <w:r w:rsidR="00D61E20" w:rsidRPr="009118AB">
        <w:rPr>
          <w:iCs/>
        </w:rPr>
        <w:t xml:space="preserve">8] </w:t>
      </w:r>
      <w:r w:rsidR="001B7631" w:rsidRPr="009118AB">
        <w:rPr>
          <w:iCs/>
        </w:rPr>
        <w:t xml:space="preserve">erwähnten entgeltlichen Abtretung auf in Belgien gelegene unbebaute unbewegliche Güter oder auf dingliche Rechte an solchen unbeweglichen Gütern verwirklicht werden; der steuerpflichtige Betrag dieser Mehrwerte wird gemäß den Artikeln 101 und 103 </w:t>
      </w:r>
      <w:r w:rsidR="00D67EB8" w:rsidRPr="009118AB">
        <w:rPr>
          <w:iCs/>
        </w:rPr>
        <w:t>§ </w:t>
      </w:r>
      <w:r w:rsidR="001B7631" w:rsidRPr="009118AB">
        <w:rPr>
          <w:iCs/>
        </w:rPr>
        <w:t>2 festgelegt,</w:t>
      </w:r>
    </w:p>
    <w:p w14:paraId="4B6E522E" w14:textId="77777777" w:rsidR="001B7631" w:rsidRPr="009118AB" w:rsidRDefault="001B7631" w:rsidP="001B7631">
      <w:pPr>
        <w:autoSpaceDE w:val="0"/>
        <w:autoSpaceDN w:val="0"/>
        <w:adjustRightInd w:val="0"/>
        <w:jc w:val="both"/>
        <w:rPr>
          <w:iCs/>
        </w:rPr>
      </w:pPr>
    </w:p>
    <w:p w14:paraId="6253833A" w14:textId="2AE62DC2" w:rsidR="001B7631" w:rsidRPr="009118AB" w:rsidRDefault="005D5BEB" w:rsidP="001B7631">
      <w:pPr>
        <w:autoSpaceDE w:val="0"/>
        <w:autoSpaceDN w:val="0"/>
        <w:adjustRightInd w:val="0"/>
        <w:jc w:val="both"/>
        <w:rPr>
          <w:iCs/>
        </w:rPr>
      </w:pPr>
      <w:r w:rsidRPr="009118AB">
        <w:rPr>
          <w:iCs/>
        </w:rPr>
        <w:tab/>
      </w:r>
      <w:r w:rsidR="001B7631" w:rsidRPr="009118AB">
        <w:rPr>
          <w:iCs/>
        </w:rPr>
        <w:t xml:space="preserve">5. der Mehrwerte, die anlässlich einer in </w:t>
      </w:r>
      <w:r w:rsidR="00820612" w:rsidRPr="009118AB">
        <w:rPr>
          <w:iCs/>
        </w:rPr>
        <w:t>[</w:t>
      </w:r>
      <w:r w:rsidR="00D61E20" w:rsidRPr="009118AB">
        <w:rPr>
          <w:iCs/>
        </w:rPr>
        <w:t xml:space="preserve">[Artikel 90 Absatz 1 </w:t>
      </w:r>
      <w:r w:rsidR="00D67EB8" w:rsidRPr="009118AB">
        <w:rPr>
          <w:iCs/>
        </w:rPr>
        <w:t>Nr. </w:t>
      </w:r>
      <w:r w:rsidR="00D61E20" w:rsidRPr="009118AB">
        <w:rPr>
          <w:iCs/>
        </w:rPr>
        <w:t xml:space="preserve">9] </w:t>
      </w:r>
      <w:r w:rsidR="00820612" w:rsidRPr="009118AB">
        <w:rPr>
          <w:iCs/>
        </w:rPr>
        <w:t xml:space="preserve">zweiter Gedankenstrich] </w:t>
      </w:r>
      <w:r w:rsidR="001B7631" w:rsidRPr="009118AB">
        <w:rPr>
          <w:iCs/>
        </w:rPr>
        <w:t>erwähnten entgeltlichen Übertragung auf bedeutende Beteiligungen verwirklicht werden; der steuerpflichtige Betrag dieser Mehrwerte wird gemäß Artikel 102 festgelegt,</w:t>
      </w:r>
    </w:p>
    <w:p w14:paraId="38DE4414" w14:textId="77777777" w:rsidR="001B7631" w:rsidRPr="009118AB" w:rsidRDefault="001B7631" w:rsidP="001B7631">
      <w:pPr>
        <w:autoSpaceDE w:val="0"/>
        <w:autoSpaceDN w:val="0"/>
        <w:adjustRightInd w:val="0"/>
        <w:jc w:val="both"/>
        <w:rPr>
          <w:iCs/>
        </w:rPr>
      </w:pPr>
    </w:p>
    <w:p w14:paraId="41E67E58" w14:textId="38A57541" w:rsidR="001B7631" w:rsidRPr="009118AB" w:rsidRDefault="005D5BEB" w:rsidP="001B7631">
      <w:pPr>
        <w:autoSpaceDE w:val="0"/>
        <w:autoSpaceDN w:val="0"/>
        <w:adjustRightInd w:val="0"/>
        <w:jc w:val="both"/>
        <w:rPr>
          <w:iCs/>
        </w:rPr>
      </w:pPr>
      <w:r w:rsidRPr="009118AB">
        <w:rPr>
          <w:iCs/>
        </w:rPr>
        <w:tab/>
      </w:r>
      <w:r w:rsidR="001B7631" w:rsidRPr="009118AB">
        <w:rPr>
          <w:iCs/>
        </w:rPr>
        <w:t xml:space="preserve">[6. der Mehrwerte, die anlässlich einer in </w:t>
      </w:r>
      <w:r w:rsidR="00D61E20" w:rsidRPr="009118AB">
        <w:rPr>
          <w:iCs/>
        </w:rPr>
        <w:t xml:space="preserve">[Artikel 90 Absatz 1 </w:t>
      </w:r>
      <w:r w:rsidR="00D67EB8" w:rsidRPr="009118AB">
        <w:rPr>
          <w:iCs/>
        </w:rPr>
        <w:t>Nr. </w:t>
      </w:r>
      <w:r w:rsidR="00D61E20" w:rsidRPr="009118AB">
        <w:rPr>
          <w:iCs/>
        </w:rPr>
        <w:t xml:space="preserve">10] </w:t>
      </w:r>
      <w:r w:rsidR="001B7631" w:rsidRPr="009118AB">
        <w:rPr>
          <w:iCs/>
        </w:rPr>
        <w:t>erwähnten entgeltlichen Abtretung auf in Belgien gelegene bebaute unbewegliche Güter oder auf dingliche Rechte an solchen unbeweglichen Gütern verwirklicht werden; der steuerpflichtige Betrag dieser Mehrwerte wird gemäß den Artikeln 101 §</w:t>
      </w:r>
      <w:r w:rsidR="00D67EB8" w:rsidRPr="009118AB">
        <w:rPr>
          <w:iCs/>
        </w:rPr>
        <w:t>§ </w:t>
      </w:r>
      <w:r w:rsidR="001B7631" w:rsidRPr="009118AB">
        <w:rPr>
          <w:iCs/>
        </w:rPr>
        <w:t xml:space="preserve">2 und 3 und 103 </w:t>
      </w:r>
      <w:r w:rsidR="00D67EB8" w:rsidRPr="009118AB">
        <w:rPr>
          <w:iCs/>
        </w:rPr>
        <w:t>§ </w:t>
      </w:r>
      <w:r w:rsidR="001B7631" w:rsidRPr="009118AB">
        <w:rPr>
          <w:iCs/>
        </w:rPr>
        <w:t>3 festgelegt.]</w:t>
      </w:r>
    </w:p>
    <w:p w14:paraId="4289CFF5" w14:textId="77777777" w:rsidR="001B7631" w:rsidRPr="009118AB" w:rsidRDefault="001B7631" w:rsidP="001B7631">
      <w:pPr>
        <w:autoSpaceDE w:val="0"/>
        <w:autoSpaceDN w:val="0"/>
        <w:adjustRightInd w:val="0"/>
        <w:jc w:val="both"/>
        <w:rPr>
          <w:iCs/>
        </w:rPr>
      </w:pPr>
    </w:p>
    <w:p w14:paraId="3BFBC99D" w14:textId="47E56C0B" w:rsidR="001B7631" w:rsidRPr="009118AB" w:rsidRDefault="001B7631" w:rsidP="001B7631">
      <w:pPr>
        <w:autoSpaceDE w:val="0"/>
        <w:autoSpaceDN w:val="0"/>
        <w:adjustRightInd w:val="0"/>
        <w:jc w:val="both"/>
        <w:rPr>
          <w:iCs/>
        </w:rPr>
      </w:pPr>
      <w:r w:rsidRPr="009118AB">
        <w:rPr>
          <w:i/>
          <w:iCs/>
        </w:rPr>
        <w:t>[</w:t>
      </w:r>
      <w:r w:rsidR="00D67EB8" w:rsidRPr="009118AB">
        <w:rPr>
          <w:i/>
          <w:iCs/>
        </w:rPr>
        <w:t>Art. </w:t>
      </w:r>
      <w:r w:rsidRPr="009118AB">
        <w:rPr>
          <w:i/>
          <w:iCs/>
        </w:rPr>
        <w:t>222</w:t>
      </w:r>
      <w:r w:rsidR="00820612" w:rsidRPr="009118AB">
        <w:rPr>
          <w:i/>
          <w:iCs/>
        </w:rPr>
        <w:t xml:space="preserve"> </w:t>
      </w:r>
      <w:r w:rsidR="0057258D" w:rsidRPr="009118AB">
        <w:rPr>
          <w:i/>
          <w:iCs/>
        </w:rPr>
        <w:t xml:space="preserve">einziger Absatz einleitende Bestimmung abgeändert durch </w:t>
      </w:r>
      <w:r w:rsidR="00D67EB8" w:rsidRPr="009118AB">
        <w:rPr>
          <w:i/>
          <w:iCs/>
        </w:rPr>
        <w:t>Art. </w:t>
      </w:r>
      <w:r w:rsidR="0057258D" w:rsidRPr="009118AB">
        <w:rPr>
          <w:i/>
          <w:iCs/>
        </w:rPr>
        <w:t>89</w:t>
      </w:r>
      <w:r w:rsidR="0057258D" w:rsidRPr="009118AB">
        <w:rPr>
          <w:i/>
          <w:iCs/>
          <w:spacing w:val="-1"/>
        </w:rPr>
        <w:t xml:space="preserve"> des G. vom 10. August 2015 (B.S. vom 18. August 2015)</w:t>
      </w:r>
      <w:r w:rsidR="00D67EB8" w:rsidRPr="009118AB">
        <w:rPr>
          <w:i/>
          <w:iCs/>
          <w:spacing w:val="-1"/>
        </w:rPr>
        <w:t> - </w:t>
      </w:r>
      <w:r w:rsidR="0057258D" w:rsidRPr="009118AB">
        <w:rPr>
          <w:i/>
        </w:rPr>
        <w:t>in Kraft ab dem Steuerjahr 2015 und anwendbar</w:t>
      </w:r>
      <w:r w:rsidR="0057258D" w:rsidRPr="009118AB">
        <w:rPr>
          <w:i/>
          <w:iCs/>
          <w:spacing w:val="-1"/>
        </w:rPr>
        <w:t xml:space="preserve"> </w:t>
      </w:r>
      <w:r w:rsidR="0057258D" w:rsidRPr="009118AB">
        <w:rPr>
          <w:i/>
        </w:rPr>
        <w:t>auf Geschäftsjahre, die frühestens am 1. August 2015 abgeschlossen werden</w:t>
      </w:r>
      <w:r w:rsidR="003366D9" w:rsidRPr="009118AB">
        <w:rPr>
          <w:i/>
          <w:iCs/>
        </w:rPr>
        <w:t> -;</w:t>
      </w:r>
      <w:r w:rsidR="0057258D" w:rsidRPr="009118AB">
        <w:rPr>
          <w:i/>
          <w:iCs/>
        </w:rPr>
        <w:t xml:space="preserve"> </w:t>
      </w:r>
      <w:r w:rsidR="009C5148" w:rsidRPr="009118AB">
        <w:rPr>
          <w:i/>
          <w:iCs/>
        </w:rPr>
        <w:t xml:space="preserve">einziger Absatz </w:t>
      </w:r>
      <w:r w:rsidR="00D67EB8" w:rsidRPr="009118AB">
        <w:rPr>
          <w:i/>
          <w:iCs/>
        </w:rPr>
        <w:t>Nr. </w:t>
      </w:r>
      <w:r w:rsidR="009C5148" w:rsidRPr="009118AB">
        <w:rPr>
          <w:i/>
          <w:iCs/>
        </w:rPr>
        <w:t xml:space="preserve">4 abgeändert durch </w:t>
      </w:r>
      <w:r w:rsidR="00D67EB8" w:rsidRPr="009118AB">
        <w:rPr>
          <w:i/>
          <w:iCs/>
        </w:rPr>
        <w:t>Art. </w:t>
      </w:r>
      <w:r w:rsidR="009C5148" w:rsidRPr="009118AB">
        <w:rPr>
          <w:i/>
          <w:iCs/>
        </w:rPr>
        <w:t xml:space="preserve">72 </w:t>
      </w:r>
      <w:r w:rsidR="00D67EB8" w:rsidRPr="009118AB">
        <w:rPr>
          <w:i/>
          <w:iCs/>
        </w:rPr>
        <w:t>Nr. </w:t>
      </w:r>
      <w:r w:rsidR="009C5148" w:rsidRPr="009118AB">
        <w:rPr>
          <w:i/>
          <w:iCs/>
        </w:rPr>
        <w:t>1</w:t>
      </w:r>
      <w:r w:rsidR="009C5148" w:rsidRPr="009118AB">
        <w:rPr>
          <w:i/>
        </w:rPr>
        <w:t xml:space="preserve"> des G. vom 26. Dezember 2015 (II) (B.S. vom 30. Dezember 2015)</w:t>
      </w:r>
      <w:r w:rsidR="00D67EB8" w:rsidRPr="009118AB">
        <w:t> - </w:t>
      </w:r>
      <w:r w:rsidR="009C5148"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9C5148" w:rsidRPr="009118AB">
        <w:rPr>
          <w:i/>
        </w:rPr>
        <w:t xml:space="preserve"> </w:t>
      </w:r>
      <w:r w:rsidR="00820612" w:rsidRPr="009118AB">
        <w:rPr>
          <w:i/>
          <w:iCs/>
        </w:rPr>
        <w:t xml:space="preserve">einziger Absatz </w:t>
      </w:r>
      <w:r w:rsidR="00D67EB8" w:rsidRPr="009118AB">
        <w:rPr>
          <w:i/>
          <w:iCs/>
        </w:rPr>
        <w:t>Nr. </w:t>
      </w:r>
      <w:r w:rsidR="00820612" w:rsidRPr="009118AB">
        <w:rPr>
          <w:i/>
          <w:iCs/>
        </w:rPr>
        <w:t xml:space="preserve">5 abgeändert durch </w:t>
      </w:r>
      <w:r w:rsidR="00D67EB8" w:rsidRPr="009118AB">
        <w:rPr>
          <w:i/>
          <w:iCs/>
        </w:rPr>
        <w:t>Art. </w:t>
      </w:r>
      <w:r w:rsidR="00820612" w:rsidRPr="009118AB">
        <w:rPr>
          <w:i/>
          <w:iCs/>
        </w:rPr>
        <w:t>24</w:t>
      </w:r>
      <w:r w:rsidR="00820612" w:rsidRPr="009118AB">
        <w:rPr>
          <w:i/>
          <w:iCs/>
          <w:spacing w:val="-5"/>
        </w:rPr>
        <w:t xml:space="preserve"> des G. vom 11. Dezember 2008 (B.S.</w:t>
      </w:r>
      <w:r w:rsidR="005D5BEB" w:rsidRPr="009118AB">
        <w:rPr>
          <w:i/>
          <w:iCs/>
          <w:spacing w:val="-5"/>
        </w:rPr>
        <w:t> </w:t>
      </w:r>
      <w:r w:rsidR="00820612" w:rsidRPr="009118AB">
        <w:rPr>
          <w:i/>
          <w:iCs/>
          <w:spacing w:val="-5"/>
        </w:rPr>
        <w:t>vom 12. Januar 2009)</w:t>
      </w:r>
      <w:r w:rsidR="00D67EB8" w:rsidRPr="009118AB">
        <w:rPr>
          <w:i/>
          <w:iCs/>
          <w:spacing w:val="-5"/>
        </w:rPr>
        <w:t> - </w:t>
      </w:r>
      <w:r w:rsidR="00820612" w:rsidRPr="009118AB">
        <w:rPr>
          <w:i/>
          <w:iCs/>
        </w:rPr>
        <w:t>anwendbar auf Vorgänge oder Verlegungen, die ab dem 12. Januar 2009 statt</w:t>
      </w:r>
      <w:r w:rsidR="00820612" w:rsidRPr="009118AB">
        <w:rPr>
          <w:i/>
          <w:iCs/>
        </w:rPr>
        <w:softHyphen/>
        <w:t>finden</w:t>
      </w:r>
      <w:r w:rsidR="00D67EB8" w:rsidRPr="009118AB">
        <w:rPr>
          <w:i/>
          <w:iCs/>
        </w:rPr>
        <w:t> - </w:t>
      </w:r>
      <w:r w:rsidR="009C5148" w:rsidRPr="009118AB">
        <w:rPr>
          <w:i/>
          <w:iCs/>
        </w:rPr>
        <w:t xml:space="preserve">und </w:t>
      </w:r>
      <w:r w:rsidR="00D67EB8" w:rsidRPr="009118AB">
        <w:rPr>
          <w:i/>
          <w:iCs/>
        </w:rPr>
        <w:t>Art. </w:t>
      </w:r>
      <w:r w:rsidR="009C5148" w:rsidRPr="009118AB">
        <w:rPr>
          <w:i/>
          <w:iCs/>
        </w:rPr>
        <w:t xml:space="preserve">72 </w:t>
      </w:r>
      <w:r w:rsidR="00D67EB8" w:rsidRPr="009118AB">
        <w:rPr>
          <w:i/>
          <w:iCs/>
        </w:rPr>
        <w:t>Nr. </w:t>
      </w:r>
      <w:r w:rsidR="009C5148" w:rsidRPr="009118AB">
        <w:rPr>
          <w:i/>
          <w:iCs/>
        </w:rPr>
        <w:t>2</w:t>
      </w:r>
      <w:r w:rsidR="009C5148" w:rsidRPr="009118AB">
        <w:rPr>
          <w:i/>
        </w:rPr>
        <w:t xml:space="preserve"> des G. vom 26. Dezember 2015 (II) (B.S. vom 30. Dezember 2015)</w:t>
      </w:r>
      <w:r w:rsidR="00D67EB8" w:rsidRPr="009118AB">
        <w:t> - </w:t>
      </w:r>
      <w:r w:rsidR="009C5148" w:rsidRPr="009118AB">
        <w:rPr>
          <w:i/>
        </w:rPr>
        <w:t xml:space="preserve">anwendbar auf Mehrwerte, die auf börsennotierte Aktien oder Anteile, Optionen, Optionsscheine oder andere börsennotierte Finanzinstrumente verwirklicht werden, die entweder ab dem 1. Januar 2016 entgeltlich </w:t>
      </w:r>
      <w:r w:rsidR="009C5148" w:rsidRPr="009118AB">
        <w:rPr>
          <w:i/>
        </w:rPr>
        <w:lastRenderedPageBreak/>
        <w:t>erworben werden oder im Falle eines Leerverkaufs ab dem 1. Januar 2016 verkauft werden</w:t>
      </w:r>
      <w:r w:rsidR="003366D9" w:rsidRPr="009118AB">
        <w:rPr>
          <w:i/>
        </w:rPr>
        <w:t> -;</w:t>
      </w:r>
      <w:r w:rsidR="00CA5D87" w:rsidRPr="009118AB">
        <w:rPr>
          <w:i/>
          <w:iCs/>
        </w:rPr>
        <w:t xml:space="preserve"> </w:t>
      </w:r>
      <w:r w:rsidRPr="009118AB">
        <w:rPr>
          <w:i/>
          <w:iCs/>
        </w:rPr>
        <w:t xml:space="preserve">einziger Absatz </w:t>
      </w:r>
      <w:r w:rsidR="00D67EB8" w:rsidRPr="009118AB">
        <w:rPr>
          <w:i/>
          <w:iCs/>
        </w:rPr>
        <w:t>Nr. </w:t>
      </w:r>
      <w:r w:rsidRPr="009118AB">
        <w:rPr>
          <w:i/>
          <w:iCs/>
        </w:rPr>
        <w:t xml:space="preserve">6 eingefügt durch </w:t>
      </w:r>
      <w:r w:rsidR="00D67EB8" w:rsidRPr="009118AB">
        <w:rPr>
          <w:i/>
          <w:iCs/>
        </w:rPr>
        <w:t>Art. </w:t>
      </w:r>
      <w:r w:rsidRPr="009118AB">
        <w:rPr>
          <w:i/>
          <w:iCs/>
        </w:rPr>
        <w:t>23 des G. vom 4. Mai 1999 (II) (B.S. vom 12. Juni 1999)</w:t>
      </w:r>
      <w:r w:rsidR="00D67EB8" w:rsidRPr="009118AB">
        <w:rPr>
          <w:i/>
          <w:iCs/>
        </w:rPr>
        <w:t> - </w:t>
      </w:r>
      <w:r w:rsidRPr="009118AB">
        <w:rPr>
          <w:i/>
          <w:iCs/>
        </w:rPr>
        <w:t>in Kraft ab dem Steuerjahr 1998</w:t>
      </w:r>
      <w:r w:rsidR="00D67EB8" w:rsidRPr="009118AB">
        <w:rPr>
          <w:i/>
          <w:iCs/>
        </w:rPr>
        <w:t> - </w:t>
      </w:r>
      <w:r w:rsidR="009C5148" w:rsidRPr="009118AB">
        <w:rPr>
          <w:i/>
          <w:iCs/>
        </w:rPr>
        <w:t xml:space="preserve">und abgeändert durch </w:t>
      </w:r>
      <w:r w:rsidR="00D67EB8" w:rsidRPr="009118AB">
        <w:rPr>
          <w:i/>
          <w:iCs/>
        </w:rPr>
        <w:t>Art. </w:t>
      </w:r>
      <w:r w:rsidR="009C5148" w:rsidRPr="009118AB">
        <w:rPr>
          <w:i/>
          <w:iCs/>
        </w:rPr>
        <w:t xml:space="preserve">72 </w:t>
      </w:r>
      <w:r w:rsidR="00D67EB8" w:rsidRPr="009118AB">
        <w:rPr>
          <w:i/>
          <w:iCs/>
        </w:rPr>
        <w:t>Nr. </w:t>
      </w:r>
      <w:r w:rsidR="009C5148" w:rsidRPr="009118AB">
        <w:rPr>
          <w:i/>
          <w:iCs/>
        </w:rPr>
        <w:t>3</w:t>
      </w:r>
      <w:r w:rsidR="009C5148" w:rsidRPr="009118AB">
        <w:rPr>
          <w:i/>
        </w:rPr>
        <w:t xml:space="preserve"> des G. vom 26. Dezember 2015 (II) (B.S. vom 30. Dezember 2015)</w:t>
      </w:r>
      <w:r w:rsidR="00D67EB8" w:rsidRPr="009118AB">
        <w:t> - </w:t>
      </w:r>
      <w:r w:rsidR="009C5148"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45725D2F" w14:textId="77777777" w:rsidR="001B7631" w:rsidRPr="009118AB" w:rsidRDefault="001B7631" w:rsidP="001B7631">
      <w:pPr>
        <w:autoSpaceDE w:val="0"/>
        <w:autoSpaceDN w:val="0"/>
        <w:adjustRightInd w:val="0"/>
        <w:jc w:val="both"/>
      </w:pPr>
    </w:p>
    <w:p w14:paraId="4F6DA30C" w14:textId="77777777" w:rsidR="00477B8F" w:rsidRPr="009118AB" w:rsidRDefault="00477B8F" w:rsidP="00477B8F">
      <w:pPr>
        <w:autoSpaceDE w:val="0"/>
        <w:autoSpaceDN w:val="0"/>
        <w:adjustRightInd w:val="0"/>
        <w:jc w:val="both"/>
      </w:pPr>
    </w:p>
    <w:p w14:paraId="3C14EE6F" w14:textId="46F9AF8C" w:rsidR="006A2667" w:rsidRPr="009118AB" w:rsidRDefault="00477B8F" w:rsidP="006A2667">
      <w:pPr>
        <w:autoSpaceDE w:val="0"/>
        <w:autoSpaceDN w:val="0"/>
        <w:adjustRightInd w:val="0"/>
        <w:jc w:val="both"/>
        <w:rPr>
          <w:bCs/>
          <w:iCs/>
        </w:rPr>
      </w:pPr>
      <w:r w:rsidRPr="009118AB">
        <w:tab/>
      </w:r>
      <w:r w:rsidR="00D67EB8" w:rsidRPr="009118AB">
        <w:rPr>
          <w:b/>
          <w:bCs/>
        </w:rPr>
        <w:t>Art. </w:t>
      </w:r>
      <w:r w:rsidRPr="009118AB">
        <w:rPr>
          <w:b/>
          <w:bCs/>
        </w:rPr>
        <w:t>223</w:t>
      </w:r>
      <w:r w:rsidR="00D67EB8" w:rsidRPr="009118AB">
        <w:t> - </w:t>
      </w:r>
      <w:r w:rsidR="006A2667" w:rsidRPr="009118AB">
        <w:rPr>
          <w:bCs/>
          <w:iCs/>
        </w:rPr>
        <w:t xml:space="preserve">In Artikel 220 </w:t>
      </w:r>
      <w:r w:rsidR="00D67EB8" w:rsidRPr="009118AB">
        <w:rPr>
          <w:bCs/>
          <w:iCs/>
        </w:rPr>
        <w:t>Nr. </w:t>
      </w:r>
      <w:r w:rsidR="006A2667" w:rsidRPr="009118AB">
        <w:rPr>
          <w:bCs/>
          <w:iCs/>
        </w:rPr>
        <w:t>2 und 3 erwähnte juristische Personen sind ebenfalls steuerpflichtig aufgrund:</w:t>
      </w:r>
    </w:p>
    <w:p w14:paraId="0A0BE175" w14:textId="77777777" w:rsidR="006A2667" w:rsidRPr="009118AB" w:rsidRDefault="006A2667" w:rsidP="006A2667">
      <w:pPr>
        <w:autoSpaceDE w:val="0"/>
        <w:autoSpaceDN w:val="0"/>
        <w:adjustRightInd w:val="0"/>
        <w:jc w:val="both"/>
        <w:rPr>
          <w:bCs/>
          <w:iCs/>
        </w:rPr>
      </w:pPr>
    </w:p>
    <w:p w14:paraId="04D503C6" w14:textId="4DBE7CE3" w:rsidR="006A2667" w:rsidRPr="009118AB" w:rsidRDefault="006A2667" w:rsidP="00665549">
      <w:pPr>
        <w:autoSpaceDE w:val="0"/>
        <w:autoSpaceDN w:val="0"/>
        <w:adjustRightInd w:val="0"/>
        <w:ind w:firstLine="708"/>
        <w:jc w:val="both"/>
        <w:rPr>
          <w:bCs/>
          <w:iCs/>
        </w:rPr>
      </w:pPr>
      <w:r w:rsidRPr="009118AB">
        <w:rPr>
          <w:bCs/>
          <w:iCs/>
        </w:rPr>
        <w:t xml:space="preserve">1. [der </w:t>
      </w:r>
      <w:r w:rsidR="004775D6" w:rsidRPr="009118AB">
        <w:rPr>
          <w:bCs/>
          <w:iCs/>
        </w:rPr>
        <w:t>[</w:t>
      </w:r>
      <w:r w:rsidRPr="009118AB">
        <w:rPr>
          <w:bCs/>
          <w:iCs/>
        </w:rPr>
        <w:t>in den Artikeln 57</w:t>
      </w:r>
      <w:r w:rsidR="004775D6" w:rsidRPr="009118AB">
        <w:rPr>
          <w:bCs/>
          <w:iCs/>
        </w:rPr>
        <w:t xml:space="preserve"> Absatz 1</w:t>
      </w:r>
      <w:r w:rsidRPr="009118AB">
        <w:rPr>
          <w:bCs/>
          <w:iCs/>
        </w:rPr>
        <w:t xml:space="preserve"> und</w:t>
      </w:r>
      <w:r w:rsidR="004775D6" w:rsidRPr="009118AB">
        <w:rPr>
          <w:bCs/>
          <w:iCs/>
        </w:rPr>
        <w:t>]</w:t>
      </w:r>
      <w:r w:rsidRPr="009118AB">
        <w:rPr>
          <w:bCs/>
          <w:iCs/>
        </w:rPr>
        <w:t xml:space="preserve"> 195 </w:t>
      </w:r>
      <w:r w:rsidR="00D67EB8" w:rsidRPr="009118AB">
        <w:rPr>
          <w:bCs/>
          <w:iCs/>
        </w:rPr>
        <w:t>§ </w:t>
      </w:r>
      <w:r w:rsidRPr="009118AB">
        <w:rPr>
          <w:bCs/>
          <w:iCs/>
        </w:rPr>
        <w:t>1 Absatz 1 erwähnten Ausgaben</w:t>
      </w:r>
      <w:r w:rsidR="006A32B7" w:rsidRPr="009118AB">
        <w:rPr>
          <w:bCs/>
          <w:iCs/>
        </w:rPr>
        <w:t>[</w:t>
      </w:r>
      <w:r w:rsidR="006A32B7" w:rsidRPr="009118AB">
        <w:rPr>
          <w:lang w:eastAsia="fr-BE"/>
        </w:rPr>
        <w:t xml:space="preserve">, der in den Artikeln 31 Absatz 2 </w:t>
      </w:r>
      <w:r w:rsidR="00D67EB8" w:rsidRPr="009118AB">
        <w:rPr>
          <w:lang w:eastAsia="fr-BE"/>
        </w:rPr>
        <w:t>Nr. </w:t>
      </w:r>
      <w:r w:rsidR="006A32B7" w:rsidRPr="009118AB">
        <w:rPr>
          <w:lang w:eastAsia="fr-BE"/>
        </w:rPr>
        <w:t xml:space="preserve">2 und 32 Absatz 2 </w:t>
      </w:r>
      <w:r w:rsidR="00D67EB8" w:rsidRPr="009118AB">
        <w:rPr>
          <w:lang w:eastAsia="fr-BE"/>
        </w:rPr>
        <w:t>Nr. </w:t>
      </w:r>
      <w:r w:rsidR="006A32B7" w:rsidRPr="009118AB">
        <w:rPr>
          <w:lang w:eastAsia="fr-BE"/>
        </w:rPr>
        <w:t xml:space="preserve">2 erwähnten Vorteile jeglicher Art und der in Artikel 17 </w:t>
      </w:r>
      <w:r w:rsidR="00D67EB8" w:rsidRPr="009118AB">
        <w:rPr>
          <w:lang w:eastAsia="fr-BE"/>
        </w:rPr>
        <w:t>§ </w:t>
      </w:r>
      <w:r w:rsidR="006A32B7" w:rsidRPr="009118AB">
        <w:rPr>
          <w:lang w:eastAsia="fr-BE"/>
        </w:rPr>
        <w:t xml:space="preserve">1 </w:t>
      </w:r>
      <w:r w:rsidR="00D67EB8" w:rsidRPr="009118AB">
        <w:rPr>
          <w:lang w:eastAsia="fr-BE"/>
        </w:rPr>
        <w:t>Nr. </w:t>
      </w:r>
      <w:r w:rsidR="006A32B7" w:rsidRPr="009118AB">
        <w:rPr>
          <w:lang w:eastAsia="fr-BE"/>
        </w:rPr>
        <w:t xml:space="preserve">3, was Urheberrechte und ähnliche Rechte betrifft, und </w:t>
      </w:r>
      <w:r w:rsidR="00D67EB8" w:rsidRPr="009118AB">
        <w:rPr>
          <w:lang w:eastAsia="fr-BE"/>
        </w:rPr>
        <w:t>Nr. </w:t>
      </w:r>
      <w:r w:rsidR="006A32B7" w:rsidRPr="009118AB">
        <w:rPr>
          <w:lang w:eastAsia="fr-BE"/>
        </w:rPr>
        <w:t>5 erwähnten Einkünfte</w:t>
      </w:r>
      <w:r w:rsidR="006A32B7" w:rsidRPr="009118AB">
        <w:rPr>
          <w:bCs/>
          <w:iCs/>
        </w:rPr>
        <w:t>]</w:t>
      </w:r>
      <w:r w:rsidRPr="009118AB">
        <w:rPr>
          <w:bCs/>
          <w:iCs/>
        </w:rPr>
        <w:t xml:space="preserve">], die nicht durch Individualkarten </w:t>
      </w:r>
      <w:r w:rsidR="00CA61DC" w:rsidRPr="009118AB">
        <w:rPr>
          <w:bCs/>
          <w:iCs/>
        </w:rPr>
        <w:t>[...]</w:t>
      </w:r>
      <w:r w:rsidRPr="009118AB">
        <w:rPr>
          <w:bCs/>
          <w:iCs/>
        </w:rPr>
        <w:t xml:space="preserve"> nachgewiesen werden,</w:t>
      </w:r>
    </w:p>
    <w:p w14:paraId="7AFE743B" w14:textId="77777777" w:rsidR="006A2667" w:rsidRPr="009118AB" w:rsidRDefault="006A2667" w:rsidP="006A2667">
      <w:pPr>
        <w:autoSpaceDE w:val="0"/>
        <w:autoSpaceDN w:val="0"/>
        <w:adjustRightInd w:val="0"/>
        <w:jc w:val="both"/>
        <w:rPr>
          <w:bCs/>
          <w:iCs/>
        </w:rPr>
      </w:pPr>
    </w:p>
    <w:p w14:paraId="0EBDE935" w14:textId="23501870" w:rsidR="006A2667" w:rsidRPr="009118AB" w:rsidRDefault="006A2667" w:rsidP="00665549">
      <w:pPr>
        <w:autoSpaceDE w:val="0"/>
        <w:autoSpaceDN w:val="0"/>
        <w:adjustRightInd w:val="0"/>
        <w:ind w:firstLine="708"/>
        <w:jc w:val="both"/>
        <w:rPr>
          <w:bCs/>
          <w:iCs/>
        </w:rPr>
      </w:pPr>
      <w:r w:rsidRPr="009118AB">
        <w:rPr>
          <w:bCs/>
          <w:iCs/>
        </w:rPr>
        <w:t xml:space="preserve">2. [der in den Artikeln 52 </w:t>
      </w:r>
      <w:r w:rsidR="00D67EB8" w:rsidRPr="009118AB">
        <w:rPr>
          <w:bCs/>
          <w:iCs/>
        </w:rPr>
        <w:t>Nr. </w:t>
      </w:r>
      <w:r w:rsidRPr="009118AB">
        <w:rPr>
          <w:bCs/>
          <w:iCs/>
        </w:rPr>
        <w:t>3 Buchstabe </w:t>
      </w:r>
      <w:r w:rsidRPr="009118AB">
        <w:rPr>
          <w:bCs/>
          <w:i/>
          <w:iCs/>
        </w:rPr>
        <w:t>b)</w:t>
      </w:r>
      <w:r w:rsidRPr="009118AB">
        <w:rPr>
          <w:bCs/>
          <w:iCs/>
        </w:rPr>
        <w:t xml:space="preserve"> und 195 </w:t>
      </w:r>
      <w:r w:rsidR="00D67EB8" w:rsidRPr="009118AB">
        <w:rPr>
          <w:bCs/>
          <w:iCs/>
        </w:rPr>
        <w:t>§ </w:t>
      </w:r>
      <w:r w:rsidRPr="009118AB">
        <w:rPr>
          <w:bCs/>
          <w:iCs/>
        </w:rPr>
        <w:t xml:space="preserve">2 erwähnten Beiträge und Prämien in dem Maße, wie sie entweder der in Artikel 53 </w:t>
      </w:r>
      <w:r w:rsidR="00D67EB8" w:rsidRPr="009118AB">
        <w:rPr>
          <w:bCs/>
          <w:iCs/>
        </w:rPr>
        <w:t>Nr. </w:t>
      </w:r>
      <w:r w:rsidRPr="009118AB">
        <w:rPr>
          <w:bCs/>
          <w:iCs/>
        </w:rPr>
        <w:t>22 vorgesehenen Grenze oder den in Artikel 59 vorgesehenen Bedingungen und der dort erwähnten Grenze und</w:t>
      </w:r>
      <w:r w:rsidR="00D67EB8" w:rsidRPr="009118AB">
        <w:rPr>
          <w:bCs/>
          <w:iCs/>
        </w:rPr>
        <w:t> - </w:t>
      </w:r>
      <w:r w:rsidRPr="009118AB">
        <w:rPr>
          <w:bCs/>
          <w:iCs/>
        </w:rPr>
        <w:t xml:space="preserve">in Bezug auf die in Artikel 195 </w:t>
      </w:r>
      <w:r w:rsidR="00D67EB8" w:rsidRPr="009118AB">
        <w:rPr>
          <w:bCs/>
          <w:iCs/>
        </w:rPr>
        <w:t>§ </w:t>
      </w:r>
      <w:r w:rsidRPr="009118AB">
        <w:rPr>
          <w:bCs/>
          <w:iCs/>
        </w:rPr>
        <w:t>2 erwähnten Prämien</w:t>
      </w:r>
      <w:r w:rsidR="00D67EB8" w:rsidRPr="009118AB">
        <w:rPr>
          <w:bCs/>
          <w:iCs/>
        </w:rPr>
        <w:t> - </w:t>
      </w:r>
      <w:r w:rsidRPr="009118AB">
        <w:rPr>
          <w:bCs/>
          <w:iCs/>
        </w:rPr>
        <w:t xml:space="preserve">der in Artikel 195 </w:t>
      </w:r>
      <w:r w:rsidR="00D67EB8" w:rsidRPr="009118AB">
        <w:rPr>
          <w:bCs/>
          <w:iCs/>
        </w:rPr>
        <w:t>§ </w:t>
      </w:r>
      <w:r w:rsidRPr="009118AB">
        <w:rPr>
          <w:bCs/>
          <w:iCs/>
        </w:rPr>
        <w:t xml:space="preserve">1 Absatz 2 erwähnten Bedingung der Regelmäßigkeit nicht entsprechen, der in Artikel 52 </w:t>
      </w:r>
      <w:r w:rsidR="00D67EB8" w:rsidRPr="009118AB">
        <w:rPr>
          <w:bCs/>
          <w:iCs/>
        </w:rPr>
        <w:t>Nr. </w:t>
      </w:r>
      <w:r w:rsidRPr="009118AB">
        <w:rPr>
          <w:bCs/>
          <w:iCs/>
        </w:rPr>
        <w:t xml:space="preserve">5 erwähnten Pensionen, Renten und anderen als solche geltenden Zulagen in dem Maße, wie sie den in Artikel 59 vorgesehenen Bedingungen und der dort erwähnten Grenze nicht entsprechen, und der in Artikel 53 </w:t>
      </w:r>
      <w:r w:rsidR="00D67EB8" w:rsidRPr="009118AB">
        <w:rPr>
          <w:bCs/>
          <w:iCs/>
        </w:rPr>
        <w:t>Nr. </w:t>
      </w:r>
      <w:r w:rsidRPr="009118AB">
        <w:rPr>
          <w:bCs/>
          <w:iCs/>
        </w:rPr>
        <w:t>23 erwähnten Kapitalien,]</w:t>
      </w:r>
    </w:p>
    <w:p w14:paraId="26A84DC7" w14:textId="77777777" w:rsidR="006A2667" w:rsidRPr="009118AB" w:rsidRDefault="006A2667" w:rsidP="006A2667">
      <w:pPr>
        <w:autoSpaceDE w:val="0"/>
        <w:autoSpaceDN w:val="0"/>
        <w:adjustRightInd w:val="0"/>
        <w:jc w:val="both"/>
        <w:rPr>
          <w:bCs/>
          <w:iCs/>
        </w:rPr>
      </w:pPr>
    </w:p>
    <w:p w14:paraId="21BC95A0" w14:textId="7A64D88C" w:rsidR="006A2667" w:rsidRPr="009118AB" w:rsidRDefault="006A2667" w:rsidP="00665549">
      <w:pPr>
        <w:autoSpaceDE w:val="0"/>
        <w:autoSpaceDN w:val="0"/>
        <w:adjustRightInd w:val="0"/>
        <w:ind w:firstLine="708"/>
        <w:jc w:val="both"/>
        <w:rPr>
          <w:bCs/>
          <w:iCs/>
        </w:rPr>
      </w:pPr>
      <w:r w:rsidRPr="009118AB">
        <w:rPr>
          <w:bCs/>
          <w:iCs/>
        </w:rPr>
        <w:t xml:space="preserve">[3. [der in Artikel 53 </w:t>
      </w:r>
      <w:r w:rsidR="00D67EB8" w:rsidRPr="009118AB">
        <w:rPr>
          <w:bCs/>
          <w:iCs/>
        </w:rPr>
        <w:t>Nr. </w:t>
      </w:r>
      <w:r w:rsidRPr="009118AB">
        <w:rPr>
          <w:bCs/>
          <w:iCs/>
        </w:rPr>
        <w:t>24 erwähnten finanziellen Vorteile oder Vorteile jeglicher Art,]]</w:t>
      </w:r>
    </w:p>
    <w:p w14:paraId="5AC4D5CB" w14:textId="77777777" w:rsidR="006A2667" w:rsidRPr="009118AB" w:rsidRDefault="006A2667" w:rsidP="006A2667">
      <w:pPr>
        <w:autoSpaceDE w:val="0"/>
        <w:autoSpaceDN w:val="0"/>
        <w:adjustRightInd w:val="0"/>
        <w:jc w:val="both"/>
        <w:rPr>
          <w:bCs/>
          <w:iCs/>
        </w:rPr>
      </w:pPr>
    </w:p>
    <w:p w14:paraId="4C4AAF34" w14:textId="0AC7C98E" w:rsidR="006A2667" w:rsidRPr="009118AB" w:rsidRDefault="006A2667" w:rsidP="00665549">
      <w:pPr>
        <w:autoSpaceDE w:val="0"/>
        <w:autoSpaceDN w:val="0"/>
        <w:adjustRightInd w:val="0"/>
        <w:ind w:firstLine="708"/>
        <w:jc w:val="both"/>
        <w:rPr>
          <w:bCs/>
          <w:iCs/>
        </w:rPr>
      </w:pPr>
      <w:r w:rsidRPr="009118AB">
        <w:rPr>
          <w:bCs/>
          <w:iCs/>
        </w:rPr>
        <w:t>[4. </w:t>
      </w:r>
      <w:r w:rsidR="00EB1D3D" w:rsidRPr="009118AB">
        <w:rPr>
          <w:bCs/>
          <w:iCs/>
        </w:rPr>
        <w:t>[</w:t>
      </w:r>
      <w:r w:rsidR="00EB1D3D" w:rsidRPr="009118AB">
        <w:t xml:space="preserve">eines Betrags, der 17 Prozent des </w:t>
      </w:r>
      <w:r w:rsidR="006A32B7" w:rsidRPr="009118AB">
        <w:t>[</w:t>
      </w:r>
      <w:r w:rsidR="00EB1D3D" w:rsidRPr="009118AB">
        <w:t xml:space="preserve">gemäß Artikel 36 </w:t>
      </w:r>
      <w:r w:rsidR="00D67EB8" w:rsidRPr="009118AB">
        <w:t>§ </w:t>
      </w:r>
      <w:r w:rsidR="00EB1D3D" w:rsidRPr="009118AB">
        <w:t xml:space="preserve">2 Absatz 1 bis </w:t>
      </w:r>
      <w:r w:rsidR="006A32B7" w:rsidRPr="009118AB">
        <w:t>12]</w:t>
      </w:r>
      <w:r w:rsidR="00EB1D3D" w:rsidRPr="009118AB">
        <w:t xml:space="preserve"> bestimmten Betrags entspricht, wenn in Artikel 65 erwähnte Fahrzeuge kostenlos oder nicht kostenlos zu persönlichen Zwecken zur Verfügung gestellt werden,</w:t>
      </w:r>
      <w:r w:rsidR="00EB1D3D" w:rsidRPr="009118AB">
        <w:rPr>
          <w:bCs/>
          <w:iCs/>
        </w:rPr>
        <w:t>]</w:t>
      </w:r>
      <w:r w:rsidRPr="009118AB">
        <w:rPr>
          <w:bCs/>
          <w:iCs/>
        </w:rPr>
        <w:t>]</w:t>
      </w:r>
    </w:p>
    <w:p w14:paraId="68302B4A" w14:textId="77777777" w:rsidR="006A2667" w:rsidRPr="009118AB" w:rsidRDefault="006A2667" w:rsidP="006A2667">
      <w:pPr>
        <w:autoSpaceDE w:val="0"/>
        <w:autoSpaceDN w:val="0"/>
        <w:adjustRightInd w:val="0"/>
        <w:jc w:val="both"/>
        <w:rPr>
          <w:bCs/>
          <w:iCs/>
        </w:rPr>
      </w:pPr>
    </w:p>
    <w:p w14:paraId="1AF9A813" w14:textId="23F4D863" w:rsidR="00DA4CB3" w:rsidRPr="009118AB" w:rsidRDefault="00DA4CB3" w:rsidP="006A2667">
      <w:pPr>
        <w:autoSpaceDE w:val="0"/>
        <w:autoSpaceDN w:val="0"/>
        <w:adjustRightInd w:val="0"/>
        <w:jc w:val="both"/>
        <w:rPr>
          <w:bCs/>
          <w:iCs/>
        </w:rPr>
      </w:pPr>
      <w:r w:rsidRPr="009118AB">
        <w:rPr>
          <w:bCs/>
          <w:iCs/>
        </w:rPr>
        <w:tab/>
        <w:t>[</w:t>
      </w:r>
      <w:r w:rsidR="004421E9" w:rsidRPr="009118AB">
        <w:rPr>
          <w:bCs/>
          <w:iCs/>
        </w:rPr>
        <w:t>...</w:t>
      </w:r>
      <w:r w:rsidRPr="009118AB">
        <w:rPr>
          <w:bCs/>
          <w:iCs/>
        </w:rPr>
        <w:t>]</w:t>
      </w:r>
    </w:p>
    <w:p w14:paraId="76B1B3D8" w14:textId="77777777" w:rsidR="00DA4CB3" w:rsidRPr="009118AB" w:rsidRDefault="00DA4CB3" w:rsidP="006A2667">
      <w:pPr>
        <w:autoSpaceDE w:val="0"/>
        <w:autoSpaceDN w:val="0"/>
        <w:adjustRightInd w:val="0"/>
        <w:jc w:val="both"/>
        <w:rPr>
          <w:bCs/>
          <w:iCs/>
        </w:rPr>
      </w:pPr>
    </w:p>
    <w:p w14:paraId="1A4D6899" w14:textId="6DEE42DD" w:rsidR="00745800" w:rsidRPr="009118AB" w:rsidRDefault="00745800" w:rsidP="006A2667">
      <w:pPr>
        <w:autoSpaceDE w:val="0"/>
        <w:autoSpaceDN w:val="0"/>
        <w:adjustRightInd w:val="0"/>
        <w:jc w:val="both"/>
      </w:pPr>
      <w:r w:rsidRPr="009118AB">
        <w:rPr>
          <w:bCs/>
          <w:iCs/>
        </w:rPr>
        <w:tab/>
        <w:t>[</w:t>
      </w:r>
      <w:r w:rsidRPr="009118AB">
        <w:t xml:space="preserve">5. </w:t>
      </w:r>
      <w:r w:rsidR="00D82256" w:rsidRPr="009118AB">
        <w:t>[</w:t>
      </w:r>
      <w:r w:rsidR="00637C0E" w:rsidRPr="009118AB">
        <w:t xml:space="preserve">eines Betrags, der in Abweichung von </w:t>
      </w:r>
      <w:r w:rsidR="00D67EB8" w:rsidRPr="009118AB">
        <w:t>Nr. </w:t>
      </w:r>
      <w:r w:rsidR="00637C0E" w:rsidRPr="009118AB">
        <w:t xml:space="preserve">4 40 Prozent des </w:t>
      </w:r>
      <w:r w:rsidR="006A32B7" w:rsidRPr="009118AB">
        <w:t>[</w:t>
      </w:r>
      <w:r w:rsidR="00637C0E" w:rsidRPr="009118AB">
        <w:t xml:space="preserve">gemäß Artikel 36 </w:t>
      </w:r>
      <w:r w:rsidR="00D67EB8" w:rsidRPr="009118AB">
        <w:t>§ </w:t>
      </w:r>
      <w:r w:rsidR="00637C0E" w:rsidRPr="009118AB">
        <w:t xml:space="preserve">2 Absatz 1 bis </w:t>
      </w:r>
      <w:r w:rsidR="006A32B7" w:rsidRPr="009118AB">
        <w:t>12]</w:t>
      </w:r>
      <w:r w:rsidR="00637C0E" w:rsidRPr="009118AB">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w:t>
      </w:r>
      <w:r w:rsidR="00DA4CB3" w:rsidRPr="009118AB">
        <w:t>ischen Person übernommen werden,</w:t>
      </w:r>
      <w:r w:rsidR="00D82256" w:rsidRPr="009118AB">
        <w:t>]</w:t>
      </w:r>
      <w:r w:rsidRPr="009118AB">
        <w:t>]</w:t>
      </w:r>
    </w:p>
    <w:p w14:paraId="26B26444" w14:textId="77777777" w:rsidR="00DA4CB3" w:rsidRPr="009118AB" w:rsidRDefault="00DA4CB3" w:rsidP="006A2667">
      <w:pPr>
        <w:autoSpaceDE w:val="0"/>
        <w:autoSpaceDN w:val="0"/>
        <w:adjustRightInd w:val="0"/>
        <w:jc w:val="both"/>
      </w:pPr>
    </w:p>
    <w:p w14:paraId="24BD3E66" w14:textId="0357955D" w:rsidR="00DA4CB3" w:rsidRPr="009118AB" w:rsidRDefault="00DA4CB3" w:rsidP="006A2667">
      <w:pPr>
        <w:autoSpaceDE w:val="0"/>
        <w:autoSpaceDN w:val="0"/>
        <w:adjustRightInd w:val="0"/>
        <w:jc w:val="both"/>
      </w:pPr>
      <w:r w:rsidRPr="009118AB">
        <w:tab/>
        <w:t>[</w:t>
      </w:r>
      <w:r w:rsidR="004421E9" w:rsidRPr="009118AB">
        <w:t>...</w:t>
      </w:r>
      <w:r w:rsidRPr="009118AB">
        <w:t>]</w:t>
      </w:r>
    </w:p>
    <w:p w14:paraId="55806605" w14:textId="39D6BCC9" w:rsidR="00261B2A" w:rsidRPr="009118AB" w:rsidRDefault="00261B2A" w:rsidP="006A2667">
      <w:pPr>
        <w:autoSpaceDE w:val="0"/>
        <w:autoSpaceDN w:val="0"/>
        <w:adjustRightInd w:val="0"/>
        <w:jc w:val="both"/>
      </w:pPr>
    </w:p>
    <w:p w14:paraId="7E15453B" w14:textId="74323F65" w:rsidR="00261B2A" w:rsidRPr="009118AB" w:rsidRDefault="00261B2A" w:rsidP="006A2667">
      <w:pPr>
        <w:autoSpaceDE w:val="0"/>
        <w:autoSpaceDN w:val="0"/>
        <w:adjustRightInd w:val="0"/>
        <w:jc w:val="both"/>
      </w:pPr>
      <w:r w:rsidRPr="009118AB">
        <w:tab/>
        <w:t>(...)</w:t>
      </w:r>
    </w:p>
    <w:p w14:paraId="46B6FFE6" w14:textId="7583FE48" w:rsidR="00261B2A" w:rsidRPr="009118AB" w:rsidRDefault="00261B2A" w:rsidP="006A2667">
      <w:pPr>
        <w:autoSpaceDE w:val="0"/>
        <w:autoSpaceDN w:val="0"/>
        <w:adjustRightInd w:val="0"/>
        <w:jc w:val="both"/>
      </w:pPr>
    </w:p>
    <w:p w14:paraId="08310414" w14:textId="7B75C62A" w:rsidR="00261B2A" w:rsidRPr="009118AB" w:rsidRDefault="00261B2A" w:rsidP="00261B2A">
      <w:pPr>
        <w:jc w:val="both"/>
        <w:rPr>
          <w:rFonts w:eastAsia="Calibri"/>
          <w:lang w:eastAsia="en-US"/>
        </w:rPr>
      </w:pPr>
      <w:r w:rsidRPr="009118AB">
        <w:tab/>
        <w:t>[</w:t>
      </w:r>
      <w:r w:rsidRPr="009118AB">
        <w:rPr>
          <w:rFonts w:eastAsia="Calibri"/>
          <w:szCs w:val="22"/>
          <w:lang w:eastAsia="en-US"/>
        </w:rPr>
        <w:t>8. der Provisionen, Maklergebühren, kommerziellen oder anderen Ermäßigungen, zufälligen oder nicht zufälligen Entgelte oder Honorare, Zuwendungen, Vergütungen oder Vorteile jeglicher Art</w:t>
      </w:r>
      <w:r w:rsidR="00D67EB8" w:rsidRPr="009118AB">
        <w:rPr>
          <w:rFonts w:eastAsia="Calibri"/>
          <w:szCs w:val="22"/>
          <w:lang w:eastAsia="en-US"/>
        </w:rPr>
        <w:t> - </w:t>
      </w:r>
      <w:r w:rsidRPr="009118AB">
        <w:rPr>
          <w:rFonts w:eastAsia="Calibri"/>
          <w:szCs w:val="22"/>
          <w:lang w:eastAsia="en-US"/>
        </w:rPr>
        <w:t xml:space="preserve">in dem Maße, wie sie sich auf mehr als 3 Prozent der gesamten Bruttoentlohnung des Sportlers belaufen, die während der Dauer des Arbeitsvertrags pro Jahr </w:t>
      </w:r>
      <w:r w:rsidRPr="009118AB">
        <w:rPr>
          <w:rFonts w:eastAsia="Calibri"/>
          <w:szCs w:val="22"/>
          <w:lang w:eastAsia="en-US"/>
        </w:rPr>
        <w:lastRenderedPageBreak/>
        <w:t>berechnet wird</w:t>
      </w:r>
      <w:r w:rsidR="00FD68E8" w:rsidRPr="009118AB">
        <w:rPr>
          <w:rFonts w:eastAsia="Calibri"/>
          <w:szCs w:val="22"/>
          <w:lang w:eastAsia="en-US"/>
        </w:rPr>
        <w:t> -,</w:t>
      </w:r>
      <w:r w:rsidRPr="009118AB">
        <w:rPr>
          <w:rFonts w:eastAsia="Calibri"/>
          <w:szCs w:val="22"/>
          <w:lang w:eastAsia="en-US"/>
        </w:rPr>
        <w:t xml:space="preserve"> die direkt oder indirekt im Rahmen eines Vertrags gezahlt werden, der Folgendes zum Ziel hat:</w:t>
      </w:r>
    </w:p>
    <w:p w14:paraId="5B7616DB" w14:textId="77777777" w:rsidR="00261B2A" w:rsidRPr="009118AB" w:rsidRDefault="00261B2A" w:rsidP="00261B2A">
      <w:pPr>
        <w:jc w:val="both"/>
        <w:rPr>
          <w:rFonts w:eastAsia="Calibri"/>
          <w:lang w:eastAsia="en-US"/>
        </w:rPr>
      </w:pPr>
    </w:p>
    <w:p w14:paraId="5C57B41C" w14:textId="77777777" w:rsidR="00261B2A" w:rsidRPr="009118AB" w:rsidRDefault="00261B2A" w:rsidP="00261B2A">
      <w:pPr>
        <w:jc w:val="both"/>
        <w:rPr>
          <w:rFonts w:eastAsia="Calibri"/>
          <w:lang w:eastAsia="en-US"/>
        </w:rPr>
      </w:pPr>
      <w:r w:rsidRPr="009118AB">
        <w:rPr>
          <w:rFonts w:eastAsia="Calibri"/>
          <w:szCs w:val="22"/>
          <w:lang w:eastAsia="en-US"/>
        </w:rPr>
        <w:tab/>
      </w:r>
      <w:r w:rsidRPr="009118AB">
        <w:rPr>
          <w:rFonts w:eastAsia="Calibri"/>
          <w:i/>
          <w:iCs/>
          <w:szCs w:val="22"/>
          <w:lang w:eastAsia="en-US"/>
        </w:rPr>
        <w:t>a)</w:t>
      </w:r>
      <w:r w:rsidRPr="009118AB">
        <w:rPr>
          <w:rFonts w:eastAsia="Calibri"/>
          <w:szCs w:val="22"/>
          <w:lang w:eastAsia="en-US"/>
        </w:rPr>
        <w:t> entweder einen Sportler bei Verhandlungen im Hinblick auf den Abschluss, die Verlängerung, Erneuerung oder Beendigung eines Arbeitsvertrags bei einem Sportclub zu unterstützen</w:t>
      </w:r>
    </w:p>
    <w:p w14:paraId="2BA58D3C" w14:textId="77777777" w:rsidR="00261B2A" w:rsidRPr="009118AB" w:rsidRDefault="00261B2A" w:rsidP="00261B2A">
      <w:pPr>
        <w:jc w:val="both"/>
        <w:rPr>
          <w:rFonts w:eastAsia="Calibri"/>
          <w:lang w:eastAsia="en-US"/>
        </w:rPr>
      </w:pPr>
    </w:p>
    <w:p w14:paraId="09280254" w14:textId="4412FCCC" w:rsidR="00261B2A" w:rsidRPr="009118AB" w:rsidRDefault="00261B2A" w:rsidP="00261B2A">
      <w:pPr>
        <w:jc w:val="both"/>
        <w:rPr>
          <w:rFonts w:eastAsia="Calibri"/>
          <w:lang w:eastAsia="en-US"/>
        </w:rPr>
      </w:pPr>
      <w:r w:rsidRPr="009118AB">
        <w:rPr>
          <w:rFonts w:eastAsia="Calibri"/>
          <w:szCs w:val="22"/>
          <w:lang w:eastAsia="en-US"/>
        </w:rPr>
        <w:tab/>
      </w:r>
      <w:r w:rsidRPr="009118AB">
        <w:rPr>
          <w:rFonts w:eastAsia="Calibri"/>
          <w:i/>
          <w:iCs/>
          <w:szCs w:val="22"/>
          <w:lang w:eastAsia="en-US"/>
        </w:rPr>
        <w:t>b)</w:t>
      </w:r>
      <w:r w:rsidRPr="009118AB">
        <w:rPr>
          <w:rFonts w:eastAsia="Calibri"/>
          <w:szCs w:val="22"/>
          <w:lang w:eastAsia="en-US"/>
        </w:rPr>
        <w:t xml:space="preserve"> oder einen in Artikel 270 </w:t>
      </w:r>
      <w:r w:rsidR="00D67EB8" w:rsidRPr="009118AB">
        <w:rPr>
          <w:rFonts w:eastAsia="Calibri"/>
          <w:szCs w:val="22"/>
          <w:lang w:eastAsia="en-US"/>
        </w:rPr>
        <w:t>Nr. </w:t>
      </w:r>
      <w:r w:rsidRPr="009118AB">
        <w:rPr>
          <w:rFonts w:eastAsia="Calibri"/>
          <w:szCs w:val="22"/>
          <w:lang w:eastAsia="en-US"/>
        </w:rPr>
        <w:t>1 oder 3 erwähnten Schuldner des Berufssteuer</w:t>
      </w:r>
      <w:r w:rsidRPr="009118AB">
        <w:rPr>
          <w:rFonts w:eastAsia="Calibri"/>
          <w:szCs w:val="22"/>
          <w:lang w:eastAsia="en-US"/>
        </w:rPr>
        <w:softHyphen/>
        <w:t>vorabzugs bei Verhandlungen im Hinblick auf den Abschluss, die Verlängerung, Erneuerung oder Beendigung eines Arbeitsvertrags mit einem Sportler zu unterstützen</w:t>
      </w:r>
    </w:p>
    <w:p w14:paraId="5EEE0796" w14:textId="77777777" w:rsidR="00261B2A" w:rsidRPr="009118AB" w:rsidRDefault="00261B2A" w:rsidP="00261B2A">
      <w:pPr>
        <w:jc w:val="both"/>
        <w:rPr>
          <w:rFonts w:eastAsia="Calibri"/>
          <w:lang w:eastAsia="en-US"/>
        </w:rPr>
      </w:pPr>
    </w:p>
    <w:p w14:paraId="63BF074A" w14:textId="6CA5F2BC" w:rsidR="00261B2A" w:rsidRPr="009118AB" w:rsidRDefault="00261B2A" w:rsidP="00261B2A">
      <w:pPr>
        <w:autoSpaceDE w:val="0"/>
        <w:autoSpaceDN w:val="0"/>
        <w:adjustRightInd w:val="0"/>
        <w:jc w:val="both"/>
        <w:rPr>
          <w:bCs/>
          <w:iCs/>
        </w:rPr>
      </w:pPr>
      <w:r w:rsidRPr="009118AB">
        <w:rPr>
          <w:rFonts w:eastAsia="Calibri"/>
          <w:szCs w:val="22"/>
          <w:lang w:eastAsia="en-US"/>
        </w:rPr>
        <w:tab/>
      </w:r>
      <w:r w:rsidRPr="009118AB">
        <w:rPr>
          <w:rFonts w:eastAsia="Calibri"/>
          <w:i/>
          <w:iCs/>
          <w:szCs w:val="22"/>
          <w:lang w:eastAsia="en-US"/>
        </w:rPr>
        <w:t>c)</w:t>
      </w:r>
      <w:r w:rsidRPr="009118AB">
        <w:rPr>
          <w:rFonts w:eastAsia="Calibri"/>
          <w:szCs w:val="22"/>
          <w:lang w:eastAsia="en-US"/>
        </w:rPr>
        <w:t> oder eine Ausleihe oder einen definitiven Transfer im Hinblick auf die Ankunft oder den Weggang eines Sportlers zu regeln.</w:t>
      </w:r>
      <w:r w:rsidRPr="009118AB">
        <w:t>]</w:t>
      </w:r>
    </w:p>
    <w:p w14:paraId="0B0FA3A7" w14:textId="77777777" w:rsidR="000B3E9C" w:rsidRPr="009118AB" w:rsidRDefault="000B3E9C" w:rsidP="00665549">
      <w:pPr>
        <w:autoSpaceDE w:val="0"/>
        <w:autoSpaceDN w:val="0"/>
        <w:adjustRightInd w:val="0"/>
        <w:ind w:firstLine="708"/>
        <w:jc w:val="both"/>
        <w:rPr>
          <w:bCs/>
          <w:iCs/>
        </w:rPr>
      </w:pPr>
    </w:p>
    <w:p w14:paraId="7205F3EA" w14:textId="77777777" w:rsidR="006A2667" w:rsidRPr="009118AB" w:rsidRDefault="006A2667" w:rsidP="00665549">
      <w:pPr>
        <w:autoSpaceDE w:val="0"/>
        <w:autoSpaceDN w:val="0"/>
        <w:adjustRightInd w:val="0"/>
        <w:ind w:firstLine="708"/>
        <w:jc w:val="both"/>
        <w:rPr>
          <w:bCs/>
          <w:iCs/>
        </w:rPr>
      </w:pPr>
      <w:r w:rsidRPr="009118AB">
        <w:rPr>
          <w:bCs/>
          <w:iCs/>
        </w:rPr>
        <w:t>[Für die Anwendung von Absatz 1 werden in Artikel 32 erwähnte Unternehmensleiter Arbeitnehmern gleichgestellt.]</w:t>
      </w:r>
    </w:p>
    <w:p w14:paraId="696B4553" w14:textId="77777777" w:rsidR="006A2667" w:rsidRPr="009118AB" w:rsidRDefault="006A2667" w:rsidP="006A2667">
      <w:pPr>
        <w:autoSpaceDE w:val="0"/>
        <w:autoSpaceDN w:val="0"/>
        <w:adjustRightInd w:val="0"/>
        <w:jc w:val="both"/>
        <w:rPr>
          <w:bCs/>
          <w:iCs/>
        </w:rPr>
      </w:pPr>
    </w:p>
    <w:p w14:paraId="534F81F4" w14:textId="44EA2A25" w:rsidR="00745800" w:rsidRPr="009118AB" w:rsidRDefault="00745800" w:rsidP="00745800">
      <w:pPr>
        <w:jc w:val="both"/>
      </w:pPr>
      <w:r w:rsidRPr="009118AB">
        <w:rPr>
          <w:bCs/>
          <w:iCs/>
        </w:rPr>
        <w:tab/>
        <w:t>[</w:t>
      </w:r>
      <w:r w:rsidRPr="009118AB">
        <w:t xml:space="preserve">Die in Absatz 1 </w:t>
      </w:r>
      <w:r w:rsidR="00D67EB8" w:rsidRPr="009118AB">
        <w:t>Nr. </w:t>
      </w:r>
      <w:r w:rsidRPr="009118AB">
        <w:t xml:space="preserve">1 erwähnte Steuer ist nicht anwendbar, wenn der Steuerpflichtige nachweist, dass </w:t>
      </w:r>
      <w:r w:rsidR="006A32B7" w:rsidRPr="009118AB">
        <w:t>[</w:t>
      </w:r>
      <w:r w:rsidR="006A32B7" w:rsidRPr="009118AB">
        <w:rPr>
          <w:lang w:eastAsia="fr-BE"/>
        </w:rPr>
        <w:t xml:space="preserve">der Betrag der in Artikel 57 Absatz 1 erwähnten Ausgaben, der in den Artikeln 31 Absatz 2 </w:t>
      </w:r>
      <w:r w:rsidR="00D67EB8" w:rsidRPr="009118AB">
        <w:rPr>
          <w:lang w:eastAsia="fr-BE"/>
        </w:rPr>
        <w:t>Nr. </w:t>
      </w:r>
      <w:r w:rsidR="006A32B7" w:rsidRPr="009118AB">
        <w:rPr>
          <w:lang w:eastAsia="fr-BE"/>
        </w:rPr>
        <w:t xml:space="preserve">2 und 32 Absatz 2 </w:t>
      </w:r>
      <w:r w:rsidR="00D67EB8" w:rsidRPr="009118AB">
        <w:rPr>
          <w:lang w:eastAsia="fr-BE"/>
        </w:rPr>
        <w:t>Nr. </w:t>
      </w:r>
      <w:r w:rsidR="006A32B7" w:rsidRPr="009118AB">
        <w:rPr>
          <w:lang w:eastAsia="fr-BE"/>
        </w:rPr>
        <w:t xml:space="preserve">2 erwähnten Vorteile jeglicher Art oder der in Artikel 17 </w:t>
      </w:r>
      <w:r w:rsidR="00D67EB8" w:rsidRPr="009118AB">
        <w:rPr>
          <w:lang w:eastAsia="fr-BE"/>
        </w:rPr>
        <w:t>§ </w:t>
      </w:r>
      <w:r w:rsidR="006A32B7" w:rsidRPr="009118AB">
        <w:rPr>
          <w:lang w:eastAsia="fr-BE"/>
        </w:rPr>
        <w:t xml:space="preserve">1 </w:t>
      </w:r>
      <w:r w:rsidR="00D67EB8" w:rsidRPr="009118AB">
        <w:rPr>
          <w:lang w:eastAsia="fr-BE"/>
        </w:rPr>
        <w:t>Nr. </w:t>
      </w:r>
      <w:r w:rsidR="006A32B7" w:rsidRPr="009118AB">
        <w:rPr>
          <w:lang w:eastAsia="fr-BE"/>
        </w:rPr>
        <w:t xml:space="preserve">3, was Urheberrechte und ähnliche Rechte betrifft, und </w:t>
      </w:r>
      <w:r w:rsidR="00D67EB8" w:rsidRPr="009118AB">
        <w:rPr>
          <w:lang w:eastAsia="fr-BE"/>
        </w:rPr>
        <w:t>Nr. </w:t>
      </w:r>
      <w:r w:rsidR="006A32B7" w:rsidRPr="009118AB">
        <w:rPr>
          <w:lang w:eastAsia="fr-BE"/>
        </w:rPr>
        <w:t>5 erwähnten Einkünfte</w:t>
      </w:r>
      <w:r w:rsidR="006A32B7" w:rsidRPr="009118AB">
        <w:t>]</w:t>
      </w:r>
      <w:r w:rsidRPr="009118AB">
        <w:t xml:space="preserve"> </w:t>
      </w:r>
      <w:r w:rsidR="00D82256" w:rsidRPr="009118AB">
        <w:t>[in einer vom Empfänger gemäß Artikel 305 eingereichten Erklärung oder in einer vom Empfänger im Ausland eingereichten gleichartigen Erklärung]</w:t>
      </w:r>
      <w:r w:rsidRPr="009118AB">
        <w:t xml:space="preserve"> enthalten ist.</w:t>
      </w:r>
      <w:r w:rsidR="00B95227" w:rsidRPr="009118AB">
        <w:t>]</w:t>
      </w:r>
    </w:p>
    <w:p w14:paraId="2C3950B3" w14:textId="77777777" w:rsidR="00745800" w:rsidRPr="009118AB" w:rsidRDefault="00745800" w:rsidP="00745800">
      <w:pPr>
        <w:jc w:val="both"/>
      </w:pPr>
    </w:p>
    <w:p w14:paraId="2DD99B73" w14:textId="7A9D215A" w:rsidR="00745800" w:rsidRPr="009118AB" w:rsidRDefault="00745800" w:rsidP="00745800">
      <w:pPr>
        <w:autoSpaceDE w:val="0"/>
        <w:autoSpaceDN w:val="0"/>
        <w:adjustRightInd w:val="0"/>
        <w:jc w:val="both"/>
      </w:pPr>
      <w:r w:rsidRPr="009118AB">
        <w:tab/>
      </w:r>
      <w:r w:rsidR="00B95227" w:rsidRPr="009118AB">
        <w:t xml:space="preserve">[Die in Absatz 1 </w:t>
      </w:r>
      <w:r w:rsidR="00D67EB8" w:rsidRPr="009118AB">
        <w:t>Nr. </w:t>
      </w:r>
      <w:r w:rsidR="00B95227" w:rsidRPr="009118AB">
        <w:t>1 erwähnte Steuer ist nicht anwendbar, wenn der Empfänger spätestens zwei Jahre und sechs Monate ab dem 1. Januar des betreffenden Steuerjahres eindeutig identifiziert worden ist</w:t>
      </w:r>
      <w:r w:rsidR="00365503" w:rsidRPr="009118AB">
        <w:t xml:space="preserve"> [oder wenn </w:t>
      </w:r>
      <w:r w:rsidR="006A32B7" w:rsidRPr="009118AB">
        <w:t>[</w:t>
      </w:r>
      <w:r w:rsidR="006A32B7" w:rsidRPr="009118AB">
        <w:rPr>
          <w:lang w:eastAsia="fr-BE"/>
        </w:rPr>
        <w:t xml:space="preserve">der Betrag der in den Artikeln 31 Absatz 2 </w:t>
      </w:r>
      <w:r w:rsidR="00D67EB8" w:rsidRPr="009118AB">
        <w:rPr>
          <w:lang w:eastAsia="fr-BE"/>
        </w:rPr>
        <w:t>Nr. </w:t>
      </w:r>
      <w:r w:rsidR="006A32B7" w:rsidRPr="009118AB">
        <w:rPr>
          <w:lang w:eastAsia="fr-BE"/>
        </w:rPr>
        <w:t xml:space="preserve">2 und 32 Absatz 2 </w:t>
      </w:r>
      <w:r w:rsidR="00D67EB8" w:rsidRPr="009118AB">
        <w:rPr>
          <w:lang w:eastAsia="fr-BE"/>
        </w:rPr>
        <w:t>Nr. </w:t>
      </w:r>
      <w:r w:rsidR="006A32B7" w:rsidRPr="009118AB">
        <w:rPr>
          <w:lang w:eastAsia="fr-BE"/>
        </w:rPr>
        <w:t xml:space="preserve">2 erwähnten Vorteile jeglicher Art, der in Artikel 57 Absatz 1 erwähnten Ausgaben oder der in Artikel 17 </w:t>
      </w:r>
      <w:r w:rsidR="00D67EB8" w:rsidRPr="009118AB">
        <w:rPr>
          <w:lang w:eastAsia="fr-BE"/>
        </w:rPr>
        <w:t>§ </w:t>
      </w:r>
      <w:r w:rsidR="006A32B7" w:rsidRPr="009118AB">
        <w:rPr>
          <w:lang w:eastAsia="fr-BE"/>
        </w:rPr>
        <w:t xml:space="preserve">1 </w:t>
      </w:r>
      <w:r w:rsidR="00D67EB8" w:rsidRPr="009118AB">
        <w:rPr>
          <w:lang w:eastAsia="fr-BE"/>
        </w:rPr>
        <w:t>Nr. </w:t>
      </w:r>
      <w:r w:rsidR="006A32B7" w:rsidRPr="009118AB">
        <w:rPr>
          <w:lang w:eastAsia="fr-BE"/>
        </w:rPr>
        <w:t xml:space="preserve">3, was Urheberrechte und ähnliche Rechte betrifft, und </w:t>
      </w:r>
      <w:r w:rsidR="00D67EB8" w:rsidRPr="009118AB">
        <w:rPr>
          <w:lang w:eastAsia="fr-BE"/>
        </w:rPr>
        <w:t>Nr. </w:t>
      </w:r>
      <w:r w:rsidR="006A32B7" w:rsidRPr="009118AB">
        <w:rPr>
          <w:lang w:eastAsia="fr-BE"/>
        </w:rPr>
        <w:t>5 erwähnten Einkünfte</w:t>
      </w:r>
      <w:r w:rsidR="006A32B7" w:rsidRPr="009118AB">
        <w:t>]</w:t>
      </w:r>
      <w:r w:rsidR="00365503" w:rsidRPr="009118AB">
        <w:t xml:space="preserve"> in einer Veranlagung enthalten ist, die in den in den Artikeln 354 Absatz 1 und 2 und 358 erwähnten Fristen </w:t>
      </w:r>
      <w:r w:rsidR="00B818A6" w:rsidRPr="009118AB">
        <w:t>[</w:t>
      </w:r>
      <w:r w:rsidR="00B818A6" w:rsidRPr="009118AB">
        <w:rPr>
          <w:rFonts w:eastAsia="Calibri"/>
          <w:kern w:val="2"/>
          <w:szCs w:val="22"/>
          <w:lang w:eastAsia="en-US"/>
          <w14:ligatures w14:val="standardContextual"/>
        </w:rPr>
        <w:t>bei einem steuerpflichtigen Empfänger wie in Artikel 305 Absatz 1 erwähnt mit seinem Einverständnis</w:t>
      </w:r>
      <w:r w:rsidR="00B818A6" w:rsidRPr="009118AB">
        <w:t>]</w:t>
      </w:r>
      <w:r w:rsidR="00365503" w:rsidRPr="009118AB">
        <w:t xml:space="preserve"> festgelegt wird].</w:t>
      </w:r>
      <w:r w:rsidR="00B95227" w:rsidRPr="009118AB">
        <w:t>]</w:t>
      </w:r>
    </w:p>
    <w:p w14:paraId="102D5C01" w14:textId="77777777" w:rsidR="00745800" w:rsidRPr="009118AB" w:rsidRDefault="00745800" w:rsidP="00745800">
      <w:pPr>
        <w:autoSpaceDE w:val="0"/>
        <w:autoSpaceDN w:val="0"/>
        <w:adjustRightInd w:val="0"/>
        <w:jc w:val="both"/>
        <w:rPr>
          <w:bCs/>
          <w:iCs/>
        </w:rPr>
      </w:pPr>
    </w:p>
    <w:p w14:paraId="372F41F2" w14:textId="0A5D9B7E" w:rsidR="006A2667" w:rsidRPr="009118AB" w:rsidRDefault="006A2667" w:rsidP="006A2667">
      <w:pPr>
        <w:autoSpaceDE w:val="0"/>
        <w:autoSpaceDN w:val="0"/>
        <w:adjustRightInd w:val="0"/>
        <w:jc w:val="both"/>
        <w:rPr>
          <w:bCs/>
          <w:iCs/>
          <w:spacing w:val="2"/>
        </w:rPr>
      </w:pPr>
      <w:r w:rsidRPr="009118AB">
        <w:rPr>
          <w:bCs/>
          <w:i/>
          <w:iCs/>
          <w:spacing w:val="2"/>
        </w:rPr>
        <w:t>[</w:t>
      </w:r>
      <w:r w:rsidR="00D67EB8" w:rsidRPr="009118AB">
        <w:rPr>
          <w:bCs/>
          <w:i/>
          <w:iCs/>
          <w:spacing w:val="2"/>
        </w:rPr>
        <w:t>Art. </w:t>
      </w:r>
      <w:r w:rsidRPr="009118AB">
        <w:rPr>
          <w:bCs/>
          <w:i/>
          <w:iCs/>
          <w:spacing w:val="2"/>
        </w:rPr>
        <w:t xml:space="preserve">223 </w:t>
      </w:r>
      <w:r w:rsidR="00D67EB8" w:rsidRPr="009118AB">
        <w:rPr>
          <w:bCs/>
          <w:i/>
          <w:iCs/>
          <w:spacing w:val="2"/>
        </w:rPr>
        <w:t>Abs. </w:t>
      </w:r>
      <w:r w:rsidRPr="009118AB">
        <w:rPr>
          <w:bCs/>
          <w:i/>
          <w:iCs/>
          <w:spacing w:val="2"/>
        </w:rPr>
        <w:t xml:space="preserve">1 </w:t>
      </w:r>
      <w:r w:rsidR="00D67EB8" w:rsidRPr="009118AB">
        <w:rPr>
          <w:bCs/>
          <w:i/>
          <w:iCs/>
          <w:spacing w:val="2"/>
        </w:rPr>
        <w:t>Nr. </w:t>
      </w:r>
      <w:r w:rsidRPr="009118AB">
        <w:rPr>
          <w:bCs/>
          <w:i/>
          <w:iCs/>
          <w:spacing w:val="2"/>
        </w:rPr>
        <w:t xml:space="preserve">1 abgeändert durch </w:t>
      </w:r>
      <w:r w:rsidR="00D67EB8" w:rsidRPr="009118AB">
        <w:rPr>
          <w:bCs/>
          <w:i/>
          <w:iCs/>
          <w:spacing w:val="2"/>
        </w:rPr>
        <w:t>Art. </w:t>
      </w:r>
      <w:r w:rsidRPr="009118AB">
        <w:rPr>
          <w:bCs/>
          <w:i/>
          <w:iCs/>
          <w:spacing w:val="2"/>
        </w:rPr>
        <w:t xml:space="preserve">21 des G. (I) vom 27. Dezember 2006 (I) </w:t>
      </w:r>
      <w:r w:rsidRPr="009118AB">
        <w:rPr>
          <w:rFonts w:ascii="Times New Roman Italique" w:hAnsi="Times New Roman Italique"/>
          <w:bCs/>
          <w:i/>
          <w:iCs/>
          <w:spacing w:val="2"/>
        </w:rPr>
        <w:t>(B.S. vom 28. Dezember 2006)</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ab dem Steuerjahr 2007</w:t>
      </w:r>
      <w:r w:rsidR="00FD68E8" w:rsidRPr="009118AB">
        <w:rPr>
          <w:rFonts w:ascii="Times New Roman Italique" w:hAnsi="Times New Roman Italique"/>
          <w:bCs/>
          <w:i/>
          <w:iCs/>
          <w:spacing w:val="2"/>
        </w:rPr>
        <w:t> </w:t>
      </w:r>
      <w:r w:rsidR="00FD68E8" w:rsidRPr="009118AB">
        <w:rPr>
          <w:rFonts w:ascii="Times New Roman Italique" w:hAnsi="Times New Roman Italique" w:hint="eastAsia"/>
          <w:bCs/>
          <w:i/>
          <w:iCs/>
          <w:spacing w:val="2"/>
        </w:rPr>
        <w:t>-,</w:t>
      </w:r>
      <w:r w:rsidR="00365503" w:rsidRPr="009118AB">
        <w:rPr>
          <w:rFonts w:ascii="Times New Roman Italique" w:hAnsi="Times New Roman Italique"/>
          <w:bCs/>
          <w:i/>
          <w:iCs/>
          <w:spacing w:val="2"/>
        </w:rPr>
        <w:t xml:space="preserve"> </w:t>
      </w:r>
      <w:r w:rsidR="00D67EB8" w:rsidRPr="009118AB">
        <w:rPr>
          <w:rFonts w:ascii="Times New Roman Italique" w:hAnsi="Times New Roman Italique"/>
          <w:bCs/>
          <w:i/>
          <w:iCs/>
          <w:spacing w:val="2"/>
        </w:rPr>
        <w:t>Art. </w:t>
      </w:r>
      <w:r w:rsidR="00365503" w:rsidRPr="009118AB">
        <w:rPr>
          <w:rFonts w:ascii="Times New Roman Italique" w:hAnsi="Times New Roman Italique"/>
          <w:bCs/>
          <w:i/>
          <w:iCs/>
          <w:spacing w:val="2"/>
        </w:rPr>
        <w:t>71 Buchstabe</w:t>
      </w:r>
      <w:r w:rsidR="00365503" w:rsidRPr="009118AB">
        <w:rPr>
          <w:rFonts w:ascii="Times New Roman Italique" w:hAnsi="Times New Roman Italique" w:hint="eastAsia"/>
          <w:bCs/>
          <w:i/>
          <w:iCs/>
          <w:spacing w:val="2"/>
        </w:rPr>
        <w:t> </w:t>
      </w:r>
      <w:r w:rsidR="00365503" w:rsidRPr="009118AB">
        <w:rPr>
          <w:rFonts w:ascii="Times New Roman Italique" w:hAnsi="Times New Roman Italique"/>
          <w:bCs/>
          <w:i/>
          <w:iCs/>
          <w:spacing w:val="2"/>
        </w:rPr>
        <w:t>a)</w:t>
      </w:r>
      <w:r w:rsidR="00365503" w:rsidRPr="009118AB">
        <w:rPr>
          <w:bCs/>
          <w:i/>
          <w:iCs/>
        </w:rPr>
        <w:t xml:space="preserve"> des G. vom 27. Juni 2021 (B.S. vom 30. Juni 2021)</w:t>
      </w:r>
      <w:r w:rsidR="00CA61DC" w:rsidRPr="009118AB">
        <w:rPr>
          <w:bCs/>
          <w:i/>
          <w:iCs/>
        </w:rPr>
        <w:t>,</w:t>
      </w:r>
      <w:r w:rsidR="006A32B7" w:rsidRPr="009118AB">
        <w:rPr>
          <w:bCs/>
          <w:i/>
          <w:iCs/>
        </w:rPr>
        <w:t xml:space="preserve"> </w:t>
      </w:r>
      <w:r w:rsidR="00D67EB8" w:rsidRPr="009118AB">
        <w:rPr>
          <w:bCs/>
          <w:i/>
          <w:iCs/>
        </w:rPr>
        <w:t>Art. </w:t>
      </w:r>
      <w:r w:rsidR="006A32B7" w:rsidRPr="009118AB">
        <w:rPr>
          <w:bCs/>
          <w:i/>
          <w:iCs/>
        </w:rPr>
        <w:t xml:space="preserve">47 </w:t>
      </w:r>
      <w:r w:rsidR="00D67EB8" w:rsidRPr="009118AB">
        <w:rPr>
          <w:bCs/>
          <w:i/>
          <w:iCs/>
        </w:rPr>
        <w:t>Nr. </w:t>
      </w:r>
      <w:r w:rsidR="006A32B7" w:rsidRPr="009118AB">
        <w:rPr>
          <w:bCs/>
          <w:i/>
          <w:iCs/>
        </w:rPr>
        <w:t>1</w:t>
      </w:r>
      <w:r w:rsidR="006A32B7" w:rsidRPr="009118AB">
        <w:rPr>
          <w:i/>
          <w:iCs/>
        </w:rPr>
        <w:t xml:space="preserve"> des G. vom 21.</w:t>
      </w:r>
      <w:r w:rsidR="005E5012" w:rsidRPr="009118AB">
        <w:rPr>
          <w:i/>
          <w:iCs/>
        </w:rPr>
        <w:t> </w:t>
      </w:r>
      <w:r w:rsidR="006A32B7" w:rsidRPr="009118AB">
        <w:rPr>
          <w:i/>
          <w:iCs/>
        </w:rPr>
        <w:t>Januar</w:t>
      </w:r>
      <w:r w:rsidR="005E5012" w:rsidRPr="009118AB">
        <w:rPr>
          <w:i/>
          <w:iCs/>
        </w:rPr>
        <w:t> </w:t>
      </w:r>
      <w:r w:rsidR="006A32B7" w:rsidRPr="009118AB">
        <w:rPr>
          <w:i/>
          <w:iCs/>
        </w:rPr>
        <w:t>2022 (B.S. vom 28.</w:t>
      </w:r>
      <w:r w:rsidR="005E5012" w:rsidRPr="009118AB">
        <w:rPr>
          <w:i/>
          <w:iCs/>
        </w:rPr>
        <w:t> </w:t>
      </w:r>
      <w:r w:rsidR="006A32B7" w:rsidRPr="009118AB">
        <w:rPr>
          <w:i/>
          <w:iCs/>
        </w:rPr>
        <w:t>Januar</w:t>
      </w:r>
      <w:r w:rsidR="005E5012" w:rsidRPr="009118AB">
        <w:rPr>
          <w:i/>
          <w:iCs/>
        </w:rPr>
        <w:t> </w:t>
      </w:r>
      <w:r w:rsidR="006A32B7" w:rsidRPr="009118AB">
        <w:rPr>
          <w:i/>
          <w:iCs/>
        </w:rPr>
        <w:t>2022)</w:t>
      </w:r>
      <w:r w:rsidR="00D67EB8" w:rsidRPr="009118AB">
        <w:rPr>
          <w:i/>
          <w:iCs/>
        </w:rPr>
        <w:t> - </w:t>
      </w:r>
      <w:r w:rsidR="006A32B7" w:rsidRPr="009118AB">
        <w:rPr>
          <w:i/>
          <w:iCs/>
          <w:lang w:eastAsia="fr-BE"/>
        </w:rPr>
        <w:t>anwendbar auf Einkünfte, die ab dem 1. Januar 2021 während eines Besteuerungszeitraums gezahlt oder zuerkannt werden, der frühestens an das Steuerjahr 2022 gebunden ist</w:t>
      </w:r>
      <w:r w:rsidR="003366D9" w:rsidRPr="009118AB">
        <w:rPr>
          <w:i/>
          <w:iCs/>
          <w:lang w:eastAsia="fr-BE"/>
        </w:rPr>
        <w:t> -</w:t>
      </w:r>
      <w:r w:rsidR="00CA61DC" w:rsidRPr="009118AB">
        <w:rPr>
          <w:i/>
          <w:iCs/>
          <w:lang w:eastAsia="fr-BE"/>
        </w:rPr>
        <w:t xml:space="preserve"> und Art. 26</w:t>
      </w:r>
      <w:r w:rsidR="00CA61DC" w:rsidRPr="009118AB">
        <w:rPr>
          <w:i/>
          <w:iCs/>
        </w:rPr>
        <w:t xml:space="preserve"> des G. vom 21. Dezember 2022 (II) (B.S. vom 29. Dezember 2022) - in Kraft am 1. Januar 2023 -</w:t>
      </w:r>
      <w:r w:rsidR="003366D9" w:rsidRPr="009118AB">
        <w:rPr>
          <w:i/>
          <w:iCs/>
          <w:lang w:eastAsia="fr-BE"/>
        </w:rPr>
        <w:t>;</w:t>
      </w:r>
      <w:r w:rsidRPr="009118AB">
        <w:rPr>
          <w:rFonts w:ascii="Times New Roman Italique" w:hAnsi="Times New Roman Italique"/>
          <w:bCs/>
          <w:i/>
          <w:iCs/>
          <w:spacing w:val="2"/>
        </w:rPr>
        <w:t xml:space="preserve"> </w:t>
      </w:r>
      <w:r w:rsidR="00D67EB8" w:rsidRPr="009118AB">
        <w:rPr>
          <w:rFonts w:ascii="Times New Roman Italique" w:hAnsi="Times New Roman Italique"/>
          <w:bCs/>
          <w:i/>
          <w:iCs/>
          <w:spacing w:val="2"/>
        </w:rPr>
        <w:t>Abs. </w:t>
      </w:r>
      <w:r w:rsidRPr="009118AB">
        <w:rPr>
          <w:rFonts w:ascii="Times New Roman Italique" w:hAnsi="Times New Roman Italique"/>
          <w:bCs/>
          <w:i/>
          <w:iCs/>
          <w:spacing w:val="2"/>
        </w:rPr>
        <w:t xml:space="preserve">1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2 ersetzt</w:t>
      </w:r>
      <w:r w:rsidRPr="009118AB">
        <w:rPr>
          <w:rFonts w:ascii="Times New Roman Italique" w:hAnsi="Times New Roman Italique"/>
          <w:bCs/>
          <w:iCs/>
          <w:spacing w:val="2"/>
        </w:rPr>
        <w:t xml:space="preserve"> </w:t>
      </w:r>
      <w:r w:rsidRPr="009118AB">
        <w:rPr>
          <w:rFonts w:ascii="Times New Roman Italique" w:hAnsi="Times New Roman Italique"/>
          <w:bCs/>
          <w:i/>
          <w:iCs/>
          <w:spacing w:val="2"/>
        </w:rPr>
        <w:t xml:space="preserve">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 xml:space="preserve">178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1 des G. vom 27. Dezember 2005 (II)</w:t>
      </w:r>
      <w:r w:rsidR="00D27B17" w:rsidRPr="009118AB">
        <w:rPr>
          <w:rFonts w:ascii="Times New Roman Italique" w:hAnsi="Times New Roman Italique"/>
          <w:bCs/>
          <w:i/>
          <w:iCs/>
          <w:spacing w:val="2"/>
        </w:rPr>
        <w:t xml:space="preserve"> (B.S. vom 30. Dezember 2005)</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auf die ab dem 1. Januar 2006 gezahlten Prämien und Beiträge</w:t>
      </w:r>
      <w:r w:rsidR="003366D9" w:rsidRPr="009118AB">
        <w:rPr>
          <w:rFonts w:ascii="Times New Roman Italique" w:hAnsi="Times New Roman Italique"/>
          <w:bCs/>
          <w:i/>
          <w:iCs/>
          <w:spacing w:val="2"/>
        </w:rPr>
        <w:t> -;</w:t>
      </w:r>
      <w:r w:rsidRPr="009118AB">
        <w:rPr>
          <w:rFonts w:ascii="Times New Roman Italique" w:hAnsi="Times New Roman Italique"/>
          <w:bCs/>
          <w:i/>
          <w:iCs/>
          <w:spacing w:val="2"/>
        </w:rPr>
        <w:t xml:space="preserve"> </w:t>
      </w:r>
      <w:r w:rsidR="00D67EB8" w:rsidRPr="009118AB">
        <w:rPr>
          <w:rFonts w:ascii="Times New Roman Italique" w:hAnsi="Times New Roman Italique"/>
          <w:bCs/>
          <w:i/>
          <w:iCs/>
          <w:spacing w:val="2"/>
        </w:rPr>
        <w:t>Abs. </w:t>
      </w:r>
      <w:r w:rsidRPr="009118AB">
        <w:rPr>
          <w:rFonts w:ascii="Times New Roman Italique" w:hAnsi="Times New Roman Italique"/>
          <w:bCs/>
          <w:i/>
          <w:iCs/>
          <w:spacing w:val="2"/>
        </w:rPr>
        <w:t xml:space="preserve">1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 xml:space="preserve">3 eingefügt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 xml:space="preserve">47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1 des G. vom 15. Dezember 2004 (B.S. vom 1. Februar</w:t>
      </w:r>
      <w:r w:rsidR="00D27B17" w:rsidRPr="009118AB">
        <w:rPr>
          <w:rFonts w:ascii="Times New Roman Italique" w:hAnsi="Times New Roman Italique"/>
          <w:bCs/>
          <w:i/>
          <w:iCs/>
          <w:spacing w:val="2"/>
        </w:rPr>
        <w:t> 2005)</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auf Aktien- oder Anteilverleihe, die ab dem 14. </w:t>
      </w:r>
      <w:r w:rsidR="00D27B17" w:rsidRPr="009118AB">
        <w:rPr>
          <w:rFonts w:ascii="Times New Roman Italique" w:hAnsi="Times New Roman Italique"/>
          <w:bCs/>
          <w:i/>
          <w:iCs/>
          <w:spacing w:val="2"/>
        </w:rPr>
        <w:t>April 1999 abgeschlossen werden</w:t>
      </w:r>
      <w:r w:rsidR="00FD68E8" w:rsidRPr="009118AB">
        <w:rPr>
          <w:rFonts w:ascii="Times New Roman Italique" w:hAnsi="Times New Roman Italique"/>
          <w:bCs/>
          <w:i/>
          <w:iCs/>
          <w:spacing w:val="2"/>
        </w:rPr>
        <w:t> </w:t>
      </w:r>
      <w:r w:rsidR="00FD68E8" w:rsidRPr="009118AB">
        <w:rPr>
          <w:rFonts w:ascii="Times New Roman Italique" w:hAnsi="Times New Roman Italique" w:hint="eastAsia"/>
          <w:bCs/>
          <w:i/>
          <w:iCs/>
          <w:spacing w:val="2"/>
        </w:rPr>
        <w:t>-,</w:t>
      </w:r>
      <w:r w:rsidRPr="009118AB">
        <w:rPr>
          <w:rFonts w:ascii="Times New Roman Italique" w:hAnsi="Times New Roman Italique"/>
          <w:bCs/>
          <w:i/>
          <w:iCs/>
          <w:spacing w:val="2"/>
        </w:rPr>
        <w:t xml:space="preserve"> aufgehoben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 xml:space="preserve">47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2 des G. vom 15. Dezember 2004 (B.S. vom 1. Februar 2005)</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auf Aktien- oder Anteilverleihe, die ab dem 1. Februar 2005 abgeschlossen werden</w:t>
      </w:r>
      <w:r w:rsidR="00FD68E8" w:rsidRPr="009118AB">
        <w:rPr>
          <w:rFonts w:ascii="Times New Roman Italique" w:hAnsi="Times New Roman Italique"/>
          <w:bCs/>
          <w:i/>
          <w:iCs/>
          <w:spacing w:val="2"/>
        </w:rPr>
        <w:t> </w:t>
      </w:r>
      <w:r w:rsidR="00FD68E8" w:rsidRPr="009118AB">
        <w:rPr>
          <w:rFonts w:ascii="Times New Roman Italique" w:hAnsi="Times New Roman Italique" w:hint="eastAsia"/>
          <w:bCs/>
          <w:i/>
          <w:iCs/>
          <w:spacing w:val="2"/>
        </w:rPr>
        <w:t>-,</w:t>
      </w:r>
      <w:r w:rsidRPr="009118AB">
        <w:rPr>
          <w:rFonts w:ascii="Times New Roman Italique" w:hAnsi="Times New Roman Italique"/>
          <w:bCs/>
          <w:i/>
          <w:iCs/>
          <w:spacing w:val="2"/>
        </w:rPr>
        <w:t xml:space="preserve"> wieder aufgenommen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13 des G. vom 11. Mai 2007 (B.S. vom 8. Juni 2007)</w:t>
      </w:r>
      <w:r w:rsidR="00D67EB8" w:rsidRPr="009118AB">
        <w:rPr>
          <w:rFonts w:ascii="Times New Roman Italique" w:hAnsi="Times New Roman Italique"/>
          <w:bCs/>
          <w:i/>
          <w:iCs/>
          <w:spacing w:val="2"/>
        </w:rPr>
        <w:t> - </w:t>
      </w:r>
      <w:r w:rsidRPr="009118AB">
        <w:rPr>
          <w:bCs/>
          <w:i/>
          <w:iCs/>
          <w:spacing w:val="2"/>
        </w:rPr>
        <w:t>in Kraft ab dem 8. Juni 2007</w:t>
      </w:r>
      <w:r w:rsidR="003366D9" w:rsidRPr="009118AB">
        <w:rPr>
          <w:bCs/>
          <w:i/>
          <w:iCs/>
          <w:spacing w:val="2"/>
        </w:rPr>
        <w:t> -;</w:t>
      </w:r>
      <w:r w:rsidRPr="009118AB">
        <w:rPr>
          <w:bCs/>
          <w:i/>
          <w:iCs/>
          <w:spacing w:val="2"/>
        </w:rPr>
        <w:t xml:space="preserve"> </w:t>
      </w:r>
      <w:r w:rsidR="00D67EB8" w:rsidRPr="009118AB">
        <w:rPr>
          <w:bCs/>
          <w:i/>
          <w:iCs/>
          <w:spacing w:val="2"/>
        </w:rPr>
        <w:t>Abs. </w:t>
      </w:r>
      <w:r w:rsidRPr="009118AB">
        <w:rPr>
          <w:bCs/>
          <w:i/>
          <w:iCs/>
          <w:spacing w:val="2"/>
        </w:rPr>
        <w:t xml:space="preserve">1 </w:t>
      </w:r>
      <w:r w:rsidR="00D67EB8" w:rsidRPr="009118AB">
        <w:rPr>
          <w:bCs/>
          <w:i/>
          <w:iCs/>
          <w:spacing w:val="2"/>
        </w:rPr>
        <w:t>Nr. </w:t>
      </w:r>
      <w:r w:rsidRPr="009118AB">
        <w:rPr>
          <w:bCs/>
          <w:i/>
          <w:iCs/>
          <w:spacing w:val="2"/>
        </w:rPr>
        <w:t>4 eingefügt</w:t>
      </w:r>
      <w:r w:rsidR="00C83EA3" w:rsidRPr="009118AB">
        <w:rPr>
          <w:bCs/>
          <w:i/>
          <w:iCs/>
          <w:spacing w:val="2"/>
        </w:rPr>
        <w:t xml:space="preserve"> </w:t>
      </w:r>
      <w:r w:rsidR="00562EA0" w:rsidRPr="009118AB">
        <w:rPr>
          <w:i/>
          <w:iCs/>
          <w:spacing w:val="2"/>
        </w:rPr>
        <w:t xml:space="preserve">durch </w:t>
      </w:r>
      <w:r w:rsidR="00D67EB8" w:rsidRPr="009118AB">
        <w:rPr>
          <w:i/>
          <w:iCs/>
          <w:spacing w:val="2"/>
        </w:rPr>
        <w:t>Art. </w:t>
      </w:r>
      <w:r w:rsidRPr="009118AB">
        <w:rPr>
          <w:i/>
          <w:iCs/>
          <w:spacing w:val="2"/>
        </w:rPr>
        <w:t>47</w:t>
      </w:r>
      <w:r w:rsidRPr="009118AB">
        <w:rPr>
          <w:i/>
          <w:spacing w:val="2"/>
        </w:rPr>
        <w:t xml:space="preserve"> </w:t>
      </w:r>
      <w:r w:rsidRPr="009118AB">
        <w:rPr>
          <w:bCs/>
          <w:i/>
          <w:spacing w:val="2"/>
        </w:rPr>
        <w:t>des G.</w:t>
      </w:r>
      <w:r w:rsidR="00665549" w:rsidRPr="009118AB">
        <w:rPr>
          <w:bCs/>
          <w:i/>
          <w:spacing w:val="2"/>
        </w:rPr>
        <w:t> </w:t>
      </w:r>
      <w:r w:rsidRPr="009118AB">
        <w:rPr>
          <w:bCs/>
          <w:i/>
          <w:spacing w:val="2"/>
        </w:rPr>
        <w:t>vom 28. Dezember 2011 (B.S. vom 30. Dezember 2011)</w:t>
      </w:r>
      <w:r w:rsidR="00D67EB8" w:rsidRPr="009118AB">
        <w:rPr>
          <w:bCs/>
          <w:i/>
          <w:spacing w:val="2"/>
        </w:rPr>
        <w:t> - </w:t>
      </w:r>
      <w:r w:rsidRPr="009118AB">
        <w:rPr>
          <w:i/>
          <w:iCs/>
          <w:spacing w:val="2"/>
        </w:rPr>
        <w:t>anwendbar auf die ab dem 1.</w:t>
      </w:r>
      <w:r w:rsidR="00665549" w:rsidRPr="009118AB">
        <w:rPr>
          <w:i/>
          <w:iCs/>
          <w:spacing w:val="2"/>
        </w:rPr>
        <w:t> </w:t>
      </w:r>
      <w:r w:rsidRPr="009118AB">
        <w:rPr>
          <w:i/>
          <w:iCs/>
          <w:spacing w:val="2"/>
        </w:rPr>
        <w:t>Januar 2012 zuerkannten Vorteile jeglicher Art</w:t>
      </w:r>
      <w:r w:rsidR="00FD68E8" w:rsidRPr="009118AB">
        <w:rPr>
          <w:i/>
          <w:iCs/>
          <w:spacing w:val="2"/>
        </w:rPr>
        <w:t> -,</w:t>
      </w:r>
      <w:r w:rsidR="0069219E" w:rsidRPr="009118AB">
        <w:rPr>
          <w:i/>
          <w:iCs/>
          <w:spacing w:val="2"/>
        </w:rPr>
        <w:t xml:space="preserve"> </w:t>
      </w:r>
      <w:r w:rsidR="00637C0E" w:rsidRPr="009118AB">
        <w:rPr>
          <w:i/>
          <w:iCs/>
          <w:spacing w:val="2"/>
        </w:rPr>
        <w:t xml:space="preserve">ersetzt durch </w:t>
      </w:r>
      <w:r w:rsidR="00D67EB8" w:rsidRPr="009118AB">
        <w:rPr>
          <w:i/>
          <w:iCs/>
          <w:spacing w:val="2"/>
        </w:rPr>
        <w:t>Art. </w:t>
      </w:r>
      <w:r w:rsidR="00637C0E" w:rsidRPr="009118AB">
        <w:rPr>
          <w:i/>
          <w:iCs/>
          <w:spacing w:val="2"/>
        </w:rPr>
        <w:t>69 Buchstabe a)</w:t>
      </w:r>
      <w:r w:rsidR="00637C0E" w:rsidRPr="009118AB">
        <w:rPr>
          <w:i/>
          <w:spacing w:val="2"/>
        </w:rPr>
        <w:t xml:space="preserve"> des G. vom 25. Dezember 2016</w:t>
      </w:r>
      <w:r w:rsidR="001022BB" w:rsidRPr="009118AB">
        <w:rPr>
          <w:i/>
          <w:spacing w:val="2"/>
        </w:rPr>
        <w:t> (I)</w:t>
      </w:r>
      <w:r w:rsidR="00637C0E" w:rsidRPr="009118AB">
        <w:rPr>
          <w:i/>
          <w:spacing w:val="2"/>
        </w:rPr>
        <w:t xml:space="preserve"> (B.S. </w:t>
      </w:r>
      <w:r w:rsidR="00637C0E" w:rsidRPr="009118AB">
        <w:rPr>
          <w:i/>
          <w:spacing w:val="2"/>
        </w:rPr>
        <w:lastRenderedPageBreak/>
        <w:t>vom 29. Dezember 2016)</w:t>
      </w:r>
      <w:r w:rsidR="00D67EB8" w:rsidRPr="009118AB">
        <w:rPr>
          <w:i/>
          <w:spacing w:val="2"/>
        </w:rPr>
        <w:t> - </w:t>
      </w:r>
      <w:r w:rsidR="00637C0E" w:rsidRPr="009118AB">
        <w:rPr>
          <w:i/>
          <w:spacing w:val="2"/>
        </w:rPr>
        <w:t>in Kraft und anwendbar ab dem 1. Januar 2017</w:t>
      </w:r>
      <w:r w:rsidR="00D67EB8" w:rsidRPr="009118AB">
        <w:rPr>
          <w:i/>
          <w:spacing w:val="2"/>
        </w:rPr>
        <w:t> - </w:t>
      </w:r>
      <w:r w:rsidR="001D1CE7" w:rsidRPr="009118AB">
        <w:rPr>
          <w:i/>
          <w:spacing w:val="2"/>
        </w:rPr>
        <w:t xml:space="preserve">und abgeändert durch </w:t>
      </w:r>
      <w:r w:rsidR="00D67EB8" w:rsidRPr="009118AB">
        <w:rPr>
          <w:i/>
          <w:spacing w:val="2"/>
        </w:rPr>
        <w:t>Art. </w:t>
      </w:r>
      <w:r w:rsidR="001D1CE7" w:rsidRPr="009118AB">
        <w:rPr>
          <w:i/>
          <w:spacing w:val="2"/>
        </w:rPr>
        <w:t xml:space="preserve">47 </w:t>
      </w:r>
      <w:r w:rsidR="00D67EB8" w:rsidRPr="009118AB">
        <w:rPr>
          <w:i/>
          <w:spacing w:val="2"/>
        </w:rPr>
        <w:t>Nr. </w:t>
      </w:r>
      <w:r w:rsidR="001D1CE7" w:rsidRPr="009118AB">
        <w:rPr>
          <w:i/>
          <w:spacing w:val="2"/>
        </w:rPr>
        <w:t>2</w:t>
      </w:r>
      <w:r w:rsidR="001D1CE7" w:rsidRPr="009118AB">
        <w:rPr>
          <w:i/>
          <w:iCs/>
        </w:rPr>
        <w:t xml:space="preserve"> des G. vom 21. Januar 2022 (B.S. vom 28. Januar 2022)</w:t>
      </w:r>
      <w:r w:rsidR="00D67EB8" w:rsidRPr="009118AB">
        <w:rPr>
          <w:i/>
          <w:iCs/>
        </w:rPr>
        <w:t> - </w:t>
      </w:r>
      <w:r w:rsidR="001D1CE7" w:rsidRPr="009118AB">
        <w:rPr>
          <w:i/>
          <w:iCs/>
        </w:rPr>
        <w:t>wirksam mit 1. Januar 2021</w:t>
      </w:r>
      <w:r w:rsidR="003366D9" w:rsidRPr="009118AB">
        <w:rPr>
          <w:i/>
          <w:iCs/>
        </w:rPr>
        <w:t> -;</w:t>
      </w:r>
      <w:r w:rsidR="00DA4CB3" w:rsidRPr="009118AB">
        <w:rPr>
          <w:i/>
          <w:iCs/>
          <w:spacing w:val="2"/>
        </w:rPr>
        <w:t xml:space="preserve"> </w:t>
      </w:r>
      <w:r w:rsidR="00D67EB8" w:rsidRPr="009118AB">
        <w:rPr>
          <w:i/>
          <w:iCs/>
          <w:spacing w:val="2"/>
        </w:rPr>
        <w:t>Abs. </w:t>
      </w:r>
      <w:r w:rsidR="00DA4CB3" w:rsidRPr="009118AB">
        <w:rPr>
          <w:i/>
          <w:iCs/>
          <w:spacing w:val="2"/>
        </w:rPr>
        <w:t xml:space="preserve">1 </w:t>
      </w:r>
      <w:r w:rsidR="004421E9" w:rsidRPr="009118AB">
        <w:rPr>
          <w:i/>
          <w:iCs/>
          <w:spacing w:val="2"/>
        </w:rPr>
        <w:t xml:space="preserve">frühere </w:t>
      </w:r>
      <w:r w:rsidR="00DA4CB3" w:rsidRPr="009118AB">
        <w:rPr>
          <w:i/>
          <w:iCs/>
          <w:spacing w:val="2"/>
        </w:rPr>
        <w:t>N</w:t>
      </w:r>
      <w:r w:rsidR="004421E9" w:rsidRPr="009118AB">
        <w:rPr>
          <w:i/>
          <w:iCs/>
          <w:spacing w:val="2"/>
        </w:rPr>
        <w:t>ummer</w:t>
      </w:r>
      <w:r w:rsidR="00DA4CB3" w:rsidRPr="009118AB">
        <w:rPr>
          <w:i/>
          <w:iCs/>
          <w:spacing w:val="2"/>
        </w:rPr>
        <w:t xml:space="preserve"> 4bis eingefügt durch </w:t>
      </w:r>
      <w:r w:rsidR="00D67EB8" w:rsidRPr="009118AB">
        <w:rPr>
          <w:i/>
          <w:iCs/>
          <w:spacing w:val="2"/>
        </w:rPr>
        <w:t>Art. </w:t>
      </w:r>
      <w:r w:rsidR="00DA4CB3" w:rsidRPr="009118AB">
        <w:rPr>
          <w:i/>
          <w:iCs/>
          <w:spacing w:val="2"/>
        </w:rPr>
        <w:t xml:space="preserve">31 </w:t>
      </w:r>
      <w:r w:rsidR="00D67EB8" w:rsidRPr="009118AB">
        <w:rPr>
          <w:i/>
          <w:iCs/>
          <w:spacing w:val="2"/>
        </w:rPr>
        <w:t>Nr. </w:t>
      </w:r>
      <w:r w:rsidR="00DA4CB3" w:rsidRPr="009118AB">
        <w:rPr>
          <w:i/>
          <w:iCs/>
          <w:spacing w:val="2"/>
        </w:rPr>
        <w:t>1</w:t>
      </w:r>
      <w:r w:rsidR="00DA4CB3" w:rsidRPr="009118AB">
        <w:rPr>
          <w:i/>
          <w:spacing w:val="2"/>
        </w:rPr>
        <w:t xml:space="preserve"> des G. vom 30. März 2018 (B.S. vom 7. Mai 2018)</w:t>
      </w:r>
      <w:r w:rsidR="00D67EB8" w:rsidRPr="009118AB">
        <w:rPr>
          <w:i/>
          <w:spacing w:val="2"/>
        </w:rPr>
        <w:t> - </w:t>
      </w:r>
      <w:r w:rsidR="00DA4CB3" w:rsidRPr="009118AB">
        <w:rPr>
          <w:i/>
          <w:spacing w:val="2"/>
        </w:rPr>
        <w:t>in Kraft am 1. Januar 2018</w:t>
      </w:r>
      <w:r w:rsidR="00FD68E8" w:rsidRPr="009118AB">
        <w:rPr>
          <w:i/>
          <w:spacing w:val="2"/>
        </w:rPr>
        <w:t> -,</w:t>
      </w:r>
      <w:r w:rsidR="004421E9" w:rsidRPr="009118AB">
        <w:rPr>
          <w:i/>
          <w:spacing w:val="2"/>
        </w:rPr>
        <w:t xml:space="preserve"> </w:t>
      </w:r>
      <w:r w:rsidR="004421E9" w:rsidRPr="009118AB">
        <w:rPr>
          <w:i/>
        </w:rPr>
        <w:t>selbst für nichtig erklärt durch</w:t>
      </w:r>
      <w:r w:rsidR="004421E9" w:rsidRPr="009118AB">
        <w:rPr>
          <w:i/>
          <w:iCs/>
        </w:rPr>
        <w:t xml:space="preserve"> Entscheid </w:t>
      </w:r>
      <w:r w:rsidR="00D67EB8" w:rsidRPr="009118AB">
        <w:rPr>
          <w:i/>
          <w:iCs/>
        </w:rPr>
        <w:t>Nr. </w:t>
      </w:r>
      <w:r w:rsidR="004421E9" w:rsidRPr="009118AB">
        <w:rPr>
          <w:i/>
          <w:iCs/>
        </w:rPr>
        <w:t>11/2020 des Verfassungsgerichtshofes vom 23. Januar 2020 (B.S. vom 24. Februar 2020)</w:t>
      </w:r>
      <w:r w:rsidR="00DA4CB3" w:rsidRPr="009118AB">
        <w:rPr>
          <w:i/>
          <w:spacing w:val="2"/>
        </w:rPr>
        <w:t>;</w:t>
      </w:r>
      <w:r w:rsidR="004D7E7E" w:rsidRPr="009118AB">
        <w:rPr>
          <w:i/>
          <w:iCs/>
          <w:spacing w:val="2"/>
        </w:rPr>
        <w:t xml:space="preserve"> </w:t>
      </w:r>
      <w:r w:rsidR="00D67EB8" w:rsidRPr="009118AB">
        <w:rPr>
          <w:i/>
          <w:iCs/>
          <w:spacing w:val="2"/>
        </w:rPr>
        <w:t>Abs. </w:t>
      </w:r>
      <w:r w:rsidR="004D7E7E" w:rsidRPr="009118AB">
        <w:rPr>
          <w:i/>
          <w:iCs/>
          <w:spacing w:val="2"/>
        </w:rPr>
        <w:t xml:space="preserve">1 </w:t>
      </w:r>
      <w:r w:rsidR="00D67EB8" w:rsidRPr="009118AB">
        <w:rPr>
          <w:i/>
          <w:iCs/>
          <w:spacing w:val="2"/>
        </w:rPr>
        <w:t>Nr. </w:t>
      </w:r>
      <w:r w:rsidR="004D7E7E" w:rsidRPr="009118AB">
        <w:rPr>
          <w:i/>
          <w:iCs/>
          <w:spacing w:val="2"/>
        </w:rPr>
        <w:t xml:space="preserve">5 eingefügt durch </w:t>
      </w:r>
      <w:r w:rsidR="00D67EB8" w:rsidRPr="009118AB">
        <w:rPr>
          <w:i/>
          <w:iCs/>
          <w:spacing w:val="2"/>
        </w:rPr>
        <w:t>Art. </w:t>
      </w:r>
      <w:r w:rsidR="004D7E7E" w:rsidRPr="009118AB">
        <w:rPr>
          <w:i/>
          <w:iCs/>
          <w:spacing w:val="2"/>
        </w:rPr>
        <w:t xml:space="preserve">18 </w:t>
      </w:r>
      <w:r w:rsidR="00D67EB8" w:rsidRPr="009118AB">
        <w:rPr>
          <w:i/>
          <w:iCs/>
          <w:spacing w:val="2"/>
        </w:rPr>
        <w:t>Nr. </w:t>
      </w:r>
      <w:r w:rsidR="004D7E7E" w:rsidRPr="009118AB">
        <w:rPr>
          <w:i/>
          <w:iCs/>
          <w:spacing w:val="2"/>
        </w:rPr>
        <w:t>1 des G. vom 17. Juni 2013 (B.S. vom 28. Juni 2013)</w:t>
      </w:r>
      <w:r w:rsidR="00D67EB8" w:rsidRPr="009118AB">
        <w:rPr>
          <w:i/>
          <w:iCs/>
          <w:spacing w:val="2"/>
        </w:rPr>
        <w:t> - </w:t>
      </w:r>
      <w:r w:rsidR="004D7E7E" w:rsidRPr="009118AB">
        <w:rPr>
          <w:i/>
          <w:iCs/>
          <w:spacing w:val="2"/>
        </w:rPr>
        <w:t>anwendbar ab dem Steuerjahr 2014</w:t>
      </w:r>
      <w:r w:rsidR="00FD68E8" w:rsidRPr="009118AB">
        <w:rPr>
          <w:i/>
          <w:iCs/>
          <w:spacing w:val="2"/>
        </w:rPr>
        <w:t> -,</w:t>
      </w:r>
      <w:r w:rsidR="00B95227" w:rsidRPr="009118AB">
        <w:rPr>
          <w:i/>
          <w:iCs/>
          <w:spacing w:val="2"/>
        </w:rPr>
        <w:t xml:space="preserve"> aufgehoben durch </w:t>
      </w:r>
      <w:r w:rsidR="00D67EB8" w:rsidRPr="009118AB">
        <w:rPr>
          <w:i/>
          <w:iCs/>
          <w:spacing w:val="2"/>
        </w:rPr>
        <w:t>Art. </w:t>
      </w:r>
      <w:r w:rsidR="00B95227" w:rsidRPr="009118AB">
        <w:rPr>
          <w:i/>
          <w:iCs/>
          <w:spacing w:val="2"/>
        </w:rPr>
        <w:t xml:space="preserve">31 </w:t>
      </w:r>
      <w:r w:rsidR="00D67EB8" w:rsidRPr="009118AB">
        <w:rPr>
          <w:i/>
          <w:iCs/>
          <w:spacing w:val="2"/>
        </w:rPr>
        <w:t>Nr. </w:t>
      </w:r>
      <w:r w:rsidR="00B95227" w:rsidRPr="009118AB">
        <w:rPr>
          <w:i/>
          <w:iCs/>
          <w:spacing w:val="2"/>
        </w:rPr>
        <w:t>1 des G. vom 19. Dezember 2014 (B.S. vom 29. Dezember 2014)</w:t>
      </w:r>
      <w:r w:rsidR="00D67EB8" w:rsidRPr="009118AB">
        <w:rPr>
          <w:i/>
          <w:iCs/>
          <w:spacing w:val="2"/>
        </w:rPr>
        <w:t> - </w:t>
      </w:r>
      <w:r w:rsidR="00B95227" w:rsidRPr="009118AB">
        <w:rPr>
          <w:i/>
          <w:iCs/>
          <w:spacing w:val="2"/>
        </w:rPr>
        <w:t xml:space="preserve">in Kraft am 29. Dezember 2014 und anwendbar auf alle Rechtsstreite, die </w:t>
      </w:r>
      <w:r w:rsidR="007C27A5" w:rsidRPr="009118AB">
        <w:rPr>
          <w:i/>
          <w:iCs/>
          <w:spacing w:val="2"/>
        </w:rPr>
        <w:t xml:space="preserve">an diesem Datum </w:t>
      </w:r>
      <w:r w:rsidR="00B95227" w:rsidRPr="009118AB">
        <w:rPr>
          <w:i/>
          <w:iCs/>
          <w:spacing w:val="2"/>
        </w:rPr>
        <w:t>noch nicht endgültig abgeschlossen sind</w:t>
      </w:r>
      <w:r w:rsidR="00FD68E8" w:rsidRPr="009118AB">
        <w:rPr>
          <w:i/>
          <w:iCs/>
          <w:spacing w:val="2"/>
        </w:rPr>
        <w:t> -,</w:t>
      </w:r>
      <w:r w:rsidR="00637C0E" w:rsidRPr="009118AB">
        <w:rPr>
          <w:i/>
          <w:iCs/>
          <w:spacing w:val="2"/>
        </w:rPr>
        <w:t xml:space="preserve"> wieder aufgenommen durch </w:t>
      </w:r>
      <w:r w:rsidR="00D67EB8" w:rsidRPr="009118AB">
        <w:rPr>
          <w:i/>
          <w:iCs/>
          <w:spacing w:val="2"/>
        </w:rPr>
        <w:t>Art. </w:t>
      </w:r>
      <w:r w:rsidR="00637C0E" w:rsidRPr="009118AB">
        <w:rPr>
          <w:i/>
          <w:iCs/>
          <w:spacing w:val="2"/>
        </w:rPr>
        <w:t>69 Buchstabe b)</w:t>
      </w:r>
      <w:r w:rsidR="00637C0E" w:rsidRPr="009118AB">
        <w:rPr>
          <w:i/>
          <w:spacing w:val="2"/>
        </w:rPr>
        <w:t xml:space="preserve"> des G. vom 25. Dezember 2016</w:t>
      </w:r>
      <w:r w:rsidR="001022BB" w:rsidRPr="009118AB">
        <w:rPr>
          <w:i/>
          <w:spacing w:val="2"/>
        </w:rPr>
        <w:t> (I)</w:t>
      </w:r>
      <w:r w:rsidR="00637C0E" w:rsidRPr="009118AB">
        <w:rPr>
          <w:i/>
          <w:spacing w:val="2"/>
        </w:rPr>
        <w:t xml:space="preserve"> (B.S. vom 29. Dezember 2016)</w:t>
      </w:r>
      <w:r w:rsidR="00D67EB8" w:rsidRPr="009118AB">
        <w:rPr>
          <w:i/>
          <w:spacing w:val="2"/>
        </w:rPr>
        <w:t> - </w:t>
      </w:r>
      <w:r w:rsidR="00637C0E" w:rsidRPr="009118AB">
        <w:rPr>
          <w:i/>
          <w:spacing w:val="2"/>
        </w:rPr>
        <w:t>in Kraft und anwendbar ab dem 1. Januar 2017</w:t>
      </w:r>
      <w:r w:rsidR="00D67EB8" w:rsidRPr="009118AB">
        <w:rPr>
          <w:i/>
          <w:spacing w:val="2"/>
        </w:rPr>
        <w:t> - </w:t>
      </w:r>
      <w:r w:rsidR="001D1CE7" w:rsidRPr="009118AB">
        <w:rPr>
          <w:i/>
          <w:spacing w:val="2"/>
        </w:rPr>
        <w:t xml:space="preserve">und abgeändert durch </w:t>
      </w:r>
      <w:r w:rsidR="00D67EB8" w:rsidRPr="009118AB">
        <w:rPr>
          <w:i/>
          <w:spacing w:val="2"/>
        </w:rPr>
        <w:t>Art. </w:t>
      </w:r>
      <w:r w:rsidR="001D1CE7" w:rsidRPr="009118AB">
        <w:rPr>
          <w:i/>
          <w:spacing w:val="2"/>
        </w:rPr>
        <w:t xml:space="preserve">47 </w:t>
      </w:r>
      <w:r w:rsidR="00D67EB8" w:rsidRPr="009118AB">
        <w:rPr>
          <w:i/>
          <w:spacing w:val="2"/>
        </w:rPr>
        <w:t>Nr. </w:t>
      </w:r>
      <w:r w:rsidR="001D1CE7" w:rsidRPr="009118AB">
        <w:rPr>
          <w:i/>
          <w:spacing w:val="2"/>
        </w:rPr>
        <w:t>2</w:t>
      </w:r>
      <w:r w:rsidR="001D1CE7" w:rsidRPr="009118AB">
        <w:rPr>
          <w:i/>
          <w:iCs/>
        </w:rPr>
        <w:t xml:space="preserve"> des G. vom 21. Januar 2022 (B.S. vom 28. Januar 2022)</w:t>
      </w:r>
      <w:r w:rsidR="00D67EB8" w:rsidRPr="009118AB">
        <w:rPr>
          <w:i/>
          <w:iCs/>
        </w:rPr>
        <w:t> - </w:t>
      </w:r>
      <w:r w:rsidR="001D1CE7" w:rsidRPr="009118AB">
        <w:rPr>
          <w:i/>
          <w:iCs/>
        </w:rPr>
        <w:t>wirksam mit 1. Januar 2021</w:t>
      </w:r>
      <w:r w:rsidR="003366D9" w:rsidRPr="009118AB">
        <w:rPr>
          <w:i/>
          <w:iCs/>
        </w:rPr>
        <w:t> -;</w:t>
      </w:r>
      <w:r w:rsidRPr="009118AB">
        <w:rPr>
          <w:bCs/>
          <w:i/>
          <w:iCs/>
          <w:spacing w:val="2"/>
        </w:rPr>
        <w:t xml:space="preserve"> </w:t>
      </w:r>
      <w:r w:rsidR="00D67EB8" w:rsidRPr="009118AB">
        <w:rPr>
          <w:bCs/>
          <w:i/>
          <w:iCs/>
          <w:spacing w:val="2"/>
        </w:rPr>
        <w:t>Abs. </w:t>
      </w:r>
      <w:r w:rsidR="00DA4CB3" w:rsidRPr="009118AB">
        <w:rPr>
          <w:bCs/>
          <w:i/>
          <w:iCs/>
          <w:spacing w:val="2"/>
        </w:rPr>
        <w:t xml:space="preserve">1 </w:t>
      </w:r>
      <w:r w:rsidR="004421E9" w:rsidRPr="009118AB">
        <w:rPr>
          <w:bCs/>
          <w:i/>
          <w:iCs/>
          <w:spacing w:val="2"/>
        </w:rPr>
        <w:t xml:space="preserve">frühere </w:t>
      </w:r>
      <w:r w:rsidR="00DA4CB3" w:rsidRPr="009118AB">
        <w:rPr>
          <w:bCs/>
          <w:i/>
          <w:iCs/>
          <w:spacing w:val="2"/>
        </w:rPr>
        <w:t>N</w:t>
      </w:r>
      <w:r w:rsidR="004421E9" w:rsidRPr="009118AB">
        <w:rPr>
          <w:bCs/>
          <w:i/>
          <w:iCs/>
          <w:spacing w:val="2"/>
        </w:rPr>
        <w:t>ummer</w:t>
      </w:r>
      <w:r w:rsidR="00482EFB" w:rsidRPr="009118AB">
        <w:rPr>
          <w:bCs/>
          <w:i/>
          <w:iCs/>
          <w:spacing w:val="2"/>
        </w:rPr>
        <w:t xml:space="preserve"> 5bis eingefügt durch </w:t>
      </w:r>
      <w:r w:rsidR="00D67EB8" w:rsidRPr="009118AB">
        <w:rPr>
          <w:bCs/>
          <w:i/>
          <w:iCs/>
          <w:spacing w:val="2"/>
        </w:rPr>
        <w:t>Art. </w:t>
      </w:r>
      <w:r w:rsidR="00482EFB" w:rsidRPr="009118AB">
        <w:rPr>
          <w:bCs/>
          <w:i/>
          <w:iCs/>
          <w:spacing w:val="2"/>
        </w:rPr>
        <w:t xml:space="preserve">31 </w:t>
      </w:r>
      <w:r w:rsidR="00D67EB8" w:rsidRPr="009118AB">
        <w:rPr>
          <w:bCs/>
          <w:i/>
          <w:iCs/>
          <w:spacing w:val="2"/>
        </w:rPr>
        <w:t>Nr. </w:t>
      </w:r>
      <w:r w:rsidR="00DA4CB3" w:rsidRPr="009118AB">
        <w:rPr>
          <w:bCs/>
          <w:i/>
          <w:iCs/>
          <w:spacing w:val="2"/>
        </w:rPr>
        <w:t>2</w:t>
      </w:r>
      <w:r w:rsidR="00DA4CB3" w:rsidRPr="009118AB">
        <w:rPr>
          <w:i/>
          <w:spacing w:val="2"/>
        </w:rPr>
        <w:t xml:space="preserve"> des G. vom 30. März 2018 (B.S. vom 7. Mai 2018)</w:t>
      </w:r>
      <w:r w:rsidR="00D67EB8" w:rsidRPr="009118AB">
        <w:rPr>
          <w:i/>
          <w:spacing w:val="2"/>
        </w:rPr>
        <w:t> - </w:t>
      </w:r>
      <w:r w:rsidR="00DA4CB3" w:rsidRPr="009118AB">
        <w:rPr>
          <w:i/>
          <w:spacing w:val="2"/>
        </w:rPr>
        <w:t>in Kraft am 1. Januar 2018</w:t>
      </w:r>
      <w:r w:rsidR="00FD68E8" w:rsidRPr="009118AB">
        <w:rPr>
          <w:i/>
          <w:spacing w:val="2"/>
        </w:rPr>
        <w:t> -,</w:t>
      </w:r>
      <w:r w:rsidR="004421E9" w:rsidRPr="009118AB">
        <w:rPr>
          <w:i/>
          <w:spacing w:val="2"/>
        </w:rPr>
        <w:t xml:space="preserve"> </w:t>
      </w:r>
      <w:r w:rsidR="004421E9" w:rsidRPr="009118AB">
        <w:rPr>
          <w:i/>
        </w:rPr>
        <w:t>selbst für nichtig erklärt durch</w:t>
      </w:r>
      <w:r w:rsidR="004421E9" w:rsidRPr="009118AB">
        <w:rPr>
          <w:i/>
          <w:iCs/>
        </w:rPr>
        <w:t xml:space="preserve"> Entscheid </w:t>
      </w:r>
      <w:r w:rsidR="00D67EB8" w:rsidRPr="009118AB">
        <w:rPr>
          <w:i/>
          <w:iCs/>
        </w:rPr>
        <w:t>Nr. </w:t>
      </w:r>
      <w:r w:rsidR="004421E9" w:rsidRPr="009118AB">
        <w:rPr>
          <w:i/>
          <w:iCs/>
        </w:rPr>
        <w:t>11/2020 des Verfassungsgerichtshofes vom 23. Januar 2020 (B.S. vom 24. Februar 2020)</w:t>
      </w:r>
      <w:r w:rsidR="00DA4CB3" w:rsidRPr="009118AB">
        <w:rPr>
          <w:i/>
          <w:spacing w:val="2"/>
        </w:rPr>
        <w:t xml:space="preserve">; </w:t>
      </w:r>
      <w:r w:rsidR="00D67EB8" w:rsidRPr="009118AB">
        <w:rPr>
          <w:i/>
          <w:spacing w:val="2"/>
        </w:rPr>
        <w:t>Abs. </w:t>
      </w:r>
      <w:r w:rsidR="00261B2A" w:rsidRPr="009118AB">
        <w:rPr>
          <w:i/>
          <w:spacing w:val="2"/>
        </w:rPr>
        <w:t xml:space="preserve">1 </w:t>
      </w:r>
      <w:r w:rsidR="00D67EB8" w:rsidRPr="009118AB">
        <w:rPr>
          <w:i/>
          <w:spacing w:val="2"/>
        </w:rPr>
        <w:t>Nr. </w:t>
      </w:r>
      <w:r w:rsidR="00261B2A" w:rsidRPr="009118AB">
        <w:rPr>
          <w:i/>
          <w:spacing w:val="2"/>
        </w:rPr>
        <w:t xml:space="preserve">8 eingefügt durch </w:t>
      </w:r>
      <w:r w:rsidR="00D67EB8" w:rsidRPr="009118AB">
        <w:rPr>
          <w:i/>
          <w:spacing w:val="2"/>
        </w:rPr>
        <w:t>Art. </w:t>
      </w:r>
      <w:r w:rsidR="00261B2A" w:rsidRPr="009118AB">
        <w:rPr>
          <w:i/>
          <w:spacing w:val="2"/>
        </w:rPr>
        <w:t>7</w:t>
      </w:r>
      <w:r w:rsidR="00261B2A" w:rsidRPr="009118AB">
        <w:rPr>
          <w:i/>
        </w:rPr>
        <w:t xml:space="preserve"> des G. vom 27. Dezember 2021 (B.S. vom 31. Dezember 2021)</w:t>
      </w:r>
      <w:r w:rsidR="00D67EB8" w:rsidRPr="009118AB">
        <w:rPr>
          <w:i/>
        </w:rPr>
        <w:t> - </w:t>
      </w:r>
      <w:r w:rsidR="00261B2A" w:rsidRPr="009118AB">
        <w:rPr>
          <w:i/>
        </w:rPr>
        <w:t>anwendbar ab dem 1. Januar 2022</w:t>
      </w:r>
      <w:r w:rsidR="003366D9" w:rsidRPr="009118AB">
        <w:rPr>
          <w:i/>
        </w:rPr>
        <w:t> -;</w:t>
      </w:r>
      <w:r w:rsidR="00261B2A" w:rsidRPr="009118AB">
        <w:rPr>
          <w:i/>
        </w:rPr>
        <w:t xml:space="preserve"> </w:t>
      </w:r>
      <w:r w:rsidR="00D67EB8" w:rsidRPr="009118AB">
        <w:rPr>
          <w:bCs/>
          <w:i/>
          <w:iCs/>
          <w:spacing w:val="2"/>
        </w:rPr>
        <w:t>Abs. </w:t>
      </w:r>
      <w:r w:rsidRPr="009118AB">
        <w:rPr>
          <w:bCs/>
          <w:i/>
          <w:iCs/>
          <w:spacing w:val="2"/>
        </w:rPr>
        <w:t>2 eingefügt</w:t>
      </w:r>
      <w:r w:rsidRPr="009118AB">
        <w:rPr>
          <w:bCs/>
          <w:iCs/>
          <w:spacing w:val="2"/>
        </w:rPr>
        <w:t xml:space="preserve"> </w:t>
      </w:r>
      <w:r w:rsidRPr="009118AB">
        <w:rPr>
          <w:bCs/>
          <w:i/>
          <w:iCs/>
          <w:spacing w:val="2"/>
        </w:rPr>
        <w:t xml:space="preserve">durch </w:t>
      </w:r>
      <w:r w:rsidR="00D67EB8" w:rsidRPr="009118AB">
        <w:rPr>
          <w:bCs/>
          <w:i/>
          <w:iCs/>
          <w:spacing w:val="2"/>
        </w:rPr>
        <w:t>Art. </w:t>
      </w:r>
      <w:r w:rsidRPr="009118AB">
        <w:rPr>
          <w:bCs/>
          <w:i/>
          <w:iCs/>
          <w:spacing w:val="2"/>
        </w:rPr>
        <w:t xml:space="preserve">178 </w:t>
      </w:r>
      <w:r w:rsidR="00D67EB8" w:rsidRPr="009118AB">
        <w:rPr>
          <w:bCs/>
          <w:i/>
          <w:iCs/>
          <w:spacing w:val="2"/>
        </w:rPr>
        <w:t>Nr. </w:t>
      </w:r>
      <w:r w:rsidRPr="009118AB">
        <w:rPr>
          <w:bCs/>
          <w:i/>
          <w:iCs/>
          <w:spacing w:val="2"/>
        </w:rPr>
        <w:t>2 des G. vom 27. Dezember 2005 (II) (B.S. vom 30. Dezember 2005)</w:t>
      </w:r>
      <w:r w:rsidR="00D67EB8" w:rsidRPr="009118AB">
        <w:rPr>
          <w:bCs/>
          <w:i/>
          <w:iCs/>
          <w:spacing w:val="2"/>
        </w:rPr>
        <w:t> - </w:t>
      </w:r>
      <w:r w:rsidRPr="009118AB">
        <w:rPr>
          <w:bCs/>
          <w:i/>
          <w:iCs/>
          <w:spacing w:val="2"/>
        </w:rPr>
        <w:t>anwendbar auf die ab dem 1. Januar 2006 gezahlten Prämien und Beiträge</w:t>
      </w:r>
      <w:r w:rsidR="003366D9" w:rsidRPr="009118AB">
        <w:rPr>
          <w:bCs/>
          <w:i/>
          <w:iCs/>
          <w:spacing w:val="2"/>
        </w:rPr>
        <w:t> -;</w:t>
      </w:r>
      <w:r w:rsidR="004D7E7E" w:rsidRPr="009118AB">
        <w:rPr>
          <w:bCs/>
          <w:i/>
          <w:iCs/>
          <w:spacing w:val="2"/>
        </w:rPr>
        <w:t xml:space="preserve"> </w:t>
      </w:r>
      <w:r w:rsidR="00D67EB8" w:rsidRPr="009118AB">
        <w:rPr>
          <w:bCs/>
          <w:i/>
          <w:iCs/>
          <w:spacing w:val="2"/>
        </w:rPr>
        <w:t>Abs. </w:t>
      </w:r>
      <w:r w:rsidR="004D7E7E" w:rsidRPr="009118AB">
        <w:rPr>
          <w:bCs/>
          <w:i/>
          <w:iCs/>
          <w:spacing w:val="2"/>
        </w:rPr>
        <w:t xml:space="preserve">3 eingefügt durch </w:t>
      </w:r>
      <w:r w:rsidR="00D67EB8" w:rsidRPr="009118AB">
        <w:rPr>
          <w:bCs/>
          <w:i/>
          <w:iCs/>
          <w:spacing w:val="2"/>
        </w:rPr>
        <w:t>Art. </w:t>
      </w:r>
      <w:r w:rsidR="004D7E7E" w:rsidRPr="009118AB">
        <w:rPr>
          <w:bCs/>
          <w:i/>
          <w:iCs/>
          <w:spacing w:val="2"/>
        </w:rPr>
        <w:t xml:space="preserve">18 </w:t>
      </w:r>
      <w:r w:rsidR="00D67EB8" w:rsidRPr="009118AB">
        <w:rPr>
          <w:bCs/>
          <w:i/>
          <w:iCs/>
          <w:spacing w:val="2"/>
        </w:rPr>
        <w:t>Nr. </w:t>
      </w:r>
      <w:r w:rsidR="004D7E7E" w:rsidRPr="009118AB">
        <w:rPr>
          <w:bCs/>
          <w:i/>
          <w:iCs/>
          <w:spacing w:val="2"/>
        </w:rPr>
        <w:t>2</w:t>
      </w:r>
      <w:r w:rsidR="004D7E7E" w:rsidRPr="009118AB">
        <w:rPr>
          <w:i/>
          <w:iCs/>
          <w:spacing w:val="2"/>
        </w:rPr>
        <w:t xml:space="preserve"> des G. vom 17. Juni 2013 (B.S. vom </w:t>
      </w:r>
      <w:r w:rsidR="004D7E7E" w:rsidRPr="009118AB">
        <w:rPr>
          <w:rFonts w:ascii="Times New Roman Italique" w:hAnsi="Times New Roman Italique"/>
          <w:i/>
          <w:iCs/>
          <w:spacing w:val="2"/>
        </w:rPr>
        <w:t>28. Juni 2013)</w:t>
      </w:r>
      <w:r w:rsidR="00D67EB8" w:rsidRPr="009118AB">
        <w:rPr>
          <w:rFonts w:ascii="Times New Roman Italique" w:hAnsi="Times New Roman Italique"/>
          <w:i/>
          <w:iCs/>
          <w:spacing w:val="2"/>
        </w:rPr>
        <w:t> - </w:t>
      </w:r>
      <w:r w:rsidR="004D7E7E" w:rsidRPr="009118AB">
        <w:rPr>
          <w:rFonts w:ascii="Times New Roman Italique" w:hAnsi="Times New Roman Italique"/>
          <w:i/>
          <w:iCs/>
          <w:spacing w:val="2"/>
        </w:rPr>
        <w:t>anwendbar ab dem Steuerjahr 2014</w:t>
      </w:r>
      <w:r w:rsidR="00D67EB8" w:rsidRPr="009118AB">
        <w:rPr>
          <w:rFonts w:ascii="Times New Roman Italique" w:hAnsi="Times New Roman Italique"/>
          <w:i/>
          <w:iCs/>
          <w:spacing w:val="2"/>
        </w:rPr>
        <w:t> - </w:t>
      </w:r>
      <w:r w:rsidR="00B95227"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B95227" w:rsidRPr="009118AB">
        <w:rPr>
          <w:rFonts w:ascii="Times New Roman Italique" w:hAnsi="Times New Roman Italique"/>
          <w:i/>
          <w:iCs/>
          <w:spacing w:val="2"/>
        </w:rPr>
        <w:t xml:space="preserve">31 </w:t>
      </w:r>
      <w:r w:rsidR="00D67EB8" w:rsidRPr="009118AB">
        <w:rPr>
          <w:rFonts w:ascii="Times New Roman Italique" w:hAnsi="Times New Roman Italique"/>
          <w:i/>
          <w:iCs/>
          <w:spacing w:val="2"/>
        </w:rPr>
        <w:t>Nr. </w:t>
      </w:r>
      <w:r w:rsidR="00B95227" w:rsidRPr="009118AB">
        <w:rPr>
          <w:rFonts w:ascii="Times New Roman Italique" w:hAnsi="Times New Roman Italique"/>
          <w:i/>
          <w:iCs/>
          <w:spacing w:val="2"/>
        </w:rPr>
        <w:t>2 des G. vom 19. Dezember 2014 (B.S. vom 29. Dezember 2014)</w:t>
      </w:r>
      <w:r w:rsidR="00D67EB8" w:rsidRPr="009118AB">
        <w:rPr>
          <w:rFonts w:ascii="Times New Roman Italique" w:hAnsi="Times New Roman Italique"/>
          <w:i/>
          <w:iCs/>
          <w:spacing w:val="2"/>
        </w:rPr>
        <w:t> - </w:t>
      </w:r>
      <w:r w:rsidR="00B95227" w:rsidRPr="009118AB">
        <w:rPr>
          <w:rFonts w:ascii="Times New Roman Italique" w:hAnsi="Times New Roman Italique"/>
          <w:i/>
          <w:iCs/>
          <w:spacing w:val="2"/>
        </w:rPr>
        <w:t xml:space="preserve">in Kraft am 29. Dezember 2014 und anwendbar auf alle Rechtsstreite, die </w:t>
      </w:r>
      <w:r w:rsidR="007C27A5" w:rsidRPr="009118AB">
        <w:rPr>
          <w:rFonts w:ascii="Times New Roman Italique" w:hAnsi="Times New Roman Italique"/>
          <w:i/>
          <w:iCs/>
          <w:spacing w:val="2"/>
        </w:rPr>
        <w:t xml:space="preserve">an diesem Datum </w:t>
      </w:r>
      <w:r w:rsidR="0020068A" w:rsidRPr="009118AB">
        <w:rPr>
          <w:rFonts w:ascii="Times New Roman Italique" w:hAnsi="Times New Roman Italique"/>
          <w:i/>
          <w:iCs/>
          <w:spacing w:val="2"/>
        </w:rPr>
        <w:t xml:space="preserve">noch nicht </w:t>
      </w:r>
      <w:r w:rsidR="00B95227" w:rsidRPr="009118AB">
        <w:rPr>
          <w:rFonts w:ascii="Times New Roman Italique" w:hAnsi="Times New Roman Italique"/>
          <w:i/>
          <w:iCs/>
          <w:spacing w:val="2"/>
        </w:rPr>
        <w:t>endgültig abgeschlossen sind</w:t>
      </w:r>
      <w:r w:rsidR="00FD68E8" w:rsidRPr="009118AB">
        <w:rPr>
          <w:rFonts w:ascii="Times New Roman Italique" w:hAnsi="Times New Roman Italique"/>
          <w:i/>
          <w:iCs/>
          <w:spacing w:val="2"/>
        </w:rPr>
        <w:t> -,</w:t>
      </w:r>
      <w:r w:rsidR="00365503"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365503" w:rsidRPr="009118AB">
        <w:rPr>
          <w:rFonts w:ascii="Times New Roman Italique" w:hAnsi="Times New Roman Italique"/>
          <w:i/>
          <w:iCs/>
          <w:spacing w:val="2"/>
        </w:rPr>
        <w:t>71 Buchstabe</w:t>
      </w:r>
      <w:r w:rsidR="00365503" w:rsidRPr="009118AB">
        <w:rPr>
          <w:rFonts w:ascii="Times New Roman Italique" w:hAnsi="Times New Roman Italique" w:hint="eastAsia"/>
          <w:i/>
          <w:iCs/>
          <w:spacing w:val="2"/>
        </w:rPr>
        <w:t> </w:t>
      </w:r>
      <w:r w:rsidR="00365503" w:rsidRPr="009118AB">
        <w:rPr>
          <w:rFonts w:ascii="Times New Roman Italique" w:hAnsi="Times New Roman Italique"/>
          <w:i/>
          <w:iCs/>
          <w:spacing w:val="2"/>
        </w:rPr>
        <w:t>b)</w:t>
      </w:r>
      <w:r w:rsidR="00365503" w:rsidRPr="009118AB">
        <w:rPr>
          <w:bCs/>
          <w:i/>
          <w:iCs/>
        </w:rPr>
        <w:t xml:space="preserve"> des G. vom 27. Juni 2021 (B.S. vom 30. Juni 2021)</w:t>
      </w:r>
      <w:r w:rsidR="00C639FE" w:rsidRPr="009118AB">
        <w:rPr>
          <w:bCs/>
          <w:i/>
          <w:iCs/>
        </w:rPr>
        <w:t xml:space="preserve"> und </w:t>
      </w:r>
      <w:r w:rsidR="00D67EB8" w:rsidRPr="009118AB">
        <w:rPr>
          <w:bCs/>
          <w:i/>
          <w:iCs/>
        </w:rPr>
        <w:t>Art. </w:t>
      </w:r>
      <w:r w:rsidR="00C639FE" w:rsidRPr="009118AB">
        <w:rPr>
          <w:bCs/>
          <w:i/>
          <w:iCs/>
        </w:rPr>
        <w:t xml:space="preserve">47 </w:t>
      </w:r>
      <w:r w:rsidR="00D67EB8" w:rsidRPr="009118AB">
        <w:rPr>
          <w:bCs/>
          <w:i/>
          <w:iCs/>
        </w:rPr>
        <w:t>Nr. </w:t>
      </w:r>
      <w:r w:rsidR="00C639FE" w:rsidRPr="009118AB">
        <w:rPr>
          <w:bCs/>
          <w:i/>
          <w:iCs/>
        </w:rPr>
        <w:t xml:space="preserve">3 </w:t>
      </w:r>
      <w:r w:rsidR="00C639FE" w:rsidRPr="009118AB">
        <w:rPr>
          <w:i/>
          <w:iCs/>
        </w:rPr>
        <w:t>des G. vom 21.</w:t>
      </w:r>
      <w:r w:rsidR="009A52AE" w:rsidRPr="009118AB">
        <w:rPr>
          <w:i/>
          <w:iCs/>
        </w:rPr>
        <w:t> </w:t>
      </w:r>
      <w:r w:rsidR="00C639FE" w:rsidRPr="009118AB">
        <w:rPr>
          <w:i/>
          <w:iCs/>
        </w:rPr>
        <w:t>Januar</w:t>
      </w:r>
      <w:r w:rsidR="009A52AE" w:rsidRPr="009118AB">
        <w:rPr>
          <w:i/>
          <w:iCs/>
        </w:rPr>
        <w:t> </w:t>
      </w:r>
      <w:r w:rsidR="00C639FE" w:rsidRPr="009118AB">
        <w:rPr>
          <w:i/>
          <w:iCs/>
        </w:rPr>
        <w:t>2022 (B.S. vom 28.</w:t>
      </w:r>
      <w:r w:rsidR="009A52AE" w:rsidRPr="009118AB">
        <w:rPr>
          <w:i/>
          <w:iCs/>
        </w:rPr>
        <w:t> </w:t>
      </w:r>
      <w:r w:rsidR="00C639FE" w:rsidRPr="009118AB">
        <w:rPr>
          <w:i/>
          <w:iCs/>
        </w:rPr>
        <w:t>Januar</w:t>
      </w:r>
      <w:r w:rsidR="009A52AE" w:rsidRPr="009118AB">
        <w:rPr>
          <w:i/>
          <w:iCs/>
        </w:rPr>
        <w:t> </w:t>
      </w:r>
      <w:r w:rsidR="00C639FE" w:rsidRPr="009118AB">
        <w:rPr>
          <w:i/>
          <w:iCs/>
        </w:rPr>
        <w:t>2022)</w:t>
      </w:r>
      <w:r w:rsidR="00D67EB8" w:rsidRPr="009118AB">
        <w:rPr>
          <w:i/>
          <w:iCs/>
        </w:rPr>
        <w:t> - </w:t>
      </w:r>
      <w:r w:rsidR="00C639FE" w:rsidRPr="009118AB">
        <w:rPr>
          <w:i/>
          <w:iCs/>
          <w:lang w:eastAsia="fr-BE"/>
        </w:rPr>
        <w:t>anwendbar auf Einkünfte, die ab dem 1. Januar 2021 während eines Besteuerungszeitraums gezahlt oder zuerkannt werden, der frühestens an das Steuerjahr 2022 gebunden ist</w:t>
      </w:r>
      <w:r w:rsidR="003366D9" w:rsidRPr="009118AB">
        <w:rPr>
          <w:i/>
          <w:iCs/>
          <w:lang w:eastAsia="fr-BE"/>
        </w:rPr>
        <w:t> -;</w:t>
      </w:r>
      <w:r w:rsidR="00B95227" w:rsidRPr="009118AB">
        <w:rPr>
          <w:rFonts w:ascii="Times New Roman Italique" w:hAnsi="Times New Roman Italique"/>
          <w:i/>
          <w:iCs/>
          <w:spacing w:val="2"/>
        </w:rPr>
        <w:t xml:space="preserve"> </w:t>
      </w:r>
      <w:r w:rsidR="00D67EB8" w:rsidRPr="009118AB">
        <w:rPr>
          <w:rFonts w:ascii="Times New Roman Italique" w:hAnsi="Times New Roman Italique"/>
          <w:bCs/>
          <w:i/>
          <w:iCs/>
          <w:spacing w:val="2"/>
        </w:rPr>
        <w:t>Abs. </w:t>
      </w:r>
      <w:r w:rsidR="00B95227" w:rsidRPr="009118AB">
        <w:rPr>
          <w:rFonts w:ascii="Times New Roman Italique" w:hAnsi="Times New Roman Italique"/>
          <w:bCs/>
          <w:i/>
          <w:iCs/>
          <w:spacing w:val="2"/>
        </w:rPr>
        <w:t>4</w:t>
      </w:r>
      <w:r w:rsidR="00B95227" w:rsidRPr="009118AB">
        <w:rPr>
          <w:bCs/>
          <w:i/>
          <w:iCs/>
          <w:spacing w:val="2"/>
        </w:rPr>
        <w:t xml:space="preserve"> eingefügt durch </w:t>
      </w:r>
      <w:r w:rsidR="00D67EB8" w:rsidRPr="009118AB">
        <w:rPr>
          <w:bCs/>
          <w:i/>
          <w:iCs/>
          <w:spacing w:val="2"/>
        </w:rPr>
        <w:t>Art. </w:t>
      </w:r>
      <w:r w:rsidR="00B95227" w:rsidRPr="009118AB">
        <w:rPr>
          <w:bCs/>
          <w:i/>
          <w:iCs/>
          <w:spacing w:val="2"/>
        </w:rPr>
        <w:t xml:space="preserve">18 </w:t>
      </w:r>
      <w:r w:rsidR="00D67EB8" w:rsidRPr="009118AB">
        <w:rPr>
          <w:bCs/>
          <w:i/>
          <w:iCs/>
          <w:spacing w:val="2"/>
        </w:rPr>
        <w:t>Nr. </w:t>
      </w:r>
      <w:r w:rsidR="00B95227" w:rsidRPr="009118AB">
        <w:rPr>
          <w:bCs/>
          <w:i/>
          <w:iCs/>
          <w:spacing w:val="2"/>
        </w:rPr>
        <w:t>2</w:t>
      </w:r>
      <w:r w:rsidR="00B95227" w:rsidRPr="009118AB">
        <w:rPr>
          <w:i/>
          <w:iCs/>
          <w:spacing w:val="2"/>
        </w:rPr>
        <w:t xml:space="preserve"> des G. vom 17. Juni 2013 (B.S. vom 28. Juni 2013)</w:t>
      </w:r>
      <w:r w:rsidR="00D67EB8" w:rsidRPr="009118AB">
        <w:rPr>
          <w:i/>
          <w:iCs/>
          <w:spacing w:val="2"/>
        </w:rPr>
        <w:t> - </w:t>
      </w:r>
      <w:r w:rsidR="00B95227" w:rsidRPr="009118AB">
        <w:rPr>
          <w:i/>
          <w:iCs/>
          <w:spacing w:val="2"/>
        </w:rPr>
        <w:t>anwendbar ab dem Steuerjahr 2014</w:t>
      </w:r>
      <w:r w:rsidR="00FD68E8" w:rsidRPr="009118AB">
        <w:rPr>
          <w:i/>
          <w:iCs/>
          <w:spacing w:val="2"/>
        </w:rPr>
        <w:t> -,</w:t>
      </w:r>
      <w:r w:rsidR="00B95227" w:rsidRPr="009118AB">
        <w:rPr>
          <w:i/>
          <w:iCs/>
          <w:spacing w:val="2"/>
        </w:rPr>
        <w:t xml:space="preserve"> ersetzt durch </w:t>
      </w:r>
      <w:r w:rsidR="00D67EB8" w:rsidRPr="009118AB">
        <w:rPr>
          <w:i/>
          <w:iCs/>
          <w:spacing w:val="2"/>
        </w:rPr>
        <w:t>Art. </w:t>
      </w:r>
      <w:r w:rsidR="00B95227" w:rsidRPr="009118AB">
        <w:rPr>
          <w:i/>
          <w:iCs/>
          <w:spacing w:val="2"/>
        </w:rPr>
        <w:t xml:space="preserve">31 </w:t>
      </w:r>
      <w:r w:rsidR="00D67EB8" w:rsidRPr="009118AB">
        <w:rPr>
          <w:i/>
          <w:iCs/>
          <w:spacing w:val="2"/>
        </w:rPr>
        <w:t>Nr. </w:t>
      </w:r>
      <w:r w:rsidR="00B95227" w:rsidRPr="009118AB">
        <w:rPr>
          <w:i/>
          <w:iCs/>
          <w:spacing w:val="2"/>
        </w:rPr>
        <w:t>3 des G. vom 19. Dezember 2014 (B.S. vom 29. Dezember 2014)</w:t>
      </w:r>
      <w:r w:rsidR="00D67EB8" w:rsidRPr="009118AB">
        <w:rPr>
          <w:i/>
          <w:iCs/>
          <w:spacing w:val="2"/>
        </w:rPr>
        <w:t> - </w:t>
      </w:r>
      <w:r w:rsidR="00B95227" w:rsidRPr="009118AB">
        <w:rPr>
          <w:i/>
          <w:iCs/>
          <w:spacing w:val="2"/>
        </w:rPr>
        <w:t xml:space="preserve">in Kraft am 29. Dezember 2014 und anwendbar auf alle Rechtsstreite, die </w:t>
      </w:r>
      <w:r w:rsidR="007C27A5" w:rsidRPr="009118AB">
        <w:rPr>
          <w:i/>
          <w:iCs/>
          <w:spacing w:val="2"/>
        </w:rPr>
        <w:t xml:space="preserve">an diesem Datum </w:t>
      </w:r>
      <w:r w:rsidR="00B95227" w:rsidRPr="009118AB">
        <w:rPr>
          <w:i/>
          <w:iCs/>
          <w:spacing w:val="2"/>
        </w:rPr>
        <w:t>noch nicht endgültig abgeschlossen sind</w:t>
      </w:r>
      <w:r w:rsidR="00D67EB8" w:rsidRPr="009118AB">
        <w:rPr>
          <w:i/>
          <w:iCs/>
          <w:spacing w:val="2"/>
        </w:rPr>
        <w:t> - </w:t>
      </w:r>
      <w:r w:rsidR="00365503" w:rsidRPr="009118AB">
        <w:rPr>
          <w:i/>
          <w:iCs/>
          <w:spacing w:val="2"/>
        </w:rPr>
        <w:t xml:space="preserve">und abgeändert durch </w:t>
      </w:r>
      <w:r w:rsidR="00D67EB8" w:rsidRPr="009118AB">
        <w:rPr>
          <w:i/>
          <w:iCs/>
          <w:spacing w:val="2"/>
        </w:rPr>
        <w:t>Art. </w:t>
      </w:r>
      <w:r w:rsidR="00365503" w:rsidRPr="009118AB">
        <w:rPr>
          <w:i/>
          <w:iCs/>
          <w:spacing w:val="2"/>
        </w:rPr>
        <w:t>71 Buchstabe c)</w:t>
      </w:r>
      <w:r w:rsidR="00365503" w:rsidRPr="009118AB">
        <w:rPr>
          <w:bCs/>
          <w:i/>
          <w:iCs/>
        </w:rPr>
        <w:t xml:space="preserve"> des G. vom 27. Juni 2021 (B.S. vom 30. Juni 2021)</w:t>
      </w:r>
      <w:r w:rsidR="00B818A6" w:rsidRPr="009118AB">
        <w:rPr>
          <w:bCs/>
          <w:i/>
          <w:iCs/>
        </w:rPr>
        <w:t>,</w:t>
      </w:r>
      <w:r w:rsidR="001D1CE7" w:rsidRPr="009118AB">
        <w:rPr>
          <w:bCs/>
          <w:i/>
          <w:iCs/>
        </w:rPr>
        <w:t xml:space="preserve"> </w:t>
      </w:r>
      <w:r w:rsidR="00D67EB8" w:rsidRPr="009118AB">
        <w:rPr>
          <w:bCs/>
          <w:i/>
          <w:iCs/>
        </w:rPr>
        <w:t>Art. </w:t>
      </w:r>
      <w:r w:rsidR="001D1CE7" w:rsidRPr="009118AB">
        <w:rPr>
          <w:bCs/>
          <w:i/>
          <w:iCs/>
        </w:rPr>
        <w:t xml:space="preserve">47 </w:t>
      </w:r>
      <w:r w:rsidR="00D67EB8" w:rsidRPr="009118AB">
        <w:rPr>
          <w:bCs/>
          <w:i/>
          <w:iCs/>
        </w:rPr>
        <w:t>Nr. </w:t>
      </w:r>
      <w:r w:rsidR="001D1CE7" w:rsidRPr="009118AB">
        <w:rPr>
          <w:bCs/>
          <w:i/>
          <w:iCs/>
        </w:rPr>
        <w:t>4</w:t>
      </w:r>
      <w:r w:rsidR="001D1CE7" w:rsidRPr="009118AB">
        <w:rPr>
          <w:i/>
          <w:iCs/>
        </w:rPr>
        <w:t xml:space="preserve"> des G. vom 21. Januar 2022 (B.S. vom 28. Januar 2022)</w:t>
      </w:r>
      <w:r w:rsidR="00B818A6" w:rsidRPr="009118AB">
        <w:rPr>
          <w:i/>
          <w:iCs/>
        </w:rPr>
        <w:t xml:space="preserve"> und Art. 30 des G. vom 5.</w:t>
      </w:r>
      <w:r w:rsidR="00603505" w:rsidRPr="009118AB">
        <w:rPr>
          <w:i/>
          <w:iCs/>
        </w:rPr>
        <w:t> </w:t>
      </w:r>
      <w:r w:rsidR="00B818A6" w:rsidRPr="009118AB">
        <w:rPr>
          <w:i/>
          <w:iCs/>
        </w:rPr>
        <w:t>Juli</w:t>
      </w:r>
      <w:r w:rsidR="00603505" w:rsidRPr="009118AB">
        <w:rPr>
          <w:i/>
          <w:iCs/>
        </w:rPr>
        <w:t> </w:t>
      </w:r>
      <w:r w:rsidR="00B818A6" w:rsidRPr="009118AB">
        <w:rPr>
          <w:i/>
          <w:iCs/>
        </w:rPr>
        <w:t>2022 (B.S. vom 15.</w:t>
      </w:r>
      <w:r w:rsidR="00603505" w:rsidRPr="009118AB">
        <w:rPr>
          <w:i/>
          <w:iCs/>
        </w:rPr>
        <w:t> </w:t>
      </w:r>
      <w:r w:rsidR="00B818A6" w:rsidRPr="009118AB">
        <w:rPr>
          <w:i/>
          <w:iCs/>
        </w:rPr>
        <w:t>Juli</w:t>
      </w:r>
      <w:r w:rsidR="00603505" w:rsidRPr="009118AB">
        <w:rPr>
          <w:i/>
          <w:iCs/>
        </w:rPr>
        <w:t> </w:t>
      </w:r>
      <w:r w:rsidR="00B818A6" w:rsidRPr="009118AB">
        <w:rPr>
          <w:i/>
          <w:iCs/>
        </w:rPr>
        <w:t>2022)</w:t>
      </w:r>
      <w:r w:rsidRPr="009118AB">
        <w:rPr>
          <w:bCs/>
          <w:i/>
          <w:iCs/>
          <w:spacing w:val="2"/>
        </w:rPr>
        <w:t>]</w:t>
      </w:r>
    </w:p>
    <w:p w14:paraId="2B01A181" w14:textId="6192B1DD" w:rsidR="006A2667" w:rsidRPr="009118AB" w:rsidRDefault="006A2667" w:rsidP="006A2667">
      <w:pPr>
        <w:autoSpaceDE w:val="0"/>
        <w:autoSpaceDN w:val="0"/>
        <w:adjustRightInd w:val="0"/>
        <w:jc w:val="both"/>
      </w:pPr>
    </w:p>
    <w:p w14:paraId="53BE5562" w14:textId="47DE723C" w:rsidR="007628C1" w:rsidRPr="009118AB" w:rsidRDefault="007628C1" w:rsidP="006A2667">
      <w:pPr>
        <w:autoSpaceDE w:val="0"/>
        <w:autoSpaceDN w:val="0"/>
        <w:adjustRightInd w:val="0"/>
        <w:jc w:val="both"/>
      </w:pPr>
    </w:p>
    <w:p w14:paraId="45ED5CBA" w14:textId="3792C37B" w:rsidR="007628C1" w:rsidRPr="009118AB" w:rsidRDefault="007628C1" w:rsidP="007628C1">
      <w:pPr>
        <w:autoSpaceDE w:val="0"/>
        <w:autoSpaceDN w:val="0"/>
        <w:adjustRightInd w:val="0"/>
        <w:jc w:val="both"/>
        <w:rPr>
          <w:sz w:val="20"/>
          <w:szCs w:val="20"/>
        </w:rPr>
      </w:pPr>
      <w:r w:rsidRPr="009118AB">
        <w:rPr>
          <w:sz w:val="20"/>
          <w:szCs w:val="20"/>
        </w:rPr>
        <w:t xml:space="preserve">Ab dem 1. Januar 2026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5 des G. vom 25. November 2021 (B.S. vom 3. Dezember 2021)) lautet </w:t>
      </w:r>
      <w:r w:rsidR="00D67EB8" w:rsidRPr="009118AB">
        <w:rPr>
          <w:sz w:val="20"/>
          <w:szCs w:val="20"/>
        </w:rPr>
        <w:t>Art. </w:t>
      </w:r>
      <w:r w:rsidR="003B6CED" w:rsidRPr="009118AB">
        <w:rPr>
          <w:sz w:val="20"/>
          <w:szCs w:val="20"/>
        </w:rPr>
        <w:t>223</w:t>
      </w:r>
      <w:r w:rsidRPr="009118AB">
        <w:rPr>
          <w:sz w:val="20"/>
          <w:szCs w:val="20"/>
        </w:rPr>
        <w:t xml:space="preserve"> wie folgt:</w:t>
      </w:r>
    </w:p>
    <w:p w14:paraId="3E0B2389" w14:textId="77777777" w:rsidR="007628C1" w:rsidRPr="009118AB" w:rsidRDefault="007628C1" w:rsidP="007628C1">
      <w:pPr>
        <w:autoSpaceDE w:val="0"/>
        <w:autoSpaceDN w:val="0"/>
        <w:adjustRightInd w:val="0"/>
        <w:jc w:val="both"/>
        <w:rPr>
          <w:sz w:val="20"/>
          <w:szCs w:val="20"/>
        </w:rPr>
      </w:pPr>
    </w:p>
    <w:p w14:paraId="0B417299" w14:textId="6718E34B" w:rsidR="007628C1" w:rsidRPr="009118AB" w:rsidRDefault="007628C1" w:rsidP="007628C1">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223</w:t>
      </w:r>
      <w:r w:rsidR="00D67EB8" w:rsidRPr="009118AB">
        <w:rPr>
          <w:sz w:val="20"/>
          <w:szCs w:val="20"/>
        </w:rPr>
        <w:t> - </w:t>
      </w:r>
      <w:r w:rsidRPr="009118AB">
        <w:rPr>
          <w:bCs/>
          <w:iCs/>
          <w:sz w:val="20"/>
          <w:szCs w:val="20"/>
        </w:rPr>
        <w:t xml:space="preserve">In Artikel 220 </w:t>
      </w:r>
      <w:r w:rsidR="00D67EB8" w:rsidRPr="009118AB">
        <w:rPr>
          <w:bCs/>
          <w:iCs/>
          <w:sz w:val="20"/>
          <w:szCs w:val="20"/>
        </w:rPr>
        <w:t>Nr. </w:t>
      </w:r>
      <w:r w:rsidRPr="009118AB">
        <w:rPr>
          <w:bCs/>
          <w:iCs/>
          <w:sz w:val="20"/>
          <w:szCs w:val="20"/>
        </w:rPr>
        <w:t>2 und 3 erwähnte juristische Personen sind ebenfalls steuerpflichtig aufgrund:</w:t>
      </w:r>
    </w:p>
    <w:p w14:paraId="68D61D30" w14:textId="77777777" w:rsidR="007628C1" w:rsidRPr="009118AB" w:rsidRDefault="007628C1" w:rsidP="007628C1">
      <w:pPr>
        <w:autoSpaceDE w:val="0"/>
        <w:autoSpaceDN w:val="0"/>
        <w:adjustRightInd w:val="0"/>
        <w:jc w:val="both"/>
        <w:rPr>
          <w:bCs/>
          <w:iCs/>
          <w:sz w:val="20"/>
          <w:szCs w:val="20"/>
        </w:rPr>
      </w:pPr>
    </w:p>
    <w:p w14:paraId="792AB0D2" w14:textId="5189E89A" w:rsidR="007628C1" w:rsidRPr="009118AB" w:rsidRDefault="007628C1" w:rsidP="007628C1">
      <w:pPr>
        <w:autoSpaceDE w:val="0"/>
        <w:autoSpaceDN w:val="0"/>
        <w:adjustRightInd w:val="0"/>
        <w:jc w:val="both"/>
        <w:rPr>
          <w:bCs/>
          <w:iCs/>
          <w:sz w:val="20"/>
          <w:szCs w:val="20"/>
        </w:rPr>
      </w:pPr>
      <w:r w:rsidRPr="009118AB">
        <w:rPr>
          <w:bCs/>
          <w:iCs/>
          <w:sz w:val="20"/>
          <w:szCs w:val="20"/>
        </w:rPr>
        <w:t xml:space="preserve">1. [der [in den Artikeln 57 Absatz 1 und] 195 </w:t>
      </w:r>
      <w:r w:rsidR="00D67EB8" w:rsidRPr="009118AB">
        <w:rPr>
          <w:bCs/>
          <w:iCs/>
          <w:sz w:val="20"/>
          <w:szCs w:val="20"/>
        </w:rPr>
        <w:t>§ </w:t>
      </w:r>
      <w:r w:rsidRPr="009118AB">
        <w:rPr>
          <w:bCs/>
          <w:iCs/>
          <w:sz w:val="20"/>
          <w:szCs w:val="20"/>
        </w:rPr>
        <w:t>1 Absatz 1 erwähnten Ausgaben</w:t>
      </w:r>
      <w:r w:rsidR="00C639FE" w:rsidRPr="009118AB">
        <w:rPr>
          <w:bCs/>
          <w:iCs/>
          <w:sz w:val="20"/>
          <w:szCs w:val="20"/>
        </w:rPr>
        <w:t xml:space="preserve">[, der in den Artikeln 31 Absatz 2 </w:t>
      </w:r>
      <w:r w:rsidR="00D67EB8" w:rsidRPr="009118AB">
        <w:rPr>
          <w:bCs/>
          <w:iCs/>
          <w:sz w:val="20"/>
          <w:szCs w:val="20"/>
        </w:rPr>
        <w:t>Nr. </w:t>
      </w:r>
      <w:r w:rsidR="00C639FE" w:rsidRPr="009118AB">
        <w:rPr>
          <w:bCs/>
          <w:iCs/>
          <w:sz w:val="20"/>
          <w:szCs w:val="20"/>
        </w:rPr>
        <w:t xml:space="preserve">2 und 32 Absatz 2 </w:t>
      </w:r>
      <w:r w:rsidR="00D67EB8" w:rsidRPr="009118AB">
        <w:rPr>
          <w:bCs/>
          <w:iCs/>
          <w:sz w:val="20"/>
          <w:szCs w:val="20"/>
        </w:rPr>
        <w:t>Nr. </w:t>
      </w:r>
      <w:r w:rsidR="00C639FE" w:rsidRPr="009118AB">
        <w:rPr>
          <w:bCs/>
          <w:iCs/>
          <w:sz w:val="20"/>
          <w:szCs w:val="20"/>
        </w:rPr>
        <w:t xml:space="preserve">2 erwähnten Vorteile jeglicher Art und der in Artikel 17 </w:t>
      </w:r>
      <w:r w:rsidR="00D67EB8" w:rsidRPr="009118AB">
        <w:rPr>
          <w:bCs/>
          <w:iCs/>
          <w:sz w:val="20"/>
          <w:szCs w:val="20"/>
        </w:rPr>
        <w:t>§ </w:t>
      </w:r>
      <w:r w:rsidR="00C639FE" w:rsidRPr="009118AB">
        <w:rPr>
          <w:bCs/>
          <w:iCs/>
          <w:sz w:val="20"/>
          <w:szCs w:val="20"/>
        </w:rPr>
        <w:t xml:space="preserve">1 </w:t>
      </w:r>
      <w:r w:rsidR="00D67EB8" w:rsidRPr="009118AB">
        <w:rPr>
          <w:bCs/>
          <w:iCs/>
          <w:sz w:val="20"/>
          <w:szCs w:val="20"/>
        </w:rPr>
        <w:t>Nr. </w:t>
      </w:r>
      <w:r w:rsidR="00C639FE" w:rsidRPr="009118AB">
        <w:rPr>
          <w:bCs/>
          <w:iCs/>
          <w:sz w:val="20"/>
          <w:szCs w:val="20"/>
        </w:rPr>
        <w:t xml:space="preserve">3, was Urheberrechte und ähnliche Rechte betrifft, und </w:t>
      </w:r>
      <w:r w:rsidR="00D67EB8" w:rsidRPr="009118AB">
        <w:rPr>
          <w:bCs/>
          <w:iCs/>
          <w:sz w:val="20"/>
          <w:szCs w:val="20"/>
        </w:rPr>
        <w:t>Nr. </w:t>
      </w:r>
      <w:r w:rsidR="00C639FE" w:rsidRPr="009118AB">
        <w:rPr>
          <w:bCs/>
          <w:iCs/>
          <w:sz w:val="20"/>
          <w:szCs w:val="20"/>
        </w:rPr>
        <w:t>5 erwähnten Einkünfte]</w:t>
      </w:r>
      <w:r w:rsidRPr="009118AB">
        <w:rPr>
          <w:bCs/>
          <w:iCs/>
          <w:sz w:val="20"/>
          <w:szCs w:val="20"/>
        </w:rPr>
        <w:t xml:space="preserve">], die nicht durch Individualkarten </w:t>
      </w:r>
      <w:r w:rsidR="00CA61DC" w:rsidRPr="009118AB">
        <w:rPr>
          <w:bCs/>
          <w:iCs/>
          <w:sz w:val="20"/>
          <w:szCs w:val="20"/>
        </w:rPr>
        <w:t>[...]</w:t>
      </w:r>
      <w:r w:rsidRPr="009118AB">
        <w:rPr>
          <w:bCs/>
          <w:iCs/>
          <w:sz w:val="20"/>
          <w:szCs w:val="20"/>
        </w:rPr>
        <w:t xml:space="preserve"> nachgewiesen werden,</w:t>
      </w:r>
    </w:p>
    <w:p w14:paraId="75CE6830" w14:textId="77777777" w:rsidR="007628C1" w:rsidRPr="009118AB" w:rsidRDefault="007628C1" w:rsidP="007628C1">
      <w:pPr>
        <w:autoSpaceDE w:val="0"/>
        <w:autoSpaceDN w:val="0"/>
        <w:adjustRightInd w:val="0"/>
        <w:jc w:val="both"/>
        <w:rPr>
          <w:bCs/>
          <w:iCs/>
          <w:sz w:val="20"/>
          <w:szCs w:val="20"/>
        </w:rPr>
      </w:pPr>
    </w:p>
    <w:p w14:paraId="0A7FFC0B" w14:textId="6A5A9348" w:rsidR="007628C1" w:rsidRPr="009118AB" w:rsidRDefault="007628C1" w:rsidP="007628C1">
      <w:pPr>
        <w:autoSpaceDE w:val="0"/>
        <w:autoSpaceDN w:val="0"/>
        <w:adjustRightInd w:val="0"/>
        <w:jc w:val="both"/>
        <w:rPr>
          <w:bCs/>
          <w:iCs/>
          <w:spacing w:val="-2"/>
          <w:sz w:val="20"/>
          <w:szCs w:val="20"/>
        </w:rPr>
      </w:pPr>
      <w:r w:rsidRPr="009118AB">
        <w:rPr>
          <w:bCs/>
          <w:iCs/>
          <w:spacing w:val="-2"/>
          <w:sz w:val="20"/>
          <w:szCs w:val="20"/>
        </w:rPr>
        <w:t xml:space="preserve">2. [der in den Artikeln 52 </w:t>
      </w:r>
      <w:r w:rsidR="00D67EB8" w:rsidRPr="009118AB">
        <w:rPr>
          <w:bCs/>
          <w:iCs/>
          <w:spacing w:val="-2"/>
          <w:sz w:val="20"/>
          <w:szCs w:val="20"/>
        </w:rPr>
        <w:t>Nr. </w:t>
      </w:r>
      <w:r w:rsidRPr="009118AB">
        <w:rPr>
          <w:bCs/>
          <w:iCs/>
          <w:spacing w:val="-2"/>
          <w:sz w:val="20"/>
          <w:szCs w:val="20"/>
        </w:rPr>
        <w:t>3 Buchstabe </w:t>
      </w:r>
      <w:r w:rsidRPr="009118AB">
        <w:rPr>
          <w:bCs/>
          <w:i/>
          <w:iCs/>
          <w:spacing w:val="-2"/>
          <w:sz w:val="20"/>
          <w:szCs w:val="20"/>
        </w:rPr>
        <w:t>b)</w:t>
      </w:r>
      <w:r w:rsidRPr="009118AB">
        <w:rPr>
          <w:bCs/>
          <w:iCs/>
          <w:spacing w:val="-2"/>
          <w:sz w:val="20"/>
          <w:szCs w:val="20"/>
        </w:rPr>
        <w:t xml:space="preserve"> und 195 </w:t>
      </w:r>
      <w:r w:rsidR="00D67EB8" w:rsidRPr="009118AB">
        <w:rPr>
          <w:bCs/>
          <w:iCs/>
          <w:spacing w:val="-2"/>
          <w:sz w:val="20"/>
          <w:szCs w:val="20"/>
        </w:rPr>
        <w:t>§ </w:t>
      </w:r>
      <w:r w:rsidRPr="009118AB">
        <w:rPr>
          <w:bCs/>
          <w:iCs/>
          <w:spacing w:val="-2"/>
          <w:sz w:val="20"/>
          <w:szCs w:val="20"/>
        </w:rPr>
        <w:t xml:space="preserve">2 erwähnten Beiträge und Prämien in dem Maße, wie sie entweder der in Artikel 53 </w:t>
      </w:r>
      <w:r w:rsidR="00D67EB8" w:rsidRPr="009118AB">
        <w:rPr>
          <w:bCs/>
          <w:iCs/>
          <w:spacing w:val="-2"/>
          <w:sz w:val="20"/>
          <w:szCs w:val="20"/>
        </w:rPr>
        <w:t>Nr. </w:t>
      </w:r>
      <w:r w:rsidRPr="009118AB">
        <w:rPr>
          <w:bCs/>
          <w:iCs/>
          <w:spacing w:val="-2"/>
          <w:sz w:val="20"/>
          <w:szCs w:val="20"/>
        </w:rPr>
        <w:t>22 vorgesehenen Grenze oder den in Artikel 59 vorgesehenen Bedingungen und der dort erwähnten Grenze und</w:t>
      </w:r>
      <w:r w:rsidR="00D67EB8" w:rsidRPr="009118AB">
        <w:rPr>
          <w:bCs/>
          <w:iCs/>
          <w:spacing w:val="-2"/>
          <w:sz w:val="20"/>
          <w:szCs w:val="20"/>
        </w:rPr>
        <w:t> - </w:t>
      </w:r>
      <w:r w:rsidRPr="009118AB">
        <w:rPr>
          <w:bCs/>
          <w:iCs/>
          <w:spacing w:val="-2"/>
          <w:sz w:val="20"/>
          <w:szCs w:val="20"/>
        </w:rPr>
        <w:t xml:space="preserve">in Bezug auf die in Artikel 195 </w:t>
      </w:r>
      <w:r w:rsidR="00D67EB8" w:rsidRPr="009118AB">
        <w:rPr>
          <w:bCs/>
          <w:iCs/>
          <w:spacing w:val="-2"/>
          <w:sz w:val="20"/>
          <w:szCs w:val="20"/>
        </w:rPr>
        <w:t>§ </w:t>
      </w:r>
      <w:r w:rsidRPr="009118AB">
        <w:rPr>
          <w:bCs/>
          <w:iCs/>
          <w:spacing w:val="-2"/>
          <w:sz w:val="20"/>
          <w:szCs w:val="20"/>
        </w:rPr>
        <w:t>2 erwähnten Prämien</w:t>
      </w:r>
      <w:r w:rsidR="00D67EB8" w:rsidRPr="009118AB">
        <w:rPr>
          <w:bCs/>
          <w:iCs/>
          <w:spacing w:val="-2"/>
          <w:sz w:val="20"/>
          <w:szCs w:val="20"/>
        </w:rPr>
        <w:t> - </w:t>
      </w:r>
      <w:r w:rsidRPr="009118AB">
        <w:rPr>
          <w:bCs/>
          <w:iCs/>
          <w:spacing w:val="-2"/>
          <w:sz w:val="20"/>
          <w:szCs w:val="20"/>
        </w:rPr>
        <w:t xml:space="preserve">der in Artikel 195 </w:t>
      </w:r>
      <w:r w:rsidR="00D67EB8" w:rsidRPr="009118AB">
        <w:rPr>
          <w:bCs/>
          <w:iCs/>
          <w:spacing w:val="-2"/>
          <w:sz w:val="20"/>
          <w:szCs w:val="20"/>
        </w:rPr>
        <w:t>§ </w:t>
      </w:r>
      <w:r w:rsidRPr="009118AB">
        <w:rPr>
          <w:bCs/>
          <w:iCs/>
          <w:spacing w:val="-2"/>
          <w:sz w:val="20"/>
          <w:szCs w:val="20"/>
        </w:rPr>
        <w:t xml:space="preserve">1 Absatz 2 erwähnten Bedingung der Regelmäßigkeit nicht entsprechen, der in Artikel 52 </w:t>
      </w:r>
      <w:r w:rsidR="00D67EB8" w:rsidRPr="009118AB">
        <w:rPr>
          <w:bCs/>
          <w:iCs/>
          <w:spacing w:val="-2"/>
          <w:sz w:val="20"/>
          <w:szCs w:val="20"/>
        </w:rPr>
        <w:t>Nr. </w:t>
      </w:r>
      <w:r w:rsidRPr="009118AB">
        <w:rPr>
          <w:bCs/>
          <w:iCs/>
          <w:spacing w:val="-2"/>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118AB">
        <w:rPr>
          <w:bCs/>
          <w:iCs/>
          <w:spacing w:val="-2"/>
          <w:sz w:val="20"/>
          <w:szCs w:val="20"/>
        </w:rPr>
        <w:t>Nr. </w:t>
      </w:r>
      <w:r w:rsidRPr="009118AB">
        <w:rPr>
          <w:bCs/>
          <w:iCs/>
          <w:spacing w:val="-2"/>
          <w:sz w:val="20"/>
          <w:szCs w:val="20"/>
        </w:rPr>
        <w:t>23 erwähnten Kapitalien,]</w:t>
      </w:r>
    </w:p>
    <w:p w14:paraId="6AF4D62F" w14:textId="77777777" w:rsidR="007628C1" w:rsidRPr="009118AB" w:rsidRDefault="007628C1" w:rsidP="007628C1">
      <w:pPr>
        <w:autoSpaceDE w:val="0"/>
        <w:autoSpaceDN w:val="0"/>
        <w:adjustRightInd w:val="0"/>
        <w:jc w:val="both"/>
        <w:rPr>
          <w:bCs/>
          <w:iCs/>
          <w:sz w:val="20"/>
          <w:szCs w:val="20"/>
        </w:rPr>
      </w:pPr>
    </w:p>
    <w:p w14:paraId="4DC9BF03" w14:textId="5D6571C2" w:rsidR="007628C1" w:rsidRPr="009118AB" w:rsidRDefault="007628C1" w:rsidP="007628C1">
      <w:pPr>
        <w:autoSpaceDE w:val="0"/>
        <w:autoSpaceDN w:val="0"/>
        <w:adjustRightInd w:val="0"/>
        <w:jc w:val="both"/>
        <w:rPr>
          <w:bCs/>
          <w:iCs/>
          <w:sz w:val="20"/>
          <w:szCs w:val="20"/>
        </w:rPr>
      </w:pPr>
      <w:r w:rsidRPr="009118AB">
        <w:rPr>
          <w:bCs/>
          <w:iCs/>
          <w:sz w:val="20"/>
          <w:szCs w:val="20"/>
        </w:rPr>
        <w:lastRenderedPageBreak/>
        <w:t xml:space="preserve">[3. [der in Artikel 53 </w:t>
      </w:r>
      <w:r w:rsidR="00D67EB8" w:rsidRPr="009118AB">
        <w:rPr>
          <w:bCs/>
          <w:iCs/>
          <w:sz w:val="20"/>
          <w:szCs w:val="20"/>
        </w:rPr>
        <w:t>Nr. </w:t>
      </w:r>
      <w:r w:rsidRPr="009118AB">
        <w:rPr>
          <w:bCs/>
          <w:iCs/>
          <w:sz w:val="20"/>
          <w:szCs w:val="20"/>
        </w:rPr>
        <w:t>24 erwähnten finanziellen Vorteile oder Vorteile jeglicher Art,]]</w:t>
      </w:r>
    </w:p>
    <w:p w14:paraId="4FB1AC55" w14:textId="77777777" w:rsidR="007628C1" w:rsidRPr="009118AB" w:rsidRDefault="007628C1" w:rsidP="007628C1">
      <w:pPr>
        <w:autoSpaceDE w:val="0"/>
        <w:autoSpaceDN w:val="0"/>
        <w:adjustRightInd w:val="0"/>
        <w:jc w:val="both"/>
        <w:rPr>
          <w:bCs/>
          <w:iCs/>
          <w:sz w:val="20"/>
          <w:szCs w:val="20"/>
        </w:rPr>
      </w:pPr>
    </w:p>
    <w:p w14:paraId="6E2D1557" w14:textId="0C653A01" w:rsidR="007628C1" w:rsidRPr="009118AB" w:rsidRDefault="007628C1" w:rsidP="007628C1">
      <w:pPr>
        <w:autoSpaceDE w:val="0"/>
        <w:autoSpaceDN w:val="0"/>
        <w:adjustRightInd w:val="0"/>
        <w:jc w:val="both"/>
        <w:rPr>
          <w:bCs/>
          <w:iCs/>
          <w:sz w:val="20"/>
          <w:szCs w:val="20"/>
        </w:rPr>
      </w:pPr>
      <w:r w:rsidRPr="009118AB">
        <w:rPr>
          <w:bCs/>
          <w:iCs/>
          <w:sz w:val="20"/>
          <w:szCs w:val="20"/>
        </w:rPr>
        <w:t>[4. [</w:t>
      </w:r>
      <w:r w:rsidRPr="009118AB">
        <w:rPr>
          <w:sz w:val="20"/>
          <w:szCs w:val="20"/>
        </w:rPr>
        <w:t xml:space="preserve">eines Betrags, der 17 Prozent des </w:t>
      </w:r>
      <w:r w:rsidR="00C639FE"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C639FE"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w:t>
      </w:r>
      <w:r w:rsidRPr="009118AB">
        <w:rPr>
          <w:bCs/>
          <w:iCs/>
          <w:sz w:val="20"/>
          <w:szCs w:val="20"/>
        </w:rPr>
        <w:t>]]</w:t>
      </w:r>
    </w:p>
    <w:p w14:paraId="529889FD" w14:textId="77777777" w:rsidR="007628C1" w:rsidRPr="009118AB" w:rsidRDefault="007628C1" w:rsidP="007628C1">
      <w:pPr>
        <w:autoSpaceDE w:val="0"/>
        <w:autoSpaceDN w:val="0"/>
        <w:adjustRightInd w:val="0"/>
        <w:jc w:val="both"/>
        <w:rPr>
          <w:bCs/>
          <w:iCs/>
          <w:sz w:val="20"/>
          <w:szCs w:val="20"/>
        </w:rPr>
      </w:pPr>
    </w:p>
    <w:p w14:paraId="40F29197" w14:textId="3AA50CC1" w:rsidR="007628C1" w:rsidRPr="009118AB" w:rsidRDefault="007628C1" w:rsidP="007628C1">
      <w:pPr>
        <w:autoSpaceDE w:val="0"/>
        <w:autoSpaceDN w:val="0"/>
        <w:adjustRightInd w:val="0"/>
        <w:jc w:val="both"/>
        <w:rPr>
          <w:bCs/>
          <w:iCs/>
          <w:sz w:val="20"/>
          <w:szCs w:val="20"/>
        </w:rPr>
      </w:pPr>
      <w:r w:rsidRPr="009118AB">
        <w:rPr>
          <w:bCs/>
          <w:iCs/>
          <w:sz w:val="20"/>
          <w:szCs w:val="20"/>
        </w:rPr>
        <w:t>[</w:t>
      </w:r>
      <w:r w:rsidR="004421E9" w:rsidRPr="009118AB">
        <w:rPr>
          <w:bCs/>
          <w:iCs/>
          <w:sz w:val="20"/>
          <w:szCs w:val="20"/>
        </w:rPr>
        <w:t>...</w:t>
      </w:r>
      <w:r w:rsidRPr="009118AB">
        <w:rPr>
          <w:bCs/>
          <w:iCs/>
          <w:sz w:val="20"/>
          <w:szCs w:val="20"/>
        </w:rPr>
        <w:t>]</w:t>
      </w:r>
    </w:p>
    <w:p w14:paraId="34C8302A" w14:textId="77777777" w:rsidR="007628C1" w:rsidRPr="009118AB" w:rsidRDefault="007628C1" w:rsidP="007628C1">
      <w:pPr>
        <w:autoSpaceDE w:val="0"/>
        <w:autoSpaceDN w:val="0"/>
        <w:adjustRightInd w:val="0"/>
        <w:jc w:val="both"/>
        <w:rPr>
          <w:bCs/>
          <w:iCs/>
          <w:sz w:val="20"/>
          <w:szCs w:val="20"/>
        </w:rPr>
      </w:pPr>
    </w:p>
    <w:p w14:paraId="7EEC7AB8" w14:textId="159F3A2B" w:rsidR="007628C1" w:rsidRPr="009118AB" w:rsidRDefault="007628C1" w:rsidP="007628C1">
      <w:pPr>
        <w:autoSpaceDE w:val="0"/>
        <w:autoSpaceDN w:val="0"/>
        <w:adjustRightInd w:val="0"/>
        <w:jc w:val="both"/>
        <w:rPr>
          <w:sz w:val="20"/>
          <w:szCs w:val="20"/>
        </w:rPr>
      </w:pPr>
      <w:r w:rsidRPr="009118AB">
        <w:rPr>
          <w:bCs/>
          <w:iCs/>
          <w:sz w:val="20"/>
          <w:szCs w:val="20"/>
        </w:rPr>
        <w:t>[</w:t>
      </w:r>
      <w:r w:rsidRPr="009118AB">
        <w:rPr>
          <w:sz w:val="20"/>
          <w:szCs w:val="20"/>
        </w:rPr>
        <w:t xml:space="preserve">5. [eines Betrags, der in Abweichung von </w:t>
      </w:r>
      <w:r w:rsidR="00D67EB8" w:rsidRPr="009118AB">
        <w:rPr>
          <w:sz w:val="20"/>
          <w:szCs w:val="20"/>
        </w:rPr>
        <w:t>Nr. </w:t>
      </w:r>
      <w:r w:rsidRPr="009118AB">
        <w:rPr>
          <w:sz w:val="20"/>
          <w:szCs w:val="20"/>
        </w:rPr>
        <w:t xml:space="preserve">4 40 Prozent des </w:t>
      </w:r>
      <w:r w:rsidR="00C639FE"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C639FE"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512CDF47" w14:textId="77777777" w:rsidR="007628C1" w:rsidRPr="009118AB" w:rsidRDefault="007628C1" w:rsidP="007628C1">
      <w:pPr>
        <w:autoSpaceDE w:val="0"/>
        <w:autoSpaceDN w:val="0"/>
        <w:adjustRightInd w:val="0"/>
        <w:jc w:val="both"/>
        <w:rPr>
          <w:sz w:val="20"/>
          <w:szCs w:val="20"/>
        </w:rPr>
      </w:pPr>
    </w:p>
    <w:p w14:paraId="417E7924" w14:textId="2B9749A1" w:rsidR="007628C1" w:rsidRPr="009118AB" w:rsidRDefault="007628C1" w:rsidP="007628C1">
      <w:pPr>
        <w:autoSpaceDE w:val="0"/>
        <w:autoSpaceDN w:val="0"/>
        <w:adjustRightInd w:val="0"/>
        <w:jc w:val="both"/>
        <w:rPr>
          <w:sz w:val="20"/>
          <w:szCs w:val="20"/>
        </w:rPr>
      </w:pPr>
      <w:r w:rsidRPr="009118AB">
        <w:rPr>
          <w:sz w:val="20"/>
          <w:szCs w:val="20"/>
        </w:rPr>
        <w:t>[</w:t>
      </w:r>
      <w:r w:rsidR="004421E9" w:rsidRPr="009118AB">
        <w:rPr>
          <w:sz w:val="20"/>
          <w:szCs w:val="20"/>
        </w:rPr>
        <w:t>...</w:t>
      </w:r>
      <w:r w:rsidRPr="009118AB">
        <w:rPr>
          <w:sz w:val="20"/>
          <w:szCs w:val="20"/>
        </w:rPr>
        <w:t>]</w:t>
      </w:r>
    </w:p>
    <w:p w14:paraId="2F9FD1E3" w14:textId="2143CCBB" w:rsidR="007628C1" w:rsidRPr="009118AB" w:rsidRDefault="007628C1" w:rsidP="007628C1">
      <w:pPr>
        <w:autoSpaceDE w:val="0"/>
        <w:autoSpaceDN w:val="0"/>
        <w:adjustRightInd w:val="0"/>
        <w:jc w:val="both"/>
        <w:rPr>
          <w:sz w:val="20"/>
          <w:szCs w:val="20"/>
        </w:rPr>
      </w:pPr>
    </w:p>
    <w:p w14:paraId="4111DE8D" w14:textId="6A63F06D" w:rsidR="007628C1" w:rsidRPr="009118AB" w:rsidRDefault="007628C1" w:rsidP="007628C1">
      <w:pPr>
        <w:autoSpaceDE w:val="0"/>
        <w:autoSpaceDN w:val="0"/>
        <w:adjustRightInd w:val="0"/>
        <w:jc w:val="both"/>
        <w:rPr>
          <w:bCs/>
          <w:iCs/>
          <w:sz w:val="20"/>
          <w:szCs w:val="20"/>
        </w:rPr>
      </w:pPr>
      <w:r w:rsidRPr="009118AB">
        <w:rPr>
          <w:sz w:val="20"/>
          <w:szCs w:val="20"/>
        </w:rPr>
        <w:t>[6. der Kosten in Bezug auf die Nutzung der in Artikel 65 erwähnten Fahrzeuge, die ab dem 1. Januar 2026 gekauft, geleast oder gemietet werden, es sei denn, es handelt sich um ein Fahrzeug, das kein CO</w:t>
      </w:r>
      <w:r w:rsidRPr="009118AB">
        <w:rPr>
          <w:sz w:val="20"/>
          <w:szCs w:val="20"/>
          <w:vertAlign w:val="subscript"/>
        </w:rPr>
        <w:t>2</w:t>
      </w:r>
      <w:r w:rsidRPr="009118AB">
        <w:rPr>
          <w:sz w:val="20"/>
          <w:szCs w:val="20"/>
        </w:rPr>
        <w:t xml:space="preserve"> ausstößt.]</w:t>
      </w:r>
    </w:p>
    <w:p w14:paraId="2BFA2575" w14:textId="018E7CF4" w:rsidR="007628C1" w:rsidRPr="009118AB" w:rsidRDefault="007628C1" w:rsidP="007628C1">
      <w:pPr>
        <w:autoSpaceDE w:val="0"/>
        <w:autoSpaceDN w:val="0"/>
        <w:adjustRightInd w:val="0"/>
        <w:jc w:val="both"/>
        <w:rPr>
          <w:bCs/>
          <w:iCs/>
          <w:sz w:val="20"/>
          <w:szCs w:val="20"/>
        </w:rPr>
      </w:pPr>
    </w:p>
    <w:p w14:paraId="525C5F8D" w14:textId="40589273" w:rsidR="00261B2A" w:rsidRPr="009118AB" w:rsidRDefault="00261B2A" w:rsidP="007628C1">
      <w:pPr>
        <w:autoSpaceDE w:val="0"/>
        <w:autoSpaceDN w:val="0"/>
        <w:adjustRightInd w:val="0"/>
        <w:jc w:val="both"/>
        <w:rPr>
          <w:bCs/>
          <w:iCs/>
          <w:sz w:val="20"/>
          <w:szCs w:val="20"/>
        </w:rPr>
      </w:pPr>
      <w:r w:rsidRPr="009118AB">
        <w:rPr>
          <w:bCs/>
          <w:iCs/>
          <w:sz w:val="20"/>
          <w:szCs w:val="20"/>
        </w:rPr>
        <w:t>(...)</w:t>
      </w:r>
    </w:p>
    <w:p w14:paraId="20F724B7" w14:textId="44483947" w:rsidR="00261B2A" w:rsidRPr="009118AB" w:rsidRDefault="00261B2A" w:rsidP="007628C1">
      <w:pPr>
        <w:autoSpaceDE w:val="0"/>
        <w:autoSpaceDN w:val="0"/>
        <w:adjustRightInd w:val="0"/>
        <w:jc w:val="both"/>
        <w:rPr>
          <w:bCs/>
          <w:iCs/>
          <w:sz w:val="20"/>
          <w:szCs w:val="20"/>
        </w:rPr>
      </w:pPr>
    </w:p>
    <w:p w14:paraId="26FE4105" w14:textId="06B66E62" w:rsidR="00261B2A" w:rsidRPr="009118AB" w:rsidRDefault="00261B2A" w:rsidP="00261B2A">
      <w:pPr>
        <w:autoSpaceDE w:val="0"/>
        <w:autoSpaceDN w:val="0"/>
        <w:adjustRightInd w:val="0"/>
        <w:jc w:val="both"/>
        <w:rPr>
          <w:bCs/>
          <w:iCs/>
          <w:sz w:val="20"/>
          <w:szCs w:val="20"/>
        </w:rPr>
      </w:pPr>
      <w:r w:rsidRPr="009118AB">
        <w:rPr>
          <w:bCs/>
          <w:iCs/>
          <w:sz w:val="20"/>
          <w:szCs w:val="20"/>
        </w:rPr>
        <w:t>[8. der Provisionen, Maklergebühren, kommerziellen oder anderen Ermäßigungen, zufälligen oder nicht zufälligen Entgelte oder Honorare, Zuwendungen, Vergütungen oder Vorteile jeglicher Art</w:t>
      </w:r>
      <w:r w:rsidR="00D67EB8" w:rsidRPr="009118AB">
        <w:rPr>
          <w:bCs/>
          <w:iCs/>
          <w:sz w:val="20"/>
          <w:szCs w:val="20"/>
        </w:rPr>
        <w:t> - </w:t>
      </w:r>
      <w:r w:rsidRPr="009118AB">
        <w:rPr>
          <w:bCs/>
          <w:iCs/>
          <w:sz w:val="20"/>
          <w:szCs w:val="20"/>
        </w:rPr>
        <w:t>in dem Maße, wie sie sich auf mehr als 3 Prozent der gesamten Bruttoentlohnung des Sportlers belaufen, die während der Dauer des Arbeitsvertrags pro Jahr berechnet wird</w:t>
      </w:r>
      <w:r w:rsidR="00FD68E8" w:rsidRPr="009118AB">
        <w:rPr>
          <w:bCs/>
          <w:iCs/>
          <w:sz w:val="20"/>
          <w:szCs w:val="20"/>
        </w:rPr>
        <w:t> -,</w:t>
      </w:r>
      <w:r w:rsidRPr="009118AB">
        <w:rPr>
          <w:bCs/>
          <w:iCs/>
          <w:sz w:val="20"/>
          <w:szCs w:val="20"/>
        </w:rPr>
        <w:t xml:space="preserve"> die direkt oder indirekt im Rahmen eines Vertrags gezahlt werden, der Folgendes zum Ziel hat:</w:t>
      </w:r>
    </w:p>
    <w:p w14:paraId="03112C65" w14:textId="77777777" w:rsidR="00261B2A" w:rsidRPr="009118AB" w:rsidRDefault="00261B2A" w:rsidP="00261B2A">
      <w:pPr>
        <w:autoSpaceDE w:val="0"/>
        <w:autoSpaceDN w:val="0"/>
        <w:adjustRightInd w:val="0"/>
        <w:jc w:val="both"/>
        <w:rPr>
          <w:bCs/>
          <w:iCs/>
          <w:sz w:val="20"/>
          <w:szCs w:val="20"/>
        </w:rPr>
      </w:pPr>
    </w:p>
    <w:p w14:paraId="44E0CE6C" w14:textId="2C5F8F5B" w:rsidR="00261B2A" w:rsidRPr="009118AB" w:rsidRDefault="00261B2A" w:rsidP="00261B2A">
      <w:pPr>
        <w:autoSpaceDE w:val="0"/>
        <w:autoSpaceDN w:val="0"/>
        <w:adjustRightInd w:val="0"/>
        <w:jc w:val="both"/>
        <w:rPr>
          <w:bCs/>
          <w:iCs/>
          <w:sz w:val="20"/>
          <w:szCs w:val="20"/>
        </w:rPr>
      </w:pPr>
      <w:r w:rsidRPr="009118AB">
        <w:rPr>
          <w:bCs/>
          <w:i/>
          <w:iCs/>
          <w:sz w:val="20"/>
          <w:szCs w:val="20"/>
        </w:rPr>
        <w:t>a)</w:t>
      </w:r>
      <w:r w:rsidRPr="009118AB">
        <w:rPr>
          <w:bCs/>
          <w:iCs/>
          <w:sz w:val="20"/>
          <w:szCs w:val="20"/>
        </w:rPr>
        <w:t> entweder einen Sportler bei Verhandlungen im Hinblick auf den Abschluss, die Verlängerung, Erneuerung oder Beendigung eines Arbeitsvertrags bei einem Sportclub zu unterstützen</w:t>
      </w:r>
    </w:p>
    <w:p w14:paraId="7F5BD3C2" w14:textId="77777777" w:rsidR="00261B2A" w:rsidRPr="009118AB" w:rsidRDefault="00261B2A" w:rsidP="00261B2A">
      <w:pPr>
        <w:autoSpaceDE w:val="0"/>
        <w:autoSpaceDN w:val="0"/>
        <w:adjustRightInd w:val="0"/>
        <w:jc w:val="both"/>
        <w:rPr>
          <w:bCs/>
          <w:iCs/>
          <w:sz w:val="20"/>
          <w:szCs w:val="20"/>
        </w:rPr>
      </w:pPr>
    </w:p>
    <w:p w14:paraId="00D7B81C" w14:textId="0E3EE3E2" w:rsidR="00261B2A" w:rsidRPr="009118AB" w:rsidRDefault="00261B2A" w:rsidP="00261B2A">
      <w:pPr>
        <w:autoSpaceDE w:val="0"/>
        <w:autoSpaceDN w:val="0"/>
        <w:adjustRightInd w:val="0"/>
        <w:jc w:val="both"/>
        <w:rPr>
          <w:bCs/>
          <w:iCs/>
          <w:sz w:val="20"/>
          <w:szCs w:val="20"/>
        </w:rPr>
      </w:pPr>
      <w:r w:rsidRPr="009118AB">
        <w:rPr>
          <w:bCs/>
          <w:i/>
          <w:iCs/>
          <w:sz w:val="20"/>
          <w:szCs w:val="20"/>
        </w:rPr>
        <w:t>b)</w:t>
      </w:r>
      <w:r w:rsidRPr="009118AB">
        <w:rPr>
          <w:bCs/>
          <w:iCs/>
          <w:sz w:val="20"/>
          <w:szCs w:val="20"/>
        </w:rPr>
        <w:t xml:space="preserve"> oder einen in Artikel 270 </w:t>
      </w:r>
      <w:r w:rsidR="00D67EB8" w:rsidRPr="009118AB">
        <w:rPr>
          <w:bCs/>
          <w:iCs/>
          <w:sz w:val="20"/>
          <w:szCs w:val="20"/>
        </w:rPr>
        <w:t>Nr. </w:t>
      </w:r>
      <w:r w:rsidRPr="009118AB">
        <w:rPr>
          <w:bCs/>
          <w:iCs/>
          <w:sz w:val="20"/>
          <w:szCs w:val="20"/>
        </w:rPr>
        <w:t>1 oder 3 erwähnten Schuldner des Berufssteuer</w:t>
      </w:r>
      <w:r w:rsidRPr="009118AB">
        <w:rPr>
          <w:bCs/>
          <w:iCs/>
          <w:sz w:val="20"/>
          <w:szCs w:val="20"/>
        </w:rPr>
        <w:softHyphen/>
        <w:t>vorabzugs bei Verhandlungen im Hinblick auf den Abschluss, die Verlängerung, Erneuerung oder Beendigung eines Arbeitsvertrags mit einem Sportler zu unterstützen</w:t>
      </w:r>
    </w:p>
    <w:p w14:paraId="6EBEBCBF" w14:textId="77777777" w:rsidR="00261B2A" w:rsidRPr="009118AB" w:rsidRDefault="00261B2A" w:rsidP="00261B2A">
      <w:pPr>
        <w:autoSpaceDE w:val="0"/>
        <w:autoSpaceDN w:val="0"/>
        <w:adjustRightInd w:val="0"/>
        <w:jc w:val="both"/>
        <w:rPr>
          <w:bCs/>
          <w:iCs/>
          <w:sz w:val="20"/>
          <w:szCs w:val="20"/>
        </w:rPr>
      </w:pPr>
    </w:p>
    <w:p w14:paraId="21CA267F" w14:textId="294398CB" w:rsidR="00261B2A" w:rsidRPr="009118AB" w:rsidRDefault="00261B2A" w:rsidP="00261B2A">
      <w:pPr>
        <w:autoSpaceDE w:val="0"/>
        <w:autoSpaceDN w:val="0"/>
        <w:adjustRightInd w:val="0"/>
        <w:jc w:val="both"/>
        <w:rPr>
          <w:bCs/>
          <w:iCs/>
          <w:sz w:val="20"/>
          <w:szCs w:val="20"/>
        </w:rPr>
      </w:pPr>
      <w:r w:rsidRPr="009118AB">
        <w:rPr>
          <w:bCs/>
          <w:i/>
          <w:iCs/>
          <w:sz w:val="20"/>
          <w:szCs w:val="20"/>
        </w:rPr>
        <w:t>c)</w:t>
      </w:r>
      <w:r w:rsidRPr="009118AB">
        <w:rPr>
          <w:bCs/>
          <w:iCs/>
          <w:sz w:val="20"/>
          <w:szCs w:val="20"/>
        </w:rPr>
        <w:t> oder eine Ausleihe oder einen definitiven Transfer im Hinblick auf die Ankunft oder den Weggang eines Sportlers zu regeln.]</w:t>
      </w:r>
    </w:p>
    <w:p w14:paraId="214964A3" w14:textId="77777777" w:rsidR="00261B2A" w:rsidRPr="009118AB" w:rsidRDefault="00261B2A" w:rsidP="00261B2A">
      <w:pPr>
        <w:autoSpaceDE w:val="0"/>
        <w:autoSpaceDN w:val="0"/>
        <w:adjustRightInd w:val="0"/>
        <w:jc w:val="both"/>
        <w:rPr>
          <w:bCs/>
          <w:iCs/>
          <w:sz w:val="20"/>
          <w:szCs w:val="20"/>
        </w:rPr>
      </w:pPr>
    </w:p>
    <w:p w14:paraId="367BC901" w14:textId="77777777" w:rsidR="007628C1" w:rsidRPr="009118AB" w:rsidRDefault="007628C1" w:rsidP="007628C1">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45DAFA7D" w14:textId="77777777" w:rsidR="007628C1" w:rsidRPr="009118AB" w:rsidRDefault="007628C1" w:rsidP="007628C1">
      <w:pPr>
        <w:autoSpaceDE w:val="0"/>
        <w:autoSpaceDN w:val="0"/>
        <w:adjustRightInd w:val="0"/>
        <w:jc w:val="both"/>
        <w:rPr>
          <w:bCs/>
          <w:iCs/>
          <w:sz w:val="20"/>
          <w:szCs w:val="20"/>
        </w:rPr>
      </w:pPr>
    </w:p>
    <w:p w14:paraId="7CC8600D" w14:textId="157C35B7" w:rsidR="007628C1" w:rsidRPr="009118AB" w:rsidRDefault="007628C1" w:rsidP="007628C1">
      <w:pPr>
        <w:autoSpaceDE w:val="0"/>
        <w:autoSpaceDN w:val="0"/>
        <w:adjustRightInd w:val="0"/>
        <w:jc w:val="both"/>
        <w:rPr>
          <w:sz w:val="20"/>
          <w:szCs w:val="20"/>
        </w:rPr>
      </w:pPr>
      <w:r w:rsidRPr="009118AB">
        <w:rPr>
          <w:bCs/>
          <w:iCs/>
          <w:sz w:val="20"/>
          <w:szCs w:val="20"/>
        </w:rPr>
        <w:t>[</w:t>
      </w: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Steuerpflichtige nachweist, dass </w:t>
      </w:r>
      <w:r w:rsidR="00C639FE" w:rsidRPr="009118AB">
        <w:rPr>
          <w:sz w:val="20"/>
          <w:szCs w:val="20"/>
        </w:rPr>
        <w:t xml:space="preserve">[der Betrag der in Artikel 57 Absatz 1 erwähnten Ausgaben, der in den Artikeln 31 Absatz 2 </w:t>
      </w:r>
      <w:r w:rsidR="00D67EB8" w:rsidRPr="009118AB">
        <w:rPr>
          <w:sz w:val="20"/>
          <w:szCs w:val="20"/>
        </w:rPr>
        <w:t>Nr. </w:t>
      </w:r>
      <w:r w:rsidR="00C639FE" w:rsidRPr="009118AB">
        <w:rPr>
          <w:sz w:val="20"/>
          <w:szCs w:val="20"/>
        </w:rPr>
        <w:t xml:space="preserve">2 und 32 Absatz 2 </w:t>
      </w:r>
      <w:r w:rsidR="00D67EB8" w:rsidRPr="009118AB">
        <w:rPr>
          <w:sz w:val="20"/>
          <w:szCs w:val="20"/>
        </w:rPr>
        <w:t>Nr. </w:t>
      </w:r>
      <w:r w:rsidR="00C639FE" w:rsidRPr="009118AB">
        <w:rPr>
          <w:sz w:val="20"/>
          <w:szCs w:val="20"/>
        </w:rPr>
        <w:t xml:space="preserve">2 erwähnten Vorteile jeglicher Art oder der in Artikel 17 </w:t>
      </w:r>
      <w:r w:rsidR="00D67EB8" w:rsidRPr="009118AB">
        <w:rPr>
          <w:sz w:val="20"/>
          <w:szCs w:val="20"/>
        </w:rPr>
        <w:t>§ </w:t>
      </w:r>
      <w:r w:rsidR="00C639FE" w:rsidRPr="009118AB">
        <w:rPr>
          <w:sz w:val="20"/>
          <w:szCs w:val="20"/>
        </w:rPr>
        <w:t xml:space="preserve">1 </w:t>
      </w:r>
      <w:r w:rsidR="00D67EB8" w:rsidRPr="009118AB">
        <w:rPr>
          <w:sz w:val="20"/>
          <w:szCs w:val="20"/>
        </w:rPr>
        <w:t>Nr. </w:t>
      </w:r>
      <w:r w:rsidR="00C639FE" w:rsidRPr="009118AB">
        <w:rPr>
          <w:sz w:val="20"/>
          <w:szCs w:val="20"/>
        </w:rPr>
        <w:t xml:space="preserve">3, was Urheberrechte und ähnliche Rechte betrifft, und </w:t>
      </w:r>
      <w:r w:rsidR="00D67EB8" w:rsidRPr="009118AB">
        <w:rPr>
          <w:sz w:val="20"/>
          <w:szCs w:val="20"/>
        </w:rPr>
        <w:t>Nr. </w:t>
      </w:r>
      <w:r w:rsidR="00C639FE" w:rsidRPr="009118AB">
        <w:rPr>
          <w:sz w:val="20"/>
          <w:szCs w:val="20"/>
        </w:rPr>
        <w:t>5 erwähnten Einkünfte]</w:t>
      </w:r>
      <w:r w:rsidRPr="009118AB">
        <w:rPr>
          <w:sz w:val="20"/>
          <w:szCs w:val="20"/>
        </w:rPr>
        <w:t xml:space="preserve"> [in einer vom Empfänger gemäß Artikel 305 eingereichten Erklärung oder in einer vom Empfänger im Ausland eingereichten gleichartigen Erklärung] enthalten ist.]</w:t>
      </w:r>
    </w:p>
    <w:p w14:paraId="2E19E057" w14:textId="77777777" w:rsidR="007628C1" w:rsidRPr="009118AB" w:rsidRDefault="007628C1" w:rsidP="007628C1">
      <w:pPr>
        <w:autoSpaceDE w:val="0"/>
        <w:autoSpaceDN w:val="0"/>
        <w:adjustRightInd w:val="0"/>
        <w:jc w:val="both"/>
        <w:rPr>
          <w:sz w:val="20"/>
          <w:szCs w:val="20"/>
        </w:rPr>
      </w:pPr>
    </w:p>
    <w:p w14:paraId="31C028C5" w14:textId="24BA3345" w:rsidR="007628C1" w:rsidRPr="009118AB" w:rsidRDefault="007628C1" w:rsidP="007628C1">
      <w:pPr>
        <w:autoSpaceDE w:val="0"/>
        <w:autoSpaceDN w:val="0"/>
        <w:adjustRightInd w:val="0"/>
        <w:jc w:val="both"/>
        <w:rPr>
          <w:sz w:val="20"/>
          <w:szCs w:val="20"/>
        </w:rPr>
      </w:pP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Empfänger spätestens zwei Jahre und sechs Monate ab dem 1. Januar des betreffenden Steuerjahres eindeutig identifiziert worden ist [oder wenn </w:t>
      </w:r>
      <w:r w:rsidR="00C639FE" w:rsidRPr="009118AB">
        <w:rPr>
          <w:sz w:val="20"/>
          <w:szCs w:val="20"/>
        </w:rPr>
        <w:t xml:space="preserve">[der Betrag der in den Artikeln 31 Absatz 2 </w:t>
      </w:r>
      <w:r w:rsidR="00D67EB8" w:rsidRPr="009118AB">
        <w:rPr>
          <w:sz w:val="20"/>
          <w:szCs w:val="20"/>
        </w:rPr>
        <w:t>Nr. </w:t>
      </w:r>
      <w:r w:rsidR="00C639FE" w:rsidRPr="009118AB">
        <w:rPr>
          <w:sz w:val="20"/>
          <w:szCs w:val="20"/>
        </w:rPr>
        <w:t xml:space="preserve">2 und 32 Absatz 2 </w:t>
      </w:r>
      <w:r w:rsidR="00D67EB8" w:rsidRPr="009118AB">
        <w:rPr>
          <w:sz w:val="20"/>
          <w:szCs w:val="20"/>
        </w:rPr>
        <w:t>Nr. </w:t>
      </w:r>
      <w:r w:rsidR="00C639FE" w:rsidRPr="009118AB">
        <w:rPr>
          <w:sz w:val="20"/>
          <w:szCs w:val="20"/>
        </w:rPr>
        <w:t xml:space="preserve">2 erwähnten Vorteile jeglicher Art, der in Artikel 57 Absatz 1 erwähnten Ausgaben oder der in Artikel 17 </w:t>
      </w:r>
      <w:r w:rsidR="00D67EB8" w:rsidRPr="009118AB">
        <w:rPr>
          <w:sz w:val="20"/>
          <w:szCs w:val="20"/>
        </w:rPr>
        <w:t>§ </w:t>
      </w:r>
      <w:r w:rsidR="00C639FE" w:rsidRPr="009118AB">
        <w:rPr>
          <w:sz w:val="20"/>
          <w:szCs w:val="20"/>
        </w:rPr>
        <w:t xml:space="preserve">1 </w:t>
      </w:r>
      <w:r w:rsidR="00D67EB8" w:rsidRPr="009118AB">
        <w:rPr>
          <w:sz w:val="20"/>
          <w:szCs w:val="20"/>
        </w:rPr>
        <w:t>Nr. </w:t>
      </w:r>
      <w:r w:rsidR="00C639FE" w:rsidRPr="009118AB">
        <w:rPr>
          <w:sz w:val="20"/>
          <w:szCs w:val="20"/>
        </w:rPr>
        <w:t xml:space="preserve">3, was Urheberrechte und ähnliche Rechte betrifft, und </w:t>
      </w:r>
      <w:r w:rsidR="00D67EB8" w:rsidRPr="009118AB">
        <w:rPr>
          <w:sz w:val="20"/>
          <w:szCs w:val="20"/>
        </w:rPr>
        <w:t>Nr. </w:t>
      </w:r>
      <w:r w:rsidR="00C639FE" w:rsidRPr="009118AB">
        <w:rPr>
          <w:sz w:val="20"/>
          <w:szCs w:val="20"/>
        </w:rPr>
        <w:t>5 erwähnten Einkünfte]</w:t>
      </w:r>
      <w:r w:rsidRPr="009118AB">
        <w:rPr>
          <w:sz w:val="20"/>
          <w:szCs w:val="20"/>
        </w:rPr>
        <w:t xml:space="preserve"> in einer Veranlagung enthalten ist, die in den in den Artikeln 354 Absatz 1 und 2 und 358 erwähnten Fristen </w:t>
      </w:r>
      <w:r w:rsidR="00B818A6" w:rsidRPr="009118AB">
        <w:rPr>
          <w:sz w:val="20"/>
          <w:szCs w:val="20"/>
        </w:rPr>
        <w:t>[bei einem steuerpflichtigen Empfänger wie in Artikel 305 Absatz 1 erwähnt mit seinem Einverständnis]</w:t>
      </w:r>
      <w:r w:rsidRPr="009118AB">
        <w:rPr>
          <w:sz w:val="20"/>
          <w:szCs w:val="20"/>
        </w:rPr>
        <w:t xml:space="preserve"> festgelegt wird].]</w:t>
      </w:r>
    </w:p>
    <w:p w14:paraId="2B53321C" w14:textId="31B6284D" w:rsidR="007628C1" w:rsidRPr="009118AB" w:rsidRDefault="007628C1" w:rsidP="007628C1">
      <w:pPr>
        <w:autoSpaceDE w:val="0"/>
        <w:autoSpaceDN w:val="0"/>
        <w:adjustRightInd w:val="0"/>
        <w:jc w:val="both"/>
        <w:rPr>
          <w:sz w:val="20"/>
          <w:szCs w:val="20"/>
        </w:rPr>
      </w:pPr>
    </w:p>
    <w:p w14:paraId="3434DA6E" w14:textId="75E46DA3" w:rsidR="007628C1" w:rsidRPr="009118AB" w:rsidRDefault="007628C1" w:rsidP="007628C1">
      <w:pPr>
        <w:autoSpaceDE w:val="0"/>
        <w:autoSpaceDN w:val="0"/>
        <w:adjustRightInd w:val="0"/>
        <w:jc w:val="both"/>
        <w:rPr>
          <w:sz w:val="20"/>
          <w:szCs w:val="20"/>
        </w:rPr>
      </w:pPr>
      <w:r w:rsidRPr="009118AB">
        <w:rPr>
          <w:sz w:val="20"/>
          <w:szCs w:val="20"/>
        </w:rPr>
        <w:t xml:space="preserve">[Wird ein in Absatz 1 </w:t>
      </w:r>
      <w:r w:rsidR="00D67EB8" w:rsidRPr="009118AB">
        <w:rPr>
          <w:sz w:val="20"/>
          <w:szCs w:val="20"/>
        </w:rPr>
        <w:t>Nr. </w:t>
      </w:r>
      <w:r w:rsidRPr="009118AB">
        <w:rPr>
          <w:sz w:val="20"/>
          <w:szCs w:val="20"/>
        </w:rPr>
        <w:t xml:space="preserve">6 erwähntes Fahrzeug einem Dritten zur Nutzung zu persönlichen Zwecken zur Verfügung gestellt, umfassen die in Absatz 1 </w:t>
      </w:r>
      <w:r w:rsidR="00D67EB8" w:rsidRPr="009118AB">
        <w:rPr>
          <w:sz w:val="20"/>
          <w:szCs w:val="20"/>
        </w:rPr>
        <w:t>Nr. </w:t>
      </w:r>
      <w:r w:rsidRPr="009118AB">
        <w:rPr>
          <w:sz w:val="20"/>
          <w:szCs w:val="20"/>
        </w:rPr>
        <w:t>6 erwähnten Kosten nicht den Betrag, der dem zu Lasten dieses Dritten besteuerten Vorteil jeglicher Art entspricht, und die Eigenbeteiligung dieses Dritten für die Nutzung zu persönlichen Zwecken dieses Fahrzeugs.]</w:t>
      </w:r>
    </w:p>
    <w:p w14:paraId="33E8EC21" w14:textId="77777777" w:rsidR="007628C1" w:rsidRPr="009118AB" w:rsidRDefault="007628C1" w:rsidP="007628C1">
      <w:pPr>
        <w:autoSpaceDE w:val="0"/>
        <w:autoSpaceDN w:val="0"/>
        <w:adjustRightInd w:val="0"/>
        <w:jc w:val="both"/>
        <w:rPr>
          <w:bCs/>
          <w:iCs/>
          <w:sz w:val="20"/>
          <w:szCs w:val="20"/>
        </w:rPr>
      </w:pPr>
    </w:p>
    <w:p w14:paraId="4CEB84AB" w14:textId="4BAFE640" w:rsidR="007628C1" w:rsidRPr="009118AB" w:rsidRDefault="007628C1" w:rsidP="007628C1">
      <w:pPr>
        <w:autoSpaceDE w:val="0"/>
        <w:autoSpaceDN w:val="0"/>
        <w:adjustRightInd w:val="0"/>
        <w:jc w:val="both"/>
        <w:rPr>
          <w:spacing w:val="-2"/>
          <w:sz w:val="20"/>
          <w:szCs w:val="20"/>
        </w:rPr>
      </w:pPr>
      <w:r w:rsidRPr="009118AB">
        <w:rPr>
          <w:bCs/>
          <w:i/>
          <w:iCs/>
          <w:spacing w:val="-2"/>
          <w:sz w:val="20"/>
          <w:szCs w:val="20"/>
        </w:rPr>
        <w:t>[</w:t>
      </w:r>
      <w:r w:rsidR="00D67EB8" w:rsidRPr="009118AB">
        <w:rPr>
          <w:bCs/>
          <w:i/>
          <w:iCs/>
          <w:spacing w:val="-2"/>
          <w:sz w:val="20"/>
          <w:szCs w:val="20"/>
        </w:rPr>
        <w:t>Art. </w:t>
      </w:r>
      <w:r w:rsidRPr="009118AB">
        <w:rPr>
          <w:bCs/>
          <w:i/>
          <w:iCs/>
          <w:spacing w:val="-2"/>
          <w:sz w:val="20"/>
          <w:szCs w:val="20"/>
        </w:rPr>
        <w:t xml:space="preserve">223 </w:t>
      </w:r>
      <w:r w:rsidR="00D67EB8" w:rsidRPr="009118AB">
        <w:rPr>
          <w:bCs/>
          <w:i/>
          <w:iCs/>
          <w:spacing w:val="-2"/>
          <w:sz w:val="20"/>
          <w:szCs w:val="20"/>
        </w:rPr>
        <w:t>Abs. </w:t>
      </w:r>
      <w:r w:rsidRPr="009118AB">
        <w:rPr>
          <w:bCs/>
          <w:i/>
          <w:iCs/>
          <w:spacing w:val="-2"/>
          <w:sz w:val="20"/>
          <w:szCs w:val="20"/>
        </w:rPr>
        <w:t xml:space="preserve">1 </w:t>
      </w:r>
      <w:r w:rsidR="00D67EB8" w:rsidRPr="009118AB">
        <w:rPr>
          <w:bCs/>
          <w:i/>
          <w:iCs/>
          <w:spacing w:val="-2"/>
          <w:sz w:val="20"/>
          <w:szCs w:val="20"/>
        </w:rPr>
        <w:t>Nr. </w:t>
      </w:r>
      <w:r w:rsidRPr="009118AB">
        <w:rPr>
          <w:bCs/>
          <w:i/>
          <w:iCs/>
          <w:spacing w:val="-2"/>
          <w:sz w:val="20"/>
          <w:szCs w:val="20"/>
        </w:rPr>
        <w:t xml:space="preserve">1 abgeändert durch </w:t>
      </w:r>
      <w:r w:rsidR="00D67EB8" w:rsidRPr="009118AB">
        <w:rPr>
          <w:bCs/>
          <w:i/>
          <w:iCs/>
          <w:spacing w:val="-2"/>
          <w:sz w:val="20"/>
          <w:szCs w:val="20"/>
        </w:rPr>
        <w:t>Art. </w:t>
      </w:r>
      <w:r w:rsidRPr="009118AB">
        <w:rPr>
          <w:bCs/>
          <w:i/>
          <w:iCs/>
          <w:spacing w:val="-2"/>
          <w:sz w:val="20"/>
          <w:szCs w:val="20"/>
        </w:rPr>
        <w:t>21 des G.</w:t>
      </w:r>
      <w:r w:rsidR="003B6CED" w:rsidRPr="009118AB">
        <w:rPr>
          <w:bCs/>
          <w:i/>
          <w:iCs/>
          <w:spacing w:val="-2"/>
          <w:sz w:val="20"/>
          <w:szCs w:val="20"/>
        </w:rPr>
        <w:t> </w:t>
      </w:r>
      <w:r w:rsidRPr="009118AB">
        <w:rPr>
          <w:bCs/>
          <w:i/>
          <w:iCs/>
          <w:spacing w:val="-2"/>
          <w:sz w:val="20"/>
          <w:szCs w:val="20"/>
        </w:rPr>
        <w:t>(I) vom 27. Dezember 2006 (I) (B.S. vom 28. Dezember 2006)</w:t>
      </w:r>
      <w:r w:rsidR="00D67EB8" w:rsidRPr="009118AB">
        <w:rPr>
          <w:bCs/>
          <w:i/>
          <w:iCs/>
          <w:spacing w:val="-2"/>
          <w:sz w:val="20"/>
          <w:szCs w:val="20"/>
        </w:rPr>
        <w:t> - </w:t>
      </w:r>
      <w:r w:rsidRPr="009118AB">
        <w:rPr>
          <w:bCs/>
          <w:i/>
          <w:iCs/>
          <w:spacing w:val="-2"/>
          <w:sz w:val="20"/>
          <w:szCs w:val="20"/>
        </w:rPr>
        <w:t>anwendbar ab dem Steuerjahr 2007</w:t>
      </w:r>
      <w:r w:rsidR="00FD68E8" w:rsidRPr="009118AB">
        <w:rPr>
          <w:bCs/>
          <w:i/>
          <w:iCs/>
          <w:spacing w:val="-2"/>
          <w:sz w:val="20"/>
          <w:szCs w:val="20"/>
        </w:rPr>
        <w:t> -,</w:t>
      </w:r>
      <w:r w:rsidRPr="009118AB">
        <w:rPr>
          <w:bCs/>
          <w:i/>
          <w:iCs/>
          <w:spacing w:val="-2"/>
          <w:sz w:val="20"/>
          <w:szCs w:val="20"/>
        </w:rPr>
        <w:t xml:space="preserve"> </w:t>
      </w:r>
      <w:r w:rsidR="00D67EB8" w:rsidRPr="009118AB">
        <w:rPr>
          <w:bCs/>
          <w:i/>
          <w:iCs/>
          <w:spacing w:val="-2"/>
          <w:sz w:val="20"/>
          <w:szCs w:val="20"/>
        </w:rPr>
        <w:t>Art. </w:t>
      </w:r>
      <w:r w:rsidRPr="009118AB">
        <w:rPr>
          <w:bCs/>
          <w:i/>
          <w:iCs/>
          <w:spacing w:val="-2"/>
          <w:sz w:val="20"/>
          <w:szCs w:val="20"/>
        </w:rPr>
        <w:t>71 Buchstabe</w:t>
      </w:r>
      <w:r w:rsidRPr="009118AB">
        <w:rPr>
          <w:rFonts w:hint="eastAsia"/>
          <w:bCs/>
          <w:i/>
          <w:iCs/>
          <w:spacing w:val="-2"/>
          <w:sz w:val="20"/>
          <w:szCs w:val="20"/>
        </w:rPr>
        <w:t> </w:t>
      </w:r>
      <w:r w:rsidRPr="009118AB">
        <w:rPr>
          <w:bCs/>
          <w:i/>
          <w:iCs/>
          <w:spacing w:val="-2"/>
          <w:sz w:val="20"/>
          <w:szCs w:val="20"/>
        </w:rPr>
        <w:t xml:space="preserve">a) des G. vom 27. Juni 2021 (B.S. </w:t>
      </w:r>
      <w:r w:rsidRPr="009118AB">
        <w:rPr>
          <w:bCs/>
          <w:i/>
          <w:iCs/>
          <w:spacing w:val="-2"/>
          <w:sz w:val="20"/>
          <w:szCs w:val="20"/>
        </w:rPr>
        <w:lastRenderedPageBreak/>
        <w:t>vom 30. Juni 2021)</w:t>
      </w:r>
      <w:r w:rsidR="00CA61DC" w:rsidRPr="009118AB">
        <w:rPr>
          <w:bCs/>
          <w:i/>
          <w:iCs/>
          <w:spacing w:val="-2"/>
          <w:sz w:val="20"/>
          <w:szCs w:val="20"/>
        </w:rPr>
        <w:t>,</w:t>
      </w:r>
      <w:r w:rsidR="00C639FE" w:rsidRPr="009118AB">
        <w:rPr>
          <w:bCs/>
          <w:i/>
          <w:iCs/>
          <w:spacing w:val="-2"/>
          <w:sz w:val="20"/>
          <w:szCs w:val="20"/>
        </w:rPr>
        <w:t xml:space="preserve"> </w:t>
      </w:r>
      <w:r w:rsidR="00D67EB8" w:rsidRPr="009118AB">
        <w:rPr>
          <w:bCs/>
          <w:i/>
          <w:iCs/>
          <w:spacing w:val="-2"/>
          <w:sz w:val="20"/>
          <w:szCs w:val="20"/>
        </w:rPr>
        <w:t>Art. </w:t>
      </w:r>
      <w:r w:rsidR="00C639FE" w:rsidRPr="009118AB">
        <w:rPr>
          <w:bCs/>
          <w:i/>
          <w:iCs/>
          <w:spacing w:val="-2"/>
          <w:sz w:val="20"/>
          <w:szCs w:val="20"/>
        </w:rPr>
        <w:t xml:space="preserve">47 </w:t>
      </w:r>
      <w:r w:rsidR="00D67EB8" w:rsidRPr="009118AB">
        <w:rPr>
          <w:bCs/>
          <w:i/>
          <w:iCs/>
          <w:spacing w:val="-2"/>
          <w:sz w:val="20"/>
          <w:szCs w:val="20"/>
        </w:rPr>
        <w:t>Nr. </w:t>
      </w:r>
      <w:r w:rsidR="00C639FE" w:rsidRPr="009118AB">
        <w:rPr>
          <w:bCs/>
          <w:i/>
          <w:iCs/>
          <w:spacing w:val="-2"/>
          <w:sz w:val="20"/>
          <w:szCs w:val="20"/>
        </w:rPr>
        <w:t>1 des G. vom 21.</w:t>
      </w:r>
      <w:r w:rsidR="00B4335E" w:rsidRPr="009118AB">
        <w:rPr>
          <w:bCs/>
          <w:i/>
          <w:iCs/>
          <w:spacing w:val="-2"/>
          <w:sz w:val="20"/>
          <w:szCs w:val="20"/>
        </w:rPr>
        <w:t> </w:t>
      </w:r>
      <w:r w:rsidR="00C639FE" w:rsidRPr="009118AB">
        <w:rPr>
          <w:bCs/>
          <w:i/>
          <w:iCs/>
          <w:spacing w:val="-2"/>
          <w:sz w:val="20"/>
          <w:szCs w:val="20"/>
        </w:rPr>
        <w:t>Januar</w:t>
      </w:r>
      <w:r w:rsidR="00B4335E" w:rsidRPr="009118AB">
        <w:rPr>
          <w:bCs/>
          <w:i/>
          <w:iCs/>
          <w:spacing w:val="-2"/>
          <w:sz w:val="20"/>
          <w:szCs w:val="20"/>
        </w:rPr>
        <w:t> </w:t>
      </w:r>
      <w:r w:rsidR="00C639FE" w:rsidRPr="009118AB">
        <w:rPr>
          <w:bCs/>
          <w:i/>
          <w:iCs/>
          <w:spacing w:val="-2"/>
          <w:sz w:val="20"/>
          <w:szCs w:val="20"/>
        </w:rPr>
        <w:t>2022 (B.S. vom 28.</w:t>
      </w:r>
      <w:r w:rsidR="00B4335E" w:rsidRPr="009118AB">
        <w:rPr>
          <w:bCs/>
          <w:i/>
          <w:iCs/>
          <w:spacing w:val="-2"/>
          <w:sz w:val="20"/>
          <w:szCs w:val="20"/>
        </w:rPr>
        <w:t> </w:t>
      </w:r>
      <w:r w:rsidR="00C639FE" w:rsidRPr="009118AB">
        <w:rPr>
          <w:bCs/>
          <w:i/>
          <w:iCs/>
          <w:spacing w:val="-2"/>
          <w:sz w:val="20"/>
          <w:szCs w:val="20"/>
        </w:rPr>
        <w:t>Januar</w:t>
      </w:r>
      <w:r w:rsidR="00B4335E" w:rsidRPr="009118AB">
        <w:rPr>
          <w:bCs/>
          <w:i/>
          <w:iCs/>
          <w:spacing w:val="-2"/>
          <w:sz w:val="20"/>
          <w:szCs w:val="20"/>
        </w:rPr>
        <w:t> </w:t>
      </w:r>
      <w:r w:rsidR="00C639FE" w:rsidRPr="009118AB">
        <w:rPr>
          <w:bCs/>
          <w:i/>
          <w:iCs/>
          <w:spacing w:val="-2"/>
          <w:sz w:val="20"/>
          <w:szCs w:val="20"/>
        </w:rPr>
        <w:t>2022)</w:t>
      </w:r>
      <w:r w:rsidR="00D67EB8" w:rsidRPr="009118AB">
        <w:rPr>
          <w:bCs/>
          <w:i/>
          <w:iCs/>
          <w:spacing w:val="-2"/>
          <w:sz w:val="20"/>
          <w:szCs w:val="20"/>
        </w:rPr>
        <w:t> - </w:t>
      </w:r>
      <w:r w:rsidR="00C639FE" w:rsidRPr="009118AB">
        <w:rPr>
          <w:bCs/>
          <w:i/>
          <w:iCs/>
          <w:spacing w:val="-2"/>
          <w:sz w:val="20"/>
          <w:szCs w:val="20"/>
        </w:rPr>
        <w:t>anwendbar auf Einkünfte, die ab dem 1. Januar 2021 während eines Besteuerungszeitraums gezahlt oder zuerkannt werden, der frühestens an das Steuerjahr 2022 gebunden ist</w:t>
      </w:r>
      <w:r w:rsidR="003366D9" w:rsidRPr="009118AB">
        <w:rPr>
          <w:bCs/>
          <w:i/>
          <w:iCs/>
          <w:spacing w:val="-2"/>
          <w:sz w:val="20"/>
          <w:szCs w:val="20"/>
        </w:rPr>
        <w:t> -</w:t>
      </w:r>
      <w:r w:rsidR="00CA61DC" w:rsidRPr="009118AB">
        <w:rPr>
          <w:bCs/>
          <w:i/>
          <w:iCs/>
          <w:spacing w:val="-2"/>
          <w:sz w:val="20"/>
          <w:szCs w:val="20"/>
        </w:rPr>
        <w:t xml:space="preserve"> und Art. 26 des G. vom 21. Dezember 2022 (II) (B.S. vom 29. Dezember 2022) - in Kraft am 1. Januar 2023 -</w:t>
      </w:r>
      <w:r w:rsidR="003366D9" w:rsidRPr="009118AB">
        <w:rPr>
          <w:bCs/>
          <w:i/>
          <w:iCs/>
          <w:spacing w:val="-2"/>
          <w:sz w:val="20"/>
          <w:szCs w:val="20"/>
        </w:rPr>
        <w:t>;</w:t>
      </w:r>
      <w:r w:rsidRPr="009118AB">
        <w:rPr>
          <w:bCs/>
          <w:i/>
          <w:iCs/>
          <w:spacing w:val="-2"/>
          <w:sz w:val="20"/>
          <w:szCs w:val="20"/>
        </w:rPr>
        <w:t xml:space="preserve"> </w:t>
      </w:r>
      <w:r w:rsidR="00D67EB8" w:rsidRPr="009118AB">
        <w:rPr>
          <w:bCs/>
          <w:i/>
          <w:iCs/>
          <w:spacing w:val="-2"/>
          <w:sz w:val="20"/>
          <w:szCs w:val="20"/>
        </w:rPr>
        <w:t>Abs. </w:t>
      </w:r>
      <w:r w:rsidRPr="009118AB">
        <w:rPr>
          <w:bCs/>
          <w:i/>
          <w:iCs/>
          <w:spacing w:val="-2"/>
          <w:sz w:val="20"/>
          <w:szCs w:val="20"/>
        </w:rPr>
        <w:t xml:space="preserve">1 </w:t>
      </w:r>
      <w:r w:rsidR="00D67EB8" w:rsidRPr="009118AB">
        <w:rPr>
          <w:bCs/>
          <w:i/>
          <w:iCs/>
          <w:spacing w:val="-2"/>
          <w:sz w:val="20"/>
          <w:szCs w:val="20"/>
        </w:rPr>
        <w:t>Nr. </w:t>
      </w:r>
      <w:r w:rsidRPr="009118AB">
        <w:rPr>
          <w:bCs/>
          <w:i/>
          <w:iCs/>
          <w:spacing w:val="-2"/>
          <w:sz w:val="20"/>
          <w:szCs w:val="20"/>
        </w:rPr>
        <w:t>2 ersetzt</w:t>
      </w:r>
      <w:r w:rsidRPr="009118AB">
        <w:rPr>
          <w:bCs/>
          <w:iCs/>
          <w:spacing w:val="-2"/>
          <w:sz w:val="20"/>
          <w:szCs w:val="20"/>
        </w:rPr>
        <w:t xml:space="preserve"> </w:t>
      </w:r>
      <w:r w:rsidRPr="009118AB">
        <w:rPr>
          <w:bCs/>
          <w:i/>
          <w:iCs/>
          <w:spacing w:val="-2"/>
          <w:sz w:val="20"/>
          <w:szCs w:val="20"/>
        </w:rPr>
        <w:t xml:space="preserve">durch </w:t>
      </w:r>
      <w:r w:rsidR="00D67EB8" w:rsidRPr="009118AB">
        <w:rPr>
          <w:bCs/>
          <w:i/>
          <w:iCs/>
          <w:spacing w:val="-2"/>
          <w:sz w:val="20"/>
          <w:szCs w:val="20"/>
        </w:rPr>
        <w:t>Art. </w:t>
      </w:r>
      <w:r w:rsidRPr="009118AB">
        <w:rPr>
          <w:bCs/>
          <w:i/>
          <w:iCs/>
          <w:spacing w:val="-2"/>
          <w:sz w:val="20"/>
          <w:szCs w:val="20"/>
        </w:rPr>
        <w:t xml:space="preserve">178 </w:t>
      </w:r>
      <w:r w:rsidR="00D67EB8" w:rsidRPr="009118AB">
        <w:rPr>
          <w:bCs/>
          <w:i/>
          <w:iCs/>
          <w:spacing w:val="-2"/>
          <w:sz w:val="20"/>
          <w:szCs w:val="20"/>
        </w:rPr>
        <w:t>Nr. </w:t>
      </w:r>
      <w:r w:rsidRPr="009118AB">
        <w:rPr>
          <w:bCs/>
          <w:i/>
          <w:iCs/>
          <w:spacing w:val="-2"/>
          <w:sz w:val="20"/>
          <w:szCs w:val="20"/>
        </w:rPr>
        <w:t>1 des G. vom 27. Dezember 2005 (II) (B.S. vom 30. Dezember 2005)</w:t>
      </w:r>
      <w:r w:rsidR="00D67EB8" w:rsidRPr="009118AB">
        <w:rPr>
          <w:bCs/>
          <w:i/>
          <w:iCs/>
          <w:spacing w:val="-2"/>
          <w:sz w:val="20"/>
          <w:szCs w:val="20"/>
        </w:rPr>
        <w:t> - </w:t>
      </w:r>
      <w:r w:rsidRPr="009118AB">
        <w:rPr>
          <w:bCs/>
          <w:i/>
          <w:iCs/>
          <w:spacing w:val="-2"/>
          <w:sz w:val="20"/>
          <w:szCs w:val="20"/>
        </w:rPr>
        <w:t xml:space="preserve">anwendbar auf die ab dem 1. Januar 2006 gezahlten </w:t>
      </w:r>
      <w:r w:rsidRPr="009118AB">
        <w:rPr>
          <w:rFonts w:ascii="Times New Roman Italique" w:hAnsi="Times New Roman Italique"/>
          <w:bCs/>
          <w:i/>
          <w:iCs/>
          <w:spacing w:val="-2"/>
          <w:sz w:val="20"/>
          <w:szCs w:val="20"/>
        </w:rPr>
        <w:t>Prämien und Beiträge</w:t>
      </w:r>
      <w:r w:rsidR="003366D9" w:rsidRPr="009118AB">
        <w:rPr>
          <w:rFonts w:ascii="Times New Roman Italique" w:hAnsi="Times New Roman Italique"/>
          <w:bCs/>
          <w:i/>
          <w:iCs/>
          <w:spacing w:val="-2"/>
          <w:sz w:val="20"/>
          <w:szCs w:val="20"/>
        </w:rPr>
        <w:t> -;</w:t>
      </w:r>
      <w:r w:rsidRPr="009118AB">
        <w:rPr>
          <w:rFonts w:ascii="Times New Roman Italique" w:hAnsi="Times New Roman Italique"/>
          <w:bCs/>
          <w:i/>
          <w:iCs/>
          <w:spacing w:val="-2"/>
          <w:sz w:val="20"/>
          <w:szCs w:val="20"/>
        </w:rPr>
        <w:t xml:space="preserve">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3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 xml:space="preserve">47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1 des G. vom 15. Dezember 2004 (B.S. vom 1. Februar 2005)</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Aktien- oder Anteilverleihe, die ab dem 14. April 1999 abgeschlossen werden</w:t>
      </w:r>
      <w:r w:rsidR="00FD68E8" w:rsidRPr="009118AB">
        <w:rPr>
          <w:rFonts w:ascii="Times New Roman Italique" w:hAnsi="Times New Roman Italique"/>
          <w:bCs/>
          <w:i/>
          <w:iCs/>
          <w:spacing w:val="-2"/>
          <w:sz w:val="20"/>
          <w:szCs w:val="20"/>
        </w:rPr>
        <w:t> </w:t>
      </w:r>
      <w:r w:rsidR="00FD68E8" w:rsidRPr="009118AB">
        <w:rPr>
          <w:rFonts w:ascii="Times New Roman Italique" w:hAnsi="Times New Roman Italique" w:hint="eastAsia"/>
          <w:bCs/>
          <w:i/>
          <w:iCs/>
          <w:spacing w:val="-2"/>
          <w:sz w:val="20"/>
          <w:szCs w:val="20"/>
        </w:rPr>
        <w:t>-,</w:t>
      </w:r>
      <w:r w:rsidRPr="009118AB">
        <w:rPr>
          <w:bCs/>
          <w:i/>
          <w:iCs/>
          <w:spacing w:val="-2"/>
          <w:sz w:val="20"/>
          <w:szCs w:val="20"/>
        </w:rPr>
        <w:t xml:space="preserve"> aufgehoben durch </w:t>
      </w:r>
      <w:r w:rsidR="00D67EB8" w:rsidRPr="009118AB">
        <w:rPr>
          <w:bCs/>
          <w:i/>
          <w:iCs/>
          <w:spacing w:val="-2"/>
          <w:sz w:val="20"/>
          <w:szCs w:val="20"/>
        </w:rPr>
        <w:t>Art. </w:t>
      </w:r>
      <w:r w:rsidRPr="009118AB">
        <w:rPr>
          <w:bCs/>
          <w:i/>
          <w:iCs/>
          <w:spacing w:val="-2"/>
          <w:sz w:val="20"/>
          <w:szCs w:val="20"/>
        </w:rPr>
        <w:t xml:space="preserve">47 </w:t>
      </w:r>
      <w:r w:rsidR="00D67EB8" w:rsidRPr="009118AB">
        <w:rPr>
          <w:bCs/>
          <w:i/>
          <w:iCs/>
          <w:spacing w:val="-2"/>
          <w:sz w:val="20"/>
          <w:szCs w:val="20"/>
        </w:rPr>
        <w:t>Nr. </w:t>
      </w:r>
      <w:r w:rsidRPr="009118AB">
        <w:rPr>
          <w:bCs/>
          <w:i/>
          <w:iCs/>
          <w:spacing w:val="-2"/>
          <w:sz w:val="20"/>
          <w:szCs w:val="20"/>
        </w:rPr>
        <w:t>2 des G. vom 15. Dezember 2004 (B.S. vom 1. Februar 2005)</w:t>
      </w:r>
      <w:r w:rsidR="00D67EB8" w:rsidRPr="009118AB">
        <w:rPr>
          <w:bCs/>
          <w:i/>
          <w:iCs/>
          <w:spacing w:val="-2"/>
          <w:sz w:val="20"/>
          <w:szCs w:val="20"/>
        </w:rPr>
        <w:t> - </w:t>
      </w:r>
      <w:r w:rsidRPr="009118AB">
        <w:rPr>
          <w:bCs/>
          <w:i/>
          <w:iCs/>
          <w:spacing w:val="-2"/>
          <w:sz w:val="20"/>
          <w:szCs w:val="20"/>
        </w:rPr>
        <w:t>anwendbar auf Aktien- oder Anteilverleihe, die ab dem 1. Februar 2005 abgeschlossen werden</w:t>
      </w:r>
      <w:r w:rsidR="00D67EB8" w:rsidRPr="009118AB">
        <w:rPr>
          <w:bCs/>
          <w:i/>
          <w:iCs/>
          <w:spacing w:val="-2"/>
          <w:sz w:val="20"/>
          <w:szCs w:val="20"/>
        </w:rPr>
        <w:t> - </w:t>
      </w:r>
      <w:r w:rsidRPr="009118AB">
        <w:rPr>
          <w:bCs/>
          <w:i/>
          <w:iCs/>
          <w:spacing w:val="-2"/>
          <w:sz w:val="20"/>
          <w:szCs w:val="20"/>
        </w:rPr>
        <w:t xml:space="preserve">und wieder aufgenommen durch </w:t>
      </w:r>
      <w:r w:rsidR="00D67EB8" w:rsidRPr="009118AB">
        <w:rPr>
          <w:bCs/>
          <w:i/>
          <w:iCs/>
          <w:spacing w:val="-2"/>
          <w:sz w:val="20"/>
          <w:szCs w:val="20"/>
        </w:rPr>
        <w:t>Art. </w:t>
      </w:r>
      <w:r w:rsidRPr="009118AB">
        <w:rPr>
          <w:bCs/>
          <w:i/>
          <w:iCs/>
          <w:spacing w:val="-2"/>
          <w:sz w:val="20"/>
          <w:szCs w:val="20"/>
        </w:rPr>
        <w:t>13 des G. vom 11. Mai 2007 (B.S. vom 8. Juni 2007)</w:t>
      </w:r>
      <w:r w:rsidR="00D67EB8" w:rsidRPr="009118AB">
        <w:rPr>
          <w:bCs/>
          <w:i/>
          <w:iCs/>
          <w:spacing w:val="-2"/>
          <w:sz w:val="20"/>
          <w:szCs w:val="20"/>
        </w:rPr>
        <w:t> - </w:t>
      </w:r>
      <w:r w:rsidRPr="009118AB">
        <w:rPr>
          <w:bCs/>
          <w:i/>
          <w:iCs/>
          <w:spacing w:val="-2"/>
          <w:sz w:val="20"/>
          <w:szCs w:val="20"/>
        </w:rPr>
        <w:t>in Kraft ab dem 8. Juni 2007</w:t>
      </w:r>
      <w:r w:rsidR="003366D9" w:rsidRPr="009118AB">
        <w:rPr>
          <w:bCs/>
          <w:i/>
          <w:iCs/>
          <w:spacing w:val="-2"/>
          <w:sz w:val="20"/>
          <w:szCs w:val="20"/>
        </w:rPr>
        <w:t> -;</w:t>
      </w:r>
      <w:r w:rsidRPr="009118AB">
        <w:rPr>
          <w:bCs/>
          <w:i/>
          <w:iCs/>
          <w:spacing w:val="-2"/>
          <w:sz w:val="20"/>
          <w:szCs w:val="20"/>
        </w:rPr>
        <w:t xml:space="preserve"> </w:t>
      </w:r>
      <w:r w:rsidR="00D67EB8" w:rsidRPr="009118AB">
        <w:rPr>
          <w:bCs/>
          <w:i/>
          <w:iCs/>
          <w:spacing w:val="-2"/>
          <w:sz w:val="20"/>
          <w:szCs w:val="20"/>
        </w:rPr>
        <w:t>Abs. </w:t>
      </w:r>
      <w:r w:rsidRPr="009118AB">
        <w:rPr>
          <w:bCs/>
          <w:i/>
          <w:iCs/>
          <w:spacing w:val="-2"/>
          <w:sz w:val="20"/>
          <w:szCs w:val="20"/>
        </w:rPr>
        <w:t xml:space="preserve">1 </w:t>
      </w:r>
      <w:r w:rsidR="00D67EB8" w:rsidRPr="009118AB">
        <w:rPr>
          <w:bCs/>
          <w:i/>
          <w:iCs/>
          <w:spacing w:val="-2"/>
          <w:sz w:val="20"/>
          <w:szCs w:val="20"/>
        </w:rPr>
        <w:t>Nr. </w:t>
      </w:r>
      <w:r w:rsidRPr="009118AB">
        <w:rPr>
          <w:bCs/>
          <w:i/>
          <w:iCs/>
          <w:spacing w:val="-2"/>
          <w:sz w:val="20"/>
          <w:szCs w:val="20"/>
        </w:rPr>
        <w:t xml:space="preserve">4 eingefügt </w:t>
      </w:r>
      <w:r w:rsidRPr="009118AB">
        <w:rPr>
          <w:i/>
          <w:iCs/>
          <w:spacing w:val="-2"/>
          <w:sz w:val="20"/>
          <w:szCs w:val="20"/>
        </w:rPr>
        <w:t xml:space="preserve">durch </w:t>
      </w:r>
      <w:r w:rsidR="00D67EB8" w:rsidRPr="009118AB">
        <w:rPr>
          <w:i/>
          <w:iCs/>
          <w:spacing w:val="-2"/>
          <w:sz w:val="20"/>
          <w:szCs w:val="20"/>
        </w:rPr>
        <w:t>Art. </w:t>
      </w:r>
      <w:r w:rsidRPr="009118AB">
        <w:rPr>
          <w:i/>
          <w:iCs/>
          <w:spacing w:val="-2"/>
          <w:sz w:val="20"/>
          <w:szCs w:val="20"/>
        </w:rPr>
        <w:t>47</w:t>
      </w:r>
      <w:r w:rsidRPr="009118AB">
        <w:rPr>
          <w:i/>
          <w:spacing w:val="-2"/>
          <w:sz w:val="20"/>
          <w:szCs w:val="20"/>
        </w:rPr>
        <w:t xml:space="preserve"> </w:t>
      </w:r>
      <w:r w:rsidRPr="009118AB">
        <w:rPr>
          <w:bCs/>
          <w:i/>
          <w:spacing w:val="-2"/>
          <w:sz w:val="20"/>
          <w:szCs w:val="20"/>
        </w:rPr>
        <w:t>des G. vom 28. Dezember 2011 (B.S. vom 30. Dezember 2011)</w:t>
      </w:r>
      <w:r w:rsidR="00D67EB8" w:rsidRPr="009118AB">
        <w:rPr>
          <w:bCs/>
          <w:i/>
          <w:spacing w:val="-2"/>
          <w:sz w:val="20"/>
          <w:szCs w:val="20"/>
        </w:rPr>
        <w:t> - </w:t>
      </w:r>
      <w:r w:rsidRPr="009118AB">
        <w:rPr>
          <w:i/>
          <w:iCs/>
          <w:spacing w:val="-2"/>
          <w:sz w:val="20"/>
          <w:szCs w:val="20"/>
        </w:rPr>
        <w:t>anwendbar auf die ab dem 1. Januar 2012 zuerkannten Vorteile jeglicher Art</w:t>
      </w:r>
      <w:r w:rsidR="00FD68E8" w:rsidRPr="009118AB">
        <w:rPr>
          <w:i/>
          <w:iCs/>
          <w:spacing w:val="-2"/>
          <w:sz w:val="20"/>
          <w:szCs w:val="20"/>
        </w:rPr>
        <w:t> -,</w:t>
      </w:r>
      <w:r w:rsidRPr="009118AB">
        <w:rPr>
          <w:i/>
          <w:iCs/>
          <w:spacing w:val="-2"/>
          <w:sz w:val="20"/>
          <w:szCs w:val="20"/>
        </w:rPr>
        <w:t xml:space="preserve"> ersetzt durch </w:t>
      </w:r>
      <w:r w:rsidR="00D67EB8" w:rsidRPr="009118AB">
        <w:rPr>
          <w:i/>
          <w:iCs/>
          <w:spacing w:val="-2"/>
          <w:sz w:val="20"/>
          <w:szCs w:val="20"/>
        </w:rPr>
        <w:t>Art. </w:t>
      </w:r>
      <w:r w:rsidRPr="009118AB">
        <w:rPr>
          <w:i/>
          <w:iCs/>
          <w:spacing w:val="-2"/>
          <w:sz w:val="20"/>
          <w:szCs w:val="20"/>
        </w:rPr>
        <w:t>69 Buchstabe a)</w:t>
      </w:r>
      <w:r w:rsidRPr="009118AB">
        <w:rPr>
          <w:i/>
          <w:spacing w:val="-2"/>
          <w:sz w:val="20"/>
          <w:szCs w:val="20"/>
        </w:rPr>
        <w:t xml:space="preserve"> des G. vom 25. Dezember 2016 (I) (B.S. vom 29. Dezember 2016)</w:t>
      </w:r>
      <w:r w:rsidR="00D67EB8" w:rsidRPr="009118AB">
        <w:rPr>
          <w:i/>
          <w:spacing w:val="-2"/>
          <w:sz w:val="20"/>
          <w:szCs w:val="20"/>
        </w:rPr>
        <w:t> - </w:t>
      </w:r>
      <w:r w:rsidRPr="009118AB">
        <w:rPr>
          <w:i/>
          <w:spacing w:val="-2"/>
          <w:sz w:val="20"/>
          <w:szCs w:val="20"/>
        </w:rPr>
        <w:t>in Kraft und anwendbar ab dem 1. Januar 2017</w:t>
      </w:r>
      <w:r w:rsidR="00D67EB8" w:rsidRPr="009118AB">
        <w:rPr>
          <w:i/>
          <w:spacing w:val="-2"/>
          <w:sz w:val="20"/>
          <w:szCs w:val="20"/>
        </w:rPr>
        <w:t> - </w:t>
      </w:r>
      <w:r w:rsidR="009A52AE" w:rsidRPr="009118AB">
        <w:rPr>
          <w:bCs/>
          <w:i/>
          <w:iCs/>
          <w:spacing w:val="-2"/>
          <w:sz w:val="20"/>
          <w:szCs w:val="20"/>
        </w:rPr>
        <w:t xml:space="preserve">und abgeändert durch </w:t>
      </w:r>
      <w:r w:rsidR="00D67EB8" w:rsidRPr="009118AB">
        <w:rPr>
          <w:bCs/>
          <w:i/>
          <w:iCs/>
          <w:spacing w:val="-2"/>
          <w:sz w:val="20"/>
          <w:szCs w:val="20"/>
        </w:rPr>
        <w:t>Art. </w:t>
      </w:r>
      <w:r w:rsidR="009A52AE" w:rsidRPr="009118AB">
        <w:rPr>
          <w:bCs/>
          <w:i/>
          <w:iCs/>
          <w:spacing w:val="-2"/>
          <w:sz w:val="20"/>
          <w:szCs w:val="20"/>
        </w:rPr>
        <w:t xml:space="preserve">47 </w:t>
      </w:r>
      <w:r w:rsidR="00D67EB8" w:rsidRPr="009118AB">
        <w:rPr>
          <w:bCs/>
          <w:i/>
          <w:iCs/>
          <w:spacing w:val="-2"/>
          <w:sz w:val="20"/>
          <w:szCs w:val="20"/>
        </w:rPr>
        <w:t>Nr. </w:t>
      </w:r>
      <w:r w:rsidR="009A52AE" w:rsidRPr="009118AB">
        <w:rPr>
          <w:bCs/>
          <w:i/>
          <w:iCs/>
          <w:spacing w:val="-2"/>
          <w:sz w:val="20"/>
          <w:szCs w:val="20"/>
        </w:rPr>
        <w:t>2 des G. vom 21. Januar 2022 (B.S. vom 28. Januar 2022)</w:t>
      </w:r>
      <w:r w:rsidR="00D67EB8" w:rsidRPr="009118AB">
        <w:rPr>
          <w:bCs/>
          <w:i/>
          <w:iCs/>
          <w:spacing w:val="-2"/>
          <w:sz w:val="20"/>
          <w:szCs w:val="20"/>
        </w:rPr>
        <w:t> - </w:t>
      </w:r>
      <w:r w:rsidR="009A52AE" w:rsidRPr="009118AB">
        <w:rPr>
          <w:bCs/>
          <w:i/>
          <w:iCs/>
          <w:spacing w:val="-2"/>
          <w:sz w:val="20"/>
          <w:szCs w:val="20"/>
        </w:rPr>
        <w:t>wirksam mit 1. Januar 2021</w:t>
      </w:r>
      <w:r w:rsidR="003366D9" w:rsidRPr="009118AB">
        <w:rPr>
          <w:bCs/>
          <w:i/>
          <w:iCs/>
          <w:spacing w:val="-2"/>
          <w:sz w:val="20"/>
          <w:szCs w:val="20"/>
        </w:rPr>
        <w:t> -;</w:t>
      </w:r>
      <w:r w:rsidRPr="009118AB">
        <w:rPr>
          <w:i/>
          <w:iCs/>
          <w:spacing w:val="-2"/>
          <w:sz w:val="20"/>
          <w:szCs w:val="20"/>
        </w:rPr>
        <w:t xml:space="preserve"> </w:t>
      </w:r>
      <w:r w:rsidR="00D67EB8" w:rsidRPr="009118AB">
        <w:rPr>
          <w:i/>
          <w:iCs/>
          <w:spacing w:val="-2"/>
          <w:sz w:val="20"/>
          <w:szCs w:val="20"/>
        </w:rPr>
        <w:t>Abs. </w:t>
      </w:r>
      <w:r w:rsidRPr="009118AB">
        <w:rPr>
          <w:i/>
          <w:iCs/>
          <w:spacing w:val="-2"/>
          <w:sz w:val="20"/>
          <w:szCs w:val="20"/>
        </w:rPr>
        <w:t xml:space="preserve">1 </w:t>
      </w:r>
      <w:r w:rsidR="004421E9" w:rsidRPr="009118AB">
        <w:rPr>
          <w:i/>
          <w:iCs/>
          <w:spacing w:val="-2"/>
          <w:sz w:val="20"/>
          <w:szCs w:val="20"/>
        </w:rPr>
        <w:t xml:space="preserve">frühere </w:t>
      </w:r>
      <w:r w:rsidRPr="009118AB">
        <w:rPr>
          <w:i/>
          <w:iCs/>
          <w:spacing w:val="-2"/>
          <w:sz w:val="20"/>
          <w:szCs w:val="20"/>
        </w:rPr>
        <w:t>N</w:t>
      </w:r>
      <w:r w:rsidR="004421E9" w:rsidRPr="009118AB">
        <w:rPr>
          <w:i/>
          <w:iCs/>
          <w:spacing w:val="-2"/>
          <w:sz w:val="20"/>
          <w:szCs w:val="20"/>
        </w:rPr>
        <w:t>ummer</w:t>
      </w:r>
      <w:r w:rsidRPr="009118AB">
        <w:rPr>
          <w:i/>
          <w:iCs/>
          <w:spacing w:val="-2"/>
          <w:sz w:val="20"/>
          <w:szCs w:val="20"/>
        </w:rPr>
        <w:t xml:space="preserve"> 4bis eingefügt durch </w:t>
      </w:r>
      <w:r w:rsidR="00D67EB8" w:rsidRPr="009118AB">
        <w:rPr>
          <w:i/>
          <w:iCs/>
          <w:spacing w:val="-2"/>
          <w:sz w:val="20"/>
          <w:szCs w:val="20"/>
        </w:rPr>
        <w:t>Art. </w:t>
      </w:r>
      <w:r w:rsidRPr="009118AB">
        <w:rPr>
          <w:i/>
          <w:iCs/>
          <w:spacing w:val="-2"/>
          <w:sz w:val="20"/>
          <w:szCs w:val="20"/>
        </w:rPr>
        <w:t xml:space="preserve">31 </w:t>
      </w:r>
      <w:r w:rsidR="00D67EB8" w:rsidRPr="009118AB">
        <w:rPr>
          <w:i/>
          <w:iCs/>
          <w:spacing w:val="-2"/>
          <w:sz w:val="20"/>
          <w:szCs w:val="20"/>
        </w:rPr>
        <w:t>Nr. </w:t>
      </w:r>
      <w:r w:rsidRPr="009118AB">
        <w:rPr>
          <w:i/>
          <w:iCs/>
          <w:spacing w:val="-2"/>
          <w:sz w:val="20"/>
          <w:szCs w:val="20"/>
        </w:rPr>
        <w:t>1</w:t>
      </w:r>
      <w:r w:rsidRPr="009118AB">
        <w:rPr>
          <w:i/>
          <w:spacing w:val="-2"/>
          <w:sz w:val="20"/>
          <w:szCs w:val="20"/>
        </w:rPr>
        <w:t xml:space="preserve"> des G. vom 30. März 2018 (B.S. vom 7. Mai 2018)</w:t>
      </w:r>
      <w:r w:rsidR="00D67EB8" w:rsidRPr="009118AB">
        <w:rPr>
          <w:i/>
          <w:spacing w:val="-2"/>
          <w:sz w:val="20"/>
          <w:szCs w:val="20"/>
        </w:rPr>
        <w:t> - </w:t>
      </w:r>
      <w:r w:rsidRPr="009118AB">
        <w:rPr>
          <w:i/>
          <w:spacing w:val="-2"/>
          <w:sz w:val="20"/>
          <w:szCs w:val="20"/>
        </w:rPr>
        <w:t>in Kraft am 1. Januar 2018</w:t>
      </w:r>
      <w:r w:rsidR="00FD68E8" w:rsidRPr="009118AB">
        <w:rPr>
          <w:i/>
          <w:spacing w:val="-2"/>
          <w:sz w:val="20"/>
          <w:szCs w:val="20"/>
        </w:rPr>
        <w:t> -,</w:t>
      </w:r>
      <w:r w:rsidR="004421E9" w:rsidRPr="009118AB">
        <w:rPr>
          <w:i/>
          <w:spacing w:val="-2"/>
          <w:sz w:val="20"/>
          <w:szCs w:val="20"/>
        </w:rPr>
        <w:t xml:space="preserve"> selbst für nichtig erklärt durch</w:t>
      </w:r>
      <w:r w:rsidR="004421E9" w:rsidRPr="009118AB">
        <w:rPr>
          <w:i/>
          <w:iCs/>
          <w:spacing w:val="-2"/>
          <w:sz w:val="20"/>
          <w:szCs w:val="20"/>
        </w:rPr>
        <w:t xml:space="preserve"> Entscheid </w:t>
      </w:r>
      <w:r w:rsidR="00D67EB8" w:rsidRPr="009118AB">
        <w:rPr>
          <w:i/>
          <w:iCs/>
          <w:spacing w:val="-2"/>
          <w:sz w:val="20"/>
          <w:szCs w:val="20"/>
        </w:rPr>
        <w:t>Nr. </w:t>
      </w:r>
      <w:r w:rsidR="004421E9" w:rsidRPr="009118AB">
        <w:rPr>
          <w:i/>
          <w:iCs/>
          <w:spacing w:val="-2"/>
          <w:sz w:val="20"/>
          <w:szCs w:val="20"/>
        </w:rPr>
        <w:t>11/2020 des Verfassungsgerichtshofes vom 23. Januar 2020 (B.S. vom 24. Februar 2020)</w:t>
      </w:r>
      <w:r w:rsidRPr="009118AB">
        <w:rPr>
          <w:i/>
          <w:spacing w:val="-2"/>
          <w:sz w:val="20"/>
          <w:szCs w:val="20"/>
        </w:rPr>
        <w:t>;</w:t>
      </w:r>
      <w:r w:rsidRPr="009118AB">
        <w:rPr>
          <w:i/>
          <w:iCs/>
          <w:spacing w:val="-2"/>
          <w:sz w:val="20"/>
          <w:szCs w:val="20"/>
        </w:rPr>
        <w:t xml:space="preserve"> </w:t>
      </w:r>
      <w:r w:rsidR="00D67EB8" w:rsidRPr="009118AB">
        <w:rPr>
          <w:i/>
          <w:iCs/>
          <w:spacing w:val="-2"/>
          <w:sz w:val="20"/>
          <w:szCs w:val="20"/>
        </w:rPr>
        <w:t>Abs. </w:t>
      </w:r>
      <w:r w:rsidRPr="009118AB">
        <w:rPr>
          <w:i/>
          <w:iCs/>
          <w:spacing w:val="-2"/>
          <w:sz w:val="20"/>
          <w:szCs w:val="20"/>
        </w:rPr>
        <w:t xml:space="preserve">1 </w:t>
      </w:r>
      <w:r w:rsidR="00D67EB8" w:rsidRPr="009118AB">
        <w:rPr>
          <w:i/>
          <w:iCs/>
          <w:spacing w:val="-2"/>
          <w:sz w:val="20"/>
          <w:szCs w:val="20"/>
        </w:rPr>
        <w:t>Nr. </w:t>
      </w:r>
      <w:r w:rsidRPr="009118AB">
        <w:rPr>
          <w:i/>
          <w:iCs/>
          <w:spacing w:val="-2"/>
          <w:sz w:val="20"/>
          <w:szCs w:val="20"/>
        </w:rPr>
        <w:t xml:space="preserve">5 eingefügt durch </w:t>
      </w:r>
      <w:r w:rsidR="00D67EB8" w:rsidRPr="009118AB">
        <w:rPr>
          <w:i/>
          <w:iCs/>
          <w:spacing w:val="-2"/>
          <w:sz w:val="20"/>
          <w:szCs w:val="20"/>
        </w:rPr>
        <w:t>Art. </w:t>
      </w:r>
      <w:r w:rsidRPr="009118AB">
        <w:rPr>
          <w:i/>
          <w:iCs/>
          <w:spacing w:val="-2"/>
          <w:sz w:val="20"/>
          <w:szCs w:val="20"/>
        </w:rPr>
        <w:t xml:space="preserve">18 </w:t>
      </w:r>
      <w:r w:rsidR="00D67EB8" w:rsidRPr="009118AB">
        <w:rPr>
          <w:i/>
          <w:iCs/>
          <w:spacing w:val="-2"/>
          <w:sz w:val="20"/>
          <w:szCs w:val="20"/>
        </w:rPr>
        <w:t>Nr. </w:t>
      </w:r>
      <w:r w:rsidRPr="009118AB">
        <w:rPr>
          <w:i/>
          <w:iCs/>
          <w:spacing w:val="-2"/>
          <w:sz w:val="20"/>
          <w:szCs w:val="20"/>
        </w:rPr>
        <w:t>1 des G. vom 17. Juni 2013 (B.S. vom 28. Juni 2013)</w:t>
      </w:r>
      <w:r w:rsidR="00D67EB8" w:rsidRPr="009118AB">
        <w:rPr>
          <w:i/>
          <w:iCs/>
          <w:spacing w:val="-2"/>
          <w:sz w:val="20"/>
          <w:szCs w:val="20"/>
        </w:rPr>
        <w:t> - </w:t>
      </w:r>
      <w:r w:rsidRPr="009118AB">
        <w:rPr>
          <w:i/>
          <w:iCs/>
          <w:spacing w:val="-2"/>
          <w:sz w:val="20"/>
          <w:szCs w:val="20"/>
        </w:rPr>
        <w:t>anwendbar ab dem Steuerjahr 2014</w:t>
      </w:r>
      <w:r w:rsidR="00FD68E8" w:rsidRPr="009118AB">
        <w:rPr>
          <w:i/>
          <w:iCs/>
          <w:spacing w:val="-2"/>
          <w:sz w:val="20"/>
          <w:szCs w:val="20"/>
        </w:rPr>
        <w:t> -,</w:t>
      </w:r>
      <w:r w:rsidRPr="009118AB">
        <w:rPr>
          <w:i/>
          <w:iCs/>
          <w:spacing w:val="-2"/>
          <w:sz w:val="20"/>
          <w:szCs w:val="20"/>
        </w:rPr>
        <w:t xml:space="preserve"> aufgehoben durch </w:t>
      </w:r>
      <w:r w:rsidR="00D67EB8" w:rsidRPr="009118AB">
        <w:rPr>
          <w:i/>
          <w:iCs/>
          <w:spacing w:val="-2"/>
          <w:sz w:val="20"/>
          <w:szCs w:val="20"/>
        </w:rPr>
        <w:t>Art. </w:t>
      </w:r>
      <w:r w:rsidRPr="009118AB">
        <w:rPr>
          <w:i/>
          <w:iCs/>
          <w:spacing w:val="-2"/>
          <w:sz w:val="20"/>
          <w:szCs w:val="20"/>
        </w:rPr>
        <w:t xml:space="preserve">31 </w:t>
      </w:r>
      <w:r w:rsidR="00D67EB8" w:rsidRPr="009118AB">
        <w:rPr>
          <w:i/>
          <w:iCs/>
          <w:spacing w:val="-2"/>
          <w:sz w:val="20"/>
          <w:szCs w:val="20"/>
        </w:rPr>
        <w:t>Nr. </w:t>
      </w:r>
      <w:r w:rsidRPr="009118AB">
        <w:rPr>
          <w:i/>
          <w:iCs/>
          <w:spacing w:val="-2"/>
          <w:sz w:val="20"/>
          <w:szCs w:val="20"/>
        </w:rPr>
        <w:t>1 des G. vom 19. Dezember 2014 (B.S. vom 29. Dezember 2014)</w:t>
      </w:r>
      <w:r w:rsidR="00D67EB8" w:rsidRPr="009118AB">
        <w:rPr>
          <w:i/>
          <w:iCs/>
          <w:spacing w:val="-2"/>
          <w:sz w:val="20"/>
          <w:szCs w:val="20"/>
        </w:rPr>
        <w:t> - </w:t>
      </w:r>
      <w:r w:rsidRPr="009118AB">
        <w:rPr>
          <w:i/>
          <w:iCs/>
          <w:spacing w:val="-2"/>
          <w:sz w:val="20"/>
          <w:szCs w:val="20"/>
        </w:rPr>
        <w:t>in Kraft am 29. Dezember 2014 und anwendbar auf alle Rechtsstreite, die an diesem Datum noch nicht endgültig abgeschlossen sind</w:t>
      </w:r>
      <w:r w:rsidR="00FD68E8" w:rsidRPr="009118AB">
        <w:rPr>
          <w:i/>
          <w:iCs/>
          <w:spacing w:val="-2"/>
          <w:sz w:val="20"/>
          <w:szCs w:val="20"/>
        </w:rPr>
        <w:t> -,</w:t>
      </w:r>
      <w:r w:rsidRPr="009118AB">
        <w:rPr>
          <w:i/>
          <w:iCs/>
          <w:spacing w:val="-2"/>
          <w:sz w:val="20"/>
          <w:szCs w:val="20"/>
        </w:rPr>
        <w:t xml:space="preserve"> wieder aufgenommen durch </w:t>
      </w:r>
      <w:r w:rsidR="00D67EB8" w:rsidRPr="009118AB">
        <w:rPr>
          <w:i/>
          <w:iCs/>
          <w:spacing w:val="-2"/>
          <w:sz w:val="20"/>
          <w:szCs w:val="20"/>
        </w:rPr>
        <w:t>Art. </w:t>
      </w:r>
      <w:r w:rsidRPr="009118AB">
        <w:rPr>
          <w:i/>
          <w:iCs/>
          <w:spacing w:val="-2"/>
          <w:sz w:val="20"/>
          <w:szCs w:val="20"/>
        </w:rPr>
        <w:t>69 Buchstabe b)</w:t>
      </w:r>
      <w:r w:rsidRPr="009118AB">
        <w:rPr>
          <w:i/>
          <w:spacing w:val="-2"/>
          <w:sz w:val="20"/>
          <w:szCs w:val="20"/>
        </w:rPr>
        <w:t xml:space="preserve"> des G. vom 25. Dezember 2016 (I) (B.S. vom 29. Dezember 2016)</w:t>
      </w:r>
      <w:r w:rsidR="00D67EB8" w:rsidRPr="009118AB">
        <w:rPr>
          <w:i/>
          <w:spacing w:val="-2"/>
          <w:sz w:val="20"/>
          <w:szCs w:val="20"/>
        </w:rPr>
        <w:t> - </w:t>
      </w:r>
      <w:r w:rsidRPr="009118AB">
        <w:rPr>
          <w:i/>
          <w:spacing w:val="-2"/>
          <w:sz w:val="20"/>
          <w:szCs w:val="20"/>
        </w:rPr>
        <w:t>in Kraft und anwendbar ab dem 1. Januar 2017</w:t>
      </w:r>
      <w:r w:rsidR="00D67EB8" w:rsidRPr="009118AB">
        <w:rPr>
          <w:i/>
          <w:spacing w:val="-2"/>
          <w:sz w:val="20"/>
          <w:szCs w:val="20"/>
        </w:rPr>
        <w:t> - </w:t>
      </w:r>
      <w:r w:rsidR="00B4335E" w:rsidRPr="009118AB">
        <w:rPr>
          <w:bCs/>
          <w:i/>
          <w:iCs/>
          <w:spacing w:val="-2"/>
          <w:sz w:val="20"/>
          <w:szCs w:val="20"/>
        </w:rPr>
        <w:t xml:space="preserve">und abgeändert durch </w:t>
      </w:r>
      <w:r w:rsidR="00D67EB8" w:rsidRPr="009118AB">
        <w:rPr>
          <w:bCs/>
          <w:i/>
          <w:iCs/>
          <w:spacing w:val="-2"/>
          <w:sz w:val="20"/>
          <w:szCs w:val="20"/>
        </w:rPr>
        <w:t>Art. </w:t>
      </w:r>
      <w:r w:rsidR="00B4335E" w:rsidRPr="009118AB">
        <w:rPr>
          <w:bCs/>
          <w:i/>
          <w:iCs/>
          <w:spacing w:val="-2"/>
          <w:sz w:val="20"/>
          <w:szCs w:val="20"/>
        </w:rPr>
        <w:t xml:space="preserve">47 </w:t>
      </w:r>
      <w:r w:rsidR="00D67EB8" w:rsidRPr="009118AB">
        <w:rPr>
          <w:bCs/>
          <w:i/>
          <w:iCs/>
          <w:spacing w:val="-2"/>
          <w:sz w:val="20"/>
          <w:szCs w:val="20"/>
        </w:rPr>
        <w:t>Nr. </w:t>
      </w:r>
      <w:r w:rsidR="00B4335E" w:rsidRPr="009118AB">
        <w:rPr>
          <w:bCs/>
          <w:i/>
          <w:iCs/>
          <w:spacing w:val="-2"/>
          <w:sz w:val="20"/>
          <w:szCs w:val="20"/>
        </w:rPr>
        <w:t>2 des G. vom 21. Januar 2022 (B.S. vom 28. Januar 2022)</w:t>
      </w:r>
      <w:r w:rsidR="00D67EB8" w:rsidRPr="009118AB">
        <w:rPr>
          <w:bCs/>
          <w:i/>
          <w:iCs/>
          <w:spacing w:val="-2"/>
          <w:sz w:val="20"/>
          <w:szCs w:val="20"/>
        </w:rPr>
        <w:t> - </w:t>
      </w:r>
      <w:r w:rsidR="00B4335E" w:rsidRPr="009118AB">
        <w:rPr>
          <w:bCs/>
          <w:i/>
          <w:iCs/>
          <w:spacing w:val="-2"/>
          <w:sz w:val="20"/>
          <w:szCs w:val="20"/>
        </w:rPr>
        <w:t>wirksam mit 1. Januar 2021</w:t>
      </w:r>
      <w:r w:rsidR="003366D9" w:rsidRPr="009118AB">
        <w:rPr>
          <w:bCs/>
          <w:i/>
          <w:iCs/>
          <w:spacing w:val="-2"/>
          <w:sz w:val="20"/>
          <w:szCs w:val="20"/>
        </w:rPr>
        <w:t> -;</w:t>
      </w:r>
      <w:r w:rsidRPr="009118AB">
        <w:rPr>
          <w:bCs/>
          <w:i/>
          <w:iCs/>
          <w:spacing w:val="-2"/>
          <w:sz w:val="20"/>
          <w:szCs w:val="20"/>
        </w:rPr>
        <w:t xml:space="preserve"> </w:t>
      </w:r>
      <w:r w:rsidR="00D67EB8" w:rsidRPr="009118AB">
        <w:rPr>
          <w:bCs/>
          <w:i/>
          <w:iCs/>
          <w:spacing w:val="-2"/>
          <w:sz w:val="20"/>
          <w:szCs w:val="20"/>
        </w:rPr>
        <w:t>Abs. </w:t>
      </w:r>
      <w:r w:rsidRPr="009118AB">
        <w:rPr>
          <w:bCs/>
          <w:i/>
          <w:iCs/>
          <w:spacing w:val="-2"/>
          <w:sz w:val="20"/>
          <w:szCs w:val="20"/>
        </w:rPr>
        <w:t xml:space="preserve">1 </w:t>
      </w:r>
      <w:r w:rsidR="004421E9" w:rsidRPr="009118AB">
        <w:rPr>
          <w:i/>
          <w:iCs/>
          <w:spacing w:val="-2"/>
          <w:sz w:val="20"/>
          <w:szCs w:val="20"/>
        </w:rPr>
        <w:t>frühere Nummer</w:t>
      </w:r>
      <w:r w:rsidRPr="009118AB">
        <w:rPr>
          <w:bCs/>
          <w:i/>
          <w:iCs/>
          <w:spacing w:val="-2"/>
          <w:sz w:val="20"/>
          <w:szCs w:val="20"/>
        </w:rPr>
        <w:t xml:space="preserve"> 5bis eingefügt durch </w:t>
      </w:r>
      <w:r w:rsidR="00D67EB8" w:rsidRPr="009118AB">
        <w:rPr>
          <w:bCs/>
          <w:i/>
          <w:iCs/>
          <w:spacing w:val="-2"/>
          <w:sz w:val="20"/>
          <w:szCs w:val="20"/>
        </w:rPr>
        <w:t>Art. </w:t>
      </w:r>
      <w:r w:rsidRPr="009118AB">
        <w:rPr>
          <w:bCs/>
          <w:i/>
          <w:iCs/>
          <w:spacing w:val="-2"/>
          <w:sz w:val="20"/>
          <w:szCs w:val="20"/>
        </w:rPr>
        <w:t xml:space="preserve">31 </w:t>
      </w:r>
      <w:r w:rsidR="00D67EB8" w:rsidRPr="009118AB">
        <w:rPr>
          <w:bCs/>
          <w:i/>
          <w:iCs/>
          <w:spacing w:val="-2"/>
          <w:sz w:val="20"/>
          <w:szCs w:val="20"/>
        </w:rPr>
        <w:t>Nr. </w:t>
      </w:r>
      <w:r w:rsidRPr="009118AB">
        <w:rPr>
          <w:bCs/>
          <w:i/>
          <w:iCs/>
          <w:spacing w:val="-2"/>
          <w:sz w:val="20"/>
          <w:szCs w:val="20"/>
        </w:rPr>
        <w:t>2</w:t>
      </w:r>
      <w:r w:rsidRPr="009118AB">
        <w:rPr>
          <w:i/>
          <w:spacing w:val="-2"/>
          <w:sz w:val="20"/>
          <w:szCs w:val="20"/>
        </w:rPr>
        <w:t xml:space="preserve"> des G. vom 30. März 2018 (B.S. vom 7. Mai 2018)</w:t>
      </w:r>
      <w:r w:rsidR="00D67EB8" w:rsidRPr="009118AB">
        <w:rPr>
          <w:i/>
          <w:spacing w:val="-2"/>
          <w:sz w:val="20"/>
          <w:szCs w:val="20"/>
        </w:rPr>
        <w:t> - </w:t>
      </w:r>
      <w:r w:rsidRPr="009118AB">
        <w:rPr>
          <w:i/>
          <w:spacing w:val="-2"/>
          <w:sz w:val="20"/>
          <w:szCs w:val="20"/>
        </w:rPr>
        <w:t>in Kraft am 1. Januar 2018</w:t>
      </w:r>
      <w:r w:rsidR="00FD68E8" w:rsidRPr="009118AB">
        <w:rPr>
          <w:i/>
          <w:spacing w:val="-2"/>
          <w:sz w:val="20"/>
          <w:szCs w:val="20"/>
        </w:rPr>
        <w:t> -,</w:t>
      </w:r>
      <w:r w:rsidR="004421E9" w:rsidRPr="009118AB">
        <w:rPr>
          <w:i/>
          <w:spacing w:val="-2"/>
          <w:sz w:val="20"/>
          <w:szCs w:val="20"/>
        </w:rPr>
        <w:t xml:space="preserve"> selbst für nichtig erklärt durch</w:t>
      </w:r>
      <w:r w:rsidR="004421E9" w:rsidRPr="009118AB">
        <w:rPr>
          <w:i/>
          <w:iCs/>
          <w:spacing w:val="-2"/>
          <w:sz w:val="20"/>
          <w:szCs w:val="20"/>
        </w:rPr>
        <w:t xml:space="preserve"> Entscheid </w:t>
      </w:r>
      <w:r w:rsidR="00D67EB8" w:rsidRPr="009118AB">
        <w:rPr>
          <w:i/>
          <w:iCs/>
          <w:spacing w:val="-2"/>
          <w:sz w:val="20"/>
          <w:szCs w:val="20"/>
        </w:rPr>
        <w:t>Nr. </w:t>
      </w:r>
      <w:r w:rsidR="004421E9" w:rsidRPr="009118AB">
        <w:rPr>
          <w:i/>
          <w:iCs/>
          <w:spacing w:val="-2"/>
          <w:sz w:val="20"/>
          <w:szCs w:val="20"/>
        </w:rPr>
        <w:t>11/2020 des Verfassungsgerichtshofes vom 23. Januar 2020 (B.S. vom 24. Februar 2020)</w:t>
      </w:r>
      <w:r w:rsidRPr="009118AB">
        <w:rPr>
          <w:i/>
          <w:spacing w:val="-2"/>
          <w:sz w:val="20"/>
          <w:szCs w:val="20"/>
        </w:rPr>
        <w:t>;</w:t>
      </w:r>
      <w:r w:rsidR="003B6CED" w:rsidRPr="009118AB">
        <w:rPr>
          <w:i/>
          <w:spacing w:val="-2"/>
          <w:sz w:val="20"/>
          <w:szCs w:val="20"/>
        </w:rPr>
        <w:t xml:space="preserve"> </w:t>
      </w:r>
      <w:r w:rsidR="00D67EB8" w:rsidRPr="009118AB">
        <w:rPr>
          <w:i/>
          <w:spacing w:val="-2"/>
          <w:sz w:val="20"/>
          <w:szCs w:val="20"/>
        </w:rPr>
        <w:t>Abs. </w:t>
      </w:r>
      <w:r w:rsidR="003B6CED" w:rsidRPr="009118AB">
        <w:rPr>
          <w:i/>
          <w:spacing w:val="-2"/>
          <w:sz w:val="20"/>
          <w:szCs w:val="20"/>
        </w:rPr>
        <w:t xml:space="preserve">1 </w:t>
      </w:r>
      <w:r w:rsidR="00D67EB8" w:rsidRPr="009118AB">
        <w:rPr>
          <w:i/>
          <w:spacing w:val="-2"/>
          <w:sz w:val="20"/>
          <w:szCs w:val="20"/>
        </w:rPr>
        <w:t>Nr. </w:t>
      </w:r>
      <w:r w:rsidR="003B6CED" w:rsidRPr="009118AB">
        <w:rPr>
          <w:i/>
          <w:spacing w:val="-2"/>
          <w:sz w:val="20"/>
          <w:szCs w:val="20"/>
        </w:rPr>
        <w:t xml:space="preserve">6 eingefügt durch </w:t>
      </w:r>
      <w:r w:rsidR="00D67EB8" w:rsidRPr="009118AB">
        <w:rPr>
          <w:i/>
          <w:spacing w:val="-2"/>
          <w:sz w:val="20"/>
          <w:szCs w:val="20"/>
        </w:rPr>
        <w:t>Art. </w:t>
      </w:r>
      <w:r w:rsidR="003B6CED" w:rsidRPr="009118AB">
        <w:rPr>
          <w:i/>
          <w:spacing w:val="-2"/>
          <w:sz w:val="20"/>
          <w:szCs w:val="20"/>
        </w:rPr>
        <w:t xml:space="preserve">6 </w:t>
      </w:r>
      <w:r w:rsidR="00D67EB8" w:rsidRPr="009118AB">
        <w:rPr>
          <w:i/>
          <w:spacing w:val="-2"/>
          <w:sz w:val="20"/>
          <w:szCs w:val="20"/>
        </w:rPr>
        <w:t>Nr. </w:t>
      </w:r>
      <w:r w:rsidR="003B6CED" w:rsidRPr="009118AB">
        <w:rPr>
          <w:i/>
          <w:spacing w:val="-2"/>
          <w:sz w:val="20"/>
          <w:szCs w:val="20"/>
        </w:rPr>
        <w:t>1</w:t>
      </w:r>
      <w:r w:rsidR="003B6CED" w:rsidRPr="009118AB">
        <w:rPr>
          <w:i/>
          <w:iCs/>
          <w:spacing w:val="-2"/>
        </w:rPr>
        <w:t xml:space="preserve"> </w:t>
      </w:r>
      <w:r w:rsidR="003B6CED" w:rsidRPr="009118AB">
        <w:rPr>
          <w:i/>
          <w:iCs/>
          <w:spacing w:val="-2"/>
          <w:sz w:val="20"/>
          <w:szCs w:val="20"/>
        </w:rPr>
        <w:t>des G. vom 25. November 2021 (B.S. vom 3. Dezember 2021)</w:t>
      </w:r>
      <w:r w:rsidR="00D67EB8" w:rsidRPr="009118AB">
        <w:rPr>
          <w:i/>
          <w:iCs/>
          <w:spacing w:val="-2"/>
          <w:sz w:val="20"/>
          <w:szCs w:val="20"/>
        </w:rPr>
        <w:t> - </w:t>
      </w:r>
      <w:r w:rsidR="003B6CED" w:rsidRPr="009118AB">
        <w:rPr>
          <w:i/>
          <w:iCs/>
          <w:spacing w:val="-2"/>
          <w:sz w:val="20"/>
          <w:szCs w:val="20"/>
        </w:rPr>
        <w:t>in Kraft am 1. Januar 2026 und anwendbar ab dem Steuerjahr 2027, das sich auf einen Besteuerungszeitraum bezieht, der frühestens am 1. Januar 2026 beginnt</w:t>
      </w:r>
      <w:r w:rsidR="003366D9" w:rsidRPr="009118AB">
        <w:rPr>
          <w:i/>
          <w:iCs/>
          <w:spacing w:val="-2"/>
          <w:sz w:val="20"/>
          <w:szCs w:val="20"/>
        </w:rPr>
        <w:t> -;</w:t>
      </w:r>
      <w:r w:rsidRPr="009118AB">
        <w:rPr>
          <w:i/>
          <w:spacing w:val="-2"/>
          <w:sz w:val="20"/>
          <w:szCs w:val="20"/>
        </w:rPr>
        <w:t xml:space="preserve"> </w:t>
      </w:r>
      <w:r w:rsidR="00D67EB8" w:rsidRPr="009118AB">
        <w:rPr>
          <w:i/>
          <w:spacing w:val="-2"/>
          <w:sz w:val="20"/>
          <w:szCs w:val="20"/>
        </w:rPr>
        <w:t>Abs. </w:t>
      </w:r>
      <w:r w:rsidR="00261B2A" w:rsidRPr="009118AB">
        <w:rPr>
          <w:i/>
          <w:spacing w:val="-2"/>
          <w:sz w:val="20"/>
          <w:szCs w:val="20"/>
        </w:rPr>
        <w:t xml:space="preserve">1 </w:t>
      </w:r>
      <w:r w:rsidR="00D67EB8" w:rsidRPr="009118AB">
        <w:rPr>
          <w:i/>
          <w:spacing w:val="-2"/>
          <w:sz w:val="20"/>
          <w:szCs w:val="20"/>
        </w:rPr>
        <w:t>Nr. </w:t>
      </w:r>
      <w:r w:rsidR="00261B2A" w:rsidRPr="009118AB">
        <w:rPr>
          <w:i/>
          <w:spacing w:val="-2"/>
          <w:sz w:val="20"/>
          <w:szCs w:val="20"/>
        </w:rPr>
        <w:t xml:space="preserve">8 eingefügt durch </w:t>
      </w:r>
      <w:r w:rsidR="00D67EB8" w:rsidRPr="009118AB">
        <w:rPr>
          <w:i/>
          <w:spacing w:val="-2"/>
          <w:sz w:val="20"/>
          <w:szCs w:val="20"/>
        </w:rPr>
        <w:t>Art. </w:t>
      </w:r>
      <w:r w:rsidR="00261B2A" w:rsidRPr="009118AB">
        <w:rPr>
          <w:i/>
          <w:spacing w:val="-2"/>
          <w:sz w:val="20"/>
          <w:szCs w:val="20"/>
        </w:rPr>
        <w:t>7 des G. vom 27. Dezember 2021 (B.S. vom 31. Dezember 2021)</w:t>
      </w:r>
      <w:r w:rsidR="00D67EB8" w:rsidRPr="009118AB">
        <w:rPr>
          <w:i/>
          <w:spacing w:val="-2"/>
          <w:sz w:val="20"/>
          <w:szCs w:val="20"/>
        </w:rPr>
        <w:t> - </w:t>
      </w:r>
      <w:r w:rsidR="00261B2A" w:rsidRPr="009118AB">
        <w:rPr>
          <w:i/>
          <w:spacing w:val="-2"/>
          <w:sz w:val="20"/>
          <w:szCs w:val="20"/>
        </w:rPr>
        <w:t>anwendbar ab dem 1. Januar 2022</w:t>
      </w:r>
      <w:r w:rsidR="003366D9" w:rsidRPr="009118AB">
        <w:rPr>
          <w:i/>
          <w:spacing w:val="-2"/>
          <w:sz w:val="20"/>
          <w:szCs w:val="20"/>
        </w:rPr>
        <w:t> -;</w:t>
      </w:r>
      <w:r w:rsidR="00261B2A" w:rsidRPr="009118AB">
        <w:rPr>
          <w:i/>
          <w:spacing w:val="-2"/>
          <w:sz w:val="20"/>
          <w:szCs w:val="20"/>
        </w:rPr>
        <w:t xml:space="preserve"> </w:t>
      </w:r>
      <w:r w:rsidR="00D67EB8" w:rsidRPr="009118AB">
        <w:rPr>
          <w:bCs/>
          <w:i/>
          <w:iCs/>
          <w:spacing w:val="-2"/>
          <w:sz w:val="20"/>
          <w:szCs w:val="20"/>
        </w:rPr>
        <w:t>Abs. </w:t>
      </w:r>
      <w:r w:rsidRPr="009118AB">
        <w:rPr>
          <w:bCs/>
          <w:i/>
          <w:iCs/>
          <w:spacing w:val="-2"/>
          <w:sz w:val="20"/>
          <w:szCs w:val="20"/>
        </w:rPr>
        <w:t>2 eingefügt</w:t>
      </w:r>
      <w:r w:rsidRPr="009118AB">
        <w:rPr>
          <w:bCs/>
          <w:iCs/>
          <w:spacing w:val="-2"/>
          <w:sz w:val="20"/>
          <w:szCs w:val="20"/>
        </w:rPr>
        <w:t xml:space="preserve"> </w:t>
      </w:r>
      <w:r w:rsidRPr="009118AB">
        <w:rPr>
          <w:bCs/>
          <w:i/>
          <w:iCs/>
          <w:spacing w:val="-2"/>
          <w:sz w:val="20"/>
          <w:szCs w:val="20"/>
        </w:rPr>
        <w:t xml:space="preserve">durch </w:t>
      </w:r>
      <w:r w:rsidR="00D67EB8" w:rsidRPr="009118AB">
        <w:rPr>
          <w:bCs/>
          <w:i/>
          <w:iCs/>
          <w:spacing w:val="-2"/>
          <w:sz w:val="20"/>
          <w:szCs w:val="20"/>
        </w:rPr>
        <w:t>Art. </w:t>
      </w:r>
      <w:r w:rsidRPr="009118AB">
        <w:rPr>
          <w:bCs/>
          <w:i/>
          <w:iCs/>
          <w:spacing w:val="-2"/>
          <w:sz w:val="20"/>
          <w:szCs w:val="20"/>
        </w:rPr>
        <w:t xml:space="preserve">178 </w:t>
      </w:r>
      <w:r w:rsidR="00D67EB8" w:rsidRPr="009118AB">
        <w:rPr>
          <w:bCs/>
          <w:i/>
          <w:iCs/>
          <w:spacing w:val="-2"/>
          <w:sz w:val="20"/>
          <w:szCs w:val="20"/>
        </w:rPr>
        <w:t>Nr. </w:t>
      </w:r>
      <w:r w:rsidRPr="009118AB">
        <w:rPr>
          <w:bCs/>
          <w:i/>
          <w:iCs/>
          <w:spacing w:val="-2"/>
          <w:sz w:val="20"/>
          <w:szCs w:val="20"/>
        </w:rPr>
        <w:t>2 des G. vom 27. Dezember 2005 (II) (B.S. vom 30. Dezember 2005)</w:t>
      </w:r>
      <w:r w:rsidR="00D67EB8" w:rsidRPr="009118AB">
        <w:rPr>
          <w:bCs/>
          <w:i/>
          <w:iCs/>
          <w:spacing w:val="-2"/>
          <w:sz w:val="20"/>
          <w:szCs w:val="20"/>
        </w:rPr>
        <w:t> - </w:t>
      </w:r>
      <w:r w:rsidRPr="009118AB">
        <w:rPr>
          <w:bCs/>
          <w:i/>
          <w:iCs/>
          <w:spacing w:val="-2"/>
          <w:sz w:val="20"/>
          <w:szCs w:val="20"/>
        </w:rPr>
        <w:t>anwendbar auf die ab dem 1. Januar 2006 gezahlten Prämien und Beiträge</w:t>
      </w:r>
      <w:r w:rsidR="003366D9" w:rsidRPr="009118AB">
        <w:rPr>
          <w:bCs/>
          <w:i/>
          <w:iCs/>
          <w:spacing w:val="-2"/>
          <w:sz w:val="20"/>
          <w:szCs w:val="20"/>
        </w:rPr>
        <w:t> -;</w:t>
      </w:r>
      <w:r w:rsidRPr="009118AB">
        <w:rPr>
          <w:bCs/>
          <w:i/>
          <w:iCs/>
          <w:spacing w:val="-2"/>
          <w:sz w:val="20"/>
          <w:szCs w:val="20"/>
        </w:rPr>
        <w:t xml:space="preserve"> </w:t>
      </w:r>
      <w:r w:rsidR="00D67EB8" w:rsidRPr="009118AB">
        <w:rPr>
          <w:bCs/>
          <w:i/>
          <w:iCs/>
          <w:spacing w:val="-2"/>
          <w:sz w:val="20"/>
          <w:szCs w:val="20"/>
        </w:rPr>
        <w:t>Abs. </w:t>
      </w:r>
      <w:r w:rsidRPr="009118AB">
        <w:rPr>
          <w:bCs/>
          <w:i/>
          <w:iCs/>
          <w:spacing w:val="-2"/>
          <w:sz w:val="20"/>
          <w:szCs w:val="20"/>
        </w:rPr>
        <w:t xml:space="preserve">3 eingefügt durch </w:t>
      </w:r>
      <w:r w:rsidR="00D67EB8" w:rsidRPr="009118AB">
        <w:rPr>
          <w:bCs/>
          <w:i/>
          <w:iCs/>
          <w:spacing w:val="-2"/>
          <w:sz w:val="20"/>
          <w:szCs w:val="20"/>
        </w:rPr>
        <w:t>Art. </w:t>
      </w:r>
      <w:r w:rsidRPr="009118AB">
        <w:rPr>
          <w:bCs/>
          <w:i/>
          <w:iCs/>
          <w:spacing w:val="-2"/>
          <w:sz w:val="20"/>
          <w:szCs w:val="20"/>
        </w:rPr>
        <w:t xml:space="preserve">18 </w:t>
      </w:r>
      <w:r w:rsidR="00D67EB8" w:rsidRPr="009118AB">
        <w:rPr>
          <w:bCs/>
          <w:i/>
          <w:iCs/>
          <w:spacing w:val="-2"/>
          <w:sz w:val="20"/>
          <w:szCs w:val="20"/>
        </w:rPr>
        <w:t>Nr. </w:t>
      </w:r>
      <w:r w:rsidRPr="009118AB">
        <w:rPr>
          <w:bCs/>
          <w:i/>
          <w:iCs/>
          <w:spacing w:val="-2"/>
          <w:sz w:val="20"/>
          <w:szCs w:val="20"/>
        </w:rPr>
        <w:t>2</w:t>
      </w:r>
      <w:r w:rsidRPr="009118AB">
        <w:rPr>
          <w:i/>
          <w:iCs/>
          <w:spacing w:val="-2"/>
          <w:sz w:val="20"/>
          <w:szCs w:val="20"/>
        </w:rPr>
        <w:t xml:space="preserve"> des G. vom 17. Juni 2013 (B.S. vom 28. Juni 2013)</w:t>
      </w:r>
      <w:r w:rsidR="00D67EB8" w:rsidRPr="009118AB">
        <w:rPr>
          <w:i/>
          <w:iCs/>
          <w:spacing w:val="-2"/>
          <w:sz w:val="20"/>
          <w:szCs w:val="20"/>
        </w:rPr>
        <w:t> - </w:t>
      </w:r>
      <w:r w:rsidRPr="009118AB">
        <w:rPr>
          <w:i/>
          <w:iCs/>
          <w:spacing w:val="-2"/>
          <w:sz w:val="20"/>
          <w:szCs w:val="20"/>
        </w:rPr>
        <w:t>anwendbar ab dem Steuerjahr 2014</w:t>
      </w:r>
      <w:r w:rsidR="00D67EB8" w:rsidRPr="009118AB">
        <w:rPr>
          <w:i/>
          <w:iCs/>
          <w:spacing w:val="-2"/>
          <w:sz w:val="20"/>
          <w:szCs w:val="20"/>
        </w:rPr>
        <w:t> - </w:t>
      </w:r>
      <w:r w:rsidRPr="009118AB">
        <w:rPr>
          <w:i/>
          <w:iCs/>
          <w:spacing w:val="-2"/>
          <w:sz w:val="20"/>
          <w:szCs w:val="20"/>
        </w:rPr>
        <w:t xml:space="preserve">und abgeändert durch </w:t>
      </w:r>
      <w:r w:rsidR="00D67EB8" w:rsidRPr="009118AB">
        <w:rPr>
          <w:i/>
          <w:iCs/>
          <w:spacing w:val="-2"/>
          <w:sz w:val="20"/>
          <w:szCs w:val="20"/>
        </w:rPr>
        <w:t>Art. </w:t>
      </w:r>
      <w:r w:rsidRPr="009118AB">
        <w:rPr>
          <w:i/>
          <w:iCs/>
          <w:spacing w:val="-2"/>
          <w:sz w:val="20"/>
          <w:szCs w:val="20"/>
        </w:rPr>
        <w:t xml:space="preserve">31 </w:t>
      </w:r>
      <w:r w:rsidR="00D67EB8" w:rsidRPr="009118AB">
        <w:rPr>
          <w:i/>
          <w:iCs/>
          <w:spacing w:val="-2"/>
          <w:sz w:val="20"/>
          <w:szCs w:val="20"/>
        </w:rPr>
        <w:t>Nr. </w:t>
      </w:r>
      <w:r w:rsidRPr="009118AB">
        <w:rPr>
          <w:i/>
          <w:iCs/>
          <w:spacing w:val="-2"/>
          <w:sz w:val="20"/>
          <w:szCs w:val="20"/>
        </w:rPr>
        <w:t>2 des G. vom 19. Dezember 2014 (B.S. vom 29. Dezember 2014)</w:t>
      </w:r>
      <w:r w:rsidR="00D67EB8" w:rsidRPr="009118AB">
        <w:rPr>
          <w:i/>
          <w:iCs/>
          <w:spacing w:val="-2"/>
          <w:sz w:val="20"/>
          <w:szCs w:val="20"/>
        </w:rPr>
        <w:t> - </w:t>
      </w:r>
      <w:r w:rsidRPr="009118AB">
        <w:rPr>
          <w:i/>
          <w:iCs/>
          <w:spacing w:val="-2"/>
          <w:sz w:val="20"/>
          <w:szCs w:val="20"/>
        </w:rPr>
        <w:t>in Kraft am 29. Dezember 2014 und anwendbar auf alle Rechtsstreite, die an diesem Datum noch nicht endgültig abgeschlossen sind</w:t>
      </w:r>
      <w:r w:rsidR="00FD68E8" w:rsidRPr="009118AB">
        <w:rPr>
          <w:i/>
          <w:iCs/>
          <w:spacing w:val="-2"/>
          <w:sz w:val="20"/>
          <w:szCs w:val="20"/>
        </w:rPr>
        <w:t> -,</w:t>
      </w:r>
      <w:r w:rsidRPr="009118AB">
        <w:rPr>
          <w:i/>
          <w:iCs/>
          <w:spacing w:val="-2"/>
          <w:sz w:val="20"/>
          <w:szCs w:val="20"/>
        </w:rPr>
        <w:t xml:space="preserve"> </w:t>
      </w:r>
      <w:r w:rsidR="00D67EB8" w:rsidRPr="009118AB">
        <w:rPr>
          <w:i/>
          <w:iCs/>
          <w:spacing w:val="-2"/>
          <w:sz w:val="20"/>
          <w:szCs w:val="20"/>
        </w:rPr>
        <w:t>Art. </w:t>
      </w:r>
      <w:r w:rsidRPr="009118AB">
        <w:rPr>
          <w:i/>
          <w:iCs/>
          <w:spacing w:val="-2"/>
          <w:sz w:val="20"/>
          <w:szCs w:val="20"/>
        </w:rPr>
        <w:t>71 Buchstabe</w:t>
      </w:r>
      <w:r w:rsidRPr="009118AB">
        <w:rPr>
          <w:rFonts w:hint="eastAsia"/>
          <w:i/>
          <w:iCs/>
          <w:spacing w:val="-2"/>
          <w:sz w:val="20"/>
          <w:szCs w:val="20"/>
        </w:rPr>
        <w:t> </w:t>
      </w:r>
      <w:r w:rsidRPr="009118AB">
        <w:rPr>
          <w:i/>
          <w:iCs/>
          <w:spacing w:val="-2"/>
          <w:sz w:val="20"/>
          <w:szCs w:val="20"/>
        </w:rPr>
        <w:t>b)</w:t>
      </w:r>
      <w:r w:rsidRPr="009118AB">
        <w:rPr>
          <w:bCs/>
          <w:i/>
          <w:iCs/>
          <w:spacing w:val="-2"/>
          <w:sz w:val="20"/>
          <w:szCs w:val="20"/>
        </w:rPr>
        <w:t xml:space="preserve"> des G. vom 27. Juni 2021 (B.S. vom 30. Juni 2021)</w:t>
      </w:r>
      <w:r w:rsidR="00C639FE" w:rsidRPr="009118AB">
        <w:rPr>
          <w:bCs/>
          <w:i/>
          <w:iCs/>
          <w:spacing w:val="-2"/>
          <w:sz w:val="20"/>
          <w:szCs w:val="20"/>
        </w:rPr>
        <w:t xml:space="preserve"> und </w:t>
      </w:r>
      <w:r w:rsidR="00D67EB8" w:rsidRPr="009118AB">
        <w:rPr>
          <w:bCs/>
          <w:i/>
          <w:iCs/>
          <w:spacing w:val="-2"/>
          <w:sz w:val="20"/>
          <w:szCs w:val="20"/>
        </w:rPr>
        <w:t>Art. </w:t>
      </w:r>
      <w:r w:rsidR="00C639FE" w:rsidRPr="009118AB">
        <w:rPr>
          <w:bCs/>
          <w:i/>
          <w:iCs/>
          <w:spacing w:val="-2"/>
          <w:sz w:val="20"/>
          <w:szCs w:val="20"/>
        </w:rPr>
        <w:t xml:space="preserve">47 </w:t>
      </w:r>
      <w:r w:rsidR="00D67EB8" w:rsidRPr="009118AB">
        <w:rPr>
          <w:bCs/>
          <w:i/>
          <w:iCs/>
          <w:spacing w:val="-2"/>
          <w:sz w:val="20"/>
          <w:szCs w:val="20"/>
        </w:rPr>
        <w:t>Nr. </w:t>
      </w:r>
      <w:r w:rsidR="00C639FE" w:rsidRPr="009118AB">
        <w:rPr>
          <w:bCs/>
          <w:i/>
          <w:iCs/>
          <w:spacing w:val="-2"/>
          <w:sz w:val="20"/>
          <w:szCs w:val="20"/>
        </w:rPr>
        <w:t>3 des G. vom 21.</w:t>
      </w:r>
      <w:r w:rsidR="00B4335E" w:rsidRPr="009118AB">
        <w:rPr>
          <w:bCs/>
          <w:i/>
          <w:iCs/>
          <w:spacing w:val="-2"/>
          <w:sz w:val="20"/>
          <w:szCs w:val="20"/>
        </w:rPr>
        <w:t> </w:t>
      </w:r>
      <w:r w:rsidR="00C639FE" w:rsidRPr="009118AB">
        <w:rPr>
          <w:bCs/>
          <w:i/>
          <w:iCs/>
          <w:spacing w:val="-2"/>
          <w:sz w:val="20"/>
          <w:szCs w:val="20"/>
        </w:rPr>
        <w:t>Januar</w:t>
      </w:r>
      <w:r w:rsidR="00B4335E" w:rsidRPr="009118AB">
        <w:rPr>
          <w:bCs/>
          <w:i/>
          <w:iCs/>
          <w:spacing w:val="-2"/>
          <w:sz w:val="20"/>
          <w:szCs w:val="20"/>
        </w:rPr>
        <w:t> </w:t>
      </w:r>
      <w:r w:rsidR="00C639FE" w:rsidRPr="009118AB">
        <w:rPr>
          <w:bCs/>
          <w:i/>
          <w:iCs/>
          <w:spacing w:val="-2"/>
          <w:sz w:val="20"/>
          <w:szCs w:val="20"/>
        </w:rPr>
        <w:t>2022 (B.S. vom 28. Januar 2022)</w:t>
      </w:r>
      <w:r w:rsidR="00D67EB8" w:rsidRPr="009118AB">
        <w:rPr>
          <w:bCs/>
          <w:i/>
          <w:iCs/>
          <w:spacing w:val="-2"/>
          <w:sz w:val="20"/>
          <w:szCs w:val="20"/>
        </w:rPr>
        <w:t> - </w:t>
      </w:r>
      <w:r w:rsidR="00C639FE" w:rsidRPr="009118AB">
        <w:rPr>
          <w:bCs/>
          <w:i/>
          <w:iCs/>
          <w:spacing w:val="-2"/>
          <w:sz w:val="20"/>
          <w:szCs w:val="20"/>
        </w:rPr>
        <w:t>anwendbar auf Einkünfte, die ab dem 1. Januar 2021 während eines Besteuerungszeitraums gezahlt oder zuerkannt werden, der frühestens an das Steuerjahr 2022 gebunden ist</w:t>
      </w:r>
      <w:r w:rsidR="003366D9" w:rsidRPr="009118AB">
        <w:rPr>
          <w:bCs/>
          <w:i/>
          <w:iCs/>
          <w:spacing w:val="-2"/>
          <w:sz w:val="20"/>
          <w:szCs w:val="20"/>
        </w:rPr>
        <w:t> -;</w:t>
      </w:r>
      <w:r w:rsidRPr="009118AB">
        <w:rPr>
          <w:i/>
          <w:iCs/>
          <w:spacing w:val="-2"/>
          <w:sz w:val="20"/>
          <w:szCs w:val="20"/>
        </w:rPr>
        <w:t xml:space="preserve"> </w:t>
      </w:r>
      <w:r w:rsidR="00D67EB8" w:rsidRPr="009118AB">
        <w:rPr>
          <w:bCs/>
          <w:i/>
          <w:iCs/>
          <w:spacing w:val="-2"/>
          <w:sz w:val="20"/>
          <w:szCs w:val="20"/>
        </w:rPr>
        <w:t>Abs. </w:t>
      </w:r>
      <w:r w:rsidRPr="009118AB">
        <w:rPr>
          <w:bCs/>
          <w:i/>
          <w:iCs/>
          <w:spacing w:val="-2"/>
          <w:sz w:val="20"/>
          <w:szCs w:val="20"/>
        </w:rPr>
        <w:t xml:space="preserve">4 eingefügt durch </w:t>
      </w:r>
      <w:r w:rsidR="00D67EB8" w:rsidRPr="009118AB">
        <w:rPr>
          <w:bCs/>
          <w:i/>
          <w:iCs/>
          <w:spacing w:val="-2"/>
          <w:sz w:val="20"/>
          <w:szCs w:val="20"/>
        </w:rPr>
        <w:t>Art. </w:t>
      </w:r>
      <w:r w:rsidRPr="009118AB">
        <w:rPr>
          <w:bCs/>
          <w:i/>
          <w:iCs/>
          <w:spacing w:val="-2"/>
          <w:sz w:val="20"/>
          <w:szCs w:val="20"/>
        </w:rPr>
        <w:t xml:space="preserve">18 </w:t>
      </w:r>
      <w:r w:rsidR="00D67EB8" w:rsidRPr="009118AB">
        <w:rPr>
          <w:bCs/>
          <w:i/>
          <w:iCs/>
          <w:spacing w:val="-2"/>
          <w:sz w:val="20"/>
          <w:szCs w:val="20"/>
        </w:rPr>
        <w:t>Nr. </w:t>
      </w:r>
      <w:r w:rsidRPr="009118AB">
        <w:rPr>
          <w:bCs/>
          <w:i/>
          <w:iCs/>
          <w:spacing w:val="-2"/>
          <w:sz w:val="20"/>
          <w:szCs w:val="20"/>
        </w:rPr>
        <w:t>2</w:t>
      </w:r>
      <w:r w:rsidRPr="009118AB">
        <w:rPr>
          <w:i/>
          <w:iCs/>
          <w:spacing w:val="-2"/>
          <w:sz w:val="20"/>
          <w:szCs w:val="20"/>
        </w:rPr>
        <w:t xml:space="preserve"> des G. vom 17. Juni 2013 (B.S. vom 28. Juni 2013)</w:t>
      </w:r>
      <w:r w:rsidR="00D67EB8" w:rsidRPr="009118AB">
        <w:rPr>
          <w:i/>
          <w:iCs/>
          <w:spacing w:val="-2"/>
          <w:sz w:val="20"/>
          <w:szCs w:val="20"/>
        </w:rPr>
        <w:t> - </w:t>
      </w:r>
      <w:r w:rsidRPr="009118AB">
        <w:rPr>
          <w:i/>
          <w:iCs/>
          <w:spacing w:val="-2"/>
          <w:sz w:val="20"/>
          <w:szCs w:val="20"/>
        </w:rPr>
        <w:t>anwendbar ab dem Steuerjahr 2014</w:t>
      </w:r>
      <w:r w:rsidR="00FD68E8" w:rsidRPr="009118AB">
        <w:rPr>
          <w:i/>
          <w:iCs/>
          <w:spacing w:val="-2"/>
          <w:sz w:val="20"/>
          <w:szCs w:val="20"/>
        </w:rPr>
        <w:t> -,</w:t>
      </w:r>
      <w:r w:rsidRPr="009118AB">
        <w:rPr>
          <w:i/>
          <w:iCs/>
          <w:spacing w:val="-2"/>
          <w:sz w:val="20"/>
          <w:szCs w:val="20"/>
        </w:rPr>
        <w:t xml:space="preserve"> ersetzt durch </w:t>
      </w:r>
      <w:r w:rsidR="00D67EB8" w:rsidRPr="009118AB">
        <w:rPr>
          <w:i/>
          <w:iCs/>
          <w:spacing w:val="-2"/>
          <w:sz w:val="20"/>
          <w:szCs w:val="20"/>
        </w:rPr>
        <w:t>Art. </w:t>
      </w:r>
      <w:r w:rsidRPr="009118AB">
        <w:rPr>
          <w:i/>
          <w:iCs/>
          <w:spacing w:val="-2"/>
          <w:sz w:val="20"/>
          <w:szCs w:val="20"/>
        </w:rPr>
        <w:t xml:space="preserve">31 </w:t>
      </w:r>
      <w:r w:rsidR="00D67EB8" w:rsidRPr="009118AB">
        <w:rPr>
          <w:i/>
          <w:iCs/>
          <w:spacing w:val="-2"/>
          <w:sz w:val="20"/>
          <w:szCs w:val="20"/>
        </w:rPr>
        <w:t>Nr. </w:t>
      </w:r>
      <w:r w:rsidRPr="009118AB">
        <w:rPr>
          <w:i/>
          <w:iCs/>
          <w:spacing w:val="-2"/>
          <w:sz w:val="20"/>
          <w:szCs w:val="20"/>
        </w:rPr>
        <w:t>3 des G. vom 19. Dezember 2014 (B.S. vom 29. Dezember 2014)</w:t>
      </w:r>
      <w:r w:rsidR="00D67EB8" w:rsidRPr="009118AB">
        <w:rPr>
          <w:i/>
          <w:iCs/>
          <w:spacing w:val="-2"/>
          <w:sz w:val="20"/>
          <w:szCs w:val="20"/>
        </w:rPr>
        <w:t> - </w:t>
      </w:r>
      <w:r w:rsidRPr="009118AB">
        <w:rPr>
          <w:i/>
          <w:iCs/>
          <w:spacing w:val="-2"/>
          <w:sz w:val="20"/>
          <w:szCs w:val="20"/>
        </w:rPr>
        <w:t>in Kraft am 29. Dezember 2014 und anwendbar auf alle Rechtsstreite, die an diesem Datum noch nicht endgültig abgeschlossen sind</w:t>
      </w:r>
      <w:r w:rsidR="00D67EB8" w:rsidRPr="009118AB">
        <w:rPr>
          <w:i/>
          <w:iCs/>
          <w:spacing w:val="-2"/>
          <w:sz w:val="20"/>
          <w:szCs w:val="20"/>
        </w:rPr>
        <w:t> - </w:t>
      </w:r>
      <w:r w:rsidRPr="009118AB">
        <w:rPr>
          <w:i/>
          <w:iCs/>
          <w:spacing w:val="-2"/>
          <w:sz w:val="20"/>
          <w:szCs w:val="20"/>
        </w:rPr>
        <w:t xml:space="preserve">und abgeändert durch </w:t>
      </w:r>
      <w:r w:rsidR="00D67EB8" w:rsidRPr="009118AB">
        <w:rPr>
          <w:i/>
          <w:iCs/>
          <w:spacing w:val="-2"/>
          <w:sz w:val="20"/>
          <w:szCs w:val="20"/>
        </w:rPr>
        <w:t>Art. </w:t>
      </w:r>
      <w:r w:rsidRPr="009118AB">
        <w:rPr>
          <w:i/>
          <w:iCs/>
          <w:spacing w:val="-2"/>
          <w:sz w:val="20"/>
          <w:szCs w:val="20"/>
        </w:rPr>
        <w:t>71 Buchstabe c)</w:t>
      </w:r>
      <w:r w:rsidRPr="009118AB">
        <w:rPr>
          <w:bCs/>
          <w:i/>
          <w:iCs/>
          <w:spacing w:val="-2"/>
          <w:sz w:val="20"/>
          <w:szCs w:val="20"/>
        </w:rPr>
        <w:t xml:space="preserve"> des G. vom 27. Juni 2021 (B.S. vom 30. Juni 2021)</w:t>
      </w:r>
      <w:r w:rsidR="00B818A6" w:rsidRPr="009118AB">
        <w:rPr>
          <w:bCs/>
          <w:i/>
          <w:iCs/>
          <w:spacing w:val="-2"/>
          <w:sz w:val="20"/>
          <w:szCs w:val="20"/>
        </w:rPr>
        <w:t>,</w:t>
      </w:r>
      <w:r w:rsidR="00C639FE" w:rsidRPr="009118AB">
        <w:rPr>
          <w:bCs/>
          <w:i/>
          <w:iCs/>
          <w:spacing w:val="-2"/>
          <w:sz w:val="20"/>
          <w:szCs w:val="20"/>
        </w:rPr>
        <w:t xml:space="preserve"> </w:t>
      </w:r>
      <w:r w:rsidR="00D67EB8" w:rsidRPr="009118AB">
        <w:rPr>
          <w:bCs/>
          <w:i/>
          <w:iCs/>
          <w:spacing w:val="-2"/>
          <w:sz w:val="20"/>
          <w:szCs w:val="20"/>
        </w:rPr>
        <w:t>Art. </w:t>
      </w:r>
      <w:r w:rsidR="00C639FE" w:rsidRPr="009118AB">
        <w:rPr>
          <w:bCs/>
          <w:i/>
          <w:iCs/>
          <w:spacing w:val="-2"/>
          <w:sz w:val="20"/>
          <w:szCs w:val="20"/>
        </w:rPr>
        <w:t xml:space="preserve">47 </w:t>
      </w:r>
      <w:r w:rsidR="00D67EB8" w:rsidRPr="009118AB">
        <w:rPr>
          <w:bCs/>
          <w:i/>
          <w:iCs/>
          <w:spacing w:val="-2"/>
          <w:sz w:val="20"/>
          <w:szCs w:val="20"/>
        </w:rPr>
        <w:t>Nr. </w:t>
      </w:r>
      <w:r w:rsidR="00C639FE" w:rsidRPr="009118AB">
        <w:rPr>
          <w:bCs/>
          <w:i/>
          <w:iCs/>
          <w:spacing w:val="-2"/>
          <w:sz w:val="20"/>
          <w:szCs w:val="20"/>
        </w:rPr>
        <w:t>4 des G. vom 21. Januar 2022 (B.S. vom 28. Januar 2022)</w:t>
      </w:r>
      <w:r w:rsidR="00B818A6" w:rsidRPr="009118AB">
        <w:rPr>
          <w:bCs/>
          <w:i/>
          <w:iCs/>
          <w:spacing w:val="-2"/>
          <w:sz w:val="20"/>
          <w:szCs w:val="20"/>
        </w:rPr>
        <w:t xml:space="preserve"> und Art. 30 des G. vom 5.</w:t>
      </w:r>
      <w:r w:rsidR="00603505" w:rsidRPr="009118AB">
        <w:rPr>
          <w:bCs/>
          <w:i/>
          <w:iCs/>
          <w:spacing w:val="-2"/>
          <w:sz w:val="20"/>
          <w:szCs w:val="20"/>
        </w:rPr>
        <w:t> </w:t>
      </w:r>
      <w:r w:rsidR="00B818A6" w:rsidRPr="009118AB">
        <w:rPr>
          <w:bCs/>
          <w:i/>
          <w:iCs/>
          <w:spacing w:val="-2"/>
          <w:sz w:val="20"/>
          <w:szCs w:val="20"/>
        </w:rPr>
        <w:t>Juli</w:t>
      </w:r>
      <w:r w:rsidR="00603505" w:rsidRPr="009118AB">
        <w:rPr>
          <w:bCs/>
          <w:i/>
          <w:iCs/>
          <w:spacing w:val="-2"/>
          <w:sz w:val="20"/>
          <w:szCs w:val="20"/>
        </w:rPr>
        <w:t> </w:t>
      </w:r>
      <w:r w:rsidR="00B818A6" w:rsidRPr="009118AB">
        <w:rPr>
          <w:bCs/>
          <w:i/>
          <w:iCs/>
          <w:spacing w:val="-2"/>
          <w:sz w:val="20"/>
          <w:szCs w:val="20"/>
        </w:rPr>
        <w:t>2022 (B.S. vom 15.</w:t>
      </w:r>
      <w:r w:rsidR="00603505" w:rsidRPr="009118AB">
        <w:rPr>
          <w:bCs/>
          <w:i/>
          <w:iCs/>
          <w:spacing w:val="-2"/>
          <w:sz w:val="20"/>
          <w:szCs w:val="20"/>
        </w:rPr>
        <w:t> </w:t>
      </w:r>
      <w:r w:rsidR="00B818A6" w:rsidRPr="009118AB">
        <w:rPr>
          <w:bCs/>
          <w:i/>
          <w:iCs/>
          <w:spacing w:val="-2"/>
          <w:sz w:val="20"/>
          <w:szCs w:val="20"/>
        </w:rPr>
        <w:t>Juli</w:t>
      </w:r>
      <w:r w:rsidR="00603505" w:rsidRPr="009118AB">
        <w:rPr>
          <w:bCs/>
          <w:i/>
          <w:iCs/>
          <w:spacing w:val="-2"/>
          <w:sz w:val="20"/>
          <w:szCs w:val="20"/>
        </w:rPr>
        <w:t> </w:t>
      </w:r>
      <w:r w:rsidR="00B818A6" w:rsidRPr="009118AB">
        <w:rPr>
          <w:bCs/>
          <w:i/>
          <w:iCs/>
          <w:spacing w:val="-2"/>
          <w:sz w:val="20"/>
          <w:szCs w:val="20"/>
        </w:rPr>
        <w:t>2022)</w:t>
      </w:r>
      <w:r w:rsidR="003B6CED" w:rsidRPr="009118AB">
        <w:rPr>
          <w:bCs/>
          <w:i/>
          <w:iCs/>
          <w:spacing w:val="-2"/>
          <w:sz w:val="20"/>
          <w:szCs w:val="20"/>
        </w:rPr>
        <w:t xml:space="preserve">; </w:t>
      </w:r>
      <w:r w:rsidR="00D67EB8" w:rsidRPr="009118AB">
        <w:rPr>
          <w:bCs/>
          <w:i/>
          <w:iCs/>
          <w:spacing w:val="-2"/>
          <w:sz w:val="20"/>
          <w:szCs w:val="20"/>
        </w:rPr>
        <w:t>Abs. </w:t>
      </w:r>
      <w:r w:rsidR="003B6CED" w:rsidRPr="009118AB">
        <w:rPr>
          <w:bCs/>
          <w:i/>
          <w:iCs/>
          <w:spacing w:val="-2"/>
          <w:sz w:val="20"/>
          <w:szCs w:val="20"/>
        </w:rPr>
        <w:t xml:space="preserve">5 eingefügt durch </w:t>
      </w:r>
      <w:r w:rsidR="00D67EB8" w:rsidRPr="009118AB">
        <w:rPr>
          <w:bCs/>
          <w:i/>
          <w:iCs/>
          <w:spacing w:val="-2"/>
          <w:sz w:val="20"/>
          <w:szCs w:val="20"/>
        </w:rPr>
        <w:t>Art. </w:t>
      </w:r>
      <w:r w:rsidR="003B6CED" w:rsidRPr="009118AB">
        <w:rPr>
          <w:bCs/>
          <w:i/>
          <w:iCs/>
          <w:spacing w:val="-2"/>
          <w:sz w:val="20"/>
          <w:szCs w:val="20"/>
        </w:rPr>
        <w:t xml:space="preserve">6 </w:t>
      </w:r>
      <w:r w:rsidR="00D67EB8" w:rsidRPr="009118AB">
        <w:rPr>
          <w:bCs/>
          <w:i/>
          <w:iCs/>
          <w:spacing w:val="-2"/>
          <w:sz w:val="20"/>
          <w:szCs w:val="20"/>
        </w:rPr>
        <w:t>Nr. </w:t>
      </w:r>
      <w:r w:rsidR="003B6CED" w:rsidRPr="009118AB">
        <w:rPr>
          <w:bCs/>
          <w:i/>
          <w:iCs/>
          <w:spacing w:val="-2"/>
          <w:sz w:val="20"/>
          <w:szCs w:val="20"/>
        </w:rPr>
        <w:t>7</w:t>
      </w:r>
      <w:r w:rsidR="003B6CED" w:rsidRPr="009118AB">
        <w:rPr>
          <w:i/>
          <w:iCs/>
          <w:spacing w:val="-2"/>
        </w:rPr>
        <w:t xml:space="preserve"> </w:t>
      </w:r>
      <w:r w:rsidR="003B6CED" w:rsidRPr="009118AB">
        <w:rPr>
          <w:i/>
          <w:iCs/>
          <w:spacing w:val="-2"/>
          <w:sz w:val="20"/>
          <w:szCs w:val="20"/>
        </w:rPr>
        <w:t>des G. vom 25. November 2021 (B.S. vom 3. Dezember 2021)</w:t>
      </w:r>
      <w:r w:rsidR="00D67EB8" w:rsidRPr="009118AB">
        <w:rPr>
          <w:i/>
          <w:iCs/>
          <w:spacing w:val="-2"/>
          <w:sz w:val="20"/>
          <w:szCs w:val="20"/>
        </w:rPr>
        <w:t> - </w:t>
      </w:r>
      <w:r w:rsidR="003B6CED" w:rsidRPr="009118AB">
        <w:rPr>
          <w:i/>
          <w:iCs/>
          <w:spacing w:val="-2"/>
          <w:sz w:val="20"/>
          <w:szCs w:val="20"/>
        </w:rPr>
        <w:t>in Kraft am 1. Januar 2026 und anwendbar ab dem Steuerjahr 2027, das sich auf einen Besteuerungszeitraum bezieht, der frühestens am 1. Januar 2026 beginnt</w:t>
      </w:r>
      <w:r w:rsidR="00FD68E8" w:rsidRPr="009118AB">
        <w:rPr>
          <w:i/>
          <w:iCs/>
          <w:spacing w:val="-2"/>
          <w:sz w:val="20"/>
          <w:szCs w:val="20"/>
        </w:rPr>
        <w:t> -]</w:t>
      </w:r>
      <w:r w:rsidRPr="009118AB">
        <w:rPr>
          <w:spacing w:val="-2"/>
          <w:sz w:val="20"/>
          <w:szCs w:val="20"/>
        </w:rPr>
        <w:t>"</w:t>
      </w:r>
    </w:p>
    <w:p w14:paraId="024D8125" w14:textId="039BD75F" w:rsidR="007628C1" w:rsidRPr="009118AB" w:rsidRDefault="007628C1" w:rsidP="007628C1">
      <w:pPr>
        <w:autoSpaceDE w:val="0"/>
        <w:autoSpaceDN w:val="0"/>
        <w:adjustRightInd w:val="0"/>
        <w:jc w:val="both"/>
        <w:rPr>
          <w:sz w:val="20"/>
          <w:szCs w:val="20"/>
        </w:rPr>
      </w:pPr>
    </w:p>
    <w:p w14:paraId="1BED0AB0" w14:textId="77777777" w:rsidR="003B6CED" w:rsidRPr="009118AB" w:rsidRDefault="003B6CED" w:rsidP="003B6CED">
      <w:pPr>
        <w:autoSpaceDE w:val="0"/>
        <w:autoSpaceDN w:val="0"/>
        <w:adjustRightInd w:val="0"/>
        <w:jc w:val="both"/>
        <w:rPr>
          <w:sz w:val="20"/>
          <w:szCs w:val="20"/>
        </w:rPr>
      </w:pPr>
    </w:p>
    <w:p w14:paraId="41A3EFB9" w14:textId="5C0965A8" w:rsidR="003B6CED" w:rsidRPr="009118AB" w:rsidRDefault="003B6CED" w:rsidP="003B6CED">
      <w:pPr>
        <w:autoSpaceDE w:val="0"/>
        <w:autoSpaceDN w:val="0"/>
        <w:adjustRightInd w:val="0"/>
        <w:jc w:val="both"/>
        <w:rPr>
          <w:sz w:val="20"/>
          <w:szCs w:val="20"/>
        </w:rPr>
      </w:pPr>
      <w:r w:rsidRPr="009118AB">
        <w:rPr>
          <w:sz w:val="20"/>
          <w:szCs w:val="20"/>
        </w:rPr>
        <w:t xml:space="preserve">Ab dem 1. Januar 2027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7 des G. vom 25. November 2021 (B.S. vom 3. Dezember 2021)) lautet </w:t>
      </w:r>
      <w:r w:rsidR="00D67EB8" w:rsidRPr="009118AB">
        <w:rPr>
          <w:sz w:val="20"/>
          <w:szCs w:val="20"/>
        </w:rPr>
        <w:t>Art. </w:t>
      </w:r>
      <w:r w:rsidRPr="009118AB">
        <w:rPr>
          <w:sz w:val="20"/>
          <w:szCs w:val="20"/>
        </w:rPr>
        <w:t>223 wie folgt:</w:t>
      </w:r>
    </w:p>
    <w:p w14:paraId="49305A0F" w14:textId="77777777" w:rsidR="003B6CED" w:rsidRPr="009118AB" w:rsidRDefault="003B6CED" w:rsidP="003B6CED">
      <w:pPr>
        <w:autoSpaceDE w:val="0"/>
        <w:autoSpaceDN w:val="0"/>
        <w:adjustRightInd w:val="0"/>
        <w:jc w:val="both"/>
        <w:rPr>
          <w:sz w:val="20"/>
          <w:szCs w:val="20"/>
        </w:rPr>
      </w:pPr>
    </w:p>
    <w:p w14:paraId="6FBFCCCA" w14:textId="79C73E16" w:rsidR="003B6CED" w:rsidRPr="009118AB" w:rsidRDefault="003B6CED" w:rsidP="003B6CED">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223</w:t>
      </w:r>
      <w:r w:rsidR="00D67EB8" w:rsidRPr="009118AB">
        <w:rPr>
          <w:sz w:val="20"/>
          <w:szCs w:val="20"/>
        </w:rPr>
        <w:t> - </w:t>
      </w:r>
      <w:r w:rsidRPr="009118AB">
        <w:rPr>
          <w:bCs/>
          <w:iCs/>
          <w:sz w:val="20"/>
          <w:szCs w:val="20"/>
        </w:rPr>
        <w:t xml:space="preserve">In Artikel 220 </w:t>
      </w:r>
      <w:r w:rsidR="00D67EB8" w:rsidRPr="009118AB">
        <w:rPr>
          <w:bCs/>
          <w:iCs/>
          <w:sz w:val="20"/>
          <w:szCs w:val="20"/>
        </w:rPr>
        <w:t>Nr. </w:t>
      </w:r>
      <w:r w:rsidRPr="009118AB">
        <w:rPr>
          <w:bCs/>
          <w:iCs/>
          <w:sz w:val="20"/>
          <w:szCs w:val="20"/>
        </w:rPr>
        <w:t>2 und 3 erwähnte juristische Personen sind ebenfalls steuerpflichtig aufgrund:</w:t>
      </w:r>
    </w:p>
    <w:p w14:paraId="2C204CD5" w14:textId="77777777" w:rsidR="003B6CED" w:rsidRPr="009118AB" w:rsidRDefault="003B6CED" w:rsidP="003B6CED">
      <w:pPr>
        <w:autoSpaceDE w:val="0"/>
        <w:autoSpaceDN w:val="0"/>
        <w:adjustRightInd w:val="0"/>
        <w:jc w:val="both"/>
        <w:rPr>
          <w:bCs/>
          <w:iCs/>
          <w:sz w:val="20"/>
          <w:szCs w:val="20"/>
        </w:rPr>
      </w:pPr>
    </w:p>
    <w:p w14:paraId="6E304D22" w14:textId="65109E12" w:rsidR="003B6CED" w:rsidRPr="009118AB" w:rsidRDefault="003B6CED" w:rsidP="003B6CED">
      <w:pPr>
        <w:autoSpaceDE w:val="0"/>
        <w:autoSpaceDN w:val="0"/>
        <w:adjustRightInd w:val="0"/>
        <w:jc w:val="both"/>
        <w:rPr>
          <w:bCs/>
          <w:iCs/>
          <w:sz w:val="20"/>
          <w:szCs w:val="20"/>
        </w:rPr>
      </w:pPr>
      <w:r w:rsidRPr="009118AB">
        <w:rPr>
          <w:bCs/>
          <w:iCs/>
          <w:sz w:val="20"/>
          <w:szCs w:val="20"/>
        </w:rPr>
        <w:t xml:space="preserve">1. [der [in den Artikeln 57 Absatz 1 und] 195 </w:t>
      </w:r>
      <w:r w:rsidR="00D67EB8" w:rsidRPr="009118AB">
        <w:rPr>
          <w:bCs/>
          <w:iCs/>
          <w:sz w:val="20"/>
          <w:szCs w:val="20"/>
        </w:rPr>
        <w:t>§ </w:t>
      </w:r>
      <w:r w:rsidRPr="009118AB">
        <w:rPr>
          <w:bCs/>
          <w:iCs/>
          <w:sz w:val="20"/>
          <w:szCs w:val="20"/>
        </w:rPr>
        <w:t>1 Absatz 1 erwähnten Ausgaben</w:t>
      </w:r>
      <w:r w:rsidR="00C639FE" w:rsidRPr="009118AB">
        <w:rPr>
          <w:bCs/>
          <w:iCs/>
          <w:sz w:val="20"/>
          <w:szCs w:val="20"/>
        </w:rPr>
        <w:t xml:space="preserve">[, der in den Artikeln 31 Absatz 2 </w:t>
      </w:r>
      <w:r w:rsidR="00D67EB8" w:rsidRPr="009118AB">
        <w:rPr>
          <w:bCs/>
          <w:iCs/>
          <w:sz w:val="20"/>
          <w:szCs w:val="20"/>
        </w:rPr>
        <w:t>Nr. </w:t>
      </w:r>
      <w:r w:rsidR="00C639FE" w:rsidRPr="009118AB">
        <w:rPr>
          <w:bCs/>
          <w:iCs/>
          <w:sz w:val="20"/>
          <w:szCs w:val="20"/>
        </w:rPr>
        <w:t xml:space="preserve">2 und 32 Absatz 2 </w:t>
      </w:r>
      <w:r w:rsidR="00D67EB8" w:rsidRPr="009118AB">
        <w:rPr>
          <w:bCs/>
          <w:iCs/>
          <w:sz w:val="20"/>
          <w:szCs w:val="20"/>
        </w:rPr>
        <w:t>Nr. </w:t>
      </w:r>
      <w:r w:rsidR="00C639FE" w:rsidRPr="009118AB">
        <w:rPr>
          <w:bCs/>
          <w:iCs/>
          <w:sz w:val="20"/>
          <w:szCs w:val="20"/>
        </w:rPr>
        <w:t xml:space="preserve">2 erwähnten Vorteile jeglicher Art und der in Artikel 17 </w:t>
      </w:r>
      <w:r w:rsidR="00D67EB8" w:rsidRPr="009118AB">
        <w:rPr>
          <w:bCs/>
          <w:iCs/>
          <w:sz w:val="20"/>
          <w:szCs w:val="20"/>
        </w:rPr>
        <w:t>§ </w:t>
      </w:r>
      <w:r w:rsidR="00C639FE" w:rsidRPr="009118AB">
        <w:rPr>
          <w:bCs/>
          <w:iCs/>
          <w:sz w:val="20"/>
          <w:szCs w:val="20"/>
        </w:rPr>
        <w:t xml:space="preserve">1 </w:t>
      </w:r>
      <w:r w:rsidR="00D67EB8" w:rsidRPr="009118AB">
        <w:rPr>
          <w:bCs/>
          <w:iCs/>
          <w:sz w:val="20"/>
          <w:szCs w:val="20"/>
        </w:rPr>
        <w:t>Nr. </w:t>
      </w:r>
      <w:r w:rsidR="00C639FE" w:rsidRPr="009118AB">
        <w:rPr>
          <w:bCs/>
          <w:iCs/>
          <w:sz w:val="20"/>
          <w:szCs w:val="20"/>
        </w:rPr>
        <w:t xml:space="preserve">3, was Urheberrechte und ähnliche Rechte betrifft, und </w:t>
      </w:r>
      <w:r w:rsidR="00D67EB8" w:rsidRPr="009118AB">
        <w:rPr>
          <w:bCs/>
          <w:iCs/>
          <w:sz w:val="20"/>
          <w:szCs w:val="20"/>
        </w:rPr>
        <w:t>Nr. </w:t>
      </w:r>
      <w:r w:rsidR="00C639FE" w:rsidRPr="009118AB">
        <w:rPr>
          <w:bCs/>
          <w:iCs/>
          <w:sz w:val="20"/>
          <w:szCs w:val="20"/>
        </w:rPr>
        <w:t>5 erwähnten Einkünfte]</w:t>
      </w:r>
      <w:r w:rsidRPr="009118AB">
        <w:rPr>
          <w:bCs/>
          <w:iCs/>
          <w:sz w:val="20"/>
          <w:szCs w:val="20"/>
        </w:rPr>
        <w:t xml:space="preserve">], die nicht durch Individualkarten </w:t>
      </w:r>
      <w:r w:rsidR="00CA61DC" w:rsidRPr="009118AB">
        <w:rPr>
          <w:bCs/>
          <w:iCs/>
          <w:sz w:val="20"/>
          <w:szCs w:val="20"/>
        </w:rPr>
        <w:t>[...]</w:t>
      </w:r>
      <w:r w:rsidRPr="009118AB">
        <w:rPr>
          <w:bCs/>
          <w:iCs/>
          <w:sz w:val="20"/>
          <w:szCs w:val="20"/>
        </w:rPr>
        <w:t xml:space="preserve"> nachgewiesen werden,</w:t>
      </w:r>
    </w:p>
    <w:p w14:paraId="4E0C15AD" w14:textId="77777777" w:rsidR="003B6CED" w:rsidRPr="009118AB" w:rsidRDefault="003B6CED" w:rsidP="003B6CED">
      <w:pPr>
        <w:autoSpaceDE w:val="0"/>
        <w:autoSpaceDN w:val="0"/>
        <w:adjustRightInd w:val="0"/>
        <w:jc w:val="both"/>
        <w:rPr>
          <w:bCs/>
          <w:iCs/>
          <w:sz w:val="20"/>
          <w:szCs w:val="20"/>
        </w:rPr>
      </w:pPr>
    </w:p>
    <w:p w14:paraId="40A85F4C" w14:textId="67C2996F" w:rsidR="003B6CED" w:rsidRPr="009118AB" w:rsidRDefault="003B6CED" w:rsidP="003B6CED">
      <w:pPr>
        <w:autoSpaceDE w:val="0"/>
        <w:autoSpaceDN w:val="0"/>
        <w:adjustRightInd w:val="0"/>
        <w:jc w:val="both"/>
        <w:rPr>
          <w:bCs/>
          <w:iCs/>
          <w:spacing w:val="-2"/>
          <w:sz w:val="20"/>
          <w:szCs w:val="20"/>
        </w:rPr>
      </w:pPr>
      <w:r w:rsidRPr="009118AB">
        <w:rPr>
          <w:bCs/>
          <w:iCs/>
          <w:spacing w:val="-2"/>
          <w:sz w:val="20"/>
          <w:szCs w:val="20"/>
        </w:rPr>
        <w:t xml:space="preserve">2. [der in den Artikeln 52 </w:t>
      </w:r>
      <w:r w:rsidR="00D67EB8" w:rsidRPr="009118AB">
        <w:rPr>
          <w:bCs/>
          <w:iCs/>
          <w:spacing w:val="-2"/>
          <w:sz w:val="20"/>
          <w:szCs w:val="20"/>
        </w:rPr>
        <w:t>Nr. </w:t>
      </w:r>
      <w:r w:rsidRPr="009118AB">
        <w:rPr>
          <w:bCs/>
          <w:iCs/>
          <w:spacing w:val="-2"/>
          <w:sz w:val="20"/>
          <w:szCs w:val="20"/>
        </w:rPr>
        <w:t>3 Buchstabe </w:t>
      </w:r>
      <w:r w:rsidRPr="009118AB">
        <w:rPr>
          <w:bCs/>
          <w:i/>
          <w:iCs/>
          <w:spacing w:val="-2"/>
          <w:sz w:val="20"/>
          <w:szCs w:val="20"/>
        </w:rPr>
        <w:t>b)</w:t>
      </w:r>
      <w:r w:rsidRPr="009118AB">
        <w:rPr>
          <w:bCs/>
          <w:iCs/>
          <w:spacing w:val="-2"/>
          <w:sz w:val="20"/>
          <w:szCs w:val="20"/>
        </w:rPr>
        <w:t xml:space="preserve"> und 195 </w:t>
      </w:r>
      <w:r w:rsidR="00D67EB8" w:rsidRPr="009118AB">
        <w:rPr>
          <w:bCs/>
          <w:iCs/>
          <w:spacing w:val="-2"/>
          <w:sz w:val="20"/>
          <w:szCs w:val="20"/>
        </w:rPr>
        <w:t>§ </w:t>
      </w:r>
      <w:r w:rsidRPr="009118AB">
        <w:rPr>
          <w:bCs/>
          <w:iCs/>
          <w:spacing w:val="-2"/>
          <w:sz w:val="20"/>
          <w:szCs w:val="20"/>
        </w:rPr>
        <w:t xml:space="preserve">2 erwähnten Beiträge und Prämien in dem Maße, wie sie entweder der in Artikel 53 </w:t>
      </w:r>
      <w:r w:rsidR="00D67EB8" w:rsidRPr="009118AB">
        <w:rPr>
          <w:bCs/>
          <w:iCs/>
          <w:spacing w:val="-2"/>
          <w:sz w:val="20"/>
          <w:szCs w:val="20"/>
        </w:rPr>
        <w:t>Nr. </w:t>
      </w:r>
      <w:r w:rsidRPr="009118AB">
        <w:rPr>
          <w:bCs/>
          <w:iCs/>
          <w:spacing w:val="-2"/>
          <w:sz w:val="20"/>
          <w:szCs w:val="20"/>
        </w:rPr>
        <w:t>22 vorgesehenen Grenze oder den in Artikel 59 vorgesehenen Bedingungen und der dort erwähnten Grenze und</w:t>
      </w:r>
      <w:r w:rsidR="00D67EB8" w:rsidRPr="009118AB">
        <w:rPr>
          <w:bCs/>
          <w:iCs/>
          <w:spacing w:val="-2"/>
          <w:sz w:val="20"/>
          <w:szCs w:val="20"/>
        </w:rPr>
        <w:t> - </w:t>
      </w:r>
      <w:r w:rsidRPr="009118AB">
        <w:rPr>
          <w:bCs/>
          <w:iCs/>
          <w:spacing w:val="-2"/>
          <w:sz w:val="20"/>
          <w:szCs w:val="20"/>
        </w:rPr>
        <w:t xml:space="preserve">in Bezug auf die in Artikel 195 </w:t>
      </w:r>
      <w:r w:rsidR="00D67EB8" w:rsidRPr="009118AB">
        <w:rPr>
          <w:bCs/>
          <w:iCs/>
          <w:spacing w:val="-2"/>
          <w:sz w:val="20"/>
          <w:szCs w:val="20"/>
        </w:rPr>
        <w:t>§ </w:t>
      </w:r>
      <w:r w:rsidRPr="009118AB">
        <w:rPr>
          <w:bCs/>
          <w:iCs/>
          <w:spacing w:val="-2"/>
          <w:sz w:val="20"/>
          <w:szCs w:val="20"/>
        </w:rPr>
        <w:t>2 erwähnten Prämien</w:t>
      </w:r>
      <w:r w:rsidR="00D67EB8" w:rsidRPr="009118AB">
        <w:rPr>
          <w:bCs/>
          <w:iCs/>
          <w:spacing w:val="-2"/>
          <w:sz w:val="20"/>
          <w:szCs w:val="20"/>
        </w:rPr>
        <w:t> - </w:t>
      </w:r>
      <w:r w:rsidRPr="009118AB">
        <w:rPr>
          <w:bCs/>
          <w:iCs/>
          <w:spacing w:val="-2"/>
          <w:sz w:val="20"/>
          <w:szCs w:val="20"/>
        </w:rPr>
        <w:t xml:space="preserve">der in Artikel 195 </w:t>
      </w:r>
      <w:r w:rsidR="00D67EB8" w:rsidRPr="009118AB">
        <w:rPr>
          <w:bCs/>
          <w:iCs/>
          <w:spacing w:val="-2"/>
          <w:sz w:val="20"/>
          <w:szCs w:val="20"/>
        </w:rPr>
        <w:t>§ </w:t>
      </w:r>
      <w:r w:rsidRPr="009118AB">
        <w:rPr>
          <w:bCs/>
          <w:iCs/>
          <w:spacing w:val="-2"/>
          <w:sz w:val="20"/>
          <w:szCs w:val="20"/>
        </w:rPr>
        <w:t xml:space="preserve">1 Absatz 2 </w:t>
      </w:r>
      <w:r w:rsidRPr="009118AB">
        <w:rPr>
          <w:bCs/>
          <w:iCs/>
          <w:spacing w:val="-2"/>
          <w:sz w:val="20"/>
          <w:szCs w:val="20"/>
        </w:rPr>
        <w:lastRenderedPageBreak/>
        <w:t xml:space="preserve">erwähnten Bedingung der Regelmäßigkeit nicht entsprechen, der in Artikel 52 </w:t>
      </w:r>
      <w:r w:rsidR="00D67EB8" w:rsidRPr="009118AB">
        <w:rPr>
          <w:bCs/>
          <w:iCs/>
          <w:spacing w:val="-2"/>
          <w:sz w:val="20"/>
          <w:szCs w:val="20"/>
        </w:rPr>
        <w:t>Nr. </w:t>
      </w:r>
      <w:r w:rsidRPr="009118AB">
        <w:rPr>
          <w:bCs/>
          <w:iCs/>
          <w:spacing w:val="-2"/>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118AB">
        <w:rPr>
          <w:bCs/>
          <w:iCs/>
          <w:spacing w:val="-2"/>
          <w:sz w:val="20"/>
          <w:szCs w:val="20"/>
        </w:rPr>
        <w:t>Nr. </w:t>
      </w:r>
      <w:r w:rsidRPr="009118AB">
        <w:rPr>
          <w:bCs/>
          <w:iCs/>
          <w:spacing w:val="-2"/>
          <w:sz w:val="20"/>
          <w:szCs w:val="20"/>
        </w:rPr>
        <w:t>23 erwähnten Kapitalien,]</w:t>
      </w:r>
    </w:p>
    <w:p w14:paraId="165CAB19" w14:textId="77777777" w:rsidR="003B6CED" w:rsidRPr="009118AB" w:rsidRDefault="003B6CED" w:rsidP="003B6CED">
      <w:pPr>
        <w:autoSpaceDE w:val="0"/>
        <w:autoSpaceDN w:val="0"/>
        <w:adjustRightInd w:val="0"/>
        <w:jc w:val="both"/>
        <w:rPr>
          <w:bCs/>
          <w:iCs/>
          <w:sz w:val="20"/>
          <w:szCs w:val="20"/>
        </w:rPr>
      </w:pPr>
    </w:p>
    <w:p w14:paraId="7C1C924E" w14:textId="4ED67937" w:rsidR="003B6CED" w:rsidRPr="009118AB" w:rsidRDefault="003B6CED" w:rsidP="003B6CED">
      <w:pPr>
        <w:autoSpaceDE w:val="0"/>
        <w:autoSpaceDN w:val="0"/>
        <w:adjustRightInd w:val="0"/>
        <w:jc w:val="both"/>
        <w:rPr>
          <w:bCs/>
          <w:iCs/>
          <w:sz w:val="20"/>
          <w:szCs w:val="20"/>
        </w:rPr>
      </w:pPr>
      <w:r w:rsidRPr="009118AB">
        <w:rPr>
          <w:bCs/>
          <w:iCs/>
          <w:sz w:val="20"/>
          <w:szCs w:val="20"/>
        </w:rPr>
        <w:t xml:space="preserve">[3. [der in Artikel 53 </w:t>
      </w:r>
      <w:r w:rsidR="00D67EB8" w:rsidRPr="009118AB">
        <w:rPr>
          <w:bCs/>
          <w:iCs/>
          <w:sz w:val="20"/>
          <w:szCs w:val="20"/>
        </w:rPr>
        <w:t>Nr. </w:t>
      </w:r>
      <w:r w:rsidRPr="009118AB">
        <w:rPr>
          <w:bCs/>
          <w:iCs/>
          <w:sz w:val="20"/>
          <w:szCs w:val="20"/>
        </w:rPr>
        <w:t>24 erwähnten finanziellen Vorteile oder Vorteile jeglicher Art,]]</w:t>
      </w:r>
    </w:p>
    <w:p w14:paraId="6F25AB53" w14:textId="77777777" w:rsidR="003B6CED" w:rsidRPr="009118AB" w:rsidRDefault="003B6CED" w:rsidP="003B6CED">
      <w:pPr>
        <w:autoSpaceDE w:val="0"/>
        <w:autoSpaceDN w:val="0"/>
        <w:adjustRightInd w:val="0"/>
        <w:jc w:val="both"/>
        <w:rPr>
          <w:bCs/>
          <w:iCs/>
          <w:sz w:val="20"/>
          <w:szCs w:val="20"/>
        </w:rPr>
      </w:pPr>
    </w:p>
    <w:p w14:paraId="132A8C10" w14:textId="54BF4E03" w:rsidR="003B6CED" w:rsidRPr="009118AB" w:rsidRDefault="003B6CED" w:rsidP="003B6CED">
      <w:pPr>
        <w:autoSpaceDE w:val="0"/>
        <w:autoSpaceDN w:val="0"/>
        <w:adjustRightInd w:val="0"/>
        <w:jc w:val="both"/>
        <w:rPr>
          <w:bCs/>
          <w:iCs/>
          <w:spacing w:val="-2"/>
          <w:sz w:val="20"/>
          <w:szCs w:val="20"/>
        </w:rPr>
      </w:pPr>
      <w:r w:rsidRPr="009118AB">
        <w:rPr>
          <w:bCs/>
          <w:iCs/>
          <w:spacing w:val="-2"/>
          <w:sz w:val="20"/>
          <w:szCs w:val="20"/>
        </w:rPr>
        <w:t>[4. [</w:t>
      </w:r>
      <w:r w:rsidRPr="009118AB">
        <w:rPr>
          <w:spacing w:val="-2"/>
          <w:sz w:val="20"/>
          <w:szCs w:val="20"/>
        </w:rPr>
        <w:t xml:space="preserve">eines Betrags, der 17 Prozent des </w:t>
      </w:r>
      <w:r w:rsidR="001B6061" w:rsidRPr="009118AB">
        <w:rPr>
          <w:spacing w:val="-2"/>
          <w:sz w:val="20"/>
          <w:szCs w:val="20"/>
        </w:rPr>
        <w:t>[</w:t>
      </w:r>
      <w:r w:rsidRPr="009118AB">
        <w:rPr>
          <w:spacing w:val="-2"/>
          <w:sz w:val="20"/>
          <w:szCs w:val="20"/>
        </w:rPr>
        <w:t xml:space="preserve">gemäß Artikel 36 </w:t>
      </w:r>
      <w:r w:rsidR="00D67EB8" w:rsidRPr="009118AB">
        <w:rPr>
          <w:spacing w:val="-2"/>
          <w:sz w:val="20"/>
          <w:szCs w:val="20"/>
        </w:rPr>
        <w:t>§ </w:t>
      </w:r>
      <w:r w:rsidRPr="009118AB">
        <w:rPr>
          <w:spacing w:val="-2"/>
          <w:sz w:val="20"/>
          <w:szCs w:val="20"/>
        </w:rPr>
        <w:t xml:space="preserve">2 Absatz 1 bis </w:t>
      </w:r>
      <w:r w:rsidR="001B6061" w:rsidRPr="009118AB">
        <w:rPr>
          <w:spacing w:val="-2"/>
          <w:sz w:val="20"/>
          <w:szCs w:val="20"/>
        </w:rPr>
        <w:t>12]</w:t>
      </w:r>
      <w:r w:rsidRPr="009118AB">
        <w:rPr>
          <w:spacing w:val="-2"/>
          <w:sz w:val="20"/>
          <w:szCs w:val="20"/>
        </w:rPr>
        <w:t xml:space="preserve"> bestimmten Betrags entspricht, wenn in Artikel 65 erwähnte Fahrzeuge kostenlos oder nicht kostenlos zu persönlichen Zwecken zur Verfügung gestellt werden,</w:t>
      </w:r>
      <w:r w:rsidRPr="009118AB">
        <w:rPr>
          <w:bCs/>
          <w:iCs/>
          <w:spacing w:val="-2"/>
          <w:sz w:val="20"/>
          <w:szCs w:val="20"/>
        </w:rPr>
        <w:t>]]</w:t>
      </w:r>
    </w:p>
    <w:p w14:paraId="624BED7E" w14:textId="77777777" w:rsidR="003B6CED" w:rsidRPr="009118AB" w:rsidRDefault="003B6CED" w:rsidP="003B6CED">
      <w:pPr>
        <w:autoSpaceDE w:val="0"/>
        <w:autoSpaceDN w:val="0"/>
        <w:adjustRightInd w:val="0"/>
        <w:jc w:val="both"/>
        <w:rPr>
          <w:bCs/>
          <w:iCs/>
          <w:sz w:val="20"/>
          <w:szCs w:val="20"/>
        </w:rPr>
      </w:pPr>
    </w:p>
    <w:p w14:paraId="15E2F702" w14:textId="0D510CB0" w:rsidR="003B6CED" w:rsidRPr="009118AB" w:rsidRDefault="003B6CED" w:rsidP="003B6CED">
      <w:pPr>
        <w:autoSpaceDE w:val="0"/>
        <w:autoSpaceDN w:val="0"/>
        <w:adjustRightInd w:val="0"/>
        <w:jc w:val="both"/>
        <w:rPr>
          <w:bCs/>
          <w:iCs/>
          <w:sz w:val="20"/>
          <w:szCs w:val="20"/>
        </w:rPr>
      </w:pPr>
      <w:r w:rsidRPr="009118AB">
        <w:rPr>
          <w:bCs/>
          <w:iCs/>
          <w:sz w:val="20"/>
          <w:szCs w:val="20"/>
        </w:rPr>
        <w:t>[</w:t>
      </w:r>
      <w:r w:rsidR="001F2122" w:rsidRPr="009118AB">
        <w:rPr>
          <w:bCs/>
          <w:iCs/>
          <w:sz w:val="20"/>
          <w:szCs w:val="20"/>
        </w:rPr>
        <w:t>...</w:t>
      </w:r>
      <w:r w:rsidRPr="009118AB">
        <w:rPr>
          <w:bCs/>
          <w:iCs/>
          <w:sz w:val="20"/>
          <w:szCs w:val="20"/>
        </w:rPr>
        <w:t>]</w:t>
      </w:r>
    </w:p>
    <w:p w14:paraId="3F2AC159" w14:textId="77777777" w:rsidR="003B6CED" w:rsidRPr="009118AB" w:rsidRDefault="003B6CED" w:rsidP="003B6CED">
      <w:pPr>
        <w:autoSpaceDE w:val="0"/>
        <w:autoSpaceDN w:val="0"/>
        <w:adjustRightInd w:val="0"/>
        <w:jc w:val="both"/>
        <w:rPr>
          <w:bCs/>
          <w:iCs/>
          <w:sz w:val="20"/>
          <w:szCs w:val="20"/>
        </w:rPr>
      </w:pPr>
    </w:p>
    <w:p w14:paraId="664840F5" w14:textId="61C98E1D" w:rsidR="003B6CED" w:rsidRPr="009118AB" w:rsidRDefault="003B6CED" w:rsidP="003B6CED">
      <w:pPr>
        <w:autoSpaceDE w:val="0"/>
        <w:autoSpaceDN w:val="0"/>
        <w:adjustRightInd w:val="0"/>
        <w:jc w:val="both"/>
        <w:rPr>
          <w:sz w:val="20"/>
          <w:szCs w:val="20"/>
        </w:rPr>
      </w:pPr>
      <w:r w:rsidRPr="009118AB">
        <w:rPr>
          <w:bCs/>
          <w:iCs/>
          <w:sz w:val="20"/>
          <w:szCs w:val="20"/>
        </w:rPr>
        <w:t>[</w:t>
      </w:r>
      <w:r w:rsidRPr="009118AB">
        <w:rPr>
          <w:sz w:val="20"/>
          <w:szCs w:val="20"/>
        </w:rPr>
        <w:t xml:space="preserve">5. [eines Betrags, der in Abweichung von </w:t>
      </w:r>
      <w:r w:rsidR="00D67EB8" w:rsidRPr="009118AB">
        <w:rPr>
          <w:sz w:val="20"/>
          <w:szCs w:val="20"/>
        </w:rPr>
        <w:t>Nr. </w:t>
      </w:r>
      <w:r w:rsidRPr="009118AB">
        <w:rPr>
          <w:sz w:val="20"/>
          <w:szCs w:val="20"/>
        </w:rPr>
        <w:t xml:space="preserve">4 40 Prozent des </w:t>
      </w:r>
      <w:r w:rsidR="001B6061"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1B6061"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7CF0D7BC" w14:textId="77777777" w:rsidR="003B6CED" w:rsidRPr="009118AB" w:rsidRDefault="003B6CED" w:rsidP="003B6CED">
      <w:pPr>
        <w:autoSpaceDE w:val="0"/>
        <w:autoSpaceDN w:val="0"/>
        <w:adjustRightInd w:val="0"/>
        <w:jc w:val="both"/>
        <w:rPr>
          <w:sz w:val="20"/>
          <w:szCs w:val="20"/>
        </w:rPr>
      </w:pPr>
    </w:p>
    <w:p w14:paraId="3E91343E" w14:textId="2882D8BB" w:rsidR="003B6CED" w:rsidRPr="009118AB" w:rsidRDefault="003B6CED" w:rsidP="003B6CED">
      <w:pPr>
        <w:autoSpaceDE w:val="0"/>
        <w:autoSpaceDN w:val="0"/>
        <w:adjustRightInd w:val="0"/>
        <w:jc w:val="both"/>
        <w:rPr>
          <w:sz w:val="20"/>
          <w:szCs w:val="20"/>
        </w:rPr>
      </w:pPr>
      <w:r w:rsidRPr="009118AB">
        <w:rPr>
          <w:sz w:val="20"/>
          <w:szCs w:val="20"/>
        </w:rPr>
        <w:t>[</w:t>
      </w:r>
      <w:r w:rsidR="0065143C" w:rsidRPr="009118AB">
        <w:rPr>
          <w:sz w:val="20"/>
          <w:szCs w:val="20"/>
        </w:rPr>
        <w:t>...</w:t>
      </w:r>
      <w:r w:rsidRPr="009118AB">
        <w:rPr>
          <w:sz w:val="20"/>
          <w:szCs w:val="20"/>
        </w:rPr>
        <w:t>]</w:t>
      </w:r>
    </w:p>
    <w:p w14:paraId="638E0C8E" w14:textId="77777777" w:rsidR="003B6CED" w:rsidRPr="009118AB" w:rsidRDefault="003B6CED" w:rsidP="003B6CED">
      <w:pPr>
        <w:autoSpaceDE w:val="0"/>
        <w:autoSpaceDN w:val="0"/>
        <w:adjustRightInd w:val="0"/>
        <w:jc w:val="both"/>
        <w:rPr>
          <w:sz w:val="20"/>
          <w:szCs w:val="20"/>
        </w:rPr>
      </w:pPr>
    </w:p>
    <w:p w14:paraId="5B84A237" w14:textId="5BAB4F91" w:rsidR="003B6CED" w:rsidRPr="009118AB" w:rsidRDefault="003B6CED" w:rsidP="003B6CED">
      <w:pPr>
        <w:autoSpaceDE w:val="0"/>
        <w:autoSpaceDN w:val="0"/>
        <w:adjustRightInd w:val="0"/>
        <w:jc w:val="both"/>
        <w:rPr>
          <w:sz w:val="20"/>
          <w:szCs w:val="20"/>
        </w:rPr>
      </w:pPr>
      <w:r w:rsidRPr="009118AB">
        <w:rPr>
          <w:sz w:val="20"/>
          <w:szCs w:val="20"/>
        </w:rPr>
        <w:t>[6. der Kosten in Bezug auf die Nutzung der in Artikel 65 erwähnten Fahrzeuge, die ab dem 1. Januar 2026 gekauft, geleast oder gemietet werden, es sei denn, es handelt sich um ein Fahrzeug, das kein CO</w:t>
      </w:r>
      <w:r w:rsidRPr="009118AB">
        <w:rPr>
          <w:sz w:val="20"/>
          <w:szCs w:val="20"/>
          <w:vertAlign w:val="subscript"/>
        </w:rPr>
        <w:t>2</w:t>
      </w:r>
      <w:r w:rsidRPr="009118AB">
        <w:rPr>
          <w:sz w:val="20"/>
          <w:szCs w:val="20"/>
        </w:rPr>
        <w:t xml:space="preserve"> ausstößt,]</w:t>
      </w:r>
    </w:p>
    <w:p w14:paraId="56184FE8" w14:textId="7DBE5623" w:rsidR="003B6CED" w:rsidRPr="009118AB" w:rsidRDefault="003B6CED" w:rsidP="003B6CED">
      <w:pPr>
        <w:autoSpaceDE w:val="0"/>
        <w:autoSpaceDN w:val="0"/>
        <w:adjustRightInd w:val="0"/>
        <w:jc w:val="both"/>
        <w:rPr>
          <w:sz w:val="20"/>
          <w:szCs w:val="20"/>
        </w:rPr>
      </w:pPr>
    </w:p>
    <w:p w14:paraId="09FB7B46" w14:textId="4801CA38" w:rsidR="003B6CED" w:rsidRPr="009118AB" w:rsidRDefault="003B6CED" w:rsidP="003B6CED">
      <w:pPr>
        <w:autoSpaceDE w:val="0"/>
        <w:autoSpaceDN w:val="0"/>
        <w:adjustRightInd w:val="0"/>
        <w:jc w:val="both"/>
        <w:rPr>
          <w:sz w:val="20"/>
          <w:szCs w:val="20"/>
        </w:rPr>
      </w:pPr>
      <w:r w:rsidRPr="009118AB">
        <w:rPr>
          <w:sz w:val="20"/>
          <w:szCs w:val="20"/>
        </w:rPr>
        <w:t>[7. eines Betrags, der 5 Prozent der Kosten in Bezug auf die Nutzung der in Artikel 65 erwähnten Fahrzeuge entspricht, die kein CO</w:t>
      </w:r>
      <w:r w:rsidRPr="009118AB">
        <w:rPr>
          <w:sz w:val="20"/>
          <w:szCs w:val="20"/>
          <w:vertAlign w:val="subscript"/>
        </w:rPr>
        <w:t>2</w:t>
      </w:r>
      <w:r w:rsidRPr="009118AB">
        <w:rPr>
          <w:sz w:val="20"/>
          <w:szCs w:val="20"/>
        </w:rPr>
        <w:t xml:space="preserve"> ausstoßen und 2027 gekauft, geleast oder gemietet werden</w:t>
      </w:r>
      <w:r w:rsidR="00261B2A" w:rsidRPr="009118AB">
        <w:rPr>
          <w:sz w:val="20"/>
          <w:szCs w:val="20"/>
        </w:rPr>
        <w:t>,</w:t>
      </w:r>
      <w:r w:rsidRPr="009118AB">
        <w:rPr>
          <w:sz w:val="20"/>
          <w:szCs w:val="20"/>
        </w:rPr>
        <w:t>]</w:t>
      </w:r>
    </w:p>
    <w:p w14:paraId="07B7A31C" w14:textId="2AF917B4" w:rsidR="00261B2A" w:rsidRPr="009118AB" w:rsidRDefault="00261B2A" w:rsidP="003B6CED">
      <w:pPr>
        <w:autoSpaceDE w:val="0"/>
        <w:autoSpaceDN w:val="0"/>
        <w:adjustRightInd w:val="0"/>
        <w:jc w:val="both"/>
        <w:rPr>
          <w:sz w:val="20"/>
          <w:szCs w:val="20"/>
        </w:rPr>
      </w:pPr>
    </w:p>
    <w:p w14:paraId="78D401D8" w14:textId="55995807" w:rsidR="00261B2A" w:rsidRPr="009118AB" w:rsidRDefault="00261B2A" w:rsidP="00261B2A">
      <w:pPr>
        <w:autoSpaceDE w:val="0"/>
        <w:autoSpaceDN w:val="0"/>
        <w:adjustRightInd w:val="0"/>
        <w:jc w:val="both"/>
        <w:rPr>
          <w:sz w:val="20"/>
          <w:szCs w:val="20"/>
        </w:rPr>
      </w:pPr>
      <w:r w:rsidRPr="009118AB">
        <w:rPr>
          <w:sz w:val="20"/>
          <w:szCs w:val="20"/>
        </w:rPr>
        <w:t>[8. der Provisionen, Maklergebühren, kommerziellen oder anderen Ermäßigungen, zufälligen oder nicht zufälligen Entgelte oder Honorare, Zuwendungen, Vergütungen oder Vorteile jeglicher Art</w:t>
      </w:r>
      <w:r w:rsidR="00D67EB8" w:rsidRPr="009118AB">
        <w:rPr>
          <w:sz w:val="20"/>
          <w:szCs w:val="20"/>
        </w:rPr>
        <w:t> - </w:t>
      </w:r>
      <w:r w:rsidRPr="009118AB">
        <w:rPr>
          <w:sz w:val="20"/>
          <w:szCs w:val="20"/>
        </w:rPr>
        <w:t>in dem Maße, wie sie sich auf mehr als 3 Prozent der gesamten Bruttoentlohnung des Sportlers belaufen, die während der Dauer des Arbeitsvertrags pro Jahr berechnet wird</w:t>
      </w:r>
      <w:r w:rsidR="00FD68E8" w:rsidRPr="009118AB">
        <w:rPr>
          <w:sz w:val="20"/>
          <w:szCs w:val="20"/>
        </w:rPr>
        <w:t> -,</w:t>
      </w:r>
      <w:r w:rsidRPr="009118AB">
        <w:rPr>
          <w:sz w:val="20"/>
          <w:szCs w:val="20"/>
        </w:rPr>
        <w:t xml:space="preserve"> die direkt oder indirekt im Rahmen eines Vertrags gezahlt werden, der Folgendes zum Ziel hat:</w:t>
      </w:r>
    </w:p>
    <w:p w14:paraId="7857AD22" w14:textId="77777777" w:rsidR="00261B2A" w:rsidRPr="009118AB" w:rsidRDefault="00261B2A" w:rsidP="00261B2A">
      <w:pPr>
        <w:autoSpaceDE w:val="0"/>
        <w:autoSpaceDN w:val="0"/>
        <w:adjustRightInd w:val="0"/>
        <w:jc w:val="both"/>
        <w:rPr>
          <w:sz w:val="20"/>
          <w:szCs w:val="20"/>
        </w:rPr>
      </w:pPr>
    </w:p>
    <w:p w14:paraId="5699E052" w14:textId="6E6CAD27" w:rsidR="00261B2A" w:rsidRPr="009118AB" w:rsidRDefault="00261B2A" w:rsidP="00261B2A">
      <w:pPr>
        <w:autoSpaceDE w:val="0"/>
        <w:autoSpaceDN w:val="0"/>
        <w:adjustRightInd w:val="0"/>
        <w:jc w:val="both"/>
        <w:rPr>
          <w:sz w:val="20"/>
          <w:szCs w:val="20"/>
        </w:rPr>
      </w:pPr>
      <w:r w:rsidRPr="009118AB">
        <w:rPr>
          <w:i/>
          <w:iCs/>
          <w:sz w:val="20"/>
          <w:szCs w:val="20"/>
        </w:rPr>
        <w:t>a)</w:t>
      </w:r>
      <w:r w:rsidRPr="009118AB">
        <w:rPr>
          <w:sz w:val="20"/>
          <w:szCs w:val="20"/>
        </w:rPr>
        <w:t> entweder einen Sportler bei Verhandlungen im Hinblick auf den Abschluss, die Verlängerung, Erneuerung oder Beendigung eines Arbeitsvertrags bei einem Sportclub zu unterstützen</w:t>
      </w:r>
    </w:p>
    <w:p w14:paraId="683F8413" w14:textId="77777777" w:rsidR="00261B2A" w:rsidRPr="009118AB" w:rsidRDefault="00261B2A" w:rsidP="00261B2A">
      <w:pPr>
        <w:autoSpaceDE w:val="0"/>
        <w:autoSpaceDN w:val="0"/>
        <w:adjustRightInd w:val="0"/>
        <w:jc w:val="both"/>
        <w:rPr>
          <w:sz w:val="20"/>
          <w:szCs w:val="20"/>
        </w:rPr>
      </w:pPr>
    </w:p>
    <w:p w14:paraId="67BAC862" w14:textId="7C408BD9" w:rsidR="00261B2A" w:rsidRPr="009118AB" w:rsidRDefault="00261B2A" w:rsidP="00261B2A">
      <w:pPr>
        <w:autoSpaceDE w:val="0"/>
        <w:autoSpaceDN w:val="0"/>
        <w:adjustRightInd w:val="0"/>
        <w:jc w:val="both"/>
        <w:rPr>
          <w:sz w:val="20"/>
          <w:szCs w:val="20"/>
        </w:rPr>
      </w:pPr>
      <w:r w:rsidRPr="009118AB">
        <w:rPr>
          <w:i/>
          <w:iCs/>
          <w:sz w:val="20"/>
          <w:szCs w:val="20"/>
        </w:rPr>
        <w:t>b)</w:t>
      </w:r>
      <w:r w:rsidRPr="009118AB">
        <w:rPr>
          <w:sz w:val="20"/>
          <w:szCs w:val="20"/>
        </w:rPr>
        <w:t xml:space="preserve"> oder einen in Artikel 270 </w:t>
      </w:r>
      <w:r w:rsidR="00D67EB8" w:rsidRPr="009118AB">
        <w:rPr>
          <w:sz w:val="20"/>
          <w:szCs w:val="20"/>
        </w:rPr>
        <w:t>Nr. </w:t>
      </w:r>
      <w:r w:rsidRPr="009118AB">
        <w:rPr>
          <w:sz w:val="20"/>
          <w:szCs w:val="20"/>
        </w:rPr>
        <w:t>1 oder 3 erwähnten Schuldner des Berufssteuer</w:t>
      </w:r>
      <w:r w:rsidRPr="009118AB">
        <w:rPr>
          <w:sz w:val="20"/>
          <w:szCs w:val="20"/>
        </w:rPr>
        <w:softHyphen/>
        <w:t>vorabzugs bei Verhandlungen im Hinblick auf den Abschluss, die Verlängerung, Erneuerung oder Beendigung eines Arbeitsvertrags mit einem Sportler zu unterstützen</w:t>
      </w:r>
    </w:p>
    <w:p w14:paraId="03A63EA2" w14:textId="77777777" w:rsidR="00261B2A" w:rsidRPr="009118AB" w:rsidRDefault="00261B2A" w:rsidP="00261B2A">
      <w:pPr>
        <w:autoSpaceDE w:val="0"/>
        <w:autoSpaceDN w:val="0"/>
        <w:adjustRightInd w:val="0"/>
        <w:jc w:val="both"/>
        <w:rPr>
          <w:sz w:val="20"/>
          <w:szCs w:val="20"/>
        </w:rPr>
      </w:pPr>
    </w:p>
    <w:p w14:paraId="310F2683" w14:textId="42EB88F2" w:rsidR="00261B2A" w:rsidRPr="009118AB" w:rsidRDefault="00261B2A" w:rsidP="00261B2A">
      <w:pPr>
        <w:autoSpaceDE w:val="0"/>
        <w:autoSpaceDN w:val="0"/>
        <w:adjustRightInd w:val="0"/>
        <w:jc w:val="both"/>
        <w:rPr>
          <w:bCs/>
          <w:iCs/>
          <w:sz w:val="20"/>
          <w:szCs w:val="20"/>
        </w:rPr>
      </w:pPr>
      <w:r w:rsidRPr="009118AB">
        <w:rPr>
          <w:i/>
          <w:iCs/>
          <w:sz w:val="20"/>
          <w:szCs w:val="20"/>
        </w:rPr>
        <w:t>c)</w:t>
      </w:r>
      <w:r w:rsidRPr="009118AB">
        <w:rPr>
          <w:sz w:val="20"/>
          <w:szCs w:val="20"/>
        </w:rPr>
        <w:t> oder eine Ausleihe oder einen definitiven Transfer im Hinblick auf die Ankunft oder den Weggang eines Sportlers zu regeln.]</w:t>
      </w:r>
    </w:p>
    <w:p w14:paraId="0A4FF0C6" w14:textId="77777777" w:rsidR="003B6CED" w:rsidRPr="009118AB" w:rsidRDefault="003B6CED" w:rsidP="003B6CED">
      <w:pPr>
        <w:autoSpaceDE w:val="0"/>
        <w:autoSpaceDN w:val="0"/>
        <w:adjustRightInd w:val="0"/>
        <w:jc w:val="both"/>
        <w:rPr>
          <w:bCs/>
          <w:iCs/>
          <w:sz w:val="20"/>
          <w:szCs w:val="20"/>
        </w:rPr>
      </w:pPr>
    </w:p>
    <w:p w14:paraId="37D498C6" w14:textId="77777777" w:rsidR="003B6CED" w:rsidRPr="009118AB" w:rsidRDefault="003B6CED" w:rsidP="003B6CED">
      <w:pPr>
        <w:autoSpaceDE w:val="0"/>
        <w:autoSpaceDN w:val="0"/>
        <w:adjustRightInd w:val="0"/>
        <w:jc w:val="both"/>
        <w:rPr>
          <w:bCs/>
          <w:iCs/>
          <w:spacing w:val="-2"/>
          <w:sz w:val="20"/>
          <w:szCs w:val="20"/>
        </w:rPr>
      </w:pPr>
      <w:r w:rsidRPr="009118AB">
        <w:rPr>
          <w:bCs/>
          <w:iCs/>
          <w:spacing w:val="-2"/>
          <w:sz w:val="20"/>
          <w:szCs w:val="20"/>
        </w:rPr>
        <w:t>[Für die Anwendung von Absatz 1 werden in Artikel 32 erwähnte Unternehmensleiter Arbeitnehmern gleichgestellt.]</w:t>
      </w:r>
    </w:p>
    <w:p w14:paraId="71F5AA49" w14:textId="77777777" w:rsidR="003B6CED" w:rsidRPr="009118AB" w:rsidRDefault="003B6CED" w:rsidP="003B6CED">
      <w:pPr>
        <w:autoSpaceDE w:val="0"/>
        <w:autoSpaceDN w:val="0"/>
        <w:adjustRightInd w:val="0"/>
        <w:jc w:val="both"/>
        <w:rPr>
          <w:bCs/>
          <w:iCs/>
          <w:spacing w:val="-2"/>
          <w:sz w:val="20"/>
          <w:szCs w:val="20"/>
        </w:rPr>
      </w:pPr>
    </w:p>
    <w:p w14:paraId="7892A1DC" w14:textId="06BFC6D3" w:rsidR="003B6CED" w:rsidRPr="009118AB" w:rsidRDefault="003B6CED" w:rsidP="003B6CED">
      <w:pPr>
        <w:autoSpaceDE w:val="0"/>
        <w:autoSpaceDN w:val="0"/>
        <w:adjustRightInd w:val="0"/>
        <w:jc w:val="both"/>
        <w:rPr>
          <w:sz w:val="20"/>
          <w:szCs w:val="20"/>
        </w:rPr>
      </w:pPr>
      <w:r w:rsidRPr="009118AB">
        <w:rPr>
          <w:bCs/>
          <w:iCs/>
          <w:sz w:val="20"/>
          <w:szCs w:val="20"/>
        </w:rPr>
        <w:t>[</w:t>
      </w: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Steuerpflichtige nachweist, dass </w:t>
      </w:r>
      <w:r w:rsidR="001B6061" w:rsidRPr="009118AB">
        <w:rPr>
          <w:sz w:val="20"/>
          <w:szCs w:val="20"/>
        </w:rPr>
        <w:t xml:space="preserve">[der Betrag der in Artikel 57 Absatz 1 erwähnten Ausgaben, der in den Artikeln 31 Absatz 2 </w:t>
      </w:r>
      <w:r w:rsidR="00D67EB8" w:rsidRPr="009118AB">
        <w:rPr>
          <w:sz w:val="20"/>
          <w:szCs w:val="20"/>
        </w:rPr>
        <w:t>Nr. </w:t>
      </w:r>
      <w:r w:rsidR="001B6061" w:rsidRPr="009118AB">
        <w:rPr>
          <w:sz w:val="20"/>
          <w:szCs w:val="20"/>
        </w:rPr>
        <w:t xml:space="preserve">2 und 32 Absatz 2 </w:t>
      </w:r>
      <w:r w:rsidR="00D67EB8" w:rsidRPr="009118AB">
        <w:rPr>
          <w:sz w:val="20"/>
          <w:szCs w:val="20"/>
        </w:rPr>
        <w:t>Nr. </w:t>
      </w:r>
      <w:r w:rsidR="001B6061" w:rsidRPr="009118AB">
        <w:rPr>
          <w:sz w:val="20"/>
          <w:szCs w:val="20"/>
        </w:rPr>
        <w:t xml:space="preserve">2 erwähnten Vorteile jeglicher Art oder der in Artikel 17 </w:t>
      </w:r>
      <w:r w:rsidR="00D67EB8" w:rsidRPr="009118AB">
        <w:rPr>
          <w:sz w:val="20"/>
          <w:szCs w:val="20"/>
        </w:rPr>
        <w:t>§ </w:t>
      </w:r>
      <w:r w:rsidR="001B6061" w:rsidRPr="009118AB">
        <w:rPr>
          <w:sz w:val="20"/>
          <w:szCs w:val="20"/>
        </w:rPr>
        <w:t xml:space="preserve">1 </w:t>
      </w:r>
      <w:r w:rsidR="00D67EB8" w:rsidRPr="009118AB">
        <w:rPr>
          <w:sz w:val="20"/>
          <w:szCs w:val="20"/>
        </w:rPr>
        <w:t>Nr. </w:t>
      </w:r>
      <w:r w:rsidR="001B6061" w:rsidRPr="009118AB">
        <w:rPr>
          <w:sz w:val="20"/>
          <w:szCs w:val="20"/>
        </w:rPr>
        <w:t xml:space="preserve">3, was Urheberrechte und ähnliche Rechte betrifft, und </w:t>
      </w:r>
      <w:r w:rsidR="00D67EB8" w:rsidRPr="009118AB">
        <w:rPr>
          <w:sz w:val="20"/>
          <w:szCs w:val="20"/>
        </w:rPr>
        <w:t>Nr. </w:t>
      </w:r>
      <w:r w:rsidR="001B6061" w:rsidRPr="009118AB">
        <w:rPr>
          <w:sz w:val="20"/>
          <w:szCs w:val="20"/>
        </w:rPr>
        <w:t>5 erwähnten Einkünfte]</w:t>
      </w:r>
      <w:r w:rsidRPr="009118AB">
        <w:rPr>
          <w:sz w:val="20"/>
          <w:szCs w:val="20"/>
        </w:rPr>
        <w:t xml:space="preserve"> [in einer vom Empfänger gemäß Artikel 305 eingereichten Erklärung oder in einer vom Empfänger im Ausland eingereichten gleichartigen Erklärung] enthalten ist.]</w:t>
      </w:r>
    </w:p>
    <w:p w14:paraId="2C587221" w14:textId="77777777" w:rsidR="003B6CED" w:rsidRPr="009118AB" w:rsidRDefault="003B6CED" w:rsidP="003B6CED">
      <w:pPr>
        <w:autoSpaceDE w:val="0"/>
        <w:autoSpaceDN w:val="0"/>
        <w:adjustRightInd w:val="0"/>
        <w:jc w:val="both"/>
        <w:rPr>
          <w:sz w:val="20"/>
          <w:szCs w:val="20"/>
        </w:rPr>
      </w:pPr>
    </w:p>
    <w:p w14:paraId="581F238B" w14:textId="27B84A8F" w:rsidR="003B6CED" w:rsidRPr="009118AB" w:rsidRDefault="003B6CED" w:rsidP="003B6CED">
      <w:pPr>
        <w:autoSpaceDE w:val="0"/>
        <w:autoSpaceDN w:val="0"/>
        <w:adjustRightInd w:val="0"/>
        <w:jc w:val="both"/>
        <w:rPr>
          <w:sz w:val="20"/>
          <w:szCs w:val="20"/>
        </w:rPr>
      </w:pP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Empfänger spätestens zwei Jahre und sechs Monate ab dem 1. Januar des betreffenden Steuerjahres eindeutig identifiziert worden ist [oder wenn </w:t>
      </w:r>
      <w:r w:rsidR="001B6061" w:rsidRPr="009118AB">
        <w:rPr>
          <w:sz w:val="20"/>
          <w:szCs w:val="20"/>
        </w:rPr>
        <w:t xml:space="preserve">[der Betrag der in den Artikeln 31 Absatz 2 </w:t>
      </w:r>
      <w:r w:rsidR="00D67EB8" w:rsidRPr="009118AB">
        <w:rPr>
          <w:sz w:val="20"/>
          <w:szCs w:val="20"/>
        </w:rPr>
        <w:t>Nr. </w:t>
      </w:r>
      <w:r w:rsidR="001B6061" w:rsidRPr="009118AB">
        <w:rPr>
          <w:sz w:val="20"/>
          <w:szCs w:val="20"/>
        </w:rPr>
        <w:t xml:space="preserve">2 und 32 Absatz 2 </w:t>
      </w:r>
      <w:r w:rsidR="00D67EB8" w:rsidRPr="009118AB">
        <w:rPr>
          <w:sz w:val="20"/>
          <w:szCs w:val="20"/>
        </w:rPr>
        <w:t>Nr. </w:t>
      </w:r>
      <w:r w:rsidR="001B6061" w:rsidRPr="009118AB">
        <w:rPr>
          <w:sz w:val="20"/>
          <w:szCs w:val="20"/>
        </w:rPr>
        <w:t xml:space="preserve">2 erwähnten Vorteile jeglicher Art, der in Artikel 57 Absatz 1 erwähnten Ausgaben oder der in Artikel 17 </w:t>
      </w:r>
      <w:r w:rsidR="00D67EB8" w:rsidRPr="009118AB">
        <w:rPr>
          <w:sz w:val="20"/>
          <w:szCs w:val="20"/>
        </w:rPr>
        <w:t>§ </w:t>
      </w:r>
      <w:r w:rsidR="001B6061" w:rsidRPr="009118AB">
        <w:rPr>
          <w:sz w:val="20"/>
          <w:szCs w:val="20"/>
        </w:rPr>
        <w:t xml:space="preserve">1 </w:t>
      </w:r>
      <w:r w:rsidR="00D67EB8" w:rsidRPr="009118AB">
        <w:rPr>
          <w:sz w:val="20"/>
          <w:szCs w:val="20"/>
        </w:rPr>
        <w:t>Nr. </w:t>
      </w:r>
      <w:r w:rsidR="001B6061" w:rsidRPr="009118AB">
        <w:rPr>
          <w:sz w:val="20"/>
          <w:szCs w:val="20"/>
        </w:rPr>
        <w:t xml:space="preserve">3, was Urheberrechte und ähnliche Rechte betrifft, und </w:t>
      </w:r>
      <w:r w:rsidR="00D67EB8" w:rsidRPr="009118AB">
        <w:rPr>
          <w:sz w:val="20"/>
          <w:szCs w:val="20"/>
        </w:rPr>
        <w:t>Nr. </w:t>
      </w:r>
      <w:r w:rsidR="001B6061" w:rsidRPr="009118AB">
        <w:rPr>
          <w:sz w:val="20"/>
          <w:szCs w:val="20"/>
        </w:rPr>
        <w:t>5 erwähnten Einkünfte]</w:t>
      </w:r>
      <w:r w:rsidRPr="009118AB">
        <w:rPr>
          <w:sz w:val="20"/>
          <w:szCs w:val="20"/>
        </w:rPr>
        <w:t xml:space="preserve"> in einer Veranlagung enthalten ist, die in den in den Artikeln 354 Absatz 1 und 2 und 358 erwähnten Fristen </w:t>
      </w:r>
      <w:r w:rsidR="00B818A6" w:rsidRPr="009118AB">
        <w:rPr>
          <w:sz w:val="20"/>
          <w:szCs w:val="20"/>
        </w:rPr>
        <w:t>[bei einem steuerpflichtigen Empfänger wie in Artikel 305 Absatz 1 erwähnt mit seinem Einverständnis]</w:t>
      </w:r>
      <w:r w:rsidRPr="009118AB">
        <w:rPr>
          <w:sz w:val="20"/>
          <w:szCs w:val="20"/>
        </w:rPr>
        <w:t xml:space="preserve"> festgelegt wird].]</w:t>
      </w:r>
    </w:p>
    <w:p w14:paraId="3DA3773E" w14:textId="77777777" w:rsidR="003B6CED" w:rsidRPr="009118AB" w:rsidRDefault="003B6CED" w:rsidP="003B6CED">
      <w:pPr>
        <w:autoSpaceDE w:val="0"/>
        <w:autoSpaceDN w:val="0"/>
        <w:adjustRightInd w:val="0"/>
        <w:jc w:val="both"/>
        <w:rPr>
          <w:sz w:val="20"/>
          <w:szCs w:val="20"/>
        </w:rPr>
      </w:pPr>
    </w:p>
    <w:p w14:paraId="58CCD391" w14:textId="77777777" w:rsidR="00B818A6" w:rsidRPr="009118AB" w:rsidRDefault="00B818A6">
      <w:pPr>
        <w:rPr>
          <w:sz w:val="20"/>
          <w:szCs w:val="20"/>
        </w:rPr>
      </w:pPr>
      <w:r w:rsidRPr="009118AB">
        <w:rPr>
          <w:sz w:val="20"/>
          <w:szCs w:val="20"/>
        </w:rPr>
        <w:br w:type="page"/>
      </w:r>
    </w:p>
    <w:p w14:paraId="43226701" w14:textId="1DB235F6" w:rsidR="003B6CED" w:rsidRPr="009118AB" w:rsidRDefault="003B6CED" w:rsidP="003B6CED">
      <w:pPr>
        <w:autoSpaceDE w:val="0"/>
        <w:autoSpaceDN w:val="0"/>
        <w:adjustRightInd w:val="0"/>
        <w:jc w:val="both"/>
        <w:rPr>
          <w:sz w:val="20"/>
          <w:szCs w:val="20"/>
        </w:rPr>
      </w:pPr>
      <w:r w:rsidRPr="009118AB">
        <w:rPr>
          <w:sz w:val="20"/>
          <w:szCs w:val="20"/>
        </w:rPr>
        <w:lastRenderedPageBreak/>
        <w:t xml:space="preserve">[Wird ein in [Absatz 1 </w:t>
      </w:r>
      <w:r w:rsidR="00D67EB8" w:rsidRPr="009118AB">
        <w:rPr>
          <w:sz w:val="20"/>
          <w:szCs w:val="20"/>
        </w:rPr>
        <w:t>Nr. </w:t>
      </w:r>
      <w:r w:rsidRPr="009118AB">
        <w:rPr>
          <w:sz w:val="20"/>
          <w:szCs w:val="20"/>
        </w:rPr>
        <w:t xml:space="preserve">6 und 7] erwähntes Fahrzeug einem Dritten zur Nutzung zu persönlichen Zwecken zur Verfügung gestellt, umfassen die in </w:t>
      </w:r>
      <w:r w:rsidR="00FA58D0" w:rsidRPr="009118AB">
        <w:rPr>
          <w:sz w:val="20"/>
          <w:szCs w:val="20"/>
        </w:rPr>
        <w:t xml:space="preserve">[Absatz 1 </w:t>
      </w:r>
      <w:r w:rsidR="00D67EB8" w:rsidRPr="009118AB">
        <w:rPr>
          <w:sz w:val="20"/>
          <w:szCs w:val="20"/>
        </w:rPr>
        <w:t>Nr. </w:t>
      </w:r>
      <w:r w:rsidR="00FA58D0" w:rsidRPr="009118AB">
        <w:rPr>
          <w:sz w:val="20"/>
          <w:szCs w:val="20"/>
        </w:rPr>
        <w:t xml:space="preserve">6 und 7] </w:t>
      </w:r>
      <w:r w:rsidRPr="009118AB">
        <w:rPr>
          <w:sz w:val="20"/>
          <w:szCs w:val="20"/>
        </w:rPr>
        <w:t>erwähnten Kosten nicht den Betrag, der dem zu Lasten dieses Dritten besteuerten Vorteil jeglicher Art entspricht, und die Eigenbeteiligung dieses Dritten für die Nutzung zu persönlichen Zwecken dieses Fahrzeugs.]</w:t>
      </w:r>
    </w:p>
    <w:p w14:paraId="19D67745" w14:textId="77777777" w:rsidR="003B6CED" w:rsidRPr="009118AB" w:rsidRDefault="003B6CED" w:rsidP="003B6CED">
      <w:pPr>
        <w:autoSpaceDE w:val="0"/>
        <w:autoSpaceDN w:val="0"/>
        <w:adjustRightInd w:val="0"/>
        <w:jc w:val="both"/>
        <w:rPr>
          <w:bCs/>
          <w:iCs/>
          <w:sz w:val="20"/>
          <w:szCs w:val="20"/>
        </w:rPr>
      </w:pPr>
    </w:p>
    <w:p w14:paraId="53AA46BD" w14:textId="1ACEB239" w:rsidR="003B6CED" w:rsidRPr="009118AB" w:rsidRDefault="003B6CED" w:rsidP="003B6CED">
      <w:pPr>
        <w:autoSpaceDE w:val="0"/>
        <w:autoSpaceDN w:val="0"/>
        <w:adjustRightInd w:val="0"/>
        <w:jc w:val="both"/>
        <w:rPr>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223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1 abgeändert durch </w:t>
      </w:r>
      <w:r w:rsidR="00D67EB8" w:rsidRPr="009118AB">
        <w:rPr>
          <w:bCs/>
          <w:i/>
          <w:iCs/>
          <w:sz w:val="20"/>
          <w:szCs w:val="20"/>
        </w:rPr>
        <w:t>Art. </w:t>
      </w:r>
      <w:r w:rsidRPr="009118AB">
        <w:rPr>
          <w:bCs/>
          <w:i/>
          <w:iCs/>
          <w:sz w:val="20"/>
          <w:szCs w:val="20"/>
        </w:rPr>
        <w:t>21 des G. (I) vom 27. Dezember 2006</w:t>
      </w:r>
      <w:r w:rsidR="00603505" w:rsidRPr="009118AB">
        <w:rPr>
          <w:bCs/>
          <w:i/>
          <w:iCs/>
          <w:sz w:val="20"/>
          <w:szCs w:val="20"/>
        </w:rPr>
        <w:t> </w:t>
      </w:r>
      <w:r w:rsidRPr="009118AB">
        <w:rPr>
          <w:bCs/>
          <w:i/>
          <w:iCs/>
          <w:sz w:val="20"/>
          <w:szCs w:val="20"/>
        </w:rPr>
        <w:t>(I) (B.S.</w:t>
      </w:r>
      <w:r w:rsidR="00603505" w:rsidRPr="009118AB">
        <w:rPr>
          <w:bCs/>
          <w:i/>
          <w:iCs/>
          <w:sz w:val="20"/>
          <w:szCs w:val="20"/>
        </w:rPr>
        <w:t xml:space="preserve"> </w:t>
      </w:r>
      <w:r w:rsidRPr="009118AB">
        <w:rPr>
          <w:bCs/>
          <w:i/>
          <w:iCs/>
          <w:sz w:val="20"/>
          <w:szCs w:val="20"/>
        </w:rPr>
        <w:t>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71 Buchstabe</w:t>
      </w:r>
      <w:r w:rsidRPr="009118AB">
        <w:rPr>
          <w:rFonts w:hint="eastAsia"/>
          <w:bCs/>
          <w:i/>
          <w:iCs/>
          <w:sz w:val="20"/>
          <w:szCs w:val="20"/>
        </w:rPr>
        <w:t> </w:t>
      </w:r>
      <w:r w:rsidRPr="009118AB">
        <w:rPr>
          <w:bCs/>
          <w:i/>
          <w:iCs/>
          <w:sz w:val="20"/>
          <w:szCs w:val="20"/>
        </w:rPr>
        <w:t>a) des G. vom 27. Juni 2021 (B.S. vom 30. Juni 2021)</w:t>
      </w:r>
      <w:r w:rsidR="00CA61DC" w:rsidRPr="009118AB">
        <w:rPr>
          <w:bCs/>
          <w:i/>
          <w:iCs/>
          <w:sz w:val="20"/>
          <w:szCs w:val="20"/>
        </w:rPr>
        <w:t>,</w:t>
      </w:r>
      <w:r w:rsidR="001B6061" w:rsidRPr="009118AB">
        <w:rPr>
          <w:bCs/>
          <w:i/>
          <w:iCs/>
          <w:sz w:val="20"/>
          <w:szCs w:val="20"/>
        </w:rPr>
        <w:t xml:space="preserve"> </w:t>
      </w:r>
      <w:r w:rsidR="00D67EB8" w:rsidRPr="009118AB">
        <w:rPr>
          <w:bCs/>
          <w:i/>
          <w:iCs/>
          <w:sz w:val="20"/>
          <w:szCs w:val="20"/>
        </w:rPr>
        <w:t>Art. </w:t>
      </w:r>
      <w:r w:rsidR="001B6061" w:rsidRPr="009118AB">
        <w:rPr>
          <w:bCs/>
          <w:i/>
          <w:iCs/>
          <w:sz w:val="20"/>
          <w:szCs w:val="20"/>
        </w:rPr>
        <w:t xml:space="preserve">47 </w:t>
      </w:r>
      <w:r w:rsidR="00D67EB8" w:rsidRPr="009118AB">
        <w:rPr>
          <w:bCs/>
          <w:i/>
          <w:iCs/>
          <w:sz w:val="20"/>
          <w:szCs w:val="20"/>
        </w:rPr>
        <w:t>Nr. </w:t>
      </w:r>
      <w:r w:rsidR="001B6061" w:rsidRPr="009118AB">
        <w:rPr>
          <w:bCs/>
          <w:i/>
          <w:iCs/>
          <w:sz w:val="20"/>
          <w:szCs w:val="20"/>
        </w:rPr>
        <w:t>1 des G. vom 21. Januar 2022 (B.S. vom 28. Januar 2022)</w:t>
      </w:r>
      <w:r w:rsidR="00D67EB8" w:rsidRPr="009118AB">
        <w:rPr>
          <w:bCs/>
          <w:i/>
          <w:iCs/>
          <w:sz w:val="20"/>
          <w:szCs w:val="20"/>
        </w:rPr>
        <w:t> - </w:t>
      </w:r>
      <w:r w:rsidR="001B6061"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CA61DC" w:rsidRPr="009118AB">
        <w:rPr>
          <w:bCs/>
          <w:i/>
          <w:iCs/>
          <w:sz w:val="20"/>
          <w:szCs w:val="20"/>
        </w:rPr>
        <w:t xml:space="preserve"> und Art. 26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2 ersetzt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 xml:space="preserve">anwendbar auf die ab dem 1. Januar 2006 gezahlten </w:t>
      </w:r>
      <w:r w:rsidRPr="009118AB">
        <w:rPr>
          <w:rFonts w:ascii="Times New Roman Italique" w:hAnsi="Times New Roman Italique"/>
          <w:bCs/>
          <w:i/>
          <w:iCs/>
          <w:spacing w:val="-2"/>
          <w:sz w:val="20"/>
          <w:szCs w:val="20"/>
        </w:rPr>
        <w:t>Prämien und Beiträge</w:t>
      </w:r>
      <w:r w:rsidR="003366D9" w:rsidRPr="009118AB">
        <w:rPr>
          <w:rFonts w:ascii="Times New Roman Italique" w:hAnsi="Times New Roman Italique"/>
          <w:bCs/>
          <w:i/>
          <w:iCs/>
          <w:spacing w:val="-2"/>
          <w:sz w:val="20"/>
          <w:szCs w:val="20"/>
        </w:rPr>
        <w:t> -;</w:t>
      </w:r>
      <w:r w:rsidRPr="009118AB">
        <w:rPr>
          <w:rFonts w:ascii="Times New Roman Italique" w:hAnsi="Times New Roman Italique"/>
          <w:bCs/>
          <w:i/>
          <w:iCs/>
          <w:spacing w:val="-2"/>
          <w:sz w:val="20"/>
          <w:szCs w:val="20"/>
        </w:rPr>
        <w:t xml:space="preserve">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3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 xml:space="preserve">47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1 des G. vom 15. Dezember 2004 (B.S. vom 1. Februar 2005)</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Aktien- oder Anteilverleihe, die ab dem 14. April 1999 abgeschlossen werden</w:t>
      </w:r>
      <w:r w:rsidR="00FD68E8" w:rsidRPr="009118AB">
        <w:rPr>
          <w:rFonts w:ascii="Times New Roman Italique" w:hAnsi="Times New Roman Italique"/>
          <w:bCs/>
          <w:i/>
          <w:iCs/>
          <w:spacing w:val="-2"/>
          <w:sz w:val="20"/>
          <w:szCs w:val="20"/>
        </w:rPr>
        <w:t> </w:t>
      </w:r>
      <w:r w:rsidR="00FD68E8" w:rsidRPr="009118AB">
        <w:rPr>
          <w:rFonts w:ascii="Times New Roman Italique" w:hAnsi="Times New Roman Italique" w:hint="eastAsia"/>
          <w:bCs/>
          <w:i/>
          <w:iCs/>
          <w:spacing w:val="-2"/>
          <w:sz w:val="20"/>
          <w:szCs w:val="20"/>
        </w:rPr>
        <w:t>-,</w:t>
      </w:r>
      <w:r w:rsidRPr="009118AB">
        <w:rPr>
          <w:bCs/>
          <w:i/>
          <w:iCs/>
          <w:sz w:val="20"/>
          <w:szCs w:val="20"/>
        </w:rPr>
        <w:t xml:space="preserve"> aufgehoben durch </w:t>
      </w:r>
      <w:r w:rsidR="00D67EB8" w:rsidRPr="009118AB">
        <w:rPr>
          <w:bCs/>
          <w:i/>
          <w:iCs/>
          <w:sz w:val="20"/>
          <w:szCs w:val="20"/>
        </w:rPr>
        <w:t>Art. </w:t>
      </w:r>
      <w:r w:rsidRPr="009118AB">
        <w:rPr>
          <w:bCs/>
          <w:i/>
          <w:iCs/>
          <w:sz w:val="20"/>
          <w:szCs w:val="20"/>
        </w:rPr>
        <w:t xml:space="preserve">47 </w:t>
      </w:r>
      <w:r w:rsidR="00D67EB8" w:rsidRPr="009118AB">
        <w:rPr>
          <w:bCs/>
          <w:i/>
          <w:iCs/>
          <w:sz w:val="20"/>
          <w:szCs w:val="20"/>
        </w:rPr>
        <w:t>Nr. </w:t>
      </w:r>
      <w:r w:rsidRPr="009118AB">
        <w:rPr>
          <w:bCs/>
          <w:i/>
          <w:iCs/>
          <w:sz w:val="20"/>
          <w:szCs w:val="20"/>
        </w:rPr>
        <w:t>2 des G. vom 15. Dezember 2004 (B.S. vom 1. Februar 2005)</w:t>
      </w:r>
      <w:r w:rsidR="00D67EB8" w:rsidRPr="009118AB">
        <w:rPr>
          <w:bCs/>
          <w:i/>
          <w:iCs/>
          <w:sz w:val="20"/>
          <w:szCs w:val="20"/>
        </w:rPr>
        <w:t> - </w:t>
      </w:r>
      <w:r w:rsidRPr="009118AB">
        <w:rPr>
          <w:bCs/>
          <w:i/>
          <w:iCs/>
          <w:sz w:val="20"/>
          <w:szCs w:val="20"/>
        </w:rPr>
        <w:t>anwendbar auf Aktien-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 des G. vom 11. Mai 2007 (B.S. vom 8. Juni 2007)</w:t>
      </w:r>
      <w:r w:rsidR="00D67EB8" w:rsidRPr="009118AB">
        <w:rPr>
          <w:bCs/>
          <w:i/>
          <w:iCs/>
          <w:sz w:val="20"/>
          <w:szCs w:val="20"/>
        </w:rPr>
        <w:t> - </w:t>
      </w:r>
      <w:r w:rsidRPr="009118AB">
        <w:rPr>
          <w:bCs/>
          <w:i/>
          <w:iCs/>
          <w:sz w:val="20"/>
          <w:szCs w:val="20"/>
        </w:rPr>
        <w:t>in Kraft ab dem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eingefügt </w:t>
      </w:r>
      <w:r w:rsidRPr="009118AB">
        <w:rPr>
          <w:i/>
          <w:iCs/>
          <w:sz w:val="20"/>
          <w:szCs w:val="20"/>
        </w:rPr>
        <w:t xml:space="preserve">durch </w:t>
      </w:r>
      <w:r w:rsidR="00D67EB8" w:rsidRPr="009118AB">
        <w:rPr>
          <w:i/>
          <w:iCs/>
          <w:sz w:val="20"/>
          <w:szCs w:val="20"/>
        </w:rPr>
        <w:t>Art. </w:t>
      </w:r>
      <w:r w:rsidRPr="009118AB">
        <w:rPr>
          <w:i/>
          <w:iCs/>
          <w:sz w:val="20"/>
          <w:szCs w:val="20"/>
        </w:rPr>
        <w:t>47</w:t>
      </w:r>
      <w:r w:rsidRPr="009118AB">
        <w:rPr>
          <w:i/>
          <w:sz w:val="20"/>
          <w:szCs w:val="20"/>
        </w:rPr>
        <w:t xml:space="preserve"> </w:t>
      </w:r>
      <w:r w:rsidRPr="009118AB">
        <w:rPr>
          <w:bCs/>
          <w:i/>
          <w:sz w:val="20"/>
          <w:szCs w:val="20"/>
        </w:rPr>
        <w:t>des G.</w:t>
      </w:r>
      <w:r w:rsidR="008B3FD0" w:rsidRPr="009118AB">
        <w:rPr>
          <w:bCs/>
          <w:i/>
          <w:sz w:val="20"/>
          <w:szCs w:val="20"/>
        </w:rPr>
        <w:t xml:space="preserve"> </w:t>
      </w:r>
      <w:r w:rsidRPr="009118AB">
        <w:rPr>
          <w:bCs/>
          <w:i/>
          <w:sz w:val="20"/>
          <w:szCs w:val="20"/>
        </w:rPr>
        <w:t>vom 28. Dezember 2011 (B.S. vom 30. Dezember 2011)</w:t>
      </w:r>
      <w:r w:rsidR="00D67EB8" w:rsidRPr="009118AB">
        <w:rPr>
          <w:bCs/>
          <w:i/>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69 Buchstabe a)</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FB168A" w:rsidRPr="009118AB">
        <w:rPr>
          <w:bCs/>
          <w:i/>
          <w:iCs/>
          <w:sz w:val="20"/>
          <w:szCs w:val="20"/>
        </w:rPr>
        <w:t xml:space="preserve">und abgeändert durch </w:t>
      </w:r>
      <w:r w:rsidR="00D67EB8" w:rsidRPr="009118AB">
        <w:rPr>
          <w:bCs/>
          <w:i/>
          <w:iCs/>
          <w:sz w:val="20"/>
          <w:szCs w:val="20"/>
        </w:rPr>
        <w:t>Art. </w:t>
      </w:r>
      <w:r w:rsidR="00FB168A" w:rsidRPr="009118AB">
        <w:rPr>
          <w:bCs/>
          <w:i/>
          <w:iCs/>
          <w:sz w:val="20"/>
          <w:szCs w:val="20"/>
        </w:rPr>
        <w:t xml:space="preserve">47 </w:t>
      </w:r>
      <w:r w:rsidR="00D67EB8" w:rsidRPr="009118AB">
        <w:rPr>
          <w:bCs/>
          <w:i/>
          <w:iCs/>
          <w:sz w:val="20"/>
          <w:szCs w:val="20"/>
        </w:rPr>
        <w:t>Nr. </w:t>
      </w:r>
      <w:r w:rsidR="00FB168A" w:rsidRPr="009118AB">
        <w:rPr>
          <w:bCs/>
          <w:i/>
          <w:iCs/>
          <w:sz w:val="20"/>
          <w:szCs w:val="20"/>
        </w:rPr>
        <w:t>2 des G. vom 21. Januar 2022 (B.S. vom 28. Januar 2022)</w:t>
      </w:r>
      <w:r w:rsidR="00D67EB8" w:rsidRPr="009118AB">
        <w:rPr>
          <w:bCs/>
          <w:i/>
          <w:iCs/>
          <w:sz w:val="20"/>
          <w:szCs w:val="20"/>
        </w:rPr>
        <w:t> - </w:t>
      </w:r>
      <w:r w:rsidR="00FB168A" w:rsidRPr="009118AB">
        <w:rPr>
          <w:bCs/>
          <w:i/>
          <w:iCs/>
          <w:sz w:val="20"/>
          <w:szCs w:val="20"/>
        </w:rPr>
        <w:t>wirksam mit 1. Januar 2021</w:t>
      </w:r>
      <w:r w:rsidR="003366D9" w:rsidRPr="009118AB">
        <w:rPr>
          <w:bCs/>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65143C" w:rsidRPr="009118AB">
        <w:rPr>
          <w:i/>
          <w:iCs/>
          <w:spacing w:val="-2"/>
          <w:sz w:val="20"/>
          <w:szCs w:val="20"/>
        </w:rPr>
        <w:t>frühere Nummer</w:t>
      </w:r>
      <w:r w:rsidRPr="009118AB">
        <w:rPr>
          <w:i/>
          <w:iCs/>
          <w:sz w:val="20"/>
          <w:szCs w:val="20"/>
        </w:rPr>
        <w:t xml:space="preserve"> 4bis eingefügt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18 </w:t>
      </w:r>
      <w:r w:rsidR="00D67EB8" w:rsidRPr="009118AB">
        <w:rPr>
          <w:i/>
          <w:iCs/>
          <w:sz w:val="20"/>
          <w:szCs w:val="20"/>
        </w:rPr>
        <w:t>Nr. </w:t>
      </w:r>
      <w:r w:rsidRPr="009118AB">
        <w:rPr>
          <w:i/>
          <w:iCs/>
          <w:sz w:val="20"/>
          <w:szCs w:val="20"/>
        </w:rPr>
        <w:t>1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aufgehoben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wieder aufgenommen durch </w:t>
      </w:r>
      <w:r w:rsidR="00D67EB8" w:rsidRPr="009118AB">
        <w:rPr>
          <w:i/>
          <w:iCs/>
          <w:sz w:val="20"/>
          <w:szCs w:val="20"/>
        </w:rPr>
        <w:t>Art. </w:t>
      </w:r>
      <w:r w:rsidRPr="009118AB">
        <w:rPr>
          <w:i/>
          <w:iCs/>
          <w:sz w:val="20"/>
          <w:szCs w:val="20"/>
        </w:rPr>
        <w:t>69 Buchstabe b)</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FB168A" w:rsidRPr="009118AB">
        <w:rPr>
          <w:bCs/>
          <w:i/>
          <w:iCs/>
          <w:sz w:val="20"/>
          <w:szCs w:val="20"/>
        </w:rPr>
        <w:t xml:space="preserve">und abgeändert durch </w:t>
      </w:r>
      <w:r w:rsidR="00D67EB8" w:rsidRPr="009118AB">
        <w:rPr>
          <w:bCs/>
          <w:i/>
          <w:iCs/>
          <w:sz w:val="20"/>
          <w:szCs w:val="20"/>
        </w:rPr>
        <w:t>Art. </w:t>
      </w:r>
      <w:r w:rsidR="00FB168A" w:rsidRPr="009118AB">
        <w:rPr>
          <w:bCs/>
          <w:i/>
          <w:iCs/>
          <w:sz w:val="20"/>
          <w:szCs w:val="20"/>
        </w:rPr>
        <w:t xml:space="preserve">47 </w:t>
      </w:r>
      <w:r w:rsidR="00D67EB8" w:rsidRPr="009118AB">
        <w:rPr>
          <w:bCs/>
          <w:i/>
          <w:iCs/>
          <w:sz w:val="20"/>
          <w:szCs w:val="20"/>
        </w:rPr>
        <w:t>Nr. </w:t>
      </w:r>
      <w:r w:rsidR="00FB168A" w:rsidRPr="009118AB">
        <w:rPr>
          <w:bCs/>
          <w:i/>
          <w:iCs/>
          <w:sz w:val="20"/>
          <w:szCs w:val="20"/>
        </w:rPr>
        <w:t>2 des G. vom 21. Januar 2022 (B.S. vom 28. Januar 2022)</w:t>
      </w:r>
      <w:r w:rsidR="00D67EB8" w:rsidRPr="009118AB">
        <w:rPr>
          <w:bCs/>
          <w:i/>
          <w:iCs/>
          <w:sz w:val="20"/>
          <w:szCs w:val="20"/>
        </w:rPr>
        <w:t> - </w:t>
      </w:r>
      <w:r w:rsidR="00FB168A" w:rsidRPr="009118AB">
        <w:rPr>
          <w:bCs/>
          <w:i/>
          <w:iCs/>
          <w:sz w:val="20"/>
          <w:szCs w:val="20"/>
        </w:rPr>
        <w:t>wirksam mit 1. Januar 2021</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65143C" w:rsidRPr="009118AB">
        <w:rPr>
          <w:i/>
          <w:iCs/>
          <w:spacing w:val="-2"/>
          <w:sz w:val="20"/>
          <w:szCs w:val="20"/>
        </w:rPr>
        <w:t>frühere Nummer</w:t>
      </w:r>
      <w:r w:rsidRPr="009118AB">
        <w:rPr>
          <w:bCs/>
          <w:i/>
          <w:iCs/>
          <w:sz w:val="20"/>
          <w:szCs w:val="20"/>
        </w:rPr>
        <w:t xml:space="preserve"> 5bis eingefügt durch </w:t>
      </w:r>
      <w:r w:rsidR="00D67EB8" w:rsidRPr="009118AB">
        <w:rPr>
          <w:bCs/>
          <w:i/>
          <w:iCs/>
          <w:sz w:val="20"/>
          <w:szCs w:val="20"/>
        </w:rPr>
        <w:t>Art. </w:t>
      </w:r>
      <w:r w:rsidRPr="009118AB">
        <w:rPr>
          <w:bCs/>
          <w:i/>
          <w:iCs/>
          <w:sz w:val="20"/>
          <w:szCs w:val="20"/>
        </w:rPr>
        <w:t xml:space="preserve">31 </w:t>
      </w:r>
      <w:r w:rsidR="00D67EB8" w:rsidRPr="009118AB">
        <w:rPr>
          <w:bCs/>
          <w:i/>
          <w:iCs/>
          <w:sz w:val="20"/>
          <w:szCs w:val="20"/>
        </w:rPr>
        <w:t>Nr. </w:t>
      </w:r>
      <w:r w:rsidRPr="009118AB">
        <w:rPr>
          <w:bCs/>
          <w:i/>
          <w:iCs/>
          <w:sz w:val="20"/>
          <w:szCs w:val="20"/>
        </w:rPr>
        <w:t>2</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6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7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261B2A" w:rsidRPr="009118AB">
        <w:rPr>
          <w:i/>
          <w:iCs/>
          <w:sz w:val="20"/>
          <w:szCs w:val="20"/>
        </w:rPr>
        <w:t xml:space="preserve">1 </w:t>
      </w:r>
      <w:r w:rsidR="00D67EB8" w:rsidRPr="009118AB">
        <w:rPr>
          <w:i/>
          <w:iCs/>
          <w:sz w:val="20"/>
          <w:szCs w:val="20"/>
        </w:rPr>
        <w:t>Nr. </w:t>
      </w:r>
      <w:r w:rsidR="00261B2A" w:rsidRPr="009118AB">
        <w:rPr>
          <w:i/>
          <w:iCs/>
          <w:sz w:val="20"/>
          <w:szCs w:val="20"/>
        </w:rPr>
        <w:t xml:space="preserve">8 eingefügt durch </w:t>
      </w:r>
      <w:r w:rsidR="00D67EB8" w:rsidRPr="009118AB">
        <w:rPr>
          <w:i/>
          <w:iCs/>
          <w:sz w:val="20"/>
          <w:szCs w:val="20"/>
        </w:rPr>
        <w:t>Art. </w:t>
      </w:r>
      <w:r w:rsidR="00261B2A" w:rsidRPr="009118AB">
        <w:rPr>
          <w:i/>
          <w:iCs/>
          <w:sz w:val="20"/>
          <w:szCs w:val="20"/>
        </w:rPr>
        <w:t>7 des G. vom 27. Dezember 2021 (B.S. vom 31. Dezember 2021)</w:t>
      </w:r>
      <w:r w:rsidR="00D67EB8" w:rsidRPr="009118AB">
        <w:rPr>
          <w:i/>
          <w:iCs/>
          <w:sz w:val="20"/>
          <w:szCs w:val="20"/>
        </w:rPr>
        <w:t> - </w:t>
      </w:r>
      <w:r w:rsidR="00261B2A" w:rsidRPr="009118AB">
        <w:rPr>
          <w:i/>
          <w:iCs/>
          <w:sz w:val="20"/>
          <w:szCs w:val="20"/>
        </w:rPr>
        <w:t>anwendbar ab dem 1. Januar 2022</w:t>
      </w:r>
      <w:r w:rsidR="003366D9" w:rsidRPr="009118AB">
        <w:rPr>
          <w:i/>
          <w:iCs/>
          <w:sz w:val="20"/>
          <w:szCs w:val="20"/>
        </w:rPr>
        <w:t> -;</w:t>
      </w:r>
      <w:r w:rsidR="00261B2A" w:rsidRPr="009118AB">
        <w:rPr>
          <w:i/>
          <w:iCs/>
          <w:sz w:val="20"/>
          <w:szCs w:val="20"/>
        </w:rPr>
        <w:t xml:space="preserve"> </w:t>
      </w:r>
      <w:r w:rsidR="00D67EB8" w:rsidRPr="009118AB">
        <w:rPr>
          <w:bCs/>
          <w:i/>
          <w:iCs/>
          <w:sz w:val="20"/>
          <w:szCs w:val="20"/>
        </w:rPr>
        <w:t>Abs. </w:t>
      </w:r>
      <w:r w:rsidRPr="009118AB">
        <w:rPr>
          <w:bCs/>
          <w:i/>
          <w:iCs/>
          <w:sz w:val="20"/>
          <w:szCs w:val="20"/>
        </w:rPr>
        <w:t>2 eingefügt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2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D67EB8" w:rsidRPr="009118AB">
        <w:rPr>
          <w:bCs/>
          <w:i/>
          <w:iCs/>
          <w:sz w:val="20"/>
          <w:szCs w:val="20"/>
        </w:rPr>
        <w:t> - 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2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71 Buchstabe</w:t>
      </w:r>
      <w:r w:rsidRPr="009118AB">
        <w:rPr>
          <w:rFonts w:hint="eastAsia"/>
          <w:i/>
          <w:iCs/>
          <w:sz w:val="20"/>
          <w:szCs w:val="20"/>
        </w:rPr>
        <w:t> </w:t>
      </w:r>
      <w:r w:rsidRPr="009118AB">
        <w:rPr>
          <w:i/>
          <w:iCs/>
          <w:sz w:val="20"/>
          <w:szCs w:val="20"/>
        </w:rPr>
        <w:t>b)</w:t>
      </w:r>
      <w:r w:rsidRPr="009118AB">
        <w:rPr>
          <w:bCs/>
          <w:i/>
          <w:iCs/>
          <w:sz w:val="20"/>
          <w:szCs w:val="20"/>
        </w:rPr>
        <w:t xml:space="preserve"> des G. vom 27. Juni 2021 (B.S. vom 30. Juni 2021)</w:t>
      </w:r>
      <w:r w:rsidR="00FB168A" w:rsidRPr="009118AB">
        <w:rPr>
          <w:bCs/>
          <w:i/>
          <w:iCs/>
          <w:sz w:val="20"/>
          <w:szCs w:val="20"/>
        </w:rPr>
        <w:t xml:space="preserve"> und </w:t>
      </w:r>
      <w:r w:rsidR="00D67EB8" w:rsidRPr="009118AB">
        <w:rPr>
          <w:bCs/>
          <w:i/>
          <w:iCs/>
          <w:sz w:val="20"/>
          <w:szCs w:val="20"/>
        </w:rPr>
        <w:t>Art. </w:t>
      </w:r>
      <w:r w:rsidR="00FB168A" w:rsidRPr="009118AB">
        <w:rPr>
          <w:bCs/>
          <w:i/>
          <w:iCs/>
          <w:sz w:val="20"/>
          <w:szCs w:val="20"/>
        </w:rPr>
        <w:t xml:space="preserve">47 </w:t>
      </w:r>
      <w:r w:rsidR="00D67EB8" w:rsidRPr="009118AB">
        <w:rPr>
          <w:bCs/>
          <w:i/>
          <w:iCs/>
          <w:sz w:val="20"/>
          <w:szCs w:val="20"/>
        </w:rPr>
        <w:t>Nr. </w:t>
      </w:r>
      <w:r w:rsidR="00FB168A" w:rsidRPr="009118AB">
        <w:rPr>
          <w:bCs/>
          <w:i/>
          <w:iCs/>
          <w:sz w:val="20"/>
          <w:szCs w:val="20"/>
        </w:rPr>
        <w:t>3 des G. vom 21. Januar 2022 (B.S. vom 28. Januar 2022)</w:t>
      </w:r>
      <w:r w:rsidR="00D67EB8" w:rsidRPr="009118AB">
        <w:rPr>
          <w:bCs/>
          <w:i/>
          <w:iCs/>
          <w:sz w:val="20"/>
          <w:szCs w:val="20"/>
        </w:rPr>
        <w:t> - </w:t>
      </w:r>
      <w:r w:rsidR="00FB168A"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Pr="009118AB">
        <w:rPr>
          <w:i/>
          <w:iCs/>
          <w:sz w:val="20"/>
          <w:szCs w:val="20"/>
        </w:rPr>
        <w:t xml:space="preserve"> </w:t>
      </w:r>
      <w:r w:rsidR="00D67EB8" w:rsidRPr="009118AB">
        <w:rPr>
          <w:bCs/>
          <w:i/>
          <w:iCs/>
          <w:sz w:val="20"/>
          <w:szCs w:val="20"/>
        </w:rPr>
        <w:t>Abs. </w:t>
      </w:r>
      <w:r w:rsidRPr="009118AB">
        <w:rPr>
          <w:bCs/>
          <w:i/>
          <w:iCs/>
          <w:sz w:val="20"/>
          <w:szCs w:val="20"/>
        </w:rPr>
        <w:t xml:space="preserve">4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3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71 Buchstabe c)</w:t>
      </w:r>
      <w:r w:rsidRPr="009118AB">
        <w:rPr>
          <w:bCs/>
          <w:i/>
          <w:iCs/>
          <w:sz w:val="20"/>
          <w:szCs w:val="20"/>
        </w:rPr>
        <w:t xml:space="preserve"> des G. vom 27. Juni 2021 (B.S. vom 30. Juni 2021)</w:t>
      </w:r>
      <w:r w:rsidR="00B818A6" w:rsidRPr="009118AB">
        <w:rPr>
          <w:bCs/>
          <w:i/>
          <w:iCs/>
          <w:sz w:val="20"/>
          <w:szCs w:val="20"/>
        </w:rPr>
        <w:t>,</w:t>
      </w:r>
      <w:r w:rsidR="00FB168A" w:rsidRPr="009118AB">
        <w:rPr>
          <w:bCs/>
          <w:i/>
          <w:iCs/>
          <w:sz w:val="20"/>
          <w:szCs w:val="20"/>
        </w:rPr>
        <w:t xml:space="preserve"> </w:t>
      </w:r>
      <w:r w:rsidR="00D67EB8" w:rsidRPr="009118AB">
        <w:rPr>
          <w:bCs/>
          <w:i/>
          <w:iCs/>
          <w:sz w:val="20"/>
          <w:szCs w:val="20"/>
        </w:rPr>
        <w:t>Art. </w:t>
      </w:r>
      <w:r w:rsidR="00FB168A" w:rsidRPr="009118AB">
        <w:rPr>
          <w:bCs/>
          <w:i/>
          <w:iCs/>
          <w:sz w:val="20"/>
          <w:szCs w:val="20"/>
        </w:rPr>
        <w:t xml:space="preserve">47 </w:t>
      </w:r>
      <w:r w:rsidR="00D67EB8" w:rsidRPr="009118AB">
        <w:rPr>
          <w:bCs/>
          <w:i/>
          <w:iCs/>
          <w:sz w:val="20"/>
          <w:szCs w:val="20"/>
        </w:rPr>
        <w:t>Nr. </w:t>
      </w:r>
      <w:r w:rsidR="00FB168A" w:rsidRPr="009118AB">
        <w:rPr>
          <w:bCs/>
          <w:i/>
          <w:iCs/>
          <w:sz w:val="20"/>
          <w:szCs w:val="20"/>
        </w:rPr>
        <w:t>4 des G. vom 21. Januar 2022 (B.S. vom 28. Januar 2022)</w:t>
      </w:r>
      <w:r w:rsidR="00B818A6" w:rsidRPr="009118AB">
        <w:rPr>
          <w:bCs/>
          <w:i/>
          <w:iCs/>
          <w:sz w:val="20"/>
          <w:szCs w:val="20"/>
        </w:rPr>
        <w:t xml:space="preserve"> und Art. 30 des G. vom 5.</w:t>
      </w:r>
      <w:r w:rsidR="00603505" w:rsidRPr="009118AB">
        <w:rPr>
          <w:bCs/>
          <w:i/>
          <w:iCs/>
          <w:sz w:val="20"/>
          <w:szCs w:val="20"/>
        </w:rPr>
        <w:t> </w:t>
      </w:r>
      <w:r w:rsidR="00B818A6" w:rsidRPr="009118AB">
        <w:rPr>
          <w:bCs/>
          <w:i/>
          <w:iCs/>
          <w:sz w:val="20"/>
          <w:szCs w:val="20"/>
        </w:rPr>
        <w:t>Juli</w:t>
      </w:r>
      <w:r w:rsidR="00603505" w:rsidRPr="009118AB">
        <w:rPr>
          <w:bCs/>
          <w:i/>
          <w:iCs/>
          <w:sz w:val="20"/>
          <w:szCs w:val="20"/>
        </w:rPr>
        <w:t> </w:t>
      </w:r>
      <w:r w:rsidR="00B818A6" w:rsidRPr="009118AB">
        <w:rPr>
          <w:bCs/>
          <w:i/>
          <w:iCs/>
          <w:sz w:val="20"/>
          <w:szCs w:val="20"/>
        </w:rPr>
        <w:t>2022 (B.S. vom 15.</w:t>
      </w:r>
      <w:r w:rsidR="00603505" w:rsidRPr="009118AB">
        <w:rPr>
          <w:bCs/>
          <w:i/>
          <w:iCs/>
          <w:sz w:val="20"/>
          <w:szCs w:val="20"/>
        </w:rPr>
        <w:t> </w:t>
      </w:r>
      <w:r w:rsidR="00B818A6" w:rsidRPr="009118AB">
        <w:rPr>
          <w:bCs/>
          <w:i/>
          <w:iCs/>
          <w:sz w:val="20"/>
          <w:szCs w:val="20"/>
        </w:rPr>
        <w:t>Juli</w:t>
      </w:r>
      <w:r w:rsidR="00603505" w:rsidRPr="009118AB">
        <w:rPr>
          <w:bCs/>
          <w:i/>
          <w:iCs/>
          <w:sz w:val="20"/>
          <w:szCs w:val="20"/>
        </w:rPr>
        <w:t> </w:t>
      </w:r>
      <w:r w:rsidR="00B818A6" w:rsidRPr="009118AB">
        <w:rPr>
          <w:bCs/>
          <w:i/>
          <w:iCs/>
          <w:sz w:val="20"/>
          <w:szCs w:val="20"/>
        </w:rPr>
        <w:t>2022)</w:t>
      </w:r>
      <w:r w:rsidRPr="009118AB">
        <w:rPr>
          <w:bCs/>
          <w:i/>
          <w:iCs/>
          <w:sz w:val="20"/>
          <w:szCs w:val="20"/>
        </w:rPr>
        <w:t xml:space="preserve">; </w:t>
      </w:r>
      <w:r w:rsidR="00D67EB8" w:rsidRPr="009118AB">
        <w:rPr>
          <w:bCs/>
          <w:i/>
          <w:iCs/>
          <w:sz w:val="20"/>
          <w:szCs w:val="20"/>
        </w:rPr>
        <w:t>Abs. </w:t>
      </w:r>
      <w:r w:rsidRPr="009118AB">
        <w:rPr>
          <w:bCs/>
          <w:i/>
          <w:iCs/>
          <w:sz w:val="20"/>
          <w:szCs w:val="20"/>
        </w:rPr>
        <w:t xml:space="preserve">5 eingefügt durch </w:t>
      </w:r>
      <w:r w:rsidR="00D67EB8" w:rsidRPr="009118AB">
        <w:rPr>
          <w:bCs/>
          <w:i/>
          <w:iCs/>
          <w:sz w:val="20"/>
          <w:szCs w:val="20"/>
        </w:rPr>
        <w:t>Art. </w:t>
      </w:r>
      <w:r w:rsidRPr="009118AB">
        <w:rPr>
          <w:bCs/>
          <w:i/>
          <w:iCs/>
          <w:sz w:val="20"/>
          <w:szCs w:val="20"/>
        </w:rPr>
        <w:t xml:space="preserve">6 </w:t>
      </w:r>
      <w:r w:rsidR="00D67EB8" w:rsidRPr="009118AB">
        <w:rPr>
          <w:bCs/>
          <w:i/>
          <w:iCs/>
          <w:sz w:val="20"/>
          <w:szCs w:val="20"/>
        </w:rPr>
        <w:t>Nr. </w:t>
      </w:r>
      <w:r w:rsidRPr="009118AB">
        <w:rPr>
          <w:bCs/>
          <w:i/>
          <w:iCs/>
          <w:sz w:val="20"/>
          <w:szCs w:val="20"/>
        </w:rPr>
        <w:t>7</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8</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sz w:val="20"/>
          <w:szCs w:val="20"/>
        </w:rPr>
        <w:t>"</w:t>
      </w:r>
    </w:p>
    <w:p w14:paraId="73B5E68B" w14:textId="245A6612" w:rsidR="003B6CED" w:rsidRPr="009118AB" w:rsidRDefault="003B6CED" w:rsidP="003B6CED">
      <w:pPr>
        <w:autoSpaceDE w:val="0"/>
        <w:autoSpaceDN w:val="0"/>
        <w:adjustRightInd w:val="0"/>
        <w:jc w:val="both"/>
        <w:rPr>
          <w:sz w:val="20"/>
          <w:szCs w:val="20"/>
        </w:rPr>
      </w:pPr>
    </w:p>
    <w:p w14:paraId="3B0A98E1" w14:textId="2097CF80" w:rsidR="003B6CED" w:rsidRPr="009118AB" w:rsidRDefault="003B6CED" w:rsidP="003B6CED">
      <w:pPr>
        <w:autoSpaceDE w:val="0"/>
        <w:autoSpaceDN w:val="0"/>
        <w:adjustRightInd w:val="0"/>
        <w:jc w:val="both"/>
        <w:rPr>
          <w:sz w:val="20"/>
          <w:szCs w:val="20"/>
        </w:rPr>
      </w:pPr>
    </w:p>
    <w:p w14:paraId="0312D838" w14:textId="77777777" w:rsidR="00B818A6" w:rsidRPr="009118AB" w:rsidRDefault="00B818A6">
      <w:pPr>
        <w:rPr>
          <w:sz w:val="20"/>
          <w:szCs w:val="20"/>
        </w:rPr>
      </w:pPr>
      <w:r w:rsidRPr="009118AB">
        <w:rPr>
          <w:sz w:val="20"/>
          <w:szCs w:val="20"/>
        </w:rPr>
        <w:br w:type="page"/>
      </w:r>
    </w:p>
    <w:p w14:paraId="63F4EC06" w14:textId="54D82511" w:rsidR="003B6CED" w:rsidRPr="009118AB" w:rsidRDefault="003B6CED" w:rsidP="003B6CED">
      <w:pPr>
        <w:autoSpaceDE w:val="0"/>
        <w:autoSpaceDN w:val="0"/>
        <w:adjustRightInd w:val="0"/>
        <w:jc w:val="both"/>
        <w:rPr>
          <w:sz w:val="20"/>
          <w:szCs w:val="20"/>
        </w:rPr>
      </w:pPr>
      <w:r w:rsidRPr="009118AB">
        <w:rPr>
          <w:sz w:val="20"/>
          <w:szCs w:val="20"/>
        </w:rPr>
        <w:lastRenderedPageBreak/>
        <w:t xml:space="preserve">Ab dem 1. Januar 2028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8 des G. vom 25. November 2021 (B.S. vom 3. Dezember 2021)) lautet </w:t>
      </w:r>
      <w:r w:rsidR="00D67EB8" w:rsidRPr="009118AB">
        <w:rPr>
          <w:sz w:val="20"/>
          <w:szCs w:val="20"/>
        </w:rPr>
        <w:t>Art. </w:t>
      </w:r>
      <w:r w:rsidRPr="009118AB">
        <w:rPr>
          <w:sz w:val="20"/>
          <w:szCs w:val="20"/>
        </w:rPr>
        <w:t>223 wie folgt:</w:t>
      </w:r>
    </w:p>
    <w:p w14:paraId="460F89CE" w14:textId="77777777" w:rsidR="003B6CED" w:rsidRPr="009118AB" w:rsidRDefault="003B6CED" w:rsidP="003B6CED">
      <w:pPr>
        <w:autoSpaceDE w:val="0"/>
        <w:autoSpaceDN w:val="0"/>
        <w:adjustRightInd w:val="0"/>
        <w:jc w:val="both"/>
        <w:rPr>
          <w:sz w:val="20"/>
          <w:szCs w:val="20"/>
        </w:rPr>
      </w:pPr>
    </w:p>
    <w:p w14:paraId="4D2422B8" w14:textId="4F6240A0" w:rsidR="003B6CED" w:rsidRPr="009118AB" w:rsidRDefault="003B6CED" w:rsidP="003B6CED">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223</w:t>
      </w:r>
      <w:r w:rsidR="00D67EB8" w:rsidRPr="009118AB">
        <w:rPr>
          <w:sz w:val="20"/>
          <w:szCs w:val="20"/>
        </w:rPr>
        <w:t> - </w:t>
      </w:r>
      <w:r w:rsidRPr="009118AB">
        <w:rPr>
          <w:bCs/>
          <w:iCs/>
          <w:sz w:val="20"/>
          <w:szCs w:val="20"/>
        </w:rPr>
        <w:t xml:space="preserve">In Artikel 220 </w:t>
      </w:r>
      <w:r w:rsidR="00D67EB8" w:rsidRPr="009118AB">
        <w:rPr>
          <w:bCs/>
          <w:iCs/>
          <w:sz w:val="20"/>
          <w:szCs w:val="20"/>
        </w:rPr>
        <w:t>Nr. </w:t>
      </w:r>
      <w:r w:rsidRPr="009118AB">
        <w:rPr>
          <w:bCs/>
          <w:iCs/>
          <w:sz w:val="20"/>
          <w:szCs w:val="20"/>
        </w:rPr>
        <w:t>2 und 3 erwähnte juristische Personen sind ebenfalls steuerpflichtig aufgrund:</w:t>
      </w:r>
    </w:p>
    <w:p w14:paraId="7E54C81A" w14:textId="77777777" w:rsidR="003B6CED" w:rsidRPr="009118AB" w:rsidRDefault="003B6CED" w:rsidP="003B6CED">
      <w:pPr>
        <w:autoSpaceDE w:val="0"/>
        <w:autoSpaceDN w:val="0"/>
        <w:adjustRightInd w:val="0"/>
        <w:jc w:val="both"/>
        <w:rPr>
          <w:bCs/>
          <w:iCs/>
          <w:sz w:val="20"/>
          <w:szCs w:val="20"/>
        </w:rPr>
      </w:pPr>
    </w:p>
    <w:p w14:paraId="158D96CB" w14:textId="483C0E30" w:rsidR="003B6CED" w:rsidRPr="009118AB" w:rsidRDefault="003B6CED" w:rsidP="003B6CED">
      <w:pPr>
        <w:autoSpaceDE w:val="0"/>
        <w:autoSpaceDN w:val="0"/>
        <w:adjustRightInd w:val="0"/>
        <w:jc w:val="both"/>
        <w:rPr>
          <w:bCs/>
          <w:iCs/>
          <w:sz w:val="20"/>
          <w:szCs w:val="20"/>
        </w:rPr>
      </w:pPr>
      <w:r w:rsidRPr="009118AB">
        <w:rPr>
          <w:bCs/>
          <w:iCs/>
          <w:sz w:val="20"/>
          <w:szCs w:val="20"/>
        </w:rPr>
        <w:t xml:space="preserve">1. [der [in den Artikeln 57 Absatz 1 und] 195 </w:t>
      </w:r>
      <w:r w:rsidR="00D67EB8" w:rsidRPr="009118AB">
        <w:rPr>
          <w:bCs/>
          <w:iCs/>
          <w:sz w:val="20"/>
          <w:szCs w:val="20"/>
        </w:rPr>
        <w:t>§ </w:t>
      </w:r>
      <w:r w:rsidRPr="009118AB">
        <w:rPr>
          <w:bCs/>
          <w:iCs/>
          <w:sz w:val="20"/>
          <w:szCs w:val="20"/>
        </w:rPr>
        <w:t>1 Absatz 1 erwähnten Ausgaben</w:t>
      </w:r>
      <w:r w:rsidR="00FB168A" w:rsidRPr="009118AB">
        <w:rPr>
          <w:bCs/>
          <w:iCs/>
          <w:sz w:val="20"/>
          <w:szCs w:val="20"/>
        </w:rPr>
        <w:t xml:space="preserve">[, der in den Artikeln 31 Absatz 2 </w:t>
      </w:r>
      <w:r w:rsidR="00D67EB8" w:rsidRPr="009118AB">
        <w:rPr>
          <w:bCs/>
          <w:iCs/>
          <w:sz w:val="20"/>
          <w:szCs w:val="20"/>
        </w:rPr>
        <w:t>Nr. </w:t>
      </w:r>
      <w:r w:rsidR="00FB168A" w:rsidRPr="009118AB">
        <w:rPr>
          <w:bCs/>
          <w:iCs/>
          <w:sz w:val="20"/>
          <w:szCs w:val="20"/>
        </w:rPr>
        <w:t xml:space="preserve">2 und 32 Absatz 2 </w:t>
      </w:r>
      <w:r w:rsidR="00D67EB8" w:rsidRPr="009118AB">
        <w:rPr>
          <w:bCs/>
          <w:iCs/>
          <w:sz w:val="20"/>
          <w:szCs w:val="20"/>
        </w:rPr>
        <w:t>Nr. </w:t>
      </w:r>
      <w:r w:rsidR="00FB168A" w:rsidRPr="009118AB">
        <w:rPr>
          <w:bCs/>
          <w:iCs/>
          <w:sz w:val="20"/>
          <w:szCs w:val="20"/>
        </w:rPr>
        <w:t xml:space="preserve">2 erwähnten Vorteile jeglicher Art und der in Artikel 17 </w:t>
      </w:r>
      <w:r w:rsidR="00D67EB8" w:rsidRPr="009118AB">
        <w:rPr>
          <w:bCs/>
          <w:iCs/>
          <w:sz w:val="20"/>
          <w:szCs w:val="20"/>
        </w:rPr>
        <w:t>§ </w:t>
      </w:r>
      <w:r w:rsidR="00FB168A" w:rsidRPr="009118AB">
        <w:rPr>
          <w:bCs/>
          <w:iCs/>
          <w:sz w:val="20"/>
          <w:szCs w:val="20"/>
        </w:rPr>
        <w:t xml:space="preserve">1 </w:t>
      </w:r>
      <w:r w:rsidR="00D67EB8" w:rsidRPr="009118AB">
        <w:rPr>
          <w:bCs/>
          <w:iCs/>
          <w:sz w:val="20"/>
          <w:szCs w:val="20"/>
        </w:rPr>
        <w:t>Nr. </w:t>
      </w:r>
      <w:r w:rsidR="00FB168A" w:rsidRPr="009118AB">
        <w:rPr>
          <w:bCs/>
          <w:iCs/>
          <w:sz w:val="20"/>
          <w:szCs w:val="20"/>
        </w:rPr>
        <w:t xml:space="preserve">3, was Urheberrechte und ähnliche Rechte betrifft, und </w:t>
      </w:r>
      <w:r w:rsidR="00D67EB8" w:rsidRPr="009118AB">
        <w:rPr>
          <w:bCs/>
          <w:iCs/>
          <w:sz w:val="20"/>
          <w:szCs w:val="20"/>
        </w:rPr>
        <w:t>Nr. </w:t>
      </w:r>
      <w:r w:rsidR="00FB168A" w:rsidRPr="009118AB">
        <w:rPr>
          <w:bCs/>
          <w:iCs/>
          <w:sz w:val="20"/>
          <w:szCs w:val="20"/>
        </w:rPr>
        <w:t>5 erwähnten Einkünfte]</w:t>
      </w:r>
      <w:r w:rsidRPr="009118AB">
        <w:rPr>
          <w:bCs/>
          <w:iCs/>
          <w:sz w:val="20"/>
          <w:szCs w:val="20"/>
        </w:rPr>
        <w:t xml:space="preserve">], die nicht durch Individualkarten </w:t>
      </w:r>
      <w:r w:rsidR="00CA61DC" w:rsidRPr="009118AB">
        <w:rPr>
          <w:bCs/>
          <w:iCs/>
          <w:sz w:val="20"/>
          <w:szCs w:val="20"/>
        </w:rPr>
        <w:t>[...]</w:t>
      </w:r>
      <w:r w:rsidRPr="009118AB">
        <w:rPr>
          <w:bCs/>
          <w:iCs/>
          <w:sz w:val="20"/>
          <w:szCs w:val="20"/>
        </w:rPr>
        <w:t xml:space="preserve"> nachgewiesen werden,</w:t>
      </w:r>
    </w:p>
    <w:p w14:paraId="73DE9B45" w14:textId="77777777" w:rsidR="003B6CED" w:rsidRPr="009118AB" w:rsidRDefault="003B6CED" w:rsidP="003B6CED">
      <w:pPr>
        <w:autoSpaceDE w:val="0"/>
        <w:autoSpaceDN w:val="0"/>
        <w:adjustRightInd w:val="0"/>
        <w:jc w:val="both"/>
        <w:rPr>
          <w:bCs/>
          <w:iCs/>
          <w:sz w:val="20"/>
          <w:szCs w:val="20"/>
        </w:rPr>
      </w:pPr>
    </w:p>
    <w:p w14:paraId="3DF7A8BE" w14:textId="6519F09A" w:rsidR="003B6CED" w:rsidRPr="009118AB" w:rsidRDefault="003B6CED" w:rsidP="003B6CED">
      <w:pPr>
        <w:autoSpaceDE w:val="0"/>
        <w:autoSpaceDN w:val="0"/>
        <w:adjustRightInd w:val="0"/>
        <w:jc w:val="both"/>
        <w:rPr>
          <w:bCs/>
          <w:iCs/>
          <w:sz w:val="20"/>
          <w:szCs w:val="20"/>
        </w:rPr>
      </w:pPr>
      <w:r w:rsidRPr="009118AB">
        <w:rPr>
          <w:bCs/>
          <w:iCs/>
          <w:sz w:val="20"/>
          <w:szCs w:val="20"/>
        </w:rPr>
        <w:t xml:space="preserve">2. [der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der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118AB">
        <w:rPr>
          <w:bCs/>
          <w:iCs/>
          <w:sz w:val="20"/>
          <w:szCs w:val="20"/>
        </w:rPr>
        <w:t>Nr. </w:t>
      </w:r>
      <w:r w:rsidRPr="009118AB">
        <w:rPr>
          <w:bCs/>
          <w:iCs/>
          <w:sz w:val="20"/>
          <w:szCs w:val="20"/>
        </w:rPr>
        <w:t>23 erwähnten Kapitalien,]</w:t>
      </w:r>
    </w:p>
    <w:p w14:paraId="61115278" w14:textId="77777777" w:rsidR="003B6CED" w:rsidRPr="009118AB" w:rsidRDefault="003B6CED" w:rsidP="003B6CED">
      <w:pPr>
        <w:autoSpaceDE w:val="0"/>
        <w:autoSpaceDN w:val="0"/>
        <w:adjustRightInd w:val="0"/>
        <w:jc w:val="both"/>
        <w:rPr>
          <w:bCs/>
          <w:iCs/>
          <w:sz w:val="20"/>
          <w:szCs w:val="20"/>
        </w:rPr>
      </w:pPr>
    </w:p>
    <w:p w14:paraId="7095B070" w14:textId="7AAB3E72" w:rsidR="003B6CED" w:rsidRPr="009118AB" w:rsidRDefault="003B6CED" w:rsidP="003B6CED">
      <w:pPr>
        <w:autoSpaceDE w:val="0"/>
        <w:autoSpaceDN w:val="0"/>
        <w:adjustRightInd w:val="0"/>
        <w:jc w:val="both"/>
        <w:rPr>
          <w:bCs/>
          <w:iCs/>
          <w:sz w:val="20"/>
          <w:szCs w:val="20"/>
        </w:rPr>
      </w:pPr>
      <w:r w:rsidRPr="009118AB">
        <w:rPr>
          <w:bCs/>
          <w:iCs/>
          <w:sz w:val="20"/>
          <w:szCs w:val="20"/>
        </w:rPr>
        <w:t xml:space="preserve">[3. [der in Artikel 53 </w:t>
      </w:r>
      <w:r w:rsidR="00D67EB8" w:rsidRPr="009118AB">
        <w:rPr>
          <w:bCs/>
          <w:iCs/>
          <w:sz w:val="20"/>
          <w:szCs w:val="20"/>
        </w:rPr>
        <w:t>Nr. </w:t>
      </w:r>
      <w:r w:rsidRPr="009118AB">
        <w:rPr>
          <w:bCs/>
          <w:iCs/>
          <w:sz w:val="20"/>
          <w:szCs w:val="20"/>
        </w:rPr>
        <w:t>24 erwähnten finanziellen Vorteile oder Vorteile jeglicher Art,]]</w:t>
      </w:r>
    </w:p>
    <w:p w14:paraId="399EB9A4" w14:textId="77777777" w:rsidR="003B6CED" w:rsidRPr="009118AB" w:rsidRDefault="003B6CED" w:rsidP="003B6CED">
      <w:pPr>
        <w:autoSpaceDE w:val="0"/>
        <w:autoSpaceDN w:val="0"/>
        <w:adjustRightInd w:val="0"/>
        <w:jc w:val="both"/>
        <w:rPr>
          <w:bCs/>
          <w:iCs/>
          <w:sz w:val="20"/>
          <w:szCs w:val="20"/>
        </w:rPr>
      </w:pPr>
    </w:p>
    <w:p w14:paraId="19449349" w14:textId="3AFD8AAE" w:rsidR="003B6CED" w:rsidRPr="009118AB" w:rsidRDefault="003B6CED" w:rsidP="003B6CED">
      <w:pPr>
        <w:autoSpaceDE w:val="0"/>
        <w:autoSpaceDN w:val="0"/>
        <w:adjustRightInd w:val="0"/>
        <w:jc w:val="both"/>
        <w:rPr>
          <w:bCs/>
          <w:iCs/>
          <w:sz w:val="20"/>
          <w:szCs w:val="20"/>
        </w:rPr>
      </w:pPr>
      <w:r w:rsidRPr="009118AB">
        <w:rPr>
          <w:bCs/>
          <w:iCs/>
          <w:sz w:val="20"/>
          <w:szCs w:val="20"/>
        </w:rPr>
        <w:t>[4. [</w:t>
      </w:r>
      <w:r w:rsidRPr="009118AB">
        <w:rPr>
          <w:sz w:val="20"/>
          <w:szCs w:val="20"/>
        </w:rPr>
        <w:t xml:space="preserve">eines Betrags, der 17 Prozent des </w:t>
      </w:r>
      <w:r w:rsidR="00FB168A"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FB168A"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w:t>
      </w:r>
      <w:r w:rsidRPr="009118AB">
        <w:rPr>
          <w:bCs/>
          <w:iCs/>
          <w:sz w:val="20"/>
          <w:szCs w:val="20"/>
        </w:rPr>
        <w:t>]]</w:t>
      </w:r>
    </w:p>
    <w:p w14:paraId="76D30EAA" w14:textId="77777777" w:rsidR="003B6CED" w:rsidRPr="009118AB" w:rsidRDefault="003B6CED" w:rsidP="003B6CED">
      <w:pPr>
        <w:autoSpaceDE w:val="0"/>
        <w:autoSpaceDN w:val="0"/>
        <w:adjustRightInd w:val="0"/>
        <w:jc w:val="both"/>
        <w:rPr>
          <w:bCs/>
          <w:iCs/>
          <w:sz w:val="20"/>
          <w:szCs w:val="20"/>
        </w:rPr>
      </w:pPr>
    </w:p>
    <w:p w14:paraId="19E683F9" w14:textId="18BE3D46" w:rsidR="003B6CED" w:rsidRPr="009118AB" w:rsidRDefault="003B6CED" w:rsidP="003B6CED">
      <w:pPr>
        <w:autoSpaceDE w:val="0"/>
        <w:autoSpaceDN w:val="0"/>
        <w:adjustRightInd w:val="0"/>
        <w:jc w:val="both"/>
        <w:rPr>
          <w:bCs/>
          <w:iCs/>
          <w:sz w:val="20"/>
          <w:szCs w:val="20"/>
        </w:rPr>
      </w:pPr>
      <w:r w:rsidRPr="009118AB">
        <w:rPr>
          <w:bCs/>
          <w:iCs/>
          <w:sz w:val="20"/>
          <w:szCs w:val="20"/>
        </w:rPr>
        <w:t>[</w:t>
      </w:r>
      <w:r w:rsidR="0065143C" w:rsidRPr="009118AB">
        <w:rPr>
          <w:sz w:val="20"/>
          <w:szCs w:val="20"/>
        </w:rPr>
        <w:t>...</w:t>
      </w:r>
      <w:r w:rsidRPr="009118AB">
        <w:rPr>
          <w:bCs/>
          <w:iCs/>
          <w:sz w:val="20"/>
          <w:szCs w:val="20"/>
        </w:rPr>
        <w:t>]</w:t>
      </w:r>
    </w:p>
    <w:p w14:paraId="3B61B6CF" w14:textId="77777777" w:rsidR="003B6CED" w:rsidRPr="009118AB" w:rsidRDefault="003B6CED" w:rsidP="003B6CED">
      <w:pPr>
        <w:autoSpaceDE w:val="0"/>
        <w:autoSpaceDN w:val="0"/>
        <w:adjustRightInd w:val="0"/>
        <w:jc w:val="both"/>
        <w:rPr>
          <w:bCs/>
          <w:iCs/>
          <w:sz w:val="20"/>
          <w:szCs w:val="20"/>
        </w:rPr>
      </w:pPr>
    </w:p>
    <w:p w14:paraId="2EAEE463" w14:textId="3420A53C" w:rsidR="003B6CED" w:rsidRPr="009118AB" w:rsidRDefault="003B6CED" w:rsidP="003B6CED">
      <w:pPr>
        <w:autoSpaceDE w:val="0"/>
        <w:autoSpaceDN w:val="0"/>
        <w:adjustRightInd w:val="0"/>
        <w:jc w:val="both"/>
        <w:rPr>
          <w:sz w:val="20"/>
          <w:szCs w:val="20"/>
        </w:rPr>
      </w:pPr>
      <w:r w:rsidRPr="009118AB">
        <w:rPr>
          <w:bCs/>
          <w:iCs/>
          <w:sz w:val="20"/>
          <w:szCs w:val="20"/>
        </w:rPr>
        <w:t>[</w:t>
      </w:r>
      <w:r w:rsidRPr="009118AB">
        <w:rPr>
          <w:sz w:val="20"/>
          <w:szCs w:val="20"/>
        </w:rPr>
        <w:t xml:space="preserve">5. [eines Betrags, der in Abweichung von </w:t>
      </w:r>
      <w:r w:rsidR="00D67EB8" w:rsidRPr="009118AB">
        <w:rPr>
          <w:sz w:val="20"/>
          <w:szCs w:val="20"/>
        </w:rPr>
        <w:t>Nr. </w:t>
      </w:r>
      <w:r w:rsidRPr="009118AB">
        <w:rPr>
          <w:sz w:val="20"/>
          <w:szCs w:val="20"/>
        </w:rPr>
        <w:t xml:space="preserve">4 40 Prozent des </w:t>
      </w:r>
      <w:r w:rsidR="00FB168A"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FB168A"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067C84DB" w14:textId="77777777" w:rsidR="003B6CED" w:rsidRPr="009118AB" w:rsidRDefault="003B6CED" w:rsidP="003B6CED">
      <w:pPr>
        <w:autoSpaceDE w:val="0"/>
        <w:autoSpaceDN w:val="0"/>
        <w:adjustRightInd w:val="0"/>
        <w:jc w:val="both"/>
        <w:rPr>
          <w:sz w:val="20"/>
          <w:szCs w:val="20"/>
        </w:rPr>
      </w:pPr>
    </w:p>
    <w:p w14:paraId="720185B2" w14:textId="60150AE1" w:rsidR="003B6CED" w:rsidRPr="009118AB" w:rsidRDefault="003B6CED" w:rsidP="003B6CED">
      <w:pPr>
        <w:autoSpaceDE w:val="0"/>
        <w:autoSpaceDN w:val="0"/>
        <w:adjustRightInd w:val="0"/>
        <w:jc w:val="both"/>
        <w:rPr>
          <w:sz w:val="20"/>
          <w:szCs w:val="20"/>
        </w:rPr>
      </w:pPr>
      <w:r w:rsidRPr="009118AB">
        <w:rPr>
          <w:sz w:val="20"/>
          <w:szCs w:val="20"/>
        </w:rPr>
        <w:t>[</w:t>
      </w:r>
      <w:r w:rsidR="0065143C" w:rsidRPr="009118AB">
        <w:rPr>
          <w:sz w:val="20"/>
          <w:szCs w:val="20"/>
        </w:rPr>
        <w:t>...</w:t>
      </w:r>
      <w:r w:rsidRPr="009118AB">
        <w:rPr>
          <w:sz w:val="20"/>
          <w:szCs w:val="20"/>
        </w:rPr>
        <w:t>]</w:t>
      </w:r>
    </w:p>
    <w:p w14:paraId="3F72EA16" w14:textId="77777777" w:rsidR="003B6CED" w:rsidRPr="009118AB" w:rsidRDefault="003B6CED" w:rsidP="003B6CED">
      <w:pPr>
        <w:autoSpaceDE w:val="0"/>
        <w:autoSpaceDN w:val="0"/>
        <w:adjustRightInd w:val="0"/>
        <w:jc w:val="both"/>
        <w:rPr>
          <w:sz w:val="20"/>
          <w:szCs w:val="20"/>
        </w:rPr>
      </w:pPr>
    </w:p>
    <w:p w14:paraId="368B218A" w14:textId="77777777" w:rsidR="003B6CED" w:rsidRPr="009118AB" w:rsidRDefault="003B6CED" w:rsidP="003B6CED">
      <w:pPr>
        <w:autoSpaceDE w:val="0"/>
        <w:autoSpaceDN w:val="0"/>
        <w:adjustRightInd w:val="0"/>
        <w:jc w:val="both"/>
        <w:rPr>
          <w:sz w:val="20"/>
          <w:szCs w:val="20"/>
        </w:rPr>
      </w:pPr>
      <w:r w:rsidRPr="009118AB">
        <w:rPr>
          <w:sz w:val="20"/>
          <w:szCs w:val="20"/>
        </w:rPr>
        <w:t>[6. der Kosten in Bezug auf die Nutzung der in Artikel 65 erwähnten Fahrzeuge, die ab dem 1. Januar 2026 gekauft, geleast oder gemietet werden, es sei denn, es handelt sich um ein Fahrzeug, das kein CO</w:t>
      </w:r>
      <w:r w:rsidRPr="009118AB">
        <w:rPr>
          <w:sz w:val="20"/>
          <w:szCs w:val="20"/>
          <w:vertAlign w:val="subscript"/>
        </w:rPr>
        <w:t>2</w:t>
      </w:r>
      <w:r w:rsidRPr="009118AB">
        <w:rPr>
          <w:sz w:val="20"/>
          <w:szCs w:val="20"/>
        </w:rPr>
        <w:t xml:space="preserve"> ausstößt,]</w:t>
      </w:r>
    </w:p>
    <w:p w14:paraId="129272EB" w14:textId="77777777" w:rsidR="003B6CED" w:rsidRPr="009118AB" w:rsidRDefault="003B6CED" w:rsidP="003B6CED">
      <w:pPr>
        <w:autoSpaceDE w:val="0"/>
        <w:autoSpaceDN w:val="0"/>
        <w:adjustRightInd w:val="0"/>
        <w:jc w:val="both"/>
        <w:rPr>
          <w:sz w:val="20"/>
          <w:szCs w:val="20"/>
        </w:rPr>
      </w:pPr>
    </w:p>
    <w:p w14:paraId="13E4EEF5" w14:textId="77777777" w:rsidR="003B6CED" w:rsidRPr="009118AB" w:rsidRDefault="003B6CED" w:rsidP="003B6CED">
      <w:pPr>
        <w:autoSpaceDE w:val="0"/>
        <w:autoSpaceDN w:val="0"/>
        <w:adjustRightInd w:val="0"/>
        <w:jc w:val="both"/>
        <w:rPr>
          <w:sz w:val="20"/>
          <w:szCs w:val="20"/>
        </w:rPr>
      </w:pPr>
      <w:r w:rsidRPr="009118AB">
        <w:rPr>
          <w:sz w:val="20"/>
          <w:szCs w:val="20"/>
        </w:rPr>
        <w:t>[7. [eines Betrags, der dem nachstehend erwähnten Prozentsatz der Kosten in Bezug auf die Nutzung der in Artikel 65 erwähnten Fahrzeuge, die kein CO</w:t>
      </w:r>
      <w:r w:rsidRPr="009118AB">
        <w:rPr>
          <w:sz w:val="20"/>
          <w:szCs w:val="20"/>
          <w:vertAlign w:val="subscript"/>
        </w:rPr>
        <w:t>2</w:t>
      </w:r>
      <w:r w:rsidRPr="009118AB">
        <w:rPr>
          <w:sz w:val="20"/>
          <w:szCs w:val="20"/>
        </w:rPr>
        <w:t xml:space="preserve"> ausstoßen, entspricht:</w:t>
      </w:r>
    </w:p>
    <w:p w14:paraId="50AFF875" w14:textId="77777777" w:rsidR="003B6CED" w:rsidRPr="009118AB" w:rsidRDefault="003B6CED" w:rsidP="003B6CED">
      <w:pPr>
        <w:autoSpaceDE w:val="0"/>
        <w:autoSpaceDN w:val="0"/>
        <w:adjustRightInd w:val="0"/>
        <w:jc w:val="both"/>
        <w:rPr>
          <w:sz w:val="20"/>
          <w:szCs w:val="20"/>
        </w:rPr>
      </w:pPr>
    </w:p>
    <w:p w14:paraId="09DB76FA" w14:textId="30386307" w:rsidR="003B6CED" w:rsidRPr="009118AB" w:rsidRDefault="003B6CED" w:rsidP="003B6CED">
      <w:pPr>
        <w:autoSpaceDE w:val="0"/>
        <w:autoSpaceDN w:val="0"/>
        <w:adjustRightInd w:val="0"/>
        <w:jc w:val="both"/>
        <w:rPr>
          <w:sz w:val="20"/>
          <w:szCs w:val="20"/>
        </w:rPr>
      </w:pPr>
      <w:r w:rsidRPr="009118AB">
        <w:rPr>
          <w:sz w:val="20"/>
          <w:szCs w:val="20"/>
        </w:rPr>
        <w:t>- 5 Prozent, wenn es sich um ein 2027 gekauftes, geleastes oder gemietetes Fahrzeug handelt,</w:t>
      </w:r>
    </w:p>
    <w:p w14:paraId="436FF976" w14:textId="77777777" w:rsidR="003B6CED" w:rsidRPr="009118AB" w:rsidRDefault="003B6CED" w:rsidP="003B6CED">
      <w:pPr>
        <w:autoSpaceDE w:val="0"/>
        <w:autoSpaceDN w:val="0"/>
        <w:adjustRightInd w:val="0"/>
        <w:jc w:val="both"/>
        <w:rPr>
          <w:sz w:val="20"/>
          <w:szCs w:val="20"/>
        </w:rPr>
      </w:pPr>
    </w:p>
    <w:p w14:paraId="174F554D" w14:textId="024171D7" w:rsidR="003B6CED" w:rsidRPr="009118AB" w:rsidRDefault="003B6CED" w:rsidP="003B6CED">
      <w:pPr>
        <w:autoSpaceDE w:val="0"/>
        <w:autoSpaceDN w:val="0"/>
        <w:adjustRightInd w:val="0"/>
        <w:jc w:val="both"/>
        <w:rPr>
          <w:sz w:val="20"/>
          <w:szCs w:val="20"/>
        </w:rPr>
      </w:pPr>
      <w:r w:rsidRPr="009118AB">
        <w:rPr>
          <w:sz w:val="20"/>
          <w:szCs w:val="20"/>
        </w:rPr>
        <w:t>- 10 Prozent, wenn es sich um ein 2028 gekauftes, geleastes oder gemietetes Fahrzeug handelt.]]</w:t>
      </w:r>
    </w:p>
    <w:p w14:paraId="23B8F37D" w14:textId="0961C69A" w:rsidR="00261B2A" w:rsidRPr="009118AB" w:rsidRDefault="00261B2A" w:rsidP="003B6CED">
      <w:pPr>
        <w:autoSpaceDE w:val="0"/>
        <w:autoSpaceDN w:val="0"/>
        <w:adjustRightInd w:val="0"/>
        <w:jc w:val="both"/>
        <w:rPr>
          <w:sz w:val="20"/>
          <w:szCs w:val="20"/>
        </w:rPr>
      </w:pPr>
    </w:p>
    <w:p w14:paraId="27E7EA65" w14:textId="0E6D2F21" w:rsidR="00261B2A" w:rsidRPr="009118AB" w:rsidRDefault="00261B2A" w:rsidP="00261B2A">
      <w:pPr>
        <w:autoSpaceDE w:val="0"/>
        <w:autoSpaceDN w:val="0"/>
        <w:adjustRightInd w:val="0"/>
        <w:jc w:val="both"/>
        <w:rPr>
          <w:sz w:val="20"/>
          <w:szCs w:val="20"/>
        </w:rPr>
      </w:pPr>
      <w:r w:rsidRPr="009118AB">
        <w:rPr>
          <w:sz w:val="20"/>
          <w:szCs w:val="20"/>
        </w:rPr>
        <w:t>[8. der Provisionen, Maklergebühren, kommerziellen oder anderen Ermäßigungen, zufälligen oder nicht zufälligen Entgelte oder Honorare, Zuwendungen, Vergütungen oder Vorteile jeglicher Art</w:t>
      </w:r>
      <w:r w:rsidR="00D67EB8" w:rsidRPr="009118AB">
        <w:rPr>
          <w:sz w:val="20"/>
          <w:szCs w:val="20"/>
        </w:rPr>
        <w:t> - </w:t>
      </w:r>
      <w:r w:rsidRPr="009118AB">
        <w:rPr>
          <w:sz w:val="20"/>
          <w:szCs w:val="20"/>
        </w:rPr>
        <w:t>in dem Maße, wie sie sich auf mehr als 3 Prozent der gesamten Bruttoentlohnung des Sportlers belaufen, die während der Dauer des Arbeitsvertrags pro Jahr berechnet wird</w:t>
      </w:r>
      <w:r w:rsidR="00FD68E8" w:rsidRPr="009118AB">
        <w:rPr>
          <w:sz w:val="20"/>
          <w:szCs w:val="20"/>
        </w:rPr>
        <w:t> -,</w:t>
      </w:r>
      <w:r w:rsidRPr="009118AB">
        <w:rPr>
          <w:sz w:val="20"/>
          <w:szCs w:val="20"/>
        </w:rPr>
        <w:t xml:space="preserve"> die direkt oder indirekt im Rahmen eines Vertrags gezahlt werden, der Folgendes zum Ziel hat:</w:t>
      </w:r>
    </w:p>
    <w:p w14:paraId="0717DAB8" w14:textId="77777777" w:rsidR="00261B2A" w:rsidRPr="009118AB" w:rsidRDefault="00261B2A" w:rsidP="00261B2A">
      <w:pPr>
        <w:autoSpaceDE w:val="0"/>
        <w:autoSpaceDN w:val="0"/>
        <w:adjustRightInd w:val="0"/>
        <w:jc w:val="both"/>
        <w:rPr>
          <w:sz w:val="20"/>
          <w:szCs w:val="20"/>
        </w:rPr>
      </w:pPr>
    </w:p>
    <w:p w14:paraId="392E76E6" w14:textId="6958CE8B" w:rsidR="00261B2A" w:rsidRPr="009118AB" w:rsidRDefault="00261B2A" w:rsidP="00261B2A">
      <w:pPr>
        <w:autoSpaceDE w:val="0"/>
        <w:autoSpaceDN w:val="0"/>
        <w:adjustRightInd w:val="0"/>
        <w:jc w:val="both"/>
        <w:rPr>
          <w:sz w:val="20"/>
          <w:szCs w:val="20"/>
        </w:rPr>
      </w:pPr>
      <w:r w:rsidRPr="009118AB">
        <w:rPr>
          <w:i/>
          <w:iCs/>
          <w:sz w:val="20"/>
          <w:szCs w:val="20"/>
        </w:rPr>
        <w:t>a)</w:t>
      </w:r>
      <w:r w:rsidRPr="009118AB">
        <w:rPr>
          <w:sz w:val="20"/>
          <w:szCs w:val="20"/>
        </w:rPr>
        <w:t> entweder einen Sportler bei Verhandlungen im Hinblick auf den Abschluss, die Verlängerung, Erneuerung oder Beendigung eines Arbeitsvertrags bei einem Sportclub zu unterstützen</w:t>
      </w:r>
    </w:p>
    <w:p w14:paraId="469415EB" w14:textId="77777777" w:rsidR="00261B2A" w:rsidRPr="009118AB" w:rsidRDefault="00261B2A" w:rsidP="00261B2A">
      <w:pPr>
        <w:autoSpaceDE w:val="0"/>
        <w:autoSpaceDN w:val="0"/>
        <w:adjustRightInd w:val="0"/>
        <w:jc w:val="both"/>
        <w:rPr>
          <w:sz w:val="20"/>
          <w:szCs w:val="20"/>
        </w:rPr>
      </w:pPr>
    </w:p>
    <w:p w14:paraId="3A19B356" w14:textId="059280F4" w:rsidR="00261B2A" w:rsidRPr="009118AB" w:rsidRDefault="00261B2A" w:rsidP="00261B2A">
      <w:pPr>
        <w:autoSpaceDE w:val="0"/>
        <w:autoSpaceDN w:val="0"/>
        <w:adjustRightInd w:val="0"/>
        <w:jc w:val="both"/>
        <w:rPr>
          <w:sz w:val="20"/>
          <w:szCs w:val="20"/>
        </w:rPr>
      </w:pPr>
      <w:r w:rsidRPr="009118AB">
        <w:rPr>
          <w:i/>
          <w:iCs/>
          <w:sz w:val="20"/>
          <w:szCs w:val="20"/>
        </w:rPr>
        <w:t>b)</w:t>
      </w:r>
      <w:r w:rsidRPr="009118AB">
        <w:rPr>
          <w:sz w:val="20"/>
          <w:szCs w:val="20"/>
        </w:rPr>
        <w:t xml:space="preserve"> oder einen in Artikel 270 </w:t>
      </w:r>
      <w:r w:rsidR="00D67EB8" w:rsidRPr="009118AB">
        <w:rPr>
          <w:sz w:val="20"/>
          <w:szCs w:val="20"/>
        </w:rPr>
        <w:t>Nr. </w:t>
      </w:r>
      <w:r w:rsidRPr="009118AB">
        <w:rPr>
          <w:sz w:val="20"/>
          <w:szCs w:val="20"/>
        </w:rPr>
        <w:t>1 oder 3 erwähnten Schuldner des Berufssteuer</w:t>
      </w:r>
      <w:r w:rsidRPr="009118AB">
        <w:rPr>
          <w:sz w:val="20"/>
          <w:szCs w:val="20"/>
        </w:rPr>
        <w:softHyphen/>
        <w:t>vorabzugs bei Verhandlungen im Hinblick auf den Abschluss, die Verlängerung, Erneuerung oder Beendigung eines Arbeitsvertrags mit einem Sportler zu unterstützen</w:t>
      </w:r>
    </w:p>
    <w:p w14:paraId="0701B15A" w14:textId="77777777" w:rsidR="00261B2A" w:rsidRPr="009118AB" w:rsidRDefault="00261B2A" w:rsidP="00261B2A">
      <w:pPr>
        <w:autoSpaceDE w:val="0"/>
        <w:autoSpaceDN w:val="0"/>
        <w:adjustRightInd w:val="0"/>
        <w:jc w:val="both"/>
        <w:rPr>
          <w:sz w:val="20"/>
          <w:szCs w:val="20"/>
        </w:rPr>
      </w:pPr>
    </w:p>
    <w:p w14:paraId="070CB14E" w14:textId="70809753" w:rsidR="00261B2A" w:rsidRPr="009118AB" w:rsidRDefault="00261B2A" w:rsidP="00261B2A">
      <w:pPr>
        <w:autoSpaceDE w:val="0"/>
        <w:autoSpaceDN w:val="0"/>
        <w:adjustRightInd w:val="0"/>
        <w:jc w:val="both"/>
        <w:rPr>
          <w:bCs/>
          <w:iCs/>
          <w:sz w:val="20"/>
          <w:szCs w:val="20"/>
        </w:rPr>
      </w:pPr>
      <w:r w:rsidRPr="009118AB">
        <w:rPr>
          <w:i/>
          <w:iCs/>
          <w:sz w:val="20"/>
          <w:szCs w:val="20"/>
        </w:rPr>
        <w:t>c)</w:t>
      </w:r>
      <w:r w:rsidRPr="009118AB">
        <w:rPr>
          <w:sz w:val="20"/>
          <w:szCs w:val="20"/>
        </w:rPr>
        <w:t> oder eine Ausleihe oder einen definitiven Transfer im Hinblick auf die Ankunft oder den Weggang eines Sportlers zu regeln.]</w:t>
      </w:r>
    </w:p>
    <w:p w14:paraId="598819BA" w14:textId="77777777" w:rsidR="003B6CED" w:rsidRPr="009118AB" w:rsidRDefault="003B6CED" w:rsidP="003B6CED">
      <w:pPr>
        <w:autoSpaceDE w:val="0"/>
        <w:autoSpaceDN w:val="0"/>
        <w:adjustRightInd w:val="0"/>
        <w:jc w:val="both"/>
        <w:rPr>
          <w:bCs/>
          <w:iCs/>
          <w:sz w:val="20"/>
          <w:szCs w:val="20"/>
        </w:rPr>
      </w:pPr>
    </w:p>
    <w:p w14:paraId="554FDB99" w14:textId="77777777" w:rsidR="003B6CED" w:rsidRPr="009118AB" w:rsidRDefault="003B6CED" w:rsidP="003B6CED">
      <w:pPr>
        <w:autoSpaceDE w:val="0"/>
        <w:autoSpaceDN w:val="0"/>
        <w:adjustRightInd w:val="0"/>
        <w:jc w:val="both"/>
        <w:rPr>
          <w:bCs/>
          <w:iCs/>
          <w:sz w:val="20"/>
          <w:szCs w:val="20"/>
        </w:rPr>
      </w:pPr>
      <w:r w:rsidRPr="009118AB">
        <w:rPr>
          <w:bCs/>
          <w:iCs/>
          <w:sz w:val="20"/>
          <w:szCs w:val="20"/>
        </w:rPr>
        <w:lastRenderedPageBreak/>
        <w:t>[Für die Anwendung von Absatz 1 werden in Artikel 32 erwähnte Unternehmensleiter Arbeitnehmern gleichgestellt.]</w:t>
      </w:r>
    </w:p>
    <w:p w14:paraId="73A84D0D" w14:textId="77777777" w:rsidR="003B6CED" w:rsidRPr="009118AB" w:rsidRDefault="003B6CED" w:rsidP="003B6CED">
      <w:pPr>
        <w:autoSpaceDE w:val="0"/>
        <w:autoSpaceDN w:val="0"/>
        <w:adjustRightInd w:val="0"/>
        <w:jc w:val="both"/>
        <w:rPr>
          <w:bCs/>
          <w:iCs/>
          <w:sz w:val="20"/>
          <w:szCs w:val="20"/>
        </w:rPr>
      </w:pPr>
    </w:p>
    <w:p w14:paraId="1AA0EF13" w14:textId="4F772928" w:rsidR="003B6CED" w:rsidRPr="009118AB" w:rsidRDefault="003B6CED" w:rsidP="003B6CED">
      <w:pPr>
        <w:autoSpaceDE w:val="0"/>
        <w:autoSpaceDN w:val="0"/>
        <w:adjustRightInd w:val="0"/>
        <w:jc w:val="both"/>
        <w:rPr>
          <w:sz w:val="20"/>
          <w:szCs w:val="20"/>
        </w:rPr>
      </w:pPr>
      <w:r w:rsidRPr="009118AB">
        <w:rPr>
          <w:bCs/>
          <w:iCs/>
          <w:sz w:val="20"/>
          <w:szCs w:val="20"/>
        </w:rPr>
        <w:t>[</w:t>
      </w: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Steuerpflichtige nachweist, dass </w:t>
      </w:r>
      <w:r w:rsidR="00D66D2D" w:rsidRPr="009118AB">
        <w:rPr>
          <w:sz w:val="20"/>
          <w:szCs w:val="20"/>
        </w:rPr>
        <w:t xml:space="preserve">[der Betrag der in Artikel 57 Absatz 1 erwähnten Ausgaben, der in den Artikeln 31 Absatz 2 </w:t>
      </w:r>
      <w:r w:rsidR="00D67EB8" w:rsidRPr="009118AB">
        <w:rPr>
          <w:sz w:val="20"/>
          <w:szCs w:val="20"/>
        </w:rPr>
        <w:t>Nr. </w:t>
      </w:r>
      <w:r w:rsidR="00D66D2D" w:rsidRPr="009118AB">
        <w:rPr>
          <w:sz w:val="20"/>
          <w:szCs w:val="20"/>
        </w:rPr>
        <w:t xml:space="preserve">2 und 32 Absatz 2 </w:t>
      </w:r>
      <w:r w:rsidR="00D67EB8" w:rsidRPr="009118AB">
        <w:rPr>
          <w:sz w:val="20"/>
          <w:szCs w:val="20"/>
        </w:rPr>
        <w:t>Nr. </w:t>
      </w:r>
      <w:r w:rsidR="00D66D2D" w:rsidRPr="009118AB">
        <w:rPr>
          <w:sz w:val="20"/>
          <w:szCs w:val="20"/>
        </w:rPr>
        <w:t xml:space="preserve">2 erwähnten Vorteile jeglicher Art oder der in Artikel 17 </w:t>
      </w:r>
      <w:r w:rsidR="00D67EB8" w:rsidRPr="009118AB">
        <w:rPr>
          <w:sz w:val="20"/>
          <w:szCs w:val="20"/>
        </w:rPr>
        <w:t>§ </w:t>
      </w:r>
      <w:r w:rsidR="00D66D2D" w:rsidRPr="009118AB">
        <w:rPr>
          <w:sz w:val="20"/>
          <w:szCs w:val="20"/>
        </w:rPr>
        <w:t xml:space="preserve">1 </w:t>
      </w:r>
      <w:r w:rsidR="00D67EB8" w:rsidRPr="009118AB">
        <w:rPr>
          <w:sz w:val="20"/>
          <w:szCs w:val="20"/>
        </w:rPr>
        <w:t>Nr. </w:t>
      </w:r>
      <w:r w:rsidR="00D66D2D" w:rsidRPr="009118AB">
        <w:rPr>
          <w:sz w:val="20"/>
          <w:szCs w:val="20"/>
        </w:rPr>
        <w:t xml:space="preserve">3, was Urheberrechte und ähnliche Rechte betrifft, und </w:t>
      </w:r>
      <w:r w:rsidR="00D67EB8" w:rsidRPr="009118AB">
        <w:rPr>
          <w:sz w:val="20"/>
          <w:szCs w:val="20"/>
        </w:rPr>
        <w:t>Nr. </w:t>
      </w:r>
      <w:r w:rsidR="00D66D2D" w:rsidRPr="009118AB">
        <w:rPr>
          <w:sz w:val="20"/>
          <w:szCs w:val="20"/>
        </w:rPr>
        <w:t>5 erwähnten Einkünfte]</w:t>
      </w:r>
      <w:r w:rsidRPr="009118AB">
        <w:rPr>
          <w:sz w:val="20"/>
          <w:szCs w:val="20"/>
        </w:rPr>
        <w:t xml:space="preserve"> [in einer vom Empfänger gemäß Artikel 305 eingereichten Erklärung oder in einer vom Empfänger im Ausland eingereichten gleichartigen Erklärung] enthalten ist.]</w:t>
      </w:r>
    </w:p>
    <w:p w14:paraId="2B006F6A" w14:textId="77777777" w:rsidR="003B6CED" w:rsidRPr="009118AB" w:rsidRDefault="003B6CED" w:rsidP="003B6CED">
      <w:pPr>
        <w:autoSpaceDE w:val="0"/>
        <w:autoSpaceDN w:val="0"/>
        <w:adjustRightInd w:val="0"/>
        <w:jc w:val="both"/>
        <w:rPr>
          <w:sz w:val="20"/>
          <w:szCs w:val="20"/>
        </w:rPr>
      </w:pPr>
    </w:p>
    <w:p w14:paraId="4ABF023C" w14:textId="3C78F591" w:rsidR="003B6CED" w:rsidRPr="009118AB" w:rsidRDefault="003B6CED" w:rsidP="003B6CED">
      <w:pPr>
        <w:autoSpaceDE w:val="0"/>
        <w:autoSpaceDN w:val="0"/>
        <w:adjustRightInd w:val="0"/>
        <w:jc w:val="both"/>
        <w:rPr>
          <w:sz w:val="20"/>
          <w:szCs w:val="20"/>
        </w:rPr>
      </w:pP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Empfänger spätestens zwei Jahre und sechs Monate ab dem 1. Januar des betreffenden Steuerjahres eindeutig identifiziert worden ist [oder wenn </w:t>
      </w:r>
      <w:r w:rsidR="00D66D2D" w:rsidRPr="009118AB">
        <w:rPr>
          <w:sz w:val="20"/>
          <w:szCs w:val="20"/>
        </w:rPr>
        <w:t xml:space="preserve">[der Betrag der in den Artikeln 31 Absatz 2 </w:t>
      </w:r>
      <w:r w:rsidR="00D67EB8" w:rsidRPr="009118AB">
        <w:rPr>
          <w:sz w:val="20"/>
          <w:szCs w:val="20"/>
        </w:rPr>
        <w:t>Nr. </w:t>
      </w:r>
      <w:r w:rsidR="00D66D2D" w:rsidRPr="009118AB">
        <w:rPr>
          <w:sz w:val="20"/>
          <w:szCs w:val="20"/>
        </w:rPr>
        <w:t xml:space="preserve">2 und 32 Absatz 2 </w:t>
      </w:r>
      <w:r w:rsidR="00D67EB8" w:rsidRPr="009118AB">
        <w:rPr>
          <w:sz w:val="20"/>
          <w:szCs w:val="20"/>
        </w:rPr>
        <w:t>Nr. </w:t>
      </w:r>
      <w:r w:rsidR="00D66D2D" w:rsidRPr="009118AB">
        <w:rPr>
          <w:sz w:val="20"/>
          <w:szCs w:val="20"/>
        </w:rPr>
        <w:t xml:space="preserve">2 erwähnten Vorteile jeglicher Art, der in Artikel 57 Absatz 1 erwähnten Ausgaben oder der in Artikel 17 </w:t>
      </w:r>
      <w:r w:rsidR="00D67EB8" w:rsidRPr="009118AB">
        <w:rPr>
          <w:sz w:val="20"/>
          <w:szCs w:val="20"/>
        </w:rPr>
        <w:t>§ </w:t>
      </w:r>
      <w:r w:rsidR="00D66D2D" w:rsidRPr="009118AB">
        <w:rPr>
          <w:sz w:val="20"/>
          <w:szCs w:val="20"/>
        </w:rPr>
        <w:t xml:space="preserve">1 </w:t>
      </w:r>
      <w:r w:rsidR="00D67EB8" w:rsidRPr="009118AB">
        <w:rPr>
          <w:sz w:val="20"/>
          <w:szCs w:val="20"/>
        </w:rPr>
        <w:t>Nr. </w:t>
      </w:r>
      <w:r w:rsidR="00D66D2D" w:rsidRPr="009118AB">
        <w:rPr>
          <w:sz w:val="20"/>
          <w:szCs w:val="20"/>
        </w:rPr>
        <w:t xml:space="preserve">3, was Urheberrechte und ähnliche Rechte betrifft, und </w:t>
      </w:r>
      <w:r w:rsidR="00D67EB8" w:rsidRPr="009118AB">
        <w:rPr>
          <w:sz w:val="20"/>
          <w:szCs w:val="20"/>
        </w:rPr>
        <w:t>Nr. </w:t>
      </w:r>
      <w:r w:rsidR="00D66D2D" w:rsidRPr="009118AB">
        <w:rPr>
          <w:sz w:val="20"/>
          <w:szCs w:val="20"/>
        </w:rPr>
        <w:t>5 erwähnten Einkünfte]</w:t>
      </w:r>
      <w:r w:rsidRPr="009118AB">
        <w:rPr>
          <w:sz w:val="20"/>
          <w:szCs w:val="20"/>
        </w:rPr>
        <w:t xml:space="preserve"> in einer Veranlagung enthalten ist, die in den in den Artikeln 354 Absatz 1 und 2 und 358 erwähnten Fristen </w:t>
      </w:r>
      <w:r w:rsidR="00B818A6" w:rsidRPr="009118AB">
        <w:rPr>
          <w:sz w:val="20"/>
          <w:szCs w:val="20"/>
        </w:rPr>
        <w:t>[bei einem steuerpflichtigen Empfänger wie in Artikel 305 Absatz 1 erwähnt mit seinem Einverständnis]</w:t>
      </w:r>
      <w:r w:rsidRPr="009118AB">
        <w:rPr>
          <w:sz w:val="20"/>
          <w:szCs w:val="20"/>
        </w:rPr>
        <w:t xml:space="preserve"> festgelegt wird].]</w:t>
      </w:r>
    </w:p>
    <w:p w14:paraId="1CC591A3" w14:textId="77777777" w:rsidR="003B6CED" w:rsidRPr="009118AB" w:rsidRDefault="003B6CED" w:rsidP="003B6CED">
      <w:pPr>
        <w:autoSpaceDE w:val="0"/>
        <w:autoSpaceDN w:val="0"/>
        <w:adjustRightInd w:val="0"/>
        <w:jc w:val="both"/>
        <w:rPr>
          <w:sz w:val="20"/>
          <w:szCs w:val="20"/>
        </w:rPr>
      </w:pPr>
    </w:p>
    <w:p w14:paraId="6270EBE3" w14:textId="76E595AD" w:rsidR="003B6CED" w:rsidRPr="009118AB" w:rsidRDefault="003B6CED" w:rsidP="003B6CED">
      <w:pPr>
        <w:autoSpaceDE w:val="0"/>
        <w:autoSpaceDN w:val="0"/>
        <w:adjustRightInd w:val="0"/>
        <w:jc w:val="both"/>
        <w:rPr>
          <w:sz w:val="20"/>
          <w:szCs w:val="20"/>
        </w:rPr>
      </w:pPr>
      <w:r w:rsidRPr="009118AB">
        <w:rPr>
          <w:sz w:val="20"/>
          <w:szCs w:val="20"/>
        </w:rPr>
        <w:t xml:space="preserve">[Wird ein in [Absatz 1 </w:t>
      </w:r>
      <w:r w:rsidR="00D67EB8" w:rsidRPr="009118AB">
        <w:rPr>
          <w:sz w:val="20"/>
          <w:szCs w:val="20"/>
        </w:rPr>
        <w:t>Nr. </w:t>
      </w:r>
      <w:r w:rsidRPr="009118AB">
        <w:rPr>
          <w:sz w:val="20"/>
          <w:szCs w:val="20"/>
        </w:rPr>
        <w:t xml:space="preserve">6 und 7] erwähntes Fahrzeug einem Dritten zur Nutzung zu persönlichen Zwecken zur Verfügung gestellt, umfassen die in </w:t>
      </w:r>
      <w:r w:rsidR="00FA58D0" w:rsidRPr="009118AB">
        <w:rPr>
          <w:sz w:val="20"/>
          <w:szCs w:val="20"/>
        </w:rPr>
        <w:t xml:space="preserve">[Absatz 1 </w:t>
      </w:r>
      <w:r w:rsidR="00D67EB8" w:rsidRPr="009118AB">
        <w:rPr>
          <w:sz w:val="20"/>
          <w:szCs w:val="20"/>
        </w:rPr>
        <w:t>Nr. </w:t>
      </w:r>
      <w:r w:rsidR="00FA58D0" w:rsidRPr="009118AB">
        <w:rPr>
          <w:sz w:val="20"/>
          <w:szCs w:val="20"/>
        </w:rPr>
        <w:t xml:space="preserve">6 und 7] </w:t>
      </w:r>
      <w:r w:rsidRPr="009118AB">
        <w:rPr>
          <w:sz w:val="20"/>
          <w:szCs w:val="20"/>
        </w:rPr>
        <w:t>erwähnten Kosten nicht den Betrag, der dem zu Lasten dieses Dritten besteuerten Vorteil jeglicher Art entspricht, und die Eigenbeteiligung dieses Dritten für die Nutzung zu persönlichen Zwecken dieses Fahrzeugs.]</w:t>
      </w:r>
    </w:p>
    <w:p w14:paraId="21163CDB" w14:textId="77777777" w:rsidR="003B6CED" w:rsidRPr="009118AB" w:rsidRDefault="003B6CED" w:rsidP="003B6CED">
      <w:pPr>
        <w:autoSpaceDE w:val="0"/>
        <w:autoSpaceDN w:val="0"/>
        <w:adjustRightInd w:val="0"/>
        <w:jc w:val="both"/>
        <w:rPr>
          <w:bCs/>
          <w:iCs/>
          <w:sz w:val="20"/>
          <w:szCs w:val="20"/>
        </w:rPr>
      </w:pPr>
    </w:p>
    <w:p w14:paraId="6D296BC8" w14:textId="35EDBD98" w:rsidR="003B6CED" w:rsidRPr="009118AB" w:rsidRDefault="003B6CED" w:rsidP="003B6CED">
      <w:pPr>
        <w:autoSpaceDE w:val="0"/>
        <w:autoSpaceDN w:val="0"/>
        <w:adjustRightInd w:val="0"/>
        <w:jc w:val="both"/>
        <w:rPr>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223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1 abgeändert durch </w:t>
      </w:r>
      <w:r w:rsidR="00D67EB8" w:rsidRPr="009118AB">
        <w:rPr>
          <w:bCs/>
          <w:i/>
          <w:iCs/>
          <w:sz w:val="20"/>
          <w:szCs w:val="20"/>
        </w:rPr>
        <w:t>Art. </w:t>
      </w:r>
      <w:r w:rsidRPr="009118AB">
        <w:rPr>
          <w:bCs/>
          <w:i/>
          <w:iCs/>
          <w:sz w:val="20"/>
          <w:szCs w:val="20"/>
        </w:rPr>
        <w:t>21 des G. (I) vom 27. Dezember 2006 (I)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71 Buchstabe</w:t>
      </w:r>
      <w:r w:rsidRPr="009118AB">
        <w:rPr>
          <w:rFonts w:hint="eastAsia"/>
          <w:bCs/>
          <w:i/>
          <w:iCs/>
          <w:sz w:val="20"/>
          <w:szCs w:val="20"/>
        </w:rPr>
        <w:t> </w:t>
      </w:r>
      <w:r w:rsidRPr="009118AB">
        <w:rPr>
          <w:bCs/>
          <w:i/>
          <w:iCs/>
          <w:sz w:val="20"/>
          <w:szCs w:val="20"/>
        </w:rPr>
        <w:t>a) des G. vom 27. Juni 2021 (B.S. vom 30. Juni 2021)</w:t>
      </w:r>
      <w:r w:rsidR="00CA61DC" w:rsidRPr="009118AB">
        <w:rPr>
          <w:bCs/>
          <w:i/>
          <w:iCs/>
          <w:sz w:val="20"/>
          <w:szCs w:val="20"/>
        </w:rPr>
        <w:t>,</w:t>
      </w:r>
      <w:r w:rsidR="00D66D2D" w:rsidRPr="009118AB">
        <w:rPr>
          <w:bCs/>
          <w:i/>
          <w:iCs/>
          <w:sz w:val="20"/>
          <w:szCs w:val="20"/>
        </w:rPr>
        <w:t xml:space="preserve"> </w:t>
      </w:r>
      <w:r w:rsidR="00D67EB8" w:rsidRPr="009118AB">
        <w:rPr>
          <w:bCs/>
          <w:i/>
          <w:iCs/>
          <w:sz w:val="20"/>
          <w:szCs w:val="20"/>
        </w:rPr>
        <w:t>Art. </w:t>
      </w:r>
      <w:r w:rsidR="00D66D2D" w:rsidRPr="009118AB">
        <w:rPr>
          <w:bCs/>
          <w:i/>
          <w:iCs/>
          <w:sz w:val="20"/>
          <w:szCs w:val="20"/>
        </w:rPr>
        <w:t xml:space="preserve">47 </w:t>
      </w:r>
      <w:r w:rsidR="00D67EB8" w:rsidRPr="009118AB">
        <w:rPr>
          <w:bCs/>
          <w:i/>
          <w:iCs/>
          <w:sz w:val="20"/>
          <w:szCs w:val="20"/>
        </w:rPr>
        <w:t>Nr. </w:t>
      </w:r>
      <w:r w:rsidR="00D66D2D" w:rsidRPr="009118AB">
        <w:rPr>
          <w:bCs/>
          <w:i/>
          <w:iCs/>
          <w:sz w:val="20"/>
          <w:szCs w:val="20"/>
        </w:rPr>
        <w:t>1 des G. vom 21. Januar 2022 (B.S. vom 28. Januar 2022)</w:t>
      </w:r>
      <w:r w:rsidR="00D67EB8" w:rsidRPr="009118AB">
        <w:rPr>
          <w:bCs/>
          <w:i/>
          <w:iCs/>
          <w:sz w:val="20"/>
          <w:szCs w:val="20"/>
        </w:rPr>
        <w:t> - </w:t>
      </w:r>
      <w:r w:rsidR="00D66D2D"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CA61DC" w:rsidRPr="009118AB">
        <w:rPr>
          <w:bCs/>
          <w:i/>
          <w:iCs/>
          <w:sz w:val="20"/>
          <w:szCs w:val="20"/>
        </w:rPr>
        <w:t xml:space="preserve"> und Art. 26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2 ersetzt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 xml:space="preserve">anwendbar auf die ab dem 1. Januar 2006 gezahlten </w:t>
      </w:r>
      <w:r w:rsidRPr="009118AB">
        <w:rPr>
          <w:rFonts w:ascii="Times New Roman Italique" w:hAnsi="Times New Roman Italique"/>
          <w:bCs/>
          <w:i/>
          <w:iCs/>
          <w:spacing w:val="-2"/>
          <w:sz w:val="20"/>
          <w:szCs w:val="20"/>
        </w:rPr>
        <w:t>Prämien und Beiträge</w:t>
      </w:r>
      <w:r w:rsidR="003366D9" w:rsidRPr="009118AB">
        <w:rPr>
          <w:rFonts w:ascii="Times New Roman Italique" w:hAnsi="Times New Roman Italique"/>
          <w:bCs/>
          <w:i/>
          <w:iCs/>
          <w:spacing w:val="-2"/>
          <w:sz w:val="20"/>
          <w:szCs w:val="20"/>
        </w:rPr>
        <w:t> -;</w:t>
      </w:r>
      <w:r w:rsidRPr="009118AB">
        <w:rPr>
          <w:rFonts w:ascii="Times New Roman Italique" w:hAnsi="Times New Roman Italique"/>
          <w:bCs/>
          <w:i/>
          <w:iCs/>
          <w:spacing w:val="-2"/>
          <w:sz w:val="20"/>
          <w:szCs w:val="20"/>
        </w:rPr>
        <w:t xml:space="preserve">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3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 xml:space="preserve">47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1 des G. vom 15. Dezember 2004 (B.S. vom 1. Februar 2005)</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Aktien- oder Anteilverleihe, die ab dem 14. April 1999 abgeschlossen werden</w:t>
      </w:r>
      <w:r w:rsidR="00FD68E8" w:rsidRPr="009118AB">
        <w:rPr>
          <w:rFonts w:ascii="Times New Roman Italique" w:hAnsi="Times New Roman Italique"/>
          <w:bCs/>
          <w:i/>
          <w:iCs/>
          <w:spacing w:val="-2"/>
          <w:sz w:val="20"/>
          <w:szCs w:val="20"/>
        </w:rPr>
        <w:t> </w:t>
      </w:r>
      <w:r w:rsidR="00FD68E8" w:rsidRPr="009118AB">
        <w:rPr>
          <w:rFonts w:ascii="Times New Roman Italique" w:hAnsi="Times New Roman Italique" w:hint="eastAsia"/>
          <w:bCs/>
          <w:i/>
          <w:iCs/>
          <w:spacing w:val="-2"/>
          <w:sz w:val="20"/>
          <w:szCs w:val="20"/>
        </w:rPr>
        <w:t>-,</w:t>
      </w:r>
      <w:r w:rsidRPr="009118AB">
        <w:rPr>
          <w:bCs/>
          <w:i/>
          <w:iCs/>
          <w:sz w:val="20"/>
          <w:szCs w:val="20"/>
        </w:rPr>
        <w:t xml:space="preserve"> aufgehoben durch </w:t>
      </w:r>
      <w:r w:rsidR="00D67EB8" w:rsidRPr="009118AB">
        <w:rPr>
          <w:bCs/>
          <w:i/>
          <w:iCs/>
          <w:sz w:val="20"/>
          <w:szCs w:val="20"/>
        </w:rPr>
        <w:t>Art. </w:t>
      </w:r>
      <w:r w:rsidRPr="009118AB">
        <w:rPr>
          <w:bCs/>
          <w:i/>
          <w:iCs/>
          <w:sz w:val="20"/>
          <w:szCs w:val="20"/>
        </w:rPr>
        <w:t xml:space="preserve">47 </w:t>
      </w:r>
      <w:r w:rsidR="00D67EB8" w:rsidRPr="009118AB">
        <w:rPr>
          <w:bCs/>
          <w:i/>
          <w:iCs/>
          <w:sz w:val="20"/>
          <w:szCs w:val="20"/>
        </w:rPr>
        <w:t>Nr. </w:t>
      </w:r>
      <w:r w:rsidRPr="009118AB">
        <w:rPr>
          <w:bCs/>
          <w:i/>
          <w:iCs/>
          <w:sz w:val="20"/>
          <w:szCs w:val="20"/>
        </w:rPr>
        <w:t>2 des G. vom 15. Dezember 2004 (B.S. vom 1. Februar 2005)</w:t>
      </w:r>
      <w:r w:rsidR="00D67EB8" w:rsidRPr="009118AB">
        <w:rPr>
          <w:bCs/>
          <w:i/>
          <w:iCs/>
          <w:sz w:val="20"/>
          <w:szCs w:val="20"/>
        </w:rPr>
        <w:t> - </w:t>
      </w:r>
      <w:r w:rsidRPr="009118AB">
        <w:rPr>
          <w:bCs/>
          <w:i/>
          <w:iCs/>
          <w:sz w:val="20"/>
          <w:szCs w:val="20"/>
        </w:rPr>
        <w:t>anwendbar auf Aktien-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 des G. vom 11. Mai 2007 (B.S. vom 8. Juni 2007)</w:t>
      </w:r>
      <w:r w:rsidR="00D67EB8" w:rsidRPr="009118AB">
        <w:rPr>
          <w:bCs/>
          <w:i/>
          <w:iCs/>
          <w:sz w:val="20"/>
          <w:szCs w:val="20"/>
        </w:rPr>
        <w:t> - </w:t>
      </w:r>
      <w:r w:rsidRPr="009118AB">
        <w:rPr>
          <w:bCs/>
          <w:i/>
          <w:iCs/>
          <w:sz w:val="20"/>
          <w:szCs w:val="20"/>
        </w:rPr>
        <w:t>in Kraft ab dem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eingefügt </w:t>
      </w:r>
      <w:r w:rsidRPr="009118AB">
        <w:rPr>
          <w:i/>
          <w:iCs/>
          <w:sz w:val="20"/>
          <w:szCs w:val="20"/>
        </w:rPr>
        <w:t xml:space="preserve">durch </w:t>
      </w:r>
      <w:r w:rsidR="00D67EB8" w:rsidRPr="009118AB">
        <w:rPr>
          <w:i/>
          <w:iCs/>
          <w:sz w:val="20"/>
          <w:szCs w:val="20"/>
        </w:rPr>
        <w:t>Art. </w:t>
      </w:r>
      <w:r w:rsidRPr="009118AB">
        <w:rPr>
          <w:i/>
          <w:iCs/>
          <w:sz w:val="20"/>
          <w:szCs w:val="20"/>
        </w:rPr>
        <w:t>47</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i/>
          <w:iCs/>
          <w:sz w:val="20"/>
          <w:szCs w:val="20"/>
        </w:rPr>
        <w:t>anwendbar auf die ab dem 1. Januar 2012 zuerkannten Vorteile jeglicher Art</w:t>
      </w:r>
      <w:r w:rsidR="00FD68E8" w:rsidRPr="009118AB">
        <w:rPr>
          <w:i/>
          <w:iCs/>
          <w:sz w:val="20"/>
          <w:szCs w:val="20"/>
        </w:rPr>
        <w:t> -,</w:t>
      </w:r>
      <w:r w:rsidR="00D66D2D" w:rsidRPr="009118AB">
        <w:rPr>
          <w:i/>
          <w:iCs/>
          <w:sz w:val="20"/>
          <w:szCs w:val="20"/>
        </w:rPr>
        <w:t xml:space="preserve"> </w:t>
      </w:r>
      <w:r w:rsidRPr="009118AB">
        <w:rPr>
          <w:i/>
          <w:iCs/>
          <w:sz w:val="20"/>
          <w:szCs w:val="20"/>
        </w:rPr>
        <w:t xml:space="preserve">ersetzt durch </w:t>
      </w:r>
      <w:r w:rsidR="00D67EB8" w:rsidRPr="009118AB">
        <w:rPr>
          <w:i/>
          <w:iCs/>
          <w:sz w:val="20"/>
          <w:szCs w:val="20"/>
        </w:rPr>
        <w:t>Art. </w:t>
      </w:r>
      <w:r w:rsidRPr="009118AB">
        <w:rPr>
          <w:i/>
          <w:iCs/>
          <w:sz w:val="20"/>
          <w:szCs w:val="20"/>
        </w:rPr>
        <w:t>69 Buchstabe a)</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D66D2D" w:rsidRPr="009118AB">
        <w:rPr>
          <w:bCs/>
          <w:i/>
          <w:iCs/>
          <w:sz w:val="20"/>
          <w:szCs w:val="20"/>
        </w:rPr>
        <w:t xml:space="preserve">und abgeändert durch </w:t>
      </w:r>
      <w:r w:rsidR="00D67EB8" w:rsidRPr="009118AB">
        <w:rPr>
          <w:bCs/>
          <w:i/>
          <w:iCs/>
          <w:sz w:val="20"/>
          <w:szCs w:val="20"/>
        </w:rPr>
        <w:t>Art. </w:t>
      </w:r>
      <w:r w:rsidR="00D66D2D" w:rsidRPr="009118AB">
        <w:rPr>
          <w:bCs/>
          <w:i/>
          <w:iCs/>
          <w:sz w:val="20"/>
          <w:szCs w:val="20"/>
        </w:rPr>
        <w:t xml:space="preserve">47 </w:t>
      </w:r>
      <w:r w:rsidR="00D67EB8" w:rsidRPr="009118AB">
        <w:rPr>
          <w:bCs/>
          <w:i/>
          <w:iCs/>
          <w:sz w:val="20"/>
          <w:szCs w:val="20"/>
        </w:rPr>
        <w:t>Nr. </w:t>
      </w:r>
      <w:r w:rsidR="00D66D2D" w:rsidRPr="009118AB">
        <w:rPr>
          <w:bCs/>
          <w:i/>
          <w:iCs/>
          <w:sz w:val="20"/>
          <w:szCs w:val="20"/>
        </w:rPr>
        <w:t>2 des G. vom 21. Januar 2022 (B.S. vom 28. Januar 2022)</w:t>
      </w:r>
      <w:r w:rsidR="00D67EB8" w:rsidRPr="009118AB">
        <w:rPr>
          <w:bCs/>
          <w:i/>
          <w:iCs/>
          <w:sz w:val="20"/>
          <w:szCs w:val="20"/>
        </w:rPr>
        <w:t> - </w:t>
      </w:r>
      <w:r w:rsidR="00D66D2D" w:rsidRPr="009118AB">
        <w:rPr>
          <w:bCs/>
          <w:i/>
          <w:iCs/>
          <w:sz w:val="20"/>
          <w:szCs w:val="20"/>
        </w:rPr>
        <w:t>wirksam mit 1. Januar 2021</w:t>
      </w:r>
      <w:r w:rsidR="003366D9" w:rsidRPr="009118AB">
        <w:rPr>
          <w:bCs/>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65143C" w:rsidRPr="009118AB">
        <w:rPr>
          <w:i/>
          <w:iCs/>
          <w:spacing w:val="-2"/>
          <w:sz w:val="20"/>
          <w:szCs w:val="20"/>
        </w:rPr>
        <w:t>frühere Nummer</w:t>
      </w:r>
      <w:r w:rsidRPr="009118AB">
        <w:rPr>
          <w:i/>
          <w:iCs/>
          <w:sz w:val="20"/>
          <w:szCs w:val="20"/>
        </w:rPr>
        <w:t xml:space="preserve"> 4bis eingefügt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18 </w:t>
      </w:r>
      <w:r w:rsidR="00D67EB8" w:rsidRPr="009118AB">
        <w:rPr>
          <w:i/>
          <w:iCs/>
          <w:sz w:val="20"/>
          <w:szCs w:val="20"/>
        </w:rPr>
        <w:t>Nr. </w:t>
      </w:r>
      <w:r w:rsidRPr="009118AB">
        <w:rPr>
          <w:i/>
          <w:iCs/>
          <w:sz w:val="20"/>
          <w:szCs w:val="20"/>
        </w:rPr>
        <w:t>1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aufgehoben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wieder aufgenommen durch </w:t>
      </w:r>
      <w:r w:rsidR="00D67EB8" w:rsidRPr="009118AB">
        <w:rPr>
          <w:i/>
          <w:iCs/>
          <w:sz w:val="20"/>
          <w:szCs w:val="20"/>
        </w:rPr>
        <w:t>Art. </w:t>
      </w:r>
      <w:r w:rsidRPr="009118AB">
        <w:rPr>
          <w:i/>
          <w:iCs/>
          <w:sz w:val="20"/>
          <w:szCs w:val="20"/>
        </w:rPr>
        <w:t>69 Buchstabe b)</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D66D2D" w:rsidRPr="009118AB">
        <w:rPr>
          <w:bCs/>
          <w:i/>
          <w:iCs/>
          <w:sz w:val="20"/>
          <w:szCs w:val="20"/>
        </w:rPr>
        <w:t xml:space="preserve">und abgeändert durch </w:t>
      </w:r>
      <w:r w:rsidR="00D67EB8" w:rsidRPr="009118AB">
        <w:rPr>
          <w:bCs/>
          <w:i/>
          <w:iCs/>
          <w:sz w:val="20"/>
          <w:szCs w:val="20"/>
        </w:rPr>
        <w:t>Art. </w:t>
      </w:r>
      <w:r w:rsidR="00D66D2D" w:rsidRPr="009118AB">
        <w:rPr>
          <w:bCs/>
          <w:i/>
          <w:iCs/>
          <w:sz w:val="20"/>
          <w:szCs w:val="20"/>
        </w:rPr>
        <w:t xml:space="preserve">47 </w:t>
      </w:r>
      <w:r w:rsidR="00D67EB8" w:rsidRPr="009118AB">
        <w:rPr>
          <w:bCs/>
          <w:i/>
          <w:iCs/>
          <w:sz w:val="20"/>
          <w:szCs w:val="20"/>
        </w:rPr>
        <w:t>Nr. </w:t>
      </w:r>
      <w:r w:rsidR="00D66D2D" w:rsidRPr="009118AB">
        <w:rPr>
          <w:bCs/>
          <w:i/>
          <w:iCs/>
          <w:sz w:val="20"/>
          <w:szCs w:val="20"/>
        </w:rPr>
        <w:t>2 des G. vom 21. Januar 2022 (B.S. vom 28. Januar 2022)</w:t>
      </w:r>
      <w:r w:rsidR="00D67EB8" w:rsidRPr="009118AB">
        <w:rPr>
          <w:bCs/>
          <w:i/>
          <w:iCs/>
          <w:sz w:val="20"/>
          <w:szCs w:val="20"/>
        </w:rPr>
        <w:t> - </w:t>
      </w:r>
      <w:r w:rsidR="00D66D2D" w:rsidRPr="009118AB">
        <w:rPr>
          <w:bCs/>
          <w:i/>
          <w:iCs/>
          <w:sz w:val="20"/>
          <w:szCs w:val="20"/>
        </w:rPr>
        <w:t>wirksam mit 1. Januar 2021</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65143C" w:rsidRPr="009118AB">
        <w:rPr>
          <w:i/>
          <w:iCs/>
          <w:spacing w:val="-2"/>
          <w:sz w:val="20"/>
          <w:szCs w:val="20"/>
        </w:rPr>
        <w:t>frühere Nummer</w:t>
      </w:r>
      <w:r w:rsidRPr="009118AB">
        <w:rPr>
          <w:bCs/>
          <w:i/>
          <w:iCs/>
          <w:sz w:val="20"/>
          <w:szCs w:val="20"/>
        </w:rPr>
        <w:t xml:space="preserve"> 5bis eingefügt durch </w:t>
      </w:r>
      <w:r w:rsidR="00D67EB8" w:rsidRPr="009118AB">
        <w:rPr>
          <w:bCs/>
          <w:i/>
          <w:iCs/>
          <w:sz w:val="20"/>
          <w:szCs w:val="20"/>
        </w:rPr>
        <w:t>Art. </w:t>
      </w:r>
      <w:r w:rsidRPr="009118AB">
        <w:rPr>
          <w:bCs/>
          <w:i/>
          <w:iCs/>
          <w:sz w:val="20"/>
          <w:szCs w:val="20"/>
        </w:rPr>
        <w:t xml:space="preserve">31 </w:t>
      </w:r>
      <w:r w:rsidR="00D67EB8" w:rsidRPr="009118AB">
        <w:rPr>
          <w:bCs/>
          <w:i/>
          <w:iCs/>
          <w:sz w:val="20"/>
          <w:szCs w:val="20"/>
        </w:rPr>
        <w:t>Nr. </w:t>
      </w:r>
      <w:r w:rsidRPr="009118AB">
        <w:rPr>
          <w:bCs/>
          <w:i/>
          <w:iCs/>
          <w:sz w:val="20"/>
          <w:szCs w:val="20"/>
        </w:rPr>
        <w:t>2</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6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7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D67EB8" w:rsidRPr="009118AB">
        <w:rPr>
          <w:i/>
          <w:iCs/>
          <w:sz w:val="20"/>
          <w:szCs w:val="20"/>
        </w:rPr>
        <w:t> - </w:t>
      </w:r>
      <w:r w:rsidRPr="009118AB">
        <w:rPr>
          <w:i/>
          <w:iCs/>
          <w:sz w:val="20"/>
          <w:szCs w:val="20"/>
        </w:rPr>
        <w:t xml:space="preserve">und ersetzt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261B2A" w:rsidRPr="009118AB">
        <w:rPr>
          <w:i/>
          <w:iCs/>
          <w:sz w:val="20"/>
          <w:szCs w:val="20"/>
        </w:rPr>
        <w:t xml:space="preserve">1 </w:t>
      </w:r>
      <w:r w:rsidR="00D67EB8" w:rsidRPr="009118AB">
        <w:rPr>
          <w:i/>
          <w:iCs/>
          <w:sz w:val="20"/>
          <w:szCs w:val="20"/>
        </w:rPr>
        <w:t>Nr. </w:t>
      </w:r>
      <w:r w:rsidR="00261B2A" w:rsidRPr="009118AB">
        <w:rPr>
          <w:i/>
          <w:iCs/>
          <w:sz w:val="20"/>
          <w:szCs w:val="20"/>
        </w:rPr>
        <w:t xml:space="preserve">8 eingefügt durch </w:t>
      </w:r>
      <w:r w:rsidR="00D67EB8" w:rsidRPr="009118AB">
        <w:rPr>
          <w:i/>
          <w:iCs/>
          <w:sz w:val="20"/>
          <w:szCs w:val="20"/>
        </w:rPr>
        <w:t>Art. </w:t>
      </w:r>
      <w:r w:rsidR="00261B2A" w:rsidRPr="009118AB">
        <w:rPr>
          <w:i/>
          <w:iCs/>
          <w:sz w:val="20"/>
          <w:szCs w:val="20"/>
        </w:rPr>
        <w:t>7 des G. vom 27. Dezember 2021 (B.S. vom 31. Dezember 2021)</w:t>
      </w:r>
      <w:r w:rsidR="00D67EB8" w:rsidRPr="009118AB">
        <w:rPr>
          <w:i/>
          <w:iCs/>
          <w:sz w:val="20"/>
          <w:szCs w:val="20"/>
        </w:rPr>
        <w:t> - </w:t>
      </w:r>
      <w:r w:rsidR="00261B2A" w:rsidRPr="009118AB">
        <w:rPr>
          <w:i/>
          <w:iCs/>
          <w:sz w:val="20"/>
          <w:szCs w:val="20"/>
        </w:rPr>
        <w:t>anwendbar ab dem 1. Januar 2022</w:t>
      </w:r>
      <w:r w:rsidR="003366D9" w:rsidRPr="009118AB">
        <w:rPr>
          <w:i/>
          <w:iCs/>
          <w:sz w:val="20"/>
          <w:szCs w:val="20"/>
        </w:rPr>
        <w:t> -;</w:t>
      </w:r>
      <w:r w:rsidR="00261B2A" w:rsidRPr="009118AB">
        <w:rPr>
          <w:i/>
          <w:iCs/>
          <w:sz w:val="20"/>
          <w:szCs w:val="20"/>
        </w:rPr>
        <w:t xml:space="preserve"> </w:t>
      </w:r>
      <w:r w:rsidR="00D67EB8" w:rsidRPr="009118AB">
        <w:rPr>
          <w:bCs/>
          <w:i/>
          <w:iCs/>
          <w:sz w:val="20"/>
          <w:szCs w:val="20"/>
        </w:rPr>
        <w:t>Abs. </w:t>
      </w:r>
      <w:r w:rsidRPr="009118AB">
        <w:rPr>
          <w:bCs/>
          <w:i/>
          <w:iCs/>
          <w:sz w:val="20"/>
          <w:szCs w:val="20"/>
        </w:rPr>
        <w:t>2 eingefügt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2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00D66D2D" w:rsidRPr="009118AB">
        <w:rPr>
          <w:i/>
          <w:iCs/>
          <w:sz w:val="20"/>
          <w:szCs w:val="20"/>
        </w:rPr>
        <w:t xml:space="preserve"> und</w:t>
      </w:r>
      <w:r w:rsidRPr="009118AB">
        <w:rPr>
          <w:i/>
          <w:iCs/>
          <w:sz w:val="20"/>
          <w:szCs w:val="20"/>
        </w:rPr>
        <w:t xml:space="preserve"> abgeändert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2 des G. vom 19. Dezember 2014 (B.S. vom 29. Dezember 2014)</w:t>
      </w:r>
      <w:r w:rsidR="00D67EB8" w:rsidRPr="009118AB">
        <w:rPr>
          <w:i/>
          <w:iCs/>
          <w:sz w:val="20"/>
          <w:szCs w:val="20"/>
        </w:rPr>
        <w:t> - </w:t>
      </w:r>
      <w:r w:rsidRPr="009118AB">
        <w:rPr>
          <w:i/>
          <w:iCs/>
          <w:sz w:val="20"/>
          <w:szCs w:val="20"/>
        </w:rPr>
        <w:t xml:space="preserve">in Kraft am 29. Dezember 2014 und anwendbar auf alle </w:t>
      </w:r>
      <w:r w:rsidRPr="009118AB">
        <w:rPr>
          <w:i/>
          <w:iCs/>
          <w:sz w:val="20"/>
          <w:szCs w:val="20"/>
        </w:rPr>
        <w:lastRenderedPageBreak/>
        <w:t>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71 Buchstabe</w:t>
      </w:r>
      <w:r w:rsidRPr="009118AB">
        <w:rPr>
          <w:rFonts w:hint="eastAsia"/>
          <w:i/>
          <w:iCs/>
          <w:sz w:val="20"/>
          <w:szCs w:val="20"/>
        </w:rPr>
        <w:t> </w:t>
      </w:r>
      <w:r w:rsidRPr="009118AB">
        <w:rPr>
          <w:i/>
          <w:iCs/>
          <w:sz w:val="20"/>
          <w:szCs w:val="20"/>
        </w:rPr>
        <w:t>b)</w:t>
      </w:r>
      <w:r w:rsidRPr="009118AB">
        <w:rPr>
          <w:bCs/>
          <w:i/>
          <w:iCs/>
          <w:sz w:val="20"/>
          <w:szCs w:val="20"/>
        </w:rPr>
        <w:t xml:space="preserve"> des G. vom 27. Juni 2021 (B.S. vom 30. Juni 2021)</w:t>
      </w:r>
      <w:r w:rsidR="00D66D2D" w:rsidRPr="009118AB">
        <w:rPr>
          <w:bCs/>
          <w:i/>
          <w:iCs/>
          <w:sz w:val="20"/>
          <w:szCs w:val="20"/>
        </w:rPr>
        <w:t xml:space="preserve"> und </w:t>
      </w:r>
      <w:r w:rsidR="00D67EB8" w:rsidRPr="009118AB">
        <w:rPr>
          <w:bCs/>
          <w:i/>
          <w:iCs/>
          <w:sz w:val="20"/>
          <w:szCs w:val="20"/>
        </w:rPr>
        <w:t>Art. </w:t>
      </w:r>
      <w:r w:rsidR="00D66D2D" w:rsidRPr="009118AB">
        <w:rPr>
          <w:bCs/>
          <w:i/>
          <w:iCs/>
          <w:sz w:val="20"/>
          <w:szCs w:val="20"/>
        </w:rPr>
        <w:t xml:space="preserve">47 </w:t>
      </w:r>
      <w:r w:rsidR="00D67EB8" w:rsidRPr="009118AB">
        <w:rPr>
          <w:bCs/>
          <w:i/>
          <w:iCs/>
          <w:sz w:val="20"/>
          <w:szCs w:val="20"/>
        </w:rPr>
        <w:t>Nr. </w:t>
      </w:r>
      <w:r w:rsidR="00D66D2D" w:rsidRPr="009118AB">
        <w:rPr>
          <w:bCs/>
          <w:i/>
          <w:iCs/>
          <w:sz w:val="20"/>
          <w:szCs w:val="20"/>
        </w:rPr>
        <w:t>3 des G. vom 21. Januar 2022 (B.S. vom 28. Januar 2022)</w:t>
      </w:r>
      <w:r w:rsidR="00D67EB8" w:rsidRPr="009118AB">
        <w:rPr>
          <w:bCs/>
          <w:i/>
          <w:iCs/>
          <w:sz w:val="20"/>
          <w:szCs w:val="20"/>
        </w:rPr>
        <w:t> - </w:t>
      </w:r>
      <w:r w:rsidR="00D66D2D"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Pr="009118AB">
        <w:rPr>
          <w:i/>
          <w:iCs/>
          <w:sz w:val="20"/>
          <w:szCs w:val="20"/>
        </w:rPr>
        <w:t xml:space="preserve"> </w:t>
      </w:r>
      <w:r w:rsidR="00D67EB8" w:rsidRPr="009118AB">
        <w:rPr>
          <w:bCs/>
          <w:i/>
          <w:iCs/>
          <w:sz w:val="20"/>
          <w:szCs w:val="20"/>
        </w:rPr>
        <w:t>Abs. </w:t>
      </w:r>
      <w:r w:rsidRPr="009118AB">
        <w:rPr>
          <w:bCs/>
          <w:i/>
          <w:iCs/>
          <w:sz w:val="20"/>
          <w:szCs w:val="20"/>
        </w:rPr>
        <w:t xml:space="preserve">4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3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71 Buchstabe c)</w:t>
      </w:r>
      <w:r w:rsidRPr="009118AB">
        <w:rPr>
          <w:bCs/>
          <w:i/>
          <w:iCs/>
          <w:sz w:val="20"/>
          <w:szCs w:val="20"/>
        </w:rPr>
        <w:t xml:space="preserve"> des G. vom 27. Juni 2021 (B.S. vom 30. Juni 2021)</w:t>
      </w:r>
      <w:r w:rsidR="00B818A6" w:rsidRPr="009118AB">
        <w:rPr>
          <w:bCs/>
          <w:i/>
          <w:iCs/>
          <w:sz w:val="20"/>
          <w:szCs w:val="20"/>
        </w:rPr>
        <w:t>,</w:t>
      </w:r>
      <w:r w:rsidR="00D66D2D" w:rsidRPr="009118AB">
        <w:rPr>
          <w:bCs/>
          <w:i/>
          <w:iCs/>
          <w:sz w:val="20"/>
          <w:szCs w:val="20"/>
        </w:rPr>
        <w:t xml:space="preserve"> </w:t>
      </w:r>
      <w:r w:rsidR="00D67EB8" w:rsidRPr="009118AB">
        <w:rPr>
          <w:bCs/>
          <w:i/>
          <w:iCs/>
          <w:sz w:val="20"/>
          <w:szCs w:val="20"/>
        </w:rPr>
        <w:t>Art. </w:t>
      </w:r>
      <w:r w:rsidR="00D66D2D" w:rsidRPr="009118AB">
        <w:rPr>
          <w:bCs/>
          <w:i/>
          <w:iCs/>
          <w:sz w:val="20"/>
          <w:szCs w:val="20"/>
        </w:rPr>
        <w:t xml:space="preserve">47 </w:t>
      </w:r>
      <w:r w:rsidR="00D67EB8" w:rsidRPr="009118AB">
        <w:rPr>
          <w:bCs/>
          <w:i/>
          <w:iCs/>
          <w:sz w:val="20"/>
          <w:szCs w:val="20"/>
        </w:rPr>
        <w:t>Nr. </w:t>
      </w:r>
      <w:r w:rsidR="00D66D2D" w:rsidRPr="009118AB">
        <w:rPr>
          <w:bCs/>
          <w:i/>
          <w:iCs/>
          <w:sz w:val="20"/>
          <w:szCs w:val="20"/>
        </w:rPr>
        <w:t>4 des G. vom 21. Januar 2022 (B.S. vom 28. Januar 2022)</w:t>
      </w:r>
      <w:r w:rsidR="00B818A6" w:rsidRPr="009118AB">
        <w:rPr>
          <w:bCs/>
          <w:i/>
          <w:iCs/>
          <w:sz w:val="20"/>
          <w:szCs w:val="20"/>
        </w:rPr>
        <w:t xml:space="preserve"> und Art. 30 des G. vom 5. Juli 2022 (B.S. vom 15. Juli 2022)</w:t>
      </w:r>
      <w:r w:rsidRPr="009118AB">
        <w:rPr>
          <w:bCs/>
          <w:i/>
          <w:iCs/>
          <w:sz w:val="20"/>
          <w:szCs w:val="20"/>
        </w:rPr>
        <w:t xml:space="preserve">; </w:t>
      </w:r>
      <w:r w:rsidR="00D67EB8" w:rsidRPr="009118AB">
        <w:rPr>
          <w:bCs/>
          <w:i/>
          <w:iCs/>
          <w:sz w:val="20"/>
          <w:szCs w:val="20"/>
        </w:rPr>
        <w:t>Abs. </w:t>
      </w:r>
      <w:r w:rsidRPr="009118AB">
        <w:rPr>
          <w:bCs/>
          <w:i/>
          <w:iCs/>
          <w:sz w:val="20"/>
          <w:szCs w:val="20"/>
        </w:rPr>
        <w:t xml:space="preserve">5 eingefügt durch </w:t>
      </w:r>
      <w:r w:rsidR="00D67EB8" w:rsidRPr="009118AB">
        <w:rPr>
          <w:bCs/>
          <w:i/>
          <w:iCs/>
          <w:sz w:val="20"/>
          <w:szCs w:val="20"/>
        </w:rPr>
        <w:t>Art. </w:t>
      </w:r>
      <w:r w:rsidRPr="009118AB">
        <w:rPr>
          <w:bCs/>
          <w:i/>
          <w:iCs/>
          <w:sz w:val="20"/>
          <w:szCs w:val="20"/>
        </w:rPr>
        <w:t xml:space="preserve">6 </w:t>
      </w:r>
      <w:r w:rsidR="00D67EB8" w:rsidRPr="009118AB">
        <w:rPr>
          <w:bCs/>
          <w:i/>
          <w:iCs/>
          <w:sz w:val="20"/>
          <w:szCs w:val="20"/>
        </w:rPr>
        <w:t>Nr. </w:t>
      </w:r>
      <w:r w:rsidRPr="009118AB">
        <w:rPr>
          <w:bCs/>
          <w:i/>
          <w:iCs/>
          <w:sz w:val="20"/>
          <w:szCs w:val="20"/>
        </w:rPr>
        <w:t>7</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8</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sz w:val="20"/>
          <w:szCs w:val="20"/>
        </w:rPr>
        <w:t>"</w:t>
      </w:r>
    </w:p>
    <w:p w14:paraId="00558B83" w14:textId="6CD5C454" w:rsidR="00474E60" w:rsidRPr="009118AB" w:rsidRDefault="00474E60" w:rsidP="003B6CED">
      <w:pPr>
        <w:autoSpaceDE w:val="0"/>
        <w:autoSpaceDN w:val="0"/>
        <w:adjustRightInd w:val="0"/>
        <w:jc w:val="both"/>
        <w:rPr>
          <w:sz w:val="20"/>
          <w:szCs w:val="20"/>
        </w:rPr>
      </w:pPr>
    </w:p>
    <w:p w14:paraId="5FD9BD02" w14:textId="3F34CC92" w:rsidR="00474E60" w:rsidRPr="009118AB" w:rsidRDefault="00474E60" w:rsidP="003B6CED">
      <w:pPr>
        <w:autoSpaceDE w:val="0"/>
        <w:autoSpaceDN w:val="0"/>
        <w:adjustRightInd w:val="0"/>
        <w:jc w:val="both"/>
        <w:rPr>
          <w:sz w:val="20"/>
          <w:szCs w:val="20"/>
        </w:rPr>
      </w:pPr>
    </w:p>
    <w:p w14:paraId="2F652811" w14:textId="15694AE6" w:rsidR="00474E60" w:rsidRPr="009118AB" w:rsidRDefault="00474E60" w:rsidP="00474E60">
      <w:pPr>
        <w:autoSpaceDE w:val="0"/>
        <w:autoSpaceDN w:val="0"/>
        <w:adjustRightInd w:val="0"/>
        <w:jc w:val="both"/>
        <w:rPr>
          <w:sz w:val="20"/>
          <w:szCs w:val="20"/>
        </w:rPr>
      </w:pPr>
      <w:r w:rsidRPr="009118AB">
        <w:rPr>
          <w:sz w:val="20"/>
          <w:szCs w:val="20"/>
        </w:rPr>
        <w:t xml:space="preserve">Ab dem 1. Januar 2029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9 des G. vom 25. November 2021 (B.S. vom 3. Dezember 2021)) lautet </w:t>
      </w:r>
      <w:r w:rsidR="00D67EB8" w:rsidRPr="009118AB">
        <w:rPr>
          <w:sz w:val="20"/>
          <w:szCs w:val="20"/>
        </w:rPr>
        <w:t>Art. </w:t>
      </w:r>
      <w:r w:rsidRPr="009118AB">
        <w:rPr>
          <w:sz w:val="20"/>
          <w:szCs w:val="20"/>
        </w:rPr>
        <w:t>223 wie folgt:</w:t>
      </w:r>
    </w:p>
    <w:p w14:paraId="56BED19E" w14:textId="77777777" w:rsidR="00474E60" w:rsidRPr="009118AB" w:rsidRDefault="00474E60" w:rsidP="00474E60">
      <w:pPr>
        <w:autoSpaceDE w:val="0"/>
        <w:autoSpaceDN w:val="0"/>
        <w:adjustRightInd w:val="0"/>
        <w:jc w:val="both"/>
        <w:rPr>
          <w:sz w:val="20"/>
          <w:szCs w:val="20"/>
        </w:rPr>
      </w:pPr>
    </w:p>
    <w:p w14:paraId="494585E1" w14:textId="3D5FF634" w:rsidR="00474E60" w:rsidRPr="009118AB" w:rsidRDefault="00474E60" w:rsidP="00474E60">
      <w:pPr>
        <w:autoSpaceDE w:val="0"/>
        <w:autoSpaceDN w:val="0"/>
        <w:adjustRightInd w:val="0"/>
        <w:jc w:val="both"/>
        <w:rPr>
          <w:bCs/>
          <w:iCs/>
          <w:sz w:val="20"/>
          <w:szCs w:val="20"/>
        </w:rPr>
      </w:pPr>
      <w:r w:rsidRPr="009118AB">
        <w:rPr>
          <w:sz w:val="20"/>
          <w:szCs w:val="20"/>
        </w:rPr>
        <w:t>"</w:t>
      </w:r>
      <w:bookmarkStart w:id="19" w:name="_Hlk128066811"/>
      <w:r w:rsidR="00D67EB8" w:rsidRPr="009118AB">
        <w:rPr>
          <w:sz w:val="20"/>
          <w:szCs w:val="20"/>
        </w:rPr>
        <w:t>Art. </w:t>
      </w:r>
      <w:r w:rsidRPr="009118AB">
        <w:rPr>
          <w:sz w:val="20"/>
          <w:szCs w:val="20"/>
        </w:rPr>
        <w:t>223</w:t>
      </w:r>
      <w:r w:rsidR="00D67EB8" w:rsidRPr="009118AB">
        <w:rPr>
          <w:sz w:val="20"/>
          <w:szCs w:val="20"/>
        </w:rPr>
        <w:t> - </w:t>
      </w:r>
      <w:r w:rsidRPr="009118AB">
        <w:rPr>
          <w:bCs/>
          <w:iCs/>
          <w:sz w:val="20"/>
          <w:szCs w:val="20"/>
        </w:rPr>
        <w:t xml:space="preserve">In Artikel 220 </w:t>
      </w:r>
      <w:r w:rsidR="00D67EB8" w:rsidRPr="009118AB">
        <w:rPr>
          <w:bCs/>
          <w:iCs/>
          <w:sz w:val="20"/>
          <w:szCs w:val="20"/>
        </w:rPr>
        <w:t>Nr. </w:t>
      </w:r>
      <w:r w:rsidRPr="009118AB">
        <w:rPr>
          <w:bCs/>
          <w:iCs/>
          <w:sz w:val="20"/>
          <w:szCs w:val="20"/>
        </w:rPr>
        <w:t>2 und 3 erwähnte juristische Personen sind ebenfalls steuerpflichtig aufgrund:</w:t>
      </w:r>
    </w:p>
    <w:p w14:paraId="0B2DF709" w14:textId="77777777" w:rsidR="00474E60" w:rsidRPr="009118AB" w:rsidRDefault="00474E60" w:rsidP="00474E60">
      <w:pPr>
        <w:autoSpaceDE w:val="0"/>
        <w:autoSpaceDN w:val="0"/>
        <w:adjustRightInd w:val="0"/>
        <w:jc w:val="both"/>
        <w:rPr>
          <w:bCs/>
          <w:iCs/>
          <w:sz w:val="20"/>
          <w:szCs w:val="20"/>
        </w:rPr>
      </w:pPr>
    </w:p>
    <w:p w14:paraId="7D6AD621" w14:textId="4680AAA6" w:rsidR="00474E60" w:rsidRPr="009118AB" w:rsidRDefault="00474E60" w:rsidP="00474E60">
      <w:pPr>
        <w:autoSpaceDE w:val="0"/>
        <w:autoSpaceDN w:val="0"/>
        <w:adjustRightInd w:val="0"/>
        <w:jc w:val="both"/>
        <w:rPr>
          <w:bCs/>
          <w:iCs/>
          <w:sz w:val="20"/>
          <w:szCs w:val="20"/>
        </w:rPr>
      </w:pPr>
      <w:r w:rsidRPr="009118AB">
        <w:rPr>
          <w:bCs/>
          <w:iCs/>
          <w:sz w:val="20"/>
          <w:szCs w:val="20"/>
        </w:rPr>
        <w:t xml:space="preserve">1. [der [in den Artikeln 57 Absatz 1 und] 195 </w:t>
      </w:r>
      <w:r w:rsidR="00D67EB8" w:rsidRPr="009118AB">
        <w:rPr>
          <w:bCs/>
          <w:iCs/>
          <w:sz w:val="20"/>
          <w:szCs w:val="20"/>
        </w:rPr>
        <w:t>§ </w:t>
      </w:r>
      <w:r w:rsidRPr="009118AB">
        <w:rPr>
          <w:bCs/>
          <w:iCs/>
          <w:sz w:val="20"/>
          <w:szCs w:val="20"/>
        </w:rPr>
        <w:t>1 Absatz 1 erwähnten Ausgaben</w:t>
      </w:r>
      <w:r w:rsidR="0085328F" w:rsidRPr="009118AB">
        <w:rPr>
          <w:bCs/>
          <w:iCs/>
          <w:sz w:val="20"/>
          <w:szCs w:val="20"/>
        </w:rPr>
        <w:t xml:space="preserve">[, der in den Artikeln 31 Absatz 2 </w:t>
      </w:r>
      <w:r w:rsidR="00D67EB8" w:rsidRPr="009118AB">
        <w:rPr>
          <w:bCs/>
          <w:iCs/>
          <w:sz w:val="20"/>
          <w:szCs w:val="20"/>
        </w:rPr>
        <w:t>Nr. </w:t>
      </w:r>
      <w:r w:rsidR="0085328F" w:rsidRPr="009118AB">
        <w:rPr>
          <w:bCs/>
          <w:iCs/>
          <w:sz w:val="20"/>
          <w:szCs w:val="20"/>
        </w:rPr>
        <w:t xml:space="preserve">2 und 32 Absatz 2 </w:t>
      </w:r>
      <w:r w:rsidR="00D67EB8" w:rsidRPr="009118AB">
        <w:rPr>
          <w:bCs/>
          <w:iCs/>
          <w:sz w:val="20"/>
          <w:szCs w:val="20"/>
        </w:rPr>
        <w:t>Nr. </w:t>
      </w:r>
      <w:r w:rsidR="0085328F" w:rsidRPr="009118AB">
        <w:rPr>
          <w:bCs/>
          <w:iCs/>
          <w:sz w:val="20"/>
          <w:szCs w:val="20"/>
        </w:rPr>
        <w:t xml:space="preserve">2 erwähnten Vorteile jeglicher Art und der in Artikel 17 </w:t>
      </w:r>
      <w:r w:rsidR="00D67EB8" w:rsidRPr="009118AB">
        <w:rPr>
          <w:bCs/>
          <w:iCs/>
          <w:sz w:val="20"/>
          <w:szCs w:val="20"/>
        </w:rPr>
        <w:t>§ </w:t>
      </w:r>
      <w:r w:rsidR="0085328F" w:rsidRPr="009118AB">
        <w:rPr>
          <w:bCs/>
          <w:iCs/>
          <w:sz w:val="20"/>
          <w:szCs w:val="20"/>
        </w:rPr>
        <w:t xml:space="preserve">1 </w:t>
      </w:r>
      <w:r w:rsidR="00D67EB8" w:rsidRPr="009118AB">
        <w:rPr>
          <w:bCs/>
          <w:iCs/>
          <w:sz w:val="20"/>
          <w:szCs w:val="20"/>
        </w:rPr>
        <w:t>Nr. </w:t>
      </w:r>
      <w:r w:rsidR="0085328F" w:rsidRPr="009118AB">
        <w:rPr>
          <w:bCs/>
          <w:iCs/>
          <w:sz w:val="20"/>
          <w:szCs w:val="20"/>
        </w:rPr>
        <w:t xml:space="preserve">3, was Urheberrechte und ähnliche Rechte betrifft, und </w:t>
      </w:r>
      <w:r w:rsidR="00D67EB8" w:rsidRPr="009118AB">
        <w:rPr>
          <w:bCs/>
          <w:iCs/>
          <w:sz w:val="20"/>
          <w:szCs w:val="20"/>
        </w:rPr>
        <w:t>Nr. </w:t>
      </w:r>
      <w:r w:rsidR="0085328F" w:rsidRPr="009118AB">
        <w:rPr>
          <w:bCs/>
          <w:iCs/>
          <w:sz w:val="20"/>
          <w:szCs w:val="20"/>
        </w:rPr>
        <w:t>5 erwähnten Einkünfte]</w:t>
      </w:r>
      <w:r w:rsidRPr="009118AB">
        <w:rPr>
          <w:bCs/>
          <w:iCs/>
          <w:sz w:val="20"/>
          <w:szCs w:val="20"/>
        </w:rPr>
        <w:t xml:space="preserve">], die nicht durch Individualkarten </w:t>
      </w:r>
      <w:r w:rsidR="00CA61DC" w:rsidRPr="009118AB">
        <w:rPr>
          <w:bCs/>
          <w:iCs/>
          <w:sz w:val="20"/>
          <w:szCs w:val="20"/>
        </w:rPr>
        <w:t>[...]</w:t>
      </w:r>
      <w:r w:rsidRPr="009118AB">
        <w:rPr>
          <w:bCs/>
          <w:iCs/>
          <w:sz w:val="20"/>
          <w:szCs w:val="20"/>
        </w:rPr>
        <w:t xml:space="preserve"> nachgewiesen werden,</w:t>
      </w:r>
    </w:p>
    <w:p w14:paraId="06A5A33B" w14:textId="77777777" w:rsidR="00474E60" w:rsidRPr="009118AB" w:rsidRDefault="00474E60" w:rsidP="00474E60">
      <w:pPr>
        <w:autoSpaceDE w:val="0"/>
        <w:autoSpaceDN w:val="0"/>
        <w:adjustRightInd w:val="0"/>
        <w:jc w:val="both"/>
        <w:rPr>
          <w:bCs/>
          <w:iCs/>
          <w:sz w:val="20"/>
          <w:szCs w:val="20"/>
        </w:rPr>
      </w:pPr>
    </w:p>
    <w:p w14:paraId="1B73D000" w14:textId="1D683314" w:rsidR="00474E60" w:rsidRPr="009118AB" w:rsidRDefault="00474E60" w:rsidP="00474E60">
      <w:pPr>
        <w:autoSpaceDE w:val="0"/>
        <w:autoSpaceDN w:val="0"/>
        <w:adjustRightInd w:val="0"/>
        <w:jc w:val="both"/>
        <w:rPr>
          <w:bCs/>
          <w:iCs/>
          <w:sz w:val="20"/>
          <w:szCs w:val="20"/>
        </w:rPr>
      </w:pPr>
      <w:r w:rsidRPr="009118AB">
        <w:rPr>
          <w:bCs/>
          <w:iCs/>
          <w:sz w:val="20"/>
          <w:szCs w:val="20"/>
        </w:rPr>
        <w:t xml:space="preserve">2. [der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der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118AB">
        <w:rPr>
          <w:bCs/>
          <w:iCs/>
          <w:sz w:val="20"/>
          <w:szCs w:val="20"/>
        </w:rPr>
        <w:t>Nr. </w:t>
      </w:r>
      <w:r w:rsidRPr="009118AB">
        <w:rPr>
          <w:bCs/>
          <w:iCs/>
          <w:sz w:val="20"/>
          <w:szCs w:val="20"/>
        </w:rPr>
        <w:t>23 erwähnten Kapitalien,]</w:t>
      </w:r>
    </w:p>
    <w:p w14:paraId="44FF4101" w14:textId="77777777" w:rsidR="00474E60" w:rsidRPr="009118AB" w:rsidRDefault="00474E60" w:rsidP="00474E60">
      <w:pPr>
        <w:autoSpaceDE w:val="0"/>
        <w:autoSpaceDN w:val="0"/>
        <w:adjustRightInd w:val="0"/>
        <w:jc w:val="both"/>
        <w:rPr>
          <w:bCs/>
          <w:iCs/>
          <w:sz w:val="20"/>
          <w:szCs w:val="20"/>
        </w:rPr>
      </w:pPr>
    </w:p>
    <w:p w14:paraId="0F6D9543" w14:textId="39DF6B2A" w:rsidR="00474E60" w:rsidRPr="009118AB" w:rsidRDefault="00474E60" w:rsidP="00474E60">
      <w:pPr>
        <w:autoSpaceDE w:val="0"/>
        <w:autoSpaceDN w:val="0"/>
        <w:adjustRightInd w:val="0"/>
        <w:jc w:val="both"/>
        <w:rPr>
          <w:bCs/>
          <w:iCs/>
          <w:sz w:val="20"/>
          <w:szCs w:val="20"/>
        </w:rPr>
      </w:pPr>
      <w:r w:rsidRPr="009118AB">
        <w:rPr>
          <w:bCs/>
          <w:iCs/>
          <w:sz w:val="20"/>
          <w:szCs w:val="20"/>
        </w:rPr>
        <w:t xml:space="preserve">[3. [der in Artikel 53 </w:t>
      </w:r>
      <w:r w:rsidR="00D67EB8" w:rsidRPr="009118AB">
        <w:rPr>
          <w:bCs/>
          <w:iCs/>
          <w:sz w:val="20"/>
          <w:szCs w:val="20"/>
        </w:rPr>
        <w:t>Nr. </w:t>
      </w:r>
      <w:r w:rsidRPr="009118AB">
        <w:rPr>
          <w:bCs/>
          <w:iCs/>
          <w:sz w:val="20"/>
          <w:szCs w:val="20"/>
        </w:rPr>
        <w:t>24 erwähnten finanziellen Vorteile oder Vorteile jeglicher Art,]]</w:t>
      </w:r>
    </w:p>
    <w:p w14:paraId="7A03F345" w14:textId="77777777" w:rsidR="00474E60" w:rsidRPr="009118AB" w:rsidRDefault="00474E60" w:rsidP="00474E60">
      <w:pPr>
        <w:autoSpaceDE w:val="0"/>
        <w:autoSpaceDN w:val="0"/>
        <w:adjustRightInd w:val="0"/>
        <w:jc w:val="both"/>
        <w:rPr>
          <w:bCs/>
          <w:iCs/>
          <w:sz w:val="20"/>
          <w:szCs w:val="20"/>
        </w:rPr>
      </w:pPr>
    </w:p>
    <w:p w14:paraId="0498864C" w14:textId="71E5B6B8" w:rsidR="00474E60" w:rsidRPr="009118AB" w:rsidRDefault="00474E60" w:rsidP="00474E60">
      <w:pPr>
        <w:autoSpaceDE w:val="0"/>
        <w:autoSpaceDN w:val="0"/>
        <w:adjustRightInd w:val="0"/>
        <w:jc w:val="both"/>
        <w:rPr>
          <w:bCs/>
          <w:iCs/>
          <w:sz w:val="20"/>
          <w:szCs w:val="20"/>
        </w:rPr>
      </w:pPr>
      <w:r w:rsidRPr="009118AB">
        <w:rPr>
          <w:bCs/>
          <w:iCs/>
          <w:sz w:val="20"/>
          <w:szCs w:val="20"/>
        </w:rPr>
        <w:t>[4. [</w:t>
      </w:r>
      <w:r w:rsidRPr="009118AB">
        <w:rPr>
          <w:sz w:val="20"/>
          <w:szCs w:val="20"/>
        </w:rPr>
        <w:t xml:space="preserve">eines Betrags, der 17 Prozent des </w:t>
      </w:r>
      <w:r w:rsidR="0085328F"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85328F"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w:t>
      </w:r>
      <w:r w:rsidRPr="009118AB">
        <w:rPr>
          <w:bCs/>
          <w:iCs/>
          <w:sz w:val="20"/>
          <w:szCs w:val="20"/>
        </w:rPr>
        <w:t>]]</w:t>
      </w:r>
    </w:p>
    <w:p w14:paraId="6A64B832" w14:textId="77777777" w:rsidR="00474E60" w:rsidRPr="009118AB" w:rsidRDefault="00474E60" w:rsidP="00474E60">
      <w:pPr>
        <w:autoSpaceDE w:val="0"/>
        <w:autoSpaceDN w:val="0"/>
        <w:adjustRightInd w:val="0"/>
        <w:jc w:val="both"/>
        <w:rPr>
          <w:bCs/>
          <w:iCs/>
          <w:sz w:val="20"/>
          <w:szCs w:val="20"/>
        </w:rPr>
      </w:pPr>
    </w:p>
    <w:p w14:paraId="34FB44E9" w14:textId="64C1F5F9" w:rsidR="00474E60" w:rsidRPr="009118AB" w:rsidRDefault="00474E60" w:rsidP="00474E60">
      <w:pPr>
        <w:autoSpaceDE w:val="0"/>
        <w:autoSpaceDN w:val="0"/>
        <w:adjustRightInd w:val="0"/>
        <w:jc w:val="both"/>
        <w:rPr>
          <w:bCs/>
          <w:iCs/>
          <w:sz w:val="20"/>
          <w:szCs w:val="20"/>
        </w:rPr>
      </w:pPr>
      <w:r w:rsidRPr="009118AB">
        <w:rPr>
          <w:bCs/>
          <w:iCs/>
          <w:sz w:val="20"/>
          <w:szCs w:val="20"/>
        </w:rPr>
        <w:t>[</w:t>
      </w:r>
      <w:r w:rsidR="0065143C" w:rsidRPr="009118AB">
        <w:rPr>
          <w:sz w:val="20"/>
          <w:szCs w:val="20"/>
        </w:rPr>
        <w:t>...</w:t>
      </w:r>
      <w:r w:rsidRPr="009118AB">
        <w:rPr>
          <w:bCs/>
          <w:iCs/>
          <w:sz w:val="20"/>
          <w:szCs w:val="20"/>
        </w:rPr>
        <w:t>]</w:t>
      </w:r>
    </w:p>
    <w:p w14:paraId="268F63F5" w14:textId="77777777" w:rsidR="00474E60" w:rsidRPr="009118AB" w:rsidRDefault="00474E60" w:rsidP="00474E60">
      <w:pPr>
        <w:autoSpaceDE w:val="0"/>
        <w:autoSpaceDN w:val="0"/>
        <w:adjustRightInd w:val="0"/>
        <w:jc w:val="both"/>
        <w:rPr>
          <w:bCs/>
          <w:iCs/>
          <w:sz w:val="20"/>
          <w:szCs w:val="20"/>
        </w:rPr>
      </w:pPr>
    </w:p>
    <w:p w14:paraId="65FA6227" w14:textId="4A52ADF8" w:rsidR="00474E60" w:rsidRPr="009118AB" w:rsidRDefault="00474E60" w:rsidP="00474E60">
      <w:pPr>
        <w:autoSpaceDE w:val="0"/>
        <w:autoSpaceDN w:val="0"/>
        <w:adjustRightInd w:val="0"/>
        <w:jc w:val="both"/>
        <w:rPr>
          <w:sz w:val="20"/>
          <w:szCs w:val="20"/>
        </w:rPr>
      </w:pPr>
      <w:r w:rsidRPr="009118AB">
        <w:rPr>
          <w:bCs/>
          <w:iCs/>
          <w:sz w:val="20"/>
          <w:szCs w:val="20"/>
        </w:rPr>
        <w:t>[</w:t>
      </w:r>
      <w:r w:rsidRPr="009118AB">
        <w:rPr>
          <w:sz w:val="20"/>
          <w:szCs w:val="20"/>
        </w:rPr>
        <w:t xml:space="preserve">5. [eines Betrags, der in Abweichung von </w:t>
      </w:r>
      <w:r w:rsidR="00D67EB8" w:rsidRPr="009118AB">
        <w:rPr>
          <w:sz w:val="20"/>
          <w:szCs w:val="20"/>
        </w:rPr>
        <w:t>Nr. </w:t>
      </w:r>
      <w:r w:rsidRPr="009118AB">
        <w:rPr>
          <w:sz w:val="20"/>
          <w:szCs w:val="20"/>
        </w:rPr>
        <w:t xml:space="preserve">4 40 Prozent des </w:t>
      </w:r>
      <w:r w:rsidR="0085328F"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85328F"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51945C31" w14:textId="77777777" w:rsidR="00474E60" w:rsidRPr="009118AB" w:rsidRDefault="00474E60" w:rsidP="00474E60">
      <w:pPr>
        <w:autoSpaceDE w:val="0"/>
        <w:autoSpaceDN w:val="0"/>
        <w:adjustRightInd w:val="0"/>
        <w:jc w:val="both"/>
        <w:rPr>
          <w:sz w:val="20"/>
          <w:szCs w:val="20"/>
        </w:rPr>
      </w:pPr>
    </w:p>
    <w:p w14:paraId="43A19E77" w14:textId="3B77C6A0" w:rsidR="00474E60" w:rsidRPr="009118AB" w:rsidRDefault="00474E60" w:rsidP="00474E60">
      <w:pPr>
        <w:autoSpaceDE w:val="0"/>
        <w:autoSpaceDN w:val="0"/>
        <w:adjustRightInd w:val="0"/>
        <w:jc w:val="both"/>
        <w:rPr>
          <w:sz w:val="20"/>
          <w:szCs w:val="20"/>
        </w:rPr>
      </w:pPr>
      <w:r w:rsidRPr="009118AB">
        <w:rPr>
          <w:sz w:val="20"/>
          <w:szCs w:val="20"/>
        </w:rPr>
        <w:t>[</w:t>
      </w:r>
      <w:r w:rsidR="0065143C" w:rsidRPr="009118AB">
        <w:rPr>
          <w:sz w:val="20"/>
          <w:szCs w:val="20"/>
        </w:rPr>
        <w:t>...</w:t>
      </w:r>
      <w:r w:rsidRPr="009118AB">
        <w:rPr>
          <w:sz w:val="20"/>
          <w:szCs w:val="20"/>
        </w:rPr>
        <w:t>]</w:t>
      </w:r>
    </w:p>
    <w:p w14:paraId="2A490CD4" w14:textId="77777777" w:rsidR="00474E60" w:rsidRPr="009118AB" w:rsidRDefault="00474E60" w:rsidP="00474E60">
      <w:pPr>
        <w:autoSpaceDE w:val="0"/>
        <w:autoSpaceDN w:val="0"/>
        <w:adjustRightInd w:val="0"/>
        <w:jc w:val="both"/>
        <w:rPr>
          <w:sz w:val="20"/>
          <w:szCs w:val="20"/>
        </w:rPr>
      </w:pPr>
    </w:p>
    <w:p w14:paraId="4F7DF370" w14:textId="77777777" w:rsidR="00474E60" w:rsidRPr="009118AB" w:rsidRDefault="00474E60" w:rsidP="00474E60">
      <w:pPr>
        <w:autoSpaceDE w:val="0"/>
        <w:autoSpaceDN w:val="0"/>
        <w:adjustRightInd w:val="0"/>
        <w:jc w:val="both"/>
        <w:rPr>
          <w:sz w:val="20"/>
          <w:szCs w:val="20"/>
        </w:rPr>
      </w:pPr>
      <w:r w:rsidRPr="009118AB">
        <w:rPr>
          <w:sz w:val="20"/>
          <w:szCs w:val="20"/>
        </w:rPr>
        <w:t>[6. der Kosten in Bezug auf die Nutzung der in Artikel 65 erwähnten Fahrzeuge, die ab dem 1. Januar 2026 gekauft, geleast oder gemietet werden, es sei denn, es handelt sich um ein Fahrzeug, das kein CO</w:t>
      </w:r>
      <w:r w:rsidRPr="009118AB">
        <w:rPr>
          <w:sz w:val="20"/>
          <w:szCs w:val="20"/>
          <w:vertAlign w:val="subscript"/>
        </w:rPr>
        <w:t>2</w:t>
      </w:r>
      <w:r w:rsidRPr="009118AB">
        <w:rPr>
          <w:sz w:val="20"/>
          <w:szCs w:val="20"/>
        </w:rPr>
        <w:t xml:space="preserve"> ausstößt,]</w:t>
      </w:r>
    </w:p>
    <w:p w14:paraId="2DF0E209" w14:textId="77777777" w:rsidR="00474E60" w:rsidRPr="009118AB" w:rsidRDefault="00474E60" w:rsidP="00474E60">
      <w:pPr>
        <w:autoSpaceDE w:val="0"/>
        <w:autoSpaceDN w:val="0"/>
        <w:adjustRightInd w:val="0"/>
        <w:jc w:val="both"/>
        <w:rPr>
          <w:sz w:val="20"/>
          <w:szCs w:val="20"/>
        </w:rPr>
      </w:pPr>
    </w:p>
    <w:p w14:paraId="0D1C3EA7" w14:textId="77777777" w:rsidR="00474E60" w:rsidRPr="009118AB" w:rsidRDefault="00474E60" w:rsidP="00474E60">
      <w:pPr>
        <w:autoSpaceDE w:val="0"/>
        <w:autoSpaceDN w:val="0"/>
        <w:adjustRightInd w:val="0"/>
        <w:jc w:val="both"/>
        <w:rPr>
          <w:sz w:val="20"/>
          <w:szCs w:val="20"/>
        </w:rPr>
      </w:pPr>
      <w:r w:rsidRPr="009118AB">
        <w:rPr>
          <w:sz w:val="20"/>
          <w:szCs w:val="20"/>
        </w:rPr>
        <w:t>[7. [eines Betrags, der dem nachstehend erwähnten Prozentsatz der Kosten in Bezug auf die Nutzung der in Artikel 65 erwähnten Fahrzeuge, die kein CO</w:t>
      </w:r>
      <w:r w:rsidRPr="009118AB">
        <w:rPr>
          <w:sz w:val="20"/>
          <w:szCs w:val="20"/>
          <w:vertAlign w:val="subscript"/>
        </w:rPr>
        <w:t>2</w:t>
      </w:r>
      <w:r w:rsidRPr="009118AB">
        <w:rPr>
          <w:sz w:val="20"/>
          <w:szCs w:val="20"/>
        </w:rPr>
        <w:t xml:space="preserve"> ausstoßen, entspricht:</w:t>
      </w:r>
    </w:p>
    <w:p w14:paraId="0F9C35CF" w14:textId="77777777" w:rsidR="00474E60" w:rsidRPr="009118AB" w:rsidRDefault="00474E60" w:rsidP="00474E60">
      <w:pPr>
        <w:autoSpaceDE w:val="0"/>
        <w:autoSpaceDN w:val="0"/>
        <w:adjustRightInd w:val="0"/>
        <w:jc w:val="both"/>
        <w:rPr>
          <w:sz w:val="20"/>
          <w:szCs w:val="20"/>
        </w:rPr>
      </w:pPr>
    </w:p>
    <w:p w14:paraId="76C8EEF5" w14:textId="77777777" w:rsidR="00474E60" w:rsidRPr="009118AB" w:rsidRDefault="00474E60" w:rsidP="00474E60">
      <w:pPr>
        <w:autoSpaceDE w:val="0"/>
        <w:autoSpaceDN w:val="0"/>
        <w:adjustRightInd w:val="0"/>
        <w:jc w:val="both"/>
        <w:rPr>
          <w:sz w:val="20"/>
          <w:szCs w:val="20"/>
        </w:rPr>
      </w:pPr>
      <w:r w:rsidRPr="009118AB">
        <w:rPr>
          <w:sz w:val="20"/>
          <w:szCs w:val="20"/>
        </w:rPr>
        <w:t>- 5 Prozent, wenn es sich um ein 2027 gekauftes, geleastes oder gemietetes Fahrzeug handelt,</w:t>
      </w:r>
    </w:p>
    <w:p w14:paraId="15842604" w14:textId="77777777" w:rsidR="00474E60" w:rsidRPr="009118AB" w:rsidRDefault="00474E60" w:rsidP="00474E60">
      <w:pPr>
        <w:autoSpaceDE w:val="0"/>
        <w:autoSpaceDN w:val="0"/>
        <w:adjustRightInd w:val="0"/>
        <w:jc w:val="both"/>
        <w:rPr>
          <w:sz w:val="20"/>
          <w:szCs w:val="20"/>
        </w:rPr>
      </w:pPr>
    </w:p>
    <w:p w14:paraId="09B3286B" w14:textId="3D762F17" w:rsidR="00474E60" w:rsidRPr="009118AB" w:rsidRDefault="00474E60" w:rsidP="00474E60">
      <w:pPr>
        <w:autoSpaceDE w:val="0"/>
        <w:autoSpaceDN w:val="0"/>
        <w:adjustRightInd w:val="0"/>
        <w:jc w:val="both"/>
        <w:rPr>
          <w:sz w:val="20"/>
          <w:szCs w:val="20"/>
        </w:rPr>
      </w:pPr>
      <w:r w:rsidRPr="009118AB">
        <w:rPr>
          <w:sz w:val="20"/>
          <w:szCs w:val="20"/>
        </w:rPr>
        <w:t>- 10 Prozent, wenn es sich um ein 2028 gekauftes, geleastes oder gemietetes Fahrzeug handelt,]]</w:t>
      </w:r>
    </w:p>
    <w:p w14:paraId="79F960FD" w14:textId="77777777" w:rsidR="00474E60" w:rsidRPr="009118AB" w:rsidRDefault="00474E60" w:rsidP="00474E60">
      <w:pPr>
        <w:autoSpaceDE w:val="0"/>
        <w:autoSpaceDN w:val="0"/>
        <w:adjustRightInd w:val="0"/>
        <w:jc w:val="both"/>
        <w:rPr>
          <w:sz w:val="20"/>
          <w:szCs w:val="20"/>
        </w:rPr>
      </w:pPr>
    </w:p>
    <w:p w14:paraId="4CF9E0E8" w14:textId="48AE1292" w:rsidR="00474E60" w:rsidRPr="009118AB" w:rsidRDefault="00474E60" w:rsidP="00474E60">
      <w:pPr>
        <w:autoSpaceDE w:val="0"/>
        <w:autoSpaceDN w:val="0"/>
        <w:adjustRightInd w:val="0"/>
        <w:jc w:val="both"/>
        <w:rPr>
          <w:sz w:val="20"/>
          <w:szCs w:val="20"/>
        </w:rPr>
      </w:pPr>
      <w:r w:rsidRPr="009118AB">
        <w:rPr>
          <w:sz w:val="20"/>
          <w:szCs w:val="20"/>
        </w:rPr>
        <w:t>[- 17,5 Prozent, wenn es sich um ein 2029 gekauftes, geleastes oder gemietetes Fahrzeug handelt</w:t>
      </w:r>
      <w:r w:rsidR="00261B2A" w:rsidRPr="009118AB">
        <w:rPr>
          <w:sz w:val="20"/>
          <w:szCs w:val="20"/>
        </w:rPr>
        <w:t>,</w:t>
      </w:r>
      <w:r w:rsidRPr="009118AB">
        <w:rPr>
          <w:sz w:val="20"/>
          <w:szCs w:val="20"/>
        </w:rPr>
        <w:t>]</w:t>
      </w:r>
    </w:p>
    <w:p w14:paraId="590B43C1" w14:textId="20331F5A" w:rsidR="00261B2A" w:rsidRPr="009118AB" w:rsidRDefault="00261B2A" w:rsidP="00474E60">
      <w:pPr>
        <w:autoSpaceDE w:val="0"/>
        <w:autoSpaceDN w:val="0"/>
        <w:adjustRightInd w:val="0"/>
        <w:jc w:val="both"/>
        <w:rPr>
          <w:sz w:val="20"/>
          <w:szCs w:val="20"/>
        </w:rPr>
      </w:pPr>
    </w:p>
    <w:p w14:paraId="55FD76EC" w14:textId="26180903" w:rsidR="00261B2A" w:rsidRPr="009118AB" w:rsidRDefault="00261B2A" w:rsidP="00261B2A">
      <w:pPr>
        <w:autoSpaceDE w:val="0"/>
        <w:autoSpaceDN w:val="0"/>
        <w:adjustRightInd w:val="0"/>
        <w:jc w:val="both"/>
        <w:rPr>
          <w:sz w:val="20"/>
          <w:szCs w:val="20"/>
        </w:rPr>
      </w:pPr>
      <w:r w:rsidRPr="009118AB">
        <w:rPr>
          <w:sz w:val="20"/>
          <w:szCs w:val="20"/>
        </w:rPr>
        <w:lastRenderedPageBreak/>
        <w:t>[8. der Provisionen, Maklergebühren, kommerziellen oder anderen Ermäßigungen, zufälligen oder nicht zufälligen Entgelte oder Honorare, Zuwendungen, Vergütungen oder Vorteile jeglicher Art</w:t>
      </w:r>
      <w:r w:rsidR="00D67EB8" w:rsidRPr="009118AB">
        <w:rPr>
          <w:sz w:val="20"/>
          <w:szCs w:val="20"/>
        </w:rPr>
        <w:t> - </w:t>
      </w:r>
      <w:r w:rsidRPr="009118AB">
        <w:rPr>
          <w:sz w:val="20"/>
          <w:szCs w:val="20"/>
        </w:rPr>
        <w:t>in dem Maße, wie sie sich auf mehr als 3 Prozent der gesamten Bruttoentlohnung des Sportlers belaufen, die während der Dauer des Arbeitsvertrags pro Jahr berechnet wird</w:t>
      </w:r>
      <w:r w:rsidR="00FD68E8" w:rsidRPr="009118AB">
        <w:rPr>
          <w:sz w:val="20"/>
          <w:szCs w:val="20"/>
        </w:rPr>
        <w:t> -,</w:t>
      </w:r>
      <w:r w:rsidRPr="009118AB">
        <w:rPr>
          <w:sz w:val="20"/>
          <w:szCs w:val="20"/>
        </w:rPr>
        <w:t xml:space="preserve"> die direkt oder indirekt im Rahmen eines Vertrags gezahlt werden, der Folgendes zum Ziel hat:</w:t>
      </w:r>
    </w:p>
    <w:p w14:paraId="77C815F2" w14:textId="77777777" w:rsidR="00261B2A" w:rsidRPr="009118AB" w:rsidRDefault="00261B2A" w:rsidP="00261B2A">
      <w:pPr>
        <w:autoSpaceDE w:val="0"/>
        <w:autoSpaceDN w:val="0"/>
        <w:adjustRightInd w:val="0"/>
        <w:jc w:val="both"/>
        <w:rPr>
          <w:sz w:val="20"/>
          <w:szCs w:val="20"/>
        </w:rPr>
      </w:pPr>
    </w:p>
    <w:p w14:paraId="51FED96D" w14:textId="16D5F4D2" w:rsidR="00261B2A" w:rsidRPr="009118AB" w:rsidRDefault="00261B2A" w:rsidP="00261B2A">
      <w:pPr>
        <w:autoSpaceDE w:val="0"/>
        <w:autoSpaceDN w:val="0"/>
        <w:adjustRightInd w:val="0"/>
        <w:jc w:val="both"/>
        <w:rPr>
          <w:sz w:val="20"/>
          <w:szCs w:val="20"/>
        </w:rPr>
      </w:pPr>
      <w:r w:rsidRPr="009118AB">
        <w:rPr>
          <w:i/>
          <w:iCs/>
          <w:sz w:val="20"/>
          <w:szCs w:val="20"/>
        </w:rPr>
        <w:t>a)</w:t>
      </w:r>
      <w:r w:rsidRPr="009118AB">
        <w:rPr>
          <w:sz w:val="20"/>
          <w:szCs w:val="20"/>
        </w:rPr>
        <w:t> entweder einen Sportler bei Verhandlungen im Hinblick auf den Abschluss, die Verlängerung, Erneuerung oder Beendigung eines Arbeitsvertrags bei einem Sportclub zu unterstützen</w:t>
      </w:r>
    </w:p>
    <w:p w14:paraId="38E815D2" w14:textId="77777777" w:rsidR="00261B2A" w:rsidRPr="009118AB" w:rsidRDefault="00261B2A" w:rsidP="00261B2A">
      <w:pPr>
        <w:autoSpaceDE w:val="0"/>
        <w:autoSpaceDN w:val="0"/>
        <w:adjustRightInd w:val="0"/>
        <w:jc w:val="both"/>
        <w:rPr>
          <w:sz w:val="20"/>
          <w:szCs w:val="20"/>
        </w:rPr>
      </w:pPr>
    </w:p>
    <w:p w14:paraId="3A99F05B" w14:textId="323072E9" w:rsidR="00261B2A" w:rsidRPr="009118AB" w:rsidRDefault="00261B2A" w:rsidP="00261B2A">
      <w:pPr>
        <w:autoSpaceDE w:val="0"/>
        <w:autoSpaceDN w:val="0"/>
        <w:adjustRightInd w:val="0"/>
        <w:jc w:val="both"/>
        <w:rPr>
          <w:sz w:val="20"/>
          <w:szCs w:val="20"/>
        </w:rPr>
      </w:pPr>
      <w:r w:rsidRPr="009118AB">
        <w:rPr>
          <w:i/>
          <w:iCs/>
          <w:sz w:val="20"/>
          <w:szCs w:val="20"/>
        </w:rPr>
        <w:t>b)</w:t>
      </w:r>
      <w:r w:rsidRPr="009118AB">
        <w:rPr>
          <w:sz w:val="20"/>
          <w:szCs w:val="20"/>
        </w:rPr>
        <w:t xml:space="preserve"> oder einen in Artikel 270 </w:t>
      </w:r>
      <w:r w:rsidR="00D67EB8" w:rsidRPr="009118AB">
        <w:rPr>
          <w:sz w:val="20"/>
          <w:szCs w:val="20"/>
        </w:rPr>
        <w:t>Nr. </w:t>
      </w:r>
      <w:r w:rsidRPr="009118AB">
        <w:rPr>
          <w:sz w:val="20"/>
          <w:szCs w:val="20"/>
        </w:rPr>
        <w:t>1 oder 3 erwähnten Schuldner des Berufssteuer</w:t>
      </w:r>
      <w:r w:rsidRPr="009118AB">
        <w:rPr>
          <w:sz w:val="20"/>
          <w:szCs w:val="20"/>
        </w:rPr>
        <w:softHyphen/>
        <w:t>vorabzugs bei Verhandlungen im Hinblick auf den Abschluss, die Verlängerung, Erneuerung oder Beendigung eines Arbeitsvertrags mit einem Sportler zu unterstützen</w:t>
      </w:r>
    </w:p>
    <w:p w14:paraId="3EA6AF72" w14:textId="77777777" w:rsidR="00261B2A" w:rsidRPr="009118AB" w:rsidRDefault="00261B2A" w:rsidP="00261B2A">
      <w:pPr>
        <w:autoSpaceDE w:val="0"/>
        <w:autoSpaceDN w:val="0"/>
        <w:adjustRightInd w:val="0"/>
        <w:jc w:val="both"/>
        <w:rPr>
          <w:sz w:val="20"/>
          <w:szCs w:val="20"/>
        </w:rPr>
      </w:pPr>
    </w:p>
    <w:p w14:paraId="64468A2C" w14:textId="4E886D14" w:rsidR="00261B2A" w:rsidRPr="009118AB" w:rsidRDefault="00261B2A" w:rsidP="00261B2A">
      <w:pPr>
        <w:autoSpaceDE w:val="0"/>
        <w:autoSpaceDN w:val="0"/>
        <w:adjustRightInd w:val="0"/>
        <w:jc w:val="both"/>
        <w:rPr>
          <w:sz w:val="20"/>
          <w:szCs w:val="20"/>
        </w:rPr>
      </w:pPr>
      <w:r w:rsidRPr="009118AB">
        <w:rPr>
          <w:i/>
          <w:iCs/>
          <w:sz w:val="20"/>
          <w:szCs w:val="20"/>
        </w:rPr>
        <w:t>c)</w:t>
      </w:r>
      <w:r w:rsidRPr="009118AB">
        <w:rPr>
          <w:sz w:val="20"/>
          <w:szCs w:val="20"/>
        </w:rPr>
        <w:t> oder eine Ausleihe oder einen definitiven Transfer im Hinblick auf die Ankunft oder den Weggang eines Sportlers zu regeln.</w:t>
      </w:r>
      <w:r w:rsidR="00750171" w:rsidRPr="009118AB">
        <w:rPr>
          <w:sz w:val="20"/>
          <w:szCs w:val="20"/>
        </w:rPr>
        <w:t>]</w:t>
      </w:r>
    </w:p>
    <w:p w14:paraId="392256DB" w14:textId="77777777" w:rsidR="00474E60" w:rsidRPr="009118AB" w:rsidRDefault="00474E60" w:rsidP="00474E60">
      <w:pPr>
        <w:autoSpaceDE w:val="0"/>
        <w:autoSpaceDN w:val="0"/>
        <w:adjustRightInd w:val="0"/>
        <w:jc w:val="both"/>
        <w:rPr>
          <w:bCs/>
          <w:iCs/>
          <w:sz w:val="20"/>
          <w:szCs w:val="20"/>
        </w:rPr>
      </w:pPr>
    </w:p>
    <w:p w14:paraId="756ADC0F" w14:textId="77777777" w:rsidR="00474E60" w:rsidRPr="009118AB" w:rsidRDefault="00474E60" w:rsidP="00474E60">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1F8916C0" w14:textId="77777777" w:rsidR="00474E60" w:rsidRPr="009118AB" w:rsidRDefault="00474E60" w:rsidP="00474E60">
      <w:pPr>
        <w:autoSpaceDE w:val="0"/>
        <w:autoSpaceDN w:val="0"/>
        <w:adjustRightInd w:val="0"/>
        <w:jc w:val="both"/>
        <w:rPr>
          <w:bCs/>
          <w:iCs/>
          <w:sz w:val="20"/>
          <w:szCs w:val="20"/>
        </w:rPr>
      </w:pPr>
    </w:p>
    <w:p w14:paraId="693A7B6B" w14:textId="61DD9E12" w:rsidR="00474E60" w:rsidRPr="009118AB" w:rsidRDefault="00474E60" w:rsidP="00474E60">
      <w:pPr>
        <w:autoSpaceDE w:val="0"/>
        <w:autoSpaceDN w:val="0"/>
        <w:adjustRightInd w:val="0"/>
        <w:jc w:val="both"/>
        <w:rPr>
          <w:sz w:val="20"/>
          <w:szCs w:val="20"/>
        </w:rPr>
      </w:pPr>
      <w:r w:rsidRPr="009118AB">
        <w:rPr>
          <w:bCs/>
          <w:iCs/>
          <w:sz w:val="20"/>
          <w:szCs w:val="20"/>
        </w:rPr>
        <w:t>[</w:t>
      </w: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Steuerpflichtige nachweist, dass </w:t>
      </w:r>
      <w:r w:rsidR="0085328F" w:rsidRPr="009118AB">
        <w:rPr>
          <w:sz w:val="20"/>
          <w:szCs w:val="20"/>
        </w:rPr>
        <w:t xml:space="preserve">[der Betrag der in Artikel 57 Absatz 1 erwähnten Ausgaben, der in den Artikeln 31 Absatz 2 </w:t>
      </w:r>
      <w:r w:rsidR="00D67EB8" w:rsidRPr="009118AB">
        <w:rPr>
          <w:sz w:val="20"/>
          <w:szCs w:val="20"/>
        </w:rPr>
        <w:t>Nr. </w:t>
      </w:r>
      <w:r w:rsidR="0085328F" w:rsidRPr="009118AB">
        <w:rPr>
          <w:sz w:val="20"/>
          <w:szCs w:val="20"/>
        </w:rPr>
        <w:t xml:space="preserve">2 und 32 Absatz 2 </w:t>
      </w:r>
      <w:r w:rsidR="00D67EB8" w:rsidRPr="009118AB">
        <w:rPr>
          <w:sz w:val="20"/>
          <w:szCs w:val="20"/>
        </w:rPr>
        <w:t>Nr. </w:t>
      </w:r>
      <w:r w:rsidR="0085328F" w:rsidRPr="009118AB">
        <w:rPr>
          <w:sz w:val="20"/>
          <w:szCs w:val="20"/>
        </w:rPr>
        <w:t xml:space="preserve">2 erwähnten Vorteile jeglicher Art oder der in Artikel 17 </w:t>
      </w:r>
      <w:r w:rsidR="00D67EB8" w:rsidRPr="009118AB">
        <w:rPr>
          <w:sz w:val="20"/>
          <w:szCs w:val="20"/>
        </w:rPr>
        <w:t>§ </w:t>
      </w:r>
      <w:r w:rsidR="0085328F" w:rsidRPr="009118AB">
        <w:rPr>
          <w:sz w:val="20"/>
          <w:szCs w:val="20"/>
        </w:rPr>
        <w:t xml:space="preserve">1 </w:t>
      </w:r>
      <w:r w:rsidR="00D67EB8" w:rsidRPr="009118AB">
        <w:rPr>
          <w:sz w:val="20"/>
          <w:szCs w:val="20"/>
        </w:rPr>
        <w:t>Nr. </w:t>
      </w:r>
      <w:r w:rsidR="0085328F" w:rsidRPr="009118AB">
        <w:rPr>
          <w:sz w:val="20"/>
          <w:szCs w:val="20"/>
        </w:rPr>
        <w:t xml:space="preserve">3, was Urheberrechte und ähnliche Rechte betrifft, und </w:t>
      </w:r>
      <w:r w:rsidR="00D67EB8" w:rsidRPr="009118AB">
        <w:rPr>
          <w:sz w:val="20"/>
          <w:szCs w:val="20"/>
        </w:rPr>
        <w:t>Nr. </w:t>
      </w:r>
      <w:r w:rsidR="0085328F" w:rsidRPr="009118AB">
        <w:rPr>
          <w:sz w:val="20"/>
          <w:szCs w:val="20"/>
        </w:rPr>
        <w:t>5 erwähnten Einkünfte]</w:t>
      </w:r>
      <w:r w:rsidRPr="009118AB">
        <w:rPr>
          <w:sz w:val="20"/>
          <w:szCs w:val="20"/>
        </w:rPr>
        <w:t xml:space="preserve"> [in einer vom Empfänger gemäß Artikel 305 eingereichten Erklärung oder in einer vom Empfänger im Ausland eingereichten gleichartigen Erklärung] enthalten ist.]</w:t>
      </w:r>
    </w:p>
    <w:p w14:paraId="039DB681" w14:textId="77777777" w:rsidR="00474E60" w:rsidRPr="009118AB" w:rsidRDefault="00474E60" w:rsidP="00474E60">
      <w:pPr>
        <w:autoSpaceDE w:val="0"/>
        <w:autoSpaceDN w:val="0"/>
        <w:adjustRightInd w:val="0"/>
        <w:jc w:val="both"/>
        <w:rPr>
          <w:sz w:val="20"/>
          <w:szCs w:val="20"/>
        </w:rPr>
      </w:pPr>
    </w:p>
    <w:p w14:paraId="546F254A" w14:textId="282C70F3" w:rsidR="00474E60" w:rsidRPr="009118AB" w:rsidRDefault="00474E60" w:rsidP="00474E60">
      <w:pPr>
        <w:autoSpaceDE w:val="0"/>
        <w:autoSpaceDN w:val="0"/>
        <w:adjustRightInd w:val="0"/>
        <w:jc w:val="both"/>
        <w:rPr>
          <w:sz w:val="20"/>
          <w:szCs w:val="20"/>
        </w:rPr>
      </w:pP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Empfänger spätestens zwei Jahre und sechs Monate ab dem 1. Januar des betreffenden Steuerjahres eindeutig identifiziert worden ist [oder wenn </w:t>
      </w:r>
      <w:r w:rsidR="0085328F" w:rsidRPr="009118AB">
        <w:rPr>
          <w:sz w:val="20"/>
          <w:szCs w:val="20"/>
        </w:rPr>
        <w:t xml:space="preserve">[der Betrag der in den Artikeln 31 Absatz 2 </w:t>
      </w:r>
      <w:r w:rsidR="00D67EB8" w:rsidRPr="009118AB">
        <w:rPr>
          <w:sz w:val="20"/>
          <w:szCs w:val="20"/>
        </w:rPr>
        <w:t>Nr. </w:t>
      </w:r>
      <w:r w:rsidR="0085328F" w:rsidRPr="009118AB">
        <w:rPr>
          <w:sz w:val="20"/>
          <w:szCs w:val="20"/>
        </w:rPr>
        <w:t xml:space="preserve">2 und 32 Absatz 2 </w:t>
      </w:r>
      <w:r w:rsidR="00D67EB8" w:rsidRPr="009118AB">
        <w:rPr>
          <w:sz w:val="20"/>
          <w:szCs w:val="20"/>
        </w:rPr>
        <w:t>Nr. </w:t>
      </w:r>
      <w:r w:rsidR="0085328F" w:rsidRPr="009118AB">
        <w:rPr>
          <w:sz w:val="20"/>
          <w:szCs w:val="20"/>
        </w:rPr>
        <w:t xml:space="preserve">2 erwähnten Vorteile jeglicher Art, der in Artikel 57 Absatz 1 erwähnten Ausgaben oder der in Artikel 17 </w:t>
      </w:r>
      <w:r w:rsidR="00D67EB8" w:rsidRPr="009118AB">
        <w:rPr>
          <w:sz w:val="20"/>
          <w:szCs w:val="20"/>
        </w:rPr>
        <w:t>§ </w:t>
      </w:r>
      <w:r w:rsidR="0085328F" w:rsidRPr="009118AB">
        <w:rPr>
          <w:sz w:val="20"/>
          <w:szCs w:val="20"/>
        </w:rPr>
        <w:t xml:space="preserve">1 </w:t>
      </w:r>
      <w:r w:rsidR="00D67EB8" w:rsidRPr="009118AB">
        <w:rPr>
          <w:sz w:val="20"/>
          <w:szCs w:val="20"/>
        </w:rPr>
        <w:t>Nr. </w:t>
      </w:r>
      <w:r w:rsidR="0085328F" w:rsidRPr="009118AB">
        <w:rPr>
          <w:sz w:val="20"/>
          <w:szCs w:val="20"/>
        </w:rPr>
        <w:t xml:space="preserve">3, was Urheberrechte und ähnliche Rechte betrifft, und </w:t>
      </w:r>
      <w:r w:rsidR="00D67EB8" w:rsidRPr="009118AB">
        <w:rPr>
          <w:sz w:val="20"/>
          <w:szCs w:val="20"/>
        </w:rPr>
        <w:t>Nr. </w:t>
      </w:r>
      <w:r w:rsidR="0085328F" w:rsidRPr="009118AB">
        <w:rPr>
          <w:sz w:val="20"/>
          <w:szCs w:val="20"/>
        </w:rPr>
        <w:t>5 erwähnten Einkünfte]</w:t>
      </w:r>
      <w:r w:rsidRPr="009118AB">
        <w:rPr>
          <w:sz w:val="20"/>
          <w:szCs w:val="20"/>
        </w:rPr>
        <w:t xml:space="preserve"> in einer Veranlagung enthalten ist, die in den in den Artikeln 354 Absatz 1 und 2 und 358 erwähnten Fristen </w:t>
      </w:r>
      <w:r w:rsidR="00B818A6" w:rsidRPr="009118AB">
        <w:rPr>
          <w:sz w:val="20"/>
          <w:szCs w:val="20"/>
        </w:rPr>
        <w:t>[bei einem steuerpflichtigen Empfänger wie in Artikel 305 Absatz 1 erwähnt mit seinem Einverständnis]</w:t>
      </w:r>
      <w:r w:rsidRPr="009118AB">
        <w:rPr>
          <w:sz w:val="20"/>
          <w:szCs w:val="20"/>
        </w:rPr>
        <w:t xml:space="preserve"> festgelegt wird].]</w:t>
      </w:r>
    </w:p>
    <w:p w14:paraId="46F66B16" w14:textId="77777777" w:rsidR="00474E60" w:rsidRPr="009118AB" w:rsidRDefault="00474E60" w:rsidP="00474E60">
      <w:pPr>
        <w:autoSpaceDE w:val="0"/>
        <w:autoSpaceDN w:val="0"/>
        <w:adjustRightInd w:val="0"/>
        <w:jc w:val="both"/>
        <w:rPr>
          <w:sz w:val="20"/>
          <w:szCs w:val="20"/>
        </w:rPr>
      </w:pPr>
    </w:p>
    <w:p w14:paraId="767717B6" w14:textId="2037C7BB" w:rsidR="00474E60" w:rsidRPr="009118AB" w:rsidRDefault="00474E60" w:rsidP="00474E60">
      <w:pPr>
        <w:autoSpaceDE w:val="0"/>
        <w:autoSpaceDN w:val="0"/>
        <w:adjustRightInd w:val="0"/>
        <w:jc w:val="both"/>
        <w:rPr>
          <w:sz w:val="20"/>
          <w:szCs w:val="20"/>
        </w:rPr>
      </w:pPr>
      <w:r w:rsidRPr="009118AB">
        <w:rPr>
          <w:sz w:val="20"/>
          <w:szCs w:val="20"/>
        </w:rPr>
        <w:t xml:space="preserve">[Wird ein in [Absatz 1 </w:t>
      </w:r>
      <w:r w:rsidR="00D67EB8" w:rsidRPr="009118AB">
        <w:rPr>
          <w:sz w:val="20"/>
          <w:szCs w:val="20"/>
        </w:rPr>
        <w:t>Nr. </w:t>
      </w:r>
      <w:r w:rsidRPr="009118AB">
        <w:rPr>
          <w:sz w:val="20"/>
          <w:szCs w:val="20"/>
        </w:rPr>
        <w:t xml:space="preserve">6 und 7] erwähntes Fahrzeug einem Dritten zur Nutzung zu persönlichen Zwecken zur Verfügung gestellt, umfassen die in </w:t>
      </w:r>
      <w:r w:rsidR="00FA58D0" w:rsidRPr="009118AB">
        <w:rPr>
          <w:sz w:val="20"/>
          <w:szCs w:val="20"/>
        </w:rPr>
        <w:t xml:space="preserve">[Absatz 1 </w:t>
      </w:r>
      <w:r w:rsidR="00D67EB8" w:rsidRPr="009118AB">
        <w:rPr>
          <w:sz w:val="20"/>
          <w:szCs w:val="20"/>
        </w:rPr>
        <w:t>Nr. </w:t>
      </w:r>
      <w:r w:rsidR="00FA58D0" w:rsidRPr="009118AB">
        <w:rPr>
          <w:sz w:val="20"/>
          <w:szCs w:val="20"/>
        </w:rPr>
        <w:t xml:space="preserve">6 und 7] </w:t>
      </w:r>
      <w:r w:rsidRPr="009118AB">
        <w:rPr>
          <w:sz w:val="20"/>
          <w:szCs w:val="20"/>
        </w:rPr>
        <w:t>erwähnten Kosten nicht den Betrag, der dem zu Lasten dieses Dritten besteuerten Vorteil jeglicher Art entspricht, und die Eigenbeteiligung dieses Dritten für die Nutzung zu persönlichen Zwecken dieses Fahrzeugs.]</w:t>
      </w:r>
    </w:p>
    <w:p w14:paraId="51D59076" w14:textId="77777777" w:rsidR="00474E60" w:rsidRPr="009118AB" w:rsidRDefault="00474E60" w:rsidP="00474E60">
      <w:pPr>
        <w:autoSpaceDE w:val="0"/>
        <w:autoSpaceDN w:val="0"/>
        <w:adjustRightInd w:val="0"/>
        <w:jc w:val="both"/>
        <w:rPr>
          <w:bCs/>
          <w:iCs/>
          <w:sz w:val="20"/>
          <w:szCs w:val="20"/>
        </w:rPr>
      </w:pPr>
    </w:p>
    <w:p w14:paraId="0913D5B6" w14:textId="7D226822" w:rsidR="00474E60" w:rsidRPr="009118AB" w:rsidRDefault="00474E60" w:rsidP="00474E60">
      <w:pPr>
        <w:autoSpaceDE w:val="0"/>
        <w:autoSpaceDN w:val="0"/>
        <w:adjustRightInd w:val="0"/>
        <w:jc w:val="both"/>
        <w:rPr>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223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1 abgeändert durch </w:t>
      </w:r>
      <w:r w:rsidR="00D67EB8" w:rsidRPr="009118AB">
        <w:rPr>
          <w:bCs/>
          <w:i/>
          <w:iCs/>
          <w:sz w:val="20"/>
          <w:szCs w:val="20"/>
        </w:rPr>
        <w:t>Art. </w:t>
      </w:r>
      <w:r w:rsidRPr="009118AB">
        <w:rPr>
          <w:bCs/>
          <w:i/>
          <w:iCs/>
          <w:sz w:val="20"/>
          <w:szCs w:val="20"/>
        </w:rPr>
        <w:t>21 des G. (I) vom 27. Dezember 2006 (I)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71 Buchstabe</w:t>
      </w:r>
      <w:r w:rsidRPr="009118AB">
        <w:rPr>
          <w:rFonts w:hint="eastAsia"/>
          <w:bCs/>
          <w:i/>
          <w:iCs/>
          <w:sz w:val="20"/>
          <w:szCs w:val="20"/>
        </w:rPr>
        <w:t> </w:t>
      </w:r>
      <w:r w:rsidRPr="009118AB">
        <w:rPr>
          <w:bCs/>
          <w:i/>
          <w:iCs/>
          <w:sz w:val="20"/>
          <w:szCs w:val="20"/>
        </w:rPr>
        <w:t>a) des G. vom 27. Juni 2021 (B.S. vom 30. Juni 2021)</w:t>
      </w:r>
      <w:r w:rsidR="00CA61DC" w:rsidRPr="009118AB">
        <w:rPr>
          <w:bCs/>
          <w:i/>
          <w:iCs/>
          <w:sz w:val="20"/>
          <w:szCs w:val="20"/>
        </w:rPr>
        <w:t>,</w:t>
      </w:r>
      <w:r w:rsidR="0085328F" w:rsidRPr="009118AB">
        <w:rPr>
          <w:bCs/>
          <w:i/>
          <w:iCs/>
          <w:sz w:val="20"/>
          <w:szCs w:val="20"/>
        </w:rPr>
        <w:t xml:space="preserve"> </w:t>
      </w:r>
      <w:r w:rsidR="00D67EB8" w:rsidRPr="009118AB">
        <w:rPr>
          <w:bCs/>
          <w:i/>
          <w:iCs/>
          <w:sz w:val="20"/>
          <w:szCs w:val="20"/>
        </w:rPr>
        <w:t>Art. </w:t>
      </w:r>
      <w:r w:rsidR="0085328F" w:rsidRPr="009118AB">
        <w:rPr>
          <w:bCs/>
          <w:i/>
          <w:iCs/>
          <w:sz w:val="20"/>
          <w:szCs w:val="20"/>
        </w:rPr>
        <w:t xml:space="preserve">47 </w:t>
      </w:r>
      <w:r w:rsidR="00D67EB8" w:rsidRPr="009118AB">
        <w:rPr>
          <w:bCs/>
          <w:i/>
          <w:iCs/>
          <w:sz w:val="20"/>
          <w:szCs w:val="20"/>
        </w:rPr>
        <w:t>Nr. </w:t>
      </w:r>
      <w:r w:rsidR="0085328F" w:rsidRPr="009118AB">
        <w:rPr>
          <w:bCs/>
          <w:i/>
          <w:iCs/>
          <w:sz w:val="20"/>
          <w:szCs w:val="20"/>
        </w:rPr>
        <w:t>1 des G. vom 21. Januar 2022 (B.S. vom 28. Januar 2022)</w:t>
      </w:r>
      <w:r w:rsidR="00D67EB8" w:rsidRPr="009118AB">
        <w:rPr>
          <w:bCs/>
          <w:i/>
          <w:iCs/>
          <w:sz w:val="20"/>
          <w:szCs w:val="20"/>
        </w:rPr>
        <w:t> - </w:t>
      </w:r>
      <w:r w:rsidR="0085328F"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CA61DC" w:rsidRPr="009118AB">
        <w:rPr>
          <w:bCs/>
          <w:i/>
          <w:iCs/>
          <w:sz w:val="20"/>
          <w:szCs w:val="20"/>
        </w:rPr>
        <w:t xml:space="preserve"> und Art. 26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2 ersetzt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 xml:space="preserve">anwendbar auf die ab dem 1. Januar 2006 gezahlten </w:t>
      </w:r>
      <w:r w:rsidRPr="009118AB">
        <w:rPr>
          <w:rFonts w:ascii="Times New Roman Italique" w:hAnsi="Times New Roman Italique"/>
          <w:bCs/>
          <w:i/>
          <w:iCs/>
          <w:spacing w:val="2"/>
          <w:sz w:val="20"/>
          <w:szCs w:val="20"/>
        </w:rPr>
        <w:t>Prämien und Beiträge</w:t>
      </w:r>
      <w:r w:rsidR="003366D9" w:rsidRPr="009118AB">
        <w:rPr>
          <w:rFonts w:ascii="Times New Roman Italique" w:hAnsi="Times New Roman Italique"/>
          <w:bCs/>
          <w:i/>
          <w:iCs/>
          <w:spacing w:val="2"/>
          <w:sz w:val="20"/>
          <w:szCs w:val="20"/>
        </w:rPr>
        <w:t> -;</w:t>
      </w:r>
      <w:r w:rsidRPr="009118AB">
        <w:rPr>
          <w:rFonts w:ascii="Times New Roman Italique" w:hAnsi="Times New Roman Italique"/>
          <w:bCs/>
          <w:i/>
          <w:iCs/>
          <w:spacing w:val="2"/>
          <w:sz w:val="20"/>
          <w:szCs w:val="20"/>
        </w:rPr>
        <w:t xml:space="preserve">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3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 xml:space="preserve">47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1 des G. vom 15. Dezember 2004 (B.S. vom 1. Februar 2005)</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Aktien- oder Anteilverleihe, die ab dem 14. April 1999 abgeschlossen werden</w:t>
      </w:r>
      <w:r w:rsidR="00FD68E8" w:rsidRPr="009118AB">
        <w:rPr>
          <w:rFonts w:ascii="Times New Roman Italique" w:hAnsi="Times New Roman Italique"/>
          <w:bCs/>
          <w:i/>
          <w:iCs/>
          <w:spacing w:val="2"/>
          <w:sz w:val="20"/>
          <w:szCs w:val="20"/>
        </w:rPr>
        <w:t> </w:t>
      </w:r>
      <w:r w:rsidR="00FD68E8" w:rsidRPr="009118AB">
        <w:rPr>
          <w:rFonts w:ascii="Times New Roman Italique" w:hAnsi="Times New Roman Italique" w:hint="eastAsia"/>
          <w:bCs/>
          <w:i/>
          <w:iCs/>
          <w:spacing w:val="2"/>
          <w:sz w:val="20"/>
          <w:szCs w:val="20"/>
        </w:rPr>
        <w:t>-,</w:t>
      </w:r>
      <w:r w:rsidRPr="009118AB">
        <w:rPr>
          <w:rFonts w:ascii="Times New Roman Italique" w:hAnsi="Times New Roman Italique"/>
          <w:bCs/>
          <w:i/>
          <w:iCs/>
          <w:spacing w:val="2"/>
          <w:sz w:val="20"/>
          <w:szCs w:val="20"/>
        </w:rPr>
        <w:t xml:space="preserve"> </w:t>
      </w:r>
      <w:r w:rsidRPr="009118AB">
        <w:rPr>
          <w:bCs/>
          <w:i/>
          <w:iCs/>
          <w:sz w:val="20"/>
          <w:szCs w:val="20"/>
        </w:rPr>
        <w:t xml:space="preserve">aufgehoben durch </w:t>
      </w:r>
      <w:r w:rsidR="00D67EB8" w:rsidRPr="009118AB">
        <w:rPr>
          <w:bCs/>
          <w:i/>
          <w:iCs/>
          <w:sz w:val="20"/>
          <w:szCs w:val="20"/>
        </w:rPr>
        <w:t>Art. </w:t>
      </w:r>
      <w:r w:rsidRPr="009118AB">
        <w:rPr>
          <w:bCs/>
          <w:i/>
          <w:iCs/>
          <w:sz w:val="20"/>
          <w:szCs w:val="20"/>
        </w:rPr>
        <w:t xml:space="preserve">47 </w:t>
      </w:r>
      <w:r w:rsidR="00D67EB8" w:rsidRPr="009118AB">
        <w:rPr>
          <w:bCs/>
          <w:i/>
          <w:iCs/>
          <w:sz w:val="20"/>
          <w:szCs w:val="20"/>
        </w:rPr>
        <w:t>Nr. </w:t>
      </w:r>
      <w:r w:rsidRPr="009118AB">
        <w:rPr>
          <w:bCs/>
          <w:i/>
          <w:iCs/>
          <w:sz w:val="20"/>
          <w:szCs w:val="20"/>
        </w:rPr>
        <w:t>2 des G. vom 15. Dezember 2004 (B.S. vom 1. Februar 2005)</w:t>
      </w:r>
      <w:r w:rsidR="00D67EB8" w:rsidRPr="009118AB">
        <w:rPr>
          <w:bCs/>
          <w:i/>
          <w:iCs/>
          <w:sz w:val="20"/>
          <w:szCs w:val="20"/>
        </w:rPr>
        <w:t> - </w:t>
      </w:r>
      <w:r w:rsidRPr="009118AB">
        <w:rPr>
          <w:bCs/>
          <w:i/>
          <w:iCs/>
          <w:sz w:val="20"/>
          <w:szCs w:val="20"/>
        </w:rPr>
        <w:t>anwendbar auf Aktien-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 des G. vom 11. Mai 2007 (B.S. vom 8. Juni 2007)</w:t>
      </w:r>
      <w:r w:rsidR="00D67EB8" w:rsidRPr="009118AB">
        <w:rPr>
          <w:bCs/>
          <w:i/>
          <w:iCs/>
          <w:sz w:val="20"/>
          <w:szCs w:val="20"/>
        </w:rPr>
        <w:t> - </w:t>
      </w:r>
      <w:r w:rsidRPr="009118AB">
        <w:rPr>
          <w:bCs/>
          <w:i/>
          <w:iCs/>
          <w:sz w:val="20"/>
          <w:szCs w:val="20"/>
        </w:rPr>
        <w:t>in Kraft ab dem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eingefügt </w:t>
      </w:r>
      <w:r w:rsidRPr="009118AB">
        <w:rPr>
          <w:i/>
          <w:iCs/>
          <w:sz w:val="20"/>
          <w:szCs w:val="20"/>
        </w:rPr>
        <w:t xml:space="preserve">durch </w:t>
      </w:r>
      <w:r w:rsidR="00D67EB8" w:rsidRPr="009118AB">
        <w:rPr>
          <w:i/>
          <w:iCs/>
          <w:sz w:val="20"/>
          <w:szCs w:val="20"/>
        </w:rPr>
        <w:t>Art. </w:t>
      </w:r>
      <w:r w:rsidRPr="009118AB">
        <w:rPr>
          <w:i/>
          <w:iCs/>
          <w:sz w:val="20"/>
          <w:szCs w:val="20"/>
        </w:rPr>
        <w:t>47</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69 Buchstabe a)</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85328F" w:rsidRPr="009118AB">
        <w:rPr>
          <w:bCs/>
          <w:i/>
          <w:iCs/>
          <w:sz w:val="20"/>
          <w:szCs w:val="20"/>
        </w:rPr>
        <w:t xml:space="preserve">und abgeändert durch </w:t>
      </w:r>
      <w:r w:rsidR="00D67EB8" w:rsidRPr="009118AB">
        <w:rPr>
          <w:bCs/>
          <w:i/>
          <w:iCs/>
          <w:sz w:val="20"/>
          <w:szCs w:val="20"/>
        </w:rPr>
        <w:t>Art. </w:t>
      </w:r>
      <w:r w:rsidR="0085328F" w:rsidRPr="009118AB">
        <w:rPr>
          <w:bCs/>
          <w:i/>
          <w:iCs/>
          <w:sz w:val="20"/>
          <w:szCs w:val="20"/>
        </w:rPr>
        <w:t xml:space="preserve">47 </w:t>
      </w:r>
      <w:r w:rsidR="00D67EB8" w:rsidRPr="009118AB">
        <w:rPr>
          <w:bCs/>
          <w:i/>
          <w:iCs/>
          <w:sz w:val="20"/>
          <w:szCs w:val="20"/>
        </w:rPr>
        <w:t>Nr. </w:t>
      </w:r>
      <w:r w:rsidR="0085328F" w:rsidRPr="009118AB">
        <w:rPr>
          <w:bCs/>
          <w:i/>
          <w:iCs/>
          <w:sz w:val="20"/>
          <w:szCs w:val="20"/>
        </w:rPr>
        <w:t>2 des G. vom 21. Januar 2022 (B.S. vom 28. Januar 2022)</w:t>
      </w:r>
      <w:r w:rsidR="00D67EB8" w:rsidRPr="009118AB">
        <w:rPr>
          <w:bCs/>
          <w:i/>
          <w:iCs/>
          <w:sz w:val="20"/>
          <w:szCs w:val="20"/>
        </w:rPr>
        <w:t> - </w:t>
      </w:r>
      <w:r w:rsidR="0085328F" w:rsidRPr="009118AB">
        <w:rPr>
          <w:bCs/>
          <w:i/>
          <w:iCs/>
          <w:sz w:val="20"/>
          <w:szCs w:val="20"/>
        </w:rPr>
        <w:t>wirksam mit 1. Januar 2021</w:t>
      </w:r>
      <w:r w:rsidR="003366D9" w:rsidRPr="009118AB">
        <w:rPr>
          <w:bCs/>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65143C" w:rsidRPr="009118AB">
        <w:rPr>
          <w:i/>
          <w:iCs/>
          <w:spacing w:val="-2"/>
          <w:sz w:val="20"/>
          <w:szCs w:val="20"/>
        </w:rPr>
        <w:t>frühere Nummer</w:t>
      </w:r>
      <w:r w:rsidRPr="009118AB">
        <w:rPr>
          <w:i/>
          <w:iCs/>
          <w:sz w:val="20"/>
          <w:szCs w:val="20"/>
        </w:rPr>
        <w:t xml:space="preserve"> 4bis eingefügt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18 </w:t>
      </w:r>
      <w:r w:rsidR="00D67EB8" w:rsidRPr="009118AB">
        <w:rPr>
          <w:i/>
          <w:iCs/>
          <w:sz w:val="20"/>
          <w:szCs w:val="20"/>
        </w:rPr>
        <w:t>Nr. </w:t>
      </w:r>
      <w:r w:rsidRPr="009118AB">
        <w:rPr>
          <w:i/>
          <w:iCs/>
          <w:sz w:val="20"/>
          <w:szCs w:val="20"/>
        </w:rPr>
        <w:t>1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aufgehoben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 des G. vom 19. Dezember 2014 (B.S. vom 29. Dezember 2014)</w:t>
      </w:r>
      <w:r w:rsidR="00D67EB8" w:rsidRPr="009118AB">
        <w:rPr>
          <w:i/>
          <w:iCs/>
          <w:sz w:val="20"/>
          <w:szCs w:val="20"/>
        </w:rPr>
        <w:t> - </w:t>
      </w:r>
      <w:r w:rsidRPr="009118AB">
        <w:rPr>
          <w:i/>
          <w:iCs/>
          <w:sz w:val="20"/>
          <w:szCs w:val="20"/>
        </w:rPr>
        <w:t xml:space="preserve">in Kraft am 29. Dezember 2014 und anwendbar auf alle Rechtsstreite, die an diesem Datum </w:t>
      </w:r>
      <w:r w:rsidRPr="009118AB">
        <w:rPr>
          <w:i/>
          <w:iCs/>
          <w:sz w:val="20"/>
          <w:szCs w:val="20"/>
        </w:rPr>
        <w:lastRenderedPageBreak/>
        <w:t>noch nicht endgültig abgeschlossen sind</w:t>
      </w:r>
      <w:r w:rsidR="00FD68E8" w:rsidRPr="009118AB">
        <w:rPr>
          <w:i/>
          <w:iCs/>
          <w:sz w:val="20"/>
          <w:szCs w:val="20"/>
        </w:rPr>
        <w:t> -,</w:t>
      </w:r>
      <w:r w:rsidRPr="009118AB">
        <w:rPr>
          <w:i/>
          <w:iCs/>
          <w:sz w:val="20"/>
          <w:szCs w:val="20"/>
        </w:rPr>
        <w:t xml:space="preserve"> wieder aufgenommen durch </w:t>
      </w:r>
      <w:r w:rsidR="00D67EB8" w:rsidRPr="009118AB">
        <w:rPr>
          <w:i/>
          <w:iCs/>
          <w:sz w:val="20"/>
          <w:szCs w:val="20"/>
        </w:rPr>
        <w:t>Art. </w:t>
      </w:r>
      <w:r w:rsidRPr="009118AB">
        <w:rPr>
          <w:i/>
          <w:iCs/>
          <w:sz w:val="20"/>
          <w:szCs w:val="20"/>
        </w:rPr>
        <w:t>69 Buchstabe b)</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85328F" w:rsidRPr="009118AB">
        <w:rPr>
          <w:bCs/>
          <w:i/>
          <w:iCs/>
          <w:sz w:val="20"/>
          <w:szCs w:val="20"/>
        </w:rPr>
        <w:t xml:space="preserve">und abgeändert durch </w:t>
      </w:r>
      <w:r w:rsidR="00D67EB8" w:rsidRPr="009118AB">
        <w:rPr>
          <w:bCs/>
          <w:i/>
          <w:iCs/>
          <w:sz w:val="20"/>
          <w:szCs w:val="20"/>
        </w:rPr>
        <w:t>Art. </w:t>
      </w:r>
      <w:r w:rsidR="0085328F" w:rsidRPr="009118AB">
        <w:rPr>
          <w:bCs/>
          <w:i/>
          <w:iCs/>
          <w:sz w:val="20"/>
          <w:szCs w:val="20"/>
        </w:rPr>
        <w:t xml:space="preserve">47 </w:t>
      </w:r>
      <w:r w:rsidR="00D67EB8" w:rsidRPr="009118AB">
        <w:rPr>
          <w:bCs/>
          <w:i/>
          <w:iCs/>
          <w:sz w:val="20"/>
          <w:szCs w:val="20"/>
        </w:rPr>
        <w:t>Nr. </w:t>
      </w:r>
      <w:r w:rsidR="0085328F" w:rsidRPr="009118AB">
        <w:rPr>
          <w:bCs/>
          <w:i/>
          <w:iCs/>
          <w:sz w:val="20"/>
          <w:szCs w:val="20"/>
        </w:rPr>
        <w:t>2 des G. vom 21. Januar 2022 (B.S. vom 28. Januar 2022)</w:t>
      </w:r>
      <w:r w:rsidR="00D67EB8" w:rsidRPr="009118AB">
        <w:rPr>
          <w:bCs/>
          <w:i/>
          <w:iCs/>
          <w:sz w:val="20"/>
          <w:szCs w:val="20"/>
        </w:rPr>
        <w:t> - </w:t>
      </w:r>
      <w:r w:rsidR="0085328F" w:rsidRPr="009118AB">
        <w:rPr>
          <w:bCs/>
          <w:i/>
          <w:iCs/>
          <w:sz w:val="20"/>
          <w:szCs w:val="20"/>
        </w:rPr>
        <w:t>wirksam mit 1. Januar 2021</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65143C" w:rsidRPr="009118AB">
        <w:rPr>
          <w:i/>
          <w:iCs/>
          <w:spacing w:val="-2"/>
          <w:sz w:val="20"/>
          <w:szCs w:val="20"/>
        </w:rPr>
        <w:t>frühere Nummer</w:t>
      </w:r>
      <w:r w:rsidRPr="009118AB">
        <w:rPr>
          <w:bCs/>
          <w:i/>
          <w:iCs/>
          <w:sz w:val="20"/>
          <w:szCs w:val="20"/>
        </w:rPr>
        <w:t xml:space="preserve"> 5bis eingefügt durch </w:t>
      </w:r>
      <w:r w:rsidR="00D67EB8" w:rsidRPr="009118AB">
        <w:rPr>
          <w:bCs/>
          <w:i/>
          <w:iCs/>
          <w:sz w:val="20"/>
          <w:szCs w:val="20"/>
        </w:rPr>
        <w:t>Art. </w:t>
      </w:r>
      <w:r w:rsidRPr="009118AB">
        <w:rPr>
          <w:bCs/>
          <w:i/>
          <w:iCs/>
          <w:sz w:val="20"/>
          <w:szCs w:val="20"/>
        </w:rPr>
        <w:t xml:space="preserve">31 </w:t>
      </w:r>
      <w:r w:rsidR="00D67EB8" w:rsidRPr="009118AB">
        <w:rPr>
          <w:bCs/>
          <w:i/>
          <w:iCs/>
          <w:sz w:val="20"/>
          <w:szCs w:val="20"/>
        </w:rPr>
        <w:t>Nr. </w:t>
      </w:r>
      <w:r w:rsidRPr="009118AB">
        <w:rPr>
          <w:bCs/>
          <w:i/>
          <w:iCs/>
          <w:sz w:val="20"/>
          <w:szCs w:val="20"/>
        </w:rPr>
        <w:t>2</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6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7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D67EB8" w:rsidRPr="009118AB">
        <w:rPr>
          <w:i/>
          <w:iCs/>
          <w:sz w:val="20"/>
          <w:szCs w:val="20"/>
        </w:rPr>
        <w:t> - </w:t>
      </w:r>
      <w:r w:rsidRPr="009118AB">
        <w:rPr>
          <w:i/>
          <w:iCs/>
          <w:sz w:val="20"/>
          <w:szCs w:val="20"/>
        </w:rPr>
        <w:t xml:space="preserve">und ersetzt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7 einziger Absatz dritter Gedankenstrich eingefügt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4</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2029</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261B2A" w:rsidRPr="009118AB">
        <w:rPr>
          <w:i/>
          <w:iCs/>
          <w:sz w:val="20"/>
          <w:szCs w:val="20"/>
        </w:rPr>
        <w:t xml:space="preserve">1 </w:t>
      </w:r>
      <w:r w:rsidR="00D67EB8" w:rsidRPr="009118AB">
        <w:rPr>
          <w:i/>
          <w:iCs/>
          <w:sz w:val="20"/>
          <w:szCs w:val="20"/>
        </w:rPr>
        <w:t>Nr. </w:t>
      </w:r>
      <w:r w:rsidR="00261B2A" w:rsidRPr="009118AB">
        <w:rPr>
          <w:i/>
          <w:iCs/>
          <w:sz w:val="20"/>
          <w:szCs w:val="20"/>
        </w:rPr>
        <w:t xml:space="preserve">8 eingefügt durch </w:t>
      </w:r>
      <w:r w:rsidR="00D67EB8" w:rsidRPr="009118AB">
        <w:rPr>
          <w:i/>
          <w:iCs/>
          <w:sz w:val="20"/>
          <w:szCs w:val="20"/>
        </w:rPr>
        <w:t>Art. </w:t>
      </w:r>
      <w:r w:rsidR="00261B2A" w:rsidRPr="009118AB">
        <w:rPr>
          <w:i/>
          <w:iCs/>
          <w:sz w:val="20"/>
          <w:szCs w:val="20"/>
        </w:rPr>
        <w:t>7 des G. vom 27. Dezember 2021 (B.S. vom 31. Dezember 2021)</w:t>
      </w:r>
      <w:r w:rsidR="00D67EB8" w:rsidRPr="009118AB">
        <w:rPr>
          <w:i/>
          <w:iCs/>
          <w:sz w:val="20"/>
          <w:szCs w:val="20"/>
        </w:rPr>
        <w:t> - </w:t>
      </w:r>
      <w:r w:rsidR="00261B2A" w:rsidRPr="009118AB">
        <w:rPr>
          <w:i/>
          <w:iCs/>
          <w:sz w:val="20"/>
          <w:szCs w:val="20"/>
        </w:rPr>
        <w:t>anwendbar ab dem 1. Januar 2022</w:t>
      </w:r>
      <w:r w:rsidR="003366D9" w:rsidRPr="009118AB">
        <w:rPr>
          <w:i/>
          <w:iCs/>
          <w:sz w:val="20"/>
          <w:szCs w:val="20"/>
        </w:rPr>
        <w:t> -;</w:t>
      </w:r>
      <w:r w:rsidR="00261B2A" w:rsidRPr="009118AB">
        <w:rPr>
          <w:i/>
          <w:iCs/>
          <w:sz w:val="20"/>
          <w:szCs w:val="20"/>
        </w:rPr>
        <w:t xml:space="preserve"> </w:t>
      </w:r>
      <w:r w:rsidR="00D67EB8" w:rsidRPr="009118AB">
        <w:rPr>
          <w:bCs/>
          <w:i/>
          <w:iCs/>
          <w:sz w:val="20"/>
          <w:szCs w:val="20"/>
        </w:rPr>
        <w:t>Abs. </w:t>
      </w:r>
      <w:r w:rsidRPr="009118AB">
        <w:rPr>
          <w:bCs/>
          <w:i/>
          <w:iCs/>
          <w:sz w:val="20"/>
          <w:szCs w:val="20"/>
        </w:rPr>
        <w:t>2 eingefügt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2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2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71 Buchstabe</w:t>
      </w:r>
      <w:r w:rsidRPr="009118AB">
        <w:rPr>
          <w:rFonts w:hint="eastAsia"/>
          <w:i/>
          <w:iCs/>
          <w:sz w:val="20"/>
          <w:szCs w:val="20"/>
        </w:rPr>
        <w:t> </w:t>
      </w:r>
      <w:r w:rsidRPr="009118AB">
        <w:rPr>
          <w:i/>
          <w:iCs/>
          <w:sz w:val="20"/>
          <w:szCs w:val="20"/>
        </w:rPr>
        <w:t>b)</w:t>
      </w:r>
      <w:r w:rsidRPr="009118AB">
        <w:rPr>
          <w:bCs/>
          <w:i/>
          <w:iCs/>
          <w:sz w:val="20"/>
          <w:szCs w:val="20"/>
        </w:rPr>
        <w:t xml:space="preserve"> des G. vom 27. Juni 2021 (B.S. vom 30. Juni 2021)</w:t>
      </w:r>
      <w:r w:rsidR="0085328F" w:rsidRPr="009118AB">
        <w:rPr>
          <w:bCs/>
          <w:i/>
          <w:iCs/>
          <w:sz w:val="20"/>
          <w:szCs w:val="20"/>
        </w:rPr>
        <w:t xml:space="preserve"> und </w:t>
      </w:r>
      <w:r w:rsidR="00D67EB8" w:rsidRPr="009118AB">
        <w:rPr>
          <w:bCs/>
          <w:i/>
          <w:iCs/>
          <w:sz w:val="20"/>
          <w:szCs w:val="20"/>
        </w:rPr>
        <w:t>Art. </w:t>
      </w:r>
      <w:r w:rsidR="0085328F" w:rsidRPr="009118AB">
        <w:rPr>
          <w:bCs/>
          <w:i/>
          <w:iCs/>
          <w:sz w:val="20"/>
          <w:szCs w:val="20"/>
        </w:rPr>
        <w:t xml:space="preserve">47 </w:t>
      </w:r>
      <w:r w:rsidR="00D67EB8" w:rsidRPr="009118AB">
        <w:rPr>
          <w:bCs/>
          <w:i/>
          <w:iCs/>
          <w:sz w:val="20"/>
          <w:szCs w:val="20"/>
        </w:rPr>
        <w:t>Nr. </w:t>
      </w:r>
      <w:r w:rsidR="0085328F" w:rsidRPr="009118AB">
        <w:rPr>
          <w:bCs/>
          <w:i/>
          <w:iCs/>
          <w:sz w:val="20"/>
          <w:szCs w:val="20"/>
        </w:rPr>
        <w:t>3 des G. vom 21. Januar 2022 (B.S. vom 28. Januar 2022)</w:t>
      </w:r>
      <w:r w:rsidR="00D67EB8" w:rsidRPr="009118AB">
        <w:rPr>
          <w:bCs/>
          <w:i/>
          <w:iCs/>
          <w:sz w:val="20"/>
          <w:szCs w:val="20"/>
        </w:rPr>
        <w:t> - </w:t>
      </w:r>
      <w:r w:rsidR="0085328F"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Pr="009118AB">
        <w:rPr>
          <w:i/>
          <w:iCs/>
          <w:sz w:val="20"/>
          <w:szCs w:val="20"/>
        </w:rPr>
        <w:t xml:space="preserve"> </w:t>
      </w:r>
      <w:r w:rsidR="00D67EB8" w:rsidRPr="009118AB">
        <w:rPr>
          <w:bCs/>
          <w:i/>
          <w:iCs/>
          <w:sz w:val="20"/>
          <w:szCs w:val="20"/>
        </w:rPr>
        <w:t>Abs. </w:t>
      </w:r>
      <w:r w:rsidRPr="009118AB">
        <w:rPr>
          <w:bCs/>
          <w:i/>
          <w:iCs/>
          <w:sz w:val="20"/>
          <w:szCs w:val="20"/>
        </w:rPr>
        <w:t xml:space="preserve">4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3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71 Buchstabe c)</w:t>
      </w:r>
      <w:r w:rsidRPr="009118AB">
        <w:rPr>
          <w:bCs/>
          <w:i/>
          <w:iCs/>
          <w:sz w:val="20"/>
          <w:szCs w:val="20"/>
        </w:rPr>
        <w:t xml:space="preserve"> des G. vom 27. Juni 2021 (B.S. vom 30. Juni 2021)</w:t>
      </w:r>
      <w:r w:rsidR="00B818A6" w:rsidRPr="009118AB">
        <w:rPr>
          <w:bCs/>
          <w:i/>
          <w:iCs/>
          <w:sz w:val="20"/>
          <w:szCs w:val="20"/>
        </w:rPr>
        <w:t>,</w:t>
      </w:r>
      <w:r w:rsidR="0085328F" w:rsidRPr="009118AB">
        <w:rPr>
          <w:bCs/>
          <w:i/>
          <w:iCs/>
          <w:sz w:val="20"/>
          <w:szCs w:val="20"/>
        </w:rPr>
        <w:t xml:space="preserve"> </w:t>
      </w:r>
      <w:r w:rsidR="00D67EB8" w:rsidRPr="009118AB">
        <w:rPr>
          <w:bCs/>
          <w:i/>
          <w:iCs/>
          <w:sz w:val="20"/>
          <w:szCs w:val="20"/>
        </w:rPr>
        <w:t>Art. </w:t>
      </w:r>
      <w:r w:rsidR="0085328F" w:rsidRPr="009118AB">
        <w:rPr>
          <w:bCs/>
          <w:i/>
          <w:iCs/>
          <w:sz w:val="20"/>
          <w:szCs w:val="20"/>
        </w:rPr>
        <w:t xml:space="preserve">47 </w:t>
      </w:r>
      <w:r w:rsidR="00D67EB8" w:rsidRPr="009118AB">
        <w:rPr>
          <w:bCs/>
          <w:i/>
          <w:iCs/>
          <w:sz w:val="20"/>
          <w:szCs w:val="20"/>
        </w:rPr>
        <w:t>Nr. </w:t>
      </w:r>
      <w:r w:rsidR="0085328F" w:rsidRPr="009118AB">
        <w:rPr>
          <w:bCs/>
          <w:i/>
          <w:iCs/>
          <w:sz w:val="20"/>
          <w:szCs w:val="20"/>
        </w:rPr>
        <w:t>4 des G. vom 21. Januar 2022 (B.S. vom 28. Januar 2022)</w:t>
      </w:r>
      <w:r w:rsidR="00B818A6" w:rsidRPr="009118AB">
        <w:rPr>
          <w:bCs/>
          <w:i/>
          <w:iCs/>
          <w:sz w:val="20"/>
          <w:szCs w:val="20"/>
        </w:rPr>
        <w:t xml:space="preserve"> und Art. 30 des G. vom 5. Juli 2022 (B.S. vom 15. Juli 2022)</w:t>
      </w:r>
      <w:r w:rsidRPr="009118AB">
        <w:rPr>
          <w:bCs/>
          <w:i/>
          <w:iCs/>
          <w:sz w:val="20"/>
          <w:szCs w:val="20"/>
        </w:rPr>
        <w:t xml:space="preserve">; </w:t>
      </w:r>
      <w:r w:rsidR="00D67EB8" w:rsidRPr="009118AB">
        <w:rPr>
          <w:bCs/>
          <w:i/>
          <w:iCs/>
          <w:sz w:val="20"/>
          <w:szCs w:val="20"/>
        </w:rPr>
        <w:t>Abs. </w:t>
      </w:r>
      <w:r w:rsidRPr="009118AB">
        <w:rPr>
          <w:bCs/>
          <w:i/>
          <w:iCs/>
          <w:sz w:val="20"/>
          <w:szCs w:val="20"/>
        </w:rPr>
        <w:t xml:space="preserve">5 eingefügt durch </w:t>
      </w:r>
      <w:r w:rsidR="00D67EB8" w:rsidRPr="009118AB">
        <w:rPr>
          <w:bCs/>
          <w:i/>
          <w:iCs/>
          <w:sz w:val="20"/>
          <w:szCs w:val="20"/>
        </w:rPr>
        <w:t>Art. </w:t>
      </w:r>
      <w:r w:rsidRPr="009118AB">
        <w:rPr>
          <w:bCs/>
          <w:i/>
          <w:iCs/>
          <w:sz w:val="20"/>
          <w:szCs w:val="20"/>
        </w:rPr>
        <w:t xml:space="preserve">6 </w:t>
      </w:r>
      <w:r w:rsidR="00D67EB8" w:rsidRPr="009118AB">
        <w:rPr>
          <w:bCs/>
          <w:i/>
          <w:iCs/>
          <w:sz w:val="20"/>
          <w:szCs w:val="20"/>
        </w:rPr>
        <w:t>Nr. </w:t>
      </w:r>
      <w:r w:rsidRPr="009118AB">
        <w:rPr>
          <w:bCs/>
          <w:i/>
          <w:iCs/>
          <w:sz w:val="20"/>
          <w:szCs w:val="20"/>
        </w:rPr>
        <w:t>7</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8</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sz w:val="20"/>
          <w:szCs w:val="20"/>
        </w:rPr>
        <w:t>"</w:t>
      </w:r>
      <w:bookmarkEnd w:id="19"/>
    </w:p>
    <w:p w14:paraId="6798C485" w14:textId="4FF24BC8" w:rsidR="00474E60" w:rsidRPr="009118AB" w:rsidRDefault="00474E60" w:rsidP="00474E60">
      <w:pPr>
        <w:autoSpaceDE w:val="0"/>
        <w:autoSpaceDN w:val="0"/>
        <w:adjustRightInd w:val="0"/>
        <w:jc w:val="both"/>
        <w:rPr>
          <w:sz w:val="20"/>
          <w:szCs w:val="20"/>
        </w:rPr>
      </w:pPr>
    </w:p>
    <w:p w14:paraId="1D521C36" w14:textId="72111450" w:rsidR="00474E60" w:rsidRPr="009118AB" w:rsidRDefault="00474E60" w:rsidP="00474E60">
      <w:pPr>
        <w:autoSpaceDE w:val="0"/>
        <w:autoSpaceDN w:val="0"/>
        <w:adjustRightInd w:val="0"/>
        <w:jc w:val="both"/>
        <w:rPr>
          <w:sz w:val="20"/>
          <w:szCs w:val="20"/>
        </w:rPr>
      </w:pPr>
    </w:p>
    <w:p w14:paraId="1A3F9D5F" w14:textId="78B98DB3" w:rsidR="00474E60" w:rsidRPr="009118AB" w:rsidRDefault="00474E60" w:rsidP="00474E60">
      <w:pPr>
        <w:autoSpaceDE w:val="0"/>
        <w:autoSpaceDN w:val="0"/>
        <w:adjustRightInd w:val="0"/>
        <w:jc w:val="both"/>
        <w:rPr>
          <w:sz w:val="20"/>
          <w:szCs w:val="20"/>
        </w:rPr>
      </w:pPr>
      <w:r w:rsidRPr="009118AB">
        <w:rPr>
          <w:sz w:val="20"/>
          <w:szCs w:val="20"/>
        </w:rPr>
        <w:t xml:space="preserve">Ab dem 1. Januar 2030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10 des G. vom 25. November 2021 (B.S. vom 3. Dezember 2021)) lautet </w:t>
      </w:r>
      <w:r w:rsidR="00D67EB8" w:rsidRPr="009118AB">
        <w:rPr>
          <w:sz w:val="20"/>
          <w:szCs w:val="20"/>
        </w:rPr>
        <w:t>Art. </w:t>
      </w:r>
      <w:r w:rsidRPr="009118AB">
        <w:rPr>
          <w:sz w:val="20"/>
          <w:szCs w:val="20"/>
        </w:rPr>
        <w:t>223 wie folgt:</w:t>
      </w:r>
    </w:p>
    <w:p w14:paraId="15850461" w14:textId="77777777" w:rsidR="00474E60" w:rsidRPr="009118AB" w:rsidRDefault="00474E60" w:rsidP="00474E60">
      <w:pPr>
        <w:autoSpaceDE w:val="0"/>
        <w:autoSpaceDN w:val="0"/>
        <w:adjustRightInd w:val="0"/>
        <w:jc w:val="both"/>
        <w:rPr>
          <w:sz w:val="20"/>
          <w:szCs w:val="20"/>
        </w:rPr>
      </w:pPr>
    </w:p>
    <w:p w14:paraId="16C70C9C" w14:textId="31A6D32C" w:rsidR="00474E60" w:rsidRPr="009118AB" w:rsidRDefault="00474E60" w:rsidP="00474E60">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223</w:t>
      </w:r>
      <w:r w:rsidR="00D67EB8" w:rsidRPr="009118AB">
        <w:rPr>
          <w:sz w:val="20"/>
          <w:szCs w:val="20"/>
        </w:rPr>
        <w:t> - </w:t>
      </w:r>
      <w:r w:rsidRPr="009118AB">
        <w:rPr>
          <w:bCs/>
          <w:iCs/>
          <w:sz w:val="20"/>
          <w:szCs w:val="20"/>
        </w:rPr>
        <w:t xml:space="preserve">In Artikel 220 </w:t>
      </w:r>
      <w:r w:rsidR="00D67EB8" w:rsidRPr="009118AB">
        <w:rPr>
          <w:bCs/>
          <w:iCs/>
          <w:sz w:val="20"/>
          <w:szCs w:val="20"/>
        </w:rPr>
        <w:t>Nr. </w:t>
      </w:r>
      <w:r w:rsidRPr="009118AB">
        <w:rPr>
          <w:bCs/>
          <w:iCs/>
          <w:sz w:val="20"/>
          <w:szCs w:val="20"/>
        </w:rPr>
        <w:t>2 und 3 erwähnte juristische Personen sind ebenfalls steuerpflichtig aufgrund:</w:t>
      </w:r>
    </w:p>
    <w:p w14:paraId="6D3B7398" w14:textId="77777777" w:rsidR="00474E60" w:rsidRPr="009118AB" w:rsidRDefault="00474E60" w:rsidP="00474E60">
      <w:pPr>
        <w:autoSpaceDE w:val="0"/>
        <w:autoSpaceDN w:val="0"/>
        <w:adjustRightInd w:val="0"/>
        <w:jc w:val="both"/>
        <w:rPr>
          <w:bCs/>
          <w:iCs/>
          <w:sz w:val="20"/>
          <w:szCs w:val="20"/>
        </w:rPr>
      </w:pPr>
    </w:p>
    <w:p w14:paraId="1CCE6D88" w14:textId="0A8EDC22" w:rsidR="00474E60" w:rsidRPr="009118AB" w:rsidRDefault="00474E60" w:rsidP="00474E60">
      <w:pPr>
        <w:autoSpaceDE w:val="0"/>
        <w:autoSpaceDN w:val="0"/>
        <w:adjustRightInd w:val="0"/>
        <w:jc w:val="both"/>
        <w:rPr>
          <w:bCs/>
          <w:iCs/>
          <w:sz w:val="20"/>
          <w:szCs w:val="20"/>
        </w:rPr>
      </w:pPr>
      <w:r w:rsidRPr="009118AB">
        <w:rPr>
          <w:bCs/>
          <w:iCs/>
          <w:sz w:val="20"/>
          <w:szCs w:val="20"/>
        </w:rPr>
        <w:t xml:space="preserve">1. [der [in den Artikeln 57 Absatz 1 und] 195 </w:t>
      </w:r>
      <w:r w:rsidR="00D67EB8" w:rsidRPr="009118AB">
        <w:rPr>
          <w:bCs/>
          <w:iCs/>
          <w:sz w:val="20"/>
          <w:szCs w:val="20"/>
        </w:rPr>
        <w:t>§ </w:t>
      </w:r>
      <w:r w:rsidRPr="009118AB">
        <w:rPr>
          <w:bCs/>
          <w:iCs/>
          <w:sz w:val="20"/>
          <w:szCs w:val="20"/>
        </w:rPr>
        <w:t>1 Absatz 1 erwähnten Ausgaben</w:t>
      </w:r>
      <w:r w:rsidR="0085328F" w:rsidRPr="009118AB">
        <w:rPr>
          <w:bCs/>
          <w:iCs/>
          <w:sz w:val="20"/>
          <w:szCs w:val="20"/>
        </w:rPr>
        <w:t xml:space="preserve">[, der in den Artikeln 31 Absatz 2 </w:t>
      </w:r>
      <w:r w:rsidR="00D67EB8" w:rsidRPr="009118AB">
        <w:rPr>
          <w:bCs/>
          <w:iCs/>
          <w:sz w:val="20"/>
          <w:szCs w:val="20"/>
        </w:rPr>
        <w:t>Nr. </w:t>
      </w:r>
      <w:r w:rsidR="0085328F" w:rsidRPr="009118AB">
        <w:rPr>
          <w:bCs/>
          <w:iCs/>
          <w:sz w:val="20"/>
          <w:szCs w:val="20"/>
        </w:rPr>
        <w:t xml:space="preserve">2 und 32 Absatz 2 </w:t>
      </w:r>
      <w:r w:rsidR="00D67EB8" w:rsidRPr="009118AB">
        <w:rPr>
          <w:bCs/>
          <w:iCs/>
          <w:sz w:val="20"/>
          <w:szCs w:val="20"/>
        </w:rPr>
        <w:t>Nr. </w:t>
      </w:r>
      <w:r w:rsidR="0085328F" w:rsidRPr="009118AB">
        <w:rPr>
          <w:bCs/>
          <w:iCs/>
          <w:sz w:val="20"/>
          <w:szCs w:val="20"/>
        </w:rPr>
        <w:t xml:space="preserve">2 erwähnten Vorteile jeglicher Art und der in Artikel 17 </w:t>
      </w:r>
      <w:r w:rsidR="00D67EB8" w:rsidRPr="009118AB">
        <w:rPr>
          <w:bCs/>
          <w:iCs/>
          <w:sz w:val="20"/>
          <w:szCs w:val="20"/>
        </w:rPr>
        <w:t>§ </w:t>
      </w:r>
      <w:r w:rsidR="0085328F" w:rsidRPr="009118AB">
        <w:rPr>
          <w:bCs/>
          <w:iCs/>
          <w:sz w:val="20"/>
          <w:szCs w:val="20"/>
        </w:rPr>
        <w:t xml:space="preserve">1 </w:t>
      </w:r>
      <w:r w:rsidR="00D67EB8" w:rsidRPr="009118AB">
        <w:rPr>
          <w:bCs/>
          <w:iCs/>
          <w:sz w:val="20"/>
          <w:szCs w:val="20"/>
        </w:rPr>
        <w:t>Nr. </w:t>
      </w:r>
      <w:r w:rsidR="0085328F" w:rsidRPr="009118AB">
        <w:rPr>
          <w:bCs/>
          <w:iCs/>
          <w:sz w:val="20"/>
          <w:szCs w:val="20"/>
        </w:rPr>
        <w:t xml:space="preserve">3, was Urheberrechte und ähnliche Rechte betrifft, und </w:t>
      </w:r>
      <w:r w:rsidR="00D67EB8" w:rsidRPr="009118AB">
        <w:rPr>
          <w:bCs/>
          <w:iCs/>
          <w:sz w:val="20"/>
          <w:szCs w:val="20"/>
        </w:rPr>
        <w:t>Nr. </w:t>
      </w:r>
      <w:r w:rsidR="0085328F" w:rsidRPr="009118AB">
        <w:rPr>
          <w:bCs/>
          <w:iCs/>
          <w:sz w:val="20"/>
          <w:szCs w:val="20"/>
        </w:rPr>
        <w:t>5 erwähnten Einkünfte]</w:t>
      </w:r>
      <w:r w:rsidRPr="009118AB">
        <w:rPr>
          <w:bCs/>
          <w:iCs/>
          <w:sz w:val="20"/>
          <w:szCs w:val="20"/>
        </w:rPr>
        <w:t xml:space="preserve">], die nicht durch Individualkarten </w:t>
      </w:r>
      <w:r w:rsidR="00CA61DC" w:rsidRPr="009118AB">
        <w:rPr>
          <w:bCs/>
          <w:iCs/>
          <w:sz w:val="20"/>
          <w:szCs w:val="20"/>
        </w:rPr>
        <w:t>[...]</w:t>
      </w:r>
      <w:r w:rsidRPr="009118AB">
        <w:rPr>
          <w:bCs/>
          <w:iCs/>
          <w:sz w:val="20"/>
          <w:szCs w:val="20"/>
        </w:rPr>
        <w:t xml:space="preserve"> nachgewiesen werden,</w:t>
      </w:r>
    </w:p>
    <w:p w14:paraId="364CAFAE" w14:textId="77777777" w:rsidR="00474E60" w:rsidRPr="009118AB" w:rsidRDefault="00474E60" w:rsidP="00474E60">
      <w:pPr>
        <w:autoSpaceDE w:val="0"/>
        <w:autoSpaceDN w:val="0"/>
        <w:adjustRightInd w:val="0"/>
        <w:jc w:val="both"/>
        <w:rPr>
          <w:bCs/>
          <w:iCs/>
          <w:sz w:val="20"/>
          <w:szCs w:val="20"/>
        </w:rPr>
      </w:pPr>
    </w:p>
    <w:p w14:paraId="36FC85AC" w14:textId="2F386660" w:rsidR="00474E60" w:rsidRPr="009118AB" w:rsidRDefault="00474E60" w:rsidP="00474E60">
      <w:pPr>
        <w:autoSpaceDE w:val="0"/>
        <w:autoSpaceDN w:val="0"/>
        <w:adjustRightInd w:val="0"/>
        <w:jc w:val="both"/>
        <w:rPr>
          <w:bCs/>
          <w:iCs/>
          <w:sz w:val="20"/>
          <w:szCs w:val="20"/>
        </w:rPr>
      </w:pPr>
      <w:r w:rsidRPr="009118AB">
        <w:rPr>
          <w:bCs/>
          <w:iCs/>
          <w:sz w:val="20"/>
          <w:szCs w:val="20"/>
        </w:rPr>
        <w:t xml:space="preserve">2. [der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der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118AB">
        <w:rPr>
          <w:bCs/>
          <w:iCs/>
          <w:sz w:val="20"/>
          <w:szCs w:val="20"/>
        </w:rPr>
        <w:t>Nr. </w:t>
      </w:r>
      <w:r w:rsidRPr="009118AB">
        <w:rPr>
          <w:bCs/>
          <w:iCs/>
          <w:sz w:val="20"/>
          <w:szCs w:val="20"/>
        </w:rPr>
        <w:t>23 erwähnten Kapitalien,]</w:t>
      </w:r>
    </w:p>
    <w:p w14:paraId="10A0DAB3" w14:textId="77777777" w:rsidR="00474E60" w:rsidRPr="009118AB" w:rsidRDefault="00474E60" w:rsidP="00474E60">
      <w:pPr>
        <w:autoSpaceDE w:val="0"/>
        <w:autoSpaceDN w:val="0"/>
        <w:adjustRightInd w:val="0"/>
        <w:jc w:val="both"/>
        <w:rPr>
          <w:bCs/>
          <w:iCs/>
          <w:sz w:val="20"/>
          <w:szCs w:val="20"/>
        </w:rPr>
      </w:pPr>
    </w:p>
    <w:p w14:paraId="05F2B5E2" w14:textId="07C67114" w:rsidR="00474E60" w:rsidRPr="009118AB" w:rsidRDefault="00474E60" w:rsidP="00474E60">
      <w:pPr>
        <w:autoSpaceDE w:val="0"/>
        <w:autoSpaceDN w:val="0"/>
        <w:adjustRightInd w:val="0"/>
        <w:jc w:val="both"/>
        <w:rPr>
          <w:bCs/>
          <w:iCs/>
          <w:sz w:val="20"/>
          <w:szCs w:val="20"/>
        </w:rPr>
      </w:pPr>
      <w:r w:rsidRPr="009118AB">
        <w:rPr>
          <w:bCs/>
          <w:iCs/>
          <w:sz w:val="20"/>
          <w:szCs w:val="20"/>
        </w:rPr>
        <w:t xml:space="preserve">[3. [der in Artikel 53 </w:t>
      </w:r>
      <w:r w:rsidR="00D67EB8" w:rsidRPr="009118AB">
        <w:rPr>
          <w:bCs/>
          <w:iCs/>
          <w:sz w:val="20"/>
          <w:szCs w:val="20"/>
        </w:rPr>
        <w:t>Nr. </w:t>
      </w:r>
      <w:r w:rsidRPr="009118AB">
        <w:rPr>
          <w:bCs/>
          <w:iCs/>
          <w:sz w:val="20"/>
          <w:szCs w:val="20"/>
        </w:rPr>
        <w:t>24 erwähnten finanziellen Vorteile oder Vorteile jeglicher Art,]]</w:t>
      </w:r>
    </w:p>
    <w:p w14:paraId="4B386310" w14:textId="77777777" w:rsidR="00474E60" w:rsidRPr="009118AB" w:rsidRDefault="00474E60" w:rsidP="00474E60">
      <w:pPr>
        <w:autoSpaceDE w:val="0"/>
        <w:autoSpaceDN w:val="0"/>
        <w:adjustRightInd w:val="0"/>
        <w:jc w:val="both"/>
        <w:rPr>
          <w:bCs/>
          <w:iCs/>
          <w:sz w:val="20"/>
          <w:szCs w:val="20"/>
        </w:rPr>
      </w:pPr>
    </w:p>
    <w:p w14:paraId="4D3D2CFC" w14:textId="1626A0A8" w:rsidR="00474E60" w:rsidRPr="009118AB" w:rsidRDefault="00474E60" w:rsidP="00474E60">
      <w:pPr>
        <w:autoSpaceDE w:val="0"/>
        <w:autoSpaceDN w:val="0"/>
        <w:adjustRightInd w:val="0"/>
        <w:jc w:val="both"/>
        <w:rPr>
          <w:bCs/>
          <w:iCs/>
          <w:sz w:val="20"/>
          <w:szCs w:val="20"/>
        </w:rPr>
      </w:pPr>
      <w:r w:rsidRPr="009118AB">
        <w:rPr>
          <w:bCs/>
          <w:iCs/>
          <w:sz w:val="20"/>
          <w:szCs w:val="20"/>
        </w:rPr>
        <w:t>[4. [</w:t>
      </w:r>
      <w:r w:rsidRPr="009118AB">
        <w:rPr>
          <w:sz w:val="20"/>
          <w:szCs w:val="20"/>
        </w:rPr>
        <w:t xml:space="preserve">eines Betrags, der 17 Prozent des </w:t>
      </w:r>
      <w:r w:rsidR="0085328F"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85328F"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w:t>
      </w:r>
      <w:r w:rsidRPr="009118AB">
        <w:rPr>
          <w:bCs/>
          <w:iCs/>
          <w:sz w:val="20"/>
          <w:szCs w:val="20"/>
        </w:rPr>
        <w:t>]]</w:t>
      </w:r>
    </w:p>
    <w:p w14:paraId="3EF3A706" w14:textId="77777777" w:rsidR="00474E60" w:rsidRPr="009118AB" w:rsidRDefault="00474E60" w:rsidP="00474E60">
      <w:pPr>
        <w:autoSpaceDE w:val="0"/>
        <w:autoSpaceDN w:val="0"/>
        <w:adjustRightInd w:val="0"/>
        <w:jc w:val="both"/>
        <w:rPr>
          <w:bCs/>
          <w:iCs/>
          <w:sz w:val="20"/>
          <w:szCs w:val="20"/>
        </w:rPr>
      </w:pPr>
    </w:p>
    <w:p w14:paraId="245B651A" w14:textId="53BEFCF2" w:rsidR="00474E60" w:rsidRPr="009118AB" w:rsidRDefault="00474E60" w:rsidP="00474E60">
      <w:pPr>
        <w:autoSpaceDE w:val="0"/>
        <w:autoSpaceDN w:val="0"/>
        <w:adjustRightInd w:val="0"/>
        <w:jc w:val="both"/>
        <w:rPr>
          <w:bCs/>
          <w:iCs/>
          <w:sz w:val="20"/>
          <w:szCs w:val="20"/>
        </w:rPr>
      </w:pPr>
      <w:r w:rsidRPr="009118AB">
        <w:rPr>
          <w:bCs/>
          <w:iCs/>
          <w:sz w:val="20"/>
          <w:szCs w:val="20"/>
        </w:rPr>
        <w:t>[</w:t>
      </w:r>
      <w:r w:rsidR="0065143C" w:rsidRPr="009118AB">
        <w:rPr>
          <w:sz w:val="20"/>
          <w:szCs w:val="20"/>
        </w:rPr>
        <w:t>...</w:t>
      </w:r>
      <w:r w:rsidRPr="009118AB">
        <w:rPr>
          <w:bCs/>
          <w:iCs/>
          <w:sz w:val="20"/>
          <w:szCs w:val="20"/>
        </w:rPr>
        <w:t>]</w:t>
      </w:r>
    </w:p>
    <w:p w14:paraId="61425AB4" w14:textId="77777777" w:rsidR="00474E60" w:rsidRPr="009118AB" w:rsidRDefault="00474E60" w:rsidP="00474E60">
      <w:pPr>
        <w:autoSpaceDE w:val="0"/>
        <w:autoSpaceDN w:val="0"/>
        <w:adjustRightInd w:val="0"/>
        <w:jc w:val="both"/>
        <w:rPr>
          <w:bCs/>
          <w:iCs/>
          <w:sz w:val="20"/>
          <w:szCs w:val="20"/>
        </w:rPr>
      </w:pPr>
    </w:p>
    <w:p w14:paraId="499E9770" w14:textId="61E39263" w:rsidR="00474E60" w:rsidRPr="009118AB" w:rsidRDefault="00474E60" w:rsidP="00474E60">
      <w:pPr>
        <w:autoSpaceDE w:val="0"/>
        <w:autoSpaceDN w:val="0"/>
        <w:adjustRightInd w:val="0"/>
        <w:jc w:val="both"/>
        <w:rPr>
          <w:sz w:val="20"/>
          <w:szCs w:val="20"/>
        </w:rPr>
      </w:pPr>
      <w:r w:rsidRPr="009118AB">
        <w:rPr>
          <w:bCs/>
          <w:iCs/>
          <w:sz w:val="20"/>
          <w:szCs w:val="20"/>
        </w:rPr>
        <w:lastRenderedPageBreak/>
        <w:t>[</w:t>
      </w:r>
      <w:r w:rsidRPr="009118AB">
        <w:rPr>
          <w:sz w:val="20"/>
          <w:szCs w:val="20"/>
        </w:rPr>
        <w:t xml:space="preserve">5. [eines Betrags, der in Abweichung von </w:t>
      </w:r>
      <w:r w:rsidR="00D67EB8" w:rsidRPr="009118AB">
        <w:rPr>
          <w:sz w:val="20"/>
          <w:szCs w:val="20"/>
        </w:rPr>
        <w:t>Nr. </w:t>
      </w:r>
      <w:r w:rsidRPr="009118AB">
        <w:rPr>
          <w:sz w:val="20"/>
          <w:szCs w:val="20"/>
        </w:rPr>
        <w:t xml:space="preserve">4 40 Prozent des </w:t>
      </w:r>
      <w:r w:rsidR="0085328F"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85328F"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64247AAD" w14:textId="77777777" w:rsidR="00474E60" w:rsidRPr="009118AB" w:rsidRDefault="00474E60" w:rsidP="00474E60">
      <w:pPr>
        <w:autoSpaceDE w:val="0"/>
        <w:autoSpaceDN w:val="0"/>
        <w:adjustRightInd w:val="0"/>
        <w:jc w:val="both"/>
        <w:rPr>
          <w:sz w:val="20"/>
          <w:szCs w:val="20"/>
        </w:rPr>
      </w:pPr>
    </w:p>
    <w:p w14:paraId="66833AA1" w14:textId="35D15EEF" w:rsidR="00474E60" w:rsidRPr="009118AB" w:rsidRDefault="00474E60" w:rsidP="00474E60">
      <w:pPr>
        <w:autoSpaceDE w:val="0"/>
        <w:autoSpaceDN w:val="0"/>
        <w:adjustRightInd w:val="0"/>
        <w:jc w:val="both"/>
        <w:rPr>
          <w:sz w:val="20"/>
          <w:szCs w:val="20"/>
        </w:rPr>
      </w:pPr>
      <w:r w:rsidRPr="009118AB">
        <w:rPr>
          <w:sz w:val="20"/>
          <w:szCs w:val="20"/>
        </w:rPr>
        <w:t>[</w:t>
      </w:r>
      <w:r w:rsidR="0065143C" w:rsidRPr="009118AB">
        <w:rPr>
          <w:sz w:val="20"/>
          <w:szCs w:val="20"/>
        </w:rPr>
        <w:t>...</w:t>
      </w:r>
      <w:r w:rsidRPr="009118AB">
        <w:rPr>
          <w:sz w:val="20"/>
          <w:szCs w:val="20"/>
        </w:rPr>
        <w:t>]</w:t>
      </w:r>
    </w:p>
    <w:p w14:paraId="536D0F06" w14:textId="77777777" w:rsidR="00474E60" w:rsidRPr="009118AB" w:rsidRDefault="00474E60" w:rsidP="00474E60">
      <w:pPr>
        <w:autoSpaceDE w:val="0"/>
        <w:autoSpaceDN w:val="0"/>
        <w:adjustRightInd w:val="0"/>
        <w:jc w:val="both"/>
        <w:rPr>
          <w:sz w:val="20"/>
          <w:szCs w:val="20"/>
        </w:rPr>
      </w:pPr>
    </w:p>
    <w:p w14:paraId="19E63F89" w14:textId="77777777" w:rsidR="00474E60" w:rsidRPr="009118AB" w:rsidRDefault="00474E60" w:rsidP="00474E60">
      <w:pPr>
        <w:autoSpaceDE w:val="0"/>
        <w:autoSpaceDN w:val="0"/>
        <w:adjustRightInd w:val="0"/>
        <w:jc w:val="both"/>
        <w:rPr>
          <w:sz w:val="20"/>
          <w:szCs w:val="20"/>
        </w:rPr>
      </w:pPr>
      <w:r w:rsidRPr="009118AB">
        <w:rPr>
          <w:sz w:val="20"/>
          <w:szCs w:val="20"/>
        </w:rPr>
        <w:t>[6. der Kosten in Bezug auf die Nutzung der in Artikel 65 erwähnten Fahrzeuge, die ab dem 1. Januar 2026 gekauft, geleast oder gemietet werden, es sei denn, es handelt sich um ein Fahrzeug, das kein CO</w:t>
      </w:r>
      <w:r w:rsidRPr="009118AB">
        <w:rPr>
          <w:sz w:val="20"/>
          <w:szCs w:val="20"/>
          <w:vertAlign w:val="subscript"/>
        </w:rPr>
        <w:t>2</w:t>
      </w:r>
      <w:r w:rsidRPr="009118AB">
        <w:rPr>
          <w:sz w:val="20"/>
          <w:szCs w:val="20"/>
        </w:rPr>
        <w:t xml:space="preserve"> ausstößt,]</w:t>
      </w:r>
    </w:p>
    <w:p w14:paraId="312022E4" w14:textId="77777777" w:rsidR="00474E60" w:rsidRPr="009118AB" w:rsidRDefault="00474E60" w:rsidP="00474E60">
      <w:pPr>
        <w:autoSpaceDE w:val="0"/>
        <w:autoSpaceDN w:val="0"/>
        <w:adjustRightInd w:val="0"/>
        <w:jc w:val="both"/>
        <w:rPr>
          <w:sz w:val="20"/>
          <w:szCs w:val="20"/>
        </w:rPr>
      </w:pPr>
    </w:p>
    <w:p w14:paraId="38E7608B" w14:textId="2F43BD4B" w:rsidR="00474E60" w:rsidRPr="009118AB" w:rsidRDefault="00474E60" w:rsidP="00474E60">
      <w:pPr>
        <w:autoSpaceDE w:val="0"/>
        <w:autoSpaceDN w:val="0"/>
        <w:adjustRightInd w:val="0"/>
        <w:jc w:val="both"/>
        <w:rPr>
          <w:sz w:val="20"/>
          <w:szCs w:val="20"/>
        </w:rPr>
      </w:pPr>
      <w:r w:rsidRPr="009118AB">
        <w:rPr>
          <w:sz w:val="20"/>
          <w:szCs w:val="20"/>
        </w:rPr>
        <w:t>[7. [eines Betrags, der dem nachstehend erwähnten Prozentsatz der Kosten in Bezug auf die Nutzung der in Artikel 65 erwähnten Fahrzeuge, die kein CO</w:t>
      </w:r>
      <w:r w:rsidRPr="009118AB">
        <w:rPr>
          <w:sz w:val="20"/>
          <w:szCs w:val="20"/>
          <w:vertAlign w:val="subscript"/>
        </w:rPr>
        <w:t>2</w:t>
      </w:r>
      <w:r w:rsidRPr="009118AB">
        <w:rPr>
          <w:sz w:val="20"/>
          <w:szCs w:val="20"/>
        </w:rPr>
        <w:t xml:space="preserve"> ausstoßen, entspricht:</w:t>
      </w:r>
    </w:p>
    <w:p w14:paraId="1F6F7490" w14:textId="77777777" w:rsidR="00474E60" w:rsidRPr="009118AB" w:rsidRDefault="00474E60" w:rsidP="00474E60">
      <w:pPr>
        <w:autoSpaceDE w:val="0"/>
        <w:autoSpaceDN w:val="0"/>
        <w:adjustRightInd w:val="0"/>
        <w:jc w:val="both"/>
        <w:rPr>
          <w:sz w:val="20"/>
          <w:szCs w:val="20"/>
        </w:rPr>
      </w:pPr>
    </w:p>
    <w:p w14:paraId="11D77768" w14:textId="77777777" w:rsidR="00474E60" w:rsidRPr="009118AB" w:rsidRDefault="00474E60" w:rsidP="00474E60">
      <w:pPr>
        <w:autoSpaceDE w:val="0"/>
        <w:autoSpaceDN w:val="0"/>
        <w:adjustRightInd w:val="0"/>
        <w:jc w:val="both"/>
        <w:rPr>
          <w:sz w:val="20"/>
          <w:szCs w:val="20"/>
        </w:rPr>
      </w:pPr>
      <w:r w:rsidRPr="009118AB">
        <w:rPr>
          <w:sz w:val="20"/>
          <w:szCs w:val="20"/>
        </w:rPr>
        <w:t>- 5 Prozent, wenn es sich um ein 2027 gekauftes, geleastes oder gemietetes Fahrzeug handelt,</w:t>
      </w:r>
    </w:p>
    <w:p w14:paraId="120C8203" w14:textId="77777777" w:rsidR="00474E60" w:rsidRPr="009118AB" w:rsidRDefault="00474E60" w:rsidP="00474E60">
      <w:pPr>
        <w:autoSpaceDE w:val="0"/>
        <w:autoSpaceDN w:val="0"/>
        <w:adjustRightInd w:val="0"/>
        <w:jc w:val="both"/>
        <w:rPr>
          <w:sz w:val="20"/>
          <w:szCs w:val="20"/>
        </w:rPr>
      </w:pPr>
    </w:p>
    <w:p w14:paraId="04E46D88" w14:textId="77777777" w:rsidR="00474E60" w:rsidRPr="009118AB" w:rsidRDefault="00474E60" w:rsidP="00474E60">
      <w:pPr>
        <w:autoSpaceDE w:val="0"/>
        <w:autoSpaceDN w:val="0"/>
        <w:adjustRightInd w:val="0"/>
        <w:jc w:val="both"/>
        <w:rPr>
          <w:sz w:val="20"/>
          <w:szCs w:val="20"/>
        </w:rPr>
      </w:pPr>
      <w:r w:rsidRPr="009118AB">
        <w:rPr>
          <w:sz w:val="20"/>
          <w:szCs w:val="20"/>
        </w:rPr>
        <w:t>- 10 Prozent, wenn es sich um ein 2028 gekauftes, geleastes oder gemietetes Fahrzeug handelt,]]</w:t>
      </w:r>
    </w:p>
    <w:p w14:paraId="4A4AB5F9" w14:textId="77777777" w:rsidR="00474E60" w:rsidRPr="009118AB" w:rsidRDefault="00474E60" w:rsidP="00474E60">
      <w:pPr>
        <w:autoSpaceDE w:val="0"/>
        <w:autoSpaceDN w:val="0"/>
        <w:adjustRightInd w:val="0"/>
        <w:jc w:val="both"/>
        <w:rPr>
          <w:sz w:val="20"/>
          <w:szCs w:val="20"/>
        </w:rPr>
      </w:pPr>
    </w:p>
    <w:p w14:paraId="2F33FACF" w14:textId="0B0FC8A7" w:rsidR="00474E60" w:rsidRPr="009118AB" w:rsidRDefault="00474E60" w:rsidP="00474E60">
      <w:pPr>
        <w:autoSpaceDE w:val="0"/>
        <w:autoSpaceDN w:val="0"/>
        <w:adjustRightInd w:val="0"/>
        <w:jc w:val="both"/>
        <w:rPr>
          <w:sz w:val="20"/>
          <w:szCs w:val="20"/>
        </w:rPr>
      </w:pPr>
      <w:r w:rsidRPr="009118AB">
        <w:rPr>
          <w:sz w:val="20"/>
          <w:szCs w:val="20"/>
        </w:rPr>
        <w:t>[- 17,5 Prozent, wenn es sich um ein 2029 gekauftes, geleastes oder gemietetes Fahrzeug handelt,]</w:t>
      </w:r>
    </w:p>
    <w:p w14:paraId="77915E65" w14:textId="1EDF3D95" w:rsidR="00474E60" w:rsidRPr="009118AB" w:rsidRDefault="00474E60" w:rsidP="00474E60">
      <w:pPr>
        <w:autoSpaceDE w:val="0"/>
        <w:autoSpaceDN w:val="0"/>
        <w:adjustRightInd w:val="0"/>
        <w:jc w:val="both"/>
        <w:rPr>
          <w:sz w:val="20"/>
          <w:szCs w:val="20"/>
        </w:rPr>
      </w:pPr>
    </w:p>
    <w:p w14:paraId="754A3E63" w14:textId="54A36E6D" w:rsidR="00474E60" w:rsidRPr="009118AB" w:rsidRDefault="00474E60" w:rsidP="00474E60">
      <w:pPr>
        <w:autoSpaceDE w:val="0"/>
        <w:autoSpaceDN w:val="0"/>
        <w:adjustRightInd w:val="0"/>
        <w:jc w:val="both"/>
        <w:rPr>
          <w:sz w:val="20"/>
          <w:szCs w:val="20"/>
        </w:rPr>
      </w:pPr>
      <w:r w:rsidRPr="009118AB">
        <w:rPr>
          <w:sz w:val="20"/>
          <w:szCs w:val="20"/>
        </w:rPr>
        <w:t>[- 25 Prozent, wenn es sich um ein 2030 gekauftes, geleastes oder gemietetes Fahrzeug handelt</w:t>
      </w:r>
      <w:r w:rsidR="00261B2A" w:rsidRPr="009118AB">
        <w:rPr>
          <w:sz w:val="20"/>
          <w:szCs w:val="20"/>
        </w:rPr>
        <w:t>,</w:t>
      </w:r>
      <w:r w:rsidRPr="009118AB">
        <w:rPr>
          <w:sz w:val="20"/>
          <w:szCs w:val="20"/>
        </w:rPr>
        <w:t>]</w:t>
      </w:r>
    </w:p>
    <w:p w14:paraId="1CD026CA" w14:textId="786CC907" w:rsidR="00261B2A" w:rsidRPr="009118AB" w:rsidRDefault="00261B2A" w:rsidP="00474E60">
      <w:pPr>
        <w:autoSpaceDE w:val="0"/>
        <w:autoSpaceDN w:val="0"/>
        <w:adjustRightInd w:val="0"/>
        <w:jc w:val="both"/>
        <w:rPr>
          <w:sz w:val="20"/>
          <w:szCs w:val="20"/>
        </w:rPr>
      </w:pPr>
    </w:p>
    <w:p w14:paraId="26606AAC" w14:textId="3D34F28C" w:rsidR="003B3712" w:rsidRPr="009118AB" w:rsidRDefault="00261B2A" w:rsidP="003B3712">
      <w:pPr>
        <w:autoSpaceDE w:val="0"/>
        <w:autoSpaceDN w:val="0"/>
        <w:adjustRightInd w:val="0"/>
        <w:jc w:val="both"/>
        <w:rPr>
          <w:sz w:val="20"/>
          <w:szCs w:val="20"/>
        </w:rPr>
      </w:pPr>
      <w:r w:rsidRPr="009118AB">
        <w:rPr>
          <w:sz w:val="20"/>
          <w:szCs w:val="20"/>
        </w:rPr>
        <w:t>[</w:t>
      </w:r>
      <w:r w:rsidR="003B3712" w:rsidRPr="009118AB">
        <w:rPr>
          <w:sz w:val="20"/>
          <w:szCs w:val="20"/>
        </w:rPr>
        <w:t>8. der Provisionen, Maklergebühren, kommerziellen oder anderen Ermäßigungen, zufälligen oder nicht zufälligen Entgelte oder Honorare, Zuwendungen, Vergütungen oder Vorteile jeglicher Art</w:t>
      </w:r>
      <w:r w:rsidR="00D67EB8" w:rsidRPr="009118AB">
        <w:rPr>
          <w:sz w:val="20"/>
          <w:szCs w:val="20"/>
        </w:rPr>
        <w:t> - </w:t>
      </w:r>
      <w:r w:rsidR="003B3712" w:rsidRPr="009118AB">
        <w:rPr>
          <w:sz w:val="20"/>
          <w:szCs w:val="20"/>
        </w:rPr>
        <w:t>in dem Maße, wie sie sich auf mehr als 3 Prozent der gesamten Bruttoentlohnung des Sportlers belaufen, die während der Dauer des Arbeitsvertrags pro Jahr berechnet wird</w:t>
      </w:r>
      <w:r w:rsidR="00FD68E8" w:rsidRPr="009118AB">
        <w:rPr>
          <w:sz w:val="20"/>
          <w:szCs w:val="20"/>
        </w:rPr>
        <w:t> -,</w:t>
      </w:r>
      <w:r w:rsidR="003B3712" w:rsidRPr="009118AB">
        <w:rPr>
          <w:sz w:val="20"/>
          <w:szCs w:val="20"/>
        </w:rPr>
        <w:t xml:space="preserve"> die direkt oder indirekt im Rahmen eines Vertrags gezahlt werden, der Folgendes zum Ziel hat:</w:t>
      </w:r>
    </w:p>
    <w:p w14:paraId="5BE90B52" w14:textId="77777777" w:rsidR="003B3712" w:rsidRPr="009118AB" w:rsidRDefault="003B3712" w:rsidP="003B3712">
      <w:pPr>
        <w:autoSpaceDE w:val="0"/>
        <w:autoSpaceDN w:val="0"/>
        <w:adjustRightInd w:val="0"/>
        <w:jc w:val="both"/>
        <w:rPr>
          <w:sz w:val="20"/>
          <w:szCs w:val="20"/>
        </w:rPr>
      </w:pPr>
    </w:p>
    <w:p w14:paraId="16642388" w14:textId="0BD88A23" w:rsidR="003B3712" w:rsidRPr="009118AB" w:rsidRDefault="003B3712" w:rsidP="003B3712">
      <w:pPr>
        <w:autoSpaceDE w:val="0"/>
        <w:autoSpaceDN w:val="0"/>
        <w:adjustRightInd w:val="0"/>
        <w:jc w:val="both"/>
        <w:rPr>
          <w:sz w:val="20"/>
          <w:szCs w:val="20"/>
        </w:rPr>
      </w:pPr>
      <w:r w:rsidRPr="009118AB">
        <w:rPr>
          <w:i/>
          <w:iCs/>
          <w:sz w:val="20"/>
          <w:szCs w:val="20"/>
        </w:rPr>
        <w:t>a)</w:t>
      </w:r>
      <w:r w:rsidRPr="009118AB">
        <w:rPr>
          <w:sz w:val="20"/>
          <w:szCs w:val="20"/>
        </w:rPr>
        <w:t> entweder einen Sportler bei Verhandlungen im Hinblick auf den Abschluss, die Verlängerung, Erneuerung oder Beendigung eines Arbeitsvertrags bei einem Sportclub zu unterstützen</w:t>
      </w:r>
    </w:p>
    <w:p w14:paraId="1AB3CA9C" w14:textId="77777777" w:rsidR="003B3712" w:rsidRPr="009118AB" w:rsidRDefault="003B3712" w:rsidP="003B3712">
      <w:pPr>
        <w:autoSpaceDE w:val="0"/>
        <w:autoSpaceDN w:val="0"/>
        <w:adjustRightInd w:val="0"/>
        <w:jc w:val="both"/>
        <w:rPr>
          <w:sz w:val="20"/>
          <w:szCs w:val="20"/>
        </w:rPr>
      </w:pPr>
    </w:p>
    <w:p w14:paraId="7E7090F8" w14:textId="2C0831A6" w:rsidR="003B3712" w:rsidRPr="009118AB" w:rsidRDefault="003B3712" w:rsidP="003B3712">
      <w:pPr>
        <w:autoSpaceDE w:val="0"/>
        <w:autoSpaceDN w:val="0"/>
        <w:adjustRightInd w:val="0"/>
        <w:jc w:val="both"/>
        <w:rPr>
          <w:sz w:val="20"/>
          <w:szCs w:val="20"/>
        </w:rPr>
      </w:pPr>
      <w:r w:rsidRPr="009118AB">
        <w:rPr>
          <w:i/>
          <w:iCs/>
          <w:sz w:val="20"/>
          <w:szCs w:val="20"/>
        </w:rPr>
        <w:t>b)</w:t>
      </w:r>
      <w:r w:rsidRPr="009118AB">
        <w:rPr>
          <w:sz w:val="20"/>
          <w:szCs w:val="20"/>
        </w:rPr>
        <w:t xml:space="preserve"> oder einen in Artikel 270 </w:t>
      </w:r>
      <w:r w:rsidR="00D67EB8" w:rsidRPr="009118AB">
        <w:rPr>
          <w:sz w:val="20"/>
          <w:szCs w:val="20"/>
        </w:rPr>
        <w:t>Nr. </w:t>
      </w:r>
      <w:r w:rsidRPr="009118AB">
        <w:rPr>
          <w:sz w:val="20"/>
          <w:szCs w:val="20"/>
        </w:rPr>
        <w:t>1 oder 3 erwähnten Schuldner des Berufssteuer</w:t>
      </w:r>
      <w:r w:rsidRPr="009118AB">
        <w:rPr>
          <w:sz w:val="20"/>
          <w:szCs w:val="20"/>
        </w:rPr>
        <w:softHyphen/>
        <w:t>vorabzugs bei Verhandlungen im Hinblick auf den Abschluss, die Verlängerung, Erneuerung oder Beendigung eines Arbeitsvertrags mit einem Sportler zu unterstützen</w:t>
      </w:r>
    </w:p>
    <w:p w14:paraId="3F76732E" w14:textId="77777777" w:rsidR="003B3712" w:rsidRPr="009118AB" w:rsidRDefault="003B3712" w:rsidP="003B3712">
      <w:pPr>
        <w:autoSpaceDE w:val="0"/>
        <w:autoSpaceDN w:val="0"/>
        <w:adjustRightInd w:val="0"/>
        <w:jc w:val="both"/>
        <w:rPr>
          <w:sz w:val="20"/>
          <w:szCs w:val="20"/>
        </w:rPr>
      </w:pPr>
    </w:p>
    <w:p w14:paraId="006913D9" w14:textId="62CD83C0" w:rsidR="00261B2A" w:rsidRPr="009118AB" w:rsidRDefault="003B3712" w:rsidP="003B3712">
      <w:pPr>
        <w:autoSpaceDE w:val="0"/>
        <w:autoSpaceDN w:val="0"/>
        <w:adjustRightInd w:val="0"/>
        <w:jc w:val="both"/>
        <w:rPr>
          <w:sz w:val="20"/>
          <w:szCs w:val="20"/>
        </w:rPr>
      </w:pPr>
      <w:r w:rsidRPr="009118AB">
        <w:rPr>
          <w:i/>
          <w:iCs/>
          <w:sz w:val="20"/>
          <w:szCs w:val="20"/>
        </w:rPr>
        <w:t>c)</w:t>
      </w:r>
      <w:r w:rsidRPr="009118AB">
        <w:rPr>
          <w:sz w:val="20"/>
          <w:szCs w:val="20"/>
        </w:rPr>
        <w:t> oder eine Ausleihe oder einen definitiven Transfer im Hinblick auf die Ankunft oder den Weggang eines Sportlers zu regeln.</w:t>
      </w:r>
      <w:r w:rsidR="00750171" w:rsidRPr="009118AB">
        <w:rPr>
          <w:sz w:val="20"/>
          <w:szCs w:val="20"/>
        </w:rPr>
        <w:t>]</w:t>
      </w:r>
    </w:p>
    <w:p w14:paraId="78299982" w14:textId="77777777" w:rsidR="00474E60" w:rsidRPr="009118AB" w:rsidRDefault="00474E60" w:rsidP="00474E60">
      <w:pPr>
        <w:autoSpaceDE w:val="0"/>
        <w:autoSpaceDN w:val="0"/>
        <w:adjustRightInd w:val="0"/>
        <w:jc w:val="both"/>
        <w:rPr>
          <w:bCs/>
          <w:iCs/>
          <w:sz w:val="20"/>
          <w:szCs w:val="20"/>
        </w:rPr>
      </w:pPr>
    </w:p>
    <w:p w14:paraId="6EF306E9" w14:textId="77777777" w:rsidR="00474E60" w:rsidRPr="009118AB" w:rsidRDefault="00474E60" w:rsidP="00474E60">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7C5D0E0E" w14:textId="77777777" w:rsidR="00474E60" w:rsidRPr="009118AB" w:rsidRDefault="00474E60" w:rsidP="00474E60">
      <w:pPr>
        <w:autoSpaceDE w:val="0"/>
        <w:autoSpaceDN w:val="0"/>
        <w:adjustRightInd w:val="0"/>
        <w:jc w:val="both"/>
        <w:rPr>
          <w:bCs/>
          <w:iCs/>
          <w:sz w:val="20"/>
          <w:szCs w:val="20"/>
        </w:rPr>
      </w:pPr>
    </w:p>
    <w:p w14:paraId="18F12134" w14:textId="5C7B07B4" w:rsidR="00474E60" w:rsidRPr="009118AB" w:rsidRDefault="00474E60" w:rsidP="00474E60">
      <w:pPr>
        <w:autoSpaceDE w:val="0"/>
        <w:autoSpaceDN w:val="0"/>
        <w:adjustRightInd w:val="0"/>
        <w:jc w:val="both"/>
        <w:rPr>
          <w:sz w:val="20"/>
          <w:szCs w:val="20"/>
        </w:rPr>
      </w:pPr>
      <w:r w:rsidRPr="009118AB">
        <w:rPr>
          <w:bCs/>
          <w:iCs/>
          <w:sz w:val="20"/>
          <w:szCs w:val="20"/>
        </w:rPr>
        <w:t>[</w:t>
      </w: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Steuerpflichtige nachweist, dass </w:t>
      </w:r>
      <w:r w:rsidR="0085328F" w:rsidRPr="009118AB">
        <w:rPr>
          <w:sz w:val="20"/>
          <w:szCs w:val="20"/>
        </w:rPr>
        <w:t xml:space="preserve">[der Betrag der in Artikel 57 Absatz 1 erwähnten Ausgaben, der in den Artikeln 31 Absatz 2 </w:t>
      </w:r>
      <w:r w:rsidR="00D67EB8" w:rsidRPr="009118AB">
        <w:rPr>
          <w:sz w:val="20"/>
          <w:szCs w:val="20"/>
        </w:rPr>
        <w:t>Nr. </w:t>
      </w:r>
      <w:r w:rsidR="0085328F" w:rsidRPr="009118AB">
        <w:rPr>
          <w:sz w:val="20"/>
          <w:szCs w:val="20"/>
        </w:rPr>
        <w:t xml:space="preserve">2 und 32 Absatz 2 </w:t>
      </w:r>
      <w:r w:rsidR="00D67EB8" w:rsidRPr="009118AB">
        <w:rPr>
          <w:sz w:val="20"/>
          <w:szCs w:val="20"/>
        </w:rPr>
        <w:t>Nr. </w:t>
      </w:r>
      <w:r w:rsidR="0085328F" w:rsidRPr="009118AB">
        <w:rPr>
          <w:sz w:val="20"/>
          <w:szCs w:val="20"/>
        </w:rPr>
        <w:t xml:space="preserve">2 erwähnten Vorteile jeglicher Art oder der in Artikel 17 </w:t>
      </w:r>
      <w:r w:rsidR="00D67EB8" w:rsidRPr="009118AB">
        <w:rPr>
          <w:sz w:val="20"/>
          <w:szCs w:val="20"/>
        </w:rPr>
        <w:t>§ </w:t>
      </w:r>
      <w:r w:rsidR="0085328F" w:rsidRPr="009118AB">
        <w:rPr>
          <w:sz w:val="20"/>
          <w:szCs w:val="20"/>
        </w:rPr>
        <w:t xml:space="preserve">1 </w:t>
      </w:r>
      <w:r w:rsidR="00D67EB8" w:rsidRPr="009118AB">
        <w:rPr>
          <w:sz w:val="20"/>
          <w:szCs w:val="20"/>
        </w:rPr>
        <w:t>Nr. </w:t>
      </w:r>
      <w:r w:rsidR="0085328F" w:rsidRPr="009118AB">
        <w:rPr>
          <w:sz w:val="20"/>
          <w:szCs w:val="20"/>
        </w:rPr>
        <w:t xml:space="preserve">3, was Urheberrechte und ähnliche Rechte betrifft, und </w:t>
      </w:r>
      <w:r w:rsidR="00D67EB8" w:rsidRPr="009118AB">
        <w:rPr>
          <w:sz w:val="20"/>
          <w:szCs w:val="20"/>
        </w:rPr>
        <w:t>Nr. </w:t>
      </w:r>
      <w:r w:rsidR="0085328F" w:rsidRPr="009118AB">
        <w:rPr>
          <w:sz w:val="20"/>
          <w:szCs w:val="20"/>
        </w:rPr>
        <w:t>5 erwähnten Einkünfte]</w:t>
      </w:r>
      <w:r w:rsidRPr="009118AB">
        <w:rPr>
          <w:sz w:val="20"/>
          <w:szCs w:val="20"/>
        </w:rPr>
        <w:t xml:space="preserve"> [in einer vom Empfänger gemäß Artikel 305 eingereichten Erklärung oder in einer vom Empfänger im Ausland eingereichten gleichartigen Erklärung] enthalten ist.]</w:t>
      </w:r>
    </w:p>
    <w:p w14:paraId="759393F1" w14:textId="77777777" w:rsidR="00474E60" w:rsidRPr="009118AB" w:rsidRDefault="00474E60" w:rsidP="00474E60">
      <w:pPr>
        <w:autoSpaceDE w:val="0"/>
        <w:autoSpaceDN w:val="0"/>
        <w:adjustRightInd w:val="0"/>
        <w:jc w:val="both"/>
        <w:rPr>
          <w:sz w:val="20"/>
          <w:szCs w:val="20"/>
        </w:rPr>
      </w:pPr>
    </w:p>
    <w:p w14:paraId="399F6C67" w14:textId="6FAEA376" w:rsidR="00474E60" w:rsidRPr="009118AB" w:rsidRDefault="00474E60" w:rsidP="00474E60">
      <w:pPr>
        <w:autoSpaceDE w:val="0"/>
        <w:autoSpaceDN w:val="0"/>
        <w:adjustRightInd w:val="0"/>
        <w:jc w:val="both"/>
        <w:rPr>
          <w:sz w:val="20"/>
          <w:szCs w:val="20"/>
        </w:rPr>
      </w:pP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Empfänger spätestens zwei Jahre und sechs Monate ab dem 1. Januar des betreffenden Steuerjahres eindeutig identifiziert worden ist [oder wenn </w:t>
      </w:r>
      <w:r w:rsidR="0085328F" w:rsidRPr="009118AB">
        <w:rPr>
          <w:sz w:val="20"/>
          <w:szCs w:val="20"/>
        </w:rPr>
        <w:t xml:space="preserve">[der Betrag der in den Artikeln 31 Absatz 2 </w:t>
      </w:r>
      <w:r w:rsidR="00D67EB8" w:rsidRPr="009118AB">
        <w:rPr>
          <w:sz w:val="20"/>
          <w:szCs w:val="20"/>
        </w:rPr>
        <w:t>Nr. </w:t>
      </w:r>
      <w:r w:rsidR="0085328F" w:rsidRPr="009118AB">
        <w:rPr>
          <w:sz w:val="20"/>
          <w:szCs w:val="20"/>
        </w:rPr>
        <w:t xml:space="preserve">2 und 32 Absatz 2 </w:t>
      </w:r>
      <w:r w:rsidR="00D67EB8" w:rsidRPr="009118AB">
        <w:rPr>
          <w:sz w:val="20"/>
          <w:szCs w:val="20"/>
        </w:rPr>
        <w:t>Nr. </w:t>
      </w:r>
      <w:r w:rsidR="0085328F" w:rsidRPr="009118AB">
        <w:rPr>
          <w:sz w:val="20"/>
          <w:szCs w:val="20"/>
        </w:rPr>
        <w:t xml:space="preserve">2 erwähnten Vorteile jeglicher Art, der in Artikel 57 Absatz 1 erwähnten Ausgaben oder der in Artikel 17 </w:t>
      </w:r>
      <w:r w:rsidR="00D67EB8" w:rsidRPr="009118AB">
        <w:rPr>
          <w:sz w:val="20"/>
          <w:szCs w:val="20"/>
        </w:rPr>
        <w:t>§ </w:t>
      </w:r>
      <w:r w:rsidR="0085328F" w:rsidRPr="009118AB">
        <w:rPr>
          <w:sz w:val="20"/>
          <w:szCs w:val="20"/>
        </w:rPr>
        <w:t xml:space="preserve">1 </w:t>
      </w:r>
      <w:r w:rsidR="00D67EB8" w:rsidRPr="009118AB">
        <w:rPr>
          <w:sz w:val="20"/>
          <w:szCs w:val="20"/>
        </w:rPr>
        <w:t>Nr. </w:t>
      </w:r>
      <w:r w:rsidR="0085328F" w:rsidRPr="009118AB">
        <w:rPr>
          <w:sz w:val="20"/>
          <w:szCs w:val="20"/>
        </w:rPr>
        <w:t xml:space="preserve">3, was Urheberrechte und ähnliche Rechte betrifft, und </w:t>
      </w:r>
      <w:r w:rsidR="00D67EB8" w:rsidRPr="009118AB">
        <w:rPr>
          <w:sz w:val="20"/>
          <w:szCs w:val="20"/>
        </w:rPr>
        <w:t>Nr. </w:t>
      </w:r>
      <w:r w:rsidR="0085328F" w:rsidRPr="009118AB">
        <w:rPr>
          <w:sz w:val="20"/>
          <w:szCs w:val="20"/>
        </w:rPr>
        <w:t xml:space="preserve">5 erwähnten Einkünfte] </w:t>
      </w:r>
      <w:r w:rsidRPr="009118AB">
        <w:rPr>
          <w:sz w:val="20"/>
          <w:szCs w:val="20"/>
        </w:rPr>
        <w:t xml:space="preserve">in einer Veranlagung enthalten ist, die in den in den Artikeln 354 Absatz 1 und 2 und 358 erwähnten Fristen </w:t>
      </w:r>
      <w:r w:rsidR="00B818A6" w:rsidRPr="009118AB">
        <w:rPr>
          <w:sz w:val="20"/>
          <w:szCs w:val="20"/>
        </w:rPr>
        <w:t>[bei einem steuerpflichtigen Empfänger wie in Artikel 305 Absatz 1 erwähnt mit seinem Einverständnis]</w:t>
      </w:r>
      <w:r w:rsidRPr="009118AB">
        <w:rPr>
          <w:sz w:val="20"/>
          <w:szCs w:val="20"/>
        </w:rPr>
        <w:t xml:space="preserve"> festgelegt wird].]</w:t>
      </w:r>
    </w:p>
    <w:p w14:paraId="340E7BF8" w14:textId="77777777" w:rsidR="00474E60" w:rsidRPr="009118AB" w:rsidRDefault="00474E60" w:rsidP="00474E60">
      <w:pPr>
        <w:autoSpaceDE w:val="0"/>
        <w:autoSpaceDN w:val="0"/>
        <w:adjustRightInd w:val="0"/>
        <w:jc w:val="both"/>
        <w:rPr>
          <w:sz w:val="20"/>
          <w:szCs w:val="20"/>
        </w:rPr>
      </w:pPr>
    </w:p>
    <w:p w14:paraId="7D0B3E49" w14:textId="77777777" w:rsidR="00CA61DC" w:rsidRPr="009118AB" w:rsidRDefault="00CA61DC">
      <w:pPr>
        <w:rPr>
          <w:sz w:val="20"/>
          <w:szCs w:val="20"/>
        </w:rPr>
      </w:pPr>
      <w:r w:rsidRPr="009118AB">
        <w:rPr>
          <w:sz w:val="20"/>
          <w:szCs w:val="20"/>
        </w:rPr>
        <w:br w:type="page"/>
      </w:r>
    </w:p>
    <w:p w14:paraId="2AB696B0" w14:textId="259FC312" w:rsidR="00474E60" w:rsidRPr="009118AB" w:rsidRDefault="00474E60" w:rsidP="00474E60">
      <w:pPr>
        <w:autoSpaceDE w:val="0"/>
        <w:autoSpaceDN w:val="0"/>
        <w:adjustRightInd w:val="0"/>
        <w:jc w:val="both"/>
        <w:rPr>
          <w:sz w:val="20"/>
          <w:szCs w:val="20"/>
        </w:rPr>
      </w:pPr>
      <w:r w:rsidRPr="009118AB">
        <w:rPr>
          <w:sz w:val="20"/>
          <w:szCs w:val="20"/>
        </w:rPr>
        <w:lastRenderedPageBreak/>
        <w:t xml:space="preserve">[Wird ein in [Absatz 1 </w:t>
      </w:r>
      <w:r w:rsidR="00D67EB8" w:rsidRPr="009118AB">
        <w:rPr>
          <w:sz w:val="20"/>
          <w:szCs w:val="20"/>
        </w:rPr>
        <w:t>Nr. </w:t>
      </w:r>
      <w:r w:rsidRPr="009118AB">
        <w:rPr>
          <w:sz w:val="20"/>
          <w:szCs w:val="20"/>
        </w:rPr>
        <w:t xml:space="preserve">6 und 7] erwähntes Fahrzeug einem Dritten zur Nutzung zu persönlichen Zwecken zur Verfügung gestellt, umfassen die in </w:t>
      </w:r>
      <w:r w:rsidR="00FA58D0" w:rsidRPr="009118AB">
        <w:rPr>
          <w:sz w:val="20"/>
          <w:szCs w:val="20"/>
        </w:rPr>
        <w:t xml:space="preserve">[Absatz 1 </w:t>
      </w:r>
      <w:r w:rsidR="00D67EB8" w:rsidRPr="009118AB">
        <w:rPr>
          <w:sz w:val="20"/>
          <w:szCs w:val="20"/>
        </w:rPr>
        <w:t>Nr. </w:t>
      </w:r>
      <w:r w:rsidR="00FA58D0" w:rsidRPr="009118AB">
        <w:rPr>
          <w:sz w:val="20"/>
          <w:szCs w:val="20"/>
        </w:rPr>
        <w:t xml:space="preserve">6 und 7] </w:t>
      </w:r>
      <w:r w:rsidRPr="009118AB">
        <w:rPr>
          <w:sz w:val="20"/>
          <w:szCs w:val="20"/>
        </w:rPr>
        <w:t>erwähnten Kosten nicht den Betrag, der dem zu Lasten dieses Dritten besteuerten Vorteil jeglicher Art entspricht, und die Eigenbeteiligung dieses Dritten für die Nutzung zu persönlichen Zwecken dieses Fahrzeugs.]</w:t>
      </w:r>
    </w:p>
    <w:p w14:paraId="39BF9D41" w14:textId="77777777" w:rsidR="00474E60" w:rsidRPr="009118AB" w:rsidRDefault="00474E60" w:rsidP="00474E60">
      <w:pPr>
        <w:autoSpaceDE w:val="0"/>
        <w:autoSpaceDN w:val="0"/>
        <w:adjustRightInd w:val="0"/>
        <w:jc w:val="both"/>
        <w:rPr>
          <w:bCs/>
          <w:iCs/>
          <w:sz w:val="20"/>
          <w:szCs w:val="20"/>
        </w:rPr>
      </w:pPr>
    </w:p>
    <w:p w14:paraId="144532F5" w14:textId="484B9E35" w:rsidR="00474E60" w:rsidRPr="009118AB" w:rsidRDefault="00474E60" w:rsidP="00474E60">
      <w:pPr>
        <w:autoSpaceDE w:val="0"/>
        <w:autoSpaceDN w:val="0"/>
        <w:adjustRightInd w:val="0"/>
        <w:jc w:val="both"/>
        <w:rPr>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223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1 abgeändert durch </w:t>
      </w:r>
      <w:r w:rsidR="00D67EB8" w:rsidRPr="009118AB">
        <w:rPr>
          <w:bCs/>
          <w:i/>
          <w:iCs/>
          <w:sz w:val="20"/>
          <w:szCs w:val="20"/>
        </w:rPr>
        <w:t>Art. </w:t>
      </w:r>
      <w:r w:rsidRPr="009118AB">
        <w:rPr>
          <w:bCs/>
          <w:i/>
          <w:iCs/>
          <w:sz w:val="20"/>
          <w:szCs w:val="20"/>
        </w:rPr>
        <w:t>21 des G. (I) vom 27. Dezember 2006 (I)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71 Buchstabe</w:t>
      </w:r>
      <w:r w:rsidRPr="009118AB">
        <w:rPr>
          <w:rFonts w:hint="eastAsia"/>
          <w:bCs/>
          <w:i/>
          <w:iCs/>
          <w:sz w:val="20"/>
          <w:szCs w:val="20"/>
        </w:rPr>
        <w:t> </w:t>
      </w:r>
      <w:r w:rsidRPr="009118AB">
        <w:rPr>
          <w:bCs/>
          <w:i/>
          <w:iCs/>
          <w:sz w:val="20"/>
          <w:szCs w:val="20"/>
        </w:rPr>
        <w:t>a) des G. vom 27. Juni 2021 (B.S. vom 30. Juni 2021)</w:t>
      </w:r>
      <w:r w:rsidR="00CA61DC" w:rsidRPr="009118AB">
        <w:rPr>
          <w:bCs/>
          <w:i/>
          <w:iCs/>
          <w:sz w:val="20"/>
          <w:szCs w:val="20"/>
        </w:rPr>
        <w:t>,</w:t>
      </w:r>
      <w:r w:rsidR="0085328F" w:rsidRPr="009118AB">
        <w:rPr>
          <w:bCs/>
          <w:i/>
          <w:iCs/>
          <w:sz w:val="20"/>
          <w:szCs w:val="20"/>
        </w:rPr>
        <w:t xml:space="preserve"> </w:t>
      </w:r>
      <w:r w:rsidR="00D67EB8" w:rsidRPr="009118AB">
        <w:rPr>
          <w:bCs/>
          <w:i/>
          <w:iCs/>
          <w:sz w:val="20"/>
          <w:szCs w:val="20"/>
        </w:rPr>
        <w:t>Art. </w:t>
      </w:r>
      <w:r w:rsidR="0085328F" w:rsidRPr="009118AB">
        <w:rPr>
          <w:bCs/>
          <w:i/>
          <w:iCs/>
          <w:sz w:val="20"/>
          <w:szCs w:val="20"/>
        </w:rPr>
        <w:t xml:space="preserve">47 </w:t>
      </w:r>
      <w:r w:rsidR="00D67EB8" w:rsidRPr="009118AB">
        <w:rPr>
          <w:bCs/>
          <w:i/>
          <w:iCs/>
          <w:sz w:val="20"/>
          <w:szCs w:val="20"/>
        </w:rPr>
        <w:t>Nr. </w:t>
      </w:r>
      <w:r w:rsidR="0085328F" w:rsidRPr="009118AB">
        <w:rPr>
          <w:bCs/>
          <w:i/>
          <w:iCs/>
          <w:sz w:val="20"/>
          <w:szCs w:val="20"/>
        </w:rPr>
        <w:t>1 des G. vom 21. Januar 2022 (B.S. vom 28. Januar 2022)</w:t>
      </w:r>
      <w:r w:rsidR="00D67EB8" w:rsidRPr="009118AB">
        <w:rPr>
          <w:bCs/>
          <w:i/>
          <w:iCs/>
          <w:sz w:val="20"/>
          <w:szCs w:val="20"/>
        </w:rPr>
        <w:t> - </w:t>
      </w:r>
      <w:r w:rsidR="0085328F"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CA61DC" w:rsidRPr="009118AB">
        <w:rPr>
          <w:bCs/>
          <w:i/>
          <w:iCs/>
          <w:sz w:val="20"/>
          <w:szCs w:val="20"/>
        </w:rPr>
        <w:t xml:space="preserve"> und Art. 26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2 ersetzt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 xml:space="preserve">anwendbar auf die ab dem 1. Januar 2006 gezahlten </w:t>
      </w:r>
      <w:r w:rsidRPr="009118AB">
        <w:rPr>
          <w:rFonts w:ascii="Times New Roman Italique" w:hAnsi="Times New Roman Italique"/>
          <w:bCs/>
          <w:i/>
          <w:iCs/>
          <w:spacing w:val="-2"/>
          <w:sz w:val="20"/>
          <w:szCs w:val="20"/>
        </w:rPr>
        <w:t>Prämien und Beiträge</w:t>
      </w:r>
      <w:r w:rsidR="003366D9" w:rsidRPr="009118AB">
        <w:rPr>
          <w:rFonts w:ascii="Times New Roman Italique" w:hAnsi="Times New Roman Italique"/>
          <w:bCs/>
          <w:i/>
          <w:iCs/>
          <w:spacing w:val="-2"/>
          <w:sz w:val="20"/>
          <w:szCs w:val="20"/>
        </w:rPr>
        <w:t> -;</w:t>
      </w:r>
      <w:r w:rsidRPr="009118AB">
        <w:rPr>
          <w:rFonts w:ascii="Times New Roman Italique" w:hAnsi="Times New Roman Italique"/>
          <w:bCs/>
          <w:i/>
          <w:iCs/>
          <w:spacing w:val="-2"/>
          <w:sz w:val="20"/>
          <w:szCs w:val="20"/>
        </w:rPr>
        <w:t xml:space="preserve">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3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 xml:space="preserve">47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1 des G. vom 15. Dezember 2004 (B.S. vom 1. Februar 2005)</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Aktien- oder Anteilverleihe, die ab dem 14. April 1999 abgeschlossen werden</w:t>
      </w:r>
      <w:r w:rsidR="00FD68E8" w:rsidRPr="009118AB">
        <w:rPr>
          <w:rFonts w:ascii="Times New Roman Italique" w:hAnsi="Times New Roman Italique"/>
          <w:bCs/>
          <w:i/>
          <w:iCs/>
          <w:spacing w:val="-2"/>
          <w:sz w:val="20"/>
          <w:szCs w:val="20"/>
        </w:rPr>
        <w:t> </w:t>
      </w:r>
      <w:r w:rsidR="00FD68E8" w:rsidRPr="009118AB">
        <w:rPr>
          <w:rFonts w:ascii="Times New Roman Italique" w:hAnsi="Times New Roman Italique" w:hint="eastAsia"/>
          <w:bCs/>
          <w:i/>
          <w:iCs/>
          <w:spacing w:val="-2"/>
          <w:sz w:val="20"/>
          <w:szCs w:val="20"/>
        </w:rPr>
        <w:t>-,</w:t>
      </w:r>
      <w:r w:rsidRPr="009118AB">
        <w:rPr>
          <w:bCs/>
          <w:i/>
          <w:iCs/>
          <w:sz w:val="20"/>
          <w:szCs w:val="20"/>
        </w:rPr>
        <w:t xml:space="preserve"> aufgehoben durch </w:t>
      </w:r>
      <w:r w:rsidR="00D67EB8" w:rsidRPr="009118AB">
        <w:rPr>
          <w:bCs/>
          <w:i/>
          <w:iCs/>
          <w:sz w:val="20"/>
          <w:szCs w:val="20"/>
        </w:rPr>
        <w:t>Art. </w:t>
      </w:r>
      <w:r w:rsidRPr="009118AB">
        <w:rPr>
          <w:bCs/>
          <w:i/>
          <w:iCs/>
          <w:sz w:val="20"/>
          <w:szCs w:val="20"/>
        </w:rPr>
        <w:t xml:space="preserve">47 </w:t>
      </w:r>
      <w:r w:rsidR="00D67EB8" w:rsidRPr="009118AB">
        <w:rPr>
          <w:bCs/>
          <w:i/>
          <w:iCs/>
          <w:sz w:val="20"/>
          <w:szCs w:val="20"/>
        </w:rPr>
        <w:t>Nr. </w:t>
      </w:r>
      <w:r w:rsidRPr="009118AB">
        <w:rPr>
          <w:bCs/>
          <w:i/>
          <w:iCs/>
          <w:sz w:val="20"/>
          <w:szCs w:val="20"/>
        </w:rPr>
        <w:t>2 des G. vom 15. Dezember 2004 (B.S. vom 1. Februar 2005)</w:t>
      </w:r>
      <w:r w:rsidR="00D67EB8" w:rsidRPr="009118AB">
        <w:rPr>
          <w:bCs/>
          <w:i/>
          <w:iCs/>
          <w:sz w:val="20"/>
          <w:szCs w:val="20"/>
        </w:rPr>
        <w:t> - </w:t>
      </w:r>
      <w:r w:rsidRPr="009118AB">
        <w:rPr>
          <w:bCs/>
          <w:i/>
          <w:iCs/>
          <w:sz w:val="20"/>
          <w:szCs w:val="20"/>
        </w:rPr>
        <w:t>anwendbar auf Aktien-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 des G. vom 11. Mai 2007 (B.S. vom 8. Juni 2007)</w:t>
      </w:r>
      <w:r w:rsidR="00D67EB8" w:rsidRPr="009118AB">
        <w:rPr>
          <w:bCs/>
          <w:i/>
          <w:iCs/>
          <w:sz w:val="20"/>
          <w:szCs w:val="20"/>
        </w:rPr>
        <w:t> - </w:t>
      </w:r>
      <w:r w:rsidRPr="009118AB">
        <w:rPr>
          <w:bCs/>
          <w:i/>
          <w:iCs/>
          <w:sz w:val="20"/>
          <w:szCs w:val="20"/>
        </w:rPr>
        <w:t>in Kraft ab dem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eingefügt </w:t>
      </w:r>
      <w:r w:rsidRPr="009118AB">
        <w:rPr>
          <w:i/>
          <w:iCs/>
          <w:sz w:val="20"/>
          <w:szCs w:val="20"/>
        </w:rPr>
        <w:t xml:space="preserve">durch </w:t>
      </w:r>
      <w:r w:rsidR="00D67EB8" w:rsidRPr="009118AB">
        <w:rPr>
          <w:i/>
          <w:iCs/>
          <w:sz w:val="20"/>
          <w:szCs w:val="20"/>
        </w:rPr>
        <w:t>Art. </w:t>
      </w:r>
      <w:r w:rsidRPr="009118AB">
        <w:rPr>
          <w:i/>
          <w:iCs/>
          <w:sz w:val="20"/>
          <w:szCs w:val="20"/>
        </w:rPr>
        <w:t>47</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69 Buchstabe a)</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85328F" w:rsidRPr="009118AB">
        <w:rPr>
          <w:bCs/>
          <w:i/>
          <w:iCs/>
          <w:sz w:val="20"/>
          <w:szCs w:val="20"/>
        </w:rPr>
        <w:t xml:space="preserve">und abgeändert durch </w:t>
      </w:r>
      <w:r w:rsidR="00D67EB8" w:rsidRPr="009118AB">
        <w:rPr>
          <w:bCs/>
          <w:i/>
          <w:iCs/>
          <w:sz w:val="20"/>
          <w:szCs w:val="20"/>
        </w:rPr>
        <w:t>Art. </w:t>
      </w:r>
      <w:r w:rsidR="0085328F" w:rsidRPr="009118AB">
        <w:rPr>
          <w:bCs/>
          <w:i/>
          <w:iCs/>
          <w:sz w:val="20"/>
          <w:szCs w:val="20"/>
        </w:rPr>
        <w:t xml:space="preserve">47 </w:t>
      </w:r>
      <w:r w:rsidR="00D67EB8" w:rsidRPr="009118AB">
        <w:rPr>
          <w:bCs/>
          <w:i/>
          <w:iCs/>
          <w:sz w:val="20"/>
          <w:szCs w:val="20"/>
        </w:rPr>
        <w:t>Nr. </w:t>
      </w:r>
      <w:r w:rsidR="0085328F" w:rsidRPr="009118AB">
        <w:rPr>
          <w:bCs/>
          <w:i/>
          <w:iCs/>
          <w:sz w:val="20"/>
          <w:szCs w:val="20"/>
        </w:rPr>
        <w:t>2 des G. vom 21. Januar 2022 (B.S. vom 28. Januar 2022)</w:t>
      </w:r>
      <w:r w:rsidR="00D67EB8" w:rsidRPr="009118AB">
        <w:rPr>
          <w:bCs/>
          <w:i/>
          <w:iCs/>
          <w:sz w:val="20"/>
          <w:szCs w:val="20"/>
        </w:rPr>
        <w:t> - </w:t>
      </w:r>
      <w:r w:rsidR="0085328F" w:rsidRPr="009118AB">
        <w:rPr>
          <w:bCs/>
          <w:i/>
          <w:iCs/>
          <w:sz w:val="20"/>
          <w:szCs w:val="20"/>
        </w:rPr>
        <w:t>wirksam mit 1. Januar 2021</w:t>
      </w:r>
      <w:r w:rsidR="003366D9" w:rsidRPr="009118AB">
        <w:rPr>
          <w:bCs/>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65143C" w:rsidRPr="009118AB">
        <w:rPr>
          <w:i/>
          <w:iCs/>
          <w:spacing w:val="-2"/>
          <w:sz w:val="20"/>
          <w:szCs w:val="20"/>
        </w:rPr>
        <w:t>frühere Nummer</w:t>
      </w:r>
      <w:r w:rsidRPr="009118AB">
        <w:rPr>
          <w:i/>
          <w:iCs/>
          <w:sz w:val="20"/>
          <w:szCs w:val="20"/>
        </w:rPr>
        <w:t xml:space="preserve"> 4bis eingefügt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18 </w:t>
      </w:r>
      <w:r w:rsidR="00D67EB8" w:rsidRPr="009118AB">
        <w:rPr>
          <w:i/>
          <w:iCs/>
          <w:sz w:val="20"/>
          <w:szCs w:val="20"/>
        </w:rPr>
        <w:t>Nr. </w:t>
      </w:r>
      <w:r w:rsidRPr="009118AB">
        <w:rPr>
          <w:i/>
          <w:iCs/>
          <w:sz w:val="20"/>
          <w:szCs w:val="20"/>
        </w:rPr>
        <w:t>1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aufgehoben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wieder aufgenommen durch </w:t>
      </w:r>
      <w:r w:rsidR="00D67EB8" w:rsidRPr="009118AB">
        <w:rPr>
          <w:i/>
          <w:iCs/>
          <w:sz w:val="20"/>
          <w:szCs w:val="20"/>
        </w:rPr>
        <w:t>Art. </w:t>
      </w:r>
      <w:r w:rsidRPr="009118AB">
        <w:rPr>
          <w:i/>
          <w:iCs/>
          <w:sz w:val="20"/>
          <w:szCs w:val="20"/>
        </w:rPr>
        <w:t>69 Buchstabe b)</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85328F" w:rsidRPr="009118AB">
        <w:rPr>
          <w:bCs/>
          <w:i/>
          <w:iCs/>
          <w:sz w:val="20"/>
          <w:szCs w:val="20"/>
        </w:rPr>
        <w:t xml:space="preserve">und abgeändert durch </w:t>
      </w:r>
      <w:r w:rsidR="00D67EB8" w:rsidRPr="009118AB">
        <w:rPr>
          <w:bCs/>
          <w:i/>
          <w:iCs/>
          <w:sz w:val="20"/>
          <w:szCs w:val="20"/>
        </w:rPr>
        <w:t>Art. </w:t>
      </w:r>
      <w:r w:rsidR="0085328F" w:rsidRPr="009118AB">
        <w:rPr>
          <w:bCs/>
          <w:i/>
          <w:iCs/>
          <w:sz w:val="20"/>
          <w:szCs w:val="20"/>
        </w:rPr>
        <w:t xml:space="preserve">47 </w:t>
      </w:r>
      <w:r w:rsidR="00D67EB8" w:rsidRPr="009118AB">
        <w:rPr>
          <w:bCs/>
          <w:i/>
          <w:iCs/>
          <w:sz w:val="20"/>
          <w:szCs w:val="20"/>
        </w:rPr>
        <w:t>Nr. </w:t>
      </w:r>
      <w:r w:rsidR="0085328F" w:rsidRPr="009118AB">
        <w:rPr>
          <w:bCs/>
          <w:i/>
          <w:iCs/>
          <w:sz w:val="20"/>
          <w:szCs w:val="20"/>
        </w:rPr>
        <w:t>2 des G. vom 21. Januar 2022 (B.S. vom 28. Januar 2022)</w:t>
      </w:r>
      <w:r w:rsidR="00D67EB8" w:rsidRPr="009118AB">
        <w:rPr>
          <w:bCs/>
          <w:i/>
          <w:iCs/>
          <w:sz w:val="20"/>
          <w:szCs w:val="20"/>
        </w:rPr>
        <w:t> - </w:t>
      </w:r>
      <w:r w:rsidR="0085328F" w:rsidRPr="009118AB">
        <w:rPr>
          <w:bCs/>
          <w:i/>
          <w:iCs/>
          <w:sz w:val="20"/>
          <w:szCs w:val="20"/>
        </w:rPr>
        <w:t>wirksam mit 1. Januar 2021</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65143C" w:rsidRPr="009118AB">
        <w:rPr>
          <w:i/>
          <w:iCs/>
          <w:spacing w:val="-2"/>
          <w:sz w:val="20"/>
          <w:szCs w:val="20"/>
        </w:rPr>
        <w:t>frühere Nummer</w:t>
      </w:r>
      <w:r w:rsidRPr="009118AB">
        <w:rPr>
          <w:bCs/>
          <w:i/>
          <w:iCs/>
          <w:sz w:val="20"/>
          <w:szCs w:val="20"/>
        </w:rPr>
        <w:t xml:space="preserve"> 5bis eingefügt durch </w:t>
      </w:r>
      <w:r w:rsidR="00D67EB8" w:rsidRPr="009118AB">
        <w:rPr>
          <w:bCs/>
          <w:i/>
          <w:iCs/>
          <w:sz w:val="20"/>
          <w:szCs w:val="20"/>
        </w:rPr>
        <w:t>Art. </w:t>
      </w:r>
      <w:r w:rsidRPr="009118AB">
        <w:rPr>
          <w:bCs/>
          <w:i/>
          <w:iCs/>
          <w:sz w:val="20"/>
          <w:szCs w:val="20"/>
        </w:rPr>
        <w:t xml:space="preserve">31 </w:t>
      </w:r>
      <w:r w:rsidR="00D67EB8" w:rsidRPr="009118AB">
        <w:rPr>
          <w:bCs/>
          <w:i/>
          <w:iCs/>
          <w:sz w:val="20"/>
          <w:szCs w:val="20"/>
        </w:rPr>
        <w:t>Nr. </w:t>
      </w:r>
      <w:r w:rsidRPr="009118AB">
        <w:rPr>
          <w:bCs/>
          <w:i/>
          <w:iCs/>
          <w:sz w:val="20"/>
          <w:szCs w:val="20"/>
        </w:rPr>
        <w:t>2</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6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1</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7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2</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2027</w:t>
      </w:r>
      <w:r w:rsidR="00D67EB8" w:rsidRPr="009118AB">
        <w:rPr>
          <w:i/>
          <w:iCs/>
          <w:sz w:val="20"/>
          <w:szCs w:val="20"/>
        </w:rPr>
        <w:t> - </w:t>
      </w:r>
      <w:r w:rsidRPr="009118AB">
        <w:rPr>
          <w:i/>
          <w:iCs/>
          <w:sz w:val="20"/>
          <w:szCs w:val="20"/>
        </w:rPr>
        <w:t xml:space="preserve">und ersetzt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3 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7 einziger Absatz dritter Gedankenstrich eingefügt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4 des G. vom 25. November 2021 (B.S. vom 3. Dezember 2021)</w:t>
      </w:r>
      <w:r w:rsidR="00D67EB8" w:rsidRPr="009118AB">
        <w:rPr>
          <w:i/>
          <w:iCs/>
          <w:sz w:val="20"/>
          <w:szCs w:val="20"/>
        </w:rPr>
        <w:t> - </w:t>
      </w:r>
      <w:r w:rsidRPr="009118AB">
        <w:rPr>
          <w:i/>
          <w:iCs/>
          <w:sz w:val="20"/>
          <w:szCs w:val="20"/>
        </w:rPr>
        <w:t>in Kraft am 1. Januar 2029</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7 einziger Absatz vierter Gedankenstrich eingefügt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4 des G. vom 25. November 2021 (B.S. vom 3. Dezember 2021)</w:t>
      </w:r>
      <w:r w:rsidR="00D67EB8" w:rsidRPr="009118AB">
        <w:rPr>
          <w:i/>
          <w:iCs/>
          <w:sz w:val="20"/>
          <w:szCs w:val="20"/>
        </w:rPr>
        <w:t> - </w:t>
      </w:r>
      <w:r w:rsidRPr="009118AB">
        <w:rPr>
          <w:i/>
          <w:iCs/>
          <w:sz w:val="20"/>
          <w:szCs w:val="20"/>
        </w:rPr>
        <w:t>in Kraft am 1. Januar 2030</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3B3712" w:rsidRPr="009118AB">
        <w:rPr>
          <w:i/>
          <w:iCs/>
          <w:sz w:val="20"/>
          <w:szCs w:val="20"/>
        </w:rPr>
        <w:t xml:space="preserve">1 </w:t>
      </w:r>
      <w:r w:rsidR="00D67EB8" w:rsidRPr="009118AB">
        <w:rPr>
          <w:i/>
          <w:iCs/>
          <w:sz w:val="20"/>
          <w:szCs w:val="20"/>
        </w:rPr>
        <w:t>Nr. </w:t>
      </w:r>
      <w:r w:rsidR="003B3712" w:rsidRPr="009118AB">
        <w:rPr>
          <w:i/>
          <w:iCs/>
          <w:sz w:val="20"/>
          <w:szCs w:val="20"/>
        </w:rPr>
        <w:t xml:space="preserve">8 eingefügt durch </w:t>
      </w:r>
      <w:r w:rsidR="00D67EB8" w:rsidRPr="009118AB">
        <w:rPr>
          <w:i/>
          <w:iCs/>
          <w:sz w:val="20"/>
          <w:szCs w:val="20"/>
        </w:rPr>
        <w:t>Art. </w:t>
      </w:r>
      <w:r w:rsidR="003B3712" w:rsidRPr="009118AB">
        <w:rPr>
          <w:i/>
          <w:iCs/>
          <w:sz w:val="20"/>
          <w:szCs w:val="20"/>
        </w:rPr>
        <w:t>7 des G. vom 27. Dezember 2021 (B.S. vom 31. Dezember 2021)</w:t>
      </w:r>
      <w:r w:rsidR="00D67EB8" w:rsidRPr="009118AB">
        <w:rPr>
          <w:i/>
          <w:iCs/>
          <w:sz w:val="20"/>
          <w:szCs w:val="20"/>
        </w:rPr>
        <w:t> - </w:t>
      </w:r>
      <w:r w:rsidR="003B3712" w:rsidRPr="009118AB">
        <w:rPr>
          <w:i/>
          <w:iCs/>
          <w:sz w:val="20"/>
          <w:szCs w:val="20"/>
        </w:rPr>
        <w:t>anwendbar ab dem 1. Januar 2022</w:t>
      </w:r>
      <w:r w:rsidR="003366D9" w:rsidRPr="009118AB">
        <w:rPr>
          <w:i/>
          <w:iCs/>
          <w:sz w:val="20"/>
          <w:szCs w:val="20"/>
        </w:rPr>
        <w:t> -;</w:t>
      </w:r>
      <w:r w:rsidR="003B3712" w:rsidRPr="009118AB">
        <w:rPr>
          <w:i/>
          <w:iCs/>
          <w:sz w:val="20"/>
          <w:szCs w:val="20"/>
        </w:rPr>
        <w:t xml:space="preserve"> </w:t>
      </w:r>
      <w:r w:rsidR="00D67EB8" w:rsidRPr="009118AB">
        <w:rPr>
          <w:bCs/>
          <w:i/>
          <w:iCs/>
          <w:sz w:val="20"/>
          <w:szCs w:val="20"/>
        </w:rPr>
        <w:t>Abs. </w:t>
      </w:r>
      <w:r w:rsidRPr="009118AB">
        <w:rPr>
          <w:bCs/>
          <w:i/>
          <w:iCs/>
          <w:sz w:val="20"/>
          <w:szCs w:val="20"/>
        </w:rPr>
        <w:t>2 eingefügt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2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2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71 Buchstabe</w:t>
      </w:r>
      <w:r w:rsidRPr="009118AB">
        <w:rPr>
          <w:rFonts w:hint="eastAsia"/>
          <w:i/>
          <w:iCs/>
          <w:sz w:val="20"/>
          <w:szCs w:val="20"/>
        </w:rPr>
        <w:t> </w:t>
      </w:r>
      <w:r w:rsidRPr="009118AB">
        <w:rPr>
          <w:i/>
          <w:iCs/>
          <w:sz w:val="20"/>
          <w:szCs w:val="20"/>
        </w:rPr>
        <w:t>b)</w:t>
      </w:r>
      <w:r w:rsidRPr="009118AB">
        <w:rPr>
          <w:bCs/>
          <w:i/>
          <w:iCs/>
          <w:sz w:val="20"/>
          <w:szCs w:val="20"/>
        </w:rPr>
        <w:t xml:space="preserve"> des G. vom 27. Juni 2021 (B.S. vom 30. Juni 2021)</w:t>
      </w:r>
      <w:r w:rsidR="0085328F" w:rsidRPr="009118AB">
        <w:rPr>
          <w:bCs/>
          <w:i/>
          <w:iCs/>
          <w:sz w:val="20"/>
          <w:szCs w:val="20"/>
        </w:rPr>
        <w:t xml:space="preserve"> und </w:t>
      </w:r>
      <w:r w:rsidR="00D67EB8" w:rsidRPr="009118AB">
        <w:rPr>
          <w:bCs/>
          <w:i/>
          <w:iCs/>
          <w:sz w:val="20"/>
          <w:szCs w:val="20"/>
        </w:rPr>
        <w:t>Art. </w:t>
      </w:r>
      <w:r w:rsidR="0085328F" w:rsidRPr="009118AB">
        <w:rPr>
          <w:bCs/>
          <w:i/>
          <w:iCs/>
          <w:sz w:val="20"/>
          <w:szCs w:val="20"/>
        </w:rPr>
        <w:t xml:space="preserve">47 </w:t>
      </w:r>
      <w:r w:rsidR="00D67EB8" w:rsidRPr="009118AB">
        <w:rPr>
          <w:bCs/>
          <w:i/>
          <w:iCs/>
          <w:sz w:val="20"/>
          <w:szCs w:val="20"/>
        </w:rPr>
        <w:t>Nr. </w:t>
      </w:r>
      <w:r w:rsidR="0085328F" w:rsidRPr="009118AB">
        <w:rPr>
          <w:bCs/>
          <w:i/>
          <w:iCs/>
          <w:sz w:val="20"/>
          <w:szCs w:val="20"/>
        </w:rPr>
        <w:t>3 des G. vom 21. Januar 2022 (B.S. vom 28. Januar 2022)</w:t>
      </w:r>
      <w:r w:rsidR="00D67EB8" w:rsidRPr="009118AB">
        <w:rPr>
          <w:bCs/>
          <w:i/>
          <w:iCs/>
          <w:sz w:val="20"/>
          <w:szCs w:val="20"/>
        </w:rPr>
        <w:t> - </w:t>
      </w:r>
      <w:r w:rsidR="0085328F"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Pr="009118AB">
        <w:rPr>
          <w:i/>
          <w:iCs/>
          <w:sz w:val="20"/>
          <w:szCs w:val="20"/>
        </w:rPr>
        <w:t xml:space="preserve"> </w:t>
      </w:r>
      <w:r w:rsidR="00D67EB8" w:rsidRPr="009118AB">
        <w:rPr>
          <w:bCs/>
          <w:i/>
          <w:iCs/>
          <w:sz w:val="20"/>
          <w:szCs w:val="20"/>
        </w:rPr>
        <w:t>Abs. </w:t>
      </w:r>
      <w:r w:rsidRPr="009118AB">
        <w:rPr>
          <w:bCs/>
          <w:i/>
          <w:iCs/>
          <w:sz w:val="20"/>
          <w:szCs w:val="20"/>
        </w:rPr>
        <w:t xml:space="preserve">4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3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71 Buchstabe c)</w:t>
      </w:r>
      <w:r w:rsidRPr="009118AB">
        <w:rPr>
          <w:bCs/>
          <w:i/>
          <w:iCs/>
          <w:sz w:val="20"/>
          <w:szCs w:val="20"/>
        </w:rPr>
        <w:t xml:space="preserve"> des G. vom 27. Juni 2021 (B.S. vom 30. Juni 2021)</w:t>
      </w:r>
      <w:r w:rsidR="00B818A6" w:rsidRPr="009118AB">
        <w:rPr>
          <w:bCs/>
          <w:i/>
          <w:iCs/>
          <w:sz w:val="20"/>
          <w:szCs w:val="20"/>
        </w:rPr>
        <w:t>,</w:t>
      </w:r>
      <w:r w:rsidR="00C13D48" w:rsidRPr="009118AB">
        <w:rPr>
          <w:bCs/>
          <w:i/>
          <w:iCs/>
          <w:sz w:val="20"/>
          <w:szCs w:val="20"/>
        </w:rPr>
        <w:t xml:space="preserve"> </w:t>
      </w:r>
      <w:r w:rsidR="00D67EB8" w:rsidRPr="009118AB">
        <w:rPr>
          <w:bCs/>
          <w:i/>
          <w:iCs/>
          <w:sz w:val="20"/>
          <w:szCs w:val="20"/>
        </w:rPr>
        <w:t>Art. </w:t>
      </w:r>
      <w:r w:rsidR="00C13D48" w:rsidRPr="009118AB">
        <w:rPr>
          <w:bCs/>
          <w:i/>
          <w:iCs/>
          <w:sz w:val="20"/>
          <w:szCs w:val="20"/>
        </w:rPr>
        <w:t xml:space="preserve">47 </w:t>
      </w:r>
      <w:r w:rsidR="00D67EB8" w:rsidRPr="009118AB">
        <w:rPr>
          <w:bCs/>
          <w:i/>
          <w:iCs/>
          <w:sz w:val="20"/>
          <w:szCs w:val="20"/>
        </w:rPr>
        <w:t>Nr. </w:t>
      </w:r>
      <w:r w:rsidR="00C13D48" w:rsidRPr="009118AB">
        <w:rPr>
          <w:bCs/>
          <w:i/>
          <w:iCs/>
          <w:sz w:val="20"/>
          <w:szCs w:val="20"/>
        </w:rPr>
        <w:t>4 des G. vom 21. Januar 2022 (B.S. vom 28. Januar 2022)</w:t>
      </w:r>
      <w:r w:rsidR="0027187F" w:rsidRPr="009118AB">
        <w:rPr>
          <w:bCs/>
          <w:i/>
          <w:iCs/>
          <w:sz w:val="20"/>
          <w:szCs w:val="20"/>
        </w:rPr>
        <w:t xml:space="preserve"> und Art.</w:t>
      </w:r>
      <w:r w:rsidR="00603505" w:rsidRPr="009118AB">
        <w:rPr>
          <w:bCs/>
          <w:i/>
          <w:iCs/>
          <w:sz w:val="20"/>
          <w:szCs w:val="20"/>
        </w:rPr>
        <w:t> </w:t>
      </w:r>
      <w:r w:rsidR="0027187F" w:rsidRPr="009118AB">
        <w:rPr>
          <w:bCs/>
          <w:i/>
          <w:iCs/>
          <w:sz w:val="20"/>
          <w:szCs w:val="20"/>
        </w:rPr>
        <w:t>30 des G. vom 5. Juli</w:t>
      </w:r>
      <w:r w:rsidR="00603505" w:rsidRPr="009118AB">
        <w:rPr>
          <w:bCs/>
          <w:i/>
          <w:iCs/>
          <w:sz w:val="20"/>
          <w:szCs w:val="20"/>
        </w:rPr>
        <w:t> </w:t>
      </w:r>
      <w:r w:rsidR="0027187F" w:rsidRPr="009118AB">
        <w:rPr>
          <w:bCs/>
          <w:i/>
          <w:iCs/>
          <w:sz w:val="20"/>
          <w:szCs w:val="20"/>
        </w:rPr>
        <w:t>2022 (B.S. vom 15.</w:t>
      </w:r>
      <w:r w:rsidR="00603505" w:rsidRPr="009118AB">
        <w:rPr>
          <w:bCs/>
          <w:i/>
          <w:iCs/>
          <w:sz w:val="20"/>
          <w:szCs w:val="20"/>
        </w:rPr>
        <w:t> </w:t>
      </w:r>
      <w:r w:rsidR="0027187F" w:rsidRPr="009118AB">
        <w:rPr>
          <w:bCs/>
          <w:i/>
          <w:iCs/>
          <w:sz w:val="20"/>
          <w:szCs w:val="20"/>
        </w:rPr>
        <w:t>Juli</w:t>
      </w:r>
      <w:r w:rsidR="00603505" w:rsidRPr="009118AB">
        <w:rPr>
          <w:bCs/>
          <w:i/>
          <w:iCs/>
          <w:sz w:val="20"/>
          <w:szCs w:val="20"/>
        </w:rPr>
        <w:t> </w:t>
      </w:r>
      <w:r w:rsidR="0027187F" w:rsidRPr="009118AB">
        <w:rPr>
          <w:bCs/>
          <w:i/>
          <w:iCs/>
          <w:sz w:val="20"/>
          <w:szCs w:val="20"/>
        </w:rPr>
        <w:t>2022)</w:t>
      </w:r>
      <w:r w:rsidRPr="009118AB">
        <w:rPr>
          <w:bCs/>
          <w:i/>
          <w:iCs/>
          <w:sz w:val="20"/>
          <w:szCs w:val="20"/>
        </w:rPr>
        <w:t xml:space="preserve">; </w:t>
      </w:r>
      <w:r w:rsidR="00D67EB8" w:rsidRPr="009118AB">
        <w:rPr>
          <w:bCs/>
          <w:i/>
          <w:iCs/>
          <w:sz w:val="20"/>
          <w:szCs w:val="20"/>
        </w:rPr>
        <w:t>Abs. </w:t>
      </w:r>
      <w:r w:rsidRPr="009118AB">
        <w:rPr>
          <w:bCs/>
          <w:i/>
          <w:iCs/>
          <w:sz w:val="20"/>
          <w:szCs w:val="20"/>
        </w:rPr>
        <w:t xml:space="preserve">5 eingefügt durch </w:t>
      </w:r>
      <w:r w:rsidR="00D67EB8" w:rsidRPr="009118AB">
        <w:rPr>
          <w:bCs/>
          <w:i/>
          <w:iCs/>
          <w:sz w:val="20"/>
          <w:szCs w:val="20"/>
        </w:rPr>
        <w:t>Art. </w:t>
      </w:r>
      <w:r w:rsidRPr="009118AB">
        <w:rPr>
          <w:bCs/>
          <w:i/>
          <w:iCs/>
          <w:sz w:val="20"/>
          <w:szCs w:val="20"/>
        </w:rPr>
        <w:t xml:space="preserve">6 </w:t>
      </w:r>
      <w:r w:rsidR="00D67EB8" w:rsidRPr="009118AB">
        <w:rPr>
          <w:bCs/>
          <w:i/>
          <w:iCs/>
          <w:sz w:val="20"/>
          <w:szCs w:val="20"/>
        </w:rPr>
        <w:t>Nr. </w:t>
      </w:r>
      <w:r w:rsidRPr="009118AB">
        <w:rPr>
          <w:bCs/>
          <w:i/>
          <w:iCs/>
          <w:sz w:val="20"/>
          <w:szCs w:val="20"/>
        </w:rPr>
        <w:t>7</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8 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sz w:val="20"/>
          <w:szCs w:val="20"/>
        </w:rPr>
        <w:t>"</w:t>
      </w:r>
    </w:p>
    <w:p w14:paraId="29DD0094" w14:textId="501572DF" w:rsidR="00474E60" w:rsidRPr="009118AB" w:rsidRDefault="00474E60" w:rsidP="00474E60">
      <w:pPr>
        <w:autoSpaceDE w:val="0"/>
        <w:autoSpaceDN w:val="0"/>
        <w:adjustRightInd w:val="0"/>
        <w:jc w:val="both"/>
        <w:rPr>
          <w:sz w:val="20"/>
          <w:szCs w:val="20"/>
        </w:rPr>
      </w:pPr>
    </w:p>
    <w:p w14:paraId="61E4AA94" w14:textId="77777777" w:rsidR="00474E60" w:rsidRPr="009118AB" w:rsidRDefault="00474E60" w:rsidP="00474E60">
      <w:pPr>
        <w:autoSpaceDE w:val="0"/>
        <w:autoSpaceDN w:val="0"/>
        <w:adjustRightInd w:val="0"/>
        <w:jc w:val="both"/>
        <w:rPr>
          <w:sz w:val="20"/>
          <w:szCs w:val="20"/>
        </w:rPr>
      </w:pPr>
    </w:p>
    <w:p w14:paraId="41129EF1" w14:textId="14E1D912" w:rsidR="00474E60" w:rsidRPr="009118AB" w:rsidRDefault="00474E60" w:rsidP="00474E60">
      <w:pPr>
        <w:autoSpaceDE w:val="0"/>
        <w:autoSpaceDN w:val="0"/>
        <w:adjustRightInd w:val="0"/>
        <w:jc w:val="both"/>
        <w:rPr>
          <w:sz w:val="20"/>
          <w:szCs w:val="20"/>
        </w:rPr>
      </w:pPr>
      <w:r w:rsidRPr="009118AB">
        <w:rPr>
          <w:sz w:val="20"/>
          <w:szCs w:val="20"/>
        </w:rPr>
        <w:t xml:space="preserve">Ab dem 1. Januar 2031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11 des G. vom 25. November 2021 (B.S. vom 3. Dezember 2021)) lautet </w:t>
      </w:r>
      <w:r w:rsidR="00D67EB8" w:rsidRPr="009118AB">
        <w:rPr>
          <w:sz w:val="20"/>
          <w:szCs w:val="20"/>
        </w:rPr>
        <w:t>Art. </w:t>
      </w:r>
      <w:r w:rsidRPr="009118AB">
        <w:rPr>
          <w:sz w:val="20"/>
          <w:szCs w:val="20"/>
        </w:rPr>
        <w:t>223 wie folgt:</w:t>
      </w:r>
    </w:p>
    <w:p w14:paraId="0268621D" w14:textId="77777777" w:rsidR="00474E60" w:rsidRPr="009118AB" w:rsidRDefault="00474E60" w:rsidP="00474E60">
      <w:pPr>
        <w:autoSpaceDE w:val="0"/>
        <w:autoSpaceDN w:val="0"/>
        <w:adjustRightInd w:val="0"/>
        <w:jc w:val="both"/>
        <w:rPr>
          <w:sz w:val="20"/>
          <w:szCs w:val="20"/>
        </w:rPr>
      </w:pPr>
    </w:p>
    <w:p w14:paraId="22863DFC" w14:textId="3C358018" w:rsidR="00474E60" w:rsidRPr="009118AB" w:rsidRDefault="00474E60" w:rsidP="00474E60">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223</w:t>
      </w:r>
      <w:r w:rsidR="00D67EB8" w:rsidRPr="009118AB">
        <w:rPr>
          <w:sz w:val="20"/>
          <w:szCs w:val="20"/>
        </w:rPr>
        <w:t> - </w:t>
      </w:r>
      <w:r w:rsidRPr="009118AB">
        <w:rPr>
          <w:bCs/>
          <w:iCs/>
          <w:sz w:val="20"/>
          <w:szCs w:val="20"/>
        </w:rPr>
        <w:t xml:space="preserve">In Artikel 220 </w:t>
      </w:r>
      <w:r w:rsidR="00D67EB8" w:rsidRPr="009118AB">
        <w:rPr>
          <w:bCs/>
          <w:iCs/>
          <w:sz w:val="20"/>
          <w:szCs w:val="20"/>
        </w:rPr>
        <w:t>Nr. </w:t>
      </w:r>
      <w:r w:rsidRPr="009118AB">
        <w:rPr>
          <w:bCs/>
          <w:iCs/>
          <w:sz w:val="20"/>
          <w:szCs w:val="20"/>
        </w:rPr>
        <w:t>2 und 3 erwähnte juristische Personen sind ebenfalls steuerpflichtig aufgrund:</w:t>
      </w:r>
    </w:p>
    <w:p w14:paraId="13049F80" w14:textId="77777777" w:rsidR="00474E60" w:rsidRPr="009118AB" w:rsidRDefault="00474E60" w:rsidP="00474E60">
      <w:pPr>
        <w:autoSpaceDE w:val="0"/>
        <w:autoSpaceDN w:val="0"/>
        <w:adjustRightInd w:val="0"/>
        <w:jc w:val="both"/>
        <w:rPr>
          <w:bCs/>
          <w:iCs/>
          <w:sz w:val="20"/>
          <w:szCs w:val="20"/>
        </w:rPr>
      </w:pPr>
    </w:p>
    <w:p w14:paraId="3367B8C2" w14:textId="0006B63A" w:rsidR="00474E60" w:rsidRPr="009118AB" w:rsidRDefault="00474E60" w:rsidP="00474E60">
      <w:pPr>
        <w:autoSpaceDE w:val="0"/>
        <w:autoSpaceDN w:val="0"/>
        <w:adjustRightInd w:val="0"/>
        <w:jc w:val="both"/>
        <w:rPr>
          <w:bCs/>
          <w:iCs/>
          <w:sz w:val="20"/>
          <w:szCs w:val="20"/>
        </w:rPr>
      </w:pPr>
      <w:r w:rsidRPr="009118AB">
        <w:rPr>
          <w:bCs/>
          <w:iCs/>
          <w:sz w:val="20"/>
          <w:szCs w:val="20"/>
        </w:rPr>
        <w:t xml:space="preserve">1. [der [in den Artikeln 57 Absatz 1 und] 195 </w:t>
      </w:r>
      <w:r w:rsidR="00D67EB8" w:rsidRPr="009118AB">
        <w:rPr>
          <w:bCs/>
          <w:iCs/>
          <w:sz w:val="20"/>
          <w:szCs w:val="20"/>
        </w:rPr>
        <w:t>§ </w:t>
      </w:r>
      <w:r w:rsidRPr="009118AB">
        <w:rPr>
          <w:bCs/>
          <w:iCs/>
          <w:sz w:val="20"/>
          <w:szCs w:val="20"/>
        </w:rPr>
        <w:t>1 Absatz 1 erwähnten Ausgaben</w:t>
      </w:r>
      <w:r w:rsidR="00C13D48" w:rsidRPr="009118AB">
        <w:rPr>
          <w:bCs/>
          <w:iCs/>
          <w:sz w:val="20"/>
          <w:szCs w:val="20"/>
        </w:rPr>
        <w:t xml:space="preserve">[, der in den Artikeln 31 Absatz 2 </w:t>
      </w:r>
      <w:r w:rsidR="00D67EB8" w:rsidRPr="009118AB">
        <w:rPr>
          <w:bCs/>
          <w:iCs/>
          <w:sz w:val="20"/>
          <w:szCs w:val="20"/>
        </w:rPr>
        <w:t>Nr. </w:t>
      </w:r>
      <w:r w:rsidR="00C13D48" w:rsidRPr="009118AB">
        <w:rPr>
          <w:bCs/>
          <w:iCs/>
          <w:sz w:val="20"/>
          <w:szCs w:val="20"/>
        </w:rPr>
        <w:t xml:space="preserve">2 und 32 Absatz 2 </w:t>
      </w:r>
      <w:r w:rsidR="00D67EB8" w:rsidRPr="009118AB">
        <w:rPr>
          <w:bCs/>
          <w:iCs/>
          <w:sz w:val="20"/>
          <w:szCs w:val="20"/>
        </w:rPr>
        <w:t>Nr. </w:t>
      </w:r>
      <w:r w:rsidR="00C13D48" w:rsidRPr="009118AB">
        <w:rPr>
          <w:bCs/>
          <w:iCs/>
          <w:sz w:val="20"/>
          <w:szCs w:val="20"/>
        </w:rPr>
        <w:t xml:space="preserve">2 erwähnten Vorteile jeglicher Art und der in Artikel 17 </w:t>
      </w:r>
      <w:r w:rsidR="00D67EB8" w:rsidRPr="009118AB">
        <w:rPr>
          <w:bCs/>
          <w:iCs/>
          <w:sz w:val="20"/>
          <w:szCs w:val="20"/>
        </w:rPr>
        <w:t>§ </w:t>
      </w:r>
      <w:r w:rsidR="00C13D48" w:rsidRPr="009118AB">
        <w:rPr>
          <w:bCs/>
          <w:iCs/>
          <w:sz w:val="20"/>
          <w:szCs w:val="20"/>
        </w:rPr>
        <w:t xml:space="preserve">1 </w:t>
      </w:r>
      <w:r w:rsidR="00D67EB8" w:rsidRPr="009118AB">
        <w:rPr>
          <w:bCs/>
          <w:iCs/>
          <w:sz w:val="20"/>
          <w:szCs w:val="20"/>
        </w:rPr>
        <w:t>Nr. </w:t>
      </w:r>
      <w:r w:rsidR="00C13D48" w:rsidRPr="009118AB">
        <w:rPr>
          <w:bCs/>
          <w:iCs/>
          <w:sz w:val="20"/>
          <w:szCs w:val="20"/>
        </w:rPr>
        <w:t xml:space="preserve">3, was Urheberrechte und ähnliche Rechte betrifft, und </w:t>
      </w:r>
      <w:r w:rsidR="00D67EB8" w:rsidRPr="009118AB">
        <w:rPr>
          <w:bCs/>
          <w:iCs/>
          <w:sz w:val="20"/>
          <w:szCs w:val="20"/>
        </w:rPr>
        <w:t>Nr. </w:t>
      </w:r>
      <w:r w:rsidR="00C13D48" w:rsidRPr="009118AB">
        <w:rPr>
          <w:bCs/>
          <w:iCs/>
          <w:sz w:val="20"/>
          <w:szCs w:val="20"/>
        </w:rPr>
        <w:t>5 erwähnten Einkünfte]</w:t>
      </w:r>
      <w:r w:rsidRPr="009118AB">
        <w:rPr>
          <w:bCs/>
          <w:iCs/>
          <w:sz w:val="20"/>
          <w:szCs w:val="20"/>
        </w:rPr>
        <w:t xml:space="preserve">], die nicht durch Individualkarten </w:t>
      </w:r>
      <w:r w:rsidR="00CA61DC" w:rsidRPr="009118AB">
        <w:rPr>
          <w:bCs/>
          <w:iCs/>
          <w:sz w:val="20"/>
          <w:szCs w:val="20"/>
        </w:rPr>
        <w:t>[...]</w:t>
      </w:r>
      <w:r w:rsidRPr="009118AB">
        <w:rPr>
          <w:bCs/>
          <w:iCs/>
          <w:sz w:val="20"/>
          <w:szCs w:val="20"/>
        </w:rPr>
        <w:t xml:space="preserve"> nachgewiesen werden,</w:t>
      </w:r>
    </w:p>
    <w:p w14:paraId="2D27BA5A" w14:textId="77777777" w:rsidR="00474E60" w:rsidRPr="009118AB" w:rsidRDefault="00474E60" w:rsidP="00474E60">
      <w:pPr>
        <w:autoSpaceDE w:val="0"/>
        <w:autoSpaceDN w:val="0"/>
        <w:adjustRightInd w:val="0"/>
        <w:jc w:val="both"/>
        <w:rPr>
          <w:bCs/>
          <w:iCs/>
          <w:sz w:val="20"/>
          <w:szCs w:val="20"/>
        </w:rPr>
      </w:pPr>
    </w:p>
    <w:p w14:paraId="6824DA4C" w14:textId="6345FDAA" w:rsidR="00474E60" w:rsidRPr="009118AB" w:rsidRDefault="00474E60" w:rsidP="00474E60">
      <w:pPr>
        <w:autoSpaceDE w:val="0"/>
        <w:autoSpaceDN w:val="0"/>
        <w:adjustRightInd w:val="0"/>
        <w:jc w:val="both"/>
        <w:rPr>
          <w:bCs/>
          <w:iCs/>
          <w:sz w:val="20"/>
          <w:szCs w:val="20"/>
        </w:rPr>
      </w:pPr>
      <w:r w:rsidRPr="009118AB">
        <w:rPr>
          <w:bCs/>
          <w:iCs/>
          <w:sz w:val="20"/>
          <w:szCs w:val="20"/>
        </w:rPr>
        <w:t xml:space="preserve">2. [der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der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118AB">
        <w:rPr>
          <w:bCs/>
          <w:iCs/>
          <w:sz w:val="20"/>
          <w:szCs w:val="20"/>
        </w:rPr>
        <w:t>Nr. </w:t>
      </w:r>
      <w:r w:rsidRPr="009118AB">
        <w:rPr>
          <w:bCs/>
          <w:iCs/>
          <w:sz w:val="20"/>
          <w:szCs w:val="20"/>
        </w:rPr>
        <w:t>23 erwähnten Kapitalien,]</w:t>
      </w:r>
    </w:p>
    <w:p w14:paraId="68D77A03" w14:textId="77777777" w:rsidR="00474E60" w:rsidRPr="009118AB" w:rsidRDefault="00474E60" w:rsidP="00474E60">
      <w:pPr>
        <w:autoSpaceDE w:val="0"/>
        <w:autoSpaceDN w:val="0"/>
        <w:adjustRightInd w:val="0"/>
        <w:jc w:val="both"/>
        <w:rPr>
          <w:bCs/>
          <w:iCs/>
          <w:sz w:val="20"/>
          <w:szCs w:val="20"/>
        </w:rPr>
      </w:pPr>
    </w:p>
    <w:p w14:paraId="2D70AE37" w14:textId="07B0CDD3" w:rsidR="00474E60" w:rsidRPr="009118AB" w:rsidRDefault="00474E60" w:rsidP="00474E60">
      <w:pPr>
        <w:autoSpaceDE w:val="0"/>
        <w:autoSpaceDN w:val="0"/>
        <w:adjustRightInd w:val="0"/>
        <w:jc w:val="both"/>
        <w:rPr>
          <w:bCs/>
          <w:iCs/>
          <w:sz w:val="20"/>
          <w:szCs w:val="20"/>
        </w:rPr>
      </w:pPr>
      <w:r w:rsidRPr="009118AB">
        <w:rPr>
          <w:bCs/>
          <w:iCs/>
          <w:sz w:val="20"/>
          <w:szCs w:val="20"/>
        </w:rPr>
        <w:t xml:space="preserve">[3. [der in Artikel 53 </w:t>
      </w:r>
      <w:r w:rsidR="00D67EB8" w:rsidRPr="009118AB">
        <w:rPr>
          <w:bCs/>
          <w:iCs/>
          <w:sz w:val="20"/>
          <w:szCs w:val="20"/>
        </w:rPr>
        <w:t>Nr. </w:t>
      </w:r>
      <w:r w:rsidRPr="009118AB">
        <w:rPr>
          <w:bCs/>
          <w:iCs/>
          <w:sz w:val="20"/>
          <w:szCs w:val="20"/>
        </w:rPr>
        <w:t>24 erwähnten finanziellen Vorteile oder Vorteile jeglicher Art,]]</w:t>
      </w:r>
    </w:p>
    <w:p w14:paraId="56D847C0" w14:textId="77777777" w:rsidR="00474E60" w:rsidRPr="009118AB" w:rsidRDefault="00474E60" w:rsidP="00474E60">
      <w:pPr>
        <w:autoSpaceDE w:val="0"/>
        <w:autoSpaceDN w:val="0"/>
        <w:adjustRightInd w:val="0"/>
        <w:jc w:val="both"/>
        <w:rPr>
          <w:bCs/>
          <w:iCs/>
          <w:sz w:val="20"/>
          <w:szCs w:val="20"/>
        </w:rPr>
      </w:pPr>
    </w:p>
    <w:p w14:paraId="42456D70" w14:textId="64703A7E" w:rsidR="00474E60" w:rsidRPr="009118AB" w:rsidRDefault="00474E60" w:rsidP="00474E60">
      <w:pPr>
        <w:autoSpaceDE w:val="0"/>
        <w:autoSpaceDN w:val="0"/>
        <w:adjustRightInd w:val="0"/>
        <w:jc w:val="both"/>
        <w:rPr>
          <w:bCs/>
          <w:iCs/>
          <w:sz w:val="20"/>
          <w:szCs w:val="20"/>
        </w:rPr>
      </w:pPr>
      <w:r w:rsidRPr="009118AB">
        <w:rPr>
          <w:bCs/>
          <w:iCs/>
          <w:sz w:val="20"/>
          <w:szCs w:val="20"/>
        </w:rPr>
        <w:t>[4. [</w:t>
      </w:r>
      <w:r w:rsidRPr="009118AB">
        <w:rPr>
          <w:sz w:val="20"/>
          <w:szCs w:val="20"/>
        </w:rPr>
        <w:t xml:space="preserve">eines Betrags, der 17 Prozent des </w:t>
      </w:r>
      <w:r w:rsidR="00C13D48"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C13D48"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w:t>
      </w:r>
      <w:r w:rsidRPr="009118AB">
        <w:rPr>
          <w:bCs/>
          <w:iCs/>
          <w:sz w:val="20"/>
          <w:szCs w:val="20"/>
        </w:rPr>
        <w:t>]]</w:t>
      </w:r>
    </w:p>
    <w:p w14:paraId="7C842F9C" w14:textId="77777777" w:rsidR="00474E60" w:rsidRPr="009118AB" w:rsidRDefault="00474E60" w:rsidP="00474E60">
      <w:pPr>
        <w:autoSpaceDE w:val="0"/>
        <w:autoSpaceDN w:val="0"/>
        <w:adjustRightInd w:val="0"/>
        <w:jc w:val="both"/>
        <w:rPr>
          <w:bCs/>
          <w:iCs/>
          <w:sz w:val="20"/>
          <w:szCs w:val="20"/>
        </w:rPr>
      </w:pPr>
    </w:p>
    <w:p w14:paraId="76237046" w14:textId="4FAF0F11" w:rsidR="00474E60" w:rsidRPr="009118AB" w:rsidRDefault="00474E60" w:rsidP="00474E60">
      <w:pPr>
        <w:autoSpaceDE w:val="0"/>
        <w:autoSpaceDN w:val="0"/>
        <w:adjustRightInd w:val="0"/>
        <w:jc w:val="both"/>
        <w:rPr>
          <w:bCs/>
          <w:iCs/>
          <w:sz w:val="20"/>
          <w:szCs w:val="20"/>
        </w:rPr>
      </w:pPr>
      <w:r w:rsidRPr="009118AB">
        <w:rPr>
          <w:bCs/>
          <w:iCs/>
          <w:sz w:val="20"/>
          <w:szCs w:val="20"/>
        </w:rPr>
        <w:t>[</w:t>
      </w:r>
      <w:r w:rsidR="0065143C" w:rsidRPr="009118AB">
        <w:rPr>
          <w:sz w:val="20"/>
          <w:szCs w:val="20"/>
        </w:rPr>
        <w:t>...</w:t>
      </w:r>
      <w:r w:rsidRPr="009118AB">
        <w:rPr>
          <w:bCs/>
          <w:iCs/>
          <w:sz w:val="20"/>
          <w:szCs w:val="20"/>
        </w:rPr>
        <w:t>]</w:t>
      </w:r>
    </w:p>
    <w:p w14:paraId="48973054" w14:textId="77777777" w:rsidR="00474E60" w:rsidRPr="009118AB" w:rsidRDefault="00474E60" w:rsidP="00474E60">
      <w:pPr>
        <w:autoSpaceDE w:val="0"/>
        <w:autoSpaceDN w:val="0"/>
        <w:adjustRightInd w:val="0"/>
        <w:jc w:val="both"/>
        <w:rPr>
          <w:bCs/>
          <w:iCs/>
          <w:sz w:val="20"/>
          <w:szCs w:val="20"/>
        </w:rPr>
      </w:pPr>
    </w:p>
    <w:p w14:paraId="6B25ECF1" w14:textId="2BB56B2B" w:rsidR="00474E60" w:rsidRPr="009118AB" w:rsidRDefault="00474E60" w:rsidP="00474E60">
      <w:pPr>
        <w:autoSpaceDE w:val="0"/>
        <w:autoSpaceDN w:val="0"/>
        <w:adjustRightInd w:val="0"/>
        <w:jc w:val="both"/>
        <w:rPr>
          <w:sz w:val="20"/>
          <w:szCs w:val="20"/>
        </w:rPr>
      </w:pPr>
      <w:r w:rsidRPr="009118AB">
        <w:rPr>
          <w:bCs/>
          <w:iCs/>
          <w:sz w:val="20"/>
          <w:szCs w:val="20"/>
        </w:rPr>
        <w:t>[</w:t>
      </w:r>
      <w:r w:rsidRPr="009118AB">
        <w:rPr>
          <w:sz w:val="20"/>
          <w:szCs w:val="20"/>
        </w:rPr>
        <w:t xml:space="preserve">5. [eines Betrags, der in Abweichung von </w:t>
      </w:r>
      <w:r w:rsidR="00D67EB8" w:rsidRPr="009118AB">
        <w:rPr>
          <w:sz w:val="20"/>
          <w:szCs w:val="20"/>
        </w:rPr>
        <w:t>Nr. </w:t>
      </w:r>
      <w:r w:rsidRPr="009118AB">
        <w:rPr>
          <w:sz w:val="20"/>
          <w:szCs w:val="20"/>
        </w:rPr>
        <w:t xml:space="preserve">4 40 Prozent des </w:t>
      </w:r>
      <w:r w:rsidR="00C13D48" w:rsidRPr="009118AB">
        <w:rPr>
          <w:sz w:val="20"/>
          <w:szCs w:val="20"/>
        </w:rPr>
        <w:t>[</w:t>
      </w:r>
      <w:r w:rsidRPr="009118AB">
        <w:rPr>
          <w:sz w:val="20"/>
          <w:szCs w:val="20"/>
        </w:rPr>
        <w:t xml:space="preserve">gemäß Artikel 36 </w:t>
      </w:r>
      <w:r w:rsidR="00D67EB8" w:rsidRPr="009118AB">
        <w:rPr>
          <w:sz w:val="20"/>
          <w:szCs w:val="20"/>
        </w:rPr>
        <w:t>§ </w:t>
      </w:r>
      <w:r w:rsidRPr="009118AB">
        <w:rPr>
          <w:sz w:val="20"/>
          <w:szCs w:val="20"/>
        </w:rPr>
        <w:t xml:space="preserve">2 Absatz 1 bis </w:t>
      </w:r>
      <w:r w:rsidR="00C13D48" w:rsidRPr="009118AB">
        <w:rPr>
          <w:sz w:val="20"/>
          <w:szCs w:val="20"/>
        </w:rPr>
        <w:t>12]</w:t>
      </w:r>
      <w:r w:rsidRPr="009118AB">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28FFBF01" w14:textId="77777777" w:rsidR="00474E60" w:rsidRPr="009118AB" w:rsidRDefault="00474E60" w:rsidP="00474E60">
      <w:pPr>
        <w:autoSpaceDE w:val="0"/>
        <w:autoSpaceDN w:val="0"/>
        <w:adjustRightInd w:val="0"/>
        <w:jc w:val="both"/>
        <w:rPr>
          <w:sz w:val="20"/>
          <w:szCs w:val="20"/>
        </w:rPr>
      </w:pPr>
    </w:p>
    <w:p w14:paraId="764F611A" w14:textId="7EC917E2" w:rsidR="00474E60" w:rsidRPr="009118AB" w:rsidRDefault="00474E60" w:rsidP="00474E60">
      <w:pPr>
        <w:autoSpaceDE w:val="0"/>
        <w:autoSpaceDN w:val="0"/>
        <w:adjustRightInd w:val="0"/>
        <w:jc w:val="both"/>
        <w:rPr>
          <w:sz w:val="20"/>
          <w:szCs w:val="20"/>
        </w:rPr>
      </w:pPr>
      <w:r w:rsidRPr="009118AB">
        <w:rPr>
          <w:sz w:val="20"/>
          <w:szCs w:val="20"/>
        </w:rPr>
        <w:t>[</w:t>
      </w:r>
      <w:r w:rsidR="0065143C" w:rsidRPr="009118AB">
        <w:rPr>
          <w:sz w:val="20"/>
          <w:szCs w:val="20"/>
        </w:rPr>
        <w:t>...</w:t>
      </w:r>
      <w:r w:rsidRPr="009118AB">
        <w:rPr>
          <w:sz w:val="20"/>
          <w:szCs w:val="20"/>
        </w:rPr>
        <w:t>]</w:t>
      </w:r>
    </w:p>
    <w:p w14:paraId="5E4D172F" w14:textId="77777777" w:rsidR="00474E60" w:rsidRPr="009118AB" w:rsidRDefault="00474E60" w:rsidP="00474E60">
      <w:pPr>
        <w:autoSpaceDE w:val="0"/>
        <w:autoSpaceDN w:val="0"/>
        <w:adjustRightInd w:val="0"/>
        <w:jc w:val="both"/>
        <w:rPr>
          <w:sz w:val="20"/>
          <w:szCs w:val="20"/>
        </w:rPr>
      </w:pPr>
    </w:p>
    <w:p w14:paraId="4E7F3FEA" w14:textId="77777777" w:rsidR="00474E60" w:rsidRPr="009118AB" w:rsidRDefault="00474E60" w:rsidP="00474E60">
      <w:pPr>
        <w:autoSpaceDE w:val="0"/>
        <w:autoSpaceDN w:val="0"/>
        <w:adjustRightInd w:val="0"/>
        <w:jc w:val="both"/>
        <w:rPr>
          <w:sz w:val="20"/>
          <w:szCs w:val="20"/>
        </w:rPr>
      </w:pPr>
      <w:r w:rsidRPr="009118AB">
        <w:rPr>
          <w:sz w:val="20"/>
          <w:szCs w:val="20"/>
        </w:rPr>
        <w:t>[6. der Kosten in Bezug auf die Nutzung der in Artikel 65 erwähnten Fahrzeuge, die ab dem 1. Januar 2026 gekauft, geleast oder gemietet werden, es sei denn, es handelt sich um ein Fahrzeug, das kein CO</w:t>
      </w:r>
      <w:r w:rsidRPr="009118AB">
        <w:rPr>
          <w:sz w:val="20"/>
          <w:szCs w:val="20"/>
          <w:vertAlign w:val="subscript"/>
        </w:rPr>
        <w:t>2</w:t>
      </w:r>
      <w:r w:rsidRPr="009118AB">
        <w:rPr>
          <w:sz w:val="20"/>
          <w:szCs w:val="20"/>
        </w:rPr>
        <w:t xml:space="preserve"> ausstößt,]</w:t>
      </w:r>
    </w:p>
    <w:p w14:paraId="02C3C5AF" w14:textId="77777777" w:rsidR="00474E60" w:rsidRPr="009118AB" w:rsidRDefault="00474E60" w:rsidP="00474E60">
      <w:pPr>
        <w:autoSpaceDE w:val="0"/>
        <w:autoSpaceDN w:val="0"/>
        <w:adjustRightInd w:val="0"/>
        <w:jc w:val="both"/>
        <w:rPr>
          <w:sz w:val="20"/>
          <w:szCs w:val="20"/>
        </w:rPr>
      </w:pPr>
    </w:p>
    <w:p w14:paraId="2B837D9A" w14:textId="77777777" w:rsidR="00474E60" w:rsidRPr="009118AB" w:rsidRDefault="00474E60" w:rsidP="00474E60">
      <w:pPr>
        <w:autoSpaceDE w:val="0"/>
        <w:autoSpaceDN w:val="0"/>
        <w:adjustRightInd w:val="0"/>
        <w:jc w:val="both"/>
        <w:rPr>
          <w:sz w:val="20"/>
          <w:szCs w:val="20"/>
        </w:rPr>
      </w:pPr>
      <w:r w:rsidRPr="009118AB">
        <w:rPr>
          <w:sz w:val="20"/>
          <w:szCs w:val="20"/>
        </w:rPr>
        <w:t>[7. [eines Betrags, der dem nachstehend erwähnten Prozentsatz der Kosten in Bezug auf die Nutzung der in Artikel 65 erwähnten Fahrzeuge, die kein CO</w:t>
      </w:r>
      <w:r w:rsidRPr="009118AB">
        <w:rPr>
          <w:sz w:val="20"/>
          <w:szCs w:val="20"/>
          <w:vertAlign w:val="subscript"/>
        </w:rPr>
        <w:t>2</w:t>
      </w:r>
      <w:r w:rsidRPr="009118AB">
        <w:rPr>
          <w:sz w:val="20"/>
          <w:szCs w:val="20"/>
        </w:rPr>
        <w:t xml:space="preserve"> ausstoßen, entspricht:</w:t>
      </w:r>
    </w:p>
    <w:p w14:paraId="6E764B2C" w14:textId="77777777" w:rsidR="00474E60" w:rsidRPr="009118AB" w:rsidRDefault="00474E60" w:rsidP="00474E60">
      <w:pPr>
        <w:autoSpaceDE w:val="0"/>
        <w:autoSpaceDN w:val="0"/>
        <w:adjustRightInd w:val="0"/>
        <w:jc w:val="both"/>
        <w:rPr>
          <w:sz w:val="20"/>
          <w:szCs w:val="20"/>
        </w:rPr>
      </w:pPr>
    </w:p>
    <w:p w14:paraId="4B2EB9BD" w14:textId="77777777" w:rsidR="00474E60" w:rsidRPr="009118AB" w:rsidRDefault="00474E60" w:rsidP="00474E60">
      <w:pPr>
        <w:autoSpaceDE w:val="0"/>
        <w:autoSpaceDN w:val="0"/>
        <w:adjustRightInd w:val="0"/>
        <w:jc w:val="both"/>
        <w:rPr>
          <w:sz w:val="20"/>
          <w:szCs w:val="20"/>
        </w:rPr>
      </w:pPr>
      <w:r w:rsidRPr="009118AB">
        <w:rPr>
          <w:sz w:val="20"/>
          <w:szCs w:val="20"/>
        </w:rPr>
        <w:t>- 5 Prozent, wenn es sich um ein 2027 gekauftes, geleastes oder gemietetes Fahrzeug handelt,</w:t>
      </w:r>
    </w:p>
    <w:p w14:paraId="5A987115" w14:textId="77777777" w:rsidR="00474E60" w:rsidRPr="009118AB" w:rsidRDefault="00474E60" w:rsidP="00474E60">
      <w:pPr>
        <w:autoSpaceDE w:val="0"/>
        <w:autoSpaceDN w:val="0"/>
        <w:adjustRightInd w:val="0"/>
        <w:jc w:val="both"/>
        <w:rPr>
          <w:sz w:val="20"/>
          <w:szCs w:val="20"/>
        </w:rPr>
      </w:pPr>
    </w:p>
    <w:p w14:paraId="25372246" w14:textId="77777777" w:rsidR="00474E60" w:rsidRPr="009118AB" w:rsidRDefault="00474E60" w:rsidP="00474E60">
      <w:pPr>
        <w:autoSpaceDE w:val="0"/>
        <w:autoSpaceDN w:val="0"/>
        <w:adjustRightInd w:val="0"/>
        <w:jc w:val="both"/>
        <w:rPr>
          <w:sz w:val="20"/>
          <w:szCs w:val="20"/>
        </w:rPr>
      </w:pPr>
      <w:r w:rsidRPr="009118AB">
        <w:rPr>
          <w:sz w:val="20"/>
          <w:szCs w:val="20"/>
        </w:rPr>
        <w:t>- 10 Prozent, wenn es sich um ein 2028 gekauftes, geleastes oder gemietetes Fahrzeug handelt,]]</w:t>
      </w:r>
    </w:p>
    <w:p w14:paraId="4F2AA3A2" w14:textId="77777777" w:rsidR="00474E60" w:rsidRPr="009118AB" w:rsidRDefault="00474E60" w:rsidP="00474E60">
      <w:pPr>
        <w:autoSpaceDE w:val="0"/>
        <w:autoSpaceDN w:val="0"/>
        <w:adjustRightInd w:val="0"/>
        <w:jc w:val="both"/>
        <w:rPr>
          <w:sz w:val="20"/>
          <w:szCs w:val="20"/>
        </w:rPr>
      </w:pPr>
    </w:p>
    <w:p w14:paraId="31D44D47" w14:textId="77777777" w:rsidR="00474E60" w:rsidRPr="009118AB" w:rsidRDefault="00474E60" w:rsidP="00474E60">
      <w:pPr>
        <w:autoSpaceDE w:val="0"/>
        <w:autoSpaceDN w:val="0"/>
        <w:adjustRightInd w:val="0"/>
        <w:jc w:val="both"/>
        <w:rPr>
          <w:sz w:val="20"/>
          <w:szCs w:val="20"/>
        </w:rPr>
      </w:pPr>
      <w:r w:rsidRPr="009118AB">
        <w:rPr>
          <w:sz w:val="20"/>
          <w:szCs w:val="20"/>
        </w:rPr>
        <w:t>[- 17,5 Prozent, wenn es sich um ein 2029 gekauftes, geleastes oder gemietetes Fahrzeug handelt,]</w:t>
      </w:r>
    </w:p>
    <w:p w14:paraId="38A564F3" w14:textId="77777777" w:rsidR="00474E60" w:rsidRPr="009118AB" w:rsidRDefault="00474E60" w:rsidP="00474E60">
      <w:pPr>
        <w:autoSpaceDE w:val="0"/>
        <w:autoSpaceDN w:val="0"/>
        <w:adjustRightInd w:val="0"/>
        <w:jc w:val="both"/>
        <w:rPr>
          <w:sz w:val="20"/>
          <w:szCs w:val="20"/>
        </w:rPr>
      </w:pPr>
    </w:p>
    <w:p w14:paraId="3C1E950B" w14:textId="39A39D57" w:rsidR="00474E60" w:rsidRPr="009118AB" w:rsidRDefault="00474E60" w:rsidP="00474E60">
      <w:pPr>
        <w:autoSpaceDE w:val="0"/>
        <w:autoSpaceDN w:val="0"/>
        <w:adjustRightInd w:val="0"/>
        <w:jc w:val="both"/>
        <w:rPr>
          <w:sz w:val="20"/>
          <w:szCs w:val="20"/>
        </w:rPr>
      </w:pPr>
      <w:r w:rsidRPr="009118AB">
        <w:rPr>
          <w:sz w:val="20"/>
          <w:szCs w:val="20"/>
        </w:rPr>
        <w:t>[- 25 Prozent, wenn es sich um ein 2030 gekauftes, geleastes oder gemietetes Fahrzeug handelt,]</w:t>
      </w:r>
    </w:p>
    <w:p w14:paraId="54D7F715" w14:textId="7C2ED0B8" w:rsidR="00474E60" w:rsidRPr="009118AB" w:rsidRDefault="00474E60" w:rsidP="00474E60">
      <w:pPr>
        <w:autoSpaceDE w:val="0"/>
        <w:autoSpaceDN w:val="0"/>
        <w:adjustRightInd w:val="0"/>
        <w:jc w:val="both"/>
        <w:rPr>
          <w:sz w:val="20"/>
          <w:szCs w:val="20"/>
        </w:rPr>
      </w:pPr>
    </w:p>
    <w:p w14:paraId="2B0A18DB" w14:textId="0E8001B4" w:rsidR="00474E60" w:rsidRPr="009118AB" w:rsidRDefault="00474E60" w:rsidP="00474E60">
      <w:pPr>
        <w:autoSpaceDE w:val="0"/>
        <w:autoSpaceDN w:val="0"/>
        <w:adjustRightInd w:val="0"/>
        <w:jc w:val="both"/>
        <w:rPr>
          <w:sz w:val="20"/>
          <w:szCs w:val="20"/>
        </w:rPr>
      </w:pPr>
      <w:r w:rsidRPr="009118AB">
        <w:rPr>
          <w:sz w:val="20"/>
          <w:szCs w:val="20"/>
        </w:rPr>
        <w:t>[- 32,5 Prozent, wenn es sich um ein ab dem 1. Januar 2031 gekauftes, geleastes oder gemietetes Fahrzeug handelt</w:t>
      </w:r>
      <w:r w:rsidR="003B3712" w:rsidRPr="009118AB">
        <w:rPr>
          <w:sz w:val="20"/>
          <w:szCs w:val="20"/>
        </w:rPr>
        <w:t>,</w:t>
      </w:r>
      <w:r w:rsidRPr="009118AB">
        <w:rPr>
          <w:sz w:val="20"/>
          <w:szCs w:val="20"/>
        </w:rPr>
        <w:t>]</w:t>
      </w:r>
    </w:p>
    <w:p w14:paraId="7C48ADDF" w14:textId="5FCE1DCC" w:rsidR="00474E60" w:rsidRPr="009118AB" w:rsidRDefault="00474E60" w:rsidP="00474E60">
      <w:pPr>
        <w:autoSpaceDE w:val="0"/>
        <w:autoSpaceDN w:val="0"/>
        <w:adjustRightInd w:val="0"/>
        <w:jc w:val="both"/>
        <w:rPr>
          <w:bCs/>
          <w:iCs/>
          <w:sz w:val="20"/>
          <w:szCs w:val="20"/>
        </w:rPr>
      </w:pPr>
    </w:p>
    <w:p w14:paraId="75A0FD62" w14:textId="30468C80" w:rsidR="003B3712" w:rsidRPr="009118AB" w:rsidRDefault="003B3712" w:rsidP="003B3712">
      <w:pPr>
        <w:autoSpaceDE w:val="0"/>
        <w:autoSpaceDN w:val="0"/>
        <w:adjustRightInd w:val="0"/>
        <w:jc w:val="both"/>
        <w:rPr>
          <w:bCs/>
          <w:iCs/>
          <w:sz w:val="20"/>
          <w:szCs w:val="20"/>
        </w:rPr>
      </w:pPr>
      <w:r w:rsidRPr="009118AB">
        <w:rPr>
          <w:bCs/>
          <w:iCs/>
          <w:sz w:val="20"/>
          <w:szCs w:val="20"/>
        </w:rPr>
        <w:t>[8. der Provisionen, Maklergebühren, kommerziellen oder anderen Ermäßigungen, zufälligen oder nicht zufälligen Entgelte oder Honorare, Zuwendungen, Vergütungen oder Vorteile jeglicher Art</w:t>
      </w:r>
      <w:r w:rsidR="00D67EB8" w:rsidRPr="009118AB">
        <w:rPr>
          <w:bCs/>
          <w:iCs/>
          <w:sz w:val="20"/>
          <w:szCs w:val="20"/>
        </w:rPr>
        <w:t> - </w:t>
      </w:r>
      <w:r w:rsidRPr="009118AB">
        <w:rPr>
          <w:bCs/>
          <w:iCs/>
          <w:sz w:val="20"/>
          <w:szCs w:val="20"/>
        </w:rPr>
        <w:t>in dem Maße, wie sie sich auf mehr als 3 Prozent der gesamten Bruttoentlohnung des Sportlers belaufen, die während der Dauer des Arbeitsvertrags pro Jahr berechnet wird</w:t>
      </w:r>
      <w:r w:rsidR="00FD68E8" w:rsidRPr="009118AB">
        <w:rPr>
          <w:bCs/>
          <w:iCs/>
          <w:sz w:val="20"/>
          <w:szCs w:val="20"/>
        </w:rPr>
        <w:t> -,</w:t>
      </w:r>
      <w:r w:rsidRPr="009118AB">
        <w:rPr>
          <w:bCs/>
          <w:iCs/>
          <w:sz w:val="20"/>
          <w:szCs w:val="20"/>
        </w:rPr>
        <w:t xml:space="preserve"> die direkt oder indirekt im Rahmen eines Vertrags gezahlt werden, der Folgendes zum Ziel hat:</w:t>
      </w:r>
    </w:p>
    <w:p w14:paraId="3C2581E0" w14:textId="77777777" w:rsidR="003B3712" w:rsidRPr="009118AB" w:rsidRDefault="003B3712" w:rsidP="003B3712">
      <w:pPr>
        <w:autoSpaceDE w:val="0"/>
        <w:autoSpaceDN w:val="0"/>
        <w:adjustRightInd w:val="0"/>
        <w:jc w:val="both"/>
        <w:rPr>
          <w:bCs/>
          <w:iCs/>
          <w:sz w:val="20"/>
          <w:szCs w:val="20"/>
        </w:rPr>
      </w:pPr>
    </w:p>
    <w:p w14:paraId="05F45029" w14:textId="264075E4" w:rsidR="003B3712" w:rsidRPr="009118AB" w:rsidRDefault="003B3712" w:rsidP="003B3712">
      <w:pPr>
        <w:autoSpaceDE w:val="0"/>
        <w:autoSpaceDN w:val="0"/>
        <w:adjustRightInd w:val="0"/>
        <w:jc w:val="both"/>
        <w:rPr>
          <w:bCs/>
          <w:iCs/>
          <w:sz w:val="20"/>
          <w:szCs w:val="20"/>
        </w:rPr>
      </w:pPr>
      <w:r w:rsidRPr="009118AB">
        <w:rPr>
          <w:bCs/>
          <w:i/>
          <w:iCs/>
          <w:sz w:val="20"/>
          <w:szCs w:val="20"/>
        </w:rPr>
        <w:t>a)</w:t>
      </w:r>
      <w:r w:rsidRPr="009118AB">
        <w:rPr>
          <w:bCs/>
          <w:iCs/>
          <w:sz w:val="20"/>
          <w:szCs w:val="20"/>
        </w:rPr>
        <w:t> entweder einen Sportler bei Verhandlungen im Hinblick auf den Abschluss, die Verlängerung, Erneuerung oder Beendigung eines Arbeitsvertrags bei einem Sportclub zu unterstützen</w:t>
      </w:r>
    </w:p>
    <w:p w14:paraId="08B3E9F3" w14:textId="77777777" w:rsidR="003B3712" w:rsidRPr="009118AB" w:rsidRDefault="003B3712" w:rsidP="003B3712">
      <w:pPr>
        <w:autoSpaceDE w:val="0"/>
        <w:autoSpaceDN w:val="0"/>
        <w:adjustRightInd w:val="0"/>
        <w:jc w:val="both"/>
        <w:rPr>
          <w:bCs/>
          <w:iCs/>
          <w:sz w:val="20"/>
          <w:szCs w:val="20"/>
        </w:rPr>
      </w:pPr>
    </w:p>
    <w:p w14:paraId="7922B377" w14:textId="1ACEE7DB" w:rsidR="003B3712" w:rsidRPr="009118AB" w:rsidRDefault="003B3712" w:rsidP="003B3712">
      <w:pPr>
        <w:autoSpaceDE w:val="0"/>
        <w:autoSpaceDN w:val="0"/>
        <w:adjustRightInd w:val="0"/>
        <w:jc w:val="both"/>
        <w:rPr>
          <w:bCs/>
          <w:iCs/>
          <w:sz w:val="20"/>
          <w:szCs w:val="20"/>
        </w:rPr>
      </w:pPr>
      <w:r w:rsidRPr="009118AB">
        <w:rPr>
          <w:bCs/>
          <w:i/>
          <w:iCs/>
          <w:sz w:val="20"/>
          <w:szCs w:val="20"/>
        </w:rPr>
        <w:lastRenderedPageBreak/>
        <w:t>b)</w:t>
      </w:r>
      <w:r w:rsidRPr="009118AB">
        <w:rPr>
          <w:bCs/>
          <w:iCs/>
          <w:sz w:val="20"/>
          <w:szCs w:val="20"/>
        </w:rPr>
        <w:t xml:space="preserve"> oder einen in Artikel 270 </w:t>
      </w:r>
      <w:r w:rsidR="00D67EB8" w:rsidRPr="009118AB">
        <w:rPr>
          <w:bCs/>
          <w:iCs/>
          <w:sz w:val="20"/>
          <w:szCs w:val="20"/>
        </w:rPr>
        <w:t>Nr. </w:t>
      </w:r>
      <w:r w:rsidRPr="009118AB">
        <w:rPr>
          <w:bCs/>
          <w:iCs/>
          <w:sz w:val="20"/>
          <w:szCs w:val="20"/>
        </w:rPr>
        <w:t>1 oder 3 erwähnten Schuldner des Berufssteuer</w:t>
      </w:r>
      <w:r w:rsidRPr="009118AB">
        <w:rPr>
          <w:bCs/>
          <w:iCs/>
          <w:sz w:val="20"/>
          <w:szCs w:val="20"/>
        </w:rPr>
        <w:softHyphen/>
        <w:t>vorabzugs bei Verhandlungen im Hinblick auf den Abschluss, die Verlängerung, Erneuerung oder Beendigung eines Arbeitsvertrags mit einem Sportler zu unterstützen</w:t>
      </w:r>
    </w:p>
    <w:p w14:paraId="434BD22B" w14:textId="77777777" w:rsidR="003B3712" w:rsidRPr="009118AB" w:rsidRDefault="003B3712" w:rsidP="003B3712">
      <w:pPr>
        <w:autoSpaceDE w:val="0"/>
        <w:autoSpaceDN w:val="0"/>
        <w:adjustRightInd w:val="0"/>
        <w:jc w:val="both"/>
        <w:rPr>
          <w:bCs/>
          <w:iCs/>
          <w:sz w:val="20"/>
          <w:szCs w:val="20"/>
        </w:rPr>
      </w:pPr>
    </w:p>
    <w:p w14:paraId="0159F8EC" w14:textId="43B902CB" w:rsidR="003B3712" w:rsidRPr="009118AB" w:rsidRDefault="003B3712" w:rsidP="003B3712">
      <w:pPr>
        <w:autoSpaceDE w:val="0"/>
        <w:autoSpaceDN w:val="0"/>
        <w:adjustRightInd w:val="0"/>
        <w:jc w:val="both"/>
        <w:rPr>
          <w:bCs/>
          <w:iCs/>
          <w:sz w:val="20"/>
          <w:szCs w:val="20"/>
        </w:rPr>
      </w:pPr>
      <w:r w:rsidRPr="009118AB">
        <w:rPr>
          <w:bCs/>
          <w:i/>
          <w:iCs/>
          <w:sz w:val="20"/>
          <w:szCs w:val="20"/>
        </w:rPr>
        <w:t>c)</w:t>
      </w:r>
      <w:r w:rsidRPr="009118AB">
        <w:rPr>
          <w:bCs/>
          <w:iCs/>
          <w:sz w:val="20"/>
          <w:szCs w:val="20"/>
        </w:rPr>
        <w:t> oder eine Ausleihe oder einen definitiven Transfer im Hinblick auf die Ankunft oder den Weggang eines Sportlers zu regeln.]</w:t>
      </w:r>
    </w:p>
    <w:p w14:paraId="7AE87AB9" w14:textId="77777777" w:rsidR="003B3712" w:rsidRPr="009118AB" w:rsidRDefault="003B3712" w:rsidP="003B3712">
      <w:pPr>
        <w:autoSpaceDE w:val="0"/>
        <w:autoSpaceDN w:val="0"/>
        <w:adjustRightInd w:val="0"/>
        <w:jc w:val="both"/>
        <w:rPr>
          <w:bCs/>
          <w:iCs/>
          <w:sz w:val="20"/>
          <w:szCs w:val="20"/>
        </w:rPr>
      </w:pPr>
    </w:p>
    <w:p w14:paraId="0B432CEA" w14:textId="77777777" w:rsidR="00474E60" w:rsidRPr="009118AB" w:rsidRDefault="00474E60" w:rsidP="00474E60">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2B1ECBE0" w14:textId="77777777" w:rsidR="00474E60" w:rsidRPr="009118AB" w:rsidRDefault="00474E60" w:rsidP="00474E60">
      <w:pPr>
        <w:autoSpaceDE w:val="0"/>
        <w:autoSpaceDN w:val="0"/>
        <w:adjustRightInd w:val="0"/>
        <w:jc w:val="both"/>
        <w:rPr>
          <w:bCs/>
          <w:iCs/>
          <w:sz w:val="20"/>
          <w:szCs w:val="20"/>
        </w:rPr>
      </w:pPr>
    </w:p>
    <w:p w14:paraId="5780130F" w14:textId="64904417" w:rsidR="00474E60" w:rsidRPr="009118AB" w:rsidRDefault="00474E60" w:rsidP="00474E60">
      <w:pPr>
        <w:autoSpaceDE w:val="0"/>
        <w:autoSpaceDN w:val="0"/>
        <w:adjustRightInd w:val="0"/>
        <w:jc w:val="both"/>
        <w:rPr>
          <w:sz w:val="20"/>
          <w:szCs w:val="20"/>
        </w:rPr>
      </w:pPr>
      <w:r w:rsidRPr="009118AB">
        <w:rPr>
          <w:bCs/>
          <w:iCs/>
          <w:sz w:val="20"/>
          <w:szCs w:val="20"/>
        </w:rPr>
        <w:t>[</w:t>
      </w: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Steuerpflichtige nachweist, dass </w:t>
      </w:r>
      <w:r w:rsidR="00C13D48" w:rsidRPr="009118AB">
        <w:rPr>
          <w:sz w:val="20"/>
          <w:szCs w:val="20"/>
        </w:rPr>
        <w:t xml:space="preserve">[der Betrag der in Artikel 57 Absatz 1 erwähnten Ausgaben, der in den Artikeln 31 Absatz 2 </w:t>
      </w:r>
      <w:r w:rsidR="00D67EB8" w:rsidRPr="009118AB">
        <w:rPr>
          <w:sz w:val="20"/>
          <w:szCs w:val="20"/>
        </w:rPr>
        <w:t>Nr. </w:t>
      </w:r>
      <w:r w:rsidR="00C13D48" w:rsidRPr="009118AB">
        <w:rPr>
          <w:sz w:val="20"/>
          <w:szCs w:val="20"/>
        </w:rPr>
        <w:t xml:space="preserve">2 und 32 Absatz 2 </w:t>
      </w:r>
      <w:r w:rsidR="00D67EB8" w:rsidRPr="009118AB">
        <w:rPr>
          <w:sz w:val="20"/>
          <w:szCs w:val="20"/>
        </w:rPr>
        <w:t>Nr. </w:t>
      </w:r>
      <w:r w:rsidR="00C13D48" w:rsidRPr="009118AB">
        <w:rPr>
          <w:sz w:val="20"/>
          <w:szCs w:val="20"/>
        </w:rPr>
        <w:t xml:space="preserve">2 erwähnten Vorteile jeglicher Art oder der in Artikel 17 </w:t>
      </w:r>
      <w:r w:rsidR="00D67EB8" w:rsidRPr="009118AB">
        <w:rPr>
          <w:sz w:val="20"/>
          <w:szCs w:val="20"/>
        </w:rPr>
        <w:t>§ </w:t>
      </w:r>
      <w:r w:rsidR="00C13D48" w:rsidRPr="009118AB">
        <w:rPr>
          <w:sz w:val="20"/>
          <w:szCs w:val="20"/>
        </w:rPr>
        <w:t xml:space="preserve">1 </w:t>
      </w:r>
      <w:r w:rsidR="00D67EB8" w:rsidRPr="009118AB">
        <w:rPr>
          <w:sz w:val="20"/>
          <w:szCs w:val="20"/>
        </w:rPr>
        <w:t>Nr. </w:t>
      </w:r>
      <w:r w:rsidR="00C13D48" w:rsidRPr="009118AB">
        <w:rPr>
          <w:sz w:val="20"/>
          <w:szCs w:val="20"/>
        </w:rPr>
        <w:t xml:space="preserve">3, was Urheberrechte und ähnliche Rechte betrifft, und </w:t>
      </w:r>
      <w:r w:rsidR="00D67EB8" w:rsidRPr="009118AB">
        <w:rPr>
          <w:sz w:val="20"/>
          <w:szCs w:val="20"/>
        </w:rPr>
        <w:t>Nr. </w:t>
      </w:r>
      <w:r w:rsidR="00C13D48" w:rsidRPr="009118AB">
        <w:rPr>
          <w:sz w:val="20"/>
          <w:szCs w:val="20"/>
        </w:rPr>
        <w:t xml:space="preserve">5 erwähnten Einkünfte] </w:t>
      </w:r>
      <w:r w:rsidRPr="009118AB">
        <w:rPr>
          <w:sz w:val="20"/>
          <w:szCs w:val="20"/>
        </w:rPr>
        <w:t>[in einer vom Empfänger gemäß Artikel 305 eingereichten Erklärung oder in einer vom Empfänger im Ausland eingereichten gleichartigen Erklärung] enthalten ist.]</w:t>
      </w:r>
    </w:p>
    <w:p w14:paraId="6768199D" w14:textId="77777777" w:rsidR="00474E60" w:rsidRPr="009118AB" w:rsidRDefault="00474E60" w:rsidP="00474E60">
      <w:pPr>
        <w:autoSpaceDE w:val="0"/>
        <w:autoSpaceDN w:val="0"/>
        <w:adjustRightInd w:val="0"/>
        <w:jc w:val="both"/>
        <w:rPr>
          <w:sz w:val="20"/>
          <w:szCs w:val="20"/>
        </w:rPr>
      </w:pPr>
    </w:p>
    <w:p w14:paraId="1FAB7CD8" w14:textId="0834FF3C" w:rsidR="00474E60" w:rsidRPr="009118AB" w:rsidRDefault="00474E60" w:rsidP="00474E60">
      <w:pPr>
        <w:autoSpaceDE w:val="0"/>
        <w:autoSpaceDN w:val="0"/>
        <w:adjustRightInd w:val="0"/>
        <w:jc w:val="both"/>
        <w:rPr>
          <w:sz w:val="20"/>
          <w:szCs w:val="20"/>
        </w:rPr>
      </w:pPr>
      <w:r w:rsidRPr="009118AB">
        <w:rPr>
          <w:sz w:val="20"/>
          <w:szCs w:val="20"/>
        </w:rPr>
        <w:t xml:space="preserve">[Die in Absatz 1 </w:t>
      </w:r>
      <w:r w:rsidR="00D67EB8" w:rsidRPr="009118AB">
        <w:rPr>
          <w:sz w:val="20"/>
          <w:szCs w:val="20"/>
        </w:rPr>
        <w:t>Nr. </w:t>
      </w:r>
      <w:r w:rsidRPr="009118AB">
        <w:rPr>
          <w:sz w:val="20"/>
          <w:szCs w:val="20"/>
        </w:rPr>
        <w:t xml:space="preserve">1 erwähnte Steuer ist nicht anwendbar, wenn der Empfänger spätestens zwei Jahre und sechs Monate ab dem 1. Januar des betreffenden Steuerjahres eindeutig identifiziert worden ist [oder wenn </w:t>
      </w:r>
      <w:r w:rsidR="00C13D48" w:rsidRPr="009118AB">
        <w:rPr>
          <w:sz w:val="20"/>
          <w:szCs w:val="20"/>
        </w:rPr>
        <w:t xml:space="preserve">[der Betrag der in den Artikeln 31 Absatz 2 </w:t>
      </w:r>
      <w:r w:rsidR="00D67EB8" w:rsidRPr="009118AB">
        <w:rPr>
          <w:sz w:val="20"/>
          <w:szCs w:val="20"/>
        </w:rPr>
        <w:t>Nr. </w:t>
      </w:r>
      <w:r w:rsidR="00C13D48" w:rsidRPr="009118AB">
        <w:rPr>
          <w:sz w:val="20"/>
          <w:szCs w:val="20"/>
        </w:rPr>
        <w:t xml:space="preserve">2 und 32 Absatz 2 </w:t>
      </w:r>
      <w:r w:rsidR="00D67EB8" w:rsidRPr="009118AB">
        <w:rPr>
          <w:sz w:val="20"/>
          <w:szCs w:val="20"/>
        </w:rPr>
        <w:t>Nr. </w:t>
      </w:r>
      <w:r w:rsidR="00C13D48" w:rsidRPr="009118AB">
        <w:rPr>
          <w:sz w:val="20"/>
          <w:szCs w:val="20"/>
        </w:rPr>
        <w:t xml:space="preserve">2 erwähnten Vorteile jeglicher Art, der in Artikel 57 Absatz 1 erwähnten Ausgaben oder der in Artikel 17 </w:t>
      </w:r>
      <w:r w:rsidR="00D67EB8" w:rsidRPr="009118AB">
        <w:rPr>
          <w:sz w:val="20"/>
          <w:szCs w:val="20"/>
        </w:rPr>
        <w:t>§ </w:t>
      </w:r>
      <w:r w:rsidR="00C13D48" w:rsidRPr="009118AB">
        <w:rPr>
          <w:sz w:val="20"/>
          <w:szCs w:val="20"/>
        </w:rPr>
        <w:t xml:space="preserve">1 </w:t>
      </w:r>
      <w:r w:rsidR="00D67EB8" w:rsidRPr="009118AB">
        <w:rPr>
          <w:sz w:val="20"/>
          <w:szCs w:val="20"/>
        </w:rPr>
        <w:t>Nr. </w:t>
      </w:r>
      <w:r w:rsidR="00C13D48" w:rsidRPr="009118AB">
        <w:rPr>
          <w:sz w:val="20"/>
          <w:szCs w:val="20"/>
        </w:rPr>
        <w:t xml:space="preserve">3, was Urheberrechte und ähnliche Rechte betrifft, und </w:t>
      </w:r>
      <w:r w:rsidR="00D67EB8" w:rsidRPr="009118AB">
        <w:rPr>
          <w:sz w:val="20"/>
          <w:szCs w:val="20"/>
        </w:rPr>
        <w:t>Nr. </w:t>
      </w:r>
      <w:r w:rsidR="00C13D48" w:rsidRPr="009118AB">
        <w:rPr>
          <w:sz w:val="20"/>
          <w:szCs w:val="20"/>
        </w:rPr>
        <w:t xml:space="preserve">5 erwähnten Einkünfte] </w:t>
      </w:r>
      <w:r w:rsidRPr="009118AB">
        <w:rPr>
          <w:sz w:val="20"/>
          <w:szCs w:val="20"/>
        </w:rPr>
        <w:t xml:space="preserve">in einer Veranlagung enthalten ist, die in den in den Artikeln 354 Absatz 1 und 2 und 358 erwähnten Fristen </w:t>
      </w:r>
      <w:r w:rsidR="0027187F" w:rsidRPr="009118AB">
        <w:rPr>
          <w:sz w:val="20"/>
          <w:szCs w:val="20"/>
        </w:rPr>
        <w:t>[bei einem steuerpflichtigen Empfänger wie in Artikel 305 Absatz 1 erwähnt mit seinem Einverständnis]</w:t>
      </w:r>
      <w:r w:rsidRPr="009118AB">
        <w:rPr>
          <w:sz w:val="20"/>
          <w:szCs w:val="20"/>
        </w:rPr>
        <w:t xml:space="preserve"> festgelegt wird].]</w:t>
      </w:r>
    </w:p>
    <w:p w14:paraId="10E13806" w14:textId="77777777" w:rsidR="00474E60" w:rsidRPr="009118AB" w:rsidRDefault="00474E60" w:rsidP="00474E60">
      <w:pPr>
        <w:autoSpaceDE w:val="0"/>
        <w:autoSpaceDN w:val="0"/>
        <w:adjustRightInd w:val="0"/>
        <w:jc w:val="both"/>
        <w:rPr>
          <w:sz w:val="20"/>
          <w:szCs w:val="20"/>
        </w:rPr>
      </w:pPr>
    </w:p>
    <w:p w14:paraId="2B2EF195" w14:textId="562039F2" w:rsidR="00474E60" w:rsidRPr="009118AB" w:rsidRDefault="00474E60" w:rsidP="00474E60">
      <w:pPr>
        <w:autoSpaceDE w:val="0"/>
        <w:autoSpaceDN w:val="0"/>
        <w:adjustRightInd w:val="0"/>
        <w:jc w:val="both"/>
        <w:rPr>
          <w:sz w:val="20"/>
          <w:szCs w:val="20"/>
        </w:rPr>
      </w:pPr>
      <w:r w:rsidRPr="009118AB">
        <w:rPr>
          <w:sz w:val="20"/>
          <w:szCs w:val="20"/>
        </w:rPr>
        <w:t xml:space="preserve">[Wird ein in [Absatz 1 </w:t>
      </w:r>
      <w:r w:rsidR="00D67EB8" w:rsidRPr="009118AB">
        <w:rPr>
          <w:sz w:val="20"/>
          <w:szCs w:val="20"/>
        </w:rPr>
        <w:t>Nr. </w:t>
      </w:r>
      <w:r w:rsidRPr="009118AB">
        <w:rPr>
          <w:sz w:val="20"/>
          <w:szCs w:val="20"/>
        </w:rPr>
        <w:t xml:space="preserve">6 und 7] erwähntes Fahrzeug einem Dritten zur Nutzung zu persönlichen Zwecken zur Verfügung gestellt, umfassen die in </w:t>
      </w:r>
      <w:r w:rsidR="00FA58D0" w:rsidRPr="009118AB">
        <w:rPr>
          <w:sz w:val="20"/>
          <w:szCs w:val="20"/>
        </w:rPr>
        <w:t xml:space="preserve">[Absatz 1 </w:t>
      </w:r>
      <w:r w:rsidR="00D67EB8" w:rsidRPr="009118AB">
        <w:rPr>
          <w:sz w:val="20"/>
          <w:szCs w:val="20"/>
        </w:rPr>
        <w:t>Nr. </w:t>
      </w:r>
      <w:r w:rsidR="00FA58D0" w:rsidRPr="009118AB">
        <w:rPr>
          <w:sz w:val="20"/>
          <w:szCs w:val="20"/>
        </w:rPr>
        <w:t xml:space="preserve">6 und 7] </w:t>
      </w:r>
      <w:r w:rsidRPr="009118AB">
        <w:rPr>
          <w:sz w:val="20"/>
          <w:szCs w:val="20"/>
        </w:rPr>
        <w:t>erwähnten Kosten nicht den Betrag, der dem zu Lasten dieses Dritten besteuerten Vorteil jeglicher Art entspricht, und die Eigenbeteiligung dieses Dritten für die Nutzung zu persönlichen Zwecken dieses Fahrzeugs.]</w:t>
      </w:r>
    </w:p>
    <w:p w14:paraId="42F6ABD5" w14:textId="77777777" w:rsidR="00474E60" w:rsidRPr="009118AB" w:rsidRDefault="00474E60" w:rsidP="00474E60">
      <w:pPr>
        <w:autoSpaceDE w:val="0"/>
        <w:autoSpaceDN w:val="0"/>
        <w:adjustRightInd w:val="0"/>
        <w:jc w:val="both"/>
        <w:rPr>
          <w:bCs/>
          <w:iCs/>
          <w:sz w:val="20"/>
          <w:szCs w:val="20"/>
        </w:rPr>
      </w:pPr>
    </w:p>
    <w:p w14:paraId="0C2AE7E5" w14:textId="7CD2891C" w:rsidR="00474E60" w:rsidRPr="009118AB" w:rsidRDefault="00474E60" w:rsidP="00474E60">
      <w:pPr>
        <w:autoSpaceDE w:val="0"/>
        <w:autoSpaceDN w:val="0"/>
        <w:adjustRightInd w:val="0"/>
        <w:jc w:val="both"/>
        <w:rPr>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223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1 abgeändert durch </w:t>
      </w:r>
      <w:r w:rsidR="00D67EB8" w:rsidRPr="009118AB">
        <w:rPr>
          <w:bCs/>
          <w:i/>
          <w:iCs/>
          <w:sz w:val="20"/>
          <w:szCs w:val="20"/>
        </w:rPr>
        <w:t>Art. </w:t>
      </w:r>
      <w:r w:rsidRPr="009118AB">
        <w:rPr>
          <w:bCs/>
          <w:i/>
          <w:iCs/>
          <w:sz w:val="20"/>
          <w:szCs w:val="20"/>
        </w:rPr>
        <w:t>21 des G. (I) vom 27. Dezember 2006 (I)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71 Buchstabe</w:t>
      </w:r>
      <w:r w:rsidRPr="009118AB">
        <w:rPr>
          <w:rFonts w:hint="eastAsia"/>
          <w:bCs/>
          <w:i/>
          <w:iCs/>
          <w:sz w:val="20"/>
          <w:szCs w:val="20"/>
        </w:rPr>
        <w:t> </w:t>
      </w:r>
      <w:r w:rsidRPr="009118AB">
        <w:rPr>
          <w:bCs/>
          <w:i/>
          <w:iCs/>
          <w:sz w:val="20"/>
          <w:szCs w:val="20"/>
        </w:rPr>
        <w:t>a) des G. vom 27. Juni 2021 (B.S. vom 30. Juni 2021)</w:t>
      </w:r>
      <w:r w:rsidR="00CA61DC" w:rsidRPr="009118AB">
        <w:rPr>
          <w:bCs/>
          <w:i/>
          <w:iCs/>
          <w:sz w:val="20"/>
          <w:szCs w:val="20"/>
        </w:rPr>
        <w:t>,</w:t>
      </w:r>
      <w:r w:rsidR="00C13D48" w:rsidRPr="009118AB">
        <w:rPr>
          <w:bCs/>
          <w:i/>
          <w:iCs/>
          <w:sz w:val="20"/>
          <w:szCs w:val="20"/>
        </w:rPr>
        <w:t xml:space="preserve"> </w:t>
      </w:r>
      <w:r w:rsidR="00D67EB8" w:rsidRPr="009118AB">
        <w:rPr>
          <w:bCs/>
          <w:i/>
          <w:iCs/>
          <w:sz w:val="20"/>
          <w:szCs w:val="20"/>
        </w:rPr>
        <w:t>Art. </w:t>
      </w:r>
      <w:r w:rsidR="00C13D48" w:rsidRPr="009118AB">
        <w:rPr>
          <w:bCs/>
          <w:i/>
          <w:iCs/>
          <w:sz w:val="20"/>
          <w:szCs w:val="20"/>
        </w:rPr>
        <w:t xml:space="preserve">47 </w:t>
      </w:r>
      <w:r w:rsidR="00D67EB8" w:rsidRPr="009118AB">
        <w:rPr>
          <w:bCs/>
          <w:i/>
          <w:iCs/>
          <w:sz w:val="20"/>
          <w:szCs w:val="20"/>
        </w:rPr>
        <w:t>Nr. </w:t>
      </w:r>
      <w:r w:rsidR="00C13D48" w:rsidRPr="009118AB">
        <w:rPr>
          <w:bCs/>
          <w:i/>
          <w:iCs/>
          <w:sz w:val="20"/>
          <w:szCs w:val="20"/>
        </w:rPr>
        <w:t>1 des G. vom 21. Januar 2022 (B.S. vom 28. Januar 2022)</w:t>
      </w:r>
      <w:r w:rsidR="00D67EB8" w:rsidRPr="009118AB">
        <w:rPr>
          <w:bCs/>
          <w:i/>
          <w:iCs/>
          <w:sz w:val="20"/>
          <w:szCs w:val="20"/>
        </w:rPr>
        <w:t> - </w:t>
      </w:r>
      <w:r w:rsidR="00C13D48"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CA61DC" w:rsidRPr="009118AB">
        <w:rPr>
          <w:bCs/>
          <w:i/>
          <w:iCs/>
          <w:sz w:val="20"/>
          <w:szCs w:val="20"/>
        </w:rPr>
        <w:t xml:space="preserve"> und Art. 26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2 ersetzt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 xml:space="preserve">anwendbar auf die ab dem 1. Januar 2006 gezahlten </w:t>
      </w:r>
      <w:r w:rsidRPr="009118AB">
        <w:rPr>
          <w:rFonts w:ascii="Times New Roman Italique" w:hAnsi="Times New Roman Italique"/>
          <w:bCs/>
          <w:i/>
          <w:iCs/>
          <w:spacing w:val="-2"/>
          <w:sz w:val="20"/>
          <w:szCs w:val="20"/>
        </w:rPr>
        <w:t>Prämien und Beiträge</w:t>
      </w:r>
      <w:r w:rsidR="003366D9" w:rsidRPr="009118AB">
        <w:rPr>
          <w:rFonts w:ascii="Times New Roman Italique" w:hAnsi="Times New Roman Italique"/>
          <w:bCs/>
          <w:i/>
          <w:iCs/>
          <w:spacing w:val="-2"/>
          <w:sz w:val="20"/>
          <w:szCs w:val="20"/>
        </w:rPr>
        <w:t> -;</w:t>
      </w:r>
      <w:r w:rsidRPr="009118AB">
        <w:rPr>
          <w:rFonts w:ascii="Times New Roman Italique" w:hAnsi="Times New Roman Italique"/>
          <w:bCs/>
          <w:i/>
          <w:iCs/>
          <w:spacing w:val="-2"/>
          <w:sz w:val="20"/>
          <w:szCs w:val="20"/>
        </w:rPr>
        <w:t xml:space="preserve">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3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 xml:space="preserve">47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1 des G. vom 15. Dezember 2004 (B.S. vom 1. Februar 2005)</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Aktien- oder Anteilverleihe, die ab dem 14. April 1999 abgeschlossen werden</w:t>
      </w:r>
      <w:r w:rsidR="00FD68E8" w:rsidRPr="009118AB">
        <w:rPr>
          <w:rFonts w:ascii="Times New Roman Italique" w:hAnsi="Times New Roman Italique"/>
          <w:bCs/>
          <w:i/>
          <w:iCs/>
          <w:spacing w:val="-2"/>
          <w:sz w:val="20"/>
          <w:szCs w:val="20"/>
        </w:rPr>
        <w:t> </w:t>
      </w:r>
      <w:r w:rsidR="00FD68E8" w:rsidRPr="009118AB">
        <w:rPr>
          <w:rFonts w:ascii="Times New Roman Italique" w:hAnsi="Times New Roman Italique" w:hint="eastAsia"/>
          <w:bCs/>
          <w:i/>
          <w:iCs/>
          <w:spacing w:val="-2"/>
          <w:sz w:val="20"/>
          <w:szCs w:val="20"/>
        </w:rPr>
        <w:t>-,</w:t>
      </w:r>
      <w:r w:rsidRPr="009118AB">
        <w:rPr>
          <w:bCs/>
          <w:i/>
          <w:iCs/>
          <w:sz w:val="20"/>
          <w:szCs w:val="20"/>
        </w:rPr>
        <w:t xml:space="preserve"> aufgehoben durch </w:t>
      </w:r>
      <w:r w:rsidR="00D67EB8" w:rsidRPr="009118AB">
        <w:rPr>
          <w:bCs/>
          <w:i/>
          <w:iCs/>
          <w:sz w:val="20"/>
          <w:szCs w:val="20"/>
        </w:rPr>
        <w:t>Art. </w:t>
      </w:r>
      <w:r w:rsidRPr="009118AB">
        <w:rPr>
          <w:bCs/>
          <w:i/>
          <w:iCs/>
          <w:sz w:val="20"/>
          <w:szCs w:val="20"/>
        </w:rPr>
        <w:t xml:space="preserve">47 </w:t>
      </w:r>
      <w:r w:rsidR="00D67EB8" w:rsidRPr="009118AB">
        <w:rPr>
          <w:bCs/>
          <w:i/>
          <w:iCs/>
          <w:sz w:val="20"/>
          <w:szCs w:val="20"/>
        </w:rPr>
        <w:t>Nr. </w:t>
      </w:r>
      <w:r w:rsidRPr="009118AB">
        <w:rPr>
          <w:bCs/>
          <w:i/>
          <w:iCs/>
          <w:sz w:val="20"/>
          <w:szCs w:val="20"/>
        </w:rPr>
        <w:t>2 des G. vom 15. Dezember 2004 (B.S. vom 1. Februar 2005)</w:t>
      </w:r>
      <w:r w:rsidR="00D67EB8" w:rsidRPr="009118AB">
        <w:rPr>
          <w:bCs/>
          <w:i/>
          <w:iCs/>
          <w:sz w:val="20"/>
          <w:szCs w:val="20"/>
        </w:rPr>
        <w:t> - </w:t>
      </w:r>
      <w:r w:rsidRPr="009118AB">
        <w:rPr>
          <w:bCs/>
          <w:i/>
          <w:iCs/>
          <w:sz w:val="20"/>
          <w:szCs w:val="20"/>
        </w:rPr>
        <w:t>anwendbar auf Aktien-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 des G. vom 11. Mai 2007 (B.S. vom 8. Juni 2007)</w:t>
      </w:r>
      <w:r w:rsidR="00D67EB8" w:rsidRPr="009118AB">
        <w:rPr>
          <w:bCs/>
          <w:i/>
          <w:iCs/>
          <w:sz w:val="20"/>
          <w:szCs w:val="20"/>
        </w:rPr>
        <w:t> - </w:t>
      </w:r>
      <w:r w:rsidRPr="009118AB">
        <w:rPr>
          <w:bCs/>
          <w:i/>
          <w:iCs/>
          <w:sz w:val="20"/>
          <w:szCs w:val="20"/>
        </w:rPr>
        <w:t>in Kraft ab dem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eingefügt </w:t>
      </w:r>
      <w:r w:rsidRPr="009118AB">
        <w:rPr>
          <w:i/>
          <w:iCs/>
          <w:sz w:val="20"/>
          <w:szCs w:val="20"/>
        </w:rPr>
        <w:t xml:space="preserve">durch </w:t>
      </w:r>
      <w:r w:rsidR="00D67EB8" w:rsidRPr="009118AB">
        <w:rPr>
          <w:i/>
          <w:iCs/>
          <w:sz w:val="20"/>
          <w:szCs w:val="20"/>
        </w:rPr>
        <w:t>Art. </w:t>
      </w:r>
      <w:r w:rsidRPr="009118AB">
        <w:rPr>
          <w:i/>
          <w:iCs/>
          <w:sz w:val="20"/>
          <w:szCs w:val="20"/>
        </w:rPr>
        <w:t>47</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69 Buchstabe a)</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C13D48" w:rsidRPr="009118AB">
        <w:rPr>
          <w:bCs/>
          <w:i/>
          <w:iCs/>
          <w:sz w:val="20"/>
          <w:szCs w:val="20"/>
        </w:rPr>
        <w:t xml:space="preserve">und abgeändert durch </w:t>
      </w:r>
      <w:r w:rsidR="00D67EB8" w:rsidRPr="009118AB">
        <w:rPr>
          <w:bCs/>
          <w:i/>
          <w:iCs/>
          <w:sz w:val="20"/>
          <w:szCs w:val="20"/>
        </w:rPr>
        <w:t>Art. </w:t>
      </w:r>
      <w:r w:rsidR="00C13D48" w:rsidRPr="009118AB">
        <w:rPr>
          <w:bCs/>
          <w:i/>
          <w:iCs/>
          <w:sz w:val="20"/>
          <w:szCs w:val="20"/>
        </w:rPr>
        <w:t xml:space="preserve">47 </w:t>
      </w:r>
      <w:r w:rsidR="00D67EB8" w:rsidRPr="009118AB">
        <w:rPr>
          <w:bCs/>
          <w:i/>
          <w:iCs/>
          <w:sz w:val="20"/>
          <w:szCs w:val="20"/>
        </w:rPr>
        <w:t>Nr. </w:t>
      </w:r>
      <w:r w:rsidR="00C13D48" w:rsidRPr="009118AB">
        <w:rPr>
          <w:bCs/>
          <w:i/>
          <w:iCs/>
          <w:sz w:val="20"/>
          <w:szCs w:val="20"/>
        </w:rPr>
        <w:t>2 des G. vom 21. Januar 2022 (B.S. vom 28. Januar 2022)</w:t>
      </w:r>
      <w:r w:rsidR="00D67EB8" w:rsidRPr="009118AB">
        <w:rPr>
          <w:bCs/>
          <w:i/>
          <w:iCs/>
          <w:sz w:val="20"/>
          <w:szCs w:val="20"/>
        </w:rPr>
        <w:t> - </w:t>
      </w:r>
      <w:r w:rsidR="00C13D48" w:rsidRPr="009118AB">
        <w:rPr>
          <w:bCs/>
          <w:i/>
          <w:iCs/>
          <w:sz w:val="20"/>
          <w:szCs w:val="20"/>
        </w:rPr>
        <w:t>wirksam mit 1. Januar 2021</w:t>
      </w:r>
      <w:r w:rsidR="003366D9" w:rsidRPr="009118AB">
        <w:rPr>
          <w:bCs/>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65143C" w:rsidRPr="009118AB">
        <w:rPr>
          <w:i/>
          <w:iCs/>
          <w:spacing w:val="-2"/>
          <w:sz w:val="20"/>
          <w:szCs w:val="20"/>
        </w:rPr>
        <w:t>frühere Nummer</w:t>
      </w:r>
      <w:r w:rsidRPr="009118AB">
        <w:rPr>
          <w:i/>
          <w:iCs/>
          <w:sz w:val="20"/>
          <w:szCs w:val="20"/>
        </w:rPr>
        <w:t xml:space="preserve"> 4bis eingefügt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5 eingefügt durch </w:t>
      </w:r>
      <w:r w:rsidR="00D67EB8" w:rsidRPr="009118AB">
        <w:rPr>
          <w:i/>
          <w:iCs/>
          <w:sz w:val="20"/>
          <w:szCs w:val="20"/>
        </w:rPr>
        <w:t>Art. </w:t>
      </w:r>
      <w:r w:rsidRPr="009118AB">
        <w:rPr>
          <w:i/>
          <w:iCs/>
          <w:sz w:val="20"/>
          <w:szCs w:val="20"/>
        </w:rPr>
        <w:t xml:space="preserve">18 </w:t>
      </w:r>
      <w:r w:rsidR="00D67EB8" w:rsidRPr="009118AB">
        <w:rPr>
          <w:i/>
          <w:iCs/>
          <w:sz w:val="20"/>
          <w:szCs w:val="20"/>
        </w:rPr>
        <w:t>Nr. </w:t>
      </w:r>
      <w:r w:rsidRPr="009118AB">
        <w:rPr>
          <w:i/>
          <w:iCs/>
          <w:sz w:val="20"/>
          <w:szCs w:val="20"/>
        </w:rPr>
        <w:t>1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aufgehoben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1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wieder aufgenommen durch </w:t>
      </w:r>
      <w:r w:rsidR="00D67EB8" w:rsidRPr="009118AB">
        <w:rPr>
          <w:i/>
          <w:iCs/>
          <w:sz w:val="20"/>
          <w:szCs w:val="20"/>
        </w:rPr>
        <w:t>Art. </w:t>
      </w:r>
      <w:r w:rsidRPr="009118AB">
        <w:rPr>
          <w:i/>
          <w:iCs/>
          <w:sz w:val="20"/>
          <w:szCs w:val="20"/>
        </w:rPr>
        <w:t>69 Buchstabe b)</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D67EB8" w:rsidRPr="009118AB">
        <w:rPr>
          <w:i/>
          <w:sz w:val="20"/>
          <w:szCs w:val="20"/>
        </w:rPr>
        <w:t> - </w:t>
      </w:r>
      <w:r w:rsidR="00C13D48" w:rsidRPr="009118AB">
        <w:rPr>
          <w:bCs/>
          <w:i/>
          <w:iCs/>
          <w:sz w:val="20"/>
          <w:szCs w:val="20"/>
        </w:rPr>
        <w:t xml:space="preserve">und abgeändert durch </w:t>
      </w:r>
      <w:r w:rsidR="00D67EB8" w:rsidRPr="009118AB">
        <w:rPr>
          <w:bCs/>
          <w:i/>
          <w:iCs/>
          <w:sz w:val="20"/>
          <w:szCs w:val="20"/>
        </w:rPr>
        <w:t>Art. </w:t>
      </w:r>
      <w:r w:rsidR="00C13D48" w:rsidRPr="009118AB">
        <w:rPr>
          <w:bCs/>
          <w:i/>
          <w:iCs/>
          <w:sz w:val="20"/>
          <w:szCs w:val="20"/>
        </w:rPr>
        <w:t xml:space="preserve">47 </w:t>
      </w:r>
      <w:r w:rsidR="00D67EB8" w:rsidRPr="009118AB">
        <w:rPr>
          <w:bCs/>
          <w:i/>
          <w:iCs/>
          <w:sz w:val="20"/>
          <w:szCs w:val="20"/>
        </w:rPr>
        <w:t>Nr. </w:t>
      </w:r>
      <w:r w:rsidR="00C13D48" w:rsidRPr="009118AB">
        <w:rPr>
          <w:bCs/>
          <w:i/>
          <w:iCs/>
          <w:sz w:val="20"/>
          <w:szCs w:val="20"/>
        </w:rPr>
        <w:t>2 des G. vom 21. Januar 2022 (B.S. vom 28. Januar 2022)</w:t>
      </w:r>
      <w:r w:rsidR="00D67EB8" w:rsidRPr="009118AB">
        <w:rPr>
          <w:bCs/>
          <w:i/>
          <w:iCs/>
          <w:sz w:val="20"/>
          <w:szCs w:val="20"/>
        </w:rPr>
        <w:t> - </w:t>
      </w:r>
      <w:r w:rsidR="00C13D48" w:rsidRPr="009118AB">
        <w:rPr>
          <w:bCs/>
          <w:i/>
          <w:iCs/>
          <w:sz w:val="20"/>
          <w:szCs w:val="20"/>
        </w:rPr>
        <w:t>wirksam mit 1. Januar 2021</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65143C" w:rsidRPr="009118AB">
        <w:rPr>
          <w:i/>
          <w:iCs/>
          <w:spacing w:val="-2"/>
          <w:sz w:val="20"/>
          <w:szCs w:val="20"/>
        </w:rPr>
        <w:t>frühere Nummer</w:t>
      </w:r>
      <w:r w:rsidRPr="009118AB">
        <w:rPr>
          <w:bCs/>
          <w:i/>
          <w:iCs/>
          <w:sz w:val="20"/>
          <w:szCs w:val="20"/>
        </w:rPr>
        <w:t xml:space="preserve"> 5bis eingefügt durch </w:t>
      </w:r>
      <w:r w:rsidR="00D67EB8" w:rsidRPr="009118AB">
        <w:rPr>
          <w:bCs/>
          <w:i/>
          <w:iCs/>
          <w:sz w:val="20"/>
          <w:szCs w:val="20"/>
        </w:rPr>
        <w:t>Art. </w:t>
      </w:r>
      <w:r w:rsidRPr="009118AB">
        <w:rPr>
          <w:bCs/>
          <w:i/>
          <w:iCs/>
          <w:sz w:val="20"/>
          <w:szCs w:val="20"/>
        </w:rPr>
        <w:t xml:space="preserve">31 </w:t>
      </w:r>
      <w:r w:rsidR="00D67EB8" w:rsidRPr="009118AB">
        <w:rPr>
          <w:bCs/>
          <w:i/>
          <w:iCs/>
          <w:sz w:val="20"/>
          <w:szCs w:val="20"/>
        </w:rPr>
        <w:t>Nr. </w:t>
      </w:r>
      <w:r w:rsidRPr="009118AB">
        <w:rPr>
          <w:bCs/>
          <w:i/>
          <w:iCs/>
          <w:sz w:val="20"/>
          <w:szCs w:val="20"/>
        </w:rPr>
        <w:t>2</w:t>
      </w:r>
      <w:r w:rsidRPr="009118AB">
        <w:rPr>
          <w:i/>
          <w:sz w:val="20"/>
          <w:szCs w:val="20"/>
        </w:rPr>
        <w:t xml:space="preserve">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65143C" w:rsidRPr="009118AB">
        <w:rPr>
          <w:i/>
          <w:sz w:val="20"/>
          <w:szCs w:val="20"/>
        </w:rPr>
        <w:t xml:space="preserve"> selbst für nichtig erklärt durch</w:t>
      </w:r>
      <w:r w:rsidR="0065143C" w:rsidRPr="009118AB">
        <w:rPr>
          <w:i/>
          <w:iCs/>
          <w:sz w:val="20"/>
          <w:szCs w:val="20"/>
        </w:rPr>
        <w:t xml:space="preserve">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6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1</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sz w:val="20"/>
          <w:szCs w:val="20"/>
        </w:rPr>
        <w:t xml:space="preserve"> </w:t>
      </w:r>
      <w:r w:rsidR="00D67EB8" w:rsidRPr="009118AB">
        <w:rPr>
          <w:i/>
          <w:sz w:val="20"/>
          <w:szCs w:val="20"/>
        </w:rPr>
        <w:t>Abs. </w:t>
      </w:r>
      <w:r w:rsidRPr="009118AB">
        <w:rPr>
          <w:i/>
          <w:sz w:val="20"/>
          <w:szCs w:val="20"/>
        </w:rPr>
        <w:t xml:space="preserve">1 </w:t>
      </w:r>
      <w:r w:rsidR="00D67EB8" w:rsidRPr="009118AB">
        <w:rPr>
          <w:i/>
          <w:sz w:val="20"/>
          <w:szCs w:val="20"/>
        </w:rPr>
        <w:t>Nr. </w:t>
      </w:r>
      <w:r w:rsidRPr="009118AB">
        <w:rPr>
          <w:i/>
          <w:sz w:val="20"/>
          <w:szCs w:val="20"/>
        </w:rPr>
        <w:t xml:space="preserve">7 eingefügt durch </w:t>
      </w:r>
      <w:r w:rsidR="00D67EB8" w:rsidRPr="009118AB">
        <w:rPr>
          <w:i/>
          <w:sz w:val="20"/>
          <w:szCs w:val="20"/>
        </w:rPr>
        <w:t>Art. </w:t>
      </w:r>
      <w:r w:rsidRPr="009118AB">
        <w:rPr>
          <w:i/>
          <w:sz w:val="20"/>
          <w:szCs w:val="20"/>
        </w:rPr>
        <w:t xml:space="preserve">6 </w:t>
      </w:r>
      <w:r w:rsidR="00D67EB8" w:rsidRPr="009118AB">
        <w:rPr>
          <w:i/>
          <w:sz w:val="20"/>
          <w:szCs w:val="20"/>
        </w:rPr>
        <w:t>Nr. </w:t>
      </w:r>
      <w:r w:rsidRPr="009118AB">
        <w:rPr>
          <w:i/>
          <w:sz w:val="20"/>
          <w:szCs w:val="20"/>
        </w:rPr>
        <w:t>2</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 xml:space="preserve">in Kraft </w:t>
      </w:r>
      <w:r w:rsidRPr="009118AB">
        <w:rPr>
          <w:i/>
          <w:iCs/>
          <w:sz w:val="20"/>
          <w:szCs w:val="20"/>
        </w:rPr>
        <w:lastRenderedPageBreak/>
        <w:t>am 1. Januar 2027</w:t>
      </w:r>
      <w:r w:rsidR="00D67EB8" w:rsidRPr="009118AB">
        <w:rPr>
          <w:i/>
          <w:iCs/>
          <w:sz w:val="20"/>
          <w:szCs w:val="20"/>
        </w:rPr>
        <w:t> - </w:t>
      </w:r>
      <w:r w:rsidRPr="009118AB">
        <w:rPr>
          <w:i/>
          <w:iCs/>
          <w:sz w:val="20"/>
          <w:szCs w:val="20"/>
        </w:rPr>
        <w:t xml:space="preserve">und ersetzt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3 des G. vom 25. November 2021 (B.S. vom 3. Dezember 2021)</w:t>
      </w:r>
      <w:r w:rsidR="00D67EB8" w:rsidRPr="009118AB">
        <w:rPr>
          <w:i/>
          <w:iCs/>
          <w:sz w:val="20"/>
          <w:szCs w:val="20"/>
        </w:rPr>
        <w:t> - </w:t>
      </w:r>
      <w:r w:rsidRPr="009118AB">
        <w:rPr>
          <w:i/>
          <w:iCs/>
          <w:sz w:val="20"/>
          <w:szCs w:val="20"/>
        </w:rPr>
        <w:t xml:space="preserve">in Kraft am 1. Januar 2028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7 einziger Absatz dritter Gedankenstrich eingefügt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4 des G. vom 25. November 2021 (B.S. vom 3. Dezember 2021)</w:t>
      </w:r>
      <w:r w:rsidR="00D67EB8" w:rsidRPr="009118AB">
        <w:rPr>
          <w:i/>
          <w:iCs/>
          <w:sz w:val="20"/>
          <w:szCs w:val="20"/>
        </w:rPr>
        <w:t> - </w:t>
      </w:r>
      <w:r w:rsidRPr="009118AB">
        <w:rPr>
          <w:i/>
          <w:iCs/>
          <w:sz w:val="20"/>
          <w:szCs w:val="20"/>
        </w:rPr>
        <w:t>in Kraft am 1. Januar 2029</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7 einziger Absatz vierter Gedankenstrich eingefügt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5 des G. vom 25. November 2021 (B.S. vom 3. Dezember 2021)</w:t>
      </w:r>
      <w:r w:rsidR="00D67EB8" w:rsidRPr="009118AB">
        <w:rPr>
          <w:i/>
          <w:iCs/>
          <w:sz w:val="20"/>
          <w:szCs w:val="20"/>
        </w:rPr>
        <w:t> - </w:t>
      </w:r>
      <w:r w:rsidRPr="009118AB">
        <w:rPr>
          <w:i/>
          <w:iCs/>
          <w:sz w:val="20"/>
          <w:szCs w:val="20"/>
        </w:rPr>
        <w:t>in Kraft am 1. Januar 2030</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7 einziger Absatz </w:t>
      </w:r>
      <w:r w:rsidR="005B2712" w:rsidRPr="009118AB">
        <w:rPr>
          <w:i/>
          <w:iCs/>
          <w:sz w:val="20"/>
          <w:szCs w:val="20"/>
        </w:rPr>
        <w:t>fünf</w:t>
      </w:r>
      <w:r w:rsidRPr="009118AB">
        <w:rPr>
          <w:i/>
          <w:iCs/>
          <w:sz w:val="20"/>
          <w:szCs w:val="20"/>
        </w:rPr>
        <w:t xml:space="preserve">ter Gedankenstrich eingefügt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6 des G. vom 25. November 2021 (B.S. vom 3. Dezember 2021)</w:t>
      </w:r>
      <w:r w:rsidR="00D67EB8" w:rsidRPr="009118AB">
        <w:rPr>
          <w:i/>
          <w:iCs/>
          <w:sz w:val="20"/>
          <w:szCs w:val="20"/>
        </w:rPr>
        <w:t> - </w:t>
      </w:r>
      <w:r w:rsidRPr="009118AB">
        <w:rPr>
          <w:i/>
          <w:iCs/>
          <w:sz w:val="20"/>
          <w:szCs w:val="20"/>
        </w:rPr>
        <w:t>in Kraft am 1. Januar 2031</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3B3712" w:rsidRPr="009118AB">
        <w:rPr>
          <w:i/>
          <w:iCs/>
          <w:sz w:val="20"/>
          <w:szCs w:val="20"/>
        </w:rPr>
        <w:t xml:space="preserve">1 </w:t>
      </w:r>
      <w:r w:rsidR="00D67EB8" w:rsidRPr="009118AB">
        <w:rPr>
          <w:i/>
          <w:iCs/>
          <w:sz w:val="20"/>
          <w:szCs w:val="20"/>
        </w:rPr>
        <w:t>Nr. </w:t>
      </w:r>
      <w:r w:rsidR="003B3712" w:rsidRPr="009118AB">
        <w:rPr>
          <w:i/>
          <w:iCs/>
          <w:sz w:val="20"/>
          <w:szCs w:val="20"/>
        </w:rPr>
        <w:t xml:space="preserve">8 eingefügt durch </w:t>
      </w:r>
      <w:r w:rsidR="00D67EB8" w:rsidRPr="009118AB">
        <w:rPr>
          <w:i/>
          <w:iCs/>
          <w:sz w:val="20"/>
          <w:szCs w:val="20"/>
        </w:rPr>
        <w:t>Art. </w:t>
      </w:r>
      <w:r w:rsidR="003B3712" w:rsidRPr="009118AB">
        <w:rPr>
          <w:i/>
          <w:iCs/>
          <w:sz w:val="20"/>
          <w:szCs w:val="20"/>
        </w:rPr>
        <w:t>7 des G. vom 27. Dezember 2021 (B.S. vom 31. Dezember 2021)</w:t>
      </w:r>
      <w:r w:rsidR="00D67EB8" w:rsidRPr="009118AB">
        <w:rPr>
          <w:i/>
          <w:iCs/>
          <w:sz w:val="20"/>
          <w:szCs w:val="20"/>
        </w:rPr>
        <w:t> - </w:t>
      </w:r>
      <w:r w:rsidR="003B3712" w:rsidRPr="009118AB">
        <w:rPr>
          <w:i/>
          <w:iCs/>
          <w:sz w:val="20"/>
          <w:szCs w:val="20"/>
        </w:rPr>
        <w:t>anwendbar ab dem 1. Januar 2022</w:t>
      </w:r>
      <w:r w:rsidR="003366D9" w:rsidRPr="009118AB">
        <w:rPr>
          <w:i/>
          <w:iCs/>
          <w:sz w:val="20"/>
          <w:szCs w:val="20"/>
        </w:rPr>
        <w:t> -;</w:t>
      </w:r>
      <w:r w:rsidR="003B3712" w:rsidRPr="009118AB">
        <w:rPr>
          <w:i/>
          <w:iCs/>
          <w:sz w:val="20"/>
          <w:szCs w:val="20"/>
        </w:rPr>
        <w:t xml:space="preserve"> </w:t>
      </w:r>
      <w:r w:rsidR="00D67EB8" w:rsidRPr="009118AB">
        <w:rPr>
          <w:bCs/>
          <w:i/>
          <w:iCs/>
          <w:sz w:val="20"/>
          <w:szCs w:val="20"/>
        </w:rPr>
        <w:t>Abs. </w:t>
      </w:r>
      <w:r w:rsidRPr="009118AB">
        <w:rPr>
          <w:bCs/>
          <w:i/>
          <w:iCs/>
          <w:sz w:val="20"/>
          <w:szCs w:val="20"/>
        </w:rPr>
        <w:t>2 eingefügt</w:t>
      </w:r>
      <w:r w:rsidRPr="009118AB">
        <w:rPr>
          <w:bCs/>
          <w:iCs/>
          <w:sz w:val="20"/>
          <w:szCs w:val="20"/>
        </w:rPr>
        <w:t xml:space="preserve"> </w:t>
      </w:r>
      <w:r w:rsidRPr="009118AB">
        <w:rPr>
          <w:bCs/>
          <w:i/>
          <w:iCs/>
          <w:sz w:val="20"/>
          <w:szCs w:val="20"/>
        </w:rPr>
        <w:t xml:space="preserve">durch </w:t>
      </w:r>
      <w:r w:rsidR="00D67EB8" w:rsidRPr="009118AB">
        <w:rPr>
          <w:bCs/>
          <w:i/>
          <w:iCs/>
          <w:sz w:val="20"/>
          <w:szCs w:val="20"/>
        </w:rPr>
        <w:t>Art. </w:t>
      </w:r>
      <w:r w:rsidRPr="009118AB">
        <w:rPr>
          <w:bCs/>
          <w:i/>
          <w:iCs/>
          <w:sz w:val="20"/>
          <w:szCs w:val="20"/>
        </w:rPr>
        <w:t xml:space="preserve">178 </w:t>
      </w:r>
      <w:r w:rsidR="00D67EB8" w:rsidRPr="009118AB">
        <w:rPr>
          <w:bCs/>
          <w:i/>
          <w:iCs/>
          <w:sz w:val="20"/>
          <w:szCs w:val="20"/>
        </w:rPr>
        <w:t>Nr. </w:t>
      </w:r>
      <w:r w:rsidRPr="009118AB">
        <w:rPr>
          <w:bCs/>
          <w:i/>
          <w:iCs/>
          <w:sz w:val="20"/>
          <w:szCs w:val="20"/>
        </w:rPr>
        <w:t>2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2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71 Buchstabe</w:t>
      </w:r>
      <w:r w:rsidRPr="009118AB">
        <w:rPr>
          <w:rFonts w:hint="eastAsia"/>
          <w:i/>
          <w:iCs/>
          <w:sz w:val="20"/>
          <w:szCs w:val="20"/>
        </w:rPr>
        <w:t> </w:t>
      </w:r>
      <w:r w:rsidRPr="009118AB">
        <w:rPr>
          <w:i/>
          <w:iCs/>
          <w:sz w:val="20"/>
          <w:szCs w:val="20"/>
        </w:rPr>
        <w:t>b)</w:t>
      </w:r>
      <w:r w:rsidRPr="009118AB">
        <w:rPr>
          <w:bCs/>
          <w:i/>
          <w:iCs/>
          <w:sz w:val="20"/>
          <w:szCs w:val="20"/>
        </w:rPr>
        <w:t xml:space="preserve"> des G. vom 27. Juni 2021 (B.S. vom 30. Juni 2021)</w:t>
      </w:r>
      <w:r w:rsidR="00C13D48" w:rsidRPr="009118AB">
        <w:rPr>
          <w:bCs/>
          <w:i/>
          <w:iCs/>
          <w:sz w:val="20"/>
          <w:szCs w:val="20"/>
        </w:rPr>
        <w:t xml:space="preserve"> und </w:t>
      </w:r>
      <w:r w:rsidR="00D67EB8" w:rsidRPr="009118AB">
        <w:rPr>
          <w:bCs/>
          <w:i/>
          <w:iCs/>
          <w:sz w:val="20"/>
          <w:szCs w:val="20"/>
        </w:rPr>
        <w:t>Art. </w:t>
      </w:r>
      <w:r w:rsidR="00C13D48" w:rsidRPr="009118AB">
        <w:rPr>
          <w:bCs/>
          <w:i/>
          <w:iCs/>
          <w:sz w:val="20"/>
          <w:szCs w:val="20"/>
        </w:rPr>
        <w:t xml:space="preserve">47 </w:t>
      </w:r>
      <w:r w:rsidR="00D67EB8" w:rsidRPr="009118AB">
        <w:rPr>
          <w:bCs/>
          <w:i/>
          <w:iCs/>
          <w:sz w:val="20"/>
          <w:szCs w:val="20"/>
        </w:rPr>
        <w:t>Nr. </w:t>
      </w:r>
      <w:r w:rsidR="00C13D48" w:rsidRPr="009118AB">
        <w:rPr>
          <w:bCs/>
          <w:i/>
          <w:iCs/>
          <w:sz w:val="20"/>
          <w:szCs w:val="20"/>
        </w:rPr>
        <w:t>3 des G. vom 21. Januar 2022 (B.S. vom 28. Januar 2022)</w:t>
      </w:r>
      <w:r w:rsidR="00D67EB8" w:rsidRPr="009118AB">
        <w:rPr>
          <w:bCs/>
          <w:i/>
          <w:iCs/>
          <w:sz w:val="20"/>
          <w:szCs w:val="20"/>
        </w:rPr>
        <w:t> - </w:t>
      </w:r>
      <w:r w:rsidR="00C13D48"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Pr="009118AB">
        <w:rPr>
          <w:i/>
          <w:iCs/>
          <w:sz w:val="20"/>
          <w:szCs w:val="20"/>
        </w:rPr>
        <w:t xml:space="preserve"> </w:t>
      </w:r>
      <w:r w:rsidR="00D67EB8" w:rsidRPr="009118AB">
        <w:rPr>
          <w:bCs/>
          <w:i/>
          <w:iCs/>
          <w:sz w:val="20"/>
          <w:szCs w:val="20"/>
        </w:rPr>
        <w:t>Abs. </w:t>
      </w:r>
      <w:r w:rsidRPr="009118AB">
        <w:rPr>
          <w:bCs/>
          <w:i/>
          <w:iCs/>
          <w:sz w:val="20"/>
          <w:szCs w:val="20"/>
        </w:rPr>
        <w:t xml:space="preserve">4 eingefügt durch </w:t>
      </w:r>
      <w:r w:rsidR="00D67EB8" w:rsidRPr="009118AB">
        <w:rPr>
          <w:bCs/>
          <w:i/>
          <w:iCs/>
          <w:sz w:val="20"/>
          <w:szCs w:val="20"/>
        </w:rPr>
        <w:t>Art. </w:t>
      </w:r>
      <w:r w:rsidRPr="009118AB">
        <w:rPr>
          <w:bCs/>
          <w:i/>
          <w:iCs/>
          <w:sz w:val="20"/>
          <w:szCs w:val="20"/>
        </w:rPr>
        <w:t xml:space="preserve">18 </w:t>
      </w:r>
      <w:r w:rsidR="00D67EB8" w:rsidRPr="009118AB">
        <w:rPr>
          <w:bCs/>
          <w:i/>
          <w:iCs/>
          <w:sz w:val="20"/>
          <w:szCs w:val="20"/>
        </w:rPr>
        <w:t>Nr. </w:t>
      </w:r>
      <w:r w:rsidRPr="009118AB">
        <w:rPr>
          <w:bCs/>
          <w:i/>
          <w:iCs/>
          <w:sz w:val="20"/>
          <w:szCs w:val="20"/>
        </w:rPr>
        <w:t>2</w:t>
      </w:r>
      <w:r w:rsidRPr="009118AB">
        <w:rPr>
          <w:i/>
          <w:iCs/>
          <w:sz w:val="20"/>
          <w:szCs w:val="20"/>
        </w:rPr>
        <w:t xml:space="preserve">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 xml:space="preserve">31 </w:t>
      </w:r>
      <w:r w:rsidR="00D67EB8" w:rsidRPr="009118AB">
        <w:rPr>
          <w:i/>
          <w:iCs/>
          <w:sz w:val="20"/>
          <w:szCs w:val="20"/>
        </w:rPr>
        <w:t>Nr. </w:t>
      </w:r>
      <w:r w:rsidRPr="009118AB">
        <w:rPr>
          <w:i/>
          <w:iCs/>
          <w:sz w:val="20"/>
          <w:szCs w:val="20"/>
        </w:rPr>
        <w:t>3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71 Buchstabe c)</w:t>
      </w:r>
      <w:r w:rsidRPr="009118AB">
        <w:rPr>
          <w:bCs/>
          <w:i/>
          <w:iCs/>
          <w:sz w:val="20"/>
          <w:szCs w:val="20"/>
        </w:rPr>
        <w:t xml:space="preserve"> des G. vom 27. Juni 2021 (B.S. vom 30. Juni 2021)</w:t>
      </w:r>
      <w:r w:rsidR="0027187F" w:rsidRPr="009118AB">
        <w:rPr>
          <w:bCs/>
          <w:i/>
          <w:iCs/>
          <w:sz w:val="20"/>
          <w:szCs w:val="20"/>
        </w:rPr>
        <w:t>,</w:t>
      </w:r>
      <w:r w:rsidR="00C13D48" w:rsidRPr="009118AB">
        <w:rPr>
          <w:bCs/>
          <w:i/>
          <w:iCs/>
          <w:sz w:val="20"/>
          <w:szCs w:val="20"/>
        </w:rPr>
        <w:t xml:space="preserve"> </w:t>
      </w:r>
      <w:r w:rsidR="00D67EB8" w:rsidRPr="009118AB">
        <w:rPr>
          <w:bCs/>
          <w:i/>
          <w:iCs/>
          <w:sz w:val="20"/>
          <w:szCs w:val="20"/>
        </w:rPr>
        <w:t>Art. </w:t>
      </w:r>
      <w:r w:rsidR="00C13D48" w:rsidRPr="009118AB">
        <w:rPr>
          <w:bCs/>
          <w:i/>
          <w:iCs/>
          <w:sz w:val="20"/>
          <w:szCs w:val="20"/>
        </w:rPr>
        <w:t xml:space="preserve">47 </w:t>
      </w:r>
      <w:r w:rsidR="00D67EB8" w:rsidRPr="009118AB">
        <w:rPr>
          <w:bCs/>
          <w:i/>
          <w:iCs/>
          <w:sz w:val="20"/>
          <w:szCs w:val="20"/>
        </w:rPr>
        <w:t>Nr. </w:t>
      </w:r>
      <w:r w:rsidR="00C13D48" w:rsidRPr="009118AB">
        <w:rPr>
          <w:bCs/>
          <w:i/>
          <w:iCs/>
          <w:sz w:val="20"/>
          <w:szCs w:val="20"/>
        </w:rPr>
        <w:t>4 des G. vom 21. Januar 2022 (B.S. vom 28. Januar 2022)</w:t>
      </w:r>
      <w:r w:rsidR="0027187F" w:rsidRPr="009118AB">
        <w:rPr>
          <w:bCs/>
          <w:i/>
          <w:iCs/>
          <w:sz w:val="20"/>
          <w:szCs w:val="20"/>
        </w:rPr>
        <w:t xml:space="preserve"> und Art. 30 des G. vom 5. Juli</w:t>
      </w:r>
      <w:r w:rsidR="00603505" w:rsidRPr="009118AB">
        <w:rPr>
          <w:bCs/>
          <w:i/>
          <w:iCs/>
          <w:sz w:val="20"/>
          <w:szCs w:val="20"/>
        </w:rPr>
        <w:t> </w:t>
      </w:r>
      <w:r w:rsidR="0027187F" w:rsidRPr="009118AB">
        <w:rPr>
          <w:bCs/>
          <w:i/>
          <w:iCs/>
          <w:sz w:val="20"/>
          <w:szCs w:val="20"/>
        </w:rPr>
        <w:t>2022 (B.S. vom 15.</w:t>
      </w:r>
      <w:r w:rsidR="00603505" w:rsidRPr="009118AB">
        <w:rPr>
          <w:bCs/>
          <w:i/>
          <w:iCs/>
          <w:sz w:val="20"/>
          <w:szCs w:val="20"/>
        </w:rPr>
        <w:t> </w:t>
      </w:r>
      <w:r w:rsidR="0027187F" w:rsidRPr="009118AB">
        <w:rPr>
          <w:bCs/>
          <w:i/>
          <w:iCs/>
          <w:sz w:val="20"/>
          <w:szCs w:val="20"/>
        </w:rPr>
        <w:t>Juli</w:t>
      </w:r>
      <w:r w:rsidR="00603505" w:rsidRPr="009118AB">
        <w:rPr>
          <w:bCs/>
          <w:i/>
          <w:iCs/>
          <w:sz w:val="20"/>
          <w:szCs w:val="20"/>
        </w:rPr>
        <w:t> </w:t>
      </w:r>
      <w:r w:rsidR="0027187F" w:rsidRPr="009118AB">
        <w:rPr>
          <w:bCs/>
          <w:i/>
          <w:iCs/>
          <w:sz w:val="20"/>
          <w:szCs w:val="20"/>
        </w:rPr>
        <w:t>2022)</w:t>
      </w:r>
      <w:r w:rsidRPr="009118AB">
        <w:rPr>
          <w:bCs/>
          <w:i/>
          <w:iCs/>
          <w:sz w:val="20"/>
          <w:szCs w:val="20"/>
        </w:rPr>
        <w:t xml:space="preserve">; </w:t>
      </w:r>
      <w:r w:rsidR="00D67EB8" w:rsidRPr="009118AB">
        <w:rPr>
          <w:bCs/>
          <w:i/>
          <w:iCs/>
          <w:sz w:val="20"/>
          <w:szCs w:val="20"/>
        </w:rPr>
        <w:t>Abs. </w:t>
      </w:r>
      <w:r w:rsidRPr="009118AB">
        <w:rPr>
          <w:bCs/>
          <w:i/>
          <w:iCs/>
          <w:sz w:val="20"/>
          <w:szCs w:val="20"/>
        </w:rPr>
        <w:t xml:space="preserve">5 eingefügt durch </w:t>
      </w:r>
      <w:r w:rsidR="00D67EB8" w:rsidRPr="009118AB">
        <w:rPr>
          <w:bCs/>
          <w:i/>
          <w:iCs/>
          <w:sz w:val="20"/>
          <w:szCs w:val="20"/>
        </w:rPr>
        <w:t>Art. </w:t>
      </w:r>
      <w:r w:rsidRPr="009118AB">
        <w:rPr>
          <w:bCs/>
          <w:i/>
          <w:iCs/>
          <w:sz w:val="20"/>
          <w:szCs w:val="20"/>
        </w:rPr>
        <w:t xml:space="preserve">6 </w:t>
      </w:r>
      <w:r w:rsidR="00D67EB8" w:rsidRPr="009118AB">
        <w:rPr>
          <w:bCs/>
          <w:i/>
          <w:iCs/>
          <w:sz w:val="20"/>
          <w:szCs w:val="20"/>
        </w:rPr>
        <w:t>Nr. </w:t>
      </w:r>
      <w:r w:rsidRPr="009118AB">
        <w:rPr>
          <w:bCs/>
          <w:i/>
          <w:iCs/>
          <w:sz w:val="20"/>
          <w:szCs w:val="20"/>
        </w:rPr>
        <w:t>7</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 </w:t>
      </w:r>
      <w:r w:rsidR="00D67EB8" w:rsidRPr="009118AB">
        <w:rPr>
          <w:i/>
          <w:iCs/>
          <w:sz w:val="20"/>
          <w:szCs w:val="20"/>
        </w:rPr>
        <w:t>Nr. </w:t>
      </w:r>
      <w:r w:rsidRPr="009118AB">
        <w:rPr>
          <w:i/>
          <w:iCs/>
          <w:sz w:val="20"/>
          <w:szCs w:val="20"/>
        </w:rPr>
        <w:t>8 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sz w:val="20"/>
          <w:szCs w:val="20"/>
        </w:rPr>
        <w:t>"</w:t>
      </w:r>
    </w:p>
    <w:p w14:paraId="2FA94B49" w14:textId="650EE3AD" w:rsidR="00474E60" w:rsidRPr="009118AB" w:rsidRDefault="00474E60" w:rsidP="00474E60">
      <w:pPr>
        <w:autoSpaceDE w:val="0"/>
        <w:autoSpaceDN w:val="0"/>
        <w:adjustRightInd w:val="0"/>
        <w:jc w:val="both"/>
      </w:pPr>
    </w:p>
    <w:p w14:paraId="7B001A38" w14:textId="6918C9C5" w:rsidR="003B6CED" w:rsidRPr="009118AB" w:rsidRDefault="003B6CED" w:rsidP="003B6CED">
      <w:pPr>
        <w:autoSpaceDE w:val="0"/>
        <w:autoSpaceDN w:val="0"/>
        <w:adjustRightInd w:val="0"/>
        <w:jc w:val="both"/>
      </w:pPr>
    </w:p>
    <w:p w14:paraId="515E4641" w14:textId="17D89C9C" w:rsidR="00477B8F" w:rsidRPr="009118AB" w:rsidRDefault="00477B8F" w:rsidP="00FB41EF">
      <w:pPr>
        <w:autoSpaceDE w:val="0"/>
        <w:autoSpaceDN w:val="0"/>
        <w:adjustRightInd w:val="0"/>
        <w:jc w:val="both"/>
      </w:pPr>
      <w:r w:rsidRPr="009118AB">
        <w:tab/>
      </w:r>
      <w:r w:rsidR="00D67EB8" w:rsidRPr="009118AB">
        <w:rPr>
          <w:b/>
          <w:bCs/>
        </w:rPr>
        <w:t>Art. </w:t>
      </w:r>
      <w:r w:rsidRPr="009118AB">
        <w:rPr>
          <w:b/>
          <w:bCs/>
        </w:rPr>
        <w:t>224</w:t>
      </w:r>
      <w:r w:rsidR="00D67EB8" w:rsidRPr="009118AB">
        <w:t> - </w:t>
      </w:r>
      <w:r w:rsidR="00372B23" w:rsidRPr="009118AB">
        <w:t>[</w:t>
      </w:r>
      <w:r w:rsidR="0057258D" w:rsidRPr="009118AB">
        <w:t xml:space="preserve">In Artikel 180 </w:t>
      </w:r>
      <w:r w:rsidR="00D67EB8" w:rsidRPr="009118AB">
        <w:t>Nr. </w:t>
      </w:r>
      <w:r w:rsidR="0057258D" w:rsidRPr="009118AB">
        <w:t>1 erwähnte Interkommunale, Zusammenarbeitsverbände, Projektvereinigungen, autonome Gemeinderegien und Vereinigungen sind ebenfalls steuerpflichtig auf den Gesamtbetrag der Summen, die Gesellschaften oder anderen juristischen Personen als Dividenden zuerkannt werden, ausschließlich der Dividenden, die dem Staat, den Gemeinschaften, Regionen, Provinzen, Agglomerationen, Gemeindeföde</w:t>
      </w:r>
      <w:r w:rsidR="0057258D" w:rsidRPr="009118AB">
        <w:softHyphen/>
        <w:t>rationen, Gemeinden und öffentlichen Sozialhilfezentren zuerkannt werden.</w:t>
      </w:r>
      <w:r w:rsidR="00FB41EF" w:rsidRPr="009118AB">
        <w:t>]</w:t>
      </w:r>
    </w:p>
    <w:p w14:paraId="28BA150A" w14:textId="77777777" w:rsidR="00477B8F" w:rsidRPr="009118AB" w:rsidRDefault="00477B8F" w:rsidP="00477B8F">
      <w:pPr>
        <w:autoSpaceDE w:val="0"/>
        <w:autoSpaceDN w:val="0"/>
        <w:adjustRightInd w:val="0"/>
        <w:jc w:val="both"/>
      </w:pPr>
    </w:p>
    <w:p w14:paraId="05C5E9EB" w14:textId="782DF84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224 </w:t>
      </w:r>
      <w:r w:rsidR="00FB41EF" w:rsidRPr="009118AB">
        <w:rPr>
          <w:i/>
          <w:iCs/>
        </w:rPr>
        <w:t xml:space="preserve">aufgehoben durch </w:t>
      </w:r>
      <w:r w:rsidR="00D67EB8" w:rsidRPr="009118AB">
        <w:rPr>
          <w:i/>
          <w:iCs/>
        </w:rPr>
        <w:t>Art. </w:t>
      </w:r>
      <w:r w:rsidR="00FB41EF" w:rsidRPr="009118AB">
        <w:rPr>
          <w:i/>
          <w:iCs/>
        </w:rPr>
        <w:t xml:space="preserve">20 </w:t>
      </w:r>
      <w:r w:rsidR="00FB41EF" w:rsidRPr="009118AB">
        <w:rPr>
          <w:i/>
          <w:iCs/>
          <w:spacing w:val="-1"/>
        </w:rPr>
        <w:t>des G. vom 19. Dezember 2014 (B.S. vom 29. Dezember 2014)</w:t>
      </w:r>
      <w:r w:rsidR="00D67EB8" w:rsidRPr="009118AB">
        <w:rPr>
          <w:i/>
          <w:iCs/>
          <w:spacing w:val="-1"/>
        </w:rPr>
        <w:t> - </w:t>
      </w:r>
      <w:r w:rsidR="00FB41EF" w:rsidRPr="009118AB">
        <w:rPr>
          <w:i/>
          <w:iCs/>
          <w:spacing w:val="-1"/>
        </w:rPr>
        <w:t>in Kraft ab dem Steuerjahr 2015 und anwendbar auf Geschäftsjahre, die frühestens am 1. Juli 2015 abgeschlossen werden</w:t>
      </w:r>
      <w:r w:rsidR="00D67EB8" w:rsidRPr="009118AB">
        <w:rPr>
          <w:i/>
          <w:iCs/>
          <w:spacing w:val="-1"/>
        </w:rPr>
        <w:t> - </w:t>
      </w:r>
      <w:r w:rsidR="0057258D" w:rsidRPr="009118AB">
        <w:rPr>
          <w:i/>
          <w:iCs/>
          <w:spacing w:val="-1"/>
        </w:rPr>
        <w:t xml:space="preserve">und wieder aufgenommen durch </w:t>
      </w:r>
      <w:r w:rsidR="00D67EB8" w:rsidRPr="009118AB">
        <w:rPr>
          <w:i/>
          <w:iCs/>
          <w:spacing w:val="-1"/>
        </w:rPr>
        <w:t>Art. </w:t>
      </w:r>
      <w:r w:rsidR="0057258D" w:rsidRPr="009118AB">
        <w:rPr>
          <w:i/>
          <w:iCs/>
          <w:spacing w:val="-1"/>
        </w:rPr>
        <w:t>90 des G. vom 10. August 2015 (B.S. vom 18. August 2015)</w:t>
      </w:r>
      <w:r w:rsidR="00D67EB8" w:rsidRPr="009118AB">
        <w:rPr>
          <w:i/>
          <w:iCs/>
          <w:spacing w:val="-1"/>
        </w:rPr>
        <w:t> - </w:t>
      </w:r>
      <w:r w:rsidR="0057258D" w:rsidRPr="009118AB">
        <w:rPr>
          <w:i/>
        </w:rPr>
        <w:t>in Kraft ab dem Steuerjahr 2015 und anwendbar</w:t>
      </w:r>
      <w:r w:rsidR="0057258D" w:rsidRPr="009118AB">
        <w:rPr>
          <w:i/>
          <w:iCs/>
          <w:spacing w:val="-1"/>
        </w:rPr>
        <w:t xml:space="preserve"> </w:t>
      </w:r>
      <w:r w:rsidR="0057258D" w:rsidRPr="009118AB">
        <w:rPr>
          <w:i/>
        </w:rPr>
        <w:t>auf Geschäftsjahre, die frühestens am 1. August 2015 abgeschlossen werden</w:t>
      </w:r>
      <w:r w:rsidR="00FD68E8" w:rsidRPr="009118AB">
        <w:rPr>
          <w:i/>
          <w:iCs/>
        </w:rPr>
        <w:t> -]</w:t>
      </w:r>
    </w:p>
    <w:p w14:paraId="14AB8236" w14:textId="69596CD2" w:rsidR="00477B8F" w:rsidRPr="009118AB" w:rsidRDefault="00477B8F" w:rsidP="00477B8F">
      <w:pPr>
        <w:autoSpaceDE w:val="0"/>
        <w:autoSpaceDN w:val="0"/>
        <w:adjustRightInd w:val="0"/>
        <w:jc w:val="center"/>
      </w:pPr>
      <w:r w:rsidRPr="009118AB">
        <w:br w:type="page"/>
      </w:r>
      <w:r w:rsidR="004C080A" w:rsidRPr="009118AB">
        <w:rPr>
          <w:b/>
          <w:bCs/>
        </w:rPr>
        <w:lastRenderedPageBreak/>
        <w:t>KAPITEL </w:t>
      </w:r>
      <w:r w:rsidR="007828ED" w:rsidRPr="009118AB">
        <w:rPr>
          <w:b/>
          <w:bCs/>
        </w:rPr>
        <w:t>3</w:t>
      </w:r>
      <w:r w:rsidR="00D67EB8" w:rsidRPr="009118AB">
        <w:t> - </w:t>
      </w:r>
      <w:r w:rsidRPr="009118AB">
        <w:rPr>
          <w:i/>
          <w:iCs/>
        </w:rPr>
        <w:t>Steuerberechnung</w:t>
      </w:r>
    </w:p>
    <w:p w14:paraId="12AF210B" w14:textId="77777777" w:rsidR="00477B8F" w:rsidRPr="009118AB" w:rsidRDefault="00477B8F" w:rsidP="00477B8F">
      <w:pPr>
        <w:autoSpaceDE w:val="0"/>
        <w:autoSpaceDN w:val="0"/>
        <w:adjustRightInd w:val="0"/>
        <w:jc w:val="both"/>
      </w:pPr>
    </w:p>
    <w:p w14:paraId="63936B26" w14:textId="77777777" w:rsidR="00477B8F" w:rsidRPr="009118AB" w:rsidRDefault="00477B8F" w:rsidP="00477B8F">
      <w:pPr>
        <w:autoSpaceDE w:val="0"/>
        <w:autoSpaceDN w:val="0"/>
        <w:adjustRightInd w:val="0"/>
        <w:jc w:val="both"/>
      </w:pPr>
    </w:p>
    <w:p w14:paraId="29828DF0" w14:textId="630C22D3" w:rsidR="006A2667" w:rsidRPr="009118AB" w:rsidRDefault="00477B8F" w:rsidP="006A2667">
      <w:pPr>
        <w:autoSpaceDE w:val="0"/>
        <w:autoSpaceDN w:val="0"/>
        <w:adjustRightInd w:val="0"/>
        <w:jc w:val="both"/>
        <w:rPr>
          <w:bCs/>
          <w:iCs/>
        </w:rPr>
      </w:pPr>
      <w:r w:rsidRPr="009118AB">
        <w:tab/>
      </w:r>
      <w:r w:rsidR="00D67EB8" w:rsidRPr="009118AB">
        <w:rPr>
          <w:b/>
          <w:bCs/>
        </w:rPr>
        <w:t>Art. </w:t>
      </w:r>
      <w:r w:rsidRPr="009118AB">
        <w:rPr>
          <w:b/>
          <w:bCs/>
        </w:rPr>
        <w:t>225</w:t>
      </w:r>
      <w:r w:rsidR="00D67EB8" w:rsidRPr="009118AB">
        <w:t> - </w:t>
      </w:r>
      <w:r w:rsidR="006A2667" w:rsidRPr="009118AB">
        <w:rPr>
          <w:bCs/>
          <w:iCs/>
        </w:rPr>
        <w:t>Die Steuer in Bezug auf die in Artikel 221 erwähnten Einkünfte entspricht dem Immobilien- und dem Mobiliensteuervorabzug.</w:t>
      </w:r>
    </w:p>
    <w:p w14:paraId="108BF0B4" w14:textId="77777777" w:rsidR="006A2667" w:rsidRPr="009118AB" w:rsidRDefault="006A2667" w:rsidP="006A2667">
      <w:pPr>
        <w:autoSpaceDE w:val="0"/>
        <w:autoSpaceDN w:val="0"/>
        <w:adjustRightInd w:val="0"/>
        <w:jc w:val="both"/>
        <w:rPr>
          <w:bCs/>
          <w:iCs/>
        </w:rPr>
      </w:pPr>
    </w:p>
    <w:p w14:paraId="639DEBED" w14:textId="77777777" w:rsidR="006A2667" w:rsidRPr="009118AB" w:rsidRDefault="006A2667" w:rsidP="007A5766">
      <w:pPr>
        <w:autoSpaceDE w:val="0"/>
        <w:autoSpaceDN w:val="0"/>
        <w:adjustRightInd w:val="0"/>
        <w:ind w:firstLine="708"/>
        <w:jc w:val="both"/>
        <w:rPr>
          <w:bCs/>
          <w:iCs/>
        </w:rPr>
      </w:pPr>
      <w:r w:rsidRPr="009118AB">
        <w:rPr>
          <w:bCs/>
          <w:iCs/>
        </w:rPr>
        <w:t>Die Steuer wird berechnet:</w:t>
      </w:r>
    </w:p>
    <w:p w14:paraId="3C70C854" w14:textId="77777777" w:rsidR="006A2667" w:rsidRPr="009118AB" w:rsidRDefault="006A2667" w:rsidP="006A2667">
      <w:pPr>
        <w:autoSpaceDE w:val="0"/>
        <w:autoSpaceDN w:val="0"/>
        <w:adjustRightInd w:val="0"/>
        <w:jc w:val="both"/>
        <w:rPr>
          <w:bCs/>
          <w:iCs/>
        </w:rPr>
      </w:pPr>
    </w:p>
    <w:p w14:paraId="4DC20134" w14:textId="1EE085C2" w:rsidR="006A2667" w:rsidRPr="009118AB" w:rsidRDefault="006A2667" w:rsidP="007A5766">
      <w:pPr>
        <w:autoSpaceDE w:val="0"/>
        <w:autoSpaceDN w:val="0"/>
        <w:adjustRightInd w:val="0"/>
        <w:ind w:firstLine="708"/>
        <w:jc w:val="both"/>
        <w:rPr>
          <w:bCs/>
          <w:iCs/>
        </w:rPr>
      </w:pPr>
      <w:r w:rsidRPr="009118AB">
        <w:rPr>
          <w:bCs/>
          <w:iCs/>
        </w:rPr>
        <w:t xml:space="preserve">1. zum Satz von 20 Prozent auf die in Artikel 222 </w:t>
      </w:r>
      <w:r w:rsidR="00D67EB8" w:rsidRPr="009118AB">
        <w:rPr>
          <w:bCs/>
          <w:iCs/>
        </w:rPr>
        <w:t>Nr. </w:t>
      </w:r>
      <w:r w:rsidRPr="009118AB">
        <w:rPr>
          <w:bCs/>
          <w:iCs/>
        </w:rPr>
        <w:t>1 bis 3 erwähnten Einkünfte,</w:t>
      </w:r>
    </w:p>
    <w:p w14:paraId="26B4F4B2" w14:textId="77777777" w:rsidR="006A2667" w:rsidRPr="009118AB" w:rsidRDefault="006A2667" w:rsidP="006A2667">
      <w:pPr>
        <w:autoSpaceDE w:val="0"/>
        <w:autoSpaceDN w:val="0"/>
        <w:adjustRightInd w:val="0"/>
        <w:jc w:val="both"/>
        <w:rPr>
          <w:bCs/>
          <w:iCs/>
        </w:rPr>
      </w:pPr>
    </w:p>
    <w:p w14:paraId="071C0B1D" w14:textId="7DB5139B" w:rsidR="006A2667" w:rsidRPr="009118AB" w:rsidRDefault="006A2667" w:rsidP="007A5766">
      <w:pPr>
        <w:autoSpaceDE w:val="0"/>
        <w:autoSpaceDN w:val="0"/>
        <w:adjustRightInd w:val="0"/>
        <w:ind w:firstLine="708"/>
        <w:jc w:val="both"/>
        <w:rPr>
          <w:bCs/>
          <w:iCs/>
        </w:rPr>
      </w:pPr>
      <w:r w:rsidRPr="009118AB">
        <w:rPr>
          <w:bCs/>
          <w:iCs/>
        </w:rPr>
        <w:t xml:space="preserve">2. zum Satz von 33 Prozent beziehungsweise von 16,5 Prozent auf die in Artikel 222 </w:t>
      </w:r>
      <w:r w:rsidR="00D67EB8" w:rsidRPr="009118AB">
        <w:rPr>
          <w:bCs/>
          <w:iCs/>
        </w:rPr>
        <w:t>Nr. </w:t>
      </w:r>
      <w:r w:rsidRPr="009118AB">
        <w:rPr>
          <w:bCs/>
          <w:iCs/>
        </w:rPr>
        <w:t xml:space="preserve">4 erwähnten Mehrwerte, gemäß der in Artikel 171 </w:t>
      </w:r>
      <w:r w:rsidR="00D67EB8" w:rsidRPr="009118AB">
        <w:rPr>
          <w:bCs/>
          <w:iCs/>
        </w:rPr>
        <w:t>Nr. </w:t>
      </w:r>
      <w:r w:rsidRPr="009118AB">
        <w:rPr>
          <w:bCs/>
          <w:iCs/>
        </w:rPr>
        <w:t>1 Buchstabe </w:t>
      </w:r>
      <w:r w:rsidRPr="009118AB">
        <w:rPr>
          <w:bCs/>
          <w:i/>
          <w:iCs/>
        </w:rPr>
        <w:t>b)</w:t>
      </w:r>
      <w:r w:rsidRPr="009118AB">
        <w:rPr>
          <w:bCs/>
          <w:iCs/>
        </w:rPr>
        <w:t xml:space="preserve"> und </w:t>
      </w:r>
      <w:r w:rsidR="00D67EB8" w:rsidRPr="009118AB">
        <w:rPr>
          <w:bCs/>
          <w:iCs/>
        </w:rPr>
        <w:t>Nr. </w:t>
      </w:r>
      <w:r w:rsidRPr="009118AB">
        <w:rPr>
          <w:bCs/>
          <w:iCs/>
        </w:rPr>
        <w:t>4 Buchstabe </w:t>
      </w:r>
      <w:r w:rsidRPr="009118AB">
        <w:rPr>
          <w:bCs/>
          <w:i/>
          <w:iCs/>
        </w:rPr>
        <w:t>d)</w:t>
      </w:r>
      <w:r w:rsidRPr="009118AB">
        <w:rPr>
          <w:bCs/>
          <w:iCs/>
        </w:rPr>
        <w:t xml:space="preserve"> vorgesehenen Unterscheidung,</w:t>
      </w:r>
    </w:p>
    <w:p w14:paraId="59E2FEB9" w14:textId="77777777" w:rsidR="006A2667" w:rsidRPr="009118AB" w:rsidRDefault="006A2667" w:rsidP="006A2667">
      <w:pPr>
        <w:autoSpaceDE w:val="0"/>
        <w:autoSpaceDN w:val="0"/>
        <w:adjustRightInd w:val="0"/>
        <w:jc w:val="both"/>
        <w:rPr>
          <w:bCs/>
          <w:iCs/>
        </w:rPr>
      </w:pPr>
    </w:p>
    <w:p w14:paraId="7452D8F8" w14:textId="64862E06" w:rsidR="006A2667" w:rsidRPr="009118AB" w:rsidRDefault="006A2667" w:rsidP="007A5766">
      <w:pPr>
        <w:autoSpaceDE w:val="0"/>
        <w:autoSpaceDN w:val="0"/>
        <w:adjustRightInd w:val="0"/>
        <w:ind w:firstLine="708"/>
        <w:jc w:val="both"/>
        <w:rPr>
          <w:bCs/>
          <w:iCs/>
        </w:rPr>
      </w:pPr>
      <w:r w:rsidRPr="009118AB">
        <w:rPr>
          <w:bCs/>
          <w:iCs/>
        </w:rPr>
        <w:t xml:space="preserve">3. zum Satz von 16,5 Prozent auf die [in Artikel 222 </w:t>
      </w:r>
      <w:r w:rsidR="00D67EB8" w:rsidRPr="009118AB">
        <w:rPr>
          <w:bCs/>
          <w:iCs/>
        </w:rPr>
        <w:t>Nr. </w:t>
      </w:r>
      <w:r w:rsidRPr="009118AB">
        <w:rPr>
          <w:bCs/>
          <w:iCs/>
        </w:rPr>
        <w:t>5 und 6] erwähnten Mehrwerte,</w:t>
      </w:r>
    </w:p>
    <w:p w14:paraId="295A932A" w14:textId="77777777" w:rsidR="006A2667" w:rsidRPr="009118AB" w:rsidRDefault="006A2667" w:rsidP="006A2667">
      <w:pPr>
        <w:autoSpaceDE w:val="0"/>
        <w:autoSpaceDN w:val="0"/>
        <w:adjustRightInd w:val="0"/>
        <w:jc w:val="both"/>
        <w:rPr>
          <w:bCs/>
          <w:iCs/>
        </w:rPr>
      </w:pPr>
    </w:p>
    <w:p w14:paraId="12CC697C" w14:textId="6572F802" w:rsidR="006A2667" w:rsidRPr="009118AB" w:rsidRDefault="006A2667" w:rsidP="007A5766">
      <w:pPr>
        <w:autoSpaceDE w:val="0"/>
        <w:autoSpaceDN w:val="0"/>
        <w:adjustRightInd w:val="0"/>
        <w:ind w:firstLine="708"/>
        <w:jc w:val="both"/>
        <w:rPr>
          <w:bCs/>
          <w:iCs/>
        </w:rPr>
      </w:pPr>
      <w:r w:rsidRPr="009118AB">
        <w:rPr>
          <w:bCs/>
          <w:iCs/>
        </w:rPr>
        <w:t xml:space="preserve">4. [zum Satz von </w:t>
      </w:r>
      <w:r w:rsidR="00813905" w:rsidRPr="009118AB">
        <w:rPr>
          <w:bCs/>
          <w:iCs/>
        </w:rPr>
        <w:t>[1</w:t>
      </w:r>
      <w:r w:rsidRPr="009118AB">
        <w:rPr>
          <w:bCs/>
          <w:iCs/>
        </w:rPr>
        <w:t>00 Prozent</w:t>
      </w:r>
      <w:r w:rsidR="00813905" w:rsidRPr="009118AB">
        <w:rPr>
          <w:bCs/>
          <w:iCs/>
        </w:rPr>
        <w:t>]</w:t>
      </w:r>
      <w:r w:rsidRPr="009118AB">
        <w:rPr>
          <w:bCs/>
          <w:iCs/>
        </w:rPr>
        <w:t xml:space="preserve"> </w:t>
      </w:r>
      <w:r w:rsidR="00C13D48" w:rsidRPr="009118AB">
        <w:rPr>
          <w:bCs/>
          <w:iCs/>
        </w:rPr>
        <w:t>[</w:t>
      </w:r>
      <w:r w:rsidR="00C13D48" w:rsidRPr="009118AB">
        <w:rPr>
          <w:lang w:eastAsia="fr-BE"/>
        </w:rPr>
        <w:t xml:space="preserve">auf die in Artikel 223 Absatz 1 </w:t>
      </w:r>
      <w:r w:rsidR="00D67EB8" w:rsidRPr="009118AB">
        <w:rPr>
          <w:lang w:eastAsia="fr-BE"/>
        </w:rPr>
        <w:t>Nr. </w:t>
      </w:r>
      <w:r w:rsidR="00C13D48" w:rsidRPr="009118AB">
        <w:rPr>
          <w:lang w:eastAsia="fr-BE"/>
        </w:rPr>
        <w:t xml:space="preserve">1 erwähnten nicht nachgewiesenen Ausgaben, Vorteile jeglicher Art und Einkünfte wie in Artikel 17 </w:t>
      </w:r>
      <w:r w:rsidR="00D67EB8" w:rsidRPr="009118AB">
        <w:rPr>
          <w:lang w:eastAsia="fr-BE"/>
        </w:rPr>
        <w:t>§ </w:t>
      </w:r>
      <w:r w:rsidR="00C13D48" w:rsidRPr="009118AB">
        <w:rPr>
          <w:lang w:eastAsia="fr-BE"/>
        </w:rPr>
        <w:t xml:space="preserve">1 </w:t>
      </w:r>
      <w:r w:rsidR="00D67EB8" w:rsidRPr="009118AB">
        <w:rPr>
          <w:lang w:eastAsia="fr-BE"/>
        </w:rPr>
        <w:t>Nr. </w:t>
      </w:r>
      <w:r w:rsidR="00C13D48" w:rsidRPr="009118AB">
        <w:rPr>
          <w:lang w:eastAsia="fr-BE"/>
        </w:rPr>
        <w:t xml:space="preserve">3, was Urheberrechte und ähnliche Rechte betrifft, und </w:t>
      </w:r>
      <w:r w:rsidR="00D67EB8" w:rsidRPr="009118AB">
        <w:rPr>
          <w:lang w:eastAsia="fr-BE"/>
        </w:rPr>
        <w:t>Nr. </w:t>
      </w:r>
      <w:r w:rsidR="00C13D48" w:rsidRPr="009118AB">
        <w:rPr>
          <w:lang w:eastAsia="fr-BE"/>
        </w:rPr>
        <w:t>5 erwähnt</w:t>
      </w:r>
      <w:r w:rsidR="00C13D48" w:rsidRPr="009118AB">
        <w:rPr>
          <w:bCs/>
          <w:iCs/>
        </w:rPr>
        <w:t>]</w:t>
      </w:r>
      <w:r w:rsidRPr="009118AB">
        <w:rPr>
          <w:bCs/>
          <w:iCs/>
        </w:rPr>
        <w:t xml:space="preserve"> und auf die in Artikel 223 Absatz 1 </w:t>
      </w:r>
      <w:r w:rsidR="00D67EB8" w:rsidRPr="009118AB">
        <w:rPr>
          <w:bCs/>
          <w:iCs/>
        </w:rPr>
        <w:t>Nr. </w:t>
      </w:r>
      <w:r w:rsidRPr="009118AB">
        <w:rPr>
          <w:bCs/>
          <w:iCs/>
        </w:rPr>
        <w:t>3 erwähnten finanziellen Vorteile oder Vorteile jeglicher Art,]</w:t>
      </w:r>
      <w:r w:rsidR="00813905" w:rsidRPr="009118AB">
        <w:rPr>
          <w:bCs/>
          <w:iCs/>
        </w:rPr>
        <w:t xml:space="preserve"> [</w:t>
      </w:r>
      <w:r w:rsidR="00C13D48" w:rsidRPr="009118AB">
        <w:rPr>
          <w:lang w:eastAsia="fr-BE"/>
        </w:rPr>
        <w:t xml:space="preserve">außer wenn nachgewiesen werden kann, dass der Empfänger dieser Ausgaben, Vorteile jeglicher Art, Einkünfte wie in Artikel 17 </w:t>
      </w:r>
      <w:r w:rsidR="00D67EB8" w:rsidRPr="009118AB">
        <w:rPr>
          <w:lang w:eastAsia="fr-BE"/>
        </w:rPr>
        <w:t>§ </w:t>
      </w:r>
      <w:r w:rsidR="00C13D48" w:rsidRPr="009118AB">
        <w:rPr>
          <w:lang w:eastAsia="fr-BE"/>
        </w:rPr>
        <w:t xml:space="preserve">1 </w:t>
      </w:r>
      <w:r w:rsidR="00D67EB8" w:rsidRPr="009118AB">
        <w:rPr>
          <w:lang w:eastAsia="fr-BE"/>
        </w:rPr>
        <w:t>Nr. </w:t>
      </w:r>
      <w:r w:rsidR="00C13D48" w:rsidRPr="009118AB">
        <w:rPr>
          <w:lang w:eastAsia="fr-BE"/>
        </w:rPr>
        <w:t xml:space="preserve">3, was Urheberrechte und ähnliche Rechte betrifft, und </w:t>
      </w:r>
      <w:r w:rsidR="00D67EB8" w:rsidRPr="009118AB">
        <w:rPr>
          <w:lang w:eastAsia="fr-BE"/>
        </w:rPr>
        <w:t>Nr. </w:t>
      </w:r>
      <w:r w:rsidR="00C13D48" w:rsidRPr="009118AB">
        <w:rPr>
          <w:lang w:eastAsia="fr-BE"/>
        </w:rPr>
        <w:t>5 erwähnt und finanziellen Vorteile eine juristische Person ist; in diesen Fällen wird der Steuersatz auf 50 Prozent festgelegt</w:t>
      </w:r>
      <w:r w:rsidR="00C13D48" w:rsidRPr="009118AB">
        <w:rPr>
          <w:bCs/>
          <w:iCs/>
        </w:rPr>
        <w:t>],</w:t>
      </w:r>
    </w:p>
    <w:p w14:paraId="46F76881" w14:textId="77777777" w:rsidR="006A2667" w:rsidRPr="009118AB" w:rsidRDefault="006A2667" w:rsidP="006A2667">
      <w:pPr>
        <w:autoSpaceDE w:val="0"/>
        <w:autoSpaceDN w:val="0"/>
        <w:adjustRightInd w:val="0"/>
        <w:jc w:val="both"/>
        <w:rPr>
          <w:bCs/>
          <w:iCs/>
        </w:rPr>
      </w:pPr>
    </w:p>
    <w:p w14:paraId="3281C269" w14:textId="42386627" w:rsidR="006A2667" w:rsidRPr="009118AB" w:rsidRDefault="006A2667" w:rsidP="00D14984">
      <w:pPr>
        <w:autoSpaceDE w:val="0"/>
        <w:autoSpaceDN w:val="0"/>
        <w:adjustRightInd w:val="0"/>
        <w:ind w:firstLine="708"/>
        <w:jc w:val="both"/>
        <w:rPr>
          <w:bCs/>
          <w:iCs/>
        </w:rPr>
      </w:pPr>
      <w:r w:rsidRPr="009118AB">
        <w:rPr>
          <w:bCs/>
          <w:iCs/>
        </w:rPr>
        <w:t xml:space="preserve">5. </w:t>
      </w:r>
      <w:r w:rsidR="00D14984" w:rsidRPr="009118AB">
        <w:rPr>
          <w:bCs/>
          <w:iCs/>
        </w:rPr>
        <w:t xml:space="preserve">[zu dem in Artikel 215 Absatz 1 erwähnten Satz auf die in Artikel 223 Absatz 1 </w:t>
      </w:r>
      <w:r w:rsidR="00D67EB8" w:rsidRPr="009118AB">
        <w:rPr>
          <w:bCs/>
          <w:iCs/>
        </w:rPr>
        <w:t>Nr. </w:t>
      </w:r>
      <w:r w:rsidR="00D14984" w:rsidRPr="009118AB">
        <w:rPr>
          <w:bCs/>
          <w:iCs/>
        </w:rPr>
        <w:t xml:space="preserve">2 erwähnten Beiträge, Prämien, Pensionen, Renten und Zulagen, auf die in Artikel 223 Absatz 1 </w:t>
      </w:r>
      <w:r w:rsidR="00D67EB8" w:rsidRPr="009118AB">
        <w:rPr>
          <w:bCs/>
          <w:iCs/>
        </w:rPr>
        <w:t>Nr. </w:t>
      </w:r>
      <w:r w:rsidR="00D14984" w:rsidRPr="009118AB">
        <w:rPr>
          <w:bCs/>
          <w:iCs/>
        </w:rPr>
        <w:t>3 erwähnten finanziellen Vorteile oder Vorteile jeglicher Art</w:t>
      </w:r>
      <w:r w:rsidR="003B3712" w:rsidRPr="009118AB">
        <w:rPr>
          <w:bCs/>
          <w:iCs/>
        </w:rPr>
        <w:t>[</w:t>
      </w:r>
      <w:r w:rsidR="003B3712" w:rsidRPr="009118AB">
        <w:rPr>
          <w:rFonts w:eastAsia="Calibri"/>
          <w:szCs w:val="22"/>
          <w:lang w:eastAsia="en-US"/>
        </w:rPr>
        <w:t xml:space="preserve">, auf die in Artikel 223 Absatz 1 </w:t>
      </w:r>
      <w:r w:rsidR="00D67EB8" w:rsidRPr="009118AB">
        <w:rPr>
          <w:rFonts w:eastAsia="Calibri"/>
          <w:szCs w:val="22"/>
          <w:lang w:eastAsia="en-US"/>
        </w:rPr>
        <w:t>Nr. </w:t>
      </w:r>
      <w:r w:rsidR="003B3712" w:rsidRPr="009118AB">
        <w:rPr>
          <w:rFonts w:eastAsia="Calibri"/>
          <w:szCs w:val="22"/>
          <w:lang w:eastAsia="en-US"/>
        </w:rPr>
        <w:t>8 erwähnten Provisionen, Maklergebühren, kommerziellen oder anderen Ermäßigungen, zufälligen oder nicht zufälligen Entgelte oder Honorare, Zuwendungen, Vergütungen oder Vorteile jeglicher Art</w:t>
      </w:r>
      <w:r w:rsidR="003B3712" w:rsidRPr="009118AB">
        <w:rPr>
          <w:bCs/>
          <w:iCs/>
        </w:rPr>
        <w:t>]</w:t>
      </w:r>
      <w:r w:rsidR="00D14984" w:rsidRPr="009118AB">
        <w:rPr>
          <w:bCs/>
          <w:iCs/>
        </w:rPr>
        <w:t xml:space="preserve"> [</w:t>
      </w:r>
      <w:r w:rsidR="00D14984" w:rsidRPr="009118AB">
        <w:t xml:space="preserve">und auf die [in Artikel 223 Absatz 1 </w:t>
      </w:r>
      <w:r w:rsidR="00D67EB8" w:rsidRPr="009118AB">
        <w:t>Nr. </w:t>
      </w:r>
      <w:r w:rsidR="00D14984" w:rsidRPr="009118AB">
        <w:t>4 und 5] […] erwähnten Beträge]</w:t>
      </w:r>
      <w:r w:rsidR="00D14984" w:rsidRPr="009118AB">
        <w:rPr>
          <w:bCs/>
          <w:iCs/>
        </w:rPr>
        <w:t>,]</w:t>
      </w:r>
    </w:p>
    <w:p w14:paraId="606224B6" w14:textId="77777777" w:rsidR="00D14984" w:rsidRPr="009118AB" w:rsidRDefault="00D14984" w:rsidP="00D14984">
      <w:pPr>
        <w:autoSpaceDE w:val="0"/>
        <w:autoSpaceDN w:val="0"/>
        <w:adjustRightInd w:val="0"/>
        <w:ind w:firstLine="708"/>
        <w:jc w:val="both"/>
        <w:rPr>
          <w:bCs/>
          <w:iCs/>
        </w:rPr>
      </w:pPr>
    </w:p>
    <w:p w14:paraId="370C11A2" w14:textId="0C66165A" w:rsidR="006A2667" w:rsidRPr="009118AB" w:rsidRDefault="006A2667" w:rsidP="007A5766">
      <w:pPr>
        <w:autoSpaceDE w:val="0"/>
        <w:autoSpaceDN w:val="0"/>
        <w:adjustRightInd w:val="0"/>
        <w:ind w:firstLine="708"/>
        <w:jc w:val="both"/>
        <w:rPr>
          <w:bCs/>
          <w:iCs/>
        </w:rPr>
      </w:pPr>
      <w:r w:rsidRPr="009118AB">
        <w:rPr>
          <w:bCs/>
          <w:iCs/>
        </w:rPr>
        <w:t xml:space="preserve">6. </w:t>
      </w:r>
      <w:r w:rsidR="000B6CBA" w:rsidRPr="009118AB">
        <w:rPr>
          <w:bCs/>
          <w:iCs/>
        </w:rPr>
        <w:t>[</w:t>
      </w:r>
      <w:r w:rsidR="003C41CE" w:rsidRPr="009118AB">
        <w:rPr>
          <w:bCs/>
          <w:iCs/>
        </w:rPr>
        <w:t>zum Satz von 25 Prozent auf die in Artikel 224 erwähnten Dividenden.</w:t>
      </w:r>
      <w:r w:rsidR="000B6CBA" w:rsidRPr="009118AB">
        <w:rPr>
          <w:bCs/>
          <w:iCs/>
        </w:rPr>
        <w:t>]</w:t>
      </w:r>
    </w:p>
    <w:p w14:paraId="650D455F" w14:textId="77777777" w:rsidR="006A2667" w:rsidRPr="009118AB" w:rsidRDefault="006A2667" w:rsidP="006A2667">
      <w:pPr>
        <w:autoSpaceDE w:val="0"/>
        <w:autoSpaceDN w:val="0"/>
        <w:adjustRightInd w:val="0"/>
        <w:jc w:val="both"/>
        <w:rPr>
          <w:bCs/>
          <w:iCs/>
        </w:rPr>
      </w:pPr>
    </w:p>
    <w:p w14:paraId="492B3F54" w14:textId="5B7584A3" w:rsidR="00D30694" w:rsidRPr="009118AB" w:rsidRDefault="006A2667" w:rsidP="00D30694">
      <w:pPr>
        <w:autoSpaceDE w:val="0"/>
        <w:autoSpaceDN w:val="0"/>
        <w:adjustRightInd w:val="0"/>
        <w:jc w:val="both"/>
        <w:rPr>
          <w:bCs/>
          <w:i/>
          <w:iCs/>
        </w:rPr>
      </w:pPr>
      <w:r w:rsidRPr="009118AB">
        <w:rPr>
          <w:bCs/>
          <w:i/>
          <w:iCs/>
        </w:rPr>
        <w:t>[</w:t>
      </w:r>
      <w:r w:rsidR="00D67EB8" w:rsidRPr="009118AB">
        <w:rPr>
          <w:bCs/>
          <w:i/>
          <w:iCs/>
        </w:rPr>
        <w:t>Art. </w:t>
      </w:r>
      <w:r w:rsidRPr="009118AB">
        <w:rPr>
          <w:bCs/>
          <w:i/>
          <w:iCs/>
        </w:rPr>
        <w:t xml:space="preserve">225 </w:t>
      </w:r>
      <w:r w:rsidR="00D67EB8" w:rsidRPr="009118AB">
        <w:rPr>
          <w:bCs/>
          <w:i/>
          <w:iCs/>
        </w:rPr>
        <w:t>Abs. </w:t>
      </w:r>
      <w:r w:rsidRPr="009118AB">
        <w:rPr>
          <w:bCs/>
          <w:i/>
          <w:iCs/>
        </w:rPr>
        <w:t xml:space="preserve">2 </w:t>
      </w:r>
      <w:r w:rsidR="00D67EB8" w:rsidRPr="009118AB">
        <w:rPr>
          <w:bCs/>
          <w:i/>
          <w:iCs/>
        </w:rPr>
        <w:t>Nr. </w:t>
      </w:r>
      <w:r w:rsidRPr="009118AB">
        <w:rPr>
          <w:bCs/>
          <w:i/>
          <w:iCs/>
        </w:rPr>
        <w:t xml:space="preserve">3 abgeändert durch </w:t>
      </w:r>
      <w:r w:rsidR="00D67EB8" w:rsidRPr="009118AB">
        <w:rPr>
          <w:bCs/>
          <w:i/>
          <w:iCs/>
        </w:rPr>
        <w:t>Art. </w:t>
      </w:r>
      <w:r w:rsidRPr="009118AB">
        <w:rPr>
          <w:bCs/>
          <w:i/>
          <w:iCs/>
        </w:rPr>
        <w:t>24 des G. vom 4. Mai 1999 (II) (B.S. vom 12. Juni 1999)</w:t>
      </w:r>
      <w:r w:rsidR="00D67EB8" w:rsidRPr="009118AB">
        <w:rPr>
          <w:bCs/>
          <w:i/>
          <w:iCs/>
        </w:rPr>
        <w:t> - </w:t>
      </w:r>
      <w:r w:rsidRPr="009118AB">
        <w:rPr>
          <w:bCs/>
          <w:i/>
          <w:iCs/>
        </w:rPr>
        <w:t>in Kraft ab dem Steuerjahr 1998</w:t>
      </w:r>
      <w:r w:rsidR="003366D9" w:rsidRPr="009118AB">
        <w:rPr>
          <w:bCs/>
          <w:i/>
          <w:iCs/>
        </w:rPr>
        <w:t> -;</w:t>
      </w:r>
      <w:r w:rsidRPr="009118AB">
        <w:rPr>
          <w:bCs/>
          <w:i/>
          <w:iCs/>
        </w:rPr>
        <w:t xml:space="preserve"> </w:t>
      </w:r>
      <w:r w:rsidR="00D67EB8" w:rsidRPr="009118AB">
        <w:rPr>
          <w:bCs/>
          <w:i/>
          <w:iCs/>
        </w:rPr>
        <w:t>Abs. </w:t>
      </w:r>
      <w:r w:rsidRPr="009118AB">
        <w:rPr>
          <w:bCs/>
          <w:i/>
          <w:iCs/>
        </w:rPr>
        <w:t xml:space="preserve">2 </w:t>
      </w:r>
      <w:r w:rsidR="00D67EB8" w:rsidRPr="009118AB">
        <w:rPr>
          <w:bCs/>
          <w:i/>
          <w:iCs/>
        </w:rPr>
        <w:t>Nr. </w:t>
      </w:r>
      <w:r w:rsidRPr="009118AB">
        <w:rPr>
          <w:bCs/>
          <w:i/>
          <w:iCs/>
        </w:rPr>
        <w:t xml:space="preserve">4 ersetzt durch </w:t>
      </w:r>
      <w:r w:rsidR="00D67EB8" w:rsidRPr="009118AB">
        <w:rPr>
          <w:bCs/>
          <w:i/>
          <w:iCs/>
        </w:rPr>
        <w:t>Art. </w:t>
      </w:r>
      <w:r w:rsidRPr="009118AB">
        <w:rPr>
          <w:bCs/>
          <w:i/>
          <w:iCs/>
        </w:rPr>
        <w:t>137 des G. (I) vom 22. Dezember 2008 (II) (B.S. vom 29. Dezember 2008)</w:t>
      </w:r>
      <w:r w:rsidR="00D67EB8" w:rsidRPr="009118AB">
        <w:rPr>
          <w:bCs/>
          <w:i/>
          <w:iCs/>
        </w:rPr>
        <w:t> - </w:t>
      </w:r>
      <w:r w:rsidRPr="009118AB">
        <w:rPr>
          <w:bCs/>
          <w:i/>
          <w:iCs/>
        </w:rPr>
        <w:t>in Kraft am 8. Juni 2007 mit Ausnahme von Artikel 137, der in Bezug auf die Verweise auf Artikel 223 Absatz 1 ab dem 1. Januar 2006 anwendbar ist und in Bezug auf die Einfügung der nicht nachgewiesenen Vorteile jeglicher Art ab dem Steuerjahr 2007 anwendbar ist</w:t>
      </w:r>
      <w:r w:rsidR="00D67EB8" w:rsidRPr="009118AB">
        <w:rPr>
          <w:bCs/>
          <w:i/>
          <w:iCs/>
        </w:rPr>
        <w:t> - </w:t>
      </w:r>
      <w:r w:rsidR="00813905" w:rsidRPr="009118AB">
        <w:rPr>
          <w:bCs/>
          <w:i/>
          <w:iCs/>
        </w:rPr>
        <w:t xml:space="preserve">und abgeändert durch </w:t>
      </w:r>
      <w:r w:rsidR="00D67EB8" w:rsidRPr="009118AB">
        <w:rPr>
          <w:bCs/>
          <w:i/>
          <w:iCs/>
        </w:rPr>
        <w:t>Art. </w:t>
      </w:r>
      <w:r w:rsidR="00813905" w:rsidRPr="009118AB">
        <w:rPr>
          <w:bCs/>
          <w:i/>
          <w:iCs/>
        </w:rPr>
        <w:t xml:space="preserve">32 </w:t>
      </w:r>
      <w:r w:rsidR="00D67EB8" w:rsidRPr="009118AB">
        <w:rPr>
          <w:bCs/>
          <w:i/>
          <w:iCs/>
        </w:rPr>
        <w:t>Nr. </w:t>
      </w:r>
      <w:r w:rsidR="00813905" w:rsidRPr="009118AB">
        <w:rPr>
          <w:bCs/>
          <w:i/>
          <w:iCs/>
        </w:rPr>
        <w:t>1</w:t>
      </w:r>
      <w:r w:rsidR="00813905" w:rsidRPr="009118AB">
        <w:rPr>
          <w:i/>
          <w:iCs/>
        </w:rPr>
        <w:t xml:space="preserve"> </w:t>
      </w:r>
      <w:r w:rsidR="00813905" w:rsidRPr="009118AB">
        <w:rPr>
          <w:i/>
          <w:iCs/>
          <w:spacing w:val="-1"/>
        </w:rPr>
        <w:t>des G. vom 19. Dezember 2014 (B.S. vom 29. Dezember 2014)</w:t>
      </w:r>
      <w:r w:rsidR="00D67EB8" w:rsidRPr="009118AB">
        <w:rPr>
          <w:i/>
          <w:iCs/>
          <w:spacing w:val="-1"/>
        </w:rPr>
        <w:t> - </w:t>
      </w:r>
      <w:r w:rsidR="00813905" w:rsidRPr="009118AB">
        <w:rPr>
          <w:i/>
          <w:iCs/>
          <w:spacing w:val="-1"/>
        </w:rPr>
        <w:t xml:space="preserve">in Kraft am 29. Dezember 2014 und anwendbar auf alle Rechtsstreite, die </w:t>
      </w:r>
      <w:r w:rsidR="007C27A5" w:rsidRPr="009118AB">
        <w:rPr>
          <w:i/>
          <w:iCs/>
          <w:spacing w:val="-1"/>
        </w:rPr>
        <w:t xml:space="preserve">an diesem Datum </w:t>
      </w:r>
      <w:r w:rsidR="00813905" w:rsidRPr="009118AB">
        <w:rPr>
          <w:i/>
          <w:iCs/>
          <w:spacing w:val="-1"/>
        </w:rPr>
        <w:t>noch nicht endgültig abgeschlossen sind</w:t>
      </w:r>
      <w:r w:rsidR="00D67EB8" w:rsidRPr="009118AB">
        <w:rPr>
          <w:i/>
          <w:iCs/>
          <w:spacing w:val="-1"/>
        </w:rPr>
        <w:t> - </w:t>
      </w:r>
      <w:r w:rsidR="00C13D48" w:rsidRPr="009118AB">
        <w:rPr>
          <w:i/>
          <w:iCs/>
          <w:spacing w:val="-1"/>
        </w:rPr>
        <w:t xml:space="preserve">und </w:t>
      </w:r>
      <w:r w:rsidR="00D67EB8" w:rsidRPr="009118AB">
        <w:rPr>
          <w:i/>
          <w:iCs/>
          <w:spacing w:val="-1"/>
        </w:rPr>
        <w:t>Art. </w:t>
      </w:r>
      <w:r w:rsidR="00C13D48" w:rsidRPr="009118AB">
        <w:rPr>
          <w:i/>
          <w:iCs/>
          <w:spacing w:val="-1"/>
        </w:rPr>
        <w:t>48</w:t>
      </w:r>
      <w:r w:rsidR="00C13D48" w:rsidRPr="009118AB">
        <w:rPr>
          <w:bCs/>
          <w:i/>
          <w:iCs/>
          <w:spacing w:val="-1"/>
        </w:rPr>
        <w:t xml:space="preserve"> des G. vom 21. Januar 2022 (B.S. vom 28. Januar 2022)</w:t>
      </w:r>
      <w:r w:rsidR="00D67EB8" w:rsidRPr="009118AB">
        <w:rPr>
          <w:bCs/>
          <w:i/>
          <w:iCs/>
          <w:spacing w:val="-1"/>
        </w:rPr>
        <w:t> - </w:t>
      </w:r>
      <w:r w:rsidR="00C13D48" w:rsidRPr="009118AB">
        <w:rPr>
          <w:bCs/>
          <w:i/>
          <w:iCs/>
          <w:spacing w:val="-1"/>
        </w:rPr>
        <w:t>anwendbar auf Einkünfte, die ab dem 1. Januar 2021 während eines Besteuerungszeitraums gezahlt oder zuerkannt werden, der frühestens an das Steuerjahr 2022 gebunden ist</w:t>
      </w:r>
      <w:r w:rsidR="003366D9" w:rsidRPr="009118AB">
        <w:rPr>
          <w:bCs/>
          <w:i/>
          <w:iCs/>
          <w:spacing w:val="-1"/>
        </w:rPr>
        <w:t> -;</w:t>
      </w:r>
      <w:r w:rsidRPr="009118AB">
        <w:rPr>
          <w:bCs/>
          <w:i/>
          <w:iCs/>
        </w:rPr>
        <w:t xml:space="preserve"> </w:t>
      </w:r>
      <w:r w:rsidR="00D67EB8" w:rsidRPr="009118AB">
        <w:rPr>
          <w:bCs/>
          <w:i/>
          <w:iCs/>
        </w:rPr>
        <w:t>Abs. </w:t>
      </w:r>
      <w:r w:rsidRPr="009118AB">
        <w:rPr>
          <w:bCs/>
          <w:i/>
          <w:iCs/>
        </w:rPr>
        <w:t xml:space="preserve">2 </w:t>
      </w:r>
      <w:r w:rsidR="00D67EB8" w:rsidRPr="009118AB">
        <w:rPr>
          <w:bCs/>
          <w:i/>
          <w:iCs/>
        </w:rPr>
        <w:t>Nr. </w:t>
      </w:r>
      <w:r w:rsidRPr="009118AB">
        <w:rPr>
          <w:bCs/>
          <w:i/>
          <w:iCs/>
        </w:rPr>
        <w:t xml:space="preserve">5 ersetzt </w:t>
      </w:r>
      <w:r w:rsidRPr="009118AB">
        <w:rPr>
          <w:i/>
          <w:iCs/>
        </w:rPr>
        <w:t xml:space="preserve">durch </w:t>
      </w:r>
      <w:r w:rsidR="00D67EB8" w:rsidRPr="009118AB">
        <w:rPr>
          <w:i/>
          <w:iCs/>
        </w:rPr>
        <w:t>Art. </w:t>
      </w:r>
      <w:r w:rsidRPr="009118AB">
        <w:rPr>
          <w:i/>
          <w:iCs/>
        </w:rPr>
        <w:t>48</w:t>
      </w:r>
      <w:r w:rsidRPr="009118AB">
        <w:rPr>
          <w:i/>
        </w:rPr>
        <w:t xml:space="preserve"> </w:t>
      </w:r>
      <w:r w:rsidRPr="009118AB">
        <w:rPr>
          <w:bCs/>
          <w:i/>
        </w:rPr>
        <w:t>des G. vom 28. Dezember 2011 (B.S. vom 30. Dezember 2011)</w:t>
      </w:r>
      <w:r w:rsidR="00D67EB8" w:rsidRPr="009118AB">
        <w:rPr>
          <w:bCs/>
          <w:i/>
        </w:rPr>
        <w:t> - </w:t>
      </w:r>
      <w:r w:rsidRPr="009118AB">
        <w:rPr>
          <w:i/>
          <w:iCs/>
        </w:rPr>
        <w:t>anwendbar auf die ab dem 1.</w:t>
      </w:r>
      <w:r w:rsidR="00305CDB" w:rsidRPr="009118AB">
        <w:rPr>
          <w:i/>
          <w:iCs/>
        </w:rPr>
        <w:t> </w:t>
      </w:r>
      <w:r w:rsidRPr="009118AB">
        <w:rPr>
          <w:i/>
          <w:iCs/>
        </w:rPr>
        <w:t>Januar 2012 zuerkannten Vorteile jeglicher Art</w:t>
      </w:r>
      <w:r w:rsidR="00D67EB8" w:rsidRPr="009118AB">
        <w:rPr>
          <w:i/>
          <w:iCs/>
        </w:rPr>
        <w:t> - </w:t>
      </w:r>
      <w:r w:rsidR="004D7E7E" w:rsidRPr="009118AB">
        <w:rPr>
          <w:i/>
          <w:iCs/>
        </w:rPr>
        <w:t xml:space="preserve">und abgeändert durch </w:t>
      </w:r>
      <w:r w:rsidR="00D67EB8" w:rsidRPr="009118AB">
        <w:rPr>
          <w:i/>
          <w:iCs/>
        </w:rPr>
        <w:t>Art. </w:t>
      </w:r>
      <w:r w:rsidR="004D7E7E" w:rsidRPr="009118AB">
        <w:rPr>
          <w:i/>
          <w:iCs/>
        </w:rPr>
        <w:t xml:space="preserve">19 des G. vom 17. Juni 2013 </w:t>
      </w:r>
      <w:r w:rsidR="004D7E7E" w:rsidRPr="009118AB">
        <w:rPr>
          <w:rFonts w:ascii="Times New Roman Italique" w:hAnsi="Times New Roman Italique"/>
          <w:i/>
          <w:iCs/>
          <w:spacing w:val="2"/>
        </w:rPr>
        <w:t>(B.S. vom 28. Juni 2013)</w:t>
      </w:r>
      <w:r w:rsidR="00D67EB8" w:rsidRPr="009118AB">
        <w:rPr>
          <w:rFonts w:ascii="Times New Roman Italique" w:hAnsi="Times New Roman Italique"/>
          <w:i/>
          <w:iCs/>
          <w:spacing w:val="2"/>
        </w:rPr>
        <w:t> - </w:t>
      </w:r>
      <w:r w:rsidR="004D7E7E" w:rsidRPr="009118AB">
        <w:rPr>
          <w:rFonts w:ascii="Times New Roman Italique" w:hAnsi="Times New Roman Italique"/>
          <w:i/>
          <w:iCs/>
          <w:spacing w:val="2"/>
        </w:rPr>
        <w:t>anwendbar ab dem Steuerjahr 2014</w:t>
      </w:r>
      <w:r w:rsidR="00FD68E8" w:rsidRPr="009118AB">
        <w:rPr>
          <w:rFonts w:ascii="Times New Roman Italique" w:hAnsi="Times New Roman Italique"/>
          <w:i/>
          <w:iCs/>
          <w:spacing w:val="2"/>
        </w:rPr>
        <w:t> -,</w:t>
      </w:r>
      <w:r w:rsidR="00813905"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813905" w:rsidRPr="009118AB">
        <w:rPr>
          <w:rFonts w:ascii="Times New Roman Italique" w:hAnsi="Times New Roman Italique"/>
          <w:i/>
          <w:iCs/>
          <w:spacing w:val="2"/>
        </w:rPr>
        <w:t xml:space="preserve">32 </w:t>
      </w:r>
      <w:r w:rsidR="00D67EB8" w:rsidRPr="009118AB">
        <w:rPr>
          <w:rFonts w:ascii="Times New Roman Italique" w:hAnsi="Times New Roman Italique"/>
          <w:i/>
          <w:iCs/>
          <w:spacing w:val="2"/>
        </w:rPr>
        <w:t>Nr. </w:t>
      </w:r>
      <w:r w:rsidR="00813905" w:rsidRPr="009118AB">
        <w:rPr>
          <w:rFonts w:ascii="Times New Roman Italique" w:hAnsi="Times New Roman Italique"/>
          <w:i/>
          <w:iCs/>
          <w:spacing w:val="2"/>
        </w:rPr>
        <w:t xml:space="preserve">2 des G. vom </w:t>
      </w:r>
      <w:r w:rsidR="00813905" w:rsidRPr="009118AB">
        <w:rPr>
          <w:rFonts w:ascii="Times New Roman Italique" w:hAnsi="Times New Roman Italique"/>
          <w:i/>
          <w:iCs/>
          <w:spacing w:val="2"/>
        </w:rPr>
        <w:lastRenderedPageBreak/>
        <w:t>19. Dezember 2014 (B.S. vom 29. Dezember 2014)</w:t>
      </w:r>
      <w:r w:rsidR="00D67EB8" w:rsidRPr="009118AB">
        <w:rPr>
          <w:rFonts w:ascii="Times New Roman Italique" w:hAnsi="Times New Roman Italique"/>
          <w:i/>
          <w:iCs/>
          <w:spacing w:val="2"/>
        </w:rPr>
        <w:t> - </w:t>
      </w:r>
      <w:r w:rsidR="00813905" w:rsidRPr="009118AB">
        <w:rPr>
          <w:rFonts w:ascii="Times New Roman Italique" w:hAnsi="Times New Roman Italique"/>
          <w:i/>
          <w:iCs/>
          <w:spacing w:val="2"/>
        </w:rPr>
        <w:t xml:space="preserve">in Kraft am 29. Dezember 2014 und anwendbar auf alle Rechtsstreite, die </w:t>
      </w:r>
      <w:r w:rsidR="007C27A5" w:rsidRPr="009118AB">
        <w:rPr>
          <w:rFonts w:ascii="Times New Roman Italique" w:hAnsi="Times New Roman Italique"/>
          <w:i/>
          <w:iCs/>
          <w:spacing w:val="2"/>
        </w:rPr>
        <w:t xml:space="preserve">an diesem Datum </w:t>
      </w:r>
      <w:r w:rsidR="00813905" w:rsidRPr="009118AB">
        <w:rPr>
          <w:rFonts w:ascii="Times New Roman Italique" w:hAnsi="Times New Roman Italique"/>
          <w:i/>
          <w:iCs/>
          <w:spacing w:val="2"/>
        </w:rPr>
        <w:t>noch nicht endgültig abgeschlossen sind</w:t>
      </w:r>
      <w:r w:rsidR="00FD68E8" w:rsidRPr="009118AB">
        <w:rPr>
          <w:rFonts w:ascii="Times New Roman Italique" w:hAnsi="Times New Roman Italique"/>
          <w:i/>
          <w:iCs/>
          <w:spacing w:val="2"/>
        </w:rPr>
        <w:t> -,</w:t>
      </w:r>
      <w:r w:rsidR="00637C0E" w:rsidRPr="009118AB">
        <w:rPr>
          <w:i/>
          <w:iCs/>
          <w:spacing w:val="-1"/>
        </w:rPr>
        <w:t xml:space="preserve"> </w:t>
      </w:r>
      <w:r w:rsidR="00D67EB8" w:rsidRPr="009118AB">
        <w:rPr>
          <w:i/>
          <w:iCs/>
          <w:spacing w:val="-1"/>
        </w:rPr>
        <w:t>Art. </w:t>
      </w:r>
      <w:r w:rsidR="00637C0E" w:rsidRPr="009118AB">
        <w:rPr>
          <w:i/>
          <w:iCs/>
          <w:spacing w:val="-1"/>
        </w:rPr>
        <w:t>70</w:t>
      </w:r>
      <w:r w:rsidR="00637C0E" w:rsidRPr="009118AB">
        <w:rPr>
          <w:i/>
        </w:rPr>
        <w:t xml:space="preserve"> des G. vom 25. Dezember 2016</w:t>
      </w:r>
      <w:r w:rsidR="001022BB" w:rsidRPr="009118AB">
        <w:rPr>
          <w:i/>
        </w:rPr>
        <w:t> (I)</w:t>
      </w:r>
      <w:r w:rsidR="00637C0E" w:rsidRPr="009118AB">
        <w:rPr>
          <w:i/>
        </w:rPr>
        <w:t xml:space="preserve"> (B.S. vom 29. Dezember 2016)</w:t>
      </w:r>
      <w:r w:rsidR="00D67EB8" w:rsidRPr="009118AB">
        <w:rPr>
          <w:i/>
        </w:rPr>
        <w:t> - </w:t>
      </w:r>
      <w:r w:rsidR="00637C0E" w:rsidRPr="009118AB">
        <w:rPr>
          <w:i/>
        </w:rPr>
        <w:t>in Kraft und anwendbar ab dem 1. Januar 2017</w:t>
      </w:r>
      <w:r w:rsidR="00D67EB8" w:rsidRPr="009118AB">
        <w:rPr>
          <w:i/>
        </w:rPr>
        <w:t> - </w:t>
      </w:r>
      <w:r w:rsidR="000A2157" w:rsidRPr="009118AB">
        <w:rPr>
          <w:i/>
        </w:rPr>
        <w:t xml:space="preserve">und </w:t>
      </w:r>
      <w:r w:rsidR="00D67EB8" w:rsidRPr="009118AB">
        <w:rPr>
          <w:i/>
        </w:rPr>
        <w:t>Art. </w:t>
      </w:r>
      <w:r w:rsidR="000A2157" w:rsidRPr="009118AB">
        <w:rPr>
          <w:i/>
        </w:rPr>
        <w:t>32 des G. vom 30. März 2018 (B.S. vom 7. Mai 2018)</w:t>
      </w:r>
      <w:r w:rsidR="00D67EB8" w:rsidRPr="009118AB">
        <w:rPr>
          <w:i/>
        </w:rPr>
        <w:t> - </w:t>
      </w:r>
      <w:r w:rsidR="000A2157" w:rsidRPr="009118AB">
        <w:rPr>
          <w:i/>
        </w:rPr>
        <w:t>in Kraft am 1. Januar 2018</w:t>
      </w:r>
      <w:r w:rsidR="00FD68E8" w:rsidRPr="009118AB">
        <w:rPr>
          <w:i/>
        </w:rPr>
        <w:t> -,</w:t>
      </w:r>
      <w:r w:rsidR="00D14984" w:rsidRPr="009118AB">
        <w:rPr>
          <w:i/>
        </w:rPr>
        <w:t xml:space="preserve"> selbst für nichtig erklärt durch Entscheid </w:t>
      </w:r>
      <w:r w:rsidR="00D67EB8" w:rsidRPr="009118AB">
        <w:rPr>
          <w:i/>
        </w:rPr>
        <w:t>Nr. </w:t>
      </w:r>
      <w:r w:rsidR="00D14984" w:rsidRPr="009118AB">
        <w:rPr>
          <w:i/>
        </w:rPr>
        <w:t>11/2020 des Verfassungsgerichtshofes vom 23. Januar 2020 (B.S. vom 24. Februar 2020)</w:t>
      </w:r>
      <w:r w:rsidR="003B3712" w:rsidRPr="009118AB">
        <w:rPr>
          <w:i/>
        </w:rPr>
        <w:t xml:space="preserve">, und durch </w:t>
      </w:r>
      <w:r w:rsidR="00D67EB8" w:rsidRPr="009118AB">
        <w:rPr>
          <w:i/>
        </w:rPr>
        <w:t>Art. </w:t>
      </w:r>
      <w:r w:rsidR="003B3712" w:rsidRPr="009118AB">
        <w:rPr>
          <w:i/>
        </w:rPr>
        <w:t>8 des G. vom 27. Dezember 2021 (B.S. vom 31. Dezember 2021)</w:t>
      </w:r>
      <w:r w:rsidR="00D67EB8" w:rsidRPr="009118AB">
        <w:rPr>
          <w:i/>
        </w:rPr>
        <w:t> - </w:t>
      </w:r>
      <w:r w:rsidR="003B3712" w:rsidRPr="009118AB">
        <w:rPr>
          <w:i/>
        </w:rPr>
        <w:t>anwendbar ab dem 1. Januar 2022</w:t>
      </w:r>
      <w:r w:rsidR="003366D9" w:rsidRPr="009118AB">
        <w:rPr>
          <w:i/>
        </w:rPr>
        <w:t> -;</w:t>
      </w:r>
      <w:r w:rsidR="009C6301" w:rsidRPr="009118AB">
        <w:rPr>
          <w:i/>
          <w:iCs/>
        </w:rPr>
        <w:t xml:space="preserve"> </w:t>
      </w:r>
      <w:r w:rsidR="00D67EB8" w:rsidRPr="009118AB">
        <w:rPr>
          <w:i/>
          <w:iCs/>
        </w:rPr>
        <w:t>Abs. </w:t>
      </w:r>
      <w:r w:rsidR="009C6301" w:rsidRPr="009118AB">
        <w:rPr>
          <w:i/>
          <w:iCs/>
        </w:rPr>
        <w:t xml:space="preserve">2 </w:t>
      </w:r>
      <w:r w:rsidR="00D67EB8" w:rsidRPr="009118AB">
        <w:rPr>
          <w:i/>
          <w:iCs/>
        </w:rPr>
        <w:t>Nr. </w:t>
      </w:r>
      <w:r w:rsidR="009C6301" w:rsidRPr="009118AB">
        <w:rPr>
          <w:i/>
          <w:iCs/>
        </w:rPr>
        <w:t xml:space="preserve">6 </w:t>
      </w:r>
      <w:r w:rsidR="000B6CBA" w:rsidRPr="009118AB">
        <w:rPr>
          <w:i/>
          <w:iCs/>
        </w:rPr>
        <w:t xml:space="preserve">aufgehoben durch </w:t>
      </w:r>
      <w:r w:rsidR="00D67EB8" w:rsidRPr="009118AB">
        <w:rPr>
          <w:i/>
          <w:iCs/>
        </w:rPr>
        <w:t>Art. </w:t>
      </w:r>
      <w:r w:rsidR="000B6CBA" w:rsidRPr="009118AB">
        <w:rPr>
          <w:i/>
          <w:iCs/>
        </w:rPr>
        <w:t xml:space="preserve">21 </w:t>
      </w:r>
      <w:r w:rsidR="000B6CBA" w:rsidRPr="009118AB">
        <w:rPr>
          <w:i/>
          <w:iCs/>
          <w:spacing w:val="-1"/>
        </w:rPr>
        <w:t>des G. vom 19. Dezember 2014 (B.S. vom 29. Dezember 2014)</w:t>
      </w:r>
      <w:r w:rsidR="00D67EB8" w:rsidRPr="009118AB">
        <w:rPr>
          <w:i/>
          <w:iCs/>
          <w:spacing w:val="-1"/>
        </w:rPr>
        <w:t> - </w:t>
      </w:r>
      <w:r w:rsidR="000B6CBA" w:rsidRPr="009118AB">
        <w:rPr>
          <w:i/>
          <w:iCs/>
          <w:spacing w:val="-1"/>
        </w:rPr>
        <w:t>in Kraft ab dem Steuerjahr 2015 und anwendbar auf Geschäftsjahre, die frühestens am 1. Juli 2015 abgeschlossen werden</w:t>
      </w:r>
      <w:r w:rsidR="00FD68E8" w:rsidRPr="009118AB">
        <w:rPr>
          <w:i/>
          <w:iCs/>
          <w:spacing w:val="-1"/>
        </w:rPr>
        <w:t> -,</w:t>
      </w:r>
      <w:r w:rsidR="00D30694" w:rsidRPr="009118AB">
        <w:rPr>
          <w:i/>
          <w:iCs/>
          <w:spacing w:val="-1"/>
        </w:rPr>
        <w:t xml:space="preserve"> selbst widerrufen durch </w:t>
      </w:r>
      <w:r w:rsidR="00D67EB8" w:rsidRPr="009118AB">
        <w:rPr>
          <w:i/>
          <w:iCs/>
          <w:spacing w:val="-1"/>
        </w:rPr>
        <w:t>Art. </w:t>
      </w:r>
      <w:r w:rsidR="00D30694" w:rsidRPr="009118AB">
        <w:rPr>
          <w:i/>
          <w:iCs/>
          <w:spacing w:val="-1"/>
        </w:rPr>
        <w:t>91 des G. vom 10. August 2015 (B.S. vom 18. August 2015)</w:t>
      </w:r>
      <w:r w:rsidR="00D67EB8" w:rsidRPr="009118AB">
        <w:rPr>
          <w:i/>
          <w:iCs/>
          <w:spacing w:val="-1"/>
        </w:rPr>
        <w:t> - </w:t>
      </w:r>
      <w:r w:rsidR="00D30694" w:rsidRPr="009118AB">
        <w:rPr>
          <w:i/>
          <w:iCs/>
          <w:spacing w:val="-1"/>
        </w:rPr>
        <w:t xml:space="preserve">in Kraft </w:t>
      </w:r>
      <w:r w:rsidR="00D30694" w:rsidRPr="009118AB">
        <w:rPr>
          <w:i/>
          <w:iCs/>
        </w:rPr>
        <w:t>ab dem Steuerjahr 2015 und anwendbar auf Geschäftsjahre, die frühestens am 1. August 2015 abgeschlossen werden</w:t>
      </w:r>
      <w:r w:rsidR="00FD68E8" w:rsidRPr="009118AB">
        <w:rPr>
          <w:i/>
          <w:iCs/>
        </w:rPr>
        <w:t> -]</w:t>
      </w:r>
    </w:p>
    <w:p w14:paraId="1B294FFC" w14:textId="12C1581D" w:rsidR="00D30694" w:rsidRPr="009118AB" w:rsidRDefault="00D30694" w:rsidP="00D30694">
      <w:pPr>
        <w:autoSpaceDE w:val="0"/>
        <w:autoSpaceDN w:val="0"/>
        <w:adjustRightInd w:val="0"/>
        <w:jc w:val="both"/>
        <w:rPr>
          <w:bCs/>
        </w:rPr>
      </w:pPr>
    </w:p>
    <w:p w14:paraId="1E5E16D2" w14:textId="1A9E384E" w:rsidR="001C0338" w:rsidRPr="009118AB" w:rsidRDefault="001C0338" w:rsidP="00D30694">
      <w:pPr>
        <w:autoSpaceDE w:val="0"/>
        <w:autoSpaceDN w:val="0"/>
        <w:adjustRightInd w:val="0"/>
        <w:jc w:val="both"/>
        <w:rPr>
          <w:bCs/>
        </w:rPr>
      </w:pPr>
    </w:p>
    <w:p w14:paraId="7F632DEF" w14:textId="7B529731" w:rsidR="001C0338" w:rsidRPr="009118AB" w:rsidRDefault="001C0338" w:rsidP="001C0338">
      <w:pPr>
        <w:autoSpaceDE w:val="0"/>
        <w:autoSpaceDN w:val="0"/>
        <w:adjustRightInd w:val="0"/>
        <w:jc w:val="both"/>
        <w:rPr>
          <w:sz w:val="20"/>
          <w:szCs w:val="20"/>
        </w:rPr>
      </w:pPr>
      <w:r w:rsidRPr="009118AB">
        <w:rPr>
          <w:sz w:val="20"/>
          <w:szCs w:val="20"/>
        </w:rPr>
        <w:t xml:space="preserve">Ab dem 1. Januar 2026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5 des G. vom 25. November 2021 (B.S. vom 3. Dezember 2021)) lautet </w:t>
      </w:r>
      <w:r w:rsidR="00D67EB8" w:rsidRPr="009118AB">
        <w:rPr>
          <w:sz w:val="20"/>
          <w:szCs w:val="20"/>
        </w:rPr>
        <w:t>Art. </w:t>
      </w:r>
      <w:r w:rsidRPr="009118AB">
        <w:rPr>
          <w:sz w:val="20"/>
          <w:szCs w:val="20"/>
        </w:rPr>
        <w:t>225 wie folgt:</w:t>
      </w:r>
    </w:p>
    <w:p w14:paraId="1AE61A98" w14:textId="77777777" w:rsidR="001C0338" w:rsidRPr="009118AB" w:rsidRDefault="001C0338" w:rsidP="001C0338">
      <w:pPr>
        <w:autoSpaceDE w:val="0"/>
        <w:autoSpaceDN w:val="0"/>
        <w:adjustRightInd w:val="0"/>
        <w:jc w:val="both"/>
        <w:rPr>
          <w:sz w:val="20"/>
          <w:szCs w:val="20"/>
        </w:rPr>
      </w:pPr>
    </w:p>
    <w:p w14:paraId="3AF7291D" w14:textId="3FF54F6F" w:rsidR="001C0338" w:rsidRPr="009118AB" w:rsidRDefault="001C0338" w:rsidP="001C0338">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225</w:t>
      </w:r>
      <w:r w:rsidR="00D67EB8" w:rsidRPr="009118AB">
        <w:rPr>
          <w:sz w:val="20"/>
          <w:szCs w:val="20"/>
        </w:rPr>
        <w:t> - </w:t>
      </w:r>
      <w:r w:rsidRPr="009118AB">
        <w:rPr>
          <w:bCs/>
          <w:iCs/>
          <w:sz w:val="20"/>
          <w:szCs w:val="20"/>
        </w:rPr>
        <w:t>Die Steuer in Bezug auf die in Artikel 221 erwähnten Einkünfte entspricht dem Immobilien- und dem Mobiliensteuervorabzug.</w:t>
      </w:r>
    </w:p>
    <w:p w14:paraId="36F103D2" w14:textId="77777777" w:rsidR="001C0338" w:rsidRPr="009118AB" w:rsidRDefault="001C0338" w:rsidP="001C0338">
      <w:pPr>
        <w:autoSpaceDE w:val="0"/>
        <w:autoSpaceDN w:val="0"/>
        <w:adjustRightInd w:val="0"/>
        <w:jc w:val="both"/>
        <w:rPr>
          <w:bCs/>
          <w:iCs/>
          <w:sz w:val="20"/>
          <w:szCs w:val="20"/>
        </w:rPr>
      </w:pPr>
    </w:p>
    <w:p w14:paraId="572C514D" w14:textId="77777777" w:rsidR="001C0338" w:rsidRPr="009118AB" w:rsidRDefault="001C0338" w:rsidP="001C0338">
      <w:pPr>
        <w:autoSpaceDE w:val="0"/>
        <w:autoSpaceDN w:val="0"/>
        <w:adjustRightInd w:val="0"/>
        <w:jc w:val="both"/>
        <w:rPr>
          <w:bCs/>
          <w:iCs/>
          <w:sz w:val="20"/>
          <w:szCs w:val="20"/>
        </w:rPr>
      </w:pPr>
      <w:r w:rsidRPr="009118AB">
        <w:rPr>
          <w:bCs/>
          <w:iCs/>
          <w:sz w:val="20"/>
          <w:szCs w:val="20"/>
        </w:rPr>
        <w:t>Die Steuer wird berechnet:</w:t>
      </w:r>
    </w:p>
    <w:p w14:paraId="5A37D1C9" w14:textId="77777777" w:rsidR="001C0338" w:rsidRPr="009118AB" w:rsidRDefault="001C0338" w:rsidP="001C0338">
      <w:pPr>
        <w:autoSpaceDE w:val="0"/>
        <w:autoSpaceDN w:val="0"/>
        <w:adjustRightInd w:val="0"/>
        <w:jc w:val="both"/>
        <w:rPr>
          <w:bCs/>
          <w:iCs/>
          <w:sz w:val="20"/>
          <w:szCs w:val="20"/>
        </w:rPr>
      </w:pPr>
    </w:p>
    <w:p w14:paraId="2A77EB8E" w14:textId="13325798" w:rsidR="001C0338" w:rsidRPr="009118AB" w:rsidRDefault="001C0338" w:rsidP="001C0338">
      <w:pPr>
        <w:autoSpaceDE w:val="0"/>
        <w:autoSpaceDN w:val="0"/>
        <w:adjustRightInd w:val="0"/>
        <w:jc w:val="both"/>
        <w:rPr>
          <w:bCs/>
          <w:iCs/>
          <w:sz w:val="20"/>
          <w:szCs w:val="20"/>
        </w:rPr>
      </w:pPr>
      <w:r w:rsidRPr="009118AB">
        <w:rPr>
          <w:bCs/>
          <w:iCs/>
          <w:sz w:val="20"/>
          <w:szCs w:val="20"/>
        </w:rPr>
        <w:t xml:space="preserve">1. zum Satz von 20 Prozent auf die in Artikel 222 </w:t>
      </w:r>
      <w:r w:rsidR="00D67EB8" w:rsidRPr="009118AB">
        <w:rPr>
          <w:bCs/>
          <w:iCs/>
          <w:sz w:val="20"/>
          <w:szCs w:val="20"/>
        </w:rPr>
        <w:t>Nr. </w:t>
      </w:r>
      <w:r w:rsidRPr="009118AB">
        <w:rPr>
          <w:bCs/>
          <w:iCs/>
          <w:sz w:val="20"/>
          <w:szCs w:val="20"/>
        </w:rPr>
        <w:t>1 bis 3 erwähnten Einkünfte,</w:t>
      </w:r>
    </w:p>
    <w:p w14:paraId="559470C4" w14:textId="77777777" w:rsidR="001C0338" w:rsidRPr="009118AB" w:rsidRDefault="001C0338" w:rsidP="001C0338">
      <w:pPr>
        <w:autoSpaceDE w:val="0"/>
        <w:autoSpaceDN w:val="0"/>
        <w:adjustRightInd w:val="0"/>
        <w:jc w:val="both"/>
        <w:rPr>
          <w:bCs/>
          <w:iCs/>
          <w:sz w:val="20"/>
          <w:szCs w:val="20"/>
        </w:rPr>
      </w:pPr>
    </w:p>
    <w:p w14:paraId="3AB6E24D" w14:textId="1BB964EF" w:rsidR="001C0338" w:rsidRPr="009118AB" w:rsidRDefault="001C0338" w:rsidP="001C0338">
      <w:pPr>
        <w:autoSpaceDE w:val="0"/>
        <w:autoSpaceDN w:val="0"/>
        <w:adjustRightInd w:val="0"/>
        <w:jc w:val="both"/>
        <w:rPr>
          <w:bCs/>
          <w:iCs/>
          <w:sz w:val="20"/>
          <w:szCs w:val="20"/>
        </w:rPr>
      </w:pPr>
      <w:r w:rsidRPr="009118AB">
        <w:rPr>
          <w:bCs/>
          <w:iCs/>
          <w:sz w:val="20"/>
          <w:szCs w:val="20"/>
        </w:rPr>
        <w:t xml:space="preserve">2. zum Satz von 33 Prozent beziehungsweise von 16,5 Prozent auf die in Artikel 222 </w:t>
      </w:r>
      <w:r w:rsidR="00D67EB8" w:rsidRPr="009118AB">
        <w:rPr>
          <w:bCs/>
          <w:iCs/>
          <w:sz w:val="20"/>
          <w:szCs w:val="20"/>
        </w:rPr>
        <w:t>Nr. </w:t>
      </w:r>
      <w:r w:rsidRPr="009118AB">
        <w:rPr>
          <w:bCs/>
          <w:iCs/>
          <w:sz w:val="20"/>
          <w:szCs w:val="20"/>
        </w:rPr>
        <w:t xml:space="preserve">4 erwähnten Mehrwerte, gemäß der in Artikel 171 </w:t>
      </w:r>
      <w:r w:rsidR="00D67EB8" w:rsidRPr="009118AB">
        <w:rPr>
          <w:bCs/>
          <w:iCs/>
          <w:sz w:val="20"/>
          <w:szCs w:val="20"/>
        </w:rPr>
        <w:t>Nr. </w:t>
      </w:r>
      <w:r w:rsidRPr="009118AB">
        <w:rPr>
          <w:bCs/>
          <w:iCs/>
          <w:sz w:val="20"/>
          <w:szCs w:val="20"/>
        </w:rPr>
        <w:t>1 Buchstabe </w:t>
      </w:r>
      <w:r w:rsidRPr="009118AB">
        <w:rPr>
          <w:bCs/>
          <w:i/>
          <w:iCs/>
          <w:sz w:val="20"/>
          <w:szCs w:val="20"/>
        </w:rPr>
        <w:t>b)</w:t>
      </w:r>
      <w:r w:rsidRPr="009118AB">
        <w:rPr>
          <w:bCs/>
          <w:iCs/>
          <w:sz w:val="20"/>
          <w:szCs w:val="20"/>
        </w:rPr>
        <w:t xml:space="preserve"> und </w:t>
      </w:r>
      <w:r w:rsidR="00D67EB8" w:rsidRPr="009118AB">
        <w:rPr>
          <w:bCs/>
          <w:iCs/>
          <w:sz w:val="20"/>
          <w:szCs w:val="20"/>
        </w:rPr>
        <w:t>Nr. </w:t>
      </w:r>
      <w:r w:rsidRPr="009118AB">
        <w:rPr>
          <w:bCs/>
          <w:iCs/>
          <w:sz w:val="20"/>
          <w:szCs w:val="20"/>
        </w:rPr>
        <w:t>4 Buchstabe </w:t>
      </w:r>
      <w:r w:rsidRPr="009118AB">
        <w:rPr>
          <w:bCs/>
          <w:i/>
          <w:iCs/>
          <w:sz w:val="20"/>
          <w:szCs w:val="20"/>
        </w:rPr>
        <w:t>d)</w:t>
      </w:r>
      <w:r w:rsidRPr="009118AB">
        <w:rPr>
          <w:bCs/>
          <w:iCs/>
          <w:sz w:val="20"/>
          <w:szCs w:val="20"/>
        </w:rPr>
        <w:t xml:space="preserve"> vorgesehenen Unterscheidung,</w:t>
      </w:r>
    </w:p>
    <w:p w14:paraId="1514684F" w14:textId="77777777" w:rsidR="001C0338" w:rsidRPr="009118AB" w:rsidRDefault="001C0338" w:rsidP="001C0338">
      <w:pPr>
        <w:autoSpaceDE w:val="0"/>
        <w:autoSpaceDN w:val="0"/>
        <w:adjustRightInd w:val="0"/>
        <w:jc w:val="both"/>
        <w:rPr>
          <w:bCs/>
          <w:iCs/>
          <w:sz w:val="20"/>
          <w:szCs w:val="20"/>
        </w:rPr>
      </w:pPr>
    </w:p>
    <w:p w14:paraId="4AF26B5A" w14:textId="6EA5744A" w:rsidR="001C0338" w:rsidRPr="009118AB" w:rsidRDefault="001C0338" w:rsidP="001C0338">
      <w:pPr>
        <w:autoSpaceDE w:val="0"/>
        <w:autoSpaceDN w:val="0"/>
        <w:adjustRightInd w:val="0"/>
        <w:jc w:val="both"/>
        <w:rPr>
          <w:bCs/>
          <w:iCs/>
          <w:sz w:val="20"/>
          <w:szCs w:val="20"/>
        </w:rPr>
      </w:pPr>
      <w:r w:rsidRPr="009118AB">
        <w:rPr>
          <w:bCs/>
          <w:iCs/>
          <w:sz w:val="20"/>
          <w:szCs w:val="20"/>
        </w:rPr>
        <w:t xml:space="preserve">3. zum Satz von 16,5 Prozent auf die [in Artikel 222 </w:t>
      </w:r>
      <w:r w:rsidR="00D67EB8" w:rsidRPr="009118AB">
        <w:rPr>
          <w:bCs/>
          <w:iCs/>
          <w:sz w:val="20"/>
          <w:szCs w:val="20"/>
        </w:rPr>
        <w:t>Nr. </w:t>
      </w:r>
      <w:r w:rsidRPr="009118AB">
        <w:rPr>
          <w:bCs/>
          <w:iCs/>
          <w:sz w:val="20"/>
          <w:szCs w:val="20"/>
        </w:rPr>
        <w:t>5 und 6] erwähnten Mehrwerte,</w:t>
      </w:r>
    </w:p>
    <w:p w14:paraId="510D2E91" w14:textId="77777777" w:rsidR="001C0338" w:rsidRPr="009118AB" w:rsidRDefault="001C0338" w:rsidP="001C0338">
      <w:pPr>
        <w:autoSpaceDE w:val="0"/>
        <w:autoSpaceDN w:val="0"/>
        <w:adjustRightInd w:val="0"/>
        <w:jc w:val="both"/>
        <w:rPr>
          <w:bCs/>
          <w:iCs/>
          <w:sz w:val="20"/>
          <w:szCs w:val="20"/>
        </w:rPr>
      </w:pPr>
    </w:p>
    <w:p w14:paraId="01C04679" w14:textId="139A88AD" w:rsidR="001C0338" w:rsidRPr="009118AB" w:rsidRDefault="001C0338" w:rsidP="001C0338">
      <w:pPr>
        <w:autoSpaceDE w:val="0"/>
        <w:autoSpaceDN w:val="0"/>
        <w:adjustRightInd w:val="0"/>
        <w:jc w:val="both"/>
        <w:rPr>
          <w:bCs/>
          <w:iCs/>
          <w:sz w:val="20"/>
          <w:szCs w:val="20"/>
        </w:rPr>
      </w:pPr>
      <w:r w:rsidRPr="009118AB">
        <w:rPr>
          <w:bCs/>
          <w:iCs/>
          <w:sz w:val="20"/>
          <w:szCs w:val="20"/>
        </w:rPr>
        <w:t xml:space="preserve">4. [zum Satz von [100 Prozent] </w:t>
      </w:r>
      <w:r w:rsidR="00C13D48" w:rsidRPr="009118AB">
        <w:rPr>
          <w:bCs/>
          <w:iCs/>
          <w:sz w:val="20"/>
          <w:szCs w:val="20"/>
        </w:rPr>
        <w:t xml:space="preserve">[auf die in Artikel 223 Absatz 1 </w:t>
      </w:r>
      <w:r w:rsidR="00D67EB8" w:rsidRPr="009118AB">
        <w:rPr>
          <w:bCs/>
          <w:iCs/>
          <w:sz w:val="20"/>
          <w:szCs w:val="20"/>
        </w:rPr>
        <w:t>Nr. </w:t>
      </w:r>
      <w:r w:rsidR="00C13D48" w:rsidRPr="009118AB">
        <w:rPr>
          <w:bCs/>
          <w:iCs/>
          <w:sz w:val="20"/>
          <w:szCs w:val="20"/>
        </w:rPr>
        <w:t xml:space="preserve">1 erwähnten nicht nachgewiesenen Ausgaben, Vorteile jeglicher Art und Einkünfte wie in Artikel 17 </w:t>
      </w:r>
      <w:r w:rsidR="00D67EB8" w:rsidRPr="009118AB">
        <w:rPr>
          <w:bCs/>
          <w:iCs/>
          <w:sz w:val="20"/>
          <w:szCs w:val="20"/>
        </w:rPr>
        <w:t>§ </w:t>
      </w:r>
      <w:r w:rsidR="00C13D48" w:rsidRPr="009118AB">
        <w:rPr>
          <w:bCs/>
          <w:iCs/>
          <w:sz w:val="20"/>
          <w:szCs w:val="20"/>
        </w:rPr>
        <w:t xml:space="preserve">1 </w:t>
      </w:r>
      <w:r w:rsidR="00D67EB8" w:rsidRPr="009118AB">
        <w:rPr>
          <w:bCs/>
          <w:iCs/>
          <w:sz w:val="20"/>
          <w:szCs w:val="20"/>
        </w:rPr>
        <w:t>Nr. </w:t>
      </w:r>
      <w:r w:rsidR="00C13D48" w:rsidRPr="009118AB">
        <w:rPr>
          <w:bCs/>
          <w:iCs/>
          <w:sz w:val="20"/>
          <w:szCs w:val="20"/>
        </w:rPr>
        <w:t xml:space="preserve">3, was Urheberrechte und ähnliche Rechte betrifft, und </w:t>
      </w:r>
      <w:r w:rsidR="00D67EB8" w:rsidRPr="009118AB">
        <w:rPr>
          <w:bCs/>
          <w:iCs/>
          <w:sz w:val="20"/>
          <w:szCs w:val="20"/>
        </w:rPr>
        <w:t>Nr. </w:t>
      </w:r>
      <w:r w:rsidR="00C13D48" w:rsidRPr="009118AB">
        <w:rPr>
          <w:bCs/>
          <w:iCs/>
          <w:sz w:val="20"/>
          <w:szCs w:val="20"/>
        </w:rPr>
        <w:t>5 erwähnt]</w:t>
      </w:r>
      <w:r w:rsidRPr="009118AB">
        <w:rPr>
          <w:bCs/>
          <w:iCs/>
          <w:sz w:val="20"/>
          <w:szCs w:val="20"/>
        </w:rPr>
        <w:t xml:space="preserve"> und auf die in Artikel 223 Absatz 1 </w:t>
      </w:r>
      <w:r w:rsidR="00D67EB8" w:rsidRPr="009118AB">
        <w:rPr>
          <w:bCs/>
          <w:iCs/>
          <w:sz w:val="20"/>
          <w:szCs w:val="20"/>
        </w:rPr>
        <w:t>Nr. </w:t>
      </w:r>
      <w:r w:rsidRPr="009118AB">
        <w:rPr>
          <w:bCs/>
          <w:iCs/>
          <w:sz w:val="20"/>
          <w:szCs w:val="20"/>
        </w:rPr>
        <w:t>3 erwähnten finanziellen Vorteile oder Vorteile jeglicher Art,] [</w:t>
      </w:r>
      <w:r w:rsidR="00C13D48" w:rsidRPr="009118AB">
        <w:rPr>
          <w:sz w:val="20"/>
          <w:szCs w:val="20"/>
        </w:rPr>
        <w:t xml:space="preserve">außer wenn nachgewiesen werden kann, dass der Empfänger dieser Ausgaben, Vorteile jeglicher Art, Einkünfte wie in Artikel 17 </w:t>
      </w:r>
      <w:r w:rsidR="00D67EB8" w:rsidRPr="009118AB">
        <w:rPr>
          <w:sz w:val="20"/>
          <w:szCs w:val="20"/>
        </w:rPr>
        <w:t>§ </w:t>
      </w:r>
      <w:r w:rsidR="00C13D48" w:rsidRPr="009118AB">
        <w:rPr>
          <w:sz w:val="20"/>
          <w:szCs w:val="20"/>
        </w:rPr>
        <w:t xml:space="preserve">1 </w:t>
      </w:r>
      <w:r w:rsidR="00D67EB8" w:rsidRPr="009118AB">
        <w:rPr>
          <w:sz w:val="20"/>
          <w:szCs w:val="20"/>
        </w:rPr>
        <w:t>Nr. </w:t>
      </w:r>
      <w:r w:rsidR="00C13D48" w:rsidRPr="009118AB">
        <w:rPr>
          <w:sz w:val="20"/>
          <w:szCs w:val="20"/>
        </w:rPr>
        <w:t xml:space="preserve">3, was Urheberrechte und ähnliche Rechte betrifft, und </w:t>
      </w:r>
      <w:r w:rsidR="00D67EB8" w:rsidRPr="009118AB">
        <w:rPr>
          <w:sz w:val="20"/>
          <w:szCs w:val="20"/>
        </w:rPr>
        <w:t>Nr. </w:t>
      </w:r>
      <w:r w:rsidR="00C13D48" w:rsidRPr="009118AB">
        <w:rPr>
          <w:sz w:val="20"/>
          <w:szCs w:val="20"/>
        </w:rPr>
        <w:t>5 erwähnt und finanziellen Vorteile eine juristische Person ist; in diesen Fällen wird der Steuersatz auf 50 Prozent festgelegt</w:t>
      </w:r>
      <w:r w:rsidRPr="009118AB">
        <w:rPr>
          <w:sz w:val="20"/>
          <w:szCs w:val="20"/>
        </w:rPr>
        <w:t>]</w:t>
      </w:r>
      <w:r w:rsidR="00C13D48" w:rsidRPr="009118AB">
        <w:rPr>
          <w:sz w:val="20"/>
          <w:szCs w:val="20"/>
        </w:rPr>
        <w:t>,</w:t>
      </w:r>
    </w:p>
    <w:p w14:paraId="485C429C" w14:textId="77777777" w:rsidR="001C0338" w:rsidRPr="009118AB" w:rsidRDefault="001C0338" w:rsidP="001C0338">
      <w:pPr>
        <w:autoSpaceDE w:val="0"/>
        <w:autoSpaceDN w:val="0"/>
        <w:adjustRightInd w:val="0"/>
        <w:jc w:val="both"/>
        <w:rPr>
          <w:bCs/>
          <w:iCs/>
          <w:sz w:val="20"/>
          <w:szCs w:val="20"/>
        </w:rPr>
      </w:pPr>
    </w:p>
    <w:p w14:paraId="16742C6D" w14:textId="17635BC0" w:rsidR="001C0338" w:rsidRPr="009118AB" w:rsidRDefault="001C0338" w:rsidP="001C0338">
      <w:pPr>
        <w:autoSpaceDE w:val="0"/>
        <w:autoSpaceDN w:val="0"/>
        <w:adjustRightInd w:val="0"/>
        <w:jc w:val="both"/>
        <w:rPr>
          <w:bCs/>
          <w:iCs/>
          <w:sz w:val="20"/>
          <w:szCs w:val="20"/>
        </w:rPr>
      </w:pPr>
      <w:r w:rsidRPr="009118AB">
        <w:rPr>
          <w:bCs/>
          <w:iCs/>
          <w:sz w:val="20"/>
          <w:szCs w:val="20"/>
        </w:rPr>
        <w:t xml:space="preserve">5. </w:t>
      </w:r>
      <w:r w:rsidR="00D14984" w:rsidRPr="009118AB">
        <w:rPr>
          <w:bCs/>
          <w:iCs/>
          <w:sz w:val="20"/>
          <w:szCs w:val="20"/>
        </w:rPr>
        <w:t xml:space="preserve">[zu dem in Artikel 215 Absatz 1 erwähnten Satz auf die in Artikel 223 Absatz 1 </w:t>
      </w:r>
      <w:r w:rsidR="00D67EB8" w:rsidRPr="009118AB">
        <w:rPr>
          <w:bCs/>
          <w:iCs/>
          <w:sz w:val="20"/>
          <w:szCs w:val="20"/>
        </w:rPr>
        <w:t>Nr. </w:t>
      </w:r>
      <w:r w:rsidR="00D14984" w:rsidRPr="009118AB">
        <w:rPr>
          <w:bCs/>
          <w:iCs/>
          <w:sz w:val="20"/>
          <w:szCs w:val="20"/>
        </w:rPr>
        <w:t xml:space="preserve">2 erwähnten Beiträge, Prämien, Pensionen, Renten und Zulagen, auf die in Artikel 223 Absatz 1 </w:t>
      </w:r>
      <w:r w:rsidR="00D67EB8" w:rsidRPr="009118AB">
        <w:rPr>
          <w:bCs/>
          <w:iCs/>
          <w:sz w:val="20"/>
          <w:szCs w:val="20"/>
        </w:rPr>
        <w:t>Nr. </w:t>
      </w:r>
      <w:r w:rsidR="00D14984" w:rsidRPr="009118AB">
        <w:rPr>
          <w:bCs/>
          <w:iCs/>
          <w:sz w:val="20"/>
          <w:szCs w:val="20"/>
        </w:rPr>
        <w:t>3 erwähnten finanziellen Vorteile oder Vorteile jeglicher Art</w:t>
      </w:r>
      <w:r w:rsidR="003B3712" w:rsidRPr="009118AB">
        <w:rPr>
          <w:bCs/>
          <w:iCs/>
          <w:sz w:val="20"/>
          <w:szCs w:val="20"/>
        </w:rPr>
        <w:t xml:space="preserve">[, auf die in Artikel 223 Absatz 1 </w:t>
      </w:r>
      <w:r w:rsidR="00D67EB8" w:rsidRPr="009118AB">
        <w:rPr>
          <w:bCs/>
          <w:iCs/>
          <w:sz w:val="20"/>
          <w:szCs w:val="20"/>
        </w:rPr>
        <w:t>Nr. </w:t>
      </w:r>
      <w:r w:rsidR="003B3712" w:rsidRPr="009118AB">
        <w:rPr>
          <w:bCs/>
          <w:iCs/>
          <w:sz w:val="20"/>
          <w:szCs w:val="20"/>
        </w:rPr>
        <w:t>8 erwähnten Provisionen, Maklergebühren, kommerziellen oder anderen Ermäßigungen, zufälligen oder nicht zufälligen Entgelte oder Honorare, Zuwendungen, Vergütungen oder Vorteile jeglicher Art]</w:t>
      </w:r>
      <w:r w:rsidR="00D14984" w:rsidRPr="009118AB">
        <w:rPr>
          <w:bCs/>
          <w:iCs/>
          <w:sz w:val="20"/>
          <w:szCs w:val="20"/>
        </w:rPr>
        <w:t xml:space="preserve">[, auf die in Artikel 223 Absatz 1 </w:t>
      </w:r>
      <w:r w:rsidR="00D67EB8" w:rsidRPr="009118AB">
        <w:rPr>
          <w:bCs/>
          <w:iCs/>
          <w:sz w:val="20"/>
          <w:szCs w:val="20"/>
        </w:rPr>
        <w:t>Nr. </w:t>
      </w:r>
      <w:r w:rsidR="00D14984" w:rsidRPr="009118AB">
        <w:rPr>
          <w:bCs/>
          <w:iCs/>
          <w:sz w:val="20"/>
          <w:szCs w:val="20"/>
        </w:rPr>
        <w:t xml:space="preserve">4 und 5 erwähnten Beträge und auf die in Artikel 223 Absatz 1 </w:t>
      </w:r>
      <w:r w:rsidR="00D67EB8" w:rsidRPr="009118AB">
        <w:rPr>
          <w:bCs/>
          <w:iCs/>
          <w:sz w:val="20"/>
          <w:szCs w:val="20"/>
        </w:rPr>
        <w:t>Nr. </w:t>
      </w:r>
      <w:r w:rsidR="00D14984" w:rsidRPr="009118AB">
        <w:rPr>
          <w:bCs/>
          <w:iCs/>
          <w:sz w:val="20"/>
          <w:szCs w:val="20"/>
        </w:rPr>
        <w:t>6 erwähnten Kosten],]</w:t>
      </w:r>
    </w:p>
    <w:p w14:paraId="01D8FC3C" w14:textId="77777777" w:rsidR="001C0338" w:rsidRPr="009118AB" w:rsidRDefault="001C0338" w:rsidP="001C0338">
      <w:pPr>
        <w:autoSpaceDE w:val="0"/>
        <w:autoSpaceDN w:val="0"/>
        <w:adjustRightInd w:val="0"/>
        <w:jc w:val="both"/>
        <w:rPr>
          <w:bCs/>
          <w:iCs/>
          <w:sz w:val="20"/>
          <w:szCs w:val="20"/>
        </w:rPr>
      </w:pPr>
    </w:p>
    <w:p w14:paraId="7C514AD5" w14:textId="77777777" w:rsidR="001C0338" w:rsidRPr="009118AB" w:rsidRDefault="001C0338" w:rsidP="001C0338">
      <w:pPr>
        <w:autoSpaceDE w:val="0"/>
        <w:autoSpaceDN w:val="0"/>
        <w:adjustRightInd w:val="0"/>
        <w:jc w:val="both"/>
        <w:rPr>
          <w:bCs/>
          <w:iCs/>
          <w:sz w:val="20"/>
          <w:szCs w:val="20"/>
        </w:rPr>
      </w:pPr>
      <w:r w:rsidRPr="009118AB">
        <w:rPr>
          <w:bCs/>
          <w:iCs/>
          <w:sz w:val="20"/>
          <w:szCs w:val="20"/>
        </w:rPr>
        <w:t>6. [zum Satz von 25 Prozent auf die in Artikel 224 erwähnten Dividenden.]</w:t>
      </w:r>
    </w:p>
    <w:p w14:paraId="55B0C0B2" w14:textId="77777777" w:rsidR="001C0338" w:rsidRPr="009118AB" w:rsidRDefault="001C0338" w:rsidP="001C0338">
      <w:pPr>
        <w:autoSpaceDE w:val="0"/>
        <w:autoSpaceDN w:val="0"/>
        <w:adjustRightInd w:val="0"/>
        <w:jc w:val="both"/>
        <w:rPr>
          <w:bCs/>
          <w:iCs/>
          <w:sz w:val="20"/>
          <w:szCs w:val="20"/>
        </w:rPr>
      </w:pPr>
    </w:p>
    <w:p w14:paraId="78DD4C0B" w14:textId="0DD979E4" w:rsidR="001C0338" w:rsidRPr="009118AB" w:rsidRDefault="001C0338" w:rsidP="001C0338">
      <w:pPr>
        <w:autoSpaceDE w:val="0"/>
        <w:autoSpaceDN w:val="0"/>
        <w:adjustRightInd w:val="0"/>
        <w:jc w:val="both"/>
        <w:rPr>
          <w:bCs/>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225 </w:t>
      </w:r>
      <w:r w:rsidR="00D67EB8" w:rsidRPr="009118AB">
        <w:rPr>
          <w:bCs/>
          <w:i/>
          <w:iCs/>
          <w:sz w:val="20"/>
          <w:szCs w:val="20"/>
        </w:rPr>
        <w:t>Abs. </w:t>
      </w:r>
      <w:r w:rsidRPr="009118AB">
        <w:rPr>
          <w:bCs/>
          <w:i/>
          <w:iCs/>
          <w:sz w:val="20"/>
          <w:szCs w:val="20"/>
        </w:rPr>
        <w:t xml:space="preserve">2 </w:t>
      </w:r>
      <w:r w:rsidR="00D67EB8" w:rsidRPr="009118AB">
        <w:rPr>
          <w:bCs/>
          <w:i/>
          <w:iCs/>
          <w:sz w:val="20"/>
          <w:szCs w:val="20"/>
        </w:rPr>
        <w:t>Nr. </w:t>
      </w:r>
      <w:r w:rsidRPr="009118AB">
        <w:rPr>
          <w:bCs/>
          <w:i/>
          <w:iCs/>
          <w:sz w:val="20"/>
          <w:szCs w:val="20"/>
        </w:rPr>
        <w:t xml:space="preserve">3 abgeändert durch </w:t>
      </w:r>
      <w:r w:rsidR="00D67EB8" w:rsidRPr="009118AB">
        <w:rPr>
          <w:bCs/>
          <w:i/>
          <w:iCs/>
          <w:sz w:val="20"/>
          <w:szCs w:val="20"/>
        </w:rPr>
        <w:t>Art. </w:t>
      </w:r>
      <w:r w:rsidRPr="009118AB">
        <w:rPr>
          <w:bCs/>
          <w:i/>
          <w:iCs/>
          <w:sz w:val="20"/>
          <w:szCs w:val="20"/>
        </w:rPr>
        <w:t>24 des G. vom 4. Mai 1999 (II) (B.S. vom 12. Juni 1999)</w:t>
      </w:r>
      <w:r w:rsidR="00D67EB8" w:rsidRPr="009118AB">
        <w:rPr>
          <w:bCs/>
          <w:i/>
          <w:iCs/>
          <w:sz w:val="20"/>
          <w:szCs w:val="20"/>
        </w:rPr>
        <w:t> - </w:t>
      </w:r>
      <w:r w:rsidRPr="009118AB">
        <w:rPr>
          <w:bCs/>
          <w:i/>
          <w:iCs/>
          <w:sz w:val="20"/>
          <w:szCs w:val="20"/>
        </w:rPr>
        <w:t>in Kraft ab dem Steuerjahr 1998</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2 </w:t>
      </w:r>
      <w:r w:rsidR="00D67EB8" w:rsidRPr="009118AB">
        <w:rPr>
          <w:bCs/>
          <w:i/>
          <w:iCs/>
          <w:sz w:val="20"/>
          <w:szCs w:val="20"/>
        </w:rPr>
        <w:t>Nr. </w:t>
      </w:r>
      <w:r w:rsidRPr="009118AB">
        <w:rPr>
          <w:bCs/>
          <w:i/>
          <w:iCs/>
          <w:sz w:val="20"/>
          <w:szCs w:val="20"/>
        </w:rPr>
        <w:t xml:space="preserve">4 ersetzt durch </w:t>
      </w:r>
      <w:r w:rsidR="00D67EB8" w:rsidRPr="009118AB">
        <w:rPr>
          <w:bCs/>
          <w:i/>
          <w:iCs/>
          <w:sz w:val="20"/>
          <w:szCs w:val="20"/>
        </w:rPr>
        <w:t>Art. </w:t>
      </w:r>
      <w:r w:rsidRPr="009118AB">
        <w:rPr>
          <w:bCs/>
          <w:i/>
          <w:iCs/>
          <w:sz w:val="20"/>
          <w:szCs w:val="20"/>
        </w:rPr>
        <w:t>137 des G. (I) vom 22. Dezember 2008 (II) (B.S. vom 29. Dezember 2008)</w:t>
      </w:r>
      <w:r w:rsidR="00D67EB8" w:rsidRPr="009118AB">
        <w:rPr>
          <w:bCs/>
          <w:i/>
          <w:iCs/>
          <w:sz w:val="20"/>
          <w:szCs w:val="20"/>
        </w:rPr>
        <w:t> - </w:t>
      </w:r>
      <w:r w:rsidRPr="009118AB">
        <w:rPr>
          <w:bCs/>
          <w:i/>
          <w:iCs/>
          <w:sz w:val="20"/>
          <w:szCs w:val="20"/>
        </w:rPr>
        <w:t>in Kraft am 8. Juni 2007 mit Ausnahme von Artikel 137, der in Bezug auf die Verweise auf Artikel</w:t>
      </w:r>
      <w:r w:rsidR="00C13D48" w:rsidRPr="009118AB">
        <w:rPr>
          <w:bCs/>
          <w:i/>
          <w:iCs/>
          <w:sz w:val="20"/>
          <w:szCs w:val="20"/>
        </w:rPr>
        <w:t> </w:t>
      </w:r>
      <w:r w:rsidRPr="009118AB">
        <w:rPr>
          <w:bCs/>
          <w:i/>
          <w:iCs/>
          <w:sz w:val="20"/>
          <w:szCs w:val="20"/>
        </w:rPr>
        <w:t>223 Absatz</w:t>
      </w:r>
      <w:r w:rsidR="00C13D48" w:rsidRPr="009118AB">
        <w:rPr>
          <w:bCs/>
          <w:i/>
          <w:iCs/>
          <w:sz w:val="20"/>
          <w:szCs w:val="20"/>
        </w:rPr>
        <w:t> </w:t>
      </w:r>
      <w:r w:rsidRPr="009118AB">
        <w:rPr>
          <w:bCs/>
          <w:i/>
          <w:iCs/>
          <w:sz w:val="20"/>
          <w:szCs w:val="20"/>
        </w:rPr>
        <w:t>1 ab dem 1. Januar 2006 anwendbar ist und in Bezug auf die Einfügung der nicht nachgewiesenen Vorteile jeglicher Art ab dem Steuerjahr</w:t>
      </w:r>
      <w:r w:rsidR="00C13D48" w:rsidRPr="009118AB">
        <w:rPr>
          <w:bCs/>
          <w:i/>
          <w:iCs/>
          <w:sz w:val="20"/>
          <w:szCs w:val="20"/>
        </w:rPr>
        <w:t> </w:t>
      </w:r>
      <w:r w:rsidRPr="009118AB">
        <w:rPr>
          <w:bCs/>
          <w:i/>
          <w:iCs/>
          <w:sz w:val="20"/>
          <w:szCs w:val="20"/>
        </w:rPr>
        <w:t>2007 anwendbar ist</w:t>
      </w:r>
      <w:r w:rsidR="00D67EB8" w:rsidRPr="009118AB">
        <w:rPr>
          <w:bCs/>
          <w:i/>
          <w:iCs/>
          <w:sz w:val="20"/>
          <w:szCs w:val="20"/>
        </w:rPr>
        <w:t> - </w:t>
      </w:r>
      <w:r w:rsidRPr="009118AB">
        <w:rPr>
          <w:bCs/>
          <w:i/>
          <w:iCs/>
          <w:sz w:val="20"/>
          <w:szCs w:val="20"/>
        </w:rPr>
        <w:t xml:space="preserve">und abgeändert durch </w:t>
      </w:r>
      <w:r w:rsidR="00D67EB8" w:rsidRPr="009118AB">
        <w:rPr>
          <w:bCs/>
          <w:i/>
          <w:iCs/>
          <w:sz w:val="20"/>
          <w:szCs w:val="20"/>
        </w:rPr>
        <w:t>Art. </w:t>
      </w:r>
      <w:r w:rsidRPr="009118AB">
        <w:rPr>
          <w:bCs/>
          <w:i/>
          <w:iCs/>
          <w:sz w:val="20"/>
          <w:szCs w:val="20"/>
        </w:rPr>
        <w:t xml:space="preserve">32 </w:t>
      </w:r>
      <w:r w:rsidR="00D67EB8" w:rsidRPr="009118AB">
        <w:rPr>
          <w:bCs/>
          <w:i/>
          <w:iCs/>
          <w:sz w:val="20"/>
          <w:szCs w:val="20"/>
        </w:rPr>
        <w:t>Nr. </w:t>
      </w:r>
      <w:r w:rsidRPr="009118AB">
        <w:rPr>
          <w:bCs/>
          <w:i/>
          <w:iCs/>
          <w:sz w:val="20"/>
          <w:szCs w:val="20"/>
        </w:rPr>
        <w:t>1</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D67EB8" w:rsidRPr="009118AB">
        <w:rPr>
          <w:i/>
          <w:iCs/>
          <w:sz w:val="20"/>
          <w:szCs w:val="20"/>
        </w:rPr>
        <w:t> - </w:t>
      </w:r>
      <w:r w:rsidR="00C13D48" w:rsidRPr="009118AB">
        <w:rPr>
          <w:i/>
          <w:iCs/>
          <w:sz w:val="20"/>
          <w:szCs w:val="20"/>
        </w:rPr>
        <w:t xml:space="preserve">und </w:t>
      </w:r>
      <w:r w:rsidR="00D67EB8" w:rsidRPr="009118AB">
        <w:rPr>
          <w:i/>
          <w:iCs/>
          <w:sz w:val="20"/>
          <w:szCs w:val="20"/>
        </w:rPr>
        <w:t>Art. </w:t>
      </w:r>
      <w:r w:rsidR="00210E8C" w:rsidRPr="009118AB">
        <w:rPr>
          <w:i/>
          <w:iCs/>
          <w:sz w:val="20"/>
          <w:szCs w:val="20"/>
        </w:rPr>
        <w:t>48</w:t>
      </w:r>
      <w:r w:rsidR="00210E8C" w:rsidRPr="009118AB">
        <w:rPr>
          <w:bCs/>
          <w:i/>
          <w:iCs/>
          <w:sz w:val="20"/>
          <w:szCs w:val="20"/>
        </w:rPr>
        <w:t xml:space="preserve"> des G. vom 21. Januar 2022 (B.S. vom 28. Januar 2022)</w:t>
      </w:r>
      <w:r w:rsidR="00D67EB8" w:rsidRPr="009118AB">
        <w:rPr>
          <w:bCs/>
          <w:i/>
          <w:iCs/>
          <w:sz w:val="20"/>
          <w:szCs w:val="20"/>
        </w:rPr>
        <w:t> - </w:t>
      </w:r>
      <w:r w:rsidR="00210E8C"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2 </w:t>
      </w:r>
      <w:r w:rsidR="00D67EB8" w:rsidRPr="009118AB">
        <w:rPr>
          <w:bCs/>
          <w:i/>
          <w:iCs/>
          <w:sz w:val="20"/>
          <w:szCs w:val="20"/>
        </w:rPr>
        <w:t>Nr. </w:t>
      </w:r>
      <w:r w:rsidRPr="009118AB">
        <w:rPr>
          <w:bCs/>
          <w:i/>
          <w:iCs/>
          <w:sz w:val="20"/>
          <w:szCs w:val="20"/>
        </w:rPr>
        <w:t xml:space="preserve">5 ersetzt </w:t>
      </w:r>
      <w:r w:rsidRPr="009118AB">
        <w:rPr>
          <w:i/>
          <w:iCs/>
          <w:sz w:val="20"/>
          <w:szCs w:val="20"/>
        </w:rPr>
        <w:t xml:space="preserve">durch </w:t>
      </w:r>
      <w:r w:rsidR="00D67EB8" w:rsidRPr="009118AB">
        <w:rPr>
          <w:i/>
          <w:iCs/>
          <w:sz w:val="20"/>
          <w:szCs w:val="20"/>
        </w:rPr>
        <w:t>Art. </w:t>
      </w:r>
      <w:r w:rsidRPr="009118AB">
        <w:rPr>
          <w:i/>
          <w:iCs/>
          <w:sz w:val="20"/>
          <w:szCs w:val="20"/>
        </w:rPr>
        <w:t>48</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i/>
          <w:iCs/>
          <w:sz w:val="20"/>
          <w:szCs w:val="20"/>
        </w:rPr>
        <w:t>anwendbar auf die ab dem 1. Januar 2012 zuerkannten Vorteile jeglicher Art</w:t>
      </w:r>
      <w:r w:rsidR="00D67EB8" w:rsidRPr="009118AB">
        <w:rPr>
          <w:i/>
          <w:iCs/>
          <w:sz w:val="20"/>
          <w:szCs w:val="20"/>
        </w:rPr>
        <w:t> - </w:t>
      </w:r>
      <w:r w:rsidRPr="009118AB">
        <w:rPr>
          <w:i/>
          <w:iCs/>
          <w:sz w:val="20"/>
          <w:szCs w:val="20"/>
        </w:rPr>
        <w:t xml:space="preserve">und </w:t>
      </w:r>
      <w:r w:rsidRPr="009118AB">
        <w:rPr>
          <w:i/>
          <w:iCs/>
          <w:sz w:val="20"/>
          <w:szCs w:val="20"/>
        </w:rPr>
        <w:lastRenderedPageBreak/>
        <w:t xml:space="preserve">abgeändert durch </w:t>
      </w:r>
      <w:r w:rsidR="00D67EB8" w:rsidRPr="009118AB">
        <w:rPr>
          <w:i/>
          <w:iCs/>
          <w:sz w:val="20"/>
          <w:szCs w:val="20"/>
        </w:rPr>
        <w:t>Art. </w:t>
      </w:r>
      <w:r w:rsidRPr="009118AB">
        <w:rPr>
          <w:i/>
          <w:iCs/>
          <w:sz w:val="20"/>
          <w:szCs w:val="20"/>
        </w:rPr>
        <w:t>19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 xml:space="preserve">32 </w:t>
      </w:r>
      <w:r w:rsidR="00D67EB8" w:rsidRPr="009118AB">
        <w:rPr>
          <w:i/>
          <w:iCs/>
          <w:sz w:val="20"/>
          <w:szCs w:val="20"/>
        </w:rPr>
        <w:t>Nr. </w:t>
      </w:r>
      <w:r w:rsidRPr="009118AB">
        <w:rPr>
          <w:i/>
          <w:iCs/>
          <w:sz w:val="20"/>
          <w:szCs w:val="20"/>
        </w:rPr>
        <w:t>2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70</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FD68E8" w:rsidRPr="009118AB">
        <w:rPr>
          <w:i/>
          <w:sz w:val="20"/>
          <w:szCs w:val="20"/>
        </w:rPr>
        <w:t> -,</w:t>
      </w:r>
      <w:r w:rsidRPr="009118AB">
        <w:rPr>
          <w:i/>
          <w:sz w:val="20"/>
          <w:szCs w:val="20"/>
        </w:rPr>
        <w:t xml:space="preserve"> </w:t>
      </w:r>
      <w:r w:rsidR="00D67EB8" w:rsidRPr="009118AB">
        <w:rPr>
          <w:i/>
          <w:sz w:val="20"/>
          <w:szCs w:val="20"/>
        </w:rPr>
        <w:t>Art. </w:t>
      </w:r>
      <w:r w:rsidRPr="009118AB">
        <w:rPr>
          <w:i/>
          <w:sz w:val="20"/>
          <w:szCs w:val="20"/>
        </w:rPr>
        <w:t>32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00922A58" w:rsidRPr="009118AB">
        <w:rPr>
          <w:i/>
          <w:sz w:val="20"/>
          <w:szCs w:val="20"/>
        </w:rPr>
        <w:t xml:space="preserve"> selbst für nichtig erklärt durch Entscheid </w:t>
      </w:r>
      <w:r w:rsidR="00D67EB8" w:rsidRPr="009118AB">
        <w:rPr>
          <w:i/>
          <w:sz w:val="20"/>
          <w:szCs w:val="20"/>
        </w:rPr>
        <w:t>Nr. </w:t>
      </w:r>
      <w:r w:rsidR="00922A58" w:rsidRPr="009118AB">
        <w:rPr>
          <w:i/>
          <w:sz w:val="20"/>
          <w:szCs w:val="20"/>
        </w:rPr>
        <w:t xml:space="preserve">11/2020 des Verfassungsgerichtshofes vom </w:t>
      </w:r>
      <w:r w:rsidR="00D14984" w:rsidRPr="009118AB">
        <w:rPr>
          <w:i/>
          <w:sz w:val="20"/>
          <w:szCs w:val="20"/>
        </w:rPr>
        <w:t xml:space="preserve">23. Januar 2020 (B.S. vom 24. Februar 2020), und durch </w:t>
      </w:r>
      <w:r w:rsidR="00D67EB8" w:rsidRPr="009118AB">
        <w:rPr>
          <w:i/>
          <w:sz w:val="20"/>
          <w:szCs w:val="20"/>
        </w:rPr>
        <w:t>Art. </w:t>
      </w:r>
      <w:r w:rsidR="003B3712" w:rsidRPr="009118AB">
        <w:rPr>
          <w:i/>
          <w:sz w:val="20"/>
          <w:szCs w:val="20"/>
        </w:rPr>
        <w:t>8 des G. vom 27. Dezember 2021 (B.S. vom 31. Dezember 2021</w:t>
      </w:r>
      <w:r w:rsidR="00A20038" w:rsidRPr="009118AB">
        <w:rPr>
          <w:i/>
          <w:sz w:val="20"/>
          <w:szCs w:val="20"/>
        </w:rPr>
        <w:t>)</w:t>
      </w:r>
      <w:r w:rsidR="00D67EB8" w:rsidRPr="009118AB">
        <w:rPr>
          <w:i/>
          <w:sz w:val="20"/>
          <w:szCs w:val="20"/>
        </w:rPr>
        <w:t> - </w:t>
      </w:r>
      <w:r w:rsidR="003B3712" w:rsidRPr="009118AB">
        <w:rPr>
          <w:i/>
          <w:sz w:val="20"/>
          <w:szCs w:val="20"/>
        </w:rPr>
        <w:t>anwendbar ab dem 1. Januar 2022</w:t>
      </w:r>
      <w:r w:rsidR="00D67EB8" w:rsidRPr="009118AB">
        <w:rPr>
          <w:i/>
          <w:sz w:val="20"/>
          <w:szCs w:val="20"/>
        </w:rPr>
        <w:t> - </w:t>
      </w:r>
      <w:r w:rsidR="003B3712" w:rsidRPr="009118AB">
        <w:rPr>
          <w:i/>
          <w:sz w:val="20"/>
          <w:szCs w:val="20"/>
        </w:rPr>
        <w:t xml:space="preserve">und </w:t>
      </w:r>
      <w:r w:rsidR="00D67EB8" w:rsidRPr="009118AB">
        <w:rPr>
          <w:i/>
          <w:sz w:val="20"/>
          <w:szCs w:val="20"/>
        </w:rPr>
        <w:t>Art. </w:t>
      </w:r>
      <w:r w:rsidR="00D14984" w:rsidRPr="009118AB">
        <w:rPr>
          <w:i/>
          <w:sz w:val="20"/>
          <w:szCs w:val="20"/>
        </w:rPr>
        <w:t xml:space="preserve">7 </w:t>
      </w:r>
      <w:r w:rsidR="00D67EB8" w:rsidRPr="009118AB">
        <w:rPr>
          <w:i/>
          <w:sz w:val="20"/>
          <w:szCs w:val="20"/>
        </w:rPr>
        <w:t>Nr. </w:t>
      </w:r>
      <w:r w:rsidR="00D14984" w:rsidRPr="009118AB">
        <w:rPr>
          <w:i/>
          <w:sz w:val="20"/>
          <w:szCs w:val="20"/>
        </w:rPr>
        <w:t>1</w:t>
      </w:r>
      <w:r w:rsidR="00D14984" w:rsidRPr="009118AB">
        <w:rPr>
          <w:i/>
          <w:iCs/>
        </w:rPr>
        <w:t xml:space="preserve"> </w:t>
      </w:r>
      <w:r w:rsidR="00D14984" w:rsidRPr="009118AB">
        <w:rPr>
          <w:i/>
          <w:iCs/>
          <w:sz w:val="20"/>
          <w:szCs w:val="20"/>
        </w:rPr>
        <w:t>des G. vom 25. November 2021 (B.S. vom 3. Dezember 2021)</w:t>
      </w:r>
      <w:r w:rsidR="00D67EB8" w:rsidRPr="009118AB">
        <w:rPr>
          <w:i/>
          <w:iCs/>
          <w:sz w:val="20"/>
          <w:szCs w:val="20"/>
        </w:rPr>
        <w:t> - </w:t>
      </w:r>
      <w:r w:rsidR="00D14984"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2 </w:t>
      </w:r>
      <w:r w:rsidR="00D67EB8" w:rsidRPr="009118AB">
        <w:rPr>
          <w:i/>
          <w:iCs/>
          <w:sz w:val="20"/>
          <w:szCs w:val="20"/>
        </w:rPr>
        <w:t>Nr. </w:t>
      </w:r>
      <w:r w:rsidRPr="009118AB">
        <w:rPr>
          <w:i/>
          <w:iCs/>
          <w:sz w:val="20"/>
          <w:szCs w:val="20"/>
        </w:rPr>
        <w:t xml:space="preserve">6 aufgehoben durch </w:t>
      </w:r>
      <w:r w:rsidR="00D67EB8" w:rsidRPr="009118AB">
        <w:rPr>
          <w:i/>
          <w:iCs/>
          <w:sz w:val="20"/>
          <w:szCs w:val="20"/>
        </w:rPr>
        <w:t>Art. </w:t>
      </w:r>
      <w:r w:rsidRPr="009118AB">
        <w:rPr>
          <w:i/>
          <w:iCs/>
          <w:sz w:val="20"/>
          <w:szCs w:val="20"/>
        </w:rPr>
        <w:t>21 des G. vom 19. Dezember 2014 (B.S. vom 29. Dezember 2014)</w:t>
      </w:r>
      <w:r w:rsidR="00D67EB8" w:rsidRPr="009118AB">
        <w:rPr>
          <w:i/>
          <w:iCs/>
          <w:sz w:val="20"/>
          <w:szCs w:val="20"/>
        </w:rPr>
        <w:t> - </w:t>
      </w:r>
      <w:r w:rsidRPr="009118AB">
        <w:rPr>
          <w:i/>
          <w:iCs/>
          <w:sz w:val="20"/>
          <w:szCs w:val="20"/>
        </w:rPr>
        <w:t>in Kraft ab dem Steuerjahr 2015 und anwendbar auf Geschäftsjahre, die frühestens am 1. Juli 2015 abgeschlossen werden</w:t>
      </w:r>
      <w:r w:rsidR="00FD68E8" w:rsidRPr="009118AB">
        <w:rPr>
          <w:i/>
          <w:iCs/>
          <w:sz w:val="20"/>
          <w:szCs w:val="20"/>
        </w:rPr>
        <w:t> -,</w:t>
      </w:r>
      <w:r w:rsidRPr="009118AB">
        <w:rPr>
          <w:i/>
          <w:iCs/>
          <w:sz w:val="20"/>
          <w:szCs w:val="20"/>
        </w:rPr>
        <w:t xml:space="preserve"> selbst widerrufen durch </w:t>
      </w:r>
      <w:r w:rsidR="00D67EB8" w:rsidRPr="009118AB">
        <w:rPr>
          <w:i/>
          <w:iCs/>
          <w:sz w:val="20"/>
          <w:szCs w:val="20"/>
        </w:rPr>
        <w:t>Art. </w:t>
      </w:r>
      <w:r w:rsidRPr="009118AB">
        <w:rPr>
          <w:i/>
          <w:iCs/>
          <w:sz w:val="20"/>
          <w:szCs w:val="20"/>
        </w:rPr>
        <w:t>91 des G. vom 10. August 2015 (B.S. vom 18. August 2015)</w:t>
      </w:r>
      <w:r w:rsidR="00D67EB8" w:rsidRPr="009118AB">
        <w:rPr>
          <w:i/>
          <w:iCs/>
          <w:sz w:val="20"/>
          <w:szCs w:val="20"/>
        </w:rPr>
        <w:t> - </w:t>
      </w:r>
      <w:r w:rsidRPr="009118AB">
        <w:rPr>
          <w:i/>
          <w:iCs/>
          <w:sz w:val="20"/>
          <w:szCs w:val="20"/>
        </w:rPr>
        <w:t>in Kraft ab dem Steuerjahr 2015 und anwendbar auf Geschäftsjahre, die frühestens am 1. August 2015 abgeschlossen werden</w:t>
      </w:r>
      <w:r w:rsidR="00FD68E8" w:rsidRPr="009118AB">
        <w:rPr>
          <w:i/>
          <w:iCs/>
          <w:sz w:val="20"/>
          <w:szCs w:val="20"/>
        </w:rPr>
        <w:t> -]</w:t>
      </w:r>
      <w:r w:rsidRPr="009118AB">
        <w:rPr>
          <w:bCs/>
          <w:sz w:val="20"/>
          <w:szCs w:val="20"/>
        </w:rPr>
        <w:t>"</w:t>
      </w:r>
    </w:p>
    <w:p w14:paraId="2041DFE1" w14:textId="5A12927A" w:rsidR="001C0338" w:rsidRPr="009118AB" w:rsidRDefault="001C0338" w:rsidP="001C0338">
      <w:pPr>
        <w:autoSpaceDE w:val="0"/>
        <w:autoSpaceDN w:val="0"/>
        <w:adjustRightInd w:val="0"/>
        <w:jc w:val="both"/>
        <w:rPr>
          <w:sz w:val="20"/>
          <w:szCs w:val="20"/>
        </w:rPr>
      </w:pPr>
    </w:p>
    <w:p w14:paraId="158A49D5" w14:textId="753F3F5A" w:rsidR="00D14984" w:rsidRPr="009118AB" w:rsidRDefault="00D14984" w:rsidP="001C0338">
      <w:pPr>
        <w:autoSpaceDE w:val="0"/>
        <w:autoSpaceDN w:val="0"/>
        <w:adjustRightInd w:val="0"/>
        <w:jc w:val="both"/>
        <w:rPr>
          <w:sz w:val="20"/>
          <w:szCs w:val="20"/>
        </w:rPr>
      </w:pPr>
    </w:p>
    <w:p w14:paraId="7D34E68E" w14:textId="4C1C7883" w:rsidR="00D14984" w:rsidRPr="009118AB" w:rsidRDefault="00D14984" w:rsidP="00D14984">
      <w:pPr>
        <w:autoSpaceDE w:val="0"/>
        <w:autoSpaceDN w:val="0"/>
        <w:adjustRightInd w:val="0"/>
        <w:jc w:val="both"/>
        <w:rPr>
          <w:sz w:val="20"/>
          <w:szCs w:val="20"/>
        </w:rPr>
      </w:pPr>
      <w:r w:rsidRPr="009118AB">
        <w:rPr>
          <w:sz w:val="20"/>
          <w:szCs w:val="20"/>
        </w:rPr>
        <w:t xml:space="preserve">Ab dem 1. Januar 2027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7 des G. vom 25. November 2021 (B.S. vom 3. Dezember 2021)) lautet </w:t>
      </w:r>
      <w:r w:rsidR="00D67EB8" w:rsidRPr="009118AB">
        <w:rPr>
          <w:sz w:val="20"/>
          <w:szCs w:val="20"/>
        </w:rPr>
        <w:t>Art. </w:t>
      </w:r>
      <w:r w:rsidRPr="009118AB">
        <w:rPr>
          <w:sz w:val="20"/>
          <w:szCs w:val="20"/>
        </w:rPr>
        <w:t>223 wie folgt:</w:t>
      </w:r>
    </w:p>
    <w:p w14:paraId="717DE0F3" w14:textId="77777777" w:rsidR="00D14984" w:rsidRPr="009118AB" w:rsidRDefault="00D14984" w:rsidP="00D14984">
      <w:pPr>
        <w:autoSpaceDE w:val="0"/>
        <w:autoSpaceDN w:val="0"/>
        <w:adjustRightInd w:val="0"/>
        <w:jc w:val="both"/>
        <w:rPr>
          <w:sz w:val="20"/>
          <w:szCs w:val="20"/>
        </w:rPr>
      </w:pPr>
    </w:p>
    <w:p w14:paraId="68D6F214" w14:textId="143429F6" w:rsidR="00D14984" w:rsidRPr="009118AB" w:rsidRDefault="00D14984" w:rsidP="00D14984">
      <w:pPr>
        <w:autoSpaceDE w:val="0"/>
        <w:autoSpaceDN w:val="0"/>
        <w:adjustRightInd w:val="0"/>
        <w:jc w:val="both"/>
        <w:rPr>
          <w:bCs/>
          <w:iCs/>
          <w:sz w:val="20"/>
          <w:szCs w:val="20"/>
        </w:rPr>
      </w:pPr>
      <w:r w:rsidRPr="009118AB">
        <w:rPr>
          <w:sz w:val="20"/>
          <w:szCs w:val="20"/>
        </w:rPr>
        <w:t xml:space="preserve">" </w:t>
      </w:r>
      <w:r w:rsidR="00D67EB8" w:rsidRPr="009118AB">
        <w:rPr>
          <w:sz w:val="20"/>
          <w:szCs w:val="20"/>
        </w:rPr>
        <w:t>Art. </w:t>
      </w:r>
      <w:r w:rsidRPr="009118AB">
        <w:rPr>
          <w:sz w:val="20"/>
          <w:szCs w:val="20"/>
        </w:rPr>
        <w:t>225</w:t>
      </w:r>
      <w:r w:rsidR="00D67EB8" w:rsidRPr="009118AB">
        <w:rPr>
          <w:sz w:val="20"/>
          <w:szCs w:val="20"/>
        </w:rPr>
        <w:t> - </w:t>
      </w:r>
      <w:r w:rsidRPr="009118AB">
        <w:rPr>
          <w:bCs/>
          <w:iCs/>
          <w:sz w:val="20"/>
          <w:szCs w:val="20"/>
        </w:rPr>
        <w:t>Die Steuer in Bezug auf die in Artikel 221 erwähnten Einkünfte entspricht dem Immobilien- und dem Mobiliensteuervorabzug.</w:t>
      </w:r>
    </w:p>
    <w:p w14:paraId="1911E340" w14:textId="77777777" w:rsidR="00D14984" w:rsidRPr="009118AB" w:rsidRDefault="00D14984" w:rsidP="00D14984">
      <w:pPr>
        <w:autoSpaceDE w:val="0"/>
        <w:autoSpaceDN w:val="0"/>
        <w:adjustRightInd w:val="0"/>
        <w:jc w:val="both"/>
        <w:rPr>
          <w:bCs/>
          <w:iCs/>
          <w:sz w:val="20"/>
          <w:szCs w:val="20"/>
        </w:rPr>
      </w:pPr>
    </w:p>
    <w:p w14:paraId="5E47DD00" w14:textId="77777777" w:rsidR="00D14984" w:rsidRPr="009118AB" w:rsidRDefault="00D14984" w:rsidP="00D14984">
      <w:pPr>
        <w:autoSpaceDE w:val="0"/>
        <w:autoSpaceDN w:val="0"/>
        <w:adjustRightInd w:val="0"/>
        <w:jc w:val="both"/>
        <w:rPr>
          <w:bCs/>
          <w:iCs/>
          <w:sz w:val="20"/>
          <w:szCs w:val="20"/>
        </w:rPr>
      </w:pPr>
      <w:r w:rsidRPr="009118AB">
        <w:rPr>
          <w:bCs/>
          <w:iCs/>
          <w:sz w:val="20"/>
          <w:szCs w:val="20"/>
        </w:rPr>
        <w:t>Die Steuer wird berechnet:</w:t>
      </w:r>
    </w:p>
    <w:p w14:paraId="05F61F2C" w14:textId="77777777" w:rsidR="00D14984" w:rsidRPr="009118AB" w:rsidRDefault="00D14984" w:rsidP="00D14984">
      <w:pPr>
        <w:autoSpaceDE w:val="0"/>
        <w:autoSpaceDN w:val="0"/>
        <w:adjustRightInd w:val="0"/>
        <w:jc w:val="both"/>
        <w:rPr>
          <w:bCs/>
          <w:iCs/>
          <w:sz w:val="20"/>
          <w:szCs w:val="20"/>
        </w:rPr>
      </w:pPr>
    </w:p>
    <w:p w14:paraId="4E168A1D" w14:textId="7D9AD8FE" w:rsidR="00D14984" w:rsidRPr="009118AB" w:rsidRDefault="00D14984" w:rsidP="00D14984">
      <w:pPr>
        <w:autoSpaceDE w:val="0"/>
        <w:autoSpaceDN w:val="0"/>
        <w:adjustRightInd w:val="0"/>
        <w:jc w:val="both"/>
        <w:rPr>
          <w:bCs/>
          <w:iCs/>
          <w:sz w:val="20"/>
          <w:szCs w:val="20"/>
        </w:rPr>
      </w:pPr>
      <w:r w:rsidRPr="009118AB">
        <w:rPr>
          <w:bCs/>
          <w:iCs/>
          <w:sz w:val="20"/>
          <w:szCs w:val="20"/>
        </w:rPr>
        <w:t xml:space="preserve">1. zum Satz von 20 Prozent auf die in Artikel 222 </w:t>
      </w:r>
      <w:r w:rsidR="00D67EB8" w:rsidRPr="009118AB">
        <w:rPr>
          <w:bCs/>
          <w:iCs/>
          <w:sz w:val="20"/>
          <w:szCs w:val="20"/>
        </w:rPr>
        <w:t>Nr. </w:t>
      </w:r>
      <w:r w:rsidRPr="009118AB">
        <w:rPr>
          <w:bCs/>
          <w:iCs/>
          <w:sz w:val="20"/>
          <w:szCs w:val="20"/>
        </w:rPr>
        <w:t>1 bis 3 erwähnten Einkünfte,</w:t>
      </w:r>
    </w:p>
    <w:p w14:paraId="51BD5E0A" w14:textId="77777777" w:rsidR="00D14984" w:rsidRPr="009118AB" w:rsidRDefault="00D14984" w:rsidP="00D14984">
      <w:pPr>
        <w:autoSpaceDE w:val="0"/>
        <w:autoSpaceDN w:val="0"/>
        <w:adjustRightInd w:val="0"/>
        <w:jc w:val="both"/>
        <w:rPr>
          <w:bCs/>
          <w:iCs/>
          <w:sz w:val="20"/>
          <w:szCs w:val="20"/>
        </w:rPr>
      </w:pPr>
    </w:p>
    <w:p w14:paraId="68CD87DD" w14:textId="3A31667A" w:rsidR="00D14984" w:rsidRPr="009118AB" w:rsidRDefault="00D14984" w:rsidP="00D14984">
      <w:pPr>
        <w:autoSpaceDE w:val="0"/>
        <w:autoSpaceDN w:val="0"/>
        <w:adjustRightInd w:val="0"/>
        <w:jc w:val="both"/>
        <w:rPr>
          <w:bCs/>
          <w:iCs/>
          <w:sz w:val="20"/>
          <w:szCs w:val="20"/>
        </w:rPr>
      </w:pPr>
      <w:r w:rsidRPr="009118AB">
        <w:rPr>
          <w:bCs/>
          <w:iCs/>
          <w:sz w:val="20"/>
          <w:szCs w:val="20"/>
        </w:rPr>
        <w:t xml:space="preserve">2. zum Satz von 33 Prozent beziehungsweise von 16,5 Prozent auf die in Artikel 222 </w:t>
      </w:r>
      <w:r w:rsidR="00D67EB8" w:rsidRPr="009118AB">
        <w:rPr>
          <w:bCs/>
          <w:iCs/>
          <w:sz w:val="20"/>
          <w:szCs w:val="20"/>
        </w:rPr>
        <w:t>Nr. </w:t>
      </w:r>
      <w:r w:rsidRPr="009118AB">
        <w:rPr>
          <w:bCs/>
          <w:iCs/>
          <w:sz w:val="20"/>
          <w:szCs w:val="20"/>
        </w:rPr>
        <w:t xml:space="preserve">4 erwähnten Mehrwerte, gemäß der in Artikel 171 </w:t>
      </w:r>
      <w:r w:rsidR="00D67EB8" w:rsidRPr="009118AB">
        <w:rPr>
          <w:bCs/>
          <w:iCs/>
          <w:sz w:val="20"/>
          <w:szCs w:val="20"/>
        </w:rPr>
        <w:t>Nr. </w:t>
      </w:r>
      <w:r w:rsidRPr="009118AB">
        <w:rPr>
          <w:bCs/>
          <w:iCs/>
          <w:sz w:val="20"/>
          <w:szCs w:val="20"/>
        </w:rPr>
        <w:t>1 Buchstabe </w:t>
      </w:r>
      <w:r w:rsidRPr="009118AB">
        <w:rPr>
          <w:bCs/>
          <w:i/>
          <w:iCs/>
          <w:sz w:val="20"/>
          <w:szCs w:val="20"/>
        </w:rPr>
        <w:t>b)</w:t>
      </w:r>
      <w:r w:rsidRPr="009118AB">
        <w:rPr>
          <w:bCs/>
          <w:iCs/>
          <w:sz w:val="20"/>
          <w:szCs w:val="20"/>
        </w:rPr>
        <w:t xml:space="preserve"> und </w:t>
      </w:r>
      <w:r w:rsidR="00D67EB8" w:rsidRPr="009118AB">
        <w:rPr>
          <w:bCs/>
          <w:iCs/>
          <w:sz w:val="20"/>
          <w:szCs w:val="20"/>
        </w:rPr>
        <w:t>Nr. </w:t>
      </w:r>
      <w:r w:rsidRPr="009118AB">
        <w:rPr>
          <w:bCs/>
          <w:iCs/>
          <w:sz w:val="20"/>
          <w:szCs w:val="20"/>
        </w:rPr>
        <w:t>4 Buchstabe </w:t>
      </w:r>
      <w:r w:rsidRPr="009118AB">
        <w:rPr>
          <w:bCs/>
          <w:i/>
          <w:iCs/>
          <w:sz w:val="20"/>
          <w:szCs w:val="20"/>
        </w:rPr>
        <w:t>d)</w:t>
      </w:r>
      <w:r w:rsidRPr="009118AB">
        <w:rPr>
          <w:bCs/>
          <w:iCs/>
          <w:sz w:val="20"/>
          <w:szCs w:val="20"/>
        </w:rPr>
        <w:t xml:space="preserve"> vorgesehenen Unterscheidung,</w:t>
      </w:r>
    </w:p>
    <w:p w14:paraId="2FE20825" w14:textId="77777777" w:rsidR="00D14984" w:rsidRPr="009118AB" w:rsidRDefault="00D14984" w:rsidP="00D14984">
      <w:pPr>
        <w:autoSpaceDE w:val="0"/>
        <w:autoSpaceDN w:val="0"/>
        <w:adjustRightInd w:val="0"/>
        <w:jc w:val="both"/>
        <w:rPr>
          <w:bCs/>
          <w:iCs/>
          <w:sz w:val="20"/>
          <w:szCs w:val="20"/>
        </w:rPr>
      </w:pPr>
    </w:p>
    <w:p w14:paraId="0D5F4BA3" w14:textId="56015806" w:rsidR="00D14984" w:rsidRPr="009118AB" w:rsidRDefault="00D14984" w:rsidP="00D14984">
      <w:pPr>
        <w:autoSpaceDE w:val="0"/>
        <w:autoSpaceDN w:val="0"/>
        <w:adjustRightInd w:val="0"/>
        <w:jc w:val="both"/>
        <w:rPr>
          <w:bCs/>
          <w:iCs/>
          <w:sz w:val="20"/>
          <w:szCs w:val="20"/>
        </w:rPr>
      </w:pPr>
      <w:r w:rsidRPr="009118AB">
        <w:rPr>
          <w:bCs/>
          <w:iCs/>
          <w:sz w:val="20"/>
          <w:szCs w:val="20"/>
        </w:rPr>
        <w:t xml:space="preserve">3. zum Satz von 16,5 Prozent auf die [in Artikel 222 </w:t>
      </w:r>
      <w:r w:rsidR="00D67EB8" w:rsidRPr="009118AB">
        <w:rPr>
          <w:bCs/>
          <w:iCs/>
          <w:sz w:val="20"/>
          <w:szCs w:val="20"/>
        </w:rPr>
        <w:t>Nr. </w:t>
      </w:r>
      <w:r w:rsidRPr="009118AB">
        <w:rPr>
          <w:bCs/>
          <w:iCs/>
          <w:sz w:val="20"/>
          <w:szCs w:val="20"/>
        </w:rPr>
        <w:t>5 und 6] erwähnten Mehrwerte,</w:t>
      </w:r>
    </w:p>
    <w:p w14:paraId="1BE557AD" w14:textId="77777777" w:rsidR="00D14984" w:rsidRPr="009118AB" w:rsidRDefault="00D14984" w:rsidP="00D14984">
      <w:pPr>
        <w:autoSpaceDE w:val="0"/>
        <w:autoSpaceDN w:val="0"/>
        <w:adjustRightInd w:val="0"/>
        <w:jc w:val="both"/>
        <w:rPr>
          <w:bCs/>
          <w:iCs/>
          <w:sz w:val="20"/>
          <w:szCs w:val="20"/>
        </w:rPr>
      </w:pPr>
    </w:p>
    <w:p w14:paraId="486148CF" w14:textId="4A92BD42" w:rsidR="00D14984" w:rsidRPr="009118AB" w:rsidRDefault="00D14984" w:rsidP="00D14984">
      <w:pPr>
        <w:autoSpaceDE w:val="0"/>
        <w:autoSpaceDN w:val="0"/>
        <w:adjustRightInd w:val="0"/>
        <w:jc w:val="both"/>
        <w:rPr>
          <w:bCs/>
          <w:iCs/>
          <w:sz w:val="20"/>
          <w:szCs w:val="20"/>
        </w:rPr>
      </w:pPr>
      <w:r w:rsidRPr="009118AB">
        <w:rPr>
          <w:bCs/>
          <w:iCs/>
          <w:sz w:val="20"/>
          <w:szCs w:val="20"/>
        </w:rPr>
        <w:t xml:space="preserve">4. [zum Satz von [100 Prozent] </w:t>
      </w:r>
      <w:r w:rsidR="00210E8C" w:rsidRPr="009118AB">
        <w:rPr>
          <w:bCs/>
          <w:iCs/>
          <w:sz w:val="20"/>
          <w:szCs w:val="20"/>
        </w:rPr>
        <w:t xml:space="preserve">[auf die in Artikel 223 Absatz 1 </w:t>
      </w:r>
      <w:r w:rsidR="00D67EB8" w:rsidRPr="009118AB">
        <w:rPr>
          <w:bCs/>
          <w:iCs/>
          <w:sz w:val="20"/>
          <w:szCs w:val="20"/>
        </w:rPr>
        <w:t>Nr. </w:t>
      </w:r>
      <w:r w:rsidR="00210E8C" w:rsidRPr="009118AB">
        <w:rPr>
          <w:bCs/>
          <w:iCs/>
          <w:sz w:val="20"/>
          <w:szCs w:val="20"/>
        </w:rPr>
        <w:t xml:space="preserve">1 erwähnten nicht nachgewiesenen Ausgaben, Vorteile jeglicher Art und Einkünfte wie in Artikel 17 </w:t>
      </w:r>
      <w:r w:rsidR="00D67EB8" w:rsidRPr="009118AB">
        <w:rPr>
          <w:bCs/>
          <w:iCs/>
          <w:sz w:val="20"/>
          <w:szCs w:val="20"/>
        </w:rPr>
        <w:t>§ </w:t>
      </w:r>
      <w:r w:rsidR="00210E8C" w:rsidRPr="009118AB">
        <w:rPr>
          <w:bCs/>
          <w:iCs/>
          <w:sz w:val="20"/>
          <w:szCs w:val="20"/>
        </w:rPr>
        <w:t xml:space="preserve">1 </w:t>
      </w:r>
      <w:r w:rsidR="00D67EB8" w:rsidRPr="009118AB">
        <w:rPr>
          <w:bCs/>
          <w:iCs/>
          <w:sz w:val="20"/>
          <w:szCs w:val="20"/>
        </w:rPr>
        <w:t>Nr. </w:t>
      </w:r>
      <w:r w:rsidR="00210E8C" w:rsidRPr="009118AB">
        <w:rPr>
          <w:bCs/>
          <w:iCs/>
          <w:sz w:val="20"/>
          <w:szCs w:val="20"/>
        </w:rPr>
        <w:t xml:space="preserve">3, was Urheberrechte und ähnliche Rechte betrifft, und </w:t>
      </w:r>
      <w:r w:rsidR="00D67EB8" w:rsidRPr="009118AB">
        <w:rPr>
          <w:bCs/>
          <w:iCs/>
          <w:sz w:val="20"/>
          <w:szCs w:val="20"/>
        </w:rPr>
        <w:t>Nr. </w:t>
      </w:r>
      <w:r w:rsidR="00210E8C" w:rsidRPr="009118AB">
        <w:rPr>
          <w:bCs/>
          <w:iCs/>
          <w:sz w:val="20"/>
          <w:szCs w:val="20"/>
        </w:rPr>
        <w:t>5 erwähnt]</w:t>
      </w:r>
      <w:r w:rsidRPr="009118AB">
        <w:rPr>
          <w:bCs/>
          <w:iCs/>
          <w:sz w:val="20"/>
          <w:szCs w:val="20"/>
        </w:rPr>
        <w:t xml:space="preserve"> und auf die in Artikel 223 Absatz 1 </w:t>
      </w:r>
      <w:r w:rsidR="00D67EB8" w:rsidRPr="009118AB">
        <w:rPr>
          <w:bCs/>
          <w:iCs/>
          <w:sz w:val="20"/>
          <w:szCs w:val="20"/>
        </w:rPr>
        <w:t>Nr. </w:t>
      </w:r>
      <w:r w:rsidRPr="009118AB">
        <w:rPr>
          <w:bCs/>
          <w:iCs/>
          <w:sz w:val="20"/>
          <w:szCs w:val="20"/>
        </w:rPr>
        <w:t xml:space="preserve">3 erwähnten finanziellen Vorteile oder Vorteile jeglicher Art,] </w:t>
      </w:r>
      <w:r w:rsidR="00210E8C" w:rsidRPr="009118AB">
        <w:rPr>
          <w:bCs/>
          <w:iCs/>
          <w:sz w:val="20"/>
          <w:szCs w:val="20"/>
        </w:rPr>
        <w:t>[</w:t>
      </w:r>
      <w:r w:rsidR="00210E8C" w:rsidRPr="009118AB">
        <w:rPr>
          <w:sz w:val="20"/>
          <w:szCs w:val="20"/>
        </w:rPr>
        <w:t xml:space="preserve">außer wenn nachgewiesen werden kann, dass der Empfänger dieser Ausgaben, Vorteile jeglicher Art, Einkünfte wie in Artikel 17 </w:t>
      </w:r>
      <w:r w:rsidR="00D67EB8" w:rsidRPr="009118AB">
        <w:rPr>
          <w:sz w:val="20"/>
          <w:szCs w:val="20"/>
        </w:rPr>
        <w:t>§ </w:t>
      </w:r>
      <w:r w:rsidR="00210E8C" w:rsidRPr="009118AB">
        <w:rPr>
          <w:sz w:val="20"/>
          <w:szCs w:val="20"/>
        </w:rPr>
        <w:t xml:space="preserve">1 </w:t>
      </w:r>
      <w:r w:rsidR="00D67EB8" w:rsidRPr="009118AB">
        <w:rPr>
          <w:sz w:val="20"/>
          <w:szCs w:val="20"/>
        </w:rPr>
        <w:t>Nr. </w:t>
      </w:r>
      <w:r w:rsidR="00210E8C" w:rsidRPr="009118AB">
        <w:rPr>
          <w:sz w:val="20"/>
          <w:szCs w:val="20"/>
        </w:rPr>
        <w:t xml:space="preserve">3, was Urheberrechte und ähnliche Rechte betrifft, und </w:t>
      </w:r>
      <w:r w:rsidR="00D67EB8" w:rsidRPr="009118AB">
        <w:rPr>
          <w:sz w:val="20"/>
          <w:szCs w:val="20"/>
        </w:rPr>
        <w:t>Nr. </w:t>
      </w:r>
      <w:r w:rsidR="00210E8C" w:rsidRPr="009118AB">
        <w:rPr>
          <w:sz w:val="20"/>
          <w:szCs w:val="20"/>
        </w:rPr>
        <w:t>5 erwähnt und finanziellen Vorteile eine juristische Person ist; in diesen Fällen wird der Steuersatz auf 50 Prozent festgelegt],</w:t>
      </w:r>
    </w:p>
    <w:p w14:paraId="5733198B" w14:textId="77777777" w:rsidR="00D14984" w:rsidRPr="009118AB" w:rsidRDefault="00D14984" w:rsidP="00D14984">
      <w:pPr>
        <w:autoSpaceDE w:val="0"/>
        <w:autoSpaceDN w:val="0"/>
        <w:adjustRightInd w:val="0"/>
        <w:jc w:val="both"/>
        <w:rPr>
          <w:bCs/>
          <w:iCs/>
          <w:sz w:val="20"/>
          <w:szCs w:val="20"/>
        </w:rPr>
      </w:pPr>
    </w:p>
    <w:p w14:paraId="5E67DC5C" w14:textId="4AD6A79A" w:rsidR="00D14984" w:rsidRPr="009118AB" w:rsidRDefault="00D14984" w:rsidP="00D14984">
      <w:pPr>
        <w:autoSpaceDE w:val="0"/>
        <w:autoSpaceDN w:val="0"/>
        <w:adjustRightInd w:val="0"/>
        <w:jc w:val="both"/>
        <w:rPr>
          <w:bCs/>
          <w:iCs/>
          <w:sz w:val="20"/>
          <w:szCs w:val="20"/>
        </w:rPr>
      </w:pPr>
      <w:r w:rsidRPr="009118AB">
        <w:rPr>
          <w:bCs/>
          <w:iCs/>
          <w:sz w:val="20"/>
          <w:szCs w:val="20"/>
        </w:rPr>
        <w:t xml:space="preserve">5. [zu dem in Artikel 215 Absatz 1 erwähnten Satz auf die in Artikel 223 Absatz 1 </w:t>
      </w:r>
      <w:r w:rsidR="00D67EB8" w:rsidRPr="009118AB">
        <w:rPr>
          <w:bCs/>
          <w:iCs/>
          <w:sz w:val="20"/>
          <w:szCs w:val="20"/>
        </w:rPr>
        <w:t>Nr. </w:t>
      </w:r>
      <w:r w:rsidRPr="009118AB">
        <w:rPr>
          <w:bCs/>
          <w:iCs/>
          <w:sz w:val="20"/>
          <w:szCs w:val="20"/>
        </w:rPr>
        <w:t xml:space="preserve">2 erwähnten Beiträge, Prämien, Pensionen, Renten und Zulagen, auf die in Artikel 223 Absatz 1 </w:t>
      </w:r>
      <w:r w:rsidR="00D67EB8" w:rsidRPr="009118AB">
        <w:rPr>
          <w:bCs/>
          <w:iCs/>
          <w:sz w:val="20"/>
          <w:szCs w:val="20"/>
        </w:rPr>
        <w:t>Nr. </w:t>
      </w:r>
      <w:r w:rsidRPr="009118AB">
        <w:rPr>
          <w:bCs/>
          <w:iCs/>
          <w:sz w:val="20"/>
          <w:szCs w:val="20"/>
        </w:rPr>
        <w:t>3 erwähnten finanziellen Vorteile oder Vorteile jeglicher Art</w:t>
      </w:r>
      <w:r w:rsidR="00395EAB" w:rsidRPr="009118AB">
        <w:rPr>
          <w:bCs/>
          <w:iCs/>
          <w:sz w:val="20"/>
          <w:szCs w:val="20"/>
        </w:rPr>
        <w:t xml:space="preserve">[, auf die in Artikel 223 Absatz 1 </w:t>
      </w:r>
      <w:r w:rsidR="00D67EB8" w:rsidRPr="009118AB">
        <w:rPr>
          <w:bCs/>
          <w:iCs/>
          <w:sz w:val="20"/>
          <w:szCs w:val="20"/>
        </w:rPr>
        <w:t>Nr. </w:t>
      </w:r>
      <w:r w:rsidR="00395EAB" w:rsidRPr="009118AB">
        <w:rPr>
          <w:bCs/>
          <w:iCs/>
          <w:sz w:val="20"/>
          <w:szCs w:val="20"/>
        </w:rPr>
        <w:t>8 erwähnten Provisionen, Maklergebühren, kommerziellen oder anderen Ermäßigungen, zufälligen oder nicht zufälligen Entgelte oder Honorare, Zuwendungen, Vergütungen oder Vorteile jeglicher Art]</w:t>
      </w:r>
      <w:r w:rsidRPr="009118AB">
        <w:rPr>
          <w:bCs/>
          <w:iCs/>
          <w:sz w:val="20"/>
          <w:szCs w:val="20"/>
        </w:rPr>
        <w:t xml:space="preserve">[, auf die in [Artikel 223 Absatz 1 </w:t>
      </w:r>
      <w:r w:rsidR="00D67EB8" w:rsidRPr="009118AB">
        <w:rPr>
          <w:bCs/>
          <w:iCs/>
          <w:sz w:val="20"/>
          <w:szCs w:val="20"/>
        </w:rPr>
        <w:t>Nr. </w:t>
      </w:r>
      <w:r w:rsidRPr="009118AB">
        <w:rPr>
          <w:bCs/>
          <w:iCs/>
          <w:sz w:val="20"/>
          <w:szCs w:val="20"/>
        </w:rPr>
        <w:t xml:space="preserve">4, 5 und 7] erwähnten Beträge und auf die in Artikel 223 Absatz 1 </w:t>
      </w:r>
      <w:r w:rsidR="00D67EB8" w:rsidRPr="009118AB">
        <w:rPr>
          <w:bCs/>
          <w:iCs/>
          <w:sz w:val="20"/>
          <w:szCs w:val="20"/>
        </w:rPr>
        <w:t>Nr. </w:t>
      </w:r>
      <w:r w:rsidRPr="009118AB">
        <w:rPr>
          <w:bCs/>
          <w:iCs/>
          <w:sz w:val="20"/>
          <w:szCs w:val="20"/>
        </w:rPr>
        <w:t>6 erwähnten Kosten],]</w:t>
      </w:r>
    </w:p>
    <w:p w14:paraId="517DA0B8" w14:textId="77777777" w:rsidR="00D14984" w:rsidRPr="009118AB" w:rsidRDefault="00D14984" w:rsidP="00D14984">
      <w:pPr>
        <w:autoSpaceDE w:val="0"/>
        <w:autoSpaceDN w:val="0"/>
        <w:adjustRightInd w:val="0"/>
        <w:jc w:val="both"/>
        <w:rPr>
          <w:bCs/>
          <w:iCs/>
          <w:sz w:val="20"/>
          <w:szCs w:val="20"/>
        </w:rPr>
      </w:pPr>
    </w:p>
    <w:p w14:paraId="5B8B90E1" w14:textId="77777777" w:rsidR="00D14984" w:rsidRPr="009118AB" w:rsidRDefault="00D14984" w:rsidP="00D14984">
      <w:pPr>
        <w:autoSpaceDE w:val="0"/>
        <w:autoSpaceDN w:val="0"/>
        <w:adjustRightInd w:val="0"/>
        <w:jc w:val="both"/>
        <w:rPr>
          <w:bCs/>
          <w:iCs/>
          <w:sz w:val="20"/>
          <w:szCs w:val="20"/>
        </w:rPr>
      </w:pPr>
      <w:r w:rsidRPr="009118AB">
        <w:rPr>
          <w:bCs/>
          <w:iCs/>
          <w:sz w:val="20"/>
          <w:szCs w:val="20"/>
        </w:rPr>
        <w:t>6. [zum Satz von 25 Prozent auf die in Artikel 224 erwähnten Dividenden.]</w:t>
      </w:r>
    </w:p>
    <w:p w14:paraId="1441E002" w14:textId="77777777" w:rsidR="00D14984" w:rsidRPr="009118AB" w:rsidRDefault="00D14984" w:rsidP="00D14984">
      <w:pPr>
        <w:autoSpaceDE w:val="0"/>
        <w:autoSpaceDN w:val="0"/>
        <w:adjustRightInd w:val="0"/>
        <w:jc w:val="both"/>
        <w:rPr>
          <w:bCs/>
          <w:iCs/>
          <w:sz w:val="20"/>
          <w:szCs w:val="20"/>
        </w:rPr>
      </w:pPr>
    </w:p>
    <w:p w14:paraId="166E4AC5" w14:textId="25B502AC" w:rsidR="00D14984" w:rsidRPr="009118AB" w:rsidRDefault="00D14984" w:rsidP="00D14984">
      <w:pPr>
        <w:autoSpaceDE w:val="0"/>
        <w:autoSpaceDN w:val="0"/>
        <w:adjustRightInd w:val="0"/>
        <w:jc w:val="both"/>
        <w:rPr>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225 </w:t>
      </w:r>
      <w:r w:rsidR="00D67EB8" w:rsidRPr="009118AB">
        <w:rPr>
          <w:bCs/>
          <w:i/>
          <w:iCs/>
          <w:sz w:val="20"/>
          <w:szCs w:val="20"/>
        </w:rPr>
        <w:t>Abs. </w:t>
      </w:r>
      <w:r w:rsidRPr="009118AB">
        <w:rPr>
          <w:bCs/>
          <w:i/>
          <w:iCs/>
          <w:sz w:val="20"/>
          <w:szCs w:val="20"/>
        </w:rPr>
        <w:t xml:space="preserve">2 </w:t>
      </w:r>
      <w:r w:rsidR="00D67EB8" w:rsidRPr="009118AB">
        <w:rPr>
          <w:bCs/>
          <w:i/>
          <w:iCs/>
          <w:sz w:val="20"/>
          <w:szCs w:val="20"/>
        </w:rPr>
        <w:t>Nr. </w:t>
      </w:r>
      <w:r w:rsidRPr="009118AB">
        <w:rPr>
          <w:bCs/>
          <w:i/>
          <w:iCs/>
          <w:sz w:val="20"/>
          <w:szCs w:val="20"/>
        </w:rPr>
        <w:t xml:space="preserve">3 abgeändert durch </w:t>
      </w:r>
      <w:r w:rsidR="00D67EB8" w:rsidRPr="009118AB">
        <w:rPr>
          <w:bCs/>
          <w:i/>
          <w:iCs/>
          <w:sz w:val="20"/>
          <w:szCs w:val="20"/>
        </w:rPr>
        <w:t>Art. </w:t>
      </w:r>
      <w:r w:rsidRPr="009118AB">
        <w:rPr>
          <w:bCs/>
          <w:i/>
          <w:iCs/>
          <w:sz w:val="20"/>
          <w:szCs w:val="20"/>
        </w:rPr>
        <w:t>24 des G. vom 4. Mai 1999 (II) (B.S. vom 12. Juni 1999)</w:t>
      </w:r>
      <w:r w:rsidR="00D67EB8" w:rsidRPr="009118AB">
        <w:rPr>
          <w:bCs/>
          <w:i/>
          <w:iCs/>
          <w:sz w:val="20"/>
          <w:szCs w:val="20"/>
        </w:rPr>
        <w:t> - </w:t>
      </w:r>
      <w:r w:rsidRPr="009118AB">
        <w:rPr>
          <w:bCs/>
          <w:i/>
          <w:iCs/>
          <w:sz w:val="20"/>
          <w:szCs w:val="20"/>
        </w:rPr>
        <w:t>in Kraft ab dem Steuerjahr 1998</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2 </w:t>
      </w:r>
      <w:r w:rsidR="00D67EB8" w:rsidRPr="009118AB">
        <w:rPr>
          <w:bCs/>
          <w:i/>
          <w:iCs/>
          <w:sz w:val="20"/>
          <w:szCs w:val="20"/>
        </w:rPr>
        <w:t>Nr. </w:t>
      </w:r>
      <w:r w:rsidRPr="009118AB">
        <w:rPr>
          <w:bCs/>
          <w:i/>
          <w:iCs/>
          <w:sz w:val="20"/>
          <w:szCs w:val="20"/>
        </w:rPr>
        <w:t xml:space="preserve">4 ersetzt durch </w:t>
      </w:r>
      <w:r w:rsidR="00D67EB8" w:rsidRPr="009118AB">
        <w:rPr>
          <w:bCs/>
          <w:i/>
          <w:iCs/>
          <w:sz w:val="20"/>
          <w:szCs w:val="20"/>
        </w:rPr>
        <w:t>Art. </w:t>
      </w:r>
      <w:r w:rsidRPr="009118AB">
        <w:rPr>
          <w:bCs/>
          <w:i/>
          <w:iCs/>
          <w:sz w:val="20"/>
          <w:szCs w:val="20"/>
        </w:rPr>
        <w:t>137 des G. (I) vom 22. Dezember 2008 (II) (B.S. vom 29. Dezember 2008)</w:t>
      </w:r>
      <w:r w:rsidR="00D67EB8" w:rsidRPr="009118AB">
        <w:rPr>
          <w:bCs/>
          <w:i/>
          <w:iCs/>
          <w:sz w:val="20"/>
          <w:szCs w:val="20"/>
        </w:rPr>
        <w:t> - </w:t>
      </w:r>
      <w:r w:rsidRPr="009118AB">
        <w:rPr>
          <w:bCs/>
          <w:i/>
          <w:iCs/>
          <w:sz w:val="20"/>
          <w:szCs w:val="20"/>
        </w:rPr>
        <w:t>in Kraft am 8. Juni 2007 mit Ausnahme von Artikel 137, der in Bezug auf die Verweise auf Artikel</w:t>
      </w:r>
      <w:r w:rsidR="00210E8C" w:rsidRPr="009118AB">
        <w:rPr>
          <w:bCs/>
          <w:i/>
          <w:iCs/>
          <w:sz w:val="20"/>
          <w:szCs w:val="20"/>
        </w:rPr>
        <w:t> </w:t>
      </w:r>
      <w:r w:rsidRPr="009118AB">
        <w:rPr>
          <w:bCs/>
          <w:i/>
          <w:iCs/>
          <w:sz w:val="20"/>
          <w:szCs w:val="20"/>
        </w:rPr>
        <w:t>223 Absatz</w:t>
      </w:r>
      <w:r w:rsidR="00210E8C" w:rsidRPr="009118AB">
        <w:rPr>
          <w:bCs/>
          <w:i/>
          <w:iCs/>
          <w:sz w:val="20"/>
          <w:szCs w:val="20"/>
        </w:rPr>
        <w:t> </w:t>
      </w:r>
      <w:r w:rsidRPr="009118AB">
        <w:rPr>
          <w:bCs/>
          <w:i/>
          <w:iCs/>
          <w:sz w:val="20"/>
          <w:szCs w:val="20"/>
        </w:rPr>
        <w:t>1 ab dem 1. Januar 2006 anwendbar ist und in Bezug auf die Einfügung der nicht nachgewiesenen Vorteile jeglicher Art ab dem Steuerjahr 2007 anwendbar ist</w:t>
      </w:r>
      <w:r w:rsidR="00D67EB8" w:rsidRPr="009118AB">
        <w:rPr>
          <w:bCs/>
          <w:i/>
          <w:iCs/>
          <w:sz w:val="20"/>
          <w:szCs w:val="20"/>
        </w:rPr>
        <w:t> - </w:t>
      </w:r>
      <w:r w:rsidRPr="009118AB">
        <w:rPr>
          <w:bCs/>
          <w:i/>
          <w:iCs/>
          <w:sz w:val="20"/>
          <w:szCs w:val="20"/>
        </w:rPr>
        <w:t xml:space="preserve">und abgeändert durch </w:t>
      </w:r>
      <w:r w:rsidR="00D67EB8" w:rsidRPr="009118AB">
        <w:rPr>
          <w:bCs/>
          <w:i/>
          <w:iCs/>
          <w:sz w:val="20"/>
          <w:szCs w:val="20"/>
        </w:rPr>
        <w:t>Art. </w:t>
      </w:r>
      <w:r w:rsidRPr="009118AB">
        <w:rPr>
          <w:bCs/>
          <w:i/>
          <w:iCs/>
          <w:sz w:val="20"/>
          <w:szCs w:val="20"/>
        </w:rPr>
        <w:t xml:space="preserve">32 </w:t>
      </w:r>
      <w:r w:rsidR="00D67EB8" w:rsidRPr="009118AB">
        <w:rPr>
          <w:bCs/>
          <w:i/>
          <w:iCs/>
          <w:sz w:val="20"/>
          <w:szCs w:val="20"/>
        </w:rPr>
        <w:t>Nr. </w:t>
      </w:r>
      <w:r w:rsidRPr="009118AB">
        <w:rPr>
          <w:bCs/>
          <w:i/>
          <w:iCs/>
          <w:sz w:val="20"/>
          <w:szCs w:val="20"/>
        </w:rPr>
        <w:t>1</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D67EB8" w:rsidRPr="009118AB">
        <w:rPr>
          <w:i/>
          <w:iCs/>
          <w:sz w:val="20"/>
          <w:szCs w:val="20"/>
        </w:rPr>
        <w:t> - </w:t>
      </w:r>
      <w:r w:rsidR="00210E8C" w:rsidRPr="009118AB">
        <w:rPr>
          <w:i/>
          <w:iCs/>
          <w:sz w:val="20"/>
          <w:szCs w:val="20"/>
        </w:rPr>
        <w:t xml:space="preserve">und </w:t>
      </w:r>
      <w:r w:rsidR="00D67EB8" w:rsidRPr="009118AB">
        <w:rPr>
          <w:i/>
          <w:iCs/>
          <w:sz w:val="20"/>
          <w:szCs w:val="20"/>
        </w:rPr>
        <w:t>Art. </w:t>
      </w:r>
      <w:r w:rsidR="00210E8C" w:rsidRPr="009118AB">
        <w:rPr>
          <w:i/>
          <w:iCs/>
          <w:sz w:val="20"/>
          <w:szCs w:val="20"/>
        </w:rPr>
        <w:t>48</w:t>
      </w:r>
      <w:r w:rsidR="00210E8C" w:rsidRPr="009118AB">
        <w:rPr>
          <w:bCs/>
          <w:i/>
          <w:iCs/>
          <w:sz w:val="20"/>
          <w:szCs w:val="20"/>
        </w:rPr>
        <w:t xml:space="preserve"> des G. vom 21. Januar 2022 (B.S. vom 28. Januar 2022)</w:t>
      </w:r>
      <w:r w:rsidR="00D67EB8" w:rsidRPr="009118AB">
        <w:rPr>
          <w:bCs/>
          <w:i/>
          <w:iCs/>
          <w:sz w:val="20"/>
          <w:szCs w:val="20"/>
        </w:rPr>
        <w:t> - </w:t>
      </w:r>
      <w:r w:rsidR="00210E8C"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2 </w:t>
      </w:r>
      <w:r w:rsidR="00D67EB8" w:rsidRPr="009118AB">
        <w:rPr>
          <w:bCs/>
          <w:i/>
          <w:iCs/>
          <w:sz w:val="20"/>
          <w:szCs w:val="20"/>
        </w:rPr>
        <w:t>Nr. </w:t>
      </w:r>
      <w:r w:rsidRPr="009118AB">
        <w:rPr>
          <w:bCs/>
          <w:i/>
          <w:iCs/>
          <w:sz w:val="20"/>
          <w:szCs w:val="20"/>
        </w:rPr>
        <w:t xml:space="preserve">5 ersetzt </w:t>
      </w:r>
      <w:r w:rsidRPr="009118AB">
        <w:rPr>
          <w:i/>
          <w:iCs/>
          <w:sz w:val="20"/>
          <w:szCs w:val="20"/>
        </w:rPr>
        <w:t xml:space="preserve">durch </w:t>
      </w:r>
      <w:r w:rsidR="00D67EB8" w:rsidRPr="009118AB">
        <w:rPr>
          <w:i/>
          <w:iCs/>
          <w:sz w:val="20"/>
          <w:szCs w:val="20"/>
        </w:rPr>
        <w:t>Art. </w:t>
      </w:r>
      <w:r w:rsidRPr="009118AB">
        <w:rPr>
          <w:i/>
          <w:iCs/>
          <w:sz w:val="20"/>
          <w:szCs w:val="20"/>
        </w:rPr>
        <w:t>48</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i/>
          <w:iCs/>
          <w:sz w:val="20"/>
          <w:szCs w:val="20"/>
        </w:rPr>
        <w:t>anwendbar auf die ab dem 1. Januar 2012 zuerkannten Vorteile jeglicher Art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19 des G. vom 17. Juni 2013 (B.S. vom 28. Juni 2013)</w:t>
      </w:r>
      <w:r w:rsidR="00D67EB8" w:rsidRPr="009118AB">
        <w:rPr>
          <w:i/>
          <w:iCs/>
          <w:sz w:val="20"/>
          <w:szCs w:val="20"/>
        </w:rPr>
        <w:t> - </w:t>
      </w:r>
      <w:r w:rsidRPr="009118AB">
        <w:rPr>
          <w:i/>
          <w:iCs/>
          <w:sz w:val="20"/>
          <w:szCs w:val="20"/>
        </w:rPr>
        <w:t>anwendbar ab dem Steuerjahr 2014</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 xml:space="preserve">32 </w:t>
      </w:r>
      <w:r w:rsidR="00D67EB8" w:rsidRPr="009118AB">
        <w:rPr>
          <w:i/>
          <w:iCs/>
          <w:sz w:val="20"/>
          <w:szCs w:val="20"/>
        </w:rPr>
        <w:t>Nr. </w:t>
      </w:r>
      <w:r w:rsidRPr="009118AB">
        <w:rPr>
          <w:i/>
          <w:iCs/>
          <w:sz w:val="20"/>
          <w:szCs w:val="20"/>
        </w:rPr>
        <w:t>2 des G. vom 19. Dezember 2014 (B.S. vom 29. Dezember 2014)</w:t>
      </w:r>
      <w:r w:rsidR="00D67EB8" w:rsidRPr="009118AB">
        <w:rPr>
          <w:i/>
          <w:iCs/>
          <w:sz w:val="20"/>
          <w:szCs w:val="20"/>
        </w:rPr>
        <w:t> - </w:t>
      </w:r>
      <w:r w:rsidRPr="009118AB">
        <w:rPr>
          <w:i/>
          <w:iCs/>
          <w:sz w:val="20"/>
          <w:szCs w:val="20"/>
        </w:rPr>
        <w:t xml:space="preserve">in Kraft am </w:t>
      </w:r>
      <w:r w:rsidRPr="009118AB">
        <w:rPr>
          <w:i/>
          <w:iCs/>
          <w:sz w:val="20"/>
          <w:szCs w:val="20"/>
        </w:rPr>
        <w:lastRenderedPageBreak/>
        <w:t>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70</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FD68E8" w:rsidRPr="009118AB">
        <w:rPr>
          <w:i/>
          <w:sz w:val="20"/>
          <w:szCs w:val="20"/>
        </w:rPr>
        <w:t> -,</w:t>
      </w:r>
      <w:r w:rsidRPr="009118AB">
        <w:rPr>
          <w:i/>
          <w:sz w:val="20"/>
          <w:szCs w:val="20"/>
        </w:rPr>
        <w:t xml:space="preserve"> </w:t>
      </w:r>
      <w:r w:rsidR="00D67EB8" w:rsidRPr="009118AB">
        <w:rPr>
          <w:i/>
          <w:sz w:val="20"/>
          <w:szCs w:val="20"/>
        </w:rPr>
        <w:t>Art. </w:t>
      </w:r>
      <w:r w:rsidRPr="009118AB">
        <w:rPr>
          <w:i/>
          <w:sz w:val="20"/>
          <w:szCs w:val="20"/>
        </w:rPr>
        <w:t>32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Pr="009118AB">
        <w:rPr>
          <w:i/>
          <w:sz w:val="20"/>
          <w:szCs w:val="20"/>
        </w:rPr>
        <w:t xml:space="preserve"> selbst für nichtig erklärt durch Entscheid </w:t>
      </w:r>
      <w:r w:rsidR="00D67EB8" w:rsidRPr="009118AB">
        <w:rPr>
          <w:i/>
          <w:sz w:val="20"/>
          <w:szCs w:val="20"/>
        </w:rPr>
        <w:t>Nr. </w:t>
      </w:r>
      <w:r w:rsidRPr="009118AB">
        <w:rPr>
          <w:i/>
          <w:sz w:val="20"/>
          <w:szCs w:val="20"/>
        </w:rPr>
        <w:t>11/2020 des Verfassungsgerichtshofes vom 23. Januar 2020 (B.S. vom 24. Februar 2020), und durch</w:t>
      </w:r>
      <w:r w:rsidR="00395EAB" w:rsidRPr="009118AB">
        <w:rPr>
          <w:i/>
        </w:rPr>
        <w:t xml:space="preserve"> </w:t>
      </w:r>
      <w:r w:rsidR="00D67EB8" w:rsidRPr="009118AB">
        <w:rPr>
          <w:i/>
          <w:sz w:val="20"/>
          <w:szCs w:val="20"/>
        </w:rPr>
        <w:t>Art. </w:t>
      </w:r>
      <w:r w:rsidR="00395EAB" w:rsidRPr="009118AB">
        <w:rPr>
          <w:i/>
          <w:sz w:val="20"/>
          <w:szCs w:val="20"/>
        </w:rPr>
        <w:t>8 des G. vom 27. Dezember 2021 (B.S. vom 31. Dezember 2021)</w:t>
      </w:r>
      <w:r w:rsidR="00D67EB8" w:rsidRPr="009118AB">
        <w:rPr>
          <w:i/>
          <w:sz w:val="20"/>
          <w:szCs w:val="20"/>
        </w:rPr>
        <w:t> - </w:t>
      </w:r>
      <w:r w:rsidR="00395EAB" w:rsidRPr="009118AB">
        <w:rPr>
          <w:i/>
          <w:sz w:val="20"/>
          <w:szCs w:val="20"/>
        </w:rPr>
        <w:t>anwendbar ab dem 1. Januar 2022</w:t>
      </w:r>
      <w:r w:rsidR="00FD68E8" w:rsidRPr="009118AB">
        <w:rPr>
          <w:i/>
          <w:sz w:val="20"/>
          <w:szCs w:val="20"/>
        </w:rPr>
        <w:t> -,</w:t>
      </w:r>
      <w:r w:rsidRPr="009118AB">
        <w:rPr>
          <w:i/>
          <w:sz w:val="20"/>
          <w:szCs w:val="20"/>
        </w:rPr>
        <w:t xml:space="preserve"> </w:t>
      </w:r>
      <w:r w:rsidR="00D67EB8" w:rsidRPr="009118AB">
        <w:rPr>
          <w:i/>
          <w:sz w:val="20"/>
          <w:szCs w:val="20"/>
        </w:rPr>
        <w:t>Art. </w:t>
      </w:r>
      <w:r w:rsidRPr="009118AB">
        <w:rPr>
          <w:i/>
          <w:sz w:val="20"/>
          <w:szCs w:val="20"/>
        </w:rPr>
        <w:t xml:space="preserve">7 </w:t>
      </w:r>
      <w:r w:rsidR="00D67EB8" w:rsidRPr="009118AB">
        <w:rPr>
          <w:i/>
          <w:sz w:val="20"/>
          <w:szCs w:val="20"/>
        </w:rPr>
        <w:t>Nr. </w:t>
      </w:r>
      <w:r w:rsidRPr="009118AB">
        <w:rPr>
          <w:i/>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 xml:space="preserve">in Kraft am 1. Januar 2026 und anwendbar ab dem Steuerjahr 2027, das sich auf einen Besteuerungszeitraum bezieht, der frühestens am 1. Januar 2026 beginnt – und </w:t>
      </w:r>
      <w:r w:rsidR="00D67EB8" w:rsidRPr="009118AB">
        <w:rPr>
          <w:i/>
          <w:iCs/>
          <w:sz w:val="20"/>
          <w:szCs w:val="20"/>
        </w:rPr>
        <w:t>Art. </w:t>
      </w:r>
      <w:r w:rsidRPr="009118AB">
        <w:rPr>
          <w:i/>
          <w:iCs/>
          <w:sz w:val="20"/>
          <w:szCs w:val="20"/>
        </w:rPr>
        <w:t xml:space="preserve">7 </w:t>
      </w:r>
      <w:r w:rsidR="00D67EB8" w:rsidRPr="009118AB">
        <w:rPr>
          <w:i/>
          <w:iCs/>
          <w:sz w:val="20"/>
          <w:szCs w:val="20"/>
        </w:rPr>
        <w:t>Nr. </w:t>
      </w:r>
      <w:r w:rsidRPr="009118AB">
        <w:rPr>
          <w:i/>
          <w:iCs/>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2 </w:t>
      </w:r>
      <w:r w:rsidR="00D67EB8" w:rsidRPr="009118AB">
        <w:rPr>
          <w:i/>
          <w:iCs/>
          <w:sz w:val="20"/>
          <w:szCs w:val="20"/>
        </w:rPr>
        <w:t>Nr. </w:t>
      </w:r>
      <w:r w:rsidRPr="009118AB">
        <w:rPr>
          <w:i/>
          <w:iCs/>
          <w:sz w:val="20"/>
          <w:szCs w:val="20"/>
        </w:rPr>
        <w:t xml:space="preserve">6 aufgehoben durch </w:t>
      </w:r>
      <w:r w:rsidR="00D67EB8" w:rsidRPr="009118AB">
        <w:rPr>
          <w:i/>
          <w:iCs/>
          <w:sz w:val="20"/>
          <w:szCs w:val="20"/>
        </w:rPr>
        <w:t>Art. </w:t>
      </w:r>
      <w:r w:rsidRPr="009118AB">
        <w:rPr>
          <w:i/>
          <w:iCs/>
          <w:sz w:val="20"/>
          <w:szCs w:val="20"/>
        </w:rPr>
        <w:t>21 des G. vom 19. Dezember 2014 (B.S. vom 29. Dezember 2014)</w:t>
      </w:r>
      <w:r w:rsidR="00D67EB8" w:rsidRPr="009118AB">
        <w:rPr>
          <w:i/>
          <w:iCs/>
          <w:sz w:val="20"/>
          <w:szCs w:val="20"/>
        </w:rPr>
        <w:t> - </w:t>
      </w:r>
      <w:r w:rsidRPr="009118AB">
        <w:rPr>
          <w:i/>
          <w:iCs/>
          <w:sz w:val="20"/>
          <w:szCs w:val="20"/>
        </w:rPr>
        <w:t>in Kraft ab dem Steuerjahr 2015 und anwendbar auf Geschäftsjahre, die frühestens am 1. Juli 2015 abgeschlossen werden</w:t>
      </w:r>
      <w:r w:rsidR="00FD68E8" w:rsidRPr="009118AB">
        <w:rPr>
          <w:i/>
          <w:iCs/>
          <w:sz w:val="20"/>
          <w:szCs w:val="20"/>
        </w:rPr>
        <w:t> -,</w:t>
      </w:r>
      <w:r w:rsidRPr="009118AB">
        <w:rPr>
          <w:i/>
          <w:iCs/>
          <w:sz w:val="20"/>
          <w:szCs w:val="20"/>
        </w:rPr>
        <w:t xml:space="preserve"> selbst widerrufen durch </w:t>
      </w:r>
      <w:r w:rsidR="00D67EB8" w:rsidRPr="009118AB">
        <w:rPr>
          <w:i/>
          <w:iCs/>
          <w:sz w:val="20"/>
          <w:szCs w:val="20"/>
        </w:rPr>
        <w:t>Art. </w:t>
      </w:r>
      <w:r w:rsidRPr="009118AB">
        <w:rPr>
          <w:i/>
          <w:iCs/>
          <w:sz w:val="20"/>
          <w:szCs w:val="20"/>
        </w:rPr>
        <w:t>91 des G. vom 10. August 2015 (B.S. vom 18. August 2015)</w:t>
      </w:r>
      <w:r w:rsidR="00D67EB8" w:rsidRPr="009118AB">
        <w:rPr>
          <w:i/>
          <w:iCs/>
          <w:sz w:val="20"/>
          <w:szCs w:val="20"/>
        </w:rPr>
        <w:t> - </w:t>
      </w:r>
      <w:r w:rsidRPr="009118AB">
        <w:rPr>
          <w:i/>
          <w:iCs/>
          <w:sz w:val="20"/>
          <w:szCs w:val="20"/>
        </w:rPr>
        <w:t>in Kraft ab dem Steuerjahr 2015 und anwendbar auf Geschäftsjahre, die frühestens am 1. August 2015 abgeschlossen werden</w:t>
      </w:r>
      <w:r w:rsidR="00FD68E8" w:rsidRPr="009118AB">
        <w:rPr>
          <w:i/>
          <w:iCs/>
          <w:sz w:val="20"/>
          <w:szCs w:val="20"/>
        </w:rPr>
        <w:t> -]</w:t>
      </w:r>
      <w:r w:rsidRPr="009118AB">
        <w:rPr>
          <w:bCs/>
          <w:sz w:val="20"/>
          <w:szCs w:val="20"/>
        </w:rPr>
        <w:t>"</w:t>
      </w:r>
    </w:p>
    <w:p w14:paraId="42E2BCC9" w14:textId="77777777" w:rsidR="001C0338" w:rsidRPr="009118AB" w:rsidRDefault="001C0338" w:rsidP="00D30694">
      <w:pPr>
        <w:autoSpaceDE w:val="0"/>
        <w:autoSpaceDN w:val="0"/>
        <w:adjustRightInd w:val="0"/>
        <w:jc w:val="both"/>
        <w:rPr>
          <w:bCs/>
          <w:sz w:val="20"/>
          <w:szCs w:val="20"/>
        </w:rPr>
      </w:pPr>
    </w:p>
    <w:p w14:paraId="1AEE418D" w14:textId="77777777" w:rsidR="00D30694" w:rsidRPr="009118AB" w:rsidRDefault="00D30694" w:rsidP="00D30694">
      <w:pPr>
        <w:autoSpaceDE w:val="0"/>
        <w:autoSpaceDN w:val="0"/>
        <w:adjustRightInd w:val="0"/>
        <w:jc w:val="both"/>
        <w:rPr>
          <w:bCs/>
          <w:i/>
          <w:iCs/>
        </w:rPr>
      </w:pPr>
    </w:p>
    <w:p w14:paraId="7993F66A" w14:textId="5E53ECE7" w:rsidR="003C41CE" w:rsidRPr="009118AB" w:rsidRDefault="00477B8F" w:rsidP="00D30694">
      <w:pPr>
        <w:autoSpaceDE w:val="0"/>
        <w:autoSpaceDN w:val="0"/>
        <w:adjustRightInd w:val="0"/>
        <w:jc w:val="both"/>
        <w:rPr>
          <w:color w:val="000000"/>
          <w:shd w:val="clear" w:color="auto" w:fill="FFFFFF"/>
        </w:rPr>
      </w:pPr>
      <w:r w:rsidRPr="009118AB">
        <w:tab/>
      </w:r>
      <w:r w:rsidR="00D67EB8" w:rsidRPr="009118AB">
        <w:rPr>
          <w:b/>
          <w:bCs/>
        </w:rPr>
        <w:t>Art. </w:t>
      </w:r>
      <w:r w:rsidRPr="009118AB">
        <w:rPr>
          <w:b/>
          <w:bCs/>
        </w:rPr>
        <w:t>226</w:t>
      </w:r>
      <w:r w:rsidR="00D67EB8" w:rsidRPr="009118AB">
        <w:t> - </w:t>
      </w:r>
      <w:r w:rsidR="00D30694" w:rsidRPr="009118AB">
        <w:t>[</w:t>
      </w:r>
      <w:r w:rsidR="003C41CE" w:rsidRPr="009118AB">
        <w:t>Die Steuer auf die in Artikel 224 erwähnten Dividenden wird bei ausbleibenden oder unzureichenden Vorauszahlungen wie in Artikel 218 erwähnt gemäß demselben Artikel 218 erhöht</w:t>
      </w:r>
      <w:r w:rsidR="003C41CE" w:rsidRPr="009118AB">
        <w:rPr>
          <w:color w:val="000000"/>
          <w:shd w:val="clear" w:color="auto" w:fill="FFFFFF"/>
        </w:rPr>
        <w:t>.]</w:t>
      </w:r>
    </w:p>
    <w:p w14:paraId="0AB1DB42" w14:textId="77777777" w:rsidR="000B6CBA" w:rsidRPr="009118AB" w:rsidRDefault="000B6CBA" w:rsidP="00477B8F">
      <w:pPr>
        <w:autoSpaceDE w:val="0"/>
        <w:autoSpaceDN w:val="0"/>
        <w:adjustRightInd w:val="0"/>
        <w:jc w:val="both"/>
      </w:pPr>
    </w:p>
    <w:p w14:paraId="64351D62" w14:textId="6DE785ED" w:rsidR="000B6CBA" w:rsidRPr="009118AB" w:rsidRDefault="000B6CBA" w:rsidP="00477B8F">
      <w:pPr>
        <w:autoSpaceDE w:val="0"/>
        <w:autoSpaceDN w:val="0"/>
        <w:adjustRightInd w:val="0"/>
        <w:jc w:val="both"/>
        <w:rPr>
          <w:i/>
        </w:rPr>
      </w:pPr>
      <w:r w:rsidRPr="009118AB">
        <w:rPr>
          <w:i/>
        </w:rPr>
        <w:t>[</w:t>
      </w:r>
      <w:r w:rsidR="00D67EB8" w:rsidRPr="009118AB">
        <w:rPr>
          <w:i/>
        </w:rPr>
        <w:t>Art. </w:t>
      </w:r>
      <w:r w:rsidRPr="009118AB">
        <w:rPr>
          <w:i/>
        </w:rPr>
        <w:t xml:space="preserve">226 aufgehoben durch </w:t>
      </w:r>
      <w:r w:rsidR="00D67EB8" w:rsidRPr="009118AB">
        <w:rPr>
          <w:i/>
        </w:rPr>
        <w:t>Art. </w:t>
      </w:r>
      <w:r w:rsidRPr="009118AB">
        <w:rPr>
          <w:i/>
        </w:rPr>
        <w:t>22</w:t>
      </w:r>
      <w:r w:rsidRPr="009118AB">
        <w:rPr>
          <w:i/>
          <w:iCs/>
        </w:rPr>
        <w:t xml:space="preserve"> </w:t>
      </w:r>
      <w:r w:rsidRPr="009118AB">
        <w:rPr>
          <w:i/>
          <w:iCs/>
          <w:spacing w:val="-1"/>
        </w:rPr>
        <w:t>des G. vom 19. Dezember 2014 (B.S. vom 29. Dezember 2014)</w:t>
      </w:r>
      <w:r w:rsidR="00D67EB8" w:rsidRPr="009118AB">
        <w:rPr>
          <w:i/>
          <w:iCs/>
          <w:spacing w:val="-1"/>
        </w:rPr>
        <w:t> - </w:t>
      </w:r>
      <w:r w:rsidRPr="009118AB">
        <w:rPr>
          <w:i/>
          <w:iCs/>
          <w:spacing w:val="-1"/>
        </w:rPr>
        <w:t>in Kraft ab dem Steuerjahr 2015 und anwendbar auf Geschäftsjahre, die frühestens am 1. Juli 2015 abgeschlossen werden</w:t>
      </w:r>
      <w:r w:rsidR="00FD68E8" w:rsidRPr="009118AB">
        <w:rPr>
          <w:i/>
          <w:iCs/>
          <w:spacing w:val="-1"/>
        </w:rPr>
        <w:t> -,</w:t>
      </w:r>
      <w:r w:rsidR="00D30694" w:rsidRPr="009118AB">
        <w:rPr>
          <w:i/>
          <w:iCs/>
          <w:spacing w:val="-1"/>
        </w:rPr>
        <w:t xml:space="preserve"> selbst widerrufen durch </w:t>
      </w:r>
      <w:r w:rsidR="00D67EB8" w:rsidRPr="009118AB">
        <w:rPr>
          <w:i/>
          <w:iCs/>
          <w:spacing w:val="-1"/>
        </w:rPr>
        <w:t>Art. </w:t>
      </w:r>
      <w:r w:rsidR="00D30694" w:rsidRPr="009118AB">
        <w:rPr>
          <w:i/>
          <w:iCs/>
          <w:spacing w:val="-1"/>
        </w:rPr>
        <w:t>91 des G. vom 10. August 2015 (B.S. vom 18. August 2015)</w:t>
      </w:r>
      <w:r w:rsidR="00D67EB8" w:rsidRPr="009118AB">
        <w:rPr>
          <w:i/>
          <w:iCs/>
          <w:spacing w:val="-1"/>
        </w:rPr>
        <w:t> - </w:t>
      </w:r>
      <w:r w:rsidR="00D30694" w:rsidRPr="009118AB">
        <w:rPr>
          <w:i/>
          <w:iCs/>
          <w:spacing w:val="-1"/>
        </w:rPr>
        <w:t xml:space="preserve">in Kraft </w:t>
      </w:r>
      <w:r w:rsidR="00D30694" w:rsidRPr="009118AB">
        <w:rPr>
          <w:i/>
          <w:iCs/>
        </w:rPr>
        <w:t>ab dem Steuerjahr 2015 und anwendbar auf Geschäftsjahre, die frühestens am 1. August 2015 abgeschlossen werden</w:t>
      </w:r>
      <w:r w:rsidR="00FD68E8" w:rsidRPr="009118AB">
        <w:rPr>
          <w:i/>
          <w:iCs/>
        </w:rPr>
        <w:t> -]</w:t>
      </w:r>
    </w:p>
    <w:p w14:paraId="64B53175" w14:textId="6AD128F1" w:rsidR="00477B8F" w:rsidRPr="009118AB" w:rsidRDefault="00477B8F" w:rsidP="00477B8F">
      <w:pPr>
        <w:autoSpaceDE w:val="0"/>
        <w:autoSpaceDN w:val="0"/>
        <w:adjustRightInd w:val="0"/>
        <w:jc w:val="center"/>
        <w:rPr>
          <w:i/>
          <w:iCs/>
        </w:rPr>
      </w:pPr>
      <w:r w:rsidRPr="009118AB">
        <w:br w:type="page"/>
      </w:r>
      <w:r w:rsidRPr="009118AB">
        <w:rPr>
          <w:b/>
          <w:bCs/>
        </w:rPr>
        <w:lastRenderedPageBreak/>
        <w:t>TITEL V</w:t>
      </w:r>
      <w:r w:rsidR="00D67EB8" w:rsidRPr="009118AB">
        <w:rPr>
          <w:i/>
          <w:iCs/>
        </w:rPr>
        <w:t> - </w:t>
      </w:r>
      <w:r w:rsidRPr="009118AB">
        <w:rPr>
          <w:b/>
          <w:bCs/>
          <w:i/>
          <w:iCs/>
        </w:rPr>
        <w:t>Steuer der Gebietsfremden</w:t>
      </w:r>
    </w:p>
    <w:p w14:paraId="1637552F" w14:textId="77777777" w:rsidR="00477B8F" w:rsidRPr="009118AB" w:rsidRDefault="00477B8F" w:rsidP="00477B8F">
      <w:pPr>
        <w:autoSpaceDE w:val="0"/>
        <w:autoSpaceDN w:val="0"/>
        <w:adjustRightInd w:val="0"/>
        <w:jc w:val="center"/>
        <w:rPr>
          <w:i/>
          <w:iCs/>
        </w:rPr>
      </w:pPr>
    </w:p>
    <w:p w14:paraId="63CBB354" w14:textId="77777777" w:rsidR="00477B8F" w:rsidRPr="009118AB" w:rsidRDefault="00477B8F" w:rsidP="00477B8F">
      <w:pPr>
        <w:autoSpaceDE w:val="0"/>
        <w:autoSpaceDN w:val="0"/>
        <w:adjustRightInd w:val="0"/>
        <w:jc w:val="center"/>
        <w:rPr>
          <w:i/>
          <w:iCs/>
        </w:rPr>
      </w:pPr>
    </w:p>
    <w:p w14:paraId="18AB93C1" w14:textId="666056D2" w:rsidR="00477B8F" w:rsidRPr="009118AB" w:rsidRDefault="004C080A" w:rsidP="00477B8F">
      <w:pPr>
        <w:autoSpaceDE w:val="0"/>
        <w:autoSpaceDN w:val="0"/>
        <w:adjustRightInd w:val="0"/>
        <w:jc w:val="center"/>
      </w:pPr>
      <w:r w:rsidRPr="009118AB">
        <w:rPr>
          <w:b/>
          <w:bCs/>
        </w:rPr>
        <w:t>KAPITEL </w:t>
      </w:r>
      <w:r w:rsidR="007828ED" w:rsidRPr="009118AB">
        <w:rPr>
          <w:b/>
          <w:bCs/>
        </w:rPr>
        <w:t>1</w:t>
      </w:r>
      <w:r w:rsidR="00D67EB8" w:rsidRPr="009118AB">
        <w:t> - </w:t>
      </w:r>
      <w:r w:rsidR="00477B8F" w:rsidRPr="009118AB">
        <w:rPr>
          <w:i/>
          <w:iCs/>
        </w:rPr>
        <w:t>Steuerpflichtige Personen</w:t>
      </w:r>
    </w:p>
    <w:p w14:paraId="09501EB8" w14:textId="77777777" w:rsidR="00477B8F" w:rsidRPr="009118AB" w:rsidRDefault="00477B8F" w:rsidP="00477B8F">
      <w:pPr>
        <w:autoSpaceDE w:val="0"/>
        <w:autoSpaceDN w:val="0"/>
        <w:adjustRightInd w:val="0"/>
        <w:jc w:val="center"/>
      </w:pPr>
    </w:p>
    <w:p w14:paraId="61B736E2" w14:textId="77777777" w:rsidR="00477B8F" w:rsidRPr="009118AB" w:rsidRDefault="00477B8F" w:rsidP="00477B8F">
      <w:pPr>
        <w:autoSpaceDE w:val="0"/>
        <w:autoSpaceDN w:val="0"/>
        <w:adjustRightInd w:val="0"/>
        <w:jc w:val="center"/>
      </w:pPr>
    </w:p>
    <w:p w14:paraId="4CC1653A" w14:textId="3EAED7A7"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227</w:t>
      </w:r>
      <w:r w:rsidR="00D67EB8" w:rsidRPr="009118AB">
        <w:t> - </w:t>
      </w:r>
      <w:r w:rsidRPr="009118AB">
        <w:t>Der Steuer der Gebietsfremden unterliegen:</w:t>
      </w:r>
    </w:p>
    <w:p w14:paraId="325535D7" w14:textId="77777777" w:rsidR="00477B8F" w:rsidRPr="009118AB" w:rsidRDefault="00477B8F" w:rsidP="00477B8F">
      <w:pPr>
        <w:autoSpaceDE w:val="0"/>
        <w:autoSpaceDN w:val="0"/>
        <w:adjustRightInd w:val="0"/>
        <w:jc w:val="both"/>
      </w:pPr>
    </w:p>
    <w:p w14:paraId="09FF55CC" w14:textId="77777777" w:rsidR="00477B8F" w:rsidRPr="009118AB" w:rsidRDefault="00477B8F" w:rsidP="00477B8F">
      <w:pPr>
        <w:autoSpaceDE w:val="0"/>
        <w:autoSpaceDN w:val="0"/>
        <w:adjustRightInd w:val="0"/>
        <w:jc w:val="both"/>
      </w:pPr>
      <w:r w:rsidRPr="009118AB">
        <w:tab/>
        <w:t>1. Nicht-Einwohner des Königreichs einschließlich der in Artikel 4 erwähnten Personen,</w:t>
      </w:r>
    </w:p>
    <w:p w14:paraId="238B1AAC" w14:textId="77777777" w:rsidR="00477B8F" w:rsidRPr="009118AB" w:rsidRDefault="00477B8F" w:rsidP="00477B8F">
      <w:pPr>
        <w:autoSpaceDE w:val="0"/>
        <w:autoSpaceDN w:val="0"/>
        <w:adjustRightInd w:val="0"/>
        <w:jc w:val="both"/>
      </w:pPr>
    </w:p>
    <w:p w14:paraId="2A8B0EBA" w14:textId="0A94DB93" w:rsidR="00477B8F" w:rsidRPr="009118AB" w:rsidRDefault="00477B8F" w:rsidP="00477B8F">
      <w:pPr>
        <w:autoSpaceDE w:val="0"/>
        <w:autoSpaceDN w:val="0"/>
        <w:adjustRightInd w:val="0"/>
        <w:jc w:val="both"/>
      </w:pPr>
      <w:r w:rsidRPr="009118AB">
        <w:tab/>
        <w:t xml:space="preserve">2. [ausländische Gesellschaften und Vereinigungen, Niederlassungen oder Einrichtungen ohne Rechtspersönlichkeit, die in einer ähnlichen Rechtsform gegründet wurden wie die einer Gesellschaft belgischen Rechts und deren </w:t>
      </w:r>
      <w:r w:rsidR="002700C6" w:rsidRPr="009118AB">
        <w:t>[…]</w:t>
      </w:r>
      <w:r w:rsidRPr="009118AB">
        <w:t xml:space="preserve"> Hauptniederlassung oder Geschäftsführungs- oder Verwaltungssitz nicht in Belgien liegt,]</w:t>
      </w:r>
    </w:p>
    <w:p w14:paraId="33C0D208" w14:textId="77777777" w:rsidR="00477B8F" w:rsidRPr="009118AB" w:rsidRDefault="00477B8F" w:rsidP="00477B8F">
      <w:pPr>
        <w:autoSpaceDE w:val="0"/>
        <w:autoSpaceDN w:val="0"/>
        <w:adjustRightInd w:val="0"/>
        <w:jc w:val="both"/>
      </w:pPr>
    </w:p>
    <w:p w14:paraId="07465C4B" w14:textId="4740378D" w:rsidR="00477B8F" w:rsidRPr="009118AB" w:rsidRDefault="00477B8F" w:rsidP="00477B8F">
      <w:pPr>
        <w:autoSpaceDE w:val="0"/>
        <w:autoSpaceDN w:val="0"/>
        <w:adjustRightInd w:val="0"/>
        <w:jc w:val="both"/>
      </w:pPr>
      <w:r w:rsidRPr="009118AB">
        <w:tab/>
        <w:t xml:space="preserve">3. ausländische Staaten, ihre politischen Untergliederungen und lokalen Gebietskörperschaften und alle juristischen Personen, deren </w:t>
      </w:r>
      <w:r w:rsidR="002700C6" w:rsidRPr="009118AB">
        <w:t>[…]</w:t>
      </w:r>
      <w:r w:rsidRPr="009118AB">
        <w:t xml:space="preserve"> Hauptniederlassung oder Geschäftsführungs- oder Verwaltungssitz nicht in Belgien liegt und die kein Unternehmen beziehungsweise keine Geschäfte mit gewinnbringendem Zweck betreiben oder die ohne Gewinnerzielungsabsicht ausschließlich in Artikel 182 erwähnte Geschäfte betreiben</w:t>
      </w:r>
      <w:r w:rsidR="00EA2EB8" w:rsidRPr="009118AB">
        <w:t>[, mit Ausnahme der in Artikel 227/1 erwähnten juristischen Personen]</w:t>
      </w:r>
      <w:r w:rsidRPr="009118AB">
        <w:t>.</w:t>
      </w:r>
    </w:p>
    <w:p w14:paraId="314F657D" w14:textId="77777777" w:rsidR="00477B8F" w:rsidRPr="009118AB" w:rsidRDefault="00477B8F" w:rsidP="00477B8F">
      <w:pPr>
        <w:autoSpaceDE w:val="0"/>
        <w:autoSpaceDN w:val="0"/>
        <w:adjustRightInd w:val="0"/>
        <w:jc w:val="both"/>
      </w:pPr>
    </w:p>
    <w:p w14:paraId="4DF547BF" w14:textId="2270FAE9"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227 einziger Absatz </w:t>
      </w:r>
      <w:r w:rsidR="00D67EB8" w:rsidRPr="009118AB">
        <w:rPr>
          <w:i/>
          <w:iCs/>
        </w:rPr>
        <w:t>Nr. </w:t>
      </w:r>
      <w:r w:rsidRPr="009118AB">
        <w:rPr>
          <w:i/>
          <w:iCs/>
        </w:rPr>
        <w:t xml:space="preserve">2 ersetzt durch </w:t>
      </w:r>
      <w:r w:rsidR="00D67EB8" w:rsidRPr="009118AB">
        <w:rPr>
          <w:i/>
          <w:iCs/>
        </w:rPr>
        <w:t>Art. </w:t>
      </w:r>
      <w:r w:rsidRPr="009118AB">
        <w:rPr>
          <w:i/>
          <w:iCs/>
        </w:rPr>
        <w:t>35 des K.E. vom 20. Dezember 1996 (B.S.</w:t>
      </w:r>
      <w:r w:rsidR="00D36FF7" w:rsidRPr="009118AB">
        <w:rPr>
          <w:i/>
          <w:iCs/>
        </w:rPr>
        <w:t> </w:t>
      </w:r>
      <w:r w:rsidRPr="009118AB">
        <w:rPr>
          <w:i/>
          <w:iCs/>
        </w:rPr>
        <w:t>vom 31. Dezember 1996)</w:t>
      </w:r>
      <w:r w:rsidR="00D67EB8" w:rsidRPr="009118AB">
        <w:rPr>
          <w:i/>
          <w:iCs/>
        </w:rPr>
        <w:t> - </w:t>
      </w:r>
      <w:r w:rsidRPr="009118AB">
        <w:rPr>
          <w:i/>
          <w:iCs/>
        </w:rPr>
        <w:t>anwendbar auf die ab dem 1. Januar 1999 gezahlten oder zuerkannten Einkünfte</w:t>
      </w:r>
      <w:r w:rsidR="00D67EB8" w:rsidRPr="009118AB">
        <w:rPr>
          <w:i/>
          <w:iCs/>
        </w:rPr>
        <w:t> - </w:t>
      </w:r>
      <w:r w:rsidR="002700C6" w:rsidRPr="009118AB">
        <w:rPr>
          <w:i/>
          <w:iCs/>
        </w:rPr>
        <w:t xml:space="preserve">und abgeändert durch </w:t>
      </w:r>
      <w:r w:rsidR="00D67EB8" w:rsidRPr="009118AB">
        <w:rPr>
          <w:i/>
          <w:iCs/>
        </w:rPr>
        <w:t>Art. </w:t>
      </w:r>
      <w:r w:rsidR="002700C6" w:rsidRPr="009118AB">
        <w:rPr>
          <w:i/>
          <w:iCs/>
        </w:rPr>
        <w:t xml:space="preserve">53 </w:t>
      </w:r>
      <w:r w:rsidR="00D67EB8" w:rsidRPr="009118AB">
        <w:rPr>
          <w:i/>
          <w:iCs/>
        </w:rPr>
        <w:t>Nr. </w:t>
      </w:r>
      <w:r w:rsidR="002700C6" w:rsidRPr="009118AB">
        <w:rPr>
          <w:i/>
          <w:iCs/>
        </w:rPr>
        <w:t>1</w:t>
      </w:r>
      <w:r w:rsidR="002700C6" w:rsidRPr="009118AB">
        <w:rPr>
          <w:i/>
          <w:iCs/>
          <w:spacing w:val="-2"/>
        </w:rPr>
        <w:t xml:space="preserve"> des G. vom 17. März 2019 (III) (B.S. vom 10. Mai 2019)</w:t>
      </w:r>
      <w:r w:rsidR="00D67EB8" w:rsidRPr="009118AB">
        <w:rPr>
          <w:i/>
          <w:iCs/>
          <w:spacing w:val="-2"/>
        </w:rPr>
        <w:t> - </w:t>
      </w:r>
      <w:r w:rsidR="002700C6" w:rsidRPr="009118AB">
        <w:rPr>
          <w:i/>
          <w:iCs/>
          <w:spacing w:val="-2"/>
        </w:rPr>
        <w:t>in Kraft am 1. Mai 2019</w:t>
      </w:r>
      <w:r w:rsidR="003366D9" w:rsidRPr="009118AB">
        <w:rPr>
          <w:i/>
          <w:iCs/>
          <w:spacing w:val="-2"/>
        </w:rPr>
        <w:t> -;</w:t>
      </w:r>
      <w:r w:rsidR="00EA2EB8" w:rsidRPr="009118AB">
        <w:rPr>
          <w:i/>
          <w:iCs/>
        </w:rPr>
        <w:t xml:space="preserve"> einziger Absatz </w:t>
      </w:r>
      <w:r w:rsidR="00D67EB8" w:rsidRPr="009118AB">
        <w:rPr>
          <w:i/>
          <w:iCs/>
        </w:rPr>
        <w:t>Nr. </w:t>
      </w:r>
      <w:r w:rsidR="00EA2EB8" w:rsidRPr="009118AB">
        <w:rPr>
          <w:i/>
          <w:iCs/>
        </w:rPr>
        <w:t xml:space="preserve">3 </w:t>
      </w:r>
      <w:r w:rsidR="006E0E31" w:rsidRPr="009118AB">
        <w:rPr>
          <w:i/>
          <w:iCs/>
        </w:rPr>
        <w:t>abgeändert</w:t>
      </w:r>
      <w:r w:rsidR="00EA2EB8" w:rsidRPr="009118AB">
        <w:rPr>
          <w:i/>
          <w:iCs/>
        </w:rPr>
        <w:t xml:space="preserve"> durch </w:t>
      </w:r>
      <w:r w:rsidR="00D67EB8" w:rsidRPr="009118AB">
        <w:rPr>
          <w:i/>
          <w:iCs/>
        </w:rPr>
        <w:t>Art. </w:t>
      </w:r>
      <w:r w:rsidR="00EA2EB8" w:rsidRPr="009118AB">
        <w:rPr>
          <w:i/>
          <w:iCs/>
        </w:rPr>
        <w:t>6</w:t>
      </w:r>
      <w:r w:rsidR="00EA2EB8" w:rsidRPr="009118AB">
        <w:rPr>
          <w:i/>
        </w:rPr>
        <w:t xml:space="preserve"> des </w:t>
      </w:r>
      <w:r w:rsidR="00282021" w:rsidRPr="009118AB">
        <w:rPr>
          <w:i/>
        </w:rPr>
        <w:t>G</w:t>
      </w:r>
      <w:r w:rsidR="00EA2EB8" w:rsidRPr="009118AB">
        <w:rPr>
          <w:i/>
        </w:rPr>
        <w:t>. vom 25. Dezember 2016 (IV) (B.S. vom 17. Januar 2017)</w:t>
      </w:r>
      <w:r w:rsidR="00D67EB8" w:rsidRPr="009118AB">
        <w:rPr>
          <w:i/>
        </w:rPr>
        <w:t> - </w:t>
      </w:r>
      <w:r w:rsidR="00EA2EB8" w:rsidRPr="009118AB">
        <w:rPr>
          <w:i/>
        </w:rPr>
        <w:t xml:space="preserve">in Kraft ab dem 17. Januar 2017 und anwendbar auf Rahmenübereinkommen, die ab dem </w:t>
      </w:r>
      <w:r w:rsidR="00C203F9" w:rsidRPr="009118AB">
        <w:rPr>
          <w:i/>
        </w:rPr>
        <w:t>1. Februar 2017</w:t>
      </w:r>
      <w:r w:rsidR="00EA2EB8" w:rsidRPr="009118AB">
        <w:rPr>
          <w:i/>
        </w:rPr>
        <w:t xml:space="preserve"> unterzeichnet werden</w:t>
      </w:r>
      <w:r w:rsidR="00D67EB8" w:rsidRPr="009118AB">
        <w:rPr>
          <w:i/>
        </w:rPr>
        <w:t> - </w:t>
      </w:r>
      <w:r w:rsidR="002700C6" w:rsidRPr="009118AB">
        <w:rPr>
          <w:i/>
        </w:rPr>
        <w:t xml:space="preserve">und </w:t>
      </w:r>
      <w:r w:rsidR="00D67EB8" w:rsidRPr="009118AB">
        <w:rPr>
          <w:i/>
        </w:rPr>
        <w:t>Art. </w:t>
      </w:r>
      <w:r w:rsidR="002700C6" w:rsidRPr="009118AB">
        <w:rPr>
          <w:i/>
        </w:rPr>
        <w:t xml:space="preserve">53 </w:t>
      </w:r>
      <w:r w:rsidR="00D67EB8" w:rsidRPr="009118AB">
        <w:rPr>
          <w:i/>
        </w:rPr>
        <w:t>Nr. </w:t>
      </w:r>
      <w:r w:rsidR="002700C6" w:rsidRPr="009118AB">
        <w:rPr>
          <w:i/>
        </w:rPr>
        <w:t>2</w:t>
      </w:r>
      <w:r w:rsidR="002700C6" w:rsidRPr="009118AB">
        <w:rPr>
          <w:i/>
          <w:iCs/>
          <w:spacing w:val="-2"/>
        </w:rPr>
        <w:t xml:space="preserve"> des G. vom 17. März 2019 (III) (B.S. vom 10. Mai 2019)</w:t>
      </w:r>
      <w:r w:rsidR="00D67EB8" w:rsidRPr="009118AB">
        <w:rPr>
          <w:i/>
          <w:iCs/>
          <w:spacing w:val="-2"/>
        </w:rPr>
        <w:t> - </w:t>
      </w:r>
      <w:r w:rsidR="002700C6" w:rsidRPr="009118AB">
        <w:rPr>
          <w:i/>
          <w:iCs/>
          <w:spacing w:val="-2"/>
        </w:rPr>
        <w:t>in Kraft am 1. Mai 2019</w:t>
      </w:r>
      <w:r w:rsidR="00FD68E8" w:rsidRPr="009118AB">
        <w:rPr>
          <w:i/>
          <w:iCs/>
          <w:spacing w:val="-2"/>
        </w:rPr>
        <w:t> -]</w:t>
      </w:r>
    </w:p>
    <w:p w14:paraId="55CE5456" w14:textId="77777777" w:rsidR="00EA2EB8" w:rsidRPr="009118AB" w:rsidRDefault="00EA2EB8" w:rsidP="00477B8F">
      <w:pPr>
        <w:autoSpaceDE w:val="0"/>
        <w:autoSpaceDN w:val="0"/>
        <w:adjustRightInd w:val="0"/>
        <w:jc w:val="center"/>
      </w:pPr>
    </w:p>
    <w:p w14:paraId="67863AEF" w14:textId="77777777" w:rsidR="00EA2EB8" w:rsidRPr="009118AB" w:rsidRDefault="00EA2EB8" w:rsidP="00477B8F">
      <w:pPr>
        <w:autoSpaceDE w:val="0"/>
        <w:autoSpaceDN w:val="0"/>
        <w:adjustRightInd w:val="0"/>
        <w:jc w:val="center"/>
      </w:pPr>
    </w:p>
    <w:p w14:paraId="238FDEE8" w14:textId="12BBDE1B" w:rsidR="00EA2EB8" w:rsidRPr="009118AB" w:rsidRDefault="00EA2EB8" w:rsidP="00EA2EB8">
      <w:pPr>
        <w:autoSpaceDE w:val="0"/>
        <w:autoSpaceDN w:val="0"/>
        <w:adjustRightInd w:val="0"/>
        <w:ind w:firstLine="709"/>
        <w:jc w:val="both"/>
      </w:pPr>
      <w:r w:rsidRPr="009118AB">
        <w:t>[</w:t>
      </w:r>
      <w:r w:rsidR="00D67EB8" w:rsidRPr="009118AB">
        <w:rPr>
          <w:b/>
        </w:rPr>
        <w:t>Art. </w:t>
      </w:r>
      <w:r w:rsidRPr="009118AB">
        <w:rPr>
          <w:b/>
        </w:rPr>
        <w:t>227/1</w:t>
      </w:r>
      <w:r w:rsidR="00D67EB8" w:rsidRPr="009118AB">
        <w:t> - </w:t>
      </w:r>
      <w:r w:rsidR="000F23EB" w:rsidRPr="009118AB">
        <w:t xml:space="preserve">[Juristische Personen, die der Steuer der Gebietsfremden unterliegen und als in Betracht kommende Produktionsgesellschaft oder als in Betracht kommender Vermittler wie </w:t>
      </w:r>
      <w:r w:rsidR="00414E83" w:rsidRPr="009118AB">
        <w:t>[in den Artikeln 194</w:t>
      </w:r>
      <w:r w:rsidR="00414E83" w:rsidRPr="009118AB">
        <w:rPr>
          <w:i/>
          <w:iCs/>
        </w:rPr>
        <w:t>ter</w:t>
      </w:r>
      <w:r w:rsidR="00414E83" w:rsidRPr="009118AB">
        <w:t>, 194</w:t>
      </w:r>
      <w:r w:rsidR="00414E83" w:rsidRPr="009118AB">
        <w:rPr>
          <w:i/>
          <w:iCs/>
        </w:rPr>
        <w:t>ter</w:t>
      </w:r>
      <w:r w:rsidR="00414E83" w:rsidRPr="009118AB">
        <w:t>/1 und 194</w:t>
      </w:r>
      <w:r w:rsidR="00414E83" w:rsidRPr="009118AB">
        <w:rPr>
          <w:i/>
          <w:iCs/>
        </w:rPr>
        <w:t>ter</w:t>
      </w:r>
      <w:r w:rsidR="00414E83" w:rsidRPr="009118AB">
        <w:t xml:space="preserve">/3] </w:t>
      </w:r>
      <w:r w:rsidR="000F23EB" w:rsidRPr="009118AB">
        <w:t>erwähnt zugelassen sind, unterliegen]</w:t>
      </w:r>
      <w:r w:rsidRPr="009118AB">
        <w:t xml:space="preserve"> gemäß Artikel 179/1 nach den auf die in Artikel 227 </w:t>
      </w:r>
      <w:r w:rsidR="00D67EB8" w:rsidRPr="009118AB">
        <w:t>Nr. </w:t>
      </w:r>
      <w:r w:rsidRPr="009118AB">
        <w:t xml:space="preserve">2 erwähnten Gebietsfremden anwendbaren Regeln der Steuer der Gebietsfremden für das Steuerjahr, das sich auf einen Besteuerungszeitraum bezieht, in dem sie </w:t>
      </w:r>
      <w:r w:rsidR="00414E83" w:rsidRPr="009118AB">
        <w:t>[in Anwendung von Artikel 194</w:t>
      </w:r>
      <w:r w:rsidR="00414E83" w:rsidRPr="009118AB">
        <w:rPr>
          <w:i/>
          <w:iCs/>
        </w:rPr>
        <w:t>ter</w:t>
      </w:r>
      <w:r w:rsidR="00414E83" w:rsidRPr="009118AB">
        <w:t>, 194</w:t>
      </w:r>
      <w:r w:rsidR="00414E83" w:rsidRPr="009118AB">
        <w:rPr>
          <w:i/>
          <w:iCs/>
        </w:rPr>
        <w:t>ter</w:t>
      </w:r>
      <w:r w:rsidR="00414E83" w:rsidRPr="009118AB">
        <w:t>/1 oder 194</w:t>
      </w:r>
      <w:r w:rsidR="00414E83" w:rsidRPr="009118AB">
        <w:rPr>
          <w:i/>
          <w:iCs/>
        </w:rPr>
        <w:t>ter</w:t>
      </w:r>
      <w:r w:rsidR="00414E83" w:rsidRPr="009118AB">
        <w:t>/3</w:t>
      </w:r>
      <w:r w:rsidR="002E2410" w:rsidRPr="009118AB">
        <w:t>]</w:t>
      </w:r>
      <w:r w:rsidRPr="009118AB">
        <w:t xml:space="preserve"> ein Rahmenübereinkommen geschlossen haben, und für die drei darauf folgenden Steuerjahre.]</w:t>
      </w:r>
    </w:p>
    <w:p w14:paraId="61673C53" w14:textId="77777777" w:rsidR="00EA2EB8" w:rsidRPr="009118AB" w:rsidRDefault="00EA2EB8" w:rsidP="00EA2EB8">
      <w:pPr>
        <w:autoSpaceDE w:val="0"/>
        <w:autoSpaceDN w:val="0"/>
        <w:adjustRightInd w:val="0"/>
        <w:ind w:firstLine="709"/>
        <w:jc w:val="both"/>
      </w:pPr>
    </w:p>
    <w:p w14:paraId="2CF6331F" w14:textId="09EC5AD6" w:rsidR="00EA2EB8" w:rsidRPr="009118AB" w:rsidRDefault="00EA2EB8" w:rsidP="00414E83">
      <w:pPr>
        <w:autoSpaceDE w:val="0"/>
        <w:autoSpaceDN w:val="0"/>
        <w:adjustRightInd w:val="0"/>
        <w:jc w:val="both"/>
      </w:pPr>
      <w:r w:rsidRPr="009118AB">
        <w:rPr>
          <w:i/>
        </w:rPr>
        <w:t>[</w:t>
      </w:r>
      <w:r w:rsidR="00D67EB8" w:rsidRPr="009118AB">
        <w:rPr>
          <w:i/>
        </w:rPr>
        <w:t>Art. </w:t>
      </w:r>
      <w:r w:rsidRPr="009118AB">
        <w:rPr>
          <w:i/>
        </w:rPr>
        <w:t xml:space="preserve">227/1 eingefügt durch </w:t>
      </w:r>
      <w:r w:rsidR="00D67EB8" w:rsidRPr="009118AB">
        <w:rPr>
          <w:i/>
        </w:rPr>
        <w:t>Art. </w:t>
      </w:r>
      <w:r w:rsidRPr="009118AB">
        <w:rPr>
          <w:i/>
        </w:rPr>
        <w:t xml:space="preserve">7 des </w:t>
      </w:r>
      <w:r w:rsidR="00282021" w:rsidRPr="009118AB">
        <w:rPr>
          <w:i/>
        </w:rPr>
        <w:t>G</w:t>
      </w:r>
      <w:r w:rsidRPr="009118AB">
        <w:rPr>
          <w:i/>
        </w:rPr>
        <w:t>. vom 25. Dezember 2016 (IV) (B.S. vom 17. Januar 2017)</w:t>
      </w:r>
      <w:r w:rsidR="00D67EB8" w:rsidRPr="009118AB">
        <w:rPr>
          <w:i/>
        </w:rPr>
        <w:t> - </w:t>
      </w:r>
      <w:r w:rsidRPr="009118AB">
        <w:rPr>
          <w:i/>
        </w:rPr>
        <w:t>in Kraft ab dem 17. Januar 2017 und anwendbar auf Rahmenüberein</w:t>
      </w:r>
      <w:r w:rsidR="00282021" w:rsidRPr="009118AB">
        <w:rPr>
          <w:i/>
        </w:rPr>
        <w:softHyphen/>
      </w:r>
      <w:r w:rsidRPr="009118AB">
        <w:rPr>
          <w:i/>
        </w:rPr>
        <w:t xml:space="preserve">kommen, die ab </w:t>
      </w:r>
      <w:r w:rsidR="00C203F9" w:rsidRPr="009118AB">
        <w:rPr>
          <w:i/>
        </w:rPr>
        <w:t xml:space="preserve">dem 1. Februar 2017 </w:t>
      </w:r>
      <w:r w:rsidRPr="009118AB">
        <w:rPr>
          <w:i/>
        </w:rPr>
        <w:t>unterzeichnet werden</w:t>
      </w:r>
      <w:r w:rsidR="00D67EB8" w:rsidRPr="009118AB">
        <w:rPr>
          <w:i/>
        </w:rPr>
        <w:t> - </w:t>
      </w:r>
      <w:r w:rsidR="002E2410" w:rsidRPr="009118AB">
        <w:rPr>
          <w:i/>
        </w:rPr>
        <w:t xml:space="preserve">und abgeändert durch </w:t>
      </w:r>
      <w:r w:rsidR="00D67EB8" w:rsidRPr="009118AB">
        <w:rPr>
          <w:i/>
        </w:rPr>
        <w:t>Art. </w:t>
      </w:r>
      <w:r w:rsidR="002E2410" w:rsidRPr="009118AB">
        <w:rPr>
          <w:i/>
        </w:rPr>
        <w:t>13</w:t>
      </w:r>
      <w:r w:rsidR="002E2410" w:rsidRPr="009118AB">
        <w:rPr>
          <w:i/>
          <w:iCs/>
        </w:rPr>
        <w:t xml:space="preserve"> des G. vom 25. Dezember 2017 (II) (B.S. vom 29. Dezember 2017)</w:t>
      </w:r>
      <w:r w:rsidR="00414E83" w:rsidRPr="009118AB">
        <w:rPr>
          <w:i/>
          <w:iCs/>
        </w:rPr>
        <w:t xml:space="preserve"> und </w:t>
      </w:r>
      <w:r w:rsidR="00D67EB8" w:rsidRPr="009118AB">
        <w:rPr>
          <w:i/>
          <w:iCs/>
        </w:rPr>
        <w:t>Art. </w:t>
      </w:r>
      <w:r w:rsidR="00414E83" w:rsidRPr="009118AB">
        <w:rPr>
          <w:i/>
          <w:iCs/>
        </w:rPr>
        <w:t xml:space="preserve">6 </w:t>
      </w:r>
      <w:r w:rsidR="00D67EB8" w:rsidRPr="009118AB">
        <w:rPr>
          <w:i/>
          <w:iCs/>
        </w:rPr>
        <w:t>Nr. </w:t>
      </w:r>
      <w:r w:rsidR="00414E83" w:rsidRPr="009118AB">
        <w:rPr>
          <w:i/>
          <w:iCs/>
        </w:rPr>
        <w:t>1 und 2 des G. vom 29. März 2019 (B.S. vom 16. April 2019)</w:t>
      </w:r>
      <w:r w:rsidR="00D67EB8" w:rsidRPr="009118AB">
        <w:rPr>
          <w:i/>
          <w:iCs/>
        </w:rPr>
        <w:t> - </w:t>
      </w:r>
      <w:r w:rsidR="00414E83" w:rsidRPr="009118AB">
        <w:rPr>
          <w:i/>
          <w:iCs/>
        </w:rPr>
        <w:t xml:space="preserve">in Kraft am 16. April 2014 und anwendbar </w:t>
      </w:r>
      <w:r w:rsidR="00414E83" w:rsidRPr="009118AB">
        <w:rPr>
          <w:i/>
        </w:rPr>
        <w:t xml:space="preserve">auf Rahmenübereinkommen, die ab dem ersten Tag des Monats unterzeichnet werden, der auf die Veröffentlichung einer Bekanntmachung des Finanzministers im </w:t>
      </w:r>
      <w:r w:rsidR="00414E83" w:rsidRPr="009118AB">
        <w:rPr>
          <w:i/>
          <w:iCs/>
        </w:rPr>
        <w:t>Belgischen Staatsblatt</w:t>
      </w:r>
      <w:r w:rsidR="00414E83" w:rsidRPr="009118AB">
        <w:rPr>
          <w:i/>
        </w:rPr>
        <w:t xml:space="preserve"> folgt, in der mitgeteilt wird, dass die beiden Bedingungen erfüllt sind</w:t>
      </w:r>
      <w:r w:rsidR="00FD68E8" w:rsidRPr="009118AB">
        <w:rPr>
          <w:i/>
        </w:rPr>
        <w:t> -]</w:t>
      </w:r>
    </w:p>
    <w:p w14:paraId="7C13E6A1" w14:textId="14D67DDE" w:rsidR="00477B8F" w:rsidRPr="009118AB" w:rsidRDefault="00477B8F" w:rsidP="00EA2EB8">
      <w:pPr>
        <w:autoSpaceDE w:val="0"/>
        <w:autoSpaceDN w:val="0"/>
        <w:adjustRightInd w:val="0"/>
        <w:jc w:val="center"/>
      </w:pPr>
      <w:r w:rsidRPr="009118AB">
        <w:br w:type="page"/>
      </w:r>
      <w:r w:rsidR="004C080A" w:rsidRPr="009118AB">
        <w:rPr>
          <w:b/>
          <w:bCs/>
        </w:rPr>
        <w:lastRenderedPageBreak/>
        <w:t>KAPITEL </w:t>
      </w:r>
      <w:r w:rsidR="007828ED" w:rsidRPr="009118AB">
        <w:rPr>
          <w:b/>
          <w:bCs/>
        </w:rPr>
        <w:t>2</w:t>
      </w:r>
      <w:r w:rsidR="00D67EB8" w:rsidRPr="009118AB">
        <w:rPr>
          <w:b/>
          <w:bCs/>
        </w:rPr>
        <w:t> - </w:t>
      </w:r>
      <w:r w:rsidRPr="009118AB">
        <w:rPr>
          <w:i/>
          <w:iCs/>
        </w:rPr>
        <w:t>Besteuerungsgrundlage</w:t>
      </w:r>
    </w:p>
    <w:p w14:paraId="22839B70" w14:textId="77777777" w:rsidR="00477B8F" w:rsidRPr="009118AB" w:rsidRDefault="00477B8F" w:rsidP="00477B8F">
      <w:pPr>
        <w:autoSpaceDE w:val="0"/>
        <w:autoSpaceDN w:val="0"/>
        <w:adjustRightInd w:val="0"/>
        <w:jc w:val="center"/>
      </w:pPr>
    </w:p>
    <w:p w14:paraId="2DEECF5C" w14:textId="77777777" w:rsidR="00477B8F" w:rsidRPr="009118AB" w:rsidRDefault="00477B8F" w:rsidP="00477B8F">
      <w:pPr>
        <w:autoSpaceDE w:val="0"/>
        <w:autoSpaceDN w:val="0"/>
        <w:adjustRightInd w:val="0"/>
        <w:jc w:val="center"/>
      </w:pPr>
    </w:p>
    <w:p w14:paraId="3D95D4B0" w14:textId="486DECFA" w:rsidR="00477B8F" w:rsidRPr="009118AB" w:rsidRDefault="00477B8F" w:rsidP="00477B8F">
      <w:pPr>
        <w:autoSpaceDE w:val="0"/>
        <w:autoSpaceDN w:val="0"/>
        <w:adjustRightInd w:val="0"/>
        <w:jc w:val="center"/>
      </w:pPr>
      <w:r w:rsidRPr="009118AB">
        <w:rPr>
          <w:i/>
          <w:iCs/>
        </w:rPr>
        <w:t>Abschnitt </w:t>
      </w:r>
      <w:r w:rsidR="00D74862" w:rsidRPr="009118AB">
        <w:rPr>
          <w:i/>
          <w:iCs/>
        </w:rPr>
        <w:t>1</w:t>
      </w:r>
      <w:r w:rsidR="00D67EB8" w:rsidRPr="009118AB">
        <w:t> - </w:t>
      </w:r>
      <w:r w:rsidRPr="009118AB">
        <w:t>Steuerpflichtige Einkünfte</w:t>
      </w:r>
    </w:p>
    <w:p w14:paraId="380D3CBA" w14:textId="77777777" w:rsidR="00477B8F" w:rsidRPr="009118AB" w:rsidRDefault="00477B8F" w:rsidP="00477B8F">
      <w:pPr>
        <w:autoSpaceDE w:val="0"/>
        <w:autoSpaceDN w:val="0"/>
        <w:adjustRightInd w:val="0"/>
        <w:jc w:val="center"/>
      </w:pPr>
    </w:p>
    <w:p w14:paraId="6EDF8EC6" w14:textId="77777777" w:rsidR="00477B8F" w:rsidRPr="009118AB" w:rsidRDefault="00477B8F" w:rsidP="00477B8F">
      <w:pPr>
        <w:autoSpaceDE w:val="0"/>
        <w:autoSpaceDN w:val="0"/>
        <w:adjustRightInd w:val="0"/>
        <w:jc w:val="both"/>
      </w:pPr>
    </w:p>
    <w:p w14:paraId="11752EA7" w14:textId="6F894AFE" w:rsidR="00820612" w:rsidRPr="009118AB" w:rsidRDefault="00477B8F" w:rsidP="00820612">
      <w:pPr>
        <w:autoSpaceDE w:val="0"/>
        <w:autoSpaceDN w:val="0"/>
        <w:adjustRightInd w:val="0"/>
        <w:jc w:val="both"/>
        <w:rPr>
          <w:iCs/>
        </w:rPr>
      </w:pPr>
      <w:r w:rsidRPr="009118AB">
        <w:tab/>
      </w:r>
      <w:r w:rsidR="00D67EB8" w:rsidRPr="009118AB">
        <w:rPr>
          <w:b/>
          <w:bCs/>
        </w:rPr>
        <w:t>Art. </w:t>
      </w:r>
      <w:r w:rsidRPr="009118AB">
        <w:rPr>
          <w:b/>
          <w:bCs/>
        </w:rPr>
        <w:t>228</w:t>
      </w:r>
      <w:r w:rsidR="00D67EB8" w:rsidRPr="009118AB">
        <w:t> - </w:t>
      </w:r>
      <w:r w:rsidR="00D67EB8" w:rsidRPr="009118AB">
        <w:rPr>
          <w:iCs/>
        </w:rPr>
        <w:t>§ </w:t>
      </w:r>
      <w:r w:rsidR="00820612" w:rsidRPr="009118AB">
        <w:rPr>
          <w:iCs/>
        </w:rPr>
        <w:t>1</w:t>
      </w:r>
      <w:r w:rsidR="00D67EB8" w:rsidRPr="009118AB">
        <w:rPr>
          <w:iCs/>
        </w:rPr>
        <w:t> - </w:t>
      </w:r>
      <w:r w:rsidR="00820612" w:rsidRPr="009118AB">
        <w:rPr>
          <w:iCs/>
        </w:rPr>
        <w:t xml:space="preserve">Die Steuer wird </w:t>
      </w:r>
      <w:r w:rsidR="00E42B3C" w:rsidRPr="009118AB">
        <w:rPr>
          <w:iCs/>
        </w:rPr>
        <w:t>[…]</w:t>
      </w:r>
      <w:r w:rsidR="00820612" w:rsidRPr="009118AB">
        <w:rPr>
          <w:iCs/>
        </w:rPr>
        <w:t xml:space="preserve"> auf Einkünfte erhoben, die in Belgien erzielt oder bezogen werden und steuerpflichtig sind.</w:t>
      </w:r>
    </w:p>
    <w:p w14:paraId="578B85B9" w14:textId="77777777" w:rsidR="00820612" w:rsidRPr="009118AB" w:rsidRDefault="00820612" w:rsidP="00820612">
      <w:pPr>
        <w:autoSpaceDE w:val="0"/>
        <w:autoSpaceDN w:val="0"/>
        <w:adjustRightInd w:val="0"/>
        <w:jc w:val="both"/>
        <w:rPr>
          <w:iCs/>
        </w:rPr>
      </w:pPr>
    </w:p>
    <w:p w14:paraId="1E95E7DF" w14:textId="30F2981D" w:rsidR="00820612" w:rsidRPr="009118AB" w:rsidRDefault="00D7436F" w:rsidP="00820612">
      <w:pPr>
        <w:autoSpaceDE w:val="0"/>
        <w:autoSpaceDN w:val="0"/>
        <w:adjustRightInd w:val="0"/>
        <w:jc w:val="both"/>
        <w:rPr>
          <w:iCs/>
        </w:rPr>
      </w:pPr>
      <w:r w:rsidRPr="009118AB">
        <w:rPr>
          <w:iCs/>
        </w:rPr>
        <w:tab/>
      </w:r>
      <w:r w:rsidR="00D67EB8" w:rsidRPr="009118AB">
        <w:rPr>
          <w:iCs/>
        </w:rPr>
        <w:t>§ </w:t>
      </w:r>
      <w:r w:rsidR="00820612" w:rsidRPr="009118AB">
        <w:rPr>
          <w:iCs/>
        </w:rPr>
        <w:t>2</w:t>
      </w:r>
      <w:r w:rsidR="00D67EB8" w:rsidRPr="009118AB">
        <w:rPr>
          <w:iCs/>
        </w:rPr>
        <w:t> - </w:t>
      </w:r>
      <w:r w:rsidR="00E42B3C" w:rsidRPr="009118AB">
        <w:rPr>
          <w:iCs/>
        </w:rPr>
        <w:t>[</w:t>
      </w:r>
      <w:r w:rsidR="00E42B3C" w:rsidRPr="009118AB">
        <w:t xml:space="preserve">In </w:t>
      </w:r>
      <w:r w:rsidR="00D67EB8" w:rsidRPr="009118AB">
        <w:t>§ </w:t>
      </w:r>
      <w:r w:rsidR="00E42B3C" w:rsidRPr="009118AB">
        <w:t>1 erwähnte Einkünfte umfassen:]</w:t>
      </w:r>
    </w:p>
    <w:p w14:paraId="77ED0B6F" w14:textId="77777777" w:rsidR="00820612" w:rsidRPr="009118AB" w:rsidRDefault="00820612" w:rsidP="00820612">
      <w:pPr>
        <w:autoSpaceDE w:val="0"/>
        <w:autoSpaceDN w:val="0"/>
        <w:adjustRightInd w:val="0"/>
        <w:jc w:val="both"/>
        <w:rPr>
          <w:iCs/>
        </w:rPr>
      </w:pPr>
    </w:p>
    <w:p w14:paraId="5BDC8EB8" w14:textId="77777777" w:rsidR="00820612" w:rsidRPr="009118AB" w:rsidRDefault="00D7436F" w:rsidP="00820612">
      <w:pPr>
        <w:autoSpaceDE w:val="0"/>
        <w:autoSpaceDN w:val="0"/>
        <w:adjustRightInd w:val="0"/>
        <w:jc w:val="both"/>
        <w:rPr>
          <w:iCs/>
        </w:rPr>
      </w:pPr>
      <w:r w:rsidRPr="009118AB">
        <w:rPr>
          <w:iCs/>
        </w:rPr>
        <w:tab/>
      </w:r>
      <w:r w:rsidR="00820612" w:rsidRPr="009118AB">
        <w:rPr>
          <w:iCs/>
        </w:rPr>
        <w:t>1. Einkünfte aus in Belgien gelegenen unbeweglichen Gütern,</w:t>
      </w:r>
    </w:p>
    <w:p w14:paraId="375C0A2D" w14:textId="77777777" w:rsidR="00820612" w:rsidRPr="009118AB" w:rsidRDefault="00820612" w:rsidP="00820612">
      <w:pPr>
        <w:autoSpaceDE w:val="0"/>
        <w:autoSpaceDN w:val="0"/>
        <w:adjustRightInd w:val="0"/>
        <w:jc w:val="both"/>
        <w:rPr>
          <w:iCs/>
        </w:rPr>
      </w:pPr>
    </w:p>
    <w:p w14:paraId="60FF3850" w14:textId="2DF9741C" w:rsidR="00820612" w:rsidRPr="009118AB" w:rsidRDefault="00D7436F" w:rsidP="00820612">
      <w:pPr>
        <w:autoSpaceDE w:val="0"/>
        <w:autoSpaceDN w:val="0"/>
        <w:adjustRightInd w:val="0"/>
        <w:jc w:val="both"/>
        <w:rPr>
          <w:iCs/>
        </w:rPr>
      </w:pPr>
      <w:r w:rsidRPr="009118AB">
        <w:rPr>
          <w:iCs/>
        </w:rPr>
        <w:tab/>
      </w:r>
      <w:r w:rsidR="00820612" w:rsidRPr="009118AB">
        <w:rPr>
          <w:iCs/>
        </w:rPr>
        <w:t>2. [Einkünfte aus Kapitalvermögen und beweglichen Gütern</w:t>
      </w:r>
      <w:r w:rsidR="00D67EB8" w:rsidRPr="009118AB">
        <w:rPr>
          <w:iCs/>
        </w:rPr>
        <w:t> - </w:t>
      </w:r>
      <w:r w:rsidR="00820612" w:rsidRPr="009118AB">
        <w:rPr>
          <w:iCs/>
        </w:rPr>
        <w:t>wenn sie in Belgien erzielt oder bezogen werden</w:t>
      </w:r>
      <w:r w:rsidR="00FD68E8" w:rsidRPr="009118AB">
        <w:rPr>
          <w:iCs/>
        </w:rPr>
        <w:t> -,</w:t>
      </w:r>
      <w:r w:rsidR="00820612" w:rsidRPr="009118AB">
        <w:rPr>
          <w:iCs/>
        </w:rPr>
        <w:t xml:space="preserve"> deren Schuldner der Steuer der natürlichen Personen, der Gesellschaftssteuer, der Steuer der juristischen Personen oder der Steuer der Gebietsfremden unterliegt,]</w:t>
      </w:r>
    </w:p>
    <w:p w14:paraId="3A203858" w14:textId="77777777" w:rsidR="00820612" w:rsidRPr="009118AB" w:rsidRDefault="00820612" w:rsidP="00820612">
      <w:pPr>
        <w:autoSpaceDE w:val="0"/>
        <w:autoSpaceDN w:val="0"/>
        <w:adjustRightInd w:val="0"/>
        <w:jc w:val="both"/>
        <w:rPr>
          <w:iCs/>
        </w:rPr>
      </w:pPr>
    </w:p>
    <w:p w14:paraId="011E554D" w14:textId="77777777" w:rsidR="00820612" w:rsidRPr="009118AB" w:rsidRDefault="00D7436F" w:rsidP="00820612">
      <w:pPr>
        <w:autoSpaceDE w:val="0"/>
        <w:autoSpaceDN w:val="0"/>
        <w:adjustRightInd w:val="0"/>
        <w:jc w:val="both"/>
        <w:rPr>
          <w:iCs/>
        </w:rPr>
      </w:pPr>
      <w:r w:rsidRPr="009118AB">
        <w:rPr>
          <w:iCs/>
        </w:rPr>
        <w:tab/>
      </w:r>
      <w:r w:rsidR="00820612" w:rsidRPr="009118AB">
        <w:rPr>
          <w:iCs/>
        </w:rPr>
        <w:t>3. Gewinne, die über die in Artikel 229 erwähnten belgischen Niederlassungen erzielt werden, [einschließlich der Mehrwerte, die auf solche Niederlassungen oder auf Aktiva dieser Niederlassungen festgestellt oder verwirklicht werden,] und Gewinne, selbst nicht über solche Niederlassungen, die erzielt werden:</w:t>
      </w:r>
    </w:p>
    <w:p w14:paraId="03BB0979" w14:textId="77777777" w:rsidR="00820612" w:rsidRPr="009118AB" w:rsidRDefault="00820612" w:rsidP="00820612">
      <w:pPr>
        <w:autoSpaceDE w:val="0"/>
        <w:autoSpaceDN w:val="0"/>
        <w:adjustRightInd w:val="0"/>
        <w:jc w:val="both"/>
        <w:rPr>
          <w:iCs/>
        </w:rPr>
      </w:pPr>
    </w:p>
    <w:p w14:paraId="396717AA"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a)</w:t>
      </w:r>
      <w:r w:rsidR="00820612" w:rsidRPr="009118AB">
        <w:rPr>
          <w:iCs/>
        </w:rPr>
        <w:t xml:space="preserve"> bei Veräußerung oder Vermietung von unbeweglichen Gütern, die in Belgien gelegen sind, und bei Begründung [oder Abtretung] eines Erbpachtrechts oder Erbbaurechts oder von gleichartigen Rechten an unbeweglichen Gütern,</w:t>
      </w:r>
    </w:p>
    <w:p w14:paraId="43039647" w14:textId="77777777" w:rsidR="00820612" w:rsidRPr="009118AB" w:rsidRDefault="00820612" w:rsidP="00820612">
      <w:pPr>
        <w:autoSpaceDE w:val="0"/>
        <w:autoSpaceDN w:val="0"/>
        <w:adjustRightInd w:val="0"/>
        <w:jc w:val="both"/>
        <w:rPr>
          <w:iCs/>
        </w:rPr>
      </w:pPr>
    </w:p>
    <w:p w14:paraId="7BA90140"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b)</w:t>
      </w:r>
      <w:r w:rsidR="00820612" w:rsidRPr="009118AB">
        <w:rPr>
          <w:iCs/>
        </w:rPr>
        <w:t xml:space="preserve"> bei Geschäften, die in Belgien von ausländischen Versicherern getätigt werden, die in Belgien gewöhnlich andere Verträge als Rückversicherungsverträge einholen,</w:t>
      </w:r>
    </w:p>
    <w:p w14:paraId="1DA1DDD4" w14:textId="77777777" w:rsidR="00820612" w:rsidRPr="009118AB" w:rsidRDefault="00820612" w:rsidP="00820612">
      <w:pPr>
        <w:autoSpaceDE w:val="0"/>
        <w:autoSpaceDN w:val="0"/>
        <w:adjustRightInd w:val="0"/>
        <w:jc w:val="both"/>
        <w:rPr>
          <w:iCs/>
        </w:rPr>
      </w:pPr>
    </w:p>
    <w:p w14:paraId="65C7BEF1"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c)</w:t>
      </w:r>
      <w:r w:rsidR="00820612" w:rsidRPr="009118AB">
        <w:rPr>
          <w:iCs/>
        </w:rPr>
        <w:t xml:space="preserve"> [...],</w:t>
      </w:r>
    </w:p>
    <w:p w14:paraId="3AF514D8" w14:textId="77777777" w:rsidR="00820612" w:rsidRPr="009118AB" w:rsidRDefault="00820612" w:rsidP="00820612">
      <w:pPr>
        <w:autoSpaceDE w:val="0"/>
        <w:autoSpaceDN w:val="0"/>
        <w:adjustRightInd w:val="0"/>
        <w:jc w:val="both"/>
        <w:rPr>
          <w:iCs/>
        </w:rPr>
      </w:pPr>
    </w:p>
    <w:p w14:paraId="672D6E85" w14:textId="4E174167" w:rsidR="00820612" w:rsidRPr="009118AB" w:rsidRDefault="00D7436F" w:rsidP="00820612">
      <w:pPr>
        <w:autoSpaceDE w:val="0"/>
        <w:autoSpaceDN w:val="0"/>
        <w:adjustRightInd w:val="0"/>
        <w:jc w:val="both"/>
        <w:rPr>
          <w:iCs/>
        </w:rPr>
      </w:pPr>
      <w:r w:rsidRPr="009118AB">
        <w:rPr>
          <w:i/>
          <w:iCs/>
        </w:rPr>
        <w:tab/>
      </w:r>
      <w:r w:rsidR="00820612" w:rsidRPr="009118AB">
        <w:rPr>
          <w:i/>
          <w:iCs/>
        </w:rPr>
        <w:t>d)</w:t>
      </w:r>
      <w:r w:rsidR="00820612" w:rsidRPr="009118AB">
        <w:rPr>
          <w:iCs/>
        </w:rPr>
        <w:t xml:space="preserve"> [bei Tätigkeiten, die ein in Artikel 227 </w:t>
      </w:r>
      <w:r w:rsidR="00D67EB8" w:rsidRPr="009118AB">
        <w:rPr>
          <w:iCs/>
        </w:rPr>
        <w:t>Nr. </w:t>
      </w:r>
      <w:r w:rsidR="00820612" w:rsidRPr="009118AB">
        <w:rPr>
          <w:iCs/>
        </w:rPr>
        <w:t xml:space="preserve">2 erwähnter Gebietsfremder </w:t>
      </w:r>
      <w:r w:rsidR="00E42B3C" w:rsidRPr="009118AB">
        <w:rPr>
          <w:iCs/>
        </w:rPr>
        <w:t>[</w:t>
      </w:r>
      <w:r w:rsidR="00E42B3C" w:rsidRPr="009118AB">
        <w:t xml:space="preserve">in einer belgischen Niederlassung ausübt, über die ein anderer in Artikel 227 </w:t>
      </w:r>
      <w:r w:rsidR="00D67EB8" w:rsidRPr="009118AB">
        <w:t>Nr. </w:t>
      </w:r>
      <w:r w:rsidR="00E42B3C" w:rsidRPr="009118AB">
        <w:t>2 erwähnter Gebietsfremder verfügt,</w:t>
      </w:r>
      <w:r w:rsidR="00E42B3C" w:rsidRPr="009118AB">
        <w:rPr>
          <w:iCs/>
        </w:rPr>
        <w:t>]</w:t>
      </w:r>
      <w:r w:rsidR="00820612" w:rsidRPr="009118AB">
        <w:rPr>
          <w:iCs/>
        </w:rPr>
        <w:t xml:space="preserve"> und bei der Ausübung eines Mandats oder von Funktionen im Sinne von Artikel 32 Absatz 1 </w:t>
      </w:r>
      <w:r w:rsidR="00D67EB8" w:rsidRPr="009118AB">
        <w:rPr>
          <w:iCs/>
        </w:rPr>
        <w:t>Nr. </w:t>
      </w:r>
      <w:r w:rsidR="00820612" w:rsidRPr="009118AB">
        <w:rPr>
          <w:iCs/>
        </w:rPr>
        <w:t>1 durch diesen Gebietsfremden in einer inländischen Gesellschaft,]</w:t>
      </w:r>
    </w:p>
    <w:p w14:paraId="54F5CC2B" w14:textId="77777777" w:rsidR="00820612" w:rsidRPr="009118AB" w:rsidRDefault="00820612" w:rsidP="00820612">
      <w:pPr>
        <w:autoSpaceDE w:val="0"/>
        <w:autoSpaceDN w:val="0"/>
        <w:adjustRightInd w:val="0"/>
        <w:jc w:val="both"/>
        <w:rPr>
          <w:iCs/>
        </w:rPr>
      </w:pPr>
    </w:p>
    <w:p w14:paraId="74A65E04" w14:textId="3DACB07A" w:rsidR="00820612" w:rsidRPr="009118AB" w:rsidRDefault="00D7436F" w:rsidP="00820612">
      <w:pPr>
        <w:autoSpaceDE w:val="0"/>
        <w:autoSpaceDN w:val="0"/>
        <w:adjustRightInd w:val="0"/>
        <w:jc w:val="both"/>
        <w:rPr>
          <w:iCs/>
        </w:rPr>
      </w:pPr>
      <w:r w:rsidRPr="009118AB">
        <w:rPr>
          <w:i/>
          <w:iCs/>
        </w:rPr>
        <w:tab/>
      </w:r>
      <w:r w:rsidR="00820612" w:rsidRPr="009118AB">
        <w:rPr>
          <w:i/>
          <w:iCs/>
        </w:rPr>
        <w:t>e)</w:t>
      </w:r>
      <w:r w:rsidR="00820612" w:rsidRPr="009118AB">
        <w:rPr>
          <w:iCs/>
        </w:rPr>
        <w:t xml:space="preserve"> [aufgrund der Eigenschaft als Gesellschafter in Gesellschaften, Verbänden oder Vereinigungen, die aufgrund von Artikel 29 </w:t>
      </w:r>
      <w:r w:rsidR="00D67EB8" w:rsidRPr="009118AB">
        <w:rPr>
          <w:iCs/>
        </w:rPr>
        <w:t>§ </w:t>
      </w:r>
      <w:r w:rsidR="00820612" w:rsidRPr="009118AB">
        <w:rPr>
          <w:iCs/>
        </w:rPr>
        <w:t>2 als Vereinigungen ohne Rechtspersönlichkeit gelten,]</w:t>
      </w:r>
    </w:p>
    <w:p w14:paraId="2D71BBD6" w14:textId="77777777" w:rsidR="00820612" w:rsidRPr="009118AB" w:rsidRDefault="00820612" w:rsidP="00820612">
      <w:pPr>
        <w:autoSpaceDE w:val="0"/>
        <w:autoSpaceDN w:val="0"/>
        <w:adjustRightInd w:val="0"/>
        <w:jc w:val="both"/>
        <w:rPr>
          <w:iCs/>
        </w:rPr>
      </w:pPr>
    </w:p>
    <w:p w14:paraId="7F3FC84C" w14:textId="77777777" w:rsidR="00820612" w:rsidRPr="009118AB" w:rsidRDefault="00D7436F" w:rsidP="00820612">
      <w:pPr>
        <w:autoSpaceDE w:val="0"/>
        <w:autoSpaceDN w:val="0"/>
        <w:adjustRightInd w:val="0"/>
        <w:jc w:val="both"/>
        <w:rPr>
          <w:iCs/>
        </w:rPr>
      </w:pPr>
      <w:r w:rsidRPr="009118AB">
        <w:rPr>
          <w:iCs/>
        </w:rPr>
        <w:tab/>
      </w:r>
      <w:r w:rsidR="00820612" w:rsidRPr="009118AB">
        <w:rPr>
          <w:iCs/>
        </w:rPr>
        <w:t>[3</w:t>
      </w:r>
      <w:r w:rsidR="00820612" w:rsidRPr="009118AB">
        <w:rPr>
          <w:i/>
          <w:iCs/>
        </w:rPr>
        <w:t>bis</w:t>
      </w:r>
      <w:r w:rsidR="00820612" w:rsidRPr="009118AB">
        <w:rPr>
          <w:iCs/>
        </w:rPr>
        <w:t>. folgende Gewinne, die über eine in Artikel 229 erwähnte belgische Nieder</w:t>
      </w:r>
      <w:r w:rsidR="00820612" w:rsidRPr="009118AB">
        <w:rPr>
          <w:iCs/>
        </w:rPr>
        <w:softHyphen/>
        <w:t>lassung erzielt werden:</w:t>
      </w:r>
    </w:p>
    <w:p w14:paraId="4CF3F75B" w14:textId="77777777" w:rsidR="00820612" w:rsidRPr="009118AB" w:rsidRDefault="00820612" w:rsidP="00820612">
      <w:pPr>
        <w:autoSpaceDE w:val="0"/>
        <w:autoSpaceDN w:val="0"/>
        <w:adjustRightInd w:val="0"/>
        <w:jc w:val="both"/>
        <w:rPr>
          <w:iCs/>
        </w:rPr>
      </w:pPr>
    </w:p>
    <w:p w14:paraId="46653FB1" w14:textId="77777777" w:rsidR="00820612" w:rsidRPr="009118AB" w:rsidRDefault="00D7436F" w:rsidP="00820612">
      <w:pPr>
        <w:autoSpaceDE w:val="0"/>
        <w:autoSpaceDN w:val="0"/>
        <w:adjustRightInd w:val="0"/>
        <w:jc w:val="both"/>
        <w:rPr>
          <w:iCs/>
        </w:rPr>
      </w:pPr>
      <w:r w:rsidRPr="009118AB">
        <w:rPr>
          <w:iCs/>
        </w:rPr>
        <w:tab/>
      </w:r>
      <w:r w:rsidR="00820612" w:rsidRPr="009118AB">
        <w:rPr>
          <w:iCs/>
        </w:rPr>
        <w:t>- Verringerungen oder Herabsetzungen aus gleich welchem Grund des Betrags der in der belgischen Niederlassung bestehenden steuerfreien Rücklagen und der Betrag der steuerfreien Rücklagen, sofern diese anlässlich der Verlegung des Sitzes einer ausländischen Gesellschaft nach Belgien von der Gesellschaft, die infolge der Sitzverlegung eine inländische Gesellschaft geworden ist, nicht übernommen werden,</w:t>
      </w:r>
    </w:p>
    <w:p w14:paraId="354936C7" w14:textId="77777777" w:rsidR="00820612" w:rsidRPr="009118AB" w:rsidRDefault="00820612" w:rsidP="00820612">
      <w:pPr>
        <w:autoSpaceDE w:val="0"/>
        <w:autoSpaceDN w:val="0"/>
        <w:adjustRightInd w:val="0"/>
        <w:jc w:val="both"/>
        <w:rPr>
          <w:iCs/>
        </w:rPr>
      </w:pPr>
    </w:p>
    <w:p w14:paraId="54C74316" w14:textId="5108423D" w:rsidR="00820612" w:rsidRPr="009118AB" w:rsidRDefault="00D7436F" w:rsidP="00820612">
      <w:pPr>
        <w:autoSpaceDE w:val="0"/>
        <w:autoSpaceDN w:val="0"/>
        <w:adjustRightInd w:val="0"/>
        <w:jc w:val="both"/>
        <w:rPr>
          <w:iCs/>
        </w:rPr>
      </w:pPr>
      <w:r w:rsidRPr="009118AB">
        <w:rPr>
          <w:iCs/>
        </w:rPr>
        <w:lastRenderedPageBreak/>
        <w:tab/>
      </w:r>
      <w:r w:rsidR="00820612" w:rsidRPr="009118AB">
        <w:rPr>
          <w:iCs/>
        </w:rPr>
        <w:t xml:space="preserve">- als verwirklichte Mehr- oder Minderwerte alle Mehr- oder Minderwerte, die festgelegt werden, wenn </w:t>
      </w:r>
      <w:r w:rsidR="00365503" w:rsidRPr="009118AB">
        <w:rPr>
          <w:iCs/>
        </w:rPr>
        <w:t>[</w:t>
      </w:r>
      <w:r w:rsidR="00365503" w:rsidRPr="009118AB">
        <w:t>durch die Hauptniederlassung oder den Geschäftsführungs- oder Verwaltungssitz</w:t>
      </w:r>
      <w:r w:rsidR="00365503" w:rsidRPr="009118AB">
        <w:rPr>
          <w:iCs/>
        </w:rPr>
        <w:t>]</w:t>
      </w:r>
      <w:r w:rsidR="00820612" w:rsidRPr="009118AB">
        <w:rPr>
          <w:iCs/>
        </w:rPr>
        <w:t xml:space="preserve"> aus dem Vermögen der Niederlassung Bestandteile entnommen werden, die nicht in der Niederlassung belassen werden,]</w:t>
      </w:r>
    </w:p>
    <w:p w14:paraId="7B65982D" w14:textId="77777777" w:rsidR="00820612" w:rsidRPr="009118AB" w:rsidRDefault="00820612" w:rsidP="00820612">
      <w:pPr>
        <w:autoSpaceDE w:val="0"/>
        <w:autoSpaceDN w:val="0"/>
        <w:adjustRightInd w:val="0"/>
        <w:jc w:val="both"/>
        <w:rPr>
          <w:iCs/>
        </w:rPr>
      </w:pPr>
    </w:p>
    <w:p w14:paraId="038BF9DA" w14:textId="4CE9581A" w:rsidR="00820612" w:rsidRPr="009118AB" w:rsidRDefault="00D7436F" w:rsidP="00820612">
      <w:pPr>
        <w:autoSpaceDE w:val="0"/>
        <w:autoSpaceDN w:val="0"/>
        <w:adjustRightInd w:val="0"/>
        <w:jc w:val="both"/>
        <w:rPr>
          <w:iCs/>
        </w:rPr>
      </w:pPr>
      <w:r w:rsidRPr="009118AB">
        <w:rPr>
          <w:iCs/>
        </w:rPr>
        <w:tab/>
      </w:r>
      <w:r w:rsidR="00820612" w:rsidRPr="009118AB">
        <w:rPr>
          <w:iCs/>
        </w:rPr>
        <w:t xml:space="preserve">4. in Artikel 23 </w:t>
      </w:r>
      <w:r w:rsidR="00D67EB8" w:rsidRPr="009118AB">
        <w:rPr>
          <w:iCs/>
        </w:rPr>
        <w:t>§ </w:t>
      </w:r>
      <w:r w:rsidR="00820612" w:rsidRPr="009118AB">
        <w:rPr>
          <w:iCs/>
        </w:rPr>
        <w:t xml:space="preserve">1 </w:t>
      </w:r>
      <w:r w:rsidR="00D67EB8" w:rsidRPr="009118AB">
        <w:rPr>
          <w:iCs/>
        </w:rPr>
        <w:t>Nr. </w:t>
      </w:r>
      <w:r w:rsidR="00820612" w:rsidRPr="009118AB">
        <w:rPr>
          <w:iCs/>
        </w:rPr>
        <w:t>2 erwähnte Profite aus einer in Belgien ausgeübten Tätigkeit,</w:t>
      </w:r>
    </w:p>
    <w:p w14:paraId="2BFCCB48" w14:textId="77777777" w:rsidR="00820612" w:rsidRPr="009118AB" w:rsidRDefault="00820612" w:rsidP="00820612">
      <w:pPr>
        <w:autoSpaceDE w:val="0"/>
        <w:autoSpaceDN w:val="0"/>
        <w:adjustRightInd w:val="0"/>
        <w:jc w:val="both"/>
        <w:rPr>
          <w:iCs/>
        </w:rPr>
      </w:pPr>
    </w:p>
    <w:p w14:paraId="1C0F4DA5" w14:textId="77777777" w:rsidR="00820612" w:rsidRPr="009118AB" w:rsidRDefault="00D7436F" w:rsidP="00820612">
      <w:pPr>
        <w:autoSpaceDE w:val="0"/>
        <w:autoSpaceDN w:val="0"/>
        <w:adjustRightInd w:val="0"/>
        <w:jc w:val="both"/>
        <w:rPr>
          <w:iCs/>
        </w:rPr>
      </w:pPr>
      <w:r w:rsidRPr="009118AB">
        <w:rPr>
          <w:iCs/>
        </w:rPr>
        <w:tab/>
      </w:r>
      <w:r w:rsidR="00820612" w:rsidRPr="009118AB">
        <w:rPr>
          <w:iCs/>
        </w:rPr>
        <w:t>5. Gewinne und Profite, die sich auf eine vorherige selbständige Berufstätigkeit beziehen, die in Belgien vom Empfänger oder von der Person, deren Rechtsnachfolger er ist, ausgeübt wurde,</w:t>
      </w:r>
    </w:p>
    <w:p w14:paraId="1222672B" w14:textId="77777777" w:rsidR="00820612" w:rsidRPr="009118AB" w:rsidRDefault="00820612" w:rsidP="00820612">
      <w:pPr>
        <w:autoSpaceDE w:val="0"/>
        <w:autoSpaceDN w:val="0"/>
        <w:adjustRightInd w:val="0"/>
        <w:jc w:val="both"/>
        <w:rPr>
          <w:iCs/>
        </w:rPr>
      </w:pPr>
    </w:p>
    <w:p w14:paraId="4CDCA740" w14:textId="40CE997F" w:rsidR="00D7436F" w:rsidRPr="009118AB" w:rsidRDefault="00D7436F" w:rsidP="00D7436F">
      <w:pPr>
        <w:autoSpaceDE w:val="0"/>
        <w:autoSpaceDN w:val="0"/>
        <w:adjustRightInd w:val="0"/>
        <w:jc w:val="both"/>
      </w:pPr>
      <w:r w:rsidRPr="009118AB">
        <w:tab/>
        <w:t>6. [</w:t>
      </w:r>
      <w:r w:rsidR="00E42B3C" w:rsidRPr="009118AB">
        <w:t xml:space="preserve">in Artikel 23 </w:t>
      </w:r>
      <w:r w:rsidR="00D67EB8" w:rsidRPr="009118AB">
        <w:t>§ </w:t>
      </w:r>
      <w:r w:rsidR="00E42B3C" w:rsidRPr="009118AB">
        <w:t xml:space="preserve">1 </w:t>
      </w:r>
      <w:r w:rsidR="00D67EB8" w:rsidRPr="009118AB">
        <w:t>Nr. </w:t>
      </w:r>
      <w:r w:rsidR="00E42B3C" w:rsidRPr="009118AB">
        <w:t>4 erwähnte Entlohnungen direkt oder indirekt zu Lasten:]</w:t>
      </w:r>
    </w:p>
    <w:p w14:paraId="480918CB" w14:textId="77777777" w:rsidR="00D7436F" w:rsidRPr="009118AB" w:rsidRDefault="00D7436F" w:rsidP="00D7436F">
      <w:pPr>
        <w:autoSpaceDE w:val="0"/>
        <w:autoSpaceDN w:val="0"/>
        <w:adjustRightInd w:val="0"/>
        <w:jc w:val="both"/>
      </w:pPr>
    </w:p>
    <w:p w14:paraId="2008F5B8" w14:textId="77777777" w:rsidR="00D7436F" w:rsidRPr="009118AB" w:rsidRDefault="00D7436F" w:rsidP="00D7436F">
      <w:pPr>
        <w:autoSpaceDE w:val="0"/>
        <w:autoSpaceDN w:val="0"/>
        <w:adjustRightInd w:val="0"/>
        <w:jc w:val="both"/>
      </w:pPr>
      <w:r w:rsidRPr="009118AB">
        <w:tab/>
      </w:r>
      <w:r w:rsidRPr="009118AB">
        <w:rPr>
          <w:i/>
          <w:iCs/>
        </w:rPr>
        <w:t>a)</w:t>
      </w:r>
      <w:r w:rsidRPr="009118AB">
        <w:t xml:space="preserve"> eines Einwohners des Königreichs,</w:t>
      </w:r>
    </w:p>
    <w:p w14:paraId="12C762BF" w14:textId="77777777" w:rsidR="00D7436F" w:rsidRPr="009118AB" w:rsidRDefault="00D7436F" w:rsidP="00D7436F">
      <w:pPr>
        <w:autoSpaceDE w:val="0"/>
        <w:autoSpaceDN w:val="0"/>
        <w:adjustRightInd w:val="0"/>
        <w:jc w:val="both"/>
      </w:pPr>
    </w:p>
    <w:p w14:paraId="0623F722" w14:textId="238D9EB7" w:rsidR="00D7436F" w:rsidRPr="009118AB" w:rsidRDefault="00D7436F" w:rsidP="00D7436F">
      <w:pPr>
        <w:autoSpaceDE w:val="0"/>
        <w:autoSpaceDN w:val="0"/>
        <w:adjustRightInd w:val="0"/>
        <w:jc w:val="both"/>
      </w:pPr>
      <w:r w:rsidRPr="009118AB">
        <w:tab/>
      </w:r>
      <w:r w:rsidRPr="009118AB">
        <w:rPr>
          <w:i/>
          <w:iCs/>
        </w:rPr>
        <w:t>b)</w:t>
      </w:r>
      <w:r w:rsidRPr="009118AB">
        <w:t xml:space="preserve"> einer inländischen Gesellschaft oder einer Vereinigung, Niederlassung oder Einrichtung, deren </w:t>
      </w:r>
      <w:r w:rsidR="002700C6" w:rsidRPr="009118AB">
        <w:t>[…]</w:t>
      </w:r>
      <w:r w:rsidRPr="009118AB">
        <w:t xml:space="preserve"> Hauptniederlassung oder Geschäftsführungs- oder Verwaltungssitz in Belgien liegt,</w:t>
      </w:r>
    </w:p>
    <w:p w14:paraId="2CCC7A3E" w14:textId="77777777" w:rsidR="00D7436F" w:rsidRPr="009118AB" w:rsidRDefault="00D7436F" w:rsidP="00D7436F">
      <w:pPr>
        <w:autoSpaceDE w:val="0"/>
        <w:autoSpaceDN w:val="0"/>
        <w:adjustRightInd w:val="0"/>
        <w:jc w:val="both"/>
      </w:pPr>
    </w:p>
    <w:p w14:paraId="3B7A5A6A" w14:textId="77777777" w:rsidR="00D7436F" w:rsidRPr="009118AB" w:rsidRDefault="00D7436F" w:rsidP="00D7436F">
      <w:pPr>
        <w:autoSpaceDE w:val="0"/>
        <w:autoSpaceDN w:val="0"/>
        <w:adjustRightInd w:val="0"/>
        <w:jc w:val="both"/>
      </w:pPr>
      <w:r w:rsidRPr="009118AB">
        <w:tab/>
      </w:r>
      <w:r w:rsidRPr="009118AB">
        <w:rPr>
          <w:i/>
          <w:iCs/>
        </w:rPr>
        <w:t>c)</w:t>
      </w:r>
      <w:r w:rsidRPr="009118AB">
        <w:t xml:space="preserve"> des Belgischen Staates, der belgischen Gemeinschaften, Regionen, Provinzen, Agglomerationen, Gemeindeföderationen und Gemeinden,</w:t>
      </w:r>
    </w:p>
    <w:p w14:paraId="5FEB6FB2" w14:textId="77777777" w:rsidR="00D7436F" w:rsidRPr="009118AB" w:rsidRDefault="00D7436F" w:rsidP="00D7436F">
      <w:pPr>
        <w:autoSpaceDE w:val="0"/>
        <w:autoSpaceDN w:val="0"/>
        <w:adjustRightInd w:val="0"/>
        <w:jc w:val="both"/>
      </w:pPr>
    </w:p>
    <w:p w14:paraId="6628DBAD" w14:textId="77777777" w:rsidR="00D7436F" w:rsidRPr="009118AB" w:rsidRDefault="00D7436F" w:rsidP="00D7436F">
      <w:pPr>
        <w:autoSpaceDE w:val="0"/>
        <w:autoSpaceDN w:val="0"/>
        <w:adjustRightInd w:val="0"/>
        <w:jc w:val="both"/>
      </w:pPr>
      <w:r w:rsidRPr="009118AB">
        <w:tab/>
      </w:r>
      <w:r w:rsidRPr="009118AB">
        <w:rPr>
          <w:i/>
          <w:iCs/>
        </w:rPr>
        <w:t>d)</w:t>
      </w:r>
      <w:r w:rsidRPr="009118AB">
        <w:t xml:space="preserve"> </w:t>
      </w:r>
      <w:r w:rsidR="00E42B3C" w:rsidRPr="009118AB">
        <w:t>[einer belgischen Niederlassung, über die ein in Artikel 227 erwähnter Gebietsfremder verfügt,]</w:t>
      </w:r>
    </w:p>
    <w:p w14:paraId="488057C9" w14:textId="77777777" w:rsidR="00D7436F" w:rsidRPr="009118AB" w:rsidRDefault="00D7436F" w:rsidP="00D7436F">
      <w:pPr>
        <w:autoSpaceDE w:val="0"/>
        <w:autoSpaceDN w:val="0"/>
        <w:adjustRightInd w:val="0"/>
        <w:jc w:val="both"/>
      </w:pPr>
    </w:p>
    <w:p w14:paraId="7EB48EFC" w14:textId="434C4FFD" w:rsidR="00D7436F" w:rsidRPr="009118AB" w:rsidRDefault="00D7436F" w:rsidP="00D7436F">
      <w:pPr>
        <w:autoSpaceDE w:val="0"/>
        <w:autoSpaceDN w:val="0"/>
        <w:adjustRightInd w:val="0"/>
        <w:jc w:val="both"/>
        <w:rPr>
          <w:iCs/>
        </w:rPr>
      </w:pPr>
      <w:r w:rsidRPr="009118AB">
        <w:rPr>
          <w:iCs/>
        </w:rPr>
        <w:tab/>
        <w:t xml:space="preserve">7. in Artikel 23 </w:t>
      </w:r>
      <w:r w:rsidR="00D67EB8" w:rsidRPr="009118AB">
        <w:rPr>
          <w:iCs/>
        </w:rPr>
        <w:t>§ </w:t>
      </w:r>
      <w:r w:rsidRPr="009118AB">
        <w:rPr>
          <w:iCs/>
        </w:rPr>
        <w:t xml:space="preserve">1 </w:t>
      </w:r>
      <w:r w:rsidR="00D67EB8" w:rsidRPr="009118AB">
        <w:rPr>
          <w:iCs/>
        </w:rPr>
        <w:t>Nr. </w:t>
      </w:r>
      <w:r w:rsidRPr="009118AB">
        <w:rPr>
          <w:iCs/>
        </w:rPr>
        <w:t>4 erwähnte Entlohnungen zu Lasten eines in Artikel 227 erwähnten Gebietsfremden aufgrund der in Belgien von einem Empfänger ausgeübten Tätigkeit, [der sich für diese Tätigkeit während jedes Zeitraums von zwölf Monaten mehr als hundertdreiundachtzig Tage dort aufhält],</w:t>
      </w:r>
    </w:p>
    <w:p w14:paraId="6FDE58FF" w14:textId="77777777" w:rsidR="00D7436F" w:rsidRPr="009118AB" w:rsidRDefault="00D7436F" w:rsidP="00D7436F">
      <w:pPr>
        <w:autoSpaceDE w:val="0"/>
        <w:autoSpaceDN w:val="0"/>
        <w:adjustRightInd w:val="0"/>
        <w:jc w:val="both"/>
      </w:pPr>
    </w:p>
    <w:p w14:paraId="40092DCA" w14:textId="257E61C4" w:rsidR="00D7436F" w:rsidRPr="009118AB" w:rsidRDefault="00D7436F" w:rsidP="00D7436F">
      <w:pPr>
        <w:jc w:val="both"/>
      </w:pPr>
      <w:r w:rsidRPr="009118AB">
        <w:tab/>
        <w:t>[7</w:t>
      </w:r>
      <w:r w:rsidRPr="009118AB">
        <w:rPr>
          <w:i/>
        </w:rPr>
        <w:t>bis</w:t>
      </w:r>
      <w:r w:rsidRPr="009118AB">
        <w:t xml:space="preserve">. in Artikel 23 </w:t>
      </w:r>
      <w:r w:rsidR="00D67EB8" w:rsidRPr="009118AB">
        <w:t>§ </w:t>
      </w:r>
      <w:r w:rsidRPr="009118AB">
        <w:t xml:space="preserve">1 </w:t>
      </w:r>
      <w:r w:rsidR="00D67EB8" w:rsidRPr="009118AB">
        <w:t>Nr. </w:t>
      </w:r>
      <w:r w:rsidRPr="009118AB">
        <w:t>5 erwähnte Pensionen, Renten und Zulagen, die gezahlt oder zuerkannt werden:</w:t>
      </w:r>
    </w:p>
    <w:p w14:paraId="3B2E81AA" w14:textId="77777777" w:rsidR="00D7436F" w:rsidRPr="009118AB" w:rsidRDefault="00D7436F" w:rsidP="00D7436F">
      <w:pPr>
        <w:tabs>
          <w:tab w:val="left" w:pos="930"/>
        </w:tabs>
        <w:jc w:val="both"/>
      </w:pPr>
      <w:r w:rsidRPr="009118AB">
        <w:tab/>
      </w:r>
    </w:p>
    <w:p w14:paraId="02312417" w14:textId="77777777" w:rsidR="00D7436F" w:rsidRPr="009118AB" w:rsidRDefault="00D7436F" w:rsidP="00D7436F">
      <w:pPr>
        <w:autoSpaceDE w:val="0"/>
        <w:autoSpaceDN w:val="0"/>
        <w:adjustRightInd w:val="0"/>
        <w:jc w:val="both"/>
      </w:pPr>
      <w:r w:rsidRPr="009118AB">
        <w:tab/>
      </w:r>
      <w:r w:rsidRPr="009118AB">
        <w:rPr>
          <w:i/>
        </w:rPr>
        <w:t>a)</w:t>
      </w:r>
      <w:r w:rsidRPr="009118AB">
        <w:t xml:space="preserve"> von einem Einwohner des Königreichs,</w:t>
      </w:r>
    </w:p>
    <w:p w14:paraId="324224DA" w14:textId="77777777" w:rsidR="00D7436F" w:rsidRPr="009118AB" w:rsidRDefault="00D7436F" w:rsidP="00D7436F">
      <w:pPr>
        <w:autoSpaceDE w:val="0"/>
        <w:autoSpaceDN w:val="0"/>
        <w:adjustRightInd w:val="0"/>
        <w:jc w:val="both"/>
      </w:pPr>
    </w:p>
    <w:p w14:paraId="2E8C9644" w14:textId="276B2F5C" w:rsidR="00D7436F" w:rsidRPr="009118AB" w:rsidRDefault="00D7436F" w:rsidP="00D7436F">
      <w:pPr>
        <w:autoSpaceDE w:val="0"/>
        <w:autoSpaceDN w:val="0"/>
        <w:adjustRightInd w:val="0"/>
        <w:jc w:val="both"/>
      </w:pPr>
      <w:r w:rsidRPr="009118AB">
        <w:tab/>
      </w:r>
      <w:r w:rsidRPr="009118AB">
        <w:rPr>
          <w:i/>
          <w:iCs/>
        </w:rPr>
        <w:t>b)</w:t>
      </w:r>
      <w:r w:rsidRPr="009118AB">
        <w:t xml:space="preserve"> von einer inländischen Gesellschaft oder einer Vereinigung, Niederlassung oder Einrichtung, deren </w:t>
      </w:r>
      <w:r w:rsidR="002700C6" w:rsidRPr="009118AB">
        <w:t>[…]</w:t>
      </w:r>
      <w:r w:rsidRPr="009118AB">
        <w:t xml:space="preserve"> Hauptniederlassung oder Geschäftsführungs- oder Verwaltungssitz in Belgien liegt,</w:t>
      </w:r>
    </w:p>
    <w:p w14:paraId="626D7BBA" w14:textId="77777777" w:rsidR="00D7436F" w:rsidRPr="009118AB" w:rsidRDefault="00D7436F" w:rsidP="00D7436F">
      <w:pPr>
        <w:autoSpaceDE w:val="0"/>
        <w:autoSpaceDN w:val="0"/>
        <w:adjustRightInd w:val="0"/>
        <w:jc w:val="both"/>
      </w:pPr>
    </w:p>
    <w:p w14:paraId="1D308449" w14:textId="77777777" w:rsidR="00D7436F" w:rsidRPr="009118AB" w:rsidRDefault="00D7436F" w:rsidP="00D7436F">
      <w:pPr>
        <w:autoSpaceDE w:val="0"/>
        <w:autoSpaceDN w:val="0"/>
        <w:adjustRightInd w:val="0"/>
        <w:jc w:val="both"/>
      </w:pPr>
      <w:r w:rsidRPr="009118AB">
        <w:tab/>
      </w:r>
      <w:r w:rsidRPr="009118AB">
        <w:rPr>
          <w:i/>
          <w:iCs/>
        </w:rPr>
        <w:t>c)</w:t>
      </w:r>
      <w:r w:rsidRPr="009118AB">
        <w:t xml:space="preserve"> vom Belgischen Staat, von den belgischen Gemeinschaften, Regionen, Provinzen, Agglomerationen, Gemeindeföderationen und Gemeinden,</w:t>
      </w:r>
    </w:p>
    <w:p w14:paraId="694FA5B4" w14:textId="77777777" w:rsidR="00D7436F" w:rsidRPr="009118AB" w:rsidRDefault="00D7436F" w:rsidP="00D7436F">
      <w:pPr>
        <w:autoSpaceDE w:val="0"/>
        <w:autoSpaceDN w:val="0"/>
        <w:adjustRightInd w:val="0"/>
        <w:jc w:val="both"/>
      </w:pPr>
    </w:p>
    <w:p w14:paraId="2F94EBA5" w14:textId="77777777" w:rsidR="00D7436F" w:rsidRPr="009118AB" w:rsidRDefault="00D7436F" w:rsidP="00D7436F">
      <w:pPr>
        <w:autoSpaceDE w:val="0"/>
        <w:autoSpaceDN w:val="0"/>
        <w:adjustRightInd w:val="0"/>
        <w:jc w:val="both"/>
      </w:pPr>
      <w:r w:rsidRPr="009118AB">
        <w:tab/>
      </w:r>
      <w:r w:rsidRPr="009118AB">
        <w:rPr>
          <w:i/>
          <w:iCs/>
        </w:rPr>
        <w:t>d)</w:t>
      </w:r>
      <w:r w:rsidRPr="009118AB">
        <w:t xml:space="preserve"> </w:t>
      </w:r>
      <w:r w:rsidR="00E42B3C" w:rsidRPr="009118AB">
        <w:t>[von einer belgischen Niederlassung, über die ein in Artikel 227 erwähnter Gebietsfremder verfügt,]</w:t>
      </w:r>
    </w:p>
    <w:p w14:paraId="7F20D914" w14:textId="77777777" w:rsidR="00D7436F" w:rsidRPr="009118AB" w:rsidRDefault="00D7436F" w:rsidP="00D7436F">
      <w:pPr>
        <w:autoSpaceDE w:val="0"/>
        <w:autoSpaceDN w:val="0"/>
        <w:adjustRightInd w:val="0"/>
        <w:jc w:val="both"/>
      </w:pPr>
    </w:p>
    <w:p w14:paraId="2A34C0B0" w14:textId="77777777" w:rsidR="00D7436F" w:rsidRPr="009118AB" w:rsidRDefault="00D7436F" w:rsidP="00D7436F">
      <w:pPr>
        <w:autoSpaceDE w:val="0"/>
        <w:autoSpaceDN w:val="0"/>
        <w:adjustRightInd w:val="0"/>
        <w:jc w:val="both"/>
      </w:pPr>
      <w:r w:rsidRPr="009118AB">
        <w:tab/>
      </w:r>
      <w:r w:rsidRPr="009118AB">
        <w:rPr>
          <w:i/>
        </w:rPr>
        <w:t>e)</w:t>
      </w:r>
      <w:r w:rsidRPr="009118AB">
        <w:t xml:space="preserve"> von einem anderen als den vorerwähnten Schuldnern, wenn:</w:t>
      </w:r>
    </w:p>
    <w:p w14:paraId="44D0F37C" w14:textId="77777777" w:rsidR="00D7436F" w:rsidRPr="009118AB" w:rsidRDefault="00D7436F" w:rsidP="00D7436F">
      <w:pPr>
        <w:autoSpaceDE w:val="0"/>
        <w:autoSpaceDN w:val="0"/>
        <w:adjustRightInd w:val="0"/>
        <w:jc w:val="both"/>
      </w:pPr>
    </w:p>
    <w:p w14:paraId="1F19A3D5" w14:textId="77777777" w:rsidR="00D7436F" w:rsidRPr="009118AB" w:rsidRDefault="00D7436F" w:rsidP="00D7436F">
      <w:pPr>
        <w:autoSpaceDE w:val="0"/>
        <w:autoSpaceDN w:val="0"/>
        <w:adjustRightInd w:val="0"/>
        <w:jc w:val="both"/>
      </w:pPr>
      <w:r w:rsidRPr="009118AB">
        <w:tab/>
        <w:t>- die Beiträge oder Prämien, die für die Bildung der Pension, Rente oder Zulage gezahlt wurden, für den Schuldner dieser Beiträge oder Prämien zu einem Steuervorteil im Bereich der Einkommensteuer geführt haben oder</w:t>
      </w:r>
    </w:p>
    <w:p w14:paraId="35AED64E" w14:textId="77777777" w:rsidR="00D7436F" w:rsidRPr="009118AB" w:rsidRDefault="00D7436F" w:rsidP="00D7436F">
      <w:pPr>
        <w:autoSpaceDE w:val="0"/>
        <w:autoSpaceDN w:val="0"/>
        <w:adjustRightInd w:val="0"/>
        <w:jc w:val="both"/>
      </w:pPr>
    </w:p>
    <w:p w14:paraId="0F604375" w14:textId="77777777" w:rsidR="00D7436F" w:rsidRPr="009118AB" w:rsidRDefault="00D7436F" w:rsidP="00D7436F">
      <w:pPr>
        <w:autoSpaceDE w:val="0"/>
        <w:autoSpaceDN w:val="0"/>
        <w:adjustRightInd w:val="0"/>
        <w:jc w:val="both"/>
      </w:pPr>
      <w:r w:rsidRPr="009118AB">
        <w:tab/>
        <w:t>- die Berufstätigkeit, aufgrund deren die Pension, Rente oder Zulage gezahlt oder zuerkannt wird, ganz oder teilweise in Belgien ausgeübt wurde,]</w:t>
      </w:r>
    </w:p>
    <w:p w14:paraId="7B08A02A" w14:textId="77777777" w:rsidR="00820612" w:rsidRPr="009118AB" w:rsidRDefault="00820612" w:rsidP="00820612">
      <w:pPr>
        <w:autoSpaceDE w:val="0"/>
        <w:autoSpaceDN w:val="0"/>
        <w:adjustRightInd w:val="0"/>
        <w:jc w:val="both"/>
        <w:rPr>
          <w:iCs/>
        </w:rPr>
      </w:pPr>
    </w:p>
    <w:p w14:paraId="14F56219" w14:textId="77777777" w:rsidR="00820612" w:rsidRPr="009118AB" w:rsidRDefault="00D7436F" w:rsidP="00820612">
      <w:pPr>
        <w:autoSpaceDE w:val="0"/>
        <w:autoSpaceDN w:val="0"/>
        <w:adjustRightInd w:val="0"/>
        <w:jc w:val="both"/>
        <w:rPr>
          <w:iCs/>
        </w:rPr>
      </w:pPr>
      <w:r w:rsidRPr="009118AB">
        <w:rPr>
          <w:iCs/>
        </w:rPr>
        <w:tab/>
      </w:r>
      <w:r w:rsidR="00820612" w:rsidRPr="009118AB">
        <w:rPr>
          <w:iCs/>
        </w:rPr>
        <w:t>[8. Einkünfte gleich welcher Art aus einer in Belgien von einem Unterhaltungskünstler oder einem Sportler persönlich und in dieser Eigenschaft ausgeübten Tätigkeit, selbst wenn die Einkünfte nicht dem Unterhaltungskünstler oder dem Sportler selbst zuerkannt werden, sondern einer anderen natürlichen oder juristischen Person,]</w:t>
      </w:r>
    </w:p>
    <w:p w14:paraId="24C10FDB" w14:textId="77777777" w:rsidR="00820612" w:rsidRPr="009118AB" w:rsidRDefault="00820612" w:rsidP="00820612">
      <w:pPr>
        <w:autoSpaceDE w:val="0"/>
        <w:autoSpaceDN w:val="0"/>
        <w:adjustRightInd w:val="0"/>
        <w:jc w:val="both"/>
        <w:rPr>
          <w:iCs/>
        </w:rPr>
      </w:pPr>
    </w:p>
    <w:p w14:paraId="1D8A15EF" w14:textId="6AF3F6AC" w:rsidR="00820612" w:rsidRPr="009118AB" w:rsidRDefault="00D7436F" w:rsidP="00820612">
      <w:pPr>
        <w:autoSpaceDE w:val="0"/>
        <w:autoSpaceDN w:val="0"/>
        <w:adjustRightInd w:val="0"/>
        <w:jc w:val="both"/>
        <w:rPr>
          <w:iCs/>
        </w:rPr>
      </w:pPr>
      <w:r w:rsidRPr="009118AB">
        <w:rPr>
          <w:iCs/>
        </w:rPr>
        <w:tab/>
      </w:r>
      <w:r w:rsidR="00820612" w:rsidRPr="009118AB">
        <w:rPr>
          <w:iCs/>
        </w:rPr>
        <w:t xml:space="preserve">[9.] [in [Artikel 90 </w:t>
      </w:r>
      <w:r w:rsidR="001238D6" w:rsidRPr="009118AB">
        <w:rPr>
          <w:iCs/>
        </w:rPr>
        <w:t xml:space="preserve">Absatz 1 </w:t>
      </w:r>
      <w:r w:rsidR="00D67EB8" w:rsidRPr="009118AB">
        <w:rPr>
          <w:iCs/>
        </w:rPr>
        <w:t>Nr. </w:t>
      </w:r>
      <w:r w:rsidR="00820612" w:rsidRPr="009118AB">
        <w:rPr>
          <w:iCs/>
        </w:rPr>
        <w:t>1 bis 1</w:t>
      </w:r>
      <w:r w:rsidR="000F3808" w:rsidRPr="009118AB">
        <w:rPr>
          <w:iCs/>
        </w:rPr>
        <w:t>2</w:t>
      </w:r>
      <w:r w:rsidR="00820612" w:rsidRPr="009118AB">
        <w:rPr>
          <w:iCs/>
        </w:rPr>
        <w:t>] erwähnte verschiedene Einkünfte, wenn es sich handelt um:]</w:t>
      </w:r>
    </w:p>
    <w:p w14:paraId="55782F57" w14:textId="77777777" w:rsidR="00820612" w:rsidRPr="009118AB" w:rsidRDefault="00820612" w:rsidP="00820612">
      <w:pPr>
        <w:autoSpaceDE w:val="0"/>
        <w:autoSpaceDN w:val="0"/>
        <w:adjustRightInd w:val="0"/>
        <w:jc w:val="both"/>
        <w:rPr>
          <w:iCs/>
        </w:rPr>
      </w:pPr>
    </w:p>
    <w:p w14:paraId="7EBCFB50" w14:textId="58AEB269" w:rsidR="00820612" w:rsidRPr="009118AB" w:rsidRDefault="00D7436F" w:rsidP="00820612">
      <w:pPr>
        <w:autoSpaceDE w:val="0"/>
        <w:autoSpaceDN w:val="0"/>
        <w:adjustRightInd w:val="0"/>
        <w:jc w:val="both"/>
        <w:rPr>
          <w:iCs/>
        </w:rPr>
      </w:pPr>
      <w:r w:rsidRPr="009118AB">
        <w:rPr>
          <w:i/>
          <w:iCs/>
        </w:rPr>
        <w:tab/>
      </w:r>
      <w:r w:rsidR="00820612" w:rsidRPr="009118AB">
        <w:rPr>
          <w:i/>
          <w:iCs/>
        </w:rPr>
        <w:t>a)</w:t>
      </w:r>
      <w:r w:rsidR="00820612" w:rsidRPr="009118AB">
        <w:rPr>
          <w:iCs/>
        </w:rPr>
        <w:t xml:space="preserve"> </w:t>
      </w:r>
      <w:r w:rsidR="00D459C6" w:rsidRPr="009118AB">
        <w:rPr>
          <w:iCs/>
        </w:rPr>
        <w:t>[</w:t>
      </w:r>
      <w:r w:rsidR="002C6FAC" w:rsidRPr="009118AB">
        <w:rPr>
          <w:rFonts w:eastAsia="Calibri"/>
          <w:szCs w:val="22"/>
          <w:lang w:eastAsia="en-US"/>
        </w:rPr>
        <w:t xml:space="preserve">in Artikel 90 Absatz 1 </w:t>
      </w:r>
      <w:r w:rsidR="00D67EB8" w:rsidRPr="009118AB">
        <w:rPr>
          <w:rFonts w:eastAsia="Calibri"/>
          <w:szCs w:val="22"/>
          <w:lang w:eastAsia="en-US"/>
        </w:rPr>
        <w:t>Nr. </w:t>
      </w:r>
      <w:r w:rsidR="002C6FAC" w:rsidRPr="009118AB">
        <w:rPr>
          <w:rFonts w:eastAsia="Calibri"/>
          <w:szCs w:val="22"/>
          <w:lang w:eastAsia="en-US"/>
        </w:rPr>
        <w:t>1 und 1</w:t>
      </w:r>
      <w:r w:rsidR="002C6FAC" w:rsidRPr="009118AB">
        <w:rPr>
          <w:rFonts w:eastAsia="Calibri"/>
          <w:i/>
          <w:iCs/>
          <w:szCs w:val="22"/>
          <w:lang w:eastAsia="en-US"/>
        </w:rPr>
        <w:t>bis</w:t>
      </w:r>
      <w:r w:rsidR="002C6FAC" w:rsidRPr="009118AB">
        <w:rPr>
          <w:rFonts w:eastAsia="Calibri"/>
          <w:szCs w:val="22"/>
          <w:lang w:eastAsia="en-US"/>
        </w:rPr>
        <w:t xml:space="preserve"> erwähnte Gewinne oder Profite, die in Belgien erzielt oder bezogen werden,</w:t>
      </w:r>
      <w:r w:rsidR="00D459C6" w:rsidRPr="009118AB">
        <w:rPr>
          <w:iCs/>
        </w:rPr>
        <w:t>]</w:t>
      </w:r>
    </w:p>
    <w:p w14:paraId="33021CAE" w14:textId="77777777" w:rsidR="00D459C6" w:rsidRPr="009118AB" w:rsidRDefault="00D459C6" w:rsidP="00820612">
      <w:pPr>
        <w:autoSpaceDE w:val="0"/>
        <w:autoSpaceDN w:val="0"/>
        <w:adjustRightInd w:val="0"/>
        <w:jc w:val="both"/>
        <w:rPr>
          <w:iCs/>
        </w:rPr>
      </w:pPr>
    </w:p>
    <w:p w14:paraId="73131959" w14:textId="1EDB6EF7" w:rsidR="00D459C6" w:rsidRPr="009118AB" w:rsidRDefault="00D459C6" w:rsidP="00820612">
      <w:pPr>
        <w:autoSpaceDE w:val="0"/>
        <w:autoSpaceDN w:val="0"/>
        <w:adjustRightInd w:val="0"/>
        <w:jc w:val="both"/>
        <w:rPr>
          <w:iCs/>
        </w:rPr>
      </w:pPr>
      <w:r w:rsidRPr="009118AB">
        <w:rPr>
          <w:iCs/>
        </w:rPr>
        <w:tab/>
        <w:t>[</w:t>
      </w:r>
      <w:r w:rsidR="002C6FAC" w:rsidRPr="009118AB">
        <w:rPr>
          <w:rFonts w:eastAsia="Calibri"/>
          <w:i/>
          <w:iCs/>
          <w:szCs w:val="22"/>
          <w:lang w:eastAsia="en-US"/>
        </w:rPr>
        <w:t>a/1)</w:t>
      </w:r>
      <w:r w:rsidR="002C6FAC" w:rsidRPr="009118AB">
        <w:rPr>
          <w:rFonts w:eastAsia="Calibri"/>
          <w:szCs w:val="22"/>
          <w:lang w:eastAsia="en-US"/>
        </w:rPr>
        <w:t xml:space="preserve"> in Artikel 90 Absatz 1 </w:t>
      </w:r>
      <w:r w:rsidR="00D67EB8" w:rsidRPr="009118AB">
        <w:rPr>
          <w:rFonts w:eastAsia="Calibri"/>
          <w:szCs w:val="22"/>
          <w:lang w:eastAsia="en-US"/>
        </w:rPr>
        <w:t>Nr. </w:t>
      </w:r>
      <w:r w:rsidR="002C6FAC" w:rsidRPr="009118AB">
        <w:rPr>
          <w:rFonts w:eastAsia="Calibri"/>
          <w:szCs w:val="22"/>
          <w:lang w:eastAsia="en-US"/>
        </w:rPr>
        <w:t>1</w:t>
      </w:r>
      <w:r w:rsidR="002C6FAC" w:rsidRPr="009118AB">
        <w:rPr>
          <w:rFonts w:eastAsia="Calibri"/>
          <w:i/>
          <w:iCs/>
          <w:szCs w:val="22"/>
          <w:lang w:eastAsia="en-US"/>
        </w:rPr>
        <w:t>ter</w:t>
      </w:r>
      <w:r w:rsidR="002C6FAC" w:rsidRPr="009118AB">
        <w:rPr>
          <w:rFonts w:eastAsia="Calibri"/>
          <w:szCs w:val="22"/>
          <w:lang w:eastAsia="en-US"/>
        </w:rPr>
        <w:t xml:space="preserve"> erwähnte Einkünfte, die in Belgien erzielt oder bezogen werden,</w:t>
      </w:r>
      <w:r w:rsidRPr="009118AB">
        <w:rPr>
          <w:iCs/>
        </w:rPr>
        <w:t>]</w:t>
      </w:r>
    </w:p>
    <w:p w14:paraId="3EC058E1" w14:textId="77777777" w:rsidR="00820612" w:rsidRPr="009118AB" w:rsidRDefault="00820612" w:rsidP="00820612">
      <w:pPr>
        <w:autoSpaceDE w:val="0"/>
        <w:autoSpaceDN w:val="0"/>
        <w:adjustRightInd w:val="0"/>
        <w:jc w:val="both"/>
        <w:rPr>
          <w:iCs/>
        </w:rPr>
      </w:pPr>
    </w:p>
    <w:p w14:paraId="741E78CA"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b)</w:t>
      </w:r>
      <w:r w:rsidR="00820612" w:rsidRPr="009118AB">
        <w:rPr>
          <w:iCs/>
        </w:rPr>
        <w:t xml:space="preserve"> Preise, Zuschüsse, Renten oder Pensionen zu Lasten belgischer öffentlicher Behörden oder öffentlicher Einrichtungen,</w:t>
      </w:r>
    </w:p>
    <w:p w14:paraId="500CE168" w14:textId="77777777" w:rsidR="00820612" w:rsidRPr="009118AB" w:rsidRDefault="00820612" w:rsidP="00820612">
      <w:pPr>
        <w:autoSpaceDE w:val="0"/>
        <w:autoSpaceDN w:val="0"/>
        <w:adjustRightInd w:val="0"/>
        <w:jc w:val="both"/>
        <w:rPr>
          <w:iCs/>
        </w:rPr>
      </w:pPr>
    </w:p>
    <w:p w14:paraId="19302EB9"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c)</w:t>
      </w:r>
      <w:r w:rsidR="00820612" w:rsidRPr="009118AB">
        <w:rPr>
          <w:iCs/>
        </w:rPr>
        <w:t xml:space="preserve"> Unterhaltsleistungen zu Lasten von Einwohnern des Königreichs,</w:t>
      </w:r>
    </w:p>
    <w:p w14:paraId="687D1DCF" w14:textId="77777777" w:rsidR="00820612" w:rsidRPr="009118AB" w:rsidRDefault="00820612" w:rsidP="00820612">
      <w:pPr>
        <w:autoSpaceDE w:val="0"/>
        <w:autoSpaceDN w:val="0"/>
        <w:adjustRightInd w:val="0"/>
        <w:jc w:val="both"/>
        <w:rPr>
          <w:iCs/>
        </w:rPr>
      </w:pPr>
    </w:p>
    <w:p w14:paraId="22ED8DA8"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d)</w:t>
      </w:r>
      <w:r w:rsidR="00820612" w:rsidRPr="009118AB">
        <w:rPr>
          <w:iCs/>
        </w:rPr>
        <w:t xml:space="preserve"> Einkünfte aus unbeweglichen Gütern oder Flächen, die in Belgien gelegen sind,</w:t>
      </w:r>
    </w:p>
    <w:p w14:paraId="0E601863" w14:textId="77777777" w:rsidR="00820612" w:rsidRPr="009118AB" w:rsidRDefault="00820612" w:rsidP="00820612">
      <w:pPr>
        <w:autoSpaceDE w:val="0"/>
        <w:autoSpaceDN w:val="0"/>
        <w:adjustRightInd w:val="0"/>
        <w:jc w:val="both"/>
        <w:rPr>
          <w:iCs/>
        </w:rPr>
      </w:pPr>
    </w:p>
    <w:p w14:paraId="179443D7"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e)</w:t>
      </w:r>
      <w:r w:rsidR="00820612" w:rsidRPr="009118AB">
        <w:rPr>
          <w:iCs/>
        </w:rPr>
        <w:t xml:space="preserve"> Lose in Bezug auf Anleihepapiere, die in Belgien ausgegeben werden,</w:t>
      </w:r>
    </w:p>
    <w:p w14:paraId="2DFB5996" w14:textId="77777777" w:rsidR="00820612" w:rsidRPr="009118AB" w:rsidRDefault="00820612" w:rsidP="00820612">
      <w:pPr>
        <w:autoSpaceDE w:val="0"/>
        <w:autoSpaceDN w:val="0"/>
        <w:adjustRightInd w:val="0"/>
        <w:jc w:val="both"/>
        <w:rPr>
          <w:iCs/>
        </w:rPr>
      </w:pPr>
    </w:p>
    <w:p w14:paraId="1EA8981A"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f)</w:t>
      </w:r>
      <w:r w:rsidR="00820612" w:rsidRPr="009118AB">
        <w:rPr>
          <w:iCs/>
        </w:rPr>
        <w:t xml:space="preserve"> Erträge aus der Verpachtung in Belgien des Jagd-, Fischerei- oder Vogelfangrechts, </w:t>
      </w:r>
    </w:p>
    <w:p w14:paraId="44DFD14C" w14:textId="77777777" w:rsidR="00820612" w:rsidRPr="009118AB" w:rsidRDefault="00820612" w:rsidP="00820612">
      <w:pPr>
        <w:autoSpaceDE w:val="0"/>
        <w:autoSpaceDN w:val="0"/>
        <w:adjustRightInd w:val="0"/>
        <w:jc w:val="both"/>
        <w:rPr>
          <w:iCs/>
        </w:rPr>
      </w:pPr>
    </w:p>
    <w:p w14:paraId="596D1EC2"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g)</w:t>
      </w:r>
      <w:r w:rsidR="00820612" w:rsidRPr="009118AB">
        <w:rPr>
          <w:iCs/>
        </w:rPr>
        <w:t xml:space="preserve"> Mehrwerte, die auf in Belgien gelegene unbebaute unbewegliche Güter oder auf dingliche Rechte an solchen unbeweglichen Gütern verwirklicht werden,</w:t>
      </w:r>
    </w:p>
    <w:p w14:paraId="4A41E3A0" w14:textId="3AD8913B" w:rsidR="00820612" w:rsidRPr="009118AB" w:rsidRDefault="002853ED" w:rsidP="00820612">
      <w:pPr>
        <w:autoSpaceDE w:val="0"/>
        <w:autoSpaceDN w:val="0"/>
        <w:adjustRightInd w:val="0"/>
        <w:jc w:val="both"/>
        <w:rPr>
          <w:iCs/>
        </w:rPr>
      </w:pPr>
      <w:r>
        <w:rPr>
          <w:iCs/>
        </w:rPr>
        <w:t xml:space="preserve"> </w:t>
      </w:r>
    </w:p>
    <w:p w14:paraId="5CC64139" w14:textId="77777777" w:rsidR="00820612" w:rsidRPr="009118AB" w:rsidRDefault="00D7436F" w:rsidP="00820612">
      <w:pPr>
        <w:autoSpaceDE w:val="0"/>
        <w:autoSpaceDN w:val="0"/>
        <w:adjustRightInd w:val="0"/>
        <w:jc w:val="both"/>
        <w:rPr>
          <w:iCs/>
        </w:rPr>
      </w:pPr>
      <w:r w:rsidRPr="009118AB">
        <w:rPr>
          <w:i/>
          <w:iCs/>
        </w:rPr>
        <w:tab/>
      </w:r>
      <w:r w:rsidR="00820612" w:rsidRPr="009118AB">
        <w:rPr>
          <w:i/>
          <w:iCs/>
        </w:rPr>
        <w:t>h)</w:t>
      </w:r>
      <w:r w:rsidR="00820612" w:rsidRPr="009118AB">
        <w:rPr>
          <w:iCs/>
        </w:rPr>
        <w:t xml:space="preserve"> Mehrwerte, die auf Aktien oder Anteile, die Gesellschaftsrechte an inländischen Gesellschaften verbriefen, verwirklicht werden, außer in dem Maße, wie diese Mehrwerte aufgrund von Artikel 95 nicht steuerpflichtig sind,</w:t>
      </w:r>
    </w:p>
    <w:p w14:paraId="3CC10837" w14:textId="77777777" w:rsidR="00820612" w:rsidRPr="009118AB" w:rsidRDefault="00820612" w:rsidP="00820612">
      <w:pPr>
        <w:autoSpaceDE w:val="0"/>
        <w:autoSpaceDN w:val="0"/>
        <w:adjustRightInd w:val="0"/>
        <w:jc w:val="both"/>
        <w:rPr>
          <w:iCs/>
        </w:rPr>
      </w:pPr>
    </w:p>
    <w:p w14:paraId="5464FE05" w14:textId="77777777" w:rsidR="00820612" w:rsidRPr="009118AB" w:rsidRDefault="00D7436F" w:rsidP="00820612">
      <w:pPr>
        <w:autoSpaceDE w:val="0"/>
        <w:autoSpaceDN w:val="0"/>
        <w:adjustRightInd w:val="0"/>
        <w:jc w:val="both"/>
        <w:rPr>
          <w:iCs/>
        </w:rPr>
      </w:pPr>
      <w:r w:rsidRPr="009118AB">
        <w:rPr>
          <w:iCs/>
        </w:rPr>
        <w:tab/>
      </w:r>
      <w:r w:rsidR="00820612" w:rsidRPr="009118AB">
        <w:rPr>
          <w:iCs/>
        </w:rPr>
        <w:t>[</w:t>
      </w:r>
      <w:r w:rsidR="00820612" w:rsidRPr="009118AB">
        <w:rPr>
          <w:i/>
          <w:iCs/>
        </w:rPr>
        <w:t>i)</w:t>
      </w:r>
      <w:r w:rsidR="00820612" w:rsidRPr="009118AB">
        <w:rPr>
          <w:iCs/>
        </w:rPr>
        <w:t xml:space="preserve"> Mehrwerte, die auf in Belgien gelegene bebaute unbewegliche Güter oder auf dingliche Rechte an solchen unbeweglichen Gütern verwirklicht werden,]</w:t>
      </w:r>
    </w:p>
    <w:p w14:paraId="4171F011" w14:textId="77777777" w:rsidR="00820612" w:rsidRPr="009118AB" w:rsidRDefault="00820612" w:rsidP="00820612">
      <w:pPr>
        <w:autoSpaceDE w:val="0"/>
        <w:autoSpaceDN w:val="0"/>
        <w:adjustRightInd w:val="0"/>
        <w:jc w:val="both"/>
        <w:rPr>
          <w:iCs/>
        </w:rPr>
      </w:pPr>
    </w:p>
    <w:p w14:paraId="4B138561" w14:textId="6567CAA5" w:rsidR="00820612" w:rsidRPr="009118AB" w:rsidRDefault="00D7436F" w:rsidP="00820612">
      <w:pPr>
        <w:autoSpaceDE w:val="0"/>
        <w:autoSpaceDN w:val="0"/>
        <w:adjustRightInd w:val="0"/>
        <w:jc w:val="both"/>
        <w:rPr>
          <w:iCs/>
        </w:rPr>
      </w:pPr>
      <w:r w:rsidRPr="009118AB">
        <w:rPr>
          <w:iCs/>
        </w:rPr>
        <w:tab/>
      </w:r>
      <w:r w:rsidR="00820612" w:rsidRPr="009118AB">
        <w:rPr>
          <w:iCs/>
        </w:rPr>
        <w:t>[</w:t>
      </w:r>
      <w:r w:rsidR="00820612" w:rsidRPr="009118AB">
        <w:rPr>
          <w:i/>
          <w:iCs/>
        </w:rPr>
        <w:t>j)</w:t>
      </w:r>
      <w:r w:rsidR="00820612" w:rsidRPr="009118AB">
        <w:rPr>
          <w:iCs/>
        </w:rPr>
        <w:t xml:space="preserve"> [Entschädigungen für fehlende Kupons oder für fehlende Lose, die in Ausführung einer Vereinbarung über die Leistung von dinglichen Sicherheiten oder eines Verleihs mit Bezug auf Finanzinstrumente bezogen werden</w:t>
      </w:r>
      <w:r w:rsidR="00D67EB8" w:rsidRPr="009118AB">
        <w:rPr>
          <w:iCs/>
        </w:rPr>
        <w:t> - </w:t>
      </w:r>
      <w:r w:rsidR="00820612" w:rsidRPr="009118AB">
        <w:rPr>
          <w:iCs/>
        </w:rPr>
        <w:t>wenn diese Einkünfte in Belgien erzielt oder bezogen werden</w:t>
      </w:r>
      <w:r w:rsidR="00D67EB8" w:rsidRPr="009118AB">
        <w:rPr>
          <w:iCs/>
        </w:rPr>
        <w:t> - </w:t>
      </w:r>
      <w:r w:rsidR="00820612" w:rsidRPr="009118AB">
        <w:rPr>
          <w:iCs/>
        </w:rPr>
        <w:t>und deren Schuldner ein Entleiher, Zessionar oder Pfandgläubiger ist, der der Steuer der natürlichen Personen, der Gesellschaftssteuer, der Steuer der juristischen Personen oder der Steuer der Gebietsfremden unterliegt,]]</w:t>
      </w:r>
    </w:p>
    <w:p w14:paraId="46F0C5D6" w14:textId="77777777" w:rsidR="00820612" w:rsidRPr="009118AB" w:rsidRDefault="00820612" w:rsidP="00820612">
      <w:pPr>
        <w:autoSpaceDE w:val="0"/>
        <w:autoSpaceDN w:val="0"/>
        <w:adjustRightInd w:val="0"/>
        <w:jc w:val="both"/>
        <w:rPr>
          <w:iCs/>
        </w:rPr>
      </w:pPr>
    </w:p>
    <w:p w14:paraId="1DE2764A" w14:textId="2EB15B1C" w:rsidR="00820612" w:rsidRPr="009118AB" w:rsidRDefault="00D7436F" w:rsidP="000B20D7">
      <w:pPr>
        <w:ind w:firstLine="708"/>
        <w:jc w:val="both"/>
        <w:rPr>
          <w:iCs/>
        </w:rPr>
      </w:pPr>
      <w:r w:rsidRPr="009118AB">
        <w:rPr>
          <w:iCs/>
        </w:rPr>
        <w:tab/>
      </w:r>
      <w:r w:rsidR="00820612" w:rsidRPr="009118AB">
        <w:rPr>
          <w:iCs/>
        </w:rPr>
        <w:t>[</w:t>
      </w:r>
      <w:r w:rsidR="00820612" w:rsidRPr="009118AB">
        <w:rPr>
          <w:i/>
          <w:iCs/>
        </w:rPr>
        <w:t>k)</w:t>
      </w:r>
      <w:r w:rsidR="00820612" w:rsidRPr="009118AB">
        <w:rPr>
          <w:iCs/>
        </w:rPr>
        <w:t xml:space="preserve"> persönliche Vergütungen aus der Verwertung einer Erfindung, die Forschern von einer belgischen Universität oder Hochschule, </w:t>
      </w:r>
      <w:r w:rsidR="007844B1" w:rsidRPr="009118AB">
        <w:rPr>
          <w:iCs/>
        </w:rPr>
        <w:t>[</w:t>
      </w:r>
      <w:r w:rsidR="007844B1" w:rsidRPr="009118AB">
        <w:t>vom "Föderalen Fonds für wissenschaftliche Forschung</w:t>
      </w:r>
      <w:r w:rsidR="00D67EB8" w:rsidRPr="009118AB">
        <w:t> - </w:t>
      </w:r>
      <w:r w:rsidR="007844B1" w:rsidRPr="009118AB">
        <w:t>Federaal Fonds voor Wetenschappelijk Onderzoek</w:t>
      </w:r>
      <w:r w:rsidR="00D67EB8" w:rsidRPr="009118AB">
        <w:t> - </w:t>
      </w:r>
      <w:r w:rsidR="007844B1" w:rsidRPr="009118AB">
        <w:t>Fonds fédéral de la Recherche scientifique</w:t>
      </w:r>
      <w:r w:rsidR="00D67EB8" w:rsidRPr="009118AB">
        <w:t> - </w:t>
      </w:r>
      <w:r w:rsidR="007844B1" w:rsidRPr="009118AB">
        <w:t>FFWF/FFWO/FFRS", vom "Fonds voor Wetenschappelijk Onderzoek-</w:t>
      </w:r>
      <w:r w:rsidR="007844B1" w:rsidRPr="009118AB">
        <w:lastRenderedPageBreak/>
        <w:t>Vlaanderen</w:t>
      </w:r>
      <w:r w:rsidR="00D67EB8" w:rsidRPr="009118AB">
        <w:t> - </w:t>
      </w:r>
      <w:r w:rsidR="007844B1" w:rsidRPr="009118AB">
        <w:t>FWO", vom "Fonds de la Recherche scientifique</w:t>
      </w:r>
      <w:r w:rsidR="00D67EB8" w:rsidRPr="009118AB">
        <w:t> - </w:t>
      </w:r>
      <w:r w:rsidR="007844B1" w:rsidRPr="009118AB">
        <w:t>FNRS</w:t>
      </w:r>
      <w:r w:rsidR="00D67EB8" w:rsidRPr="009118AB">
        <w:t> - </w:t>
      </w:r>
      <w:r w:rsidR="000B20D7" w:rsidRPr="009118AB">
        <w:t>FRS-FNRS" oder von</w:t>
      </w:r>
      <w:r w:rsidR="007844B1" w:rsidRPr="009118AB">
        <w:rPr>
          <w:iCs/>
        </w:rPr>
        <w:t>]</w:t>
      </w:r>
      <w:r w:rsidR="00820612" w:rsidRPr="009118AB">
        <w:rPr>
          <w:iCs/>
        </w:rPr>
        <w:t xml:space="preserve"> einer gemäß Artikel 275</w:t>
      </w:r>
      <w:r w:rsidR="00820612" w:rsidRPr="009118AB">
        <w:rPr>
          <w:iCs/>
          <w:vertAlign w:val="superscript"/>
        </w:rPr>
        <w:t>3</w:t>
      </w:r>
      <w:r w:rsidR="00820612" w:rsidRPr="009118AB">
        <w:rPr>
          <w:iCs/>
        </w:rPr>
        <w:t xml:space="preserve"> </w:t>
      </w:r>
      <w:r w:rsidR="00D67EB8" w:rsidRPr="009118AB">
        <w:rPr>
          <w:iCs/>
        </w:rPr>
        <w:t>§ </w:t>
      </w:r>
      <w:r w:rsidR="00820612" w:rsidRPr="009118AB">
        <w:rPr>
          <w:iCs/>
        </w:rPr>
        <w:t>1 Absatz 2 zugelassenen wissenschaft</w:t>
      </w:r>
      <w:r w:rsidR="00820612" w:rsidRPr="009118AB">
        <w:rPr>
          <w:iCs/>
        </w:rPr>
        <w:softHyphen/>
        <w:t>lichen Einrichtung gezahlt oder zuerkannt werden aufgrund einer von dieser Universität, dieser Hochschule oder dieser wissenschaftlichen Einrichtung erlassenen Valorisierungsregelung. Als "Forscher" gelten Forscher, die in Artikel 275</w:t>
      </w:r>
      <w:r w:rsidR="00820612" w:rsidRPr="009118AB">
        <w:rPr>
          <w:iCs/>
          <w:vertAlign w:val="superscript"/>
        </w:rPr>
        <w:t>3</w:t>
      </w:r>
      <w:r w:rsidR="00820612" w:rsidRPr="009118AB">
        <w:rPr>
          <w:iCs/>
        </w:rPr>
        <w:t xml:space="preserve"> </w:t>
      </w:r>
      <w:r w:rsidR="00D67EB8" w:rsidRPr="009118AB">
        <w:rPr>
          <w:iCs/>
        </w:rPr>
        <w:t>§ </w:t>
      </w:r>
      <w:r w:rsidR="00820612" w:rsidRPr="009118AB">
        <w:rPr>
          <w:iCs/>
        </w:rPr>
        <w:t>1 Absatz 1 und 2 erwähnt sind und</w:t>
      </w:r>
      <w:r w:rsidR="00D67EB8" w:rsidRPr="009118AB">
        <w:rPr>
          <w:iCs/>
        </w:rPr>
        <w:t> - </w:t>
      </w:r>
      <w:r w:rsidR="00820612" w:rsidRPr="009118AB">
        <w:rPr>
          <w:iCs/>
        </w:rPr>
        <w:t>allein oder in einem Team</w:t>
      </w:r>
      <w:r w:rsidR="00D67EB8" w:rsidRPr="009118AB">
        <w:rPr>
          <w:iCs/>
        </w:rPr>
        <w:t> - </w:t>
      </w:r>
      <w:r w:rsidR="00820612" w:rsidRPr="009118AB">
        <w:rPr>
          <w:iCs/>
        </w:rPr>
        <w:t>an einer Universität, einer Hochschule oder einer zugelassenen wissenschaft</w:t>
      </w:r>
      <w:r w:rsidR="00820612" w:rsidRPr="009118AB">
        <w:rPr>
          <w:iCs/>
        </w:rPr>
        <w:softHyphen/>
        <w:t>lichen Einrichtung Forschung betreiben, und Professoren. Als "Erfindungen" gelten patentierbare Erfindungen, Zuchtprodukte, Zeichnungen und Modelle, Topographien von Halbleitererzeug</w:t>
      </w:r>
      <w:r w:rsidR="00820612" w:rsidRPr="009118AB">
        <w:rPr>
          <w:iCs/>
        </w:rPr>
        <w:softHyphen/>
        <w:t>nissen, EDV-Programme und Datenbanken, die zu kommerziellen</w:t>
      </w:r>
      <w:r w:rsidR="001238D6" w:rsidRPr="009118AB">
        <w:rPr>
          <w:iCs/>
        </w:rPr>
        <w:t xml:space="preserve"> Zwecken genutzt werden können,</w:t>
      </w:r>
      <w:r w:rsidR="00820612" w:rsidRPr="009118AB">
        <w:rPr>
          <w:iCs/>
        </w:rPr>
        <w:t>]</w:t>
      </w:r>
    </w:p>
    <w:p w14:paraId="13E0BCAB" w14:textId="77777777" w:rsidR="001238D6" w:rsidRPr="009118AB" w:rsidRDefault="001238D6" w:rsidP="000B20D7">
      <w:pPr>
        <w:ind w:firstLine="708"/>
        <w:jc w:val="both"/>
        <w:rPr>
          <w:iCs/>
        </w:rPr>
      </w:pPr>
    </w:p>
    <w:p w14:paraId="2FB2A00C" w14:textId="77777777" w:rsidR="001238D6" w:rsidRPr="009118AB" w:rsidRDefault="001238D6" w:rsidP="000B20D7">
      <w:pPr>
        <w:ind w:firstLine="708"/>
        <w:jc w:val="both"/>
      </w:pPr>
      <w:r w:rsidRPr="009118AB">
        <w:rPr>
          <w:iCs/>
        </w:rPr>
        <w:t>[</w:t>
      </w:r>
      <w:r w:rsidRPr="009118AB">
        <w:rPr>
          <w:i/>
        </w:rPr>
        <w:t>l)</w:t>
      </w:r>
      <w:r w:rsidRPr="009118AB">
        <w:t> </w:t>
      </w:r>
      <w:r w:rsidR="000F3808" w:rsidRPr="009118AB">
        <w:t>[…]</w:t>
      </w:r>
      <w:r w:rsidRPr="009118AB">
        <w:t>.]</w:t>
      </w:r>
    </w:p>
    <w:p w14:paraId="72B2C17A" w14:textId="77777777" w:rsidR="00820612" w:rsidRPr="009118AB" w:rsidRDefault="00820612" w:rsidP="00820612">
      <w:pPr>
        <w:autoSpaceDE w:val="0"/>
        <w:autoSpaceDN w:val="0"/>
        <w:adjustRightInd w:val="0"/>
        <w:jc w:val="both"/>
        <w:rPr>
          <w:iCs/>
        </w:rPr>
      </w:pPr>
    </w:p>
    <w:p w14:paraId="4EB54C59" w14:textId="76427748" w:rsidR="00912E1B" w:rsidRPr="009118AB" w:rsidRDefault="00E42B3C" w:rsidP="00912E1B">
      <w:pPr>
        <w:ind w:firstLine="708"/>
        <w:jc w:val="both"/>
      </w:pPr>
      <w:r w:rsidRPr="009118AB">
        <w:rPr>
          <w:iCs/>
        </w:rPr>
        <w:t>[</w:t>
      </w:r>
      <w:r w:rsidR="00D67EB8" w:rsidRPr="009118AB">
        <w:t>§ </w:t>
      </w:r>
      <w:r w:rsidRPr="009118AB">
        <w:t>3</w:t>
      </w:r>
      <w:r w:rsidR="00D67EB8" w:rsidRPr="009118AB">
        <w:t> - </w:t>
      </w:r>
      <w:r w:rsidR="00912E1B" w:rsidRPr="009118AB">
        <w:t xml:space="preserve">[Die Steuer wird auch auf die in den Artikeln 24 Absatz 1 </w:t>
      </w:r>
      <w:r w:rsidR="00D67EB8" w:rsidRPr="009118AB">
        <w:t>Nr. </w:t>
      </w:r>
      <w:r w:rsidR="00912E1B" w:rsidRPr="009118AB">
        <w:t xml:space="preserve">1, 25 </w:t>
      </w:r>
      <w:r w:rsidR="00D67EB8" w:rsidRPr="009118AB">
        <w:t>Nr. </w:t>
      </w:r>
      <w:r w:rsidR="00912E1B" w:rsidRPr="009118AB">
        <w:t xml:space="preserve">2, </w:t>
      </w:r>
      <w:r w:rsidR="00AB4DE0">
        <w:t>[</w:t>
      </w:r>
      <w:r w:rsidR="00912E1B" w:rsidRPr="009118AB">
        <w:t>27 Absatz </w:t>
      </w:r>
      <w:r w:rsidR="00AB4DE0">
        <w:t>2</w:t>
      </w:r>
      <w:r w:rsidR="00912E1B" w:rsidRPr="009118AB">
        <w:t xml:space="preserve"> </w:t>
      </w:r>
      <w:r w:rsidR="00D67EB8" w:rsidRPr="009118AB">
        <w:t>Nr. </w:t>
      </w:r>
      <w:r w:rsidR="00912E1B" w:rsidRPr="009118AB">
        <w:t>1 und 2</w:t>
      </w:r>
      <w:r w:rsidR="00AB4DE0">
        <w:t>]</w:t>
      </w:r>
      <w:r w:rsidR="00912E1B" w:rsidRPr="009118AB">
        <w:t xml:space="preserve"> und 28 Absatz 1 </w:t>
      </w:r>
      <w:r w:rsidR="00D67EB8" w:rsidRPr="009118AB">
        <w:t>Nr. </w:t>
      </w:r>
      <w:r w:rsidR="00912E1B" w:rsidRPr="009118AB">
        <w:t>2 und 3 erwähnten Gewinne oder Profite erhoben, die nicht in den Paragraphen 1 und 2 erwähnt sind und aus einer Dienstleistung hervorgehen, die:</w:t>
      </w:r>
    </w:p>
    <w:p w14:paraId="1C3EC2E2" w14:textId="77777777" w:rsidR="00912E1B" w:rsidRPr="009118AB" w:rsidRDefault="00912E1B" w:rsidP="00912E1B">
      <w:pPr>
        <w:jc w:val="both"/>
      </w:pPr>
    </w:p>
    <w:p w14:paraId="2EC715B2" w14:textId="77777777" w:rsidR="00912E1B" w:rsidRPr="009118AB" w:rsidRDefault="00912E1B" w:rsidP="00912E1B">
      <w:pPr>
        <w:jc w:val="both"/>
      </w:pPr>
      <w:r w:rsidRPr="009118AB">
        <w:tab/>
        <w:t>- im Rahmen einer Berufstätigkeit, die Gewinne oder Profite erzeugt, zugunsten eines Einwohners des Königreichs,</w:t>
      </w:r>
    </w:p>
    <w:p w14:paraId="26980CFB" w14:textId="77777777" w:rsidR="00912E1B" w:rsidRPr="009118AB" w:rsidRDefault="00912E1B" w:rsidP="00912E1B">
      <w:pPr>
        <w:jc w:val="both"/>
      </w:pPr>
    </w:p>
    <w:p w14:paraId="3236BF51" w14:textId="77777777" w:rsidR="00912E1B" w:rsidRPr="009118AB" w:rsidRDefault="00912E1B" w:rsidP="00912E1B">
      <w:pPr>
        <w:jc w:val="both"/>
      </w:pPr>
      <w:r w:rsidRPr="009118AB">
        <w:tab/>
        <w:t>- zugunsten eines Steuerpflichtigen, der der Gesellschaftssteuer unterliegt,</w:t>
      </w:r>
    </w:p>
    <w:p w14:paraId="795660DC" w14:textId="77777777" w:rsidR="00912E1B" w:rsidRPr="009118AB" w:rsidRDefault="00912E1B" w:rsidP="00912E1B">
      <w:pPr>
        <w:jc w:val="both"/>
      </w:pPr>
    </w:p>
    <w:p w14:paraId="01CEE158" w14:textId="77777777" w:rsidR="00912E1B" w:rsidRPr="009118AB" w:rsidRDefault="00912E1B" w:rsidP="00912E1B">
      <w:pPr>
        <w:jc w:val="both"/>
      </w:pPr>
      <w:r w:rsidRPr="009118AB">
        <w:tab/>
        <w:t>- zugunsten einer in Artikel 220 erwähnten juristischen Person oder</w:t>
      </w:r>
    </w:p>
    <w:p w14:paraId="78A7A589" w14:textId="77777777" w:rsidR="00912E1B" w:rsidRPr="009118AB" w:rsidRDefault="00912E1B" w:rsidP="00912E1B">
      <w:pPr>
        <w:jc w:val="both"/>
      </w:pPr>
    </w:p>
    <w:p w14:paraId="52867E4B" w14:textId="77777777" w:rsidR="00912E1B" w:rsidRPr="009118AB" w:rsidRDefault="00912E1B" w:rsidP="00912E1B">
      <w:pPr>
        <w:jc w:val="both"/>
      </w:pPr>
      <w:r w:rsidRPr="009118AB">
        <w:tab/>
        <w:t>- zugunsten einer belgischen Niederlassung</w:t>
      </w:r>
    </w:p>
    <w:p w14:paraId="0CA7E807" w14:textId="77777777" w:rsidR="00912E1B" w:rsidRPr="009118AB" w:rsidRDefault="00912E1B" w:rsidP="00912E1B">
      <w:pPr>
        <w:jc w:val="both"/>
      </w:pPr>
    </w:p>
    <w:p w14:paraId="207D13C9" w14:textId="77777777" w:rsidR="00912E1B" w:rsidRPr="009118AB" w:rsidRDefault="00912E1B" w:rsidP="00912E1B">
      <w:pPr>
        <w:jc w:val="both"/>
      </w:pPr>
      <w:r w:rsidRPr="009118AB">
        <w:tab/>
        <w:t>erbracht wird, dem/der gegenüber der Dienstleistungserbringer sich direkt oder indirekt in einem Verhältnis gegenseitiger Abhängigkeit befindet.</w:t>
      </w:r>
    </w:p>
    <w:p w14:paraId="796CC52E" w14:textId="77777777" w:rsidR="00912E1B" w:rsidRPr="009118AB" w:rsidRDefault="00912E1B" w:rsidP="00912E1B">
      <w:pPr>
        <w:jc w:val="both"/>
      </w:pPr>
    </w:p>
    <w:p w14:paraId="5CD57AA2" w14:textId="77777777" w:rsidR="00912E1B" w:rsidRPr="009118AB" w:rsidRDefault="00912E1B" w:rsidP="00912E1B">
      <w:pPr>
        <w:jc w:val="both"/>
      </w:pPr>
      <w:r w:rsidRPr="009118AB">
        <w:tab/>
        <w:t>Absatz 1 ist nur anwendbar, insofern:</w:t>
      </w:r>
    </w:p>
    <w:p w14:paraId="04CE7BB0" w14:textId="77777777" w:rsidR="00912E1B" w:rsidRPr="009118AB" w:rsidRDefault="00912E1B" w:rsidP="00912E1B">
      <w:pPr>
        <w:jc w:val="both"/>
      </w:pPr>
    </w:p>
    <w:p w14:paraId="006BB275" w14:textId="77777777" w:rsidR="00912E1B" w:rsidRPr="009118AB" w:rsidRDefault="00912E1B" w:rsidP="00912E1B">
      <w:pPr>
        <w:jc w:val="both"/>
      </w:pPr>
      <w:r w:rsidRPr="009118AB">
        <w:tab/>
        <w:t>- entweder diese Einkünfte gemäß einem Abkommen zur Vermeidung der Doppel</w:t>
      </w:r>
      <w:r w:rsidRPr="009118AB">
        <w:softHyphen/>
        <w:t>besteuerung in Belgien steuerpflichtig sind</w:t>
      </w:r>
    </w:p>
    <w:p w14:paraId="3EA9E9BA" w14:textId="77777777" w:rsidR="00912E1B" w:rsidRPr="009118AB" w:rsidRDefault="00912E1B" w:rsidP="00912E1B">
      <w:pPr>
        <w:jc w:val="both"/>
      </w:pPr>
    </w:p>
    <w:p w14:paraId="17785965" w14:textId="06910ACB" w:rsidR="00E42B3C" w:rsidRPr="009118AB" w:rsidRDefault="00912E1B" w:rsidP="00912E1B">
      <w:pPr>
        <w:ind w:firstLine="708"/>
        <w:jc w:val="both"/>
      </w:pPr>
      <w:r w:rsidRPr="009118AB">
        <w:tab/>
        <w:t>- oder</w:t>
      </w:r>
      <w:r w:rsidR="00D67EB8" w:rsidRPr="009118AB">
        <w:t> - </w:t>
      </w:r>
      <w:r w:rsidRPr="009118AB">
        <w:t>wenn kein Abkommen zur Vermeidung der Doppelbesteuerung besteht</w:t>
      </w:r>
      <w:r w:rsidR="00D67EB8" w:rsidRPr="009118AB">
        <w:t> - </w:t>
      </w:r>
      <w:r w:rsidRPr="009118AB">
        <w:t>der Steuerpflichtige nicht den Nachweis erbringt, dass die Einkünfte tatsächlich in dem Staat, in dem er ansässig ist, besteuert werden.]</w:t>
      </w:r>
      <w:r w:rsidR="00E42B3C" w:rsidRPr="009118AB">
        <w:t>]</w:t>
      </w:r>
    </w:p>
    <w:p w14:paraId="7F0A27F1" w14:textId="77777777" w:rsidR="00E42B3C" w:rsidRPr="009118AB" w:rsidRDefault="00E42B3C" w:rsidP="00E42B3C">
      <w:pPr>
        <w:autoSpaceDE w:val="0"/>
        <w:autoSpaceDN w:val="0"/>
        <w:adjustRightInd w:val="0"/>
        <w:jc w:val="both"/>
        <w:rPr>
          <w:iCs/>
        </w:rPr>
      </w:pPr>
    </w:p>
    <w:p w14:paraId="43AB47DB" w14:textId="4B520E6A" w:rsidR="00820612" w:rsidRPr="009118AB" w:rsidRDefault="00820612" w:rsidP="00820612">
      <w:pPr>
        <w:autoSpaceDE w:val="0"/>
        <w:autoSpaceDN w:val="0"/>
        <w:adjustRightInd w:val="0"/>
        <w:jc w:val="both"/>
        <w:rPr>
          <w:iCs/>
        </w:rPr>
      </w:pPr>
      <w:r w:rsidRPr="009118AB">
        <w:rPr>
          <w:i/>
          <w:iCs/>
        </w:rPr>
        <w:t>[</w:t>
      </w:r>
      <w:r w:rsidR="00D67EB8" w:rsidRPr="009118AB">
        <w:rPr>
          <w:i/>
          <w:iCs/>
        </w:rPr>
        <w:t>Art. </w:t>
      </w:r>
      <w:r w:rsidRPr="009118AB">
        <w:rPr>
          <w:i/>
          <w:iCs/>
        </w:rPr>
        <w:t xml:space="preserve">228 </w:t>
      </w:r>
      <w:r w:rsidR="00D67EB8" w:rsidRPr="009118AB">
        <w:rPr>
          <w:i/>
          <w:iCs/>
        </w:rPr>
        <w:t>§ </w:t>
      </w:r>
      <w:r w:rsidR="00E42B3C" w:rsidRPr="009118AB">
        <w:rPr>
          <w:i/>
          <w:iCs/>
        </w:rPr>
        <w:t xml:space="preserve">1 abgeändert durch </w:t>
      </w:r>
      <w:r w:rsidR="00D67EB8" w:rsidRPr="009118AB">
        <w:rPr>
          <w:i/>
          <w:iCs/>
        </w:rPr>
        <w:t>Art. </w:t>
      </w:r>
      <w:r w:rsidR="00E42B3C" w:rsidRPr="009118AB">
        <w:rPr>
          <w:i/>
          <w:iCs/>
        </w:rPr>
        <w:t xml:space="preserve">60 </w:t>
      </w:r>
      <w:r w:rsidR="00D67EB8" w:rsidRPr="009118AB">
        <w:rPr>
          <w:i/>
          <w:iCs/>
        </w:rPr>
        <w:t>Nr. </w:t>
      </w:r>
      <w:r w:rsidR="00E42B3C" w:rsidRPr="009118AB">
        <w:rPr>
          <w:i/>
          <w:iCs/>
        </w:rPr>
        <w:t>1</w:t>
      </w:r>
      <w:r w:rsidR="001A04F4" w:rsidRPr="009118AB">
        <w:rPr>
          <w:i/>
          <w:iCs/>
        </w:rPr>
        <w:t xml:space="preserve"> des G. vom 13. Dezember 2012 (B.S. vom 20. Dezember 2012)</w:t>
      </w:r>
      <w:r w:rsidR="00D67EB8" w:rsidRPr="009118AB">
        <w:rPr>
          <w:i/>
          <w:iCs/>
        </w:rPr>
        <w:t> - </w:t>
      </w:r>
      <w:r w:rsidR="001A04F4" w:rsidRPr="009118AB">
        <w:rPr>
          <w:i/>
          <w:iCs/>
        </w:rPr>
        <w:t>anwendbar ab dem 1. Januar 2013</w:t>
      </w:r>
      <w:r w:rsidR="003366D9" w:rsidRPr="009118AB">
        <w:rPr>
          <w:i/>
          <w:iCs/>
        </w:rPr>
        <w:t> -;</w:t>
      </w:r>
      <w:r w:rsidR="001A04F4" w:rsidRPr="009118AB">
        <w:rPr>
          <w:i/>
          <w:iCs/>
        </w:rPr>
        <w:t xml:space="preserve"> </w:t>
      </w:r>
      <w:r w:rsidR="00D67EB8" w:rsidRPr="009118AB">
        <w:rPr>
          <w:i/>
          <w:iCs/>
        </w:rPr>
        <w:t>§ </w:t>
      </w:r>
      <w:r w:rsidR="001A04F4" w:rsidRPr="009118AB">
        <w:rPr>
          <w:i/>
          <w:iCs/>
        </w:rPr>
        <w:t xml:space="preserve">2 einziger Absatz einleitende Bestimmung ersetzt durch </w:t>
      </w:r>
      <w:r w:rsidR="00D67EB8" w:rsidRPr="009118AB">
        <w:rPr>
          <w:i/>
          <w:iCs/>
        </w:rPr>
        <w:t>Art. </w:t>
      </w:r>
      <w:r w:rsidR="001A04F4" w:rsidRPr="009118AB">
        <w:rPr>
          <w:i/>
          <w:iCs/>
        </w:rPr>
        <w:t xml:space="preserve">60 </w:t>
      </w:r>
      <w:r w:rsidR="00D67EB8" w:rsidRPr="009118AB">
        <w:rPr>
          <w:i/>
          <w:iCs/>
        </w:rPr>
        <w:t>Nr. </w:t>
      </w:r>
      <w:r w:rsidR="001A04F4" w:rsidRPr="009118AB">
        <w:rPr>
          <w:i/>
          <w:iCs/>
        </w:rPr>
        <w:t>2 des G. vom 13. Dezember 2012 (B.S. vom 20. Dezember 2012)</w:t>
      </w:r>
      <w:r w:rsidR="00D67EB8" w:rsidRPr="009118AB">
        <w:rPr>
          <w:i/>
          <w:iCs/>
        </w:rPr>
        <w:t> - </w:t>
      </w:r>
      <w:r w:rsidR="001A04F4" w:rsidRPr="009118AB">
        <w:rPr>
          <w:i/>
          <w:iCs/>
        </w:rPr>
        <w:t>anwendbar ab dem 1. Januar 2013</w:t>
      </w:r>
      <w:r w:rsidR="003366D9" w:rsidRPr="009118AB">
        <w:rPr>
          <w:i/>
          <w:iCs/>
        </w:rPr>
        <w:t> -;</w:t>
      </w:r>
      <w:r w:rsidR="001A04F4"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2 ersetzt durch </w:t>
      </w:r>
      <w:r w:rsidR="00D67EB8" w:rsidRPr="009118AB">
        <w:rPr>
          <w:i/>
          <w:iCs/>
        </w:rPr>
        <w:t>Art. </w:t>
      </w:r>
      <w:r w:rsidRPr="009118AB">
        <w:rPr>
          <w:i/>
          <w:iCs/>
        </w:rPr>
        <w:t xml:space="preserve">3 </w:t>
      </w:r>
      <w:r w:rsidR="00D67EB8" w:rsidRPr="009118AB">
        <w:rPr>
          <w:i/>
          <w:iCs/>
        </w:rPr>
        <w:t>Nr. </w:t>
      </w:r>
      <w:r w:rsidRPr="009118AB">
        <w:rPr>
          <w:i/>
          <w:iCs/>
        </w:rPr>
        <w:t>2 des G. vom 25. April 2006 (B.S. vom 28. April 2006)</w:t>
      </w:r>
      <w:r w:rsidR="00D67EB8" w:rsidRPr="009118AB">
        <w:rPr>
          <w:i/>
          <w:iCs/>
        </w:rPr>
        <w:t> - </w:t>
      </w:r>
      <w:r w:rsidRPr="009118AB">
        <w:rPr>
          <w:i/>
          <w:iCs/>
        </w:rPr>
        <w:t>anwendbar auf Einkünfte, die ab dem 28. April 2006 gezahlt oder zuerkannt werden</w:t>
      </w:r>
      <w:r w:rsidR="003366D9" w:rsidRPr="009118AB">
        <w:rPr>
          <w:i/>
          <w:iCs/>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3 einziger Absatz einleitende Bestimmung abgeändert durch </w:t>
      </w:r>
      <w:r w:rsidR="00D67EB8" w:rsidRPr="009118AB">
        <w:rPr>
          <w:i/>
          <w:iCs/>
        </w:rPr>
        <w:t>Art. </w:t>
      </w:r>
      <w:r w:rsidRPr="009118AB">
        <w:rPr>
          <w:i/>
          <w:iCs/>
        </w:rPr>
        <w:t xml:space="preserve">23 </w:t>
      </w:r>
      <w:r w:rsidR="00D67EB8" w:rsidRPr="009118AB">
        <w:rPr>
          <w:i/>
          <w:iCs/>
        </w:rPr>
        <w:t>Nr. </w:t>
      </w:r>
      <w:r w:rsidRPr="009118AB">
        <w:rPr>
          <w:i/>
          <w:iCs/>
        </w:rPr>
        <w:t>1 des G. vom 28. Juli 1992 (B.S. vom 31. Juli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3 einziger Absatz Buchstabe a) abgeändert durch </w:t>
      </w:r>
      <w:r w:rsidR="00D67EB8" w:rsidRPr="009118AB">
        <w:rPr>
          <w:i/>
          <w:iCs/>
        </w:rPr>
        <w:t>Art. </w:t>
      </w:r>
      <w:r w:rsidRPr="009118AB">
        <w:rPr>
          <w:i/>
          <w:iCs/>
        </w:rPr>
        <w:t xml:space="preserve">23 </w:t>
      </w:r>
      <w:r w:rsidR="00D67EB8" w:rsidRPr="009118AB">
        <w:rPr>
          <w:i/>
          <w:iCs/>
        </w:rPr>
        <w:t>Nr. </w:t>
      </w:r>
      <w:r w:rsidRPr="009118AB">
        <w:rPr>
          <w:i/>
          <w:iCs/>
        </w:rPr>
        <w:t>2 des G. vom 28. Juli 1992 (B.S. vom 31. Juli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3 einziger Absatz Buchstabe c) aufgehoben durch </w:t>
      </w:r>
      <w:r w:rsidR="00D67EB8" w:rsidRPr="009118AB">
        <w:rPr>
          <w:i/>
          <w:iCs/>
        </w:rPr>
        <w:t>Art. </w:t>
      </w:r>
      <w:r w:rsidRPr="009118AB">
        <w:rPr>
          <w:i/>
          <w:iCs/>
        </w:rPr>
        <w:t xml:space="preserve">23 </w:t>
      </w:r>
      <w:r w:rsidR="00D67EB8" w:rsidRPr="009118AB">
        <w:rPr>
          <w:i/>
          <w:iCs/>
        </w:rPr>
        <w:t>Nr. </w:t>
      </w:r>
      <w:r w:rsidRPr="009118AB">
        <w:rPr>
          <w:i/>
          <w:iCs/>
        </w:rPr>
        <w:t xml:space="preserve">3 des G. vom </w:t>
      </w:r>
      <w:r w:rsidRPr="009118AB">
        <w:rPr>
          <w:i/>
          <w:iCs/>
        </w:rPr>
        <w:lastRenderedPageBreak/>
        <w:t>28. Juli 1992 (B.S. vom 31. Juli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3 einziger Absatz Buchstabe d) ersetzt durch </w:t>
      </w:r>
      <w:r w:rsidR="00D67EB8" w:rsidRPr="009118AB">
        <w:rPr>
          <w:i/>
          <w:iCs/>
        </w:rPr>
        <w:t>Art. </w:t>
      </w:r>
      <w:r w:rsidRPr="009118AB">
        <w:rPr>
          <w:i/>
          <w:iCs/>
        </w:rPr>
        <w:t xml:space="preserve">36 </w:t>
      </w:r>
      <w:r w:rsidR="00D67EB8" w:rsidRPr="009118AB">
        <w:rPr>
          <w:i/>
          <w:iCs/>
        </w:rPr>
        <w:t>Nr. </w:t>
      </w:r>
      <w:r w:rsidRPr="009118AB">
        <w:rPr>
          <w:i/>
          <w:iCs/>
        </w:rPr>
        <w:t>1 des K.E. vom 20. Dezember 1996 (B.S. vom 31. Dezember 1996)</w:t>
      </w:r>
      <w:r w:rsidR="00D67EB8" w:rsidRPr="009118AB">
        <w:rPr>
          <w:i/>
          <w:iCs/>
        </w:rPr>
        <w:t> - </w:t>
      </w:r>
      <w:r w:rsidRPr="009118AB">
        <w:rPr>
          <w:i/>
          <w:iCs/>
        </w:rPr>
        <w:t>anwendbar auf die ab dem 1. Januar 1997 gezahlten oder zuerkannten Einkünfte</w:t>
      </w:r>
      <w:r w:rsidR="00D67EB8" w:rsidRPr="009118AB">
        <w:rPr>
          <w:i/>
          <w:iCs/>
        </w:rPr>
        <w:t> - </w:t>
      </w:r>
      <w:r w:rsidR="001A04F4" w:rsidRPr="009118AB">
        <w:rPr>
          <w:i/>
          <w:iCs/>
        </w:rPr>
        <w:t xml:space="preserve">und abgeändert durch </w:t>
      </w:r>
      <w:r w:rsidR="00D67EB8" w:rsidRPr="009118AB">
        <w:rPr>
          <w:i/>
          <w:iCs/>
        </w:rPr>
        <w:t>Art. </w:t>
      </w:r>
      <w:r w:rsidR="001A04F4" w:rsidRPr="009118AB">
        <w:rPr>
          <w:i/>
          <w:iCs/>
        </w:rPr>
        <w:t xml:space="preserve">60 </w:t>
      </w:r>
      <w:r w:rsidR="00D67EB8" w:rsidRPr="009118AB">
        <w:rPr>
          <w:i/>
          <w:iCs/>
        </w:rPr>
        <w:t>Nr. </w:t>
      </w:r>
      <w:r w:rsidR="001A04F4" w:rsidRPr="009118AB">
        <w:rPr>
          <w:i/>
          <w:iCs/>
        </w:rPr>
        <w:t>3 des G. vom 13. Dezember 2012 (B.S. vom 20. Dezember 2012)</w:t>
      </w:r>
      <w:r w:rsidR="00D67EB8" w:rsidRPr="009118AB">
        <w:rPr>
          <w:i/>
          <w:iCs/>
        </w:rPr>
        <w:t> - </w:t>
      </w:r>
      <w:r w:rsidR="001A04F4" w:rsidRPr="009118AB">
        <w:rPr>
          <w:i/>
          <w:iCs/>
        </w:rPr>
        <w:t>anwendbar ab dem 1. Januar 2013</w:t>
      </w:r>
      <w:r w:rsidR="003366D9" w:rsidRPr="009118AB">
        <w:rPr>
          <w:i/>
          <w:iCs/>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3 einziger Absatz Buchstabe e) ersetzt durch </w:t>
      </w:r>
      <w:r w:rsidR="00D67EB8" w:rsidRPr="009118AB">
        <w:rPr>
          <w:i/>
          <w:iCs/>
        </w:rPr>
        <w:t>Art. </w:t>
      </w:r>
      <w:r w:rsidRPr="009118AB">
        <w:rPr>
          <w:i/>
          <w:iCs/>
        </w:rPr>
        <w:t>34 des G. vom 22. Dezember 1998 (B.S. vom 15. Januar 1999)</w:t>
      </w:r>
      <w:r w:rsidR="00D67EB8" w:rsidRPr="009118AB">
        <w:rPr>
          <w:i/>
          <w:iCs/>
        </w:rPr>
        <w:t> - </w:t>
      </w:r>
      <w:r w:rsidRPr="009118AB">
        <w:rPr>
          <w:i/>
          <w:iCs/>
        </w:rPr>
        <w:t>anwendbar auf die Miteigentümer</w:t>
      </w:r>
      <w:r w:rsidR="00365503" w:rsidRPr="009118AB">
        <w:rPr>
          <w:i/>
          <w:iCs/>
        </w:rPr>
        <w:softHyphen/>
      </w:r>
      <w:r w:rsidRPr="009118AB">
        <w:rPr>
          <w:i/>
          <w:iCs/>
        </w:rPr>
        <w:t>vereinigungen, die ab dem 1. August 1995 Rechtspersönlichkeit besitzen</w:t>
      </w:r>
      <w:r w:rsidR="003366D9" w:rsidRPr="009118AB">
        <w:rPr>
          <w:i/>
          <w:iCs/>
        </w:rPr>
        <w:t> -;</w:t>
      </w:r>
      <w:r w:rsidR="00522AFB" w:rsidRPr="009118AB">
        <w:rPr>
          <w:i/>
          <w:iCs/>
        </w:rPr>
        <w:t xml:space="preserve"> </w:t>
      </w:r>
      <w:bookmarkStart w:id="20" w:name="_Hlk134608376"/>
      <w:r w:rsidR="00D67EB8" w:rsidRPr="009118AB">
        <w:rPr>
          <w:i/>
          <w:iCs/>
        </w:rPr>
        <w:t>§ </w:t>
      </w:r>
      <w:r w:rsidR="00522AFB" w:rsidRPr="009118AB">
        <w:rPr>
          <w:i/>
          <w:iCs/>
        </w:rPr>
        <w:t xml:space="preserve">2 einziger Absatz </w:t>
      </w:r>
      <w:r w:rsidR="00D67EB8" w:rsidRPr="009118AB">
        <w:rPr>
          <w:i/>
          <w:iCs/>
        </w:rPr>
        <w:t>Nr. </w:t>
      </w:r>
      <w:r w:rsidR="00522AFB" w:rsidRPr="009118AB">
        <w:rPr>
          <w:i/>
          <w:iCs/>
        </w:rPr>
        <w:t>3bis</w:t>
      </w:r>
      <w:bookmarkEnd w:id="20"/>
      <w:r w:rsidR="00522AFB" w:rsidRPr="009118AB">
        <w:rPr>
          <w:i/>
          <w:iCs/>
        </w:rPr>
        <w:t xml:space="preserve"> eingefügt durch </w:t>
      </w:r>
      <w:r w:rsidR="00D67EB8" w:rsidRPr="009118AB">
        <w:rPr>
          <w:i/>
          <w:iCs/>
        </w:rPr>
        <w:t>Art. </w:t>
      </w:r>
      <w:r w:rsidR="00522AFB" w:rsidRPr="009118AB">
        <w:rPr>
          <w:i/>
          <w:iCs/>
        </w:rPr>
        <w:t>25</w:t>
      </w:r>
      <w:r w:rsidR="00522AFB" w:rsidRPr="009118AB">
        <w:rPr>
          <w:i/>
          <w:iCs/>
          <w:spacing w:val="-5"/>
        </w:rPr>
        <w:t xml:space="preserve"> des G. vom 11. Dezember 2008 (B.S. vom 12. Januar 2009)</w:t>
      </w:r>
      <w:r w:rsidR="00D67EB8" w:rsidRPr="009118AB">
        <w:rPr>
          <w:i/>
          <w:iCs/>
          <w:spacing w:val="-5"/>
        </w:rPr>
        <w:t> - </w:t>
      </w:r>
      <w:r w:rsidR="00522AFB" w:rsidRPr="009118AB">
        <w:rPr>
          <w:i/>
          <w:iCs/>
        </w:rPr>
        <w:t>anwendbar auf Vorgänge oder Verlegungen, die ab dem 12. Januar 2009 statt</w:t>
      </w:r>
      <w:r w:rsidR="00522AFB" w:rsidRPr="009118AB">
        <w:rPr>
          <w:i/>
          <w:iCs/>
        </w:rPr>
        <w:softHyphen/>
        <w:t>finden</w:t>
      </w:r>
      <w:r w:rsidR="003366D9" w:rsidRPr="009118AB">
        <w:rPr>
          <w:i/>
          <w:iCs/>
        </w:rPr>
        <w:t> -;</w:t>
      </w:r>
      <w:r w:rsidR="001358BE" w:rsidRPr="009118AB">
        <w:rPr>
          <w:i/>
          <w:iCs/>
        </w:rPr>
        <w:t xml:space="preserve"> </w:t>
      </w:r>
      <w:r w:rsidR="00D67EB8" w:rsidRPr="009118AB">
        <w:rPr>
          <w:i/>
          <w:iCs/>
        </w:rPr>
        <w:t>§ </w:t>
      </w:r>
      <w:r w:rsidR="001358BE" w:rsidRPr="009118AB">
        <w:rPr>
          <w:i/>
          <w:iCs/>
        </w:rPr>
        <w:t xml:space="preserve">2 einziger Absatz </w:t>
      </w:r>
      <w:r w:rsidR="00D67EB8" w:rsidRPr="009118AB">
        <w:rPr>
          <w:i/>
          <w:iCs/>
        </w:rPr>
        <w:t>Nr. </w:t>
      </w:r>
      <w:r w:rsidR="001358BE" w:rsidRPr="009118AB">
        <w:rPr>
          <w:i/>
          <w:iCs/>
        </w:rPr>
        <w:t>3bis einleitende Bestimmung</w:t>
      </w:r>
      <w:r w:rsidR="00365503" w:rsidRPr="009118AB">
        <w:rPr>
          <w:i/>
          <w:iCs/>
        </w:rPr>
        <w:t xml:space="preserve"> abgeändert durch </w:t>
      </w:r>
      <w:r w:rsidR="00D67EB8" w:rsidRPr="009118AB">
        <w:rPr>
          <w:i/>
          <w:iCs/>
        </w:rPr>
        <w:t>Art. </w:t>
      </w:r>
      <w:r w:rsidR="00365503" w:rsidRPr="009118AB">
        <w:rPr>
          <w:i/>
          <w:iCs/>
        </w:rPr>
        <w:t>72</w:t>
      </w:r>
      <w:r w:rsidR="00365503" w:rsidRPr="009118AB">
        <w:rPr>
          <w:bCs/>
          <w:i/>
          <w:iCs/>
        </w:rPr>
        <w:t xml:space="preserve"> des G. vom 27. Juni 2021 (B.S. vom 30. Juni 2021)</w:t>
      </w:r>
      <w:r w:rsidR="00522AFB" w:rsidRPr="009118AB">
        <w:rPr>
          <w:i/>
          <w:iCs/>
        </w:rPr>
        <w:t>;</w:t>
      </w:r>
      <w:r w:rsidRPr="009118AB">
        <w:rPr>
          <w:i/>
          <w:iCs/>
        </w:rPr>
        <w:t xml:space="preserve"> </w:t>
      </w:r>
      <w:r w:rsidR="00D67EB8" w:rsidRPr="009118AB">
        <w:rPr>
          <w:i/>
          <w:iCs/>
        </w:rPr>
        <w:t>§ </w:t>
      </w:r>
      <w:r w:rsidR="00D7436F" w:rsidRPr="009118AB">
        <w:rPr>
          <w:i/>
          <w:iCs/>
        </w:rPr>
        <w:t xml:space="preserve">2 einziger Absatz </w:t>
      </w:r>
      <w:r w:rsidR="00D67EB8" w:rsidRPr="009118AB">
        <w:rPr>
          <w:i/>
          <w:iCs/>
        </w:rPr>
        <w:t>Nr. </w:t>
      </w:r>
      <w:r w:rsidR="00D7436F" w:rsidRPr="009118AB">
        <w:rPr>
          <w:i/>
          <w:iCs/>
        </w:rPr>
        <w:t xml:space="preserve">6 einziger Absatz einleitende Bestimmung </w:t>
      </w:r>
      <w:r w:rsidR="001A04F4" w:rsidRPr="009118AB">
        <w:rPr>
          <w:i/>
          <w:iCs/>
        </w:rPr>
        <w:t xml:space="preserve">ersetzt durch </w:t>
      </w:r>
      <w:r w:rsidR="00D67EB8" w:rsidRPr="009118AB">
        <w:rPr>
          <w:i/>
          <w:iCs/>
        </w:rPr>
        <w:t>Art. </w:t>
      </w:r>
      <w:r w:rsidR="001A04F4" w:rsidRPr="009118AB">
        <w:rPr>
          <w:i/>
          <w:iCs/>
        </w:rPr>
        <w:t xml:space="preserve">60 </w:t>
      </w:r>
      <w:r w:rsidR="00D67EB8" w:rsidRPr="009118AB">
        <w:rPr>
          <w:i/>
          <w:iCs/>
        </w:rPr>
        <w:t>Nr. </w:t>
      </w:r>
      <w:r w:rsidR="001A04F4" w:rsidRPr="009118AB">
        <w:rPr>
          <w:i/>
          <w:iCs/>
        </w:rPr>
        <w:t>4 des G. vom 13. Dezember 2012 (B.S. vom 20. Dezember 2012)</w:t>
      </w:r>
      <w:r w:rsidR="00D7436F" w:rsidRPr="009118AB">
        <w:rPr>
          <w:i/>
          <w:iCs/>
        </w:rPr>
        <w:t xml:space="preserve">; </w:t>
      </w:r>
      <w:r w:rsidR="00D67EB8" w:rsidRPr="009118AB">
        <w:rPr>
          <w:i/>
          <w:iCs/>
        </w:rPr>
        <w:t>§ </w:t>
      </w:r>
      <w:r w:rsidR="00C8627C" w:rsidRPr="009118AB">
        <w:rPr>
          <w:i/>
          <w:iCs/>
        </w:rPr>
        <w:t xml:space="preserve">2 einziger Absatz </w:t>
      </w:r>
      <w:r w:rsidR="00D67EB8" w:rsidRPr="009118AB">
        <w:rPr>
          <w:i/>
          <w:iCs/>
        </w:rPr>
        <w:t>Nr. </w:t>
      </w:r>
      <w:r w:rsidR="002700C6" w:rsidRPr="009118AB">
        <w:rPr>
          <w:i/>
          <w:iCs/>
        </w:rPr>
        <w:t xml:space="preserve">6 einziger Absatz Buchstabe b) abgeändert durch </w:t>
      </w:r>
      <w:r w:rsidR="00D67EB8" w:rsidRPr="009118AB">
        <w:rPr>
          <w:i/>
          <w:iCs/>
        </w:rPr>
        <w:t>Art. </w:t>
      </w:r>
      <w:r w:rsidR="002700C6" w:rsidRPr="009118AB">
        <w:rPr>
          <w:i/>
          <w:iCs/>
        </w:rPr>
        <w:t>54</w:t>
      </w:r>
      <w:r w:rsidR="002700C6" w:rsidRPr="009118AB">
        <w:rPr>
          <w:i/>
          <w:iCs/>
          <w:spacing w:val="-2"/>
        </w:rPr>
        <w:t xml:space="preserve"> des G. vom 17. März 2019 (III) (B.S. vom 10. Mai 2019)</w:t>
      </w:r>
      <w:r w:rsidR="00D67EB8" w:rsidRPr="009118AB">
        <w:rPr>
          <w:i/>
          <w:iCs/>
          <w:spacing w:val="-2"/>
        </w:rPr>
        <w:t> - </w:t>
      </w:r>
      <w:r w:rsidR="002700C6" w:rsidRPr="009118AB">
        <w:rPr>
          <w:i/>
          <w:iCs/>
          <w:spacing w:val="-2"/>
        </w:rPr>
        <w:t>in Kraft am 1. Mai 2019</w:t>
      </w:r>
      <w:r w:rsidR="003366D9" w:rsidRPr="009118AB">
        <w:rPr>
          <w:i/>
          <w:iCs/>
          <w:spacing w:val="-2"/>
        </w:rPr>
        <w:t> -;</w:t>
      </w:r>
      <w:r w:rsidR="002700C6" w:rsidRPr="009118AB">
        <w:rPr>
          <w:i/>
          <w:iCs/>
        </w:rPr>
        <w:t xml:space="preserve"> </w:t>
      </w:r>
      <w:r w:rsidR="00D67EB8" w:rsidRPr="009118AB">
        <w:rPr>
          <w:i/>
          <w:iCs/>
        </w:rPr>
        <w:t>§ </w:t>
      </w:r>
      <w:r w:rsidR="002700C6" w:rsidRPr="009118AB">
        <w:rPr>
          <w:i/>
          <w:iCs/>
        </w:rPr>
        <w:t xml:space="preserve">2 einziger Absatz </w:t>
      </w:r>
      <w:r w:rsidR="00D67EB8" w:rsidRPr="009118AB">
        <w:rPr>
          <w:i/>
          <w:iCs/>
        </w:rPr>
        <w:t>Nr. </w:t>
      </w:r>
      <w:r w:rsidR="002700C6" w:rsidRPr="009118AB">
        <w:rPr>
          <w:i/>
          <w:iCs/>
        </w:rPr>
        <w:t xml:space="preserve">6 einziger Absatz Buchstabe d) ersetzt durch </w:t>
      </w:r>
      <w:r w:rsidR="00D67EB8" w:rsidRPr="009118AB">
        <w:rPr>
          <w:i/>
          <w:iCs/>
        </w:rPr>
        <w:t>Art. </w:t>
      </w:r>
      <w:r w:rsidR="002700C6" w:rsidRPr="009118AB">
        <w:rPr>
          <w:i/>
          <w:iCs/>
        </w:rPr>
        <w:t xml:space="preserve">60 </w:t>
      </w:r>
      <w:r w:rsidR="00D67EB8" w:rsidRPr="009118AB">
        <w:rPr>
          <w:i/>
          <w:iCs/>
        </w:rPr>
        <w:t>Nr. </w:t>
      </w:r>
      <w:r w:rsidR="002700C6" w:rsidRPr="009118AB">
        <w:rPr>
          <w:i/>
          <w:iCs/>
        </w:rPr>
        <w:t>5 des G. vom 13. Dezember 2012 (B.S. vom 20. Dezember 2012)</w:t>
      </w:r>
      <w:r w:rsidR="00D67EB8" w:rsidRPr="009118AB">
        <w:rPr>
          <w:i/>
          <w:iCs/>
        </w:rPr>
        <w:t> - </w:t>
      </w:r>
      <w:r w:rsidR="002700C6" w:rsidRPr="009118AB">
        <w:rPr>
          <w:i/>
          <w:iCs/>
        </w:rPr>
        <w:t>anwendbar ab dem 1. Januar 2013</w:t>
      </w:r>
      <w:r w:rsidR="003366D9" w:rsidRPr="009118AB">
        <w:rPr>
          <w:i/>
          <w:iCs/>
        </w:rPr>
        <w:t> -;</w:t>
      </w:r>
      <w:r w:rsidR="002700C6" w:rsidRPr="009118AB">
        <w:rPr>
          <w:i/>
          <w:iCs/>
        </w:rPr>
        <w:t xml:space="preserve"> </w:t>
      </w:r>
      <w:r w:rsidR="00D67EB8" w:rsidRPr="009118AB">
        <w:rPr>
          <w:i/>
          <w:iCs/>
        </w:rPr>
        <w:t>§ </w:t>
      </w:r>
      <w:r w:rsidR="00E43754" w:rsidRPr="009118AB">
        <w:rPr>
          <w:i/>
          <w:iCs/>
        </w:rPr>
        <w:t xml:space="preserve">2 einziger Absatz </w:t>
      </w:r>
      <w:r w:rsidR="00D67EB8" w:rsidRPr="009118AB">
        <w:rPr>
          <w:i/>
          <w:iCs/>
        </w:rPr>
        <w:t>Nr. </w:t>
      </w:r>
      <w:r w:rsidR="00E43754" w:rsidRPr="009118AB">
        <w:rPr>
          <w:i/>
          <w:iCs/>
        </w:rPr>
        <w:t xml:space="preserve">7 abgeändert durch </w:t>
      </w:r>
      <w:r w:rsidR="00D67EB8" w:rsidRPr="009118AB">
        <w:rPr>
          <w:i/>
          <w:iCs/>
        </w:rPr>
        <w:t>Art. </w:t>
      </w:r>
      <w:r w:rsidR="00E43754" w:rsidRPr="009118AB">
        <w:rPr>
          <w:i/>
          <w:iCs/>
        </w:rPr>
        <w:t>161 des G. (I) vom 22. Dezember 2008 (II) (B.S.</w:t>
      </w:r>
      <w:r w:rsidR="00D7436F" w:rsidRPr="009118AB">
        <w:rPr>
          <w:i/>
          <w:iCs/>
        </w:rPr>
        <w:t> </w:t>
      </w:r>
      <w:r w:rsidR="00E43754" w:rsidRPr="009118AB">
        <w:rPr>
          <w:i/>
          <w:iCs/>
        </w:rPr>
        <w:t>vom 29. Dezember 2008)</w:t>
      </w:r>
      <w:r w:rsidR="00D67EB8" w:rsidRPr="009118AB">
        <w:rPr>
          <w:i/>
          <w:iCs/>
        </w:rPr>
        <w:t> - </w:t>
      </w:r>
      <w:r w:rsidR="00E43754" w:rsidRPr="009118AB">
        <w:rPr>
          <w:i/>
          <w:iCs/>
        </w:rPr>
        <w:t>anwendbar auf die ab dem 1. Januar 2009 erzielten oder bezogenen Einkünfte</w:t>
      </w:r>
      <w:r w:rsidR="003366D9" w:rsidRPr="009118AB">
        <w:rPr>
          <w:i/>
          <w:iCs/>
        </w:rPr>
        <w:t> -;</w:t>
      </w:r>
      <w:r w:rsidR="00E43754" w:rsidRPr="009118AB">
        <w:rPr>
          <w:i/>
          <w:iCs/>
        </w:rPr>
        <w:t xml:space="preserve"> </w:t>
      </w:r>
      <w:r w:rsidR="00D67EB8" w:rsidRPr="009118AB">
        <w:rPr>
          <w:i/>
          <w:iCs/>
        </w:rPr>
        <w:t>§ </w:t>
      </w:r>
      <w:r w:rsidR="00D7436F" w:rsidRPr="009118AB">
        <w:rPr>
          <w:i/>
          <w:iCs/>
        </w:rPr>
        <w:t xml:space="preserve">2 einziger Absatz </w:t>
      </w:r>
      <w:r w:rsidR="00D67EB8" w:rsidRPr="009118AB">
        <w:rPr>
          <w:i/>
          <w:iCs/>
        </w:rPr>
        <w:t>Nr. </w:t>
      </w:r>
      <w:r w:rsidR="00D7436F" w:rsidRPr="009118AB">
        <w:rPr>
          <w:i/>
          <w:iCs/>
        </w:rPr>
        <w:t xml:space="preserve">7bis eingefügt durch </w:t>
      </w:r>
      <w:r w:rsidR="00D67EB8" w:rsidRPr="009118AB">
        <w:rPr>
          <w:i/>
          <w:iCs/>
        </w:rPr>
        <w:t>Art. </w:t>
      </w:r>
      <w:r w:rsidR="00D7436F" w:rsidRPr="009118AB">
        <w:rPr>
          <w:i/>
          <w:iCs/>
        </w:rPr>
        <w:t xml:space="preserve">31 </w:t>
      </w:r>
      <w:r w:rsidR="00D67EB8" w:rsidRPr="009118AB">
        <w:rPr>
          <w:i/>
          <w:iCs/>
        </w:rPr>
        <w:t>Nr. </w:t>
      </w:r>
      <w:r w:rsidR="00D7436F" w:rsidRPr="009118AB">
        <w:rPr>
          <w:i/>
          <w:iCs/>
        </w:rPr>
        <w:t xml:space="preserve">2 des </w:t>
      </w:r>
      <w:r w:rsidR="00DC1F9F" w:rsidRPr="009118AB">
        <w:rPr>
          <w:i/>
          <w:iCs/>
        </w:rPr>
        <w:t>G. vom 22. Dezember 2009 (I)</w:t>
      </w:r>
      <w:r w:rsidR="00D7436F" w:rsidRPr="009118AB">
        <w:rPr>
          <w:i/>
          <w:iCs/>
        </w:rPr>
        <w:t xml:space="preserve"> (B.S. vom 31. Dezember 2009)</w:t>
      </w:r>
      <w:r w:rsidR="00D67EB8" w:rsidRPr="009118AB">
        <w:rPr>
          <w:i/>
          <w:iCs/>
        </w:rPr>
        <w:t> - </w:t>
      </w:r>
      <w:r w:rsidR="00D7436F" w:rsidRPr="009118AB">
        <w:rPr>
          <w:i/>
          <w:iCs/>
        </w:rPr>
        <w:t>anwendbar auf die ab dem 1. Januar 2009 gezahlten oder zuerkannten Einkünfte</w:t>
      </w:r>
      <w:r w:rsidR="003366D9" w:rsidRPr="009118AB">
        <w:rPr>
          <w:i/>
          <w:iCs/>
        </w:rPr>
        <w:t> -;</w:t>
      </w:r>
      <w:r w:rsidR="001A04F4" w:rsidRPr="009118AB">
        <w:rPr>
          <w:i/>
          <w:iCs/>
        </w:rPr>
        <w:t xml:space="preserve"> </w:t>
      </w:r>
      <w:r w:rsidR="00D67EB8" w:rsidRPr="009118AB">
        <w:rPr>
          <w:i/>
          <w:iCs/>
        </w:rPr>
        <w:t>§ </w:t>
      </w:r>
      <w:r w:rsidR="002700C6" w:rsidRPr="009118AB">
        <w:rPr>
          <w:i/>
          <w:iCs/>
        </w:rPr>
        <w:t xml:space="preserve">2 einziger Absatz </w:t>
      </w:r>
      <w:r w:rsidR="00D67EB8" w:rsidRPr="009118AB">
        <w:rPr>
          <w:i/>
          <w:iCs/>
        </w:rPr>
        <w:t>Nr. </w:t>
      </w:r>
      <w:r w:rsidR="002700C6" w:rsidRPr="009118AB">
        <w:rPr>
          <w:i/>
          <w:iCs/>
        </w:rPr>
        <w:t xml:space="preserve">7bis einziger Absatz Buchstabe b) abgeändert durch </w:t>
      </w:r>
      <w:r w:rsidR="00D67EB8" w:rsidRPr="009118AB">
        <w:rPr>
          <w:i/>
          <w:iCs/>
        </w:rPr>
        <w:t>Art. </w:t>
      </w:r>
      <w:r w:rsidR="002700C6" w:rsidRPr="009118AB">
        <w:rPr>
          <w:i/>
          <w:iCs/>
        </w:rPr>
        <w:t>54</w:t>
      </w:r>
      <w:r w:rsidR="002700C6" w:rsidRPr="009118AB">
        <w:rPr>
          <w:i/>
          <w:iCs/>
          <w:spacing w:val="-2"/>
        </w:rPr>
        <w:t xml:space="preserve"> des G. vom 17. März 2019 (III) (B.S. vom 10. Mai 2019)</w:t>
      </w:r>
      <w:r w:rsidR="00D67EB8" w:rsidRPr="009118AB">
        <w:rPr>
          <w:i/>
          <w:iCs/>
          <w:spacing w:val="-2"/>
        </w:rPr>
        <w:t> - </w:t>
      </w:r>
      <w:r w:rsidR="002700C6" w:rsidRPr="009118AB">
        <w:rPr>
          <w:i/>
          <w:iCs/>
          <w:spacing w:val="-2"/>
        </w:rPr>
        <w:t>in Kraft am 1. Mai 2019</w:t>
      </w:r>
      <w:r w:rsidR="003366D9" w:rsidRPr="009118AB">
        <w:rPr>
          <w:i/>
          <w:iCs/>
          <w:spacing w:val="-2"/>
        </w:rPr>
        <w:t> -;</w:t>
      </w:r>
      <w:r w:rsidR="002700C6" w:rsidRPr="009118AB">
        <w:rPr>
          <w:i/>
          <w:iCs/>
          <w:spacing w:val="-2"/>
        </w:rPr>
        <w:t xml:space="preserve"> </w:t>
      </w:r>
      <w:r w:rsidR="00D67EB8" w:rsidRPr="009118AB">
        <w:rPr>
          <w:i/>
          <w:iCs/>
        </w:rPr>
        <w:t>§ </w:t>
      </w:r>
      <w:r w:rsidR="001A04F4" w:rsidRPr="009118AB">
        <w:rPr>
          <w:i/>
          <w:iCs/>
        </w:rPr>
        <w:t xml:space="preserve">2 einziger Absatz </w:t>
      </w:r>
      <w:r w:rsidR="00D67EB8" w:rsidRPr="009118AB">
        <w:rPr>
          <w:i/>
          <w:iCs/>
        </w:rPr>
        <w:t>Nr. </w:t>
      </w:r>
      <w:r w:rsidR="001A04F4" w:rsidRPr="009118AB">
        <w:rPr>
          <w:i/>
          <w:iCs/>
        </w:rPr>
        <w:t xml:space="preserve">7bis einziger Absatz Buchstabe d) ersetzt durch </w:t>
      </w:r>
      <w:r w:rsidR="00D67EB8" w:rsidRPr="009118AB">
        <w:rPr>
          <w:i/>
          <w:iCs/>
        </w:rPr>
        <w:t>Art. </w:t>
      </w:r>
      <w:r w:rsidR="001A04F4" w:rsidRPr="009118AB">
        <w:rPr>
          <w:i/>
          <w:iCs/>
        </w:rPr>
        <w:t xml:space="preserve">60 </w:t>
      </w:r>
      <w:r w:rsidR="00D67EB8" w:rsidRPr="009118AB">
        <w:rPr>
          <w:i/>
          <w:iCs/>
        </w:rPr>
        <w:t>Nr. </w:t>
      </w:r>
      <w:r w:rsidR="001A04F4" w:rsidRPr="009118AB">
        <w:rPr>
          <w:i/>
          <w:iCs/>
        </w:rPr>
        <w:t>6 des G. vom 13. Dezember 2012 (B.S. vom 20. Dezember 2012)</w:t>
      </w:r>
      <w:r w:rsidR="00D67EB8" w:rsidRPr="009118AB">
        <w:rPr>
          <w:i/>
          <w:iCs/>
        </w:rPr>
        <w:t> - </w:t>
      </w:r>
      <w:r w:rsidR="001A04F4" w:rsidRPr="009118AB">
        <w:rPr>
          <w:i/>
          <w:iCs/>
        </w:rPr>
        <w:t>anwendbar ab dem 1. Januar 2013</w:t>
      </w:r>
      <w:r w:rsidR="003366D9" w:rsidRPr="009118AB">
        <w:rPr>
          <w:i/>
          <w:iCs/>
        </w:rPr>
        <w:t> -;</w:t>
      </w:r>
      <w:r w:rsidR="00D7436F" w:rsidRPr="009118AB">
        <w:rPr>
          <w:i/>
          <w:iCs/>
        </w:rPr>
        <w:t xml:space="preserve"> </w:t>
      </w:r>
      <w:r w:rsidR="00D67EB8" w:rsidRPr="009118AB">
        <w:rPr>
          <w:i/>
          <w:iCs/>
        </w:rPr>
        <w:t>§ </w:t>
      </w:r>
      <w:r w:rsidRPr="009118AB">
        <w:rPr>
          <w:i/>
          <w:iCs/>
        </w:rPr>
        <w:t xml:space="preserve">2 einziger Absatz neue Nummer 8 eingefügt durch </w:t>
      </w:r>
      <w:r w:rsidR="00D67EB8" w:rsidRPr="009118AB">
        <w:rPr>
          <w:i/>
          <w:iCs/>
        </w:rPr>
        <w:t>Art. </w:t>
      </w:r>
      <w:r w:rsidRPr="009118AB">
        <w:rPr>
          <w:i/>
          <w:iCs/>
        </w:rPr>
        <w:t xml:space="preserve">23 </w:t>
      </w:r>
      <w:r w:rsidR="00D67EB8" w:rsidRPr="009118AB">
        <w:rPr>
          <w:i/>
          <w:iCs/>
        </w:rPr>
        <w:t>Nr. </w:t>
      </w:r>
      <w:r w:rsidRPr="009118AB">
        <w:rPr>
          <w:i/>
          <w:iCs/>
        </w:rPr>
        <w:t>4 des G. vom 28. Juli 1992 (B.S. vom 31. Juli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 </w:t>
      </w:r>
      <w:r w:rsidRPr="009118AB">
        <w:rPr>
          <w:i/>
          <w:iCs/>
        </w:rPr>
        <w:t xml:space="preserve">2 einziger Absatz frühere Nummer 8 umnummeriert zu </w:t>
      </w:r>
      <w:r w:rsidR="00D67EB8" w:rsidRPr="009118AB">
        <w:rPr>
          <w:i/>
          <w:iCs/>
        </w:rPr>
        <w:t>Nr. </w:t>
      </w:r>
      <w:r w:rsidRPr="009118AB">
        <w:rPr>
          <w:i/>
          <w:iCs/>
        </w:rPr>
        <w:t xml:space="preserve">9 durch </w:t>
      </w:r>
      <w:r w:rsidR="00D67EB8" w:rsidRPr="009118AB">
        <w:rPr>
          <w:i/>
          <w:iCs/>
        </w:rPr>
        <w:t>Art. </w:t>
      </w:r>
      <w:r w:rsidRPr="009118AB">
        <w:rPr>
          <w:i/>
          <w:iCs/>
        </w:rPr>
        <w:t xml:space="preserve">23 </w:t>
      </w:r>
      <w:r w:rsidR="00D67EB8" w:rsidRPr="009118AB">
        <w:rPr>
          <w:i/>
          <w:iCs/>
        </w:rPr>
        <w:t>Nr. </w:t>
      </w:r>
      <w:r w:rsidRPr="009118AB">
        <w:rPr>
          <w:i/>
          <w:iCs/>
        </w:rPr>
        <w:t>4 des G. vom 28. Juli 1992 (B.S. vom 31. Juli 1992)</w:t>
      </w:r>
      <w:r w:rsidR="00D67EB8" w:rsidRPr="009118AB">
        <w:rPr>
          <w:i/>
          <w:iCs/>
        </w:rPr>
        <w:t> - </w:t>
      </w:r>
      <w:r w:rsidRPr="009118AB">
        <w:rPr>
          <w:i/>
          <w:iCs/>
        </w:rPr>
        <w:t>anwendbar ab dem Steuerjahr</w:t>
      </w:r>
      <w:r w:rsidR="00B421B5" w:rsidRPr="009118AB">
        <w:rPr>
          <w:i/>
          <w:iCs/>
        </w:rPr>
        <w:t> </w:t>
      </w:r>
      <w:r w:rsidRPr="009118AB">
        <w:rPr>
          <w:i/>
          <w:iCs/>
        </w:rPr>
        <w:t>1993</w:t>
      </w:r>
      <w:r w:rsidR="003366D9" w:rsidRPr="009118AB">
        <w:rPr>
          <w:i/>
          <w:iCs/>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9 einziger Absatz einleitende Bestimmung ersetzt durch </w:t>
      </w:r>
      <w:r w:rsidR="00D67EB8" w:rsidRPr="009118AB">
        <w:rPr>
          <w:i/>
          <w:iCs/>
        </w:rPr>
        <w:t>Art. </w:t>
      </w:r>
      <w:r w:rsidRPr="009118AB">
        <w:rPr>
          <w:i/>
          <w:iCs/>
        </w:rPr>
        <w:t xml:space="preserve">36 </w:t>
      </w:r>
      <w:r w:rsidR="00D67EB8" w:rsidRPr="009118AB">
        <w:rPr>
          <w:i/>
          <w:iCs/>
        </w:rPr>
        <w:t>Nr. </w:t>
      </w:r>
      <w:r w:rsidRPr="009118AB">
        <w:rPr>
          <w:i/>
          <w:iCs/>
        </w:rPr>
        <w:t>2 des K.E. vom 20. Dezember 1996</w:t>
      </w:r>
      <w:r w:rsidR="00D27B17" w:rsidRPr="009118AB">
        <w:rPr>
          <w:i/>
          <w:iCs/>
        </w:rPr>
        <w:t xml:space="preserve"> (B.S. vom 31. Dezember 1996)</w:t>
      </w:r>
      <w:r w:rsidR="00D67EB8" w:rsidRPr="009118AB">
        <w:rPr>
          <w:i/>
          <w:iCs/>
        </w:rPr>
        <w:t> - </w:t>
      </w:r>
      <w:r w:rsidRPr="009118AB">
        <w:rPr>
          <w:i/>
          <w:iCs/>
        </w:rPr>
        <w:t>anwendbar ab dem 1. Januar 1997</w:t>
      </w:r>
      <w:r w:rsidR="00D67EB8" w:rsidRPr="009118AB">
        <w:rPr>
          <w:i/>
          <w:iCs/>
        </w:rPr>
        <w:t> - </w:t>
      </w:r>
      <w:r w:rsidRPr="009118AB">
        <w:rPr>
          <w:i/>
          <w:iCs/>
        </w:rPr>
        <w:t xml:space="preserve">und abgeändert durch </w:t>
      </w:r>
      <w:r w:rsidR="00D67EB8" w:rsidRPr="009118AB">
        <w:rPr>
          <w:i/>
          <w:iCs/>
        </w:rPr>
        <w:t>Art. </w:t>
      </w:r>
      <w:r w:rsidRPr="009118AB">
        <w:rPr>
          <w:i/>
          <w:iCs/>
        </w:rPr>
        <w:t xml:space="preserve">49 </w:t>
      </w:r>
      <w:r w:rsidR="00D67EB8" w:rsidRPr="009118AB">
        <w:rPr>
          <w:i/>
          <w:iCs/>
        </w:rPr>
        <w:t>Nr. </w:t>
      </w:r>
      <w:r w:rsidRPr="009118AB">
        <w:rPr>
          <w:i/>
          <w:iCs/>
        </w:rPr>
        <w:t>1 des G. vom 15. Dezember 2004 (B.S. vom 1. Februar 2005)</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FD68E8" w:rsidRPr="009118AB">
        <w:rPr>
          <w:i/>
          <w:iCs/>
        </w:rPr>
        <w:t> -,</w:t>
      </w:r>
      <w:r w:rsidRPr="009118AB">
        <w:rPr>
          <w:i/>
          <w:iCs/>
        </w:rPr>
        <w:t xml:space="preserve"> </w:t>
      </w:r>
      <w:r w:rsidR="00D67EB8" w:rsidRPr="009118AB">
        <w:rPr>
          <w:i/>
          <w:iCs/>
        </w:rPr>
        <w:t>Art. </w:t>
      </w:r>
      <w:r w:rsidRPr="009118AB">
        <w:rPr>
          <w:i/>
          <w:iCs/>
        </w:rPr>
        <w:t xml:space="preserve">136 </w:t>
      </w:r>
      <w:r w:rsidR="00D67EB8" w:rsidRPr="009118AB">
        <w:rPr>
          <w:i/>
          <w:iCs/>
        </w:rPr>
        <w:t>Nr. </w:t>
      </w:r>
      <w:r w:rsidRPr="009118AB">
        <w:rPr>
          <w:i/>
          <w:iCs/>
        </w:rPr>
        <w:t>1 des G.</w:t>
      </w:r>
      <w:r w:rsidR="00B421B5" w:rsidRPr="009118AB">
        <w:rPr>
          <w:i/>
          <w:iCs/>
        </w:rPr>
        <w:t> </w:t>
      </w:r>
      <w:r w:rsidRPr="009118AB">
        <w:rPr>
          <w:i/>
          <w:iCs/>
        </w:rPr>
        <w:t>(IV) vom 25. April 2007 (I) (B.S. vom 8. Mai 2007)</w:t>
      </w:r>
      <w:r w:rsidR="00D67EB8" w:rsidRPr="009118AB">
        <w:rPr>
          <w:i/>
          <w:iCs/>
        </w:rPr>
        <w:t> - </w:t>
      </w:r>
      <w:r w:rsidRPr="009118AB">
        <w:rPr>
          <w:i/>
          <w:iCs/>
        </w:rPr>
        <w:t>anwendbar auf die ab dem 1. Januar 2007 gezahlten oder zuerkannten Vergütungen und Entlohnungen</w:t>
      </w:r>
      <w:r w:rsidR="00FD68E8" w:rsidRPr="009118AB">
        <w:rPr>
          <w:i/>
          <w:iCs/>
        </w:rPr>
        <w:t> -,</w:t>
      </w:r>
      <w:r w:rsidR="001238D6" w:rsidRPr="009118AB">
        <w:rPr>
          <w:i/>
          <w:iCs/>
        </w:rPr>
        <w:t xml:space="preserve"> </w:t>
      </w:r>
      <w:r w:rsidR="00D67EB8" w:rsidRPr="009118AB">
        <w:rPr>
          <w:i/>
          <w:iCs/>
        </w:rPr>
        <w:t>Art. </w:t>
      </w:r>
      <w:r w:rsidR="001238D6" w:rsidRPr="009118AB">
        <w:rPr>
          <w:i/>
          <w:iCs/>
        </w:rPr>
        <w:t xml:space="preserve">73 </w:t>
      </w:r>
      <w:r w:rsidR="00D67EB8" w:rsidRPr="009118AB">
        <w:rPr>
          <w:i/>
          <w:iCs/>
        </w:rPr>
        <w:t>Nr. </w:t>
      </w:r>
      <w:r w:rsidR="001238D6" w:rsidRPr="009118AB">
        <w:rPr>
          <w:i/>
          <w:iCs/>
        </w:rPr>
        <w:t>1</w:t>
      </w:r>
      <w:r w:rsidR="001238D6" w:rsidRPr="009118AB">
        <w:rPr>
          <w:i/>
        </w:rPr>
        <w:t xml:space="preserve"> des G. vom 26. Dezember 2015 (II) (B.S. vom 30. Dezember 2015)</w:t>
      </w:r>
      <w:r w:rsidR="00D67EB8" w:rsidRPr="009118AB">
        <w:t> - </w:t>
      </w:r>
      <w:r w:rsidR="001238D6" w:rsidRPr="009118AB">
        <w:rPr>
          <w:i/>
        </w:rPr>
        <w:t xml:space="preserve">anwendbar auf Mehrwerte, die auf börsennotierte Aktien oder Anteile, Optionen, Optionsscheine oder andere börsennotierte Finanzinstrumente verwirklicht werden, die entweder ab dem 1. Januar 2016 entgeltlich </w:t>
      </w:r>
      <w:r w:rsidR="001238D6" w:rsidRPr="009118AB">
        <w:rPr>
          <w:rFonts w:ascii="Times New Roman Italique" w:hAnsi="Times New Roman Italique"/>
          <w:i/>
          <w:spacing w:val="-2"/>
        </w:rPr>
        <w:t>erworben werden oder im Falle eines Leerverkaufs ab dem 1. Januar 2016 verkauft werden</w:t>
      </w:r>
      <w:r w:rsidR="00D67EB8" w:rsidRPr="009118AB">
        <w:rPr>
          <w:rFonts w:ascii="Times New Roman Italique" w:hAnsi="Times New Roman Italique"/>
          <w:i/>
          <w:spacing w:val="-2"/>
        </w:rPr>
        <w:t> - </w:t>
      </w:r>
      <w:r w:rsidR="000F3808" w:rsidRPr="009118AB">
        <w:rPr>
          <w:rFonts w:ascii="Times New Roman Italique" w:hAnsi="Times New Roman Italique"/>
          <w:i/>
          <w:spacing w:val="-2"/>
        </w:rPr>
        <w:t xml:space="preserve">und </w:t>
      </w:r>
      <w:r w:rsidR="00D67EB8" w:rsidRPr="00CB1997">
        <w:rPr>
          <w:rFonts w:ascii="Times New Roman Italique" w:hAnsi="Times New Roman Italique"/>
          <w:i/>
          <w:spacing w:val="-2"/>
        </w:rPr>
        <w:t>Art. </w:t>
      </w:r>
      <w:r w:rsidR="000F3808" w:rsidRPr="00CB1997">
        <w:rPr>
          <w:rFonts w:ascii="Times New Roman Italique" w:hAnsi="Times New Roman Italique"/>
          <w:i/>
          <w:spacing w:val="-2"/>
        </w:rPr>
        <w:t xml:space="preserve">86 </w:t>
      </w:r>
      <w:r w:rsidR="00D67EB8" w:rsidRPr="00CB1997">
        <w:rPr>
          <w:rFonts w:ascii="Times New Roman Italique" w:hAnsi="Times New Roman Italique"/>
          <w:i/>
          <w:spacing w:val="-2"/>
        </w:rPr>
        <w:t>Nr. </w:t>
      </w:r>
      <w:r w:rsidR="000F3808" w:rsidRPr="00CB1997">
        <w:rPr>
          <w:rFonts w:ascii="Times New Roman Italique" w:hAnsi="Times New Roman Italique"/>
          <w:i/>
          <w:spacing w:val="-2"/>
        </w:rPr>
        <w:t>1 des G. vom 25. Dezember 2016</w:t>
      </w:r>
      <w:r w:rsidR="001022BB" w:rsidRPr="00CB1997">
        <w:rPr>
          <w:rFonts w:ascii="Times New Roman Italique" w:hAnsi="Times New Roman Italique"/>
          <w:i/>
          <w:spacing w:val="-2"/>
        </w:rPr>
        <w:t> (I)</w:t>
      </w:r>
      <w:r w:rsidR="000F3808" w:rsidRPr="00CB1997">
        <w:rPr>
          <w:rFonts w:ascii="Times New Roman Italique" w:hAnsi="Times New Roman Italique"/>
          <w:i/>
          <w:spacing w:val="-2"/>
        </w:rPr>
        <w:t xml:space="preserve"> (B.S. vom 29. Dezember 2016)</w:t>
      </w:r>
      <w:r w:rsidR="00D67EB8" w:rsidRPr="00CB1997">
        <w:rPr>
          <w:rFonts w:ascii="Times New Roman Italique" w:hAnsi="Times New Roman Italique"/>
          <w:i/>
          <w:spacing w:val="-2"/>
        </w:rPr>
        <w:t> - </w:t>
      </w:r>
      <w:r w:rsidR="000F3808" w:rsidRPr="00CB1997">
        <w:rPr>
          <w:rFonts w:ascii="Times New Roman Italique" w:hAnsi="Times New Roman Italique"/>
          <w:i/>
          <w:spacing w:val="-2"/>
        </w:rPr>
        <w:t>in Kraft am 1. Januar 2017 und anwendbar auf die ab dem 1. Januar 2017 verwirklichten Mehrwerte</w:t>
      </w:r>
      <w:r w:rsidR="003366D9" w:rsidRPr="00CB1997">
        <w:rPr>
          <w:rFonts w:ascii="Times New Roman Italique" w:hAnsi="Times New Roman Italique"/>
          <w:i/>
          <w:spacing w:val="-2"/>
        </w:rPr>
        <w:t> -;</w:t>
      </w:r>
      <w:r w:rsidRPr="00CB1997">
        <w:rPr>
          <w:rFonts w:ascii="Times New Roman Italique" w:hAnsi="Times New Roman Italique"/>
          <w:i/>
          <w:iCs/>
          <w:spacing w:val="-2"/>
        </w:rPr>
        <w:t xml:space="preserve"> </w:t>
      </w:r>
      <w:r w:rsidR="00D67EB8" w:rsidRPr="00CB1997">
        <w:rPr>
          <w:rFonts w:ascii="Times New Roman Italique" w:hAnsi="Times New Roman Italique"/>
          <w:i/>
          <w:iCs/>
          <w:spacing w:val="-2"/>
        </w:rPr>
        <w:t>§ </w:t>
      </w:r>
      <w:r w:rsidR="00D459C6" w:rsidRPr="00CB1997">
        <w:rPr>
          <w:rFonts w:ascii="Times New Roman Italique" w:hAnsi="Times New Roman Italique"/>
          <w:i/>
          <w:iCs/>
          <w:spacing w:val="-2"/>
        </w:rPr>
        <w:t xml:space="preserve">2 einziger Absatz </w:t>
      </w:r>
      <w:r w:rsidR="00D67EB8" w:rsidRPr="00CB1997">
        <w:rPr>
          <w:rFonts w:ascii="Times New Roman Italique" w:hAnsi="Times New Roman Italique"/>
          <w:i/>
          <w:iCs/>
          <w:spacing w:val="-2"/>
        </w:rPr>
        <w:t>Nr. </w:t>
      </w:r>
      <w:r w:rsidR="00D459C6" w:rsidRPr="00CB1997">
        <w:rPr>
          <w:rFonts w:ascii="Times New Roman Italique" w:hAnsi="Times New Roman Italique"/>
          <w:i/>
          <w:iCs/>
          <w:spacing w:val="-2"/>
        </w:rPr>
        <w:t>9 einziger Absatz Buchstabe</w:t>
      </w:r>
      <w:r w:rsidR="00D459C6" w:rsidRPr="00CB1997">
        <w:rPr>
          <w:rFonts w:ascii="Times New Roman Italique" w:hAnsi="Times New Roman Italique" w:hint="eastAsia"/>
          <w:i/>
          <w:iCs/>
          <w:spacing w:val="-2"/>
        </w:rPr>
        <w:t> </w:t>
      </w:r>
      <w:r w:rsidR="00D459C6" w:rsidRPr="00CB1997">
        <w:rPr>
          <w:rFonts w:ascii="Times New Roman Italique" w:hAnsi="Times New Roman Italique"/>
          <w:i/>
          <w:iCs/>
          <w:spacing w:val="-2"/>
        </w:rPr>
        <w:t xml:space="preserve">a) </w:t>
      </w:r>
      <w:r w:rsidR="0064439C" w:rsidRPr="00CB1997">
        <w:rPr>
          <w:rFonts w:ascii="Times New Roman Italique" w:hAnsi="Times New Roman Italique"/>
          <w:i/>
          <w:iCs/>
          <w:spacing w:val="-2"/>
        </w:rPr>
        <w:t>ersetzt</w:t>
      </w:r>
      <w:r w:rsidR="00D459C6" w:rsidRPr="00CB1997">
        <w:rPr>
          <w:rFonts w:ascii="Times New Roman Italique" w:hAnsi="Times New Roman Italique"/>
          <w:i/>
          <w:iCs/>
          <w:spacing w:val="-2"/>
        </w:rPr>
        <w:t xml:space="preserve"> durch </w:t>
      </w:r>
      <w:r w:rsidR="00D67EB8" w:rsidRPr="00CB1997">
        <w:rPr>
          <w:rFonts w:ascii="Times New Roman Italique" w:hAnsi="Times New Roman Italique"/>
          <w:i/>
          <w:iCs/>
          <w:spacing w:val="-2"/>
        </w:rPr>
        <w:t>Art. </w:t>
      </w:r>
      <w:r w:rsidR="00D459C6" w:rsidRPr="00CB1997">
        <w:rPr>
          <w:rFonts w:ascii="Times New Roman Italique" w:hAnsi="Times New Roman Italique"/>
          <w:i/>
          <w:iCs/>
          <w:spacing w:val="-2"/>
        </w:rPr>
        <w:t xml:space="preserve">51 </w:t>
      </w:r>
      <w:r w:rsidR="00D67EB8" w:rsidRPr="00CB1997">
        <w:rPr>
          <w:rFonts w:ascii="Times New Roman Italique" w:hAnsi="Times New Roman Italique"/>
          <w:i/>
          <w:iCs/>
          <w:spacing w:val="-2"/>
        </w:rPr>
        <w:t>Nr. </w:t>
      </w:r>
      <w:r w:rsidR="00D459C6" w:rsidRPr="00CB1997">
        <w:rPr>
          <w:rFonts w:ascii="Times New Roman Italique" w:hAnsi="Times New Roman Italique"/>
          <w:i/>
          <w:iCs/>
          <w:spacing w:val="-2"/>
        </w:rPr>
        <w:t>1 des G. vom 18. Juli 2018 (B.S. vom 26. Juli 2018)</w:t>
      </w:r>
      <w:r w:rsidR="00D67EB8" w:rsidRPr="00CB1997">
        <w:rPr>
          <w:rFonts w:ascii="Times New Roman Italique" w:hAnsi="Times New Roman Italique"/>
          <w:i/>
          <w:iCs/>
          <w:spacing w:val="-2"/>
        </w:rPr>
        <w:t> - </w:t>
      </w:r>
      <w:r w:rsidR="00D459C6" w:rsidRPr="00CB1997">
        <w:rPr>
          <w:i/>
        </w:rPr>
        <w:t>anwendbar</w:t>
      </w:r>
      <w:r w:rsidR="00D459C6" w:rsidRPr="00CB1997">
        <w:rPr>
          <w:rFonts w:ascii="Times New Roman Italique" w:hAnsi="Times New Roman Italique"/>
          <w:i/>
          <w:iCs/>
          <w:spacing w:val="-2"/>
        </w:rPr>
        <w:t xml:space="preserve"> auf die </w:t>
      </w:r>
      <w:r w:rsidR="00D459C6" w:rsidRPr="00CB1997">
        <w:rPr>
          <w:i/>
        </w:rPr>
        <w:t>ab dem 1. Januar 2018 erzielten oder bezogenen Einkünfte</w:t>
      </w:r>
      <w:r w:rsidR="00FD68E8" w:rsidRPr="00CB1997">
        <w:rPr>
          <w:i/>
        </w:rPr>
        <w:t> -,</w:t>
      </w:r>
      <w:r w:rsidR="002C6FAC" w:rsidRPr="00CB1997">
        <w:rPr>
          <w:i/>
          <w:iCs/>
        </w:rPr>
        <w:t xml:space="preserve"> </w:t>
      </w:r>
      <w:r w:rsidR="007630C7" w:rsidRPr="00CB1997">
        <w:rPr>
          <w:i/>
        </w:rPr>
        <w:t xml:space="preserve">selbst bedingt </w:t>
      </w:r>
      <w:r w:rsidR="002C6FAC" w:rsidRPr="00CB1997">
        <w:rPr>
          <w:i/>
          <w:iCs/>
        </w:rPr>
        <w:t xml:space="preserve">für nichtig erklärt durch </w:t>
      </w:r>
      <w:r w:rsidR="002C6FAC" w:rsidRPr="00CB1997">
        <w:rPr>
          <w:i/>
        </w:rPr>
        <w:t xml:space="preserve">Entscheid </w:t>
      </w:r>
      <w:r w:rsidR="00D67EB8" w:rsidRPr="00CB1997">
        <w:rPr>
          <w:i/>
        </w:rPr>
        <w:t>Nr. </w:t>
      </w:r>
      <w:r w:rsidR="002C6FAC" w:rsidRPr="00CB1997">
        <w:rPr>
          <w:i/>
        </w:rPr>
        <w:t xml:space="preserve">53/2020 des Verfassungsgerichtshofes vom 23. April 2020 (B.S. vom 20. Mai 2020), und </w:t>
      </w:r>
      <w:r w:rsidR="008839ED" w:rsidRPr="00CB1997">
        <w:rPr>
          <w:i/>
        </w:rPr>
        <w:t>erneut</w:t>
      </w:r>
      <w:r w:rsidR="002C6FAC" w:rsidRPr="00CB1997">
        <w:rPr>
          <w:i/>
        </w:rPr>
        <w:t xml:space="preserve"> ersetzt durch </w:t>
      </w:r>
      <w:r w:rsidR="00D67EB8" w:rsidRPr="00CB1997">
        <w:rPr>
          <w:i/>
        </w:rPr>
        <w:t>Art. </w:t>
      </w:r>
      <w:r w:rsidR="002C6FAC" w:rsidRPr="00CB1997">
        <w:rPr>
          <w:i/>
        </w:rPr>
        <w:t xml:space="preserve">65 </w:t>
      </w:r>
      <w:r w:rsidR="00D67EB8" w:rsidRPr="00CB1997">
        <w:rPr>
          <w:i/>
        </w:rPr>
        <w:t>Nr. </w:t>
      </w:r>
      <w:r w:rsidR="002C6FAC" w:rsidRPr="00CB1997">
        <w:rPr>
          <w:i/>
        </w:rPr>
        <w:t>1</w:t>
      </w:r>
      <w:r w:rsidR="002C6FAC" w:rsidRPr="00CB1997">
        <w:rPr>
          <w:i/>
          <w:iCs/>
        </w:rPr>
        <w:t xml:space="preserve"> des G. vom 24. Dezember 2020 (B.S. vom 31. Dezember 2020)</w:t>
      </w:r>
      <w:r w:rsidR="00D67EB8" w:rsidRPr="00CB1997">
        <w:rPr>
          <w:i/>
          <w:iCs/>
        </w:rPr>
        <w:t> - </w:t>
      </w:r>
      <w:r w:rsidR="002C6FAC" w:rsidRPr="00CB1997">
        <w:rPr>
          <w:i/>
          <w:iCs/>
        </w:rPr>
        <w:t xml:space="preserve">in Kraft am 1. Januar 2021 und anwendbar auf die ab dem 1. Januar 2021 erzielten oder bezogenen </w:t>
      </w:r>
      <w:r w:rsidR="002C6FAC" w:rsidRPr="00CB1997">
        <w:rPr>
          <w:i/>
          <w:iCs/>
        </w:rPr>
        <w:lastRenderedPageBreak/>
        <w:t>Einkünfte</w:t>
      </w:r>
      <w:r w:rsidR="003366D9" w:rsidRPr="00CB1997">
        <w:rPr>
          <w:i/>
          <w:iCs/>
        </w:rPr>
        <w:t> -;</w:t>
      </w:r>
      <w:r w:rsidR="00D459C6" w:rsidRPr="00CB1997">
        <w:rPr>
          <w:i/>
        </w:rPr>
        <w:t xml:space="preserve"> </w:t>
      </w:r>
      <w:r w:rsidR="00D67EB8" w:rsidRPr="00CB1997">
        <w:rPr>
          <w:i/>
        </w:rPr>
        <w:t>§ </w:t>
      </w:r>
      <w:r w:rsidR="00D459C6" w:rsidRPr="00CB1997">
        <w:rPr>
          <w:i/>
        </w:rPr>
        <w:t xml:space="preserve">2 einziger Absatz </w:t>
      </w:r>
      <w:r w:rsidR="00D67EB8" w:rsidRPr="00CB1997">
        <w:rPr>
          <w:i/>
        </w:rPr>
        <w:t>Nr. </w:t>
      </w:r>
      <w:r w:rsidR="00D459C6" w:rsidRPr="00CB1997">
        <w:rPr>
          <w:i/>
        </w:rPr>
        <w:t xml:space="preserve">9 einziger Absatz Buchstabe a/1 eingefügt durch </w:t>
      </w:r>
      <w:r w:rsidR="00D67EB8" w:rsidRPr="00CB1997">
        <w:rPr>
          <w:i/>
        </w:rPr>
        <w:t>Art. </w:t>
      </w:r>
      <w:r w:rsidR="00D459C6" w:rsidRPr="00CB1997">
        <w:rPr>
          <w:i/>
        </w:rPr>
        <w:t xml:space="preserve">51 </w:t>
      </w:r>
      <w:r w:rsidR="00D67EB8" w:rsidRPr="00CB1997">
        <w:rPr>
          <w:i/>
        </w:rPr>
        <w:t>Nr. </w:t>
      </w:r>
      <w:r w:rsidR="00D459C6" w:rsidRPr="00CB1997">
        <w:rPr>
          <w:i/>
        </w:rPr>
        <w:t>2</w:t>
      </w:r>
      <w:r w:rsidR="00D459C6" w:rsidRPr="00CB1997">
        <w:rPr>
          <w:rFonts w:ascii="Times New Roman Italique" w:hAnsi="Times New Roman Italique"/>
          <w:i/>
          <w:iCs/>
          <w:spacing w:val="-2"/>
        </w:rPr>
        <w:t xml:space="preserve"> des G. vom 18. Juli 2018 (B.S. vom 26. Juli 2018)</w:t>
      </w:r>
      <w:r w:rsidR="00D67EB8" w:rsidRPr="00CB1997">
        <w:rPr>
          <w:rFonts w:ascii="Times New Roman Italique" w:hAnsi="Times New Roman Italique"/>
          <w:i/>
          <w:iCs/>
          <w:spacing w:val="-2"/>
        </w:rPr>
        <w:t> - </w:t>
      </w:r>
      <w:r w:rsidR="00D459C6" w:rsidRPr="00CB1997">
        <w:rPr>
          <w:i/>
        </w:rPr>
        <w:t>anwendbar</w:t>
      </w:r>
      <w:r w:rsidR="00D459C6" w:rsidRPr="00CB1997">
        <w:rPr>
          <w:rFonts w:ascii="Times New Roman Italique" w:hAnsi="Times New Roman Italique"/>
          <w:i/>
          <w:iCs/>
          <w:spacing w:val="-2"/>
        </w:rPr>
        <w:t xml:space="preserve"> auf die </w:t>
      </w:r>
      <w:r w:rsidR="00D459C6" w:rsidRPr="00CB1997">
        <w:rPr>
          <w:i/>
        </w:rPr>
        <w:t>ab dem 1. Januar 2018 erzielten oder bezogenen Einkünfte</w:t>
      </w:r>
      <w:r w:rsidR="00FD68E8" w:rsidRPr="00CB1997">
        <w:rPr>
          <w:i/>
        </w:rPr>
        <w:t> -,</w:t>
      </w:r>
      <w:r w:rsidR="002C6FAC" w:rsidRPr="00CB1997">
        <w:rPr>
          <w:i/>
          <w:iCs/>
        </w:rPr>
        <w:t xml:space="preserve"> </w:t>
      </w:r>
      <w:r w:rsidR="007630C7" w:rsidRPr="00CB1997">
        <w:rPr>
          <w:i/>
        </w:rPr>
        <w:t xml:space="preserve">selbst bedingt </w:t>
      </w:r>
      <w:r w:rsidR="002C6FAC" w:rsidRPr="00CB1997">
        <w:rPr>
          <w:i/>
          <w:iCs/>
        </w:rPr>
        <w:t xml:space="preserve">für nichtig erklärt durch </w:t>
      </w:r>
      <w:r w:rsidR="002C6FAC" w:rsidRPr="00CB1997">
        <w:rPr>
          <w:i/>
        </w:rPr>
        <w:t xml:space="preserve">Entscheid </w:t>
      </w:r>
      <w:r w:rsidR="00D67EB8" w:rsidRPr="00CB1997">
        <w:rPr>
          <w:i/>
        </w:rPr>
        <w:t>Nr. </w:t>
      </w:r>
      <w:r w:rsidR="002C6FAC" w:rsidRPr="00CB1997">
        <w:rPr>
          <w:i/>
        </w:rPr>
        <w:t xml:space="preserve">53/2020 des Verfassungsgerichtshofes vom 23. April 2020 (B.S. vom 20. Mai 2020), und </w:t>
      </w:r>
      <w:r w:rsidR="008839ED" w:rsidRPr="00CB1997">
        <w:rPr>
          <w:i/>
        </w:rPr>
        <w:t>erneut</w:t>
      </w:r>
      <w:r w:rsidR="002C6FAC" w:rsidRPr="00CB1997">
        <w:rPr>
          <w:i/>
        </w:rPr>
        <w:t xml:space="preserve"> eingefügt durch </w:t>
      </w:r>
      <w:r w:rsidR="00D67EB8" w:rsidRPr="00CB1997">
        <w:rPr>
          <w:i/>
        </w:rPr>
        <w:t>Art. </w:t>
      </w:r>
      <w:r w:rsidR="002C6FAC" w:rsidRPr="00CB1997">
        <w:rPr>
          <w:i/>
        </w:rPr>
        <w:t xml:space="preserve">65 </w:t>
      </w:r>
      <w:r w:rsidR="00D67EB8" w:rsidRPr="00CB1997">
        <w:rPr>
          <w:i/>
        </w:rPr>
        <w:t>Nr. </w:t>
      </w:r>
      <w:r w:rsidR="002C6FAC" w:rsidRPr="00CB1997">
        <w:rPr>
          <w:i/>
        </w:rPr>
        <w:t>2</w:t>
      </w:r>
      <w:r w:rsidR="002C6FAC" w:rsidRPr="00CB1997">
        <w:rPr>
          <w:i/>
          <w:iCs/>
        </w:rPr>
        <w:t xml:space="preserve"> des G. vom 24. Dezember 2020 (B.S. vom 31. Dezember 2020)</w:t>
      </w:r>
      <w:r w:rsidR="00D67EB8" w:rsidRPr="00CB1997">
        <w:rPr>
          <w:i/>
          <w:iCs/>
        </w:rPr>
        <w:t> - </w:t>
      </w:r>
      <w:r w:rsidR="002C6FAC" w:rsidRPr="00CB1997">
        <w:rPr>
          <w:i/>
          <w:iCs/>
        </w:rPr>
        <w:t>in Kraft am 1. Januar 2021 und anwendbar auf die ab dem 1. Januar 2021 erzielten oder bezogenen Einkünfte</w:t>
      </w:r>
      <w:r w:rsidR="003366D9" w:rsidRPr="00CB1997">
        <w:rPr>
          <w:i/>
          <w:iCs/>
        </w:rPr>
        <w:t> -;</w:t>
      </w:r>
      <w:r w:rsidR="00D459C6" w:rsidRPr="00CB1997">
        <w:rPr>
          <w:i/>
        </w:rPr>
        <w:t xml:space="preserve"> </w:t>
      </w:r>
      <w:r w:rsidR="00D67EB8" w:rsidRPr="00CB1997">
        <w:rPr>
          <w:rFonts w:ascii="Times New Roman Italique" w:hAnsi="Times New Roman Italique"/>
          <w:i/>
          <w:iCs/>
          <w:spacing w:val="-2"/>
        </w:rPr>
        <w:t>§ </w:t>
      </w:r>
      <w:r w:rsidRPr="00CB1997">
        <w:rPr>
          <w:rFonts w:ascii="Times New Roman Italique" w:hAnsi="Times New Roman Italique"/>
          <w:i/>
          <w:iCs/>
          <w:spacing w:val="-2"/>
        </w:rPr>
        <w:t xml:space="preserve">2 einziger Absatz </w:t>
      </w:r>
      <w:r w:rsidR="00D67EB8" w:rsidRPr="00CB1997">
        <w:rPr>
          <w:rFonts w:ascii="Times New Roman Italique" w:hAnsi="Times New Roman Italique"/>
          <w:i/>
          <w:iCs/>
          <w:spacing w:val="-2"/>
        </w:rPr>
        <w:t>Nr. </w:t>
      </w:r>
      <w:r w:rsidRPr="00CB1997">
        <w:rPr>
          <w:rFonts w:ascii="Times New Roman Italique" w:hAnsi="Times New Roman Italique"/>
          <w:i/>
          <w:iCs/>
          <w:spacing w:val="-2"/>
        </w:rPr>
        <w:t xml:space="preserve">9 einziger Absatz Buchstabe i) eingefügt durch </w:t>
      </w:r>
      <w:r w:rsidR="00D67EB8" w:rsidRPr="00CB1997">
        <w:rPr>
          <w:rFonts w:ascii="Times New Roman Italique" w:hAnsi="Times New Roman Italique"/>
          <w:i/>
          <w:iCs/>
          <w:spacing w:val="-2"/>
        </w:rPr>
        <w:t>Art. </w:t>
      </w:r>
      <w:r w:rsidRPr="00CB1997">
        <w:rPr>
          <w:rFonts w:ascii="Times New Roman Italique" w:hAnsi="Times New Roman Italique"/>
          <w:i/>
          <w:iCs/>
          <w:spacing w:val="-2"/>
        </w:rPr>
        <w:t xml:space="preserve">36 </w:t>
      </w:r>
      <w:r w:rsidR="00D67EB8" w:rsidRPr="00CB1997">
        <w:rPr>
          <w:rFonts w:ascii="Times New Roman Italique" w:hAnsi="Times New Roman Italique"/>
          <w:i/>
          <w:iCs/>
          <w:spacing w:val="-2"/>
        </w:rPr>
        <w:t>Nr. </w:t>
      </w:r>
      <w:r w:rsidRPr="00CB1997">
        <w:rPr>
          <w:rFonts w:ascii="Times New Roman Italique" w:hAnsi="Times New Roman Italique"/>
          <w:i/>
          <w:iCs/>
          <w:spacing w:val="-2"/>
        </w:rPr>
        <w:t>3 des K.E. vom 20. Dezember 1996 (B.S. vom 31. Dezember 1996)</w:t>
      </w:r>
      <w:r w:rsidR="00D67EB8" w:rsidRPr="00CB1997">
        <w:rPr>
          <w:rFonts w:ascii="Times New Roman Italique" w:hAnsi="Times New Roman Italique"/>
          <w:i/>
          <w:iCs/>
          <w:spacing w:val="-2"/>
        </w:rPr>
        <w:t> - </w:t>
      </w:r>
      <w:r w:rsidRPr="00CB1997">
        <w:rPr>
          <w:rFonts w:ascii="Times New Roman Italique" w:hAnsi="Times New Roman Italique"/>
          <w:i/>
          <w:iCs/>
          <w:spacing w:val="-2"/>
        </w:rPr>
        <w:t>anwendbar ab dem</w:t>
      </w:r>
      <w:r w:rsidRPr="00CB1997">
        <w:rPr>
          <w:i/>
          <w:iCs/>
        </w:rPr>
        <w:t xml:space="preserve"> 1. Januar 1997</w:t>
      </w:r>
      <w:r w:rsidR="003366D9" w:rsidRPr="00CB1997">
        <w:rPr>
          <w:i/>
          <w:iCs/>
        </w:rPr>
        <w:t> -;</w:t>
      </w:r>
      <w:r w:rsidRPr="00CB1997">
        <w:rPr>
          <w:i/>
          <w:iCs/>
        </w:rPr>
        <w:t xml:space="preserve"> </w:t>
      </w:r>
      <w:r w:rsidR="00D67EB8" w:rsidRPr="00CB1997">
        <w:rPr>
          <w:i/>
          <w:iCs/>
        </w:rPr>
        <w:t>§ </w:t>
      </w:r>
      <w:r w:rsidRPr="00CB1997">
        <w:rPr>
          <w:i/>
          <w:iCs/>
        </w:rPr>
        <w:t xml:space="preserve">2 einziger Absatz </w:t>
      </w:r>
      <w:r w:rsidR="00D67EB8" w:rsidRPr="00CB1997">
        <w:rPr>
          <w:i/>
          <w:iCs/>
        </w:rPr>
        <w:t>Nr. </w:t>
      </w:r>
      <w:r w:rsidRPr="00CB1997">
        <w:rPr>
          <w:i/>
          <w:iCs/>
        </w:rPr>
        <w:t xml:space="preserve">9 einziger Absatz Buchstabe j) eingefügt durch </w:t>
      </w:r>
      <w:r w:rsidR="00D67EB8" w:rsidRPr="00CB1997">
        <w:rPr>
          <w:i/>
          <w:iCs/>
        </w:rPr>
        <w:t>Art. </w:t>
      </w:r>
      <w:r w:rsidRPr="00CB1997">
        <w:rPr>
          <w:i/>
          <w:iCs/>
        </w:rPr>
        <w:t xml:space="preserve">49 </w:t>
      </w:r>
      <w:r w:rsidR="00D67EB8" w:rsidRPr="00CB1997">
        <w:rPr>
          <w:i/>
          <w:iCs/>
        </w:rPr>
        <w:t>Nr. </w:t>
      </w:r>
      <w:r w:rsidRPr="00CB1997">
        <w:rPr>
          <w:i/>
          <w:iCs/>
        </w:rPr>
        <w:t>1 des G. vom 15. Dezember 2004 (B.S. vom 1. Februar 2005)</w:t>
      </w:r>
      <w:r w:rsidR="00D67EB8" w:rsidRPr="00CB1997">
        <w:rPr>
          <w:i/>
          <w:iCs/>
        </w:rPr>
        <w:t> - </w:t>
      </w:r>
      <w:r w:rsidRPr="00CB1997">
        <w:rPr>
          <w:i/>
          <w:iCs/>
        </w:rPr>
        <w:t>anwendbar auf Entschädigungen für fehlende Kupons oder für fehlende Lose, die in Ausführung von Vereinbarungen über die Leistung von dinglichen Sicherheiten und von Verleihen mit Bezug auf Finanzinstrumente gezahlt oder zuerkannt werden, die ab dem</w:t>
      </w:r>
      <w:r w:rsidRPr="009118AB">
        <w:rPr>
          <w:i/>
          <w:iCs/>
        </w:rPr>
        <w:t xml:space="preserve"> 1. Februar 2005 abgeschlossen werden</w:t>
      </w:r>
      <w:r w:rsidR="00D67EB8" w:rsidRPr="009118AB">
        <w:rPr>
          <w:i/>
          <w:iCs/>
        </w:rPr>
        <w:t> - </w:t>
      </w:r>
      <w:r w:rsidRPr="009118AB">
        <w:rPr>
          <w:i/>
          <w:iCs/>
        </w:rPr>
        <w:t xml:space="preserve">und ersetzt durch </w:t>
      </w:r>
      <w:r w:rsidR="00D67EB8" w:rsidRPr="009118AB">
        <w:rPr>
          <w:i/>
          <w:iCs/>
        </w:rPr>
        <w:t>Art. </w:t>
      </w:r>
      <w:r w:rsidRPr="009118AB">
        <w:rPr>
          <w:i/>
          <w:iCs/>
        </w:rPr>
        <w:t xml:space="preserve">3 </w:t>
      </w:r>
      <w:r w:rsidR="00D67EB8" w:rsidRPr="009118AB">
        <w:rPr>
          <w:i/>
          <w:iCs/>
        </w:rPr>
        <w:t>Nr. </w:t>
      </w:r>
      <w:r w:rsidRPr="009118AB">
        <w:rPr>
          <w:i/>
          <w:iCs/>
        </w:rPr>
        <w:t>3 des G. vom 25. April 2006 (B.S. vom 28. April 2006)</w:t>
      </w:r>
      <w:r w:rsidR="00D67EB8" w:rsidRPr="009118AB">
        <w:rPr>
          <w:i/>
          <w:iCs/>
        </w:rPr>
        <w:t> - </w:t>
      </w:r>
      <w:r w:rsidRPr="009118AB">
        <w:rPr>
          <w:i/>
          <w:iCs/>
        </w:rPr>
        <w:t>anwendbar auf Einkünfte, die ab dem 28. April 2006 gezahlt oder zuerkannt werden</w:t>
      </w:r>
      <w:r w:rsidR="003366D9" w:rsidRPr="009118AB">
        <w:rPr>
          <w:i/>
          <w:iCs/>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9 einziger Absatz Buchstabe k)</w:t>
      </w:r>
      <w:r w:rsidRPr="009118AB">
        <w:rPr>
          <w:b/>
          <w:bCs/>
          <w:i/>
          <w:iCs/>
        </w:rPr>
        <w:t xml:space="preserve"> </w:t>
      </w:r>
      <w:r w:rsidRPr="009118AB">
        <w:rPr>
          <w:i/>
          <w:iCs/>
        </w:rPr>
        <w:t xml:space="preserve">eingefügt durch </w:t>
      </w:r>
      <w:r w:rsidR="00D67EB8" w:rsidRPr="009118AB">
        <w:rPr>
          <w:i/>
          <w:iCs/>
        </w:rPr>
        <w:t>Art. </w:t>
      </w:r>
      <w:r w:rsidRPr="009118AB">
        <w:rPr>
          <w:i/>
          <w:iCs/>
        </w:rPr>
        <w:t xml:space="preserve">136 </w:t>
      </w:r>
      <w:r w:rsidR="00D67EB8" w:rsidRPr="009118AB">
        <w:rPr>
          <w:i/>
          <w:iCs/>
        </w:rPr>
        <w:t>Nr. </w:t>
      </w:r>
      <w:r w:rsidRPr="009118AB">
        <w:rPr>
          <w:i/>
          <w:iCs/>
        </w:rPr>
        <w:t>2 des G. (IV) vom 25. April 20</w:t>
      </w:r>
      <w:r w:rsidR="00D27B17" w:rsidRPr="009118AB">
        <w:rPr>
          <w:i/>
          <w:iCs/>
        </w:rPr>
        <w:t>07 (I) (B.S. vom 8. Mai 2007)</w:t>
      </w:r>
      <w:r w:rsidR="00D67EB8" w:rsidRPr="009118AB">
        <w:rPr>
          <w:i/>
          <w:iCs/>
        </w:rPr>
        <w:t> - </w:t>
      </w:r>
      <w:r w:rsidRPr="009118AB">
        <w:rPr>
          <w:i/>
          <w:iCs/>
        </w:rPr>
        <w:t xml:space="preserve">anwendbar auf die ab dem 1. Januar 2007 gezahlten oder zuerkannten </w:t>
      </w:r>
      <w:r w:rsidRPr="009118AB">
        <w:rPr>
          <w:rFonts w:ascii="Times New Roman Italique" w:hAnsi="Times New Roman Italique"/>
          <w:i/>
          <w:iCs/>
          <w:spacing w:val="-2"/>
        </w:rPr>
        <w:t>Vergütungen und Entlohnungen</w:t>
      </w:r>
      <w:r w:rsidR="00D67EB8" w:rsidRPr="009118AB">
        <w:rPr>
          <w:rFonts w:ascii="Times New Roman Italique" w:hAnsi="Times New Roman Italique"/>
          <w:i/>
          <w:iCs/>
          <w:spacing w:val="-2"/>
        </w:rPr>
        <w:t> - </w:t>
      </w:r>
      <w:r w:rsidR="000B20D7"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0B20D7" w:rsidRPr="009118AB">
        <w:rPr>
          <w:rFonts w:ascii="Times New Roman Italique" w:hAnsi="Times New Roman Italique"/>
          <w:i/>
          <w:iCs/>
          <w:spacing w:val="-2"/>
        </w:rPr>
        <w:t>51 des G. vom 18. Dezember 2015 (II) (B.S. vom 28. Dezember 2015)</w:t>
      </w:r>
      <w:r w:rsidR="00D67EB8" w:rsidRPr="009118AB">
        <w:rPr>
          <w:rFonts w:ascii="Times New Roman Italique" w:hAnsi="Times New Roman Italique"/>
          <w:i/>
          <w:iCs/>
          <w:spacing w:val="-2"/>
        </w:rPr>
        <w:t> - </w:t>
      </w:r>
      <w:r w:rsidR="000B20D7" w:rsidRPr="009118AB">
        <w:rPr>
          <w:rFonts w:ascii="Times New Roman Italique" w:hAnsi="Times New Roman Italique"/>
          <w:i/>
          <w:iCs/>
          <w:spacing w:val="-2"/>
        </w:rPr>
        <w:t>anwendbar ab dem Steuerjahr 2016</w:t>
      </w:r>
      <w:r w:rsidR="003366D9" w:rsidRPr="009118AB">
        <w:rPr>
          <w:rFonts w:ascii="Times New Roman Italique" w:hAnsi="Times New Roman Italique"/>
          <w:i/>
          <w:iCs/>
          <w:spacing w:val="-2"/>
        </w:rPr>
        <w:t> -;</w:t>
      </w:r>
      <w:r w:rsidR="001A04F4" w:rsidRPr="009118AB">
        <w:rPr>
          <w:i/>
          <w:iCs/>
        </w:rPr>
        <w:t xml:space="preserve"> </w:t>
      </w:r>
      <w:r w:rsidR="00D67EB8" w:rsidRPr="009118AB">
        <w:rPr>
          <w:i/>
          <w:iCs/>
        </w:rPr>
        <w:t>§ </w:t>
      </w:r>
      <w:r w:rsidR="00F21E03" w:rsidRPr="009118AB">
        <w:rPr>
          <w:i/>
          <w:iCs/>
        </w:rPr>
        <w:t xml:space="preserve">2 einziger Absatz </w:t>
      </w:r>
      <w:r w:rsidR="00D67EB8" w:rsidRPr="009118AB">
        <w:rPr>
          <w:i/>
          <w:iCs/>
        </w:rPr>
        <w:t>Nr. </w:t>
      </w:r>
      <w:r w:rsidR="00A22BC7" w:rsidRPr="009118AB">
        <w:rPr>
          <w:i/>
          <w:iCs/>
        </w:rPr>
        <w:t>9 einziger Absatz Buchstabe l</w:t>
      </w:r>
      <w:r w:rsidR="00F21E03" w:rsidRPr="009118AB">
        <w:rPr>
          <w:i/>
          <w:iCs/>
        </w:rPr>
        <w:t>)</w:t>
      </w:r>
      <w:r w:rsidR="00F21E03" w:rsidRPr="009118AB">
        <w:rPr>
          <w:b/>
          <w:bCs/>
          <w:i/>
          <w:iCs/>
        </w:rPr>
        <w:t xml:space="preserve"> </w:t>
      </w:r>
      <w:r w:rsidR="00F21E03" w:rsidRPr="009118AB">
        <w:rPr>
          <w:i/>
          <w:iCs/>
        </w:rPr>
        <w:t xml:space="preserve">eingefügt durch </w:t>
      </w:r>
      <w:r w:rsidR="00D67EB8" w:rsidRPr="009118AB">
        <w:rPr>
          <w:i/>
          <w:iCs/>
        </w:rPr>
        <w:t>Art. </w:t>
      </w:r>
      <w:r w:rsidR="00F21E03" w:rsidRPr="009118AB">
        <w:rPr>
          <w:i/>
          <w:iCs/>
        </w:rPr>
        <w:t xml:space="preserve">73 </w:t>
      </w:r>
      <w:r w:rsidR="00D67EB8" w:rsidRPr="009118AB">
        <w:rPr>
          <w:i/>
          <w:iCs/>
        </w:rPr>
        <w:t>Nr. </w:t>
      </w:r>
      <w:r w:rsidR="00F21E03" w:rsidRPr="009118AB">
        <w:rPr>
          <w:i/>
          <w:iCs/>
        </w:rPr>
        <w:t>2</w:t>
      </w:r>
      <w:r w:rsidR="00F21E03" w:rsidRPr="009118AB">
        <w:rPr>
          <w:i/>
        </w:rPr>
        <w:t xml:space="preserve"> des G. vom 26. Dezember 2015 (II) (B.S. vom 30. Dezember 2015)</w:t>
      </w:r>
      <w:r w:rsidR="00D67EB8" w:rsidRPr="009118AB">
        <w:t> - </w:t>
      </w:r>
      <w:r w:rsidR="00F21E03"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0F3808" w:rsidRPr="009118AB">
        <w:rPr>
          <w:i/>
        </w:rPr>
        <w:t xml:space="preserve">und aufgehoben durch </w:t>
      </w:r>
      <w:r w:rsidR="00D67EB8" w:rsidRPr="009118AB">
        <w:rPr>
          <w:i/>
        </w:rPr>
        <w:t>Art. </w:t>
      </w:r>
      <w:r w:rsidR="000F3808" w:rsidRPr="009118AB">
        <w:rPr>
          <w:i/>
        </w:rPr>
        <w:t xml:space="preserve">86 </w:t>
      </w:r>
      <w:r w:rsidR="00D67EB8" w:rsidRPr="009118AB">
        <w:rPr>
          <w:i/>
        </w:rPr>
        <w:t>Nr. </w:t>
      </w:r>
      <w:r w:rsidR="000F3808" w:rsidRPr="009118AB">
        <w:rPr>
          <w:i/>
        </w:rPr>
        <w:t>2 des G. vom 25. Dezember 2016</w:t>
      </w:r>
      <w:r w:rsidR="001022BB" w:rsidRPr="009118AB">
        <w:rPr>
          <w:i/>
        </w:rPr>
        <w:t> (I)</w:t>
      </w:r>
      <w:r w:rsidR="000F3808" w:rsidRPr="009118AB">
        <w:rPr>
          <w:i/>
        </w:rPr>
        <w:t xml:space="preserve"> (B.S. vom 29. Dezember 2016)</w:t>
      </w:r>
      <w:r w:rsidR="00D67EB8" w:rsidRPr="009118AB">
        <w:rPr>
          <w:i/>
        </w:rPr>
        <w:t> - </w:t>
      </w:r>
      <w:r w:rsidR="000F3808" w:rsidRPr="009118AB">
        <w:rPr>
          <w:i/>
        </w:rPr>
        <w:t>in Kraft am 1. Januar 2017 und anwendbar auf die ab dem 1. Januar 2017 verwirklichten Mehrwerte</w:t>
      </w:r>
      <w:r w:rsidR="003366D9" w:rsidRPr="009118AB">
        <w:rPr>
          <w:i/>
        </w:rPr>
        <w:t> -;</w:t>
      </w:r>
      <w:r w:rsidR="00F21E03" w:rsidRPr="009118AB">
        <w:rPr>
          <w:i/>
          <w:iCs/>
        </w:rPr>
        <w:t xml:space="preserve"> </w:t>
      </w:r>
      <w:r w:rsidR="00D67EB8" w:rsidRPr="009118AB">
        <w:rPr>
          <w:i/>
          <w:iCs/>
        </w:rPr>
        <w:t>§ </w:t>
      </w:r>
      <w:r w:rsidR="001A04F4" w:rsidRPr="009118AB">
        <w:rPr>
          <w:i/>
          <w:iCs/>
        </w:rPr>
        <w:t xml:space="preserve">3 eingefügt durch </w:t>
      </w:r>
      <w:r w:rsidR="00D67EB8" w:rsidRPr="009118AB">
        <w:rPr>
          <w:i/>
          <w:iCs/>
        </w:rPr>
        <w:t>Art. </w:t>
      </w:r>
      <w:r w:rsidR="001A04F4" w:rsidRPr="009118AB">
        <w:rPr>
          <w:i/>
          <w:iCs/>
        </w:rPr>
        <w:t xml:space="preserve">60 </w:t>
      </w:r>
      <w:r w:rsidR="00D67EB8" w:rsidRPr="009118AB">
        <w:rPr>
          <w:i/>
          <w:iCs/>
        </w:rPr>
        <w:t>Nr. </w:t>
      </w:r>
      <w:r w:rsidR="001A04F4" w:rsidRPr="009118AB">
        <w:rPr>
          <w:i/>
          <w:iCs/>
        </w:rPr>
        <w:t>7 des G. vom 13. Dezember 2012 (B.S. vom 20. Dezember 2012)</w:t>
      </w:r>
      <w:r w:rsidR="00D67EB8" w:rsidRPr="009118AB">
        <w:rPr>
          <w:i/>
          <w:iCs/>
        </w:rPr>
        <w:t> - </w:t>
      </w:r>
      <w:r w:rsidR="001A04F4" w:rsidRPr="009118AB">
        <w:rPr>
          <w:i/>
          <w:iCs/>
        </w:rPr>
        <w:t>anwendbar ab dem 1. Januar 2013</w:t>
      </w:r>
      <w:r w:rsidR="00D67EB8" w:rsidRPr="009118AB">
        <w:rPr>
          <w:i/>
          <w:iCs/>
        </w:rPr>
        <w:t> - </w:t>
      </w:r>
      <w:r w:rsidR="00912E1B" w:rsidRPr="009118AB">
        <w:rPr>
          <w:i/>
          <w:iCs/>
        </w:rPr>
        <w:t xml:space="preserve">und ersetzt durch </w:t>
      </w:r>
      <w:r w:rsidR="00D67EB8" w:rsidRPr="009118AB">
        <w:rPr>
          <w:i/>
          <w:iCs/>
        </w:rPr>
        <w:t>Art. </w:t>
      </w:r>
      <w:r w:rsidR="00912E1B" w:rsidRPr="009118AB">
        <w:rPr>
          <w:i/>
          <w:iCs/>
        </w:rPr>
        <w:t>61</w:t>
      </w:r>
      <w:r w:rsidR="00912E1B" w:rsidRPr="009118AB">
        <w:rPr>
          <w:i/>
        </w:rPr>
        <w:t xml:space="preserve"> des G. vom 18. Dezember 2016</w:t>
      </w:r>
      <w:r w:rsidR="004E359B" w:rsidRPr="009118AB">
        <w:rPr>
          <w:i/>
        </w:rPr>
        <w:t> (I)</w:t>
      </w:r>
      <w:r w:rsidR="00912E1B" w:rsidRPr="009118AB">
        <w:rPr>
          <w:i/>
        </w:rPr>
        <w:t xml:space="preserve"> (B.S. vom 20. Dezember 2016)</w:t>
      </w:r>
      <w:r w:rsidR="00D67EB8" w:rsidRPr="009118AB">
        <w:rPr>
          <w:i/>
        </w:rPr>
        <w:t> - </w:t>
      </w:r>
      <w:r w:rsidR="00912E1B" w:rsidRPr="009118AB">
        <w:rPr>
          <w:i/>
        </w:rPr>
        <w:t>in Kraft am 1. Juli 2016</w:t>
      </w:r>
      <w:r w:rsidR="003366D9" w:rsidRPr="009118AB">
        <w:rPr>
          <w:i/>
        </w:rPr>
        <w:t> -;</w:t>
      </w:r>
      <w:r w:rsidR="00F51C56" w:rsidRPr="009118AB">
        <w:rPr>
          <w:i/>
        </w:rPr>
        <w:t xml:space="preserve"> </w:t>
      </w:r>
      <w:r w:rsidR="00AB4DE0">
        <w:rPr>
          <w:i/>
        </w:rPr>
        <w:t xml:space="preserve">§ 3 Abs. 1 </w:t>
      </w:r>
      <w:r w:rsidR="00712CA5">
        <w:rPr>
          <w:i/>
        </w:rPr>
        <w:t xml:space="preserve">einleitende Bestimmung </w:t>
      </w:r>
      <w:r w:rsidR="00AB4DE0">
        <w:rPr>
          <w:i/>
        </w:rPr>
        <w:t>abgeändert durch Art. 35</w:t>
      </w:r>
      <w:r w:rsidR="00AB4DE0" w:rsidRPr="00AB4DE0">
        <w:rPr>
          <w:i/>
          <w:iCs/>
        </w:rPr>
        <w:t xml:space="preserve"> des G. vom 22. Dezember 2023</w:t>
      </w:r>
      <w:r w:rsidR="00552005" w:rsidRPr="00552005">
        <w:rPr>
          <w:i/>
          <w:iCs/>
        </w:rPr>
        <w:t> (I)</w:t>
      </w:r>
      <w:r w:rsidR="00AB4DE0" w:rsidRPr="00AB4DE0">
        <w:rPr>
          <w:i/>
          <w:iCs/>
        </w:rPr>
        <w:t xml:space="preserve"> (B.S. vom 29. Dezember 2023)</w:t>
      </w:r>
      <w:r w:rsidRPr="009118AB">
        <w:rPr>
          <w:i/>
          <w:iCs/>
        </w:rPr>
        <w:t>]</w:t>
      </w:r>
    </w:p>
    <w:p w14:paraId="1CF0676A" w14:textId="77777777" w:rsidR="00522AFB" w:rsidRPr="009118AB" w:rsidRDefault="00522AFB" w:rsidP="00522AFB">
      <w:pPr>
        <w:autoSpaceDE w:val="0"/>
        <w:autoSpaceDN w:val="0"/>
        <w:adjustRightInd w:val="0"/>
        <w:jc w:val="both"/>
        <w:rPr>
          <w:iCs/>
        </w:rPr>
      </w:pPr>
    </w:p>
    <w:p w14:paraId="6160BB93" w14:textId="77777777" w:rsidR="00CB1997" w:rsidRDefault="00CB1997" w:rsidP="00F32031">
      <w:pPr>
        <w:autoSpaceDE w:val="0"/>
        <w:autoSpaceDN w:val="0"/>
        <w:adjustRightInd w:val="0"/>
        <w:ind w:firstLine="709"/>
        <w:jc w:val="both"/>
        <w:rPr>
          <w:b/>
          <w:bCs/>
          <w:iCs/>
        </w:rPr>
      </w:pPr>
    </w:p>
    <w:p w14:paraId="432216D4" w14:textId="25FFCCCE" w:rsidR="00674E8E" w:rsidRPr="009118AB" w:rsidRDefault="00D67EB8" w:rsidP="00F32031">
      <w:pPr>
        <w:autoSpaceDE w:val="0"/>
        <w:autoSpaceDN w:val="0"/>
        <w:adjustRightInd w:val="0"/>
        <w:ind w:firstLine="709"/>
        <w:jc w:val="both"/>
        <w:rPr>
          <w:iCs/>
        </w:rPr>
      </w:pPr>
      <w:r w:rsidRPr="009118AB">
        <w:rPr>
          <w:b/>
          <w:bCs/>
          <w:iCs/>
        </w:rPr>
        <w:t>Art. </w:t>
      </w:r>
      <w:r w:rsidR="001D6AB4" w:rsidRPr="009118AB">
        <w:rPr>
          <w:b/>
          <w:bCs/>
          <w:iCs/>
        </w:rPr>
        <w:t>229</w:t>
      </w:r>
      <w:r w:rsidRPr="009118AB">
        <w:rPr>
          <w:iCs/>
        </w:rPr>
        <w:t> - § </w:t>
      </w:r>
      <w:r w:rsidR="00674E8E" w:rsidRPr="009118AB">
        <w:rPr>
          <w:iCs/>
        </w:rPr>
        <w:t>1</w:t>
      </w:r>
      <w:r w:rsidRPr="009118AB">
        <w:rPr>
          <w:iCs/>
        </w:rPr>
        <w:t> - </w:t>
      </w:r>
      <w:r w:rsidR="00674E8E" w:rsidRPr="009118AB">
        <w:rPr>
          <w:iCs/>
        </w:rPr>
        <w:t>[Der Ausdruck "belgische Niederlassung" bezeichnet feste Geschäfts</w:t>
      </w:r>
      <w:r w:rsidR="00674E8E" w:rsidRPr="009118AB">
        <w:rPr>
          <w:iCs/>
        </w:rPr>
        <w:softHyphen/>
        <w:t>einrichtungen, durch die ein ausländisches Unternehmen seine beruflichen Tätigkeiten ganz oder teilweise in Belgien ausübt.]</w:t>
      </w:r>
    </w:p>
    <w:p w14:paraId="0DD2930B" w14:textId="77777777" w:rsidR="00674E8E" w:rsidRPr="009118AB" w:rsidRDefault="00674E8E" w:rsidP="00674E8E">
      <w:pPr>
        <w:autoSpaceDE w:val="0"/>
        <w:autoSpaceDN w:val="0"/>
        <w:adjustRightInd w:val="0"/>
        <w:jc w:val="both"/>
        <w:rPr>
          <w:iCs/>
        </w:rPr>
      </w:pPr>
    </w:p>
    <w:p w14:paraId="625FC02C" w14:textId="77777777" w:rsidR="00674E8E" w:rsidRPr="009118AB" w:rsidRDefault="00674E8E" w:rsidP="00922FE1">
      <w:pPr>
        <w:autoSpaceDE w:val="0"/>
        <w:autoSpaceDN w:val="0"/>
        <w:adjustRightInd w:val="0"/>
        <w:ind w:firstLine="709"/>
        <w:jc w:val="both"/>
        <w:rPr>
          <w:iCs/>
        </w:rPr>
      </w:pPr>
      <w:r w:rsidRPr="009118AB">
        <w:rPr>
          <w:iCs/>
        </w:rPr>
        <w:t>[Feste Geschäftseinrichtungen] sind insbesondere:</w:t>
      </w:r>
    </w:p>
    <w:p w14:paraId="0E5C3426" w14:textId="77777777" w:rsidR="00674E8E" w:rsidRPr="009118AB" w:rsidRDefault="00674E8E" w:rsidP="00674E8E">
      <w:pPr>
        <w:autoSpaceDE w:val="0"/>
        <w:autoSpaceDN w:val="0"/>
        <w:adjustRightInd w:val="0"/>
        <w:jc w:val="both"/>
        <w:rPr>
          <w:iCs/>
        </w:rPr>
      </w:pPr>
    </w:p>
    <w:p w14:paraId="02495952" w14:textId="77777777" w:rsidR="00674E8E" w:rsidRPr="009118AB" w:rsidRDefault="00674E8E" w:rsidP="00922FE1">
      <w:pPr>
        <w:autoSpaceDE w:val="0"/>
        <w:autoSpaceDN w:val="0"/>
        <w:adjustRightInd w:val="0"/>
        <w:ind w:firstLine="709"/>
        <w:jc w:val="both"/>
        <w:rPr>
          <w:iCs/>
        </w:rPr>
      </w:pPr>
      <w:r w:rsidRPr="009118AB">
        <w:rPr>
          <w:iCs/>
        </w:rPr>
        <w:t>1. ein Geschäftsführungssitz,</w:t>
      </w:r>
    </w:p>
    <w:p w14:paraId="52F44527" w14:textId="77777777" w:rsidR="00674E8E" w:rsidRPr="009118AB" w:rsidRDefault="00674E8E" w:rsidP="00674E8E">
      <w:pPr>
        <w:autoSpaceDE w:val="0"/>
        <w:autoSpaceDN w:val="0"/>
        <w:adjustRightInd w:val="0"/>
        <w:jc w:val="both"/>
        <w:rPr>
          <w:iCs/>
        </w:rPr>
      </w:pPr>
    </w:p>
    <w:p w14:paraId="000DC303" w14:textId="77777777" w:rsidR="00674E8E" w:rsidRPr="009118AB" w:rsidRDefault="00674E8E" w:rsidP="00922FE1">
      <w:pPr>
        <w:autoSpaceDE w:val="0"/>
        <w:autoSpaceDN w:val="0"/>
        <w:adjustRightInd w:val="0"/>
        <w:ind w:firstLine="709"/>
        <w:jc w:val="both"/>
        <w:rPr>
          <w:iCs/>
        </w:rPr>
      </w:pPr>
      <w:r w:rsidRPr="009118AB">
        <w:rPr>
          <w:iCs/>
        </w:rPr>
        <w:t>2. eine Zweigniederlassung,</w:t>
      </w:r>
    </w:p>
    <w:p w14:paraId="2AFF0C67" w14:textId="77777777" w:rsidR="00674E8E" w:rsidRPr="009118AB" w:rsidRDefault="00674E8E" w:rsidP="00674E8E">
      <w:pPr>
        <w:autoSpaceDE w:val="0"/>
        <w:autoSpaceDN w:val="0"/>
        <w:adjustRightInd w:val="0"/>
        <w:jc w:val="both"/>
        <w:rPr>
          <w:iCs/>
        </w:rPr>
      </w:pPr>
    </w:p>
    <w:p w14:paraId="158B9BBF" w14:textId="77777777" w:rsidR="00674E8E" w:rsidRPr="009118AB" w:rsidRDefault="00674E8E" w:rsidP="00922FE1">
      <w:pPr>
        <w:autoSpaceDE w:val="0"/>
        <w:autoSpaceDN w:val="0"/>
        <w:adjustRightInd w:val="0"/>
        <w:ind w:firstLine="709"/>
        <w:jc w:val="both"/>
        <w:rPr>
          <w:iCs/>
        </w:rPr>
      </w:pPr>
      <w:r w:rsidRPr="009118AB">
        <w:rPr>
          <w:iCs/>
        </w:rPr>
        <w:t>3. ein Büro,</w:t>
      </w:r>
    </w:p>
    <w:p w14:paraId="27E2A4B6" w14:textId="77777777" w:rsidR="00674E8E" w:rsidRPr="009118AB" w:rsidRDefault="00674E8E" w:rsidP="00674E8E">
      <w:pPr>
        <w:autoSpaceDE w:val="0"/>
        <w:autoSpaceDN w:val="0"/>
        <w:adjustRightInd w:val="0"/>
        <w:jc w:val="both"/>
        <w:rPr>
          <w:iCs/>
        </w:rPr>
      </w:pPr>
    </w:p>
    <w:p w14:paraId="3CD5A80B" w14:textId="77777777" w:rsidR="00674E8E" w:rsidRPr="009118AB" w:rsidRDefault="00674E8E" w:rsidP="00922FE1">
      <w:pPr>
        <w:autoSpaceDE w:val="0"/>
        <w:autoSpaceDN w:val="0"/>
        <w:adjustRightInd w:val="0"/>
        <w:ind w:firstLine="709"/>
        <w:jc w:val="both"/>
        <w:rPr>
          <w:iCs/>
        </w:rPr>
      </w:pPr>
      <w:r w:rsidRPr="009118AB">
        <w:rPr>
          <w:iCs/>
        </w:rPr>
        <w:t>4. ein Werk,</w:t>
      </w:r>
    </w:p>
    <w:p w14:paraId="6B9C843C" w14:textId="77777777" w:rsidR="00674E8E" w:rsidRPr="009118AB" w:rsidRDefault="00674E8E" w:rsidP="00674E8E">
      <w:pPr>
        <w:autoSpaceDE w:val="0"/>
        <w:autoSpaceDN w:val="0"/>
        <w:adjustRightInd w:val="0"/>
        <w:jc w:val="both"/>
        <w:rPr>
          <w:iCs/>
        </w:rPr>
      </w:pPr>
    </w:p>
    <w:p w14:paraId="6E89F49F" w14:textId="77777777" w:rsidR="00674E8E" w:rsidRPr="009118AB" w:rsidRDefault="00674E8E" w:rsidP="00922FE1">
      <w:pPr>
        <w:autoSpaceDE w:val="0"/>
        <w:autoSpaceDN w:val="0"/>
        <w:adjustRightInd w:val="0"/>
        <w:ind w:firstLine="709"/>
        <w:jc w:val="both"/>
        <w:rPr>
          <w:iCs/>
        </w:rPr>
      </w:pPr>
      <w:r w:rsidRPr="009118AB">
        <w:rPr>
          <w:iCs/>
        </w:rPr>
        <w:t>5. eine Werkstatt,</w:t>
      </w:r>
    </w:p>
    <w:p w14:paraId="3D7A574C" w14:textId="77777777" w:rsidR="00674E8E" w:rsidRPr="009118AB" w:rsidRDefault="00674E8E" w:rsidP="00674E8E">
      <w:pPr>
        <w:autoSpaceDE w:val="0"/>
        <w:autoSpaceDN w:val="0"/>
        <w:adjustRightInd w:val="0"/>
        <w:jc w:val="both"/>
        <w:rPr>
          <w:iCs/>
        </w:rPr>
      </w:pPr>
    </w:p>
    <w:p w14:paraId="1973C8DE" w14:textId="77777777" w:rsidR="00674E8E" w:rsidRPr="009118AB" w:rsidRDefault="00674E8E" w:rsidP="00922FE1">
      <w:pPr>
        <w:autoSpaceDE w:val="0"/>
        <w:autoSpaceDN w:val="0"/>
        <w:adjustRightInd w:val="0"/>
        <w:ind w:firstLine="709"/>
        <w:jc w:val="both"/>
        <w:rPr>
          <w:iCs/>
        </w:rPr>
      </w:pPr>
      <w:r w:rsidRPr="009118AB">
        <w:rPr>
          <w:iCs/>
        </w:rPr>
        <w:lastRenderedPageBreak/>
        <w:t>6. eine Agentur,</w:t>
      </w:r>
    </w:p>
    <w:p w14:paraId="09EDA05A" w14:textId="77777777" w:rsidR="00674E8E" w:rsidRPr="009118AB" w:rsidRDefault="00674E8E" w:rsidP="00674E8E">
      <w:pPr>
        <w:autoSpaceDE w:val="0"/>
        <w:autoSpaceDN w:val="0"/>
        <w:adjustRightInd w:val="0"/>
        <w:jc w:val="both"/>
        <w:rPr>
          <w:iCs/>
        </w:rPr>
      </w:pPr>
    </w:p>
    <w:p w14:paraId="7C2D5CE8" w14:textId="77777777" w:rsidR="00674E8E" w:rsidRPr="009118AB" w:rsidRDefault="00674E8E" w:rsidP="00922FE1">
      <w:pPr>
        <w:autoSpaceDE w:val="0"/>
        <w:autoSpaceDN w:val="0"/>
        <w:adjustRightInd w:val="0"/>
        <w:ind w:firstLine="709"/>
        <w:jc w:val="both"/>
        <w:rPr>
          <w:iCs/>
        </w:rPr>
      </w:pPr>
      <w:r w:rsidRPr="009118AB">
        <w:rPr>
          <w:iCs/>
        </w:rPr>
        <w:t>7. ein Bergwerk, ein Steinbruch oder andere Orte, an denen natürliche Ressourcen gewonnen werden,</w:t>
      </w:r>
    </w:p>
    <w:p w14:paraId="735223AB" w14:textId="77777777" w:rsidR="00674E8E" w:rsidRPr="009118AB" w:rsidRDefault="00674E8E" w:rsidP="00674E8E">
      <w:pPr>
        <w:autoSpaceDE w:val="0"/>
        <w:autoSpaceDN w:val="0"/>
        <w:adjustRightInd w:val="0"/>
        <w:jc w:val="both"/>
        <w:rPr>
          <w:iCs/>
        </w:rPr>
      </w:pPr>
    </w:p>
    <w:p w14:paraId="312F4CD6" w14:textId="77777777" w:rsidR="00674E8E" w:rsidRPr="009118AB" w:rsidRDefault="00674E8E" w:rsidP="00922FE1">
      <w:pPr>
        <w:autoSpaceDE w:val="0"/>
        <w:autoSpaceDN w:val="0"/>
        <w:adjustRightInd w:val="0"/>
        <w:ind w:firstLine="709"/>
        <w:jc w:val="both"/>
        <w:rPr>
          <w:iCs/>
        </w:rPr>
      </w:pPr>
      <w:r w:rsidRPr="009118AB">
        <w:rPr>
          <w:iCs/>
        </w:rPr>
        <w:t>8. eine Bau- oder Montagestelle, deren Dauer einen ununterbrochenen Zeitraum von dreißig Tagen überschreitet,</w:t>
      </w:r>
    </w:p>
    <w:p w14:paraId="7EA36F00" w14:textId="77777777" w:rsidR="00674E8E" w:rsidRPr="009118AB" w:rsidRDefault="00674E8E" w:rsidP="00674E8E">
      <w:pPr>
        <w:autoSpaceDE w:val="0"/>
        <w:autoSpaceDN w:val="0"/>
        <w:adjustRightInd w:val="0"/>
        <w:jc w:val="both"/>
        <w:rPr>
          <w:iCs/>
        </w:rPr>
      </w:pPr>
    </w:p>
    <w:p w14:paraId="5EE65B38" w14:textId="77777777" w:rsidR="00674E8E" w:rsidRPr="009118AB" w:rsidRDefault="00674E8E" w:rsidP="00922FE1">
      <w:pPr>
        <w:autoSpaceDE w:val="0"/>
        <w:autoSpaceDN w:val="0"/>
        <w:adjustRightInd w:val="0"/>
        <w:ind w:firstLine="709"/>
        <w:jc w:val="both"/>
        <w:rPr>
          <w:iCs/>
        </w:rPr>
      </w:pPr>
      <w:r w:rsidRPr="009118AB">
        <w:rPr>
          <w:iCs/>
        </w:rPr>
        <w:t>9. ein Lager,</w:t>
      </w:r>
    </w:p>
    <w:p w14:paraId="464655E0" w14:textId="77777777" w:rsidR="00674E8E" w:rsidRPr="009118AB" w:rsidRDefault="00674E8E" w:rsidP="00674E8E">
      <w:pPr>
        <w:autoSpaceDE w:val="0"/>
        <w:autoSpaceDN w:val="0"/>
        <w:adjustRightInd w:val="0"/>
        <w:jc w:val="both"/>
        <w:rPr>
          <w:iCs/>
        </w:rPr>
      </w:pPr>
    </w:p>
    <w:p w14:paraId="135946BF" w14:textId="77777777" w:rsidR="00674E8E" w:rsidRPr="009118AB" w:rsidRDefault="00674E8E" w:rsidP="00922FE1">
      <w:pPr>
        <w:autoSpaceDE w:val="0"/>
        <w:autoSpaceDN w:val="0"/>
        <w:adjustRightInd w:val="0"/>
        <w:ind w:firstLine="709"/>
        <w:jc w:val="both"/>
        <w:rPr>
          <w:iCs/>
        </w:rPr>
      </w:pPr>
      <w:r w:rsidRPr="009118AB">
        <w:rPr>
          <w:iCs/>
        </w:rPr>
        <w:t>10. ein Warenbestand.</w:t>
      </w:r>
    </w:p>
    <w:p w14:paraId="62FBD517" w14:textId="77777777" w:rsidR="00674E8E" w:rsidRPr="009118AB" w:rsidRDefault="00674E8E" w:rsidP="00674E8E">
      <w:pPr>
        <w:autoSpaceDE w:val="0"/>
        <w:autoSpaceDN w:val="0"/>
        <w:adjustRightInd w:val="0"/>
        <w:jc w:val="both"/>
        <w:rPr>
          <w:iCs/>
        </w:rPr>
      </w:pPr>
    </w:p>
    <w:p w14:paraId="722ACD09" w14:textId="7C337CCA" w:rsidR="00674E8E" w:rsidRPr="009118AB" w:rsidRDefault="00D67EB8" w:rsidP="00922FE1">
      <w:pPr>
        <w:autoSpaceDE w:val="0"/>
        <w:autoSpaceDN w:val="0"/>
        <w:adjustRightInd w:val="0"/>
        <w:ind w:firstLine="709"/>
        <w:jc w:val="both"/>
        <w:rPr>
          <w:iCs/>
        </w:rPr>
      </w:pPr>
      <w:r w:rsidRPr="009118AB">
        <w:rPr>
          <w:iCs/>
        </w:rPr>
        <w:t>§ </w:t>
      </w:r>
      <w:r w:rsidR="00674E8E" w:rsidRPr="009118AB">
        <w:rPr>
          <w:iCs/>
        </w:rPr>
        <w:t>2</w:t>
      </w:r>
      <w:r w:rsidRPr="009118AB">
        <w:rPr>
          <w:iCs/>
        </w:rPr>
        <w:t> - </w:t>
      </w:r>
      <w:r w:rsidR="00674E8E" w:rsidRPr="009118AB">
        <w:rPr>
          <w:iCs/>
        </w:rPr>
        <w:t>[Eine belgische Niederlassung ist ebenfalls der Vertreter oder ein anderer Vermittler, der in Belgien für ein ausländisches Unternehmen handelt, selbst wenn diese Person nicht über die Befugnis verfügt, im Namen dieses Unternehmens Verträge abzuschließen.</w:t>
      </w:r>
    </w:p>
    <w:p w14:paraId="6F08D1DF" w14:textId="77777777" w:rsidR="00674E8E" w:rsidRPr="009118AB" w:rsidRDefault="00674E8E" w:rsidP="00674E8E">
      <w:pPr>
        <w:autoSpaceDE w:val="0"/>
        <w:autoSpaceDN w:val="0"/>
        <w:adjustRightInd w:val="0"/>
        <w:jc w:val="both"/>
        <w:rPr>
          <w:iCs/>
        </w:rPr>
      </w:pPr>
    </w:p>
    <w:p w14:paraId="40683EBD" w14:textId="77777777" w:rsidR="00674E8E" w:rsidRPr="009118AB" w:rsidRDefault="00674E8E" w:rsidP="00922FE1">
      <w:pPr>
        <w:autoSpaceDE w:val="0"/>
        <w:autoSpaceDN w:val="0"/>
        <w:adjustRightInd w:val="0"/>
        <w:ind w:firstLine="709"/>
        <w:jc w:val="both"/>
        <w:rPr>
          <w:iCs/>
        </w:rPr>
      </w:pPr>
      <w:r w:rsidRPr="009118AB">
        <w:rPr>
          <w:iCs/>
        </w:rPr>
        <w:t>In Abweichung von Absatz 1 ist keine Rede von einer belgischen Niederlassung, wenn die Person, die für das ausländische Unternehmen handelt, in Belgien eine Tätigkeit als unabhängiger Zwischenhändler ausübt und im normalen Rahmen dieser Tätigkeit für dieses Unternehmen handelt. Eine Person, die ausschließlich oder fast ausschließlich für ein oder mehrere Unternehmen handelt, mit denen sie eng verbunden ist, gilt nicht als unabhängiger Zwischenhändler.</w:t>
      </w:r>
    </w:p>
    <w:p w14:paraId="7A3BB3B2" w14:textId="77777777" w:rsidR="00674E8E" w:rsidRPr="009118AB" w:rsidRDefault="00674E8E" w:rsidP="00674E8E">
      <w:pPr>
        <w:autoSpaceDE w:val="0"/>
        <w:autoSpaceDN w:val="0"/>
        <w:adjustRightInd w:val="0"/>
        <w:jc w:val="both"/>
        <w:rPr>
          <w:iCs/>
        </w:rPr>
      </w:pPr>
    </w:p>
    <w:p w14:paraId="5F69A81A" w14:textId="77777777" w:rsidR="00674E8E" w:rsidRPr="009118AB" w:rsidRDefault="00674E8E" w:rsidP="00922FE1">
      <w:pPr>
        <w:autoSpaceDE w:val="0"/>
        <w:autoSpaceDN w:val="0"/>
        <w:adjustRightInd w:val="0"/>
        <w:ind w:firstLine="709"/>
        <w:jc w:val="both"/>
        <w:rPr>
          <w:iCs/>
        </w:rPr>
      </w:pPr>
      <w:r w:rsidRPr="009118AB">
        <w:rPr>
          <w:iCs/>
        </w:rPr>
        <w:t xml:space="preserve">Für die Anwendung von Absatz 2 gilt eine Person als eng mit einem Unternehmen verbunden, wenn unter Berücksichtigung aller relevanten Fakten und Umstände der eine den anderen kontrolliert oder beide von denselben Personen oder Unternehmen kontrolliert werden. Auf jeden Fall gilt eine Person als eng mit einem Unternehmen verbunden, wenn der eine unmittelbar oder mittelbar mehr als 50 Prozent der effektiven Rechte oder Beteiligungen an dem anderen oder bei Gesellschaften mehr als 50 Prozent der gesamten Stimmrechte und des Werts der Aktien oder Anteile der anderen Gesellschaft oder der effektiven Rechte oder Beteiligungen am Eigenkapital der anderen Gesellschaft hält oder wenn eine andere Person oder ein anderes Unternehmen unmittelbar oder mittelbar mehr als 50 Prozent der effektiven Rechte oder Beteiligungen an der Person und dem Unternehmen oder bei Gesellschaften mehr als 50 Prozent der gesamten Stimmrechte und des Werts der Aktien oder Anteile der Gesellschaften oder der effektiven Rechte oder Beteiligungen am Eigenkapital der Gesellschaften hält.] </w:t>
      </w:r>
    </w:p>
    <w:p w14:paraId="7362D1C5" w14:textId="77777777" w:rsidR="00674E8E" w:rsidRPr="009118AB" w:rsidRDefault="00674E8E" w:rsidP="00674E8E">
      <w:pPr>
        <w:autoSpaceDE w:val="0"/>
        <w:autoSpaceDN w:val="0"/>
        <w:adjustRightInd w:val="0"/>
        <w:jc w:val="both"/>
        <w:rPr>
          <w:iCs/>
        </w:rPr>
      </w:pPr>
    </w:p>
    <w:p w14:paraId="31167B16" w14:textId="6EDB72CA" w:rsidR="00674E8E" w:rsidRPr="009118AB" w:rsidRDefault="00674E8E" w:rsidP="00922FE1">
      <w:pPr>
        <w:autoSpaceDE w:val="0"/>
        <w:autoSpaceDN w:val="0"/>
        <w:adjustRightInd w:val="0"/>
        <w:ind w:firstLine="709"/>
        <w:jc w:val="both"/>
        <w:rPr>
          <w:iCs/>
        </w:rPr>
      </w:pPr>
      <w:r w:rsidRPr="009118AB">
        <w:rPr>
          <w:iCs/>
        </w:rPr>
        <w:t>[</w:t>
      </w:r>
      <w:r w:rsidR="00D67EB8" w:rsidRPr="009118AB">
        <w:rPr>
          <w:iCs/>
        </w:rPr>
        <w:t>§ </w:t>
      </w:r>
      <w:r w:rsidRPr="009118AB">
        <w:rPr>
          <w:iCs/>
        </w:rPr>
        <w:t>2/1</w:t>
      </w:r>
      <w:r w:rsidR="00D67EB8" w:rsidRPr="009118AB">
        <w:rPr>
          <w:iCs/>
        </w:rPr>
        <w:t> - </w:t>
      </w:r>
      <w:r w:rsidRPr="009118AB">
        <w:rPr>
          <w:iCs/>
        </w:rPr>
        <w:t>Wenn ein ausländisches Unternehmen in Belgien Dienstleistungen für ein Projekt oder zusammenhängende Projekte durch eine oder mehrere natürliche Personen erbringt, die in Belgien anwesend sind und diese Dienstleistungen in Belgien binnen einem oder mehreren Zeiträumen erbringen, die insgesamt länger als dreißig Tage innerhalb eines zwölfmonatigen Zeitraums andauern, stellen die im Rahmen dieser Dienstleistungen in Belgien ausgeübten Tätigkeiten eine belgische Niederlassung dar.</w:t>
      </w:r>
      <w:r w:rsidR="00210E98" w:rsidRPr="009118AB">
        <w:rPr>
          <w:iCs/>
        </w:rPr>
        <w:t>]</w:t>
      </w:r>
    </w:p>
    <w:p w14:paraId="467CD308" w14:textId="77777777" w:rsidR="00674E8E" w:rsidRPr="009118AB" w:rsidRDefault="00674E8E" w:rsidP="00674E8E">
      <w:pPr>
        <w:autoSpaceDE w:val="0"/>
        <w:autoSpaceDN w:val="0"/>
        <w:adjustRightInd w:val="0"/>
        <w:jc w:val="both"/>
        <w:rPr>
          <w:iCs/>
        </w:rPr>
      </w:pPr>
    </w:p>
    <w:p w14:paraId="3DB8C428" w14:textId="7EC41F83" w:rsidR="00674E8E" w:rsidRPr="009118AB" w:rsidRDefault="00210E98" w:rsidP="00922FE1">
      <w:pPr>
        <w:autoSpaceDE w:val="0"/>
        <w:autoSpaceDN w:val="0"/>
        <w:adjustRightInd w:val="0"/>
        <w:ind w:firstLine="709"/>
        <w:jc w:val="both"/>
        <w:rPr>
          <w:iCs/>
        </w:rPr>
      </w:pPr>
      <w:r w:rsidRPr="009118AB">
        <w:rPr>
          <w:iCs/>
        </w:rPr>
        <w:t>[</w:t>
      </w:r>
      <w:r w:rsidR="00D67EB8" w:rsidRPr="009118AB">
        <w:rPr>
          <w:iCs/>
        </w:rPr>
        <w:t>§ </w:t>
      </w:r>
      <w:r w:rsidR="00674E8E" w:rsidRPr="009118AB">
        <w:rPr>
          <w:iCs/>
        </w:rPr>
        <w:t>2/2</w:t>
      </w:r>
      <w:r w:rsidR="00D67EB8" w:rsidRPr="009118AB">
        <w:rPr>
          <w:iCs/>
        </w:rPr>
        <w:t> - </w:t>
      </w:r>
      <w:r w:rsidR="00674E8E" w:rsidRPr="009118AB">
        <w:rPr>
          <w:iCs/>
        </w:rPr>
        <w:t xml:space="preserve">Wenn ein ausländisches Unternehmen mit einem oder mehreren anderen Unternehmen im Sinne von </w:t>
      </w:r>
      <w:r w:rsidRPr="009118AB">
        <w:rPr>
          <w:iCs/>
        </w:rPr>
        <w:t>[</w:t>
      </w:r>
      <w:r w:rsidRPr="009118AB">
        <w:t>Artikel 1:20 beziehungsweise 1:21 des Gesetzbuches der Gesellschaften und Vereinigungen</w:t>
      </w:r>
      <w:r w:rsidRPr="009118AB">
        <w:rPr>
          <w:iCs/>
        </w:rPr>
        <w:t>]</w:t>
      </w:r>
      <w:r w:rsidR="00674E8E" w:rsidRPr="009118AB">
        <w:rPr>
          <w:iCs/>
        </w:rPr>
        <w:t xml:space="preserve"> verbunden oder assoziiert ist, wird die Gesamtdauer der in Belgien ausgeübten, vergleich</w:t>
      </w:r>
      <w:r w:rsidR="00674E8E" w:rsidRPr="009118AB">
        <w:rPr>
          <w:iCs/>
        </w:rPr>
        <w:softHyphen/>
        <w:t xml:space="preserve">baren Tätigkeiten dieser Unternehmen berücksichtigt, um festzustellen, ob die Dauer der in Belgien ausgeübten Tätigkeiten dieses ausländischen Unternehmens die Mindestdauer überschreitet, die entweder in </w:t>
      </w:r>
      <w:r w:rsidR="00D67EB8" w:rsidRPr="009118AB">
        <w:rPr>
          <w:iCs/>
        </w:rPr>
        <w:t>§ </w:t>
      </w:r>
      <w:r w:rsidR="00674E8E" w:rsidRPr="009118AB">
        <w:rPr>
          <w:iCs/>
        </w:rPr>
        <w:t xml:space="preserve">1 Absatz 2 </w:t>
      </w:r>
      <w:r w:rsidR="00D67EB8" w:rsidRPr="009118AB">
        <w:rPr>
          <w:iCs/>
        </w:rPr>
        <w:t>Nr. </w:t>
      </w:r>
      <w:r w:rsidR="00674E8E" w:rsidRPr="009118AB">
        <w:rPr>
          <w:iCs/>
        </w:rPr>
        <w:t xml:space="preserve">8 und </w:t>
      </w:r>
      <w:r w:rsidR="00D67EB8" w:rsidRPr="009118AB">
        <w:rPr>
          <w:iCs/>
        </w:rPr>
        <w:t>§ </w:t>
      </w:r>
      <w:r w:rsidR="00674E8E" w:rsidRPr="009118AB">
        <w:rPr>
          <w:iCs/>
        </w:rPr>
        <w:t xml:space="preserve">2/1 für </w:t>
      </w:r>
      <w:r w:rsidR="00674E8E" w:rsidRPr="009118AB">
        <w:rPr>
          <w:iCs/>
        </w:rPr>
        <w:lastRenderedPageBreak/>
        <w:t>die Bestimmung als belgische Niederlassung oder in einem Abkommen zur Vermeidung der Doppelbesteuerung für die Bestimmung als feste Niederlassung, auch Betriebsstätte genannt, festgelegt ist. Vorliegende Bestimmung ist nicht anwendbar, wenn das ausländische Unternehmen nachweist, dass die Ausübung der vergleichbaren Tätigkeiten durch das Unternehmen selbst und ein oder mehrere Unternehmen, mit denen es verbunden oder assoziiert ist, aus einem anderen Grund geschieht als zu dem Zweck, zu vermeiden, dass diese Tätigkeiten eine belgische Niederlassung beziehungsweise eine feste Niederlassung oder Betriebsstätte darstellen, durch die diese Tätigkeiten ausgeübt werden.]</w:t>
      </w:r>
    </w:p>
    <w:p w14:paraId="7449FBBC" w14:textId="77777777" w:rsidR="00674E8E" w:rsidRPr="009118AB" w:rsidRDefault="00674E8E" w:rsidP="00674E8E">
      <w:pPr>
        <w:autoSpaceDE w:val="0"/>
        <w:autoSpaceDN w:val="0"/>
        <w:adjustRightInd w:val="0"/>
        <w:jc w:val="both"/>
        <w:rPr>
          <w:iCs/>
        </w:rPr>
      </w:pPr>
    </w:p>
    <w:p w14:paraId="554B46E5" w14:textId="42608AC5" w:rsidR="00674E8E" w:rsidRPr="009118AB" w:rsidRDefault="00D67EB8" w:rsidP="00922FE1">
      <w:pPr>
        <w:autoSpaceDE w:val="0"/>
        <w:autoSpaceDN w:val="0"/>
        <w:adjustRightInd w:val="0"/>
        <w:ind w:firstLine="709"/>
        <w:jc w:val="both"/>
        <w:rPr>
          <w:iCs/>
        </w:rPr>
      </w:pPr>
      <w:r w:rsidRPr="009118AB">
        <w:rPr>
          <w:iCs/>
        </w:rPr>
        <w:t>§ </w:t>
      </w:r>
      <w:r w:rsidR="00674E8E" w:rsidRPr="009118AB">
        <w:rPr>
          <w:iCs/>
        </w:rPr>
        <w:t>3</w:t>
      </w:r>
      <w:r w:rsidRPr="009118AB">
        <w:rPr>
          <w:iCs/>
        </w:rPr>
        <w:t> - </w:t>
      </w:r>
      <w:r w:rsidR="00674E8E" w:rsidRPr="009118AB">
        <w:rPr>
          <w:iCs/>
        </w:rPr>
        <w:t xml:space="preserve">[Für Gesellschafter oder Mitglieder </w:t>
      </w:r>
      <w:r w:rsidR="00210E98" w:rsidRPr="009118AB">
        <w:rPr>
          <w:iCs/>
        </w:rPr>
        <w:t>[</w:t>
      </w:r>
      <w:r w:rsidR="00674E8E" w:rsidRPr="009118AB">
        <w:rPr>
          <w:iCs/>
        </w:rPr>
        <w:t>einer Gesellschaft</w:t>
      </w:r>
      <w:r w:rsidR="00210E98" w:rsidRPr="009118AB">
        <w:rPr>
          <w:iCs/>
        </w:rPr>
        <w:t>]</w:t>
      </w:r>
      <w:r w:rsidR="00674E8E" w:rsidRPr="009118AB">
        <w:rPr>
          <w:iCs/>
        </w:rPr>
        <w:t xml:space="preserve"> oder einer Vereinigung ohne Rechtspersönlichkeit</w:t>
      </w:r>
      <w:r w:rsidR="00210E98" w:rsidRPr="009118AB">
        <w:rPr>
          <w:iCs/>
        </w:rPr>
        <w:t xml:space="preserve"> [</w:t>
      </w:r>
      <w:r w:rsidR="00210E98" w:rsidRPr="009118AB">
        <w:t>wie in Artikel 29 erwähnt</w:t>
      </w:r>
      <w:r w:rsidR="00210E98" w:rsidRPr="009118AB">
        <w:rPr>
          <w:iCs/>
        </w:rPr>
        <w:t>]</w:t>
      </w:r>
      <w:r w:rsidR="00674E8E" w:rsidRPr="009118AB">
        <w:rPr>
          <w:iCs/>
        </w:rPr>
        <w:t xml:space="preserve">, deren </w:t>
      </w:r>
      <w:r w:rsidR="00210E98" w:rsidRPr="009118AB">
        <w:rPr>
          <w:iCs/>
        </w:rPr>
        <w:t>[…]</w:t>
      </w:r>
      <w:r w:rsidR="00674E8E" w:rsidRPr="009118AB">
        <w:rPr>
          <w:iCs/>
        </w:rPr>
        <w:t xml:space="preserve"> Hauptniederlassung oder Geschäftsführungs- oder Verwaltungssitz in Belgien liegt oder die im Sinne von [Artikel 228 </w:t>
      </w:r>
      <w:r w:rsidRPr="009118AB">
        <w:rPr>
          <w:iCs/>
        </w:rPr>
        <w:t>§ </w:t>
      </w:r>
      <w:r w:rsidR="00674E8E" w:rsidRPr="009118AB">
        <w:rPr>
          <w:iCs/>
        </w:rPr>
        <w:t xml:space="preserve">2 </w:t>
      </w:r>
      <w:r w:rsidRPr="009118AB">
        <w:rPr>
          <w:iCs/>
        </w:rPr>
        <w:t>Nr. </w:t>
      </w:r>
      <w:r w:rsidR="00674E8E" w:rsidRPr="009118AB">
        <w:rPr>
          <w:iCs/>
        </w:rPr>
        <w:t>3, 3</w:t>
      </w:r>
      <w:r w:rsidR="00674E8E" w:rsidRPr="009118AB">
        <w:rPr>
          <w:i/>
          <w:iCs/>
        </w:rPr>
        <w:t>bis</w:t>
      </w:r>
      <w:r w:rsidR="00674E8E" w:rsidRPr="009118AB">
        <w:rPr>
          <w:iCs/>
        </w:rPr>
        <w:t xml:space="preserve"> oder 4] in Belgien Einkünfte erzielt oder bezieht, gilt, dass sie […] über eine belgische Niederlassung verfügen beziehungsweise […] persönlich in Belgien Tätigkeiten ausüben.]</w:t>
      </w:r>
    </w:p>
    <w:p w14:paraId="43EB92BD" w14:textId="77777777" w:rsidR="00674E8E" w:rsidRPr="009118AB" w:rsidRDefault="00674E8E" w:rsidP="00674E8E">
      <w:pPr>
        <w:autoSpaceDE w:val="0"/>
        <w:autoSpaceDN w:val="0"/>
        <w:adjustRightInd w:val="0"/>
        <w:jc w:val="both"/>
        <w:rPr>
          <w:iCs/>
        </w:rPr>
      </w:pPr>
    </w:p>
    <w:p w14:paraId="3F692471" w14:textId="1AE50001" w:rsidR="00674E8E" w:rsidRPr="009118AB" w:rsidRDefault="00674E8E" w:rsidP="00922FE1">
      <w:pPr>
        <w:autoSpaceDE w:val="0"/>
        <w:autoSpaceDN w:val="0"/>
        <w:adjustRightInd w:val="0"/>
        <w:ind w:firstLine="709"/>
        <w:jc w:val="both"/>
        <w:rPr>
          <w:iCs/>
        </w:rPr>
      </w:pPr>
      <w:r w:rsidRPr="009118AB">
        <w:rPr>
          <w:iCs/>
        </w:rPr>
        <w:t>[</w:t>
      </w:r>
      <w:r w:rsidR="00D67EB8" w:rsidRPr="009118AB">
        <w:rPr>
          <w:iCs/>
        </w:rPr>
        <w:t>§ </w:t>
      </w:r>
      <w:r w:rsidRPr="009118AB">
        <w:rPr>
          <w:iCs/>
        </w:rPr>
        <w:t>4</w:t>
      </w:r>
      <w:r w:rsidR="00D67EB8" w:rsidRPr="009118AB">
        <w:rPr>
          <w:iCs/>
        </w:rPr>
        <w:t> - </w:t>
      </w:r>
      <w:r w:rsidRPr="009118AB">
        <w:rPr>
          <w:iCs/>
        </w:rPr>
        <w:t xml:space="preserve">Was in Artikel 227 </w:t>
      </w:r>
      <w:r w:rsidR="00D67EB8" w:rsidRPr="009118AB">
        <w:rPr>
          <w:iCs/>
        </w:rPr>
        <w:t>Nr. </w:t>
      </w:r>
      <w:r w:rsidRPr="009118AB">
        <w:rPr>
          <w:iCs/>
        </w:rPr>
        <w:t>2 erwähnte Steuerpflichtige betrifft, besteht das Eigenkapital einer belgischen Niederlassung aus:</w:t>
      </w:r>
    </w:p>
    <w:p w14:paraId="3FA7DD57" w14:textId="77777777" w:rsidR="00674E8E" w:rsidRPr="009118AB" w:rsidRDefault="00674E8E" w:rsidP="00674E8E">
      <w:pPr>
        <w:autoSpaceDE w:val="0"/>
        <w:autoSpaceDN w:val="0"/>
        <w:adjustRightInd w:val="0"/>
        <w:jc w:val="both"/>
        <w:rPr>
          <w:iCs/>
        </w:rPr>
      </w:pPr>
    </w:p>
    <w:p w14:paraId="25E327BA" w14:textId="77777777" w:rsidR="00674E8E" w:rsidRPr="009118AB" w:rsidRDefault="00674E8E" w:rsidP="00922FE1">
      <w:pPr>
        <w:autoSpaceDE w:val="0"/>
        <w:autoSpaceDN w:val="0"/>
        <w:adjustRightInd w:val="0"/>
        <w:ind w:firstLine="709"/>
        <w:jc w:val="both"/>
        <w:rPr>
          <w:iCs/>
        </w:rPr>
      </w:pPr>
      <w:r w:rsidRPr="009118AB">
        <w:rPr>
          <w:iCs/>
        </w:rPr>
        <w:t>- steuerfreien Rücklagen,</w:t>
      </w:r>
    </w:p>
    <w:p w14:paraId="1677CB3C" w14:textId="77777777" w:rsidR="00674E8E" w:rsidRPr="009118AB" w:rsidRDefault="00674E8E" w:rsidP="00674E8E">
      <w:pPr>
        <w:autoSpaceDE w:val="0"/>
        <w:autoSpaceDN w:val="0"/>
        <w:adjustRightInd w:val="0"/>
        <w:jc w:val="both"/>
        <w:rPr>
          <w:iCs/>
        </w:rPr>
      </w:pPr>
    </w:p>
    <w:p w14:paraId="0CBC8D46" w14:textId="77777777" w:rsidR="00674E8E" w:rsidRPr="009118AB" w:rsidRDefault="00674E8E" w:rsidP="00922FE1">
      <w:pPr>
        <w:autoSpaceDE w:val="0"/>
        <w:autoSpaceDN w:val="0"/>
        <w:adjustRightInd w:val="0"/>
        <w:ind w:firstLine="709"/>
        <w:jc w:val="both"/>
        <w:rPr>
          <w:iCs/>
        </w:rPr>
      </w:pPr>
      <w:r w:rsidRPr="009118AB">
        <w:rPr>
          <w:iCs/>
        </w:rPr>
        <w:t>- besteuerten Rücklagen,</w:t>
      </w:r>
    </w:p>
    <w:p w14:paraId="38846D0E" w14:textId="77777777" w:rsidR="00674E8E" w:rsidRPr="009118AB" w:rsidRDefault="00674E8E" w:rsidP="00674E8E">
      <w:pPr>
        <w:autoSpaceDE w:val="0"/>
        <w:autoSpaceDN w:val="0"/>
        <w:adjustRightInd w:val="0"/>
        <w:jc w:val="both"/>
        <w:rPr>
          <w:iCs/>
        </w:rPr>
      </w:pPr>
    </w:p>
    <w:p w14:paraId="4B587585" w14:textId="77777777" w:rsidR="00674E8E" w:rsidRPr="009118AB" w:rsidRDefault="00674E8E" w:rsidP="00922FE1">
      <w:pPr>
        <w:autoSpaceDE w:val="0"/>
        <w:autoSpaceDN w:val="0"/>
        <w:adjustRightInd w:val="0"/>
        <w:ind w:firstLine="709"/>
        <w:jc w:val="both"/>
        <w:rPr>
          <w:iCs/>
        </w:rPr>
      </w:pPr>
      <w:r w:rsidRPr="009118AB">
        <w:rPr>
          <w:iCs/>
        </w:rPr>
        <w:t>- der Kapitalausstattung, die der Niederlassung von der ausländischen Gesellschaft zur Verfügung gestellt wird.</w:t>
      </w:r>
    </w:p>
    <w:p w14:paraId="1BA15B71" w14:textId="77777777" w:rsidR="00674E8E" w:rsidRPr="009118AB" w:rsidRDefault="00674E8E" w:rsidP="00674E8E">
      <w:pPr>
        <w:autoSpaceDE w:val="0"/>
        <w:autoSpaceDN w:val="0"/>
        <w:adjustRightInd w:val="0"/>
        <w:jc w:val="both"/>
        <w:rPr>
          <w:iCs/>
        </w:rPr>
      </w:pPr>
    </w:p>
    <w:p w14:paraId="183DB5A6" w14:textId="40559BB6" w:rsidR="00674E8E" w:rsidRPr="009118AB" w:rsidRDefault="00674E8E" w:rsidP="00922FE1">
      <w:pPr>
        <w:autoSpaceDE w:val="0"/>
        <w:autoSpaceDN w:val="0"/>
        <w:adjustRightInd w:val="0"/>
        <w:ind w:firstLine="709"/>
        <w:jc w:val="both"/>
        <w:rPr>
          <w:iCs/>
        </w:rPr>
      </w:pPr>
      <w:r w:rsidRPr="009118AB">
        <w:rPr>
          <w:iCs/>
        </w:rPr>
        <w:t xml:space="preserve">Das Eigenkapital einer belgischen Niederlassung wird um den Betrag der auf den Namen </w:t>
      </w:r>
      <w:r w:rsidR="00365503" w:rsidRPr="009118AB">
        <w:rPr>
          <w:iCs/>
        </w:rPr>
        <w:t>[</w:t>
      </w:r>
      <w:r w:rsidR="00365503" w:rsidRPr="009118AB">
        <w:t>der Hauptniederlassung oder des Geschäftsführungs- oder Verwaltungssitzes</w:t>
      </w:r>
      <w:r w:rsidR="00365503" w:rsidRPr="009118AB">
        <w:rPr>
          <w:iCs/>
        </w:rPr>
        <w:t>]</w:t>
      </w:r>
      <w:r w:rsidRPr="009118AB">
        <w:rPr>
          <w:iCs/>
        </w:rPr>
        <w:t xml:space="preserve"> geliehenen Mittel verringert, für die die Zinsen zu Lasten des steuerpflichtigen Ergebnisses der belgischen Niederlassung fallen.</w:t>
      </w:r>
    </w:p>
    <w:p w14:paraId="126E729B" w14:textId="77777777" w:rsidR="00674E8E" w:rsidRPr="009118AB" w:rsidRDefault="00674E8E" w:rsidP="00674E8E">
      <w:pPr>
        <w:autoSpaceDE w:val="0"/>
        <w:autoSpaceDN w:val="0"/>
        <w:adjustRightInd w:val="0"/>
        <w:jc w:val="both"/>
        <w:rPr>
          <w:iCs/>
        </w:rPr>
      </w:pPr>
      <w:r w:rsidRPr="009118AB">
        <w:rPr>
          <w:iCs/>
        </w:rPr>
        <w:tab/>
      </w:r>
    </w:p>
    <w:p w14:paraId="322F5ADC" w14:textId="42CE7737" w:rsidR="00674E8E" w:rsidRPr="009118AB" w:rsidRDefault="00674E8E" w:rsidP="00922FE1">
      <w:pPr>
        <w:autoSpaceDE w:val="0"/>
        <w:autoSpaceDN w:val="0"/>
        <w:adjustRightInd w:val="0"/>
        <w:ind w:firstLine="709"/>
        <w:jc w:val="both"/>
        <w:rPr>
          <w:iCs/>
        </w:rPr>
      </w:pPr>
      <w:r w:rsidRPr="009118AB">
        <w:rPr>
          <w:iCs/>
        </w:rPr>
        <w:t>Wird ein Teilbetrieb beziehungsweise ein Teil einer Tätigkeit oder ein Gesamt</w:t>
      </w:r>
      <w:r w:rsidRPr="009118AB">
        <w:rPr>
          <w:iCs/>
        </w:rPr>
        <w:softHyphen/>
        <w:t xml:space="preserve">vermögen in eine innereuropäische Gesellschaft eingebracht unter den Bedingungen für die Anwendung der in Artikel 46 </w:t>
      </w:r>
      <w:r w:rsidR="00D67EB8" w:rsidRPr="009118AB">
        <w:rPr>
          <w:iCs/>
        </w:rPr>
        <w:t>§ </w:t>
      </w:r>
      <w:r w:rsidRPr="009118AB">
        <w:rPr>
          <w:iCs/>
        </w:rPr>
        <w:t xml:space="preserve">1 Absatz 1 </w:t>
      </w:r>
      <w:r w:rsidR="00D67EB8" w:rsidRPr="009118AB">
        <w:rPr>
          <w:iCs/>
        </w:rPr>
        <w:t>Nr. </w:t>
      </w:r>
      <w:r w:rsidRPr="009118AB">
        <w:rPr>
          <w:iCs/>
        </w:rPr>
        <w:t>2 erwähnten Steuerbefreiung oder</w:t>
      </w:r>
      <w:r w:rsidR="00D67EB8" w:rsidRPr="009118AB">
        <w:rPr>
          <w:iCs/>
        </w:rPr>
        <w:t> - </w:t>
      </w:r>
      <w:r w:rsidRPr="009118AB">
        <w:rPr>
          <w:iCs/>
        </w:rPr>
        <w:t>im Falle einer durch eine innereuropäische Gesellschaft getätigten Einbringung</w:t>
      </w:r>
      <w:r w:rsidR="00D67EB8" w:rsidRPr="009118AB">
        <w:rPr>
          <w:iCs/>
        </w:rPr>
        <w:t> - </w:t>
      </w:r>
      <w:r w:rsidRPr="009118AB">
        <w:rPr>
          <w:iCs/>
        </w:rPr>
        <w:t>unter den Bedingun</w:t>
      </w:r>
      <w:r w:rsidRPr="009118AB">
        <w:rPr>
          <w:iCs/>
        </w:rPr>
        <w:softHyphen/>
        <w:t xml:space="preserve">gen von Artikel 231 </w:t>
      </w:r>
      <w:r w:rsidR="00D67EB8" w:rsidRPr="009118AB">
        <w:rPr>
          <w:iCs/>
        </w:rPr>
        <w:t>§ </w:t>
      </w:r>
      <w:r w:rsidRPr="009118AB">
        <w:rPr>
          <w:iCs/>
        </w:rPr>
        <w:t>2 oder einer gleichartigen Steuerbefreiung, die in dem Mitgliedstaat anwendbar ist, in dem die innereuropäische Gesellschaft ansässig ist, entspricht der Betrag der durch diese Einbringung gebildeten Kapitalausstattung dem Nettosteuerwert, den die in Belgien genutzten Bestandteile dieser Einbringung für den Einbringer hatten.</w:t>
      </w:r>
    </w:p>
    <w:p w14:paraId="5DBD6663" w14:textId="77777777" w:rsidR="00674E8E" w:rsidRPr="009118AB" w:rsidRDefault="00674E8E" w:rsidP="00674E8E">
      <w:pPr>
        <w:autoSpaceDE w:val="0"/>
        <w:autoSpaceDN w:val="0"/>
        <w:adjustRightInd w:val="0"/>
        <w:jc w:val="both"/>
        <w:rPr>
          <w:iCs/>
        </w:rPr>
      </w:pPr>
    </w:p>
    <w:p w14:paraId="460DD435" w14:textId="77777777" w:rsidR="00674E8E" w:rsidRPr="009118AB" w:rsidRDefault="00674E8E" w:rsidP="00922FE1">
      <w:pPr>
        <w:autoSpaceDE w:val="0"/>
        <w:autoSpaceDN w:val="0"/>
        <w:adjustRightInd w:val="0"/>
        <w:ind w:firstLine="709"/>
        <w:jc w:val="both"/>
        <w:rPr>
          <w:iCs/>
        </w:rPr>
      </w:pPr>
      <w:r w:rsidRPr="009118AB">
        <w:rPr>
          <w:iCs/>
        </w:rPr>
        <w:t>Im Falle einer Fusion, einer Aufspaltung oder eines damit gleichgesetzten Vorgangs gilt für die begünstigte belgische Niederlassung der übernehmenden oder begünstigten inner</w:t>
      </w:r>
      <w:r w:rsidRPr="009118AB">
        <w:rPr>
          <w:iCs/>
        </w:rPr>
        <w:softHyphen/>
        <w:t>europäischen Gesellschaft, dass:</w:t>
      </w:r>
    </w:p>
    <w:p w14:paraId="1B92D2D8" w14:textId="77777777" w:rsidR="00674E8E" w:rsidRPr="009118AB" w:rsidRDefault="00674E8E" w:rsidP="00674E8E">
      <w:pPr>
        <w:autoSpaceDE w:val="0"/>
        <w:autoSpaceDN w:val="0"/>
        <w:adjustRightInd w:val="0"/>
        <w:jc w:val="both"/>
        <w:rPr>
          <w:iCs/>
        </w:rPr>
      </w:pPr>
    </w:p>
    <w:p w14:paraId="6AAF56EC" w14:textId="77777777" w:rsidR="00674E8E" w:rsidRPr="009118AB" w:rsidRDefault="00674E8E" w:rsidP="00922FE1">
      <w:pPr>
        <w:autoSpaceDE w:val="0"/>
        <w:autoSpaceDN w:val="0"/>
        <w:adjustRightInd w:val="0"/>
        <w:ind w:firstLine="709"/>
        <w:jc w:val="both"/>
        <w:rPr>
          <w:iCs/>
        </w:rPr>
      </w:pPr>
      <w:r w:rsidRPr="009118AB">
        <w:rPr>
          <w:iCs/>
        </w:rPr>
        <w:t>- die Kapitalausstattung der Plusdifferenz zwischen dem Realwert der in Belgien in dieser Niederlassung genutzten Aktiva und Passiva entspricht, der für die Festlegung der infolge des Vorgangs geschuldeten Steuer berücksichtigt wird, und zwar in dem Maße, wie die Einbringungen durch neue Aktien oder Anteile vergütet werden, die zu diesem Zweck ausgegeben werden,</w:t>
      </w:r>
    </w:p>
    <w:p w14:paraId="63A68D40" w14:textId="77777777" w:rsidR="00674E8E" w:rsidRPr="009118AB" w:rsidRDefault="00674E8E" w:rsidP="00674E8E">
      <w:pPr>
        <w:autoSpaceDE w:val="0"/>
        <w:autoSpaceDN w:val="0"/>
        <w:adjustRightInd w:val="0"/>
        <w:jc w:val="both"/>
        <w:rPr>
          <w:iCs/>
        </w:rPr>
      </w:pPr>
    </w:p>
    <w:p w14:paraId="0785B136" w14:textId="77777777" w:rsidR="00674E8E" w:rsidRPr="009118AB" w:rsidRDefault="00674E8E" w:rsidP="00922FE1">
      <w:pPr>
        <w:autoSpaceDE w:val="0"/>
        <w:autoSpaceDN w:val="0"/>
        <w:adjustRightInd w:val="0"/>
        <w:ind w:firstLine="709"/>
        <w:jc w:val="both"/>
        <w:rPr>
          <w:iCs/>
        </w:rPr>
      </w:pPr>
      <w:r w:rsidRPr="009118AB">
        <w:rPr>
          <w:iCs/>
        </w:rPr>
        <w:lastRenderedPageBreak/>
        <w:t>- der Anschaffungswert der eingebrachten Bestandteile dem Realwert entspricht, den sie bei der übertragenden oder aufgespaltenen Gesellschaft an dem Datum hatten, an dem der Vorgang stattgefunden hat.</w:t>
      </w:r>
    </w:p>
    <w:p w14:paraId="2EEC19BE" w14:textId="77777777" w:rsidR="00674E8E" w:rsidRPr="009118AB" w:rsidRDefault="00674E8E" w:rsidP="00674E8E">
      <w:pPr>
        <w:autoSpaceDE w:val="0"/>
        <w:autoSpaceDN w:val="0"/>
        <w:adjustRightInd w:val="0"/>
        <w:jc w:val="both"/>
        <w:rPr>
          <w:iCs/>
        </w:rPr>
      </w:pPr>
    </w:p>
    <w:p w14:paraId="32A45F8C" w14:textId="77777777" w:rsidR="00674E8E" w:rsidRPr="009118AB" w:rsidRDefault="00674E8E" w:rsidP="00922FE1">
      <w:pPr>
        <w:autoSpaceDE w:val="0"/>
        <w:autoSpaceDN w:val="0"/>
        <w:adjustRightInd w:val="0"/>
        <w:ind w:firstLine="709"/>
        <w:jc w:val="both"/>
        <w:rPr>
          <w:iCs/>
        </w:rPr>
      </w:pPr>
      <w:r w:rsidRPr="009118AB">
        <w:rPr>
          <w:iCs/>
        </w:rPr>
        <w:t>In Abweichung von Absatz 4 werden im Falle einer Fusion, einer Aufspaltung oder eines damit gleichgesetzten Vorgangs wie in Artikel 211 erwähnt, woran eine innereuro</w:t>
      </w:r>
      <w:r w:rsidRPr="009118AB">
        <w:rPr>
          <w:iCs/>
        </w:rPr>
        <w:softHyphen/>
        <w:t>päische Gesellschaft als übernehmende oder begünstigte Gesellschaft beteiligt ist, die vor dem Vorgang in der übertragenden oder aufgespaltenen inländischen Gesellschaft vorhandenen steuer</w:t>
      </w:r>
      <w:r w:rsidRPr="009118AB">
        <w:rPr>
          <w:iCs/>
        </w:rPr>
        <w:softHyphen/>
        <w:t>freien und besteuerten Rücklagen in der [belgischen Niederlassung] nach dem Vorgang und in dem Maße, wie der Vorgang zur Bildung oder Erhöhung des vollständigen Nettosteuerwertes der [belgischen Nieder</w:t>
      </w:r>
      <w:r w:rsidRPr="009118AB">
        <w:rPr>
          <w:iCs/>
        </w:rPr>
        <w:softHyphen/>
        <w:t>lassung] führt, als steuerfreie beziehungsweise besteuerte Rücklagen der [belgischen Niederlassung] berücksichtigt und werden Abschreibungen, Investitionsabzüge, [Steuergutschriften für Forschung und Entwicklung, [Abzüge für Einkünfte aus Patenten, Abzüge für Einkünfte aus Innovationen,] Abzüge für Risikokapital,] Kapitalzuschüsse, Mehr- oder Minderwerte, die bei den übernehmenden oder begünstigten Gesellschaften in Bezug auf die in eine [belgische Niederlassung] eingebrachten Bestandteile zu berücksichtigen sind, ebenfalls bestimmt, als ob die Fusion, die Aufspaltung oder der damit gleichgesetzte Vorgang nicht stattgefunden hätte.</w:t>
      </w:r>
    </w:p>
    <w:p w14:paraId="66F2494F" w14:textId="77777777" w:rsidR="00674E8E" w:rsidRPr="009118AB" w:rsidRDefault="00674E8E" w:rsidP="00674E8E">
      <w:pPr>
        <w:autoSpaceDE w:val="0"/>
        <w:autoSpaceDN w:val="0"/>
        <w:adjustRightInd w:val="0"/>
        <w:jc w:val="both"/>
        <w:rPr>
          <w:iCs/>
        </w:rPr>
      </w:pPr>
    </w:p>
    <w:p w14:paraId="77F35887" w14:textId="77777777" w:rsidR="00674E8E" w:rsidRPr="009118AB" w:rsidRDefault="00674E8E" w:rsidP="00922FE1">
      <w:pPr>
        <w:autoSpaceDE w:val="0"/>
        <w:autoSpaceDN w:val="0"/>
        <w:adjustRightInd w:val="0"/>
        <w:ind w:firstLine="709"/>
        <w:jc w:val="both"/>
        <w:rPr>
          <w:iCs/>
        </w:rPr>
      </w:pPr>
      <w:r w:rsidRPr="009118AB">
        <w:rPr>
          <w:iCs/>
        </w:rPr>
        <w:t>In dem in Absatz 5 erwähnten Fall wird der Betrag der Gewinnrücklagen der übertragenden Gesellschaft, der bei der belgischen Niederlassung der übernehmenden oder begünstigten Gesellschaft berücksichtigt wird, herabgesetzt:</w:t>
      </w:r>
    </w:p>
    <w:p w14:paraId="4D982469" w14:textId="77777777" w:rsidR="00674E8E" w:rsidRPr="009118AB" w:rsidRDefault="00674E8E" w:rsidP="00674E8E">
      <w:pPr>
        <w:autoSpaceDE w:val="0"/>
        <w:autoSpaceDN w:val="0"/>
        <w:adjustRightInd w:val="0"/>
        <w:jc w:val="both"/>
        <w:rPr>
          <w:iCs/>
        </w:rPr>
      </w:pPr>
    </w:p>
    <w:p w14:paraId="60B9A33D" w14:textId="77777777" w:rsidR="00674E8E" w:rsidRPr="009118AB" w:rsidRDefault="00674E8E" w:rsidP="00922FE1">
      <w:pPr>
        <w:autoSpaceDE w:val="0"/>
        <w:autoSpaceDN w:val="0"/>
        <w:adjustRightInd w:val="0"/>
        <w:ind w:firstLine="709"/>
        <w:jc w:val="both"/>
        <w:rPr>
          <w:iCs/>
        </w:rPr>
      </w:pPr>
      <w:r w:rsidRPr="009118AB">
        <w:rPr>
          <w:iCs/>
        </w:rPr>
        <w:t>- in dem Maße, wie die Einbringungen anders als durch neue Aktien oder Anteile der übernehmenden oder begünstigten Gesellschaft vergütet werden, die anlässlich des Vorgangs ausgegeben werden. Diese Herabsetzung wird zuerst auf die besteuerten Rücklagen und dann auf die steuerfreien Rücklagen, die auf die belgische Niederlassung übertragen werden, angerechnet,</w:t>
      </w:r>
    </w:p>
    <w:p w14:paraId="4CB845DC" w14:textId="77777777" w:rsidR="00674E8E" w:rsidRPr="009118AB" w:rsidRDefault="00674E8E" w:rsidP="00674E8E">
      <w:pPr>
        <w:autoSpaceDE w:val="0"/>
        <w:autoSpaceDN w:val="0"/>
        <w:adjustRightInd w:val="0"/>
        <w:jc w:val="both"/>
        <w:rPr>
          <w:iCs/>
        </w:rPr>
      </w:pPr>
    </w:p>
    <w:p w14:paraId="545CD593" w14:textId="4B7C1693" w:rsidR="00674E8E" w:rsidRPr="009118AB" w:rsidRDefault="00674E8E" w:rsidP="00922FE1">
      <w:pPr>
        <w:autoSpaceDE w:val="0"/>
        <w:autoSpaceDN w:val="0"/>
        <w:adjustRightInd w:val="0"/>
        <w:ind w:firstLine="709"/>
        <w:jc w:val="both"/>
        <w:rPr>
          <w:iCs/>
        </w:rPr>
      </w:pPr>
      <w:r w:rsidRPr="009118AB">
        <w:rPr>
          <w:iCs/>
        </w:rPr>
        <w:t xml:space="preserve">- wenn die Einbringungen nicht vergütet werden, weil die übernehmenden oder begünstigten Gesellschaften Aktien oder Anteile der übertragenden oder aufgespaltenen Gesellschaft besitzen. In diesem Fall wird die Herabsetzung proportional angerechnet auf die Rücklagen der belgischen Niederlassung, die übertragen werden, mit einer vorrangigen Anrechnung auf die besteuerten Rücklagen, und auf den Betrag der Kapitalausstattung, der als Differenz zwischen dem Nettowert der erhaltenen Bestandteile und dem Betrag der übertragenen Rücklagen festgelegt wird. Keine Herabsetzung wird auf die in Artikel 211 </w:t>
      </w:r>
      <w:r w:rsidR="00D67EB8" w:rsidRPr="009118AB">
        <w:rPr>
          <w:iCs/>
        </w:rPr>
        <w:t>§ </w:t>
      </w:r>
      <w:r w:rsidRPr="009118AB">
        <w:rPr>
          <w:iCs/>
        </w:rPr>
        <w:t xml:space="preserve">1 Absatz 1 </w:t>
      </w:r>
      <w:r w:rsidR="00D67EB8" w:rsidRPr="009118AB">
        <w:rPr>
          <w:iCs/>
        </w:rPr>
        <w:t>Nr. </w:t>
      </w:r>
      <w:r w:rsidRPr="009118AB">
        <w:rPr>
          <w:iCs/>
        </w:rPr>
        <w:t xml:space="preserve">1 erwähnten Mehrwerte und Kapitalzuschüsse, auf die in </w:t>
      </w:r>
      <w:r w:rsidR="00D67EB8" w:rsidRPr="009118AB">
        <w:rPr>
          <w:iCs/>
        </w:rPr>
        <w:t>§ </w:t>
      </w:r>
      <w:r w:rsidRPr="009118AB">
        <w:rPr>
          <w:iCs/>
        </w:rPr>
        <w:t xml:space="preserve">1 Absatz 1 </w:t>
      </w:r>
      <w:r w:rsidR="00D67EB8" w:rsidRPr="009118AB">
        <w:rPr>
          <w:iCs/>
        </w:rPr>
        <w:t>Nr. </w:t>
      </w:r>
      <w:r w:rsidRPr="009118AB">
        <w:rPr>
          <w:iCs/>
        </w:rPr>
        <w:t xml:space="preserve">2 desselben Artikels erwähnten steuerfreien Rücklagen und auf steuerfreie Wertminderungen und Rückstellungen, die als solche in der Buchhaltung der übernehmenden oder begünstigten Gesellschaften oder der in </w:t>
      </w:r>
      <w:r w:rsidR="00D67EB8" w:rsidRPr="009118AB">
        <w:rPr>
          <w:iCs/>
        </w:rPr>
        <w:t>§ </w:t>
      </w:r>
      <w:r w:rsidRPr="009118AB">
        <w:rPr>
          <w:iCs/>
        </w:rPr>
        <w:t>1 Absatz 5 desselben Artikels erwähnten belgischen Nieder</w:t>
      </w:r>
      <w:r w:rsidRPr="009118AB">
        <w:rPr>
          <w:iCs/>
        </w:rPr>
        <w:softHyphen/>
        <w:t>lassung vorkommen, angerechnet.</w:t>
      </w:r>
    </w:p>
    <w:p w14:paraId="087A3B47" w14:textId="77777777" w:rsidR="00674E8E" w:rsidRPr="009118AB" w:rsidRDefault="00674E8E" w:rsidP="00674E8E">
      <w:pPr>
        <w:autoSpaceDE w:val="0"/>
        <w:autoSpaceDN w:val="0"/>
        <w:adjustRightInd w:val="0"/>
        <w:jc w:val="both"/>
        <w:rPr>
          <w:iCs/>
        </w:rPr>
      </w:pPr>
    </w:p>
    <w:p w14:paraId="5440C239" w14:textId="6FD5D38E" w:rsidR="00674E8E" w:rsidRPr="009118AB" w:rsidRDefault="00674E8E" w:rsidP="00922FE1">
      <w:pPr>
        <w:autoSpaceDE w:val="0"/>
        <w:autoSpaceDN w:val="0"/>
        <w:adjustRightInd w:val="0"/>
        <w:ind w:firstLine="709"/>
        <w:jc w:val="both"/>
        <w:rPr>
          <w:iCs/>
        </w:rPr>
      </w:pPr>
      <w:r w:rsidRPr="009118AB">
        <w:rPr>
          <w:iCs/>
        </w:rPr>
        <w:t xml:space="preserve">Die Bestimmungen der Absätze 5 und 6 sind ebenfalls anwendbar, wenn eine innereuropäische Gesellschaft anlässlich eines Vorgangs in einer belgischen Niederlassung Bestandteile einer anderen innereuropäischen Gesellschaft erwirbt, sofern die in Artikel 231 </w:t>
      </w:r>
      <w:r w:rsidR="00D67EB8" w:rsidRPr="009118AB">
        <w:rPr>
          <w:iCs/>
        </w:rPr>
        <w:t>§ </w:t>
      </w:r>
      <w:r w:rsidRPr="009118AB">
        <w:rPr>
          <w:iCs/>
        </w:rPr>
        <w:t>2 Absatz 1 erwähnte Steuerbefreiung bei der übertragenden Gesellschaft angewandt wird. Dabei führt der Betrag der steuerfreien und besteuerten Rücklagen und der Kapitalaus</w:t>
      </w:r>
      <w:r w:rsidRPr="009118AB">
        <w:rPr>
          <w:iCs/>
        </w:rPr>
        <w:softHyphen/>
        <w:t>stattung, der in einer übertragenen belgischen Niederlassung vorhanden war, in der belgischen Niederlassung der übernehmenden Gesellschaft zu steuerfreien beziehungsweise besteuerten Rücklagen und einer Kapitalausstattung, die den Bestimmungen von Absatz 6 unterliegen.</w:t>
      </w:r>
    </w:p>
    <w:p w14:paraId="5367DDB9" w14:textId="77777777" w:rsidR="00674E8E" w:rsidRPr="009118AB" w:rsidRDefault="00674E8E" w:rsidP="00674E8E">
      <w:pPr>
        <w:autoSpaceDE w:val="0"/>
        <w:autoSpaceDN w:val="0"/>
        <w:adjustRightInd w:val="0"/>
        <w:jc w:val="both"/>
        <w:rPr>
          <w:iCs/>
        </w:rPr>
      </w:pPr>
    </w:p>
    <w:p w14:paraId="52B1D3F4" w14:textId="77777777" w:rsidR="00674E8E" w:rsidRPr="009118AB" w:rsidRDefault="00674E8E" w:rsidP="00922FE1">
      <w:pPr>
        <w:autoSpaceDE w:val="0"/>
        <w:autoSpaceDN w:val="0"/>
        <w:adjustRightInd w:val="0"/>
        <w:ind w:firstLine="709"/>
        <w:jc w:val="both"/>
        <w:rPr>
          <w:iCs/>
        </w:rPr>
      </w:pPr>
      <w:r w:rsidRPr="009118AB">
        <w:rPr>
          <w:iCs/>
        </w:rPr>
        <w:t>In denselben in den Absätzen 5 und 7 erwähnten Fällen bleiben die Bestimmungen des vorliegenden Gesetzbuches auf die Weise und unter den Bedingungen, die darin vorgesehen sind, anwendbar auf Wertminderungen, Rückstellungen, Unterbewertungen, Überbewer</w:t>
      </w:r>
      <w:r w:rsidRPr="009118AB">
        <w:rPr>
          <w:iCs/>
        </w:rPr>
        <w:softHyphen/>
        <w:t>tungen, Kapitalzuschüsse, Forderungen, Mehrwerte und Rücklagen, die in den belgischen Niederlassungen der übertragenden oder aufgespaltenen Gesellschaften bestanden, in dem Maße, wie diese Bestandteile in den Aktiva der belgischen Niederlassungen der überneh</w:t>
      </w:r>
      <w:r w:rsidRPr="009118AB">
        <w:rPr>
          <w:iCs/>
        </w:rPr>
        <w:softHyphen/>
        <w:t>menden oder begünstigten Gesellschaften wiederzufinden sind; die Fusion, die Aufspaltung oder der damit gleichgesetzte Vorgang darf keine Verlängerung der ursprünglich vorgesehen</w:t>
      </w:r>
      <w:r w:rsidRPr="009118AB">
        <w:rPr>
          <w:iCs/>
        </w:rPr>
        <w:softHyphen/>
        <w:t>en Wiederanlagefrist der Mehrwerte, die diesen Bedingungen unterliegen, zur Folge haben.</w:t>
      </w:r>
    </w:p>
    <w:p w14:paraId="0B1D1801" w14:textId="77777777" w:rsidR="00674E8E" w:rsidRPr="009118AB" w:rsidRDefault="00674E8E" w:rsidP="00674E8E">
      <w:pPr>
        <w:autoSpaceDE w:val="0"/>
        <w:autoSpaceDN w:val="0"/>
        <w:adjustRightInd w:val="0"/>
        <w:jc w:val="both"/>
        <w:rPr>
          <w:iCs/>
        </w:rPr>
      </w:pPr>
    </w:p>
    <w:p w14:paraId="762E821A" w14:textId="716EF8BE" w:rsidR="00674E8E" w:rsidRPr="009118AB" w:rsidRDefault="00674E8E" w:rsidP="00922FE1">
      <w:pPr>
        <w:autoSpaceDE w:val="0"/>
        <w:autoSpaceDN w:val="0"/>
        <w:adjustRightInd w:val="0"/>
        <w:ind w:firstLine="709"/>
        <w:jc w:val="both"/>
        <w:rPr>
          <w:iCs/>
        </w:rPr>
      </w:pPr>
      <w:r w:rsidRPr="009118AB">
        <w:rPr>
          <w:iCs/>
        </w:rPr>
        <w:t>Im Falle der Anwendung der Artikel 211 und 231 §</w:t>
      </w:r>
      <w:r w:rsidR="00D67EB8" w:rsidRPr="009118AB">
        <w:rPr>
          <w:iCs/>
        </w:rPr>
        <w:t>§ </w:t>
      </w:r>
      <w:r w:rsidRPr="009118AB">
        <w:rPr>
          <w:iCs/>
        </w:rPr>
        <w:t>2 und 3 werden Mehrwerte, die anlässlich dieses Vorgangs verwirklicht oder festgestellt werden, als nicht verwirklicht be</w:t>
      </w:r>
      <w:r w:rsidRPr="009118AB">
        <w:rPr>
          <w:iCs/>
        </w:rPr>
        <w:softHyphen/>
        <w:t xml:space="preserve">trachtet. In dem Maße, wie diese Mehrwerte aufgezeichnet werden, werden sie mit den in Artikel 44 </w:t>
      </w:r>
      <w:r w:rsidR="00D67EB8" w:rsidRPr="009118AB">
        <w:rPr>
          <w:iCs/>
        </w:rPr>
        <w:t>§ </w:t>
      </w:r>
      <w:r w:rsidRPr="009118AB">
        <w:rPr>
          <w:iCs/>
        </w:rPr>
        <w:t xml:space="preserve">1 </w:t>
      </w:r>
      <w:r w:rsidR="00D67EB8" w:rsidRPr="009118AB">
        <w:rPr>
          <w:iCs/>
        </w:rPr>
        <w:t>Nr. </w:t>
      </w:r>
      <w:r w:rsidRPr="009118AB">
        <w:rPr>
          <w:iCs/>
        </w:rPr>
        <w:t>1 erwähnten aufgezeichneten, nicht verwirklichten Mehrwerten gleich</w:t>
      </w:r>
      <w:r w:rsidRPr="009118AB">
        <w:rPr>
          <w:iCs/>
        </w:rPr>
        <w:softHyphen/>
        <w:t>gesetzt.</w:t>
      </w:r>
    </w:p>
    <w:p w14:paraId="714211EF" w14:textId="77777777" w:rsidR="00674E8E" w:rsidRPr="009118AB" w:rsidRDefault="00922FE1" w:rsidP="00674E8E">
      <w:pPr>
        <w:autoSpaceDE w:val="0"/>
        <w:autoSpaceDN w:val="0"/>
        <w:adjustRightInd w:val="0"/>
        <w:jc w:val="both"/>
        <w:rPr>
          <w:iCs/>
        </w:rPr>
      </w:pPr>
      <w:r w:rsidRPr="009118AB">
        <w:rPr>
          <w:iCs/>
        </w:rPr>
        <w:tab/>
      </w:r>
    </w:p>
    <w:p w14:paraId="0EB6ECA6" w14:textId="6CF8D6F6" w:rsidR="00674E8E" w:rsidRPr="009118AB" w:rsidRDefault="00674E8E" w:rsidP="00922FE1">
      <w:pPr>
        <w:autoSpaceDE w:val="0"/>
        <w:autoSpaceDN w:val="0"/>
        <w:adjustRightInd w:val="0"/>
        <w:ind w:firstLine="709"/>
        <w:jc w:val="both"/>
        <w:rPr>
          <w:iCs/>
        </w:rPr>
      </w:pPr>
      <w:r w:rsidRPr="009118AB">
        <w:rPr>
          <w:iCs/>
        </w:rPr>
        <w:t>Die Bestimmungen von Absatz 5 sind ebenfalls anwendbar in Bezug auf die Bestand</w:t>
      </w:r>
      <w:r w:rsidRPr="009118AB">
        <w:rPr>
          <w:iCs/>
        </w:rPr>
        <w:softHyphen/>
        <w:t xml:space="preserve">teile und das Eigenkapital, die im Falle der Verlegung </w:t>
      </w:r>
      <w:r w:rsidR="00365503" w:rsidRPr="009118AB">
        <w:rPr>
          <w:iCs/>
        </w:rPr>
        <w:t>[...]</w:t>
      </w:r>
      <w:r w:rsidRPr="009118AB">
        <w:rPr>
          <w:iCs/>
        </w:rPr>
        <w:t xml:space="preserve"> der Haupt</w:t>
      </w:r>
      <w:r w:rsidRPr="009118AB">
        <w:rPr>
          <w:iCs/>
        </w:rPr>
        <w:softHyphen/>
        <w:t>niederlassung oder des Geschäftsführungs- oder Verwaltungssitzes [durch eine inländische Gesellschaft] in einen anderen Mitgliedstaat der Europäischen Union in Anwendung der Bestimmung von Artikel 214</w:t>
      </w:r>
      <w:r w:rsidRPr="009118AB">
        <w:rPr>
          <w:i/>
          <w:iCs/>
        </w:rPr>
        <w:t>bis</w:t>
      </w:r>
      <w:r w:rsidRPr="009118AB">
        <w:rPr>
          <w:iCs/>
        </w:rPr>
        <w:t xml:space="preserve"> dauerhaft in einer belgischen Niederlassung, über die diese Gesellschaft nach der Verlegung verfügt, genutzt werden.]</w:t>
      </w:r>
    </w:p>
    <w:p w14:paraId="1AA1424C" w14:textId="77777777" w:rsidR="00674E8E" w:rsidRPr="009118AB" w:rsidRDefault="00674E8E" w:rsidP="00674E8E">
      <w:pPr>
        <w:autoSpaceDE w:val="0"/>
        <w:autoSpaceDN w:val="0"/>
        <w:adjustRightInd w:val="0"/>
        <w:jc w:val="both"/>
        <w:rPr>
          <w:iCs/>
        </w:rPr>
      </w:pPr>
    </w:p>
    <w:p w14:paraId="3779149C" w14:textId="3CF70251" w:rsidR="00674E8E" w:rsidRPr="009118AB" w:rsidRDefault="00674E8E" w:rsidP="00922FE1">
      <w:pPr>
        <w:autoSpaceDE w:val="0"/>
        <w:autoSpaceDN w:val="0"/>
        <w:adjustRightInd w:val="0"/>
        <w:ind w:firstLine="709"/>
        <w:jc w:val="both"/>
        <w:rPr>
          <w:iCs/>
        </w:rPr>
      </w:pPr>
      <w:r w:rsidRPr="009118AB">
        <w:rPr>
          <w:iCs/>
        </w:rPr>
        <w:t>[</w:t>
      </w:r>
      <w:r w:rsidR="00D67EB8" w:rsidRPr="009118AB">
        <w:rPr>
          <w:iCs/>
        </w:rPr>
        <w:t>§ </w:t>
      </w:r>
      <w:r w:rsidRPr="009118AB">
        <w:rPr>
          <w:iCs/>
        </w:rPr>
        <w:t>5</w:t>
      </w:r>
      <w:r w:rsidR="00D67EB8" w:rsidRPr="009118AB">
        <w:rPr>
          <w:iCs/>
        </w:rPr>
        <w:t> - </w:t>
      </w:r>
      <w:r w:rsidRPr="009118AB">
        <w:rPr>
          <w:iCs/>
        </w:rPr>
        <w:t xml:space="preserve">Im Falle einer in Absatz 2 erwähnten Übertragung eines oder mehrerer im Ausland gelegener Bestandteile werden für die in Artikel 227 </w:t>
      </w:r>
      <w:r w:rsidR="00D67EB8" w:rsidRPr="009118AB">
        <w:rPr>
          <w:iCs/>
        </w:rPr>
        <w:t>Nr. </w:t>
      </w:r>
      <w:r w:rsidRPr="009118AB">
        <w:rPr>
          <w:iCs/>
        </w:rPr>
        <w:t>2 erwähnten Steuerpflichtigen die zu einem späteren Zeitpunkt verwirklichten Mehr- und Minderwerte, Abschreibungen und Wertminderungen, die sich auf diese Aktiva beziehen, auf der Grundlage des Realwertes, den sie zum Zeitpunkt des Vorgangs haben, bestimmt.</w:t>
      </w:r>
    </w:p>
    <w:p w14:paraId="3B186496" w14:textId="77777777" w:rsidR="00674E8E" w:rsidRPr="009118AB" w:rsidRDefault="00674E8E" w:rsidP="00674E8E">
      <w:pPr>
        <w:autoSpaceDE w:val="0"/>
        <w:autoSpaceDN w:val="0"/>
        <w:adjustRightInd w:val="0"/>
        <w:jc w:val="both"/>
        <w:rPr>
          <w:iCs/>
        </w:rPr>
      </w:pPr>
    </w:p>
    <w:p w14:paraId="31D7A602" w14:textId="77777777" w:rsidR="00674E8E" w:rsidRPr="009118AB" w:rsidRDefault="00674E8E" w:rsidP="00922FE1">
      <w:pPr>
        <w:autoSpaceDE w:val="0"/>
        <w:autoSpaceDN w:val="0"/>
        <w:adjustRightInd w:val="0"/>
        <w:ind w:firstLine="709"/>
        <w:jc w:val="both"/>
        <w:rPr>
          <w:iCs/>
        </w:rPr>
      </w:pPr>
      <w:r w:rsidRPr="009118AB">
        <w:rPr>
          <w:iCs/>
        </w:rPr>
        <w:t>Der Anwendungsbereich von Absatz 1 erstreckt sich auf folgende Vorgänge:</w:t>
      </w:r>
    </w:p>
    <w:p w14:paraId="39087A90" w14:textId="77777777" w:rsidR="00674E8E" w:rsidRPr="009118AB" w:rsidRDefault="00674E8E" w:rsidP="00674E8E">
      <w:pPr>
        <w:autoSpaceDE w:val="0"/>
        <w:autoSpaceDN w:val="0"/>
        <w:adjustRightInd w:val="0"/>
        <w:jc w:val="both"/>
        <w:rPr>
          <w:iCs/>
        </w:rPr>
      </w:pPr>
    </w:p>
    <w:p w14:paraId="1552A601" w14:textId="6507416F" w:rsidR="00674E8E" w:rsidRPr="009118AB" w:rsidRDefault="00674E8E" w:rsidP="00922FE1">
      <w:pPr>
        <w:autoSpaceDE w:val="0"/>
        <w:autoSpaceDN w:val="0"/>
        <w:adjustRightInd w:val="0"/>
        <w:ind w:firstLine="709"/>
        <w:jc w:val="both"/>
        <w:rPr>
          <w:iCs/>
        </w:rPr>
      </w:pPr>
      <w:r w:rsidRPr="009118AB">
        <w:rPr>
          <w:iCs/>
        </w:rPr>
        <w:t xml:space="preserve">1. Übertragung eines oder mehrerer Aktivabestandteile </w:t>
      </w:r>
      <w:r w:rsidR="00210E98" w:rsidRPr="009118AB">
        <w:rPr>
          <w:iCs/>
        </w:rPr>
        <w:t>[</w:t>
      </w:r>
      <w:r w:rsidR="00210E98" w:rsidRPr="009118AB">
        <w:t>vom Steuerwohnsitz</w:t>
      </w:r>
      <w:r w:rsidR="00210E98" w:rsidRPr="009118AB">
        <w:rPr>
          <w:iCs/>
        </w:rPr>
        <w:t>]</w:t>
      </w:r>
      <w:r w:rsidRPr="009118AB">
        <w:rPr>
          <w:iCs/>
        </w:rPr>
        <w:t xml:space="preserve"> einer ausländischen Gesellschaft an eine belgische Niederlassung,</w:t>
      </w:r>
    </w:p>
    <w:p w14:paraId="1EB736FA" w14:textId="77777777" w:rsidR="00674E8E" w:rsidRPr="009118AB" w:rsidRDefault="00674E8E" w:rsidP="00674E8E">
      <w:pPr>
        <w:autoSpaceDE w:val="0"/>
        <w:autoSpaceDN w:val="0"/>
        <w:adjustRightInd w:val="0"/>
        <w:jc w:val="both"/>
        <w:rPr>
          <w:iCs/>
        </w:rPr>
      </w:pPr>
    </w:p>
    <w:p w14:paraId="75C4DAA7" w14:textId="77777777" w:rsidR="00674E8E" w:rsidRPr="009118AB" w:rsidRDefault="00674E8E" w:rsidP="00922FE1">
      <w:pPr>
        <w:autoSpaceDE w:val="0"/>
        <w:autoSpaceDN w:val="0"/>
        <w:adjustRightInd w:val="0"/>
        <w:ind w:firstLine="709"/>
        <w:jc w:val="both"/>
        <w:rPr>
          <w:iCs/>
        </w:rPr>
      </w:pPr>
      <w:r w:rsidRPr="009118AB">
        <w:rPr>
          <w:iCs/>
        </w:rPr>
        <w:t>2. Übertragung eines oder mehrerer Aktivabestandteile von einer ausländischen Niederlassung an eine belgische Niederlassung, sofern diese ausländische Niederlassung und diese belgische Niederlassung Teil derselben ausländischen Gesellschaft sind,</w:t>
      </w:r>
    </w:p>
    <w:p w14:paraId="1C051D99" w14:textId="77777777" w:rsidR="00674E8E" w:rsidRPr="009118AB" w:rsidRDefault="00674E8E" w:rsidP="00674E8E">
      <w:pPr>
        <w:autoSpaceDE w:val="0"/>
        <w:autoSpaceDN w:val="0"/>
        <w:adjustRightInd w:val="0"/>
        <w:jc w:val="both"/>
        <w:rPr>
          <w:iCs/>
        </w:rPr>
      </w:pPr>
    </w:p>
    <w:p w14:paraId="0B4D43D6" w14:textId="77777777" w:rsidR="00674E8E" w:rsidRPr="009118AB" w:rsidRDefault="00674E8E" w:rsidP="00922FE1">
      <w:pPr>
        <w:autoSpaceDE w:val="0"/>
        <w:autoSpaceDN w:val="0"/>
        <w:adjustRightInd w:val="0"/>
        <w:ind w:firstLine="709"/>
        <w:jc w:val="both"/>
        <w:rPr>
          <w:iCs/>
        </w:rPr>
      </w:pPr>
      <w:r w:rsidRPr="009118AB">
        <w:rPr>
          <w:iCs/>
        </w:rPr>
        <w:t>3. Übertragung eines oder mehrerer Aktivabestandteile, die weiterhin einer auslän</w:t>
      </w:r>
      <w:r w:rsidRPr="009118AB">
        <w:rPr>
          <w:iCs/>
        </w:rPr>
        <w:softHyphen/>
        <w:t>dischen Niederlassung einer ausländischen Gesellschaft zugerechnet werden, falls diese Niederlassung nach Belgien verlegt wird und folglich als belgische Niederlassung betrachtet wird.</w:t>
      </w:r>
    </w:p>
    <w:p w14:paraId="2E3026A2" w14:textId="77777777" w:rsidR="00674E8E" w:rsidRPr="009118AB" w:rsidRDefault="00674E8E" w:rsidP="00674E8E">
      <w:pPr>
        <w:autoSpaceDE w:val="0"/>
        <w:autoSpaceDN w:val="0"/>
        <w:adjustRightInd w:val="0"/>
        <w:jc w:val="both"/>
        <w:rPr>
          <w:iCs/>
        </w:rPr>
      </w:pPr>
    </w:p>
    <w:p w14:paraId="0846F00B" w14:textId="77777777" w:rsidR="00674E8E" w:rsidRPr="009118AB" w:rsidRDefault="00674E8E" w:rsidP="00922FE1">
      <w:pPr>
        <w:autoSpaceDE w:val="0"/>
        <w:autoSpaceDN w:val="0"/>
        <w:adjustRightInd w:val="0"/>
        <w:ind w:firstLine="709"/>
        <w:jc w:val="both"/>
        <w:rPr>
          <w:iCs/>
        </w:rPr>
      </w:pPr>
      <w:r w:rsidRPr="009118AB">
        <w:rPr>
          <w:iCs/>
        </w:rPr>
        <w:t>Ist der Wert dieser Bestandteile anlässlich eines in Absatz 2 erwähnten Vorgangs von dem Staat festgesetzt worden, in dem diese Bestandteile zum Zeitpunkt des Vorgangs gelegen waren, und werden die nicht verwirklichten Mehrwerte auf diese Bestandteile infolge dieser Vorgänge tatsächlich von diesem Staat in die Besteuerungsgrundlage einbezogen, wird davon ausgegangen, dass der von diesem Staat festgesetzte Wert dem Realwert entspricht, außer wenn nachgewiesen wird, dass der von diesem Staat festgesetzte Wert über dem Realwert liegt.</w:t>
      </w:r>
    </w:p>
    <w:p w14:paraId="24738BA6" w14:textId="77777777" w:rsidR="00674E8E" w:rsidRPr="009118AB" w:rsidRDefault="00674E8E" w:rsidP="00674E8E">
      <w:pPr>
        <w:autoSpaceDE w:val="0"/>
        <w:autoSpaceDN w:val="0"/>
        <w:adjustRightInd w:val="0"/>
        <w:jc w:val="both"/>
        <w:rPr>
          <w:iCs/>
        </w:rPr>
      </w:pPr>
    </w:p>
    <w:p w14:paraId="7FC114E0" w14:textId="77777777" w:rsidR="00674E8E" w:rsidRPr="009118AB" w:rsidRDefault="00674E8E" w:rsidP="00922FE1">
      <w:pPr>
        <w:autoSpaceDE w:val="0"/>
        <w:autoSpaceDN w:val="0"/>
        <w:adjustRightInd w:val="0"/>
        <w:ind w:firstLine="709"/>
        <w:jc w:val="both"/>
        <w:rPr>
          <w:iCs/>
        </w:rPr>
      </w:pPr>
      <w:r w:rsidRPr="009118AB">
        <w:rPr>
          <w:iCs/>
        </w:rPr>
        <w:t>Absatz 3 ist nur anwendbar in Bezug auf Bestandteile, die vor dem Vorgang in einem Staat gelegen waren, mit dem Belgien eine Vereinbarung oder ein Abkommen abgeschlossen hat oder der zusammen mit Belgien zu den Parteien eines anderen bilateralen oder multilateralen Rechtsinstruments gehört, sofern dieses Abkommen, diese Vereinbarung oder dieses Rechtsinstrument den Informationsaustausch im Hinblick auf die Anwendung des innerstaatlichen Rechts der Vertragsstaaten ermöglicht.</w:t>
      </w:r>
    </w:p>
    <w:p w14:paraId="2D4AD0B5" w14:textId="77777777" w:rsidR="00CA0146" w:rsidRPr="009118AB" w:rsidRDefault="00CA0146" w:rsidP="00674E8E">
      <w:pPr>
        <w:autoSpaceDE w:val="0"/>
        <w:autoSpaceDN w:val="0"/>
        <w:adjustRightInd w:val="0"/>
        <w:jc w:val="both"/>
        <w:rPr>
          <w:iCs/>
        </w:rPr>
      </w:pPr>
    </w:p>
    <w:p w14:paraId="2A3588FF" w14:textId="6266394E" w:rsidR="00674E8E" w:rsidRPr="009118AB" w:rsidRDefault="00674E8E" w:rsidP="00922FE1">
      <w:pPr>
        <w:autoSpaceDE w:val="0"/>
        <w:autoSpaceDN w:val="0"/>
        <w:adjustRightInd w:val="0"/>
        <w:ind w:firstLine="709"/>
        <w:jc w:val="both"/>
        <w:rPr>
          <w:iCs/>
        </w:rPr>
      </w:pPr>
      <w:r w:rsidRPr="009118AB">
        <w:rPr>
          <w:iCs/>
        </w:rPr>
        <w:t>Ist Absatz 3 nicht anwendbar:</w:t>
      </w:r>
    </w:p>
    <w:p w14:paraId="62D55EEC" w14:textId="77777777" w:rsidR="00674E8E" w:rsidRPr="009118AB" w:rsidRDefault="00674E8E" w:rsidP="00674E8E">
      <w:pPr>
        <w:autoSpaceDE w:val="0"/>
        <w:autoSpaceDN w:val="0"/>
        <w:adjustRightInd w:val="0"/>
        <w:jc w:val="both"/>
        <w:rPr>
          <w:iCs/>
        </w:rPr>
      </w:pPr>
    </w:p>
    <w:p w14:paraId="2EA77E18" w14:textId="77777777" w:rsidR="00674E8E" w:rsidRPr="009118AB" w:rsidRDefault="00674E8E" w:rsidP="00922FE1">
      <w:pPr>
        <w:autoSpaceDE w:val="0"/>
        <w:autoSpaceDN w:val="0"/>
        <w:adjustRightInd w:val="0"/>
        <w:ind w:firstLine="709"/>
        <w:jc w:val="both"/>
        <w:rPr>
          <w:iCs/>
        </w:rPr>
      </w:pPr>
      <w:r w:rsidRPr="009118AB">
        <w:rPr>
          <w:iCs/>
        </w:rPr>
        <w:t>- wird davon ausgegangen, dass der Realwert mit dem Anschaffungs- oder Inves</w:t>
      </w:r>
      <w:r w:rsidRPr="009118AB">
        <w:rPr>
          <w:iCs/>
        </w:rPr>
        <w:softHyphen/>
        <w:t>titionswert dieser Bestandteile übereinstimmt, verringert um die Wertminderungen und Abschreibungen, die gemäß den Bestimmungen des vorliegenden Gesetzbuches verzeichnet worden sind, außer wenn der Realwert der in Absatz 1 erwähnten Bestandteile nachgewiesen werden kann,</w:t>
      </w:r>
    </w:p>
    <w:p w14:paraId="6A9D29F2" w14:textId="77777777" w:rsidR="00674E8E" w:rsidRPr="009118AB" w:rsidRDefault="00674E8E" w:rsidP="00674E8E">
      <w:pPr>
        <w:autoSpaceDE w:val="0"/>
        <w:autoSpaceDN w:val="0"/>
        <w:adjustRightInd w:val="0"/>
        <w:jc w:val="both"/>
        <w:rPr>
          <w:iCs/>
        </w:rPr>
      </w:pPr>
    </w:p>
    <w:p w14:paraId="2A5F10D7" w14:textId="77777777" w:rsidR="00674E8E" w:rsidRPr="009118AB" w:rsidRDefault="00674E8E" w:rsidP="00922FE1">
      <w:pPr>
        <w:autoSpaceDE w:val="0"/>
        <w:autoSpaceDN w:val="0"/>
        <w:adjustRightInd w:val="0"/>
        <w:ind w:firstLine="709"/>
        <w:jc w:val="both"/>
        <w:rPr>
          <w:iCs/>
        </w:rPr>
      </w:pPr>
      <w:r w:rsidRPr="009118AB">
        <w:rPr>
          <w:iCs/>
        </w:rPr>
        <w:t>- werden die Abschreibungen in Bezug auf die zum Zeitpunkt des Vorgangs im Ausland gelegenen Bestandteile in Abweichung von Absatz 1 jedoch nur in dem Maße berücksichtigt, wie sie auf dem Anschaffungs- oder Investitionswert beruhen,</w:t>
      </w:r>
    </w:p>
    <w:p w14:paraId="1C15DF79" w14:textId="77777777" w:rsidR="00674E8E" w:rsidRPr="009118AB" w:rsidRDefault="00674E8E" w:rsidP="00674E8E">
      <w:pPr>
        <w:autoSpaceDE w:val="0"/>
        <w:autoSpaceDN w:val="0"/>
        <w:adjustRightInd w:val="0"/>
        <w:jc w:val="both"/>
        <w:rPr>
          <w:iCs/>
        </w:rPr>
      </w:pPr>
    </w:p>
    <w:p w14:paraId="0E2AF6DB" w14:textId="77777777" w:rsidR="00674E8E" w:rsidRPr="009118AB" w:rsidRDefault="00674E8E" w:rsidP="00922FE1">
      <w:pPr>
        <w:autoSpaceDE w:val="0"/>
        <w:autoSpaceDN w:val="0"/>
        <w:adjustRightInd w:val="0"/>
        <w:ind w:firstLine="709"/>
        <w:jc w:val="both"/>
        <w:rPr>
          <w:iCs/>
        </w:rPr>
      </w:pPr>
      <w:r w:rsidRPr="009118AB">
        <w:rPr>
          <w:iCs/>
        </w:rPr>
        <w:t>- werden die zu einem späteren Zeitpunkt verwirklichten Minderwerte oder Wertminderungen auf diese Bestandteile in Abweichung von Absatz 1 auf der Grundlage ihres Anschaffungs- oder Investitionswertes bestimmt, verringert um die Wertminderungen und Abschreibungen, die gemäß den Bestimmungen des vorliegenden Gesetzbuches verzeichnet worden sind.]</w:t>
      </w:r>
    </w:p>
    <w:p w14:paraId="214CF77E" w14:textId="77777777" w:rsidR="00674E8E" w:rsidRPr="009118AB" w:rsidRDefault="00674E8E" w:rsidP="00674E8E">
      <w:pPr>
        <w:autoSpaceDE w:val="0"/>
        <w:autoSpaceDN w:val="0"/>
        <w:adjustRightInd w:val="0"/>
        <w:jc w:val="both"/>
        <w:rPr>
          <w:iCs/>
        </w:rPr>
      </w:pPr>
    </w:p>
    <w:p w14:paraId="20BF5EA3" w14:textId="10A9795A" w:rsidR="00674E8E" w:rsidRPr="009118AB" w:rsidRDefault="00674E8E" w:rsidP="00674E8E">
      <w:pPr>
        <w:autoSpaceDE w:val="0"/>
        <w:autoSpaceDN w:val="0"/>
        <w:adjustRightInd w:val="0"/>
        <w:jc w:val="both"/>
        <w:rPr>
          <w:iCs/>
        </w:rPr>
      </w:pPr>
      <w:r w:rsidRPr="009118AB">
        <w:rPr>
          <w:i/>
          <w:iCs/>
        </w:rPr>
        <w:t>[</w:t>
      </w:r>
      <w:r w:rsidR="00D67EB8" w:rsidRPr="009118AB">
        <w:rPr>
          <w:i/>
          <w:iCs/>
        </w:rPr>
        <w:t>Art. </w:t>
      </w:r>
      <w:r w:rsidRPr="009118AB">
        <w:rPr>
          <w:i/>
          <w:iCs/>
        </w:rPr>
        <w:t xml:space="preserve">229 </w:t>
      </w:r>
      <w:r w:rsidR="00D67EB8" w:rsidRPr="009118AB">
        <w:rPr>
          <w:i/>
          <w:iCs/>
        </w:rPr>
        <w:t>§ </w:t>
      </w:r>
      <w:r w:rsidRPr="009118AB">
        <w:rPr>
          <w:i/>
          <w:iCs/>
        </w:rPr>
        <w:t xml:space="preserve">1 </w:t>
      </w:r>
      <w:r w:rsidR="00D67EB8" w:rsidRPr="009118AB">
        <w:rPr>
          <w:i/>
          <w:iCs/>
        </w:rPr>
        <w:t>Abs. </w:t>
      </w:r>
      <w:r w:rsidRPr="009118AB">
        <w:rPr>
          <w:i/>
          <w:iCs/>
        </w:rPr>
        <w:t xml:space="preserve">1 ersetzt durch </w:t>
      </w:r>
      <w:r w:rsidR="00D67EB8" w:rsidRPr="009118AB">
        <w:rPr>
          <w:i/>
          <w:iCs/>
        </w:rPr>
        <w:t>Art. </w:t>
      </w:r>
      <w:r w:rsidRPr="009118AB">
        <w:rPr>
          <w:i/>
          <w:iCs/>
        </w:rPr>
        <w:t xml:space="preserve">61 </w:t>
      </w:r>
      <w:r w:rsidR="00D67EB8" w:rsidRPr="009118AB">
        <w:rPr>
          <w:i/>
          <w:iCs/>
        </w:rPr>
        <w:t>Nr. </w:t>
      </w:r>
      <w:r w:rsidRPr="009118AB">
        <w:rPr>
          <w:i/>
          <w:iCs/>
        </w:rPr>
        <w:t>1 des G. vom 13. Dezember 2012 (B.S. vom 20. Dezember 2012)</w:t>
      </w:r>
      <w:r w:rsidR="00D67EB8" w:rsidRPr="009118AB">
        <w:rPr>
          <w:i/>
          <w:iCs/>
        </w:rPr>
        <w:t> - </w:t>
      </w:r>
      <w:r w:rsidRPr="009118AB">
        <w:rPr>
          <w:i/>
          <w:iCs/>
        </w:rPr>
        <w:t>anwendbar ab dem 1. Januar 2013</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einleitende Bestimmung abgeändert durch </w:t>
      </w:r>
      <w:r w:rsidR="00D67EB8" w:rsidRPr="009118AB">
        <w:rPr>
          <w:i/>
          <w:iCs/>
        </w:rPr>
        <w:t>Art. </w:t>
      </w:r>
      <w:r w:rsidRPr="009118AB">
        <w:rPr>
          <w:i/>
          <w:iCs/>
        </w:rPr>
        <w:t xml:space="preserve">61 </w:t>
      </w:r>
      <w:r w:rsidR="00D67EB8" w:rsidRPr="009118AB">
        <w:rPr>
          <w:i/>
          <w:iCs/>
        </w:rPr>
        <w:t>Nr. </w:t>
      </w:r>
      <w:r w:rsidRPr="009118AB">
        <w:rPr>
          <w:i/>
          <w:iCs/>
        </w:rPr>
        <w:t>2 des G. vom 13. Dezember 2012 (B.S. vom 20. Dezember 2012)</w:t>
      </w:r>
      <w:r w:rsidR="00D67EB8" w:rsidRPr="009118AB">
        <w:rPr>
          <w:i/>
          <w:iCs/>
        </w:rPr>
        <w:t> - </w:t>
      </w:r>
      <w:r w:rsidRPr="009118AB">
        <w:rPr>
          <w:i/>
          <w:iCs/>
        </w:rPr>
        <w:t>anwendbar ab dem 1. Januar 2013</w:t>
      </w:r>
      <w:r w:rsidR="003366D9" w:rsidRPr="009118AB">
        <w:rPr>
          <w:i/>
          <w:iCs/>
        </w:rPr>
        <w:t> -;</w:t>
      </w:r>
      <w:r w:rsidRPr="009118AB">
        <w:rPr>
          <w:i/>
          <w:iCs/>
        </w:rPr>
        <w:t xml:space="preserve"> </w:t>
      </w:r>
      <w:r w:rsidR="00D67EB8" w:rsidRPr="009118AB">
        <w:rPr>
          <w:i/>
          <w:iCs/>
        </w:rPr>
        <w:t>§ </w:t>
      </w:r>
      <w:r w:rsidR="00936841" w:rsidRPr="009118AB">
        <w:rPr>
          <w:i/>
          <w:iCs/>
        </w:rPr>
        <w:t xml:space="preserve">2 ersetzt durch </w:t>
      </w:r>
      <w:r w:rsidR="00D67EB8" w:rsidRPr="009118AB">
        <w:rPr>
          <w:i/>
          <w:iCs/>
        </w:rPr>
        <w:t>Art. </w:t>
      </w:r>
      <w:r w:rsidR="00936841" w:rsidRPr="009118AB">
        <w:rPr>
          <w:i/>
          <w:iCs/>
        </w:rPr>
        <w:t xml:space="preserve">61 </w:t>
      </w:r>
      <w:r w:rsidR="00D67EB8" w:rsidRPr="009118AB">
        <w:rPr>
          <w:i/>
          <w:iCs/>
        </w:rPr>
        <w:t>Nr. </w:t>
      </w:r>
      <w:r w:rsidR="00936841" w:rsidRPr="009118AB">
        <w:rPr>
          <w:i/>
          <w:iCs/>
        </w:rPr>
        <w:t>1 des G. vom 25. Dezember 2017 (III) (B.S. vom 29. Dezember 2017)</w:t>
      </w:r>
      <w:r w:rsidR="00D67EB8" w:rsidRPr="009118AB">
        <w:rPr>
          <w:i/>
          <w:iCs/>
        </w:rPr>
        <w:t> - </w:t>
      </w:r>
      <w:r w:rsidR="00936841" w:rsidRPr="009118AB">
        <w:rPr>
          <w:i/>
          <w:iCs/>
        </w:rPr>
        <w:t>in Kraft am 1. Januar 2020 und anwendbar ab dem Steuerjahr 2021, das sich auf einen Besteuerungszeitraum bezieht, der frühestens am 1. Januar 2020 beginnt</w:t>
      </w:r>
      <w:r w:rsidR="003366D9" w:rsidRPr="009118AB">
        <w:rPr>
          <w:i/>
          <w:iCs/>
        </w:rPr>
        <w:t> -;</w:t>
      </w:r>
      <w:r w:rsidR="00936841" w:rsidRPr="009118AB">
        <w:rPr>
          <w:i/>
          <w:iCs/>
        </w:rPr>
        <w:t xml:space="preserve"> </w:t>
      </w:r>
      <w:r w:rsidR="00D67EB8" w:rsidRPr="009118AB">
        <w:rPr>
          <w:i/>
          <w:iCs/>
        </w:rPr>
        <w:t>§ </w:t>
      </w:r>
      <w:r w:rsidRPr="009118AB">
        <w:rPr>
          <w:i/>
          <w:iCs/>
        </w:rPr>
        <w:t xml:space="preserve">2/1 eingefügt durch </w:t>
      </w:r>
      <w:r w:rsidR="00D67EB8" w:rsidRPr="009118AB">
        <w:rPr>
          <w:i/>
          <w:iCs/>
        </w:rPr>
        <w:t>Art. </w:t>
      </w:r>
      <w:r w:rsidRPr="009118AB">
        <w:rPr>
          <w:i/>
          <w:iCs/>
        </w:rPr>
        <w:t xml:space="preserve">61 </w:t>
      </w:r>
      <w:r w:rsidR="00D67EB8" w:rsidRPr="009118AB">
        <w:rPr>
          <w:i/>
          <w:iCs/>
        </w:rPr>
        <w:t>Nr. </w:t>
      </w:r>
      <w:r w:rsidRPr="009118AB">
        <w:rPr>
          <w:i/>
          <w:iCs/>
        </w:rPr>
        <w:t xml:space="preserve">3 des G. </w:t>
      </w:r>
      <w:r w:rsidRPr="009118AB">
        <w:rPr>
          <w:rFonts w:ascii="Times New Roman Italique" w:hAnsi="Times New Roman Italique"/>
          <w:i/>
          <w:iCs/>
          <w:spacing w:val="-2"/>
        </w:rPr>
        <w:t>vom 13. Dezember 2012 (B.S. vom 20. Dezember 2012)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1. Januar 2013</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i/>
          <w:iCs/>
        </w:rPr>
        <w:t>§ </w:t>
      </w:r>
      <w:r w:rsidR="00210E98" w:rsidRPr="009118AB">
        <w:rPr>
          <w:i/>
          <w:iCs/>
        </w:rPr>
        <w:t xml:space="preserve">2/2 eingefügt durch </w:t>
      </w:r>
      <w:r w:rsidR="00D67EB8" w:rsidRPr="009118AB">
        <w:rPr>
          <w:i/>
          <w:iCs/>
        </w:rPr>
        <w:t>Art. </w:t>
      </w:r>
      <w:r w:rsidR="00210E98" w:rsidRPr="009118AB">
        <w:rPr>
          <w:i/>
          <w:iCs/>
        </w:rPr>
        <w:t xml:space="preserve">61 </w:t>
      </w:r>
      <w:r w:rsidR="00D67EB8" w:rsidRPr="009118AB">
        <w:rPr>
          <w:i/>
          <w:iCs/>
        </w:rPr>
        <w:t>Nr. </w:t>
      </w:r>
      <w:r w:rsidR="00210E98" w:rsidRPr="009118AB">
        <w:rPr>
          <w:i/>
          <w:iCs/>
        </w:rPr>
        <w:t xml:space="preserve">3 des G. </w:t>
      </w:r>
      <w:r w:rsidR="00210E98" w:rsidRPr="009118AB">
        <w:rPr>
          <w:rFonts w:ascii="Times New Roman Italique" w:hAnsi="Times New Roman Italique"/>
          <w:i/>
          <w:iCs/>
          <w:spacing w:val="-2"/>
        </w:rPr>
        <w:t>vom 13. Dezember 2012 (B.S. vom 20. Dezember 2012)</w:t>
      </w:r>
      <w:r w:rsidR="00D67EB8" w:rsidRPr="009118AB">
        <w:rPr>
          <w:rFonts w:ascii="Times New Roman Italique" w:hAnsi="Times New Roman Italique"/>
          <w:i/>
          <w:iCs/>
          <w:spacing w:val="-2"/>
        </w:rPr>
        <w:t> - </w:t>
      </w:r>
      <w:r w:rsidR="00210E98" w:rsidRPr="009118AB">
        <w:rPr>
          <w:rFonts w:ascii="Times New Roman Italique" w:hAnsi="Times New Roman Italique"/>
          <w:i/>
          <w:iCs/>
          <w:spacing w:val="-2"/>
        </w:rPr>
        <w:t>anwendbar ab dem 1. Januar 2013</w:t>
      </w:r>
      <w:r w:rsidR="00D67EB8" w:rsidRPr="009118AB">
        <w:rPr>
          <w:rFonts w:ascii="Times New Roman Italique" w:hAnsi="Times New Roman Italique"/>
          <w:i/>
          <w:iCs/>
          <w:spacing w:val="-2"/>
        </w:rPr>
        <w:t> - </w:t>
      </w:r>
      <w:r w:rsidR="00210E98"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210E98" w:rsidRPr="009118AB">
        <w:rPr>
          <w:rFonts w:ascii="Times New Roman Italique" w:hAnsi="Times New Roman Italique"/>
          <w:i/>
          <w:iCs/>
          <w:spacing w:val="-2"/>
        </w:rPr>
        <w:t xml:space="preserve">55 </w:t>
      </w:r>
      <w:r w:rsidR="00D67EB8" w:rsidRPr="009118AB">
        <w:rPr>
          <w:rFonts w:ascii="Times New Roman Italique" w:hAnsi="Times New Roman Italique"/>
          <w:i/>
          <w:iCs/>
          <w:spacing w:val="-2"/>
        </w:rPr>
        <w:t>Nr. </w:t>
      </w:r>
      <w:r w:rsidR="00210E98" w:rsidRPr="009118AB">
        <w:rPr>
          <w:rFonts w:ascii="Times New Roman Italique" w:hAnsi="Times New Roman Italique"/>
          <w:i/>
          <w:iCs/>
          <w:spacing w:val="-2"/>
        </w:rPr>
        <w:t>1</w:t>
      </w:r>
      <w:r w:rsidR="00210E98" w:rsidRPr="009118AB">
        <w:rPr>
          <w:i/>
          <w:iCs/>
          <w:spacing w:val="-2"/>
        </w:rPr>
        <w:t xml:space="preserve"> des G. vom 17. März 2019 (III) (B.S. vom 10. Mai 2019)</w:t>
      </w:r>
      <w:r w:rsidR="00D67EB8" w:rsidRPr="009118AB">
        <w:rPr>
          <w:i/>
          <w:iCs/>
          <w:spacing w:val="-2"/>
        </w:rPr>
        <w:t> - </w:t>
      </w:r>
      <w:r w:rsidR="00210E98" w:rsidRPr="009118AB">
        <w:rPr>
          <w:i/>
          <w:iCs/>
          <w:spacing w:val="-2"/>
        </w:rPr>
        <w:t>in Kraft am 1. Mai 2019</w:t>
      </w:r>
      <w:r w:rsidR="003366D9" w:rsidRPr="009118AB">
        <w:rPr>
          <w:i/>
          <w:iCs/>
          <w:spacing w:val="-2"/>
        </w:rPr>
        <w:t> -;</w:t>
      </w:r>
      <w:r w:rsidR="00210E98"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3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24 des G. vom 28. Juli 1992 (B.S. vom 31. Juli 1992)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anwendbar ab </w:t>
      </w:r>
      <w:r w:rsidRPr="009118AB">
        <w:rPr>
          <w:i/>
          <w:iCs/>
        </w:rPr>
        <w:t>dem Steuerjahr 1993</w:t>
      </w:r>
      <w:r w:rsidR="00D67EB8" w:rsidRPr="009118AB">
        <w:rPr>
          <w:i/>
          <w:iCs/>
        </w:rPr>
        <w:t> - </w:t>
      </w:r>
      <w:r w:rsidRPr="009118AB">
        <w:rPr>
          <w:i/>
          <w:iCs/>
        </w:rPr>
        <w:t xml:space="preserve">und abgeändert durch </w:t>
      </w:r>
      <w:r w:rsidR="00D67EB8" w:rsidRPr="009118AB">
        <w:rPr>
          <w:i/>
          <w:iCs/>
        </w:rPr>
        <w:t>Art. </w:t>
      </w:r>
      <w:r w:rsidRPr="009118AB">
        <w:rPr>
          <w:i/>
          <w:iCs/>
        </w:rPr>
        <w:t xml:space="preserve">61 </w:t>
      </w:r>
      <w:r w:rsidR="00D67EB8" w:rsidRPr="009118AB">
        <w:rPr>
          <w:i/>
          <w:iCs/>
        </w:rPr>
        <w:t>Nr. </w:t>
      </w:r>
      <w:r w:rsidRPr="009118AB">
        <w:rPr>
          <w:i/>
          <w:iCs/>
        </w:rPr>
        <w:t>4 des G. vom 13. Dezember 2012 (B.S. vom 20. Dezember 2012)</w:t>
      </w:r>
      <w:r w:rsidR="00D67EB8" w:rsidRPr="009118AB">
        <w:rPr>
          <w:i/>
          <w:iCs/>
        </w:rPr>
        <w:t> - </w:t>
      </w:r>
      <w:r w:rsidRPr="009118AB">
        <w:rPr>
          <w:i/>
          <w:iCs/>
        </w:rPr>
        <w:t>anwendbar ab dem 1. Januar 2013</w:t>
      </w:r>
      <w:r w:rsidR="00D67EB8" w:rsidRPr="009118AB">
        <w:rPr>
          <w:i/>
          <w:iCs/>
        </w:rPr>
        <w:t> - </w:t>
      </w:r>
      <w:r w:rsidR="00210E98" w:rsidRPr="009118AB">
        <w:rPr>
          <w:i/>
          <w:iCs/>
        </w:rPr>
        <w:t xml:space="preserve">und </w:t>
      </w:r>
      <w:r w:rsidR="00D67EB8" w:rsidRPr="009118AB">
        <w:rPr>
          <w:i/>
          <w:iCs/>
        </w:rPr>
        <w:t>Art. </w:t>
      </w:r>
      <w:r w:rsidR="00210E98" w:rsidRPr="009118AB">
        <w:rPr>
          <w:i/>
          <w:iCs/>
        </w:rPr>
        <w:t>5</w:t>
      </w:r>
      <w:r w:rsidR="00C8627C" w:rsidRPr="009118AB">
        <w:rPr>
          <w:i/>
          <w:iCs/>
        </w:rPr>
        <w:t>5</w:t>
      </w:r>
      <w:r w:rsidR="00210E98" w:rsidRPr="009118AB">
        <w:rPr>
          <w:i/>
          <w:iCs/>
        </w:rPr>
        <w:t xml:space="preserve"> </w:t>
      </w:r>
      <w:r w:rsidR="00D67EB8" w:rsidRPr="009118AB">
        <w:rPr>
          <w:i/>
          <w:iCs/>
        </w:rPr>
        <w:t>Nr. </w:t>
      </w:r>
      <w:r w:rsidR="00210E98" w:rsidRPr="009118AB">
        <w:rPr>
          <w:i/>
          <w:iCs/>
        </w:rPr>
        <w:t>2</w:t>
      </w:r>
      <w:r w:rsidR="00210E98" w:rsidRPr="009118AB">
        <w:rPr>
          <w:i/>
          <w:iCs/>
          <w:spacing w:val="-2"/>
        </w:rPr>
        <w:t xml:space="preserve"> des G. vom 17. März 2019 (III) (B.S. vom 10. Mai 2019)</w:t>
      </w:r>
      <w:r w:rsidR="00D67EB8" w:rsidRPr="009118AB">
        <w:rPr>
          <w:i/>
          <w:iCs/>
          <w:spacing w:val="-2"/>
        </w:rPr>
        <w:t> - </w:t>
      </w:r>
      <w:r w:rsidR="00210E98" w:rsidRPr="009118AB">
        <w:rPr>
          <w:i/>
          <w:iCs/>
          <w:spacing w:val="-2"/>
        </w:rPr>
        <w:t>in Kraft am 1. Mai 2019</w:t>
      </w:r>
      <w:r w:rsidR="003366D9" w:rsidRPr="009118AB">
        <w:rPr>
          <w:i/>
          <w:iCs/>
          <w:spacing w:val="-2"/>
        </w:rPr>
        <w:t> -;</w:t>
      </w:r>
      <w:r w:rsidRPr="009118AB">
        <w:rPr>
          <w:i/>
          <w:iCs/>
        </w:rPr>
        <w:t xml:space="preserve"> </w:t>
      </w:r>
      <w:r w:rsidR="00D67EB8" w:rsidRPr="009118AB">
        <w:rPr>
          <w:i/>
          <w:iCs/>
        </w:rPr>
        <w:t>§ </w:t>
      </w:r>
      <w:r w:rsidRPr="009118AB">
        <w:rPr>
          <w:i/>
          <w:iCs/>
        </w:rPr>
        <w:t xml:space="preserve">4 eingefügt durch </w:t>
      </w:r>
      <w:r w:rsidR="00D67EB8" w:rsidRPr="009118AB">
        <w:rPr>
          <w:i/>
          <w:iCs/>
        </w:rPr>
        <w:t>Art. </w:t>
      </w:r>
      <w:r w:rsidRPr="009118AB">
        <w:rPr>
          <w:i/>
          <w:iCs/>
        </w:rPr>
        <w:t>26 des G. 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3366D9" w:rsidRPr="009118AB">
        <w:rPr>
          <w:i/>
          <w:iCs/>
        </w:rPr>
        <w:t> -;</w:t>
      </w:r>
      <w:r w:rsidRPr="009118AB">
        <w:rPr>
          <w:i/>
          <w:iCs/>
        </w:rPr>
        <w:t xml:space="preserve"> </w:t>
      </w:r>
      <w:r w:rsidR="00D67EB8" w:rsidRPr="009118AB">
        <w:rPr>
          <w:i/>
          <w:iCs/>
        </w:rPr>
        <w:t>§ </w:t>
      </w:r>
      <w:r w:rsidR="00B75EA7" w:rsidRPr="009118AB">
        <w:rPr>
          <w:i/>
          <w:iCs/>
        </w:rPr>
        <w:t xml:space="preserve">4 </w:t>
      </w:r>
      <w:r w:rsidR="00D67EB8" w:rsidRPr="009118AB">
        <w:rPr>
          <w:i/>
          <w:iCs/>
        </w:rPr>
        <w:t>Abs. </w:t>
      </w:r>
      <w:r w:rsidR="00B75EA7" w:rsidRPr="009118AB">
        <w:rPr>
          <w:i/>
          <w:iCs/>
        </w:rPr>
        <w:t xml:space="preserve">2 abgeändert durch </w:t>
      </w:r>
      <w:r w:rsidR="00D67EB8" w:rsidRPr="009118AB">
        <w:rPr>
          <w:i/>
          <w:iCs/>
        </w:rPr>
        <w:t>Art. </w:t>
      </w:r>
      <w:r w:rsidR="00B75EA7" w:rsidRPr="009118AB">
        <w:rPr>
          <w:i/>
          <w:iCs/>
        </w:rPr>
        <w:t xml:space="preserve">73 </w:t>
      </w:r>
      <w:r w:rsidR="00D67EB8" w:rsidRPr="009118AB">
        <w:rPr>
          <w:i/>
          <w:iCs/>
        </w:rPr>
        <w:t>Nr. </w:t>
      </w:r>
      <w:r w:rsidR="00B75EA7" w:rsidRPr="009118AB">
        <w:rPr>
          <w:i/>
          <w:iCs/>
        </w:rPr>
        <w:t>1</w:t>
      </w:r>
      <w:r w:rsidR="00B75EA7" w:rsidRPr="009118AB">
        <w:rPr>
          <w:bCs/>
          <w:i/>
          <w:iCs/>
        </w:rPr>
        <w:t xml:space="preserve"> des G. vom 27. Juni 2021 (B.S. vom 30. Juni 2021)</w:t>
      </w:r>
      <w:r w:rsidR="00B75EA7" w:rsidRPr="009118AB">
        <w:rPr>
          <w:i/>
          <w:iCs/>
        </w:rPr>
        <w:t xml:space="preserve">; </w:t>
      </w:r>
      <w:r w:rsidR="00D67EB8" w:rsidRPr="009118AB">
        <w:rPr>
          <w:i/>
          <w:iCs/>
        </w:rPr>
        <w:t>§ </w:t>
      </w:r>
      <w:r w:rsidRPr="009118AB">
        <w:rPr>
          <w:i/>
          <w:iCs/>
        </w:rPr>
        <w:t xml:space="preserve">4 </w:t>
      </w:r>
      <w:r w:rsidR="00D67EB8" w:rsidRPr="009118AB">
        <w:rPr>
          <w:i/>
          <w:iCs/>
        </w:rPr>
        <w:t>Abs. </w:t>
      </w:r>
      <w:r w:rsidRPr="009118AB">
        <w:rPr>
          <w:i/>
          <w:iCs/>
        </w:rPr>
        <w:t xml:space="preserve">5 abgeändert durch </w:t>
      </w:r>
      <w:r w:rsidR="00D67EB8" w:rsidRPr="009118AB">
        <w:rPr>
          <w:i/>
          <w:iCs/>
        </w:rPr>
        <w:t>Art. </w:t>
      </w:r>
      <w:r w:rsidRPr="009118AB">
        <w:rPr>
          <w:i/>
          <w:iCs/>
        </w:rPr>
        <w:t>51 des G. vom 22. Dezember 2009 (I) (B.S. vom 31. Dezember 2009)</w:t>
      </w:r>
      <w:r w:rsidR="00D67EB8" w:rsidRPr="009118AB">
        <w:rPr>
          <w:i/>
          <w:iCs/>
        </w:rPr>
        <w:t> - </w:t>
      </w:r>
      <w:r w:rsidRPr="009118AB">
        <w:rPr>
          <w:i/>
          <w:iCs/>
        </w:rPr>
        <w:t>wirksam mit 12. Januar 2009</w:t>
      </w:r>
      <w:r w:rsidR="00FD68E8" w:rsidRPr="009118AB">
        <w:rPr>
          <w:i/>
          <w:iCs/>
        </w:rPr>
        <w:t> -,</w:t>
      </w:r>
      <w:r w:rsidRPr="009118AB">
        <w:rPr>
          <w:i/>
          <w:iCs/>
        </w:rPr>
        <w:t xml:space="preserve"> </w:t>
      </w:r>
      <w:r w:rsidR="00D67EB8" w:rsidRPr="009118AB">
        <w:rPr>
          <w:i/>
          <w:iCs/>
        </w:rPr>
        <w:t>Art. </w:t>
      </w:r>
      <w:r w:rsidRPr="009118AB">
        <w:rPr>
          <w:i/>
          <w:iCs/>
        </w:rPr>
        <w:t xml:space="preserve">61 </w:t>
      </w:r>
      <w:r w:rsidR="00D67EB8" w:rsidRPr="009118AB">
        <w:rPr>
          <w:i/>
          <w:iCs/>
        </w:rPr>
        <w:t>Nr. </w:t>
      </w:r>
      <w:r w:rsidRPr="009118AB">
        <w:rPr>
          <w:i/>
          <w:iCs/>
        </w:rPr>
        <w:t>5 des G. vom 13. Dezember 2012 (B.S. vom 20. Dezember 2012)</w:t>
      </w:r>
      <w:r w:rsidR="00D67EB8" w:rsidRPr="009118AB">
        <w:rPr>
          <w:i/>
          <w:iCs/>
        </w:rPr>
        <w:t> - </w:t>
      </w:r>
      <w:r w:rsidRPr="009118AB">
        <w:rPr>
          <w:i/>
          <w:iCs/>
        </w:rPr>
        <w:t>anwendbar ab dem 1. Januar 2013</w:t>
      </w:r>
      <w:r w:rsidR="00D67EB8" w:rsidRPr="009118AB">
        <w:rPr>
          <w:i/>
          <w:iCs/>
        </w:rPr>
        <w:t> - </w:t>
      </w:r>
      <w:r w:rsidRPr="009118AB">
        <w:rPr>
          <w:i/>
          <w:iCs/>
        </w:rPr>
        <w:t xml:space="preserve">und </w:t>
      </w:r>
      <w:r w:rsidR="00D67EB8" w:rsidRPr="009118AB">
        <w:rPr>
          <w:i/>
          <w:iCs/>
        </w:rPr>
        <w:t>Art. </w:t>
      </w:r>
      <w:r w:rsidRPr="009118AB">
        <w:rPr>
          <w:i/>
          <w:iCs/>
        </w:rPr>
        <w:t>11 des G. vom 9. Februar 2017 (B.S. vom 20. Februar 2017)</w:t>
      </w:r>
      <w:r w:rsidR="00D67EB8" w:rsidRPr="009118AB">
        <w:rPr>
          <w:i/>
          <w:iCs/>
        </w:rPr>
        <w:t> - </w:t>
      </w:r>
      <w:r w:rsidRPr="009118AB">
        <w:rPr>
          <w:i/>
          <w:iCs/>
        </w:rPr>
        <w:t>wirksam mit 1. Juli 2016</w:t>
      </w:r>
      <w:r w:rsidR="003366D9" w:rsidRPr="009118AB">
        <w:rPr>
          <w:i/>
          <w:iCs/>
        </w:rPr>
        <w:t> -;</w:t>
      </w:r>
      <w:r w:rsidRPr="009118AB">
        <w:rPr>
          <w:i/>
          <w:iCs/>
        </w:rPr>
        <w:t xml:space="preserve"> </w:t>
      </w:r>
      <w:r w:rsidR="00D67EB8" w:rsidRPr="009118AB">
        <w:rPr>
          <w:i/>
          <w:iCs/>
        </w:rPr>
        <w:t>§ </w:t>
      </w:r>
      <w:r w:rsidRPr="009118AB">
        <w:rPr>
          <w:i/>
          <w:iCs/>
        </w:rPr>
        <w:t xml:space="preserve">4 </w:t>
      </w:r>
      <w:r w:rsidR="00D67EB8" w:rsidRPr="009118AB">
        <w:rPr>
          <w:i/>
          <w:iCs/>
        </w:rPr>
        <w:t>Abs. </w:t>
      </w:r>
      <w:r w:rsidRPr="009118AB">
        <w:rPr>
          <w:i/>
          <w:iCs/>
        </w:rPr>
        <w:t xml:space="preserve">10 abgeändert durch </w:t>
      </w:r>
      <w:r w:rsidR="00D67EB8" w:rsidRPr="009118AB">
        <w:rPr>
          <w:i/>
          <w:iCs/>
        </w:rPr>
        <w:t>Art. </w:t>
      </w:r>
      <w:r w:rsidRPr="009118AB">
        <w:rPr>
          <w:i/>
          <w:iCs/>
        </w:rPr>
        <w:t>48 des G. vom 14. April 2011 (B.S. vom 6. Mai 2011)</w:t>
      </w:r>
      <w:r w:rsidR="00D67EB8" w:rsidRPr="009118AB">
        <w:rPr>
          <w:i/>
          <w:iCs/>
        </w:rPr>
        <w:t> - </w:t>
      </w:r>
      <w:r w:rsidRPr="009118AB">
        <w:rPr>
          <w:i/>
          <w:iCs/>
        </w:rPr>
        <w:t>wirksam mit 1. Januar 2011</w:t>
      </w:r>
      <w:r w:rsidR="00D67EB8" w:rsidRPr="009118AB">
        <w:rPr>
          <w:i/>
          <w:iCs/>
        </w:rPr>
        <w:t> - </w:t>
      </w:r>
      <w:r w:rsidR="00B75EA7" w:rsidRPr="009118AB">
        <w:rPr>
          <w:i/>
          <w:iCs/>
        </w:rPr>
        <w:t xml:space="preserve">und </w:t>
      </w:r>
      <w:r w:rsidR="00D67EB8" w:rsidRPr="009118AB">
        <w:rPr>
          <w:i/>
          <w:iCs/>
        </w:rPr>
        <w:t>Art. </w:t>
      </w:r>
      <w:r w:rsidR="00B75EA7" w:rsidRPr="009118AB">
        <w:rPr>
          <w:i/>
          <w:iCs/>
        </w:rPr>
        <w:t xml:space="preserve">73 </w:t>
      </w:r>
      <w:r w:rsidR="00D67EB8" w:rsidRPr="009118AB">
        <w:rPr>
          <w:i/>
          <w:iCs/>
        </w:rPr>
        <w:t>Nr. </w:t>
      </w:r>
      <w:r w:rsidR="00B75EA7" w:rsidRPr="009118AB">
        <w:rPr>
          <w:i/>
          <w:iCs/>
        </w:rPr>
        <w:t>2</w:t>
      </w:r>
      <w:r w:rsidR="00B75EA7" w:rsidRPr="009118AB">
        <w:rPr>
          <w:bCs/>
          <w:i/>
          <w:iCs/>
        </w:rPr>
        <w:t xml:space="preserve"> des G. vom 27. Juni 2021 (B.S. vom 30. Juni 2021)</w:t>
      </w:r>
      <w:r w:rsidRPr="009118AB">
        <w:rPr>
          <w:i/>
          <w:iCs/>
        </w:rPr>
        <w:t xml:space="preserve">; </w:t>
      </w:r>
      <w:r w:rsidR="00D67EB8" w:rsidRPr="009118AB">
        <w:rPr>
          <w:i/>
          <w:iCs/>
        </w:rPr>
        <w:t>§ </w:t>
      </w:r>
      <w:r w:rsidRPr="009118AB">
        <w:rPr>
          <w:i/>
          <w:iCs/>
        </w:rPr>
        <w:t xml:space="preserve">5 </w:t>
      </w:r>
      <w:r w:rsidRPr="009118AB">
        <w:rPr>
          <w:i/>
          <w:iCs/>
        </w:rPr>
        <w:lastRenderedPageBreak/>
        <w:t xml:space="preserve">eingefügt durch </w:t>
      </w:r>
      <w:r w:rsidR="00D67EB8" w:rsidRPr="009118AB">
        <w:rPr>
          <w:i/>
          <w:iCs/>
        </w:rPr>
        <w:t>Art. </w:t>
      </w:r>
      <w:r w:rsidRPr="009118AB">
        <w:rPr>
          <w:i/>
          <w:iCs/>
        </w:rPr>
        <w:t xml:space="preserve">61 </w:t>
      </w:r>
      <w:r w:rsidR="00D67EB8" w:rsidRPr="009118AB">
        <w:rPr>
          <w:i/>
          <w:iCs/>
        </w:rPr>
        <w:t>Nr. </w:t>
      </w:r>
      <w:r w:rsidRPr="009118AB">
        <w:rPr>
          <w:i/>
          <w:iCs/>
        </w:rPr>
        <w:t>2 des G. vom 25. Dezember 2017 (III) (B.S. vom 29. Dezember 2017)</w:t>
      </w:r>
      <w:r w:rsidR="00D67EB8" w:rsidRPr="009118AB">
        <w:rPr>
          <w:i/>
          <w:iCs/>
        </w:rPr>
        <w:t> - </w:t>
      </w:r>
      <w:r w:rsidRPr="009118AB">
        <w:rPr>
          <w:i/>
          <w:iCs/>
        </w:rPr>
        <w:t>in Kraft am 1. Januar 2019 und anwendbar auf Übertragungen, die ab dem 1. Januar 2019 stattfinden</w:t>
      </w:r>
      <w:r w:rsidR="003366D9" w:rsidRPr="009118AB">
        <w:rPr>
          <w:i/>
          <w:iCs/>
        </w:rPr>
        <w:t> -;</w:t>
      </w:r>
      <w:r w:rsidR="00210E98" w:rsidRPr="009118AB">
        <w:rPr>
          <w:i/>
          <w:iCs/>
        </w:rPr>
        <w:t xml:space="preserve"> </w:t>
      </w:r>
      <w:r w:rsidR="00D67EB8" w:rsidRPr="009118AB">
        <w:rPr>
          <w:i/>
          <w:iCs/>
        </w:rPr>
        <w:t>§ </w:t>
      </w:r>
      <w:r w:rsidR="00210E98" w:rsidRPr="009118AB">
        <w:rPr>
          <w:i/>
          <w:iCs/>
        </w:rPr>
        <w:t xml:space="preserve">5 </w:t>
      </w:r>
      <w:r w:rsidR="00D67EB8" w:rsidRPr="009118AB">
        <w:rPr>
          <w:i/>
          <w:iCs/>
        </w:rPr>
        <w:t>Abs. </w:t>
      </w:r>
      <w:r w:rsidR="00210E98" w:rsidRPr="009118AB">
        <w:rPr>
          <w:i/>
          <w:iCs/>
        </w:rPr>
        <w:t xml:space="preserve">2 </w:t>
      </w:r>
      <w:r w:rsidR="00D67EB8" w:rsidRPr="009118AB">
        <w:rPr>
          <w:i/>
          <w:iCs/>
        </w:rPr>
        <w:t>Nr. </w:t>
      </w:r>
      <w:r w:rsidR="00210E98" w:rsidRPr="009118AB">
        <w:rPr>
          <w:i/>
          <w:iCs/>
        </w:rPr>
        <w:t xml:space="preserve">1 abgeändert durch </w:t>
      </w:r>
      <w:r w:rsidR="00D67EB8" w:rsidRPr="009118AB">
        <w:rPr>
          <w:i/>
          <w:iCs/>
        </w:rPr>
        <w:t>Art. </w:t>
      </w:r>
      <w:r w:rsidR="00210E98" w:rsidRPr="009118AB">
        <w:rPr>
          <w:i/>
          <w:iCs/>
        </w:rPr>
        <w:t xml:space="preserve">55 </w:t>
      </w:r>
      <w:r w:rsidR="00D67EB8" w:rsidRPr="009118AB">
        <w:rPr>
          <w:i/>
          <w:iCs/>
        </w:rPr>
        <w:t>Nr. </w:t>
      </w:r>
      <w:r w:rsidR="00210E98" w:rsidRPr="009118AB">
        <w:rPr>
          <w:i/>
          <w:iCs/>
        </w:rPr>
        <w:t>3</w:t>
      </w:r>
      <w:r w:rsidR="00210E98" w:rsidRPr="009118AB">
        <w:rPr>
          <w:i/>
          <w:iCs/>
          <w:spacing w:val="-2"/>
        </w:rPr>
        <w:t xml:space="preserve"> des G. vom 17. März 2019 (III) (B.S. vom 10. Mai 2019)</w:t>
      </w:r>
      <w:r w:rsidR="00D67EB8" w:rsidRPr="009118AB">
        <w:rPr>
          <w:i/>
          <w:iCs/>
          <w:spacing w:val="-2"/>
        </w:rPr>
        <w:t> - </w:t>
      </w:r>
      <w:r w:rsidR="00210E98" w:rsidRPr="009118AB">
        <w:rPr>
          <w:i/>
          <w:iCs/>
          <w:spacing w:val="-2"/>
        </w:rPr>
        <w:t>in Kraft am 1. Mai 2019</w:t>
      </w:r>
      <w:r w:rsidR="00FD68E8" w:rsidRPr="009118AB">
        <w:rPr>
          <w:i/>
          <w:iCs/>
          <w:spacing w:val="-2"/>
        </w:rPr>
        <w:t> -]</w:t>
      </w:r>
    </w:p>
    <w:p w14:paraId="689E6017" w14:textId="4BED3F99" w:rsidR="00477B8F" w:rsidRPr="009118AB" w:rsidRDefault="00477B8F" w:rsidP="00477B8F">
      <w:pPr>
        <w:autoSpaceDE w:val="0"/>
        <w:autoSpaceDN w:val="0"/>
        <w:adjustRightInd w:val="0"/>
        <w:jc w:val="center"/>
      </w:pPr>
      <w:r w:rsidRPr="009118AB">
        <w:br w:type="page"/>
      </w:r>
      <w:r w:rsidRPr="009118AB">
        <w:rPr>
          <w:i/>
          <w:iCs/>
        </w:rPr>
        <w:lastRenderedPageBreak/>
        <w:t>Abschnitt </w:t>
      </w:r>
      <w:r w:rsidR="00D74862" w:rsidRPr="009118AB">
        <w:rPr>
          <w:i/>
          <w:iCs/>
        </w:rPr>
        <w:t>2</w:t>
      </w:r>
      <w:r w:rsidR="00D67EB8" w:rsidRPr="009118AB">
        <w:t> - </w:t>
      </w:r>
      <w:r w:rsidRPr="009118AB">
        <w:t>Steuerfreie Einkünfte</w:t>
      </w:r>
    </w:p>
    <w:p w14:paraId="1ED93A22" w14:textId="77777777" w:rsidR="00477B8F" w:rsidRPr="009118AB" w:rsidRDefault="00477B8F" w:rsidP="00477B8F">
      <w:pPr>
        <w:autoSpaceDE w:val="0"/>
        <w:autoSpaceDN w:val="0"/>
        <w:adjustRightInd w:val="0"/>
        <w:jc w:val="center"/>
      </w:pPr>
    </w:p>
    <w:p w14:paraId="0E97F3C9" w14:textId="77777777" w:rsidR="00477B8F" w:rsidRPr="009118AB" w:rsidRDefault="00477B8F" w:rsidP="00477B8F">
      <w:pPr>
        <w:autoSpaceDE w:val="0"/>
        <w:autoSpaceDN w:val="0"/>
        <w:adjustRightInd w:val="0"/>
        <w:jc w:val="both"/>
      </w:pPr>
    </w:p>
    <w:p w14:paraId="767019CB" w14:textId="0EABC92C" w:rsidR="00645469" w:rsidRPr="009118AB" w:rsidRDefault="00477B8F" w:rsidP="00645469">
      <w:pPr>
        <w:autoSpaceDE w:val="0"/>
        <w:autoSpaceDN w:val="0"/>
        <w:adjustRightInd w:val="0"/>
        <w:jc w:val="both"/>
      </w:pPr>
      <w:r w:rsidRPr="009118AB">
        <w:rPr>
          <w:b/>
          <w:bCs/>
        </w:rPr>
        <w:tab/>
      </w:r>
      <w:r w:rsidR="00D67EB8" w:rsidRPr="009118AB">
        <w:rPr>
          <w:b/>
          <w:bCs/>
        </w:rPr>
        <w:t>Art. </w:t>
      </w:r>
      <w:r w:rsidRPr="009118AB">
        <w:rPr>
          <w:b/>
          <w:bCs/>
        </w:rPr>
        <w:t>230</w:t>
      </w:r>
      <w:r w:rsidR="00D67EB8" w:rsidRPr="009118AB">
        <w:t> - </w:t>
      </w:r>
      <w:r w:rsidR="00645469" w:rsidRPr="009118AB">
        <w:t>Steuerfrei sind:</w:t>
      </w:r>
    </w:p>
    <w:p w14:paraId="459A6E4B" w14:textId="77777777" w:rsidR="00645469" w:rsidRPr="009118AB" w:rsidRDefault="00645469" w:rsidP="00645469">
      <w:pPr>
        <w:autoSpaceDE w:val="0"/>
        <w:autoSpaceDN w:val="0"/>
        <w:adjustRightInd w:val="0"/>
        <w:jc w:val="both"/>
      </w:pPr>
    </w:p>
    <w:p w14:paraId="5085FC4D" w14:textId="795CF961" w:rsidR="00645469" w:rsidRPr="009118AB" w:rsidRDefault="00645469" w:rsidP="00E4560A">
      <w:pPr>
        <w:autoSpaceDE w:val="0"/>
        <w:autoSpaceDN w:val="0"/>
        <w:adjustRightInd w:val="0"/>
        <w:ind w:firstLine="709"/>
        <w:jc w:val="both"/>
      </w:pPr>
      <w:r w:rsidRPr="009118AB">
        <w:t xml:space="preserve">1. [Einkünfte aus Kapitalvermögen und beweglichen Gütern, die keine Dividenden sind, und in Artikel 228 </w:t>
      </w:r>
      <w:r w:rsidR="00D67EB8" w:rsidRPr="009118AB">
        <w:t>§ </w:t>
      </w:r>
      <w:r w:rsidRPr="009118AB">
        <w:t xml:space="preserve">2 </w:t>
      </w:r>
      <w:r w:rsidR="00D67EB8" w:rsidRPr="009118AB">
        <w:t>Nr. </w:t>
      </w:r>
      <w:r w:rsidRPr="009118AB">
        <w:t>9 Buchstabe </w:t>
      </w:r>
      <w:r w:rsidRPr="009118AB">
        <w:rPr>
          <w:i/>
          <w:iCs/>
        </w:rPr>
        <w:t>j)</w:t>
      </w:r>
      <w:r w:rsidRPr="009118AB">
        <w:t xml:space="preserve"> erwähnte verschiedene Einkünfte, deren Schuldner der Steuer der natürlichen Personen, der Gesellschaftssteuer oder der Steuer der juristischen Personen unterliegt, wenn diese Einkünfte auf die Ergebnisse einer Niederlassung angerechnet werden, über die der Schuldner im Ausland verfügt, und sie vom Empfänger nicht in Belgien bezogen werden,]</w:t>
      </w:r>
    </w:p>
    <w:p w14:paraId="3F2CF3A2" w14:textId="77777777" w:rsidR="00645469" w:rsidRPr="009118AB" w:rsidRDefault="00645469" w:rsidP="00645469">
      <w:pPr>
        <w:autoSpaceDE w:val="0"/>
        <w:autoSpaceDN w:val="0"/>
        <w:adjustRightInd w:val="0"/>
        <w:jc w:val="both"/>
      </w:pPr>
    </w:p>
    <w:p w14:paraId="3A8B69A4" w14:textId="77777777" w:rsidR="00645469" w:rsidRPr="009118AB" w:rsidRDefault="00645469" w:rsidP="00E4560A">
      <w:pPr>
        <w:autoSpaceDE w:val="0"/>
        <w:autoSpaceDN w:val="0"/>
        <w:adjustRightInd w:val="0"/>
        <w:ind w:firstLine="709"/>
        <w:jc w:val="both"/>
      </w:pPr>
      <w:r w:rsidRPr="009118AB">
        <w:t>2. [folgende Einkünfte unter den in Absatz 2 erwähnten Bedingungen:</w:t>
      </w:r>
    </w:p>
    <w:p w14:paraId="11607F9D" w14:textId="77777777" w:rsidR="00645469" w:rsidRPr="009118AB" w:rsidRDefault="00645469" w:rsidP="00645469">
      <w:pPr>
        <w:autoSpaceDE w:val="0"/>
        <w:autoSpaceDN w:val="0"/>
        <w:adjustRightInd w:val="0"/>
        <w:jc w:val="both"/>
      </w:pPr>
    </w:p>
    <w:p w14:paraId="3E0C6501" w14:textId="3CC80390" w:rsidR="00645469" w:rsidRPr="009118AB" w:rsidRDefault="00645469" w:rsidP="00E4560A">
      <w:pPr>
        <w:autoSpaceDE w:val="0"/>
        <w:autoSpaceDN w:val="0"/>
        <w:adjustRightInd w:val="0"/>
        <w:ind w:firstLine="709"/>
        <w:jc w:val="both"/>
      </w:pPr>
      <w:r w:rsidRPr="009118AB">
        <w:rPr>
          <w:i/>
          <w:iCs/>
        </w:rPr>
        <w:t>a)</w:t>
      </w:r>
      <w:r w:rsidRPr="009118AB">
        <w:t xml:space="preserve"> Einkünfte aus Kapitalvermögen und beweglichen Gütern, die keine Dividenden sind, und in Artikel 228 </w:t>
      </w:r>
      <w:r w:rsidR="00D67EB8" w:rsidRPr="009118AB">
        <w:t>§ </w:t>
      </w:r>
      <w:r w:rsidRPr="009118AB">
        <w:t xml:space="preserve">2 </w:t>
      </w:r>
      <w:r w:rsidR="00D67EB8" w:rsidRPr="009118AB">
        <w:t>Nr. </w:t>
      </w:r>
      <w:r w:rsidRPr="009118AB">
        <w:t>9 Buchstabe </w:t>
      </w:r>
      <w:r w:rsidRPr="009118AB">
        <w:rPr>
          <w:i/>
          <w:iCs/>
        </w:rPr>
        <w:t>j)</w:t>
      </w:r>
      <w:r w:rsidRPr="009118AB">
        <w:t xml:space="preserve"> erwähnte verschiedene Einkünfte, deren Schuldner der Steuer der natürlichen Personen, der Gesellschaftssteuer oder der Steuer der juristischen Personen unterliegt, wenn diese Einkünfte auf die Ergebnisse einer Niederlassung angerechnet werden, über die der Schuldner im Ausland verfügt,</w:t>
      </w:r>
    </w:p>
    <w:p w14:paraId="7C8BAF53" w14:textId="77777777" w:rsidR="00645469" w:rsidRPr="009118AB" w:rsidRDefault="00645469" w:rsidP="00645469">
      <w:pPr>
        <w:autoSpaceDE w:val="0"/>
        <w:autoSpaceDN w:val="0"/>
        <w:adjustRightInd w:val="0"/>
        <w:jc w:val="both"/>
      </w:pPr>
    </w:p>
    <w:p w14:paraId="15D20CCC" w14:textId="32D97E76" w:rsidR="00645469" w:rsidRPr="009118AB" w:rsidRDefault="00645469" w:rsidP="00E4560A">
      <w:pPr>
        <w:autoSpaceDE w:val="0"/>
        <w:autoSpaceDN w:val="0"/>
        <w:adjustRightInd w:val="0"/>
        <w:ind w:firstLine="709"/>
        <w:jc w:val="both"/>
      </w:pPr>
      <w:r w:rsidRPr="009118AB">
        <w:rPr>
          <w:i/>
          <w:iCs/>
        </w:rPr>
        <w:t>b)</w:t>
      </w:r>
      <w:r w:rsidRPr="009118AB">
        <w:t xml:space="preserve"> Einkünfte aus Kapitalvermögen und beweglichen Gütern, die keine Einkünfte aus Vermietung, Verpachtung, Nutzung und Überlassung von beweglichen Gütern sind, und in Artikel 228 </w:t>
      </w:r>
      <w:r w:rsidR="00D67EB8" w:rsidRPr="009118AB">
        <w:t>§ </w:t>
      </w:r>
      <w:r w:rsidRPr="009118AB">
        <w:t xml:space="preserve">2 </w:t>
      </w:r>
      <w:r w:rsidR="00D67EB8" w:rsidRPr="009118AB">
        <w:t>Nr. </w:t>
      </w:r>
      <w:r w:rsidRPr="009118AB">
        <w:t>9 Buchstabe </w:t>
      </w:r>
      <w:r w:rsidRPr="009118AB">
        <w:rPr>
          <w:i/>
          <w:iCs/>
        </w:rPr>
        <w:t>j)</w:t>
      </w:r>
      <w:r w:rsidRPr="009118AB">
        <w:t xml:space="preserve"> erwähnte verschiedene Einkünfte, deren Schuldner der Steuer der Gebietsfremden unterliegt und die erwähnten Einkünfte nicht auf die Ergebnisse [einer belgischen Niederlassung angerechnet hat, über die er verfügt],</w:t>
      </w:r>
    </w:p>
    <w:p w14:paraId="3641BB83" w14:textId="77777777" w:rsidR="00645469" w:rsidRPr="009118AB" w:rsidRDefault="00645469" w:rsidP="00645469">
      <w:pPr>
        <w:autoSpaceDE w:val="0"/>
        <w:autoSpaceDN w:val="0"/>
        <w:adjustRightInd w:val="0"/>
        <w:jc w:val="both"/>
      </w:pPr>
    </w:p>
    <w:p w14:paraId="12C35C6C" w14:textId="77777777" w:rsidR="00645469" w:rsidRPr="009118AB" w:rsidRDefault="00645469" w:rsidP="00E4560A">
      <w:pPr>
        <w:autoSpaceDE w:val="0"/>
        <w:autoSpaceDN w:val="0"/>
        <w:adjustRightInd w:val="0"/>
        <w:ind w:firstLine="709"/>
        <w:jc w:val="both"/>
      </w:pPr>
      <w:r w:rsidRPr="009118AB">
        <w:rPr>
          <w:i/>
          <w:iCs/>
        </w:rPr>
        <w:t>c)</w:t>
      </w:r>
      <w:r w:rsidRPr="009118AB">
        <w:t xml:space="preserve"> Einkünfte, die in Ausführung einer Vereinbarung über die Leistung von dinglichen Sicherheiten oder eines Verleihs mit Bezug auf ausländische Finanzinstrumente erzielt wurden und deren Schuldner der Steuer der natürlichen Personen, der Gesellschaftssteuer, der Steuer der juristischen Personen oder der Steuer der Gebietsfremden unterliegt, unter der Bedingung, dass in diesem letzten Fall die Einkünfte auf die Ergebnisse [einer belgischen Niederlassung angerechnet werden, über die er verfügt],]</w:t>
      </w:r>
    </w:p>
    <w:p w14:paraId="6BBD47D0" w14:textId="77777777" w:rsidR="00645469" w:rsidRPr="009118AB" w:rsidRDefault="00645469" w:rsidP="00645469">
      <w:pPr>
        <w:autoSpaceDE w:val="0"/>
        <w:autoSpaceDN w:val="0"/>
        <w:adjustRightInd w:val="0"/>
        <w:jc w:val="both"/>
      </w:pPr>
    </w:p>
    <w:p w14:paraId="5778F9B0" w14:textId="77777777" w:rsidR="00645469" w:rsidRPr="009118AB" w:rsidRDefault="00645469" w:rsidP="00E4560A">
      <w:pPr>
        <w:autoSpaceDE w:val="0"/>
        <w:autoSpaceDN w:val="0"/>
        <w:adjustRightInd w:val="0"/>
        <w:ind w:firstLine="709"/>
        <w:jc w:val="both"/>
      </w:pPr>
      <w:r w:rsidRPr="009118AB">
        <w:t>[2</w:t>
      </w:r>
      <w:r w:rsidRPr="009118AB">
        <w:rPr>
          <w:i/>
          <w:iCs/>
        </w:rPr>
        <w:t>bis</w:t>
      </w:r>
      <w:r w:rsidRPr="009118AB">
        <w:t>. [...]]</w:t>
      </w:r>
    </w:p>
    <w:p w14:paraId="570FA9FB" w14:textId="77777777" w:rsidR="00645469" w:rsidRPr="009118AB" w:rsidRDefault="00645469" w:rsidP="00645469">
      <w:pPr>
        <w:autoSpaceDE w:val="0"/>
        <w:autoSpaceDN w:val="0"/>
        <w:adjustRightInd w:val="0"/>
        <w:jc w:val="both"/>
      </w:pPr>
    </w:p>
    <w:p w14:paraId="0EF8E23F" w14:textId="7E3387AE" w:rsidR="00645469" w:rsidRPr="009118AB" w:rsidRDefault="00645469" w:rsidP="00E4560A">
      <w:pPr>
        <w:autoSpaceDE w:val="0"/>
        <w:autoSpaceDN w:val="0"/>
        <w:adjustRightInd w:val="0"/>
        <w:ind w:firstLine="709"/>
        <w:jc w:val="both"/>
      </w:pPr>
      <w:r w:rsidRPr="009118AB">
        <w:t xml:space="preserve">3. [in Artikel 23 </w:t>
      </w:r>
      <w:r w:rsidR="00D67EB8" w:rsidRPr="009118AB">
        <w:t>§ </w:t>
      </w:r>
      <w:r w:rsidRPr="009118AB">
        <w:t xml:space="preserve">1 </w:t>
      </w:r>
      <w:r w:rsidR="00D67EB8" w:rsidRPr="009118AB">
        <w:t>Nr. </w:t>
      </w:r>
      <w:r w:rsidRPr="009118AB">
        <w:t>4 erwähnte Entlohnungen in dem Maße, wie sie eine vom Empfänger im Ausland ausgeübte Tätigkeit entlohnen und gezahlt oder zuerkannt werden:</w:t>
      </w:r>
    </w:p>
    <w:p w14:paraId="7D0C391D" w14:textId="77777777" w:rsidR="00645469" w:rsidRPr="009118AB" w:rsidRDefault="00645469" w:rsidP="00645469">
      <w:pPr>
        <w:autoSpaceDE w:val="0"/>
        <w:autoSpaceDN w:val="0"/>
        <w:adjustRightInd w:val="0"/>
        <w:jc w:val="both"/>
      </w:pPr>
    </w:p>
    <w:p w14:paraId="58F81082" w14:textId="77777777" w:rsidR="00645469" w:rsidRPr="009118AB" w:rsidRDefault="00645469" w:rsidP="00E4560A">
      <w:pPr>
        <w:autoSpaceDE w:val="0"/>
        <w:autoSpaceDN w:val="0"/>
        <w:adjustRightInd w:val="0"/>
        <w:ind w:firstLine="709"/>
        <w:jc w:val="both"/>
      </w:pPr>
      <w:r w:rsidRPr="009118AB">
        <w:rPr>
          <w:i/>
        </w:rPr>
        <w:t>a)</w:t>
      </w:r>
      <w:r w:rsidRPr="009118AB">
        <w:t xml:space="preserve"> entweder von einem Schuldner, der der Steuer der natürlichen Personen oder der Gesellschaftssteuer unterliegt, und sie auf die Ergebnisse einer im Ausland gelegenen Einrichtung angerechnet werden,</w:t>
      </w:r>
    </w:p>
    <w:p w14:paraId="3F9E388C" w14:textId="77777777" w:rsidR="00645469" w:rsidRPr="009118AB" w:rsidRDefault="00645469" w:rsidP="00645469">
      <w:pPr>
        <w:autoSpaceDE w:val="0"/>
        <w:autoSpaceDN w:val="0"/>
        <w:adjustRightInd w:val="0"/>
        <w:jc w:val="both"/>
      </w:pPr>
    </w:p>
    <w:p w14:paraId="33EC2D39" w14:textId="77777777" w:rsidR="00645469" w:rsidRPr="009118AB" w:rsidRDefault="00645469" w:rsidP="00E4560A">
      <w:pPr>
        <w:autoSpaceDE w:val="0"/>
        <w:autoSpaceDN w:val="0"/>
        <w:adjustRightInd w:val="0"/>
        <w:ind w:firstLine="709"/>
        <w:jc w:val="both"/>
      </w:pPr>
      <w:r w:rsidRPr="009118AB">
        <w:rPr>
          <w:i/>
        </w:rPr>
        <w:t>b)</w:t>
      </w:r>
      <w:r w:rsidRPr="009118AB">
        <w:t xml:space="preserve"> oder, wenn der Empfänger direkt in dem Staat angeworben wird, in dem die erwähnten Tätigkeiten ausgeübt werden, er nicht in einem Staat ansässig ist, mit dem Belgien ein Abkommen zur Vermeidung der Doppelbesteuerung geschlossen hat, und er es zum Zeitpunkt seiner Anwerbung nicht war und er zum gleichen Zeitpunkt auch kein Einwohner des Königreichs war, von einem der folgenden Arbeitgeber:</w:t>
      </w:r>
    </w:p>
    <w:p w14:paraId="068FBFCC" w14:textId="77777777" w:rsidR="00645469" w:rsidRPr="009118AB" w:rsidRDefault="00645469" w:rsidP="00645469">
      <w:pPr>
        <w:autoSpaceDE w:val="0"/>
        <w:autoSpaceDN w:val="0"/>
        <w:adjustRightInd w:val="0"/>
        <w:jc w:val="both"/>
      </w:pPr>
    </w:p>
    <w:p w14:paraId="53BDB1A7" w14:textId="77777777" w:rsidR="00645469" w:rsidRPr="009118AB" w:rsidRDefault="00645469" w:rsidP="00E4560A">
      <w:pPr>
        <w:autoSpaceDE w:val="0"/>
        <w:autoSpaceDN w:val="0"/>
        <w:adjustRightInd w:val="0"/>
        <w:ind w:firstLine="709"/>
        <w:jc w:val="both"/>
      </w:pPr>
      <w:r w:rsidRPr="009118AB">
        <w:t>- dem Belgischen Roten Kreuz, im Rahmen von Hilfeleistungen im Ausland,</w:t>
      </w:r>
    </w:p>
    <w:p w14:paraId="2F552484" w14:textId="77777777" w:rsidR="00645469" w:rsidRPr="009118AB" w:rsidRDefault="00645469" w:rsidP="00645469">
      <w:pPr>
        <w:autoSpaceDE w:val="0"/>
        <w:autoSpaceDN w:val="0"/>
        <w:adjustRightInd w:val="0"/>
        <w:jc w:val="both"/>
      </w:pPr>
    </w:p>
    <w:p w14:paraId="7066B56A" w14:textId="745CA691" w:rsidR="00645469" w:rsidRPr="009118AB" w:rsidRDefault="00645469" w:rsidP="00E4560A">
      <w:pPr>
        <w:autoSpaceDE w:val="0"/>
        <w:autoSpaceDN w:val="0"/>
        <w:adjustRightInd w:val="0"/>
        <w:ind w:firstLine="709"/>
        <w:jc w:val="both"/>
      </w:pPr>
      <w:r w:rsidRPr="009118AB">
        <w:lastRenderedPageBreak/>
        <w:t xml:space="preserve">- </w:t>
      </w:r>
      <w:r w:rsidR="00862B9F" w:rsidRPr="009118AB">
        <w:t>[Enabel, Belgische Entwicklungsagentur]</w:t>
      </w:r>
      <w:r w:rsidRPr="009118AB">
        <w:t>, im Rahmen von Hilfeleistungen für Entwicklungsländer,</w:t>
      </w:r>
    </w:p>
    <w:p w14:paraId="2F4A9F11" w14:textId="77777777" w:rsidR="00645469" w:rsidRPr="009118AB" w:rsidRDefault="00645469" w:rsidP="00645469">
      <w:pPr>
        <w:autoSpaceDE w:val="0"/>
        <w:autoSpaceDN w:val="0"/>
        <w:adjustRightInd w:val="0"/>
        <w:jc w:val="both"/>
      </w:pPr>
    </w:p>
    <w:p w14:paraId="5CC516E1" w14:textId="206B8CCF" w:rsidR="00645469" w:rsidRPr="009118AB" w:rsidRDefault="00645469" w:rsidP="00E4560A">
      <w:pPr>
        <w:autoSpaceDE w:val="0"/>
        <w:autoSpaceDN w:val="0"/>
        <w:adjustRightInd w:val="0"/>
        <w:ind w:firstLine="709"/>
        <w:jc w:val="both"/>
      </w:pPr>
      <w:r w:rsidRPr="009118AB">
        <w:t>- einem [in Artikel 145</w:t>
      </w:r>
      <w:r w:rsidRPr="009118AB">
        <w:rPr>
          <w:vertAlign w:val="superscript"/>
        </w:rPr>
        <w:t>33</w:t>
      </w:r>
      <w:r w:rsidRPr="009118AB">
        <w:t xml:space="preserve"> </w:t>
      </w:r>
      <w:r w:rsidR="00D67EB8" w:rsidRPr="009118AB">
        <w:t>§ </w:t>
      </w:r>
      <w:r w:rsidRPr="009118AB">
        <w:t xml:space="preserve">1 Absatz 1 </w:t>
      </w:r>
      <w:r w:rsidR="00D67EB8" w:rsidRPr="009118AB">
        <w:t>Nr. </w:t>
      </w:r>
      <w:r w:rsidRPr="009118AB">
        <w:t>1 Buchstabe </w:t>
      </w:r>
      <w:r w:rsidRPr="009118AB">
        <w:rPr>
          <w:i/>
        </w:rPr>
        <w:t>a)</w:t>
      </w:r>
      <w:r w:rsidRPr="009118AB">
        <w:t xml:space="preserve"> oder </w:t>
      </w:r>
      <w:r w:rsidRPr="009118AB">
        <w:rPr>
          <w:i/>
        </w:rPr>
        <w:t>b)</w:t>
      </w:r>
      <w:r w:rsidRPr="009118AB">
        <w:t>] erwähnten Arbeitgeber, im Rahmen von Forschungsprojekten im Ausland,</w:t>
      </w:r>
    </w:p>
    <w:p w14:paraId="100BAF6D" w14:textId="77777777" w:rsidR="00645469" w:rsidRPr="009118AB" w:rsidRDefault="00645469" w:rsidP="00645469">
      <w:pPr>
        <w:autoSpaceDE w:val="0"/>
        <w:autoSpaceDN w:val="0"/>
        <w:adjustRightInd w:val="0"/>
        <w:jc w:val="both"/>
      </w:pPr>
    </w:p>
    <w:p w14:paraId="2B559B7A" w14:textId="4622A2A6" w:rsidR="00645469" w:rsidRPr="009118AB" w:rsidRDefault="00645469" w:rsidP="00E4560A">
      <w:pPr>
        <w:autoSpaceDE w:val="0"/>
        <w:autoSpaceDN w:val="0"/>
        <w:adjustRightInd w:val="0"/>
        <w:ind w:firstLine="709"/>
        <w:jc w:val="both"/>
      </w:pPr>
      <w:r w:rsidRPr="009118AB">
        <w:t>- einem [in Artikel 145</w:t>
      </w:r>
      <w:r w:rsidRPr="009118AB">
        <w:rPr>
          <w:vertAlign w:val="superscript"/>
        </w:rPr>
        <w:t>33</w:t>
      </w:r>
      <w:r w:rsidRPr="009118AB">
        <w:t xml:space="preserve"> </w:t>
      </w:r>
      <w:r w:rsidR="00D67EB8" w:rsidRPr="009118AB">
        <w:t>§ </w:t>
      </w:r>
      <w:r w:rsidRPr="009118AB">
        <w:t xml:space="preserve">1 Absatz 1 </w:t>
      </w:r>
      <w:r w:rsidR="00D67EB8" w:rsidRPr="009118AB">
        <w:t>Nr. </w:t>
      </w:r>
      <w:r w:rsidRPr="009118AB">
        <w:t>2] erwähnten Arbeitgeber, im Rahmen von Hilfeleistungen für Entwicklungsländer,</w:t>
      </w:r>
    </w:p>
    <w:p w14:paraId="0E3A579D" w14:textId="77777777" w:rsidR="00645469" w:rsidRPr="009118AB" w:rsidRDefault="00645469" w:rsidP="00645469">
      <w:pPr>
        <w:autoSpaceDE w:val="0"/>
        <w:autoSpaceDN w:val="0"/>
        <w:adjustRightInd w:val="0"/>
        <w:jc w:val="both"/>
      </w:pPr>
    </w:p>
    <w:p w14:paraId="6F3FCFAA" w14:textId="12BAFAC8" w:rsidR="00645469" w:rsidRPr="009118AB" w:rsidRDefault="00645469" w:rsidP="00E4560A">
      <w:pPr>
        <w:autoSpaceDE w:val="0"/>
        <w:autoSpaceDN w:val="0"/>
        <w:adjustRightInd w:val="0"/>
        <w:ind w:firstLine="709"/>
        <w:jc w:val="both"/>
      </w:pPr>
      <w:r w:rsidRPr="009118AB">
        <w:t>- einem [in Artikel 145</w:t>
      </w:r>
      <w:r w:rsidRPr="009118AB">
        <w:rPr>
          <w:vertAlign w:val="superscript"/>
        </w:rPr>
        <w:t>33</w:t>
      </w:r>
      <w:r w:rsidRPr="009118AB">
        <w:t xml:space="preserve"> </w:t>
      </w:r>
      <w:r w:rsidR="00D67EB8" w:rsidRPr="009118AB">
        <w:t>§ </w:t>
      </w:r>
      <w:r w:rsidRPr="009118AB">
        <w:t xml:space="preserve">1 Absatz 1 </w:t>
      </w:r>
      <w:r w:rsidR="00D67EB8" w:rsidRPr="009118AB">
        <w:t>Nr. </w:t>
      </w:r>
      <w:r w:rsidRPr="009118AB">
        <w:t>3] erwähnten Arbeitgeber, im Rahmen von Hilfeleistungen für Opfer schwerer Industrieunfälle im Ausland,</w:t>
      </w:r>
    </w:p>
    <w:p w14:paraId="7E0E9E58" w14:textId="77777777" w:rsidR="00645469" w:rsidRPr="009118AB" w:rsidRDefault="00645469" w:rsidP="00645469">
      <w:pPr>
        <w:autoSpaceDE w:val="0"/>
        <w:autoSpaceDN w:val="0"/>
        <w:adjustRightInd w:val="0"/>
        <w:jc w:val="both"/>
      </w:pPr>
    </w:p>
    <w:p w14:paraId="11DDA443" w14:textId="12E56243" w:rsidR="00645469" w:rsidRPr="009118AB" w:rsidRDefault="00645469" w:rsidP="00E4560A">
      <w:pPr>
        <w:autoSpaceDE w:val="0"/>
        <w:autoSpaceDN w:val="0"/>
        <w:adjustRightInd w:val="0"/>
        <w:ind w:firstLine="709"/>
        <w:jc w:val="both"/>
      </w:pPr>
      <w:r w:rsidRPr="009118AB">
        <w:t xml:space="preserve">[- einem in Artikel 228 </w:t>
      </w:r>
      <w:r w:rsidR="00D67EB8" w:rsidRPr="009118AB">
        <w:t>§ </w:t>
      </w:r>
      <w:r w:rsidRPr="009118AB">
        <w:t xml:space="preserve">2 </w:t>
      </w:r>
      <w:r w:rsidR="00D67EB8" w:rsidRPr="009118AB">
        <w:t>Nr. </w:t>
      </w:r>
      <w:r w:rsidRPr="009118AB">
        <w:t>6 Buchstabe </w:t>
      </w:r>
      <w:r w:rsidRPr="009118AB">
        <w:rPr>
          <w:i/>
        </w:rPr>
        <w:t>c)</w:t>
      </w:r>
      <w:r w:rsidRPr="009118AB">
        <w:t xml:space="preserve"> erwähnten Arbeitgeber.]</w:t>
      </w:r>
    </w:p>
    <w:p w14:paraId="7EF34F6A" w14:textId="77777777" w:rsidR="00645469" w:rsidRPr="009118AB" w:rsidRDefault="00645469" w:rsidP="00645469">
      <w:pPr>
        <w:autoSpaceDE w:val="0"/>
        <w:autoSpaceDN w:val="0"/>
        <w:adjustRightInd w:val="0"/>
        <w:jc w:val="both"/>
      </w:pPr>
    </w:p>
    <w:p w14:paraId="573A94BC" w14:textId="77777777" w:rsidR="00645469" w:rsidRPr="009118AB" w:rsidRDefault="00645469" w:rsidP="00E4560A">
      <w:pPr>
        <w:autoSpaceDE w:val="0"/>
        <w:autoSpaceDN w:val="0"/>
        <w:adjustRightInd w:val="0"/>
        <w:ind w:firstLine="709"/>
        <w:jc w:val="both"/>
      </w:pPr>
      <w:r w:rsidRPr="009118AB">
        <w:t>Die in Buchstabe </w:t>
      </w:r>
      <w:r w:rsidRPr="009118AB">
        <w:rPr>
          <w:i/>
          <w:iCs/>
        </w:rPr>
        <w:t>b)</w:t>
      </w:r>
      <w:r w:rsidRPr="009118AB">
        <w:t xml:space="preserve"> erwähnte Steuerbefreiung ist nicht anwendbar, wenn die betreffenden Entlohnungen in dem Staat, in dem die Tätigkeiten ausgeübt werden, aufgrund eines Abkommens zur Entwicklungszusammenarbeit von der Steuer befreit sind.]</w:t>
      </w:r>
    </w:p>
    <w:p w14:paraId="7D68DA9E" w14:textId="77777777" w:rsidR="00645469" w:rsidRPr="009118AB" w:rsidRDefault="00645469" w:rsidP="00645469">
      <w:pPr>
        <w:autoSpaceDE w:val="0"/>
        <w:autoSpaceDN w:val="0"/>
        <w:adjustRightInd w:val="0"/>
        <w:jc w:val="both"/>
      </w:pPr>
    </w:p>
    <w:p w14:paraId="3A97D5F0" w14:textId="5F44CD6A" w:rsidR="00645469" w:rsidRPr="009118AB" w:rsidRDefault="00645469" w:rsidP="00E4560A">
      <w:pPr>
        <w:autoSpaceDE w:val="0"/>
        <w:autoSpaceDN w:val="0"/>
        <w:adjustRightInd w:val="0"/>
        <w:ind w:firstLine="709"/>
        <w:jc w:val="both"/>
      </w:pPr>
      <w:r w:rsidRPr="009118AB">
        <w:t xml:space="preserve">4. Entlohnungen, die in Artikel 4 </w:t>
      </w:r>
      <w:r w:rsidR="00D67EB8" w:rsidRPr="009118AB">
        <w:t>Nr. </w:t>
      </w:r>
      <w:r w:rsidRPr="009118AB">
        <w:t>1 erwähnte Personen in ihrer Eigenschaft beziehen,</w:t>
      </w:r>
    </w:p>
    <w:p w14:paraId="6DF71973" w14:textId="77777777" w:rsidR="00645469" w:rsidRPr="009118AB" w:rsidRDefault="00645469" w:rsidP="00645469">
      <w:pPr>
        <w:autoSpaceDE w:val="0"/>
        <w:autoSpaceDN w:val="0"/>
        <w:adjustRightInd w:val="0"/>
        <w:jc w:val="both"/>
      </w:pPr>
    </w:p>
    <w:p w14:paraId="3B9832A2" w14:textId="20B715AD" w:rsidR="00645469" w:rsidRPr="009118AB" w:rsidRDefault="00645469" w:rsidP="00E4560A">
      <w:pPr>
        <w:autoSpaceDE w:val="0"/>
        <w:autoSpaceDN w:val="0"/>
        <w:adjustRightInd w:val="0"/>
        <w:ind w:firstLine="709"/>
        <w:jc w:val="both"/>
      </w:pPr>
      <w:r w:rsidRPr="009118AB">
        <w:t>[4</w:t>
      </w:r>
      <w:r w:rsidRPr="009118AB">
        <w:rPr>
          <w:i/>
        </w:rPr>
        <w:t>bis</w:t>
      </w:r>
      <w:r w:rsidRPr="009118AB">
        <w:t xml:space="preserve">. in [Artikel 34 </w:t>
      </w:r>
      <w:r w:rsidR="00D67EB8" w:rsidRPr="009118AB">
        <w:t>§ </w:t>
      </w:r>
      <w:r w:rsidRPr="009118AB">
        <w:t xml:space="preserve">1 </w:t>
      </w:r>
      <w:r w:rsidR="00D67EB8" w:rsidRPr="009118AB">
        <w:t>Nr. </w:t>
      </w:r>
      <w:r w:rsidRPr="009118AB">
        <w:t>2 Absatz 1 Buchstabe </w:t>
      </w:r>
      <w:r w:rsidRPr="009118AB">
        <w:rPr>
          <w:i/>
        </w:rPr>
        <w:t>a)</w:t>
      </w:r>
      <w:r w:rsidRPr="009118AB">
        <w:t xml:space="preserve"> bis </w:t>
      </w:r>
      <w:r w:rsidRPr="009118AB">
        <w:rPr>
          <w:i/>
        </w:rPr>
        <w:t>c/1)</w:t>
      </w:r>
      <w:r w:rsidRPr="009118AB">
        <w:rPr>
          <w:iCs/>
        </w:rPr>
        <w:t>]</w:t>
      </w:r>
      <w:r w:rsidRPr="009118AB">
        <w:t xml:space="preserve"> erwähnte Pensionen, die von einer in den Büchern II und III des Gesetzes vom 13. März 2016 über den Status und die Kontrolle der Versicherungs- oder Rückversicherungsunternehmen oder in Artikel 2 </w:t>
      </w:r>
      <w:r w:rsidR="00D67EB8" w:rsidRPr="009118AB">
        <w:t>Nr. </w:t>
      </w:r>
      <w:r w:rsidRPr="009118AB">
        <w:t>1 des Gesetzes vom 27. Oktober 2006 über die Kontrolle der Einrichtungen der betrieblichen Altersversorgung erwähnten Einrichtung gezahlt oder zuerkannt werden, wenn und in dem Maße, wie:</w:t>
      </w:r>
    </w:p>
    <w:p w14:paraId="58DB5362" w14:textId="77777777" w:rsidR="00645469" w:rsidRPr="009118AB" w:rsidRDefault="00645469" w:rsidP="00645469">
      <w:pPr>
        <w:autoSpaceDE w:val="0"/>
        <w:autoSpaceDN w:val="0"/>
        <w:adjustRightInd w:val="0"/>
        <w:jc w:val="both"/>
      </w:pPr>
    </w:p>
    <w:p w14:paraId="711AAAF8" w14:textId="77777777" w:rsidR="00645469" w:rsidRPr="009118AB" w:rsidRDefault="00645469" w:rsidP="00E4560A">
      <w:pPr>
        <w:autoSpaceDE w:val="0"/>
        <w:autoSpaceDN w:val="0"/>
        <w:adjustRightInd w:val="0"/>
        <w:ind w:firstLine="709"/>
        <w:jc w:val="both"/>
      </w:pPr>
      <w:r w:rsidRPr="009118AB">
        <w:t>- die Beiträge oder Prämien, die für die Bildung der Pension gezahlt wurden, für den Schuldner dieser Beiträge oder Prämien in Belgien zu keinem Steuervorteil im Bereich der Einkommensteuer geführt haben</w:t>
      </w:r>
    </w:p>
    <w:p w14:paraId="271DDA2A" w14:textId="77777777" w:rsidR="00645469" w:rsidRPr="009118AB" w:rsidRDefault="00645469" w:rsidP="00645469">
      <w:pPr>
        <w:autoSpaceDE w:val="0"/>
        <w:autoSpaceDN w:val="0"/>
        <w:adjustRightInd w:val="0"/>
        <w:jc w:val="both"/>
      </w:pPr>
    </w:p>
    <w:p w14:paraId="3F4750A7" w14:textId="77777777" w:rsidR="00645469" w:rsidRPr="009118AB" w:rsidRDefault="00645469" w:rsidP="00E4560A">
      <w:pPr>
        <w:autoSpaceDE w:val="0"/>
        <w:autoSpaceDN w:val="0"/>
        <w:adjustRightInd w:val="0"/>
        <w:ind w:firstLine="709"/>
        <w:jc w:val="both"/>
      </w:pPr>
      <w:r w:rsidRPr="009118AB">
        <w:t>und</w:t>
      </w:r>
    </w:p>
    <w:p w14:paraId="2DEDF6E1" w14:textId="77777777" w:rsidR="00645469" w:rsidRPr="009118AB" w:rsidRDefault="00645469" w:rsidP="00645469">
      <w:pPr>
        <w:autoSpaceDE w:val="0"/>
        <w:autoSpaceDN w:val="0"/>
        <w:adjustRightInd w:val="0"/>
        <w:jc w:val="both"/>
      </w:pPr>
    </w:p>
    <w:p w14:paraId="1D24D1E8" w14:textId="77777777" w:rsidR="00645469" w:rsidRPr="009118AB" w:rsidRDefault="00645469" w:rsidP="00E4560A">
      <w:pPr>
        <w:autoSpaceDE w:val="0"/>
        <w:autoSpaceDN w:val="0"/>
        <w:adjustRightInd w:val="0"/>
        <w:ind w:firstLine="709"/>
        <w:jc w:val="both"/>
      </w:pPr>
      <w:r w:rsidRPr="009118AB">
        <w:t>- die Berufstätigkeit, aufgrund deren die Pension gezahlt oder zuerkannt wird, keine in Belgien steuerpflichtigen Berufseinkünfte erzeugt hat,]</w:t>
      </w:r>
    </w:p>
    <w:p w14:paraId="289585A7" w14:textId="77777777" w:rsidR="00645469" w:rsidRPr="009118AB" w:rsidRDefault="00645469" w:rsidP="00645469">
      <w:pPr>
        <w:autoSpaceDE w:val="0"/>
        <w:autoSpaceDN w:val="0"/>
        <w:adjustRightInd w:val="0"/>
        <w:jc w:val="both"/>
      </w:pPr>
    </w:p>
    <w:p w14:paraId="0B351F61" w14:textId="3C71D8AC" w:rsidR="00645469" w:rsidRPr="009118AB" w:rsidRDefault="00645469" w:rsidP="00E4560A">
      <w:pPr>
        <w:autoSpaceDE w:val="0"/>
        <w:autoSpaceDN w:val="0"/>
        <w:adjustRightInd w:val="0"/>
        <w:ind w:firstLine="709"/>
        <w:jc w:val="both"/>
      </w:pPr>
      <w:r w:rsidRPr="009118AB">
        <w:t xml:space="preserve">5. in [Artikel 228 </w:t>
      </w:r>
      <w:r w:rsidR="00D67EB8" w:rsidRPr="009118AB">
        <w:t>§ </w:t>
      </w:r>
      <w:r w:rsidRPr="009118AB">
        <w:t xml:space="preserve">2 </w:t>
      </w:r>
      <w:r w:rsidR="00D67EB8" w:rsidRPr="009118AB">
        <w:t>Nr. </w:t>
      </w:r>
      <w:r w:rsidRPr="009118AB">
        <w:t>9] [Buchstabe </w:t>
      </w:r>
      <w:r w:rsidRPr="009118AB">
        <w:rPr>
          <w:i/>
          <w:iCs/>
        </w:rPr>
        <w:t>a)</w:t>
      </w:r>
      <w:r w:rsidRPr="009118AB">
        <w:t xml:space="preserve"> bis </w:t>
      </w:r>
      <w:r w:rsidRPr="009118AB">
        <w:rPr>
          <w:i/>
          <w:iCs/>
        </w:rPr>
        <w:t>i)</w:t>
      </w:r>
      <w:r w:rsidRPr="009118AB">
        <w:t>] erwähnte verschiedene Einkünfte, die durch ausländische Staaten oder deren politische Untergliederungen und durch Niederlassungen, Einrichtungen oder andere juristische Personen ohne Gewinnerzielungsabsicht ausländischen öffentlichen Rechts erzielt werden,</w:t>
      </w:r>
    </w:p>
    <w:p w14:paraId="10017933" w14:textId="77777777" w:rsidR="00645469" w:rsidRPr="009118AB" w:rsidRDefault="00645469" w:rsidP="00645469">
      <w:pPr>
        <w:autoSpaceDE w:val="0"/>
        <w:autoSpaceDN w:val="0"/>
        <w:adjustRightInd w:val="0"/>
        <w:jc w:val="both"/>
      </w:pPr>
    </w:p>
    <w:p w14:paraId="23934C68" w14:textId="44C30E20" w:rsidR="00645469" w:rsidRPr="009118AB" w:rsidRDefault="00645469" w:rsidP="00E4560A">
      <w:pPr>
        <w:autoSpaceDE w:val="0"/>
        <w:autoSpaceDN w:val="0"/>
        <w:adjustRightInd w:val="0"/>
        <w:ind w:firstLine="709"/>
        <w:jc w:val="both"/>
      </w:pPr>
      <w:r w:rsidRPr="009118AB">
        <w:t xml:space="preserve">[6. [Kapital- und Zinszuschüsse, die Landwirten, die in Artikel 227 </w:t>
      </w:r>
      <w:r w:rsidR="00D67EB8" w:rsidRPr="009118AB">
        <w:t>Nr. </w:t>
      </w:r>
      <w:r w:rsidRPr="009118AB">
        <w:t>1 erwähnte Steuerpflichtige sind, im Rahmen von Beihilfen für die Landwirtschaft von den zuständigen regionalen Einrichtungen unter Beachtung der europäischen Vorschriften im Bereich der staatlichen Beihilfen gezahlt werden im Hinblick auf Niederlassung, Existenzgründung und/oder Erwerb oder Bildung von immateriellen Anlagen und Sachanlagen.]]</w:t>
      </w:r>
    </w:p>
    <w:p w14:paraId="64E6F211" w14:textId="77777777" w:rsidR="00645469" w:rsidRPr="009118AB" w:rsidRDefault="00645469" w:rsidP="00645469">
      <w:pPr>
        <w:autoSpaceDE w:val="0"/>
        <w:autoSpaceDN w:val="0"/>
        <w:adjustRightInd w:val="0"/>
        <w:jc w:val="both"/>
      </w:pPr>
    </w:p>
    <w:p w14:paraId="2A2351A4" w14:textId="77777777" w:rsidR="00210E98" w:rsidRPr="009118AB" w:rsidRDefault="00210E98">
      <w:r w:rsidRPr="009118AB">
        <w:br w:type="page"/>
      </w:r>
    </w:p>
    <w:p w14:paraId="0AE1708A" w14:textId="7D9EABA0" w:rsidR="00645469" w:rsidRPr="009118AB" w:rsidRDefault="00645469" w:rsidP="00E4560A">
      <w:pPr>
        <w:autoSpaceDE w:val="0"/>
        <w:autoSpaceDN w:val="0"/>
        <w:adjustRightInd w:val="0"/>
        <w:ind w:firstLine="709"/>
        <w:jc w:val="both"/>
      </w:pPr>
      <w:r w:rsidRPr="009118AB">
        <w:lastRenderedPageBreak/>
        <w:t xml:space="preserve">[Die in Absatz 1 </w:t>
      </w:r>
      <w:r w:rsidR="00D67EB8" w:rsidRPr="009118AB">
        <w:t>Nr. </w:t>
      </w:r>
      <w:r w:rsidRPr="009118AB">
        <w:t>2 erwähnten Einkünfte sind unter folgenden Bedingungen steuerfrei:</w:t>
      </w:r>
    </w:p>
    <w:p w14:paraId="05A70300" w14:textId="77777777" w:rsidR="00645469" w:rsidRPr="009118AB" w:rsidRDefault="00645469" w:rsidP="00645469">
      <w:pPr>
        <w:autoSpaceDE w:val="0"/>
        <w:autoSpaceDN w:val="0"/>
        <w:adjustRightInd w:val="0"/>
        <w:jc w:val="both"/>
      </w:pPr>
    </w:p>
    <w:p w14:paraId="732AD88F" w14:textId="77777777" w:rsidR="00645469" w:rsidRPr="009118AB" w:rsidRDefault="00645469" w:rsidP="00E4560A">
      <w:pPr>
        <w:autoSpaceDE w:val="0"/>
        <w:autoSpaceDN w:val="0"/>
        <w:adjustRightInd w:val="0"/>
        <w:ind w:firstLine="709"/>
        <w:jc w:val="both"/>
      </w:pPr>
      <w:r w:rsidRPr="009118AB">
        <w:rPr>
          <w:i/>
          <w:iCs/>
        </w:rPr>
        <w:t>a)</w:t>
      </w:r>
      <w:r w:rsidRPr="009118AB">
        <w:t xml:space="preserve"> [Der Empfänger der Einkünfte muss dem in Buchstabe </w:t>
      </w:r>
      <w:r w:rsidRPr="009118AB">
        <w:rPr>
          <w:i/>
          <w:iCs/>
        </w:rPr>
        <w:t>b)</w:t>
      </w:r>
      <w:r w:rsidRPr="009118AB">
        <w:t xml:space="preserve"> oder </w:t>
      </w:r>
      <w:r w:rsidRPr="009118AB">
        <w:rPr>
          <w:i/>
          <w:iCs/>
        </w:rPr>
        <w:t>c)</w:t>
      </w:r>
      <w:r w:rsidRPr="009118AB">
        <w:t xml:space="preserve"> erwähnten Ver</w:t>
      </w:r>
      <w:r w:rsidRPr="009118AB">
        <w:softHyphen/>
        <w:t>mittler oder dem Schuldner der Einkünfte eine Bescheinigung aushändigen, durch die er bestätigt:</w:t>
      </w:r>
    </w:p>
    <w:p w14:paraId="4DC2E3AE" w14:textId="77777777" w:rsidR="00645469" w:rsidRPr="009118AB" w:rsidRDefault="00645469" w:rsidP="00645469">
      <w:pPr>
        <w:autoSpaceDE w:val="0"/>
        <w:autoSpaceDN w:val="0"/>
        <w:adjustRightInd w:val="0"/>
        <w:jc w:val="both"/>
      </w:pPr>
    </w:p>
    <w:p w14:paraId="48A55C42" w14:textId="77777777" w:rsidR="00645469" w:rsidRPr="009118AB" w:rsidRDefault="00645469" w:rsidP="00E4560A">
      <w:pPr>
        <w:autoSpaceDE w:val="0"/>
        <w:autoSpaceDN w:val="0"/>
        <w:adjustRightInd w:val="0"/>
        <w:ind w:firstLine="709"/>
        <w:jc w:val="both"/>
      </w:pPr>
      <w:r w:rsidRPr="009118AB">
        <w:t xml:space="preserve">- dass er ein in Artikel 227 erwähnter Gebietsfremder ist, </w:t>
      </w:r>
    </w:p>
    <w:p w14:paraId="0AD125D9" w14:textId="77777777" w:rsidR="00645469" w:rsidRPr="009118AB" w:rsidRDefault="00645469" w:rsidP="00645469">
      <w:pPr>
        <w:autoSpaceDE w:val="0"/>
        <w:autoSpaceDN w:val="0"/>
        <w:adjustRightInd w:val="0"/>
        <w:jc w:val="both"/>
      </w:pPr>
    </w:p>
    <w:p w14:paraId="14A5AF74" w14:textId="77777777" w:rsidR="00645469" w:rsidRPr="009118AB" w:rsidRDefault="00645469" w:rsidP="00E4560A">
      <w:pPr>
        <w:autoSpaceDE w:val="0"/>
        <w:autoSpaceDN w:val="0"/>
        <w:adjustRightInd w:val="0"/>
        <w:ind w:firstLine="709"/>
        <w:jc w:val="both"/>
      </w:pPr>
      <w:r w:rsidRPr="009118AB">
        <w:t>- dass er die Kapitalien oder Finanzinstrumente, die die Einkünfte erzeugen, nicht zur Ausübung einer Berufstätigkeit in Belgien genutzt hat,</w:t>
      </w:r>
    </w:p>
    <w:p w14:paraId="3348C2C4" w14:textId="77777777" w:rsidR="00645469" w:rsidRPr="009118AB" w:rsidRDefault="00645469" w:rsidP="00645469">
      <w:pPr>
        <w:autoSpaceDE w:val="0"/>
        <w:autoSpaceDN w:val="0"/>
        <w:adjustRightInd w:val="0"/>
        <w:jc w:val="both"/>
      </w:pPr>
    </w:p>
    <w:p w14:paraId="0964B9F0" w14:textId="77777777" w:rsidR="00645469" w:rsidRPr="009118AB" w:rsidRDefault="00645469" w:rsidP="00E4560A">
      <w:pPr>
        <w:autoSpaceDE w:val="0"/>
        <w:autoSpaceDN w:val="0"/>
        <w:adjustRightInd w:val="0"/>
        <w:ind w:firstLine="709"/>
        <w:jc w:val="both"/>
      </w:pPr>
      <w:r w:rsidRPr="009118AB">
        <w:t>- dass er Volleigentümer oder Nießbraucher der Kapitalien oder Finanzinstrumente, die die Einkünfte erzeugen, ist</w:t>
      </w:r>
    </w:p>
    <w:p w14:paraId="783DF2C4" w14:textId="77777777" w:rsidR="00645469" w:rsidRPr="009118AB" w:rsidRDefault="00645469" w:rsidP="00645469">
      <w:pPr>
        <w:autoSpaceDE w:val="0"/>
        <w:autoSpaceDN w:val="0"/>
        <w:adjustRightInd w:val="0"/>
        <w:jc w:val="both"/>
      </w:pPr>
    </w:p>
    <w:p w14:paraId="7B974D73" w14:textId="0FC300B2" w:rsidR="00645469" w:rsidRPr="009118AB" w:rsidRDefault="00645469" w:rsidP="00E4560A">
      <w:pPr>
        <w:autoSpaceDE w:val="0"/>
        <w:autoSpaceDN w:val="0"/>
        <w:adjustRightInd w:val="0"/>
        <w:ind w:firstLine="709"/>
        <w:jc w:val="both"/>
      </w:pPr>
      <w:r w:rsidRPr="009118AB">
        <w:t>- und dass er für die in Buchstabe </w:t>
      </w:r>
      <w:r w:rsidRPr="009118AB">
        <w:rPr>
          <w:i/>
          <w:iCs/>
        </w:rPr>
        <w:t>c)</w:t>
      </w:r>
      <w:r w:rsidRPr="009118AB">
        <w:t xml:space="preserve"> zweiter Gedankenstrich erwähnten Fälle derselben Gruppe verbundener oder assoziierter Gesellschaften im Sinne von </w:t>
      </w:r>
      <w:r w:rsidR="00210E98" w:rsidRPr="009118AB">
        <w:t>[Artikel 1:20 beziehungsweise 1:21 des Gesetzbuches der Gesellschaften und Vereinigungen]</w:t>
      </w:r>
      <w:r w:rsidRPr="009118AB">
        <w:t xml:space="preserve"> angehört wie der Schuldner der Einkünfte und das vermittelnde Finanzunternehmen.]</w:t>
      </w:r>
    </w:p>
    <w:p w14:paraId="7683258B" w14:textId="77777777" w:rsidR="00645469" w:rsidRPr="009118AB" w:rsidRDefault="00645469" w:rsidP="00645469">
      <w:pPr>
        <w:autoSpaceDE w:val="0"/>
        <w:autoSpaceDN w:val="0"/>
        <w:adjustRightInd w:val="0"/>
        <w:jc w:val="both"/>
        <w:rPr>
          <w:i/>
          <w:iCs/>
        </w:rPr>
      </w:pPr>
    </w:p>
    <w:p w14:paraId="20442D93" w14:textId="4FAB3AEF" w:rsidR="00645469" w:rsidRPr="009118AB" w:rsidRDefault="00645469" w:rsidP="00E4560A">
      <w:pPr>
        <w:autoSpaceDE w:val="0"/>
        <w:autoSpaceDN w:val="0"/>
        <w:adjustRightInd w:val="0"/>
        <w:ind w:firstLine="709"/>
        <w:jc w:val="both"/>
      </w:pPr>
      <w:r w:rsidRPr="009118AB">
        <w:rPr>
          <w:i/>
          <w:iCs/>
        </w:rPr>
        <w:t xml:space="preserve">b) </w:t>
      </w:r>
      <w:r w:rsidRPr="009118AB">
        <w:t xml:space="preserve">In Absatz 1 </w:t>
      </w:r>
      <w:r w:rsidR="00D67EB8" w:rsidRPr="009118AB">
        <w:t>Nr. </w:t>
      </w:r>
      <w:r w:rsidRPr="009118AB">
        <w:t>2 Buchstabe </w:t>
      </w:r>
      <w:r w:rsidRPr="009118AB">
        <w:rPr>
          <w:i/>
          <w:iCs/>
        </w:rPr>
        <w:t>a)</w:t>
      </w:r>
      <w:r w:rsidRPr="009118AB">
        <w:t xml:space="preserve"> erwähnte Einkünfte müssen dem Empfänger über ein Kreditinstitut, eine Börsengesellschaft beziehungsweise eine zugelassene Verrechnungs</w:t>
      </w:r>
      <w:r w:rsidRPr="009118AB">
        <w:noBreakHyphen/>
        <w:t xml:space="preserve"> oder Liquidationseinrichtung, die in Belgien ansässig sind, oder vom Schuldner der Einkünfte gezahlt werden.</w:t>
      </w:r>
    </w:p>
    <w:p w14:paraId="72951F6A" w14:textId="77777777" w:rsidR="00645469" w:rsidRPr="009118AB" w:rsidRDefault="00645469" w:rsidP="00645469">
      <w:pPr>
        <w:autoSpaceDE w:val="0"/>
        <w:autoSpaceDN w:val="0"/>
        <w:adjustRightInd w:val="0"/>
        <w:jc w:val="both"/>
      </w:pPr>
    </w:p>
    <w:p w14:paraId="5DE31C7E" w14:textId="73AE67C7" w:rsidR="00645469" w:rsidRPr="009118AB" w:rsidRDefault="00645469" w:rsidP="00E4560A">
      <w:pPr>
        <w:autoSpaceDE w:val="0"/>
        <w:autoSpaceDN w:val="0"/>
        <w:adjustRightInd w:val="0"/>
        <w:ind w:firstLine="709"/>
        <w:jc w:val="both"/>
      </w:pPr>
      <w:r w:rsidRPr="009118AB">
        <w:rPr>
          <w:i/>
          <w:iCs/>
        </w:rPr>
        <w:t>c)</w:t>
      </w:r>
      <w:r w:rsidRPr="009118AB">
        <w:t xml:space="preserve"> [In Absatz 1 </w:t>
      </w:r>
      <w:r w:rsidR="00D67EB8" w:rsidRPr="009118AB">
        <w:t>Nr. </w:t>
      </w:r>
      <w:r w:rsidRPr="009118AB">
        <w:t>2 Buchstabe </w:t>
      </w:r>
      <w:r w:rsidRPr="009118AB">
        <w:rPr>
          <w:i/>
          <w:iCs/>
        </w:rPr>
        <w:t>b)</w:t>
      </w:r>
      <w:r w:rsidRPr="009118AB">
        <w:t xml:space="preserve"> erwähnte Einkünfte müssen dem Empfänger gezahlt werden:</w:t>
      </w:r>
    </w:p>
    <w:p w14:paraId="6CC8F8B2" w14:textId="77777777" w:rsidR="00645469" w:rsidRPr="009118AB" w:rsidRDefault="00645469" w:rsidP="00645469">
      <w:pPr>
        <w:autoSpaceDE w:val="0"/>
        <w:autoSpaceDN w:val="0"/>
        <w:adjustRightInd w:val="0"/>
        <w:jc w:val="both"/>
      </w:pPr>
    </w:p>
    <w:p w14:paraId="74F9A638" w14:textId="77777777" w:rsidR="00645469" w:rsidRPr="009118AB" w:rsidRDefault="00645469" w:rsidP="00E4560A">
      <w:pPr>
        <w:autoSpaceDE w:val="0"/>
        <w:autoSpaceDN w:val="0"/>
        <w:adjustRightInd w:val="0"/>
        <w:ind w:firstLine="709"/>
        <w:jc w:val="both"/>
      </w:pPr>
      <w:r w:rsidRPr="009118AB">
        <w:t>- entweder über ein Kreditinstitut, eine Börsengesellschaft beziehungsweise eine zugelassene Verrechnungs</w:t>
      </w:r>
      <w:r w:rsidRPr="009118AB">
        <w:noBreakHyphen/>
        <w:t xml:space="preserve"> oder Liquidationseinrichtung, die in Belgien ansässig sind,</w:t>
      </w:r>
    </w:p>
    <w:p w14:paraId="286A9F5E" w14:textId="77777777" w:rsidR="00645469" w:rsidRPr="009118AB" w:rsidRDefault="00645469" w:rsidP="00645469">
      <w:pPr>
        <w:autoSpaceDE w:val="0"/>
        <w:autoSpaceDN w:val="0"/>
        <w:adjustRightInd w:val="0"/>
        <w:jc w:val="both"/>
      </w:pPr>
    </w:p>
    <w:p w14:paraId="1D7097B7" w14:textId="26912036" w:rsidR="00645469" w:rsidRPr="009118AB" w:rsidRDefault="00645469" w:rsidP="00E4560A">
      <w:pPr>
        <w:autoSpaceDE w:val="0"/>
        <w:autoSpaceDN w:val="0"/>
        <w:adjustRightInd w:val="0"/>
        <w:ind w:firstLine="709"/>
        <w:jc w:val="both"/>
      </w:pPr>
      <w:r w:rsidRPr="009118AB">
        <w:t xml:space="preserve">- oder in Bezug auf die in diesen Einkünften enthaltenen Zinsen, über ein in Belgien ansässiges Finanzunternehmen wie in Absatz 3 definiert, wenn der Empfänger, der Schuldner und das in Belgien ansässige Finanzunternehmen einer Gruppe verbundener oder assoziierter Gesellschaften im Sinne von </w:t>
      </w:r>
      <w:r w:rsidR="00210E98" w:rsidRPr="009118AB">
        <w:t xml:space="preserve">[Artikel 1:20 beziehungsweise 1:21 des Gesetzbuches der Gesellschaften und Vereinigungen] </w:t>
      </w:r>
      <w:r w:rsidRPr="009118AB">
        <w:t>angehören.]]</w:t>
      </w:r>
    </w:p>
    <w:p w14:paraId="037914A9" w14:textId="77777777" w:rsidR="00645469" w:rsidRPr="009118AB" w:rsidRDefault="00645469" w:rsidP="00645469">
      <w:pPr>
        <w:autoSpaceDE w:val="0"/>
        <w:autoSpaceDN w:val="0"/>
        <w:adjustRightInd w:val="0"/>
        <w:jc w:val="both"/>
      </w:pPr>
    </w:p>
    <w:p w14:paraId="571A4E51" w14:textId="77777777" w:rsidR="00645469" w:rsidRPr="009118AB" w:rsidRDefault="00645469" w:rsidP="00E4560A">
      <w:pPr>
        <w:autoSpaceDE w:val="0"/>
        <w:autoSpaceDN w:val="0"/>
        <w:adjustRightInd w:val="0"/>
        <w:ind w:firstLine="709"/>
        <w:jc w:val="both"/>
      </w:pPr>
      <w:r w:rsidRPr="009118AB">
        <w:t>[Für die Anwendung von Absatz 2 Buchstabe </w:t>
      </w:r>
      <w:r w:rsidRPr="009118AB">
        <w:rPr>
          <w:i/>
          <w:iCs/>
        </w:rPr>
        <w:t>c)</w:t>
      </w:r>
      <w:r w:rsidRPr="009118AB">
        <w:t xml:space="preserve"> zweiter Gedankenstrich gilt als Finanzunternehmen eine inländische Gesellschaft oder eine belgische Niederlassung einer ausländischen Gesellschaft:</w:t>
      </w:r>
    </w:p>
    <w:p w14:paraId="273B58BD" w14:textId="77777777" w:rsidR="00645469" w:rsidRPr="009118AB" w:rsidRDefault="00645469" w:rsidP="00645469">
      <w:pPr>
        <w:autoSpaceDE w:val="0"/>
        <w:autoSpaceDN w:val="0"/>
        <w:adjustRightInd w:val="0"/>
        <w:jc w:val="both"/>
      </w:pPr>
    </w:p>
    <w:p w14:paraId="2AC7FFF0" w14:textId="0B824A15" w:rsidR="00645469" w:rsidRPr="009118AB" w:rsidRDefault="00645469" w:rsidP="00E4560A">
      <w:pPr>
        <w:autoSpaceDE w:val="0"/>
        <w:autoSpaceDN w:val="0"/>
        <w:adjustRightInd w:val="0"/>
        <w:ind w:firstLine="709"/>
        <w:jc w:val="both"/>
      </w:pPr>
      <w:r w:rsidRPr="009118AB">
        <w:t xml:space="preserve">- die einer Gruppe verbundener oder assoziierter Gesellschaften im Sinne von </w:t>
      </w:r>
      <w:r w:rsidR="00210E98" w:rsidRPr="009118AB">
        <w:t xml:space="preserve">[Artikel 1:20 beziehungsweise 1:21 des Gesetzbuches der Gesellschaften und Vereinigungen] </w:t>
      </w:r>
      <w:r w:rsidRPr="009118AB">
        <w:t>angehört,</w:t>
      </w:r>
    </w:p>
    <w:p w14:paraId="55B25348" w14:textId="77777777" w:rsidR="00645469" w:rsidRPr="009118AB" w:rsidRDefault="00645469" w:rsidP="00645469">
      <w:pPr>
        <w:autoSpaceDE w:val="0"/>
        <w:autoSpaceDN w:val="0"/>
        <w:adjustRightInd w:val="0"/>
        <w:jc w:val="both"/>
      </w:pPr>
    </w:p>
    <w:p w14:paraId="3531DABB" w14:textId="77777777" w:rsidR="00645469" w:rsidRPr="009118AB" w:rsidRDefault="00645469" w:rsidP="00E4560A">
      <w:pPr>
        <w:autoSpaceDE w:val="0"/>
        <w:autoSpaceDN w:val="0"/>
        <w:adjustRightInd w:val="0"/>
        <w:ind w:firstLine="709"/>
        <w:jc w:val="both"/>
      </w:pPr>
      <w:r w:rsidRPr="009118AB">
        <w:t>- die ihre Tätigkeiten ausschließlich zugunsten der Gesellschaften der Gruppe ausübt,</w:t>
      </w:r>
    </w:p>
    <w:p w14:paraId="54A10F26" w14:textId="77777777" w:rsidR="00645469" w:rsidRPr="009118AB" w:rsidRDefault="00645469" w:rsidP="00645469">
      <w:pPr>
        <w:autoSpaceDE w:val="0"/>
        <w:autoSpaceDN w:val="0"/>
        <w:adjustRightInd w:val="0"/>
        <w:jc w:val="both"/>
      </w:pPr>
    </w:p>
    <w:p w14:paraId="41CF0F21" w14:textId="77777777" w:rsidR="00645469" w:rsidRPr="009118AB" w:rsidRDefault="00645469" w:rsidP="00E4560A">
      <w:pPr>
        <w:autoSpaceDE w:val="0"/>
        <w:autoSpaceDN w:val="0"/>
        <w:adjustRightInd w:val="0"/>
        <w:ind w:firstLine="709"/>
        <w:jc w:val="both"/>
      </w:pPr>
      <w:r w:rsidRPr="009118AB">
        <w:t xml:space="preserve">- deren ausschließliche oder hauptsächliche Tätigkeit in der Erbringung von Finanzdienstleistungen besteht, </w:t>
      </w:r>
    </w:p>
    <w:p w14:paraId="3F843529" w14:textId="77777777" w:rsidR="00645469" w:rsidRPr="009118AB" w:rsidRDefault="00645469" w:rsidP="00645469">
      <w:pPr>
        <w:autoSpaceDE w:val="0"/>
        <w:autoSpaceDN w:val="0"/>
        <w:adjustRightInd w:val="0"/>
        <w:jc w:val="both"/>
      </w:pPr>
    </w:p>
    <w:p w14:paraId="4DF84D5F" w14:textId="77777777" w:rsidR="00645469" w:rsidRPr="009118AB" w:rsidRDefault="00645469" w:rsidP="00E4560A">
      <w:pPr>
        <w:autoSpaceDE w:val="0"/>
        <w:autoSpaceDN w:val="0"/>
        <w:adjustRightInd w:val="0"/>
        <w:ind w:firstLine="709"/>
        <w:jc w:val="both"/>
      </w:pPr>
      <w:r w:rsidRPr="009118AB">
        <w:lastRenderedPageBreak/>
        <w:t>- die sich ausschließlich bei inländischen Gesellschaften oder juristischen Personen wie in den Artikeln 220 und 227 des vorliegenden Gesetzbuches erwähnt finanziert, und zwar mit dem alleinigen Zweck der Finanzierung eigener Geschäfte oder der Geschäfte verbundener oder assoziierter Gesellschaften,</w:t>
      </w:r>
    </w:p>
    <w:p w14:paraId="49BD096E" w14:textId="77777777" w:rsidR="00645469" w:rsidRPr="009118AB" w:rsidRDefault="00645469" w:rsidP="00645469">
      <w:pPr>
        <w:autoSpaceDE w:val="0"/>
        <w:autoSpaceDN w:val="0"/>
        <w:adjustRightInd w:val="0"/>
        <w:jc w:val="both"/>
      </w:pPr>
    </w:p>
    <w:p w14:paraId="741FAB95" w14:textId="77777777" w:rsidR="00645469" w:rsidRPr="009118AB" w:rsidRDefault="00645469" w:rsidP="00E4560A">
      <w:pPr>
        <w:autoSpaceDE w:val="0"/>
        <w:autoSpaceDN w:val="0"/>
        <w:adjustRightInd w:val="0"/>
        <w:ind w:firstLine="709"/>
        <w:jc w:val="both"/>
      </w:pPr>
      <w:r w:rsidRPr="009118AB">
        <w:t>- und die keine Aktien oder Anteile für einen Investitionswert von mehr als 10 Prozent des Nettosteuerwertes des Finanzunternehmens hält.]</w:t>
      </w:r>
    </w:p>
    <w:p w14:paraId="7E065F2C" w14:textId="77777777" w:rsidR="00645469" w:rsidRPr="009118AB" w:rsidRDefault="00645469" w:rsidP="00645469">
      <w:pPr>
        <w:autoSpaceDE w:val="0"/>
        <w:autoSpaceDN w:val="0"/>
        <w:adjustRightInd w:val="0"/>
        <w:jc w:val="both"/>
      </w:pPr>
    </w:p>
    <w:p w14:paraId="557E187D" w14:textId="4A1CDF45" w:rsidR="00645469" w:rsidRPr="009118AB" w:rsidRDefault="00645469" w:rsidP="00E4560A">
      <w:pPr>
        <w:autoSpaceDE w:val="0"/>
        <w:autoSpaceDN w:val="0"/>
        <w:adjustRightInd w:val="0"/>
        <w:ind w:firstLine="709"/>
        <w:jc w:val="both"/>
      </w:pPr>
      <w:r w:rsidRPr="009118AB">
        <w:t xml:space="preserve">[Im Falle der Veräußerung einer der in Absatz 1 </w:t>
      </w:r>
      <w:r w:rsidR="00D67EB8" w:rsidRPr="009118AB">
        <w:t>Nr. </w:t>
      </w:r>
      <w:r w:rsidRPr="009118AB">
        <w:t>6 erwähnten Anlagen</w:t>
      </w:r>
      <w:r w:rsidR="00D67EB8" w:rsidRPr="009118AB">
        <w:t> - </w:t>
      </w:r>
      <w:r w:rsidRPr="009118AB">
        <w:t>außer einer Veräußerung anlässlich eines Schadensfalls, einer Enteignung, einer Eigentums</w:t>
      </w:r>
      <w:r w:rsidRPr="009118AB">
        <w:softHyphen/>
        <w:t>requirierung oder eines anderen ähnlichen Ereignisses</w:t>
      </w:r>
      <w:r w:rsidR="00FD68E8" w:rsidRPr="009118AB">
        <w:t> -,</w:t>
      </w:r>
      <w:r w:rsidRPr="009118AB">
        <w:t xml:space="preserve"> die in den ersten drei Jahren der Investition erfolgt, wird die Steuerbefreiung in Bezug auf diese Anlage ab dem Besteuerungs</w:t>
      </w:r>
      <w:r w:rsidRPr="009118AB">
        <w:softHyphen/>
        <w:t>zeitraum, in dem die Veräußerung stattfand, nicht mehr gewährt und gilt der Betrag der vorher steuerfreien Gewinne als Gewinn dieses Besteuerungszeitraums.]</w:t>
      </w:r>
    </w:p>
    <w:p w14:paraId="617E56D7" w14:textId="77777777" w:rsidR="00645469" w:rsidRPr="009118AB" w:rsidRDefault="00645469" w:rsidP="00645469">
      <w:pPr>
        <w:autoSpaceDE w:val="0"/>
        <w:autoSpaceDN w:val="0"/>
        <w:adjustRightInd w:val="0"/>
        <w:jc w:val="both"/>
      </w:pPr>
    </w:p>
    <w:p w14:paraId="46D6515E" w14:textId="5F6F2044" w:rsidR="00645469" w:rsidRPr="009118AB" w:rsidRDefault="00645469" w:rsidP="00645469">
      <w:pPr>
        <w:autoSpaceDE w:val="0"/>
        <w:autoSpaceDN w:val="0"/>
        <w:adjustRightInd w:val="0"/>
        <w:jc w:val="both"/>
      </w:pPr>
      <w:r w:rsidRPr="009118AB">
        <w:rPr>
          <w:i/>
          <w:iCs/>
        </w:rPr>
        <w:t>[</w:t>
      </w:r>
      <w:r w:rsidR="00D67EB8" w:rsidRPr="009118AB">
        <w:rPr>
          <w:i/>
          <w:iCs/>
        </w:rPr>
        <w:t>Art. </w:t>
      </w:r>
      <w:r w:rsidRPr="009118AB">
        <w:rPr>
          <w:i/>
          <w:iCs/>
        </w:rPr>
        <w:t xml:space="preserve">230 </w:t>
      </w:r>
      <w:r w:rsidR="00D67EB8" w:rsidRPr="009118AB">
        <w:rPr>
          <w:i/>
          <w:iCs/>
        </w:rPr>
        <w:t>Abs. </w:t>
      </w:r>
      <w:r w:rsidRPr="009118AB">
        <w:rPr>
          <w:i/>
          <w:iCs/>
        </w:rPr>
        <w:t xml:space="preserve">1 </w:t>
      </w:r>
      <w:r w:rsidR="00D67EB8" w:rsidRPr="009118AB">
        <w:rPr>
          <w:i/>
          <w:iCs/>
        </w:rPr>
        <w:t>Nr. </w:t>
      </w:r>
      <w:r w:rsidRPr="009118AB">
        <w:rPr>
          <w:i/>
          <w:iCs/>
        </w:rPr>
        <w:t xml:space="preserve">1 ersetzt durch </w:t>
      </w:r>
      <w:r w:rsidR="00D67EB8" w:rsidRPr="009118AB">
        <w:rPr>
          <w:i/>
          <w:iCs/>
        </w:rPr>
        <w:t>Art. </w:t>
      </w:r>
      <w:r w:rsidRPr="009118AB">
        <w:rPr>
          <w:i/>
          <w:iCs/>
        </w:rPr>
        <w:t xml:space="preserve">4 </w:t>
      </w:r>
      <w:r w:rsidR="00D67EB8" w:rsidRPr="009118AB">
        <w:rPr>
          <w:i/>
          <w:iCs/>
        </w:rPr>
        <w:t>Nr. </w:t>
      </w:r>
      <w:r w:rsidRPr="009118AB">
        <w:rPr>
          <w:i/>
          <w:iCs/>
        </w:rPr>
        <w:t>1 des G. vom 25. April 2006 (B.S. vom 28. April 2006)</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ersetzt durch </w:t>
      </w:r>
      <w:r w:rsidR="00D67EB8" w:rsidRPr="009118AB">
        <w:rPr>
          <w:i/>
          <w:iCs/>
        </w:rPr>
        <w:t>Art. </w:t>
      </w:r>
      <w:r w:rsidRPr="009118AB">
        <w:rPr>
          <w:i/>
          <w:iCs/>
        </w:rPr>
        <w:t xml:space="preserve">4 </w:t>
      </w:r>
      <w:r w:rsidR="00D67EB8" w:rsidRPr="009118AB">
        <w:rPr>
          <w:i/>
          <w:iCs/>
        </w:rPr>
        <w:t>Nr. </w:t>
      </w:r>
      <w:r w:rsidRPr="009118AB">
        <w:rPr>
          <w:i/>
          <w:iCs/>
        </w:rPr>
        <w:t>2 des G. vom 25. April 2006 (B.S. vom 28. April 2006)</w:t>
      </w:r>
      <w:r w:rsidR="00D67EB8" w:rsidRPr="009118AB">
        <w:rPr>
          <w:i/>
          <w:iCs/>
        </w:rPr>
        <w:t> - </w:t>
      </w:r>
      <w:r w:rsidRPr="009118AB">
        <w:rPr>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einziger Absatz Buchstabe b) abgeändert durch </w:t>
      </w:r>
      <w:r w:rsidR="00D67EB8" w:rsidRPr="009118AB">
        <w:rPr>
          <w:i/>
          <w:iCs/>
        </w:rPr>
        <w:t>Art. </w:t>
      </w:r>
      <w:r w:rsidRPr="009118AB">
        <w:rPr>
          <w:i/>
          <w:iCs/>
        </w:rPr>
        <w:t xml:space="preserve">62 </w:t>
      </w:r>
      <w:r w:rsidR="00D67EB8" w:rsidRPr="009118AB">
        <w:rPr>
          <w:i/>
          <w:iCs/>
        </w:rPr>
        <w:t>Nr. </w:t>
      </w:r>
      <w:r w:rsidRPr="009118AB">
        <w:rPr>
          <w:i/>
          <w:iCs/>
        </w:rPr>
        <w:t>1 des G. vom 13. Dezember 2012 (B.S. vom 20. Dezember 2012)</w:t>
      </w:r>
      <w:r w:rsidR="00D67EB8" w:rsidRPr="009118AB">
        <w:rPr>
          <w:i/>
          <w:iCs/>
        </w:rPr>
        <w:t> - </w:t>
      </w:r>
      <w:r w:rsidRPr="009118AB">
        <w:rPr>
          <w:i/>
          <w:iCs/>
        </w:rPr>
        <w:t>anwendbar ab dem 1. Januar 2013</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2bis eingefügt durch </w:t>
      </w:r>
      <w:r w:rsidR="00D67EB8" w:rsidRPr="009118AB">
        <w:rPr>
          <w:i/>
          <w:iCs/>
        </w:rPr>
        <w:t>Art. </w:t>
      </w:r>
      <w:r w:rsidRPr="009118AB">
        <w:rPr>
          <w:i/>
          <w:iCs/>
        </w:rPr>
        <w:t xml:space="preserve">50 </w:t>
      </w:r>
      <w:r w:rsidR="00D67EB8" w:rsidRPr="009118AB">
        <w:rPr>
          <w:i/>
          <w:iCs/>
        </w:rPr>
        <w:t>Nr. </w:t>
      </w:r>
      <w:r w:rsidRPr="009118AB">
        <w:rPr>
          <w:i/>
          <w:iCs/>
        </w:rPr>
        <w:t>3 des G. vom 15. Dezember 2004 (B.S. vom 1. Februar 2005)</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 und in Bezug auf Einkünfte aus ausländischen Finanzinstrumenten, auf Einkünfte, die ab dem 1. Februar 2005 gezahlt oder zuerkannt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1. Februar 2005 abgeschlossen werden</w:t>
      </w:r>
      <w:r w:rsidR="00D67EB8" w:rsidRPr="009118AB">
        <w:rPr>
          <w:i/>
          <w:iCs/>
        </w:rPr>
        <w:t> - </w:t>
      </w:r>
      <w:r w:rsidRPr="009118AB">
        <w:rPr>
          <w:i/>
          <w:iCs/>
        </w:rPr>
        <w:t xml:space="preserve">und aufgehoben durch </w:t>
      </w:r>
      <w:r w:rsidR="00D67EB8" w:rsidRPr="009118AB">
        <w:rPr>
          <w:i/>
          <w:iCs/>
        </w:rPr>
        <w:t>Art. </w:t>
      </w:r>
      <w:r w:rsidRPr="009118AB">
        <w:rPr>
          <w:i/>
          <w:iCs/>
        </w:rPr>
        <w:t xml:space="preserve">4 </w:t>
      </w:r>
      <w:r w:rsidR="00D67EB8" w:rsidRPr="009118AB">
        <w:rPr>
          <w:i/>
          <w:iCs/>
        </w:rPr>
        <w:t>Nr. </w:t>
      </w:r>
      <w:r w:rsidRPr="009118AB">
        <w:rPr>
          <w:i/>
          <w:iCs/>
        </w:rPr>
        <w:t>3 des G. vom 25. April 2006 (B.S. vom 28. April 2006)</w:t>
      </w:r>
      <w:r w:rsidR="00D67EB8" w:rsidRPr="009118AB">
        <w:rPr>
          <w:i/>
          <w:iCs/>
        </w:rPr>
        <w:t> - </w:t>
      </w:r>
      <w:r w:rsidRPr="009118AB">
        <w:rPr>
          <w:i/>
          <w:iCs/>
        </w:rPr>
        <w:t xml:space="preserve">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w:t>
      </w:r>
      <w:r w:rsidRPr="009118AB">
        <w:rPr>
          <w:i/>
          <w:iCs/>
        </w:rPr>
        <w:lastRenderedPageBreak/>
        <w:t>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3 ersetzt durch </w:t>
      </w:r>
      <w:r w:rsidR="00D67EB8" w:rsidRPr="009118AB">
        <w:rPr>
          <w:i/>
          <w:iCs/>
        </w:rPr>
        <w:t>Art. </w:t>
      </w:r>
      <w:r w:rsidRPr="009118AB">
        <w:rPr>
          <w:i/>
          <w:iCs/>
        </w:rPr>
        <w:t>2 des G. vom 7. Dezember 2006 (B.S. vom 22. Dezember 2006)</w:t>
      </w:r>
      <w:r w:rsidR="00D67EB8" w:rsidRPr="009118AB">
        <w:rPr>
          <w:i/>
          <w:iCs/>
        </w:rPr>
        <w:t> - </w:t>
      </w:r>
      <w:r w:rsidRPr="009118AB">
        <w:rPr>
          <w:i/>
          <w:iCs/>
        </w:rPr>
        <w:t>anwendbar auf die ab dem 1. Januar 2007 gezahlten oder zuerkannten Entlohnungen</w:t>
      </w:r>
      <w:r w:rsidR="003366D9" w:rsidRPr="009118AB">
        <w:rPr>
          <w:i/>
          <w:iCs/>
        </w:rPr>
        <w:t> -;</w:t>
      </w:r>
      <w:r w:rsidRPr="009118AB">
        <w:rPr>
          <w:i/>
          <w:iCs/>
        </w:rPr>
        <w:t xml:space="preserve"> </w:t>
      </w:r>
      <w:r w:rsidR="00D67EB8" w:rsidRPr="009118AB">
        <w:rPr>
          <w:i/>
          <w:iCs/>
        </w:rPr>
        <w:t>Abs. </w:t>
      </w:r>
      <w:r w:rsidR="00862B9F" w:rsidRPr="009118AB">
        <w:rPr>
          <w:i/>
          <w:iCs/>
        </w:rPr>
        <w:t xml:space="preserve">1 </w:t>
      </w:r>
      <w:r w:rsidR="00D67EB8" w:rsidRPr="009118AB">
        <w:rPr>
          <w:i/>
          <w:iCs/>
        </w:rPr>
        <w:t>Nr. </w:t>
      </w:r>
      <w:r w:rsidR="00862B9F" w:rsidRPr="009118AB">
        <w:rPr>
          <w:i/>
          <w:iCs/>
        </w:rPr>
        <w:t xml:space="preserve">3 einziger Absatz Buchstabe b) einziger Absatz zweiter Gedankenstrich abgeändert durch </w:t>
      </w:r>
      <w:r w:rsidR="00D67EB8" w:rsidRPr="009118AB">
        <w:rPr>
          <w:i/>
          <w:iCs/>
        </w:rPr>
        <w:t>Art. </w:t>
      </w:r>
      <w:r w:rsidR="00862B9F" w:rsidRPr="009118AB">
        <w:rPr>
          <w:i/>
          <w:iCs/>
        </w:rPr>
        <w:t>14</w:t>
      </w:r>
      <w:r w:rsidR="00862B9F" w:rsidRPr="009118AB">
        <w:rPr>
          <w:i/>
          <w:spacing w:val="-2"/>
        </w:rPr>
        <w:t xml:space="preserve"> </w:t>
      </w:r>
      <w:r w:rsidR="00862B9F" w:rsidRPr="009118AB">
        <w:rPr>
          <w:i/>
          <w:iCs/>
          <w:spacing w:val="2"/>
        </w:rPr>
        <w:t>des G. vom 2</w:t>
      </w:r>
      <w:r w:rsidR="00306781" w:rsidRPr="009118AB">
        <w:rPr>
          <w:i/>
          <w:iCs/>
          <w:spacing w:val="2"/>
        </w:rPr>
        <w:t>8</w:t>
      </w:r>
      <w:r w:rsidR="00862B9F" w:rsidRPr="009118AB">
        <w:rPr>
          <w:i/>
          <w:iCs/>
          <w:spacing w:val="2"/>
        </w:rPr>
        <w:t xml:space="preserve">. April 2019 (B.S. vom </w:t>
      </w:r>
      <w:r w:rsidR="00306781" w:rsidRPr="009118AB">
        <w:rPr>
          <w:i/>
          <w:iCs/>
          <w:spacing w:val="2"/>
        </w:rPr>
        <w:t>6</w:t>
      </w:r>
      <w:r w:rsidR="00862B9F" w:rsidRPr="009118AB">
        <w:rPr>
          <w:i/>
          <w:iCs/>
          <w:spacing w:val="2"/>
        </w:rPr>
        <w:t>. Mai 2019)</w:t>
      </w:r>
      <w:r w:rsidR="00D67EB8" w:rsidRPr="009118AB">
        <w:rPr>
          <w:i/>
          <w:iCs/>
          <w:spacing w:val="2"/>
        </w:rPr>
        <w:t> - </w:t>
      </w:r>
      <w:r w:rsidR="00862B9F" w:rsidRPr="009118AB">
        <w:rPr>
          <w:i/>
          <w:iCs/>
          <w:spacing w:val="2"/>
        </w:rPr>
        <w:t>wirksam mit 1. Januar 2018</w:t>
      </w:r>
      <w:r w:rsidR="003366D9" w:rsidRPr="009118AB">
        <w:rPr>
          <w:i/>
          <w:iCs/>
          <w:spacing w:val="2"/>
        </w:rPr>
        <w:t> -;</w:t>
      </w:r>
      <w:r w:rsidR="00862B9F"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3 einziger Absatz Buchstabe b) einziger Absatz dritter Gedankenstrich abgeändert durch </w:t>
      </w:r>
      <w:r w:rsidR="00D67EB8" w:rsidRPr="009118AB">
        <w:rPr>
          <w:i/>
          <w:iCs/>
        </w:rPr>
        <w:t>Art. </w:t>
      </w:r>
      <w:r w:rsidRPr="009118AB">
        <w:rPr>
          <w:i/>
          <w:iCs/>
        </w:rPr>
        <w:t xml:space="preserve">62 </w:t>
      </w:r>
      <w:r w:rsidR="00D67EB8" w:rsidRPr="009118AB">
        <w:rPr>
          <w:i/>
          <w:iCs/>
        </w:rPr>
        <w:t>Nr. </w:t>
      </w:r>
      <w:r w:rsidRPr="009118AB">
        <w:rPr>
          <w:i/>
          <w:iCs/>
        </w:rPr>
        <w:t>2 Buchstabe a) des G. vom 13. Dezember 2012 (B.S. vom 20. Dezember 2012)</w:t>
      </w:r>
      <w:r w:rsidR="00D67EB8" w:rsidRPr="009118AB">
        <w:rPr>
          <w:i/>
          <w:iCs/>
        </w:rPr>
        <w:t> - </w:t>
      </w:r>
      <w:r w:rsidRPr="009118AB">
        <w:rPr>
          <w:i/>
          <w:iCs/>
        </w:rPr>
        <w:t>in Kraft ab dem Steuerjahr 2013</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3 einziger Absatz Buchstabe b) einziger Absatz vierter Gedankenstrich abgeändert durch </w:t>
      </w:r>
      <w:r w:rsidR="00D67EB8" w:rsidRPr="009118AB">
        <w:rPr>
          <w:i/>
          <w:iCs/>
        </w:rPr>
        <w:t>Art. </w:t>
      </w:r>
      <w:r w:rsidRPr="009118AB">
        <w:rPr>
          <w:i/>
          <w:iCs/>
        </w:rPr>
        <w:t xml:space="preserve">62 </w:t>
      </w:r>
      <w:r w:rsidR="00D67EB8" w:rsidRPr="009118AB">
        <w:rPr>
          <w:i/>
          <w:iCs/>
        </w:rPr>
        <w:t>Nr. </w:t>
      </w:r>
      <w:r w:rsidRPr="009118AB">
        <w:rPr>
          <w:i/>
          <w:iCs/>
        </w:rPr>
        <w:t>2 Buchstabe b) des G. vom 13. Dezember 2012 (B.S. vom 20. Dezember 2012)</w:t>
      </w:r>
      <w:r w:rsidR="00D67EB8" w:rsidRPr="009118AB">
        <w:rPr>
          <w:i/>
          <w:iCs/>
        </w:rPr>
        <w:t> - </w:t>
      </w:r>
      <w:r w:rsidRPr="009118AB">
        <w:rPr>
          <w:i/>
          <w:iCs/>
        </w:rPr>
        <w:t>in Kraft ab dem Steuerjahr 2013</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3 einziger Absatz Buchstabe b) einziger Absatz fünfter Gedankenstrich abgeändert durch </w:t>
      </w:r>
      <w:r w:rsidR="00D67EB8" w:rsidRPr="009118AB">
        <w:rPr>
          <w:i/>
          <w:iCs/>
        </w:rPr>
        <w:t>Art. </w:t>
      </w:r>
      <w:r w:rsidRPr="009118AB">
        <w:rPr>
          <w:i/>
          <w:iCs/>
        </w:rPr>
        <w:t xml:space="preserve">62 </w:t>
      </w:r>
      <w:r w:rsidR="00D67EB8" w:rsidRPr="009118AB">
        <w:rPr>
          <w:i/>
          <w:iCs/>
        </w:rPr>
        <w:t>Nr. </w:t>
      </w:r>
      <w:r w:rsidRPr="009118AB">
        <w:rPr>
          <w:i/>
          <w:iCs/>
        </w:rPr>
        <w:t>2 Buchstabe c) des G. vom 13. Dezember 2012 (B.S. vom 20. Dezember 2012)</w:t>
      </w:r>
      <w:r w:rsidR="00D67EB8" w:rsidRPr="009118AB">
        <w:rPr>
          <w:i/>
          <w:iCs/>
        </w:rPr>
        <w:t> - </w:t>
      </w:r>
      <w:r w:rsidRPr="009118AB">
        <w:rPr>
          <w:i/>
          <w:iCs/>
        </w:rPr>
        <w:t>in Kraft ab dem Steuerjahr 2013</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3 einziger Absatz Buchstabe b) einziger Absatz sechster Gedankenstrich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 des G. vom 21. Juli 2017 (B.S. vom 3. August 2017)</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4bis eingefügt durch </w:t>
      </w:r>
      <w:r w:rsidR="00D67EB8" w:rsidRPr="009118AB">
        <w:rPr>
          <w:i/>
          <w:iCs/>
        </w:rPr>
        <w:t>Art. </w:t>
      </w:r>
      <w:r w:rsidRPr="009118AB">
        <w:rPr>
          <w:i/>
          <w:iCs/>
        </w:rPr>
        <w:t>2</w:t>
      </w:r>
      <w:r w:rsidRPr="009118AB">
        <w:rPr>
          <w:i/>
        </w:rPr>
        <w:t xml:space="preserve"> des G. vom 25. Dezember 2016 (II) (B.S. vom 30. Dezember 2016)</w:t>
      </w:r>
      <w:r w:rsidR="00D67EB8" w:rsidRPr="009118AB">
        <w:rPr>
          <w:i/>
        </w:rPr>
        <w:t> - </w:t>
      </w:r>
      <w:r w:rsidRPr="009118AB">
        <w:rPr>
          <w:i/>
        </w:rPr>
        <w:t>in Kraft am 1. Januar 2017 und anwendbar auf die ab diesem Datum gezahlten oder zuerkannten Pensionen</w:t>
      </w:r>
      <w:r w:rsidR="00D67EB8" w:rsidRPr="009118AB">
        <w:rPr>
          <w:i/>
        </w:rPr>
        <w:t> - </w:t>
      </w:r>
      <w:r w:rsidRPr="009118AB">
        <w:rPr>
          <w:i/>
        </w:rPr>
        <w:t xml:space="preserve">und abgeändert durch </w:t>
      </w:r>
      <w:r w:rsidR="00D67EB8" w:rsidRPr="009118AB">
        <w:rPr>
          <w:i/>
        </w:rPr>
        <w:t>Art. </w:t>
      </w:r>
      <w:r w:rsidRPr="009118AB">
        <w:rPr>
          <w:i/>
        </w:rPr>
        <w:t>50</w:t>
      </w:r>
      <w:r w:rsidRPr="009118AB">
        <w:rPr>
          <w:i/>
          <w:iCs/>
        </w:rPr>
        <w:t xml:space="preserve"> des G. vom 6. Dezember 2018 (B.S. vom </w:t>
      </w:r>
      <w:r w:rsidRPr="009118AB">
        <w:rPr>
          <w:rFonts w:ascii="Times New Roman Italique" w:hAnsi="Times New Roman Italique"/>
          <w:i/>
          <w:iCs/>
          <w:spacing w:val="-2"/>
        </w:rPr>
        <w:t>27. Dezember 2018)</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w:t>
      </w:r>
      <w:r w:rsidR="009D6F3E" w:rsidRPr="009118AB">
        <w:rPr>
          <w:rFonts w:ascii="Times New Roman Italique" w:hAnsi="Times New Roman Italique"/>
          <w:i/>
          <w:iCs/>
          <w:spacing w:val="-2"/>
        </w:rPr>
        <w:t>b</w:t>
      </w:r>
      <w:r w:rsidRPr="009118AB">
        <w:rPr>
          <w:rFonts w:ascii="Times New Roman Italique" w:hAnsi="Times New Roman Italique"/>
          <w:i/>
          <w:iCs/>
          <w:spacing w:val="-2"/>
        </w:rPr>
        <w:t xml:space="preserve"> dem Steuerjahr 2020</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5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25 des G. vom 28. Juli 1992 (B.S. vom 31. Juli 1992)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1993</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50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4 des G. vom 15. Dezember 2004 (B.S. vom 1. Februar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anwendbar </w:t>
      </w:r>
      <w:r w:rsidRPr="009118AB">
        <w:rPr>
          <w:i/>
          <w:iCs/>
        </w:rPr>
        <w:t>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6 eingefügt durch </w:t>
      </w:r>
      <w:r w:rsidR="00D67EB8" w:rsidRPr="009118AB">
        <w:rPr>
          <w:i/>
          <w:iCs/>
        </w:rPr>
        <w:t>Art. </w:t>
      </w:r>
      <w:r w:rsidRPr="009118AB">
        <w:rPr>
          <w:i/>
          <w:iCs/>
        </w:rPr>
        <w:t xml:space="preserve">54 </w:t>
      </w:r>
      <w:r w:rsidR="00D67EB8" w:rsidRPr="009118AB">
        <w:rPr>
          <w:i/>
          <w:iCs/>
        </w:rPr>
        <w:t>Nr. </w:t>
      </w:r>
      <w:r w:rsidRPr="009118AB">
        <w:rPr>
          <w:i/>
          <w:iCs/>
        </w:rPr>
        <w:t>1 des G. vom 19. Dezember 2014 (B.S. vom 29. Dezember 2014)</w:t>
      </w:r>
      <w:r w:rsidR="00D67EB8" w:rsidRPr="009118AB">
        <w:rPr>
          <w:i/>
          <w:iCs/>
        </w:rPr>
        <w:t> - </w:t>
      </w:r>
      <w:r w:rsidRPr="009118AB">
        <w:rPr>
          <w:i/>
          <w:iCs/>
        </w:rPr>
        <w:t>anwendbar auf die ab 2015 gezahlten Kapital- und Zinszuschüsse</w:t>
      </w:r>
      <w:r w:rsidR="00D67EB8" w:rsidRPr="009118AB">
        <w:rPr>
          <w:i/>
          <w:iCs/>
        </w:rPr>
        <w:t> - </w:t>
      </w:r>
      <w:r w:rsidRPr="009118AB">
        <w:rPr>
          <w:i/>
          <w:iCs/>
        </w:rPr>
        <w:t xml:space="preserve">und ersetzt durch </w:t>
      </w:r>
      <w:r w:rsidR="00D67EB8" w:rsidRPr="009118AB">
        <w:rPr>
          <w:i/>
          <w:iCs/>
        </w:rPr>
        <w:t>Art. </w:t>
      </w:r>
      <w:r w:rsidRPr="009118AB">
        <w:rPr>
          <w:i/>
          <w:iCs/>
        </w:rPr>
        <w:t>72 des G. vom 18. Dezember 2015 (II) (B.S. vom 28. Dezember 2015)</w:t>
      </w:r>
      <w:r w:rsidR="00D67EB8" w:rsidRPr="009118AB">
        <w:rPr>
          <w:i/>
          <w:iCs/>
        </w:rPr>
        <w:t> - </w:t>
      </w:r>
      <w:r w:rsidRPr="009118AB">
        <w:rPr>
          <w:i/>
          <w:iCs/>
        </w:rPr>
        <w:t>anwendbar ab dem Steuerjahr 2016</w:t>
      </w:r>
      <w:r w:rsidR="003366D9" w:rsidRPr="009118AB">
        <w:rPr>
          <w:i/>
          <w:iCs/>
        </w:rPr>
        <w:t> -;</w:t>
      </w:r>
      <w:r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 xml:space="preserve">4 </w:t>
      </w:r>
      <w:r w:rsidR="00D67EB8" w:rsidRPr="009118AB">
        <w:rPr>
          <w:i/>
          <w:iCs/>
        </w:rPr>
        <w:t>Nr. </w:t>
      </w:r>
      <w:r w:rsidRPr="009118AB">
        <w:rPr>
          <w:i/>
          <w:iCs/>
        </w:rPr>
        <w:t>4 des G. vom 25. April 2006 (B.S. vom 28. April 2006)</w:t>
      </w:r>
      <w:r w:rsidR="00D67EB8" w:rsidRPr="009118AB">
        <w:rPr>
          <w:i/>
          <w:iCs/>
        </w:rPr>
        <w:t> - </w:t>
      </w:r>
      <w:r w:rsidRPr="009118AB">
        <w:rPr>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118AB">
        <w:rPr>
          <w:i/>
          <w:iCs/>
        </w:rPr>
        <w:t> -;</w:t>
      </w:r>
      <w:r w:rsidRPr="009118AB">
        <w:rPr>
          <w:i/>
          <w:iCs/>
        </w:rPr>
        <w:t xml:space="preserve"> </w:t>
      </w:r>
      <w:r w:rsidR="00D67EB8" w:rsidRPr="009118AB">
        <w:rPr>
          <w:i/>
          <w:iCs/>
        </w:rPr>
        <w:t>Abs. </w:t>
      </w:r>
      <w:r w:rsidRPr="009118AB">
        <w:rPr>
          <w:i/>
          <w:iCs/>
        </w:rPr>
        <w:t xml:space="preserve">2 Buchstabe a) ersetzt durch </w:t>
      </w:r>
      <w:r w:rsidR="00D67EB8" w:rsidRPr="009118AB">
        <w:rPr>
          <w:i/>
          <w:iCs/>
        </w:rPr>
        <w:t>Art. </w:t>
      </w:r>
      <w:r w:rsidRPr="009118AB">
        <w:rPr>
          <w:i/>
          <w:iCs/>
        </w:rPr>
        <w:t xml:space="preserve">359 </w:t>
      </w:r>
      <w:r w:rsidR="00D67EB8" w:rsidRPr="009118AB">
        <w:rPr>
          <w:i/>
          <w:iCs/>
        </w:rPr>
        <w:t>Nr. </w:t>
      </w:r>
      <w:r w:rsidRPr="009118AB">
        <w:rPr>
          <w:i/>
          <w:iCs/>
        </w:rPr>
        <w:t>1 des G. (I) vom 27. Dezember 2006 (II) (B.S. vom 28. Dezember 2006)</w:t>
      </w:r>
      <w:r w:rsidR="00D67EB8" w:rsidRPr="009118AB">
        <w:rPr>
          <w:i/>
          <w:iCs/>
        </w:rPr>
        <w:t> - </w:t>
      </w:r>
      <w:r w:rsidRPr="009118AB">
        <w:rPr>
          <w:i/>
          <w:iCs/>
        </w:rPr>
        <w:t>anwendbar auf die ab dem 1. Januar 2007 gezahlten oder zuerkannten Einkünfte</w:t>
      </w:r>
      <w:r w:rsidR="003366D9" w:rsidRPr="009118AB">
        <w:rPr>
          <w:i/>
          <w:iCs/>
        </w:rPr>
        <w:t> -;</w:t>
      </w:r>
      <w:r w:rsidRPr="009118AB">
        <w:rPr>
          <w:i/>
          <w:iCs/>
        </w:rPr>
        <w:t xml:space="preserve"> </w:t>
      </w:r>
      <w:r w:rsidR="00D67EB8" w:rsidRPr="009118AB">
        <w:rPr>
          <w:i/>
          <w:iCs/>
        </w:rPr>
        <w:t>Abs. </w:t>
      </w:r>
      <w:r w:rsidR="00210E98" w:rsidRPr="009118AB">
        <w:rPr>
          <w:i/>
          <w:iCs/>
        </w:rPr>
        <w:t xml:space="preserve">2 Buchstabe a) einziger Absatz vierter Gedankenstrich abgeändert durch </w:t>
      </w:r>
      <w:r w:rsidR="00D67EB8" w:rsidRPr="009118AB">
        <w:rPr>
          <w:i/>
          <w:iCs/>
        </w:rPr>
        <w:t>Art. </w:t>
      </w:r>
      <w:r w:rsidR="00210E98" w:rsidRPr="009118AB">
        <w:rPr>
          <w:i/>
          <w:iCs/>
        </w:rPr>
        <w:t>56</w:t>
      </w:r>
      <w:r w:rsidR="00210E98" w:rsidRPr="009118AB">
        <w:rPr>
          <w:i/>
          <w:iCs/>
          <w:spacing w:val="-2"/>
        </w:rPr>
        <w:t xml:space="preserve"> des G. vom 17. März 2019 (III) (B.S. vom 10. Mai 2019)</w:t>
      </w:r>
      <w:r w:rsidR="00D67EB8" w:rsidRPr="009118AB">
        <w:rPr>
          <w:i/>
          <w:iCs/>
          <w:spacing w:val="-2"/>
        </w:rPr>
        <w:t> - </w:t>
      </w:r>
      <w:r w:rsidR="00210E98" w:rsidRPr="009118AB">
        <w:rPr>
          <w:i/>
          <w:iCs/>
          <w:spacing w:val="-2"/>
        </w:rPr>
        <w:t>in Kraft am 1. Mai 2019</w:t>
      </w:r>
      <w:r w:rsidR="003366D9" w:rsidRPr="009118AB">
        <w:rPr>
          <w:i/>
          <w:iCs/>
          <w:spacing w:val="-2"/>
        </w:rPr>
        <w:t> -;</w:t>
      </w:r>
      <w:r w:rsidR="00210E98" w:rsidRPr="009118AB">
        <w:rPr>
          <w:i/>
          <w:iCs/>
          <w:spacing w:val="-2"/>
        </w:rPr>
        <w:t xml:space="preserve"> </w:t>
      </w:r>
      <w:r w:rsidR="00D67EB8" w:rsidRPr="009118AB">
        <w:rPr>
          <w:i/>
          <w:iCs/>
        </w:rPr>
        <w:t>Abs. </w:t>
      </w:r>
      <w:r w:rsidRPr="009118AB">
        <w:rPr>
          <w:i/>
          <w:iCs/>
        </w:rPr>
        <w:t xml:space="preserve">2 Buchstabe c) ersetzt durch </w:t>
      </w:r>
      <w:r w:rsidR="00D67EB8" w:rsidRPr="009118AB">
        <w:rPr>
          <w:i/>
          <w:iCs/>
        </w:rPr>
        <w:t>Art. </w:t>
      </w:r>
      <w:r w:rsidRPr="009118AB">
        <w:rPr>
          <w:i/>
          <w:iCs/>
        </w:rPr>
        <w:t xml:space="preserve">359 </w:t>
      </w:r>
      <w:r w:rsidR="00D67EB8" w:rsidRPr="009118AB">
        <w:rPr>
          <w:i/>
          <w:iCs/>
        </w:rPr>
        <w:t>Nr. </w:t>
      </w:r>
      <w:r w:rsidRPr="009118AB">
        <w:rPr>
          <w:i/>
          <w:iCs/>
        </w:rPr>
        <w:t>2 des G. (I) vom 27. Dezember 2006</w:t>
      </w:r>
      <w:r w:rsidR="00E4560A" w:rsidRPr="009118AB">
        <w:rPr>
          <w:i/>
          <w:iCs/>
        </w:rPr>
        <w:t> </w:t>
      </w:r>
      <w:r w:rsidRPr="009118AB">
        <w:rPr>
          <w:i/>
          <w:iCs/>
        </w:rPr>
        <w:t>(II) (B.S. vom 28. Dezember 2006)</w:t>
      </w:r>
      <w:r w:rsidR="00D67EB8" w:rsidRPr="009118AB">
        <w:rPr>
          <w:i/>
          <w:iCs/>
        </w:rPr>
        <w:t> - </w:t>
      </w:r>
      <w:r w:rsidRPr="009118AB">
        <w:rPr>
          <w:i/>
          <w:iCs/>
        </w:rPr>
        <w:t>anwendbar auf die ab dem 1. Januar 2007 gezahlten oder zuerkannten Einkünfte</w:t>
      </w:r>
      <w:r w:rsidR="003366D9" w:rsidRPr="009118AB">
        <w:rPr>
          <w:i/>
          <w:iCs/>
        </w:rPr>
        <w:t> -;</w:t>
      </w:r>
      <w:r w:rsidRPr="009118AB">
        <w:rPr>
          <w:i/>
          <w:iCs/>
        </w:rPr>
        <w:t xml:space="preserve"> </w:t>
      </w:r>
      <w:r w:rsidR="00D67EB8" w:rsidRPr="009118AB">
        <w:rPr>
          <w:i/>
          <w:iCs/>
        </w:rPr>
        <w:t>Abs. </w:t>
      </w:r>
      <w:r w:rsidR="00210E98" w:rsidRPr="009118AB">
        <w:rPr>
          <w:i/>
          <w:iCs/>
        </w:rPr>
        <w:t xml:space="preserve">2 Buchstabe c) einziger Absatz zweiter Gedankenstrich abgeändert durch </w:t>
      </w:r>
      <w:r w:rsidR="00D67EB8" w:rsidRPr="009118AB">
        <w:rPr>
          <w:i/>
          <w:iCs/>
        </w:rPr>
        <w:t>Art. </w:t>
      </w:r>
      <w:r w:rsidR="00210E98" w:rsidRPr="009118AB">
        <w:rPr>
          <w:i/>
          <w:iCs/>
        </w:rPr>
        <w:t>56</w:t>
      </w:r>
      <w:r w:rsidR="00210E98" w:rsidRPr="009118AB">
        <w:rPr>
          <w:i/>
          <w:iCs/>
          <w:spacing w:val="-2"/>
        </w:rPr>
        <w:t xml:space="preserve"> des G. vom 17. März 2019 (III) (B.S. vom 10. Mai 2019)</w:t>
      </w:r>
      <w:r w:rsidR="00D67EB8" w:rsidRPr="009118AB">
        <w:rPr>
          <w:i/>
          <w:iCs/>
          <w:spacing w:val="-2"/>
        </w:rPr>
        <w:t> - </w:t>
      </w:r>
      <w:r w:rsidR="00210E98" w:rsidRPr="009118AB">
        <w:rPr>
          <w:i/>
          <w:iCs/>
          <w:spacing w:val="-2"/>
        </w:rPr>
        <w:t>in Kraft am 1. Mai 2019</w:t>
      </w:r>
      <w:r w:rsidR="003366D9" w:rsidRPr="009118AB">
        <w:rPr>
          <w:i/>
          <w:iCs/>
          <w:spacing w:val="-2"/>
        </w:rPr>
        <w:t> -;</w:t>
      </w:r>
      <w:r w:rsidR="00210E98" w:rsidRPr="009118AB">
        <w:rPr>
          <w:i/>
          <w:iCs/>
          <w:spacing w:val="-2"/>
        </w:rPr>
        <w:t xml:space="preserve"> </w:t>
      </w:r>
      <w:r w:rsidR="00D67EB8" w:rsidRPr="009118AB">
        <w:rPr>
          <w:i/>
          <w:iCs/>
        </w:rPr>
        <w:t>Abs. </w:t>
      </w:r>
      <w:r w:rsidRPr="009118AB">
        <w:rPr>
          <w:i/>
          <w:iCs/>
        </w:rPr>
        <w:t xml:space="preserve">3 eingefügt durch </w:t>
      </w:r>
      <w:r w:rsidR="00D67EB8" w:rsidRPr="009118AB">
        <w:rPr>
          <w:i/>
          <w:iCs/>
        </w:rPr>
        <w:t>Art. </w:t>
      </w:r>
      <w:r w:rsidRPr="009118AB">
        <w:rPr>
          <w:i/>
          <w:iCs/>
        </w:rPr>
        <w:t xml:space="preserve">359 </w:t>
      </w:r>
      <w:r w:rsidR="00D67EB8" w:rsidRPr="009118AB">
        <w:rPr>
          <w:i/>
          <w:iCs/>
        </w:rPr>
        <w:t>Nr. </w:t>
      </w:r>
      <w:r w:rsidRPr="009118AB">
        <w:rPr>
          <w:i/>
          <w:iCs/>
        </w:rPr>
        <w:t>3 des G. (I) vom 27. Dezember 2006 (II) (B.S. vom 28. Dezember 2006)</w:t>
      </w:r>
      <w:r w:rsidR="00D67EB8" w:rsidRPr="009118AB">
        <w:rPr>
          <w:i/>
          <w:iCs/>
        </w:rPr>
        <w:t> - </w:t>
      </w:r>
      <w:r w:rsidRPr="009118AB">
        <w:rPr>
          <w:i/>
          <w:iCs/>
        </w:rPr>
        <w:t xml:space="preserve">anwendbar auf die ab dem 1. Januar 2007 gezahlten oder </w:t>
      </w:r>
      <w:r w:rsidRPr="009118AB">
        <w:rPr>
          <w:i/>
          <w:iCs/>
        </w:rPr>
        <w:lastRenderedPageBreak/>
        <w:t>zuerkannten Einkünfte</w:t>
      </w:r>
      <w:r w:rsidR="003366D9" w:rsidRPr="009118AB">
        <w:rPr>
          <w:i/>
          <w:iCs/>
        </w:rPr>
        <w:t> -;</w:t>
      </w:r>
      <w:r w:rsidRPr="009118AB">
        <w:rPr>
          <w:i/>
          <w:iCs/>
        </w:rPr>
        <w:t xml:space="preserve"> </w:t>
      </w:r>
      <w:r w:rsidR="00D67EB8" w:rsidRPr="009118AB">
        <w:rPr>
          <w:i/>
          <w:iCs/>
        </w:rPr>
        <w:t>Abs. </w:t>
      </w:r>
      <w:r w:rsidR="00210E98" w:rsidRPr="009118AB">
        <w:rPr>
          <w:i/>
          <w:iCs/>
        </w:rPr>
        <w:t xml:space="preserve">3 erster Gedankenstrich abgeändert durch </w:t>
      </w:r>
      <w:r w:rsidR="00D67EB8" w:rsidRPr="009118AB">
        <w:rPr>
          <w:i/>
          <w:iCs/>
        </w:rPr>
        <w:t>Art. </w:t>
      </w:r>
      <w:r w:rsidR="00210E98" w:rsidRPr="009118AB">
        <w:rPr>
          <w:i/>
          <w:iCs/>
        </w:rPr>
        <w:t>56</w:t>
      </w:r>
      <w:r w:rsidR="00210E98" w:rsidRPr="009118AB">
        <w:rPr>
          <w:i/>
          <w:iCs/>
          <w:spacing w:val="-2"/>
        </w:rPr>
        <w:t xml:space="preserve"> des G. vom 17. März 2019 (III) (B.S. vom 10. Mai 2019)</w:t>
      </w:r>
      <w:r w:rsidR="00D67EB8" w:rsidRPr="009118AB">
        <w:rPr>
          <w:i/>
          <w:iCs/>
          <w:spacing w:val="-2"/>
        </w:rPr>
        <w:t> - </w:t>
      </w:r>
      <w:r w:rsidR="00210E98" w:rsidRPr="009118AB">
        <w:rPr>
          <w:i/>
          <w:iCs/>
          <w:spacing w:val="-2"/>
        </w:rPr>
        <w:t>in Kraft am 1. Mai 2019</w:t>
      </w:r>
      <w:r w:rsidR="003366D9" w:rsidRPr="009118AB">
        <w:rPr>
          <w:i/>
          <w:iCs/>
          <w:spacing w:val="-2"/>
        </w:rPr>
        <w:t> -;</w:t>
      </w:r>
      <w:r w:rsidR="00210E98" w:rsidRPr="009118AB">
        <w:rPr>
          <w:i/>
          <w:iCs/>
          <w:spacing w:val="-2"/>
        </w:rPr>
        <w:t xml:space="preserve"> </w:t>
      </w:r>
      <w:r w:rsidR="00D67EB8" w:rsidRPr="009118AB">
        <w:rPr>
          <w:i/>
          <w:iCs/>
        </w:rPr>
        <w:t>Abs. </w:t>
      </w:r>
      <w:r w:rsidRPr="009118AB">
        <w:rPr>
          <w:i/>
          <w:iCs/>
        </w:rPr>
        <w:t xml:space="preserve">4 eingefügt durch </w:t>
      </w:r>
      <w:r w:rsidR="00D67EB8" w:rsidRPr="009118AB">
        <w:rPr>
          <w:i/>
          <w:iCs/>
        </w:rPr>
        <w:t>Art. </w:t>
      </w:r>
      <w:r w:rsidRPr="009118AB">
        <w:rPr>
          <w:i/>
          <w:iCs/>
        </w:rPr>
        <w:t xml:space="preserve">54 </w:t>
      </w:r>
      <w:r w:rsidR="00D67EB8" w:rsidRPr="009118AB">
        <w:rPr>
          <w:i/>
          <w:iCs/>
        </w:rPr>
        <w:t>Nr. </w:t>
      </w:r>
      <w:r w:rsidRPr="009118AB">
        <w:rPr>
          <w:i/>
          <w:iCs/>
        </w:rPr>
        <w:t>2 des G. vom 19. Dezember 2014 (B.S. vom 29. Dezember 2014)</w:t>
      </w:r>
      <w:r w:rsidR="00D67EB8" w:rsidRPr="009118AB">
        <w:rPr>
          <w:i/>
          <w:iCs/>
        </w:rPr>
        <w:t> - </w:t>
      </w:r>
      <w:r w:rsidRPr="009118AB">
        <w:rPr>
          <w:i/>
          <w:iCs/>
        </w:rPr>
        <w:t>anwendbar auf die ab 2015 gezahlten Kapital- und Zinszuschüsse</w:t>
      </w:r>
      <w:r w:rsidR="00FD68E8" w:rsidRPr="009118AB">
        <w:rPr>
          <w:i/>
          <w:iCs/>
        </w:rPr>
        <w:t> -]</w:t>
      </w:r>
    </w:p>
    <w:p w14:paraId="26FC6621" w14:textId="77777777" w:rsidR="00645469" w:rsidRPr="009118AB" w:rsidRDefault="00645469" w:rsidP="0031458F">
      <w:pPr>
        <w:autoSpaceDE w:val="0"/>
        <w:autoSpaceDN w:val="0"/>
        <w:adjustRightInd w:val="0"/>
        <w:jc w:val="both"/>
      </w:pPr>
    </w:p>
    <w:p w14:paraId="3BE6D7CE" w14:textId="77777777" w:rsidR="00645469" w:rsidRPr="009118AB" w:rsidRDefault="00645469" w:rsidP="0031458F">
      <w:pPr>
        <w:autoSpaceDE w:val="0"/>
        <w:autoSpaceDN w:val="0"/>
        <w:adjustRightInd w:val="0"/>
        <w:jc w:val="both"/>
      </w:pPr>
    </w:p>
    <w:p w14:paraId="21F1CF2E" w14:textId="6E57D328" w:rsidR="00936841" w:rsidRPr="009118AB" w:rsidRDefault="0031458F" w:rsidP="00936841">
      <w:pPr>
        <w:autoSpaceDE w:val="0"/>
        <w:autoSpaceDN w:val="0"/>
        <w:adjustRightInd w:val="0"/>
        <w:jc w:val="both"/>
        <w:rPr>
          <w:iCs/>
        </w:rPr>
      </w:pPr>
      <w:r w:rsidRPr="009118AB">
        <w:tab/>
      </w:r>
      <w:r w:rsidR="00D67EB8" w:rsidRPr="009118AB">
        <w:rPr>
          <w:b/>
          <w:bCs/>
        </w:rPr>
        <w:t>Art. </w:t>
      </w:r>
      <w:r w:rsidRPr="009118AB">
        <w:rPr>
          <w:b/>
          <w:bCs/>
        </w:rPr>
        <w:t>231</w:t>
      </w:r>
      <w:r w:rsidR="00D67EB8" w:rsidRPr="009118AB">
        <w:t> - </w:t>
      </w:r>
      <w:r w:rsidR="00E4560A" w:rsidRPr="009118AB">
        <w:t>[</w:t>
      </w:r>
      <w:r w:rsidR="00D67EB8" w:rsidRPr="009118AB">
        <w:rPr>
          <w:iCs/>
        </w:rPr>
        <w:t>§ </w:t>
      </w:r>
      <w:r w:rsidR="00936841" w:rsidRPr="009118AB">
        <w:rPr>
          <w:iCs/>
        </w:rPr>
        <w:t>1]</w:t>
      </w:r>
      <w:r w:rsidR="00D67EB8" w:rsidRPr="009118AB">
        <w:rPr>
          <w:iCs/>
        </w:rPr>
        <w:t> - </w:t>
      </w:r>
      <w:r w:rsidR="00936841" w:rsidRPr="009118AB">
        <w:rPr>
          <w:iCs/>
        </w:rPr>
        <w:t>Steuerfrei sind unter der Bedingung der Gegenseitigkeit:</w:t>
      </w:r>
    </w:p>
    <w:p w14:paraId="54A5ED47" w14:textId="77777777" w:rsidR="00936841" w:rsidRPr="009118AB" w:rsidRDefault="00936841" w:rsidP="00936841">
      <w:pPr>
        <w:autoSpaceDE w:val="0"/>
        <w:autoSpaceDN w:val="0"/>
        <w:adjustRightInd w:val="0"/>
        <w:jc w:val="both"/>
        <w:rPr>
          <w:iCs/>
        </w:rPr>
      </w:pPr>
    </w:p>
    <w:p w14:paraId="7C8CA743" w14:textId="77777777" w:rsidR="00936841" w:rsidRPr="009118AB" w:rsidRDefault="00936841" w:rsidP="00E4560A">
      <w:pPr>
        <w:autoSpaceDE w:val="0"/>
        <w:autoSpaceDN w:val="0"/>
        <w:adjustRightInd w:val="0"/>
        <w:ind w:firstLine="709"/>
        <w:jc w:val="both"/>
        <w:rPr>
          <w:iCs/>
        </w:rPr>
      </w:pPr>
      <w:r w:rsidRPr="009118AB">
        <w:rPr>
          <w:iCs/>
        </w:rPr>
        <w:t>1. Einkünfte aus unbeweglichen Gütern, die ein ausländischer Staat zur Unterbringung seiner diplomatischen oder konsularischen Missionen oder von kulturellen Einrichtungen, die keine Geschäfte mit gewinnbringendem Zweck betreiben, nutzt,</w:t>
      </w:r>
    </w:p>
    <w:p w14:paraId="3AF9B9D0" w14:textId="77777777" w:rsidR="00936841" w:rsidRPr="009118AB" w:rsidRDefault="00936841" w:rsidP="00936841">
      <w:pPr>
        <w:autoSpaceDE w:val="0"/>
        <w:autoSpaceDN w:val="0"/>
        <w:adjustRightInd w:val="0"/>
        <w:jc w:val="both"/>
        <w:rPr>
          <w:iCs/>
        </w:rPr>
      </w:pPr>
    </w:p>
    <w:p w14:paraId="195A3FCD" w14:textId="457D374E" w:rsidR="00936841" w:rsidRPr="009118AB" w:rsidRDefault="00936841" w:rsidP="00E4560A">
      <w:pPr>
        <w:autoSpaceDE w:val="0"/>
        <w:autoSpaceDN w:val="0"/>
        <w:adjustRightInd w:val="0"/>
        <w:ind w:firstLine="709"/>
        <w:jc w:val="both"/>
        <w:rPr>
          <w:iCs/>
        </w:rPr>
      </w:pPr>
      <w:r w:rsidRPr="009118AB">
        <w:rPr>
          <w:iCs/>
        </w:rPr>
        <w:t xml:space="preserve">2. Entlohnungen, die zu Lasten der in Belgien akkreditierten ausländischen diplomatischen und konsularischen Missionen oder zu Lasten der Leiter dieser Missionen von Personalmitgliedern bezogen werden, die die belgische Staatsangehörigkeit nicht besitzen, und Entlohnungen, die zu Lasten eines ausländischen Staates, einer seiner politischen Untergliederungen oder lokalen Gebietskörperschaften oder einer Einrichtung ausländischen öffentlichen Rechts von den in Artikel 4 </w:t>
      </w:r>
      <w:r w:rsidR="00D67EB8" w:rsidRPr="009118AB">
        <w:rPr>
          <w:iCs/>
        </w:rPr>
        <w:t>Nr. </w:t>
      </w:r>
      <w:r w:rsidRPr="009118AB">
        <w:rPr>
          <w:iCs/>
        </w:rPr>
        <w:t>3 erwähnten Personen bezogen werden,</w:t>
      </w:r>
    </w:p>
    <w:p w14:paraId="364E49C7" w14:textId="77777777" w:rsidR="00936841" w:rsidRPr="009118AB" w:rsidRDefault="00936841" w:rsidP="00936841">
      <w:pPr>
        <w:autoSpaceDE w:val="0"/>
        <w:autoSpaceDN w:val="0"/>
        <w:adjustRightInd w:val="0"/>
        <w:jc w:val="both"/>
        <w:rPr>
          <w:iCs/>
        </w:rPr>
      </w:pPr>
    </w:p>
    <w:p w14:paraId="74713ADF" w14:textId="77777777" w:rsidR="00936841" w:rsidRPr="009118AB" w:rsidRDefault="00936841" w:rsidP="00E4560A">
      <w:pPr>
        <w:autoSpaceDE w:val="0"/>
        <w:autoSpaceDN w:val="0"/>
        <w:adjustRightInd w:val="0"/>
        <w:ind w:firstLine="709"/>
        <w:jc w:val="both"/>
        <w:rPr>
          <w:iCs/>
        </w:rPr>
      </w:pPr>
      <w:r w:rsidRPr="009118AB">
        <w:rPr>
          <w:iCs/>
        </w:rPr>
        <w:t>3. Gewinne, die […] ausländische Unternehmen in Belgien […] aus der Nutzung von Schiffen oder Flugzeugen beziehen, deren Eigentümer oder Charterer sie sind und die Belgien anlaufen beziehungsweise anfliegen.</w:t>
      </w:r>
    </w:p>
    <w:p w14:paraId="36EC6636" w14:textId="77777777" w:rsidR="00936841" w:rsidRPr="009118AB" w:rsidRDefault="00936841" w:rsidP="00936841">
      <w:pPr>
        <w:autoSpaceDE w:val="0"/>
        <w:autoSpaceDN w:val="0"/>
        <w:adjustRightInd w:val="0"/>
        <w:jc w:val="both"/>
        <w:rPr>
          <w:iCs/>
        </w:rPr>
      </w:pPr>
    </w:p>
    <w:p w14:paraId="261A005B" w14:textId="26FB0C04" w:rsidR="00936841" w:rsidRPr="009118AB" w:rsidRDefault="00936841" w:rsidP="00E4560A">
      <w:pPr>
        <w:autoSpaceDE w:val="0"/>
        <w:autoSpaceDN w:val="0"/>
        <w:adjustRightInd w:val="0"/>
        <w:ind w:firstLine="709"/>
        <w:jc w:val="both"/>
        <w:rPr>
          <w:iCs/>
        </w:rPr>
      </w:pPr>
      <w:r w:rsidRPr="009118AB">
        <w:rPr>
          <w:iCs/>
        </w:rPr>
        <w:t>[</w:t>
      </w:r>
      <w:r w:rsidR="00D67EB8" w:rsidRPr="009118AB">
        <w:rPr>
          <w:iCs/>
        </w:rPr>
        <w:t>§ </w:t>
      </w:r>
      <w:r w:rsidRPr="009118AB">
        <w:rPr>
          <w:iCs/>
        </w:rPr>
        <w:t>2</w:t>
      </w:r>
      <w:r w:rsidR="00D67EB8" w:rsidRPr="009118AB">
        <w:rPr>
          <w:iCs/>
        </w:rPr>
        <w:t> - </w:t>
      </w:r>
      <w:r w:rsidRPr="009118AB">
        <w:rPr>
          <w:iCs/>
        </w:rPr>
        <w:t>[Gehören eine belgische Niederlassung oder in Belgien gelegene Bestandteile zu Gütern, die durch eine inländische Gesellschaft oder eine innereuropäische Gesellschaft von einer innereuropäischen Gesellschaft erworben werden anlässlich einer Fusion, einer Auf</w:t>
      </w:r>
      <w:r w:rsidRPr="009118AB">
        <w:rPr>
          <w:iCs/>
        </w:rPr>
        <w:softHyphen/>
        <w:t xml:space="preserve">spaltung oder </w:t>
      </w:r>
      <w:r w:rsidR="00E11559" w:rsidRPr="009118AB">
        <w:rPr>
          <w:iCs/>
        </w:rPr>
        <w:t>[</w:t>
      </w:r>
      <w:r w:rsidR="00E11559" w:rsidRPr="009118AB">
        <w:t>eines mit einer Fusion oder Aufspaltung gleichgesetzten Vorgangs</w:t>
      </w:r>
      <w:r w:rsidR="00E11559" w:rsidRPr="009118AB">
        <w:rPr>
          <w:iCs/>
        </w:rPr>
        <w:t>]</w:t>
      </w:r>
      <w:r w:rsidRPr="009118AB">
        <w:rPr>
          <w:iCs/>
        </w:rPr>
        <w:t xml:space="preserve"> oder einer Einbringung eines oder mehrerer Teilbetriebe beziehungsweise eines oder mehrerer Teile einer Tätigkeit oder </w:t>
      </w:r>
      <w:r w:rsidR="00E11559" w:rsidRPr="009118AB">
        <w:rPr>
          <w:iCs/>
        </w:rPr>
        <w:t>[</w:t>
      </w:r>
      <w:r w:rsidR="00E11559" w:rsidRPr="009118AB">
        <w:t>einer Einbringung eines Gesamtvermögens</w:t>
      </w:r>
      <w:r w:rsidR="00E11559" w:rsidRPr="009118AB">
        <w:rPr>
          <w:iCs/>
        </w:rPr>
        <w:t>]</w:t>
      </w:r>
      <w:r w:rsidRPr="009118AB">
        <w:rPr>
          <w:iCs/>
        </w:rPr>
        <w:t>, die in dem Staat, in dem die übertragende, aufgespaltene oder einbringen</w:t>
      </w:r>
      <w:r w:rsidRPr="009118AB">
        <w:rPr>
          <w:iCs/>
        </w:rPr>
        <w:softHyphen/>
        <w:t xml:space="preserve">de innereuropäische Gesellschaft ansässig ist, in Anwendung der Steuerbefreiung erfolgt, die in der in Artikel 2 </w:t>
      </w:r>
      <w:r w:rsidR="00D67EB8" w:rsidRPr="009118AB">
        <w:rPr>
          <w:iCs/>
        </w:rPr>
        <w:t>§ </w:t>
      </w:r>
      <w:r w:rsidRPr="009118AB">
        <w:rPr>
          <w:iCs/>
        </w:rPr>
        <w:t xml:space="preserve">1 </w:t>
      </w:r>
      <w:r w:rsidR="00D67EB8" w:rsidRPr="009118AB">
        <w:rPr>
          <w:iCs/>
        </w:rPr>
        <w:t>Nr. </w:t>
      </w:r>
      <w:r w:rsidRPr="009118AB">
        <w:rPr>
          <w:iCs/>
        </w:rPr>
        <w:t>5 Buchstabe </w:t>
      </w:r>
      <w:r w:rsidRPr="009118AB">
        <w:rPr>
          <w:i/>
          <w:iCs/>
        </w:rPr>
        <w:t>bbis)</w:t>
      </w:r>
      <w:r w:rsidRPr="009118AB">
        <w:rPr>
          <w:iCs/>
        </w:rPr>
        <w:t xml:space="preserve"> erwähnten [Richtlinie 2009/133/EG des Rates vom 19. Oktober 2009] vorgesehen ist, dann:</w:t>
      </w:r>
    </w:p>
    <w:p w14:paraId="4E8C7BA0" w14:textId="77777777" w:rsidR="00936841" w:rsidRPr="009118AB" w:rsidRDefault="00936841" w:rsidP="00936841">
      <w:pPr>
        <w:autoSpaceDE w:val="0"/>
        <w:autoSpaceDN w:val="0"/>
        <w:adjustRightInd w:val="0"/>
        <w:jc w:val="both"/>
        <w:rPr>
          <w:iCs/>
        </w:rPr>
      </w:pPr>
    </w:p>
    <w:p w14:paraId="7E6F776C" w14:textId="494B05C3" w:rsidR="00936841" w:rsidRPr="009118AB" w:rsidRDefault="00936841" w:rsidP="00E4560A">
      <w:pPr>
        <w:autoSpaceDE w:val="0"/>
        <w:autoSpaceDN w:val="0"/>
        <w:adjustRightInd w:val="0"/>
        <w:ind w:firstLine="709"/>
        <w:jc w:val="both"/>
        <w:rPr>
          <w:iCs/>
        </w:rPr>
      </w:pPr>
      <w:r w:rsidRPr="009118AB">
        <w:rPr>
          <w:iCs/>
        </w:rPr>
        <w:t xml:space="preserve">1. werden in den Artikeln 44 </w:t>
      </w:r>
      <w:r w:rsidR="00D67EB8" w:rsidRPr="009118AB">
        <w:rPr>
          <w:iCs/>
        </w:rPr>
        <w:t>§ </w:t>
      </w:r>
      <w:r w:rsidRPr="009118AB">
        <w:rPr>
          <w:iCs/>
        </w:rPr>
        <w:t xml:space="preserve">1 </w:t>
      </w:r>
      <w:r w:rsidR="00D67EB8" w:rsidRPr="009118AB">
        <w:rPr>
          <w:iCs/>
        </w:rPr>
        <w:t>Nr. </w:t>
      </w:r>
      <w:r w:rsidRPr="009118AB">
        <w:rPr>
          <w:iCs/>
        </w:rPr>
        <w:t>1 und 47 erwähnte Mehrwerte, die zum Zeitpunkt des Vorgangs steuerfrei sind, in Artikel 362 erwähnte Kapitalzuschüsse, die zum Zeitpunkt des Vorgangs noch nicht als Gewinne gelten, und anlässlich dieses Vorgangs verwirklichte oder festgestellte Mehrwerte bei der Besteuerung nicht berücksichtigt,</w:t>
      </w:r>
    </w:p>
    <w:p w14:paraId="15456352" w14:textId="77777777" w:rsidR="00936841" w:rsidRPr="009118AB" w:rsidRDefault="00936841" w:rsidP="00936841">
      <w:pPr>
        <w:autoSpaceDE w:val="0"/>
        <w:autoSpaceDN w:val="0"/>
        <w:adjustRightInd w:val="0"/>
        <w:jc w:val="both"/>
        <w:rPr>
          <w:iCs/>
        </w:rPr>
      </w:pPr>
    </w:p>
    <w:p w14:paraId="220008A6" w14:textId="77777777" w:rsidR="00936841" w:rsidRPr="009118AB" w:rsidRDefault="00936841" w:rsidP="00E4560A">
      <w:pPr>
        <w:autoSpaceDE w:val="0"/>
        <w:autoSpaceDN w:val="0"/>
        <w:adjustRightInd w:val="0"/>
        <w:ind w:firstLine="709"/>
        <w:jc w:val="both"/>
        <w:rPr>
          <w:iCs/>
        </w:rPr>
      </w:pPr>
      <w:r w:rsidRPr="009118AB">
        <w:rPr>
          <w:iCs/>
        </w:rPr>
        <w:t>2. [ist die Besteuerung nicht auf den Restbetrag anwendbar in dem Maße, wie die Einbringungen durch neue Aktien oder Anteile vergütet werden, oder in dem Maße, wie im Falle einer Fusion, einer Aufspaltung oder eines damit gleichgesetzten Vorgangs die vor dem Vorgang in der belgischen Niederlassung der übertragenden oder aufgespaltenen Gesellschaft vorhandenen steuerfreien Rücklagen von der übernehmenden oder begünstigten inländischen Gesellschaft oder in einer belgischen Niederlassung der übernehmenden oder begünstigten innereuropäischen Gesellschaft übernommen werden.]]</w:t>
      </w:r>
    </w:p>
    <w:p w14:paraId="76588332" w14:textId="77777777" w:rsidR="00936841" w:rsidRPr="009118AB" w:rsidRDefault="00936841" w:rsidP="00936841">
      <w:pPr>
        <w:autoSpaceDE w:val="0"/>
        <w:autoSpaceDN w:val="0"/>
        <w:adjustRightInd w:val="0"/>
        <w:jc w:val="both"/>
        <w:rPr>
          <w:iCs/>
        </w:rPr>
      </w:pPr>
    </w:p>
    <w:p w14:paraId="3CAE0C86" w14:textId="18F037CF" w:rsidR="00936841" w:rsidRPr="009118AB" w:rsidRDefault="00936841" w:rsidP="00E4560A">
      <w:pPr>
        <w:autoSpaceDE w:val="0"/>
        <w:autoSpaceDN w:val="0"/>
        <w:adjustRightInd w:val="0"/>
        <w:ind w:firstLine="709"/>
        <w:jc w:val="both"/>
        <w:rPr>
          <w:iCs/>
        </w:rPr>
      </w:pPr>
      <w:r w:rsidRPr="009118AB">
        <w:rPr>
          <w:iCs/>
        </w:rPr>
        <w:t xml:space="preserve">[Absatz 1 ist nur anwendbar in Bezug auf die infolge des Vorgangs übertragenen oder eingebrachten Bestandteile, die in [einer inländischen Gesellschaft oder] einer belgischen Niederlassung genutzt werden und zur Erzielung der Ergebnisse dieser Niederlassung beitragen, die in Anwendung von Artikel 233 für die Besteuerungsgrundlage berücksichtigt </w:t>
      </w:r>
      <w:r w:rsidRPr="009118AB">
        <w:rPr>
          <w:iCs/>
        </w:rPr>
        <w:lastRenderedPageBreak/>
        <w:t>werden, oder in Bezug auf die in Belgien gele</w:t>
      </w:r>
      <w:r w:rsidRPr="009118AB">
        <w:rPr>
          <w:iCs/>
        </w:rPr>
        <w:softHyphen/>
        <w:t>genen Bestandteile, die in Belgien belassen werden und den Bestimmungen von Artikel 233 unterliegen.</w:t>
      </w:r>
      <w:r w:rsidR="00E11559" w:rsidRPr="009118AB">
        <w:rPr>
          <w:iCs/>
        </w:rPr>
        <w:t>]</w:t>
      </w:r>
    </w:p>
    <w:p w14:paraId="7C235827" w14:textId="77777777" w:rsidR="0066340D" w:rsidRPr="009118AB" w:rsidRDefault="0066340D" w:rsidP="00936841">
      <w:pPr>
        <w:autoSpaceDE w:val="0"/>
        <w:autoSpaceDN w:val="0"/>
        <w:adjustRightInd w:val="0"/>
        <w:jc w:val="both"/>
        <w:rPr>
          <w:iCs/>
        </w:rPr>
      </w:pPr>
    </w:p>
    <w:p w14:paraId="072478DF" w14:textId="218225C8" w:rsidR="00936841" w:rsidRPr="009118AB" w:rsidRDefault="00E11559" w:rsidP="00E4560A">
      <w:pPr>
        <w:autoSpaceDE w:val="0"/>
        <w:autoSpaceDN w:val="0"/>
        <w:adjustRightInd w:val="0"/>
        <w:ind w:firstLine="709"/>
        <w:jc w:val="both"/>
        <w:rPr>
          <w:iCs/>
        </w:rPr>
      </w:pPr>
      <w:r w:rsidRPr="009118AB">
        <w:rPr>
          <w:iCs/>
        </w:rPr>
        <w:t>[</w:t>
      </w:r>
      <w:r w:rsidRPr="009118AB">
        <w:t>Außerdem ist Absatz 1 nur anwendbar unter der Bedingung, dass der Vorgang den Bestimmungen von Artikel 183</w:t>
      </w:r>
      <w:r w:rsidRPr="009118AB">
        <w:rPr>
          <w:i/>
        </w:rPr>
        <w:t>bis</w:t>
      </w:r>
      <w:r w:rsidRPr="009118AB">
        <w:t xml:space="preserve"> entspricht.</w:t>
      </w:r>
      <w:r w:rsidR="00936841" w:rsidRPr="009118AB">
        <w:rPr>
          <w:iCs/>
        </w:rPr>
        <w:t>]</w:t>
      </w:r>
    </w:p>
    <w:p w14:paraId="1D3DB597" w14:textId="77777777" w:rsidR="00936841" w:rsidRPr="009118AB" w:rsidRDefault="00936841" w:rsidP="00936841">
      <w:pPr>
        <w:autoSpaceDE w:val="0"/>
        <w:autoSpaceDN w:val="0"/>
        <w:adjustRightInd w:val="0"/>
        <w:jc w:val="both"/>
        <w:rPr>
          <w:iCs/>
        </w:rPr>
      </w:pPr>
    </w:p>
    <w:p w14:paraId="636C2CA2" w14:textId="79D903A8" w:rsidR="00936841" w:rsidRPr="009118AB" w:rsidRDefault="00936841" w:rsidP="00E4560A">
      <w:pPr>
        <w:autoSpaceDE w:val="0"/>
        <w:autoSpaceDN w:val="0"/>
        <w:adjustRightInd w:val="0"/>
        <w:ind w:firstLine="709"/>
        <w:jc w:val="both"/>
        <w:rPr>
          <w:iCs/>
        </w:rPr>
      </w:pPr>
      <w:r w:rsidRPr="009118AB">
        <w:rPr>
          <w:iCs/>
        </w:rPr>
        <w:t xml:space="preserve">[Absatz 1 ist nicht anwendbar, wenn eine Investmentgesellschaft mit fixem Kapital für Immobilien oder nicht notierte Aktien[, </w:t>
      </w:r>
      <w:r w:rsidR="00AE61F5" w:rsidRPr="009118AB">
        <w:rPr>
          <w:iCs/>
        </w:rPr>
        <w:t>[</w:t>
      </w:r>
      <w:r w:rsidR="00AE61F5" w:rsidRPr="009118AB">
        <w:rPr>
          <w:lang w:eastAsia="fr-BE"/>
        </w:rPr>
        <w:t>eine beaufsichtigte Immobiliengesellschaft oder ein europäischer langfristiger Investmentfonds, die/der von der Autorität Finanzielle Dienste und Märkte zugelassen ist, oder eine beim FÖD Finanzen im Verzeichnis der spezialisierten Immobilieninvestmentfonds eingetragene Gesellschaft an vorerwähntem Vorgang beteiligt war</w:t>
      </w:r>
      <w:r w:rsidR="00AE61F5" w:rsidRPr="009118AB">
        <w:rPr>
          <w:iCs/>
        </w:rPr>
        <w:t>]]</w:t>
      </w:r>
      <w:r w:rsidRPr="009118AB">
        <w:rPr>
          <w:iCs/>
        </w:rPr>
        <w:t>.]</w:t>
      </w:r>
    </w:p>
    <w:p w14:paraId="47F92755" w14:textId="77777777" w:rsidR="00936841" w:rsidRPr="009118AB" w:rsidRDefault="00936841" w:rsidP="00936841">
      <w:pPr>
        <w:autoSpaceDE w:val="0"/>
        <w:autoSpaceDN w:val="0"/>
        <w:adjustRightInd w:val="0"/>
        <w:jc w:val="both"/>
        <w:rPr>
          <w:iCs/>
        </w:rPr>
      </w:pPr>
    </w:p>
    <w:p w14:paraId="3C66B19C" w14:textId="77777777" w:rsidR="00936841" w:rsidRPr="009118AB" w:rsidRDefault="00936841" w:rsidP="00E4560A">
      <w:pPr>
        <w:autoSpaceDE w:val="0"/>
        <w:autoSpaceDN w:val="0"/>
        <w:adjustRightInd w:val="0"/>
        <w:ind w:firstLine="709"/>
        <w:jc w:val="both"/>
        <w:rPr>
          <w:iCs/>
        </w:rPr>
      </w:pPr>
      <w:r w:rsidRPr="009118AB">
        <w:rPr>
          <w:iCs/>
        </w:rPr>
        <w:t>[In dem in Absatz 1 erwähnten Fall werden Abschreibungen, Investitionsabzüge, Steuer</w:t>
      </w:r>
      <w:r w:rsidRPr="009118AB">
        <w:rPr>
          <w:iCs/>
        </w:rPr>
        <w:softHyphen/>
        <w:t>gutschriften für Forschung und Entwicklung, [Abzüge für Einkünfte aus Patenten, Abzüge für Einkünfte aus Innovationen,] Abzüge für Risikokapital, Minderwerte oder Mehrwerte, die bei der übernehmenden oder begünstigten inländischen Gesellschaft oder der belgischen Niederlassung der übernehmenden oder begünstigten innereuropäischen Gesellschaft zu berücksichtigen sind, bestimmt, als ob dieser Vorgang nicht stattgefunden hätte.]</w:t>
      </w:r>
    </w:p>
    <w:p w14:paraId="4AB87D52" w14:textId="77777777" w:rsidR="00936841" w:rsidRPr="009118AB" w:rsidRDefault="00936841" w:rsidP="00936841">
      <w:pPr>
        <w:autoSpaceDE w:val="0"/>
        <w:autoSpaceDN w:val="0"/>
        <w:adjustRightInd w:val="0"/>
        <w:jc w:val="both"/>
        <w:rPr>
          <w:iCs/>
        </w:rPr>
      </w:pPr>
    </w:p>
    <w:p w14:paraId="22AC8FDA" w14:textId="77777777" w:rsidR="00936841" w:rsidRPr="009118AB" w:rsidRDefault="00936841" w:rsidP="00E4560A">
      <w:pPr>
        <w:autoSpaceDE w:val="0"/>
        <w:autoSpaceDN w:val="0"/>
        <w:adjustRightInd w:val="0"/>
        <w:ind w:firstLine="709"/>
        <w:jc w:val="both"/>
        <w:rPr>
          <w:iCs/>
        </w:rPr>
      </w:pPr>
      <w:r w:rsidRPr="009118AB">
        <w:rPr>
          <w:iCs/>
        </w:rPr>
        <w:t>Die Bestimmungen des vorliegenden Gesetzbuches bleiben gemäß der Weise und unter den Bedingungen, die darin vorgesehen sind, anwendbar auf Wertminderungen, Rückstellungen, Unterbewertungen, Überbewertungen, Zuschüsse, Forderungen, Mehrwerte und Rücklagen, die in der eingebrachten [belgischen Niederlassung] bestanden, als ob diese Einbringung nicht stattgefunden hätte.</w:t>
      </w:r>
    </w:p>
    <w:p w14:paraId="51176899" w14:textId="77777777" w:rsidR="00936841" w:rsidRPr="009118AB" w:rsidRDefault="00936841" w:rsidP="00936841">
      <w:pPr>
        <w:autoSpaceDE w:val="0"/>
        <w:autoSpaceDN w:val="0"/>
        <w:adjustRightInd w:val="0"/>
        <w:jc w:val="both"/>
        <w:rPr>
          <w:iCs/>
        </w:rPr>
      </w:pPr>
    </w:p>
    <w:p w14:paraId="0A149D96" w14:textId="77777777" w:rsidR="00936841" w:rsidRPr="009118AB" w:rsidRDefault="00936841" w:rsidP="00E4560A">
      <w:pPr>
        <w:autoSpaceDE w:val="0"/>
        <w:autoSpaceDN w:val="0"/>
        <w:adjustRightInd w:val="0"/>
        <w:ind w:firstLine="709"/>
        <w:jc w:val="both"/>
        <w:rPr>
          <w:iCs/>
        </w:rPr>
      </w:pPr>
      <w:r w:rsidRPr="009118AB">
        <w:rPr>
          <w:iCs/>
        </w:rPr>
        <w:t>[In den in den Artikeln 44</w:t>
      </w:r>
      <w:r w:rsidRPr="009118AB">
        <w:rPr>
          <w:i/>
          <w:iCs/>
        </w:rPr>
        <w:t>bis</w:t>
      </w:r>
      <w:r w:rsidRPr="009118AB">
        <w:rPr>
          <w:iCs/>
        </w:rPr>
        <w:t>, 44</w:t>
      </w:r>
      <w:r w:rsidRPr="009118AB">
        <w:rPr>
          <w:i/>
          <w:iCs/>
        </w:rPr>
        <w:t>ter</w:t>
      </w:r>
      <w:r w:rsidRPr="009118AB">
        <w:rPr>
          <w:iCs/>
        </w:rPr>
        <w:t xml:space="preserve"> und 47 erwähnten Fällen darf der Vorgang keine Verlängerung der ursprünglich vorgesehenen Wiederanlagefrist zur Folge haben.]]</w:t>
      </w:r>
    </w:p>
    <w:p w14:paraId="53EE3B76" w14:textId="77777777" w:rsidR="00936841" w:rsidRPr="009118AB" w:rsidRDefault="00936841" w:rsidP="00936841">
      <w:pPr>
        <w:autoSpaceDE w:val="0"/>
        <w:autoSpaceDN w:val="0"/>
        <w:adjustRightInd w:val="0"/>
        <w:jc w:val="both"/>
        <w:rPr>
          <w:iCs/>
        </w:rPr>
      </w:pPr>
    </w:p>
    <w:p w14:paraId="756C1201" w14:textId="509B94BE" w:rsidR="00936841" w:rsidRPr="009118AB" w:rsidRDefault="00936841" w:rsidP="00E4560A">
      <w:pPr>
        <w:autoSpaceDE w:val="0"/>
        <w:autoSpaceDN w:val="0"/>
        <w:adjustRightInd w:val="0"/>
        <w:ind w:firstLine="709"/>
        <w:jc w:val="both"/>
        <w:rPr>
          <w:iCs/>
        </w:rPr>
      </w:pPr>
      <w:r w:rsidRPr="009118AB">
        <w:rPr>
          <w:iCs/>
        </w:rPr>
        <w:t>[</w:t>
      </w:r>
      <w:r w:rsidR="00D67EB8" w:rsidRPr="009118AB">
        <w:rPr>
          <w:iCs/>
        </w:rPr>
        <w:t>§ </w:t>
      </w:r>
      <w:r w:rsidRPr="009118AB">
        <w:rPr>
          <w:iCs/>
        </w:rPr>
        <w:t>3</w:t>
      </w:r>
      <w:r w:rsidR="00D67EB8" w:rsidRPr="009118AB">
        <w:rPr>
          <w:iCs/>
        </w:rPr>
        <w:t> - </w:t>
      </w:r>
      <w:r w:rsidRPr="009118AB">
        <w:rPr>
          <w:iCs/>
        </w:rPr>
        <w:t xml:space="preserve">Steuerfrei sind Mehrwerte, die anlässlich der Einbringung einer belgischen Niederlassung in eine inländische Gesellschaft gegen Erhalt von Aktien oder Anteilen, die das </w:t>
      </w:r>
      <w:r w:rsidR="00E11559" w:rsidRPr="009118AB">
        <w:rPr>
          <w:iCs/>
        </w:rPr>
        <w:t>[K</w:t>
      </w:r>
      <w:r w:rsidRPr="009118AB">
        <w:rPr>
          <w:iCs/>
        </w:rPr>
        <w:t>apital</w:t>
      </w:r>
      <w:r w:rsidR="00E11559" w:rsidRPr="009118AB">
        <w:rPr>
          <w:iCs/>
        </w:rPr>
        <w:t>]</w:t>
      </w:r>
      <w:r w:rsidRPr="009118AB">
        <w:rPr>
          <w:iCs/>
        </w:rPr>
        <w:t xml:space="preserve"> der Gesellschaft vertreten, verwirklicht oder festgestellt werden.</w:t>
      </w:r>
    </w:p>
    <w:p w14:paraId="4DFB9F08" w14:textId="77777777" w:rsidR="00936841" w:rsidRPr="009118AB" w:rsidRDefault="00936841" w:rsidP="00936841">
      <w:pPr>
        <w:autoSpaceDE w:val="0"/>
        <w:autoSpaceDN w:val="0"/>
        <w:adjustRightInd w:val="0"/>
        <w:jc w:val="both"/>
        <w:rPr>
          <w:iCs/>
        </w:rPr>
      </w:pPr>
    </w:p>
    <w:p w14:paraId="4910DAAF" w14:textId="77777777" w:rsidR="00936841" w:rsidRPr="009118AB" w:rsidRDefault="00936841" w:rsidP="00E4560A">
      <w:pPr>
        <w:autoSpaceDE w:val="0"/>
        <w:autoSpaceDN w:val="0"/>
        <w:adjustRightInd w:val="0"/>
        <w:ind w:firstLine="709"/>
        <w:jc w:val="both"/>
        <w:rPr>
          <w:iCs/>
        </w:rPr>
      </w:pPr>
      <w:r w:rsidRPr="009118AB">
        <w:rPr>
          <w:iCs/>
        </w:rPr>
        <w:t>Der Betrag vorheriger Gewinnrücklagen in der belgischen Niederlassung wird für die inländische Gesellschaft festgelegt, als ob der Einbringungsvorgang nicht stattgefunden hätte.</w:t>
      </w:r>
    </w:p>
    <w:p w14:paraId="26A2512E" w14:textId="77777777" w:rsidR="00936841" w:rsidRPr="009118AB" w:rsidRDefault="00936841" w:rsidP="00936841">
      <w:pPr>
        <w:autoSpaceDE w:val="0"/>
        <w:autoSpaceDN w:val="0"/>
        <w:adjustRightInd w:val="0"/>
        <w:jc w:val="both"/>
        <w:rPr>
          <w:iCs/>
        </w:rPr>
      </w:pPr>
    </w:p>
    <w:p w14:paraId="3C1110E0" w14:textId="77777777" w:rsidR="00936841" w:rsidRPr="009118AB" w:rsidRDefault="00936841" w:rsidP="00E4560A">
      <w:pPr>
        <w:autoSpaceDE w:val="0"/>
        <w:autoSpaceDN w:val="0"/>
        <w:adjustRightInd w:val="0"/>
        <w:ind w:firstLine="709"/>
        <w:jc w:val="both"/>
        <w:rPr>
          <w:iCs/>
        </w:rPr>
      </w:pPr>
      <w:r w:rsidRPr="009118AB">
        <w:rPr>
          <w:iCs/>
        </w:rPr>
        <w:t>[Abschreibungen, Investitionsabzüge, Steuergutschriften für Forschung und Ent</w:t>
      </w:r>
      <w:r w:rsidRPr="009118AB">
        <w:rPr>
          <w:iCs/>
        </w:rPr>
        <w:softHyphen/>
        <w:t>wicklung, [Abzüge für Einkünfte aus Patenten, Abzüge für Einkünfte aus Innovationen,] Abzüge für Risikokapital, Minderwerte oder Mehrwerte, die bei der inländischen Gesellschaft zu berücksichtigen sind, werden bestimmt, als ob der Einbringungsvorgang nicht stattgefunden hätte.]</w:t>
      </w:r>
    </w:p>
    <w:p w14:paraId="75C13FEE" w14:textId="77777777" w:rsidR="00936841" w:rsidRPr="009118AB" w:rsidRDefault="00936841" w:rsidP="00936841">
      <w:pPr>
        <w:autoSpaceDE w:val="0"/>
        <w:autoSpaceDN w:val="0"/>
        <w:adjustRightInd w:val="0"/>
        <w:jc w:val="both"/>
        <w:rPr>
          <w:iCs/>
        </w:rPr>
      </w:pPr>
    </w:p>
    <w:p w14:paraId="11BE9682" w14:textId="77777777" w:rsidR="00936841" w:rsidRPr="009118AB" w:rsidRDefault="00936841" w:rsidP="00E4560A">
      <w:pPr>
        <w:autoSpaceDE w:val="0"/>
        <w:autoSpaceDN w:val="0"/>
        <w:adjustRightInd w:val="0"/>
        <w:ind w:firstLine="709"/>
        <w:jc w:val="both"/>
        <w:rPr>
          <w:iCs/>
        </w:rPr>
      </w:pPr>
      <w:r w:rsidRPr="009118AB">
        <w:rPr>
          <w:iCs/>
        </w:rPr>
        <w:t>Die Bestimmungen [der Artikel 44, 44</w:t>
      </w:r>
      <w:r w:rsidRPr="009118AB">
        <w:rPr>
          <w:i/>
          <w:iCs/>
        </w:rPr>
        <w:t>bis</w:t>
      </w:r>
      <w:r w:rsidRPr="009118AB">
        <w:rPr>
          <w:iCs/>
        </w:rPr>
        <w:t>, 44</w:t>
      </w:r>
      <w:r w:rsidRPr="009118AB">
        <w:rPr>
          <w:i/>
          <w:iCs/>
        </w:rPr>
        <w:t>ter</w:t>
      </w:r>
      <w:r w:rsidRPr="009118AB">
        <w:rPr>
          <w:iCs/>
        </w:rPr>
        <w:t>, 45, 47, 48 und 361 bis 363] bleiben anwendbar auf Mehrwerte, Wertminderungen, Rückstellungen, Unterbewertungen, Überbewertungen, Zuschüsse und Forderungen, die in der belgischen Niederlassung bestanden, in dem Maße, wie diese Bestandteile als solche in der Buchhaltung der inländischen Gesellschaft wieder zu finden sind.</w:t>
      </w:r>
    </w:p>
    <w:p w14:paraId="57A0B53E" w14:textId="77777777" w:rsidR="00936841" w:rsidRPr="009118AB" w:rsidRDefault="00936841" w:rsidP="00936841">
      <w:pPr>
        <w:autoSpaceDE w:val="0"/>
        <w:autoSpaceDN w:val="0"/>
        <w:adjustRightInd w:val="0"/>
        <w:jc w:val="both"/>
        <w:rPr>
          <w:iCs/>
        </w:rPr>
      </w:pPr>
    </w:p>
    <w:p w14:paraId="636C87D1" w14:textId="77777777" w:rsidR="00E11559" w:rsidRPr="009118AB" w:rsidRDefault="00E11559">
      <w:pPr>
        <w:rPr>
          <w:iCs/>
        </w:rPr>
      </w:pPr>
      <w:r w:rsidRPr="009118AB">
        <w:rPr>
          <w:iCs/>
        </w:rPr>
        <w:br w:type="page"/>
      </w:r>
    </w:p>
    <w:p w14:paraId="4B55F852" w14:textId="1676B78E" w:rsidR="00936841" w:rsidRPr="009118AB" w:rsidRDefault="00936841" w:rsidP="00E4560A">
      <w:pPr>
        <w:autoSpaceDE w:val="0"/>
        <w:autoSpaceDN w:val="0"/>
        <w:adjustRightInd w:val="0"/>
        <w:ind w:firstLine="709"/>
        <w:jc w:val="both"/>
        <w:rPr>
          <w:iCs/>
        </w:rPr>
      </w:pPr>
      <w:r w:rsidRPr="009118AB">
        <w:rPr>
          <w:iCs/>
        </w:rPr>
        <w:lastRenderedPageBreak/>
        <w:t>In den [in den Artikeln 44</w:t>
      </w:r>
      <w:r w:rsidRPr="009118AB">
        <w:rPr>
          <w:i/>
          <w:iCs/>
        </w:rPr>
        <w:t>bis</w:t>
      </w:r>
      <w:r w:rsidRPr="009118AB">
        <w:rPr>
          <w:iCs/>
        </w:rPr>
        <w:t>, 44</w:t>
      </w:r>
      <w:r w:rsidRPr="009118AB">
        <w:rPr>
          <w:i/>
          <w:iCs/>
        </w:rPr>
        <w:t>ter</w:t>
      </w:r>
      <w:r w:rsidRPr="009118AB">
        <w:rPr>
          <w:iCs/>
        </w:rPr>
        <w:t xml:space="preserve"> und 47 erwähnten] Fällen darf der Einbringungs</w:t>
      </w:r>
      <w:r w:rsidR="00E11559" w:rsidRPr="009118AB">
        <w:rPr>
          <w:iCs/>
        </w:rPr>
        <w:softHyphen/>
      </w:r>
      <w:r w:rsidRPr="009118AB">
        <w:rPr>
          <w:iCs/>
        </w:rPr>
        <w:t>vorgang keine Verlängerung der ursprünglich vorgesehenen Wiederanlagefrist zur Folge haben.]</w:t>
      </w:r>
    </w:p>
    <w:p w14:paraId="3C2431BD" w14:textId="77777777" w:rsidR="00936841" w:rsidRPr="009118AB" w:rsidRDefault="00936841" w:rsidP="00936841">
      <w:pPr>
        <w:autoSpaceDE w:val="0"/>
        <w:autoSpaceDN w:val="0"/>
        <w:adjustRightInd w:val="0"/>
        <w:jc w:val="both"/>
        <w:rPr>
          <w:iCs/>
        </w:rPr>
      </w:pPr>
    </w:p>
    <w:p w14:paraId="5394F23B" w14:textId="2F0247BA" w:rsidR="00936841" w:rsidRPr="009118AB" w:rsidRDefault="00936841" w:rsidP="00936841">
      <w:pPr>
        <w:autoSpaceDE w:val="0"/>
        <w:autoSpaceDN w:val="0"/>
        <w:adjustRightInd w:val="0"/>
        <w:jc w:val="both"/>
        <w:rPr>
          <w:iCs/>
        </w:rPr>
      </w:pPr>
      <w:r w:rsidRPr="009118AB">
        <w:rPr>
          <w:i/>
          <w:iCs/>
        </w:rPr>
        <w:t>[</w:t>
      </w:r>
      <w:r w:rsidR="00D67EB8" w:rsidRPr="009118AB">
        <w:rPr>
          <w:i/>
          <w:iCs/>
        </w:rPr>
        <w:t>Art. </w:t>
      </w:r>
      <w:r w:rsidRPr="009118AB">
        <w:rPr>
          <w:i/>
          <w:iCs/>
        </w:rPr>
        <w:t xml:space="preserve">231 </w:t>
      </w:r>
      <w:r w:rsidR="00D67EB8" w:rsidRPr="009118AB">
        <w:rPr>
          <w:i/>
          <w:iCs/>
        </w:rPr>
        <w:t>§ </w:t>
      </w:r>
      <w:r w:rsidRPr="009118AB">
        <w:rPr>
          <w:i/>
          <w:iCs/>
        </w:rPr>
        <w:t xml:space="preserve">1 nummeriert durch </w:t>
      </w:r>
      <w:r w:rsidR="00D67EB8" w:rsidRPr="009118AB">
        <w:rPr>
          <w:i/>
          <w:iCs/>
        </w:rPr>
        <w:t>Art. </w:t>
      </w:r>
      <w:r w:rsidRPr="009118AB">
        <w:rPr>
          <w:i/>
          <w:iCs/>
        </w:rPr>
        <w:t>26 des G. vom 28. Juli </w:t>
      </w:r>
      <w:r w:rsidR="004F7F42" w:rsidRPr="009118AB">
        <w:rPr>
          <w:i/>
          <w:iCs/>
        </w:rPr>
        <w:t>1992 (B.S. vom 31. Juli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3 abgeändert durch </w:t>
      </w:r>
      <w:r w:rsidR="00D67EB8" w:rsidRPr="009118AB">
        <w:rPr>
          <w:i/>
          <w:iCs/>
        </w:rPr>
        <w:t>Art. </w:t>
      </w:r>
      <w:r w:rsidRPr="009118AB">
        <w:rPr>
          <w:i/>
          <w:iCs/>
        </w:rPr>
        <w:t>62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Pr="009118AB">
        <w:rPr>
          <w:i/>
          <w:iCs/>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26 des G. vom 28. Juli 1992 (B.S. vom 31. Juli 1992)</w:t>
      </w:r>
      <w:r w:rsidR="00D67EB8" w:rsidRPr="009118AB">
        <w:rPr>
          <w:i/>
          <w:iCs/>
        </w:rPr>
        <w:t> - </w:t>
      </w:r>
      <w:r w:rsidRPr="009118AB">
        <w:rPr>
          <w:i/>
          <w:iCs/>
        </w:rPr>
        <w:t>anwend</w:t>
      </w:r>
      <w:r w:rsidR="00C8627C" w:rsidRPr="009118AB">
        <w:rPr>
          <w:i/>
          <w:iCs/>
        </w:rPr>
        <w:t>bar ab dem Steuerjahr 1993</w:t>
      </w:r>
      <w:r w:rsidR="003366D9" w:rsidRPr="009118AB">
        <w:rPr>
          <w:i/>
          <w:iCs/>
        </w:rPr>
        <w:t> -;</w:t>
      </w:r>
      <w:r w:rsidR="00C8627C" w:rsidRPr="009118AB">
        <w:rPr>
          <w:i/>
          <w:iCs/>
        </w:rPr>
        <w:t xml:space="preserve"> </w:t>
      </w:r>
      <w:r w:rsidR="00D67EB8" w:rsidRPr="009118AB">
        <w:rPr>
          <w:i/>
          <w:iCs/>
        </w:rPr>
        <w:t>§ </w:t>
      </w:r>
      <w:r w:rsidR="00C8627C" w:rsidRPr="009118AB">
        <w:rPr>
          <w:i/>
          <w:iCs/>
        </w:rPr>
        <w:t xml:space="preserve">2 </w:t>
      </w:r>
      <w:r w:rsidR="00D67EB8" w:rsidRPr="009118AB">
        <w:rPr>
          <w:i/>
          <w:iCs/>
        </w:rPr>
        <w:t>Abs. </w:t>
      </w:r>
      <w:r w:rsidRPr="009118AB">
        <w:rPr>
          <w:i/>
          <w:iCs/>
        </w:rPr>
        <w:t xml:space="preserve">1 ersetzt durch </w:t>
      </w:r>
      <w:r w:rsidR="00D67EB8" w:rsidRPr="009118AB">
        <w:rPr>
          <w:i/>
          <w:iCs/>
        </w:rPr>
        <w:t>Art. </w:t>
      </w:r>
      <w:r w:rsidR="00C8627C" w:rsidRPr="009118AB">
        <w:rPr>
          <w:i/>
          <w:iCs/>
        </w:rPr>
        <w:t>27 Buchstabe </w:t>
      </w:r>
      <w:r w:rsidRPr="009118AB">
        <w:rPr>
          <w:i/>
          <w:iCs/>
        </w:rPr>
        <w:t>a) des G.</w:t>
      </w:r>
      <w:r w:rsidR="00C8627C" w:rsidRPr="009118AB">
        <w:rPr>
          <w:i/>
          <w:iCs/>
        </w:rPr>
        <w:t xml:space="preserve"> </w:t>
      </w:r>
      <w:r w:rsidRPr="009118AB">
        <w:rPr>
          <w:i/>
          <w:iCs/>
        </w:rPr>
        <w:t>vom 11. Dezember 2008 (B.S. vom 12. Januar 2009)</w:t>
      </w:r>
      <w:r w:rsidR="00D67EB8" w:rsidRPr="009118AB">
        <w:rPr>
          <w:i/>
          <w:iCs/>
        </w:rPr>
        <w:t> - </w:t>
      </w:r>
      <w:r w:rsidRPr="009118AB">
        <w:rPr>
          <w:i/>
          <w:iCs/>
        </w:rPr>
        <w:t>anwendbar auf Vorgänge oder Verlegungen, die ab dem 12. Januar 2009 stattfinden</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einleitende Bestimmung abgeändert durch </w:t>
      </w:r>
      <w:r w:rsidR="00D67EB8" w:rsidRPr="009118AB">
        <w:rPr>
          <w:i/>
          <w:iCs/>
        </w:rPr>
        <w:t>Art. </w:t>
      </w:r>
      <w:r w:rsidRPr="009118AB">
        <w:rPr>
          <w:i/>
          <w:iCs/>
        </w:rPr>
        <w:t xml:space="preserve">9 des G. vom 21. Dezember 2013 (II) (B.S. vom </w:t>
      </w:r>
      <w:r w:rsidR="00431609" w:rsidRPr="009118AB">
        <w:rPr>
          <w:i/>
          <w:iCs/>
        </w:rPr>
        <w:t>31.</w:t>
      </w:r>
      <w:r w:rsidR="00E4560A" w:rsidRPr="009118AB">
        <w:rPr>
          <w:i/>
          <w:iCs/>
        </w:rPr>
        <w:t> </w:t>
      </w:r>
      <w:r w:rsidR="00431609" w:rsidRPr="009118AB">
        <w:rPr>
          <w:i/>
          <w:iCs/>
        </w:rPr>
        <w:t>Dezember 2013</w:t>
      </w:r>
      <w:r w:rsidRPr="009118AB">
        <w:rPr>
          <w:i/>
          <w:iCs/>
        </w:rPr>
        <w:t>)</w:t>
      </w:r>
      <w:r w:rsidR="00E11559" w:rsidRPr="009118AB">
        <w:rPr>
          <w:i/>
          <w:iCs/>
        </w:rPr>
        <w:t xml:space="preserve"> und </w:t>
      </w:r>
      <w:r w:rsidR="00D67EB8" w:rsidRPr="009118AB">
        <w:rPr>
          <w:i/>
          <w:iCs/>
        </w:rPr>
        <w:t>Art. </w:t>
      </w:r>
      <w:r w:rsidR="00E11559" w:rsidRPr="009118AB">
        <w:rPr>
          <w:i/>
          <w:iCs/>
        </w:rPr>
        <w:t xml:space="preserve">57 </w:t>
      </w:r>
      <w:r w:rsidR="00D67EB8" w:rsidRPr="009118AB">
        <w:rPr>
          <w:i/>
          <w:iCs/>
        </w:rPr>
        <w:t>Nr. </w:t>
      </w:r>
      <w:r w:rsidR="00E11559" w:rsidRPr="009118AB">
        <w:rPr>
          <w:i/>
          <w:iCs/>
        </w:rPr>
        <w:t>1</w:t>
      </w:r>
      <w:r w:rsidR="00E11559" w:rsidRPr="009118AB">
        <w:rPr>
          <w:i/>
          <w:iCs/>
          <w:spacing w:val="-2"/>
        </w:rPr>
        <w:t xml:space="preserve"> des G. vom 17. März 2019 (III) (B.S. vom 10. Mai 2019)</w:t>
      </w:r>
      <w:r w:rsidR="00D67EB8" w:rsidRPr="009118AB">
        <w:rPr>
          <w:i/>
          <w:iCs/>
          <w:spacing w:val="-2"/>
        </w:rPr>
        <w:t> - </w:t>
      </w:r>
      <w:r w:rsidR="00E11559" w:rsidRPr="009118AB">
        <w:rPr>
          <w:i/>
          <w:iCs/>
          <w:spacing w:val="-2"/>
        </w:rPr>
        <w:t>in Kraft am 1. Mai 2019</w:t>
      </w:r>
      <w:r w:rsidR="003366D9" w:rsidRPr="009118AB">
        <w:rPr>
          <w:i/>
          <w:iCs/>
          <w:spacing w:val="-2"/>
        </w:rPr>
        <w:t> -;</w:t>
      </w:r>
      <w:r w:rsidR="00C8627C" w:rsidRPr="009118AB">
        <w:rPr>
          <w:i/>
          <w:iCs/>
        </w:rPr>
        <w:t xml:space="preserve"> </w:t>
      </w:r>
      <w:r w:rsidR="00D67EB8" w:rsidRPr="009118AB">
        <w:rPr>
          <w:i/>
          <w:iCs/>
        </w:rPr>
        <w:t>§ </w:t>
      </w:r>
      <w:r w:rsidR="00C8627C" w:rsidRPr="009118AB">
        <w:rPr>
          <w:i/>
          <w:iCs/>
        </w:rPr>
        <w:t xml:space="preserve">2 </w:t>
      </w:r>
      <w:r w:rsidR="00D67EB8" w:rsidRPr="009118AB">
        <w:rPr>
          <w:i/>
          <w:iCs/>
        </w:rPr>
        <w:t>Abs. </w:t>
      </w:r>
      <w:r w:rsidRPr="009118AB">
        <w:rPr>
          <w:i/>
          <w:iCs/>
        </w:rPr>
        <w:t xml:space="preserve">1 </w:t>
      </w:r>
      <w:r w:rsidR="00D67EB8" w:rsidRPr="009118AB">
        <w:rPr>
          <w:i/>
          <w:iCs/>
        </w:rPr>
        <w:t>Nr. </w:t>
      </w:r>
      <w:r w:rsidRPr="009118AB">
        <w:rPr>
          <w:i/>
          <w:iCs/>
        </w:rPr>
        <w:t xml:space="preserve">2 ersetzt durch </w:t>
      </w:r>
      <w:r w:rsidR="00D67EB8" w:rsidRPr="009118AB">
        <w:rPr>
          <w:i/>
          <w:iCs/>
        </w:rPr>
        <w:t>Art. </w:t>
      </w:r>
      <w:r w:rsidRPr="009118AB">
        <w:rPr>
          <w:i/>
          <w:iCs/>
        </w:rPr>
        <w:t xml:space="preserve">52 </w:t>
      </w:r>
      <w:r w:rsidR="00D67EB8" w:rsidRPr="009118AB">
        <w:rPr>
          <w:i/>
          <w:iCs/>
        </w:rPr>
        <w:t>Nr. </w:t>
      </w:r>
      <w:r w:rsidRPr="009118AB">
        <w:rPr>
          <w:i/>
          <w:iCs/>
        </w:rPr>
        <w:t>1 des G. vom 22. Dezember 2009</w:t>
      </w:r>
      <w:r w:rsidR="00E4560A" w:rsidRPr="009118AB">
        <w:rPr>
          <w:i/>
          <w:iCs/>
        </w:rPr>
        <w:t> </w:t>
      </w:r>
      <w:r w:rsidRPr="009118AB">
        <w:rPr>
          <w:i/>
          <w:iCs/>
        </w:rPr>
        <w:t>(I) (B.S. vom 31. Dezember 2009)</w:t>
      </w:r>
      <w:r w:rsidR="00D67EB8" w:rsidRPr="009118AB">
        <w:rPr>
          <w:i/>
          <w:iCs/>
        </w:rPr>
        <w:t> - </w:t>
      </w:r>
      <w:r w:rsidRPr="009118AB">
        <w:rPr>
          <w:i/>
          <w:iCs/>
        </w:rPr>
        <w:t>wirksam mit 12. Januar 2009 in Bezug a</w:t>
      </w:r>
      <w:r w:rsidR="00C8627C" w:rsidRPr="009118AB">
        <w:rPr>
          <w:i/>
          <w:iCs/>
        </w:rPr>
        <w:t>uf abgeschlossene Vorgänge</w:t>
      </w:r>
      <w:r w:rsidR="003366D9" w:rsidRPr="009118AB">
        <w:rPr>
          <w:i/>
          <w:iCs/>
        </w:rPr>
        <w:t> -;</w:t>
      </w:r>
      <w:r w:rsidR="00C8627C" w:rsidRPr="009118AB">
        <w:rPr>
          <w:i/>
          <w:iCs/>
        </w:rPr>
        <w:t xml:space="preserve"> </w:t>
      </w:r>
      <w:r w:rsidR="00D67EB8" w:rsidRPr="009118AB">
        <w:rPr>
          <w:i/>
          <w:iCs/>
        </w:rPr>
        <w:t>§ </w:t>
      </w:r>
      <w:r w:rsidRPr="009118AB">
        <w:rPr>
          <w:i/>
          <w:iCs/>
        </w:rPr>
        <w:t xml:space="preserve">2 neuer Absatz 2 eingefügt durch </w:t>
      </w:r>
      <w:r w:rsidR="00D67EB8" w:rsidRPr="009118AB">
        <w:rPr>
          <w:i/>
          <w:iCs/>
        </w:rPr>
        <w:t>Art. </w:t>
      </w:r>
      <w:r w:rsidR="00C8627C" w:rsidRPr="009118AB">
        <w:rPr>
          <w:i/>
          <w:iCs/>
        </w:rPr>
        <w:t>27 Buchstabe </w:t>
      </w:r>
      <w:r w:rsidRPr="009118AB">
        <w:rPr>
          <w:i/>
          <w:iCs/>
        </w:rPr>
        <w:t>a) des G.</w:t>
      </w:r>
      <w:r w:rsidR="00C8627C" w:rsidRPr="009118AB">
        <w:rPr>
          <w:i/>
          <w:iCs/>
        </w:rPr>
        <w:t xml:space="preserve"> </w:t>
      </w:r>
      <w:r w:rsidRPr="009118AB">
        <w:rPr>
          <w:i/>
          <w:iCs/>
        </w:rPr>
        <w:t>vom 11. Dezember 2008 (B.S. vom 12. Januar 2009)</w:t>
      </w:r>
      <w:r w:rsidR="00D67EB8" w:rsidRPr="009118AB">
        <w:rPr>
          <w:i/>
          <w:iCs/>
        </w:rPr>
        <w:t> - </w:t>
      </w:r>
      <w:r w:rsidRPr="009118AB">
        <w:rPr>
          <w:i/>
          <w:iCs/>
        </w:rPr>
        <w:t>anwendbar auf Vorgänge oder Verlegungen, die ab dem 12. Januar 2009 stattfinden</w:t>
      </w:r>
      <w:r w:rsidR="00D67EB8" w:rsidRPr="009118AB">
        <w:rPr>
          <w:i/>
          <w:iCs/>
        </w:rPr>
        <w:t> - </w:t>
      </w:r>
      <w:r w:rsidRPr="009118AB">
        <w:rPr>
          <w:i/>
          <w:iCs/>
        </w:rPr>
        <w:t xml:space="preserve">und abgeändert durch </w:t>
      </w:r>
      <w:r w:rsidR="00D67EB8" w:rsidRPr="009118AB">
        <w:rPr>
          <w:i/>
          <w:iCs/>
        </w:rPr>
        <w:t>Art. </w:t>
      </w:r>
      <w:r w:rsidRPr="009118AB">
        <w:rPr>
          <w:i/>
          <w:iCs/>
        </w:rPr>
        <w:t xml:space="preserve">52 </w:t>
      </w:r>
      <w:r w:rsidR="00D67EB8" w:rsidRPr="009118AB">
        <w:rPr>
          <w:i/>
          <w:iCs/>
        </w:rPr>
        <w:t>Nr. </w:t>
      </w:r>
      <w:r w:rsidRPr="009118AB">
        <w:rPr>
          <w:i/>
          <w:iCs/>
        </w:rPr>
        <w:t>2 des G. vom 22. Dezember 2009 (I) (B.S. vom 31. Dezember 2009)</w:t>
      </w:r>
      <w:r w:rsidR="00D67EB8" w:rsidRPr="009118AB">
        <w:rPr>
          <w:i/>
          <w:iCs/>
        </w:rPr>
        <w:t> - </w:t>
      </w:r>
      <w:r w:rsidRPr="009118AB">
        <w:rPr>
          <w:i/>
          <w:iCs/>
        </w:rPr>
        <w:t>wirksam mit 12. Januar 2009 in Bezug a</w:t>
      </w:r>
      <w:r w:rsidR="00C8627C" w:rsidRPr="009118AB">
        <w:rPr>
          <w:i/>
          <w:iCs/>
        </w:rPr>
        <w:t>uf abgeschlossene Vorgänge</w:t>
      </w:r>
      <w:r w:rsidR="003366D9" w:rsidRPr="009118AB">
        <w:rPr>
          <w:i/>
          <w:iCs/>
        </w:rPr>
        <w:t> -;</w:t>
      </w:r>
      <w:r w:rsidR="00C8627C" w:rsidRPr="009118AB">
        <w:rPr>
          <w:i/>
          <w:iCs/>
        </w:rPr>
        <w:t xml:space="preserve"> </w:t>
      </w:r>
      <w:r w:rsidR="00D67EB8" w:rsidRPr="009118AB">
        <w:rPr>
          <w:i/>
          <w:iCs/>
        </w:rPr>
        <w:t>§ </w:t>
      </w:r>
      <w:r w:rsidR="00C8627C" w:rsidRPr="009118AB">
        <w:rPr>
          <w:i/>
          <w:iCs/>
        </w:rPr>
        <w:t>2 neuer Absatz </w:t>
      </w:r>
      <w:r w:rsidRPr="009118AB">
        <w:rPr>
          <w:i/>
          <w:iCs/>
        </w:rPr>
        <w:t xml:space="preserve">3 eingefügt durch </w:t>
      </w:r>
      <w:r w:rsidR="00D67EB8" w:rsidRPr="009118AB">
        <w:rPr>
          <w:i/>
          <w:iCs/>
        </w:rPr>
        <w:t>Art. </w:t>
      </w:r>
      <w:r w:rsidRPr="009118AB">
        <w:rPr>
          <w:i/>
          <w:iCs/>
        </w:rPr>
        <w:t>27 Buchstabe</w:t>
      </w:r>
      <w:r w:rsidR="00E4560A" w:rsidRPr="009118AB">
        <w:rPr>
          <w:i/>
          <w:iCs/>
        </w:rPr>
        <w:t> </w:t>
      </w:r>
      <w:r w:rsidR="00C8627C" w:rsidRPr="009118AB">
        <w:rPr>
          <w:i/>
          <w:iCs/>
        </w:rPr>
        <w:t xml:space="preserve">a) des G. </w:t>
      </w:r>
      <w:r w:rsidRPr="009118AB">
        <w:rPr>
          <w:i/>
          <w:iCs/>
        </w:rPr>
        <w:t>vom 11. Dezember 2008 (B.S. vom 12. Januar 2009)</w:t>
      </w:r>
      <w:r w:rsidR="00D67EB8" w:rsidRPr="009118AB">
        <w:rPr>
          <w:i/>
          <w:iCs/>
        </w:rPr>
        <w:t> - </w:t>
      </w:r>
      <w:r w:rsidRPr="009118AB">
        <w:rPr>
          <w:i/>
          <w:iCs/>
        </w:rPr>
        <w:t>anwendbar auf Vorgänge oder Verlegungen, die ab dem 12. Januar 2009 statt</w:t>
      </w:r>
      <w:r w:rsidRPr="009118AB">
        <w:rPr>
          <w:i/>
          <w:iCs/>
        </w:rPr>
        <w:softHyphen/>
        <w:t>finden</w:t>
      </w:r>
      <w:r w:rsidR="00D67EB8" w:rsidRPr="009118AB">
        <w:rPr>
          <w:i/>
          <w:iCs/>
        </w:rPr>
        <w:t> - </w:t>
      </w:r>
      <w:r w:rsidR="00E11559" w:rsidRPr="009118AB">
        <w:rPr>
          <w:i/>
          <w:iCs/>
        </w:rPr>
        <w:t xml:space="preserve">und ersetzt durch </w:t>
      </w:r>
      <w:r w:rsidR="00D67EB8" w:rsidRPr="009118AB">
        <w:rPr>
          <w:i/>
          <w:iCs/>
        </w:rPr>
        <w:t>Art. </w:t>
      </w:r>
      <w:r w:rsidR="00E11559" w:rsidRPr="009118AB">
        <w:rPr>
          <w:i/>
          <w:iCs/>
        </w:rPr>
        <w:t xml:space="preserve">57 </w:t>
      </w:r>
      <w:r w:rsidR="00D67EB8" w:rsidRPr="009118AB">
        <w:rPr>
          <w:i/>
          <w:iCs/>
        </w:rPr>
        <w:t>Nr. </w:t>
      </w:r>
      <w:r w:rsidR="00E11559" w:rsidRPr="009118AB">
        <w:rPr>
          <w:i/>
          <w:iCs/>
        </w:rPr>
        <w:t>2</w:t>
      </w:r>
      <w:r w:rsidR="00E11559" w:rsidRPr="009118AB">
        <w:rPr>
          <w:i/>
          <w:iCs/>
          <w:spacing w:val="-2"/>
        </w:rPr>
        <w:t xml:space="preserve"> des G. vom 17. März 2019 (III) (B.S. vom 10. Mai 2019)</w:t>
      </w:r>
      <w:r w:rsidR="00D67EB8" w:rsidRPr="009118AB">
        <w:rPr>
          <w:i/>
          <w:iCs/>
          <w:spacing w:val="-2"/>
        </w:rPr>
        <w:t> - </w:t>
      </w:r>
      <w:r w:rsidR="00E11559" w:rsidRPr="009118AB">
        <w:rPr>
          <w:i/>
          <w:iCs/>
          <w:spacing w:val="-2"/>
        </w:rPr>
        <w:t>in Kraft am 1. Mai 2019</w:t>
      </w:r>
      <w:r w:rsidR="003366D9" w:rsidRPr="009118AB">
        <w:rPr>
          <w:i/>
          <w:iCs/>
          <w:spacing w:val="-2"/>
        </w:rPr>
        <w:t> -;</w:t>
      </w:r>
      <w:r w:rsidRPr="009118AB">
        <w:rPr>
          <w:i/>
          <w:iCs/>
        </w:rPr>
        <w:t xml:space="preserve"> </w:t>
      </w:r>
      <w:r w:rsidR="00D67EB8" w:rsidRPr="009118AB">
        <w:rPr>
          <w:i/>
          <w:iCs/>
        </w:rPr>
        <w:t>§ </w:t>
      </w:r>
      <w:r w:rsidRPr="009118AB">
        <w:rPr>
          <w:i/>
          <w:iCs/>
        </w:rPr>
        <w:t xml:space="preserve">2 neuer Absatz 4 eingefügt durch </w:t>
      </w:r>
      <w:r w:rsidR="00D67EB8" w:rsidRPr="009118AB">
        <w:rPr>
          <w:i/>
          <w:iCs/>
        </w:rPr>
        <w:t>Art. </w:t>
      </w:r>
      <w:r w:rsidRPr="009118AB">
        <w:rPr>
          <w:i/>
          <w:iCs/>
        </w:rPr>
        <w:t>104 des G. vom 21. Dezember 1994 (B.S.</w:t>
      </w:r>
      <w:r w:rsidR="00C8627C" w:rsidRPr="009118AB">
        <w:rPr>
          <w:i/>
          <w:iCs/>
        </w:rPr>
        <w:t xml:space="preserve"> </w:t>
      </w:r>
      <w:r w:rsidRPr="009118AB">
        <w:rPr>
          <w:i/>
          <w:iCs/>
        </w:rPr>
        <w:t xml:space="preserve">vom 23. Dezember 1994), ersetzt durch </w:t>
      </w:r>
      <w:r w:rsidR="00D67EB8" w:rsidRPr="009118AB">
        <w:rPr>
          <w:i/>
          <w:iCs/>
        </w:rPr>
        <w:t>Art. </w:t>
      </w:r>
      <w:r w:rsidRPr="009118AB">
        <w:rPr>
          <w:i/>
          <w:iCs/>
        </w:rPr>
        <w:t xml:space="preserve">6 </w:t>
      </w:r>
      <w:r w:rsidR="00C8627C" w:rsidRPr="009118AB">
        <w:rPr>
          <w:i/>
          <w:iCs/>
        </w:rPr>
        <w:t xml:space="preserve">des G. vom 16. April 1997 (B.S. </w:t>
      </w:r>
      <w:r w:rsidRPr="009118AB">
        <w:rPr>
          <w:i/>
          <w:iCs/>
        </w:rPr>
        <w:t xml:space="preserve">vom 23. Mai 1997) und abgeändert durch </w:t>
      </w:r>
      <w:r w:rsidR="00D67EB8" w:rsidRPr="009118AB">
        <w:rPr>
          <w:i/>
          <w:iCs/>
        </w:rPr>
        <w:t>Art. </w:t>
      </w:r>
      <w:r w:rsidRPr="009118AB">
        <w:rPr>
          <w:i/>
          <w:iCs/>
        </w:rPr>
        <w:t xml:space="preserve">375 des G. vom 27. Dezember 2004 (B.S. vom 31. Dezember 2004),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331 des K.E. vom 3. März 2011 (B.S. vom 9. März 2011)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April 2011</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94 des G. vom 12. Mai 2014 (II) (B.S. vom 30. Juni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16. Juli 2014</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i/>
          <w:iCs/>
        </w:rPr>
        <w:t>Art. </w:t>
      </w:r>
      <w:r w:rsidRPr="009118AB">
        <w:rPr>
          <w:i/>
          <w:iCs/>
        </w:rPr>
        <w:t>15 des G. (II) vom 3. August 2016 (VI) (B.S. vom 16. August 2016)</w:t>
      </w:r>
      <w:r w:rsidR="00D67EB8" w:rsidRPr="009118AB">
        <w:rPr>
          <w:i/>
          <w:iCs/>
        </w:rPr>
        <w:t> - </w:t>
      </w:r>
      <w:r w:rsidRPr="009118AB">
        <w:rPr>
          <w:i/>
          <w:iCs/>
        </w:rPr>
        <w:t>in Kraft ab dem Steuerjahr 2016 für Vorgänge und Einkünfte, die ab dem 1. Juli 2016 stattfinden beziehungsweise zuerkannt oder ausgeschüttet werden</w:t>
      </w:r>
      <w:r w:rsidR="00D67EB8" w:rsidRPr="009118AB">
        <w:rPr>
          <w:i/>
          <w:iCs/>
        </w:rPr>
        <w:t> - </w:t>
      </w:r>
      <w:r w:rsidR="00AE61F5" w:rsidRPr="009118AB">
        <w:rPr>
          <w:i/>
          <w:iCs/>
        </w:rPr>
        <w:t xml:space="preserve">und </w:t>
      </w:r>
      <w:r w:rsidR="00D67EB8" w:rsidRPr="009118AB">
        <w:rPr>
          <w:i/>
          <w:iCs/>
        </w:rPr>
        <w:t>Art. </w:t>
      </w:r>
      <w:r w:rsidR="00AE61F5" w:rsidRPr="009118AB">
        <w:rPr>
          <w:i/>
          <w:iCs/>
        </w:rPr>
        <w:t>69 des G. vom 21.</w:t>
      </w:r>
      <w:r w:rsidR="009F08D5" w:rsidRPr="009118AB">
        <w:rPr>
          <w:i/>
          <w:iCs/>
        </w:rPr>
        <w:t> </w:t>
      </w:r>
      <w:r w:rsidR="00AE61F5" w:rsidRPr="009118AB">
        <w:rPr>
          <w:i/>
          <w:iCs/>
        </w:rPr>
        <w:t>Januar</w:t>
      </w:r>
      <w:r w:rsidR="009F08D5" w:rsidRPr="009118AB">
        <w:rPr>
          <w:i/>
          <w:iCs/>
        </w:rPr>
        <w:t> </w:t>
      </w:r>
      <w:r w:rsidR="00AE61F5" w:rsidRPr="009118AB">
        <w:rPr>
          <w:i/>
          <w:iCs/>
        </w:rPr>
        <w:t>2022 (B.S. vom 28.</w:t>
      </w:r>
      <w:r w:rsidR="009F08D5" w:rsidRPr="009118AB">
        <w:rPr>
          <w:i/>
          <w:iCs/>
        </w:rPr>
        <w:t> </w:t>
      </w:r>
      <w:r w:rsidR="00AE61F5" w:rsidRPr="009118AB">
        <w:rPr>
          <w:i/>
          <w:iCs/>
        </w:rPr>
        <w:t>Januar</w:t>
      </w:r>
      <w:r w:rsidR="009F08D5" w:rsidRPr="009118AB">
        <w:rPr>
          <w:i/>
          <w:iCs/>
        </w:rPr>
        <w:t> </w:t>
      </w:r>
      <w:r w:rsidR="00AE61F5" w:rsidRPr="009118AB">
        <w:rPr>
          <w:i/>
          <w:iCs/>
        </w:rPr>
        <w:t>2022)</w:t>
      </w:r>
      <w:r w:rsidR="00C8627C" w:rsidRPr="009118AB">
        <w:rPr>
          <w:i/>
          <w:iCs/>
        </w:rPr>
        <w:t xml:space="preserve">; </w:t>
      </w:r>
      <w:r w:rsidR="00D67EB8" w:rsidRPr="009118AB">
        <w:rPr>
          <w:i/>
          <w:iCs/>
        </w:rPr>
        <w:t>§ </w:t>
      </w:r>
      <w:r w:rsidR="00C8627C" w:rsidRPr="009118AB">
        <w:rPr>
          <w:i/>
          <w:iCs/>
        </w:rPr>
        <w:t xml:space="preserve">2 </w:t>
      </w:r>
      <w:r w:rsidR="00D67EB8" w:rsidRPr="009118AB">
        <w:rPr>
          <w:i/>
          <w:iCs/>
        </w:rPr>
        <w:t>Abs. </w:t>
      </w:r>
      <w:r w:rsidR="00C8627C" w:rsidRPr="009118AB">
        <w:rPr>
          <w:i/>
          <w:iCs/>
        </w:rPr>
        <w:t>5 (früherer Absatz </w:t>
      </w:r>
      <w:r w:rsidRPr="009118AB">
        <w:rPr>
          <w:i/>
          <w:iCs/>
        </w:rPr>
        <w:t xml:space="preserve">3) abgeändert durch </w:t>
      </w:r>
      <w:r w:rsidR="00D67EB8" w:rsidRPr="009118AB">
        <w:rPr>
          <w:i/>
          <w:iCs/>
        </w:rPr>
        <w:t>Art. </w:t>
      </w:r>
      <w:r w:rsidRPr="009118AB">
        <w:rPr>
          <w:i/>
          <w:iCs/>
        </w:rPr>
        <w:t>27 Buchstabe</w:t>
      </w:r>
      <w:r w:rsidR="00E4560A" w:rsidRPr="009118AB">
        <w:rPr>
          <w:i/>
          <w:iCs/>
        </w:rPr>
        <w:t> </w:t>
      </w:r>
      <w:r w:rsidRPr="009118AB">
        <w:rPr>
          <w:i/>
          <w:iCs/>
        </w:rPr>
        <w:t>b) des G. vom 11. Dezember 2008 (B.S. vom 12. Januar 2009)</w:t>
      </w:r>
      <w:r w:rsidR="00D67EB8" w:rsidRPr="009118AB">
        <w:rPr>
          <w:i/>
          <w:iCs/>
        </w:rPr>
        <w:t> - </w:t>
      </w:r>
      <w:r w:rsidRPr="009118AB">
        <w:rPr>
          <w:i/>
          <w:iCs/>
        </w:rPr>
        <w:t>anwendbar ab dem Steuerjahr 2007</w:t>
      </w:r>
      <w:r w:rsidR="00FD68E8" w:rsidRPr="009118AB">
        <w:rPr>
          <w:i/>
          <w:iCs/>
        </w:rPr>
        <w:t> -,</w:t>
      </w:r>
      <w:r w:rsidRPr="009118AB">
        <w:rPr>
          <w:i/>
          <w:iCs/>
        </w:rPr>
        <w:t xml:space="preserve"> </w:t>
      </w:r>
      <w:r w:rsidR="00D67EB8" w:rsidRPr="009118AB">
        <w:rPr>
          <w:i/>
          <w:iCs/>
        </w:rPr>
        <w:t>Art. </w:t>
      </w:r>
      <w:r w:rsidRPr="009118AB">
        <w:rPr>
          <w:i/>
          <w:iCs/>
        </w:rPr>
        <w:t xml:space="preserve">52 </w:t>
      </w:r>
      <w:r w:rsidR="00D67EB8" w:rsidRPr="009118AB">
        <w:rPr>
          <w:i/>
          <w:iCs/>
        </w:rPr>
        <w:t>Nr. </w:t>
      </w:r>
      <w:r w:rsidRPr="009118AB">
        <w:rPr>
          <w:i/>
          <w:iCs/>
        </w:rPr>
        <w:t>3 des G. vom 22. Dezember 2009 (I) (B.S. vom 31. Dezember 2009)</w:t>
      </w:r>
      <w:r w:rsidR="00D67EB8" w:rsidRPr="009118AB">
        <w:rPr>
          <w:i/>
          <w:iCs/>
        </w:rPr>
        <w:t> - </w:t>
      </w:r>
      <w:r w:rsidRPr="009118AB">
        <w:rPr>
          <w:i/>
          <w:iCs/>
        </w:rPr>
        <w:t>wirksam mit 12. Januar 2009 in Bezug auf abgeschlossene Vorgänge</w:t>
      </w:r>
      <w:r w:rsidR="00D67EB8" w:rsidRPr="009118AB">
        <w:rPr>
          <w:i/>
          <w:iCs/>
        </w:rPr>
        <w:t> - </w:t>
      </w:r>
      <w:r w:rsidRPr="009118AB">
        <w:rPr>
          <w:i/>
          <w:iCs/>
        </w:rPr>
        <w:t xml:space="preserve">und </w:t>
      </w:r>
      <w:r w:rsidR="00D67EB8" w:rsidRPr="009118AB">
        <w:rPr>
          <w:i/>
          <w:iCs/>
        </w:rPr>
        <w:t>Art. </w:t>
      </w:r>
      <w:r w:rsidRPr="009118AB">
        <w:rPr>
          <w:i/>
          <w:iCs/>
        </w:rPr>
        <w:t xml:space="preserve">12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des G. vom 9. Februar 2017 (B.S. vom 20. Februar 2017)</w:t>
      </w:r>
      <w:r w:rsidR="00D67EB8" w:rsidRPr="009118AB">
        <w:rPr>
          <w:rFonts w:ascii="Times New Roman Italique" w:hAnsi="Times New Roman Italique"/>
          <w:i/>
          <w:iCs/>
          <w:spacing w:val="-2"/>
        </w:rPr>
        <w:t> - </w:t>
      </w:r>
      <w:r w:rsidRPr="009118AB">
        <w:rPr>
          <w:rFonts w:ascii="Times New Roman Italique" w:hAnsi="Times New Roman Italique"/>
          <w:i/>
          <w:iCs/>
          <w:spacing w:val="-2"/>
        </w:rPr>
        <w:t>wirksam mit 1. Juli 2016</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6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63 des G. vom 13. Dezember 2012 (B.S. vom 20. Dezember 2012)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1. Januar 2013</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7 (früherer Absatz 5)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27 Buchstabe c) des G. vom 11. Dezember 2008 (B.S. vom 12. Januar 2009)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Vorgänge oder Verlegungen, die ab dem 12. Januar 2009 statt</w:t>
      </w:r>
      <w:r w:rsidRPr="009118AB">
        <w:rPr>
          <w:rFonts w:ascii="Times New Roman Italique" w:hAnsi="Times New Roman Italique"/>
          <w:i/>
          <w:iCs/>
          <w:spacing w:val="-2"/>
        </w:rPr>
        <w:softHyphen/>
        <w:t>finden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3</w:t>
      </w:r>
      <w:r w:rsidRPr="009118AB">
        <w:rPr>
          <w:i/>
          <w:iCs/>
        </w:rPr>
        <w:t xml:space="preserve"> eingefügt durch </w:t>
      </w:r>
      <w:r w:rsidR="00D67EB8" w:rsidRPr="009118AB">
        <w:rPr>
          <w:i/>
          <w:iCs/>
        </w:rPr>
        <w:t>Art. </w:t>
      </w:r>
      <w:r w:rsidRPr="009118AB">
        <w:rPr>
          <w:i/>
          <w:iCs/>
        </w:rPr>
        <w:t>3 des G. vom 30. Januar 1996 (B.S. vom 30. März 1996)</w:t>
      </w:r>
      <w:r w:rsidR="00D67EB8" w:rsidRPr="009118AB">
        <w:rPr>
          <w:i/>
          <w:iCs/>
        </w:rPr>
        <w:t> - </w:t>
      </w:r>
      <w:r w:rsidRPr="009118AB">
        <w:rPr>
          <w:i/>
          <w:iCs/>
        </w:rPr>
        <w:t>anwendbar auf die Einbringungsvorgänge, die ab dem 30. März 1996 stattfinden</w:t>
      </w:r>
      <w:r w:rsidR="003366D9" w:rsidRPr="009118AB">
        <w:rPr>
          <w:i/>
          <w:iCs/>
        </w:rPr>
        <w:t> -;</w:t>
      </w:r>
      <w:r w:rsidRPr="009118AB">
        <w:rPr>
          <w:i/>
          <w:iCs/>
        </w:rPr>
        <w:t xml:space="preserve"> </w:t>
      </w:r>
      <w:r w:rsidR="00D67EB8" w:rsidRPr="009118AB">
        <w:rPr>
          <w:i/>
          <w:iCs/>
        </w:rPr>
        <w:t>§ </w:t>
      </w:r>
      <w:r w:rsidR="00E11559" w:rsidRPr="009118AB">
        <w:rPr>
          <w:i/>
          <w:iCs/>
        </w:rPr>
        <w:t xml:space="preserve">3 </w:t>
      </w:r>
      <w:r w:rsidR="00D67EB8" w:rsidRPr="009118AB">
        <w:rPr>
          <w:i/>
          <w:iCs/>
        </w:rPr>
        <w:t>Abs. </w:t>
      </w:r>
      <w:r w:rsidR="00E11559" w:rsidRPr="009118AB">
        <w:rPr>
          <w:i/>
          <w:iCs/>
        </w:rPr>
        <w:t xml:space="preserve">1 abgeändert durch </w:t>
      </w:r>
      <w:r w:rsidR="00D67EB8" w:rsidRPr="009118AB">
        <w:rPr>
          <w:i/>
          <w:iCs/>
        </w:rPr>
        <w:t>Art. </w:t>
      </w:r>
      <w:r w:rsidR="00E11559" w:rsidRPr="009118AB">
        <w:rPr>
          <w:i/>
          <w:iCs/>
        </w:rPr>
        <w:t xml:space="preserve">57 </w:t>
      </w:r>
      <w:r w:rsidR="00D67EB8" w:rsidRPr="009118AB">
        <w:rPr>
          <w:i/>
          <w:iCs/>
        </w:rPr>
        <w:t>Nr. </w:t>
      </w:r>
      <w:r w:rsidR="00E11559" w:rsidRPr="009118AB">
        <w:rPr>
          <w:i/>
          <w:iCs/>
        </w:rPr>
        <w:t>3</w:t>
      </w:r>
      <w:r w:rsidR="00E11559" w:rsidRPr="009118AB">
        <w:rPr>
          <w:i/>
          <w:iCs/>
          <w:spacing w:val="-2"/>
        </w:rPr>
        <w:t xml:space="preserve"> des G. vom 17. März 2019 (III) (B.S. vom 10. Mai 2019)</w:t>
      </w:r>
      <w:r w:rsidR="00D67EB8" w:rsidRPr="009118AB">
        <w:rPr>
          <w:i/>
          <w:iCs/>
          <w:spacing w:val="-2"/>
        </w:rPr>
        <w:t> - </w:t>
      </w:r>
      <w:r w:rsidR="00E11559" w:rsidRPr="009118AB">
        <w:rPr>
          <w:i/>
          <w:iCs/>
          <w:spacing w:val="-2"/>
        </w:rPr>
        <w:t>in Kraft am 1. Mai 2019</w:t>
      </w:r>
      <w:r w:rsidR="003366D9" w:rsidRPr="009118AB">
        <w:rPr>
          <w:i/>
          <w:iCs/>
          <w:spacing w:val="-2"/>
        </w:rPr>
        <w:t> -;</w:t>
      </w:r>
      <w:r w:rsidR="00E11559" w:rsidRPr="009118AB">
        <w:rPr>
          <w:i/>
          <w:iCs/>
          <w:spacing w:val="-2"/>
        </w:rPr>
        <w:t xml:space="preserve"> </w:t>
      </w:r>
      <w:r w:rsidR="00D67EB8" w:rsidRPr="009118AB">
        <w:rPr>
          <w:i/>
          <w:iCs/>
        </w:rPr>
        <w:t>§ </w:t>
      </w:r>
      <w:r w:rsidRPr="009118AB">
        <w:rPr>
          <w:i/>
          <w:iCs/>
        </w:rPr>
        <w:t xml:space="preserve">3 </w:t>
      </w:r>
      <w:r w:rsidR="00D67EB8" w:rsidRPr="009118AB">
        <w:rPr>
          <w:i/>
          <w:iCs/>
        </w:rPr>
        <w:t>Abs. </w:t>
      </w:r>
      <w:r w:rsidRPr="009118AB">
        <w:rPr>
          <w:i/>
          <w:iCs/>
        </w:rPr>
        <w:t xml:space="preserve">3 ersetzt durch </w:t>
      </w:r>
      <w:r w:rsidR="00D67EB8" w:rsidRPr="009118AB">
        <w:rPr>
          <w:i/>
          <w:iCs/>
        </w:rPr>
        <w:t>Art. </w:t>
      </w:r>
      <w:r w:rsidRPr="009118AB">
        <w:rPr>
          <w:i/>
          <w:iCs/>
        </w:rPr>
        <w:t xml:space="preserve">52 </w:t>
      </w:r>
      <w:r w:rsidR="00D67EB8" w:rsidRPr="009118AB">
        <w:rPr>
          <w:i/>
          <w:iCs/>
        </w:rPr>
        <w:t>Nr. </w:t>
      </w:r>
      <w:r w:rsidRPr="009118AB">
        <w:rPr>
          <w:i/>
          <w:iCs/>
        </w:rPr>
        <w:t>4 des G. vom 22. Dezember 2009</w:t>
      </w:r>
      <w:r w:rsidR="00E11559" w:rsidRPr="009118AB">
        <w:rPr>
          <w:i/>
          <w:iCs/>
        </w:rPr>
        <w:t> </w:t>
      </w:r>
      <w:r w:rsidRPr="009118AB">
        <w:rPr>
          <w:i/>
          <w:iCs/>
        </w:rPr>
        <w:t>(I) (B.S. vom 31. Dezember 2009)</w:t>
      </w:r>
      <w:r w:rsidR="00D67EB8" w:rsidRPr="009118AB">
        <w:rPr>
          <w:i/>
          <w:iCs/>
        </w:rPr>
        <w:t> - </w:t>
      </w:r>
      <w:r w:rsidRPr="009118AB">
        <w:rPr>
          <w:i/>
          <w:iCs/>
        </w:rPr>
        <w:t>anwendbar ab dem Steuerjahr 2007 in Bezug auf Steuergutschriften für Forschung und Entwicklung und Abzüge für Risikokapital</w:t>
      </w:r>
      <w:r w:rsidR="00D67EB8" w:rsidRPr="009118AB">
        <w:rPr>
          <w:i/>
          <w:iCs/>
        </w:rPr>
        <w:t> - </w:t>
      </w:r>
      <w:r w:rsidRPr="009118AB">
        <w:rPr>
          <w:i/>
          <w:iCs/>
        </w:rPr>
        <w:t xml:space="preserve">und abgeändert durch </w:t>
      </w:r>
      <w:r w:rsidR="00D67EB8" w:rsidRPr="009118AB">
        <w:rPr>
          <w:i/>
          <w:iCs/>
        </w:rPr>
        <w:t>Art. </w:t>
      </w:r>
      <w:r w:rsidRPr="009118AB">
        <w:rPr>
          <w:i/>
          <w:iCs/>
        </w:rPr>
        <w:t xml:space="preserve">12 </w:t>
      </w:r>
      <w:r w:rsidR="00D67EB8" w:rsidRPr="009118AB">
        <w:rPr>
          <w:i/>
          <w:iCs/>
        </w:rPr>
        <w:t>Nr. </w:t>
      </w:r>
      <w:r w:rsidRPr="009118AB">
        <w:rPr>
          <w:i/>
          <w:iCs/>
        </w:rPr>
        <w:t>2 des G. vom 9. Februar 2017 (B.S. vom 20. Februar 2017)</w:t>
      </w:r>
      <w:r w:rsidR="00D67EB8" w:rsidRPr="009118AB">
        <w:rPr>
          <w:i/>
          <w:iCs/>
        </w:rPr>
        <w:t> - </w:t>
      </w:r>
      <w:r w:rsidRPr="009118AB">
        <w:rPr>
          <w:i/>
          <w:iCs/>
        </w:rPr>
        <w:t>wirksam mit 1. Juli 2016</w:t>
      </w:r>
      <w:r w:rsidR="003366D9" w:rsidRPr="009118AB">
        <w:rPr>
          <w:i/>
          <w:iCs/>
        </w:rPr>
        <w:t> -;</w:t>
      </w:r>
      <w:r w:rsidRPr="009118AB">
        <w:rPr>
          <w:i/>
          <w:iCs/>
        </w:rPr>
        <w:t xml:space="preserve"> </w:t>
      </w:r>
      <w:r w:rsidR="00D67EB8" w:rsidRPr="009118AB">
        <w:rPr>
          <w:i/>
          <w:iCs/>
        </w:rPr>
        <w:t>§ </w:t>
      </w:r>
      <w:r w:rsidRPr="009118AB">
        <w:rPr>
          <w:i/>
          <w:iCs/>
        </w:rPr>
        <w:t xml:space="preserve">3 </w:t>
      </w:r>
      <w:r w:rsidR="00D67EB8" w:rsidRPr="009118AB">
        <w:rPr>
          <w:i/>
          <w:iCs/>
        </w:rPr>
        <w:t>Abs. </w:t>
      </w:r>
      <w:r w:rsidRPr="009118AB">
        <w:rPr>
          <w:i/>
          <w:iCs/>
        </w:rPr>
        <w:t xml:space="preserve">4 abgeändert durch </w:t>
      </w:r>
      <w:r w:rsidR="00D67EB8" w:rsidRPr="009118AB">
        <w:rPr>
          <w:i/>
          <w:iCs/>
        </w:rPr>
        <w:t>Art. </w:t>
      </w:r>
      <w:r w:rsidRPr="009118AB">
        <w:rPr>
          <w:i/>
          <w:iCs/>
        </w:rPr>
        <w:t xml:space="preserve">6 </w:t>
      </w:r>
      <w:r w:rsidR="00D67EB8" w:rsidRPr="009118AB">
        <w:rPr>
          <w:i/>
          <w:iCs/>
        </w:rPr>
        <w:t>Nr. </w:t>
      </w:r>
      <w:r w:rsidRPr="009118AB">
        <w:rPr>
          <w:i/>
          <w:iCs/>
        </w:rPr>
        <w:t xml:space="preserve">2 des </w:t>
      </w:r>
      <w:r w:rsidRPr="009118AB">
        <w:rPr>
          <w:i/>
          <w:iCs/>
        </w:rPr>
        <w:lastRenderedPageBreak/>
        <w:t>G. vom 14. Januar 2003 (B.S. vom 5. Februar 2003)</w:t>
      </w:r>
      <w:r w:rsidR="00D67EB8" w:rsidRPr="009118AB">
        <w:rPr>
          <w:i/>
          <w:iCs/>
        </w:rPr>
        <w:t> - </w:t>
      </w:r>
      <w:r w:rsidRPr="009118AB">
        <w:rPr>
          <w:i/>
          <w:iCs/>
        </w:rPr>
        <w:t>anwendbar auf Mehrwerte, die ab dem 1. Januar 2000 verwirklicht werden, und insofern sich das Datum der Verwirklichung frühestens auf den Besteuerungszeitraum bezieht, der an das Steuerjahr 2001 gebunden ist</w:t>
      </w:r>
      <w:r w:rsidR="00D67EB8" w:rsidRPr="009118AB">
        <w:rPr>
          <w:i/>
          <w:iCs/>
        </w:rPr>
        <w:t> - </w:t>
      </w:r>
      <w:r w:rsidRPr="009118AB">
        <w:rPr>
          <w:i/>
          <w:iCs/>
        </w:rPr>
        <w:t xml:space="preserve">und </w:t>
      </w:r>
      <w:r w:rsidR="00D67EB8" w:rsidRPr="009118AB">
        <w:rPr>
          <w:i/>
          <w:iCs/>
        </w:rPr>
        <w:t>Art. </w:t>
      </w:r>
      <w:r w:rsidRPr="009118AB">
        <w:rPr>
          <w:i/>
          <w:iCs/>
        </w:rPr>
        <w:t xml:space="preserve">112 </w:t>
      </w:r>
      <w:r w:rsidR="00D67EB8" w:rsidRPr="009118AB">
        <w:rPr>
          <w:i/>
          <w:iCs/>
        </w:rPr>
        <w:t>Nr. </w:t>
      </w:r>
      <w:r w:rsidRPr="009118AB">
        <w:rPr>
          <w:i/>
          <w:iCs/>
        </w:rPr>
        <w:t>2 des G. (IV) vom 25. April 2007 (I) (B.S. vom 8. Mai 2007)</w:t>
      </w:r>
      <w:r w:rsidR="00D67EB8" w:rsidRPr="009118AB">
        <w:rPr>
          <w:i/>
          <w:iCs/>
        </w:rPr>
        <w:t> - </w:t>
      </w:r>
      <w:r w:rsidRPr="009118AB">
        <w:rPr>
          <w:i/>
          <w:iCs/>
        </w:rPr>
        <w:t>anwendbar auf Mehrwerte, die ab dem 1. Januar 2007 verwirklicht werden, und insofern sich das Datum der Verwirklichung frühestens auf den Besteuerungszeitraum bezieht, der an das Steuerjahr 2008 gebunden ist</w:t>
      </w:r>
      <w:r w:rsidR="003366D9" w:rsidRPr="009118AB">
        <w:rPr>
          <w:i/>
          <w:iCs/>
        </w:rPr>
        <w:t> -;</w:t>
      </w:r>
      <w:r w:rsidRPr="009118AB">
        <w:rPr>
          <w:i/>
          <w:iCs/>
        </w:rPr>
        <w:t xml:space="preserve"> </w:t>
      </w:r>
      <w:r w:rsidR="00D67EB8" w:rsidRPr="009118AB">
        <w:rPr>
          <w:i/>
          <w:iCs/>
        </w:rPr>
        <w:t>§ </w:t>
      </w:r>
      <w:r w:rsidRPr="009118AB">
        <w:rPr>
          <w:i/>
          <w:iCs/>
        </w:rPr>
        <w:t xml:space="preserve">3 </w:t>
      </w:r>
      <w:r w:rsidR="00D67EB8" w:rsidRPr="009118AB">
        <w:rPr>
          <w:i/>
          <w:iCs/>
        </w:rPr>
        <w:t>Abs. </w:t>
      </w:r>
      <w:r w:rsidRPr="009118AB">
        <w:rPr>
          <w:i/>
          <w:iCs/>
        </w:rPr>
        <w:t xml:space="preserve">5 abgeändert durch </w:t>
      </w:r>
      <w:r w:rsidR="00D67EB8" w:rsidRPr="009118AB">
        <w:rPr>
          <w:i/>
          <w:iCs/>
        </w:rPr>
        <w:t>Art. </w:t>
      </w:r>
      <w:r w:rsidRPr="009118AB">
        <w:rPr>
          <w:i/>
          <w:iCs/>
        </w:rPr>
        <w:t xml:space="preserve">6 </w:t>
      </w:r>
      <w:r w:rsidR="00D67EB8" w:rsidRPr="009118AB">
        <w:rPr>
          <w:i/>
          <w:iCs/>
        </w:rPr>
        <w:t>Nr. </w:t>
      </w:r>
      <w:r w:rsidRPr="009118AB">
        <w:rPr>
          <w:i/>
          <w:iCs/>
        </w:rPr>
        <w:t>3 des G. vom 14. Januar 2003 (B.S. vom 5. Februar 2003)</w:t>
      </w:r>
      <w:r w:rsidR="00D67EB8" w:rsidRPr="009118AB">
        <w:rPr>
          <w:i/>
          <w:iCs/>
        </w:rPr>
        <w:t> - </w:t>
      </w:r>
      <w:r w:rsidRPr="009118AB">
        <w:rPr>
          <w:i/>
          <w:iCs/>
        </w:rPr>
        <w:t>anwendbar auf Mehrwerte, die ab dem 1. Januar 2000 verwirklicht werden, und insofern sich das Datum der Verwirklichung frühestens auf den Besteuerungszeitraum bezieht, der an das Steuerjahr 2001 gebunden ist</w:t>
      </w:r>
      <w:r w:rsidR="00D67EB8" w:rsidRPr="009118AB">
        <w:rPr>
          <w:i/>
          <w:iCs/>
        </w:rPr>
        <w:t> - </w:t>
      </w:r>
      <w:r w:rsidRPr="009118AB">
        <w:rPr>
          <w:i/>
          <w:iCs/>
        </w:rPr>
        <w:t xml:space="preserve">und </w:t>
      </w:r>
      <w:r w:rsidR="00D67EB8" w:rsidRPr="009118AB">
        <w:rPr>
          <w:i/>
          <w:iCs/>
        </w:rPr>
        <w:t>Art. </w:t>
      </w:r>
      <w:r w:rsidRPr="009118AB">
        <w:rPr>
          <w:i/>
          <w:iCs/>
        </w:rPr>
        <w:t xml:space="preserve">112 </w:t>
      </w:r>
      <w:r w:rsidR="00D67EB8" w:rsidRPr="009118AB">
        <w:rPr>
          <w:i/>
          <w:iCs/>
        </w:rPr>
        <w:t>Nr. </w:t>
      </w:r>
      <w:r w:rsidRPr="009118AB">
        <w:rPr>
          <w:i/>
          <w:iCs/>
        </w:rPr>
        <w:t>3 des G.</w:t>
      </w:r>
      <w:r w:rsidR="00AE61F5" w:rsidRPr="009118AB">
        <w:rPr>
          <w:i/>
          <w:iCs/>
        </w:rPr>
        <w:t> </w:t>
      </w:r>
      <w:r w:rsidRPr="009118AB">
        <w:rPr>
          <w:i/>
          <w:iCs/>
        </w:rPr>
        <w:t>(IV) vom 25. April 2007</w:t>
      </w:r>
      <w:r w:rsidR="00AE61F5" w:rsidRPr="009118AB">
        <w:rPr>
          <w:i/>
          <w:iCs/>
        </w:rPr>
        <w:t> </w:t>
      </w:r>
      <w:r w:rsidRPr="009118AB">
        <w:rPr>
          <w:i/>
          <w:iCs/>
        </w:rPr>
        <w:t>(I) (B.S. vom 8. Mai 2007)</w:t>
      </w:r>
      <w:r w:rsidR="00D67EB8" w:rsidRPr="009118AB">
        <w:rPr>
          <w:i/>
          <w:iCs/>
        </w:rPr>
        <w:t> - </w:t>
      </w:r>
      <w:r w:rsidRPr="009118AB">
        <w:rPr>
          <w:i/>
          <w:iCs/>
        </w:rPr>
        <w:t>anwendbar auf Mehrwerte, die ab dem 1. Januar 2007 verwirklicht werden, und insofern sich das Datum der Verwirklichung frühestens auf den Besteuerungszeitraum bezieht, der an das Steuerjahr 2008 gebunden ist</w:t>
      </w:r>
      <w:r w:rsidR="00FD68E8" w:rsidRPr="009118AB">
        <w:rPr>
          <w:i/>
          <w:iCs/>
        </w:rPr>
        <w:t> -]</w:t>
      </w:r>
    </w:p>
    <w:p w14:paraId="141DA1B8" w14:textId="5E0C0FA7" w:rsidR="00477B8F" w:rsidRPr="009118AB" w:rsidRDefault="0031458F" w:rsidP="00936841">
      <w:pPr>
        <w:autoSpaceDE w:val="0"/>
        <w:autoSpaceDN w:val="0"/>
        <w:adjustRightInd w:val="0"/>
        <w:jc w:val="center"/>
      </w:pPr>
      <w:r w:rsidRPr="009118AB">
        <w:rPr>
          <w:b/>
          <w:bCs/>
        </w:rPr>
        <w:br w:type="page"/>
      </w:r>
      <w:r w:rsidR="004C080A" w:rsidRPr="009118AB">
        <w:rPr>
          <w:b/>
          <w:bCs/>
        </w:rPr>
        <w:lastRenderedPageBreak/>
        <w:t>KAPITEL </w:t>
      </w:r>
      <w:r w:rsidR="007828ED" w:rsidRPr="009118AB">
        <w:rPr>
          <w:b/>
          <w:bCs/>
        </w:rPr>
        <w:t>3</w:t>
      </w:r>
      <w:r w:rsidR="00D67EB8" w:rsidRPr="009118AB">
        <w:t> - </w:t>
      </w:r>
      <w:r w:rsidR="00477B8F" w:rsidRPr="009118AB">
        <w:rPr>
          <w:i/>
          <w:iCs/>
        </w:rPr>
        <w:t>Globalisierung gewisser Einkünfte</w:t>
      </w:r>
    </w:p>
    <w:p w14:paraId="4FD1D2FB" w14:textId="77777777" w:rsidR="00477B8F" w:rsidRPr="009118AB" w:rsidRDefault="00477B8F" w:rsidP="00477B8F">
      <w:pPr>
        <w:autoSpaceDE w:val="0"/>
        <w:autoSpaceDN w:val="0"/>
        <w:adjustRightInd w:val="0"/>
        <w:jc w:val="center"/>
      </w:pPr>
    </w:p>
    <w:p w14:paraId="3F97B76F" w14:textId="77777777" w:rsidR="00477B8F" w:rsidRPr="009118AB" w:rsidRDefault="00477B8F" w:rsidP="00477B8F">
      <w:pPr>
        <w:autoSpaceDE w:val="0"/>
        <w:autoSpaceDN w:val="0"/>
        <w:adjustRightInd w:val="0"/>
        <w:jc w:val="center"/>
      </w:pPr>
    </w:p>
    <w:p w14:paraId="3A64E568" w14:textId="07D58695" w:rsidR="00477B8F" w:rsidRPr="009118AB" w:rsidRDefault="00477B8F" w:rsidP="00477B8F">
      <w:pPr>
        <w:autoSpaceDE w:val="0"/>
        <w:autoSpaceDN w:val="0"/>
        <w:adjustRightInd w:val="0"/>
        <w:jc w:val="center"/>
      </w:pPr>
      <w:r w:rsidRPr="009118AB">
        <w:rPr>
          <w:i/>
          <w:iCs/>
        </w:rPr>
        <w:t>Abschnitt </w:t>
      </w:r>
      <w:r w:rsidR="00D74862" w:rsidRPr="009118AB">
        <w:rPr>
          <w:i/>
          <w:iCs/>
        </w:rPr>
        <w:t>1</w:t>
      </w:r>
      <w:r w:rsidR="00D67EB8" w:rsidRPr="009118AB">
        <w:t> - </w:t>
      </w:r>
      <w:r w:rsidRPr="009118AB">
        <w:t>Besteuerungsgrundlage</w:t>
      </w:r>
    </w:p>
    <w:p w14:paraId="4BC19694" w14:textId="77777777" w:rsidR="00477B8F" w:rsidRPr="009118AB" w:rsidRDefault="00477B8F" w:rsidP="00477B8F">
      <w:pPr>
        <w:autoSpaceDE w:val="0"/>
        <w:autoSpaceDN w:val="0"/>
        <w:adjustRightInd w:val="0"/>
        <w:jc w:val="center"/>
      </w:pPr>
    </w:p>
    <w:p w14:paraId="5CBA96C3" w14:textId="77777777" w:rsidR="00477B8F" w:rsidRPr="009118AB" w:rsidRDefault="00477B8F" w:rsidP="00477B8F">
      <w:pPr>
        <w:autoSpaceDE w:val="0"/>
        <w:autoSpaceDN w:val="0"/>
        <w:adjustRightInd w:val="0"/>
        <w:jc w:val="center"/>
      </w:pPr>
    </w:p>
    <w:p w14:paraId="7D369F5D" w14:textId="6E0BB206" w:rsidR="00976B66" w:rsidRPr="009118AB" w:rsidRDefault="00477B8F" w:rsidP="00976B66">
      <w:pPr>
        <w:jc w:val="both"/>
        <w:rPr>
          <w:iCs/>
        </w:rPr>
      </w:pPr>
      <w:r w:rsidRPr="009118AB">
        <w:tab/>
      </w:r>
      <w:r w:rsidR="00D67EB8" w:rsidRPr="009118AB">
        <w:rPr>
          <w:b/>
          <w:bCs/>
        </w:rPr>
        <w:t>Art. </w:t>
      </w:r>
      <w:r w:rsidRPr="009118AB">
        <w:rPr>
          <w:b/>
          <w:bCs/>
        </w:rPr>
        <w:t>232</w:t>
      </w:r>
      <w:r w:rsidR="00D67EB8" w:rsidRPr="009118AB">
        <w:t> - </w:t>
      </w:r>
      <w:r w:rsidR="00976B66" w:rsidRPr="009118AB">
        <w:rPr>
          <w:iCs/>
        </w:rPr>
        <w:t xml:space="preserve">In Bezug auf die in Artikel 227 </w:t>
      </w:r>
      <w:r w:rsidR="00D67EB8" w:rsidRPr="009118AB">
        <w:rPr>
          <w:iCs/>
        </w:rPr>
        <w:t>Nr. </w:t>
      </w:r>
      <w:r w:rsidR="00976B66" w:rsidRPr="009118AB">
        <w:rPr>
          <w:iCs/>
        </w:rPr>
        <w:t>1 erwähnten Steuerpflichtigen wird die Steuer festgelegt:</w:t>
      </w:r>
    </w:p>
    <w:p w14:paraId="338C9B89" w14:textId="77777777" w:rsidR="00976B66" w:rsidRPr="009118AB" w:rsidRDefault="00976B66" w:rsidP="00976B66">
      <w:pPr>
        <w:jc w:val="both"/>
        <w:rPr>
          <w:iCs/>
        </w:rPr>
      </w:pPr>
    </w:p>
    <w:p w14:paraId="3437AE36" w14:textId="77777777" w:rsidR="00976B66" w:rsidRPr="009118AB" w:rsidRDefault="00351632" w:rsidP="00976B66">
      <w:pPr>
        <w:jc w:val="both"/>
        <w:rPr>
          <w:iCs/>
        </w:rPr>
      </w:pPr>
      <w:r w:rsidRPr="009118AB">
        <w:rPr>
          <w:iCs/>
        </w:rPr>
        <w:tab/>
      </w:r>
      <w:r w:rsidR="00976B66" w:rsidRPr="009118AB">
        <w:rPr>
          <w:iCs/>
        </w:rPr>
        <w:t>1. auf die Gesamtheit ihrer Einkünfte aus in Belgien gelegenen unbeweglichen Gütern, wenn diese Steuerpflichtigen Einkünfte aus der Vermietung von unbeweglichen Gütern oder aus der Begründung oder Abtretung eines Erbpachtrechts oder Erbbaurechts oder gleichartiger Rechte an unbeweglichen Gütern beziehen,</w:t>
      </w:r>
    </w:p>
    <w:p w14:paraId="5723267B" w14:textId="77777777" w:rsidR="00976B66" w:rsidRPr="009118AB" w:rsidRDefault="00976B66" w:rsidP="00976B66">
      <w:pPr>
        <w:jc w:val="both"/>
        <w:rPr>
          <w:iCs/>
        </w:rPr>
      </w:pPr>
    </w:p>
    <w:p w14:paraId="7A8826DB" w14:textId="1055A0D6" w:rsidR="00976B66" w:rsidRPr="009118AB" w:rsidRDefault="00351632" w:rsidP="00976B66">
      <w:pPr>
        <w:jc w:val="both"/>
        <w:rPr>
          <w:iCs/>
        </w:rPr>
      </w:pPr>
      <w:r w:rsidRPr="009118AB">
        <w:rPr>
          <w:iCs/>
        </w:rPr>
        <w:tab/>
      </w:r>
      <w:r w:rsidR="00976B66" w:rsidRPr="009118AB">
        <w:rPr>
          <w:iCs/>
        </w:rPr>
        <w:t>2. auf den Gesamtbetrag ihrer [Einkünfte aus in Belgien gelegenen unbeweglichen Gütern, [</w:t>
      </w:r>
      <w:r w:rsidR="00505563" w:rsidRPr="009118AB">
        <w:t xml:space="preserve">ihrer in Artikel 228 </w:t>
      </w:r>
      <w:r w:rsidR="00D67EB8" w:rsidRPr="009118AB">
        <w:t>§ </w:t>
      </w:r>
      <w:r w:rsidR="00505563" w:rsidRPr="009118AB">
        <w:t>1 erwähnten Berufseinkünfte</w:t>
      </w:r>
      <w:r w:rsidR="00976B66" w:rsidRPr="009118AB">
        <w:rPr>
          <w:iCs/>
        </w:rPr>
        <w:t>]</w:t>
      </w:r>
      <w:r w:rsidR="00D459C6" w:rsidRPr="009118AB">
        <w:rPr>
          <w:iCs/>
        </w:rPr>
        <w:t>[</w:t>
      </w:r>
      <w:r w:rsidR="00D459C6" w:rsidRPr="009118AB">
        <w:t xml:space="preserve">, ihrer in Artikel 228 </w:t>
      </w:r>
      <w:r w:rsidR="00D67EB8" w:rsidRPr="009118AB">
        <w:t>§ </w:t>
      </w:r>
      <w:r w:rsidR="00D459C6" w:rsidRPr="009118AB">
        <w:t xml:space="preserve">2 </w:t>
      </w:r>
      <w:r w:rsidR="00D67EB8" w:rsidRPr="009118AB">
        <w:t>Nr. </w:t>
      </w:r>
      <w:r w:rsidR="00D459C6" w:rsidRPr="009118AB">
        <w:t>9 Buchstabe </w:t>
      </w:r>
      <w:r w:rsidR="00D459C6" w:rsidRPr="009118AB">
        <w:rPr>
          <w:i/>
        </w:rPr>
        <w:t>a/1)</w:t>
      </w:r>
      <w:r w:rsidR="00D459C6" w:rsidRPr="009118AB">
        <w:t xml:space="preserve"> erwähnten Einkünfte</w:t>
      </w:r>
      <w:r w:rsidR="00D459C6" w:rsidRPr="009118AB">
        <w:rPr>
          <w:iCs/>
        </w:rPr>
        <w:t>]</w:t>
      </w:r>
      <w:r w:rsidR="00505563" w:rsidRPr="009118AB">
        <w:rPr>
          <w:iCs/>
        </w:rPr>
        <w:t xml:space="preserve"> </w:t>
      </w:r>
      <w:r w:rsidR="00976B66" w:rsidRPr="009118AB">
        <w:rPr>
          <w:iCs/>
        </w:rPr>
        <w:t xml:space="preserve">[und der in Artikel 228 </w:t>
      </w:r>
      <w:r w:rsidR="00D67EB8" w:rsidRPr="009118AB">
        <w:rPr>
          <w:iCs/>
        </w:rPr>
        <w:t>§ </w:t>
      </w:r>
      <w:r w:rsidR="00976B66" w:rsidRPr="009118AB">
        <w:rPr>
          <w:iCs/>
        </w:rPr>
        <w:t xml:space="preserve">2 </w:t>
      </w:r>
      <w:r w:rsidR="00D67EB8" w:rsidRPr="009118AB">
        <w:rPr>
          <w:iCs/>
        </w:rPr>
        <w:t>Nr. </w:t>
      </w:r>
      <w:r w:rsidR="00976B66" w:rsidRPr="009118AB">
        <w:rPr>
          <w:iCs/>
        </w:rPr>
        <w:t>9 Buchstabe </w:t>
      </w:r>
      <w:r w:rsidR="00976B66" w:rsidRPr="009118AB">
        <w:rPr>
          <w:i/>
          <w:iCs/>
        </w:rPr>
        <w:t>h)</w:t>
      </w:r>
      <w:r w:rsidR="00976B66" w:rsidRPr="009118AB">
        <w:rPr>
          <w:iCs/>
        </w:rPr>
        <w:t xml:space="preserve"> erwähnten Mehrwerte]], wenn diese Steuerpflichtigen:</w:t>
      </w:r>
    </w:p>
    <w:p w14:paraId="54478828" w14:textId="77777777" w:rsidR="00976B66" w:rsidRPr="009118AB" w:rsidRDefault="00976B66" w:rsidP="00976B66">
      <w:pPr>
        <w:jc w:val="both"/>
        <w:rPr>
          <w:iCs/>
        </w:rPr>
      </w:pPr>
    </w:p>
    <w:p w14:paraId="573F5640" w14:textId="77777777" w:rsidR="00976B66" w:rsidRPr="009118AB" w:rsidRDefault="00351632" w:rsidP="00976B66">
      <w:pPr>
        <w:jc w:val="both"/>
        <w:rPr>
          <w:iCs/>
        </w:rPr>
      </w:pPr>
      <w:r w:rsidRPr="009118AB">
        <w:rPr>
          <w:i/>
          <w:iCs/>
        </w:rPr>
        <w:tab/>
      </w:r>
      <w:r w:rsidR="00976B66" w:rsidRPr="009118AB">
        <w:rPr>
          <w:i/>
          <w:iCs/>
        </w:rPr>
        <w:t>a)</w:t>
      </w:r>
      <w:r w:rsidR="00976B66" w:rsidRPr="009118AB">
        <w:rPr>
          <w:iCs/>
        </w:rPr>
        <w:t xml:space="preserve"> </w:t>
      </w:r>
      <w:r w:rsidR="00505563" w:rsidRPr="009118AB">
        <w:rPr>
          <w:iCs/>
        </w:rPr>
        <w:t>[</w:t>
      </w:r>
      <w:r w:rsidR="00505563" w:rsidRPr="009118AB">
        <w:t>über eine oder mehrere belgische Niederlassungen verfügen oder verfügen sollen,]</w:t>
      </w:r>
    </w:p>
    <w:p w14:paraId="33DCA86C" w14:textId="77777777" w:rsidR="00976B66" w:rsidRPr="009118AB" w:rsidRDefault="00976B66" w:rsidP="00976B66">
      <w:pPr>
        <w:jc w:val="both"/>
        <w:rPr>
          <w:iCs/>
        </w:rPr>
      </w:pPr>
    </w:p>
    <w:p w14:paraId="3336028A" w14:textId="0C754A0D" w:rsidR="00976B66" w:rsidRPr="009118AB" w:rsidRDefault="00351632" w:rsidP="00976B66">
      <w:pPr>
        <w:jc w:val="both"/>
        <w:rPr>
          <w:iCs/>
        </w:rPr>
      </w:pPr>
      <w:r w:rsidRPr="009118AB">
        <w:rPr>
          <w:i/>
          <w:iCs/>
        </w:rPr>
        <w:tab/>
      </w:r>
      <w:r w:rsidR="00976B66" w:rsidRPr="009118AB">
        <w:rPr>
          <w:i/>
          <w:iCs/>
        </w:rPr>
        <w:t>b)</w:t>
      </w:r>
      <w:r w:rsidR="00976B66" w:rsidRPr="009118AB">
        <w:rPr>
          <w:iCs/>
        </w:rPr>
        <w:t xml:space="preserve"> in Belgien in Artikel 228 </w:t>
      </w:r>
      <w:r w:rsidR="00D67EB8" w:rsidRPr="009118AB">
        <w:rPr>
          <w:iCs/>
        </w:rPr>
        <w:t>§ </w:t>
      </w:r>
      <w:r w:rsidR="00976B66" w:rsidRPr="009118AB">
        <w:rPr>
          <w:iCs/>
        </w:rPr>
        <w:t xml:space="preserve">2 </w:t>
      </w:r>
      <w:r w:rsidR="00D67EB8" w:rsidRPr="009118AB">
        <w:rPr>
          <w:iCs/>
        </w:rPr>
        <w:t>Nr. </w:t>
      </w:r>
      <w:r w:rsidR="00976B66" w:rsidRPr="009118AB">
        <w:rPr>
          <w:iCs/>
        </w:rPr>
        <w:t>3 Buchstabe </w:t>
      </w:r>
      <w:r w:rsidR="00976B66" w:rsidRPr="009118AB">
        <w:rPr>
          <w:i/>
          <w:iCs/>
        </w:rPr>
        <w:t>a)</w:t>
      </w:r>
      <w:r w:rsidR="00976B66" w:rsidRPr="009118AB">
        <w:rPr>
          <w:iCs/>
        </w:rPr>
        <w:t xml:space="preserve"> und </w:t>
      </w:r>
      <w:r w:rsidR="00976B66" w:rsidRPr="009118AB">
        <w:rPr>
          <w:i/>
          <w:iCs/>
        </w:rPr>
        <w:t>e)</w:t>
      </w:r>
      <w:r w:rsidR="00976B66" w:rsidRPr="009118AB">
        <w:rPr>
          <w:iCs/>
        </w:rPr>
        <w:t xml:space="preserve">, 4, 5, 6, </w:t>
      </w:r>
      <w:r w:rsidRPr="009118AB">
        <w:rPr>
          <w:iCs/>
        </w:rPr>
        <w:t>[</w:t>
      </w:r>
      <w:r w:rsidR="00976B66" w:rsidRPr="009118AB">
        <w:rPr>
          <w:iCs/>
        </w:rPr>
        <w:t>7</w:t>
      </w:r>
      <w:r w:rsidRPr="009118AB">
        <w:rPr>
          <w:iCs/>
        </w:rPr>
        <w:t>, 7</w:t>
      </w:r>
      <w:r w:rsidRPr="009118AB">
        <w:rPr>
          <w:i/>
          <w:iCs/>
        </w:rPr>
        <w:t>bis</w:t>
      </w:r>
      <w:r w:rsidR="00E90374" w:rsidRPr="009118AB">
        <w:rPr>
          <w:iCs/>
        </w:rPr>
        <w:t xml:space="preserve"> </w:t>
      </w:r>
      <w:r w:rsidR="00D459C6" w:rsidRPr="009118AB">
        <w:rPr>
          <w:iCs/>
        </w:rPr>
        <w:t>[</w:t>
      </w:r>
      <w:r w:rsidR="00D459C6" w:rsidRPr="009118AB">
        <w:t>und 9 Buchstabe </w:t>
      </w:r>
      <w:r w:rsidR="00D459C6" w:rsidRPr="009118AB">
        <w:rPr>
          <w:i/>
        </w:rPr>
        <w:t>a/1)</w:t>
      </w:r>
      <w:r w:rsidR="00D459C6" w:rsidRPr="009118AB">
        <w:t xml:space="preserve"> und </w:t>
      </w:r>
      <w:r w:rsidR="00D459C6" w:rsidRPr="009118AB">
        <w:rPr>
          <w:i/>
        </w:rPr>
        <w:t>h)</w:t>
      </w:r>
      <w:r w:rsidR="00D459C6" w:rsidRPr="009118AB">
        <w:rPr>
          <w:iCs/>
        </w:rPr>
        <w:t>]</w:t>
      </w:r>
      <w:r w:rsidR="00976B66" w:rsidRPr="009118AB">
        <w:rPr>
          <w:iCs/>
        </w:rPr>
        <w:t>] erwähnte [Einkünfte erzielen oder beziehen],</w:t>
      </w:r>
    </w:p>
    <w:p w14:paraId="3A0C30AA" w14:textId="77777777" w:rsidR="00976B66" w:rsidRPr="009118AB" w:rsidRDefault="00976B66" w:rsidP="00976B66">
      <w:pPr>
        <w:jc w:val="both"/>
        <w:rPr>
          <w:iCs/>
        </w:rPr>
      </w:pPr>
    </w:p>
    <w:p w14:paraId="00B3BD02" w14:textId="3156A31D" w:rsidR="00976B66" w:rsidRPr="009118AB" w:rsidRDefault="00351632" w:rsidP="00976B66">
      <w:pPr>
        <w:jc w:val="both"/>
        <w:rPr>
          <w:iCs/>
        </w:rPr>
      </w:pPr>
      <w:r w:rsidRPr="009118AB">
        <w:rPr>
          <w:iCs/>
        </w:rPr>
        <w:tab/>
      </w:r>
      <w:r w:rsidR="00976B66" w:rsidRPr="009118AB">
        <w:rPr>
          <w:iCs/>
        </w:rPr>
        <w:t>[</w:t>
      </w:r>
      <w:r w:rsidR="00976B66" w:rsidRPr="009118AB">
        <w:rPr>
          <w:i/>
          <w:iCs/>
        </w:rPr>
        <w:t>c)</w:t>
      </w:r>
      <w:r w:rsidR="00976B66" w:rsidRPr="009118AB">
        <w:rPr>
          <w:iCs/>
        </w:rPr>
        <w:t xml:space="preserve"> [in Belgien während mehr als dreißig Tagen, zu berechnen pro Zeitraum von zwölf aufeinander folgenden Monaten und pro Schuldner der in Artikel 228 </w:t>
      </w:r>
      <w:r w:rsidR="00D67EB8" w:rsidRPr="009118AB">
        <w:rPr>
          <w:iCs/>
        </w:rPr>
        <w:t>§ </w:t>
      </w:r>
      <w:r w:rsidR="00976B66" w:rsidRPr="009118AB">
        <w:rPr>
          <w:iCs/>
        </w:rPr>
        <w:t xml:space="preserve">2 </w:t>
      </w:r>
      <w:r w:rsidR="00D67EB8" w:rsidRPr="009118AB">
        <w:rPr>
          <w:iCs/>
        </w:rPr>
        <w:t>Nr. </w:t>
      </w:r>
      <w:r w:rsidR="00976B66" w:rsidRPr="009118AB">
        <w:rPr>
          <w:iCs/>
        </w:rPr>
        <w:t>8 erwähnten Einkünfte, persönlich eine Tätigkeit als Sportler ausüben.]]</w:t>
      </w:r>
    </w:p>
    <w:p w14:paraId="0A66A1A3" w14:textId="77777777" w:rsidR="00976B66" w:rsidRPr="009118AB" w:rsidRDefault="00976B66" w:rsidP="00976B66">
      <w:pPr>
        <w:jc w:val="both"/>
        <w:rPr>
          <w:iCs/>
        </w:rPr>
      </w:pPr>
    </w:p>
    <w:p w14:paraId="1E53AEA1" w14:textId="4A00857D" w:rsidR="00976B66" w:rsidRPr="009118AB" w:rsidRDefault="00351632" w:rsidP="00976B66">
      <w:pPr>
        <w:jc w:val="both"/>
        <w:rPr>
          <w:iCs/>
        </w:rPr>
      </w:pPr>
      <w:r w:rsidRPr="009118AB">
        <w:rPr>
          <w:iCs/>
        </w:rPr>
        <w:tab/>
      </w:r>
      <w:r w:rsidR="00976B66" w:rsidRPr="009118AB">
        <w:rPr>
          <w:iCs/>
        </w:rPr>
        <w:t xml:space="preserve">[In den in Absatz 1 </w:t>
      </w:r>
      <w:r w:rsidR="00D67EB8" w:rsidRPr="009118AB">
        <w:rPr>
          <w:iCs/>
        </w:rPr>
        <w:t>Nr. </w:t>
      </w:r>
      <w:r w:rsidR="00976B66" w:rsidRPr="009118AB">
        <w:rPr>
          <w:iCs/>
        </w:rPr>
        <w:t>1 erwähnten Fällen wird die Steuer jedoch nicht festgelegt, wenn der Gesamtbetrag der Einkünfte aus unbeweglichen Gütern unter [2.500 EUR] liegt.]</w:t>
      </w:r>
    </w:p>
    <w:p w14:paraId="0B5F0F40" w14:textId="77777777" w:rsidR="00976B66" w:rsidRPr="009118AB" w:rsidRDefault="00976B66" w:rsidP="00976B66">
      <w:pPr>
        <w:jc w:val="both"/>
        <w:rPr>
          <w:iCs/>
        </w:rPr>
      </w:pPr>
    </w:p>
    <w:p w14:paraId="58D8C149" w14:textId="77777777" w:rsidR="00976B66" w:rsidRPr="009118AB" w:rsidRDefault="00351632" w:rsidP="00976B66">
      <w:pPr>
        <w:jc w:val="both"/>
        <w:rPr>
          <w:iCs/>
        </w:rPr>
      </w:pPr>
      <w:r w:rsidRPr="009118AB">
        <w:rPr>
          <w:iCs/>
        </w:rPr>
        <w:tab/>
      </w:r>
      <w:r w:rsidR="00976B66" w:rsidRPr="009118AB">
        <w:rPr>
          <w:iCs/>
        </w:rPr>
        <w:t>[Im Falle einer gemeinsamen Veranlagung ist Absatz 2 nur anwendbar, wenn:</w:t>
      </w:r>
    </w:p>
    <w:p w14:paraId="0E7BE41A" w14:textId="77777777" w:rsidR="00976B66" w:rsidRPr="009118AB" w:rsidRDefault="00976B66" w:rsidP="00976B66">
      <w:pPr>
        <w:jc w:val="both"/>
        <w:rPr>
          <w:iCs/>
        </w:rPr>
      </w:pPr>
    </w:p>
    <w:p w14:paraId="41EA7BAF" w14:textId="4E8AD4E4" w:rsidR="00976B66" w:rsidRPr="009118AB" w:rsidRDefault="00351632" w:rsidP="00976B66">
      <w:pPr>
        <w:jc w:val="both"/>
        <w:rPr>
          <w:iCs/>
        </w:rPr>
      </w:pPr>
      <w:r w:rsidRPr="009118AB">
        <w:rPr>
          <w:iCs/>
        </w:rPr>
        <w:tab/>
      </w:r>
      <w:r w:rsidR="00976B66" w:rsidRPr="009118AB">
        <w:rPr>
          <w:iCs/>
        </w:rPr>
        <w:t xml:space="preserve">- keiner der beiden Ehepartner in Absatz 1 </w:t>
      </w:r>
      <w:r w:rsidR="00D67EB8" w:rsidRPr="009118AB">
        <w:rPr>
          <w:iCs/>
        </w:rPr>
        <w:t>Nr. </w:t>
      </w:r>
      <w:r w:rsidR="00976B66" w:rsidRPr="009118AB">
        <w:rPr>
          <w:iCs/>
        </w:rPr>
        <w:t xml:space="preserve">2 erwähnte Einkünfte erzielt oder bezogen hat oder die in Artikel 248 </w:t>
      </w:r>
      <w:r w:rsidR="00D67EB8" w:rsidRPr="009118AB">
        <w:rPr>
          <w:iCs/>
        </w:rPr>
        <w:t>§ </w:t>
      </w:r>
      <w:r w:rsidR="00976B66" w:rsidRPr="009118AB">
        <w:rPr>
          <w:iCs/>
        </w:rPr>
        <w:t>2 vorgesehene Wahl getroffen hat und</w:t>
      </w:r>
    </w:p>
    <w:p w14:paraId="5B97B1ED" w14:textId="77777777" w:rsidR="00976B66" w:rsidRPr="009118AB" w:rsidRDefault="00976B66" w:rsidP="00976B66">
      <w:pPr>
        <w:jc w:val="both"/>
        <w:rPr>
          <w:iCs/>
        </w:rPr>
      </w:pPr>
    </w:p>
    <w:p w14:paraId="6591CAA1" w14:textId="77777777" w:rsidR="00976B66" w:rsidRPr="009118AB" w:rsidRDefault="00351632" w:rsidP="00976B66">
      <w:pPr>
        <w:jc w:val="both"/>
        <w:rPr>
          <w:iCs/>
        </w:rPr>
      </w:pPr>
      <w:r w:rsidRPr="009118AB">
        <w:rPr>
          <w:iCs/>
        </w:rPr>
        <w:tab/>
      </w:r>
      <w:r w:rsidR="00976B66" w:rsidRPr="009118AB">
        <w:rPr>
          <w:iCs/>
        </w:rPr>
        <w:t>- der Gesamtbetrag der Einkünfte aus unbeweglichen Gütern jedes Ehepartners unter 2.500 EUR liegt.]</w:t>
      </w:r>
    </w:p>
    <w:p w14:paraId="25177428" w14:textId="77777777" w:rsidR="00976B66" w:rsidRPr="009118AB" w:rsidRDefault="00976B66" w:rsidP="00976B66">
      <w:pPr>
        <w:jc w:val="both"/>
        <w:rPr>
          <w:iCs/>
        </w:rPr>
      </w:pPr>
    </w:p>
    <w:p w14:paraId="0FCFEB11" w14:textId="55C1494F" w:rsidR="00976B66" w:rsidRPr="009118AB" w:rsidRDefault="00976B66" w:rsidP="00976B66">
      <w:pPr>
        <w:jc w:val="both"/>
        <w:rPr>
          <w:i/>
        </w:rPr>
      </w:pPr>
      <w:r w:rsidRPr="009118AB">
        <w:rPr>
          <w:i/>
          <w:iCs/>
          <w:spacing w:val="-2"/>
        </w:rPr>
        <w:t>[</w:t>
      </w:r>
      <w:r w:rsidR="00D67EB8" w:rsidRPr="009118AB">
        <w:rPr>
          <w:i/>
          <w:iCs/>
          <w:spacing w:val="-2"/>
        </w:rPr>
        <w:t>Art. </w:t>
      </w:r>
      <w:r w:rsidRPr="009118AB">
        <w:rPr>
          <w:i/>
          <w:iCs/>
          <w:spacing w:val="-2"/>
        </w:rPr>
        <w:t xml:space="preserve">232 </w:t>
      </w:r>
      <w:r w:rsidR="00D67EB8" w:rsidRPr="009118AB">
        <w:rPr>
          <w:i/>
          <w:iCs/>
          <w:spacing w:val="-2"/>
        </w:rPr>
        <w:t>Abs. </w:t>
      </w:r>
      <w:r w:rsidRPr="009118AB">
        <w:rPr>
          <w:i/>
          <w:iCs/>
          <w:spacing w:val="-2"/>
        </w:rPr>
        <w:t xml:space="preserve">1 </w:t>
      </w:r>
      <w:r w:rsidR="00D67EB8" w:rsidRPr="009118AB">
        <w:rPr>
          <w:i/>
          <w:iCs/>
          <w:spacing w:val="-2"/>
        </w:rPr>
        <w:t>Nr. </w:t>
      </w:r>
      <w:r w:rsidRPr="009118AB">
        <w:rPr>
          <w:i/>
          <w:iCs/>
          <w:spacing w:val="-2"/>
        </w:rPr>
        <w:t xml:space="preserve">2 einziger Absatz einleitende Bestimmung abgeändert durch </w:t>
      </w:r>
      <w:r w:rsidR="00D67EB8" w:rsidRPr="009118AB">
        <w:rPr>
          <w:i/>
          <w:iCs/>
          <w:spacing w:val="-2"/>
        </w:rPr>
        <w:t>Art. </w:t>
      </w:r>
      <w:r w:rsidRPr="009118AB">
        <w:rPr>
          <w:i/>
          <w:iCs/>
          <w:spacing w:val="-2"/>
        </w:rPr>
        <w:t xml:space="preserve">27 </w:t>
      </w:r>
      <w:r w:rsidR="00D67EB8" w:rsidRPr="009118AB">
        <w:rPr>
          <w:i/>
          <w:iCs/>
          <w:spacing w:val="-2"/>
        </w:rPr>
        <w:t>Nr. </w:t>
      </w:r>
      <w:r w:rsidRPr="009118AB">
        <w:rPr>
          <w:i/>
          <w:iCs/>
          <w:spacing w:val="-2"/>
        </w:rPr>
        <w:t>1 des G. vom 28. Juli 1992 (B.S. vom 31. Juli 1992)</w:t>
      </w:r>
      <w:r w:rsidR="00D67EB8" w:rsidRPr="009118AB">
        <w:rPr>
          <w:i/>
          <w:iCs/>
          <w:spacing w:val="-2"/>
        </w:rPr>
        <w:t> - </w:t>
      </w:r>
      <w:r w:rsidRPr="009118AB">
        <w:rPr>
          <w:i/>
          <w:iCs/>
          <w:spacing w:val="-2"/>
        </w:rPr>
        <w:t>anwendbar ab dem Steuerjahr 1993</w:t>
      </w:r>
      <w:r w:rsidR="00FD68E8" w:rsidRPr="009118AB">
        <w:rPr>
          <w:i/>
          <w:iCs/>
          <w:spacing w:val="-2"/>
        </w:rPr>
        <w:t> -,</w:t>
      </w:r>
      <w:r w:rsidRPr="009118AB">
        <w:rPr>
          <w:i/>
          <w:iCs/>
        </w:rPr>
        <w:t xml:space="preserve"> </w:t>
      </w:r>
      <w:r w:rsidR="00D67EB8" w:rsidRPr="009118AB">
        <w:rPr>
          <w:i/>
          <w:iCs/>
        </w:rPr>
        <w:t>Art. </w:t>
      </w:r>
      <w:r w:rsidRPr="009118AB">
        <w:rPr>
          <w:i/>
          <w:iCs/>
        </w:rPr>
        <w:t xml:space="preserve">137 </w:t>
      </w:r>
      <w:r w:rsidR="00D67EB8" w:rsidRPr="009118AB">
        <w:rPr>
          <w:i/>
          <w:iCs/>
        </w:rPr>
        <w:t>Nr. </w:t>
      </w:r>
      <w:r w:rsidRPr="009118AB">
        <w:rPr>
          <w:i/>
          <w:iCs/>
        </w:rPr>
        <w:t>1 des G. (IV) vom 25. April 2007 (I) (B.S. vom 8. Mai 2007)</w:t>
      </w:r>
      <w:r w:rsidR="00D67EB8" w:rsidRPr="009118AB">
        <w:rPr>
          <w:i/>
          <w:iCs/>
        </w:rPr>
        <w:t> - </w:t>
      </w:r>
      <w:r w:rsidRPr="009118AB">
        <w:rPr>
          <w:i/>
          <w:iCs/>
        </w:rPr>
        <w:t>anwendbar auf die ab dem 1. Januar 2007 gezahlten oder zuerkannten Vergütungen und Entlohnungen</w:t>
      </w:r>
      <w:r w:rsidR="00FD68E8" w:rsidRPr="009118AB">
        <w:rPr>
          <w:i/>
          <w:iCs/>
        </w:rPr>
        <w:t> -,</w:t>
      </w:r>
      <w:r w:rsidRPr="009118AB">
        <w:rPr>
          <w:i/>
          <w:iCs/>
        </w:rPr>
        <w:t xml:space="preserve"> </w:t>
      </w:r>
      <w:r w:rsidR="00D67EB8" w:rsidRPr="009118AB">
        <w:rPr>
          <w:i/>
          <w:iCs/>
        </w:rPr>
        <w:t>Art. </w:t>
      </w:r>
      <w:r w:rsidRPr="009118AB">
        <w:rPr>
          <w:i/>
          <w:iCs/>
        </w:rPr>
        <w:t xml:space="preserve">162 </w:t>
      </w:r>
      <w:r w:rsidR="00D67EB8" w:rsidRPr="009118AB">
        <w:rPr>
          <w:i/>
          <w:iCs/>
        </w:rPr>
        <w:t>Nr. </w:t>
      </w:r>
      <w:r w:rsidRPr="009118AB">
        <w:rPr>
          <w:i/>
          <w:iCs/>
        </w:rPr>
        <w:t>1 des G. (I) vom 22. Dezember 2008 (II) (B.S. vom 29. Dezember 2008)</w:t>
      </w:r>
      <w:r w:rsidR="00D67EB8" w:rsidRPr="009118AB">
        <w:rPr>
          <w:i/>
          <w:iCs/>
        </w:rPr>
        <w:t> - </w:t>
      </w:r>
      <w:r w:rsidRPr="009118AB">
        <w:rPr>
          <w:i/>
          <w:iCs/>
        </w:rPr>
        <w:t>anwendbar auf die ab dem 1. Januar 2008 erzielten oder bezogenen Einkünfte</w:t>
      </w:r>
      <w:r w:rsidR="00FD68E8" w:rsidRPr="009118AB">
        <w:rPr>
          <w:i/>
          <w:iCs/>
        </w:rPr>
        <w:t> -,</w:t>
      </w:r>
      <w:r w:rsidRPr="009118AB">
        <w:rPr>
          <w:i/>
          <w:iCs/>
        </w:rPr>
        <w:t xml:space="preserve"> </w:t>
      </w:r>
      <w:r w:rsidR="00D67EB8" w:rsidRPr="009118AB">
        <w:rPr>
          <w:i/>
          <w:iCs/>
        </w:rPr>
        <w:t>Art. </w:t>
      </w:r>
      <w:r w:rsidRPr="009118AB">
        <w:rPr>
          <w:i/>
          <w:iCs/>
        </w:rPr>
        <w:t>163</w:t>
      </w:r>
      <w:r w:rsidR="006522FB" w:rsidRPr="009118AB">
        <w:rPr>
          <w:i/>
          <w:iCs/>
        </w:rPr>
        <w:t xml:space="preserve"> </w:t>
      </w:r>
      <w:r w:rsidR="00D67EB8" w:rsidRPr="009118AB">
        <w:rPr>
          <w:i/>
          <w:iCs/>
        </w:rPr>
        <w:t>Nr. </w:t>
      </w:r>
      <w:r w:rsidR="006522FB" w:rsidRPr="009118AB">
        <w:rPr>
          <w:i/>
          <w:iCs/>
        </w:rPr>
        <w:t>1</w:t>
      </w:r>
      <w:r w:rsidR="0093555C" w:rsidRPr="009118AB">
        <w:rPr>
          <w:i/>
          <w:iCs/>
        </w:rPr>
        <w:t xml:space="preserve"> des G. (I) vom 22. Dezember 2008 (II) (B.S. vom 29. Dezember 2008)</w:t>
      </w:r>
      <w:r w:rsidR="00D67EB8" w:rsidRPr="009118AB">
        <w:rPr>
          <w:i/>
          <w:iCs/>
        </w:rPr>
        <w:t> - </w:t>
      </w:r>
      <w:r w:rsidR="0093555C" w:rsidRPr="009118AB">
        <w:rPr>
          <w:i/>
          <w:iCs/>
        </w:rPr>
        <w:t xml:space="preserve">anwendbar auf die ab dem </w:t>
      </w:r>
      <w:r w:rsidR="0093555C" w:rsidRPr="00CB1997">
        <w:rPr>
          <w:i/>
          <w:iCs/>
        </w:rPr>
        <w:t>1. Januar 2009 gezahlten oder zuerkannten Einkünfte</w:t>
      </w:r>
      <w:r w:rsidR="00FD68E8" w:rsidRPr="00CB1997">
        <w:rPr>
          <w:i/>
          <w:iCs/>
        </w:rPr>
        <w:t> -,</w:t>
      </w:r>
      <w:r w:rsidR="00505563" w:rsidRPr="00CB1997">
        <w:rPr>
          <w:i/>
          <w:iCs/>
        </w:rPr>
        <w:t xml:space="preserve"> </w:t>
      </w:r>
      <w:r w:rsidR="00D67EB8" w:rsidRPr="00CB1997">
        <w:rPr>
          <w:i/>
          <w:iCs/>
        </w:rPr>
        <w:t>Art. </w:t>
      </w:r>
      <w:r w:rsidR="00505563" w:rsidRPr="00CB1997">
        <w:rPr>
          <w:i/>
          <w:iCs/>
        </w:rPr>
        <w:t xml:space="preserve">64 </w:t>
      </w:r>
      <w:r w:rsidR="00D67EB8" w:rsidRPr="00CB1997">
        <w:rPr>
          <w:i/>
          <w:iCs/>
        </w:rPr>
        <w:t>Nr. </w:t>
      </w:r>
      <w:r w:rsidR="00505563" w:rsidRPr="00CB1997">
        <w:rPr>
          <w:i/>
          <w:iCs/>
        </w:rPr>
        <w:t>1 des G. vom 13. Dezember 2012 (B.S. vom 20. Dezember 2012)</w:t>
      </w:r>
      <w:r w:rsidR="00D67EB8" w:rsidRPr="00CB1997">
        <w:rPr>
          <w:i/>
          <w:iCs/>
        </w:rPr>
        <w:t> - </w:t>
      </w:r>
      <w:r w:rsidR="00505563" w:rsidRPr="00CB1997">
        <w:rPr>
          <w:i/>
          <w:iCs/>
        </w:rPr>
        <w:t>anwendbar ab dem 1. Januar 2013</w:t>
      </w:r>
      <w:r w:rsidR="00FD68E8" w:rsidRPr="00CB1997">
        <w:rPr>
          <w:i/>
          <w:iCs/>
        </w:rPr>
        <w:t> -,</w:t>
      </w:r>
      <w:r w:rsidR="008839ED" w:rsidRPr="00CB1997">
        <w:rPr>
          <w:i/>
          <w:iCs/>
        </w:rPr>
        <w:t xml:space="preserve"> </w:t>
      </w:r>
      <w:r w:rsidR="00D67EB8" w:rsidRPr="00CB1997">
        <w:rPr>
          <w:i/>
          <w:iCs/>
        </w:rPr>
        <w:t>Art. </w:t>
      </w:r>
      <w:r w:rsidR="00D459C6" w:rsidRPr="00CB1997">
        <w:rPr>
          <w:i/>
          <w:iCs/>
        </w:rPr>
        <w:t xml:space="preserve">52 </w:t>
      </w:r>
      <w:r w:rsidR="00D67EB8" w:rsidRPr="00CB1997">
        <w:rPr>
          <w:i/>
          <w:iCs/>
        </w:rPr>
        <w:t>Nr. </w:t>
      </w:r>
      <w:r w:rsidR="00D459C6" w:rsidRPr="00CB1997">
        <w:rPr>
          <w:i/>
          <w:iCs/>
        </w:rPr>
        <w:t>1</w:t>
      </w:r>
      <w:r w:rsidR="00D459C6" w:rsidRPr="00CB1997">
        <w:rPr>
          <w:rFonts w:ascii="Times New Roman Italique" w:hAnsi="Times New Roman Italique"/>
          <w:i/>
          <w:iCs/>
          <w:spacing w:val="-2"/>
        </w:rPr>
        <w:t xml:space="preserve"> des G. vom 18. Juli 2018 (B.S. vom 26. Juli 2018)</w:t>
      </w:r>
      <w:r w:rsidR="00D67EB8" w:rsidRPr="00CB1997">
        <w:rPr>
          <w:rFonts w:ascii="Times New Roman Italique" w:hAnsi="Times New Roman Italique"/>
          <w:i/>
          <w:iCs/>
          <w:spacing w:val="-2"/>
        </w:rPr>
        <w:t> - </w:t>
      </w:r>
      <w:r w:rsidR="00D459C6" w:rsidRPr="00CB1997">
        <w:rPr>
          <w:i/>
        </w:rPr>
        <w:t>anwendbar</w:t>
      </w:r>
      <w:r w:rsidR="00D459C6" w:rsidRPr="00CB1997">
        <w:rPr>
          <w:rFonts w:ascii="Times New Roman Italique" w:hAnsi="Times New Roman Italique"/>
          <w:i/>
          <w:iCs/>
          <w:spacing w:val="-2"/>
        </w:rPr>
        <w:t xml:space="preserve"> auf die </w:t>
      </w:r>
      <w:r w:rsidR="00D459C6" w:rsidRPr="00CB1997">
        <w:rPr>
          <w:i/>
        </w:rPr>
        <w:t>ab dem 1. Januar 2018 erzielten oder bezogenen Einkünfte</w:t>
      </w:r>
      <w:r w:rsidR="00FD68E8" w:rsidRPr="00CB1997">
        <w:rPr>
          <w:i/>
        </w:rPr>
        <w:t> -,</w:t>
      </w:r>
      <w:r w:rsidR="002C6FAC" w:rsidRPr="00CB1997">
        <w:rPr>
          <w:i/>
          <w:iCs/>
        </w:rPr>
        <w:t xml:space="preserve"> </w:t>
      </w:r>
      <w:r w:rsidR="007630C7" w:rsidRPr="00CB1997">
        <w:rPr>
          <w:i/>
        </w:rPr>
        <w:t xml:space="preserve">selbst bedingt </w:t>
      </w:r>
      <w:r w:rsidR="002C6FAC" w:rsidRPr="00CB1997">
        <w:rPr>
          <w:i/>
          <w:iCs/>
        </w:rPr>
        <w:t xml:space="preserve">für nichtig erklärt durch </w:t>
      </w:r>
      <w:r w:rsidR="002C6FAC" w:rsidRPr="00CB1997">
        <w:rPr>
          <w:i/>
        </w:rPr>
        <w:lastRenderedPageBreak/>
        <w:t xml:space="preserve">Entscheid </w:t>
      </w:r>
      <w:r w:rsidR="00D67EB8" w:rsidRPr="00CB1997">
        <w:rPr>
          <w:i/>
        </w:rPr>
        <w:t>Nr. </w:t>
      </w:r>
      <w:r w:rsidR="002C6FAC" w:rsidRPr="00CB1997">
        <w:rPr>
          <w:i/>
        </w:rPr>
        <w:t xml:space="preserve">53/2020 des Verfassungsgerichtshofes vom 23. April 2020 (B.S. vom 20. Mai 2020), und durch </w:t>
      </w:r>
      <w:r w:rsidR="00D67EB8" w:rsidRPr="00CB1997">
        <w:rPr>
          <w:i/>
        </w:rPr>
        <w:t>Art. </w:t>
      </w:r>
      <w:r w:rsidR="002C6FAC" w:rsidRPr="00CB1997">
        <w:rPr>
          <w:i/>
        </w:rPr>
        <w:t xml:space="preserve">66 </w:t>
      </w:r>
      <w:r w:rsidR="00D67EB8" w:rsidRPr="00CB1997">
        <w:rPr>
          <w:i/>
        </w:rPr>
        <w:t>Nr. </w:t>
      </w:r>
      <w:r w:rsidR="002C6FAC" w:rsidRPr="00CB1997">
        <w:rPr>
          <w:i/>
        </w:rPr>
        <w:t>1</w:t>
      </w:r>
      <w:r w:rsidR="002C6FAC" w:rsidRPr="00CB1997">
        <w:rPr>
          <w:i/>
          <w:iCs/>
        </w:rPr>
        <w:t xml:space="preserve"> des G. vom 24. Dezember 2020 (B.S. vom 31. Dezember 2020)</w:t>
      </w:r>
      <w:r w:rsidR="00D67EB8" w:rsidRPr="00CB1997">
        <w:rPr>
          <w:i/>
          <w:iCs/>
        </w:rPr>
        <w:t> - </w:t>
      </w:r>
      <w:r w:rsidR="002C6FAC" w:rsidRPr="00CB1997">
        <w:rPr>
          <w:i/>
          <w:iCs/>
        </w:rPr>
        <w:t>in Kraft am 1. Januar 2021 und anwendbar auf die ab dem 1. Januar 2021 erzielten oder bezogenen Einkünfte</w:t>
      </w:r>
      <w:r w:rsidR="003366D9" w:rsidRPr="00CB1997">
        <w:rPr>
          <w:i/>
          <w:iCs/>
        </w:rPr>
        <w:t> -;</w:t>
      </w:r>
      <w:r w:rsidRPr="00CB1997">
        <w:rPr>
          <w:i/>
          <w:iCs/>
        </w:rPr>
        <w:t xml:space="preserve"> </w:t>
      </w:r>
      <w:r w:rsidR="00D67EB8" w:rsidRPr="00CB1997">
        <w:rPr>
          <w:i/>
          <w:iCs/>
        </w:rPr>
        <w:t>Abs. </w:t>
      </w:r>
      <w:r w:rsidR="00505563" w:rsidRPr="00CB1997">
        <w:rPr>
          <w:i/>
          <w:iCs/>
        </w:rPr>
        <w:t>1</w:t>
      </w:r>
      <w:r w:rsidR="00C83EA3" w:rsidRPr="00CB1997">
        <w:rPr>
          <w:i/>
          <w:iCs/>
        </w:rPr>
        <w:t xml:space="preserve"> </w:t>
      </w:r>
      <w:r w:rsidR="00D67EB8" w:rsidRPr="00CB1997">
        <w:rPr>
          <w:i/>
          <w:iCs/>
        </w:rPr>
        <w:t>Nr. </w:t>
      </w:r>
      <w:r w:rsidR="00505563" w:rsidRPr="00CB1997">
        <w:rPr>
          <w:i/>
          <w:iCs/>
        </w:rPr>
        <w:t xml:space="preserve">2 einziger Absatz Buchstabe a) ersetzt durch </w:t>
      </w:r>
      <w:r w:rsidR="00D67EB8" w:rsidRPr="00CB1997">
        <w:rPr>
          <w:i/>
          <w:iCs/>
        </w:rPr>
        <w:t>Art. </w:t>
      </w:r>
      <w:r w:rsidR="00505563" w:rsidRPr="00CB1997">
        <w:rPr>
          <w:i/>
          <w:iCs/>
        </w:rPr>
        <w:t xml:space="preserve">64 </w:t>
      </w:r>
      <w:r w:rsidR="00D67EB8" w:rsidRPr="00CB1997">
        <w:rPr>
          <w:i/>
          <w:iCs/>
        </w:rPr>
        <w:t>Nr. </w:t>
      </w:r>
      <w:r w:rsidR="00505563" w:rsidRPr="00CB1997">
        <w:rPr>
          <w:i/>
          <w:iCs/>
        </w:rPr>
        <w:t>2 des G.</w:t>
      </w:r>
      <w:r w:rsidR="00B634E1" w:rsidRPr="00CB1997">
        <w:rPr>
          <w:i/>
          <w:iCs/>
        </w:rPr>
        <w:t> </w:t>
      </w:r>
      <w:r w:rsidR="00505563" w:rsidRPr="00CB1997">
        <w:rPr>
          <w:i/>
          <w:iCs/>
        </w:rPr>
        <w:t>vom 13. Dezember 2012</w:t>
      </w:r>
      <w:r w:rsidR="004F7F42" w:rsidRPr="00CB1997">
        <w:rPr>
          <w:i/>
          <w:iCs/>
        </w:rPr>
        <w:t xml:space="preserve"> (B.S. vom 20. Dezember 2012)</w:t>
      </w:r>
      <w:r w:rsidR="00D67EB8" w:rsidRPr="00CB1997">
        <w:rPr>
          <w:i/>
          <w:iCs/>
        </w:rPr>
        <w:t> - </w:t>
      </w:r>
      <w:r w:rsidR="00505563" w:rsidRPr="00CB1997">
        <w:rPr>
          <w:i/>
          <w:iCs/>
        </w:rPr>
        <w:t>anwendbar ab dem 1. Januar 2013</w:t>
      </w:r>
      <w:r w:rsidR="003366D9" w:rsidRPr="00CB1997">
        <w:rPr>
          <w:i/>
          <w:iCs/>
        </w:rPr>
        <w:t> -;</w:t>
      </w:r>
      <w:r w:rsidR="00505563" w:rsidRPr="00CB1997">
        <w:rPr>
          <w:i/>
          <w:iCs/>
        </w:rPr>
        <w:t xml:space="preserve"> </w:t>
      </w:r>
      <w:r w:rsidR="00D67EB8" w:rsidRPr="00CB1997">
        <w:rPr>
          <w:i/>
          <w:iCs/>
        </w:rPr>
        <w:t>Abs. </w:t>
      </w:r>
      <w:r w:rsidRPr="00CB1997">
        <w:rPr>
          <w:i/>
          <w:iCs/>
        </w:rPr>
        <w:t xml:space="preserve">1 </w:t>
      </w:r>
      <w:r w:rsidR="00D67EB8" w:rsidRPr="00CB1997">
        <w:rPr>
          <w:i/>
          <w:iCs/>
        </w:rPr>
        <w:t>Nr. </w:t>
      </w:r>
      <w:r w:rsidRPr="00CB1997">
        <w:rPr>
          <w:i/>
          <w:iCs/>
        </w:rPr>
        <w:t xml:space="preserve">2 einziger Absatz Buchstabe b) abgeändert durch </w:t>
      </w:r>
      <w:r w:rsidR="00D67EB8" w:rsidRPr="00CB1997">
        <w:rPr>
          <w:i/>
          <w:iCs/>
        </w:rPr>
        <w:t>Art. </w:t>
      </w:r>
      <w:r w:rsidRPr="00CB1997">
        <w:rPr>
          <w:i/>
          <w:iCs/>
        </w:rPr>
        <w:t xml:space="preserve">27 </w:t>
      </w:r>
      <w:r w:rsidR="00D67EB8" w:rsidRPr="00CB1997">
        <w:rPr>
          <w:i/>
          <w:iCs/>
        </w:rPr>
        <w:t>Nr. </w:t>
      </w:r>
      <w:r w:rsidRPr="00CB1997">
        <w:rPr>
          <w:i/>
          <w:iCs/>
        </w:rPr>
        <w:t>2 des G. vom 28. Juli 1992 (B.S. vom 31. Juli 1992)</w:t>
      </w:r>
      <w:r w:rsidR="00D67EB8" w:rsidRPr="00CB1997">
        <w:rPr>
          <w:i/>
          <w:iCs/>
        </w:rPr>
        <w:t> - </w:t>
      </w:r>
      <w:r w:rsidRPr="00CB1997">
        <w:rPr>
          <w:i/>
          <w:iCs/>
        </w:rPr>
        <w:t>anwendbar ab dem Steuerjahr 1993</w:t>
      </w:r>
      <w:r w:rsidR="00FD68E8" w:rsidRPr="00CB1997">
        <w:rPr>
          <w:i/>
          <w:iCs/>
        </w:rPr>
        <w:t> -,</w:t>
      </w:r>
      <w:r w:rsidRPr="00CB1997">
        <w:rPr>
          <w:i/>
          <w:iCs/>
        </w:rPr>
        <w:t xml:space="preserve"> </w:t>
      </w:r>
      <w:r w:rsidR="00D67EB8" w:rsidRPr="00CB1997">
        <w:rPr>
          <w:i/>
          <w:iCs/>
        </w:rPr>
        <w:t>Art. </w:t>
      </w:r>
      <w:r w:rsidRPr="00CB1997">
        <w:rPr>
          <w:i/>
          <w:iCs/>
        </w:rPr>
        <w:t xml:space="preserve">137 </w:t>
      </w:r>
      <w:r w:rsidR="00D67EB8" w:rsidRPr="00CB1997">
        <w:rPr>
          <w:i/>
          <w:iCs/>
        </w:rPr>
        <w:t>Nr. </w:t>
      </w:r>
      <w:r w:rsidRPr="00CB1997">
        <w:rPr>
          <w:i/>
          <w:iCs/>
        </w:rPr>
        <w:t>2 des G. (IV) vom 25. April 20</w:t>
      </w:r>
      <w:r w:rsidR="004F7F42" w:rsidRPr="00CB1997">
        <w:rPr>
          <w:i/>
          <w:iCs/>
        </w:rPr>
        <w:t>07 (I) (B.S. vom 8. Mai 2007)</w:t>
      </w:r>
      <w:r w:rsidR="00D67EB8" w:rsidRPr="00CB1997">
        <w:rPr>
          <w:i/>
          <w:iCs/>
        </w:rPr>
        <w:t> - </w:t>
      </w:r>
      <w:r w:rsidRPr="00CB1997">
        <w:rPr>
          <w:i/>
          <w:iCs/>
        </w:rPr>
        <w:t>anwendbar auf die ab dem 1. Januar 2007 gezahlten oder zuerkannten Vergütungen und Entlohnungen</w:t>
      </w:r>
      <w:r w:rsidR="00FD68E8" w:rsidRPr="00CB1997">
        <w:rPr>
          <w:i/>
          <w:iCs/>
        </w:rPr>
        <w:t> -,</w:t>
      </w:r>
      <w:r w:rsidRPr="00CB1997">
        <w:rPr>
          <w:i/>
          <w:iCs/>
        </w:rPr>
        <w:t xml:space="preserve"> </w:t>
      </w:r>
      <w:r w:rsidR="00D67EB8" w:rsidRPr="00CB1997">
        <w:rPr>
          <w:i/>
          <w:iCs/>
        </w:rPr>
        <w:t>Art. </w:t>
      </w:r>
      <w:r w:rsidRPr="00CB1997">
        <w:rPr>
          <w:i/>
          <w:iCs/>
        </w:rPr>
        <w:t xml:space="preserve">162 </w:t>
      </w:r>
      <w:r w:rsidR="00D67EB8" w:rsidRPr="00CB1997">
        <w:rPr>
          <w:i/>
          <w:iCs/>
        </w:rPr>
        <w:t>Nr. </w:t>
      </w:r>
      <w:r w:rsidRPr="00CB1997">
        <w:rPr>
          <w:i/>
          <w:iCs/>
        </w:rPr>
        <w:t>2 des G.</w:t>
      </w:r>
      <w:r w:rsidR="0093555C" w:rsidRPr="00CB1997">
        <w:rPr>
          <w:i/>
          <w:iCs/>
        </w:rPr>
        <w:t> </w:t>
      </w:r>
      <w:r w:rsidRPr="00CB1997">
        <w:rPr>
          <w:i/>
          <w:iCs/>
        </w:rPr>
        <w:t>(I) vom 22. Dezember 2008 (II) (B.S. vom 29. Dezember 2008)</w:t>
      </w:r>
      <w:r w:rsidR="00D67EB8" w:rsidRPr="00CB1997">
        <w:rPr>
          <w:i/>
          <w:iCs/>
        </w:rPr>
        <w:t> - </w:t>
      </w:r>
      <w:r w:rsidRPr="00CB1997">
        <w:rPr>
          <w:i/>
          <w:iCs/>
        </w:rPr>
        <w:t>anwendbar auf die ab dem 1. Januar 2008 erzielten oder bezogenen Einkünfte</w:t>
      </w:r>
      <w:r w:rsidR="00FD68E8" w:rsidRPr="00CB1997">
        <w:rPr>
          <w:i/>
          <w:iCs/>
        </w:rPr>
        <w:t> -,</w:t>
      </w:r>
      <w:r w:rsidR="0093555C" w:rsidRPr="00CB1997">
        <w:rPr>
          <w:i/>
          <w:iCs/>
        </w:rPr>
        <w:t xml:space="preserve"> </w:t>
      </w:r>
      <w:r w:rsidR="00D67EB8" w:rsidRPr="00CB1997">
        <w:rPr>
          <w:i/>
          <w:iCs/>
        </w:rPr>
        <w:t>Art. </w:t>
      </w:r>
      <w:r w:rsidR="0093555C" w:rsidRPr="00CB1997">
        <w:rPr>
          <w:i/>
          <w:iCs/>
        </w:rPr>
        <w:t xml:space="preserve">163 </w:t>
      </w:r>
      <w:r w:rsidR="00D67EB8" w:rsidRPr="00CB1997">
        <w:rPr>
          <w:i/>
          <w:iCs/>
        </w:rPr>
        <w:t>Nr. </w:t>
      </w:r>
      <w:r w:rsidR="0093555C" w:rsidRPr="00CB1997">
        <w:rPr>
          <w:i/>
          <w:iCs/>
        </w:rPr>
        <w:t>2 des G. (I) vom 22. Dezember 2008 (II) (B.S. vom 29. Dezember 2008)</w:t>
      </w:r>
      <w:r w:rsidR="00D67EB8" w:rsidRPr="00CB1997">
        <w:rPr>
          <w:i/>
          <w:iCs/>
        </w:rPr>
        <w:t> - </w:t>
      </w:r>
      <w:r w:rsidR="0093555C" w:rsidRPr="00CB1997">
        <w:rPr>
          <w:i/>
          <w:iCs/>
        </w:rPr>
        <w:t>anwendbar auf die ab dem 1. Januar 2009 gezahlten oder zuerkannten Einkünfte</w:t>
      </w:r>
      <w:r w:rsidR="00FD68E8" w:rsidRPr="00CB1997">
        <w:rPr>
          <w:i/>
          <w:iCs/>
        </w:rPr>
        <w:t> -,</w:t>
      </w:r>
      <w:r w:rsidR="00201134" w:rsidRPr="00CB1997">
        <w:rPr>
          <w:i/>
          <w:iCs/>
        </w:rPr>
        <w:t xml:space="preserve"> </w:t>
      </w:r>
      <w:r w:rsidR="00D67EB8" w:rsidRPr="00CB1997">
        <w:rPr>
          <w:i/>
          <w:iCs/>
        </w:rPr>
        <w:t>Art. </w:t>
      </w:r>
      <w:r w:rsidR="00201134" w:rsidRPr="00CB1997">
        <w:rPr>
          <w:i/>
          <w:iCs/>
        </w:rPr>
        <w:t xml:space="preserve">32 des </w:t>
      </w:r>
      <w:r w:rsidR="00DC1F9F" w:rsidRPr="00CB1997">
        <w:rPr>
          <w:i/>
          <w:iCs/>
        </w:rPr>
        <w:t>G. vom 22. Dezember 2009</w:t>
      </w:r>
      <w:r w:rsidR="00A220AF" w:rsidRPr="00CB1997">
        <w:rPr>
          <w:i/>
          <w:iCs/>
        </w:rPr>
        <w:t> </w:t>
      </w:r>
      <w:r w:rsidR="00DC1F9F" w:rsidRPr="00CB1997">
        <w:rPr>
          <w:i/>
          <w:iCs/>
        </w:rPr>
        <w:t>(I)</w:t>
      </w:r>
      <w:r w:rsidR="004F7F42" w:rsidRPr="00CB1997">
        <w:rPr>
          <w:i/>
          <w:iCs/>
        </w:rPr>
        <w:t xml:space="preserve"> (B.S. vom 31. Dezember 2009)</w:t>
      </w:r>
      <w:r w:rsidR="00D67EB8" w:rsidRPr="00CB1997">
        <w:rPr>
          <w:i/>
          <w:iCs/>
        </w:rPr>
        <w:t> - </w:t>
      </w:r>
      <w:r w:rsidR="00201134" w:rsidRPr="00CB1997">
        <w:rPr>
          <w:i/>
          <w:iCs/>
        </w:rPr>
        <w:t>anwendbar auf die ab dem 1. Januar 2009 gezahlten oder zuerkannten Einkünfte</w:t>
      </w:r>
      <w:r w:rsidR="00FD68E8" w:rsidRPr="00CB1997">
        <w:rPr>
          <w:i/>
          <w:iCs/>
        </w:rPr>
        <w:t> -,</w:t>
      </w:r>
      <w:r w:rsidR="00D459C6" w:rsidRPr="00CB1997">
        <w:rPr>
          <w:i/>
          <w:iCs/>
        </w:rPr>
        <w:t xml:space="preserve"> </w:t>
      </w:r>
      <w:r w:rsidR="00D67EB8" w:rsidRPr="00CB1997">
        <w:rPr>
          <w:i/>
          <w:iCs/>
        </w:rPr>
        <w:t>Art. </w:t>
      </w:r>
      <w:r w:rsidR="00D459C6" w:rsidRPr="00CB1997">
        <w:rPr>
          <w:i/>
          <w:iCs/>
        </w:rPr>
        <w:t xml:space="preserve">52 </w:t>
      </w:r>
      <w:r w:rsidR="00D67EB8" w:rsidRPr="00CB1997">
        <w:rPr>
          <w:i/>
          <w:iCs/>
        </w:rPr>
        <w:t>Nr. </w:t>
      </w:r>
      <w:r w:rsidR="00D459C6" w:rsidRPr="00CB1997">
        <w:rPr>
          <w:i/>
          <w:iCs/>
        </w:rPr>
        <w:t>2</w:t>
      </w:r>
      <w:r w:rsidR="00D459C6" w:rsidRPr="00CB1997">
        <w:rPr>
          <w:rFonts w:ascii="Times New Roman Italique" w:hAnsi="Times New Roman Italique"/>
          <w:i/>
          <w:iCs/>
          <w:spacing w:val="-2"/>
        </w:rPr>
        <w:t xml:space="preserve"> des G. vom 18. Juli 2018 (B.S. vom 26. Juli 2018)</w:t>
      </w:r>
      <w:r w:rsidR="00D67EB8" w:rsidRPr="00CB1997">
        <w:rPr>
          <w:rFonts w:ascii="Times New Roman Italique" w:hAnsi="Times New Roman Italique"/>
          <w:i/>
          <w:iCs/>
          <w:spacing w:val="-2"/>
        </w:rPr>
        <w:t> - </w:t>
      </w:r>
      <w:r w:rsidR="00D459C6" w:rsidRPr="00CB1997">
        <w:rPr>
          <w:i/>
        </w:rPr>
        <w:t>anwendbar</w:t>
      </w:r>
      <w:r w:rsidR="00D459C6" w:rsidRPr="00CB1997">
        <w:rPr>
          <w:rFonts w:ascii="Times New Roman Italique" w:hAnsi="Times New Roman Italique"/>
          <w:i/>
          <w:iCs/>
          <w:spacing w:val="-2"/>
        </w:rPr>
        <w:t xml:space="preserve"> auf die </w:t>
      </w:r>
      <w:r w:rsidR="00D459C6" w:rsidRPr="00CB1997">
        <w:rPr>
          <w:i/>
        </w:rPr>
        <w:t>ab dem 1. Januar 2018 erzielten oder bezogenen Einkünfte</w:t>
      </w:r>
      <w:r w:rsidR="00FD68E8" w:rsidRPr="00CB1997">
        <w:rPr>
          <w:i/>
        </w:rPr>
        <w:t> -,</w:t>
      </w:r>
      <w:r w:rsidR="002C6FAC" w:rsidRPr="00CB1997">
        <w:rPr>
          <w:i/>
          <w:iCs/>
        </w:rPr>
        <w:t xml:space="preserve"> </w:t>
      </w:r>
      <w:r w:rsidR="007630C7" w:rsidRPr="00CB1997">
        <w:rPr>
          <w:i/>
        </w:rPr>
        <w:t xml:space="preserve">selbst bedingt </w:t>
      </w:r>
      <w:r w:rsidR="002C6FAC" w:rsidRPr="00CB1997">
        <w:rPr>
          <w:i/>
          <w:iCs/>
        </w:rPr>
        <w:t xml:space="preserve">für nichtig erklärt durch </w:t>
      </w:r>
      <w:r w:rsidR="002C6FAC" w:rsidRPr="00CB1997">
        <w:rPr>
          <w:i/>
        </w:rPr>
        <w:t xml:space="preserve">Entscheid </w:t>
      </w:r>
      <w:r w:rsidR="00D67EB8" w:rsidRPr="00CB1997">
        <w:rPr>
          <w:i/>
        </w:rPr>
        <w:t>Nr. </w:t>
      </w:r>
      <w:r w:rsidR="002C6FAC" w:rsidRPr="00CB1997">
        <w:rPr>
          <w:i/>
        </w:rPr>
        <w:t xml:space="preserve">53/2020 des Verfassungsgerichtshofes vom 23. April 2020 (B.S. vom 20. Mai 2020), und durch </w:t>
      </w:r>
      <w:r w:rsidR="00D67EB8" w:rsidRPr="00CB1997">
        <w:rPr>
          <w:i/>
        </w:rPr>
        <w:t>Art. </w:t>
      </w:r>
      <w:r w:rsidR="002C6FAC" w:rsidRPr="00CB1997">
        <w:rPr>
          <w:i/>
        </w:rPr>
        <w:t xml:space="preserve">66 </w:t>
      </w:r>
      <w:r w:rsidR="00D67EB8" w:rsidRPr="00CB1997">
        <w:rPr>
          <w:i/>
        </w:rPr>
        <w:t>Nr. </w:t>
      </w:r>
      <w:r w:rsidR="002C6FAC" w:rsidRPr="00CB1997">
        <w:rPr>
          <w:i/>
        </w:rPr>
        <w:t>2</w:t>
      </w:r>
      <w:r w:rsidR="002C6FAC" w:rsidRPr="00CB1997">
        <w:rPr>
          <w:i/>
          <w:iCs/>
        </w:rPr>
        <w:t xml:space="preserve"> des G. vom 24. Dezember 2020 (B.S. vom 31. Dezember 2020)</w:t>
      </w:r>
      <w:r w:rsidR="00D67EB8" w:rsidRPr="00CB1997">
        <w:rPr>
          <w:i/>
          <w:iCs/>
        </w:rPr>
        <w:t> - </w:t>
      </w:r>
      <w:r w:rsidR="002C6FAC" w:rsidRPr="00CB1997">
        <w:rPr>
          <w:i/>
          <w:iCs/>
        </w:rPr>
        <w:t>in Kraft am 1. Januar 2021 und anwendbar auf die ab dem 1. Januar 2021 erzielten oder bezogenen Einkünfte</w:t>
      </w:r>
      <w:r w:rsidR="003366D9" w:rsidRPr="00CB1997">
        <w:rPr>
          <w:i/>
          <w:iCs/>
        </w:rPr>
        <w:t> -;</w:t>
      </w:r>
      <w:r w:rsidRPr="00CB1997">
        <w:rPr>
          <w:i/>
          <w:iCs/>
        </w:rPr>
        <w:t xml:space="preserve"> </w:t>
      </w:r>
      <w:r w:rsidR="00D67EB8" w:rsidRPr="00CB1997">
        <w:rPr>
          <w:i/>
          <w:iCs/>
        </w:rPr>
        <w:t>Abs. </w:t>
      </w:r>
      <w:r w:rsidRPr="00CB1997">
        <w:rPr>
          <w:i/>
          <w:iCs/>
        </w:rPr>
        <w:t xml:space="preserve">1 </w:t>
      </w:r>
      <w:r w:rsidR="00D67EB8" w:rsidRPr="00CB1997">
        <w:rPr>
          <w:i/>
          <w:iCs/>
        </w:rPr>
        <w:t>Nr. </w:t>
      </w:r>
      <w:r w:rsidRPr="00CB1997">
        <w:rPr>
          <w:i/>
          <w:iCs/>
        </w:rPr>
        <w:t xml:space="preserve">2 einziger Absatz Buchstabe c) eingefügt durch </w:t>
      </w:r>
      <w:r w:rsidR="00D67EB8" w:rsidRPr="00CB1997">
        <w:rPr>
          <w:i/>
          <w:iCs/>
        </w:rPr>
        <w:t>Art. </w:t>
      </w:r>
      <w:r w:rsidRPr="00CB1997">
        <w:rPr>
          <w:i/>
          <w:iCs/>
        </w:rPr>
        <w:t>3 des G. vom 4. Mai 2007 (B.S. vom 15. Mai 2007)</w:t>
      </w:r>
      <w:r w:rsidR="00D67EB8" w:rsidRPr="00CB1997">
        <w:rPr>
          <w:i/>
          <w:iCs/>
        </w:rPr>
        <w:t> - </w:t>
      </w:r>
      <w:r w:rsidRPr="00CB1997">
        <w:rPr>
          <w:i/>
          <w:iCs/>
        </w:rPr>
        <w:t>anwendbar auf die ab dem 1. Januar 2008 gezahlten oder zuerkannten Einkünfte</w:t>
      </w:r>
      <w:r w:rsidR="00D67EB8" w:rsidRPr="00CB1997">
        <w:rPr>
          <w:i/>
          <w:iCs/>
        </w:rPr>
        <w:t> - </w:t>
      </w:r>
      <w:r w:rsidRPr="00CB1997">
        <w:rPr>
          <w:i/>
          <w:iCs/>
        </w:rPr>
        <w:t xml:space="preserve">und ersetzt durch </w:t>
      </w:r>
      <w:r w:rsidR="00D67EB8" w:rsidRPr="00CB1997">
        <w:rPr>
          <w:i/>
          <w:iCs/>
        </w:rPr>
        <w:t>Art. </w:t>
      </w:r>
      <w:r w:rsidRPr="00CB1997">
        <w:rPr>
          <w:i/>
          <w:iCs/>
        </w:rPr>
        <w:t xml:space="preserve">162 </w:t>
      </w:r>
      <w:r w:rsidR="00D67EB8" w:rsidRPr="00CB1997">
        <w:rPr>
          <w:i/>
          <w:iCs/>
        </w:rPr>
        <w:t>Nr. </w:t>
      </w:r>
      <w:r w:rsidRPr="00CB1997">
        <w:rPr>
          <w:i/>
          <w:iCs/>
        </w:rPr>
        <w:t>3 des G. (I) vom 22. Dezember 2008 (II) (B.S. vom 29. Dezember 2008)</w:t>
      </w:r>
      <w:r w:rsidR="00D67EB8" w:rsidRPr="00CB1997">
        <w:rPr>
          <w:i/>
          <w:iCs/>
        </w:rPr>
        <w:t> - </w:t>
      </w:r>
      <w:r w:rsidRPr="00CB1997">
        <w:rPr>
          <w:i/>
          <w:iCs/>
        </w:rPr>
        <w:t>anwendbar auf die ab dem 1. Januar 2008 gezahlten oder zuerkannten Einkünfte</w:t>
      </w:r>
      <w:r w:rsidR="003366D9" w:rsidRPr="00CB1997">
        <w:rPr>
          <w:i/>
          <w:iCs/>
        </w:rPr>
        <w:t> -;</w:t>
      </w:r>
      <w:r w:rsidRPr="00CB1997">
        <w:rPr>
          <w:i/>
          <w:iCs/>
        </w:rPr>
        <w:t xml:space="preserve"> </w:t>
      </w:r>
      <w:r w:rsidR="00D67EB8" w:rsidRPr="00CB1997">
        <w:rPr>
          <w:i/>
          <w:iCs/>
        </w:rPr>
        <w:t>Abs. </w:t>
      </w:r>
      <w:r w:rsidRPr="00CB1997">
        <w:rPr>
          <w:i/>
          <w:iCs/>
        </w:rPr>
        <w:t xml:space="preserve">2 eingefügt durch </w:t>
      </w:r>
      <w:r w:rsidR="00D67EB8" w:rsidRPr="00CB1997">
        <w:rPr>
          <w:i/>
          <w:iCs/>
        </w:rPr>
        <w:t>Art. </w:t>
      </w:r>
      <w:r w:rsidRPr="00CB1997">
        <w:rPr>
          <w:i/>
          <w:iCs/>
        </w:rPr>
        <w:t xml:space="preserve">27 </w:t>
      </w:r>
      <w:r w:rsidR="00D67EB8" w:rsidRPr="00CB1997">
        <w:rPr>
          <w:i/>
          <w:iCs/>
        </w:rPr>
        <w:t>Nr. </w:t>
      </w:r>
      <w:r w:rsidRPr="00CB1997">
        <w:rPr>
          <w:i/>
          <w:iCs/>
        </w:rPr>
        <w:t>3 des G. vom 28. Juli 1992 (B.S. vom 31. Juli 1992)</w:t>
      </w:r>
      <w:r w:rsidR="00D67EB8" w:rsidRPr="00CB1997">
        <w:rPr>
          <w:i/>
          <w:iCs/>
        </w:rPr>
        <w:t> - </w:t>
      </w:r>
      <w:r w:rsidRPr="00CB1997">
        <w:rPr>
          <w:i/>
          <w:iCs/>
        </w:rPr>
        <w:t>a</w:t>
      </w:r>
      <w:r w:rsidR="004F7F42" w:rsidRPr="00CB1997">
        <w:rPr>
          <w:i/>
          <w:iCs/>
        </w:rPr>
        <w:t>nwendbar ab dem Steuerjahr 1993</w:t>
      </w:r>
      <w:r w:rsidR="00D67EB8" w:rsidRPr="00CB1997">
        <w:rPr>
          <w:i/>
          <w:iCs/>
        </w:rPr>
        <w:t> - </w:t>
      </w:r>
      <w:r w:rsidRPr="00CB1997">
        <w:rPr>
          <w:i/>
          <w:iCs/>
        </w:rPr>
        <w:t xml:space="preserve">und abgeändert durch </w:t>
      </w:r>
      <w:r w:rsidR="00D67EB8" w:rsidRPr="00CB1997">
        <w:rPr>
          <w:i/>
          <w:iCs/>
        </w:rPr>
        <w:t>Art. </w:t>
      </w:r>
      <w:r w:rsidRPr="00CB1997">
        <w:rPr>
          <w:i/>
          <w:iCs/>
        </w:rPr>
        <w:t>1 des K.E. vom 20. Juli 2000 (II) (B.S. vom 30. August 2000)</w:t>
      </w:r>
      <w:r w:rsidR="00D67EB8" w:rsidRPr="00CB1997">
        <w:rPr>
          <w:i/>
          <w:iCs/>
        </w:rPr>
        <w:t> - </w:t>
      </w:r>
      <w:r w:rsidRPr="00CB1997">
        <w:rPr>
          <w:i/>
          <w:iCs/>
        </w:rPr>
        <w:t>in Kraft ab dem Steuerjahr 2002</w:t>
      </w:r>
      <w:r w:rsidR="00FD68E8" w:rsidRPr="00CB1997">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 xml:space="preserve">in Kraft ab dem </w:t>
      </w:r>
      <w:r w:rsidRPr="009118AB">
        <w:rPr>
          <w:i/>
          <w:iCs/>
          <w:spacing w:val="-2"/>
        </w:rPr>
        <w:t>1. Januar 2002</w:t>
      </w:r>
      <w:r w:rsidR="003366D9" w:rsidRPr="009118AB">
        <w:rPr>
          <w:i/>
          <w:iCs/>
          <w:spacing w:val="-2"/>
        </w:rPr>
        <w:t> -;</w:t>
      </w:r>
      <w:r w:rsidRPr="009118AB">
        <w:rPr>
          <w:i/>
          <w:iCs/>
          <w:spacing w:val="-2"/>
        </w:rPr>
        <w:t xml:space="preserve"> </w:t>
      </w:r>
      <w:r w:rsidR="00D67EB8" w:rsidRPr="009118AB">
        <w:rPr>
          <w:i/>
          <w:iCs/>
          <w:spacing w:val="-2"/>
        </w:rPr>
        <w:t>Abs. </w:t>
      </w:r>
      <w:r w:rsidRPr="009118AB">
        <w:rPr>
          <w:i/>
          <w:iCs/>
          <w:spacing w:val="-2"/>
        </w:rPr>
        <w:t xml:space="preserve">3 eingefügt durch </w:t>
      </w:r>
      <w:r w:rsidR="00D67EB8" w:rsidRPr="009118AB">
        <w:rPr>
          <w:i/>
          <w:iCs/>
          <w:spacing w:val="-2"/>
        </w:rPr>
        <w:t>Art. </w:t>
      </w:r>
      <w:r w:rsidRPr="009118AB">
        <w:rPr>
          <w:i/>
          <w:iCs/>
          <w:spacing w:val="-2"/>
        </w:rPr>
        <w:t xml:space="preserve">162 </w:t>
      </w:r>
      <w:r w:rsidR="00D67EB8" w:rsidRPr="009118AB">
        <w:rPr>
          <w:i/>
          <w:iCs/>
          <w:spacing w:val="-2"/>
        </w:rPr>
        <w:t>Nr. </w:t>
      </w:r>
      <w:r w:rsidRPr="009118AB">
        <w:rPr>
          <w:i/>
          <w:iCs/>
          <w:spacing w:val="-2"/>
        </w:rPr>
        <w:t>4 des G.</w:t>
      </w:r>
      <w:r w:rsidR="00CB1997">
        <w:rPr>
          <w:i/>
          <w:iCs/>
          <w:spacing w:val="-2"/>
        </w:rPr>
        <w:t> </w:t>
      </w:r>
      <w:r w:rsidRPr="009118AB">
        <w:rPr>
          <w:i/>
          <w:iCs/>
          <w:spacing w:val="-2"/>
        </w:rPr>
        <w:t>(I) vom 22. Dezember 2008 (II) (B.S. vom 29. Dezember 2008)</w:t>
      </w:r>
      <w:r w:rsidR="00D67EB8" w:rsidRPr="009118AB">
        <w:rPr>
          <w:i/>
          <w:iCs/>
          <w:spacing w:val="-2"/>
        </w:rPr>
        <w:t> - </w:t>
      </w:r>
      <w:r w:rsidRPr="009118AB">
        <w:rPr>
          <w:i/>
          <w:iCs/>
          <w:spacing w:val="-2"/>
        </w:rPr>
        <w:t>anwendbar ab dem Steuerjahr 2009</w:t>
      </w:r>
      <w:r w:rsidR="003366D9" w:rsidRPr="009118AB">
        <w:rPr>
          <w:i/>
          <w:iCs/>
          <w:spacing w:val="-2"/>
        </w:rPr>
        <w:t> -</w:t>
      </w:r>
      <w:r w:rsidRPr="009118AB">
        <w:rPr>
          <w:i/>
          <w:iCs/>
          <w:spacing w:val="-2"/>
        </w:rPr>
        <w:t>]</w:t>
      </w:r>
    </w:p>
    <w:p w14:paraId="3679980F" w14:textId="77777777" w:rsidR="00860AEF" w:rsidRPr="009118AB" w:rsidRDefault="00860AEF" w:rsidP="00860AEF">
      <w:pPr>
        <w:jc w:val="both"/>
      </w:pPr>
    </w:p>
    <w:p w14:paraId="76E3FB6E" w14:textId="1D949F99" w:rsidR="00A220AF" w:rsidRPr="00DB693B" w:rsidRDefault="00A220AF"/>
    <w:p w14:paraId="1ED8029E" w14:textId="41445E57" w:rsidR="00860AEF" w:rsidRPr="009118AB" w:rsidRDefault="00477B8F" w:rsidP="00860AEF">
      <w:pPr>
        <w:jc w:val="both"/>
      </w:pPr>
      <w:r w:rsidRPr="00DB693B">
        <w:tab/>
      </w:r>
      <w:r w:rsidR="00D67EB8" w:rsidRPr="009118AB">
        <w:rPr>
          <w:b/>
          <w:bCs/>
        </w:rPr>
        <w:t>Art. </w:t>
      </w:r>
      <w:r w:rsidRPr="009118AB">
        <w:rPr>
          <w:b/>
          <w:bCs/>
        </w:rPr>
        <w:t>233</w:t>
      </w:r>
      <w:r w:rsidR="00D67EB8" w:rsidRPr="009118AB">
        <w:t> - </w:t>
      </w:r>
      <w:r w:rsidRPr="009118AB">
        <w:t xml:space="preserve">[Für die in Artikel 227 </w:t>
      </w:r>
      <w:r w:rsidR="00D67EB8" w:rsidRPr="009118AB">
        <w:t>Nr. </w:t>
      </w:r>
      <w:r w:rsidRPr="009118AB">
        <w:t xml:space="preserve">2 erwähnten Steuerpflichtigen wird die Steuer auf den Gesamtbetrag der über belgische Niederlassungen erzielten Gewinne und der in Artikel 228 </w:t>
      </w:r>
      <w:r w:rsidR="00D67EB8" w:rsidRPr="009118AB">
        <w:t>§ </w:t>
      </w:r>
      <w:r w:rsidRPr="009118AB">
        <w:t xml:space="preserve">2 </w:t>
      </w:r>
      <w:r w:rsidR="00D67EB8" w:rsidRPr="009118AB">
        <w:t>Nr. </w:t>
      </w:r>
      <w:r w:rsidRPr="009118AB">
        <w:t>3 Buchstabe </w:t>
      </w:r>
      <w:r w:rsidRPr="009118AB">
        <w:rPr>
          <w:i/>
          <w:iCs/>
        </w:rPr>
        <w:t>a)</w:t>
      </w:r>
      <w:r w:rsidRPr="009118AB">
        <w:t xml:space="preserve"> und </w:t>
      </w:r>
      <w:r w:rsidRPr="009118AB">
        <w:rPr>
          <w:i/>
          <w:iCs/>
        </w:rPr>
        <w:t>e)</w:t>
      </w:r>
      <w:r w:rsidRPr="009118AB">
        <w:t xml:space="preserve"> erwähnten Gewinne, die nicht über solche Niederlassungen erzielt werden, festgelegt.]</w:t>
      </w:r>
    </w:p>
    <w:p w14:paraId="5FE93B17" w14:textId="77777777" w:rsidR="00860AEF" w:rsidRPr="009118AB" w:rsidRDefault="00860AEF" w:rsidP="00477B8F">
      <w:pPr>
        <w:autoSpaceDE w:val="0"/>
        <w:autoSpaceDN w:val="0"/>
        <w:adjustRightInd w:val="0"/>
        <w:jc w:val="both"/>
      </w:pPr>
    </w:p>
    <w:p w14:paraId="118CDD71" w14:textId="3DCD6B83" w:rsidR="00477B8F" w:rsidRPr="009118AB" w:rsidRDefault="00477B8F" w:rsidP="00477B8F">
      <w:pPr>
        <w:autoSpaceDE w:val="0"/>
        <w:autoSpaceDN w:val="0"/>
        <w:adjustRightInd w:val="0"/>
        <w:jc w:val="both"/>
      </w:pPr>
      <w:r w:rsidRPr="009118AB">
        <w:tab/>
        <w:t>[</w:t>
      </w:r>
      <w:r w:rsidR="00C2621D" w:rsidRPr="009118AB">
        <w:t>[Eine getrennte Steuer wird außerdem gemäß den in Artikel 219 bestimmten Regeln]</w:t>
      </w:r>
      <w:r w:rsidR="007A1F0A" w:rsidRPr="009118AB">
        <w:t xml:space="preserve"> auf nicht nachgewiesene Ausgaben</w:t>
      </w:r>
      <w:r w:rsidR="00210E8C" w:rsidRPr="009118AB">
        <w:t>[</w:t>
      </w:r>
      <w:r w:rsidR="00210E8C" w:rsidRPr="009118AB">
        <w:rPr>
          <w:lang w:eastAsia="fr-BE"/>
        </w:rPr>
        <w:t xml:space="preserve">, Vorteile jeglicher Art und Einkünfte wie in Artikel 17 </w:t>
      </w:r>
      <w:r w:rsidR="00D67EB8" w:rsidRPr="009118AB">
        <w:rPr>
          <w:lang w:eastAsia="fr-BE"/>
        </w:rPr>
        <w:t>§ </w:t>
      </w:r>
      <w:r w:rsidR="00210E8C" w:rsidRPr="009118AB">
        <w:rPr>
          <w:lang w:eastAsia="fr-BE"/>
        </w:rPr>
        <w:t xml:space="preserve">1 </w:t>
      </w:r>
      <w:r w:rsidR="00D67EB8" w:rsidRPr="009118AB">
        <w:rPr>
          <w:lang w:eastAsia="fr-BE"/>
        </w:rPr>
        <w:t>Nr. </w:t>
      </w:r>
      <w:r w:rsidR="00210E8C" w:rsidRPr="009118AB">
        <w:rPr>
          <w:lang w:eastAsia="fr-BE"/>
        </w:rPr>
        <w:t xml:space="preserve">3, was Urheberrechte und ähnliche Rechte betrifft, und </w:t>
      </w:r>
      <w:r w:rsidR="00D67EB8" w:rsidRPr="009118AB">
        <w:rPr>
          <w:lang w:eastAsia="fr-BE"/>
        </w:rPr>
        <w:t>Nr. </w:t>
      </w:r>
      <w:r w:rsidR="00210E8C" w:rsidRPr="009118AB">
        <w:rPr>
          <w:lang w:eastAsia="fr-BE"/>
        </w:rPr>
        <w:t>5 erwähnt</w:t>
      </w:r>
      <w:r w:rsidR="00210E8C" w:rsidRPr="009118AB">
        <w:t>]</w:t>
      </w:r>
      <w:r w:rsidR="007A1F0A" w:rsidRPr="009118AB">
        <w:t>, auf verschleierte Gewinne und auf finanzielle Vorteile oder Vorteile jeglicher Art wie in Artikel 219 erwähnt festgelegt.</w:t>
      </w:r>
      <w:r w:rsidRPr="009118AB">
        <w:t>]</w:t>
      </w:r>
    </w:p>
    <w:p w14:paraId="6417E3BB" w14:textId="77777777" w:rsidR="00306EE0" w:rsidRPr="009118AB" w:rsidRDefault="00306EE0" w:rsidP="00477B8F">
      <w:pPr>
        <w:autoSpaceDE w:val="0"/>
        <w:autoSpaceDN w:val="0"/>
        <w:adjustRightInd w:val="0"/>
        <w:jc w:val="both"/>
      </w:pPr>
    </w:p>
    <w:p w14:paraId="0388792B" w14:textId="6F0AB48B" w:rsidR="00306EE0" w:rsidRPr="009118AB" w:rsidRDefault="00306EE0" w:rsidP="00477B8F">
      <w:pPr>
        <w:autoSpaceDE w:val="0"/>
        <w:autoSpaceDN w:val="0"/>
        <w:adjustRightInd w:val="0"/>
        <w:jc w:val="both"/>
      </w:pPr>
      <w:r w:rsidRPr="009118AB">
        <w:tab/>
        <w:t>[</w:t>
      </w:r>
      <w:r w:rsidR="0066340D" w:rsidRPr="009118AB">
        <w:t>Darüber hinaus wird eine getrennte Steuer gemäß den in Artikel 219</w:t>
      </w:r>
      <w:r w:rsidR="000E3529" w:rsidRPr="009118AB">
        <w:rPr>
          <w:i/>
        </w:rPr>
        <w:t>ter</w:t>
      </w:r>
      <w:r w:rsidR="0066340D" w:rsidRPr="009118AB">
        <w:t xml:space="preserve"> bestimmten Regeln festgelegt.</w:t>
      </w:r>
      <w:r w:rsidRPr="009118AB">
        <w:t>]</w:t>
      </w:r>
    </w:p>
    <w:p w14:paraId="259D203E" w14:textId="77777777" w:rsidR="00477B8F" w:rsidRPr="009118AB" w:rsidRDefault="00477B8F" w:rsidP="00477B8F">
      <w:pPr>
        <w:autoSpaceDE w:val="0"/>
        <w:autoSpaceDN w:val="0"/>
        <w:adjustRightInd w:val="0"/>
        <w:jc w:val="both"/>
      </w:pPr>
    </w:p>
    <w:p w14:paraId="17EAB827" w14:textId="1AEAC575"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233 </w:t>
      </w:r>
      <w:r w:rsidR="00D67EB8" w:rsidRPr="009118AB">
        <w:rPr>
          <w:i/>
          <w:iCs/>
        </w:rPr>
        <w:t>Abs. </w:t>
      </w:r>
      <w:r w:rsidRPr="009118AB">
        <w:rPr>
          <w:i/>
          <w:iCs/>
        </w:rPr>
        <w:t xml:space="preserve">1 ersetzt durch </w:t>
      </w:r>
      <w:r w:rsidR="00D67EB8" w:rsidRPr="009118AB">
        <w:rPr>
          <w:i/>
          <w:iCs/>
        </w:rPr>
        <w:t>Art. </w:t>
      </w:r>
      <w:r w:rsidRPr="009118AB">
        <w:rPr>
          <w:i/>
          <w:iCs/>
        </w:rPr>
        <w:t>28 des G. vom 28. Juli </w:t>
      </w:r>
      <w:r w:rsidR="004F7F42" w:rsidRPr="009118AB">
        <w:rPr>
          <w:i/>
          <w:iCs/>
        </w:rPr>
        <w:t>1992 (B.S. vom 31. Juli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Abs. </w:t>
      </w:r>
      <w:r w:rsidRPr="009118AB">
        <w:rPr>
          <w:i/>
          <w:iCs/>
        </w:rPr>
        <w:t xml:space="preserve">2 ersetzt durch </w:t>
      </w:r>
      <w:r w:rsidR="00D67EB8" w:rsidRPr="009118AB">
        <w:rPr>
          <w:i/>
          <w:iCs/>
        </w:rPr>
        <w:t>Art. </w:t>
      </w:r>
      <w:r w:rsidR="007A1F0A" w:rsidRPr="009118AB">
        <w:rPr>
          <w:i/>
          <w:iCs/>
        </w:rPr>
        <w:t xml:space="preserve">15 des G. vom </w:t>
      </w:r>
      <w:r w:rsidR="007A1F0A" w:rsidRPr="009118AB">
        <w:rPr>
          <w:i/>
          <w:iCs/>
        </w:rPr>
        <w:lastRenderedPageBreak/>
        <w:t>11. Mai 2007 (B.S. vom 8. Juni 2007)</w:t>
      </w:r>
      <w:r w:rsidR="00D67EB8" w:rsidRPr="009118AB">
        <w:rPr>
          <w:i/>
          <w:iCs/>
        </w:rPr>
        <w:t> - </w:t>
      </w:r>
      <w:r w:rsidR="007A1F0A" w:rsidRPr="009118AB">
        <w:rPr>
          <w:i/>
          <w:iCs/>
        </w:rPr>
        <w:t>in Kraft ab dem 8. Juni 2007</w:t>
      </w:r>
      <w:r w:rsidR="00D67EB8" w:rsidRPr="009118AB">
        <w:rPr>
          <w:i/>
          <w:iCs/>
        </w:rPr>
        <w:t> - </w:t>
      </w:r>
      <w:r w:rsidR="00C2621D" w:rsidRPr="009118AB">
        <w:rPr>
          <w:i/>
          <w:iCs/>
        </w:rPr>
        <w:t xml:space="preserve">und abgeändert durch </w:t>
      </w:r>
      <w:r w:rsidR="00D67EB8" w:rsidRPr="009118AB">
        <w:rPr>
          <w:i/>
          <w:iCs/>
        </w:rPr>
        <w:t>Art. </w:t>
      </w:r>
      <w:r w:rsidR="00C2621D" w:rsidRPr="009118AB">
        <w:rPr>
          <w:i/>
          <w:iCs/>
        </w:rPr>
        <w:t xml:space="preserve">33 </w:t>
      </w:r>
      <w:r w:rsidR="00C2621D" w:rsidRPr="009118AB">
        <w:rPr>
          <w:i/>
          <w:iCs/>
          <w:spacing w:val="-1"/>
        </w:rPr>
        <w:t xml:space="preserve">des G. </w:t>
      </w:r>
      <w:r w:rsidR="00C2621D" w:rsidRPr="009118AB">
        <w:rPr>
          <w:rFonts w:ascii="Times New Roman Italique" w:hAnsi="Times New Roman Italique"/>
          <w:i/>
          <w:iCs/>
          <w:spacing w:val="2"/>
        </w:rPr>
        <w:t>vom 19. Dezember 2014 (B.S. vom 29. Dezember 2014)</w:t>
      </w:r>
      <w:r w:rsidR="00D67EB8" w:rsidRPr="009118AB">
        <w:rPr>
          <w:rFonts w:ascii="Times New Roman Italique" w:hAnsi="Times New Roman Italique"/>
          <w:i/>
          <w:iCs/>
          <w:spacing w:val="2"/>
        </w:rPr>
        <w:t> - </w:t>
      </w:r>
      <w:r w:rsidR="00C2621D" w:rsidRPr="009118AB">
        <w:rPr>
          <w:rFonts w:ascii="Times New Roman Italique" w:hAnsi="Times New Roman Italique"/>
          <w:i/>
          <w:iCs/>
          <w:spacing w:val="2"/>
        </w:rPr>
        <w:t>in</w:t>
      </w:r>
      <w:r w:rsidR="004F7F42" w:rsidRPr="009118AB">
        <w:rPr>
          <w:rFonts w:ascii="Times New Roman Italique" w:hAnsi="Times New Roman Italique"/>
          <w:i/>
          <w:iCs/>
          <w:spacing w:val="2"/>
        </w:rPr>
        <w:t xml:space="preserve"> Kraft am 29. Dezember 2014 und</w:t>
      </w:r>
      <w:r w:rsidR="004F7F42" w:rsidRPr="009118AB">
        <w:rPr>
          <w:rFonts w:ascii="Times New Roman Italique" w:hAnsi="Times New Roman Italique" w:hint="eastAsia"/>
          <w:i/>
          <w:iCs/>
          <w:spacing w:val="2"/>
        </w:rPr>
        <w:t xml:space="preserve"> </w:t>
      </w:r>
      <w:r w:rsidR="00C2621D" w:rsidRPr="009118AB">
        <w:rPr>
          <w:rFonts w:ascii="Times New Roman Italique" w:hAnsi="Times New Roman Italique"/>
          <w:i/>
          <w:iCs/>
          <w:spacing w:val="2"/>
        </w:rPr>
        <w:t xml:space="preserve">anwendbar auf alle Rechtsstreite, die </w:t>
      </w:r>
      <w:r w:rsidR="007C27A5" w:rsidRPr="009118AB">
        <w:rPr>
          <w:rFonts w:ascii="Times New Roman Italique" w:hAnsi="Times New Roman Italique"/>
          <w:i/>
          <w:iCs/>
          <w:spacing w:val="2"/>
        </w:rPr>
        <w:t xml:space="preserve">an diesem Datum </w:t>
      </w:r>
      <w:r w:rsidR="00C2621D" w:rsidRPr="009118AB">
        <w:rPr>
          <w:rFonts w:ascii="Times New Roman Italique" w:hAnsi="Times New Roman Italique"/>
          <w:i/>
          <w:iCs/>
          <w:spacing w:val="2"/>
        </w:rPr>
        <w:t>noch nicht endgültig abgeschlossen sind</w:t>
      </w:r>
      <w:r w:rsidR="00D67EB8" w:rsidRPr="009118AB">
        <w:rPr>
          <w:rFonts w:ascii="Times New Roman Italique" w:hAnsi="Times New Roman Italique"/>
          <w:i/>
          <w:iCs/>
          <w:spacing w:val="2"/>
        </w:rPr>
        <w:t> - </w:t>
      </w:r>
      <w:r w:rsidR="00210E8C"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210E8C" w:rsidRPr="009118AB">
        <w:rPr>
          <w:rFonts w:ascii="Times New Roman Italique" w:hAnsi="Times New Roman Italique"/>
          <w:i/>
          <w:iCs/>
          <w:spacing w:val="2"/>
        </w:rPr>
        <w:t>49</w:t>
      </w:r>
      <w:r w:rsidR="00210E8C" w:rsidRPr="009118AB">
        <w:rPr>
          <w:rFonts w:ascii="Times New Roman Italique" w:hAnsi="Times New Roman Italique"/>
          <w:bCs/>
          <w:i/>
          <w:iCs/>
          <w:spacing w:val="2"/>
        </w:rPr>
        <w:t xml:space="preserve"> des G. vom 21. Januar 2022 (B.S. vom 28. Januar 2022)</w:t>
      </w:r>
      <w:r w:rsidR="00D67EB8" w:rsidRPr="009118AB">
        <w:rPr>
          <w:rFonts w:ascii="Times New Roman Italique" w:hAnsi="Times New Roman Italique"/>
          <w:bCs/>
          <w:i/>
          <w:iCs/>
          <w:spacing w:val="2"/>
        </w:rPr>
        <w:t> - </w:t>
      </w:r>
      <w:r w:rsidR="00210E8C" w:rsidRPr="009118AB">
        <w:rPr>
          <w:rFonts w:ascii="Times New Roman Italique" w:hAnsi="Times New Roman Italique"/>
          <w:bCs/>
          <w:i/>
          <w:iCs/>
          <w:spacing w:val="2"/>
        </w:rPr>
        <w:t>anwendbar auf Einkünfte, die ab dem 1. Januar 2021 während eines Besteuerungszeitraums gezahlt oder zuerkannt werden, der frühestens an das Steuerjahr 2022 gebunden ist</w:t>
      </w:r>
      <w:r w:rsidR="003366D9" w:rsidRPr="009118AB">
        <w:rPr>
          <w:rFonts w:ascii="Times New Roman Italique" w:hAnsi="Times New Roman Italique"/>
          <w:bCs/>
          <w:i/>
          <w:iCs/>
          <w:spacing w:val="2"/>
        </w:rPr>
        <w:t> -;</w:t>
      </w:r>
      <w:r w:rsidR="00306EE0"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306EE0" w:rsidRPr="009118AB">
        <w:rPr>
          <w:rFonts w:ascii="Times New Roman Italique" w:hAnsi="Times New Roman Italique"/>
          <w:i/>
          <w:iCs/>
          <w:spacing w:val="2"/>
        </w:rPr>
        <w:t xml:space="preserve">3 eingefügt durch </w:t>
      </w:r>
      <w:r w:rsidR="00D67EB8" w:rsidRPr="009118AB">
        <w:rPr>
          <w:rFonts w:ascii="Times New Roman Italique" w:hAnsi="Times New Roman Italique"/>
          <w:i/>
          <w:iCs/>
          <w:spacing w:val="2"/>
        </w:rPr>
        <w:t>Art. </w:t>
      </w:r>
      <w:r w:rsidR="00306EE0" w:rsidRPr="009118AB">
        <w:rPr>
          <w:rFonts w:ascii="Times New Roman Italique" w:hAnsi="Times New Roman Italique"/>
          <w:i/>
          <w:iCs/>
          <w:spacing w:val="2"/>
        </w:rPr>
        <w:t>47</w:t>
      </w:r>
      <w:r w:rsidR="00306EE0" w:rsidRPr="009118AB">
        <w:rPr>
          <w:rFonts w:ascii="Times New Roman Italique" w:hAnsi="Times New Roman Italique"/>
          <w:i/>
          <w:spacing w:val="2"/>
        </w:rPr>
        <w:t xml:space="preserve"> des G. vom 30. Juli 2013 (B.S. vom 1. Augu</w:t>
      </w:r>
      <w:r w:rsidR="004F7F42" w:rsidRPr="009118AB">
        <w:rPr>
          <w:rFonts w:ascii="Times New Roman Italique" w:hAnsi="Times New Roman Italique"/>
          <w:i/>
          <w:spacing w:val="2"/>
        </w:rPr>
        <w:t>st 2013)</w:t>
      </w:r>
      <w:r w:rsidR="00D67EB8" w:rsidRPr="009118AB">
        <w:rPr>
          <w:rFonts w:ascii="Times New Roman Italique" w:hAnsi="Times New Roman Italique"/>
          <w:i/>
          <w:spacing w:val="2"/>
        </w:rPr>
        <w:t> - </w:t>
      </w:r>
      <w:r w:rsidR="00306EE0" w:rsidRPr="009118AB">
        <w:rPr>
          <w:rFonts w:ascii="Times New Roman Italique" w:hAnsi="Times New Roman Italique"/>
          <w:i/>
          <w:spacing w:val="2"/>
        </w:rPr>
        <w:t>in Kraft</w:t>
      </w:r>
      <w:r w:rsidR="00306EE0" w:rsidRPr="009118AB">
        <w:rPr>
          <w:i/>
        </w:rPr>
        <w:t xml:space="preserve"> ab dem Steuerjahr 2014</w:t>
      </w:r>
      <w:r w:rsidR="00FD68E8" w:rsidRPr="009118AB">
        <w:rPr>
          <w:i/>
        </w:rPr>
        <w:t> -,</w:t>
      </w:r>
      <w:r w:rsidR="00EB41AD" w:rsidRPr="009118AB">
        <w:rPr>
          <w:i/>
        </w:rPr>
        <w:t xml:space="preserve"> </w:t>
      </w:r>
      <w:r w:rsidR="000E3529" w:rsidRPr="009118AB">
        <w:rPr>
          <w:i/>
        </w:rPr>
        <w:t>aufg</w:t>
      </w:r>
      <w:r w:rsidR="00781FF4" w:rsidRPr="009118AB">
        <w:rPr>
          <w:i/>
        </w:rPr>
        <w:t>e</w:t>
      </w:r>
      <w:r w:rsidR="000E3529" w:rsidRPr="009118AB">
        <w:rPr>
          <w:i/>
        </w:rPr>
        <w:t xml:space="preserve">hoben durch </w:t>
      </w:r>
      <w:r w:rsidR="00D67EB8" w:rsidRPr="009118AB">
        <w:rPr>
          <w:i/>
        </w:rPr>
        <w:t>Art. </w:t>
      </w:r>
      <w:r w:rsidR="000E3529" w:rsidRPr="009118AB">
        <w:rPr>
          <w:i/>
        </w:rPr>
        <w:t>6 des G. vom 13. April 2019 (I) (B.S. vom 26. April 2019</w:t>
      </w:r>
      <w:r w:rsidR="00781FF4" w:rsidRPr="009118AB">
        <w:rPr>
          <w:i/>
        </w:rPr>
        <w:t>)</w:t>
      </w:r>
      <w:r w:rsidR="000E3529" w:rsidRPr="009118AB">
        <w:rPr>
          <w:i/>
        </w:rPr>
        <w:t xml:space="preserve"> und wieder aufgenommen durch </w:t>
      </w:r>
      <w:r w:rsidR="00D67EB8" w:rsidRPr="009118AB">
        <w:rPr>
          <w:i/>
        </w:rPr>
        <w:t>Art. </w:t>
      </w:r>
      <w:r w:rsidR="000E3529" w:rsidRPr="009118AB">
        <w:rPr>
          <w:i/>
        </w:rPr>
        <w:t>23</w:t>
      </w:r>
      <w:r w:rsidR="000E3529" w:rsidRPr="009118AB">
        <w:rPr>
          <w:i/>
          <w:iCs/>
        </w:rPr>
        <w:t xml:space="preserve"> des G. vom 23. Juni 2020 (B.S. vom 1. Juli 2020)]</w:t>
      </w:r>
    </w:p>
    <w:p w14:paraId="22A76A8A" w14:textId="77777777" w:rsidR="00477B8F" w:rsidRPr="009118AB" w:rsidRDefault="00477B8F" w:rsidP="00477B8F">
      <w:pPr>
        <w:autoSpaceDE w:val="0"/>
        <w:autoSpaceDN w:val="0"/>
        <w:adjustRightInd w:val="0"/>
        <w:jc w:val="both"/>
      </w:pPr>
    </w:p>
    <w:p w14:paraId="0BAEF6B8" w14:textId="77777777" w:rsidR="00D459C6" w:rsidRPr="009118AB" w:rsidRDefault="00D459C6" w:rsidP="006A2667">
      <w:pPr>
        <w:autoSpaceDE w:val="0"/>
        <w:autoSpaceDN w:val="0"/>
        <w:adjustRightInd w:val="0"/>
        <w:jc w:val="both"/>
      </w:pPr>
    </w:p>
    <w:p w14:paraId="523BA85D" w14:textId="5AE5ECD2" w:rsidR="00936841" w:rsidRPr="009118AB" w:rsidRDefault="00477B8F" w:rsidP="00936841">
      <w:pPr>
        <w:autoSpaceDE w:val="0"/>
        <w:autoSpaceDN w:val="0"/>
        <w:adjustRightInd w:val="0"/>
        <w:jc w:val="both"/>
        <w:rPr>
          <w:bCs/>
          <w:iCs/>
        </w:rPr>
      </w:pPr>
      <w:bookmarkStart w:id="21" w:name="_Hlk128466272"/>
      <w:r w:rsidRPr="009118AB">
        <w:tab/>
      </w:r>
      <w:r w:rsidR="00D67EB8" w:rsidRPr="009118AB">
        <w:rPr>
          <w:b/>
          <w:bCs/>
        </w:rPr>
        <w:t>Art. </w:t>
      </w:r>
      <w:r w:rsidRPr="009118AB">
        <w:rPr>
          <w:b/>
          <w:bCs/>
        </w:rPr>
        <w:t>234</w:t>
      </w:r>
      <w:r w:rsidR="00D67EB8" w:rsidRPr="009118AB">
        <w:t> - </w:t>
      </w:r>
      <w:r w:rsidR="00936841" w:rsidRPr="009118AB">
        <w:rPr>
          <w:bCs/>
          <w:iCs/>
        </w:rPr>
        <w:t xml:space="preserve">In Bezug auf die in Artikel 227 </w:t>
      </w:r>
      <w:r w:rsidR="00D67EB8" w:rsidRPr="009118AB">
        <w:rPr>
          <w:bCs/>
          <w:iCs/>
        </w:rPr>
        <w:t>Nr. </w:t>
      </w:r>
      <w:r w:rsidR="00936841" w:rsidRPr="009118AB">
        <w:rPr>
          <w:bCs/>
          <w:iCs/>
        </w:rPr>
        <w:t>3 erwähnten Steuerpflichtigen wird die Steuer festgelegt:</w:t>
      </w:r>
    </w:p>
    <w:p w14:paraId="55B6E87A" w14:textId="77777777" w:rsidR="00936841" w:rsidRPr="009118AB" w:rsidRDefault="00936841" w:rsidP="00936841">
      <w:pPr>
        <w:autoSpaceDE w:val="0"/>
        <w:autoSpaceDN w:val="0"/>
        <w:adjustRightInd w:val="0"/>
        <w:jc w:val="both"/>
        <w:rPr>
          <w:bCs/>
          <w:iCs/>
        </w:rPr>
      </w:pPr>
    </w:p>
    <w:p w14:paraId="6501715A" w14:textId="77777777" w:rsidR="00936841" w:rsidRPr="009118AB" w:rsidRDefault="00936841" w:rsidP="00496BAA">
      <w:pPr>
        <w:autoSpaceDE w:val="0"/>
        <w:autoSpaceDN w:val="0"/>
        <w:adjustRightInd w:val="0"/>
        <w:ind w:firstLine="709"/>
        <w:jc w:val="both"/>
        <w:rPr>
          <w:bCs/>
          <w:iCs/>
        </w:rPr>
      </w:pPr>
      <w:r w:rsidRPr="009118AB">
        <w:rPr>
          <w:bCs/>
          <w:iCs/>
        </w:rPr>
        <w:t>1. auf den Teil des Nettobetrags des Mietpreises und der Mietvorteile ihrer in Belgien gelegenen unbeweglichen Güter, der das Katastereinkommen dieser Güter übersteigt, außer wenn es sich handelt um:</w:t>
      </w:r>
    </w:p>
    <w:p w14:paraId="03666C28" w14:textId="77777777" w:rsidR="00936841" w:rsidRPr="009118AB" w:rsidRDefault="00936841" w:rsidP="00936841">
      <w:pPr>
        <w:autoSpaceDE w:val="0"/>
        <w:autoSpaceDN w:val="0"/>
        <w:adjustRightInd w:val="0"/>
        <w:jc w:val="both"/>
        <w:rPr>
          <w:bCs/>
          <w:iCs/>
        </w:rPr>
      </w:pPr>
    </w:p>
    <w:p w14:paraId="0B4FE193" w14:textId="77777777" w:rsidR="00936841" w:rsidRPr="009118AB" w:rsidRDefault="00936841" w:rsidP="00496BAA">
      <w:pPr>
        <w:autoSpaceDE w:val="0"/>
        <w:autoSpaceDN w:val="0"/>
        <w:adjustRightInd w:val="0"/>
        <w:ind w:firstLine="709"/>
        <w:jc w:val="both"/>
        <w:rPr>
          <w:bCs/>
          <w:iCs/>
        </w:rPr>
      </w:pPr>
      <w:r w:rsidRPr="009118AB">
        <w:rPr>
          <w:bCs/>
          <w:iCs/>
        </w:rPr>
        <w:t>- Güter, die an eine natürliche Person vermietet sind, die diese Güter weder ganz noch teilweise zur Ausübung ihrer Berufstätigkeit nutzt,</w:t>
      </w:r>
    </w:p>
    <w:p w14:paraId="128D69DF" w14:textId="77777777" w:rsidR="00936841" w:rsidRPr="009118AB" w:rsidRDefault="00936841" w:rsidP="00936841">
      <w:pPr>
        <w:autoSpaceDE w:val="0"/>
        <w:autoSpaceDN w:val="0"/>
        <w:adjustRightInd w:val="0"/>
        <w:jc w:val="both"/>
        <w:rPr>
          <w:bCs/>
          <w:iCs/>
        </w:rPr>
      </w:pPr>
    </w:p>
    <w:p w14:paraId="56233C98" w14:textId="77777777" w:rsidR="00936841" w:rsidRPr="009118AB" w:rsidRDefault="00936841" w:rsidP="00496BAA">
      <w:pPr>
        <w:autoSpaceDE w:val="0"/>
        <w:autoSpaceDN w:val="0"/>
        <w:adjustRightInd w:val="0"/>
        <w:ind w:firstLine="709"/>
        <w:jc w:val="both"/>
        <w:rPr>
          <w:bCs/>
          <w:iCs/>
        </w:rPr>
      </w:pPr>
      <w:r w:rsidRPr="009118AB">
        <w:rPr>
          <w:bCs/>
          <w:iCs/>
        </w:rPr>
        <w:t>- Güter, die gemäß den Rechtsvorschriften über den Landpachtvertrag vermietet sind und vom Mieter zu landwirtschaftlichen oder gartenbaulichen Zwecken genutzt werden,</w:t>
      </w:r>
    </w:p>
    <w:p w14:paraId="20D86FFB" w14:textId="77777777" w:rsidR="00936841" w:rsidRPr="009118AB" w:rsidRDefault="00936841" w:rsidP="00936841">
      <w:pPr>
        <w:autoSpaceDE w:val="0"/>
        <w:autoSpaceDN w:val="0"/>
        <w:adjustRightInd w:val="0"/>
        <w:jc w:val="both"/>
        <w:rPr>
          <w:bCs/>
          <w:iCs/>
        </w:rPr>
      </w:pPr>
    </w:p>
    <w:p w14:paraId="2A4CC514" w14:textId="4B1DC383" w:rsidR="00936841" w:rsidRPr="009118AB" w:rsidRDefault="00936841" w:rsidP="00496BAA">
      <w:pPr>
        <w:autoSpaceDE w:val="0"/>
        <w:autoSpaceDN w:val="0"/>
        <w:adjustRightInd w:val="0"/>
        <w:ind w:firstLine="709"/>
        <w:jc w:val="both"/>
        <w:rPr>
          <w:bCs/>
          <w:iCs/>
        </w:rPr>
      </w:pPr>
      <w:r w:rsidRPr="009118AB">
        <w:rPr>
          <w:bCs/>
          <w:iCs/>
        </w:rPr>
        <w:t xml:space="preserve">- andere Güter unter der Bedingung, dass der Mieter keine Gewinnerzielungsabsicht verfolgt und diese Güter zu einem der in Artikel 12 </w:t>
      </w:r>
      <w:r w:rsidR="00D67EB8" w:rsidRPr="009118AB">
        <w:rPr>
          <w:bCs/>
          <w:iCs/>
        </w:rPr>
        <w:t>§ </w:t>
      </w:r>
      <w:r w:rsidRPr="009118AB">
        <w:rPr>
          <w:bCs/>
          <w:iCs/>
        </w:rPr>
        <w:t>1 vorgesehenen Zwecke nutzt,</w:t>
      </w:r>
    </w:p>
    <w:p w14:paraId="5E316263" w14:textId="77777777" w:rsidR="00936841" w:rsidRPr="009118AB" w:rsidRDefault="00936841" w:rsidP="00936841">
      <w:pPr>
        <w:autoSpaceDE w:val="0"/>
        <w:autoSpaceDN w:val="0"/>
        <w:adjustRightInd w:val="0"/>
        <w:jc w:val="both"/>
        <w:rPr>
          <w:bCs/>
          <w:iCs/>
        </w:rPr>
      </w:pPr>
    </w:p>
    <w:p w14:paraId="27984CCE" w14:textId="39341F41" w:rsidR="00936841" w:rsidRPr="009118AB" w:rsidRDefault="00936841" w:rsidP="00496BAA">
      <w:pPr>
        <w:autoSpaceDE w:val="0"/>
        <w:autoSpaceDN w:val="0"/>
        <w:adjustRightInd w:val="0"/>
        <w:ind w:firstLine="709"/>
        <w:jc w:val="both"/>
        <w:rPr>
          <w:bCs/>
          <w:iCs/>
        </w:rPr>
      </w:pPr>
      <w:r w:rsidRPr="009118AB">
        <w:rPr>
          <w:bCs/>
          <w:iCs/>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118AB">
        <w:rPr>
          <w:bCs/>
          <w:iCs/>
        </w:rPr>
        <w:t>Nr. </w:t>
      </w:r>
      <w:r w:rsidRPr="009118AB">
        <w:rPr>
          <w:bCs/>
          <w:iCs/>
        </w:rPr>
        <w:t>1 vorgesehenen Ausnahmen auch hier gelten,</w:t>
      </w:r>
    </w:p>
    <w:p w14:paraId="18C73056" w14:textId="77777777" w:rsidR="00936841" w:rsidRPr="009118AB" w:rsidRDefault="00936841" w:rsidP="00936841">
      <w:pPr>
        <w:autoSpaceDE w:val="0"/>
        <w:autoSpaceDN w:val="0"/>
        <w:adjustRightInd w:val="0"/>
        <w:jc w:val="both"/>
        <w:rPr>
          <w:bCs/>
          <w:iCs/>
        </w:rPr>
      </w:pPr>
    </w:p>
    <w:p w14:paraId="2C96213E" w14:textId="735B10D3" w:rsidR="00936841" w:rsidRPr="009118AB" w:rsidRDefault="00936841" w:rsidP="00496BAA">
      <w:pPr>
        <w:autoSpaceDE w:val="0"/>
        <w:autoSpaceDN w:val="0"/>
        <w:adjustRightInd w:val="0"/>
        <w:ind w:firstLine="709"/>
        <w:jc w:val="both"/>
        <w:rPr>
          <w:bCs/>
          <w:iCs/>
        </w:rPr>
      </w:pPr>
      <w:r w:rsidRPr="009118AB">
        <w:rPr>
          <w:bCs/>
          <w:iCs/>
        </w:rPr>
        <w:t xml:space="preserve">3. [auf die in den Artikeln 52 </w:t>
      </w:r>
      <w:r w:rsidR="00D67EB8" w:rsidRPr="009118AB">
        <w:rPr>
          <w:bCs/>
          <w:iCs/>
        </w:rPr>
        <w:t>Nr. </w:t>
      </w:r>
      <w:r w:rsidRPr="009118AB">
        <w:rPr>
          <w:bCs/>
          <w:iCs/>
        </w:rPr>
        <w:t>3 Buchstabe </w:t>
      </w:r>
      <w:r w:rsidRPr="009118AB">
        <w:rPr>
          <w:bCs/>
          <w:i/>
          <w:iCs/>
        </w:rPr>
        <w:t>b)</w:t>
      </w:r>
      <w:r w:rsidRPr="009118AB">
        <w:rPr>
          <w:bCs/>
          <w:iCs/>
        </w:rPr>
        <w:t xml:space="preserve"> und 195 </w:t>
      </w:r>
      <w:r w:rsidR="00D67EB8" w:rsidRPr="009118AB">
        <w:rPr>
          <w:bCs/>
          <w:iCs/>
        </w:rPr>
        <w:t>§ </w:t>
      </w:r>
      <w:r w:rsidRPr="009118AB">
        <w:rPr>
          <w:bCs/>
          <w:iCs/>
        </w:rPr>
        <w:t xml:space="preserve">2 erwähnten Beiträge und Prämien in dem Maße, wie sie entweder der in Artikel 53 </w:t>
      </w:r>
      <w:r w:rsidR="00D67EB8" w:rsidRPr="009118AB">
        <w:rPr>
          <w:bCs/>
          <w:iCs/>
        </w:rPr>
        <w:t>Nr. </w:t>
      </w:r>
      <w:r w:rsidRPr="009118AB">
        <w:rPr>
          <w:bCs/>
          <w:iCs/>
        </w:rPr>
        <w:t>22 vorgesehenen Grenze oder den in Artikel 59 vorgesehenen Bedingungen und der dort erwähnten Grenze und</w:t>
      </w:r>
      <w:r w:rsidR="00D67EB8" w:rsidRPr="009118AB">
        <w:rPr>
          <w:bCs/>
          <w:iCs/>
        </w:rPr>
        <w:t> - </w:t>
      </w:r>
      <w:r w:rsidRPr="009118AB">
        <w:rPr>
          <w:bCs/>
          <w:iCs/>
        </w:rPr>
        <w:t xml:space="preserve">in Bezug auf die in Artikel 195 </w:t>
      </w:r>
      <w:r w:rsidR="00D67EB8" w:rsidRPr="009118AB">
        <w:rPr>
          <w:bCs/>
          <w:iCs/>
        </w:rPr>
        <w:t>§ </w:t>
      </w:r>
      <w:r w:rsidRPr="009118AB">
        <w:rPr>
          <w:bCs/>
          <w:iCs/>
        </w:rPr>
        <w:t>2 erwähnten Prämien</w:t>
      </w:r>
      <w:r w:rsidR="00D67EB8" w:rsidRPr="009118AB">
        <w:rPr>
          <w:bCs/>
          <w:iCs/>
        </w:rPr>
        <w:t> - </w:t>
      </w:r>
      <w:r w:rsidRPr="009118AB">
        <w:rPr>
          <w:bCs/>
          <w:iCs/>
        </w:rPr>
        <w:t xml:space="preserve">der in Artikel 195 </w:t>
      </w:r>
      <w:r w:rsidR="00D67EB8" w:rsidRPr="009118AB">
        <w:rPr>
          <w:bCs/>
          <w:iCs/>
        </w:rPr>
        <w:t>§ </w:t>
      </w:r>
      <w:r w:rsidRPr="009118AB">
        <w:rPr>
          <w:bCs/>
          <w:iCs/>
        </w:rPr>
        <w:t xml:space="preserve">1 Absatz 2 erwähnten Bedingung der Regelmäßigkeit nicht entsprechen, auf die in Artikel 52 </w:t>
      </w:r>
      <w:r w:rsidR="00D67EB8" w:rsidRPr="009118AB">
        <w:rPr>
          <w:bCs/>
          <w:iCs/>
        </w:rPr>
        <w:t>Nr. </w:t>
      </w:r>
      <w:r w:rsidRPr="009118AB">
        <w:rPr>
          <w:bCs/>
          <w:iCs/>
        </w:rPr>
        <w:t xml:space="preserve">5 erwähnten Pensionen, Renten und anderen als solche geltenden Zulagen in dem Maße, wie sie den in Artikel 59 vorgesehenen Bedingungen und der dort erwähnten Grenze nicht entsprechen, und auf die in Artikel 53 </w:t>
      </w:r>
      <w:r w:rsidR="00D67EB8" w:rsidRPr="009118AB">
        <w:rPr>
          <w:bCs/>
          <w:iCs/>
        </w:rPr>
        <w:t>Nr. </w:t>
      </w:r>
      <w:r w:rsidRPr="009118AB">
        <w:rPr>
          <w:bCs/>
          <w:iCs/>
        </w:rPr>
        <w:t>23 erwähnten Kapitalien,]</w:t>
      </w:r>
    </w:p>
    <w:p w14:paraId="168624BD" w14:textId="77777777" w:rsidR="00936841" w:rsidRPr="009118AB" w:rsidRDefault="00936841" w:rsidP="00936841">
      <w:pPr>
        <w:autoSpaceDE w:val="0"/>
        <w:autoSpaceDN w:val="0"/>
        <w:adjustRightInd w:val="0"/>
        <w:jc w:val="both"/>
        <w:rPr>
          <w:bCs/>
          <w:iCs/>
        </w:rPr>
      </w:pPr>
    </w:p>
    <w:p w14:paraId="333C18A3" w14:textId="50D6642B" w:rsidR="00936841" w:rsidRPr="009118AB" w:rsidRDefault="00936841" w:rsidP="00496BAA">
      <w:pPr>
        <w:autoSpaceDE w:val="0"/>
        <w:autoSpaceDN w:val="0"/>
        <w:adjustRightInd w:val="0"/>
        <w:ind w:firstLine="709"/>
        <w:jc w:val="both"/>
        <w:rPr>
          <w:iCs/>
        </w:rPr>
      </w:pPr>
      <w:r w:rsidRPr="009118AB">
        <w:rPr>
          <w:bCs/>
          <w:iCs/>
        </w:rPr>
        <w:t xml:space="preserve">4. auf [die in </w:t>
      </w:r>
      <w:r w:rsidR="00B75EA7" w:rsidRPr="009118AB">
        <w:rPr>
          <w:iCs/>
        </w:rPr>
        <w:t xml:space="preserve">[Artikel 57 Absatz 1] </w:t>
      </w:r>
      <w:r w:rsidRPr="009118AB">
        <w:rPr>
          <w:bCs/>
          <w:iCs/>
        </w:rPr>
        <w:t>erwähnten Ausgaben</w:t>
      </w:r>
      <w:r w:rsidR="00210E8C" w:rsidRPr="009118AB">
        <w:rPr>
          <w:bCs/>
          <w:iCs/>
        </w:rPr>
        <w:t>[</w:t>
      </w:r>
      <w:r w:rsidR="00210E8C" w:rsidRPr="009118AB">
        <w:rPr>
          <w:lang w:eastAsia="fr-BE"/>
        </w:rPr>
        <w:t xml:space="preserve">, die in den Artikeln 31 Absatz 2 </w:t>
      </w:r>
      <w:r w:rsidR="00D67EB8" w:rsidRPr="009118AB">
        <w:rPr>
          <w:lang w:eastAsia="fr-BE"/>
        </w:rPr>
        <w:t>Nr. </w:t>
      </w:r>
      <w:r w:rsidR="00210E8C" w:rsidRPr="009118AB">
        <w:rPr>
          <w:lang w:eastAsia="fr-BE"/>
        </w:rPr>
        <w:t xml:space="preserve">2 und 32 Absatz 2 </w:t>
      </w:r>
      <w:r w:rsidR="00D67EB8" w:rsidRPr="009118AB">
        <w:rPr>
          <w:lang w:eastAsia="fr-BE"/>
        </w:rPr>
        <w:t>Nr. </w:t>
      </w:r>
      <w:r w:rsidR="00210E8C" w:rsidRPr="009118AB">
        <w:rPr>
          <w:lang w:eastAsia="fr-BE"/>
        </w:rPr>
        <w:t xml:space="preserve">2 erwähnten Vorteile jeglicher Art und die in Artikel 17 </w:t>
      </w:r>
      <w:r w:rsidR="00D67EB8" w:rsidRPr="009118AB">
        <w:rPr>
          <w:lang w:eastAsia="fr-BE"/>
        </w:rPr>
        <w:t>§ </w:t>
      </w:r>
      <w:r w:rsidR="00210E8C" w:rsidRPr="009118AB">
        <w:rPr>
          <w:lang w:eastAsia="fr-BE"/>
        </w:rPr>
        <w:t xml:space="preserve">1 </w:t>
      </w:r>
      <w:r w:rsidR="00D67EB8" w:rsidRPr="009118AB">
        <w:rPr>
          <w:lang w:eastAsia="fr-BE"/>
        </w:rPr>
        <w:t>Nr. </w:t>
      </w:r>
      <w:r w:rsidR="00210E8C" w:rsidRPr="009118AB">
        <w:rPr>
          <w:lang w:eastAsia="fr-BE"/>
        </w:rPr>
        <w:t xml:space="preserve">3, was Urheberrechte und ähnliche Rechte betrifft, und </w:t>
      </w:r>
      <w:r w:rsidR="00D67EB8" w:rsidRPr="009118AB">
        <w:rPr>
          <w:lang w:eastAsia="fr-BE"/>
        </w:rPr>
        <w:t>Nr. </w:t>
      </w:r>
      <w:r w:rsidR="00210E8C" w:rsidRPr="009118AB">
        <w:rPr>
          <w:lang w:eastAsia="fr-BE"/>
        </w:rPr>
        <w:t>5 erwähnten Einkünfte</w:t>
      </w:r>
      <w:r w:rsidR="00210E8C" w:rsidRPr="009118AB">
        <w:rPr>
          <w:bCs/>
          <w:iCs/>
        </w:rPr>
        <w:t>]</w:t>
      </w:r>
      <w:r w:rsidRPr="009118AB">
        <w:rPr>
          <w:bCs/>
          <w:iCs/>
        </w:rPr>
        <w:t xml:space="preserve">], die nicht durch Individualkarten </w:t>
      </w:r>
      <w:r w:rsidR="000A16EB" w:rsidRPr="009118AB">
        <w:rPr>
          <w:bCs/>
          <w:iCs/>
        </w:rPr>
        <w:t>[...]</w:t>
      </w:r>
      <w:r w:rsidRPr="009118AB">
        <w:rPr>
          <w:bCs/>
          <w:iCs/>
        </w:rPr>
        <w:t xml:space="preserve"> nachgewiesen werden[</w:t>
      </w:r>
      <w:r w:rsidRPr="009118AB">
        <w:rPr>
          <w:iCs/>
        </w:rPr>
        <w:t>, außer:</w:t>
      </w:r>
    </w:p>
    <w:p w14:paraId="238A04FA" w14:textId="77777777" w:rsidR="00936841" w:rsidRPr="009118AB" w:rsidRDefault="00936841" w:rsidP="00936841">
      <w:pPr>
        <w:autoSpaceDE w:val="0"/>
        <w:autoSpaceDN w:val="0"/>
        <w:adjustRightInd w:val="0"/>
        <w:jc w:val="both"/>
        <w:rPr>
          <w:iCs/>
        </w:rPr>
      </w:pPr>
    </w:p>
    <w:p w14:paraId="00EDA38C" w14:textId="77777777" w:rsidR="00936841" w:rsidRPr="009118AB" w:rsidRDefault="00936841" w:rsidP="00496BAA">
      <w:pPr>
        <w:autoSpaceDE w:val="0"/>
        <w:autoSpaceDN w:val="0"/>
        <w:adjustRightInd w:val="0"/>
        <w:ind w:firstLine="709"/>
        <w:jc w:val="both"/>
        <w:rPr>
          <w:iCs/>
        </w:rPr>
      </w:pPr>
      <w:r w:rsidRPr="009118AB">
        <w:rPr>
          <w:iCs/>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37A7D23B" w14:textId="77777777" w:rsidR="00936841" w:rsidRPr="009118AB" w:rsidRDefault="00936841" w:rsidP="00936841">
      <w:pPr>
        <w:autoSpaceDE w:val="0"/>
        <w:autoSpaceDN w:val="0"/>
        <w:adjustRightInd w:val="0"/>
        <w:jc w:val="both"/>
        <w:rPr>
          <w:iCs/>
        </w:rPr>
      </w:pPr>
    </w:p>
    <w:p w14:paraId="3C38E6E5" w14:textId="003C6339" w:rsidR="00936841" w:rsidRPr="009118AB" w:rsidRDefault="00936841" w:rsidP="00496BAA">
      <w:pPr>
        <w:autoSpaceDE w:val="0"/>
        <w:autoSpaceDN w:val="0"/>
        <w:adjustRightInd w:val="0"/>
        <w:ind w:firstLine="709"/>
        <w:jc w:val="both"/>
        <w:rPr>
          <w:bCs/>
          <w:iCs/>
        </w:rPr>
      </w:pPr>
      <w:r w:rsidRPr="009118AB">
        <w:rPr>
          <w:iCs/>
        </w:rPr>
        <w:t>- oder</w:t>
      </w:r>
      <w:r w:rsidR="00D67EB8" w:rsidRPr="009118AB">
        <w:rPr>
          <w:iCs/>
        </w:rPr>
        <w:t> - </w:t>
      </w:r>
      <w:r w:rsidRPr="009118AB">
        <w:rPr>
          <w:iCs/>
        </w:rPr>
        <w:t>wenn dieser Betrag nicht in einer solchen Erklärung enthalten ist</w:t>
      </w:r>
      <w:r w:rsidR="00D67EB8" w:rsidRPr="009118AB">
        <w:rPr>
          <w:iCs/>
        </w:rPr>
        <w:t> - </w:t>
      </w:r>
      <w:r w:rsidRPr="009118AB">
        <w:rPr>
          <w:iCs/>
        </w:rPr>
        <w:t>wenn der Empfänger spätestens zwei Jahre und sechs Monate ab dem 1. Januar des betreffenden Steuerjahres eindeutig identifiziert worden ist</w:t>
      </w:r>
      <w:r w:rsidR="00B75EA7" w:rsidRPr="009118AB">
        <w:rPr>
          <w:iCs/>
        </w:rPr>
        <w:t xml:space="preserve"> [</w:t>
      </w:r>
      <w:r w:rsidR="00B75EA7" w:rsidRPr="009118AB">
        <w:t xml:space="preserve">oder wenn der Betrag der Ausgaben in einer Veranlagung enthalten ist, die in den in den Artikeln 354 Absatz 1 und 2 und 358 erwähnten Fristen </w:t>
      </w:r>
      <w:r w:rsidR="0027187F" w:rsidRPr="009118AB">
        <w:t>[</w:t>
      </w:r>
      <w:r w:rsidR="0027187F" w:rsidRPr="009118AB">
        <w:rPr>
          <w:rFonts w:eastAsia="Calibri"/>
          <w:kern w:val="2"/>
          <w:szCs w:val="22"/>
          <w:lang w:eastAsia="en-US"/>
          <w14:ligatures w14:val="standardContextual"/>
        </w:rPr>
        <w:t>bei einem steuerpflichtigen Empfänger wie in Artikel 305 Absatz 1 erwähnt mit seinem Einverständnis</w:t>
      </w:r>
      <w:r w:rsidR="0027187F" w:rsidRPr="009118AB">
        <w:t>]</w:t>
      </w:r>
      <w:r w:rsidR="00B75EA7" w:rsidRPr="009118AB">
        <w:t xml:space="preserve"> festgelegt wird</w:t>
      </w:r>
      <w:r w:rsidR="00B75EA7" w:rsidRPr="009118AB">
        <w:rPr>
          <w:iCs/>
        </w:rPr>
        <w:t>]</w:t>
      </w:r>
      <w:r w:rsidRPr="009118AB">
        <w:rPr>
          <w:iCs/>
        </w:rPr>
        <w:t>]</w:t>
      </w:r>
      <w:r w:rsidRPr="009118AB">
        <w:rPr>
          <w:bCs/>
          <w:iCs/>
        </w:rPr>
        <w:t>,</w:t>
      </w:r>
    </w:p>
    <w:p w14:paraId="6DFEACBD" w14:textId="77777777" w:rsidR="00936841" w:rsidRPr="009118AB" w:rsidRDefault="00936841" w:rsidP="00936841">
      <w:pPr>
        <w:autoSpaceDE w:val="0"/>
        <w:autoSpaceDN w:val="0"/>
        <w:adjustRightInd w:val="0"/>
        <w:jc w:val="both"/>
        <w:rPr>
          <w:bCs/>
          <w:iCs/>
        </w:rPr>
      </w:pPr>
    </w:p>
    <w:p w14:paraId="5E35CEC9" w14:textId="361C5472" w:rsidR="00936841" w:rsidRPr="009118AB" w:rsidRDefault="00936841" w:rsidP="00496BAA">
      <w:pPr>
        <w:autoSpaceDE w:val="0"/>
        <w:autoSpaceDN w:val="0"/>
        <w:adjustRightInd w:val="0"/>
        <w:ind w:firstLine="709"/>
        <w:jc w:val="both"/>
        <w:rPr>
          <w:bCs/>
          <w:iCs/>
        </w:rPr>
      </w:pPr>
      <w:r w:rsidRPr="009118AB">
        <w:rPr>
          <w:bCs/>
          <w:iCs/>
        </w:rPr>
        <w:t xml:space="preserve">[5. [auf die in Artikel 53 </w:t>
      </w:r>
      <w:r w:rsidR="00D67EB8" w:rsidRPr="009118AB">
        <w:rPr>
          <w:bCs/>
          <w:iCs/>
        </w:rPr>
        <w:t>Nr. </w:t>
      </w:r>
      <w:r w:rsidRPr="009118AB">
        <w:rPr>
          <w:bCs/>
          <w:iCs/>
        </w:rPr>
        <w:t>24 erwähnten finanziellen Vorteile oder Vorteile jeglicher Art,]]</w:t>
      </w:r>
    </w:p>
    <w:p w14:paraId="514AE63C" w14:textId="77777777" w:rsidR="00936841" w:rsidRPr="009118AB" w:rsidRDefault="00936841" w:rsidP="00936841">
      <w:pPr>
        <w:autoSpaceDE w:val="0"/>
        <w:autoSpaceDN w:val="0"/>
        <w:adjustRightInd w:val="0"/>
        <w:jc w:val="both"/>
        <w:rPr>
          <w:bCs/>
          <w:iCs/>
        </w:rPr>
      </w:pPr>
    </w:p>
    <w:p w14:paraId="416F773F" w14:textId="0C8627BC" w:rsidR="00936841" w:rsidRPr="009118AB" w:rsidRDefault="00936841" w:rsidP="00496BAA">
      <w:pPr>
        <w:autoSpaceDE w:val="0"/>
        <w:autoSpaceDN w:val="0"/>
        <w:adjustRightInd w:val="0"/>
        <w:ind w:firstLine="709"/>
        <w:jc w:val="both"/>
        <w:rPr>
          <w:bCs/>
          <w:iCs/>
        </w:rPr>
      </w:pPr>
      <w:r w:rsidRPr="009118AB">
        <w:rPr>
          <w:bCs/>
          <w:iCs/>
        </w:rPr>
        <w:t>[6. [</w:t>
      </w:r>
      <w:r w:rsidRPr="009118AB">
        <w:rPr>
          <w:iCs/>
        </w:rPr>
        <w:t xml:space="preserve">auf einen Betrag, der 17 Prozent des gemäß Artikel 36 </w:t>
      </w:r>
      <w:r w:rsidR="00D67EB8" w:rsidRPr="009118AB">
        <w:rPr>
          <w:iCs/>
        </w:rPr>
        <w:t>§ </w:t>
      </w:r>
      <w:r w:rsidRPr="009118AB">
        <w:rPr>
          <w:iCs/>
        </w:rPr>
        <w:t>2 [Absatz 1 bis 12] bestimmten Betrags entspricht, wenn in Artikel 65 erwähnte Fahrzeuge kostenlos oder nicht kostenlos zu persönlichen Zwecken zur Verfügung gestellt werden,</w:t>
      </w:r>
      <w:r w:rsidRPr="009118AB">
        <w:rPr>
          <w:bCs/>
          <w:iCs/>
        </w:rPr>
        <w:t>]]</w:t>
      </w:r>
    </w:p>
    <w:p w14:paraId="6C3E717E" w14:textId="77777777" w:rsidR="00936841" w:rsidRPr="009118AB" w:rsidRDefault="00936841" w:rsidP="00936841">
      <w:pPr>
        <w:autoSpaceDE w:val="0"/>
        <w:autoSpaceDN w:val="0"/>
        <w:adjustRightInd w:val="0"/>
        <w:jc w:val="both"/>
        <w:rPr>
          <w:bCs/>
          <w:iCs/>
        </w:rPr>
      </w:pPr>
    </w:p>
    <w:p w14:paraId="3294E529" w14:textId="7166A593" w:rsidR="000A2157" w:rsidRPr="009118AB" w:rsidRDefault="000A2157" w:rsidP="00496BAA">
      <w:pPr>
        <w:autoSpaceDE w:val="0"/>
        <w:autoSpaceDN w:val="0"/>
        <w:adjustRightInd w:val="0"/>
        <w:ind w:firstLine="709"/>
        <w:jc w:val="both"/>
        <w:rPr>
          <w:bCs/>
          <w:iCs/>
        </w:rPr>
      </w:pPr>
      <w:r w:rsidRPr="009118AB">
        <w:rPr>
          <w:bCs/>
          <w:iCs/>
        </w:rPr>
        <w:t>[</w:t>
      </w:r>
      <w:r w:rsidR="0065143C" w:rsidRPr="009118AB">
        <w:rPr>
          <w:bCs/>
          <w:iCs/>
        </w:rPr>
        <w:t>...</w:t>
      </w:r>
      <w:r w:rsidRPr="009118AB">
        <w:rPr>
          <w:bCs/>
          <w:iCs/>
        </w:rPr>
        <w:t xml:space="preserve">] </w:t>
      </w:r>
    </w:p>
    <w:p w14:paraId="15282F70" w14:textId="77777777" w:rsidR="000A2157" w:rsidRPr="009118AB" w:rsidRDefault="000A2157" w:rsidP="00936841">
      <w:pPr>
        <w:autoSpaceDE w:val="0"/>
        <w:autoSpaceDN w:val="0"/>
        <w:adjustRightInd w:val="0"/>
        <w:jc w:val="both"/>
        <w:rPr>
          <w:bCs/>
          <w:iCs/>
        </w:rPr>
      </w:pPr>
    </w:p>
    <w:p w14:paraId="41B0917C" w14:textId="041D5585" w:rsidR="00936841" w:rsidRPr="009118AB" w:rsidRDefault="00936841" w:rsidP="00496BAA">
      <w:pPr>
        <w:autoSpaceDE w:val="0"/>
        <w:autoSpaceDN w:val="0"/>
        <w:adjustRightInd w:val="0"/>
        <w:ind w:firstLine="709"/>
        <w:jc w:val="both"/>
        <w:rPr>
          <w:bCs/>
          <w:iCs/>
        </w:rPr>
      </w:pPr>
      <w:r w:rsidRPr="009118AB">
        <w:rPr>
          <w:bCs/>
          <w:iCs/>
        </w:rPr>
        <w:t>[</w:t>
      </w:r>
      <w:r w:rsidRPr="009118AB">
        <w:rPr>
          <w:iCs/>
        </w:rPr>
        <w:t xml:space="preserve">7. auf einen Betrag, der in Abweichung von </w:t>
      </w:r>
      <w:r w:rsidR="00D67EB8" w:rsidRPr="009118AB">
        <w:rPr>
          <w:iCs/>
        </w:rPr>
        <w:t>Nr. </w:t>
      </w:r>
      <w:r w:rsidRPr="009118AB">
        <w:rPr>
          <w:iCs/>
        </w:rPr>
        <w:t xml:space="preserve">6 40 Prozent des gemäß Artikel 36 </w:t>
      </w:r>
      <w:r w:rsidR="00D67EB8" w:rsidRPr="009118AB">
        <w:rPr>
          <w:iCs/>
        </w:rPr>
        <w:t>§ </w:t>
      </w:r>
      <w:r w:rsidRPr="009118AB">
        <w:rPr>
          <w:iCs/>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w:t>
      </w:r>
      <w:r w:rsidR="000A2157" w:rsidRPr="009118AB">
        <w:rPr>
          <w:iCs/>
        </w:rPr>
        <w:t>ischen Person übernommen werden,</w:t>
      </w:r>
      <w:r w:rsidRPr="009118AB">
        <w:rPr>
          <w:bCs/>
          <w:iCs/>
        </w:rPr>
        <w:t>]</w:t>
      </w:r>
    </w:p>
    <w:p w14:paraId="2DCA2BEC" w14:textId="77777777" w:rsidR="00936841" w:rsidRPr="009118AB" w:rsidRDefault="00936841" w:rsidP="00936841">
      <w:pPr>
        <w:autoSpaceDE w:val="0"/>
        <w:autoSpaceDN w:val="0"/>
        <w:adjustRightInd w:val="0"/>
        <w:jc w:val="both"/>
        <w:rPr>
          <w:bCs/>
          <w:iCs/>
        </w:rPr>
      </w:pPr>
    </w:p>
    <w:p w14:paraId="4003C976" w14:textId="7DFF2574" w:rsidR="000A2157" w:rsidRPr="009118AB" w:rsidRDefault="000A2157" w:rsidP="00496BAA">
      <w:pPr>
        <w:autoSpaceDE w:val="0"/>
        <w:autoSpaceDN w:val="0"/>
        <w:adjustRightInd w:val="0"/>
        <w:ind w:firstLine="709"/>
        <w:jc w:val="both"/>
        <w:rPr>
          <w:bCs/>
          <w:iCs/>
        </w:rPr>
      </w:pPr>
      <w:r w:rsidRPr="009118AB">
        <w:rPr>
          <w:bCs/>
          <w:iCs/>
        </w:rPr>
        <w:t>[</w:t>
      </w:r>
      <w:r w:rsidR="0065143C" w:rsidRPr="009118AB">
        <w:rPr>
          <w:bCs/>
          <w:iCs/>
        </w:rPr>
        <w:t>...</w:t>
      </w:r>
      <w:r w:rsidRPr="009118AB">
        <w:rPr>
          <w:bCs/>
          <w:iCs/>
        </w:rPr>
        <w:t>]</w:t>
      </w:r>
    </w:p>
    <w:p w14:paraId="0AEE4F2A" w14:textId="735FBB66" w:rsidR="00395EAB" w:rsidRPr="009118AB" w:rsidRDefault="00395EAB" w:rsidP="00496BAA">
      <w:pPr>
        <w:autoSpaceDE w:val="0"/>
        <w:autoSpaceDN w:val="0"/>
        <w:adjustRightInd w:val="0"/>
        <w:ind w:firstLine="709"/>
        <w:jc w:val="both"/>
        <w:rPr>
          <w:bCs/>
          <w:iCs/>
        </w:rPr>
      </w:pPr>
    </w:p>
    <w:p w14:paraId="3AA51A49" w14:textId="28CA671C" w:rsidR="00395EAB" w:rsidRPr="009118AB" w:rsidRDefault="00395EAB" w:rsidP="00496BAA">
      <w:pPr>
        <w:autoSpaceDE w:val="0"/>
        <w:autoSpaceDN w:val="0"/>
        <w:adjustRightInd w:val="0"/>
        <w:ind w:firstLine="709"/>
        <w:jc w:val="both"/>
        <w:rPr>
          <w:bCs/>
          <w:iCs/>
        </w:rPr>
      </w:pPr>
      <w:r w:rsidRPr="009118AB">
        <w:rPr>
          <w:bCs/>
          <w:iCs/>
        </w:rPr>
        <w:t>(...)</w:t>
      </w:r>
    </w:p>
    <w:p w14:paraId="77E26D7E" w14:textId="448F7030" w:rsidR="00395EAB" w:rsidRPr="009118AB" w:rsidRDefault="00395EAB" w:rsidP="00496BAA">
      <w:pPr>
        <w:autoSpaceDE w:val="0"/>
        <w:autoSpaceDN w:val="0"/>
        <w:adjustRightInd w:val="0"/>
        <w:ind w:firstLine="709"/>
        <w:jc w:val="both"/>
        <w:rPr>
          <w:bCs/>
          <w:iCs/>
        </w:rPr>
      </w:pPr>
    </w:p>
    <w:p w14:paraId="2DF2BC89" w14:textId="65676BD1" w:rsidR="00395EAB" w:rsidRPr="009118AB" w:rsidRDefault="00395EAB" w:rsidP="00395EAB">
      <w:pPr>
        <w:jc w:val="both"/>
        <w:rPr>
          <w:rFonts w:eastAsia="Calibri"/>
          <w:lang w:eastAsia="en-US"/>
        </w:rPr>
      </w:pPr>
      <w:r w:rsidRPr="009118AB">
        <w:rPr>
          <w:bCs/>
          <w:iCs/>
        </w:rPr>
        <w:tab/>
        <w:t>[</w:t>
      </w:r>
      <w:r w:rsidRPr="009118AB">
        <w:rPr>
          <w:rFonts w:eastAsia="Calibri"/>
          <w:szCs w:val="22"/>
          <w:lang w:eastAsia="en-US"/>
        </w:rPr>
        <w:t>10. auf Provisionen, Maklergebühren, kommerzielle oder andere Ermäßigungen, zufällige oder nicht zufällige Entgelte oder Honorare, Zuwendungen, Vergütungen oder Vorteile jeglicher Art</w:t>
      </w:r>
      <w:r w:rsidR="00D67EB8" w:rsidRPr="009118AB">
        <w:rPr>
          <w:rFonts w:eastAsia="Calibri"/>
          <w:szCs w:val="22"/>
          <w:lang w:eastAsia="en-US"/>
        </w:rPr>
        <w:t> - </w:t>
      </w:r>
      <w:r w:rsidRPr="009118AB">
        <w:rPr>
          <w:rFonts w:eastAsia="Calibri"/>
          <w:szCs w:val="22"/>
          <w:lang w:eastAsia="en-US"/>
        </w:rPr>
        <w:t>in dem Maße, wie sie sich auf mehr als 3 Prozent der gesamten Bruttoentlohnung des Sportlers belaufen, die während der Dauer des Arbeitsvertrags pro Jahr berechnet wird</w:t>
      </w:r>
      <w:r w:rsidR="00FD68E8" w:rsidRPr="009118AB">
        <w:rPr>
          <w:rFonts w:eastAsia="Calibri"/>
          <w:szCs w:val="22"/>
          <w:lang w:eastAsia="en-US"/>
        </w:rPr>
        <w:t> -,</w:t>
      </w:r>
      <w:r w:rsidRPr="009118AB">
        <w:rPr>
          <w:rFonts w:eastAsia="Calibri"/>
          <w:szCs w:val="22"/>
          <w:lang w:eastAsia="en-US"/>
        </w:rPr>
        <w:t xml:space="preserve"> die direkt oder indirekt im Rahmen eines Vertrags gezahlt werden, der Folgendes zum Ziel hat:</w:t>
      </w:r>
    </w:p>
    <w:p w14:paraId="5437A272" w14:textId="77777777" w:rsidR="00395EAB" w:rsidRPr="009118AB" w:rsidRDefault="00395EAB" w:rsidP="00395EAB">
      <w:pPr>
        <w:jc w:val="both"/>
        <w:rPr>
          <w:rFonts w:eastAsia="Calibri"/>
          <w:lang w:eastAsia="en-US"/>
        </w:rPr>
      </w:pPr>
    </w:p>
    <w:p w14:paraId="755FCA1D" w14:textId="77777777" w:rsidR="00395EAB" w:rsidRPr="009118AB" w:rsidRDefault="00395EAB" w:rsidP="00395EAB">
      <w:pPr>
        <w:jc w:val="both"/>
        <w:rPr>
          <w:rFonts w:eastAsia="Calibri"/>
          <w:lang w:eastAsia="en-US"/>
        </w:rPr>
      </w:pPr>
      <w:r w:rsidRPr="009118AB">
        <w:rPr>
          <w:rFonts w:eastAsia="Calibri"/>
          <w:szCs w:val="22"/>
          <w:lang w:eastAsia="en-US"/>
        </w:rPr>
        <w:tab/>
      </w:r>
      <w:r w:rsidRPr="009118AB">
        <w:rPr>
          <w:rFonts w:eastAsia="Calibri"/>
          <w:i/>
          <w:iCs/>
          <w:szCs w:val="22"/>
          <w:lang w:eastAsia="en-US"/>
        </w:rPr>
        <w:t>a)</w:t>
      </w:r>
      <w:r w:rsidRPr="009118AB">
        <w:rPr>
          <w:rFonts w:eastAsia="Calibri"/>
          <w:szCs w:val="22"/>
          <w:lang w:eastAsia="en-US"/>
        </w:rPr>
        <w:t> entweder einen Sportler bei Verhandlungen im Hinblick auf den Abschluss, die Verlängerung, Erneuerung oder Beendigung eines Arbeitsvertrags bei einem Sportclub zu unterstützen</w:t>
      </w:r>
    </w:p>
    <w:p w14:paraId="76D9A2D5" w14:textId="77777777" w:rsidR="00395EAB" w:rsidRPr="009118AB" w:rsidRDefault="00395EAB" w:rsidP="00395EAB">
      <w:pPr>
        <w:jc w:val="both"/>
        <w:rPr>
          <w:rFonts w:eastAsia="Calibri"/>
          <w:lang w:eastAsia="en-US"/>
        </w:rPr>
      </w:pPr>
    </w:p>
    <w:p w14:paraId="1648BF97" w14:textId="5ED9A8EB" w:rsidR="00395EAB" w:rsidRPr="009118AB" w:rsidRDefault="00395EAB" w:rsidP="00395EAB">
      <w:pPr>
        <w:jc w:val="both"/>
        <w:rPr>
          <w:rFonts w:eastAsia="Calibri"/>
          <w:lang w:eastAsia="en-US"/>
        </w:rPr>
      </w:pPr>
      <w:r w:rsidRPr="009118AB">
        <w:rPr>
          <w:rFonts w:eastAsia="Calibri"/>
          <w:szCs w:val="22"/>
          <w:lang w:eastAsia="en-US"/>
        </w:rPr>
        <w:tab/>
      </w:r>
      <w:r w:rsidRPr="009118AB">
        <w:rPr>
          <w:rFonts w:eastAsia="Calibri"/>
          <w:i/>
          <w:iCs/>
          <w:szCs w:val="22"/>
          <w:lang w:eastAsia="en-US"/>
        </w:rPr>
        <w:t>b)</w:t>
      </w:r>
      <w:r w:rsidRPr="009118AB">
        <w:rPr>
          <w:rFonts w:eastAsia="Calibri"/>
          <w:szCs w:val="22"/>
          <w:lang w:eastAsia="en-US"/>
        </w:rPr>
        <w:t xml:space="preserve"> oder einen in Artikel 270 </w:t>
      </w:r>
      <w:r w:rsidR="00D67EB8" w:rsidRPr="009118AB">
        <w:rPr>
          <w:rFonts w:eastAsia="Calibri"/>
          <w:szCs w:val="22"/>
          <w:lang w:eastAsia="en-US"/>
        </w:rPr>
        <w:t>Nr. </w:t>
      </w:r>
      <w:r w:rsidRPr="009118AB">
        <w:rPr>
          <w:rFonts w:eastAsia="Calibri"/>
          <w:szCs w:val="22"/>
          <w:lang w:eastAsia="en-US"/>
        </w:rPr>
        <w:t>1 und 3 erwähnten Schuldner des Berufssteuer</w:t>
      </w:r>
      <w:r w:rsidRPr="009118AB">
        <w:rPr>
          <w:rFonts w:eastAsia="Calibri"/>
          <w:szCs w:val="22"/>
          <w:lang w:eastAsia="en-US"/>
        </w:rPr>
        <w:softHyphen/>
        <w:t>vorabzugs bei Verhandlungen im Hinblick auf den Abschluss, die Verlängerung, Erneuerung oder Beendigung eines Arbeitsvertrags mit einem Sportler zu unterstützen</w:t>
      </w:r>
    </w:p>
    <w:p w14:paraId="7FEAC138" w14:textId="77777777" w:rsidR="00395EAB" w:rsidRPr="009118AB" w:rsidRDefault="00395EAB" w:rsidP="00395EAB">
      <w:pPr>
        <w:jc w:val="both"/>
        <w:rPr>
          <w:rFonts w:eastAsia="Calibri"/>
          <w:lang w:eastAsia="en-US"/>
        </w:rPr>
      </w:pPr>
    </w:p>
    <w:p w14:paraId="4DCFAD31" w14:textId="2F9829AB" w:rsidR="00395EAB" w:rsidRPr="009118AB" w:rsidRDefault="00395EAB" w:rsidP="00395EAB">
      <w:pPr>
        <w:autoSpaceDE w:val="0"/>
        <w:autoSpaceDN w:val="0"/>
        <w:adjustRightInd w:val="0"/>
        <w:ind w:firstLine="709"/>
        <w:jc w:val="both"/>
        <w:rPr>
          <w:bCs/>
          <w:iCs/>
        </w:rPr>
      </w:pPr>
      <w:r w:rsidRPr="009118AB">
        <w:rPr>
          <w:rFonts w:eastAsia="Calibri"/>
          <w:i/>
          <w:iCs/>
          <w:szCs w:val="22"/>
          <w:lang w:eastAsia="en-US"/>
        </w:rPr>
        <w:t>c)</w:t>
      </w:r>
      <w:r w:rsidRPr="009118AB">
        <w:rPr>
          <w:rFonts w:eastAsia="Calibri"/>
          <w:szCs w:val="22"/>
          <w:lang w:eastAsia="en-US"/>
        </w:rPr>
        <w:t> oder eine Ausleihe oder einen definitiven Transfer im Hinblick auf die Ankunft oder den Weggang eines Sportlers zu regeln.</w:t>
      </w:r>
      <w:r w:rsidRPr="009118AB">
        <w:rPr>
          <w:bCs/>
          <w:iCs/>
        </w:rPr>
        <w:t>]</w:t>
      </w:r>
    </w:p>
    <w:p w14:paraId="6C548DB4" w14:textId="77777777" w:rsidR="000A2157" w:rsidRPr="009118AB" w:rsidRDefault="000A2157" w:rsidP="00936841">
      <w:pPr>
        <w:autoSpaceDE w:val="0"/>
        <w:autoSpaceDN w:val="0"/>
        <w:adjustRightInd w:val="0"/>
        <w:jc w:val="both"/>
        <w:rPr>
          <w:bCs/>
          <w:iCs/>
        </w:rPr>
      </w:pPr>
    </w:p>
    <w:p w14:paraId="02CD2A6E" w14:textId="77777777" w:rsidR="00936841" w:rsidRPr="009118AB" w:rsidRDefault="00936841" w:rsidP="00496BAA">
      <w:pPr>
        <w:autoSpaceDE w:val="0"/>
        <w:autoSpaceDN w:val="0"/>
        <w:adjustRightInd w:val="0"/>
        <w:ind w:firstLine="709"/>
        <w:jc w:val="both"/>
        <w:rPr>
          <w:bCs/>
          <w:iCs/>
        </w:rPr>
      </w:pPr>
      <w:r w:rsidRPr="009118AB">
        <w:rPr>
          <w:bCs/>
          <w:iCs/>
        </w:rPr>
        <w:t>[Für die Anwendung von Absatz 1 werden in Artikel 32 erwähnte Unternehmensleiter Arbeitnehmern gleichgestellt.]</w:t>
      </w:r>
    </w:p>
    <w:p w14:paraId="13E17124" w14:textId="77777777" w:rsidR="00936841" w:rsidRPr="009118AB" w:rsidRDefault="00936841" w:rsidP="00936841">
      <w:pPr>
        <w:autoSpaceDE w:val="0"/>
        <w:autoSpaceDN w:val="0"/>
        <w:adjustRightInd w:val="0"/>
        <w:jc w:val="both"/>
        <w:rPr>
          <w:bCs/>
          <w:iCs/>
        </w:rPr>
      </w:pPr>
    </w:p>
    <w:p w14:paraId="4ABE27E1" w14:textId="5B0CB14A" w:rsidR="00936841" w:rsidRPr="009118AB" w:rsidRDefault="000A2157" w:rsidP="00936841">
      <w:pPr>
        <w:autoSpaceDE w:val="0"/>
        <w:autoSpaceDN w:val="0"/>
        <w:adjustRightInd w:val="0"/>
        <w:jc w:val="both"/>
        <w:rPr>
          <w:bCs/>
          <w:spacing w:val="-2"/>
        </w:rPr>
      </w:pPr>
      <w:r w:rsidRPr="009118AB">
        <w:rPr>
          <w:bCs/>
          <w:i/>
          <w:iCs/>
        </w:rPr>
        <w:t>[</w:t>
      </w:r>
      <w:r w:rsidR="00D67EB8" w:rsidRPr="009118AB">
        <w:rPr>
          <w:bCs/>
          <w:i/>
          <w:iCs/>
        </w:rPr>
        <w:t>Art. </w:t>
      </w:r>
      <w:r w:rsidRPr="009118AB">
        <w:rPr>
          <w:bCs/>
          <w:i/>
          <w:iCs/>
        </w:rPr>
        <w:t xml:space="preserve">234 </w:t>
      </w:r>
      <w:r w:rsidR="00D67EB8" w:rsidRPr="009118AB">
        <w:rPr>
          <w:bCs/>
          <w:i/>
          <w:iCs/>
        </w:rPr>
        <w:t>Abs. </w:t>
      </w:r>
      <w:r w:rsidR="00936841" w:rsidRPr="009118AB">
        <w:rPr>
          <w:bCs/>
          <w:i/>
          <w:iCs/>
        </w:rPr>
        <w:t xml:space="preserve">1 </w:t>
      </w:r>
      <w:r w:rsidR="00D67EB8" w:rsidRPr="009118AB">
        <w:rPr>
          <w:bCs/>
          <w:i/>
          <w:iCs/>
        </w:rPr>
        <w:t>Nr. </w:t>
      </w:r>
      <w:r w:rsidR="00936841" w:rsidRPr="009118AB">
        <w:rPr>
          <w:bCs/>
          <w:i/>
          <w:iCs/>
        </w:rPr>
        <w:t>3 e</w:t>
      </w:r>
      <w:r w:rsidRPr="009118AB">
        <w:rPr>
          <w:bCs/>
          <w:i/>
          <w:iCs/>
        </w:rPr>
        <w:t xml:space="preserve">rsetzt durch </w:t>
      </w:r>
      <w:r w:rsidR="00D67EB8" w:rsidRPr="009118AB">
        <w:rPr>
          <w:bCs/>
          <w:i/>
          <w:iCs/>
        </w:rPr>
        <w:t>Art. </w:t>
      </w:r>
      <w:r w:rsidR="00936841" w:rsidRPr="009118AB">
        <w:rPr>
          <w:bCs/>
          <w:i/>
          <w:iCs/>
        </w:rPr>
        <w:t xml:space="preserve">179 </w:t>
      </w:r>
      <w:r w:rsidR="00D67EB8" w:rsidRPr="009118AB">
        <w:rPr>
          <w:bCs/>
          <w:i/>
          <w:iCs/>
        </w:rPr>
        <w:t>Nr. </w:t>
      </w:r>
      <w:r w:rsidR="00936841" w:rsidRPr="009118AB">
        <w:rPr>
          <w:bCs/>
          <w:i/>
          <w:iCs/>
        </w:rPr>
        <w:t>1 des G. vom 27. Dezember 2005 (II) (B.S. vom 30. Dezember 2005)</w:t>
      </w:r>
      <w:r w:rsidR="00D67EB8" w:rsidRPr="009118AB">
        <w:rPr>
          <w:bCs/>
          <w:i/>
          <w:iCs/>
        </w:rPr>
        <w:t> - </w:t>
      </w:r>
      <w:r w:rsidR="00936841" w:rsidRPr="009118AB">
        <w:rPr>
          <w:bCs/>
          <w:i/>
          <w:iCs/>
        </w:rPr>
        <w:t xml:space="preserve">anwendbar auf die ab dem 1. Januar 2006 gezahlten Prämien und </w:t>
      </w:r>
      <w:r w:rsidR="00936841" w:rsidRPr="009118AB">
        <w:rPr>
          <w:bCs/>
          <w:i/>
          <w:iCs/>
        </w:rPr>
        <w:lastRenderedPageBreak/>
        <w:t>Beiträge</w:t>
      </w:r>
      <w:r w:rsidR="003366D9" w:rsidRPr="009118AB">
        <w:rPr>
          <w:bCs/>
          <w:i/>
          <w:iCs/>
        </w:rPr>
        <w:t> -;</w:t>
      </w:r>
      <w:r w:rsidR="00936841" w:rsidRPr="009118AB">
        <w:rPr>
          <w:bCs/>
          <w:i/>
          <w:iCs/>
        </w:rPr>
        <w:t xml:space="preserve"> </w:t>
      </w:r>
      <w:r w:rsidR="00D67EB8" w:rsidRPr="009118AB">
        <w:rPr>
          <w:bCs/>
          <w:i/>
          <w:iCs/>
        </w:rPr>
        <w:t>Abs. </w:t>
      </w:r>
      <w:r w:rsidR="00936841" w:rsidRPr="009118AB">
        <w:rPr>
          <w:bCs/>
          <w:i/>
          <w:iCs/>
        </w:rPr>
        <w:t xml:space="preserve">1 </w:t>
      </w:r>
      <w:r w:rsidR="00D67EB8" w:rsidRPr="009118AB">
        <w:rPr>
          <w:bCs/>
          <w:i/>
          <w:iCs/>
        </w:rPr>
        <w:t>Nr. </w:t>
      </w:r>
      <w:r w:rsidR="00936841" w:rsidRPr="009118AB">
        <w:rPr>
          <w:bCs/>
          <w:i/>
          <w:iCs/>
        </w:rPr>
        <w:t xml:space="preserve">4 </w:t>
      </w:r>
      <w:r w:rsidR="00D20B96" w:rsidRPr="009118AB">
        <w:rPr>
          <w:bCs/>
          <w:i/>
          <w:iCs/>
        </w:rPr>
        <w:t xml:space="preserve">einziger Absatz einleitende Bestimmung </w:t>
      </w:r>
      <w:r w:rsidR="00936841" w:rsidRPr="009118AB">
        <w:rPr>
          <w:bCs/>
          <w:i/>
          <w:iCs/>
        </w:rPr>
        <w:t xml:space="preserve">abgeändert durch </w:t>
      </w:r>
      <w:r w:rsidR="00D67EB8" w:rsidRPr="009118AB">
        <w:rPr>
          <w:bCs/>
          <w:i/>
          <w:iCs/>
        </w:rPr>
        <w:t>Art. </w:t>
      </w:r>
      <w:r w:rsidR="00936841" w:rsidRPr="009118AB">
        <w:rPr>
          <w:bCs/>
          <w:i/>
          <w:iCs/>
        </w:rPr>
        <w:t>24 des G.</w:t>
      </w:r>
      <w:r w:rsidR="00CB1997">
        <w:rPr>
          <w:bCs/>
          <w:i/>
          <w:iCs/>
        </w:rPr>
        <w:t> </w:t>
      </w:r>
      <w:r w:rsidR="00936841" w:rsidRPr="009118AB">
        <w:rPr>
          <w:bCs/>
          <w:i/>
          <w:iCs/>
        </w:rPr>
        <w:t>(I) vom 27. Dezember 2006</w:t>
      </w:r>
      <w:r w:rsidR="000A16EB" w:rsidRPr="009118AB">
        <w:rPr>
          <w:bCs/>
          <w:i/>
          <w:iCs/>
        </w:rPr>
        <w:t> </w:t>
      </w:r>
      <w:r w:rsidR="00936841" w:rsidRPr="009118AB">
        <w:rPr>
          <w:bCs/>
          <w:i/>
          <w:iCs/>
        </w:rPr>
        <w:t>(I) (B.S. vom 28. Dezember 2006)</w:t>
      </w:r>
      <w:r w:rsidR="00D67EB8" w:rsidRPr="009118AB">
        <w:rPr>
          <w:bCs/>
          <w:i/>
          <w:iCs/>
        </w:rPr>
        <w:t> - </w:t>
      </w:r>
      <w:r w:rsidR="00936841" w:rsidRPr="009118AB">
        <w:rPr>
          <w:bCs/>
          <w:i/>
          <w:iCs/>
        </w:rPr>
        <w:t>anwendbar ab dem Steuerjahr 2007</w:t>
      </w:r>
      <w:r w:rsidR="00FD68E8" w:rsidRPr="009118AB">
        <w:rPr>
          <w:bCs/>
          <w:i/>
          <w:iCs/>
        </w:rPr>
        <w:t> -,</w:t>
      </w:r>
      <w:r w:rsidR="00936841" w:rsidRPr="009118AB">
        <w:rPr>
          <w:bCs/>
          <w:i/>
          <w:iCs/>
        </w:rPr>
        <w:t xml:space="preserve"> </w:t>
      </w:r>
      <w:r w:rsidR="00D67EB8" w:rsidRPr="009118AB">
        <w:rPr>
          <w:bCs/>
          <w:i/>
          <w:iCs/>
        </w:rPr>
        <w:t>Art. </w:t>
      </w:r>
      <w:r w:rsidR="00936841" w:rsidRPr="009118AB">
        <w:rPr>
          <w:bCs/>
          <w:i/>
          <w:iCs/>
        </w:rPr>
        <w:t>34</w:t>
      </w:r>
      <w:r w:rsidR="00936841" w:rsidRPr="009118AB">
        <w:rPr>
          <w:i/>
          <w:iCs/>
        </w:rPr>
        <w:t xml:space="preserve"> des G. vom 19. Dezember 2014 (B.S. vom 29. Dezember 2014)</w:t>
      </w:r>
      <w:r w:rsidR="00D67EB8" w:rsidRPr="009118AB">
        <w:rPr>
          <w:i/>
          <w:iCs/>
        </w:rPr>
        <w:t> - </w:t>
      </w:r>
      <w:r w:rsidR="00936841" w:rsidRPr="009118AB">
        <w:rPr>
          <w:i/>
          <w:iCs/>
        </w:rPr>
        <w:t>in Kraft am 29. Dezember 2014 und anwendbar auf alle Rechtsstreite, die an diesem Datum noch nicht endgültig abgeschlossen sind</w:t>
      </w:r>
      <w:r w:rsidR="00FD68E8" w:rsidRPr="009118AB">
        <w:rPr>
          <w:i/>
          <w:iCs/>
        </w:rPr>
        <w:t> -,</w:t>
      </w:r>
      <w:r w:rsidR="00B75EA7" w:rsidRPr="009118AB">
        <w:rPr>
          <w:i/>
          <w:iCs/>
        </w:rPr>
        <w:t xml:space="preserve"> </w:t>
      </w:r>
      <w:r w:rsidR="00D67EB8" w:rsidRPr="009118AB">
        <w:rPr>
          <w:i/>
          <w:iCs/>
        </w:rPr>
        <w:t>Art. </w:t>
      </w:r>
      <w:r w:rsidR="00B75EA7" w:rsidRPr="009118AB">
        <w:rPr>
          <w:i/>
          <w:iCs/>
        </w:rPr>
        <w:t>74 Buchstabe a) und b)</w:t>
      </w:r>
      <w:r w:rsidR="00B75EA7" w:rsidRPr="009118AB">
        <w:rPr>
          <w:bCs/>
          <w:i/>
          <w:iCs/>
        </w:rPr>
        <w:t xml:space="preserve"> des G. vom 27. Juni 2021 (B.S. vom 30. Juni 2021)</w:t>
      </w:r>
      <w:r w:rsidR="000A16EB" w:rsidRPr="009118AB">
        <w:rPr>
          <w:bCs/>
          <w:i/>
          <w:iCs/>
        </w:rPr>
        <w:t>,</w:t>
      </w:r>
      <w:r w:rsidR="00210E8C" w:rsidRPr="009118AB">
        <w:rPr>
          <w:bCs/>
          <w:i/>
          <w:iCs/>
        </w:rPr>
        <w:t xml:space="preserve"> </w:t>
      </w:r>
      <w:r w:rsidR="00D67EB8" w:rsidRPr="009118AB">
        <w:rPr>
          <w:bCs/>
          <w:i/>
          <w:iCs/>
        </w:rPr>
        <w:t>Art. </w:t>
      </w:r>
      <w:r w:rsidR="00210E8C" w:rsidRPr="009118AB">
        <w:rPr>
          <w:bCs/>
          <w:i/>
          <w:iCs/>
        </w:rPr>
        <w:t>50 des G. vom 21. Januar 2022 (B.S. vom 28. Januar 2022)</w:t>
      </w:r>
      <w:r w:rsidR="00D67EB8" w:rsidRPr="009118AB">
        <w:rPr>
          <w:bCs/>
          <w:i/>
          <w:iCs/>
        </w:rPr>
        <w:t> - </w:t>
      </w:r>
      <w:r w:rsidR="00210E8C" w:rsidRPr="009118AB">
        <w:rPr>
          <w:bCs/>
          <w:i/>
          <w:iCs/>
        </w:rPr>
        <w:t>anwendbar auf Einkünfte, die ab dem 1. Januar 2021 während eines Besteuerungszeitraums gezahlt oder zuerkannt werden, der frühestens an das Steuerjahr 2022 gebunden ist</w:t>
      </w:r>
      <w:r w:rsidR="003366D9" w:rsidRPr="009118AB">
        <w:rPr>
          <w:bCs/>
          <w:i/>
          <w:iCs/>
        </w:rPr>
        <w:t> -</w:t>
      </w:r>
      <w:r w:rsidR="000A16EB" w:rsidRPr="009118AB">
        <w:rPr>
          <w:bCs/>
          <w:i/>
          <w:iCs/>
          <w:sz w:val="20"/>
          <w:szCs w:val="20"/>
        </w:rPr>
        <w:t xml:space="preserve"> </w:t>
      </w:r>
      <w:r w:rsidR="000A16EB" w:rsidRPr="009118AB">
        <w:rPr>
          <w:bCs/>
          <w:i/>
          <w:iCs/>
        </w:rPr>
        <w:t>und Art. 27 des G. vom 21. Dezember 2022 (II) (B.S. vom 29. Dezember 2022) - in Kraft am 1. Januar 2023 -</w:t>
      </w:r>
      <w:r w:rsidR="003366D9" w:rsidRPr="009118AB">
        <w:rPr>
          <w:bCs/>
          <w:i/>
          <w:iCs/>
        </w:rPr>
        <w:t>;</w:t>
      </w:r>
      <w:r w:rsidR="00936841" w:rsidRPr="009118AB">
        <w:rPr>
          <w:bCs/>
          <w:i/>
          <w:iCs/>
        </w:rPr>
        <w:t xml:space="preserve"> </w:t>
      </w:r>
      <w:r w:rsidR="0027187F" w:rsidRPr="009118AB">
        <w:rPr>
          <w:bCs/>
          <w:i/>
          <w:iCs/>
        </w:rPr>
        <w:t>Abs. 1 Nr. 4 einziger Absatz zweiter Gedankenstrich abgeändert durch Art. 31</w:t>
      </w:r>
      <w:r w:rsidR="0027187F" w:rsidRPr="009118AB">
        <w:rPr>
          <w:i/>
          <w:iCs/>
          <w:spacing w:val="-2"/>
        </w:rPr>
        <w:t xml:space="preserve"> des G. vom 5. Juli 2022 (B.S. vom 15. Juli 2022); </w:t>
      </w:r>
      <w:r w:rsidR="00D67EB8" w:rsidRPr="009118AB">
        <w:rPr>
          <w:bCs/>
          <w:i/>
          <w:iCs/>
        </w:rPr>
        <w:t>Abs. </w:t>
      </w:r>
      <w:r w:rsidR="00936841" w:rsidRPr="009118AB">
        <w:rPr>
          <w:bCs/>
          <w:i/>
          <w:iCs/>
        </w:rPr>
        <w:t xml:space="preserve">1 </w:t>
      </w:r>
      <w:r w:rsidR="00D67EB8" w:rsidRPr="009118AB">
        <w:rPr>
          <w:bCs/>
          <w:i/>
          <w:iCs/>
        </w:rPr>
        <w:t>Nr. </w:t>
      </w:r>
      <w:r w:rsidR="00936841" w:rsidRPr="009118AB">
        <w:rPr>
          <w:bCs/>
          <w:i/>
          <w:iCs/>
        </w:rPr>
        <w:t xml:space="preserve">5 eingefügt durch </w:t>
      </w:r>
      <w:r w:rsidR="00D67EB8" w:rsidRPr="009118AB">
        <w:rPr>
          <w:bCs/>
          <w:i/>
          <w:iCs/>
        </w:rPr>
        <w:t>Art. </w:t>
      </w:r>
      <w:r w:rsidR="00936841" w:rsidRPr="009118AB">
        <w:rPr>
          <w:bCs/>
          <w:i/>
          <w:iCs/>
        </w:rPr>
        <w:t>55 des G. vom 10. März 1999 (B.S. vom 14. April 1999)</w:t>
      </w:r>
      <w:r w:rsidR="00D67EB8" w:rsidRPr="009118AB">
        <w:rPr>
          <w:bCs/>
          <w:i/>
          <w:iCs/>
        </w:rPr>
        <w:t> - </w:t>
      </w:r>
      <w:r w:rsidR="00936841" w:rsidRPr="009118AB">
        <w:rPr>
          <w:bCs/>
          <w:i/>
          <w:iCs/>
        </w:rPr>
        <w:t>anwendbar auf ab dem 14. April 1999 verliehene Aktien oder Anteile</w:t>
      </w:r>
      <w:r w:rsidR="00FD68E8" w:rsidRPr="009118AB">
        <w:rPr>
          <w:bCs/>
          <w:i/>
          <w:iCs/>
        </w:rPr>
        <w:t> -,</w:t>
      </w:r>
      <w:r w:rsidR="00936841" w:rsidRPr="009118AB">
        <w:rPr>
          <w:bCs/>
          <w:i/>
          <w:iCs/>
        </w:rPr>
        <w:t xml:space="preserve"> aufgehoben durch </w:t>
      </w:r>
      <w:r w:rsidR="00D67EB8" w:rsidRPr="009118AB">
        <w:rPr>
          <w:bCs/>
          <w:i/>
          <w:iCs/>
        </w:rPr>
        <w:t>Art. </w:t>
      </w:r>
      <w:r w:rsidR="00936841" w:rsidRPr="009118AB">
        <w:rPr>
          <w:bCs/>
          <w:i/>
          <w:iCs/>
        </w:rPr>
        <w:t>51 des G. vom 15. Dezember 2004 (B.S. vom 1. Februar 2005)</w:t>
      </w:r>
      <w:r w:rsidR="00D67EB8" w:rsidRPr="009118AB">
        <w:rPr>
          <w:bCs/>
          <w:i/>
          <w:iCs/>
        </w:rPr>
        <w:t> - </w:t>
      </w:r>
      <w:r w:rsidR="00936841" w:rsidRPr="009118AB">
        <w:rPr>
          <w:bCs/>
          <w:i/>
          <w:iCs/>
        </w:rPr>
        <w:t>anwendbar auf Aktien- oder Anteilverleihe, die ab dem 1. Februar 2005 abgeschlossen werden</w:t>
      </w:r>
      <w:r w:rsidR="00D67EB8" w:rsidRPr="009118AB">
        <w:rPr>
          <w:bCs/>
          <w:i/>
          <w:iCs/>
        </w:rPr>
        <w:t> - </w:t>
      </w:r>
      <w:r w:rsidR="00936841" w:rsidRPr="009118AB">
        <w:rPr>
          <w:bCs/>
          <w:i/>
          <w:iCs/>
        </w:rPr>
        <w:t>un</w:t>
      </w:r>
      <w:r w:rsidRPr="009118AB">
        <w:rPr>
          <w:bCs/>
          <w:i/>
          <w:iCs/>
        </w:rPr>
        <w:t xml:space="preserve">d wieder aufgenommen durch </w:t>
      </w:r>
      <w:r w:rsidR="00D67EB8" w:rsidRPr="009118AB">
        <w:rPr>
          <w:bCs/>
          <w:i/>
          <w:iCs/>
        </w:rPr>
        <w:t>Art. </w:t>
      </w:r>
      <w:r w:rsidR="00936841" w:rsidRPr="009118AB">
        <w:rPr>
          <w:bCs/>
          <w:i/>
          <w:iCs/>
        </w:rPr>
        <w:t>138 des G. (I) vom 22. Dezember 2008</w:t>
      </w:r>
      <w:r w:rsidR="00210E8C" w:rsidRPr="009118AB">
        <w:rPr>
          <w:bCs/>
          <w:i/>
          <w:iCs/>
        </w:rPr>
        <w:t> </w:t>
      </w:r>
      <w:r w:rsidR="00936841" w:rsidRPr="009118AB">
        <w:rPr>
          <w:bCs/>
          <w:i/>
          <w:iCs/>
        </w:rPr>
        <w:t>(II) (B.S. vom 29. Dezember 2008)</w:t>
      </w:r>
      <w:r w:rsidR="00D67EB8" w:rsidRPr="009118AB">
        <w:rPr>
          <w:bCs/>
          <w:i/>
          <w:iCs/>
        </w:rPr>
        <w:t> - </w:t>
      </w:r>
      <w:r w:rsidR="00936841" w:rsidRPr="009118AB">
        <w:rPr>
          <w:bCs/>
          <w:i/>
          <w:iCs/>
        </w:rPr>
        <w:t>in Kraft am 8. Juni 2007</w:t>
      </w:r>
      <w:r w:rsidR="003366D9" w:rsidRPr="009118AB">
        <w:rPr>
          <w:bCs/>
          <w:i/>
          <w:iCs/>
        </w:rPr>
        <w:t> -;</w:t>
      </w:r>
      <w:r w:rsidR="00936841" w:rsidRPr="009118AB">
        <w:rPr>
          <w:bCs/>
          <w:i/>
          <w:iCs/>
        </w:rPr>
        <w:t xml:space="preserve"> </w:t>
      </w:r>
      <w:r w:rsidR="00D67EB8" w:rsidRPr="009118AB">
        <w:rPr>
          <w:bCs/>
          <w:i/>
          <w:iCs/>
        </w:rPr>
        <w:t>Abs. </w:t>
      </w:r>
      <w:r w:rsidR="00936841" w:rsidRPr="009118AB">
        <w:rPr>
          <w:bCs/>
          <w:i/>
          <w:iCs/>
        </w:rPr>
        <w:t xml:space="preserve">1 </w:t>
      </w:r>
      <w:r w:rsidR="00D67EB8" w:rsidRPr="009118AB">
        <w:rPr>
          <w:bCs/>
          <w:i/>
          <w:iCs/>
        </w:rPr>
        <w:t>Nr. </w:t>
      </w:r>
      <w:r w:rsidR="00936841" w:rsidRPr="009118AB">
        <w:rPr>
          <w:bCs/>
          <w:i/>
          <w:iCs/>
        </w:rPr>
        <w:t xml:space="preserve">6 eingefügt </w:t>
      </w:r>
      <w:r w:rsidR="00936841" w:rsidRPr="009118AB">
        <w:rPr>
          <w:i/>
          <w:iCs/>
        </w:rPr>
        <w:t xml:space="preserve">durch </w:t>
      </w:r>
      <w:r w:rsidR="00D67EB8" w:rsidRPr="009118AB">
        <w:rPr>
          <w:i/>
          <w:iCs/>
        </w:rPr>
        <w:t>Art. </w:t>
      </w:r>
      <w:r w:rsidR="00936841" w:rsidRPr="009118AB">
        <w:rPr>
          <w:i/>
          <w:iCs/>
        </w:rPr>
        <w:t xml:space="preserve">49 </w:t>
      </w:r>
      <w:r w:rsidR="00936841" w:rsidRPr="009118AB">
        <w:rPr>
          <w:bCs/>
          <w:i/>
          <w:iCs/>
        </w:rPr>
        <w:t>des G. vom 28. Dezember 2011 (B.S. vom 30. Dezember 2011)</w:t>
      </w:r>
      <w:r w:rsidR="00D67EB8" w:rsidRPr="009118AB">
        <w:rPr>
          <w:bCs/>
          <w:i/>
          <w:iCs/>
        </w:rPr>
        <w:t> - </w:t>
      </w:r>
      <w:r w:rsidR="00936841" w:rsidRPr="009118AB">
        <w:rPr>
          <w:i/>
          <w:iCs/>
        </w:rPr>
        <w:t>anwendbar auf die ab dem 1. Januar 2012 zuerkannten Vorteile jeglicher Art</w:t>
      </w:r>
      <w:r w:rsidR="00FD68E8" w:rsidRPr="009118AB">
        <w:rPr>
          <w:i/>
          <w:iCs/>
        </w:rPr>
        <w:t> -,</w:t>
      </w:r>
      <w:r w:rsidR="00936841" w:rsidRPr="009118AB">
        <w:rPr>
          <w:i/>
          <w:iCs/>
        </w:rPr>
        <w:t xml:space="preserve"> ersetzt durch </w:t>
      </w:r>
      <w:r w:rsidR="00D67EB8" w:rsidRPr="009118AB">
        <w:rPr>
          <w:i/>
          <w:iCs/>
        </w:rPr>
        <w:t>Art. </w:t>
      </w:r>
      <w:r w:rsidR="00936841" w:rsidRPr="009118AB">
        <w:rPr>
          <w:i/>
          <w:iCs/>
        </w:rPr>
        <w:t>71 Buchstabe a) des G. vom 25. Dezember 2016 (I) (B.S. vom 29. Dezember 2016)</w:t>
      </w:r>
      <w:r w:rsidR="00D67EB8" w:rsidRPr="009118AB">
        <w:rPr>
          <w:i/>
          <w:iCs/>
        </w:rPr>
        <w:t> - </w:t>
      </w:r>
      <w:r w:rsidR="00936841" w:rsidRPr="009118AB">
        <w:rPr>
          <w:i/>
          <w:iCs/>
        </w:rPr>
        <w:t>in Kraft und anwendbar ab dem 1. Januar 2017</w:t>
      </w:r>
      <w:r w:rsidR="00D67EB8" w:rsidRPr="009118AB">
        <w:rPr>
          <w:i/>
          <w:iCs/>
        </w:rPr>
        <w:t> - </w:t>
      </w:r>
      <w:r w:rsidR="00936841" w:rsidRPr="009118AB">
        <w:rPr>
          <w:i/>
          <w:iCs/>
        </w:rPr>
        <w:t xml:space="preserve">und abgeändert durch </w:t>
      </w:r>
      <w:r w:rsidR="00D67EB8" w:rsidRPr="009118AB">
        <w:rPr>
          <w:i/>
          <w:iCs/>
        </w:rPr>
        <w:t>Art. </w:t>
      </w:r>
      <w:r w:rsidR="00936841" w:rsidRPr="009118AB">
        <w:rPr>
          <w:i/>
          <w:iCs/>
        </w:rPr>
        <w:t xml:space="preserve">63 </w:t>
      </w:r>
      <w:r w:rsidR="00D67EB8" w:rsidRPr="009118AB">
        <w:rPr>
          <w:i/>
          <w:iCs/>
        </w:rPr>
        <w:t>Nr. </w:t>
      </w:r>
      <w:r w:rsidR="00936841" w:rsidRPr="009118AB">
        <w:rPr>
          <w:i/>
          <w:iCs/>
        </w:rPr>
        <w:t>1 des G. vom 25. Dezember 2017 (III) (B.S. vom 29. Dezember 2017)</w:t>
      </w:r>
      <w:r w:rsidR="00D67EB8" w:rsidRPr="009118AB">
        <w:rPr>
          <w:i/>
          <w:iCs/>
        </w:rPr>
        <w:t> - </w:t>
      </w:r>
      <w:r w:rsidR="00936841" w:rsidRPr="009118AB">
        <w:rPr>
          <w:i/>
          <w:iCs/>
        </w:rPr>
        <w:t>in Kraft am 1. Januar 2020 und anwendbar ab dem Steuerjahr 2021, das sich auf einen Besteuerungszeitraum bezieht, der frühestens am 1. Januar 2020 beginnt</w:t>
      </w:r>
      <w:r w:rsidR="003366D9" w:rsidRPr="009118AB">
        <w:rPr>
          <w:i/>
          <w:iCs/>
        </w:rPr>
        <w:t> -;</w:t>
      </w:r>
      <w:r w:rsidR="00936841" w:rsidRPr="009118AB">
        <w:rPr>
          <w:i/>
          <w:iCs/>
        </w:rPr>
        <w:t xml:space="preserve"> </w:t>
      </w:r>
      <w:r w:rsidR="00D67EB8" w:rsidRPr="009118AB">
        <w:rPr>
          <w:i/>
          <w:iCs/>
        </w:rPr>
        <w:t>Abs. </w:t>
      </w:r>
      <w:r w:rsidRPr="009118AB">
        <w:rPr>
          <w:i/>
          <w:iCs/>
        </w:rPr>
        <w:t xml:space="preserve">1 </w:t>
      </w:r>
      <w:r w:rsidR="0065143C" w:rsidRPr="009118AB">
        <w:rPr>
          <w:i/>
          <w:iCs/>
          <w:spacing w:val="-2"/>
        </w:rPr>
        <w:t>frühere Nummer </w:t>
      </w:r>
      <w:r w:rsidRPr="009118AB">
        <w:rPr>
          <w:i/>
          <w:iCs/>
        </w:rPr>
        <w:t xml:space="preserve">6bis eingefügt durch </w:t>
      </w:r>
      <w:r w:rsidR="00D67EB8" w:rsidRPr="009118AB">
        <w:rPr>
          <w:i/>
          <w:iCs/>
        </w:rPr>
        <w:t>Art. </w:t>
      </w:r>
      <w:r w:rsidRPr="009118AB">
        <w:rPr>
          <w:i/>
          <w:iCs/>
        </w:rPr>
        <w:t xml:space="preserve">33 </w:t>
      </w:r>
      <w:r w:rsidR="00D67EB8" w:rsidRPr="009118AB">
        <w:rPr>
          <w:i/>
          <w:iCs/>
        </w:rPr>
        <w:t>Nr. </w:t>
      </w:r>
      <w:r w:rsidRPr="009118AB">
        <w:rPr>
          <w:i/>
          <w:iCs/>
        </w:rPr>
        <w:t>1 des G. vom 30. März 2018 (B.S. vom 7. Mai 2018)</w:t>
      </w:r>
      <w:r w:rsidR="00D67EB8" w:rsidRPr="009118AB">
        <w:rPr>
          <w:i/>
          <w:iCs/>
        </w:rPr>
        <w:t> - </w:t>
      </w:r>
      <w:r w:rsidRPr="009118AB">
        <w:rPr>
          <w:i/>
          <w:iCs/>
        </w:rPr>
        <w:t>in Kraft am 1. Januar 2018</w:t>
      </w:r>
      <w:r w:rsidR="00FD68E8" w:rsidRPr="009118AB">
        <w:rPr>
          <w:i/>
          <w:iCs/>
        </w:rPr>
        <w:t> -,</w:t>
      </w:r>
      <w:r w:rsidR="0065143C" w:rsidRPr="009118AB">
        <w:rPr>
          <w:i/>
          <w:iCs/>
        </w:rPr>
        <w:t xml:space="preserve"> </w:t>
      </w:r>
      <w:r w:rsidR="0065143C" w:rsidRPr="009118AB">
        <w:rPr>
          <w:i/>
        </w:rPr>
        <w:t>selbst für nichtig erklärt durch</w:t>
      </w:r>
      <w:r w:rsidR="0065143C" w:rsidRPr="009118AB">
        <w:rPr>
          <w:i/>
          <w:iCs/>
        </w:rPr>
        <w:t xml:space="preserve"> Entscheid </w:t>
      </w:r>
      <w:r w:rsidR="00D67EB8" w:rsidRPr="009118AB">
        <w:rPr>
          <w:i/>
          <w:iCs/>
        </w:rPr>
        <w:t>Nr. </w:t>
      </w:r>
      <w:r w:rsidR="0065143C" w:rsidRPr="009118AB">
        <w:rPr>
          <w:i/>
          <w:iCs/>
        </w:rPr>
        <w:t>11/2020 des Verfassungsgerichtshofes vom 23. Januar 2020 (B.S. vom 24. Februar 2020)</w:t>
      </w:r>
      <w:r w:rsidRPr="009118AB">
        <w:rPr>
          <w:i/>
          <w:iCs/>
        </w:rPr>
        <w:t xml:space="preserve">; </w:t>
      </w:r>
      <w:r w:rsidR="00D67EB8" w:rsidRPr="009118AB">
        <w:rPr>
          <w:i/>
          <w:iCs/>
        </w:rPr>
        <w:t>Abs. </w:t>
      </w:r>
      <w:r w:rsidR="00936841" w:rsidRPr="009118AB">
        <w:rPr>
          <w:i/>
          <w:iCs/>
        </w:rPr>
        <w:t xml:space="preserve">1 </w:t>
      </w:r>
      <w:r w:rsidR="00D67EB8" w:rsidRPr="009118AB">
        <w:rPr>
          <w:i/>
          <w:iCs/>
        </w:rPr>
        <w:t>Nr. </w:t>
      </w:r>
      <w:r w:rsidR="00936841" w:rsidRPr="009118AB">
        <w:rPr>
          <w:i/>
          <w:iCs/>
        </w:rPr>
        <w:t xml:space="preserve">7 eingefügt durch </w:t>
      </w:r>
      <w:r w:rsidR="00D67EB8" w:rsidRPr="009118AB">
        <w:rPr>
          <w:i/>
          <w:iCs/>
        </w:rPr>
        <w:t>Art. </w:t>
      </w:r>
      <w:r w:rsidR="00936841" w:rsidRPr="009118AB">
        <w:rPr>
          <w:i/>
          <w:iCs/>
        </w:rPr>
        <w:t xml:space="preserve">71 Buchstabe b) des G. vom 25. Dezember 2016 (I) (B.S. vom </w:t>
      </w:r>
      <w:r w:rsidR="00936841" w:rsidRPr="009118AB">
        <w:rPr>
          <w:i/>
          <w:iCs/>
          <w:spacing w:val="-2"/>
        </w:rPr>
        <w:t>29. Dezember 2016)</w:t>
      </w:r>
      <w:r w:rsidR="00D67EB8" w:rsidRPr="009118AB">
        <w:rPr>
          <w:i/>
          <w:iCs/>
          <w:spacing w:val="-2"/>
        </w:rPr>
        <w:t> - </w:t>
      </w:r>
      <w:r w:rsidR="00936841" w:rsidRPr="009118AB">
        <w:rPr>
          <w:i/>
          <w:iCs/>
          <w:spacing w:val="-2"/>
        </w:rPr>
        <w:t>in Kraft und anwendbar ab dem 1. Januar 2017</w:t>
      </w:r>
      <w:r w:rsidR="00D67EB8" w:rsidRPr="009118AB">
        <w:rPr>
          <w:i/>
          <w:iCs/>
          <w:spacing w:val="-2"/>
        </w:rPr>
        <w:t> - </w:t>
      </w:r>
      <w:r w:rsidR="00936841" w:rsidRPr="009118AB">
        <w:rPr>
          <w:i/>
          <w:iCs/>
          <w:spacing w:val="-2"/>
        </w:rPr>
        <w:t xml:space="preserve">und abgeändert durch </w:t>
      </w:r>
      <w:r w:rsidR="00D67EB8" w:rsidRPr="009118AB">
        <w:rPr>
          <w:i/>
          <w:iCs/>
          <w:spacing w:val="-2"/>
        </w:rPr>
        <w:t>Art. </w:t>
      </w:r>
      <w:r w:rsidR="00936841" w:rsidRPr="009118AB">
        <w:rPr>
          <w:i/>
          <w:iCs/>
          <w:spacing w:val="-2"/>
        </w:rPr>
        <w:t xml:space="preserve">63 </w:t>
      </w:r>
      <w:r w:rsidR="00D67EB8" w:rsidRPr="009118AB">
        <w:rPr>
          <w:i/>
          <w:iCs/>
          <w:spacing w:val="-2"/>
        </w:rPr>
        <w:t>Nr. </w:t>
      </w:r>
      <w:r w:rsidR="00936841" w:rsidRPr="009118AB">
        <w:rPr>
          <w:i/>
          <w:iCs/>
          <w:spacing w:val="-2"/>
        </w:rPr>
        <w:t>2 des G. vom 25. Dezember 2017 (III) (B.S. vom 29. Dezember 2017)</w:t>
      </w:r>
      <w:r w:rsidR="00D67EB8" w:rsidRPr="009118AB">
        <w:rPr>
          <w:i/>
          <w:iCs/>
          <w:spacing w:val="-2"/>
        </w:rPr>
        <w:t> - </w:t>
      </w:r>
      <w:r w:rsidR="00936841" w:rsidRPr="009118AB">
        <w:rPr>
          <w:i/>
          <w:iCs/>
          <w:spacing w:val="-2"/>
        </w:rPr>
        <w:t>in Kraft am 1. Januar 2020 und anwendbar ab dem Steuerjahr 2021, das sich auf einen Besteuerungszeitraum bezieht, der frühestens am 1. Januar 2020 beginnt</w:t>
      </w:r>
      <w:r w:rsidR="003366D9" w:rsidRPr="009118AB">
        <w:rPr>
          <w:i/>
          <w:iCs/>
          <w:spacing w:val="-2"/>
        </w:rPr>
        <w:t> -;</w:t>
      </w:r>
      <w:r w:rsidR="00936841" w:rsidRPr="009118AB">
        <w:rPr>
          <w:i/>
          <w:iCs/>
          <w:spacing w:val="-2"/>
        </w:rPr>
        <w:t xml:space="preserve"> </w:t>
      </w:r>
      <w:r w:rsidR="00D67EB8" w:rsidRPr="009118AB">
        <w:rPr>
          <w:i/>
          <w:iCs/>
          <w:spacing w:val="-2"/>
        </w:rPr>
        <w:t>Abs. </w:t>
      </w:r>
      <w:r w:rsidRPr="009118AB">
        <w:rPr>
          <w:i/>
          <w:iCs/>
          <w:spacing w:val="-2"/>
        </w:rPr>
        <w:t xml:space="preserve">1 </w:t>
      </w:r>
      <w:r w:rsidR="0065143C" w:rsidRPr="009118AB">
        <w:rPr>
          <w:i/>
          <w:iCs/>
          <w:spacing w:val="-2"/>
        </w:rPr>
        <w:t>frühere Nummer</w:t>
      </w:r>
      <w:r w:rsidRPr="009118AB">
        <w:rPr>
          <w:i/>
          <w:iCs/>
          <w:spacing w:val="-2"/>
        </w:rPr>
        <w:t xml:space="preserve"> 7bis eingefügt durch </w:t>
      </w:r>
      <w:r w:rsidR="00D67EB8" w:rsidRPr="009118AB">
        <w:rPr>
          <w:i/>
          <w:iCs/>
          <w:spacing w:val="-2"/>
        </w:rPr>
        <w:t>Art. </w:t>
      </w:r>
      <w:r w:rsidRPr="009118AB">
        <w:rPr>
          <w:i/>
          <w:iCs/>
          <w:spacing w:val="-2"/>
        </w:rPr>
        <w:t xml:space="preserve">33 </w:t>
      </w:r>
      <w:r w:rsidR="00D67EB8" w:rsidRPr="009118AB">
        <w:rPr>
          <w:i/>
          <w:iCs/>
          <w:spacing w:val="-2"/>
        </w:rPr>
        <w:t>Nr. </w:t>
      </w:r>
      <w:r w:rsidRPr="009118AB">
        <w:rPr>
          <w:i/>
          <w:iCs/>
          <w:spacing w:val="-2"/>
        </w:rPr>
        <w:t>2 des G. vom 30. März 2018 (B.S. vom 7. Mai 2018)</w:t>
      </w:r>
      <w:r w:rsidR="00D67EB8" w:rsidRPr="009118AB">
        <w:rPr>
          <w:i/>
          <w:iCs/>
          <w:spacing w:val="-2"/>
        </w:rPr>
        <w:t> - </w:t>
      </w:r>
      <w:r w:rsidRPr="009118AB">
        <w:rPr>
          <w:i/>
          <w:iCs/>
          <w:spacing w:val="-2"/>
        </w:rPr>
        <w:t>in Kraft am 1. Januar 2018</w:t>
      </w:r>
      <w:r w:rsidR="00FD68E8" w:rsidRPr="009118AB">
        <w:rPr>
          <w:i/>
          <w:iCs/>
          <w:spacing w:val="-2"/>
        </w:rPr>
        <w:t> -,</w:t>
      </w:r>
      <w:r w:rsidR="00ED4916" w:rsidRPr="009118AB">
        <w:rPr>
          <w:i/>
          <w:iCs/>
          <w:spacing w:val="-2"/>
        </w:rPr>
        <w:t xml:space="preserve"> selbst für nichtig erklärt durch Entscheid </w:t>
      </w:r>
      <w:r w:rsidR="00D67EB8" w:rsidRPr="009118AB">
        <w:rPr>
          <w:i/>
          <w:iCs/>
          <w:spacing w:val="-2"/>
        </w:rPr>
        <w:t>Nr. </w:t>
      </w:r>
      <w:r w:rsidR="00ED4916" w:rsidRPr="009118AB">
        <w:rPr>
          <w:i/>
          <w:iCs/>
          <w:spacing w:val="-2"/>
        </w:rPr>
        <w:t>11/2020 des Verfassungsgerichtshofes vom 23. Januar 2020 (B.S. vom 24. Februar 2020)</w:t>
      </w:r>
      <w:r w:rsidRPr="009118AB">
        <w:rPr>
          <w:i/>
          <w:iCs/>
          <w:spacing w:val="-2"/>
        </w:rPr>
        <w:t xml:space="preserve">; </w:t>
      </w:r>
      <w:r w:rsidR="00D67EB8" w:rsidRPr="009118AB">
        <w:rPr>
          <w:i/>
          <w:iCs/>
          <w:spacing w:val="-2"/>
        </w:rPr>
        <w:t>Abs. </w:t>
      </w:r>
      <w:r w:rsidR="00395EAB" w:rsidRPr="009118AB">
        <w:rPr>
          <w:i/>
          <w:iCs/>
          <w:spacing w:val="-2"/>
        </w:rPr>
        <w:t xml:space="preserve">1 </w:t>
      </w:r>
      <w:r w:rsidR="00D67EB8" w:rsidRPr="009118AB">
        <w:rPr>
          <w:i/>
          <w:iCs/>
          <w:spacing w:val="-2"/>
        </w:rPr>
        <w:t>Nr. </w:t>
      </w:r>
      <w:r w:rsidR="00395EAB" w:rsidRPr="009118AB">
        <w:rPr>
          <w:i/>
          <w:iCs/>
          <w:spacing w:val="-2"/>
        </w:rPr>
        <w:t xml:space="preserve">10 eingefügt durch </w:t>
      </w:r>
      <w:r w:rsidR="00D67EB8" w:rsidRPr="009118AB">
        <w:rPr>
          <w:i/>
          <w:iCs/>
          <w:spacing w:val="-2"/>
        </w:rPr>
        <w:t>Art. </w:t>
      </w:r>
      <w:r w:rsidR="00395EAB" w:rsidRPr="009118AB">
        <w:rPr>
          <w:i/>
          <w:iCs/>
          <w:spacing w:val="-2"/>
        </w:rPr>
        <w:t>9</w:t>
      </w:r>
      <w:r w:rsidR="00395EAB" w:rsidRPr="009118AB">
        <w:rPr>
          <w:i/>
        </w:rPr>
        <w:t xml:space="preserve"> des G. vom 27. Dezember 2021 (B.S. vom 31. Dezember 2021)</w:t>
      </w:r>
      <w:r w:rsidR="00D67EB8" w:rsidRPr="009118AB">
        <w:rPr>
          <w:i/>
        </w:rPr>
        <w:t> - </w:t>
      </w:r>
      <w:r w:rsidR="00395EAB" w:rsidRPr="009118AB">
        <w:rPr>
          <w:i/>
        </w:rPr>
        <w:t>anwendbar ab dem 1. Januar 2022</w:t>
      </w:r>
      <w:r w:rsidR="003366D9" w:rsidRPr="009118AB">
        <w:rPr>
          <w:i/>
        </w:rPr>
        <w:t> -;</w:t>
      </w:r>
      <w:r w:rsidR="00395EAB" w:rsidRPr="009118AB">
        <w:rPr>
          <w:i/>
        </w:rPr>
        <w:t xml:space="preserve"> </w:t>
      </w:r>
      <w:r w:rsidR="00D67EB8" w:rsidRPr="009118AB">
        <w:rPr>
          <w:bCs/>
          <w:i/>
          <w:iCs/>
          <w:spacing w:val="-2"/>
        </w:rPr>
        <w:t>Abs. </w:t>
      </w:r>
      <w:r w:rsidR="00936841" w:rsidRPr="009118AB">
        <w:rPr>
          <w:bCs/>
          <w:i/>
          <w:iCs/>
          <w:spacing w:val="-2"/>
        </w:rPr>
        <w:t xml:space="preserve">2 eingefügt durch </w:t>
      </w:r>
      <w:r w:rsidR="00D67EB8" w:rsidRPr="009118AB">
        <w:rPr>
          <w:bCs/>
          <w:i/>
          <w:iCs/>
          <w:spacing w:val="-2"/>
        </w:rPr>
        <w:t>Art. </w:t>
      </w:r>
      <w:r w:rsidR="00936841" w:rsidRPr="009118AB">
        <w:rPr>
          <w:bCs/>
          <w:i/>
          <w:iCs/>
          <w:spacing w:val="-2"/>
        </w:rPr>
        <w:t xml:space="preserve">179 </w:t>
      </w:r>
      <w:r w:rsidR="00D67EB8" w:rsidRPr="009118AB">
        <w:rPr>
          <w:bCs/>
          <w:i/>
          <w:iCs/>
          <w:spacing w:val="-2"/>
        </w:rPr>
        <w:t>Nr. </w:t>
      </w:r>
      <w:r w:rsidR="00936841" w:rsidRPr="009118AB">
        <w:rPr>
          <w:bCs/>
          <w:i/>
          <w:iCs/>
          <w:spacing w:val="-2"/>
        </w:rPr>
        <w:t>9 des G. vom 27. Dezember 2005 (II) (B.S. vom 30. Dezember 2005)</w:t>
      </w:r>
      <w:r w:rsidR="00D67EB8" w:rsidRPr="009118AB">
        <w:rPr>
          <w:bCs/>
          <w:i/>
          <w:iCs/>
          <w:spacing w:val="-2"/>
        </w:rPr>
        <w:t> - </w:t>
      </w:r>
      <w:r w:rsidR="00936841" w:rsidRPr="009118AB">
        <w:rPr>
          <w:bCs/>
          <w:i/>
          <w:iCs/>
          <w:spacing w:val="-2"/>
        </w:rPr>
        <w:t>anwendbar auf die ab dem 1. Januar 2006 gezahlten Prämien und Beiträge</w:t>
      </w:r>
      <w:r w:rsidR="00FD68E8" w:rsidRPr="009118AB">
        <w:rPr>
          <w:bCs/>
          <w:i/>
          <w:iCs/>
          <w:spacing w:val="-2"/>
        </w:rPr>
        <w:t> -]</w:t>
      </w:r>
    </w:p>
    <w:bookmarkEnd w:id="21"/>
    <w:p w14:paraId="6DA0E228" w14:textId="50110EEB" w:rsidR="00D14984" w:rsidRPr="009118AB" w:rsidRDefault="00D14984" w:rsidP="00936841">
      <w:pPr>
        <w:autoSpaceDE w:val="0"/>
        <w:autoSpaceDN w:val="0"/>
        <w:adjustRightInd w:val="0"/>
        <w:jc w:val="both"/>
        <w:rPr>
          <w:bCs/>
          <w:spacing w:val="-2"/>
        </w:rPr>
      </w:pPr>
    </w:p>
    <w:p w14:paraId="397626E9" w14:textId="04BF94CF" w:rsidR="00D14984" w:rsidRPr="009118AB" w:rsidRDefault="00D14984" w:rsidP="00936841">
      <w:pPr>
        <w:autoSpaceDE w:val="0"/>
        <w:autoSpaceDN w:val="0"/>
        <w:adjustRightInd w:val="0"/>
        <w:jc w:val="both"/>
        <w:rPr>
          <w:bCs/>
          <w:spacing w:val="-2"/>
        </w:rPr>
      </w:pPr>
    </w:p>
    <w:p w14:paraId="0419DAF7" w14:textId="1FD79BD2" w:rsidR="00D14984" w:rsidRPr="009118AB" w:rsidRDefault="00D14984" w:rsidP="00D14984">
      <w:pPr>
        <w:autoSpaceDE w:val="0"/>
        <w:autoSpaceDN w:val="0"/>
        <w:adjustRightInd w:val="0"/>
        <w:jc w:val="both"/>
        <w:rPr>
          <w:sz w:val="20"/>
          <w:szCs w:val="20"/>
        </w:rPr>
      </w:pPr>
      <w:r w:rsidRPr="009118AB">
        <w:rPr>
          <w:sz w:val="20"/>
          <w:szCs w:val="20"/>
        </w:rPr>
        <w:t xml:space="preserve">Ab dem 1. Januar 2026 (gemäß </w:t>
      </w:r>
      <w:r w:rsidR="00D67EB8" w:rsidRPr="009118AB">
        <w:rPr>
          <w:sz w:val="20"/>
          <w:szCs w:val="20"/>
        </w:rPr>
        <w:t>Art. </w:t>
      </w:r>
      <w:r w:rsidRPr="009118AB">
        <w:rPr>
          <w:sz w:val="20"/>
          <w:szCs w:val="20"/>
        </w:rPr>
        <w:t xml:space="preserve">12 </w:t>
      </w:r>
      <w:r w:rsidR="00D67EB8" w:rsidRPr="009118AB">
        <w:rPr>
          <w:sz w:val="20"/>
          <w:szCs w:val="20"/>
        </w:rPr>
        <w:t>Abs. </w:t>
      </w:r>
      <w:r w:rsidR="00415874" w:rsidRPr="009118AB">
        <w:rPr>
          <w:sz w:val="20"/>
          <w:szCs w:val="20"/>
        </w:rPr>
        <w:t>5</w:t>
      </w:r>
      <w:r w:rsidRPr="009118AB">
        <w:rPr>
          <w:sz w:val="20"/>
          <w:szCs w:val="20"/>
        </w:rPr>
        <w:t xml:space="preserve"> des G. vom 25. November 2021 (B.S. vom 3. Dezember 2021)) lautet </w:t>
      </w:r>
      <w:r w:rsidR="00D67EB8" w:rsidRPr="009118AB">
        <w:rPr>
          <w:sz w:val="20"/>
          <w:szCs w:val="20"/>
        </w:rPr>
        <w:t>Art. </w:t>
      </w:r>
      <w:r w:rsidRPr="009118AB">
        <w:rPr>
          <w:sz w:val="20"/>
          <w:szCs w:val="20"/>
        </w:rPr>
        <w:t>234 wie folgt:</w:t>
      </w:r>
    </w:p>
    <w:p w14:paraId="6EF1EBFA" w14:textId="77777777" w:rsidR="00D14984" w:rsidRPr="009118AB" w:rsidRDefault="00D14984" w:rsidP="00D14984">
      <w:pPr>
        <w:autoSpaceDE w:val="0"/>
        <w:autoSpaceDN w:val="0"/>
        <w:adjustRightInd w:val="0"/>
        <w:jc w:val="both"/>
        <w:rPr>
          <w:sz w:val="20"/>
          <w:szCs w:val="20"/>
        </w:rPr>
      </w:pPr>
    </w:p>
    <w:p w14:paraId="46F8C40B" w14:textId="1800DF6B" w:rsidR="00D14984" w:rsidRPr="009118AB" w:rsidRDefault="00D14984" w:rsidP="00D14984">
      <w:pPr>
        <w:autoSpaceDE w:val="0"/>
        <w:autoSpaceDN w:val="0"/>
        <w:adjustRightInd w:val="0"/>
        <w:jc w:val="both"/>
        <w:rPr>
          <w:bCs/>
          <w:iCs/>
          <w:sz w:val="20"/>
          <w:szCs w:val="20"/>
        </w:rPr>
      </w:pPr>
      <w:r w:rsidRPr="009118AB">
        <w:rPr>
          <w:sz w:val="20"/>
          <w:szCs w:val="20"/>
        </w:rPr>
        <w:t>"</w:t>
      </w:r>
      <w:bookmarkStart w:id="22" w:name="_Hlk128466544"/>
      <w:r w:rsidR="00D67EB8" w:rsidRPr="009118AB">
        <w:rPr>
          <w:sz w:val="20"/>
          <w:szCs w:val="20"/>
        </w:rPr>
        <w:t>Art. </w:t>
      </w:r>
      <w:r w:rsidRPr="009118AB">
        <w:rPr>
          <w:sz w:val="20"/>
          <w:szCs w:val="20"/>
        </w:rPr>
        <w:t>234</w:t>
      </w:r>
      <w:r w:rsidR="00D67EB8" w:rsidRPr="009118AB">
        <w:rPr>
          <w:sz w:val="20"/>
          <w:szCs w:val="20"/>
        </w:rPr>
        <w:t> - </w:t>
      </w:r>
      <w:r w:rsidRPr="009118AB">
        <w:rPr>
          <w:bCs/>
          <w:iCs/>
          <w:sz w:val="20"/>
          <w:szCs w:val="20"/>
        </w:rPr>
        <w:t xml:space="preserve">In Bezug auf die in Artikel 227 </w:t>
      </w:r>
      <w:r w:rsidR="00D67EB8" w:rsidRPr="009118AB">
        <w:rPr>
          <w:bCs/>
          <w:iCs/>
          <w:sz w:val="20"/>
          <w:szCs w:val="20"/>
        </w:rPr>
        <w:t>Nr. </w:t>
      </w:r>
      <w:r w:rsidRPr="009118AB">
        <w:rPr>
          <w:bCs/>
          <w:iCs/>
          <w:sz w:val="20"/>
          <w:szCs w:val="20"/>
        </w:rPr>
        <w:t>3 erwähnten Steuerpflichtigen wird die Steuer festgelegt:</w:t>
      </w:r>
    </w:p>
    <w:p w14:paraId="5085A692" w14:textId="77777777" w:rsidR="00D14984" w:rsidRPr="009118AB" w:rsidRDefault="00D14984" w:rsidP="00D14984">
      <w:pPr>
        <w:autoSpaceDE w:val="0"/>
        <w:autoSpaceDN w:val="0"/>
        <w:adjustRightInd w:val="0"/>
        <w:jc w:val="both"/>
        <w:rPr>
          <w:bCs/>
          <w:iCs/>
          <w:sz w:val="20"/>
          <w:szCs w:val="20"/>
        </w:rPr>
      </w:pPr>
    </w:p>
    <w:p w14:paraId="3254214E" w14:textId="77777777" w:rsidR="00D14984" w:rsidRPr="009118AB" w:rsidRDefault="00D14984" w:rsidP="00D14984">
      <w:pPr>
        <w:autoSpaceDE w:val="0"/>
        <w:autoSpaceDN w:val="0"/>
        <w:adjustRightInd w:val="0"/>
        <w:jc w:val="both"/>
        <w:rPr>
          <w:bCs/>
          <w:iCs/>
          <w:sz w:val="20"/>
          <w:szCs w:val="20"/>
        </w:rPr>
      </w:pPr>
      <w:r w:rsidRPr="009118AB">
        <w:rPr>
          <w:bCs/>
          <w:iCs/>
          <w:sz w:val="20"/>
          <w:szCs w:val="20"/>
        </w:rPr>
        <w:t>1. auf den Teil des Nettobetrags des Mietpreises und der Mietvorteile ihrer in Belgien gelegenen unbeweglichen Güter, der das Katastereinkommen dieser Güter übersteigt, außer wenn es sich handelt um:</w:t>
      </w:r>
    </w:p>
    <w:p w14:paraId="608E8740" w14:textId="77777777" w:rsidR="00D14984" w:rsidRPr="009118AB" w:rsidRDefault="00D14984" w:rsidP="00D14984">
      <w:pPr>
        <w:autoSpaceDE w:val="0"/>
        <w:autoSpaceDN w:val="0"/>
        <w:adjustRightInd w:val="0"/>
        <w:jc w:val="both"/>
        <w:rPr>
          <w:bCs/>
          <w:iCs/>
          <w:sz w:val="20"/>
          <w:szCs w:val="20"/>
        </w:rPr>
      </w:pPr>
    </w:p>
    <w:p w14:paraId="56E77AE4" w14:textId="77777777" w:rsidR="00D14984" w:rsidRPr="009118AB" w:rsidRDefault="00D14984" w:rsidP="00D14984">
      <w:pPr>
        <w:autoSpaceDE w:val="0"/>
        <w:autoSpaceDN w:val="0"/>
        <w:adjustRightInd w:val="0"/>
        <w:jc w:val="both"/>
        <w:rPr>
          <w:bCs/>
          <w:iCs/>
          <w:sz w:val="20"/>
          <w:szCs w:val="20"/>
        </w:rPr>
      </w:pPr>
      <w:r w:rsidRPr="009118AB">
        <w:rPr>
          <w:bCs/>
          <w:iCs/>
          <w:sz w:val="20"/>
          <w:szCs w:val="20"/>
        </w:rPr>
        <w:t>- Güter, die an eine natürliche Person vermietet sind, die diese Güter weder ganz noch teilweise zur Ausübung ihrer Berufstätigkeit nutzt,</w:t>
      </w:r>
    </w:p>
    <w:p w14:paraId="0962521A" w14:textId="77777777" w:rsidR="00D14984" w:rsidRPr="009118AB" w:rsidRDefault="00D14984" w:rsidP="00D14984">
      <w:pPr>
        <w:autoSpaceDE w:val="0"/>
        <w:autoSpaceDN w:val="0"/>
        <w:adjustRightInd w:val="0"/>
        <w:jc w:val="both"/>
        <w:rPr>
          <w:bCs/>
          <w:iCs/>
          <w:sz w:val="20"/>
          <w:szCs w:val="20"/>
        </w:rPr>
      </w:pPr>
    </w:p>
    <w:p w14:paraId="1BF457AF" w14:textId="77777777" w:rsidR="00D14984" w:rsidRPr="009118AB" w:rsidRDefault="00D14984" w:rsidP="00D14984">
      <w:pPr>
        <w:autoSpaceDE w:val="0"/>
        <w:autoSpaceDN w:val="0"/>
        <w:adjustRightInd w:val="0"/>
        <w:jc w:val="both"/>
        <w:rPr>
          <w:bCs/>
          <w:iCs/>
          <w:sz w:val="20"/>
          <w:szCs w:val="20"/>
        </w:rPr>
      </w:pPr>
      <w:r w:rsidRPr="009118AB">
        <w:rPr>
          <w:bCs/>
          <w:iCs/>
          <w:sz w:val="20"/>
          <w:szCs w:val="20"/>
        </w:rPr>
        <w:lastRenderedPageBreak/>
        <w:t>- Güter, die gemäß den Rechtsvorschriften über den Landpachtvertrag vermietet sind und vom Mieter zu landwirtschaftlichen oder gartenbaulichen Zwecken genutzt werden,</w:t>
      </w:r>
    </w:p>
    <w:p w14:paraId="07D49CCF" w14:textId="77777777" w:rsidR="00D14984" w:rsidRPr="009118AB" w:rsidRDefault="00D14984" w:rsidP="00D14984">
      <w:pPr>
        <w:autoSpaceDE w:val="0"/>
        <w:autoSpaceDN w:val="0"/>
        <w:adjustRightInd w:val="0"/>
        <w:jc w:val="both"/>
        <w:rPr>
          <w:bCs/>
          <w:iCs/>
          <w:sz w:val="20"/>
          <w:szCs w:val="20"/>
        </w:rPr>
      </w:pPr>
    </w:p>
    <w:p w14:paraId="02906893" w14:textId="5C695569" w:rsidR="00D14984" w:rsidRPr="009118AB" w:rsidRDefault="00D14984" w:rsidP="00D14984">
      <w:pPr>
        <w:autoSpaceDE w:val="0"/>
        <w:autoSpaceDN w:val="0"/>
        <w:adjustRightInd w:val="0"/>
        <w:jc w:val="both"/>
        <w:rPr>
          <w:bCs/>
          <w:iCs/>
          <w:sz w:val="20"/>
          <w:szCs w:val="20"/>
        </w:rPr>
      </w:pPr>
      <w:r w:rsidRPr="009118AB">
        <w:rPr>
          <w:bCs/>
          <w:iCs/>
          <w:sz w:val="20"/>
          <w:szCs w:val="20"/>
        </w:rPr>
        <w:t xml:space="preserve">- andere Güter unter der Bedingung, dass der Mieter keine Gewinnerzielungsabsicht verfolgt und diese Güter zu einem der in Artikel 12 </w:t>
      </w:r>
      <w:r w:rsidR="00D67EB8" w:rsidRPr="009118AB">
        <w:rPr>
          <w:bCs/>
          <w:iCs/>
          <w:sz w:val="20"/>
          <w:szCs w:val="20"/>
        </w:rPr>
        <w:t>§ </w:t>
      </w:r>
      <w:r w:rsidRPr="009118AB">
        <w:rPr>
          <w:bCs/>
          <w:iCs/>
          <w:sz w:val="20"/>
          <w:szCs w:val="20"/>
        </w:rPr>
        <w:t>1 vorgesehenen Zwecke nutzt,</w:t>
      </w:r>
    </w:p>
    <w:p w14:paraId="79088BCB" w14:textId="77777777" w:rsidR="00D14984" w:rsidRPr="009118AB" w:rsidRDefault="00D14984" w:rsidP="00D14984">
      <w:pPr>
        <w:autoSpaceDE w:val="0"/>
        <w:autoSpaceDN w:val="0"/>
        <w:adjustRightInd w:val="0"/>
        <w:jc w:val="both"/>
        <w:rPr>
          <w:bCs/>
          <w:iCs/>
          <w:sz w:val="20"/>
          <w:szCs w:val="20"/>
        </w:rPr>
      </w:pPr>
    </w:p>
    <w:p w14:paraId="57E7D406" w14:textId="0CA76501" w:rsidR="00D14984" w:rsidRPr="009118AB" w:rsidRDefault="00D14984" w:rsidP="00D14984">
      <w:pPr>
        <w:autoSpaceDE w:val="0"/>
        <w:autoSpaceDN w:val="0"/>
        <w:adjustRightInd w:val="0"/>
        <w:jc w:val="both"/>
        <w:rPr>
          <w:bCs/>
          <w:iCs/>
          <w:sz w:val="20"/>
          <w:szCs w:val="20"/>
        </w:rPr>
      </w:pPr>
      <w:r w:rsidRPr="009118AB">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118AB">
        <w:rPr>
          <w:bCs/>
          <w:iCs/>
          <w:sz w:val="20"/>
          <w:szCs w:val="20"/>
        </w:rPr>
        <w:t>Nr. </w:t>
      </w:r>
      <w:r w:rsidRPr="009118AB">
        <w:rPr>
          <w:bCs/>
          <w:iCs/>
          <w:sz w:val="20"/>
          <w:szCs w:val="20"/>
        </w:rPr>
        <w:t>1 vorgesehenen Ausnahmen auch hier gelten,</w:t>
      </w:r>
    </w:p>
    <w:p w14:paraId="73BDBC86" w14:textId="77777777" w:rsidR="00D14984" w:rsidRPr="009118AB" w:rsidRDefault="00D14984" w:rsidP="00D14984">
      <w:pPr>
        <w:autoSpaceDE w:val="0"/>
        <w:autoSpaceDN w:val="0"/>
        <w:adjustRightInd w:val="0"/>
        <w:jc w:val="both"/>
        <w:rPr>
          <w:bCs/>
          <w:iCs/>
          <w:sz w:val="20"/>
          <w:szCs w:val="20"/>
        </w:rPr>
      </w:pPr>
    </w:p>
    <w:p w14:paraId="50F6526C" w14:textId="50F86B5C" w:rsidR="00D14984" w:rsidRPr="009118AB" w:rsidRDefault="00D14984" w:rsidP="00D14984">
      <w:pPr>
        <w:autoSpaceDE w:val="0"/>
        <w:autoSpaceDN w:val="0"/>
        <w:adjustRightInd w:val="0"/>
        <w:jc w:val="both"/>
        <w:rPr>
          <w:bCs/>
          <w:iCs/>
          <w:sz w:val="20"/>
          <w:szCs w:val="20"/>
        </w:rPr>
      </w:pPr>
      <w:r w:rsidRPr="009118AB">
        <w:rPr>
          <w:bCs/>
          <w:iCs/>
          <w:sz w:val="20"/>
          <w:szCs w:val="20"/>
        </w:rPr>
        <w:t xml:space="preserve">3. [auf die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auf die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118AB">
        <w:rPr>
          <w:bCs/>
          <w:iCs/>
          <w:sz w:val="20"/>
          <w:szCs w:val="20"/>
        </w:rPr>
        <w:t>Nr. </w:t>
      </w:r>
      <w:r w:rsidRPr="009118AB">
        <w:rPr>
          <w:bCs/>
          <w:iCs/>
          <w:sz w:val="20"/>
          <w:szCs w:val="20"/>
        </w:rPr>
        <w:t>23 erwähnten Kapitalien,]</w:t>
      </w:r>
    </w:p>
    <w:p w14:paraId="14C4C8E3" w14:textId="77777777" w:rsidR="00D14984" w:rsidRPr="009118AB" w:rsidRDefault="00D14984" w:rsidP="00D14984">
      <w:pPr>
        <w:autoSpaceDE w:val="0"/>
        <w:autoSpaceDN w:val="0"/>
        <w:adjustRightInd w:val="0"/>
        <w:jc w:val="both"/>
        <w:rPr>
          <w:bCs/>
          <w:iCs/>
          <w:sz w:val="20"/>
          <w:szCs w:val="20"/>
        </w:rPr>
      </w:pPr>
    </w:p>
    <w:p w14:paraId="5C5B6329" w14:textId="36C91849" w:rsidR="00D14984" w:rsidRPr="009118AB" w:rsidRDefault="00D14984" w:rsidP="00D14984">
      <w:pPr>
        <w:autoSpaceDE w:val="0"/>
        <w:autoSpaceDN w:val="0"/>
        <w:adjustRightInd w:val="0"/>
        <w:jc w:val="both"/>
        <w:rPr>
          <w:iCs/>
          <w:sz w:val="20"/>
          <w:szCs w:val="20"/>
        </w:rPr>
      </w:pPr>
      <w:r w:rsidRPr="009118AB">
        <w:rPr>
          <w:bCs/>
          <w:iCs/>
          <w:sz w:val="20"/>
          <w:szCs w:val="20"/>
        </w:rPr>
        <w:t xml:space="preserve">4. auf [die in </w:t>
      </w:r>
      <w:r w:rsidRPr="009118AB">
        <w:rPr>
          <w:iCs/>
          <w:sz w:val="20"/>
          <w:szCs w:val="20"/>
        </w:rPr>
        <w:t xml:space="preserve">[Artikel 57 Absatz 1] </w:t>
      </w:r>
      <w:r w:rsidRPr="009118AB">
        <w:rPr>
          <w:bCs/>
          <w:iCs/>
          <w:sz w:val="20"/>
          <w:szCs w:val="20"/>
        </w:rPr>
        <w:t>erwähnten Ausgaben</w:t>
      </w:r>
      <w:r w:rsidR="00210E8C" w:rsidRPr="009118AB">
        <w:rPr>
          <w:bCs/>
          <w:iCs/>
          <w:sz w:val="20"/>
          <w:szCs w:val="20"/>
        </w:rPr>
        <w:t xml:space="preserve">[, die in den Artikeln 31 Absatz 2 </w:t>
      </w:r>
      <w:r w:rsidR="00D67EB8" w:rsidRPr="009118AB">
        <w:rPr>
          <w:bCs/>
          <w:iCs/>
          <w:sz w:val="20"/>
          <w:szCs w:val="20"/>
        </w:rPr>
        <w:t>Nr. </w:t>
      </w:r>
      <w:r w:rsidR="00210E8C" w:rsidRPr="009118AB">
        <w:rPr>
          <w:bCs/>
          <w:iCs/>
          <w:sz w:val="20"/>
          <w:szCs w:val="20"/>
        </w:rPr>
        <w:t xml:space="preserve">2 und 32 Absatz 2 </w:t>
      </w:r>
      <w:r w:rsidR="00D67EB8" w:rsidRPr="009118AB">
        <w:rPr>
          <w:bCs/>
          <w:iCs/>
          <w:sz w:val="20"/>
          <w:szCs w:val="20"/>
        </w:rPr>
        <w:t>Nr. </w:t>
      </w:r>
      <w:r w:rsidR="00210E8C" w:rsidRPr="009118AB">
        <w:rPr>
          <w:bCs/>
          <w:iCs/>
          <w:sz w:val="20"/>
          <w:szCs w:val="20"/>
        </w:rPr>
        <w:t xml:space="preserve">2 erwähnten Vorteile jeglicher Art und die in Artikel 17 </w:t>
      </w:r>
      <w:r w:rsidR="00D67EB8" w:rsidRPr="009118AB">
        <w:rPr>
          <w:bCs/>
          <w:iCs/>
          <w:sz w:val="20"/>
          <w:szCs w:val="20"/>
        </w:rPr>
        <w:t>§ </w:t>
      </w:r>
      <w:r w:rsidR="00210E8C" w:rsidRPr="009118AB">
        <w:rPr>
          <w:bCs/>
          <w:iCs/>
          <w:sz w:val="20"/>
          <w:szCs w:val="20"/>
        </w:rPr>
        <w:t xml:space="preserve">1 </w:t>
      </w:r>
      <w:r w:rsidR="00D67EB8" w:rsidRPr="009118AB">
        <w:rPr>
          <w:bCs/>
          <w:iCs/>
          <w:sz w:val="20"/>
          <w:szCs w:val="20"/>
        </w:rPr>
        <w:t>Nr. </w:t>
      </w:r>
      <w:r w:rsidR="00210E8C" w:rsidRPr="009118AB">
        <w:rPr>
          <w:bCs/>
          <w:iCs/>
          <w:sz w:val="20"/>
          <w:szCs w:val="20"/>
        </w:rPr>
        <w:t xml:space="preserve">3, was Urheberrechte und ähnliche Rechte betrifft, und </w:t>
      </w:r>
      <w:r w:rsidR="00D67EB8" w:rsidRPr="009118AB">
        <w:rPr>
          <w:bCs/>
          <w:iCs/>
          <w:sz w:val="20"/>
          <w:szCs w:val="20"/>
        </w:rPr>
        <w:t>Nr. </w:t>
      </w:r>
      <w:r w:rsidR="00210E8C" w:rsidRPr="009118AB">
        <w:rPr>
          <w:bCs/>
          <w:iCs/>
          <w:sz w:val="20"/>
          <w:szCs w:val="20"/>
        </w:rPr>
        <w:t>5 erwähnten Einkünfte]</w:t>
      </w:r>
      <w:r w:rsidRPr="009118AB">
        <w:rPr>
          <w:bCs/>
          <w:iCs/>
          <w:sz w:val="20"/>
          <w:szCs w:val="20"/>
        </w:rPr>
        <w:t xml:space="preserve">], die nicht durch Individualkarten </w:t>
      </w:r>
      <w:r w:rsidR="000A16EB" w:rsidRPr="009118AB">
        <w:rPr>
          <w:bCs/>
          <w:iCs/>
          <w:sz w:val="20"/>
          <w:szCs w:val="20"/>
        </w:rPr>
        <w:t>[...]</w:t>
      </w:r>
      <w:r w:rsidRPr="009118AB">
        <w:rPr>
          <w:bCs/>
          <w:iCs/>
          <w:sz w:val="20"/>
          <w:szCs w:val="20"/>
        </w:rPr>
        <w:t xml:space="preserve"> werden[</w:t>
      </w:r>
      <w:r w:rsidRPr="009118AB">
        <w:rPr>
          <w:iCs/>
          <w:sz w:val="20"/>
          <w:szCs w:val="20"/>
        </w:rPr>
        <w:t>, außer:</w:t>
      </w:r>
    </w:p>
    <w:p w14:paraId="38F80CAA" w14:textId="77777777" w:rsidR="00D14984" w:rsidRPr="009118AB" w:rsidRDefault="00D14984" w:rsidP="00D14984">
      <w:pPr>
        <w:autoSpaceDE w:val="0"/>
        <w:autoSpaceDN w:val="0"/>
        <w:adjustRightInd w:val="0"/>
        <w:jc w:val="both"/>
        <w:rPr>
          <w:iCs/>
          <w:sz w:val="20"/>
          <w:szCs w:val="20"/>
        </w:rPr>
      </w:pPr>
    </w:p>
    <w:p w14:paraId="1F0A9766" w14:textId="77777777" w:rsidR="00D14984" w:rsidRPr="009118AB" w:rsidRDefault="00D14984" w:rsidP="00D14984">
      <w:pPr>
        <w:autoSpaceDE w:val="0"/>
        <w:autoSpaceDN w:val="0"/>
        <w:adjustRightInd w:val="0"/>
        <w:jc w:val="both"/>
        <w:rPr>
          <w:iCs/>
          <w:sz w:val="20"/>
          <w:szCs w:val="20"/>
        </w:rPr>
      </w:pPr>
      <w:r w:rsidRPr="009118AB">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745EDC06" w14:textId="77777777" w:rsidR="00D14984" w:rsidRPr="009118AB" w:rsidRDefault="00D14984" w:rsidP="00D14984">
      <w:pPr>
        <w:autoSpaceDE w:val="0"/>
        <w:autoSpaceDN w:val="0"/>
        <w:adjustRightInd w:val="0"/>
        <w:jc w:val="both"/>
        <w:rPr>
          <w:iCs/>
          <w:sz w:val="20"/>
          <w:szCs w:val="20"/>
        </w:rPr>
      </w:pPr>
    </w:p>
    <w:p w14:paraId="762BC651" w14:textId="39733E22" w:rsidR="00D14984" w:rsidRPr="009118AB" w:rsidRDefault="00D14984" w:rsidP="00D14984">
      <w:pPr>
        <w:autoSpaceDE w:val="0"/>
        <w:autoSpaceDN w:val="0"/>
        <w:adjustRightInd w:val="0"/>
        <w:jc w:val="both"/>
        <w:rPr>
          <w:bCs/>
          <w:iCs/>
          <w:sz w:val="20"/>
          <w:szCs w:val="20"/>
        </w:rPr>
      </w:pPr>
      <w:r w:rsidRPr="009118AB">
        <w:rPr>
          <w:iCs/>
          <w:sz w:val="20"/>
          <w:szCs w:val="20"/>
        </w:rPr>
        <w:t>- oder</w:t>
      </w:r>
      <w:r w:rsidR="00D67EB8" w:rsidRPr="009118AB">
        <w:rPr>
          <w:iCs/>
          <w:sz w:val="20"/>
          <w:szCs w:val="20"/>
        </w:rPr>
        <w:t> - </w:t>
      </w:r>
      <w:r w:rsidRPr="009118AB">
        <w:rPr>
          <w:iCs/>
          <w:sz w:val="20"/>
          <w:szCs w:val="20"/>
        </w:rPr>
        <w:t>wenn dieser Betrag nicht in einer solchen Erklärung enthalten ist</w:t>
      </w:r>
      <w:r w:rsidR="00D67EB8" w:rsidRPr="009118AB">
        <w:rPr>
          <w:iCs/>
          <w:sz w:val="20"/>
          <w:szCs w:val="20"/>
        </w:rPr>
        <w:t> - </w:t>
      </w:r>
      <w:r w:rsidRPr="009118AB">
        <w:rPr>
          <w:iCs/>
          <w:sz w:val="20"/>
          <w:szCs w:val="20"/>
        </w:rPr>
        <w:t>wenn der Empfänger spätestens zwei Jahre und sechs Monate ab dem 1. Januar des betreffenden Steuerjahres eindeutig identifiziert worden ist [</w:t>
      </w:r>
      <w:r w:rsidRPr="009118AB">
        <w:rPr>
          <w:sz w:val="20"/>
          <w:szCs w:val="20"/>
        </w:rPr>
        <w:t xml:space="preserve">oder wenn der Betrag der Ausgaben in einer Veranlagung enthalten ist, die in den in den Artikeln 354 Absatz 1 und 2 und 358 erwähnten Fristen </w:t>
      </w:r>
      <w:r w:rsidR="0027187F" w:rsidRPr="009118AB">
        <w:rPr>
          <w:sz w:val="20"/>
          <w:szCs w:val="20"/>
        </w:rPr>
        <w:t>[bei einem steuerpflichtigen Empfänger wie in Artikel 305 Absatz 1 erwähnt mit seinem Einverständnis]</w:t>
      </w:r>
      <w:r w:rsidRPr="009118AB">
        <w:rPr>
          <w:sz w:val="20"/>
          <w:szCs w:val="20"/>
        </w:rPr>
        <w:t xml:space="preserve"> festgelegt wird</w:t>
      </w:r>
      <w:r w:rsidRPr="009118AB">
        <w:rPr>
          <w:iCs/>
          <w:sz w:val="20"/>
          <w:szCs w:val="20"/>
        </w:rPr>
        <w:t>]]</w:t>
      </w:r>
      <w:r w:rsidRPr="009118AB">
        <w:rPr>
          <w:bCs/>
          <w:iCs/>
          <w:sz w:val="20"/>
          <w:szCs w:val="20"/>
        </w:rPr>
        <w:t>,</w:t>
      </w:r>
    </w:p>
    <w:p w14:paraId="08640040" w14:textId="77777777" w:rsidR="00D14984" w:rsidRPr="009118AB" w:rsidRDefault="00D14984" w:rsidP="00D14984">
      <w:pPr>
        <w:autoSpaceDE w:val="0"/>
        <w:autoSpaceDN w:val="0"/>
        <w:adjustRightInd w:val="0"/>
        <w:jc w:val="both"/>
        <w:rPr>
          <w:bCs/>
          <w:iCs/>
          <w:sz w:val="20"/>
          <w:szCs w:val="20"/>
        </w:rPr>
      </w:pPr>
    </w:p>
    <w:p w14:paraId="7F6A3D3C" w14:textId="4A03BCC6" w:rsidR="00D14984" w:rsidRPr="009118AB" w:rsidRDefault="00D14984" w:rsidP="00D14984">
      <w:pPr>
        <w:autoSpaceDE w:val="0"/>
        <w:autoSpaceDN w:val="0"/>
        <w:adjustRightInd w:val="0"/>
        <w:jc w:val="both"/>
        <w:rPr>
          <w:bCs/>
          <w:iCs/>
          <w:sz w:val="20"/>
          <w:szCs w:val="20"/>
        </w:rPr>
      </w:pPr>
      <w:r w:rsidRPr="009118AB">
        <w:rPr>
          <w:bCs/>
          <w:iCs/>
          <w:sz w:val="20"/>
          <w:szCs w:val="20"/>
        </w:rPr>
        <w:t xml:space="preserve">[5. [auf die in Artikel 53 </w:t>
      </w:r>
      <w:r w:rsidR="00D67EB8" w:rsidRPr="009118AB">
        <w:rPr>
          <w:bCs/>
          <w:iCs/>
          <w:sz w:val="20"/>
          <w:szCs w:val="20"/>
        </w:rPr>
        <w:t>Nr. </w:t>
      </w:r>
      <w:r w:rsidRPr="009118AB">
        <w:rPr>
          <w:bCs/>
          <w:iCs/>
          <w:sz w:val="20"/>
          <w:szCs w:val="20"/>
        </w:rPr>
        <w:t>24 erwähnten finanziellen Vorteile oder Vorteile jeglicher Art,]]</w:t>
      </w:r>
    </w:p>
    <w:p w14:paraId="29BC2A86" w14:textId="77777777" w:rsidR="00D14984" w:rsidRPr="009118AB" w:rsidRDefault="00D14984" w:rsidP="00D14984">
      <w:pPr>
        <w:autoSpaceDE w:val="0"/>
        <w:autoSpaceDN w:val="0"/>
        <w:adjustRightInd w:val="0"/>
        <w:jc w:val="both"/>
        <w:rPr>
          <w:bCs/>
          <w:iCs/>
          <w:sz w:val="20"/>
          <w:szCs w:val="20"/>
        </w:rPr>
      </w:pPr>
    </w:p>
    <w:p w14:paraId="32B816BF" w14:textId="26FC59D9" w:rsidR="00D14984" w:rsidRPr="009118AB" w:rsidRDefault="00D14984" w:rsidP="00D14984">
      <w:pPr>
        <w:autoSpaceDE w:val="0"/>
        <w:autoSpaceDN w:val="0"/>
        <w:adjustRightInd w:val="0"/>
        <w:jc w:val="both"/>
        <w:rPr>
          <w:bCs/>
          <w:iCs/>
          <w:sz w:val="20"/>
          <w:szCs w:val="20"/>
        </w:rPr>
      </w:pPr>
      <w:r w:rsidRPr="009118AB">
        <w:rPr>
          <w:bCs/>
          <w:iCs/>
          <w:sz w:val="20"/>
          <w:szCs w:val="20"/>
        </w:rPr>
        <w:t>[6. [</w:t>
      </w:r>
      <w:r w:rsidRPr="009118AB">
        <w:rPr>
          <w:iCs/>
          <w:sz w:val="20"/>
          <w:szCs w:val="20"/>
        </w:rPr>
        <w:t xml:space="preserve">auf einen Betrag, der 17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w:t>
      </w:r>
      <w:r w:rsidRPr="009118AB">
        <w:rPr>
          <w:bCs/>
          <w:iCs/>
          <w:sz w:val="20"/>
          <w:szCs w:val="20"/>
        </w:rPr>
        <w:t>]]</w:t>
      </w:r>
    </w:p>
    <w:p w14:paraId="5B4D5C7A" w14:textId="77777777" w:rsidR="00D14984" w:rsidRPr="009118AB" w:rsidRDefault="00D14984" w:rsidP="00D14984">
      <w:pPr>
        <w:autoSpaceDE w:val="0"/>
        <w:autoSpaceDN w:val="0"/>
        <w:adjustRightInd w:val="0"/>
        <w:jc w:val="both"/>
        <w:rPr>
          <w:bCs/>
          <w:iCs/>
          <w:sz w:val="20"/>
          <w:szCs w:val="20"/>
        </w:rPr>
      </w:pPr>
    </w:p>
    <w:p w14:paraId="41E18BE9" w14:textId="2AC646C4" w:rsidR="00D14984" w:rsidRPr="009118AB" w:rsidRDefault="00D14984" w:rsidP="00D14984">
      <w:pPr>
        <w:autoSpaceDE w:val="0"/>
        <w:autoSpaceDN w:val="0"/>
        <w:adjustRightInd w:val="0"/>
        <w:jc w:val="both"/>
        <w:rPr>
          <w:bCs/>
          <w:iCs/>
          <w:sz w:val="20"/>
          <w:szCs w:val="20"/>
        </w:rPr>
      </w:pPr>
      <w:r w:rsidRPr="009118AB">
        <w:rPr>
          <w:bCs/>
          <w:iCs/>
          <w:sz w:val="20"/>
          <w:szCs w:val="20"/>
        </w:rPr>
        <w:t>[</w:t>
      </w:r>
      <w:r w:rsidR="0065143C" w:rsidRPr="009118AB">
        <w:rPr>
          <w:bCs/>
          <w:iCs/>
          <w:sz w:val="20"/>
          <w:szCs w:val="20"/>
        </w:rPr>
        <w:t>...</w:t>
      </w:r>
      <w:r w:rsidRPr="009118AB">
        <w:rPr>
          <w:bCs/>
          <w:iCs/>
          <w:sz w:val="20"/>
          <w:szCs w:val="20"/>
        </w:rPr>
        <w:t xml:space="preserve">] </w:t>
      </w:r>
    </w:p>
    <w:p w14:paraId="04C15073" w14:textId="77777777" w:rsidR="00D14984" w:rsidRPr="009118AB" w:rsidRDefault="00D14984" w:rsidP="00D14984">
      <w:pPr>
        <w:autoSpaceDE w:val="0"/>
        <w:autoSpaceDN w:val="0"/>
        <w:adjustRightInd w:val="0"/>
        <w:jc w:val="both"/>
        <w:rPr>
          <w:bCs/>
          <w:iCs/>
          <w:sz w:val="20"/>
          <w:szCs w:val="20"/>
        </w:rPr>
      </w:pPr>
    </w:p>
    <w:p w14:paraId="07380759" w14:textId="0295B6E6" w:rsidR="00D14984" w:rsidRPr="009118AB" w:rsidRDefault="00D14984" w:rsidP="00D14984">
      <w:pPr>
        <w:autoSpaceDE w:val="0"/>
        <w:autoSpaceDN w:val="0"/>
        <w:adjustRightInd w:val="0"/>
        <w:jc w:val="both"/>
        <w:rPr>
          <w:bCs/>
          <w:iCs/>
          <w:sz w:val="20"/>
          <w:szCs w:val="20"/>
        </w:rPr>
      </w:pPr>
      <w:r w:rsidRPr="009118AB">
        <w:rPr>
          <w:bCs/>
          <w:iCs/>
          <w:sz w:val="20"/>
          <w:szCs w:val="20"/>
        </w:rPr>
        <w:t>[</w:t>
      </w:r>
      <w:r w:rsidRPr="009118AB">
        <w:rPr>
          <w:iCs/>
          <w:sz w:val="20"/>
          <w:szCs w:val="20"/>
        </w:rPr>
        <w:t xml:space="preserve">7. auf einen Betrag, der in Abweichung von </w:t>
      </w:r>
      <w:r w:rsidR="00D67EB8" w:rsidRPr="009118AB">
        <w:rPr>
          <w:iCs/>
          <w:sz w:val="20"/>
          <w:szCs w:val="20"/>
        </w:rPr>
        <w:t>Nr. </w:t>
      </w:r>
      <w:r w:rsidRPr="009118AB">
        <w:rPr>
          <w:iCs/>
          <w:sz w:val="20"/>
          <w:szCs w:val="20"/>
        </w:rPr>
        <w:t xml:space="preserve">6 40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118AB">
        <w:rPr>
          <w:bCs/>
          <w:iCs/>
          <w:sz w:val="20"/>
          <w:szCs w:val="20"/>
        </w:rPr>
        <w:t>]</w:t>
      </w:r>
    </w:p>
    <w:p w14:paraId="0B7EA452" w14:textId="77777777" w:rsidR="00D14984" w:rsidRPr="009118AB" w:rsidRDefault="00D14984" w:rsidP="00D14984">
      <w:pPr>
        <w:autoSpaceDE w:val="0"/>
        <w:autoSpaceDN w:val="0"/>
        <w:adjustRightInd w:val="0"/>
        <w:jc w:val="both"/>
        <w:rPr>
          <w:bCs/>
          <w:iCs/>
          <w:sz w:val="20"/>
          <w:szCs w:val="20"/>
        </w:rPr>
      </w:pPr>
    </w:p>
    <w:p w14:paraId="1472A01B" w14:textId="27755D5D" w:rsidR="00D14984" w:rsidRPr="009118AB" w:rsidRDefault="00D14984" w:rsidP="00D14984">
      <w:pPr>
        <w:autoSpaceDE w:val="0"/>
        <w:autoSpaceDN w:val="0"/>
        <w:adjustRightInd w:val="0"/>
        <w:jc w:val="both"/>
        <w:rPr>
          <w:bCs/>
          <w:iCs/>
          <w:sz w:val="20"/>
          <w:szCs w:val="20"/>
        </w:rPr>
      </w:pPr>
      <w:r w:rsidRPr="009118AB">
        <w:rPr>
          <w:bCs/>
          <w:iCs/>
          <w:sz w:val="20"/>
          <w:szCs w:val="20"/>
        </w:rPr>
        <w:t>[</w:t>
      </w:r>
      <w:r w:rsidR="0065143C" w:rsidRPr="009118AB">
        <w:rPr>
          <w:bCs/>
          <w:iCs/>
          <w:sz w:val="20"/>
          <w:szCs w:val="20"/>
        </w:rPr>
        <w:t>...</w:t>
      </w:r>
      <w:r w:rsidRPr="009118AB">
        <w:rPr>
          <w:bCs/>
          <w:iCs/>
          <w:sz w:val="20"/>
          <w:szCs w:val="20"/>
        </w:rPr>
        <w:t>]</w:t>
      </w:r>
    </w:p>
    <w:p w14:paraId="72941419" w14:textId="35D3EBFC" w:rsidR="00AE2DCB" w:rsidRPr="009118AB" w:rsidRDefault="00AE2DCB" w:rsidP="00D14984">
      <w:pPr>
        <w:autoSpaceDE w:val="0"/>
        <w:autoSpaceDN w:val="0"/>
        <w:adjustRightInd w:val="0"/>
        <w:jc w:val="both"/>
        <w:rPr>
          <w:bCs/>
          <w:iCs/>
          <w:sz w:val="20"/>
          <w:szCs w:val="20"/>
        </w:rPr>
      </w:pPr>
    </w:p>
    <w:p w14:paraId="1E10E16A" w14:textId="24127102" w:rsidR="00AE2DCB" w:rsidRPr="009118AB" w:rsidRDefault="00AE2DCB" w:rsidP="00D14984">
      <w:pPr>
        <w:autoSpaceDE w:val="0"/>
        <w:autoSpaceDN w:val="0"/>
        <w:adjustRightInd w:val="0"/>
        <w:jc w:val="both"/>
        <w:rPr>
          <w:bCs/>
          <w:iCs/>
          <w:sz w:val="20"/>
          <w:szCs w:val="20"/>
        </w:rPr>
      </w:pPr>
      <w:r w:rsidRPr="009118AB">
        <w:rPr>
          <w:bCs/>
          <w:iCs/>
          <w:sz w:val="20"/>
          <w:szCs w:val="20"/>
        </w:rPr>
        <w:t>[8. auf die Kosten in Bezug auf die Nutzung der in Artikel 65 erwähnten Fahrzeuge, die ab dem 1. Januar 2026 gekauft, geleast oder gemietet werden, es sei denn, es handelt sich um ein Fahrzeug, das kein CO</w:t>
      </w:r>
      <w:r w:rsidRPr="009118AB">
        <w:rPr>
          <w:bCs/>
          <w:iCs/>
          <w:sz w:val="20"/>
          <w:szCs w:val="20"/>
          <w:vertAlign w:val="subscript"/>
        </w:rPr>
        <w:t>2</w:t>
      </w:r>
      <w:r w:rsidRPr="009118AB">
        <w:rPr>
          <w:bCs/>
          <w:iCs/>
          <w:sz w:val="20"/>
          <w:szCs w:val="20"/>
        </w:rPr>
        <w:t xml:space="preserve"> ausstößt</w:t>
      </w:r>
      <w:r w:rsidR="00395EAB" w:rsidRPr="009118AB">
        <w:rPr>
          <w:bCs/>
          <w:iCs/>
          <w:sz w:val="20"/>
          <w:szCs w:val="20"/>
        </w:rPr>
        <w:t>,</w:t>
      </w:r>
      <w:r w:rsidRPr="009118AB">
        <w:rPr>
          <w:bCs/>
          <w:iCs/>
          <w:sz w:val="20"/>
          <w:szCs w:val="20"/>
        </w:rPr>
        <w:t>]</w:t>
      </w:r>
    </w:p>
    <w:p w14:paraId="72861478" w14:textId="1CCC2905" w:rsidR="00395EAB" w:rsidRPr="009118AB" w:rsidRDefault="00395EAB" w:rsidP="00D14984">
      <w:pPr>
        <w:autoSpaceDE w:val="0"/>
        <w:autoSpaceDN w:val="0"/>
        <w:adjustRightInd w:val="0"/>
        <w:jc w:val="both"/>
        <w:rPr>
          <w:bCs/>
          <w:iCs/>
          <w:sz w:val="20"/>
          <w:szCs w:val="20"/>
        </w:rPr>
      </w:pPr>
    </w:p>
    <w:p w14:paraId="5F4E6E2B" w14:textId="28DBA48B" w:rsidR="00395EAB" w:rsidRPr="009118AB" w:rsidRDefault="00395EAB" w:rsidP="00D14984">
      <w:pPr>
        <w:autoSpaceDE w:val="0"/>
        <w:autoSpaceDN w:val="0"/>
        <w:adjustRightInd w:val="0"/>
        <w:jc w:val="both"/>
        <w:rPr>
          <w:bCs/>
          <w:iCs/>
          <w:sz w:val="20"/>
          <w:szCs w:val="20"/>
        </w:rPr>
      </w:pPr>
      <w:r w:rsidRPr="009118AB">
        <w:rPr>
          <w:bCs/>
          <w:iCs/>
          <w:sz w:val="20"/>
          <w:szCs w:val="20"/>
        </w:rPr>
        <w:t>(...)</w:t>
      </w:r>
    </w:p>
    <w:p w14:paraId="0D443800" w14:textId="0D2500C4" w:rsidR="00395EAB" w:rsidRPr="009118AB" w:rsidRDefault="00395EAB" w:rsidP="00D14984">
      <w:pPr>
        <w:autoSpaceDE w:val="0"/>
        <w:autoSpaceDN w:val="0"/>
        <w:adjustRightInd w:val="0"/>
        <w:jc w:val="both"/>
        <w:rPr>
          <w:bCs/>
          <w:iCs/>
          <w:sz w:val="20"/>
          <w:szCs w:val="20"/>
        </w:rPr>
      </w:pPr>
    </w:p>
    <w:p w14:paraId="3688CCA1" w14:textId="3BAD6A76" w:rsidR="00395EAB" w:rsidRPr="009118AB" w:rsidRDefault="00395EAB" w:rsidP="00395EAB">
      <w:pPr>
        <w:autoSpaceDE w:val="0"/>
        <w:autoSpaceDN w:val="0"/>
        <w:adjustRightInd w:val="0"/>
        <w:jc w:val="both"/>
        <w:rPr>
          <w:bCs/>
          <w:iCs/>
          <w:sz w:val="20"/>
          <w:szCs w:val="20"/>
        </w:rPr>
      </w:pPr>
      <w:r w:rsidRPr="009118AB">
        <w:rPr>
          <w:bCs/>
          <w:iCs/>
          <w:sz w:val="20"/>
          <w:szCs w:val="20"/>
        </w:rPr>
        <w:t>[10. auf Provisionen, Maklergebühren, kommerzielle oder andere Ermäßigungen, zufällige oder nicht zufällige Entgelte oder Honorare, Zuwendungen, Vergütungen oder Vorteile jeglicher Art</w:t>
      </w:r>
      <w:r w:rsidR="00D67EB8" w:rsidRPr="009118AB">
        <w:rPr>
          <w:bCs/>
          <w:iCs/>
          <w:sz w:val="20"/>
          <w:szCs w:val="20"/>
        </w:rPr>
        <w:t> - </w:t>
      </w:r>
      <w:r w:rsidRPr="009118AB">
        <w:rPr>
          <w:bCs/>
          <w:iCs/>
          <w:sz w:val="20"/>
          <w:szCs w:val="20"/>
        </w:rPr>
        <w:t>in dem Maße, wie sie sich auf mehr als 3 Prozent der gesamten Bruttoentlohnung des Sportlers belaufen, die während der Dauer des Arbeitsvertrags pro Jahr berechnet wird</w:t>
      </w:r>
      <w:r w:rsidR="00FD68E8" w:rsidRPr="009118AB">
        <w:rPr>
          <w:bCs/>
          <w:iCs/>
          <w:sz w:val="20"/>
          <w:szCs w:val="20"/>
        </w:rPr>
        <w:t> -,</w:t>
      </w:r>
      <w:r w:rsidRPr="009118AB">
        <w:rPr>
          <w:bCs/>
          <w:iCs/>
          <w:sz w:val="20"/>
          <w:szCs w:val="20"/>
        </w:rPr>
        <w:t xml:space="preserve"> die direkt oder indirekt im Rahmen eines Vertrags gezahlt werden, der Folgendes zum Ziel hat:</w:t>
      </w:r>
    </w:p>
    <w:p w14:paraId="391F18A7" w14:textId="77777777" w:rsidR="00395EAB" w:rsidRPr="009118AB" w:rsidRDefault="00395EAB" w:rsidP="00395EAB">
      <w:pPr>
        <w:autoSpaceDE w:val="0"/>
        <w:autoSpaceDN w:val="0"/>
        <w:adjustRightInd w:val="0"/>
        <w:jc w:val="both"/>
        <w:rPr>
          <w:bCs/>
          <w:iCs/>
          <w:sz w:val="20"/>
          <w:szCs w:val="20"/>
        </w:rPr>
      </w:pPr>
    </w:p>
    <w:p w14:paraId="7901822D" w14:textId="1A2C1A95" w:rsidR="00395EAB" w:rsidRPr="009118AB" w:rsidRDefault="00395EAB" w:rsidP="00395EAB">
      <w:pPr>
        <w:autoSpaceDE w:val="0"/>
        <w:autoSpaceDN w:val="0"/>
        <w:adjustRightInd w:val="0"/>
        <w:jc w:val="both"/>
        <w:rPr>
          <w:bCs/>
          <w:iCs/>
          <w:sz w:val="20"/>
          <w:szCs w:val="20"/>
        </w:rPr>
      </w:pPr>
      <w:r w:rsidRPr="009118AB">
        <w:rPr>
          <w:bCs/>
          <w:i/>
          <w:iCs/>
          <w:sz w:val="20"/>
          <w:szCs w:val="20"/>
        </w:rPr>
        <w:t>a)</w:t>
      </w:r>
      <w:r w:rsidRPr="009118AB">
        <w:rPr>
          <w:bCs/>
          <w:iCs/>
          <w:sz w:val="20"/>
          <w:szCs w:val="20"/>
        </w:rPr>
        <w:t> entweder einen Sportler bei Verhandlungen im Hinblick auf den Abschluss, die Verlängerung, Erneuerung oder Beendigung eines Arbeitsvertrags bei einem Sportclub zu unterstützen</w:t>
      </w:r>
    </w:p>
    <w:p w14:paraId="49EBEB70" w14:textId="77777777" w:rsidR="00395EAB" w:rsidRPr="009118AB" w:rsidRDefault="00395EAB" w:rsidP="00395EAB">
      <w:pPr>
        <w:autoSpaceDE w:val="0"/>
        <w:autoSpaceDN w:val="0"/>
        <w:adjustRightInd w:val="0"/>
        <w:jc w:val="both"/>
        <w:rPr>
          <w:bCs/>
          <w:iCs/>
          <w:sz w:val="20"/>
          <w:szCs w:val="20"/>
        </w:rPr>
      </w:pPr>
    </w:p>
    <w:p w14:paraId="07720CDD" w14:textId="477608B0" w:rsidR="00395EAB" w:rsidRPr="009118AB" w:rsidRDefault="00395EAB" w:rsidP="00395EAB">
      <w:pPr>
        <w:autoSpaceDE w:val="0"/>
        <w:autoSpaceDN w:val="0"/>
        <w:adjustRightInd w:val="0"/>
        <w:jc w:val="both"/>
        <w:rPr>
          <w:bCs/>
          <w:iCs/>
          <w:sz w:val="20"/>
          <w:szCs w:val="20"/>
        </w:rPr>
      </w:pPr>
      <w:r w:rsidRPr="009118AB">
        <w:rPr>
          <w:bCs/>
          <w:i/>
          <w:iCs/>
          <w:sz w:val="20"/>
          <w:szCs w:val="20"/>
        </w:rPr>
        <w:t>b)</w:t>
      </w:r>
      <w:r w:rsidRPr="009118AB">
        <w:rPr>
          <w:bCs/>
          <w:iCs/>
          <w:sz w:val="20"/>
          <w:szCs w:val="20"/>
        </w:rPr>
        <w:t xml:space="preserve"> oder einen in Artikel 270 </w:t>
      </w:r>
      <w:r w:rsidR="00D67EB8" w:rsidRPr="009118AB">
        <w:rPr>
          <w:bCs/>
          <w:iCs/>
          <w:sz w:val="20"/>
          <w:szCs w:val="20"/>
        </w:rPr>
        <w:t>Nr. </w:t>
      </w:r>
      <w:r w:rsidRPr="009118AB">
        <w:rPr>
          <w:bCs/>
          <w:iCs/>
          <w:sz w:val="20"/>
          <w:szCs w:val="20"/>
        </w:rPr>
        <w:t>1 und 3 erwähnten Schuldner des Berufssteuer</w:t>
      </w:r>
      <w:r w:rsidRPr="009118AB">
        <w:rPr>
          <w:bCs/>
          <w:iCs/>
          <w:sz w:val="20"/>
          <w:szCs w:val="20"/>
        </w:rPr>
        <w:softHyphen/>
        <w:t>vorabzugs bei Verhandlungen im Hinblick auf den Abschluss, die Verlängerung, Erneuerung oder Beendigung eines Arbeitsvertrags mit einem Sportler zu unterstützen.</w:t>
      </w:r>
    </w:p>
    <w:p w14:paraId="7E306504" w14:textId="77777777" w:rsidR="00395EAB" w:rsidRPr="009118AB" w:rsidRDefault="00395EAB" w:rsidP="00395EAB">
      <w:pPr>
        <w:autoSpaceDE w:val="0"/>
        <w:autoSpaceDN w:val="0"/>
        <w:adjustRightInd w:val="0"/>
        <w:jc w:val="both"/>
        <w:rPr>
          <w:bCs/>
          <w:iCs/>
          <w:sz w:val="20"/>
          <w:szCs w:val="20"/>
        </w:rPr>
      </w:pPr>
    </w:p>
    <w:p w14:paraId="5F9B0B7C" w14:textId="21A03514" w:rsidR="00395EAB" w:rsidRPr="009118AB" w:rsidRDefault="00395EAB" w:rsidP="00395EAB">
      <w:pPr>
        <w:autoSpaceDE w:val="0"/>
        <w:autoSpaceDN w:val="0"/>
        <w:adjustRightInd w:val="0"/>
        <w:jc w:val="both"/>
        <w:rPr>
          <w:bCs/>
          <w:iCs/>
          <w:sz w:val="20"/>
          <w:szCs w:val="20"/>
        </w:rPr>
      </w:pPr>
      <w:r w:rsidRPr="009118AB">
        <w:rPr>
          <w:bCs/>
          <w:i/>
          <w:iCs/>
          <w:sz w:val="20"/>
          <w:szCs w:val="20"/>
        </w:rPr>
        <w:t>c)</w:t>
      </w:r>
      <w:r w:rsidRPr="009118AB">
        <w:rPr>
          <w:bCs/>
          <w:iCs/>
          <w:sz w:val="20"/>
          <w:szCs w:val="20"/>
        </w:rPr>
        <w:t> oder eine Ausleihe oder einen definitiven Transfer im Hinblick auf die Ankunft oder den Weggang eines Sportlers zu regeln.]</w:t>
      </w:r>
    </w:p>
    <w:p w14:paraId="0C74D5C6" w14:textId="77777777" w:rsidR="00D14984" w:rsidRPr="009118AB" w:rsidRDefault="00D14984" w:rsidP="00D14984">
      <w:pPr>
        <w:autoSpaceDE w:val="0"/>
        <w:autoSpaceDN w:val="0"/>
        <w:adjustRightInd w:val="0"/>
        <w:jc w:val="both"/>
        <w:rPr>
          <w:bCs/>
          <w:iCs/>
          <w:sz w:val="20"/>
          <w:szCs w:val="20"/>
        </w:rPr>
      </w:pPr>
    </w:p>
    <w:p w14:paraId="7939B59D" w14:textId="42055049" w:rsidR="00D14984" w:rsidRPr="009118AB" w:rsidRDefault="00D14984" w:rsidP="00D14984">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60E5CBD2" w14:textId="6AC9262E" w:rsidR="00AE2DCB" w:rsidRPr="009118AB" w:rsidRDefault="00AE2DCB" w:rsidP="00D14984">
      <w:pPr>
        <w:autoSpaceDE w:val="0"/>
        <w:autoSpaceDN w:val="0"/>
        <w:adjustRightInd w:val="0"/>
        <w:jc w:val="both"/>
        <w:rPr>
          <w:bCs/>
          <w:iCs/>
          <w:sz w:val="20"/>
          <w:szCs w:val="20"/>
        </w:rPr>
      </w:pPr>
    </w:p>
    <w:p w14:paraId="41CAAC52" w14:textId="507B8C52" w:rsidR="00AE2DCB" w:rsidRPr="009118AB" w:rsidRDefault="00AE2DCB" w:rsidP="00D14984">
      <w:pPr>
        <w:autoSpaceDE w:val="0"/>
        <w:autoSpaceDN w:val="0"/>
        <w:adjustRightInd w:val="0"/>
        <w:jc w:val="both"/>
        <w:rPr>
          <w:bCs/>
          <w:iCs/>
          <w:sz w:val="20"/>
          <w:szCs w:val="20"/>
        </w:rPr>
      </w:pPr>
      <w:r w:rsidRPr="009118AB">
        <w:rPr>
          <w:bCs/>
          <w:iCs/>
          <w:sz w:val="20"/>
          <w:szCs w:val="20"/>
        </w:rPr>
        <w:t xml:space="preserve">[Wird ein in Absatz 1 </w:t>
      </w:r>
      <w:r w:rsidR="00D67EB8" w:rsidRPr="009118AB">
        <w:rPr>
          <w:bCs/>
          <w:iCs/>
          <w:sz w:val="20"/>
          <w:szCs w:val="20"/>
        </w:rPr>
        <w:t>Nr. </w:t>
      </w:r>
      <w:r w:rsidRPr="009118AB">
        <w:rPr>
          <w:bCs/>
          <w:iCs/>
          <w:sz w:val="20"/>
          <w:szCs w:val="20"/>
        </w:rPr>
        <w:t xml:space="preserve">8 erwähntes Fahrzeug einem Dritten zur Nutzung zu persönlichen Zwecken zur Verfügung gestellt, umfassen die in Absatz 1 </w:t>
      </w:r>
      <w:r w:rsidR="00D67EB8" w:rsidRPr="009118AB">
        <w:rPr>
          <w:bCs/>
          <w:iCs/>
          <w:sz w:val="20"/>
          <w:szCs w:val="20"/>
        </w:rPr>
        <w:t>Nr. </w:t>
      </w:r>
      <w:r w:rsidRPr="009118AB">
        <w:rPr>
          <w:bCs/>
          <w:iCs/>
          <w:sz w:val="20"/>
          <w:szCs w:val="20"/>
        </w:rPr>
        <w:t>8 erwähnten Kosten nicht den Betrag, der dem zu Lasten dieses Dritten besteuerten Vorteil jeglicher Art entspricht, und die Eigenbeteiligung dieses Dritten für die Nutzung zu persönlichen Zwecken dieses Fahrzeugs.]</w:t>
      </w:r>
    </w:p>
    <w:p w14:paraId="35F93A14" w14:textId="77777777" w:rsidR="00D14984" w:rsidRPr="009118AB" w:rsidRDefault="00D14984" w:rsidP="00D14984">
      <w:pPr>
        <w:autoSpaceDE w:val="0"/>
        <w:autoSpaceDN w:val="0"/>
        <w:adjustRightInd w:val="0"/>
        <w:jc w:val="both"/>
        <w:rPr>
          <w:bCs/>
          <w:iCs/>
          <w:sz w:val="20"/>
          <w:szCs w:val="20"/>
        </w:rPr>
      </w:pPr>
    </w:p>
    <w:p w14:paraId="3535D66D" w14:textId="0A0BB02A" w:rsidR="00D14984" w:rsidRPr="009118AB" w:rsidRDefault="00D14984" w:rsidP="00D14984">
      <w:pPr>
        <w:autoSpaceDE w:val="0"/>
        <w:autoSpaceDN w:val="0"/>
        <w:adjustRightInd w:val="0"/>
        <w:jc w:val="both"/>
        <w:rPr>
          <w:bCs/>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234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3 ersetzt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w:t>
      </w:r>
      <w:r w:rsidR="00D20B96" w:rsidRPr="009118AB">
        <w:rPr>
          <w:bCs/>
          <w:i/>
          <w:iCs/>
          <w:sz w:val="20"/>
          <w:szCs w:val="20"/>
        </w:rPr>
        <w:t xml:space="preserve">einziger Absatz einleitende Bestimmung </w:t>
      </w:r>
      <w:r w:rsidRPr="009118AB">
        <w:rPr>
          <w:bCs/>
          <w:i/>
          <w:iCs/>
          <w:sz w:val="20"/>
          <w:szCs w:val="20"/>
        </w:rPr>
        <w:t xml:space="preserve">abgeändert durch </w:t>
      </w:r>
      <w:r w:rsidR="00D67EB8" w:rsidRPr="009118AB">
        <w:rPr>
          <w:bCs/>
          <w:i/>
          <w:iCs/>
          <w:sz w:val="20"/>
          <w:szCs w:val="20"/>
        </w:rPr>
        <w:t>Art. </w:t>
      </w:r>
      <w:r w:rsidRPr="009118AB">
        <w:rPr>
          <w:bCs/>
          <w:i/>
          <w:iCs/>
          <w:sz w:val="20"/>
          <w:szCs w:val="20"/>
        </w:rPr>
        <w:t>24 des G. (I) vom 27. Dezember 2006</w:t>
      </w:r>
      <w:r w:rsidR="00210E8C" w:rsidRPr="009118AB">
        <w:rPr>
          <w:bCs/>
          <w:i/>
          <w:iCs/>
          <w:sz w:val="20"/>
          <w:szCs w:val="20"/>
        </w:rPr>
        <w:t> </w:t>
      </w:r>
      <w:r w:rsidRPr="009118AB">
        <w:rPr>
          <w:bCs/>
          <w:i/>
          <w:iCs/>
          <w:sz w:val="20"/>
          <w:szCs w:val="20"/>
        </w:rPr>
        <w:t>(I)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34</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74 Buchstabe a) und b)</w:t>
      </w:r>
      <w:r w:rsidRPr="009118AB">
        <w:rPr>
          <w:bCs/>
          <w:i/>
          <w:iCs/>
          <w:sz w:val="20"/>
          <w:szCs w:val="20"/>
        </w:rPr>
        <w:t xml:space="preserve"> des G. vom 27. Juni 2021 (B.S. vom 30. Juni 2021)</w:t>
      </w:r>
      <w:r w:rsidR="000A16EB" w:rsidRPr="009118AB">
        <w:rPr>
          <w:bCs/>
          <w:i/>
          <w:iCs/>
          <w:sz w:val="20"/>
          <w:szCs w:val="20"/>
        </w:rPr>
        <w:t>,</w:t>
      </w:r>
      <w:r w:rsidR="00210E8C" w:rsidRPr="009118AB">
        <w:rPr>
          <w:i/>
          <w:iCs/>
          <w:sz w:val="20"/>
          <w:szCs w:val="20"/>
        </w:rPr>
        <w:t xml:space="preserve"> </w:t>
      </w:r>
      <w:r w:rsidR="00D67EB8" w:rsidRPr="009118AB">
        <w:rPr>
          <w:i/>
          <w:iCs/>
          <w:sz w:val="20"/>
          <w:szCs w:val="20"/>
        </w:rPr>
        <w:t>Art. </w:t>
      </w:r>
      <w:r w:rsidR="00210E8C" w:rsidRPr="009118AB">
        <w:rPr>
          <w:i/>
          <w:iCs/>
          <w:sz w:val="20"/>
          <w:szCs w:val="20"/>
        </w:rPr>
        <w:t>50</w:t>
      </w:r>
      <w:r w:rsidR="00210E8C" w:rsidRPr="009118AB">
        <w:rPr>
          <w:bCs/>
          <w:i/>
          <w:iCs/>
          <w:sz w:val="20"/>
          <w:szCs w:val="20"/>
        </w:rPr>
        <w:t xml:space="preserve"> des G. vom 21. Januar 2022 (B.S. vom 28. Januar 2022)</w:t>
      </w:r>
      <w:r w:rsidR="00D67EB8" w:rsidRPr="009118AB">
        <w:rPr>
          <w:bCs/>
          <w:i/>
          <w:iCs/>
          <w:sz w:val="20"/>
          <w:szCs w:val="20"/>
        </w:rPr>
        <w:t> - </w:t>
      </w:r>
      <w:r w:rsidR="00210E8C"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0A16EB" w:rsidRPr="009118AB">
        <w:rPr>
          <w:bCs/>
          <w:i/>
          <w:iCs/>
          <w:sz w:val="20"/>
          <w:szCs w:val="20"/>
        </w:rPr>
        <w:t xml:space="preserve"> und Art. 27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27187F" w:rsidRPr="009118AB">
        <w:rPr>
          <w:bCs/>
          <w:i/>
          <w:iCs/>
          <w:sz w:val="20"/>
          <w:szCs w:val="20"/>
        </w:rPr>
        <w:t xml:space="preserve">Abs. 1 Nr. 4 einziger Absatz zweiter Gedankenstrich abgeändert durch </w:t>
      </w:r>
      <w:r w:rsidR="0027187F" w:rsidRPr="009118AB">
        <w:rPr>
          <w:rFonts w:ascii="Times New Roman Italique" w:hAnsi="Times New Roman Italique"/>
          <w:bCs/>
          <w:i/>
          <w:iCs/>
          <w:spacing w:val="-2"/>
          <w:sz w:val="20"/>
          <w:szCs w:val="20"/>
        </w:rPr>
        <w:t xml:space="preserve">Art. 31 des G. vom 5. Juli 2022 (B.S. vom 15. Juli 2022);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5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55 des G. vom 10. März 1999 (B.S. vom 14. April 1999)</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ab dem 14. April 1999 verliehene Aktien oder Anteile</w:t>
      </w:r>
      <w:r w:rsidR="00FD68E8" w:rsidRPr="009118AB">
        <w:rPr>
          <w:rFonts w:ascii="Times New Roman Italique" w:hAnsi="Times New Roman Italique"/>
          <w:bCs/>
          <w:i/>
          <w:iCs/>
          <w:spacing w:val="-2"/>
          <w:sz w:val="20"/>
          <w:szCs w:val="20"/>
        </w:rPr>
        <w:t> -,</w:t>
      </w:r>
      <w:r w:rsidRPr="009118AB">
        <w:rPr>
          <w:rFonts w:ascii="Times New Roman Italique" w:hAnsi="Times New Roman Italique"/>
          <w:bCs/>
          <w:i/>
          <w:iCs/>
          <w:spacing w:val="-2"/>
          <w:sz w:val="20"/>
          <w:szCs w:val="20"/>
        </w:rPr>
        <w:t xml:space="preserve"> aufgehoben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51 des G. vom 15. Dezember 2004 (B.S. vom 1. Februar 2005)</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Aktien-</w:t>
      </w:r>
      <w:r w:rsidRPr="009118AB">
        <w:rPr>
          <w:bCs/>
          <w:i/>
          <w:iCs/>
          <w:sz w:val="20"/>
          <w:szCs w:val="20"/>
        </w:rPr>
        <w:t xml:space="preserve">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138 des G.</w:t>
      </w:r>
      <w:r w:rsidR="00210E8C" w:rsidRPr="009118AB">
        <w:rPr>
          <w:bCs/>
          <w:i/>
          <w:iCs/>
          <w:sz w:val="20"/>
          <w:szCs w:val="20"/>
        </w:rPr>
        <w:t> </w:t>
      </w:r>
      <w:r w:rsidRPr="009118AB">
        <w:rPr>
          <w:bCs/>
          <w:i/>
          <w:iCs/>
          <w:sz w:val="20"/>
          <w:szCs w:val="20"/>
        </w:rPr>
        <w:t>(I) vom 22. Dezember 2008 (II) (B.S. vom 29. Dezember 2008)</w:t>
      </w:r>
      <w:r w:rsidR="00D67EB8" w:rsidRPr="009118AB">
        <w:rPr>
          <w:bCs/>
          <w:i/>
          <w:iCs/>
          <w:sz w:val="20"/>
          <w:szCs w:val="20"/>
        </w:rPr>
        <w:t> - </w:t>
      </w:r>
      <w:r w:rsidRPr="009118AB">
        <w:rPr>
          <w:bCs/>
          <w:i/>
          <w:iCs/>
          <w:sz w:val="20"/>
          <w:szCs w:val="20"/>
        </w:rPr>
        <w:t>in Kraft am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6 eingefügt </w:t>
      </w:r>
      <w:r w:rsidRPr="009118AB">
        <w:rPr>
          <w:i/>
          <w:iCs/>
          <w:sz w:val="20"/>
          <w:szCs w:val="20"/>
        </w:rPr>
        <w:t xml:space="preserve">durch </w:t>
      </w:r>
      <w:r w:rsidR="00D67EB8" w:rsidRPr="009118AB">
        <w:rPr>
          <w:i/>
          <w:iCs/>
          <w:sz w:val="20"/>
          <w:szCs w:val="20"/>
        </w:rPr>
        <w:t>Art. </w:t>
      </w:r>
      <w:r w:rsidRPr="009118AB">
        <w:rPr>
          <w:i/>
          <w:iCs/>
          <w:sz w:val="20"/>
          <w:szCs w:val="20"/>
        </w:rPr>
        <w:t xml:space="preserve">49 </w:t>
      </w:r>
      <w:r w:rsidRPr="009118AB">
        <w:rPr>
          <w:bCs/>
          <w:i/>
          <w:iCs/>
          <w:sz w:val="20"/>
          <w:szCs w:val="20"/>
        </w:rPr>
        <w:t>des G. vom 28. Dezember 2011 (B.S. vom 30. Dezember 2011)</w:t>
      </w:r>
      <w:r w:rsidR="00D67EB8" w:rsidRPr="009118AB">
        <w:rPr>
          <w:bCs/>
          <w:i/>
          <w:iCs/>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71 Buchstabe a) des G. vom 25. Dezember 2016 (I) (B.S. vom 29. Dezember 2016)</w:t>
      </w:r>
      <w:r w:rsidR="00D67EB8" w:rsidRPr="009118AB">
        <w:rPr>
          <w:i/>
          <w:iCs/>
          <w:sz w:val="20"/>
          <w:szCs w:val="20"/>
        </w:rPr>
        <w:t> - </w:t>
      </w:r>
      <w:r w:rsidRPr="009118AB">
        <w:rPr>
          <w:i/>
          <w:iCs/>
          <w:sz w:val="20"/>
          <w:szCs w:val="20"/>
        </w:rPr>
        <w:t>in Kraft und anwendbar ab dem 1. Januar 2017</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63 </w:t>
      </w:r>
      <w:r w:rsidR="00D67EB8" w:rsidRPr="009118AB">
        <w:rPr>
          <w:i/>
          <w:iCs/>
          <w:sz w:val="20"/>
          <w:szCs w:val="20"/>
        </w:rPr>
        <w:t>Nr. </w:t>
      </w:r>
      <w:r w:rsidRPr="009118AB">
        <w:rPr>
          <w:i/>
          <w:iCs/>
          <w:sz w:val="20"/>
          <w:szCs w:val="20"/>
        </w:rPr>
        <w:t>1 des G. vom 25. Dezember 2017 (III) (B.S. vom 29. Dezember 2017)</w:t>
      </w:r>
      <w:r w:rsidR="00D67EB8" w:rsidRPr="009118AB">
        <w:rPr>
          <w:i/>
          <w:iCs/>
          <w:sz w:val="20"/>
          <w:szCs w:val="20"/>
        </w:rPr>
        <w:t> - </w:t>
      </w:r>
      <w:r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65143C" w:rsidRPr="009118AB">
        <w:rPr>
          <w:i/>
          <w:iCs/>
          <w:spacing w:val="-2"/>
          <w:sz w:val="20"/>
          <w:szCs w:val="20"/>
        </w:rPr>
        <w:t>frühere Nummer</w:t>
      </w:r>
      <w:r w:rsidRPr="009118AB">
        <w:rPr>
          <w:i/>
          <w:iCs/>
          <w:sz w:val="20"/>
          <w:szCs w:val="20"/>
        </w:rPr>
        <w:t xml:space="preserve"> 6bis eingefügt durch </w:t>
      </w:r>
      <w:r w:rsidR="00D67EB8" w:rsidRPr="009118AB">
        <w:rPr>
          <w:i/>
          <w:iCs/>
          <w:sz w:val="20"/>
          <w:szCs w:val="20"/>
        </w:rPr>
        <w:t>Art. </w:t>
      </w:r>
      <w:r w:rsidRPr="009118AB">
        <w:rPr>
          <w:i/>
          <w:iCs/>
          <w:sz w:val="20"/>
          <w:szCs w:val="20"/>
        </w:rPr>
        <w:t xml:space="preserve">33 </w:t>
      </w:r>
      <w:r w:rsidR="00D67EB8" w:rsidRPr="009118AB">
        <w:rPr>
          <w:i/>
          <w:iCs/>
          <w:sz w:val="20"/>
          <w:szCs w:val="20"/>
        </w:rPr>
        <w:t>Nr. </w:t>
      </w:r>
      <w:r w:rsidRPr="009118AB">
        <w:rPr>
          <w:i/>
          <w:iCs/>
          <w:sz w:val="20"/>
          <w:szCs w:val="20"/>
        </w:rPr>
        <w:t>1 des G. vom 30. März 2018 (B.S. vom 7. Mai 2018)</w:t>
      </w:r>
      <w:r w:rsidR="00D67EB8" w:rsidRPr="009118AB">
        <w:rPr>
          <w:i/>
          <w:iCs/>
          <w:sz w:val="20"/>
          <w:szCs w:val="20"/>
        </w:rPr>
        <w:t> - </w:t>
      </w:r>
      <w:r w:rsidRPr="009118AB">
        <w:rPr>
          <w:i/>
          <w:iCs/>
          <w:sz w:val="20"/>
          <w:szCs w:val="20"/>
        </w:rPr>
        <w:t>in Kraft am 1. Januar 2018</w:t>
      </w:r>
      <w:r w:rsidR="00FD68E8" w:rsidRPr="009118AB">
        <w:rPr>
          <w:i/>
          <w:iCs/>
          <w:sz w:val="20"/>
          <w:szCs w:val="20"/>
        </w:rPr>
        <w:t> -,</w:t>
      </w:r>
      <w:r w:rsidR="0065143C" w:rsidRPr="009118AB">
        <w:rPr>
          <w:i/>
          <w:iCs/>
          <w:sz w:val="20"/>
          <w:szCs w:val="20"/>
        </w:rPr>
        <w:t xml:space="preserve"> selbst für nichtig erklärt durch Entscheid </w:t>
      </w:r>
      <w:r w:rsidR="00D67EB8" w:rsidRPr="009118AB">
        <w:rPr>
          <w:i/>
          <w:iCs/>
          <w:sz w:val="20"/>
          <w:szCs w:val="20"/>
        </w:rPr>
        <w:t>Nr. </w:t>
      </w:r>
      <w:r w:rsidR="0065143C" w:rsidRPr="009118AB">
        <w:rPr>
          <w:i/>
          <w:iCs/>
          <w:sz w:val="20"/>
          <w:szCs w:val="20"/>
        </w:rPr>
        <w:t>11/2020 des Verfassungsgerichtshofes vom 23. Januar 2020 (B.S. vom 24. Februar 2020)</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7 eingefügt durch </w:t>
      </w:r>
      <w:r w:rsidR="00D67EB8" w:rsidRPr="009118AB">
        <w:rPr>
          <w:i/>
          <w:iCs/>
          <w:sz w:val="20"/>
          <w:szCs w:val="20"/>
        </w:rPr>
        <w:t>Art. </w:t>
      </w:r>
      <w:r w:rsidRPr="009118AB">
        <w:rPr>
          <w:i/>
          <w:iCs/>
          <w:sz w:val="20"/>
          <w:szCs w:val="20"/>
        </w:rPr>
        <w:t>71 Buchstabe b) des G. vom 25. Dezember 2016 (I) (B.S. vom 29. Dezember 2016)</w:t>
      </w:r>
      <w:r w:rsidR="00D67EB8" w:rsidRPr="009118AB">
        <w:rPr>
          <w:i/>
          <w:iCs/>
          <w:sz w:val="20"/>
          <w:szCs w:val="20"/>
        </w:rPr>
        <w:t> - </w:t>
      </w:r>
      <w:r w:rsidRPr="009118AB">
        <w:rPr>
          <w:i/>
          <w:iCs/>
          <w:sz w:val="20"/>
          <w:szCs w:val="20"/>
        </w:rPr>
        <w:t>in Kraft und anwendbar ab dem 1. Januar 2017</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63 </w:t>
      </w:r>
      <w:r w:rsidR="00D67EB8" w:rsidRPr="009118AB">
        <w:rPr>
          <w:i/>
          <w:iCs/>
          <w:sz w:val="20"/>
          <w:szCs w:val="20"/>
        </w:rPr>
        <w:t>Nr. </w:t>
      </w:r>
      <w:r w:rsidRPr="009118AB">
        <w:rPr>
          <w:i/>
          <w:iCs/>
          <w:sz w:val="20"/>
          <w:szCs w:val="20"/>
        </w:rPr>
        <w:t>2 des G. vom 25. Dezember 2017 (III) (B.S. vom 29. Dezember 2017)</w:t>
      </w:r>
      <w:r w:rsidR="00D67EB8" w:rsidRPr="009118AB">
        <w:rPr>
          <w:i/>
          <w:iCs/>
          <w:sz w:val="20"/>
          <w:szCs w:val="20"/>
        </w:rPr>
        <w:t> - </w:t>
      </w:r>
      <w:r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B04FF4" w:rsidRPr="009118AB">
        <w:rPr>
          <w:i/>
          <w:iCs/>
          <w:spacing w:val="-2"/>
          <w:sz w:val="20"/>
          <w:szCs w:val="20"/>
        </w:rPr>
        <w:t>frühere Nummer</w:t>
      </w:r>
      <w:r w:rsidRPr="009118AB">
        <w:rPr>
          <w:i/>
          <w:iCs/>
          <w:sz w:val="20"/>
          <w:szCs w:val="20"/>
        </w:rPr>
        <w:t xml:space="preserve"> 7bis eingefügt durch </w:t>
      </w:r>
      <w:r w:rsidR="00D67EB8" w:rsidRPr="009118AB">
        <w:rPr>
          <w:i/>
          <w:iCs/>
          <w:sz w:val="20"/>
          <w:szCs w:val="20"/>
        </w:rPr>
        <w:t>Art. </w:t>
      </w:r>
      <w:r w:rsidRPr="009118AB">
        <w:rPr>
          <w:i/>
          <w:iCs/>
          <w:sz w:val="20"/>
          <w:szCs w:val="20"/>
        </w:rPr>
        <w:t xml:space="preserve">33 </w:t>
      </w:r>
      <w:r w:rsidR="00D67EB8" w:rsidRPr="009118AB">
        <w:rPr>
          <w:i/>
          <w:iCs/>
          <w:sz w:val="20"/>
          <w:szCs w:val="20"/>
        </w:rPr>
        <w:t>Nr. </w:t>
      </w:r>
      <w:r w:rsidRPr="009118AB">
        <w:rPr>
          <w:i/>
          <w:iCs/>
          <w:sz w:val="20"/>
          <w:szCs w:val="20"/>
        </w:rPr>
        <w:t>2 des G. vom 30. März 2018 (B.S. vom 7. Mai 2018)</w:t>
      </w:r>
      <w:r w:rsidR="00D67EB8" w:rsidRPr="009118AB">
        <w:rPr>
          <w:i/>
          <w:iCs/>
          <w:sz w:val="20"/>
          <w:szCs w:val="20"/>
        </w:rPr>
        <w:t> - </w:t>
      </w:r>
      <w:r w:rsidRPr="009118AB">
        <w:rPr>
          <w:i/>
          <w:iCs/>
          <w:sz w:val="20"/>
          <w:szCs w:val="20"/>
        </w:rPr>
        <w:t>in Kraft am 1. Januar 2018</w:t>
      </w:r>
      <w:r w:rsidR="00FD68E8" w:rsidRPr="009118AB">
        <w:rPr>
          <w:i/>
          <w:iCs/>
          <w:sz w:val="20"/>
          <w:szCs w:val="20"/>
        </w:rPr>
        <w:t> -,</w:t>
      </w:r>
      <w:r w:rsidRPr="009118AB">
        <w:rPr>
          <w:i/>
          <w:iCs/>
          <w:sz w:val="20"/>
          <w:szCs w:val="20"/>
        </w:rPr>
        <w:t xml:space="preserve"> selbst für nichtig erklärt durch Entscheid </w:t>
      </w:r>
      <w:r w:rsidR="00D67EB8" w:rsidRPr="009118AB">
        <w:rPr>
          <w:i/>
          <w:iCs/>
          <w:sz w:val="20"/>
          <w:szCs w:val="20"/>
        </w:rPr>
        <w:t>Nr. </w:t>
      </w:r>
      <w:r w:rsidRPr="009118AB">
        <w:rPr>
          <w:i/>
          <w:iCs/>
          <w:sz w:val="20"/>
          <w:szCs w:val="20"/>
        </w:rPr>
        <w:t>11/2020 des Verfassungsgerichtshofes vom 23. Januar 2020 (B.S. vom 24. Februar 2020);</w:t>
      </w:r>
      <w:r w:rsidR="00AE2DCB" w:rsidRPr="009118AB">
        <w:rPr>
          <w:i/>
          <w:iCs/>
          <w:sz w:val="20"/>
          <w:szCs w:val="20"/>
        </w:rPr>
        <w:t xml:space="preserve"> </w:t>
      </w:r>
      <w:r w:rsidR="00D67EB8" w:rsidRPr="009118AB">
        <w:rPr>
          <w:i/>
          <w:iCs/>
          <w:sz w:val="20"/>
          <w:szCs w:val="20"/>
        </w:rPr>
        <w:t>Abs. </w:t>
      </w:r>
      <w:r w:rsidR="00AE2DCB" w:rsidRPr="009118AB">
        <w:rPr>
          <w:i/>
          <w:iCs/>
          <w:sz w:val="20"/>
          <w:szCs w:val="20"/>
        </w:rPr>
        <w:t xml:space="preserve">1 </w:t>
      </w:r>
      <w:r w:rsidR="00D67EB8" w:rsidRPr="009118AB">
        <w:rPr>
          <w:i/>
          <w:iCs/>
          <w:sz w:val="20"/>
          <w:szCs w:val="20"/>
        </w:rPr>
        <w:t>Nr. </w:t>
      </w:r>
      <w:r w:rsidR="00AE2DCB" w:rsidRPr="009118AB">
        <w:rPr>
          <w:i/>
          <w:iCs/>
          <w:sz w:val="20"/>
          <w:szCs w:val="20"/>
        </w:rPr>
        <w:t xml:space="preserve">8 eingefügt durch </w:t>
      </w:r>
      <w:r w:rsidR="00D67EB8" w:rsidRPr="009118AB">
        <w:rPr>
          <w:i/>
          <w:iCs/>
          <w:sz w:val="20"/>
          <w:szCs w:val="20"/>
        </w:rPr>
        <w:t>Art. </w:t>
      </w:r>
      <w:r w:rsidR="00AE2DCB" w:rsidRPr="009118AB">
        <w:rPr>
          <w:i/>
          <w:iCs/>
          <w:sz w:val="20"/>
          <w:szCs w:val="20"/>
        </w:rPr>
        <w:t xml:space="preserve">8 </w:t>
      </w:r>
      <w:r w:rsidR="00D67EB8" w:rsidRPr="009118AB">
        <w:rPr>
          <w:i/>
          <w:iCs/>
          <w:sz w:val="20"/>
          <w:szCs w:val="20"/>
        </w:rPr>
        <w:t>Nr. </w:t>
      </w:r>
      <w:r w:rsidR="00AE2DCB" w:rsidRPr="009118AB">
        <w:rPr>
          <w:i/>
          <w:iCs/>
          <w:sz w:val="20"/>
          <w:szCs w:val="20"/>
        </w:rPr>
        <w:t>1</w:t>
      </w:r>
      <w:r w:rsidR="00AE2DCB" w:rsidRPr="009118AB">
        <w:rPr>
          <w:i/>
          <w:iCs/>
        </w:rPr>
        <w:t xml:space="preserve"> </w:t>
      </w:r>
      <w:r w:rsidR="00AE2DCB" w:rsidRPr="009118AB">
        <w:rPr>
          <w:i/>
          <w:iCs/>
          <w:sz w:val="20"/>
          <w:szCs w:val="20"/>
        </w:rPr>
        <w:t>des G. vom 25. November 2021 (B.S. vom 3. Dezember 2021)</w:t>
      </w:r>
      <w:r w:rsidR="00D67EB8" w:rsidRPr="009118AB">
        <w:rPr>
          <w:i/>
          <w:iCs/>
          <w:sz w:val="20"/>
          <w:szCs w:val="20"/>
        </w:rPr>
        <w:t> - </w:t>
      </w:r>
      <w:r w:rsidR="00AE2DCB"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00AE2DCB" w:rsidRPr="009118AB">
        <w:rPr>
          <w:i/>
          <w:iCs/>
          <w:sz w:val="20"/>
          <w:szCs w:val="20"/>
        </w:rPr>
        <w:t xml:space="preserve"> </w:t>
      </w:r>
      <w:r w:rsidR="00D67EB8" w:rsidRPr="009118AB">
        <w:rPr>
          <w:i/>
          <w:iCs/>
          <w:sz w:val="20"/>
          <w:szCs w:val="20"/>
        </w:rPr>
        <w:t>Abs. </w:t>
      </w:r>
      <w:r w:rsidR="00395EAB" w:rsidRPr="009118AB">
        <w:rPr>
          <w:i/>
          <w:iCs/>
          <w:sz w:val="20"/>
          <w:szCs w:val="20"/>
        </w:rPr>
        <w:t xml:space="preserve">1 </w:t>
      </w:r>
      <w:r w:rsidR="00D67EB8" w:rsidRPr="009118AB">
        <w:rPr>
          <w:i/>
          <w:iCs/>
          <w:sz w:val="20"/>
          <w:szCs w:val="20"/>
        </w:rPr>
        <w:t>Nr. </w:t>
      </w:r>
      <w:r w:rsidR="00395EAB" w:rsidRPr="009118AB">
        <w:rPr>
          <w:i/>
          <w:iCs/>
          <w:sz w:val="20"/>
          <w:szCs w:val="20"/>
        </w:rPr>
        <w:t xml:space="preserve">10 eingefügt durch </w:t>
      </w:r>
      <w:r w:rsidR="00D67EB8" w:rsidRPr="009118AB">
        <w:rPr>
          <w:i/>
          <w:iCs/>
          <w:sz w:val="20"/>
          <w:szCs w:val="20"/>
        </w:rPr>
        <w:t>Art. </w:t>
      </w:r>
      <w:r w:rsidR="00395EAB" w:rsidRPr="009118AB">
        <w:rPr>
          <w:i/>
          <w:iCs/>
          <w:sz w:val="20"/>
          <w:szCs w:val="20"/>
        </w:rPr>
        <w:t>9 des G. vom 27. Dezember 2021 (B.S. vom 31. Dezember 2021)</w:t>
      </w:r>
      <w:r w:rsidR="00D67EB8" w:rsidRPr="009118AB">
        <w:rPr>
          <w:i/>
          <w:iCs/>
          <w:sz w:val="20"/>
          <w:szCs w:val="20"/>
        </w:rPr>
        <w:t> - </w:t>
      </w:r>
      <w:r w:rsidR="00395EAB" w:rsidRPr="009118AB">
        <w:rPr>
          <w:i/>
          <w:iCs/>
          <w:sz w:val="20"/>
          <w:szCs w:val="20"/>
        </w:rPr>
        <w:t>anwendbar ab dem 1. Januar 2022</w:t>
      </w:r>
      <w:r w:rsidR="003366D9" w:rsidRPr="009118AB">
        <w:rPr>
          <w:i/>
          <w:iCs/>
          <w:sz w:val="20"/>
          <w:szCs w:val="20"/>
        </w:rPr>
        <w:t> -;</w:t>
      </w:r>
      <w:r w:rsidR="00395EAB" w:rsidRPr="009118AB">
        <w:rPr>
          <w:i/>
          <w:iCs/>
          <w:sz w:val="20"/>
          <w:szCs w:val="20"/>
        </w:rPr>
        <w:t xml:space="preserve"> </w:t>
      </w:r>
      <w:r w:rsidR="00D67EB8" w:rsidRPr="009118AB">
        <w:rPr>
          <w:bCs/>
          <w:i/>
          <w:iCs/>
          <w:sz w:val="20"/>
          <w:szCs w:val="20"/>
        </w:rPr>
        <w:t>Abs. </w:t>
      </w:r>
      <w:r w:rsidRPr="009118AB">
        <w:rPr>
          <w:bCs/>
          <w:i/>
          <w:iCs/>
          <w:sz w:val="20"/>
          <w:szCs w:val="20"/>
        </w:rPr>
        <w:t xml:space="preserve">2 eingefügt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9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00AE2DCB" w:rsidRPr="009118AB">
        <w:rPr>
          <w:bCs/>
          <w:i/>
          <w:iCs/>
          <w:sz w:val="20"/>
          <w:szCs w:val="20"/>
        </w:rPr>
        <w:t xml:space="preserve"> </w:t>
      </w:r>
      <w:r w:rsidR="00D67EB8" w:rsidRPr="009118AB">
        <w:rPr>
          <w:bCs/>
          <w:i/>
          <w:iCs/>
          <w:sz w:val="20"/>
          <w:szCs w:val="20"/>
        </w:rPr>
        <w:t>Abs. </w:t>
      </w:r>
      <w:r w:rsidR="00AE2DCB" w:rsidRPr="009118AB">
        <w:rPr>
          <w:bCs/>
          <w:i/>
          <w:iCs/>
          <w:sz w:val="20"/>
          <w:szCs w:val="20"/>
        </w:rPr>
        <w:t xml:space="preserve">3 eingefügt durch </w:t>
      </w:r>
      <w:r w:rsidR="00D67EB8" w:rsidRPr="009118AB">
        <w:rPr>
          <w:bCs/>
          <w:i/>
          <w:iCs/>
          <w:sz w:val="20"/>
          <w:szCs w:val="20"/>
        </w:rPr>
        <w:t>Art. </w:t>
      </w:r>
      <w:r w:rsidR="00AE2DCB" w:rsidRPr="009118AB">
        <w:rPr>
          <w:bCs/>
          <w:i/>
          <w:iCs/>
          <w:sz w:val="20"/>
          <w:szCs w:val="20"/>
        </w:rPr>
        <w:t xml:space="preserve">8 </w:t>
      </w:r>
      <w:r w:rsidR="00D67EB8" w:rsidRPr="009118AB">
        <w:rPr>
          <w:bCs/>
          <w:i/>
          <w:iCs/>
          <w:sz w:val="20"/>
          <w:szCs w:val="20"/>
        </w:rPr>
        <w:t>Nr. </w:t>
      </w:r>
      <w:r w:rsidR="00AE2DCB" w:rsidRPr="009118AB">
        <w:rPr>
          <w:bCs/>
          <w:i/>
          <w:iCs/>
          <w:sz w:val="20"/>
          <w:szCs w:val="20"/>
        </w:rPr>
        <w:t>7</w:t>
      </w:r>
      <w:r w:rsidR="00AE2DCB" w:rsidRPr="009118AB">
        <w:rPr>
          <w:i/>
          <w:iCs/>
        </w:rPr>
        <w:t xml:space="preserve"> </w:t>
      </w:r>
      <w:r w:rsidR="00AE2DCB" w:rsidRPr="009118AB">
        <w:rPr>
          <w:i/>
          <w:iCs/>
          <w:sz w:val="20"/>
          <w:szCs w:val="20"/>
        </w:rPr>
        <w:t>des G. vom 25. November 2021 (B.S. vom 3. Dezember 2021)</w:t>
      </w:r>
      <w:r w:rsidR="00D67EB8" w:rsidRPr="009118AB">
        <w:rPr>
          <w:i/>
          <w:iCs/>
          <w:sz w:val="20"/>
          <w:szCs w:val="20"/>
        </w:rPr>
        <w:t> - </w:t>
      </w:r>
      <w:r w:rsidR="00AE2DCB" w:rsidRPr="009118AB">
        <w:rPr>
          <w:i/>
          <w:iCs/>
          <w:sz w:val="20"/>
          <w:szCs w:val="20"/>
        </w:rPr>
        <w:t>in Kraft am 1. Januar 2026 und anwendbar ab dem Steuerjahr 2027, das sich auf einen Besteuerungszeitraum bezieht, der frühestens am 1. Januar 2026 beginnt</w:t>
      </w:r>
      <w:r w:rsidR="00FD68E8" w:rsidRPr="009118AB">
        <w:rPr>
          <w:i/>
          <w:iCs/>
          <w:sz w:val="20"/>
          <w:szCs w:val="20"/>
        </w:rPr>
        <w:t> -]</w:t>
      </w:r>
      <w:r w:rsidR="00AE2DCB" w:rsidRPr="009118AB">
        <w:rPr>
          <w:bCs/>
          <w:sz w:val="20"/>
          <w:szCs w:val="20"/>
        </w:rPr>
        <w:t>"</w:t>
      </w:r>
    </w:p>
    <w:bookmarkEnd w:id="22"/>
    <w:p w14:paraId="73E76EE7" w14:textId="10967EEB" w:rsidR="00AE2DCB" w:rsidRPr="009118AB" w:rsidRDefault="00AE2DCB" w:rsidP="00D14984">
      <w:pPr>
        <w:autoSpaceDE w:val="0"/>
        <w:autoSpaceDN w:val="0"/>
        <w:adjustRightInd w:val="0"/>
        <w:jc w:val="both"/>
        <w:rPr>
          <w:bCs/>
          <w:sz w:val="20"/>
          <w:szCs w:val="20"/>
        </w:rPr>
      </w:pPr>
    </w:p>
    <w:p w14:paraId="788FBF88" w14:textId="3DB3AD28" w:rsidR="00AE2DCB" w:rsidRPr="009118AB" w:rsidRDefault="00AE2DCB" w:rsidP="00D14984">
      <w:pPr>
        <w:autoSpaceDE w:val="0"/>
        <w:autoSpaceDN w:val="0"/>
        <w:adjustRightInd w:val="0"/>
        <w:jc w:val="both"/>
        <w:rPr>
          <w:bCs/>
          <w:sz w:val="20"/>
          <w:szCs w:val="20"/>
        </w:rPr>
      </w:pPr>
    </w:p>
    <w:p w14:paraId="1FAE47D5" w14:textId="77777777" w:rsidR="00CB1997" w:rsidRDefault="00CB1997">
      <w:pPr>
        <w:rPr>
          <w:sz w:val="20"/>
          <w:szCs w:val="20"/>
        </w:rPr>
      </w:pPr>
      <w:r>
        <w:rPr>
          <w:sz w:val="20"/>
          <w:szCs w:val="20"/>
        </w:rPr>
        <w:br w:type="page"/>
      </w:r>
    </w:p>
    <w:p w14:paraId="698EC8EC" w14:textId="6B5B1129" w:rsidR="00AE2DCB" w:rsidRPr="009118AB" w:rsidRDefault="00AE2DCB" w:rsidP="00AE2DCB">
      <w:pPr>
        <w:autoSpaceDE w:val="0"/>
        <w:autoSpaceDN w:val="0"/>
        <w:adjustRightInd w:val="0"/>
        <w:jc w:val="both"/>
        <w:rPr>
          <w:sz w:val="20"/>
          <w:szCs w:val="20"/>
        </w:rPr>
      </w:pPr>
      <w:r w:rsidRPr="009118AB">
        <w:rPr>
          <w:sz w:val="20"/>
          <w:szCs w:val="20"/>
        </w:rPr>
        <w:lastRenderedPageBreak/>
        <w:t xml:space="preserve">Ab dem 1. Januar 2027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7 des G. vom 25. November 2021 (B.S. vom 3. Dezember 2021)) lautet </w:t>
      </w:r>
      <w:r w:rsidR="00D67EB8" w:rsidRPr="009118AB">
        <w:rPr>
          <w:sz w:val="20"/>
          <w:szCs w:val="20"/>
        </w:rPr>
        <w:t>Art. </w:t>
      </w:r>
      <w:r w:rsidRPr="009118AB">
        <w:rPr>
          <w:sz w:val="20"/>
          <w:szCs w:val="20"/>
        </w:rPr>
        <w:t>234 wie folgt:</w:t>
      </w:r>
    </w:p>
    <w:p w14:paraId="25BEF77A" w14:textId="77777777" w:rsidR="00AE2DCB" w:rsidRPr="009118AB" w:rsidRDefault="00AE2DCB" w:rsidP="00AE2DCB">
      <w:pPr>
        <w:autoSpaceDE w:val="0"/>
        <w:autoSpaceDN w:val="0"/>
        <w:adjustRightInd w:val="0"/>
        <w:jc w:val="both"/>
        <w:rPr>
          <w:sz w:val="20"/>
          <w:szCs w:val="20"/>
        </w:rPr>
      </w:pPr>
    </w:p>
    <w:p w14:paraId="63FC5DD7" w14:textId="1D3EEE97" w:rsidR="00AE2DCB" w:rsidRPr="009118AB" w:rsidRDefault="00AE2DCB" w:rsidP="00AE2DCB">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234</w:t>
      </w:r>
      <w:r w:rsidR="00D67EB8" w:rsidRPr="009118AB">
        <w:rPr>
          <w:sz w:val="20"/>
          <w:szCs w:val="20"/>
        </w:rPr>
        <w:t> - </w:t>
      </w:r>
      <w:r w:rsidRPr="009118AB">
        <w:rPr>
          <w:bCs/>
          <w:iCs/>
          <w:sz w:val="20"/>
          <w:szCs w:val="20"/>
        </w:rPr>
        <w:t xml:space="preserve">In Bezug auf die in Artikel 227 </w:t>
      </w:r>
      <w:r w:rsidR="00D67EB8" w:rsidRPr="009118AB">
        <w:rPr>
          <w:bCs/>
          <w:iCs/>
          <w:sz w:val="20"/>
          <w:szCs w:val="20"/>
        </w:rPr>
        <w:t>Nr. </w:t>
      </w:r>
      <w:r w:rsidRPr="009118AB">
        <w:rPr>
          <w:bCs/>
          <w:iCs/>
          <w:sz w:val="20"/>
          <w:szCs w:val="20"/>
        </w:rPr>
        <w:t>3 erwähnten Steuerpflichtigen wird die Steuer festgelegt:</w:t>
      </w:r>
    </w:p>
    <w:p w14:paraId="63A90008" w14:textId="77777777" w:rsidR="00AE2DCB" w:rsidRPr="009118AB" w:rsidRDefault="00AE2DCB" w:rsidP="00AE2DCB">
      <w:pPr>
        <w:autoSpaceDE w:val="0"/>
        <w:autoSpaceDN w:val="0"/>
        <w:adjustRightInd w:val="0"/>
        <w:jc w:val="both"/>
        <w:rPr>
          <w:bCs/>
          <w:iCs/>
          <w:sz w:val="20"/>
          <w:szCs w:val="20"/>
        </w:rPr>
      </w:pPr>
    </w:p>
    <w:p w14:paraId="65732791"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1. auf den Teil des Nettobetrags des Mietpreises und der Mietvorteile ihrer in Belgien gelegenen unbeweglichen Güter, der das Katastereinkommen dieser Güter übersteigt, außer wenn es sich handelt um:</w:t>
      </w:r>
    </w:p>
    <w:p w14:paraId="0DC1DEC3" w14:textId="77777777" w:rsidR="00AE2DCB" w:rsidRPr="009118AB" w:rsidRDefault="00AE2DCB" w:rsidP="00AE2DCB">
      <w:pPr>
        <w:autoSpaceDE w:val="0"/>
        <w:autoSpaceDN w:val="0"/>
        <w:adjustRightInd w:val="0"/>
        <w:jc w:val="both"/>
        <w:rPr>
          <w:bCs/>
          <w:iCs/>
          <w:sz w:val="20"/>
          <w:szCs w:val="20"/>
        </w:rPr>
      </w:pPr>
    </w:p>
    <w:p w14:paraId="618BA6B2"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 Güter, die an eine natürliche Person vermietet sind, die diese Güter weder ganz noch teilweise zur Ausübung ihrer Berufstätigkeit nutzt,</w:t>
      </w:r>
    </w:p>
    <w:p w14:paraId="4586DBEC" w14:textId="77777777" w:rsidR="00AE2DCB" w:rsidRPr="009118AB" w:rsidRDefault="00AE2DCB" w:rsidP="00AE2DCB">
      <w:pPr>
        <w:autoSpaceDE w:val="0"/>
        <w:autoSpaceDN w:val="0"/>
        <w:adjustRightInd w:val="0"/>
        <w:jc w:val="both"/>
        <w:rPr>
          <w:bCs/>
          <w:iCs/>
          <w:sz w:val="20"/>
          <w:szCs w:val="20"/>
        </w:rPr>
      </w:pPr>
    </w:p>
    <w:p w14:paraId="61AFBDBB"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 Güter, die gemäß den Rechtsvorschriften über den Landpachtvertrag vermietet sind und vom Mieter zu landwirtschaftlichen oder gartenbaulichen Zwecken genutzt werden,</w:t>
      </w:r>
    </w:p>
    <w:p w14:paraId="2E0E9656" w14:textId="77777777" w:rsidR="00AE2DCB" w:rsidRPr="009118AB" w:rsidRDefault="00AE2DCB" w:rsidP="00AE2DCB">
      <w:pPr>
        <w:autoSpaceDE w:val="0"/>
        <w:autoSpaceDN w:val="0"/>
        <w:adjustRightInd w:val="0"/>
        <w:jc w:val="both"/>
        <w:rPr>
          <w:bCs/>
          <w:iCs/>
          <w:sz w:val="20"/>
          <w:szCs w:val="20"/>
        </w:rPr>
      </w:pPr>
    </w:p>
    <w:p w14:paraId="00AA2E33" w14:textId="0834CDE9"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 andere Güter unter der Bedingung, dass der Mieter keine Gewinnerzielungsabsicht verfolgt und diese Güter zu einem der in Artikel 12 </w:t>
      </w:r>
      <w:r w:rsidR="00D67EB8" w:rsidRPr="009118AB">
        <w:rPr>
          <w:bCs/>
          <w:iCs/>
          <w:sz w:val="20"/>
          <w:szCs w:val="20"/>
        </w:rPr>
        <w:t>§ </w:t>
      </w:r>
      <w:r w:rsidRPr="009118AB">
        <w:rPr>
          <w:bCs/>
          <w:iCs/>
          <w:sz w:val="20"/>
          <w:szCs w:val="20"/>
        </w:rPr>
        <w:t>1 vorgesehenen Zwecke nutzt,</w:t>
      </w:r>
    </w:p>
    <w:p w14:paraId="1BBAFC8C" w14:textId="77777777" w:rsidR="00AE2DCB" w:rsidRPr="009118AB" w:rsidRDefault="00AE2DCB" w:rsidP="00AE2DCB">
      <w:pPr>
        <w:autoSpaceDE w:val="0"/>
        <w:autoSpaceDN w:val="0"/>
        <w:adjustRightInd w:val="0"/>
        <w:jc w:val="both"/>
        <w:rPr>
          <w:bCs/>
          <w:iCs/>
          <w:sz w:val="20"/>
          <w:szCs w:val="20"/>
        </w:rPr>
      </w:pPr>
    </w:p>
    <w:p w14:paraId="6F774C2B" w14:textId="104CFF48"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118AB">
        <w:rPr>
          <w:bCs/>
          <w:iCs/>
          <w:sz w:val="20"/>
          <w:szCs w:val="20"/>
        </w:rPr>
        <w:t>Nr. </w:t>
      </w:r>
      <w:r w:rsidRPr="009118AB">
        <w:rPr>
          <w:bCs/>
          <w:iCs/>
          <w:sz w:val="20"/>
          <w:szCs w:val="20"/>
        </w:rPr>
        <w:t>1 vorgesehenen Ausnahmen auch hier gelten,</w:t>
      </w:r>
    </w:p>
    <w:p w14:paraId="4EB1F3A3" w14:textId="77777777" w:rsidR="00AE2DCB" w:rsidRPr="009118AB" w:rsidRDefault="00AE2DCB" w:rsidP="00AE2DCB">
      <w:pPr>
        <w:autoSpaceDE w:val="0"/>
        <w:autoSpaceDN w:val="0"/>
        <w:adjustRightInd w:val="0"/>
        <w:jc w:val="both"/>
        <w:rPr>
          <w:bCs/>
          <w:iCs/>
          <w:sz w:val="20"/>
          <w:szCs w:val="20"/>
        </w:rPr>
      </w:pPr>
    </w:p>
    <w:p w14:paraId="1BDC8690" w14:textId="35AD73A6"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3. [auf die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auf die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118AB">
        <w:rPr>
          <w:bCs/>
          <w:iCs/>
          <w:sz w:val="20"/>
          <w:szCs w:val="20"/>
        </w:rPr>
        <w:t>Nr. </w:t>
      </w:r>
      <w:r w:rsidRPr="009118AB">
        <w:rPr>
          <w:bCs/>
          <w:iCs/>
          <w:sz w:val="20"/>
          <w:szCs w:val="20"/>
        </w:rPr>
        <w:t>23 erwähnten Kapitalien,]</w:t>
      </w:r>
    </w:p>
    <w:p w14:paraId="76230DB0" w14:textId="77777777" w:rsidR="00AE2DCB" w:rsidRPr="009118AB" w:rsidRDefault="00AE2DCB" w:rsidP="00AE2DCB">
      <w:pPr>
        <w:autoSpaceDE w:val="0"/>
        <w:autoSpaceDN w:val="0"/>
        <w:adjustRightInd w:val="0"/>
        <w:jc w:val="both"/>
        <w:rPr>
          <w:bCs/>
          <w:iCs/>
          <w:sz w:val="20"/>
          <w:szCs w:val="20"/>
        </w:rPr>
      </w:pPr>
    </w:p>
    <w:p w14:paraId="39D10ECD" w14:textId="055E804F" w:rsidR="00AE2DCB" w:rsidRPr="009118AB" w:rsidRDefault="00AE2DCB" w:rsidP="00AE2DCB">
      <w:pPr>
        <w:autoSpaceDE w:val="0"/>
        <w:autoSpaceDN w:val="0"/>
        <w:adjustRightInd w:val="0"/>
        <w:jc w:val="both"/>
        <w:rPr>
          <w:iCs/>
          <w:sz w:val="20"/>
          <w:szCs w:val="20"/>
        </w:rPr>
      </w:pPr>
      <w:r w:rsidRPr="009118AB">
        <w:rPr>
          <w:bCs/>
          <w:iCs/>
          <w:sz w:val="20"/>
          <w:szCs w:val="20"/>
        </w:rPr>
        <w:t xml:space="preserve">4. auf [die in </w:t>
      </w:r>
      <w:r w:rsidRPr="009118AB">
        <w:rPr>
          <w:iCs/>
          <w:sz w:val="20"/>
          <w:szCs w:val="20"/>
        </w:rPr>
        <w:t xml:space="preserve">[Artikel 57 Absatz 1] </w:t>
      </w:r>
      <w:r w:rsidRPr="009118AB">
        <w:rPr>
          <w:bCs/>
          <w:iCs/>
          <w:sz w:val="20"/>
          <w:szCs w:val="20"/>
        </w:rPr>
        <w:t>erwähnten Ausgaben</w:t>
      </w:r>
      <w:r w:rsidR="00210E8C" w:rsidRPr="009118AB">
        <w:rPr>
          <w:bCs/>
          <w:iCs/>
          <w:sz w:val="20"/>
          <w:szCs w:val="20"/>
        </w:rPr>
        <w:t xml:space="preserve">[, die in den Artikeln 31 Absatz 2 </w:t>
      </w:r>
      <w:r w:rsidR="00D67EB8" w:rsidRPr="009118AB">
        <w:rPr>
          <w:bCs/>
          <w:iCs/>
          <w:sz w:val="20"/>
          <w:szCs w:val="20"/>
        </w:rPr>
        <w:t>Nr. </w:t>
      </w:r>
      <w:r w:rsidR="00210E8C" w:rsidRPr="009118AB">
        <w:rPr>
          <w:bCs/>
          <w:iCs/>
          <w:sz w:val="20"/>
          <w:szCs w:val="20"/>
        </w:rPr>
        <w:t xml:space="preserve">2 und 32 Absatz 2 </w:t>
      </w:r>
      <w:r w:rsidR="00D67EB8" w:rsidRPr="009118AB">
        <w:rPr>
          <w:bCs/>
          <w:iCs/>
          <w:sz w:val="20"/>
          <w:szCs w:val="20"/>
        </w:rPr>
        <w:t>Nr. </w:t>
      </w:r>
      <w:r w:rsidR="00210E8C" w:rsidRPr="009118AB">
        <w:rPr>
          <w:bCs/>
          <w:iCs/>
          <w:sz w:val="20"/>
          <w:szCs w:val="20"/>
        </w:rPr>
        <w:t xml:space="preserve">2 erwähnten Vorteile jeglicher Art und die in Artikel 17 </w:t>
      </w:r>
      <w:r w:rsidR="00D67EB8" w:rsidRPr="009118AB">
        <w:rPr>
          <w:bCs/>
          <w:iCs/>
          <w:sz w:val="20"/>
          <w:szCs w:val="20"/>
        </w:rPr>
        <w:t>§ </w:t>
      </w:r>
      <w:r w:rsidR="00210E8C" w:rsidRPr="009118AB">
        <w:rPr>
          <w:bCs/>
          <w:iCs/>
          <w:sz w:val="20"/>
          <w:szCs w:val="20"/>
        </w:rPr>
        <w:t xml:space="preserve">1 </w:t>
      </w:r>
      <w:r w:rsidR="00D67EB8" w:rsidRPr="009118AB">
        <w:rPr>
          <w:bCs/>
          <w:iCs/>
          <w:sz w:val="20"/>
          <w:szCs w:val="20"/>
        </w:rPr>
        <w:t>Nr. </w:t>
      </w:r>
      <w:r w:rsidR="00210E8C" w:rsidRPr="009118AB">
        <w:rPr>
          <w:bCs/>
          <w:iCs/>
          <w:sz w:val="20"/>
          <w:szCs w:val="20"/>
        </w:rPr>
        <w:t xml:space="preserve">3, was Urheberrechte und ähnliche Rechte betrifft, und </w:t>
      </w:r>
      <w:r w:rsidR="00D67EB8" w:rsidRPr="009118AB">
        <w:rPr>
          <w:bCs/>
          <w:iCs/>
          <w:sz w:val="20"/>
          <w:szCs w:val="20"/>
        </w:rPr>
        <w:t>Nr. </w:t>
      </w:r>
      <w:r w:rsidR="00210E8C" w:rsidRPr="009118AB">
        <w:rPr>
          <w:bCs/>
          <w:iCs/>
          <w:sz w:val="20"/>
          <w:szCs w:val="20"/>
        </w:rPr>
        <w:t>5 erwähnten Einkünfte]],</w:t>
      </w:r>
      <w:r w:rsidRPr="009118AB">
        <w:rPr>
          <w:bCs/>
          <w:iCs/>
          <w:sz w:val="20"/>
          <w:szCs w:val="20"/>
        </w:rPr>
        <w:t xml:space="preserve"> die nicht durch Individualkarten </w:t>
      </w:r>
      <w:r w:rsidR="000A16EB" w:rsidRPr="009118AB">
        <w:rPr>
          <w:bCs/>
          <w:iCs/>
          <w:sz w:val="20"/>
          <w:szCs w:val="20"/>
        </w:rPr>
        <w:t xml:space="preserve">[...] </w:t>
      </w:r>
      <w:r w:rsidRPr="009118AB">
        <w:rPr>
          <w:bCs/>
          <w:iCs/>
          <w:sz w:val="20"/>
          <w:szCs w:val="20"/>
        </w:rPr>
        <w:t>nachgewiesen werden[</w:t>
      </w:r>
      <w:r w:rsidRPr="009118AB">
        <w:rPr>
          <w:iCs/>
          <w:sz w:val="20"/>
          <w:szCs w:val="20"/>
        </w:rPr>
        <w:t>, außer:</w:t>
      </w:r>
    </w:p>
    <w:p w14:paraId="24319DAD" w14:textId="77777777" w:rsidR="00AE2DCB" w:rsidRPr="009118AB" w:rsidRDefault="00AE2DCB" w:rsidP="00AE2DCB">
      <w:pPr>
        <w:autoSpaceDE w:val="0"/>
        <w:autoSpaceDN w:val="0"/>
        <w:adjustRightInd w:val="0"/>
        <w:jc w:val="both"/>
        <w:rPr>
          <w:iCs/>
          <w:sz w:val="20"/>
          <w:szCs w:val="20"/>
        </w:rPr>
      </w:pPr>
    </w:p>
    <w:p w14:paraId="1E7AA91A" w14:textId="77777777" w:rsidR="00AE2DCB" w:rsidRPr="009118AB" w:rsidRDefault="00AE2DCB" w:rsidP="00AE2DCB">
      <w:pPr>
        <w:autoSpaceDE w:val="0"/>
        <w:autoSpaceDN w:val="0"/>
        <w:adjustRightInd w:val="0"/>
        <w:jc w:val="both"/>
        <w:rPr>
          <w:iCs/>
          <w:sz w:val="20"/>
          <w:szCs w:val="20"/>
        </w:rPr>
      </w:pPr>
      <w:r w:rsidRPr="009118AB">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62B60736" w14:textId="110E6AD0" w:rsidR="00AE2DCB" w:rsidRPr="009118AB" w:rsidRDefault="00AE2DCB" w:rsidP="00AE2DCB">
      <w:pPr>
        <w:autoSpaceDE w:val="0"/>
        <w:autoSpaceDN w:val="0"/>
        <w:adjustRightInd w:val="0"/>
        <w:jc w:val="both"/>
        <w:rPr>
          <w:iCs/>
          <w:sz w:val="20"/>
          <w:szCs w:val="20"/>
        </w:rPr>
      </w:pPr>
    </w:p>
    <w:p w14:paraId="7C3F885E" w14:textId="3F7875FC" w:rsidR="00AE2DCB" w:rsidRPr="009118AB" w:rsidRDefault="00AE2DCB" w:rsidP="00AE2DCB">
      <w:pPr>
        <w:autoSpaceDE w:val="0"/>
        <w:autoSpaceDN w:val="0"/>
        <w:adjustRightInd w:val="0"/>
        <w:jc w:val="both"/>
        <w:rPr>
          <w:bCs/>
          <w:iCs/>
          <w:sz w:val="20"/>
          <w:szCs w:val="20"/>
        </w:rPr>
      </w:pPr>
      <w:r w:rsidRPr="009118AB">
        <w:rPr>
          <w:iCs/>
          <w:sz w:val="20"/>
          <w:szCs w:val="20"/>
        </w:rPr>
        <w:t>- oder</w:t>
      </w:r>
      <w:r w:rsidR="00D67EB8" w:rsidRPr="009118AB">
        <w:rPr>
          <w:iCs/>
          <w:sz w:val="20"/>
          <w:szCs w:val="20"/>
        </w:rPr>
        <w:t> - </w:t>
      </w:r>
      <w:r w:rsidRPr="009118AB">
        <w:rPr>
          <w:iCs/>
          <w:sz w:val="20"/>
          <w:szCs w:val="20"/>
        </w:rPr>
        <w:t>wenn dieser Betrag nicht in einer solchen Erklärung enthalten ist</w:t>
      </w:r>
      <w:r w:rsidR="00D67EB8" w:rsidRPr="009118AB">
        <w:rPr>
          <w:iCs/>
          <w:sz w:val="20"/>
          <w:szCs w:val="20"/>
        </w:rPr>
        <w:t> - </w:t>
      </w:r>
      <w:r w:rsidRPr="009118AB">
        <w:rPr>
          <w:iCs/>
          <w:sz w:val="20"/>
          <w:szCs w:val="20"/>
        </w:rPr>
        <w:t>wenn der Empfänger spätestens zwei Jahre und sechs Monate ab dem 1. Januar des betreffenden Steuerjahres eindeutig identifiziert worden ist [</w:t>
      </w:r>
      <w:r w:rsidRPr="009118AB">
        <w:rPr>
          <w:sz w:val="20"/>
          <w:szCs w:val="20"/>
        </w:rPr>
        <w:t xml:space="preserve">oder wenn der Betrag der Ausgaben in einer Veranlagung enthalten ist, die in den in den Artikeln 354 Absatz 1 und 2 und 358 erwähnten Fristen </w:t>
      </w:r>
      <w:r w:rsidR="0027187F" w:rsidRPr="009118AB">
        <w:rPr>
          <w:sz w:val="20"/>
          <w:szCs w:val="20"/>
        </w:rPr>
        <w:t>[bei einem steuerpflichtigen Empfänger wie in Artikel 305 Absatz 1 erwähnt mit seinem Einverständnis]</w:t>
      </w:r>
      <w:r w:rsidRPr="009118AB">
        <w:rPr>
          <w:sz w:val="20"/>
          <w:szCs w:val="20"/>
        </w:rPr>
        <w:t xml:space="preserve"> festgelegt wird</w:t>
      </w:r>
      <w:r w:rsidRPr="009118AB">
        <w:rPr>
          <w:iCs/>
          <w:sz w:val="20"/>
          <w:szCs w:val="20"/>
        </w:rPr>
        <w:t>]]</w:t>
      </w:r>
      <w:r w:rsidRPr="009118AB">
        <w:rPr>
          <w:bCs/>
          <w:iCs/>
          <w:sz w:val="20"/>
          <w:szCs w:val="20"/>
        </w:rPr>
        <w:t>,</w:t>
      </w:r>
    </w:p>
    <w:p w14:paraId="2C5F719D" w14:textId="77777777" w:rsidR="00AE2DCB" w:rsidRPr="009118AB" w:rsidRDefault="00AE2DCB" w:rsidP="00AE2DCB">
      <w:pPr>
        <w:autoSpaceDE w:val="0"/>
        <w:autoSpaceDN w:val="0"/>
        <w:adjustRightInd w:val="0"/>
        <w:jc w:val="both"/>
        <w:rPr>
          <w:bCs/>
          <w:iCs/>
          <w:sz w:val="20"/>
          <w:szCs w:val="20"/>
        </w:rPr>
      </w:pPr>
    </w:p>
    <w:p w14:paraId="64966A6D" w14:textId="63456CA5"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[5. [auf die in Artikel 53 </w:t>
      </w:r>
      <w:r w:rsidR="00D67EB8" w:rsidRPr="009118AB">
        <w:rPr>
          <w:bCs/>
          <w:iCs/>
          <w:sz w:val="20"/>
          <w:szCs w:val="20"/>
        </w:rPr>
        <w:t>Nr. </w:t>
      </w:r>
      <w:r w:rsidRPr="009118AB">
        <w:rPr>
          <w:bCs/>
          <w:iCs/>
          <w:sz w:val="20"/>
          <w:szCs w:val="20"/>
        </w:rPr>
        <w:t>24 erwähnten finanziellen Vorteile oder Vorteile jeglicher Art,]]</w:t>
      </w:r>
    </w:p>
    <w:p w14:paraId="797DC1FE" w14:textId="77777777" w:rsidR="00AE2DCB" w:rsidRPr="009118AB" w:rsidRDefault="00AE2DCB" w:rsidP="00AE2DCB">
      <w:pPr>
        <w:autoSpaceDE w:val="0"/>
        <w:autoSpaceDN w:val="0"/>
        <w:adjustRightInd w:val="0"/>
        <w:jc w:val="both"/>
        <w:rPr>
          <w:bCs/>
          <w:iCs/>
          <w:sz w:val="20"/>
          <w:szCs w:val="20"/>
        </w:rPr>
      </w:pPr>
    </w:p>
    <w:p w14:paraId="68882AC7" w14:textId="29464DDD" w:rsidR="00AE2DCB" w:rsidRPr="009118AB" w:rsidRDefault="00AE2DCB" w:rsidP="00AE2DCB">
      <w:pPr>
        <w:autoSpaceDE w:val="0"/>
        <w:autoSpaceDN w:val="0"/>
        <w:adjustRightInd w:val="0"/>
        <w:jc w:val="both"/>
        <w:rPr>
          <w:bCs/>
          <w:iCs/>
          <w:sz w:val="20"/>
          <w:szCs w:val="20"/>
        </w:rPr>
      </w:pPr>
      <w:r w:rsidRPr="009118AB">
        <w:rPr>
          <w:bCs/>
          <w:iCs/>
          <w:sz w:val="20"/>
          <w:szCs w:val="20"/>
        </w:rPr>
        <w:t>[6. [</w:t>
      </w:r>
      <w:r w:rsidRPr="009118AB">
        <w:rPr>
          <w:iCs/>
          <w:sz w:val="20"/>
          <w:szCs w:val="20"/>
        </w:rPr>
        <w:t xml:space="preserve">auf einen Betrag, der 17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w:t>
      </w:r>
      <w:r w:rsidRPr="009118AB">
        <w:rPr>
          <w:bCs/>
          <w:iCs/>
          <w:sz w:val="20"/>
          <w:szCs w:val="20"/>
        </w:rPr>
        <w:t>]]</w:t>
      </w:r>
    </w:p>
    <w:p w14:paraId="4ADDF7B9" w14:textId="77777777" w:rsidR="00AE2DCB" w:rsidRPr="009118AB" w:rsidRDefault="00AE2DCB" w:rsidP="00AE2DCB">
      <w:pPr>
        <w:autoSpaceDE w:val="0"/>
        <w:autoSpaceDN w:val="0"/>
        <w:adjustRightInd w:val="0"/>
        <w:jc w:val="both"/>
        <w:rPr>
          <w:bCs/>
          <w:iCs/>
          <w:sz w:val="20"/>
          <w:szCs w:val="20"/>
        </w:rPr>
      </w:pPr>
    </w:p>
    <w:p w14:paraId="40754F78" w14:textId="3DDC1032" w:rsidR="00AE2DCB" w:rsidRPr="009118AB" w:rsidRDefault="00AE2DCB" w:rsidP="00AE2DCB">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 xml:space="preserve">] </w:t>
      </w:r>
    </w:p>
    <w:p w14:paraId="6F769192" w14:textId="77777777" w:rsidR="00AE2DCB" w:rsidRPr="009118AB" w:rsidRDefault="00AE2DCB" w:rsidP="00AE2DCB">
      <w:pPr>
        <w:autoSpaceDE w:val="0"/>
        <w:autoSpaceDN w:val="0"/>
        <w:adjustRightInd w:val="0"/>
        <w:jc w:val="both"/>
        <w:rPr>
          <w:bCs/>
          <w:iCs/>
          <w:sz w:val="20"/>
          <w:szCs w:val="20"/>
        </w:rPr>
      </w:pPr>
    </w:p>
    <w:p w14:paraId="32BB8C38" w14:textId="0E07FCAA" w:rsidR="00AE2DCB" w:rsidRPr="009118AB" w:rsidRDefault="00AE2DCB" w:rsidP="00AE2DCB">
      <w:pPr>
        <w:autoSpaceDE w:val="0"/>
        <w:autoSpaceDN w:val="0"/>
        <w:adjustRightInd w:val="0"/>
        <w:jc w:val="both"/>
        <w:rPr>
          <w:bCs/>
          <w:iCs/>
          <w:sz w:val="20"/>
          <w:szCs w:val="20"/>
        </w:rPr>
      </w:pPr>
      <w:r w:rsidRPr="009118AB">
        <w:rPr>
          <w:bCs/>
          <w:iCs/>
          <w:sz w:val="20"/>
          <w:szCs w:val="20"/>
        </w:rPr>
        <w:t>[</w:t>
      </w:r>
      <w:r w:rsidRPr="009118AB">
        <w:rPr>
          <w:iCs/>
          <w:sz w:val="20"/>
          <w:szCs w:val="20"/>
        </w:rPr>
        <w:t xml:space="preserve">7. auf einen Betrag, der in Abweichung von </w:t>
      </w:r>
      <w:r w:rsidR="00D67EB8" w:rsidRPr="009118AB">
        <w:rPr>
          <w:iCs/>
          <w:sz w:val="20"/>
          <w:szCs w:val="20"/>
        </w:rPr>
        <w:t>Nr. </w:t>
      </w:r>
      <w:r w:rsidRPr="009118AB">
        <w:rPr>
          <w:iCs/>
          <w:sz w:val="20"/>
          <w:szCs w:val="20"/>
        </w:rPr>
        <w:t xml:space="preserve">6 40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118AB">
        <w:rPr>
          <w:bCs/>
          <w:iCs/>
          <w:sz w:val="20"/>
          <w:szCs w:val="20"/>
        </w:rPr>
        <w:t>]</w:t>
      </w:r>
    </w:p>
    <w:p w14:paraId="5FFF15AF" w14:textId="77777777" w:rsidR="00AE2DCB" w:rsidRPr="009118AB" w:rsidRDefault="00AE2DCB" w:rsidP="00AE2DCB">
      <w:pPr>
        <w:autoSpaceDE w:val="0"/>
        <w:autoSpaceDN w:val="0"/>
        <w:adjustRightInd w:val="0"/>
        <w:jc w:val="both"/>
        <w:rPr>
          <w:bCs/>
          <w:iCs/>
          <w:sz w:val="20"/>
          <w:szCs w:val="20"/>
        </w:rPr>
      </w:pPr>
    </w:p>
    <w:p w14:paraId="57EFD681" w14:textId="09081D7C" w:rsidR="00AE2DCB" w:rsidRPr="009118AB" w:rsidRDefault="00AE2DCB" w:rsidP="00AE2DCB">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w:t>
      </w:r>
    </w:p>
    <w:p w14:paraId="2704FD57" w14:textId="77777777" w:rsidR="00AE2DCB" w:rsidRPr="009118AB" w:rsidRDefault="00AE2DCB" w:rsidP="00AE2DCB">
      <w:pPr>
        <w:autoSpaceDE w:val="0"/>
        <w:autoSpaceDN w:val="0"/>
        <w:adjustRightInd w:val="0"/>
        <w:jc w:val="both"/>
        <w:rPr>
          <w:bCs/>
          <w:iCs/>
          <w:sz w:val="20"/>
          <w:szCs w:val="20"/>
        </w:rPr>
      </w:pPr>
    </w:p>
    <w:p w14:paraId="0577AA5B" w14:textId="67826557" w:rsidR="00AE2DCB" w:rsidRPr="009118AB" w:rsidRDefault="00AE2DCB" w:rsidP="00AE2DCB">
      <w:pPr>
        <w:autoSpaceDE w:val="0"/>
        <w:autoSpaceDN w:val="0"/>
        <w:adjustRightInd w:val="0"/>
        <w:jc w:val="both"/>
        <w:rPr>
          <w:bCs/>
          <w:iCs/>
          <w:sz w:val="20"/>
          <w:szCs w:val="20"/>
        </w:rPr>
      </w:pPr>
      <w:r w:rsidRPr="009118AB">
        <w:rPr>
          <w:bCs/>
          <w:iCs/>
          <w:sz w:val="20"/>
          <w:szCs w:val="20"/>
        </w:rPr>
        <w:t>[8. auf die Kosten in Bezug auf die Nutzung der in Artikel 65 erwähnten Fahrzeuge, die ab dem 1. Januar 2026 gekauft, geleast oder gemietet werden, es sei denn, es handelt sich um ein Fahrzeug, das kein CO</w:t>
      </w:r>
      <w:r w:rsidRPr="009118AB">
        <w:rPr>
          <w:bCs/>
          <w:iCs/>
          <w:sz w:val="20"/>
          <w:szCs w:val="20"/>
          <w:vertAlign w:val="subscript"/>
        </w:rPr>
        <w:t>2</w:t>
      </w:r>
      <w:r w:rsidRPr="009118AB">
        <w:rPr>
          <w:bCs/>
          <w:iCs/>
          <w:sz w:val="20"/>
          <w:szCs w:val="20"/>
        </w:rPr>
        <w:t xml:space="preserve"> ausstößt,]</w:t>
      </w:r>
    </w:p>
    <w:p w14:paraId="1076A8D4" w14:textId="333787E9" w:rsidR="00AE2DCB" w:rsidRPr="009118AB" w:rsidRDefault="00AE2DCB" w:rsidP="00AE2DCB">
      <w:pPr>
        <w:autoSpaceDE w:val="0"/>
        <w:autoSpaceDN w:val="0"/>
        <w:adjustRightInd w:val="0"/>
        <w:jc w:val="both"/>
        <w:rPr>
          <w:bCs/>
          <w:iCs/>
          <w:sz w:val="20"/>
          <w:szCs w:val="20"/>
        </w:rPr>
      </w:pPr>
    </w:p>
    <w:p w14:paraId="7465C6A4" w14:textId="09EEA7D6" w:rsidR="00AE2DCB" w:rsidRPr="009118AB" w:rsidRDefault="00AE2DCB" w:rsidP="00AE2DCB">
      <w:pPr>
        <w:autoSpaceDE w:val="0"/>
        <w:autoSpaceDN w:val="0"/>
        <w:adjustRightInd w:val="0"/>
        <w:jc w:val="both"/>
        <w:rPr>
          <w:bCs/>
          <w:iCs/>
          <w:sz w:val="20"/>
          <w:szCs w:val="20"/>
        </w:rPr>
      </w:pPr>
      <w:r w:rsidRPr="009118AB">
        <w:rPr>
          <w:bCs/>
          <w:iCs/>
          <w:sz w:val="20"/>
          <w:szCs w:val="20"/>
        </w:rPr>
        <w:t>[9. auf einen Betrag, der 5 Prozent der Kosten in Bezug auf die Nutzung der in Artikel 65 erwähnten Fahrzeuge entspricht, die kein CO</w:t>
      </w:r>
      <w:r w:rsidRPr="009118AB">
        <w:rPr>
          <w:bCs/>
          <w:iCs/>
          <w:sz w:val="20"/>
          <w:szCs w:val="20"/>
          <w:vertAlign w:val="subscript"/>
        </w:rPr>
        <w:t>2</w:t>
      </w:r>
      <w:r w:rsidRPr="009118AB">
        <w:rPr>
          <w:bCs/>
          <w:iCs/>
          <w:sz w:val="20"/>
          <w:szCs w:val="20"/>
        </w:rPr>
        <w:t xml:space="preserve"> ausstoßen und 2027 gekauft, geleast oder gemietet werden</w:t>
      </w:r>
      <w:r w:rsidR="00395EAB" w:rsidRPr="009118AB">
        <w:rPr>
          <w:bCs/>
          <w:iCs/>
          <w:sz w:val="20"/>
          <w:szCs w:val="20"/>
        </w:rPr>
        <w:t>,</w:t>
      </w:r>
      <w:r w:rsidRPr="009118AB">
        <w:rPr>
          <w:bCs/>
          <w:iCs/>
          <w:sz w:val="20"/>
          <w:szCs w:val="20"/>
        </w:rPr>
        <w:t>]</w:t>
      </w:r>
    </w:p>
    <w:p w14:paraId="23A96B80" w14:textId="358DCE2A" w:rsidR="00395EAB" w:rsidRPr="009118AB" w:rsidRDefault="00395EAB" w:rsidP="00AE2DCB">
      <w:pPr>
        <w:autoSpaceDE w:val="0"/>
        <w:autoSpaceDN w:val="0"/>
        <w:adjustRightInd w:val="0"/>
        <w:jc w:val="both"/>
        <w:rPr>
          <w:bCs/>
          <w:iCs/>
          <w:sz w:val="20"/>
          <w:szCs w:val="20"/>
        </w:rPr>
      </w:pPr>
    </w:p>
    <w:p w14:paraId="53650C3B" w14:textId="0268EEDE" w:rsidR="00395EAB" w:rsidRPr="009118AB" w:rsidRDefault="00395EAB" w:rsidP="00395EAB">
      <w:pPr>
        <w:autoSpaceDE w:val="0"/>
        <w:autoSpaceDN w:val="0"/>
        <w:adjustRightInd w:val="0"/>
        <w:jc w:val="both"/>
        <w:rPr>
          <w:bCs/>
          <w:iCs/>
          <w:sz w:val="20"/>
          <w:szCs w:val="20"/>
        </w:rPr>
      </w:pPr>
      <w:r w:rsidRPr="009118AB">
        <w:rPr>
          <w:bCs/>
          <w:iCs/>
          <w:sz w:val="20"/>
          <w:szCs w:val="20"/>
        </w:rPr>
        <w:t>[10. auf Provisionen, Maklergebühren, kommerzielle oder andere Ermäßigungen, zufällige oder nicht zufällige Entgelte oder Honorare, Zuwendungen, Vergütungen oder Vorteile jeglicher Art</w:t>
      </w:r>
      <w:r w:rsidR="00D67EB8" w:rsidRPr="009118AB">
        <w:rPr>
          <w:bCs/>
          <w:iCs/>
          <w:sz w:val="20"/>
          <w:szCs w:val="20"/>
        </w:rPr>
        <w:t> - </w:t>
      </w:r>
      <w:r w:rsidRPr="009118AB">
        <w:rPr>
          <w:bCs/>
          <w:iCs/>
          <w:sz w:val="20"/>
          <w:szCs w:val="20"/>
        </w:rPr>
        <w:t>in dem Maße, wie sie sich auf mehr als 3 Prozent der gesamten Bruttoentlohnung des Sportlers belaufen, die während der Dauer des Arbeitsvertrags pro Jahr berechnet wird</w:t>
      </w:r>
      <w:r w:rsidR="00FD68E8" w:rsidRPr="009118AB">
        <w:rPr>
          <w:bCs/>
          <w:iCs/>
          <w:sz w:val="20"/>
          <w:szCs w:val="20"/>
        </w:rPr>
        <w:t> -,</w:t>
      </w:r>
      <w:r w:rsidRPr="009118AB">
        <w:rPr>
          <w:bCs/>
          <w:iCs/>
          <w:sz w:val="20"/>
          <w:szCs w:val="20"/>
        </w:rPr>
        <w:t xml:space="preserve"> die direkt oder indirekt im Rahmen eines Vertrags gezahlt werden, der Folgendes zum Ziel hat:</w:t>
      </w:r>
    </w:p>
    <w:p w14:paraId="66930447" w14:textId="77777777" w:rsidR="00395EAB" w:rsidRPr="009118AB" w:rsidRDefault="00395EAB" w:rsidP="00395EAB">
      <w:pPr>
        <w:autoSpaceDE w:val="0"/>
        <w:autoSpaceDN w:val="0"/>
        <w:adjustRightInd w:val="0"/>
        <w:jc w:val="both"/>
        <w:rPr>
          <w:bCs/>
          <w:iCs/>
          <w:sz w:val="20"/>
          <w:szCs w:val="20"/>
        </w:rPr>
      </w:pPr>
    </w:p>
    <w:p w14:paraId="3118179F"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a)</w:t>
      </w:r>
      <w:r w:rsidRPr="009118AB">
        <w:rPr>
          <w:bCs/>
          <w:iCs/>
          <w:sz w:val="20"/>
          <w:szCs w:val="20"/>
        </w:rPr>
        <w:t> entweder einen Sportler bei Verhandlungen im Hinblick auf den Abschluss, die Verlängerung, Erneuerung oder Beendigung eines Arbeitsvertrags bei einem Sportclub zu unterstützen</w:t>
      </w:r>
    </w:p>
    <w:p w14:paraId="044F03F6" w14:textId="77777777" w:rsidR="00395EAB" w:rsidRPr="009118AB" w:rsidRDefault="00395EAB" w:rsidP="00395EAB">
      <w:pPr>
        <w:autoSpaceDE w:val="0"/>
        <w:autoSpaceDN w:val="0"/>
        <w:adjustRightInd w:val="0"/>
        <w:jc w:val="both"/>
        <w:rPr>
          <w:bCs/>
          <w:iCs/>
          <w:sz w:val="20"/>
          <w:szCs w:val="20"/>
        </w:rPr>
      </w:pPr>
    </w:p>
    <w:p w14:paraId="665795A2" w14:textId="54C86179" w:rsidR="00395EAB" w:rsidRPr="009118AB" w:rsidRDefault="00395EAB" w:rsidP="00395EAB">
      <w:pPr>
        <w:autoSpaceDE w:val="0"/>
        <w:autoSpaceDN w:val="0"/>
        <w:adjustRightInd w:val="0"/>
        <w:jc w:val="both"/>
        <w:rPr>
          <w:bCs/>
          <w:iCs/>
          <w:sz w:val="20"/>
          <w:szCs w:val="20"/>
        </w:rPr>
      </w:pPr>
      <w:r w:rsidRPr="009118AB">
        <w:rPr>
          <w:bCs/>
          <w:i/>
          <w:iCs/>
          <w:sz w:val="20"/>
          <w:szCs w:val="20"/>
        </w:rPr>
        <w:t>b)</w:t>
      </w:r>
      <w:r w:rsidRPr="009118AB">
        <w:rPr>
          <w:bCs/>
          <w:iCs/>
          <w:sz w:val="20"/>
          <w:szCs w:val="20"/>
        </w:rPr>
        <w:t xml:space="preserve"> oder einen in Artikel 270 </w:t>
      </w:r>
      <w:r w:rsidR="00D67EB8" w:rsidRPr="009118AB">
        <w:rPr>
          <w:bCs/>
          <w:iCs/>
          <w:sz w:val="20"/>
          <w:szCs w:val="20"/>
        </w:rPr>
        <w:t>Nr. </w:t>
      </w:r>
      <w:r w:rsidRPr="009118AB">
        <w:rPr>
          <w:bCs/>
          <w:iCs/>
          <w:sz w:val="20"/>
          <w:szCs w:val="20"/>
        </w:rPr>
        <w:t>1 und 3 erwähnten Schuldner des Berufssteuer</w:t>
      </w:r>
      <w:r w:rsidRPr="009118AB">
        <w:rPr>
          <w:bCs/>
          <w:iCs/>
          <w:sz w:val="20"/>
          <w:szCs w:val="20"/>
        </w:rPr>
        <w:softHyphen/>
        <w:t>vorabzugs bei Verhandlungen im Hinblick auf den Abschluss, die Verlängerung, Erneuerung oder Beendigung eines Arbeitsvertrags mit einem Sportler zu unterstützen.</w:t>
      </w:r>
    </w:p>
    <w:p w14:paraId="49145A91" w14:textId="77777777" w:rsidR="00395EAB" w:rsidRPr="009118AB" w:rsidRDefault="00395EAB" w:rsidP="00395EAB">
      <w:pPr>
        <w:autoSpaceDE w:val="0"/>
        <w:autoSpaceDN w:val="0"/>
        <w:adjustRightInd w:val="0"/>
        <w:jc w:val="both"/>
        <w:rPr>
          <w:bCs/>
          <w:iCs/>
          <w:sz w:val="20"/>
          <w:szCs w:val="20"/>
        </w:rPr>
      </w:pPr>
    </w:p>
    <w:p w14:paraId="2CE34A0A"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c)</w:t>
      </w:r>
      <w:r w:rsidRPr="009118AB">
        <w:rPr>
          <w:bCs/>
          <w:iCs/>
          <w:sz w:val="20"/>
          <w:szCs w:val="20"/>
        </w:rPr>
        <w:t> oder eine Ausleihe oder einen definitiven Transfer im Hinblick auf die Ankunft oder den Weggang eines Sportlers zu regeln.]</w:t>
      </w:r>
    </w:p>
    <w:p w14:paraId="269C218C" w14:textId="77777777" w:rsidR="00395EAB" w:rsidRPr="009118AB" w:rsidRDefault="00395EAB" w:rsidP="00395EAB">
      <w:pPr>
        <w:autoSpaceDE w:val="0"/>
        <w:autoSpaceDN w:val="0"/>
        <w:adjustRightInd w:val="0"/>
        <w:jc w:val="both"/>
        <w:rPr>
          <w:bCs/>
          <w:iCs/>
          <w:sz w:val="20"/>
          <w:szCs w:val="20"/>
        </w:rPr>
      </w:pPr>
    </w:p>
    <w:p w14:paraId="56BC0821"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0690BD92" w14:textId="77777777" w:rsidR="00AE2DCB" w:rsidRPr="009118AB" w:rsidRDefault="00AE2DCB" w:rsidP="00AE2DCB">
      <w:pPr>
        <w:autoSpaceDE w:val="0"/>
        <w:autoSpaceDN w:val="0"/>
        <w:adjustRightInd w:val="0"/>
        <w:jc w:val="both"/>
        <w:rPr>
          <w:bCs/>
          <w:iCs/>
          <w:sz w:val="20"/>
          <w:szCs w:val="20"/>
        </w:rPr>
      </w:pPr>
    </w:p>
    <w:p w14:paraId="79C54CDF" w14:textId="31F3D81A"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[Wird ein in [Absatz 1 </w:t>
      </w:r>
      <w:r w:rsidR="00D67EB8" w:rsidRPr="009118AB">
        <w:rPr>
          <w:bCs/>
          <w:iCs/>
          <w:sz w:val="20"/>
          <w:szCs w:val="20"/>
        </w:rPr>
        <w:t>Nr. </w:t>
      </w:r>
      <w:r w:rsidRPr="009118AB">
        <w:rPr>
          <w:bCs/>
          <w:iCs/>
          <w:sz w:val="20"/>
          <w:szCs w:val="20"/>
        </w:rPr>
        <w:t xml:space="preserve">8 und 9] erwähntes Fahrzeug einem Dritten zur Nutzung zu persönlichen Zwecken zur Verfügung gestellt, umfassen die in [Absatz 1 </w:t>
      </w:r>
      <w:r w:rsidR="00D67EB8" w:rsidRPr="009118AB">
        <w:rPr>
          <w:bCs/>
          <w:iCs/>
          <w:sz w:val="20"/>
          <w:szCs w:val="20"/>
        </w:rPr>
        <w:t>Nr. </w:t>
      </w:r>
      <w:r w:rsidRPr="009118AB">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2123081E" w14:textId="77777777" w:rsidR="00AE2DCB" w:rsidRPr="009118AB" w:rsidRDefault="00AE2DCB" w:rsidP="00AE2DCB">
      <w:pPr>
        <w:autoSpaceDE w:val="0"/>
        <w:autoSpaceDN w:val="0"/>
        <w:adjustRightInd w:val="0"/>
        <w:jc w:val="both"/>
        <w:rPr>
          <w:bCs/>
          <w:iCs/>
          <w:sz w:val="20"/>
          <w:szCs w:val="20"/>
        </w:rPr>
      </w:pPr>
    </w:p>
    <w:p w14:paraId="57FB192D" w14:textId="1CB3DC37" w:rsidR="00AE2DCB" w:rsidRPr="009118AB" w:rsidRDefault="00AE2DCB" w:rsidP="00AE2DCB">
      <w:pPr>
        <w:autoSpaceDE w:val="0"/>
        <w:autoSpaceDN w:val="0"/>
        <w:adjustRightInd w:val="0"/>
        <w:jc w:val="both"/>
        <w:rPr>
          <w:bCs/>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234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3 ersetzt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w:t>
      </w:r>
      <w:r w:rsidR="00D20B96" w:rsidRPr="009118AB">
        <w:rPr>
          <w:bCs/>
          <w:i/>
          <w:iCs/>
          <w:sz w:val="20"/>
          <w:szCs w:val="20"/>
        </w:rPr>
        <w:t xml:space="preserve">einziger Absatz einleitende Bestimmung </w:t>
      </w:r>
      <w:r w:rsidRPr="009118AB">
        <w:rPr>
          <w:bCs/>
          <w:i/>
          <w:iCs/>
          <w:sz w:val="20"/>
          <w:szCs w:val="20"/>
        </w:rPr>
        <w:t xml:space="preserve">abgeändert durch </w:t>
      </w:r>
      <w:r w:rsidR="00D67EB8" w:rsidRPr="009118AB">
        <w:rPr>
          <w:bCs/>
          <w:i/>
          <w:iCs/>
          <w:sz w:val="20"/>
          <w:szCs w:val="20"/>
        </w:rPr>
        <w:t>Art. </w:t>
      </w:r>
      <w:r w:rsidRPr="009118AB">
        <w:rPr>
          <w:bCs/>
          <w:i/>
          <w:iCs/>
          <w:sz w:val="20"/>
          <w:szCs w:val="20"/>
        </w:rPr>
        <w:t>24 des G. (I) vom 27. Dezember 2006 (I)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34</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74 Buchstabe a) und b)</w:t>
      </w:r>
      <w:r w:rsidRPr="009118AB">
        <w:rPr>
          <w:bCs/>
          <w:i/>
          <w:iCs/>
          <w:sz w:val="20"/>
          <w:szCs w:val="20"/>
        </w:rPr>
        <w:t xml:space="preserve"> des G. vom 27. Juni 2021 (B.S. vom 30. Juni 2021)</w:t>
      </w:r>
      <w:r w:rsidR="000A16EB" w:rsidRPr="009118AB">
        <w:rPr>
          <w:bCs/>
          <w:i/>
          <w:iCs/>
          <w:sz w:val="20"/>
          <w:szCs w:val="20"/>
        </w:rPr>
        <w:t>,</w:t>
      </w:r>
      <w:r w:rsidR="003D5682" w:rsidRPr="009118AB">
        <w:rPr>
          <w:i/>
          <w:iCs/>
          <w:sz w:val="20"/>
          <w:szCs w:val="20"/>
        </w:rPr>
        <w:t xml:space="preserve"> </w:t>
      </w:r>
      <w:r w:rsidR="00D67EB8" w:rsidRPr="009118AB">
        <w:rPr>
          <w:i/>
          <w:iCs/>
          <w:sz w:val="20"/>
          <w:szCs w:val="20"/>
        </w:rPr>
        <w:t>Art. </w:t>
      </w:r>
      <w:r w:rsidR="003D5682" w:rsidRPr="009118AB">
        <w:rPr>
          <w:i/>
          <w:iCs/>
          <w:sz w:val="20"/>
          <w:szCs w:val="20"/>
        </w:rPr>
        <w:t>50</w:t>
      </w:r>
      <w:r w:rsidR="003D5682" w:rsidRPr="009118AB">
        <w:rPr>
          <w:bCs/>
          <w:i/>
          <w:iCs/>
          <w:sz w:val="20"/>
          <w:szCs w:val="20"/>
        </w:rPr>
        <w:t xml:space="preserve"> des G. vom 21. Januar 2022 (B.S. vom 28. Januar 2022)</w:t>
      </w:r>
      <w:r w:rsidR="00D67EB8" w:rsidRPr="009118AB">
        <w:rPr>
          <w:bCs/>
          <w:i/>
          <w:iCs/>
          <w:sz w:val="20"/>
          <w:szCs w:val="20"/>
        </w:rPr>
        <w:t> - </w:t>
      </w:r>
      <w:r w:rsidR="003D5682"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0A16EB" w:rsidRPr="009118AB">
        <w:rPr>
          <w:bCs/>
          <w:i/>
          <w:iCs/>
          <w:sz w:val="20"/>
          <w:szCs w:val="20"/>
        </w:rPr>
        <w:t xml:space="preserve"> und Art. 27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27187F" w:rsidRPr="009118AB">
        <w:rPr>
          <w:bCs/>
          <w:i/>
          <w:iCs/>
          <w:sz w:val="20"/>
          <w:szCs w:val="20"/>
        </w:rPr>
        <w:t xml:space="preserve">Abs. 1 Nr. 4 einziger Absatz zweiter Gedankenstrich abgeändert durch </w:t>
      </w:r>
      <w:r w:rsidR="0027187F" w:rsidRPr="009118AB">
        <w:rPr>
          <w:rFonts w:ascii="Times New Roman Italique" w:hAnsi="Times New Roman Italique"/>
          <w:bCs/>
          <w:i/>
          <w:iCs/>
          <w:spacing w:val="-2"/>
          <w:sz w:val="20"/>
          <w:szCs w:val="20"/>
        </w:rPr>
        <w:t xml:space="preserve">Art. 31 des G. vom 5. Juli 2022 (B.S. vom 15. Juli 2022);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5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55 des G. vom 10. März 1999 (B.S. vom 14. April 1999)</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ab dem 14. April 1999 verliehene Aktien oder Anteile</w:t>
      </w:r>
      <w:r w:rsidR="00FD68E8" w:rsidRPr="009118AB">
        <w:rPr>
          <w:rFonts w:ascii="Times New Roman Italique" w:hAnsi="Times New Roman Italique"/>
          <w:bCs/>
          <w:i/>
          <w:iCs/>
          <w:spacing w:val="-2"/>
          <w:sz w:val="20"/>
          <w:szCs w:val="20"/>
        </w:rPr>
        <w:t> -,</w:t>
      </w:r>
      <w:r w:rsidRPr="009118AB">
        <w:rPr>
          <w:rFonts w:ascii="Times New Roman Italique" w:hAnsi="Times New Roman Italique"/>
          <w:bCs/>
          <w:i/>
          <w:iCs/>
          <w:spacing w:val="-2"/>
          <w:sz w:val="20"/>
          <w:szCs w:val="20"/>
        </w:rPr>
        <w:t xml:space="preserve"> aufgehoben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51 des G. vom 15. Dezember 2004 (B.S. vom 1. Februar 2005)</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Aktien-</w:t>
      </w:r>
      <w:r w:rsidRPr="009118AB">
        <w:rPr>
          <w:bCs/>
          <w:i/>
          <w:iCs/>
          <w:sz w:val="20"/>
          <w:szCs w:val="20"/>
        </w:rPr>
        <w:t xml:space="preserve">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138 des G.</w:t>
      </w:r>
      <w:r w:rsidR="003D5682" w:rsidRPr="009118AB">
        <w:rPr>
          <w:bCs/>
          <w:i/>
          <w:iCs/>
          <w:sz w:val="20"/>
          <w:szCs w:val="20"/>
        </w:rPr>
        <w:t> </w:t>
      </w:r>
      <w:r w:rsidRPr="009118AB">
        <w:rPr>
          <w:bCs/>
          <w:i/>
          <w:iCs/>
          <w:sz w:val="20"/>
          <w:szCs w:val="20"/>
        </w:rPr>
        <w:t>(I) vom 22. Dezember 2008 (II) (B.S. vom 29. Dezember 2008)</w:t>
      </w:r>
      <w:r w:rsidR="00D67EB8" w:rsidRPr="009118AB">
        <w:rPr>
          <w:bCs/>
          <w:i/>
          <w:iCs/>
          <w:sz w:val="20"/>
          <w:szCs w:val="20"/>
        </w:rPr>
        <w:t> - </w:t>
      </w:r>
      <w:r w:rsidRPr="009118AB">
        <w:rPr>
          <w:bCs/>
          <w:i/>
          <w:iCs/>
          <w:sz w:val="20"/>
          <w:szCs w:val="20"/>
        </w:rPr>
        <w:t>in Kraft am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6 eingefügt </w:t>
      </w:r>
      <w:r w:rsidRPr="009118AB">
        <w:rPr>
          <w:i/>
          <w:iCs/>
          <w:sz w:val="20"/>
          <w:szCs w:val="20"/>
        </w:rPr>
        <w:t xml:space="preserve">durch </w:t>
      </w:r>
      <w:r w:rsidR="00D67EB8" w:rsidRPr="009118AB">
        <w:rPr>
          <w:i/>
          <w:iCs/>
          <w:sz w:val="20"/>
          <w:szCs w:val="20"/>
        </w:rPr>
        <w:t>Art. </w:t>
      </w:r>
      <w:r w:rsidRPr="009118AB">
        <w:rPr>
          <w:i/>
          <w:iCs/>
          <w:sz w:val="20"/>
          <w:szCs w:val="20"/>
        </w:rPr>
        <w:t xml:space="preserve">49 </w:t>
      </w:r>
      <w:r w:rsidRPr="009118AB">
        <w:rPr>
          <w:bCs/>
          <w:i/>
          <w:iCs/>
          <w:sz w:val="20"/>
          <w:szCs w:val="20"/>
        </w:rPr>
        <w:t>des G. vom 28. Dezember 2011 (B.S. vom 30. Dezember 2011)</w:t>
      </w:r>
      <w:r w:rsidR="00D67EB8" w:rsidRPr="009118AB">
        <w:rPr>
          <w:bCs/>
          <w:i/>
          <w:iCs/>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71 Buchstabe a) des G. vom 25. Dezember 2016 (I) (B.S. vom 29. Dezember 2016)</w:t>
      </w:r>
      <w:r w:rsidR="00D67EB8" w:rsidRPr="009118AB">
        <w:rPr>
          <w:i/>
          <w:iCs/>
          <w:sz w:val="20"/>
          <w:szCs w:val="20"/>
        </w:rPr>
        <w:t> - </w:t>
      </w:r>
      <w:r w:rsidRPr="009118AB">
        <w:rPr>
          <w:i/>
          <w:iCs/>
          <w:sz w:val="20"/>
          <w:szCs w:val="20"/>
        </w:rPr>
        <w:t>in Kraft und anwendbar ab dem 1. Januar 2017</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63 </w:t>
      </w:r>
      <w:r w:rsidR="00D67EB8" w:rsidRPr="009118AB">
        <w:rPr>
          <w:i/>
          <w:iCs/>
          <w:sz w:val="20"/>
          <w:szCs w:val="20"/>
        </w:rPr>
        <w:t>Nr. </w:t>
      </w:r>
      <w:r w:rsidRPr="009118AB">
        <w:rPr>
          <w:i/>
          <w:iCs/>
          <w:sz w:val="20"/>
          <w:szCs w:val="20"/>
        </w:rPr>
        <w:t>1 des G. vom 25. Dezember 2017 (III) (B.S. vom 29. Dezember 2017)</w:t>
      </w:r>
      <w:r w:rsidR="00D67EB8" w:rsidRPr="009118AB">
        <w:rPr>
          <w:i/>
          <w:iCs/>
          <w:sz w:val="20"/>
          <w:szCs w:val="20"/>
        </w:rPr>
        <w:t> - </w:t>
      </w:r>
      <w:r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6bis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1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 xml:space="preserve">11/2020 des Verfassungsgerichtshofes vom 23. Januar 2020 (B.S. vom 24. Februar 2020); </w:t>
      </w:r>
      <w:r w:rsidR="00D67EB8" w:rsidRPr="009118AB">
        <w:rPr>
          <w:i/>
          <w:iCs/>
          <w:sz w:val="20"/>
          <w:szCs w:val="20"/>
        </w:rPr>
        <w:t>Abs. </w:t>
      </w:r>
      <w:r w:rsidR="00B04FF4" w:rsidRPr="009118AB">
        <w:rPr>
          <w:i/>
          <w:iCs/>
          <w:sz w:val="20"/>
          <w:szCs w:val="20"/>
        </w:rPr>
        <w:t xml:space="preserve">1 </w:t>
      </w:r>
      <w:r w:rsidR="00D67EB8" w:rsidRPr="009118AB">
        <w:rPr>
          <w:i/>
          <w:iCs/>
          <w:sz w:val="20"/>
          <w:szCs w:val="20"/>
        </w:rPr>
        <w:t>Nr. </w:t>
      </w:r>
      <w:r w:rsidR="00B04FF4" w:rsidRPr="009118AB">
        <w:rPr>
          <w:i/>
          <w:iCs/>
          <w:sz w:val="20"/>
          <w:szCs w:val="20"/>
        </w:rPr>
        <w:t xml:space="preserve">7 eingefügt durch </w:t>
      </w:r>
      <w:r w:rsidR="00D67EB8" w:rsidRPr="009118AB">
        <w:rPr>
          <w:i/>
          <w:iCs/>
          <w:sz w:val="20"/>
          <w:szCs w:val="20"/>
        </w:rPr>
        <w:t>Art. </w:t>
      </w:r>
      <w:r w:rsidR="00B04FF4" w:rsidRPr="009118AB">
        <w:rPr>
          <w:i/>
          <w:iCs/>
          <w:sz w:val="20"/>
          <w:szCs w:val="20"/>
        </w:rPr>
        <w:t>71 Buchstabe b) des G. vom 25. Dezember 2016 (I) (B.S. vom 29. Dezember 2016)</w:t>
      </w:r>
      <w:r w:rsidR="00D67EB8" w:rsidRPr="009118AB">
        <w:rPr>
          <w:i/>
          <w:iCs/>
          <w:sz w:val="20"/>
          <w:szCs w:val="20"/>
        </w:rPr>
        <w:t> - </w:t>
      </w:r>
      <w:r w:rsidR="00B04FF4" w:rsidRPr="009118AB">
        <w:rPr>
          <w:i/>
          <w:iCs/>
          <w:sz w:val="20"/>
          <w:szCs w:val="20"/>
        </w:rPr>
        <w:t>in Kraft und anwendbar ab dem 1. Januar 2017</w:t>
      </w:r>
      <w:r w:rsidR="00D67EB8" w:rsidRPr="009118AB">
        <w:rPr>
          <w:i/>
          <w:iCs/>
          <w:sz w:val="20"/>
          <w:szCs w:val="20"/>
        </w:rPr>
        <w:t> - </w:t>
      </w:r>
      <w:r w:rsidR="00B04FF4" w:rsidRPr="009118AB">
        <w:rPr>
          <w:i/>
          <w:iCs/>
          <w:sz w:val="20"/>
          <w:szCs w:val="20"/>
        </w:rPr>
        <w:t xml:space="preserve">und abgeändert durch </w:t>
      </w:r>
      <w:r w:rsidR="00D67EB8" w:rsidRPr="009118AB">
        <w:rPr>
          <w:i/>
          <w:iCs/>
          <w:sz w:val="20"/>
          <w:szCs w:val="20"/>
        </w:rPr>
        <w:t>Art. </w:t>
      </w:r>
      <w:r w:rsidR="00B04FF4" w:rsidRPr="009118AB">
        <w:rPr>
          <w:i/>
          <w:iCs/>
          <w:sz w:val="20"/>
          <w:szCs w:val="20"/>
        </w:rPr>
        <w:t xml:space="preserve">63 </w:t>
      </w:r>
      <w:r w:rsidR="00D67EB8" w:rsidRPr="009118AB">
        <w:rPr>
          <w:i/>
          <w:iCs/>
          <w:sz w:val="20"/>
          <w:szCs w:val="20"/>
        </w:rPr>
        <w:t>Nr. </w:t>
      </w:r>
      <w:r w:rsidR="00B04FF4" w:rsidRPr="009118AB">
        <w:rPr>
          <w:i/>
          <w:iCs/>
          <w:sz w:val="20"/>
          <w:szCs w:val="20"/>
        </w:rPr>
        <w:t>2 des G. vom 25. Dezember 2017 (III) (B.S. vom 29. Dezember 2017)</w:t>
      </w:r>
      <w:r w:rsidR="00D67EB8" w:rsidRPr="009118AB">
        <w:rPr>
          <w:i/>
          <w:iCs/>
          <w:sz w:val="20"/>
          <w:szCs w:val="20"/>
        </w:rPr>
        <w:t> - </w:t>
      </w:r>
      <w:r w:rsidR="00B04FF4"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00B04FF4"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7bis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2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11/2020 des Verfassungsgerichtshofes vom 23. Januar 2020 (B.S. vom 24. Februar 2020);</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8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1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9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lastRenderedPageBreak/>
        <w:t>Nr. </w:t>
      </w:r>
      <w:r w:rsidRPr="009118AB">
        <w:rPr>
          <w:i/>
          <w:iCs/>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395EAB" w:rsidRPr="009118AB">
        <w:rPr>
          <w:i/>
          <w:iCs/>
          <w:sz w:val="20"/>
          <w:szCs w:val="20"/>
        </w:rPr>
        <w:t xml:space="preserve">1 </w:t>
      </w:r>
      <w:r w:rsidR="00D67EB8" w:rsidRPr="009118AB">
        <w:rPr>
          <w:i/>
          <w:iCs/>
          <w:sz w:val="20"/>
          <w:szCs w:val="20"/>
        </w:rPr>
        <w:t>Nr. </w:t>
      </w:r>
      <w:r w:rsidR="00395EAB" w:rsidRPr="009118AB">
        <w:rPr>
          <w:i/>
          <w:iCs/>
          <w:sz w:val="20"/>
          <w:szCs w:val="20"/>
        </w:rPr>
        <w:t xml:space="preserve">10 eingefügt durch </w:t>
      </w:r>
      <w:r w:rsidR="00D67EB8" w:rsidRPr="009118AB">
        <w:rPr>
          <w:i/>
          <w:iCs/>
          <w:sz w:val="20"/>
          <w:szCs w:val="20"/>
        </w:rPr>
        <w:t>Art. </w:t>
      </w:r>
      <w:r w:rsidR="00395EAB" w:rsidRPr="009118AB">
        <w:rPr>
          <w:i/>
          <w:iCs/>
          <w:sz w:val="20"/>
          <w:szCs w:val="20"/>
        </w:rPr>
        <w:t>9 des G. vom 27. Dezember 2021 (B.S. vom 31. Dezember 2021)</w:t>
      </w:r>
      <w:r w:rsidR="00D67EB8" w:rsidRPr="009118AB">
        <w:rPr>
          <w:i/>
          <w:iCs/>
          <w:sz w:val="20"/>
          <w:szCs w:val="20"/>
        </w:rPr>
        <w:t> - </w:t>
      </w:r>
      <w:r w:rsidR="00395EAB" w:rsidRPr="009118AB">
        <w:rPr>
          <w:i/>
          <w:iCs/>
          <w:sz w:val="20"/>
          <w:szCs w:val="20"/>
        </w:rPr>
        <w:t>anwendbar ab dem 1. Januar 2022</w:t>
      </w:r>
      <w:r w:rsidR="003366D9" w:rsidRPr="009118AB">
        <w:rPr>
          <w:i/>
          <w:iCs/>
          <w:sz w:val="20"/>
          <w:szCs w:val="20"/>
        </w:rPr>
        <w:t> -;</w:t>
      </w:r>
      <w:r w:rsidR="00395EAB" w:rsidRPr="009118AB">
        <w:rPr>
          <w:i/>
          <w:iCs/>
          <w:sz w:val="20"/>
          <w:szCs w:val="20"/>
        </w:rPr>
        <w:t xml:space="preserve"> </w:t>
      </w:r>
      <w:r w:rsidR="00D67EB8" w:rsidRPr="009118AB">
        <w:rPr>
          <w:bCs/>
          <w:i/>
          <w:iCs/>
          <w:sz w:val="20"/>
          <w:szCs w:val="20"/>
        </w:rPr>
        <w:t>Abs. </w:t>
      </w:r>
      <w:r w:rsidRPr="009118AB">
        <w:rPr>
          <w:bCs/>
          <w:i/>
          <w:iCs/>
          <w:sz w:val="20"/>
          <w:szCs w:val="20"/>
        </w:rPr>
        <w:t xml:space="preserve">2 eingefügt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9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8 </w:t>
      </w:r>
      <w:r w:rsidR="00D67EB8" w:rsidRPr="009118AB">
        <w:rPr>
          <w:bCs/>
          <w:i/>
          <w:iCs/>
          <w:sz w:val="20"/>
          <w:szCs w:val="20"/>
        </w:rPr>
        <w:t>Nr. </w:t>
      </w:r>
      <w:r w:rsidRPr="009118AB">
        <w:rPr>
          <w:bCs/>
          <w:i/>
          <w:iCs/>
          <w:sz w:val="20"/>
          <w:szCs w:val="20"/>
        </w:rPr>
        <w:t>7</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8</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bCs/>
          <w:sz w:val="20"/>
          <w:szCs w:val="20"/>
        </w:rPr>
        <w:t>"</w:t>
      </w:r>
    </w:p>
    <w:p w14:paraId="6A1D677C" w14:textId="0517F863" w:rsidR="00AE2DCB" w:rsidRPr="009118AB" w:rsidRDefault="00AE2DCB" w:rsidP="00AE2DCB">
      <w:pPr>
        <w:autoSpaceDE w:val="0"/>
        <w:autoSpaceDN w:val="0"/>
        <w:adjustRightInd w:val="0"/>
        <w:jc w:val="both"/>
        <w:rPr>
          <w:bCs/>
          <w:sz w:val="20"/>
          <w:szCs w:val="20"/>
        </w:rPr>
      </w:pPr>
    </w:p>
    <w:p w14:paraId="03A09681" w14:textId="42BA909B" w:rsidR="00AE2DCB" w:rsidRPr="009118AB" w:rsidRDefault="00AE2DCB" w:rsidP="00AE2DCB">
      <w:pPr>
        <w:autoSpaceDE w:val="0"/>
        <w:autoSpaceDN w:val="0"/>
        <w:adjustRightInd w:val="0"/>
        <w:jc w:val="both"/>
        <w:rPr>
          <w:bCs/>
          <w:sz w:val="20"/>
          <w:szCs w:val="20"/>
        </w:rPr>
      </w:pPr>
    </w:p>
    <w:p w14:paraId="37CB9B5D" w14:textId="56A88AD1" w:rsidR="00AE2DCB" w:rsidRPr="009118AB" w:rsidRDefault="00AE2DCB" w:rsidP="00AE2DCB">
      <w:pPr>
        <w:autoSpaceDE w:val="0"/>
        <w:autoSpaceDN w:val="0"/>
        <w:adjustRightInd w:val="0"/>
        <w:jc w:val="both"/>
        <w:rPr>
          <w:sz w:val="20"/>
          <w:szCs w:val="20"/>
        </w:rPr>
      </w:pPr>
      <w:r w:rsidRPr="009118AB">
        <w:rPr>
          <w:sz w:val="20"/>
          <w:szCs w:val="20"/>
        </w:rPr>
        <w:t xml:space="preserve">Ab dem 1. Januar 2028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8 des G. vom 25. November 2021 (B.S. vom 3. Dezember 2021)) lautet </w:t>
      </w:r>
      <w:r w:rsidR="00D67EB8" w:rsidRPr="009118AB">
        <w:rPr>
          <w:sz w:val="20"/>
          <w:szCs w:val="20"/>
        </w:rPr>
        <w:t>Art. </w:t>
      </w:r>
      <w:r w:rsidRPr="009118AB">
        <w:rPr>
          <w:sz w:val="20"/>
          <w:szCs w:val="20"/>
        </w:rPr>
        <w:t>234 wie folgt:</w:t>
      </w:r>
    </w:p>
    <w:p w14:paraId="55526F69" w14:textId="77777777" w:rsidR="00D20B96" w:rsidRPr="009118AB" w:rsidRDefault="00D20B96" w:rsidP="00AE2DCB">
      <w:pPr>
        <w:autoSpaceDE w:val="0"/>
        <w:autoSpaceDN w:val="0"/>
        <w:adjustRightInd w:val="0"/>
        <w:jc w:val="both"/>
        <w:rPr>
          <w:sz w:val="20"/>
          <w:szCs w:val="20"/>
        </w:rPr>
      </w:pPr>
    </w:p>
    <w:p w14:paraId="53CDA7DE" w14:textId="1BE63FEC" w:rsidR="00AE2DCB" w:rsidRPr="009118AB" w:rsidRDefault="00AE2DCB" w:rsidP="00AE2DCB">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234</w:t>
      </w:r>
      <w:r w:rsidR="00D67EB8" w:rsidRPr="009118AB">
        <w:rPr>
          <w:sz w:val="20"/>
          <w:szCs w:val="20"/>
        </w:rPr>
        <w:t> - </w:t>
      </w:r>
      <w:r w:rsidRPr="009118AB">
        <w:rPr>
          <w:bCs/>
          <w:iCs/>
          <w:sz w:val="20"/>
          <w:szCs w:val="20"/>
        </w:rPr>
        <w:t xml:space="preserve">In Bezug auf die in Artikel 227 </w:t>
      </w:r>
      <w:r w:rsidR="00D67EB8" w:rsidRPr="009118AB">
        <w:rPr>
          <w:bCs/>
          <w:iCs/>
          <w:sz w:val="20"/>
          <w:szCs w:val="20"/>
        </w:rPr>
        <w:t>Nr. </w:t>
      </w:r>
      <w:r w:rsidRPr="009118AB">
        <w:rPr>
          <w:bCs/>
          <w:iCs/>
          <w:sz w:val="20"/>
          <w:szCs w:val="20"/>
        </w:rPr>
        <w:t>3 erwähnten Steuerpflichtigen wird die Steuer festgelegt:</w:t>
      </w:r>
    </w:p>
    <w:p w14:paraId="13ADD421" w14:textId="77777777" w:rsidR="00AE2DCB" w:rsidRPr="009118AB" w:rsidRDefault="00AE2DCB" w:rsidP="00AE2DCB">
      <w:pPr>
        <w:autoSpaceDE w:val="0"/>
        <w:autoSpaceDN w:val="0"/>
        <w:adjustRightInd w:val="0"/>
        <w:jc w:val="both"/>
        <w:rPr>
          <w:bCs/>
          <w:iCs/>
          <w:sz w:val="20"/>
          <w:szCs w:val="20"/>
        </w:rPr>
      </w:pPr>
    </w:p>
    <w:p w14:paraId="0EAFBFB9"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1. auf den Teil des Nettobetrags des Mietpreises und der Mietvorteile ihrer in Belgien gelegenen unbeweglichen Güter, der das Katastereinkommen dieser Güter übersteigt, außer wenn es sich handelt um:</w:t>
      </w:r>
    </w:p>
    <w:p w14:paraId="075AC57F" w14:textId="77777777" w:rsidR="00AE2DCB" w:rsidRPr="009118AB" w:rsidRDefault="00AE2DCB" w:rsidP="00AE2DCB">
      <w:pPr>
        <w:autoSpaceDE w:val="0"/>
        <w:autoSpaceDN w:val="0"/>
        <w:adjustRightInd w:val="0"/>
        <w:jc w:val="both"/>
        <w:rPr>
          <w:bCs/>
          <w:iCs/>
          <w:sz w:val="20"/>
          <w:szCs w:val="20"/>
        </w:rPr>
      </w:pPr>
    </w:p>
    <w:p w14:paraId="40574FD6"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 Güter, die an eine natürliche Person vermietet sind, die diese Güter weder ganz noch teilweise zur Ausübung ihrer Berufstätigkeit nutzt,</w:t>
      </w:r>
    </w:p>
    <w:p w14:paraId="709E8F25" w14:textId="77777777" w:rsidR="00AE2DCB" w:rsidRPr="009118AB" w:rsidRDefault="00AE2DCB" w:rsidP="00AE2DCB">
      <w:pPr>
        <w:autoSpaceDE w:val="0"/>
        <w:autoSpaceDN w:val="0"/>
        <w:adjustRightInd w:val="0"/>
        <w:jc w:val="both"/>
        <w:rPr>
          <w:bCs/>
          <w:iCs/>
          <w:sz w:val="20"/>
          <w:szCs w:val="20"/>
        </w:rPr>
      </w:pPr>
    </w:p>
    <w:p w14:paraId="0DE66672"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 Güter, die gemäß den Rechtsvorschriften über den Landpachtvertrag vermietet sind und vom Mieter zu landwirtschaftlichen oder gartenbaulichen Zwecken genutzt werden,</w:t>
      </w:r>
    </w:p>
    <w:p w14:paraId="5AF4DB62" w14:textId="77777777" w:rsidR="00AE2DCB" w:rsidRPr="009118AB" w:rsidRDefault="00AE2DCB" w:rsidP="00AE2DCB">
      <w:pPr>
        <w:autoSpaceDE w:val="0"/>
        <w:autoSpaceDN w:val="0"/>
        <w:adjustRightInd w:val="0"/>
        <w:jc w:val="both"/>
        <w:rPr>
          <w:bCs/>
          <w:iCs/>
          <w:sz w:val="20"/>
          <w:szCs w:val="20"/>
        </w:rPr>
      </w:pPr>
    </w:p>
    <w:p w14:paraId="7E9132BD" w14:textId="1157746F"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 andere Güter unter der Bedingung, dass der Mieter keine Gewinnerzielungsabsicht verfolgt und diese Güter zu einem der in Artikel 12 </w:t>
      </w:r>
      <w:r w:rsidR="00D67EB8" w:rsidRPr="009118AB">
        <w:rPr>
          <w:bCs/>
          <w:iCs/>
          <w:sz w:val="20"/>
          <w:szCs w:val="20"/>
        </w:rPr>
        <w:t>§ </w:t>
      </w:r>
      <w:r w:rsidRPr="009118AB">
        <w:rPr>
          <w:bCs/>
          <w:iCs/>
          <w:sz w:val="20"/>
          <w:szCs w:val="20"/>
        </w:rPr>
        <w:t>1 vorgesehenen Zwecke nutzt,</w:t>
      </w:r>
    </w:p>
    <w:p w14:paraId="23546B55" w14:textId="77777777" w:rsidR="00AE2DCB" w:rsidRPr="009118AB" w:rsidRDefault="00AE2DCB" w:rsidP="00AE2DCB">
      <w:pPr>
        <w:autoSpaceDE w:val="0"/>
        <w:autoSpaceDN w:val="0"/>
        <w:adjustRightInd w:val="0"/>
        <w:jc w:val="both"/>
        <w:rPr>
          <w:bCs/>
          <w:iCs/>
          <w:sz w:val="20"/>
          <w:szCs w:val="20"/>
        </w:rPr>
      </w:pPr>
    </w:p>
    <w:p w14:paraId="78A65A4B" w14:textId="70058FE3"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118AB">
        <w:rPr>
          <w:bCs/>
          <w:iCs/>
          <w:sz w:val="20"/>
          <w:szCs w:val="20"/>
        </w:rPr>
        <w:t>Nr. </w:t>
      </w:r>
      <w:r w:rsidRPr="009118AB">
        <w:rPr>
          <w:bCs/>
          <w:iCs/>
          <w:sz w:val="20"/>
          <w:szCs w:val="20"/>
        </w:rPr>
        <w:t>1 vorgesehenen Ausnahmen auch hier gelten,</w:t>
      </w:r>
    </w:p>
    <w:p w14:paraId="20E2D4DA" w14:textId="77777777" w:rsidR="00AE2DCB" w:rsidRPr="009118AB" w:rsidRDefault="00AE2DCB" w:rsidP="00AE2DCB">
      <w:pPr>
        <w:autoSpaceDE w:val="0"/>
        <w:autoSpaceDN w:val="0"/>
        <w:adjustRightInd w:val="0"/>
        <w:jc w:val="both"/>
        <w:rPr>
          <w:bCs/>
          <w:iCs/>
          <w:sz w:val="20"/>
          <w:szCs w:val="20"/>
        </w:rPr>
      </w:pPr>
    </w:p>
    <w:p w14:paraId="390C6E5C" w14:textId="7F9CF078"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3. [auf die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auf die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118AB">
        <w:rPr>
          <w:bCs/>
          <w:iCs/>
          <w:sz w:val="20"/>
          <w:szCs w:val="20"/>
        </w:rPr>
        <w:t>Nr. </w:t>
      </w:r>
      <w:r w:rsidRPr="009118AB">
        <w:rPr>
          <w:bCs/>
          <w:iCs/>
          <w:sz w:val="20"/>
          <w:szCs w:val="20"/>
        </w:rPr>
        <w:t>23 erwähnten Kapitalien,]</w:t>
      </w:r>
    </w:p>
    <w:p w14:paraId="2CF29DFC" w14:textId="77777777" w:rsidR="00AE2DCB" w:rsidRPr="009118AB" w:rsidRDefault="00AE2DCB" w:rsidP="00AE2DCB">
      <w:pPr>
        <w:autoSpaceDE w:val="0"/>
        <w:autoSpaceDN w:val="0"/>
        <w:adjustRightInd w:val="0"/>
        <w:jc w:val="both"/>
        <w:rPr>
          <w:bCs/>
          <w:iCs/>
          <w:sz w:val="20"/>
          <w:szCs w:val="20"/>
        </w:rPr>
      </w:pPr>
    </w:p>
    <w:p w14:paraId="72A388DD" w14:textId="4D95B625" w:rsidR="00AE2DCB" w:rsidRPr="009118AB" w:rsidRDefault="00AE2DCB" w:rsidP="00AE2DCB">
      <w:pPr>
        <w:autoSpaceDE w:val="0"/>
        <w:autoSpaceDN w:val="0"/>
        <w:adjustRightInd w:val="0"/>
        <w:jc w:val="both"/>
        <w:rPr>
          <w:iCs/>
          <w:sz w:val="20"/>
          <w:szCs w:val="20"/>
        </w:rPr>
      </w:pPr>
      <w:r w:rsidRPr="009118AB">
        <w:rPr>
          <w:bCs/>
          <w:iCs/>
          <w:sz w:val="20"/>
          <w:szCs w:val="20"/>
        </w:rPr>
        <w:t xml:space="preserve">4. auf [die in </w:t>
      </w:r>
      <w:r w:rsidRPr="009118AB">
        <w:rPr>
          <w:iCs/>
          <w:sz w:val="20"/>
          <w:szCs w:val="20"/>
        </w:rPr>
        <w:t xml:space="preserve">[Artikel 57 Absatz 1] </w:t>
      </w:r>
      <w:r w:rsidRPr="009118AB">
        <w:rPr>
          <w:bCs/>
          <w:iCs/>
          <w:sz w:val="20"/>
          <w:szCs w:val="20"/>
        </w:rPr>
        <w:t>erwähnten Ausgaben</w:t>
      </w:r>
      <w:r w:rsidR="003D5682" w:rsidRPr="009118AB">
        <w:rPr>
          <w:bCs/>
          <w:iCs/>
          <w:sz w:val="20"/>
          <w:szCs w:val="20"/>
        </w:rPr>
        <w:t xml:space="preserve">[, die in den Artikeln 31 Absatz 2 </w:t>
      </w:r>
      <w:r w:rsidR="00D67EB8" w:rsidRPr="009118AB">
        <w:rPr>
          <w:bCs/>
          <w:iCs/>
          <w:sz w:val="20"/>
          <w:szCs w:val="20"/>
        </w:rPr>
        <w:t>Nr. </w:t>
      </w:r>
      <w:r w:rsidR="003D5682" w:rsidRPr="009118AB">
        <w:rPr>
          <w:bCs/>
          <w:iCs/>
          <w:sz w:val="20"/>
          <w:szCs w:val="20"/>
        </w:rPr>
        <w:t xml:space="preserve">2 und 32 Absatz 2 </w:t>
      </w:r>
      <w:r w:rsidR="00D67EB8" w:rsidRPr="009118AB">
        <w:rPr>
          <w:bCs/>
          <w:iCs/>
          <w:sz w:val="20"/>
          <w:szCs w:val="20"/>
        </w:rPr>
        <w:t>Nr. </w:t>
      </w:r>
      <w:r w:rsidR="003D5682" w:rsidRPr="009118AB">
        <w:rPr>
          <w:bCs/>
          <w:iCs/>
          <w:sz w:val="20"/>
          <w:szCs w:val="20"/>
        </w:rPr>
        <w:t xml:space="preserve">2 erwähnten Vorteile jeglicher Art und die in Artikel 17 </w:t>
      </w:r>
      <w:r w:rsidR="00D67EB8" w:rsidRPr="009118AB">
        <w:rPr>
          <w:bCs/>
          <w:iCs/>
          <w:sz w:val="20"/>
          <w:szCs w:val="20"/>
        </w:rPr>
        <w:t>§ </w:t>
      </w:r>
      <w:r w:rsidR="003D5682" w:rsidRPr="009118AB">
        <w:rPr>
          <w:bCs/>
          <w:iCs/>
          <w:sz w:val="20"/>
          <w:szCs w:val="20"/>
        </w:rPr>
        <w:t xml:space="preserve">1 </w:t>
      </w:r>
      <w:r w:rsidR="00D67EB8" w:rsidRPr="009118AB">
        <w:rPr>
          <w:bCs/>
          <w:iCs/>
          <w:sz w:val="20"/>
          <w:szCs w:val="20"/>
        </w:rPr>
        <w:t>Nr. </w:t>
      </w:r>
      <w:r w:rsidR="003D5682" w:rsidRPr="009118AB">
        <w:rPr>
          <w:bCs/>
          <w:iCs/>
          <w:sz w:val="20"/>
          <w:szCs w:val="20"/>
        </w:rPr>
        <w:t xml:space="preserve">3, was Urheberrechte und ähnliche Rechte betrifft, und </w:t>
      </w:r>
      <w:r w:rsidR="00D67EB8" w:rsidRPr="009118AB">
        <w:rPr>
          <w:bCs/>
          <w:iCs/>
          <w:sz w:val="20"/>
          <w:szCs w:val="20"/>
        </w:rPr>
        <w:t>Nr. </w:t>
      </w:r>
      <w:r w:rsidR="003D5682" w:rsidRPr="009118AB">
        <w:rPr>
          <w:bCs/>
          <w:iCs/>
          <w:sz w:val="20"/>
          <w:szCs w:val="20"/>
        </w:rPr>
        <w:t>5 erwähnten Einkünfte]],</w:t>
      </w:r>
      <w:r w:rsidRPr="009118AB">
        <w:rPr>
          <w:bCs/>
          <w:iCs/>
          <w:sz w:val="20"/>
          <w:szCs w:val="20"/>
        </w:rPr>
        <w:t xml:space="preserve"> die nicht durch Individualkarten </w:t>
      </w:r>
      <w:r w:rsidR="000A16EB" w:rsidRPr="009118AB">
        <w:rPr>
          <w:bCs/>
          <w:iCs/>
          <w:sz w:val="20"/>
          <w:szCs w:val="20"/>
        </w:rPr>
        <w:t>[...]</w:t>
      </w:r>
      <w:r w:rsidRPr="009118AB">
        <w:rPr>
          <w:bCs/>
          <w:iCs/>
          <w:sz w:val="20"/>
          <w:szCs w:val="20"/>
        </w:rPr>
        <w:t xml:space="preserve"> nachgewiesen werden[</w:t>
      </w:r>
      <w:r w:rsidRPr="009118AB">
        <w:rPr>
          <w:iCs/>
          <w:sz w:val="20"/>
          <w:szCs w:val="20"/>
        </w:rPr>
        <w:t>, außer:</w:t>
      </w:r>
    </w:p>
    <w:p w14:paraId="06C66898" w14:textId="77777777" w:rsidR="00AE2DCB" w:rsidRPr="009118AB" w:rsidRDefault="00AE2DCB" w:rsidP="00AE2DCB">
      <w:pPr>
        <w:autoSpaceDE w:val="0"/>
        <w:autoSpaceDN w:val="0"/>
        <w:adjustRightInd w:val="0"/>
        <w:jc w:val="both"/>
        <w:rPr>
          <w:iCs/>
          <w:sz w:val="20"/>
          <w:szCs w:val="20"/>
        </w:rPr>
      </w:pPr>
    </w:p>
    <w:p w14:paraId="04A74EB0" w14:textId="77777777" w:rsidR="00AE2DCB" w:rsidRPr="009118AB" w:rsidRDefault="00AE2DCB" w:rsidP="00AE2DCB">
      <w:pPr>
        <w:autoSpaceDE w:val="0"/>
        <w:autoSpaceDN w:val="0"/>
        <w:adjustRightInd w:val="0"/>
        <w:jc w:val="both"/>
        <w:rPr>
          <w:iCs/>
          <w:sz w:val="20"/>
          <w:szCs w:val="20"/>
        </w:rPr>
      </w:pPr>
      <w:r w:rsidRPr="009118AB">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218263A5" w14:textId="77777777" w:rsidR="00AE2DCB" w:rsidRPr="009118AB" w:rsidRDefault="00AE2DCB" w:rsidP="00AE2DCB">
      <w:pPr>
        <w:autoSpaceDE w:val="0"/>
        <w:autoSpaceDN w:val="0"/>
        <w:adjustRightInd w:val="0"/>
        <w:jc w:val="both"/>
        <w:rPr>
          <w:iCs/>
          <w:sz w:val="20"/>
          <w:szCs w:val="20"/>
        </w:rPr>
      </w:pPr>
    </w:p>
    <w:p w14:paraId="22358324" w14:textId="6275B218" w:rsidR="00AE2DCB" w:rsidRPr="009118AB" w:rsidRDefault="00AE2DCB" w:rsidP="00AE2DCB">
      <w:pPr>
        <w:autoSpaceDE w:val="0"/>
        <w:autoSpaceDN w:val="0"/>
        <w:adjustRightInd w:val="0"/>
        <w:jc w:val="both"/>
        <w:rPr>
          <w:bCs/>
          <w:iCs/>
          <w:sz w:val="20"/>
          <w:szCs w:val="20"/>
        </w:rPr>
      </w:pPr>
      <w:r w:rsidRPr="009118AB">
        <w:rPr>
          <w:iCs/>
          <w:sz w:val="20"/>
          <w:szCs w:val="20"/>
        </w:rPr>
        <w:t>- oder</w:t>
      </w:r>
      <w:r w:rsidR="00D67EB8" w:rsidRPr="009118AB">
        <w:rPr>
          <w:iCs/>
          <w:sz w:val="20"/>
          <w:szCs w:val="20"/>
        </w:rPr>
        <w:t> - </w:t>
      </w:r>
      <w:r w:rsidRPr="009118AB">
        <w:rPr>
          <w:iCs/>
          <w:sz w:val="20"/>
          <w:szCs w:val="20"/>
        </w:rPr>
        <w:t>wenn dieser Betrag nicht in einer solchen Erklärung enthalten ist</w:t>
      </w:r>
      <w:r w:rsidR="00D67EB8" w:rsidRPr="009118AB">
        <w:rPr>
          <w:iCs/>
          <w:sz w:val="20"/>
          <w:szCs w:val="20"/>
        </w:rPr>
        <w:t> - </w:t>
      </w:r>
      <w:r w:rsidRPr="009118AB">
        <w:rPr>
          <w:iCs/>
          <w:sz w:val="20"/>
          <w:szCs w:val="20"/>
        </w:rPr>
        <w:t>wenn der Empfänger spätestens zwei Jahre und sechs Monate ab dem 1. Januar des betreffenden Steuerjahres eindeutig identifiziert worden ist [</w:t>
      </w:r>
      <w:r w:rsidRPr="009118AB">
        <w:rPr>
          <w:sz w:val="20"/>
          <w:szCs w:val="20"/>
        </w:rPr>
        <w:t xml:space="preserve">oder wenn der Betrag der Ausgaben in einer Veranlagung enthalten ist, die in den in den Artikeln 354 Absatz 1 und 2 und 358 erwähnten Fristen </w:t>
      </w:r>
      <w:r w:rsidR="0027187F" w:rsidRPr="009118AB">
        <w:rPr>
          <w:sz w:val="20"/>
          <w:szCs w:val="20"/>
        </w:rPr>
        <w:t>[bei einem steuerpflichtigen Empfänger wie in Artikel 305 Absatz 1 erwähnt mit seinem Einverständnis]</w:t>
      </w:r>
      <w:r w:rsidRPr="009118AB">
        <w:rPr>
          <w:sz w:val="20"/>
          <w:szCs w:val="20"/>
        </w:rPr>
        <w:t xml:space="preserve"> festgelegt wird</w:t>
      </w:r>
      <w:r w:rsidRPr="009118AB">
        <w:rPr>
          <w:iCs/>
          <w:sz w:val="20"/>
          <w:szCs w:val="20"/>
        </w:rPr>
        <w:t>]]</w:t>
      </w:r>
      <w:r w:rsidRPr="009118AB">
        <w:rPr>
          <w:bCs/>
          <w:iCs/>
          <w:sz w:val="20"/>
          <w:szCs w:val="20"/>
        </w:rPr>
        <w:t>,</w:t>
      </w:r>
    </w:p>
    <w:p w14:paraId="79F4B984" w14:textId="77777777" w:rsidR="00AE2DCB" w:rsidRPr="009118AB" w:rsidRDefault="00AE2DCB" w:rsidP="00AE2DCB">
      <w:pPr>
        <w:autoSpaceDE w:val="0"/>
        <w:autoSpaceDN w:val="0"/>
        <w:adjustRightInd w:val="0"/>
        <w:jc w:val="both"/>
        <w:rPr>
          <w:bCs/>
          <w:iCs/>
          <w:sz w:val="20"/>
          <w:szCs w:val="20"/>
        </w:rPr>
      </w:pPr>
    </w:p>
    <w:p w14:paraId="3C7DFB0F" w14:textId="3E63FAE8"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[5. [auf die in Artikel 53 </w:t>
      </w:r>
      <w:r w:rsidR="00D67EB8" w:rsidRPr="009118AB">
        <w:rPr>
          <w:bCs/>
          <w:iCs/>
          <w:sz w:val="20"/>
          <w:szCs w:val="20"/>
        </w:rPr>
        <w:t>Nr. </w:t>
      </w:r>
      <w:r w:rsidRPr="009118AB">
        <w:rPr>
          <w:bCs/>
          <w:iCs/>
          <w:sz w:val="20"/>
          <w:szCs w:val="20"/>
        </w:rPr>
        <w:t>24 erwähnten finanziellen Vorteile oder Vorteile jeglicher Art,]]</w:t>
      </w:r>
    </w:p>
    <w:p w14:paraId="48153CE6" w14:textId="77777777" w:rsidR="00AE2DCB" w:rsidRPr="009118AB" w:rsidRDefault="00AE2DCB" w:rsidP="00AE2DCB">
      <w:pPr>
        <w:autoSpaceDE w:val="0"/>
        <w:autoSpaceDN w:val="0"/>
        <w:adjustRightInd w:val="0"/>
        <w:jc w:val="both"/>
        <w:rPr>
          <w:bCs/>
          <w:iCs/>
          <w:sz w:val="20"/>
          <w:szCs w:val="20"/>
        </w:rPr>
      </w:pPr>
    </w:p>
    <w:p w14:paraId="71CE2436" w14:textId="6C95701A" w:rsidR="00AE2DCB" w:rsidRPr="009118AB" w:rsidRDefault="00AE2DCB" w:rsidP="00AE2DCB">
      <w:pPr>
        <w:autoSpaceDE w:val="0"/>
        <w:autoSpaceDN w:val="0"/>
        <w:adjustRightInd w:val="0"/>
        <w:jc w:val="both"/>
        <w:rPr>
          <w:bCs/>
          <w:iCs/>
          <w:sz w:val="20"/>
          <w:szCs w:val="20"/>
        </w:rPr>
      </w:pPr>
      <w:r w:rsidRPr="009118AB">
        <w:rPr>
          <w:bCs/>
          <w:iCs/>
          <w:sz w:val="20"/>
          <w:szCs w:val="20"/>
        </w:rPr>
        <w:t>[6. [</w:t>
      </w:r>
      <w:r w:rsidRPr="009118AB">
        <w:rPr>
          <w:iCs/>
          <w:sz w:val="20"/>
          <w:szCs w:val="20"/>
        </w:rPr>
        <w:t xml:space="preserve">auf einen Betrag, der 17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w:t>
      </w:r>
      <w:r w:rsidRPr="009118AB">
        <w:rPr>
          <w:bCs/>
          <w:iCs/>
          <w:sz w:val="20"/>
          <w:szCs w:val="20"/>
        </w:rPr>
        <w:t>]]</w:t>
      </w:r>
    </w:p>
    <w:p w14:paraId="0C501199" w14:textId="77777777" w:rsidR="00AE2DCB" w:rsidRPr="009118AB" w:rsidRDefault="00AE2DCB" w:rsidP="00AE2DCB">
      <w:pPr>
        <w:autoSpaceDE w:val="0"/>
        <w:autoSpaceDN w:val="0"/>
        <w:adjustRightInd w:val="0"/>
        <w:jc w:val="both"/>
        <w:rPr>
          <w:bCs/>
          <w:iCs/>
          <w:sz w:val="20"/>
          <w:szCs w:val="20"/>
        </w:rPr>
      </w:pPr>
    </w:p>
    <w:p w14:paraId="76BFD64C" w14:textId="3DFAA54B" w:rsidR="00AE2DCB" w:rsidRPr="009118AB" w:rsidRDefault="00AE2DCB" w:rsidP="00AE2DCB">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 xml:space="preserve">] </w:t>
      </w:r>
    </w:p>
    <w:p w14:paraId="388D18E5" w14:textId="77777777" w:rsidR="00AE2DCB" w:rsidRPr="009118AB" w:rsidRDefault="00AE2DCB" w:rsidP="00AE2DCB">
      <w:pPr>
        <w:autoSpaceDE w:val="0"/>
        <w:autoSpaceDN w:val="0"/>
        <w:adjustRightInd w:val="0"/>
        <w:jc w:val="both"/>
        <w:rPr>
          <w:bCs/>
          <w:iCs/>
          <w:sz w:val="20"/>
          <w:szCs w:val="20"/>
        </w:rPr>
      </w:pPr>
    </w:p>
    <w:p w14:paraId="1800E9A0" w14:textId="16DE97F8" w:rsidR="00AE2DCB" w:rsidRPr="009118AB" w:rsidRDefault="00AE2DCB" w:rsidP="00AE2DCB">
      <w:pPr>
        <w:autoSpaceDE w:val="0"/>
        <w:autoSpaceDN w:val="0"/>
        <w:adjustRightInd w:val="0"/>
        <w:jc w:val="both"/>
        <w:rPr>
          <w:bCs/>
          <w:iCs/>
          <w:sz w:val="20"/>
          <w:szCs w:val="20"/>
        </w:rPr>
      </w:pPr>
      <w:r w:rsidRPr="009118AB">
        <w:rPr>
          <w:bCs/>
          <w:iCs/>
          <w:sz w:val="20"/>
          <w:szCs w:val="20"/>
        </w:rPr>
        <w:t>[</w:t>
      </w:r>
      <w:r w:rsidRPr="009118AB">
        <w:rPr>
          <w:iCs/>
          <w:sz w:val="20"/>
          <w:szCs w:val="20"/>
        </w:rPr>
        <w:t xml:space="preserve">7. auf einen Betrag, der in Abweichung von </w:t>
      </w:r>
      <w:r w:rsidR="00D67EB8" w:rsidRPr="009118AB">
        <w:rPr>
          <w:iCs/>
          <w:sz w:val="20"/>
          <w:szCs w:val="20"/>
        </w:rPr>
        <w:t>Nr. </w:t>
      </w:r>
      <w:r w:rsidRPr="009118AB">
        <w:rPr>
          <w:iCs/>
          <w:sz w:val="20"/>
          <w:szCs w:val="20"/>
        </w:rPr>
        <w:t xml:space="preserve">6 40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118AB">
        <w:rPr>
          <w:bCs/>
          <w:iCs/>
          <w:sz w:val="20"/>
          <w:szCs w:val="20"/>
        </w:rPr>
        <w:t>]</w:t>
      </w:r>
    </w:p>
    <w:p w14:paraId="760F7032" w14:textId="77777777" w:rsidR="00AE2DCB" w:rsidRPr="009118AB" w:rsidRDefault="00AE2DCB" w:rsidP="00AE2DCB">
      <w:pPr>
        <w:autoSpaceDE w:val="0"/>
        <w:autoSpaceDN w:val="0"/>
        <w:adjustRightInd w:val="0"/>
        <w:jc w:val="both"/>
        <w:rPr>
          <w:bCs/>
          <w:iCs/>
          <w:sz w:val="20"/>
          <w:szCs w:val="20"/>
        </w:rPr>
      </w:pPr>
    </w:p>
    <w:p w14:paraId="49501C88" w14:textId="35A6A1D6" w:rsidR="00AE2DCB" w:rsidRPr="009118AB" w:rsidRDefault="00AE2DCB" w:rsidP="00AE2DCB">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w:t>
      </w:r>
    </w:p>
    <w:p w14:paraId="21637CAD" w14:textId="77777777" w:rsidR="00AE2DCB" w:rsidRPr="009118AB" w:rsidRDefault="00AE2DCB" w:rsidP="00AE2DCB">
      <w:pPr>
        <w:autoSpaceDE w:val="0"/>
        <w:autoSpaceDN w:val="0"/>
        <w:adjustRightInd w:val="0"/>
        <w:jc w:val="both"/>
        <w:rPr>
          <w:bCs/>
          <w:iCs/>
          <w:sz w:val="20"/>
          <w:szCs w:val="20"/>
        </w:rPr>
      </w:pPr>
    </w:p>
    <w:p w14:paraId="00B2C893"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[8. auf die Kosten in Bezug auf die Nutzung der in Artikel 65 erwähnten Fahrzeuge, die ab dem 1. Januar 2026 gekauft, geleast oder gemietet werden, es sei denn, es handelt sich um ein Fahrzeug, das kein CO</w:t>
      </w:r>
      <w:r w:rsidRPr="009118AB">
        <w:rPr>
          <w:bCs/>
          <w:iCs/>
          <w:sz w:val="20"/>
          <w:szCs w:val="20"/>
          <w:vertAlign w:val="subscript"/>
        </w:rPr>
        <w:t>2</w:t>
      </w:r>
      <w:r w:rsidRPr="009118AB">
        <w:rPr>
          <w:bCs/>
          <w:iCs/>
          <w:sz w:val="20"/>
          <w:szCs w:val="20"/>
        </w:rPr>
        <w:t xml:space="preserve"> ausstößt,]</w:t>
      </w:r>
    </w:p>
    <w:p w14:paraId="65C56D11" w14:textId="77777777" w:rsidR="00AE2DCB" w:rsidRPr="009118AB" w:rsidRDefault="00AE2DCB" w:rsidP="00AE2DCB">
      <w:pPr>
        <w:autoSpaceDE w:val="0"/>
        <w:autoSpaceDN w:val="0"/>
        <w:adjustRightInd w:val="0"/>
        <w:jc w:val="both"/>
        <w:rPr>
          <w:bCs/>
          <w:iCs/>
          <w:sz w:val="20"/>
          <w:szCs w:val="20"/>
        </w:rPr>
      </w:pPr>
    </w:p>
    <w:p w14:paraId="37A398F0"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[9. [auf einen Betrag, der dem nachstehend erwähnten Prozentsatz der Kosten in Bezug auf die Nutzung der in Artikel 65 erwähnten Fahrzeuge, die kein CO</w:t>
      </w:r>
      <w:r w:rsidRPr="009118AB">
        <w:rPr>
          <w:bCs/>
          <w:iCs/>
          <w:sz w:val="20"/>
          <w:szCs w:val="20"/>
          <w:vertAlign w:val="subscript"/>
        </w:rPr>
        <w:t>2</w:t>
      </w:r>
      <w:r w:rsidRPr="009118AB">
        <w:rPr>
          <w:bCs/>
          <w:iCs/>
          <w:sz w:val="20"/>
          <w:szCs w:val="20"/>
        </w:rPr>
        <w:t xml:space="preserve"> ausstoßen, entspricht:</w:t>
      </w:r>
    </w:p>
    <w:p w14:paraId="1A2F092E" w14:textId="77777777" w:rsidR="00AE2DCB" w:rsidRPr="009118AB" w:rsidRDefault="00AE2DCB" w:rsidP="00AE2DCB">
      <w:pPr>
        <w:autoSpaceDE w:val="0"/>
        <w:autoSpaceDN w:val="0"/>
        <w:adjustRightInd w:val="0"/>
        <w:jc w:val="both"/>
        <w:rPr>
          <w:bCs/>
          <w:iCs/>
          <w:sz w:val="20"/>
          <w:szCs w:val="20"/>
        </w:rPr>
      </w:pPr>
    </w:p>
    <w:p w14:paraId="197FE2F5" w14:textId="72C03194" w:rsidR="00AE2DCB" w:rsidRPr="009118AB" w:rsidRDefault="00AE2DCB" w:rsidP="00AE2DCB">
      <w:pPr>
        <w:autoSpaceDE w:val="0"/>
        <w:autoSpaceDN w:val="0"/>
        <w:adjustRightInd w:val="0"/>
        <w:jc w:val="both"/>
        <w:rPr>
          <w:bCs/>
          <w:iCs/>
          <w:sz w:val="20"/>
          <w:szCs w:val="20"/>
        </w:rPr>
      </w:pPr>
      <w:r w:rsidRPr="009118AB">
        <w:rPr>
          <w:bCs/>
          <w:iCs/>
          <w:sz w:val="20"/>
          <w:szCs w:val="20"/>
        </w:rPr>
        <w:t>- 5 Prozent, wenn es sich um ein 2027 gekauftes, geleastes oder gemietetes Fahrzeug handelt,</w:t>
      </w:r>
    </w:p>
    <w:p w14:paraId="5A32A226" w14:textId="77777777" w:rsidR="00AE2DCB" w:rsidRPr="009118AB" w:rsidRDefault="00AE2DCB" w:rsidP="00AE2DCB">
      <w:pPr>
        <w:autoSpaceDE w:val="0"/>
        <w:autoSpaceDN w:val="0"/>
        <w:adjustRightInd w:val="0"/>
        <w:jc w:val="both"/>
        <w:rPr>
          <w:bCs/>
          <w:iCs/>
          <w:sz w:val="20"/>
          <w:szCs w:val="20"/>
        </w:rPr>
      </w:pPr>
    </w:p>
    <w:p w14:paraId="61F611D2" w14:textId="4121D1C1" w:rsidR="00AE2DCB" w:rsidRPr="009118AB" w:rsidRDefault="00AE2DCB" w:rsidP="00AE2DCB">
      <w:pPr>
        <w:autoSpaceDE w:val="0"/>
        <w:autoSpaceDN w:val="0"/>
        <w:adjustRightInd w:val="0"/>
        <w:jc w:val="both"/>
        <w:rPr>
          <w:bCs/>
          <w:iCs/>
          <w:sz w:val="20"/>
          <w:szCs w:val="20"/>
        </w:rPr>
      </w:pPr>
      <w:r w:rsidRPr="009118AB">
        <w:rPr>
          <w:bCs/>
          <w:iCs/>
          <w:sz w:val="20"/>
          <w:szCs w:val="20"/>
        </w:rPr>
        <w:t>- 10 Prozent, wenn es sich um ein 2028 gekauftes, geleastes oder gemietetes Fahrzeug handelt</w:t>
      </w:r>
      <w:r w:rsidR="00395EAB" w:rsidRPr="009118AB">
        <w:rPr>
          <w:bCs/>
          <w:iCs/>
          <w:sz w:val="20"/>
          <w:szCs w:val="20"/>
        </w:rPr>
        <w:t>,</w:t>
      </w:r>
      <w:r w:rsidRPr="009118AB">
        <w:rPr>
          <w:bCs/>
          <w:iCs/>
          <w:sz w:val="20"/>
          <w:szCs w:val="20"/>
        </w:rPr>
        <w:t>]]</w:t>
      </w:r>
    </w:p>
    <w:p w14:paraId="4978A517" w14:textId="3462443D" w:rsidR="00395EAB" w:rsidRPr="009118AB" w:rsidRDefault="00395EAB" w:rsidP="00AE2DCB">
      <w:pPr>
        <w:autoSpaceDE w:val="0"/>
        <w:autoSpaceDN w:val="0"/>
        <w:adjustRightInd w:val="0"/>
        <w:jc w:val="both"/>
        <w:rPr>
          <w:bCs/>
          <w:iCs/>
          <w:sz w:val="20"/>
          <w:szCs w:val="20"/>
        </w:rPr>
      </w:pPr>
    </w:p>
    <w:p w14:paraId="27B028C4" w14:textId="37F7FE84" w:rsidR="00395EAB" w:rsidRPr="009118AB" w:rsidRDefault="00395EAB" w:rsidP="00395EAB">
      <w:pPr>
        <w:autoSpaceDE w:val="0"/>
        <w:autoSpaceDN w:val="0"/>
        <w:adjustRightInd w:val="0"/>
        <w:jc w:val="both"/>
        <w:rPr>
          <w:bCs/>
          <w:iCs/>
          <w:sz w:val="20"/>
          <w:szCs w:val="20"/>
        </w:rPr>
      </w:pPr>
      <w:r w:rsidRPr="009118AB">
        <w:rPr>
          <w:bCs/>
          <w:iCs/>
          <w:sz w:val="20"/>
          <w:szCs w:val="20"/>
        </w:rPr>
        <w:t>[10. auf Provisionen, Maklergebühren, kommerzielle oder andere Ermäßigungen, zufällige oder nicht zufällige Entgelte oder Honorare, Zuwendungen, Vergütungen oder Vorteile jeglicher Art</w:t>
      </w:r>
      <w:r w:rsidR="00D67EB8" w:rsidRPr="009118AB">
        <w:rPr>
          <w:bCs/>
          <w:iCs/>
          <w:sz w:val="20"/>
          <w:szCs w:val="20"/>
        </w:rPr>
        <w:t> - </w:t>
      </w:r>
      <w:r w:rsidRPr="009118AB">
        <w:rPr>
          <w:bCs/>
          <w:iCs/>
          <w:sz w:val="20"/>
          <w:szCs w:val="20"/>
        </w:rPr>
        <w:t>in dem Maße, wie sie sich auf mehr als 3 Prozent der gesamten Bruttoentlohnung des Sportlers belaufen, die während der Dauer des Arbeitsvertrags pro Jahr berechnet wird</w:t>
      </w:r>
      <w:r w:rsidR="00FD68E8" w:rsidRPr="009118AB">
        <w:rPr>
          <w:bCs/>
          <w:iCs/>
          <w:sz w:val="20"/>
          <w:szCs w:val="20"/>
        </w:rPr>
        <w:t> -,</w:t>
      </w:r>
      <w:r w:rsidRPr="009118AB">
        <w:rPr>
          <w:bCs/>
          <w:iCs/>
          <w:sz w:val="20"/>
          <w:szCs w:val="20"/>
        </w:rPr>
        <w:t xml:space="preserve"> die direkt oder indirekt im Rahmen eines Vertrags gezahlt werden, der Folgendes zum Ziel hat:</w:t>
      </w:r>
    </w:p>
    <w:p w14:paraId="2C18BBE0" w14:textId="77777777" w:rsidR="00395EAB" w:rsidRPr="009118AB" w:rsidRDefault="00395EAB" w:rsidP="00395EAB">
      <w:pPr>
        <w:autoSpaceDE w:val="0"/>
        <w:autoSpaceDN w:val="0"/>
        <w:adjustRightInd w:val="0"/>
        <w:jc w:val="both"/>
        <w:rPr>
          <w:bCs/>
          <w:iCs/>
          <w:sz w:val="20"/>
          <w:szCs w:val="20"/>
        </w:rPr>
      </w:pPr>
    </w:p>
    <w:p w14:paraId="4BEC3D97"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a)</w:t>
      </w:r>
      <w:r w:rsidRPr="009118AB">
        <w:rPr>
          <w:bCs/>
          <w:iCs/>
          <w:sz w:val="20"/>
          <w:szCs w:val="20"/>
        </w:rPr>
        <w:t> entweder einen Sportler bei Verhandlungen im Hinblick auf den Abschluss, die Verlängerung, Erneuerung oder Beendigung eines Arbeitsvertrags bei einem Sportclub zu unterstützen</w:t>
      </w:r>
    </w:p>
    <w:p w14:paraId="4103B30E" w14:textId="77777777" w:rsidR="00395EAB" w:rsidRPr="009118AB" w:rsidRDefault="00395EAB" w:rsidP="00395EAB">
      <w:pPr>
        <w:autoSpaceDE w:val="0"/>
        <w:autoSpaceDN w:val="0"/>
        <w:adjustRightInd w:val="0"/>
        <w:jc w:val="both"/>
        <w:rPr>
          <w:bCs/>
          <w:iCs/>
          <w:sz w:val="20"/>
          <w:szCs w:val="20"/>
        </w:rPr>
      </w:pPr>
    </w:p>
    <w:p w14:paraId="45F8FAD3" w14:textId="1504B1F1" w:rsidR="00395EAB" w:rsidRPr="009118AB" w:rsidRDefault="00395EAB" w:rsidP="00395EAB">
      <w:pPr>
        <w:autoSpaceDE w:val="0"/>
        <w:autoSpaceDN w:val="0"/>
        <w:adjustRightInd w:val="0"/>
        <w:jc w:val="both"/>
        <w:rPr>
          <w:bCs/>
          <w:iCs/>
          <w:sz w:val="20"/>
          <w:szCs w:val="20"/>
        </w:rPr>
      </w:pPr>
      <w:r w:rsidRPr="009118AB">
        <w:rPr>
          <w:bCs/>
          <w:i/>
          <w:iCs/>
          <w:sz w:val="20"/>
          <w:szCs w:val="20"/>
        </w:rPr>
        <w:t>b)</w:t>
      </w:r>
      <w:r w:rsidRPr="009118AB">
        <w:rPr>
          <w:bCs/>
          <w:iCs/>
          <w:sz w:val="20"/>
          <w:szCs w:val="20"/>
        </w:rPr>
        <w:t xml:space="preserve"> oder einen in Artikel 270 </w:t>
      </w:r>
      <w:r w:rsidR="00D67EB8" w:rsidRPr="009118AB">
        <w:rPr>
          <w:bCs/>
          <w:iCs/>
          <w:sz w:val="20"/>
          <w:szCs w:val="20"/>
        </w:rPr>
        <w:t>Nr. </w:t>
      </w:r>
      <w:r w:rsidRPr="009118AB">
        <w:rPr>
          <w:bCs/>
          <w:iCs/>
          <w:sz w:val="20"/>
          <w:szCs w:val="20"/>
        </w:rPr>
        <w:t>1 und 3 erwähnten Schuldner des Berufssteuer</w:t>
      </w:r>
      <w:r w:rsidRPr="009118AB">
        <w:rPr>
          <w:bCs/>
          <w:iCs/>
          <w:sz w:val="20"/>
          <w:szCs w:val="20"/>
        </w:rPr>
        <w:softHyphen/>
        <w:t>vorabzugs bei Verhandlungen im Hinblick auf den Abschluss, die Verlängerung, Erneuerung oder Beendigung eines Arbeitsvertrags mit einem Sportler zu unterstützen.</w:t>
      </w:r>
    </w:p>
    <w:p w14:paraId="7BBB4937" w14:textId="77777777" w:rsidR="00395EAB" w:rsidRPr="009118AB" w:rsidRDefault="00395EAB" w:rsidP="00395EAB">
      <w:pPr>
        <w:autoSpaceDE w:val="0"/>
        <w:autoSpaceDN w:val="0"/>
        <w:adjustRightInd w:val="0"/>
        <w:jc w:val="both"/>
        <w:rPr>
          <w:bCs/>
          <w:iCs/>
          <w:sz w:val="20"/>
          <w:szCs w:val="20"/>
        </w:rPr>
      </w:pPr>
    </w:p>
    <w:p w14:paraId="5AF4B7A4"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c)</w:t>
      </w:r>
      <w:r w:rsidRPr="009118AB">
        <w:rPr>
          <w:bCs/>
          <w:iCs/>
          <w:sz w:val="20"/>
          <w:szCs w:val="20"/>
        </w:rPr>
        <w:t> oder eine Ausleihe oder einen definitiven Transfer im Hinblick auf die Ankunft oder den Weggang eines Sportlers zu regeln.]</w:t>
      </w:r>
    </w:p>
    <w:p w14:paraId="793607BC" w14:textId="77777777" w:rsidR="00395EAB" w:rsidRPr="009118AB" w:rsidRDefault="00395EAB" w:rsidP="00395EAB">
      <w:pPr>
        <w:autoSpaceDE w:val="0"/>
        <w:autoSpaceDN w:val="0"/>
        <w:adjustRightInd w:val="0"/>
        <w:jc w:val="both"/>
        <w:rPr>
          <w:bCs/>
          <w:iCs/>
          <w:sz w:val="20"/>
          <w:szCs w:val="20"/>
        </w:rPr>
      </w:pPr>
    </w:p>
    <w:p w14:paraId="55FD59C8" w14:textId="77777777" w:rsidR="00AE2DCB" w:rsidRPr="009118AB" w:rsidRDefault="00AE2DCB" w:rsidP="00AE2DCB">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736A42D7" w14:textId="77777777" w:rsidR="00AE2DCB" w:rsidRPr="009118AB" w:rsidRDefault="00AE2DCB" w:rsidP="00AE2DCB">
      <w:pPr>
        <w:autoSpaceDE w:val="0"/>
        <w:autoSpaceDN w:val="0"/>
        <w:adjustRightInd w:val="0"/>
        <w:jc w:val="both"/>
        <w:rPr>
          <w:bCs/>
          <w:iCs/>
          <w:sz w:val="20"/>
          <w:szCs w:val="20"/>
        </w:rPr>
      </w:pPr>
    </w:p>
    <w:p w14:paraId="4E93359B" w14:textId="44ECD8E3" w:rsidR="00AE2DCB" w:rsidRPr="009118AB" w:rsidRDefault="00AE2DCB" w:rsidP="00AE2DCB">
      <w:pPr>
        <w:autoSpaceDE w:val="0"/>
        <w:autoSpaceDN w:val="0"/>
        <w:adjustRightInd w:val="0"/>
        <w:jc w:val="both"/>
        <w:rPr>
          <w:bCs/>
          <w:iCs/>
          <w:sz w:val="20"/>
          <w:szCs w:val="20"/>
        </w:rPr>
      </w:pPr>
      <w:r w:rsidRPr="009118AB">
        <w:rPr>
          <w:bCs/>
          <w:iCs/>
          <w:sz w:val="20"/>
          <w:szCs w:val="20"/>
        </w:rPr>
        <w:t xml:space="preserve">[Wird ein in [Absatz 1 </w:t>
      </w:r>
      <w:r w:rsidR="00D67EB8" w:rsidRPr="009118AB">
        <w:rPr>
          <w:bCs/>
          <w:iCs/>
          <w:sz w:val="20"/>
          <w:szCs w:val="20"/>
        </w:rPr>
        <w:t>Nr. </w:t>
      </w:r>
      <w:r w:rsidRPr="009118AB">
        <w:rPr>
          <w:bCs/>
          <w:iCs/>
          <w:sz w:val="20"/>
          <w:szCs w:val="20"/>
        </w:rPr>
        <w:t xml:space="preserve">8 und 9] erwähntes Fahrzeug einem Dritten zur Nutzung zu persönlichen Zwecken zur Verfügung gestellt, umfassen die in [Absatz 1 </w:t>
      </w:r>
      <w:r w:rsidR="00D67EB8" w:rsidRPr="009118AB">
        <w:rPr>
          <w:bCs/>
          <w:iCs/>
          <w:sz w:val="20"/>
          <w:szCs w:val="20"/>
        </w:rPr>
        <w:t>Nr. </w:t>
      </w:r>
      <w:r w:rsidRPr="009118AB">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007C4CC3" w14:textId="77777777" w:rsidR="00AE2DCB" w:rsidRPr="009118AB" w:rsidRDefault="00AE2DCB" w:rsidP="00AE2DCB">
      <w:pPr>
        <w:autoSpaceDE w:val="0"/>
        <w:autoSpaceDN w:val="0"/>
        <w:adjustRightInd w:val="0"/>
        <w:jc w:val="both"/>
        <w:rPr>
          <w:bCs/>
          <w:iCs/>
          <w:sz w:val="20"/>
          <w:szCs w:val="20"/>
        </w:rPr>
      </w:pPr>
    </w:p>
    <w:p w14:paraId="0A4A5790" w14:textId="493723BA" w:rsidR="00AE2DCB" w:rsidRPr="009118AB" w:rsidRDefault="00AE2DCB" w:rsidP="00AE2DCB">
      <w:pPr>
        <w:autoSpaceDE w:val="0"/>
        <w:autoSpaceDN w:val="0"/>
        <w:adjustRightInd w:val="0"/>
        <w:jc w:val="both"/>
        <w:rPr>
          <w:bCs/>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234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3 ersetzt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w:t>
      </w:r>
      <w:r w:rsidR="00D20B96" w:rsidRPr="009118AB">
        <w:rPr>
          <w:bCs/>
          <w:i/>
          <w:iCs/>
          <w:sz w:val="20"/>
          <w:szCs w:val="20"/>
        </w:rPr>
        <w:t xml:space="preserve">einziger Absatz einleitende Bestimmung </w:t>
      </w:r>
      <w:r w:rsidRPr="009118AB">
        <w:rPr>
          <w:bCs/>
          <w:i/>
          <w:iCs/>
          <w:sz w:val="20"/>
          <w:szCs w:val="20"/>
        </w:rPr>
        <w:t xml:space="preserve">abgeändert durch </w:t>
      </w:r>
      <w:r w:rsidR="00D67EB8" w:rsidRPr="009118AB">
        <w:rPr>
          <w:bCs/>
          <w:i/>
          <w:iCs/>
          <w:sz w:val="20"/>
          <w:szCs w:val="20"/>
        </w:rPr>
        <w:t>Art. </w:t>
      </w:r>
      <w:r w:rsidRPr="009118AB">
        <w:rPr>
          <w:bCs/>
          <w:i/>
          <w:iCs/>
          <w:sz w:val="20"/>
          <w:szCs w:val="20"/>
        </w:rPr>
        <w:t>24 des G. (I) vom 27. Dezember 2006 (I)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34</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74 Buchstabe a) und b)</w:t>
      </w:r>
      <w:r w:rsidRPr="009118AB">
        <w:rPr>
          <w:bCs/>
          <w:i/>
          <w:iCs/>
          <w:sz w:val="20"/>
          <w:szCs w:val="20"/>
        </w:rPr>
        <w:t xml:space="preserve"> des G. vom 27. Juni 2021 (B.S. vom 30. Juni 2021)</w:t>
      </w:r>
      <w:r w:rsidR="000A16EB" w:rsidRPr="009118AB">
        <w:rPr>
          <w:bCs/>
          <w:i/>
          <w:iCs/>
          <w:sz w:val="20"/>
          <w:szCs w:val="20"/>
        </w:rPr>
        <w:t>,</w:t>
      </w:r>
      <w:r w:rsidR="003D5682" w:rsidRPr="009118AB">
        <w:rPr>
          <w:i/>
          <w:iCs/>
          <w:sz w:val="20"/>
          <w:szCs w:val="20"/>
        </w:rPr>
        <w:t xml:space="preserve"> </w:t>
      </w:r>
      <w:r w:rsidR="00D67EB8" w:rsidRPr="009118AB">
        <w:rPr>
          <w:i/>
          <w:iCs/>
          <w:sz w:val="20"/>
          <w:szCs w:val="20"/>
        </w:rPr>
        <w:t>Art. </w:t>
      </w:r>
      <w:r w:rsidR="003D5682" w:rsidRPr="009118AB">
        <w:rPr>
          <w:i/>
          <w:iCs/>
          <w:sz w:val="20"/>
          <w:szCs w:val="20"/>
        </w:rPr>
        <w:t>50</w:t>
      </w:r>
      <w:r w:rsidR="003D5682" w:rsidRPr="009118AB">
        <w:rPr>
          <w:bCs/>
          <w:i/>
          <w:iCs/>
          <w:sz w:val="20"/>
          <w:szCs w:val="20"/>
        </w:rPr>
        <w:t xml:space="preserve"> des G. vom 21. Januar 2022 (B.S. vom 28. Januar 2022)</w:t>
      </w:r>
      <w:r w:rsidR="00D67EB8" w:rsidRPr="009118AB">
        <w:rPr>
          <w:bCs/>
          <w:i/>
          <w:iCs/>
          <w:sz w:val="20"/>
          <w:szCs w:val="20"/>
        </w:rPr>
        <w:t> - </w:t>
      </w:r>
      <w:r w:rsidR="003D5682"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0A16EB" w:rsidRPr="009118AB">
        <w:rPr>
          <w:bCs/>
          <w:i/>
          <w:iCs/>
          <w:sz w:val="20"/>
          <w:szCs w:val="20"/>
        </w:rPr>
        <w:t xml:space="preserve"> und Art. 27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27187F" w:rsidRPr="009118AB">
        <w:rPr>
          <w:bCs/>
          <w:i/>
          <w:iCs/>
          <w:sz w:val="20"/>
          <w:szCs w:val="20"/>
        </w:rPr>
        <w:t xml:space="preserve">Abs. 1 Nr. 4 einziger Absatz zweiter Gedankenstrich abgeändert durch </w:t>
      </w:r>
      <w:r w:rsidR="0027187F" w:rsidRPr="009118AB">
        <w:rPr>
          <w:rFonts w:ascii="Times New Roman Italique" w:hAnsi="Times New Roman Italique"/>
          <w:bCs/>
          <w:i/>
          <w:iCs/>
          <w:spacing w:val="-2"/>
          <w:sz w:val="20"/>
          <w:szCs w:val="20"/>
        </w:rPr>
        <w:t xml:space="preserve">Art. 31 des G. vom 5. Juli 2022 (B.S. vom 15. Juli 2022);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5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55 des G. vom 10. März 1999 (B.S. vom 14. April 1999)</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ab dem 14. April 1999 verliehene Aktien oder Anteile</w:t>
      </w:r>
      <w:r w:rsidR="00FD68E8" w:rsidRPr="009118AB">
        <w:rPr>
          <w:rFonts w:ascii="Times New Roman Italique" w:hAnsi="Times New Roman Italique"/>
          <w:bCs/>
          <w:i/>
          <w:iCs/>
          <w:spacing w:val="-2"/>
          <w:sz w:val="20"/>
          <w:szCs w:val="20"/>
        </w:rPr>
        <w:t> -,</w:t>
      </w:r>
      <w:r w:rsidRPr="009118AB">
        <w:rPr>
          <w:bCs/>
          <w:i/>
          <w:iCs/>
          <w:sz w:val="20"/>
          <w:szCs w:val="20"/>
        </w:rPr>
        <w:t xml:space="preserve"> aufgehoben durch </w:t>
      </w:r>
      <w:r w:rsidR="00D67EB8" w:rsidRPr="009118AB">
        <w:rPr>
          <w:bCs/>
          <w:i/>
          <w:iCs/>
          <w:sz w:val="20"/>
          <w:szCs w:val="20"/>
        </w:rPr>
        <w:t>Art. </w:t>
      </w:r>
      <w:r w:rsidRPr="009118AB">
        <w:rPr>
          <w:bCs/>
          <w:i/>
          <w:iCs/>
          <w:sz w:val="20"/>
          <w:szCs w:val="20"/>
        </w:rPr>
        <w:t>51 des G. vom 15. Dezember 2004 (B.S. vom 1. Februar 2005)</w:t>
      </w:r>
      <w:r w:rsidR="00D67EB8" w:rsidRPr="009118AB">
        <w:rPr>
          <w:bCs/>
          <w:i/>
          <w:iCs/>
          <w:sz w:val="20"/>
          <w:szCs w:val="20"/>
        </w:rPr>
        <w:t> - </w:t>
      </w:r>
      <w:r w:rsidRPr="009118AB">
        <w:rPr>
          <w:bCs/>
          <w:i/>
          <w:iCs/>
          <w:sz w:val="20"/>
          <w:szCs w:val="20"/>
        </w:rPr>
        <w:t>anwendbar auf Aktien-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138 des G.</w:t>
      </w:r>
      <w:r w:rsidR="003D5682" w:rsidRPr="009118AB">
        <w:rPr>
          <w:bCs/>
          <w:i/>
          <w:iCs/>
          <w:sz w:val="20"/>
          <w:szCs w:val="20"/>
        </w:rPr>
        <w:t> </w:t>
      </w:r>
      <w:r w:rsidRPr="009118AB">
        <w:rPr>
          <w:bCs/>
          <w:i/>
          <w:iCs/>
          <w:sz w:val="20"/>
          <w:szCs w:val="20"/>
        </w:rPr>
        <w:t>(I) vom 22. Dezember 2008 (II) (B.S. vom 29. Dezember 2008)</w:t>
      </w:r>
      <w:r w:rsidR="00D67EB8" w:rsidRPr="009118AB">
        <w:rPr>
          <w:bCs/>
          <w:i/>
          <w:iCs/>
          <w:sz w:val="20"/>
          <w:szCs w:val="20"/>
        </w:rPr>
        <w:t> - </w:t>
      </w:r>
      <w:r w:rsidRPr="009118AB">
        <w:rPr>
          <w:bCs/>
          <w:i/>
          <w:iCs/>
          <w:sz w:val="20"/>
          <w:szCs w:val="20"/>
        </w:rPr>
        <w:t>in Kraft am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6 eingefügt </w:t>
      </w:r>
      <w:r w:rsidRPr="009118AB">
        <w:rPr>
          <w:i/>
          <w:iCs/>
          <w:sz w:val="20"/>
          <w:szCs w:val="20"/>
        </w:rPr>
        <w:t xml:space="preserve">durch </w:t>
      </w:r>
      <w:r w:rsidR="00D67EB8" w:rsidRPr="009118AB">
        <w:rPr>
          <w:i/>
          <w:iCs/>
          <w:sz w:val="20"/>
          <w:szCs w:val="20"/>
        </w:rPr>
        <w:t>Art. </w:t>
      </w:r>
      <w:r w:rsidRPr="009118AB">
        <w:rPr>
          <w:i/>
          <w:iCs/>
          <w:sz w:val="20"/>
          <w:szCs w:val="20"/>
        </w:rPr>
        <w:t xml:space="preserve">49 </w:t>
      </w:r>
      <w:r w:rsidRPr="009118AB">
        <w:rPr>
          <w:bCs/>
          <w:i/>
          <w:iCs/>
          <w:sz w:val="20"/>
          <w:szCs w:val="20"/>
        </w:rPr>
        <w:t>des G. vom 28. Dezember 2011 (B.S. vom 30. Dezember 2011)</w:t>
      </w:r>
      <w:r w:rsidR="00D67EB8" w:rsidRPr="009118AB">
        <w:rPr>
          <w:bCs/>
          <w:i/>
          <w:iCs/>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71 Buchstabe a) des G. vom 25. Dezember 2016 (I) (B.S. vom 29. Dezember 2016)</w:t>
      </w:r>
      <w:r w:rsidR="00D67EB8" w:rsidRPr="009118AB">
        <w:rPr>
          <w:i/>
          <w:iCs/>
          <w:sz w:val="20"/>
          <w:szCs w:val="20"/>
        </w:rPr>
        <w:t> - </w:t>
      </w:r>
      <w:r w:rsidRPr="009118AB">
        <w:rPr>
          <w:i/>
          <w:iCs/>
          <w:sz w:val="20"/>
          <w:szCs w:val="20"/>
        </w:rPr>
        <w:t>in Kraft und anwendbar ab dem 1. Januar 2017</w:t>
      </w:r>
      <w:r w:rsidR="00D67EB8" w:rsidRPr="009118AB">
        <w:rPr>
          <w:i/>
          <w:iCs/>
          <w:sz w:val="20"/>
          <w:szCs w:val="20"/>
        </w:rPr>
        <w:t> - </w:t>
      </w:r>
      <w:r w:rsidRPr="009118AB">
        <w:rPr>
          <w:i/>
          <w:iCs/>
          <w:sz w:val="20"/>
          <w:szCs w:val="20"/>
        </w:rPr>
        <w:t xml:space="preserve">und </w:t>
      </w:r>
      <w:r w:rsidRPr="009118AB">
        <w:rPr>
          <w:i/>
          <w:iCs/>
          <w:sz w:val="20"/>
          <w:szCs w:val="20"/>
        </w:rPr>
        <w:lastRenderedPageBreak/>
        <w:t xml:space="preserve">abgeändert durch </w:t>
      </w:r>
      <w:r w:rsidR="00D67EB8" w:rsidRPr="009118AB">
        <w:rPr>
          <w:i/>
          <w:iCs/>
          <w:sz w:val="20"/>
          <w:szCs w:val="20"/>
        </w:rPr>
        <w:t>Art. </w:t>
      </w:r>
      <w:r w:rsidRPr="009118AB">
        <w:rPr>
          <w:i/>
          <w:iCs/>
          <w:sz w:val="20"/>
          <w:szCs w:val="20"/>
        </w:rPr>
        <w:t xml:space="preserve">63 </w:t>
      </w:r>
      <w:r w:rsidR="00D67EB8" w:rsidRPr="009118AB">
        <w:rPr>
          <w:i/>
          <w:iCs/>
          <w:sz w:val="20"/>
          <w:szCs w:val="20"/>
        </w:rPr>
        <w:t>Nr. </w:t>
      </w:r>
      <w:r w:rsidRPr="009118AB">
        <w:rPr>
          <w:i/>
          <w:iCs/>
          <w:sz w:val="20"/>
          <w:szCs w:val="20"/>
        </w:rPr>
        <w:t>1 des G. vom 25. Dezember 2017 (III) (B.S. vom 29. Dezember 2017)</w:t>
      </w:r>
      <w:r w:rsidR="00D67EB8" w:rsidRPr="009118AB">
        <w:rPr>
          <w:i/>
          <w:iCs/>
          <w:sz w:val="20"/>
          <w:szCs w:val="20"/>
        </w:rPr>
        <w:t> - </w:t>
      </w:r>
      <w:r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6bis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1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 xml:space="preserve">11/2020 des Verfassungsgerichtshofes vom 23. Januar 2020 (B.S. vom 24. Februar 2020); </w:t>
      </w:r>
      <w:r w:rsidR="00D67EB8" w:rsidRPr="009118AB">
        <w:rPr>
          <w:i/>
          <w:iCs/>
          <w:sz w:val="20"/>
          <w:szCs w:val="20"/>
        </w:rPr>
        <w:t>Abs. </w:t>
      </w:r>
      <w:r w:rsidR="00B04FF4" w:rsidRPr="009118AB">
        <w:rPr>
          <w:i/>
          <w:iCs/>
          <w:sz w:val="20"/>
          <w:szCs w:val="20"/>
        </w:rPr>
        <w:t xml:space="preserve">1 </w:t>
      </w:r>
      <w:r w:rsidR="00D67EB8" w:rsidRPr="009118AB">
        <w:rPr>
          <w:i/>
          <w:iCs/>
          <w:sz w:val="20"/>
          <w:szCs w:val="20"/>
        </w:rPr>
        <w:t>Nr. </w:t>
      </w:r>
      <w:r w:rsidR="00B04FF4" w:rsidRPr="009118AB">
        <w:rPr>
          <w:i/>
          <w:iCs/>
          <w:sz w:val="20"/>
          <w:szCs w:val="20"/>
        </w:rPr>
        <w:t xml:space="preserve">7 eingefügt durch </w:t>
      </w:r>
      <w:r w:rsidR="00D67EB8" w:rsidRPr="009118AB">
        <w:rPr>
          <w:i/>
          <w:iCs/>
          <w:sz w:val="20"/>
          <w:szCs w:val="20"/>
        </w:rPr>
        <w:t>Art. </w:t>
      </w:r>
      <w:r w:rsidR="00B04FF4" w:rsidRPr="009118AB">
        <w:rPr>
          <w:i/>
          <w:iCs/>
          <w:sz w:val="20"/>
          <w:szCs w:val="20"/>
        </w:rPr>
        <w:t>71 Buchstabe b) des G. vom 25. Dezember 2016 (I) (B.S. vom 29. Dezember 2016)</w:t>
      </w:r>
      <w:r w:rsidR="00D67EB8" w:rsidRPr="009118AB">
        <w:rPr>
          <w:i/>
          <w:iCs/>
          <w:sz w:val="20"/>
          <w:szCs w:val="20"/>
        </w:rPr>
        <w:t> - </w:t>
      </w:r>
      <w:r w:rsidR="00B04FF4" w:rsidRPr="009118AB">
        <w:rPr>
          <w:i/>
          <w:iCs/>
          <w:sz w:val="20"/>
          <w:szCs w:val="20"/>
        </w:rPr>
        <w:t>in Kraft und anwendbar ab dem 1. Januar 2017</w:t>
      </w:r>
      <w:r w:rsidR="00D67EB8" w:rsidRPr="009118AB">
        <w:rPr>
          <w:i/>
          <w:iCs/>
          <w:sz w:val="20"/>
          <w:szCs w:val="20"/>
        </w:rPr>
        <w:t> - </w:t>
      </w:r>
      <w:r w:rsidR="00B04FF4" w:rsidRPr="009118AB">
        <w:rPr>
          <w:i/>
          <w:iCs/>
          <w:sz w:val="20"/>
          <w:szCs w:val="20"/>
        </w:rPr>
        <w:t xml:space="preserve">und abgeändert durch </w:t>
      </w:r>
      <w:r w:rsidR="00D67EB8" w:rsidRPr="009118AB">
        <w:rPr>
          <w:i/>
          <w:iCs/>
          <w:sz w:val="20"/>
          <w:szCs w:val="20"/>
        </w:rPr>
        <w:t>Art. </w:t>
      </w:r>
      <w:r w:rsidR="00B04FF4" w:rsidRPr="009118AB">
        <w:rPr>
          <w:i/>
          <w:iCs/>
          <w:sz w:val="20"/>
          <w:szCs w:val="20"/>
        </w:rPr>
        <w:t xml:space="preserve">63 </w:t>
      </w:r>
      <w:r w:rsidR="00D67EB8" w:rsidRPr="009118AB">
        <w:rPr>
          <w:i/>
          <w:iCs/>
          <w:sz w:val="20"/>
          <w:szCs w:val="20"/>
        </w:rPr>
        <w:t>Nr. </w:t>
      </w:r>
      <w:r w:rsidR="00B04FF4" w:rsidRPr="009118AB">
        <w:rPr>
          <w:i/>
          <w:iCs/>
          <w:sz w:val="20"/>
          <w:szCs w:val="20"/>
        </w:rPr>
        <w:t>2 des G. vom 25. Dezember 2017 (III) (B.S. vom 29. Dezember 2017)</w:t>
      </w:r>
      <w:r w:rsidR="00D67EB8" w:rsidRPr="009118AB">
        <w:rPr>
          <w:i/>
          <w:iCs/>
          <w:sz w:val="20"/>
          <w:szCs w:val="20"/>
        </w:rPr>
        <w:t> - </w:t>
      </w:r>
      <w:r w:rsidR="00B04FF4"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00B04FF4"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7bis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2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11/2020 des Verfassungsgerichtshofes vom 23. Januar 2020 (B.S. vom 24. Februar 2020);</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8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1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9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2 des G. vom 25. November 2021 (B.S. vom 3. Dezember 2021)</w:t>
      </w:r>
      <w:r w:rsidR="00D67EB8" w:rsidRPr="009118AB">
        <w:rPr>
          <w:i/>
          <w:iCs/>
          <w:sz w:val="20"/>
          <w:szCs w:val="20"/>
        </w:rPr>
        <w:t> - </w:t>
      </w:r>
      <w:r w:rsidRPr="009118AB">
        <w:rPr>
          <w:i/>
          <w:iCs/>
          <w:sz w:val="20"/>
          <w:szCs w:val="20"/>
        </w:rPr>
        <w:t>in Kraft am 1. Januar 2027</w:t>
      </w:r>
      <w:r w:rsidR="00D67EB8" w:rsidRPr="009118AB">
        <w:rPr>
          <w:i/>
          <w:iCs/>
          <w:sz w:val="20"/>
          <w:szCs w:val="20"/>
        </w:rPr>
        <w:t> - </w:t>
      </w:r>
      <w:r w:rsidRPr="009118AB">
        <w:rPr>
          <w:i/>
          <w:iCs/>
          <w:sz w:val="20"/>
          <w:szCs w:val="20"/>
        </w:rPr>
        <w:t xml:space="preserve">und ersetzt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395EAB" w:rsidRPr="009118AB">
        <w:rPr>
          <w:i/>
          <w:iCs/>
          <w:sz w:val="20"/>
          <w:szCs w:val="20"/>
        </w:rPr>
        <w:t xml:space="preserve">1 </w:t>
      </w:r>
      <w:r w:rsidR="00D67EB8" w:rsidRPr="009118AB">
        <w:rPr>
          <w:i/>
          <w:iCs/>
          <w:sz w:val="20"/>
          <w:szCs w:val="20"/>
        </w:rPr>
        <w:t>Nr. </w:t>
      </w:r>
      <w:r w:rsidR="00395EAB" w:rsidRPr="009118AB">
        <w:rPr>
          <w:i/>
          <w:iCs/>
          <w:sz w:val="20"/>
          <w:szCs w:val="20"/>
        </w:rPr>
        <w:t xml:space="preserve">10 eingefügt durch </w:t>
      </w:r>
      <w:r w:rsidR="00D67EB8" w:rsidRPr="009118AB">
        <w:rPr>
          <w:i/>
          <w:iCs/>
          <w:sz w:val="20"/>
          <w:szCs w:val="20"/>
        </w:rPr>
        <w:t>Art. </w:t>
      </w:r>
      <w:r w:rsidR="00395EAB" w:rsidRPr="009118AB">
        <w:rPr>
          <w:i/>
          <w:iCs/>
          <w:sz w:val="20"/>
          <w:szCs w:val="20"/>
        </w:rPr>
        <w:t>9 des G. vom 27. Dezember 2021 (B.S. vom 31. Dezember 2021)</w:t>
      </w:r>
      <w:r w:rsidR="00D67EB8" w:rsidRPr="009118AB">
        <w:rPr>
          <w:i/>
          <w:iCs/>
          <w:sz w:val="20"/>
          <w:szCs w:val="20"/>
        </w:rPr>
        <w:t> - </w:t>
      </w:r>
      <w:r w:rsidR="00395EAB" w:rsidRPr="009118AB">
        <w:rPr>
          <w:i/>
          <w:iCs/>
          <w:sz w:val="20"/>
          <w:szCs w:val="20"/>
        </w:rPr>
        <w:t>anwendbar ab dem 1. Januar 2022</w:t>
      </w:r>
      <w:r w:rsidR="003366D9" w:rsidRPr="009118AB">
        <w:rPr>
          <w:i/>
          <w:iCs/>
          <w:sz w:val="20"/>
          <w:szCs w:val="20"/>
        </w:rPr>
        <w:t> -;</w:t>
      </w:r>
      <w:r w:rsidR="00395EAB" w:rsidRPr="009118AB">
        <w:rPr>
          <w:i/>
          <w:iCs/>
          <w:sz w:val="20"/>
          <w:szCs w:val="20"/>
        </w:rPr>
        <w:t xml:space="preserve"> </w:t>
      </w:r>
      <w:r w:rsidR="00D67EB8" w:rsidRPr="009118AB">
        <w:rPr>
          <w:bCs/>
          <w:i/>
          <w:iCs/>
          <w:sz w:val="20"/>
          <w:szCs w:val="20"/>
        </w:rPr>
        <w:t>Abs. </w:t>
      </w:r>
      <w:r w:rsidRPr="009118AB">
        <w:rPr>
          <w:bCs/>
          <w:i/>
          <w:iCs/>
          <w:sz w:val="20"/>
          <w:szCs w:val="20"/>
        </w:rPr>
        <w:t xml:space="preserve">2 eingefügt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9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8 </w:t>
      </w:r>
      <w:r w:rsidR="00D67EB8" w:rsidRPr="009118AB">
        <w:rPr>
          <w:bCs/>
          <w:i/>
          <w:iCs/>
          <w:sz w:val="20"/>
          <w:szCs w:val="20"/>
        </w:rPr>
        <w:t>Nr. </w:t>
      </w:r>
      <w:r w:rsidRPr="009118AB">
        <w:rPr>
          <w:bCs/>
          <w:i/>
          <w:iCs/>
          <w:sz w:val="20"/>
          <w:szCs w:val="20"/>
        </w:rPr>
        <w:t>7</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8 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bCs/>
          <w:sz w:val="20"/>
          <w:szCs w:val="20"/>
        </w:rPr>
        <w:t>"</w:t>
      </w:r>
    </w:p>
    <w:p w14:paraId="6283D312" w14:textId="76454F66" w:rsidR="00AE2DCB" w:rsidRPr="009118AB" w:rsidRDefault="00AE2DCB" w:rsidP="00AE2DCB">
      <w:pPr>
        <w:autoSpaceDE w:val="0"/>
        <w:autoSpaceDN w:val="0"/>
        <w:adjustRightInd w:val="0"/>
        <w:jc w:val="both"/>
        <w:rPr>
          <w:bCs/>
          <w:sz w:val="20"/>
          <w:szCs w:val="20"/>
        </w:rPr>
      </w:pPr>
    </w:p>
    <w:p w14:paraId="5C03F18A" w14:textId="1E563425" w:rsidR="00AE2DCB" w:rsidRPr="009118AB" w:rsidRDefault="00AE2DCB" w:rsidP="00AE2DCB">
      <w:pPr>
        <w:autoSpaceDE w:val="0"/>
        <w:autoSpaceDN w:val="0"/>
        <w:adjustRightInd w:val="0"/>
        <w:jc w:val="both"/>
        <w:rPr>
          <w:bCs/>
          <w:sz w:val="20"/>
          <w:szCs w:val="20"/>
        </w:rPr>
      </w:pPr>
    </w:p>
    <w:p w14:paraId="75328F84" w14:textId="0758A0B1" w:rsidR="00AE2DCB" w:rsidRPr="009118AB" w:rsidRDefault="00AE2DCB" w:rsidP="00AE2DCB">
      <w:pPr>
        <w:autoSpaceDE w:val="0"/>
        <w:autoSpaceDN w:val="0"/>
        <w:adjustRightInd w:val="0"/>
        <w:jc w:val="both"/>
        <w:rPr>
          <w:sz w:val="20"/>
          <w:szCs w:val="20"/>
        </w:rPr>
      </w:pPr>
      <w:r w:rsidRPr="009118AB">
        <w:rPr>
          <w:sz w:val="20"/>
          <w:szCs w:val="20"/>
        </w:rPr>
        <w:t xml:space="preserve">Ab dem 1. Januar 2029 (gemäß </w:t>
      </w:r>
      <w:r w:rsidR="00D67EB8" w:rsidRPr="009118AB">
        <w:rPr>
          <w:sz w:val="20"/>
          <w:szCs w:val="20"/>
        </w:rPr>
        <w:t>Art. </w:t>
      </w:r>
      <w:r w:rsidRPr="009118AB">
        <w:rPr>
          <w:sz w:val="20"/>
          <w:szCs w:val="20"/>
        </w:rPr>
        <w:t xml:space="preserve">12 </w:t>
      </w:r>
      <w:r w:rsidR="00D67EB8" w:rsidRPr="009118AB">
        <w:rPr>
          <w:sz w:val="20"/>
          <w:szCs w:val="20"/>
        </w:rPr>
        <w:t>Abs. </w:t>
      </w:r>
      <w:r w:rsidR="00E657F5" w:rsidRPr="009118AB">
        <w:rPr>
          <w:sz w:val="20"/>
          <w:szCs w:val="20"/>
        </w:rPr>
        <w:t>9</w:t>
      </w:r>
      <w:r w:rsidRPr="009118AB">
        <w:rPr>
          <w:sz w:val="20"/>
          <w:szCs w:val="20"/>
        </w:rPr>
        <w:t xml:space="preserve"> des G. vom 25. November 2021 (B.S. vom 3. Dezember 2021)) lautet </w:t>
      </w:r>
      <w:r w:rsidR="00D67EB8" w:rsidRPr="009118AB">
        <w:rPr>
          <w:sz w:val="20"/>
          <w:szCs w:val="20"/>
        </w:rPr>
        <w:t>Art. </w:t>
      </w:r>
      <w:r w:rsidRPr="009118AB">
        <w:rPr>
          <w:sz w:val="20"/>
          <w:szCs w:val="20"/>
        </w:rPr>
        <w:t>2</w:t>
      </w:r>
      <w:r w:rsidR="00E657F5" w:rsidRPr="009118AB">
        <w:rPr>
          <w:sz w:val="20"/>
          <w:szCs w:val="20"/>
        </w:rPr>
        <w:t>34</w:t>
      </w:r>
      <w:r w:rsidRPr="009118AB">
        <w:rPr>
          <w:sz w:val="20"/>
          <w:szCs w:val="20"/>
        </w:rPr>
        <w:t xml:space="preserve"> wie folgt:</w:t>
      </w:r>
    </w:p>
    <w:p w14:paraId="2FB8B011" w14:textId="77777777" w:rsidR="00AE2DCB" w:rsidRPr="009118AB" w:rsidRDefault="00AE2DCB" w:rsidP="00AE2DCB">
      <w:pPr>
        <w:autoSpaceDE w:val="0"/>
        <w:autoSpaceDN w:val="0"/>
        <w:adjustRightInd w:val="0"/>
        <w:jc w:val="both"/>
        <w:rPr>
          <w:sz w:val="20"/>
          <w:szCs w:val="20"/>
        </w:rPr>
      </w:pPr>
    </w:p>
    <w:p w14:paraId="6D16CB40" w14:textId="36F85986" w:rsidR="00E657F5" w:rsidRPr="009118AB" w:rsidRDefault="00E657F5" w:rsidP="00E657F5">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234</w:t>
      </w:r>
      <w:r w:rsidR="00D67EB8" w:rsidRPr="009118AB">
        <w:rPr>
          <w:sz w:val="20"/>
          <w:szCs w:val="20"/>
        </w:rPr>
        <w:t> - </w:t>
      </w:r>
      <w:r w:rsidRPr="009118AB">
        <w:rPr>
          <w:bCs/>
          <w:iCs/>
          <w:sz w:val="20"/>
          <w:szCs w:val="20"/>
        </w:rPr>
        <w:t xml:space="preserve">In Bezug auf die in Artikel 227 </w:t>
      </w:r>
      <w:r w:rsidR="00D67EB8" w:rsidRPr="009118AB">
        <w:rPr>
          <w:bCs/>
          <w:iCs/>
          <w:sz w:val="20"/>
          <w:szCs w:val="20"/>
        </w:rPr>
        <w:t>Nr. </w:t>
      </w:r>
      <w:r w:rsidRPr="009118AB">
        <w:rPr>
          <w:bCs/>
          <w:iCs/>
          <w:sz w:val="20"/>
          <w:szCs w:val="20"/>
        </w:rPr>
        <w:t>3 erwähnten Steuerpflichtigen wird die Steuer festgelegt:</w:t>
      </w:r>
    </w:p>
    <w:p w14:paraId="1E804033" w14:textId="77777777" w:rsidR="00E657F5" w:rsidRPr="009118AB" w:rsidRDefault="00E657F5" w:rsidP="00E657F5">
      <w:pPr>
        <w:autoSpaceDE w:val="0"/>
        <w:autoSpaceDN w:val="0"/>
        <w:adjustRightInd w:val="0"/>
        <w:jc w:val="both"/>
        <w:rPr>
          <w:bCs/>
          <w:iCs/>
          <w:sz w:val="20"/>
          <w:szCs w:val="20"/>
        </w:rPr>
      </w:pPr>
    </w:p>
    <w:p w14:paraId="392BB85F"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1. auf den Teil des Nettobetrags des Mietpreises und der Mietvorteile ihrer in Belgien gelegenen unbeweglichen Güter, der das Katastereinkommen dieser Güter übersteigt, außer wenn es sich handelt um:</w:t>
      </w:r>
    </w:p>
    <w:p w14:paraId="5D4CF82A" w14:textId="77777777" w:rsidR="00E657F5" w:rsidRPr="009118AB" w:rsidRDefault="00E657F5" w:rsidP="00E657F5">
      <w:pPr>
        <w:autoSpaceDE w:val="0"/>
        <w:autoSpaceDN w:val="0"/>
        <w:adjustRightInd w:val="0"/>
        <w:jc w:val="both"/>
        <w:rPr>
          <w:bCs/>
          <w:iCs/>
          <w:sz w:val="20"/>
          <w:szCs w:val="20"/>
        </w:rPr>
      </w:pPr>
    </w:p>
    <w:p w14:paraId="6CD9536C"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 Güter, die an eine natürliche Person vermietet sind, die diese Güter weder ganz noch teilweise zur Ausübung ihrer Berufstätigkeit nutzt,</w:t>
      </w:r>
    </w:p>
    <w:p w14:paraId="68625336" w14:textId="77777777" w:rsidR="00E657F5" w:rsidRPr="009118AB" w:rsidRDefault="00E657F5" w:rsidP="00E657F5">
      <w:pPr>
        <w:autoSpaceDE w:val="0"/>
        <w:autoSpaceDN w:val="0"/>
        <w:adjustRightInd w:val="0"/>
        <w:jc w:val="both"/>
        <w:rPr>
          <w:bCs/>
          <w:iCs/>
          <w:sz w:val="20"/>
          <w:szCs w:val="20"/>
        </w:rPr>
      </w:pPr>
    </w:p>
    <w:p w14:paraId="1F1F3DEC"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 Güter, die gemäß den Rechtsvorschriften über den Landpachtvertrag vermietet sind und vom Mieter zu landwirtschaftlichen oder gartenbaulichen Zwecken genutzt werden,</w:t>
      </w:r>
    </w:p>
    <w:p w14:paraId="0C975184" w14:textId="77777777" w:rsidR="00E657F5" w:rsidRPr="009118AB" w:rsidRDefault="00E657F5" w:rsidP="00E657F5">
      <w:pPr>
        <w:autoSpaceDE w:val="0"/>
        <w:autoSpaceDN w:val="0"/>
        <w:adjustRightInd w:val="0"/>
        <w:jc w:val="both"/>
        <w:rPr>
          <w:bCs/>
          <w:iCs/>
          <w:sz w:val="20"/>
          <w:szCs w:val="20"/>
        </w:rPr>
      </w:pPr>
    </w:p>
    <w:p w14:paraId="241EF312" w14:textId="57C05A07" w:rsidR="00E657F5" w:rsidRPr="009118AB" w:rsidRDefault="00E657F5" w:rsidP="00E657F5">
      <w:pPr>
        <w:autoSpaceDE w:val="0"/>
        <w:autoSpaceDN w:val="0"/>
        <w:adjustRightInd w:val="0"/>
        <w:jc w:val="both"/>
        <w:rPr>
          <w:bCs/>
          <w:iCs/>
          <w:sz w:val="20"/>
          <w:szCs w:val="20"/>
        </w:rPr>
      </w:pPr>
      <w:r w:rsidRPr="009118AB">
        <w:rPr>
          <w:bCs/>
          <w:iCs/>
          <w:sz w:val="20"/>
          <w:szCs w:val="20"/>
        </w:rPr>
        <w:t xml:space="preserve">- andere Güter unter der Bedingung, dass der Mieter keine Gewinnerzielungsabsicht verfolgt und diese Güter zu einem der in Artikel 12 </w:t>
      </w:r>
      <w:r w:rsidR="00D67EB8" w:rsidRPr="009118AB">
        <w:rPr>
          <w:bCs/>
          <w:iCs/>
          <w:sz w:val="20"/>
          <w:szCs w:val="20"/>
        </w:rPr>
        <w:t>§ </w:t>
      </w:r>
      <w:r w:rsidRPr="009118AB">
        <w:rPr>
          <w:bCs/>
          <w:iCs/>
          <w:sz w:val="20"/>
          <w:szCs w:val="20"/>
        </w:rPr>
        <w:t>1 vorgesehenen Zwecke nutzt,</w:t>
      </w:r>
    </w:p>
    <w:p w14:paraId="525FC345" w14:textId="77777777" w:rsidR="00E657F5" w:rsidRPr="009118AB" w:rsidRDefault="00E657F5" w:rsidP="00E657F5">
      <w:pPr>
        <w:autoSpaceDE w:val="0"/>
        <w:autoSpaceDN w:val="0"/>
        <w:adjustRightInd w:val="0"/>
        <w:jc w:val="both"/>
        <w:rPr>
          <w:bCs/>
          <w:iCs/>
          <w:sz w:val="20"/>
          <w:szCs w:val="20"/>
        </w:rPr>
      </w:pPr>
    </w:p>
    <w:p w14:paraId="3ED2FDB7" w14:textId="65C1842B" w:rsidR="00E657F5" w:rsidRPr="009118AB" w:rsidRDefault="00E657F5" w:rsidP="00E657F5">
      <w:pPr>
        <w:autoSpaceDE w:val="0"/>
        <w:autoSpaceDN w:val="0"/>
        <w:adjustRightInd w:val="0"/>
        <w:jc w:val="both"/>
        <w:rPr>
          <w:bCs/>
          <w:iCs/>
          <w:sz w:val="20"/>
          <w:szCs w:val="20"/>
        </w:rPr>
      </w:pPr>
      <w:r w:rsidRPr="009118AB">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118AB">
        <w:rPr>
          <w:bCs/>
          <w:iCs/>
          <w:sz w:val="20"/>
          <w:szCs w:val="20"/>
        </w:rPr>
        <w:t>Nr. </w:t>
      </w:r>
      <w:r w:rsidRPr="009118AB">
        <w:rPr>
          <w:bCs/>
          <w:iCs/>
          <w:sz w:val="20"/>
          <w:szCs w:val="20"/>
        </w:rPr>
        <w:t>1 vorgesehenen Ausnahmen auch hier gelten,</w:t>
      </w:r>
    </w:p>
    <w:p w14:paraId="3F5C328B" w14:textId="77777777" w:rsidR="00E657F5" w:rsidRPr="009118AB" w:rsidRDefault="00E657F5" w:rsidP="00E657F5">
      <w:pPr>
        <w:autoSpaceDE w:val="0"/>
        <w:autoSpaceDN w:val="0"/>
        <w:adjustRightInd w:val="0"/>
        <w:jc w:val="both"/>
        <w:rPr>
          <w:bCs/>
          <w:iCs/>
          <w:sz w:val="20"/>
          <w:szCs w:val="20"/>
        </w:rPr>
      </w:pPr>
    </w:p>
    <w:p w14:paraId="4F0BC8E6" w14:textId="2576F98D" w:rsidR="00E657F5" w:rsidRPr="009118AB" w:rsidRDefault="00E657F5" w:rsidP="00E657F5">
      <w:pPr>
        <w:autoSpaceDE w:val="0"/>
        <w:autoSpaceDN w:val="0"/>
        <w:adjustRightInd w:val="0"/>
        <w:jc w:val="both"/>
        <w:rPr>
          <w:bCs/>
          <w:iCs/>
          <w:sz w:val="20"/>
          <w:szCs w:val="20"/>
        </w:rPr>
      </w:pPr>
      <w:r w:rsidRPr="009118AB">
        <w:rPr>
          <w:bCs/>
          <w:iCs/>
          <w:sz w:val="20"/>
          <w:szCs w:val="20"/>
        </w:rPr>
        <w:t xml:space="preserve">3. [auf die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auf die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118AB">
        <w:rPr>
          <w:bCs/>
          <w:iCs/>
          <w:sz w:val="20"/>
          <w:szCs w:val="20"/>
        </w:rPr>
        <w:t>Nr. </w:t>
      </w:r>
      <w:r w:rsidRPr="009118AB">
        <w:rPr>
          <w:bCs/>
          <w:iCs/>
          <w:sz w:val="20"/>
          <w:szCs w:val="20"/>
        </w:rPr>
        <w:t>23 erwähnten Kapitalien,]</w:t>
      </w:r>
    </w:p>
    <w:p w14:paraId="1227078F" w14:textId="77777777" w:rsidR="00E657F5" w:rsidRPr="009118AB" w:rsidRDefault="00E657F5" w:rsidP="00E657F5">
      <w:pPr>
        <w:autoSpaceDE w:val="0"/>
        <w:autoSpaceDN w:val="0"/>
        <w:adjustRightInd w:val="0"/>
        <w:jc w:val="both"/>
        <w:rPr>
          <w:bCs/>
          <w:iCs/>
          <w:sz w:val="20"/>
          <w:szCs w:val="20"/>
        </w:rPr>
      </w:pPr>
    </w:p>
    <w:p w14:paraId="224D8C3A" w14:textId="77777777" w:rsidR="00CB1997" w:rsidRDefault="00CB1997">
      <w:pPr>
        <w:rPr>
          <w:bCs/>
          <w:iCs/>
          <w:sz w:val="20"/>
          <w:szCs w:val="20"/>
        </w:rPr>
      </w:pPr>
      <w:r>
        <w:rPr>
          <w:bCs/>
          <w:iCs/>
          <w:sz w:val="20"/>
          <w:szCs w:val="20"/>
        </w:rPr>
        <w:br w:type="page"/>
      </w:r>
    </w:p>
    <w:p w14:paraId="7E59B0EB" w14:textId="7C068C9E" w:rsidR="00E657F5" w:rsidRPr="009118AB" w:rsidRDefault="00E657F5" w:rsidP="00E657F5">
      <w:pPr>
        <w:autoSpaceDE w:val="0"/>
        <w:autoSpaceDN w:val="0"/>
        <w:adjustRightInd w:val="0"/>
        <w:jc w:val="both"/>
        <w:rPr>
          <w:iCs/>
          <w:sz w:val="20"/>
          <w:szCs w:val="20"/>
        </w:rPr>
      </w:pPr>
      <w:r w:rsidRPr="009118AB">
        <w:rPr>
          <w:bCs/>
          <w:iCs/>
          <w:sz w:val="20"/>
          <w:szCs w:val="20"/>
        </w:rPr>
        <w:lastRenderedPageBreak/>
        <w:t xml:space="preserve">4. auf [die in </w:t>
      </w:r>
      <w:r w:rsidRPr="009118AB">
        <w:rPr>
          <w:iCs/>
          <w:sz w:val="20"/>
          <w:szCs w:val="20"/>
        </w:rPr>
        <w:t xml:space="preserve">[Artikel 57 Absatz 1] </w:t>
      </w:r>
      <w:r w:rsidRPr="009118AB">
        <w:rPr>
          <w:bCs/>
          <w:iCs/>
          <w:sz w:val="20"/>
          <w:szCs w:val="20"/>
        </w:rPr>
        <w:t>erwähnten Ausgaben</w:t>
      </w:r>
      <w:r w:rsidR="003D5682" w:rsidRPr="009118AB">
        <w:rPr>
          <w:bCs/>
          <w:iCs/>
          <w:sz w:val="20"/>
          <w:szCs w:val="20"/>
        </w:rPr>
        <w:t xml:space="preserve">[, die in den Artikeln 31 Absatz 2 </w:t>
      </w:r>
      <w:r w:rsidR="00D67EB8" w:rsidRPr="009118AB">
        <w:rPr>
          <w:bCs/>
          <w:iCs/>
          <w:sz w:val="20"/>
          <w:szCs w:val="20"/>
        </w:rPr>
        <w:t>Nr. </w:t>
      </w:r>
      <w:r w:rsidR="003D5682" w:rsidRPr="009118AB">
        <w:rPr>
          <w:bCs/>
          <w:iCs/>
          <w:sz w:val="20"/>
          <w:szCs w:val="20"/>
        </w:rPr>
        <w:t xml:space="preserve">2 und 32 Absatz 2 </w:t>
      </w:r>
      <w:r w:rsidR="00D67EB8" w:rsidRPr="009118AB">
        <w:rPr>
          <w:bCs/>
          <w:iCs/>
          <w:sz w:val="20"/>
          <w:szCs w:val="20"/>
        </w:rPr>
        <w:t>Nr. </w:t>
      </w:r>
      <w:r w:rsidR="003D5682" w:rsidRPr="009118AB">
        <w:rPr>
          <w:bCs/>
          <w:iCs/>
          <w:sz w:val="20"/>
          <w:szCs w:val="20"/>
        </w:rPr>
        <w:t xml:space="preserve">2 erwähnten Vorteile jeglicher Art und die in Artikel 17 </w:t>
      </w:r>
      <w:r w:rsidR="00D67EB8" w:rsidRPr="009118AB">
        <w:rPr>
          <w:bCs/>
          <w:iCs/>
          <w:sz w:val="20"/>
          <w:szCs w:val="20"/>
        </w:rPr>
        <w:t>§ </w:t>
      </w:r>
      <w:r w:rsidR="003D5682" w:rsidRPr="009118AB">
        <w:rPr>
          <w:bCs/>
          <w:iCs/>
          <w:sz w:val="20"/>
          <w:szCs w:val="20"/>
        </w:rPr>
        <w:t xml:space="preserve">1 </w:t>
      </w:r>
      <w:r w:rsidR="00D67EB8" w:rsidRPr="009118AB">
        <w:rPr>
          <w:bCs/>
          <w:iCs/>
          <w:sz w:val="20"/>
          <w:szCs w:val="20"/>
        </w:rPr>
        <w:t>Nr. </w:t>
      </w:r>
      <w:r w:rsidR="003D5682" w:rsidRPr="009118AB">
        <w:rPr>
          <w:bCs/>
          <w:iCs/>
          <w:sz w:val="20"/>
          <w:szCs w:val="20"/>
        </w:rPr>
        <w:t xml:space="preserve">3, was Urheberrechte und ähnliche Rechte betrifft, und </w:t>
      </w:r>
      <w:r w:rsidR="00D67EB8" w:rsidRPr="009118AB">
        <w:rPr>
          <w:bCs/>
          <w:iCs/>
          <w:sz w:val="20"/>
          <w:szCs w:val="20"/>
        </w:rPr>
        <w:t>Nr. </w:t>
      </w:r>
      <w:r w:rsidR="003D5682" w:rsidRPr="009118AB">
        <w:rPr>
          <w:bCs/>
          <w:iCs/>
          <w:sz w:val="20"/>
          <w:szCs w:val="20"/>
        </w:rPr>
        <w:t xml:space="preserve">5 erwähnten Einkünfte]], </w:t>
      </w:r>
      <w:r w:rsidRPr="009118AB">
        <w:rPr>
          <w:bCs/>
          <w:iCs/>
          <w:sz w:val="20"/>
          <w:szCs w:val="20"/>
        </w:rPr>
        <w:t xml:space="preserve">die nicht durch Individualkarten </w:t>
      </w:r>
      <w:r w:rsidR="00E40DE2" w:rsidRPr="009118AB">
        <w:rPr>
          <w:bCs/>
          <w:iCs/>
          <w:sz w:val="20"/>
          <w:szCs w:val="20"/>
        </w:rPr>
        <w:t>[...]</w:t>
      </w:r>
      <w:r w:rsidRPr="009118AB">
        <w:rPr>
          <w:bCs/>
          <w:iCs/>
          <w:sz w:val="20"/>
          <w:szCs w:val="20"/>
        </w:rPr>
        <w:t xml:space="preserve"> nachgewiesen werden[</w:t>
      </w:r>
      <w:r w:rsidRPr="009118AB">
        <w:rPr>
          <w:iCs/>
          <w:sz w:val="20"/>
          <w:szCs w:val="20"/>
        </w:rPr>
        <w:t>, außer:</w:t>
      </w:r>
    </w:p>
    <w:p w14:paraId="51E51B82" w14:textId="77777777" w:rsidR="00E657F5" w:rsidRPr="009118AB" w:rsidRDefault="00E657F5" w:rsidP="00E657F5">
      <w:pPr>
        <w:autoSpaceDE w:val="0"/>
        <w:autoSpaceDN w:val="0"/>
        <w:adjustRightInd w:val="0"/>
        <w:jc w:val="both"/>
        <w:rPr>
          <w:iCs/>
          <w:sz w:val="20"/>
          <w:szCs w:val="20"/>
        </w:rPr>
      </w:pPr>
    </w:p>
    <w:p w14:paraId="5D5D390B" w14:textId="77777777" w:rsidR="00E657F5" w:rsidRPr="009118AB" w:rsidRDefault="00E657F5" w:rsidP="00E657F5">
      <w:pPr>
        <w:autoSpaceDE w:val="0"/>
        <w:autoSpaceDN w:val="0"/>
        <w:adjustRightInd w:val="0"/>
        <w:jc w:val="both"/>
        <w:rPr>
          <w:iCs/>
          <w:sz w:val="20"/>
          <w:szCs w:val="20"/>
        </w:rPr>
      </w:pPr>
      <w:r w:rsidRPr="009118AB">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5C624DA3" w14:textId="77777777" w:rsidR="00E657F5" w:rsidRPr="009118AB" w:rsidRDefault="00E657F5" w:rsidP="00E657F5">
      <w:pPr>
        <w:autoSpaceDE w:val="0"/>
        <w:autoSpaceDN w:val="0"/>
        <w:adjustRightInd w:val="0"/>
        <w:jc w:val="both"/>
        <w:rPr>
          <w:iCs/>
          <w:sz w:val="20"/>
          <w:szCs w:val="20"/>
        </w:rPr>
      </w:pPr>
    </w:p>
    <w:p w14:paraId="42493C9B" w14:textId="4D05ED2C" w:rsidR="00E657F5" w:rsidRPr="009118AB" w:rsidRDefault="00E657F5" w:rsidP="00E657F5">
      <w:pPr>
        <w:autoSpaceDE w:val="0"/>
        <w:autoSpaceDN w:val="0"/>
        <w:adjustRightInd w:val="0"/>
        <w:jc w:val="both"/>
        <w:rPr>
          <w:bCs/>
          <w:iCs/>
          <w:sz w:val="20"/>
          <w:szCs w:val="20"/>
        </w:rPr>
      </w:pPr>
      <w:r w:rsidRPr="009118AB">
        <w:rPr>
          <w:iCs/>
          <w:sz w:val="20"/>
          <w:szCs w:val="20"/>
        </w:rPr>
        <w:t>- oder</w:t>
      </w:r>
      <w:r w:rsidR="00D67EB8" w:rsidRPr="009118AB">
        <w:rPr>
          <w:iCs/>
          <w:sz w:val="20"/>
          <w:szCs w:val="20"/>
        </w:rPr>
        <w:t> - </w:t>
      </w:r>
      <w:r w:rsidRPr="009118AB">
        <w:rPr>
          <w:iCs/>
          <w:sz w:val="20"/>
          <w:szCs w:val="20"/>
        </w:rPr>
        <w:t>wenn dieser Betrag nicht in einer solchen Erklärung enthalten ist</w:t>
      </w:r>
      <w:r w:rsidR="00D67EB8" w:rsidRPr="009118AB">
        <w:rPr>
          <w:iCs/>
          <w:sz w:val="20"/>
          <w:szCs w:val="20"/>
        </w:rPr>
        <w:t> - </w:t>
      </w:r>
      <w:r w:rsidRPr="009118AB">
        <w:rPr>
          <w:iCs/>
          <w:sz w:val="20"/>
          <w:szCs w:val="20"/>
        </w:rPr>
        <w:t>wenn der Empfänger spätestens zwei Jahre und sechs Monate ab dem 1. Januar des betreffenden Steuerjahres eindeutig identifiziert worden ist [</w:t>
      </w:r>
      <w:r w:rsidRPr="009118AB">
        <w:rPr>
          <w:sz w:val="20"/>
          <w:szCs w:val="20"/>
        </w:rPr>
        <w:t xml:space="preserve">oder wenn der Betrag der Ausgaben in einer Veranlagung enthalten ist, die in den in den Artikeln 354 Absatz 1 und 2 und 358 erwähnten Fristen </w:t>
      </w:r>
      <w:r w:rsidR="0027187F" w:rsidRPr="009118AB">
        <w:rPr>
          <w:sz w:val="20"/>
          <w:szCs w:val="20"/>
        </w:rPr>
        <w:t>[bei einem steuerpflichtigen Empfänger wie in Artikel 305 Absatz 1 erwähnt mit seinem Einverständnis]</w:t>
      </w:r>
      <w:r w:rsidRPr="009118AB">
        <w:rPr>
          <w:sz w:val="20"/>
          <w:szCs w:val="20"/>
        </w:rPr>
        <w:t xml:space="preserve"> festgelegt wird</w:t>
      </w:r>
      <w:r w:rsidRPr="009118AB">
        <w:rPr>
          <w:iCs/>
          <w:sz w:val="20"/>
          <w:szCs w:val="20"/>
        </w:rPr>
        <w:t>]]</w:t>
      </w:r>
      <w:r w:rsidRPr="009118AB">
        <w:rPr>
          <w:bCs/>
          <w:iCs/>
          <w:sz w:val="20"/>
          <w:szCs w:val="20"/>
        </w:rPr>
        <w:t>,</w:t>
      </w:r>
    </w:p>
    <w:p w14:paraId="0EA6F0B6" w14:textId="77777777" w:rsidR="00E657F5" w:rsidRPr="009118AB" w:rsidRDefault="00E657F5" w:rsidP="00E657F5">
      <w:pPr>
        <w:autoSpaceDE w:val="0"/>
        <w:autoSpaceDN w:val="0"/>
        <w:adjustRightInd w:val="0"/>
        <w:jc w:val="both"/>
        <w:rPr>
          <w:bCs/>
          <w:iCs/>
          <w:sz w:val="20"/>
          <w:szCs w:val="20"/>
        </w:rPr>
      </w:pPr>
    </w:p>
    <w:p w14:paraId="356D26E5" w14:textId="5CA2743C" w:rsidR="00E657F5" w:rsidRPr="009118AB" w:rsidRDefault="00E657F5" w:rsidP="00E657F5">
      <w:pPr>
        <w:autoSpaceDE w:val="0"/>
        <w:autoSpaceDN w:val="0"/>
        <w:adjustRightInd w:val="0"/>
        <w:jc w:val="both"/>
        <w:rPr>
          <w:bCs/>
          <w:iCs/>
          <w:sz w:val="20"/>
          <w:szCs w:val="20"/>
        </w:rPr>
      </w:pPr>
      <w:r w:rsidRPr="009118AB">
        <w:rPr>
          <w:bCs/>
          <w:iCs/>
          <w:sz w:val="20"/>
          <w:szCs w:val="20"/>
        </w:rPr>
        <w:t xml:space="preserve">[5. [auf die in Artikel 53 </w:t>
      </w:r>
      <w:r w:rsidR="00D67EB8" w:rsidRPr="009118AB">
        <w:rPr>
          <w:bCs/>
          <w:iCs/>
          <w:sz w:val="20"/>
          <w:szCs w:val="20"/>
        </w:rPr>
        <w:t>Nr. </w:t>
      </w:r>
      <w:r w:rsidRPr="009118AB">
        <w:rPr>
          <w:bCs/>
          <w:iCs/>
          <w:sz w:val="20"/>
          <w:szCs w:val="20"/>
        </w:rPr>
        <w:t>24 erwähnten finanziellen Vorteile oder Vorteile jeglicher Art,]]</w:t>
      </w:r>
    </w:p>
    <w:p w14:paraId="377A028C" w14:textId="77777777" w:rsidR="00E657F5" w:rsidRPr="009118AB" w:rsidRDefault="00E657F5" w:rsidP="00E657F5">
      <w:pPr>
        <w:autoSpaceDE w:val="0"/>
        <w:autoSpaceDN w:val="0"/>
        <w:adjustRightInd w:val="0"/>
        <w:jc w:val="both"/>
        <w:rPr>
          <w:bCs/>
          <w:iCs/>
          <w:sz w:val="20"/>
          <w:szCs w:val="20"/>
        </w:rPr>
      </w:pPr>
    </w:p>
    <w:p w14:paraId="5EC08927" w14:textId="1E63A6C0" w:rsidR="00E657F5" w:rsidRPr="009118AB" w:rsidRDefault="00E657F5" w:rsidP="00E657F5">
      <w:pPr>
        <w:autoSpaceDE w:val="0"/>
        <w:autoSpaceDN w:val="0"/>
        <w:adjustRightInd w:val="0"/>
        <w:jc w:val="both"/>
        <w:rPr>
          <w:bCs/>
          <w:iCs/>
          <w:sz w:val="20"/>
          <w:szCs w:val="20"/>
        </w:rPr>
      </w:pPr>
      <w:r w:rsidRPr="009118AB">
        <w:rPr>
          <w:bCs/>
          <w:iCs/>
          <w:sz w:val="20"/>
          <w:szCs w:val="20"/>
        </w:rPr>
        <w:t>[6. [</w:t>
      </w:r>
      <w:r w:rsidRPr="009118AB">
        <w:rPr>
          <w:iCs/>
          <w:sz w:val="20"/>
          <w:szCs w:val="20"/>
        </w:rPr>
        <w:t xml:space="preserve">auf einen Betrag, der 17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w:t>
      </w:r>
      <w:r w:rsidRPr="009118AB">
        <w:rPr>
          <w:bCs/>
          <w:iCs/>
          <w:sz w:val="20"/>
          <w:szCs w:val="20"/>
        </w:rPr>
        <w:t>]]</w:t>
      </w:r>
    </w:p>
    <w:p w14:paraId="1B5A8446" w14:textId="77777777" w:rsidR="00E657F5" w:rsidRPr="009118AB" w:rsidRDefault="00E657F5" w:rsidP="00E657F5">
      <w:pPr>
        <w:autoSpaceDE w:val="0"/>
        <w:autoSpaceDN w:val="0"/>
        <w:adjustRightInd w:val="0"/>
        <w:jc w:val="both"/>
        <w:rPr>
          <w:bCs/>
          <w:iCs/>
          <w:sz w:val="20"/>
          <w:szCs w:val="20"/>
        </w:rPr>
      </w:pPr>
    </w:p>
    <w:p w14:paraId="7A912281" w14:textId="0AF0D9D3" w:rsidR="00E657F5" w:rsidRPr="009118AB" w:rsidRDefault="00E657F5" w:rsidP="00E657F5">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 xml:space="preserve">] </w:t>
      </w:r>
    </w:p>
    <w:p w14:paraId="2CE5AE18" w14:textId="77777777" w:rsidR="00E657F5" w:rsidRPr="009118AB" w:rsidRDefault="00E657F5" w:rsidP="00E657F5">
      <w:pPr>
        <w:autoSpaceDE w:val="0"/>
        <w:autoSpaceDN w:val="0"/>
        <w:adjustRightInd w:val="0"/>
        <w:jc w:val="both"/>
        <w:rPr>
          <w:bCs/>
          <w:iCs/>
          <w:sz w:val="20"/>
          <w:szCs w:val="20"/>
        </w:rPr>
      </w:pPr>
    </w:p>
    <w:p w14:paraId="025492AF" w14:textId="68AB7075" w:rsidR="00E657F5" w:rsidRPr="009118AB" w:rsidRDefault="00E657F5" w:rsidP="00E657F5">
      <w:pPr>
        <w:autoSpaceDE w:val="0"/>
        <w:autoSpaceDN w:val="0"/>
        <w:adjustRightInd w:val="0"/>
        <w:jc w:val="both"/>
        <w:rPr>
          <w:bCs/>
          <w:iCs/>
          <w:sz w:val="20"/>
          <w:szCs w:val="20"/>
        </w:rPr>
      </w:pPr>
      <w:r w:rsidRPr="009118AB">
        <w:rPr>
          <w:bCs/>
          <w:iCs/>
          <w:sz w:val="20"/>
          <w:szCs w:val="20"/>
        </w:rPr>
        <w:t>[</w:t>
      </w:r>
      <w:r w:rsidRPr="009118AB">
        <w:rPr>
          <w:iCs/>
          <w:sz w:val="20"/>
          <w:szCs w:val="20"/>
        </w:rPr>
        <w:t xml:space="preserve">7. auf einen Betrag, der in Abweichung von </w:t>
      </w:r>
      <w:r w:rsidR="00D67EB8" w:rsidRPr="009118AB">
        <w:rPr>
          <w:iCs/>
          <w:sz w:val="20"/>
          <w:szCs w:val="20"/>
        </w:rPr>
        <w:t>Nr. </w:t>
      </w:r>
      <w:r w:rsidRPr="009118AB">
        <w:rPr>
          <w:iCs/>
          <w:sz w:val="20"/>
          <w:szCs w:val="20"/>
        </w:rPr>
        <w:t xml:space="preserve">6 40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118AB">
        <w:rPr>
          <w:bCs/>
          <w:iCs/>
          <w:sz w:val="20"/>
          <w:szCs w:val="20"/>
        </w:rPr>
        <w:t>]</w:t>
      </w:r>
    </w:p>
    <w:p w14:paraId="018BED63" w14:textId="77777777" w:rsidR="00E657F5" w:rsidRPr="009118AB" w:rsidRDefault="00E657F5" w:rsidP="00E657F5">
      <w:pPr>
        <w:autoSpaceDE w:val="0"/>
        <w:autoSpaceDN w:val="0"/>
        <w:adjustRightInd w:val="0"/>
        <w:jc w:val="both"/>
        <w:rPr>
          <w:bCs/>
          <w:iCs/>
          <w:sz w:val="20"/>
          <w:szCs w:val="20"/>
        </w:rPr>
      </w:pPr>
    </w:p>
    <w:p w14:paraId="701EB014" w14:textId="3BDCEFC3" w:rsidR="00E657F5" w:rsidRPr="009118AB" w:rsidRDefault="00E657F5" w:rsidP="00E657F5">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w:t>
      </w:r>
    </w:p>
    <w:p w14:paraId="6455DA2E" w14:textId="77777777" w:rsidR="00E657F5" w:rsidRPr="009118AB" w:rsidRDefault="00E657F5" w:rsidP="00E657F5">
      <w:pPr>
        <w:autoSpaceDE w:val="0"/>
        <w:autoSpaceDN w:val="0"/>
        <w:adjustRightInd w:val="0"/>
        <w:jc w:val="both"/>
        <w:rPr>
          <w:bCs/>
          <w:iCs/>
          <w:sz w:val="20"/>
          <w:szCs w:val="20"/>
        </w:rPr>
      </w:pPr>
    </w:p>
    <w:p w14:paraId="4CA00B86"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[8. auf die Kosten in Bezug auf die Nutzung der in Artikel 65 erwähnten Fahrzeuge, die ab dem 1. Januar 2026 gekauft, geleast oder gemietet werden, es sei denn, es handelt sich um ein Fahrzeug, das kein CO</w:t>
      </w:r>
      <w:r w:rsidRPr="009118AB">
        <w:rPr>
          <w:bCs/>
          <w:iCs/>
          <w:sz w:val="20"/>
          <w:szCs w:val="20"/>
          <w:vertAlign w:val="subscript"/>
        </w:rPr>
        <w:t>2</w:t>
      </w:r>
      <w:r w:rsidRPr="009118AB">
        <w:rPr>
          <w:bCs/>
          <w:iCs/>
          <w:sz w:val="20"/>
          <w:szCs w:val="20"/>
        </w:rPr>
        <w:t xml:space="preserve"> ausstößt,]</w:t>
      </w:r>
    </w:p>
    <w:p w14:paraId="32E6F457" w14:textId="77777777" w:rsidR="00E657F5" w:rsidRPr="009118AB" w:rsidRDefault="00E657F5" w:rsidP="00E657F5">
      <w:pPr>
        <w:autoSpaceDE w:val="0"/>
        <w:autoSpaceDN w:val="0"/>
        <w:adjustRightInd w:val="0"/>
        <w:jc w:val="both"/>
        <w:rPr>
          <w:bCs/>
          <w:iCs/>
          <w:sz w:val="20"/>
          <w:szCs w:val="20"/>
        </w:rPr>
      </w:pPr>
    </w:p>
    <w:p w14:paraId="61386D38"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[9. [auf einen Betrag, der dem nachstehend erwähnten Prozentsatz der Kosten in Bezug auf die Nutzung der in Artikel 65 erwähnten Fahrzeuge, die kein CO</w:t>
      </w:r>
      <w:r w:rsidRPr="009118AB">
        <w:rPr>
          <w:bCs/>
          <w:iCs/>
          <w:sz w:val="20"/>
          <w:szCs w:val="20"/>
          <w:vertAlign w:val="subscript"/>
        </w:rPr>
        <w:t>2</w:t>
      </w:r>
      <w:r w:rsidRPr="009118AB">
        <w:rPr>
          <w:bCs/>
          <w:iCs/>
          <w:sz w:val="20"/>
          <w:szCs w:val="20"/>
        </w:rPr>
        <w:t xml:space="preserve"> ausstoßen, entspricht:</w:t>
      </w:r>
    </w:p>
    <w:p w14:paraId="4CC2DF59" w14:textId="77777777" w:rsidR="00E657F5" w:rsidRPr="009118AB" w:rsidRDefault="00E657F5" w:rsidP="00E657F5">
      <w:pPr>
        <w:autoSpaceDE w:val="0"/>
        <w:autoSpaceDN w:val="0"/>
        <w:adjustRightInd w:val="0"/>
        <w:jc w:val="both"/>
        <w:rPr>
          <w:bCs/>
          <w:iCs/>
          <w:sz w:val="20"/>
          <w:szCs w:val="20"/>
        </w:rPr>
      </w:pPr>
    </w:p>
    <w:p w14:paraId="6AFF49A6"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- 5 Prozent, wenn es sich um ein 2027 gekauftes, geleastes oder gemietetes Fahrzeug handelt,</w:t>
      </w:r>
    </w:p>
    <w:p w14:paraId="5EB949DB" w14:textId="77777777" w:rsidR="00E657F5" w:rsidRPr="009118AB" w:rsidRDefault="00E657F5" w:rsidP="00E657F5">
      <w:pPr>
        <w:autoSpaceDE w:val="0"/>
        <w:autoSpaceDN w:val="0"/>
        <w:adjustRightInd w:val="0"/>
        <w:jc w:val="both"/>
        <w:rPr>
          <w:bCs/>
          <w:iCs/>
          <w:sz w:val="20"/>
          <w:szCs w:val="20"/>
        </w:rPr>
      </w:pPr>
    </w:p>
    <w:p w14:paraId="05534DC6" w14:textId="0467C963" w:rsidR="00E657F5" w:rsidRPr="009118AB" w:rsidRDefault="00E657F5" w:rsidP="00E657F5">
      <w:pPr>
        <w:autoSpaceDE w:val="0"/>
        <w:autoSpaceDN w:val="0"/>
        <w:adjustRightInd w:val="0"/>
        <w:jc w:val="both"/>
        <w:rPr>
          <w:bCs/>
          <w:iCs/>
          <w:sz w:val="20"/>
          <w:szCs w:val="20"/>
        </w:rPr>
      </w:pPr>
      <w:r w:rsidRPr="009118AB">
        <w:rPr>
          <w:bCs/>
          <w:iCs/>
          <w:sz w:val="20"/>
          <w:szCs w:val="20"/>
        </w:rPr>
        <w:t>- 10 Prozent, wenn es sich um ein 2028 gekauftes, geleastes oder gemietetes Fahrzeug handelt,]]</w:t>
      </w:r>
    </w:p>
    <w:p w14:paraId="1CA57C03" w14:textId="1393368A" w:rsidR="00E657F5" w:rsidRPr="009118AB" w:rsidRDefault="00E657F5" w:rsidP="00E657F5">
      <w:pPr>
        <w:autoSpaceDE w:val="0"/>
        <w:autoSpaceDN w:val="0"/>
        <w:adjustRightInd w:val="0"/>
        <w:jc w:val="both"/>
        <w:rPr>
          <w:bCs/>
          <w:iCs/>
          <w:sz w:val="20"/>
          <w:szCs w:val="20"/>
        </w:rPr>
      </w:pPr>
    </w:p>
    <w:p w14:paraId="11A00F7F" w14:textId="5524352E" w:rsidR="00E657F5" w:rsidRPr="009118AB" w:rsidRDefault="00E657F5" w:rsidP="00E657F5">
      <w:pPr>
        <w:autoSpaceDE w:val="0"/>
        <w:autoSpaceDN w:val="0"/>
        <w:adjustRightInd w:val="0"/>
        <w:jc w:val="both"/>
        <w:rPr>
          <w:bCs/>
          <w:iCs/>
          <w:sz w:val="20"/>
          <w:szCs w:val="20"/>
        </w:rPr>
      </w:pPr>
      <w:r w:rsidRPr="009118AB">
        <w:rPr>
          <w:bCs/>
          <w:iCs/>
          <w:sz w:val="20"/>
          <w:szCs w:val="20"/>
        </w:rPr>
        <w:t>[- 17,5 Prozent, wenn es sich um ein 2029 gekauftes, geleastes oder gemietetes Fahrzeug handelt</w:t>
      </w:r>
      <w:r w:rsidR="00395EAB" w:rsidRPr="009118AB">
        <w:rPr>
          <w:bCs/>
          <w:iCs/>
          <w:sz w:val="20"/>
          <w:szCs w:val="20"/>
        </w:rPr>
        <w:t>,</w:t>
      </w:r>
      <w:r w:rsidRPr="009118AB">
        <w:rPr>
          <w:bCs/>
          <w:iCs/>
          <w:sz w:val="20"/>
          <w:szCs w:val="20"/>
        </w:rPr>
        <w:t>]</w:t>
      </w:r>
    </w:p>
    <w:p w14:paraId="691905FE" w14:textId="0007CAC7" w:rsidR="00395EAB" w:rsidRPr="009118AB" w:rsidRDefault="00395EAB" w:rsidP="00E657F5">
      <w:pPr>
        <w:autoSpaceDE w:val="0"/>
        <w:autoSpaceDN w:val="0"/>
        <w:adjustRightInd w:val="0"/>
        <w:jc w:val="both"/>
        <w:rPr>
          <w:bCs/>
          <w:iCs/>
          <w:sz w:val="20"/>
          <w:szCs w:val="20"/>
        </w:rPr>
      </w:pPr>
    </w:p>
    <w:p w14:paraId="31C3ED36" w14:textId="63F10DDA" w:rsidR="00395EAB" w:rsidRPr="009118AB" w:rsidRDefault="00395EAB" w:rsidP="00395EAB">
      <w:pPr>
        <w:autoSpaceDE w:val="0"/>
        <w:autoSpaceDN w:val="0"/>
        <w:adjustRightInd w:val="0"/>
        <w:jc w:val="both"/>
        <w:rPr>
          <w:bCs/>
          <w:iCs/>
          <w:sz w:val="20"/>
          <w:szCs w:val="20"/>
        </w:rPr>
      </w:pPr>
      <w:r w:rsidRPr="009118AB">
        <w:rPr>
          <w:bCs/>
          <w:iCs/>
          <w:sz w:val="20"/>
          <w:szCs w:val="20"/>
        </w:rPr>
        <w:t>[10. auf Provisionen, Maklergebühren, kommerzielle oder andere Ermäßigungen, zufällige oder nicht zufällige Entgelte oder Honorare, Zuwendungen, Vergütungen oder Vorteile jeglicher Art</w:t>
      </w:r>
      <w:r w:rsidR="00D67EB8" w:rsidRPr="009118AB">
        <w:rPr>
          <w:bCs/>
          <w:iCs/>
          <w:sz w:val="20"/>
          <w:szCs w:val="20"/>
        </w:rPr>
        <w:t> - </w:t>
      </w:r>
      <w:r w:rsidRPr="009118AB">
        <w:rPr>
          <w:bCs/>
          <w:iCs/>
          <w:sz w:val="20"/>
          <w:szCs w:val="20"/>
        </w:rPr>
        <w:t>in dem Maße, wie sie sich auf mehr als 3 Prozent der gesamten Bruttoentlohnung des Sportlers belaufen, die während der Dauer des Arbeitsvertrags pro Jahr berechnet wird</w:t>
      </w:r>
      <w:r w:rsidR="00FD68E8" w:rsidRPr="009118AB">
        <w:rPr>
          <w:bCs/>
          <w:iCs/>
          <w:sz w:val="20"/>
          <w:szCs w:val="20"/>
        </w:rPr>
        <w:t> -,</w:t>
      </w:r>
      <w:r w:rsidRPr="009118AB">
        <w:rPr>
          <w:bCs/>
          <w:iCs/>
          <w:sz w:val="20"/>
          <w:szCs w:val="20"/>
        </w:rPr>
        <w:t xml:space="preserve"> die direkt oder indirekt im Rahmen eines Vertrags gezahlt werden, der Folgendes zum Ziel hat:</w:t>
      </w:r>
    </w:p>
    <w:p w14:paraId="44700B21" w14:textId="77777777" w:rsidR="00395EAB" w:rsidRPr="009118AB" w:rsidRDefault="00395EAB" w:rsidP="00395EAB">
      <w:pPr>
        <w:autoSpaceDE w:val="0"/>
        <w:autoSpaceDN w:val="0"/>
        <w:adjustRightInd w:val="0"/>
        <w:jc w:val="both"/>
        <w:rPr>
          <w:bCs/>
          <w:iCs/>
          <w:sz w:val="20"/>
          <w:szCs w:val="20"/>
        </w:rPr>
      </w:pPr>
    </w:p>
    <w:p w14:paraId="1967DB04"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a)</w:t>
      </w:r>
      <w:r w:rsidRPr="009118AB">
        <w:rPr>
          <w:bCs/>
          <w:iCs/>
          <w:sz w:val="20"/>
          <w:szCs w:val="20"/>
        </w:rPr>
        <w:t> entweder einen Sportler bei Verhandlungen im Hinblick auf den Abschluss, die Verlängerung, Erneuerung oder Beendigung eines Arbeitsvertrags bei einem Sportclub zu unterstützen</w:t>
      </w:r>
    </w:p>
    <w:p w14:paraId="4049DCC1" w14:textId="77777777" w:rsidR="00395EAB" w:rsidRPr="009118AB" w:rsidRDefault="00395EAB" w:rsidP="00395EAB">
      <w:pPr>
        <w:autoSpaceDE w:val="0"/>
        <w:autoSpaceDN w:val="0"/>
        <w:adjustRightInd w:val="0"/>
        <w:jc w:val="both"/>
        <w:rPr>
          <w:bCs/>
          <w:iCs/>
          <w:sz w:val="20"/>
          <w:szCs w:val="20"/>
        </w:rPr>
      </w:pPr>
    </w:p>
    <w:p w14:paraId="6CA6A9B5" w14:textId="0CADC1D8" w:rsidR="00395EAB" w:rsidRPr="009118AB" w:rsidRDefault="00395EAB" w:rsidP="00395EAB">
      <w:pPr>
        <w:autoSpaceDE w:val="0"/>
        <w:autoSpaceDN w:val="0"/>
        <w:adjustRightInd w:val="0"/>
        <w:jc w:val="both"/>
        <w:rPr>
          <w:bCs/>
          <w:iCs/>
          <w:sz w:val="20"/>
          <w:szCs w:val="20"/>
        </w:rPr>
      </w:pPr>
      <w:r w:rsidRPr="009118AB">
        <w:rPr>
          <w:bCs/>
          <w:i/>
          <w:iCs/>
          <w:sz w:val="20"/>
          <w:szCs w:val="20"/>
        </w:rPr>
        <w:t>b)</w:t>
      </w:r>
      <w:r w:rsidRPr="009118AB">
        <w:rPr>
          <w:bCs/>
          <w:iCs/>
          <w:sz w:val="20"/>
          <w:szCs w:val="20"/>
        </w:rPr>
        <w:t xml:space="preserve"> oder einen in Artikel 270 </w:t>
      </w:r>
      <w:r w:rsidR="00D67EB8" w:rsidRPr="009118AB">
        <w:rPr>
          <w:bCs/>
          <w:iCs/>
          <w:sz w:val="20"/>
          <w:szCs w:val="20"/>
        </w:rPr>
        <w:t>Nr. </w:t>
      </w:r>
      <w:r w:rsidRPr="009118AB">
        <w:rPr>
          <w:bCs/>
          <w:iCs/>
          <w:sz w:val="20"/>
          <w:szCs w:val="20"/>
        </w:rPr>
        <w:t>1 und 3 erwähnten Schuldner des Berufssteuer</w:t>
      </w:r>
      <w:r w:rsidRPr="009118AB">
        <w:rPr>
          <w:bCs/>
          <w:iCs/>
          <w:sz w:val="20"/>
          <w:szCs w:val="20"/>
        </w:rPr>
        <w:softHyphen/>
        <w:t>vorabzugs bei Verhandlungen im Hinblick auf den Abschluss, die Verlängerung, Erneuerung oder Beendigung eines Arbeitsvertrags mit einem Sportler zu unterstützen.</w:t>
      </w:r>
    </w:p>
    <w:p w14:paraId="50C97D8A" w14:textId="77777777" w:rsidR="00395EAB" w:rsidRPr="009118AB" w:rsidRDefault="00395EAB" w:rsidP="00395EAB">
      <w:pPr>
        <w:autoSpaceDE w:val="0"/>
        <w:autoSpaceDN w:val="0"/>
        <w:adjustRightInd w:val="0"/>
        <w:jc w:val="both"/>
        <w:rPr>
          <w:bCs/>
          <w:iCs/>
          <w:sz w:val="20"/>
          <w:szCs w:val="20"/>
        </w:rPr>
      </w:pPr>
    </w:p>
    <w:p w14:paraId="5CE1E97A"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c)</w:t>
      </w:r>
      <w:r w:rsidRPr="009118AB">
        <w:rPr>
          <w:bCs/>
          <w:iCs/>
          <w:sz w:val="20"/>
          <w:szCs w:val="20"/>
        </w:rPr>
        <w:t> oder eine Ausleihe oder einen definitiven Transfer im Hinblick auf die Ankunft oder den Weggang eines Sportlers zu regeln.]</w:t>
      </w:r>
    </w:p>
    <w:p w14:paraId="61C6DF0F" w14:textId="77777777" w:rsidR="00395EAB" w:rsidRPr="009118AB" w:rsidRDefault="00395EAB" w:rsidP="00395EAB">
      <w:pPr>
        <w:autoSpaceDE w:val="0"/>
        <w:autoSpaceDN w:val="0"/>
        <w:adjustRightInd w:val="0"/>
        <w:jc w:val="both"/>
        <w:rPr>
          <w:bCs/>
          <w:iCs/>
          <w:sz w:val="20"/>
          <w:szCs w:val="20"/>
        </w:rPr>
      </w:pPr>
    </w:p>
    <w:p w14:paraId="64CD0019"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2789AD14" w14:textId="77777777" w:rsidR="00E657F5" w:rsidRPr="009118AB" w:rsidRDefault="00E657F5" w:rsidP="00E657F5">
      <w:pPr>
        <w:autoSpaceDE w:val="0"/>
        <w:autoSpaceDN w:val="0"/>
        <w:adjustRightInd w:val="0"/>
        <w:jc w:val="both"/>
        <w:rPr>
          <w:bCs/>
          <w:iCs/>
          <w:sz w:val="20"/>
          <w:szCs w:val="20"/>
        </w:rPr>
      </w:pPr>
    </w:p>
    <w:p w14:paraId="0AD51EC3" w14:textId="420AACB4" w:rsidR="00E657F5" w:rsidRPr="009118AB" w:rsidRDefault="00E657F5" w:rsidP="00E657F5">
      <w:pPr>
        <w:autoSpaceDE w:val="0"/>
        <w:autoSpaceDN w:val="0"/>
        <w:adjustRightInd w:val="0"/>
        <w:jc w:val="both"/>
        <w:rPr>
          <w:bCs/>
          <w:iCs/>
          <w:sz w:val="20"/>
          <w:szCs w:val="20"/>
        </w:rPr>
      </w:pPr>
      <w:r w:rsidRPr="009118AB">
        <w:rPr>
          <w:bCs/>
          <w:iCs/>
          <w:sz w:val="20"/>
          <w:szCs w:val="20"/>
        </w:rPr>
        <w:lastRenderedPageBreak/>
        <w:t xml:space="preserve">[Wird ein in [Absatz 1 </w:t>
      </w:r>
      <w:r w:rsidR="00D67EB8" w:rsidRPr="009118AB">
        <w:rPr>
          <w:bCs/>
          <w:iCs/>
          <w:sz w:val="20"/>
          <w:szCs w:val="20"/>
        </w:rPr>
        <w:t>Nr. </w:t>
      </w:r>
      <w:r w:rsidRPr="009118AB">
        <w:rPr>
          <w:bCs/>
          <w:iCs/>
          <w:sz w:val="20"/>
          <w:szCs w:val="20"/>
        </w:rPr>
        <w:t xml:space="preserve">8 und 9] erwähntes Fahrzeug einem Dritten zur Nutzung zu persönlichen Zwecken zur Verfügung gestellt, umfassen die in [Absatz 1 </w:t>
      </w:r>
      <w:r w:rsidR="00D67EB8" w:rsidRPr="009118AB">
        <w:rPr>
          <w:bCs/>
          <w:iCs/>
          <w:sz w:val="20"/>
          <w:szCs w:val="20"/>
        </w:rPr>
        <w:t>Nr. </w:t>
      </w:r>
      <w:r w:rsidRPr="009118AB">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2D09DEC1" w14:textId="77777777" w:rsidR="00E657F5" w:rsidRPr="009118AB" w:rsidRDefault="00E657F5" w:rsidP="00E657F5">
      <w:pPr>
        <w:autoSpaceDE w:val="0"/>
        <w:autoSpaceDN w:val="0"/>
        <w:adjustRightInd w:val="0"/>
        <w:jc w:val="both"/>
        <w:rPr>
          <w:bCs/>
          <w:iCs/>
          <w:sz w:val="20"/>
          <w:szCs w:val="20"/>
        </w:rPr>
      </w:pPr>
    </w:p>
    <w:p w14:paraId="6EB369A1" w14:textId="64A49732" w:rsidR="00E657F5" w:rsidRPr="009118AB" w:rsidRDefault="00E657F5" w:rsidP="00E657F5">
      <w:pPr>
        <w:autoSpaceDE w:val="0"/>
        <w:autoSpaceDN w:val="0"/>
        <w:adjustRightInd w:val="0"/>
        <w:jc w:val="both"/>
        <w:rPr>
          <w:bCs/>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234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3 ersetzt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w:t>
      </w:r>
      <w:r w:rsidR="00D20B96" w:rsidRPr="009118AB">
        <w:rPr>
          <w:bCs/>
          <w:i/>
          <w:iCs/>
          <w:sz w:val="20"/>
          <w:szCs w:val="20"/>
        </w:rPr>
        <w:t xml:space="preserve">einziger Absatz einleitende Bestimmung </w:t>
      </w:r>
      <w:r w:rsidRPr="009118AB">
        <w:rPr>
          <w:bCs/>
          <w:i/>
          <w:iCs/>
          <w:sz w:val="20"/>
          <w:szCs w:val="20"/>
        </w:rPr>
        <w:t xml:space="preserve">abgeändert durch </w:t>
      </w:r>
      <w:r w:rsidR="00D67EB8" w:rsidRPr="009118AB">
        <w:rPr>
          <w:bCs/>
          <w:i/>
          <w:iCs/>
          <w:sz w:val="20"/>
          <w:szCs w:val="20"/>
        </w:rPr>
        <w:t>Art. </w:t>
      </w:r>
      <w:r w:rsidRPr="009118AB">
        <w:rPr>
          <w:bCs/>
          <w:i/>
          <w:iCs/>
          <w:sz w:val="20"/>
          <w:szCs w:val="20"/>
        </w:rPr>
        <w:t>24 des G. (I) vom 27. Dezember 2006 (I)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34</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74 Buchstabe a) und b)</w:t>
      </w:r>
      <w:r w:rsidRPr="009118AB">
        <w:rPr>
          <w:bCs/>
          <w:i/>
          <w:iCs/>
          <w:sz w:val="20"/>
          <w:szCs w:val="20"/>
        </w:rPr>
        <w:t xml:space="preserve"> des G. vom 27. Juni 2021 (B.S. vom 30. Juni 2021)</w:t>
      </w:r>
      <w:r w:rsidR="00E40DE2" w:rsidRPr="009118AB">
        <w:rPr>
          <w:bCs/>
          <w:i/>
          <w:iCs/>
          <w:sz w:val="20"/>
          <w:szCs w:val="20"/>
        </w:rPr>
        <w:t>,</w:t>
      </w:r>
      <w:r w:rsidR="003D5682" w:rsidRPr="009118AB">
        <w:rPr>
          <w:i/>
          <w:iCs/>
          <w:sz w:val="20"/>
          <w:szCs w:val="20"/>
        </w:rPr>
        <w:t xml:space="preserve"> </w:t>
      </w:r>
      <w:r w:rsidR="00D67EB8" w:rsidRPr="009118AB">
        <w:rPr>
          <w:i/>
          <w:iCs/>
          <w:sz w:val="20"/>
          <w:szCs w:val="20"/>
        </w:rPr>
        <w:t>Art. </w:t>
      </w:r>
      <w:r w:rsidR="003D5682" w:rsidRPr="009118AB">
        <w:rPr>
          <w:i/>
          <w:iCs/>
          <w:sz w:val="20"/>
          <w:szCs w:val="20"/>
        </w:rPr>
        <w:t>50</w:t>
      </w:r>
      <w:r w:rsidR="003D5682" w:rsidRPr="009118AB">
        <w:rPr>
          <w:bCs/>
          <w:i/>
          <w:iCs/>
          <w:sz w:val="20"/>
          <w:szCs w:val="20"/>
        </w:rPr>
        <w:t xml:space="preserve"> des G. vom 21. Januar 2022 (B.S. vom 28. Januar 2022)</w:t>
      </w:r>
      <w:r w:rsidR="00D67EB8" w:rsidRPr="009118AB">
        <w:rPr>
          <w:bCs/>
          <w:i/>
          <w:iCs/>
          <w:sz w:val="20"/>
          <w:szCs w:val="20"/>
        </w:rPr>
        <w:t> - </w:t>
      </w:r>
      <w:r w:rsidR="003D5682"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E40DE2" w:rsidRPr="009118AB">
        <w:rPr>
          <w:bCs/>
          <w:i/>
          <w:iCs/>
          <w:sz w:val="20"/>
          <w:szCs w:val="20"/>
        </w:rPr>
        <w:t xml:space="preserve"> und Art. 27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27187F" w:rsidRPr="009118AB">
        <w:rPr>
          <w:bCs/>
          <w:i/>
          <w:iCs/>
          <w:sz w:val="20"/>
          <w:szCs w:val="20"/>
        </w:rPr>
        <w:t xml:space="preserve">Abs. 1 Nr. 4 einziger Absatz zweiter Gedankenstrich abgeändert durch </w:t>
      </w:r>
      <w:r w:rsidR="0027187F" w:rsidRPr="009118AB">
        <w:rPr>
          <w:rFonts w:ascii="Times New Roman Italique" w:hAnsi="Times New Roman Italique"/>
          <w:bCs/>
          <w:i/>
          <w:iCs/>
          <w:spacing w:val="-2"/>
          <w:sz w:val="20"/>
          <w:szCs w:val="20"/>
        </w:rPr>
        <w:t xml:space="preserve">Art. 31 des G. vom 5. Juli 2022 (B.S. vom 15. Juli 2022);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5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55 des G. vom 10. März 1999 (B.S. vom 14. April 1999)</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ab dem 14. April 1999 verliehene Aktien oder Anteile</w:t>
      </w:r>
      <w:r w:rsidR="00FD68E8" w:rsidRPr="009118AB">
        <w:rPr>
          <w:rFonts w:ascii="Times New Roman Italique" w:hAnsi="Times New Roman Italique"/>
          <w:bCs/>
          <w:i/>
          <w:iCs/>
          <w:spacing w:val="-2"/>
          <w:sz w:val="20"/>
          <w:szCs w:val="20"/>
        </w:rPr>
        <w:t> -,</w:t>
      </w:r>
      <w:r w:rsidRPr="009118AB">
        <w:rPr>
          <w:bCs/>
          <w:i/>
          <w:iCs/>
          <w:sz w:val="20"/>
          <w:szCs w:val="20"/>
        </w:rPr>
        <w:t xml:space="preserve"> aufgehoben durch </w:t>
      </w:r>
      <w:r w:rsidR="00D67EB8" w:rsidRPr="009118AB">
        <w:rPr>
          <w:bCs/>
          <w:i/>
          <w:iCs/>
          <w:sz w:val="20"/>
          <w:szCs w:val="20"/>
        </w:rPr>
        <w:t>Art. </w:t>
      </w:r>
      <w:r w:rsidRPr="009118AB">
        <w:rPr>
          <w:bCs/>
          <w:i/>
          <w:iCs/>
          <w:sz w:val="20"/>
          <w:szCs w:val="20"/>
        </w:rPr>
        <w:t>51 des G. vom 15. Dezember 2004 (B.S. vom 1. Februar 2005)</w:t>
      </w:r>
      <w:r w:rsidR="00D67EB8" w:rsidRPr="009118AB">
        <w:rPr>
          <w:bCs/>
          <w:i/>
          <w:iCs/>
          <w:sz w:val="20"/>
          <w:szCs w:val="20"/>
        </w:rPr>
        <w:t> - </w:t>
      </w:r>
      <w:r w:rsidRPr="009118AB">
        <w:rPr>
          <w:bCs/>
          <w:i/>
          <w:iCs/>
          <w:sz w:val="20"/>
          <w:szCs w:val="20"/>
        </w:rPr>
        <w:t>anwendbar auf Aktien-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138 des G.</w:t>
      </w:r>
      <w:r w:rsidR="003D5682" w:rsidRPr="009118AB">
        <w:rPr>
          <w:bCs/>
          <w:i/>
          <w:iCs/>
          <w:sz w:val="20"/>
          <w:szCs w:val="20"/>
        </w:rPr>
        <w:t> </w:t>
      </w:r>
      <w:r w:rsidRPr="009118AB">
        <w:rPr>
          <w:bCs/>
          <w:i/>
          <w:iCs/>
          <w:sz w:val="20"/>
          <w:szCs w:val="20"/>
        </w:rPr>
        <w:t>(I) vom 22. Dezember 2008 (II) (B.S. vom 29. Dezember 2008)</w:t>
      </w:r>
      <w:r w:rsidR="00D67EB8" w:rsidRPr="009118AB">
        <w:rPr>
          <w:bCs/>
          <w:i/>
          <w:iCs/>
          <w:sz w:val="20"/>
          <w:szCs w:val="20"/>
        </w:rPr>
        <w:t> - </w:t>
      </w:r>
      <w:r w:rsidRPr="009118AB">
        <w:rPr>
          <w:bCs/>
          <w:i/>
          <w:iCs/>
          <w:sz w:val="20"/>
          <w:szCs w:val="20"/>
        </w:rPr>
        <w:t>in Kraft am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6 eingefügt </w:t>
      </w:r>
      <w:r w:rsidRPr="009118AB">
        <w:rPr>
          <w:i/>
          <w:iCs/>
          <w:sz w:val="20"/>
          <w:szCs w:val="20"/>
        </w:rPr>
        <w:t xml:space="preserve">durch </w:t>
      </w:r>
      <w:r w:rsidR="00D67EB8" w:rsidRPr="009118AB">
        <w:rPr>
          <w:i/>
          <w:iCs/>
          <w:sz w:val="20"/>
          <w:szCs w:val="20"/>
        </w:rPr>
        <w:t>Art. </w:t>
      </w:r>
      <w:r w:rsidRPr="009118AB">
        <w:rPr>
          <w:i/>
          <w:iCs/>
          <w:sz w:val="20"/>
          <w:szCs w:val="20"/>
        </w:rPr>
        <w:t xml:space="preserve">49 </w:t>
      </w:r>
      <w:r w:rsidRPr="009118AB">
        <w:rPr>
          <w:bCs/>
          <w:i/>
          <w:iCs/>
          <w:sz w:val="20"/>
          <w:szCs w:val="20"/>
        </w:rPr>
        <w:t>des G. vom 28. Dezember 2011 (B.S. vom 30. Dezember 2011)</w:t>
      </w:r>
      <w:r w:rsidR="00D67EB8" w:rsidRPr="009118AB">
        <w:rPr>
          <w:bCs/>
          <w:i/>
          <w:iCs/>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71 Buchstabe a) des G. vom 25. Dezember 2016 (I) (B.S. vom 29. Dezember 2016)</w:t>
      </w:r>
      <w:r w:rsidR="00D67EB8" w:rsidRPr="009118AB">
        <w:rPr>
          <w:i/>
          <w:iCs/>
          <w:sz w:val="20"/>
          <w:szCs w:val="20"/>
        </w:rPr>
        <w:t> - </w:t>
      </w:r>
      <w:r w:rsidRPr="009118AB">
        <w:rPr>
          <w:i/>
          <w:iCs/>
          <w:sz w:val="20"/>
          <w:szCs w:val="20"/>
        </w:rPr>
        <w:t>in Kraft und anwendbar ab dem 1. Januar 2017</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63 </w:t>
      </w:r>
      <w:r w:rsidR="00D67EB8" w:rsidRPr="009118AB">
        <w:rPr>
          <w:i/>
          <w:iCs/>
          <w:sz w:val="20"/>
          <w:szCs w:val="20"/>
        </w:rPr>
        <w:t>Nr. </w:t>
      </w:r>
      <w:r w:rsidRPr="009118AB">
        <w:rPr>
          <w:i/>
          <w:iCs/>
          <w:sz w:val="20"/>
          <w:szCs w:val="20"/>
        </w:rPr>
        <w:t>1 des G. vom 25. Dezember 2017 (III) (B.S. vom 29. Dezember 2017)</w:t>
      </w:r>
      <w:r w:rsidR="00D67EB8" w:rsidRPr="009118AB">
        <w:rPr>
          <w:i/>
          <w:iCs/>
          <w:sz w:val="20"/>
          <w:szCs w:val="20"/>
        </w:rPr>
        <w:t> - </w:t>
      </w:r>
      <w:r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6bis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1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 xml:space="preserve">11/2020 des Verfassungsgerichtshofes vom 23. Januar 2020 (B.S. vom 24. Februar 2020); </w:t>
      </w:r>
      <w:r w:rsidR="00D67EB8" w:rsidRPr="009118AB">
        <w:rPr>
          <w:i/>
          <w:iCs/>
          <w:sz w:val="20"/>
          <w:szCs w:val="20"/>
        </w:rPr>
        <w:t>Abs. </w:t>
      </w:r>
      <w:r w:rsidR="00B04FF4" w:rsidRPr="009118AB">
        <w:rPr>
          <w:i/>
          <w:iCs/>
          <w:sz w:val="20"/>
          <w:szCs w:val="20"/>
        </w:rPr>
        <w:t xml:space="preserve">1 </w:t>
      </w:r>
      <w:r w:rsidR="00D67EB8" w:rsidRPr="009118AB">
        <w:rPr>
          <w:i/>
          <w:iCs/>
          <w:sz w:val="20"/>
          <w:szCs w:val="20"/>
        </w:rPr>
        <w:t>Nr. </w:t>
      </w:r>
      <w:r w:rsidR="00B04FF4" w:rsidRPr="009118AB">
        <w:rPr>
          <w:i/>
          <w:iCs/>
          <w:sz w:val="20"/>
          <w:szCs w:val="20"/>
        </w:rPr>
        <w:t xml:space="preserve">7 eingefügt durch </w:t>
      </w:r>
      <w:r w:rsidR="00D67EB8" w:rsidRPr="009118AB">
        <w:rPr>
          <w:i/>
          <w:iCs/>
          <w:sz w:val="20"/>
          <w:szCs w:val="20"/>
        </w:rPr>
        <w:t>Art. </w:t>
      </w:r>
      <w:r w:rsidR="00B04FF4" w:rsidRPr="009118AB">
        <w:rPr>
          <w:i/>
          <w:iCs/>
          <w:sz w:val="20"/>
          <w:szCs w:val="20"/>
        </w:rPr>
        <w:t>71 Buchstabe b) des G. vom 25. Dezember 2016 (I) (B.S. vom 29. Dezember 2016)</w:t>
      </w:r>
      <w:r w:rsidR="00D67EB8" w:rsidRPr="009118AB">
        <w:rPr>
          <w:i/>
          <w:iCs/>
          <w:sz w:val="20"/>
          <w:szCs w:val="20"/>
        </w:rPr>
        <w:t> - </w:t>
      </w:r>
      <w:r w:rsidR="00B04FF4" w:rsidRPr="009118AB">
        <w:rPr>
          <w:i/>
          <w:iCs/>
          <w:sz w:val="20"/>
          <w:szCs w:val="20"/>
        </w:rPr>
        <w:t>in Kraft und anwendbar ab dem 1. Januar 2017</w:t>
      </w:r>
      <w:r w:rsidR="00D67EB8" w:rsidRPr="009118AB">
        <w:rPr>
          <w:i/>
          <w:iCs/>
          <w:sz w:val="20"/>
          <w:szCs w:val="20"/>
        </w:rPr>
        <w:t> - </w:t>
      </w:r>
      <w:r w:rsidR="00B04FF4" w:rsidRPr="009118AB">
        <w:rPr>
          <w:i/>
          <w:iCs/>
          <w:sz w:val="20"/>
          <w:szCs w:val="20"/>
        </w:rPr>
        <w:t xml:space="preserve">und abgeändert durch </w:t>
      </w:r>
      <w:r w:rsidR="00D67EB8" w:rsidRPr="009118AB">
        <w:rPr>
          <w:i/>
          <w:iCs/>
          <w:sz w:val="20"/>
          <w:szCs w:val="20"/>
        </w:rPr>
        <w:t>Art. </w:t>
      </w:r>
      <w:r w:rsidR="00B04FF4" w:rsidRPr="009118AB">
        <w:rPr>
          <w:i/>
          <w:iCs/>
          <w:sz w:val="20"/>
          <w:szCs w:val="20"/>
        </w:rPr>
        <w:t xml:space="preserve">63 </w:t>
      </w:r>
      <w:r w:rsidR="00D67EB8" w:rsidRPr="009118AB">
        <w:rPr>
          <w:i/>
          <w:iCs/>
          <w:sz w:val="20"/>
          <w:szCs w:val="20"/>
        </w:rPr>
        <w:t>Nr. </w:t>
      </w:r>
      <w:r w:rsidR="00B04FF4" w:rsidRPr="009118AB">
        <w:rPr>
          <w:i/>
          <w:iCs/>
          <w:sz w:val="20"/>
          <w:szCs w:val="20"/>
        </w:rPr>
        <w:t>2 des G. vom 25. Dezember 2017 (III) (B.S. vom 29. Dezember 2017)</w:t>
      </w:r>
      <w:r w:rsidR="00D67EB8" w:rsidRPr="009118AB">
        <w:rPr>
          <w:i/>
          <w:iCs/>
          <w:sz w:val="20"/>
          <w:szCs w:val="20"/>
        </w:rPr>
        <w:t> - </w:t>
      </w:r>
      <w:r w:rsidR="00B04FF4"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00B04FF4"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7bis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2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11/2020 des Verfassungsgerichtshofes vom 23. Januar 2020 (B.S. vom 24. Februar 2020);</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8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1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9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2 des G. vom 25. November 2021 (B.S. vom 3. Dezember 2021)</w:t>
      </w:r>
      <w:r w:rsidR="00D67EB8" w:rsidRPr="009118AB">
        <w:rPr>
          <w:i/>
          <w:iCs/>
          <w:sz w:val="20"/>
          <w:szCs w:val="20"/>
        </w:rPr>
        <w:t> - </w:t>
      </w:r>
      <w:r w:rsidRPr="009118AB">
        <w:rPr>
          <w:i/>
          <w:iCs/>
          <w:sz w:val="20"/>
          <w:szCs w:val="20"/>
        </w:rPr>
        <w:t>in Kraft am 1. Januar 2027</w:t>
      </w:r>
      <w:r w:rsidR="00D67EB8" w:rsidRPr="009118AB">
        <w:rPr>
          <w:i/>
          <w:iCs/>
          <w:sz w:val="20"/>
          <w:szCs w:val="20"/>
        </w:rPr>
        <w:t> - </w:t>
      </w:r>
      <w:r w:rsidRPr="009118AB">
        <w:rPr>
          <w:i/>
          <w:iCs/>
          <w:sz w:val="20"/>
          <w:szCs w:val="20"/>
        </w:rPr>
        <w:t xml:space="preserve">und ersetzt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9 einziger Absatz dritter Gedankenstrich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4</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2029</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395EAB" w:rsidRPr="009118AB">
        <w:rPr>
          <w:i/>
          <w:iCs/>
          <w:sz w:val="20"/>
          <w:szCs w:val="20"/>
        </w:rPr>
        <w:t xml:space="preserve">1 </w:t>
      </w:r>
      <w:r w:rsidR="00D67EB8" w:rsidRPr="009118AB">
        <w:rPr>
          <w:i/>
          <w:iCs/>
          <w:sz w:val="20"/>
          <w:szCs w:val="20"/>
        </w:rPr>
        <w:t>Nr. </w:t>
      </w:r>
      <w:r w:rsidR="00395EAB" w:rsidRPr="009118AB">
        <w:rPr>
          <w:i/>
          <w:iCs/>
          <w:sz w:val="20"/>
          <w:szCs w:val="20"/>
        </w:rPr>
        <w:t xml:space="preserve">10 eingefügt durch </w:t>
      </w:r>
      <w:r w:rsidR="00D67EB8" w:rsidRPr="009118AB">
        <w:rPr>
          <w:i/>
          <w:iCs/>
          <w:sz w:val="20"/>
          <w:szCs w:val="20"/>
        </w:rPr>
        <w:t>Art. </w:t>
      </w:r>
      <w:r w:rsidR="00395EAB" w:rsidRPr="009118AB">
        <w:rPr>
          <w:i/>
          <w:iCs/>
          <w:sz w:val="20"/>
          <w:szCs w:val="20"/>
        </w:rPr>
        <w:t>9 des G. vom 27. Dezember 2021 (B.S. vom 31. Dezember 2021)</w:t>
      </w:r>
      <w:r w:rsidR="00D67EB8" w:rsidRPr="009118AB">
        <w:rPr>
          <w:i/>
          <w:iCs/>
          <w:sz w:val="20"/>
          <w:szCs w:val="20"/>
        </w:rPr>
        <w:t> - </w:t>
      </w:r>
      <w:r w:rsidR="00395EAB" w:rsidRPr="009118AB">
        <w:rPr>
          <w:i/>
          <w:iCs/>
          <w:sz w:val="20"/>
          <w:szCs w:val="20"/>
        </w:rPr>
        <w:t>anwendbar ab dem 1. Januar 2022</w:t>
      </w:r>
      <w:r w:rsidR="003366D9" w:rsidRPr="009118AB">
        <w:rPr>
          <w:i/>
          <w:iCs/>
          <w:sz w:val="20"/>
          <w:szCs w:val="20"/>
        </w:rPr>
        <w:t> -;</w:t>
      </w:r>
      <w:r w:rsidR="00395EAB" w:rsidRPr="009118AB">
        <w:rPr>
          <w:i/>
          <w:iCs/>
          <w:sz w:val="20"/>
          <w:szCs w:val="20"/>
        </w:rPr>
        <w:t xml:space="preserve"> </w:t>
      </w:r>
      <w:r w:rsidR="00D67EB8" w:rsidRPr="009118AB">
        <w:rPr>
          <w:bCs/>
          <w:i/>
          <w:iCs/>
          <w:sz w:val="20"/>
          <w:szCs w:val="20"/>
        </w:rPr>
        <w:t>Abs. </w:t>
      </w:r>
      <w:r w:rsidRPr="009118AB">
        <w:rPr>
          <w:bCs/>
          <w:i/>
          <w:iCs/>
          <w:sz w:val="20"/>
          <w:szCs w:val="20"/>
        </w:rPr>
        <w:t xml:space="preserve">2 eingefügt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9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8 </w:t>
      </w:r>
      <w:r w:rsidR="00D67EB8" w:rsidRPr="009118AB">
        <w:rPr>
          <w:bCs/>
          <w:i/>
          <w:iCs/>
          <w:sz w:val="20"/>
          <w:szCs w:val="20"/>
        </w:rPr>
        <w:t>Nr. </w:t>
      </w:r>
      <w:r w:rsidRPr="009118AB">
        <w:rPr>
          <w:bCs/>
          <w:i/>
          <w:iCs/>
          <w:sz w:val="20"/>
          <w:szCs w:val="20"/>
        </w:rPr>
        <w:t>7</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8 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bCs/>
          <w:sz w:val="20"/>
          <w:szCs w:val="20"/>
        </w:rPr>
        <w:t>"</w:t>
      </w:r>
    </w:p>
    <w:p w14:paraId="6C1B3054" w14:textId="52499CF2" w:rsidR="00AE2DCB" w:rsidRPr="009118AB" w:rsidRDefault="00AE2DCB" w:rsidP="00AE2DCB">
      <w:pPr>
        <w:autoSpaceDE w:val="0"/>
        <w:autoSpaceDN w:val="0"/>
        <w:adjustRightInd w:val="0"/>
        <w:jc w:val="both"/>
        <w:rPr>
          <w:bCs/>
          <w:sz w:val="20"/>
          <w:szCs w:val="20"/>
        </w:rPr>
      </w:pPr>
    </w:p>
    <w:p w14:paraId="3106AEF9" w14:textId="58EADEB6" w:rsidR="00AE2DCB" w:rsidRPr="009118AB" w:rsidRDefault="00AE2DCB" w:rsidP="00AE2DCB">
      <w:pPr>
        <w:autoSpaceDE w:val="0"/>
        <w:autoSpaceDN w:val="0"/>
        <w:adjustRightInd w:val="0"/>
        <w:jc w:val="both"/>
        <w:rPr>
          <w:bCs/>
          <w:sz w:val="20"/>
          <w:szCs w:val="20"/>
        </w:rPr>
      </w:pPr>
    </w:p>
    <w:p w14:paraId="49E8C8EB" w14:textId="7BBA9B10" w:rsidR="00E657F5" w:rsidRPr="009118AB" w:rsidRDefault="00E657F5" w:rsidP="00E657F5">
      <w:pPr>
        <w:autoSpaceDE w:val="0"/>
        <w:autoSpaceDN w:val="0"/>
        <w:adjustRightInd w:val="0"/>
        <w:jc w:val="both"/>
        <w:rPr>
          <w:sz w:val="20"/>
          <w:szCs w:val="20"/>
        </w:rPr>
      </w:pPr>
      <w:r w:rsidRPr="009118AB">
        <w:rPr>
          <w:sz w:val="20"/>
          <w:szCs w:val="20"/>
        </w:rPr>
        <w:t xml:space="preserve">Ab dem 1. Januar 2030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10 des G. vom 25. November 2021 (B.S. vom 3. Dezember 2021)) lautet </w:t>
      </w:r>
      <w:r w:rsidR="00D67EB8" w:rsidRPr="009118AB">
        <w:rPr>
          <w:sz w:val="20"/>
          <w:szCs w:val="20"/>
        </w:rPr>
        <w:t>Art. </w:t>
      </w:r>
      <w:r w:rsidRPr="009118AB">
        <w:rPr>
          <w:sz w:val="20"/>
          <w:szCs w:val="20"/>
        </w:rPr>
        <w:t>234 wie folgt:</w:t>
      </w:r>
    </w:p>
    <w:p w14:paraId="0270CC05" w14:textId="77777777" w:rsidR="00E657F5" w:rsidRPr="009118AB" w:rsidRDefault="00E657F5" w:rsidP="00E657F5">
      <w:pPr>
        <w:autoSpaceDE w:val="0"/>
        <w:autoSpaceDN w:val="0"/>
        <w:adjustRightInd w:val="0"/>
        <w:jc w:val="both"/>
        <w:rPr>
          <w:sz w:val="20"/>
          <w:szCs w:val="20"/>
        </w:rPr>
      </w:pPr>
    </w:p>
    <w:p w14:paraId="3C4F9DD4" w14:textId="06CC3FA0" w:rsidR="00E657F5" w:rsidRPr="009118AB" w:rsidRDefault="00E657F5" w:rsidP="00E657F5">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234</w:t>
      </w:r>
      <w:r w:rsidR="00D67EB8" w:rsidRPr="009118AB">
        <w:rPr>
          <w:sz w:val="20"/>
          <w:szCs w:val="20"/>
        </w:rPr>
        <w:t> - </w:t>
      </w:r>
      <w:r w:rsidRPr="009118AB">
        <w:rPr>
          <w:bCs/>
          <w:iCs/>
          <w:sz w:val="20"/>
          <w:szCs w:val="20"/>
        </w:rPr>
        <w:t xml:space="preserve">In Bezug auf die in Artikel 227 </w:t>
      </w:r>
      <w:r w:rsidR="00D67EB8" w:rsidRPr="009118AB">
        <w:rPr>
          <w:bCs/>
          <w:iCs/>
          <w:sz w:val="20"/>
          <w:szCs w:val="20"/>
        </w:rPr>
        <w:t>Nr. </w:t>
      </w:r>
      <w:r w:rsidRPr="009118AB">
        <w:rPr>
          <w:bCs/>
          <w:iCs/>
          <w:sz w:val="20"/>
          <w:szCs w:val="20"/>
        </w:rPr>
        <w:t>3 erwähnten Steuerpflichtigen wird die Steuer festgelegt:</w:t>
      </w:r>
    </w:p>
    <w:p w14:paraId="5566A8D4" w14:textId="77777777" w:rsidR="00E657F5" w:rsidRPr="009118AB" w:rsidRDefault="00E657F5" w:rsidP="00E657F5">
      <w:pPr>
        <w:autoSpaceDE w:val="0"/>
        <w:autoSpaceDN w:val="0"/>
        <w:adjustRightInd w:val="0"/>
        <w:jc w:val="both"/>
        <w:rPr>
          <w:bCs/>
          <w:iCs/>
          <w:sz w:val="20"/>
          <w:szCs w:val="20"/>
        </w:rPr>
      </w:pPr>
    </w:p>
    <w:p w14:paraId="5E67C38D"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1. auf den Teil des Nettobetrags des Mietpreises und der Mietvorteile ihrer in Belgien gelegenen unbeweglichen Güter, der das Katastereinkommen dieser Güter übersteigt, außer wenn es sich handelt um:</w:t>
      </w:r>
    </w:p>
    <w:p w14:paraId="4DC5DFB3" w14:textId="77777777" w:rsidR="00E657F5" w:rsidRPr="009118AB" w:rsidRDefault="00E657F5" w:rsidP="00E657F5">
      <w:pPr>
        <w:autoSpaceDE w:val="0"/>
        <w:autoSpaceDN w:val="0"/>
        <w:adjustRightInd w:val="0"/>
        <w:jc w:val="both"/>
        <w:rPr>
          <w:bCs/>
          <w:iCs/>
          <w:sz w:val="20"/>
          <w:szCs w:val="20"/>
        </w:rPr>
      </w:pPr>
    </w:p>
    <w:p w14:paraId="3B23A9F3"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 Güter, die an eine natürliche Person vermietet sind, die diese Güter weder ganz noch teilweise zur Ausübung ihrer Berufstätigkeit nutzt,</w:t>
      </w:r>
    </w:p>
    <w:p w14:paraId="623B9389" w14:textId="77777777" w:rsidR="00E657F5" w:rsidRPr="009118AB" w:rsidRDefault="00E657F5" w:rsidP="00E657F5">
      <w:pPr>
        <w:autoSpaceDE w:val="0"/>
        <w:autoSpaceDN w:val="0"/>
        <w:adjustRightInd w:val="0"/>
        <w:jc w:val="both"/>
        <w:rPr>
          <w:bCs/>
          <w:iCs/>
          <w:sz w:val="20"/>
          <w:szCs w:val="20"/>
        </w:rPr>
      </w:pPr>
    </w:p>
    <w:p w14:paraId="2297DAD1"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 Güter, die gemäß den Rechtsvorschriften über den Landpachtvertrag vermietet sind und vom Mieter zu landwirtschaftlichen oder gartenbaulichen Zwecken genutzt werden,</w:t>
      </w:r>
    </w:p>
    <w:p w14:paraId="36B25AEB" w14:textId="77777777" w:rsidR="00E657F5" w:rsidRPr="009118AB" w:rsidRDefault="00E657F5" w:rsidP="00E657F5">
      <w:pPr>
        <w:autoSpaceDE w:val="0"/>
        <w:autoSpaceDN w:val="0"/>
        <w:adjustRightInd w:val="0"/>
        <w:jc w:val="both"/>
        <w:rPr>
          <w:bCs/>
          <w:iCs/>
          <w:sz w:val="20"/>
          <w:szCs w:val="20"/>
        </w:rPr>
      </w:pPr>
    </w:p>
    <w:p w14:paraId="7356BEC9" w14:textId="4964BB58" w:rsidR="00E657F5" w:rsidRPr="009118AB" w:rsidRDefault="00E657F5" w:rsidP="00E657F5">
      <w:pPr>
        <w:autoSpaceDE w:val="0"/>
        <w:autoSpaceDN w:val="0"/>
        <w:adjustRightInd w:val="0"/>
        <w:jc w:val="both"/>
        <w:rPr>
          <w:bCs/>
          <w:iCs/>
          <w:sz w:val="20"/>
          <w:szCs w:val="20"/>
        </w:rPr>
      </w:pPr>
      <w:r w:rsidRPr="009118AB">
        <w:rPr>
          <w:bCs/>
          <w:iCs/>
          <w:sz w:val="20"/>
          <w:szCs w:val="20"/>
        </w:rPr>
        <w:t xml:space="preserve">- andere Güter unter der Bedingung, dass der Mieter keine Gewinnerzielungsabsicht verfolgt und diese Güter zu einem der in Artikel 12 </w:t>
      </w:r>
      <w:r w:rsidR="00D67EB8" w:rsidRPr="009118AB">
        <w:rPr>
          <w:bCs/>
          <w:iCs/>
          <w:sz w:val="20"/>
          <w:szCs w:val="20"/>
        </w:rPr>
        <w:t>§ </w:t>
      </w:r>
      <w:r w:rsidRPr="009118AB">
        <w:rPr>
          <w:bCs/>
          <w:iCs/>
          <w:sz w:val="20"/>
          <w:szCs w:val="20"/>
        </w:rPr>
        <w:t>1 vorgesehenen Zwecke nutzt,</w:t>
      </w:r>
    </w:p>
    <w:p w14:paraId="61E227EB" w14:textId="77777777" w:rsidR="00E657F5" w:rsidRPr="009118AB" w:rsidRDefault="00E657F5" w:rsidP="00E657F5">
      <w:pPr>
        <w:autoSpaceDE w:val="0"/>
        <w:autoSpaceDN w:val="0"/>
        <w:adjustRightInd w:val="0"/>
        <w:jc w:val="both"/>
        <w:rPr>
          <w:bCs/>
          <w:iCs/>
          <w:sz w:val="20"/>
          <w:szCs w:val="20"/>
        </w:rPr>
      </w:pPr>
    </w:p>
    <w:p w14:paraId="3C2248CC" w14:textId="2729C349" w:rsidR="00E657F5" w:rsidRPr="009118AB" w:rsidRDefault="00E657F5" w:rsidP="00E657F5">
      <w:pPr>
        <w:autoSpaceDE w:val="0"/>
        <w:autoSpaceDN w:val="0"/>
        <w:adjustRightInd w:val="0"/>
        <w:jc w:val="both"/>
        <w:rPr>
          <w:bCs/>
          <w:iCs/>
          <w:sz w:val="20"/>
          <w:szCs w:val="20"/>
        </w:rPr>
      </w:pPr>
      <w:r w:rsidRPr="009118AB">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118AB">
        <w:rPr>
          <w:bCs/>
          <w:iCs/>
          <w:sz w:val="20"/>
          <w:szCs w:val="20"/>
        </w:rPr>
        <w:t>Nr. </w:t>
      </w:r>
      <w:r w:rsidRPr="009118AB">
        <w:rPr>
          <w:bCs/>
          <w:iCs/>
          <w:sz w:val="20"/>
          <w:szCs w:val="20"/>
        </w:rPr>
        <w:t>1 vorgesehenen Ausnahmen auch hier gelten,</w:t>
      </w:r>
    </w:p>
    <w:p w14:paraId="0A4F9F91" w14:textId="77777777" w:rsidR="00E657F5" w:rsidRPr="009118AB" w:rsidRDefault="00E657F5" w:rsidP="00E657F5">
      <w:pPr>
        <w:autoSpaceDE w:val="0"/>
        <w:autoSpaceDN w:val="0"/>
        <w:adjustRightInd w:val="0"/>
        <w:jc w:val="both"/>
        <w:rPr>
          <w:bCs/>
          <w:iCs/>
          <w:sz w:val="20"/>
          <w:szCs w:val="20"/>
        </w:rPr>
      </w:pPr>
    </w:p>
    <w:p w14:paraId="2BA92EE8" w14:textId="18E0707E" w:rsidR="00E657F5" w:rsidRPr="009118AB" w:rsidRDefault="00E657F5" w:rsidP="00E657F5">
      <w:pPr>
        <w:autoSpaceDE w:val="0"/>
        <w:autoSpaceDN w:val="0"/>
        <w:adjustRightInd w:val="0"/>
        <w:jc w:val="both"/>
        <w:rPr>
          <w:bCs/>
          <w:iCs/>
          <w:sz w:val="20"/>
          <w:szCs w:val="20"/>
        </w:rPr>
      </w:pPr>
      <w:r w:rsidRPr="009118AB">
        <w:rPr>
          <w:bCs/>
          <w:iCs/>
          <w:sz w:val="20"/>
          <w:szCs w:val="20"/>
        </w:rPr>
        <w:t xml:space="preserve">3. [auf die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auf die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118AB">
        <w:rPr>
          <w:bCs/>
          <w:iCs/>
          <w:sz w:val="20"/>
          <w:szCs w:val="20"/>
        </w:rPr>
        <w:t>Nr. </w:t>
      </w:r>
      <w:r w:rsidRPr="009118AB">
        <w:rPr>
          <w:bCs/>
          <w:iCs/>
          <w:sz w:val="20"/>
          <w:szCs w:val="20"/>
        </w:rPr>
        <w:t>23 erwähnten Kapitalien,]</w:t>
      </w:r>
    </w:p>
    <w:p w14:paraId="14793AB9" w14:textId="77777777" w:rsidR="00E657F5" w:rsidRPr="009118AB" w:rsidRDefault="00E657F5" w:rsidP="00E657F5">
      <w:pPr>
        <w:autoSpaceDE w:val="0"/>
        <w:autoSpaceDN w:val="0"/>
        <w:adjustRightInd w:val="0"/>
        <w:jc w:val="both"/>
        <w:rPr>
          <w:bCs/>
          <w:iCs/>
          <w:sz w:val="20"/>
          <w:szCs w:val="20"/>
        </w:rPr>
      </w:pPr>
    </w:p>
    <w:p w14:paraId="09CE86C7" w14:textId="3EC87762" w:rsidR="00E657F5" w:rsidRPr="009118AB" w:rsidRDefault="00E657F5" w:rsidP="00E657F5">
      <w:pPr>
        <w:autoSpaceDE w:val="0"/>
        <w:autoSpaceDN w:val="0"/>
        <w:adjustRightInd w:val="0"/>
        <w:jc w:val="both"/>
        <w:rPr>
          <w:iCs/>
          <w:sz w:val="20"/>
          <w:szCs w:val="20"/>
        </w:rPr>
      </w:pPr>
      <w:r w:rsidRPr="009118AB">
        <w:rPr>
          <w:bCs/>
          <w:iCs/>
          <w:sz w:val="20"/>
          <w:szCs w:val="20"/>
        </w:rPr>
        <w:t xml:space="preserve">4. auf [die in </w:t>
      </w:r>
      <w:r w:rsidRPr="009118AB">
        <w:rPr>
          <w:iCs/>
          <w:sz w:val="20"/>
          <w:szCs w:val="20"/>
        </w:rPr>
        <w:t xml:space="preserve">[Artikel 57 Absatz 1] </w:t>
      </w:r>
      <w:r w:rsidRPr="009118AB">
        <w:rPr>
          <w:bCs/>
          <w:iCs/>
          <w:sz w:val="20"/>
          <w:szCs w:val="20"/>
        </w:rPr>
        <w:t>erwähnten Ausgaben</w:t>
      </w:r>
      <w:r w:rsidR="003D5682" w:rsidRPr="009118AB">
        <w:rPr>
          <w:bCs/>
          <w:iCs/>
          <w:sz w:val="20"/>
          <w:szCs w:val="20"/>
        </w:rPr>
        <w:t xml:space="preserve">[, die in den Artikeln 31 Absatz 2 </w:t>
      </w:r>
      <w:r w:rsidR="00D67EB8" w:rsidRPr="009118AB">
        <w:rPr>
          <w:bCs/>
          <w:iCs/>
          <w:sz w:val="20"/>
          <w:szCs w:val="20"/>
        </w:rPr>
        <w:t>Nr. </w:t>
      </w:r>
      <w:r w:rsidR="003D5682" w:rsidRPr="009118AB">
        <w:rPr>
          <w:bCs/>
          <w:iCs/>
          <w:sz w:val="20"/>
          <w:szCs w:val="20"/>
        </w:rPr>
        <w:t xml:space="preserve">2 und 32 Absatz 2 </w:t>
      </w:r>
      <w:r w:rsidR="00D67EB8" w:rsidRPr="009118AB">
        <w:rPr>
          <w:bCs/>
          <w:iCs/>
          <w:sz w:val="20"/>
          <w:szCs w:val="20"/>
        </w:rPr>
        <w:t>Nr. </w:t>
      </w:r>
      <w:r w:rsidR="003D5682" w:rsidRPr="009118AB">
        <w:rPr>
          <w:bCs/>
          <w:iCs/>
          <w:sz w:val="20"/>
          <w:szCs w:val="20"/>
        </w:rPr>
        <w:t xml:space="preserve">2 erwähnten Vorteile jeglicher Art und die in Artikel 17 </w:t>
      </w:r>
      <w:r w:rsidR="00D67EB8" w:rsidRPr="009118AB">
        <w:rPr>
          <w:bCs/>
          <w:iCs/>
          <w:sz w:val="20"/>
          <w:szCs w:val="20"/>
        </w:rPr>
        <w:t>§ </w:t>
      </w:r>
      <w:r w:rsidR="003D5682" w:rsidRPr="009118AB">
        <w:rPr>
          <w:bCs/>
          <w:iCs/>
          <w:sz w:val="20"/>
          <w:szCs w:val="20"/>
        </w:rPr>
        <w:t xml:space="preserve">1 </w:t>
      </w:r>
      <w:r w:rsidR="00D67EB8" w:rsidRPr="009118AB">
        <w:rPr>
          <w:bCs/>
          <w:iCs/>
          <w:sz w:val="20"/>
          <w:szCs w:val="20"/>
        </w:rPr>
        <w:t>Nr. </w:t>
      </w:r>
      <w:r w:rsidR="003D5682" w:rsidRPr="009118AB">
        <w:rPr>
          <w:bCs/>
          <w:iCs/>
          <w:sz w:val="20"/>
          <w:szCs w:val="20"/>
        </w:rPr>
        <w:t xml:space="preserve">3, was Urheberrechte und ähnliche Rechte betrifft, und </w:t>
      </w:r>
      <w:r w:rsidR="00D67EB8" w:rsidRPr="009118AB">
        <w:rPr>
          <w:bCs/>
          <w:iCs/>
          <w:sz w:val="20"/>
          <w:szCs w:val="20"/>
        </w:rPr>
        <w:t>Nr. </w:t>
      </w:r>
      <w:r w:rsidR="003D5682" w:rsidRPr="009118AB">
        <w:rPr>
          <w:bCs/>
          <w:iCs/>
          <w:sz w:val="20"/>
          <w:szCs w:val="20"/>
        </w:rPr>
        <w:t xml:space="preserve">5 erwähnten Einkünfte]], </w:t>
      </w:r>
      <w:r w:rsidRPr="009118AB">
        <w:rPr>
          <w:bCs/>
          <w:iCs/>
          <w:sz w:val="20"/>
          <w:szCs w:val="20"/>
        </w:rPr>
        <w:t xml:space="preserve">die nicht durch Individualkarten </w:t>
      </w:r>
      <w:r w:rsidR="00E40DE2" w:rsidRPr="009118AB">
        <w:rPr>
          <w:bCs/>
          <w:iCs/>
          <w:sz w:val="20"/>
          <w:szCs w:val="20"/>
        </w:rPr>
        <w:t>[...]</w:t>
      </w:r>
      <w:r w:rsidRPr="009118AB">
        <w:rPr>
          <w:bCs/>
          <w:iCs/>
          <w:sz w:val="20"/>
          <w:szCs w:val="20"/>
        </w:rPr>
        <w:t xml:space="preserve"> nachgewiesen werden[</w:t>
      </w:r>
      <w:r w:rsidRPr="009118AB">
        <w:rPr>
          <w:iCs/>
          <w:sz w:val="20"/>
          <w:szCs w:val="20"/>
        </w:rPr>
        <w:t>, außer:</w:t>
      </w:r>
    </w:p>
    <w:p w14:paraId="53154347" w14:textId="77777777" w:rsidR="00E657F5" w:rsidRPr="009118AB" w:rsidRDefault="00E657F5" w:rsidP="00E657F5">
      <w:pPr>
        <w:autoSpaceDE w:val="0"/>
        <w:autoSpaceDN w:val="0"/>
        <w:adjustRightInd w:val="0"/>
        <w:jc w:val="both"/>
        <w:rPr>
          <w:iCs/>
          <w:sz w:val="20"/>
          <w:szCs w:val="20"/>
        </w:rPr>
      </w:pPr>
    </w:p>
    <w:p w14:paraId="71C2E377" w14:textId="77777777" w:rsidR="00E657F5" w:rsidRPr="009118AB" w:rsidRDefault="00E657F5" w:rsidP="00E657F5">
      <w:pPr>
        <w:autoSpaceDE w:val="0"/>
        <w:autoSpaceDN w:val="0"/>
        <w:adjustRightInd w:val="0"/>
        <w:jc w:val="both"/>
        <w:rPr>
          <w:iCs/>
          <w:sz w:val="20"/>
          <w:szCs w:val="20"/>
        </w:rPr>
      </w:pPr>
      <w:r w:rsidRPr="009118AB">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5C9D42EA" w14:textId="77777777" w:rsidR="00E657F5" w:rsidRPr="009118AB" w:rsidRDefault="00E657F5" w:rsidP="00E657F5">
      <w:pPr>
        <w:autoSpaceDE w:val="0"/>
        <w:autoSpaceDN w:val="0"/>
        <w:adjustRightInd w:val="0"/>
        <w:jc w:val="both"/>
        <w:rPr>
          <w:iCs/>
          <w:sz w:val="20"/>
          <w:szCs w:val="20"/>
        </w:rPr>
      </w:pPr>
    </w:p>
    <w:p w14:paraId="181D006C" w14:textId="7F26E00B" w:rsidR="00E657F5" w:rsidRPr="009118AB" w:rsidRDefault="00E657F5" w:rsidP="00E657F5">
      <w:pPr>
        <w:autoSpaceDE w:val="0"/>
        <w:autoSpaceDN w:val="0"/>
        <w:adjustRightInd w:val="0"/>
        <w:jc w:val="both"/>
        <w:rPr>
          <w:bCs/>
          <w:iCs/>
          <w:sz w:val="20"/>
          <w:szCs w:val="20"/>
        </w:rPr>
      </w:pPr>
      <w:r w:rsidRPr="009118AB">
        <w:rPr>
          <w:iCs/>
          <w:sz w:val="20"/>
          <w:szCs w:val="20"/>
        </w:rPr>
        <w:t>- oder</w:t>
      </w:r>
      <w:r w:rsidR="00D67EB8" w:rsidRPr="009118AB">
        <w:rPr>
          <w:iCs/>
          <w:sz w:val="20"/>
          <w:szCs w:val="20"/>
        </w:rPr>
        <w:t> - </w:t>
      </w:r>
      <w:r w:rsidRPr="009118AB">
        <w:rPr>
          <w:iCs/>
          <w:sz w:val="20"/>
          <w:szCs w:val="20"/>
        </w:rPr>
        <w:t>wenn dieser Betrag nicht in einer solchen Erklärung enthalten ist</w:t>
      </w:r>
      <w:r w:rsidR="00D67EB8" w:rsidRPr="009118AB">
        <w:rPr>
          <w:iCs/>
          <w:sz w:val="20"/>
          <w:szCs w:val="20"/>
        </w:rPr>
        <w:t> - </w:t>
      </w:r>
      <w:r w:rsidRPr="009118AB">
        <w:rPr>
          <w:iCs/>
          <w:sz w:val="20"/>
          <w:szCs w:val="20"/>
        </w:rPr>
        <w:t>wenn der Empfänger spätestens zwei Jahre und sechs Monate ab dem 1. Januar des betreffenden Steuerjahres eindeutig identifiziert worden ist [</w:t>
      </w:r>
      <w:r w:rsidRPr="009118AB">
        <w:rPr>
          <w:sz w:val="20"/>
          <w:szCs w:val="20"/>
        </w:rPr>
        <w:t xml:space="preserve">oder wenn der Betrag der Ausgaben in einer Veranlagung enthalten ist, die in den in den Artikeln 354 Absatz 1 und 2 und 358 erwähnten Fristen </w:t>
      </w:r>
      <w:r w:rsidR="0027187F" w:rsidRPr="009118AB">
        <w:rPr>
          <w:sz w:val="20"/>
          <w:szCs w:val="20"/>
        </w:rPr>
        <w:t>[bei einem steuerpflichtigen Empfänger wie in Artikel 305 Absatz 1 erwähnt mit seinem Einverständnis]</w:t>
      </w:r>
      <w:r w:rsidRPr="009118AB">
        <w:rPr>
          <w:sz w:val="20"/>
          <w:szCs w:val="20"/>
        </w:rPr>
        <w:t xml:space="preserve"> festgelegt wird</w:t>
      </w:r>
      <w:r w:rsidRPr="009118AB">
        <w:rPr>
          <w:iCs/>
          <w:sz w:val="20"/>
          <w:szCs w:val="20"/>
        </w:rPr>
        <w:t>]]</w:t>
      </w:r>
      <w:r w:rsidRPr="009118AB">
        <w:rPr>
          <w:bCs/>
          <w:iCs/>
          <w:sz w:val="20"/>
          <w:szCs w:val="20"/>
        </w:rPr>
        <w:t>,</w:t>
      </w:r>
    </w:p>
    <w:p w14:paraId="2BA5FAEA" w14:textId="77777777" w:rsidR="00E657F5" w:rsidRPr="009118AB" w:rsidRDefault="00E657F5" w:rsidP="00E657F5">
      <w:pPr>
        <w:autoSpaceDE w:val="0"/>
        <w:autoSpaceDN w:val="0"/>
        <w:adjustRightInd w:val="0"/>
        <w:jc w:val="both"/>
        <w:rPr>
          <w:bCs/>
          <w:iCs/>
          <w:sz w:val="20"/>
          <w:szCs w:val="20"/>
        </w:rPr>
      </w:pPr>
    </w:p>
    <w:p w14:paraId="1997A805" w14:textId="6D14902B" w:rsidR="00E657F5" w:rsidRPr="009118AB" w:rsidRDefault="00E657F5" w:rsidP="00E657F5">
      <w:pPr>
        <w:autoSpaceDE w:val="0"/>
        <w:autoSpaceDN w:val="0"/>
        <w:adjustRightInd w:val="0"/>
        <w:jc w:val="both"/>
        <w:rPr>
          <w:bCs/>
          <w:iCs/>
          <w:sz w:val="20"/>
          <w:szCs w:val="20"/>
        </w:rPr>
      </w:pPr>
      <w:r w:rsidRPr="009118AB">
        <w:rPr>
          <w:bCs/>
          <w:iCs/>
          <w:sz w:val="20"/>
          <w:szCs w:val="20"/>
        </w:rPr>
        <w:t xml:space="preserve">[5. [auf die in Artikel 53 </w:t>
      </w:r>
      <w:r w:rsidR="00D67EB8" w:rsidRPr="009118AB">
        <w:rPr>
          <w:bCs/>
          <w:iCs/>
          <w:sz w:val="20"/>
          <w:szCs w:val="20"/>
        </w:rPr>
        <w:t>Nr. </w:t>
      </w:r>
      <w:r w:rsidRPr="009118AB">
        <w:rPr>
          <w:bCs/>
          <w:iCs/>
          <w:sz w:val="20"/>
          <w:szCs w:val="20"/>
        </w:rPr>
        <w:t>24 erwähnten finanziellen Vorteile oder Vorteile jeglicher Art,]]</w:t>
      </w:r>
    </w:p>
    <w:p w14:paraId="6A158674" w14:textId="77777777" w:rsidR="00E657F5" w:rsidRPr="009118AB" w:rsidRDefault="00E657F5" w:rsidP="00E657F5">
      <w:pPr>
        <w:autoSpaceDE w:val="0"/>
        <w:autoSpaceDN w:val="0"/>
        <w:adjustRightInd w:val="0"/>
        <w:jc w:val="both"/>
        <w:rPr>
          <w:bCs/>
          <w:iCs/>
          <w:sz w:val="20"/>
          <w:szCs w:val="20"/>
        </w:rPr>
      </w:pPr>
    </w:p>
    <w:p w14:paraId="56D40AA6" w14:textId="7CD0080B" w:rsidR="00E657F5" w:rsidRPr="009118AB" w:rsidRDefault="00E657F5" w:rsidP="00E657F5">
      <w:pPr>
        <w:autoSpaceDE w:val="0"/>
        <w:autoSpaceDN w:val="0"/>
        <w:adjustRightInd w:val="0"/>
        <w:jc w:val="both"/>
        <w:rPr>
          <w:bCs/>
          <w:iCs/>
          <w:sz w:val="20"/>
          <w:szCs w:val="20"/>
        </w:rPr>
      </w:pPr>
      <w:r w:rsidRPr="009118AB">
        <w:rPr>
          <w:bCs/>
          <w:iCs/>
          <w:sz w:val="20"/>
          <w:szCs w:val="20"/>
        </w:rPr>
        <w:t>[6. [</w:t>
      </w:r>
      <w:r w:rsidRPr="009118AB">
        <w:rPr>
          <w:iCs/>
          <w:sz w:val="20"/>
          <w:szCs w:val="20"/>
        </w:rPr>
        <w:t xml:space="preserve">auf einen Betrag, der 17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w:t>
      </w:r>
      <w:r w:rsidRPr="009118AB">
        <w:rPr>
          <w:bCs/>
          <w:iCs/>
          <w:sz w:val="20"/>
          <w:szCs w:val="20"/>
        </w:rPr>
        <w:t>]]</w:t>
      </w:r>
    </w:p>
    <w:p w14:paraId="1FA95B79" w14:textId="77777777" w:rsidR="00E657F5" w:rsidRPr="009118AB" w:rsidRDefault="00E657F5" w:rsidP="00E657F5">
      <w:pPr>
        <w:autoSpaceDE w:val="0"/>
        <w:autoSpaceDN w:val="0"/>
        <w:adjustRightInd w:val="0"/>
        <w:jc w:val="both"/>
        <w:rPr>
          <w:bCs/>
          <w:iCs/>
          <w:sz w:val="20"/>
          <w:szCs w:val="20"/>
        </w:rPr>
      </w:pPr>
    </w:p>
    <w:p w14:paraId="3F26EA47" w14:textId="74A06E1D" w:rsidR="00E657F5" w:rsidRPr="009118AB" w:rsidRDefault="00E657F5" w:rsidP="00E657F5">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 xml:space="preserve">] </w:t>
      </w:r>
    </w:p>
    <w:p w14:paraId="52F67DE8" w14:textId="77777777" w:rsidR="00E657F5" w:rsidRPr="009118AB" w:rsidRDefault="00E657F5" w:rsidP="00E657F5">
      <w:pPr>
        <w:autoSpaceDE w:val="0"/>
        <w:autoSpaceDN w:val="0"/>
        <w:adjustRightInd w:val="0"/>
        <w:jc w:val="both"/>
        <w:rPr>
          <w:bCs/>
          <w:iCs/>
          <w:sz w:val="20"/>
          <w:szCs w:val="20"/>
        </w:rPr>
      </w:pPr>
    </w:p>
    <w:p w14:paraId="55491E7F" w14:textId="26E7A7B1" w:rsidR="00E657F5" w:rsidRPr="009118AB" w:rsidRDefault="00E657F5" w:rsidP="00E657F5">
      <w:pPr>
        <w:autoSpaceDE w:val="0"/>
        <w:autoSpaceDN w:val="0"/>
        <w:adjustRightInd w:val="0"/>
        <w:jc w:val="both"/>
        <w:rPr>
          <w:bCs/>
          <w:iCs/>
          <w:sz w:val="20"/>
          <w:szCs w:val="20"/>
        </w:rPr>
      </w:pPr>
      <w:r w:rsidRPr="009118AB">
        <w:rPr>
          <w:bCs/>
          <w:iCs/>
          <w:sz w:val="20"/>
          <w:szCs w:val="20"/>
        </w:rPr>
        <w:t>[</w:t>
      </w:r>
      <w:r w:rsidRPr="009118AB">
        <w:rPr>
          <w:iCs/>
          <w:sz w:val="20"/>
          <w:szCs w:val="20"/>
        </w:rPr>
        <w:t xml:space="preserve">7. auf einen Betrag, der in Abweichung von </w:t>
      </w:r>
      <w:r w:rsidR="00D67EB8" w:rsidRPr="009118AB">
        <w:rPr>
          <w:iCs/>
          <w:sz w:val="20"/>
          <w:szCs w:val="20"/>
        </w:rPr>
        <w:t>Nr. </w:t>
      </w:r>
      <w:r w:rsidRPr="009118AB">
        <w:rPr>
          <w:iCs/>
          <w:sz w:val="20"/>
          <w:szCs w:val="20"/>
        </w:rPr>
        <w:t xml:space="preserve">6 40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118AB">
        <w:rPr>
          <w:bCs/>
          <w:iCs/>
          <w:sz w:val="20"/>
          <w:szCs w:val="20"/>
        </w:rPr>
        <w:t>]</w:t>
      </w:r>
    </w:p>
    <w:p w14:paraId="7123D995" w14:textId="77777777" w:rsidR="00E657F5" w:rsidRPr="009118AB" w:rsidRDefault="00E657F5" w:rsidP="00E657F5">
      <w:pPr>
        <w:autoSpaceDE w:val="0"/>
        <w:autoSpaceDN w:val="0"/>
        <w:adjustRightInd w:val="0"/>
        <w:jc w:val="both"/>
        <w:rPr>
          <w:bCs/>
          <w:iCs/>
          <w:sz w:val="20"/>
          <w:szCs w:val="20"/>
        </w:rPr>
      </w:pPr>
    </w:p>
    <w:p w14:paraId="075F151B" w14:textId="6454C373" w:rsidR="00E657F5" w:rsidRPr="009118AB" w:rsidRDefault="00E657F5" w:rsidP="00E657F5">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w:t>
      </w:r>
    </w:p>
    <w:p w14:paraId="65B9568B" w14:textId="77777777" w:rsidR="00E657F5" w:rsidRPr="009118AB" w:rsidRDefault="00E657F5" w:rsidP="00E657F5">
      <w:pPr>
        <w:autoSpaceDE w:val="0"/>
        <w:autoSpaceDN w:val="0"/>
        <w:adjustRightInd w:val="0"/>
        <w:jc w:val="both"/>
        <w:rPr>
          <w:bCs/>
          <w:iCs/>
          <w:sz w:val="20"/>
          <w:szCs w:val="20"/>
        </w:rPr>
      </w:pPr>
    </w:p>
    <w:p w14:paraId="1239F302"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[8. auf die Kosten in Bezug auf die Nutzung der in Artikel 65 erwähnten Fahrzeuge, die ab dem 1. Januar 2026 gekauft, geleast oder gemietet werden, es sei denn, es handelt sich um ein Fahrzeug, das kein CO</w:t>
      </w:r>
      <w:r w:rsidRPr="009118AB">
        <w:rPr>
          <w:bCs/>
          <w:iCs/>
          <w:sz w:val="20"/>
          <w:szCs w:val="20"/>
          <w:vertAlign w:val="subscript"/>
        </w:rPr>
        <w:t>2</w:t>
      </w:r>
      <w:r w:rsidRPr="009118AB">
        <w:rPr>
          <w:bCs/>
          <w:iCs/>
          <w:sz w:val="20"/>
          <w:szCs w:val="20"/>
        </w:rPr>
        <w:t xml:space="preserve"> ausstößt,]</w:t>
      </w:r>
    </w:p>
    <w:p w14:paraId="542C4567" w14:textId="77777777" w:rsidR="00E657F5" w:rsidRPr="009118AB" w:rsidRDefault="00E657F5" w:rsidP="00E657F5">
      <w:pPr>
        <w:autoSpaceDE w:val="0"/>
        <w:autoSpaceDN w:val="0"/>
        <w:adjustRightInd w:val="0"/>
        <w:jc w:val="both"/>
        <w:rPr>
          <w:bCs/>
          <w:iCs/>
          <w:sz w:val="20"/>
          <w:szCs w:val="20"/>
        </w:rPr>
      </w:pPr>
    </w:p>
    <w:p w14:paraId="416F6AAB"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[9. [auf einen Betrag, der dem nachstehend erwähnten Prozentsatz der Kosten in Bezug auf die Nutzung der in Artikel 65 erwähnten Fahrzeuge, die kein CO</w:t>
      </w:r>
      <w:r w:rsidRPr="009118AB">
        <w:rPr>
          <w:bCs/>
          <w:iCs/>
          <w:sz w:val="20"/>
          <w:szCs w:val="20"/>
          <w:vertAlign w:val="subscript"/>
        </w:rPr>
        <w:t>2</w:t>
      </w:r>
      <w:r w:rsidRPr="009118AB">
        <w:rPr>
          <w:bCs/>
          <w:iCs/>
          <w:sz w:val="20"/>
          <w:szCs w:val="20"/>
        </w:rPr>
        <w:t xml:space="preserve"> ausstoßen, entspricht:</w:t>
      </w:r>
    </w:p>
    <w:p w14:paraId="6A5BEB53" w14:textId="77777777" w:rsidR="00E657F5" w:rsidRPr="009118AB" w:rsidRDefault="00E657F5" w:rsidP="00E657F5">
      <w:pPr>
        <w:autoSpaceDE w:val="0"/>
        <w:autoSpaceDN w:val="0"/>
        <w:adjustRightInd w:val="0"/>
        <w:jc w:val="both"/>
        <w:rPr>
          <w:bCs/>
          <w:iCs/>
          <w:sz w:val="20"/>
          <w:szCs w:val="20"/>
        </w:rPr>
      </w:pPr>
    </w:p>
    <w:p w14:paraId="635FBABF"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- 5 Prozent, wenn es sich um ein 2027 gekauftes, geleastes oder gemietetes Fahrzeug handelt,</w:t>
      </w:r>
    </w:p>
    <w:p w14:paraId="6A8C2B4B" w14:textId="77777777" w:rsidR="00E657F5" w:rsidRPr="009118AB" w:rsidRDefault="00E657F5" w:rsidP="00E657F5">
      <w:pPr>
        <w:autoSpaceDE w:val="0"/>
        <w:autoSpaceDN w:val="0"/>
        <w:adjustRightInd w:val="0"/>
        <w:jc w:val="both"/>
        <w:rPr>
          <w:bCs/>
          <w:iCs/>
          <w:sz w:val="20"/>
          <w:szCs w:val="20"/>
        </w:rPr>
      </w:pPr>
    </w:p>
    <w:p w14:paraId="1E65CA65"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- 10 Prozent, wenn es sich um ein 2028 gekauftes, geleastes oder gemietetes Fahrzeug handelt,]]</w:t>
      </w:r>
    </w:p>
    <w:p w14:paraId="4212389E" w14:textId="77777777" w:rsidR="00E657F5" w:rsidRPr="009118AB" w:rsidRDefault="00E657F5" w:rsidP="00E657F5">
      <w:pPr>
        <w:autoSpaceDE w:val="0"/>
        <w:autoSpaceDN w:val="0"/>
        <w:adjustRightInd w:val="0"/>
        <w:jc w:val="both"/>
        <w:rPr>
          <w:bCs/>
          <w:iCs/>
          <w:sz w:val="20"/>
          <w:szCs w:val="20"/>
        </w:rPr>
      </w:pPr>
    </w:p>
    <w:p w14:paraId="5012DA84" w14:textId="246105EC" w:rsidR="00E657F5" w:rsidRPr="009118AB" w:rsidRDefault="00E657F5" w:rsidP="00E657F5">
      <w:pPr>
        <w:autoSpaceDE w:val="0"/>
        <w:autoSpaceDN w:val="0"/>
        <w:adjustRightInd w:val="0"/>
        <w:jc w:val="both"/>
        <w:rPr>
          <w:bCs/>
          <w:iCs/>
          <w:sz w:val="20"/>
          <w:szCs w:val="20"/>
        </w:rPr>
      </w:pPr>
      <w:r w:rsidRPr="009118AB">
        <w:rPr>
          <w:bCs/>
          <w:iCs/>
          <w:sz w:val="20"/>
          <w:szCs w:val="20"/>
        </w:rPr>
        <w:t>[- 17,5 Prozent, wenn es sich um ein 2029 gekauftes, geleastes oder gemietetes Fahrzeug handelt</w:t>
      </w:r>
      <w:r w:rsidR="005930CE" w:rsidRPr="009118AB">
        <w:rPr>
          <w:bCs/>
          <w:iCs/>
          <w:sz w:val="20"/>
          <w:szCs w:val="20"/>
        </w:rPr>
        <w:t>,</w:t>
      </w:r>
      <w:r w:rsidRPr="009118AB">
        <w:rPr>
          <w:bCs/>
          <w:iCs/>
          <w:sz w:val="20"/>
          <w:szCs w:val="20"/>
        </w:rPr>
        <w:t>]</w:t>
      </w:r>
    </w:p>
    <w:p w14:paraId="392CEBE1" w14:textId="0B61E99D" w:rsidR="005930CE" w:rsidRPr="009118AB" w:rsidRDefault="005930CE" w:rsidP="00E657F5">
      <w:pPr>
        <w:autoSpaceDE w:val="0"/>
        <w:autoSpaceDN w:val="0"/>
        <w:adjustRightInd w:val="0"/>
        <w:jc w:val="both"/>
        <w:rPr>
          <w:bCs/>
          <w:iCs/>
          <w:sz w:val="20"/>
          <w:szCs w:val="20"/>
        </w:rPr>
      </w:pPr>
    </w:p>
    <w:p w14:paraId="464BDB77" w14:textId="7A30F530" w:rsidR="005930CE" w:rsidRPr="009118AB" w:rsidRDefault="005930CE" w:rsidP="00E657F5">
      <w:pPr>
        <w:autoSpaceDE w:val="0"/>
        <w:autoSpaceDN w:val="0"/>
        <w:adjustRightInd w:val="0"/>
        <w:jc w:val="both"/>
        <w:rPr>
          <w:bCs/>
          <w:iCs/>
          <w:sz w:val="20"/>
          <w:szCs w:val="20"/>
        </w:rPr>
      </w:pPr>
      <w:r w:rsidRPr="009118AB">
        <w:rPr>
          <w:bCs/>
          <w:iCs/>
          <w:sz w:val="20"/>
          <w:szCs w:val="20"/>
        </w:rPr>
        <w:lastRenderedPageBreak/>
        <w:t>[- 25 Prozent, wenn es sich um ein 2030 gekauftes, geleastes oder gemietetes Fahrzeug handelt</w:t>
      </w:r>
      <w:r w:rsidR="00395EAB" w:rsidRPr="009118AB">
        <w:rPr>
          <w:bCs/>
          <w:iCs/>
          <w:sz w:val="20"/>
          <w:szCs w:val="20"/>
        </w:rPr>
        <w:t>,</w:t>
      </w:r>
      <w:r w:rsidRPr="009118AB">
        <w:rPr>
          <w:bCs/>
          <w:iCs/>
          <w:sz w:val="20"/>
          <w:szCs w:val="20"/>
        </w:rPr>
        <w:t>]</w:t>
      </w:r>
    </w:p>
    <w:p w14:paraId="433B3124" w14:textId="77777777" w:rsidR="00395EAB" w:rsidRPr="009118AB" w:rsidRDefault="00395EAB" w:rsidP="00E657F5">
      <w:pPr>
        <w:autoSpaceDE w:val="0"/>
        <w:autoSpaceDN w:val="0"/>
        <w:adjustRightInd w:val="0"/>
        <w:jc w:val="both"/>
        <w:rPr>
          <w:bCs/>
          <w:iCs/>
          <w:sz w:val="20"/>
          <w:szCs w:val="20"/>
        </w:rPr>
      </w:pPr>
    </w:p>
    <w:p w14:paraId="5B478D80" w14:textId="08647109" w:rsidR="00395EAB" w:rsidRPr="009118AB" w:rsidRDefault="00395EAB" w:rsidP="00395EAB">
      <w:pPr>
        <w:autoSpaceDE w:val="0"/>
        <w:autoSpaceDN w:val="0"/>
        <w:adjustRightInd w:val="0"/>
        <w:jc w:val="both"/>
        <w:rPr>
          <w:bCs/>
          <w:iCs/>
          <w:sz w:val="20"/>
          <w:szCs w:val="20"/>
        </w:rPr>
      </w:pPr>
      <w:r w:rsidRPr="009118AB">
        <w:rPr>
          <w:bCs/>
          <w:iCs/>
          <w:sz w:val="20"/>
          <w:szCs w:val="20"/>
        </w:rPr>
        <w:t>[10. auf Provisionen, Maklergebühren, kommerzielle oder andere Ermäßigungen, zufällige oder nicht zufällige Entgelte oder Honorare, Zuwendungen, Vergütungen oder Vorteile jeglicher Art</w:t>
      </w:r>
      <w:r w:rsidR="00D67EB8" w:rsidRPr="009118AB">
        <w:rPr>
          <w:bCs/>
          <w:iCs/>
          <w:sz w:val="20"/>
          <w:szCs w:val="20"/>
        </w:rPr>
        <w:t> - </w:t>
      </w:r>
      <w:r w:rsidRPr="009118AB">
        <w:rPr>
          <w:bCs/>
          <w:iCs/>
          <w:sz w:val="20"/>
          <w:szCs w:val="20"/>
        </w:rPr>
        <w:t>in dem Maße, wie sie sich auf mehr als 3 Prozent der gesamten Bruttoentlohnung des Sportlers belaufen, die während der Dauer des Arbeitsvertrags pro Jahr berechnet wird</w:t>
      </w:r>
      <w:r w:rsidR="00FD68E8" w:rsidRPr="009118AB">
        <w:rPr>
          <w:bCs/>
          <w:iCs/>
          <w:sz w:val="20"/>
          <w:szCs w:val="20"/>
        </w:rPr>
        <w:t> -,</w:t>
      </w:r>
      <w:r w:rsidRPr="009118AB">
        <w:rPr>
          <w:bCs/>
          <w:iCs/>
          <w:sz w:val="20"/>
          <w:szCs w:val="20"/>
        </w:rPr>
        <w:t xml:space="preserve"> die direkt oder indirekt im Rahmen eines Vertrags gezahlt werden, der Folgendes zum Ziel hat:</w:t>
      </w:r>
    </w:p>
    <w:p w14:paraId="630C527F" w14:textId="77777777" w:rsidR="00395EAB" w:rsidRPr="009118AB" w:rsidRDefault="00395EAB" w:rsidP="00395EAB">
      <w:pPr>
        <w:autoSpaceDE w:val="0"/>
        <w:autoSpaceDN w:val="0"/>
        <w:adjustRightInd w:val="0"/>
        <w:jc w:val="both"/>
        <w:rPr>
          <w:bCs/>
          <w:iCs/>
          <w:sz w:val="20"/>
          <w:szCs w:val="20"/>
        </w:rPr>
      </w:pPr>
    </w:p>
    <w:p w14:paraId="6AC5BAA9"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a)</w:t>
      </w:r>
      <w:r w:rsidRPr="009118AB">
        <w:rPr>
          <w:bCs/>
          <w:iCs/>
          <w:sz w:val="20"/>
          <w:szCs w:val="20"/>
        </w:rPr>
        <w:t> entweder einen Sportler bei Verhandlungen im Hinblick auf den Abschluss, die Verlängerung, Erneuerung oder Beendigung eines Arbeitsvertrags bei einem Sportclub zu unterstützen</w:t>
      </w:r>
    </w:p>
    <w:p w14:paraId="3E96CE25" w14:textId="77777777" w:rsidR="00395EAB" w:rsidRPr="009118AB" w:rsidRDefault="00395EAB" w:rsidP="00395EAB">
      <w:pPr>
        <w:autoSpaceDE w:val="0"/>
        <w:autoSpaceDN w:val="0"/>
        <w:adjustRightInd w:val="0"/>
        <w:jc w:val="both"/>
        <w:rPr>
          <w:bCs/>
          <w:iCs/>
          <w:sz w:val="20"/>
          <w:szCs w:val="20"/>
        </w:rPr>
      </w:pPr>
    </w:p>
    <w:p w14:paraId="3A6F38E2" w14:textId="1D417DE2" w:rsidR="00395EAB" w:rsidRPr="009118AB" w:rsidRDefault="00395EAB" w:rsidP="00395EAB">
      <w:pPr>
        <w:autoSpaceDE w:val="0"/>
        <w:autoSpaceDN w:val="0"/>
        <w:adjustRightInd w:val="0"/>
        <w:jc w:val="both"/>
        <w:rPr>
          <w:bCs/>
          <w:iCs/>
          <w:sz w:val="20"/>
          <w:szCs w:val="20"/>
        </w:rPr>
      </w:pPr>
      <w:r w:rsidRPr="009118AB">
        <w:rPr>
          <w:bCs/>
          <w:i/>
          <w:iCs/>
          <w:sz w:val="20"/>
          <w:szCs w:val="20"/>
        </w:rPr>
        <w:t>b)</w:t>
      </w:r>
      <w:r w:rsidRPr="009118AB">
        <w:rPr>
          <w:bCs/>
          <w:iCs/>
          <w:sz w:val="20"/>
          <w:szCs w:val="20"/>
        </w:rPr>
        <w:t xml:space="preserve"> oder einen in Artikel 270 </w:t>
      </w:r>
      <w:r w:rsidR="00D67EB8" w:rsidRPr="009118AB">
        <w:rPr>
          <w:bCs/>
          <w:iCs/>
          <w:sz w:val="20"/>
          <w:szCs w:val="20"/>
        </w:rPr>
        <w:t>Nr. </w:t>
      </w:r>
      <w:r w:rsidRPr="009118AB">
        <w:rPr>
          <w:bCs/>
          <w:iCs/>
          <w:sz w:val="20"/>
          <w:szCs w:val="20"/>
        </w:rPr>
        <w:t>1 und 3 erwähnten Schuldner des Berufssteuer</w:t>
      </w:r>
      <w:r w:rsidRPr="009118AB">
        <w:rPr>
          <w:bCs/>
          <w:iCs/>
          <w:sz w:val="20"/>
          <w:szCs w:val="20"/>
        </w:rPr>
        <w:softHyphen/>
        <w:t>vorabzugs bei Verhandlungen im Hinblick auf den Abschluss, die Verlängerung, Erneuerung oder Beendigung eines Arbeitsvertrags mit einem Sportler zu unterstützen.</w:t>
      </w:r>
    </w:p>
    <w:p w14:paraId="57E60EF7" w14:textId="77777777" w:rsidR="00395EAB" w:rsidRPr="009118AB" w:rsidRDefault="00395EAB" w:rsidP="00395EAB">
      <w:pPr>
        <w:autoSpaceDE w:val="0"/>
        <w:autoSpaceDN w:val="0"/>
        <w:adjustRightInd w:val="0"/>
        <w:jc w:val="both"/>
        <w:rPr>
          <w:bCs/>
          <w:iCs/>
          <w:sz w:val="20"/>
          <w:szCs w:val="20"/>
        </w:rPr>
      </w:pPr>
    </w:p>
    <w:p w14:paraId="2FD903E8"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c)</w:t>
      </w:r>
      <w:r w:rsidRPr="009118AB">
        <w:rPr>
          <w:bCs/>
          <w:iCs/>
          <w:sz w:val="20"/>
          <w:szCs w:val="20"/>
        </w:rPr>
        <w:t> oder eine Ausleihe oder einen definitiven Transfer im Hinblick auf die Ankunft oder den Weggang eines Sportlers zu regeln.]</w:t>
      </w:r>
    </w:p>
    <w:p w14:paraId="7E55E0FA" w14:textId="77777777" w:rsidR="00E657F5" w:rsidRPr="009118AB" w:rsidRDefault="00E657F5" w:rsidP="00E657F5">
      <w:pPr>
        <w:autoSpaceDE w:val="0"/>
        <w:autoSpaceDN w:val="0"/>
        <w:adjustRightInd w:val="0"/>
        <w:jc w:val="both"/>
        <w:rPr>
          <w:bCs/>
          <w:iCs/>
          <w:sz w:val="20"/>
          <w:szCs w:val="20"/>
        </w:rPr>
      </w:pPr>
    </w:p>
    <w:p w14:paraId="3FA4CDA8" w14:textId="77777777" w:rsidR="00E657F5" w:rsidRPr="009118AB" w:rsidRDefault="00E657F5" w:rsidP="00E657F5">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3072832B" w14:textId="77777777" w:rsidR="00E657F5" w:rsidRPr="009118AB" w:rsidRDefault="00E657F5" w:rsidP="00E657F5">
      <w:pPr>
        <w:autoSpaceDE w:val="0"/>
        <w:autoSpaceDN w:val="0"/>
        <w:adjustRightInd w:val="0"/>
        <w:jc w:val="both"/>
        <w:rPr>
          <w:bCs/>
          <w:iCs/>
          <w:sz w:val="20"/>
          <w:szCs w:val="20"/>
        </w:rPr>
      </w:pPr>
    </w:p>
    <w:p w14:paraId="1E9DC928" w14:textId="0F75076D" w:rsidR="00E657F5" w:rsidRPr="009118AB" w:rsidRDefault="00E657F5" w:rsidP="00E657F5">
      <w:pPr>
        <w:autoSpaceDE w:val="0"/>
        <w:autoSpaceDN w:val="0"/>
        <w:adjustRightInd w:val="0"/>
        <w:jc w:val="both"/>
        <w:rPr>
          <w:bCs/>
          <w:iCs/>
          <w:sz w:val="20"/>
          <w:szCs w:val="20"/>
        </w:rPr>
      </w:pPr>
      <w:r w:rsidRPr="009118AB">
        <w:rPr>
          <w:bCs/>
          <w:iCs/>
          <w:sz w:val="20"/>
          <w:szCs w:val="20"/>
        </w:rPr>
        <w:t xml:space="preserve">[Wird ein in [Absatz 1 </w:t>
      </w:r>
      <w:r w:rsidR="00D67EB8" w:rsidRPr="009118AB">
        <w:rPr>
          <w:bCs/>
          <w:iCs/>
          <w:sz w:val="20"/>
          <w:szCs w:val="20"/>
        </w:rPr>
        <w:t>Nr. </w:t>
      </w:r>
      <w:r w:rsidRPr="009118AB">
        <w:rPr>
          <w:bCs/>
          <w:iCs/>
          <w:sz w:val="20"/>
          <w:szCs w:val="20"/>
        </w:rPr>
        <w:t xml:space="preserve">8 und 9] erwähntes Fahrzeug einem Dritten zur Nutzung zu persönlichen Zwecken zur Verfügung gestellt, umfassen die in [Absatz 1 </w:t>
      </w:r>
      <w:r w:rsidR="00D67EB8" w:rsidRPr="009118AB">
        <w:rPr>
          <w:bCs/>
          <w:iCs/>
          <w:sz w:val="20"/>
          <w:szCs w:val="20"/>
        </w:rPr>
        <w:t>Nr. </w:t>
      </w:r>
      <w:r w:rsidRPr="009118AB">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263ABBE1" w14:textId="77777777" w:rsidR="00E657F5" w:rsidRPr="009118AB" w:rsidRDefault="00E657F5" w:rsidP="00E657F5">
      <w:pPr>
        <w:autoSpaceDE w:val="0"/>
        <w:autoSpaceDN w:val="0"/>
        <w:adjustRightInd w:val="0"/>
        <w:jc w:val="both"/>
        <w:rPr>
          <w:bCs/>
          <w:iCs/>
          <w:sz w:val="20"/>
          <w:szCs w:val="20"/>
        </w:rPr>
      </w:pPr>
    </w:p>
    <w:p w14:paraId="364670FE" w14:textId="2DBE1554" w:rsidR="00E657F5" w:rsidRPr="009118AB" w:rsidRDefault="00E657F5" w:rsidP="00E657F5">
      <w:pPr>
        <w:autoSpaceDE w:val="0"/>
        <w:autoSpaceDN w:val="0"/>
        <w:adjustRightInd w:val="0"/>
        <w:jc w:val="both"/>
        <w:rPr>
          <w:bCs/>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234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3 ersetzt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w:t>
      </w:r>
      <w:r w:rsidR="00D20B96" w:rsidRPr="009118AB">
        <w:rPr>
          <w:bCs/>
          <w:i/>
          <w:iCs/>
          <w:sz w:val="20"/>
          <w:szCs w:val="20"/>
        </w:rPr>
        <w:t xml:space="preserve">einziger Absatz einleitende Bestimmung </w:t>
      </w:r>
      <w:r w:rsidRPr="009118AB">
        <w:rPr>
          <w:bCs/>
          <w:i/>
          <w:iCs/>
          <w:sz w:val="20"/>
          <w:szCs w:val="20"/>
        </w:rPr>
        <w:t xml:space="preserve">abgeändert durch </w:t>
      </w:r>
      <w:r w:rsidR="00D67EB8" w:rsidRPr="009118AB">
        <w:rPr>
          <w:bCs/>
          <w:i/>
          <w:iCs/>
          <w:sz w:val="20"/>
          <w:szCs w:val="20"/>
        </w:rPr>
        <w:t>Art. </w:t>
      </w:r>
      <w:r w:rsidRPr="009118AB">
        <w:rPr>
          <w:bCs/>
          <w:i/>
          <w:iCs/>
          <w:sz w:val="20"/>
          <w:szCs w:val="20"/>
        </w:rPr>
        <w:t>24 des G. (I) vom 27. Dezember 2006 (I)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34</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74 Buchstabe a) und b)</w:t>
      </w:r>
      <w:r w:rsidRPr="009118AB">
        <w:rPr>
          <w:bCs/>
          <w:i/>
          <w:iCs/>
          <w:sz w:val="20"/>
          <w:szCs w:val="20"/>
        </w:rPr>
        <w:t xml:space="preserve"> des G. vom 27. Juni 2021 (B.S. vom 30. Juni 2021)</w:t>
      </w:r>
      <w:r w:rsidR="00E40DE2" w:rsidRPr="009118AB">
        <w:rPr>
          <w:bCs/>
          <w:i/>
          <w:iCs/>
          <w:sz w:val="20"/>
          <w:szCs w:val="20"/>
        </w:rPr>
        <w:t>,</w:t>
      </w:r>
      <w:r w:rsidR="003D5682" w:rsidRPr="009118AB">
        <w:rPr>
          <w:i/>
          <w:iCs/>
          <w:sz w:val="20"/>
          <w:szCs w:val="20"/>
        </w:rPr>
        <w:t xml:space="preserve"> </w:t>
      </w:r>
      <w:r w:rsidR="00D67EB8" w:rsidRPr="009118AB">
        <w:rPr>
          <w:i/>
          <w:iCs/>
          <w:sz w:val="20"/>
          <w:szCs w:val="20"/>
        </w:rPr>
        <w:t>Art. </w:t>
      </w:r>
      <w:r w:rsidR="003D5682" w:rsidRPr="009118AB">
        <w:rPr>
          <w:i/>
          <w:iCs/>
          <w:sz w:val="20"/>
          <w:szCs w:val="20"/>
        </w:rPr>
        <w:t>50</w:t>
      </w:r>
      <w:r w:rsidR="003D5682" w:rsidRPr="009118AB">
        <w:rPr>
          <w:bCs/>
          <w:i/>
          <w:iCs/>
          <w:sz w:val="20"/>
          <w:szCs w:val="20"/>
        </w:rPr>
        <w:t xml:space="preserve"> des G. vom 21. Januar 2022 (B.S. vom 28. Januar 2022)</w:t>
      </w:r>
      <w:r w:rsidR="00D67EB8" w:rsidRPr="009118AB">
        <w:rPr>
          <w:bCs/>
          <w:i/>
          <w:iCs/>
          <w:sz w:val="20"/>
          <w:szCs w:val="20"/>
        </w:rPr>
        <w:t> - </w:t>
      </w:r>
      <w:r w:rsidR="003D5682"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E40DE2" w:rsidRPr="009118AB">
        <w:rPr>
          <w:bCs/>
          <w:i/>
          <w:iCs/>
          <w:sz w:val="20"/>
          <w:szCs w:val="20"/>
        </w:rPr>
        <w:t xml:space="preserve"> und Art. 27 des G. vom 21. Dezember 2022 (II) (B.S. vom 29. Dezember 2022) - in Kraft am 1. Januar 2023 -</w:t>
      </w:r>
      <w:r w:rsidR="003366D9" w:rsidRPr="009118AB">
        <w:rPr>
          <w:bCs/>
          <w:i/>
          <w:iCs/>
          <w:sz w:val="20"/>
          <w:szCs w:val="20"/>
        </w:rPr>
        <w:t>;</w:t>
      </w:r>
      <w:r w:rsidRPr="009118AB">
        <w:rPr>
          <w:bCs/>
          <w:i/>
          <w:iCs/>
          <w:sz w:val="20"/>
          <w:szCs w:val="20"/>
        </w:rPr>
        <w:t xml:space="preserve"> </w:t>
      </w:r>
      <w:r w:rsidR="0027187F" w:rsidRPr="009118AB">
        <w:rPr>
          <w:bCs/>
          <w:i/>
          <w:iCs/>
          <w:sz w:val="20"/>
          <w:szCs w:val="20"/>
        </w:rPr>
        <w:t xml:space="preserve">Abs. 1 Nr. 4 einziger Absatz zweiter Gedankenstrich abgeändert durch </w:t>
      </w:r>
      <w:r w:rsidR="0027187F" w:rsidRPr="009118AB">
        <w:rPr>
          <w:rFonts w:ascii="Times New Roman Italique" w:hAnsi="Times New Roman Italique"/>
          <w:bCs/>
          <w:i/>
          <w:iCs/>
          <w:spacing w:val="-2"/>
          <w:sz w:val="20"/>
          <w:szCs w:val="20"/>
        </w:rPr>
        <w:t xml:space="preserve">Art. 31 des G. vom 5. Juli 2022 (B.S. vom 15. Juli 2022);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5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55 des G. vom 10. März 1999 (B.S. vom 14. April 1999)</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ab dem 14. April 1999 verliehene Aktien oder Anteile</w:t>
      </w:r>
      <w:r w:rsidR="00FD68E8" w:rsidRPr="009118AB">
        <w:rPr>
          <w:rFonts w:ascii="Times New Roman Italique" w:hAnsi="Times New Roman Italique"/>
          <w:bCs/>
          <w:i/>
          <w:iCs/>
          <w:spacing w:val="-2"/>
          <w:sz w:val="20"/>
          <w:szCs w:val="20"/>
        </w:rPr>
        <w:t> -,</w:t>
      </w:r>
      <w:r w:rsidRPr="009118AB">
        <w:rPr>
          <w:bCs/>
          <w:i/>
          <w:iCs/>
          <w:sz w:val="20"/>
          <w:szCs w:val="20"/>
        </w:rPr>
        <w:t xml:space="preserve"> aufgehoben durch </w:t>
      </w:r>
      <w:r w:rsidR="00D67EB8" w:rsidRPr="009118AB">
        <w:rPr>
          <w:bCs/>
          <w:i/>
          <w:iCs/>
          <w:sz w:val="20"/>
          <w:szCs w:val="20"/>
        </w:rPr>
        <w:t>Art. </w:t>
      </w:r>
      <w:r w:rsidRPr="009118AB">
        <w:rPr>
          <w:bCs/>
          <w:i/>
          <w:iCs/>
          <w:sz w:val="20"/>
          <w:szCs w:val="20"/>
        </w:rPr>
        <w:t>51 des G. vom 15. Dezember 2004 (B.S. vom 1. Februar 2005)</w:t>
      </w:r>
      <w:r w:rsidR="00D67EB8" w:rsidRPr="009118AB">
        <w:rPr>
          <w:bCs/>
          <w:i/>
          <w:iCs/>
          <w:sz w:val="20"/>
          <w:szCs w:val="20"/>
        </w:rPr>
        <w:t> - </w:t>
      </w:r>
      <w:r w:rsidRPr="009118AB">
        <w:rPr>
          <w:bCs/>
          <w:i/>
          <w:iCs/>
          <w:sz w:val="20"/>
          <w:szCs w:val="20"/>
        </w:rPr>
        <w:t>anwendbar auf Aktien-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138 des G.</w:t>
      </w:r>
      <w:r w:rsidR="00AF345D" w:rsidRPr="009118AB">
        <w:rPr>
          <w:bCs/>
          <w:i/>
          <w:iCs/>
          <w:sz w:val="20"/>
          <w:szCs w:val="20"/>
        </w:rPr>
        <w:t> </w:t>
      </w:r>
      <w:r w:rsidRPr="009118AB">
        <w:rPr>
          <w:bCs/>
          <w:i/>
          <w:iCs/>
          <w:sz w:val="20"/>
          <w:szCs w:val="20"/>
        </w:rPr>
        <w:t>(I) vom 22. Dezember 2008 (II) (B.S. vom 29. Dezember 2008)</w:t>
      </w:r>
      <w:r w:rsidR="00D67EB8" w:rsidRPr="009118AB">
        <w:rPr>
          <w:bCs/>
          <w:i/>
          <w:iCs/>
          <w:sz w:val="20"/>
          <w:szCs w:val="20"/>
        </w:rPr>
        <w:t> - </w:t>
      </w:r>
      <w:r w:rsidRPr="009118AB">
        <w:rPr>
          <w:bCs/>
          <w:i/>
          <w:iCs/>
          <w:sz w:val="20"/>
          <w:szCs w:val="20"/>
        </w:rPr>
        <w:t>in Kraft am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6 eingefügt </w:t>
      </w:r>
      <w:r w:rsidRPr="009118AB">
        <w:rPr>
          <w:i/>
          <w:iCs/>
          <w:sz w:val="20"/>
          <w:szCs w:val="20"/>
        </w:rPr>
        <w:t xml:space="preserve">durch </w:t>
      </w:r>
      <w:r w:rsidR="00D67EB8" w:rsidRPr="009118AB">
        <w:rPr>
          <w:i/>
          <w:iCs/>
          <w:sz w:val="20"/>
          <w:szCs w:val="20"/>
        </w:rPr>
        <w:t>Art. </w:t>
      </w:r>
      <w:r w:rsidRPr="009118AB">
        <w:rPr>
          <w:i/>
          <w:iCs/>
          <w:sz w:val="20"/>
          <w:szCs w:val="20"/>
        </w:rPr>
        <w:t xml:space="preserve">49 </w:t>
      </w:r>
      <w:r w:rsidRPr="009118AB">
        <w:rPr>
          <w:bCs/>
          <w:i/>
          <w:iCs/>
          <w:sz w:val="20"/>
          <w:szCs w:val="20"/>
        </w:rPr>
        <w:t>des G. vom 28. Dezember 2011 (B.S. vom 30. Dezember 2011)</w:t>
      </w:r>
      <w:r w:rsidR="00D67EB8" w:rsidRPr="009118AB">
        <w:rPr>
          <w:bCs/>
          <w:i/>
          <w:iCs/>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71 Buchstabe a) des G. vom 25. Dezember 2016 (I) (B.S. vom 29. Dezember 2016)</w:t>
      </w:r>
      <w:r w:rsidR="00D67EB8" w:rsidRPr="009118AB">
        <w:rPr>
          <w:i/>
          <w:iCs/>
          <w:sz w:val="20"/>
          <w:szCs w:val="20"/>
        </w:rPr>
        <w:t> - </w:t>
      </w:r>
      <w:r w:rsidRPr="009118AB">
        <w:rPr>
          <w:i/>
          <w:iCs/>
          <w:sz w:val="20"/>
          <w:szCs w:val="20"/>
        </w:rPr>
        <w:t>in Kraft und anwendbar ab dem 1. Januar 2017</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63 </w:t>
      </w:r>
      <w:r w:rsidR="00D67EB8" w:rsidRPr="009118AB">
        <w:rPr>
          <w:i/>
          <w:iCs/>
          <w:sz w:val="20"/>
          <w:szCs w:val="20"/>
        </w:rPr>
        <w:t>Nr. </w:t>
      </w:r>
      <w:r w:rsidRPr="009118AB">
        <w:rPr>
          <w:i/>
          <w:iCs/>
          <w:sz w:val="20"/>
          <w:szCs w:val="20"/>
        </w:rPr>
        <w:t>1 des G. vom 25. Dezember 2017 (III) (B.S. vom 29. Dezember 2017)</w:t>
      </w:r>
      <w:r w:rsidR="00D67EB8" w:rsidRPr="009118AB">
        <w:rPr>
          <w:i/>
          <w:iCs/>
          <w:sz w:val="20"/>
          <w:szCs w:val="20"/>
        </w:rPr>
        <w:t> - </w:t>
      </w:r>
      <w:r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6bis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1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 xml:space="preserve">11/2020 des Verfassungsgerichtshofes vom 23. Januar 2020 (B.S. vom 24. Februar 2020); </w:t>
      </w:r>
      <w:r w:rsidR="00D67EB8" w:rsidRPr="009118AB">
        <w:rPr>
          <w:i/>
          <w:iCs/>
          <w:sz w:val="20"/>
          <w:szCs w:val="20"/>
        </w:rPr>
        <w:t>Abs. </w:t>
      </w:r>
      <w:r w:rsidR="00B04FF4" w:rsidRPr="009118AB">
        <w:rPr>
          <w:i/>
          <w:iCs/>
          <w:sz w:val="20"/>
          <w:szCs w:val="20"/>
        </w:rPr>
        <w:t xml:space="preserve">1 </w:t>
      </w:r>
      <w:r w:rsidR="00D67EB8" w:rsidRPr="009118AB">
        <w:rPr>
          <w:i/>
          <w:iCs/>
          <w:sz w:val="20"/>
          <w:szCs w:val="20"/>
        </w:rPr>
        <w:t>Nr. </w:t>
      </w:r>
      <w:r w:rsidR="00B04FF4" w:rsidRPr="009118AB">
        <w:rPr>
          <w:i/>
          <w:iCs/>
          <w:sz w:val="20"/>
          <w:szCs w:val="20"/>
        </w:rPr>
        <w:t xml:space="preserve">7 eingefügt durch </w:t>
      </w:r>
      <w:r w:rsidR="00D67EB8" w:rsidRPr="009118AB">
        <w:rPr>
          <w:i/>
          <w:iCs/>
          <w:sz w:val="20"/>
          <w:szCs w:val="20"/>
        </w:rPr>
        <w:t>Art. </w:t>
      </w:r>
      <w:r w:rsidR="00B04FF4" w:rsidRPr="009118AB">
        <w:rPr>
          <w:i/>
          <w:iCs/>
          <w:sz w:val="20"/>
          <w:szCs w:val="20"/>
        </w:rPr>
        <w:t>71 Buchstabe b) des G. vom 25. Dezember 2016 (I) (B.S. vom 29. Dezember 2016)</w:t>
      </w:r>
      <w:r w:rsidR="00D67EB8" w:rsidRPr="009118AB">
        <w:rPr>
          <w:i/>
          <w:iCs/>
          <w:sz w:val="20"/>
          <w:szCs w:val="20"/>
        </w:rPr>
        <w:t> - </w:t>
      </w:r>
      <w:r w:rsidR="00B04FF4" w:rsidRPr="009118AB">
        <w:rPr>
          <w:i/>
          <w:iCs/>
          <w:sz w:val="20"/>
          <w:szCs w:val="20"/>
        </w:rPr>
        <w:t>in Kraft und anwendbar ab dem 1. Januar 2017</w:t>
      </w:r>
      <w:r w:rsidR="00D67EB8" w:rsidRPr="009118AB">
        <w:rPr>
          <w:i/>
          <w:iCs/>
          <w:sz w:val="20"/>
          <w:szCs w:val="20"/>
        </w:rPr>
        <w:t> - </w:t>
      </w:r>
      <w:r w:rsidR="00B04FF4" w:rsidRPr="009118AB">
        <w:rPr>
          <w:i/>
          <w:iCs/>
          <w:sz w:val="20"/>
          <w:szCs w:val="20"/>
        </w:rPr>
        <w:t xml:space="preserve">und abgeändert durch </w:t>
      </w:r>
      <w:r w:rsidR="00D67EB8" w:rsidRPr="009118AB">
        <w:rPr>
          <w:i/>
          <w:iCs/>
          <w:sz w:val="20"/>
          <w:szCs w:val="20"/>
        </w:rPr>
        <w:t>Art. </w:t>
      </w:r>
      <w:r w:rsidR="00B04FF4" w:rsidRPr="009118AB">
        <w:rPr>
          <w:i/>
          <w:iCs/>
          <w:sz w:val="20"/>
          <w:szCs w:val="20"/>
        </w:rPr>
        <w:t xml:space="preserve">63 </w:t>
      </w:r>
      <w:r w:rsidR="00D67EB8" w:rsidRPr="009118AB">
        <w:rPr>
          <w:i/>
          <w:iCs/>
          <w:sz w:val="20"/>
          <w:szCs w:val="20"/>
        </w:rPr>
        <w:t>Nr. </w:t>
      </w:r>
      <w:r w:rsidR="00B04FF4" w:rsidRPr="009118AB">
        <w:rPr>
          <w:i/>
          <w:iCs/>
          <w:sz w:val="20"/>
          <w:szCs w:val="20"/>
        </w:rPr>
        <w:t>2 des G. vom 25. Dezember 2017 (III) (B.S. vom 29. Dezember 2017)</w:t>
      </w:r>
      <w:r w:rsidR="00D67EB8" w:rsidRPr="009118AB">
        <w:rPr>
          <w:i/>
          <w:iCs/>
          <w:sz w:val="20"/>
          <w:szCs w:val="20"/>
        </w:rPr>
        <w:t> - </w:t>
      </w:r>
      <w:r w:rsidR="00B04FF4"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00B04FF4"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7bis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2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11/2020 des Verfassungsgerichtshofes vom 23. Januar 2020 (B.S. vom 24. Februar 2020);</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8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1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9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2 des G. vom 25. November 2021 (B.S. vom 3. Dezember 2021)</w:t>
      </w:r>
      <w:r w:rsidR="00D67EB8" w:rsidRPr="009118AB">
        <w:rPr>
          <w:i/>
          <w:iCs/>
          <w:sz w:val="20"/>
          <w:szCs w:val="20"/>
        </w:rPr>
        <w:t> - </w:t>
      </w:r>
      <w:r w:rsidRPr="009118AB">
        <w:rPr>
          <w:i/>
          <w:iCs/>
          <w:sz w:val="20"/>
          <w:szCs w:val="20"/>
        </w:rPr>
        <w:t>in Kraft am 1. Januar 2027</w:t>
      </w:r>
      <w:r w:rsidR="00D67EB8" w:rsidRPr="009118AB">
        <w:rPr>
          <w:i/>
          <w:iCs/>
          <w:sz w:val="20"/>
          <w:szCs w:val="20"/>
        </w:rPr>
        <w:t> - </w:t>
      </w:r>
      <w:r w:rsidRPr="009118AB">
        <w:rPr>
          <w:i/>
          <w:iCs/>
          <w:sz w:val="20"/>
          <w:szCs w:val="20"/>
        </w:rPr>
        <w:t xml:space="preserve">und ersetzt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lastRenderedPageBreak/>
        <w:t>Abs. </w:t>
      </w:r>
      <w:r w:rsidRPr="009118AB">
        <w:rPr>
          <w:i/>
          <w:iCs/>
          <w:sz w:val="20"/>
          <w:szCs w:val="20"/>
        </w:rPr>
        <w:t xml:space="preserve">1 </w:t>
      </w:r>
      <w:r w:rsidR="00D67EB8" w:rsidRPr="009118AB">
        <w:rPr>
          <w:i/>
          <w:iCs/>
          <w:sz w:val="20"/>
          <w:szCs w:val="20"/>
        </w:rPr>
        <w:t>Nr. </w:t>
      </w:r>
      <w:r w:rsidRPr="009118AB">
        <w:rPr>
          <w:i/>
          <w:iCs/>
          <w:sz w:val="20"/>
          <w:szCs w:val="20"/>
        </w:rPr>
        <w:t xml:space="preserve">9 einziger Absatz dritter Gedankenstrich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4</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2029</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5930CE" w:rsidRPr="009118AB">
        <w:rPr>
          <w:i/>
          <w:iCs/>
          <w:sz w:val="20"/>
          <w:szCs w:val="20"/>
        </w:rPr>
        <w:t xml:space="preserve">1 </w:t>
      </w:r>
      <w:r w:rsidR="00D67EB8" w:rsidRPr="009118AB">
        <w:rPr>
          <w:i/>
          <w:iCs/>
          <w:sz w:val="20"/>
          <w:szCs w:val="20"/>
        </w:rPr>
        <w:t>Nr. </w:t>
      </w:r>
      <w:r w:rsidR="005930CE" w:rsidRPr="009118AB">
        <w:rPr>
          <w:i/>
          <w:iCs/>
          <w:sz w:val="20"/>
          <w:szCs w:val="20"/>
        </w:rPr>
        <w:t xml:space="preserve">9 einziger Absatz vierter Gedankenstrich eingefügt durch </w:t>
      </w:r>
      <w:r w:rsidR="00D67EB8" w:rsidRPr="009118AB">
        <w:rPr>
          <w:i/>
          <w:iCs/>
          <w:sz w:val="20"/>
          <w:szCs w:val="20"/>
        </w:rPr>
        <w:t>Art. </w:t>
      </w:r>
      <w:r w:rsidR="005930CE" w:rsidRPr="009118AB">
        <w:rPr>
          <w:i/>
          <w:iCs/>
          <w:sz w:val="20"/>
          <w:szCs w:val="20"/>
        </w:rPr>
        <w:t xml:space="preserve">8 </w:t>
      </w:r>
      <w:r w:rsidR="00D67EB8" w:rsidRPr="009118AB">
        <w:rPr>
          <w:i/>
          <w:iCs/>
          <w:sz w:val="20"/>
          <w:szCs w:val="20"/>
        </w:rPr>
        <w:t>Nr. </w:t>
      </w:r>
      <w:r w:rsidR="005930CE" w:rsidRPr="009118AB">
        <w:rPr>
          <w:i/>
          <w:iCs/>
          <w:sz w:val="20"/>
          <w:szCs w:val="20"/>
        </w:rPr>
        <w:t>5</w:t>
      </w:r>
      <w:r w:rsidR="005930CE" w:rsidRPr="009118AB">
        <w:rPr>
          <w:i/>
          <w:iCs/>
        </w:rPr>
        <w:t xml:space="preserve"> </w:t>
      </w:r>
      <w:r w:rsidR="005930CE" w:rsidRPr="009118AB">
        <w:rPr>
          <w:i/>
          <w:iCs/>
          <w:sz w:val="20"/>
          <w:szCs w:val="20"/>
        </w:rPr>
        <w:t>des G. vom 25. November 2021 (B.S. vom 3. Dezember 2021)</w:t>
      </w:r>
      <w:r w:rsidR="00D67EB8" w:rsidRPr="009118AB">
        <w:rPr>
          <w:i/>
          <w:iCs/>
          <w:sz w:val="20"/>
          <w:szCs w:val="20"/>
        </w:rPr>
        <w:t> - </w:t>
      </w:r>
      <w:r w:rsidR="005930CE" w:rsidRPr="009118AB">
        <w:rPr>
          <w:i/>
          <w:iCs/>
          <w:sz w:val="20"/>
          <w:szCs w:val="20"/>
        </w:rPr>
        <w:t>in Kraft am 1. Januar 2030</w:t>
      </w:r>
      <w:r w:rsidR="003366D9" w:rsidRPr="009118AB">
        <w:rPr>
          <w:i/>
          <w:iCs/>
          <w:sz w:val="20"/>
          <w:szCs w:val="20"/>
        </w:rPr>
        <w:t> -;</w:t>
      </w:r>
      <w:r w:rsidR="005930CE" w:rsidRPr="009118AB">
        <w:rPr>
          <w:i/>
          <w:iCs/>
          <w:sz w:val="20"/>
          <w:szCs w:val="20"/>
        </w:rPr>
        <w:t xml:space="preserve"> </w:t>
      </w:r>
      <w:r w:rsidR="00D67EB8" w:rsidRPr="009118AB">
        <w:rPr>
          <w:i/>
          <w:iCs/>
          <w:sz w:val="20"/>
          <w:szCs w:val="20"/>
        </w:rPr>
        <w:t>Abs. </w:t>
      </w:r>
      <w:r w:rsidR="00395EAB" w:rsidRPr="009118AB">
        <w:rPr>
          <w:i/>
          <w:iCs/>
          <w:sz w:val="20"/>
          <w:szCs w:val="20"/>
        </w:rPr>
        <w:t xml:space="preserve">1 </w:t>
      </w:r>
      <w:r w:rsidR="00D67EB8" w:rsidRPr="009118AB">
        <w:rPr>
          <w:i/>
          <w:iCs/>
          <w:sz w:val="20"/>
          <w:szCs w:val="20"/>
        </w:rPr>
        <w:t>Nr. </w:t>
      </w:r>
      <w:r w:rsidR="00395EAB" w:rsidRPr="009118AB">
        <w:rPr>
          <w:i/>
          <w:iCs/>
          <w:sz w:val="20"/>
          <w:szCs w:val="20"/>
        </w:rPr>
        <w:t xml:space="preserve">10 eingefügt durch </w:t>
      </w:r>
      <w:r w:rsidR="00D67EB8" w:rsidRPr="009118AB">
        <w:rPr>
          <w:i/>
          <w:iCs/>
          <w:sz w:val="20"/>
          <w:szCs w:val="20"/>
        </w:rPr>
        <w:t>Art. </w:t>
      </w:r>
      <w:r w:rsidR="00395EAB" w:rsidRPr="009118AB">
        <w:rPr>
          <w:i/>
          <w:iCs/>
          <w:sz w:val="20"/>
          <w:szCs w:val="20"/>
        </w:rPr>
        <w:t>9 des G. vom 27. Dezember 2021 (B.S. vom 31. Dezember 2021)</w:t>
      </w:r>
      <w:r w:rsidR="00D67EB8" w:rsidRPr="009118AB">
        <w:rPr>
          <w:i/>
          <w:iCs/>
          <w:sz w:val="20"/>
          <w:szCs w:val="20"/>
        </w:rPr>
        <w:t> - </w:t>
      </w:r>
      <w:r w:rsidR="00395EAB" w:rsidRPr="009118AB">
        <w:rPr>
          <w:i/>
          <w:iCs/>
          <w:sz w:val="20"/>
          <w:szCs w:val="20"/>
        </w:rPr>
        <w:t>anwendbar ab dem 1. Januar 2022</w:t>
      </w:r>
      <w:r w:rsidR="003366D9" w:rsidRPr="009118AB">
        <w:rPr>
          <w:i/>
          <w:iCs/>
          <w:sz w:val="20"/>
          <w:szCs w:val="20"/>
        </w:rPr>
        <w:t> -;</w:t>
      </w:r>
      <w:r w:rsidR="00395EAB" w:rsidRPr="009118AB">
        <w:rPr>
          <w:i/>
          <w:iCs/>
          <w:sz w:val="20"/>
          <w:szCs w:val="20"/>
        </w:rPr>
        <w:t xml:space="preserve"> </w:t>
      </w:r>
      <w:r w:rsidR="00D67EB8" w:rsidRPr="009118AB">
        <w:rPr>
          <w:bCs/>
          <w:i/>
          <w:iCs/>
          <w:sz w:val="20"/>
          <w:szCs w:val="20"/>
        </w:rPr>
        <w:t>Abs. </w:t>
      </w:r>
      <w:r w:rsidRPr="009118AB">
        <w:rPr>
          <w:bCs/>
          <w:i/>
          <w:iCs/>
          <w:sz w:val="20"/>
          <w:szCs w:val="20"/>
        </w:rPr>
        <w:t xml:space="preserve">2 eingefügt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9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8 </w:t>
      </w:r>
      <w:r w:rsidR="00D67EB8" w:rsidRPr="009118AB">
        <w:rPr>
          <w:bCs/>
          <w:i/>
          <w:iCs/>
          <w:sz w:val="20"/>
          <w:szCs w:val="20"/>
        </w:rPr>
        <w:t>Nr. </w:t>
      </w:r>
      <w:r w:rsidRPr="009118AB">
        <w:rPr>
          <w:bCs/>
          <w:i/>
          <w:iCs/>
          <w:sz w:val="20"/>
          <w:szCs w:val="20"/>
        </w:rPr>
        <w:t>7</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8 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bCs/>
          <w:sz w:val="20"/>
          <w:szCs w:val="20"/>
        </w:rPr>
        <w:t>"</w:t>
      </w:r>
    </w:p>
    <w:p w14:paraId="456EE234" w14:textId="5B146348" w:rsidR="00E657F5" w:rsidRPr="009118AB" w:rsidRDefault="00E657F5" w:rsidP="00AE2DCB">
      <w:pPr>
        <w:autoSpaceDE w:val="0"/>
        <w:autoSpaceDN w:val="0"/>
        <w:adjustRightInd w:val="0"/>
        <w:jc w:val="both"/>
        <w:rPr>
          <w:bCs/>
          <w:sz w:val="20"/>
          <w:szCs w:val="20"/>
        </w:rPr>
      </w:pPr>
    </w:p>
    <w:p w14:paraId="3831A4BD" w14:textId="6389A97F" w:rsidR="005930CE" w:rsidRPr="009118AB" w:rsidRDefault="005930CE" w:rsidP="00AE2DCB">
      <w:pPr>
        <w:autoSpaceDE w:val="0"/>
        <w:autoSpaceDN w:val="0"/>
        <w:adjustRightInd w:val="0"/>
        <w:jc w:val="both"/>
        <w:rPr>
          <w:bCs/>
          <w:sz w:val="20"/>
          <w:szCs w:val="20"/>
        </w:rPr>
      </w:pPr>
    </w:p>
    <w:p w14:paraId="776F36B0" w14:textId="5C3C134A" w:rsidR="005930CE" w:rsidRPr="009118AB" w:rsidRDefault="005930CE" w:rsidP="005930CE">
      <w:pPr>
        <w:autoSpaceDE w:val="0"/>
        <w:autoSpaceDN w:val="0"/>
        <w:adjustRightInd w:val="0"/>
        <w:jc w:val="both"/>
        <w:rPr>
          <w:sz w:val="20"/>
          <w:szCs w:val="20"/>
        </w:rPr>
      </w:pPr>
      <w:r w:rsidRPr="009118AB">
        <w:rPr>
          <w:sz w:val="20"/>
          <w:szCs w:val="20"/>
        </w:rPr>
        <w:t xml:space="preserve">Ab dem 1. Januar 2031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11 des G. vom 25. November 2021 (B.S. vom 3. Dezember 2021)) lautet </w:t>
      </w:r>
      <w:r w:rsidR="00D67EB8" w:rsidRPr="009118AB">
        <w:rPr>
          <w:sz w:val="20"/>
          <w:szCs w:val="20"/>
        </w:rPr>
        <w:t>Art. </w:t>
      </w:r>
      <w:r w:rsidRPr="009118AB">
        <w:rPr>
          <w:sz w:val="20"/>
          <w:szCs w:val="20"/>
        </w:rPr>
        <w:t>234 wie folgt:</w:t>
      </w:r>
    </w:p>
    <w:p w14:paraId="0092087C" w14:textId="77777777" w:rsidR="005930CE" w:rsidRPr="009118AB" w:rsidRDefault="005930CE" w:rsidP="005930CE">
      <w:pPr>
        <w:autoSpaceDE w:val="0"/>
        <w:autoSpaceDN w:val="0"/>
        <w:adjustRightInd w:val="0"/>
        <w:jc w:val="both"/>
        <w:rPr>
          <w:sz w:val="20"/>
          <w:szCs w:val="20"/>
        </w:rPr>
      </w:pPr>
    </w:p>
    <w:p w14:paraId="7D5C2AF9" w14:textId="5056D621" w:rsidR="005930CE" w:rsidRPr="009118AB" w:rsidRDefault="005930CE" w:rsidP="005930CE">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234</w:t>
      </w:r>
      <w:r w:rsidR="00D67EB8" w:rsidRPr="009118AB">
        <w:rPr>
          <w:sz w:val="20"/>
          <w:szCs w:val="20"/>
        </w:rPr>
        <w:t> - </w:t>
      </w:r>
      <w:r w:rsidRPr="009118AB">
        <w:rPr>
          <w:bCs/>
          <w:iCs/>
          <w:sz w:val="20"/>
          <w:szCs w:val="20"/>
        </w:rPr>
        <w:t xml:space="preserve">In Bezug auf die in Artikel 227 </w:t>
      </w:r>
      <w:r w:rsidR="00D67EB8" w:rsidRPr="009118AB">
        <w:rPr>
          <w:bCs/>
          <w:iCs/>
          <w:sz w:val="20"/>
          <w:szCs w:val="20"/>
        </w:rPr>
        <w:t>Nr. </w:t>
      </w:r>
      <w:r w:rsidRPr="009118AB">
        <w:rPr>
          <w:bCs/>
          <w:iCs/>
          <w:sz w:val="20"/>
          <w:szCs w:val="20"/>
        </w:rPr>
        <w:t>3 erwähnten Steuerpflichtigen wird die Steuer festgelegt:</w:t>
      </w:r>
    </w:p>
    <w:p w14:paraId="53E99FEC" w14:textId="77777777" w:rsidR="005930CE" w:rsidRPr="009118AB" w:rsidRDefault="005930CE" w:rsidP="005930CE">
      <w:pPr>
        <w:autoSpaceDE w:val="0"/>
        <w:autoSpaceDN w:val="0"/>
        <w:adjustRightInd w:val="0"/>
        <w:jc w:val="both"/>
        <w:rPr>
          <w:bCs/>
          <w:iCs/>
          <w:sz w:val="20"/>
          <w:szCs w:val="20"/>
        </w:rPr>
      </w:pPr>
    </w:p>
    <w:p w14:paraId="44A903B7" w14:textId="77777777" w:rsidR="005930CE" w:rsidRPr="009118AB" w:rsidRDefault="005930CE" w:rsidP="005930CE">
      <w:pPr>
        <w:autoSpaceDE w:val="0"/>
        <w:autoSpaceDN w:val="0"/>
        <w:adjustRightInd w:val="0"/>
        <w:jc w:val="both"/>
        <w:rPr>
          <w:bCs/>
          <w:iCs/>
          <w:sz w:val="20"/>
          <w:szCs w:val="20"/>
        </w:rPr>
      </w:pPr>
      <w:r w:rsidRPr="009118AB">
        <w:rPr>
          <w:bCs/>
          <w:iCs/>
          <w:sz w:val="20"/>
          <w:szCs w:val="20"/>
        </w:rPr>
        <w:t>1. auf den Teil des Nettobetrags des Mietpreises und der Mietvorteile ihrer in Belgien gelegenen unbeweglichen Güter, der das Katastereinkommen dieser Güter übersteigt, außer wenn es sich handelt um:</w:t>
      </w:r>
    </w:p>
    <w:p w14:paraId="23005B4C" w14:textId="77777777" w:rsidR="005930CE" w:rsidRPr="009118AB" w:rsidRDefault="005930CE" w:rsidP="005930CE">
      <w:pPr>
        <w:autoSpaceDE w:val="0"/>
        <w:autoSpaceDN w:val="0"/>
        <w:adjustRightInd w:val="0"/>
        <w:jc w:val="both"/>
        <w:rPr>
          <w:bCs/>
          <w:iCs/>
          <w:sz w:val="20"/>
          <w:szCs w:val="20"/>
        </w:rPr>
      </w:pPr>
    </w:p>
    <w:p w14:paraId="5FBB47F3" w14:textId="77777777" w:rsidR="005930CE" w:rsidRPr="009118AB" w:rsidRDefault="005930CE" w:rsidP="005930CE">
      <w:pPr>
        <w:autoSpaceDE w:val="0"/>
        <w:autoSpaceDN w:val="0"/>
        <w:adjustRightInd w:val="0"/>
        <w:jc w:val="both"/>
        <w:rPr>
          <w:bCs/>
          <w:iCs/>
          <w:sz w:val="20"/>
          <w:szCs w:val="20"/>
        </w:rPr>
      </w:pPr>
      <w:r w:rsidRPr="009118AB">
        <w:rPr>
          <w:bCs/>
          <w:iCs/>
          <w:sz w:val="20"/>
          <w:szCs w:val="20"/>
        </w:rPr>
        <w:t>- Güter, die an eine natürliche Person vermietet sind, die diese Güter weder ganz noch teilweise zur Ausübung ihrer Berufstätigkeit nutzt,</w:t>
      </w:r>
    </w:p>
    <w:p w14:paraId="2EC43136" w14:textId="77777777" w:rsidR="005930CE" w:rsidRPr="009118AB" w:rsidRDefault="005930CE" w:rsidP="005930CE">
      <w:pPr>
        <w:autoSpaceDE w:val="0"/>
        <w:autoSpaceDN w:val="0"/>
        <w:adjustRightInd w:val="0"/>
        <w:jc w:val="both"/>
        <w:rPr>
          <w:bCs/>
          <w:iCs/>
          <w:sz w:val="20"/>
          <w:szCs w:val="20"/>
        </w:rPr>
      </w:pPr>
    </w:p>
    <w:p w14:paraId="37A0A8BA" w14:textId="77777777" w:rsidR="005930CE" w:rsidRPr="009118AB" w:rsidRDefault="005930CE" w:rsidP="005930CE">
      <w:pPr>
        <w:autoSpaceDE w:val="0"/>
        <w:autoSpaceDN w:val="0"/>
        <w:adjustRightInd w:val="0"/>
        <w:jc w:val="both"/>
        <w:rPr>
          <w:bCs/>
          <w:iCs/>
          <w:sz w:val="20"/>
          <w:szCs w:val="20"/>
        </w:rPr>
      </w:pPr>
      <w:r w:rsidRPr="009118AB">
        <w:rPr>
          <w:bCs/>
          <w:iCs/>
          <w:sz w:val="20"/>
          <w:szCs w:val="20"/>
        </w:rPr>
        <w:t>- Güter, die gemäß den Rechtsvorschriften über den Landpachtvertrag vermietet sind und vom Mieter zu landwirtschaftlichen oder gartenbaulichen Zwecken genutzt werden,</w:t>
      </w:r>
    </w:p>
    <w:p w14:paraId="2975C5AF" w14:textId="77777777" w:rsidR="005930CE" w:rsidRPr="009118AB" w:rsidRDefault="005930CE" w:rsidP="005930CE">
      <w:pPr>
        <w:autoSpaceDE w:val="0"/>
        <w:autoSpaceDN w:val="0"/>
        <w:adjustRightInd w:val="0"/>
        <w:jc w:val="both"/>
        <w:rPr>
          <w:bCs/>
          <w:iCs/>
          <w:sz w:val="20"/>
          <w:szCs w:val="20"/>
        </w:rPr>
      </w:pPr>
    </w:p>
    <w:p w14:paraId="262D8372" w14:textId="7B79D97F" w:rsidR="005930CE" w:rsidRPr="009118AB" w:rsidRDefault="005930CE" w:rsidP="005930CE">
      <w:pPr>
        <w:autoSpaceDE w:val="0"/>
        <w:autoSpaceDN w:val="0"/>
        <w:adjustRightInd w:val="0"/>
        <w:jc w:val="both"/>
        <w:rPr>
          <w:bCs/>
          <w:iCs/>
          <w:sz w:val="20"/>
          <w:szCs w:val="20"/>
        </w:rPr>
      </w:pPr>
      <w:r w:rsidRPr="009118AB">
        <w:rPr>
          <w:bCs/>
          <w:iCs/>
          <w:sz w:val="20"/>
          <w:szCs w:val="20"/>
        </w:rPr>
        <w:t xml:space="preserve">- andere Güter unter der Bedingung, dass der Mieter keine Gewinnerzielungsabsicht verfolgt und diese Güter zu einem der in Artikel 12 </w:t>
      </w:r>
      <w:r w:rsidR="00D67EB8" w:rsidRPr="009118AB">
        <w:rPr>
          <w:bCs/>
          <w:iCs/>
          <w:sz w:val="20"/>
          <w:szCs w:val="20"/>
        </w:rPr>
        <w:t>§ </w:t>
      </w:r>
      <w:r w:rsidRPr="009118AB">
        <w:rPr>
          <w:bCs/>
          <w:iCs/>
          <w:sz w:val="20"/>
          <w:szCs w:val="20"/>
        </w:rPr>
        <w:t>1 vorgesehenen Zwecke nutzt,</w:t>
      </w:r>
    </w:p>
    <w:p w14:paraId="3B188115" w14:textId="77777777" w:rsidR="005930CE" w:rsidRPr="009118AB" w:rsidRDefault="005930CE" w:rsidP="005930CE">
      <w:pPr>
        <w:autoSpaceDE w:val="0"/>
        <w:autoSpaceDN w:val="0"/>
        <w:adjustRightInd w:val="0"/>
        <w:jc w:val="both"/>
        <w:rPr>
          <w:bCs/>
          <w:iCs/>
          <w:sz w:val="20"/>
          <w:szCs w:val="20"/>
        </w:rPr>
      </w:pPr>
    </w:p>
    <w:p w14:paraId="361CE636" w14:textId="60FB90E5" w:rsidR="005930CE" w:rsidRPr="009118AB" w:rsidRDefault="005930CE" w:rsidP="005930CE">
      <w:pPr>
        <w:autoSpaceDE w:val="0"/>
        <w:autoSpaceDN w:val="0"/>
        <w:adjustRightInd w:val="0"/>
        <w:jc w:val="both"/>
        <w:rPr>
          <w:bCs/>
          <w:iCs/>
          <w:sz w:val="20"/>
          <w:szCs w:val="20"/>
        </w:rPr>
      </w:pPr>
      <w:r w:rsidRPr="009118AB">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118AB">
        <w:rPr>
          <w:bCs/>
          <w:iCs/>
          <w:sz w:val="20"/>
          <w:szCs w:val="20"/>
        </w:rPr>
        <w:t>Nr. </w:t>
      </w:r>
      <w:r w:rsidRPr="009118AB">
        <w:rPr>
          <w:bCs/>
          <w:iCs/>
          <w:sz w:val="20"/>
          <w:szCs w:val="20"/>
        </w:rPr>
        <w:t>1 vorgesehenen Ausnahmen auch hier gelten,</w:t>
      </w:r>
    </w:p>
    <w:p w14:paraId="0DB86875" w14:textId="77777777" w:rsidR="005930CE" w:rsidRPr="009118AB" w:rsidRDefault="005930CE" w:rsidP="005930CE">
      <w:pPr>
        <w:autoSpaceDE w:val="0"/>
        <w:autoSpaceDN w:val="0"/>
        <w:adjustRightInd w:val="0"/>
        <w:jc w:val="both"/>
        <w:rPr>
          <w:bCs/>
          <w:iCs/>
          <w:sz w:val="20"/>
          <w:szCs w:val="20"/>
        </w:rPr>
      </w:pPr>
    </w:p>
    <w:p w14:paraId="768C04E0" w14:textId="43E2389D" w:rsidR="005930CE" w:rsidRPr="009118AB" w:rsidRDefault="005930CE" w:rsidP="005930CE">
      <w:pPr>
        <w:autoSpaceDE w:val="0"/>
        <w:autoSpaceDN w:val="0"/>
        <w:adjustRightInd w:val="0"/>
        <w:jc w:val="both"/>
        <w:rPr>
          <w:bCs/>
          <w:iCs/>
          <w:sz w:val="20"/>
          <w:szCs w:val="20"/>
        </w:rPr>
      </w:pPr>
      <w:r w:rsidRPr="009118AB">
        <w:rPr>
          <w:bCs/>
          <w:iCs/>
          <w:sz w:val="20"/>
          <w:szCs w:val="20"/>
        </w:rPr>
        <w:t xml:space="preserve">3. [auf die in den Artikeln 52 </w:t>
      </w:r>
      <w:r w:rsidR="00D67EB8" w:rsidRPr="009118AB">
        <w:rPr>
          <w:bCs/>
          <w:iCs/>
          <w:sz w:val="20"/>
          <w:szCs w:val="20"/>
        </w:rPr>
        <w:t>Nr. </w:t>
      </w:r>
      <w:r w:rsidRPr="009118AB">
        <w:rPr>
          <w:bCs/>
          <w:iCs/>
          <w:sz w:val="20"/>
          <w:szCs w:val="20"/>
        </w:rPr>
        <w:t>3 Buchstabe </w:t>
      </w:r>
      <w:r w:rsidRPr="009118AB">
        <w:rPr>
          <w:bCs/>
          <w:i/>
          <w:iCs/>
          <w:sz w:val="20"/>
          <w:szCs w:val="20"/>
        </w:rPr>
        <w:t>b)</w:t>
      </w:r>
      <w:r w:rsidRPr="009118AB">
        <w:rPr>
          <w:bCs/>
          <w:iCs/>
          <w:sz w:val="20"/>
          <w:szCs w:val="20"/>
        </w:rPr>
        <w:t xml:space="preserve"> und 195 </w:t>
      </w:r>
      <w:r w:rsidR="00D67EB8" w:rsidRPr="009118AB">
        <w:rPr>
          <w:bCs/>
          <w:iCs/>
          <w:sz w:val="20"/>
          <w:szCs w:val="20"/>
        </w:rPr>
        <w:t>§ </w:t>
      </w:r>
      <w:r w:rsidRPr="009118AB">
        <w:rPr>
          <w:bCs/>
          <w:iCs/>
          <w:sz w:val="20"/>
          <w:szCs w:val="20"/>
        </w:rPr>
        <w:t xml:space="preserve">2 erwähnten Beiträge und Prämien in dem Maße, wie sie entweder der in Artikel 53 </w:t>
      </w:r>
      <w:r w:rsidR="00D67EB8" w:rsidRPr="009118AB">
        <w:rPr>
          <w:bCs/>
          <w:iCs/>
          <w:sz w:val="20"/>
          <w:szCs w:val="20"/>
        </w:rPr>
        <w:t>Nr. </w:t>
      </w:r>
      <w:r w:rsidRPr="009118AB">
        <w:rPr>
          <w:bCs/>
          <w:iCs/>
          <w:sz w:val="20"/>
          <w:szCs w:val="20"/>
        </w:rPr>
        <w:t>22 vorgesehenen Grenze oder den in Artikel 59 vorgesehenen Bedingungen und der dort erwähnten Grenze und</w:t>
      </w:r>
      <w:r w:rsidR="00D67EB8" w:rsidRPr="009118AB">
        <w:rPr>
          <w:bCs/>
          <w:iCs/>
          <w:sz w:val="20"/>
          <w:szCs w:val="20"/>
        </w:rPr>
        <w:t> - </w:t>
      </w:r>
      <w:r w:rsidRPr="009118AB">
        <w:rPr>
          <w:bCs/>
          <w:iCs/>
          <w:sz w:val="20"/>
          <w:szCs w:val="20"/>
        </w:rPr>
        <w:t xml:space="preserve">in Bezug auf die in Artikel 195 </w:t>
      </w:r>
      <w:r w:rsidR="00D67EB8" w:rsidRPr="009118AB">
        <w:rPr>
          <w:bCs/>
          <w:iCs/>
          <w:sz w:val="20"/>
          <w:szCs w:val="20"/>
        </w:rPr>
        <w:t>§ </w:t>
      </w:r>
      <w:r w:rsidRPr="009118AB">
        <w:rPr>
          <w:bCs/>
          <w:iCs/>
          <w:sz w:val="20"/>
          <w:szCs w:val="20"/>
        </w:rPr>
        <w:t>2 erwähnten Prämien</w:t>
      </w:r>
      <w:r w:rsidR="00D67EB8" w:rsidRPr="009118AB">
        <w:rPr>
          <w:bCs/>
          <w:iCs/>
          <w:sz w:val="20"/>
          <w:szCs w:val="20"/>
        </w:rPr>
        <w:t> - </w:t>
      </w:r>
      <w:r w:rsidRPr="009118AB">
        <w:rPr>
          <w:bCs/>
          <w:iCs/>
          <w:sz w:val="20"/>
          <w:szCs w:val="20"/>
        </w:rPr>
        <w:t xml:space="preserve">der in Artikel 195 </w:t>
      </w:r>
      <w:r w:rsidR="00D67EB8" w:rsidRPr="009118AB">
        <w:rPr>
          <w:bCs/>
          <w:iCs/>
          <w:sz w:val="20"/>
          <w:szCs w:val="20"/>
        </w:rPr>
        <w:t>§ </w:t>
      </w:r>
      <w:r w:rsidRPr="009118AB">
        <w:rPr>
          <w:bCs/>
          <w:iCs/>
          <w:sz w:val="20"/>
          <w:szCs w:val="20"/>
        </w:rPr>
        <w:t xml:space="preserve">1 Absatz 2 erwähnten Bedingung der Regelmäßigkeit nicht entsprechen, auf die in Artikel 52 </w:t>
      </w:r>
      <w:r w:rsidR="00D67EB8" w:rsidRPr="009118AB">
        <w:rPr>
          <w:bCs/>
          <w:iCs/>
          <w:sz w:val="20"/>
          <w:szCs w:val="20"/>
        </w:rPr>
        <w:t>Nr. </w:t>
      </w:r>
      <w:r w:rsidRPr="009118AB">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118AB">
        <w:rPr>
          <w:bCs/>
          <w:iCs/>
          <w:sz w:val="20"/>
          <w:szCs w:val="20"/>
        </w:rPr>
        <w:t>Nr. </w:t>
      </w:r>
      <w:r w:rsidRPr="009118AB">
        <w:rPr>
          <w:bCs/>
          <w:iCs/>
          <w:sz w:val="20"/>
          <w:szCs w:val="20"/>
        </w:rPr>
        <w:t>23 erwähnten Kapitalien,]</w:t>
      </w:r>
    </w:p>
    <w:p w14:paraId="74A4044D" w14:textId="77777777" w:rsidR="005930CE" w:rsidRPr="009118AB" w:rsidRDefault="005930CE" w:rsidP="005930CE">
      <w:pPr>
        <w:autoSpaceDE w:val="0"/>
        <w:autoSpaceDN w:val="0"/>
        <w:adjustRightInd w:val="0"/>
        <w:jc w:val="both"/>
        <w:rPr>
          <w:bCs/>
          <w:iCs/>
          <w:sz w:val="20"/>
          <w:szCs w:val="20"/>
        </w:rPr>
      </w:pPr>
    </w:p>
    <w:p w14:paraId="5345F2C9" w14:textId="032A8C1D" w:rsidR="005930CE" w:rsidRPr="009118AB" w:rsidRDefault="005930CE" w:rsidP="005930CE">
      <w:pPr>
        <w:autoSpaceDE w:val="0"/>
        <w:autoSpaceDN w:val="0"/>
        <w:adjustRightInd w:val="0"/>
        <w:jc w:val="both"/>
        <w:rPr>
          <w:iCs/>
          <w:sz w:val="20"/>
          <w:szCs w:val="20"/>
        </w:rPr>
      </w:pPr>
      <w:r w:rsidRPr="009118AB">
        <w:rPr>
          <w:bCs/>
          <w:iCs/>
          <w:sz w:val="20"/>
          <w:szCs w:val="20"/>
        </w:rPr>
        <w:t xml:space="preserve">4. auf [die in </w:t>
      </w:r>
      <w:r w:rsidRPr="009118AB">
        <w:rPr>
          <w:iCs/>
          <w:sz w:val="20"/>
          <w:szCs w:val="20"/>
        </w:rPr>
        <w:t xml:space="preserve">[Artikel 57 Absatz 1] </w:t>
      </w:r>
      <w:r w:rsidRPr="009118AB">
        <w:rPr>
          <w:bCs/>
          <w:iCs/>
          <w:sz w:val="20"/>
          <w:szCs w:val="20"/>
        </w:rPr>
        <w:t>erwähnten Ausgaben</w:t>
      </w:r>
      <w:r w:rsidR="00AF345D" w:rsidRPr="009118AB">
        <w:rPr>
          <w:bCs/>
          <w:iCs/>
          <w:sz w:val="20"/>
          <w:szCs w:val="20"/>
        </w:rPr>
        <w:t xml:space="preserve">[, die in den Artikeln 31 Absatz 2 </w:t>
      </w:r>
      <w:r w:rsidR="00D67EB8" w:rsidRPr="009118AB">
        <w:rPr>
          <w:bCs/>
          <w:iCs/>
          <w:sz w:val="20"/>
          <w:szCs w:val="20"/>
        </w:rPr>
        <w:t>Nr. </w:t>
      </w:r>
      <w:r w:rsidR="00AF345D" w:rsidRPr="009118AB">
        <w:rPr>
          <w:bCs/>
          <w:iCs/>
          <w:sz w:val="20"/>
          <w:szCs w:val="20"/>
        </w:rPr>
        <w:t xml:space="preserve">2 und 32 Absatz 2 </w:t>
      </w:r>
      <w:r w:rsidR="00D67EB8" w:rsidRPr="009118AB">
        <w:rPr>
          <w:bCs/>
          <w:iCs/>
          <w:sz w:val="20"/>
          <w:szCs w:val="20"/>
        </w:rPr>
        <w:t>Nr. </w:t>
      </w:r>
      <w:r w:rsidR="00AF345D" w:rsidRPr="009118AB">
        <w:rPr>
          <w:bCs/>
          <w:iCs/>
          <w:sz w:val="20"/>
          <w:szCs w:val="20"/>
        </w:rPr>
        <w:t xml:space="preserve">2 erwähnten Vorteile jeglicher Art und die in Artikel 17 </w:t>
      </w:r>
      <w:r w:rsidR="00D67EB8" w:rsidRPr="009118AB">
        <w:rPr>
          <w:bCs/>
          <w:iCs/>
          <w:sz w:val="20"/>
          <w:szCs w:val="20"/>
        </w:rPr>
        <w:t>§ </w:t>
      </w:r>
      <w:r w:rsidR="00AF345D" w:rsidRPr="009118AB">
        <w:rPr>
          <w:bCs/>
          <w:iCs/>
          <w:sz w:val="20"/>
          <w:szCs w:val="20"/>
        </w:rPr>
        <w:t xml:space="preserve">1 </w:t>
      </w:r>
      <w:r w:rsidR="00D67EB8" w:rsidRPr="009118AB">
        <w:rPr>
          <w:bCs/>
          <w:iCs/>
          <w:sz w:val="20"/>
          <w:szCs w:val="20"/>
        </w:rPr>
        <w:t>Nr. </w:t>
      </w:r>
      <w:r w:rsidR="00AF345D" w:rsidRPr="009118AB">
        <w:rPr>
          <w:bCs/>
          <w:iCs/>
          <w:sz w:val="20"/>
          <w:szCs w:val="20"/>
        </w:rPr>
        <w:t xml:space="preserve">3, was Urheberrechte und ähnliche Rechte betrifft, und </w:t>
      </w:r>
      <w:r w:rsidR="00D67EB8" w:rsidRPr="009118AB">
        <w:rPr>
          <w:bCs/>
          <w:iCs/>
          <w:sz w:val="20"/>
          <w:szCs w:val="20"/>
        </w:rPr>
        <w:t>Nr. </w:t>
      </w:r>
      <w:r w:rsidR="00AF345D" w:rsidRPr="009118AB">
        <w:rPr>
          <w:bCs/>
          <w:iCs/>
          <w:sz w:val="20"/>
          <w:szCs w:val="20"/>
        </w:rPr>
        <w:t xml:space="preserve">5 erwähnten Einkünfte]], </w:t>
      </w:r>
      <w:r w:rsidRPr="009118AB">
        <w:rPr>
          <w:bCs/>
          <w:iCs/>
          <w:sz w:val="20"/>
          <w:szCs w:val="20"/>
        </w:rPr>
        <w:t xml:space="preserve">die nicht durch Individualkarten </w:t>
      </w:r>
      <w:r w:rsidR="00E40DE2" w:rsidRPr="009118AB">
        <w:rPr>
          <w:bCs/>
          <w:iCs/>
          <w:sz w:val="20"/>
          <w:szCs w:val="20"/>
        </w:rPr>
        <w:t>[...]</w:t>
      </w:r>
      <w:r w:rsidRPr="009118AB">
        <w:rPr>
          <w:bCs/>
          <w:iCs/>
          <w:sz w:val="20"/>
          <w:szCs w:val="20"/>
        </w:rPr>
        <w:t xml:space="preserve"> nachgewiesen werden[</w:t>
      </w:r>
      <w:r w:rsidRPr="009118AB">
        <w:rPr>
          <w:iCs/>
          <w:sz w:val="20"/>
          <w:szCs w:val="20"/>
        </w:rPr>
        <w:t>, außer:</w:t>
      </w:r>
    </w:p>
    <w:p w14:paraId="3D7FE9C1" w14:textId="77777777" w:rsidR="005930CE" w:rsidRPr="009118AB" w:rsidRDefault="005930CE" w:rsidP="005930CE">
      <w:pPr>
        <w:autoSpaceDE w:val="0"/>
        <w:autoSpaceDN w:val="0"/>
        <w:adjustRightInd w:val="0"/>
        <w:jc w:val="both"/>
        <w:rPr>
          <w:iCs/>
          <w:sz w:val="20"/>
          <w:szCs w:val="20"/>
        </w:rPr>
      </w:pPr>
    </w:p>
    <w:p w14:paraId="6F3757B1" w14:textId="77777777" w:rsidR="005930CE" w:rsidRPr="009118AB" w:rsidRDefault="005930CE" w:rsidP="005930CE">
      <w:pPr>
        <w:autoSpaceDE w:val="0"/>
        <w:autoSpaceDN w:val="0"/>
        <w:adjustRightInd w:val="0"/>
        <w:jc w:val="both"/>
        <w:rPr>
          <w:iCs/>
          <w:sz w:val="20"/>
          <w:szCs w:val="20"/>
        </w:rPr>
      </w:pPr>
      <w:r w:rsidRPr="009118AB">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392C258D" w14:textId="77777777" w:rsidR="005930CE" w:rsidRPr="009118AB" w:rsidRDefault="005930CE" w:rsidP="005930CE">
      <w:pPr>
        <w:autoSpaceDE w:val="0"/>
        <w:autoSpaceDN w:val="0"/>
        <w:adjustRightInd w:val="0"/>
        <w:jc w:val="both"/>
        <w:rPr>
          <w:iCs/>
          <w:sz w:val="20"/>
          <w:szCs w:val="20"/>
        </w:rPr>
      </w:pPr>
    </w:p>
    <w:p w14:paraId="6DA95CA0" w14:textId="37D8FF81" w:rsidR="005930CE" w:rsidRPr="009118AB" w:rsidRDefault="005930CE" w:rsidP="005930CE">
      <w:pPr>
        <w:autoSpaceDE w:val="0"/>
        <w:autoSpaceDN w:val="0"/>
        <w:adjustRightInd w:val="0"/>
        <w:jc w:val="both"/>
        <w:rPr>
          <w:bCs/>
          <w:iCs/>
          <w:sz w:val="20"/>
          <w:szCs w:val="20"/>
        </w:rPr>
      </w:pPr>
      <w:r w:rsidRPr="009118AB">
        <w:rPr>
          <w:iCs/>
          <w:sz w:val="20"/>
          <w:szCs w:val="20"/>
        </w:rPr>
        <w:t>- oder</w:t>
      </w:r>
      <w:r w:rsidR="00D67EB8" w:rsidRPr="009118AB">
        <w:rPr>
          <w:iCs/>
          <w:sz w:val="20"/>
          <w:szCs w:val="20"/>
        </w:rPr>
        <w:t> - </w:t>
      </w:r>
      <w:r w:rsidRPr="009118AB">
        <w:rPr>
          <w:iCs/>
          <w:sz w:val="20"/>
          <w:szCs w:val="20"/>
        </w:rPr>
        <w:t>wenn dieser Betrag nicht in einer solchen Erklärung enthalten ist</w:t>
      </w:r>
      <w:r w:rsidR="00D67EB8" w:rsidRPr="009118AB">
        <w:rPr>
          <w:iCs/>
          <w:sz w:val="20"/>
          <w:szCs w:val="20"/>
        </w:rPr>
        <w:t> - </w:t>
      </w:r>
      <w:r w:rsidRPr="009118AB">
        <w:rPr>
          <w:iCs/>
          <w:sz w:val="20"/>
          <w:szCs w:val="20"/>
        </w:rPr>
        <w:t>wenn der Empfänger spätestens zwei Jahre und sechs Monate ab dem 1. Januar des betreffenden Steuerjahres eindeutig identifiziert worden ist [</w:t>
      </w:r>
      <w:r w:rsidRPr="009118AB">
        <w:rPr>
          <w:sz w:val="20"/>
          <w:szCs w:val="20"/>
        </w:rPr>
        <w:t xml:space="preserve">oder wenn der Betrag der Ausgaben in einer Veranlagung enthalten ist, die in den in den Artikeln 354 Absatz 1 und 2 und 358 erwähnten Fristen </w:t>
      </w:r>
      <w:r w:rsidR="0027187F" w:rsidRPr="009118AB">
        <w:rPr>
          <w:sz w:val="20"/>
          <w:szCs w:val="20"/>
        </w:rPr>
        <w:t>[bei einem steuerpflichtigen Empfänger wie in Artikel 305 Absatz 1 erwähnt mit seinem Einverständnis]</w:t>
      </w:r>
      <w:r w:rsidRPr="009118AB">
        <w:rPr>
          <w:sz w:val="20"/>
          <w:szCs w:val="20"/>
        </w:rPr>
        <w:t xml:space="preserve"> festgelegt wird</w:t>
      </w:r>
      <w:r w:rsidRPr="009118AB">
        <w:rPr>
          <w:iCs/>
          <w:sz w:val="20"/>
          <w:szCs w:val="20"/>
        </w:rPr>
        <w:t>]]</w:t>
      </w:r>
      <w:r w:rsidRPr="009118AB">
        <w:rPr>
          <w:bCs/>
          <w:iCs/>
          <w:sz w:val="20"/>
          <w:szCs w:val="20"/>
        </w:rPr>
        <w:t>,</w:t>
      </w:r>
    </w:p>
    <w:p w14:paraId="15534E21" w14:textId="77777777" w:rsidR="005930CE" w:rsidRPr="009118AB" w:rsidRDefault="005930CE" w:rsidP="005930CE">
      <w:pPr>
        <w:autoSpaceDE w:val="0"/>
        <w:autoSpaceDN w:val="0"/>
        <w:adjustRightInd w:val="0"/>
        <w:jc w:val="both"/>
        <w:rPr>
          <w:bCs/>
          <w:iCs/>
          <w:sz w:val="20"/>
          <w:szCs w:val="20"/>
        </w:rPr>
      </w:pPr>
    </w:p>
    <w:p w14:paraId="37E8FFF6" w14:textId="54664B57" w:rsidR="005930CE" w:rsidRPr="009118AB" w:rsidRDefault="005930CE" w:rsidP="005930CE">
      <w:pPr>
        <w:autoSpaceDE w:val="0"/>
        <w:autoSpaceDN w:val="0"/>
        <w:adjustRightInd w:val="0"/>
        <w:jc w:val="both"/>
        <w:rPr>
          <w:bCs/>
          <w:iCs/>
          <w:sz w:val="20"/>
          <w:szCs w:val="20"/>
        </w:rPr>
      </w:pPr>
      <w:r w:rsidRPr="009118AB">
        <w:rPr>
          <w:bCs/>
          <w:iCs/>
          <w:sz w:val="20"/>
          <w:szCs w:val="20"/>
        </w:rPr>
        <w:t xml:space="preserve">[5. [auf die in Artikel 53 </w:t>
      </w:r>
      <w:r w:rsidR="00D67EB8" w:rsidRPr="009118AB">
        <w:rPr>
          <w:bCs/>
          <w:iCs/>
          <w:sz w:val="20"/>
          <w:szCs w:val="20"/>
        </w:rPr>
        <w:t>Nr. </w:t>
      </w:r>
      <w:r w:rsidRPr="009118AB">
        <w:rPr>
          <w:bCs/>
          <w:iCs/>
          <w:sz w:val="20"/>
          <w:szCs w:val="20"/>
        </w:rPr>
        <w:t>24 erwähnten finanziellen Vorteile oder Vorteile jeglicher Art,]]</w:t>
      </w:r>
    </w:p>
    <w:p w14:paraId="00B04E26" w14:textId="77777777" w:rsidR="005930CE" w:rsidRPr="009118AB" w:rsidRDefault="005930CE" w:rsidP="005930CE">
      <w:pPr>
        <w:autoSpaceDE w:val="0"/>
        <w:autoSpaceDN w:val="0"/>
        <w:adjustRightInd w:val="0"/>
        <w:jc w:val="both"/>
        <w:rPr>
          <w:bCs/>
          <w:iCs/>
          <w:sz w:val="20"/>
          <w:szCs w:val="20"/>
        </w:rPr>
      </w:pPr>
    </w:p>
    <w:p w14:paraId="06B2A9C0" w14:textId="4F307FC7" w:rsidR="005930CE" w:rsidRPr="009118AB" w:rsidRDefault="005930CE" w:rsidP="005930CE">
      <w:pPr>
        <w:autoSpaceDE w:val="0"/>
        <w:autoSpaceDN w:val="0"/>
        <w:adjustRightInd w:val="0"/>
        <w:jc w:val="both"/>
        <w:rPr>
          <w:bCs/>
          <w:iCs/>
          <w:sz w:val="20"/>
          <w:szCs w:val="20"/>
        </w:rPr>
      </w:pPr>
      <w:r w:rsidRPr="009118AB">
        <w:rPr>
          <w:bCs/>
          <w:iCs/>
          <w:sz w:val="20"/>
          <w:szCs w:val="20"/>
        </w:rPr>
        <w:t>[6. [</w:t>
      </w:r>
      <w:r w:rsidRPr="009118AB">
        <w:rPr>
          <w:iCs/>
          <w:sz w:val="20"/>
          <w:szCs w:val="20"/>
        </w:rPr>
        <w:t xml:space="preserve">auf einen Betrag, der 17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w:t>
      </w:r>
      <w:r w:rsidRPr="009118AB">
        <w:rPr>
          <w:bCs/>
          <w:iCs/>
          <w:sz w:val="20"/>
          <w:szCs w:val="20"/>
        </w:rPr>
        <w:t>]]</w:t>
      </w:r>
    </w:p>
    <w:p w14:paraId="0F26E918" w14:textId="77777777" w:rsidR="005930CE" w:rsidRPr="009118AB" w:rsidRDefault="005930CE" w:rsidP="005930CE">
      <w:pPr>
        <w:autoSpaceDE w:val="0"/>
        <w:autoSpaceDN w:val="0"/>
        <w:adjustRightInd w:val="0"/>
        <w:jc w:val="both"/>
        <w:rPr>
          <w:bCs/>
          <w:iCs/>
          <w:sz w:val="20"/>
          <w:szCs w:val="20"/>
        </w:rPr>
      </w:pPr>
    </w:p>
    <w:p w14:paraId="62C9017D" w14:textId="3CBD8E48" w:rsidR="005930CE" w:rsidRPr="009118AB" w:rsidRDefault="005930CE" w:rsidP="005930CE">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 xml:space="preserve">] </w:t>
      </w:r>
    </w:p>
    <w:p w14:paraId="544B10B5" w14:textId="77777777" w:rsidR="005930CE" w:rsidRPr="009118AB" w:rsidRDefault="005930CE" w:rsidP="005930CE">
      <w:pPr>
        <w:autoSpaceDE w:val="0"/>
        <w:autoSpaceDN w:val="0"/>
        <w:adjustRightInd w:val="0"/>
        <w:jc w:val="both"/>
        <w:rPr>
          <w:bCs/>
          <w:iCs/>
          <w:sz w:val="20"/>
          <w:szCs w:val="20"/>
        </w:rPr>
      </w:pPr>
    </w:p>
    <w:p w14:paraId="5ECCCE50" w14:textId="0C5E2C9A" w:rsidR="005930CE" w:rsidRPr="009118AB" w:rsidRDefault="005930CE" w:rsidP="005930CE">
      <w:pPr>
        <w:autoSpaceDE w:val="0"/>
        <w:autoSpaceDN w:val="0"/>
        <w:adjustRightInd w:val="0"/>
        <w:jc w:val="both"/>
        <w:rPr>
          <w:bCs/>
          <w:iCs/>
          <w:sz w:val="20"/>
          <w:szCs w:val="20"/>
        </w:rPr>
      </w:pPr>
      <w:r w:rsidRPr="009118AB">
        <w:rPr>
          <w:bCs/>
          <w:iCs/>
          <w:sz w:val="20"/>
          <w:szCs w:val="20"/>
        </w:rPr>
        <w:t>[</w:t>
      </w:r>
      <w:r w:rsidRPr="009118AB">
        <w:rPr>
          <w:iCs/>
          <w:sz w:val="20"/>
          <w:szCs w:val="20"/>
        </w:rPr>
        <w:t xml:space="preserve">7. auf einen Betrag, der in Abweichung von </w:t>
      </w:r>
      <w:r w:rsidR="00D67EB8" w:rsidRPr="009118AB">
        <w:rPr>
          <w:iCs/>
          <w:sz w:val="20"/>
          <w:szCs w:val="20"/>
        </w:rPr>
        <w:t>Nr. </w:t>
      </w:r>
      <w:r w:rsidRPr="009118AB">
        <w:rPr>
          <w:iCs/>
          <w:sz w:val="20"/>
          <w:szCs w:val="20"/>
        </w:rPr>
        <w:t xml:space="preserve">6 40 Prozent des gemäß Artikel 36 </w:t>
      </w:r>
      <w:r w:rsidR="00D67EB8" w:rsidRPr="009118AB">
        <w:rPr>
          <w:iCs/>
          <w:sz w:val="20"/>
          <w:szCs w:val="20"/>
        </w:rPr>
        <w:t>§ </w:t>
      </w:r>
      <w:r w:rsidRPr="009118AB">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118AB">
        <w:rPr>
          <w:bCs/>
          <w:iCs/>
          <w:sz w:val="20"/>
          <w:szCs w:val="20"/>
        </w:rPr>
        <w:t>]</w:t>
      </w:r>
    </w:p>
    <w:p w14:paraId="7213B5BE" w14:textId="77777777" w:rsidR="005930CE" w:rsidRPr="009118AB" w:rsidRDefault="005930CE" w:rsidP="005930CE">
      <w:pPr>
        <w:autoSpaceDE w:val="0"/>
        <w:autoSpaceDN w:val="0"/>
        <w:adjustRightInd w:val="0"/>
        <w:jc w:val="both"/>
        <w:rPr>
          <w:bCs/>
          <w:iCs/>
          <w:sz w:val="20"/>
          <w:szCs w:val="20"/>
        </w:rPr>
      </w:pPr>
    </w:p>
    <w:p w14:paraId="79301C54" w14:textId="617AFA14" w:rsidR="005930CE" w:rsidRPr="009118AB" w:rsidRDefault="005930CE" w:rsidP="005930CE">
      <w:pPr>
        <w:autoSpaceDE w:val="0"/>
        <w:autoSpaceDN w:val="0"/>
        <w:adjustRightInd w:val="0"/>
        <w:jc w:val="both"/>
        <w:rPr>
          <w:bCs/>
          <w:iCs/>
          <w:sz w:val="20"/>
          <w:szCs w:val="20"/>
        </w:rPr>
      </w:pPr>
      <w:r w:rsidRPr="009118AB">
        <w:rPr>
          <w:bCs/>
          <w:iCs/>
          <w:sz w:val="20"/>
          <w:szCs w:val="20"/>
        </w:rPr>
        <w:t>[</w:t>
      </w:r>
      <w:r w:rsidR="00B04FF4" w:rsidRPr="009118AB">
        <w:rPr>
          <w:bCs/>
          <w:iCs/>
          <w:sz w:val="20"/>
          <w:szCs w:val="20"/>
        </w:rPr>
        <w:t>...</w:t>
      </w:r>
      <w:r w:rsidRPr="009118AB">
        <w:rPr>
          <w:bCs/>
          <w:iCs/>
          <w:sz w:val="20"/>
          <w:szCs w:val="20"/>
        </w:rPr>
        <w:t>]</w:t>
      </w:r>
    </w:p>
    <w:p w14:paraId="45BBA858" w14:textId="77777777" w:rsidR="005930CE" w:rsidRPr="009118AB" w:rsidRDefault="005930CE" w:rsidP="005930CE">
      <w:pPr>
        <w:autoSpaceDE w:val="0"/>
        <w:autoSpaceDN w:val="0"/>
        <w:adjustRightInd w:val="0"/>
        <w:jc w:val="both"/>
        <w:rPr>
          <w:bCs/>
          <w:iCs/>
          <w:sz w:val="20"/>
          <w:szCs w:val="20"/>
        </w:rPr>
      </w:pPr>
    </w:p>
    <w:p w14:paraId="4B360C1D" w14:textId="77777777" w:rsidR="005930CE" w:rsidRPr="009118AB" w:rsidRDefault="005930CE" w:rsidP="005930CE">
      <w:pPr>
        <w:autoSpaceDE w:val="0"/>
        <w:autoSpaceDN w:val="0"/>
        <w:adjustRightInd w:val="0"/>
        <w:jc w:val="both"/>
        <w:rPr>
          <w:bCs/>
          <w:iCs/>
          <w:sz w:val="20"/>
          <w:szCs w:val="20"/>
        </w:rPr>
      </w:pPr>
      <w:r w:rsidRPr="009118AB">
        <w:rPr>
          <w:bCs/>
          <w:iCs/>
          <w:sz w:val="20"/>
          <w:szCs w:val="20"/>
        </w:rPr>
        <w:t>[8. auf die Kosten in Bezug auf die Nutzung der in Artikel 65 erwähnten Fahrzeuge, die ab dem 1. Januar 2026 gekauft, geleast oder gemietet werden, es sei denn, es handelt sich um ein Fahrzeug, das kein CO</w:t>
      </w:r>
      <w:r w:rsidRPr="009118AB">
        <w:rPr>
          <w:bCs/>
          <w:iCs/>
          <w:sz w:val="20"/>
          <w:szCs w:val="20"/>
          <w:vertAlign w:val="subscript"/>
        </w:rPr>
        <w:t>2</w:t>
      </w:r>
      <w:r w:rsidRPr="009118AB">
        <w:rPr>
          <w:bCs/>
          <w:iCs/>
          <w:sz w:val="20"/>
          <w:szCs w:val="20"/>
        </w:rPr>
        <w:t xml:space="preserve"> ausstößt,]</w:t>
      </w:r>
    </w:p>
    <w:p w14:paraId="737B8DB2" w14:textId="77777777" w:rsidR="005930CE" w:rsidRPr="009118AB" w:rsidRDefault="005930CE" w:rsidP="005930CE">
      <w:pPr>
        <w:autoSpaceDE w:val="0"/>
        <w:autoSpaceDN w:val="0"/>
        <w:adjustRightInd w:val="0"/>
        <w:jc w:val="both"/>
        <w:rPr>
          <w:bCs/>
          <w:iCs/>
          <w:sz w:val="20"/>
          <w:szCs w:val="20"/>
        </w:rPr>
      </w:pPr>
    </w:p>
    <w:p w14:paraId="65F7EBB5" w14:textId="77777777" w:rsidR="005930CE" w:rsidRPr="009118AB" w:rsidRDefault="005930CE" w:rsidP="005930CE">
      <w:pPr>
        <w:autoSpaceDE w:val="0"/>
        <w:autoSpaceDN w:val="0"/>
        <w:adjustRightInd w:val="0"/>
        <w:jc w:val="both"/>
        <w:rPr>
          <w:bCs/>
          <w:iCs/>
          <w:sz w:val="20"/>
          <w:szCs w:val="20"/>
        </w:rPr>
      </w:pPr>
      <w:r w:rsidRPr="009118AB">
        <w:rPr>
          <w:bCs/>
          <w:iCs/>
          <w:sz w:val="20"/>
          <w:szCs w:val="20"/>
        </w:rPr>
        <w:t>[9. [auf einen Betrag, der dem nachstehend erwähnten Prozentsatz der Kosten in Bezug auf die Nutzung der in Artikel 65 erwähnten Fahrzeuge, die kein CO</w:t>
      </w:r>
      <w:r w:rsidRPr="009118AB">
        <w:rPr>
          <w:bCs/>
          <w:iCs/>
          <w:sz w:val="20"/>
          <w:szCs w:val="20"/>
          <w:vertAlign w:val="subscript"/>
        </w:rPr>
        <w:t>2</w:t>
      </w:r>
      <w:r w:rsidRPr="009118AB">
        <w:rPr>
          <w:bCs/>
          <w:iCs/>
          <w:sz w:val="20"/>
          <w:szCs w:val="20"/>
        </w:rPr>
        <w:t xml:space="preserve"> ausstoßen, entspricht:</w:t>
      </w:r>
    </w:p>
    <w:p w14:paraId="731A7D4E" w14:textId="77777777" w:rsidR="005930CE" w:rsidRPr="009118AB" w:rsidRDefault="005930CE" w:rsidP="005930CE">
      <w:pPr>
        <w:autoSpaceDE w:val="0"/>
        <w:autoSpaceDN w:val="0"/>
        <w:adjustRightInd w:val="0"/>
        <w:jc w:val="both"/>
        <w:rPr>
          <w:bCs/>
          <w:iCs/>
          <w:sz w:val="20"/>
          <w:szCs w:val="20"/>
        </w:rPr>
      </w:pPr>
    </w:p>
    <w:p w14:paraId="5A461185" w14:textId="77777777" w:rsidR="005930CE" w:rsidRPr="009118AB" w:rsidRDefault="005930CE" w:rsidP="005930CE">
      <w:pPr>
        <w:autoSpaceDE w:val="0"/>
        <w:autoSpaceDN w:val="0"/>
        <w:adjustRightInd w:val="0"/>
        <w:jc w:val="both"/>
        <w:rPr>
          <w:bCs/>
          <w:iCs/>
          <w:sz w:val="20"/>
          <w:szCs w:val="20"/>
        </w:rPr>
      </w:pPr>
      <w:r w:rsidRPr="009118AB">
        <w:rPr>
          <w:bCs/>
          <w:iCs/>
          <w:sz w:val="20"/>
          <w:szCs w:val="20"/>
        </w:rPr>
        <w:t>- 5 Prozent, wenn es sich um ein 2027 gekauftes, geleastes oder gemietetes Fahrzeug handelt,</w:t>
      </w:r>
    </w:p>
    <w:p w14:paraId="4D1B02A4" w14:textId="77777777" w:rsidR="005930CE" w:rsidRPr="009118AB" w:rsidRDefault="005930CE" w:rsidP="005930CE">
      <w:pPr>
        <w:autoSpaceDE w:val="0"/>
        <w:autoSpaceDN w:val="0"/>
        <w:adjustRightInd w:val="0"/>
        <w:jc w:val="both"/>
        <w:rPr>
          <w:bCs/>
          <w:iCs/>
          <w:sz w:val="20"/>
          <w:szCs w:val="20"/>
        </w:rPr>
      </w:pPr>
    </w:p>
    <w:p w14:paraId="204139ED" w14:textId="77777777" w:rsidR="005930CE" w:rsidRPr="009118AB" w:rsidRDefault="005930CE" w:rsidP="005930CE">
      <w:pPr>
        <w:autoSpaceDE w:val="0"/>
        <w:autoSpaceDN w:val="0"/>
        <w:adjustRightInd w:val="0"/>
        <w:jc w:val="both"/>
        <w:rPr>
          <w:bCs/>
          <w:iCs/>
          <w:sz w:val="20"/>
          <w:szCs w:val="20"/>
        </w:rPr>
      </w:pPr>
      <w:r w:rsidRPr="009118AB">
        <w:rPr>
          <w:bCs/>
          <w:iCs/>
          <w:sz w:val="20"/>
          <w:szCs w:val="20"/>
        </w:rPr>
        <w:t>- 10 Prozent, wenn es sich um ein 2028 gekauftes, geleastes oder gemietetes Fahrzeug handelt,]]</w:t>
      </w:r>
    </w:p>
    <w:p w14:paraId="0158059B" w14:textId="77777777" w:rsidR="005930CE" w:rsidRPr="009118AB" w:rsidRDefault="005930CE" w:rsidP="005930CE">
      <w:pPr>
        <w:autoSpaceDE w:val="0"/>
        <w:autoSpaceDN w:val="0"/>
        <w:adjustRightInd w:val="0"/>
        <w:jc w:val="both"/>
        <w:rPr>
          <w:bCs/>
          <w:iCs/>
          <w:sz w:val="20"/>
          <w:szCs w:val="20"/>
        </w:rPr>
      </w:pPr>
    </w:p>
    <w:p w14:paraId="28DBA9E2" w14:textId="77777777" w:rsidR="005930CE" w:rsidRPr="009118AB" w:rsidRDefault="005930CE" w:rsidP="005930CE">
      <w:pPr>
        <w:autoSpaceDE w:val="0"/>
        <w:autoSpaceDN w:val="0"/>
        <w:adjustRightInd w:val="0"/>
        <w:jc w:val="both"/>
        <w:rPr>
          <w:bCs/>
          <w:iCs/>
          <w:sz w:val="20"/>
          <w:szCs w:val="20"/>
        </w:rPr>
      </w:pPr>
      <w:r w:rsidRPr="009118AB">
        <w:rPr>
          <w:bCs/>
          <w:iCs/>
          <w:sz w:val="20"/>
          <w:szCs w:val="20"/>
        </w:rPr>
        <w:t>[- 17,5 Prozent, wenn es sich um ein 2029 gekauftes, geleastes oder gemietetes Fahrzeug handelt,]</w:t>
      </w:r>
    </w:p>
    <w:p w14:paraId="0E10FAC7" w14:textId="77777777" w:rsidR="005930CE" w:rsidRPr="009118AB" w:rsidRDefault="005930CE" w:rsidP="005930CE">
      <w:pPr>
        <w:autoSpaceDE w:val="0"/>
        <w:autoSpaceDN w:val="0"/>
        <w:adjustRightInd w:val="0"/>
        <w:jc w:val="both"/>
        <w:rPr>
          <w:bCs/>
          <w:iCs/>
          <w:sz w:val="20"/>
          <w:szCs w:val="20"/>
        </w:rPr>
      </w:pPr>
    </w:p>
    <w:p w14:paraId="3C7161B2" w14:textId="63EEBF1D" w:rsidR="005930CE" w:rsidRPr="009118AB" w:rsidRDefault="005930CE" w:rsidP="005930CE">
      <w:pPr>
        <w:autoSpaceDE w:val="0"/>
        <w:autoSpaceDN w:val="0"/>
        <w:adjustRightInd w:val="0"/>
        <w:jc w:val="both"/>
        <w:rPr>
          <w:bCs/>
          <w:iCs/>
          <w:sz w:val="20"/>
          <w:szCs w:val="20"/>
        </w:rPr>
      </w:pPr>
      <w:r w:rsidRPr="009118AB">
        <w:rPr>
          <w:bCs/>
          <w:iCs/>
          <w:sz w:val="20"/>
          <w:szCs w:val="20"/>
        </w:rPr>
        <w:t>[- 25 Prozent, wenn es sich um ein 2030 gekauftes, geleastes oder gemietetes Fahrzeug handelt,]</w:t>
      </w:r>
    </w:p>
    <w:p w14:paraId="59269D17" w14:textId="3965683A" w:rsidR="005930CE" w:rsidRPr="009118AB" w:rsidRDefault="005930CE" w:rsidP="005930CE">
      <w:pPr>
        <w:autoSpaceDE w:val="0"/>
        <w:autoSpaceDN w:val="0"/>
        <w:adjustRightInd w:val="0"/>
        <w:jc w:val="both"/>
        <w:rPr>
          <w:bCs/>
          <w:iCs/>
          <w:sz w:val="20"/>
          <w:szCs w:val="20"/>
        </w:rPr>
      </w:pPr>
    </w:p>
    <w:p w14:paraId="025C4FFE" w14:textId="1B8B7935" w:rsidR="005930CE" w:rsidRPr="009118AB" w:rsidRDefault="005930CE" w:rsidP="005930CE">
      <w:pPr>
        <w:autoSpaceDE w:val="0"/>
        <w:autoSpaceDN w:val="0"/>
        <w:adjustRightInd w:val="0"/>
        <w:jc w:val="both"/>
        <w:rPr>
          <w:bCs/>
          <w:iCs/>
          <w:sz w:val="20"/>
          <w:szCs w:val="20"/>
        </w:rPr>
      </w:pPr>
      <w:r w:rsidRPr="009118AB">
        <w:rPr>
          <w:bCs/>
          <w:iCs/>
          <w:sz w:val="20"/>
          <w:szCs w:val="20"/>
        </w:rPr>
        <w:t>[- 32,5 Prozent, wenn es sich um ein ab dem 1. Januar 2031 gekauftes, geleastes oder gemietetes Fahrzeug handelt</w:t>
      </w:r>
      <w:r w:rsidR="00395EAB" w:rsidRPr="009118AB">
        <w:rPr>
          <w:bCs/>
          <w:iCs/>
          <w:sz w:val="20"/>
          <w:szCs w:val="20"/>
        </w:rPr>
        <w:t>,</w:t>
      </w:r>
      <w:r w:rsidRPr="009118AB">
        <w:rPr>
          <w:bCs/>
          <w:iCs/>
          <w:sz w:val="20"/>
          <w:szCs w:val="20"/>
        </w:rPr>
        <w:t>]</w:t>
      </w:r>
    </w:p>
    <w:p w14:paraId="50B5A199" w14:textId="63053F06" w:rsidR="00395EAB" w:rsidRPr="009118AB" w:rsidRDefault="00395EAB" w:rsidP="005930CE">
      <w:pPr>
        <w:autoSpaceDE w:val="0"/>
        <w:autoSpaceDN w:val="0"/>
        <w:adjustRightInd w:val="0"/>
        <w:jc w:val="both"/>
        <w:rPr>
          <w:bCs/>
          <w:iCs/>
          <w:sz w:val="20"/>
          <w:szCs w:val="20"/>
        </w:rPr>
      </w:pPr>
    </w:p>
    <w:p w14:paraId="3CE874CB" w14:textId="01CE09D8" w:rsidR="00395EAB" w:rsidRPr="009118AB" w:rsidRDefault="00395EAB" w:rsidP="00395EAB">
      <w:pPr>
        <w:autoSpaceDE w:val="0"/>
        <w:autoSpaceDN w:val="0"/>
        <w:adjustRightInd w:val="0"/>
        <w:jc w:val="both"/>
        <w:rPr>
          <w:bCs/>
          <w:iCs/>
          <w:sz w:val="20"/>
          <w:szCs w:val="20"/>
        </w:rPr>
      </w:pPr>
      <w:r w:rsidRPr="009118AB">
        <w:rPr>
          <w:bCs/>
          <w:iCs/>
          <w:sz w:val="20"/>
          <w:szCs w:val="20"/>
        </w:rPr>
        <w:t>[10. auf Provisionen, Maklergebühren, kommerzielle oder andere Ermäßigungen, zufällige oder nicht zufällige Entgelte oder Honorare, Zuwendungen, Vergütungen oder Vorteile jeglicher Art</w:t>
      </w:r>
      <w:r w:rsidR="00D67EB8" w:rsidRPr="009118AB">
        <w:rPr>
          <w:bCs/>
          <w:iCs/>
          <w:sz w:val="20"/>
          <w:szCs w:val="20"/>
        </w:rPr>
        <w:t> - </w:t>
      </w:r>
      <w:r w:rsidRPr="009118AB">
        <w:rPr>
          <w:bCs/>
          <w:iCs/>
          <w:sz w:val="20"/>
          <w:szCs w:val="20"/>
        </w:rPr>
        <w:t>in dem Maße, wie sie sich auf mehr als 3 Prozent der gesamten Bruttoentlohnung des Sportlers belaufen, die während der Dauer des Arbeitsvertrags pro Jahr berechnet wird</w:t>
      </w:r>
      <w:r w:rsidR="00FD68E8" w:rsidRPr="009118AB">
        <w:rPr>
          <w:bCs/>
          <w:iCs/>
          <w:sz w:val="20"/>
          <w:szCs w:val="20"/>
        </w:rPr>
        <w:t> -,</w:t>
      </w:r>
      <w:r w:rsidRPr="009118AB">
        <w:rPr>
          <w:bCs/>
          <w:iCs/>
          <w:sz w:val="20"/>
          <w:szCs w:val="20"/>
        </w:rPr>
        <w:t xml:space="preserve"> die direkt oder indirekt im Rahmen eines Vertrags gezahlt werden, der Folgendes zum Ziel hat:</w:t>
      </w:r>
    </w:p>
    <w:p w14:paraId="3CD5743A" w14:textId="77777777" w:rsidR="00395EAB" w:rsidRPr="009118AB" w:rsidRDefault="00395EAB" w:rsidP="00395EAB">
      <w:pPr>
        <w:autoSpaceDE w:val="0"/>
        <w:autoSpaceDN w:val="0"/>
        <w:adjustRightInd w:val="0"/>
        <w:jc w:val="both"/>
        <w:rPr>
          <w:bCs/>
          <w:iCs/>
          <w:sz w:val="20"/>
          <w:szCs w:val="20"/>
        </w:rPr>
      </w:pPr>
    </w:p>
    <w:p w14:paraId="63D89ECC"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a)</w:t>
      </w:r>
      <w:r w:rsidRPr="009118AB">
        <w:rPr>
          <w:bCs/>
          <w:iCs/>
          <w:sz w:val="20"/>
          <w:szCs w:val="20"/>
        </w:rPr>
        <w:t> entweder einen Sportler bei Verhandlungen im Hinblick auf den Abschluss, die Verlängerung, Erneuerung oder Beendigung eines Arbeitsvertrags bei einem Sportclub zu unterstützen</w:t>
      </w:r>
    </w:p>
    <w:p w14:paraId="0850EE20" w14:textId="77777777" w:rsidR="00395EAB" w:rsidRPr="009118AB" w:rsidRDefault="00395EAB" w:rsidP="00395EAB">
      <w:pPr>
        <w:autoSpaceDE w:val="0"/>
        <w:autoSpaceDN w:val="0"/>
        <w:adjustRightInd w:val="0"/>
        <w:jc w:val="both"/>
        <w:rPr>
          <w:bCs/>
          <w:iCs/>
          <w:sz w:val="20"/>
          <w:szCs w:val="20"/>
        </w:rPr>
      </w:pPr>
    </w:p>
    <w:p w14:paraId="23CBF853" w14:textId="13E47B1C" w:rsidR="00395EAB" w:rsidRPr="009118AB" w:rsidRDefault="00395EAB" w:rsidP="00395EAB">
      <w:pPr>
        <w:autoSpaceDE w:val="0"/>
        <w:autoSpaceDN w:val="0"/>
        <w:adjustRightInd w:val="0"/>
        <w:jc w:val="both"/>
        <w:rPr>
          <w:bCs/>
          <w:iCs/>
          <w:sz w:val="20"/>
          <w:szCs w:val="20"/>
        </w:rPr>
      </w:pPr>
      <w:r w:rsidRPr="009118AB">
        <w:rPr>
          <w:bCs/>
          <w:i/>
          <w:iCs/>
          <w:sz w:val="20"/>
          <w:szCs w:val="20"/>
        </w:rPr>
        <w:t>b)</w:t>
      </w:r>
      <w:r w:rsidRPr="009118AB">
        <w:rPr>
          <w:bCs/>
          <w:iCs/>
          <w:sz w:val="20"/>
          <w:szCs w:val="20"/>
        </w:rPr>
        <w:t xml:space="preserve"> oder einen in Artikel 270 </w:t>
      </w:r>
      <w:r w:rsidR="00D67EB8" w:rsidRPr="009118AB">
        <w:rPr>
          <w:bCs/>
          <w:iCs/>
          <w:sz w:val="20"/>
          <w:szCs w:val="20"/>
        </w:rPr>
        <w:t>Nr. </w:t>
      </w:r>
      <w:r w:rsidRPr="009118AB">
        <w:rPr>
          <w:bCs/>
          <w:iCs/>
          <w:sz w:val="20"/>
          <w:szCs w:val="20"/>
        </w:rPr>
        <w:t>1 und 3 erwähnten Schuldner des Berufssteuer</w:t>
      </w:r>
      <w:r w:rsidRPr="009118AB">
        <w:rPr>
          <w:bCs/>
          <w:iCs/>
          <w:sz w:val="20"/>
          <w:szCs w:val="20"/>
        </w:rPr>
        <w:softHyphen/>
        <w:t>vorabzugs bei Verhandlungen im Hinblick auf den Abschluss, die Verlängerung, Erneuerung oder Beendigung eines Arbeitsvertrags mit einem Sportler zu unterstützen.</w:t>
      </w:r>
    </w:p>
    <w:p w14:paraId="6302528E" w14:textId="77777777" w:rsidR="00395EAB" w:rsidRPr="009118AB" w:rsidRDefault="00395EAB" w:rsidP="00395EAB">
      <w:pPr>
        <w:autoSpaceDE w:val="0"/>
        <w:autoSpaceDN w:val="0"/>
        <w:adjustRightInd w:val="0"/>
        <w:jc w:val="both"/>
        <w:rPr>
          <w:bCs/>
          <w:iCs/>
          <w:sz w:val="20"/>
          <w:szCs w:val="20"/>
        </w:rPr>
      </w:pPr>
    </w:p>
    <w:p w14:paraId="6B25F996" w14:textId="77777777" w:rsidR="00395EAB" w:rsidRPr="009118AB" w:rsidRDefault="00395EAB" w:rsidP="00395EAB">
      <w:pPr>
        <w:autoSpaceDE w:val="0"/>
        <w:autoSpaceDN w:val="0"/>
        <w:adjustRightInd w:val="0"/>
        <w:jc w:val="both"/>
        <w:rPr>
          <w:bCs/>
          <w:iCs/>
          <w:sz w:val="20"/>
          <w:szCs w:val="20"/>
        </w:rPr>
      </w:pPr>
      <w:r w:rsidRPr="009118AB">
        <w:rPr>
          <w:bCs/>
          <w:i/>
          <w:iCs/>
          <w:sz w:val="20"/>
          <w:szCs w:val="20"/>
        </w:rPr>
        <w:t>c)</w:t>
      </w:r>
      <w:r w:rsidRPr="009118AB">
        <w:rPr>
          <w:bCs/>
          <w:iCs/>
          <w:sz w:val="20"/>
          <w:szCs w:val="20"/>
        </w:rPr>
        <w:t> oder eine Ausleihe oder einen definitiven Transfer im Hinblick auf die Ankunft oder den Weggang eines Sportlers zu regeln.]</w:t>
      </w:r>
    </w:p>
    <w:p w14:paraId="2AE4CDD4" w14:textId="77777777" w:rsidR="00395EAB" w:rsidRPr="009118AB" w:rsidRDefault="00395EAB" w:rsidP="00395EAB">
      <w:pPr>
        <w:autoSpaceDE w:val="0"/>
        <w:autoSpaceDN w:val="0"/>
        <w:adjustRightInd w:val="0"/>
        <w:jc w:val="both"/>
        <w:rPr>
          <w:bCs/>
          <w:iCs/>
          <w:sz w:val="20"/>
          <w:szCs w:val="20"/>
        </w:rPr>
      </w:pPr>
    </w:p>
    <w:p w14:paraId="610BB619" w14:textId="77777777" w:rsidR="005930CE" w:rsidRPr="009118AB" w:rsidRDefault="005930CE" w:rsidP="005930CE">
      <w:pPr>
        <w:autoSpaceDE w:val="0"/>
        <w:autoSpaceDN w:val="0"/>
        <w:adjustRightInd w:val="0"/>
        <w:jc w:val="both"/>
        <w:rPr>
          <w:bCs/>
          <w:iCs/>
          <w:sz w:val="20"/>
          <w:szCs w:val="20"/>
        </w:rPr>
      </w:pPr>
      <w:r w:rsidRPr="009118AB">
        <w:rPr>
          <w:bCs/>
          <w:iCs/>
          <w:sz w:val="20"/>
          <w:szCs w:val="20"/>
        </w:rPr>
        <w:t>[Für die Anwendung von Absatz 1 werden in Artikel 32 erwähnte Unternehmensleiter Arbeitnehmern gleichgestellt.]</w:t>
      </w:r>
    </w:p>
    <w:p w14:paraId="1955CD41" w14:textId="77777777" w:rsidR="005930CE" w:rsidRPr="009118AB" w:rsidRDefault="005930CE" w:rsidP="005930CE">
      <w:pPr>
        <w:autoSpaceDE w:val="0"/>
        <w:autoSpaceDN w:val="0"/>
        <w:adjustRightInd w:val="0"/>
        <w:jc w:val="both"/>
        <w:rPr>
          <w:bCs/>
          <w:iCs/>
          <w:sz w:val="20"/>
          <w:szCs w:val="20"/>
        </w:rPr>
      </w:pPr>
    </w:p>
    <w:p w14:paraId="7638AB96" w14:textId="0D1D57C9" w:rsidR="005930CE" w:rsidRPr="009118AB" w:rsidRDefault="005930CE" w:rsidP="005930CE">
      <w:pPr>
        <w:autoSpaceDE w:val="0"/>
        <w:autoSpaceDN w:val="0"/>
        <w:adjustRightInd w:val="0"/>
        <w:jc w:val="both"/>
        <w:rPr>
          <w:bCs/>
          <w:iCs/>
          <w:sz w:val="20"/>
          <w:szCs w:val="20"/>
        </w:rPr>
      </w:pPr>
      <w:r w:rsidRPr="009118AB">
        <w:rPr>
          <w:bCs/>
          <w:iCs/>
          <w:sz w:val="20"/>
          <w:szCs w:val="20"/>
        </w:rPr>
        <w:t xml:space="preserve">[Wird ein in [Absatz 1 </w:t>
      </w:r>
      <w:r w:rsidR="00D67EB8" w:rsidRPr="009118AB">
        <w:rPr>
          <w:bCs/>
          <w:iCs/>
          <w:sz w:val="20"/>
          <w:szCs w:val="20"/>
        </w:rPr>
        <w:t>Nr. </w:t>
      </w:r>
      <w:r w:rsidRPr="009118AB">
        <w:rPr>
          <w:bCs/>
          <w:iCs/>
          <w:sz w:val="20"/>
          <w:szCs w:val="20"/>
        </w:rPr>
        <w:t xml:space="preserve">8 und 9] erwähntes Fahrzeug einem Dritten zur Nutzung zu persönlichen Zwecken zur Verfügung gestellt, umfassen die in [Absatz 1 </w:t>
      </w:r>
      <w:r w:rsidR="00D67EB8" w:rsidRPr="009118AB">
        <w:rPr>
          <w:bCs/>
          <w:iCs/>
          <w:sz w:val="20"/>
          <w:szCs w:val="20"/>
        </w:rPr>
        <w:t>Nr. </w:t>
      </w:r>
      <w:r w:rsidRPr="009118AB">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771B8AA2" w14:textId="77777777" w:rsidR="005930CE" w:rsidRPr="009118AB" w:rsidRDefault="005930CE" w:rsidP="005930CE">
      <w:pPr>
        <w:autoSpaceDE w:val="0"/>
        <w:autoSpaceDN w:val="0"/>
        <w:adjustRightInd w:val="0"/>
        <w:jc w:val="both"/>
        <w:rPr>
          <w:bCs/>
          <w:iCs/>
          <w:sz w:val="20"/>
          <w:szCs w:val="20"/>
        </w:rPr>
      </w:pPr>
    </w:p>
    <w:p w14:paraId="76A24D7A" w14:textId="31727994" w:rsidR="005930CE" w:rsidRPr="009118AB" w:rsidRDefault="005930CE" w:rsidP="005930CE">
      <w:pPr>
        <w:autoSpaceDE w:val="0"/>
        <w:autoSpaceDN w:val="0"/>
        <w:adjustRightInd w:val="0"/>
        <w:jc w:val="both"/>
        <w:rPr>
          <w:bCs/>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234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3 ersetzt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1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4 </w:t>
      </w:r>
      <w:r w:rsidR="00D20B96" w:rsidRPr="009118AB">
        <w:rPr>
          <w:bCs/>
          <w:i/>
          <w:iCs/>
          <w:sz w:val="20"/>
          <w:szCs w:val="20"/>
        </w:rPr>
        <w:t xml:space="preserve">einziger Absatz einleitende Bestimmung </w:t>
      </w:r>
      <w:r w:rsidRPr="009118AB">
        <w:rPr>
          <w:bCs/>
          <w:i/>
          <w:iCs/>
          <w:sz w:val="20"/>
          <w:szCs w:val="20"/>
        </w:rPr>
        <w:t xml:space="preserve">abgeändert durch </w:t>
      </w:r>
      <w:r w:rsidR="00D67EB8" w:rsidRPr="009118AB">
        <w:rPr>
          <w:bCs/>
          <w:i/>
          <w:iCs/>
          <w:sz w:val="20"/>
          <w:szCs w:val="20"/>
        </w:rPr>
        <w:t>Art. </w:t>
      </w:r>
      <w:r w:rsidRPr="009118AB">
        <w:rPr>
          <w:bCs/>
          <w:i/>
          <w:iCs/>
          <w:sz w:val="20"/>
          <w:szCs w:val="20"/>
        </w:rPr>
        <w:t>24 des G. (I) vom 27. Dezember 2006 (I) (B.S. vom 28. Dezember 2006)</w:t>
      </w:r>
      <w:r w:rsidR="00D67EB8" w:rsidRPr="009118AB">
        <w:rPr>
          <w:bCs/>
          <w:i/>
          <w:iCs/>
          <w:sz w:val="20"/>
          <w:szCs w:val="20"/>
        </w:rPr>
        <w:t> - </w:t>
      </w:r>
      <w:r w:rsidRPr="009118AB">
        <w:rPr>
          <w:bCs/>
          <w:i/>
          <w:iCs/>
          <w:sz w:val="20"/>
          <w:szCs w:val="20"/>
        </w:rPr>
        <w:t>anwendbar ab dem Steuerjahr 2007</w:t>
      </w:r>
      <w:r w:rsidR="00FD68E8" w:rsidRPr="009118AB">
        <w:rPr>
          <w:bCs/>
          <w:i/>
          <w:iCs/>
          <w:sz w:val="20"/>
          <w:szCs w:val="20"/>
        </w:rPr>
        <w:t> -,</w:t>
      </w:r>
      <w:r w:rsidRPr="009118AB">
        <w:rPr>
          <w:bCs/>
          <w:i/>
          <w:iCs/>
          <w:sz w:val="20"/>
          <w:szCs w:val="20"/>
        </w:rPr>
        <w:t xml:space="preserve"> </w:t>
      </w:r>
      <w:r w:rsidR="00D67EB8" w:rsidRPr="009118AB">
        <w:rPr>
          <w:bCs/>
          <w:i/>
          <w:iCs/>
          <w:sz w:val="20"/>
          <w:szCs w:val="20"/>
        </w:rPr>
        <w:t>Art. </w:t>
      </w:r>
      <w:r w:rsidRPr="009118AB">
        <w:rPr>
          <w:bCs/>
          <w:i/>
          <w:iCs/>
          <w:sz w:val="20"/>
          <w:szCs w:val="20"/>
        </w:rPr>
        <w:t>34</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74 Buchstabe a) und b)</w:t>
      </w:r>
      <w:r w:rsidRPr="009118AB">
        <w:rPr>
          <w:bCs/>
          <w:i/>
          <w:iCs/>
          <w:sz w:val="20"/>
          <w:szCs w:val="20"/>
        </w:rPr>
        <w:t xml:space="preserve"> des G. vom 27. Juni 2021 (B.S. vom 30. Juni 2021)</w:t>
      </w:r>
      <w:r w:rsidR="00E40DE2" w:rsidRPr="009118AB">
        <w:rPr>
          <w:bCs/>
          <w:i/>
          <w:iCs/>
          <w:sz w:val="20"/>
          <w:szCs w:val="20"/>
        </w:rPr>
        <w:t>,</w:t>
      </w:r>
      <w:r w:rsidR="00AF345D" w:rsidRPr="009118AB">
        <w:rPr>
          <w:i/>
          <w:iCs/>
          <w:sz w:val="20"/>
          <w:szCs w:val="20"/>
        </w:rPr>
        <w:t xml:space="preserve"> </w:t>
      </w:r>
      <w:r w:rsidR="00D67EB8" w:rsidRPr="009118AB">
        <w:rPr>
          <w:i/>
          <w:iCs/>
          <w:sz w:val="20"/>
          <w:szCs w:val="20"/>
        </w:rPr>
        <w:t>Art. </w:t>
      </w:r>
      <w:r w:rsidR="00AF345D" w:rsidRPr="009118AB">
        <w:rPr>
          <w:i/>
          <w:iCs/>
          <w:sz w:val="20"/>
          <w:szCs w:val="20"/>
        </w:rPr>
        <w:t>50</w:t>
      </w:r>
      <w:r w:rsidR="00AF345D" w:rsidRPr="009118AB">
        <w:rPr>
          <w:bCs/>
          <w:i/>
          <w:iCs/>
          <w:sz w:val="20"/>
          <w:szCs w:val="20"/>
        </w:rPr>
        <w:t xml:space="preserve"> des G. vom 21. Januar 2022 (B.S. vom 28. Januar 2022)</w:t>
      </w:r>
      <w:r w:rsidR="00D67EB8" w:rsidRPr="009118AB">
        <w:rPr>
          <w:bCs/>
          <w:i/>
          <w:iCs/>
          <w:sz w:val="20"/>
          <w:szCs w:val="20"/>
        </w:rPr>
        <w:t> - </w:t>
      </w:r>
      <w:r w:rsidR="00AF345D" w:rsidRPr="009118AB">
        <w:rPr>
          <w:bCs/>
          <w:i/>
          <w:iCs/>
          <w:sz w:val="20"/>
          <w:szCs w:val="20"/>
        </w:rPr>
        <w:t>anwendbar auf Einkünfte, die ab dem 1. Januar 2021 während eines Besteuerungszeitraums gezahlt oder zuerkannt werden, der frühestens an das Steuerjahr 2022 gebunden ist</w:t>
      </w:r>
      <w:r w:rsidR="003366D9" w:rsidRPr="009118AB">
        <w:rPr>
          <w:bCs/>
          <w:i/>
          <w:iCs/>
          <w:sz w:val="20"/>
          <w:szCs w:val="20"/>
        </w:rPr>
        <w:t> -</w:t>
      </w:r>
      <w:r w:rsidR="00E40DE2" w:rsidRPr="009118AB">
        <w:rPr>
          <w:bCs/>
          <w:i/>
          <w:iCs/>
          <w:sz w:val="20"/>
          <w:szCs w:val="20"/>
        </w:rPr>
        <w:t xml:space="preserve"> und Art. 27 des G. vom 21. Dezember 2022 (II) (B.S. vom </w:t>
      </w:r>
      <w:r w:rsidR="00E40DE2" w:rsidRPr="009118AB">
        <w:rPr>
          <w:bCs/>
          <w:i/>
          <w:iCs/>
          <w:sz w:val="20"/>
          <w:szCs w:val="20"/>
        </w:rPr>
        <w:lastRenderedPageBreak/>
        <w:t>29. Dezember 2022) - in Kraft am 1. Januar 2023 -</w:t>
      </w:r>
      <w:r w:rsidR="003366D9" w:rsidRPr="009118AB">
        <w:rPr>
          <w:bCs/>
          <w:i/>
          <w:iCs/>
          <w:sz w:val="20"/>
          <w:szCs w:val="20"/>
        </w:rPr>
        <w:t>;</w:t>
      </w:r>
      <w:r w:rsidRPr="009118AB">
        <w:rPr>
          <w:bCs/>
          <w:i/>
          <w:iCs/>
          <w:sz w:val="20"/>
          <w:szCs w:val="20"/>
        </w:rPr>
        <w:t xml:space="preserve"> </w:t>
      </w:r>
      <w:r w:rsidR="0027187F" w:rsidRPr="009118AB">
        <w:rPr>
          <w:bCs/>
          <w:i/>
          <w:iCs/>
          <w:sz w:val="20"/>
          <w:szCs w:val="20"/>
        </w:rPr>
        <w:t xml:space="preserve">Abs. 1 Nr. 4 einziger Absatz zweiter Gedankenstrich abgeändert durch </w:t>
      </w:r>
      <w:r w:rsidR="0027187F" w:rsidRPr="009118AB">
        <w:rPr>
          <w:rFonts w:ascii="Times New Roman Italique" w:hAnsi="Times New Roman Italique"/>
          <w:bCs/>
          <w:i/>
          <w:iCs/>
          <w:spacing w:val="-2"/>
          <w:sz w:val="20"/>
          <w:szCs w:val="20"/>
        </w:rPr>
        <w:t xml:space="preserve">Art. 31 des G. vom 5. Juli 2022 (B.S. vom 15. Juli 2022); </w:t>
      </w:r>
      <w:r w:rsidR="00D67EB8" w:rsidRPr="009118AB">
        <w:rPr>
          <w:rFonts w:ascii="Times New Roman Italique" w:hAnsi="Times New Roman Italique"/>
          <w:bCs/>
          <w:i/>
          <w:iCs/>
          <w:spacing w:val="-2"/>
          <w:sz w:val="20"/>
          <w:szCs w:val="20"/>
        </w:rPr>
        <w:t>Abs. </w:t>
      </w:r>
      <w:r w:rsidRPr="009118AB">
        <w:rPr>
          <w:rFonts w:ascii="Times New Roman Italique" w:hAnsi="Times New Roman Italique"/>
          <w:bCs/>
          <w:i/>
          <w:iCs/>
          <w:spacing w:val="-2"/>
          <w:sz w:val="20"/>
          <w:szCs w:val="20"/>
        </w:rPr>
        <w:t xml:space="preserve">1 </w:t>
      </w:r>
      <w:r w:rsidR="00D67EB8" w:rsidRPr="009118AB">
        <w:rPr>
          <w:rFonts w:ascii="Times New Roman Italique" w:hAnsi="Times New Roman Italique"/>
          <w:bCs/>
          <w:i/>
          <w:iCs/>
          <w:spacing w:val="-2"/>
          <w:sz w:val="20"/>
          <w:szCs w:val="20"/>
        </w:rPr>
        <w:t>Nr. </w:t>
      </w:r>
      <w:r w:rsidRPr="009118AB">
        <w:rPr>
          <w:rFonts w:ascii="Times New Roman Italique" w:hAnsi="Times New Roman Italique"/>
          <w:bCs/>
          <w:i/>
          <w:iCs/>
          <w:spacing w:val="-2"/>
          <w:sz w:val="20"/>
          <w:szCs w:val="20"/>
        </w:rPr>
        <w:t xml:space="preserve">5 eingefügt durch </w:t>
      </w:r>
      <w:r w:rsidR="00D67EB8" w:rsidRPr="009118AB">
        <w:rPr>
          <w:rFonts w:ascii="Times New Roman Italique" w:hAnsi="Times New Roman Italique"/>
          <w:bCs/>
          <w:i/>
          <w:iCs/>
          <w:spacing w:val="-2"/>
          <w:sz w:val="20"/>
          <w:szCs w:val="20"/>
        </w:rPr>
        <w:t>Art. </w:t>
      </w:r>
      <w:r w:rsidRPr="009118AB">
        <w:rPr>
          <w:rFonts w:ascii="Times New Roman Italique" w:hAnsi="Times New Roman Italique"/>
          <w:bCs/>
          <w:i/>
          <w:iCs/>
          <w:spacing w:val="-2"/>
          <w:sz w:val="20"/>
          <w:szCs w:val="20"/>
        </w:rPr>
        <w:t>55 des G. vom 10. März 1999 (B.S. vom 14. April 1999)</w:t>
      </w:r>
      <w:r w:rsidR="00D67EB8" w:rsidRPr="009118AB">
        <w:rPr>
          <w:rFonts w:ascii="Times New Roman Italique" w:hAnsi="Times New Roman Italique"/>
          <w:bCs/>
          <w:i/>
          <w:iCs/>
          <w:spacing w:val="-2"/>
          <w:sz w:val="20"/>
          <w:szCs w:val="20"/>
        </w:rPr>
        <w:t> - </w:t>
      </w:r>
      <w:r w:rsidRPr="009118AB">
        <w:rPr>
          <w:rFonts w:ascii="Times New Roman Italique" w:hAnsi="Times New Roman Italique"/>
          <w:bCs/>
          <w:i/>
          <w:iCs/>
          <w:spacing w:val="-2"/>
          <w:sz w:val="20"/>
          <w:szCs w:val="20"/>
        </w:rPr>
        <w:t>anwendbar auf ab dem 14. April 1999 verliehene Aktien oder Anteile</w:t>
      </w:r>
      <w:r w:rsidR="00FD68E8" w:rsidRPr="009118AB">
        <w:rPr>
          <w:rFonts w:ascii="Times New Roman Italique" w:hAnsi="Times New Roman Italique"/>
          <w:bCs/>
          <w:i/>
          <w:iCs/>
          <w:spacing w:val="-2"/>
          <w:sz w:val="20"/>
          <w:szCs w:val="20"/>
        </w:rPr>
        <w:t> -,</w:t>
      </w:r>
      <w:r w:rsidRPr="009118AB">
        <w:rPr>
          <w:bCs/>
          <w:i/>
          <w:iCs/>
          <w:sz w:val="20"/>
          <w:szCs w:val="20"/>
        </w:rPr>
        <w:t xml:space="preserve"> aufgehoben durch </w:t>
      </w:r>
      <w:r w:rsidR="00D67EB8" w:rsidRPr="009118AB">
        <w:rPr>
          <w:bCs/>
          <w:i/>
          <w:iCs/>
          <w:sz w:val="20"/>
          <w:szCs w:val="20"/>
        </w:rPr>
        <w:t>Art. </w:t>
      </w:r>
      <w:r w:rsidRPr="009118AB">
        <w:rPr>
          <w:bCs/>
          <w:i/>
          <w:iCs/>
          <w:sz w:val="20"/>
          <w:szCs w:val="20"/>
        </w:rPr>
        <w:t>51 des G. vom 15. Dezember 2004 (B.S. vom 1. Februar 2005)</w:t>
      </w:r>
      <w:r w:rsidR="00D67EB8" w:rsidRPr="009118AB">
        <w:rPr>
          <w:bCs/>
          <w:i/>
          <w:iCs/>
          <w:sz w:val="20"/>
          <w:szCs w:val="20"/>
        </w:rPr>
        <w:t> - </w:t>
      </w:r>
      <w:r w:rsidRPr="009118AB">
        <w:rPr>
          <w:bCs/>
          <w:i/>
          <w:iCs/>
          <w:sz w:val="20"/>
          <w:szCs w:val="20"/>
        </w:rPr>
        <w:t>anwendbar auf Aktien- oder Anteilverleihe, die ab dem 1. Februar 2005 abgeschlossen werden</w:t>
      </w:r>
      <w:r w:rsidR="00D67EB8" w:rsidRPr="009118AB">
        <w:rPr>
          <w:bCs/>
          <w:i/>
          <w:iCs/>
          <w:sz w:val="20"/>
          <w:szCs w:val="20"/>
        </w:rPr>
        <w:t> - </w:t>
      </w:r>
      <w:r w:rsidRPr="009118AB">
        <w:rPr>
          <w:bCs/>
          <w:i/>
          <w:iCs/>
          <w:sz w:val="20"/>
          <w:szCs w:val="20"/>
        </w:rPr>
        <w:t xml:space="preserve">und wieder aufgenommen durch </w:t>
      </w:r>
      <w:r w:rsidR="00D67EB8" w:rsidRPr="009118AB">
        <w:rPr>
          <w:bCs/>
          <w:i/>
          <w:iCs/>
          <w:sz w:val="20"/>
          <w:szCs w:val="20"/>
        </w:rPr>
        <w:t>Art. </w:t>
      </w:r>
      <w:r w:rsidRPr="009118AB">
        <w:rPr>
          <w:bCs/>
          <w:i/>
          <w:iCs/>
          <w:sz w:val="20"/>
          <w:szCs w:val="20"/>
        </w:rPr>
        <w:t>138 des G.</w:t>
      </w:r>
      <w:r w:rsidR="00AF345D" w:rsidRPr="009118AB">
        <w:rPr>
          <w:bCs/>
          <w:i/>
          <w:iCs/>
          <w:sz w:val="20"/>
          <w:szCs w:val="20"/>
        </w:rPr>
        <w:t> </w:t>
      </w:r>
      <w:r w:rsidRPr="009118AB">
        <w:rPr>
          <w:bCs/>
          <w:i/>
          <w:iCs/>
          <w:sz w:val="20"/>
          <w:szCs w:val="20"/>
        </w:rPr>
        <w:t>(I) vom 22. Dezember 2008 (II) (B.S. vom 29. Dezember 2008)</w:t>
      </w:r>
      <w:r w:rsidR="00D67EB8" w:rsidRPr="009118AB">
        <w:rPr>
          <w:bCs/>
          <w:i/>
          <w:iCs/>
          <w:sz w:val="20"/>
          <w:szCs w:val="20"/>
        </w:rPr>
        <w:t> - </w:t>
      </w:r>
      <w:r w:rsidRPr="009118AB">
        <w:rPr>
          <w:bCs/>
          <w:i/>
          <w:iCs/>
          <w:sz w:val="20"/>
          <w:szCs w:val="20"/>
        </w:rPr>
        <w:t>in Kraft am 8. Juni 2007</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1 </w:t>
      </w:r>
      <w:r w:rsidR="00D67EB8" w:rsidRPr="009118AB">
        <w:rPr>
          <w:bCs/>
          <w:i/>
          <w:iCs/>
          <w:sz w:val="20"/>
          <w:szCs w:val="20"/>
        </w:rPr>
        <w:t>Nr. </w:t>
      </w:r>
      <w:r w:rsidRPr="009118AB">
        <w:rPr>
          <w:bCs/>
          <w:i/>
          <w:iCs/>
          <w:sz w:val="20"/>
          <w:szCs w:val="20"/>
        </w:rPr>
        <w:t xml:space="preserve">6 eingefügt </w:t>
      </w:r>
      <w:r w:rsidRPr="009118AB">
        <w:rPr>
          <w:i/>
          <w:iCs/>
          <w:sz w:val="20"/>
          <w:szCs w:val="20"/>
        </w:rPr>
        <w:t xml:space="preserve">durch </w:t>
      </w:r>
      <w:r w:rsidR="00D67EB8" w:rsidRPr="009118AB">
        <w:rPr>
          <w:i/>
          <w:iCs/>
          <w:sz w:val="20"/>
          <w:szCs w:val="20"/>
        </w:rPr>
        <w:t>Art. </w:t>
      </w:r>
      <w:r w:rsidRPr="009118AB">
        <w:rPr>
          <w:i/>
          <w:iCs/>
          <w:sz w:val="20"/>
          <w:szCs w:val="20"/>
        </w:rPr>
        <w:t xml:space="preserve">49 </w:t>
      </w:r>
      <w:r w:rsidRPr="009118AB">
        <w:rPr>
          <w:bCs/>
          <w:i/>
          <w:iCs/>
          <w:sz w:val="20"/>
          <w:szCs w:val="20"/>
        </w:rPr>
        <w:t>des G. vom 28. Dezember 2011 (B.S. vom 30. Dezember 2011)</w:t>
      </w:r>
      <w:r w:rsidR="00D67EB8" w:rsidRPr="009118AB">
        <w:rPr>
          <w:bCs/>
          <w:i/>
          <w:iCs/>
          <w:sz w:val="20"/>
          <w:szCs w:val="20"/>
        </w:rPr>
        <w:t> - </w:t>
      </w:r>
      <w:r w:rsidRPr="009118AB">
        <w:rPr>
          <w:i/>
          <w:iCs/>
          <w:sz w:val="20"/>
          <w:szCs w:val="20"/>
        </w:rPr>
        <w:t>anwendbar auf die ab dem 1. Januar 2012 zuerkannten Vorteile jeglicher Art</w:t>
      </w:r>
      <w:r w:rsidR="00FD68E8" w:rsidRPr="009118AB">
        <w:rPr>
          <w:i/>
          <w:iCs/>
          <w:sz w:val="20"/>
          <w:szCs w:val="20"/>
        </w:rPr>
        <w:t> -,</w:t>
      </w:r>
      <w:r w:rsidRPr="009118AB">
        <w:rPr>
          <w:i/>
          <w:iCs/>
          <w:sz w:val="20"/>
          <w:szCs w:val="20"/>
        </w:rPr>
        <w:t xml:space="preserve"> ersetzt durch </w:t>
      </w:r>
      <w:r w:rsidR="00D67EB8" w:rsidRPr="009118AB">
        <w:rPr>
          <w:i/>
          <w:iCs/>
          <w:sz w:val="20"/>
          <w:szCs w:val="20"/>
        </w:rPr>
        <w:t>Art. </w:t>
      </w:r>
      <w:r w:rsidRPr="009118AB">
        <w:rPr>
          <w:i/>
          <w:iCs/>
          <w:sz w:val="20"/>
          <w:szCs w:val="20"/>
        </w:rPr>
        <w:t>71 Buchstabe a) des G. vom 25. Dezember 2016 (I) (B.S. vom 29. Dezember 2016)</w:t>
      </w:r>
      <w:r w:rsidR="00D67EB8" w:rsidRPr="009118AB">
        <w:rPr>
          <w:i/>
          <w:iCs/>
          <w:sz w:val="20"/>
          <w:szCs w:val="20"/>
        </w:rPr>
        <w:t> - </w:t>
      </w:r>
      <w:r w:rsidRPr="009118AB">
        <w:rPr>
          <w:i/>
          <w:iCs/>
          <w:sz w:val="20"/>
          <w:szCs w:val="20"/>
        </w:rPr>
        <w:t>in Kraft und anwendbar ab dem 1. Januar 2017</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63 </w:t>
      </w:r>
      <w:r w:rsidR="00D67EB8" w:rsidRPr="009118AB">
        <w:rPr>
          <w:i/>
          <w:iCs/>
          <w:sz w:val="20"/>
          <w:szCs w:val="20"/>
        </w:rPr>
        <w:t>Nr. </w:t>
      </w:r>
      <w:r w:rsidRPr="009118AB">
        <w:rPr>
          <w:i/>
          <w:iCs/>
          <w:sz w:val="20"/>
          <w:szCs w:val="20"/>
        </w:rPr>
        <w:t>1 des G. vom 25. Dezember 2017 (III) (B.S. vom 29. Dezember 2017)</w:t>
      </w:r>
      <w:r w:rsidR="00D67EB8" w:rsidRPr="009118AB">
        <w:rPr>
          <w:i/>
          <w:iCs/>
          <w:sz w:val="20"/>
          <w:szCs w:val="20"/>
        </w:rPr>
        <w:t> - </w:t>
      </w:r>
      <w:r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6bis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1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 xml:space="preserve">11/2020 des Verfassungsgerichtshofes vom 23. Januar 2020 (B.S. vom 24. Februar 2020); </w:t>
      </w:r>
      <w:r w:rsidR="00D67EB8" w:rsidRPr="009118AB">
        <w:rPr>
          <w:i/>
          <w:iCs/>
          <w:sz w:val="20"/>
          <w:szCs w:val="20"/>
        </w:rPr>
        <w:t>Abs. </w:t>
      </w:r>
      <w:r w:rsidR="00B04FF4" w:rsidRPr="009118AB">
        <w:rPr>
          <w:i/>
          <w:iCs/>
          <w:sz w:val="20"/>
          <w:szCs w:val="20"/>
        </w:rPr>
        <w:t xml:space="preserve">1 </w:t>
      </w:r>
      <w:r w:rsidR="00D67EB8" w:rsidRPr="009118AB">
        <w:rPr>
          <w:i/>
          <w:iCs/>
          <w:sz w:val="20"/>
          <w:szCs w:val="20"/>
        </w:rPr>
        <w:t>Nr. </w:t>
      </w:r>
      <w:r w:rsidR="00B04FF4" w:rsidRPr="009118AB">
        <w:rPr>
          <w:i/>
          <w:iCs/>
          <w:sz w:val="20"/>
          <w:szCs w:val="20"/>
        </w:rPr>
        <w:t xml:space="preserve">7 eingefügt durch </w:t>
      </w:r>
      <w:r w:rsidR="00D67EB8" w:rsidRPr="009118AB">
        <w:rPr>
          <w:i/>
          <w:iCs/>
          <w:sz w:val="20"/>
          <w:szCs w:val="20"/>
        </w:rPr>
        <w:t>Art. </w:t>
      </w:r>
      <w:r w:rsidR="00B04FF4" w:rsidRPr="009118AB">
        <w:rPr>
          <w:i/>
          <w:iCs/>
          <w:sz w:val="20"/>
          <w:szCs w:val="20"/>
        </w:rPr>
        <w:t>71 Buchstabe b) des G. vom 25. Dezember 2016 (I) (B.S. vom 29. Dezember 2016)</w:t>
      </w:r>
      <w:r w:rsidR="00D67EB8" w:rsidRPr="009118AB">
        <w:rPr>
          <w:i/>
          <w:iCs/>
          <w:sz w:val="20"/>
          <w:szCs w:val="20"/>
        </w:rPr>
        <w:t> - </w:t>
      </w:r>
      <w:r w:rsidR="00B04FF4" w:rsidRPr="009118AB">
        <w:rPr>
          <w:i/>
          <w:iCs/>
          <w:sz w:val="20"/>
          <w:szCs w:val="20"/>
        </w:rPr>
        <w:t>in Kraft und anwendbar ab dem 1. Januar 2017</w:t>
      </w:r>
      <w:r w:rsidR="00D67EB8" w:rsidRPr="009118AB">
        <w:rPr>
          <w:i/>
          <w:iCs/>
          <w:sz w:val="20"/>
          <w:szCs w:val="20"/>
        </w:rPr>
        <w:t> - </w:t>
      </w:r>
      <w:r w:rsidR="00B04FF4" w:rsidRPr="009118AB">
        <w:rPr>
          <w:i/>
          <w:iCs/>
          <w:sz w:val="20"/>
          <w:szCs w:val="20"/>
        </w:rPr>
        <w:t xml:space="preserve">und abgeändert durch </w:t>
      </w:r>
      <w:r w:rsidR="00D67EB8" w:rsidRPr="009118AB">
        <w:rPr>
          <w:i/>
          <w:iCs/>
          <w:sz w:val="20"/>
          <w:szCs w:val="20"/>
        </w:rPr>
        <w:t>Art. </w:t>
      </w:r>
      <w:r w:rsidR="00B04FF4" w:rsidRPr="009118AB">
        <w:rPr>
          <w:i/>
          <w:iCs/>
          <w:sz w:val="20"/>
          <w:szCs w:val="20"/>
        </w:rPr>
        <w:t xml:space="preserve">63 </w:t>
      </w:r>
      <w:r w:rsidR="00D67EB8" w:rsidRPr="009118AB">
        <w:rPr>
          <w:i/>
          <w:iCs/>
          <w:sz w:val="20"/>
          <w:szCs w:val="20"/>
        </w:rPr>
        <w:t>Nr. </w:t>
      </w:r>
      <w:r w:rsidR="00B04FF4" w:rsidRPr="009118AB">
        <w:rPr>
          <w:i/>
          <w:iCs/>
          <w:sz w:val="20"/>
          <w:szCs w:val="20"/>
        </w:rPr>
        <w:t>2 des G. vom 25. Dezember 2017 (III) (B.S. vom 29. Dezember 2017)</w:t>
      </w:r>
      <w:r w:rsidR="00D67EB8" w:rsidRPr="009118AB">
        <w:rPr>
          <w:i/>
          <w:iCs/>
          <w:sz w:val="20"/>
          <w:szCs w:val="20"/>
        </w:rPr>
        <w:t> - </w:t>
      </w:r>
      <w:r w:rsidR="00B04FF4" w:rsidRPr="009118AB">
        <w:rPr>
          <w:i/>
          <w:iCs/>
          <w:sz w:val="20"/>
          <w:szCs w:val="20"/>
        </w:rPr>
        <w:t>in Kraft am 1. Januar 2020 und anwendbar ab dem Steuerjahr 2021, das sich auf einen Besteuerungszeitraum bezieht, der frühestens am 1. Januar 2020 beginnt</w:t>
      </w:r>
      <w:r w:rsidR="003366D9" w:rsidRPr="009118AB">
        <w:rPr>
          <w:i/>
          <w:iCs/>
          <w:sz w:val="20"/>
          <w:szCs w:val="20"/>
        </w:rPr>
        <w:t> -;</w:t>
      </w:r>
      <w:r w:rsidR="00B04FF4" w:rsidRPr="009118AB">
        <w:rPr>
          <w:i/>
          <w:iCs/>
          <w:sz w:val="20"/>
          <w:szCs w:val="20"/>
        </w:rPr>
        <w:t xml:space="preserve"> </w:t>
      </w:r>
      <w:r w:rsidR="00D67EB8" w:rsidRPr="009118AB">
        <w:rPr>
          <w:i/>
          <w:iCs/>
          <w:sz w:val="20"/>
          <w:szCs w:val="20"/>
        </w:rPr>
        <w:t>Abs. </w:t>
      </w:r>
      <w:r w:rsidR="00B04FF4" w:rsidRPr="009118AB">
        <w:rPr>
          <w:i/>
          <w:iCs/>
          <w:sz w:val="20"/>
          <w:szCs w:val="20"/>
        </w:rPr>
        <w:t xml:space="preserve">1 </w:t>
      </w:r>
      <w:r w:rsidR="00B04FF4" w:rsidRPr="009118AB">
        <w:rPr>
          <w:i/>
          <w:iCs/>
          <w:spacing w:val="-2"/>
          <w:sz w:val="20"/>
          <w:szCs w:val="20"/>
        </w:rPr>
        <w:t>frühere Nummer</w:t>
      </w:r>
      <w:r w:rsidR="00B04FF4" w:rsidRPr="009118AB">
        <w:rPr>
          <w:i/>
          <w:iCs/>
          <w:sz w:val="20"/>
          <w:szCs w:val="20"/>
        </w:rPr>
        <w:t xml:space="preserve"> 7bis eingefügt durch </w:t>
      </w:r>
      <w:r w:rsidR="00D67EB8" w:rsidRPr="009118AB">
        <w:rPr>
          <w:i/>
          <w:iCs/>
          <w:sz w:val="20"/>
          <w:szCs w:val="20"/>
        </w:rPr>
        <w:t>Art. </w:t>
      </w:r>
      <w:r w:rsidR="00B04FF4" w:rsidRPr="009118AB">
        <w:rPr>
          <w:i/>
          <w:iCs/>
          <w:sz w:val="20"/>
          <w:szCs w:val="20"/>
        </w:rPr>
        <w:t xml:space="preserve">33 </w:t>
      </w:r>
      <w:r w:rsidR="00D67EB8" w:rsidRPr="009118AB">
        <w:rPr>
          <w:i/>
          <w:iCs/>
          <w:sz w:val="20"/>
          <w:szCs w:val="20"/>
        </w:rPr>
        <w:t>Nr. </w:t>
      </w:r>
      <w:r w:rsidR="00B04FF4" w:rsidRPr="009118AB">
        <w:rPr>
          <w:i/>
          <w:iCs/>
          <w:sz w:val="20"/>
          <w:szCs w:val="20"/>
        </w:rPr>
        <w:t>2 des G. vom 30. März 2018 (B.S. vom 7. Mai 2018)</w:t>
      </w:r>
      <w:r w:rsidR="00D67EB8" w:rsidRPr="009118AB">
        <w:rPr>
          <w:i/>
          <w:iCs/>
          <w:sz w:val="20"/>
          <w:szCs w:val="20"/>
        </w:rPr>
        <w:t> - </w:t>
      </w:r>
      <w:r w:rsidR="00B04FF4" w:rsidRPr="009118AB">
        <w:rPr>
          <w:i/>
          <w:iCs/>
          <w:sz w:val="20"/>
          <w:szCs w:val="20"/>
        </w:rPr>
        <w:t>in Kraft am 1. Januar 2018</w:t>
      </w:r>
      <w:r w:rsidR="00FD68E8" w:rsidRPr="009118AB">
        <w:rPr>
          <w:i/>
          <w:iCs/>
          <w:sz w:val="20"/>
          <w:szCs w:val="20"/>
        </w:rPr>
        <w:t> -,</w:t>
      </w:r>
      <w:r w:rsidR="00B04FF4" w:rsidRPr="009118AB">
        <w:rPr>
          <w:i/>
          <w:iCs/>
          <w:sz w:val="20"/>
          <w:szCs w:val="20"/>
        </w:rPr>
        <w:t xml:space="preserve"> selbst für nichtig erklärt durch Entscheid </w:t>
      </w:r>
      <w:r w:rsidR="00D67EB8" w:rsidRPr="009118AB">
        <w:rPr>
          <w:i/>
          <w:iCs/>
          <w:sz w:val="20"/>
          <w:szCs w:val="20"/>
        </w:rPr>
        <w:t>Nr. </w:t>
      </w:r>
      <w:r w:rsidR="00B04FF4" w:rsidRPr="009118AB">
        <w:rPr>
          <w:i/>
          <w:iCs/>
          <w:sz w:val="20"/>
          <w:szCs w:val="20"/>
        </w:rPr>
        <w:t>11/2020 des Verfassungsgerichtshofes vom 23. Januar 2020 (B.S. vom 24. Februar 2020);</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8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1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9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2 des G. vom 25. November 2021 (B.S. vom 3. Dezember 2021)</w:t>
      </w:r>
      <w:r w:rsidR="00D67EB8" w:rsidRPr="009118AB">
        <w:rPr>
          <w:i/>
          <w:iCs/>
          <w:sz w:val="20"/>
          <w:szCs w:val="20"/>
        </w:rPr>
        <w:t> - </w:t>
      </w:r>
      <w:r w:rsidRPr="009118AB">
        <w:rPr>
          <w:i/>
          <w:iCs/>
          <w:sz w:val="20"/>
          <w:szCs w:val="20"/>
        </w:rPr>
        <w:t>in Kraft am 1. Januar 2027</w:t>
      </w:r>
      <w:r w:rsidR="00D67EB8" w:rsidRPr="009118AB">
        <w:rPr>
          <w:i/>
          <w:iCs/>
          <w:sz w:val="20"/>
          <w:szCs w:val="20"/>
        </w:rPr>
        <w:t> - </w:t>
      </w:r>
      <w:r w:rsidRPr="009118AB">
        <w:rPr>
          <w:i/>
          <w:iCs/>
          <w:sz w:val="20"/>
          <w:szCs w:val="20"/>
        </w:rPr>
        <w:t xml:space="preserve">und ersetzt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9 einziger Absatz dritter Gedankenstrich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4</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2029</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9 einziger Absatz vierter Gedankenstrich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2030</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w:t>
      </w:r>
      <w:r w:rsidR="00D67EB8" w:rsidRPr="009118AB">
        <w:rPr>
          <w:i/>
          <w:iCs/>
          <w:sz w:val="20"/>
          <w:szCs w:val="20"/>
        </w:rPr>
        <w:t>Nr. </w:t>
      </w:r>
      <w:r w:rsidRPr="009118AB">
        <w:rPr>
          <w:i/>
          <w:iCs/>
          <w:sz w:val="20"/>
          <w:szCs w:val="20"/>
        </w:rPr>
        <w:t xml:space="preserve">9 einziger Absatz fünfter Gedankenstrich eingefügt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6</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2031</w:t>
      </w:r>
      <w:r w:rsidR="003366D9" w:rsidRPr="009118AB">
        <w:rPr>
          <w:i/>
          <w:iCs/>
          <w:sz w:val="20"/>
          <w:szCs w:val="20"/>
        </w:rPr>
        <w:t> -;</w:t>
      </w:r>
      <w:r w:rsidRPr="009118AB">
        <w:rPr>
          <w:i/>
          <w:iCs/>
          <w:sz w:val="20"/>
          <w:szCs w:val="20"/>
        </w:rPr>
        <w:t xml:space="preserve"> </w:t>
      </w:r>
      <w:r w:rsidR="00D67EB8" w:rsidRPr="009118AB">
        <w:rPr>
          <w:i/>
          <w:iCs/>
          <w:sz w:val="20"/>
          <w:szCs w:val="20"/>
        </w:rPr>
        <w:t>Abs. </w:t>
      </w:r>
      <w:r w:rsidR="00395EAB" w:rsidRPr="009118AB">
        <w:rPr>
          <w:i/>
          <w:iCs/>
          <w:sz w:val="20"/>
          <w:szCs w:val="20"/>
        </w:rPr>
        <w:t xml:space="preserve">1 </w:t>
      </w:r>
      <w:r w:rsidR="00D67EB8" w:rsidRPr="009118AB">
        <w:rPr>
          <w:i/>
          <w:iCs/>
          <w:sz w:val="20"/>
          <w:szCs w:val="20"/>
        </w:rPr>
        <w:t>Nr. </w:t>
      </w:r>
      <w:r w:rsidR="00395EAB" w:rsidRPr="009118AB">
        <w:rPr>
          <w:i/>
          <w:iCs/>
          <w:sz w:val="20"/>
          <w:szCs w:val="20"/>
        </w:rPr>
        <w:t xml:space="preserve">10 eingefügt durch </w:t>
      </w:r>
      <w:r w:rsidR="00D67EB8" w:rsidRPr="009118AB">
        <w:rPr>
          <w:i/>
          <w:iCs/>
          <w:sz w:val="20"/>
          <w:szCs w:val="20"/>
        </w:rPr>
        <w:t>Art. </w:t>
      </w:r>
      <w:r w:rsidR="00395EAB" w:rsidRPr="009118AB">
        <w:rPr>
          <w:i/>
          <w:iCs/>
          <w:sz w:val="20"/>
          <w:szCs w:val="20"/>
        </w:rPr>
        <w:t>9 des G. vom 27. Dezember 2021 (B.S. vom 31. Dezember 2021)</w:t>
      </w:r>
      <w:r w:rsidR="00D67EB8" w:rsidRPr="009118AB">
        <w:rPr>
          <w:i/>
          <w:iCs/>
          <w:sz w:val="20"/>
          <w:szCs w:val="20"/>
        </w:rPr>
        <w:t> - </w:t>
      </w:r>
      <w:r w:rsidR="00395EAB" w:rsidRPr="009118AB">
        <w:rPr>
          <w:i/>
          <w:iCs/>
          <w:sz w:val="20"/>
          <w:szCs w:val="20"/>
        </w:rPr>
        <w:t>anwendbar ab dem 1. Januar 2022</w:t>
      </w:r>
      <w:r w:rsidR="003366D9" w:rsidRPr="009118AB">
        <w:rPr>
          <w:i/>
          <w:iCs/>
          <w:sz w:val="20"/>
          <w:szCs w:val="20"/>
        </w:rPr>
        <w:t> -;</w:t>
      </w:r>
      <w:r w:rsidR="00395EAB" w:rsidRPr="009118AB">
        <w:rPr>
          <w:i/>
          <w:iCs/>
          <w:sz w:val="20"/>
          <w:szCs w:val="20"/>
        </w:rPr>
        <w:t xml:space="preserve"> </w:t>
      </w:r>
      <w:r w:rsidR="00D67EB8" w:rsidRPr="009118AB">
        <w:rPr>
          <w:bCs/>
          <w:i/>
          <w:iCs/>
          <w:sz w:val="20"/>
          <w:szCs w:val="20"/>
        </w:rPr>
        <w:t>Abs. </w:t>
      </w:r>
      <w:r w:rsidRPr="009118AB">
        <w:rPr>
          <w:bCs/>
          <w:i/>
          <w:iCs/>
          <w:sz w:val="20"/>
          <w:szCs w:val="20"/>
        </w:rPr>
        <w:t xml:space="preserve">2 eingefügt durch </w:t>
      </w:r>
      <w:r w:rsidR="00D67EB8" w:rsidRPr="009118AB">
        <w:rPr>
          <w:bCs/>
          <w:i/>
          <w:iCs/>
          <w:sz w:val="20"/>
          <w:szCs w:val="20"/>
        </w:rPr>
        <w:t>Art. </w:t>
      </w:r>
      <w:r w:rsidRPr="009118AB">
        <w:rPr>
          <w:bCs/>
          <w:i/>
          <w:iCs/>
          <w:sz w:val="20"/>
          <w:szCs w:val="20"/>
        </w:rPr>
        <w:t xml:space="preserve">179 </w:t>
      </w:r>
      <w:r w:rsidR="00D67EB8" w:rsidRPr="009118AB">
        <w:rPr>
          <w:bCs/>
          <w:i/>
          <w:iCs/>
          <w:sz w:val="20"/>
          <w:szCs w:val="20"/>
        </w:rPr>
        <w:t>Nr. </w:t>
      </w:r>
      <w:r w:rsidRPr="009118AB">
        <w:rPr>
          <w:bCs/>
          <w:i/>
          <w:iCs/>
          <w:sz w:val="20"/>
          <w:szCs w:val="20"/>
        </w:rPr>
        <w:t>9 des G. vom 27. Dezember 2005 (II) (B.S. vom 30. Dezember 2005)</w:t>
      </w:r>
      <w:r w:rsidR="00D67EB8" w:rsidRPr="009118AB">
        <w:rPr>
          <w:bCs/>
          <w:i/>
          <w:iCs/>
          <w:sz w:val="20"/>
          <w:szCs w:val="20"/>
        </w:rPr>
        <w:t> - </w:t>
      </w:r>
      <w:r w:rsidRPr="009118AB">
        <w:rPr>
          <w:bCs/>
          <w:i/>
          <w:iCs/>
          <w:sz w:val="20"/>
          <w:szCs w:val="20"/>
        </w:rPr>
        <w:t>anwendbar auf die ab dem 1. Januar 2006 gezahlten Prämien und Beiträge</w:t>
      </w:r>
      <w:r w:rsidR="003366D9" w:rsidRPr="009118AB">
        <w:rPr>
          <w:bCs/>
          <w:i/>
          <w:iCs/>
          <w:sz w:val="20"/>
          <w:szCs w:val="20"/>
        </w:rPr>
        <w:t> -;</w:t>
      </w:r>
      <w:r w:rsidRPr="009118AB">
        <w:rPr>
          <w:bCs/>
          <w:i/>
          <w:iCs/>
          <w:sz w:val="20"/>
          <w:szCs w:val="20"/>
        </w:rPr>
        <w:t xml:space="preserve"> </w:t>
      </w:r>
      <w:r w:rsidR="00D67EB8" w:rsidRPr="009118AB">
        <w:rPr>
          <w:bCs/>
          <w:i/>
          <w:iCs/>
          <w:sz w:val="20"/>
          <w:szCs w:val="20"/>
        </w:rPr>
        <w:t>Abs. </w:t>
      </w:r>
      <w:r w:rsidRPr="009118AB">
        <w:rPr>
          <w:bCs/>
          <w:i/>
          <w:iCs/>
          <w:sz w:val="20"/>
          <w:szCs w:val="20"/>
        </w:rPr>
        <w:t xml:space="preserve">3 eingefügt durch </w:t>
      </w:r>
      <w:r w:rsidR="00D67EB8" w:rsidRPr="009118AB">
        <w:rPr>
          <w:bCs/>
          <w:i/>
          <w:iCs/>
          <w:sz w:val="20"/>
          <w:szCs w:val="20"/>
        </w:rPr>
        <w:t>Art. </w:t>
      </w:r>
      <w:r w:rsidRPr="009118AB">
        <w:rPr>
          <w:bCs/>
          <w:i/>
          <w:iCs/>
          <w:sz w:val="20"/>
          <w:szCs w:val="20"/>
        </w:rPr>
        <w:t xml:space="preserve">8 </w:t>
      </w:r>
      <w:r w:rsidR="00D67EB8" w:rsidRPr="009118AB">
        <w:rPr>
          <w:bCs/>
          <w:i/>
          <w:iCs/>
          <w:sz w:val="20"/>
          <w:szCs w:val="20"/>
        </w:rPr>
        <w:t>Nr. </w:t>
      </w:r>
      <w:r w:rsidRPr="009118AB">
        <w:rPr>
          <w:bCs/>
          <w:i/>
          <w:iCs/>
          <w:sz w:val="20"/>
          <w:szCs w:val="20"/>
        </w:rPr>
        <w:t>7</w:t>
      </w:r>
      <w:r w:rsidRPr="009118AB">
        <w:rPr>
          <w:i/>
          <w:iCs/>
          <w:sz w:val="20"/>
          <w:szCs w:val="20"/>
        </w:rPr>
        <w:t xml:space="preserve"> 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 xml:space="preserve">8 </w:t>
      </w:r>
      <w:r w:rsidR="00D67EB8" w:rsidRPr="009118AB">
        <w:rPr>
          <w:i/>
          <w:iCs/>
          <w:sz w:val="20"/>
          <w:szCs w:val="20"/>
        </w:rPr>
        <w:t>Nr. </w:t>
      </w:r>
      <w:r w:rsidRPr="009118AB">
        <w:rPr>
          <w:i/>
          <w:iCs/>
          <w:sz w:val="20"/>
          <w:szCs w:val="20"/>
        </w:rPr>
        <w:t>8 des G. vom 25. November 2021 (B.S. vom 3. Dezember 2021)</w:t>
      </w:r>
      <w:r w:rsidR="00D67EB8" w:rsidRPr="009118AB">
        <w:rPr>
          <w:i/>
          <w:iCs/>
          <w:sz w:val="20"/>
          <w:szCs w:val="20"/>
        </w:rPr>
        <w:t> - </w:t>
      </w:r>
      <w:r w:rsidRPr="009118AB">
        <w:rPr>
          <w:i/>
          <w:iCs/>
          <w:sz w:val="20"/>
          <w:szCs w:val="20"/>
        </w:rPr>
        <w:t>in Kraft am 1. Januar 2027</w:t>
      </w:r>
      <w:r w:rsidR="00FD68E8" w:rsidRPr="009118AB">
        <w:rPr>
          <w:i/>
          <w:iCs/>
          <w:sz w:val="20"/>
          <w:szCs w:val="20"/>
        </w:rPr>
        <w:t> -]</w:t>
      </w:r>
      <w:r w:rsidRPr="009118AB">
        <w:rPr>
          <w:bCs/>
          <w:sz w:val="20"/>
          <w:szCs w:val="20"/>
        </w:rPr>
        <w:t>"</w:t>
      </w:r>
    </w:p>
    <w:p w14:paraId="333847E0" w14:textId="77777777" w:rsidR="005930CE" w:rsidRPr="009118AB" w:rsidRDefault="005930CE" w:rsidP="00AE2DCB">
      <w:pPr>
        <w:autoSpaceDE w:val="0"/>
        <w:autoSpaceDN w:val="0"/>
        <w:adjustRightInd w:val="0"/>
        <w:jc w:val="both"/>
        <w:rPr>
          <w:bCs/>
          <w:sz w:val="20"/>
          <w:szCs w:val="20"/>
        </w:rPr>
      </w:pPr>
    </w:p>
    <w:p w14:paraId="44BC8CB6" w14:textId="6D6FE02C" w:rsidR="00D14984" w:rsidRPr="009118AB" w:rsidRDefault="00D14984" w:rsidP="00D14984">
      <w:pPr>
        <w:autoSpaceDE w:val="0"/>
        <w:autoSpaceDN w:val="0"/>
        <w:adjustRightInd w:val="0"/>
        <w:jc w:val="both"/>
        <w:rPr>
          <w:bCs/>
          <w:spacing w:val="-2"/>
        </w:rPr>
      </w:pPr>
    </w:p>
    <w:p w14:paraId="7C0CBD40" w14:textId="4216CD8E" w:rsidR="00477B8F" w:rsidRPr="009118AB" w:rsidRDefault="00477B8F" w:rsidP="00936841">
      <w:pPr>
        <w:autoSpaceDE w:val="0"/>
        <w:autoSpaceDN w:val="0"/>
        <w:adjustRightInd w:val="0"/>
        <w:jc w:val="center"/>
      </w:pPr>
      <w:r w:rsidRPr="009118AB">
        <w:br w:type="page"/>
      </w:r>
      <w:r w:rsidRPr="009118AB">
        <w:rPr>
          <w:i/>
          <w:iCs/>
        </w:rPr>
        <w:lastRenderedPageBreak/>
        <w:t>Abschnitt </w:t>
      </w:r>
      <w:r w:rsidR="00D74862" w:rsidRPr="009118AB">
        <w:rPr>
          <w:i/>
          <w:iCs/>
        </w:rPr>
        <w:t>2</w:t>
      </w:r>
      <w:r w:rsidR="00D67EB8" w:rsidRPr="009118AB">
        <w:t> - </w:t>
      </w:r>
      <w:r w:rsidRPr="009118AB">
        <w:t>Festlegung des Nettobetrags der globalisierbaren Einkünfte</w:t>
      </w:r>
    </w:p>
    <w:p w14:paraId="0FC52A47" w14:textId="77777777" w:rsidR="00477B8F" w:rsidRPr="009118AB" w:rsidRDefault="00477B8F" w:rsidP="00477B8F">
      <w:pPr>
        <w:autoSpaceDE w:val="0"/>
        <w:autoSpaceDN w:val="0"/>
        <w:adjustRightInd w:val="0"/>
        <w:jc w:val="center"/>
      </w:pPr>
    </w:p>
    <w:p w14:paraId="19F39A2C" w14:textId="77777777" w:rsidR="00477B8F" w:rsidRPr="009118AB" w:rsidRDefault="00477B8F" w:rsidP="00477B8F">
      <w:pPr>
        <w:autoSpaceDE w:val="0"/>
        <w:autoSpaceDN w:val="0"/>
        <w:adjustRightInd w:val="0"/>
        <w:jc w:val="center"/>
      </w:pPr>
    </w:p>
    <w:p w14:paraId="316E3C30" w14:textId="30F17891" w:rsidR="00936841" w:rsidRPr="009118AB" w:rsidRDefault="00477B8F" w:rsidP="00936841">
      <w:pPr>
        <w:autoSpaceDE w:val="0"/>
        <w:autoSpaceDN w:val="0"/>
        <w:adjustRightInd w:val="0"/>
        <w:jc w:val="both"/>
        <w:rPr>
          <w:iCs/>
        </w:rPr>
      </w:pPr>
      <w:r w:rsidRPr="009118AB">
        <w:tab/>
      </w:r>
      <w:r w:rsidR="00D67EB8" w:rsidRPr="009118AB">
        <w:rPr>
          <w:b/>
          <w:bCs/>
        </w:rPr>
        <w:t>Art. </w:t>
      </w:r>
      <w:r w:rsidRPr="009118AB">
        <w:rPr>
          <w:b/>
          <w:bCs/>
        </w:rPr>
        <w:t>235</w:t>
      </w:r>
      <w:r w:rsidR="00D67EB8" w:rsidRPr="009118AB">
        <w:t> - </w:t>
      </w:r>
      <w:r w:rsidR="00936841" w:rsidRPr="009118AB">
        <w:rPr>
          <w:iCs/>
        </w:rPr>
        <w:t>Vorbehaltlich der in den Artikeln [236 bis 240</w:t>
      </w:r>
      <w:r w:rsidR="00936841" w:rsidRPr="009118AB">
        <w:rPr>
          <w:i/>
          <w:iCs/>
        </w:rPr>
        <w:t>bis</w:t>
      </w:r>
      <w:r w:rsidR="00936841" w:rsidRPr="009118AB">
        <w:rPr>
          <w:iCs/>
        </w:rPr>
        <w:t>] vorgesehenen Bestimmungen wird der Nettobetrag der steuerpflichtigen Einkünfte gemäß den Regeln festgelegt, die anwendbar sind:</w:t>
      </w:r>
    </w:p>
    <w:p w14:paraId="6D07CBBC" w14:textId="77777777" w:rsidR="00936841" w:rsidRPr="009118AB" w:rsidRDefault="00936841" w:rsidP="00936841">
      <w:pPr>
        <w:autoSpaceDE w:val="0"/>
        <w:autoSpaceDN w:val="0"/>
        <w:adjustRightInd w:val="0"/>
        <w:jc w:val="both"/>
        <w:rPr>
          <w:iCs/>
        </w:rPr>
      </w:pPr>
    </w:p>
    <w:p w14:paraId="5F1FE461" w14:textId="6A423407" w:rsidR="00936841" w:rsidRPr="009118AB" w:rsidRDefault="00936841" w:rsidP="00496BAA">
      <w:pPr>
        <w:autoSpaceDE w:val="0"/>
        <w:autoSpaceDN w:val="0"/>
        <w:adjustRightInd w:val="0"/>
        <w:ind w:firstLine="709"/>
        <w:jc w:val="both"/>
        <w:rPr>
          <w:iCs/>
        </w:rPr>
      </w:pPr>
      <w:r w:rsidRPr="009118AB">
        <w:rPr>
          <w:iCs/>
        </w:rPr>
        <w:t xml:space="preserve">1. [auf die Steuer der natürlichen Personen für die in Artikel 227 </w:t>
      </w:r>
      <w:r w:rsidR="00D67EB8" w:rsidRPr="009118AB">
        <w:rPr>
          <w:iCs/>
        </w:rPr>
        <w:t>Nr. </w:t>
      </w:r>
      <w:r w:rsidRPr="009118AB">
        <w:rPr>
          <w:iCs/>
        </w:rPr>
        <w:t xml:space="preserve">1 erwähnten Steuerpflichtigen, so wie diese Regeln </w:t>
      </w:r>
      <w:r w:rsidR="00EA2D14" w:rsidRPr="009118AB">
        <w:rPr>
          <w:iCs/>
        </w:rPr>
        <w:t xml:space="preserve">[in den Artikeln 7 bis 103 und 129/1] </w:t>
      </w:r>
      <w:r w:rsidRPr="009118AB">
        <w:rPr>
          <w:iCs/>
        </w:rPr>
        <w:t>erwähnt sind,]</w:t>
      </w:r>
    </w:p>
    <w:p w14:paraId="65894B75" w14:textId="77777777" w:rsidR="00936841" w:rsidRPr="009118AB" w:rsidRDefault="00936841" w:rsidP="00936841">
      <w:pPr>
        <w:autoSpaceDE w:val="0"/>
        <w:autoSpaceDN w:val="0"/>
        <w:adjustRightInd w:val="0"/>
        <w:jc w:val="both"/>
        <w:rPr>
          <w:iCs/>
        </w:rPr>
      </w:pPr>
    </w:p>
    <w:p w14:paraId="5F20A8C2" w14:textId="590FA104" w:rsidR="00936841" w:rsidRPr="009118AB" w:rsidRDefault="00936841" w:rsidP="00496BAA">
      <w:pPr>
        <w:autoSpaceDE w:val="0"/>
        <w:autoSpaceDN w:val="0"/>
        <w:adjustRightInd w:val="0"/>
        <w:ind w:firstLine="709"/>
        <w:jc w:val="both"/>
        <w:rPr>
          <w:iCs/>
        </w:rPr>
      </w:pPr>
      <w:r w:rsidRPr="009118AB">
        <w:rPr>
          <w:iCs/>
        </w:rPr>
        <w:t xml:space="preserve">2. auf die Gesellschaftssteuer für die in Artikel 227 </w:t>
      </w:r>
      <w:r w:rsidR="00D67EB8" w:rsidRPr="009118AB">
        <w:rPr>
          <w:iCs/>
        </w:rPr>
        <w:t>Nr. </w:t>
      </w:r>
      <w:r w:rsidRPr="009118AB">
        <w:rPr>
          <w:iCs/>
        </w:rPr>
        <w:t xml:space="preserve">2 erwähnten Steuerpflichtigen, so wie diese Regeln [in den Artikeln 183, </w:t>
      </w:r>
      <w:r w:rsidR="003B3AE3" w:rsidRPr="009118AB">
        <w:rPr>
          <w:iCs/>
        </w:rPr>
        <w:t>[</w:t>
      </w:r>
      <w:r w:rsidR="003B3AE3" w:rsidRPr="009118AB">
        <w:t>185 §</w:t>
      </w:r>
      <w:r w:rsidR="00D67EB8" w:rsidRPr="009118AB">
        <w:t>§ </w:t>
      </w:r>
      <w:r w:rsidR="003B3AE3" w:rsidRPr="009118AB">
        <w:t>2 und 5, 185</w:t>
      </w:r>
      <w:r w:rsidR="003B3AE3" w:rsidRPr="009118AB">
        <w:rPr>
          <w:i/>
          <w:iCs/>
        </w:rPr>
        <w:t>quater</w:t>
      </w:r>
      <w:r w:rsidR="003B3AE3" w:rsidRPr="009118AB">
        <w:t>, 185</w:t>
      </w:r>
      <w:r w:rsidR="003B3AE3" w:rsidRPr="009118AB">
        <w:rPr>
          <w:i/>
          <w:iCs/>
        </w:rPr>
        <w:t>quinquies</w:t>
      </w:r>
      <w:r w:rsidR="003B3AE3" w:rsidRPr="009118AB">
        <w:rPr>
          <w:iCs/>
        </w:rPr>
        <w:t>]</w:t>
      </w:r>
      <w:r w:rsidRPr="009118AB">
        <w:rPr>
          <w:iCs/>
        </w:rPr>
        <w:t xml:space="preserve"> und 190 bis 208] erwähnt sind,</w:t>
      </w:r>
    </w:p>
    <w:p w14:paraId="02F711D7" w14:textId="77777777" w:rsidR="00936841" w:rsidRPr="009118AB" w:rsidRDefault="00496BAA" w:rsidP="00936841">
      <w:pPr>
        <w:autoSpaceDE w:val="0"/>
        <w:autoSpaceDN w:val="0"/>
        <w:adjustRightInd w:val="0"/>
        <w:jc w:val="both"/>
        <w:rPr>
          <w:iCs/>
        </w:rPr>
      </w:pPr>
      <w:r w:rsidRPr="009118AB">
        <w:rPr>
          <w:iCs/>
        </w:rPr>
        <w:tab/>
      </w:r>
    </w:p>
    <w:p w14:paraId="5B742624" w14:textId="1F509652" w:rsidR="00936841" w:rsidRPr="009118AB" w:rsidRDefault="00936841" w:rsidP="00496BAA">
      <w:pPr>
        <w:autoSpaceDE w:val="0"/>
        <w:autoSpaceDN w:val="0"/>
        <w:adjustRightInd w:val="0"/>
        <w:ind w:firstLine="709"/>
        <w:jc w:val="both"/>
        <w:rPr>
          <w:iCs/>
        </w:rPr>
      </w:pPr>
      <w:r w:rsidRPr="009118AB">
        <w:rPr>
          <w:iCs/>
        </w:rPr>
        <w:t xml:space="preserve">3. auf die Steuer der juristischen Personen für die in Artikel 227 </w:t>
      </w:r>
      <w:r w:rsidR="00D67EB8" w:rsidRPr="009118AB">
        <w:rPr>
          <w:iCs/>
        </w:rPr>
        <w:t>Nr. </w:t>
      </w:r>
      <w:r w:rsidRPr="009118AB">
        <w:rPr>
          <w:iCs/>
        </w:rPr>
        <w:t>3 erwähnten Steuerpflichtigen, so wie diese Regeln in den Artikeln 221 bis 223 erwähnt sind.</w:t>
      </w:r>
    </w:p>
    <w:p w14:paraId="11E82666" w14:textId="77777777" w:rsidR="00936841" w:rsidRPr="009118AB" w:rsidRDefault="00936841" w:rsidP="00936841">
      <w:pPr>
        <w:autoSpaceDE w:val="0"/>
        <w:autoSpaceDN w:val="0"/>
        <w:adjustRightInd w:val="0"/>
        <w:jc w:val="both"/>
        <w:rPr>
          <w:iCs/>
        </w:rPr>
      </w:pPr>
    </w:p>
    <w:p w14:paraId="1215D014" w14:textId="790BB759" w:rsidR="00936841" w:rsidRPr="009118AB" w:rsidRDefault="00936841" w:rsidP="00936841">
      <w:pPr>
        <w:autoSpaceDE w:val="0"/>
        <w:autoSpaceDN w:val="0"/>
        <w:adjustRightInd w:val="0"/>
        <w:jc w:val="both"/>
        <w:rPr>
          <w:iCs/>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235 einziger Absatz einleitende Bestimmung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28 des G. vom 11. Dezember 2008 (B.S. vom 12. Januar 2009)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Vorgänge oder Verlegungen, die ab dem 12. Januar 2009 statt</w:t>
      </w:r>
      <w:r w:rsidRPr="009118AB">
        <w:rPr>
          <w:rFonts w:ascii="Times New Roman Italique" w:hAnsi="Times New Roman Italique"/>
          <w:i/>
          <w:iCs/>
          <w:spacing w:val="-2"/>
        </w:rPr>
        <w:softHyphen/>
        <w:t>finden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1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404 des G. vom 27. Dezember 2004 (B.S. vom 31. Dezember 2004)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2006</w:t>
      </w:r>
      <w:r w:rsidR="00D67EB8" w:rsidRPr="009118AB">
        <w:rPr>
          <w:rFonts w:ascii="Times New Roman Italique" w:hAnsi="Times New Roman Italique"/>
          <w:i/>
          <w:iCs/>
          <w:spacing w:val="-2"/>
        </w:rPr>
        <w:t> - </w:t>
      </w:r>
      <w:r w:rsidR="00EA2D14"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EA2D14" w:rsidRPr="009118AB">
        <w:rPr>
          <w:rFonts w:ascii="Times New Roman Italique" w:hAnsi="Times New Roman Italique"/>
          <w:i/>
          <w:iCs/>
          <w:spacing w:val="-2"/>
        </w:rPr>
        <w:t>122 des G. vom 25. Dezember 2017 (IV)</w:t>
      </w:r>
      <w:r w:rsidR="004F7F42" w:rsidRPr="009118AB">
        <w:rPr>
          <w:rFonts w:ascii="Times New Roman Italique" w:hAnsi="Times New Roman Italique"/>
          <w:i/>
          <w:iCs/>
          <w:spacing w:val="-2"/>
        </w:rPr>
        <w:t xml:space="preserve"> (B.S. vom 29. Dezember 2017)</w:t>
      </w:r>
      <w:r w:rsidR="00D67EB8" w:rsidRPr="009118AB">
        <w:rPr>
          <w:rFonts w:ascii="Times New Roman Italique" w:hAnsi="Times New Roman Italique"/>
          <w:i/>
          <w:iCs/>
          <w:spacing w:val="-2"/>
        </w:rPr>
        <w:t> - </w:t>
      </w:r>
      <w:r w:rsidR="00EA2D14"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 des G.</w:t>
      </w:r>
      <w:r w:rsidRPr="009118AB">
        <w:rPr>
          <w:i/>
          <w:iCs/>
        </w:rPr>
        <w:t xml:space="preserve"> vom 21. Juni 2004 (B.S. vom 9. Juli 2004), </w:t>
      </w:r>
      <w:r w:rsidR="00D67EB8" w:rsidRPr="009118AB">
        <w:rPr>
          <w:i/>
          <w:iCs/>
        </w:rPr>
        <w:t>Art. </w:t>
      </w:r>
      <w:r w:rsidRPr="009118AB">
        <w:rPr>
          <w:i/>
          <w:iCs/>
        </w:rPr>
        <w:t xml:space="preserve">58 des G. vom 8. Juni 2008 (B.S. vom </w:t>
      </w:r>
      <w:r w:rsidRPr="009118AB">
        <w:rPr>
          <w:rFonts w:ascii="Times New Roman Italique" w:hAnsi="Times New Roman Italique"/>
          <w:i/>
          <w:iCs/>
          <w:spacing w:val="2"/>
        </w:rPr>
        <w:t>16. Juni 2008)</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Januar 2009 gemachten oder getragenen Kosten</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145 des G. (I) vom 22. Dezem</w:t>
      </w:r>
      <w:r w:rsidR="009A3FEF" w:rsidRPr="009118AB">
        <w:rPr>
          <w:rFonts w:ascii="Times New Roman Italique" w:hAnsi="Times New Roman Italique"/>
          <w:i/>
          <w:iCs/>
          <w:spacing w:val="2"/>
        </w:rPr>
        <w:t>ber 2008 </w:t>
      </w:r>
      <w:r w:rsidRPr="009118AB">
        <w:rPr>
          <w:rFonts w:ascii="Times New Roman Italique" w:hAnsi="Times New Roman Italique"/>
          <w:i/>
          <w:iCs/>
          <w:spacing w:val="2"/>
        </w:rPr>
        <w:t>(II)</w:t>
      </w:r>
      <w:r w:rsidR="004F7F42" w:rsidRPr="009118AB">
        <w:rPr>
          <w:rFonts w:ascii="Times New Roman Italique" w:hAnsi="Times New Roman Italique"/>
          <w:i/>
          <w:iCs/>
          <w:spacing w:val="2"/>
        </w:rPr>
        <w:t xml:space="preserve"> (B.S. vom 29. Dezember 2008)</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w:t>
      </w:r>
      <w:r w:rsidRPr="009118AB">
        <w:rPr>
          <w:i/>
          <w:iCs/>
        </w:rPr>
        <w:t xml:space="preserve"> ab dem Steuerjahr 2009</w:t>
      </w:r>
      <w:r w:rsidR="00FD68E8" w:rsidRPr="009118AB">
        <w:rPr>
          <w:i/>
          <w:iCs/>
        </w:rPr>
        <w:t> -,</w:t>
      </w:r>
      <w:r w:rsidRPr="009118AB">
        <w:rPr>
          <w:i/>
          <w:iCs/>
        </w:rPr>
        <w:t xml:space="preserve"> </w:t>
      </w:r>
      <w:r w:rsidR="00D67EB8" w:rsidRPr="009118AB">
        <w:rPr>
          <w:i/>
          <w:iCs/>
        </w:rPr>
        <w:t>Art. </w:t>
      </w:r>
      <w:r w:rsidRPr="009118AB">
        <w:rPr>
          <w:i/>
          <w:iCs/>
        </w:rPr>
        <w:t>64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D67EB8" w:rsidRPr="009118AB">
        <w:rPr>
          <w:i/>
          <w:iCs/>
        </w:rPr>
        <w:t> - </w:t>
      </w:r>
      <w:r w:rsidR="003B3AE3" w:rsidRPr="009118AB">
        <w:rPr>
          <w:i/>
          <w:iCs/>
        </w:rPr>
        <w:t xml:space="preserve">und </w:t>
      </w:r>
      <w:r w:rsidR="00D67EB8" w:rsidRPr="009118AB">
        <w:rPr>
          <w:i/>
          <w:iCs/>
        </w:rPr>
        <w:t>Art. </w:t>
      </w:r>
      <w:r w:rsidR="003B3AE3" w:rsidRPr="009118AB">
        <w:rPr>
          <w:i/>
          <w:iCs/>
        </w:rPr>
        <w:t>24 des G. vom 23. Juni 2020 (B.S. vom 1. Juli 2020)</w:t>
      </w:r>
      <w:r w:rsidRPr="009118AB">
        <w:rPr>
          <w:i/>
          <w:iCs/>
        </w:rPr>
        <w:t xml:space="preserve">; einziger Absatz </w:t>
      </w:r>
      <w:r w:rsidR="00D67EB8" w:rsidRPr="009118AB">
        <w:rPr>
          <w:i/>
          <w:iCs/>
        </w:rPr>
        <w:t>Nr. </w:t>
      </w:r>
      <w:r w:rsidRPr="009118AB">
        <w:rPr>
          <w:i/>
          <w:iCs/>
        </w:rPr>
        <w:t xml:space="preserve">3 abgeändert durch </w:t>
      </w:r>
      <w:r w:rsidR="00D67EB8" w:rsidRPr="009118AB">
        <w:rPr>
          <w:i/>
          <w:iCs/>
        </w:rPr>
        <w:t>Art. </w:t>
      </w:r>
      <w:r w:rsidRPr="009118AB">
        <w:rPr>
          <w:i/>
          <w:iCs/>
        </w:rPr>
        <w:t>23 des G. vom 19. Dezember 2014 (B.S. vom 29. Dezember 2014)</w:t>
      </w:r>
      <w:r w:rsidR="00D67EB8" w:rsidRPr="009118AB">
        <w:rPr>
          <w:i/>
          <w:iCs/>
        </w:rPr>
        <w:t> - </w:t>
      </w:r>
      <w:r w:rsidRPr="009118AB">
        <w:rPr>
          <w:i/>
          <w:iCs/>
        </w:rPr>
        <w:t>in Kraft ab dem Steuerjahr 2015 und anwendbar auf Geschäftsjahre, die frühestens am 1. Juli 2015 abgeschlossen werden</w:t>
      </w:r>
      <w:r w:rsidR="00FD68E8" w:rsidRPr="009118AB">
        <w:rPr>
          <w:i/>
          <w:iCs/>
        </w:rPr>
        <w:t> -,</w:t>
      </w:r>
      <w:r w:rsidR="00D30694" w:rsidRPr="009118AB">
        <w:rPr>
          <w:i/>
          <w:iCs/>
        </w:rPr>
        <w:t xml:space="preserve"> selbst widerrufen durch </w:t>
      </w:r>
      <w:r w:rsidR="00D67EB8" w:rsidRPr="009118AB">
        <w:rPr>
          <w:i/>
          <w:iCs/>
        </w:rPr>
        <w:t>Art. </w:t>
      </w:r>
      <w:r w:rsidR="00D30694" w:rsidRPr="009118AB">
        <w:rPr>
          <w:i/>
          <w:iCs/>
        </w:rPr>
        <w:t>91 des G. vom 10. August 2015 (B.S. vom 18. August 2015)</w:t>
      </w:r>
      <w:r w:rsidR="00D67EB8" w:rsidRPr="009118AB">
        <w:rPr>
          <w:i/>
          <w:iCs/>
        </w:rPr>
        <w:t> - </w:t>
      </w:r>
      <w:r w:rsidR="00D30694" w:rsidRPr="009118AB">
        <w:rPr>
          <w:i/>
          <w:iCs/>
        </w:rPr>
        <w:t>in Kraft ab dem Steuerjahr 2015 und anwendbar auf Geschäftsjahre, die frühestens am 1. August 2015 abgeschlossen werden</w:t>
      </w:r>
      <w:r w:rsidR="00FD68E8" w:rsidRPr="009118AB">
        <w:rPr>
          <w:i/>
          <w:iCs/>
        </w:rPr>
        <w:t> -]</w:t>
      </w:r>
    </w:p>
    <w:p w14:paraId="69DC4B81" w14:textId="77777777" w:rsidR="00936841" w:rsidRPr="009118AB" w:rsidRDefault="00936841" w:rsidP="00936841">
      <w:pPr>
        <w:autoSpaceDE w:val="0"/>
        <w:autoSpaceDN w:val="0"/>
        <w:adjustRightInd w:val="0"/>
        <w:jc w:val="both"/>
      </w:pPr>
    </w:p>
    <w:p w14:paraId="43499590" w14:textId="77777777" w:rsidR="00477B8F" w:rsidRPr="009118AB" w:rsidRDefault="00477B8F" w:rsidP="00477B8F">
      <w:pPr>
        <w:autoSpaceDE w:val="0"/>
        <w:autoSpaceDN w:val="0"/>
        <w:adjustRightInd w:val="0"/>
        <w:jc w:val="both"/>
      </w:pPr>
    </w:p>
    <w:p w14:paraId="78FB9F42" w14:textId="5B4E5080"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235</w:t>
      </w:r>
      <w:r w:rsidRPr="009118AB">
        <w:rPr>
          <w:b/>
          <w:bCs/>
          <w:i/>
          <w:iCs/>
        </w:rPr>
        <w:t>bis</w:t>
      </w:r>
      <w:r w:rsidR="00D67EB8" w:rsidRPr="009118AB">
        <w:t> - </w:t>
      </w:r>
      <w:r w:rsidR="005C7408" w:rsidRPr="009118AB">
        <w:t>[..</w:t>
      </w:r>
      <w:r w:rsidRPr="009118AB">
        <w:t>.</w:t>
      </w:r>
      <w:r w:rsidR="005C7408" w:rsidRPr="009118AB">
        <w:t>]</w:t>
      </w:r>
      <w:r w:rsidRPr="009118AB">
        <w:t>]</w:t>
      </w:r>
    </w:p>
    <w:p w14:paraId="6819A108" w14:textId="77777777" w:rsidR="00477B8F" w:rsidRPr="009118AB" w:rsidRDefault="00477B8F" w:rsidP="00477B8F">
      <w:pPr>
        <w:autoSpaceDE w:val="0"/>
        <w:autoSpaceDN w:val="0"/>
        <w:adjustRightInd w:val="0"/>
        <w:jc w:val="both"/>
      </w:pPr>
    </w:p>
    <w:p w14:paraId="3A43AC10" w14:textId="11C7D45B"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235bis eingefügt durch </w:t>
      </w:r>
      <w:r w:rsidR="00D67EB8" w:rsidRPr="009118AB">
        <w:rPr>
          <w:i/>
          <w:iCs/>
        </w:rPr>
        <w:t>Art. </w:t>
      </w:r>
      <w:r w:rsidRPr="009118AB">
        <w:rPr>
          <w:i/>
          <w:iCs/>
        </w:rPr>
        <w:t>33 des G. vom 6. Juli </w:t>
      </w:r>
      <w:r w:rsidR="004F7F42" w:rsidRPr="009118AB">
        <w:rPr>
          <w:i/>
          <w:iCs/>
        </w:rPr>
        <w:t>1994 (B.S. vom 16. Juli 1994)</w:t>
      </w:r>
      <w:r w:rsidR="00D67EB8" w:rsidRPr="009118AB">
        <w:rPr>
          <w:i/>
          <w:iCs/>
        </w:rPr>
        <w:t> - </w:t>
      </w:r>
      <w:r w:rsidRPr="009118AB">
        <w:rPr>
          <w:i/>
          <w:iCs/>
        </w:rPr>
        <w:t>anwendbar ab dem Steuerjahr 1995</w:t>
      </w:r>
      <w:r w:rsidR="00D67EB8" w:rsidRPr="009118AB">
        <w:rPr>
          <w:i/>
          <w:iCs/>
        </w:rPr>
        <w:t> - </w:t>
      </w:r>
      <w:r w:rsidR="005C7408" w:rsidRPr="009118AB">
        <w:rPr>
          <w:i/>
          <w:iCs/>
        </w:rPr>
        <w:t xml:space="preserve">und aufgehoben durch </w:t>
      </w:r>
      <w:r w:rsidR="00D67EB8" w:rsidRPr="009118AB">
        <w:rPr>
          <w:i/>
          <w:iCs/>
        </w:rPr>
        <w:t>Art. </w:t>
      </w:r>
      <w:r w:rsidR="005C7408" w:rsidRPr="009118AB">
        <w:rPr>
          <w:i/>
          <w:iCs/>
        </w:rPr>
        <w:t>73</w:t>
      </w:r>
      <w:r w:rsidR="005C7408" w:rsidRPr="009118AB">
        <w:rPr>
          <w:i/>
        </w:rPr>
        <w:t xml:space="preserve"> des G. vom 8. Mai 2014 (B.S. vom 28. Mai 2014)</w:t>
      </w:r>
      <w:r w:rsidR="00D67EB8" w:rsidRPr="009118AB">
        <w:rPr>
          <w:i/>
        </w:rPr>
        <w:t> - </w:t>
      </w:r>
      <w:r w:rsidR="005C7408" w:rsidRPr="009118AB">
        <w:rPr>
          <w:i/>
          <w:iCs/>
        </w:rPr>
        <w:t>anwendbar ab dem Steuerjahr 2015</w:t>
      </w:r>
      <w:r w:rsidR="00FD68E8" w:rsidRPr="009118AB">
        <w:rPr>
          <w:i/>
          <w:iCs/>
        </w:rPr>
        <w:t> -]</w:t>
      </w:r>
    </w:p>
    <w:p w14:paraId="512CBAD4" w14:textId="77777777" w:rsidR="00201134" w:rsidRPr="009118AB" w:rsidRDefault="00201134" w:rsidP="00477B8F">
      <w:pPr>
        <w:autoSpaceDE w:val="0"/>
        <w:autoSpaceDN w:val="0"/>
        <w:adjustRightInd w:val="0"/>
        <w:jc w:val="both"/>
        <w:rPr>
          <w:i/>
          <w:iCs/>
        </w:rPr>
      </w:pPr>
    </w:p>
    <w:p w14:paraId="3C0828C3" w14:textId="77777777" w:rsidR="00201134" w:rsidRPr="009118AB" w:rsidRDefault="00201134" w:rsidP="00477B8F">
      <w:pPr>
        <w:autoSpaceDE w:val="0"/>
        <w:autoSpaceDN w:val="0"/>
        <w:adjustRightInd w:val="0"/>
        <w:jc w:val="both"/>
      </w:pPr>
    </w:p>
    <w:p w14:paraId="0CD071FB" w14:textId="018675A6" w:rsidR="006D08E7" w:rsidRPr="009118AB" w:rsidRDefault="00477B8F" w:rsidP="009B3D44">
      <w:pPr>
        <w:autoSpaceDE w:val="0"/>
        <w:autoSpaceDN w:val="0"/>
        <w:adjustRightInd w:val="0"/>
        <w:jc w:val="both"/>
        <w:rPr>
          <w:iCs/>
        </w:rPr>
      </w:pPr>
      <w:r w:rsidRPr="009118AB">
        <w:tab/>
      </w:r>
      <w:r w:rsidR="00D67EB8" w:rsidRPr="009118AB">
        <w:rPr>
          <w:b/>
          <w:bCs/>
        </w:rPr>
        <w:t>Art. </w:t>
      </w:r>
      <w:r w:rsidRPr="009118AB">
        <w:rPr>
          <w:b/>
          <w:bCs/>
        </w:rPr>
        <w:t>236</w:t>
      </w:r>
      <w:r w:rsidR="00D67EB8" w:rsidRPr="009118AB">
        <w:t> - </w:t>
      </w:r>
      <w:r w:rsidR="006D08E7" w:rsidRPr="009118AB">
        <w:rPr>
          <w:iCs/>
        </w:rPr>
        <w:t>[</w:t>
      </w:r>
      <w:r w:rsidR="009B3D44" w:rsidRPr="009118AB">
        <w:rPr>
          <w:iCs/>
        </w:rPr>
        <w:t>..</w:t>
      </w:r>
      <w:r w:rsidR="006D08E7" w:rsidRPr="009118AB">
        <w:rPr>
          <w:iCs/>
        </w:rPr>
        <w:t>.]</w:t>
      </w:r>
    </w:p>
    <w:p w14:paraId="33B172A4" w14:textId="77777777" w:rsidR="006D08E7" w:rsidRPr="009118AB" w:rsidRDefault="006D08E7" w:rsidP="006D08E7">
      <w:pPr>
        <w:autoSpaceDE w:val="0"/>
        <w:autoSpaceDN w:val="0"/>
        <w:adjustRightInd w:val="0"/>
        <w:jc w:val="both"/>
        <w:rPr>
          <w:iCs/>
        </w:rPr>
      </w:pPr>
    </w:p>
    <w:p w14:paraId="3987C9DB" w14:textId="207006CB" w:rsidR="006D08E7" w:rsidRPr="009118AB" w:rsidRDefault="006D08E7" w:rsidP="006D08E7">
      <w:pPr>
        <w:autoSpaceDE w:val="0"/>
        <w:autoSpaceDN w:val="0"/>
        <w:adjustRightInd w:val="0"/>
        <w:jc w:val="both"/>
        <w:rPr>
          <w:iCs/>
        </w:rPr>
      </w:pPr>
      <w:r w:rsidRPr="009118AB">
        <w:rPr>
          <w:i/>
          <w:iCs/>
        </w:rPr>
        <w:t>[</w:t>
      </w:r>
      <w:r w:rsidR="00D67EB8" w:rsidRPr="009118AB">
        <w:rPr>
          <w:i/>
          <w:iCs/>
        </w:rPr>
        <w:t>Art. </w:t>
      </w:r>
      <w:r w:rsidRPr="009118AB">
        <w:rPr>
          <w:i/>
          <w:iCs/>
        </w:rPr>
        <w:t xml:space="preserve">236 </w:t>
      </w:r>
      <w:r w:rsidR="009B3D44" w:rsidRPr="009118AB">
        <w:rPr>
          <w:i/>
          <w:iCs/>
        </w:rPr>
        <w:t>aufgehoben durch Art. 119</w:t>
      </w:r>
      <w:r w:rsidR="009B3D44" w:rsidRPr="009118AB">
        <w:rPr>
          <w:bCs/>
          <w:i/>
          <w:iCs/>
        </w:rPr>
        <w:t xml:space="preserve"> des G. vom 26. Dezember 2022</w:t>
      </w:r>
      <w:r w:rsidR="00236038" w:rsidRPr="009118AB">
        <w:rPr>
          <w:bCs/>
          <w:i/>
          <w:iCs/>
        </w:rPr>
        <w:t> (I)</w:t>
      </w:r>
      <w:r w:rsidR="009B3D44" w:rsidRPr="009118AB">
        <w:rPr>
          <w:bCs/>
          <w:i/>
          <w:iCs/>
        </w:rPr>
        <w:t xml:space="preserve"> (B.S. vom 30. Dezember 2022) - anwendbar auf die Besteuerungszeiträume, die ab dem 31. Dezember 2023 enden -</w:t>
      </w:r>
      <w:r w:rsidR="00FD68E8" w:rsidRPr="009118AB">
        <w:rPr>
          <w:i/>
          <w:iCs/>
        </w:rPr>
        <w:t>]</w:t>
      </w:r>
    </w:p>
    <w:p w14:paraId="2957ACF4" w14:textId="77777777" w:rsidR="006D08E7" w:rsidRPr="009118AB" w:rsidRDefault="006D08E7" w:rsidP="006D08E7">
      <w:pPr>
        <w:autoSpaceDE w:val="0"/>
        <w:autoSpaceDN w:val="0"/>
        <w:adjustRightInd w:val="0"/>
        <w:jc w:val="both"/>
        <w:rPr>
          <w:iCs/>
        </w:rPr>
      </w:pPr>
    </w:p>
    <w:p w14:paraId="2392D0AD" w14:textId="77777777" w:rsidR="003701E3" w:rsidRPr="009118AB" w:rsidRDefault="003701E3" w:rsidP="001F5026">
      <w:pPr>
        <w:autoSpaceDE w:val="0"/>
        <w:autoSpaceDN w:val="0"/>
        <w:adjustRightInd w:val="0"/>
        <w:ind w:firstLine="708"/>
        <w:jc w:val="both"/>
      </w:pPr>
    </w:p>
    <w:p w14:paraId="525C53FD" w14:textId="6957F8EE" w:rsidR="0031458F" w:rsidRPr="009118AB" w:rsidRDefault="0031458F" w:rsidP="0031458F">
      <w:pPr>
        <w:jc w:val="both"/>
      </w:pPr>
      <w:r w:rsidRPr="009118AB">
        <w:tab/>
        <w:t>[</w:t>
      </w:r>
      <w:r w:rsidR="00D67EB8" w:rsidRPr="009118AB">
        <w:rPr>
          <w:b/>
        </w:rPr>
        <w:t>Art. </w:t>
      </w:r>
      <w:r w:rsidRPr="009118AB">
        <w:rPr>
          <w:b/>
        </w:rPr>
        <w:t>236</w:t>
      </w:r>
      <w:r w:rsidRPr="009118AB">
        <w:rPr>
          <w:b/>
          <w:i/>
          <w:iCs/>
        </w:rPr>
        <w:t>bis</w:t>
      </w:r>
      <w:r w:rsidR="00D67EB8" w:rsidRPr="009118AB">
        <w:t> - </w:t>
      </w:r>
      <w:r w:rsidRPr="009118AB">
        <w:t xml:space="preserve">[Die Artikel 205/1 bis 205/4 sind auf die in Artikel 227 </w:t>
      </w:r>
      <w:r w:rsidR="00D67EB8" w:rsidRPr="009118AB">
        <w:t>Nr. </w:t>
      </w:r>
      <w:r w:rsidRPr="009118AB">
        <w:t>2 erwähnten Steuerpflichtigen für Einkünfte aus Innovationen in Bezug auf geistige Eigentumsrechte, die in ihren belgischen Niederlassungen verwendet werden, anwendbar.</w:t>
      </w:r>
    </w:p>
    <w:p w14:paraId="3B0EF444" w14:textId="77777777" w:rsidR="0031458F" w:rsidRPr="009118AB" w:rsidRDefault="0031458F" w:rsidP="0031458F">
      <w:pPr>
        <w:jc w:val="both"/>
      </w:pPr>
    </w:p>
    <w:p w14:paraId="47BDA8FF" w14:textId="77777777" w:rsidR="0031458F" w:rsidRPr="009118AB" w:rsidRDefault="0031458F" w:rsidP="0031458F">
      <w:pPr>
        <w:autoSpaceDE w:val="0"/>
        <w:autoSpaceDN w:val="0"/>
        <w:adjustRightInd w:val="0"/>
        <w:ind w:firstLine="708"/>
        <w:jc w:val="both"/>
      </w:pPr>
      <w:r w:rsidRPr="009118AB">
        <w:tab/>
        <w:t>Für die Anwendung von Artikel 205/2 werden die Bruttoeinkünfte aus Innovationen um Kosten für selbst ausgeführte Forschungs- und Entwicklungstätigkeiten, um Vergütungen, die Dritten geschuldet werden, und um Abschreibungen auf erworbene geistige Eigentums</w:t>
      </w:r>
      <w:r w:rsidRPr="009118AB">
        <w:softHyphen/>
        <w:t>rechte, die auf das steuerpflichtige Ergebnis der belgischen Niederlassungen angerechnet werden, verringert.]]</w:t>
      </w:r>
    </w:p>
    <w:p w14:paraId="520925BD" w14:textId="77777777" w:rsidR="0031458F" w:rsidRPr="009118AB" w:rsidRDefault="0031458F" w:rsidP="0031458F">
      <w:pPr>
        <w:autoSpaceDE w:val="0"/>
        <w:autoSpaceDN w:val="0"/>
        <w:adjustRightInd w:val="0"/>
        <w:jc w:val="both"/>
      </w:pPr>
    </w:p>
    <w:p w14:paraId="43F99B1A" w14:textId="6A6EC50C" w:rsidR="0031458F" w:rsidRPr="009118AB" w:rsidRDefault="0031458F" w:rsidP="0031458F">
      <w:pPr>
        <w:jc w:val="both"/>
      </w:pPr>
      <w:r w:rsidRPr="009118AB">
        <w:rPr>
          <w:i/>
        </w:rPr>
        <w:t>[</w:t>
      </w:r>
      <w:r w:rsidR="00D67EB8" w:rsidRPr="009118AB">
        <w:rPr>
          <w:i/>
        </w:rPr>
        <w:t>Art. </w:t>
      </w:r>
      <w:r w:rsidRPr="009118AB">
        <w:rPr>
          <w:i/>
        </w:rPr>
        <w:t xml:space="preserve">236bis eingefügt durch </w:t>
      </w:r>
      <w:r w:rsidR="00D67EB8" w:rsidRPr="009118AB">
        <w:rPr>
          <w:i/>
        </w:rPr>
        <w:t>Art. </w:t>
      </w:r>
      <w:r w:rsidRPr="009118AB">
        <w:rPr>
          <w:i/>
        </w:rPr>
        <w:t>91 des G. vom 27. April 2007 (I) (B.S. vom 8. Mai 2007)</w:t>
      </w:r>
      <w:r w:rsidR="00D67EB8" w:rsidRPr="009118AB">
        <w:rPr>
          <w:i/>
          <w:iCs/>
        </w:rPr>
        <w:t> - </w:t>
      </w:r>
      <w:r w:rsidRPr="009118AB">
        <w:rPr>
          <w:i/>
          <w:iCs/>
        </w:rPr>
        <w:t xml:space="preserve">anwendbar </w:t>
      </w:r>
      <w:r w:rsidRPr="009118AB">
        <w:rPr>
          <w:i/>
        </w:rPr>
        <w:t>ab dem Steuerjahr 2008 auf die in Artikel 205</w:t>
      </w:r>
      <w:r w:rsidRPr="009118AB">
        <w:rPr>
          <w:i/>
          <w:vertAlign w:val="superscript"/>
        </w:rPr>
        <w:t>2</w:t>
      </w:r>
      <w:r w:rsidRPr="009118AB">
        <w:rPr>
          <w:i/>
        </w:rPr>
        <w:t xml:space="preserve"> des Einkommen</w:t>
      </w:r>
      <w:r w:rsidR="004F7F42" w:rsidRPr="009118AB">
        <w:rPr>
          <w:i/>
        </w:rPr>
        <w:softHyphen/>
      </w:r>
      <w:r w:rsidRPr="009118AB">
        <w:rPr>
          <w:i/>
        </w:rPr>
        <w:t>steuergesetzbuches 1992 erwähnten Einkünfte aus Patenten, die sich auf Patente im Sinne von Artikel 205</w:t>
      </w:r>
      <w:r w:rsidRPr="009118AB">
        <w:rPr>
          <w:i/>
          <w:vertAlign w:val="superscript"/>
        </w:rPr>
        <w:t>2</w:t>
      </w:r>
      <w:r w:rsidRPr="009118AB">
        <w:rPr>
          <w:i/>
        </w:rPr>
        <w:t> </w:t>
      </w:r>
      <w:r w:rsidR="00D67EB8" w:rsidRPr="009118AB">
        <w:rPr>
          <w:i/>
        </w:rPr>
        <w:t>§ </w:t>
      </w:r>
      <w:r w:rsidRPr="009118AB">
        <w:rPr>
          <w:i/>
        </w:rPr>
        <w:t>2 desselben Gesetzbuches beziehen, die die Gesellschaft, ein Lizenznehmer oder verbundene Unternehmen nicht vor dem 1. Januar 2007 zum Verkauf von Gütern oder Dienstleistungen an unabhängige Dritte genutzt hat</w:t>
      </w:r>
      <w:r w:rsidR="00FD68E8" w:rsidRPr="009118AB">
        <w:rPr>
          <w:i/>
        </w:rPr>
        <w:t> -,</w:t>
      </w:r>
      <w:r w:rsidRPr="009118AB">
        <w:rPr>
          <w:i/>
          <w:iCs/>
        </w:rPr>
        <w:t xml:space="preserve"> aufgehoben durch </w:t>
      </w:r>
      <w:r w:rsidR="00D67EB8" w:rsidRPr="009118AB">
        <w:rPr>
          <w:i/>
          <w:iCs/>
        </w:rPr>
        <w:t>Art. </w:t>
      </w:r>
      <w:r w:rsidRPr="009118AB">
        <w:rPr>
          <w:i/>
          <w:iCs/>
        </w:rPr>
        <w:t>8 des G. vom 3. August 2016 (I) (B.S. vom 28. März 2017)</w:t>
      </w:r>
      <w:r w:rsidR="00D67EB8" w:rsidRPr="009118AB">
        <w:rPr>
          <w:i/>
          <w:iCs/>
        </w:rPr>
        <w:t> - </w:t>
      </w:r>
      <w:r w:rsidRPr="009118AB">
        <w:rPr>
          <w:i/>
          <w:iCs/>
        </w:rPr>
        <w:t>in Kraft am 1. Juli 2016</w:t>
      </w:r>
      <w:r w:rsidR="00D67EB8" w:rsidRPr="009118AB">
        <w:rPr>
          <w:i/>
          <w:iCs/>
        </w:rPr>
        <w:t> - </w:t>
      </w:r>
      <w:r w:rsidRPr="009118AB">
        <w:rPr>
          <w:i/>
          <w:iCs/>
        </w:rPr>
        <w:t xml:space="preserve">und wieder aufgenommen durch </w:t>
      </w:r>
      <w:r w:rsidR="00D67EB8" w:rsidRPr="009118AB">
        <w:rPr>
          <w:i/>
          <w:iCs/>
        </w:rPr>
        <w:t>Art. </w:t>
      </w:r>
      <w:r w:rsidRPr="009118AB">
        <w:rPr>
          <w:i/>
          <w:iCs/>
        </w:rPr>
        <w:t>13</w:t>
      </w:r>
      <w:r w:rsidRPr="009118AB">
        <w:rPr>
          <w:i/>
        </w:rPr>
        <w:t xml:space="preserve"> des G. vom 9. Februar 201</w:t>
      </w:r>
      <w:r w:rsidR="004F7F42" w:rsidRPr="009118AB">
        <w:rPr>
          <w:i/>
        </w:rPr>
        <w:t>7 (B.S. vom 20. Februar 2017)</w:t>
      </w:r>
      <w:r w:rsidR="00D67EB8" w:rsidRPr="009118AB">
        <w:rPr>
          <w:i/>
        </w:rPr>
        <w:t> - </w:t>
      </w:r>
      <w:r w:rsidRPr="009118AB">
        <w:rPr>
          <w:i/>
        </w:rPr>
        <w:t>wirksam mit 1. Juli 2016</w:t>
      </w:r>
      <w:r w:rsidR="00FD68E8" w:rsidRPr="009118AB">
        <w:rPr>
          <w:i/>
        </w:rPr>
        <w:t> -]</w:t>
      </w:r>
    </w:p>
    <w:p w14:paraId="59C00D4F" w14:textId="77777777" w:rsidR="006561AF" w:rsidRPr="009118AB" w:rsidRDefault="006561AF" w:rsidP="00477B8F">
      <w:pPr>
        <w:autoSpaceDE w:val="0"/>
        <w:autoSpaceDN w:val="0"/>
        <w:adjustRightInd w:val="0"/>
        <w:jc w:val="both"/>
      </w:pPr>
    </w:p>
    <w:p w14:paraId="37CB79E0" w14:textId="77777777" w:rsidR="001F5026" w:rsidRPr="009118AB" w:rsidRDefault="001F5026" w:rsidP="00477B8F">
      <w:pPr>
        <w:autoSpaceDE w:val="0"/>
        <w:autoSpaceDN w:val="0"/>
        <w:adjustRightInd w:val="0"/>
        <w:jc w:val="both"/>
      </w:pPr>
    </w:p>
    <w:p w14:paraId="140F489D" w14:textId="68CF186D"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237</w:t>
      </w:r>
      <w:r w:rsidR="00D67EB8" w:rsidRPr="009118AB">
        <w:t> - </w:t>
      </w:r>
      <w:r w:rsidRPr="009118AB">
        <w:t>Zum Abzug als Werbungskosten werden nur Kosten zugelassen, die ausschließlich Berufseinkünfte belasten, die gemäß den Artikeln 228 bis 231 in Belgien steuerpflichtig sind.</w:t>
      </w:r>
    </w:p>
    <w:p w14:paraId="29617864" w14:textId="77777777" w:rsidR="00201134" w:rsidRPr="009118AB" w:rsidRDefault="00201134" w:rsidP="00477B8F">
      <w:pPr>
        <w:autoSpaceDE w:val="0"/>
        <w:autoSpaceDN w:val="0"/>
        <w:adjustRightInd w:val="0"/>
        <w:jc w:val="both"/>
      </w:pPr>
    </w:p>
    <w:p w14:paraId="1B546780" w14:textId="77777777" w:rsidR="00201134" w:rsidRPr="009118AB" w:rsidRDefault="00201134" w:rsidP="00477B8F">
      <w:pPr>
        <w:autoSpaceDE w:val="0"/>
        <w:autoSpaceDN w:val="0"/>
        <w:adjustRightInd w:val="0"/>
        <w:jc w:val="both"/>
      </w:pPr>
    </w:p>
    <w:p w14:paraId="101364CE" w14:textId="66532830" w:rsidR="00477B8F" w:rsidRPr="009118AB" w:rsidRDefault="006561AF" w:rsidP="00477B8F">
      <w:pPr>
        <w:autoSpaceDE w:val="0"/>
        <w:autoSpaceDN w:val="0"/>
        <w:adjustRightInd w:val="0"/>
        <w:ind w:hanging="720"/>
        <w:jc w:val="both"/>
      </w:pPr>
      <w:r w:rsidRPr="009118AB">
        <w:tab/>
      </w:r>
      <w:r w:rsidR="00477B8F" w:rsidRPr="009118AB">
        <w:tab/>
      </w:r>
      <w:r w:rsidR="00D67EB8" w:rsidRPr="009118AB">
        <w:rPr>
          <w:b/>
          <w:bCs/>
        </w:rPr>
        <w:t>Art. </w:t>
      </w:r>
      <w:r w:rsidR="00477B8F" w:rsidRPr="009118AB">
        <w:rPr>
          <w:b/>
          <w:bCs/>
        </w:rPr>
        <w:t>238</w:t>
      </w:r>
      <w:r w:rsidR="00D67EB8" w:rsidRPr="009118AB">
        <w:t> - </w:t>
      </w:r>
      <w:r w:rsidR="00477B8F" w:rsidRPr="009118AB">
        <w:t xml:space="preserve">Für die Anwendung von Artikel 53 </w:t>
      </w:r>
      <w:r w:rsidR="00D67EB8" w:rsidRPr="009118AB">
        <w:t>Nr. </w:t>
      </w:r>
      <w:r w:rsidR="00477B8F" w:rsidRPr="009118AB">
        <w:t xml:space="preserve">2 oder [Artikel 198 </w:t>
      </w:r>
      <w:r w:rsidR="00D67EB8" w:rsidRPr="009118AB">
        <w:t>§ </w:t>
      </w:r>
      <w:r w:rsidR="00477B8F" w:rsidRPr="009118AB">
        <w:t xml:space="preserve">1 </w:t>
      </w:r>
      <w:r w:rsidR="00D67EB8" w:rsidRPr="009118AB">
        <w:t>Nr. </w:t>
      </w:r>
      <w:r w:rsidR="00477B8F" w:rsidRPr="009118AB">
        <w:t>1] wird die Steuer der Gebietsfremden der Steuer der natürlichen Personen beziehungsweise der Gesellschaftssteuer gleichgesetzt.</w:t>
      </w:r>
    </w:p>
    <w:p w14:paraId="530EFB5E" w14:textId="77777777" w:rsidR="00477B8F" w:rsidRPr="009118AB" w:rsidRDefault="00477B8F" w:rsidP="00477B8F">
      <w:pPr>
        <w:autoSpaceDE w:val="0"/>
        <w:autoSpaceDN w:val="0"/>
        <w:adjustRightInd w:val="0"/>
        <w:jc w:val="both"/>
      </w:pPr>
    </w:p>
    <w:p w14:paraId="00CE1866" w14:textId="7456D8F1"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238 abgeändert durch </w:t>
      </w:r>
      <w:r w:rsidR="00D67EB8" w:rsidRPr="009118AB">
        <w:rPr>
          <w:i/>
          <w:iCs/>
        </w:rPr>
        <w:t>Art. </w:t>
      </w:r>
      <w:r w:rsidRPr="009118AB">
        <w:rPr>
          <w:i/>
          <w:iCs/>
        </w:rPr>
        <w:t>36 des G. vom 22. Dezember 1998 (B.S. vom 15. Januar 1999)</w:t>
      </w:r>
      <w:r w:rsidR="00D67EB8" w:rsidRPr="009118AB">
        <w:rPr>
          <w:i/>
          <w:iCs/>
        </w:rPr>
        <w:t> - </w:t>
      </w:r>
      <w:r w:rsidRPr="009118AB">
        <w:rPr>
          <w:i/>
          <w:iCs/>
        </w:rPr>
        <w:t>anwendbar ab dem Steuerjahr 1996</w:t>
      </w:r>
      <w:r w:rsidR="00D67EB8" w:rsidRPr="009118AB">
        <w:rPr>
          <w:i/>
          <w:iCs/>
        </w:rPr>
        <w:t> - </w:t>
      </w:r>
      <w:r w:rsidR="00B762DB" w:rsidRPr="009118AB">
        <w:rPr>
          <w:i/>
          <w:iCs/>
        </w:rPr>
        <w:t xml:space="preserve">und </w:t>
      </w:r>
      <w:r w:rsidR="00D67EB8" w:rsidRPr="009118AB">
        <w:rPr>
          <w:i/>
          <w:iCs/>
        </w:rPr>
        <w:t>Art. </w:t>
      </w:r>
      <w:r w:rsidR="00B762DB" w:rsidRPr="009118AB">
        <w:rPr>
          <w:i/>
          <w:iCs/>
        </w:rPr>
        <w:t>92 des G. vom 22. Juni 2012 (B.S. vom 28. Juni 2012)</w:t>
      </w:r>
      <w:r w:rsidR="00D67EB8" w:rsidRPr="009118AB">
        <w:rPr>
          <w:bCs/>
          <w:i/>
          <w:iCs/>
        </w:rPr>
        <w:t> - </w:t>
      </w:r>
      <w:r w:rsidR="00B762DB" w:rsidRPr="009118AB">
        <w:rPr>
          <w:i/>
          <w:iCs/>
        </w:rPr>
        <w:t>in Kraft</w:t>
      </w:r>
      <w:r w:rsidR="00B762DB" w:rsidRPr="009118AB">
        <w:rPr>
          <w:bCs/>
          <w:i/>
          <w:iCs/>
        </w:rPr>
        <w:t xml:space="preserve"> </w:t>
      </w:r>
      <w:r w:rsidR="00B762DB" w:rsidRPr="009118AB">
        <w:rPr>
          <w:i/>
          <w:iCs/>
        </w:rPr>
        <w:t>am 1. Juli 2012</w:t>
      </w:r>
      <w:r w:rsidR="00FD68E8" w:rsidRPr="009118AB">
        <w:rPr>
          <w:i/>
          <w:iCs/>
        </w:rPr>
        <w:t> -]</w:t>
      </w:r>
    </w:p>
    <w:p w14:paraId="7D8AACF6" w14:textId="77777777" w:rsidR="00477B8F" w:rsidRPr="009118AB" w:rsidRDefault="00477B8F" w:rsidP="00477B8F">
      <w:pPr>
        <w:autoSpaceDE w:val="0"/>
        <w:autoSpaceDN w:val="0"/>
        <w:adjustRightInd w:val="0"/>
        <w:jc w:val="both"/>
      </w:pPr>
    </w:p>
    <w:p w14:paraId="4C1A4424" w14:textId="77777777" w:rsidR="00477B8F" w:rsidRPr="009118AB" w:rsidRDefault="00477B8F" w:rsidP="00477B8F">
      <w:pPr>
        <w:autoSpaceDE w:val="0"/>
        <w:autoSpaceDN w:val="0"/>
        <w:adjustRightInd w:val="0"/>
        <w:jc w:val="both"/>
      </w:pPr>
    </w:p>
    <w:p w14:paraId="07A6E9BC" w14:textId="30DF2787" w:rsidR="00340A15" w:rsidRPr="009118AB" w:rsidRDefault="00477B8F" w:rsidP="00340A15">
      <w:pPr>
        <w:autoSpaceDE w:val="0"/>
        <w:autoSpaceDN w:val="0"/>
        <w:adjustRightInd w:val="0"/>
        <w:jc w:val="both"/>
        <w:rPr>
          <w:iCs/>
        </w:rPr>
      </w:pPr>
      <w:r w:rsidRPr="009118AB">
        <w:tab/>
      </w:r>
      <w:r w:rsidR="00D67EB8" w:rsidRPr="009118AB">
        <w:rPr>
          <w:b/>
          <w:bCs/>
        </w:rPr>
        <w:t>Art. </w:t>
      </w:r>
      <w:r w:rsidRPr="009118AB">
        <w:rPr>
          <w:b/>
          <w:bCs/>
        </w:rPr>
        <w:t>239</w:t>
      </w:r>
      <w:r w:rsidR="00D67EB8" w:rsidRPr="009118AB">
        <w:t> - </w:t>
      </w:r>
      <w:r w:rsidR="00340A15" w:rsidRPr="009118AB">
        <w:rPr>
          <w:iCs/>
        </w:rPr>
        <w:t>[…]</w:t>
      </w:r>
    </w:p>
    <w:p w14:paraId="29618E84" w14:textId="77777777" w:rsidR="00340A15" w:rsidRPr="009118AB" w:rsidRDefault="00340A15" w:rsidP="00340A15">
      <w:pPr>
        <w:autoSpaceDE w:val="0"/>
        <w:autoSpaceDN w:val="0"/>
        <w:adjustRightInd w:val="0"/>
        <w:jc w:val="both"/>
        <w:rPr>
          <w:iCs/>
        </w:rPr>
      </w:pPr>
    </w:p>
    <w:p w14:paraId="1EA520CB" w14:textId="5FB56FCC" w:rsidR="00340A15" w:rsidRPr="009118AB" w:rsidRDefault="00340A15" w:rsidP="00340A15">
      <w:pPr>
        <w:autoSpaceDE w:val="0"/>
        <w:autoSpaceDN w:val="0"/>
        <w:adjustRightInd w:val="0"/>
        <w:jc w:val="both"/>
        <w:rPr>
          <w:iCs/>
        </w:rPr>
      </w:pPr>
      <w:r w:rsidRPr="009118AB">
        <w:rPr>
          <w:i/>
          <w:iCs/>
        </w:rPr>
        <w:t>[</w:t>
      </w:r>
      <w:r w:rsidR="00D67EB8" w:rsidRPr="009118AB">
        <w:rPr>
          <w:i/>
          <w:iCs/>
        </w:rPr>
        <w:t>Art. </w:t>
      </w:r>
      <w:r w:rsidRPr="009118AB">
        <w:rPr>
          <w:i/>
          <w:iCs/>
        </w:rPr>
        <w:t xml:space="preserve">239 aufgehoben durch </w:t>
      </w:r>
      <w:r w:rsidR="00D67EB8" w:rsidRPr="009118AB">
        <w:rPr>
          <w:i/>
          <w:iCs/>
        </w:rPr>
        <w:t>Art. </w:t>
      </w:r>
      <w:r w:rsidRPr="009118AB">
        <w:rPr>
          <w:i/>
          <w:iCs/>
        </w:rPr>
        <w:t>65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FD68E8" w:rsidRPr="009118AB">
        <w:rPr>
          <w:i/>
          <w:iCs/>
        </w:rPr>
        <w:t> -]</w:t>
      </w:r>
    </w:p>
    <w:p w14:paraId="3FE7C01F" w14:textId="77777777" w:rsidR="00B06441" w:rsidRPr="009118AB" w:rsidRDefault="00B06441" w:rsidP="00B06441">
      <w:pPr>
        <w:autoSpaceDE w:val="0"/>
        <w:autoSpaceDN w:val="0"/>
        <w:adjustRightInd w:val="0"/>
        <w:jc w:val="both"/>
        <w:rPr>
          <w:i/>
          <w:iCs/>
        </w:rPr>
      </w:pPr>
    </w:p>
    <w:p w14:paraId="38C23DD4" w14:textId="77777777" w:rsidR="00295902" w:rsidRPr="009118AB" w:rsidRDefault="00295902" w:rsidP="00B06441">
      <w:pPr>
        <w:autoSpaceDE w:val="0"/>
        <w:autoSpaceDN w:val="0"/>
        <w:adjustRightInd w:val="0"/>
        <w:jc w:val="both"/>
      </w:pPr>
    </w:p>
    <w:p w14:paraId="0ECABC52" w14:textId="561876E5" w:rsidR="005E490B" w:rsidRPr="009118AB" w:rsidRDefault="005E490B" w:rsidP="005E490B">
      <w:pPr>
        <w:ind w:firstLine="708"/>
        <w:jc w:val="both"/>
      </w:pPr>
      <w:r w:rsidRPr="009118AB">
        <w:tab/>
        <w:t>[</w:t>
      </w:r>
      <w:r w:rsidR="00D67EB8" w:rsidRPr="009118AB">
        <w:rPr>
          <w:b/>
        </w:rPr>
        <w:t>Art. </w:t>
      </w:r>
      <w:r w:rsidRPr="009118AB">
        <w:rPr>
          <w:b/>
        </w:rPr>
        <w:t>239/1</w:t>
      </w:r>
      <w:r w:rsidR="00D67EB8" w:rsidRPr="009118AB">
        <w:t> - </w:t>
      </w:r>
      <w:r w:rsidR="00D34E0F" w:rsidRPr="009118AB">
        <w:t>[...]</w:t>
      </w:r>
      <w:r w:rsidR="009B3D44" w:rsidRPr="009118AB">
        <w:t>]</w:t>
      </w:r>
    </w:p>
    <w:p w14:paraId="12A74226" w14:textId="77777777" w:rsidR="005E490B" w:rsidRPr="009118AB" w:rsidRDefault="005E490B" w:rsidP="005E490B">
      <w:pPr>
        <w:jc w:val="both"/>
      </w:pPr>
    </w:p>
    <w:p w14:paraId="3E6906AA" w14:textId="639E5705" w:rsidR="005E490B" w:rsidRPr="009118AB" w:rsidRDefault="005E490B" w:rsidP="005E490B">
      <w:pPr>
        <w:autoSpaceDE w:val="0"/>
        <w:autoSpaceDN w:val="0"/>
        <w:adjustRightInd w:val="0"/>
        <w:jc w:val="both"/>
        <w:rPr>
          <w:i/>
        </w:rPr>
      </w:pPr>
      <w:r w:rsidRPr="009118AB">
        <w:rPr>
          <w:i/>
        </w:rPr>
        <w:t>[</w:t>
      </w:r>
      <w:r w:rsidR="00D67EB8" w:rsidRPr="009118AB">
        <w:rPr>
          <w:i/>
        </w:rPr>
        <w:t>Art. </w:t>
      </w:r>
      <w:r w:rsidRPr="009118AB">
        <w:rPr>
          <w:i/>
        </w:rPr>
        <w:t xml:space="preserve">239/1 eingefügt durch </w:t>
      </w:r>
      <w:r w:rsidR="00D67EB8" w:rsidRPr="009118AB">
        <w:rPr>
          <w:i/>
        </w:rPr>
        <w:t>Art. </w:t>
      </w:r>
      <w:r w:rsidRPr="009118AB">
        <w:rPr>
          <w:i/>
        </w:rPr>
        <w:t>98 des G. vom 10. August 20</w:t>
      </w:r>
      <w:r w:rsidR="004F7F42" w:rsidRPr="009118AB">
        <w:rPr>
          <w:i/>
        </w:rPr>
        <w:t>15 (B.S. vom 18. August 2015)</w:t>
      </w:r>
      <w:r w:rsidR="00D67EB8" w:rsidRPr="009118AB">
        <w:rPr>
          <w:i/>
        </w:rPr>
        <w:t> - </w:t>
      </w:r>
      <w:r w:rsidR="00222420" w:rsidRPr="009118AB">
        <w:rPr>
          <w:i/>
        </w:rPr>
        <w:t xml:space="preserve">in Kraft </w:t>
      </w:r>
      <w:r w:rsidRPr="009118AB">
        <w:rPr>
          <w:i/>
        </w:rPr>
        <w:t>ab dem Steuerjahr 2016</w:t>
      </w:r>
      <w:r w:rsidR="00D67EB8" w:rsidRPr="009118AB">
        <w:rPr>
          <w:i/>
        </w:rPr>
        <w:t> - </w:t>
      </w:r>
      <w:r w:rsidR="00D34E0F" w:rsidRPr="009118AB">
        <w:rPr>
          <w:i/>
        </w:rPr>
        <w:t xml:space="preserve">und </w:t>
      </w:r>
      <w:r w:rsidR="009B3D44" w:rsidRPr="009118AB">
        <w:rPr>
          <w:i/>
        </w:rPr>
        <w:t>aufgehoben durch Art. 120</w:t>
      </w:r>
      <w:r w:rsidR="009B3D44" w:rsidRPr="009118AB">
        <w:rPr>
          <w:bCs/>
          <w:i/>
          <w:iCs/>
        </w:rPr>
        <w:t xml:space="preserve"> des G. vom 26. Dezember 2022</w:t>
      </w:r>
      <w:r w:rsidR="00236038" w:rsidRPr="009118AB">
        <w:rPr>
          <w:bCs/>
          <w:i/>
          <w:iCs/>
        </w:rPr>
        <w:t> (I)</w:t>
      </w:r>
      <w:r w:rsidR="009B3D44" w:rsidRPr="009118AB">
        <w:rPr>
          <w:bCs/>
          <w:i/>
          <w:iCs/>
        </w:rPr>
        <w:t xml:space="preserve"> (B.S. vom 30. Dezember 2022) - anwendbar auf die Besteuerungszeit</w:t>
      </w:r>
      <w:r w:rsidR="00236038" w:rsidRPr="009118AB">
        <w:rPr>
          <w:bCs/>
          <w:i/>
          <w:iCs/>
        </w:rPr>
        <w:softHyphen/>
      </w:r>
      <w:r w:rsidR="009B3D44" w:rsidRPr="009118AB">
        <w:rPr>
          <w:bCs/>
          <w:i/>
          <w:iCs/>
        </w:rPr>
        <w:t>räume, die ab dem 31. Dezember 2023 enden -</w:t>
      </w:r>
      <w:r w:rsidR="00FD68E8" w:rsidRPr="009118AB">
        <w:rPr>
          <w:i/>
          <w:iCs/>
          <w:spacing w:val="-4"/>
        </w:rPr>
        <w:t>]</w:t>
      </w:r>
    </w:p>
    <w:p w14:paraId="5E318F28" w14:textId="77777777" w:rsidR="00477B8F" w:rsidRPr="009118AB" w:rsidRDefault="00477B8F" w:rsidP="00477B8F">
      <w:pPr>
        <w:autoSpaceDE w:val="0"/>
        <w:autoSpaceDN w:val="0"/>
        <w:adjustRightInd w:val="0"/>
        <w:jc w:val="both"/>
      </w:pPr>
    </w:p>
    <w:p w14:paraId="2E4DE4D9" w14:textId="77777777" w:rsidR="00477B8F" w:rsidRPr="009118AB" w:rsidRDefault="00477B8F" w:rsidP="00477B8F">
      <w:pPr>
        <w:autoSpaceDE w:val="0"/>
        <w:autoSpaceDN w:val="0"/>
        <w:adjustRightInd w:val="0"/>
        <w:jc w:val="both"/>
        <w:rPr>
          <w:i/>
          <w:iCs/>
        </w:rPr>
      </w:pPr>
    </w:p>
    <w:p w14:paraId="7D512136" w14:textId="1931384F"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240</w:t>
      </w:r>
      <w:r w:rsidR="00D67EB8" w:rsidRPr="009118AB">
        <w:t> - </w:t>
      </w:r>
      <w:r w:rsidRPr="009118AB">
        <w:t xml:space="preserve">Bei den in Artikel 227 </w:t>
      </w:r>
      <w:r w:rsidR="00D67EB8" w:rsidRPr="009118AB">
        <w:t>Nr. </w:t>
      </w:r>
      <w:r w:rsidRPr="009118AB">
        <w:t xml:space="preserve">2 erwähnten Gesellschaften, Vereinigungen, Niederlassungen oder Einrichtungen umfasst der steuerpflichtige Gewinn den Gesamtbetrag der in Belgien bezogenen Einkünfte mit alleinigem Abzug als Werbungskosten wie in Artikel 195 erwähnt der Entlohnungen und diesbezüglichen Soziallasten, die auf die Ergebnisse </w:t>
      </w:r>
      <w:r w:rsidR="00B634E1" w:rsidRPr="009118AB">
        <w:t>[einer belgischen Niederlassung angerechnet werden, über die diese Steuerpflichtigen verfügen]</w:t>
      </w:r>
      <w:r w:rsidRPr="009118AB">
        <w:t>, aufgrund der in dieser Niederlassung ausgeübten Tätigkeit.</w:t>
      </w:r>
    </w:p>
    <w:p w14:paraId="2C74004A" w14:textId="77777777" w:rsidR="00477B8F" w:rsidRPr="009118AB" w:rsidRDefault="00477B8F" w:rsidP="00477B8F">
      <w:pPr>
        <w:autoSpaceDE w:val="0"/>
        <w:autoSpaceDN w:val="0"/>
        <w:adjustRightInd w:val="0"/>
        <w:jc w:val="both"/>
      </w:pPr>
    </w:p>
    <w:p w14:paraId="793BF178" w14:textId="77777777" w:rsidR="00477B8F" w:rsidRPr="009118AB" w:rsidRDefault="00477B8F" w:rsidP="00477B8F">
      <w:pPr>
        <w:autoSpaceDE w:val="0"/>
        <w:autoSpaceDN w:val="0"/>
        <w:adjustRightInd w:val="0"/>
        <w:jc w:val="both"/>
      </w:pPr>
      <w:r w:rsidRPr="009118AB">
        <w:tab/>
        <w:t>[...]</w:t>
      </w:r>
    </w:p>
    <w:p w14:paraId="0BAB7997" w14:textId="77777777" w:rsidR="00477B8F" w:rsidRPr="009118AB" w:rsidRDefault="00477B8F" w:rsidP="00477B8F">
      <w:pPr>
        <w:autoSpaceDE w:val="0"/>
        <w:autoSpaceDN w:val="0"/>
        <w:adjustRightInd w:val="0"/>
        <w:jc w:val="both"/>
      </w:pPr>
    </w:p>
    <w:p w14:paraId="4C644609" w14:textId="77777777" w:rsidR="00477B8F" w:rsidRPr="009118AB" w:rsidRDefault="00477B8F" w:rsidP="00477B8F">
      <w:pPr>
        <w:autoSpaceDE w:val="0"/>
        <w:autoSpaceDN w:val="0"/>
        <w:adjustRightInd w:val="0"/>
        <w:jc w:val="both"/>
      </w:pPr>
      <w:r w:rsidRPr="009118AB">
        <w:tab/>
        <w:t xml:space="preserve">[Für die in Absatz 1 erwähnten Gesellschaften sind die Bestimmungen in Bezug auf den Investitionsabzug </w:t>
      </w:r>
      <w:r w:rsidR="00872410" w:rsidRPr="009118AB">
        <w:t xml:space="preserve">[und die Steuergutschrift für Forschung und Entwicklung] </w:t>
      </w:r>
      <w:r w:rsidRPr="009118AB">
        <w:t>die auf die Gesellschaftssteuer anwendbaren Bestimmungen.]</w:t>
      </w:r>
    </w:p>
    <w:p w14:paraId="3DDF993E" w14:textId="77777777" w:rsidR="00477B8F" w:rsidRPr="009118AB" w:rsidRDefault="00477B8F" w:rsidP="00477B8F">
      <w:pPr>
        <w:autoSpaceDE w:val="0"/>
        <w:autoSpaceDN w:val="0"/>
        <w:adjustRightInd w:val="0"/>
        <w:jc w:val="both"/>
      </w:pPr>
    </w:p>
    <w:p w14:paraId="4606AE6C" w14:textId="4A724724" w:rsidR="00477B8F" w:rsidRPr="009118AB" w:rsidRDefault="00477B8F" w:rsidP="00477B8F">
      <w:pPr>
        <w:autoSpaceDE w:val="0"/>
        <w:autoSpaceDN w:val="0"/>
        <w:adjustRightInd w:val="0"/>
        <w:jc w:val="both"/>
        <w:rPr>
          <w:iCs/>
        </w:rPr>
      </w:pPr>
      <w:r w:rsidRPr="009118AB">
        <w:rPr>
          <w:i/>
          <w:iCs/>
        </w:rPr>
        <w:t>[</w:t>
      </w:r>
      <w:r w:rsidR="00D67EB8" w:rsidRPr="009118AB">
        <w:rPr>
          <w:i/>
          <w:iCs/>
        </w:rPr>
        <w:t>Art. </w:t>
      </w:r>
      <w:r w:rsidRPr="009118AB">
        <w:rPr>
          <w:i/>
          <w:iCs/>
        </w:rPr>
        <w:t xml:space="preserve">240 </w:t>
      </w:r>
      <w:r w:rsidR="00D67EB8" w:rsidRPr="009118AB">
        <w:rPr>
          <w:i/>
          <w:iCs/>
        </w:rPr>
        <w:t>Abs. </w:t>
      </w:r>
      <w:r w:rsidR="00B634E1" w:rsidRPr="009118AB">
        <w:rPr>
          <w:i/>
          <w:iCs/>
        </w:rPr>
        <w:t xml:space="preserve">1 abgeändert durch </w:t>
      </w:r>
      <w:r w:rsidR="00D67EB8" w:rsidRPr="009118AB">
        <w:rPr>
          <w:i/>
          <w:iCs/>
        </w:rPr>
        <w:t>Art. </w:t>
      </w:r>
      <w:r w:rsidR="00B634E1" w:rsidRPr="009118AB">
        <w:rPr>
          <w:i/>
          <w:iCs/>
        </w:rPr>
        <w:t>65 des G. vom 13. Dezember 2012 (B.S. vom 20. Dezember 2012)</w:t>
      </w:r>
      <w:r w:rsidR="00D67EB8" w:rsidRPr="009118AB">
        <w:rPr>
          <w:i/>
          <w:iCs/>
        </w:rPr>
        <w:t> - </w:t>
      </w:r>
      <w:r w:rsidR="00B634E1" w:rsidRPr="009118AB">
        <w:rPr>
          <w:i/>
          <w:iCs/>
        </w:rPr>
        <w:t>anwendbar ab dem 1. Januar 2013</w:t>
      </w:r>
      <w:r w:rsidR="003366D9" w:rsidRPr="009118AB">
        <w:rPr>
          <w:i/>
          <w:iCs/>
        </w:rPr>
        <w:t> -;</w:t>
      </w:r>
      <w:r w:rsidR="00B634E1" w:rsidRPr="009118AB">
        <w:rPr>
          <w:i/>
          <w:iCs/>
        </w:rPr>
        <w:t xml:space="preserve"> </w:t>
      </w:r>
      <w:r w:rsidRPr="009118AB">
        <w:rPr>
          <w:i/>
          <w:iCs/>
        </w:rPr>
        <w:t xml:space="preserve">früherer Absatz 2 eingefügt durch </w:t>
      </w:r>
      <w:r w:rsidR="00D67EB8" w:rsidRPr="009118AB">
        <w:rPr>
          <w:i/>
          <w:iCs/>
        </w:rPr>
        <w:t>Art. </w:t>
      </w:r>
      <w:r w:rsidRPr="009118AB">
        <w:rPr>
          <w:i/>
          <w:iCs/>
        </w:rPr>
        <w:t>56 des G. vom 10. März 1999 (B.S. vom 14. April 1999)</w:t>
      </w:r>
      <w:r w:rsidR="00D67EB8" w:rsidRPr="009118AB">
        <w:rPr>
          <w:i/>
          <w:iCs/>
        </w:rPr>
        <w:t> - </w:t>
      </w:r>
      <w:r w:rsidRPr="009118AB">
        <w:rPr>
          <w:i/>
          <w:iCs/>
        </w:rPr>
        <w:t>in Kraft ab dem 14. April 1999</w:t>
      </w:r>
      <w:r w:rsidR="00D67EB8" w:rsidRPr="009118AB">
        <w:rPr>
          <w:i/>
          <w:iCs/>
        </w:rPr>
        <w:t> - </w:t>
      </w:r>
      <w:r w:rsidRPr="009118AB">
        <w:rPr>
          <w:rFonts w:ascii="Times New Roman Italique" w:hAnsi="Times New Roman Italique"/>
          <w:i/>
          <w:iCs/>
          <w:spacing w:val="2"/>
        </w:rPr>
        <w:t xml:space="preserve">und aufgehoben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52 des G. vom 15. Dezember 20</w:t>
      </w:r>
      <w:r w:rsidR="004F7F42" w:rsidRPr="009118AB">
        <w:rPr>
          <w:rFonts w:ascii="Times New Roman Italique" w:hAnsi="Times New Roman Italique"/>
          <w:i/>
          <w:iCs/>
          <w:spacing w:val="2"/>
        </w:rPr>
        <w:t>04 (B.S. vom 1. Februar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Aktien- oder Anteilverleihe, die ab dem 1. Februar 2005 abgeschlossen werden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29 des G.</w:t>
      </w:r>
      <w:r w:rsidR="00FB0DE1" w:rsidRPr="009118AB">
        <w:rPr>
          <w:rFonts w:ascii="Times New Roman Italique" w:hAnsi="Times New Roman Italique"/>
          <w:i/>
          <w:iCs/>
          <w:spacing w:val="2"/>
        </w:rPr>
        <w:t> </w:t>
      </w:r>
      <w:r w:rsidRPr="009118AB">
        <w:rPr>
          <w:rFonts w:ascii="Times New Roman Italique" w:hAnsi="Times New Roman Italique"/>
          <w:i/>
          <w:iCs/>
          <w:spacing w:val="2"/>
        </w:rPr>
        <w:t>vom 28. Juli 1992 (B.S. vom 31. Juli</w:t>
      </w:r>
      <w:r w:rsidR="004F7F42" w:rsidRPr="009118AB">
        <w:rPr>
          <w:rFonts w:ascii="Times New Roman Italique" w:hAnsi="Times New Roman Italique"/>
          <w:i/>
          <w:iCs/>
          <w:spacing w:val="2"/>
        </w:rPr>
        <w:t> 1992)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anwendbar </w:t>
      </w:r>
      <w:r w:rsidRPr="009118AB">
        <w:rPr>
          <w:i/>
          <w:iCs/>
        </w:rPr>
        <w:t>auf die ab dem 27. März 1992 erworbenen oder gebildeten Anlagen</w:t>
      </w:r>
      <w:r w:rsidR="00FD68E8" w:rsidRPr="009118AB">
        <w:rPr>
          <w:i/>
          <w:iCs/>
        </w:rPr>
        <w:t> -,</w:t>
      </w:r>
      <w:r w:rsidRPr="009118AB">
        <w:rPr>
          <w:i/>
          <w:iCs/>
        </w:rPr>
        <w:t xml:space="preserve"> ersetzt durch </w:t>
      </w:r>
      <w:r w:rsidR="00D67EB8" w:rsidRPr="009118AB">
        <w:rPr>
          <w:i/>
          <w:iCs/>
        </w:rPr>
        <w:t>Art. </w:t>
      </w:r>
      <w:r w:rsidRPr="009118AB">
        <w:rPr>
          <w:i/>
          <w:iCs/>
        </w:rPr>
        <w:t>122 des G. vom 23. Dezember 2005 (B.S. vom 30. Dezember 2005)</w:t>
      </w:r>
      <w:r w:rsidR="00D67EB8" w:rsidRPr="009118AB">
        <w:rPr>
          <w:i/>
          <w:iCs/>
        </w:rPr>
        <w:t> - </w:t>
      </w:r>
      <w:r w:rsidRPr="009118AB">
        <w:rPr>
          <w:i/>
          <w:iCs/>
        </w:rPr>
        <w:t>in Kraft ab dem Steuerjahr 2007</w:t>
      </w:r>
      <w:r w:rsidR="00D67EB8" w:rsidRPr="009118AB">
        <w:rPr>
          <w:i/>
          <w:iCs/>
        </w:rPr>
        <w:t> - </w:t>
      </w:r>
      <w:r w:rsidR="00872410" w:rsidRPr="009118AB">
        <w:rPr>
          <w:i/>
          <w:iCs/>
        </w:rPr>
        <w:t xml:space="preserve">und abgeändert durch </w:t>
      </w:r>
      <w:r w:rsidR="00D67EB8" w:rsidRPr="009118AB">
        <w:rPr>
          <w:i/>
          <w:iCs/>
        </w:rPr>
        <w:t>Art. </w:t>
      </w:r>
      <w:r w:rsidR="00872410" w:rsidRPr="009118AB">
        <w:rPr>
          <w:i/>
          <w:iCs/>
        </w:rPr>
        <w:t>151 des G. (I) vom 22. Dezember 2008 (II) (B.S. vom 29. Dezember 2008)</w:t>
      </w:r>
      <w:r w:rsidR="00D67EB8" w:rsidRPr="009118AB">
        <w:rPr>
          <w:i/>
          <w:iCs/>
        </w:rPr>
        <w:t> - </w:t>
      </w:r>
      <w:r w:rsidR="00872410" w:rsidRPr="009118AB">
        <w:rPr>
          <w:i/>
          <w:iCs/>
        </w:rPr>
        <w:t>anwendbar ab dem Steuerjahr 2009</w:t>
      </w:r>
      <w:r w:rsidR="00FD68E8" w:rsidRPr="009118AB">
        <w:rPr>
          <w:i/>
          <w:iCs/>
        </w:rPr>
        <w:t> -]</w:t>
      </w:r>
    </w:p>
    <w:p w14:paraId="095E4958" w14:textId="77777777" w:rsidR="00CF2F47" w:rsidRPr="009118AB" w:rsidRDefault="00CF2F47" w:rsidP="00477B8F">
      <w:pPr>
        <w:autoSpaceDE w:val="0"/>
        <w:autoSpaceDN w:val="0"/>
        <w:adjustRightInd w:val="0"/>
        <w:jc w:val="both"/>
        <w:rPr>
          <w:iCs/>
        </w:rPr>
      </w:pPr>
    </w:p>
    <w:p w14:paraId="01305BDC" w14:textId="77777777" w:rsidR="00CF2F47" w:rsidRPr="009118AB" w:rsidRDefault="00CF2F47" w:rsidP="00477B8F">
      <w:pPr>
        <w:autoSpaceDE w:val="0"/>
        <w:autoSpaceDN w:val="0"/>
        <w:adjustRightInd w:val="0"/>
        <w:jc w:val="both"/>
        <w:rPr>
          <w:iCs/>
        </w:rPr>
      </w:pPr>
    </w:p>
    <w:p w14:paraId="3740C4D0" w14:textId="2361F525" w:rsidR="00CF2F47" w:rsidRPr="009118AB" w:rsidRDefault="00201134" w:rsidP="00CF2F47">
      <w:pPr>
        <w:autoSpaceDE w:val="0"/>
        <w:autoSpaceDN w:val="0"/>
        <w:adjustRightInd w:val="0"/>
        <w:jc w:val="both"/>
        <w:rPr>
          <w:iCs/>
        </w:rPr>
      </w:pPr>
      <w:r w:rsidRPr="009118AB">
        <w:rPr>
          <w:iCs/>
          <w:sz w:val="20"/>
          <w:szCs w:val="20"/>
        </w:rPr>
        <w:tab/>
      </w:r>
      <w:r w:rsidRPr="009118AB">
        <w:rPr>
          <w:iCs/>
        </w:rPr>
        <w:t>[</w:t>
      </w:r>
      <w:r w:rsidR="00D67EB8" w:rsidRPr="009118AB">
        <w:rPr>
          <w:b/>
          <w:iCs/>
        </w:rPr>
        <w:t>Art. </w:t>
      </w:r>
      <w:r w:rsidR="00CF2F47" w:rsidRPr="009118AB">
        <w:rPr>
          <w:b/>
          <w:iCs/>
        </w:rPr>
        <w:t>240</w:t>
      </w:r>
      <w:r w:rsidR="00CF2F47" w:rsidRPr="009118AB">
        <w:rPr>
          <w:b/>
          <w:i/>
          <w:iCs/>
        </w:rPr>
        <w:t>bis</w:t>
      </w:r>
      <w:r w:rsidR="00D67EB8" w:rsidRPr="009118AB">
        <w:rPr>
          <w:iCs/>
        </w:rPr>
        <w:t> - § </w:t>
      </w:r>
      <w:r w:rsidR="00CF2F47" w:rsidRPr="009118AB">
        <w:rPr>
          <w:iCs/>
        </w:rPr>
        <w:t>1</w:t>
      </w:r>
      <w:r w:rsidR="00D67EB8" w:rsidRPr="009118AB">
        <w:rPr>
          <w:iCs/>
        </w:rPr>
        <w:t> - </w:t>
      </w:r>
      <w:r w:rsidR="008126F2" w:rsidRPr="009118AB">
        <w:rPr>
          <w:iCs/>
        </w:rPr>
        <w:t>[</w:t>
      </w:r>
      <w:r w:rsidR="008126F2" w:rsidRPr="009118AB">
        <w:t xml:space="preserve">Die Einschränkungen in Bezug auf die Übertragung von beruflichen Verlusten und in Artikel 205 </w:t>
      </w:r>
      <w:r w:rsidR="00D67EB8" w:rsidRPr="009118AB">
        <w:t>§ </w:t>
      </w:r>
      <w:r w:rsidR="008126F2" w:rsidRPr="009118AB">
        <w:t xml:space="preserve">3 erwähnten Einkünften wie in Artikel 206 </w:t>
      </w:r>
      <w:r w:rsidR="00D67EB8" w:rsidRPr="009118AB">
        <w:t>§ </w:t>
      </w:r>
      <w:r w:rsidR="008126F2" w:rsidRPr="009118AB">
        <w:t>2 erwähnt</w:t>
      </w:r>
      <w:r w:rsidR="008126F2" w:rsidRPr="009118AB">
        <w:rPr>
          <w:iCs/>
        </w:rPr>
        <w:t>]</w:t>
      </w:r>
      <w:r w:rsidR="00CF2F47" w:rsidRPr="009118AB">
        <w:rPr>
          <w:iCs/>
        </w:rPr>
        <w:t xml:space="preserve"> sind anwendbar, was die in den Artikeln 229 </w:t>
      </w:r>
      <w:r w:rsidR="00D67EB8" w:rsidRPr="009118AB">
        <w:rPr>
          <w:iCs/>
        </w:rPr>
        <w:t>§ </w:t>
      </w:r>
      <w:r w:rsidR="00CF2F47" w:rsidRPr="009118AB">
        <w:rPr>
          <w:iCs/>
        </w:rPr>
        <w:t>4 Absatz 5 und 231 erwähnten Vorgänge betrifft:</w:t>
      </w:r>
    </w:p>
    <w:p w14:paraId="4ACB3AC0" w14:textId="77777777" w:rsidR="00CF2F47" w:rsidRPr="009118AB" w:rsidRDefault="00CF2F47" w:rsidP="00CF2F47">
      <w:pPr>
        <w:autoSpaceDE w:val="0"/>
        <w:autoSpaceDN w:val="0"/>
        <w:adjustRightInd w:val="0"/>
        <w:jc w:val="both"/>
        <w:rPr>
          <w:iCs/>
        </w:rPr>
      </w:pPr>
    </w:p>
    <w:p w14:paraId="7199BF39" w14:textId="46B19D9D" w:rsidR="00CF2F47" w:rsidRPr="009118AB" w:rsidRDefault="00201134" w:rsidP="00CF2F47">
      <w:pPr>
        <w:autoSpaceDE w:val="0"/>
        <w:autoSpaceDN w:val="0"/>
        <w:adjustRightInd w:val="0"/>
        <w:jc w:val="both"/>
        <w:rPr>
          <w:iCs/>
          <w:spacing w:val="2"/>
        </w:rPr>
      </w:pPr>
      <w:r w:rsidRPr="009118AB">
        <w:rPr>
          <w:iCs/>
          <w:spacing w:val="2"/>
        </w:rPr>
        <w:tab/>
      </w:r>
      <w:r w:rsidR="00CF2F47" w:rsidRPr="009118AB">
        <w:rPr>
          <w:iCs/>
          <w:spacing w:val="2"/>
        </w:rPr>
        <w:t xml:space="preserve">1. </w:t>
      </w:r>
      <w:r w:rsidR="008126F2" w:rsidRPr="009118AB">
        <w:rPr>
          <w:iCs/>
          <w:spacing w:val="2"/>
        </w:rPr>
        <w:t>[</w:t>
      </w:r>
      <w:r w:rsidR="008126F2" w:rsidRPr="009118AB">
        <w:t xml:space="preserve">Berufliche Verluste und in Artikel 205 </w:t>
      </w:r>
      <w:r w:rsidR="00D67EB8" w:rsidRPr="009118AB">
        <w:t>§ </w:t>
      </w:r>
      <w:r w:rsidR="008126F2" w:rsidRPr="009118AB">
        <w:t>3 erwähnte Einkünfte, die die übernehmende oder begünstigte Gesellschaft vor dem Vorgang in ihrer vor dem Vorgang bestehenden belgischen Niederlassung noch nicht abziehen konnte</w:t>
      </w:r>
      <w:r w:rsidR="008126F2" w:rsidRPr="009118AB">
        <w:rPr>
          <w:iCs/>
          <w:spacing w:val="2"/>
        </w:rPr>
        <w:t>]</w:t>
      </w:r>
      <w:r w:rsidR="00CF2F47" w:rsidRPr="009118AB">
        <w:rPr>
          <w:iCs/>
          <w:spacing w:val="2"/>
        </w:rPr>
        <w:t>, bleiben nach dem Vorgang nur abzugsfähig nach Verhältnis des proportionalen Teils des Nettosteuerwertes dieser Niederlas</w:t>
      </w:r>
      <w:r w:rsidR="00CF2F47" w:rsidRPr="009118AB">
        <w:rPr>
          <w:iCs/>
          <w:spacing w:val="2"/>
        </w:rPr>
        <w:softHyphen/>
        <w:t>sung vor dem Vorgang in der Gesamtsumme des Nettosteuerwertes der Niederlassung und des Nettosteuerwertes vor dem Vorgang der anlässlich des Vorgangs in die Niederlassung eingebrachten oder übertragenen und dort belassenen Bestandteile.</w:t>
      </w:r>
    </w:p>
    <w:p w14:paraId="3249E7FE" w14:textId="77777777" w:rsidR="00CF2F47" w:rsidRPr="009118AB" w:rsidRDefault="00201134" w:rsidP="00CF2F47">
      <w:pPr>
        <w:autoSpaceDE w:val="0"/>
        <w:autoSpaceDN w:val="0"/>
        <w:adjustRightInd w:val="0"/>
        <w:jc w:val="both"/>
        <w:rPr>
          <w:iCs/>
          <w:spacing w:val="2"/>
        </w:rPr>
      </w:pPr>
      <w:r w:rsidRPr="009118AB">
        <w:rPr>
          <w:iCs/>
          <w:spacing w:val="2"/>
        </w:rPr>
        <w:tab/>
      </w:r>
    </w:p>
    <w:p w14:paraId="5855BF88" w14:textId="20CC4187" w:rsidR="00CF2F47" w:rsidRPr="009118AB" w:rsidRDefault="00201134" w:rsidP="00CF2F47">
      <w:pPr>
        <w:autoSpaceDE w:val="0"/>
        <w:autoSpaceDN w:val="0"/>
        <w:adjustRightInd w:val="0"/>
        <w:jc w:val="both"/>
        <w:rPr>
          <w:iCs/>
          <w:spacing w:val="2"/>
        </w:rPr>
      </w:pPr>
      <w:r w:rsidRPr="009118AB">
        <w:rPr>
          <w:iCs/>
          <w:spacing w:val="2"/>
        </w:rPr>
        <w:tab/>
      </w:r>
      <w:r w:rsidR="00CF2F47" w:rsidRPr="009118AB">
        <w:rPr>
          <w:iCs/>
          <w:spacing w:val="2"/>
        </w:rPr>
        <w:t xml:space="preserve">2. </w:t>
      </w:r>
      <w:r w:rsidR="008126F2" w:rsidRPr="009118AB">
        <w:rPr>
          <w:iCs/>
          <w:spacing w:val="2"/>
        </w:rPr>
        <w:t>[</w:t>
      </w:r>
      <w:r w:rsidR="008126F2" w:rsidRPr="009118AB">
        <w:t xml:space="preserve">Berufliche Verluste und in Artikel 205 </w:t>
      </w:r>
      <w:r w:rsidR="00D67EB8" w:rsidRPr="009118AB">
        <w:t>§ </w:t>
      </w:r>
      <w:r w:rsidR="008126F2" w:rsidRPr="009118AB">
        <w:t>3 erwähnte Einkünfte, die die übertragende oder aufgespaltene inländische Gesellschaft vor dem Vorgang noch nicht abziehen konnte oder die die übertragende oder aufgespaltene innereuropäische Gesellschaft vor dem Vorgang in einer belgischen Niederlassung, über die diese Gesellschaft vor dem Vorgang verfügte, noch nicht abziehen konnte</w:t>
      </w:r>
      <w:r w:rsidR="008126F2" w:rsidRPr="009118AB">
        <w:rPr>
          <w:iCs/>
          <w:spacing w:val="2"/>
        </w:rPr>
        <w:t>]</w:t>
      </w:r>
      <w:r w:rsidR="00CF2F47" w:rsidRPr="009118AB">
        <w:rPr>
          <w:iCs/>
          <w:spacing w:val="2"/>
        </w:rPr>
        <w:t>, sind nach dem Vorgang bei der belgischen Niederlassung der übernehmenden oder begünstigten Gesellschaft abzugsfähig nach Verhältnis des proportionalen Teils des Nettosteuerwertes vor dem Vorgang der anlässlich des Vorgangs in die Niederlassung eingebrachten oder übertra</w:t>
      </w:r>
      <w:r w:rsidR="00CF2F47" w:rsidRPr="009118AB">
        <w:rPr>
          <w:iCs/>
          <w:spacing w:val="2"/>
        </w:rPr>
        <w:softHyphen/>
        <w:t xml:space="preserve">genen Bestandteile in der Gesamtsumme der Nettosteuerwerte, ebenfalls vor dem Vorgang, der vor dem Vorgang bestehenden belgischen </w:t>
      </w:r>
      <w:r w:rsidR="00CF2F47" w:rsidRPr="009118AB">
        <w:rPr>
          <w:iCs/>
          <w:spacing w:val="2"/>
        </w:rPr>
        <w:lastRenderedPageBreak/>
        <w:t>Niederlassung der übernehmenden oder be</w:t>
      </w:r>
      <w:r w:rsidR="00CF2F47" w:rsidRPr="009118AB">
        <w:rPr>
          <w:iCs/>
          <w:spacing w:val="2"/>
        </w:rPr>
        <w:softHyphen/>
        <w:t>günstigten Gesellschaft und der anlässlich des Vorgangs in die Niederlassung eingebrachten oder übertragenen Bestandteile.</w:t>
      </w:r>
    </w:p>
    <w:p w14:paraId="6CA1B073" w14:textId="7A76970C" w:rsidR="00CA0146" w:rsidRPr="009118AB" w:rsidRDefault="00CA0146">
      <w:pPr>
        <w:rPr>
          <w:iCs/>
        </w:rPr>
      </w:pPr>
    </w:p>
    <w:p w14:paraId="328DA025" w14:textId="65A49507" w:rsidR="008126F2" w:rsidRPr="009118AB" w:rsidRDefault="008126F2">
      <w:pPr>
        <w:rPr>
          <w:iCs/>
        </w:rPr>
      </w:pPr>
      <w:r w:rsidRPr="009118AB">
        <w:rPr>
          <w:iCs/>
        </w:rPr>
        <w:tab/>
        <w:t>[</w:t>
      </w:r>
      <w:r w:rsidRPr="009118AB">
        <w:t xml:space="preserve">Für die Anwendung des vorliegenden Paragraphen wird davon ausgegangen, dass die Einschränkung der Abzugsfähigkeit sich zuerst auf die beruflichen Verluste und danach auf die in Artikel 205 </w:t>
      </w:r>
      <w:r w:rsidR="00D67EB8" w:rsidRPr="009118AB">
        <w:t>§ </w:t>
      </w:r>
      <w:r w:rsidRPr="009118AB">
        <w:t>3 erwähnten Einkünfte bezieht.</w:t>
      </w:r>
      <w:r w:rsidRPr="009118AB">
        <w:rPr>
          <w:iCs/>
        </w:rPr>
        <w:t>]</w:t>
      </w:r>
    </w:p>
    <w:p w14:paraId="4E8B0753" w14:textId="46A4E9E5" w:rsidR="008126F2" w:rsidRPr="009118AB" w:rsidRDefault="008126F2">
      <w:pPr>
        <w:rPr>
          <w:iCs/>
        </w:rPr>
      </w:pPr>
      <w:r w:rsidRPr="009118AB">
        <w:rPr>
          <w:iCs/>
        </w:rPr>
        <w:tab/>
      </w:r>
    </w:p>
    <w:p w14:paraId="11FB2923" w14:textId="0F7216A2" w:rsidR="00CF2F47" w:rsidRPr="009118AB" w:rsidRDefault="00201134" w:rsidP="00CF2F47">
      <w:pPr>
        <w:autoSpaceDE w:val="0"/>
        <w:autoSpaceDN w:val="0"/>
        <w:adjustRightInd w:val="0"/>
        <w:jc w:val="both"/>
        <w:rPr>
          <w:iCs/>
        </w:rPr>
      </w:pPr>
      <w:r w:rsidRPr="009118AB">
        <w:rPr>
          <w:iCs/>
        </w:rPr>
        <w:tab/>
      </w:r>
      <w:r w:rsidR="00D67EB8" w:rsidRPr="009118AB">
        <w:rPr>
          <w:iCs/>
        </w:rPr>
        <w:t>§ </w:t>
      </w:r>
      <w:r w:rsidR="00CF2F47" w:rsidRPr="009118AB">
        <w:rPr>
          <w:iCs/>
        </w:rPr>
        <w:t>2</w:t>
      </w:r>
      <w:r w:rsidR="00D67EB8" w:rsidRPr="009118AB">
        <w:rPr>
          <w:iCs/>
        </w:rPr>
        <w:t> - </w:t>
      </w:r>
      <w:r w:rsidR="00CF2F47" w:rsidRPr="009118AB">
        <w:rPr>
          <w:iCs/>
        </w:rPr>
        <w:t xml:space="preserve">Im Falle der Verlegung </w:t>
      </w:r>
      <w:r w:rsidR="00A10BFF" w:rsidRPr="009118AB">
        <w:rPr>
          <w:iCs/>
        </w:rPr>
        <w:t>[…]</w:t>
      </w:r>
      <w:r w:rsidR="00CF2F47" w:rsidRPr="009118AB">
        <w:rPr>
          <w:iCs/>
        </w:rPr>
        <w:t xml:space="preserve"> der Hauptniederlassung oder des Geschäftsführungs- oder Verwaltungssitzes </w:t>
      </w:r>
      <w:r w:rsidR="0076553C" w:rsidRPr="009118AB">
        <w:rPr>
          <w:iCs/>
        </w:rPr>
        <w:t>[</w:t>
      </w:r>
      <w:r w:rsidR="0076553C" w:rsidRPr="009118AB">
        <w:t>durch eine inländische Gesellschaft]</w:t>
      </w:r>
      <w:r w:rsidR="0076553C" w:rsidRPr="009118AB">
        <w:rPr>
          <w:iCs/>
        </w:rPr>
        <w:t xml:space="preserve"> </w:t>
      </w:r>
      <w:r w:rsidR="00CF2F47" w:rsidRPr="009118AB">
        <w:rPr>
          <w:iCs/>
        </w:rPr>
        <w:t>in einen anderen Mitgliedstaat der Europäischen Union in An</w:t>
      </w:r>
      <w:r w:rsidR="00CF2F47" w:rsidRPr="009118AB">
        <w:rPr>
          <w:iCs/>
        </w:rPr>
        <w:softHyphen/>
        <w:t>wendung der Bestimmung von Artikel 214</w:t>
      </w:r>
      <w:r w:rsidR="00CF2F47" w:rsidRPr="009118AB">
        <w:rPr>
          <w:i/>
          <w:iCs/>
        </w:rPr>
        <w:t>bis</w:t>
      </w:r>
      <w:r w:rsidR="00CF2F47" w:rsidRPr="009118AB">
        <w:rPr>
          <w:iCs/>
        </w:rPr>
        <w:t xml:space="preserve"> sind nur die beruflichen Verluste, die die Gesellschaft vor dieser Verlegung in Belgien hatte, in der belgischen Niederlassung, über die die Gesellschaft nach dieser Verlegung verfügt, abzugsfähig.]</w:t>
      </w:r>
    </w:p>
    <w:p w14:paraId="6B65D2D8" w14:textId="77777777" w:rsidR="00CF2F47" w:rsidRPr="009118AB" w:rsidRDefault="00CF2F47" w:rsidP="00CF2F47">
      <w:pPr>
        <w:autoSpaceDE w:val="0"/>
        <w:autoSpaceDN w:val="0"/>
        <w:adjustRightInd w:val="0"/>
        <w:jc w:val="both"/>
        <w:rPr>
          <w:iCs/>
        </w:rPr>
      </w:pPr>
    </w:p>
    <w:p w14:paraId="3C568BF9" w14:textId="6F4F0361" w:rsidR="00CF2F47" w:rsidRPr="009118AB" w:rsidRDefault="00CF2F47" w:rsidP="00CF2F47">
      <w:pPr>
        <w:autoSpaceDE w:val="0"/>
        <w:autoSpaceDN w:val="0"/>
        <w:adjustRightInd w:val="0"/>
        <w:jc w:val="both"/>
      </w:pPr>
      <w:r w:rsidRPr="009118AB">
        <w:rPr>
          <w:i/>
          <w:iCs/>
        </w:rPr>
        <w:t>[</w:t>
      </w:r>
      <w:r w:rsidR="00D67EB8" w:rsidRPr="009118AB">
        <w:rPr>
          <w:i/>
          <w:iCs/>
        </w:rPr>
        <w:t>Art. </w:t>
      </w:r>
      <w:r w:rsidRPr="009118AB">
        <w:rPr>
          <w:i/>
          <w:iCs/>
        </w:rPr>
        <w:t xml:space="preserve">240bis eingefügt durch </w:t>
      </w:r>
      <w:r w:rsidR="00D67EB8" w:rsidRPr="009118AB">
        <w:rPr>
          <w:i/>
          <w:iCs/>
        </w:rPr>
        <w:t>Art. </w:t>
      </w:r>
      <w:r w:rsidRPr="009118AB">
        <w:rPr>
          <w:i/>
          <w:iCs/>
        </w:rPr>
        <w:t>30</w:t>
      </w:r>
      <w:r w:rsidRPr="009118AB">
        <w:rPr>
          <w:i/>
          <w:iCs/>
          <w:spacing w:val="-5"/>
        </w:rPr>
        <w:t xml:space="preserve"> des G. vom 11. Dezember 2008 (B.S. vom 12. Januar 2009)</w:t>
      </w:r>
      <w:r w:rsidR="00D67EB8" w:rsidRPr="009118AB">
        <w:rPr>
          <w:i/>
          <w:iCs/>
          <w:spacing w:val="-5"/>
        </w:rPr>
        <w:t> - </w:t>
      </w:r>
      <w:r w:rsidRPr="009118AB">
        <w:rPr>
          <w:i/>
          <w:iCs/>
        </w:rPr>
        <w:t>anwendbar auf Vorgänge oder Verlegungen, die ab dem 12. Januar 2009 statt</w:t>
      </w:r>
      <w:r w:rsidRPr="009118AB">
        <w:rPr>
          <w:i/>
          <w:iCs/>
        </w:rPr>
        <w:softHyphen/>
        <w:t>finden</w:t>
      </w:r>
      <w:r w:rsidR="003366D9" w:rsidRPr="009118AB">
        <w:rPr>
          <w:i/>
          <w:iCs/>
        </w:rPr>
        <w:t> -;</w:t>
      </w:r>
      <w:r w:rsidR="0076553C" w:rsidRPr="009118AB">
        <w:rPr>
          <w:i/>
          <w:iCs/>
        </w:rPr>
        <w:t xml:space="preserve"> </w:t>
      </w:r>
      <w:r w:rsidR="00D67EB8" w:rsidRPr="009118AB">
        <w:rPr>
          <w:i/>
          <w:iCs/>
        </w:rPr>
        <w:t>§ </w:t>
      </w:r>
      <w:r w:rsidR="008126F2" w:rsidRPr="009118AB">
        <w:rPr>
          <w:i/>
          <w:iCs/>
        </w:rPr>
        <w:t xml:space="preserve">1 </w:t>
      </w:r>
      <w:r w:rsidR="00D67EB8" w:rsidRPr="009118AB">
        <w:rPr>
          <w:i/>
          <w:iCs/>
        </w:rPr>
        <w:t>Abs. </w:t>
      </w:r>
      <w:r w:rsidR="008126F2" w:rsidRPr="009118AB">
        <w:rPr>
          <w:i/>
          <w:iCs/>
        </w:rPr>
        <w:t xml:space="preserve">1 einleitende Bestimmung abgeändert durch </w:t>
      </w:r>
      <w:r w:rsidR="00D67EB8" w:rsidRPr="009118AB">
        <w:rPr>
          <w:i/>
          <w:iCs/>
        </w:rPr>
        <w:t>Art. </w:t>
      </w:r>
      <w:r w:rsidR="008126F2" w:rsidRPr="009118AB">
        <w:rPr>
          <w:i/>
          <w:iCs/>
        </w:rPr>
        <w:t>76 Buchstabe a)</w:t>
      </w:r>
      <w:r w:rsidR="008126F2" w:rsidRPr="009118AB">
        <w:rPr>
          <w:bCs/>
          <w:i/>
          <w:iCs/>
        </w:rPr>
        <w:t xml:space="preserve"> des G. vom 27. Juni 2021 (B.S. vom 30. Juni 2021)</w:t>
      </w:r>
      <w:r w:rsidR="00D67EB8" w:rsidRPr="009118AB">
        <w:rPr>
          <w:bCs/>
          <w:i/>
          <w:iCs/>
        </w:rPr>
        <w:t> - </w:t>
      </w:r>
      <w:r w:rsidR="00836251" w:rsidRPr="009118AB">
        <w:rPr>
          <w:bCs/>
          <w:i/>
          <w:iCs/>
        </w:rPr>
        <w:t>anwendbar auf Vorgänge, die ab dem 1. Januar 2021 stattgefunden haben</w:t>
      </w:r>
      <w:r w:rsidR="003366D9" w:rsidRPr="009118AB">
        <w:rPr>
          <w:bCs/>
          <w:i/>
          <w:iCs/>
        </w:rPr>
        <w:t> -;</w:t>
      </w:r>
      <w:r w:rsidR="00836251" w:rsidRPr="009118AB">
        <w:rPr>
          <w:bCs/>
          <w:i/>
          <w:iCs/>
        </w:rPr>
        <w:t xml:space="preserve"> </w:t>
      </w:r>
      <w:r w:rsidR="00D67EB8" w:rsidRPr="009118AB">
        <w:rPr>
          <w:bCs/>
          <w:i/>
          <w:iCs/>
        </w:rPr>
        <w:t>§ </w:t>
      </w:r>
      <w:r w:rsidR="00836251" w:rsidRPr="009118AB">
        <w:rPr>
          <w:bCs/>
          <w:i/>
          <w:iCs/>
        </w:rPr>
        <w:t xml:space="preserve">1 </w:t>
      </w:r>
      <w:r w:rsidR="00D67EB8" w:rsidRPr="009118AB">
        <w:rPr>
          <w:bCs/>
          <w:i/>
          <w:iCs/>
        </w:rPr>
        <w:t>Abs. </w:t>
      </w:r>
      <w:r w:rsidR="00836251" w:rsidRPr="009118AB">
        <w:rPr>
          <w:bCs/>
          <w:i/>
          <w:iCs/>
        </w:rPr>
        <w:t xml:space="preserve">1 </w:t>
      </w:r>
      <w:r w:rsidR="00D67EB8" w:rsidRPr="009118AB">
        <w:rPr>
          <w:bCs/>
          <w:i/>
          <w:iCs/>
        </w:rPr>
        <w:t>Nr. </w:t>
      </w:r>
      <w:r w:rsidR="00836251" w:rsidRPr="009118AB">
        <w:rPr>
          <w:bCs/>
          <w:i/>
          <w:iCs/>
        </w:rPr>
        <w:t xml:space="preserve">1 abgeändert durch </w:t>
      </w:r>
      <w:r w:rsidR="00D67EB8" w:rsidRPr="009118AB">
        <w:rPr>
          <w:bCs/>
          <w:i/>
          <w:iCs/>
        </w:rPr>
        <w:t>Art. </w:t>
      </w:r>
      <w:r w:rsidR="00836251" w:rsidRPr="009118AB">
        <w:rPr>
          <w:i/>
          <w:iCs/>
        </w:rPr>
        <w:t>76 Buchstabe b)</w:t>
      </w:r>
      <w:r w:rsidR="00836251" w:rsidRPr="009118AB">
        <w:rPr>
          <w:bCs/>
          <w:i/>
          <w:iCs/>
        </w:rPr>
        <w:t xml:space="preserve"> des G. vom 27. Juni 2021 (B.S. vom 30. Juni 2021)</w:t>
      </w:r>
      <w:r w:rsidR="00D67EB8" w:rsidRPr="009118AB">
        <w:rPr>
          <w:bCs/>
          <w:i/>
          <w:iCs/>
        </w:rPr>
        <w:t> - </w:t>
      </w:r>
      <w:r w:rsidR="00836251" w:rsidRPr="009118AB">
        <w:rPr>
          <w:bCs/>
          <w:i/>
          <w:iCs/>
        </w:rPr>
        <w:t>anwendbar auf Vorgänge, die ab dem 1. Januar 2021 stattgefunden haben</w:t>
      </w:r>
      <w:r w:rsidR="003366D9" w:rsidRPr="009118AB">
        <w:rPr>
          <w:bCs/>
          <w:i/>
          <w:iCs/>
        </w:rPr>
        <w:t> -;</w:t>
      </w:r>
      <w:r w:rsidR="00836251" w:rsidRPr="009118AB">
        <w:rPr>
          <w:bCs/>
          <w:i/>
          <w:iCs/>
        </w:rPr>
        <w:t xml:space="preserve"> </w:t>
      </w:r>
      <w:r w:rsidR="00D67EB8" w:rsidRPr="009118AB">
        <w:rPr>
          <w:bCs/>
          <w:i/>
          <w:iCs/>
        </w:rPr>
        <w:t>§ </w:t>
      </w:r>
      <w:r w:rsidR="00836251" w:rsidRPr="009118AB">
        <w:rPr>
          <w:bCs/>
          <w:i/>
          <w:iCs/>
        </w:rPr>
        <w:t xml:space="preserve">1 </w:t>
      </w:r>
      <w:r w:rsidR="00D67EB8" w:rsidRPr="009118AB">
        <w:rPr>
          <w:bCs/>
          <w:i/>
          <w:iCs/>
        </w:rPr>
        <w:t>Abs. </w:t>
      </w:r>
      <w:r w:rsidR="00836251" w:rsidRPr="009118AB">
        <w:rPr>
          <w:bCs/>
          <w:i/>
          <w:iCs/>
        </w:rPr>
        <w:t xml:space="preserve">1 </w:t>
      </w:r>
      <w:r w:rsidR="00D67EB8" w:rsidRPr="009118AB">
        <w:rPr>
          <w:bCs/>
          <w:i/>
          <w:iCs/>
        </w:rPr>
        <w:t>Nr. </w:t>
      </w:r>
      <w:r w:rsidR="00836251" w:rsidRPr="009118AB">
        <w:rPr>
          <w:bCs/>
          <w:i/>
          <w:iCs/>
        </w:rPr>
        <w:t xml:space="preserve">2 abgeändert durch </w:t>
      </w:r>
      <w:r w:rsidR="00D67EB8" w:rsidRPr="009118AB">
        <w:rPr>
          <w:bCs/>
          <w:i/>
          <w:iCs/>
        </w:rPr>
        <w:t>Art. </w:t>
      </w:r>
      <w:r w:rsidR="00836251" w:rsidRPr="009118AB">
        <w:rPr>
          <w:i/>
          <w:iCs/>
        </w:rPr>
        <w:t>76 Buchstabe c)</w:t>
      </w:r>
      <w:r w:rsidR="00836251" w:rsidRPr="009118AB">
        <w:rPr>
          <w:bCs/>
          <w:i/>
          <w:iCs/>
        </w:rPr>
        <w:t xml:space="preserve"> des G. vom 27. Juni 2021 (B.S. vom 30. Juni 2021)</w:t>
      </w:r>
      <w:r w:rsidR="00D67EB8" w:rsidRPr="009118AB">
        <w:rPr>
          <w:bCs/>
          <w:i/>
          <w:iCs/>
        </w:rPr>
        <w:t> - </w:t>
      </w:r>
      <w:r w:rsidR="00836251" w:rsidRPr="009118AB">
        <w:rPr>
          <w:bCs/>
          <w:i/>
          <w:iCs/>
        </w:rPr>
        <w:t>anwendbar auf Vorgänge, die ab dem 1. Januar 2021 stattgefunden haben</w:t>
      </w:r>
      <w:r w:rsidR="003366D9" w:rsidRPr="009118AB">
        <w:rPr>
          <w:bCs/>
          <w:i/>
          <w:iCs/>
        </w:rPr>
        <w:t> -;</w:t>
      </w:r>
      <w:r w:rsidR="00836251" w:rsidRPr="009118AB">
        <w:rPr>
          <w:bCs/>
          <w:i/>
          <w:iCs/>
        </w:rPr>
        <w:t xml:space="preserve"> </w:t>
      </w:r>
      <w:r w:rsidR="00D67EB8" w:rsidRPr="009118AB">
        <w:rPr>
          <w:bCs/>
          <w:i/>
          <w:iCs/>
        </w:rPr>
        <w:t>§ </w:t>
      </w:r>
      <w:r w:rsidR="00836251" w:rsidRPr="009118AB">
        <w:rPr>
          <w:bCs/>
          <w:i/>
          <w:iCs/>
        </w:rPr>
        <w:t xml:space="preserve">1 </w:t>
      </w:r>
      <w:r w:rsidR="00D67EB8" w:rsidRPr="009118AB">
        <w:rPr>
          <w:bCs/>
          <w:i/>
          <w:iCs/>
        </w:rPr>
        <w:t>Abs. </w:t>
      </w:r>
      <w:r w:rsidR="00836251" w:rsidRPr="009118AB">
        <w:rPr>
          <w:bCs/>
          <w:i/>
          <w:iCs/>
        </w:rPr>
        <w:t xml:space="preserve">2 eingefügt durch </w:t>
      </w:r>
      <w:r w:rsidR="00D67EB8" w:rsidRPr="009118AB">
        <w:rPr>
          <w:bCs/>
          <w:i/>
          <w:iCs/>
        </w:rPr>
        <w:t>Art. </w:t>
      </w:r>
      <w:r w:rsidR="00836251" w:rsidRPr="009118AB">
        <w:rPr>
          <w:i/>
          <w:iCs/>
        </w:rPr>
        <w:t>76 Buchstabe d)</w:t>
      </w:r>
      <w:r w:rsidR="00836251" w:rsidRPr="009118AB">
        <w:rPr>
          <w:bCs/>
          <w:i/>
          <w:iCs/>
        </w:rPr>
        <w:t xml:space="preserve"> des G. vom 27. Juni 2021 (B.S. vom 30. Juni 2021)</w:t>
      </w:r>
      <w:r w:rsidR="00D67EB8" w:rsidRPr="009118AB">
        <w:rPr>
          <w:bCs/>
          <w:i/>
          <w:iCs/>
        </w:rPr>
        <w:t> - </w:t>
      </w:r>
      <w:r w:rsidR="00836251" w:rsidRPr="009118AB">
        <w:rPr>
          <w:bCs/>
          <w:i/>
          <w:iCs/>
        </w:rPr>
        <w:t>anwendbar auf Vorgänge, die ab dem 1. Januar 2021 stattgefunden haben</w:t>
      </w:r>
      <w:r w:rsidR="003366D9" w:rsidRPr="009118AB">
        <w:rPr>
          <w:bCs/>
          <w:i/>
          <w:iCs/>
        </w:rPr>
        <w:t> -;</w:t>
      </w:r>
      <w:r w:rsidR="00836251" w:rsidRPr="009118AB">
        <w:rPr>
          <w:bCs/>
          <w:i/>
          <w:iCs/>
        </w:rPr>
        <w:t xml:space="preserve"> </w:t>
      </w:r>
      <w:r w:rsidR="00D67EB8" w:rsidRPr="009118AB">
        <w:rPr>
          <w:i/>
          <w:iCs/>
        </w:rPr>
        <w:t>§ </w:t>
      </w:r>
      <w:r w:rsidR="0076553C" w:rsidRPr="009118AB">
        <w:rPr>
          <w:i/>
          <w:iCs/>
        </w:rPr>
        <w:t xml:space="preserve">2 abgeändert durch </w:t>
      </w:r>
      <w:r w:rsidR="00D67EB8" w:rsidRPr="009118AB">
        <w:rPr>
          <w:i/>
          <w:iCs/>
        </w:rPr>
        <w:t>Art. </w:t>
      </w:r>
      <w:r w:rsidR="0076553C" w:rsidRPr="009118AB">
        <w:rPr>
          <w:i/>
          <w:iCs/>
        </w:rPr>
        <w:t>49 des G. vom 14. April 2011 (B.S. vom 6. Mai 2011)</w:t>
      </w:r>
      <w:r w:rsidR="00D67EB8" w:rsidRPr="009118AB">
        <w:rPr>
          <w:i/>
          <w:iCs/>
        </w:rPr>
        <w:t> - </w:t>
      </w:r>
      <w:r w:rsidR="0076553C" w:rsidRPr="009118AB">
        <w:rPr>
          <w:i/>
          <w:iCs/>
        </w:rPr>
        <w:t>wirksam mit 1. Januar 2011</w:t>
      </w:r>
      <w:r w:rsidR="00D67EB8" w:rsidRPr="009118AB">
        <w:rPr>
          <w:i/>
          <w:iCs/>
        </w:rPr>
        <w:t> - </w:t>
      </w:r>
      <w:r w:rsidR="00A10BFF" w:rsidRPr="009118AB">
        <w:rPr>
          <w:i/>
          <w:iCs/>
        </w:rPr>
        <w:t xml:space="preserve">und </w:t>
      </w:r>
      <w:r w:rsidR="00D67EB8" w:rsidRPr="009118AB">
        <w:rPr>
          <w:i/>
          <w:iCs/>
        </w:rPr>
        <w:t>Art. </w:t>
      </w:r>
      <w:r w:rsidR="00A10BFF" w:rsidRPr="009118AB">
        <w:rPr>
          <w:i/>
          <w:iCs/>
        </w:rPr>
        <w:t>58</w:t>
      </w:r>
      <w:r w:rsidR="00A10BFF" w:rsidRPr="009118AB">
        <w:rPr>
          <w:i/>
          <w:iCs/>
          <w:spacing w:val="-2"/>
        </w:rPr>
        <w:t xml:space="preserve"> des G. vom 17. März 2019 (III) (B.S. vom 10. Mai 2019)</w:t>
      </w:r>
      <w:r w:rsidR="00D67EB8" w:rsidRPr="009118AB">
        <w:rPr>
          <w:i/>
          <w:iCs/>
          <w:spacing w:val="-2"/>
        </w:rPr>
        <w:t> - </w:t>
      </w:r>
      <w:r w:rsidR="00A10BFF" w:rsidRPr="009118AB">
        <w:rPr>
          <w:i/>
          <w:iCs/>
          <w:spacing w:val="-2"/>
        </w:rPr>
        <w:t>in Kraft am 1. Mai 2019</w:t>
      </w:r>
      <w:r w:rsidR="00FD68E8" w:rsidRPr="009118AB">
        <w:rPr>
          <w:i/>
          <w:iCs/>
          <w:spacing w:val="-2"/>
        </w:rPr>
        <w:t> -]</w:t>
      </w:r>
    </w:p>
    <w:p w14:paraId="1B8C975A" w14:textId="7B972159" w:rsidR="00AD25AD" w:rsidRPr="009118AB" w:rsidRDefault="00AD25AD" w:rsidP="00CF2F47">
      <w:pPr>
        <w:autoSpaceDE w:val="0"/>
        <w:autoSpaceDN w:val="0"/>
        <w:adjustRightInd w:val="0"/>
        <w:jc w:val="both"/>
      </w:pPr>
    </w:p>
    <w:p w14:paraId="6FE74260" w14:textId="15EA3E36" w:rsidR="00AD25AD" w:rsidRPr="009118AB" w:rsidRDefault="00AD25AD" w:rsidP="00CF2F47">
      <w:pPr>
        <w:autoSpaceDE w:val="0"/>
        <w:autoSpaceDN w:val="0"/>
        <w:adjustRightInd w:val="0"/>
        <w:jc w:val="both"/>
      </w:pPr>
    </w:p>
    <w:p w14:paraId="43792C94" w14:textId="1CE14F8F" w:rsidR="00AD25AD" w:rsidRPr="009118AB" w:rsidRDefault="00AD25AD" w:rsidP="00AD25AD">
      <w:pPr>
        <w:jc w:val="both"/>
        <w:rPr>
          <w:rFonts w:eastAsia="Calibri"/>
          <w:lang w:eastAsia="en-US"/>
        </w:rPr>
      </w:pPr>
      <w:r w:rsidRPr="009118AB">
        <w:tab/>
        <w:t>[</w:t>
      </w:r>
      <w:r w:rsidR="00D67EB8" w:rsidRPr="009118AB">
        <w:rPr>
          <w:rFonts w:eastAsia="Calibri"/>
          <w:b/>
          <w:bCs/>
          <w:szCs w:val="22"/>
          <w:lang w:eastAsia="en-US"/>
        </w:rPr>
        <w:t>Art. </w:t>
      </w:r>
      <w:r w:rsidRPr="009118AB">
        <w:rPr>
          <w:rFonts w:eastAsia="Calibri"/>
          <w:b/>
          <w:bCs/>
          <w:szCs w:val="22"/>
          <w:lang w:eastAsia="en-US"/>
        </w:rPr>
        <w:t>240</w:t>
      </w:r>
      <w:r w:rsidRPr="009118AB">
        <w:rPr>
          <w:rFonts w:eastAsia="Calibri"/>
          <w:b/>
          <w:bCs/>
          <w:i/>
          <w:iCs/>
          <w:szCs w:val="22"/>
          <w:lang w:eastAsia="en-US"/>
        </w:rPr>
        <w:t>ter</w:t>
      </w:r>
      <w:r w:rsidR="00D67EB8" w:rsidRPr="009118AB">
        <w:rPr>
          <w:rFonts w:eastAsia="Calibri"/>
          <w:szCs w:val="22"/>
          <w:lang w:eastAsia="en-US"/>
        </w:rPr>
        <w:t> - </w:t>
      </w:r>
      <w:r w:rsidRPr="009118AB">
        <w:rPr>
          <w:rFonts w:eastAsia="Calibri"/>
          <w:szCs w:val="22"/>
          <w:lang w:eastAsia="en-US"/>
        </w:rPr>
        <w:t xml:space="preserve">Wenn ein Steuerpflichtiger-Impatriate wie in Artikel 32/1 </w:t>
      </w:r>
      <w:r w:rsidR="00D67EB8" w:rsidRPr="009118AB">
        <w:rPr>
          <w:rFonts w:eastAsia="Calibri"/>
          <w:szCs w:val="22"/>
          <w:lang w:eastAsia="en-US"/>
        </w:rPr>
        <w:t>§ </w:t>
      </w:r>
      <w:r w:rsidRPr="009118AB">
        <w:rPr>
          <w:rFonts w:eastAsia="Calibri"/>
          <w:szCs w:val="22"/>
          <w:lang w:eastAsia="en-US"/>
        </w:rPr>
        <w:t xml:space="preserve">2 erwähnt als Nicht-Einwohner des Königreichs betrachtet werden muss, unterliegt die Anwendung des in Artikel 32/1 vorgesehenen besonderen Systems für Steuerpflichtige-Impatriate der Bedingung, dass der Steuerpflichtige-Impatriate jedes Jahr eine von der Steuerverwaltung seines Wohnsitzstaates ausgestellte Bescheinigung zur Verfügung der belgischen Steuerverwaltung hält, in der bestätigt wird, dass er in diesem Staat als steuerlich Ansässiger einer Einkommensteuer unterliegt. Eine solche Bescheinigung muss auch dem in Artikel 32/1 </w:t>
      </w:r>
      <w:r w:rsidR="00D67EB8" w:rsidRPr="009118AB">
        <w:rPr>
          <w:rFonts w:eastAsia="Calibri"/>
          <w:szCs w:val="22"/>
          <w:lang w:eastAsia="en-US"/>
        </w:rPr>
        <w:t>§ </w:t>
      </w:r>
      <w:r w:rsidRPr="009118AB">
        <w:rPr>
          <w:rFonts w:eastAsia="Calibri"/>
          <w:szCs w:val="22"/>
          <w:lang w:eastAsia="en-US"/>
        </w:rPr>
        <w:t>8 erwähnten Antrag beigefügt werden.</w:t>
      </w:r>
    </w:p>
    <w:p w14:paraId="1AAFF66B" w14:textId="77777777" w:rsidR="00AD25AD" w:rsidRPr="009118AB" w:rsidRDefault="00AD25AD" w:rsidP="00AD25AD">
      <w:pPr>
        <w:jc w:val="both"/>
        <w:rPr>
          <w:rFonts w:eastAsia="Calibri"/>
          <w:lang w:eastAsia="en-US"/>
        </w:rPr>
      </w:pPr>
    </w:p>
    <w:p w14:paraId="6B8D39BD" w14:textId="3E3BF1FA" w:rsidR="00AD25AD" w:rsidRPr="009118AB" w:rsidRDefault="00AD25AD" w:rsidP="00AD25AD">
      <w:pPr>
        <w:jc w:val="both"/>
        <w:rPr>
          <w:rFonts w:eastAsia="Calibri"/>
          <w:szCs w:val="22"/>
          <w:lang w:eastAsia="en-US"/>
        </w:rPr>
      </w:pPr>
      <w:r w:rsidRPr="009118AB">
        <w:rPr>
          <w:rFonts w:eastAsia="Calibri"/>
          <w:szCs w:val="22"/>
          <w:lang w:eastAsia="en-US"/>
        </w:rPr>
        <w:tab/>
        <w:t xml:space="preserve">In diesem Fall handelt es sich bei den in Artikel 32/1 </w:t>
      </w:r>
      <w:r w:rsidR="00D67EB8" w:rsidRPr="009118AB">
        <w:rPr>
          <w:rFonts w:eastAsia="Calibri"/>
          <w:szCs w:val="22"/>
          <w:lang w:eastAsia="en-US"/>
        </w:rPr>
        <w:t>§ </w:t>
      </w:r>
      <w:r w:rsidRPr="009118AB">
        <w:rPr>
          <w:rFonts w:eastAsia="Calibri"/>
          <w:szCs w:val="22"/>
          <w:lang w:eastAsia="en-US"/>
        </w:rPr>
        <w:t xml:space="preserve">3 Absatz 1 </w:t>
      </w:r>
      <w:r w:rsidR="00D67EB8" w:rsidRPr="009118AB">
        <w:rPr>
          <w:rFonts w:eastAsia="Calibri"/>
          <w:szCs w:val="22"/>
          <w:lang w:eastAsia="en-US"/>
        </w:rPr>
        <w:t>Nr. </w:t>
      </w:r>
      <w:r w:rsidRPr="009118AB">
        <w:rPr>
          <w:rFonts w:eastAsia="Calibri"/>
          <w:szCs w:val="22"/>
          <w:lang w:eastAsia="en-US"/>
        </w:rPr>
        <w:t>2 erwähnten Entlohnungen um die jeweiligen Entlohnungen, die tatsächlich der Steuer der Gebietsfremden unterliegen.]</w:t>
      </w:r>
    </w:p>
    <w:p w14:paraId="3D0BD2BD" w14:textId="09A06891" w:rsidR="00AD25AD" w:rsidRPr="009118AB" w:rsidRDefault="00AD25AD" w:rsidP="00AD25AD">
      <w:pPr>
        <w:jc w:val="both"/>
        <w:rPr>
          <w:rFonts w:eastAsia="Calibri"/>
          <w:szCs w:val="22"/>
          <w:lang w:eastAsia="en-US"/>
        </w:rPr>
      </w:pPr>
    </w:p>
    <w:p w14:paraId="69D83639" w14:textId="000E53BD" w:rsidR="00AD25AD" w:rsidRPr="009118AB" w:rsidRDefault="00AD25AD" w:rsidP="00AD25AD">
      <w:pPr>
        <w:jc w:val="both"/>
        <w:rPr>
          <w:i/>
        </w:rPr>
      </w:pPr>
      <w:r w:rsidRPr="009118AB">
        <w:rPr>
          <w:rFonts w:eastAsia="Calibri"/>
          <w:i/>
          <w:iCs/>
          <w:szCs w:val="22"/>
          <w:lang w:eastAsia="en-US"/>
        </w:rPr>
        <w:t>[</w:t>
      </w:r>
      <w:r w:rsidR="00D67EB8" w:rsidRPr="009118AB">
        <w:rPr>
          <w:rFonts w:eastAsia="Calibri"/>
          <w:i/>
          <w:iCs/>
          <w:szCs w:val="22"/>
          <w:lang w:eastAsia="en-US"/>
        </w:rPr>
        <w:t>Art. </w:t>
      </w:r>
      <w:r w:rsidRPr="009118AB">
        <w:rPr>
          <w:rFonts w:eastAsia="Calibri"/>
          <w:i/>
          <w:iCs/>
          <w:szCs w:val="22"/>
          <w:lang w:eastAsia="en-US"/>
        </w:rPr>
        <w:t xml:space="preserve">240ter eingefügt durch </w:t>
      </w:r>
      <w:r w:rsidR="00D67EB8" w:rsidRPr="009118AB">
        <w:rPr>
          <w:rFonts w:eastAsia="Calibri"/>
          <w:i/>
          <w:iCs/>
          <w:szCs w:val="22"/>
          <w:lang w:eastAsia="en-US"/>
        </w:rPr>
        <w:t>Art. </w:t>
      </w:r>
      <w:r w:rsidRPr="009118AB">
        <w:rPr>
          <w:rFonts w:eastAsia="Calibri"/>
          <w:i/>
          <w:iCs/>
          <w:szCs w:val="22"/>
          <w:lang w:eastAsia="en-US"/>
        </w:rPr>
        <w:t>15</w:t>
      </w:r>
      <w:r w:rsidRPr="009118AB">
        <w:rPr>
          <w:i/>
        </w:rPr>
        <w:t xml:space="preserve"> des G. vom 27. Dezember 2021 (B.S. vom 31. Dezember 2021)</w:t>
      </w:r>
      <w:r w:rsidR="00D67EB8" w:rsidRPr="009118AB">
        <w:rPr>
          <w:i/>
        </w:rPr>
        <w:t> - </w:t>
      </w:r>
      <w:r w:rsidRPr="009118AB">
        <w:rPr>
          <w:i/>
        </w:rPr>
        <w:t>in Kraft am 1. Januar 2022 und anwendbar auf die in Betracht kommenden Steuerpflichtigen-Impatriates und Forscher-Impatriates, deren Arbeitsantritt in Belgien ab dem 1. Januar 2022 erfolgt</w:t>
      </w:r>
      <w:r w:rsidR="00FD68E8" w:rsidRPr="009118AB">
        <w:rPr>
          <w:i/>
        </w:rPr>
        <w:t> -]</w:t>
      </w:r>
    </w:p>
    <w:p w14:paraId="75F91E78" w14:textId="77777777" w:rsidR="00AD25AD" w:rsidRPr="009118AB" w:rsidRDefault="00AD25AD" w:rsidP="00AD25AD">
      <w:pPr>
        <w:jc w:val="both"/>
        <w:rPr>
          <w:rFonts w:eastAsia="Calibri"/>
          <w:i/>
          <w:iCs/>
          <w:lang w:eastAsia="en-US"/>
        </w:rPr>
      </w:pPr>
    </w:p>
    <w:p w14:paraId="4B4789DC" w14:textId="77777777" w:rsidR="00AD25AD" w:rsidRPr="009118AB" w:rsidRDefault="00AD25AD" w:rsidP="00AD25AD">
      <w:pPr>
        <w:jc w:val="both"/>
        <w:rPr>
          <w:rFonts w:eastAsia="Calibri"/>
          <w:lang w:eastAsia="en-US"/>
        </w:rPr>
      </w:pPr>
    </w:p>
    <w:p w14:paraId="1280877B" w14:textId="0860A507" w:rsidR="00AD25AD" w:rsidRPr="009118AB" w:rsidRDefault="00AD25AD" w:rsidP="00AD25AD">
      <w:pPr>
        <w:jc w:val="both"/>
        <w:rPr>
          <w:rFonts w:eastAsia="Calibri"/>
          <w:lang w:eastAsia="en-US"/>
        </w:rPr>
      </w:pPr>
      <w:r w:rsidRPr="009118AB">
        <w:rPr>
          <w:rFonts w:eastAsia="Calibri"/>
          <w:szCs w:val="22"/>
          <w:lang w:eastAsia="en-US"/>
        </w:rPr>
        <w:tab/>
        <w:t>[</w:t>
      </w:r>
      <w:r w:rsidR="00D67EB8" w:rsidRPr="009118AB">
        <w:rPr>
          <w:rFonts w:eastAsia="Calibri"/>
          <w:b/>
          <w:bCs/>
          <w:szCs w:val="22"/>
          <w:lang w:eastAsia="en-US"/>
        </w:rPr>
        <w:t>Art. </w:t>
      </w:r>
      <w:r w:rsidRPr="009118AB">
        <w:rPr>
          <w:rFonts w:eastAsia="Calibri"/>
          <w:b/>
          <w:bCs/>
          <w:szCs w:val="22"/>
          <w:lang w:eastAsia="en-US"/>
        </w:rPr>
        <w:t>240</w:t>
      </w:r>
      <w:r w:rsidRPr="009118AB">
        <w:rPr>
          <w:rFonts w:eastAsia="Calibri"/>
          <w:b/>
          <w:bCs/>
          <w:i/>
          <w:iCs/>
          <w:szCs w:val="22"/>
          <w:lang w:eastAsia="en-US"/>
        </w:rPr>
        <w:t>quater</w:t>
      </w:r>
      <w:r w:rsidR="00D67EB8" w:rsidRPr="009118AB">
        <w:rPr>
          <w:rFonts w:eastAsia="Calibri"/>
          <w:szCs w:val="22"/>
          <w:lang w:eastAsia="en-US"/>
        </w:rPr>
        <w:t> - </w:t>
      </w:r>
      <w:r w:rsidRPr="009118AB">
        <w:rPr>
          <w:rFonts w:eastAsia="Calibri"/>
          <w:szCs w:val="22"/>
          <w:lang w:eastAsia="en-US"/>
        </w:rPr>
        <w:t xml:space="preserve">Wenn ein Forscher-Impatriate wie in Artikel 32/2 </w:t>
      </w:r>
      <w:r w:rsidR="00D67EB8" w:rsidRPr="009118AB">
        <w:rPr>
          <w:rFonts w:eastAsia="Calibri"/>
          <w:szCs w:val="22"/>
          <w:lang w:eastAsia="en-US"/>
        </w:rPr>
        <w:t>§ </w:t>
      </w:r>
      <w:r w:rsidRPr="009118AB">
        <w:rPr>
          <w:rFonts w:eastAsia="Calibri"/>
          <w:szCs w:val="22"/>
          <w:lang w:eastAsia="en-US"/>
        </w:rPr>
        <w:t xml:space="preserve">2 erwähnt als Nicht-Einwohner des Königreichs betrachtet werden muss, unterliegt die Anwendung des in </w:t>
      </w:r>
      <w:r w:rsidRPr="009118AB">
        <w:rPr>
          <w:rFonts w:eastAsia="Calibri"/>
          <w:szCs w:val="22"/>
          <w:lang w:eastAsia="en-US"/>
        </w:rPr>
        <w:lastRenderedPageBreak/>
        <w:t xml:space="preserve">Artikel 32/2 vorgesehenen besonderen Systems für Forscher-Impatriate der Bedingung, dass der Forscher-Impatriate jedes Jahr eine von der Steuerverwaltung seines Wohnsitzstaates ausgestellte Bescheinigung zur Verfügung der belgischen Steuerverwaltung hält, in der bestätigt wird, dass er in diesem Staat als steuerlich Ansässiger einer Einkommensteuer unterliegt. Eine solche Bescheinigung muss auch dem in Artikel 32/2 </w:t>
      </w:r>
      <w:r w:rsidR="00D67EB8" w:rsidRPr="009118AB">
        <w:rPr>
          <w:rFonts w:eastAsia="Calibri"/>
          <w:szCs w:val="22"/>
          <w:lang w:eastAsia="en-US"/>
        </w:rPr>
        <w:t>§ </w:t>
      </w:r>
      <w:r w:rsidRPr="009118AB">
        <w:rPr>
          <w:rFonts w:eastAsia="Calibri"/>
          <w:szCs w:val="22"/>
          <w:lang w:eastAsia="en-US"/>
        </w:rPr>
        <w:t>8 erwähnten Antrag beigefügt werden.</w:t>
      </w:r>
    </w:p>
    <w:p w14:paraId="67DA22E4" w14:textId="77777777" w:rsidR="00AD25AD" w:rsidRPr="009118AB" w:rsidRDefault="00AD25AD" w:rsidP="00AD25AD">
      <w:pPr>
        <w:jc w:val="both"/>
        <w:rPr>
          <w:rFonts w:eastAsia="Calibri"/>
          <w:lang w:eastAsia="en-US"/>
        </w:rPr>
      </w:pPr>
    </w:p>
    <w:p w14:paraId="56614F4B" w14:textId="6CDA1E54" w:rsidR="00AD25AD" w:rsidRPr="009118AB" w:rsidRDefault="00AD25AD" w:rsidP="00AD25AD">
      <w:pPr>
        <w:autoSpaceDE w:val="0"/>
        <w:autoSpaceDN w:val="0"/>
        <w:adjustRightInd w:val="0"/>
        <w:jc w:val="both"/>
        <w:rPr>
          <w:rFonts w:eastAsia="Calibri"/>
          <w:szCs w:val="22"/>
          <w:lang w:eastAsia="en-US"/>
        </w:rPr>
      </w:pPr>
      <w:r w:rsidRPr="009118AB">
        <w:rPr>
          <w:rFonts w:eastAsia="Calibri"/>
          <w:szCs w:val="22"/>
          <w:lang w:eastAsia="en-US"/>
        </w:rPr>
        <w:tab/>
        <w:t xml:space="preserve">In diesem Fall handelt es sich bei den in Artikel 32/2 </w:t>
      </w:r>
      <w:r w:rsidR="00D67EB8" w:rsidRPr="009118AB">
        <w:rPr>
          <w:rFonts w:eastAsia="Calibri"/>
          <w:szCs w:val="22"/>
          <w:lang w:eastAsia="en-US"/>
        </w:rPr>
        <w:t>§ </w:t>
      </w:r>
      <w:r w:rsidRPr="009118AB">
        <w:rPr>
          <w:rFonts w:eastAsia="Calibri"/>
          <w:szCs w:val="22"/>
          <w:lang w:eastAsia="en-US"/>
        </w:rPr>
        <w:t>5 Absatz 2 erwähnten Entlohnungen um die jeweiligen Entlohnungen, die tatsächlich der Steuer der Gebietsfremden unterliegen.]</w:t>
      </w:r>
    </w:p>
    <w:p w14:paraId="7C2A5A65" w14:textId="7FDABD10" w:rsidR="00AD25AD" w:rsidRPr="009118AB" w:rsidRDefault="00AD25AD" w:rsidP="00AD25AD">
      <w:pPr>
        <w:autoSpaceDE w:val="0"/>
        <w:autoSpaceDN w:val="0"/>
        <w:adjustRightInd w:val="0"/>
        <w:jc w:val="both"/>
        <w:rPr>
          <w:rFonts w:eastAsia="Calibri"/>
          <w:szCs w:val="22"/>
          <w:lang w:eastAsia="en-US"/>
        </w:rPr>
      </w:pPr>
    </w:p>
    <w:p w14:paraId="05941011" w14:textId="1A1E9801" w:rsidR="00AD25AD" w:rsidRPr="009118AB" w:rsidRDefault="00AD25AD" w:rsidP="00AD25AD">
      <w:pPr>
        <w:autoSpaceDE w:val="0"/>
        <w:autoSpaceDN w:val="0"/>
        <w:adjustRightInd w:val="0"/>
        <w:jc w:val="both"/>
        <w:rPr>
          <w:i/>
          <w:iCs/>
        </w:rPr>
      </w:pPr>
      <w:r w:rsidRPr="009118AB">
        <w:rPr>
          <w:rFonts w:eastAsia="Calibri"/>
          <w:i/>
          <w:iCs/>
          <w:szCs w:val="22"/>
          <w:lang w:eastAsia="en-US"/>
        </w:rPr>
        <w:t>[</w:t>
      </w:r>
      <w:r w:rsidR="00D67EB8" w:rsidRPr="009118AB">
        <w:rPr>
          <w:rFonts w:eastAsia="Calibri"/>
          <w:i/>
          <w:iCs/>
          <w:szCs w:val="22"/>
          <w:lang w:eastAsia="en-US"/>
        </w:rPr>
        <w:t>Art. </w:t>
      </w:r>
      <w:r w:rsidRPr="009118AB">
        <w:rPr>
          <w:rFonts w:eastAsia="Calibri"/>
          <w:i/>
          <w:iCs/>
          <w:szCs w:val="22"/>
          <w:lang w:eastAsia="en-US"/>
        </w:rPr>
        <w:t xml:space="preserve">240quater eingefügt durch </w:t>
      </w:r>
      <w:r w:rsidR="00D67EB8" w:rsidRPr="009118AB">
        <w:rPr>
          <w:rFonts w:eastAsia="Calibri"/>
          <w:i/>
          <w:iCs/>
          <w:szCs w:val="22"/>
          <w:lang w:eastAsia="en-US"/>
        </w:rPr>
        <w:t>Art. </w:t>
      </w:r>
      <w:r w:rsidRPr="009118AB">
        <w:rPr>
          <w:rFonts w:eastAsia="Calibri"/>
          <w:i/>
          <w:iCs/>
          <w:szCs w:val="22"/>
          <w:lang w:eastAsia="en-US"/>
        </w:rPr>
        <w:t>16</w:t>
      </w:r>
      <w:r w:rsidRPr="009118AB">
        <w:rPr>
          <w:i/>
        </w:rPr>
        <w:t xml:space="preserve"> des G. vom 27. Dezember 2021 (B.S. vom 31. Dezember 2021)</w:t>
      </w:r>
      <w:r w:rsidR="00D67EB8" w:rsidRPr="009118AB">
        <w:rPr>
          <w:i/>
        </w:rPr>
        <w:t> - </w:t>
      </w:r>
      <w:r w:rsidRPr="009118AB">
        <w:rPr>
          <w:i/>
        </w:rPr>
        <w:t>in Kraft am 1. Januar 2022 und anwendbar auf die in Betracht kommenden Steuerpflichtigen-Impatriates und Forscher-Impatriates, deren Arbeitsantritt in Belgien ab dem 1. Januar 2022 erfolgt</w:t>
      </w:r>
      <w:r w:rsidR="00FD68E8" w:rsidRPr="009118AB">
        <w:rPr>
          <w:i/>
        </w:rPr>
        <w:t> -]</w:t>
      </w:r>
    </w:p>
    <w:p w14:paraId="7BA35BB1" w14:textId="77777777" w:rsidR="00AD25AD" w:rsidRPr="009118AB" w:rsidRDefault="00AD25AD" w:rsidP="00477B8F">
      <w:pPr>
        <w:autoSpaceDE w:val="0"/>
        <w:autoSpaceDN w:val="0"/>
        <w:adjustRightInd w:val="0"/>
        <w:jc w:val="center"/>
        <w:rPr>
          <w:i/>
          <w:iCs/>
        </w:rPr>
      </w:pPr>
    </w:p>
    <w:p w14:paraId="66252663" w14:textId="77777777" w:rsidR="00AD25AD" w:rsidRPr="009118AB" w:rsidRDefault="00AD25AD">
      <w:pPr>
        <w:rPr>
          <w:i/>
          <w:iCs/>
        </w:rPr>
      </w:pPr>
      <w:r w:rsidRPr="009118AB">
        <w:rPr>
          <w:i/>
          <w:iCs/>
        </w:rPr>
        <w:br w:type="page"/>
      </w:r>
    </w:p>
    <w:p w14:paraId="5F44B1B0" w14:textId="7B0519CD" w:rsidR="00477B8F" w:rsidRPr="009118AB" w:rsidRDefault="00477B8F" w:rsidP="00477B8F">
      <w:pPr>
        <w:autoSpaceDE w:val="0"/>
        <w:autoSpaceDN w:val="0"/>
        <w:adjustRightInd w:val="0"/>
        <w:jc w:val="center"/>
      </w:pPr>
      <w:r w:rsidRPr="009118AB">
        <w:rPr>
          <w:i/>
          <w:iCs/>
        </w:rPr>
        <w:lastRenderedPageBreak/>
        <w:t>Abschnitt </w:t>
      </w:r>
      <w:r w:rsidR="00D74862" w:rsidRPr="009118AB">
        <w:rPr>
          <w:i/>
          <w:iCs/>
        </w:rPr>
        <w:t>3</w:t>
      </w:r>
      <w:r w:rsidR="00D67EB8" w:rsidRPr="009118AB">
        <w:t> - </w:t>
      </w:r>
      <w:r w:rsidRPr="009118AB">
        <w:t>Abzugsfähige Ausgaben</w:t>
      </w:r>
    </w:p>
    <w:p w14:paraId="69618BCB" w14:textId="77777777" w:rsidR="00477B8F" w:rsidRPr="009118AB" w:rsidRDefault="00477B8F" w:rsidP="00477B8F">
      <w:pPr>
        <w:autoSpaceDE w:val="0"/>
        <w:autoSpaceDN w:val="0"/>
        <w:adjustRightInd w:val="0"/>
        <w:jc w:val="center"/>
      </w:pPr>
    </w:p>
    <w:p w14:paraId="5E3CE94C" w14:textId="77777777" w:rsidR="00477B8F" w:rsidRPr="009118AB" w:rsidRDefault="00477B8F" w:rsidP="00477B8F">
      <w:pPr>
        <w:autoSpaceDE w:val="0"/>
        <w:autoSpaceDN w:val="0"/>
        <w:adjustRightInd w:val="0"/>
        <w:jc w:val="center"/>
      </w:pPr>
    </w:p>
    <w:p w14:paraId="61CF00CB" w14:textId="784CDD7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241</w:t>
      </w:r>
      <w:r w:rsidR="00D67EB8" w:rsidRPr="009118AB">
        <w:t> - </w:t>
      </w:r>
      <w:r w:rsidR="00452530" w:rsidRPr="009118AB">
        <w:t>[...]</w:t>
      </w:r>
    </w:p>
    <w:p w14:paraId="5D5E5312" w14:textId="77777777" w:rsidR="00477B8F" w:rsidRPr="009118AB" w:rsidRDefault="00477B8F" w:rsidP="00477B8F">
      <w:pPr>
        <w:autoSpaceDE w:val="0"/>
        <w:autoSpaceDN w:val="0"/>
        <w:adjustRightInd w:val="0"/>
        <w:jc w:val="both"/>
      </w:pPr>
    </w:p>
    <w:p w14:paraId="06A5C5E4" w14:textId="5A1136D5"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241 </w:t>
      </w:r>
      <w:r w:rsidR="00452530" w:rsidRPr="009118AB">
        <w:rPr>
          <w:i/>
          <w:iCs/>
        </w:rPr>
        <w:t xml:space="preserve">aufgehoben durch </w:t>
      </w:r>
      <w:r w:rsidR="00D67EB8" w:rsidRPr="009118AB">
        <w:rPr>
          <w:i/>
          <w:iCs/>
        </w:rPr>
        <w:t>Art. </w:t>
      </w:r>
      <w:r w:rsidR="00452530" w:rsidRPr="009118AB">
        <w:rPr>
          <w:i/>
          <w:iCs/>
        </w:rPr>
        <w:t>36 des G. vom 14. April 2011 (B.S. vom 6. Mai 2011)</w:t>
      </w:r>
      <w:r w:rsidR="00D67EB8" w:rsidRPr="009118AB">
        <w:rPr>
          <w:i/>
          <w:iCs/>
        </w:rPr>
        <w:t> - </w:t>
      </w:r>
      <w:r w:rsidR="00452530" w:rsidRPr="009118AB">
        <w:rPr>
          <w:i/>
          <w:iCs/>
        </w:rPr>
        <w:t>in Kraft ab dem Steuerjahr 2011</w:t>
      </w:r>
      <w:r w:rsidR="00FD68E8" w:rsidRPr="009118AB">
        <w:rPr>
          <w:i/>
          <w:iCs/>
        </w:rPr>
        <w:t> -]</w:t>
      </w:r>
    </w:p>
    <w:p w14:paraId="20A561F8" w14:textId="77777777" w:rsidR="00477B8F" w:rsidRPr="009118AB" w:rsidRDefault="00477B8F" w:rsidP="00477B8F">
      <w:pPr>
        <w:autoSpaceDE w:val="0"/>
        <w:autoSpaceDN w:val="0"/>
        <w:adjustRightInd w:val="0"/>
        <w:jc w:val="both"/>
      </w:pPr>
    </w:p>
    <w:p w14:paraId="03AC2C08" w14:textId="77777777" w:rsidR="00477B8F" w:rsidRPr="009118AB" w:rsidRDefault="00477B8F" w:rsidP="00477B8F">
      <w:pPr>
        <w:autoSpaceDE w:val="0"/>
        <w:autoSpaceDN w:val="0"/>
        <w:adjustRightInd w:val="0"/>
        <w:jc w:val="both"/>
      </w:pPr>
    </w:p>
    <w:p w14:paraId="7F21E693" w14:textId="4BFA391B" w:rsidR="00B634E1" w:rsidRPr="009118AB" w:rsidRDefault="00D67EB8" w:rsidP="00B634E1">
      <w:pPr>
        <w:ind w:firstLine="708"/>
        <w:jc w:val="both"/>
      </w:pPr>
      <w:r w:rsidRPr="009118AB">
        <w:rPr>
          <w:b/>
          <w:bCs/>
        </w:rPr>
        <w:t>Art. </w:t>
      </w:r>
      <w:r w:rsidR="00477B8F" w:rsidRPr="009118AB">
        <w:rPr>
          <w:b/>
          <w:bCs/>
        </w:rPr>
        <w:t>242</w:t>
      </w:r>
      <w:r w:rsidRPr="009118AB">
        <w:t> - </w:t>
      </w:r>
      <w:r w:rsidR="00477B8F" w:rsidRPr="009118AB">
        <w:t>[</w:t>
      </w:r>
      <w:r w:rsidRPr="009118AB">
        <w:t>§ </w:t>
      </w:r>
      <w:r w:rsidR="00477B8F" w:rsidRPr="009118AB">
        <w:t>1]</w:t>
      </w:r>
      <w:r w:rsidRPr="009118AB">
        <w:t> - </w:t>
      </w:r>
      <w:r w:rsidR="00B634E1" w:rsidRPr="009118AB">
        <w:t>[Wenn ein Steuerpflichtiger in Belgien steuerpflichtige Berufseinkünfte erzielt oder bezogen hat, die mindestens 75 Prozent der Gesamtheit seiner während des Besteuerungszeitraums erzielten oder bezogenen Berufseinkünfte belgischer und auslän</w:t>
      </w:r>
      <w:r w:rsidR="00B634E1" w:rsidRPr="009118AB">
        <w:softHyphen/>
        <w:t>discher Herkunft betragen, sind in Artikel 104 erwähnte Ausgaben vom Gesamtbetrag der in Artikel 232 erwähnten Nettoeinkünfte abzugsfähig.</w:t>
      </w:r>
    </w:p>
    <w:p w14:paraId="52979408" w14:textId="77777777" w:rsidR="00B634E1" w:rsidRPr="009118AB" w:rsidRDefault="00B634E1" w:rsidP="00B634E1">
      <w:pPr>
        <w:jc w:val="both"/>
      </w:pPr>
    </w:p>
    <w:p w14:paraId="1C16CFD9" w14:textId="77777777" w:rsidR="00477B8F" w:rsidRPr="009118AB" w:rsidRDefault="00B634E1" w:rsidP="00B634E1">
      <w:pPr>
        <w:autoSpaceDE w:val="0"/>
        <w:autoSpaceDN w:val="0"/>
        <w:adjustRightInd w:val="0"/>
        <w:jc w:val="both"/>
      </w:pPr>
      <w:r w:rsidRPr="009118AB">
        <w:tab/>
      </w:r>
      <w:r w:rsidR="005C7408" w:rsidRPr="009118AB">
        <w:t>[..</w:t>
      </w:r>
      <w:r w:rsidRPr="009118AB">
        <w:t>.</w:t>
      </w:r>
      <w:r w:rsidR="005C7408" w:rsidRPr="009118AB">
        <w:t>]</w:t>
      </w:r>
      <w:r w:rsidR="00477B8F" w:rsidRPr="009118AB">
        <w:t>]</w:t>
      </w:r>
    </w:p>
    <w:p w14:paraId="3230829D" w14:textId="77777777" w:rsidR="00477B8F" w:rsidRPr="009118AB" w:rsidRDefault="00477B8F" w:rsidP="00477B8F">
      <w:pPr>
        <w:autoSpaceDE w:val="0"/>
        <w:autoSpaceDN w:val="0"/>
        <w:adjustRightInd w:val="0"/>
        <w:jc w:val="both"/>
      </w:pPr>
    </w:p>
    <w:p w14:paraId="12C6D77E" w14:textId="50654C7D" w:rsidR="00E40DE2" w:rsidRPr="009118AB" w:rsidRDefault="00E40DE2" w:rsidP="00E40DE2">
      <w:pPr>
        <w:ind w:firstLine="708"/>
        <w:jc w:val="both"/>
      </w:pPr>
      <w:r w:rsidRPr="009118AB">
        <w:tab/>
        <w:t>[§ 1/1 - In Artikel 104 erwähnte Ausgaben sind auch vom Gesamtbetrag der in Artikel 232 erwähnten Nettoeinkünfte abzugsfähig, sofern und in dem Maße, wie ein Steuerpflichtiger anhand einer Einkommenserklärung der Steuerbehörde seines Wohnsitzstaates nachweist, dass er und gegebenenfalls sein Ehepartner diesen Abzug im Wohnsitzstaat aufgrund des geringen Umfangs seiner beziehungsweise ihrer in diesem Staat steuerpflichtigen Einkünfte nicht erhalten kann/können und dass dieser Abzug nicht auf einen folgenden Besteuerungszeitraum übertragen werden kann.</w:t>
      </w:r>
    </w:p>
    <w:p w14:paraId="7145CA06" w14:textId="77777777" w:rsidR="00E40DE2" w:rsidRPr="009118AB" w:rsidRDefault="00E40DE2" w:rsidP="00E40DE2">
      <w:pPr>
        <w:jc w:val="both"/>
      </w:pPr>
    </w:p>
    <w:p w14:paraId="1D642C70" w14:textId="77777777" w:rsidR="00E40DE2" w:rsidRPr="009118AB" w:rsidRDefault="00E40DE2" w:rsidP="00E40DE2">
      <w:pPr>
        <w:ind w:firstLine="708"/>
        <w:jc w:val="both"/>
      </w:pPr>
      <w:r w:rsidRPr="009118AB">
        <w:t>Der in Absatz 1 erwähnte Abzug wird nur angewandt, sofern alle folgenden Bedingungen erfüllt sind:</w:t>
      </w:r>
    </w:p>
    <w:p w14:paraId="270979AA" w14:textId="77777777" w:rsidR="00E40DE2" w:rsidRPr="009118AB" w:rsidRDefault="00E40DE2" w:rsidP="00E40DE2">
      <w:pPr>
        <w:jc w:val="both"/>
      </w:pPr>
    </w:p>
    <w:p w14:paraId="318D3258" w14:textId="77777777" w:rsidR="00E40DE2" w:rsidRPr="009118AB" w:rsidRDefault="00E40DE2" w:rsidP="00E40DE2">
      <w:pPr>
        <w:ind w:firstLine="708"/>
        <w:jc w:val="both"/>
      </w:pPr>
      <w:r w:rsidRPr="009118AB">
        <w:t>1. Der Steuerpflichtige ist in einem Mitgliedstaat des Europäischen Wirtschaftsraums ansässig.</w:t>
      </w:r>
    </w:p>
    <w:p w14:paraId="10D12DAB" w14:textId="77777777" w:rsidR="00E40DE2" w:rsidRPr="009118AB" w:rsidRDefault="00E40DE2" w:rsidP="00E40DE2">
      <w:pPr>
        <w:jc w:val="both"/>
      </w:pPr>
    </w:p>
    <w:p w14:paraId="43D1A87A" w14:textId="77777777" w:rsidR="00E40DE2" w:rsidRPr="009118AB" w:rsidRDefault="00E40DE2" w:rsidP="00E40DE2">
      <w:pPr>
        <w:ind w:firstLine="708"/>
        <w:jc w:val="both"/>
      </w:pPr>
      <w:r w:rsidRPr="009118AB">
        <w:t>2. Die in Artikel 232 erwähnten Nettoeinkünfte des Steuerpflichtigen umfassen Berufseinkünfte.</w:t>
      </w:r>
    </w:p>
    <w:p w14:paraId="5D39225E" w14:textId="77777777" w:rsidR="00E40DE2" w:rsidRPr="009118AB" w:rsidRDefault="00E40DE2" w:rsidP="00E40DE2">
      <w:pPr>
        <w:jc w:val="both"/>
      </w:pPr>
    </w:p>
    <w:p w14:paraId="73E84603" w14:textId="77777777" w:rsidR="00E40DE2" w:rsidRPr="009118AB" w:rsidRDefault="00E40DE2" w:rsidP="00E40DE2">
      <w:pPr>
        <w:ind w:firstLine="708"/>
        <w:jc w:val="both"/>
      </w:pPr>
      <w:r w:rsidRPr="009118AB">
        <w:t>3. Der Steuerpflichtige erzielt nicht die Gesamtheit oder fast die Gesamtheit seiner Berufseinkünfte in einem anderen Mitgliedstaat des Europäischen Wirtschaftsraums.</w:t>
      </w:r>
    </w:p>
    <w:p w14:paraId="30D2E770" w14:textId="77777777" w:rsidR="00E40DE2" w:rsidRPr="009118AB" w:rsidRDefault="00E40DE2" w:rsidP="00E40DE2">
      <w:pPr>
        <w:jc w:val="both"/>
      </w:pPr>
    </w:p>
    <w:p w14:paraId="4E38FEC1" w14:textId="26058164" w:rsidR="00E40DE2" w:rsidRPr="009118AB" w:rsidRDefault="00E40DE2" w:rsidP="00E40DE2">
      <w:pPr>
        <w:autoSpaceDE w:val="0"/>
        <w:autoSpaceDN w:val="0"/>
        <w:adjustRightInd w:val="0"/>
        <w:ind w:firstLine="708"/>
        <w:jc w:val="both"/>
      </w:pPr>
      <w:r w:rsidRPr="009118AB">
        <w:t>Der König legt Inhalt und Form der in Absatz 1 erwähnten Einkommenserklärung fest.]</w:t>
      </w:r>
    </w:p>
    <w:p w14:paraId="71895D4E" w14:textId="77777777" w:rsidR="00E40DE2" w:rsidRPr="009118AB" w:rsidRDefault="00E40DE2" w:rsidP="00477B8F">
      <w:pPr>
        <w:autoSpaceDE w:val="0"/>
        <w:autoSpaceDN w:val="0"/>
        <w:adjustRightInd w:val="0"/>
        <w:jc w:val="both"/>
      </w:pPr>
    </w:p>
    <w:p w14:paraId="0A0F7F28" w14:textId="0FC8B249" w:rsidR="00477B8F" w:rsidRPr="009118AB" w:rsidRDefault="00477B8F" w:rsidP="00477B8F">
      <w:pPr>
        <w:autoSpaceDE w:val="0"/>
        <w:autoSpaceDN w:val="0"/>
        <w:adjustRightInd w:val="0"/>
        <w:jc w:val="both"/>
      </w:pPr>
      <w:r w:rsidRPr="009118AB">
        <w:tab/>
        <w:t>[</w:t>
      </w:r>
      <w:r w:rsidR="00D67EB8" w:rsidRPr="009118AB">
        <w:t>§ </w:t>
      </w:r>
      <w:r w:rsidRPr="009118AB">
        <w:t>2</w:t>
      </w:r>
      <w:r w:rsidR="00D67EB8" w:rsidRPr="009118AB">
        <w:t> - </w:t>
      </w:r>
      <w:r w:rsidRPr="009118AB">
        <w:t xml:space="preserve">Die </w:t>
      </w:r>
      <w:r w:rsidR="00452530" w:rsidRPr="009118AB">
        <w:t>[…]</w:t>
      </w:r>
      <w:r w:rsidRPr="009118AB">
        <w:t xml:space="preserve"> </w:t>
      </w:r>
      <w:r w:rsidR="00E40DE2" w:rsidRPr="009118AB">
        <w:t>[in den Paragraphen 1 und 1/1]</w:t>
      </w:r>
      <w:r w:rsidRPr="009118AB">
        <w:t xml:space="preserve"> erwähnten Ausgaben sind nur unter Bedingungen </w:t>
      </w:r>
      <w:r w:rsidR="00182C3B" w:rsidRPr="009118AB">
        <w:t>[…]</w:t>
      </w:r>
      <w:r w:rsidRPr="009118AB">
        <w:t xml:space="preserve">, die [in </w:t>
      </w:r>
      <w:r w:rsidR="005C7408" w:rsidRPr="009118AB">
        <w:t>[</w:t>
      </w:r>
      <w:r w:rsidRPr="009118AB">
        <w:t>den Artikeln 104 bis 1</w:t>
      </w:r>
      <w:r w:rsidR="00A655EF" w:rsidRPr="009118AB">
        <w:t>0</w:t>
      </w:r>
      <w:r w:rsidRPr="009118AB">
        <w:t>6]</w:t>
      </w:r>
      <w:r w:rsidR="00A655EF" w:rsidRPr="009118AB">
        <w:t>]</w:t>
      </w:r>
      <w:r w:rsidRPr="009118AB">
        <w:t xml:space="preserve"> festgelegt sind, abzugsfähig.]</w:t>
      </w:r>
    </w:p>
    <w:p w14:paraId="0F8DC4E7" w14:textId="77777777" w:rsidR="00477B8F" w:rsidRPr="009118AB" w:rsidRDefault="00477B8F" w:rsidP="00477B8F">
      <w:pPr>
        <w:autoSpaceDE w:val="0"/>
        <w:autoSpaceDN w:val="0"/>
        <w:adjustRightInd w:val="0"/>
        <w:jc w:val="both"/>
      </w:pPr>
    </w:p>
    <w:p w14:paraId="4CC77B34" w14:textId="4D34BF84"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242 </w:t>
      </w:r>
      <w:r w:rsidR="00D67EB8" w:rsidRPr="009118AB">
        <w:rPr>
          <w:i/>
          <w:iCs/>
        </w:rPr>
        <w:t>§ </w:t>
      </w:r>
      <w:r w:rsidRPr="009118AB">
        <w:rPr>
          <w:i/>
          <w:iCs/>
        </w:rPr>
        <w:t xml:space="preserve">1 nummeriert durch </w:t>
      </w:r>
      <w:r w:rsidR="00D67EB8" w:rsidRPr="009118AB">
        <w:rPr>
          <w:i/>
          <w:iCs/>
        </w:rPr>
        <w:t>Art. </w:t>
      </w:r>
      <w:r w:rsidRPr="009118AB">
        <w:rPr>
          <w:i/>
          <w:iCs/>
        </w:rPr>
        <w:t>30 des G. vom 28. Juli </w:t>
      </w:r>
      <w:r w:rsidR="004F7F42" w:rsidRPr="009118AB">
        <w:rPr>
          <w:i/>
          <w:iCs/>
        </w:rPr>
        <w:t>1992 (B.S. vom 31. Juli 1992)</w:t>
      </w:r>
      <w:r w:rsidR="00D67EB8" w:rsidRPr="009118AB">
        <w:rPr>
          <w:i/>
          <w:iCs/>
        </w:rPr>
        <w:t> - </w:t>
      </w:r>
      <w:r w:rsidRPr="009118AB">
        <w:rPr>
          <w:i/>
          <w:iCs/>
        </w:rPr>
        <w:t>anwendbar ab dem Steuerjahr 1993</w:t>
      </w:r>
      <w:r w:rsidR="00D67EB8" w:rsidRPr="009118AB">
        <w:rPr>
          <w:i/>
          <w:iCs/>
        </w:rPr>
        <w:t> - </w:t>
      </w:r>
      <w:r w:rsidRPr="009118AB">
        <w:rPr>
          <w:i/>
          <w:iCs/>
        </w:rPr>
        <w:t xml:space="preserve">und ersetzt durch </w:t>
      </w:r>
      <w:r w:rsidR="00D67EB8" w:rsidRPr="009118AB">
        <w:rPr>
          <w:i/>
          <w:iCs/>
        </w:rPr>
        <w:t>Art. </w:t>
      </w:r>
      <w:r w:rsidR="00B634E1" w:rsidRPr="009118AB">
        <w:rPr>
          <w:i/>
          <w:iCs/>
        </w:rPr>
        <w:t>66 des G. vom 13. Dezember 2012 (B.S. vom 20. Dezember 2012)</w:t>
      </w:r>
      <w:r w:rsidR="00D67EB8" w:rsidRPr="009118AB">
        <w:rPr>
          <w:i/>
          <w:iCs/>
        </w:rPr>
        <w:t> - </w:t>
      </w:r>
      <w:r w:rsidR="00B634E1" w:rsidRPr="009118AB">
        <w:rPr>
          <w:i/>
          <w:iCs/>
        </w:rPr>
        <w:t>in Kraft ab dem Steuerjahr 2013</w:t>
      </w:r>
      <w:r w:rsidR="003366D9" w:rsidRPr="009118AB">
        <w:rPr>
          <w:i/>
          <w:iCs/>
        </w:rPr>
        <w:t> -;</w:t>
      </w:r>
      <w:r w:rsidR="00A655EF" w:rsidRPr="009118AB">
        <w:rPr>
          <w:i/>
          <w:iCs/>
        </w:rPr>
        <w:t xml:space="preserve"> </w:t>
      </w:r>
      <w:r w:rsidR="00D67EB8" w:rsidRPr="009118AB">
        <w:rPr>
          <w:i/>
          <w:iCs/>
        </w:rPr>
        <w:t>§ </w:t>
      </w:r>
      <w:r w:rsidR="00A655EF" w:rsidRPr="009118AB">
        <w:rPr>
          <w:i/>
          <w:iCs/>
        </w:rPr>
        <w:t xml:space="preserve">1 früherer Absatz 2 aufgehoben durch </w:t>
      </w:r>
      <w:r w:rsidR="00D67EB8" w:rsidRPr="009118AB">
        <w:rPr>
          <w:i/>
          <w:iCs/>
        </w:rPr>
        <w:t>Art. </w:t>
      </w:r>
      <w:r w:rsidR="00A655EF" w:rsidRPr="009118AB">
        <w:rPr>
          <w:i/>
          <w:iCs/>
        </w:rPr>
        <w:t xml:space="preserve">74 </w:t>
      </w:r>
      <w:r w:rsidR="00D67EB8" w:rsidRPr="009118AB">
        <w:rPr>
          <w:i/>
          <w:iCs/>
        </w:rPr>
        <w:t>Nr. </w:t>
      </w:r>
      <w:r w:rsidR="00A655EF" w:rsidRPr="009118AB">
        <w:rPr>
          <w:i/>
          <w:iCs/>
        </w:rPr>
        <w:t>1</w:t>
      </w:r>
      <w:r w:rsidR="00A655EF" w:rsidRPr="009118AB">
        <w:rPr>
          <w:i/>
        </w:rPr>
        <w:t xml:space="preserve"> des G. vom 8. Mai 2014 (B.S. vom 28. Mai 2014)</w:t>
      </w:r>
      <w:r w:rsidR="00D67EB8" w:rsidRPr="009118AB">
        <w:rPr>
          <w:i/>
        </w:rPr>
        <w:t> - </w:t>
      </w:r>
      <w:r w:rsidR="00A655EF" w:rsidRPr="009118AB">
        <w:rPr>
          <w:i/>
          <w:iCs/>
        </w:rPr>
        <w:t>anwendbar ab dem Steuerjahr 2015</w:t>
      </w:r>
      <w:r w:rsidR="003366D9" w:rsidRPr="009118AB">
        <w:rPr>
          <w:i/>
          <w:iCs/>
        </w:rPr>
        <w:t> -;</w:t>
      </w:r>
      <w:r w:rsidR="004B1946" w:rsidRPr="009118AB">
        <w:rPr>
          <w:i/>
          <w:iCs/>
        </w:rPr>
        <w:t xml:space="preserve"> </w:t>
      </w:r>
      <w:r w:rsidR="00E40DE2" w:rsidRPr="009118AB">
        <w:rPr>
          <w:i/>
          <w:iCs/>
        </w:rPr>
        <w:t xml:space="preserve">§ 1/1 eingefügt durch Art. 28 Nr. 1 des G. vom 21. Dezember 2022 (II) (B.S. vom 29. Dezember 2022) - in Kraft am 1. Januar 2023 -; </w:t>
      </w:r>
      <w:r w:rsidR="00D67EB8" w:rsidRPr="009118AB">
        <w:rPr>
          <w:i/>
          <w:iCs/>
        </w:rPr>
        <w:t>§ </w:t>
      </w:r>
      <w:r w:rsidRPr="009118AB">
        <w:rPr>
          <w:i/>
          <w:iCs/>
        </w:rPr>
        <w:t xml:space="preserve">2 eingefügt durch </w:t>
      </w:r>
      <w:r w:rsidR="00D67EB8" w:rsidRPr="009118AB">
        <w:rPr>
          <w:i/>
          <w:iCs/>
        </w:rPr>
        <w:t>Art. </w:t>
      </w:r>
      <w:r w:rsidRPr="009118AB">
        <w:rPr>
          <w:i/>
          <w:iCs/>
        </w:rPr>
        <w:t>30 des G. vom 28. Juli 1992 (B.S. vom 31. Juli 1992)</w:t>
      </w:r>
      <w:r w:rsidR="00D67EB8" w:rsidRPr="009118AB">
        <w:rPr>
          <w:i/>
          <w:iCs/>
        </w:rPr>
        <w:t> - </w:t>
      </w:r>
      <w:r w:rsidRPr="009118AB">
        <w:rPr>
          <w:i/>
          <w:iCs/>
        </w:rPr>
        <w:t>anwendbar ab dem Steuerjahr</w:t>
      </w:r>
      <w:r w:rsidR="00452530" w:rsidRPr="009118AB">
        <w:rPr>
          <w:i/>
          <w:iCs/>
        </w:rPr>
        <w:t> </w:t>
      </w:r>
      <w:r w:rsidRPr="009118AB">
        <w:rPr>
          <w:i/>
          <w:iCs/>
        </w:rPr>
        <w:t>1993</w:t>
      </w:r>
      <w:r w:rsidR="00D67EB8" w:rsidRPr="009118AB">
        <w:rPr>
          <w:i/>
          <w:iCs/>
        </w:rPr>
        <w:t> - </w:t>
      </w:r>
      <w:r w:rsidRPr="009118AB">
        <w:rPr>
          <w:i/>
          <w:iCs/>
        </w:rPr>
        <w:t xml:space="preserve">und abgeändert durch </w:t>
      </w:r>
      <w:r w:rsidR="00D67EB8" w:rsidRPr="009118AB">
        <w:rPr>
          <w:i/>
          <w:iCs/>
        </w:rPr>
        <w:t>Art. </w:t>
      </w:r>
      <w:r w:rsidRPr="009118AB">
        <w:rPr>
          <w:i/>
          <w:iCs/>
        </w:rPr>
        <w:t xml:space="preserve">35 </w:t>
      </w:r>
      <w:r w:rsidR="00D67EB8" w:rsidRPr="009118AB">
        <w:rPr>
          <w:i/>
          <w:iCs/>
        </w:rPr>
        <w:t>Nr. </w:t>
      </w:r>
      <w:r w:rsidRPr="009118AB">
        <w:rPr>
          <w:i/>
          <w:iCs/>
        </w:rPr>
        <w:t xml:space="preserve">2 des G. vom 6. Juli 1994 (B.S. vom </w:t>
      </w:r>
      <w:r w:rsidRPr="009118AB">
        <w:rPr>
          <w:i/>
          <w:iCs/>
        </w:rPr>
        <w:lastRenderedPageBreak/>
        <w:t>16. Juli 1994)</w:t>
      </w:r>
      <w:r w:rsidR="00D67EB8" w:rsidRPr="009118AB">
        <w:rPr>
          <w:i/>
          <w:iCs/>
        </w:rPr>
        <w:t> - </w:t>
      </w:r>
      <w:r w:rsidRPr="009118AB">
        <w:rPr>
          <w:i/>
          <w:iCs/>
        </w:rPr>
        <w:t>anwendbar ab dem Steuerjahr 1993</w:t>
      </w:r>
      <w:r w:rsidR="00FD68E8" w:rsidRPr="009118AB">
        <w:rPr>
          <w:i/>
          <w:iCs/>
        </w:rPr>
        <w:t> -,</w:t>
      </w:r>
      <w:r w:rsidR="00452530" w:rsidRPr="009118AB">
        <w:rPr>
          <w:i/>
          <w:iCs/>
        </w:rPr>
        <w:t xml:space="preserve"> </w:t>
      </w:r>
      <w:r w:rsidR="00D67EB8" w:rsidRPr="009118AB">
        <w:rPr>
          <w:i/>
          <w:iCs/>
        </w:rPr>
        <w:t>Art. </w:t>
      </w:r>
      <w:r w:rsidR="00452530" w:rsidRPr="009118AB">
        <w:rPr>
          <w:i/>
          <w:iCs/>
        </w:rPr>
        <w:t xml:space="preserve">37 </w:t>
      </w:r>
      <w:r w:rsidR="00D67EB8" w:rsidRPr="009118AB">
        <w:rPr>
          <w:i/>
          <w:iCs/>
        </w:rPr>
        <w:t>Nr. </w:t>
      </w:r>
      <w:r w:rsidR="00452530" w:rsidRPr="009118AB">
        <w:rPr>
          <w:i/>
          <w:iCs/>
        </w:rPr>
        <w:t>2 des G. vom 14. April 2011 (B.S. vom 6. Mai 2011)</w:t>
      </w:r>
      <w:r w:rsidR="00D67EB8" w:rsidRPr="009118AB">
        <w:rPr>
          <w:i/>
          <w:iCs/>
        </w:rPr>
        <w:t> - </w:t>
      </w:r>
      <w:r w:rsidR="00452530" w:rsidRPr="009118AB">
        <w:rPr>
          <w:i/>
          <w:iCs/>
        </w:rPr>
        <w:t>in Kraft ab dem Steuerjahr 2011</w:t>
      </w:r>
      <w:r w:rsidR="00D67EB8" w:rsidRPr="009118AB">
        <w:rPr>
          <w:i/>
          <w:iCs/>
        </w:rPr>
        <w:t> -</w:t>
      </w:r>
      <w:r w:rsidR="00E40DE2" w:rsidRPr="009118AB">
        <w:rPr>
          <w:i/>
          <w:iCs/>
        </w:rPr>
        <w:t xml:space="preserve">, </w:t>
      </w:r>
      <w:r w:rsidR="00D67EB8" w:rsidRPr="009118AB">
        <w:rPr>
          <w:i/>
          <w:iCs/>
        </w:rPr>
        <w:t>Art. </w:t>
      </w:r>
      <w:r w:rsidR="00A655EF" w:rsidRPr="009118AB">
        <w:rPr>
          <w:i/>
          <w:iCs/>
        </w:rPr>
        <w:t xml:space="preserve">74 </w:t>
      </w:r>
      <w:r w:rsidR="00D67EB8" w:rsidRPr="009118AB">
        <w:rPr>
          <w:i/>
          <w:iCs/>
        </w:rPr>
        <w:t>Nr. </w:t>
      </w:r>
      <w:r w:rsidR="00A655EF" w:rsidRPr="009118AB">
        <w:rPr>
          <w:i/>
          <w:iCs/>
        </w:rPr>
        <w:t>2</w:t>
      </w:r>
      <w:r w:rsidR="00A655EF" w:rsidRPr="009118AB">
        <w:rPr>
          <w:i/>
        </w:rPr>
        <w:t xml:space="preserve"> des G. vom 8. Mai 2014 (B.S. vom 28. Mai 2014)</w:t>
      </w:r>
      <w:r w:rsidR="00D67EB8" w:rsidRPr="009118AB">
        <w:rPr>
          <w:i/>
        </w:rPr>
        <w:t> - </w:t>
      </w:r>
      <w:r w:rsidR="00A655EF" w:rsidRPr="009118AB">
        <w:rPr>
          <w:i/>
          <w:iCs/>
        </w:rPr>
        <w:t>anwendbar ab dem Steuerjahr 2015</w:t>
      </w:r>
      <w:r w:rsidR="00FD68E8" w:rsidRPr="009118AB">
        <w:rPr>
          <w:i/>
          <w:iCs/>
        </w:rPr>
        <w:t> -</w:t>
      </w:r>
      <w:r w:rsidR="00E40DE2" w:rsidRPr="009118AB">
        <w:rPr>
          <w:i/>
          <w:iCs/>
        </w:rPr>
        <w:t xml:space="preserve"> und Art. 28 Nr. 2 des G. vom 21. Dezember 2022 (II) (B.S. vom 29. Dezember 2022) - in Kraft am 1. Januar 2023 -</w:t>
      </w:r>
      <w:r w:rsidR="00FD68E8" w:rsidRPr="009118AB">
        <w:rPr>
          <w:i/>
          <w:iCs/>
        </w:rPr>
        <w:t>]</w:t>
      </w:r>
    </w:p>
    <w:p w14:paraId="1BCE56F4" w14:textId="4A262864" w:rsidR="00477B8F" w:rsidRPr="009118AB" w:rsidRDefault="00477B8F" w:rsidP="00477B8F">
      <w:pPr>
        <w:autoSpaceDE w:val="0"/>
        <w:autoSpaceDN w:val="0"/>
        <w:adjustRightInd w:val="0"/>
        <w:jc w:val="center"/>
      </w:pPr>
      <w:r w:rsidRPr="009118AB">
        <w:br w:type="page"/>
      </w:r>
      <w:r w:rsidR="00121C17" w:rsidRPr="009118AB">
        <w:rPr>
          <w:b/>
          <w:bCs/>
        </w:rPr>
        <w:lastRenderedPageBreak/>
        <w:t>KAPITEL</w:t>
      </w:r>
      <w:r w:rsidRPr="009118AB">
        <w:rPr>
          <w:b/>
          <w:bCs/>
        </w:rPr>
        <w:t> </w:t>
      </w:r>
      <w:r w:rsidR="007828ED" w:rsidRPr="009118AB">
        <w:rPr>
          <w:b/>
          <w:bCs/>
        </w:rPr>
        <w:t>4</w:t>
      </w:r>
      <w:r w:rsidR="00D67EB8" w:rsidRPr="009118AB">
        <w:t> - </w:t>
      </w:r>
      <w:r w:rsidRPr="009118AB">
        <w:rPr>
          <w:i/>
          <w:iCs/>
        </w:rPr>
        <w:t>Steuerberechnung</w:t>
      </w:r>
    </w:p>
    <w:p w14:paraId="55EA990B" w14:textId="77777777" w:rsidR="00477B8F" w:rsidRPr="009118AB" w:rsidRDefault="00477B8F" w:rsidP="00477B8F">
      <w:pPr>
        <w:autoSpaceDE w:val="0"/>
        <w:autoSpaceDN w:val="0"/>
        <w:adjustRightInd w:val="0"/>
        <w:jc w:val="center"/>
      </w:pPr>
    </w:p>
    <w:p w14:paraId="23FE2300" w14:textId="77777777" w:rsidR="00477B8F" w:rsidRPr="009118AB" w:rsidRDefault="00477B8F" w:rsidP="00477B8F">
      <w:pPr>
        <w:autoSpaceDE w:val="0"/>
        <w:autoSpaceDN w:val="0"/>
        <w:adjustRightInd w:val="0"/>
        <w:jc w:val="center"/>
      </w:pPr>
    </w:p>
    <w:p w14:paraId="67916EF8" w14:textId="51578A75" w:rsidR="00477B8F" w:rsidRPr="009118AB" w:rsidRDefault="00836251" w:rsidP="00836251">
      <w:pPr>
        <w:autoSpaceDE w:val="0"/>
        <w:autoSpaceDN w:val="0"/>
        <w:adjustRightInd w:val="0"/>
        <w:jc w:val="both"/>
      </w:pPr>
      <w:r w:rsidRPr="009118AB">
        <w:tab/>
      </w:r>
      <w:r w:rsidR="00D67EB8" w:rsidRPr="009118AB">
        <w:rPr>
          <w:b/>
          <w:bCs/>
        </w:rPr>
        <w:t>Art. </w:t>
      </w:r>
      <w:r w:rsidRPr="009118AB">
        <w:rPr>
          <w:b/>
          <w:bCs/>
        </w:rPr>
        <w:t>243</w:t>
      </w:r>
      <w:r w:rsidR="00D67EB8" w:rsidRPr="009118AB">
        <w:t> - </w:t>
      </w:r>
      <w:r w:rsidR="00477B8F" w:rsidRPr="009118AB">
        <w:t>In den in Artikel 232 erwähnten Fällen sind die Bestimmungen der Artikel 86 bis 89 nicht anwendbar und wird die Steuer gemäß der in Artikel 130 erwähnten Steuertabelle berechnet [...].</w:t>
      </w:r>
    </w:p>
    <w:p w14:paraId="515B143B" w14:textId="77777777" w:rsidR="00477B8F" w:rsidRPr="009118AB" w:rsidRDefault="00477B8F" w:rsidP="00477B8F">
      <w:pPr>
        <w:autoSpaceDE w:val="0"/>
        <w:autoSpaceDN w:val="0"/>
        <w:adjustRightInd w:val="0"/>
        <w:jc w:val="both"/>
      </w:pPr>
    </w:p>
    <w:p w14:paraId="2E240A1B" w14:textId="6289BD42" w:rsidR="00477B8F" w:rsidRPr="009118AB" w:rsidRDefault="00492B65" w:rsidP="00477B8F">
      <w:pPr>
        <w:autoSpaceDE w:val="0"/>
        <w:autoSpaceDN w:val="0"/>
        <w:adjustRightInd w:val="0"/>
        <w:jc w:val="both"/>
      </w:pPr>
      <w:r w:rsidRPr="009118AB">
        <w:tab/>
      </w:r>
      <w:r w:rsidR="00477B8F" w:rsidRPr="009118AB">
        <w:t xml:space="preserve">[Auf die gemäß vorhergehendem Absatz berechnete Steuer werden in den Artikeln 146 bis 154 vorgesehene Ermäßigungen in Grenzen und unter Bedingungen, die in diesen Artikeln festgelegt sind, und unter Berücksichtigung der Gesamtheit belgischer und ausländischer Einkünfte gewährt </w:t>
      </w:r>
      <w:r w:rsidR="00EA2D14" w:rsidRPr="009118AB">
        <w:t>[...]</w:t>
      </w:r>
      <w:r w:rsidR="00477B8F" w:rsidRPr="009118AB">
        <w:t>:</w:t>
      </w:r>
    </w:p>
    <w:p w14:paraId="37A46C26" w14:textId="77777777" w:rsidR="00477B8F" w:rsidRPr="009118AB" w:rsidRDefault="00477B8F" w:rsidP="00477B8F">
      <w:pPr>
        <w:autoSpaceDE w:val="0"/>
        <w:autoSpaceDN w:val="0"/>
        <w:adjustRightInd w:val="0"/>
        <w:jc w:val="both"/>
      </w:pPr>
    </w:p>
    <w:p w14:paraId="39D5CC71" w14:textId="598B3F2E" w:rsidR="00477B8F" w:rsidRPr="009118AB" w:rsidRDefault="00492B65" w:rsidP="00477B8F">
      <w:pPr>
        <w:autoSpaceDE w:val="0"/>
        <w:autoSpaceDN w:val="0"/>
        <w:adjustRightInd w:val="0"/>
        <w:jc w:val="both"/>
      </w:pPr>
      <w:r w:rsidRPr="009118AB">
        <w:tab/>
      </w:r>
      <w:r w:rsidR="00477B8F" w:rsidRPr="009118AB">
        <w:t xml:space="preserve">1. </w:t>
      </w:r>
      <w:r w:rsidR="009E2177" w:rsidRPr="009118AB">
        <w:t>[</w:t>
      </w:r>
      <w:r w:rsidR="00EA2D14" w:rsidRPr="009118AB">
        <w:t>...]</w:t>
      </w:r>
    </w:p>
    <w:p w14:paraId="357220CA" w14:textId="77777777" w:rsidR="00836251" w:rsidRPr="009118AB" w:rsidRDefault="00836251" w:rsidP="00477B8F">
      <w:pPr>
        <w:autoSpaceDE w:val="0"/>
        <w:autoSpaceDN w:val="0"/>
        <w:adjustRightInd w:val="0"/>
        <w:jc w:val="both"/>
      </w:pPr>
    </w:p>
    <w:p w14:paraId="51C8976D" w14:textId="4E039DF4" w:rsidR="00477B8F" w:rsidRPr="009118AB" w:rsidRDefault="00492B65" w:rsidP="00477B8F">
      <w:pPr>
        <w:autoSpaceDE w:val="0"/>
        <w:autoSpaceDN w:val="0"/>
        <w:adjustRightInd w:val="0"/>
        <w:jc w:val="both"/>
      </w:pPr>
      <w:r w:rsidRPr="009118AB">
        <w:tab/>
      </w:r>
      <w:r w:rsidR="00477B8F" w:rsidRPr="009118AB">
        <w:t>2. [...]</w:t>
      </w:r>
    </w:p>
    <w:p w14:paraId="176616CD" w14:textId="77777777" w:rsidR="00477B8F" w:rsidRPr="009118AB" w:rsidRDefault="00477B8F" w:rsidP="00477B8F">
      <w:pPr>
        <w:autoSpaceDE w:val="0"/>
        <w:autoSpaceDN w:val="0"/>
        <w:adjustRightInd w:val="0"/>
        <w:jc w:val="both"/>
      </w:pPr>
    </w:p>
    <w:p w14:paraId="42858705" w14:textId="7BCF7619" w:rsidR="00477B8F" w:rsidRPr="009118AB" w:rsidRDefault="00492B65" w:rsidP="00477B8F">
      <w:pPr>
        <w:autoSpaceDE w:val="0"/>
        <w:autoSpaceDN w:val="0"/>
        <w:adjustRightInd w:val="0"/>
        <w:jc w:val="both"/>
      </w:pPr>
      <w:r w:rsidRPr="009118AB">
        <w:tab/>
      </w:r>
      <w:r w:rsidR="00477B8F" w:rsidRPr="009118AB">
        <w:t xml:space="preserve">3. </w:t>
      </w:r>
      <w:r w:rsidR="00EA2D14" w:rsidRPr="009118AB">
        <w:t>[...</w:t>
      </w:r>
      <w:r w:rsidR="00477B8F" w:rsidRPr="009118AB">
        <w:t>]</w:t>
      </w:r>
      <w:r w:rsidR="00EA2D14" w:rsidRPr="009118AB">
        <w:t>]</w:t>
      </w:r>
      <w:r w:rsidR="00BD4546" w:rsidRPr="009118AB">
        <w:t>.</w:t>
      </w:r>
    </w:p>
    <w:p w14:paraId="1799AEC6" w14:textId="77777777" w:rsidR="00477B8F" w:rsidRPr="009118AB" w:rsidRDefault="00477B8F" w:rsidP="00477B8F">
      <w:pPr>
        <w:autoSpaceDE w:val="0"/>
        <w:autoSpaceDN w:val="0"/>
        <w:adjustRightInd w:val="0"/>
        <w:jc w:val="both"/>
      </w:pPr>
    </w:p>
    <w:p w14:paraId="7F889DB7" w14:textId="60F2A2D4" w:rsidR="00836251" w:rsidRPr="009118AB" w:rsidRDefault="00492B65" w:rsidP="00836251">
      <w:pPr>
        <w:autoSpaceDE w:val="0"/>
        <w:autoSpaceDN w:val="0"/>
        <w:adjustRightInd w:val="0"/>
        <w:jc w:val="both"/>
      </w:pPr>
      <w:r w:rsidRPr="009118AB">
        <w:tab/>
      </w:r>
      <w:r w:rsidR="00477B8F" w:rsidRPr="009118AB">
        <w:t>[</w:t>
      </w:r>
      <w:r w:rsidR="009E2177" w:rsidRPr="009118AB">
        <w:t>..</w:t>
      </w:r>
      <w:r w:rsidR="00FA12F4" w:rsidRPr="009118AB">
        <w:t>.</w:t>
      </w:r>
      <w:r w:rsidR="00477B8F" w:rsidRPr="009118AB">
        <w:t>]</w:t>
      </w:r>
    </w:p>
    <w:p w14:paraId="1A8906A2" w14:textId="77777777" w:rsidR="00836251" w:rsidRPr="009118AB" w:rsidRDefault="00836251" w:rsidP="00836251">
      <w:pPr>
        <w:autoSpaceDE w:val="0"/>
        <w:autoSpaceDN w:val="0"/>
        <w:adjustRightInd w:val="0"/>
        <w:jc w:val="both"/>
      </w:pPr>
    </w:p>
    <w:p w14:paraId="2886FE42" w14:textId="68C58BFB" w:rsidR="00EA2D14" w:rsidRPr="009118AB" w:rsidRDefault="00492B65" w:rsidP="00836251">
      <w:pPr>
        <w:autoSpaceDE w:val="0"/>
        <w:autoSpaceDN w:val="0"/>
        <w:adjustRightInd w:val="0"/>
        <w:jc w:val="both"/>
      </w:pPr>
      <w:r w:rsidRPr="009118AB">
        <w:tab/>
      </w:r>
      <w:r w:rsidR="00B21E12" w:rsidRPr="009118AB">
        <w:t>[Die Artikel </w:t>
      </w:r>
      <w:r w:rsidR="00CD7EC2" w:rsidRPr="009118AB">
        <w:t xml:space="preserve">[25/1, 27/1,] </w:t>
      </w:r>
      <w:r w:rsidR="00C030D3" w:rsidRPr="009118AB">
        <w:t>[</w:t>
      </w:r>
      <w:r w:rsidR="00B90C34" w:rsidRPr="009118AB">
        <w:t>...</w:t>
      </w:r>
      <w:r w:rsidR="00C030D3" w:rsidRPr="009118AB">
        <w:t xml:space="preserve">] </w:t>
      </w:r>
      <w:r w:rsidR="00B21E12" w:rsidRPr="009118AB">
        <w:t>126 bis 129, 145</w:t>
      </w:r>
      <w:r w:rsidR="00B21E12" w:rsidRPr="009118AB">
        <w:rPr>
          <w:vertAlign w:val="superscript"/>
        </w:rPr>
        <w:t>1</w:t>
      </w:r>
      <w:r w:rsidR="00B21E12" w:rsidRPr="009118AB">
        <w:t xml:space="preserve"> </w:t>
      </w:r>
      <w:r w:rsidR="00D67EB8" w:rsidRPr="009118AB">
        <w:t>Nr. </w:t>
      </w:r>
      <w:r w:rsidR="00B21E12" w:rsidRPr="009118AB">
        <w:t>1, 1</w:t>
      </w:r>
      <w:r w:rsidR="00B21E12" w:rsidRPr="009118AB">
        <w:rPr>
          <w:i/>
        </w:rPr>
        <w:t>bis</w:t>
      </w:r>
      <w:r w:rsidR="00B21E12" w:rsidRPr="009118AB">
        <w:t xml:space="preserve"> und 4, 145</w:t>
      </w:r>
      <w:r w:rsidR="00B21E12" w:rsidRPr="009118AB">
        <w:rPr>
          <w:vertAlign w:val="superscript"/>
        </w:rPr>
        <w:t>2</w:t>
      </w:r>
      <w:r w:rsidR="00B21E12" w:rsidRPr="009118AB">
        <w:t xml:space="preserve"> bis 145</w:t>
      </w:r>
      <w:r w:rsidR="00B21E12" w:rsidRPr="009118AB">
        <w:rPr>
          <w:vertAlign w:val="superscript"/>
        </w:rPr>
        <w:t>3/1</w:t>
      </w:r>
      <w:r w:rsidR="00B21E12" w:rsidRPr="009118AB">
        <w:t>]</w:t>
      </w:r>
      <w:r w:rsidR="00EA2D14" w:rsidRPr="009118AB">
        <w:t>, 145</w:t>
      </w:r>
      <w:r w:rsidR="00EA2D14" w:rsidRPr="009118AB">
        <w:rPr>
          <w:vertAlign w:val="superscript"/>
        </w:rPr>
        <w:t>7</w:t>
      </w:r>
      <w:r w:rsidR="00EA2D14" w:rsidRPr="009118AB">
        <w:t>, 145</w:t>
      </w:r>
      <w:r w:rsidR="00EA2D14" w:rsidRPr="009118AB">
        <w:rPr>
          <w:vertAlign w:val="superscript"/>
        </w:rPr>
        <w:t>26</w:t>
      </w:r>
      <w:r w:rsidR="00BA2C1F" w:rsidRPr="009118AB">
        <w:t xml:space="preserve"> </w:t>
      </w:r>
      <w:r w:rsidR="00D67EB8" w:rsidRPr="009118AB">
        <w:t>§ </w:t>
      </w:r>
      <w:r w:rsidR="00BA2C1F" w:rsidRPr="009118AB">
        <w:t xml:space="preserve">5, </w:t>
      </w:r>
      <w:r w:rsidR="00836251" w:rsidRPr="009118AB">
        <w:t>[145</w:t>
      </w:r>
      <w:r w:rsidR="00836251" w:rsidRPr="009118AB">
        <w:rPr>
          <w:vertAlign w:val="superscript"/>
        </w:rPr>
        <w:t>27</w:t>
      </w:r>
      <w:r w:rsidR="00836251" w:rsidRPr="009118AB">
        <w:t xml:space="preserve"> </w:t>
      </w:r>
      <w:r w:rsidR="00D67EB8" w:rsidRPr="009118AB">
        <w:t>§ </w:t>
      </w:r>
      <w:r w:rsidR="00836251" w:rsidRPr="009118AB">
        <w:t xml:space="preserve">4,] </w:t>
      </w:r>
      <w:r w:rsidR="00EA2D14" w:rsidRPr="009118AB">
        <w:t>145</w:t>
      </w:r>
      <w:r w:rsidR="00EA2D14" w:rsidRPr="009118AB">
        <w:rPr>
          <w:vertAlign w:val="superscript"/>
        </w:rPr>
        <w:t>32</w:t>
      </w:r>
      <w:r w:rsidR="00EA2D14" w:rsidRPr="009118AB">
        <w:t xml:space="preserve"> §</w:t>
      </w:r>
      <w:r w:rsidR="00D67EB8" w:rsidRPr="009118AB">
        <w:t>§ </w:t>
      </w:r>
      <w:r w:rsidR="00EA2D14" w:rsidRPr="009118AB">
        <w:t>2 und 3, 154</w:t>
      </w:r>
      <w:r w:rsidR="00EA2D14" w:rsidRPr="009118AB">
        <w:rPr>
          <w:i/>
        </w:rPr>
        <w:t>bis</w:t>
      </w:r>
      <w:r w:rsidR="00EA2D14" w:rsidRPr="009118AB">
        <w:t>, 157 bis 169 und 171 bis 178/1 sind ebenfalls anwendbar, wobei:</w:t>
      </w:r>
    </w:p>
    <w:p w14:paraId="5DD4E6AB" w14:textId="77777777" w:rsidR="00EA2D14" w:rsidRPr="009118AB" w:rsidRDefault="00EA2D14" w:rsidP="00EA2D14">
      <w:pPr>
        <w:jc w:val="both"/>
      </w:pPr>
    </w:p>
    <w:p w14:paraId="4BA20CE8" w14:textId="0F07CA67" w:rsidR="00EA2D14" w:rsidRPr="009118AB" w:rsidRDefault="00492B65" w:rsidP="00EA2D14">
      <w:pPr>
        <w:jc w:val="both"/>
      </w:pPr>
      <w:r w:rsidRPr="009118AB">
        <w:tab/>
      </w:r>
      <w:r w:rsidR="00EA2D14" w:rsidRPr="009118AB">
        <w:t>1. </w:t>
      </w:r>
      <w:r w:rsidR="00B21E12" w:rsidRPr="009118AB">
        <w:t>[</w:t>
      </w:r>
      <w:r w:rsidR="00EA2D14" w:rsidRPr="009118AB">
        <w:t>in Artikel 145</w:t>
      </w:r>
      <w:r w:rsidR="00EA2D14" w:rsidRPr="009118AB">
        <w:rPr>
          <w:vertAlign w:val="superscript"/>
        </w:rPr>
        <w:t>1</w:t>
      </w:r>
      <w:r w:rsidR="00EA2D14" w:rsidRPr="009118AB">
        <w:t xml:space="preserve"> </w:t>
      </w:r>
      <w:r w:rsidR="00D67EB8" w:rsidRPr="009118AB">
        <w:t>Nr. </w:t>
      </w:r>
      <w:r w:rsidR="00EA2D14" w:rsidRPr="009118AB">
        <w:t xml:space="preserve">1 </w:t>
      </w:r>
      <w:r w:rsidR="00B21E12" w:rsidRPr="009118AB">
        <w:t xml:space="preserve">und </w:t>
      </w:r>
      <w:r w:rsidR="00D67EB8" w:rsidRPr="009118AB">
        <w:t>Nr. </w:t>
      </w:r>
      <w:r w:rsidR="00B21E12" w:rsidRPr="009118AB">
        <w:t>1</w:t>
      </w:r>
      <w:r w:rsidR="00B21E12" w:rsidRPr="009118AB">
        <w:rPr>
          <w:i/>
        </w:rPr>
        <w:t>bis</w:t>
      </w:r>
      <w:r w:rsidR="00B21E12" w:rsidRPr="009118AB">
        <w:t>]</w:t>
      </w:r>
      <w:r w:rsidR="00A54EC2" w:rsidRPr="009118AB">
        <w:t xml:space="preserve"> </w:t>
      </w:r>
      <w:r w:rsidR="00EA2D14" w:rsidRPr="009118AB">
        <w:t>erwähnte persönliche Beiträge und Prämien nur in dem Maße berücksichtigt werden, wie sie in Belgien steuerpflichtige Berufseinkünfte betreffen, die gemäß den Artikeln 232 und 248 §</w:t>
      </w:r>
      <w:r w:rsidR="00D67EB8" w:rsidRPr="009118AB">
        <w:t>§ </w:t>
      </w:r>
      <w:r w:rsidR="00EA2D14" w:rsidRPr="009118AB">
        <w:t>2 und 3 tatsächlich in der Erklärung regularisiert werden,</w:t>
      </w:r>
    </w:p>
    <w:p w14:paraId="22D5F181" w14:textId="77777777" w:rsidR="00EA2D14" w:rsidRPr="009118AB" w:rsidRDefault="00EA2D14" w:rsidP="00EA2D14">
      <w:pPr>
        <w:jc w:val="both"/>
      </w:pPr>
    </w:p>
    <w:p w14:paraId="049EB7CF" w14:textId="6698E101" w:rsidR="00EA2D14" w:rsidRPr="009118AB" w:rsidRDefault="00492B65" w:rsidP="00EA2D14">
      <w:pPr>
        <w:jc w:val="both"/>
      </w:pPr>
      <w:r w:rsidRPr="009118AB">
        <w:tab/>
      </w:r>
      <w:r w:rsidR="00EA2D14" w:rsidRPr="009118AB">
        <w:t>2. in Artikel 145</w:t>
      </w:r>
      <w:r w:rsidR="00EA2D14" w:rsidRPr="009118AB">
        <w:rPr>
          <w:vertAlign w:val="superscript"/>
        </w:rPr>
        <w:t>1</w:t>
      </w:r>
      <w:r w:rsidR="00EA2D14" w:rsidRPr="009118AB">
        <w:t xml:space="preserve"> </w:t>
      </w:r>
      <w:r w:rsidR="00D67EB8" w:rsidRPr="009118AB">
        <w:t>Nr. </w:t>
      </w:r>
      <w:r w:rsidR="00EA2D14" w:rsidRPr="009118AB">
        <w:t>4 erwähnte Zahlungen nur berücksichtigt werden, wenn die Arbeitgebergesellschaft dem Steuerpflichtigen während des Besteuerungszeitraums Entloh</w:t>
      </w:r>
      <w:r w:rsidR="00EA2D14" w:rsidRPr="009118AB">
        <w:softHyphen/>
        <w:t>nungen gezahlt oder zuerkannt hat, die für ihn in Belgien steuerpflichtige Berufseinkünfte darstellen, die gemäß den Artikeln 232 und 248 §</w:t>
      </w:r>
      <w:r w:rsidR="00D67EB8" w:rsidRPr="009118AB">
        <w:t>§ </w:t>
      </w:r>
      <w:r w:rsidR="00EA2D14" w:rsidRPr="009118AB">
        <w:t>2 und 3 tatsächlich in der Erklärung regularisiert werden,</w:t>
      </w:r>
    </w:p>
    <w:p w14:paraId="57FE40C9" w14:textId="77777777" w:rsidR="00EA2D14" w:rsidRPr="009118AB" w:rsidRDefault="00EA2D14" w:rsidP="00EA2D14">
      <w:pPr>
        <w:jc w:val="both"/>
      </w:pPr>
    </w:p>
    <w:p w14:paraId="50084EE3" w14:textId="2CBEAE58" w:rsidR="00EA2D14" w:rsidRPr="009118AB" w:rsidRDefault="00492B65" w:rsidP="00EA2D14">
      <w:pPr>
        <w:jc w:val="both"/>
      </w:pPr>
      <w:r w:rsidRPr="009118AB">
        <w:tab/>
      </w:r>
      <w:r w:rsidR="00EA2D14" w:rsidRPr="009118AB">
        <w:t>3. für die Anwendung von Artikel 154</w:t>
      </w:r>
      <w:r w:rsidR="00EA2D14" w:rsidRPr="009118AB">
        <w:rPr>
          <w:i/>
        </w:rPr>
        <w:t>bis</w:t>
      </w:r>
      <w:r w:rsidR="00EA2D14" w:rsidRPr="009118AB">
        <w:t xml:space="preserve"> nur Überarbeit berücksichtigt wird, für die die Entlohnungen in Belgien steuerpflichtige Berufseinkünfte darstellen, die gemäß den Artikeln 232 und 248 §</w:t>
      </w:r>
      <w:r w:rsidR="00D67EB8" w:rsidRPr="009118AB">
        <w:t>§ </w:t>
      </w:r>
      <w:r w:rsidR="00EA2D14" w:rsidRPr="009118AB">
        <w:t>2 und 3 tatsächlich in der Erklärung regularisiert werden,</w:t>
      </w:r>
    </w:p>
    <w:p w14:paraId="69C73B92" w14:textId="77777777" w:rsidR="00EA2D14" w:rsidRPr="009118AB" w:rsidRDefault="00EA2D14" w:rsidP="00EA2D14">
      <w:pPr>
        <w:jc w:val="both"/>
      </w:pPr>
    </w:p>
    <w:p w14:paraId="1B453977" w14:textId="02A282CA" w:rsidR="00EA2D14" w:rsidRPr="009118AB" w:rsidRDefault="00492B65" w:rsidP="00EA2D14">
      <w:pPr>
        <w:jc w:val="both"/>
      </w:pPr>
      <w:r w:rsidRPr="009118AB">
        <w:tab/>
      </w:r>
      <w:r w:rsidR="00EA2D14" w:rsidRPr="009118AB">
        <w:t>4. für die Anwendung von Artikel 178/1 Steuerermäßigungen auf die gemäß den Artikeln 130, 146 bis 154 und 169 berechnete Steuer angerechnet werden,</w:t>
      </w:r>
    </w:p>
    <w:p w14:paraId="49BA5383" w14:textId="77777777" w:rsidR="00EA2D14" w:rsidRPr="009118AB" w:rsidRDefault="00EA2D14" w:rsidP="00EA2D14">
      <w:pPr>
        <w:jc w:val="both"/>
      </w:pPr>
    </w:p>
    <w:p w14:paraId="0C2294CC" w14:textId="45A54CC0" w:rsidR="00477B8F" w:rsidRPr="009118AB" w:rsidRDefault="00492B65" w:rsidP="00EA2D14">
      <w:pPr>
        <w:jc w:val="both"/>
      </w:pPr>
      <w:r w:rsidRPr="009118AB">
        <w:tab/>
      </w:r>
      <w:r w:rsidR="00EA2D14" w:rsidRPr="009118AB">
        <w:t>5. für die Anwendung der Artikel </w:t>
      </w:r>
      <w:r w:rsidR="00CD7EC2" w:rsidRPr="009118AB">
        <w:t xml:space="preserve">[25/1, 27/1,] </w:t>
      </w:r>
      <w:r w:rsidR="00C030D3" w:rsidRPr="009118AB">
        <w:t>[</w:t>
      </w:r>
      <w:r w:rsidR="00226318" w:rsidRPr="009118AB">
        <w:t>...</w:t>
      </w:r>
      <w:r w:rsidR="00C030D3" w:rsidRPr="009118AB">
        <w:t>]</w:t>
      </w:r>
      <w:r w:rsidR="00075387" w:rsidRPr="009118AB">
        <w:t xml:space="preserve"> </w:t>
      </w:r>
      <w:r w:rsidR="00EA2D14" w:rsidRPr="009118AB">
        <w:t>145</w:t>
      </w:r>
      <w:r w:rsidR="00EA2D14" w:rsidRPr="009118AB">
        <w:rPr>
          <w:vertAlign w:val="superscript"/>
        </w:rPr>
        <w:t>7</w:t>
      </w:r>
      <w:r w:rsidR="00EA2D14" w:rsidRPr="009118AB">
        <w:t xml:space="preserve"> </w:t>
      </w:r>
      <w:r w:rsidR="00D67EB8" w:rsidRPr="009118AB">
        <w:t>§ </w:t>
      </w:r>
      <w:r w:rsidR="00EA2D14" w:rsidRPr="009118AB">
        <w:t>2, 145</w:t>
      </w:r>
      <w:r w:rsidR="00EA2D14" w:rsidRPr="009118AB">
        <w:rPr>
          <w:vertAlign w:val="superscript"/>
        </w:rPr>
        <w:t>26</w:t>
      </w:r>
      <w:r w:rsidR="00EA2D14" w:rsidRPr="009118AB">
        <w:t xml:space="preserve"> </w:t>
      </w:r>
      <w:r w:rsidR="00D67EB8" w:rsidRPr="009118AB">
        <w:t>§ </w:t>
      </w:r>
      <w:r w:rsidR="00EA2D14" w:rsidRPr="009118AB">
        <w:t xml:space="preserve">5, </w:t>
      </w:r>
      <w:r w:rsidR="00836251" w:rsidRPr="009118AB">
        <w:t>[145</w:t>
      </w:r>
      <w:r w:rsidR="00836251" w:rsidRPr="009118AB">
        <w:rPr>
          <w:vertAlign w:val="superscript"/>
        </w:rPr>
        <w:t>27</w:t>
      </w:r>
      <w:r w:rsidR="00836251" w:rsidRPr="009118AB">
        <w:t xml:space="preserve"> </w:t>
      </w:r>
      <w:r w:rsidR="00D67EB8" w:rsidRPr="009118AB">
        <w:t>§ </w:t>
      </w:r>
      <w:r w:rsidR="00836251" w:rsidRPr="009118AB">
        <w:t xml:space="preserve">4,] </w:t>
      </w:r>
      <w:r w:rsidR="00EA2D14" w:rsidRPr="009118AB">
        <w:t>145</w:t>
      </w:r>
      <w:r w:rsidR="00EA2D14" w:rsidRPr="009118AB">
        <w:rPr>
          <w:vertAlign w:val="superscript"/>
        </w:rPr>
        <w:t>32</w:t>
      </w:r>
      <w:r w:rsidR="00EA2D14" w:rsidRPr="009118AB">
        <w:t xml:space="preserve"> </w:t>
      </w:r>
      <w:r w:rsidR="00D67EB8" w:rsidRPr="009118AB">
        <w:t>§ </w:t>
      </w:r>
      <w:r w:rsidR="00EA2D14" w:rsidRPr="009118AB">
        <w:t xml:space="preserve">2, 157, 158, </w:t>
      </w:r>
      <w:r w:rsidR="00E24BB2" w:rsidRPr="009118AB">
        <w:t>[</w:t>
      </w:r>
      <w:r w:rsidR="00EA2D14" w:rsidRPr="009118AB">
        <w:t>165</w:t>
      </w:r>
      <w:r w:rsidR="00E24BB2" w:rsidRPr="009118AB">
        <w:t xml:space="preserve">, 168/1 </w:t>
      </w:r>
      <w:r w:rsidR="00EA2D14" w:rsidRPr="009118AB">
        <w:t>und 175</w:t>
      </w:r>
      <w:r w:rsidR="00E24BB2" w:rsidRPr="009118AB">
        <w:t>]</w:t>
      </w:r>
      <w:r w:rsidR="00EA2D14" w:rsidRPr="009118AB">
        <w:t xml:space="preserve"> die gemäß den Artikeln 130, 145</w:t>
      </w:r>
      <w:r w:rsidR="00EA2D14" w:rsidRPr="009118AB">
        <w:rPr>
          <w:vertAlign w:val="superscript"/>
        </w:rPr>
        <w:t>1</w:t>
      </w:r>
      <w:r w:rsidR="00EA2D14" w:rsidRPr="009118AB">
        <w:t xml:space="preserve"> </w:t>
      </w:r>
      <w:r w:rsidR="00D67EB8" w:rsidRPr="009118AB">
        <w:t>Nr. </w:t>
      </w:r>
      <w:r w:rsidR="00EA2D14" w:rsidRPr="009118AB">
        <w:t>1 und 4, 145</w:t>
      </w:r>
      <w:r w:rsidR="00EA2D14" w:rsidRPr="009118AB">
        <w:rPr>
          <w:vertAlign w:val="superscript"/>
        </w:rPr>
        <w:t>2</w:t>
      </w:r>
      <w:r w:rsidR="00EA2D14" w:rsidRPr="009118AB">
        <w:t>, 145</w:t>
      </w:r>
      <w:r w:rsidR="00EA2D14" w:rsidRPr="009118AB">
        <w:rPr>
          <w:vertAlign w:val="superscript"/>
        </w:rPr>
        <w:t>3</w:t>
      </w:r>
      <w:r w:rsidR="00EA2D14" w:rsidRPr="009118AB">
        <w:t>, 145</w:t>
      </w:r>
      <w:r w:rsidR="00EA2D14" w:rsidRPr="009118AB">
        <w:rPr>
          <w:vertAlign w:val="superscript"/>
        </w:rPr>
        <w:t>7</w:t>
      </w:r>
      <w:r w:rsidR="00EA2D14" w:rsidRPr="009118AB">
        <w:t xml:space="preserve"> </w:t>
      </w:r>
      <w:r w:rsidR="00D67EB8" w:rsidRPr="009118AB">
        <w:t>§ </w:t>
      </w:r>
      <w:r w:rsidR="00EA2D14" w:rsidRPr="009118AB">
        <w:t>1, 146 bis 154</w:t>
      </w:r>
      <w:r w:rsidR="00EA2D14" w:rsidRPr="009118AB">
        <w:rPr>
          <w:i/>
        </w:rPr>
        <w:t>bis</w:t>
      </w:r>
      <w:r w:rsidR="00EA2D14" w:rsidRPr="009118AB">
        <w:t>, 169 und 171 bis 178/1 berechnete Steuer als Gesamtsteuer gilt.</w:t>
      </w:r>
      <w:r w:rsidR="00477B8F" w:rsidRPr="009118AB">
        <w:t>]</w:t>
      </w:r>
    </w:p>
    <w:p w14:paraId="25B2FF2C" w14:textId="77777777" w:rsidR="00477B8F" w:rsidRPr="009118AB" w:rsidRDefault="00477B8F" w:rsidP="00477B8F">
      <w:pPr>
        <w:autoSpaceDE w:val="0"/>
        <w:autoSpaceDN w:val="0"/>
        <w:adjustRightInd w:val="0"/>
        <w:jc w:val="both"/>
      </w:pPr>
    </w:p>
    <w:p w14:paraId="0086162A" w14:textId="77777777" w:rsidR="00B90C34" w:rsidRPr="009118AB" w:rsidRDefault="00492B65" w:rsidP="00727109">
      <w:pPr>
        <w:autoSpaceDE w:val="0"/>
        <w:autoSpaceDN w:val="0"/>
        <w:adjustRightInd w:val="0"/>
        <w:jc w:val="both"/>
      </w:pPr>
      <w:r w:rsidRPr="009118AB">
        <w:tab/>
      </w:r>
    </w:p>
    <w:p w14:paraId="166211CA" w14:textId="77777777" w:rsidR="00B90C34" w:rsidRPr="009118AB" w:rsidRDefault="00B90C34">
      <w:r w:rsidRPr="009118AB">
        <w:br w:type="page"/>
      </w:r>
    </w:p>
    <w:p w14:paraId="5EF40324" w14:textId="330D0ABF" w:rsidR="00477B8F" w:rsidRPr="009118AB" w:rsidRDefault="00477B8F" w:rsidP="00226318">
      <w:pPr>
        <w:autoSpaceDE w:val="0"/>
        <w:autoSpaceDN w:val="0"/>
        <w:adjustRightInd w:val="0"/>
        <w:ind w:firstLine="709"/>
        <w:jc w:val="both"/>
      </w:pPr>
      <w:r w:rsidRPr="009118AB">
        <w:lastRenderedPageBreak/>
        <w:t>[</w:t>
      </w:r>
      <w:r w:rsidR="00727109" w:rsidRPr="009118AB">
        <w:t>..</w:t>
      </w:r>
      <w:r w:rsidRPr="009118AB">
        <w:t>.]</w:t>
      </w:r>
    </w:p>
    <w:p w14:paraId="522952D8" w14:textId="77777777" w:rsidR="00477B8F" w:rsidRPr="009118AB" w:rsidRDefault="00477B8F" w:rsidP="00477B8F">
      <w:pPr>
        <w:autoSpaceDE w:val="0"/>
        <w:autoSpaceDN w:val="0"/>
        <w:adjustRightInd w:val="0"/>
        <w:jc w:val="both"/>
      </w:pPr>
    </w:p>
    <w:p w14:paraId="165C0F59" w14:textId="4FBACCF1" w:rsidR="00477B8F" w:rsidRPr="009118AB" w:rsidRDefault="00477B8F" w:rsidP="00477B8F">
      <w:pPr>
        <w:autoSpaceDE w:val="0"/>
        <w:autoSpaceDN w:val="0"/>
        <w:adjustRightInd w:val="0"/>
        <w:jc w:val="both"/>
        <w:rPr>
          <w:rFonts w:ascii="Times New Roman Italique" w:hAnsi="Times New Roman Italique"/>
          <w:spacing w:val="-2"/>
        </w:rPr>
      </w:pPr>
      <w:r w:rsidRPr="009118AB">
        <w:rPr>
          <w:i/>
          <w:iCs/>
        </w:rPr>
        <w:t>[</w:t>
      </w:r>
      <w:r w:rsidR="00D67EB8" w:rsidRPr="009118AB">
        <w:rPr>
          <w:i/>
          <w:iCs/>
        </w:rPr>
        <w:t>Art. </w:t>
      </w:r>
      <w:r w:rsidRPr="009118AB">
        <w:rPr>
          <w:i/>
          <w:iCs/>
        </w:rPr>
        <w:t xml:space="preserve">243 </w:t>
      </w:r>
      <w:r w:rsidR="00D67EB8" w:rsidRPr="009118AB">
        <w:rPr>
          <w:i/>
          <w:iCs/>
        </w:rPr>
        <w:t>Abs. </w:t>
      </w:r>
      <w:r w:rsidRPr="009118AB">
        <w:rPr>
          <w:i/>
          <w:iCs/>
        </w:rPr>
        <w:t xml:space="preserve">1 abgeändert durch </w:t>
      </w:r>
      <w:r w:rsidR="00D67EB8" w:rsidRPr="009118AB">
        <w:rPr>
          <w:i/>
          <w:iCs/>
        </w:rPr>
        <w:t>Art. </w:t>
      </w:r>
      <w:r w:rsidRPr="009118AB">
        <w:rPr>
          <w:i/>
          <w:iCs/>
        </w:rPr>
        <w:t xml:space="preserve">31 </w:t>
      </w:r>
      <w:r w:rsidR="00D67EB8" w:rsidRPr="009118AB">
        <w:rPr>
          <w:i/>
          <w:iCs/>
        </w:rPr>
        <w:t>Nr. </w:t>
      </w:r>
      <w:r w:rsidRPr="009118AB">
        <w:rPr>
          <w:i/>
          <w:iCs/>
        </w:rPr>
        <w:t>1 des G. vom 28. Juli 1992 (B.S. vom 31. Juli 1992</w:t>
      </w:r>
      <w:r w:rsidR="006C25F2" w:rsidRPr="009118AB">
        <w:rPr>
          <w:i/>
          <w:iCs/>
        </w:rPr>
        <w:t>)</w:t>
      </w:r>
      <w:r w:rsidR="00D67EB8" w:rsidRPr="009118AB">
        <w:rPr>
          <w:i/>
          <w:iCs/>
        </w:rPr>
        <w:t> - </w:t>
      </w:r>
      <w:r w:rsidR="006C25F2" w:rsidRPr="009118AB">
        <w:rPr>
          <w:i/>
          <w:iCs/>
        </w:rPr>
        <w:t>anwendbar ab dem Steuerjahr </w:t>
      </w:r>
      <w:r w:rsidRPr="009118AB">
        <w:rPr>
          <w:i/>
          <w:iCs/>
        </w:rPr>
        <w:t>1993</w:t>
      </w:r>
      <w:r w:rsidR="003366D9" w:rsidRPr="009118AB">
        <w:rPr>
          <w:i/>
          <w:iCs/>
        </w:rPr>
        <w:t> -;</w:t>
      </w:r>
      <w:r w:rsidRPr="009118AB">
        <w:rPr>
          <w:i/>
          <w:iCs/>
        </w:rPr>
        <w:t xml:space="preserve"> </w:t>
      </w:r>
      <w:r w:rsidR="00D67EB8" w:rsidRPr="009118AB">
        <w:rPr>
          <w:i/>
          <w:iCs/>
        </w:rPr>
        <w:t>Abs. </w:t>
      </w:r>
      <w:r w:rsidRPr="009118AB">
        <w:rPr>
          <w:i/>
          <w:iCs/>
        </w:rPr>
        <w:t xml:space="preserve">2 ersetzt durch </w:t>
      </w:r>
      <w:r w:rsidR="00D67EB8" w:rsidRPr="009118AB">
        <w:rPr>
          <w:i/>
          <w:iCs/>
        </w:rPr>
        <w:t>Art. </w:t>
      </w:r>
      <w:r w:rsidRPr="009118AB">
        <w:rPr>
          <w:i/>
          <w:iCs/>
        </w:rPr>
        <w:t xml:space="preserve">45 </w:t>
      </w:r>
      <w:r w:rsidR="00D67EB8" w:rsidRPr="009118AB">
        <w:rPr>
          <w:i/>
          <w:iCs/>
        </w:rPr>
        <w:t>Nr. </w:t>
      </w:r>
      <w:r w:rsidRPr="009118AB">
        <w:rPr>
          <w:i/>
          <w:iCs/>
        </w:rPr>
        <w:t>1 des G. vom 10. August 2001 (B.S. vom 20. September 2001)</w:t>
      </w:r>
      <w:r w:rsidR="00D67EB8" w:rsidRPr="009118AB">
        <w:rPr>
          <w:i/>
          <w:iCs/>
        </w:rPr>
        <w:t> - </w:t>
      </w:r>
      <w:r w:rsidRPr="009118AB">
        <w:rPr>
          <w:i/>
          <w:iCs/>
        </w:rPr>
        <w:t>in</w:t>
      </w:r>
      <w:r w:rsidR="006C25F2" w:rsidRPr="009118AB">
        <w:rPr>
          <w:i/>
          <w:iCs/>
        </w:rPr>
        <w:t xml:space="preserve"> Kraft ab dem Steuerjahr 2005</w:t>
      </w:r>
      <w:r w:rsidR="003366D9" w:rsidRPr="009118AB">
        <w:rPr>
          <w:i/>
          <w:iCs/>
        </w:rPr>
        <w:t> -;</w:t>
      </w:r>
      <w:r w:rsidR="00EA2D14" w:rsidRPr="009118AB">
        <w:rPr>
          <w:i/>
          <w:iCs/>
        </w:rPr>
        <w:t xml:space="preserve"> </w:t>
      </w:r>
      <w:r w:rsidR="00D67EB8" w:rsidRPr="009118AB">
        <w:rPr>
          <w:rFonts w:ascii="Times New Roman Italique" w:hAnsi="Times New Roman Italique"/>
          <w:i/>
          <w:iCs/>
          <w:spacing w:val="-2"/>
        </w:rPr>
        <w:t>Abs. </w:t>
      </w:r>
      <w:r w:rsidR="00EA2D14" w:rsidRPr="009118AB">
        <w:rPr>
          <w:rFonts w:ascii="Times New Roman Italique" w:hAnsi="Times New Roman Italique"/>
          <w:i/>
          <w:iCs/>
          <w:spacing w:val="-2"/>
        </w:rPr>
        <w:t xml:space="preserve">2 einleitende Bestimmung abgeändert durch </w:t>
      </w:r>
      <w:r w:rsidR="00D67EB8" w:rsidRPr="009118AB">
        <w:rPr>
          <w:rFonts w:ascii="Times New Roman Italique" w:hAnsi="Times New Roman Italique"/>
          <w:i/>
          <w:iCs/>
          <w:spacing w:val="-2"/>
        </w:rPr>
        <w:t>Art. </w:t>
      </w:r>
      <w:r w:rsidR="00EA2D14" w:rsidRPr="009118AB">
        <w:rPr>
          <w:rFonts w:ascii="Times New Roman Italique" w:hAnsi="Times New Roman Italique"/>
          <w:i/>
          <w:iCs/>
          <w:spacing w:val="-2"/>
        </w:rPr>
        <w:t>123 Buchstabe </w:t>
      </w:r>
      <w:r w:rsidR="00AE4D11" w:rsidRPr="009118AB">
        <w:rPr>
          <w:rFonts w:ascii="Times New Roman Italique" w:hAnsi="Times New Roman Italique"/>
          <w:i/>
          <w:iCs/>
          <w:spacing w:val="-2"/>
        </w:rPr>
        <w:t>a</w:t>
      </w:r>
      <w:r w:rsidR="00EA2D14" w:rsidRPr="009118AB">
        <w:rPr>
          <w:rFonts w:ascii="Times New Roman Italique" w:hAnsi="Times New Roman Italique"/>
          <w:i/>
          <w:iCs/>
          <w:spacing w:val="-2"/>
        </w:rPr>
        <w:t>) des G. vom 25. Dezember 2017 (IV) (B.S. vom 29. Dezember 2017)</w:t>
      </w:r>
      <w:r w:rsidR="00D67EB8" w:rsidRPr="009118AB">
        <w:rPr>
          <w:rFonts w:ascii="Times New Roman Italique" w:hAnsi="Times New Roman Italique"/>
          <w:i/>
          <w:iCs/>
          <w:spacing w:val="-2"/>
        </w:rPr>
        <w:t> - </w:t>
      </w:r>
      <w:r w:rsidR="00EA2D14"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006C25F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6C25F2"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006C25F2" w:rsidRPr="009118AB">
        <w:rPr>
          <w:rFonts w:ascii="Times New Roman Italique" w:hAnsi="Times New Roman Italique"/>
          <w:i/>
          <w:iCs/>
          <w:spacing w:val="-2"/>
        </w:rPr>
        <w:t xml:space="preserve">1 </w:t>
      </w:r>
      <w:r w:rsidR="00A50DAF" w:rsidRPr="009118AB">
        <w:rPr>
          <w:rFonts w:ascii="Times New Roman Italique" w:hAnsi="Times New Roman Italique"/>
          <w:i/>
          <w:iCs/>
          <w:spacing w:val="-2"/>
        </w:rPr>
        <w:t xml:space="preserve">bis 3 </w:t>
      </w:r>
      <w:r w:rsidR="00EA2D14" w:rsidRPr="009118AB">
        <w:rPr>
          <w:rFonts w:ascii="Times New Roman Italique" w:hAnsi="Times New Roman Italique"/>
          <w:i/>
          <w:iCs/>
          <w:spacing w:val="-2"/>
        </w:rPr>
        <w:t xml:space="preserve">aufgehoben durch </w:t>
      </w:r>
      <w:r w:rsidR="00D67EB8" w:rsidRPr="009118AB">
        <w:rPr>
          <w:rFonts w:ascii="Times New Roman Italique" w:hAnsi="Times New Roman Italique"/>
          <w:i/>
          <w:iCs/>
          <w:spacing w:val="-2"/>
        </w:rPr>
        <w:t>Art. </w:t>
      </w:r>
      <w:r w:rsidR="00EA2D14" w:rsidRPr="009118AB">
        <w:rPr>
          <w:rFonts w:ascii="Times New Roman Italique" w:hAnsi="Times New Roman Italique"/>
          <w:i/>
          <w:iCs/>
          <w:spacing w:val="-2"/>
        </w:rPr>
        <w:t>123 Buchstabe a) des G. vom 25. Dezember 2017 (IV) (B.S. vom 29. Dezember 2017)</w:t>
      </w:r>
      <w:r w:rsidR="00D67EB8" w:rsidRPr="009118AB">
        <w:rPr>
          <w:rFonts w:ascii="Times New Roman Italique" w:hAnsi="Times New Roman Italique"/>
          <w:i/>
          <w:iCs/>
          <w:spacing w:val="-2"/>
        </w:rPr>
        <w:t> - </w:t>
      </w:r>
      <w:r w:rsidR="00EA2D14"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006C25F2" w:rsidRPr="009118AB">
        <w:rPr>
          <w:rFonts w:ascii="Times New Roman Italique" w:hAnsi="Times New Roman Italique"/>
          <w:i/>
          <w:iCs/>
          <w:spacing w:val="-2"/>
        </w:rPr>
        <w:t xml:space="preserve"> </w:t>
      </w:r>
      <w:r w:rsidR="00E90374" w:rsidRPr="009118AB">
        <w:rPr>
          <w:rFonts w:ascii="Times New Roman Italique" w:hAnsi="Times New Roman Italique"/>
          <w:i/>
          <w:iCs/>
          <w:spacing w:val="-2"/>
        </w:rPr>
        <w:t>früherer</w:t>
      </w:r>
      <w:r w:rsidRPr="009118AB">
        <w:rPr>
          <w:i/>
          <w:iCs/>
          <w:spacing w:val="-2"/>
        </w:rPr>
        <w:t xml:space="preserve"> Absatz 3 eingefügt durch </w:t>
      </w:r>
      <w:r w:rsidR="00D67EB8" w:rsidRPr="009118AB">
        <w:rPr>
          <w:i/>
          <w:iCs/>
          <w:spacing w:val="-2"/>
        </w:rPr>
        <w:t>Art. </w:t>
      </w:r>
      <w:r w:rsidRPr="009118AB">
        <w:rPr>
          <w:i/>
          <w:iCs/>
          <w:spacing w:val="-2"/>
        </w:rPr>
        <w:t xml:space="preserve">45 </w:t>
      </w:r>
      <w:r w:rsidR="00D67EB8" w:rsidRPr="009118AB">
        <w:rPr>
          <w:i/>
          <w:iCs/>
          <w:spacing w:val="-2"/>
        </w:rPr>
        <w:t>Nr. </w:t>
      </w:r>
      <w:r w:rsidRPr="009118AB">
        <w:rPr>
          <w:i/>
          <w:iCs/>
          <w:spacing w:val="-2"/>
        </w:rPr>
        <w:t>2 d</w:t>
      </w:r>
      <w:r w:rsidR="006C25F2" w:rsidRPr="009118AB">
        <w:rPr>
          <w:i/>
          <w:iCs/>
          <w:spacing w:val="-2"/>
        </w:rPr>
        <w:t xml:space="preserve">es G. vom 10. August 2001 (B.S. </w:t>
      </w:r>
      <w:r w:rsidRPr="009118AB">
        <w:rPr>
          <w:i/>
          <w:iCs/>
          <w:spacing w:val="-2"/>
        </w:rPr>
        <w:t>vom 20. September</w:t>
      </w:r>
      <w:r w:rsidRPr="009118AB">
        <w:rPr>
          <w:i/>
          <w:iCs/>
        </w:rPr>
        <w:t> 2001)</w:t>
      </w:r>
      <w:r w:rsidR="00D67EB8" w:rsidRPr="009118AB">
        <w:rPr>
          <w:i/>
          <w:iCs/>
        </w:rPr>
        <w:t> - </w:t>
      </w:r>
      <w:r w:rsidR="006C25F2" w:rsidRPr="009118AB">
        <w:rPr>
          <w:i/>
          <w:iCs/>
        </w:rPr>
        <w:t>in Kraft ab dem Steuerjahr </w:t>
      </w:r>
      <w:r w:rsidRPr="009118AB">
        <w:rPr>
          <w:i/>
          <w:iCs/>
        </w:rPr>
        <w:t>2005</w:t>
      </w:r>
      <w:r w:rsidR="00D67EB8" w:rsidRPr="009118AB">
        <w:rPr>
          <w:i/>
          <w:iCs/>
        </w:rPr>
        <w:t> - </w:t>
      </w:r>
      <w:r w:rsidR="006C25F2" w:rsidRPr="009118AB">
        <w:rPr>
          <w:i/>
          <w:iCs/>
        </w:rPr>
        <w:t xml:space="preserve">und aufgehoben durch </w:t>
      </w:r>
      <w:r w:rsidR="00D67EB8" w:rsidRPr="009118AB">
        <w:rPr>
          <w:i/>
          <w:iCs/>
        </w:rPr>
        <w:t>Art. </w:t>
      </w:r>
      <w:r w:rsidR="006C25F2" w:rsidRPr="009118AB">
        <w:rPr>
          <w:i/>
          <w:iCs/>
        </w:rPr>
        <w:t xml:space="preserve">33 </w:t>
      </w:r>
      <w:r w:rsidR="00D67EB8" w:rsidRPr="009118AB">
        <w:rPr>
          <w:i/>
          <w:iCs/>
        </w:rPr>
        <w:t>Nr. </w:t>
      </w:r>
      <w:r w:rsidR="00E90374" w:rsidRPr="009118AB">
        <w:rPr>
          <w:i/>
          <w:iCs/>
        </w:rPr>
        <w:t>2</w:t>
      </w:r>
      <w:r w:rsidR="009E2177" w:rsidRPr="009118AB">
        <w:rPr>
          <w:i/>
          <w:iCs/>
        </w:rPr>
        <w:t xml:space="preserve"> des </w:t>
      </w:r>
      <w:r w:rsidR="006C25F2" w:rsidRPr="009118AB">
        <w:rPr>
          <w:i/>
          <w:iCs/>
        </w:rPr>
        <w:t>G. vom 22. Dezember 2009 </w:t>
      </w:r>
      <w:r w:rsidR="00DC1F9F" w:rsidRPr="009118AB">
        <w:rPr>
          <w:i/>
          <w:iCs/>
        </w:rPr>
        <w:t>(I)</w:t>
      </w:r>
      <w:r w:rsidR="006C25F2" w:rsidRPr="009118AB">
        <w:rPr>
          <w:i/>
          <w:iCs/>
        </w:rPr>
        <w:t xml:space="preserve"> (B.S. </w:t>
      </w:r>
      <w:r w:rsidR="009E2177" w:rsidRPr="009118AB">
        <w:rPr>
          <w:i/>
          <w:iCs/>
        </w:rPr>
        <w:t>vom 31. Dezember 2009</w:t>
      </w:r>
      <w:r w:rsidR="006C25F2" w:rsidRPr="009118AB">
        <w:rPr>
          <w:i/>
          <w:iCs/>
        </w:rPr>
        <w:t>)</w:t>
      </w:r>
      <w:r w:rsidR="00D67EB8" w:rsidRPr="009118AB">
        <w:rPr>
          <w:i/>
          <w:iCs/>
        </w:rPr>
        <w:t> - </w:t>
      </w:r>
      <w:r w:rsidR="006C25F2" w:rsidRPr="009118AB">
        <w:rPr>
          <w:i/>
          <w:iCs/>
        </w:rPr>
        <w:t>anwendbar ab dem Steuerjahr </w:t>
      </w:r>
      <w:r w:rsidR="009E2177" w:rsidRPr="009118AB">
        <w:rPr>
          <w:i/>
          <w:iCs/>
        </w:rPr>
        <w:t>2010</w:t>
      </w:r>
      <w:r w:rsidR="003366D9" w:rsidRPr="009118AB">
        <w:rPr>
          <w:i/>
          <w:iCs/>
        </w:rPr>
        <w:t> -;</w:t>
      </w:r>
      <w:r w:rsidR="00FA12F4" w:rsidRPr="009118AB">
        <w:rPr>
          <w:i/>
          <w:iCs/>
        </w:rPr>
        <w:t xml:space="preserve"> </w:t>
      </w:r>
      <w:r w:rsidR="00A50DAF" w:rsidRPr="009118AB">
        <w:rPr>
          <w:i/>
          <w:iCs/>
        </w:rPr>
        <w:t xml:space="preserve">neuer </w:t>
      </w:r>
      <w:r w:rsidRPr="009118AB">
        <w:rPr>
          <w:i/>
          <w:iCs/>
        </w:rPr>
        <w:t>Abs</w:t>
      </w:r>
      <w:r w:rsidR="00A50DAF" w:rsidRPr="009118AB">
        <w:rPr>
          <w:i/>
          <w:iCs/>
        </w:rPr>
        <w:t>atz</w:t>
      </w:r>
      <w:r w:rsidRPr="009118AB">
        <w:rPr>
          <w:i/>
          <w:iCs/>
        </w:rPr>
        <w:t> </w:t>
      </w:r>
      <w:r w:rsidR="00E90374" w:rsidRPr="009118AB">
        <w:rPr>
          <w:i/>
          <w:iCs/>
        </w:rPr>
        <w:t>3</w:t>
      </w:r>
      <w:r w:rsidRPr="009118AB">
        <w:rPr>
          <w:i/>
          <w:iCs/>
        </w:rPr>
        <w:t xml:space="preserve"> eingefügt durch </w:t>
      </w:r>
      <w:r w:rsidR="00D67EB8" w:rsidRPr="009118AB">
        <w:rPr>
          <w:i/>
          <w:iCs/>
        </w:rPr>
        <w:t>Art. </w:t>
      </w:r>
      <w:r w:rsidRPr="009118AB">
        <w:rPr>
          <w:i/>
          <w:iCs/>
        </w:rPr>
        <w:t xml:space="preserve">31 </w:t>
      </w:r>
      <w:r w:rsidR="00D67EB8" w:rsidRPr="009118AB">
        <w:rPr>
          <w:i/>
          <w:iCs/>
        </w:rPr>
        <w:t>Nr. </w:t>
      </w:r>
      <w:r w:rsidRPr="009118AB">
        <w:rPr>
          <w:i/>
          <w:iCs/>
        </w:rPr>
        <w:t>2 des G. vom 28. Juli 1992 (B.S. vom 31. Juli 1992)</w:t>
      </w:r>
      <w:r w:rsidR="00D67EB8" w:rsidRPr="009118AB">
        <w:rPr>
          <w:i/>
          <w:iCs/>
        </w:rPr>
        <w:t> - </w:t>
      </w:r>
      <w:r w:rsidR="006C25F2" w:rsidRPr="009118AB">
        <w:rPr>
          <w:rFonts w:ascii="Times New Roman Italique" w:hAnsi="Times New Roman Italique"/>
          <w:i/>
          <w:iCs/>
          <w:spacing w:val="-2"/>
        </w:rPr>
        <w:t>anwendbar ab dem Steuerjahr </w:t>
      </w:r>
      <w:r w:rsidRPr="009118AB">
        <w:rPr>
          <w:rFonts w:ascii="Times New Roman Italique" w:hAnsi="Times New Roman Italique"/>
          <w:i/>
          <w:iCs/>
          <w:spacing w:val="-2"/>
        </w:rPr>
        <w:t>1993</w:t>
      </w:r>
      <w:r w:rsidR="00D67EB8" w:rsidRPr="009118AB">
        <w:rPr>
          <w:rFonts w:ascii="Times New Roman Italique" w:hAnsi="Times New Roman Italique"/>
          <w:i/>
          <w:iCs/>
          <w:spacing w:val="-2"/>
        </w:rPr>
        <w:t> - </w:t>
      </w:r>
      <w:r w:rsidR="00081126" w:rsidRPr="009118AB">
        <w:rPr>
          <w:rFonts w:ascii="Times New Roman Italique" w:hAnsi="Times New Roman Italique"/>
          <w:i/>
          <w:iCs/>
          <w:spacing w:val="-2"/>
        </w:rPr>
        <w:t>und</w:t>
      </w:r>
      <w:r w:rsidRPr="009118AB">
        <w:rPr>
          <w:rFonts w:ascii="Times New Roman Italique" w:hAnsi="Times New Roman Italique"/>
          <w:i/>
          <w:iCs/>
          <w:spacing w:val="-2"/>
        </w:rPr>
        <w:t xml:space="preserve"> ersetzt durch </w:t>
      </w:r>
      <w:r w:rsidR="00D67EB8" w:rsidRPr="009118AB">
        <w:rPr>
          <w:rFonts w:ascii="Times New Roman Italique" w:hAnsi="Times New Roman Italique"/>
          <w:i/>
          <w:iCs/>
          <w:spacing w:val="-2"/>
        </w:rPr>
        <w:t>Art. </w:t>
      </w:r>
      <w:r w:rsidR="00075EEA" w:rsidRPr="009118AB">
        <w:rPr>
          <w:rFonts w:ascii="Times New Roman Italique" w:hAnsi="Times New Roman Italique"/>
          <w:i/>
          <w:iCs/>
          <w:spacing w:val="-2"/>
        </w:rPr>
        <w:t>123 Buchstabe b) des G. vom 25. Dezember 2017 (IV) (B.S. vom 29. Dezember 2017)</w:t>
      </w:r>
      <w:r w:rsidR="00D67EB8" w:rsidRPr="009118AB">
        <w:rPr>
          <w:rFonts w:ascii="Times New Roman Italique" w:hAnsi="Times New Roman Italique"/>
          <w:i/>
          <w:iCs/>
          <w:spacing w:val="-2"/>
        </w:rPr>
        <w:t> - </w:t>
      </w:r>
      <w:r w:rsidR="00075EEA"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00B21E1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B21E12" w:rsidRPr="009118AB">
        <w:rPr>
          <w:rFonts w:ascii="Times New Roman Italique" w:hAnsi="Times New Roman Italique" w:hint="eastAsia"/>
          <w:i/>
          <w:iCs/>
          <w:spacing w:val="-2"/>
        </w:rPr>
        <w:t>3</w:t>
      </w:r>
      <w:r w:rsidR="00B21E12" w:rsidRPr="009118AB">
        <w:rPr>
          <w:rFonts w:ascii="Times New Roman Italique" w:hAnsi="Times New Roman Italique"/>
          <w:i/>
          <w:iCs/>
          <w:spacing w:val="-2"/>
        </w:rPr>
        <w:t xml:space="preserve"> einleitende Bestimmung abgeändert durch </w:t>
      </w:r>
      <w:r w:rsidR="00D67EB8" w:rsidRPr="009118AB">
        <w:rPr>
          <w:rFonts w:ascii="Times New Roman Italique" w:hAnsi="Times New Roman Italique"/>
          <w:i/>
          <w:iCs/>
          <w:spacing w:val="-2"/>
        </w:rPr>
        <w:t>Art. </w:t>
      </w:r>
      <w:r w:rsidR="00B21E12" w:rsidRPr="009118AB">
        <w:rPr>
          <w:rFonts w:ascii="Times New Roman Italique" w:hAnsi="Times New Roman Italique"/>
          <w:i/>
          <w:iCs/>
          <w:spacing w:val="-2"/>
        </w:rPr>
        <w:t>62 Buchstabe a)</w:t>
      </w:r>
      <w:r w:rsidR="00B21E12" w:rsidRPr="009118AB">
        <w:rPr>
          <w:i/>
          <w:iCs/>
        </w:rPr>
        <w:t xml:space="preserve"> des G. vom 18. Februar 2018 (B.S. vom 30. März 2018)</w:t>
      </w:r>
      <w:r w:rsidR="00D67EB8" w:rsidRPr="009118AB">
        <w:rPr>
          <w:i/>
          <w:iCs/>
        </w:rPr>
        <w:t> - </w:t>
      </w:r>
      <w:r w:rsidR="00B21E12" w:rsidRPr="009118AB">
        <w:rPr>
          <w:i/>
          <w:iCs/>
        </w:rPr>
        <w:t>anwendbar ab dem Steuerjahr 2019</w:t>
      </w:r>
      <w:r w:rsidR="00FD68E8" w:rsidRPr="009118AB">
        <w:rPr>
          <w:i/>
          <w:iCs/>
        </w:rPr>
        <w:t> -,</w:t>
      </w:r>
      <w:r w:rsidR="00C030D3" w:rsidRPr="009118AB">
        <w:rPr>
          <w:i/>
          <w:iCs/>
        </w:rPr>
        <w:t xml:space="preserve"> </w:t>
      </w:r>
      <w:r w:rsidR="00D67EB8" w:rsidRPr="009118AB">
        <w:rPr>
          <w:i/>
          <w:iCs/>
        </w:rPr>
        <w:t>Art. </w:t>
      </w:r>
      <w:r w:rsidR="00C030D3" w:rsidRPr="009118AB">
        <w:rPr>
          <w:i/>
          <w:iCs/>
        </w:rPr>
        <w:t xml:space="preserve">29 </w:t>
      </w:r>
      <w:r w:rsidR="00D67EB8" w:rsidRPr="009118AB">
        <w:rPr>
          <w:i/>
          <w:iCs/>
        </w:rPr>
        <w:t>Nr. </w:t>
      </w:r>
      <w:r w:rsidR="00C030D3" w:rsidRPr="009118AB">
        <w:rPr>
          <w:i/>
          <w:iCs/>
        </w:rPr>
        <w:t>1</w:t>
      </w:r>
      <w:r w:rsidR="00C030D3" w:rsidRPr="009118AB">
        <w:rPr>
          <w:i/>
        </w:rPr>
        <w:t xml:space="preserve"> des G. vom 7. April 2019 (I) (B.S. vom 19. April 2019)</w:t>
      </w:r>
      <w:r w:rsidR="00836251" w:rsidRPr="009118AB">
        <w:rPr>
          <w:i/>
        </w:rPr>
        <w:t>,</w:t>
      </w:r>
      <w:r w:rsidR="00CD7EC2" w:rsidRPr="009118AB">
        <w:rPr>
          <w:i/>
        </w:rPr>
        <w:t xml:space="preserve"> </w:t>
      </w:r>
      <w:r w:rsidR="00D67EB8" w:rsidRPr="009118AB">
        <w:rPr>
          <w:i/>
        </w:rPr>
        <w:t>Art. </w:t>
      </w:r>
      <w:r w:rsidR="00CD7EC2" w:rsidRPr="009118AB">
        <w:rPr>
          <w:i/>
        </w:rPr>
        <w:t xml:space="preserve">12 </w:t>
      </w:r>
      <w:r w:rsidR="00D67EB8" w:rsidRPr="009118AB">
        <w:rPr>
          <w:i/>
        </w:rPr>
        <w:t>Nr. </w:t>
      </w:r>
      <w:r w:rsidR="00CD7EC2" w:rsidRPr="009118AB">
        <w:rPr>
          <w:i/>
        </w:rPr>
        <w:t>1</w:t>
      </w:r>
      <w:r w:rsidR="00CD7EC2" w:rsidRPr="009118AB">
        <w:rPr>
          <w:i/>
          <w:iCs/>
        </w:rPr>
        <w:t xml:space="preserve"> des G. vom 23. Juni 2020 (B.S. vom 1. Juli 2020)</w:t>
      </w:r>
      <w:r w:rsidR="00B90C34" w:rsidRPr="009118AB">
        <w:rPr>
          <w:i/>
          <w:iCs/>
        </w:rPr>
        <w:t>,</w:t>
      </w:r>
      <w:r w:rsidR="00836251" w:rsidRPr="009118AB">
        <w:rPr>
          <w:i/>
          <w:iCs/>
        </w:rPr>
        <w:t xml:space="preserve"> </w:t>
      </w:r>
      <w:r w:rsidR="00D67EB8" w:rsidRPr="009118AB">
        <w:rPr>
          <w:i/>
          <w:iCs/>
        </w:rPr>
        <w:t>Art. </w:t>
      </w:r>
      <w:r w:rsidR="00836251" w:rsidRPr="009118AB">
        <w:rPr>
          <w:i/>
          <w:iCs/>
        </w:rPr>
        <w:t>77 Buchstabe a)</w:t>
      </w:r>
      <w:r w:rsidR="00836251" w:rsidRPr="009118AB">
        <w:rPr>
          <w:bCs/>
          <w:i/>
          <w:iCs/>
        </w:rPr>
        <w:t xml:space="preserve"> des G. vom 27. Juni 2021 (B.S. vom 30. Juni 2021)</w:t>
      </w:r>
      <w:r w:rsidR="00D67EB8" w:rsidRPr="009118AB">
        <w:rPr>
          <w:bCs/>
          <w:i/>
          <w:iCs/>
        </w:rPr>
        <w:t> - </w:t>
      </w:r>
      <w:r w:rsidR="00836251" w:rsidRPr="009118AB">
        <w:rPr>
          <w:bCs/>
          <w:i/>
          <w:iCs/>
        </w:rPr>
        <w:t>anwendbar ab dem Steuerjahr 2022</w:t>
      </w:r>
      <w:r w:rsidR="003366D9" w:rsidRPr="009118AB">
        <w:rPr>
          <w:bCs/>
          <w:i/>
          <w:iCs/>
        </w:rPr>
        <w:t> -</w:t>
      </w:r>
      <w:r w:rsidR="00B90C34" w:rsidRPr="009118AB">
        <w:rPr>
          <w:bCs/>
          <w:i/>
          <w:iCs/>
        </w:rPr>
        <w:t xml:space="preserve"> und Art. 13 des G. vom 31. Juli 2023 (II) (B.S. vom 23. August 2023)</w:t>
      </w:r>
      <w:r w:rsidR="003366D9" w:rsidRPr="009118AB">
        <w:rPr>
          <w:bCs/>
          <w:i/>
          <w:iCs/>
        </w:rPr>
        <w:t>;</w:t>
      </w:r>
      <w:r w:rsidR="00B21E12" w:rsidRPr="009118AB">
        <w:rPr>
          <w:i/>
          <w:iCs/>
        </w:rPr>
        <w:t xml:space="preserve"> </w:t>
      </w:r>
      <w:r w:rsidR="00D67EB8" w:rsidRPr="009118AB">
        <w:rPr>
          <w:i/>
          <w:iCs/>
        </w:rPr>
        <w:t>Abs. </w:t>
      </w:r>
      <w:r w:rsidR="00B21E12" w:rsidRPr="009118AB">
        <w:rPr>
          <w:i/>
          <w:iCs/>
        </w:rPr>
        <w:t xml:space="preserve">3 </w:t>
      </w:r>
      <w:r w:rsidR="00D67EB8" w:rsidRPr="009118AB">
        <w:rPr>
          <w:i/>
          <w:iCs/>
        </w:rPr>
        <w:t>Nr. </w:t>
      </w:r>
      <w:r w:rsidR="00B21E12" w:rsidRPr="009118AB">
        <w:rPr>
          <w:i/>
          <w:iCs/>
        </w:rPr>
        <w:t xml:space="preserve">1 abgeändert durch </w:t>
      </w:r>
      <w:r w:rsidR="00D67EB8" w:rsidRPr="009118AB">
        <w:rPr>
          <w:i/>
          <w:iCs/>
        </w:rPr>
        <w:t>Art. </w:t>
      </w:r>
      <w:r w:rsidR="00B21E12" w:rsidRPr="009118AB">
        <w:rPr>
          <w:i/>
          <w:iCs/>
        </w:rPr>
        <w:t>62 Buchstabe b) des G. vom 18. Februar 2018 (B.S. vom 30. März 2018)</w:t>
      </w:r>
      <w:r w:rsidR="00D67EB8" w:rsidRPr="009118AB">
        <w:rPr>
          <w:i/>
          <w:iCs/>
        </w:rPr>
        <w:t> - </w:t>
      </w:r>
      <w:r w:rsidR="00B21E12" w:rsidRPr="009118AB">
        <w:rPr>
          <w:i/>
          <w:iCs/>
        </w:rPr>
        <w:t>anwendbar ab dem Steuerjahr 2019</w:t>
      </w:r>
      <w:r w:rsidR="003366D9" w:rsidRPr="009118AB">
        <w:rPr>
          <w:i/>
          <w:iCs/>
        </w:rPr>
        <w:t> -;</w:t>
      </w:r>
      <w:r w:rsidR="00F60A5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C030D3"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Nr. </w:t>
      </w:r>
      <w:r w:rsidR="00C030D3" w:rsidRPr="009118AB">
        <w:rPr>
          <w:rFonts w:ascii="Times New Roman Italique" w:hAnsi="Times New Roman Italique"/>
          <w:i/>
          <w:iCs/>
          <w:spacing w:val="-2"/>
        </w:rPr>
        <w:t xml:space="preserve">4 abgeändert durch </w:t>
      </w:r>
      <w:r w:rsidR="00D67EB8" w:rsidRPr="009118AB">
        <w:rPr>
          <w:rFonts w:ascii="Times New Roman Italique" w:hAnsi="Times New Roman Italique"/>
          <w:i/>
          <w:iCs/>
          <w:spacing w:val="-2"/>
        </w:rPr>
        <w:t>Art. </w:t>
      </w:r>
      <w:r w:rsidR="00C030D3" w:rsidRPr="009118AB">
        <w:rPr>
          <w:rFonts w:ascii="Times New Roman Italique" w:hAnsi="Times New Roman Italique"/>
          <w:i/>
          <w:iCs/>
          <w:spacing w:val="-2"/>
        </w:rPr>
        <w:t xml:space="preserve">29 </w:t>
      </w:r>
      <w:r w:rsidR="00D67EB8" w:rsidRPr="009118AB">
        <w:rPr>
          <w:rFonts w:ascii="Times New Roman Italique" w:hAnsi="Times New Roman Italique"/>
          <w:i/>
          <w:iCs/>
          <w:spacing w:val="-2"/>
        </w:rPr>
        <w:t>Nr. </w:t>
      </w:r>
      <w:r w:rsidR="00C030D3" w:rsidRPr="009118AB">
        <w:rPr>
          <w:rFonts w:ascii="Times New Roman Italique" w:hAnsi="Times New Roman Italique"/>
          <w:i/>
          <w:iCs/>
          <w:spacing w:val="-2"/>
        </w:rPr>
        <w:t>2</w:t>
      </w:r>
      <w:r w:rsidR="00C030D3" w:rsidRPr="009118AB">
        <w:rPr>
          <w:i/>
        </w:rPr>
        <w:t xml:space="preserve"> des G. vom 7. April 2019 (I) (B.S. vom 19. April 2019); </w:t>
      </w:r>
      <w:r w:rsidR="00D67EB8" w:rsidRPr="009118AB">
        <w:rPr>
          <w:rFonts w:ascii="Times New Roman Italique" w:hAnsi="Times New Roman Italique"/>
          <w:i/>
          <w:iCs/>
          <w:spacing w:val="-2"/>
        </w:rPr>
        <w:t>Abs. </w:t>
      </w:r>
      <w:r w:rsidR="00E24BB2"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Nr. </w:t>
      </w:r>
      <w:r w:rsidR="00E24BB2" w:rsidRPr="009118AB">
        <w:rPr>
          <w:rFonts w:ascii="Times New Roman Italique" w:hAnsi="Times New Roman Italique"/>
          <w:i/>
          <w:iCs/>
          <w:spacing w:val="-2"/>
        </w:rPr>
        <w:t xml:space="preserve">5 abgeändert durch </w:t>
      </w:r>
      <w:r w:rsidR="00D67EB8" w:rsidRPr="009118AB">
        <w:rPr>
          <w:rFonts w:ascii="Times New Roman Italique" w:hAnsi="Times New Roman Italique"/>
          <w:i/>
          <w:iCs/>
          <w:spacing w:val="-2"/>
        </w:rPr>
        <w:t>Art. </w:t>
      </w:r>
      <w:r w:rsidR="00E24BB2" w:rsidRPr="009118AB">
        <w:rPr>
          <w:rFonts w:ascii="Times New Roman Italique" w:hAnsi="Times New Roman Italique"/>
          <w:i/>
          <w:iCs/>
          <w:spacing w:val="-2"/>
        </w:rPr>
        <w:t>93</w:t>
      </w:r>
      <w:r w:rsidR="00E24BB2" w:rsidRPr="009118AB">
        <w:rPr>
          <w:i/>
          <w:iCs/>
          <w:spacing w:val="-2"/>
        </w:rPr>
        <w:t xml:space="preserve"> des G. vom 11. Februar 2019 (B.S. vom 22. März 2020)</w:t>
      </w:r>
      <w:r w:rsidR="00D67EB8" w:rsidRPr="009118AB">
        <w:rPr>
          <w:i/>
          <w:iCs/>
          <w:spacing w:val="-2"/>
        </w:rPr>
        <w:t> - </w:t>
      </w:r>
      <w:r w:rsidR="00E24BB2"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r w:rsidR="005C2CEE" w:rsidRPr="009118AB">
        <w:rPr>
          <w:i/>
          <w:iCs/>
        </w:rPr>
        <w:t xml:space="preserve"> </w:t>
      </w:r>
      <w:r w:rsidR="00D67EB8" w:rsidRPr="009118AB">
        <w:rPr>
          <w:i/>
          <w:iCs/>
        </w:rPr>
        <w:t>Art. </w:t>
      </w:r>
      <w:r w:rsidR="005C2CEE" w:rsidRPr="009118AB">
        <w:rPr>
          <w:i/>
          <w:iCs/>
        </w:rPr>
        <w:t xml:space="preserve">29 </w:t>
      </w:r>
      <w:r w:rsidR="00D67EB8" w:rsidRPr="009118AB">
        <w:rPr>
          <w:i/>
          <w:iCs/>
        </w:rPr>
        <w:t>Nr. </w:t>
      </w:r>
      <w:r w:rsidR="005C2CEE" w:rsidRPr="009118AB">
        <w:rPr>
          <w:i/>
          <w:iCs/>
        </w:rPr>
        <w:t>2</w:t>
      </w:r>
      <w:r w:rsidR="005C2CEE" w:rsidRPr="009118AB">
        <w:rPr>
          <w:i/>
        </w:rPr>
        <w:t xml:space="preserve"> des G. vom 7. April 2019 (I) (B.S. vom 19. April 2019)</w:t>
      </w:r>
      <w:r w:rsidR="00836251" w:rsidRPr="009118AB">
        <w:rPr>
          <w:i/>
        </w:rPr>
        <w:t>,</w:t>
      </w:r>
      <w:r w:rsidR="00CD7EC2" w:rsidRPr="009118AB">
        <w:rPr>
          <w:i/>
        </w:rPr>
        <w:t xml:space="preserve"> </w:t>
      </w:r>
      <w:r w:rsidR="00D67EB8" w:rsidRPr="009118AB">
        <w:rPr>
          <w:i/>
        </w:rPr>
        <w:t>Art. </w:t>
      </w:r>
      <w:r w:rsidR="00CD7EC2" w:rsidRPr="009118AB">
        <w:rPr>
          <w:i/>
        </w:rPr>
        <w:t xml:space="preserve">12 </w:t>
      </w:r>
      <w:r w:rsidR="00D67EB8" w:rsidRPr="009118AB">
        <w:rPr>
          <w:i/>
        </w:rPr>
        <w:t>Nr. </w:t>
      </w:r>
      <w:r w:rsidR="00CD7EC2" w:rsidRPr="009118AB">
        <w:rPr>
          <w:i/>
        </w:rPr>
        <w:t>2</w:t>
      </w:r>
      <w:r w:rsidR="00CD7EC2" w:rsidRPr="009118AB">
        <w:rPr>
          <w:i/>
          <w:iCs/>
        </w:rPr>
        <w:t xml:space="preserve"> des G. vom 23. Juni 2020 (B.S. vom 1. Juli 2020)</w:t>
      </w:r>
      <w:r w:rsidR="00226318" w:rsidRPr="009118AB">
        <w:rPr>
          <w:i/>
          <w:iCs/>
        </w:rPr>
        <w:t>,</w:t>
      </w:r>
      <w:r w:rsidR="00836251" w:rsidRPr="009118AB">
        <w:rPr>
          <w:i/>
          <w:iCs/>
        </w:rPr>
        <w:t xml:space="preserve"> </w:t>
      </w:r>
      <w:r w:rsidR="00D67EB8" w:rsidRPr="009118AB">
        <w:rPr>
          <w:i/>
          <w:iCs/>
        </w:rPr>
        <w:t>Art. </w:t>
      </w:r>
      <w:r w:rsidR="00836251" w:rsidRPr="009118AB">
        <w:rPr>
          <w:i/>
          <w:iCs/>
        </w:rPr>
        <w:t>77 Buchstabe b)</w:t>
      </w:r>
      <w:r w:rsidR="00836251" w:rsidRPr="009118AB">
        <w:rPr>
          <w:bCs/>
          <w:i/>
          <w:iCs/>
        </w:rPr>
        <w:t xml:space="preserve"> des G. vom 27. Juni 2021 (B.S. vom 30. Juni 2021)</w:t>
      </w:r>
      <w:r w:rsidR="00D67EB8" w:rsidRPr="009118AB">
        <w:rPr>
          <w:bCs/>
          <w:i/>
          <w:iCs/>
        </w:rPr>
        <w:t> - </w:t>
      </w:r>
      <w:r w:rsidR="00836251" w:rsidRPr="009118AB">
        <w:rPr>
          <w:bCs/>
          <w:i/>
          <w:iCs/>
        </w:rPr>
        <w:t>anwendbar ab dem Steuerjahr 2022</w:t>
      </w:r>
      <w:r w:rsidR="003366D9" w:rsidRPr="009118AB">
        <w:rPr>
          <w:bCs/>
          <w:i/>
          <w:iCs/>
        </w:rPr>
        <w:t> -</w:t>
      </w:r>
      <w:r w:rsidR="00226318" w:rsidRPr="009118AB">
        <w:rPr>
          <w:bCs/>
          <w:i/>
          <w:iCs/>
        </w:rPr>
        <w:t xml:space="preserve"> und Art. 13 des G. vom 31. Juli 2023 (II) (B.S. vom 23. August 2023)</w:t>
      </w:r>
      <w:r w:rsidR="003366D9" w:rsidRPr="009118AB">
        <w:rPr>
          <w:bCs/>
          <w:i/>
          <w:iCs/>
        </w:rPr>
        <w:t>;</w:t>
      </w:r>
      <w:r w:rsidR="00B76D50" w:rsidRPr="009118AB">
        <w:rPr>
          <w:i/>
          <w:iCs/>
          <w:spacing w:val="-2"/>
        </w:rPr>
        <w:t xml:space="preserve"> </w:t>
      </w:r>
      <w:r w:rsidR="00D67EB8" w:rsidRPr="009118AB">
        <w:rPr>
          <w:rFonts w:ascii="Times New Roman Italique" w:hAnsi="Times New Roman Italique"/>
          <w:i/>
          <w:iCs/>
          <w:spacing w:val="-2"/>
        </w:rPr>
        <w:t>Abs. </w:t>
      </w:r>
      <w:r w:rsidR="00E90374" w:rsidRPr="009118AB">
        <w:rPr>
          <w:rFonts w:ascii="Times New Roman Italique" w:hAnsi="Times New Roman Italique"/>
          <w:i/>
          <w:iCs/>
          <w:spacing w:val="-2"/>
        </w:rPr>
        <w:t>4</w:t>
      </w:r>
      <w:r w:rsidR="006C25F2"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 </w:t>
      </w:r>
      <w:r w:rsidR="00D67EB8" w:rsidRPr="009118AB">
        <w:rPr>
          <w:rFonts w:ascii="Times New Roman Italique" w:hAnsi="Times New Roman Italique"/>
          <w:i/>
          <w:iCs/>
          <w:spacing w:val="-2"/>
        </w:rPr>
        <w:t>Nr. </w:t>
      </w:r>
      <w:r w:rsidR="006C25F2" w:rsidRPr="009118AB">
        <w:rPr>
          <w:rFonts w:ascii="Times New Roman Italique" w:hAnsi="Times New Roman Italique"/>
          <w:i/>
          <w:iCs/>
          <w:spacing w:val="-2"/>
        </w:rPr>
        <w:t>2 des G. vom 25. April 2007 </w:t>
      </w:r>
      <w:r w:rsidRPr="009118AB">
        <w:rPr>
          <w:rFonts w:ascii="Times New Roman Italique" w:hAnsi="Times New Roman Italique"/>
          <w:i/>
          <w:iCs/>
          <w:spacing w:val="-2"/>
        </w:rPr>
        <w:t>(II) (B.S.</w:t>
      </w:r>
      <w:r w:rsidR="006C25F2" w:rsidRPr="009118AB">
        <w:rPr>
          <w:rFonts w:ascii="Times New Roman Italique" w:hAnsi="Times New Roman Italique"/>
          <w:i/>
          <w:iCs/>
          <w:spacing w:val="-2"/>
        </w:rPr>
        <w:t> </w:t>
      </w:r>
      <w:r w:rsidR="004F7F42" w:rsidRPr="009118AB">
        <w:rPr>
          <w:rFonts w:ascii="Times New Roman Italique" w:hAnsi="Times New Roman Italique"/>
          <w:i/>
          <w:iCs/>
          <w:spacing w:val="-2"/>
        </w:rPr>
        <w:t>vom 10. Mai 2007)</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2008</w:t>
      </w:r>
      <w:r w:rsidR="00D67EB8" w:rsidRPr="009118AB">
        <w:rPr>
          <w:rFonts w:ascii="Times New Roman Italique" w:hAnsi="Times New Roman Italique"/>
          <w:i/>
          <w:iCs/>
          <w:spacing w:val="-2"/>
        </w:rPr>
        <w:t> - </w:t>
      </w:r>
      <w:r w:rsidR="00081126" w:rsidRPr="009118AB">
        <w:rPr>
          <w:rFonts w:ascii="Times New Roman Italique" w:hAnsi="Times New Roman Italique"/>
          <w:i/>
          <w:iCs/>
          <w:spacing w:val="-2"/>
        </w:rPr>
        <w:t xml:space="preserve">und aufgehoben durch </w:t>
      </w:r>
      <w:r w:rsidR="00D67EB8" w:rsidRPr="009118AB">
        <w:rPr>
          <w:rFonts w:ascii="Times New Roman Italique" w:hAnsi="Times New Roman Italique"/>
          <w:i/>
          <w:iCs/>
          <w:spacing w:val="-2"/>
        </w:rPr>
        <w:t>Art. </w:t>
      </w:r>
      <w:r w:rsidR="00081126" w:rsidRPr="009118AB">
        <w:rPr>
          <w:rFonts w:ascii="Times New Roman Italique" w:hAnsi="Times New Roman Italique"/>
          <w:i/>
          <w:iCs/>
          <w:spacing w:val="-2"/>
        </w:rPr>
        <w:t xml:space="preserve">75 </w:t>
      </w:r>
      <w:r w:rsidR="00D67EB8" w:rsidRPr="009118AB">
        <w:rPr>
          <w:rFonts w:ascii="Times New Roman Italique" w:hAnsi="Times New Roman Italique"/>
          <w:i/>
          <w:iCs/>
          <w:spacing w:val="-2"/>
        </w:rPr>
        <w:t>Nr. </w:t>
      </w:r>
      <w:r w:rsidR="00081126" w:rsidRPr="009118AB">
        <w:rPr>
          <w:rFonts w:ascii="Times New Roman Italique" w:hAnsi="Times New Roman Italique"/>
          <w:i/>
          <w:iCs/>
          <w:spacing w:val="-2"/>
        </w:rPr>
        <w:t>2</w:t>
      </w:r>
      <w:r w:rsidR="00081126" w:rsidRPr="009118AB">
        <w:rPr>
          <w:rFonts w:ascii="Times New Roman Italique" w:hAnsi="Times New Roman Italique"/>
          <w:i/>
          <w:spacing w:val="-2"/>
        </w:rPr>
        <w:t xml:space="preserve"> des G. vom 8. Mai 2014 (B.S. vom 28. Mai 2014)</w:t>
      </w:r>
      <w:r w:rsidR="00D67EB8" w:rsidRPr="009118AB">
        <w:rPr>
          <w:rFonts w:ascii="Times New Roman Italique" w:hAnsi="Times New Roman Italique"/>
          <w:i/>
          <w:spacing w:val="-2"/>
        </w:rPr>
        <w:t> - </w:t>
      </w:r>
      <w:r w:rsidR="00081126" w:rsidRPr="009118AB">
        <w:rPr>
          <w:rFonts w:ascii="Times New Roman Italique" w:hAnsi="Times New Roman Italique"/>
          <w:i/>
          <w:iCs/>
          <w:spacing w:val="-2"/>
        </w:rPr>
        <w:t>anwendbar ab dem Steuerjahr 2015</w:t>
      </w:r>
      <w:r w:rsidR="00FD68E8" w:rsidRPr="009118AB">
        <w:rPr>
          <w:rFonts w:ascii="Times New Roman Italique" w:hAnsi="Times New Roman Italique"/>
          <w:i/>
          <w:iCs/>
          <w:spacing w:val="-2"/>
        </w:rPr>
        <w:t> -]</w:t>
      </w:r>
    </w:p>
    <w:p w14:paraId="64C58BDE" w14:textId="77777777" w:rsidR="00607F30" w:rsidRPr="009118AB" w:rsidRDefault="00607F30" w:rsidP="00477B8F">
      <w:pPr>
        <w:autoSpaceDE w:val="0"/>
        <w:autoSpaceDN w:val="0"/>
        <w:adjustRightInd w:val="0"/>
        <w:jc w:val="both"/>
      </w:pPr>
    </w:p>
    <w:p w14:paraId="0993A8E1" w14:textId="77777777" w:rsidR="00477B8F" w:rsidRPr="009118AB" w:rsidRDefault="00477B8F" w:rsidP="00477B8F">
      <w:pPr>
        <w:autoSpaceDE w:val="0"/>
        <w:autoSpaceDN w:val="0"/>
        <w:adjustRightInd w:val="0"/>
        <w:jc w:val="both"/>
      </w:pPr>
    </w:p>
    <w:p w14:paraId="00C2826E" w14:textId="61A1F0B5" w:rsidR="001D370F" w:rsidRPr="009118AB" w:rsidRDefault="001D370F" w:rsidP="001D370F">
      <w:pPr>
        <w:jc w:val="both"/>
      </w:pPr>
      <w:r w:rsidRPr="009118AB">
        <w:tab/>
        <w:t>[</w:t>
      </w:r>
      <w:r w:rsidR="00D67EB8" w:rsidRPr="009118AB">
        <w:rPr>
          <w:b/>
        </w:rPr>
        <w:t>Art. </w:t>
      </w:r>
      <w:r w:rsidRPr="009118AB">
        <w:rPr>
          <w:b/>
        </w:rPr>
        <w:t>243/1</w:t>
      </w:r>
      <w:r w:rsidR="00D67EB8" w:rsidRPr="009118AB">
        <w:t> - </w:t>
      </w:r>
      <w:r w:rsidRPr="009118AB">
        <w:t>Hat der Steuerpflichtige in Belgien steuerpflichtige Berufseinkünfte erzielt oder bezogen, die mindestens 75 Prozent der Gesamtheit seiner während des Besteuerungszeitraums erzielten oder bezogenen Berufseinkünfte belgischer und auslän</w:t>
      </w:r>
      <w:r w:rsidRPr="009118AB">
        <w:softHyphen/>
        <w:t>discher Herkunft betragen, sind in Abweichung von Artikel 243 die Artikel 86 bis 89 anwendbar und wird die Steuer gemäß den Artikeln </w:t>
      </w:r>
      <w:r w:rsidR="00CD7EC2" w:rsidRPr="009118AB">
        <w:t xml:space="preserve">[25/1, 27/1,] </w:t>
      </w:r>
      <w:r w:rsidR="00C030D3" w:rsidRPr="009118AB">
        <w:t>[</w:t>
      </w:r>
      <w:r w:rsidR="00B90C34" w:rsidRPr="009118AB">
        <w:t>...</w:t>
      </w:r>
      <w:r w:rsidR="00C030D3" w:rsidRPr="009118AB">
        <w:t xml:space="preserve">] </w:t>
      </w:r>
      <w:r w:rsidRPr="009118AB">
        <w:t>130 bis 145</w:t>
      </w:r>
      <w:r w:rsidRPr="009118AB">
        <w:rPr>
          <w:vertAlign w:val="superscript"/>
        </w:rPr>
        <w:t>16</w:t>
      </w:r>
      <w:r w:rsidRPr="009118AB">
        <w:t>, 145</w:t>
      </w:r>
      <w:r w:rsidRPr="009118AB">
        <w:rPr>
          <w:vertAlign w:val="superscript"/>
        </w:rPr>
        <w:t>24</w:t>
      </w:r>
      <w:r w:rsidRPr="009118AB">
        <w:t xml:space="preserve">, </w:t>
      </w:r>
      <w:r w:rsidR="00F60A52" w:rsidRPr="009118AB">
        <w:t>[</w:t>
      </w:r>
      <w:r w:rsidR="00B51AC9" w:rsidRPr="009118AB">
        <w:rPr>
          <w:rFonts w:eastAsia="Calibri"/>
        </w:rPr>
        <w:t>145</w:t>
      </w:r>
      <w:r w:rsidR="00B51AC9" w:rsidRPr="009118AB">
        <w:rPr>
          <w:rFonts w:eastAsia="Calibri"/>
          <w:vertAlign w:val="superscript"/>
        </w:rPr>
        <w:t>26</w:t>
      </w:r>
      <w:r w:rsidR="00B51AC9" w:rsidRPr="009118AB">
        <w:rPr>
          <w:rFonts w:eastAsia="Calibri"/>
        </w:rPr>
        <w:t xml:space="preserve"> bis 145</w:t>
      </w:r>
      <w:r w:rsidR="00B51AC9" w:rsidRPr="009118AB">
        <w:rPr>
          <w:rFonts w:eastAsia="Calibri"/>
          <w:vertAlign w:val="superscript"/>
        </w:rPr>
        <w:t>28</w:t>
      </w:r>
      <w:r w:rsidR="00F60A52" w:rsidRPr="009118AB">
        <w:t>]</w:t>
      </w:r>
      <w:r w:rsidRPr="009118AB">
        <w:t>, 145</w:t>
      </w:r>
      <w:r w:rsidRPr="009118AB">
        <w:rPr>
          <w:vertAlign w:val="superscript"/>
        </w:rPr>
        <w:t>32</w:t>
      </w:r>
      <w:r w:rsidRPr="009118AB">
        <w:t xml:space="preserve"> </w:t>
      </w:r>
      <w:r w:rsidR="00793869" w:rsidRPr="009118AB">
        <w:t>[bis 145</w:t>
      </w:r>
      <w:r w:rsidR="00793869" w:rsidRPr="009118AB">
        <w:rPr>
          <w:vertAlign w:val="superscript"/>
        </w:rPr>
        <w:t>35</w:t>
      </w:r>
      <w:r w:rsidR="00793869" w:rsidRPr="009118AB">
        <w:t xml:space="preserve">, </w:t>
      </w:r>
      <w:r w:rsidR="00642026" w:rsidRPr="009118AB">
        <w:t>[</w:t>
      </w:r>
      <w:r w:rsidR="00642026" w:rsidRPr="009118AB">
        <w:rPr>
          <w:rFonts w:eastAsia="Calibri"/>
          <w:szCs w:val="22"/>
          <w:lang w:eastAsia="en-US"/>
        </w:rPr>
        <w:t>145</w:t>
      </w:r>
      <w:r w:rsidR="00642026" w:rsidRPr="009118AB">
        <w:rPr>
          <w:rFonts w:eastAsia="Calibri"/>
          <w:szCs w:val="22"/>
          <w:vertAlign w:val="superscript"/>
          <w:lang w:eastAsia="en-US"/>
        </w:rPr>
        <w:t>48</w:t>
      </w:r>
      <w:r w:rsidR="00642026" w:rsidRPr="009118AB">
        <w:rPr>
          <w:rFonts w:eastAsia="Calibri"/>
          <w:szCs w:val="22"/>
          <w:lang w:eastAsia="en-US"/>
        </w:rPr>
        <w:t xml:space="preserve"> bis 145</w:t>
      </w:r>
      <w:r w:rsidR="00642026" w:rsidRPr="009118AB">
        <w:rPr>
          <w:rFonts w:eastAsia="Calibri"/>
          <w:szCs w:val="22"/>
          <w:vertAlign w:val="superscript"/>
          <w:lang w:eastAsia="en-US"/>
        </w:rPr>
        <w:t>50</w:t>
      </w:r>
      <w:r w:rsidR="00642026" w:rsidRPr="009118AB">
        <w:rPr>
          <w:rFonts w:eastAsia="Calibri"/>
          <w:szCs w:val="22"/>
          <w:lang w:eastAsia="en-US"/>
        </w:rPr>
        <w:t xml:space="preserve"> und 154</w:t>
      </w:r>
      <w:r w:rsidR="00642026" w:rsidRPr="009118AB">
        <w:rPr>
          <w:rFonts w:eastAsia="Calibri"/>
          <w:i/>
          <w:iCs/>
          <w:szCs w:val="22"/>
          <w:lang w:eastAsia="en-US"/>
        </w:rPr>
        <w:t>bis</w:t>
      </w:r>
      <w:r w:rsidR="00642026" w:rsidRPr="009118AB">
        <w:t>]]</w:t>
      </w:r>
      <w:r w:rsidRPr="009118AB">
        <w:t>, 157 bis 169 und 171 bis 178/1 berechnet, wobei:</w:t>
      </w:r>
    </w:p>
    <w:p w14:paraId="41125C66" w14:textId="77777777" w:rsidR="001D370F" w:rsidRPr="009118AB" w:rsidRDefault="001D370F" w:rsidP="001D370F">
      <w:pPr>
        <w:jc w:val="both"/>
      </w:pPr>
    </w:p>
    <w:p w14:paraId="786F95DC" w14:textId="77777777" w:rsidR="001D370F" w:rsidRPr="009118AB" w:rsidRDefault="001D370F" w:rsidP="001D370F">
      <w:pPr>
        <w:jc w:val="both"/>
      </w:pPr>
      <w:r w:rsidRPr="009118AB">
        <w:tab/>
        <w:t>1. für die Anwendung der Artikel 86 bis 89 und 146 bis 154 die Gesamtheit der Einkünfte belgischer und ausländischer Herkunft berücksichtigt wird,</w:t>
      </w:r>
    </w:p>
    <w:p w14:paraId="6BD5184C" w14:textId="77777777" w:rsidR="00107B70" w:rsidRPr="009118AB" w:rsidRDefault="00107B70" w:rsidP="001D370F">
      <w:pPr>
        <w:jc w:val="both"/>
      </w:pPr>
    </w:p>
    <w:p w14:paraId="691213B8" w14:textId="486857AA" w:rsidR="00107B70" w:rsidRPr="009118AB" w:rsidRDefault="00107B70" w:rsidP="001D370F">
      <w:pPr>
        <w:jc w:val="both"/>
      </w:pPr>
      <w:r w:rsidRPr="009118AB">
        <w:tab/>
        <w:t>[1</w:t>
      </w:r>
      <w:r w:rsidRPr="009118AB">
        <w:rPr>
          <w:i/>
        </w:rPr>
        <w:t>bis</w:t>
      </w:r>
      <w:r w:rsidRPr="009118AB">
        <w:t>. </w:t>
      </w:r>
      <w:r w:rsidR="001128C8" w:rsidRPr="009118AB">
        <w:t>[</w:t>
      </w:r>
      <w:r w:rsidR="00B21E12" w:rsidRPr="009118AB">
        <w:t>[</w:t>
      </w:r>
      <w:r w:rsidR="001128C8" w:rsidRPr="009118AB">
        <w:t>in Artikel 145</w:t>
      </w:r>
      <w:r w:rsidR="001128C8" w:rsidRPr="009118AB">
        <w:rPr>
          <w:vertAlign w:val="superscript"/>
        </w:rPr>
        <w:t>1</w:t>
      </w:r>
      <w:r w:rsidR="001128C8" w:rsidRPr="009118AB">
        <w:t xml:space="preserve"> </w:t>
      </w:r>
      <w:r w:rsidR="00D67EB8" w:rsidRPr="009118AB">
        <w:t>Nr. </w:t>
      </w:r>
      <w:r w:rsidR="001128C8" w:rsidRPr="009118AB">
        <w:t xml:space="preserve">1 </w:t>
      </w:r>
      <w:r w:rsidR="00B21E12" w:rsidRPr="009118AB">
        <w:t>und 1</w:t>
      </w:r>
      <w:r w:rsidR="00B21E12" w:rsidRPr="009118AB">
        <w:rPr>
          <w:i/>
        </w:rPr>
        <w:t>bis</w:t>
      </w:r>
      <w:r w:rsidR="00B21E12" w:rsidRPr="009118AB">
        <w:t xml:space="preserve">] </w:t>
      </w:r>
      <w:r w:rsidR="001128C8" w:rsidRPr="009118AB">
        <w:t>erwähnte persönliche Beiträge und Prämien nur in dem Maße berücksichtigt werden, wie sie in Belgien steuerpflichtige Berufseinkünfte betreffen, die gemäß den Artikeln 232 und 248 §</w:t>
      </w:r>
      <w:r w:rsidR="00D67EB8" w:rsidRPr="009118AB">
        <w:t>§ </w:t>
      </w:r>
      <w:r w:rsidR="001128C8" w:rsidRPr="009118AB">
        <w:t>2 und 3 tatsächlich in der Erklärung regularisiert werden,]</w:t>
      </w:r>
      <w:r w:rsidRPr="009118AB">
        <w:t>]</w:t>
      </w:r>
    </w:p>
    <w:p w14:paraId="758B5A46" w14:textId="77777777" w:rsidR="001D370F" w:rsidRPr="009118AB" w:rsidRDefault="001D370F" w:rsidP="001D370F">
      <w:pPr>
        <w:jc w:val="both"/>
      </w:pPr>
    </w:p>
    <w:p w14:paraId="7E1326DD" w14:textId="5D908D39" w:rsidR="001D370F" w:rsidRPr="009118AB" w:rsidRDefault="001D370F" w:rsidP="001D370F">
      <w:pPr>
        <w:jc w:val="both"/>
      </w:pPr>
      <w:r w:rsidRPr="009118AB">
        <w:lastRenderedPageBreak/>
        <w:tab/>
        <w:t>2. die Artikel 145</w:t>
      </w:r>
      <w:r w:rsidRPr="009118AB">
        <w:rPr>
          <w:vertAlign w:val="superscript"/>
        </w:rPr>
        <w:t>1</w:t>
      </w:r>
      <w:r w:rsidRPr="009118AB">
        <w:t xml:space="preserve"> </w:t>
      </w:r>
      <w:r w:rsidR="00D67EB8" w:rsidRPr="009118AB">
        <w:t>Nr. </w:t>
      </w:r>
      <w:r w:rsidRPr="009118AB">
        <w:t>2 in Bezug auf individuelle Lebensversicherungen, die für die Wiederherstellung einer oder als Sicherheit für eine Hypothekenanleihe dienen, und 145</w:t>
      </w:r>
      <w:r w:rsidRPr="009118AB">
        <w:rPr>
          <w:vertAlign w:val="superscript"/>
        </w:rPr>
        <w:t>1</w:t>
      </w:r>
      <w:r w:rsidRPr="009118AB">
        <w:t xml:space="preserve"> </w:t>
      </w:r>
      <w:r w:rsidR="00D67EB8" w:rsidRPr="009118AB">
        <w:t>Nr. </w:t>
      </w:r>
      <w:r w:rsidRPr="009118AB">
        <w:t>3 nur anwendbar sind, wenn die Hypothekenanleihe aufgenommen wird für:</w:t>
      </w:r>
    </w:p>
    <w:p w14:paraId="3FC6DACE" w14:textId="77777777" w:rsidR="001D370F" w:rsidRPr="009118AB" w:rsidRDefault="001D370F" w:rsidP="001D370F">
      <w:pPr>
        <w:jc w:val="both"/>
      </w:pPr>
    </w:p>
    <w:p w14:paraId="4AC4E7AD" w14:textId="77777777" w:rsidR="001D370F" w:rsidRPr="009118AB" w:rsidRDefault="001D370F" w:rsidP="001D370F">
      <w:pPr>
        <w:jc w:val="both"/>
      </w:pPr>
      <w:r w:rsidRPr="009118AB">
        <w:tab/>
        <w:t>- eine in Belgien gelegene Wohnung,</w:t>
      </w:r>
    </w:p>
    <w:p w14:paraId="7EF8C5B0" w14:textId="77777777" w:rsidR="001D370F" w:rsidRPr="009118AB" w:rsidRDefault="001D370F" w:rsidP="001D370F">
      <w:pPr>
        <w:jc w:val="both"/>
      </w:pPr>
    </w:p>
    <w:p w14:paraId="28C4FC15" w14:textId="77777777" w:rsidR="001D370F" w:rsidRPr="009118AB" w:rsidRDefault="001D370F" w:rsidP="001D370F">
      <w:pPr>
        <w:jc w:val="both"/>
      </w:pPr>
      <w:r w:rsidRPr="009118AB">
        <w:tab/>
        <w:t>- eine in einem anderen Mitgliedstaat des Europäischen Wirtschaftsraums gelegene Wohnung, die am 31. Dezember des Jahres des Abschlusses des Anleihevertrags die eigene Wohnung des Steuerpflichtigen ist,</w:t>
      </w:r>
    </w:p>
    <w:p w14:paraId="280770F2" w14:textId="77777777" w:rsidR="001D370F" w:rsidRPr="009118AB" w:rsidRDefault="001D370F" w:rsidP="001D370F">
      <w:pPr>
        <w:jc w:val="both"/>
      </w:pPr>
    </w:p>
    <w:p w14:paraId="4084BA0C" w14:textId="7377F607" w:rsidR="001128C8" w:rsidRPr="009118AB" w:rsidRDefault="001128C8" w:rsidP="001128C8">
      <w:pPr>
        <w:jc w:val="both"/>
      </w:pPr>
      <w:r w:rsidRPr="009118AB">
        <w:tab/>
        <w:t>[2</w:t>
      </w:r>
      <w:r w:rsidRPr="009118AB">
        <w:rPr>
          <w:i/>
        </w:rPr>
        <w:t>bis</w:t>
      </w:r>
      <w:r w:rsidRPr="009118AB">
        <w:t>. in Artikel 145</w:t>
      </w:r>
      <w:r w:rsidRPr="009118AB">
        <w:rPr>
          <w:vertAlign w:val="superscript"/>
        </w:rPr>
        <w:t>1</w:t>
      </w:r>
      <w:r w:rsidRPr="009118AB">
        <w:t xml:space="preserve"> </w:t>
      </w:r>
      <w:r w:rsidR="00D67EB8" w:rsidRPr="009118AB">
        <w:t>Nr. </w:t>
      </w:r>
      <w:r w:rsidRPr="009118AB">
        <w:t>4 erwähnte Zahlungen nur berücksichtigt werden, wenn die Arbeitgebergesellschaft dem Steuerpflichtigen während des Besteuerungszeitraums Entloh</w:t>
      </w:r>
      <w:r w:rsidRPr="009118AB">
        <w:softHyphen/>
        <w:t>nungen gezahlt oder zuerkannt hat, die für ihn in Belgien steuerpflichtige Berufseinkünfte darstellen, die gemäß den Artikeln 232 und 248 §</w:t>
      </w:r>
      <w:r w:rsidR="00D67EB8" w:rsidRPr="009118AB">
        <w:t>§ </w:t>
      </w:r>
      <w:r w:rsidRPr="009118AB">
        <w:t>2 und 3 tatsächlich in der Erklärung regularisiert werden,</w:t>
      </w:r>
      <w:r w:rsidR="00793869" w:rsidRPr="009118AB">
        <w:t>]</w:t>
      </w:r>
    </w:p>
    <w:p w14:paraId="3EE238CC" w14:textId="77777777" w:rsidR="00793869" w:rsidRPr="009118AB" w:rsidRDefault="00793869" w:rsidP="001128C8">
      <w:pPr>
        <w:jc w:val="both"/>
      </w:pPr>
    </w:p>
    <w:p w14:paraId="07A9CD2B" w14:textId="77777777" w:rsidR="00793869" w:rsidRPr="009118AB" w:rsidRDefault="00793869" w:rsidP="00793869">
      <w:pPr>
        <w:ind w:firstLine="708"/>
        <w:jc w:val="both"/>
      </w:pPr>
      <w:r w:rsidRPr="009118AB">
        <w:tab/>
        <w:t>[2</w:t>
      </w:r>
      <w:r w:rsidRPr="009118AB">
        <w:rPr>
          <w:i/>
        </w:rPr>
        <w:t>bis</w:t>
      </w:r>
      <w:r w:rsidRPr="009118AB">
        <w:t>/1. in Bezug auf die in Artikel 145</w:t>
      </w:r>
      <w:r w:rsidRPr="009118AB">
        <w:rPr>
          <w:vertAlign w:val="superscript"/>
        </w:rPr>
        <w:t>48</w:t>
      </w:r>
      <w:r w:rsidRPr="009118AB">
        <w:t xml:space="preserve"> erwähnte Steuerermäßigung:</w:t>
      </w:r>
    </w:p>
    <w:p w14:paraId="1830A30B" w14:textId="77777777" w:rsidR="00793869" w:rsidRPr="009118AB" w:rsidRDefault="00793869" w:rsidP="00793869">
      <w:pPr>
        <w:jc w:val="both"/>
      </w:pPr>
    </w:p>
    <w:p w14:paraId="1CEBAE39" w14:textId="77777777" w:rsidR="00793869" w:rsidRPr="009118AB" w:rsidRDefault="00793869" w:rsidP="00793869">
      <w:pPr>
        <w:ind w:firstLine="708"/>
        <w:jc w:val="both"/>
      </w:pPr>
      <w:r w:rsidRPr="009118AB">
        <w:rPr>
          <w:i/>
        </w:rPr>
        <w:t>a)</w:t>
      </w:r>
      <w:r w:rsidRPr="009118AB">
        <w:t> diese Steuerermäßigung nur gewährt wird, wenn der Staat, in dem der Steuerpflichtige seinen gewöhnlichen Wohnort hat, und im Falle einer internationalen Adoption auch der Herkunftsstaat des Kindes das Haager Übereinkommen über den Schutz von Kindern und die Zusammenarbeit auf dem Gebiet der internationalen Adoption ratifiziert hat,</w:t>
      </w:r>
    </w:p>
    <w:p w14:paraId="1887704A" w14:textId="77777777" w:rsidR="00793869" w:rsidRPr="009118AB" w:rsidRDefault="00793869" w:rsidP="00793869">
      <w:pPr>
        <w:jc w:val="both"/>
      </w:pPr>
    </w:p>
    <w:p w14:paraId="1EEB8779" w14:textId="273711C0" w:rsidR="00793869" w:rsidRPr="009118AB" w:rsidRDefault="00793869" w:rsidP="00793869">
      <w:pPr>
        <w:ind w:firstLine="708"/>
        <w:jc w:val="both"/>
      </w:pPr>
      <w:r w:rsidRPr="009118AB">
        <w:rPr>
          <w:i/>
        </w:rPr>
        <w:t>b)</w:t>
      </w:r>
      <w:r w:rsidRPr="009118AB">
        <w:t xml:space="preserve"> für die Anwendung von Absatz 2 </w:t>
      </w:r>
      <w:r w:rsidR="00D67EB8" w:rsidRPr="009118AB">
        <w:t>Nr. </w:t>
      </w:r>
      <w:r w:rsidRPr="009118AB">
        <w:t>1 Buchstabe </w:t>
      </w:r>
      <w:r w:rsidRPr="009118AB">
        <w:rPr>
          <w:i/>
        </w:rPr>
        <w:t>b)</w:t>
      </w:r>
      <w:r w:rsidRPr="009118AB">
        <w:t xml:space="preserve"> und </w:t>
      </w:r>
      <w:r w:rsidR="00D67EB8" w:rsidRPr="009118AB">
        <w:t>Nr. </w:t>
      </w:r>
      <w:r w:rsidRPr="009118AB">
        <w:t>2 Buchstabe </w:t>
      </w:r>
      <w:r w:rsidRPr="009118AB">
        <w:rPr>
          <w:i/>
        </w:rPr>
        <w:t>b)</w:t>
      </w:r>
      <w:r w:rsidRPr="009118AB">
        <w:t xml:space="preserve"> des vorerwähnten Artikels Ausgaben, die von einem Adoptionsdienst dieses Staates, in dem der Steuerpflichtige seinen gewöhnlichen Wohnort hat, in Rechnung gestellt werden, für die Steuerermäßigung in Betracht kommen können, wenn dieser Dienst gemäß den vom König festgelegten Bedingungen als zugelassen gelten kann,</w:t>
      </w:r>
    </w:p>
    <w:p w14:paraId="4CB8F676" w14:textId="77777777" w:rsidR="00793869" w:rsidRPr="009118AB" w:rsidRDefault="00793869" w:rsidP="00793869">
      <w:pPr>
        <w:jc w:val="both"/>
      </w:pPr>
    </w:p>
    <w:p w14:paraId="6ED3EDF9" w14:textId="45134C25" w:rsidR="00793869" w:rsidRPr="009118AB" w:rsidRDefault="00793869" w:rsidP="00793869">
      <w:pPr>
        <w:ind w:firstLine="708"/>
        <w:jc w:val="both"/>
      </w:pPr>
      <w:r w:rsidRPr="009118AB">
        <w:rPr>
          <w:i/>
        </w:rPr>
        <w:t>c)</w:t>
      </w:r>
      <w:r w:rsidRPr="009118AB">
        <w:t xml:space="preserve"> für die Anwendung von Absatz 2 </w:t>
      </w:r>
      <w:r w:rsidR="00D67EB8" w:rsidRPr="009118AB">
        <w:t>Nr. </w:t>
      </w:r>
      <w:r w:rsidRPr="009118AB">
        <w:t>2 Buchstabe </w:t>
      </w:r>
      <w:r w:rsidRPr="009118AB">
        <w:rPr>
          <w:i/>
        </w:rPr>
        <w:t>c)</w:t>
      </w:r>
      <w:r w:rsidRPr="009118AB">
        <w:t xml:space="preserve">, </w:t>
      </w:r>
      <w:r w:rsidRPr="009118AB">
        <w:rPr>
          <w:i/>
        </w:rPr>
        <w:t>d)</w:t>
      </w:r>
      <w:r w:rsidRPr="009118AB">
        <w:t xml:space="preserve"> und </w:t>
      </w:r>
      <w:r w:rsidRPr="009118AB">
        <w:rPr>
          <w:i/>
        </w:rPr>
        <w:t>e)</w:t>
      </w:r>
      <w:r w:rsidRPr="009118AB">
        <w:t xml:space="preserve"> des vorerwähnten Artikels die Adoption in dem Staat, in dem der Steuerpflichtige seinen gewöhnlichen Wohnort hat, anerkannt oder durch ein Urteil ausgesprochen werden muss,]</w:t>
      </w:r>
    </w:p>
    <w:p w14:paraId="535D52E1" w14:textId="77777777" w:rsidR="001128C8" w:rsidRPr="009118AB" w:rsidRDefault="001128C8" w:rsidP="001128C8">
      <w:pPr>
        <w:jc w:val="both"/>
      </w:pPr>
    </w:p>
    <w:p w14:paraId="3E417175" w14:textId="46BD8B72" w:rsidR="001128C8" w:rsidRPr="009118AB" w:rsidRDefault="001128C8" w:rsidP="001128C8">
      <w:pPr>
        <w:jc w:val="both"/>
      </w:pPr>
      <w:r w:rsidRPr="009118AB">
        <w:tab/>
      </w:r>
      <w:r w:rsidR="00793869" w:rsidRPr="009118AB">
        <w:t>[</w:t>
      </w:r>
      <w:r w:rsidRPr="009118AB">
        <w:t>2</w:t>
      </w:r>
      <w:r w:rsidRPr="009118AB">
        <w:rPr>
          <w:i/>
        </w:rPr>
        <w:t>ter</w:t>
      </w:r>
      <w:r w:rsidRPr="009118AB">
        <w:t>. für die Anwendung der in Artikel 154</w:t>
      </w:r>
      <w:r w:rsidRPr="009118AB">
        <w:rPr>
          <w:i/>
        </w:rPr>
        <w:t>bis</w:t>
      </w:r>
      <w:r w:rsidRPr="009118AB">
        <w:t xml:space="preserve"> erwähnten Steuerermäßigung nur Überarbeit berücksichtigt wird, für die die Entlohnungen in Belgien steuerpflichtige Berufseinkünfte darstellen, die gemäß den Artikeln 232 und 248 §</w:t>
      </w:r>
      <w:r w:rsidR="00D67EB8" w:rsidRPr="009118AB">
        <w:t>§ </w:t>
      </w:r>
      <w:r w:rsidRPr="009118AB">
        <w:t>2 und 3 tatsächlich in der Erklärung regularisiert werden,]</w:t>
      </w:r>
    </w:p>
    <w:p w14:paraId="6FAA68AC" w14:textId="77777777" w:rsidR="001128C8" w:rsidRPr="009118AB" w:rsidRDefault="001128C8" w:rsidP="001D370F">
      <w:pPr>
        <w:jc w:val="both"/>
      </w:pPr>
    </w:p>
    <w:p w14:paraId="777E8026" w14:textId="77777777" w:rsidR="001128C8" w:rsidRPr="009118AB" w:rsidRDefault="001D370F" w:rsidP="001128C8">
      <w:pPr>
        <w:jc w:val="both"/>
      </w:pPr>
      <w:r w:rsidRPr="009118AB">
        <w:tab/>
        <w:t>3. für die Anwendung von Artikel 178/1 Steuerermäßigungen auf die gemäß den Artikeln 130 bis 145, 146 bis 154 und 169 berechnete Steuer angerechnet werden,</w:t>
      </w:r>
    </w:p>
    <w:p w14:paraId="4B0720C6" w14:textId="77777777" w:rsidR="001128C8" w:rsidRPr="009118AB" w:rsidRDefault="001128C8" w:rsidP="001128C8">
      <w:pPr>
        <w:jc w:val="both"/>
      </w:pPr>
    </w:p>
    <w:p w14:paraId="6B812637" w14:textId="1F7DF768" w:rsidR="001D370F" w:rsidRPr="009118AB" w:rsidRDefault="001D370F" w:rsidP="001128C8">
      <w:pPr>
        <w:jc w:val="both"/>
      </w:pPr>
      <w:r w:rsidRPr="009118AB">
        <w:tab/>
        <w:t>4. für die Anwendung der Artikel </w:t>
      </w:r>
      <w:r w:rsidR="00CD7EC2" w:rsidRPr="009118AB">
        <w:t xml:space="preserve">[25/1, 27/1,] </w:t>
      </w:r>
      <w:r w:rsidR="00C030D3" w:rsidRPr="009118AB">
        <w:t>[</w:t>
      </w:r>
      <w:r w:rsidR="00B90C34" w:rsidRPr="009118AB">
        <w:t>...</w:t>
      </w:r>
      <w:r w:rsidR="00C030D3" w:rsidRPr="009118AB">
        <w:t xml:space="preserve">] </w:t>
      </w:r>
      <w:r w:rsidR="00F60A52" w:rsidRPr="009118AB">
        <w:t>[</w:t>
      </w:r>
      <w:r w:rsidR="009C5CA4" w:rsidRPr="009118AB">
        <w:rPr>
          <w:rFonts w:eastAsia="Calibri"/>
        </w:rPr>
        <w:t>145</w:t>
      </w:r>
      <w:r w:rsidR="009C5CA4" w:rsidRPr="009118AB">
        <w:rPr>
          <w:rFonts w:eastAsia="Calibri"/>
          <w:vertAlign w:val="superscript"/>
        </w:rPr>
        <w:t>7</w:t>
      </w:r>
      <w:r w:rsidR="009C5CA4" w:rsidRPr="009118AB">
        <w:rPr>
          <w:rFonts w:eastAsia="Calibri"/>
        </w:rPr>
        <w:t xml:space="preserve"> </w:t>
      </w:r>
      <w:r w:rsidR="00D67EB8" w:rsidRPr="009118AB">
        <w:rPr>
          <w:rFonts w:eastAsia="Calibri"/>
        </w:rPr>
        <w:t>§ </w:t>
      </w:r>
      <w:r w:rsidR="009C5CA4" w:rsidRPr="009118AB">
        <w:rPr>
          <w:rFonts w:eastAsia="Calibri"/>
        </w:rPr>
        <w:t>2, 145</w:t>
      </w:r>
      <w:r w:rsidR="009C5CA4" w:rsidRPr="009118AB">
        <w:rPr>
          <w:rFonts w:eastAsia="Calibri"/>
          <w:vertAlign w:val="superscript"/>
        </w:rPr>
        <w:t>26</w:t>
      </w:r>
      <w:r w:rsidR="009C5CA4" w:rsidRPr="009118AB">
        <w:rPr>
          <w:rFonts w:eastAsia="Calibri"/>
        </w:rPr>
        <w:t xml:space="preserve"> </w:t>
      </w:r>
      <w:r w:rsidR="00D67EB8" w:rsidRPr="009118AB">
        <w:rPr>
          <w:rFonts w:eastAsia="Calibri"/>
        </w:rPr>
        <w:t>§ </w:t>
      </w:r>
      <w:r w:rsidR="009C5CA4" w:rsidRPr="009118AB">
        <w:rPr>
          <w:rFonts w:eastAsia="Calibri"/>
        </w:rPr>
        <w:t>5, 145</w:t>
      </w:r>
      <w:r w:rsidR="009C5CA4" w:rsidRPr="009118AB">
        <w:rPr>
          <w:rFonts w:eastAsia="Calibri"/>
          <w:vertAlign w:val="superscript"/>
        </w:rPr>
        <w:t>26/1</w:t>
      </w:r>
      <w:r w:rsidR="009C5CA4" w:rsidRPr="009118AB">
        <w:rPr>
          <w:rFonts w:eastAsia="Calibri"/>
        </w:rPr>
        <w:t xml:space="preserve"> </w:t>
      </w:r>
      <w:r w:rsidR="00D67EB8" w:rsidRPr="009118AB">
        <w:rPr>
          <w:rFonts w:eastAsia="Calibri"/>
        </w:rPr>
        <w:t>§ </w:t>
      </w:r>
      <w:r w:rsidR="009C5CA4" w:rsidRPr="009118AB">
        <w:rPr>
          <w:rFonts w:eastAsia="Calibri"/>
        </w:rPr>
        <w:t>3</w:t>
      </w:r>
      <w:r w:rsidR="00F60A52" w:rsidRPr="009118AB">
        <w:t>]</w:t>
      </w:r>
      <w:r w:rsidRPr="009118AB">
        <w:t xml:space="preserve">, </w:t>
      </w:r>
      <w:r w:rsidR="00B51AC9" w:rsidRPr="009118AB">
        <w:t>[</w:t>
      </w:r>
      <w:r w:rsidR="00B51AC9" w:rsidRPr="009118AB">
        <w:rPr>
          <w:rFonts w:eastAsia="Calibri"/>
        </w:rPr>
        <w:t>145</w:t>
      </w:r>
      <w:r w:rsidR="00B51AC9" w:rsidRPr="009118AB">
        <w:rPr>
          <w:rFonts w:eastAsia="Calibri"/>
          <w:vertAlign w:val="superscript"/>
        </w:rPr>
        <w:t>27</w:t>
      </w:r>
      <w:r w:rsidR="00B51AC9" w:rsidRPr="009118AB">
        <w:rPr>
          <w:rFonts w:eastAsia="Calibri"/>
        </w:rPr>
        <w:t xml:space="preserve"> </w:t>
      </w:r>
      <w:r w:rsidR="00D67EB8" w:rsidRPr="009118AB">
        <w:rPr>
          <w:rFonts w:eastAsia="Calibri"/>
        </w:rPr>
        <w:t>§ </w:t>
      </w:r>
      <w:r w:rsidR="00B51AC9" w:rsidRPr="009118AB">
        <w:rPr>
          <w:rFonts w:eastAsia="Calibri"/>
        </w:rPr>
        <w:t>4, 145</w:t>
      </w:r>
      <w:r w:rsidR="00B51AC9" w:rsidRPr="009118AB">
        <w:rPr>
          <w:rFonts w:eastAsia="Calibri"/>
          <w:vertAlign w:val="superscript"/>
        </w:rPr>
        <w:t>32</w:t>
      </w:r>
      <w:r w:rsidR="00B51AC9" w:rsidRPr="009118AB">
        <w:rPr>
          <w:rFonts w:eastAsia="Calibri"/>
        </w:rPr>
        <w:t xml:space="preserve"> </w:t>
      </w:r>
      <w:r w:rsidR="00D67EB8" w:rsidRPr="009118AB">
        <w:rPr>
          <w:rFonts w:eastAsia="Calibri"/>
        </w:rPr>
        <w:t>§ </w:t>
      </w:r>
      <w:r w:rsidR="00B51AC9" w:rsidRPr="009118AB">
        <w:rPr>
          <w:rFonts w:eastAsia="Calibri"/>
        </w:rPr>
        <w:t>2, 157</w:t>
      </w:r>
      <w:r w:rsidR="00B51AC9" w:rsidRPr="009118AB">
        <w:t>]</w:t>
      </w:r>
      <w:r w:rsidRPr="009118AB">
        <w:t xml:space="preserve">, 158, </w:t>
      </w:r>
      <w:r w:rsidR="00B76D50" w:rsidRPr="009118AB">
        <w:t>[</w:t>
      </w:r>
      <w:r w:rsidRPr="009118AB">
        <w:t>165</w:t>
      </w:r>
      <w:r w:rsidR="00B76D50" w:rsidRPr="009118AB">
        <w:t>, 168/1</w:t>
      </w:r>
      <w:r w:rsidRPr="009118AB">
        <w:t xml:space="preserve"> und 175</w:t>
      </w:r>
      <w:r w:rsidR="00B76D50" w:rsidRPr="009118AB">
        <w:t>]</w:t>
      </w:r>
      <w:r w:rsidRPr="009118AB">
        <w:t xml:space="preserve"> die gemäß den Artikeln 130 bis 145</w:t>
      </w:r>
      <w:r w:rsidRPr="009118AB">
        <w:rPr>
          <w:vertAlign w:val="superscript"/>
        </w:rPr>
        <w:t>6</w:t>
      </w:r>
      <w:r w:rsidRPr="009118AB">
        <w:t>, 145</w:t>
      </w:r>
      <w:r w:rsidRPr="009118AB">
        <w:rPr>
          <w:vertAlign w:val="superscript"/>
        </w:rPr>
        <w:t>7</w:t>
      </w:r>
      <w:r w:rsidRPr="009118AB">
        <w:t xml:space="preserve"> </w:t>
      </w:r>
      <w:r w:rsidR="00D67EB8" w:rsidRPr="009118AB">
        <w:t>§ </w:t>
      </w:r>
      <w:r w:rsidRPr="009118AB">
        <w:t>1, 145</w:t>
      </w:r>
      <w:r w:rsidRPr="009118AB">
        <w:rPr>
          <w:vertAlign w:val="superscript"/>
        </w:rPr>
        <w:t>8</w:t>
      </w:r>
      <w:r w:rsidRPr="009118AB">
        <w:t xml:space="preserve"> bis 145</w:t>
      </w:r>
      <w:r w:rsidRPr="009118AB">
        <w:rPr>
          <w:vertAlign w:val="superscript"/>
        </w:rPr>
        <w:t>16</w:t>
      </w:r>
      <w:r w:rsidRPr="009118AB">
        <w:t>, 145</w:t>
      </w:r>
      <w:r w:rsidRPr="009118AB">
        <w:rPr>
          <w:vertAlign w:val="superscript"/>
        </w:rPr>
        <w:t>24</w:t>
      </w:r>
      <w:r w:rsidRPr="009118AB">
        <w:t xml:space="preserve">, </w:t>
      </w:r>
      <w:r w:rsidR="00F60A52" w:rsidRPr="009118AB">
        <w:t>[</w:t>
      </w:r>
      <w:r w:rsidR="009C5CA4" w:rsidRPr="009118AB">
        <w:t>[</w:t>
      </w:r>
      <w:r w:rsidR="009C5CA4" w:rsidRPr="009118AB">
        <w:rPr>
          <w:rFonts w:eastAsia="Calibri"/>
        </w:rPr>
        <w:t>145</w:t>
      </w:r>
      <w:r w:rsidR="009C5CA4" w:rsidRPr="009118AB">
        <w:rPr>
          <w:rFonts w:eastAsia="Calibri"/>
          <w:vertAlign w:val="superscript"/>
        </w:rPr>
        <w:t>26</w:t>
      </w:r>
      <w:r w:rsidR="009C5CA4" w:rsidRPr="009118AB">
        <w:rPr>
          <w:rFonts w:eastAsia="Calibri"/>
        </w:rPr>
        <w:t xml:space="preserve"> §</w:t>
      </w:r>
      <w:r w:rsidR="00D67EB8" w:rsidRPr="009118AB">
        <w:rPr>
          <w:rFonts w:eastAsia="Calibri"/>
        </w:rPr>
        <w:t>§ </w:t>
      </w:r>
      <w:r w:rsidR="009C5CA4" w:rsidRPr="009118AB">
        <w:rPr>
          <w:rFonts w:eastAsia="Calibri"/>
        </w:rPr>
        <w:t>1 bis 4, 145</w:t>
      </w:r>
      <w:r w:rsidR="009C5CA4" w:rsidRPr="009118AB">
        <w:rPr>
          <w:rFonts w:eastAsia="Calibri"/>
          <w:vertAlign w:val="superscript"/>
        </w:rPr>
        <w:t>26/1</w:t>
      </w:r>
      <w:r w:rsidR="009C5CA4" w:rsidRPr="009118AB">
        <w:rPr>
          <w:rFonts w:eastAsia="Calibri"/>
        </w:rPr>
        <w:t xml:space="preserve"> §</w:t>
      </w:r>
      <w:r w:rsidR="00D67EB8" w:rsidRPr="009118AB">
        <w:rPr>
          <w:rFonts w:eastAsia="Calibri"/>
        </w:rPr>
        <w:t>§ </w:t>
      </w:r>
      <w:r w:rsidR="009C5CA4" w:rsidRPr="009118AB">
        <w:rPr>
          <w:rFonts w:eastAsia="Calibri"/>
        </w:rPr>
        <w:t>1 und 2</w:t>
      </w:r>
      <w:r w:rsidR="009C5CA4" w:rsidRPr="009118AB">
        <w:t>]</w:t>
      </w:r>
      <w:r w:rsidR="00F60A52" w:rsidRPr="009118AB">
        <w:t xml:space="preserve">, </w:t>
      </w:r>
      <w:r w:rsidR="00B51AC9" w:rsidRPr="009118AB">
        <w:t>[</w:t>
      </w:r>
      <w:r w:rsidR="00B51AC9" w:rsidRPr="009118AB">
        <w:rPr>
          <w:rFonts w:eastAsia="Calibri"/>
        </w:rPr>
        <w:t>145</w:t>
      </w:r>
      <w:r w:rsidR="00B51AC9" w:rsidRPr="009118AB">
        <w:rPr>
          <w:rFonts w:eastAsia="Calibri"/>
          <w:vertAlign w:val="superscript"/>
        </w:rPr>
        <w:t>27</w:t>
      </w:r>
      <w:r w:rsidR="00B51AC9" w:rsidRPr="009118AB">
        <w:rPr>
          <w:rFonts w:eastAsia="Calibri"/>
        </w:rPr>
        <w:t xml:space="preserve"> §</w:t>
      </w:r>
      <w:r w:rsidR="00D67EB8" w:rsidRPr="009118AB">
        <w:rPr>
          <w:rFonts w:eastAsia="Calibri"/>
        </w:rPr>
        <w:t>§ </w:t>
      </w:r>
      <w:r w:rsidR="00B51AC9" w:rsidRPr="009118AB">
        <w:rPr>
          <w:rFonts w:eastAsia="Calibri"/>
        </w:rPr>
        <w:t>1 bis 3, 145</w:t>
      </w:r>
      <w:r w:rsidR="00B51AC9" w:rsidRPr="009118AB">
        <w:rPr>
          <w:rFonts w:eastAsia="Calibri"/>
          <w:vertAlign w:val="superscript"/>
        </w:rPr>
        <w:t>28</w:t>
      </w:r>
      <w:r w:rsidR="00B51AC9" w:rsidRPr="009118AB">
        <w:rPr>
          <w:rFonts w:eastAsia="Calibri"/>
        </w:rPr>
        <w:t>, 145</w:t>
      </w:r>
      <w:r w:rsidR="00B51AC9" w:rsidRPr="009118AB">
        <w:rPr>
          <w:rFonts w:eastAsia="Calibri"/>
          <w:vertAlign w:val="superscript"/>
        </w:rPr>
        <w:t>32</w:t>
      </w:r>
      <w:r w:rsidR="00B51AC9" w:rsidRPr="009118AB">
        <w:rPr>
          <w:rFonts w:eastAsia="Calibri"/>
        </w:rPr>
        <w:t xml:space="preserve"> </w:t>
      </w:r>
      <w:r w:rsidR="00D67EB8" w:rsidRPr="009118AB">
        <w:rPr>
          <w:rFonts w:eastAsia="Calibri"/>
        </w:rPr>
        <w:t>§ </w:t>
      </w:r>
      <w:r w:rsidR="00B51AC9" w:rsidRPr="009118AB">
        <w:rPr>
          <w:rFonts w:eastAsia="Calibri"/>
        </w:rPr>
        <w:t>1</w:t>
      </w:r>
      <w:r w:rsidR="00B51AC9" w:rsidRPr="009118AB">
        <w:t>]</w:t>
      </w:r>
      <w:r w:rsidR="00F60A52" w:rsidRPr="009118AB">
        <w:t>]</w:t>
      </w:r>
      <w:r w:rsidRPr="009118AB">
        <w:t>, 145</w:t>
      </w:r>
      <w:r w:rsidRPr="009118AB">
        <w:rPr>
          <w:vertAlign w:val="superscript"/>
        </w:rPr>
        <w:t>33</w:t>
      </w:r>
      <w:r w:rsidRPr="009118AB">
        <w:t xml:space="preserve"> </w:t>
      </w:r>
      <w:r w:rsidR="00793869" w:rsidRPr="009118AB">
        <w:t>[bis 145</w:t>
      </w:r>
      <w:r w:rsidR="00793869" w:rsidRPr="009118AB">
        <w:rPr>
          <w:vertAlign w:val="superscript"/>
        </w:rPr>
        <w:t>35</w:t>
      </w:r>
      <w:r w:rsidR="00793869" w:rsidRPr="009118AB">
        <w:t xml:space="preserve">, </w:t>
      </w:r>
      <w:r w:rsidR="00642026" w:rsidRPr="009118AB">
        <w:t>[</w:t>
      </w:r>
      <w:r w:rsidR="00642026" w:rsidRPr="009118AB">
        <w:rPr>
          <w:rFonts w:eastAsia="Calibri"/>
          <w:szCs w:val="22"/>
          <w:lang w:eastAsia="en-US"/>
        </w:rPr>
        <w:t>145</w:t>
      </w:r>
      <w:r w:rsidR="00642026" w:rsidRPr="009118AB">
        <w:rPr>
          <w:rFonts w:eastAsia="Calibri"/>
          <w:szCs w:val="22"/>
          <w:vertAlign w:val="superscript"/>
          <w:lang w:eastAsia="en-US"/>
        </w:rPr>
        <w:t>48</w:t>
      </w:r>
      <w:r w:rsidR="00642026" w:rsidRPr="009118AB">
        <w:rPr>
          <w:rFonts w:eastAsia="Calibri"/>
          <w:szCs w:val="22"/>
          <w:lang w:eastAsia="en-US"/>
        </w:rPr>
        <w:t>, 145</w:t>
      </w:r>
      <w:r w:rsidR="00642026" w:rsidRPr="009118AB">
        <w:rPr>
          <w:rFonts w:eastAsia="Calibri"/>
          <w:szCs w:val="22"/>
          <w:vertAlign w:val="superscript"/>
          <w:lang w:eastAsia="en-US"/>
        </w:rPr>
        <w:t>50</w:t>
      </w:r>
      <w:r w:rsidR="00642026" w:rsidRPr="009118AB">
        <w:rPr>
          <w:rFonts w:eastAsia="Calibri"/>
          <w:szCs w:val="22"/>
          <w:lang w:eastAsia="en-US"/>
        </w:rPr>
        <w:t>, 154</w:t>
      </w:r>
      <w:r w:rsidR="00642026" w:rsidRPr="009118AB">
        <w:rPr>
          <w:rFonts w:eastAsia="Calibri"/>
          <w:i/>
          <w:iCs/>
          <w:szCs w:val="22"/>
          <w:lang w:eastAsia="en-US"/>
        </w:rPr>
        <w:t>bis</w:t>
      </w:r>
      <w:r w:rsidR="00642026" w:rsidRPr="009118AB">
        <w:t>]]</w:t>
      </w:r>
      <w:r w:rsidRPr="009118AB">
        <w:t>, 169 und 171 bis 178/1 berechnete Steuer als Gesamtsteuer gilt.]</w:t>
      </w:r>
    </w:p>
    <w:p w14:paraId="54A40776" w14:textId="77777777" w:rsidR="001D370F" w:rsidRPr="009118AB" w:rsidRDefault="001D370F" w:rsidP="001D370F">
      <w:pPr>
        <w:autoSpaceDE w:val="0"/>
        <w:autoSpaceDN w:val="0"/>
        <w:adjustRightInd w:val="0"/>
        <w:jc w:val="both"/>
      </w:pPr>
    </w:p>
    <w:p w14:paraId="33BF20E5" w14:textId="0BDD5AC7" w:rsidR="001D370F" w:rsidRPr="009118AB" w:rsidRDefault="001D370F" w:rsidP="001D370F">
      <w:pPr>
        <w:autoSpaceDE w:val="0"/>
        <w:autoSpaceDN w:val="0"/>
        <w:adjustRightInd w:val="0"/>
        <w:jc w:val="both"/>
        <w:rPr>
          <w:rFonts w:ascii="Times New Roman Italique" w:hAnsi="Times New Roman Italique"/>
          <w:i/>
          <w:iCs/>
          <w:spacing w:val="-2"/>
        </w:rPr>
      </w:pPr>
      <w:r w:rsidRPr="009118AB">
        <w:rPr>
          <w:i/>
        </w:rPr>
        <w:t>[</w:t>
      </w:r>
      <w:r w:rsidR="00D67EB8" w:rsidRPr="009118AB">
        <w:rPr>
          <w:i/>
        </w:rPr>
        <w:t>Art. </w:t>
      </w:r>
      <w:r w:rsidRPr="009118AB">
        <w:rPr>
          <w:i/>
        </w:rPr>
        <w:t xml:space="preserve">243/1 eingefügt durch </w:t>
      </w:r>
      <w:r w:rsidR="00D67EB8" w:rsidRPr="009118AB">
        <w:rPr>
          <w:i/>
        </w:rPr>
        <w:t>Art. </w:t>
      </w:r>
      <w:r w:rsidRPr="009118AB">
        <w:rPr>
          <w:i/>
        </w:rPr>
        <w:t>76 des G. vom 8. Mai 2014 (B.S. vom 28. Mai 2014)</w:t>
      </w:r>
      <w:r w:rsidR="00D67EB8" w:rsidRPr="009118AB">
        <w:rPr>
          <w:i/>
        </w:rPr>
        <w:t> - </w:t>
      </w:r>
      <w:r w:rsidRPr="009118AB">
        <w:rPr>
          <w:i/>
          <w:iCs/>
        </w:rPr>
        <w:t xml:space="preserve">anwendbar ab dem Steuerjahr 2015 </w:t>
      </w:r>
      <w:r w:rsidR="00EE479D" w:rsidRPr="009118AB">
        <w:rPr>
          <w:i/>
          <w:iCs/>
        </w:rPr>
        <w:t>und</w:t>
      </w:r>
      <w:r w:rsidR="00D67EB8" w:rsidRPr="009118AB">
        <w:rPr>
          <w:i/>
          <w:iCs/>
        </w:rPr>
        <w:t> - </w:t>
      </w:r>
      <w:r w:rsidR="00EE479D" w:rsidRPr="009118AB">
        <w:rPr>
          <w:i/>
          <w:iCs/>
        </w:rPr>
        <w:t>in Bezug auf die Anwendung des Berufssteuervorabzugs</w:t>
      </w:r>
      <w:r w:rsidR="00D67EB8" w:rsidRPr="009118AB">
        <w:rPr>
          <w:i/>
          <w:iCs/>
        </w:rPr>
        <w:t> - </w:t>
      </w:r>
      <w:r w:rsidR="00EE479D" w:rsidRPr="009118AB">
        <w:rPr>
          <w:i/>
          <w:iCs/>
        </w:rPr>
        <w:t xml:space="preserve">auf Berufseinkünfte und Unterhaltsleistungen, die ab dem </w:t>
      </w:r>
      <w:r w:rsidR="00EE479D" w:rsidRPr="009118AB">
        <w:rPr>
          <w:rFonts w:ascii="Times New Roman Italique" w:hAnsi="Times New Roman Italique"/>
          <w:i/>
          <w:iCs/>
          <w:spacing w:val="-2"/>
        </w:rPr>
        <w:t xml:space="preserve">1. Juli 2014 </w:t>
      </w:r>
      <w:r w:rsidR="00EE479D" w:rsidRPr="009118AB">
        <w:rPr>
          <w:rFonts w:ascii="Times New Roman Italique" w:hAnsi="Times New Roman Italique"/>
          <w:i/>
          <w:iCs/>
          <w:spacing w:val="-2"/>
        </w:rPr>
        <w:lastRenderedPageBreak/>
        <w:t>gezahlt oder zuerkannt werden</w:t>
      </w:r>
      <w:r w:rsidR="003366D9" w:rsidRPr="009118AB">
        <w:rPr>
          <w:rFonts w:ascii="Times New Roman Italique" w:hAnsi="Times New Roman Italique"/>
          <w:i/>
          <w:iCs/>
          <w:spacing w:val="-2"/>
        </w:rPr>
        <w:t> -;</w:t>
      </w:r>
      <w:r w:rsidR="005A5A87" w:rsidRPr="009118AB">
        <w:rPr>
          <w:rFonts w:ascii="Times New Roman Italique" w:hAnsi="Times New Roman Italique"/>
          <w:i/>
          <w:iCs/>
          <w:spacing w:val="-2"/>
        </w:rPr>
        <w:t xml:space="preserve"> einziger Absatz einleitende Bestimmung abgeändert durch </w:t>
      </w:r>
      <w:r w:rsidR="00D67EB8" w:rsidRPr="009118AB">
        <w:rPr>
          <w:rFonts w:ascii="Times New Roman Italique" w:hAnsi="Times New Roman Italique"/>
          <w:i/>
          <w:iCs/>
          <w:spacing w:val="-2"/>
        </w:rPr>
        <w:t>Art. </w:t>
      </w:r>
      <w:r w:rsidR="005A5A87" w:rsidRPr="009118AB">
        <w:rPr>
          <w:rFonts w:ascii="Times New Roman Italique" w:hAnsi="Times New Roman Italique"/>
          <w:i/>
          <w:iCs/>
          <w:spacing w:val="-2"/>
        </w:rPr>
        <w:t xml:space="preserve">53 </w:t>
      </w:r>
      <w:r w:rsidR="00D67EB8" w:rsidRPr="009118AB">
        <w:rPr>
          <w:rFonts w:ascii="Times New Roman Italique" w:hAnsi="Times New Roman Italique"/>
          <w:i/>
          <w:iCs/>
          <w:spacing w:val="-2"/>
        </w:rPr>
        <w:t>Nr. </w:t>
      </w:r>
      <w:r w:rsidR="005A5A87" w:rsidRPr="009118AB">
        <w:rPr>
          <w:rFonts w:ascii="Times New Roman Italique" w:hAnsi="Times New Roman Italique"/>
          <w:i/>
          <w:iCs/>
          <w:spacing w:val="-2"/>
        </w:rPr>
        <w:t>1 des G. vom 10. August 2015 (B.S. vom 18. August 2015)</w:t>
      </w:r>
      <w:r w:rsidR="00D67EB8" w:rsidRPr="009118AB">
        <w:rPr>
          <w:rFonts w:ascii="Times New Roman Italique" w:hAnsi="Times New Roman Italique"/>
          <w:i/>
          <w:iCs/>
          <w:spacing w:val="-2"/>
        </w:rPr>
        <w:t> - </w:t>
      </w:r>
      <w:r w:rsidR="005A5A87" w:rsidRPr="009118AB">
        <w:rPr>
          <w:rFonts w:ascii="Times New Roman Italique" w:hAnsi="Times New Roman Italique"/>
          <w:i/>
          <w:iCs/>
          <w:spacing w:val="-2"/>
        </w:rPr>
        <w:t>anwendbar ab dem Steuerjahr 2016</w:t>
      </w:r>
      <w:r w:rsidR="00FD68E8" w:rsidRPr="009118AB">
        <w:rPr>
          <w:rFonts w:ascii="Times New Roman Italique" w:hAnsi="Times New Roman Italique"/>
          <w:i/>
          <w:iCs/>
          <w:spacing w:val="-2"/>
        </w:rPr>
        <w:t> -,</w:t>
      </w:r>
      <w:r w:rsidR="00793869"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793869" w:rsidRPr="009118AB">
        <w:rPr>
          <w:rFonts w:ascii="Times New Roman Italique" w:hAnsi="Times New Roman Italique" w:hint="eastAsia"/>
          <w:i/>
          <w:iCs/>
          <w:spacing w:val="-2"/>
        </w:rPr>
        <w:t>7</w:t>
      </w:r>
      <w:r w:rsidR="00793869"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Nr. </w:t>
      </w:r>
      <w:r w:rsidR="00793869" w:rsidRPr="009118AB">
        <w:rPr>
          <w:rFonts w:ascii="Times New Roman Italique" w:hAnsi="Times New Roman Italique" w:hint="eastAsia"/>
          <w:i/>
          <w:iCs/>
          <w:spacing w:val="-2"/>
        </w:rPr>
        <w:t>1</w:t>
      </w:r>
      <w:r w:rsidR="00793869" w:rsidRPr="009118AB">
        <w:rPr>
          <w:i/>
        </w:rPr>
        <w:t xml:space="preserve"> des G. vom 11. März </w:t>
      </w:r>
      <w:r w:rsidR="008C680C" w:rsidRPr="009118AB">
        <w:rPr>
          <w:i/>
        </w:rPr>
        <w:t>2018 (B.S. vom 23. März 2018)</w:t>
      </w:r>
      <w:r w:rsidR="00D67EB8" w:rsidRPr="009118AB">
        <w:rPr>
          <w:i/>
        </w:rPr>
        <w:t> - </w:t>
      </w:r>
      <w:r w:rsidR="00793869" w:rsidRPr="009118AB">
        <w:rPr>
          <w:i/>
        </w:rPr>
        <w:t>anwendbar ab dem Steuerjahr 2019</w:t>
      </w:r>
      <w:r w:rsidR="00FD68E8" w:rsidRPr="009118AB">
        <w:rPr>
          <w:i/>
        </w:rPr>
        <w:t> -,</w:t>
      </w:r>
      <w:r w:rsidR="00B51AC9" w:rsidRPr="009118AB">
        <w:rPr>
          <w:i/>
        </w:rPr>
        <w:t xml:space="preserve"> </w:t>
      </w:r>
      <w:r w:rsidR="00D67EB8" w:rsidRPr="009118AB">
        <w:rPr>
          <w:i/>
        </w:rPr>
        <w:t>Art. </w:t>
      </w:r>
      <w:r w:rsidR="00B51AC9" w:rsidRPr="009118AB">
        <w:rPr>
          <w:i/>
        </w:rPr>
        <w:t xml:space="preserve">35 </w:t>
      </w:r>
      <w:r w:rsidR="00D67EB8" w:rsidRPr="009118AB">
        <w:rPr>
          <w:i/>
        </w:rPr>
        <w:t>Nr. </w:t>
      </w:r>
      <w:r w:rsidR="00B51AC9" w:rsidRPr="009118AB">
        <w:rPr>
          <w:i/>
        </w:rPr>
        <w:t xml:space="preserve">1 </w:t>
      </w:r>
      <w:r w:rsidR="00B51AC9" w:rsidRPr="009118AB">
        <w:rPr>
          <w:i/>
          <w:iCs/>
        </w:rPr>
        <w:t>des G. vom 26. März 2018 (B.S. vom 30. März 2018)</w:t>
      </w:r>
      <w:r w:rsidR="00D67EB8" w:rsidRPr="009118AB">
        <w:rPr>
          <w:i/>
          <w:iCs/>
        </w:rPr>
        <w:t> - </w:t>
      </w:r>
      <w:r w:rsidR="00B51AC9" w:rsidRPr="009118AB">
        <w:rPr>
          <w:i/>
          <w:iCs/>
        </w:rPr>
        <w:t>wirksam ab dem Steuerjahr 2019</w:t>
      </w:r>
      <w:r w:rsidR="00FD68E8" w:rsidRPr="009118AB">
        <w:rPr>
          <w:i/>
          <w:iCs/>
        </w:rPr>
        <w:t> -,</w:t>
      </w:r>
      <w:r w:rsidR="00C030D3" w:rsidRPr="009118AB">
        <w:rPr>
          <w:i/>
          <w:iCs/>
        </w:rPr>
        <w:t xml:space="preserve"> </w:t>
      </w:r>
      <w:r w:rsidR="00D67EB8" w:rsidRPr="009118AB">
        <w:rPr>
          <w:i/>
          <w:iCs/>
        </w:rPr>
        <w:t>Art. </w:t>
      </w:r>
      <w:r w:rsidR="00C030D3" w:rsidRPr="009118AB">
        <w:rPr>
          <w:i/>
          <w:iCs/>
        </w:rPr>
        <w:t xml:space="preserve">30 </w:t>
      </w:r>
      <w:r w:rsidR="00D67EB8" w:rsidRPr="009118AB">
        <w:rPr>
          <w:i/>
          <w:iCs/>
        </w:rPr>
        <w:t>Nr. </w:t>
      </w:r>
      <w:r w:rsidR="00C030D3" w:rsidRPr="009118AB">
        <w:rPr>
          <w:i/>
          <w:iCs/>
        </w:rPr>
        <w:t>1</w:t>
      </w:r>
      <w:r w:rsidR="00C030D3" w:rsidRPr="009118AB">
        <w:rPr>
          <w:i/>
        </w:rPr>
        <w:t xml:space="preserve"> des G. vom 7. April 2019 (I) (B.S. vom 19. April 2019)</w:t>
      </w:r>
      <w:r w:rsidR="00642026" w:rsidRPr="009118AB">
        <w:rPr>
          <w:i/>
        </w:rPr>
        <w:t>,</w:t>
      </w:r>
      <w:r w:rsidR="00CD7EC2" w:rsidRPr="009118AB">
        <w:rPr>
          <w:i/>
        </w:rPr>
        <w:t xml:space="preserve"> </w:t>
      </w:r>
      <w:r w:rsidR="00D67EB8" w:rsidRPr="009118AB">
        <w:rPr>
          <w:i/>
        </w:rPr>
        <w:t>Art. </w:t>
      </w:r>
      <w:r w:rsidR="00CD7EC2" w:rsidRPr="009118AB">
        <w:rPr>
          <w:i/>
        </w:rPr>
        <w:t xml:space="preserve">13 </w:t>
      </w:r>
      <w:r w:rsidR="00D67EB8" w:rsidRPr="009118AB">
        <w:rPr>
          <w:i/>
        </w:rPr>
        <w:t>Nr. </w:t>
      </w:r>
      <w:r w:rsidR="00CD7EC2" w:rsidRPr="009118AB">
        <w:rPr>
          <w:i/>
        </w:rPr>
        <w:t>1</w:t>
      </w:r>
      <w:r w:rsidR="00CD7EC2" w:rsidRPr="009118AB">
        <w:rPr>
          <w:i/>
          <w:iCs/>
        </w:rPr>
        <w:t xml:space="preserve"> des G. vom 23. Juni 2020 (B.S. vom 1. Juli 2020)</w:t>
      </w:r>
      <w:r w:rsidR="00B90C34" w:rsidRPr="009118AB">
        <w:rPr>
          <w:i/>
          <w:iCs/>
        </w:rPr>
        <w:t>,</w:t>
      </w:r>
      <w:r w:rsidR="00642026" w:rsidRPr="009118AB">
        <w:rPr>
          <w:i/>
          <w:iCs/>
        </w:rPr>
        <w:t xml:space="preserve"> </w:t>
      </w:r>
      <w:r w:rsidR="00D67EB8" w:rsidRPr="009118AB">
        <w:rPr>
          <w:i/>
          <w:iCs/>
        </w:rPr>
        <w:t>Art. </w:t>
      </w:r>
      <w:r w:rsidR="00642026" w:rsidRPr="009118AB">
        <w:rPr>
          <w:i/>
          <w:iCs/>
        </w:rPr>
        <w:t xml:space="preserve">19 </w:t>
      </w:r>
      <w:r w:rsidR="00D67EB8" w:rsidRPr="009118AB">
        <w:rPr>
          <w:i/>
          <w:iCs/>
        </w:rPr>
        <w:t>Nr. </w:t>
      </w:r>
      <w:r w:rsidR="002144F3" w:rsidRPr="009118AB">
        <w:rPr>
          <w:i/>
          <w:iCs/>
        </w:rPr>
        <w:t>1</w:t>
      </w:r>
      <w:r w:rsidR="00642026" w:rsidRPr="009118AB">
        <w:rPr>
          <w:i/>
          <w:iCs/>
        </w:rPr>
        <w:t> </w:t>
      </w:r>
      <w:r w:rsidR="00642026" w:rsidRPr="009118AB">
        <w:rPr>
          <w:rFonts w:eastAsia="Calibri"/>
          <w:i/>
          <w:iCs/>
          <w:lang w:eastAsia="en-US"/>
        </w:rPr>
        <w:t>des G. vom 25. November 2021 (B.S. vom 3. Dezember 2021)</w:t>
      </w:r>
      <w:r w:rsidR="00D67EB8" w:rsidRPr="009118AB">
        <w:rPr>
          <w:rFonts w:eastAsia="Calibri"/>
          <w:i/>
          <w:iCs/>
          <w:lang w:eastAsia="en-US"/>
        </w:rPr>
        <w:t> - </w:t>
      </w:r>
      <w:r w:rsidR="00642026" w:rsidRPr="009118AB">
        <w:rPr>
          <w:rFonts w:eastAsia="Calibri"/>
          <w:i/>
          <w:iCs/>
          <w:lang w:eastAsia="en-US"/>
        </w:rPr>
        <w:t>wirksam mit 1. September 2021</w:t>
      </w:r>
      <w:r w:rsidR="003366D9" w:rsidRPr="009118AB">
        <w:rPr>
          <w:rFonts w:eastAsia="Calibri"/>
          <w:i/>
          <w:iCs/>
          <w:lang w:eastAsia="en-US"/>
        </w:rPr>
        <w:t> -</w:t>
      </w:r>
      <w:r w:rsidR="00B90C34" w:rsidRPr="009118AB">
        <w:rPr>
          <w:rFonts w:eastAsia="Calibri"/>
          <w:i/>
          <w:iCs/>
          <w:lang w:eastAsia="en-US"/>
        </w:rPr>
        <w:t xml:space="preserve"> und Art. 14 des G. vom 31. Juli 2023 (II) (B.S. vom 23. August 2023)</w:t>
      </w:r>
      <w:r w:rsidR="003366D9" w:rsidRPr="009118AB">
        <w:rPr>
          <w:rFonts w:eastAsia="Calibri"/>
          <w:i/>
          <w:iCs/>
          <w:lang w:eastAsia="en-US"/>
        </w:rPr>
        <w:t>;</w:t>
      </w:r>
      <w:r w:rsidR="005A5A87" w:rsidRPr="009118AB">
        <w:rPr>
          <w:rFonts w:ascii="Times New Roman Italique" w:hAnsi="Times New Roman Italique"/>
          <w:i/>
          <w:iCs/>
          <w:spacing w:val="-2"/>
        </w:rPr>
        <w:t xml:space="preserve"> </w:t>
      </w:r>
      <w:r w:rsidR="00107B70" w:rsidRPr="009118AB">
        <w:rPr>
          <w:rFonts w:ascii="Times New Roman Italique" w:hAnsi="Times New Roman Italique"/>
          <w:i/>
          <w:iCs/>
          <w:spacing w:val="-2"/>
        </w:rPr>
        <w:t xml:space="preserve">einziger Absatz </w:t>
      </w:r>
      <w:r w:rsidR="00D67EB8" w:rsidRPr="009118AB">
        <w:rPr>
          <w:rFonts w:ascii="Times New Roman Italique" w:hAnsi="Times New Roman Italique"/>
          <w:i/>
          <w:iCs/>
          <w:spacing w:val="-2"/>
        </w:rPr>
        <w:t>Nr. </w:t>
      </w:r>
      <w:r w:rsidR="00107B70" w:rsidRPr="009118AB">
        <w:rPr>
          <w:rFonts w:ascii="Times New Roman Italique" w:hAnsi="Times New Roman Italique"/>
          <w:i/>
          <w:iCs/>
          <w:spacing w:val="-2"/>
        </w:rPr>
        <w:t xml:space="preserve">1bis eingefügt durch </w:t>
      </w:r>
      <w:r w:rsidR="00D67EB8" w:rsidRPr="009118AB">
        <w:rPr>
          <w:rFonts w:ascii="Times New Roman Italique" w:hAnsi="Times New Roman Italique"/>
          <w:i/>
          <w:iCs/>
          <w:spacing w:val="-2"/>
        </w:rPr>
        <w:t>Art. </w:t>
      </w:r>
      <w:r w:rsidR="00107B70" w:rsidRPr="009118AB">
        <w:rPr>
          <w:rFonts w:ascii="Times New Roman Italique" w:hAnsi="Times New Roman Italique"/>
          <w:i/>
          <w:iCs/>
          <w:spacing w:val="-2"/>
        </w:rPr>
        <w:t>3</w:t>
      </w:r>
      <w:r w:rsidR="00107B70" w:rsidRPr="009118AB">
        <w:rPr>
          <w:i/>
        </w:rPr>
        <w:t xml:space="preserve"> des G. vom 25. Dezember 2016 (III) (B.S. vom 30. Dezember 2016)</w:t>
      </w:r>
      <w:r w:rsidR="00D67EB8" w:rsidRPr="009118AB">
        <w:rPr>
          <w:i/>
        </w:rPr>
        <w:t> - </w:t>
      </w:r>
      <w:r w:rsidR="00107B70" w:rsidRPr="009118AB">
        <w:rPr>
          <w:i/>
        </w:rPr>
        <w:t>anwendbar ab dem Steuerjahr, das sich auf den Besteuerungszeitraum bezieht, der am 1. Januar 2017 beginnt</w:t>
      </w:r>
      <w:r w:rsidR="00FD68E8" w:rsidRPr="009118AB">
        <w:rPr>
          <w:i/>
        </w:rPr>
        <w:t> -,</w:t>
      </w:r>
      <w:r w:rsidR="00C52B48" w:rsidRPr="009118AB">
        <w:rPr>
          <w:i/>
        </w:rPr>
        <w:t xml:space="preserve"> ersetzt durch </w:t>
      </w:r>
      <w:r w:rsidR="00D67EB8" w:rsidRPr="009118AB">
        <w:rPr>
          <w:i/>
        </w:rPr>
        <w:t>Art. </w:t>
      </w:r>
      <w:r w:rsidR="00C52B48" w:rsidRPr="009118AB">
        <w:rPr>
          <w:i/>
        </w:rPr>
        <w:t>124 Buchstabe a)</w:t>
      </w:r>
      <w:r w:rsidR="00C52B48" w:rsidRPr="009118AB">
        <w:rPr>
          <w:i/>
          <w:iCs/>
        </w:rPr>
        <w:t xml:space="preserve"> des G. vom 25. Dezember 2017 (IV) (B.S. vom 29. Dezember 2017)</w:t>
      </w:r>
      <w:r w:rsidR="00D67EB8" w:rsidRPr="009118AB">
        <w:rPr>
          <w:i/>
          <w:iCs/>
        </w:rPr>
        <w:t> - </w:t>
      </w:r>
      <w:r w:rsidR="00C52B48" w:rsidRPr="009118AB">
        <w:rPr>
          <w:i/>
          <w:iCs/>
        </w:rPr>
        <w:t>anwendbar ab dem Steuerjahr 2018</w:t>
      </w:r>
      <w:r w:rsidR="00D67EB8" w:rsidRPr="009118AB">
        <w:rPr>
          <w:i/>
          <w:iCs/>
        </w:rPr>
        <w:t> - </w:t>
      </w:r>
      <w:r w:rsidR="00B21E12" w:rsidRPr="009118AB">
        <w:rPr>
          <w:i/>
          <w:iCs/>
        </w:rPr>
        <w:t xml:space="preserve">und abgeändert durch </w:t>
      </w:r>
      <w:r w:rsidR="00D67EB8" w:rsidRPr="009118AB">
        <w:rPr>
          <w:i/>
          <w:iCs/>
        </w:rPr>
        <w:t>Art. </w:t>
      </w:r>
      <w:r w:rsidR="00B21E12" w:rsidRPr="009118AB">
        <w:rPr>
          <w:i/>
          <w:iCs/>
        </w:rPr>
        <w:t>63 des G. vom 18. Februar 2018 (B.S. vom 30. März 2018)</w:t>
      </w:r>
      <w:r w:rsidR="00D67EB8" w:rsidRPr="009118AB">
        <w:rPr>
          <w:i/>
          <w:iCs/>
        </w:rPr>
        <w:t> - </w:t>
      </w:r>
      <w:r w:rsidR="00B21E12" w:rsidRPr="009118AB">
        <w:rPr>
          <w:i/>
          <w:iCs/>
        </w:rPr>
        <w:t>anwendbar ab dem Steuerjahr 2019</w:t>
      </w:r>
      <w:r w:rsidR="003366D9" w:rsidRPr="009118AB">
        <w:rPr>
          <w:i/>
          <w:iCs/>
        </w:rPr>
        <w:t> -;</w:t>
      </w:r>
      <w:r w:rsidR="00C52B48" w:rsidRPr="009118AB">
        <w:rPr>
          <w:i/>
          <w:iCs/>
        </w:rPr>
        <w:t xml:space="preserve"> </w:t>
      </w:r>
      <w:r w:rsidR="00C52B48" w:rsidRPr="009118AB">
        <w:rPr>
          <w:rFonts w:ascii="Times New Roman Italique" w:hAnsi="Times New Roman Italique"/>
          <w:i/>
          <w:iCs/>
          <w:spacing w:val="-2"/>
        </w:rPr>
        <w:t xml:space="preserve">einziger Absatz </w:t>
      </w:r>
      <w:r w:rsidR="00D67EB8" w:rsidRPr="009118AB">
        <w:rPr>
          <w:rFonts w:ascii="Times New Roman Italique" w:hAnsi="Times New Roman Italique"/>
          <w:i/>
          <w:iCs/>
          <w:spacing w:val="-2"/>
        </w:rPr>
        <w:t>Nr. </w:t>
      </w:r>
      <w:r w:rsidR="00C52B48" w:rsidRPr="009118AB">
        <w:rPr>
          <w:rFonts w:ascii="Times New Roman Italique" w:hAnsi="Times New Roman Italique"/>
          <w:i/>
          <w:iCs/>
          <w:spacing w:val="-2"/>
        </w:rPr>
        <w:t xml:space="preserve">2bis eingefügt durch </w:t>
      </w:r>
      <w:r w:rsidR="00D67EB8" w:rsidRPr="009118AB">
        <w:rPr>
          <w:rFonts w:ascii="Times New Roman Italique" w:hAnsi="Times New Roman Italique"/>
          <w:i/>
          <w:iCs/>
          <w:spacing w:val="-2"/>
        </w:rPr>
        <w:t>Art. </w:t>
      </w:r>
      <w:r w:rsidR="00C52B48" w:rsidRPr="009118AB">
        <w:rPr>
          <w:rFonts w:ascii="Times New Roman Italique" w:hAnsi="Times New Roman Italique"/>
          <w:i/>
          <w:iCs/>
          <w:spacing w:val="-2"/>
        </w:rPr>
        <w:t>124 Buchstabe b) des G. vom 25. Dezember 2017 (IV) (B.S. vom 29. Dezember 2017)</w:t>
      </w:r>
      <w:r w:rsidR="00D67EB8" w:rsidRPr="009118AB">
        <w:rPr>
          <w:rFonts w:ascii="Times New Roman Italique" w:hAnsi="Times New Roman Italique"/>
          <w:i/>
          <w:iCs/>
          <w:spacing w:val="-2"/>
        </w:rPr>
        <w:t> - </w:t>
      </w:r>
      <w:r w:rsidR="00C52B48"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00107B70" w:rsidRPr="009118AB">
        <w:rPr>
          <w:i/>
        </w:rPr>
        <w:t xml:space="preserve"> </w:t>
      </w:r>
      <w:r w:rsidR="00793869" w:rsidRPr="009118AB">
        <w:rPr>
          <w:i/>
        </w:rPr>
        <w:t xml:space="preserve">einziger Absatz </w:t>
      </w:r>
      <w:r w:rsidR="00D67EB8" w:rsidRPr="009118AB">
        <w:rPr>
          <w:i/>
        </w:rPr>
        <w:t>Nr. </w:t>
      </w:r>
      <w:r w:rsidR="00793869" w:rsidRPr="009118AB">
        <w:rPr>
          <w:i/>
        </w:rPr>
        <w:t xml:space="preserve">2bis/1 eingefügt durch </w:t>
      </w:r>
      <w:r w:rsidR="00D67EB8" w:rsidRPr="009118AB">
        <w:rPr>
          <w:i/>
        </w:rPr>
        <w:t>Art. </w:t>
      </w:r>
      <w:r w:rsidR="00793869" w:rsidRPr="009118AB">
        <w:rPr>
          <w:i/>
        </w:rPr>
        <w:t xml:space="preserve">7 </w:t>
      </w:r>
      <w:r w:rsidR="00D67EB8" w:rsidRPr="009118AB">
        <w:rPr>
          <w:i/>
        </w:rPr>
        <w:t>Nr. </w:t>
      </w:r>
      <w:r w:rsidR="00793869" w:rsidRPr="009118AB">
        <w:rPr>
          <w:i/>
        </w:rPr>
        <w:t>2 des G. vom 11. März 2018 (B.S. vom 23. März 2018)</w:t>
      </w:r>
      <w:r w:rsidR="00D67EB8" w:rsidRPr="009118AB">
        <w:rPr>
          <w:i/>
        </w:rPr>
        <w:t> - </w:t>
      </w:r>
      <w:r w:rsidR="00793869" w:rsidRPr="009118AB">
        <w:rPr>
          <w:i/>
        </w:rPr>
        <w:t>anwendbar ab dem Steuerjahr 2019</w:t>
      </w:r>
      <w:r w:rsidR="003366D9" w:rsidRPr="009118AB">
        <w:rPr>
          <w:i/>
        </w:rPr>
        <w:t> -;</w:t>
      </w:r>
      <w:r w:rsidR="00793869" w:rsidRPr="009118AB">
        <w:rPr>
          <w:i/>
        </w:rPr>
        <w:t xml:space="preserve"> </w:t>
      </w:r>
      <w:r w:rsidR="00793869" w:rsidRPr="009118AB">
        <w:rPr>
          <w:i/>
          <w:iCs/>
        </w:rPr>
        <w:t xml:space="preserve">einziger Absatz </w:t>
      </w:r>
      <w:r w:rsidR="00D67EB8" w:rsidRPr="009118AB">
        <w:rPr>
          <w:i/>
          <w:iCs/>
        </w:rPr>
        <w:t>Nr. </w:t>
      </w:r>
      <w:r w:rsidR="00793869" w:rsidRPr="009118AB">
        <w:rPr>
          <w:i/>
          <w:iCs/>
        </w:rPr>
        <w:t xml:space="preserve">2ter eingefügt durch </w:t>
      </w:r>
      <w:r w:rsidR="00D67EB8" w:rsidRPr="009118AB">
        <w:rPr>
          <w:i/>
          <w:iCs/>
        </w:rPr>
        <w:t>Art. </w:t>
      </w:r>
      <w:r w:rsidR="00793869" w:rsidRPr="009118AB">
        <w:rPr>
          <w:i/>
          <w:iCs/>
        </w:rPr>
        <w:t>124 Buchstabe b) des G. vom 25. Dezember 2017 (IV) (B.S. vom 29. Dezember 2017)</w:t>
      </w:r>
      <w:r w:rsidR="00D67EB8" w:rsidRPr="009118AB">
        <w:rPr>
          <w:i/>
          <w:iCs/>
        </w:rPr>
        <w:t> - </w:t>
      </w:r>
      <w:r w:rsidR="00793869" w:rsidRPr="009118AB">
        <w:rPr>
          <w:i/>
          <w:iCs/>
        </w:rPr>
        <w:t>anwendbar ab dem Steuerjahr 2018</w:t>
      </w:r>
      <w:r w:rsidR="003366D9" w:rsidRPr="009118AB">
        <w:rPr>
          <w:i/>
          <w:iCs/>
        </w:rPr>
        <w:t> -;</w:t>
      </w:r>
      <w:r w:rsidR="00793869" w:rsidRPr="009118AB">
        <w:rPr>
          <w:i/>
        </w:rPr>
        <w:t xml:space="preserve"> </w:t>
      </w:r>
      <w:r w:rsidR="005A5A87" w:rsidRPr="009118AB">
        <w:rPr>
          <w:rFonts w:ascii="Times New Roman Italique" w:hAnsi="Times New Roman Italique"/>
          <w:i/>
          <w:iCs/>
          <w:spacing w:val="-2"/>
        </w:rPr>
        <w:t xml:space="preserve">einziger Absatz </w:t>
      </w:r>
      <w:r w:rsidR="00D67EB8" w:rsidRPr="009118AB">
        <w:rPr>
          <w:rFonts w:ascii="Times New Roman Italique" w:hAnsi="Times New Roman Italique"/>
          <w:i/>
          <w:iCs/>
          <w:spacing w:val="-2"/>
        </w:rPr>
        <w:t>Nr. </w:t>
      </w:r>
      <w:r w:rsidR="005A5A87" w:rsidRPr="009118AB">
        <w:rPr>
          <w:rFonts w:ascii="Times New Roman Italique" w:hAnsi="Times New Roman Italique"/>
          <w:i/>
          <w:iCs/>
          <w:spacing w:val="-2"/>
        </w:rPr>
        <w:t xml:space="preserve">4 abgeändert durch </w:t>
      </w:r>
      <w:r w:rsidR="00D67EB8" w:rsidRPr="009118AB">
        <w:rPr>
          <w:rFonts w:ascii="Times New Roman Italique" w:hAnsi="Times New Roman Italique"/>
          <w:i/>
          <w:iCs/>
          <w:spacing w:val="-2"/>
        </w:rPr>
        <w:t>Art. </w:t>
      </w:r>
      <w:r w:rsidR="005A5A87" w:rsidRPr="009118AB">
        <w:rPr>
          <w:rFonts w:ascii="Times New Roman Italique" w:hAnsi="Times New Roman Italique"/>
          <w:i/>
          <w:iCs/>
          <w:spacing w:val="-2"/>
        </w:rPr>
        <w:t xml:space="preserve">53 </w:t>
      </w:r>
      <w:r w:rsidR="00D67EB8" w:rsidRPr="009118AB">
        <w:rPr>
          <w:rFonts w:ascii="Times New Roman Italique" w:hAnsi="Times New Roman Italique"/>
          <w:i/>
          <w:iCs/>
          <w:spacing w:val="-2"/>
        </w:rPr>
        <w:t>Nr. </w:t>
      </w:r>
      <w:r w:rsidR="005A5A87" w:rsidRPr="009118AB">
        <w:rPr>
          <w:rFonts w:ascii="Times New Roman Italique" w:hAnsi="Times New Roman Italique"/>
          <w:i/>
          <w:iCs/>
          <w:spacing w:val="-2"/>
        </w:rPr>
        <w:t>2 des G. vom 10. August 2015 (B.S. vom 18. August 2015)</w:t>
      </w:r>
      <w:r w:rsidR="00D67EB8" w:rsidRPr="009118AB">
        <w:rPr>
          <w:rFonts w:ascii="Times New Roman Italique" w:hAnsi="Times New Roman Italique"/>
          <w:i/>
          <w:iCs/>
          <w:spacing w:val="-2"/>
        </w:rPr>
        <w:t> - </w:t>
      </w:r>
      <w:r w:rsidR="005A5A87" w:rsidRPr="009118AB">
        <w:rPr>
          <w:rFonts w:ascii="Times New Roman Italique" w:hAnsi="Times New Roman Italique"/>
          <w:i/>
          <w:iCs/>
          <w:spacing w:val="-2"/>
        </w:rPr>
        <w:t>anwendbar ab dem Steuerjahr 2016</w:t>
      </w:r>
      <w:r w:rsidR="00FD68E8" w:rsidRPr="009118AB">
        <w:rPr>
          <w:rFonts w:ascii="Times New Roman Italique" w:hAnsi="Times New Roman Italique"/>
          <w:i/>
          <w:iCs/>
          <w:spacing w:val="-2"/>
        </w:rPr>
        <w:t> -,</w:t>
      </w:r>
      <w:r w:rsidR="00793869"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793869" w:rsidRPr="009118AB">
        <w:rPr>
          <w:rFonts w:ascii="Times New Roman Italique" w:hAnsi="Times New Roman Italique"/>
          <w:i/>
          <w:iCs/>
          <w:spacing w:val="-2"/>
        </w:rPr>
        <w:t xml:space="preserve">7 </w:t>
      </w:r>
      <w:r w:rsidR="00D67EB8" w:rsidRPr="009118AB">
        <w:rPr>
          <w:rFonts w:ascii="Times New Roman Italique" w:hAnsi="Times New Roman Italique"/>
          <w:i/>
          <w:iCs/>
          <w:spacing w:val="-2"/>
        </w:rPr>
        <w:t>Nr. </w:t>
      </w:r>
      <w:r w:rsidR="00793869" w:rsidRPr="009118AB">
        <w:rPr>
          <w:rFonts w:ascii="Times New Roman Italique" w:hAnsi="Times New Roman Italique"/>
          <w:i/>
          <w:iCs/>
          <w:spacing w:val="-2"/>
        </w:rPr>
        <w:t>1</w:t>
      </w:r>
      <w:r w:rsidR="00793869" w:rsidRPr="009118AB">
        <w:rPr>
          <w:i/>
        </w:rPr>
        <w:t xml:space="preserve"> des G. vom 11. März 2018 (B.S. vom 23. März 2018)</w:t>
      </w:r>
      <w:r w:rsidR="00D67EB8" w:rsidRPr="009118AB">
        <w:rPr>
          <w:i/>
        </w:rPr>
        <w:t> - </w:t>
      </w:r>
      <w:r w:rsidR="00793869" w:rsidRPr="009118AB">
        <w:rPr>
          <w:i/>
        </w:rPr>
        <w:t>anwendbar ab dem Steuerjahr 2019</w:t>
      </w:r>
      <w:r w:rsidR="00FD68E8" w:rsidRPr="009118AB">
        <w:rPr>
          <w:i/>
        </w:rPr>
        <w:t> -,</w:t>
      </w:r>
      <w:r w:rsidR="0065612E" w:rsidRPr="009118AB">
        <w:rPr>
          <w:i/>
        </w:rPr>
        <w:t xml:space="preserve"> </w:t>
      </w:r>
      <w:r w:rsidR="00D67EB8" w:rsidRPr="009118AB">
        <w:rPr>
          <w:i/>
        </w:rPr>
        <w:t>Art. </w:t>
      </w:r>
      <w:r w:rsidR="00B51AC9" w:rsidRPr="009118AB">
        <w:rPr>
          <w:i/>
        </w:rPr>
        <w:t xml:space="preserve">35 </w:t>
      </w:r>
      <w:r w:rsidR="00D67EB8" w:rsidRPr="009118AB">
        <w:rPr>
          <w:i/>
        </w:rPr>
        <w:t>Nr. </w:t>
      </w:r>
      <w:r w:rsidR="00B51AC9" w:rsidRPr="009118AB">
        <w:rPr>
          <w:i/>
        </w:rPr>
        <w:t xml:space="preserve">2 </w:t>
      </w:r>
      <w:r w:rsidR="0065612E" w:rsidRPr="009118AB">
        <w:rPr>
          <w:i/>
        </w:rPr>
        <w:t xml:space="preserve">und </w:t>
      </w:r>
      <w:r w:rsidR="00D67EB8" w:rsidRPr="009118AB">
        <w:rPr>
          <w:i/>
        </w:rPr>
        <w:t>Art. </w:t>
      </w:r>
      <w:r w:rsidR="0065612E" w:rsidRPr="009118AB">
        <w:rPr>
          <w:i/>
        </w:rPr>
        <w:t xml:space="preserve">53 </w:t>
      </w:r>
      <w:r w:rsidR="00B51AC9" w:rsidRPr="009118AB">
        <w:rPr>
          <w:i/>
          <w:iCs/>
        </w:rPr>
        <w:t>des G. vom 26. März 2018 (B.S. vom 30. März 2018)</w:t>
      </w:r>
      <w:r w:rsidR="00D67EB8" w:rsidRPr="009118AB">
        <w:rPr>
          <w:i/>
          <w:iCs/>
        </w:rPr>
        <w:t> - </w:t>
      </w:r>
      <w:r w:rsidR="00B51AC9" w:rsidRPr="009118AB">
        <w:rPr>
          <w:i/>
          <w:iCs/>
        </w:rPr>
        <w:t>wirksam ab dem Steuerjahr 2019</w:t>
      </w:r>
      <w:r w:rsidR="00FD68E8" w:rsidRPr="009118AB">
        <w:rPr>
          <w:i/>
          <w:iCs/>
        </w:rPr>
        <w:t> -,</w:t>
      </w:r>
      <w:r w:rsidR="00B76D50" w:rsidRPr="009118AB">
        <w:rPr>
          <w:i/>
          <w:iCs/>
        </w:rPr>
        <w:t xml:space="preserve"> </w:t>
      </w:r>
      <w:r w:rsidR="00D67EB8" w:rsidRPr="009118AB">
        <w:rPr>
          <w:i/>
          <w:iCs/>
        </w:rPr>
        <w:t>Art. </w:t>
      </w:r>
      <w:r w:rsidR="00B76D50" w:rsidRPr="009118AB">
        <w:rPr>
          <w:i/>
          <w:iCs/>
        </w:rPr>
        <w:t>94</w:t>
      </w:r>
      <w:r w:rsidR="00B76D50" w:rsidRPr="009118AB">
        <w:rPr>
          <w:i/>
          <w:iCs/>
          <w:spacing w:val="-2"/>
        </w:rPr>
        <w:t xml:space="preserve"> des G. vom 11. Februar 2019 (B.S. vom 22. März 2020)</w:t>
      </w:r>
      <w:r w:rsidR="00D67EB8" w:rsidRPr="009118AB">
        <w:rPr>
          <w:i/>
          <w:iCs/>
          <w:spacing w:val="-2"/>
        </w:rPr>
        <w:t> - </w:t>
      </w:r>
      <w:r w:rsidR="00B76D50"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r w:rsidR="00C030D3" w:rsidRPr="009118AB">
        <w:rPr>
          <w:i/>
          <w:iCs/>
          <w:spacing w:val="-2"/>
        </w:rPr>
        <w:t xml:space="preserve"> </w:t>
      </w:r>
      <w:r w:rsidR="00D67EB8" w:rsidRPr="009118AB">
        <w:rPr>
          <w:i/>
          <w:iCs/>
          <w:spacing w:val="-2"/>
        </w:rPr>
        <w:t>Art. </w:t>
      </w:r>
      <w:r w:rsidR="00C030D3" w:rsidRPr="009118AB">
        <w:rPr>
          <w:i/>
          <w:iCs/>
          <w:spacing w:val="-2"/>
        </w:rPr>
        <w:t xml:space="preserve">30 </w:t>
      </w:r>
      <w:r w:rsidR="00D67EB8" w:rsidRPr="009118AB">
        <w:rPr>
          <w:i/>
          <w:iCs/>
          <w:spacing w:val="-2"/>
        </w:rPr>
        <w:t>Nr. </w:t>
      </w:r>
      <w:r w:rsidR="00C030D3" w:rsidRPr="009118AB">
        <w:rPr>
          <w:i/>
          <w:iCs/>
          <w:spacing w:val="-2"/>
        </w:rPr>
        <w:t>2</w:t>
      </w:r>
      <w:r w:rsidR="00C030D3" w:rsidRPr="009118AB">
        <w:rPr>
          <w:i/>
        </w:rPr>
        <w:t xml:space="preserve"> des G. vom 7. April 2019 (I) (B.S. vom 19. April 2019)</w:t>
      </w:r>
      <w:r w:rsidR="00642026" w:rsidRPr="009118AB">
        <w:rPr>
          <w:i/>
        </w:rPr>
        <w:t>,</w:t>
      </w:r>
      <w:r w:rsidR="00CD7EC2" w:rsidRPr="009118AB">
        <w:rPr>
          <w:i/>
        </w:rPr>
        <w:t xml:space="preserve"> </w:t>
      </w:r>
      <w:r w:rsidR="00D67EB8" w:rsidRPr="009118AB">
        <w:rPr>
          <w:i/>
        </w:rPr>
        <w:t>Art. </w:t>
      </w:r>
      <w:r w:rsidR="00CD7EC2" w:rsidRPr="009118AB">
        <w:rPr>
          <w:i/>
        </w:rPr>
        <w:t xml:space="preserve">13 </w:t>
      </w:r>
      <w:r w:rsidR="00D67EB8" w:rsidRPr="009118AB">
        <w:rPr>
          <w:i/>
        </w:rPr>
        <w:t>Nr. </w:t>
      </w:r>
      <w:r w:rsidR="00CD7EC2" w:rsidRPr="009118AB">
        <w:rPr>
          <w:i/>
        </w:rPr>
        <w:t>2</w:t>
      </w:r>
      <w:r w:rsidR="00CD7EC2" w:rsidRPr="009118AB">
        <w:rPr>
          <w:i/>
          <w:iCs/>
        </w:rPr>
        <w:t xml:space="preserve"> des G. vom 23. Juni 2020 (B.S. vom 1. Juli 2020)</w:t>
      </w:r>
      <w:r w:rsidR="00B90C34" w:rsidRPr="009118AB">
        <w:rPr>
          <w:i/>
          <w:iCs/>
        </w:rPr>
        <w:t>,</w:t>
      </w:r>
      <w:r w:rsidR="00642026" w:rsidRPr="009118AB">
        <w:rPr>
          <w:i/>
          <w:iCs/>
        </w:rPr>
        <w:t xml:space="preserve"> </w:t>
      </w:r>
      <w:r w:rsidR="00D67EB8" w:rsidRPr="009118AB">
        <w:rPr>
          <w:i/>
          <w:iCs/>
        </w:rPr>
        <w:t>Art. </w:t>
      </w:r>
      <w:r w:rsidR="00642026" w:rsidRPr="009118AB">
        <w:rPr>
          <w:i/>
          <w:iCs/>
        </w:rPr>
        <w:t xml:space="preserve">19 </w:t>
      </w:r>
      <w:r w:rsidR="00D67EB8" w:rsidRPr="009118AB">
        <w:rPr>
          <w:i/>
          <w:iCs/>
        </w:rPr>
        <w:t>Nr. </w:t>
      </w:r>
      <w:r w:rsidR="00642026" w:rsidRPr="009118AB">
        <w:rPr>
          <w:i/>
          <w:iCs/>
        </w:rPr>
        <w:t>2</w:t>
      </w:r>
      <w:r w:rsidR="00642026" w:rsidRPr="009118AB">
        <w:rPr>
          <w:rFonts w:eastAsia="Calibri"/>
          <w:i/>
          <w:iCs/>
          <w:lang w:eastAsia="en-US"/>
        </w:rPr>
        <w:t xml:space="preserve"> des G. vom 25. November 2021 (B.S. vom 3. Dezember 2021)</w:t>
      </w:r>
      <w:r w:rsidR="00D67EB8" w:rsidRPr="009118AB">
        <w:rPr>
          <w:rFonts w:eastAsia="Calibri"/>
          <w:i/>
          <w:iCs/>
          <w:lang w:eastAsia="en-US"/>
        </w:rPr>
        <w:t> - </w:t>
      </w:r>
      <w:r w:rsidR="00642026" w:rsidRPr="009118AB">
        <w:rPr>
          <w:rFonts w:eastAsia="Calibri"/>
          <w:i/>
          <w:iCs/>
          <w:lang w:eastAsia="en-US"/>
        </w:rPr>
        <w:t>wirksam mit 1. September 2021</w:t>
      </w:r>
      <w:r w:rsidR="00FD68E8" w:rsidRPr="009118AB">
        <w:rPr>
          <w:rFonts w:eastAsia="Calibri"/>
          <w:i/>
          <w:iCs/>
          <w:lang w:eastAsia="en-US"/>
        </w:rPr>
        <w:t> -</w:t>
      </w:r>
      <w:r w:rsidR="00B90C34" w:rsidRPr="009118AB">
        <w:rPr>
          <w:rFonts w:eastAsia="Calibri"/>
          <w:i/>
          <w:iCs/>
          <w:lang w:eastAsia="en-US"/>
        </w:rPr>
        <w:t xml:space="preserve"> und Art. 14 des G. vom 31. Juli 2023 (II) (B.S. vom 23. August 2023)</w:t>
      </w:r>
      <w:r w:rsidR="00FD68E8" w:rsidRPr="009118AB">
        <w:rPr>
          <w:rFonts w:eastAsia="Calibri"/>
          <w:i/>
          <w:iCs/>
          <w:lang w:eastAsia="en-US"/>
        </w:rPr>
        <w:t>]</w:t>
      </w:r>
    </w:p>
    <w:p w14:paraId="465DC1AA" w14:textId="77777777" w:rsidR="001D370F" w:rsidRPr="009118AB" w:rsidRDefault="001D370F" w:rsidP="001D370F">
      <w:pPr>
        <w:autoSpaceDE w:val="0"/>
        <w:autoSpaceDN w:val="0"/>
        <w:adjustRightInd w:val="0"/>
        <w:jc w:val="both"/>
        <w:rPr>
          <w:i/>
          <w:iCs/>
        </w:rPr>
      </w:pPr>
    </w:p>
    <w:p w14:paraId="15DB73BF" w14:textId="77777777" w:rsidR="001D370F" w:rsidRPr="009118AB" w:rsidRDefault="001D370F" w:rsidP="001D370F">
      <w:pPr>
        <w:autoSpaceDE w:val="0"/>
        <w:autoSpaceDN w:val="0"/>
        <w:adjustRightInd w:val="0"/>
        <w:jc w:val="both"/>
        <w:rPr>
          <w:i/>
        </w:rPr>
      </w:pPr>
    </w:p>
    <w:p w14:paraId="1EF429D3" w14:textId="306FE353" w:rsidR="00DD421D" w:rsidRPr="009118AB" w:rsidRDefault="00477B8F" w:rsidP="00DD421D">
      <w:pPr>
        <w:jc w:val="both"/>
      </w:pPr>
      <w:r w:rsidRPr="009118AB">
        <w:tab/>
      </w:r>
      <w:r w:rsidR="00D67EB8" w:rsidRPr="009118AB">
        <w:rPr>
          <w:b/>
          <w:bCs/>
        </w:rPr>
        <w:t>Art. </w:t>
      </w:r>
      <w:r w:rsidRPr="009118AB">
        <w:rPr>
          <w:b/>
          <w:bCs/>
        </w:rPr>
        <w:t>244</w:t>
      </w:r>
      <w:r w:rsidR="00D67EB8" w:rsidRPr="009118AB">
        <w:t> - </w:t>
      </w:r>
      <w:r w:rsidRPr="009118AB">
        <w:t>[</w:t>
      </w:r>
      <w:r w:rsidR="00DD421D" w:rsidRPr="009118AB">
        <w:t>Ist der Steuerpflichtige in einem anderen Mitgliedstaat des Europäischen Wirtschaftsraums ansässig und hat er in Belgien steuerpflichtige Berufseinkünfte erzielt oder bezogen, die mindestens 75 Prozent der Gesamtheit seiner während des Besteuerungs</w:t>
      </w:r>
      <w:r w:rsidR="00DD421D" w:rsidRPr="009118AB">
        <w:softHyphen/>
        <w:t>zeitraums erzielten oder bezogenen Berufseinkünfte belgischer und ausländischer Herkunft betragen, wird die Steuer in Abweichung von den Artikeln 243 und 243/1 gemäß den in Titel II Kapitel 3 vorgesehenen Regeln und unter Berücksichtigung der Artikel 86 bis 89 und 126 bis 129 berechnet, wobei:</w:t>
      </w:r>
    </w:p>
    <w:p w14:paraId="17F5496A" w14:textId="77777777" w:rsidR="00DD421D" w:rsidRPr="009118AB" w:rsidRDefault="00DD421D" w:rsidP="00DD421D">
      <w:pPr>
        <w:jc w:val="both"/>
      </w:pPr>
    </w:p>
    <w:p w14:paraId="380E1F1B" w14:textId="77777777" w:rsidR="00DD421D" w:rsidRPr="009118AB" w:rsidRDefault="00DD421D" w:rsidP="00DD421D">
      <w:pPr>
        <w:jc w:val="both"/>
      </w:pPr>
      <w:r w:rsidRPr="009118AB">
        <w:tab/>
        <w:t>1. für die Anwendung der Artikel 86 bis 89 und 146 bis 154 die Gesamtheit der Einkünfte belgischer und ausländischer Herkunft berücksichtigt wird,</w:t>
      </w:r>
    </w:p>
    <w:p w14:paraId="10CC201C" w14:textId="77777777" w:rsidR="00C52B48" w:rsidRPr="009118AB" w:rsidRDefault="00C52B48" w:rsidP="00DD421D">
      <w:pPr>
        <w:jc w:val="both"/>
      </w:pPr>
    </w:p>
    <w:p w14:paraId="01F888B9" w14:textId="56449C0D" w:rsidR="00C52B48" w:rsidRPr="009118AB" w:rsidRDefault="00C52B48" w:rsidP="00DD421D">
      <w:pPr>
        <w:jc w:val="both"/>
      </w:pPr>
      <w:r w:rsidRPr="009118AB">
        <w:tab/>
        <w:t>[1</w:t>
      </w:r>
      <w:r w:rsidRPr="009118AB">
        <w:rPr>
          <w:i/>
        </w:rPr>
        <w:t>bis</w:t>
      </w:r>
      <w:r w:rsidRPr="009118AB">
        <w:t>. </w:t>
      </w:r>
      <w:r w:rsidR="00032159" w:rsidRPr="009118AB">
        <w:t>[</w:t>
      </w:r>
      <w:r w:rsidRPr="009118AB">
        <w:t>in Artikel 145</w:t>
      </w:r>
      <w:r w:rsidRPr="009118AB">
        <w:rPr>
          <w:vertAlign w:val="superscript"/>
        </w:rPr>
        <w:t>1</w:t>
      </w:r>
      <w:r w:rsidRPr="009118AB">
        <w:t xml:space="preserve"> </w:t>
      </w:r>
      <w:r w:rsidR="00D67EB8" w:rsidRPr="009118AB">
        <w:t>Nr. </w:t>
      </w:r>
      <w:r w:rsidRPr="009118AB">
        <w:t>1</w:t>
      </w:r>
      <w:r w:rsidR="00032159" w:rsidRPr="009118AB">
        <w:t xml:space="preserve"> und 1</w:t>
      </w:r>
      <w:r w:rsidR="00032159" w:rsidRPr="009118AB">
        <w:rPr>
          <w:i/>
        </w:rPr>
        <w:t>bis</w:t>
      </w:r>
      <w:r w:rsidR="00032159" w:rsidRPr="009118AB">
        <w:t>]</w:t>
      </w:r>
      <w:r w:rsidRPr="009118AB">
        <w:t xml:space="preserve"> erwähnte persönliche Beiträge und Prämien nur in dem Maße berücksichtigt werden, wie sie in Belgien steuerpflichtige Berufseinkünfte betreffen, die gemäß den Artikeln 232 und 248 §</w:t>
      </w:r>
      <w:r w:rsidR="00D67EB8" w:rsidRPr="009118AB">
        <w:t>§ </w:t>
      </w:r>
      <w:r w:rsidRPr="009118AB">
        <w:t>2 und 3 tatsächlich in der Erklärung regularisiert werden,]</w:t>
      </w:r>
    </w:p>
    <w:p w14:paraId="36A1DDAD" w14:textId="77777777" w:rsidR="00BD4546" w:rsidRPr="009118AB" w:rsidRDefault="00BD4546" w:rsidP="00DD421D">
      <w:pPr>
        <w:jc w:val="both"/>
      </w:pPr>
    </w:p>
    <w:p w14:paraId="7AC1FFBA" w14:textId="4771E1F0" w:rsidR="00DD421D" w:rsidRPr="009118AB" w:rsidRDefault="00DD421D" w:rsidP="00DD421D">
      <w:pPr>
        <w:jc w:val="both"/>
      </w:pPr>
      <w:r w:rsidRPr="009118AB">
        <w:lastRenderedPageBreak/>
        <w:tab/>
        <w:t>2. die Artikel 145</w:t>
      </w:r>
      <w:r w:rsidRPr="009118AB">
        <w:rPr>
          <w:vertAlign w:val="superscript"/>
        </w:rPr>
        <w:t>1</w:t>
      </w:r>
      <w:r w:rsidRPr="009118AB">
        <w:t xml:space="preserve"> </w:t>
      </w:r>
      <w:r w:rsidR="00D67EB8" w:rsidRPr="009118AB">
        <w:t>Nr. </w:t>
      </w:r>
      <w:r w:rsidRPr="009118AB">
        <w:t>2 und 145</w:t>
      </w:r>
      <w:r w:rsidRPr="009118AB">
        <w:rPr>
          <w:vertAlign w:val="superscript"/>
        </w:rPr>
        <w:t>39</w:t>
      </w:r>
      <w:r w:rsidRPr="009118AB">
        <w:t xml:space="preserve"> Absatz 1 </w:t>
      </w:r>
      <w:r w:rsidR="00D67EB8" w:rsidRPr="009118AB">
        <w:t>Nr. </w:t>
      </w:r>
      <w:r w:rsidRPr="009118AB">
        <w:t>1 in Bezug auf individuelle Lebensversicherungsprämien, die für die Wiederherstellung einer oder als Sicherheit für eine Hypothekenanleihe dienen, und die Artikel 145</w:t>
      </w:r>
      <w:r w:rsidRPr="009118AB">
        <w:rPr>
          <w:vertAlign w:val="superscript"/>
        </w:rPr>
        <w:t>1</w:t>
      </w:r>
      <w:r w:rsidRPr="009118AB">
        <w:t xml:space="preserve"> </w:t>
      </w:r>
      <w:r w:rsidR="00D67EB8" w:rsidRPr="009118AB">
        <w:t>Nr. </w:t>
      </w:r>
      <w:r w:rsidRPr="009118AB">
        <w:t>3 und 145</w:t>
      </w:r>
      <w:r w:rsidRPr="009118AB">
        <w:rPr>
          <w:vertAlign w:val="superscript"/>
        </w:rPr>
        <w:t>39</w:t>
      </w:r>
      <w:r w:rsidRPr="009118AB">
        <w:t xml:space="preserve"> Absatz 1 </w:t>
      </w:r>
      <w:r w:rsidR="00D67EB8" w:rsidRPr="009118AB">
        <w:t>Nr. </w:t>
      </w:r>
      <w:r w:rsidRPr="009118AB">
        <w:t>2 nur anwendbar sind, wenn die Hypothekenanleihe aufgenommen wird für:</w:t>
      </w:r>
    </w:p>
    <w:p w14:paraId="7F7C7728" w14:textId="77777777" w:rsidR="00DD421D" w:rsidRPr="009118AB" w:rsidRDefault="00DD421D" w:rsidP="00DD421D">
      <w:pPr>
        <w:jc w:val="both"/>
      </w:pPr>
    </w:p>
    <w:p w14:paraId="64F42BA5" w14:textId="77777777" w:rsidR="00DD421D" w:rsidRPr="009118AB" w:rsidRDefault="00DD421D" w:rsidP="00DD421D">
      <w:pPr>
        <w:jc w:val="both"/>
      </w:pPr>
      <w:r w:rsidRPr="009118AB">
        <w:tab/>
        <w:t>- eine in Belgien gelegene Wohnung,</w:t>
      </w:r>
    </w:p>
    <w:p w14:paraId="063B4B5C" w14:textId="77777777" w:rsidR="00DD421D" w:rsidRPr="009118AB" w:rsidRDefault="00DD421D" w:rsidP="00DD421D">
      <w:pPr>
        <w:jc w:val="both"/>
      </w:pPr>
    </w:p>
    <w:p w14:paraId="2BC6C9E9" w14:textId="77777777" w:rsidR="00477B8F" w:rsidRPr="009118AB" w:rsidRDefault="00DD421D" w:rsidP="00DD421D">
      <w:pPr>
        <w:autoSpaceDE w:val="0"/>
        <w:autoSpaceDN w:val="0"/>
        <w:adjustRightInd w:val="0"/>
        <w:jc w:val="both"/>
      </w:pPr>
      <w:r w:rsidRPr="009118AB">
        <w:tab/>
        <w:t>- eine in einem anderen Mitgliedstaat des Europäischen Wirtschaftsraums gelegene Wohnung, die am 31. Dezember des Jahres des Abschlusses des Anleihevertrags die eigene Wo</w:t>
      </w:r>
      <w:r w:rsidR="00092893" w:rsidRPr="009118AB">
        <w:t>hnung des Steuerpflichtigen ist,</w:t>
      </w:r>
      <w:r w:rsidR="00477B8F" w:rsidRPr="009118AB">
        <w:t>]</w:t>
      </w:r>
    </w:p>
    <w:p w14:paraId="043CC00C" w14:textId="77777777" w:rsidR="00C52B48" w:rsidRPr="009118AB" w:rsidRDefault="00C52B48" w:rsidP="00DD421D">
      <w:pPr>
        <w:autoSpaceDE w:val="0"/>
        <w:autoSpaceDN w:val="0"/>
        <w:adjustRightInd w:val="0"/>
        <w:jc w:val="both"/>
      </w:pPr>
    </w:p>
    <w:p w14:paraId="29A03C04" w14:textId="6BD75B53" w:rsidR="00C52B48" w:rsidRPr="009118AB" w:rsidRDefault="00C52B48" w:rsidP="00C52B48">
      <w:pPr>
        <w:jc w:val="both"/>
      </w:pPr>
      <w:r w:rsidRPr="009118AB">
        <w:tab/>
        <w:t>[2</w:t>
      </w:r>
      <w:r w:rsidRPr="009118AB">
        <w:rPr>
          <w:i/>
        </w:rPr>
        <w:t>bis</w:t>
      </w:r>
      <w:r w:rsidRPr="009118AB">
        <w:t>. in Artikel 145</w:t>
      </w:r>
      <w:r w:rsidRPr="009118AB">
        <w:rPr>
          <w:vertAlign w:val="superscript"/>
        </w:rPr>
        <w:t>1</w:t>
      </w:r>
      <w:r w:rsidRPr="009118AB">
        <w:t xml:space="preserve"> </w:t>
      </w:r>
      <w:r w:rsidR="00D67EB8" w:rsidRPr="009118AB">
        <w:t>Nr. </w:t>
      </w:r>
      <w:r w:rsidRPr="009118AB">
        <w:t>4 erwähnte Zahlungen nur berücksichtigt werden, wenn die Arbeitgebergesellschaft dem Steuerpflichtigen während des Besteuerungszeitraums Entloh</w:t>
      </w:r>
      <w:r w:rsidRPr="009118AB">
        <w:softHyphen/>
        <w:t>nungen gezahlt oder zuerkannt hat, die für ihn in Belgien steuerpflichtige Berufseinkünfte darstellen, die gemäß den Artikeln 232 und 248 §</w:t>
      </w:r>
      <w:r w:rsidR="00D67EB8" w:rsidRPr="009118AB">
        <w:t>§ </w:t>
      </w:r>
      <w:r w:rsidRPr="009118AB">
        <w:t>2 und 3 tatsächlich in der Erklärung regularisiert werden,</w:t>
      </w:r>
      <w:r w:rsidR="00793869" w:rsidRPr="009118AB">
        <w:t>]</w:t>
      </w:r>
    </w:p>
    <w:p w14:paraId="032B2D04" w14:textId="77777777" w:rsidR="00793869" w:rsidRPr="009118AB" w:rsidRDefault="00793869" w:rsidP="00C52B48">
      <w:pPr>
        <w:jc w:val="both"/>
      </w:pPr>
    </w:p>
    <w:p w14:paraId="2A6A917A" w14:textId="0710C43F" w:rsidR="00793869" w:rsidRPr="009118AB" w:rsidRDefault="00793869" w:rsidP="00C52B48">
      <w:pPr>
        <w:jc w:val="both"/>
      </w:pPr>
      <w:r w:rsidRPr="009118AB">
        <w:tab/>
        <w:t>[</w:t>
      </w:r>
      <w:r w:rsidRPr="009118AB">
        <w:rPr>
          <w:spacing w:val="2"/>
        </w:rPr>
        <w:t>2</w:t>
      </w:r>
      <w:r w:rsidRPr="009118AB">
        <w:rPr>
          <w:i/>
          <w:spacing w:val="2"/>
        </w:rPr>
        <w:t>bis</w:t>
      </w:r>
      <w:r w:rsidRPr="009118AB">
        <w:rPr>
          <w:spacing w:val="2"/>
        </w:rPr>
        <w:t>/1. für die Anwendung von Artikel 145</w:t>
      </w:r>
      <w:r w:rsidRPr="009118AB">
        <w:rPr>
          <w:spacing w:val="2"/>
          <w:vertAlign w:val="superscript"/>
        </w:rPr>
        <w:t>48</w:t>
      </w:r>
      <w:r w:rsidRPr="009118AB">
        <w:rPr>
          <w:spacing w:val="2"/>
        </w:rPr>
        <w:t xml:space="preserve"> Absatz 2 </w:t>
      </w:r>
      <w:r w:rsidR="00D67EB8" w:rsidRPr="009118AB">
        <w:rPr>
          <w:spacing w:val="2"/>
        </w:rPr>
        <w:t>Nr. </w:t>
      </w:r>
      <w:r w:rsidRPr="009118AB">
        <w:rPr>
          <w:spacing w:val="2"/>
        </w:rPr>
        <w:t>1 Buchstabe </w:t>
      </w:r>
      <w:r w:rsidRPr="009118AB">
        <w:rPr>
          <w:i/>
          <w:spacing w:val="2"/>
        </w:rPr>
        <w:t>b)</w:t>
      </w:r>
      <w:r w:rsidRPr="009118AB">
        <w:rPr>
          <w:spacing w:val="2"/>
        </w:rPr>
        <w:t xml:space="preserve"> und </w:t>
      </w:r>
      <w:r w:rsidR="00D67EB8" w:rsidRPr="009118AB">
        <w:rPr>
          <w:spacing w:val="2"/>
        </w:rPr>
        <w:t>Nr. </w:t>
      </w:r>
      <w:r w:rsidRPr="009118AB">
        <w:rPr>
          <w:spacing w:val="2"/>
        </w:rPr>
        <w:t>2 Buchstabe </w:t>
      </w:r>
      <w:r w:rsidRPr="009118AB">
        <w:rPr>
          <w:i/>
          <w:spacing w:val="2"/>
        </w:rPr>
        <w:t>b)</w:t>
      </w:r>
      <w:r w:rsidRPr="009118AB">
        <w:rPr>
          <w:spacing w:val="2"/>
        </w:rPr>
        <w:t xml:space="preserve"> Ausgaben, die von einem Adoptionsdienst in Rechnung gestellt werden, der von dem Staat, in dem der Steuerpflichtige seinen gewöhnlichen Wohnort hat, zugelassen worden ist, in Betracht kommen können und für die Anwendung von Absatz 2 </w:t>
      </w:r>
      <w:r w:rsidR="00D67EB8" w:rsidRPr="009118AB">
        <w:rPr>
          <w:spacing w:val="2"/>
        </w:rPr>
        <w:t>Nr. </w:t>
      </w:r>
      <w:r w:rsidRPr="009118AB">
        <w:rPr>
          <w:spacing w:val="2"/>
        </w:rPr>
        <w:t>2 Buchstabe </w:t>
      </w:r>
      <w:r w:rsidRPr="009118AB">
        <w:rPr>
          <w:i/>
          <w:spacing w:val="2"/>
        </w:rPr>
        <w:t>c)</w:t>
      </w:r>
      <w:r w:rsidRPr="009118AB">
        <w:rPr>
          <w:spacing w:val="2"/>
        </w:rPr>
        <w:t xml:space="preserve">, </w:t>
      </w:r>
      <w:r w:rsidRPr="009118AB">
        <w:rPr>
          <w:i/>
          <w:spacing w:val="2"/>
        </w:rPr>
        <w:t>d)</w:t>
      </w:r>
      <w:r w:rsidRPr="009118AB">
        <w:rPr>
          <w:spacing w:val="2"/>
        </w:rPr>
        <w:t xml:space="preserve"> und </w:t>
      </w:r>
      <w:r w:rsidRPr="009118AB">
        <w:rPr>
          <w:i/>
          <w:spacing w:val="2"/>
        </w:rPr>
        <w:t>e)</w:t>
      </w:r>
      <w:r w:rsidRPr="009118AB">
        <w:rPr>
          <w:spacing w:val="2"/>
        </w:rPr>
        <w:t xml:space="preserve"> des vorerwähnten Artikels die Adoption in dem Staat, in dem der Steuerpflichtige seinen gewöhnlichen Wohnort hat, anerkannt oder durch ein Urteil ausgesprochen werden muss,</w:t>
      </w:r>
      <w:r w:rsidRPr="009118AB">
        <w:t>]</w:t>
      </w:r>
    </w:p>
    <w:p w14:paraId="555BB071" w14:textId="77777777" w:rsidR="00133D28" w:rsidRPr="009118AB" w:rsidRDefault="00133D28"/>
    <w:p w14:paraId="398CB598" w14:textId="44A30CD4" w:rsidR="00C52B48" w:rsidRPr="009118AB" w:rsidRDefault="00C52B48" w:rsidP="00C52B48">
      <w:pPr>
        <w:autoSpaceDE w:val="0"/>
        <w:autoSpaceDN w:val="0"/>
        <w:adjustRightInd w:val="0"/>
        <w:jc w:val="both"/>
      </w:pPr>
      <w:r w:rsidRPr="009118AB">
        <w:tab/>
      </w:r>
      <w:r w:rsidR="00793869" w:rsidRPr="009118AB">
        <w:t>[</w:t>
      </w:r>
      <w:r w:rsidRPr="009118AB">
        <w:t>2</w:t>
      </w:r>
      <w:r w:rsidRPr="009118AB">
        <w:rPr>
          <w:i/>
        </w:rPr>
        <w:t>ter</w:t>
      </w:r>
      <w:r w:rsidRPr="009118AB">
        <w:t>. für die Anwendung der in Artikel 154</w:t>
      </w:r>
      <w:r w:rsidRPr="009118AB">
        <w:rPr>
          <w:i/>
        </w:rPr>
        <w:t>bis</w:t>
      </w:r>
      <w:r w:rsidRPr="009118AB">
        <w:t xml:space="preserve"> erwähnten Steuerermäßigung nur Überarbeit berücksichtigt wird, für die die Entlohnungen in Belgien steuerpflichtige Berufseinkünfte darstellen, die gemäß den Artikeln 232 und 248 §</w:t>
      </w:r>
      <w:r w:rsidR="00D67EB8" w:rsidRPr="009118AB">
        <w:t>§ </w:t>
      </w:r>
      <w:r w:rsidRPr="009118AB">
        <w:t>2 und 3 tatsächlich in der Erklärung regularisiert werden.]</w:t>
      </w:r>
    </w:p>
    <w:p w14:paraId="661F5A30" w14:textId="77777777" w:rsidR="00477B8F" w:rsidRPr="009118AB" w:rsidRDefault="00477B8F" w:rsidP="00477B8F">
      <w:pPr>
        <w:autoSpaceDE w:val="0"/>
        <w:autoSpaceDN w:val="0"/>
        <w:adjustRightInd w:val="0"/>
        <w:jc w:val="both"/>
      </w:pPr>
      <w:r w:rsidRPr="009118AB">
        <w:t xml:space="preserve"> </w:t>
      </w:r>
    </w:p>
    <w:p w14:paraId="5BD3D8B3" w14:textId="3B1FFC15" w:rsidR="00477B8F" w:rsidRPr="009118AB" w:rsidRDefault="00477B8F" w:rsidP="00477B8F">
      <w:pPr>
        <w:autoSpaceDE w:val="0"/>
        <w:autoSpaceDN w:val="0"/>
        <w:adjustRightInd w:val="0"/>
        <w:jc w:val="both"/>
        <w:rPr>
          <w:rFonts w:ascii="Times New Roman Italique" w:hAnsi="Times New Roman Italique"/>
          <w:i/>
          <w:iCs/>
          <w:spacing w:val="-2"/>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244 </w:t>
      </w:r>
      <w:r w:rsidR="00364E22" w:rsidRPr="009118AB">
        <w:rPr>
          <w:rFonts w:ascii="Times New Roman Italique" w:hAnsi="Times New Roman Italique"/>
          <w:i/>
          <w:iCs/>
          <w:spacing w:val="-2"/>
        </w:rPr>
        <w:t>erse</w:t>
      </w:r>
      <w:r w:rsidRPr="009118AB">
        <w:rPr>
          <w:rFonts w:ascii="Times New Roman Italique" w:hAnsi="Times New Roman Italique"/>
          <w:i/>
          <w:iCs/>
          <w:spacing w:val="-2"/>
        </w:rPr>
        <w:t xml:space="preserve">tzt durch </w:t>
      </w:r>
      <w:r w:rsidR="00D67EB8" w:rsidRPr="009118AB">
        <w:rPr>
          <w:rFonts w:ascii="Times New Roman Italique" w:hAnsi="Times New Roman Italique"/>
          <w:i/>
          <w:iCs/>
          <w:spacing w:val="-2"/>
        </w:rPr>
        <w:t>Art. </w:t>
      </w:r>
      <w:r w:rsidR="00DD421D" w:rsidRPr="009118AB">
        <w:rPr>
          <w:rFonts w:ascii="Times New Roman Italique" w:hAnsi="Times New Roman Italique"/>
          <w:i/>
          <w:spacing w:val="-2"/>
        </w:rPr>
        <w:t>7</w:t>
      </w:r>
      <w:r w:rsidR="000E2C2C" w:rsidRPr="009118AB">
        <w:rPr>
          <w:rFonts w:ascii="Times New Roman Italique" w:hAnsi="Times New Roman Italique"/>
          <w:i/>
          <w:spacing w:val="-2"/>
        </w:rPr>
        <w:t>7</w:t>
      </w:r>
      <w:r w:rsidR="00DD421D" w:rsidRPr="009118AB">
        <w:rPr>
          <w:rFonts w:ascii="Times New Roman Italique" w:hAnsi="Times New Roman Italique"/>
          <w:i/>
          <w:spacing w:val="-2"/>
        </w:rPr>
        <w:t xml:space="preserve"> des G. vom 8. Mai 2014 (B.S. vom 28. Mai 2014)</w:t>
      </w:r>
      <w:r w:rsidR="00D67EB8" w:rsidRPr="009118AB">
        <w:rPr>
          <w:rFonts w:ascii="Times New Roman Italique" w:hAnsi="Times New Roman Italique"/>
          <w:i/>
          <w:spacing w:val="-2"/>
        </w:rPr>
        <w:t> - </w:t>
      </w:r>
      <w:r w:rsidR="00DD421D" w:rsidRPr="009118AB">
        <w:rPr>
          <w:rFonts w:ascii="Times New Roman Italique" w:hAnsi="Times New Roman Italique"/>
          <w:i/>
          <w:iCs/>
          <w:spacing w:val="-2"/>
        </w:rPr>
        <w:t xml:space="preserve">anwendbar ab </w:t>
      </w:r>
      <w:r w:rsidR="00DD421D" w:rsidRPr="009118AB">
        <w:rPr>
          <w:rFonts w:ascii="Times New Roman Italique" w:hAnsi="Times New Roman Italique"/>
          <w:i/>
          <w:iCs/>
          <w:spacing w:val="2"/>
        </w:rPr>
        <w:t>dem Steuerjahr 2015 und</w:t>
      </w:r>
      <w:r w:rsidR="00D67EB8" w:rsidRPr="009118AB">
        <w:rPr>
          <w:rFonts w:ascii="Times New Roman Italique" w:hAnsi="Times New Roman Italique"/>
          <w:i/>
          <w:iCs/>
          <w:spacing w:val="2"/>
        </w:rPr>
        <w:t> - </w:t>
      </w:r>
      <w:r w:rsidR="00DD421D" w:rsidRPr="009118AB">
        <w:rPr>
          <w:rFonts w:ascii="Times New Roman Italique" w:hAnsi="Times New Roman Italique"/>
          <w:i/>
          <w:iCs/>
          <w:spacing w:val="2"/>
        </w:rPr>
        <w:t>in Bezug auf die Anwendung des Berufssteuervorabzugs</w:t>
      </w:r>
      <w:r w:rsidR="00D67EB8" w:rsidRPr="009118AB">
        <w:rPr>
          <w:rFonts w:ascii="Times New Roman Italique" w:hAnsi="Times New Roman Italique"/>
          <w:i/>
          <w:iCs/>
          <w:spacing w:val="2"/>
        </w:rPr>
        <w:t> - </w:t>
      </w:r>
      <w:r w:rsidR="00DD421D" w:rsidRPr="009118AB">
        <w:rPr>
          <w:rFonts w:ascii="Times New Roman Italique" w:hAnsi="Times New Roman Italique"/>
          <w:i/>
          <w:iCs/>
          <w:spacing w:val="2"/>
        </w:rPr>
        <w:t>auf Berufseinkünfte und Unterhaltsleistungen, die ab dem 1. Juli 2014 gezahlt oder zuerkannt werden</w:t>
      </w:r>
      <w:r w:rsidR="003366D9" w:rsidRPr="009118AB">
        <w:rPr>
          <w:rFonts w:ascii="Times New Roman Italique" w:hAnsi="Times New Roman Italique"/>
          <w:i/>
          <w:iCs/>
          <w:spacing w:val="2"/>
        </w:rPr>
        <w:t> -;</w:t>
      </w:r>
      <w:r w:rsidR="00C52B48"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00C52B48" w:rsidRPr="009118AB">
        <w:rPr>
          <w:rFonts w:ascii="Times New Roman Italique" w:hAnsi="Times New Roman Italique"/>
          <w:i/>
          <w:iCs/>
          <w:spacing w:val="2"/>
        </w:rPr>
        <w:t xml:space="preserve">1bis eingefügt durch </w:t>
      </w:r>
      <w:r w:rsidR="00D67EB8" w:rsidRPr="009118AB">
        <w:rPr>
          <w:rFonts w:ascii="Times New Roman Italique" w:hAnsi="Times New Roman Italique"/>
          <w:i/>
          <w:iCs/>
          <w:spacing w:val="2"/>
        </w:rPr>
        <w:t>Art. </w:t>
      </w:r>
      <w:r w:rsidR="00C52B48" w:rsidRPr="009118AB">
        <w:rPr>
          <w:rFonts w:ascii="Times New Roman Italique" w:hAnsi="Times New Roman Italique"/>
          <w:i/>
          <w:iCs/>
          <w:spacing w:val="2"/>
        </w:rPr>
        <w:t xml:space="preserve">125 Buchstabe a) des G. vom </w:t>
      </w:r>
      <w:r w:rsidR="00C52B48" w:rsidRPr="009118AB">
        <w:rPr>
          <w:rFonts w:ascii="Times New Roman Italique" w:hAnsi="Times New Roman Italique"/>
          <w:i/>
          <w:iCs/>
          <w:spacing w:val="-2"/>
        </w:rPr>
        <w:t>25. Dezember 2017 (IV) (B.S. vom 29. Dezember 2017)</w:t>
      </w:r>
      <w:r w:rsidR="00D67EB8" w:rsidRPr="009118AB">
        <w:rPr>
          <w:rFonts w:ascii="Times New Roman Italique" w:hAnsi="Times New Roman Italique"/>
          <w:i/>
          <w:iCs/>
          <w:spacing w:val="-2"/>
        </w:rPr>
        <w:t> - </w:t>
      </w:r>
      <w:r w:rsidR="00C52B48" w:rsidRPr="009118AB">
        <w:rPr>
          <w:rFonts w:ascii="Times New Roman Italique" w:hAnsi="Times New Roman Italique"/>
          <w:i/>
          <w:iCs/>
          <w:spacing w:val="-2"/>
        </w:rPr>
        <w:t>anwendbar ab dem Steuerjahr 2018</w:t>
      </w:r>
      <w:r w:rsidR="00D67EB8" w:rsidRPr="009118AB">
        <w:rPr>
          <w:rFonts w:ascii="Times New Roman Italique" w:hAnsi="Times New Roman Italique"/>
          <w:i/>
          <w:iCs/>
          <w:spacing w:val="-2"/>
        </w:rPr>
        <w:t> - </w:t>
      </w:r>
      <w:r w:rsidR="00032159"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032159" w:rsidRPr="009118AB">
        <w:rPr>
          <w:rFonts w:ascii="Times New Roman Italique" w:hAnsi="Times New Roman Italique"/>
          <w:i/>
          <w:iCs/>
          <w:spacing w:val="-2"/>
        </w:rPr>
        <w:t>6</w:t>
      </w:r>
      <w:r w:rsidR="003B78A6" w:rsidRPr="009118AB">
        <w:rPr>
          <w:rFonts w:ascii="Times New Roman Italique" w:hAnsi="Times New Roman Italique"/>
          <w:i/>
          <w:iCs/>
          <w:spacing w:val="-2"/>
        </w:rPr>
        <w:t>4</w:t>
      </w:r>
      <w:r w:rsidR="00032159" w:rsidRPr="009118AB">
        <w:rPr>
          <w:i/>
          <w:iCs/>
        </w:rPr>
        <w:t xml:space="preserve"> des G. vom 18. Februar </w:t>
      </w:r>
      <w:r w:rsidR="004F7F42" w:rsidRPr="009118AB">
        <w:rPr>
          <w:i/>
          <w:iCs/>
        </w:rPr>
        <w:t>2018 (B.S. vom 30. März 2018)</w:t>
      </w:r>
      <w:r w:rsidR="00D67EB8" w:rsidRPr="009118AB">
        <w:rPr>
          <w:i/>
          <w:iCs/>
        </w:rPr>
        <w:t> - </w:t>
      </w:r>
      <w:r w:rsidR="00032159" w:rsidRPr="009118AB">
        <w:rPr>
          <w:i/>
          <w:iCs/>
        </w:rPr>
        <w:t>anwendbar ab dem Steuerjahr 2019</w:t>
      </w:r>
      <w:r w:rsidR="003366D9" w:rsidRPr="009118AB">
        <w:rPr>
          <w:i/>
          <w:iCs/>
        </w:rPr>
        <w:t> -;</w:t>
      </w:r>
      <w:r w:rsidR="00C52B48"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00C52B48" w:rsidRPr="009118AB">
        <w:rPr>
          <w:rFonts w:ascii="Times New Roman Italique" w:hAnsi="Times New Roman Italique"/>
          <w:i/>
          <w:iCs/>
          <w:spacing w:val="-2"/>
        </w:rPr>
        <w:t xml:space="preserve">2bis eingefügt durch </w:t>
      </w:r>
      <w:r w:rsidR="00D67EB8" w:rsidRPr="009118AB">
        <w:rPr>
          <w:rFonts w:ascii="Times New Roman Italique" w:hAnsi="Times New Roman Italique"/>
          <w:i/>
          <w:iCs/>
          <w:spacing w:val="-2"/>
        </w:rPr>
        <w:t>Art. </w:t>
      </w:r>
      <w:r w:rsidR="00C52B48" w:rsidRPr="009118AB">
        <w:rPr>
          <w:rFonts w:ascii="Times New Roman Italique" w:hAnsi="Times New Roman Italique"/>
          <w:i/>
          <w:iCs/>
          <w:spacing w:val="-2"/>
        </w:rPr>
        <w:t>125 Bu</w:t>
      </w:r>
      <w:r w:rsidR="00092893" w:rsidRPr="009118AB">
        <w:rPr>
          <w:rFonts w:ascii="Times New Roman Italique" w:hAnsi="Times New Roman Italique"/>
          <w:i/>
          <w:iCs/>
          <w:spacing w:val="-2"/>
        </w:rPr>
        <w:t>chstabe b) des G. vom 25. Dezember 2017 (IV) (B.S. vom 29. Dezember 2017)</w:t>
      </w:r>
      <w:r w:rsidR="00D67EB8" w:rsidRPr="009118AB">
        <w:rPr>
          <w:rFonts w:ascii="Times New Roman Italique" w:hAnsi="Times New Roman Italique"/>
          <w:i/>
          <w:iCs/>
          <w:spacing w:val="-2"/>
        </w:rPr>
        <w:t> - </w:t>
      </w:r>
      <w:r w:rsidR="00092893"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00793869" w:rsidRPr="009118AB">
        <w:rPr>
          <w:rFonts w:ascii="Times New Roman Italique" w:hAnsi="Times New Roman Italique"/>
          <w:i/>
          <w:iCs/>
          <w:spacing w:val="-2"/>
        </w:rPr>
        <w:t xml:space="preserve"> einziger Absatz </w:t>
      </w:r>
      <w:r w:rsidR="00D67EB8" w:rsidRPr="009118AB">
        <w:rPr>
          <w:rFonts w:ascii="Times New Roman Italique" w:hAnsi="Times New Roman Italique"/>
          <w:i/>
          <w:iCs/>
          <w:spacing w:val="-2"/>
        </w:rPr>
        <w:t>Nr. </w:t>
      </w:r>
      <w:r w:rsidR="00793869" w:rsidRPr="009118AB">
        <w:rPr>
          <w:rFonts w:ascii="Times New Roman Italique" w:hAnsi="Times New Roman Italique"/>
          <w:i/>
          <w:iCs/>
          <w:spacing w:val="-2"/>
        </w:rPr>
        <w:t xml:space="preserve">2bis/1 eingefügt durch </w:t>
      </w:r>
      <w:r w:rsidR="00D67EB8" w:rsidRPr="009118AB">
        <w:rPr>
          <w:rFonts w:ascii="Times New Roman Italique" w:hAnsi="Times New Roman Italique"/>
          <w:i/>
          <w:iCs/>
          <w:spacing w:val="-2"/>
        </w:rPr>
        <w:t>Art. </w:t>
      </w:r>
      <w:r w:rsidR="00793869" w:rsidRPr="009118AB">
        <w:rPr>
          <w:rFonts w:ascii="Times New Roman Italique" w:hAnsi="Times New Roman Italique"/>
          <w:i/>
          <w:iCs/>
          <w:spacing w:val="-2"/>
        </w:rPr>
        <w:t>8</w:t>
      </w:r>
      <w:r w:rsidR="00793869" w:rsidRPr="009118AB">
        <w:rPr>
          <w:i/>
        </w:rPr>
        <w:t xml:space="preserve"> des G. vom 11. März 2018 (B.S. vom 23. März 2018)</w:t>
      </w:r>
      <w:r w:rsidR="00D67EB8" w:rsidRPr="009118AB">
        <w:rPr>
          <w:i/>
        </w:rPr>
        <w:t> - </w:t>
      </w:r>
      <w:r w:rsidR="00793869" w:rsidRPr="009118AB">
        <w:rPr>
          <w:i/>
        </w:rPr>
        <w:t>anwendbar ab dem Steuerjahr 2019</w:t>
      </w:r>
      <w:r w:rsidR="003366D9" w:rsidRPr="009118AB">
        <w:rPr>
          <w:i/>
        </w:rPr>
        <w:t> -;</w:t>
      </w:r>
      <w:r w:rsidR="00793869" w:rsidRPr="009118AB">
        <w:rPr>
          <w:i/>
        </w:rPr>
        <w:t xml:space="preserve"> </w:t>
      </w:r>
      <w:r w:rsidR="00793869" w:rsidRPr="009118AB">
        <w:rPr>
          <w:rFonts w:ascii="Times New Roman Italique" w:hAnsi="Times New Roman Italique"/>
          <w:i/>
          <w:iCs/>
          <w:spacing w:val="-2"/>
        </w:rPr>
        <w:t xml:space="preserve">einziger Absatz </w:t>
      </w:r>
      <w:r w:rsidR="00D67EB8" w:rsidRPr="009118AB">
        <w:rPr>
          <w:rFonts w:ascii="Times New Roman Italique" w:hAnsi="Times New Roman Italique"/>
          <w:i/>
          <w:iCs/>
          <w:spacing w:val="-2"/>
        </w:rPr>
        <w:t>Nr. </w:t>
      </w:r>
      <w:r w:rsidR="00793869" w:rsidRPr="009118AB">
        <w:rPr>
          <w:rFonts w:ascii="Times New Roman Italique" w:hAnsi="Times New Roman Italique"/>
          <w:i/>
          <w:iCs/>
          <w:spacing w:val="-2"/>
        </w:rPr>
        <w:t xml:space="preserve">2ter eingefügt durch </w:t>
      </w:r>
      <w:r w:rsidR="00D67EB8" w:rsidRPr="009118AB">
        <w:rPr>
          <w:rFonts w:ascii="Times New Roman Italique" w:hAnsi="Times New Roman Italique"/>
          <w:i/>
          <w:iCs/>
          <w:spacing w:val="-2"/>
        </w:rPr>
        <w:t>Art. </w:t>
      </w:r>
      <w:r w:rsidR="00793869" w:rsidRPr="009118AB">
        <w:rPr>
          <w:rFonts w:ascii="Times New Roman Italique" w:hAnsi="Times New Roman Italique"/>
          <w:i/>
          <w:iCs/>
          <w:spacing w:val="-2"/>
        </w:rPr>
        <w:t>125 Buchstabe b) des G. vom 25. Dezember 2017 (IV) (B.S. vom 29. Dezember 2017)</w:t>
      </w:r>
      <w:r w:rsidR="00D67EB8" w:rsidRPr="009118AB">
        <w:rPr>
          <w:rFonts w:ascii="Times New Roman Italique" w:hAnsi="Times New Roman Italique"/>
          <w:i/>
          <w:iCs/>
          <w:spacing w:val="-2"/>
        </w:rPr>
        <w:t> - </w:t>
      </w:r>
      <w:r w:rsidR="00793869" w:rsidRPr="009118AB">
        <w:rPr>
          <w:rFonts w:ascii="Times New Roman Italique" w:hAnsi="Times New Roman Italique"/>
          <w:i/>
          <w:iCs/>
          <w:spacing w:val="-2"/>
        </w:rPr>
        <w:t>anwendbar ab dem Steuerjahr 2018</w:t>
      </w:r>
      <w:r w:rsidR="00FD68E8" w:rsidRPr="009118AB">
        <w:rPr>
          <w:rFonts w:ascii="Times New Roman Italique" w:hAnsi="Times New Roman Italique"/>
          <w:i/>
          <w:iCs/>
          <w:spacing w:val="-2"/>
        </w:rPr>
        <w:t> -]</w:t>
      </w:r>
    </w:p>
    <w:p w14:paraId="692D2F21" w14:textId="77777777" w:rsidR="00477B8F" w:rsidRPr="009118AB" w:rsidRDefault="00477B8F" w:rsidP="00477B8F">
      <w:pPr>
        <w:autoSpaceDE w:val="0"/>
        <w:autoSpaceDN w:val="0"/>
        <w:adjustRightInd w:val="0"/>
        <w:jc w:val="both"/>
      </w:pPr>
    </w:p>
    <w:p w14:paraId="0575F89B" w14:textId="77777777" w:rsidR="00477B8F" w:rsidRPr="009118AB" w:rsidRDefault="00477B8F" w:rsidP="00477B8F">
      <w:pPr>
        <w:autoSpaceDE w:val="0"/>
        <w:autoSpaceDN w:val="0"/>
        <w:adjustRightInd w:val="0"/>
        <w:jc w:val="both"/>
      </w:pPr>
    </w:p>
    <w:p w14:paraId="19CF1034" w14:textId="4A26FF93"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244</w:t>
      </w:r>
      <w:r w:rsidRPr="009118AB">
        <w:rPr>
          <w:b/>
          <w:bCs/>
          <w:i/>
          <w:iCs/>
        </w:rPr>
        <w:t>bis</w:t>
      </w:r>
      <w:r w:rsidR="00D67EB8" w:rsidRPr="009118AB">
        <w:t> - </w:t>
      </w:r>
      <w:r w:rsidRPr="009118AB">
        <w:t xml:space="preserve">Für die Anwendung </w:t>
      </w:r>
      <w:r w:rsidR="004407EE" w:rsidRPr="009118AB">
        <w:t>[</w:t>
      </w:r>
      <w:r w:rsidRPr="009118AB">
        <w:t xml:space="preserve">der Artikel 243 </w:t>
      </w:r>
      <w:r w:rsidR="004407EE" w:rsidRPr="009118AB">
        <w:t>bis</w:t>
      </w:r>
      <w:r w:rsidRPr="009118AB">
        <w:t> 244</w:t>
      </w:r>
      <w:r w:rsidR="004407EE" w:rsidRPr="009118AB">
        <w:t>]</w:t>
      </w:r>
      <w:r w:rsidRPr="009118AB">
        <w:t xml:space="preserve"> [besteht kein Anlass zu einer gemeinsamen Veranlagung der Ehepartner], wenn nur einer der Ehepartner in Belgien Einkünfte bezieht, die der Steuer unterliegen, und der andere Ehepartner [Berufseinkünfte belgischer Herkunft, die aufgrund eines Abkommens steuerfrei sind, oder Berufseinkünfte ausländischer Herkunft] über [6.700 EUR] bezieht.</w:t>
      </w:r>
    </w:p>
    <w:p w14:paraId="37AD4FB7" w14:textId="77777777" w:rsidR="00364E22" w:rsidRPr="009118AB" w:rsidRDefault="00364E22" w:rsidP="00B91D43">
      <w:pPr>
        <w:autoSpaceDE w:val="0"/>
        <w:autoSpaceDN w:val="0"/>
        <w:adjustRightInd w:val="0"/>
        <w:jc w:val="both"/>
      </w:pPr>
    </w:p>
    <w:p w14:paraId="0ED7FB7F" w14:textId="7D579000" w:rsidR="00477B8F" w:rsidRPr="009118AB" w:rsidRDefault="00477B8F" w:rsidP="00B91D43">
      <w:pPr>
        <w:autoSpaceDE w:val="0"/>
        <w:autoSpaceDN w:val="0"/>
        <w:adjustRightInd w:val="0"/>
        <w:jc w:val="both"/>
        <w:rPr>
          <w:spacing w:val="-4"/>
        </w:rPr>
      </w:pPr>
      <w:r w:rsidRPr="009118AB">
        <w:rPr>
          <w:spacing w:val="-4"/>
        </w:rPr>
        <w:lastRenderedPageBreak/>
        <w:tab/>
        <w:t xml:space="preserve">Die </w:t>
      </w:r>
      <w:r w:rsidR="00A4282E" w:rsidRPr="009118AB">
        <w:rPr>
          <w:spacing w:val="-4"/>
        </w:rPr>
        <w:t>[</w:t>
      </w:r>
      <w:r w:rsidRPr="009118AB">
        <w:rPr>
          <w:spacing w:val="-4"/>
        </w:rPr>
        <w:t>in Artikel 132</w:t>
      </w:r>
      <w:r w:rsidR="00A4282E" w:rsidRPr="009118AB">
        <w:rPr>
          <w:spacing w:val="-4"/>
        </w:rPr>
        <w:t>]</w:t>
      </w:r>
      <w:r w:rsidRPr="009118AB">
        <w:rPr>
          <w:spacing w:val="-4"/>
        </w:rPr>
        <w:t xml:space="preserve"> erwähnten Zuschläge für Personen zu Lasten werden nur gewährt, wenn der Ehepartner, der der Steuer unterliegt, die meisten Berufseinkünfte bezieht.]</w:t>
      </w:r>
      <w:r w:rsidR="00A4282E" w:rsidRPr="009118AB">
        <w:rPr>
          <w:spacing w:val="-4"/>
        </w:rPr>
        <w:t xml:space="preserve"> [Der in Artikel 133 Absatz 1 </w:t>
      </w:r>
      <w:r w:rsidR="00D67EB8" w:rsidRPr="009118AB">
        <w:rPr>
          <w:spacing w:val="-4"/>
        </w:rPr>
        <w:t>Nr. </w:t>
      </w:r>
      <w:r w:rsidR="00A4282E" w:rsidRPr="009118AB">
        <w:rPr>
          <w:spacing w:val="-4"/>
        </w:rPr>
        <w:t>1 erwähnte Zuschlag wird nicht gewährt.]</w:t>
      </w:r>
    </w:p>
    <w:p w14:paraId="0ED7ECB7" w14:textId="77777777" w:rsidR="00092893" w:rsidRPr="009118AB" w:rsidRDefault="00092893" w:rsidP="00B91D43">
      <w:pPr>
        <w:autoSpaceDE w:val="0"/>
        <w:autoSpaceDN w:val="0"/>
        <w:adjustRightInd w:val="0"/>
        <w:jc w:val="both"/>
        <w:rPr>
          <w:spacing w:val="-4"/>
        </w:rPr>
      </w:pPr>
    </w:p>
    <w:p w14:paraId="0CA0D717" w14:textId="77777777" w:rsidR="00092893" w:rsidRPr="009118AB" w:rsidRDefault="00092893" w:rsidP="00B91D43">
      <w:pPr>
        <w:autoSpaceDE w:val="0"/>
        <w:autoSpaceDN w:val="0"/>
        <w:adjustRightInd w:val="0"/>
        <w:jc w:val="both"/>
        <w:rPr>
          <w:spacing w:val="-4"/>
        </w:rPr>
      </w:pPr>
      <w:r w:rsidRPr="009118AB">
        <w:rPr>
          <w:spacing w:val="-4"/>
        </w:rPr>
        <w:tab/>
        <w:t>[</w:t>
      </w:r>
      <w:r w:rsidRPr="009118AB">
        <w:t>Artikel 174/1 ist auf den in Absatz 1 erwähnten Betrag anwendbar.</w:t>
      </w:r>
      <w:r w:rsidRPr="009118AB">
        <w:rPr>
          <w:spacing w:val="-4"/>
        </w:rPr>
        <w:t>]</w:t>
      </w:r>
    </w:p>
    <w:p w14:paraId="11684016" w14:textId="77777777" w:rsidR="00477B8F" w:rsidRPr="009118AB" w:rsidRDefault="00477B8F" w:rsidP="00477B8F">
      <w:pPr>
        <w:autoSpaceDE w:val="0"/>
        <w:autoSpaceDN w:val="0"/>
        <w:adjustRightInd w:val="0"/>
        <w:jc w:val="both"/>
      </w:pPr>
    </w:p>
    <w:p w14:paraId="7D0FD35D" w14:textId="5DDA38CB" w:rsidR="00C030D3" w:rsidRPr="009118AB" w:rsidRDefault="00477B8F" w:rsidP="00C030D3">
      <w:pPr>
        <w:autoSpaceDE w:val="0"/>
        <w:autoSpaceDN w:val="0"/>
        <w:adjustRightInd w:val="0"/>
        <w:jc w:val="both"/>
        <w:rPr>
          <w:rFonts w:ascii="Times New Roman Italique" w:hAnsi="Times New Roman Italique"/>
          <w:i/>
          <w:iCs/>
          <w:spacing w:val="-2"/>
        </w:rPr>
      </w:pPr>
      <w:r w:rsidRPr="009118AB">
        <w:rPr>
          <w:i/>
          <w:iCs/>
        </w:rPr>
        <w:t>[</w:t>
      </w:r>
      <w:r w:rsidR="00D67EB8" w:rsidRPr="009118AB">
        <w:rPr>
          <w:i/>
          <w:iCs/>
        </w:rPr>
        <w:t>Art. </w:t>
      </w:r>
      <w:r w:rsidRPr="009118AB">
        <w:rPr>
          <w:i/>
          <w:iCs/>
        </w:rPr>
        <w:t xml:space="preserve">244bis eingefügt durch </w:t>
      </w:r>
      <w:r w:rsidR="00D67EB8" w:rsidRPr="009118AB">
        <w:rPr>
          <w:i/>
          <w:iCs/>
        </w:rPr>
        <w:t>Art. </w:t>
      </w:r>
      <w:r w:rsidRPr="009118AB">
        <w:rPr>
          <w:i/>
          <w:iCs/>
        </w:rPr>
        <w:t>13 des G. vom 28. Dezember 1992 (B.S. vom 31. Dezember 1992</w:t>
      </w:r>
      <w:r w:rsidR="004407EE" w:rsidRPr="009118AB">
        <w:rPr>
          <w:i/>
          <w:iCs/>
        </w:rPr>
        <w:t>)</w:t>
      </w:r>
      <w:r w:rsidR="00D67EB8" w:rsidRPr="009118AB">
        <w:rPr>
          <w:i/>
          <w:iCs/>
        </w:rPr>
        <w:t> - </w:t>
      </w:r>
      <w:r w:rsidR="004407EE" w:rsidRPr="009118AB">
        <w:rPr>
          <w:i/>
          <w:iCs/>
        </w:rPr>
        <w:t>anwendbar ab dem Steuerjahr </w:t>
      </w:r>
      <w:r w:rsidRPr="009118AB">
        <w:rPr>
          <w:i/>
          <w:iCs/>
        </w:rPr>
        <w:t>1992</w:t>
      </w:r>
      <w:r w:rsidR="003366D9" w:rsidRPr="009118AB">
        <w:rPr>
          <w:i/>
          <w:iCs/>
        </w:rPr>
        <w:t> -;</w:t>
      </w:r>
      <w:r w:rsidRPr="009118AB">
        <w:rPr>
          <w:i/>
          <w:iCs/>
        </w:rPr>
        <w:t xml:space="preserve"> </w:t>
      </w:r>
      <w:r w:rsidR="00D67EB8" w:rsidRPr="009118AB">
        <w:rPr>
          <w:i/>
          <w:iCs/>
        </w:rPr>
        <w:t>Abs. </w:t>
      </w:r>
      <w:r w:rsidRPr="009118AB">
        <w:rPr>
          <w:i/>
          <w:iCs/>
        </w:rPr>
        <w:t xml:space="preserve">1 abgeändert durch </w:t>
      </w:r>
      <w:r w:rsidR="00D67EB8" w:rsidRPr="009118AB">
        <w:rPr>
          <w:i/>
          <w:iCs/>
        </w:rPr>
        <w:t>Art. </w:t>
      </w:r>
      <w:r w:rsidRPr="009118AB">
        <w:rPr>
          <w:i/>
          <w:iCs/>
        </w:rPr>
        <w:t xml:space="preserve">37 </w:t>
      </w:r>
      <w:r w:rsidRPr="009118AB">
        <w:rPr>
          <w:rFonts w:ascii="Times New Roman Italique" w:hAnsi="Times New Roman Italique"/>
          <w:i/>
          <w:iCs/>
          <w:spacing w:val="-2"/>
        </w:rPr>
        <w:t>des G. vom 6. Juli 1994 (B.S. vom 16. Juli 1994</w:t>
      </w:r>
      <w:r w:rsidR="004407EE" w:rsidRPr="009118AB">
        <w:rPr>
          <w:rFonts w:ascii="Times New Roman Italique" w:hAnsi="Times New Roman Italique"/>
          <w:i/>
          <w:iCs/>
          <w:spacing w:val="-2"/>
        </w:rPr>
        <w:t>)</w:t>
      </w:r>
      <w:r w:rsidR="00D67EB8" w:rsidRPr="009118AB">
        <w:rPr>
          <w:rFonts w:ascii="Times New Roman Italique" w:hAnsi="Times New Roman Italique"/>
          <w:i/>
          <w:iCs/>
          <w:spacing w:val="-2"/>
        </w:rPr>
        <w:t> - </w:t>
      </w:r>
      <w:r w:rsidR="004407EE" w:rsidRPr="009118AB">
        <w:rPr>
          <w:rFonts w:ascii="Times New Roman Italique" w:hAnsi="Times New Roman Italique"/>
          <w:i/>
          <w:iCs/>
          <w:spacing w:val="-2"/>
        </w:rPr>
        <w:t>anwendbar ab dem Steuerjahr </w:t>
      </w:r>
      <w:r w:rsidRPr="009118AB">
        <w:rPr>
          <w:rFonts w:ascii="Times New Roman Italique" w:hAnsi="Times New Roman Italique"/>
          <w:i/>
          <w:iCs/>
          <w:spacing w:val="-2"/>
        </w:rPr>
        <w:t>1992</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 des K.E. vom 20. Juli 2000 (II) (B.S. vom 30. August 2000)</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w:t>
      </w:r>
      <w:r w:rsidR="004407EE" w:rsidRPr="009118AB">
        <w:rPr>
          <w:rFonts w:ascii="Times New Roman Italique" w:hAnsi="Times New Roman Italique"/>
          <w:i/>
          <w:iCs/>
          <w:spacing w:val="-2"/>
        </w:rPr>
        <w:t> </w:t>
      </w:r>
      <w:r w:rsidRPr="009118AB">
        <w:rPr>
          <w:rFonts w:ascii="Times New Roman Italique" w:hAnsi="Times New Roman Italique"/>
          <w:i/>
          <w:iCs/>
          <w:spacing w:val="-2"/>
        </w:rPr>
        <w:t>2002</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selbst</w:t>
      </w:r>
      <w:r w:rsidRPr="009118AB">
        <w:rPr>
          <w:i/>
          <w:iCs/>
        </w:rPr>
        <w:t xml:space="preserve">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w:t>
      </w:r>
      <w:r w:rsidR="004407EE" w:rsidRPr="009118AB">
        <w:rPr>
          <w:i/>
          <w:iCs/>
        </w:rPr>
        <w:t xml:space="preserve"> </w:t>
      </w:r>
      <w:r w:rsidR="004F7F42" w:rsidRPr="009118AB">
        <w:rPr>
          <w:i/>
          <w:iCs/>
        </w:rPr>
        <w:t>vom 11. August 2001)</w:t>
      </w:r>
      <w:r w:rsidR="00D67EB8" w:rsidRPr="009118AB">
        <w:rPr>
          <w:i/>
          <w:iCs/>
        </w:rPr>
        <w:t> - </w:t>
      </w:r>
      <w:r w:rsidRPr="009118AB">
        <w:rPr>
          <w:i/>
          <w:iCs/>
        </w:rPr>
        <w:t>in Kraft ab dem 1. Januar 2002</w:t>
      </w:r>
      <w:r w:rsidR="00FD68E8" w:rsidRPr="009118AB">
        <w:rPr>
          <w:i/>
          <w:iCs/>
        </w:rPr>
        <w:t> -,</w:t>
      </w:r>
      <w:r w:rsidRPr="009118AB">
        <w:rPr>
          <w:i/>
          <w:iCs/>
        </w:rPr>
        <w:t xml:space="preserve"> durch </w:t>
      </w:r>
      <w:r w:rsidR="00D67EB8" w:rsidRPr="009118AB">
        <w:rPr>
          <w:i/>
          <w:iCs/>
        </w:rPr>
        <w:t>Art. </w:t>
      </w:r>
      <w:r w:rsidRPr="009118AB">
        <w:rPr>
          <w:i/>
          <w:iCs/>
        </w:rPr>
        <w:t xml:space="preserve">46 des G. vom </w:t>
      </w:r>
      <w:r w:rsidRPr="009118AB">
        <w:rPr>
          <w:i/>
          <w:iCs/>
          <w:spacing w:val="-2"/>
        </w:rPr>
        <w:t>10. August 2001 (B.S. vom 20. September 200</w:t>
      </w:r>
      <w:r w:rsidR="004407EE" w:rsidRPr="009118AB">
        <w:rPr>
          <w:i/>
          <w:iCs/>
          <w:spacing w:val="-2"/>
        </w:rPr>
        <w:t>1)</w:t>
      </w:r>
      <w:r w:rsidR="00D67EB8" w:rsidRPr="009118AB">
        <w:rPr>
          <w:i/>
          <w:iCs/>
          <w:spacing w:val="-2"/>
        </w:rPr>
        <w:t> - </w:t>
      </w:r>
      <w:r w:rsidR="004407EE" w:rsidRPr="009118AB">
        <w:rPr>
          <w:i/>
          <w:iCs/>
          <w:spacing w:val="-2"/>
        </w:rPr>
        <w:t>in Kraft ab dem Steuerjahr </w:t>
      </w:r>
      <w:r w:rsidRPr="009118AB">
        <w:rPr>
          <w:i/>
          <w:iCs/>
          <w:spacing w:val="-2"/>
        </w:rPr>
        <w:t>2005</w:t>
      </w:r>
      <w:r w:rsidR="00D67EB8" w:rsidRPr="009118AB">
        <w:rPr>
          <w:i/>
          <w:iCs/>
          <w:spacing w:val="-2"/>
        </w:rPr>
        <w:t> - </w:t>
      </w:r>
      <w:r w:rsidR="004407EE" w:rsidRPr="009118AB">
        <w:rPr>
          <w:i/>
          <w:iCs/>
          <w:spacing w:val="-2"/>
        </w:rPr>
        <w:t xml:space="preserve">und </w:t>
      </w:r>
      <w:r w:rsidR="00D67EB8" w:rsidRPr="009118AB">
        <w:rPr>
          <w:i/>
          <w:iCs/>
          <w:spacing w:val="-2"/>
        </w:rPr>
        <w:t>Art. </w:t>
      </w:r>
      <w:r w:rsidR="004407EE" w:rsidRPr="009118AB">
        <w:rPr>
          <w:i/>
          <w:iCs/>
          <w:spacing w:val="-2"/>
        </w:rPr>
        <w:t>78</w:t>
      </w:r>
      <w:r w:rsidR="004407EE" w:rsidRPr="009118AB">
        <w:rPr>
          <w:i/>
          <w:spacing w:val="-2"/>
        </w:rPr>
        <w:t xml:space="preserve"> des G. vom 8. Mai 2014 (B.S. vom 28. Mai 2014)</w:t>
      </w:r>
      <w:r w:rsidR="00D67EB8" w:rsidRPr="009118AB">
        <w:rPr>
          <w:i/>
          <w:spacing w:val="-2"/>
        </w:rPr>
        <w:t> - </w:t>
      </w:r>
      <w:r w:rsidR="004407EE" w:rsidRPr="009118AB">
        <w:rPr>
          <w:i/>
          <w:iCs/>
          <w:spacing w:val="-2"/>
        </w:rPr>
        <w:t xml:space="preserve">anwendbar ab dem </w:t>
      </w:r>
      <w:r w:rsidR="004407EE" w:rsidRPr="009118AB">
        <w:rPr>
          <w:rFonts w:ascii="Times New Roman Italique" w:hAnsi="Times New Roman Italique"/>
          <w:i/>
          <w:iCs/>
          <w:spacing w:val="-2"/>
        </w:rPr>
        <w:t>Steuerjahr 2015</w:t>
      </w:r>
      <w:r w:rsidR="003366D9" w:rsidRPr="009118AB">
        <w:rPr>
          <w:rFonts w:ascii="Times New Roman Italique" w:hAnsi="Times New Roman Italique"/>
          <w:i/>
          <w:iCs/>
          <w:spacing w:val="-2"/>
        </w:rPr>
        <w:t> -;</w:t>
      </w:r>
      <w:r w:rsidR="004407EE"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4407EE"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4407EE" w:rsidRPr="009118AB">
        <w:rPr>
          <w:rFonts w:ascii="Times New Roman Italique" w:hAnsi="Times New Roman Italique"/>
          <w:i/>
          <w:iCs/>
          <w:spacing w:val="-2"/>
        </w:rPr>
        <w:t xml:space="preserve">167 </w:t>
      </w:r>
      <w:r w:rsidR="00D67EB8" w:rsidRPr="009118AB">
        <w:rPr>
          <w:rFonts w:ascii="Times New Roman Italique" w:hAnsi="Times New Roman Italique"/>
          <w:i/>
          <w:iCs/>
          <w:spacing w:val="-2"/>
        </w:rPr>
        <w:t>Nr. </w:t>
      </w:r>
      <w:r w:rsidR="004407EE" w:rsidRPr="009118AB">
        <w:rPr>
          <w:rFonts w:ascii="Times New Roman Italique" w:hAnsi="Times New Roman Italique"/>
          <w:i/>
          <w:iCs/>
          <w:spacing w:val="-2"/>
        </w:rPr>
        <w:t>1 und 2 des G.</w:t>
      </w:r>
      <w:r w:rsidR="004407EE" w:rsidRPr="009118AB">
        <w:rPr>
          <w:rFonts w:ascii="Times New Roman Italique" w:hAnsi="Times New Roman Italique" w:hint="eastAsia"/>
          <w:i/>
          <w:iCs/>
          <w:spacing w:val="-2"/>
        </w:rPr>
        <w:t> </w:t>
      </w:r>
      <w:r w:rsidR="00A4282E" w:rsidRPr="009118AB">
        <w:rPr>
          <w:rFonts w:ascii="Times New Roman Italique" w:hAnsi="Times New Roman Italique"/>
          <w:i/>
          <w:iCs/>
          <w:spacing w:val="-2"/>
        </w:rPr>
        <w:t>(I) vom 22. Dezember 2008</w:t>
      </w:r>
      <w:r w:rsidR="004407EE" w:rsidRPr="009118AB">
        <w:rPr>
          <w:rFonts w:ascii="Times New Roman Italique" w:hAnsi="Times New Roman Italique"/>
          <w:i/>
          <w:iCs/>
          <w:spacing w:val="-2"/>
        </w:rPr>
        <w:t> </w:t>
      </w:r>
      <w:r w:rsidR="00A4282E" w:rsidRPr="009118AB">
        <w:rPr>
          <w:rFonts w:ascii="Times New Roman Italique" w:hAnsi="Times New Roman Italique"/>
          <w:i/>
          <w:iCs/>
          <w:spacing w:val="-2"/>
        </w:rPr>
        <w:t>(II) (B.S. vom 29. </w:t>
      </w:r>
      <w:r w:rsidR="004F7F42" w:rsidRPr="009118AB">
        <w:rPr>
          <w:rFonts w:ascii="Times New Roman Italique" w:hAnsi="Times New Roman Italique"/>
          <w:i/>
          <w:iCs/>
          <w:spacing w:val="-2"/>
        </w:rPr>
        <w:t>Dezember 2008)</w:t>
      </w:r>
      <w:r w:rsidR="00D67EB8" w:rsidRPr="009118AB">
        <w:rPr>
          <w:rFonts w:ascii="Times New Roman Italique" w:hAnsi="Times New Roman Italique"/>
          <w:i/>
          <w:iCs/>
          <w:spacing w:val="-2"/>
        </w:rPr>
        <w:t> - </w:t>
      </w:r>
      <w:r w:rsidR="00A4282E" w:rsidRPr="009118AB">
        <w:rPr>
          <w:rFonts w:ascii="Times New Roman Italique" w:hAnsi="Times New Roman Italique"/>
          <w:i/>
          <w:iCs/>
          <w:spacing w:val="-2"/>
        </w:rPr>
        <w:t>anwendbar ab dem Steuerjahr 2009</w:t>
      </w:r>
      <w:r w:rsidR="003366D9" w:rsidRPr="009118AB">
        <w:rPr>
          <w:rFonts w:ascii="Times New Roman Italique" w:hAnsi="Times New Roman Italique"/>
          <w:i/>
          <w:iCs/>
          <w:spacing w:val="-2"/>
        </w:rPr>
        <w:t> -;</w:t>
      </w:r>
      <w:r w:rsidR="00092893"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092893" w:rsidRPr="009118AB">
        <w:rPr>
          <w:rFonts w:ascii="Times New Roman Italique" w:hAnsi="Times New Roman Italique"/>
          <w:i/>
          <w:iCs/>
          <w:spacing w:val="-2"/>
        </w:rPr>
        <w:t xml:space="preserve">3 eingefügt durch </w:t>
      </w:r>
      <w:r w:rsidR="00D67EB8" w:rsidRPr="009118AB">
        <w:rPr>
          <w:rFonts w:ascii="Times New Roman Italique" w:hAnsi="Times New Roman Italique"/>
          <w:i/>
          <w:iCs/>
          <w:spacing w:val="-2"/>
        </w:rPr>
        <w:t>Art. </w:t>
      </w:r>
      <w:r w:rsidR="00092893" w:rsidRPr="009118AB">
        <w:rPr>
          <w:rFonts w:ascii="Times New Roman Italique" w:hAnsi="Times New Roman Italique"/>
          <w:i/>
          <w:iCs/>
          <w:spacing w:val="-2"/>
        </w:rPr>
        <w:t>126</w:t>
      </w:r>
      <w:r w:rsidR="00092893" w:rsidRPr="009118AB">
        <w:rPr>
          <w:i/>
          <w:iCs/>
          <w:spacing w:val="-2"/>
        </w:rPr>
        <w:t xml:space="preserve"> des G. vom 25. Dezember 2017 (IV) (B.S. vom 29. Dezember 2017)</w:t>
      </w:r>
      <w:r w:rsidR="00D67EB8" w:rsidRPr="009118AB">
        <w:rPr>
          <w:i/>
          <w:iCs/>
          <w:spacing w:val="-2"/>
        </w:rPr>
        <w:t> - </w:t>
      </w:r>
      <w:r w:rsidR="00092893" w:rsidRPr="009118AB">
        <w:rPr>
          <w:i/>
          <w:iCs/>
          <w:spacing w:val="-2"/>
        </w:rPr>
        <w:t>anwendbar ab dem Steuerjahr 2018</w:t>
      </w:r>
      <w:r w:rsidR="00FD68E8" w:rsidRPr="009118AB">
        <w:rPr>
          <w:i/>
          <w:iCs/>
          <w:spacing w:val="-2"/>
        </w:rPr>
        <w:t> -]</w:t>
      </w:r>
    </w:p>
    <w:p w14:paraId="3F9DE5C2" w14:textId="77777777" w:rsidR="00C030D3" w:rsidRPr="009118AB" w:rsidRDefault="00C030D3" w:rsidP="00C030D3">
      <w:pPr>
        <w:autoSpaceDE w:val="0"/>
        <w:autoSpaceDN w:val="0"/>
        <w:adjustRightInd w:val="0"/>
        <w:jc w:val="both"/>
        <w:rPr>
          <w:rFonts w:ascii="Times New Roman Italique" w:hAnsi="Times New Roman Italique"/>
          <w:i/>
          <w:iCs/>
          <w:spacing w:val="-2"/>
        </w:rPr>
      </w:pPr>
    </w:p>
    <w:p w14:paraId="145C8778" w14:textId="77777777" w:rsidR="00C030D3" w:rsidRPr="009118AB" w:rsidRDefault="00C030D3" w:rsidP="00C030D3">
      <w:pPr>
        <w:autoSpaceDE w:val="0"/>
        <w:autoSpaceDN w:val="0"/>
        <w:adjustRightInd w:val="0"/>
        <w:jc w:val="both"/>
        <w:rPr>
          <w:rFonts w:ascii="Times New Roman Italique" w:hAnsi="Times New Roman Italique"/>
          <w:i/>
          <w:iCs/>
          <w:spacing w:val="-2"/>
        </w:rPr>
      </w:pPr>
    </w:p>
    <w:p w14:paraId="5C43C921" w14:textId="4FFD4B0B" w:rsidR="00BB67A7" w:rsidRPr="009118AB" w:rsidRDefault="00D67EB8" w:rsidP="00B90C34">
      <w:pPr>
        <w:ind w:firstLine="709"/>
        <w:rPr>
          <w:b/>
          <w:bCs/>
        </w:rPr>
      </w:pPr>
      <w:r w:rsidRPr="009118AB">
        <w:rPr>
          <w:b/>
          <w:bCs/>
        </w:rPr>
        <w:t>Art. </w:t>
      </w:r>
      <w:r w:rsidR="00477B8F" w:rsidRPr="009118AB">
        <w:rPr>
          <w:b/>
          <w:bCs/>
        </w:rPr>
        <w:t>245</w:t>
      </w:r>
      <w:r w:rsidRPr="009118AB">
        <w:t> - </w:t>
      </w:r>
      <w:r w:rsidR="00BB67A7" w:rsidRPr="009118AB">
        <w:t>[Die gemäß den Artikeln 243 bis 244 festgelegte Steuer wird zugunsten des Staates um sechs Zuschlaghundertstel erhöht, die wie folgt berechnet werden:</w:t>
      </w:r>
    </w:p>
    <w:p w14:paraId="2F87EB81" w14:textId="77777777" w:rsidR="00BB67A7" w:rsidRPr="009118AB" w:rsidRDefault="00BB67A7" w:rsidP="00BB67A7">
      <w:pPr>
        <w:jc w:val="both"/>
      </w:pPr>
    </w:p>
    <w:p w14:paraId="0C6278A7" w14:textId="77777777" w:rsidR="00BB67A7" w:rsidRPr="009118AB" w:rsidRDefault="00BB67A7" w:rsidP="00BB67A7">
      <w:pPr>
        <w:jc w:val="both"/>
      </w:pPr>
      <w:r w:rsidRPr="009118AB">
        <w:tab/>
        <w:t>1. in Bezug auf die gemäß den Artikeln 243 und 243/1 festgelegte Steuer: auf die Steuer, die bestimmt wird:</w:t>
      </w:r>
    </w:p>
    <w:p w14:paraId="38BB4867" w14:textId="77777777" w:rsidR="00BB67A7" w:rsidRPr="009118AB" w:rsidRDefault="00BB67A7" w:rsidP="00BB67A7">
      <w:pPr>
        <w:jc w:val="both"/>
      </w:pPr>
    </w:p>
    <w:p w14:paraId="03D577EE" w14:textId="56A5396C" w:rsidR="00BB67A7" w:rsidRPr="009118AB" w:rsidRDefault="00BB67A7" w:rsidP="00BB67A7">
      <w:pPr>
        <w:jc w:val="both"/>
      </w:pPr>
      <w:r w:rsidRPr="009118AB">
        <w:tab/>
        <w:t>- vor Anwendung der in den Artikeln </w:t>
      </w:r>
      <w:r w:rsidR="0052245F" w:rsidRPr="009118AB">
        <w:t xml:space="preserve">[25/1, 27/1,] </w:t>
      </w:r>
      <w:r w:rsidR="00C030D3" w:rsidRPr="009118AB">
        <w:t>[</w:t>
      </w:r>
      <w:r w:rsidR="00B90C34" w:rsidRPr="009118AB">
        <w:t>...</w:t>
      </w:r>
      <w:r w:rsidR="00C030D3" w:rsidRPr="009118AB">
        <w:t xml:space="preserve">] </w:t>
      </w:r>
      <w:r w:rsidR="005A5A87" w:rsidRPr="009118AB">
        <w:t>[</w:t>
      </w:r>
      <w:r w:rsidR="00E76F0E" w:rsidRPr="009118AB">
        <w:rPr>
          <w:rFonts w:eastAsia="Calibri"/>
        </w:rPr>
        <w:t>145</w:t>
      </w:r>
      <w:r w:rsidR="00E76F0E" w:rsidRPr="009118AB">
        <w:rPr>
          <w:rFonts w:eastAsia="Calibri"/>
          <w:vertAlign w:val="superscript"/>
        </w:rPr>
        <w:t>7</w:t>
      </w:r>
      <w:r w:rsidR="00E76F0E" w:rsidRPr="009118AB">
        <w:rPr>
          <w:rFonts w:eastAsia="Calibri"/>
        </w:rPr>
        <w:t xml:space="preserve"> </w:t>
      </w:r>
      <w:r w:rsidR="00D67EB8" w:rsidRPr="009118AB">
        <w:rPr>
          <w:rFonts w:eastAsia="Calibri"/>
        </w:rPr>
        <w:t>§ </w:t>
      </w:r>
      <w:r w:rsidR="00E76F0E" w:rsidRPr="009118AB">
        <w:rPr>
          <w:rFonts w:eastAsia="Calibri"/>
        </w:rPr>
        <w:t>2, 145</w:t>
      </w:r>
      <w:r w:rsidR="00E76F0E" w:rsidRPr="009118AB">
        <w:rPr>
          <w:rFonts w:eastAsia="Calibri"/>
          <w:vertAlign w:val="superscript"/>
        </w:rPr>
        <w:t>26</w:t>
      </w:r>
      <w:r w:rsidR="00E76F0E" w:rsidRPr="009118AB">
        <w:rPr>
          <w:rFonts w:eastAsia="Calibri"/>
        </w:rPr>
        <w:t xml:space="preserve"> </w:t>
      </w:r>
      <w:r w:rsidR="00D67EB8" w:rsidRPr="009118AB">
        <w:rPr>
          <w:rFonts w:eastAsia="Calibri"/>
        </w:rPr>
        <w:t>§ </w:t>
      </w:r>
      <w:r w:rsidR="00E76F0E" w:rsidRPr="009118AB">
        <w:rPr>
          <w:rFonts w:eastAsia="Calibri"/>
        </w:rPr>
        <w:t>5, 145</w:t>
      </w:r>
      <w:r w:rsidR="00E76F0E" w:rsidRPr="009118AB">
        <w:rPr>
          <w:rFonts w:eastAsia="Calibri"/>
          <w:vertAlign w:val="superscript"/>
        </w:rPr>
        <w:t>27</w:t>
      </w:r>
      <w:r w:rsidR="00E76F0E" w:rsidRPr="009118AB">
        <w:rPr>
          <w:rFonts w:eastAsia="Calibri"/>
        </w:rPr>
        <w:t xml:space="preserve"> </w:t>
      </w:r>
      <w:r w:rsidR="00D67EB8" w:rsidRPr="009118AB">
        <w:rPr>
          <w:rFonts w:eastAsia="Calibri"/>
        </w:rPr>
        <w:t>§ </w:t>
      </w:r>
      <w:r w:rsidR="00E76F0E" w:rsidRPr="009118AB">
        <w:rPr>
          <w:rFonts w:eastAsia="Calibri"/>
        </w:rPr>
        <w:t>4</w:t>
      </w:r>
      <w:r w:rsidR="005A5A87" w:rsidRPr="009118AB">
        <w:t>]</w:t>
      </w:r>
      <w:r w:rsidRPr="009118AB">
        <w:t>, 145</w:t>
      </w:r>
      <w:r w:rsidRPr="009118AB">
        <w:rPr>
          <w:vertAlign w:val="superscript"/>
        </w:rPr>
        <w:t>32</w:t>
      </w:r>
      <w:r w:rsidRPr="009118AB">
        <w:t xml:space="preserve"> </w:t>
      </w:r>
      <w:r w:rsidR="00D67EB8" w:rsidRPr="009118AB">
        <w:t>§ </w:t>
      </w:r>
      <w:r w:rsidRPr="009118AB">
        <w:t xml:space="preserve">2 und </w:t>
      </w:r>
      <w:r w:rsidR="00B76D50" w:rsidRPr="009118AB">
        <w:t>[</w:t>
      </w:r>
      <w:r w:rsidRPr="009118AB">
        <w:t>157 bis 168</w:t>
      </w:r>
      <w:r w:rsidR="00B76D50" w:rsidRPr="009118AB">
        <w:t>/1]</w:t>
      </w:r>
      <w:r w:rsidRPr="009118AB">
        <w:t xml:space="preserve"> vorgesehenen Erhöhungen,</w:t>
      </w:r>
    </w:p>
    <w:p w14:paraId="2F669724" w14:textId="77777777" w:rsidR="00BB67A7" w:rsidRPr="009118AB" w:rsidRDefault="00BB67A7" w:rsidP="00BB67A7">
      <w:pPr>
        <w:jc w:val="both"/>
      </w:pPr>
    </w:p>
    <w:p w14:paraId="0DC103F7" w14:textId="0B1BF2AB" w:rsidR="00BB67A7" w:rsidRPr="009118AB" w:rsidRDefault="00BB67A7" w:rsidP="00BB67A7">
      <w:pPr>
        <w:jc w:val="both"/>
      </w:pPr>
      <w:r w:rsidRPr="009118AB">
        <w:tab/>
        <w:t xml:space="preserve">- vor Anrechnung </w:t>
      </w:r>
      <w:r w:rsidR="00D828AE" w:rsidRPr="009118AB">
        <w:t>[</w:t>
      </w:r>
      <w:r w:rsidR="00D828AE" w:rsidRPr="009118AB">
        <w:rPr>
          <w:rFonts w:eastAsia="Calibri"/>
        </w:rPr>
        <w:t xml:space="preserve">der in den Artikeln 134 </w:t>
      </w:r>
      <w:r w:rsidR="00D67EB8" w:rsidRPr="009118AB">
        <w:rPr>
          <w:rFonts w:eastAsia="Calibri"/>
        </w:rPr>
        <w:t>§ </w:t>
      </w:r>
      <w:r w:rsidR="00D828AE" w:rsidRPr="009118AB">
        <w:rPr>
          <w:rFonts w:eastAsia="Calibri"/>
        </w:rPr>
        <w:t>3 und 145</w:t>
      </w:r>
      <w:r w:rsidR="00D828AE" w:rsidRPr="009118AB">
        <w:rPr>
          <w:rFonts w:eastAsia="Calibri"/>
          <w:vertAlign w:val="superscript"/>
        </w:rPr>
        <w:t>35</w:t>
      </w:r>
      <w:r w:rsidR="00D828AE" w:rsidRPr="009118AB">
        <w:rPr>
          <w:rFonts w:eastAsia="Calibri"/>
        </w:rPr>
        <w:t xml:space="preserve"> Absatz 10 erwähnten Steuergutschriften</w:t>
      </w:r>
      <w:r w:rsidR="00D828AE" w:rsidRPr="009118AB">
        <w:t>]</w:t>
      </w:r>
      <w:r w:rsidRPr="009118AB">
        <w:t>, der in den Artikeln 175 bis 177 erwähnten Vergütung, der in den Artikeln </w:t>
      </w:r>
      <w:r w:rsidR="00B76D50" w:rsidRPr="009118AB">
        <w:t>[</w:t>
      </w:r>
      <w:r w:rsidRPr="009118AB">
        <w:t>157 bis 168</w:t>
      </w:r>
      <w:r w:rsidR="00B76D50" w:rsidRPr="009118AB">
        <w:t>/1]</w:t>
      </w:r>
      <w:r w:rsidRPr="009118AB">
        <w:t xml:space="preserve"> und 175 bis 177 erwähnten Vorauszahlungen, des Pauschalanteils ausländischer Steuer, des Mobilien- und Berufssteuervorabzugs und der in den Artikeln 289</w:t>
      </w:r>
      <w:r w:rsidRPr="009118AB">
        <w:rPr>
          <w:i/>
        </w:rPr>
        <w:t>bis</w:t>
      </w:r>
      <w:r w:rsidRPr="009118AB">
        <w:t>, 289</w:t>
      </w:r>
      <w:r w:rsidRPr="009118AB">
        <w:rPr>
          <w:i/>
        </w:rPr>
        <w:t>ter</w:t>
      </w:r>
      <w:r w:rsidRPr="009118AB">
        <w:t xml:space="preserve"> und 289</w:t>
      </w:r>
      <w:r w:rsidRPr="009118AB">
        <w:rPr>
          <w:i/>
        </w:rPr>
        <w:t>ter</w:t>
      </w:r>
      <w:r w:rsidRPr="009118AB">
        <w:t>/1 erwähnten Steuergutschriften,</w:t>
      </w:r>
    </w:p>
    <w:p w14:paraId="40C1E3F0" w14:textId="77777777" w:rsidR="00BB67A7" w:rsidRPr="009118AB" w:rsidRDefault="00BB67A7" w:rsidP="00BB67A7">
      <w:pPr>
        <w:jc w:val="both"/>
      </w:pPr>
    </w:p>
    <w:p w14:paraId="6952336B" w14:textId="77777777" w:rsidR="00BB67A7" w:rsidRPr="009118AB" w:rsidRDefault="00BB67A7" w:rsidP="00BB67A7">
      <w:pPr>
        <w:jc w:val="both"/>
      </w:pPr>
      <w:r w:rsidRPr="009118AB">
        <w:tab/>
        <w:t>- vor Anwendung der in Artikel 444 erwähnten Steuerzuschläge,</w:t>
      </w:r>
    </w:p>
    <w:p w14:paraId="118B89C8" w14:textId="77777777" w:rsidR="00BB67A7" w:rsidRPr="009118AB" w:rsidRDefault="00BB67A7" w:rsidP="00BB67A7">
      <w:pPr>
        <w:jc w:val="both"/>
      </w:pPr>
    </w:p>
    <w:p w14:paraId="31318570" w14:textId="77777777" w:rsidR="00DD3821" w:rsidRPr="009118AB" w:rsidRDefault="00BB67A7" w:rsidP="00DD3821">
      <w:pPr>
        <w:autoSpaceDE w:val="0"/>
        <w:autoSpaceDN w:val="0"/>
        <w:adjustRightInd w:val="0"/>
        <w:jc w:val="both"/>
      </w:pPr>
      <w:r w:rsidRPr="009118AB">
        <w:tab/>
        <w:t>2. in Bezug auf die gemäß Artikel 244 festgelegte Steuer: wie in Artikel 466 bestimmt.]</w:t>
      </w:r>
    </w:p>
    <w:p w14:paraId="53D8F3FA" w14:textId="77777777" w:rsidR="00DD3821" w:rsidRPr="009118AB" w:rsidRDefault="00DD3821" w:rsidP="00DD3821">
      <w:pPr>
        <w:autoSpaceDE w:val="0"/>
        <w:autoSpaceDN w:val="0"/>
        <w:adjustRightInd w:val="0"/>
        <w:jc w:val="both"/>
      </w:pPr>
    </w:p>
    <w:p w14:paraId="451492F0" w14:textId="77777777" w:rsidR="00477B8F" w:rsidRPr="009118AB" w:rsidRDefault="00477B8F" w:rsidP="00DD3821">
      <w:pPr>
        <w:autoSpaceDE w:val="0"/>
        <w:autoSpaceDN w:val="0"/>
        <w:adjustRightInd w:val="0"/>
        <w:jc w:val="both"/>
      </w:pPr>
      <w:r w:rsidRPr="009118AB">
        <w:tab/>
        <w:t>[Der König kann durch einen im Ministerrat beratenen Erlass diese Zuschlaghundertstel auf höchstens sieben Zuschlaghundertstel erhöhen.]</w:t>
      </w:r>
    </w:p>
    <w:p w14:paraId="4155E837" w14:textId="77777777" w:rsidR="00477B8F" w:rsidRPr="009118AB" w:rsidRDefault="00477B8F" w:rsidP="00477B8F">
      <w:pPr>
        <w:autoSpaceDE w:val="0"/>
        <w:autoSpaceDN w:val="0"/>
        <w:adjustRightInd w:val="0"/>
        <w:jc w:val="both"/>
      </w:pPr>
    </w:p>
    <w:p w14:paraId="17BA5675" w14:textId="1985A7F5"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245 </w:t>
      </w:r>
      <w:r w:rsidR="00D67EB8" w:rsidRPr="009118AB">
        <w:rPr>
          <w:i/>
          <w:iCs/>
        </w:rPr>
        <w:t>Abs. </w:t>
      </w:r>
      <w:r w:rsidR="00BB67A7" w:rsidRPr="009118AB">
        <w:rPr>
          <w:i/>
          <w:iCs/>
        </w:rPr>
        <w:t xml:space="preserve">1 ersetzt durch </w:t>
      </w:r>
      <w:r w:rsidR="00D67EB8" w:rsidRPr="009118AB">
        <w:rPr>
          <w:i/>
          <w:iCs/>
        </w:rPr>
        <w:t>Art. </w:t>
      </w:r>
      <w:r w:rsidR="00BB67A7" w:rsidRPr="009118AB">
        <w:rPr>
          <w:i/>
          <w:iCs/>
        </w:rPr>
        <w:t>79</w:t>
      </w:r>
      <w:r w:rsidR="00BB67A7" w:rsidRPr="009118AB">
        <w:rPr>
          <w:i/>
        </w:rPr>
        <w:t xml:space="preserve"> des G. vom 8. Mai 2014 (B.S. vom 28. Mai 2014)</w:t>
      </w:r>
      <w:r w:rsidR="00D67EB8" w:rsidRPr="009118AB">
        <w:rPr>
          <w:i/>
        </w:rPr>
        <w:t> - </w:t>
      </w:r>
      <w:r w:rsidR="00BB67A7" w:rsidRPr="009118AB">
        <w:rPr>
          <w:i/>
          <w:iCs/>
        </w:rPr>
        <w:t>anwendbar ab dem Steuerjahr 2015</w:t>
      </w:r>
      <w:r w:rsidR="003366D9" w:rsidRPr="009118AB">
        <w:rPr>
          <w:i/>
          <w:iCs/>
        </w:rPr>
        <w:t> -;</w:t>
      </w:r>
      <w:r w:rsidR="00BB67A7" w:rsidRPr="009118AB">
        <w:rPr>
          <w:i/>
          <w:iCs/>
        </w:rPr>
        <w:t xml:space="preserve"> </w:t>
      </w:r>
      <w:r w:rsidR="00D67EB8" w:rsidRPr="009118AB">
        <w:rPr>
          <w:i/>
          <w:iCs/>
        </w:rPr>
        <w:t>Abs. </w:t>
      </w:r>
      <w:r w:rsidR="005A5A87" w:rsidRPr="009118AB">
        <w:rPr>
          <w:i/>
          <w:iCs/>
        </w:rPr>
        <w:t xml:space="preserve">1 </w:t>
      </w:r>
      <w:r w:rsidR="00D67EB8" w:rsidRPr="009118AB">
        <w:rPr>
          <w:i/>
          <w:iCs/>
        </w:rPr>
        <w:t>Nr. </w:t>
      </w:r>
      <w:r w:rsidR="005A5A87" w:rsidRPr="009118AB">
        <w:rPr>
          <w:i/>
          <w:iCs/>
        </w:rPr>
        <w:t xml:space="preserve">1 einziger Absatz erster Gedankenstrich abgeändert durch </w:t>
      </w:r>
      <w:r w:rsidR="00D67EB8" w:rsidRPr="009118AB">
        <w:rPr>
          <w:i/>
          <w:iCs/>
        </w:rPr>
        <w:t>Art. </w:t>
      </w:r>
      <w:r w:rsidR="005A5A87" w:rsidRPr="009118AB">
        <w:rPr>
          <w:i/>
          <w:iCs/>
        </w:rPr>
        <w:t>54 des G. vom 10. August 2015 (B.S. vom 18. August 2015)</w:t>
      </w:r>
      <w:r w:rsidR="00D67EB8" w:rsidRPr="009118AB">
        <w:rPr>
          <w:i/>
          <w:iCs/>
        </w:rPr>
        <w:t> - </w:t>
      </w:r>
      <w:r w:rsidR="005A5A87" w:rsidRPr="009118AB">
        <w:rPr>
          <w:i/>
          <w:iCs/>
        </w:rPr>
        <w:t>anwendbar ab dem Steuerjahr 2016</w:t>
      </w:r>
      <w:r w:rsidR="00FD68E8" w:rsidRPr="009118AB">
        <w:rPr>
          <w:i/>
          <w:iCs/>
        </w:rPr>
        <w:t> -,</w:t>
      </w:r>
      <w:r w:rsidR="00E76F0E" w:rsidRPr="009118AB">
        <w:rPr>
          <w:i/>
          <w:iCs/>
        </w:rPr>
        <w:t xml:space="preserve"> </w:t>
      </w:r>
      <w:r w:rsidR="00D67EB8" w:rsidRPr="009118AB">
        <w:rPr>
          <w:i/>
          <w:iCs/>
        </w:rPr>
        <w:t>Art. </w:t>
      </w:r>
      <w:r w:rsidR="00E76F0E" w:rsidRPr="009118AB">
        <w:rPr>
          <w:i/>
          <w:iCs/>
        </w:rPr>
        <w:t>36 des G. vom 26. März 2018 (B.S. vom 30. März 2018)</w:t>
      </w:r>
      <w:r w:rsidR="00D67EB8" w:rsidRPr="009118AB">
        <w:rPr>
          <w:i/>
          <w:iCs/>
        </w:rPr>
        <w:t> - </w:t>
      </w:r>
      <w:r w:rsidR="00E76F0E" w:rsidRPr="009118AB">
        <w:rPr>
          <w:i/>
          <w:iCs/>
        </w:rPr>
        <w:t>wirksam ab dem Steuerjahr 2019</w:t>
      </w:r>
      <w:r w:rsidR="00FD68E8" w:rsidRPr="009118AB">
        <w:rPr>
          <w:i/>
          <w:iCs/>
        </w:rPr>
        <w:t> -,</w:t>
      </w:r>
      <w:r w:rsidR="00B76D50" w:rsidRPr="009118AB">
        <w:rPr>
          <w:i/>
          <w:iCs/>
        </w:rPr>
        <w:t xml:space="preserve"> </w:t>
      </w:r>
      <w:r w:rsidR="00D67EB8" w:rsidRPr="009118AB">
        <w:rPr>
          <w:i/>
          <w:iCs/>
        </w:rPr>
        <w:t>Art. </w:t>
      </w:r>
      <w:r w:rsidR="00B76D50" w:rsidRPr="009118AB">
        <w:rPr>
          <w:i/>
          <w:iCs/>
        </w:rPr>
        <w:t>95</w:t>
      </w:r>
      <w:r w:rsidR="00B76D50" w:rsidRPr="009118AB">
        <w:rPr>
          <w:i/>
          <w:iCs/>
          <w:spacing w:val="-2"/>
        </w:rPr>
        <w:t xml:space="preserve"> des G. vom 11. Februar 2019 (B.S. vom 22. März 2020)</w:t>
      </w:r>
      <w:r w:rsidR="00D67EB8" w:rsidRPr="009118AB">
        <w:rPr>
          <w:i/>
          <w:iCs/>
          <w:spacing w:val="-2"/>
        </w:rPr>
        <w:t> - </w:t>
      </w:r>
      <w:r w:rsidR="00B76D50"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r w:rsidR="00C030D3" w:rsidRPr="009118AB">
        <w:rPr>
          <w:i/>
          <w:iCs/>
          <w:spacing w:val="-2"/>
        </w:rPr>
        <w:t xml:space="preserve"> </w:t>
      </w:r>
      <w:r w:rsidR="00D67EB8" w:rsidRPr="009118AB">
        <w:rPr>
          <w:i/>
          <w:iCs/>
          <w:spacing w:val="-2"/>
        </w:rPr>
        <w:t>Art. </w:t>
      </w:r>
      <w:r w:rsidR="00C030D3" w:rsidRPr="009118AB">
        <w:rPr>
          <w:i/>
          <w:iCs/>
          <w:spacing w:val="-2"/>
        </w:rPr>
        <w:t>31</w:t>
      </w:r>
      <w:r w:rsidR="00C030D3" w:rsidRPr="009118AB">
        <w:rPr>
          <w:i/>
        </w:rPr>
        <w:t xml:space="preserve"> </w:t>
      </w:r>
      <w:r w:rsidR="00C030D3" w:rsidRPr="009118AB">
        <w:rPr>
          <w:i/>
        </w:rPr>
        <w:lastRenderedPageBreak/>
        <w:t>des G. vom 7. April 2019 (I) (B.S. vom 19. April 2019)</w:t>
      </w:r>
      <w:r w:rsidR="00B90C34" w:rsidRPr="009118AB">
        <w:rPr>
          <w:i/>
        </w:rPr>
        <w:t>,</w:t>
      </w:r>
      <w:r w:rsidR="0052245F" w:rsidRPr="009118AB">
        <w:rPr>
          <w:i/>
        </w:rPr>
        <w:t xml:space="preserve"> </w:t>
      </w:r>
      <w:r w:rsidR="00D67EB8" w:rsidRPr="009118AB">
        <w:rPr>
          <w:i/>
        </w:rPr>
        <w:t>Art. </w:t>
      </w:r>
      <w:r w:rsidR="0052245F" w:rsidRPr="009118AB">
        <w:rPr>
          <w:i/>
        </w:rPr>
        <w:t>14</w:t>
      </w:r>
      <w:r w:rsidR="0052245F" w:rsidRPr="009118AB">
        <w:rPr>
          <w:i/>
          <w:iCs/>
        </w:rPr>
        <w:t xml:space="preserve"> des G. vom 23. Juni 2020 (B.S. vom 1. Juli 2020)</w:t>
      </w:r>
      <w:r w:rsidR="00B90C34" w:rsidRPr="009118AB">
        <w:rPr>
          <w:i/>
          <w:iCs/>
        </w:rPr>
        <w:t xml:space="preserve"> und Art. 15 des G. vom 31. Juli 2023 (II) (B.S. vom 23. August 2023)</w:t>
      </w:r>
      <w:r w:rsidR="006B5F7D" w:rsidRPr="009118AB">
        <w:rPr>
          <w:i/>
          <w:iCs/>
        </w:rPr>
        <w:t>;</w:t>
      </w:r>
      <w:r w:rsidR="00D828AE" w:rsidRPr="009118AB">
        <w:rPr>
          <w:i/>
          <w:iCs/>
        </w:rPr>
        <w:t xml:space="preserve"> </w:t>
      </w:r>
      <w:r w:rsidR="00D67EB8" w:rsidRPr="009118AB">
        <w:rPr>
          <w:i/>
          <w:iCs/>
        </w:rPr>
        <w:t>Abs. </w:t>
      </w:r>
      <w:r w:rsidR="00D828AE" w:rsidRPr="009118AB">
        <w:rPr>
          <w:i/>
          <w:iCs/>
        </w:rPr>
        <w:t xml:space="preserve">1 </w:t>
      </w:r>
      <w:r w:rsidR="00D67EB8" w:rsidRPr="009118AB">
        <w:rPr>
          <w:i/>
          <w:iCs/>
        </w:rPr>
        <w:t>Nr. </w:t>
      </w:r>
      <w:r w:rsidR="00D828AE" w:rsidRPr="009118AB">
        <w:rPr>
          <w:i/>
          <w:iCs/>
        </w:rPr>
        <w:t xml:space="preserve">1 einziger Absatz zweiter Gedankenstrich abgeändert durch </w:t>
      </w:r>
      <w:r w:rsidR="00D67EB8" w:rsidRPr="009118AB">
        <w:rPr>
          <w:i/>
          <w:iCs/>
        </w:rPr>
        <w:t>Art. </w:t>
      </w:r>
      <w:r w:rsidR="00D828AE" w:rsidRPr="009118AB">
        <w:rPr>
          <w:i/>
          <w:iCs/>
        </w:rPr>
        <w:t>68 des G. vom 26. März 2018 (B.S. vom 30. März 2018)</w:t>
      </w:r>
      <w:r w:rsidR="00D67EB8" w:rsidRPr="009118AB">
        <w:rPr>
          <w:i/>
          <w:iCs/>
        </w:rPr>
        <w:t> - </w:t>
      </w:r>
      <w:r w:rsidR="00D828AE" w:rsidRPr="009118AB">
        <w:rPr>
          <w:i/>
          <w:iCs/>
        </w:rPr>
        <w:t>wirksam ab dem Steuerjahr 2018</w:t>
      </w:r>
      <w:r w:rsidR="00D67EB8" w:rsidRPr="009118AB">
        <w:rPr>
          <w:i/>
          <w:iCs/>
        </w:rPr>
        <w:t> - </w:t>
      </w:r>
      <w:r w:rsidR="00B76D50" w:rsidRPr="009118AB">
        <w:rPr>
          <w:i/>
          <w:iCs/>
        </w:rPr>
        <w:t xml:space="preserve">und </w:t>
      </w:r>
      <w:r w:rsidR="00D67EB8" w:rsidRPr="009118AB">
        <w:rPr>
          <w:i/>
          <w:iCs/>
        </w:rPr>
        <w:t>Art. </w:t>
      </w:r>
      <w:r w:rsidR="00B76D50" w:rsidRPr="009118AB">
        <w:rPr>
          <w:i/>
          <w:iCs/>
        </w:rPr>
        <w:t>95</w:t>
      </w:r>
      <w:r w:rsidR="00B76D50" w:rsidRPr="009118AB">
        <w:rPr>
          <w:i/>
          <w:iCs/>
          <w:spacing w:val="-2"/>
        </w:rPr>
        <w:t xml:space="preserve"> des G. vom 11. Februar 2019 (B.S. vom 22. März 2020)</w:t>
      </w:r>
      <w:r w:rsidR="00D67EB8" w:rsidRPr="009118AB">
        <w:rPr>
          <w:i/>
          <w:iCs/>
          <w:spacing w:val="-2"/>
        </w:rPr>
        <w:t> - </w:t>
      </w:r>
      <w:r w:rsidR="00B76D50"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D828AE"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398 des G. (I) vom 24. Dezember 2002</w:t>
      </w:r>
      <w:r w:rsidR="00BB67A7" w:rsidRPr="009118AB">
        <w:rPr>
          <w:i/>
          <w:iCs/>
        </w:rPr>
        <w:t> </w:t>
      </w:r>
      <w:r w:rsidR="00D86BCC" w:rsidRPr="009118AB">
        <w:rPr>
          <w:i/>
          <w:iCs/>
        </w:rPr>
        <w:t>(I)</w:t>
      </w:r>
      <w:r w:rsidRPr="009118AB">
        <w:rPr>
          <w:i/>
          <w:iCs/>
        </w:rPr>
        <w:t xml:space="preserve"> (B.S. vom 31. Dezember 2002)</w:t>
      </w:r>
      <w:r w:rsidR="00D67EB8" w:rsidRPr="009118AB">
        <w:rPr>
          <w:i/>
          <w:iCs/>
        </w:rPr>
        <w:t> - </w:t>
      </w:r>
      <w:r w:rsidRPr="009118AB">
        <w:rPr>
          <w:i/>
          <w:iCs/>
        </w:rPr>
        <w:t>in Kraft ab dem St</w:t>
      </w:r>
      <w:r w:rsidR="00BB67A7" w:rsidRPr="009118AB">
        <w:rPr>
          <w:i/>
          <w:iCs/>
        </w:rPr>
        <w:t>euerjahr </w:t>
      </w:r>
      <w:r w:rsidRPr="009118AB">
        <w:rPr>
          <w:i/>
          <w:iCs/>
        </w:rPr>
        <w:t>2005</w:t>
      </w:r>
      <w:r w:rsidR="00FD68E8" w:rsidRPr="009118AB">
        <w:rPr>
          <w:i/>
          <w:iCs/>
        </w:rPr>
        <w:t> -]</w:t>
      </w:r>
    </w:p>
    <w:p w14:paraId="62937D20" w14:textId="77777777" w:rsidR="00477B8F" w:rsidRPr="009118AB" w:rsidRDefault="00477B8F" w:rsidP="00477B8F">
      <w:pPr>
        <w:autoSpaceDE w:val="0"/>
        <w:autoSpaceDN w:val="0"/>
        <w:adjustRightInd w:val="0"/>
        <w:jc w:val="both"/>
      </w:pPr>
    </w:p>
    <w:p w14:paraId="4F341E6C" w14:textId="77777777" w:rsidR="00477B8F" w:rsidRPr="009118AB" w:rsidRDefault="00477B8F" w:rsidP="00477B8F">
      <w:pPr>
        <w:autoSpaceDE w:val="0"/>
        <w:autoSpaceDN w:val="0"/>
        <w:adjustRightInd w:val="0"/>
        <w:jc w:val="both"/>
      </w:pPr>
    </w:p>
    <w:p w14:paraId="1D80015C" w14:textId="727A44E5" w:rsidR="00C642C2" w:rsidRPr="009118AB" w:rsidRDefault="00477B8F" w:rsidP="00C642C2">
      <w:pPr>
        <w:autoSpaceDE w:val="0"/>
        <w:autoSpaceDN w:val="0"/>
        <w:adjustRightInd w:val="0"/>
        <w:jc w:val="both"/>
        <w:rPr>
          <w:iCs/>
        </w:rPr>
      </w:pPr>
      <w:r w:rsidRPr="009118AB">
        <w:tab/>
      </w:r>
      <w:r w:rsidR="00D67EB8" w:rsidRPr="009118AB">
        <w:rPr>
          <w:b/>
          <w:bCs/>
        </w:rPr>
        <w:t>Art. </w:t>
      </w:r>
      <w:r w:rsidRPr="009118AB">
        <w:rPr>
          <w:b/>
          <w:bCs/>
        </w:rPr>
        <w:t>246</w:t>
      </w:r>
      <w:r w:rsidR="00D67EB8" w:rsidRPr="009118AB">
        <w:rPr>
          <w:b/>
          <w:bCs/>
        </w:rPr>
        <w:t> - </w:t>
      </w:r>
      <w:r w:rsidR="00C642C2" w:rsidRPr="009118AB">
        <w:rPr>
          <w:iCs/>
        </w:rPr>
        <w:t>In den in Artikel 233 erwähnten Fällen:</w:t>
      </w:r>
    </w:p>
    <w:p w14:paraId="52C0DE05" w14:textId="77777777" w:rsidR="00C642C2" w:rsidRPr="009118AB" w:rsidRDefault="00C642C2" w:rsidP="00C642C2">
      <w:pPr>
        <w:autoSpaceDE w:val="0"/>
        <w:autoSpaceDN w:val="0"/>
        <w:adjustRightInd w:val="0"/>
        <w:jc w:val="both"/>
        <w:rPr>
          <w:iCs/>
        </w:rPr>
      </w:pPr>
    </w:p>
    <w:p w14:paraId="4C12371D" w14:textId="16060A5A" w:rsidR="00C642C2" w:rsidRPr="009118AB" w:rsidRDefault="00C642C2" w:rsidP="00496BAA">
      <w:pPr>
        <w:autoSpaceDE w:val="0"/>
        <w:autoSpaceDN w:val="0"/>
        <w:adjustRightInd w:val="0"/>
        <w:ind w:firstLine="709"/>
        <w:jc w:val="both"/>
        <w:rPr>
          <w:iCs/>
        </w:rPr>
      </w:pPr>
      <w:r w:rsidRPr="009118AB">
        <w:rPr>
          <w:iCs/>
        </w:rPr>
        <w:t xml:space="preserve">1. [wird die Steuer unbeschadet der Anwendung von Artikel 218 gemäß den [in den Artikeln 215[, 217 und 217/1]] vorgesehenen Sätzen und Regeln berechnet, wobei in Bezug auf die in vorerwähntem Artikel 215 Absatz 2 und 3 </w:t>
      </w:r>
      <w:r w:rsidR="00D67EB8" w:rsidRPr="009118AB">
        <w:rPr>
          <w:iCs/>
        </w:rPr>
        <w:t>Nr. </w:t>
      </w:r>
      <w:r w:rsidRPr="009118AB">
        <w:rPr>
          <w:iCs/>
        </w:rPr>
        <w:t>4 festgelegten Regeln nur die in Artikel 233 Absatz 1 erwähnten Gewinne berücksichtigt werden,]</w:t>
      </w:r>
    </w:p>
    <w:p w14:paraId="71D93072" w14:textId="77777777" w:rsidR="00C642C2" w:rsidRPr="009118AB" w:rsidRDefault="00C642C2" w:rsidP="00C642C2">
      <w:pPr>
        <w:autoSpaceDE w:val="0"/>
        <w:autoSpaceDN w:val="0"/>
        <w:adjustRightInd w:val="0"/>
        <w:jc w:val="both"/>
        <w:rPr>
          <w:iCs/>
        </w:rPr>
      </w:pPr>
    </w:p>
    <w:p w14:paraId="3424683F" w14:textId="6652C014" w:rsidR="00C642C2" w:rsidRPr="009118AB" w:rsidRDefault="00C642C2" w:rsidP="00496BAA">
      <w:pPr>
        <w:autoSpaceDE w:val="0"/>
        <w:autoSpaceDN w:val="0"/>
        <w:adjustRightInd w:val="0"/>
        <w:ind w:firstLine="709"/>
        <w:jc w:val="both"/>
        <w:rPr>
          <w:iCs/>
        </w:rPr>
      </w:pPr>
      <w:r w:rsidRPr="009118AB">
        <w:rPr>
          <w:iCs/>
        </w:rPr>
        <w:t xml:space="preserve">2. [wird die getrennte Steuer </w:t>
      </w:r>
      <w:r w:rsidR="00217093" w:rsidRPr="009118AB">
        <w:rPr>
          <w:iCs/>
        </w:rPr>
        <w:t>[</w:t>
      </w:r>
      <w:r w:rsidR="00217093" w:rsidRPr="009118AB">
        <w:rPr>
          <w:rFonts w:eastAsia="Calibri"/>
          <w:kern w:val="2"/>
          <w:szCs w:val="22"/>
          <w:lang w:eastAsia="en-US"/>
          <w14:ligatures w14:val="standardContextual"/>
        </w:rPr>
        <w:t>auf nicht nachgewiesene Ausgaben, Vorteile jeglicher Art und Einkünfte wie in Artikel 17 § 1 Nr. 3, was Urheberrechte und ähnliche Rechte betrifft, und Nr. 5 erwähnt, auf verschleierte Gewinne und auf finanzielle Vorteile oder Vorteile jeglicher Art</w:t>
      </w:r>
      <w:r w:rsidR="00217093" w:rsidRPr="009118AB">
        <w:rPr>
          <w:iCs/>
        </w:rPr>
        <w:t>]</w:t>
      </w:r>
      <w:r w:rsidRPr="009118AB">
        <w:rPr>
          <w:iCs/>
        </w:rPr>
        <w:t xml:space="preserve"> wie in Artikel 233 Absatz 2 erwähnt [zum Satz von 100 Prozent berechnet, außer wenn nachgewiesen werden kann, dass der Empfänger dieser Ausgaben oder Vorte</w:t>
      </w:r>
      <w:r w:rsidR="00AD57AA" w:rsidRPr="009118AB">
        <w:rPr>
          <w:iCs/>
        </w:rPr>
        <w:t>ile eine juristische Person ist[; in diesem Fall]</w:t>
      </w:r>
      <w:r w:rsidRPr="009118AB">
        <w:rPr>
          <w:iCs/>
        </w:rPr>
        <w:t xml:space="preserve"> wird der Steuersatz auf 50 Prozent festgelegt],]</w:t>
      </w:r>
    </w:p>
    <w:p w14:paraId="73C002D7" w14:textId="77777777" w:rsidR="00C642C2" w:rsidRPr="009118AB" w:rsidRDefault="00C642C2" w:rsidP="00C642C2">
      <w:pPr>
        <w:autoSpaceDE w:val="0"/>
        <w:autoSpaceDN w:val="0"/>
        <w:adjustRightInd w:val="0"/>
        <w:jc w:val="both"/>
        <w:rPr>
          <w:iCs/>
        </w:rPr>
      </w:pPr>
    </w:p>
    <w:p w14:paraId="2839D6A9" w14:textId="0F2E1D14" w:rsidR="00C642C2" w:rsidRPr="009118AB" w:rsidRDefault="00C642C2" w:rsidP="00496BAA">
      <w:pPr>
        <w:autoSpaceDE w:val="0"/>
        <w:autoSpaceDN w:val="0"/>
        <w:adjustRightInd w:val="0"/>
        <w:ind w:firstLine="709"/>
        <w:jc w:val="both"/>
        <w:rPr>
          <w:iCs/>
        </w:rPr>
      </w:pPr>
      <w:r w:rsidRPr="009118AB">
        <w:rPr>
          <w:iCs/>
        </w:rPr>
        <w:t>[3. </w:t>
      </w:r>
      <w:r w:rsidR="00836251" w:rsidRPr="009118AB">
        <w:rPr>
          <w:iCs/>
        </w:rPr>
        <w:t>[</w:t>
      </w:r>
      <w:r w:rsidR="00836251" w:rsidRPr="009118AB">
        <w:t>wird die in Artikel 233 Absatz 3 erwähnte getrennte Steuer zu dem in Artikel 219</w:t>
      </w:r>
      <w:r w:rsidR="00836251" w:rsidRPr="009118AB">
        <w:rPr>
          <w:i/>
          <w:iCs/>
        </w:rPr>
        <w:t>ter</w:t>
      </w:r>
      <w:r w:rsidR="00836251" w:rsidRPr="009118AB">
        <w:t xml:space="preserve"> </w:t>
      </w:r>
      <w:r w:rsidR="00D67EB8" w:rsidRPr="009118AB">
        <w:t>§ </w:t>
      </w:r>
      <w:r w:rsidR="00836251" w:rsidRPr="009118AB">
        <w:t>3 erwähnten Satz berechnet,</w:t>
      </w:r>
      <w:r w:rsidRPr="009118AB">
        <w:rPr>
          <w:iCs/>
        </w:rPr>
        <w:t>]</w:t>
      </w:r>
      <w:r w:rsidR="00836251" w:rsidRPr="009118AB">
        <w:rPr>
          <w:iCs/>
        </w:rPr>
        <w:t>]</w:t>
      </w:r>
    </w:p>
    <w:p w14:paraId="5679D3D2" w14:textId="1AC0081E" w:rsidR="003B3AE3" w:rsidRPr="009118AB" w:rsidRDefault="003B3AE3" w:rsidP="00496BAA">
      <w:pPr>
        <w:autoSpaceDE w:val="0"/>
        <w:autoSpaceDN w:val="0"/>
        <w:adjustRightInd w:val="0"/>
        <w:ind w:firstLine="709"/>
        <w:jc w:val="both"/>
        <w:rPr>
          <w:iCs/>
        </w:rPr>
      </w:pPr>
    </w:p>
    <w:p w14:paraId="54041ECB" w14:textId="25584B5D" w:rsidR="003B3AE3" w:rsidRPr="009118AB" w:rsidRDefault="003B3AE3" w:rsidP="00496BAA">
      <w:pPr>
        <w:autoSpaceDE w:val="0"/>
        <w:autoSpaceDN w:val="0"/>
        <w:adjustRightInd w:val="0"/>
        <w:ind w:firstLine="709"/>
        <w:jc w:val="both"/>
        <w:rPr>
          <w:iCs/>
        </w:rPr>
      </w:pPr>
      <w:r w:rsidRPr="009118AB">
        <w:rPr>
          <w:iCs/>
        </w:rPr>
        <w:t>[</w:t>
      </w:r>
      <w:r w:rsidRPr="009118AB">
        <w:t>4. wird die in Artikel 233 Absatz 3 erwähnte getrennte Steuer gemäß den in Artikel 219</w:t>
      </w:r>
      <w:r w:rsidRPr="009118AB">
        <w:rPr>
          <w:i/>
          <w:iCs/>
        </w:rPr>
        <w:t>ter</w:t>
      </w:r>
      <w:r w:rsidRPr="009118AB">
        <w:t xml:space="preserve"> vorgesehenen Regeln berechnet.</w:t>
      </w:r>
      <w:r w:rsidRPr="009118AB">
        <w:rPr>
          <w:iCs/>
        </w:rPr>
        <w:t>]</w:t>
      </w:r>
    </w:p>
    <w:p w14:paraId="4DECE23E" w14:textId="77777777" w:rsidR="00C642C2" w:rsidRPr="009118AB" w:rsidRDefault="00C642C2" w:rsidP="00C642C2">
      <w:pPr>
        <w:autoSpaceDE w:val="0"/>
        <w:autoSpaceDN w:val="0"/>
        <w:adjustRightInd w:val="0"/>
        <w:jc w:val="both"/>
        <w:rPr>
          <w:iCs/>
        </w:rPr>
      </w:pPr>
    </w:p>
    <w:p w14:paraId="13B03DFE" w14:textId="759D5E52" w:rsidR="00C642C2" w:rsidRPr="009118AB" w:rsidRDefault="00C642C2" w:rsidP="00496BAA">
      <w:pPr>
        <w:autoSpaceDE w:val="0"/>
        <w:autoSpaceDN w:val="0"/>
        <w:adjustRightInd w:val="0"/>
        <w:ind w:firstLine="709"/>
        <w:jc w:val="both"/>
        <w:rPr>
          <w:iCs/>
        </w:rPr>
      </w:pPr>
      <w:r w:rsidRPr="009118AB">
        <w:rPr>
          <w:iCs/>
        </w:rPr>
        <w:t xml:space="preserve">[Die Steuer wird unbeschadet der Anwendung von Artikel 218 in folgenden Fällen zu dem in Artikel 217 Absatz 1 </w:t>
      </w:r>
      <w:r w:rsidR="00D67EB8" w:rsidRPr="009118AB">
        <w:rPr>
          <w:iCs/>
        </w:rPr>
        <w:t>Nr. </w:t>
      </w:r>
      <w:r w:rsidRPr="009118AB">
        <w:rPr>
          <w:iCs/>
        </w:rPr>
        <w:t>1 erwähnten Satz berechnet:</w:t>
      </w:r>
    </w:p>
    <w:p w14:paraId="6B46E81A" w14:textId="77777777" w:rsidR="00C642C2" w:rsidRPr="009118AB" w:rsidRDefault="00C642C2" w:rsidP="00C642C2">
      <w:pPr>
        <w:autoSpaceDE w:val="0"/>
        <w:autoSpaceDN w:val="0"/>
        <w:adjustRightInd w:val="0"/>
        <w:jc w:val="both"/>
        <w:rPr>
          <w:iCs/>
        </w:rPr>
      </w:pPr>
    </w:p>
    <w:p w14:paraId="1A431B71" w14:textId="5F8786F1" w:rsidR="00C642C2" w:rsidRPr="009118AB" w:rsidRDefault="00C642C2" w:rsidP="00496BAA">
      <w:pPr>
        <w:autoSpaceDE w:val="0"/>
        <w:autoSpaceDN w:val="0"/>
        <w:adjustRightInd w:val="0"/>
        <w:ind w:firstLine="709"/>
        <w:jc w:val="both"/>
        <w:rPr>
          <w:iCs/>
        </w:rPr>
      </w:pPr>
      <w:r w:rsidRPr="009118AB">
        <w:rPr>
          <w:iCs/>
        </w:rPr>
        <w:t xml:space="preserve">- in dem in Artikel 231 </w:t>
      </w:r>
      <w:r w:rsidR="00D67EB8" w:rsidRPr="009118AB">
        <w:rPr>
          <w:iCs/>
        </w:rPr>
        <w:t>§ </w:t>
      </w:r>
      <w:r w:rsidRPr="009118AB">
        <w:rPr>
          <w:iCs/>
        </w:rPr>
        <w:t>2 Absatz 4 erwähnten Fall,</w:t>
      </w:r>
    </w:p>
    <w:p w14:paraId="1B808A68" w14:textId="77777777" w:rsidR="00C642C2" w:rsidRPr="009118AB" w:rsidRDefault="00C642C2" w:rsidP="00C642C2">
      <w:pPr>
        <w:autoSpaceDE w:val="0"/>
        <w:autoSpaceDN w:val="0"/>
        <w:adjustRightInd w:val="0"/>
        <w:jc w:val="both"/>
        <w:rPr>
          <w:iCs/>
        </w:rPr>
      </w:pPr>
    </w:p>
    <w:p w14:paraId="2D4A6EC8" w14:textId="17A4B6D4" w:rsidR="00C642C2" w:rsidRPr="009118AB" w:rsidRDefault="00C642C2" w:rsidP="00496BAA">
      <w:pPr>
        <w:autoSpaceDE w:val="0"/>
        <w:autoSpaceDN w:val="0"/>
        <w:adjustRightInd w:val="0"/>
        <w:ind w:firstLine="709"/>
        <w:jc w:val="both"/>
        <w:rPr>
          <w:iCs/>
        </w:rPr>
      </w:pPr>
      <w:r w:rsidRPr="009118AB">
        <w:rPr>
          <w:iCs/>
        </w:rPr>
        <w:t xml:space="preserve">- im Falle eines Mehrwertes, der durch einen in Artikel 227 </w:t>
      </w:r>
      <w:r w:rsidR="00D67EB8" w:rsidRPr="009118AB">
        <w:rPr>
          <w:iCs/>
        </w:rPr>
        <w:t>Nr. </w:t>
      </w:r>
      <w:r w:rsidRPr="009118AB">
        <w:rPr>
          <w:iCs/>
        </w:rPr>
        <w:t xml:space="preserve">2 erwähnten Steuerpflichtigen verwirklicht wird bei einer ausschließlich durch neue Aktien oder Anteile vergüteten Einbringung eines unbeweglichen Gutes -gegebenenfalls anlässlich einer in Artikel 231 </w:t>
      </w:r>
      <w:r w:rsidR="00D67EB8" w:rsidRPr="009118AB">
        <w:rPr>
          <w:iCs/>
        </w:rPr>
        <w:t>§ </w:t>
      </w:r>
      <w:r w:rsidRPr="009118AB">
        <w:rPr>
          <w:iCs/>
        </w:rPr>
        <w:t>3 erwähnten Einbringung</w:t>
      </w:r>
      <w:r w:rsidR="00D67EB8" w:rsidRPr="009118AB">
        <w:rPr>
          <w:iCs/>
        </w:rPr>
        <w:t> - </w:t>
      </w:r>
      <w:r w:rsidRPr="009118AB">
        <w:rPr>
          <w:iCs/>
        </w:rPr>
        <w:t>in eine Investmentgesellschaft mit fixem Kapital für Immobilien</w:t>
      </w:r>
      <w:r w:rsidR="00E40DE2" w:rsidRPr="009118AB">
        <w:rPr>
          <w:iCs/>
        </w:rPr>
        <w:t xml:space="preserve">[, </w:t>
      </w:r>
      <w:r w:rsidR="00E40DE2" w:rsidRPr="009118AB">
        <w:t>eine beaufsichtigte Immobiliengesellschaft oder einen europäischen langfristigen Investmentfonds, die/der von der Autorität Finanzielle Dienste und Märkte zugelassen ist, oder in eine beim FÖD Finanzen im Verzeichnis der spezialisierten Immobilieninvestmentfonds eingetragene Gesellschaft]</w:t>
      </w:r>
      <w:r w:rsidRPr="009118AB">
        <w:rPr>
          <w:iCs/>
        </w:rPr>
        <w:t>, insofern die in Artikel 185</w:t>
      </w:r>
      <w:r w:rsidRPr="009118AB">
        <w:rPr>
          <w:i/>
          <w:iCs/>
        </w:rPr>
        <w:t>bis</w:t>
      </w:r>
      <w:r w:rsidRPr="009118AB">
        <w:rPr>
          <w:iCs/>
        </w:rPr>
        <w:t xml:space="preserve"> vorgesehene Regelung auf sie angewandt wird.]</w:t>
      </w:r>
    </w:p>
    <w:p w14:paraId="1B88AE93" w14:textId="77777777" w:rsidR="00C642C2" w:rsidRPr="009118AB" w:rsidRDefault="00C642C2" w:rsidP="00C642C2">
      <w:pPr>
        <w:autoSpaceDE w:val="0"/>
        <w:autoSpaceDN w:val="0"/>
        <w:adjustRightInd w:val="0"/>
        <w:jc w:val="both"/>
        <w:rPr>
          <w:iCs/>
        </w:rPr>
      </w:pPr>
    </w:p>
    <w:p w14:paraId="659DEE8E" w14:textId="2113AD9D" w:rsidR="00C642C2" w:rsidRPr="009118AB" w:rsidRDefault="00C642C2" w:rsidP="00496BAA">
      <w:pPr>
        <w:autoSpaceDE w:val="0"/>
        <w:autoSpaceDN w:val="0"/>
        <w:adjustRightInd w:val="0"/>
        <w:ind w:firstLine="709"/>
        <w:jc w:val="both"/>
        <w:rPr>
          <w:iCs/>
        </w:rPr>
      </w:pPr>
      <w:r w:rsidRPr="009118AB">
        <w:rPr>
          <w:iCs/>
        </w:rPr>
        <w:t xml:space="preserve">[In Abweichung von Absatz 1 wird der Steuersatz auf 5 Prozent festgelegt in Bezug auf Kapital- und Zinszuschüsse, die Landwirten, die in Artikel 227 </w:t>
      </w:r>
      <w:r w:rsidR="00D67EB8" w:rsidRPr="009118AB">
        <w:rPr>
          <w:iCs/>
        </w:rPr>
        <w:t>Nr. </w:t>
      </w:r>
      <w:r w:rsidRPr="009118AB">
        <w:rPr>
          <w:iCs/>
        </w:rPr>
        <w:t xml:space="preserve">2 erwähnte Steuerpflichtige sind, im Rahmen von Beihilfen für die Landwirtschaft von den zuständigen regionalen Einrichtungen unter Beachtung der europäischen Vorschriften im Bereich der staatlichen </w:t>
      </w:r>
      <w:r w:rsidRPr="009118AB">
        <w:rPr>
          <w:iCs/>
        </w:rPr>
        <w:lastRenderedPageBreak/>
        <w:t>Beihilfen gezahlt werden im Hinblick auf Niederlassung, Existenzgründung und/oder Erwerb oder Bildung von immateriellen Anlagen und Sachanlagen.]</w:t>
      </w:r>
    </w:p>
    <w:p w14:paraId="76D59D6B" w14:textId="77777777" w:rsidR="00C642C2" w:rsidRPr="009118AB" w:rsidRDefault="00C642C2" w:rsidP="00C642C2">
      <w:pPr>
        <w:autoSpaceDE w:val="0"/>
        <w:autoSpaceDN w:val="0"/>
        <w:adjustRightInd w:val="0"/>
        <w:jc w:val="both"/>
        <w:rPr>
          <w:iCs/>
        </w:rPr>
      </w:pPr>
    </w:p>
    <w:p w14:paraId="7C04F7EC" w14:textId="724D4D02" w:rsidR="00C642C2" w:rsidRPr="009118AB" w:rsidRDefault="00C642C2" w:rsidP="00496BAA">
      <w:pPr>
        <w:autoSpaceDE w:val="0"/>
        <w:autoSpaceDN w:val="0"/>
        <w:adjustRightInd w:val="0"/>
        <w:ind w:firstLine="709"/>
        <w:jc w:val="both"/>
        <w:rPr>
          <w:iCs/>
        </w:rPr>
      </w:pPr>
      <w:r w:rsidRPr="009118AB">
        <w:rPr>
          <w:iCs/>
        </w:rPr>
        <w:t>[Der in Absatz 3 erwähnte Satz gilt, wenn die Zuschüsse sich auf Investitionen in Sachanlagen oder in immaterielle Anlagen beziehen, die abschreibbar sind und nicht aufgrund der Artikel 44</w:t>
      </w:r>
      <w:r w:rsidRPr="009118AB">
        <w:rPr>
          <w:i/>
          <w:iCs/>
        </w:rPr>
        <w:t>bis</w:t>
      </w:r>
      <w:r w:rsidRPr="009118AB">
        <w:rPr>
          <w:iCs/>
        </w:rPr>
        <w:t>, 44</w:t>
      </w:r>
      <w:r w:rsidRPr="009118AB">
        <w:rPr>
          <w:i/>
          <w:iCs/>
        </w:rPr>
        <w:t>ter</w:t>
      </w:r>
      <w:r w:rsidRPr="009118AB">
        <w:rPr>
          <w:iCs/>
        </w:rPr>
        <w:t>, 47 und 194</w:t>
      </w:r>
      <w:r w:rsidRPr="009118AB">
        <w:rPr>
          <w:i/>
          <w:iCs/>
        </w:rPr>
        <w:t>quater</w:t>
      </w:r>
      <w:r w:rsidRPr="009118AB">
        <w:rPr>
          <w:iCs/>
        </w:rPr>
        <w:t xml:space="preserve"> als Wiederanlage gelten.</w:t>
      </w:r>
      <w:r w:rsidR="00AD1246" w:rsidRPr="009118AB">
        <w:rPr>
          <w:iCs/>
        </w:rPr>
        <w:t>]</w:t>
      </w:r>
    </w:p>
    <w:p w14:paraId="65A801DB" w14:textId="77777777" w:rsidR="00C642C2" w:rsidRPr="009118AB" w:rsidRDefault="00C642C2" w:rsidP="00C642C2">
      <w:pPr>
        <w:autoSpaceDE w:val="0"/>
        <w:autoSpaceDN w:val="0"/>
        <w:adjustRightInd w:val="0"/>
        <w:jc w:val="both"/>
        <w:rPr>
          <w:iCs/>
        </w:rPr>
      </w:pPr>
    </w:p>
    <w:p w14:paraId="795C28C3" w14:textId="2BE5EC7D" w:rsidR="00C642C2" w:rsidRPr="009118AB" w:rsidRDefault="00AD1246" w:rsidP="00496BAA">
      <w:pPr>
        <w:autoSpaceDE w:val="0"/>
        <w:autoSpaceDN w:val="0"/>
        <w:adjustRightInd w:val="0"/>
        <w:ind w:firstLine="709"/>
        <w:jc w:val="both"/>
        <w:rPr>
          <w:iCs/>
        </w:rPr>
      </w:pPr>
      <w:r w:rsidRPr="009118AB">
        <w:rPr>
          <w:iCs/>
        </w:rPr>
        <w:t>[</w:t>
      </w:r>
      <w:r w:rsidR="00C642C2" w:rsidRPr="009118AB">
        <w:rPr>
          <w:iCs/>
        </w:rPr>
        <w:t xml:space="preserve">Weder </w:t>
      </w:r>
      <w:r w:rsidR="00836251" w:rsidRPr="009118AB">
        <w:rPr>
          <w:iCs/>
        </w:rPr>
        <w:t>[</w:t>
      </w:r>
      <w:r w:rsidRPr="009118AB">
        <w:t>einer der in den Artikeln 199 bis 206, 536 und 543 vorgesehenen Abzüge</w:t>
      </w:r>
      <w:r w:rsidR="00836251" w:rsidRPr="009118AB">
        <w:rPr>
          <w:iCs/>
        </w:rPr>
        <w:t>]</w:t>
      </w:r>
      <w:r w:rsidR="00C642C2" w:rsidRPr="009118AB">
        <w:rPr>
          <w:iCs/>
        </w:rPr>
        <w:t xml:space="preserve"> noch ein Ausgleich des Verlusts des Besteuerungszeitraums darf auf die Grundlage der in Absatz 3 erwähnten Steuer angewandt werden.</w:t>
      </w:r>
      <w:r w:rsidRPr="009118AB">
        <w:rPr>
          <w:iCs/>
        </w:rPr>
        <w:t>]</w:t>
      </w:r>
    </w:p>
    <w:p w14:paraId="5F94CADB" w14:textId="77777777" w:rsidR="00C642C2" w:rsidRPr="009118AB" w:rsidRDefault="00C642C2" w:rsidP="00C642C2">
      <w:pPr>
        <w:autoSpaceDE w:val="0"/>
        <w:autoSpaceDN w:val="0"/>
        <w:adjustRightInd w:val="0"/>
        <w:jc w:val="both"/>
        <w:rPr>
          <w:iCs/>
        </w:rPr>
      </w:pPr>
    </w:p>
    <w:p w14:paraId="6A3723E0" w14:textId="3BC21729" w:rsidR="00C642C2" w:rsidRPr="009118AB" w:rsidRDefault="00AD1246" w:rsidP="00496BAA">
      <w:pPr>
        <w:autoSpaceDE w:val="0"/>
        <w:autoSpaceDN w:val="0"/>
        <w:adjustRightInd w:val="0"/>
        <w:ind w:firstLine="709"/>
        <w:jc w:val="both"/>
        <w:rPr>
          <w:iCs/>
        </w:rPr>
      </w:pPr>
      <w:r w:rsidRPr="009118AB">
        <w:rPr>
          <w:iCs/>
        </w:rPr>
        <w:t>[</w:t>
      </w:r>
      <w:r w:rsidR="00C642C2" w:rsidRPr="009118AB">
        <w:rPr>
          <w:iCs/>
        </w:rPr>
        <w:t>Im Falle der Veräußerung einer der in Absatz 3 erwähnten Anlagen</w:t>
      </w:r>
      <w:r w:rsidR="00D67EB8" w:rsidRPr="009118AB">
        <w:rPr>
          <w:iCs/>
        </w:rPr>
        <w:t> - </w:t>
      </w:r>
      <w:r w:rsidR="00C642C2" w:rsidRPr="009118AB">
        <w:rPr>
          <w:iCs/>
        </w:rPr>
        <w:t>außer einer Veräußerung anlässlich eines Schadensfalls, einer Enteignung, einer Eigentumsrequirierung oder eines anderen ähnlichen Ereignisses</w:t>
      </w:r>
      <w:r w:rsidR="00FD68E8" w:rsidRPr="009118AB">
        <w:rPr>
          <w:iCs/>
        </w:rPr>
        <w:t> -,</w:t>
      </w:r>
      <w:r w:rsidR="00C642C2" w:rsidRPr="009118AB">
        <w:rPr>
          <w:iCs/>
        </w:rPr>
        <w:t xml:space="preserve"> die in den ersten drei Jahren der Investition erfolgt, wird der verringerte Satz in Bezug auf diese Anlage ab dem Besteuerungszeitraum, in dem die Veräußerung stattfand, nicht mehr gewährt und gilt der Betrag der vorher steuerfreien Gewinne als Gewinn dieses Besteuerungszeitraums.]</w:t>
      </w:r>
    </w:p>
    <w:p w14:paraId="60682CED" w14:textId="77777777" w:rsidR="00C642C2" w:rsidRPr="009118AB" w:rsidRDefault="00C642C2" w:rsidP="00C642C2">
      <w:pPr>
        <w:autoSpaceDE w:val="0"/>
        <w:autoSpaceDN w:val="0"/>
        <w:adjustRightInd w:val="0"/>
        <w:jc w:val="both"/>
        <w:rPr>
          <w:iCs/>
        </w:rPr>
      </w:pPr>
    </w:p>
    <w:p w14:paraId="17907729" w14:textId="57B63237" w:rsidR="00C642C2" w:rsidRPr="009118AB" w:rsidRDefault="00C642C2" w:rsidP="00C642C2">
      <w:pPr>
        <w:autoSpaceDE w:val="0"/>
        <w:autoSpaceDN w:val="0"/>
        <w:adjustRightInd w:val="0"/>
        <w:jc w:val="both"/>
        <w:rPr>
          <w:iCs/>
        </w:rPr>
      </w:pPr>
      <w:r w:rsidRPr="009118AB">
        <w:rPr>
          <w:i/>
          <w:iCs/>
        </w:rPr>
        <w:t>[</w:t>
      </w:r>
      <w:r w:rsidR="00D67EB8" w:rsidRPr="009118AB">
        <w:rPr>
          <w:i/>
          <w:iCs/>
        </w:rPr>
        <w:t>Art. </w:t>
      </w:r>
      <w:r w:rsidRPr="009118AB">
        <w:rPr>
          <w:i/>
          <w:iCs/>
        </w:rPr>
        <w:t xml:space="preserve">246 </w:t>
      </w:r>
      <w:r w:rsidR="00D67EB8" w:rsidRPr="009118AB">
        <w:rPr>
          <w:i/>
          <w:iCs/>
        </w:rPr>
        <w:t>Abs. </w:t>
      </w:r>
      <w:r w:rsidRPr="009118AB">
        <w:rPr>
          <w:i/>
          <w:iCs/>
        </w:rPr>
        <w:t xml:space="preserve">1 </w:t>
      </w:r>
      <w:r w:rsidR="00D67EB8" w:rsidRPr="009118AB">
        <w:rPr>
          <w:i/>
          <w:iCs/>
        </w:rPr>
        <w:t>Nr. </w:t>
      </w:r>
      <w:r w:rsidRPr="009118AB">
        <w:rPr>
          <w:i/>
          <w:iCs/>
        </w:rPr>
        <w:t xml:space="preserve">1 ersetzt durch </w:t>
      </w:r>
      <w:r w:rsidR="00D67EB8" w:rsidRPr="009118AB">
        <w:rPr>
          <w:i/>
          <w:iCs/>
        </w:rPr>
        <w:t>Art. </w:t>
      </w:r>
      <w:r w:rsidRPr="009118AB">
        <w:rPr>
          <w:i/>
          <w:iCs/>
        </w:rPr>
        <w:t>38 des G. vom 22. Dezember 1998 (B.S. vom 15. Januar 1999)</w:t>
      </w:r>
      <w:r w:rsidR="00D67EB8" w:rsidRPr="009118AB">
        <w:rPr>
          <w:i/>
          <w:iCs/>
        </w:rPr>
        <w:t> - </w:t>
      </w:r>
      <w:r w:rsidRPr="009118AB">
        <w:rPr>
          <w:i/>
          <w:iCs/>
        </w:rPr>
        <w:t>in Kraft ab dem Steuerjahr 1996</w:t>
      </w:r>
      <w:r w:rsidR="00D67EB8" w:rsidRPr="009118AB">
        <w:rPr>
          <w:i/>
          <w:iCs/>
        </w:rPr>
        <w:t> - </w:t>
      </w:r>
      <w:r w:rsidRPr="009118AB">
        <w:rPr>
          <w:i/>
          <w:iCs/>
        </w:rPr>
        <w:t xml:space="preserve">und abgeändert durch </w:t>
      </w:r>
      <w:r w:rsidR="00D67EB8" w:rsidRPr="009118AB">
        <w:rPr>
          <w:i/>
          <w:iCs/>
        </w:rPr>
        <w:t>Art. </w:t>
      </w:r>
      <w:r w:rsidRPr="009118AB">
        <w:rPr>
          <w:i/>
          <w:iCs/>
        </w:rPr>
        <w:t xml:space="preserve">150 </w:t>
      </w:r>
      <w:r w:rsidR="00D67EB8" w:rsidRPr="009118AB">
        <w:rPr>
          <w:i/>
          <w:iCs/>
        </w:rPr>
        <w:t>Nr. </w:t>
      </w:r>
      <w:r w:rsidRPr="009118AB">
        <w:rPr>
          <w:i/>
          <w:iCs/>
        </w:rPr>
        <w:t>1 des G. (I) vom 29. März 2012 (B.S. vom 6. April 2012)</w:t>
      </w:r>
      <w:r w:rsidR="00D67EB8" w:rsidRPr="009118AB">
        <w:rPr>
          <w:i/>
          <w:iCs/>
        </w:rPr>
        <w:t> - </w:t>
      </w:r>
      <w:r w:rsidRPr="009118AB">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118AB">
        <w:rPr>
          <w:i/>
          <w:iCs/>
        </w:rPr>
        <w:t> - </w:t>
      </w:r>
      <w:r w:rsidRPr="009118AB">
        <w:rPr>
          <w:i/>
          <w:iCs/>
        </w:rPr>
        <w:t xml:space="preserve">und </w:t>
      </w:r>
      <w:r w:rsidR="00D67EB8" w:rsidRPr="009118AB">
        <w:rPr>
          <w:i/>
          <w:iCs/>
        </w:rPr>
        <w:t>Art. </w:t>
      </w:r>
      <w:r w:rsidRPr="009118AB">
        <w:rPr>
          <w:i/>
          <w:iCs/>
        </w:rPr>
        <w:t xml:space="preserve">67 </w:t>
      </w:r>
      <w:r w:rsidR="00D67EB8" w:rsidRPr="009118AB">
        <w:rPr>
          <w:i/>
          <w:iCs/>
        </w:rPr>
        <w:t>Nr. </w:t>
      </w:r>
      <w:r w:rsidRPr="009118AB">
        <w:rPr>
          <w:i/>
          <w:iCs/>
        </w:rPr>
        <w:t>1 des G. vom 25. Dezember 2017 (III) (B.S. vom 29. Dezember 2017)</w:t>
      </w:r>
      <w:r w:rsidR="00D67EB8" w:rsidRPr="009118AB">
        <w:rPr>
          <w:i/>
          <w:iCs/>
        </w:rPr>
        <w:t> - </w:t>
      </w:r>
      <w:r w:rsidRPr="009118AB">
        <w:rPr>
          <w:i/>
          <w:iCs/>
        </w:rPr>
        <w:t>in Kraft am 1. Januar 2018 und anwendbar ab dem Steuerjahr 2019, das sich auf einen Besteuerungszeitraum bezieht, der frühestens am 1. Januar 2018 beginnt</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ersetzt durch </w:t>
      </w:r>
      <w:r w:rsidR="00D67EB8" w:rsidRPr="009118AB">
        <w:rPr>
          <w:i/>
          <w:iCs/>
        </w:rPr>
        <w:t>Art. </w:t>
      </w:r>
      <w:r w:rsidRPr="009118AB">
        <w:rPr>
          <w:i/>
          <w:iCs/>
        </w:rPr>
        <w:t>17 des G. vom 11. Mai 2007 (B.S. vom 8. Juni 2007)</w:t>
      </w:r>
      <w:r w:rsidR="00D67EB8" w:rsidRPr="009118AB">
        <w:rPr>
          <w:i/>
          <w:iCs/>
        </w:rPr>
        <w:t> - </w:t>
      </w:r>
      <w:r w:rsidRPr="009118AB">
        <w:rPr>
          <w:i/>
          <w:iCs/>
        </w:rPr>
        <w:t>in Kraft ab dem 8. Juni 2007</w:t>
      </w:r>
      <w:r w:rsidR="00D67EB8" w:rsidRPr="009118AB">
        <w:rPr>
          <w:i/>
          <w:iCs/>
        </w:rPr>
        <w:t> - </w:t>
      </w:r>
      <w:r w:rsidRPr="009118AB">
        <w:rPr>
          <w:i/>
          <w:iCs/>
        </w:rPr>
        <w:t xml:space="preserve">und abgeändert durch </w:t>
      </w:r>
      <w:r w:rsidR="00D67EB8" w:rsidRPr="009118AB">
        <w:rPr>
          <w:i/>
          <w:iCs/>
        </w:rPr>
        <w:t>Art. </w:t>
      </w:r>
      <w:r w:rsidRPr="009118AB">
        <w:rPr>
          <w:i/>
          <w:iCs/>
        </w:rPr>
        <w:t>35 des G. vom 19. Dezember 2014 (B.S. vom 29. Dezember 2014)</w:t>
      </w:r>
      <w:r w:rsidR="00D67EB8" w:rsidRPr="009118AB">
        <w:rPr>
          <w:i/>
          <w:iCs/>
        </w:rPr>
        <w:t> - </w:t>
      </w:r>
      <w:r w:rsidRPr="009118AB">
        <w:rPr>
          <w:i/>
          <w:iCs/>
        </w:rPr>
        <w:t>in Kraft am 29. Dezember 2014 und anwendbar auf alle Rechtsstreite, die an diesem Datum noch nicht endgültig abgeschlossen sind</w:t>
      </w:r>
      <w:r w:rsidR="00D67EB8" w:rsidRPr="009118AB">
        <w:rPr>
          <w:i/>
          <w:iCs/>
        </w:rPr>
        <w:t> -</w:t>
      </w:r>
      <w:r w:rsidR="00217093" w:rsidRPr="009118AB">
        <w:rPr>
          <w:i/>
          <w:iCs/>
        </w:rPr>
        <w:t>,</w:t>
      </w:r>
      <w:r w:rsidR="00AD57AA" w:rsidRPr="009118AB">
        <w:rPr>
          <w:i/>
          <w:iCs/>
        </w:rPr>
        <w:t xml:space="preserve"> </w:t>
      </w:r>
      <w:r w:rsidR="00D67EB8" w:rsidRPr="009118AB">
        <w:rPr>
          <w:i/>
          <w:iCs/>
        </w:rPr>
        <w:t>Art. </w:t>
      </w:r>
      <w:r w:rsidR="00AD57AA" w:rsidRPr="009118AB">
        <w:rPr>
          <w:i/>
          <w:iCs/>
        </w:rPr>
        <w:t xml:space="preserve">67 </w:t>
      </w:r>
      <w:r w:rsidR="00D67EB8" w:rsidRPr="009118AB">
        <w:rPr>
          <w:i/>
          <w:iCs/>
        </w:rPr>
        <w:t>Nr. </w:t>
      </w:r>
      <w:r w:rsidR="00AD57AA" w:rsidRPr="009118AB">
        <w:rPr>
          <w:i/>
          <w:iCs/>
        </w:rPr>
        <w:t>2 des G. vom 25. Dezember 2017 (III) (B.S. vom 29. Dezember 2017)</w:t>
      </w:r>
      <w:r w:rsidR="00D67EB8" w:rsidRPr="009118AB">
        <w:rPr>
          <w:i/>
          <w:iCs/>
        </w:rPr>
        <w:t> - </w:t>
      </w:r>
      <w:r w:rsidR="00AD57AA" w:rsidRPr="009118AB">
        <w:rPr>
          <w:i/>
          <w:iCs/>
        </w:rPr>
        <w:t>in Kraft am 1. Januar 2020 und anwendbar ab dem Steuerjahr 2021, das sich auf einen Besteuerungszeitraum bezieht, der frühestens am 1. Januar 2020 beginnt</w:t>
      </w:r>
      <w:r w:rsidR="003366D9" w:rsidRPr="009118AB">
        <w:rPr>
          <w:i/>
          <w:iCs/>
        </w:rPr>
        <w:t> -</w:t>
      </w:r>
      <w:r w:rsidR="00217093" w:rsidRPr="009118AB">
        <w:rPr>
          <w:i/>
          <w:iCs/>
        </w:rPr>
        <w:t xml:space="preserve"> und Art. 32</w:t>
      </w:r>
      <w:r w:rsidR="00217093" w:rsidRPr="009118AB">
        <w:rPr>
          <w:i/>
          <w:iCs/>
          <w:spacing w:val="-2"/>
        </w:rPr>
        <w:t xml:space="preserve"> des G. vom 5. Juli 2022 (B.S. vom 15. Juli 2022) - </w:t>
      </w:r>
      <w:r w:rsidR="00217093" w:rsidRPr="009118AB">
        <w:rPr>
          <w:rFonts w:eastAsia="Calibri"/>
          <w:i/>
          <w:iCs/>
          <w:kern w:val="2"/>
          <w:szCs w:val="22"/>
          <w:lang w:eastAsia="en-US"/>
          <w14:ligatures w14:val="standardContextual"/>
        </w:rPr>
        <w:t>anwendbar auf Einkünfte, die ab dem 1. Januar 2021 während eines Besteuerungszeitraums gezahlt oder zuerkannt werden, der frühestens an das Steuerjahr 2022 gebunden ist -</w:t>
      </w:r>
      <w:r w:rsidR="003366D9" w:rsidRPr="009118AB">
        <w:rPr>
          <w:i/>
          <w:iCs/>
        </w:rPr>
        <w:t>;</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3 eingefügt durch </w:t>
      </w:r>
      <w:r w:rsidR="00D67EB8" w:rsidRPr="009118AB">
        <w:rPr>
          <w:i/>
          <w:iCs/>
        </w:rPr>
        <w:t>Art. </w:t>
      </w:r>
      <w:r w:rsidRPr="009118AB">
        <w:rPr>
          <w:i/>
          <w:iCs/>
        </w:rPr>
        <w:t>48 des G. vom 30. Juli 2013 (B.S. vom 1. August 2013)</w:t>
      </w:r>
      <w:r w:rsidR="00D67EB8" w:rsidRPr="009118AB">
        <w:rPr>
          <w:i/>
          <w:iCs/>
        </w:rPr>
        <w:t> - </w:t>
      </w:r>
      <w:r w:rsidRPr="009118AB">
        <w:rPr>
          <w:i/>
          <w:iCs/>
        </w:rPr>
        <w:t>in Kraft ab dem Steuerjahr 2014</w:t>
      </w:r>
      <w:r w:rsidR="00FD68E8" w:rsidRPr="009118AB">
        <w:rPr>
          <w:i/>
          <w:iCs/>
        </w:rPr>
        <w:t> -,</w:t>
      </w:r>
      <w:r w:rsidR="00EB41AD" w:rsidRPr="009118AB">
        <w:rPr>
          <w:i/>
          <w:iCs/>
        </w:rPr>
        <w:t xml:space="preserve"> selbst bedingt für nichtig erklärt durch Entscheid </w:t>
      </w:r>
      <w:r w:rsidR="00D67EB8" w:rsidRPr="009118AB">
        <w:rPr>
          <w:i/>
          <w:iCs/>
        </w:rPr>
        <w:t>Nr. </w:t>
      </w:r>
      <w:r w:rsidR="00EB41AD" w:rsidRPr="009118AB">
        <w:rPr>
          <w:i/>
          <w:iCs/>
        </w:rPr>
        <w:t>24</w:t>
      </w:r>
      <w:r w:rsidR="003B0B00" w:rsidRPr="009118AB">
        <w:rPr>
          <w:i/>
          <w:iCs/>
        </w:rPr>
        <w:t>/2018 des Verfassungsgerichts</w:t>
      </w:r>
      <w:r w:rsidR="00EB41AD" w:rsidRPr="009118AB">
        <w:rPr>
          <w:i/>
          <w:iCs/>
        </w:rPr>
        <w:t>hofes vom 1. März 2018 (B.S. vom 28. Mai 2018), erneut eingefügt</w:t>
      </w:r>
      <w:r w:rsidR="004D6CB9" w:rsidRPr="009118AB">
        <w:rPr>
          <w:i/>
          <w:iCs/>
        </w:rPr>
        <w:t xml:space="preserve"> </w:t>
      </w:r>
      <w:r w:rsidR="00E63EDE" w:rsidRPr="009118AB">
        <w:rPr>
          <w:i/>
          <w:iCs/>
        </w:rPr>
        <w:t xml:space="preserve">durch </w:t>
      </w:r>
      <w:r w:rsidR="00D67EB8" w:rsidRPr="009118AB">
        <w:rPr>
          <w:i/>
          <w:iCs/>
        </w:rPr>
        <w:t>Art. </w:t>
      </w:r>
      <w:r w:rsidR="004D6CB9" w:rsidRPr="009118AB">
        <w:rPr>
          <w:i/>
          <w:iCs/>
        </w:rPr>
        <w:t>14 des G. vom 30. Juli 2018 (I) (B.S. vom 10. August 2018)</w:t>
      </w:r>
      <w:r w:rsidR="00D67EB8" w:rsidRPr="009118AB">
        <w:rPr>
          <w:i/>
          <w:iCs/>
        </w:rPr>
        <w:t> - </w:t>
      </w:r>
      <w:r w:rsidR="004D6CB9" w:rsidRPr="009118AB">
        <w:rPr>
          <w:i/>
          <w:iCs/>
        </w:rPr>
        <w:t>anwendbar ab dem Steuerjahr 2019, das sich auf einen Bes</w:t>
      </w:r>
      <w:r w:rsidR="003B0B00" w:rsidRPr="009118AB">
        <w:rPr>
          <w:i/>
          <w:iCs/>
        </w:rPr>
        <w:t xml:space="preserve">teuerungszeitraum bezieht, der </w:t>
      </w:r>
      <w:r w:rsidR="004D6CB9" w:rsidRPr="009118AB">
        <w:rPr>
          <w:i/>
          <w:iCs/>
        </w:rPr>
        <w:t>frühestens am 1. Januar 2018 beginnt</w:t>
      </w:r>
      <w:r w:rsidR="00D67EB8" w:rsidRPr="009118AB">
        <w:rPr>
          <w:i/>
          <w:iCs/>
        </w:rPr>
        <w:t> - </w:t>
      </w:r>
      <w:r w:rsidR="00AD1246" w:rsidRPr="009118AB">
        <w:rPr>
          <w:i/>
          <w:iCs/>
        </w:rPr>
        <w:t xml:space="preserve">und ersetzt durch </w:t>
      </w:r>
      <w:r w:rsidR="00D67EB8" w:rsidRPr="009118AB">
        <w:rPr>
          <w:i/>
          <w:iCs/>
        </w:rPr>
        <w:t>Art. </w:t>
      </w:r>
      <w:r w:rsidR="00AD1246" w:rsidRPr="009118AB">
        <w:rPr>
          <w:i/>
          <w:iCs/>
        </w:rPr>
        <w:t>78 Buchstabe a)</w:t>
      </w:r>
      <w:r w:rsidR="00AD1246" w:rsidRPr="009118AB">
        <w:rPr>
          <w:bCs/>
          <w:i/>
          <w:iCs/>
        </w:rPr>
        <w:t xml:space="preserve"> des G. vom 27. Juni 2021 (B.S. vom 30. Juni 2021)</w:t>
      </w:r>
      <w:r w:rsidR="004D6CB9" w:rsidRPr="009118AB">
        <w:rPr>
          <w:i/>
          <w:iCs/>
        </w:rPr>
        <w:t>;</w:t>
      </w:r>
      <w:r w:rsidRPr="009118AB">
        <w:rPr>
          <w:i/>
          <w:iCs/>
        </w:rPr>
        <w:t xml:space="preserve"> </w:t>
      </w:r>
      <w:r w:rsidR="00D67EB8" w:rsidRPr="009118AB">
        <w:rPr>
          <w:i/>
          <w:iCs/>
        </w:rPr>
        <w:t>Abs. </w:t>
      </w:r>
      <w:r w:rsidR="003B3AE3" w:rsidRPr="009118AB">
        <w:rPr>
          <w:i/>
          <w:iCs/>
        </w:rPr>
        <w:t xml:space="preserve">1 </w:t>
      </w:r>
      <w:r w:rsidR="00D67EB8" w:rsidRPr="009118AB">
        <w:rPr>
          <w:i/>
          <w:iCs/>
        </w:rPr>
        <w:t>Nr. </w:t>
      </w:r>
      <w:r w:rsidR="003B3AE3" w:rsidRPr="009118AB">
        <w:rPr>
          <w:i/>
          <w:iCs/>
        </w:rPr>
        <w:t xml:space="preserve">4 eingefügt durch </w:t>
      </w:r>
      <w:r w:rsidR="00D67EB8" w:rsidRPr="009118AB">
        <w:rPr>
          <w:i/>
          <w:iCs/>
        </w:rPr>
        <w:t>Art. </w:t>
      </w:r>
      <w:r w:rsidR="003B3AE3" w:rsidRPr="009118AB">
        <w:rPr>
          <w:i/>
          <w:iCs/>
        </w:rPr>
        <w:t xml:space="preserve">25 des G. vom 23. Juni 2020 (B.S. vom 1. Juli 2020); </w:t>
      </w:r>
      <w:r w:rsidR="00D67EB8" w:rsidRPr="009118AB">
        <w:rPr>
          <w:i/>
          <w:iCs/>
        </w:rPr>
        <w:t>Abs. </w:t>
      </w:r>
      <w:r w:rsidRPr="009118AB">
        <w:rPr>
          <w:i/>
          <w:iCs/>
        </w:rPr>
        <w:t xml:space="preserve">2 eingefügt durch </w:t>
      </w:r>
      <w:r w:rsidR="00D67EB8" w:rsidRPr="009118AB">
        <w:rPr>
          <w:i/>
          <w:iCs/>
        </w:rPr>
        <w:t>Art. </w:t>
      </w:r>
      <w:r w:rsidRPr="009118AB">
        <w:rPr>
          <w:i/>
          <w:iCs/>
        </w:rPr>
        <w:t xml:space="preserve">105 des G. vom 21. Dezember 1994 (B.S. </w:t>
      </w:r>
      <w:r w:rsidRPr="009118AB">
        <w:rPr>
          <w:i/>
          <w:iCs/>
          <w:spacing w:val="-2"/>
        </w:rPr>
        <w:t>vom 23. Dezember 1994)</w:t>
      </w:r>
      <w:r w:rsidR="00E40DE2" w:rsidRPr="009118AB">
        <w:rPr>
          <w:i/>
          <w:iCs/>
          <w:spacing w:val="-2"/>
        </w:rPr>
        <w:t>,</w:t>
      </w:r>
      <w:r w:rsidRPr="009118AB">
        <w:rPr>
          <w:i/>
          <w:iCs/>
          <w:spacing w:val="-2"/>
        </w:rPr>
        <w:t xml:space="preserve"> ersetzt durch </w:t>
      </w:r>
      <w:r w:rsidR="00D67EB8" w:rsidRPr="009118AB">
        <w:rPr>
          <w:i/>
          <w:iCs/>
          <w:spacing w:val="-2"/>
        </w:rPr>
        <w:t>Art. </w:t>
      </w:r>
      <w:r w:rsidRPr="009118AB">
        <w:rPr>
          <w:i/>
          <w:iCs/>
          <w:spacing w:val="-2"/>
        </w:rPr>
        <w:t>16 des G. (II) vom 3. August 2016 (VI) (B.S. vom 16. August 2016)</w:t>
      </w:r>
      <w:r w:rsidR="00D67EB8" w:rsidRPr="009118AB">
        <w:rPr>
          <w:i/>
          <w:iCs/>
          <w:spacing w:val="-2"/>
        </w:rPr>
        <w:t> - </w:t>
      </w:r>
      <w:r w:rsidRPr="009118AB">
        <w:rPr>
          <w:i/>
          <w:iCs/>
          <w:spacing w:val="-2"/>
        </w:rPr>
        <w:t xml:space="preserve">in Kraft ab dem Steuerjahr 2016 für Vorgänge und Einkünfte, die ab </w:t>
      </w:r>
      <w:r w:rsidRPr="009118AB">
        <w:rPr>
          <w:rFonts w:ascii="Times New Roman Italique" w:hAnsi="Times New Roman Italique"/>
          <w:i/>
          <w:iCs/>
          <w:spacing w:val="-2"/>
        </w:rPr>
        <w:t>dem 1. Juli 2016 stattfinden beziehungsweise zuerkannt oder ausgeschüttet werden</w:t>
      </w:r>
      <w:r w:rsidR="003366D9" w:rsidRPr="009118AB">
        <w:rPr>
          <w:rFonts w:ascii="Times New Roman Italique" w:hAnsi="Times New Roman Italique"/>
          <w:i/>
          <w:iCs/>
          <w:spacing w:val="-2"/>
        </w:rPr>
        <w:t> -</w:t>
      </w:r>
      <w:r w:rsidR="007C7DE5" w:rsidRPr="009118AB">
        <w:rPr>
          <w:rFonts w:ascii="Times New Roman Italique" w:hAnsi="Times New Roman Italique"/>
          <w:i/>
          <w:iCs/>
          <w:spacing w:val="-2"/>
        </w:rPr>
        <w:t>; Abs.</w:t>
      </w:r>
      <w:r w:rsidR="007C7DE5" w:rsidRPr="009118AB">
        <w:rPr>
          <w:rFonts w:ascii="Times New Roman Italique" w:hAnsi="Times New Roman Italique" w:hint="eastAsia"/>
          <w:i/>
          <w:iCs/>
          <w:spacing w:val="-2"/>
        </w:rPr>
        <w:t> </w:t>
      </w:r>
      <w:r w:rsidR="007C7DE5" w:rsidRPr="009118AB">
        <w:rPr>
          <w:rFonts w:ascii="Times New Roman Italique" w:hAnsi="Times New Roman Italique"/>
          <w:i/>
          <w:iCs/>
          <w:spacing w:val="-2"/>
        </w:rPr>
        <w:t>2 zweiter Gedankenstrich</w:t>
      </w:r>
      <w:r w:rsidR="00E40DE2" w:rsidRPr="009118AB">
        <w:rPr>
          <w:rFonts w:ascii="Times New Roman Italique" w:hAnsi="Times New Roman Italique"/>
          <w:i/>
          <w:iCs/>
          <w:spacing w:val="-2"/>
        </w:rPr>
        <w:t xml:space="preserve"> abgeändert durch Art. 29</w:t>
      </w:r>
      <w:r w:rsidR="00E40DE2" w:rsidRPr="009118AB">
        <w:rPr>
          <w:i/>
          <w:iCs/>
        </w:rPr>
        <w:t xml:space="preserve"> des G. vom 21. Dezember 2022 (II) (B.S. vom 29. Dezember 2022)</w:t>
      </w:r>
      <w:r w:rsidR="003366D9" w:rsidRPr="009118AB">
        <w:rPr>
          <w:rFonts w:ascii="Times New Roman Italique" w:hAnsi="Times New Roman Italique"/>
          <w:i/>
          <w:iCs/>
          <w:spacing w:val="-2"/>
        </w:rPr>
        <w:t>;</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lastRenderedPageBreak/>
        <w:t>Abs. </w:t>
      </w:r>
      <w:r w:rsidRPr="009118AB">
        <w:rPr>
          <w:rFonts w:ascii="Times New Roman Italique" w:hAnsi="Times New Roman Italique"/>
          <w:i/>
          <w:iCs/>
          <w:spacing w:val="-2"/>
        </w:rPr>
        <w:t xml:space="preserve">3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55 des G. vom 19. Dezember 2014 (B.S. vom 29. Dezember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anwendbar auf die ab 2015 zuerkannten Kapital- und Zinszuschüsse, sofern diese Zuschüsse </w:t>
      </w:r>
      <w:r w:rsidRPr="009118AB">
        <w:rPr>
          <w:i/>
          <w:iCs/>
        </w:rPr>
        <w:t xml:space="preserve">frühestens am </w:t>
      </w:r>
      <w:r w:rsidRPr="009118AB">
        <w:rPr>
          <w:rFonts w:ascii="Times New Roman Italique" w:hAnsi="Times New Roman Italique"/>
          <w:i/>
          <w:iCs/>
          <w:spacing w:val="-2"/>
        </w:rPr>
        <w:t>1. Januar 2008 notifiziert wurden</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73 des G. vom 18. Dezember 2015 (II) (B.S. vom 28. Dezember 2015)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2016</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55 des G. vom 19. Dezember 2014 (B.S. vom </w:t>
      </w:r>
      <w:r w:rsidRPr="009118AB">
        <w:rPr>
          <w:i/>
          <w:iCs/>
        </w:rPr>
        <w:t>29. Dezember 2014)</w:t>
      </w:r>
      <w:r w:rsidR="00D67EB8" w:rsidRPr="009118AB">
        <w:rPr>
          <w:i/>
          <w:iCs/>
        </w:rPr>
        <w:t> - </w:t>
      </w:r>
      <w:r w:rsidRPr="009118AB">
        <w:rPr>
          <w:i/>
          <w:iCs/>
        </w:rPr>
        <w:t>anwendbar auf die ab 2015 zuerkannten Kapital- und Zinszuschüsse, sofern diese Zuschüsse frühestens am 1. Januar 2008 notifiziert wurden</w:t>
      </w:r>
      <w:r w:rsidR="003366D9" w:rsidRPr="009118AB">
        <w:rPr>
          <w:i/>
          <w:iCs/>
        </w:rPr>
        <w:t> -;</w:t>
      </w:r>
      <w:r w:rsidR="00AD1246" w:rsidRPr="009118AB">
        <w:rPr>
          <w:i/>
          <w:iCs/>
        </w:rPr>
        <w:t xml:space="preserve"> </w:t>
      </w:r>
      <w:r w:rsidR="00D67EB8" w:rsidRPr="009118AB">
        <w:rPr>
          <w:rFonts w:ascii="Times New Roman Italique" w:hAnsi="Times New Roman Italique"/>
          <w:i/>
          <w:iCs/>
          <w:spacing w:val="-2"/>
        </w:rPr>
        <w:t>Abs. </w:t>
      </w:r>
      <w:r w:rsidR="00AD1246" w:rsidRPr="009118AB">
        <w:rPr>
          <w:rFonts w:ascii="Times New Roman Italique" w:hAnsi="Times New Roman Italique"/>
          <w:i/>
          <w:iCs/>
          <w:spacing w:val="-2"/>
        </w:rPr>
        <w:t xml:space="preserve">5 eingefügt durch </w:t>
      </w:r>
      <w:r w:rsidR="00D67EB8" w:rsidRPr="009118AB">
        <w:rPr>
          <w:rFonts w:ascii="Times New Roman Italique" w:hAnsi="Times New Roman Italique"/>
          <w:i/>
          <w:iCs/>
          <w:spacing w:val="-2"/>
        </w:rPr>
        <w:t>Art. </w:t>
      </w:r>
      <w:r w:rsidR="00AD1246" w:rsidRPr="009118AB">
        <w:rPr>
          <w:rFonts w:ascii="Times New Roman Italique" w:hAnsi="Times New Roman Italique"/>
          <w:i/>
          <w:iCs/>
          <w:spacing w:val="-2"/>
        </w:rPr>
        <w:t xml:space="preserve">55 des G. vom 19. Dezember 2014 (B.S. vom </w:t>
      </w:r>
      <w:r w:rsidR="00AD1246" w:rsidRPr="009118AB">
        <w:rPr>
          <w:i/>
          <w:iCs/>
        </w:rPr>
        <w:t>29. Dezember 2014)</w:t>
      </w:r>
      <w:r w:rsidR="00D67EB8" w:rsidRPr="009118AB">
        <w:rPr>
          <w:i/>
          <w:iCs/>
        </w:rPr>
        <w:t> - </w:t>
      </w:r>
      <w:r w:rsidR="00AD1246" w:rsidRPr="009118AB">
        <w:rPr>
          <w:i/>
          <w:iCs/>
        </w:rPr>
        <w:t>anwendbar auf die ab 2015 zuerkannten Kapital- und Zinszuschüsse, sofern diese Zuschüsse frühestens am 1. Januar 2008 notifiziert wurden</w:t>
      </w:r>
      <w:r w:rsidR="00D67EB8" w:rsidRPr="009118AB">
        <w:rPr>
          <w:i/>
          <w:iCs/>
        </w:rPr>
        <w:t> - </w:t>
      </w:r>
      <w:r w:rsidR="00AD1246" w:rsidRPr="009118AB">
        <w:rPr>
          <w:i/>
          <w:iCs/>
        </w:rPr>
        <w:t xml:space="preserve">und abgeändert durch </w:t>
      </w:r>
      <w:r w:rsidR="00D67EB8" w:rsidRPr="009118AB">
        <w:rPr>
          <w:i/>
          <w:iCs/>
        </w:rPr>
        <w:t>Art. </w:t>
      </w:r>
      <w:r w:rsidR="00AD1246" w:rsidRPr="009118AB">
        <w:rPr>
          <w:i/>
          <w:iCs/>
        </w:rPr>
        <w:t>78 Buchstabe b)</w:t>
      </w:r>
      <w:r w:rsidR="00AD1246" w:rsidRPr="009118AB">
        <w:rPr>
          <w:bCs/>
          <w:i/>
          <w:iCs/>
        </w:rPr>
        <w:t xml:space="preserve"> des G. vom 27. Juni 2021 (B.S. vom 30. Juni 2021)</w:t>
      </w:r>
      <w:r w:rsidR="00AD1246" w:rsidRPr="009118AB">
        <w:rPr>
          <w:i/>
          <w:iCs/>
        </w:rPr>
        <w:t xml:space="preserve">; </w:t>
      </w:r>
      <w:r w:rsidR="00D67EB8" w:rsidRPr="009118AB">
        <w:rPr>
          <w:rFonts w:ascii="Times New Roman Italique" w:hAnsi="Times New Roman Italique"/>
          <w:i/>
          <w:iCs/>
          <w:spacing w:val="-2"/>
        </w:rPr>
        <w:t>Abs. </w:t>
      </w:r>
      <w:r w:rsidR="00AD1246" w:rsidRPr="009118AB">
        <w:rPr>
          <w:rFonts w:ascii="Times New Roman Italique" w:hAnsi="Times New Roman Italique"/>
          <w:i/>
          <w:iCs/>
          <w:spacing w:val="-2"/>
        </w:rPr>
        <w:t xml:space="preserve">6 eingefügt durch </w:t>
      </w:r>
      <w:r w:rsidR="00D67EB8" w:rsidRPr="009118AB">
        <w:rPr>
          <w:rFonts w:ascii="Times New Roman Italique" w:hAnsi="Times New Roman Italique"/>
          <w:i/>
          <w:iCs/>
          <w:spacing w:val="-2"/>
        </w:rPr>
        <w:t>Art. </w:t>
      </w:r>
      <w:r w:rsidR="00AD1246" w:rsidRPr="009118AB">
        <w:rPr>
          <w:rFonts w:ascii="Times New Roman Italique" w:hAnsi="Times New Roman Italique"/>
          <w:i/>
          <w:iCs/>
          <w:spacing w:val="-2"/>
        </w:rPr>
        <w:t xml:space="preserve">55 des G. vom 19. Dezember 2014 (B.S. vom </w:t>
      </w:r>
      <w:r w:rsidR="00AD1246" w:rsidRPr="009118AB">
        <w:rPr>
          <w:i/>
          <w:iCs/>
        </w:rPr>
        <w:t>29. Dezember 2014)</w:t>
      </w:r>
      <w:r w:rsidR="00D67EB8" w:rsidRPr="009118AB">
        <w:rPr>
          <w:i/>
          <w:iCs/>
        </w:rPr>
        <w:t> - </w:t>
      </w:r>
      <w:r w:rsidR="00AD1246" w:rsidRPr="009118AB">
        <w:rPr>
          <w:i/>
          <w:iCs/>
        </w:rPr>
        <w:t>anwendbar auf die ab 2015 zuerkannten Kapital- und Zinszuschüsse, sofern diese Zuschüsse frühestens am 1. Januar 2008 notifiziert wurden</w:t>
      </w:r>
      <w:r w:rsidR="00FD68E8" w:rsidRPr="009118AB">
        <w:rPr>
          <w:i/>
          <w:iCs/>
        </w:rPr>
        <w:t> -]</w:t>
      </w:r>
    </w:p>
    <w:p w14:paraId="1C382B6D" w14:textId="77777777" w:rsidR="00C642C2" w:rsidRPr="009118AB" w:rsidRDefault="00C642C2" w:rsidP="00C642C2">
      <w:pPr>
        <w:autoSpaceDE w:val="0"/>
        <w:autoSpaceDN w:val="0"/>
        <w:adjustRightInd w:val="0"/>
        <w:jc w:val="both"/>
      </w:pPr>
    </w:p>
    <w:p w14:paraId="31E6ABAC" w14:textId="77777777" w:rsidR="00092893" w:rsidRPr="009118AB" w:rsidRDefault="00092893" w:rsidP="006A2667">
      <w:pPr>
        <w:autoSpaceDE w:val="0"/>
        <w:autoSpaceDN w:val="0"/>
        <w:adjustRightInd w:val="0"/>
        <w:jc w:val="both"/>
      </w:pPr>
    </w:p>
    <w:p w14:paraId="7954AC5D" w14:textId="7E4636EE" w:rsidR="006A2667" w:rsidRPr="009118AB" w:rsidRDefault="00477B8F" w:rsidP="006A2667">
      <w:pPr>
        <w:autoSpaceDE w:val="0"/>
        <w:autoSpaceDN w:val="0"/>
        <w:adjustRightInd w:val="0"/>
        <w:jc w:val="both"/>
        <w:rPr>
          <w:bCs/>
          <w:iCs/>
        </w:rPr>
      </w:pPr>
      <w:r w:rsidRPr="009118AB">
        <w:tab/>
      </w:r>
      <w:r w:rsidR="00D67EB8" w:rsidRPr="009118AB">
        <w:rPr>
          <w:b/>
          <w:bCs/>
        </w:rPr>
        <w:t>Art. </w:t>
      </w:r>
      <w:r w:rsidRPr="009118AB">
        <w:rPr>
          <w:b/>
          <w:bCs/>
        </w:rPr>
        <w:t>247</w:t>
      </w:r>
      <w:r w:rsidR="00D67EB8" w:rsidRPr="009118AB">
        <w:t> - </w:t>
      </w:r>
      <w:r w:rsidR="006A2667" w:rsidRPr="009118AB">
        <w:rPr>
          <w:bCs/>
          <w:iCs/>
        </w:rPr>
        <w:t>In den in Artikel 234 erwähnten Fällen wird die Steuer berechnet:</w:t>
      </w:r>
    </w:p>
    <w:p w14:paraId="4065658B" w14:textId="77777777" w:rsidR="006A2667" w:rsidRPr="009118AB" w:rsidRDefault="006A2667" w:rsidP="006A2667">
      <w:pPr>
        <w:autoSpaceDE w:val="0"/>
        <w:autoSpaceDN w:val="0"/>
        <w:adjustRightInd w:val="0"/>
        <w:jc w:val="both"/>
        <w:rPr>
          <w:bCs/>
          <w:iCs/>
        </w:rPr>
      </w:pPr>
    </w:p>
    <w:p w14:paraId="0CF565C8" w14:textId="5017663E" w:rsidR="006A2667" w:rsidRPr="009118AB" w:rsidRDefault="006A2667" w:rsidP="00E00256">
      <w:pPr>
        <w:autoSpaceDE w:val="0"/>
        <w:autoSpaceDN w:val="0"/>
        <w:adjustRightInd w:val="0"/>
        <w:ind w:firstLine="708"/>
        <w:jc w:val="both"/>
        <w:rPr>
          <w:bCs/>
          <w:iCs/>
        </w:rPr>
      </w:pPr>
      <w:r w:rsidRPr="009118AB">
        <w:rPr>
          <w:bCs/>
          <w:iCs/>
        </w:rPr>
        <w:t xml:space="preserve">1. zum Satz von 20 Prozent in Bezug auf die in [Artikel 234 Absatz 1 </w:t>
      </w:r>
      <w:r w:rsidR="00D67EB8" w:rsidRPr="009118AB">
        <w:rPr>
          <w:bCs/>
          <w:iCs/>
        </w:rPr>
        <w:t>Nr. </w:t>
      </w:r>
      <w:r w:rsidRPr="009118AB">
        <w:rPr>
          <w:bCs/>
          <w:iCs/>
        </w:rPr>
        <w:t>1 und 2] erwähnten Einkünfte,</w:t>
      </w:r>
    </w:p>
    <w:p w14:paraId="3D4E6CCB" w14:textId="77777777" w:rsidR="006A2667" w:rsidRPr="009118AB" w:rsidRDefault="006A2667" w:rsidP="006A2667">
      <w:pPr>
        <w:autoSpaceDE w:val="0"/>
        <w:autoSpaceDN w:val="0"/>
        <w:adjustRightInd w:val="0"/>
        <w:jc w:val="both"/>
        <w:rPr>
          <w:bCs/>
          <w:iCs/>
        </w:rPr>
      </w:pPr>
    </w:p>
    <w:p w14:paraId="06B45C71" w14:textId="5EBEC768" w:rsidR="00D02E0C" w:rsidRPr="009118AB" w:rsidRDefault="00D02E0C" w:rsidP="00D02E0C">
      <w:pPr>
        <w:autoSpaceDE w:val="0"/>
        <w:autoSpaceDN w:val="0"/>
        <w:adjustRightInd w:val="0"/>
        <w:ind w:firstLine="708"/>
        <w:jc w:val="both"/>
        <w:rPr>
          <w:bCs/>
          <w:iCs/>
        </w:rPr>
      </w:pPr>
      <w:r w:rsidRPr="009118AB">
        <w:rPr>
          <w:bCs/>
          <w:iCs/>
        </w:rPr>
        <w:t xml:space="preserve">2. [zu dem in Artikel 215 Absatz 1 erwähnten Satz in Bezug auf die in Artikel 234 Absatz 1 </w:t>
      </w:r>
      <w:r w:rsidR="00D67EB8" w:rsidRPr="009118AB">
        <w:rPr>
          <w:bCs/>
          <w:iCs/>
        </w:rPr>
        <w:t>Nr. </w:t>
      </w:r>
      <w:r w:rsidRPr="009118AB">
        <w:rPr>
          <w:bCs/>
          <w:iCs/>
        </w:rPr>
        <w:t xml:space="preserve">3 erwähnten Beiträge, Pensionen, Renten und Zulagen, die in Artikel 234 Absatz 1 </w:t>
      </w:r>
      <w:r w:rsidR="00D67EB8" w:rsidRPr="009118AB">
        <w:rPr>
          <w:bCs/>
          <w:iCs/>
        </w:rPr>
        <w:t>Nr. </w:t>
      </w:r>
      <w:r w:rsidRPr="009118AB">
        <w:rPr>
          <w:bCs/>
          <w:iCs/>
        </w:rPr>
        <w:t>5 erwähnten finanziellen Vorteile oder Vorteile jeglicher Art</w:t>
      </w:r>
      <w:r w:rsidR="009B56B1" w:rsidRPr="009118AB">
        <w:rPr>
          <w:bCs/>
          <w:iCs/>
        </w:rPr>
        <w:t>[</w:t>
      </w:r>
      <w:r w:rsidR="009B56B1" w:rsidRPr="009118AB">
        <w:rPr>
          <w:rFonts w:eastAsia="Calibri"/>
          <w:szCs w:val="22"/>
          <w:lang w:eastAsia="en-US"/>
        </w:rPr>
        <w:t xml:space="preserve">, die in Artikel 234 Absatz 1 </w:t>
      </w:r>
      <w:r w:rsidR="00D67EB8" w:rsidRPr="009118AB">
        <w:rPr>
          <w:rFonts w:eastAsia="Calibri"/>
          <w:szCs w:val="22"/>
          <w:lang w:eastAsia="en-US"/>
        </w:rPr>
        <w:t>Nr. </w:t>
      </w:r>
      <w:r w:rsidR="009B56B1" w:rsidRPr="009118AB">
        <w:rPr>
          <w:rFonts w:eastAsia="Calibri"/>
          <w:szCs w:val="22"/>
          <w:lang w:eastAsia="en-US"/>
        </w:rPr>
        <w:t xml:space="preserve">6 und 7 erwähnten Beträge und die in Artikel 234 Absatz 1 </w:t>
      </w:r>
      <w:r w:rsidR="00D67EB8" w:rsidRPr="009118AB">
        <w:rPr>
          <w:rFonts w:eastAsia="Calibri"/>
          <w:szCs w:val="22"/>
          <w:lang w:eastAsia="en-US"/>
        </w:rPr>
        <w:t>Nr. </w:t>
      </w:r>
      <w:r w:rsidR="009B56B1" w:rsidRPr="009118AB">
        <w:rPr>
          <w:rFonts w:eastAsia="Calibri"/>
          <w:szCs w:val="22"/>
          <w:lang w:eastAsia="en-US"/>
        </w:rPr>
        <w:t>10 erwähnten Provisionen, Maklergebühren, kommerziellen oder anderen Ermäßigungen, zufälligen oder nicht zufälligen Entgelte oder Honorare, Zuwendungen, Vergütungen oder Vorteile jeglicher Art</w:t>
      </w:r>
      <w:r w:rsidRPr="009118AB">
        <w:rPr>
          <w:bCs/>
          <w:iCs/>
        </w:rPr>
        <w:t>],]</w:t>
      </w:r>
    </w:p>
    <w:p w14:paraId="00F839B9" w14:textId="77777777" w:rsidR="006A2667" w:rsidRPr="009118AB" w:rsidRDefault="006A2667" w:rsidP="006A2667">
      <w:pPr>
        <w:autoSpaceDE w:val="0"/>
        <w:autoSpaceDN w:val="0"/>
        <w:adjustRightInd w:val="0"/>
        <w:jc w:val="both"/>
        <w:rPr>
          <w:bCs/>
          <w:iCs/>
        </w:rPr>
      </w:pPr>
    </w:p>
    <w:p w14:paraId="4DCB17A4" w14:textId="3F5566CB" w:rsidR="006A2667" w:rsidRPr="009118AB" w:rsidRDefault="006A2667" w:rsidP="00E00256">
      <w:pPr>
        <w:autoSpaceDE w:val="0"/>
        <w:autoSpaceDN w:val="0"/>
        <w:adjustRightInd w:val="0"/>
        <w:ind w:firstLine="708"/>
        <w:jc w:val="both"/>
        <w:rPr>
          <w:bCs/>
          <w:iCs/>
        </w:rPr>
      </w:pPr>
      <w:r w:rsidRPr="009118AB">
        <w:rPr>
          <w:bCs/>
          <w:iCs/>
        </w:rPr>
        <w:t>3. [</w:t>
      </w:r>
      <w:r w:rsidR="00104326" w:rsidRPr="009118AB">
        <w:t xml:space="preserve">zum Satz von 100 Prozent </w:t>
      </w:r>
      <w:r w:rsidR="00217093" w:rsidRPr="009118AB">
        <w:t>[</w:t>
      </w:r>
      <w:r w:rsidR="00217093" w:rsidRPr="009118AB">
        <w:rPr>
          <w:rFonts w:eastAsia="Calibri"/>
          <w:kern w:val="2"/>
          <w:szCs w:val="22"/>
          <w:lang w:eastAsia="en-US"/>
          <w14:ligatures w14:val="standardContextual"/>
        </w:rPr>
        <w:t>in Bezug auf die in Artikel 234 Absatz 1 Nr. 4 erwähnten nicht nachgewiesene Ausgaben, Vorteile jeglicher Art und Einkünfte wie in Artikel 17 § 1 Nr. 3, was Urheberrechte und ähnliche Rechte betrifft, und Nr. 5 erwähnt und finanziellen Vorteile oder Vorteile jeglicher Art</w:t>
      </w:r>
      <w:r w:rsidR="00217093" w:rsidRPr="009118AB">
        <w:t>]</w:t>
      </w:r>
      <w:r w:rsidR="00104326" w:rsidRPr="009118AB">
        <w:t>, außer wenn nachgewiesen werden kann, dass der Empfänger dieser Ausgaben oder Vorteile eine juristische Person ist; in diesem Fall wird der Steuersatz auf 50 Prozent festgelegt.</w:t>
      </w:r>
      <w:r w:rsidRPr="009118AB">
        <w:rPr>
          <w:bCs/>
          <w:iCs/>
        </w:rPr>
        <w:t>]</w:t>
      </w:r>
    </w:p>
    <w:p w14:paraId="0356D995" w14:textId="3C46FC9C" w:rsidR="006A2667" w:rsidRPr="009118AB" w:rsidRDefault="006A2667" w:rsidP="006A2667">
      <w:pPr>
        <w:autoSpaceDE w:val="0"/>
        <w:autoSpaceDN w:val="0"/>
        <w:adjustRightInd w:val="0"/>
        <w:jc w:val="both"/>
        <w:rPr>
          <w:bCs/>
          <w:iCs/>
        </w:rPr>
      </w:pPr>
    </w:p>
    <w:p w14:paraId="35E5D064" w14:textId="229D734E" w:rsidR="006A2667" w:rsidRPr="009118AB" w:rsidRDefault="006A2667" w:rsidP="006A2667">
      <w:pPr>
        <w:autoSpaceDE w:val="0"/>
        <w:autoSpaceDN w:val="0"/>
        <w:adjustRightInd w:val="0"/>
        <w:jc w:val="both"/>
        <w:rPr>
          <w:bCs/>
        </w:rPr>
      </w:pPr>
      <w:r w:rsidRPr="009118AB">
        <w:rPr>
          <w:bCs/>
          <w:i/>
          <w:iCs/>
        </w:rPr>
        <w:t>[</w:t>
      </w:r>
      <w:r w:rsidR="00D67EB8" w:rsidRPr="009118AB">
        <w:rPr>
          <w:bCs/>
          <w:i/>
          <w:iCs/>
        </w:rPr>
        <w:t>Art. </w:t>
      </w:r>
      <w:r w:rsidRPr="009118AB">
        <w:rPr>
          <w:bCs/>
          <w:i/>
          <w:iCs/>
        </w:rPr>
        <w:t xml:space="preserve">247 einziger Absatz </w:t>
      </w:r>
      <w:r w:rsidR="00D67EB8" w:rsidRPr="009118AB">
        <w:rPr>
          <w:bCs/>
          <w:i/>
          <w:iCs/>
        </w:rPr>
        <w:t>Nr. </w:t>
      </w:r>
      <w:r w:rsidRPr="009118AB">
        <w:rPr>
          <w:bCs/>
          <w:i/>
          <w:iCs/>
        </w:rPr>
        <w:t xml:space="preserve">1 abgeändert durch </w:t>
      </w:r>
      <w:r w:rsidR="00D67EB8" w:rsidRPr="009118AB">
        <w:rPr>
          <w:bCs/>
          <w:i/>
          <w:iCs/>
        </w:rPr>
        <w:t>Art. </w:t>
      </w:r>
      <w:r w:rsidRPr="009118AB">
        <w:rPr>
          <w:bCs/>
          <w:i/>
          <w:iCs/>
        </w:rPr>
        <w:t>139 Buchstabe a) des G.</w:t>
      </w:r>
      <w:r w:rsidR="00C4295A" w:rsidRPr="009118AB">
        <w:rPr>
          <w:bCs/>
          <w:i/>
          <w:iCs/>
        </w:rPr>
        <w:t> </w:t>
      </w:r>
      <w:r w:rsidRPr="009118AB">
        <w:rPr>
          <w:bCs/>
          <w:i/>
          <w:iCs/>
        </w:rPr>
        <w:t>(I) vom 22. Dezember 2008 (II) (B.S. vom 29. Dezember 2008)</w:t>
      </w:r>
      <w:r w:rsidR="00D67EB8" w:rsidRPr="009118AB">
        <w:rPr>
          <w:bCs/>
          <w:i/>
          <w:iCs/>
        </w:rPr>
        <w:t> - </w:t>
      </w:r>
      <w:r w:rsidRPr="009118AB">
        <w:rPr>
          <w:bCs/>
          <w:i/>
          <w:iCs/>
        </w:rPr>
        <w:t>in Kraft am 8. Juni 2007 mit Ausnahme von Artikel 139 Buchstabe a), der in Bezug auf die Verweise auf Artikel 234 Absatz</w:t>
      </w:r>
      <w:r w:rsidR="003D2F34" w:rsidRPr="009118AB">
        <w:rPr>
          <w:bCs/>
          <w:i/>
          <w:iCs/>
        </w:rPr>
        <w:t> </w:t>
      </w:r>
      <w:r w:rsidRPr="009118AB">
        <w:rPr>
          <w:bCs/>
          <w:i/>
          <w:iCs/>
        </w:rPr>
        <w:t>1 ab dem 1. Januar 2006 anwendbar ist</w:t>
      </w:r>
      <w:r w:rsidR="003366D9" w:rsidRPr="009118AB">
        <w:rPr>
          <w:bCs/>
          <w:i/>
          <w:iCs/>
        </w:rPr>
        <w:t> -;</w:t>
      </w:r>
      <w:r w:rsidRPr="009118AB">
        <w:rPr>
          <w:bCs/>
          <w:i/>
          <w:iCs/>
        </w:rPr>
        <w:t xml:space="preserve"> einziger Absatz </w:t>
      </w:r>
      <w:r w:rsidR="00D67EB8" w:rsidRPr="009118AB">
        <w:rPr>
          <w:bCs/>
          <w:i/>
          <w:iCs/>
        </w:rPr>
        <w:t>Nr. </w:t>
      </w:r>
      <w:r w:rsidRPr="009118AB">
        <w:rPr>
          <w:bCs/>
          <w:i/>
          <w:iCs/>
        </w:rPr>
        <w:t xml:space="preserve">2 ersetzt </w:t>
      </w:r>
      <w:r w:rsidRPr="009118AB">
        <w:rPr>
          <w:i/>
          <w:iCs/>
        </w:rPr>
        <w:t xml:space="preserve">durch </w:t>
      </w:r>
      <w:r w:rsidR="00D67EB8" w:rsidRPr="009118AB">
        <w:rPr>
          <w:i/>
          <w:iCs/>
        </w:rPr>
        <w:t>Art. </w:t>
      </w:r>
      <w:r w:rsidRPr="009118AB">
        <w:rPr>
          <w:i/>
          <w:iCs/>
        </w:rPr>
        <w:t>50</w:t>
      </w:r>
      <w:r w:rsidRPr="009118AB">
        <w:rPr>
          <w:i/>
        </w:rPr>
        <w:t xml:space="preserve"> </w:t>
      </w:r>
      <w:r w:rsidRPr="009118AB">
        <w:rPr>
          <w:bCs/>
          <w:i/>
        </w:rPr>
        <w:t>des G.</w:t>
      </w:r>
      <w:r w:rsidR="003D2F34" w:rsidRPr="009118AB">
        <w:rPr>
          <w:bCs/>
          <w:i/>
        </w:rPr>
        <w:t> </w:t>
      </w:r>
      <w:r w:rsidRPr="009118AB">
        <w:rPr>
          <w:bCs/>
          <w:i/>
        </w:rPr>
        <w:t>vom 28. Dezember 2011 (B.S. vom 30. Dezember 2011)</w:t>
      </w:r>
      <w:r w:rsidR="00D67EB8" w:rsidRPr="009118AB">
        <w:rPr>
          <w:bCs/>
          <w:i/>
        </w:rPr>
        <w:t> - </w:t>
      </w:r>
      <w:r w:rsidRPr="009118AB">
        <w:rPr>
          <w:i/>
          <w:iCs/>
        </w:rPr>
        <w:t>anwendbar auf die ab dem 1.</w:t>
      </w:r>
      <w:r w:rsidR="003D2F34" w:rsidRPr="009118AB">
        <w:rPr>
          <w:i/>
          <w:iCs/>
        </w:rPr>
        <w:t> </w:t>
      </w:r>
      <w:r w:rsidRPr="009118AB">
        <w:rPr>
          <w:i/>
          <w:iCs/>
        </w:rPr>
        <w:t>Januar 2012 zuerkannten Vorteile jeglicher Art</w:t>
      </w:r>
      <w:r w:rsidR="00D67EB8" w:rsidRPr="009118AB">
        <w:rPr>
          <w:i/>
          <w:iCs/>
        </w:rPr>
        <w:t> - </w:t>
      </w:r>
      <w:r w:rsidR="002C5555" w:rsidRPr="009118AB">
        <w:rPr>
          <w:i/>
          <w:iCs/>
        </w:rPr>
        <w:t xml:space="preserve">und abgeändert durch </w:t>
      </w:r>
      <w:r w:rsidR="00D67EB8" w:rsidRPr="009118AB">
        <w:rPr>
          <w:i/>
          <w:iCs/>
        </w:rPr>
        <w:t>Art. </w:t>
      </w:r>
      <w:r w:rsidR="002C5555" w:rsidRPr="009118AB">
        <w:rPr>
          <w:i/>
          <w:iCs/>
        </w:rPr>
        <w:t>72</w:t>
      </w:r>
      <w:r w:rsidR="002C5555" w:rsidRPr="009118AB">
        <w:rPr>
          <w:i/>
        </w:rPr>
        <w:t xml:space="preserve"> des G. vom 25. Dezember 2016</w:t>
      </w:r>
      <w:r w:rsidR="001022BB" w:rsidRPr="009118AB">
        <w:rPr>
          <w:i/>
        </w:rPr>
        <w:t> (I)</w:t>
      </w:r>
      <w:r w:rsidR="002C5555" w:rsidRPr="009118AB">
        <w:rPr>
          <w:i/>
        </w:rPr>
        <w:t xml:space="preserve"> (B.S. vom 29. Dezember 2016)</w:t>
      </w:r>
      <w:r w:rsidR="00D67EB8" w:rsidRPr="009118AB">
        <w:rPr>
          <w:i/>
        </w:rPr>
        <w:t> - </w:t>
      </w:r>
      <w:r w:rsidR="002C5555" w:rsidRPr="009118AB">
        <w:rPr>
          <w:i/>
        </w:rPr>
        <w:t>in Kraft und anwendbar ab dem 1. Januar 2017</w:t>
      </w:r>
      <w:r w:rsidR="00FD68E8" w:rsidRPr="009118AB">
        <w:rPr>
          <w:i/>
        </w:rPr>
        <w:t> -,</w:t>
      </w:r>
      <w:r w:rsidR="009B56B1" w:rsidRPr="009118AB">
        <w:rPr>
          <w:i/>
        </w:rPr>
        <w:t xml:space="preserve"> </w:t>
      </w:r>
      <w:r w:rsidR="00D67EB8" w:rsidRPr="009118AB">
        <w:rPr>
          <w:i/>
        </w:rPr>
        <w:t>Art. </w:t>
      </w:r>
      <w:r w:rsidR="000A2157" w:rsidRPr="009118AB">
        <w:rPr>
          <w:i/>
        </w:rPr>
        <w:t>34 des G. vom 30. März 2018 (B.S. vom 7. Mai 2018)</w:t>
      </w:r>
      <w:r w:rsidR="00D67EB8" w:rsidRPr="009118AB">
        <w:rPr>
          <w:i/>
        </w:rPr>
        <w:t> - </w:t>
      </w:r>
      <w:r w:rsidR="000A2157" w:rsidRPr="009118AB">
        <w:rPr>
          <w:i/>
        </w:rPr>
        <w:t>in Kraft am 1. Januar 2018</w:t>
      </w:r>
      <w:r w:rsidR="00FD68E8" w:rsidRPr="009118AB">
        <w:rPr>
          <w:i/>
        </w:rPr>
        <w:t> -,</w:t>
      </w:r>
      <w:r w:rsidR="00D02E0C" w:rsidRPr="009118AB">
        <w:rPr>
          <w:i/>
        </w:rPr>
        <w:t xml:space="preserve"> selbst für nichtig erklärt durch Entscheid </w:t>
      </w:r>
      <w:r w:rsidR="00D67EB8" w:rsidRPr="009118AB">
        <w:rPr>
          <w:i/>
        </w:rPr>
        <w:t>Nr. </w:t>
      </w:r>
      <w:r w:rsidR="00D02E0C" w:rsidRPr="009118AB">
        <w:rPr>
          <w:i/>
        </w:rPr>
        <w:t>11/2020 des Verfassungsgerichtshofes vom 23. Januar 2020 (B.S. vom 24. Februar 2020)</w:t>
      </w:r>
      <w:r w:rsidR="00EF4BA0" w:rsidRPr="009118AB">
        <w:rPr>
          <w:i/>
        </w:rPr>
        <w:t>,</w:t>
      </w:r>
      <w:r w:rsidR="009B56B1" w:rsidRPr="009118AB">
        <w:rPr>
          <w:i/>
        </w:rPr>
        <w:t xml:space="preserve"> und durch </w:t>
      </w:r>
      <w:r w:rsidR="00D67EB8" w:rsidRPr="009118AB">
        <w:rPr>
          <w:i/>
        </w:rPr>
        <w:t>Art. </w:t>
      </w:r>
      <w:r w:rsidR="009B56B1" w:rsidRPr="009118AB">
        <w:rPr>
          <w:i/>
        </w:rPr>
        <w:t>10 des G. vom 27. Dezember 2021 (B.S. vom 31. Dezember 2021)</w:t>
      </w:r>
      <w:r w:rsidR="00D67EB8" w:rsidRPr="009118AB">
        <w:rPr>
          <w:i/>
        </w:rPr>
        <w:t> - </w:t>
      </w:r>
      <w:r w:rsidR="009B56B1" w:rsidRPr="009118AB">
        <w:rPr>
          <w:i/>
        </w:rPr>
        <w:t>anwendbar ab dem 1. Januar 2022</w:t>
      </w:r>
      <w:r w:rsidR="003366D9" w:rsidRPr="009118AB">
        <w:rPr>
          <w:i/>
        </w:rPr>
        <w:t> -;</w:t>
      </w:r>
      <w:r w:rsidRPr="009118AB">
        <w:rPr>
          <w:bCs/>
          <w:i/>
          <w:iCs/>
        </w:rPr>
        <w:t xml:space="preserve"> einziger Absatz </w:t>
      </w:r>
      <w:r w:rsidR="00D67EB8" w:rsidRPr="009118AB">
        <w:rPr>
          <w:bCs/>
          <w:i/>
          <w:iCs/>
        </w:rPr>
        <w:t>Nr. </w:t>
      </w:r>
      <w:r w:rsidRPr="009118AB">
        <w:rPr>
          <w:bCs/>
          <w:i/>
          <w:iCs/>
        </w:rPr>
        <w:t xml:space="preserve">3 ersetzt durch </w:t>
      </w:r>
      <w:r w:rsidR="00D67EB8" w:rsidRPr="009118AB">
        <w:rPr>
          <w:bCs/>
          <w:i/>
          <w:iCs/>
        </w:rPr>
        <w:t>Art. </w:t>
      </w:r>
      <w:r w:rsidR="00104326" w:rsidRPr="009118AB">
        <w:rPr>
          <w:bCs/>
          <w:i/>
          <w:iCs/>
        </w:rPr>
        <w:t>36</w:t>
      </w:r>
      <w:r w:rsidR="00104326" w:rsidRPr="009118AB">
        <w:rPr>
          <w:i/>
          <w:iCs/>
        </w:rPr>
        <w:t xml:space="preserve"> </w:t>
      </w:r>
      <w:r w:rsidR="00104326" w:rsidRPr="009118AB">
        <w:rPr>
          <w:i/>
          <w:iCs/>
          <w:spacing w:val="-1"/>
        </w:rPr>
        <w:t>des G. vom 19. Dezember 2014 (B.S. vom 29. Dezember 2014)</w:t>
      </w:r>
      <w:r w:rsidR="00D67EB8" w:rsidRPr="009118AB">
        <w:rPr>
          <w:i/>
          <w:iCs/>
          <w:spacing w:val="-1"/>
        </w:rPr>
        <w:t> - </w:t>
      </w:r>
      <w:r w:rsidR="00104326" w:rsidRPr="009118AB">
        <w:rPr>
          <w:i/>
          <w:iCs/>
          <w:spacing w:val="-1"/>
        </w:rPr>
        <w:t xml:space="preserve">in Kraft am 29. Dezember 2014 und anwendbar auf alle Rechtsstreite, die </w:t>
      </w:r>
      <w:r w:rsidR="00D926DA" w:rsidRPr="009118AB">
        <w:rPr>
          <w:i/>
          <w:iCs/>
          <w:spacing w:val="-1"/>
        </w:rPr>
        <w:t xml:space="preserve">an diesem Datum </w:t>
      </w:r>
      <w:r w:rsidR="00104326" w:rsidRPr="009118AB">
        <w:rPr>
          <w:i/>
          <w:iCs/>
          <w:spacing w:val="-1"/>
        </w:rPr>
        <w:t>noch nicht endgültig abgeschlossen sind</w:t>
      </w:r>
      <w:r w:rsidR="00FD68E8" w:rsidRPr="009118AB">
        <w:rPr>
          <w:i/>
          <w:iCs/>
          <w:spacing w:val="-1"/>
        </w:rPr>
        <w:t> -</w:t>
      </w:r>
      <w:r w:rsidR="00217093" w:rsidRPr="009118AB">
        <w:rPr>
          <w:i/>
          <w:iCs/>
          <w:spacing w:val="-1"/>
        </w:rPr>
        <w:t xml:space="preserve"> und abgeändert durch Art. 33</w:t>
      </w:r>
      <w:r w:rsidR="00217093" w:rsidRPr="009118AB">
        <w:rPr>
          <w:i/>
          <w:iCs/>
          <w:spacing w:val="-2"/>
        </w:rPr>
        <w:t xml:space="preserve"> des G. vom 5. Juli 2022 (B.S. vom 15. Juli 2022) - </w:t>
      </w:r>
      <w:r w:rsidR="00217093" w:rsidRPr="009118AB">
        <w:rPr>
          <w:rFonts w:eastAsia="Calibri"/>
          <w:i/>
          <w:iCs/>
          <w:kern w:val="2"/>
          <w:szCs w:val="22"/>
          <w:lang w:eastAsia="en-US"/>
          <w14:ligatures w14:val="standardContextual"/>
        </w:rPr>
        <w:t xml:space="preserve">anwendbar auf Einkünfte, die </w:t>
      </w:r>
      <w:r w:rsidR="00217093" w:rsidRPr="009118AB">
        <w:rPr>
          <w:rFonts w:eastAsia="Calibri"/>
          <w:i/>
          <w:iCs/>
          <w:kern w:val="2"/>
          <w:szCs w:val="22"/>
          <w:lang w:eastAsia="en-US"/>
          <w14:ligatures w14:val="standardContextual"/>
        </w:rPr>
        <w:lastRenderedPageBreak/>
        <w:t>ab dem 1. Januar 2021 während eines Besteuerungszeitraums gezahlt oder zuerkannt werden, der frühestens an das Steuerjahr 2022 gebunden ist -</w:t>
      </w:r>
      <w:r w:rsidR="00FD68E8" w:rsidRPr="009118AB">
        <w:rPr>
          <w:i/>
          <w:iCs/>
          <w:spacing w:val="-1"/>
        </w:rPr>
        <w:t>]</w:t>
      </w:r>
    </w:p>
    <w:p w14:paraId="452E5B4A" w14:textId="1E70FE4D" w:rsidR="00D02E0C" w:rsidRPr="009118AB" w:rsidRDefault="00D02E0C" w:rsidP="006A2667">
      <w:pPr>
        <w:autoSpaceDE w:val="0"/>
        <w:autoSpaceDN w:val="0"/>
        <w:adjustRightInd w:val="0"/>
        <w:jc w:val="both"/>
        <w:rPr>
          <w:bCs/>
        </w:rPr>
      </w:pPr>
    </w:p>
    <w:p w14:paraId="6FD89055" w14:textId="62260E34" w:rsidR="00D02E0C" w:rsidRPr="009118AB" w:rsidRDefault="00D02E0C" w:rsidP="006A2667">
      <w:pPr>
        <w:autoSpaceDE w:val="0"/>
        <w:autoSpaceDN w:val="0"/>
        <w:adjustRightInd w:val="0"/>
        <w:jc w:val="both"/>
        <w:rPr>
          <w:bCs/>
        </w:rPr>
      </w:pPr>
    </w:p>
    <w:p w14:paraId="09BBD688" w14:textId="675EA612" w:rsidR="00D02E0C" w:rsidRPr="009118AB" w:rsidRDefault="00D02E0C" w:rsidP="00D02E0C">
      <w:pPr>
        <w:autoSpaceDE w:val="0"/>
        <w:autoSpaceDN w:val="0"/>
        <w:adjustRightInd w:val="0"/>
        <w:jc w:val="both"/>
        <w:rPr>
          <w:sz w:val="20"/>
          <w:szCs w:val="20"/>
        </w:rPr>
      </w:pPr>
      <w:r w:rsidRPr="009118AB">
        <w:rPr>
          <w:sz w:val="20"/>
          <w:szCs w:val="20"/>
        </w:rPr>
        <w:t xml:space="preserve">Ab dem 1. Januar 2026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5 des G. vom 25. November 2021 (B.S. vom 3. Dezember 2021)) lautet </w:t>
      </w:r>
      <w:r w:rsidR="00D67EB8" w:rsidRPr="009118AB">
        <w:rPr>
          <w:sz w:val="20"/>
          <w:szCs w:val="20"/>
        </w:rPr>
        <w:t>Art. </w:t>
      </w:r>
      <w:r w:rsidRPr="009118AB">
        <w:rPr>
          <w:sz w:val="20"/>
          <w:szCs w:val="20"/>
        </w:rPr>
        <w:t>247 wie folgt:</w:t>
      </w:r>
    </w:p>
    <w:p w14:paraId="0621D163" w14:textId="77777777" w:rsidR="00D02E0C" w:rsidRPr="009118AB" w:rsidRDefault="00D02E0C" w:rsidP="00D02E0C">
      <w:pPr>
        <w:autoSpaceDE w:val="0"/>
        <w:autoSpaceDN w:val="0"/>
        <w:adjustRightInd w:val="0"/>
        <w:jc w:val="both"/>
        <w:rPr>
          <w:sz w:val="20"/>
          <w:szCs w:val="20"/>
        </w:rPr>
      </w:pPr>
    </w:p>
    <w:p w14:paraId="6F5A4AB2" w14:textId="7F388135" w:rsidR="00C4295A" w:rsidRPr="009118AB" w:rsidRDefault="00D02E0C" w:rsidP="00C4295A">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00C4295A" w:rsidRPr="009118AB">
        <w:rPr>
          <w:sz w:val="20"/>
          <w:szCs w:val="20"/>
        </w:rPr>
        <w:t>247</w:t>
      </w:r>
      <w:r w:rsidR="00D67EB8" w:rsidRPr="009118AB">
        <w:rPr>
          <w:sz w:val="20"/>
          <w:szCs w:val="20"/>
        </w:rPr>
        <w:t> - </w:t>
      </w:r>
      <w:r w:rsidR="00C4295A" w:rsidRPr="009118AB">
        <w:rPr>
          <w:bCs/>
          <w:iCs/>
          <w:sz w:val="20"/>
          <w:szCs w:val="20"/>
        </w:rPr>
        <w:t>In den in Artikel 234 erwähnten Fällen wird die Steuer berechnet:</w:t>
      </w:r>
    </w:p>
    <w:p w14:paraId="75F08F76" w14:textId="77777777" w:rsidR="00C4295A" w:rsidRPr="009118AB" w:rsidRDefault="00C4295A" w:rsidP="00C4295A">
      <w:pPr>
        <w:autoSpaceDE w:val="0"/>
        <w:autoSpaceDN w:val="0"/>
        <w:adjustRightInd w:val="0"/>
        <w:jc w:val="both"/>
        <w:rPr>
          <w:bCs/>
          <w:iCs/>
          <w:sz w:val="20"/>
          <w:szCs w:val="20"/>
        </w:rPr>
      </w:pPr>
    </w:p>
    <w:p w14:paraId="28BCAB5D" w14:textId="459ADCDC" w:rsidR="00C4295A" w:rsidRPr="009118AB" w:rsidRDefault="00C4295A" w:rsidP="00C4295A">
      <w:pPr>
        <w:autoSpaceDE w:val="0"/>
        <w:autoSpaceDN w:val="0"/>
        <w:adjustRightInd w:val="0"/>
        <w:jc w:val="both"/>
        <w:rPr>
          <w:bCs/>
          <w:iCs/>
          <w:sz w:val="20"/>
          <w:szCs w:val="20"/>
        </w:rPr>
      </w:pPr>
      <w:r w:rsidRPr="009118AB">
        <w:rPr>
          <w:bCs/>
          <w:iCs/>
          <w:sz w:val="20"/>
          <w:szCs w:val="20"/>
        </w:rPr>
        <w:t xml:space="preserve">1. zum Satz von 20 Prozent in Bezug auf die in [Artikel 234 Absatz 1 </w:t>
      </w:r>
      <w:r w:rsidR="00D67EB8" w:rsidRPr="009118AB">
        <w:rPr>
          <w:bCs/>
          <w:iCs/>
          <w:sz w:val="20"/>
          <w:szCs w:val="20"/>
        </w:rPr>
        <w:t>Nr. </w:t>
      </w:r>
      <w:r w:rsidRPr="009118AB">
        <w:rPr>
          <w:bCs/>
          <w:iCs/>
          <w:sz w:val="20"/>
          <w:szCs w:val="20"/>
        </w:rPr>
        <w:t>1 und 2] erwähnten Einkünfte,</w:t>
      </w:r>
    </w:p>
    <w:p w14:paraId="6906CE3F" w14:textId="77777777" w:rsidR="00C4295A" w:rsidRPr="009118AB" w:rsidRDefault="00C4295A" w:rsidP="00C4295A">
      <w:pPr>
        <w:autoSpaceDE w:val="0"/>
        <w:autoSpaceDN w:val="0"/>
        <w:adjustRightInd w:val="0"/>
        <w:jc w:val="both"/>
        <w:rPr>
          <w:bCs/>
          <w:iCs/>
          <w:sz w:val="20"/>
          <w:szCs w:val="20"/>
        </w:rPr>
      </w:pPr>
    </w:p>
    <w:p w14:paraId="45234152" w14:textId="5158B882" w:rsidR="00C4295A" w:rsidRPr="009118AB" w:rsidRDefault="00C4295A" w:rsidP="00C4295A">
      <w:pPr>
        <w:autoSpaceDE w:val="0"/>
        <w:autoSpaceDN w:val="0"/>
        <w:adjustRightInd w:val="0"/>
        <w:jc w:val="both"/>
        <w:rPr>
          <w:bCs/>
          <w:iCs/>
          <w:sz w:val="20"/>
          <w:szCs w:val="20"/>
        </w:rPr>
      </w:pPr>
      <w:r w:rsidRPr="009118AB">
        <w:rPr>
          <w:bCs/>
          <w:iCs/>
          <w:sz w:val="20"/>
          <w:szCs w:val="20"/>
        </w:rPr>
        <w:t xml:space="preserve">2. [zu dem in Artikel 215 Absatz 1 erwähnten Satz in Bezug auf die in Artikel 234 Absatz 1 </w:t>
      </w:r>
      <w:r w:rsidR="00D67EB8" w:rsidRPr="009118AB">
        <w:rPr>
          <w:bCs/>
          <w:iCs/>
          <w:sz w:val="20"/>
          <w:szCs w:val="20"/>
        </w:rPr>
        <w:t>Nr. </w:t>
      </w:r>
      <w:r w:rsidRPr="009118AB">
        <w:rPr>
          <w:bCs/>
          <w:iCs/>
          <w:sz w:val="20"/>
          <w:szCs w:val="20"/>
        </w:rPr>
        <w:t xml:space="preserve">3 erwähnten Beiträge, Pensionen, Renten und Zulagen, die in Artikel 234 Absatz 1 </w:t>
      </w:r>
      <w:r w:rsidR="00D67EB8" w:rsidRPr="009118AB">
        <w:rPr>
          <w:bCs/>
          <w:iCs/>
          <w:sz w:val="20"/>
          <w:szCs w:val="20"/>
        </w:rPr>
        <w:t>Nr. </w:t>
      </w:r>
      <w:r w:rsidRPr="009118AB">
        <w:rPr>
          <w:bCs/>
          <w:iCs/>
          <w:sz w:val="20"/>
          <w:szCs w:val="20"/>
        </w:rPr>
        <w:t>5 erwähnten finanziellen Vorteile oder Vorteile jeglicher Art</w:t>
      </w:r>
      <w:r w:rsidR="009B56B1" w:rsidRPr="009118AB">
        <w:rPr>
          <w:bCs/>
          <w:iCs/>
          <w:sz w:val="20"/>
          <w:szCs w:val="20"/>
        </w:rPr>
        <w:t>[</w:t>
      </w:r>
      <w:bookmarkStart w:id="23" w:name="_Hlk128479131"/>
      <w:r w:rsidR="00290818" w:rsidRPr="009118AB">
        <w:rPr>
          <w:bCs/>
          <w:iCs/>
          <w:sz w:val="20"/>
          <w:szCs w:val="20"/>
        </w:rPr>
        <w:t>[</w:t>
      </w:r>
      <w:r w:rsidR="009B56B1" w:rsidRPr="009118AB">
        <w:rPr>
          <w:bCs/>
          <w:iCs/>
          <w:sz w:val="20"/>
          <w:szCs w:val="20"/>
        </w:rPr>
        <w:t xml:space="preserve">, die in Artikel 234 Absatz 1 </w:t>
      </w:r>
      <w:r w:rsidR="00D67EB8" w:rsidRPr="009118AB">
        <w:rPr>
          <w:bCs/>
          <w:iCs/>
          <w:sz w:val="20"/>
          <w:szCs w:val="20"/>
        </w:rPr>
        <w:t>Nr. </w:t>
      </w:r>
      <w:r w:rsidR="009B56B1" w:rsidRPr="009118AB">
        <w:rPr>
          <w:bCs/>
          <w:iCs/>
          <w:sz w:val="20"/>
          <w:szCs w:val="20"/>
        </w:rPr>
        <w:t xml:space="preserve">6 und 7 erwähnten Beträge und die in Artikel 234 Absatz 1 </w:t>
      </w:r>
      <w:r w:rsidR="00D67EB8" w:rsidRPr="009118AB">
        <w:rPr>
          <w:bCs/>
          <w:iCs/>
          <w:sz w:val="20"/>
          <w:szCs w:val="20"/>
        </w:rPr>
        <w:t>Nr. </w:t>
      </w:r>
      <w:r w:rsidR="009B56B1" w:rsidRPr="009118AB">
        <w:rPr>
          <w:bCs/>
          <w:iCs/>
          <w:sz w:val="20"/>
          <w:szCs w:val="20"/>
        </w:rPr>
        <w:t>10 erwähnten Provisionen, Maklergebühren, kommerziellen oder anderen Ermäßigungen, zufälligen oder nicht zufälligen Entgelte oder Honorare, Zuwendungen, Vergütungen oder Vorteile jeglicher Art</w:t>
      </w:r>
      <w:bookmarkEnd w:id="23"/>
      <w:r w:rsidR="009B56B1" w:rsidRPr="009118AB">
        <w:rPr>
          <w:bCs/>
          <w:iCs/>
          <w:sz w:val="20"/>
          <w:szCs w:val="20"/>
        </w:rPr>
        <w:t>]</w:t>
      </w:r>
      <w:r w:rsidRPr="009118AB">
        <w:rPr>
          <w:bCs/>
          <w:iCs/>
          <w:sz w:val="20"/>
          <w:szCs w:val="20"/>
        </w:rPr>
        <w:t xml:space="preserve"> und die in Artikel 234 Absatz 1 </w:t>
      </w:r>
      <w:r w:rsidR="00D67EB8" w:rsidRPr="009118AB">
        <w:rPr>
          <w:bCs/>
          <w:iCs/>
          <w:sz w:val="20"/>
          <w:szCs w:val="20"/>
        </w:rPr>
        <w:t>Nr. </w:t>
      </w:r>
      <w:r w:rsidRPr="009118AB">
        <w:rPr>
          <w:bCs/>
          <w:iCs/>
          <w:sz w:val="20"/>
          <w:szCs w:val="20"/>
        </w:rPr>
        <w:t>8 erwähnten Kosten],]</w:t>
      </w:r>
    </w:p>
    <w:p w14:paraId="748DB8FC" w14:textId="77777777" w:rsidR="00C4295A" w:rsidRPr="009118AB" w:rsidRDefault="00C4295A" w:rsidP="00C4295A">
      <w:pPr>
        <w:autoSpaceDE w:val="0"/>
        <w:autoSpaceDN w:val="0"/>
        <w:adjustRightInd w:val="0"/>
        <w:jc w:val="both"/>
        <w:rPr>
          <w:bCs/>
          <w:iCs/>
          <w:sz w:val="20"/>
          <w:szCs w:val="20"/>
        </w:rPr>
      </w:pPr>
    </w:p>
    <w:p w14:paraId="7BFE7F59" w14:textId="2A9BA937" w:rsidR="00C4295A" w:rsidRPr="009118AB" w:rsidRDefault="00C4295A" w:rsidP="00C4295A">
      <w:pPr>
        <w:autoSpaceDE w:val="0"/>
        <w:autoSpaceDN w:val="0"/>
        <w:adjustRightInd w:val="0"/>
        <w:jc w:val="both"/>
        <w:rPr>
          <w:bCs/>
          <w:iCs/>
          <w:sz w:val="20"/>
          <w:szCs w:val="20"/>
        </w:rPr>
      </w:pPr>
      <w:r w:rsidRPr="009118AB">
        <w:rPr>
          <w:bCs/>
          <w:iCs/>
          <w:sz w:val="20"/>
          <w:szCs w:val="20"/>
        </w:rPr>
        <w:t>3. [</w:t>
      </w:r>
      <w:r w:rsidRPr="009118AB">
        <w:rPr>
          <w:sz w:val="20"/>
          <w:szCs w:val="20"/>
        </w:rPr>
        <w:t xml:space="preserve">zum Satz von 100 Prozent </w:t>
      </w:r>
      <w:r w:rsidR="00217093" w:rsidRPr="009118AB">
        <w:rPr>
          <w:sz w:val="20"/>
          <w:szCs w:val="20"/>
        </w:rPr>
        <w:t>[in Bezug auf die in Artikel 234 Absatz 1 Nr. 4 erwähnten nicht nachgewiesene Ausgaben, Vorteile jeglicher Art und Einkünfte wie in Artikel 17 § 1 Nr. 3, was Urheberrechte und ähnliche Rechte betrifft, und Nr. 5 erwähnt und finanziellen Vorteile oder Vorteile jeglicher Art]</w:t>
      </w:r>
      <w:r w:rsidRPr="009118AB">
        <w:rPr>
          <w:sz w:val="20"/>
          <w:szCs w:val="20"/>
        </w:rPr>
        <w:t>, außer wenn nachgewiesen werden kann, dass der Empfänger dieser Ausgaben oder Vorteile eine juristische Person ist; in diesem Fall wird der Steuersatz auf 50 Prozent festgelegt.</w:t>
      </w:r>
      <w:r w:rsidRPr="009118AB">
        <w:rPr>
          <w:bCs/>
          <w:iCs/>
          <w:sz w:val="20"/>
          <w:szCs w:val="20"/>
        </w:rPr>
        <w:t>]</w:t>
      </w:r>
    </w:p>
    <w:p w14:paraId="6D68776F" w14:textId="77777777" w:rsidR="00C4295A" w:rsidRPr="009118AB" w:rsidRDefault="00C4295A" w:rsidP="00C4295A">
      <w:pPr>
        <w:autoSpaceDE w:val="0"/>
        <w:autoSpaceDN w:val="0"/>
        <w:adjustRightInd w:val="0"/>
        <w:jc w:val="both"/>
        <w:rPr>
          <w:bCs/>
          <w:iCs/>
          <w:sz w:val="20"/>
          <w:szCs w:val="20"/>
        </w:rPr>
      </w:pPr>
    </w:p>
    <w:p w14:paraId="5BBAD223" w14:textId="20B841E2" w:rsidR="00C4295A" w:rsidRPr="009118AB" w:rsidRDefault="00C4295A" w:rsidP="00C4295A">
      <w:pPr>
        <w:autoSpaceDE w:val="0"/>
        <w:autoSpaceDN w:val="0"/>
        <w:adjustRightInd w:val="0"/>
        <w:jc w:val="both"/>
        <w:rPr>
          <w:bCs/>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247 einziger Absatz </w:t>
      </w:r>
      <w:r w:rsidR="00D67EB8" w:rsidRPr="009118AB">
        <w:rPr>
          <w:bCs/>
          <w:i/>
          <w:iCs/>
          <w:sz w:val="20"/>
          <w:szCs w:val="20"/>
        </w:rPr>
        <w:t>Nr. </w:t>
      </w:r>
      <w:r w:rsidRPr="009118AB">
        <w:rPr>
          <w:bCs/>
          <w:i/>
          <w:iCs/>
          <w:sz w:val="20"/>
          <w:szCs w:val="20"/>
        </w:rPr>
        <w:t xml:space="preserve">1 abgeändert durch </w:t>
      </w:r>
      <w:r w:rsidR="00D67EB8" w:rsidRPr="009118AB">
        <w:rPr>
          <w:bCs/>
          <w:i/>
          <w:iCs/>
          <w:sz w:val="20"/>
          <w:szCs w:val="20"/>
        </w:rPr>
        <w:t>Art. </w:t>
      </w:r>
      <w:r w:rsidRPr="009118AB">
        <w:rPr>
          <w:bCs/>
          <w:i/>
          <w:iCs/>
          <w:sz w:val="20"/>
          <w:szCs w:val="20"/>
        </w:rPr>
        <w:t>139 Buchstabe a) des G. (I) vom 22. Dezember 2008 (II) (B.S. vom 29. Dezember 2008)</w:t>
      </w:r>
      <w:r w:rsidR="00D67EB8" w:rsidRPr="009118AB">
        <w:rPr>
          <w:bCs/>
          <w:i/>
          <w:iCs/>
          <w:sz w:val="20"/>
          <w:szCs w:val="20"/>
        </w:rPr>
        <w:t> - </w:t>
      </w:r>
      <w:r w:rsidRPr="009118AB">
        <w:rPr>
          <w:bCs/>
          <w:i/>
          <w:iCs/>
          <w:sz w:val="20"/>
          <w:szCs w:val="20"/>
        </w:rPr>
        <w:t>in Kraft am 8. Juni 2007 mit Ausnahme von Artikel 139 Buchstabe a), der in Bezug auf die Verweise auf Artikel 234 Absatz 1 ab dem 1. Januar 2006 anwendbar ist</w:t>
      </w:r>
      <w:r w:rsidR="003366D9" w:rsidRPr="009118AB">
        <w:rPr>
          <w:bCs/>
          <w:i/>
          <w:iCs/>
          <w:sz w:val="20"/>
          <w:szCs w:val="20"/>
        </w:rPr>
        <w:t> -;</w:t>
      </w:r>
      <w:r w:rsidRPr="009118AB">
        <w:rPr>
          <w:bCs/>
          <w:i/>
          <w:iCs/>
          <w:sz w:val="20"/>
          <w:szCs w:val="20"/>
        </w:rPr>
        <w:t xml:space="preserve"> einziger Absatz </w:t>
      </w:r>
      <w:r w:rsidR="00D67EB8" w:rsidRPr="009118AB">
        <w:rPr>
          <w:bCs/>
          <w:i/>
          <w:iCs/>
          <w:sz w:val="20"/>
          <w:szCs w:val="20"/>
        </w:rPr>
        <w:t>Nr. </w:t>
      </w:r>
      <w:r w:rsidRPr="009118AB">
        <w:rPr>
          <w:bCs/>
          <w:i/>
          <w:iCs/>
          <w:sz w:val="20"/>
          <w:szCs w:val="20"/>
        </w:rPr>
        <w:t xml:space="preserve">2 ersetzt </w:t>
      </w:r>
      <w:r w:rsidRPr="009118AB">
        <w:rPr>
          <w:i/>
          <w:iCs/>
          <w:sz w:val="20"/>
          <w:szCs w:val="20"/>
        </w:rPr>
        <w:t xml:space="preserve">durch </w:t>
      </w:r>
      <w:r w:rsidR="00D67EB8" w:rsidRPr="009118AB">
        <w:rPr>
          <w:i/>
          <w:iCs/>
          <w:sz w:val="20"/>
          <w:szCs w:val="20"/>
        </w:rPr>
        <w:t>Art. </w:t>
      </w:r>
      <w:r w:rsidRPr="009118AB">
        <w:rPr>
          <w:i/>
          <w:iCs/>
          <w:sz w:val="20"/>
          <w:szCs w:val="20"/>
        </w:rPr>
        <w:t>50</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i/>
          <w:iCs/>
          <w:sz w:val="20"/>
          <w:szCs w:val="20"/>
        </w:rPr>
        <w:t>anwendbar auf die ab dem 1. Januar 2012 zuerkannten Vorteile jeglicher Art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72</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FD68E8" w:rsidRPr="009118AB">
        <w:rPr>
          <w:i/>
          <w:sz w:val="20"/>
          <w:szCs w:val="20"/>
        </w:rPr>
        <w:t> -,</w:t>
      </w:r>
      <w:r w:rsidRPr="009118AB">
        <w:rPr>
          <w:i/>
          <w:sz w:val="20"/>
          <w:szCs w:val="20"/>
        </w:rPr>
        <w:t xml:space="preserve"> </w:t>
      </w:r>
      <w:r w:rsidR="00D67EB8" w:rsidRPr="009118AB">
        <w:rPr>
          <w:i/>
          <w:sz w:val="20"/>
          <w:szCs w:val="20"/>
        </w:rPr>
        <w:t>Art. </w:t>
      </w:r>
      <w:r w:rsidRPr="009118AB">
        <w:rPr>
          <w:i/>
          <w:sz w:val="20"/>
          <w:szCs w:val="20"/>
        </w:rPr>
        <w:t>34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Pr="009118AB">
        <w:rPr>
          <w:i/>
          <w:sz w:val="20"/>
          <w:szCs w:val="20"/>
        </w:rPr>
        <w:t xml:space="preserve"> selbst für nichtig erklärt durch Entscheid </w:t>
      </w:r>
      <w:r w:rsidR="00D67EB8" w:rsidRPr="009118AB">
        <w:rPr>
          <w:i/>
          <w:sz w:val="20"/>
          <w:szCs w:val="20"/>
        </w:rPr>
        <w:t>Nr. </w:t>
      </w:r>
      <w:r w:rsidRPr="009118AB">
        <w:rPr>
          <w:i/>
          <w:sz w:val="20"/>
          <w:szCs w:val="20"/>
        </w:rPr>
        <w:t>11/2020 des Verfassungsgerichtshofes vom 23. Januar 2020 (B.S. vom 24. Februar 2020)</w:t>
      </w:r>
      <w:r w:rsidRPr="009118AB">
        <w:rPr>
          <w:bCs/>
          <w:i/>
          <w:iCs/>
          <w:sz w:val="20"/>
          <w:szCs w:val="20"/>
        </w:rPr>
        <w:t xml:space="preserve">, und durch </w:t>
      </w:r>
      <w:r w:rsidR="00D67EB8" w:rsidRPr="009118AB">
        <w:rPr>
          <w:bCs/>
          <w:i/>
          <w:iCs/>
          <w:sz w:val="20"/>
          <w:szCs w:val="20"/>
        </w:rPr>
        <w:t>Art. </w:t>
      </w:r>
      <w:r w:rsidRPr="009118AB">
        <w:rPr>
          <w:bCs/>
          <w:i/>
          <w:iCs/>
          <w:sz w:val="20"/>
          <w:szCs w:val="20"/>
        </w:rPr>
        <w:t xml:space="preserve">9 </w:t>
      </w:r>
      <w:r w:rsidR="00D67EB8" w:rsidRPr="009118AB">
        <w:rPr>
          <w:bCs/>
          <w:i/>
          <w:iCs/>
          <w:sz w:val="20"/>
          <w:szCs w:val="20"/>
        </w:rPr>
        <w:t>Nr. </w:t>
      </w:r>
      <w:r w:rsidRPr="009118AB">
        <w:rPr>
          <w:bCs/>
          <w:i/>
          <w:iCs/>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D67EB8" w:rsidRPr="009118AB">
        <w:rPr>
          <w:i/>
          <w:iCs/>
          <w:sz w:val="20"/>
          <w:szCs w:val="20"/>
        </w:rPr>
        <w:t> - </w:t>
      </w:r>
      <w:r w:rsidR="009B56B1" w:rsidRPr="009118AB">
        <w:rPr>
          <w:i/>
          <w:iCs/>
          <w:sz w:val="20"/>
          <w:szCs w:val="20"/>
        </w:rPr>
        <w:t xml:space="preserve">und </w:t>
      </w:r>
      <w:r w:rsidR="00D67EB8" w:rsidRPr="009118AB">
        <w:rPr>
          <w:i/>
          <w:iCs/>
          <w:sz w:val="20"/>
          <w:szCs w:val="20"/>
        </w:rPr>
        <w:t>Art. </w:t>
      </w:r>
      <w:r w:rsidR="009B56B1" w:rsidRPr="009118AB">
        <w:rPr>
          <w:i/>
          <w:iCs/>
          <w:sz w:val="20"/>
          <w:szCs w:val="20"/>
        </w:rPr>
        <w:t>10 des G. vom 27. Dezember 2021 (B.S. vom 31. Dezember 2021</w:t>
      </w:r>
      <w:r w:rsidR="00A20038" w:rsidRPr="009118AB">
        <w:rPr>
          <w:i/>
          <w:iCs/>
          <w:sz w:val="20"/>
          <w:szCs w:val="20"/>
        </w:rPr>
        <w:t>)</w:t>
      </w:r>
      <w:r w:rsidR="00D67EB8" w:rsidRPr="009118AB">
        <w:rPr>
          <w:i/>
          <w:iCs/>
          <w:sz w:val="20"/>
          <w:szCs w:val="20"/>
        </w:rPr>
        <w:t> - </w:t>
      </w:r>
      <w:r w:rsidR="009B56B1" w:rsidRPr="009118AB">
        <w:rPr>
          <w:i/>
          <w:iCs/>
          <w:sz w:val="20"/>
          <w:szCs w:val="20"/>
        </w:rPr>
        <w:t>anwendbar ab dem 1. Januar 2022</w:t>
      </w:r>
      <w:r w:rsidR="003366D9" w:rsidRPr="009118AB">
        <w:rPr>
          <w:i/>
          <w:iCs/>
          <w:sz w:val="20"/>
          <w:szCs w:val="20"/>
        </w:rPr>
        <w:t> -;</w:t>
      </w:r>
      <w:r w:rsidRPr="009118AB">
        <w:rPr>
          <w:bCs/>
          <w:i/>
          <w:iCs/>
          <w:sz w:val="20"/>
          <w:szCs w:val="20"/>
        </w:rPr>
        <w:t xml:space="preserve"> einziger Absatz </w:t>
      </w:r>
      <w:r w:rsidR="00D67EB8" w:rsidRPr="009118AB">
        <w:rPr>
          <w:bCs/>
          <w:i/>
          <w:iCs/>
          <w:sz w:val="20"/>
          <w:szCs w:val="20"/>
        </w:rPr>
        <w:t>Nr. </w:t>
      </w:r>
      <w:r w:rsidRPr="009118AB">
        <w:rPr>
          <w:bCs/>
          <w:i/>
          <w:iCs/>
          <w:sz w:val="20"/>
          <w:szCs w:val="20"/>
        </w:rPr>
        <w:t xml:space="preserve">3 ersetzt durch </w:t>
      </w:r>
      <w:r w:rsidR="00D67EB8" w:rsidRPr="009118AB">
        <w:rPr>
          <w:bCs/>
          <w:i/>
          <w:iCs/>
          <w:sz w:val="20"/>
          <w:szCs w:val="20"/>
        </w:rPr>
        <w:t>Art. </w:t>
      </w:r>
      <w:r w:rsidRPr="009118AB">
        <w:rPr>
          <w:bCs/>
          <w:i/>
          <w:iCs/>
          <w:sz w:val="20"/>
          <w:szCs w:val="20"/>
        </w:rPr>
        <w:t>36</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00217093" w:rsidRPr="009118AB">
        <w:rPr>
          <w:i/>
          <w:iCs/>
          <w:spacing w:val="-1"/>
        </w:rPr>
        <w:t xml:space="preserve"> </w:t>
      </w:r>
      <w:r w:rsidR="00217093" w:rsidRPr="009118AB">
        <w:rPr>
          <w:i/>
          <w:iCs/>
          <w:sz w:val="20"/>
          <w:szCs w:val="20"/>
        </w:rPr>
        <w:t>und abgeändert durch Art. 33 des G. vom 5. Juli 2022 (B.S. vom 15. Juli 2022) - anwendbar auf Einkünfte, die ab dem 1. Januar 2021 während eines Besteuerungszeitraums gezahlt oder zuerkannt werden, der frühestens an das Steuerjahr 2022 gebunden ist -</w:t>
      </w:r>
      <w:r w:rsidR="00FD68E8" w:rsidRPr="009118AB">
        <w:rPr>
          <w:i/>
          <w:iCs/>
          <w:sz w:val="20"/>
          <w:szCs w:val="20"/>
        </w:rPr>
        <w:t>]</w:t>
      </w:r>
      <w:r w:rsidRPr="009118AB">
        <w:rPr>
          <w:bCs/>
          <w:sz w:val="20"/>
          <w:szCs w:val="20"/>
        </w:rPr>
        <w:t>"</w:t>
      </w:r>
    </w:p>
    <w:p w14:paraId="3815B4FD" w14:textId="33CD279A" w:rsidR="00C4295A" w:rsidRPr="009118AB" w:rsidRDefault="00C4295A" w:rsidP="00C4295A">
      <w:pPr>
        <w:autoSpaceDE w:val="0"/>
        <w:autoSpaceDN w:val="0"/>
        <w:adjustRightInd w:val="0"/>
        <w:jc w:val="both"/>
        <w:rPr>
          <w:bCs/>
          <w:sz w:val="20"/>
          <w:szCs w:val="20"/>
        </w:rPr>
      </w:pPr>
    </w:p>
    <w:p w14:paraId="607502AE" w14:textId="03F4AED9" w:rsidR="00C4295A" w:rsidRPr="009118AB" w:rsidRDefault="00C4295A" w:rsidP="00C4295A">
      <w:pPr>
        <w:autoSpaceDE w:val="0"/>
        <w:autoSpaceDN w:val="0"/>
        <w:adjustRightInd w:val="0"/>
        <w:jc w:val="both"/>
        <w:rPr>
          <w:bCs/>
          <w:sz w:val="20"/>
          <w:szCs w:val="20"/>
        </w:rPr>
      </w:pPr>
    </w:p>
    <w:p w14:paraId="408E53B6" w14:textId="27F38D06" w:rsidR="00C4295A" w:rsidRPr="009118AB" w:rsidRDefault="00C4295A" w:rsidP="00C4295A">
      <w:pPr>
        <w:autoSpaceDE w:val="0"/>
        <w:autoSpaceDN w:val="0"/>
        <w:adjustRightInd w:val="0"/>
        <w:jc w:val="both"/>
        <w:rPr>
          <w:sz w:val="20"/>
          <w:szCs w:val="20"/>
        </w:rPr>
      </w:pPr>
      <w:r w:rsidRPr="009118AB">
        <w:rPr>
          <w:sz w:val="20"/>
          <w:szCs w:val="20"/>
        </w:rPr>
        <w:t xml:space="preserve">Ab dem 1. Januar 2027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7 des G. vom 25. November 2021 (B.S. vom 3. Dezember 2021)) lautet </w:t>
      </w:r>
      <w:r w:rsidR="00D67EB8" w:rsidRPr="009118AB">
        <w:rPr>
          <w:sz w:val="20"/>
          <w:szCs w:val="20"/>
        </w:rPr>
        <w:t>Art. </w:t>
      </w:r>
      <w:r w:rsidRPr="009118AB">
        <w:rPr>
          <w:sz w:val="20"/>
          <w:szCs w:val="20"/>
        </w:rPr>
        <w:t>247 wie folgt:</w:t>
      </w:r>
    </w:p>
    <w:p w14:paraId="2F2E3BF1" w14:textId="77777777" w:rsidR="00C4295A" w:rsidRPr="009118AB" w:rsidRDefault="00C4295A" w:rsidP="00C4295A">
      <w:pPr>
        <w:autoSpaceDE w:val="0"/>
        <w:autoSpaceDN w:val="0"/>
        <w:adjustRightInd w:val="0"/>
        <w:jc w:val="both"/>
        <w:rPr>
          <w:sz w:val="20"/>
          <w:szCs w:val="20"/>
        </w:rPr>
      </w:pPr>
    </w:p>
    <w:p w14:paraId="1BBE69B0" w14:textId="767A6383" w:rsidR="00C4295A" w:rsidRPr="009118AB" w:rsidRDefault="00C4295A" w:rsidP="00C4295A">
      <w:pPr>
        <w:autoSpaceDE w:val="0"/>
        <w:autoSpaceDN w:val="0"/>
        <w:adjustRightInd w:val="0"/>
        <w:jc w:val="both"/>
        <w:rPr>
          <w:bCs/>
          <w:iCs/>
          <w:sz w:val="20"/>
          <w:szCs w:val="20"/>
        </w:rPr>
      </w:pPr>
      <w:r w:rsidRPr="009118AB">
        <w:rPr>
          <w:sz w:val="20"/>
          <w:szCs w:val="20"/>
        </w:rPr>
        <w:t>"</w:t>
      </w:r>
      <w:r w:rsidR="00D67EB8" w:rsidRPr="009118AB">
        <w:rPr>
          <w:sz w:val="20"/>
          <w:szCs w:val="20"/>
        </w:rPr>
        <w:t>Art. </w:t>
      </w:r>
      <w:r w:rsidRPr="009118AB">
        <w:rPr>
          <w:sz w:val="20"/>
          <w:szCs w:val="20"/>
        </w:rPr>
        <w:t>247</w:t>
      </w:r>
      <w:r w:rsidR="00D67EB8" w:rsidRPr="009118AB">
        <w:rPr>
          <w:sz w:val="20"/>
          <w:szCs w:val="20"/>
        </w:rPr>
        <w:t> - </w:t>
      </w:r>
      <w:r w:rsidRPr="009118AB">
        <w:rPr>
          <w:bCs/>
          <w:iCs/>
          <w:sz w:val="20"/>
          <w:szCs w:val="20"/>
        </w:rPr>
        <w:t>In den in Artikel 234 erwähnten Fällen wird die Steuer berechnet:</w:t>
      </w:r>
    </w:p>
    <w:p w14:paraId="72E9564F" w14:textId="77777777" w:rsidR="00C4295A" w:rsidRPr="009118AB" w:rsidRDefault="00C4295A" w:rsidP="00C4295A">
      <w:pPr>
        <w:autoSpaceDE w:val="0"/>
        <w:autoSpaceDN w:val="0"/>
        <w:adjustRightInd w:val="0"/>
        <w:jc w:val="both"/>
        <w:rPr>
          <w:bCs/>
          <w:iCs/>
          <w:sz w:val="20"/>
          <w:szCs w:val="20"/>
        </w:rPr>
      </w:pPr>
    </w:p>
    <w:p w14:paraId="7CA0F893" w14:textId="04336088" w:rsidR="00C4295A" w:rsidRPr="009118AB" w:rsidRDefault="00C4295A" w:rsidP="00C4295A">
      <w:pPr>
        <w:autoSpaceDE w:val="0"/>
        <w:autoSpaceDN w:val="0"/>
        <w:adjustRightInd w:val="0"/>
        <w:jc w:val="both"/>
        <w:rPr>
          <w:bCs/>
          <w:iCs/>
          <w:sz w:val="20"/>
          <w:szCs w:val="20"/>
        </w:rPr>
      </w:pPr>
      <w:r w:rsidRPr="009118AB">
        <w:rPr>
          <w:bCs/>
          <w:iCs/>
          <w:sz w:val="20"/>
          <w:szCs w:val="20"/>
        </w:rPr>
        <w:t xml:space="preserve">1. zum Satz von 20 Prozent in Bezug auf die in [Artikel 234 Absatz 1 </w:t>
      </w:r>
      <w:r w:rsidR="00D67EB8" w:rsidRPr="009118AB">
        <w:rPr>
          <w:bCs/>
          <w:iCs/>
          <w:sz w:val="20"/>
          <w:szCs w:val="20"/>
        </w:rPr>
        <w:t>Nr. </w:t>
      </w:r>
      <w:r w:rsidRPr="009118AB">
        <w:rPr>
          <w:bCs/>
          <w:iCs/>
          <w:sz w:val="20"/>
          <w:szCs w:val="20"/>
        </w:rPr>
        <w:t>1 und 2] erwähnten Einkünfte,</w:t>
      </w:r>
    </w:p>
    <w:p w14:paraId="466D248D" w14:textId="77777777" w:rsidR="00C4295A" w:rsidRPr="009118AB" w:rsidRDefault="00C4295A" w:rsidP="00C4295A">
      <w:pPr>
        <w:autoSpaceDE w:val="0"/>
        <w:autoSpaceDN w:val="0"/>
        <w:adjustRightInd w:val="0"/>
        <w:jc w:val="both"/>
        <w:rPr>
          <w:bCs/>
          <w:iCs/>
          <w:sz w:val="20"/>
          <w:szCs w:val="20"/>
        </w:rPr>
      </w:pPr>
    </w:p>
    <w:p w14:paraId="64200685" w14:textId="2B2C6396" w:rsidR="00C4295A" w:rsidRPr="009118AB" w:rsidRDefault="00C4295A" w:rsidP="00C4295A">
      <w:pPr>
        <w:autoSpaceDE w:val="0"/>
        <w:autoSpaceDN w:val="0"/>
        <w:adjustRightInd w:val="0"/>
        <w:jc w:val="both"/>
        <w:rPr>
          <w:bCs/>
          <w:iCs/>
          <w:sz w:val="20"/>
          <w:szCs w:val="20"/>
        </w:rPr>
      </w:pPr>
      <w:r w:rsidRPr="009118AB">
        <w:rPr>
          <w:bCs/>
          <w:iCs/>
          <w:sz w:val="20"/>
          <w:szCs w:val="20"/>
        </w:rPr>
        <w:t xml:space="preserve">2. [zu dem in Artikel 215 Absatz 1 erwähnten Satz in Bezug auf die in Artikel 234 Absatz 1 </w:t>
      </w:r>
      <w:r w:rsidR="00D67EB8" w:rsidRPr="009118AB">
        <w:rPr>
          <w:bCs/>
          <w:iCs/>
          <w:sz w:val="20"/>
          <w:szCs w:val="20"/>
        </w:rPr>
        <w:t>Nr. </w:t>
      </w:r>
      <w:r w:rsidRPr="009118AB">
        <w:rPr>
          <w:bCs/>
          <w:iCs/>
          <w:sz w:val="20"/>
          <w:szCs w:val="20"/>
        </w:rPr>
        <w:t xml:space="preserve">3 erwähnten Beiträge, Pensionen, Renten und Zulagen, die in Artikel 234 Absatz 1 </w:t>
      </w:r>
      <w:r w:rsidR="00D67EB8" w:rsidRPr="009118AB">
        <w:rPr>
          <w:bCs/>
          <w:iCs/>
          <w:sz w:val="20"/>
          <w:szCs w:val="20"/>
        </w:rPr>
        <w:t>Nr. </w:t>
      </w:r>
      <w:r w:rsidRPr="009118AB">
        <w:rPr>
          <w:bCs/>
          <w:iCs/>
          <w:sz w:val="20"/>
          <w:szCs w:val="20"/>
        </w:rPr>
        <w:t>5 erwähnten finanziellen Vorteile oder Vorteile jeglicher Art[</w:t>
      </w:r>
      <w:r w:rsidR="00290818" w:rsidRPr="009118AB">
        <w:rPr>
          <w:bCs/>
          <w:iCs/>
          <w:sz w:val="20"/>
          <w:szCs w:val="20"/>
        </w:rPr>
        <w:t>[</w:t>
      </w:r>
      <w:r w:rsidRPr="009118AB">
        <w:rPr>
          <w:bCs/>
          <w:iCs/>
          <w:sz w:val="20"/>
          <w:szCs w:val="20"/>
        </w:rPr>
        <w:t xml:space="preserve">, die in Artikel 234 Absatz 1 </w:t>
      </w:r>
      <w:r w:rsidR="00D67EB8" w:rsidRPr="009118AB">
        <w:rPr>
          <w:bCs/>
          <w:iCs/>
          <w:sz w:val="20"/>
          <w:szCs w:val="20"/>
        </w:rPr>
        <w:t>Nr. </w:t>
      </w:r>
      <w:r w:rsidRPr="009118AB">
        <w:rPr>
          <w:bCs/>
          <w:iCs/>
          <w:sz w:val="20"/>
          <w:szCs w:val="20"/>
        </w:rPr>
        <w:t xml:space="preserve">6, 7 und 9 erwähnten Beträge </w:t>
      </w:r>
      <w:r w:rsidR="00290818" w:rsidRPr="009118AB">
        <w:rPr>
          <w:bCs/>
          <w:iCs/>
          <w:sz w:val="20"/>
          <w:szCs w:val="20"/>
        </w:rPr>
        <w:t xml:space="preserve">und die in Artikel 234 Absatz 1 </w:t>
      </w:r>
      <w:r w:rsidR="00D67EB8" w:rsidRPr="009118AB">
        <w:rPr>
          <w:bCs/>
          <w:iCs/>
          <w:sz w:val="20"/>
          <w:szCs w:val="20"/>
        </w:rPr>
        <w:t>Nr. </w:t>
      </w:r>
      <w:r w:rsidR="00290818" w:rsidRPr="009118AB">
        <w:rPr>
          <w:bCs/>
          <w:iCs/>
          <w:sz w:val="20"/>
          <w:szCs w:val="20"/>
        </w:rPr>
        <w:t xml:space="preserve">10 erwähnten Provisionen, Maklergebühren, kommerziellen oder anderen Ermäßigungen, zufälligen oder nicht zufälligen Entgelte oder Honorare, Zuwendungen, Vergütungen oder Vorteile jeglicher Art] </w:t>
      </w:r>
      <w:r w:rsidRPr="009118AB">
        <w:rPr>
          <w:bCs/>
          <w:iCs/>
          <w:sz w:val="20"/>
          <w:szCs w:val="20"/>
        </w:rPr>
        <w:t xml:space="preserve">und die in Artikel 234 Absatz 1 </w:t>
      </w:r>
      <w:r w:rsidR="00D67EB8" w:rsidRPr="009118AB">
        <w:rPr>
          <w:bCs/>
          <w:iCs/>
          <w:sz w:val="20"/>
          <w:szCs w:val="20"/>
        </w:rPr>
        <w:t>Nr. </w:t>
      </w:r>
      <w:r w:rsidRPr="009118AB">
        <w:rPr>
          <w:bCs/>
          <w:iCs/>
          <w:sz w:val="20"/>
          <w:szCs w:val="20"/>
        </w:rPr>
        <w:t>8 erwähnten Kosten],]</w:t>
      </w:r>
    </w:p>
    <w:p w14:paraId="3BA6F93A" w14:textId="77777777" w:rsidR="00C4295A" w:rsidRPr="009118AB" w:rsidRDefault="00C4295A" w:rsidP="00C4295A">
      <w:pPr>
        <w:autoSpaceDE w:val="0"/>
        <w:autoSpaceDN w:val="0"/>
        <w:adjustRightInd w:val="0"/>
        <w:jc w:val="both"/>
        <w:rPr>
          <w:bCs/>
          <w:iCs/>
          <w:sz w:val="20"/>
          <w:szCs w:val="20"/>
        </w:rPr>
      </w:pPr>
    </w:p>
    <w:p w14:paraId="0FB408E7" w14:textId="01BB20A7" w:rsidR="00C4295A" w:rsidRPr="009118AB" w:rsidRDefault="00C4295A" w:rsidP="00C4295A">
      <w:pPr>
        <w:autoSpaceDE w:val="0"/>
        <w:autoSpaceDN w:val="0"/>
        <w:adjustRightInd w:val="0"/>
        <w:jc w:val="both"/>
        <w:rPr>
          <w:bCs/>
          <w:iCs/>
          <w:sz w:val="20"/>
          <w:szCs w:val="20"/>
        </w:rPr>
      </w:pPr>
      <w:r w:rsidRPr="009118AB">
        <w:rPr>
          <w:bCs/>
          <w:iCs/>
          <w:sz w:val="20"/>
          <w:szCs w:val="20"/>
        </w:rPr>
        <w:t>3. [</w:t>
      </w:r>
      <w:r w:rsidRPr="009118AB">
        <w:rPr>
          <w:sz w:val="20"/>
          <w:szCs w:val="20"/>
        </w:rPr>
        <w:t xml:space="preserve">zum Satz von 100 Prozent </w:t>
      </w:r>
      <w:r w:rsidR="00217093" w:rsidRPr="009118AB">
        <w:rPr>
          <w:sz w:val="20"/>
          <w:szCs w:val="20"/>
        </w:rPr>
        <w:t>[in Bezug auf die in Artikel 234 Absatz 1 Nr. 4 erwähnten nicht nachgewiesene Ausgaben, Vorteile jeglicher Art und Einkünfte wie in Artikel 17 § 1 Nr. 3, was Urheberrechte und ähnliche Rechte betrifft, und Nr. 5 erwähnt und finanziellen Vorteile oder Vorteile jeglicher Art]</w:t>
      </w:r>
      <w:r w:rsidRPr="009118AB">
        <w:rPr>
          <w:sz w:val="20"/>
          <w:szCs w:val="20"/>
        </w:rPr>
        <w:t xml:space="preserve">, außer wenn nachgewiesen </w:t>
      </w:r>
      <w:r w:rsidRPr="009118AB">
        <w:rPr>
          <w:sz w:val="20"/>
          <w:szCs w:val="20"/>
        </w:rPr>
        <w:lastRenderedPageBreak/>
        <w:t>werden kann, dass der Empfänger dieser Ausgaben oder Vorteile eine juristische Person ist; in diesem Fall wird der Steuersatz auf 50 Prozent festgelegt.</w:t>
      </w:r>
      <w:r w:rsidRPr="009118AB">
        <w:rPr>
          <w:bCs/>
          <w:iCs/>
          <w:sz w:val="20"/>
          <w:szCs w:val="20"/>
        </w:rPr>
        <w:t>]</w:t>
      </w:r>
    </w:p>
    <w:p w14:paraId="08C64FCD" w14:textId="77777777" w:rsidR="00C4295A" w:rsidRPr="009118AB" w:rsidRDefault="00C4295A" w:rsidP="00C4295A">
      <w:pPr>
        <w:autoSpaceDE w:val="0"/>
        <w:autoSpaceDN w:val="0"/>
        <w:adjustRightInd w:val="0"/>
        <w:jc w:val="both"/>
        <w:rPr>
          <w:bCs/>
          <w:iCs/>
          <w:sz w:val="20"/>
          <w:szCs w:val="20"/>
        </w:rPr>
      </w:pPr>
    </w:p>
    <w:p w14:paraId="3AF022B2" w14:textId="6781AB18" w:rsidR="00C4295A" w:rsidRPr="009118AB" w:rsidRDefault="00C4295A" w:rsidP="00C4295A">
      <w:pPr>
        <w:autoSpaceDE w:val="0"/>
        <w:autoSpaceDN w:val="0"/>
        <w:adjustRightInd w:val="0"/>
        <w:jc w:val="both"/>
        <w:rPr>
          <w:bCs/>
          <w:sz w:val="20"/>
          <w:szCs w:val="20"/>
        </w:rPr>
      </w:pPr>
      <w:r w:rsidRPr="009118AB">
        <w:rPr>
          <w:bCs/>
          <w:i/>
          <w:iCs/>
          <w:sz w:val="20"/>
          <w:szCs w:val="20"/>
        </w:rPr>
        <w:t>[</w:t>
      </w:r>
      <w:r w:rsidR="00D67EB8" w:rsidRPr="009118AB">
        <w:rPr>
          <w:bCs/>
          <w:i/>
          <w:iCs/>
          <w:sz w:val="20"/>
          <w:szCs w:val="20"/>
        </w:rPr>
        <w:t>Art. </w:t>
      </w:r>
      <w:r w:rsidRPr="009118AB">
        <w:rPr>
          <w:bCs/>
          <w:i/>
          <w:iCs/>
          <w:sz w:val="20"/>
          <w:szCs w:val="20"/>
        </w:rPr>
        <w:t xml:space="preserve">247 einziger Absatz </w:t>
      </w:r>
      <w:r w:rsidR="00D67EB8" w:rsidRPr="009118AB">
        <w:rPr>
          <w:bCs/>
          <w:i/>
          <w:iCs/>
          <w:sz w:val="20"/>
          <w:szCs w:val="20"/>
        </w:rPr>
        <w:t>Nr. </w:t>
      </w:r>
      <w:r w:rsidRPr="009118AB">
        <w:rPr>
          <w:bCs/>
          <w:i/>
          <w:iCs/>
          <w:sz w:val="20"/>
          <w:szCs w:val="20"/>
        </w:rPr>
        <w:t xml:space="preserve">1 abgeändert durch </w:t>
      </w:r>
      <w:r w:rsidR="00D67EB8" w:rsidRPr="009118AB">
        <w:rPr>
          <w:bCs/>
          <w:i/>
          <w:iCs/>
          <w:sz w:val="20"/>
          <w:szCs w:val="20"/>
        </w:rPr>
        <w:t>Art. </w:t>
      </w:r>
      <w:r w:rsidRPr="009118AB">
        <w:rPr>
          <w:bCs/>
          <w:i/>
          <w:iCs/>
          <w:sz w:val="20"/>
          <w:szCs w:val="20"/>
        </w:rPr>
        <w:t>139 Buchstabe a) des G. (I) vom 22. Dezember 2008 (II) (B.S. vom 29. Dezember 2008)</w:t>
      </w:r>
      <w:r w:rsidR="00D67EB8" w:rsidRPr="009118AB">
        <w:rPr>
          <w:bCs/>
          <w:i/>
          <w:iCs/>
          <w:sz w:val="20"/>
          <w:szCs w:val="20"/>
        </w:rPr>
        <w:t> - </w:t>
      </w:r>
      <w:r w:rsidRPr="009118AB">
        <w:rPr>
          <w:bCs/>
          <w:i/>
          <w:iCs/>
          <w:sz w:val="20"/>
          <w:szCs w:val="20"/>
        </w:rPr>
        <w:t>in Kraft am 8. Juni 2007 mit Ausnahme von Artikel 139 Buchstabe a), der in Bezug auf die Verweise auf Artikel 234 Absatz 1 ab dem 1. Januar 2006 anwendbar ist</w:t>
      </w:r>
      <w:r w:rsidR="003366D9" w:rsidRPr="009118AB">
        <w:rPr>
          <w:bCs/>
          <w:i/>
          <w:iCs/>
          <w:sz w:val="20"/>
          <w:szCs w:val="20"/>
        </w:rPr>
        <w:t> -;</w:t>
      </w:r>
      <w:r w:rsidRPr="009118AB">
        <w:rPr>
          <w:bCs/>
          <w:i/>
          <w:iCs/>
          <w:sz w:val="20"/>
          <w:szCs w:val="20"/>
        </w:rPr>
        <w:t xml:space="preserve"> einziger Absatz </w:t>
      </w:r>
      <w:r w:rsidR="00D67EB8" w:rsidRPr="009118AB">
        <w:rPr>
          <w:bCs/>
          <w:i/>
          <w:iCs/>
          <w:sz w:val="20"/>
          <w:szCs w:val="20"/>
        </w:rPr>
        <w:t>Nr. </w:t>
      </w:r>
      <w:r w:rsidRPr="009118AB">
        <w:rPr>
          <w:bCs/>
          <w:i/>
          <w:iCs/>
          <w:sz w:val="20"/>
          <w:szCs w:val="20"/>
        </w:rPr>
        <w:t xml:space="preserve">2 ersetzt </w:t>
      </w:r>
      <w:r w:rsidRPr="009118AB">
        <w:rPr>
          <w:i/>
          <w:iCs/>
          <w:sz w:val="20"/>
          <w:szCs w:val="20"/>
        </w:rPr>
        <w:t xml:space="preserve">durch </w:t>
      </w:r>
      <w:r w:rsidR="00D67EB8" w:rsidRPr="009118AB">
        <w:rPr>
          <w:i/>
          <w:iCs/>
          <w:sz w:val="20"/>
          <w:szCs w:val="20"/>
        </w:rPr>
        <w:t>Art. </w:t>
      </w:r>
      <w:r w:rsidRPr="009118AB">
        <w:rPr>
          <w:i/>
          <w:iCs/>
          <w:sz w:val="20"/>
          <w:szCs w:val="20"/>
        </w:rPr>
        <w:t>50</w:t>
      </w:r>
      <w:r w:rsidRPr="009118AB">
        <w:rPr>
          <w:i/>
          <w:sz w:val="20"/>
          <w:szCs w:val="20"/>
        </w:rPr>
        <w:t xml:space="preserve"> </w:t>
      </w:r>
      <w:r w:rsidRPr="009118AB">
        <w:rPr>
          <w:bCs/>
          <w:i/>
          <w:sz w:val="20"/>
          <w:szCs w:val="20"/>
        </w:rPr>
        <w:t>des G. vom 28. Dezember 2011 (B.S. vom 30. Dezember 2011)</w:t>
      </w:r>
      <w:r w:rsidR="00D67EB8" w:rsidRPr="009118AB">
        <w:rPr>
          <w:bCs/>
          <w:i/>
          <w:sz w:val="20"/>
          <w:szCs w:val="20"/>
        </w:rPr>
        <w:t> - </w:t>
      </w:r>
      <w:r w:rsidRPr="009118AB">
        <w:rPr>
          <w:i/>
          <w:iCs/>
          <w:sz w:val="20"/>
          <w:szCs w:val="20"/>
        </w:rPr>
        <w:t>anwendbar auf die ab dem 1. Januar 2012 zuerkannten Vorteile jeglicher Art</w:t>
      </w:r>
      <w:r w:rsidR="00D67EB8" w:rsidRPr="009118AB">
        <w:rPr>
          <w:i/>
          <w:iCs/>
          <w:sz w:val="20"/>
          <w:szCs w:val="20"/>
        </w:rPr>
        <w:t> - </w:t>
      </w:r>
      <w:r w:rsidRPr="009118AB">
        <w:rPr>
          <w:i/>
          <w:iCs/>
          <w:sz w:val="20"/>
          <w:szCs w:val="20"/>
        </w:rPr>
        <w:t xml:space="preserve">und abgeändert durch </w:t>
      </w:r>
      <w:r w:rsidR="00D67EB8" w:rsidRPr="009118AB">
        <w:rPr>
          <w:i/>
          <w:iCs/>
          <w:sz w:val="20"/>
          <w:szCs w:val="20"/>
        </w:rPr>
        <w:t>Art. </w:t>
      </w:r>
      <w:r w:rsidRPr="009118AB">
        <w:rPr>
          <w:i/>
          <w:iCs/>
          <w:sz w:val="20"/>
          <w:szCs w:val="20"/>
        </w:rPr>
        <w:t>72</w:t>
      </w:r>
      <w:r w:rsidRPr="009118AB">
        <w:rPr>
          <w:i/>
          <w:sz w:val="20"/>
          <w:szCs w:val="20"/>
        </w:rPr>
        <w:t xml:space="preserve"> des G. vom 25. Dezember 2016 (I) (B.S. vom 29. Dezember 2016)</w:t>
      </w:r>
      <w:r w:rsidR="00D67EB8" w:rsidRPr="009118AB">
        <w:rPr>
          <w:i/>
          <w:sz w:val="20"/>
          <w:szCs w:val="20"/>
        </w:rPr>
        <w:t> - </w:t>
      </w:r>
      <w:r w:rsidRPr="009118AB">
        <w:rPr>
          <w:i/>
          <w:sz w:val="20"/>
          <w:szCs w:val="20"/>
        </w:rPr>
        <w:t>in Kraft und anwendbar ab dem 1. Januar 2017</w:t>
      </w:r>
      <w:r w:rsidR="00FD68E8" w:rsidRPr="009118AB">
        <w:rPr>
          <w:i/>
          <w:sz w:val="20"/>
          <w:szCs w:val="20"/>
        </w:rPr>
        <w:t> -,</w:t>
      </w:r>
      <w:r w:rsidRPr="009118AB">
        <w:rPr>
          <w:i/>
          <w:sz w:val="20"/>
          <w:szCs w:val="20"/>
        </w:rPr>
        <w:t xml:space="preserve"> </w:t>
      </w:r>
      <w:r w:rsidR="00D67EB8" w:rsidRPr="009118AB">
        <w:rPr>
          <w:i/>
          <w:sz w:val="20"/>
          <w:szCs w:val="20"/>
        </w:rPr>
        <w:t>Art. </w:t>
      </w:r>
      <w:r w:rsidRPr="009118AB">
        <w:rPr>
          <w:i/>
          <w:sz w:val="20"/>
          <w:szCs w:val="20"/>
        </w:rPr>
        <w:t>34 des G. vom 30. März 2018 (B.S. vom 7. Mai 2018)</w:t>
      </w:r>
      <w:r w:rsidR="00D67EB8" w:rsidRPr="009118AB">
        <w:rPr>
          <w:i/>
          <w:sz w:val="20"/>
          <w:szCs w:val="20"/>
        </w:rPr>
        <w:t> - </w:t>
      </w:r>
      <w:r w:rsidRPr="009118AB">
        <w:rPr>
          <w:i/>
          <w:sz w:val="20"/>
          <w:szCs w:val="20"/>
        </w:rPr>
        <w:t>in Kraft am 1. Januar 2018</w:t>
      </w:r>
      <w:r w:rsidR="00FD68E8" w:rsidRPr="009118AB">
        <w:rPr>
          <w:i/>
          <w:sz w:val="20"/>
          <w:szCs w:val="20"/>
        </w:rPr>
        <w:t> -,</w:t>
      </w:r>
      <w:r w:rsidRPr="009118AB">
        <w:rPr>
          <w:i/>
          <w:sz w:val="20"/>
          <w:szCs w:val="20"/>
        </w:rPr>
        <w:t xml:space="preserve"> selbst für nichtig erklärt durch Entscheid </w:t>
      </w:r>
      <w:r w:rsidR="00D67EB8" w:rsidRPr="009118AB">
        <w:rPr>
          <w:i/>
          <w:sz w:val="20"/>
          <w:szCs w:val="20"/>
        </w:rPr>
        <w:t>Nr. </w:t>
      </w:r>
      <w:r w:rsidRPr="009118AB">
        <w:rPr>
          <w:i/>
          <w:sz w:val="20"/>
          <w:szCs w:val="20"/>
        </w:rPr>
        <w:t>11/2020 des Verfassungsgerichtshofes vom 23. Januar 2020 (B.S. vom 24. Februar 2020)</w:t>
      </w:r>
      <w:r w:rsidRPr="009118AB">
        <w:rPr>
          <w:bCs/>
          <w:i/>
          <w:iCs/>
          <w:sz w:val="20"/>
          <w:szCs w:val="20"/>
        </w:rPr>
        <w:t xml:space="preserve">, und durch </w:t>
      </w:r>
      <w:r w:rsidR="00D67EB8" w:rsidRPr="009118AB">
        <w:rPr>
          <w:bCs/>
          <w:i/>
          <w:iCs/>
          <w:sz w:val="20"/>
          <w:szCs w:val="20"/>
        </w:rPr>
        <w:t>Art. </w:t>
      </w:r>
      <w:r w:rsidRPr="009118AB">
        <w:rPr>
          <w:bCs/>
          <w:i/>
          <w:iCs/>
          <w:sz w:val="20"/>
          <w:szCs w:val="20"/>
        </w:rPr>
        <w:t xml:space="preserve">9 </w:t>
      </w:r>
      <w:r w:rsidR="00D67EB8" w:rsidRPr="009118AB">
        <w:rPr>
          <w:bCs/>
          <w:i/>
          <w:iCs/>
          <w:sz w:val="20"/>
          <w:szCs w:val="20"/>
        </w:rPr>
        <w:t>Nr. </w:t>
      </w:r>
      <w:r w:rsidRPr="009118AB">
        <w:rPr>
          <w:bCs/>
          <w:i/>
          <w:iCs/>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FD68E8" w:rsidRPr="009118AB">
        <w:rPr>
          <w:i/>
          <w:iCs/>
          <w:sz w:val="20"/>
          <w:szCs w:val="20"/>
        </w:rPr>
        <w:t> -,</w:t>
      </w:r>
      <w:r w:rsidRPr="009118AB">
        <w:rPr>
          <w:i/>
          <w:iCs/>
          <w:sz w:val="20"/>
          <w:szCs w:val="20"/>
        </w:rPr>
        <w:t xml:space="preserve"> </w:t>
      </w:r>
      <w:r w:rsidR="00D67EB8" w:rsidRPr="009118AB">
        <w:rPr>
          <w:i/>
          <w:iCs/>
          <w:sz w:val="20"/>
          <w:szCs w:val="20"/>
        </w:rPr>
        <w:t>Art. </w:t>
      </w:r>
      <w:r w:rsidRPr="009118AB">
        <w:rPr>
          <w:i/>
          <w:iCs/>
          <w:sz w:val="20"/>
          <w:szCs w:val="20"/>
        </w:rPr>
        <w:t xml:space="preserve">9 </w:t>
      </w:r>
      <w:r w:rsidR="00D67EB8" w:rsidRPr="009118AB">
        <w:rPr>
          <w:i/>
          <w:iCs/>
          <w:sz w:val="20"/>
          <w:szCs w:val="20"/>
        </w:rPr>
        <w:t>Nr. </w:t>
      </w:r>
      <w:r w:rsidRPr="009118AB">
        <w:rPr>
          <w:i/>
          <w:iCs/>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w:t>
      </w:r>
      <w:r w:rsidR="00D67EB8" w:rsidRPr="009118AB">
        <w:rPr>
          <w:i/>
          <w:iCs/>
          <w:sz w:val="20"/>
          <w:szCs w:val="20"/>
        </w:rPr>
        <w:t> - </w:t>
      </w:r>
      <w:r w:rsidR="00290818" w:rsidRPr="009118AB">
        <w:rPr>
          <w:i/>
          <w:iCs/>
          <w:sz w:val="20"/>
          <w:szCs w:val="20"/>
        </w:rPr>
        <w:t xml:space="preserve">und </w:t>
      </w:r>
      <w:r w:rsidR="00D67EB8" w:rsidRPr="009118AB">
        <w:rPr>
          <w:i/>
          <w:iCs/>
          <w:sz w:val="20"/>
          <w:szCs w:val="20"/>
        </w:rPr>
        <w:t>Art. </w:t>
      </w:r>
      <w:r w:rsidR="00290818" w:rsidRPr="009118AB">
        <w:rPr>
          <w:i/>
          <w:iCs/>
          <w:sz w:val="20"/>
          <w:szCs w:val="20"/>
        </w:rPr>
        <w:t>10 des G. vom 27. Dezember 2021 (B.S. vom 31. Dezember 2021)</w:t>
      </w:r>
      <w:r w:rsidR="00D67EB8" w:rsidRPr="009118AB">
        <w:rPr>
          <w:i/>
          <w:iCs/>
          <w:sz w:val="20"/>
          <w:szCs w:val="20"/>
        </w:rPr>
        <w:t> - </w:t>
      </w:r>
      <w:r w:rsidR="00290818" w:rsidRPr="009118AB">
        <w:rPr>
          <w:i/>
          <w:iCs/>
          <w:sz w:val="20"/>
          <w:szCs w:val="20"/>
        </w:rPr>
        <w:t>anwendbar ab dem 1. Januar 2022</w:t>
      </w:r>
      <w:r w:rsidR="003366D9" w:rsidRPr="009118AB">
        <w:rPr>
          <w:i/>
          <w:iCs/>
          <w:sz w:val="20"/>
          <w:szCs w:val="20"/>
        </w:rPr>
        <w:t> -;</w:t>
      </w:r>
      <w:r w:rsidRPr="009118AB">
        <w:rPr>
          <w:bCs/>
          <w:i/>
          <w:iCs/>
          <w:sz w:val="20"/>
          <w:szCs w:val="20"/>
        </w:rPr>
        <w:t xml:space="preserve"> einziger Absatz </w:t>
      </w:r>
      <w:r w:rsidR="00D67EB8" w:rsidRPr="009118AB">
        <w:rPr>
          <w:bCs/>
          <w:i/>
          <w:iCs/>
          <w:sz w:val="20"/>
          <w:szCs w:val="20"/>
        </w:rPr>
        <w:t>Nr. </w:t>
      </w:r>
      <w:r w:rsidRPr="009118AB">
        <w:rPr>
          <w:bCs/>
          <w:i/>
          <w:iCs/>
          <w:sz w:val="20"/>
          <w:szCs w:val="20"/>
        </w:rPr>
        <w:t xml:space="preserve">3 ersetzt durch </w:t>
      </w:r>
      <w:r w:rsidR="00D67EB8" w:rsidRPr="009118AB">
        <w:rPr>
          <w:bCs/>
          <w:i/>
          <w:iCs/>
          <w:sz w:val="20"/>
          <w:szCs w:val="20"/>
        </w:rPr>
        <w:t>Art. </w:t>
      </w:r>
      <w:r w:rsidRPr="009118AB">
        <w:rPr>
          <w:bCs/>
          <w:i/>
          <w:iCs/>
          <w:sz w:val="20"/>
          <w:szCs w:val="20"/>
        </w:rPr>
        <w:t>36</w:t>
      </w:r>
      <w:r w:rsidRPr="009118AB">
        <w:rPr>
          <w:i/>
          <w:iCs/>
          <w:sz w:val="20"/>
          <w:szCs w:val="20"/>
        </w:rPr>
        <w:t xml:space="preserve"> des G. vom 19. Dezember 2014 (B.S. vom 29. Dezember 2014)</w:t>
      </w:r>
      <w:r w:rsidR="00D67EB8" w:rsidRPr="009118AB">
        <w:rPr>
          <w:i/>
          <w:iCs/>
          <w:sz w:val="20"/>
          <w:szCs w:val="20"/>
        </w:rPr>
        <w:t> - </w:t>
      </w:r>
      <w:r w:rsidRPr="009118AB">
        <w:rPr>
          <w:i/>
          <w:iCs/>
          <w:sz w:val="20"/>
          <w:szCs w:val="20"/>
        </w:rPr>
        <w:t>in Kraft am 29. Dezember 2014 und anwendbar auf alle Rechtsstreite, die an diesem Datum noch nicht endgültig abgeschlossen sind</w:t>
      </w:r>
      <w:r w:rsidR="00FD68E8" w:rsidRPr="009118AB">
        <w:rPr>
          <w:i/>
          <w:iCs/>
          <w:sz w:val="20"/>
          <w:szCs w:val="20"/>
        </w:rPr>
        <w:t> -</w:t>
      </w:r>
      <w:r w:rsidR="00217093" w:rsidRPr="009118AB">
        <w:rPr>
          <w:i/>
          <w:iCs/>
          <w:spacing w:val="-1"/>
        </w:rPr>
        <w:t xml:space="preserve"> </w:t>
      </w:r>
      <w:r w:rsidR="00217093" w:rsidRPr="009118AB">
        <w:rPr>
          <w:i/>
          <w:iCs/>
          <w:sz w:val="20"/>
          <w:szCs w:val="20"/>
        </w:rPr>
        <w:t>und abgeändert durch Art. 33 des G. vom 5. Juli 2022 (B.S. vom 15. Juli 2022) - anwendbar auf Einkünfte, die ab dem 1. Januar 2021 während eines Besteuerungszeitraums gezahlt oder zuerkannt werden, der frühestens an das Steuerjahr 2022 gebunden ist -</w:t>
      </w:r>
      <w:r w:rsidR="00FD68E8" w:rsidRPr="009118AB">
        <w:rPr>
          <w:i/>
          <w:iCs/>
          <w:sz w:val="20"/>
          <w:szCs w:val="20"/>
        </w:rPr>
        <w:t>]</w:t>
      </w:r>
      <w:r w:rsidRPr="009118AB">
        <w:rPr>
          <w:bCs/>
          <w:sz w:val="20"/>
          <w:szCs w:val="20"/>
        </w:rPr>
        <w:t>"</w:t>
      </w:r>
    </w:p>
    <w:p w14:paraId="4C786D0F" w14:textId="77777777" w:rsidR="00477B8F" w:rsidRPr="009118AB" w:rsidRDefault="00477B8F" w:rsidP="00477B8F">
      <w:pPr>
        <w:autoSpaceDE w:val="0"/>
        <w:autoSpaceDN w:val="0"/>
        <w:adjustRightInd w:val="0"/>
        <w:jc w:val="both"/>
      </w:pPr>
    </w:p>
    <w:p w14:paraId="42FCC565" w14:textId="77777777" w:rsidR="006A2667" w:rsidRPr="009118AB" w:rsidRDefault="006A2667" w:rsidP="00477B8F">
      <w:pPr>
        <w:autoSpaceDE w:val="0"/>
        <w:autoSpaceDN w:val="0"/>
        <w:adjustRightInd w:val="0"/>
        <w:jc w:val="both"/>
      </w:pPr>
    </w:p>
    <w:p w14:paraId="7C852231" w14:textId="6B836920" w:rsidR="00B23329" w:rsidRPr="009118AB" w:rsidRDefault="00477B8F" w:rsidP="00B23329">
      <w:pPr>
        <w:autoSpaceDE w:val="0"/>
        <w:autoSpaceDN w:val="0"/>
        <w:adjustRightInd w:val="0"/>
        <w:jc w:val="both"/>
      </w:pPr>
      <w:r w:rsidRPr="009118AB">
        <w:tab/>
      </w:r>
      <w:r w:rsidR="00D67EB8" w:rsidRPr="009118AB">
        <w:rPr>
          <w:b/>
          <w:bCs/>
        </w:rPr>
        <w:t>Art. </w:t>
      </w:r>
      <w:r w:rsidRPr="009118AB">
        <w:rPr>
          <w:b/>
          <w:bCs/>
        </w:rPr>
        <w:t>248</w:t>
      </w:r>
      <w:r w:rsidR="00D67EB8" w:rsidRPr="009118AB">
        <w:t> - </w:t>
      </w:r>
      <w:r w:rsidR="00B23329" w:rsidRPr="009118AB">
        <w:t>[[</w:t>
      </w:r>
      <w:r w:rsidR="00D67EB8" w:rsidRPr="009118AB">
        <w:t>§ </w:t>
      </w:r>
      <w:r w:rsidR="00B23329" w:rsidRPr="009118AB">
        <w:t>1]</w:t>
      </w:r>
      <w:r w:rsidR="00D67EB8" w:rsidRPr="009118AB">
        <w:t> - </w:t>
      </w:r>
      <w:r w:rsidR="00B23329" w:rsidRPr="009118AB">
        <w:t>Die Steuer in Bezug auf […] nicht in den Artikeln 232 bis 234 erwähnte Einkünfte entspricht den verschiedenen Vorabzügen und der in Artikel 301 erwähnten Sondersteuer, die sich auf diese Einkünfte beziehen.</w:t>
      </w:r>
    </w:p>
    <w:p w14:paraId="1A7DA56B" w14:textId="77777777" w:rsidR="00B23329" w:rsidRPr="009118AB" w:rsidRDefault="00B23329" w:rsidP="00B23329">
      <w:pPr>
        <w:autoSpaceDE w:val="0"/>
        <w:autoSpaceDN w:val="0"/>
        <w:adjustRightInd w:val="0"/>
        <w:jc w:val="both"/>
      </w:pPr>
    </w:p>
    <w:p w14:paraId="613FB7D6" w14:textId="40820CF0" w:rsidR="00B23329" w:rsidRPr="009118AB" w:rsidRDefault="00B23329" w:rsidP="00BA1E19">
      <w:pPr>
        <w:autoSpaceDE w:val="0"/>
        <w:autoSpaceDN w:val="0"/>
        <w:adjustRightInd w:val="0"/>
        <w:ind w:firstLine="709"/>
        <w:jc w:val="both"/>
      </w:pPr>
      <w:r w:rsidRPr="009118AB">
        <w:t xml:space="preserve">[In Bezug auf die in Artikel 227 </w:t>
      </w:r>
      <w:r w:rsidR="00D67EB8" w:rsidRPr="009118AB">
        <w:t>Nr. </w:t>
      </w:r>
      <w:r w:rsidRPr="009118AB">
        <w:t>1 erwähnten Steuerpflichtigen ist Absatz 1 ebenfalls anwendbar:</w:t>
      </w:r>
    </w:p>
    <w:p w14:paraId="647C6EE5" w14:textId="77777777" w:rsidR="00B23329" w:rsidRPr="009118AB" w:rsidRDefault="00B23329" w:rsidP="00B23329">
      <w:pPr>
        <w:autoSpaceDE w:val="0"/>
        <w:autoSpaceDN w:val="0"/>
        <w:adjustRightInd w:val="0"/>
        <w:jc w:val="both"/>
      </w:pPr>
    </w:p>
    <w:p w14:paraId="14B74573" w14:textId="57D0EC54" w:rsidR="00B23329" w:rsidRPr="009118AB" w:rsidRDefault="00B23329" w:rsidP="00BA1E19">
      <w:pPr>
        <w:autoSpaceDE w:val="0"/>
        <w:autoSpaceDN w:val="0"/>
        <w:adjustRightInd w:val="0"/>
        <w:ind w:firstLine="709"/>
        <w:jc w:val="both"/>
      </w:pPr>
      <w:r w:rsidRPr="009118AB">
        <w:t>1. [in Abweichung von Artikel 232:</w:t>
      </w:r>
    </w:p>
    <w:p w14:paraId="55F002BA" w14:textId="77777777" w:rsidR="00B23329" w:rsidRPr="009118AB" w:rsidRDefault="00B23329" w:rsidP="00B23329">
      <w:pPr>
        <w:autoSpaceDE w:val="0"/>
        <w:autoSpaceDN w:val="0"/>
        <w:adjustRightInd w:val="0"/>
        <w:jc w:val="both"/>
      </w:pPr>
    </w:p>
    <w:p w14:paraId="73A56B04" w14:textId="52FD3907" w:rsidR="00B23329" w:rsidRPr="009118AB" w:rsidRDefault="00B23329" w:rsidP="00BA1E19">
      <w:pPr>
        <w:autoSpaceDE w:val="0"/>
        <w:autoSpaceDN w:val="0"/>
        <w:adjustRightInd w:val="0"/>
        <w:ind w:firstLine="709"/>
        <w:jc w:val="both"/>
      </w:pPr>
      <w:r w:rsidRPr="009118AB">
        <w:rPr>
          <w:i/>
        </w:rPr>
        <w:t>a)</w:t>
      </w:r>
      <w:r w:rsidRPr="009118AB">
        <w:t xml:space="preserve"> auf Gewinne oder Profite, die von Gesellschaftern oder Mitgliedern [einer Gesellschaft] oder einer Vereinigung ohne Rechtspersönlichkeit erwähnt in Artikel 229 </w:t>
      </w:r>
      <w:r w:rsidR="00D67EB8" w:rsidRPr="009118AB">
        <w:t>§ </w:t>
      </w:r>
      <w:r w:rsidRPr="009118AB">
        <w:t>3 erzielt oder bezogen werden,</w:t>
      </w:r>
    </w:p>
    <w:p w14:paraId="2C07634D" w14:textId="77777777" w:rsidR="00B23329" w:rsidRPr="009118AB" w:rsidRDefault="00B23329" w:rsidP="00B23329">
      <w:pPr>
        <w:autoSpaceDE w:val="0"/>
        <w:autoSpaceDN w:val="0"/>
        <w:adjustRightInd w:val="0"/>
        <w:jc w:val="both"/>
      </w:pPr>
    </w:p>
    <w:p w14:paraId="32795BB6" w14:textId="364DACFA" w:rsidR="00B23329" w:rsidRPr="009118AB" w:rsidRDefault="00B23329" w:rsidP="00BA1E19">
      <w:pPr>
        <w:autoSpaceDE w:val="0"/>
        <w:autoSpaceDN w:val="0"/>
        <w:adjustRightInd w:val="0"/>
        <w:ind w:firstLine="709"/>
        <w:jc w:val="both"/>
      </w:pPr>
      <w:r w:rsidRPr="009118AB">
        <w:rPr>
          <w:i/>
        </w:rPr>
        <w:t>b)</w:t>
      </w:r>
      <w:r w:rsidRPr="009118AB">
        <w:t xml:space="preserve"> [auf Entlohnungen, die aufgrund einer an Bord </w:t>
      </w:r>
      <w:r w:rsidR="00D10E7C" w:rsidRPr="009118AB">
        <w:t>[</w:t>
      </w:r>
      <w:r w:rsidRPr="009118AB">
        <w:t xml:space="preserve">eines </w:t>
      </w:r>
      <w:r w:rsidR="00D10E7C" w:rsidRPr="009118AB">
        <w:t>See</w:t>
      </w:r>
      <w:r w:rsidRPr="009118AB">
        <w:t>schiffes</w:t>
      </w:r>
      <w:r w:rsidR="00D10E7C" w:rsidRPr="009118AB">
        <w:t>]</w:t>
      </w:r>
      <w:r w:rsidRPr="009118AB">
        <w:t xml:space="preserve"> ausgeübten Tätigkeit von Seeleuten bezogen werden, die nicht in einem Mitgliedstaat des Europäischen Wirtschaftsraums ansässig sind und nicht in der in Artikel 1</w:t>
      </w:r>
      <w:r w:rsidRPr="009118AB">
        <w:rPr>
          <w:i/>
        </w:rPr>
        <w:t>bis</w:t>
      </w:r>
      <w:r w:rsidRPr="009118AB">
        <w:t xml:space="preserve"> Absatz 1 </w:t>
      </w:r>
      <w:r w:rsidR="00D67EB8" w:rsidRPr="009118AB">
        <w:t>Nr. </w:t>
      </w:r>
      <w:r w:rsidRPr="009118AB">
        <w:t>1 des Erlassgesetzes vom 7. Februar 1945 über die soziale Sicherheit der Seeleute der Handelsmarine erwähnten Liste eingetragen sind,]]</w:t>
      </w:r>
    </w:p>
    <w:p w14:paraId="74C02DAE" w14:textId="77777777" w:rsidR="00B23329" w:rsidRPr="009118AB" w:rsidRDefault="00B23329" w:rsidP="00B23329">
      <w:pPr>
        <w:autoSpaceDE w:val="0"/>
        <w:autoSpaceDN w:val="0"/>
        <w:adjustRightInd w:val="0"/>
        <w:jc w:val="both"/>
      </w:pPr>
    </w:p>
    <w:p w14:paraId="0BA560E1" w14:textId="1BA7CD6E" w:rsidR="00B23329" w:rsidRPr="009118AB" w:rsidRDefault="00B23329" w:rsidP="00BA1E19">
      <w:pPr>
        <w:autoSpaceDE w:val="0"/>
        <w:autoSpaceDN w:val="0"/>
        <w:adjustRightInd w:val="0"/>
        <w:ind w:firstLine="709"/>
        <w:jc w:val="both"/>
      </w:pPr>
      <w:r w:rsidRPr="009118AB">
        <w:t>[</w:t>
      </w:r>
      <w:r w:rsidRPr="009118AB">
        <w:rPr>
          <w:i/>
          <w:iCs/>
        </w:rPr>
        <w:t>c)</w:t>
      </w:r>
      <w:r w:rsidRPr="009118AB">
        <w:t> auf Entlohnungen von Saisonarbeitnehmern in der Landwirtschaft oder im Gartenbau unter der Bedingung, dass der Steuerpflichtige und gegebenenfalls sein Ehepartner im betreffenden Besteuerungszeitraum keine anderen in Artikel 232 erwähnten Einkünfte erzielt oder bezogen hat beziehungsweise haben [und dass der Steuerpflichtige seinem Arbeitgeber eine von der Steuerverwaltung seines Wohnsitzstaates ausgestellte Wohnsitzbescheinigung abgegeben hat],]</w:t>
      </w:r>
    </w:p>
    <w:p w14:paraId="6282442B" w14:textId="77777777" w:rsidR="00B23329" w:rsidRPr="009118AB" w:rsidRDefault="00B23329" w:rsidP="00B23329">
      <w:pPr>
        <w:autoSpaceDE w:val="0"/>
        <w:autoSpaceDN w:val="0"/>
        <w:adjustRightInd w:val="0"/>
        <w:jc w:val="both"/>
      </w:pPr>
    </w:p>
    <w:p w14:paraId="3A7E1ACF" w14:textId="7CE94DBD" w:rsidR="00B23329" w:rsidRPr="009118AB" w:rsidRDefault="00B23329" w:rsidP="00BA1E19">
      <w:pPr>
        <w:autoSpaceDE w:val="0"/>
        <w:autoSpaceDN w:val="0"/>
        <w:adjustRightInd w:val="0"/>
        <w:ind w:firstLine="709"/>
        <w:jc w:val="both"/>
      </w:pPr>
      <w:r w:rsidRPr="009118AB">
        <w:t>2. auf Einkünfte aus unbeweglichen Gütern, auf die Artikel 232 Absatz 2 anwendbar ist.]]</w:t>
      </w:r>
    </w:p>
    <w:p w14:paraId="12D75457" w14:textId="77777777" w:rsidR="00B23329" w:rsidRPr="009118AB" w:rsidRDefault="00B23329" w:rsidP="00B23329">
      <w:pPr>
        <w:autoSpaceDE w:val="0"/>
        <w:autoSpaceDN w:val="0"/>
        <w:adjustRightInd w:val="0"/>
        <w:jc w:val="both"/>
      </w:pPr>
    </w:p>
    <w:p w14:paraId="772B1474" w14:textId="2104FDDB" w:rsidR="00D10E7C" w:rsidRPr="009118AB" w:rsidRDefault="00D10E7C" w:rsidP="00BA1E19">
      <w:pPr>
        <w:autoSpaceDE w:val="0"/>
        <w:autoSpaceDN w:val="0"/>
        <w:adjustRightInd w:val="0"/>
        <w:ind w:firstLine="709"/>
        <w:jc w:val="both"/>
      </w:pPr>
      <w:r w:rsidRPr="009118AB">
        <w:t xml:space="preserve">[Für die Anwendung von Absatz 2 </w:t>
      </w:r>
      <w:r w:rsidR="00D67EB8" w:rsidRPr="009118AB">
        <w:t>Nr. </w:t>
      </w:r>
      <w:r w:rsidRPr="009118AB">
        <w:t xml:space="preserve">1 Buchstabe b) versteht man unter "Seeschiff" ein in Artikel 1.1.1.3 </w:t>
      </w:r>
      <w:r w:rsidR="00D67EB8" w:rsidRPr="009118AB">
        <w:t>§ </w:t>
      </w:r>
      <w:r w:rsidRPr="009118AB">
        <w:t xml:space="preserve">1 </w:t>
      </w:r>
      <w:r w:rsidR="00D67EB8" w:rsidRPr="009118AB">
        <w:t>Nr. </w:t>
      </w:r>
      <w:r w:rsidRPr="009118AB">
        <w:t xml:space="preserve">7 des Belgischen Schifffahrtsgesetzbuches erwähntes Seeschiff, </w:t>
      </w:r>
      <w:r w:rsidRPr="009118AB">
        <w:lastRenderedPageBreak/>
        <w:t>das zur Beförderung von Gütern, Ladung oder Personen oder zur Hilfeleistung auf See vorgesehen ist.]</w:t>
      </w:r>
    </w:p>
    <w:p w14:paraId="2C99AAE6" w14:textId="77777777" w:rsidR="00D10E7C" w:rsidRPr="009118AB" w:rsidRDefault="00D10E7C" w:rsidP="00B23329">
      <w:pPr>
        <w:autoSpaceDE w:val="0"/>
        <w:autoSpaceDN w:val="0"/>
        <w:adjustRightInd w:val="0"/>
        <w:jc w:val="both"/>
      </w:pPr>
    </w:p>
    <w:p w14:paraId="69CB389D" w14:textId="0A84C35C" w:rsidR="00B23329" w:rsidRPr="009118AB" w:rsidRDefault="00B23329" w:rsidP="00BA1E19">
      <w:pPr>
        <w:autoSpaceDE w:val="0"/>
        <w:autoSpaceDN w:val="0"/>
        <w:adjustRightInd w:val="0"/>
        <w:ind w:firstLine="709"/>
        <w:jc w:val="both"/>
      </w:pPr>
      <w:r w:rsidRPr="009118AB">
        <w:t xml:space="preserve">[Für die Anwendung von Absatz 2 </w:t>
      </w:r>
      <w:r w:rsidR="00D67EB8" w:rsidRPr="009118AB">
        <w:t>Nr. </w:t>
      </w:r>
      <w:r w:rsidRPr="009118AB">
        <w:t>1 Buchstabe </w:t>
      </w:r>
      <w:r w:rsidRPr="009118AB">
        <w:rPr>
          <w:i/>
          <w:iCs/>
        </w:rPr>
        <w:t>c)</w:t>
      </w:r>
      <w:r w:rsidRPr="009118AB">
        <w:t xml:space="preserve"> versteht man unter Entlohnungen von Saisonarbeitnehmern in der Landwirtschaft oder im Gartenbau: </w:t>
      </w:r>
    </w:p>
    <w:p w14:paraId="3447C2EA" w14:textId="77777777" w:rsidR="00B23329" w:rsidRPr="009118AB" w:rsidRDefault="00B23329" w:rsidP="00B23329">
      <w:pPr>
        <w:autoSpaceDE w:val="0"/>
        <w:autoSpaceDN w:val="0"/>
        <w:adjustRightInd w:val="0"/>
        <w:jc w:val="both"/>
      </w:pPr>
    </w:p>
    <w:p w14:paraId="400D69B8" w14:textId="5E469BC2" w:rsidR="00B23329" w:rsidRPr="009118AB" w:rsidRDefault="00B23329" w:rsidP="00BA1E19">
      <w:pPr>
        <w:autoSpaceDE w:val="0"/>
        <w:autoSpaceDN w:val="0"/>
        <w:adjustRightInd w:val="0"/>
        <w:ind w:firstLine="709"/>
        <w:jc w:val="both"/>
      </w:pPr>
      <w:r w:rsidRPr="009118AB">
        <w:t>- Entlohnungen für Leistungen als Gelegenheitsarbeitnehmer in der Landwirtschaft oder im Gartenbau wie in Artikel 8</w:t>
      </w:r>
      <w:r w:rsidRPr="009118AB">
        <w:rPr>
          <w:i/>
        </w:rPr>
        <w:t>bis</w:t>
      </w:r>
      <w:r w:rsidRPr="009118AB">
        <w:t xml:space="preserve"> des Königlichen Erlasses vom 28. November 1969 zur Ausführung des Gesetzes vom 27. Juni 1969 zur Revision des Erlassgesetzes vom 28. Dezember 1944 über die soziale Sicherheit der Arbeitnehmer erwähnt,</w:t>
      </w:r>
    </w:p>
    <w:p w14:paraId="5D9D8219" w14:textId="77777777" w:rsidR="00B23329" w:rsidRPr="009118AB" w:rsidRDefault="00B23329" w:rsidP="00B23329">
      <w:pPr>
        <w:autoSpaceDE w:val="0"/>
        <w:autoSpaceDN w:val="0"/>
        <w:adjustRightInd w:val="0"/>
        <w:jc w:val="both"/>
      </w:pPr>
    </w:p>
    <w:p w14:paraId="7E94D324" w14:textId="55D25337" w:rsidR="00B23329" w:rsidRPr="009118AB" w:rsidRDefault="00B23329" w:rsidP="00BA1E19">
      <w:pPr>
        <w:autoSpaceDE w:val="0"/>
        <w:autoSpaceDN w:val="0"/>
        <w:adjustRightInd w:val="0"/>
        <w:ind w:firstLine="709"/>
        <w:jc w:val="both"/>
      </w:pPr>
      <w:r w:rsidRPr="009118AB">
        <w:t>- Jahresendprämie und Treueprämie, die den im ersten Gedankenstrich erwähnten Gelegenheitsarbeitnehmern vom Garantie- und Sozialfonds für Gartenbauunternehmen gewährt werden,</w:t>
      </w:r>
    </w:p>
    <w:p w14:paraId="2E751905" w14:textId="77777777" w:rsidR="00B23329" w:rsidRPr="009118AB" w:rsidRDefault="00B23329" w:rsidP="00B23329">
      <w:pPr>
        <w:autoSpaceDE w:val="0"/>
        <w:autoSpaceDN w:val="0"/>
        <w:adjustRightInd w:val="0"/>
        <w:jc w:val="both"/>
      </w:pPr>
    </w:p>
    <w:p w14:paraId="5D4DA1EB" w14:textId="00CF5AD9" w:rsidR="00B23329" w:rsidRPr="009118AB" w:rsidRDefault="00B23329" w:rsidP="00BA1E19">
      <w:pPr>
        <w:autoSpaceDE w:val="0"/>
        <w:autoSpaceDN w:val="0"/>
        <w:adjustRightInd w:val="0"/>
        <w:ind w:firstLine="709"/>
        <w:jc w:val="both"/>
      </w:pPr>
      <w:r w:rsidRPr="009118AB">
        <w:t>- Entlohnungen für Leistungen als Arbeiter in der Landwirtschaft oder im Gartenbau, die im Rahmen eines befristeten Vertrags oder für eine genau bestimmte Arbeit von höchstens sechs aufeinander folgenden Kalenderwochen im unmittelbaren Anschluss an eine Beschäftigung als Gelegenheitsarbeitnehmer in der Landwirtschaft oder im Gartenbau bei demselben Arbeitgeber erbracht werden,</w:t>
      </w:r>
    </w:p>
    <w:p w14:paraId="06498AB1" w14:textId="77777777" w:rsidR="00B23329" w:rsidRPr="009118AB" w:rsidRDefault="00B23329" w:rsidP="00B23329">
      <w:pPr>
        <w:autoSpaceDE w:val="0"/>
        <w:autoSpaceDN w:val="0"/>
        <w:adjustRightInd w:val="0"/>
        <w:jc w:val="both"/>
      </w:pPr>
    </w:p>
    <w:p w14:paraId="4E5A655E" w14:textId="2DDCDF98" w:rsidR="00B23329" w:rsidRPr="009118AB" w:rsidRDefault="00B23329" w:rsidP="00BA1E19">
      <w:pPr>
        <w:autoSpaceDE w:val="0"/>
        <w:autoSpaceDN w:val="0"/>
        <w:adjustRightInd w:val="0"/>
        <w:ind w:firstLine="709"/>
        <w:jc w:val="both"/>
      </w:pPr>
      <w:r w:rsidRPr="009118AB">
        <w:t>- Urlaubsgeld in Bezug auf den im dritten Gedankenstrich erwähnten Zeitraum der anschließenden Beschäftigung.]</w:t>
      </w:r>
    </w:p>
    <w:p w14:paraId="7CEFA268" w14:textId="77777777" w:rsidR="00B23329" w:rsidRPr="009118AB" w:rsidRDefault="00B23329" w:rsidP="00B23329">
      <w:pPr>
        <w:autoSpaceDE w:val="0"/>
        <w:autoSpaceDN w:val="0"/>
        <w:adjustRightInd w:val="0"/>
        <w:jc w:val="both"/>
      </w:pPr>
    </w:p>
    <w:p w14:paraId="10367921" w14:textId="280B11F7" w:rsidR="00B23329" w:rsidRPr="009118AB" w:rsidRDefault="00B23329" w:rsidP="00BA1E19">
      <w:pPr>
        <w:autoSpaceDE w:val="0"/>
        <w:autoSpaceDN w:val="0"/>
        <w:adjustRightInd w:val="0"/>
        <w:ind w:firstLine="709"/>
        <w:jc w:val="both"/>
      </w:pPr>
      <w:r w:rsidRPr="009118AB">
        <w:t xml:space="preserve">[Der für Finanzen zuständige Minister oder sein Beauftragter bestimmt, wie auf der in Artikel 57 erwähnten Karte angegeben wird, dass die Karte Entlohnungen von Saisonarbeitnehmern in der Landwirtschaft oder im Gartenbau wie in Absatz 2 </w:t>
      </w:r>
      <w:r w:rsidR="00D67EB8" w:rsidRPr="009118AB">
        <w:t>Nr. </w:t>
      </w:r>
      <w:r w:rsidRPr="009118AB">
        <w:t>1 Buchstabe </w:t>
      </w:r>
      <w:r w:rsidRPr="009118AB">
        <w:rPr>
          <w:i/>
          <w:iCs/>
        </w:rPr>
        <w:t>c)</w:t>
      </w:r>
      <w:r w:rsidRPr="009118AB">
        <w:t xml:space="preserve"> erwähnt betrifft.]</w:t>
      </w:r>
    </w:p>
    <w:p w14:paraId="5928FB8F" w14:textId="77777777" w:rsidR="00B23329" w:rsidRPr="009118AB" w:rsidRDefault="00B23329" w:rsidP="00B23329">
      <w:pPr>
        <w:autoSpaceDE w:val="0"/>
        <w:autoSpaceDN w:val="0"/>
        <w:adjustRightInd w:val="0"/>
        <w:jc w:val="both"/>
      </w:pPr>
    </w:p>
    <w:p w14:paraId="1906029F" w14:textId="02BA9768" w:rsidR="00B23329" w:rsidRPr="009118AB" w:rsidRDefault="00B23329" w:rsidP="00BA1E19">
      <w:pPr>
        <w:autoSpaceDE w:val="0"/>
        <w:autoSpaceDN w:val="0"/>
        <w:adjustRightInd w:val="0"/>
        <w:ind w:firstLine="709"/>
        <w:jc w:val="both"/>
      </w:pPr>
      <w:r w:rsidRPr="009118AB">
        <w:t xml:space="preserve">[Der Steuerpflichtige reicht die in Absatz 2 </w:t>
      </w:r>
      <w:r w:rsidR="00D67EB8" w:rsidRPr="009118AB">
        <w:t>Nr. </w:t>
      </w:r>
      <w:r w:rsidRPr="009118AB">
        <w:t>1 Buchstabe </w:t>
      </w:r>
      <w:r w:rsidRPr="009118AB">
        <w:rPr>
          <w:i/>
          <w:iCs/>
        </w:rPr>
        <w:t>c)</w:t>
      </w:r>
      <w:r w:rsidRPr="009118AB">
        <w:t xml:space="preserve"> erwähnte Wohnsitzbescheinigung spätestens an dem Tag bei seinem Arbeitgeber ein, an dem dieser Arbeitgeber zum ersten Mal Entlohnungen von Saisonarbeitnehmern in der Landwirtschaft oder im Gartenbau auszahlt. Der Arbeitgeber </w:t>
      </w:r>
      <w:r w:rsidR="009D1768" w:rsidRPr="009118AB">
        <w:t>[hält dieses Dokument zur Verfügung der Steuerverwaltung]</w:t>
      </w:r>
      <w:r w:rsidRPr="009118AB">
        <w:t xml:space="preserve">. </w:t>
      </w:r>
      <w:r w:rsidR="009D1768" w:rsidRPr="009118AB">
        <w:t>[Der für Finanzen zuständige Minister oder sein Beauftragter bestimmt, wie auf der in Artikel 57 erwähnten Karte angegeben wird, dass die Wohnsitzbescheinigung beim Arbeitgeber eingereicht worden ist.]</w:t>
      </w:r>
      <w:r w:rsidRPr="009118AB">
        <w:t>]</w:t>
      </w:r>
    </w:p>
    <w:p w14:paraId="14D19885" w14:textId="77777777" w:rsidR="00B23329" w:rsidRPr="009118AB" w:rsidRDefault="00B23329" w:rsidP="00B23329">
      <w:pPr>
        <w:autoSpaceDE w:val="0"/>
        <w:autoSpaceDN w:val="0"/>
        <w:adjustRightInd w:val="0"/>
        <w:jc w:val="both"/>
      </w:pPr>
    </w:p>
    <w:p w14:paraId="47D4DC44" w14:textId="170DCCF6" w:rsidR="00B23329" w:rsidRPr="009118AB" w:rsidRDefault="00B23329" w:rsidP="00BA1E19">
      <w:pPr>
        <w:autoSpaceDE w:val="0"/>
        <w:autoSpaceDN w:val="0"/>
        <w:adjustRightInd w:val="0"/>
        <w:ind w:firstLine="709"/>
        <w:jc w:val="both"/>
      </w:pPr>
      <w:r w:rsidRPr="009118AB">
        <w:t>[</w:t>
      </w:r>
      <w:r w:rsidR="00D67EB8" w:rsidRPr="009118AB">
        <w:t>§ </w:t>
      </w:r>
      <w:r w:rsidRPr="009118AB">
        <w:t>2</w:t>
      </w:r>
      <w:r w:rsidR="00D67EB8" w:rsidRPr="009118AB">
        <w:t> - </w:t>
      </w:r>
      <w:r w:rsidRPr="009118AB">
        <w:t xml:space="preserve">In Artikel 227 </w:t>
      </w:r>
      <w:r w:rsidR="00D67EB8" w:rsidRPr="009118AB">
        <w:t>Nr. </w:t>
      </w:r>
      <w:r w:rsidRPr="009118AB">
        <w:t xml:space="preserve">1 erwähnte Steuerpflichtige, [die entweder in Artikel 228 </w:t>
      </w:r>
      <w:r w:rsidR="00D67EB8" w:rsidRPr="009118AB">
        <w:t>§ </w:t>
      </w:r>
      <w:r w:rsidRPr="009118AB">
        <w:t xml:space="preserve">2 </w:t>
      </w:r>
      <w:r w:rsidR="00D67EB8" w:rsidRPr="009118AB">
        <w:t>Nr. </w:t>
      </w:r>
      <w:r w:rsidRPr="009118AB">
        <w:t>8 und 9 Buchstabe </w:t>
      </w:r>
      <w:r w:rsidRPr="009118AB">
        <w:rPr>
          <w:i/>
        </w:rPr>
        <w:t>k)</w:t>
      </w:r>
      <w:r w:rsidRPr="009118AB">
        <w:t xml:space="preserve"> erwähnte Einkünfte ausschließlich der in Artikel 232 Absatz 1 </w:t>
      </w:r>
      <w:r w:rsidR="00D67EB8" w:rsidRPr="009118AB">
        <w:t>Nr. </w:t>
      </w:r>
      <w:r w:rsidRPr="009118AB">
        <w:t>2 Buchstabe </w:t>
      </w:r>
      <w:r w:rsidRPr="009118AB">
        <w:rPr>
          <w:i/>
        </w:rPr>
        <w:t>c)</w:t>
      </w:r>
      <w:r w:rsidRPr="009118AB">
        <w:t xml:space="preserve"> erwähnten Einkünfte oder in Artikel 229 </w:t>
      </w:r>
      <w:r w:rsidR="00D67EB8" w:rsidRPr="009118AB">
        <w:t>§ </w:t>
      </w:r>
      <w:r w:rsidRPr="009118AB">
        <w:t xml:space="preserve">3 erwähnte Einkünfte beziehen], können jedoch dafür optieren, </w:t>
      </w:r>
      <w:r w:rsidR="00D67EB8" w:rsidRPr="009118AB">
        <w:t>§ </w:t>
      </w:r>
      <w:r w:rsidRPr="009118AB">
        <w:t xml:space="preserve">1 Absatz 1 nicht auf diese Einkünfte anzuwenden. Diese Wahl ist definitiv, unwiderruflich und bindend für den Steuerpflichtigen. In diesem Fall werden vorerwähnte Einkünfte zu den in Artikel 232 Absatz 1 </w:t>
      </w:r>
      <w:r w:rsidR="00D67EB8" w:rsidRPr="009118AB">
        <w:t>Nr. </w:t>
      </w:r>
      <w:r w:rsidRPr="009118AB">
        <w:t>2 erwähnten Einkünften hinzugefügt, um den Nettobetrag festzulegen und die Steuer zu berechnen.]</w:t>
      </w:r>
    </w:p>
    <w:p w14:paraId="4C12EE26" w14:textId="77777777" w:rsidR="00B23329" w:rsidRPr="009118AB" w:rsidRDefault="00B23329" w:rsidP="00B23329">
      <w:pPr>
        <w:autoSpaceDE w:val="0"/>
        <w:autoSpaceDN w:val="0"/>
        <w:adjustRightInd w:val="0"/>
        <w:jc w:val="both"/>
      </w:pPr>
    </w:p>
    <w:p w14:paraId="0D4712A8" w14:textId="13C09A1F" w:rsidR="00B23329" w:rsidRPr="009118AB" w:rsidRDefault="00B23329" w:rsidP="00BA1E19">
      <w:pPr>
        <w:autoSpaceDE w:val="0"/>
        <w:autoSpaceDN w:val="0"/>
        <w:adjustRightInd w:val="0"/>
        <w:ind w:firstLine="709"/>
        <w:jc w:val="both"/>
      </w:pPr>
      <w:r w:rsidRPr="009118AB">
        <w:t xml:space="preserve">[In Artikel 227 </w:t>
      </w:r>
      <w:r w:rsidR="00D67EB8" w:rsidRPr="009118AB">
        <w:t>Nr. </w:t>
      </w:r>
      <w:r w:rsidRPr="009118AB">
        <w:t xml:space="preserve">1 erwähnte Steuerpflichtige, die in </w:t>
      </w:r>
      <w:r w:rsidR="00D67EB8" w:rsidRPr="009118AB">
        <w:t>§ </w:t>
      </w:r>
      <w:r w:rsidRPr="009118AB">
        <w:t xml:space="preserve">1 Absatz 2 </w:t>
      </w:r>
      <w:r w:rsidR="00D67EB8" w:rsidRPr="009118AB">
        <w:t>Nr. </w:t>
      </w:r>
      <w:r w:rsidRPr="009118AB">
        <w:t>1 Buchstabe </w:t>
      </w:r>
      <w:r w:rsidRPr="009118AB">
        <w:rPr>
          <w:i/>
          <w:iCs/>
        </w:rPr>
        <w:t>c)</w:t>
      </w:r>
      <w:r w:rsidRPr="009118AB">
        <w:t xml:space="preserve"> erwähnte Entlohnungen bezogen haben und Einwohner eines Mitgliedstaates des Europäischen Wirtschaftsraums sind, können dafür optieren, </w:t>
      </w:r>
      <w:r w:rsidR="00D67EB8" w:rsidRPr="009118AB">
        <w:t>§ </w:t>
      </w:r>
      <w:r w:rsidRPr="009118AB">
        <w:t>1 Absatz 1 nicht auf diese Einkünfte anzuwenden.]</w:t>
      </w:r>
    </w:p>
    <w:p w14:paraId="7AA36B41" w14:textId="77777777" w:rsidR="00B23329" w:rsidRPr="009118AB" w:rsidRDefault="00B23329" w:rsidP="00B23329">
      <w:pPr>
        <w:autoSpaceDE w:val="0"/>
        <w:autoSpaceDN w:val="0"/>
        <w:adjustRightInd w:val="0"/>
        <w:jc w:val="both"/>
      </w:pPr>
    </w:p>
    <w:p w14:paraId="6A568D9A" w14:textId="5583E631" w:rsidR="00B23329" w:rsidRPr="009118AB" w:rsidRDefault="00B23329" w:rsidP="00BA1E19">
      <w:pPr>
        <w:autoSpaceDE w:val="0"/>
        <w:autoSpaceDN w:val="0"/>
        <w:adjustRightInd w:val="0"/>
        <w:ind w:firstLine="709"/>
        <w:jc w:val="both"/>
      </w:pPr>
      <w:r w:rsidRPr="009118AB">
        <w:lastRenderedPageBreak/>
        <w:t>[</w:t>
      </w:r>
      <w:r w:rsidR="00D67EB8" w:rsidRPr="009118AB">
        <w:t>§ </w:t>
      </w:r>
      <w:r w:rsidRPr="009118AB">
        <w:t>3</w:t>
      </w:r>
      <w:r w:rsidR="00D67EB8" w:rsidRPr="009118AB">
        <w:t> - </w:t>
      </w:r>
      <w:r w:rsidRPr="009118AB">
        <w:t xml:space="preserve">In Artikel 227 erwähnte Steuerpflichtige, die in Artikel 228 </w:t>
      </w:r>
      <w:r w:rsidR="00D67EB8" w:rsidRPr="009118AB">
        <w:t>§ </w:t>
      </w:r>
      <w:r w:rsidRPr="009118AB">
        <w:t xml:space="preserve">3 erwähnte Einkünfte beziehen, können ebenfalls dafür optieren, </w:t>
      </w:r>
      <w:r w:rsidR="00D67EB8" w:rsidRPr="009118AB">
        <w:t>§ </w:t>
      </w:r>
      <w:r w:rsidRPr="009118AB">
        <w:t>1 nicht auf diese Einkünfte anzuwenden. Diese Wahl ist definitiv, unwiderruflich und bindend für den Steuerpflichtigen. In diesem Fall werden vorerwähnte Einkünfte zu den in Artikel 232, 233 beziehungsweise 234 erwähnten Einkünften hinzugefügt, um den Nettobetrag festzulegen und die Steuer zu berechnen.]</w:t>
      </w:r>
    </w:p>
    <w:p w14:paraId="158349DB" w14:textId="77777777" w:rsidR="00B23329" w:rsidRPr="009118AB" w:rsidRDefault="00B23329" w:rsidP="00B23329">
      <w:pPr>
        <w:autoSpaceDE w:val="0"/>
        <w:autoSpaceDN w:val="0"/>
        <w:adjustRightInd w:val="0"/>
        <w:jc w:val="both"/>
      </w:pPr>
    </w:p>
    <w:p w14:paraId="68B5022A" w14:textId="196E88C8" w:rsidR="00B23329" w:rsidRPr="009118AB" w:rsidRDefault="00B23329" w:rsidP="00B23329">
      <w:pPr>
        <w:autoSpaceDE w:val="0"/>
        <w:autoSpaceDN w:val="0"/>
        <w:adjustRightInd w:val="0"/>
        <w:jc w:val="both"/>
      </w:pPr>
      <w:r w:rsidRPr="009118AB">
        <w:rPr>
          <w:i/>
          <w:iCs/>
        </w:rPr>
        <w:t>[</w:t>
      </w:r>
      <w:r w:rsidR="00D67EB8" w:rsidRPr="009118AB">
        <w:rPr>
          <w:i/>
          <w:iCs/>
        </w:rPr>
        <w:t>Art. </w:t>
      </w:r>
      <w:r w:rsidRPr="009118AB">
        <w:rPr>
          <w:i/>
          <w:iCs/>
        </w:rPr>
        <w:t xml:space="preserve">248 ersetzt durch </w:t>
      </w:r>
      <w:r w:rsidR="00D67EB8" w:rsidRPr="009118AB">
        <w:rPr>
          <w:i/>
          <w:iCs/>
        </w:rPr>
        <w:t>Art. </w:t>
      </w:r>
      <w:r w:rsidRPr="009118AB">
        <w:rPr>
          <w:i/>
          <w:iCs/>
        </w:rPr>
        <w:t>32 des G. vom 28. Juli 1992 (B.S. vom 31. Juli 1992)</w:t>
      </w:r>
      <w:r w:rsidR="00D67EB8" w:rsidRPr="009118AB">
        <w:rPr>
          <w:i/>
          <w:iCs/>
        </w:rPr>
        <w:t> - </w:t>
      </w:r>
      <w:r w:rsidRPr="009118AB">
        <w:rPr>
          <w:i/>
          <w:iCs/>
        </w:rPr>
        <w:t>anwendbar ab dem Steuerjahr</w:t>
      </w:r>
      <w:r w:rsidRPr="009118AB">
        <w:rPr>
          <w:rFonts w:hint="eastAsia"/>
          <w:i/>
          <w:iCs/>
        </w:rPr>
        <w:t> </w:t>
      </w:r>
      <w:r w:rsidRPr="009118AB">
        <w:rPr>
          <w:i/>
          <w:iCs/>
        </w:rPr>
        <w:t>1993</w:t>
      </w:r>
      <w:r w:rsidR="003366D9" w:rsidRPr="009118AB">
        <w:rPr>
          <w:i/>
          <w:iCs/>
        </w:rPr>
        <w:t> -;</w:t>
      </w:r>
      <w:r w:rsidRPr="009118AB">
        <w:rPr>
          <w:i/>
          <w:iCs/>
        </w:rPr>
        <w:t xml:space="preserve"> </w:t>
      </w:r>
      <w:r w:rsidR="00D67EB8" w:rsidRPr="009118AB">
        <w:rPr>
          <w:i/>
          <w:iCs/>
        </w:rPr>
        <w:t>§ </w:t>
      </w:r>
      <w:r w:rsidRPr="009118AB">
        <w:rPr>
          <w:i/>
          <w:iCs/>
        </w:rPr>
        <w:t xml:space="preserve">1 nummeriert durch </w:t>
      </w:r>
      <w:r w:rsidR="00D67EB8" w:rsidRPr="009118AB">
        <w:rPr>
          <w:i/>
          <w:iCs/>
        </w:rPr>
        <w:t>Art. </w:t>
      </w:r>
      <w:r w:rsidRPr="009118AB">
        <w:rPr>
          <w:i/>
          <w:iCs/>
        </w:rPr>
        <w:t>168 Buchstabe</w:t>
      </w:r>
      <w:r w:rsidRPr="009118AB">
        <w:rPr>
          <w:rFonts w:hint="eastAsia"/>
          <w:i/>
          <w:iCs/>
        </w:rPr>
        <w:t> </w:t>
      </w:r>
      <w:r w:rsidRPr="009118AB">
        <w:rPr>
          <w:i/>
          <w:iCs/>
        </w:rPr>
        <w:t>b) des G.</w:t>
      </w:r>
      <w:r w:rsidRPr="009118AB">
        <w:rPr>
          <w:rFonts w:hint="eastAsia"/>
          <w:i/>
          <w:iCs/>
        </w:rPr>
        <w:t> </w:t>
      </w:r>
      <w:r w:rsidRPr="009118AB">
        <w:rPr>
          <w:i/>
          <w:iCs/>
        </w:rPr>
        <w:t>(I) vom 22. Dezember 2008</w:t>
      </w:r>
      <w:r w:rsidRPr="009118AB">
        <w:rPr>
          <w:rFonts w:hint="eastAsia"/>
          <w:i/>
          <w:iCs/>
        </w:rPr>
        <w:t> </w:t>
      </w:r>
      <w:r w:rsidRPr="009118AB">
        <w:rPr>
          <w:i/>
          <w:iCs/>
        </w:rPr>
        <w:t>(II) (B.S. vom 29. Dezember 2008)</w:t>
      </w:r>
      <w:r w:rsidR="00D67EB8" w:rsidRPr="009118AB">
        <w:rPr>
          <w:i/>
          <w:iCs/>
        </w:rPr>
        <w:t> - </w:t>
      </w:r>
      <w:r w:rsidRPr="009118AB">
        <w:rPr>
          <w:i/>
          <w:iCs/>
        </w:rPr>
        <w:t>anwendbar ab dem Steuerjahr 2009</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abgeändert durch </w:t>
      </w:r>
      <w:r w:rsidR="00D67EB8" w:rsidRPr="009118AB">
        <w:rPr>
          <w:i/>
          <w:iCs/>
        </w:rPr>
        <w:t>Art. </w:t>
      </w:r>
      <w:r w:rsidRPr="009118AB">
        <w:rPr>
          <w:i/>
          <w:iCs/>
        </w:rPr>
        <w:t>4 des G. vom 4. Mai 2007 (B.S. vom 15. Mai 2007)</w:t>
      </w:r>
      <w:r w:rsidR="00D67EB8" w:rsidRPr="009118AB">
        <w:rPr>
          <w:i/>
          <w:iCs/>
        </w:rPr>
        <w:t> - </w:t>
      </w:r>
      <w:r w:rsidRPr="009118AB">
        <w:rPr>
          <w:i/>
          <w:iCs/>
        </w:rPr>
        <w:t>anwendbar auf die ab dem 1. Januar 2008 gezahlten oder zuerkannten Einkünfte</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ersetzt durch </w:t>
      </w:r>
      <w:r w:rsidR="00D67EB8" w:rsidRPr="009118AB">
        <w:rPr>
          <w:i/>
          <w:iCs/>
        </w:rPr>
        <w:t>Art. </w:t>
      </w:r>
      <w:r w:rsidRPr="009118AB">
        <w:rPr>
          <w:i/>
          <w:iCs/>
        </w:rPr>
        <w:t>168 Buchstabe a) des G. (I) vom 22. Dezember 2008 (II) (B.S. vom 29. Dezember 2008)</w:t>
      </w:r>
      <w:r w:rsidR="00D67EB8" w:rsidRPr="009118AB">
        <w:rPr>
          <w:i/>
          <w:iCs/>
        </w:rPr>
        <w:t> - </w:t>
      </w:r>
      <w:r w:rsidRPr="009118AB">
        <w:rPr>
          <w:i/>
          <w:iCs/>
        </w:rPr>
        <w:t>anwendbar ab dem Steuerjahr 2009</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w:t>
      </w:r>
      <w:r w:rsidR="00D67EB8" w:rsidRPr="009118AB">
        <w:rPr>
          <w:i/>
          <w:iCs/>
        </w:rPr>
        <w:t>Nr. </w:t>
      </w:r>
      <w:r w:rsidRPr="009118AB">
        <w:rPr>
          <w:i/>
          <w:iCs/>
        </w:rPr>
        <w:t xml:space="preserve">1 ersetzt durch </w:t>
      </w:r>
      <w:r w:rsidR="00D67EB8" w:rsidRPr="009118AB">
        <w:rPr>
          <w:i/>
          <w:iCs/>
        </w:rPr>
        <w:t>Art. </w:t>
      </w:r>
      <w:r w:rsidRPr="009118AB">
        <w:rPr>
          <w:i/>
          <w:iCs/>
        </w:rPr>
        <w:t>34 Buchstabe A des G. vom 22. Dezember 2009 (I) (B.S. vom 31. Dezember 2009)</w:t>
      </w:r>
      <w:r w:rsidR="00D67EB8" w:rsidRPr="009118AB">
        <w:rPr>
          <w:i/>
          <w:iCs/>
        </w:rPr>
        <w:t> - </w:t>
      </w:r>
      <w:r w:rsidRPr="009118AB">
        <w:rPr>
          <w:i/>
          <w:iCs/>
        </w:rPr>
        <w:t>anwendbar auf die ab dem 1. Januar 2009 gezahlten oder zuerkannten Einkünfte</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w:t>
      </w:r>
      <w:r w:rsidR="00D67EB8" w:rsidRPr="009118AB">
        <w:rPr>
          <w:i/>
          <w:iCs/>
        </w:rPr>
        <w:t>Nr. </w:t>
      </w:r>
      <w:r w:rsidRPr="009118AB">
        <w:rPr>
          <w:i/>
          <w:iCs/>
        </w:rPr>
        <w:t xml:space="preserve">1 einziger Absatz Buchstabe a) abgeändert durch </w:t>
      </w:r>
      <w:r w:rsidR="00D67EB8" w:rsidRPr="009118AB">
        <w:rPr>
          <w:i/>
          <w:iCs/>
        </w:rPr>
        <w:t>Art. </w:t>
      </w:r>
      <w:r w:rsidRPr="009118AB">
        <w:rPr>
          <w:i/>
          <w:iCs/>
        </w:rPr>
        <w:t>59 des G. vom 17. März 2019 (III) (B.S. vom 10. Mai 2019)</w:t>
      </w:r>
      <w:r w:rsidR="00D67EB8" w:rsidRPr="009118AB">
        <w:rPr>
          <w:i/>
          <w:iCs/>
        </w:rPr>
        <w:t> - </w:t>
      </w:r>
      <w:r w:rsidRPr="009118AB">
        <w:rPr>
          <w:i/>
          <w:iCs/>
        </w:rPr>
        <w:t>in Kraft am 1. Mai 2019</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w:t>
      </w:r>
      <w:r w:rsidR="00D67EB8" w:rsidRPr="009118AB">
        <w:rPr>
          <w:i/>
          <w:iCs/>
        </w:rPr>
        <w:t>Nr. </w:t>
      </w:r>
      <w:r w:rsidRPr="009118AB">
        <w:rPr>
          <w:i/>
          <w:iCs/>
        </w:rPr>
        <w:t xml:space="preserve">1 einziger Absatz Buchstabe b) ersetzt durch </w:t>
      </w:r>
      <w:r w:rsidR="00D67EB8" w:rsidRPr="009118AB">
        <w:rPr>
          <w:i/>
          <w:iCs/>
        </w:rPr>
        <w:t>Art. </w:t>
      </w:r>
      <w:r w:rsidRPr="009118AB">
        <w:rPr>
          <w:i/>
          <w:iCs/>
        </w:rPr>
        <w:t xml:space="preserve">38 </w:t>
      </w:r>
      <w:r w:rsidR="00D67EB8" w:rsidRPr="009118AB">
        <w:rPr>
          <w:i/>
          <w:iCs/>
        </w:rPr>
        <w:t>Nr. </w:t>
      </w:r>
      <w:r w:rsidRPr="009118AB">
        <w:rPr>
          <w:i/>
          <w:iCs/>
        </w:rPr>
        <w:t>1 des G. vom 14. April 2011 (B.S. vom 6. Mai 2011)</w:t>
      </w:r>
      <w:r w:rsidR="00D67EB8" w:rsidRPr="009118AB">
        <w:rPr>
          <w:i/>
          <w:iCs/>
        </w:rPr>
        <w:t> - </w:t>
      </w:r>
      <w:r w:rsidRPr="009118AB">
        <w:rPr>
          <w:i/>
          <w:iCs/>
        </w:rPr>
        <w:t>anwendbar auf die ab dem 1. Januar 2010 gezahlten oder zuerkannten Einkünfte</w:t>
      </w:r>
      <w:r w:rsidR="00D67EB8" w:rsidRPr="009118AB">
        <w:rPr>
          <w:i/>
          <w:iCs/>
        </w:rPr>
        <w:t> - </w:t>
      </w:r>
      <w:r w:rsidR="00D10E7C" w:rsidRPr="009118AB">
        <w:rPr>
          <w:i/>
          <w:iCs/>
        </w:rPr>
        <w:t xml:space="preserve">und abgeändert durch </w:t>
      </w:r>
      <w:r w:rsidR="00D67EB8" w:rsidRPr="009118AB">
        <w:rPr>
          <w:i/>
          <w:iCs/>
        </w:rPr>
        <w:t>Art. </w:t>
      </w:r>
      <w:r w:rsidR="00D10E7C" w:rsidRPr="009118AB">
        <w:rPr>
          <w:i/>
          <w:iCs/>
        </w:rPr>
        <w:t>7 Buchstabe a) des G. vom 28. März 2022 (B.S. vom 31. März 2022)</w:t>
      </w:r>
      <w:r w:rsidR="00D67EB8" w:rsidRPr="009118AB">
        <w:rPr>
          <w:i/>
          <w:iCs/>
        </w:rPr>
        <w:t> - </w:t>
      </w:r>
      <w:r w:rsidR="00D10E7C" w:rsidRPr="009118AB">
        <w:rPr>
          <w:i/>
          <w:iCs/>
        </w:rPr>
        <w:t>anwendbar auf die ab dem 1. April 2022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w:t>
      </w:r>
      <w:r w:rsidR="00D67EB8" w:rsidRPr="009118AB">
        <w:rPr>
          <w:i/>
          <w:iCs/>
        </w:rPr>
        <w:t>Nr. </w:t>
      </w:r>
      <w:r w:rsidRPr="009118AB">
        <w:rPr>
          <w:i/>
          <w:iCs/>
        </w:rPr>
        <w:t xml:space="preserve">1 einziger Absatz Buchstabe c) eingefügt durch </w:t>
      </w:r>
      <w:r w:rsidR="00D67EB8" w:rsidRPr="009118AB">
        <w:rPr>
          <w:i/>
          <w:iCs/>
        </w:rPr>
        <w:t>Art. </w:t>
      </w:r>
      <w:r w:rsidRPr="009118AB">
        <w:rPr>
          <w:i/>
          <w:iCs/>
        </w:rPr>
        <w:t xml:space="preserve">7 </w:t>
      </w:r>
      <w:r w:rsidR="00D67EB8" w:rsidRPr="009118AB">
        <w:rPr>
          <w:i/>
          <w:iCs/>
        </w:rPr>
        <w:t>Nr. </w:t>
      </w:r>
      <w:r w:rsidRPr="009118AB">
        <w:rPr>
          <w:i/>
          <w:iCs/>
        </w:rPr>
        <w:t>1 des G. vom 21. Januar 2022 (B.S. vom 28. Januar 2022)</w:t>
      </w:r>
      <w:r w:rsidR="00D67EB8" w:rsidRPr="009118AB">
        <w:rPr>
          <w:i/>
          <w:iCs/>
        </w:rPr>
        <w:t> - </w:t>
      </w:r>
      <w:r w:rsidRPr="009118AB">
        <w:rPr>
          <w:i/>
          <w:iCs/>
        </w:rPr>
        <w:t>anwendbar ab dem Steuerjahr 2022</w:t>
      </w:r>
      <w:r w:rsidR="00D67EB8" w:rsidRPr="009118AB">
        <w:rPr>
          <w:i/>
          <w:iCs/>
        </w:rPr>
        <w:t> - </w:t>
      </w:r>
      <w:r w:rsidR="00B844EB" w:rsidRPr="009118AB">
        <w:rPr>
          <w:i/>
          <w:iCs/>
        </w:rPr>
        <w:t xml:space="preserve">und abgeändert durch </w:t>
      </w:r>
      <w:r w:rsidR="00D67EB8" w:rsidRPr="009118AB">
        <w:rPr>
          <w:i/>
          <w:iCs/>
        </w:rPr>
        <w:t>Art. </w:t>
      </w:r>
      <w:r w:rsidR="00B844EB" w:rsidRPr="009118AB">
        <w:rPr>
          <w:i/>
          <w:iCs/>
        </w:rPr>
        <w:t xml:space="preserve">7 </w:t>
      </w:r>
      <w:r w:rsidR="00D67EB8" w:rsidRPr="009118AB">
        <w:rPr>
          <w:i/>
          <w:iCs/>
        </w:rPr>
        <w:t>Nr. </w:t>
      </w:r>
      <w:r w:rsidR="00B844EB" w:rsidRPr="009118AB">
        <w:rPr>
          <w:i/>
          <w:iCs/>
        </w:rPr>
        <w:t>2 des G. vom 21. Januar 2022 (B.S. vom 28. Januar 2022)</w:t>
      </w:r>
      <w:r w:rsidR="00D67EB8" w:rsidRPr="009118AB">
        <w:rPr>
          <w:i/>
          <w:iCs/>
        </w:rPr>
        <w:t> - </w:t>
      </w:r>
      <w:r w:rsidR="00B844EB" w:rsidRPr="009118AB">
        <w:rPr>
          <w:i/>
          <w:iCs/>
        </w:rPr>
        <w:t>anwendbar ab dem Steuerjahr 2023</w:t>
      </w:r>
      <w:r w:rsidR="003366D9" w:rsidRPr="009118AB">
        <w:rPr>
          <w:i/>
          <w:iCs/>
        </w:rPr>
        <w:t> -;</w:t>
      </w:r>
      <w:r w:rsidRPr="009118AB">
        <w:rPr>
          <w:i/>
          <w:iCs/>
        </w:rPr>
        <w:t xml:space="preserve"> </w:t>
      </w:r>
      <w:r w:rsidR="00D67EB8" w:rsidRPr="009118AB">
        <w:rPr>
          <w:i/>
          <w:iCs/>
        </w:rPr>
        <w:t>§ </w:t>
      </w:r>
      <w:r w:rsidR="00D10E7C" w:rsidRPr="009118AB">
        <w:rPr>
          <w:i/>
          <w:iCs/>
        </w:rPr>
        <w:t xml:space="preserve">1 neuer Absatz 3 eingefügt durch </w:t>
      </w:r>
      <w:r w:rsidR="00D67EB8" w:rsidRPr="009118AB">
        <w:rPr>
          <w:i/>
          <w:iCs/>
        </w:rPr>
        <w:t>Art. </w:t>
      </w:r>
      <w:r w:rsidR="00D10E7C" w:rsidRPr="009118AB">
        <w:rPr>
          <w:i/>
          <w:iCs/>
        </w:rPr>
        <w:t>7 Buchstabe b) des G. vom 28. März 2022 (B.S. vom 31. März 2022)</w:t>
      </w:r>
      <w:r w:rsidR="00D67EB8" w:rsidRPr="009118AB">
        <w:rPr>
          <w:i/>
          <w:iCs/>
        </w:rPr>
        <w:t> - </w:t>
      </w:r>
      <w:r w:rsidR="00D10E7C" w:rsidRPr="009118AB">
        <w:rPr>
          <w:i/>
          <w:iCs/>
        </w:rPr>
        <w:t>anwendbar auf die ab dem 1. April 2022 gezahlten oder zuerkannten Entlohnungen</w:t>
      </w:r>
      <w:r w:rsidR="003366D9" w:rsidRPr="009118AB">
        <w:rPr>
          <w:i/>
          <w:iCs/>
        </w:rPr>
        <w:t> -;</w:t>
      </w:r>
      <w:r w:rsidR="00D10E7C" w:rsidRPr="009118AB">
        <w:rPr>
          <w:i/>
          <w:iCs/>
        </w:rPr>
        <w:t xml:space="preserve"> </w:t>
      </w:r>
      <w:r w:rsidR="00D67EB8" w:rsidRPr="009118AB">
        <w:rPr>
          <w:i/>
          <w:iCs/>
        </w:rPr>
        <w:t>§ </w:t>
      </w:r>
      <w:r w:rsidRPr="009118AB">
        <w:rPr>
          <w:i/>
          <w:iCs/>
        </w:rPr>
        <w:t xml:space="preserve">1 </w:t>
      </w:r>
      <w:r w:rsidR="00D67EB8" w:rsidRPr="009118AB">
        <w:rPr>
          <w:i/>
          <w:iCs/>
        </w:rPr>
        <w:t>Abs. </w:t>
      </w:r>
      <w:r w:rsidR="00D10E7C" w:rsidRPr="009118AB">
        <w:rPr>
          <w:i/>
          <w:iCs/>
        </w:rPr>
        <w:t>4</w:t>
      </w:r>
      <w:r w:rsidRPr="009118AB">
        <w:rPr>
          <w:i/>
          <w:iCs/>
        </w:rPr>
        <w:t xml:space="preserve"> eingefügt durch </w:t>
      </w:r>
      <w:r w:rsidR="00D67EB8" w:rsidRPr="009118AB">
        <w:rPr>
          <w:i/>
          <w:iCs/>
        </w:rPr>
        <w:t>Art. </w:t>
      </w:r>
      <w:r w:rsidRPr="009118AB">
        <w:rPr>
          <w:i/>
          <w:iCs/>
        </w:rPr>
        <w:t xml:space="preserve">7 </w:t>
      </w:r>
      <w:r w:rsidR="00D67EB8" w:rsidRPr="009118AB">
        <w:rPr>
          <w:i/>
          <w:iCs/>
        </w:rPr>
        <w:t>Nr. </w:t>
      </w:r>
      <w:r w:rsidRPr="009118AB">
        <w:rPr>
          <w:i/>
          <w:iCs/>
        </w:rPr>
        <w:t>3 des G. vom 21. Januar 2022 (B.S. vom 28. Januar 2022)</w:t>
      </w:r>
      <w:r w:rsidR="00D67EB8" w:rsidRPr="009118AB">
        <w:rPr>
          <w:i/>
          <w:iCs/>
        </w:rPr>
        <w:t> - </w:t>
      </w:r>
      <w:r w:rsidRPr="009118AB">
        <w:rPr>
          <w:i/>
          <w:iCs/>
        </w:rPr>
        <w:t>anwendbar ab dem Steuerjahr 2022</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00D10E7C" w:rsidRPr="009118AB">
        <w:rPr>
          <w:i/>
          <w:iCs/>
        </w:rPr>
        <w:t>5</w:t>
      </w:r>
      <w:r w:rsidRPr="009118AB">
        <w:rPr>
          <w:i/>
          <w:iCs/>
        </w:rPr>
        <w:t xml:space="preserve"> eingefügt durch </w:t>
      </w:r>
      <w:r w:rsidR="00D67EB8" w:rsidRPr="009118AB">
        <w:rPr>
          <w:i/>
          <w:iCs/>
        </w:rPr>
        <w:t>Art. </w:t>
      </w:r>
      <w:r w:rsidRPr="009118AB">
        <w:rPr>
          <w:i/>
          <w:iCs/>
        </w:rPr>
        <w:t xml:space="preserve">7 </w:t>
      </w:r>
      <w:r w:rsidR="00D67EB8" w:rsidRPr="009118AB">
        <w:rPr>
          <w:i/>
          <w:iCs/>
        </w:rPr>
        <w:t>Nr. </w:t>
      </w:r>
      <w:r w:rsidRPr="009118AB">
        <w:rPr>
          <w:i/>
          <w:iCs/>
        </w:rPr>
        <w:t>4 des G. vom 21. Januar 2022 (B.S. vom 28. Januar 2022)</w:t>
      </w:r>
      <w:r w:rsidR="00D67EB8" w:rsidRPr="009118AB">
        <w:rPr>
          <w:i/>
          <w:iCs/>
        </w:rPr>
        <w:t> - </w:t>
      </w:r>
      <w:r w:rsidRPr="009118AB">
        <w:rPr>
          <w:i/>
          <w:iCs/>
        </w:rPr>
        <w:t>anwendbar ab dem Steuerjahr 2022</w:t>
      </w:r>
      <w:r w:rsidR="003366D9" w:rsidRPr="009118AB">
        <w:rPr>
          <w:i/>
          <w:iCs/>
        </w:rPr>
        <w:t> -;</w:t>
      </w:r>
      <w:r w:rsidRPr="009118AB">
        <w:rPr>
          <w:i/>
          <w:iCs/>
        </w:rPr>
        <w:t xml:space="preserve"> </w:t>
      </w:r>
      <w:r w:rsidR="00D67EB8" w:rsidRPr="009118AB">
        <w:rPr>
          <w:i/>
          <w:iCs/>
        </w:rPr>
        <w:t>§ </w:t>
      </w:r>
      <w:r w:rsidR="00B844EB" w:rsidRPr="009118AB">
        <w:rPr>
          <w:i/>
          <w:iCs/>
        </w:rPr>
        <w:t xml:space="preserve">1 </w:t>
      </w:r>
      <w:r w:rsidR="00D67EB8" w:rsidRPr="009118AB">
        <w:rPr>
          <w:i/>
          <w:iCs/>
        </w:rPr>
        <w:t>Abs. </w:t>
      </w:r>
      <w:r w:rsidR="00D10E7C" w:rsidRPr="009118AB">
        <w:rPr>
          <w:i/>
          <w:iCs/>
        </w:rPr>
        <w:t>6</w:t>
      </w:r>
      <w:r w:rsidR="00B844EB" w:rsidRPr="009118AB">
        <w:rPr>
          <w:i/>
          <w:iCs/>
        </w:rPr>
        <w:t xml:space="preserve"> eingefügt durch </w:t>
      </w:r>
      <w:r w:rsidR="00D67EB8" w:rsidRPr="009118AB">
        <w:rPr>
          <w:i/>
          <w:iCs/>
        </w:rPr>
        <w:t>Art. </w:t>
      </w:r>
      <w:r w:rsidR="00B844EB" w:rsidRPr="009118AB">
        <w:rPr>
          <w:i/>
          <w:iCs/>
        </w:rPr>
        <w:t xml:space="preserve">7 </w:t>
      </w:r>
      <w:r w:rsidR="00D67EB8" w:rsidRPr="009118AB">
        <w:rPr>
          <w:i/>
          <w:iCs/>
        </w:rPr>
        <w:t>Nr. </w:t>
      </w:r>
      <w:r w:rsidR="00B844EB" w:rsidRPr="009118AB">
        <w:rPr>
          <w:i/>
          <w:iCs/>
        </w:rPr>
        <w:t>5 des G. vom 21. Januar 2022 (B.S. vom 28. Januar 2022)</w:t>
      </w:r>
      <w:r w:rsidR="00D67EB8" w:rsidRPr="009118AB">
        <w:rPr>
          <w:i/>
          <w:iCs/>
        </w:rPr>
        <w:t> - </w:t>
      </w:r>
      <w:r w:rsidR="00B844EB" w:rsidRPr="009118AB">
        <w:rPr>
          <w:i/>
          <w:iCs/>
        </w:rPr>
        <w:t>anwendbar ab dem Steuerjahr 2023</w:t>
      </w:r>
      <w:r w:rsidR="003366D9" w:rsidRPr="009118AB">
        <w:rPr>
          <w:i/>
          <w:iCs/>
        </w:rPr>
        <w:t> -</w:t>
      </w:r>
      <w:r w:rsidR="009D1768" w:rsidRPr="009118AB">
        <w:rPr>
          <w:i/>
          <w:iCs/>
        </w:rPr>
        <w:t xml:space="preserve"> und abgeändert durch Art. 34 Nr. 2 und 3 des G. vom 5. Juli 2022 (B.S. vom 15. Juli 2022) - anwendbar ab dem Steuerjahr 2023 -</w:t>
      </w:r>
      <w:r w:rsidR="003366D9" w:rsidRPr="009118AB">
        <w:rPr>
          <w:i/>
          <w:iCs/>
        </w:rPr>
        <w:t>;</w:t>
      </w:r>
      <w:r w:rsidR="00B844EB"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(früherer einziger Absatz) eingefügt durch </w:t>
      </w:r>
      <w:r w:rsidR="00D67EB8" w:rsidRPr="009118AB">
        <w:rPr>
          <w:i/>
          <w:iCs/>
        </w:rPr>
        <w:t>Art. </w:t>
      </w:r>
      <w:r w:rsidRPr="009118AB">
        <w:rPr>
          <w:i/>
          <w:iCs/>
        </w:rPr>
        <w:t>168 Buchstabe b) des G. (I) vom 22. Dezember 2008 (II) (B.S. vom 29. Dezember 2008)</w:t>
      </w:r>
      <w:r w:rsidR="00D67EB8" w:rsidRPr="009118AB">
        <w:rPr>
          <w:i/>
          <w:iCs/>
        </w:rPr>
        <w:t> - </w:t>
      </w:r>
      <w:r w:rsidRPr="009118AB">
        <w:rPr>
          <w:i/>
          <w:iCs/>
        </w:rPr>
        <w:t>anwendbar ab dem Steuerjahr 2009</w:t>
      </w:r>
      <w:r w:rsidR="00D67EB8" w:rsidRPr="009118AB">
        <w:rPr>
          <w:i/>
          <w:iCs/>
        </w:rPr>
        <w:t> - </w:t>
      </w:r>
      <w:r w:rsidRPr="009118AB">
        <w:rPr>
          <w:i/>
          <w:iCs/>
        </w:rPr>
        <w:t xml:space="preserve">und abgeändert durch </w:t>
      </w:r>
      <w:r w:rsidR="00D67EB8" w:rsidRPr="009118AB">
        <w:rPr>
          <w:i/>
          <w:iCs/>
        </w:rPr>
        <w:t>Art. </w:t>
      </w:r>
      <w:r w:rsidRPr="009118AB">
        <w:rPr>
          <w:i/>
          <w:iCs/>
        </w:rPr>
        <w:t>169 des G. (I) vom 22. Dezember 2008 (II) (B.S. vom 29. Dezember 2008)</w:t>
      </w:r>
      <w:r w:rsidR="00D67EB8" w:rsidRPr="009118AB">
        <w:rPr>
          <w:i/>
          <w:iCs/>
        </w:rPr>
        <w:t> - </w:t>
      </w:r>
      <w:r w:rsidRPr="009118AB">
        <w:rPr>
          <w:i/>
          <w:iCs/>
        </w:rPr>
        <w:t>anwendbar auf die ab dem 1. Januar 2009 gezahlten oder zuerkannten Einkünfte</w:t>
      </w:r>
      <w:r w:rsidR="00D67EB8" w:rsidRPr="009118AB">
        <w:rPr>
          <w:i/>
          <w:iCs/>
        </w:rPr>
        <w:t> - </w:t>
      </w:r>
      <w:r w:rsidRPr="009118AB">
        <w:rPr>
          <w:i/>
          <w:iCs/>
        </w:rPr>
        <w:t xml:space="preserve">und </w:t>
      </w:r>
      <w:r w:rsidR="00D67EB8" w:rsidRPr="009118AB">
        <w:rPr>
          <w:i/>
          <w:iCs/>
        </w:rPr>
        <w:t>Art. </w:t>
      </w:r>
      <w:r w:rsidRPr="009118AB">
        <w:rPr>
          <w:i/>
          <w:iCs/>
        </w:rPr>
        <w:t xml:space="preserve">38 </w:t>
      </w:r>
      <w:r w:rsidR="00D67EB8" w:rsidRPr="009118AB">
        <w:rPr>
          <w:i/>
          <w:iCs/>
        </w:rPr>
        <w:t>Nr. </w:t>
      </w:r>
      <w:r w:rsidRPr="009118AB">
        <w:rPr>
          <w:i/>
          <w:iCs/>
        </w:rPr>
        <w:t>2 des G. vom 14. April 2011 (B.S. vom 6. Mai 2011)</w:t>
      </w:r>
      <w:r w:rsidR="00D67EB8" w:rsidRPr="009118AB">
        <w:rPr>
          <w:i/>
          <w:iCs/>
        </w:rPr>
        <w:t> - </w:t>
      </w:r>
      <w:r w:rsidRPr="009118AB">
        <w:rPr>
          <w:i/>
          <w:iCs/>
        </w:rPr>
        <w:t>in Kraft ab dem Steuerjahr 2011</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2 eingefügt durch </w:t>
      </w:r>
      <w:r w:rsidR="00D67EB8" w:rsidRPr="009118AB">
        <w:rPr>
          <w:i/>
          <w:iCs/>
        </w:rPr>
        <w:t>Art. </w:t>
      </w:r>
      <w:r w:rsidRPr="009118AB">
        <w:rPr>
          <w:i/>
          <w:iCs/>
        </w:rPr>
        <w:t xml:space="preserve">7 </w:t>
      </w:r>
      <w:r w:rsidR="00D67EB8" w:rsidRPr="009118AB">
        <w:rPr>
          <w:i/>
          <w:iCs/>
        </w:rPr>
        <w:t>Nr. </w:t>
      </w:r>
      <w:r w:rsidRPr="009118AB">
        <w:rPr>
          <w:i/>
          <w:iCs/>
        </w:rPr>
        <w:t>6 des G. vom 21. Januar 2022 (B.S. vom 28. Januar 2022)</w:t>
      </w:r>
      <w:r w:rsidR="00D67EB8" w:rsidRPr="009118AB">
        <w:rPr>
          <w:i/>
          <w:iCs/>
        </w:rPr>
        <w:t> - </w:t>
      </w:r>
      <w:r w:rsidRPr="009118AB">
        <w:rPr>
          <w:i/>
          <w:iCs/>
        </w:rPr>
        <w:t>anwendbar ab dem Steuerjahr 2022</w:t>
      </w:r>
      <w:r w:rsidR="003366D9" w:rsidRPr="009118AB">
        <w:rPr>
          <w:i/>
          <w:iCs/>
        </w:rPr>
        <w:t> -;</w:t>
      </w:r>
      <w:r w:rsidRPr="009118AB">
        <w:rPr>
          <w:i/>
          <w:iCs/>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69 des G. vom 13. Dezember 2012 (B.S. vom 20. Dezember 2012)</w:t>
      </w:r>
      <w:r w:rsidR="00D67EB8" w:rsidRPr="009118AB">
        <w:rPr>
          <w:i/>
          <w:iCs/>
        </w:rPr>
        <w:t> - </w:t>
      </w:r>
      <w:r w:rsidRPr="009118AB">
        <w:rPr>
          <w:i/>
          <w:iCs/>
        </w:rPr>
        <w:t>in Kraft ab dem Steuerjahr 2014</w:t>
      </w:r>
      <w:r w:rsidR="00FD68E8" w:rsidRPr="009118AB">
        <w:rPr>
          <w:i/>
          <w:iCs/>
        </w:rPr>
        <w:t> -]</w:t>
      </w:r>
    </w:p>
    <w:p w14:paraId="51C30328" w14:textId="0320FA86" w:rsidR="00EF7683" w:rsidRPr="009118AB" w:rsidRDefault="00EF7683" w:rsidP="00EF7683">
      <w:pPr>
        <w:autoSpaceDE w:val="0"/>
        <w:autoSpaceDN w:val="0"/>
        <w:adjustRightInd w:val="0"/>
        <w:jc w:val="both"/>
      </w:pPr>
    </w:p>
    <w:p w14:paraId="7DFB6D6F" w14:textId="5AFACA0C" w:rsidR="00B67A41" w:rsidRPr="009118AB" w:rsidRDefault="00E241D1" w:rsidP="00B634E1">
      <w:pPr>
        <w:autoSpaceDE w:val="0"/>
        <w:autoSpaceDN w:val="0"/>
        <w:adjustRightInd w:val="0"/>
        <w:jc w:val="center"/>
      </w:pPr>
      <w:r w:rsidRPr="009118AB">
        <w:rPr>
          <w:sz w:val="20"/>
          <w:szCs w:val="20"/>
        </w:rPr>
        <w:br w:type="page"/>
      </w:r>
      <w:r w:rsidRPr="009118AB">
        <w:lastRenderedPageBreak/>
        <w:t>[</w:t>
      </w:r>
      <w:r w:rsidR="00D666D6" w:rsidRPr="009118AB">
        <w:rPr>
          <w:b/>
          <w:bCs/>
        </w:rPr>
        <w:t>KAPITEL </w:t>
      </w:r>
      <w:r w:rsidRPr="009118AB">
        <w:rPr>
          <w:b/>
          <w:bCs/>
        </w:rPr>
        <w:t>5</w:t>
      </w:r>
      <w:r w:rsidR="00D67EB8" w:rsidRPr="009118AB">
        <w:t> - </w:t>
      </w:r>
      <w:r w:rsidR="00B67A41" w:rsidRPr="009118AB">
        <w:rPr>
          <w:i/>
          <w:iCs/>
        </w:rPr>
        <w:t>Anwend</w:t>
      </w:r>
      <w:r w:rsidRPr="009118AB">
        <w:rPr>
          <w:i/>
          <w:iCs/>
        </w:rPr>
        <w:t>ung</w:t>
      </w:r>
      <w:r w:rsidRPr="009118AB">
        <w:rPr>
          <w:sz w:val="20"/>
          <w:szCs w:val="20"/>
        </w:rPr>
        <w:t xml:space="preserve"> </w:t>
      </w:r>
      <w:r w:rsidR="00B67A41" w:rsidRPr="009118AB">
        <w:rPr>
          <w:i/>
        </w:rPr>
        <w:t>der regionalen Besteuerungsregeln</w:t>
      </w:r>
      <w:r w:rsidR="00B67A41" w:rsidRPr="009118AB">
        <w:t>]</w:t>
      </w:r>
    </w:p>
    <w:p w14:paraId="31A240C6" w14:textId="77777777" w:rsidR="00B67A41" w:rsidRPr="009118AB" w:rsidRDefault="00B67A41" w:rsidP="00B634E1">
      <w:pPr>
        <w:autoSpaceDE w:val="0"/>
        <w:autoSpaceDN w:val="0"/>
        <w:adjustRightInd w:val="0"/>
        <w:jc w:val="center"/>
      </w:pPr>
    </w:p>
    <w:p w14:paraId="389BB2BD" w14:textId="43EBAE6E" w:rsidR="00B67A41" w:rsidRPr="009118AB" w:rsidRDefault="00B67A41" w:rsidP="00B67A41">
      <w:pPr>
        <w:autoSpaceDE w:val="0"/>
        <w:autoSpaceDN w:val="0"/>
        <w:adjustRightInd w:val="0"/>
        <w:jc w:val="both"/>
      </w:pPr>
      <w:r w:rsidRPr="009118AB">
        <w:rPr>
          <w:i/>
        </w:rPr>
        <w:t xml:space="preserve">[Unterteilung Kapitel 5 eingefügt durch </w:t>
      </w:r>
      <w:r w:rsidR="00D67EB8" w:rsidRPr="009118AB">
        <w:rPr>
          <w:i/>
        </w:rPr>
        <w:t>Art. </w:t>
      </w:r>
      <w:r w:rsidRPr="009118AB">
        <w:rPr>
          <w:i/>
        </w:rPr>
        <w:t>2 des G. vom 8. Mai 2014 (B.S. vom 28. Mai 2014</w:t>
      </w:r>
      <w:r w:rsidR="00813BAF" w:rsidRPr="009118AB">
        <w:rPr>
          <w:i/>
        </w:rPr>
        <w:t>)</w:t>
      </w:r>
      <w:r w:rsidR="00D67EB8" w:rsidRPr="009118AB">
        <w:rPr>
          <w:i/>
        </w:rPr>
        <w:t> - </w:t>
      </w:r>
      <w:r w:rsidR="00813BAF" w:rsidRPr="009118AB">
        <w:rPr>
          <w:i/>
          <w:iCs/>
        </w:rPr>
        <w:t>anwendbar ab dem Steuerjahr 2014</w:t>
      </w:r>
      <w:r w:rsidR="00FD68E8" w:rsidRPr="009118AB">
        <w:rPr>
          <w:i/>
          <w:iCs/>
        </w:rPr>
        <w:t> -]</w:t>
      </w:r>
    </w:p>
    <w:p w14:paraId="4824C916" w14:textId="77777777" w:rsidR="00813BAF" w:rsidRPr="009118AB" w:rsidRDefault="00813BAF" w:rsidP="00B67A41">
      <w:pPr>
        <w:autoSpaceDE w:val="0"/>
        <w:autoSpaceDN w:val="0"/>
        <w:adjustRightInd w:val="0"/>
        <w:jc w:val="both"/>
      </w:pPr>
    </w:p>
    <w:p w14:paraId="46433552" w14:textId="77777777" w:rsidR="00813BAF" w:rsidRPr="009118AB" w:rsidRDefault="00813BAF" w:rsidP="00B67A41">
      <w:pPr>
        <w:autoSpaceDE w:val="0"/>
        <w:autoSpaceDN w:val="0"/>
        <w:adjustRightInd w:val="0"/>
        <w:jc w:val="both"/>
      </w:pPr>
    </w:p>
    <w:p w14:paraId="1B616CF3" w14:textId="58B9E03F" w:rsidR="00813BAF" w:rsidRPr="009118AB" w:rsidRDefault="00813BAF" w:rsidP="00B67A41">
      <w:pPr>
        <w:autoSpaceDE w:val="0"/>
        <w:autoSpaceDN w:val="0"/>
        <w:adjustRightInd w:val="0"/>
        <w:jc w:val="both"/>
      </w:pPr>
      <w:r w:rsidRPr="009118AB">
        <w:tab/>
        <w:t>[</w:t>
      </w:r>
      <w:r w:rsidR="00D67EB8" w:rsidRPr="009118AB">
        <w:rPr>
          <w:b/>
        </w:rPr>
        <w:t>Art. </w:t>
      </w:r>
      <w:r w:rsidRPr="009118AB">
        <w:rPr>
          <w:b/>
        </w:rPr>
        <w:t>248/1</w:t>
      </w:r>
      <w:r w:rsidR="00D67EB8" w:rsidRPr="009118AB">
        <w:t> - </w:t>
      </w:r>
      <w:r w:rsidRPr="009118AB">
        <w:t xml:space="preserve">[Um den regionalen steuerrechtlichen Bestimmungen Rechnung zu tragen, wird ein in Artikel 227 </w:t>
      </w:r>
      <w:r w:rsidR="00D67EB8" w:rsidRPr="009118AB">
        <w:t>Nr. </w:t>
      </w:r>
      <w:r w:rsidRPr="009118AB">
        <w:t>1 erwähnter Steuerpflichtiger, für den die Steuer gemäß Artikel 244 berechnet wird, gemäß den Artikeln 248/2 und 248/3 in einer Region lokalisiert.]]</w:t>
      </w:r>
    </w:p>
    <w:p w14:paraId="039D57CF" w14:textId="77777777" w:rsidR="00813BAF" w:rsidRPr="009118AB" w:rsidRDefault="00813BAF" w:rsidP="00B67A41">
      <w:pPr>
        <w:autoSpaceDE w:val="0"/>
        <w:autoSpaceDN w:val="0"/>
        <w:adjustRightInd w:val="0"/>
        <w:jc w:val="both"/>
      </w:pPr>
    </w:p>
    <w:p w14:paraId="463E5626" w14:textId="749CCD05" w:rsidR="00813BAF" w:rsidRPr="009118AB" w:rsidRDefault="00813BAF" w:rsidP="00B67A41">
      <w:pPr>
        <w:autoSpaceDE w:val="0"/>
        <w:autoSpaceDN w:val="0"/>
        <w:adjustRightInd w:val="0"/>
        <w:jc w:val="both"/>
      </w:pPr>
      <w:r w:rsidRPr="009118AB">
        <w:rPr>
          <w:i/>
        </w:rPr>
        <w:t>[</w:t>
      </w:r>
      <w:r w:rsidR="00D67EB8" w:rsidRPr="009118AB">
        <w:rPr>
          <w:i/>
        </w:rPr>
        <w:t>Art. </w:t>
      </w:r>
      <w:r w:rsidRPr="009118AB">
        <w:rPr>
          <w:i/>
        </w:rPr>
        <w:t xml:space="preserve">248/1 eingefügt durch </w:t>
      </w:r>
      <w:r w:rsidR="00D67EB8" w:rsidRPr="009118AB">
        <w:rPr>
          <w:i/>
        </w:rPr>
        <w:t>Art. </w:t>
      </w:r>
      <w:r w:rsidRPr="009118AB">
        <w:rPr>
          <w:i/>
        </w:rPr>
        <w:t>3 des G. vom 8. Mai</w:t>
      </w:r>
      <w:r w:rsidR="004F7F42" w:rsidRPr="009118AB">
        <w:rPr>
          <w:i/>
        </w:rPr>
        <w:t> 2014 (B.S. vom 28. Mai 2014)</w:t>
      </w:r>
      <w:r w:rsidR="00D67EB8" w:rsidRPr="009118AB">
        <w:rPr>
          <w:i/>
        </w:rPr>
        <w:t> - </w:t>
      </w:r>
      <w:r w:rsidRPr="009118AB">
        <w:rPr>
          <w:i/>
          <w:iCs/>
        </w:rPr>
        <w:t>anwendbar ab dem Steuerjahr 2014</w:t>
      </w:r>
      <w:r w:rsidR="00D67EB8" w:rsidRPr="009118AB">
        <w:rPr>
          <w:i/>
          <w:iCs/>
        </w:rPr>
        <w:t> - </w:t>
      </w:r>
      <w:r w:rsidRPr="009118AB">
        <w:rPr>
          <w:i/>
          <w:iCs/>
        </w:rPr>
        <w:t xml:space="preserve">und ersetzt durch </w:t>
      </w:r>
      <w:r w:rsidR="00D67EB8" w:rsidRPr="009118AB">
        <w:rPr>
          <w:i/>
          <w:iCs/>
        </w:rPr>
        <w:t>Art. </w:t>
      </w:r>
      <w:r w:rsidRPr="009118AB">
        <w:rPr>
          <w:i/>
          <w:iCs/>
        </w:rPr>
        <w:t>4</w:t>
      </w:r>
      <w:r w:rsidRPr="009118AB">
        <w:rPr>
          <w:i/>
        </w:rPr>
        <w:t xml:space="preserve"> des G. vom 8. Mai 2014 (B.S. vom 28. Mai 2014)</w:t>
      </w:r>
      <w:r w:rsidR="00D67EB8" w:rsidRPr="009118AB">
        <w:rPr>
          <w:i/>
        </w:rPr>
        <w:t> - </w:t>
      </w:r>
      <w:r w:rsidRPr="009118AB">
        <w:rPr>
          <w:i/>
          <w:iCs/>
        </w:rPr>
        <w:t>anwendbar ab dem Steuerjahr 2015</w:t>
      </w:r>
      <w:r w:rsidR="00FD68E8" w:rsidRPr="009118AB">
        <w:rPr>
          <w:i/>
          <w:iCs/>
        </w:rPr>
        <w:t> -]</w:t>
      </w:r>
    </w:p>
    <w:p w14:paraId="607BC140" w14:textId="77777777" w:rsidR="00813BAF" w:rsidRPr="009118AB" w:rsidRDefault="00813BAF" w:rsidP="00B67A41">
      <w:pPr>
        <w:autoSpaceDE w:val="0"/>
        <w:autoSpaceDN w:val="0"/>
        <w:adjustRightInd w:val="0"/>
        <w:jc w:val="both"/>
      </w:pPr>
    </w:p>
    <w:p w14:paraId="06B19F1A" w14:textId="77777777" w:rsidR="00813BAF" w:rsidRPr="009118AB" w:rsidRDefault="00813BAF" w:rsidP="00B67A41">
      <w:pPr>
        <w:autoSpaceDE w:val="0"/>
        <w:autoSpaceDN w:val="0"/>
        <w:adjustRightInd w:val="0"/>
        <w:jc w:val="both"/>
      </w:pPr>
    </w:p>
    <w:p w14:paraId="67315CAB" w14:textId="3D2424BE" w:rsidR="00813BAF" w:rsidRPr="009118AB" w:rsidRDefault="00813BAF" w:rsidP="00813BAF">
      <w:pPr>
        <w:jc w:val="both"/>
      </w:pPr>
      <w:r w:rsidRPr="009118AB">
        <w:tab/>
        <w:t>[</w:t>
      </w:r>
      <w:r w:rsidR="00D67EB8" w:rsidRPr="009118AB">
        <w:rPr>
          <w:b/>
        </w:rPr>
        <w:t>Art. </w:t>
      </w:r>
      <w:r w:rsidRPr="009118AB">
        <w:rPr>
          <w:b/>
        </w:rPr>
        <w:t>248/2</w:t>
      </w:r>
      <w:r w:rsidR="00D67EB8" w:rsidRPr="009118AB">
        <w:t> - § </w:t>
      </w:r>
      <w:r w:rsidRPr="009118AB">
        <w:t>1</w:t>
      </w:r>
      <w:r w:rsidR="00D67EB8" w:rsidRPr="009118AB">
        <w:t> - </w:t>
      </w:r>
      <w:r w:rsidRPr="009118AB">
        <w:t xml:space="preserve">Für die Anwendung des vorliegenden Kapitels werden in Artikel 227 </w:t>
      </w:r>
      <w:r w:rsidR="00D67EB8" w:rsidRPr="009118AB">
        <w:t>Nr. </w:t>
      </w:r>
      <w:r w:rsidRPr="009118AB">
        <w:t>1 erwähnte Gebietsfremde in einer einzigen Region lokalisiert.</w:t>
      </w:r>
    </w:p>
    <w:p w14:paraId="6BBCFD1C" w14:textId="77777777" w:rsidR="00813BAF" w:rsidRPr="009118AB" w:rsidRDefault="00813BAF" w:rsidP="00813BAF">
      <w:pPr>
        <w:jc w:val="both"/>
      </w:pPr>
    </w:p>
    <w:p w14:paraId="4C471814" w14:textId="382B8D03" w:rsidR="00813BAF" w:rsidRPr="009118AB" w:rsidRDefault="00813BAF" w:rsidP="00813BAF">
      <w:pPr>
        <w:jc w:val="both"/>
      </w:pPr>
      <w:r w:rsidRPr="009118AB">
        <w:tab/>
        <w:t>Nur in Belgien steuerpflichtige Berufseinkünfte, die gemäß den Artikeln 232 und 248 §</w:t>
      </w:r>
      <w:r w:rsidR="00D67EB8" w:rsidRPr="009118AB">
        <w:t>§ </w:t>
      </w:r>
      <w:r w:rsidRPr="009118AB">
        <w:t>2 und 3 tatsächlich in der Erklärung regularisiert werden, werden für die Anwendung des vorliegenden Kapitels berücksichtigt.</w:t>
      </w:r>
    </w:p>
    <w:p w14:paraId="5E738950" w14:textId="77777777" w:rsidR="00813BAF" w:rsidRPr="009118AB" w:rsidRDefault="00813BAF" w:rsidP="00813BAF">
      <w:pPr>
        <w:jc w:val="both"/>
      </w:pPr>
    </w:p>
    <w:p w14:paraId="116797EF" w14:textId="270C0110" w:rsidR="00813BAF" w:rsidRPr="009118AB" w:rsidRDefault="00813BAF" w:rsidP="00813BAF">
      <w:pPr>
        <w:jc w:val="both"/>
      </w:pPr>
      <w:r w:rsidRPr="009118AB">
        <w:tab/>
      </w:r>
      <w:r w:rsidR="00D67EB8" w:rsidRPr="009118AB">
        <w:t>§ </w:t>
      </w:r>
      <w:r w:rsidRPr="009118AB">
        <w:t>2</w:t>
      </w:r>
      <w:r w:rsidR="00D67EB8" w:rsidRPr="009118AB">
        <w:t> - </w:t>
      </w:r>
      <w:r w:rsidRPr="009118AB">
        <w:t>Um einen Gebietsfremden in einer Region zu lokalisieren, werden folgende Regeln nacheinander angewandt:</w:t>
      </w:r>
    </w:p>
    <w:p w14:paraId="4E3C6572" w14:textId="77777777" w:rsidR="00813BAF" w:rsidRPr="009118AB" w:rsidRDefault="00813BAF" w:rsidP="00813BAF">
      <w:pPr>
        <w:jc w:val="both"/>
      </w:pPr>
    </w:p>
    <w:p w14:paraId="7E0C9409" w14:textId="77777777" w:rsidR="00813BAF" w:rsidRPr="009118AB" w:rsidRDefault="00813BAF" w:rsidP="00813BAF">
      <w:pPr>
        <w:jc w:val="both"/>
      </w:pPr>
      <w:r w:rsidRPr="009118AB">
        <w:tab/>
        <w:t>1. Hat der Gebietsfremde seine in Belgien steuerpflichtigen Berufseinkünfte in einer einzigen Region erzielt, gilt er als in dieser Region lokalisiert.</w:t>
      </w:r>
    </w:p>
    <w:p w14:paraId="4398245E" w14:textId="77777777" w:rsidR="00813BAF" w:rsidRPr="009118AB" w:rsidRDefault="00813BAF" w:rsidP="00813BAF">
      <w:pPr>
        <w:jc w:val="both"/>
      </w:pPr>
    </w:p>
    <w:p w14:paraId="3EB7F0CE" w14:textId="0ADF35ED" w:rsidR="00813BAF" w:rsidRPr="009118AB" w:rsidRDefault="00813BAF" w:rsidP="00813BAF">
      <w:pPr>
        <w:jc w:val="both"/>
      </w:pPr>
      <w:r w:rsidRPr="009118AB">
        <w:tab/>
        <w:t>2. Hat der Gebietsfremde seine in Belgien steuerpflichtigen Berufseinkünfte in mehreren Regionen erzielt, gilt er als in der Region lokalisiert, wo die höchsten Nettoberufseinkünfte</w:t>
      </w:r>
      <w:r w:rsidR="00D67EB8" w:rsidRPr="009118AB">
        <w:t> - </w:t>
      </w:r>
      <w:r w:rsidRPr="009118AB">
        <w:t>auf zwei Dezimalstellen berechnet</w:t>
      </w:r>
      <w:r w:rsidR="00D67EB8" w:rsidRPr="009118AB">
        <w:t> - </w:t>
      </w:r>
      <w:r w:rsidRPr="009118AB">
        <w:t>erzielt worden sind.</w:t>
      </w:r>
    </w:p>
    <w:p w14:paraId="319DF3B1" w14:textId="77777777" w:rsidR="00813BAF" w:rsidRPr="009118AB" w:rsidRDefault="00813BAF" w:rsidP="00813BAF">
      <w:pPr>
        <w:jc w:val="both"/>
      </w:pPr>
    </w:p>
    <w:p w14:paraId="139A9383" w14:textId="540EC2C0" w:rsidR="00813BAF" w:rsidRPr="009118AB" w:rsidRDefault="00813BAF" w:rsidP="00813BAF">
      <w:pPr>
        <w:jc w:val="both"/>
      </w:pPr>
      <w:r w:rsidRPr="009118AB">
        <w:tab/>
        <w:t>3. Hat der Gebietsfremde seine in Belgien steuerpflichtigen Berufseinkünfte in mehreren Regionen erzielt und hat er entweder in jeder Region gleiche Nettoberufseinkünfte</w:t>
      </w:r>
      <w:r w:rsidR="00D67EB8" w:rsidRPr="009118AB">
        <w:t> - </w:t>
      </w:r>
      <w:r w:rsidRPr="009118AB">
        <w:t>auf zwei Dezimalstellen berechnet</w:t>
      </w:r>
      <w:r w:rsidR="00D67EB8" w:rsidRPr="009118AB">
        <w:t> - </w:t>
      </w:r>
      <w:r w:rsidRPr="009118AB">
        <w:t>erzielt oder in zwei Regionen gleich hohe Netto</w:t>
      </w:r>
      <w:r w:rsidRPr="009118AB">
        <w:softHyphen/>
        <w:t>berufseinkünfte erzielt, gilt er als in der Region mit der höchsten Anzahl effektiv geleisteter Arbeitstage lokalisiert.</w:t>
      </w:r>
    </w:p>
    <w:p w14:paraId="2C19C3A3" w14:textId="77777777" w:rsidR="00813BAF" w:rsidRPr="009118AB" w:rsidRDefault="00813BAF" w:rsidP="00813BAF">
      <w:pPr>
        <w:jc w:val="both"/>
      </w:pPr>
    </w:p>
    <w:p w14:paraId="7372FCC8" w14:textId="77777777" w:rsidR="00813BAF" w:rsidRPr="009118AB" w:rsidRDefault="00813BAF" w:rsidP="00813BAF">
      <w:pPr>
        <w:jc w:val="both"/>
      </w:pPr>
      <w:r w:rsidRPr="009118AB">
        <w:tab/>
        <w:t>4. Hat der Gebietsfremde gleich hohe Nettoberufseinkünfte in mehr als einer Region erzielt und hat er in jeder dieser Regionen die gleiche Anzahl effektiver Arbeitstage geleistet, gilt er als in der Region lokalisiert, wo er im vorhergehenden Besteuerungszeitraum lokalisiert war.</w:t>
      </w:r>
    </w:p>
    <w:p w14:paraId="1D588A2E" w14:textId="77777777" w:rsidR="00813BAF" w:rsidRPr="009118AB" w:rsidRDefault="00813BAF" w:rsidP="00813BAF">
      <w:pPr>
        <w:jc w:val="both"/>
      </w:pPr>
    </w:p>
    <w:p w14:paraId="68B9D48F" w14:textId="77777777" w:rsidR="00813BAF" w:rsidRPr="009118AB" w:rsidRDefault="00813BAF" w:rsidP="00813BAF">
      <w:pPr>
        <w:jc w:val="both"/>
      </w:pPr>
      <w:r w:rsidRPr="009118AB">
        <w:tab/>
        <w:t>Für die Anwendung des vorliegenden Artikels versteht man unter Nettoberufs</w:t>
      </w:r>
      <w:r w:rsidRPr="009118AB">
        <w:softHyphen/>
        <w:t>einkünften Berufseinkünfte nach Abzug der Werbungskosten und vor Anwendung der wirtschaftlichen Steuerbefreiungen und Abzug der beruflichen Verluste.</w:t>
      </w:r>
    </w:p>
    <w:p w14:paraId="3C1C6796" w14:textId="77777777" w:rsidR="00813BAF" w:rsidRPr="009118AB" w:rsidRDefault="00813BAF" w:rsidP="00813BAF">
      <w:pPr>
        <w:jc w:val="both"/>
      </w:pPr>
    </w:p>
    <w:p w14:paraId="28BEC614" w14:textId="49FD03E8" w:rsidR="00813BAF" w:rsidRPr="009118AB" w:rsidRDefault="00813BAF" w:rsidP="00813BAF">
      <w:pPr>
        <w:jc w:val="both"/>
      </w:pPr>
      <w:r w:rsidRPr="009118AB">
        <w:tab/>
      </w:r>
      <w:r w:rsidR="00D67EB8" w:rsidRPr="009118AB">
        <w:t>§ </w:t>
      </w:r>
      <w:r w:rsidRPr="009118AB">
        <w:t>3</w:t>
      </w:r>
      <w:r w:rsidR="00D67EB8" w:rsidRPr="009118AB">
        <w:t> - </w:t>
      </w:r>
      <w:r w:rsidRPr="009118AB">
        <w:t>Wird eine gemeinsame Veranlagung festgelegt:</w:t>
      </w:r>
    </w:p>
    <w:p w14:paraId="39C1A5EA" w14:textId="77777777" w:rsidR="00813BAF" w:rsidRPr="009118AB" w:rsidRDefault="00813BAF" w:rsidP="00813BAF">
      <w:pPr>
        <w:jc w:val="both"/>
      </w:pPr>
    </w:p>
    <w:p w14:paraId="5506C1C5" w14:textId="77777777" w:rsidR="00813BAF" w:rsidRPr="009118AB" w:rsidRDefault="00813BAF" w:rsidP="00813BAF">
      <w:pPr>
        <w:jc w:val="both"/>
      </w:pPr>
      <w:r w:rsidRPr="009118AB">
        <w:tab/>
        <w:t>1. werden beide Ehepartner in derselben Region lokalisiert,</w:t>
      </w:r>
    </w:p>
    <w:p w14:paraId="7F449281" w14:textId="77777777" w:rsidR="00813BAF" w:rsidRPr="009118AB" w:rsidRDefault="00813BAF" w:rsidP="00813BAF">
      <w:pPr>
        <w:jc w:val="both"/>
      </w:pPr>
    </w:p>
    <w:p w14:paraId="04B56D4E" w14:textId="4F3E409F" w:rsidR="00813BAF" w:rsidRPr="009118AB" w:rsidRDefault="00813BAF" w:rsidP="00813BAF">
      <w:pPr>
        <w:jc w:val="both"/>
      </w:pPr>
      <w:r w:rsidRPr="009118AB">
        <w:tab/>
        <w:t xml:space="preserve">2. wird für die Anwendung von </w:t>
      </w:r>
      <w:r w:rsidR="00D67EB8" w:rsidRPr="009118AB">
        <w:t>§ </w:t>
      </w:r>
      <w:r w:rsidRPr="009118AB">
        <w:t xml:space="preserve">2 Absatz 1 </w:t>
      </w:r>
      <w:r w:rsidR="00D67EB8" w:rsidRPr="009118AB">
        <w:t>Nr. </w:t>
      </w:r>
      <w:r w:rsidRPr="009118AB">
        <w:t>1 und 2 die Gesamtheit der Nettoberufseinkünfte der beiden Ehepartner berücksichtigt,</w:t>
      </w:r>
    </w:p>
    <w:p w14:paraId="3F2F085A" w14:textId="77777777" w:rsidR="00813BAF" w:rsidRPr="009118AB" w:rsidRDefault="00813BAF" w:rsidP="00813BAF">
      <w:pPr>
        <w:jc w:val="both"/>
      </w:pPr>
    </w:p>
    <w:p w14:paraId="0A603552" w14:textId="5479134F" w:rsidR="00813BAF" w:rsidRPr="009118AB" w:rsidRDefault="00813BAF" w:rsidP="00813BAF">
      <w:pPr>
        <w:jc w:val="both"/>
      </w:pPr>
      <w:r w:rsidRPr="009118AB">
        <w:tab/>
        <w:t xml:space="preserve">3. wird für die Anwendung von </w:t>
      </w:r>
      <w:r w:rsidR="00D67EB8" w:rsidRPr="009118AB">
        <w:t>§ </w:t>
      </w:r>
      <w:r w:rsidRPr="009118AB">
        <w:t xml:space="preserve">2 Absatz 1 </w:t>
      </w:r>
      <w:r w:rsidR="00D67EB8" w:rsidRPr="009118AB">
        <w:t>Nr. </w:t>
      </w:r>
      <w:r w:rsidRPr="009118AB">
        <w:t>3 die Gesamtheit der von den beiden Ehepartnern effektiv geleisteten Arbeitstage berücksichtigt.]</w:t>
      </w:r>
    </w:p>
    <w:p w14:paraId="27EA4F5A" w14:textId="77777777" w:rsidR="00813BAF" w:rsidRPr="009118AB" w:rsidRDefault="00813BAF" w:rsidP="00813BAF">
      <w:pPr>
        <w:jc w:val="both"/>
      </w:pPr>
    </w:p>
    <w:p w14:paraId="62F2EAE3" w14:textId="4038B899" w:rsidR="00813BAF" w:rsidRPr="009118AB" w:rsidRDefault="00813BAF" w:rsidP="00813BAF">
      <w:pPr>
        <w:jc w:val="both"/>
        <w:rPr>
          <w:i/>
        </w:rPr>
      </w:pPr>
      <w:r w:rsidRPr="009118AB">
        <w:rPr>
          <w:i/>
        </w:rPr>
        <w:t>[</w:t>
      </w:r>
      <w:r w:rsidR="00D67EB8" w:rsidRPr="009118AB">
        <w:rPr>
          <w:i/>
        </w:rPr>
        <w:t>Art. </w:t>
      </w:r>
      <w:r w:rsidRPr="009118AB">
        <w:rPr>
          <w:i/>
        </w:rPr>
        <w:t xml:space="preserve">248/2 eingefügt durch </w:t>
      </w:r>
      <w:r w:rsidR="00D67EB8" w:rsidRPr="009118AB">
        <w:rPr>
          <w:i/>
        </w:rPr>
        <w:t>Art. </w:t>
      </w:r>
      <w:r w:rsidRPr="009118AB">
        <w:rPr>
          <w:i/>
        </w:rPr>
        <w:t>5 des G. vom 8. Mai</w:t>
      </w:r>
      <w:r w:rsidR="004F7F42" w:rsidRPr="009118AB">
        <w:rPr>
          <w:i/>
        </w:rPr>
        <w:t> 2014 (B.S. vom 28. Mai 2014)</w:t>
      </w:r>
      <w:r w:rsidR="00D67EB8" w:rsidRPr="009118AB">
        <w:rPr>
          <w:i/>
        </w:rPr>
        <w:t> - </w:t>
      </w:r>
      <w:r w:rsidRPr="009118AB">
        <w:rPr>
          <w:i/>
          <w:iCs/>
        </w:rPr>
        <w:t>anwendbar ab dem Steuerjahr 2014</w:t>
      </w:r>
      <w:r w:rsidR="00FD68E8" w:rsidRPr="009118AB">
        <w:rPr>
          <w:i/>
          <w:iCs/>
        </w:rPr>
        <w:t> -]</w:t>
      </w:r>
    </w:p>
    <w:p w14:paraId="1C29F357" w14:textId="77777777" w:rsidR="00813BAF" w:rsidRPr="009118AB" w:rsidRDefault="00813BAF" w:rsidP="00813BAF">
      <w:pPr>
        <w:jc w:val="both"/>
      </w:pPr>
    </w:p>
    <w:p w14:paraId="1069012A" w14:textId="77777777" w:rsidR="00813BAF" w:rsidRPr="009118AB" w:rsidRDefault="00813BAF" w:rsidP="00813BAF">
      <w:pPr>
        <w:jc w:val="both"/>
      </w:pPr>
    </w:p>
    <w:p w14:paraId="275E5059" w14:textId="5FC8C9A3" w:rsidR="00813BAF" w:rsidRPr="009118AB" w:rsidRDefault="009C3577" w:rsidP="00813BAF">
      <w:pPr>
        <w:jc w:val="both"/>
      </w:pPr>
      <w:r w:rsidRPr="009118AB">
        <w:rPr>
          <w:b/>
        </w:rPr>
        <w:tab/>
      </w:r>
      <w:r w:rsidRPr="009118AB">
        <w:t>[</w:t>
      </w:r>
      <w:r w:rsidR="00D67EB8" w:rsidRPr="009118AB">
        <w:rPr>
          <w:b/>
        </w:rPr>
        <w:t>Art. </w:t>
      </w:r>
      <w:r w:rsidR="00813BAF" w:rsidRPr="009118AB">
        <w:rPr>
          <w:b/>
        </w:rPr>
        <w:t>248/3</w:t>
      </w:r>
      <w:r w:rsidR="00D67EB8" w:rsidRPr="009118AB">
        <w:t> - § </w:t>
      </w:r>
      <w:r w:rsidR="00813BAF" w:rsidRPr="009118AB">
        <w:t>1</w:t>
      </w:r>
      <w:r w:rsidR="00D67EB8" w:rsidRPr="009118AB">
        <w:t> - </w:t>
      </w:r>
      <w:r w:rsidR="00813BAF" w:rsidRPr="009118AB">
        <w:t xml:space="preserve">Zur Bestimmung der Region, wo Berufseinkünfte erzielt worden sind, werden die in </w:t>
      </w:r>
      <w:r w:rsidR="00D67EB8" w:rsidRPr="009118AB">
        <w:t>§ </w:t>
      </w:r>
      <w:r w:rsidR="00813BAF" w:rsidRPr="009118AB">
        <w:t>2 erwähnten Regeln angewandt.</w:t>
      </w:r>
    </w:p>
    <w:p w14:paraId="683D20A0" w14:textId="77777777" w:rsidR="00813BAF" w:rsidRPr="009118AB" w:rsidRDefault="00813BAF" w:rsidP="00813BAF">
      <w:pPr>
        <w:jc w:val="both"/>
      </w:pPr>
    </w:p>
    <w:p w14:paraId="0C19801B" w14:textId="6C2DD8B7" w:rsidR="00813BAF" w:rsidRPr="009118AB" w:rsidRDefault="00813BAF" w:rsidP="00813BAF">
      <w:pPr>
        <w:jc w:val="both"/>
      </w:pPr>
      <w:r w:rsidRPr="009118AB">
        <w:tab/>
      </w:r>
      <w:r w:rsidR="00D67EB8" w:rsidRPr="009118AB">
        <w:t>§ </w:t>
      </w:r>
      <w:r w:rsidRPr="009118AB">
        <w:t>2</w:t>
      </w:r>
      <w:r w:rsidR="00D67EB8" w:rsidRPr="009118AB">
        <w:t> - </w:t>
      </w:r>
      <w:r w:rsidRPr="009118AB">
        <w:t>Für Entlohnungen von Arbeitnehmern, die keine Entschädigungen sind, die als vollständige Entschädigung oder Teilentschädigung für einen zeitweiligen Lohnausfall bezogen werden, gilt, dass sie in folgender Region erzielt werden:</w:t>
      </w:r>
    </w:p>
    <w:p w14:paraId="49544774" w14:textId="77777777" w:rsidR="00813BAF" w:rsidRPr="009118AB" w:rsidRDefault="00813BAF" w:rsidP="00813BAF">
      <w:pPr>
        <w:jc w:val="both"/>
      </w:pPr>
    </w:p>
    <w:p w14:paraId="4145F718" w14:textId="77777777" w:rsidR="00813BAF" w:rsidRPr="009118AB" w:rsidRDefault="00813BAF" w:rsidP="00813BAF">
      <w:pPr>
        <w:jc w:val="both"/>
      </w:pPr>
      <w:r w:rsidRPr="009118AB">
        <w:tab/>
        <w:t>1. in Bezug auf Entlohnungen eines Arbeitnehmers, der den größten Teil seiner Verpflichtungen gegenüber seinem Arbeitgeber an ein und demselben Arbeitsplatz in Belgien erfüllt: in der Region, wo dieser gewöhnliche Arbeitsplatz gelegen ist.</w:t>
      </w:r>
    </w:p>
    <w:p w14:paraId="34253846" w14:textId="77777777" w:rsidR="00813BAF" w:rsidRPr="009118AB" w:rsidRDefault="00813BAF" w:rsidP="00813BAF">
      <w:pPr>
        <w:jc w:val="both"/>
      </w:pPr>
    </w:p>
    <w:p w14:paraId="12ECA621" w14:textId="77777777" w:rsidR="00813BAF" w:rsidRPr="009118AB" w:rsidRDefault="00813BAF" w:rsidP="00813BAF">
      <w:pPr>
        <w:jc w:val="both"/>
      </w:pPr>
      <w:r w:rsidRPr="009118AB">
        <w:tab/>
        <w:t>Für einen Arbeitnehmer, der seine Berufstätigkeit an Bord eines Beförderungsmittels ausübt, das zum nationalen oder internationalen Güter- oder Personenverkehr genutzt wird, gilt, dass er seinen gewöhnlichen Arbeitsplatz an dem Ort in Belgien hat, an dem er in der Regel einen Dienstzeitraum oder eine Reihe von Dienstzeiträumen beginnt oder beendet,</w:t>
      </w:r>
    </w:p>
    <w:p w14:paraId="1BAE0B85" w14:textId="77777777" w:rsidR="00813BAF" w:rsidRPr="009118AB" w:rsidRDefault="00813BAF" w:rsidP="00813BAF">
      <w:pPr>
        <w:jc w:val="both"/>
      </w:pPr>
    </w:p>
    <w:p w14:paraId="7EFCA463" w14:textId="73C154DD" w:rsidR="00813BAF" w:rsidRPr="009118AB" w:rsidRDefault="00813BAF" w:rsidP="00813BAF">
      <w:pPr>
        <w:jc w:val="both"/>
      </w:pPr>
      <w:r w:rsidRPr="009118AB">
        <w:tab/>
        <w:t xml:space="preserve">2. in Bezug auf Entlohnungen eines Arbeitnehmers, der keinen gewöhnlichen Arbeitsplatz im Sinne von </w:t>
      </w:r>
      <w:r w:rsidR="00D67EB8" w:rsidRPr="009118AB">
        <w:t>Nr. </w:t>
      </w:r>
      <w:r w:rsidRPr="009118AB">
        <w:t>1 hat: in der Region, wo die Niederlassung des Arbeitgebers, in oder von der er seine Anweisungen erhält, gelegen ist,</w:t>
      </w:r>
    </w:p>
    <w:p w14:paraId="3D3B5736" w14:textId="77777777" w:rsidR="00813BAF" w:rsidRPr="009118AB" w:rsidRDefault="00813BAF" w:rsidP="00813BAF">
      <w:pPr>
        <w:jc w:val="both"/>
      </w:pPr>
    </w:p>
    <w:p w14:paraId="288D862A" w14:textId="77777777" w:rsidR="00813BAF" w:rsidRPr="009118AB" w:rsidRDefault="00813BAF" w:rsidP="00813BAF">
      <w:pPr>
        <w:jc w:val="both"/>
      </w:pPr>
      <w:r w:rsidRPr="009118AB">
        <w:tab/>
        <w:t>3. in Bezug auf Entlohnungen, die nicht aufgrund der Nummern 1 und 2 lokalisiert werden können:</w:t>
      </w:r>
    </w:p>
    <w:p w14:paraId="5860C10A" w14:textId="77777777" w:rsidR="00813BAF" w:rsidRPr="009118AB" w:rsidRDefault="00813BAF" w:rsidP="00813BAF">
      <w:pPr>
        <w:jc w:val="both"/>
      </w:pPr>
    </w:p>
    <w:p w14:paraId="12DA76ED" w14:textId="77777777" w:rsidR="00813BAF" w:rsidRPr="009118AB" w:rsidRDefault="00813BAF" w:rsidP="00813BAF">
      <w:pPr>
        <w:jc w:val="both"/>
      </w:pPr>
      <w:r w:rsidRPr="009118AB">
        <w:tab/>
        <w:t>- in der Region, wo die Berufstätigkeit tatsächlich ausgeübt worden ist, wenn die Berufstätigkeit in Belgien ausgeübt wird,</w:t>
      </w:r>
    </w:p>
    <w:p w14:paraId="621110DA" w14:textId="77777777" w:rsidR="00813BAF" w:rsidRPr="009118AB" w:rsidRDefault="00813BAF" w:rsidP="00813BAF">
      <w:pPr>
        <w:jc w:val="both"/>
      </w:pPr>
    </w:p>
    <w:p w14:paraId="43C06239" w14:textId="77777777" w:rsidR="00813BAF" w:rsidRPr="009118AB" w:rsidRDefault="00813BAF" w:rsidP="00813BAF">
      <w:pPr>
        <w:jc w:val="both"/>
      </w:pPr>
      <w:r w:rsidRPr="009118AB">
        <w:tab/>
        <w:t>- in der Region, wo der Arbeitgeber ansässig ist, in den anderen Fällen.</w:t>
      </w:r>
    </w:p>
    <w:p w14:paraId="4684F52E" w14:textId="77777777" w:rsidR="00813BAF" w:rsidRPr="009118AB" w:rsidRDefault="00813BAF" w:rsidP="00813BAF">
      <w:pPr>
        <w:jc w:val="both"/>
      </w:pPr>
    </w:p>
    <w:p w14:paraId="75BEC2B2" w14:textId="77777777" w:rsidR="00813BAF" w:rsidRPr="009118AB" w:rsidRDefault="00813BAF" w:rsidP="00813BAF">
      <w:pPr>
        <w:jc w:val="both"/>
      </w:pPr>
      <w:r w:rsidRPr="009118AB">
        <w:tab/>
        <w:t>Für Entlohnungen von Unternehmensleitern, die keine Entschädigungen sind, die als vollständige Entschädigung oder Teilentschädigung für einen zeitweiligen Lohnausfall bezogen werden, gilt, dass sie in folgender Region erzielt werden:</w:t>
      </w:r>
    </w:p>
    <w:p w14:paraId="32401077" w14:textId="77777777" w:rsidR="00813BAF" w:rsidRPr="009118AB" w:rsidRDefault="00813BAF" w:rsidP="00813BAF">
      <w:pPr>
        <w:jc w:val="both"/>
      </w:pPr>
    </w:p>
    <w:p w14:paraId="5EC46AFD" w14:textId="77777777" w:rsidR="00813BAF" w:rsidRPr="009118AB" w:rsidRDefault="00813BAF" w:rsidP="00813BAF">
      <w:pPr>
        <w:jc w:val="both"/>
      </w:pPr>
      <w:r w:rsidRPr="009118AB">
        <w:tab/>
        <w:t>1. in Bezug auf Entlohnungen, die für die Ausübung des Mandats eines Verwalters, Geschäftsführers, Liquidators oder ähnlicher Funktionen erzielt werden: in der Region, wo die juristische Person ansässig ist,</w:t>
      </w:r>
    </w:p>
    <w:p w14:paraId="304949DF" w14:textId="77777777" w:rsidR="00813BAF" w:rsidRPr="009118AB" w:rsidRDefault="00813BAF" w:rsidP="00813BAF">
      <w:pPr>
        <w:jc w:val="both"/>
      </w:pPr>
    </w:p>
    <w:p w14:paraId="06A3C150" w14:textId="77777777" w:rsidR="00813BAF" w:rsidRPr="009118AB" w:rsidRDefault="00813BAF" w:rsidP="00813BAF">
      <w:pPr>
        <w:jc w:val="both"/>
      </w:pPr>
      <w:r w:rsidRPr="009118AB">
        <w:tab/>
        <w:t>2. in Bezug auf andere Entlohnungen: in der Region, die gemäß den in Absatz 1 erwähnten Regeln für Entlohnungen von Arbeitnehmern bestimmt wird.</w:t>
      </w:r>
    </w:p>
    <w:p w14:paraId="533BD09C" w14:textId="77777777" w:rsidR="00813BAF" w:rsidRPr="009118AB" w:rsidRDefault="00813BAF" w:rsidP="00813BAF">
      <w:pPr>
        <w:jc w:val="both"/>
      </w:pPr>
    </w:p>
    <w:p w14:paraId="38BED381" w14:textId="77777777" w:rsidR="00813BAF" w:rsidRPr="009118AB" w:rsidRDefault="00813BAF" w:rsidP="00813BAF">
      <w:pPr>
        <w:jc w:val="both"/>
      </w:pPr>
      <w:r w:rsidRPr="009118AB">
        <w:lastRenderedPageBreak/>
        <w:tab/>
        <w:t>Für Gewinne, die keine Entschädigungen sind, die als vollständige Entschädigung oder Teilentschädigung für einen zeitweiligen Gewinnausfall bezogen werden, gilt, dass sie in folgender Region erzielt werden:</w:t>
      </w:r>
    </w:p>
    <w:p w14:paraId="0BC4C5BF" w14:textId="77777777" w:rsidR="00813BAF" w:rsidRPr="009118AB" w:rsidRDefault="00813BAF" w:rsidP="00813BAF">
      <w:pPr>
        <w:jc w:val="both"/>
      </w:pPr>
    </w:p>
    <w:p w14:paraId="16E2E79D" w14:textId="77777777" w:rsidR="00813BAF" w:rsidRPr="009118AB" w:rsidRDefault="00813BAF" w:rsidP="00813BAF">
      <w:pPr>
        <w:jc w:val="both"/>
      </w:pPr>
      <w:r w:rsidRPr="009118AB">
        <w:tab/>
        <w:t>1. in der Region, wo die belgische Niederlassung, der die Gewinne zuerkannt werden können, gelegen ist,</w:t>
      </w:r>
    </w:p>
    <w:p w14:paraId="19DC207E" w14:textId="77777777" w:rsidR="00813BAF" w:rsidRPr="009118AB" w:rsidRDefault="00813BAF" w:rsidP="00813BAF">
      <w:pPr>
        <w:jc w:val="both"/>
      </w:pPr>
    </w:p>
    <w:p w14:paraId="2CD74CEE" w14:textId="77777777" w:rsidR="00813BAF" w:rsidRPr="009118AB" w:rsidRDefault="00813BAF" w:rsidP="00813BAF">
      <w:pPr>
        <w:jc w:val="both"/>
      </w:pPr>
      <w:r w:rsidRPr="009118AB">
        <w:tab/>
        <w:t>2. in Bezug auf Einkünfte aus der Veräußerung oder Vermietung eines unbeweglichen Gutes und aus der Begründung oder Abtretung dinglicher Rechte an einem unbeweglichen Gut, die nicht einer belgischen Niederlassung zuerkannt werden können: in der Region, wo das unbewegliche Gut gelegen ist,</w:t>
      </w:r>
    </w:p>
    <w:p w14:paraId="5AAF010E" w14:textId="77777777" w:rsidR="00813BAF" w:rsidRPr="009118AB" w:rsidRDefault="00813BAF" w:rsidP="00813BAF">
      <w:pPr>
        <w:jc w:val="both"/>
      </w:pPr>
    </w:p>
    <w:p w14:paraId="06C85194" w14:textId="4FBCEBD4" w:rsidR="00813BAF" w:rsidRPr="009118AB" w:rsidRDefault="00813BAF" w:rsidP="00813BAF">
      <w:pPr>
        <w:jc w:val="both"/>
      </w:pPr>
      <w:r w:rsidRPr="009118AB">
        <w:tab/>
        <w:t xml:space="preserve">3. in Bezug auf Gewinne, die aufgrund der Eigenschaft als Gesellschafter in einer Gesellschaft, einem Verband oder einer Vereinigung erzielt werden, die/der aufgrund von Artikel 29 </w:t>
      </w:r>
      <w:r w:rsidR="00D67EB8" w:rsidRPr="009118AB">
        <w:t>§ </w:t>
      </w:r>
      <w:r w:rsidRPr="009118AB">
        <w:t>2 als Vereinigung ohne Rechtspersönlichkeit gilt: in der Region, wo die Gesellschaft, der Verband oder die Vereinigung ansässig ist.</w:t>
      </w:r>
    </w:p>
    <w:p w14:paraId="4DEE45EC" w14:textId="77777777" w:rsidR="00813BAF" w:rsidRPr="009118AB" w:rsidRDefault="00813BAF" w:rsidP="00813BAF">
      <w:pPr>
        <w:jc w:val="both"/>
      </w:pPr>
    </w:p>
    <w:p w14:paraId="48FD608D" w14:textId="77777777" w:rsidR="00813BAF" w:rsidRPr="009118AB" w:rsidRDefault="00813BAF" w:rsidP="00813BAF">
      <w:pPr>
        <w:jc w:val="both"/>
      </w:pPr>
      <w:r w:rsidRPr="009118AB">
        <w:tab/>
        <w:t>Für Profite, die keine Entschädigungen sind, die als vollständige Entschädigung oder Teilentschädigung für einen zeitweiligen Profitausfall bezogen werden, gilt, dass sie in folgender Region erzielt werden:</w:t>
      </w:r>
    </w:p>
    <w:p w14:paraId="3B6DD7B1" w14:textId="77777777" w:rsidR="00813BAF" w:rsidRPr="009118AB" w:rsidRDefault="00813BAF" w:rsidP="00813BAF">
      <w:pPr>
        <w:jc w:val="both"/>
      </w:pPr>
    </w:p>
    <w:p w14:paraId="7FF86C4D" w14:textId="77777777" w:rsidR="00813BAF" w:rsidRPr="009118AB" w:rsidRDefault="00813BAF" w:rsidP="00813BAF">
      <w:pPr>
        <w:jc w:val="both"/>
      </w:pPr>
      <w:r w:rsidRPr="009118AB">
        <w:tab/>
        <w:t>1. in der Region, wo die Niederlassung, der die Profite zuerkannt werden können, gelegen ist,</w:t>
      </w:r>
    </w:p>
    <w:p w14:paraId="785FBF5A" w14:textId="77777777" w:rsidR="00813BAF" w:rsidRPr="009118AB" w:rsidRDefault="00813BAF" w:rsidP="00813BAF">
      <w:pPr>
        <w:jc w:val="both"/>
      </w:pPr>
    </w:p>
    <w:p w14:paraId="0C3CE9CB" w14:textId="1C90CDAE" w:rsidR="00813BAF" w:rsidRPr="009118AB" w:rsidRDefault="00813BAF" w:rsidP="00813BAF">
      <w:pPr>
        <w:jc w:val="both"/>
      </w:pPr>
      <w:r w:rsidRPr="009118AB">
        <w:tab/>
        <w:t xml:space="preserve">2. in Bezug auf Einkünfte, die nicht aufgrund von </w:t>
      </w:r>
      <w:r w:rsidR="00D67EB8" w:rsidRPr="009118AB">
        <w:t>Nr. </w:t>
      </w:r>
      <w:r w:rsidRPr="009118AB">
        <w:t>1 lokalisiert werden können: in der Region, wo die Berufstätigkeit ausgeübt wird.</w:t>
      </w:r>
    </w:p>
    <w:p w14:paraId="17E1BB3C" w14:textId="77777777" w:rsidR="00813BAF" w:rsidRPr="009118AB" w:rsidRDefault="00813BAF" w:rsidP="00813BAF">
      <w:pPr>
        <w:jc w:val="both"/>
      </w:pPr>
    </w:p>
    <w:p w14:paraId="49D89FE6" w14:textId="77777777" w:rsidR="00813BAF" w:rsidRPr="009118AB" w:rsidRDefault="00813BAF" w:rsidP="00813BAF">
      <w:pPr>
        <w:jc w:val="both"/>
      </w:pPr>
      <w:r w:rsidRPr="009118AB">
        <w:tab/>
        <w:t>Für Gewinne und Profite einer früheren Berufstätigkeit gilt, dass sie in der Region erzielt werden, die gemäß den Regeln für Gewinne beziehungsweise Profite bestimmt wird.</w:t>
      </w:r>
    </w:p>
    <w:p w14:paraId="167B0FC0" w14:textId="77777777" w:rsidR="00813BAF" w:rsidRPr="009118AB" w:rsidRDefault="00813BAF" w:rsidP="00813BAF">
      <w:pPr>
        <w:jc w:val="both"/>
      </w:pPr>
    </w:p>
    <w:p w14:paraId="0A180063" w14:textId="77777777" w:rsidR="00813BAF" w:rsidRPr="009118AB" w:rsidRDefault="00813BAF" w:rsidP="00813BAF">
      <w:pPr>
        <w:jc w:val="both"/>
      </w:pPr>
      <w:r w:rsidRPr="009118AB">
        <w:tab/>
        <w:t>Für Entlohnungen von mithelfenden Ehepartnern gilt, dass sie in der Region erzielt werden, wo der Ehepartner, der die Entlohnungen zuerkennt, Gewinne oder Profite erzielt.</w:t>
      </w:r>
    </w:p>
    <w:p w14:paraId="55D37BF4" w14:textId="77777777" w:rsidR="00813BAF" w:rsidRPr="009118AB" w:rsidRDefault="00813BAF" w:rsidP="00813BAF">
      <w:pPr>
        <w:jc w:val="both"/>
      </w:pPr>
    </w:p>
    <w:p w14:paraId="2D471D01" w14:textId="77777777" w:rsidR="00813BAF" w:rsidRPr="009118AB" w:rsidRDefault="00813BAF" w:rsidP="00813BAF">
      <w:pPr>
        <w:jc w:val="both"/>
      </w:pPr>
      <w:r w:rsidRPr="009118AB">
        <w:tab/>
        <w:t>Für Entschädigungen, die als vollständige Entschädigung oder Teilentschädigung für einen zeitweiligen Einkommensausfall bezogen werden, gilt, dass sie in folgender Region erzielt werden:</w:t>
      </w:r>
    </w:p>
    <w:p w14:paraId="1C306F48" w14:textId="77777777" w:rsidR="00813BAF" w:rsidRPr="009118AB" w:rsidRDefault="00813BAF" w:rsidP="00813BAF">
      <w:pPr>
        <w:jc w:val="both"/>
      </w:pPr>
    </w:p>
    <w:p w14:paraId="0929CE50" w14:textId="77777777" w:rsidR="00813BAF" w:rsidRPr="009118AB" w:rsidRDefault="00813BAF" w:rsidP="00813BAF">
      <w:pPr>
        <w:jc w:val="both"/>
      </w:pPr>
      <w:r w:rsidRPr="009118AB">
        <w:tab/>
        <w:t>1. in Bezug auf Entschädigungen, die von einer Region zuerkannt werden: in der Region, die die Entschädigung zuerkennt,</w:t>
      </w:r>
    </w:p>
    <w:p w14:paraId="23DC8C89" w14:textId="77777777" w:rsidR="00813BAF" w:rsidRPr="009118AB" w:rsidRDefault="00813BAF" w:rsidP="00813BAF">
      <w:pPr>
        <w:jc w:val="both"/>
      </w:pPr>
    </w:p>
    <w:p w14:paraId="5F082375" w14:textId="77777777" w:rsidR="00813BAF" w:rsidRPr="009118AB" w:rsidRDefault="00813BAF" w:rsidP="00813BAF">
      <w:pPr>
        <w:jc w:val="both"/>
      </w:pPr>
      <w:r w:rsidRPr="009118AB">
        <w:tab/>
        <w:t>2. in Bezug auf andere Entschädigungen:</w:t>
      </w:r>
    </w:p>
    <w:p w14:paraId="5645287A" w14:textId="77777777" w:rsidR="00813BAF" w:rsidRPr="009118AB" w:rsidRDefault="00813BAF" w:rsidP="00813BAF">
      <w:pPr>
        <w:jc w:val="both"/>
      </w:pPr>
    </w:p>
    <w:p w14:paraId="362EBC85" w14:textId="77777777" w:rsidR="00813BAF" w:rsidRPr="009118AB" w:rsidRDefault="00813BAF" w:rsidP="00813BAF">
      <w:pPr>
        <w:jc w:val="both"/>
      </w:pPr>
      <w:r w:rsidRPr="009118AB">
        <w:tab/>
        <w:t>- in der Region, wo die Einkünfte aus der Berufstätigkeit, aufgrund deren die Entschädigungen gezahlt werden, gemäß den in den vorhergehenden Absätzen aufgeführten Regeln zuletzt erzielt worden sind,</w:t>
      </w:r>
    </w:p>
    <w:p w14:paraId="3A02F8E2" w14:textId="77777777" w:rsidR="00813BAF" w:rsidRPr="009118AB" w:rsidRDefault="00813BAF" w:rsidP="00813BAF">
      <w:pPr>
        <w:jc w:val="both"/>
      </w:pPr>
    </w:p>
    <w:p w14:paraId="1F12C348" w14:textId="77777777" w:rsidR="00813BAF" w:rsidRPr="009118AB" w:rsidRDefault="00813BAF" w:rsidP="00813BAF">
      <w:pPr>
        <w:jc w:val="both"/>
      </w:pPr>
      <w:r w:rsidRPr="009118AB">
        <w:tab/>
        <w:t>- in der Region, wo der Schuldner der Entschädigungen ansässig ist, wenn die Entschädigungen nicht aufgrund der Ausübung einer Berufstätigkeit gezahlt werden.</w:t>
      </w:r>
    </w:p>
    <w:p w14:paraId="2DDA5815" w14:textId="77777777" w:rsidR="00813BAF" w:rsidRPr="009118AB" w:rsidRDefault="00813BAF" w:rsidP="00813BAF">
      <w:pPr>
        <w:jc w:val="both"/>
      </w:pPr>
    </w:p>
    <w:p w14:paraId="2C71D693" w14:textId="77777777" w:rsidR="00813BAF" w:rsidRPr="009118AB" w:rsidRDefault="00813BAF" w:rsidP="00813BAF">
      <w:pPr>
        <w:jc w:val="both"/>
      </w:pPr>
      <w:r w:rsidRPr="009118AB">
        <w:lastRenderedPageBreak/>
        <w:tab/>
        <w:t>Für Pensionen, Renten und als solche geltende Zulagen gilt, dass sie in folgender Region erzielt werden:</w:t>
      </w:r>
    </w:p>
    <w:p w14:paraId="2641A10B" w14:textId="77777777" w:rsidR="00813BAF" w:rsidRPr="009118AB" w:rsidRDefault="00813BAF" w:rsidP="00813BAF">
      <w:pPr>
        <w:jc w:val="both"/>
      </w:pPr>
    </w:p>
    <w:p w14:paraId="3ECBDC18" w14:textId="04822289" w:rsidR="00813BAF" w:rsidRPr="009118AB" w:rsidRDefault="00813BAF" w:rsidP="00813BAF">
      <w:pPr>
        <w:jc w:val="both"/>
      </w:pPr>
      <w:r w:rsidRPr="009118AB">
        <w:tab/>
        <w:t xml:space="preserve">1. in der Region, wo gemäß den in den vorhergehenden Absätzen aufgeführten Regeln die höchsten Nettoberufseinkünfte erzielt worden sind oder im Falle der Anwendung von Artikel 248/2 </w:t>
      </w:r>
      <w:r w:rsidR="00D67EB8" w:rsidRPr="009118AB">
        <w:t>§ </w:t>
      </w:r>
      <w:r w:rsidRPr="009118AB">
        <w:t xml:space="preserve">2 Absatz 1 </w:t>
      </w:r>
      <w:r w:rsidR="00D67EB8" w:rsidRPr="009118AB">
        <w:t>Nr. </w:t>
      </w:r>
      <w:r w:rsidRPr="009118AB">
        <w:t>3 im Besteuerungszeitraum vor dem Besteuerungszeitraum, in dem der Steuerpflichtige in den Ruhestand versetzt wird oder seine bleibende Arbeitsunfähigkeit festgestellt wird, die höchste Anzahl Arbeitstage effektiv geleistet worden ist,</w:t>
      </w:r>
    </w:p>
    <w:p w14:paraId="2DC747EE" w14:textId="77777777" w:rsidR="00813BAF" w:rsidRPr="009118AB" w:rsidRDefault="00813BAF" w:rsidP="00813BAF">
      <w:pPr>
        <w:jc w:val="both"/>
      </w:pPr>
    </w:p>
    <w:p w14:paraId="511F4CAD" w14:textId="77777777" w:rsidR="00813BAF" w:rsidRPr="009118AB" w:rsidRDefault="00813BAF" w:rsidP="00813BAF">
      <w:pPr>
        <w:jc w:val="both"/>
      </w:pPr>
      <w:r w:rsidRPr="009118AB">
        <w:tab/>
        <w:t>2. vorbehaltlich der Nummer 1 in der Region, wo gemäß den in den vorhergehenden Absätzen aufgeführten Regeln die Berufseinkünfte, die Pensionsansprüche eröffnet haben, erzielt worden sind,</w:t>
      </w:r>
    </w:p>
    <w:p w14:paraId="38CD732C" w14:textId="77777777" w:rsidR="00813BAF" w:rsidRPr="009118AB" w:rsidRDefault="00813BAF" w:rsidP="00813BAF">
      <w:pPr>
        <w:jc w:val="both"/>
      </w:pPr>
    </w:p>
    <w:p w14:paraId="3CC82F28" w14:textId="77777777" w:rsidR="00813BAF" w:rsidRPr="009118AB" w:rsidRDefault="00813BAF" w:rsidP="00813BAF">
      <w:pPr>
        <w:jc w:val="both"/>
      </w:pPr>
      <w:r w:rsidRPr="009118AB">
        <w:tab/>
        <w:t>3. vorbehaltlich der Nummern 1 und 2 in der Region, wo der Schuldner der Pension ansässig ist, wenn:</w:t>
      </w:r>
    </w:p>
    <w:p w14:paraId="66C5F901" w14:textId="77777777" w:rsidR="00813BAF" w:rsidRPr="009118AB" w:rsidRDefault="00813BAF" w:rsidP="00813BAF">
      <w:pPr>
        <w:jc w:val="both"/>
      </w:pPr>
    </w:p>
    <w:p w14:paraId="53EE95A5" w14:textId="77777777" w:rsidR="00813BAF" w:rsidRPr="009118AB" w:rsidRDefault="00813BAF" w:rsidP="00813BAF">
      <w:pPr>
        <w:jc w:val="both"/>
      </w:pPr>
      <w:r w:rsidRPr="009118AB">
        <w:tab/>
        <w:t>- die Berufseinkünfte, die die Pensionsansprüche eröffnet haben, nicht in Zusammen</w:t>
      </w:r>
      <w:r w:rsidRPr="009118AB">
        <w:softHyphen/>
        <w:t>hang mit einer in Belgien ausgeübten Berufstätigkeit stehen,</w:t>
      </w:r>
    </w:p>
    <w:p w14:paraId="02EFC592" w14:textId="77777777" w:rsidR="00813BAF" w:rsidRPr="009118AB" w:rsidRDefault="00813BAF" w:rsidP="00813BAF">
      <w:pPr>
        <w:jc w:val="both"/>
      </w:pPr>
    </w:p>
    <w:p w14:paraId="437B115C" w14:textId="77777777" w:rsidR="00813BAF" w:rsidRPr="009118AB" w:rsidRDefault="00813BAF" w:rsidP="00813BAF">
      <w:pPr>
        <w:jc w:val="both"/>
      </w:pPr>
      <w:r w:rsidRPr="009118AB">
        <w:tab/>
        <w:t>- nicht nachgewiesen werden kann, in welcher Region die Berufseinkünfte, die die Pensionsansprüche eröffnet haben, erzielt worden sind,</w:t>
      </w:r>
    </w:p>
    <w:p w14:paraId="6355CD6A" w14:textId="77777777" w:rsidR="00813BAF" w:rsidRPr="009118AB" w:rsidRDefault="00813BAF" w:rsidP="00813BAF">
      <w:pPr>
        <w:jc w:val="both"/>
      </w:pPr>
    </w:p>
    <w:p w14:paraId="6DB647ED" w14:textId="77777777" w:rsidR="00813BAF" w:rsidRPr="009118AB" w:rsidRDefault="00813BAF" w:rsidP="00813BAF">
      <w:pPr>
        <w:jc w:val="both"/>
      </w:pPr>
      <w:r w:rsidRPr="009118AB">
        <w:tab/>
        <w:t>- die Pension nicht in Zusammenhang mit der Ausübung einer Berufstätigkeit steht.</w:t>
      </w:r>
    </w:p>
    <w:p w14:paraId="04F248EF" w14:textId="77777777" w:rsidR="00813BAF" w:rsidRPr="009118AB" w:rsidRDefault="00813BAF" w:rsidP="00813BAF">
      <w:pPr>
        <w:jc w:val="both"/>
      </w:pPr>
    </w:p>
    <w:p w14:paraId="5DE4B9C9" w14:textId="5FCCC815" w:rsidR="009C3577" w:rsidRPr="009118AB" w:rsidRDefault="00813BAF" w:rsidP="009C3577">
      <w:pPr>
        <w:autoSpaceDE w:val="0"/>
        <w:autoSpaceDN w:val="0"/>
        <w:adjustRightInd w:val="0"/>
        <w:jc w:val="both"/>
      </w:pPr>
      <w:r w:rsidRPr="009118AB">
        <w:tab/>
        <w:t xml:space="preserve">Für die in Artikel 228 </w:t>
      </w:r>
      <w:r w:rsidR="00D67EB8" w:rsidRPr="009118AB">
        <w:t>§ </w:t>
      </w:r>
      <w:r w:rsidRPr="009118AB">
        <w:t>3 erwähnten Einkünfte gilt, dass sie in der Region erzielt werden, wo der Schuldner der Einkünfte ansässig ist.</w:t>
      </w:r>
      <w:r w:rsidR="009C3577" w:rsidRPr="009118AB">
        <w:t>]</w:t>
      </w:r>
    </w:p>
    <w:p w14:paraId="2AB8405E" w14:textId="77777777" w:rsidR="009C3577" w:rsidRPr="009118AB" w:rsidRDefault="009C3577" w:rsidP="009C3577">
      <w:pPr>
        <w:autoSpaceDE w:val="0"/>
        <w:autoSpaceDN w:val="0"/>
        <w:adjustRightInd w:val="0"/>
        <w:jc w:val="both"/>
      </w:pPr>
    </w:p>
    <w:p w14:paraId="798A22A6" w14:textId="588B807C" w:rsidR="009C3577" w:rsidRPr="009118AB" w:rsidRDefault="009C3577" w:rsidP="009C3577">
      <w:pPr>
        <w:autoSpaceDE w:val="0"/>
        <w:autoSpaceDN w:val="0"/>
        <w:adjustRightInd w:val="0"/>
        <w:jc w:val="both"/>
        <w:rPr>
          <w:i/>
        </w:rPr>
      </w:pPr>
      <w:r w:rsidRPr="009118AB">
        <w:rPr>
          <w:i/>
        </w:rPr>
        <w:t>[</w:t>
      </w:r>
      <w:r w:rsidR="00D67EB8" w:rsidRPr="009118AB">
        <w:rPr>
          <w:i/>
        </w:rPr>
        <w:t>Art. </w:t>
      </w:r>
      <w:r w:rsidRPr="009118AB">
        <w:rPr>
          <w:i/>
        </w:rPr>
        <w:t xml:space="preserve">248/3 eingefügt durch </w:t>
      </w:r>
      <w:r w:rsidR="00D67EB8" w:rsidRPr="009118AB">
        <w:rPr>
          <w:i/>
        </w:rPr>
        <w:t>Art. </w:t>
      </w:r>
      <w:r w:rsidRPr="009118AB">
        <w:rPr>
          <w:i/>
        </w:rPr>
        <w:t>6 des G. vom 8. Mai</w:t>
      </w:r>
      <w:r w:rsidR="004F7F42" w:rsidRPr="009118AB">
        <w:rPr>
          <w:i/>
        </w:rPr>
        <w:t> 2014 (B.S. vom 28. Mai 2014)</w:t>
      </w:r>
      <w:r w:rsidR="00D67EB8" w:rsidRPr="009118AB">
        <w:rPr>
          <w:i/>
        </w:rPr>
        <w:t> - </w:t>
      </w:r>
      <w:r w:rsidRPr="009118AB">
        <w:rPr>
          <w:i/>
          <w:iCs/>
        </w:rPr>
        <w:t>anwendbar ab dem Steuerjahr 2014</w:t>
      </w:r>
      <w:r w:rsidR="00FD68E8" w:rsidRPr="009118AB">
        <w:rPr>
          <w:i/>
          <w:iCs/>
        </w:rPr>
        <w:t> -]</w:t>
      </w:r>
    </w:p>
    <w:p w14:paraId="4360259A" w14:textId="77777777" w:rsidR="009C3577" w:rsidRPr="009118AB" w:rsidRDefault="009C3577" w:rsidP="009C3577">
      <w:pPr>
        <w:autoSpaceDE w:val="0"/>
        <w:autoSpaceDN w:val="0"/>
        <w:adjustRightInd w:val="0"/>
        <w:jc w:val="both"/>
        <w:rPr>
          <w:b/>
          <w:bCs/>
        </w:rPr>
      </w:pPr>
    </w:p>
    <w:p w14:paraId="5A8F62FB" w14:textId="3FF81A8D" w:rsidR="00477B8F" w:rsidRPr="009118AB" w:rsidRDefault="009C3577" w:rsidP="009C3577">
      <w:pPr>
        <w:autoSpaceDE w:val="0"/>
        <w:autoSpaceDN w:val="0"/>
        <w:adjustRightInd w:val="0"/>
        <w:jc w:val="center"/>
        <w:rPr>
          <w:i/>
          <w:iCs/>
        </w:rPr>
      </w:pPr>
      <w:r w:rsidRPr="009118AB">
        <w:rPr>
          <w:b/>
          <w:bCs/>
        </w:rPr>
        <w:br w:type="page"/>
      </w:r>
      <w:r w:rsidR="00477B8F" w:rsidRPr="009118AB">
        <w:rPr>
          <w:b/>
          <w:bCs/>
        </w:rPr>
        <w:lastRenderedPageBreak/>
        <w:t>TITEL VI</w:t>
      </w:r>
      <w:r w:rsidR="00D67EB8" w:rsidRPr="009118AB">
        <w:rPr>
          <w:i/>
          <w:iCs/>
        </w:rPr>
        <w:t> - </w:t>
      </w:r>
      <w:r w:rsidR="00477B8F" w:rsidRPr="009118AB">
        <w:rPr>
          <w:b/>
          <w:bCs/>
          <w:i/>
          <w:iCs/>
        </w:rPr>
        <w:t>Gemeinsame Bestimmungen in Bezug auf die vier Steuern</w:t>
      </w:r>
    </w:p>
    <w:p w14:paraId="49D50F73" w14:textId="77777777" w:rsidR="00477B8F" w:rsidRPr="009118AB" w:rsidRDefault="00477B8F" w:rsidP="00477B8F">
      <w:pPr>
        <w:autoSpaceDE w:val="0"/>
        <w:autoSpaceDN w:val="0"/>
        <w:adjustRightInd w:val="0"/>
        <w:jc w:val="center"/>
        <w:rPr>
          <w:i/>
          <w:iCs/>
        </w:rPr>
      </w:pPr>
    </w:p>
    <w:p w14:paraId="0DBE8792" w14:textId="77777777" w:rsidR="00477B8F" w:rsidRPr="009118AB" w:rsidRDefault="00477B8F" w:rsidP="00477B8F">
      <w:pPr>
        <w:autoSpaceDE w:val="0"/>
        <w:autoSpaceDN w:val="0"/>
        <w:adjustRightInd w:val="0"/>
        <w:jc w:val="center"/>
        <w:rPr>
          <w:i/>
          <w:iCs/>
        </w:rPr>
      </w:pPr>
    </w:p>
    <w:p w14:paraId="6163A8E1" w14:textId="4A3AEC6B" w:rsidR="00477B8F" w:rsidRPr="009118AB" w:rsidRDefault="00D666D6" w:rsidP="00477B8F">
      <w:pPr>
        <w:autoSpaceDE w:val="0"/>
        <w:autoSpaceDN w:val="0"/>
        <w:adjustRightInd w:val="0"/>
        <w:jc w:val="center"/>
      </w:pPr>
      <w:r w:rsidRPr="009118AB">
        <w:rPr>
          <w:b/>
          <w:bCs/>
        </w:rPr>
        <w:t>KAPITEL </w:t>
      </w:r>
      <w:r w:rsidR="007828ED" w:rsidRPr="009118AB">
        <w:rPr>
          <w:b/>
          <w:bCs/>
        </w:rPr>
        <w:t>1</w:t>
      </w:r>
      <w:r w:rsidR="00D67EB8" w:rsidRPr="009118AB">
        <w:t> - </w:t>
      </w:r>
      <w:r w:rsidR="00477B8F" w:rsidRPr="009118AB">
        <w:rPr>
          <w:i/>
          <w:iCs/>
        </w:rPr>
        <w:t>Steuerzahlung durch Vorabzug</w:t>
      </w:r>
    </w:p>
    <w:p w14:paraId="4752AC76" w14:textId="77777777" w:rsidR="00477B8F" w:rsidRPr="009118AB" w:rsidRDefault="00477B8F" w:rsidP="00477B8F">
      <w:pPr>
        <w:autoSpaceDE w:val="0"/>
        <w:autoSpaceDN w:val="0"/>
        <w:adjustRightInd w:val="0"/>
        <w:jc w:val="center"/>
      </w:pPr>
    </w:p>
    <w:p w14:paraId="49AEF3D9" w14:textId="77777777" w:rsidR="00477B8F" w:rsidRPr="009118AB" w:rsidRDefault="00477B8F" w:rsidP="00477B8F">
      <w:pPr>
        <w:autoSpaceDE w:val="0"/>
        <w:autoSpaceDN w:val="0"/>
        <w:adjustRightInd w:val="0"/>
        <w:jc w:val="center"/>
      </w:pPr>
    </w:p>
    <w:p w14:paraId="57CDA286" w14:textId="1BCB311E" w:rsidR="00477B8F" w:rsidRPr="009118AB" w:rsidRDefault="00477B8F" w:rsidP="00477B8F">
      <w:pPr>
        <w:autoSpaceDE w:val="0"/>
        <w:autoSpaceDN w:val="0"/>
        <w:adjustRightInd w:val="0"/>
        <w:jc w:val="center"/>
      </w:pPr>
      <w:r w:rsidRPr="009118AB">
        <w:rPr>
          <w:i/>
          <w:iCs/>
        </w:rPr>
        <w:t>Abschnitt </w:t>
      </w:r>
      <w:r w:rsidR="00D74862" w:rsidRPr="009118AB">
        <w:rPr>
          <w:i/>
          <w:iCs/>
        </w:rPr>
        <w:t>1</w:t>
      </w:r>
      <w:r w:rsidR="00D67EB8" w:rsidRPr="009118AB">
        <w:rPr>
          <w:i/>
          <w:iCs/>
        </w:rPr>
        <w:t> - </w:t>
      </w:r>
      <w:r w:rsidRPr="009118AB">
        <w:t>Allgemeine Bestimmungen</w:t>
      </w:r>
    </w:p>
    <w:p w14:paraId="06E0CE97" w14:textId="77777777" w:rsidR="00477B8F" w:rsidRPr="009118AB" w:rsidRDefault="00477B8F" w:rsidP="00477B8F">
      <w:pPr>
        <w:autoSpaceDE w:val="0"/>
        <w:autoSpaceDN w:val="0"/>
        <w:adjustRightInd w:val="0"/>
        <w:jc w:val="center"/>
      </w:pPr>
    </w:p>
    <w:p w14:paraId="79623D82" w14:textId="77777777" w:rsidR="00477B8F" w:rsidRPr="009118AB" w:rsidRDefault="00477B8F" w:rsidP="00477B8F">
      <w:pPr>
        <w:autoSpaceDE w:val="0"/>
        <w:autoSpaceDN w:val="0"/>
        <w:adjustRightInd w:val="0"/>
        <w:jc w:val="center"/>
      </w:pPr>
    </w:p>
    <w:p w14:paraId="48DEAF71" w14:textId="6523390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249</w:t>
      </w:r>
      <w:r w:rsidR="00D67EB8" w:rsidRPr="009118AB">
        <w:t> - </w:t>
      </w:r>
      <w:r w:rsidRPr="009118AB">
        <w:t>Die Steuer wird gemäß den nachfolgenden Unterscheidungen und Modalitäten per Vorabzug erhoben in dem Maße, wie sie sich auf Einkünfte aus in Belgien gelegenen unbeweglichen Gütern, auf Einkünfte aus Kapitalvermögen und beweglichen Gütern, auf Berufseinkünfte oder auf verschiedene Einkünfte bezieht.</w:t>
      </w:r>
    </w:p>
    <w:p w14:paraId="21FD6EC6" w14:textId="77777777" w:rsidR="00477B8F" w:rsidRPr="009118AB" w:rsidRDefault="00477B8F" w:rsidP="00477B8F">
      <w:pPr>
        <w:autoSpaceDE w:val="0"/>
        <w:autoSpaceDN w:val="0"/>
        <w:adjustRightInd w:val="0"/>
        <w:jc w:val="both"/>
      </w:pPr>
    </w:p>
    <w:p w14:paraId="128F6AEA" w14:textId="77777777" w:rsidR="00477B8F" w:rsidRPr="009118AB" w:rsidRDefault="00477B8F" w:rsidP="00477B8F">
      <w:pPr>
        <w:autoSpaceDE w:val="0"/>
        <w:autoSpaceDN w:val="0"/>
        <w:adjustRightInd w:val="0"/>
        <w:jc w:val="both"/>
      </w:pPr>
      <w:r w:rsidRPr="009118AB">
        <w:tab/>
        <w:t>Diese Vorabzüge werden durch folgende Ausdrücke bezeichnet: Immobiliensteuervorabzug, Mobiliensteuervorabzug beziehungsweise Berufssteuervorabzug.</w:t>
      </w:r>
    </w:p>
    <w:p w14:paraId="23054357" w14:textId="77777777" w:rsidR="00477B8F" w:rsidRPr="009118AB" w:rsidRDefault="00477B8F" w:rsidP="00477B8F">
      <w:pPr>
        <w:autoSpaceDE w:val="0"/>
        <w:autoSpaceDN w:val="0"/>
        <w:adjustRightInd w:val="0"/>
        <w:jc w:val="both"/>
      </w:pPr>
    </w:p>
    <w:p w14:paraId="1BF51A27" w14:textId="77777777" w:rsidR="00477B8F" w:rsidRPr="009118AB" w:rsidRDefault="00477B8F" w:rsidP="00477B8F">
      <w:pPr>
        <w:autoSpaceDE w:val="0"/>
        <w:autoSpaceDN w:val="0"/>
        <w:adjustRightInd w:val="0"/>
        <w:jc w:val="both"/>
      </w:pPr>
    </w:p>
    <w:p w14:paraId="24F910D4" w14:textId="6DF22853"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250</w:t>
      </w:r>
      <w:r w:rsidR="00D67EB8" w:rsidRPr="009118AB">
        <w:t> - </w:t>
      </w:r>
      <w:r w:rsidRPr="009118AB">
        <w:t>Der König bestimmt, wie der Mobiliensteuervorabzug und der Berufssteuervorabzug gezahlt werden.</w:t>
      </w:r>
    </w:p>
    <w:p w14:paraId="02075383" w14:textId="2C738EE0" w:rsidR="00477B8F" w:rsidRPr="009118AB" w:rsidRDefault="00477B8F" w:rsidP="00477B8F">
      <w:pPr>
        <w:autoSpaceDE w:val="0"/>
        <w:autoSpaceDN w:val="0"/>
        <w:adjustRightInd w:val="0"/>
        <w:jc w:val="center"/>
      </w:pPr>
      <w:r w:rsidRPr="009118AB">
        <w:br w:type="page"/>
      </w:r>
      <w:r w:rsidRPr="009118AB">
        <w:rPr>
          <w:i/>
          <w:iCs/>
        </w:rPr>
        <w:lastRenderedPageBreak/>
        <w:t>Abschnitt </w:t>
      </w:r>
      <w:r w:rsidR="00D74862" w:rsidRPr="009118AB">
        <w:rPr>
          <w:i/>
          <w:iCs/>
        </w:rPr>
        <w:t>2</w:t>
      </w:r>
      <w:r w:rsidR="00D67EB8" w:rsidRPr="009118AB">
        <w:t> - </w:t>
      </w:r>
      <w:r w:rsidRPr="009118AB">
        <w:t>Immobiliensteuervorabzug</w:t>
      </w:r>
    </w:p>
    <w:p w14:paraId="6E1B686F" w14:textId="77777777" w:rsidR="00477B8F" w:rsidRPr="009118AB" w:rsidRDefault="00477B8F" w:rsidP="00477B8F">
      <w:pPr>
        <w:autoSpaceDE w:val="0"/>
        <w:autoSpaceDN w:val="0"/>
        <w:adjustRightInd w:val="0"/>
        <w:jc w:val="center"/>
      </w:pPr>
    </w:p>
    <w:p w14:paraId="2C824BBC" w14:textId="77777777" w:rsidR="00477B8F" w:rsidRPr="009118AB" w:rsidRDefault="00477B8F" w:rsidP="00477B8F">
      <w:pPr>
        <w:autoSpaceDE w:val="0"/>
        <w:autoSpaceDN w:val="0"/>
        <w:adjustRightInd w:val="0"/>
        <w:jc w:val="center"/>
      </w:pPr>
    </w:p>
    <w:p w14:paraId="1DA03AF3" w14:textId="06C373E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251</w:t>
      </w:r>
      <w:r w:rsidR="00D67EB8" w:rsidRPr="009118AB">
        <w:t> - </w:t>
      </w:r>
      <w:r w:rsidRPr="009118AB">
        <w:t>Der Immobiliensteuervorabzug wird gemäß den vom König festgelegten Modalitäten vom Eigentümer, Besitzer, Erbpächter, Erbbauberechtigten oder Nießbraucher der steuerpflichtigen Güter geschuldet.</w:t>
      </w:r>
    </w:p>
    <w:p w14:paraId="270232FA" w14:textId="77777777" w:rsidR="00477B8F" w:rsidRPr="009118AB" w:rsidRDefault="00477B8F" w:rsidP="00477B8F">
      <w:pPr>
        <w:autoSpaceDE w:val="0"/>
        <w:autoSpaceDN w:val="0"/>
        <w:adjustRightInd w:val="0"/>
        <w:jc w:val="both"/>
      </w:pPr>
    </w:p>
    <w:p w14:paraId="1A6A6B3A" w14:textId="77777777" w:rsidR="00477B8F" w:rsidRPr="009118AB" w:rsidRDefault="00477B8F" w:rsidP="00477B8F">
      <w:pPr>
        <w:autoSpaceDE w:val="0"/>
        <w:autoSpaceDN w:val="0"/>
        <w:adjustRightInd w:val="0"/>
        <w:jc w:val="both"/>
      </w:pPr>
    </w:p>
    <w:p w14:paraId="7FA051B4" w14:textId="63F4AE51"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252</w:t>
      </w:r>
      <w:r w:rsidR="00D67EB8" w:rsidRPr="009118AB">
        <w:t> - </w:t>
      </w:r>
      <w:r w:rsidRPr="009118AB">
        <w:t>[...]</w:t>
      </w:r>
    </w:p>
    <w:p w14:paraId="446B6B17" w14:textId="77777777" w:rsidR="00477B8F" w:rsidRPr="009118AB" w:rsidRDefault="00477B8F" w:rsidP="00477B8F">
      <w:pPr>
        <w:autoSpaceDE w:val="0"/>
        <w:autoSpaceDN w:val="0"/>
        <w:adjustRightInd w:val="0"/>
        <w:jc w:val="both"/>
      </w:pPr>
    </w:p>
    <w:p w14:paraId="67F81F34" w14:textId="27257BE6"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252 aufgehoben durch </w:t>
      </w:r>
      <w:r w:rsidR="00D67EB8" w:rsidRPr="009118AB">
        <w:rPr>
          <w:i/>
          <w:iCs/>
        </w:rPr>
        <w:t>Art. </w:t>
      </w:r>
      <w:r w:rsidRPr="009118AB">
        <w:rPr>
          <w:i/>
          <w:iCs/>
        </w:rPr>
        <w:t>47 des G. vom 10. August 2001 (B.S. vom 20. September 2001)</w:t>
      </w:r>
      <w:r w:rsidR="00D67EB8" w:rsidRPr="009118AB">
        <w:rPr>
          <w:i/>
          <w:iCs/>
        </w:rPr>
        <w:t> - </w:t>
      </w:r>
      <w:r w:rsidRPr="009118AB">
        <w:rPr>
          <w:i/>
          <w:iCs/>
        </w:rPr>
        <w:t>in Kraft ab dem Steuerjahr 2002</w:t>
      </w:r>
      <w:r w:rsidR="00FD68E8" w:rsidRPr="009118AB">
        <w:rPr>
          <w:i/>
          <w:iCs/>
        </w:rPr>
        <w:t> -]</w:t>
      </w:r>
    </w:p>
    <w:p w14:paraId="34D20387" w14:textId="77777777" w:rsidR="00477B8F" w:rsidRPr="009118AB" w:rsidRDefault="00477B8F" w:rsidP="00477B8F">
      <w:pPr>
        <w:autoSpaceDE w:val="0"/>
        <w:autoSpaceDN w:val="0"/>
        <w:adjustRightInd w:val="0"/>
        <w:jc w:val="both"/>
      </w:pPr>
    </w:p>
    <w:p w14:paraId="77DE329F" w14:textId="77777777" w:rsidR="00477B8F" w:rsidRPr="009118AB" w:rsidRDefault="00477B8F" w:rsidP="00477B8F">
      <w:pPr>
        <w:autoSpaceDE w:val="0"/>
        <w:autoSpaceDN w:val="0"/>
        <w:adjustRightInd w:val="0"/>
        <w:jc w:val="both"/>
      </w:pPr>
    </w:p>
    <w:p w14:paraId="22490323" w14:textId="39636C3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253</w:t>
      </w:r>
      <w:r w:rsidR="00D67EB8" w:rsidRPr="009118AB">
        <w:t> - </w:t>
      </w:r>
      <w:r w:rsidRPr="009118AB">
        <w:t>[Vom Immobiliensteuervorabzug befreit ist das Katastereinkommen:</w:t>
      </w:r>
    </w:p>
    <w:p w14:paraId="660A157A" w14:textId="77777777" w:rsidR="00477B8F" w:rsidRPr="009118AB" w:rsidRDefault="00477B8F" w:rsidP="00477B8F">
      <w:pPr>
        <w:autoSpaceDE w:val="0"/>
        <w:autoSpaceDN w:val="0"/>
        <w:adjustRightInd w:val="0"/>
        <w:jc w:val="both"/>
      </w:pPr>
    </w:p>
    <w:p w14:paraId="2BE6D944" w14:textId="738666BB" w:rsidR="00477B8F" w:rsidRPr="009118AB" w:rsidRDefault="00477B8F" w:rsidP="00477B8F">
      <w:pPr>
        <w:autoSpaceDE w:val="0"/>
        <w:autoSpaceDN w:val="0"/>
        <w:adjustRightInd w:val="0"/>
        <w:jc w:val="both"/>
      </w:pPr>
      <w:r w:rsidRPr="009118AB">
        <w:tab/>
        <w:t xml:space="preserve">1. in Artikel 12 </w:t>
      </w:r>
      <w:r w:rsidR="00D67EB8" w:rsidRPr="009118AB">
        <w:t>§ </w:t>
      </w:r>
      <w:r w:rsidRPr="009118AB">
        <w:t>1 erwähnter unbeweglicher Güter oder Teile von unbeweglichen Gütern,</w:t>
      </w:r>
    </w:p>
    <w:p w14:paraId="5229C76A" w14:textId="77777777" w:rsidR="00477B8F" w:rsidRPr="009118AB" w:rsidRDefault="00477B8F" w:rsidP="00477B8F">
      <w:pPr>
        <w:autoSpaceDE w:val="0"/>
        <w:autoSpaceDN w:val="0"/>
        <w:adjustRightInd w:val="0"/>
        <w:jc w:val="both"/>
      </w:pPr>
    </w:p>
    <w:p w14:paraId="27D412D0" w14:textId="16CE3E9B" w:rsidR="00477B8F" w:rsidRPr="009118AB" w:rsidRDefault="00477B8F" w:rsidP="00477B8F">
      <w:pPr>
        <w:autoSpaceDE w:val="0"/>
        <w:autoSpaceDN w:val="0"/>
        <w:adjustRightInd w:val="0"/>
        <w:jc w:val="both"/>
      </w:pPr>
      <w:r w:rsidRPr="009118AB">
        <w:tab/>
        <w:t xml:space="preserve">2. [in Artikel 231 </w:t>
      </w:r>
      <w:r w:rsidR="00D67EB8" w:rsidRPr="009118AB">
        <w:t>§ </w:t>
      </w:r>
      <w:r w:rsidRPr="009118AB">
        <w:t xml:space="preserve">1 </w:t>
      </w:r>
      <w:r w:rsidR="00D67EB8" w:rsidRPr="009118AB">
        <w:t>Nr. </w:t>
      </w:r>
      <w:r w:rsidRPr="009118AB">
        <w:t>1] erwähnter unbeweglicher Güter,</w:t>
      </w:r>
    </w:p>
    <w:p w14:paraId="0DE27F38" w14:textId="77777777" w:rsidR="00477B8F" w:rsidRPr="009118AB" w:rsidRDefault="00477B8F" w:rsidP="00477B8F">
      <w:pPr>
        <w:autoSpaceDE w:val="0"/>
        <w:autoSpaceDN w:val="0"/>
        <w:adjustRightInd w:val="0"/>
        <w:jc w:val="both"/>
      </w:pPr>
    </w:p>
    <w:p w14:paraId="45375006" w14:textId="77777777" w:rsidR="00477B8F" w:rsidRPr="009118AB" w:rsidRDefault="00477B8F" w:rsidP="00477B8F">
      <w:pPr>
        <w:autoSpaceDE w:val="0"/>
        <w:autoSpaceDN w:val="0"/>
        <w:adjustRightInd w:val="0"/>
        <w:jc w:val="both"/>
      </w:pPr>
      <w:r w:rsidRPr="009118AB">
        <w:tab/>
        <w:t>3. unbeweglicher Güter, die die Beschaffenheit nationalen Eigentums haben, selbst ertraglos sind und für einen öffentlichen Dienst oder einen Dienst allgemeinen Interesses genutzt werden; für diese Steuerbefreiung müssen diese drei Bedingungen zusammen erfüllt sein.]</w:t>
      </w:r>
    </w:p>
    <w:p w14:paraId="7605D75C" w14:textId="77777777" w:rsidR="00477B8F" w:rsidRPr="009118AB" w:rsidRDefault="00477B8F" w:rsidP="00477B8F">
      <w:pPr>
        <w:autoSpaceDE w:val="0"/>
        <w:autoSpaceDN w:val="0"/>
        <w:adjustRightInd w:val="0"/>
        <w:jc w:val="both"/>
      </w:pPr>
    </w:p>
    <w:p w14:paraId="5923D4D0" w14:textId="2E1BF98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253 ersetzt durch </w:t>
      </w:r>
      <w:r w:rsidR="00D67EB8" w:rsidRPr="009118AB">
        <w:rPr>
          <w:i/>
          <w:iCs/>
        </w:rPr>
        <w:t>Art. </w:t>
      </w:r>
      <w:r w:rsidRPr="009118AB">
        <w:rPr>
          <w:i/>
          <w:iCs/>
        </w:rPr>
        <w:t>38 des G. vom 6. Juli 1994 (B.S. vom 16. Juli 1994)</w:t>
      </w:r>
      <w:r w:rsidR="00D67EB8" w:rsidRPr="009118AB">
        <w:rPr>
          <w:i/>
          <w:iCs/>
        </w:rPr>
        <w:t> - </w:t>
      </w:r>
      <w:r w:rsidRPr="009118AB">
        <w:rPr>
          <w:i/>
          <w:iCs/>
        </w:rPr>
        <w:t>in Kraft ab dem Steuerjahr 1992</w:t>
      </w:r>
      <w:r w:rsidR="00FD68E8" w:rsidRPr="009118AB">
        <w:rPr>
          <w:i/>
          <w:iCs/>
        </w:rPr>
        <w:t> -,</w:t>
      </w:r>
      <w:r w:rsidRPr="009118AB">
        <w:rPr>
          <w:i/>
          <w:iCs/>
        </w:rPr>
        <w:t xml:space="preserve"> einziger Absatz </w:t>
      </w:r>
      <w:r w:rsidR="00D67EB8" w:rsidRPr="009118AB">
        <w:rPr>
          <w:i/>
          <w:iCs/>
        </w:rPr>
        <w:t>Nr. </w:t>
      </w:r>
      <w:r w:rsidRPr="009118AB">
        <w:rPr>
          <w:i/>
          <w:iCs/>
        </w:rPr>
        <w:t xml:space="preserve">2 abgeändert durch </w:t>
      </w:r>
      <w:r w:rsidR="00D67EB8" w:rsidRPr="009118AB">
        <w:rPr>
          <w:i/>
          <w:iCs/>
        </w:rPr>
        <w:t>Art. </w:t>
      </w:r>
      <w:r w:rsidRPr="009118AB">
        <w:rPr>
          <w:i/>
          <w:iCs/>
        </w:rPr>
        <w:t>39 des G. vom 22. Dezember 1998 (B.S. vom 15. Januar 1999)</w:t>
      </w:r>
      <w:r w:rsidR="00D67EB8" w:rsidRPr="009118AB">
        <w:rPr>
          <w:i/>
          <w:iCs/>
        </w:rPr>
        <w:t> - </w:t>
      </w:r>
      <w:r w:rsidRPr="009118AB">
        <w:rPr>
          <w:i/>
          <w:iCs/>
        </w:rPr>
        <w:t>anwendbar ab dem Steuerjahr 1993</w:t>
      </w:r>
      <w:r w:rsidR="00FD68E8" w:rsidRPr="009118AB">
        <w:rPr>
          <w:i/>
          <w:iCs/>
        </w:rPr>
        <w:t> -]</w:t>
      </w:r>
    </w:p>
    <w:p w14:paraId="4EA81B16" w14:textId="77777777" w:rsidR="00477B8F" w:rsidRPr="009118AB" w:rsidRDefault="00477B8F" w:rsidP="00477B8F">
      <w:pPr>
        <w:autoSpaceDE w:val="0"/>
        <w:autoSpaceDN w:val="0"/>
        <w:adjustRightInd w:val="0"/>
        <w:jc w:val="both"/>
      </w:pPr>
    </w:p>
    <w:p w14:paraId="2223E792" w14:textId="77777777" w:rsidR="00477B8F" w:rsidRPr="009118AB" w:rsidRDefault="00477B8F" w:rsidP="00477B8F">
      <w:pPr>
        <w:autoSpaceDE w:val="0"/>
        <w:autoSpaceDN w:val="0"/>
        <w:adjustRightInd w:val="0"/>
        <w:jc w:val="both"/>
      </w:pPr>
    </w:p>
    <w:p w14:paraId="567797F1" w14:textId="41240924"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254</w:t>
      </w:r>
      <w:r w:rsidR="00D67EB8" w:rsidRPr="009118AB">
        <w:t> - </w:t>
      </w:r>
      <w:r w:rsidRPr="009118AB">
        <w:t>Das Steuerjahr des Immobiliensteuervorabzugs wird durch die Jahreszahl des Jahres bestimmt, dessen Einkünfte als Grundlage für vorerwähnten Vorabzug dienen.</w:t>
      </w:r>
    </w:p>
    <w:p w14:paraId="450CD277" w14:textId="77777777" w:rsidR="00477B8F" w:rsidRPr="009118AB" w:rsidRDefault="00477B8F" w:rsidP="00477B8F">
      <w:pPr>
        <w:autoSpaceDE w:val="0"/>
        <w:autoSpaceDN w:val="0"/>
        <w:adjustRightInd w:val="0"/>
        <w:jc w:val="both"/>
      </w:pPr>
    </w:p>
    <w:p w14:paraId="17F2F7E0" w14:textId="77777777" w:rsidR="00477B8F" w:rsidRPr="009118AB" w:rsidRDefault="00477B8F" w:rsidP="00477B8F">
      <w:pPr>
        <w:autoSpaceDE w:val="0"/>
        <w:autoSpaceDN w:val="0"/>
        <w:adjustRightInd w:val="0"/>
        <w:jc w:val="both"/>
      </w:pPr>
    </w:p>
    <w:p w14:paraId="5F1BFB47" w14:textId="1E30D1D2"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255</w:t>
      </w:r>
      <w:r w:rsidR="00D67EB8" w:rsidRPr="009118AB">
        <w:t> - </w:t>
      </w:r>
      <w:r w:rsidRPr="009118AB">
        <w:t>Der Immobiliensteuervorabzug beträgt 1,25 Prozent des Katastereinkommens, wie es am 1. Januar des Steuerjahres festgelegt ist.</w:t>
      </w:r>
    </w:p>
    <w:p w14:paraId="4F83C7C1" w14:textId="77777777" w:rsidR="00477B8F" w:rsidRPr="009118AB" w:rsidRDefault="00477B8F" w:rsidP="00477B8F">
      <w:pPr>
        <w:autoSpaceDE w:val="0"/>
        <w:autoSpaceDN w:val="0"/>
        <w:adjustRightInd w:val="0"/>
        <w:jc w:val="both"/>
      </w:pPr>
    </w:p>
    <w:p w14:paraId="0D9325B6" w14:textId="77777777" w:rsidR="00477B8F" w:rsidRPr="009118AB" w:rsidRDefault="00477B8F" w:rsidP="00477B8F">
      <w:pPr>
        <w:autoSpaceDE w:val="0"/>
        <w:autoSpaceDN w:val="0"/>
        <w:adjustRightInd w:val="0"/>
        <w:jc w:val="both"/>
      </w:pPr>
      <w:r w:rsidRPr="009118AB">
        <w:tab/>
        <w:t>Dieser Satz wird auf 0,8 Prozent gesenkt für Wohnungen, die Baugesellschaften gehören, die von der Nationalen Wohnungsbaugesellschaft oder der Allgemeinen Spar</w:t>
      </w:r>
      <w:r w:rsidRPr="009118AB">
        <w:noBreakHyphen/>
        <w:t xml:space="preserve"> und Rentenkasse zugelassen sind, für Eigentume, die als Sozialwohnungen vermietet werden und öffentlichen Sozialhilfezentren [...] oder Gemeinden gehören, und für Eigentume, die der Nationalen Grundstücksgesellschaft oder von ihr zugelassenen Gesellschaften gehören und als Sozialwohnungen vermietet sind.</w:t>
      </w:r>
    </w:p>
    <w:p w14:paraId="611A6E7D" w14:textId="77777777" w:rsidR="00477B8F" w:rsidRPr="009118AB" w:rsidRDefault="00477B8F" w:rsidP="00477B8F">
      <w:pPr>
        <w:autoSpaceDE w:val="0"/>
        <w:autoSpaceDN w:val="0"/>
        <w:adjustRightInd w:val="0"/>
        <w:jc w:val="both"/>
      </w:pPr>
    </w:p>
    <w:p w14:paraId="4E0D942A" w14:textId="7ABC883C"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255 </w:t>
      </w:r>
      <w:r w:rsidR="00D67EB8" w:rsidRPr="009118AB">
        <w:rPr>
          <w:i/>
          <w:iCs/>
        </w:rPr>
        <w:t>Abs. </w:t>
      </w:r>
      <w:r w:rsidRPr="009118AB">
        <w:rPr>
          <w:i/>
          <w:iCs/>
        </w:rPr>
        <w:t xml:space="preserve">2 abgeändert durch </w:t>
      </w:r>
      <w:r w:rsidR="00D67EB8" w:rsidRPr="009118AB">
        <w:rPr>
          <w:i/>
          <w:iCs/>
        </w:rPr>
        <w:t>Art. </w:t>
      </w:r>
      <w:r w:rsidRPr="009118AB">
        <w:rPr>
          <w:i/>
          <w:iCs/>
        </w:rPr>
        <w:t>39 des G. vom 6. Juli 1994 (B.S. vom 16. Juli 1994)]</w:t>
      </w:r>
    </w:p>
    <w:p w14:paraId="79F9F887" w14:textId="3735DD7F" w:rsidR="00477B8F" w:rsidRPr="009118AB" w:rsidRDefault="00477B8F" w:rsidP="00477B8F">
      <w:pPr>
        <w:autoSpaceDE w:val="0"/>
        <w:autoSpaceDN w:val="0"/>
        <w:adjustRightInd w:val="0"/>
        <w:jc w:val="both"/>
      </w:pPr>
      <w:r w:rsidRPr="009118AB">
        <w:br w:type="page"/>
      </w:r>
      <w:r w:rsidRPr="009118AB">
        <w:lastRenderedPageBreak/>
        <w:tab/>
      </w:r>
      <w:r w:rsidR="00D67EB8" w:rsidRPr="009118AB">
        <w:rPr>
          <w:b/>
          <w:bCs/>
        </w:rPr>
        <w:t>Art. </w:t>
      </w:r>
      <w:r w:rsidRPr="009118AB">
        <w:rPr>
          <w:b/>
          <w:bCs/>
        </w:rPr>
        <w:t>256</w:t>
      </w:r>
      <w:r w:rsidR="00D67EB8" w:rsidRPr="009118AB">
        <w:t> - </w:t>
      </w:r>
      <w:r w:rsidRPr="009118AB">
        <w:t>[Für die Festlegung des Immobiliensteuervorabzugs werden in Artikel 15 erwähnte Verringerungen nicht berücksichtigt.]</w:t>
      </w:r>
    </w:p>
    <w:p w14:paraId="05C05B1E" w14:textId="77777777" w:rsidR="00477B8F" w:rsidRPr="009118AB" w:rsidRDefault="00477B8F" w:rsidP="00477B8F">
      <w:pPr>
        <w:autoSpaceDE w:val="0"/>
        <w:autoSpaceDN w:val="0"/>
        <w:adjustRightInd w:val="0"/>
        <w:jc w:val="both"/>
      </w:pPr>
    </w:p>
    <w:p w14:paraId="3F743BFB" w14:textId="0E199D77"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256 ersetzt durch </w:t>
      </w:r>
      <w:r w:rsidR="00D67EB8" w:rsidRPr="009118AB">
        <w:rPr>
          <w:i/>
          <w:iCs/>
        </w:rPr>
        <w:t>Art. </w:t>
      </w:r>
      <w:r w:rsidRPr="009118AB">
        <w:rPr>
          <w:i/>
          <w:iCs/>
        </w:rPr>
        <w:t>406 des G. vom 27. Dezember 2004 (B.S. vom 31. Dezember 2004)</w:t>
      </w:r>
      <w:r w:rsidR="00D67EB8" w:rsidRPr="009118AB">
        <w:rPr>
          <w:i/>
          <w:iCs/>
        </w:rPr>
        <w:t> - </w:t>
      </w:r>
      <w:r w:rsidRPr="009118AB">
        <w:rPr>
          <w:i/>
          <w:iCs/>
        </w:rPr>
        <w:t>in Kraft ab dem Steuerjahr 2006</w:t>
      </w:r>
      <w:r w:rsidR="00FD68E8" w:rsidRPr="009118AB">
        <w:rPr>
          <w:i/>
          <w:iCs/>
        </w:rPr>
        <w:t> -]</w:t>
      </w:r>
    </w:p>
    <w:p w14:paraId="692DDADB" w14:textId="77777777" w:rsidR="00477B8F" w:rsidRPr="009118AB" w:rsidRDefault="00477B8F" w:rsidP="00477B8F">
      <w:pPr>
        <w:autoSpaceDE w:val="0"/>
        <w:autoSpaceDN w:val="0"/>
        <w:adjustRightInd w:val="0"/>
        <w:jc w:val="both"/>
      </w:pPr>
    </w:p>
    <w:p w14:paraId="1F31F920" w14:textId="77777777" w:rsidR="00477B8F" w:rsidRPr="009118AB" w:rsidRDefault="00477B8F" w:rsidP="00477B8F">
      <w:pPr>
        <w:autoSpaceDE w:val="0"/>
        <w:autoSpaceDN w:val="0"/>
        <w:adjustRightInd w:val="0"/>
        <w:jc w:val="both"/>
      </w:pPr>
    </w:p>
    <w:p w14:paraId="5B2EF3E0" w14:textId="0D57D23A"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257</w:t>
      </w:r>
      <w:r w:rsidR="00D67EB8" w:rsidRPr="009118AB">
        <w:t> - </w:t>
      </w:r>
      <w:r w:rsidRPr="009118AB">
        <w:t>Auf Antrag des Steuerpflichtigen werden folgende Ermäßigungen gewährt:</w:t>
      </w:r>
    </w:p>
    <w:p w14:paraId="334EBB82" w14:textId="77777777" w:rsidR="00477B8F" w:rsidRPr="009118AB" w:rsidRDefault="00477B8F" w:rsidP="00477B8F">
      <w:pPr>
        <w:autoSpaceDE w:val="0"/>
        <w:autoSpaceDN w:val="0"/>
        <w:adjustRightInd w:val="0"/>
        <w:jc w:val="both"/>
      </w:pPr>
    </w:p>
    <w:p w14:paraId="6E7C299D" w14:textId="77777777" w:rsidR="00477B8F" w:rsidRPr="009118AB" w:rsidRDefault="00477B8F" w:rsidP="00477B8F">
      <w:pPr>
        <w:autoSpaceDE w:val="0"/>
        <w:autoSpaceDN w:val="0"/>
        <w:adjustRightInd w:val="0"/>
        <w:jc w:val="both"/>
      </w:pPr>
      <w:r w:rsidRPr="009118AB">
        <w:tab/>
        <w:t>1. eine Ermäßigung um ein Viertel des Immobiliensteuervorabzugs in Bezug auf die vom Steuerpflichtigen vollständig bewohnte Wohnung, wenn das Katastereinkommen der Gesamtheit seiner in Belgien gelegenen unbeweglichen Güter [745 EUR] nicht übersteigt.</w:t>
      </w:r>
    </w:p>
    <w:p w14:paraId="2C555F80" w14:textId="77777777" w:rsidR="00477B8F" w:rsidRPr="009118AB" w:rsidRDefault="00477B8F" w:rsidP="00477B8F">
      <w:pPr>
        <w:autoSpaceDE w:val="0"/>
        <w:autoSpaceDN w:val="0"/>
        <w:adjustRightInd w:val="0"/>
        <w:jc w:val="both"/>
      </w:pPr>
    </w:p>
    <w:p w14:paraId="623D87E4" w14:textId="77777777" w:rsidR="00477B8F" w:rsidRPr="009118AB" w:rsidRDefault="00477B8F" w:rsidP="00477B8F">
      <w:pPr>
        <w:autoSpaceDE w:val="0"/>
        <w:autoSpaceDN w:val="0"/>
        <w:adjustRightInd w:val="0"/>
        <w:jc w:val="both"/>
      </w:pPr>
      <w:r w:rsidRPr="009118AB">
        <w:tab/>
        <w:t>Diese Ermäßigung wird auf 50 Prozent erhöht für einen Zeitraum von fünf Jahren, der im ersten Jahr beginnt, für das der Immobiliensteuervorabzug geschuldet wird, sofern es sich um eine Wohnung handelt, die der Steuerpflichtige hat bauen lassen oder im Neuzustand gekauft hat, ohne eine in den diesbezüglichen Rechtsvorschriften vorgesehene Bau- oder Kaufprämie erhalten zu haben,</w:t>
      </w:r>
    </w:p>
    <w:p w14:paraId="6D932039" w14:textId="77777777" w:rsidR="00477B8F" w:rsidRPr="009118AB" w:rsidRDefault="00477B8F" w:rsidP="00477B8F">
      <w:pPr>
        <w:autoSpaceDE w:val="0"/>
        <w:autoSpaceDN w:val="0"/>
        <w:adjustRightInd w:val="0"/>
        <w:jc w:val="both"/>
      </w:pPr>
    </w:p>
    <w:p w14:paraId="40482836" w14:textId="46C6D443" w:rsidR="00477B8F" w:rsidRPr="009118AB" w:rsidRDefault="00477B8F" w:rsidP="00477B8F">
      <w:pPr>
        <w:autoSpaceDE w:val="0"/>
        <w:autoSpaceDN w:val="0"/>
        <w:adjustRightInd w:val="0"/>
        <w:jc w:val="both"/>
      </w:pPr>
      <w:r w:rsidRPr="009118AB">
        <w:tab/>
        <w:t xml:space="preserve">2. eine Ermäßigung des Immobiliensteuervorabzugs in Bezug auf die von einem schweren Kriegsinvaliden, zu dessen Gunsten das Gesetz vom 13. Mai 1929 oder Artikel 13 der am 5. Oktober 1948 koordinierten Gesetze über die Entschädigungspensionen angewandt wird, [oder von einem Behinderten im Sinne von Artikel 135 Absatz 1 </w:t>
      </w:r>
      <w:r w:rsidR="00D67EB8" w:rsidRPr="009118AB">
        <w:t>Nr. </w:t>
      </w:r>
      <w:r w:rsidRPr="009118AB">
        <w:t xml:space="preserve">1] bewohnte Wohnung. </w:t>
      </w:r>
    </w:p>
    <w:p w14:paraId="2B3B830C" w14:textId="77777777" w:rsidR="00477B8F" w:rsidRPr="009118AB" w:rsidRDefault="00477B8F" w:rsidP="00477B8F">
      <w:pPr>
        <w:autoSpaceDE w:val="0"/>
        <w:autoSpaceDN w:val="0"/>
        <w:adjustRightInd w:val="0"/>
        <w:jc w:val="both"/>
      </w:pPr>
    </w:p>
    <w:p w14:paraId="251F3EA0" w14:textId="77777777" w:rsidR="00477B8F" w:rsidRPr="009118AB" w:rsidRDefault="00477B8F" w:rsidP="00477B8F">
      <w:pPr>
        <w:autoSpaceDE w:val="0"/>
        <w:autoSpaceDN w:val="0"/>
        <w:adjustRightInd w:val="0"/>
        <w:jc w:val="both"/>
      </w:pPr>
      <w:r w:rsidRPr="009118AB">
        <w:tab/>
        <w:t>Diese Ermäßigung beträgt 20 Prozent für einen schweren Kriegsinvaliden und 10 Prozent für einen Behinderten,</w:t>
      </w:r>
    </w:p>
    <w:p w14:paraId="3AB23CBE" w14:textId="77777777" w:rsidR="00477B8F" w:rsidRPr="009118AB" w:rsidRDefault="00477B8F" w:rsidP="00477B8F">
      <w:pPr>
        <w:autoSpaceDE w:val="0"/>
        <w:autoSpaceDN w:val="0"/>
        <w:adjustRightInd w:val="0"/>
        <w:jc w:val="both"/>
      </w:pPr>
    </w:p>
    <w:p w14:paraId="62D11CD6" w14:textId="77777777" w:rsidR="00477B8F" w:rsidRPr="009118AB" w:rsidRDefault="00477B8F" w:rsidP="00477B8F">
      <w:pPr>
        <w:autoSpaceDE w:val="0"/>
        <w:autoSpaceDN w:val="0"/>
        <w:adjustRightInd w:val="0"/>
        <w:jc w:val="both"/>
      </w:pPr>
      <w:r w:rsidRPr="009118AB">
        <w:tab/>
        <w:t>3. eine Ermäßigung des Immobiliensteuervorabzugs in Bezug auf das unbewegliche Gut, das vom Oberhaupt einer Familie bewohnt wird, zu der mindestens zwei lebende Kinder [oder ein Behinderter im Sinne von Artikel 135 Absatz 1] gehören.</w:t>
      </w:r>
    </w:p>
    <w:p w14:paraId="0B4C3974" w14:textId="77777777" w:rsidR="00477B8F" w:rsidRPr="009118AB" w:rsidRDefault="00477B8F" w:rsidP="00477B8F">
      <w:pPr>
        <w:autoSpaceDE w:val="0"/>
        <w:autoSpaceDN w:val="0"/>
        <w:adjustRightInd w:val="0"/>
        <w:jc w:val="both"/>
      </w:pPr>
    </w:p>
    <w:p w14:paraId="0644C659" w14:textId="77777777" w:rsidR="00477B8F" w:rsidRPr="009118AB" w:rsidRDefault="00477B8F" w:rsidP="00477B8F">
      <w:pPr>
        <w:autoSpaceDE w:val="0"/>
        <w:autoSpaceDN w:val="0"/>
        <w:adjustRightInd w:val="0"/>
        <w:jc w:val="both"/>
      </w:pPr>
      <w:r w:rsidRPr="009118AB">
        <w:tab/>
        <w:t>Diese Ermäßigung beträgt 10 Prozent für jedes nichtbehinderte Kind zu Lasten und 20 Prozent für jeden Behinderten zu Lasten einschließlich des Ehepartners.</w:t>
      </w:r>
    </w:p>
    <w:p w14:paraId="177A0872" w14:textId="77777777" w:rsidR="00477B8F" w:rsidRPr="009118AB" w:rsidRDefault="00477B8F" w:rsidP="00477B8F">
      <w:pPr>
        <w:autoSpaceDE w:val="0"/>
        <w:autoSpaceDN w:val="0"/>
        <w:adjustRightInd w:val="0"/>
        <w:jc w:val="both"/>
      </w:pPr>
    </w:p>
    <w:p w14:paraId="3FA2B529" w14:textId="77777777" w:rsidR="00477B8F" w:rsidRPr="009118AB" w:rsidRDefault="00477B8F" w:rsidP="00477B8F">
      <w:pPr>
        <w:autoSpaceDE w:val="0"/>
        <w:autoSpaceDN w:val="0"/>
        <w:adjustRightInd w:val="0"/>
        <w:jc w:val="both"/>
      </w:pPr>
      <w:r w:rsidRPr="009118AB">
        <w:tab/>
        <w:t>Kinder, die während der Feldzüge 1914-1918 oder 1940-1945 als Militärpersonen, Widerstandskämpfer, politische Gefangene oder zivile Kriegsopfer verstorben oder verschollen sind, werden gezählt, als ob sie noch am Leben wären,</w:t>
      </w:r>
    </w:p>
    <w:p w14:paraId="600CC520" w14:textId="77777777" w:rsidR="00B91D43" w:rsidRPr="009118AB" w:rsidRDefault="00B91D43" w:rsidP="00477B8F">
      <w:pPr>
        <w:autoSpaceDE w:val="0"/>
        <w:autoSpaceDN w:val="0"/>
        <w:adjustRightInd w:val="0"/>
      </w:pPr>
    </w:p>
    <w:p w14:paraId="64F357A8" w14:textId="77777777" w:rsidR="00477B8F" w:rsidRPr="009118AB" w:rsidRDefault="00477B8F" w:rsidP="00B91D43">
      <w:pPr>
        <w:autoSpaceDE w:val="0"/>
        <w:autoSpaceDN w:val="0"/>
        <w:adjustRightInd w:val="0"/>
        <w:jc w:val="both"/>
      </w:pPr>
      <w:r w:rsidRPr="009118AB">
        <w:tab/>
        <w:t>4. ein Erlass beziehungsweise eine proportionale Ermäßigung des Immobiliensteuervorabzugs in dem Maße, wie das steuerpflichtige Katastereinkommen aufgrund von Artikel 15 verringert werden kann.</w:t>
      </w:r>
    </w:p>
    <w:p w14:paraId="6676AB9C" w14:textId="77777777" w:rsidR="00477B8F" w:rsidRPr="009118AB" w:rsidRDefault="00477B8F" w:rsidP="00477B8F">
      <w:pPr>
        <w:autoSpaceDE w:val="0"/>
        <w:autoSpaceDN w:val="0"/>
        <w:adjustRightInd w:val="0"/>
        <w:jc w:val="both"/>
      </w:pPr>
    </w:p>
    <w:p w14:paraId="71A268DE" w14:textId="1D352142"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257 einziger Absatz </w:t>
      </w:r>
      <w:r w:rsidR="00D67EB8" w:rsidRPr="009118AB">
        <w:rPr>
          <w:i/>
          <w:iCs/>
        </w:rPr>
        <w:t>Nr. </w:t>
      </w:r>
      <w:r w:rsidRPr="009118AB">
        <w:rPr>
          <w:i/>
          <w:iCs/>
        </w:rPr>
        <w:t xml:space="preserve">1 </w:t>
      </w:r>
      <w:r w:rsidR="00D67EB8" w:rsidRPr="009118AB">
        <w:rPr>
          <w:i/>
          <w:iCs/>
        </w:rPr>
        <w:t>Abs. </w:t>
      </w:r>
      <w:r w:rsidRPr="009118AB">
        <w:rPr>
          <w:i/>
          <w:iCs/>
        </w:rPr>
        <w:t xml:space="preserve">1 abgeändert durch </w:t>
      </w:r>
      <w:r w:rsidR="00D67EB8" w:rsidRPr="009118AB">
        <w:rPr>
          <w:i/>
          <w:iCs/>
        </w:rPr>
        <w:t>Art. </w:t>
      </w:r>
      <w:r w:rsidRPr="009118AB">
        <w:rPr>
          <w:i/>
          <w:iCs/>
        </w:rPr>
        <w:t xml:space="preserve">1 des K.E. vom 20. Juli 2000 (II) </w:t>
      </w:r>
      <w:r w:rsidRPr="009118AB">
        <w:rPr>
          <w:rFonts w:ascii="Times New Roman Italique" w:hAnsi="Times New Roman Italique"/>
          <w:i/>
          <w:iCs/>
          <w:spacing w:val="-2"/>
        </w:rPr>
        <w:t>(B.S. vom 30. August 2000)</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2002</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selbst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5 des K.E. vom 13. Juli 2001 (B.S. vom 11. August 2001)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2002</w:t>
      </w:r>
      <w:r w:rsidR="003366D9" w:rsidRPr="009118AB">
        <w:rPr>
          <w:rFonts w:ascii="Times New Roman Italique" w:hAnsi="Times New Roman Italique"/>
          <w:i/>
          <w:iCs/>
          <w:spacing w:val="-2"/>
        </w:rPr>
        <w:t> -;</w:t>
      </w:r>
      <w:r w:rsidRPr="009118AB">
        <w:rPr>
          <w:i/>
          <w:iCs/>
        </w:rPr>
        <w:t xml:space="preserve"> einziger Absatz </w:t>
      </w:r>
      <w:r w:rsidR="00D67EB8" w:rsidRPr="009118AB">
        <w:rPr>
          <w:i/>
          <w:iCs/>
        </w:rPr>
        <w:t>Nr. </w:t>
      </w:r>
      <w:r w:rsidRPr="009118AB">
        <w:rPr>
          <w:i/>
          <w:iCs/>
        </w:rPr>
        <w:t xml:space="preserve">2 </w:t>
      </w:r>
      <w:r w:rsidR="00D67EB8" w:rsidRPr="009118AB">
        <w:rPr>
          <w:i/>
          <w:iCs/>
        </w:rPr>
        <w:t>Abs. </w:t>
      </w:r>
      <w:r w:rsidRPr="009118AB">
        <w:rPr>
          <w:i/>
          <w:iCs/>
        </w:rPr>
        <w:t xml:space="preserve">1 abgeändert durch </w:t>
      </w:r>
      <w:r w:rsidR="00D67EB8" w:rsidRPr="009118AB">
        <w:rPr>
          <w:i/>
          <w:iCs/>
        </w:rPr>
        <w:t>Art. </w:t>
      </w:r>
      <w:r w:rsidRPr="009118AB">
        <w:rPr>
          <w:i/>
          <w:iCs/>
        </w:rPr>
        <w:t xml:space="preserve">40 </w:t>
      </w:r>
      <w:r w:rsidR="00D67EB8" w:rsidRPr="009118AB">
        <w:rPr>
          <w:i/>
          <w:iCs/>
        </w:rPr>
        <w:t>Nr. </w:t>
      </w:r>
      <w:r w:rsidRPr="009118AB">
        <w:rPr>
          <w:i/>
          <w:iCs/>
        </w:rPr>
        <w:t>1 des G. vom 6. Juli 1994 (B.S. vom 16. Juli 1994)</w:t>
      </w:r>
      <w:r w:rsidR="00D67EB8" w:rsidRPr="009118AB">
        <w:rPr>
          <w:i/>
          <w:iCs/>
        </w:rPr>
        <w:t> - </w:t>
      </w:r>
      <w:r w:rsidRPr="009118AB">
        <w:rPr>
          <w:i/>
          <w:iCs/>
        </w:rPr>
        <w:t>anwendbar ab dem Steuerjahr 1992</w:t>
      </w:r>
      <w:r w:rsidR="003366D9" w:rsidRPr="009118AB">
        <w:rPr>
          <w:i/>
          <w:iCs/>
        </w:rPr>
        <w:t> -;</w:t>
      </w:r>
      <w:r w:rsidRPr="009118AB">
        <w:rPr>
          <w:i/>
          <w:iCs/>
        </w:rPr>
        <w:t xml:space="preserve"> einziger Absatz </w:t>
      </w:r>
      <w:r w:rsidR="00D67EB8" w:rsidRPr="009118AB">
        <w:rPr>
          <w:i/>
          <w:iCs/>
        </w:rPr>
        <w:t>Nr. </w:t>
      </w:r>
      <w:r w:rsidRPr="009118AB">
        <w:rPr>
          <w:i/>
          <w:iCs/>
        </w:rPr>
        <w:t xml:space="preserve">3 </w:t>
      </w:r>
      <w:r w:rsidR="00D67EB8" w:rsidRPr="009118AB">
        <w:rPr>
          <w:i/>
          <w:iCs/>
        </w:rPr>
        <w:t>Abs. </w:t>
      </w:r>
      <w:r w:rsidRPr="009118AB">
        <w:rPr>
          <w:i/>
          <w:iCs/>
        </w:rPr>
        <w:t xml:space="preserve">1 abgeändert durch </w:t>
      </w:r>
      <w:r w:rsidR="00D67EB8" w:rsidRPr="009118AB">
        <w:rPr>
          <w:i/>
          <w:iCs/>
        </w:rPr>
        <w:t>Art. </w:t>
      </w:r>
      <w:r w:rsidRPr="009118AB">
        <w:rPr>
          <w:i/>
          <w:iCs/>
        </w:rPr>
        <w:t xml:space="preserve">40 </w:t>
      </w:r>
      <w:r w:rsidR="00D67EB8" w:rsidRPr="009118AB">
        <w:rPr>
          <w:i/>
          <w:iCs/>
        </w:rPr>
        <w:t>Nr. </w:t>
      </w:r>
      <w:r w:rsidRPr="009118AB">
        <w:rPr>
          <w:i/>
          <w:iCs/>
        </w:rPr>
        <w:t>2 des G. vom 6. Juli 1994 (B.S.</w:t>
      </w:r>
      <w:r w:rsidR="00364E22" w:rsidRPr="009118AB">
        <w:rPr>
          <w:i/>
          <w:iCs/>
        </w:rPr>
        <w:t> </w:t>
      </w:r>
      <w:r w:rsidRPr="009118AB">
        <w:rPr>
          <w:i/>
          <w:iCs/>
        </w:rPr>
        <w:t>vom 16. Juli 1994)</w:t>
      </w:r>
      <w:r w:rsidR="00D67EB8" w:rsidRPr="009118AB">
        <w:rPr>
          <w:i/>
          <w:iCs/>
        </w:rPr>
        <w:t> - </w:t>
      </w:r>
      <w:r w:rsidRPr="009118AB">
        <w:rPr>
          <w:i/>
          <w:iCs/>
        </w:rPr>
        <w:t>anwendbar ab dem Steuerjahr 1992</w:t>
      </w:r>
      <w:r w:rsidR="00FD68E8" w:rsidRPr="009118AB">
        <w:rPr>
          <w:i/>
          <w:iCs/>
        </w:rPr>
        <w:t> -]</w:t>
      </w:r>
    </w:p>
    <w:p w14:paraId="7E9E0DBF" w14:textId="59C30E7C" w:rsidR="00477B8F" w:rsidRPr="009118AB" w:rsidRDefault="00477B8F" w:rsidP="00477B8F">
      <w:pPr>
        <w:autoSpaceDE w:val="0"/>
        <w:autoSpaceDN w:val="0"/>
        <w:adjustRightInd w:val="0"/>
        <w:jc w:val="both"/>
      </w:pPr>
      <w:r w:rsidRPr="009118AB">
        <w:lastRenderedPageBreak/>
        <w:tab/>
      </w:r>
      <w:r w:rsidR="00D67EB8" w:rsidRPr="009118AB">
        <w:rPr>
          <w:b/>
          <w:bCs/>
        </w:rPr>
        <w:t>Art. </w:t>
      </w:r>
      <w:r w:rsidRPr="009118AB">
        <w:rPr>
          <w:b/>
          <w:bCs/>
        </w:rPr>
        <w:t>258</w:t>
      </w:r>
      <w:r w:rsidR="00D67EB8" w:rsidRPr="009118AB">
        <w:t> - </w:t>
      </w:r>
      <w:r w:rsidRPr="009118AB">
        <w:t xml:space="preserve">In Artikel 257 </w:t>
      </w:r>
      <w:r w:rsidR="00D67EB8" w:rsidRPr="009118AB">
        <w:t>Nr. </w:t>
      </w:r>
      <w:r w:rsidRPr="009118AB">
        <w:t>1 bis 3 erwähnte Ermäßigungen sind gemäß der Situation zu berücksichtigen, die am 1. Januar des Jahres besteht, dessen Jahreszahl das Steuerjahr des Immobiliensteuervorabzugs bestimmt, und dürfen gleichzeitig angewandt werden.</w:t>
      </w:r>
    </w:p>
    <w:p w14:paraId="10825765" w14:textId="77777777" w:rsidR="00477B8F" w:rsidRPr="009118AB" w:rsidRDefault="00477B8F" w:rsidP="00477B8F">
      <w:pPr>
        <w:autoSpaceDE w:val="0"/>
        <w:autoSpaceDN w:val="0"/>
        <w:adjustRightInd w:val="0"/>
        <w:jc w:val="both"/>
      </w:pPr>
    </w:p>
    <w:p w14:paraId="735F6CAB" w14:textId="77777777" w:rsidR="00477B8F" w:rsidRPr="009118AB" w:rsidRDefault="00477B8F" w:rsidP="00477B8F">
      <w:pPr>
        <w:autoSpaceDE w:val="0"/>
        <w:autoSpaceDN w:val="0"/>
        <w:adjustRightInd w:val="0"/>
        <w:jc w:val="both"/>
      </w:pPr>
      <w:r w:rsidRPr="009118AB">
        <w:tab/>
        <w:t>Diese Ermäßigungen dürfen sich nur auf eine einzige Wohnung beziehen, die eventuell vom Betreffenden anzugeben ist; sie werden nicht für den Teil der Wohnung gewährt, der zur Ausübung einer Berufstätigkeit genutzt wird, wenn der diesbezügliche Teil des Einkommens ein Viertel des Katastereinkommens der ganzen Wohnung übersteigt.</w:t>
      </w:r>
    </w:p>
    <w:p w14:paraId="2ED8D80E" w14:textId="77777777" w:rsidR="00477B8F" w:rsidRPr="009118AB" w:rsidRDefault="00477B8F" w:rsidP="00477B8F">
      <w:pPr>
        <w:autoSpaceDE w:val="0"/>
        <w:autoSpaceDN w:val="0"/>
        <w:adjustRightInd w:val="0"/>
        <w:jc w:val="both"/>
      </w:pPr>
    </w:p>
    <w:p w14:paraId="4FE55558" w14:textId="77777777" w:rsidR="00477B8F" w:rsidRPr="009118AB" w:rsidRDefault="00477B8F" w:rsidP="00477B8F">
      <w:pPr>
        <w:autoSpaceDE w:val="0"/>
        <w:autoSpaceDN w:val="0"/>
        <w:adjustRightInd w:val="0"/>
        <w:jc w:val="both"/>
      </w:pPr>
    </w:p>
    <w:p w14:paraId="2C07FD04" w14:textId="10DC4270"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259</w:t>
      </w:r>
      <w:r w:rsidR="00D67EB8" w:rsidRPr="009118AB">
        <w:t> - </w:t>
      </w:r>
      <w:r w:rsidRPr="009118AB">
        <w:t xml:space="preserve">In Artikel 257 </w:t>
      </w:r>
      <w:r w:rsidR="00D67EB8" w:rsidRPr="009118AB">
        <w:t>Nr. </w:t>
      </w:r>
      <w:r w:rsidRPr="009118AB">
        <w:t>2 und 3 erwähnte Ermäßigungen sind vom Mietpreis abzugsfähig ungeachtet gegenteiliger Vereinbarung; sie sind nicht auf den Teil der Wohnung oder des unbeweglichen Gutes anwendbar, der von Personen bewohnt wird, die nicht Mitglied des Haushalts des betreffenden schweren Kriegsinvaliden, Behinderten oder Familienoberhaupts sind.</w:t>
      </w:r>
    </w:p>
    <w:p w14:paraId="49825972" w14:textId="77777777" w:rsidR="00477B8F" w:rsidRPr="009118AB" w:rsidRDefault="00477B8F" w:rsidP="00477B8F">
      <w:pPr>
        <w:autoSpaceDE w:val="0"/>
        <w:autoSpaceDN w:val="0"/>
        <w:adjustRightInd w:val="0"/>
        <w:jc w:val="both"/>
      </w:pPr>
    </w:p>
    <w:p w14:paraId="28AE3FD6" w14:textId="77777777" w:rsidR="00477B8F" w:rsidRPr="009118AB" w:rsidRDefault="00477B8F" w:rsidP="00477B8F">
      <w:pPr>
        <w:autoSpaceDE w:val="0"/>
        <w:autoSpaceDN w:val="0"/>
        <w:adjustRightInd w:val="0"/>
        <w:jc w:val="both"/>
      </w:pPr>
    </w:p>
    <w:p w14:paraId="3FD3AAEA" w14:textId="6CE95A4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260</w:t>
      </w:r>
      <w:r w:rsidR="00D67EB8" w:rsidRPr="009118AB">
        <w:t> - </w:t>
      </w:r>
      <w:r w:rsidRPr="009118AB">
        <w:t xml:space="preserve">Wird die in Artikel 257 </w:t>
      </w:r>
      <w:r w:rsidR="00D67EB8" w:rsidRPr="009118AB">
        <w:t>Nr. </w:t>
      </w:r>
      <w:r w:rsidRPr="009118AB">
        <w:t>1 erwähnte Grenze von [745 EUR] überschritten, wird die in dieser Bestimmung vorgesehene Ermäßigung um ein Viertel dennoch zugunsten des Steuerpflichtigen beibehalten, dem sie für das Steuerjahr 1979 gewährt wurde, solange:</w:t>
      </w:r>
    </w:p>
    <w:p w14:paraId="3650B95C" w14:textId="77777777" w:rsidR="00477B8F" w:rsidRPr="009118AB" w:rsidRDefault="00477B8F" w:rsidP="00477B8F">
      <w:pPr>
        <w:autoSpaceDE w:val="0"/>
        <w:autoSpaceDN w:val="0"/>
        <w:adjustRightInd w:val="0"/>
        <w:jc w:val="both"/>
      </w:pPr>
    </w:p>
    <w:p w14:paraId="51E3DCE8" w14:textId="77777777" w:rsidR="00477B8F" w:rsidRPr="009118AB" w:rsidRDefault="00477B8F" w:rsidP="00477B8F">
      <w:pPr>
        <w:autoSpaceDE w:val="0"/>
        <w:autoSpaceDN w:val="0"/>
        <w:adjustRightInd w:val="0"/>
        <w:jc w:val="both"/>
      </w:pPr>
      <w:r w:rsidRPr="009118AB">
        <w:tab/>
        <w:t>1. der Steuerpflichtige seine Wohnung vollständig bewohnt,</w:t>
      </w:r>
    </w:p>
    <w:p w14:paraId="2D9E8BFF" w14:textId="77777777" w:rsidR="00477B8F" w:rsidRPr="009118AB" w:rsidRDefault="00477B8F" w:rsidP="00477B8F">
      <w:pPr>
        <w:autoSpaceDE w:val="0"/>
        <w:autoSpaceDN w:val="0"/>
        <w:adjustRightInd w:val="0"/>
        <w:jc w:val="both"/>
      </w:pPr>
    </w:p>
    <w:p w14:paraId="366D75B4" w14:textId="77777777" w:rsidR="00477B8F" w:rsidRPr="009118AB" w:rsidRDefault="00477B8F" w:rsidP="00477B8F">
      <w:pPr>
        <w:autoSpaceDE w:val="0"/>
        <w:autoSpaceDN w:val="0"/>
        <w:adjustRightInd w:val="0"/>
        <w:jc w:val="both"/>
      </w:pPr>
      <w:r w:rsidRPr="009118AB">
        <w:tab/>
        <w:t>2. die Überschreitung der Grenze von [745 EUR] ausschließlich aus der ab dem Steuerjahr 1980 anwendbaren allgemeinen Angleichung der Katastereinkünfte hervorgeht,</w:t>
      </w:r>
    </w:p>
    <w:p w14:paraId="2049397C" w14:textId="77777777" w:rsidR="00B91D43" w:rsidRPr="009118AB" w:rsidRDefault="00B91D43" w:rsidP="00477B8F">
      <w:pPr>
        <w:autoSpaceDE w:val="0"/>
        <w:autoSpaceDN w:val="0"/>
        <w:adjustRightInd w:val="0"/>
      </w:pPr>
    </w:p>
    <w:p w14:paraId="342EFB47" w14:textId="77777777" w:rsidR="00477B8F" w:rsidRPr="009118AB" w:rsidRDefault="00477B8F" w:rsidP="00364E22">
      <w:pPr>
        <w:autoSpaceDE w:val="0"/>
        <w:autoSpaceDN w:val="0"/>
        <w:adjustRightInd w:val="0"/>
        <w:jc w:val="both"/>
      </w:pPr>
      <w:r w:rsidRPr="009118AB">
        <w:tab/>
        <w:t>3. das Katastereinkommen der Gesamtheit der unbeweglichen Güter des Steuerpflichtigen [992 EUR] nicht übersteigt.</w:t>
      </w:r>
    </w:p>
    <w:p w14:paraId="096A933C" w14:textId="77777777" w:rsidR="00477B8F" w:rsidRPr="009118AB" w:rsidRDefault="00477B8F" w:rsidP="00477B8F">
      <w:pPr>
        <w:autoSpaceDE w:val="0"/>
        <w:autoSpaceDN w:val="0"/>
        <w:adjustRightInd w:val="0"/>
        <w:jc w:val="both"/>
      </w:pPr>
    </w:p>
    <w:p w14:paraId="589F205D" w14:textId="13C85834"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260 einziger Absatz einleitende Bestimmung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3366D9" w:rsidRPr="009118AB">
        <w:rPr>
          <w:i/>
          <w:iCs/>
        </w:rPr>
        <w:t> -;</w:t>
      </w:r>
      <w:r w:rsidRPr="009118AB">
        <w:rPr>
          <w:i/>
          <w:iCs/>
        </w:rPr>
        <w:t xml:space="preserve"> einziger Absatz </w:t>
      </w:r>
      <w:r w:rsidR="00D67EB8" w:rsidRPr="009118AB">
        <w:rPr>
          <w:i/>
          <w:iCs/>
        </w:rPr>
        <w:t>Nr. </w:t>
      </w:r>
      <w:r w:rsidRPr="009118AB">
        <w:rPr>
          <w:i/>
          <w:iCs/>
        </w:rPr>
        <w:t xml:space="preserve">2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3366D9" w:rsidRPr="009118AB">
        <w:rPr>
          <w:i/>
          <w:iCs/>
        </w:rPr>
        <w:t> -;</w:t>
      </w:r>
      <w:r w:rsidRPr="009118AB">
        <w:rPr>
          <w:i/>
          <w:iCs/>
        </w:rPr>
        <w:t xml:space="preserve"> einziger Absatz </w:t>
      </w:r>
      <w:r w:rsidR="00D67EB8" w:rsidRPr="009118AB">
        <w:rPr>
          <w:i/>
          <w:iCs/>
        </w:rPr>
        <w:t>Nr. </w:t>
      </w:r>
      <w:r w:rsidRPr="009118AB">
        <w:rPr>
          <w:i/>
          <w:iCs/>
        </w:rPr>
        <w:t xml:space="preserve">3 abgeändert durch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p>
    <w:p w14:paraId="6BA97922" w14:textId="3F43C5CF" w:rsidR="00477B8F" w:rsidRPr="009118AB" w:rsidRDefault="00477B8F" w:rsidP="00477B8F">
      <w:pPr>
        <w:autoSpaceDE w:val="0"/>
        <w:autoSpaceDN w:val="0"/>
        <w:adjustRightInd w:val="0"/>
        <w:jc w:val="center"/>
      </w:pPr>
      <w:r w:rsidRPr="009118AB">
        <w:br w:type="page"/>
      </w:r>
      <w:r w:rsidRPr="009118AB">
        <w:rPr>
          <w:i/>
          <w:iCs/>
        </w:rPr>
        <w:lastRenderedPageBreak/>
        <w:t>Abschnitt </w:t>
      </w:r>
      <w:r w:rsidR="00D74862" w:rsidRPr="009118AB">
        <w:rPr>
          <w:i/>
          <w:iCs/>
        </w:rPr>
        <w:t>3</w:t>
      </w:r>
      <w:r w:rsidR="00D67EB8" w:rsidRPr="009118AB">
        <w:t> - </w:t>
      </w:r>
      <w:r w:rsidRPr="009118AB">
        <w:t>Mobiliensteuervorabzug</w:t>
      </w:r>
    </w:p>
    <w:p w14:paraId="5F98F606" w14:textId="77777777" w:rsidR="00477B8F" w:rsidRPr="009118AB" w:rsidRDefault="00477B8F" w:rsidP="00477B8F">
      <w:pPr>
        <w:autoSpaceDE w:val="0"/>
        <w:autoSpaceDN w:val="0"/>
        <w:adjustRightInd w:val="0"/>
        <w:jc w:val="center"/>
      </w:pPr>
    </w:p>
    <w:p w14:paraId="0A233AF2" w14:textId="77777777" w:rsidR="00477B8F" w:rsidRPr="009118AB" w:rsidRDefault="00477B8F" w:rsidP="00477B8F">
      <w:pPr>
        <w:autoSpaceDE w:val="0"/>
        <w:autoSpaceDN w:val="0"/>
        <w:adjustRightInd w:val="0"/>
        <w:jc w:val="center"/>
      </w:pPr>
    </w:p>
    <w:p w14:paraId="04990593" w14:textId="2B51F1BB" w:rsidR="00477B8F" w:rsidRPr="009118AB" w:rsidRDefault="00477B8F" w:rsidP="00477B8F">
      <w:pPr>
        <w:autoSpaceDE w:val="0"/>
        <w:autoSpaceDN w:val="0"/>
        <w:adjustRightInd w:val="0"/>
        <w:jc w:val="center"/>
      </w:pPr>
      <w:r w:rsidRPr="009118AB">
        <w:t>Unterabschnitt </w:t>
      </w:r>
      <w:r w:rsidR="00D74862" w:rsidRPr="009118AB">
        <w:t>1</w:t>
      </w:r>
      <w:r w:rsidR="00D67EB8" w:rsidRPr="009118AB">
        <w:t> - </w:t>
      </w:r>
      <w:r w:rsidRPr="009118AB">
        <w:t>Vorabzugsschuldner</w:t>
      </w:r>
    </w:p>
    <w:p w14:paraId="7D777998" w14:textId="77777777" w:rsidR="00477B8F" w:rsidRPr="009118AB" w:rsidRDefault="00477B8F" w:rsidP="00477B8F">
      <w:pPr>
        <w:autoSpaceDE w:val="0"/>
        <w:autoSpaceDN w:val="0"/>
        <w:adjustRightInd w:val="0"/>
        <w:jc w:val="both"/>
      </w:pPr>
    </w:p>
    <w:p w14:paraId="6B80A7F7" w14:textId="77777777" w:rsidR="00477B8F" w:rsidRPr="009118AB" w:rsidRDefault="00477B8F" w:rsidP="00477B8F">
      <w:pPr>
        <w:autoSpaceDE w:val="0"/>
        <w:autoSpaceDN w:val="0"/>
        <w:adjustRightInd w:val="0"/>
        <w:jc w:val="both"/>
      </w:pPr>
    </w:p>
    <w:p w14:paraId="41B8905D" w14:textId="5941720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261</w:t>
      </w:r>
      <w:r w:rsidR="00D67EB8" w:rsidRPr="009118AB">
        <w:t> - </w:t>
      </w:r>
      <w:r w:rsidRPr="009118AB">
        <w:t>[Der Mobiliensteuervorabzug wird geschuldet:]</w:t>
      </w:r>
    </w:p>
    <w:p w14:paraId="60870D56" w14:textId="77777777" w:rsidR="00477B8F" w:rsidRPr="009118AB" w:rsidRDefault="00477B8F" w:rsidP="00477B8F">
      <w:pPr>
        <w:autoSpaceDE w:val="0"/>
        <w:autoSpaceDN w:val="0"/>
        <w:adjustRightInd w:val="0"/>
        <w:jc w:val="both"/>
      </w:pPr>
    </w:p>
    <w:p w14:paraId="38177602" w14:textId="3CD53844" w:rsidR="00477B8F" w:rsidRPr="009118AB" w:rsidRDefault="00477B8F" w:rsidP="00215D34">
      <w:pPr>
        <w:autoSpaceDE w:val="0"/>
        <w:autoSpaceDN w:val="0"/>
        <w:adjustRightInd w:val="0"/>
        <w:ind w:firstLine="708"/>
        <w:jc w:val="both"/>
      </w:pPr>
      <w:r w:rsidRPr="009118AB">
        <w:t xml:space="preserve">1. [durch Einwohner des Königreichs, inländische Gesellschaften, Vereinigungen, Niederlassungen und Einrichtungen und juristische Personen, die der Steuer der juristischen Personen unterliegen, </w:t>
      </w:r>
      <w:r w:rsidR="00B176A2" w:rsidRPr="009118AB">
        <w:t xml:space="preserve">[die Schuldner sind von Einkünften aus Kapitalvermögen und beweglichen Gütern, einschließlich des in Artikel 21 Absatz 1 </w:t>
      </w:r>
      <w:r w:rsidR="00D67EB8" w:rsidRPr="009118AB">
        <w:t>Nr. </w:t>
      </w:r>
      <w:r w:rsidR="00B176A2" w:rsidRPr="009118AB">
        <w:t>14 erwähnten Ein</w:t>
      </w:r>
      <w:r w:rsidR="00B176A2" w:rsidRPr="009118AB">
        <w:softHyphen/>
        <w:t xml:space="preserve">kommensteilbetrags, und von Einkünften wie in Artikel 90 Absatz 1 </w:t>
      </w:r>
      <w:r w:rsidR="00D67EB8" w:rsidRPr="009118AB">
        <w:t>Nr. </w:t>
      </w:r>
      <w:r w:rsidR="00B176A2" w:rsidRPr="009118AB">
        <w:t>6 oder 11 erwähnt]</w:t>
      </w:r>
      <w:r w:rsidRPr="009118AB">
        <w:t xml:space="preserve">, die keine in Absatz 2 erwähnten Einkünfte sind, und durch Steuerpflichtige, die der Steuer der Gebietsfremden unterliegen und in Belgien eine Niederlassung haben, auf deren Ergebnisse Einkünfte wie in Artikel 17 </w:t>
      </w:r>
      <w:r w:rsidR="00D67EB8" w:rsidRPr="009118AB">
        <w:t>§ </w:t>
      </w:r>
      <w:r w:rsidRPr="009118AB">
        <w:t xml:space="preserve">1 </w:t>
      </w:r>
      <w:r w:rsidR="00D67EB8" w:rsidRPr="009118AB">
        <w:t>Nr. </w:t>
      </w:r>
      <w:r w:rsidRPr="009118AB">
        <w:t xml:space="preserve">2 bis 4 erwähnt und Einkünfte wie in </w:t>
      </w:r>
      <w:r w:rsidR="00F279E0" w:rsidRPr="009118AB">
        <w:t>[</w:t>
      </w:r>
      <w:r w:rsidRPr="009118AB">
        <w:t xml:space="preserve">Artikel 90 </w:t>
      </w:r>
      <w:r w:rsidR="00F279E0" w:rsidRPr="009118AB">
        <w:rPr>
          <w:iCs/>
        </w:rPr>
        <w:t xml:space="preserve">Absatz 1 </w:t>
      </w:r>
      <w:r w:rsidR="00D67EB8" w:rsidRPr="009118AB">
        <w:t>Nr. </w:t>
      </w:r>
      <w:r w:rsidRPr="009118AB">
        <w:t>6 und 11</w:t>
      </w:r>
      <w:r w:rsidR="00F279E0" w:rsidRPr="009118AB">
        <w:t>]</w:t>
      </w:r>
      <w:r w:rsidRPr="009118AB">
        <w:t xml:space="preserve"> erwähnt angerechnet werden,]</w:t>
      </w:r>
    </w:p>
    <w:p w14:paraId="7716F56D" w14:textId="77777777" w:rsidR="00477B8F" w:rsidRPr="009118AB" w:rsidRDefault="00477B8F" w:rsidP="00477B8F">
      <w:pPr>
        <w:autoSpaceDE w:val="0"/>
        <w:autoSpaceDN w:val="0"/>
        <w:adjustRightInd w:val="0"/>
        <w:jc w:val="both"/>
      </w:pPr>
    </w:p>
    <w:p w14:paraId="46D25A79" w14:textId="3E6FA7D6" w:rsidR="00477B8F" w:rsidRPr="009118AB" w:rsidRDefault="00477B8F" w:rsidP="00215D34">
      <w:pPr>
        <w:autoSpaceDE w:val="0"/>
        <w:autoSpaceDN w:val="0"/>
        <w:adjustRightInd w:val="0"/>
        <w:ind w:firstLine="708"/>
        <w:jc w:val="both"/>
      </w:pPr>
      <w:r w:rsidRPr="009118AB">
        <w:t xml:space="preserve">2. [durch Vermittler, die in Belgien ansässig sind und in gleich welcher Weise an der Auszahlung von Einkünften aus Kapitalvermögen und beweglichen Gütern ausländischer Herkunft, </w:t>
      </w:r>
      <w:r w:rsidR="00B176A2" w:rsidRPr="009118AB">
        <w:t xml:space="preserve">[einschließlich des in Artikel 21 Absatz 1 </w:t>
      </w:r>
      <w:r w:rsidR="00D67EB8" w:rsidRPr="009118AB">
        <w:t>Nr. </w:t>
      </w:r>
      <w:r w:rsidR="00B176A2" w:rsidRPr="009118AB">
        <w:t>14 erwähnten Einkommens</w:t>
      </w:r>
      <w:r w:rsidR="00B176A2" w:rsidRPr="009118AB">
        <w:softHyphen/>
        <w:t>teil</w:t>
      </w:r>
      <w:r w:rsidR="00B176A2" w:rsidRPr="009118AB">
        <w:softHyphen/>
        <w:t xml:space="preserve">betrags,] </w:t>
      </w:r>
      <w:r w:rsidRPr="009118AB">
        <w:t xml:space="preserve">von Einkünften ausländischer Herkunft wie in </w:t>
      </w:r>
      <w:r w:rsidR="00F279E0" w:rsidRPr="009118AB">
        <w:t xml:space="preserve">[Artikel 90 Absatz 1 </w:t>
      </w:r>
      <w:r w:rsidR="00D67EB8" w:rsidRPr="009118AB">
        <w:t>Nr. </w:t>
      </w:r>
      <w:r w:rsidR="00F279E0" w:rsidRPr="009118AB">
        <w:t>6 und 11]</w:t>
      </w:r>
      <w:r w:rsidRPr="009118AB">
        <w:t xml:space="preserve"> erwähnt oder von Einkünften wie in Absatz 2 erwähnt beteiligt sind, außer wenn:</w:t>
      </w:r>
    </w:p>
    <w:p w14:paraId="0EE5A1D0" w14:textId="77777777" w:rsidR="00477B8F" w:rsidRPr="009118AB" w:rsidRDefault="00477B8F" w:rsidP="00477B8F">
      <w:pPr>
        <w:autoSpaceDE w:val="0"/>
        <w:autoSpaceDN w:val="0"/>
        <w:adjustRightInd w:val="0"/>
        <w:jc w:val="both"/>
      </w:pPr>
    </w:p>
    <w:p w14:paraId="1A7D517A" w14:textId="77777777" w:rsidR="00477B8F" w:rsidRPr="009118AB" w:rsidRDefault="00477B8F" w:rsidP="00215D34">
      <w:pPr>
        <w:autoSpaceDE w:val="0"/>
        <w:autoSpaceDN w:val="0"/>
        <w:adjustRightInd w:val="0"/>
        <w:ind w:firstLine="708"/>
        <w:jc w:val="both"/>
      </w:pPr>
      <w:r w:rsidRPr="009118AB">
        <w:rPr>
          <w:i/>
          <w:iCs/>
        </w:rPr>
        <w:t>a)</w:t>
      </w:r>
      <w:r w:rsidRPr="009118AB">
        <w:t xml:space="preserve"> ihnen nachgewiesen wird, dass ein vorheriger Vermittler den Vorabzug einbehalten hat,</w:t>
      </w:r>
    </w:p>
    <w:p w14:paraId="54AB6F8A" w14:textId="77777777" w:rsidR="00477B8F" w:rsidRPr="009118AB" w:rsidRDefault="00477B8F" w:rsidP="00477B8F">
      <w:pPr>
        <w:autoSpaceDE w:val="0"/>
        <w:autoSpaceDN w:val="0"/>
        <w:adjustRightInd w:val="0"/>
        <w:jc w:val="both"/>
      </w:pPr>
    </w:p>
    <w:p w14:paraId="4FE2E024" w14:textId="77777777" w:rsidR="00477B8F" w:rsidRPr="009118AB" w:rsidRDefault="00477B8F" w:rsidP="00215D34">
      <w:pPr>
        <w:autoSpaceDE w:val="0"/>
        <w:autoSpaceDN w:val="0"/>
        <w:adjustRightInd w:val="0"/>
        <w:ind w:firstLine="708"/>
        <w:jc w:val="both"/>
      </w:pPr>
      <w:r w:rsidRPr="009118AB">
        <w:rPr>
          <w:i/>
          <w:iCs/>
        </w:rPr>
        <w:t>b)</w:t>
      </w:r>
      <w:r w:rsidRPr="009118AB">
        <w:t xml:space="preserve"> sie nachweisen, dass diese Einkünfte einem Kreditinstitut, einer Börsengesellschaft beziehungsweise einer zugelassenen Verrechnungs</w:t>
      </w:r>
      <w:r w:rsidRPr="009118AB">
        <w:noBreakHyphen/>
        <w:t xml:space="preserve"> oder Liquidationseinrichtung, die in Belgien ansässig sind, gezahlt werden,</w:t>
      </w:r>
    </w:p>
    <w:p w14:paraId="4DBDAB34" w14:textId="77777777" w:rsidR="00477B8F" w:rsidRPr="009118AB" w:rsidRDefault="00477B8F" w:rsidP="00477B8F">
      <w:pPr>
        <w:autoSpaceDE w:val="0"/>
        <w:autoSpaceDN w:val="0"/>
        <w:adjustRightInd w:val="0"/>
        <w:jc w:val="both"/>
      </w:pPr>
    </w:p>
    <w:p w14:paraId="005DD9D6" w14:textId="2F29A7E2" w:rsidR="00477B8F" w:rsidRPr="009118AB" w:rsidRDefault="00477B8F" w:rsidP="00215D34">
      <w:pPr>
        <w:autoSpaceDE w:val="0"/>
        <w:autoSpaceDN w:val="0"/>
        <w:adjustRightInd w:val="0"/>
        <w:ind w:firstLine="708"/>
        <w:jc w:val="both"/>
      </w:pPr>
      <w:r w:rsidRPr="009118AB">
        <w:rPr>
          <w:i/>
          <w:iCs/>
        </w:rPr>
        <w:t>c)</w:t>
      </w:r>
      <w:r w:rsidRPr="009118AB">
        <w:t xml:space="preserve"> sie die Eigenschaft eines Kreditinstituts, einer Börsengesellschaft beziehungsweise einer zugelassenen Verrechnungs</w:t>
      </w:r>
      <w:r w:rsidRPr="009118AB">
        <w:noBreakHyphen/>
        <w:t xml:space="preserve"> oder Liquidationseinrichtung haben, die in Belgien ansässig sind und die Einkünfte aus Kapitalvermögen und beweglichen Gütern, die keine Einkünfte aus Vermietung, Verpachtung, Nutzung und Überlassung von beweglichen Gütern sind, und in </w:t>
      </w:r>
      <w:r w:rsidR="00F279E0" w:rsidRPr="009118AB">
        <w:t xml:space="preserve">[Artikel 90 Absatz 1 </w:t>
      </w:r>
      <w:r w:rsidR="00D67EB8" w:rsidRPr="009118AB">
        <w:t>Nr. </w:t>
      </w:r>
      <w:r w:rsidR="00F279E0" w:rsidRPr="009118AB">
        <w:t xml:space="preserve">6 und 11] </w:t>
      </w:r>
      <w:r w:rsidRPr="009118AB">
        <w:t>erwähnte Einkünfte an ein in Absatz 4 erwähntes im Ausland ansässiges Unternehmen zahlen,]</w:t>
      </w:r>
    </w:p>
    <w:p w14:paraId="2B7AA875" w14:textId="77777777" w:rsidR="00215D34" w:rsidRPr="009118AB" w:rsidRDefault="00215D34" w:rsidP="00477B8F">
      <w:pPr>
        <w:autoSpaceDE w:val="0"/>
        <w:autoSpaceDN w:val="0"/>
        <w:adjustRightInd w:val="0"/>
        <w:jc w:val="both"/>
      </w:pPr>
    </w:p>
    <w:p w14:paraId="1B9D4F73" w14:textId="2B878DA0" w:rsidR="00477B8F" w:rsidRPr="009118AB" w:rsidRDefault="00477B8F" w:rsidP="00215D34">
      <w:pPr>
        <w:autoSpaceDE w:val="0"/>
        <w:autoSpaceDN w:val="0"/>
        <w:adjustRightInd w:val="0"/>
        <w:ind w:firstLine="708"/>
        <w:jc w:val="both"/>
      </w:pPr>
      <w:r w:rsidRPr="009118AB">
        <w:t>[2</w:t>
      </w:r>
      <w:r w:rsidRPr="009118AB">
        <w:rPr>
          <w:i/>
          <w:iCs/>
        </w:rPr>
        <w:t>bis</w:t>
      </w:r>
      <w:r w:rsidRPr="009118AB">
        <w:t>.</w:t>
      </w:r>
      <w:r w:rsidR="00FB4FAC" w:rsidRPr="009118AB">
        <w:t xml:space="preserve"> [in Abweichung von den Nummern 1 und 2 und in Bezug auf die in Artikel 19</w:t>
      </w:r>
      <w:r w:rsidR="00FB4FAC" w:rsidRPr="009118AB">
        <w:rPr>
          <w:i/>
          <w:iCs/>
        </w:rPr>
        <w:t>bis</w:t>
      </w:r>
      <w:r w:rsidR="00FB4FAC" w:rsidRPr="009118AB">
        <w:t xml:space="preserve"> erwähnten Zinsen durch die Zahlstelle erwähnt in Artikel 2 </w:t>
      </w:r>
      <w:r w:rsidR="00D67EB8" w:rsidRPr="009118AB">
        <w:t>§ </w:t>
      </w:r>
      <w:r w:rsidR="00FB4FAC" w:rsidRPr="009118AB">
        <w:t xml:space="preserve">1 </w:t>
      </w:r>
      <w:r w:rsidR="00D67EB8" w:rsidRPr="009118AB">
        <w:t>Nr. </w:t>
      </w:r>
      <w:r w:rsidR="00FB4FAC" w:rsidRPr="009118AB">
        <w:t>2 des Königlichen Erlasses vom 27. September 2009 zur Ausführung von Artikel 338</w:t>
      </w:r>
      <w:r w:rsidR="00FB4FAC" w:rsidRPr="009118AB">
        <w:rPr>
          <w:i/>
        </w:rPr>
        <w:t>bis</w:t>
      </w:r>
      <w:r w:rsidR="00FB4FAC" w:rsidRPr="009118AB">
        <w:t xml:space="preserve"> </w:t>
      </w:r>
      <w:r w:rsidR="00D67EB8" w:rsidRPr="009118AB">
        <w:t>§ </w:t>
      </w:r>
      <w:r w:rsidR="00FB4FAC" w:rsidRPr="009118AB">
        <w:t>2 des Einkommensteuer</w:t>
      </w:r>
      <w:r w:rsidR="00FB4FAC" w:rsidRPr="009118AB">
        <w:softHyphen/>
        <w:t>gesetzbuches 1992,]</w:t>
      </w:r>
      <w:r w:rsidRPr="009118AB">
        <w:t>]</w:t>
      </w:r>
    </w:p>
    <w:p w14:paraId="7CFDA074" w14:textId="77777777" w:rsidR="00F279E0" w:rsidRPr="009118AB" w:rsidRDefault="00F279E0" w:rsidP="00215D34">
      <w:pPr>
        <w:autoSpaceDE w:val="0"/>
        <w:autoSpaceDN w:val="0"/>
        <w:adjustRightInd w:val="0"/>
        <w:ind w:firstLine="708"/>
        <w:jc w:val="both"/>
      </w:pPr>
    </w:p>
    <w:p w14:paraId="29016C64" w14:textId="77777777" w:rsidR="00F279E0" w:rsidRPr="009118AB" w:rsidRDefault="00F279E0" w:rsidP="00215D34">
      <w:pPr>
        <w:autoSpaceDE w:val="0"/>
        <w:autoSpaceDN w:val="0"/>
        <w:adjustRightInd w:val="0"/>
        <w:ind w:firstLine="708"/>
        <w:jc w:val="both"/>
      </w:pPr>
      <w:r w:rsidRPr="009118AB">
        <w:t>[2</w:t>
      </w:r>
      <w:r w:rsidRPr="009118AB">
        <w:rPr>
          <w:i/>
        </w:rPr>
        <w:t>ter</w:t>
      </w:r>
      <w:r w:rsidRPr="009118AB">
        <w:t>. </w:t>
      </w:r>
      <w:r w:rsidR="000F3808" w:rsidRPr="009118AB">
        <w:t>[…]</w:t>
      </w:r>
      <w:r w:rsidRPr="009118AB">
        <w:t>]</w:t>
      </w:r>
    </w:p>
    <w:p w14:paraId="36A801AF" w14:textId="77777777" w:rsidR="00477B8F" w:rsidRPr="009118AB" w:rsidRDefault="00477B8F" w:rsidP="00477B8F">
      <w:pPr>
        <w:autoSpaceDE w:val="0"/>
        <w:autoSpaceDN w:val="0"/>
        <w:adjustRightInd w:val="0"/>
        <w:jc w:val="both"/>
      </w:pPr>
    </w:p>
    <w:p w14:paraId="665569BE" w14:textId="77777777" w:rsidR="00477B8F" w:rsidRPr="009118AB" w:rsidRDefault="00477B8F" w:rsidP="00215D34">
      <w:pPr>
        <w:autoSpaceDE w:val="0"/>
        <w:autoSpaceDN w:val="0"/>
        <w:adjustRightInd w:val="0"/>
        <w:ind w:firstLine="708"/>
        <w:jc w:val="both"/>
      </w:pPr>
      <w:r w:rsidRPr="009118AB">
        <w:t xml:space="preserve">[3. [durch Verwaltungsgesellschaften von Organismen für gemeinsame Anlagen, die von der </w:t>
      </w:r>
      <w:r w:rsidR="00F51164" w:rsidRPr="009118AB">
        <w:t>[Autorität Finanzielle Dienste und Märkte] </w:t>
      </w:r>
      <w:r w:rsidRPr="009118AB">
        <w:t xml:space="preserve">zugelassen sind, </w:t>
      </w:r>
      <w:r w:rsidR="00DF2C4D" w:rsidRPr="009118AB">
        <w:t>[um einen oder mehrere in Artikel 271/9 des Gesetzes vom 3. August 2012 über Organismen für gemeinsame Anlagen, die die Bedingungen der Richtlinie 2009/65/EG erfüllen, und Organismen für Anlagen in Forderungen erwähnte gemeinsame Investmentfonds für Schuldforderungen zu verwalten]</w:t>
      </w:r>
      <w:r w:rsidRPr="009118AB">
        <w:t xml:space="preserve">, für </w:t>
      </w:r>
      <w:r w:rsidRPr="009118AB">
        <w:lastRenderedPageBreak/>
        <w:t>die von diesen gemeinsamen Investmentfonds für Schuldforderungen zuerkannten oder ausgeschütteten Einkünfte,]]</w:t>
      </w:r>
    </w:p>
    <w:p w14:paraId="75C68FB0" w14:textId="77777777" w:rsidR="00477B8F" w:rsidRPr="009118AB" w:rsidRDefault="00477B8F" w:rsidP="00477B8F">
      <w:pPr>
        <w:autoSpaceDE w:val="0"/>
        <w:autoSpaceDN w:val="0"/>
        <w:adjustRightInd w:val="0"/>
        <w:jc w:val="both"/>
      </w:pPr>
    </w:p>
    <w:p w14:paraId="5D8341D4" w14:textId="5FCA8FAA" w:rsidR="00477B8F" w:rsidRPr="009118AB" w:rsidRDefault="00477B8F" w:rsidP="00215D34">
      <w:pPr>
        <w:autoSpaceDE w:val="0"/>
        <w:autoSpaceDN w:val="0"/>
        <w:adjustRightInd w:val="0"/>
        <w:ind w:firstLine="708"/>
        <w:jc w:val="both"/>
      </w:pPr>
      <w:r w:rsidRPr="009118AB">
        <w:t>[4. [</w:t>
      </w:r>
      <w:r w:rsidR="009C2214" w:rsidRPr="009118AB">
        <w:t xml:space="preserve">durch Einwohner des Königreichs, inländische Gesellschaften, Vereinigungen, Niederlassungen und Einrichtungen und juristische Personen, die der Steuer der juristischen Personen unterliegen, und Steuerpflichtige, die der Steuer der Gebietsfremden unterliegen, die Schuldner von Einkünften erwähnt in Artikel 17 </w:t>
      </w:r>
      <w:r w:rsidR="00D67EB8" w:rsidRPr="009118AB">
        <w:t>§ </w:t>
      </w:r>
      <w:r w:rsidR="009C2214" w:rsidRPr="009118AB">
        <w:t xml:space="preserve">1 </w:t>
      </w:r>
      <w:r w:rsidR="00D67EB8" w:rsidRPr="009118AB">
        <w:t>Nr. </w:t>
      </w:r>
      <w:r w:rsidR="009C2214" w:rsidRPr="009118AB">
        <w:t>5 sind.</w:t>
      </w:r>
      <w:r w:rsidRPr="009118AB">
        <w:t>]]</w:t>
      </w:r>
    </w:p>
    <w:p w14:paraId="0F815BA1" w14:textId="77777777" w:rsidR="00D04E91" w:rsidRPr="009118AB" w:rsidRDefault="00D04E91" w:rsidP="00215D34">
      <w:pPr>
        <w:autoSpaceDE w:val="0"/>
        <w:autoSpaceDN w:val="0"/>
        <w:adjustRightInd w:val="0"/>
        <w:ind w:firstLine="708"/>
        <w:jc w:val="both"/>
      </w:pPr>
    </w:p>
    <w:p w14:paraId="70A4DB65" w14:textId="1BB724FB" w:rsidR="00477B8F" w:rsidRPr="009118AB" w:rsidRDefault="00477B8F" w:rsidP="00215D34">
      <w:pPr>
        <w:autoSpaceDE w:val="0"/>
        <w:autoSpaceDN w:val="0"/>
        <w:adjustRightInd w:val="0"/>
        <w:ind w:firstLine="708"/>
        <w:jc w:val="both"/>
      </w:pPr>
      <w:r w:rsidRPr="009118AB">
        <w:t xml:space="preserve">[Die von Absatz 1 </w:t>
      </w:r>
      <w:r w:rsidR="00D67EB8" w:rsidRPr="009118AB">
        <w:t>Nr. </w:t>
      </w:r>
      <w:r w:rsidRPr="009118AB">
        <w:t xml:space="preserve">1 ausgeschlossenen Einkünfte sind Einkünfte aus Kapitalvermögen und beweglichen Gütern, die keine Dividenden sind, und in Artikel 228 </w:t>
      </w:r>
      <w:r w:rsidR="00D67EB8" w:rsidRPr="009118AB">
        <w:t>§ </w:t>
      </w:r>
      <w:r w:rsidRPr="009118AB">
        <w:t xml:space="preserve">2 </w:t>
      </w:r>
      <w:r w:rsidR="00D67EB8" w:rsidRPr="009118AB">
        <w:t>Nr. </w:t>
      </w:r>
      <w:r w:rsidRPr="009118AB">
        <w:t>9 Buchstabe </w:t>
      </w:r>
      <w:r w:rsidRPr="009118AB">
        <w:rPr>
          <w:i/>
          <w:iCs/>
        </w:rPr>
        <w:t>j)</w:t>
      </w:r>
      <w:r w:rsidRPr="009118AB">
        <w:t xml:space="preserve"> erwähnte verschiedene Einkünfte, deren Schuldner der Steuer der natürlichen Personen, der Gesellschaftssteuer oder der Steuer der juristischen Personen unterliegt, wenn diese Einkünfte auf die Ergebnisse einer Niederlassung angerechnet werden, über die der Schuldner im Ausland verfügt, und wenn sie nicht direkt vom Schuldner an den Empfänger der Einkünfte gezahlt werden.]</w:t>
      </w:r>
    </w:p>
    <w:p w14:paraId="7F819C76" w14:textId="77777777" w:rsidR="00477B8F" w:rsidRPr="009118AB" w:rsidRDefault="00477B8F" w:rsidP="00477B8F">
      <w:pPr>
        <w:autoSpaceDE w:val="0"/>
        <w:autoSpaceDN w:val="0"/>
        <w:adjustRightInd w:val="0"/>
        <w:jc w:val="both"/>
      </w:pPr>
    </w:p>
    <w:p w14:paraId="2A5C54ED" w14:textId="4958F14E" w:rsidR="00477B8F" w:rsidRPr="009118AB" w:rsidRDefault="00477B8F" w:rsidP="00215D34">
      <w:pPr>
        <w:autoSpaceDE w:val="0"/>
        <w:autoSpaceDN w:val="0"/>
        <w:adjustRightInd w:val="0"/>
        <w:ind w:firstLine="708"/>
        <w:jc w:val="both"/>
      </w:pPr>
      <w:r w:rsidRPr="009118AB">
        <w:t xml:space="preserve">[In Bezug auf Zinsen von Verleihen von Finanzinstrumenten und auf die in </w:t>
      </w:r>
      <w:r w:rsidR="00F279E0" w:rsidRPr="009118AB">
        <w:rPr>
          <w:iCs/>
        </w:rPr>
        <w:t xml:space="preserve">[Artikel 90 Absatz 1 </w:t>
      </w:r>
      <w:r w:rsidR="00D67EB8" w:rsidRPr="009118AB">
        <w:rPr>
          <w:iCs/>
        </w:rPr>
        <w:t>Nr. </w:t>
      </w:r>
      <w:r w:rsidR="00F279E0" w:rsidRPr="009118AB">
        <w:rPr>
          <w:iCs/>
        </w:rPr>
        <w:t xml:space="preserve">11] </w:t>
      </w:r>
      <w:r w:rsidRPr="009118AB">
        <w:t xml:space="preserve">erwähnten Einkünfte, die in Ausführung eines Verleihs in Bezug auf Finanzinstrumente gezahlt werden, der über ein zugelassenes zentralisiertes System für den Verleih von Finanzinstrumenten abgeschlossen und vollständig ausgezahlt wird, ist in Abweichung von Absatz 1 der Schuldner des Mobiliensteuervorabzugs, der diesen Vorabzug ungeachtet gegenteiliger Vereinbarung auf die steuerpflichtigen Einkünfte einbehalten muss, der Verwalter des zugelassenen zentralisierten Systems. Als </w:t>
      </w:r>
      <w:r w:rsidR="00117C1A" w:rsidRPr="009118AB">
        <w:t>"</w:t>
      </w:r>
      <w:r w:rsidRPr="009118AB">
        <w:t>zugelassenes zentralisiertes System für den Verleih von Finanzinstrumenten</w:t>
      </w:r>
      <w:r w:rsidR="00117C1A" w:rsidRPr="009118AB">
        <w:t>"</w:t>
      </w:r>
      <w:r w:rsidRPr="009118AB">
        <w:t xml:space="preserve"> gilt ein System für den Verleih von Finanzinstrumenten, dessen Zweck darin besteht, als letzte Instanz die Abwicklung von Aufträgen zur Übertragung von Wertpapieren zu erleichtern, und das integriert ist in einem in Artikel 2 </w:t>
      </w:r>
      <w:r w:rsidR="00D67EB8" w:rsidRPr="009118AB">
        <w:t>§ </w:t>
      </w:r>
      <w:r w:rsidRPr="009118AB">
        <w:t>1 Buchstabe </w:t>
      </w:r>
      <w:r w:rsidRPr="009118AB">
        <w:rPr>
          <w:i/>
          <w:iCs/>
        </w:rPr>
        <w:t>b)</w:t>
      </w:r>
      <w:r w:rsidRPr="009118AB">
        <w:t xml:space="preserve"> des Gesetzes vom 28. April 1999 zur Umsetzung der Richtlinie 98/26/EG vom 19. Mai 1998 über die Wirksamkeit von Abrechnungen in Zahlungs</w:t>
      </w:r>
      <w:r w:rsidRPr="009118AB">
        <w:noBreakHyphen/>
        <w:t xml:space="preserve"> sowie Wertpapierliefer</w:t>
      </w:r>
      <w:r w:rsidRPr="009118AB">
        <w:noBreakHyphen/>
        <w:t xml:space="preserve"> und </w:t>
      </w:r>
      <w:r w:rsidRPr="009118AB">
        <w:noBreakHyphen/>
        <w:t>abrechnungssystemen erwähnten Wertpapierliefer</w:t>
      </w:r>
      <w:r w:rsidRPr="009118AB">
        <w:noBreakHyphen/>
        <w:t xml:space="preserve"> und </w:t>
      </w:r>
      <w:r w:rsidRPr="009118AB">
        <w:noBreakHyphen/>
        <w:t>abrechnungssystem oder in einem System eines anderen Staates, dessen Rechtsvorschriften zumindest gleichwertige Bedingungen vorsehen und das vom Minister der Finanzen oder von seinem Beauftragten zugelassen ist. Der König bestimmt die Zulassungsbedingungen, die das System erfüllen muss, und den Zeitraum, für den die Zulassung bewilligt werden kann.]</w:t>
      </w:r>
    </w:p>
    <w:p w14:paraId="3332DDE4" w14:textId="77777777" w:rsidR="00477B8F" w:rsidRPr="009118AB" w:rsidRDefault="00477B8F" w:rsidP="00477B8F">
      <w:pPr>
        <w:autoSpaceDE w:val="0"/>
        <w:autoSpaceDN w:val="0"/>
        <w:adjustRightInd w:val="0"/>
        <w:jc w:val="both"/>
      </w:pPr>
    </w:p>
    <w:p w14:paraId="41774CD8" w14:textId="45B4D3FF" w:rsidR="00477B8F" w:rsidRPr="009118AB" w:rsidRDefault="00477B8F" w:rsidP="00215D34">
      <w:pPr>
        <w:autoSpaceDE w:val="0"/>
        <w:autoSpaceDN w:val="0"/>
        <w:adjustRightInd w:val="0"/>
        <w:ind w:firstLine="708"/>
        <w:jc w:val="both"/>
      </w:pPr>
      <w:r w:rsidRPr="009118AB">
        <w:t xml:space="preserve">[In Absatz 1 </w:t>
      </w:r>
      <w:r w:rsidR="00D67EB8" w:rsidRPr="009118AB">
        <w:t>Nr. </w:t>
      </w:r>
      <w:r w:rsidRPr="009118AB">
        <w:t>2 Buchstabe </w:t>
      </w:r>
      <w:r w:rsidRPr="009118AB">
        <w:rPr>
          <w:i/>
          <w:iCs/>
        </w:rPr>
        <w:t>c)</w:t>
      </w:r>
      <w:r w:rsidRPr="009118AB">
        <w:t xml:space="preserve"> erwähnte im Ausland ansässige Unternehmen sind:</w:t>
      </w:r>
    </w:p>
    <w:p w14:paraId="18CBCC38" w14:textId="77777777" w:rsidR="00477B8F" w:rsidRPr="009118AB" w:rsidRDefault="00477B8F" w:rsidP="00477B8F">
      <w:pPr>
        <w:autoSpaceDE w:val="0"/>
        <w:autoSpaceDN w:val="0"/>
        <w:adjustRightInd w:val="0"/>
        <w:jc w:val="both"/>
      </w:pPr>
    </w:p>
    <w:p w14:paraId="5D663A56" w14:textId="77777777" w:rsidR="00477B8F" w:rsidRPr="009118AB" w:rsidRDefault="00477B8F" w:rsidP="00215D34">
      <w:pPr>
        <w:autoSpaceDE w:val="0"/>
        <w:autoSpaceDN w:val="0"/>
        <w:adjustRightInd w:val="0"/>
        <w:ind w:firstLine="708"/>
        <w:jc w:val="both"/>
      </w:pPr>
      <w:r w:rsidRPr="009118AB">
        <w:t>1. Kreditinstitute,</w:t>
      </w:r>
    </w:p>
    <w:p w14:paraId="35D8E5B6" w14:textId="77777777" w:rsidR="00477B8F" w:rsidRPr="009118AB" w:rsidRDefault="00477B8F" w:rsidP="00477B8F">
      <w:pPr>
        <w:autoSpaceDE w:val="0"/>
        <w:autoSpaceDN w:val="0"/>
        <w:adjustRightInd w:val="0"/>
        <w:jc w:val="both"/>
      </w:pPr>
    </w:p>
    <w:p w14:paraId="5CF1433E" w14:textId="37E69F57" w:rsidR="00477B8F" w:rsidRPr="009118AB" w:rsidRDefault="00477B8F" w:rsidP="00215D34">
      <w:pPr>
        <w:autoSpaceDE w:val="0"/>
        <w:autoSpaceDN w:val="0"/>
        <w:adjustRightInd w:val="0"/>
        <w:ind w:firstLine="708"/>
        <w:jc w:val="both"/>
      </w:pPr>
      <w:r w:rsidRPr="009118AB">
        <w:t xml:space="preserve">2. Finanzvermittler wie in Artikel 2 </w:t>
      </w:r>
      <w:r w:rsidR="00D67EB8" w:rsidRPr="009118AB">
        <w:t>Nr. </w:t>
      </w:r>
      <w:r w:rsidRPr="009118AB">
        <w:t>9 des Gesetzes vom 2. August 2002 über die Aufsicht über den Finanzsektor und die Finanzdienstleistungen definiert,</w:t>
      </w:r>
    </w:p>
    <w:p w14:paraId="2EAD9058" w14:textId="77777777" w:rsidR="00477B8F" w:rsidRPr="009118AB" w:rsidRDefault="00477B8F" w:rsidP="00477B8F">
      <w:pPr>
        <w:autoSpaceDE w:val="0"/>
        <w:autoSpaceDN w:val="0"/>
        <w:adjustRightInd w:val="0"/>
        <w:jc w:val="both"/>
      </w:pPr>
    </w:p>
    <w:p w14:paraId="53874C3F" w14:textId="114610C4" w:rsidR="00477B8F" w:rsidRPr="009118AB" w:rsidRDefault="00477B8F" w:rsidP="00215D34">
      <w:pPr>
        <w:autoSpaceDE w:val="0"/>
        <w:autoSpaceDN w:val="0"/>
        <w:adjustRightInd w:val="0"/>
        <w:ind w:firstLine="708"/>
        <w:jc w:val="both"/>
      </w:pPr>
      <w:r w:rsidRPr="009118AB">
        <w:t xml:space="preserve">3. Verrechnungseinrichtungen wie in Artikel 2 </w:t>
      </w:r>
      <w:r w:rsidR="00D67EB8" w:rsidRPr="009118AB">
        <w:t>Nr. </w:t>
      </w:r>
      <w:r w:rsidRPr="009118AB">
        <w:t>16 des Gesetzes vom 2. August 2002 definiert,</w:t>
      </w:r>
    </w:p>
    <w:p w14:paraId="0884E348" w14:textId="77777777" w:rsidR="00477B8F" w:rsidRPr="009118AB" w:rsidRDefault="00477B8F" w:rsidP="00477B8F">
      <w:pPr>
        <w:autoSpaceDE w:val="0"/>
        <w:autoSpaceDN w:val="0"/>
        <w:adjustRightInd w:val="0"/>
        <w:jc w:val="both"/>
      </w:pPr>
    </w:p>
    <w:p w14:paraId="6D100530" w14:textId="71CB806F" w:rsidR="00477B8F" w:rsidRPr="009118AB" w:rsidRDefault="00477B8F" w:rsidP="00215D34">
      <w:pPr>
        <w:autoSpaceDE w:val="0"/>
        <w:autoSpaceDN w:val="0"/>
        <w:adjustRightInd w:val="0"/>
        <w:ind w:firstLine="708"/>
        <w:jc w:val="both"/>
      </w:pPr>
      <w:r w:rsidRPr="009118AB">
        <w:t xml:space="preserve">4. Liquidationseinrichtungen wie in Artikel 2 </w:t>
      </w:r>
      <w:r w:rsidR="00D67EB8" w:rsidRPr="009118AB">
        <w:t>Nr. </w:t>
      </w:r>
      <w:r w:rsidRPr="009118AB">
        <w:t>17 des Gesetzes vom 2. August 2002 definiert,</w:t>
      </w:r>
    </w:p>
    <w:p w14:paraId="1AA3FFF2" w14:textId="77777777" w:rsidR="00477B8F" w:rsidRPr="009118AB" w:rsidRDefault="00477B8F" w:rsidP="00477B8F">
      <w:pPr>
        <w:autoSpaceDE w:val="0"/>
        <w:autoSpaceDN w:val="0"/>
        <w:adjustRightInd w:val="0"/>
        <w:jc w:val="both"/>
      </w:pPr>
    </w:p>
    <w:p w14:paraId="209EA3FC" w14:textId="77777777" w:rsidR="00477B8F" w:rsidRPr="009118AB" w:rsidRDefault="00477B8F" w:rsidP="00215D34">
      <w:pPr>
        <w:autoSpaceDE w:val="0"/>
        <w:autoSpaceDN w:val="0"/>
        <w:adjustRightInd w:val="0"/>
        <w:ind w:firstLine="708"/>
        <w:jc w:val="both"/>
      </w:pPr>
      <w:r w:rsidRPr="009118AB">
        <w:t xml:space="preserve">5. Unternehmen, deren Haupttätigkeit in der Vermögensverwaltung, der Beratung zur Vermögensverwaltung oder der Verwahrung und Verwaltung von Finanzinstrumenten besteht, </w:t>
      </w:r>
      <w:r w:rsidRPr="009118AB">
        <w:lastRenderedPageBreak/>
        <w:t>und Unternehmen, die aufgrund der Rechtsvorschriften, denen sie unterliegen, ermächtigt sind eine dieser Tätigkeiten auszuüben.]</w:t>
      </w:r>
    </w:p>
    <w:p w14:paraId="0105AF73" w14:textId="77777777" w:rsidR="00477B8F" w:rsidRPr="009118AB" w:rsidRDefault="00477B8F" w:rsidP="00477B8F">
      <w:pPr>
        <w:autoSpaceDE w:val="0"/>
        <w:autoSpaceDN w:val="0"/>
        <w:adjustRightInd w:val="0"/>
        <w:jc w:val="both"/>
      </w:pPr>
    </w:p>
    <w:p w14:paraId="52288B65" w14:textId="77777777" w:rsidR="00477B8F" w:rsidRPr="009118AB" w:rsidRDefault="00477B8F" w:rsidP="00215D34">
      <w:pPr>
        <w:autoSpaceDE w:val="0"/>
        <w:autoSpaceDN w:val="0"/>
        <w:adjustRightInd w:val="0"/>
        <w:ind w:firstLine="708"/>
        <w:jc w:val="both"/>
      </w:pPr>
      <w:r w:rsidRPr="009118AB">
        <w:t>[Außer in dem in Artikel 268 erwähnten Fall müssen in Absatz 1 erwähnte Schuldner:</w:t>
      </w:r>
    </w:p>
    <w:p w14:paraId="78787981" w14:textId="77777777" w:rsidR="00477B8F" w:rsidRPr="009118AB" w:rsidRDefault="00477B8F" w:rsidP="00477B8F">
      <w:pPr>
        <w:autoSpaceDE w:val="0"/>
        <w:autoSpaceDN w:val="0"/>
        <w:adjustRightInd w:val="0"/>
        <w:jc w:val="both"/>
      </w:pPr>
    </w:p>
    <w:p w14:paraId="40DA5109" w14:textId="77777777" w:rsidR="00477B8F" w:rsidRPr="009118AB" w:rsidRDefault="00477B8F" w:rsidP="00215D34">
      <w:pPr>
        <w:autoSpaceDE w:val="0"/>
        <w:autoSpaceDN w:val="0"/>
        <w:adjustRightInd w:val="0"/>
        <w:ind w:firstLine="708"/>
        <w:jc w:val="both"/>
      </w:pPr>
      <w:r w:rsidRPr="009118AB">
        <w:t>- den Mobiliensteuervorabzug auf steuerpflichtige Einkünfte einbehalten, die in bar zuerkannt oder ausgeschüttet werden,</w:t>
      </w:r>
    </w:p>
    <w:p w14:paraId="126393D3" w14:textId="77777777" w:rsidR="00215D34" w:rsidRPr="009118AB" w:rsidRDefault="00215D34" w:rsidP="00477B8F">
      <w:pPr>
        <w:autoSpaceDE w:val="0"/>
        <w:autoSpaceDN w:val="0"/>
        <w:adjustRightInd w:val="0"/>
        <w:jc w:val="both"/>
      </w:pPr>
    </w:p>
    <w:p w14:paraId="112AB90E" w14:textId="77777777" w:rsidR="00477B8F" w:rsidRPr="009118AB" w:rsidRDefault="00477B8F" w:rsidP="00215D34">
      <w:pPr>
        <w:autoSpaceDE w:val="0"/>
        <w:autoSpaceDN w:val="0"/>
        <w:adjustRightInd w:val="0"/>
        <w:ind w:firstLine="708"/>
        <w:jc w:val="both"/>
      </w:pPr>
      <w:r w:rsidRPr="009118AB">
        <w:t>- sich im Falle der Zuerkennung oder Ausschüttung in der Form von Sachgütern auf gleich welche Weise den Betrag des Mobiliensteuervorabzugs, der auf diese Einkünfte geschuldet wird, auszahlen lassen.]</w:t>
      </w:r>
    </w:p>
    <w:p w14:paraId="2F0A18CA" w14:textId="77777777" w:rsidR="00477B8F" w:rsidRPr="009118AB" w:rsidRDefault="00477B8F" w:rsidP="00477B8F">
      <w:pPr>
        <w:autoSpaceDE w:val="0"/>
        <w:autoSpaceDN w:val="0"/>
        <w:adjustRightInd w:val="0"/>
        <w:jc w:val="both"/>
      </w:pPr>
    </w:p>
    <w:p w14:paraId="3165DAE5" w14:textId="174ED143" w:rsidR="00477B8F" w:rsidRPr="009118AB" w:rsidRDefault="00477B8F" w:rsidP="00477B8F">
      <w:pPr>
        <w:autoSpaceDE w:val="0"/>
        <w:autoSpaceDN w:val="0"/>
        <w:adjustRightInd w:val="0"/>
        <w:jc w:val="both"/>
      </w:pPr>
      <w:r w:rsidRPr="009118AB">
        <w:rPr>
          <w:i/>
          <w:iCs/>
        </w:rPr>
        <w:t>[</w:t>
      </w:r>
      <w:r w:rsidR="00D67EB8" w:rsidRPr="009118AB">
        <w:rPr>
          <w:rFonts w:ascii="Times New Roman Italique" w:hAnsi="Times New Roman Italique"/>
          <w:i/>
          <w:iCs/>
        </w:rPr>
        <w:t>Art. </w:t>
      </w:r>
      <w:r w:rsidRPr="009118AB">
        <w:rPr>
          <w:rFonts w:ascii="Times New Roman Italique" w:hAnsi="Times New Roman Italique"/>
          <w:i/>
          <w:iCs/>
        </w:rPr>
        <w:t xml:space="preserve">261 </w:t>
      </w:r>
      <w:r w:rsidR="00D67EB8" w:rsidRPr="009118AB">
        <w:rPr>
          <w:rFonts w:ascii="Times New Roman Italique" w:hAnsi="Times New Roman Italique"/>
          <w:i/>
          <w:iCs/>
        </w:rPr>
        <w:t>Abs. </w:t>
      </w:r>
      <w:r w:rsidRPr="009118AB">
        <w:rPr>
          <w:rFonts w:ascii="Times New Roman Italique" w:hAnsi="Times New Roman Italique"/>
          <w:i/>
          <w:iCs/>
        </w:rPr>
        <w:t xml:space="preserve">1 einleitende Bestimmung ersetzt durch </w:t>
      </w:r>
      <w:r w:rsidR="00D67EB8" w:rsidRPr="009118AB">
        <w:rPr>
          <w:rFonts w:ascii="Times New Roman Italique" w:hAnsi="Times New Roman Italique"/>
          <w:i/>
          <w:iCs/>
        </w:rPr>
        <w:t>Art. </w:t>
      </w:r>
      <w:r w:rsidRPr="009118AB">
        <w:rPr>
          <w:rFonts w:ascii="Times New Roman Italique" w:hAnsi="Times New Roman Italique"/>
          <w:i/>
          <w:iCs/>
        </w:rPr>
        <w:t xml:space="preserve">5 </w:t>
      </w:r>
      <w:r w:rsidR="00D67EB8" w:rsidRPr="009118AB">
        <w:rPr>
          <w:rFonts w:ascii="Times New Roman Italique" w:hAnsi="Times New Roman Italique"/>
          <w:i/>
          <w:iCs/>
        </w:rPr>
        <w:t>Nr. </w:t>
      </w:r>
      <w:r w:rsidRPr="009118AB">
        <w:rPr>
          <w:rFonts w:ascii="Times New Roman Italique" w:hAnsi="Times New Roman Italique"/>
          <w:i/>
          <w:iCs/>
        </w:rPr>
        <w:t>1 des G. vom 25. April 2006 (B.S. vom 28. April 2006)</w:t>
      </w:r>
      <w:r w:rsidR="00D67EB8" w:rsidRPr="009118AB">
        <w:rPr>
          <w:rFonts w:ascii="Times New Roman Italique" w:hAnsi="Times New Roman Italique"/>
          <w:i/>
          <w:iCs/>
        </w:rPr>
        <w:t> - </w:t>
      </w:r>
      <w:r w:rsidRPr="009118AB">
        <w:rPr>
          <w:rFonts w:ascii="Times New Roman Italique" w:hAnsi="Times New Roman Italique"/>
          <w:i/>
          <w:iCs/>
        </w:rPr>
        <w:t>anwendbar auf Einkünfte aus beweglichen Gütern, die ab dem 1. Juni 2006 anders als in bar zuerkannt oder ausgeschüttet werden</w:t>
      </w:r>
      <w:r w:rsidR="003366D9" w:rsidRPr="009118AB">
        <w:rPr>
          <w:rFonts w:ascii="Times New Roman Italique" w:hAnsi="Times New Roman Italique"/>
          <w:i/>
          <w:iCs/>
        </w:rPr>
        <w:t> -;</w:t>
      </w:r>
      <w:r w:rsidRPr="009118AB">
        <w:rPr>
          <w:rFonts w:ascii="Times New Roman Italique" w:hAnsi="Times New Roman Italique"/>
          <w:i/>
          <w:iCs/>
        </w:rPr>
        <w:t xml:space="preserve"> </w:t>
      </w:r>
      <w:r w:rsidR="00D67EB8" w:rsidRPr="009118AB">
        <w:rPr>
          <w:rFonts w:ascii="Times New Roman Italique" w:hAnsi="Times New Roman Italique"/>
          <w:i/>
          <w:iCs/>
        </w:rPr>
        <w:t>Abs. </w:t>
      </w:r>
      <w:r w:rsidRPr="009118AB">
        <w:rPr>
          <w:rFonts w:ascii="Times New Roman Italique" w:hAnsi="Times New Roman Italique"/>
          <w:i/>
          <w:iCs/>
        </w:rPr>
        <w:t xml:space="preserve">1 </w:t>
      </w:r>
      <w:r w:rsidR="00D67EB8" w:rsidRPr="009118AB">
        <w:rPr>
          <w:rFonts w:ascii="Times New Roman Italique" w:hAnsi="Times New Roman Italique"/>
          <w:i/>
          <w:iCs/>
        </w:rPr>
        <w:t>Nr. </w:t>
      </w:r>
      <w:r w:rsidRPr="009118AB">
        <w:rPr>
          <w:rFonts w:ascii="Times New Roman Italique" w:hAnsi="Times New Roman Italique"/>
          <w:i/>
          <w:iCs/>
        </w:rPr>
        <w:t>1 ersetzt</w:t>
      </w:r>
      <w:r w:rsidRPr="009118AB">
        <w:rPr>
          <w:rFonts w:ascii="Times New Roman Italique" w:hAnsi="Times New Roman Italique"/>
        </w:rPr>
        <w:t xml:space="preserve"> </w:t>
      </w:r>
      <w:r w:rsidRPr="009118AB">
        <w:rPr>
          <w:rFonts w:ascii="Times New Roman Italique" w:hAnsi="Times New Roman Italique"/>
          <w:i/>
          <w:iCs/>
        </w:rPr>
        <w:t xml:space="preserve">durch </w:t>
      </w:r>
      <w:r w:rsidR="00D67EB8" w:rsidRPr="009118AB">
        <w:rPr>
          <w:rFonts w:ascii="Times New Roman Italique" w:hAnsi="Times New Roman Italique"/>
          <w:i/>
          <w:iCs/>
        </w:rPr>
        <w:t>Art. </w:t>
      </w:r>
      <w:r w:rsidRPr="009118AB">
        <w:rPr>
          <w:rFonts w:ascii="Times New Roman Italique" w:hAnsi="Times New Roman Italique"/>
          <w:i/>
          <w:iCs/>
        </w:rPr>
        <w:t xml:space="preserve">5 </w:t>
      </w:r>
      <w:r w:rsidR="00D67EB8" w:rsidRPr="009118AB">
        <w:rPr>
          <w:rFonts w:ascii="Times New Roman Italique" w:hAnsi="Times New Roman Italique"/>
          <w:i/>
          <w:iCs/>
        </w:rPr>
        <w:t>Nr. </w:t>
      </w:r>
      <w:r w:rsidRPr="009118AB">
        <w:rPr>
          <w:rFonts w:ascii="Times New Roman Italique" w:hAnsi="Times New Roman Italique"/>
          <w:i/>
          <w:iCs/>
        </w:rPr>
        <w:t>2 des G. vom 25. April 2006 (B.S. vom 28. April 2006)</w:t>
      </w:r>
      <w:r w:rsidR="00D67EB8" w:rsidRPr="009118AB">
        <w:rPr>
          <w:rFonts w:ascii="Times New Roman Italique" w:hAnsi="Times New Roman Italique"/>
          <w:i/>
          <w:iCs/>
        </w:rPr>
        <w:t> - </w:t>
      </w:r>
      <w:r w:rsidRPr="009118AB">
        <w:rPr>
          <w:rFonts w:ascii="Times New Roman Italique" w:hAnsi="Times New Roman Italique"/>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w:t>
      </w:r>
      <w:r w:rsidRPr="009118AB">
        <w:rPr>
          <w:i/>
          <w:iCs/>
        </w:rPr>
        <w:t xml:space="preserve">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D67EB8" w:rsidRPr="009118AB">
        <w:rPr>
          <w:i/>
          <w:iCs/>
        </w:rPr>
        <w:t> - </w:t>
      </w:r>
      <w:r w:rsidR="002A68D2" w:rsidRPr="009118AB">
        <w:rPr>
          <w:i/>
          <w:iCs/>
        </w:rPr>
        <w:t xml:space="preserve">und abgeändert durch </w:t>
      </w:r>
      <w:r w:rsidR="00D67EB8" w:rsidRPr="009118AB">
        <w:rPr>
          <w:i/>
          <w:iCs/>
        </w:rPr>
        <w:t>Art. </w:t>
      </w:r>
      <w:r w:rsidR="002A68D2" w:rsidRPr="009118AB">
        <w:rPr>
          <w:i/>
          <w:iCs/>
        </w:rPr>
        <w:t xml:space="preserve">74 </w:t>
      </w:r>
      <w:r w:rsidR="00D67EB8" w:rsidRPr="009118AB">
        <w:rPr>
          <w:i/>
          <w:iCs/>
        </w:rPr>
        <w:t>Nr. </w:t>
      </w:r>
      <w:r w:rsidR="002A68D2" w:rsidRPr="009118AB">
        <w:rPr>
          <w:i/>
          <w:iCs/>
        </w:rPr>
        <w:t>1</w:t>
      </w:r>
      <w:r w:rsidR="002A68D2" w:rsidRPr="009118AB">
        <w:rPr>
          <w:i/>
        </w:rPr>
        <w:t xml:space="preserve"> des G. vom 26. Dezember 2015 (II) (B.S. vom 30. Dezember 2015)</w:t>
      </w:r>
      <w:r w:rsidR="00D67EB8" w:rsidRPr="009118AB">
        <w:t> - </w:t>
      </w:r>
      <w:r w:rsidR="002A68D2"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B176A2" w:rsidRPr="009118AB">
        <w:rPr>
          <w:i/>
        </w:rPr>
        <w:t xml:space="preserve">und </w:t>
      </w:r>
      <w:r w:rsidR="00D67EB8" w:rsidRPr="009118AB">
        <w:rPr>
          <w:i/>
        </w:rPr>
        <w:t>Art. </w:t>
      </w:r>
      <w:r w:rsidR="00B176A2" w:rsidRPr="009118AB">
        <w:rPr>
          <w:i/>
        </w:rPr>
        <w:t xml:space="preserve">110 </w:t>
      </w:r>
      <w:r w:rsidR="00D67EB8" w:rsidRPr="009118AB">
        <w:rPr>
          <w:i/>
        </w:rPr>
        <w:t>Nr. </w:t>
      </w:r>
      <w:r w:rsidR="00B176A2" w:rsidRPr="009118AB">
        <w:rPr>
          <w:i/>
        </w:rPr>
        <w:t xml:space="preserve">1 </w:t>
      </w:r>
      <w:r w:rsidR="00B176A2" w:rsidRPr="009118AB">
        <w:rPr>
          <w:i/>
          <w:iCs/>
        </w:rPr>
        <w:t>des G. vom 25. Dezember 2017 (IV) (B.S. vom 29. Dezember 2017)</w:t>
      </w:r>
      <w:r w:rsidR="00D67EB8" w:rsidRPr="009118AB">
        <w:rPr>
          <w:i/>
          <w:iCs/>
        </w:rPr>
        <w:t> - </w:t>
      </w:r>
      <w:r w:rsidR="00B176A2" w:rsidRPr="009118AB">
        <w:rPr>
          <w:i/>
        </w:rPr>
        <w:t>anwendbar auf die ab dem 1. Januar 2018 gezahlten oder zuerkannten Einkünfte</w:t>
      </w:r>
      <w:r w:rsidR="003366D9" w:rsidRPr="009118AB">
        <w:rPr>
          <w:i/>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2 ersetzt</w:t>
      </w:r>
      <w:r w:rsidRPr="009118AB">
        <w:t xml:space="preserve"> </w:t>
      </w:r>
      <w:r w:rsidRPr="009118AB">
        <w:rPr>
          <w:i/>
          <w:iCs/>
        </w:rPr>
        <w:t xml:space="preserve">durch </w:t>
      </w:r>
      <w:r w:rsidR="00D67EB8" w:rsidRPr="009118AB">
        <w:rPr>
          <w:i/>
          <w:iCs/>
        </w:rPr>
        <w:t>Art. </w:t>
      </w:r>
      <w:r w:rsidRPr="009118AB">
        <w:rPr>
          <w:i/>
          <w:iCs/>
        </w:rPr>
        <w:t xml:space="preserve">5 </w:t>
      </w:r>
      <w:r w:rsidR="00D67EB8" w:rsidRPr="009118AB">
        <w:rPr>
          <w:i/>
          <w:iCs/>
        </w:rPr>
        <w:t>Nr. </w:t>
      </w:r>
      <w:r w:rsidRPr="009118AB">
        <w:rPr>
          <w:i/>
          <w:iCs/>
        </w:rPr>
        <w:t>3 des G. vom 25. April 2006 (B.S. vom 28. April 2006)</w:t>
      </w:r>
      <w:r w:rsidR="00D67EB8" w:rsidRPr="009118AB">
        <w:rPr>
          <w:i/>
          <w:iCs/>
        </w:rPr>
        <w:t> - </w:t>
      </w:r>
      <w:r w:rsidRPr="009118AB">
        <w:rPr>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118AB">
        <w:rPr>
          <w:i/>
          <w:iCs/>
        </w:rPr>
        <w:t> -;</w:t>
      </w:r>
      <w:r w:rsidRPr="009118AB">
        <w:rPr>
          <w:i/>
          <w:iCs/>
        </w:rPr>
        <w:t xml:space="preserve"> </w:t>
      </w:r>
      <w:r w:rsidR="00D67EB8" w:rsidRPr="009118AB">
        <w:rPr>
          <w:i/>
          <w:iCs/>
        </w:rPr>
        <w:t>Abs. </w:t>
      </w:r>
      <w:r w:rsidR="002A68D2" w:rsidRPr="009118AB">
        <w:rPr>
          <w:i/>
          <w:iCs/>
        </w:rPr>
        <w:t xml:space="preserve">1 </w:t>
      </w:r>
      <w:r w:rsidR="00D67EB8" w:rsidRPr="009118AB">
        <w:rPr>
          <w:i/>
          <w:iCs/>
        </w:rPr>
        <w:t>Nr. </w:t>
      </w:r>
      <w:r w:rsidR="002A68D2" w:rsidRPr="009118AB">
        <w:rPr>
          <w:i/>
          <w:iCs/>
        </w:rPr>
        <w:t xml:space="preserve">2 einziger Absatz einleitende Bestimmung abgeändert durch </w:t>
      </w:r>
      <w:r w:rsidR="00D67EB8" w:rsidRPr="009118AB">
        <w:rPr>
          <w:i/>
          <w:iCs/>
        </w:rPr>
        <w:t>Art. </w:t>
      </w:r>
      <w:r w:rsidR="002A68D2" w:rsidRPr="009118AB">
        <w:rPr>
          <w:i/>
          <w:iCs/>
        </w:rPr>
        <w:t xml:space="preserve">74 </w:t>
      </w:r>
      <w:r w:rsidR="00D67EB8" w:rsidRPr="009118AB">
        <w:rPr>
          <w:i/>
          <w:iCs/>
        </w:rPr>
        <w:t>Nr. </w:t>
      </w:r>
      <w:r w:rsidR="002A68D2" w:rsidRPr="009118AB">
        <w:rPr>
          <w:i/>
          <w:iCs/>
        </w:rPr>
        <w:t>2</w:t>
      </w:r>
      <w:r w:rsidR="002A68D2" w:rsidRPr="009118AB">
        <w:rPr>
          <w:i/>
        </w:rPr>
        <w:t xml:space="preserve"> des G. vom 26. Dezember 2015 (II) (B.S. vom 30. Dezember 2015)</w:t>
      </w:r>
      <w:r w:rsidR="00D67EB8" w:rsidRPr="009118AB">
        <w:t> - </w:t>
      </w:r>
      <w:r w:rsidR="002A68D2"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B176A2" w:rsidRPr="009118AB">
        <w:rPr>
          <w:i/>
        </w:rPr>
        <w:t xml:space="preserve">und </w:t>
      </w:r>
      <w:r w:rsidR="00D67EB8" w:rsidRPr="009118AB">
        <w:rPr>
          <w:i/>
        </w:rPr>
        <w:t>Art. </w:t>
      </w:r>
      <w:r w:rsidR="00B176A2" w:rsidRPr="009118AB">
        <w:rPr>
          <w:i/>
        </w:rPr>
        <w:t xml:space="preserve">110 </w:t>
      </w:r>
      <w:r w:rsidR="00D67EB8" w:rsidRPr="009118AB">
        <w:rPr>
          <w:i/>
        </w:rPr>
        <w:t>Nr. </w:t>
      </w:r>
      <w:r w:rsidR="00B176A2" w:rsidRPr="009118AB">
        <w:rPr>
          <w:i/>
        </w:rPr>
        <w:t>2</w:t>
      </w:r>
      <w:r w:rsidR="00B176A2" w:rsidRPr="009118AB">
        <w:rPr>
          <w:rFonts w:ascii="Times New Roman Italique" w:hAnsi="Times New Roman Italique"/>
          <w:i/>
          <w:iCs/>
          <w:spacing w:val="-2"/>
        </w:rPr>
        <w:t xml:space="preserve"> </w:t>
      </w:r>
      <w:r w:rsidR="00B176A2" w:rsidRPr="009118AB">
        <w:rPr>
          <w:i/>
          <w:iCs/>
        </w:rPr>
        <w:t>des G. vom 25. Dezember 2017 (IV) (B.S. vom 29. Dezember 2017)</w:t>
      </w:r>
      <w:r w:rsidR="00D67EB8" w:rsidRPr="009118AB">
        <w:rPr>
          <w:i/>
          <w:iCs/>
        </w:rPr>
        <w:t> - </w:t>
      </w:r>
      <w:r w:rsidR="00B176A2" w:rsidRPr="009118AB">
        <w:rPr>
          <w:i/>
        </w:rPr>
        <w:t>anwendbar auf die ab dem 1. Januar 2018 gezahlten oder zuerkannten Einkünfte</w:t>
      </w:r>
      <w:r w:rsidR="003366D9" w:rsidRPr="009118AB">
        <w:rPr>
          <w:i/>
        </w:rPr>
        <w:t> -;</w:t>
      </w:r>
      <w:r w:rsidR="002A68D2" w:rsidRPr="009118AB">
        <w:rPr>
          <w:i/>
        </w:rPr>
        <w:t xml:space="preserve"> </w:t>
      </w:r>
      <w:r w:rsidR="00D67EB8" w:rsidRPr="009118AB">
        <w:rPr>
          <w:i/>
          <w:iCs/>
        </w:rPr>
        <w:t>Abs. </w:t>
      </w:r>
      <w:r w:rsidR="002A68D2" w:rsidRPr="009118AB">
        <w:rPr>
          <w:i/>
          <w:iCs/>
        </w:rPr>
        <w:t xml:space="preserve">1 </w:t>
      </w:r>
      <w:r w:rsidR="00D67EB8" w:rsidRPr="009118AB">
        <w:rPr>
          <w:i/>
          <w:iCs/>
        </w:rPr>
        <w:t>Nr. </w:t>
      </w:r>
      <w:r w:rsidR="002A68D2" w:rsidRPr="009118AB">
        <w:rPr>
          <w:i/>
          <w:iCs/>
        </w:rPr>
        <w:t xml:space="preserve">2 einziger Absatz Buchstabe c) abgeändert durch </w:t>
      </w:r>
      <w:r w:rsidR="00D67EB8" w:rsidRPr="009118AB">
        <w:rPr>
          <w:i/>
          <w:iCs/>
        </w:rPr>
        <w:t>Art. </w:t>
      </w:r>
      <w:r w:rsidR="002A68D2" w:rsidRPr="009118AB">
        <w:rPr>
          <w:i/>
          <w:iCs/>
        </w:rPr>
        <w:t xml:space="preserve">74 </w:t>
      </w:r>
      <w:r w:rsidR="00D67EB8" w:rsidRPr="009118AB">
        <w:rPr>
          <w:i/>
          <w:iCs/>
        </w:rPr>
        <w:t>Nr. </w:t>
      </w:r>
      <w:r w:rsidR="002A68D2" w:rsidRPr="009118AB">
        <w:rPr>
          <w:i/>
          <w:iCs/>
        </w:rPr>
        <w:t>2</w:t>
      </w:r>
      <w:r w:rsidR="002A68D2" w:rsidRPr="009118AB">
        <w:rPr>
          <w:i/>
        </w:rPr>
        <w:t xml:space="preserve"> des G. vom 26. Dezember 2015 (II) (B.S. vom </w:t>
      </w:r>
      <w:r w:rsidR="002A68D2" w:rsidRPr="009118AB">
        <w:rPr>
          <w:i/>
        </w:rPr>
        <w:lastRenderedPageBreak/>
        <w:t>30. Dezember 2015)</w:t>
      </w:r>
      <w:r w:rsidR="00D67EB8" w:rsidRPr="009118AB">
        <w:t> - </w:t>
      </w:r>
      <w:r w:rsidR="002A68D2"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2A68D2" w:rsidRPr="009118AB">
        <w:rPr>
          <w:i/>
        </w:rPr>
        <w:t xml:space="preserve"> </w:t>
      </w:r>
      <w:r w:rsidR="00D67EB8" w:rsidRPr="009118AB">
        <w:rPr>
          <w:i/>
          <w:iCs/>
        </w:rPr>
        <w:t>Abs. </w:t>
      </w:r>
      <w:r w:rsidR="00B176A2" w:rsidRPr="009118AB">
        <w:rPr>
          <w:i/>
          <w:iCs/>
        </w:rPr>
        <w:t xml:space="preserve">1 </w:t>
      </w:r>
      <w:r w:rsidR="00D67EB8" w:rsidRPr="009118AB">
        <w:rPr>
          <w:i/>
          <w:iCs/>
        </w:rPr>
        <w:t>Nr. </w:t>
      </w:r>
      <w:r w:rsidRPr="009118AB">
        <w:rPr>
          <w:i/>
          <w:iCs/>
        </w:rPr>
        <w:t xml:space="preserve">2bis eingefügt durch </w:t>
      </w:r>
      <w:r w:rsidR="00D67EB8" w:rsidRPr="009118AB">
        <w:rPr>
          <w:i/>
          <w:iCs/>
        </w:rPr>
        <w:t>Art. </w:t>
      </w:r>
      <w:r w:rsidRPr="009118AB">
        <w:rPr>
          <w:i/>
          <w:iCs/>
        </w:rPr>
        <w:t>113 des G. vom 27. Dezember 2005 (I) (B.S. vom 30. Dezember 2005)</w:t>
      </w:r>
      <w:r w:rsidR="00D67EB8" w:rsidRPr="009118AB">
        <w:rPr>
          <w:i/>
          <w:iCs/>
        </w:rPr>
        <w:t> - </w:t>
      </w:r>
      <w:r w:rsidRPr="009118AB">
        <w:rPr>
          <w:i/>
          <w:iCs/>
        </w:rPr>
        <w:t>anwendbar auf die ab dem 1. Januar 2006 gezahlten Einkünfte</w:t>
      </w:r>
      <w:r w:rsidR="00D67EB8" w:rsidRPr="009118AB">
        <w:rPr>
          <w:i/>
          <w:iCs/>
        </w:rPr>
        <w:t> - </w:t>
      </w:r>
      <w:r w:rsidR="00FB4FAC" w:rsidRPr="009118AB">
        <w:rPr>
          <w:i/>
          <w:iCs/>
        </w:rPr>
        <w:t xml:space="preserve">und ersetzt durch </w:t>
      </w:r>
      <w:r w:rsidR="00D67EB8" w:rsidRPr="009118AB">
        <w:rPr>
          <w:i/>
          <w:iCs/>
        </w:rPr>
        <w:t>Art. </w:t>
      </w:r>
      <w:r w:rsidR="00FB4FAC" w:rsidRPr="009118AB">
        <w:rPr>
          <w:i/>
          <w:iCs/>
        </w:rPr>
        <w:t>16</w:t>
      </w:r>
      <w:r w:rsidR="00FB4FAC" w:rsidRPr="009118AB">
        <w:rPr>
          <w:i/>
        </w:rPr>
        <w:t xml:space="preserve"> des G. vom 21. Dezember 2009 (B.S. vom 31. Dezember 2009)</w:t>
      </w:r>
      <w:r w:rsidR="00D67EB8" w:rsidRPr="009118AB">
        <w:rPr>
          <w:i/>
        </w:rPr>
        <w:t> - </w:t>
      </w:r>
      <w:r w:rsidR="00FB4FAC" w:rsidRPr="009118AB">
        <w:rPr>
          <w:i/>
        </w:rPr>
        <w:t>in Kraft am 1. Januar 2010</w:t>
      </w:r>
      <w:r w:rsidR="003366D9" w:rsidRPr="009118AB">
        <w:rPr>
          <w:i/>
        </w:rPr>
        <w:t> -;</w:t>
      </w:r>
      <w:r w:rsidRPr="009118AB">
        <w:rPr>
          <w:i/>
          <w:iCs/>
        </w:rPr>
        <w:t xml:space="preserve"> </w:t>
      </w:r>
      <w:r w:rsidR="00D67EB8" w:rsidRPr="009118AB">
        <w:rPr>
          <w:i/>
          <w:iCs/>
        </w:rPr>
        <w:t>Abs. </w:t>
      </w:r>
      <w:r w:rsidR="002A68D2" w:rsidRPr="009118AB">
        <w:rPr>
          <w:i/>
          <w:iCs/>
        </w:rPr>
        <w:t xml:space="preserve">1 </w:t>
      </w:r>
      <w:r w:rsidR="00D67EB8" w:rsidRPr="009118AB">
        <w:rPr>
          <w:i/>
          <w:iCs/>
        </w:rPr>
        <w:t>Nr. </w:t>
      </w:r>
      <w:r w:rsidR="002A68D2" w:rsidRPr="009118AB">
        <w:rPr>
          <w:i/>
          <w:iCs/>
        </w:rPr>
        <w:t xml:space="preserve">2ter eingefügt durch </w:t>
      </w:r>
      <w:r w:rsidR="00D67EB8" w:rsidRPr="009118AB">
        <w:rPr>
          <w:i/>
          <w:iCs/>
        </w:rPr>
        <w:t>Art. </w:t>
      </w:r>
      <w:r w:rsidR="002A68D2" w:rsidRPr="009118AB">
        <w:rPr>
          <w:i/>
          <w:iCs/>
        </w:rPr>
        <w:t xml:space="preserve">74 </w:t>
      </w:r>
      <w:r w:rsidR="00D67EB8" w:rsidRPr="009118AB">
        <w:rPr>
          <w:i/>
          <w:iCs/>
        </w:rPr>
        <w:t>Nr. </w:t>
      </w:r>
      <w:r w:rsidR="002A68D2" w:rsidRPr="009118AB">
        <w:rPr>
          <w:i/>
          <w:iCs/>
        </w:rPr>
        <w:t>3</w:t>
      </w:r>
      <w:r w:rsidR="002A68D2" w:rsidRPr="009118AB">
        <w:rPr>
          <w:i/>
        </w:rPr>
        <w:t xml:space="preserve"> des G. vom 26. Dezember 2015 (II) (B.S. vom 30. Dezember 2015)</w:t>
      </w:r>
      <w:r w:rsidR="00D67EB8" w:rsidRPr="009118AB">
        <w:t> - </w:t>
      </w:r>
      <w:r w:rsidR="002A68D2"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0F3808" w:rsidRPr="009118AB">
        <w:rPr>
          <w:i/>
        </w:rPr>
        <w:t xml:space="preserve">und aufgehoben durch </w:t>
      </w:r>
      <w:r w:rsidR="00D67EB8" w:rsidRPr="009118AB">
        <w:rPr>
          <w:i/>
        </w:rPr>
        <w:t>Art. </w:t>
      </w:r>
      <w:r w:rsidR="000F3808" w:rsidRPr="009118AB">
        <w:rPr>
          <w:i/>
        </w:rPr>
        <w:t>87 des G. vom 25. Dezember 2016</w:t>
      </w:r>
      <w:r w:rsidR="001022BB" w:rsidRPr="009118AB">
        <w:rPr>
          <w:i/>
        </w:rPr>
        <w:t> (I)</w:t>
      </w:r>
      <w:r w:rsidR="000F3808" w:rsidRPr="009118AB">
        <w:rPr>
          <w:i/>
        </w:rPr>
        <w:t xml:space="preserve"> (B.S. vom 29. Dezember 2016)</w:t>
      </w:r>
      <w:r w:rsidR="00D67EB8" w:rsidRPr="009118AB">
        <w:rPr>
          <w:i/>
        </w:rPr>
        <w:t> - </w:t>
      </w:r>
      <w:r w:rsidR="000F3808" w:rsidRPr="009118AB">
        <w:rPr>
          <w:i/>
        </w:rPr>
        <w:t>in Kraft am 1. Januar 2017 und anwendbar auf die ab dem 1. Januar 2017 verwirklichten Mehrwerte</w:t>
      </w:r>
      <w:r w:rsidR="003366D9" w:rsidRPr="009118AB">
        <w:rPr>
          <w:i/>
        </w:rPr>
        <w:t> -;</w:t>
      </w:r>
      <w:r w:rsidR="002A68D2" w:rsidRPr="009118AB">
        <w:rPr>
          <w:i/>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3 eingefügt durch </w:t>
      </w:r>
      <w:r w:rsidR="00D67EB8" w:rsidRPr="009118AB">
        <w:rPr>
          <w:i/>
          <w:iCs/>
        </w:rPr>
        <w:t>Art. </w:t>
      </w:r>
      <w:r w:rsidRPr="009118AB">
        <w:rPr>
          <w:i/>
          <w:iCs/>
        </w:rPr>
        <w:t>5 des G. vom 4. April 1995 (B.S. vom 23. Mai 1995)</w:t>
      </w:r>
      <w:r w:rsidR="005935FC" w:rsidRPr="009118AB">
        <w:rPr>
          <w:i/>
          <w:iCs/>
        </w:rPr>
        <w:t>,</w:t>
      </w:r>
      <w:r w:rsidRPr="009118AB">
        <w:rPr>
          <w:i/>
          <w:iCs/>
        </w:rPr>
        <w:t xml:space="preserve"> ersetzt durch </w:t>
      </w:r>
      <w:r w:rsidR="00D67EB8" w:rsidRPr="009118AB">
        <w:rPr>
          <w:i/>
          <w:iCs/>
        </w:rPr>
        <w:t>Art. </w:t>
      </w:r>
      <w:r w:rsidRPr="009118AB">
        <w:rPr>
          <w:i/>
          <w:iCs/>
        </w:rPr>
        <w:t>324 des G.</w:t>
      </w:r>
      <w:r w:rsidR="009A3FEF" w:rsidRPr="009118AB">
        <w:rPr>
          <w:i/>
          <w:iCs/>
        </w:rPr>
        <w:t> </w:t>
      </w:r>
      <w:r w:rsidR="00D04E91" w:rsidRPr="009118AB">
        <w:rPr>
          <w:i/>
          <w:iCs/>
        </w:rPr>
        <w:t>(I)</w:t>
      </w:r>
      <w:r w:rsidRPr="009118AB">
        <w:rPr>
          <w:i/>
          <w:iCs/>
        </w:rPr>
        <w:t xml:space="preserve"> vom 27. Dezember 2006 (</w:t>
      </w:r>
      <w:r w:rsidR="00D04E91" w:rsidRPr="009118AB">
        <w:rPr>
          <w:i/>
          <w:iCs/>
        </w:rPr>
        <w:t>I</w:t>
      </w:r>
      <w:r w:rsidRPr="009118AB">
        <w:rPr>
          <w:i/>
          <w:iCs/>
        </w:rPr>
        <w:t>I) (B.S. vom 28. Dezember 2006)</w:t>
      </w:r>
      <w:r w:rsidR="00D67EB8" w:rsidRPr="009118AB">
        <w:rPr>
          <w:i/>
          <w:iCs/>
        </w:rPr>
        <w:t> - </w:t>
      </w:r>
      <w:r w:rsidRPr="009118AB">
        <w:rPr>
          <w:i/>
          <w:iCs/>
        </w:rPr>
        <w:t>in Kraft ab dem 1. Januar 2007</w:t>
      </w:r>
      <w:r w:rsidR="00D67EB8" w:rsidRPr="009118AB">
        <w:rPr>
          <w:i/>
          <w:iCs/>
        </w:rPr>
        <w:t> - </w:t>
      </w:r>
      <w:r w:rsidR="005935FC" w:rsidRPr="009118AB">
        <w:rPr>
          <w:i/>
          <w:iCs/>
        </w:rPr>
        <w:t>und abgeändert durch</w:t>
      </w:r>
      <w:r w:rsidR="005935FC"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5935FC" w:rsidRPr="009118AB">
        <w:rPr>
          <w:rFonts w:ascii="Times New Roman Italique" w:hAnsi="Times New Roman Italique"/>
          <w:i/>
          <w:iCs/>
          <w:spacing w:val="-2"/>
        </w:rPr>
        <w:t>331 des K.E. vom 3. März 2011 (B.S</w:t>
      </w:r>
      <w:r w:rsidR="00FE02D0" w:rsidRPr="009118AB">
        <w:rPr>
          <w:rFonts w:ascii="Times New Roman Italique" w:hAnsi="Times New Roman Italique"/>
          <w:i/>
          <w:iCs/>
          <w:spacing w:val="-2"/>
        </w:rPr>
        <w:t>.</w:t>
      </w:r>
      <w:r w:rsidR="005935FC" w:rsidRPr="009118AB">
        <w:rPr>
          <w:rFonts w:ascii="Times New Roman Italique" w:hAnsi="Times New Roman Italique"/>
          <w:i/>
          <w:iCs/>
          <w:spacing w:val="-2"/>
        </w:rPr>
        <w:t xml:space="preserve"> vom 9. März 2011)</w:t>
      </w:r>
      <w:r w:rsidR="00D67EB8" w:rsidRPr="009118AB">
        <w:rPr>
          <w:rFonts w:ascii="Times New Roman Italique" w:hAnsi="Times New Roman Italique"/>
          <w:i/>
          <w:iCs/>
          <w:spacing w:val="-2"/>
        </w:rPr>
        <w:t> - </w:t>
      </w:r>
      <w:r w:rsidR="005935FC" w:rsidRPr="009118AB">
        <w:rPr>
          <w:rFonts w:ascii="Times New Roman Italique" w:hAnsi="Times New Roman Italique"/>
          <w:i/>
          <w:iCs/>
          <w:spacing w:val="-2"/>
        </w:rPr>
        <w:t>in Kraft am 1. April 2011</w:t>
      </w:r>
      <w:r w:rsidR="00D67EB8" w:rsidRPr="009118AB">
        <w:rPr>
          <w:rFonts w:ascii="Times New Roman Italique" w:hAnsi="Times New Roman Italique"/>
          <w:i/>
          <w:iCs/>
          <w:spacing w:val="-2"/>
        </w:rPr>
        <w:t> - </w:t>
      </w:r>
      <w:r w:rsidR="00DF2C4D"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DF2C4D" w:rsidRPr="009118AB">
        <w:rPr>
          <w:rFonts w:ascii="Times New Roman Italique" w:hAnsi="Times New Roman Italique" w:hint="eastAsia"/>
          <w:i/>
          <w:iCs/>
          <w:spacing w:val="-2"/>
        </w:rPr>
        <w:t>2</w:t>
      </w:r>
      <w:r w:rsidR="00DF2C4D" w:rsidRPr="009118AB">
        <w:rPr>
          <w:rFonts w:ascii="Times New Roman Italique" w:hAnsi="Times New Roman Italique"/>
          <w:i/>
          <w:iCs/>
          <w:spacing w:val="-2"/>
        </w:rPr>
        <w:t>5</w:t>
      </w:r>
      <w:r w:rsidR="00DF2C4D" w:rsidRPr="009118AB">
        <w:rPr>
          <w:i/>
          <w:iCs/>
        </w:rPr>
        <w:t xml:space="preserve"> des G. vom 18. Dezember 2015 (II) (B.S. vom 28. Dezember 2015)</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4 eingefügt durch </w:t>
      </w:r>
      <w:r w:rsidR="00D67EB8" w:rsidRPr="009118AB">
        <w:rPr>
          <w:i/>
          <w:iCs/>
        </w:rPr>
        <w:t>Art. </w:t>
      </w:r>
      <w:r w:rsidRPr="009118AB">
        <w:rPr>
          <w:i/>
          <w:iCs/>
        </w:rPr>
        <w:t xml:space="preserve">54 </w:t>
      </w:r>
      <w:r w:rsidR="00D67EB8" w:rsidRPr="009118AB">
        <w:rPr>
          <w:i/>
          <w:iCs/>
        </w:rPr>
        <w:t>Nr. </w:t>
      </w:r>
      <w:r w:rsidRPr="009118AB">
        <w:rPr>
          <w:i/>
          <w:iCs/>
        </w:rPr>
        <w:t>2 des G. vom 15. Dezember 2004 (B.S. vom 1. Februar 2005)</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w:t>
      </w:r>
      <w:r w:rsidR="009C2214" w:rsidRPr="009118AB">
        <w:rPr>
          <w:i/>
          <w:iCs/>
        </w:rPr>
        <w:t>uar 2005 abgeschlossen werden</w:t>
      </w:r>
      <w:r w:rsidR="00FD68E8" w:rsidRPr="009118AB">
        <w:rPr>
          <w:i/>
          <w:iCs/>
        </w:rPr>
        <w:t> -,</w:t>
      </w:r>
      <w:r w:rsidR="009C2214" w:rsidRPr="009118AB">
        <w:rPr>
          <w:i/>
          <w:iCs/>
        </w:rPr>
        <w:t xml:space="preserve"> </w:t>
      </w:r>
      <w:r w:rsidRPr="009118AB">
        <w:rPr>
          <w:i/>
          <w:iCs/>
        </w:rPr>
        <w:t>aufgehoben</w:t>
      </w:r>
      <w:r w:rsidRPr="009118AB">
        <w:t xml:space="preserve"> </w:t>
      </w:r>
      <w:r w:rsidRPr="009118AB">
        <w:rPr>
          <w:i/>
          <w:iCs/>
        </w:rPr>
        <w:t xml:space="preserve">durch </w:t>
      </w:r>
      <w:r w:rsidR="00D67EB8" w:rsidRPr="009118AB">
        <w:rPr>
          <w:i/>
          <w:iCs/>
        </w:rPr>
        <w:t>Art. </w:t>
      </w:r>
      <w:r w:rsidRPr="009118AB">
        <w:rPr>
          <w:i/>
          <w:iCs/>
        </w:rPr>
        <w:t xml:space="preserve">5 </w:t>
      </w:r>
      <w:r w:rsidR="00D67EB8" w:rsidRPr="009118AB">
        <w:rPr>
          <w:i/>
          <w:iCs/>
        </w:rPr>
        <w:t>Nr. </w:t>
      </w:r>
      <w:r w:rsidRPr="009118AB">
        <w:rPr>
          <w:i/>
          <w:iCs/>
        </w:rPr>
        <w:t>4 des G. vom 25. April 2006 (B.S. vom 28. April 2006)</w:t>
      </w:r>
      <w:r w:rsidR="00D67EB8" w:rsidRPr="009118AB">
        <w:rPr>
          <w:i/>
          <w:iCs/>
        </w:rPr>
        <w:t> - </w:t>
      </w:r>
      <w:r w:rsidRPr="009118AB">
        <w:rPr>
          <w:i/>
          <w:iCs/>
        </w:rPr>
        <w:t xml:space="preserve">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w:t>
      </w:r>
      <w:r w:rsidRPr="009118AB">
        <w:rPr>
          <w:rFonts w:ascii="Times New Roman Italique" w:hAnsi="Times New Roman Italique"/>
          <w:i/>
          <w:iCs/>
          <w:spacing w:val="-2"/>
        </w:rPr>
        <w:t>zuerkannt werden, die ab dem 28. April 2006 abgeschlossen werden</w:t>
      </w:r>
      <w:r w:rsidR="00D67EB8" w:rsidRPr="009118AB">
        <w:rPr>
          <w:rFonts w:ascii="Times New Roman Italique" w:hAnsi="Times New Roman Italique"/>
          <w:i/>
          <w:iCs/>
          <w:spacing w:val="-2"/>
        </w:rPr>
        <w:t> - </w:t>
      </w:r>
      <w:r w:rsidR="009C2214" w:rsidRPr="009118AB">
        <w:rPr>
          <w:rFonts w:ascii="Times New Roman Italique" w:hAnsi="Times New Roman Italique"/>
          <w:i/>
          <w:iCs/>
          <w:spacing w:val="-2"/>
        </w:rPr>
        <w:t xml:space="preserve">und wieder aufgenommen durch </w:t>
      </w:r>
      <w:r w:rsidR="00D67EB8" w:rsidRPr="009118AB">
        <w:rPr>
          <w:rFonts w:ascii="Times New Roman Italique" w:hAnsi="Times New Roman Italique"/>
          <w:i/>
          <w:iCs/>
          <w:spacing w:val="-2"/>
        </w:rPr>
        <w:t>Art. </w:t>
      </w:r>
      <w:r w:rsidR="009C2214" w:rsidRPr="009118AB">
        <w:rPr>
          <w:rFonts w:ascii="Times New Roman Italique" w:hAnsi="Times New Roman Italique"/>
          <w:i/>
          <w:iCs/>
          <w:spacing w:val="-2"/>
        </w:rPr>
        <w:t>5 des G. vom 16. Juli 2008 (B.S. vom 30. Juli 2008)</w:t>
      </w:r>
      <w:r w:rsidR="00D67EB8" w:rsidRPr="009118AB">
        <w:rPr>
          <w:rFonts w:ascii="Times New Roman Italique" w:hAnsi="Times New Roman Italique"/>
          <w:i/>
          <w:iCs/>
          <w:spacing w:val="-2"/>
        </w:rPr>
        <w:t> - </w:t>
      </w:r>
      <w:r w:rsidR="009C2214" w:rsidRPr="009118AB">
        <w:rPr>
          <w:rFonts w:ascii="Times New Roman Italique" w:hAnsi="Times New Roman Italique"/>
          <w:i/>
          <w:iCs/>
          <w:spacing w:val="-2"/>
        </w:rPr>
        <w:t>wirksam mit 1. Januar 2008</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neuer Absatz</w:t>
      </w:r>
      <w:r w:rsidR="009A3FEF" w:rsidRPr="009118AB">
        <w:rPr>
          <w:rFonts w:ascii="Times New Roman Italique" w:hAnsi="Times New Roman Italique" w:hint="eastAsia"/>
          <w:i/>
          <w:iCs/>
          <w:spacing w:val="-2"/>
        </w:rPr>
        <w:t> </w:t>
      </w:r>
      <w:r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16 des G. vom 17. Mai 2004 (III) (B.S.</w:t>
      </w:r>
      <w:r w:rsidR="009C2214" w:rsidRPr="009118AB">
        <w:rPr>
          <w:rFonts w:ascii="Times New Roman Italique" w:hAnsi="Times New Roman Italique"/>
          <w:i/>
          <w:iCs/>
          <w:spacing w:val="-2"/>
        </w:rPr>
        <w:t> </w:t>
      </w:r>
      <w:r w:rsidRPr="009118AB">
        <w:rPr>
          <w:rFonts w:ascii="Times New Roman Italique" w:hAnsi="Times New Roman Italique"/>
          <w:i/>
          <w:iCs/>
          <w:spacing w:val="-2"/>
        </w:rPr>
        <w:t>vom 27</w:t>
      </w:r>
      <w:r w:rsidRPr="009118AB">
        <w:rPr>
          <w:i/>
          <w:iCs/>
        </w:rPr>
        <w:t>. Mai 2004)</w:t>
      </w:r>
      <w:r w:rsidR="00D67EB8" w:rsidRPr="009118AB">
        <w:rPr>
          <w:i/>
          <w:iCs/>
        </w:rPr>
        <w:t> - </w:t>
      </w:r>
      <w:r w:rsidRPr="009118AB">
        <w:rPr>
          <w:i/>
          <w:iCs/>
        </w:rPr>
        <w:t>anwendbar ab dem 27. Mai 2004</w:t>
      </w:r>
      <w:r w:rsidR="00D67EB8" w:rsidRPr="009118AB">
        <w:rPr>
          <w:i/>
          <w:iCs/>
        </w:rPr>
        <w:t> - </w:t>
      </w:r>
      <w:r w:rsidRPr="009118AB">
        <w:rPr>
          <w:i/>
        </w:rPr>
        <w:t xml:space="preserve">und ersetzt durch </w:t>
      </w:r>
      <w:r w:rsidR="00D67EB8" w:rsidRPr="009118AB">
        <w:rPr>
          <w:i/>
        </w:rPr>
        <w:t>Art. </w:t>
      </w:r>
      <w:r w:rsidRPr="009118AB">
        <w:rPr>
          <w:i/>
        </w:rPr>
        <w:t xml:space="preserve">5 </w:t>
      </w:r>
      <w:r w:rsidR="00D67EB8" w:rsidRPr="009118AB">
        <w:rPr>
          <w:i/>
        </w:rPr>
        <w:t>Nr. </w:t>
      </w:r>
      <w:r w:rsidRPr="009118AB">
        <w:rPr>
          <w:i/>
        </w:rPr>
        <w:t>5 des G. vom 25. April 2006 (B.S. vom 28. April 2006)</w:t>
      </w:r>
      <w:r w:rsidR="00D67EB8" w:rsidRPr="009118AB">
        <w:rPr>
          <w:i/>
        </w:rPr>
        <w:t> - </w:t>
      </w:r>
      <w:r w:rsidRPr="009118AB">
        <w:rPr>
          <w:i/>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w:t>
      </w:r>
      <w:r w:rsidR="00284D5F" w:rsidRPr="009118AB">
        <w:rPr>
          <w:i/>
        </w:rPr>
        <w:t>06 abgeschlossen werden</w:t>
      </w:r>
      <w:r w:rsidR="003366D9" w:rsidRPr="009118AB">
        <w:rPr>
          <w:i/>
        </w:rPr>
        <w:t> -;</w:t>
      </w:r>
      <w:r w:rsidR="00284D5F" w:rsidRPr="009118AB">
        <w:rPr>
          <w:i/>
        </w:rPr>
        <w:t xml:space="preserve"> </w:t>
      </w:r>
      <w:r w:rsidR="00D67EB8" w:rsidRPr="009118AB">
        <w:rPr>
          <w:i/>
        </w:rPr>
        <w:t>Abs. </w:t>
      </w:r>
      <w:r w:rsidRPr="009118AB">
        <w:rPr>
          <w:i/>
        </w:rPr>
        <w:t xml:space="preserve">3 (früherer Absatz 2) eingefügt durch </w:t>
      </w:r>
      <w:r w:rsidR="00D67EB8" w:rsidRPr="009118AB">
        <w:rPr>
          <w:i/>
        </w:rPr>
        <w:t>Art. </w:t>
      </w:r>
      <w:r w:rsidRPr="009118AB">
        <w:rPr>
          <w:i/>
        </w:rPr>
        <w:t xml:space="preserve">54 </w:t>
      </w:r>
      <w:r w:rsidR="00D67EB8" w:rsidRPr="009118AB">
        <w:rPr>
          <w:i/>
        </w:rPr>
        <w:t>Nr. </w:t>
      </w:r>
      <w:r w:rsidRPr="009118AB">
        <w:rPr>
          <w:i/>
        </w:rPr>
        <w:t>3 des G. vom 15. Dezember 20</w:t>
      </w:r>
      <w:r w:rsidR="004F7F42" w:rsidRPr="009118AB">
        <w:rPr>
          <w:i/>
        </w:rPr>
        <w:t>04 (B.S. vom 1. Februar 2005)</w:t>
      </w:r>
      <w:r w:rsidR="00D67EB8" w:rsidRPr="009118AB">
        <w:rPr>
          <w:i/>
        </w:rPr>
        <w:t> - </w:t>
      </w:r>
      <w:r w:rsidRPr="009118AB">
        <w:rPr>
          <w:i/>
        </w:rPr>
        <w:t xml:space="preserve">anwendbar auf Entschädigungen für fehlende Kupons oder für fehlende Lose, die in Ausführung von Vereinbarungen über die Leistung von dinglichen Sicherheiten und von Verleihen mit Bezug auf Finanzinstrumente gezahlt oder zuerkannt werden, die ab dem </w:t>
      </w:r>
      <w:r w:rsidRPr="009118AB">
        <w:rPr>
          <w:i/>
        </w:rPr>
        <w:lastRenderedPageBreak/>
        <w:t>1. Februar 2005 abgeschlossen werden</w:t>
      </w:r>
      <w:r w:rsidR="00D67EB8" w:rsidRPr="009118AB">
        <w:rPr>
          <w:i/>
        </w:rPr>
        <w:t> - </w:t>
      </w:r>
      <w:r w:rsidR="0096333F" w:rsidRPr="009118AB">
        <w:rPr>
          <w:i/>
        </w:rPr>
        <w:t xml:space="preserve">und </w:t>
      </w:r>
      <w:r w:rsidR="009E5F65" w:rsidRPr="009118AB">
        <w:rPr>
          <w:i/>
        </w:rPr>
        <w:t xml:space="preserve">abgeändert durch </w:t>
      </w:r>
      <w:r w:rsidR="00D67EB8" w:rsidRPr="009118AB">
        <w:rPr>
          <w:i/>
        </w:rPr>
        <w:t>Art. </w:t>
      </w:r>
      <w:r w:rsidR="0096333F" w:rsidRPr="009118AB">
        <w:rPr>
          <w:i/>
        </w:rPr>
        <w:t xml:space="preserve">74 </w:t>
      </w:r>
      <w:r w:rsidR="00D67EB8" w:rsidRPr="009118AB">
        <w:rPr>
          <w:i/>
        </w:rPr>
        <w:t>Nr. </w:t>
      </w:r>
      <w:r w:rsidR="0096333F" w:rsidRPr="009118AB">
        <w:rPr>
          <w:i/>
        </w:rPr>
        <w:t>4 des G. vom 26. Dezember 2015 (II) (B.S. vom 30. Dezember 2015)</w:t>
      </w:r>
      <w:r w:rsidR="00D67EB8" w:rsidRPr="009118AB">
        <w:t> - </w:t>
      </w:r>
      <w:r w:rsidR="0096333F"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Pr="009118AB">
        <w:rPr>
          <w:i/>
        </w:rPr>
        <w:t xml:space="preserve"> </w:t>
      </w:r>
      <w:r w:rsidR="00D67EB8" w:rsidRPr="009118AB">
        <w:rPr>
          <w:i/>
        </w:rPr>
        <w:t>Abs. </w:t>
      </w:r>
      <w:r w:rsidRPr="009118AB">
        <w:rPr>
          <w:i/>
        </w:rPr>
        <w:t xml:space="preserve">4 eingefügt </w:t>
      </w:r>
      <w:r w:rsidR="00B176A2" w:rsidRPr="009118AB">
        <w:rPr>
          <w:i/>
          <w:iCs/>
        </w:rPr>
        <w:t xml:space="preserve">durch </w:t>
      </w:r>
      <w:r w:rsidR="00D67EB8" w:rsidRPr="009118AB">
        <w:rPr>
          <w:i/>
          <w:iCs/>
        </w:rPr>
        <w:t>Art. </w:t>
      </w:r>
      <w:r w:rsidR="00B176A2" w:rsidRPr="009118AB">
        <w:rPr>
          <w:i/>
          <w:iCs/>
        </w:rPr>
        <w:t xml:space="preserve">5 </w:t>
      </w:r>
      <w:r w:rsidR="00D67EB8" w:rsidRPr="009118AB">
        <w:rPr>
          <w:i/>
          <w:iCs/>
        </w:rPr>
        <w:t>Nr. </w:t>
      </w:r>
      <w:r w:rsidRPr="009118AB">
        <w:rPr>
          <w:i/>
          <w:iCs/>
        </w:rPr>
        <w:t>6 des G. vom 25. April 2006 (B.S.</w:t>
      </w:r>
      <w:r w:rsidR="00D04E91" w:rsidRPr="009118AB">
        <w:rPr>
          <w:i/>
          <w:iCs/>
        </w:rPr>
        <w:t> </w:t>
      </w:r>
      <w:r w:rsidR="004F7F42" w:rsidRPr="009118AB">
        <w:rPr>
          <w:i/>
          <w:iCs/>
        </w:rPr>
        <w:t>vom 28. April 2006)</w:t>
      </w:r>
      <w:r w:rsidR="00D67EB8" w:rsidRPr="009118AB">
        <w:rPr>
          <w:i/>
          <w:iCs/>
        </w:rPr>
        <w:t> - </w:t>
      </w:r>
      <w:r w:rsidRPr="009118AB">
        <w:rPr>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118AB">
        <w:rPr>
          <w:i/>
          <w:iCs/>
        </w:rPr>
        <w:t> -;</w:t>
      </w:r>
      <w:r w:rsidRPr="009118AB">
        <w:rPr>
          <w:i/>
          <w:iCs/>
        </w:rPr>
        <w:t xml:space="preserve"> </w:t>
      </w:r>
      <w:r w:rsidR="00D67EB8" w:rsidRPr="009118AB">
        <w:rPr>
          <w:i/>
          <w:iCs/>
        </w:rPr>
        <w:t>Abs. </w:t>
      </w:r>
      <w:r w:rsidRPr="009118AB">
        <w:rPr>
          <w:i/>
          <w:iCs/>
        </w:rPr>
        <w:t xml:space="preserve">5 eingefügt durch </w:t>
      </w:r>
      <w:r w:rsidR="00D67EB8" w:rsidRPr="009118AB">
        <w:rPr>
          <w:i/>
          <w:iCs/>
        </w:rPr>
        <w:t>Art. </w:t>
      </w:r>
      <w:r w:rsidRPr="009118AB">
        <w:rPr>
          <w:i/>
          <w:iCs/>
        </w:rPr>
        <w:t xml:space="preserve">5 </w:t>
      </w:r>
      <w:r w:rsidR="00D67EB8" w:rsidRPr="009118AB">
        <w:rPr>
          <w:i/>
          <w:iCs/>
        </w:rPr>
        <w:t>Nr. </w:t>
      </w:r>
      <w:r w:rsidRPr="009118AB">
        <w:rPr>
          <w:i/>
          <w:iCs/>
        </w:rPr>
        <w:t>7 des G. vom 25. April 2006 (B.S.</w:t>
      </w:r>
      <w:r w:rsidR="009C2214" w:rsidRPr="009118AB">
        <w:rPr>
          <w:i/>
          <w:iCs/>
        </w:rPr>
        <w:t> </w:t>
      </w:r>
      <w:r w:rsidRPr="009118AB">
        <w:rPr>
          <w:i/>
          <w:iCs/>
        </w:rPr>
        <w:t>vom 28. April 2006)</w:t>
      </w:r>
      <w:r w:rsidR="00D67EB8" w:rsidRPr="009118AB">
        <w:rPr>
          <w:i/>
          <w:iCs/>
        </w:rPr>
        <w:t> - </w:t>
      </w:r>
      <w:r w:rsidRPr="009118AB">
        <w:rPr>
          <w:i/>
          <w:iCs/>
        </w:rPr>
        <w:t>anwendbar auf Einkünfte aus beweglichen Gütern, die ab dem 1. Juni 2006 anders als in bar zuerkannt oder ausgeschüttet werden</w:t>
      </w:r>
      <w:r w:rsidR="00FD68E8" w:rsidRPr="009118AB">
        <w:rPr>
          <w:i/>
          <w:iCs/>
        </w:rPr>
        <w:t> -]</w:t>
      </w:r>
    </w:p>
    <w:p w14:paraId="2B8B510B" w14:textId="77777777" w:rsidR="00477B8F" w:rsidRPr="009118AB" w:rsidRDefault="00477B8F" w:rsidP="00477B8F">
      <w:pPr>
        <w:autoSpaceDE w:val="0"/>
        <w:autoSpaceDN w:val="0"/>
        <w:adjustRightInd w:val="0"/>
        <w:rPr>
          <w:sz w:val="20"/>
          <w:szCs w:val="20"/>
        </w:rPr>
      </w:pPr>
    </w:p>
    <w:p w14:paraId="1AB0E246" w14:textId="77777777" w:rsidR="00006C5D" w:rsidRPr="009118AB" w:rsidRDefault="00006C5D" w:rsidP="00477B8F">
      <w:pPr>
        <w:autoSpaceDE w:val="0"/>
        <w:autoSpaceDN w:val="0"/>
        <w:adjustRightInd w:val="0"/>
        <w:rPr>
          <w:sz w:val="20"/>
          <w:szCs w:val="20"/>
        </w:rPr>
      </w:pPr>
    </w:p>
    <w:p w14:paraId="0128E446" w14:textId="23122AFB" w:rsidR="00E03EF1" w:rsidRPr="009118AB" w:rsidRDefault="00477B8F" w:rsidP="00E03EF1">
      <w:pPr>
        <w:ind w:firstLine="708"/>
        <w:jc w:val="both"/>
      </w:pPr>
      <w:r w:rsidRPr="009118AB">
        <w:tab/>
      </w:r>
      <w:r w:rsidR="00D67EB8" w:rsidRPr="009118AB">
        <w:rPr>
          <w:b/>
          <w:bCs/>
        </w:rPr>
        <w:t>Art. </w:t>
      </w:r>
      <w:r w:rsidRPr="009118AB">
        <w:rPr>
          <w:b/>
          <w:bCs/>
        </w:rPr>
        <w:t>262</w:t>
      </w:r>
      <w:r w:rsidR="00D67EB8" w:rsidRPr="009118AB">
        <w:t> - </w:t>
      </w:r>
      <w:r w:rsidR="00E03EF1" w:rsidRPr="009118AB">
        <w:t>[</w:t>
      </w:r>
      <w:r w:rsidR="00D67EB8" w:rsidRPr="009118AB">
        <w:t>§ </w:t>
      </w:r>
      <w:r w:rsidR="00E03EF1" w:rsidRPr="009118AB">
        <w:t>1</w:t>
      </w:r>
      <w:r w:rsidR="00D67EB8" w:rsidRPr="009118AB">
        <w:t> - </w:t>
      </w:r>
      <w:r w:rsidR="00E03EF1" w:rsidRPr="009118AB">
        <w:t xml:space="preserve">Der Mobiliensteuervorabzug wird geschuldet von Steuerpflichtigen, die der Steuer der juristischen Personen unterliegen und Einkünfte aus Kapitalvermögen und beweglichen Gütern und in Artikel 90 Absatz 1 </w:t>
      </w:r>
      <w:r w:rsidR="00D67EB8" w:rsidRPr="009118AB">
        <w:t>Nr. </w:t>
      </w:r>
      <w:r w:rsidR="00E03EF1" w:rsidRPr="009118AB">
        <w:t>6 und 11 erwähnte Einkünfte beziehen, die entweder zuerkannt oder ausgeschüttet wurden, wenn es sich um Einkünfte belgischer Herkunft handelt, oder in Belgien eingenommen oder bezogen wurden, wenn es sich um Einkünfte ausländischer Herkunft handelt:</w:t>
      </w:r>
    </w:p>
    <w:p w14:paraId="18CA04D5" w14:textId="77777777" w:rsidR="00E03EF1" w:rsidRPr="009118AB" w:rsidRDefault="00E03EF1" w:rsidP="00E03EF1">
      <w:pPr>
        <w:jc w:val="both"/>
      </w:pPr>
    </w:p>
    <w:p w14:paraId="19282A16" w14:textId="77777777" w:rsidR="00E03EF1" w:rsidRPr="009118AB" w:rsidRDefault="00E03EF1" w:rsidP="00E03EF1">
      <w:pPr>
        <w:ind w:firstLine="708"/>
        <w:jc w:val="both"/>
      </w:pPr>
      <w:r w:rsidRPr="009118AB">
        <w:t>- ohne dass gemäß den geltenden Gesetzes- und Verordnungsbestimmungen ein Mobiliensteuervorabzug einbehalten oder gezahlt wurde</w:t>
      </w:r>
    </w:p>
    <w:p w14:paraId="34E350A4" w14:textId="77777777" w:rsidR="00E03EF1" w:rsidRPr="009118AB" w:rsidRDefault="00E03EF1" w:rsidP="00E03EF1">
      <w:pPr>
        <w:jc w:val="both"/>
      </w:pPr>
    </w:p>
    <w:p w14:paraId="0F998015" w14:textId="77777777" w:rsidR="00E03EF1" w:rsidRPr="009118AB" w:rsidRDefault="00E03EF1" w:rsidP="00E03EF1">
      <w:pPr>
        <w:ind w:firstLine="708"/>
        <w:jc w:val="both"/>
      </w:pPr>
      <w:r w:rsidRPr="009118AB">
        <w:t>- und in dem Maße, wie gemäß den geltenden Gesetzes- und Verordnungs</w:t>
      </w:r>
      <w:r w:rsidRPr="009118AB">
        <w:softHyphen/>
        <w:t>bestimmungen ein Mobiliensteuervorabzug geschuldet wird.</w:t>
      </w:r>
    </w:p>
    <w:p w14:paraId="0ED34EF5" w14:textId="77777777" w:rsidR="00E03EF1" w:rsidRPr="009118AB" w:rsidRDefault="00E03EF1" w:rsidP="00E03EF1">
      <w:pPr>
        <w:jc w:val="both"/>
      </w:pPr>
    </w:p>
    <w:p w14:paraId="5B88B401" w14:textId="417776AE" w:rsidR="00E03EF1" w:rsidRPr="009118AB" w:rsidRDefault="00D67EB8" w:rsidP="00E03EF1">
      <w:pPr>
        <w:ind w:firstLine="708"/>
        <w:jc w:val="both"/>
      </w:pPr>
      <w:r w:rsidRPr="009118AB">
        <w:t>§ </w:t>
      </w:r>
      <w:r w:rsidR="00E03EF1" w:rsidRPr="009118AB">
        <w:t>2</w:t>
      </w:r>
      <w:r w:rsidRPr="009118AB">
        <w:t> - </w:t>
      </w:r>
      <w:r w:rsidR="00E03EF1" w:rsidRPr="009118AB">
        <w:t>In Abweichung von Artikel 261 wird der Mobiliensteuervorabzug von den Empfängern nachstehender Einkünfte geschuldet:</w:t>
      </w:r>
    </w:p>
    <w:p w14:paraId="266E65E4" w14:textId="77777777" w:rsidR="00E03EF1" w:rsidRPr="009118AB" w:rsidRDefault="00E03EF1" w:rsidP="00E03EF1">
      <w:pPr>
        <w:jc w:val="both"/>
      </w:pPr>
    </w:p>
    <w:p w14:paraId="74479D9D" w14:textId="41BFE967" w:rsidR="00E03EF1" w:rsidRPr="009118AB" w:rsidRDefault="00E03EF1" w:rsidP="00E03EF1">
      <w:pPr>
        <w:ind w:firstLine="708"/>
        <w:jc w:val="both"/>
      </w:pPr>
      <w:r w:rsidRPr="009118AB">
        <w:t xml:space="preserve">1. in dem Maße, wie gemäß den geltenden Gesetzes- und Verordnungsbestimmungen ein Mobiliensteuervorabzug geschuldet wird, Einkünfte aus Kapitalvermögen und beweglichen Gütern und in Artikel 90 </w:t>
      </w:r>
      <w:r w:rsidR="00D67EB8" w:rsidRPr="009118AB">
        <w:t>Nr. </w:t>
      </w:r>
      <w:r w:rsidRPr="009118AB">
        <w:t>6 und 11 erwähnte Einkünfte ausländischer Herkunft, die von Steuerpflichtigen bezogen werden, die der Steuer der juristischen Personen unterliegen, wobei diese Einkünfte ohne Beteiligung eines in Belgien ansässigen Vermittlers im Ausland eingenommen oder bezogen wurden,</w:t>
      </w:r>
    </w:p>
    <w:p w14:paraId="7A767C4E" w14:textId="77777777" w:rsidR="00E03EF1" w:rsidRPr="009118AB" w:rsidRDefault="00E03EF1" w:rsidP="00E03EF1">
      <w:pPr>
        <w:jc w:val="both"/>
      </w:pPr>
    </w:p>
    <w:p w14:paraId="2E8BA84F" w14:textId="4D2848AC" w:rsidR="00E03EF1" w:rsidRPr="009118AB" w:rsidRDefault="00E03EF1" w:rsidP="00E03EF1">
      <w:pPr>
        <w:ind w:firstLine="708"/>
        <w:jc w:val="both"/>
      </w:pPr>
      <w:r w:rsidRPr="009118AB">
        <w:t xml:space="preserve">2. Einkünfte aus der Vermietung beweglicher Güter, die aus der Vermietung von Hausrat hervorgehen, der in möblierten Wohnungen, Zimmern oder Appartements vorhanden ist, Einkünfte aus Untervermietung, Abtretung eines Mietvertrags und Überlassung eines Nutzungsrechts wie in Artikel 90 </w:t>
      </w:r>
      <w:r w:rsidR="00D67EB8" w:rsidRPr="009118AB">
        <w:t>Nr. </w:t>
      </w:r>
      <w:r w:rsidRPr="009118AB">
        <w:t>5 erwähnt und Erträge aus der Verpachtung des Jagd-, Fischerei- und Vogelfangrechts, wenn diese Einkünfte von den in Artikel 220 erwähnten juristischen Personen oder von Gebietsfremden bezogen werden,</w:t>
      </w:r>
    </w:p>
    <w:p w14:paraId="3EC4AECC" w14:textId="77777777" w:rsidR="00E03EF1" w:rsidRPr="009118AB" w:rsidRDefault="00E03EF1" w:rsidP="00E03EF1">
      <w:pPr>
        <w:jc w:val="both"/>
      </w:pPr>
    </w:p>
    <w:p w14:paraId="24DE2AED" w14:textId="33BE5328" w:rsidR="00E03EF1" w:rsidRPr="009118AB" w:rsidRDefault="00E03EF1" w:rsidP="00AD1246">
      <w:pPr>
        <w:ind w:firstLine="708"/>
        <w:jc w:val="both"/>
      </w:pPr>
      <w:r w:rsidRPr="009118AB">
        <w:lastRenderedPageBreak/>
        <w:t>3. </w:t>
      </w:r>
      <w:r w:rsidR="00AD1246" w:rsidRPr="009118AB">
        <w:t xml:space="preserve">[Einkünfte aus Kapitalvermögen und beweglichen Gütern, Lose in Bezug auf Anleihepapiere und in Artikel 90 Absatz 1 </w:t>
      </w:r>
      <w:r w:rsidR="00D67EB8" w:rsidRPr="009118AB">
        <w:t>Nr. </w:t>
      </w:r>
      <w:r w:rsidR="00AD1246" w:rsidRPr="009118AB">
        <w:t xml:space="preserve">11 erwähnte Einkünfte, für die der Vorabzug dem Empfänger der Einkünfte unberechtigterweise erstattet wurde oder die entweder aufgrund einer unrichtigen Bescheinigung oder auf kollektiven oder individuellen Sparkonten, die den in Artikel 21 Absatz 1 </w:t>
      </w:r>
      <w:r w:rsidR="00D67EB8" w:rsidRPr="009118AB">
        <w:t>Nr. </w:t>
      </w:r>
      <w:r w:rsidR="00AD1246" w:rsidRPr="009118AB">
        <w:t>8 festgelegten Bedingungen nicht entsprechen, unrechtmäßig unter Vorabzugsbefreiung bezogen wurden,]</w:t>
      </w:r>
    </w:p>
    <w:p w14:paraId="7A2199A4" w14:textId="77777777" w:rsidR="00E03EF1" w:rsidRPr="009118AB" w:rsidRDefault="00E03EF1" w:rsidP="00E03EF1">
      <w:pPr>
        <w:jc w:val="both"/>
      </w:pPr>
    </w:p>
    <w:p w14:paraId="761016B8" w14:textId="11AF291F" w:rsidR="00E03EF1" w:rsidRPr="009118AB" w:rsidRDefault="00E03EF1" w:rsidP="00E03EF1">
      <w:pPr>
        <w:ind w:firstLine="708"/>
        <w:jc w:val="both"/>
      </w:pPr>
      <w:r w:rsidRPr="009118AB">
        <w:t xml:space="preserve">4. in Artikel 19 </w:t>
      </w:r>
      <w:r w:rsidR="00D67EB8" w:rsidRPr="009118AB">
        <w:t>§ </w:t>
      </w:r>
      <w:r w:rsidRPr="009118AB">
        <w:t xml:space="preserve">1 Absatz 1 </w:t>
      </w:r>
      <w:r w:rsidR="00D67EB8" w:rsidRPr="009118AB">
        <w:t>Nr. </w:t>
      </w:r>
      <w:r w:rsidRPr="009118AB">
        <w:t>4 erwähnte Einkünfte, wenn sie ausländischer Herkunft sind, und Einkünfte aus festverzinslichen Wertpapieren ausländischer Herkunft, die von Steuerpflichtigen bezogen werden, die der Steuer der juristischen Personen unterliegen, wenn die Wertpapiere, die diese Einkünfte erzeugen, vor dem Fälligkeitsdatum der Einkünfte veräußert werden,</w:t>
      </w:r>
    </w:p>
    <w:p w14:paraId="624491A5" w14:textId="77777777" w:rsidR="00E03EF1" w:rsidRPr="009118AB" w:rsidRDefault="00E03EF1" w:rsidP="00E03EF1">
      <w:pPr>
        <w:jc w:val="both"/>
      </w:pPr>
    </w:p>
    <w:p w14:paraId="7B944A11" w14:textId="7D73E6C2" w:rsidR="00E03EF1" w:rsidRPr="009118AB" w:rsidRDefault="00E03EF1" w:rsidP="00E03EF1">
      <w:pPr>
        <w:ind w:firstLine="708"/>
        <w:jc w:val="both"/>
      </w:pPr>
      <w:r w:rsidRPr="009118AB">
        <w:t xml:space="preserve">5. Einkünfte aus Kapitalvermögen und beweglichen Gütern ausländischer Herkunft, Einkünfte ausländischer Herkunft erwähnt in Artikel 90 </w:t>
      </w:r>
      <w:r w:rsidR="00D67EB8" w:rsidRPr="009118AB">
        <w:t>Nr. </w:t>
      </w:r>
      <w:r w:rsidRPr="009118AB">
        <w:t>6 und 11 oder Einkünfte erwähnt in Artikel 261 Absatz 2:</w:t>
      </w:r>
    </w:p>
    <w:p w14:paraId="02EA7A4C" w14:textId="77777777" w:rsidR="00E03EF1" w:rsidRPr="009118AB" w:rsidRDefault="00E03EF1" w:rsidP="00E03EF1">
      <w:pPr>
        <w:jc w:val="both"/>
      </w:pPr>
    </w:p>
    <w:p w14:paraId="78625C7E" w14:textId="603CE3BC" w:rsidR="00E03EF1" w:rsidRPr="009118AB" w:rsidRDefault="00E03EF1" w:rsidP="00E03EF1">
      <w:pPr>
        <w:ind w:firstLine="708"/>
        <w:jc w:val="both"/>
      </w:pPr>
      <w:r w:rsidRPr="009118AB">
        <w:t xml:space="preserve">- die aufgrund von Artikel 261 Absatz 1 </w:t>
      </w:r>
      <w:r w:rsidR="00D67EB8" w:rsidRPr="009118AB">
        <w:t>Nr. </w:t>
      </w:r>
      <w:r w:rsidRPr="009118AB">
        <w:t>2 Buchstabe </w:t>
      </w:r>
      <w:r w:rsidRPr="009118AB">
        <w:rPr>
          <w:i/>
          <w:iCs/>
        </w:rPr>
        <w:t>b)</w:t>
      </w:r>
      <w:r w:rsidRPr="009118AB">
        <w:t xml:space="preserve"> in Belgien eingenommen oder bezogen wurden, ohne dass ein Mobiliensteuervorabzug einbehalten wurde, oder</w:t>
      </w:r>
    </w:p>
    <w:p w14:paraId="70835864" w14:textId="77777777" w:rsidR="00E03EF1" w:rsidRPr="009118AB" w:rsidRDefault="00E03EF1" w:rsidP="00E03EF1">
      <w:pPr>
        <w:jc w:val="both"/>
      </w:pPr>
    </w:p>
    <w:p w14:paraId="79E2E697" w14:textId="747E28A1" w:rsidR="00E03EF1" w:rsidRPr="009118AB" w:rsidRDefault="00E03EF1" w:rsidP="00E03EF1">
      <w:pPr>
        <w:ind w:firstLine="708"/>
        <w:jc w:val="both"/>
      </w:pPr>
      <w:r w:rsidRPr="009118AB">
        <w:t xml:space="preserve">- die aufgrund von Artikel 261 Absatz 1 </w:t>
      </w:r>
      <w:r w:rsidR="00D67EB8" w:rsidRPr="009118AB">
        <w:t>Nr. </w:t>
      </w:r>
      <w:r w:rsidRPr="009118AB">
        <w:t>2 Buchstabe </w:t>
      </w:r>
      <w:r w:rsidRPr="009118AB">
        <w:rPr>
          <w:i/>
          <w:iCs/>
        </w:rPr>
        <w:t>c)</w:t>
      </w:r>
      <w:r w:rsidRPr="009118AB">
        <w:t xml:space="preserve"> von der festen Niederlassung im Ausland eines Kreditinstituts, einer Börsengesellschaft beziehungsweise einer zugelassenen Verrechnungs- oder Liquidationseinrichtung, das/die in Belgien ansässig ist, bezogen wurden,</w:t>
      </w:r>
    </w:p>
    <w:p w14:paraId="10B52F36" w14:textId="77777777" w:rsidR="00E03EF1" w:rsidRPr="009118AB" w:rsidRDefault="00E03EF1" w:rsidP="00E03EF1">
      <w:pPr>
        <w:jc w:val="both"/>
      </w:pPr>
    </w:p>
    <w:p w14:paraId="17BAAECD" w14:textId="11E0E3F1" w:rsidR="00AE74C3" w:rsidRPr="009118AB" w:rsidRDefault="00E03EF1" w:rsidP="00E03EF1">
      <w:pPr>
        <w:autoSpaceDE w:val="0"/>
        <w:autoSpaceDN w:val="0"/>
        <w:adjustRightInd w:val="0"/>
        <w:ind w:firstLine="708"/>
        <w:jc w:val="both"/>
      </w:pPr>
      <w:r w:rsidRPr="009118AB">
        <w:t>6. Dividenden ausländischer Herkunft, die ohne Beteiligung eines in Belgien ansässigen Vermittlers im Ausland von einem in Belgien ansässigen Steuerpflichtigen vereinnahmt oder bezogen wurden, dessen Gesellschaftszweck ausschließlich oder hauptsächlich in der Verwaltung und Anlage von Geldern besteht, die mit dem Ziel gesammelt werden, gesetzliche oder ergänzende Pensionen auszuzahlen.</w:t>
      </w:r>
      <w:r w:rsidR="00AE74C3" w:rsidRPr="009118AB">
        <w:t>]</w:t>
      </w:r>
    </w:p>
    <w:p w14:paraId="6FD0BA13" w14:textId="77777777" w:rsidR="00477B8F" w:rsidRPr="009118AB" w:rsidRDefault="00477B8F" w:rsidP="00477B8F">
      <w:pPr>
        <w:autoSpaceDE w:val="0"/>
        <w:autoSpaceDN w:val="0"/>
        <w:adjustRightInd w:val="0"/>
        <w:jc w:val="both"/>
      </w:pPr>
    </w:p>
    <w:p w14:paraId="357F4F4F" w14:textId="782FDD1B"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262 </w:t>
      </w:r>
      <w:r w:rsidR="00E03EF1" w:rsidRPr="009118AB">
        <w:rPr>
          <w:i/>
          <w:iCs/>
        </w:rPr>
        <w:t xml:space="preserve">ersetzt durch </w:t>
      </w:r>
      <w:r w:rsidR="00D67EB8" w:rsidRPr="009118AB">
        <w:rPr>
          <w:i/>
          <w:iCs/>
        </w:rPr>
        <w:t>Art. </w:t>
      </w:r>
      <w:r w:rsidR="00E03EF1" w:rsidRPr="009118AB">
        <w:rPr>
          <w:i/>
          <w:iCs/>
        </w:rPr>
        <w:t>17</w:t>
      </w:r>
      <w:r w:rsidR="00E03EF1" w:rsidRPr="009118AB">
        <w:rPr>
          <w:i/>
          <w:spacing w:val="-2"/>
        </w:rPr>
        <w:t xml:space="preserve"> </w:t>
      </w:r>
      <w:r w:rsidR="00E03EF1" w:rsidRPr="009118AB">
        <w:rPr>
          <w:i/>
          <w:iCs/>
          <w:spacing w:val="2"/>
        </w:rPr>
        <w:t>des G. vom 2</w:t>
      </w:r>
      <w:r w:rsidR="00306781" w:rsidRPr="009118AB">
        <w:rPr>
          <w:i/>
          <w:iCs/>
          <w:spacing w:val="2"/>
        </w:rPr>
        <w:t>8</w:t>
      </w:r>
      <w:r w:rsidR="00E03EF1" w:rsidRPr="009118AB">
        <w:rPr>
          <w:i/>
          <w:iCs/>
          <w:spacing w:val="2"/>
        </w:rPr>
        <w:t xml:space="preserve">. April 2019 (B.S. vom </w:t>
      </w:r>
      <w:r w:rsidR="00306781" w:rsidRPr="009118AB">
        <w:rPr>
          <w:i/>
          <w:iCs/>
          <w:spacing w:val="2"/>
        </w:rPr>
        <w:t>6</w:t>
      </w:r>
      <w:r w:rsidR="00E03EF1" w:rsidRPr="009118AB">
        <w:rPr>
          <w:i/>
          <w:iCs/>
          <w:spacing w:val="2"/>
        </w:rPr>
        <w:t>. Mai 2019)</w:t>
      </w:r>
      <w:r w:rsidR="00D67EB8" w:rsidRPr="009118AB">
        <w:rPr>
          <w:i/>
          <w:iCs/>
          <w:spacing w:val="2"/>
        </w:rPr>
        <w:t> - </w:t>
      </w:r>
      <w:r w:rsidR="00E03EF1" w:rsidRPr="009118AB">
        <w:rPr>
          <w:i/>
          <w:iCs/>
          <w:spacing w:val="2"/>
        </w:rPr>
        <w:t>in Kraft am 6. Mai 2019 und anwendbar auf die ab diesem Datum zuerkannten, ausgeschütteten, eingenommenen oder bezogenen Einkünfte</w:t>
      </w:r>
      <w:r w:rsidR="003366D9" w:rsidRPr="009118AB">
        <w:rPr>
          <w:i/>
          <w:iCs/>
          <w:spacing w:val="2"/>
        </w:rPr>
        <w:t> -;</w:t>
      </w:r>
      <w:r w:rsidR="00AD1246" w:rsidRPr="009118AB">
        <w:rPr>
          <w:i/>
          <w:iCs/>
          <w:spacing w:val="2"/>
        </w:rPr>
        <w:t xml:space="preserve"> </w:t>
      </w:r>
      <w:r w:rsidR="00D67EB8" w:rsidRPr="009118AB">
        <w:rPr>
          <w:i/>
          <w:iCs/>
          <w:spacing w:val="2"/>
        </w:rPr>
        <w:t>§ </w:t>
      </w:r>
      <w:r w:rsidR="00E63EDE" w:rsidRPr="009118AB">
        <w:rPr>
          <w:i/>
          <w:iCs/>
          <w:spacing w:val="2"/>
        </w:rPr>
        <w:t xml:space="preserve">2 </w:t>
      </w:r>
      <w:r w:rsidR="00AD1246" w:rsidRPr="009118AB">
        <w:rPr>
          <w:i/>
          <w:iCs/>
          <w:spacing w:val="2"/>
        </w:rPr>
        <w:t xml:space="preserve">einziger Absatz </w:t>
      </w:r>
      <w:r w:rsidR="00D67EB8" w:rsidRPr="009118AB">
        <w:rPr>
          <w:i/>
          <w:iCs/>
          <w:spacing w:val="2"/>
        </w:rPr>
        <w:t>Nr. </w:t>
      </w:r>
      <w:r w:rsidR="00AD1246" w:rsidRPr="009118AB">
        <w:rPr>
          <w:i/>
          <w:iCs/>
          <w:spacing w:val="2"/>
        </w:rPr>
        <w:t xml:space="preserve">3 ersetzt durch </w:t>
      </w:r>
      <w:r w:rsidR="00D67EB8" w:rsidRPr="009118AB">
        <w:rPr>
          <w:i/>
          <w:iCs/>
          <w:spacing w:val="2"/>
        </w:rPr>
        <w:t>Art. </w:t>
      </w:r>
      <w:r w:rsidR="00AD1246" w:rsidRPr="009118AB">
        <w:rPr>
          <w:i/>
          <w:iCs/>
          <w:spacing w:val="2"/>
        </w:rPr>
        <w:t>79</w:t>
      </w:r>
      <w:r w:rsidR="00AD1246" w:rsidRPr="009118AB">
        <w:rPr>
          <w:bCs/>
          <w:i/>
          <w:iCs/>
        </w:rPr>
        <w:t xml:space="preserve"> des G. vom 27. Juni 2021 (B.S. vom 30. Juni 2021)</w:t>
      </w:r>
      <w:r w:rsidRPr="009118AB">
        <w:rPr>
          <w:i/>
          <w:iCs/>
        </w:rPr>
        <w:t>]</w:t>
      </w:r>
    </w:p>
    <w:p w14:paraId="70124C75" w14:textId="77777777" w:rsidR="00477B8F" w:rsidRPr="009118AB" w:rsidRDefault="00477B8F" w:rsidP="00477B8F">
      <w:pPr>
        <w:autoSpaceDE w:val="0"/>
        <w:autoSpaceDN w:val="0"/>
        <w:adjustRightInd w:val="0"/>
        <w:jc w:val="both"/>
      </w:pPr>
    </w:p>
    <w:p w14:paraId="090C1EA4" w14:textId="77777777" w:rsidR="00477B8F" w:rsidRPr="009118AB" w:rsidRDefault="00477B8F" w:rsidP="00477B8F">
      <w:pPr>
        <w:autoSpaceDE w:val="0"/>
        <w:autoSpaceDN w:val="0"/>
        <w:adjustRightInd w:val="0"/>
        <w:jc w:val="both"/>
      </w:pPr>
    </w:p>
    <w:p w14:paraId="3100300D" w14:textId="091ACAA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263</w:t>
      </w:r>
      <w:r w:rsidR="00D67EB8" w:rsidRPr="009118AB">
        <w:t> - </w:t>
      </w:r>
      <w:r w:rsidRPr="009118AB">
        <w:t xml:space="preserve">Der König kann Sondermaßnahmen ergreifen, um die Zahlung des Mobiliensteuervorabzugs auf Einkünfte aus ausländischen Wertpapieren, aus Auslandsforderungen oder aus im Ausland hinterlegtem Geld[, auf die in </w:t>
      </w:r>
      <w:r w:rsidR="00D04C28" w:rsidRPr="009118AB">
        <w:rPr>
          <w:iCs/>
        </w:rPr>
        <w:t xml:space="preserve">[Artikel 90 Absatz 1 </w:t>
      </w:r>
      <w:r w:rsidR="00D67EB8" w:rsidRPr="009118AB">
        <w:rPr>
          <w:iCs/>
        </w:rPr>
        <w:t>Nr. </w:t>
      </w:r>
      <w:r w:rsidR="00D04C28" w:rsidRPr="009118AB">
        <w:rPr>
          <w:iCs/>
        </w:rPr>
        <w:t xml:space="preserve">11] </w:t>
      </w:r>
      <w:r w:rsidRPr="009118AB">
        <w:t xml:space="preserve">erwähnten Einkünfte ausländischer Herkunft] [und auf die in </w:t>
      </w:r>
      <w:r w:rsidR="00AD1246" w:rsidRPr="009118AB">
        <w:t>[</w:t>
      </w:r>
      <w:r w:rsidRPr="009118AB">
        <w:t>Artikel 267 Absatz </w:t>
      </w:r>
      <w:r w:rsidR="00AD1246" w:rsidRPr="009118AB">
        <w:t>3]</w:t>
      </w:r>
      <w:r w:rsidRPr="009118AB">
        <w:t xml:space="preserve"> erwähnten Einkünfte] zu gewährleisten.</w:t>
      </w:r>
    </w:p>
    <w:p w14:paraId="6F403E95" w14:textId="77777777" w:rsidR="00477B8F" w:rsidRPr="009118AB" w:rsidRDefault="00477B8F" w:rsidP="00477B8F">
      <w:pPr>
        <w:autoSpaceDE w:val="0"/>
        <w:autoSpaceDN w:val="0"/>
        <w:adjustRightInd w:val="0"/>
        <w:jc w:val="both"/>
      </w:pPr>
    </w:p>
    <w:p w14:paraId="51A27AE4" w14:textId="77777777" w:rsidR="00E03EF1" w:rsidRPr="009118AB" w:rsidRDefault="00E03EF1">
      <w:r w:rsidRPr="009118AB">
        <w:br w:type="page"/>
      </w:r>
    </w:p>
    <w:p w14:paraId="0EADCE7F" w14:textId="162E7179" w:rsidR="00477B8F" w:rsidRPr="009118AB" w:rsidRDefault="00477B8F" w:rsidP="00477B8F">
      <w:pPr>
        <w:autoSpaceDE w:val="0"/>
        <w:autoSpaceDN w:val="0"/>
        <w:adjustRightInd w:val="0"/>
        <w:jc w:val="both"/>
      </w:pPr>
      <w:r w:rsidRPr="009118AB">
        <w:lastRenderedPageBreak/>
        <w:tab/>
      </w:r>
      <w:r w:rsidR="00E03EF1" w:rsidRPr="009118AB">
        <w:t xml:space="preserve">[Er regelt die Ausführung von Artikel 262 </w:t>
      </w:r>
      <w:r w:rsidR="00D67EB8" w:rsidRPr="009118AB">
        <w:t>§ </w:t>
      </w:r>
      <w:r w:rsidR="00E03EF1" w:rsidRPr="009118AB">
        <w:t xml:space="preserve">2 </w:t>
      </w:r>
      <w:r w:rsidR="00D67EB8" w:rsidRPr="009118AB">
        <w:t>Nr. </w:t>
      </w:r>
      <w:r w:rsidR="00E03EF1" w:rsidRPr="009118AB">
        <w:t xml:space="preserve">3 im Falle von Einkünften, die unrechtmäßig unter Vorabzugsbefreiung auf kollektiven oder individuellen Sparkonten, die den in Artikel 21 </w:t>
      </w:r>
      <w:r w:rsidR="00D67EB8" w:rsidRPr="009118AB">
        <w:t>Nr. </w:t>
      </w:r>
      <w:r w:rsidR="00E03EF1" w:rsidRPr="009118AB">
        <w:t>8 festgelegten Bedingungen nicht entsprechen, bezogen wurden, und bestimmt die Auskünfte, die Institute und Unternehmen, die zur Eröffnung solcher Konten befugt sind, zu diesem Zweck übermitteln müssen.]</w:t>
      </w:r>
    </w:p>
    <w:p w14:paraId="3CD7950F" w14:textId="77777777" w:rsidR="00477B8F" w:rsidRPr="009118AB" w:rsidRDefault="00477B8F" w:rsidP="00477B8F">
      <w:pPr>
        <w:autoSpaceDE w:val="0"/>
        <w:autoSpaceDN w:val="0"/>
        <w:adjustRightInd w:val="0"/>
        <w:jc w:val="both"/>
      </w:pPr>
    </w:p>
    <w:p w14:paraId="357E3FC2" w14:textId="3E24CBAD"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263 </w:t>
      </w:r>
      <w:r w:rsidR="00D67EB8" w:rsidRPr="009118AB">
        <w:rPr>
          <w:i/>
          <w:iCs/>
        </w:rPr>
        <w:t>Abs. </w:t>
      </w:r>
      <w:r w:rsidRPr="009118AB">
        <w:rPr>
          <w:i/>
          <w:iCs/>
        </w:rPr>
        <w:t xml:space="preserve">1 abgeändert durch </w:t>
      </w:r>
      <w:r w:rsidR="00D67EB8" w:rsidRPr="009118AB">
        <w:rPr>
          <w:i/>
          <w:iCs/>
        </w:rPr>
        <w:t>Art. </w:t>
      </w:r>
      <w:r w:rsidRPr="009118AB">
        <w:rPr>
          <w:i/>
          <w:iCs/>
        </w:rPr>
        <w:t>6 des G. vom 4. April 1995 (B.S. vom 23. Mai 1995)</w:t>
      </w:r>
      <w:r w:rsidR="003052F0" w:rsidRPr="009118AB">
        <w:rPr>
          <w:i/>
          <w:iCs/>
        </w:rPr>
        <w:t>,</w:t>
      </w:r>
      <w:r w:rsidRPr="009118AB">
        <w:rPr>
          <w:i/>
          <w:iCs/>
        </w:rPr>
        <w:t xml:space="preserve"> </w:t>
      </w:r>
      <w:r w:rsidR="00D67EB8" w:rsidRPr="009118AB">
        <w:rPr>
          <w:i/>
          <w:iCs/>
        </w:rPr>
        <w:t>Art. </w:t>
      </w:r>
      <w:r w:rsidRPr="009118AB">
        <w:rPr>
          <w:i/>
          <w:iCs/>
        </w:rPr>
        <w:t>56 des G. vom 15. Dezember 2004 (B.S. vom 1. Februar 2005)</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FD68E8" w:rsidRPr="009118AB">
        <w:rPr>
          <w:i/>
          <w:iCs/>
        </w:rPr>
        <w:t> -,</w:t>
      </w:r>
      <w:r w:rsidR="00D04C28" w:rsidRPr="009118AB">
        <w:rPr>
          <w:i/>
          <w:iCs/>
        </w:rPr>
        <w:t xml:space="preserve"> </w:t>
      </w:r>
      <w:r w:rsidR="00D67EB8" w:rsidRPr="009118AB">
        <w:rPr>
          <w:i/>
          <w:iCs/>
        </w:rPr>
        <w:t>Art. </w:t>
      </w:r>
      <w:r w:rsidR="00D04C28" w:rsidRPr="009118AB">
        <w:rPr>
          <w:i/>
          <w:iCs/>
        </w:rPr>
        <w:t>76</w:t>
      </w:r>
      <w:r w:rsidR="00D04C28" w:rsidRPr="009118AB">
        <w:rPr>
          <w:i/>
        </w:rPr>
        <w:t xml:space="preserve"> des G. vom 26. Dezember 2015 (II) (B.S. vom 30. Dezember 2015)</w:t>
      </w:r>
      <w:r w:rsidR="00D67EB8" w:rsidRPr="009118AB">
        <w:t> - </w:t>
      </w:r>
      <w:r w:rsidR="00D04C28"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AD1246" w:rsidRPr="009118AB">
        <w:rPr>
          <w:i/>
        </w:rPr>
        <w:t xml:space="preserve">und </w:t>
      </w:r>
      <w:r w:rsidR="00D67EB8" w:rsidRPr="009118AB">
        <w:rPr>
          <w:i/>
        </w:rPr>
        <w:t>Art. </w:t>
      </w:r>
      <w:r w:rsidR="00AD1246" w:rsidRPr="009118AB">
        <w:rPr>
          <w:i/>
        </w:rPr>
        <w:t>80</w:t>
      </w:r>
      <w:r w:rsidR="00AD1246" w:rsidRPr="009118AB">
        <w:rPr>
          <w:bCs/>
          <w:i/>
          <w:iCs/>
        </w:rPr>
        <w:t xml:space="preserve"> des G. vom 27. Juni 2021 (B.S. vom 30. Juni 2021)</w:t>
      </w:r>
      <w:r w:rsidR="00E03EF1" w:rsidRPr="009118AB">
        <w:rPr>
          <w:i/>
        </w:rPr>
        <w:t xml:space="preserve">; </w:t>
      </w:r>
      <w:r w:rsidR="00D67EB8" w:rsidRPr="009118AB">
        <w:rPr>
          <w:i/>
        </w:rPr>
        <w:t>Abs. </w:t>
      </w:r>
      <w:r w:rsidR="00E03EF1" w:rsidRPr="009118AB">
        <w:rPr>
          <w:i/>
        </w:rPr>
        <w:t xml:space="preserve">2 ersetzt durch </w:t>
      </w:r>
      <w:r w:rsidR="00D67EB8" w:rsidRPr="009118AB">
        <w:rPr>
          <w:i/>
        </w:rPr>
        <w:t>Art. </w:t>
      </w:r>
      <w:r w:rsidR="00E03EF1" w:rsidRPr="009118AB">
        <w:rPr>
          <w:i/>
        </w:rPr>
        <w:t>18</w:t>
      </w:r>
      <w:r w:rsidR="00E03EF1" w:rsidRPr="009118AB">
        <w:rPr>
          <w:i/>
          <w:spacing w:val="-2"/>
        </w:rPr>
        <w:t xml:space="preserve"> </w:t>
      </w:r>
      <w:r w:rsidR="00E03EF1" w:rsidRPr="009118AB">
        <w:rPr>
          <w:i/>
          <w:iCs/>
          <w:spacing w:val="2"/>
        </w:rPr>
        <w:t>des G. vom 2</w:t>
      </w:r>
      <w:r w:rsidR="00306781" w:rsidRPr="009118AB">
        <w:rPr>
          <w:i/>
          <w:iCs/>
          <w:spacing w:val="2"/>
        </w:rPr>
        <w:t>8</w:t>
      </w:r>
      <w:r w:rsidR="00E03EF1" w:rsidRPr="009118AB">
        <w:rPr>
          <w:i/>
          <w:iCs/>
          <w:spacing w:val="2"/>
        </w:rPr>
        <w:t xml:space="preserve">. April 2019 (B.S. vom </w:t>
      </w:r>
      <w:r w:rsidR="00306781" w:rsidRPr="009118AB">
        <w:rPr>
          <w:i/>
          <w:iCs/>
          <w:spacing w:val="2"/>
        </w:rPr>
        <w:t>6</w:t>
      </w:r>
      <w:r w:rsidR="00E03EF1" w:rsidRPr="009118AB">
        <w:rPr>
          <w:i/>
          <w:iCs/>
          <w:spacing w:val="2"/>
        </w:rPr>
        <w:t>. Mai 2019)</w:t>
      </w:r>
      <w:r w:rsidR="00D67EB8" w:rsidRPr="009118AB">
        <w:rPr>
          <w:i/>
          <w:iCs/>
          <w:spacing w:val="2"/>
        </w:rPr>
        <w:t> - </w:t>
      </w:r>
      <w:r w:rsidR="00E03EF1" w:rsidRPr="009118AB">
        <w:rPr>
          <w:i/>
          <w:iCs/>
          <w:spacing w:val="2"/>
        </w:rPr>
        <w:t>in Kraft am 6. Mai 2019 und anwendbar auf die ab diesem Datum zuerkannten, ausgeschütteten, eingenommenen oder bezogenen Einkünfte</w:t>
      </w:r>
      <w:r w:rsidR="00FD68E8" w:rsidRPr="009118AB">
        <w:rPr>
          <w:i/>
          <w:iCs/>
          <w:spacing w:val="2"/>
        </w:rPr>
        <w:t> -]</w:t>
      </w:r>
    </w:p>
    <w:p w14:paraId="4760D11D" w14:textId="0B9DAFDF" w:rsidR="00477B8F" w:rsidRPr="009118AB" w:rsidRDefault="00477B8F" w:rsidP="00477B8F">
      <w:pPr>
        <w:autoSpaceDE w:val="0"/>
        <w:autoSpaceDN w:val="0"/>
        <w:adjustRightInd w:val="0"/>
        <w:jc w:val="center"/>
      </w:pPr>
      <w:r w:rsidRPr="009118AB">
        <w:br w:type="page"/>
      </w:r>
      <w:r w:rsidRPr="009118AB">
        <w:lastRenderedPageBreak/>
        <w:t>Unterabschnitt </w:t>
      </w:r>
      <w:r w:rsidR="00D74862" w:rsidRPr="009118AB">
        <w:t>2</w:t>
      </w:r>
      <w:r w:rsidR="00D67EB8" w:rsidRPr="009118AB">
        <w:t> - </w:t>
      </w:r>
      <w:r w:rsidRPr="009118AB">
        <w:t>Vorabzugsbefreiung und Verzicht auf den Vorabzug</w:t>
      </w:r>
    </w:p>
    <w:p w14:paraId="684324FE" w14:textId="77777777" w:rsidR="00477B8F" w:rsidRPr="009118AB" w:rsidRDefault="00477B8F" w:rsidP="00477B8F">
      <w:pPr>
        <w:autoSpaceDE w:val="0"/>
        <w:autoSpaceDN w:val="0"/>
        <w:adjustRightInd w:val="0"/>
        <w:jc w:val="both"/>
      </w:pPr>
    </w:p>
    <w:p w14:paraId="72EF0DD8" w14:textId="77777777" w:rsidR="00477B8F" w:rsidRPr="009118AB" w:rsidRDefault="00477B8F" w:rsidP="00477B8F">
      <w:pPr>
        <w:autoSpaceDE w:val="0"/>
        <w:autoSpaceDN w:val="0"/>
        <w:adjustRightInd w:val="0"/>
        <w:jc w:val="both"/>
      </w:pPr>
    </w:p>
    <w:p w14:paraId="57F3150C" w14:textId="6EA06B35"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264</w:t>
      </w:r>
      <w:r w:rsidR="00D67EB8" w:rsidRPr="009118AB">
        <w:t> - </w:t>
      </w:r>
      <w:r w:rsidRPr="009118AB">
        <w:t>Der Mobiliensteuervorabzug wird nicht auf den Teil der Dividenden geschuldet:</w:t>
      </w:r>
    </w:p>
    <w:p w14:paraId="237B57AF" w14:textId="77777777" w:rsidR="00477B8F" w:rsidRPr="009118AB" w:rsidRDefault="00477B8F" w:rsidP="00477B8F">
      <w:pPr>
        <w:autoSpaceDE w:val="0"/>
        <w:autoSpaceDN w:val="0"/>
        <w:adjustRightInd w:val="0"/>
        <w:jc w:val="both"/>
      </w:pPr>
    </w:p>
    <w:p w14:paraId="4DDFA4BF" w14:textId="77777777" w:rsidR="00477B8F" w:rsidRPr="009118AB" w:rsidRDefault="00477B8F" w:rsidP="00477B8F">
      <w:pPr>
        <w:autoSpaceDE w:val="0"/>
        <w:autoSpaceDN w:val="0"/>
        <w:adjustRightInd w:val="0"/>
        <w:jc w:val="both"/>
      </w:pPr>
      <w:r w:rsidRPr="009118AB">
        <w:tab/>
        <w:t>1.</w:t>
      </w:r>
      <w:r w:rsidR="000D3646" w:rsidRPr="009118AB">
        <w:t xml:space="preserve"> [der dem Staat, den Gemeinschaften, Regionen, Provinzen, Agglomerationen, Gemeindeföderationen, Gemeinden und öffentlichen Sozialhilfezentren gewährt oder zuerkannt wird,</w:t>
      </w:r>
      <w:r w:rsidR="008564B5" w:rsidRPr="009118AB">
        <w:t>]</w:t>
      </w:r>
    </w:p>
    <w:p w14:paraId="17C01ADE" w14:textId="77777777" w:rsidR="00477B8F" w:rsidRPr="009118AB" w:rsidRDefault="00477B8F" w:rsidP="00477B8F">
      <w:pPr>
        <w:autoSpaceDE w:val="0"/>
        <w:autoSpaceDN w:val="0"/>
        <w:adjustRightInd w:val="0"/>
        <w:jc w:val="both"/>
      </w:pPr>
    </w:p>
    <w:p w14:paraId="3FD36435" w14:textId="101C9C99" w:rsidR="00477B8F" w:rsidRPr="009118AB" w:rsidRDefault="00477B8F" w:rsidP="00477B8F">
      <w:pPr>
        <w:autoSpaceDE w:val="0"/>
        <w:autoSpaceDN w:val="0"/>
        <w:adjustRightInd w:val="0"/>
        <w:jc w:val="both"/>
      </w:pPr>
      <w:r w:rsidRPr="009118AB">
        <w:tab/>
        <w:t xml:space="preserve">2. [der im Falle einer Fusion, einer Aufspaltung, eines mit einer Fusion durch Übernahme gleichgesetzten Vorgangs oder eines mit einer Aufspaltung gleichgesetzten Vorgangs wie in Artikel 211 </w:t>
      </w:r>
      <w:r w:rsidR="00D67EB8" w:rsidRPr="009118AB">
        <w:t>§ </w:t>
      </w:r>
      <w:r w:rsidRPr="009118AB">
        <w:t>1 erwähnt:</w:t>
      </w:r>
    </w:p>
    <w:p w14:paraId="2BB80984" w14:textId="77777777" w:rsidR="00477B8F" w:rsidRPr="009118AB" w:rsidRDefault="00477B8F" w:rsidP="00477B8F">
      <w:pPr>
        <w:autoSpaceDE w:val="0"/>
        <w:autoSpaceDN w:val="0"/>
        <w:adjustRightInd w:val="0"/>
        <w:jc w:val="both"/>
      </w:pPr>
    </w:p>
    <w:p w14:paraId="4E51D2A3" w14:textId="0207F008" w:rsidR="00477B8F" w:rsidRPr="009118AB" w:rsidRDefault="00477B8F" w:rsidP="00477B8F">
      <w:pPr>
        <w:autoSpaceDE w:val="0"/>
        <w:autoSpaceDN w:val="0"/>
        <w:adjustRightInd w:val="0"/>
        <w:jc w:val="both"/>
      </w:pPr>
      <w:r w:rsidRPr="009118AB">
        <w:tab/>
        <w:t xml:space="preserve">- in Artikel 210 </w:t>
      </w:r>
      <w:r w:rsidR="00D67EB8" w:rsidRPr="009118AB">
        <w:t>§ </w:t>
      </w:r>
      <w:r w:rsidRPr="009118AB">
        <w:t xml:space="preserve">1 </w:t>
      </w:r>
      <w:r w:rsidR="00D67EB8" w:rsidRPr="009118AB">
        <w:t>Nr. </w:t>
      </w:r>
      <w:r w:rsidRPr="009118AB">
        <w:t>1 und 1</w:t>
      </w:r>
      <w:r w:rsidRPr="009118AB">
        <w:rPr>
          <w:i/>
          <w:iCs/>
        </w:rPr>
        <w:t>bis</w:t>
      </w:r>
      <w:r w:rsidRPr="009118AB">
        <w:t xml:space="preserve"> erwähnt ist, wenn die Einbringung nicht vollständig durch neue Aktien oder Anteile vergütet wird wie in Artikel 211 </w:t>
      </w:r>
      <w:r w:rsidR="00D67EB8" w:rsidRPr="009118AB">
        <w:t>§ </w:t>
      </w:r>
      <w:r w:rsidRPr="009118AB">
        <w:t>2 Absatz 3 erwähnt aufgrund der Tatsache, dass die übernehmenden oder begünstigten Gesellschaften Aktien oder Anteile der übertragenden oder aufgespaltenen Gesellschaft besitzen,</w:t>
      </w:r>
    </w:p>
    <w:p w14:paraId="340A8E35" w14:textId="77777777" w:rsidR="00477B8F" w:rsidRPr="009118AB" w:rsidRDefault="00477B8F" w:rsidP="00477B8F">
      <w:pPr>
        <w:autoSpaceDE w:val="0"/>
        <w:autoSpaceDN w:val="0"/>
        <w:adjustRightInd w:val="0"/>
        <w:jc w:val="both"/>
      </w:pPr>
    </w:p>
    <w:p w14:paraId="13FE5CAD" w14:textId="77777777" w:rsidR="00477B8F" w:rsidRPr="009118AB" w:rsidRDefault="00477B8F" w:rsidP="00477B8F">
      <w:pPr>
        <w:autoSpaceDE w:val="0"/>
        <w:autoSpaceDN w:val="0"/>
        <w:adjustRightInd w:val="0"/>
        <w:jc w:val="both"/>
      </w:pPr>
      <w:r w:rsidRPr="009118AB">
        <w:tab/>
        <w:t>- in Artikel 186 erwähnt ist, wenn die übernehmenden oder begünstigten Gesellschaften eigene Aktien oder Anteile als Gesamtheit erhalten,]</w:t>
      </w:r>
    </w:p>
    <w:p w14:paraId="20360F06" w14:textId="77777777" w:rsidR="00477B8F" w:rsidRPr="009118AB" w:rsidRDefault="00477B8F" w:rsidP="00477B8F">
      <w:pPr>
        <w:autoSpaceDE w:val="0"/>
        <w:autoSpaceDN w:val="0"/>
        <w:adjustRightInd w:val="0"/>
        <w:jc w:val="both"/>
      </w:pPr>
    </w:p>
    <w:p w14:paraId="54EB192B" w14:textId="4DCDD223" w:rsidR="00477B8F" w:rsidRPr="009118AB" w:rsidRDefault="00477B8F" w:rsidP="00477B8F">
      <w:pPr>
        <w:autoSpaceDE w:val="0"/>
        <w:autoSpaceDN w:val="0"/>
        <w:adjustRightInd w:val="0"/>
        <w:jc w:val="both"/>
      </w:pPr>
      <w:r w:rsidRPr="009118AB">
        <w:tab/>
        <w:t>[2</w:t>
      </w:r>
      <w:r w:rsidRPr="009118AB">
        <w:rPr>
          <w:i/>
          <w:iCs/>
        </w:rPr>
        <w:t>bis</w:t>
      </w:r>
      <w:r w:rsidRPr="009118AB">
        <w:t xml:space="preserve">. der in Artikel 186 erwähnt ist, wenn eine Gesellschaft eigene Aktien oder Anteile erwirbt, die an einem in Artikel 2 </w:t>
      </w:r>
      <w:r w:rsidR="00D67EB8" w:rsidRPr="009118AB">
        <w:t>Nr. </w:t>
      </w:r>
      <w:r w:rsidRPr="009118AB">
        <w:t>5 oder 6 des Gesetzes vom 2. August 2002 über die Aufsicht über den Finanzsektor und die Finanzdienstleistungen erwähnten belgischen oder ausländischen geregelten Markt zugelassen sind oder an einem anderen geregelten Markt, der für die Anwendung des vorliegenden Artikels vom König auf Stellungnahme der [</w:t>
      </w:r>
      <w:r w:rsidR="005935FC" w:rsidRPr="009118AB">
        <w:t>Autorität Finanzielle Dienste und Märkte</w:t>
      </w:r>
      <w:r w:rsidRPr="009118AB">
        <w:t>] als gleichwertig anerkannt ist, sofern das Geschäft am zentralen Börsenmarkt Euronext oder an einem ähnlichen Markt erfolgt,]</w:t>
      </w:r>
    </w:p>
    <w:p w14:paraId="5A31651B" w14:textId="77777777" w:rsidR="00477B8F" w:rsidRPr="009118AB" w:rsidRDefault="00477B8F" w:rsidP="00477B8F">
      <w:pPr>
        <w:autoSpaceDE w:val="0"/>
        <w:autoSpaceDN w:val="0"/>
        <w:adjustRightInd w:val="0"/>
        <w:jc w:val="both"/>
      </w:pPr>
    </w:p>
    <w:p w14:paraId="34009886" w14:textId="5E317EE7" w:rsidR="00477B8F" w:rsidRPr="009118AB" w:rsidRDefault="00477B8F" w:rsidP="00477B8F">
      <w:pPr>
        <w:autoSpaceDE w:val="0"/>
        <w:autoSpaceDN w:val="0"/>
        <w:adjustRightInd w:val="0"/>
        <w:jc w:val="both"/>
      </w:pPr>
      <w:r w:rsidRPr="009118AB">
        <w:tab/>
        <w:t>[2</w:t>
      </w:r>
      <w:r w:rsidRPr="009118AB">
        <w:rPr>
          <w:i/>
          <w:iCs/>
        </w:rPr>
        <w:t>ter</w:t>
      </w:r>
      <w:r w:rsidRPr="009118AB">
        <w:t xml:space="preserve">. der im Falle einer Teilverteilung des Gesellschaftsvermögens oder des Erwerbs eigener Anteile </w:t>
      </w:r>
      <w:r w:rsidR="00A10BFF" w:rsidRPr="009118AB">
        <w:t>[durch eine gemäß Artikel 8:4 des Gesetzbuches der Gesellschaften und Vereinigungen zugelassene Genossenschaft]</w:t>
      </w:r>
      <w:r w:rsidRPr="009118AB">
        <w:t xml:space="preserve"> gewährt oder zuerkannt wird,]</w:t>
      </w:r>
    </w:p>
    <w:p w14:paraId="15E80CBF" w14:textId="77777777" w:rsidR="00A3377D" w:rsidRPr="009118AB" w:rsidRDefault="00A3377D" w:rsidP="00477B8F">
      <w:pPr>
        <w:autoSpaceDE w:val="0"/>
        <w:autoSpaceDN w:val="0"/>
        <w:adjustRightInd w:val="0"/>
        <w:jc w:val="both"/>
      </w:pPr>
    </w:p>
    <w:p w14:paraId="023DBA7B" w14:textId="7CA806CB" w:rsidR="00A3377D" w:rsidRPr="009118AB" w:rsidRDefault="00A3377D" w:rsidP="00477B8F">
      <w:pPr>
        <w:autoSpaceDE w:val="0"/>
        <w:autoSpaceDN w:val="0"/>
        <w:adjustRightInd w:val="0"/>
        <w:jc w:val="both"/>
      </w:pPr>
      <w:r w:rsidRPr="009118AB">
        <w:tab/>
        <w:t>[2</w:t>
      </w:r>
      <w:r w:rsidRPr="009118AB">
        <w:rPr>
          <w:i/>
        </w:rPr>
        <w:t>quater</w:t>
      </w:r>
      <w:r w:rsidRPr="009118AB">
        <w:t xml:space="preserve">. der aufgrund der in Artikel 210 </w:t>
      </w:r>
      <w:r w:rsidR="00D67EB8" w:rsidRPr="009118AB">
        <w:t>§ </w:t>
      </w:r>
      <w:r w:rsidRPr="009118AB">
        <w:t xml:space="preserve">1 </w:t>
      </w:r>
      <w:r w:rsidR="00D67EB8" w:rsidRPr="009118AB">
        <w:t>Nr. </w:t>
      </w:r>
      <w:r w:rsidRPr="009118AB">
        <w:t xml:space="preserve">5 erwähnten Zulassung als Investmentgesellschaft mit fixem Kapital für Immobilien oder nicht notierte Aktien oder als beaufsichtigte Immobiliengesellschaft durch die Autorität Finanzielle Dienste und Märkte oder aufgrund der in Artikel 210 </w:t>
      </w:r>
      <w:r w:rsidR="00D67EB8" w:rsidRPr="009118AB">
        <w:t>§ </w:t>
      </w:r>
      <w:r w:rsidRPr="009118AB">
        <w:t xml:space="preserve">1 </w:t>
      </w:r>
      <w:r w:rsidR="00D67EB8" w:rsidRPr="009118AB">
        <w:t>Nr. </w:t>
      </w:r>
      <w:r w:rsidRPr="009118AB">
        <w:t>6 erwähnten Eintragung als spezialisierter Immobilieninvestmentfonds beim FÖD Finanzen als zuerkannt gilt,]</w:t>
      </w:r>
    </w:p>
    <w:p w14:paraId="1527B1EA" w14:textId="77777777" w:rsidR="00477B8F" w:rsidRPr="009118AB" w:rsidRDefault="00477B8F" w:rsidP="00477B8F">
      <w:pPr>
        <w:autoSpaceDE w:val="0"/>
        <w:autoSpaceDN w:val="0"/>
        <w:adjustRightInd w:val="0"/>
        <w:jc w:val="both"/>
      </w:pPr>
    </w:p>
    <w:p w14:paraId="2EE11E73" w14:textId="77777777" w:rsidR="00477B8F" w:rsidRPr="009118AB" w:rsidRDefault="00477B8F" w:rsidP="00477B8F">
      <w:pPr>
        <w:autoSpaceDE w:val="0"/>
        <w:autoSpaceDN w:val="0"/>
        <w:adjustRightInd w:val="0"/>
        <w:jc w:val="both"/>
      </w:pPr>
      <w:r w:rsidRPr="009118AB">
        <w:tab/>
        <w:t>3. der im Falle einer Entnahme aus den Gewinnrücklagen:</w:t>
      </w:r>
    </w:p>
    <w:p w14:paraId="0D59F45A" w14:textId="77777777" w:rsidR="00477B8F" w:rsidRPr="009118AB" w:rsidRDefault="00477B8F" w:rsidP="00477B8F">
      <w:pPr>
        <w:autoSpaceDE w:val="0"/>
        <w:autoSpaceDN w:val="0"/>
        <w:adjustRightInd w:val="0"/>
        <w:jc w:val="both"/>
      </w:pPr>
    </w:p>
    <w:p w14:paraId="4EFFDA9D"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[den Beträgen entspricht, die von den Gewinnrücklagen abgezogen wurden als definitiv besteuerte Rücklagen, die während der Steuerjahre 1973 und vorhergehende gebildet wurden],</w:t>
      </w:r>
    </w:p>
    <w:p w14:paraId="4872A289" w14:textId="77777777" w:rsidR="000D3646" w:rsidRPr="009118AB" w:rsidRDefault="000D3646" w:rsidP="00477B8F">
      <w:pPr>
        <w:autoSpaceDE w:val="0"/>
        <w:autoSpaceDN w:val="0"/>
        <w:adjustRightInd w:val="0"/>
        <w:jc w:val="both"/>
      </w:pPr>
    </w:p>
    <w:p w14:paraId="70D23204"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den Gewinnen entspricht, die vorher zu Lasten der </w:t>
      </w:r>
      <w:r w:rsidR="00AD57AA" w:rsidRPr="009118AB">
        <w:t>Gesellschafter besteuert wurden,</w:t>
      </w:r>
    </w:p>
    <w:p w14:paraId="4AD5B1E6" w14:textId="77777777" w:rsidR="00AD57AA" w:rsidRPr="009118AB" w:rsidRDefault="00AD57AA" w:rsidP="00477B8F">
      <w:pPr>
        <w:autoSpaceDE w:val="0"/>
        <w:autoSpaceDN w:val="0"/>
        <w:adjustRightInd w:val="0"/>
        <w:jc w:val="both"/>
      </w:pPr>
    </w:p>
    <w:p w14:paraId="03169482" w14:textId="52CBA03A" w:rsidR="00AD57AA" w:rsidRPr="009118AB" w:rsidRDefault="00AD57AA" w:rsidP="00477B8F">
      <w:pPr>
        <w:autoSpaceDE w:val="0"/>
        <w:autoSpaceDN w:val="0"/>
        <w:adjustRightInd w:val="0"/>
        <w:jc w:val="both"/>
      </w:pPr>
      <w:r w:rsidRPr="009118AB">
        <w:lastRenderedPageBreak/>
        <w:tab/>
        <w:t>[</w:t>
      </w:r>
      <w:r w:rsidRPr="009118AB">
        <w:rPr>
          <w:i/>
        </w:rPr>
        <w:t>c)</w:t>
      </w:r>
      <w:r w:rsidRPr="009118AB">
        <w:t xml:space="preserve"> den Gewinnen entspricht, die vorher besteuert wurden bis zu den in Artikel 18 </w:t>
      </w:r>
      <w:r w:rsidR="00D67EB8" w:rsidRPr="009118AB">
        <w:t>§ </w:t>
      </w:r>
      <w:r w:rsidRPr="009118AB">
        <w:t xml:space="preserve">1 Absatz 1 </w:t>
      </w:r>
      <w:r w:rsidR="00D67EB8" w:rsidRPr="009118AB">
        <w:t>Nr. </w:t>
      </w:r>
      <w:r w:rsidRPr="009118AB">
        <w:t>2 und 2</w:t>
      </w:r>
      <w:r w:rsidRPr="009118AB">
        <w:rPr>
          <w:i/>
        </w:rPr>
        <w:t>bis</w:t>
      </w:r>
      <w:r w:rsidRPr="009118AB">
        <w:t xml:space="preserve"> erwähnten Beträgen, die gemäß den Absätzen 2 bis 6 desselben Artikels auf die Gewinnrü</w:t>
      </w:r>
      <w:r w:rsidR="00FD3223" w:rsidRPr="009118AB">
        <w:t>cklagen angerechnet worden sind,</w:t>
      </w:r>
      <w:r w:rsidRPr="009118AB">
        <w:t>]</w:t>
      </w:r>
    </w:p>
    <w:p w14:paraId="68ABA972" w14:textId="1C907899" w:rsidR="00FD3223" w:rsidRPr="009118AB" w:rsidRDefault="00FD3223" w:rsidP="00477B8F">
      <w:pPr>
        <w:autoSpaceDE w:val="0"/>
        <w:autoSpaceDN w:val="0"/>
        <w:adjustRightInd w:val="0"/>
        <w:jc w:val="both"/>
      </w:pPr>
    </w:p>
    <w:p w14:paraId="6D6F348F" w14:textId="2BD55FD2" w:rsidR="00FD3223" w:rsidRPr="009118AB" w:rsidRDefault="00FD3223" w:rsidP="00477B8F">
      <w:pPr>
        <w:autoSpaceDE w:val="0"/>
        <w:autoSpaceDN w:val="0"/>
        <w:adjustRightInd w:val="0"/>
        <w:jc w:val="both"/>
      </w:pPr>
      <w:r w:rsidRPr="009118AB">
        <w:tab/>
        <w:t>[4. der einem Einwohner des Königreichs von einer Gesellschaft gewährt oder zuerkannt wird, deren Aktien oder Anteile an einer Wertpapierbörse eines Mitgliedstaates der Europäischen Union notiert sind unter den Bedingungen der Richtlinie 2001/34/EG des Europäischen Parlaments und des Rates vom 28. Mai 2001 über die Zulassung von Wertpapieren zur amtlichen Börsennotierung und über die hinsichtlich dieser Wertpapiere zu veröffentlichenden Informationen oder an einer Wertpapierbörse eines Drittstaates, dessen Rechtsvorschriften zumindest gleichwertige Zulassungsbedingungen vorsehen, in Form von Aktien oder Anteilen einer neu gegründeten Gesellschaft oder einer bestehenden Gesellschaft, die an einer vorerwähnten Wertpapierbörse notiert sind und die die ausschüttende Gesellschaft im Tausch für die Einbringung eines Teilbetriebs beziehungsweise eines Teils einer Tätigkeit erhalten hat, sofern die Einbringung und der Erhalt der Aktien oder Anteile Gegenstand ein und desselben Umstrukturierungsvorgangs sind, der in einem Staat stattfindet, mit dem Belgien eine Vereinbarung oder ein Abkommen zur Vermeidung der Doppelbesteuerung abgeschlossen hat, sofern diese Vereinbarung oder dieses Abkommen oder ein anderes bilaterales oder multilaterales Rechtsinstrument, zu dessen Parteien dieser Staat zusammen mit Belgien gehört, den Informationsaustausch in Steuersachen ermöglicht, und der in diesem Staat als steuerlich neutral oder steuerfrei gilt.</w:t>
      </w:r>
      <w:r w:rsidR="0052491B" w:rsidRPr="009118AB">
        <w:t>]</w:t>
      </w:r>
    </w:p>
    <w:p w14:paraId="144BEB70" w14:textId="77777777" w:rsidR="00477B8F" w:rsidRPr="009118AB" w:rsidRDefault="00477B8F" w:rsidP="00477B8F">
      <w:pPr>
        <w:autoSpaceDE w:val="0"/>
        <w:autoSpaceDN w:val="0"/>
        <w:adjustRightInd w:val="0"/>
        <w:jc w:val="both"/>
      </w:pPr>
    </w:p>
    <w:p w14:paraId="3F93E19C" w14:textId="7975735D" w:rsidR="00AD57AA" w:rsidRPr="009118AB" w:rsidRDefault="00AD57AA" w:rsidP="00AD57AA">
      <w:pPr>
        <w:jc w:val="both"/>
      </w:pPr>
      <w:r w:rsidRPr="009118AB">
        <w:tab/>
        <w:t xml:space="preserve">[Absatz 1 </w:t>
      </w:r>
      <w:r w:rsidR="00D67EB8" w:rsidRPr="009118AB">
        <w:t>Nr. </w:t>
      </w:r>
      <w:r w:rsidRPr="009118AB">
        <w:t>3 Buchstabe </w:t>
      </w:r>
      <w:r w:rsidRPr="009118AB">
        <w:rPr>
          <w:i/>
        </w:rPr>
        <w:t>c)</w:t>
      </w:r>
      <w:r w:rsidRPr="009118AB">
        <w:t xml:space="preserve"> ist nicht auf die in Artikel 18 Absatz 1 </w:t>
      </w:r>
      <w:r w:rsidR="00D67EB8" w:rsidRPr="009118AB">
        <w:t>Nr. </w:t>
      </w:r>
      <w:r w:rsidRPr="009118AB">
        <w:t>2</w:t>
      </w:r>
      <w:r w:rsidRPr="009118AB">
        <w:rPr>
          <w:i/>
        </w:rPr>
        <w:t>ter</w:t>
      </w:r>
      <w:r w:rsidRPr="009118AB">
        <w:t xml:space="preserve"> erwähnten Beträge anwendbar.</w:t>
      </w:r>
    </w:p>
    <w:p w14:paraId="2742F7D0" w14:textId="77777777" w:rsidR="00AD57AA" w:rsidRPr="009118AB" w:rsidRDefault="00AD57AA" w:rsidP="00AD57AA">
      <w:pPr>
        <w:jc w:val="both"/>
      </w:pPr>
    </w:p>
    <w:p w14:paraId="4F29ADBE" w14:textId="52B3A3BE" w:rsidR="00AD57AA" w:rsidRPr="009118AB" w:rsidRDefault="00AD57AA" w:rsidP="00AD57AA">
      <w:pPr>
        <w:autoSpaceDE w:val="0"/>
        <w:autoSpaceDN w:val="0"/>
        <w:adjustRightInd w:val="0"/>
        <w:jc w:val="both"/>
      </w:pPr>
      <w:r w:rsidRPr="009118AB">
        <w:tab/>
        <w:t xml:space="preserve">Für die Anwendung der in Absatz 1 </w:t>
      </w:r>
      <w:r w:rsidR="00D67EB8" w:rsidRPr="009118AB">
        <w:t>Nr. </w:t>
      </w:r>
      <w:r w:rsidRPr="009118AB">
        <w:t>3 Buchstabe </w:t>
      </w:r>
      <w:r w:rsidRPr="009118AB">
        <w:rPr>
          <w:i/>
        </w:rPr>
        <w:t>c)</w:t>
      </w:r>
      <w:r w:rsidRPr="009118AB">
        <w:t xml:space="preserve"> erwähnten Befreiung wird davon ausgegangen, dass die Entnahmen aus den Gewinnrücklagen vorrangig aus den Ge</w:t>
      </w:r>
      <w:r w:rsidRPr="009118AB">
        <w:softHyphen/>
        <w:t>winnrücklagen stammen, für die keine solche Anrechnung vorgenommen wurde.]</w:t>
      </w:r>
    </w:p>
    <w:p w14:paraId="0CFB414C" w14:textId="77777777" w:rsidR="00AD57AA" w:rsidRPr="009118AB" w:rsidRDefault="00AD57AA" w:rsidP="00477B8F">
      <w:pPr>
        <w:autoSpaceDE w:val="0"/>
        <w:autoSpaceDN w:val="0"/>
        <w:adjustRightInd w:val="0"/>
        <w:jc w:val="both"/>
      </w:pPr>
    </w:p>
    <w:p w14:paraId="1E04A9F9" w14:textId="77777777" w:rsidR="00477B8F" w:rsidRPr="009118AB" w:rsidRDefault="00477B8F" w:rsidP="00477B8F">
      <w:pPr>
        <w:autoSpaceDE w:val="0"/>
        <w:autoSpaceDN w:val="0"/>
        <w:adjustRightInd w:val="0"/>
        <w:jc w:val="both"/>
      </w:pPr>
      <w:r w:rsidRPr="009118AB">
        <w:tab/>
        <w:t>Für die Anwendung vorliegender Bestimmung legt der König die Reihenfolge der Anrechnung der Entnahmen auf die verschiedenen Bestandteile der Gewinnrücklagen fest.</w:t>
      </w:r>
    </w:p>
    <w:p w14:paraId="33F97320" w14:textId="77777777" w:rsidR="00477B8F" w:rsidRPr="009118AB" w:rsidRDefault="00477B8F" w:rsidP="00477B8F">
      <w:pPr>
        <w:autoSpaceDE w:val="0"/>
        <w:autoSpaceDN w:val="0"/>
        <w:adjustRightInd w:val="0"/>
        <w:jc w:val="both"/>
      </w:pPr>
    </w:p>
    <w:p w14:paraId="03C258E9" w14:textId="239A2027" w:rsidR="00477B8F" w:rsidRPr="009118AB" w:rsidRDefault="00477B8F" w:rsidP="00477B8F">
      <w:pPr>
        <w:autoSpaceDE w:val="0"/>
        <w:autoSpaceDN w:val="0"/>
        <w:adjustRightInd w:val="0"/>
        <w:jc w:val="both"/>
        <w:rPr>
          <w:rFonts w:ascii="Times New Roman Italique" w:hAnsi="Times New Roman Italique"/>
          <w:spacing w:val="-2"/>
        </w:rPr>
      </w:pPr>
      <w:r w:rsidRPr="009118AB">
        <w:rPr>
          <w:i/>
          <w:iCs/>
        </w:rPr>
        <w:t>[</w:t>
      </w:r>
      <w:r w:rsidR="00D67EB8" w:rsidRPr="009118AB">
        <w:rPr>
          <w:i/>
          <w:iCs/>
        </w:rPr>
        <w:t>Art. </w:t>
      </w:r>
      <w:r w:rsidRPr="009118AB">
        <w:rPr>
          <w:i/>
          <w:iCs/>
        </w:rPr>
        <w:t xml:space="preserve">264 </w:t>
      </w:r>
      <w:r w:rsidR="00D67EB8" w:rsidRPr="009118AB">
        <w:rPr>
          <w:i/>
          <w:iCs/>
        </w:rPr>
        <w:t>Abs. </w:t>
      </w:r>
      <w:r w:rsidRPr="009118AB">
        <w:rPr>
          <w:i/>
          <w:iCs/>
        </w:rPr>
        <w:t xml:space="preserve">1 </w:t>
      </w:r>
      <w:r w:rsidR="00D67EB8" w:rsidRPr="009118AB">
        <w:rPr>
          <w:i/>
          <w:iCs/>
        </w:rPr>
        <w:t>Nr. </w:t>
      </w:r>
      <w:r w:rsidRPr="009118AB">
        <w:rPr>
          <w:i/>
          <w:iCs/>
        </w:rPr>
        <w:t xml:space="preserve">1 </w:t>
      </w:r>
      <w:r w:rsidR="000D3646" w:rsidRPr="009118AB">
        <w:rPr>
          <w:i/>
          <w:iCs/>
        </w:rPr>
        <w:t xml:space="preserve">ersetzt durch </w:t>
      </w:r>
      <w:r w:rsidR="00D67EB8" w:rsidRPr="009118AB">
        <w:rPr>
          <w:i/>
          <w:iCs/>
        </w:rPr>
        <w:t>Art. </w:t>
      </w:r>
      <w:r w:rsidR="000D3646" w:rsidRPr="009118AB">
        <w:rPr>
          <w:i/>
          <w:iCs/>
        </w:rPr>
        <w:t xml:space="preserve">24 </w:t>
      </w:r>
      <w:r w:rsidR="000D3646" w:rsidRPr="009118AB">
        <w:rPr>
          <w:i/>
          <w:iCs/>
          <w:spacing w:val="-1"/>
        </w:rPr>
        <w:t>des G. vom 19. Dezember 2014 (B.S. vom 29. Dezember 2014)</w:t>
      </w:r>
      <w:r w:rsidR="00D67EB8" w:rsidRPr="009118AB">
        <w:rPr>
          <w:i/>
          <w:iCs/>
          <w:spacing w:val="-1"/>
        </w:rPr>
        <w:t> - </w:t>
      </w:r>
      <w:r w:rsidR="000D3646" w:rsidRPr="009118AB">
        <w:rPr>
          <w:i/>
          <w:iCs/>
          <w:spacing w:val="-1"/>
        </w:rPr>
        <w:t>in Kraft ab dem Steuerjahr 2015 und anwendbar auf Geschäftsjahre, die frühestens am 1. Juli 2015 abgeschlossen werden</w:t>
      </w:r>
      <w:r w:rsidR="003366D9" w:rsidRPr="009118AB">
        <w:rPr>
          <w:i/>
          <w:iCs/>
          <w:spacing w:val="-1"/>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 ersetzt durch </w:t>
      </w:r>
      <w:r w:rsidR="00D67EB8" w:rsidRPr="009118AB">
        <w:rPr>
          <w:i/>
          <w:iCs/>
        </w:rPr>
        <w:t>Art. </w:t>
      </w:r>
      <w:r w:rsidRPr="009118AB">
        <w:rPr>
          <w:i/>
          <w:iCs/>
        </w:rPr>
        <w:t xml:space="preserve">15 </w:t>
      </w:r>
      <w:r w:rsidR="00D67EB8" w:rsidRPr="009118AB">
        <w:rPr>
          <w:i/>
          <w:iCs/>
        </w:rPr>
        <w:t>Nr. </w:t>
      </w:r>
      <w:r w:rsidRPr="009118AB">
        <w:rPr>
          <w:i/>
          <w:iCs/>
        </w:rPr>
        <w:t>1 des G. vom 24. Dezember 2002</w:t>
      </w:r>
      <w:r w:rsidR="00D86BCC" w:rsidRPr="009118AB">
        <w:rPr>
          <w:i/>
          <w:iCs/>
        </w:rPr>
        <w:t xml:space="preserve"> (II)</w:t>
      </w:r>
      <w:r w:rsidRPr="009118AB">
        <w:rPr>
          <w:i/>
          <w:iCs/>
        </w:rPr>
        <w:t xml:space="preserve"> (B.S. vom 31. Dezember 2002)</w:t>
      </w:r>
      <w:r w:rsidR="00D67EB8" w:rsidRPr="009118AB">
        <w:rPr>
          <w:i/>
          <w:iCs/>
        </w:rPr>
        <w:t> - </w:t>
      </w:r>
      <w:r w:rsidRPr="009118AB">
        <w:rPr>
          <w:i/>
          <w:iCs/>
        </w:rPr>
        <w:t xml:space="preserve">anwendbar auf Einkünfte, die zuerkannt oder ausgeschüttet werden, oder als solche anzusehen sind ab dem 1. Januar 2002, insofern, wenn es sich um in </w:t>
      </w:r>
      <w:r w:rsidR="00D67EB8" w:rsidRPr="009118AB">
        <w:rPr>
          <w:i/>
          <w:iCs/>
        </w:rPr>
        <w:t>Art. </w:t>
      </w:r>
      <w:r w:rsidRPr="009118AB">
        <w:rPr>
          <w:i/>
          <w:iCs/>
        </w:rPr>
        <w:t>209 des Einkommensteuergesetzbuches 1992 erwähnte Verrichtungen handelt, die Liquidation nicht vor dem 25. März 2002 beendet wurde</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2bis eingefügt durch </w:t>
      </w:r>
      <w:r w:rsidR="00D67EB8" w:rsidRPr="009118AB">
        <w:rPr>
          <w:i/>
          <w:iCs/>
        </w:rPr>
        <w:t>Art. </w:t>
      </w:r>
      <w:r w:rsidRPr="009118AB">
        <w:rPr>
          <w:i/>
          <w:iCs/>
        </w:rPr>
        <w:t xml:space="preserve">15 </w:t>
      </w:r>
      <w:r w:rsidR="00D67EB8" w:rsidRPr="009118AB">
        <w:rPr>
          <w:i/>
          <w:iCs/>
        </w:rPr>
        <w:t>Nr. </w:t>
      </w:r>
      <w:r w:rsidRPr="009118AB">
        <w:rPr>
          <w:i/>
          <w:iCs/>
        </w:rPr>
        <w:t>2 des G. vom 24. Dezember 2002</w:t>
      </w:r>
      <w:r w:rsidR="00D86BCC" w:rsidRPr="009118AB">
        <w:rPr>
          <w:i/>
          <w:iCs/>
        </w:rPr>
        <w:t xml:space="preserve"> (II)</w:t>
      </w:r>
      <w:r w:rsidRPr="009118AB">
        <w:rPr>
          <w:i/>
          <w:iCs/>
        </w:rPr>
        <w:t xml:space="preserve"> (B.S. vom 31. Dezember 2002)</w:t>
      </w:r>
      <w:r w:rsidR="00D67EB8" w:rsidRPr="009118AB">
        <w:rPr>
          <w:i/>
          <w:iCs/>
        </w:rPr>
        <w:t> - </w:t>
      </w:r>
      <w:r w:rsidRPr="009118AB">
        <w:rPr>
          <w:i/>
          <w:iCs/>
        </w:rPr>
        <w:t xml:space="preserve">anwendbar auf Einkünfte, die zuerkannt oder ausgeschüttet werden, oder als solche anzusehen sind ab dem 1. Januar 2002, insofern, wenn es sich um in </w:t>
      </w:r>
      <w:r w:rsidR="00D67EB8" w:rsidRPr="009118AB">
        <w:rPr>
          <w:i/>
          <w:iCs/>
        </w:rPr>
        <w:t>Art. </w:t>
      </w:r>
      <w:r w:rsidRPr="009118AB">
        <w:rPr>
          <w:i/>
          <w:iCs/>
        </w:rPr>
        <w:t>209 des Einkommensteuergesetzbuches 1992 erwähnte Verrichtungen handelt, die Liquidation nicht vor dem 25. März 2002 beendet wurde</w:t>
      </w:r>
      <w:r w:rsidR="00D67EB8" w:rsidRPr="009118AB">
        <w:rPr>
          <w:i/>
          <w:iCs/>
        </w:rPr>
        <w:t> - </w:t>
      </w:r>
      <w:r w:rsidRPr="009118AB">
        <w:rPr>
          <w:i/>
          <w:iCs/>
        </w:rPr>
        <w:t xml:space="preserve">und abgeändert durch </w:t>
      </w:r>
      <w:r w:rsidR="00D67EB8" w:rsidRPr="009118AB">
        <w:rPr>
          <w:i/>
          <w:iCs/>
        </w:rPr>
        <w:t>Art. </w:t>
      </w:r>
      <w:r w:rsidRPr="009118AB">
        <w:rPr>
          <w:i/>
          <w:iCs/>
        </w:rPr>
        <w:t>375 des G. vom 27. Dezember 2004 (B.S. vom 31. Dezember 2004)</w:t>
      </w:r>
      <w:r w:rsidR="005935FC" w:rsidRPr="009118AB">
        <w:rPr>
          <w:i/>
          <w:iCs/>
        </w:rPr>
        <w:t xml:space="preserve"> und</w:t>
      </w:r>
      <w:r w:rsidR="005935FC"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5935FC" w:rsidRPr="009118AB">
        <w:rPr>
          <w:rFonts w:ascii="Times New Roman Italique" w:hAnsi="Times New Roman Italique"/>
          <w:i/>
          <w:iCs/>
          <w:spacing w:val="-2"/>
        </w:rPr>
        <w:t>331 des K.E. vom 3. März 2011 (B.S</w:t>
      </w:r>
      <w:r w:rsidR="00FE02D0" w:rsidRPr="009118AB">
        <w:rPr>
          <w:rFonts w:ascii="Times New Roman Italique" w:hAnsi="Times New Roman Italique"/>
          <w:i/>
          <w:iCs/>
          <w:spacing w:val="-2"/>
        </w:rPr>
        <w:t>.</w:t>
      </w:r>
      <w:r w:rsidR="005935FC" w:rsidRPr="009118AB">
        <w:rPr>
          <w:rFonts w:ascii="Times New Roman Italique" w:hAnsi="Times New Roman Italique"/>
          <w:i/>
          <w:iCs/>
          <w:spacing w:val="-2"/>
        </w:rPr>
        <w:t xml:space="preserve"> vom 9. März 2011)</w:t>
      </w:r>
      <w:r w:rsidR="00D67EB8" w:rsidRPr="009118AB">
        <w:rPr>
          <w:rFonts w:ascii="Times New Roman Italique" w:hAnsi="Times New Roman Italique"/>
          <w:i/>
          <w:iCs/>
          <w:spacing w:val="-2"/>
        </w:rPr>
        <w:t> - </w:t>
      </w:r>
      <w:r w:rsidR="005935FC" w:rsidRPr="009118AB">
        <w:rPr>
          <w:rFonts w:ascii="Times New Roman Italique" w:hAnsi="Times New Roman Italique"/>
          <w:i/>
          <w:iCs/>
          <w:spacing w:val="-2"/>
        </w:rPr>
        <w:t>in Kraft am 1. April 2011</w:t>
      </w:r>
      <w:r w:rsidR="003366D9" w:rsidRPr="009118AB">
        <w:rPr>
          <w:rFonts w:ascii="Times New Roman Italique" w:hAnsi="Times New Roman Italique"/>
          <w:i/>
          <w:iCs/>
          <w:spacing w:val="-2"/>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2ter eingefügt durch </w:t>
      </w:r>
      <w:r w:rsidR="00D67EB8" w:rsidRPr="009118AB">
        <w:rPr>
          <w:i/>
          <w:iCs/>
        </w:rPr>
        <w:t>Art. </w:t>
      </w:r>
      <w:r w:rsidRPr="009118AB">
        <w:rPr>
          <w:i/>
          <w:iCs/>
        </w:rPr>
        <w:t xml:space="preserve">15 </w:t>
      </w:r>
      <w:r w:rsidR="00D67EB8" w:rsidRPr="009118AB">
        <w:rPr>
          <w:i/>
          <w:iCs/>
        </w:rPr>
        <w:t>Nr. </w:t>
      </w:r>
      <w:r w:rsidRPr="009118AB">
        <w:rPr>
          <w:i/>
          <w:iCs/>
        </w:rPr>
        <w:t xml:space="preserve">3 des G. vom 24. Dezember 2002 </w:t>
      </w:r>
      <w:r w:rsidR="00D86BCC" w:rsidRPr="009118AB">
        <w:rPr>
          <w:i/>
          <w:iCs/>
        </w:rPr>
        <w:t xml:space="preserve">(II) </w:t>
      </w:r>
      <w:r w:rsidRPr="009118AB">
        <w:rPr>
          <w:i/>
          <w:iCs/>
        </w:rPr>
        <w:t>(B.S. vom 31. Dezember 2002)</w:t>
      </w:r>
      <w:r w:rsidR="00D67EB8" w:rsidRPr="009118AB">
        <w:rPr>
          <w:i/>
          <w:iCs/>
        </w:rPr>
        <w:t> - </w:t>
      </w:r>
      <w:r w:rsidRPr="009118AB">
        <w:rPr>
          <w:i/>
          <w:iCs/>
        </w:rPr>
        <w:t xml:space="preserve">anwendbar auf Einkünfte, die zuerkannt oder ausgeschüttet werden, oder als solche anzusehen sind ab dem </w:t>
      </w:r>
      <w:r w:rsidRPr="009118AB">
        <w:rPr>
          <w:rFonts w:ascii="Times New Roman Italique" w:hAnsi="Times New Roman Italique"/>
          <w:i/>
          <w:iCs/>
          <w:spacing w:val="-2"/>
        </w:rPr>
        <w:t xml:space="preserve">1. Januar 2002, insofern, wenn es sich um in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209 des Einkommensteuergesetzbuches 1992 erwähnte Verrichtungen handelt, die Liquidation nicht vor dem 25. März 2002 beendet </w:t>
      </w:r>
      <w:r w:rsidRPr="009118AB">
        <w:rPr>
          <w:rFonts w:ascii="Times New Roman Italique" w:hAnsi="Times New Roman Italique"/>
          <w:i/>
          <w:iCs/>
          <w:spacing w:val="-2"/>
        </w:rPr>
        <w:lastRenderedPageBreak/>
        <w:t>wurde</w:t>
      </w:r>
      <w:r w:rsidR="00D67EB8" w:rsidRPr="009118AB">
        <w:rPr>
          <w:rFonts w:ascii="Times New Roman Italique" w:hAnsi="Times New Roman Italique"/>
          <w:i/>
          <w:iCs/>
          <w:spacing w:val="-2"/>
        </w:rPr>
        <w:t> - </w:t>
      </w:r>
      <w:r w:rsidR="00A10BFF"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A10BFF" w:rsidRPr="009118AB">
        <w:rPr>
          <w:rFonts w:ascii="Times New Roman Italique" w:hAnsi="Times New Roman Italique"/>
          <w:i/>
          <w:iCs/>
          <w:spacing w:val="-2"/>
        </w:rPr>
        <w:t>60</w:t>
      </w:r>
      <w:r w:rsidR="00A10BFF" w:rsidRPr="009118AB">
        <w:rPr>
          <w:i/>
          <w:iCs/>
          <w:spacing w:val="-2"/>
        </w:rPr>
        <w:t xml:space="preserve"> des G. vom 17. März 2019 (III) (B.S. vom 10. Mai 2019)</w:t>
      </w:r>
      <w:r w:rsidR="00D67EB8" w:rsidRPr="009118AB">
        <w:rPr>
          <w:i/>
          <w:iCs/>
          <w:spacing w:val="-2"/>
        </w:rPr>
        <w:t> - </w:t>
      </w:r>
      <w:r w:rsidR="00A10BFF" w:rsidRPr="009118AB">
        <w:rPr>
          <w:i/>
          <w:iCs/>
          <w:spacing w:val="-2"/>
        </w:rPr>
        <w:t>in Kraft am 1. Mai 2019</w:t>
      </w:r>
      <w:r w:rsidR="003366D9" w:rsidRPr="009118AB">
        <w:rPr>
          <w:i/>
          <w:iCs/>
          <w:spacing w:val="-2"/>
        </w:rPr>
        <w:t> -;</w:t>
      </w:r>
      <w:r w:rsidRPr="009118AB">
        <w:rPr>
          <w:i/>
          <w:iCs/>
        </w:rPr>
        <w:t xml:space="preserve"> </w:t>
      </w:r>
      <w:r w:rsidR="00D67EB8" w:rsidRPr="009118AB">
        <w:rPr>
          <w:i/>
          <w:iCs/>
        </w:rPr>
        <w:t>Abs. </w:t>
      </w:r>
      <w:r w:rsidR="00A3377D" w:rsidRPr="009118AB">
        <w:rPr>
          <w:i/>
          <w:iCs/>
        </w:rPr>
        <w:t xml:space="preserve">1 </w:t>
      </w:r>
      <w:r w:rsidR="00D67EB8" w:rsidRPr="009118AB">
        <w:rPr>
          <w:i/>
          <w:iCs/>
        </w:rPr>
        <w:t>Nr. </w:t>
      </w:r>
      <w:r w:rsidR="00A3377D" w:rsidRPr="009118AB">
        <w:rPr>
          <w:i/>
          <w:iCs/>
        </w:rPr>
        <w:t xml:space="preserve">2quater eingefügt durch </w:t>
      </w:r>
      <w:r w:rsidR="00D67EB8" w:rsidRPr="009118AB">
        <w:rPr>
          <w:i/>
          <w:iCs/>
        </w:rPr>
        <w:t>Art. </w:t>
      </w:r>
      <w:r w:rsidR="00A3377D" w:rsidRPr="009118AB">
        <w:rPr>
          <w:i/>
          <w:iCs/>
        </w:rPr>
        <w:t>17</w:t>
      </w:r>
      <w:r w:rsidR="00A3377D" w:rsidRPr="009118AB">
        <w:rPr>
          <w:i/>
        </w:rPr>
        <w:t xml:space="preserve"> des </w:t>
      </w:r>
      <w:r w:rsidR="00A3377D" w:rsidRPr="009118AB">
        <w:rPr>
          <w:rFonts w:ascii="Times New Roman Italique" w:hAnsi="Times New Roman Italique"/>
          <w:i/>
          <w:spacing w:val="-2"/>
        </w:rPr>
        <w:t>G. (II) vom 3. August 2016 (VI) (B.S. vom 16. August 2016)</w:t>
      </w:r>
      <w:r w:rsidR="00D67EB8" w:rsidRPr="009118AB">
        <w:rPr>
          <w:rFonts w:ascii="Times New Roman Italique" w:hAnsi="Times New Roman Italique"/>
          <w:i/>
          <w:spacing w:val="-2"/>
        </w:rPr>
        <w:t> - </w:t>
      </w:r>
      <w:r w:rsidR="00A3377D" w:rsidRPr="009118AB">
        <w:rPr>
          <w:rFonts w:ascii="Times New Roman Italique" w:hAnsi="Times New Roman Italique"/>
          <w:i/>
          <w:spacing w:val="-2"/>
        </w:rPr>
        <w:t>in Kraft ab dem Steuerjahr 2016 für Vorgänge und Einkünfte, die ab dem 1. Juli 2016 stattfinden beziehungsweise zuerkannt oder ausgeschüttet werden</w:t>
      </w:r>
      <w:r w:rsidR="003366D9" w:rsidRPr="009118AB">
        <w:rPr>
          <w:rFonts w:ascii="Times New Roman Italique" w:hAnsi="Times New Roman Italique"/>
          <w:i/>
          <w:spacing w:val="-2"/>
        </w:rPr>
        <w:t> -;</w:t>
      </w:r>
      <w:r w:rsidR="00A3377D" w:rsidRPr="009118AB">
        <w:rPr>
          <w:rFonts w:ascii="Times New Roman Italique" w:hAnsi="Times New Roman Italique"/>
          <w:i/>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3 einziger Absatz Buchstabe a)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3 des G. vom 6. Juli 1994 (B.S. vom 16. Juli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1992</w:t>
      </w:r>
      <w:r w:rsidR="003366D9" w:rsidRPr="009118AB">
        <w:rPr>
          <w:rFonts w:ascii="Times New Roman Italique" w:hAnsi="Times New Roman Italique"/>
          <w:i/>
          <w:iCs/>
          <w:spacing w:val="-2"/>
        </w:rPr>
        <w:t> -;</w:t>
      </w:r>
      <w:r w:rsidR="00AD57AA"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AD57AA"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00AD57AA" w:rsidRPr="009118AB">
        <w:rPr>
          <w:rFonts w:ascii="Times New Roman Italique" w:hAnsi="Times New Roman Italique"/>
          <w:i/>
          <w:iCs/>
          <w:spacing w:val="-2"/>
        </w:rPr>
        <w:t xml:space="preserve">3 einziger Absatz Buchstabe c) eingefügt durch </w:t>
      </w:r>
      <w:r w:rsidR="00D67EB8" w:rsidRPr="009118AB">
        <w:rPr>
          <w:rFonts w:ascii="Times New Roman Italique" w:hAnsi="Times New Roman Italique"/>
          <w:i/>
          <w:iCs/>
          <w:spacing w:val="-2"/>
        </w:rPr>
        <w:t>Art. </w:t>
      </w:r>
      <w:r w:rsidR="00AD57AA" w:rsidRPr="009118AB">
        <w:rPr>
          <w:rFonts w:ascii="Times New Roman Italique" w:hAnsi="Times New Roman Italique"/>
          <w:i/>
          <w:iCs/>
          <w:spacing w:val="-2"/>
        </w:rPr>
        <w:t xml:space="preserve">68 </w:t>
      </w:r>
      <w:r w:rsidR="00D67EB8" w:rsidRPr="009118AB">
        <w:rPr>
          <w:rFonts w:ascii="Times New Roman Italique" w:hAnsi="Times New Roman Italique"/>
          <w:i/>
          <w:iCs/>
          <w:spacing w:val="-2"/>
        </w:rPr>
        <w:t>Nr. </w:t>
      </w:r>
      <w:r w:rsidR="00AD57AA" w:rsidRPr="009118AB">
        <w:rPr>
          <w:rFonts w:ascii="Times New Roman Italique" w:hAnsi="Times New Roman Italique"/>
          <w:i/>
          <w:iCs/>
          <w:spacing w:val="-2"/>
        </w:rPr>
        <w:t>1</w:t>
      </w:r>
      <w:r w:rsidR="00AD57AA" w:rsidRPr="009118AB">
        <w:rPr>
          <w:i/>
          <w:iCs/>
        </w:rPr>
        <w:t xml:space="preserve"> des G. vom 25. Dezember 2017 (III) (B.S. vom 29. Dezember 2017)</w:t>
      </w:r>
      <w:r w:rsidR="00D67EB8" w:rsidRPr="009118AB">
        <w:rPr>
          <w:i/>
          <w:iCs/>
        </w:rPr>
        <w:t> - </w:t>
      </w:r>
      <w:r w:rsidR="00AD57AA" w:rsidRPr="009118AB">
        <w:rPr>
          <w:i/>
          <w:iCs/>
        </w:rPr>
        <w:t>in Kraft am 1. Januar 2018 und anwendbar auf Vorgänge der Kapitalherabsetzung und der Rückzahlung von eingezahltem Kapital gleichgesetzten Emissionsagien oder Gewinnanteilen, die die Generalversammlung ab dem 1. Januar 2018 beschließt</w:t>
      </w:r>
      <w:r w:rsidR="003366D9" w:rsidRPr="009118AB">
        <w:rPr>
          <w:i/>
          <w:iCs/>
        </w:rPr>
        <w:t> -;</w:t>
      </w:r>
      <w:r w:rsidR="00AD57AA" w:rsidRPr="009118AB">
        <w:rPr>
          <w:i/>
          <w:iCs/>
        </w:rPr>
        <w:t xml:space="preserve"> </w:t>
      </w:r>
      <w:r w:rsidR="00D67EB8" w:rsidRPr="009118AB">
        <w:rPr>
          <w:i/>
          <w:iCs/>
        </w:rPr>
        <w:t>Abs. </w:t>
      </w:r>
      <w:r w:rsidR="00FD3223" w:rsidRPr="009118AB">
        <w:rPr>
          <w:i/>
          <w:iCs/>
        </w:rPr>
        <w:t xml:space="preserve">1 </w:t>
      </w:r>
      <w:r w:rsidR="00D67EB8" w:rsidRPr="009118AB">
        <w:rPr>
          <w:i/>
          <w:iCs/>
        </w:rPr>
        <w:t>Nr. </w:t>
      </w:r>
      <w:r w:rsidR="00FD3223" w:rsidRPr="009118AB">
        <w:rPr>
          <w:i/>
          <w:iCs/>
        </w:rPr>
        <w:t xml:space="preserve">4 eingefügt durch </w:t>
      </w:r>
      <w:r w:rsidR="00D67EB8" w:rsidRPr="009118AB">
        <w:rPr>
          <w:i/>
          <w:iCs/>
        </w:rPr>
        <w:t>Art. </w:t>
      </w:r>
      <w:r w:rsidR="00FD3223" w:rsidRPr="009118AB">
        <w:rPr>
          <w:i/>
          <w:iCs/>
        </w:rPr>
        <w:t>2 des G. vom 28. April 2019 (B.S. vom 6. Mai 2019)</w:t>
      </w:r>
      <w:r w:rsidR="00D67EB8" w:rsidRPr="009118AB">
        <w:rPr>
          <w:i/>
          <w:iCs/>
        </w:rPr>
        <w:t> - </w:t>
      </w:r>
      <w:r w:rsidR="00FD3223" w:rsidRPr="009118AB">
        <w:rPr>
          <w:i/>
          <w:iCs/>
        </w:rPr>
        <w:t>wirksam mit 1. Januar 2019 und anwendbar auf die ab diesem Datum gezahlten oder zuerkannten Dividenden</w:t>
      </w:r>
      <w:r w:rsidR="003366D9" w:rsidRPr="009118AB">
        <w:rPr>
          <w:i/>
          <w:iCs/>
        </w:rPr>
        <w:t> -;</w:t>
      </w:r>
      <w:r w:rsidR="00FD3223" w:rsidRPr="009118AB">
        <w:rPr>
          <w:i/>
          <w:iCs/>
        </w:rPr>
        <w:t xml:space="preserve"> </w:t>
      </w:r>
      <w:r w:rsidR="00AD57AA" w:rsidRPr="009118AB">
        <w:rPr>
          <w:rFonts w:ascii="Times New Roman Italique" w:hAnsi="Times New Roman Italique"/>
          <w:i/>
          <w:iCs/>
          <w:spacing w:val="-2"/>
        </w:rPr>
        <w:t xml:space="preserve">neue Absätze 2 und 3 eingefügt durch </w:t>
      </w:r>
      <w:r w:rsidR="00D67EB8" w:rsidRPr="009118AB">
        <w:rPr>
          <w:rFonts w:ascii="Times New Roman Italique" w:hAnsi="Times New Roman Italique"/>
          <w:i/>
          <w:iCs/>
          <w:spacing w:val="-2"/>
        </w:rPr>
        <w:t>Art. </w:t>
      </w:r>
      <w:r w:rsidR="00AD57AA" w:rsidRPr="009118AB">
        <w:rPr>
          <w:rFonts w:ascii="Times New Roman Italique" w:hAnsi="Times New Roman Italique"/>
          <w:i/>
          <w:iCs/>
          <w:spacing w:val="-2"/>
        </w:rPr>
        <w:t xml:space="preserve">68 </w:t>
      </w:r>
      <w:r w:rsidR="00D67EB8" w:rsidRPr="009118AB">
        <w:rPr>
          <w:rFonts w:ascii="Times New Roman Italique" w:hAnsi="Times New Roman Italique"/>
          <w:i/>
          <w:iCs/>
          <w:spacing w:val="-2"/>
        </w:rPr>
        <w:t>Nr. </w:t>
      </w:r>
      <w:r w:rsidR="00AD57AA" w:rsidRPr="009118AB">
        <w:rPr>
          <w:rFonts w:ascii="Times New Roman Italique" w:hAnsi="Times New Roman Italique"/>
          <w:i/>
          <w:iCs/>
          <w:spacing w:val="-2"/>
        </w:rPr>
        <w:t>2</w:t>
      </w:r>
      <w:r w:rsidR="00AD57AA" w:rsidRPr="009118AB">
        <w:rPr>
          <w:i/>
          <w:iCs/>
        </w:rPr>
        <w:t xml:space="preserve"> des G. vom 25. Dezember 2017 (III) (B.S. vom 29. Dezember 2017)</w:t>
      </w:r>
      <w:r w:rsidR="00D67EB8" w:rsidRPr="009118AB">
        <w:rPr>
          <w:i/>
          <w:iCs/>
        </w:rPr>
        <w:t> - </w:t>
      </w:r>
      <w:r w:rsidR="00AD57AA" w:rsidRPr="009118AB">
        <w:rPr>
          <w:i/>
          <w:iCs/>
        </w:rPr>
        <w:t>in Kraft am 1. Januar 2018 und anwendbar auf Vorgänge der Kapitalherabsetzung und der Rückzahlung von eingezahltem Kapital gleichgesetzten Emissionsagien oder Gewinnanteilen, die die Generalversammlung ab dem 1. Januar 2018 beschließt</w:t>
      </w:r>
      <w:r w:rsidR="00FD68E8" w:rsidRPr="009118AB">
        <w:rPr>
          <w:i/>
          <w:iCs/>
        </w:rPr>
        <w:t> -]</w:t>
      </w:r>
    </w:p>
    <w:p w14:paraId="51D9A4A8" w14:textId="77777777" w:rsidR="00477B8F" w:rsidRPr="009118AB" w:rsidRDefault="00477B8F" w:rsidP="00477B8F">
      <w:pPr>
        <w:autoSpaceDE w:val="0"/>
        <w:autoSpaceDN w:val="0"/>
        <w:adjustRightInd w:val="0"/>
        <w:jc w:val="both"/>
      </w:pPr>
    </w:p>
    <w:p w14:paraId="258E9BD9" w14:textId="77777777" w:rsidR="00C72A61" w:rsidRPr="009118AB" w:rsidRDefault="00C72A61" w:rsidP="00477B8F">
      <w:pPr>
        <w:autoSpaceDE w:val="0"/>
        <w:autoSpaceDN w:val="0"/>
        <w:adjustRightInd w:val="0"/>
        <w:jc w:val="both"/>
      </w:pPr>
    </w:p>
    <w:p w14:paraId="6AFD8D00" w14:textId="39C9AD6B" w:rsidR="00C72A61" w:rsidRPr="009118AB" w:rsidRDefault="00C72A61" w:rsidP="00C72A61">
      <w:pPr>
        <w:jc w:val="both"/>
      </w:pPr>
      <w:r w:rsidRPr="009118AB">
        <w:tab/>
        <w:t>[</w:t>
      </w:r>
      <w:r w:rsidR="00D67EB8" w:rsidRPr="009118AB">
        <w:rPr>
          <w:b/>
        </w:rPr>
        <w:t>Art. </w:t>
      </w:r>
      <w:r w:rsidRPr="009118AB">
        <w:rPr>
          <w:b/>
        </w:rPr>
        <w:t>264/1</w:t>
      </w:r>
      <w:r w:rsidR="00D67EB8" w:rsidRPr="009118AB">
        <w:t> - § </w:t>
      </w:r>
      <w:r w:rsidRPr="009118AB">
        <w:t>1</w:t>
      </w:r>
      <w:r w:rsidR="00D67EB8" w:rsidRPr="009118AB">
        <w:t> - </w:t>
      </w:r>
      <w:r w:rsidRPr="009118AB">
        <w:t xml:space="preserve">Der Mobiliensteuervorabzug wird nicht auf die in Artikel 202 </w:t>
      </w:r>
      <w:r w:rsidR="00D67EB8" w:rsidRPr="009118AB">
        <w:t>§ </w:t>
      </w:r>
      <w:r w:rsidRPr="009118AB">
        <w:t xml:space="preserve">1 </w:t>
      </w:r>
      <w:r w:rsidR="00D67EB8" w:rsidRPr="009118AB">
        <w:t>Nr. </w:t>
      </w:r>
      <w:r w:rsidRPr="009118AB">
        <w:t xml:space="preserve">1 und 2 erwähnten Dividenden geschuldet, deren Schuldner eine </w:t>
      </w:r>
      <w:r w:rsidR="00A10BFF" w:rsidRPr="009118AB">
        <w:t>[inländische]</w:t>
      </w:r>
      <w:r w:rsidRPr="009118AB">
        <w:t xml:space="preserve"> Gesellschaft und deren Empfänger eine Gesellschaft ist, die in einem anderen Mitgliedstaat des Euro</w:t>
      </w:r>
      <w:r w:rsidRPr="009118AB">
        <w:softHyphen/>
        <w:t>päischen Wirtschaftsraums als Belgien oder in einem Staat, mit dem Belgien ein Abkommen zur Vermeidung der Doppelbesteuerung abgeschlossen hat, ansässig ist, unter der Bedingung, dass dieses Abkommen oder ein anderes Abkommen den Austausch von Auskünften vorsieht, die erforderlich sind, um die Bestimmungen der nationalen Rechtsvorschriften der Vertragsstaaten anzuwenden.</w:t>
      </w:r>
    </w:p>
    <w:p w14:paraId="1C17298B" w14:textId="77777777" w:rsidR="00C72A61" w:rsidRPr="009118AB" w:rsidRDefault="00C72A61" w:rsidP="00C72A61">
      <w:pPr>
        <w:jc w:val="both"/>
      </w:pPr>
    </w:p>
    <w:p w14:paraId="3FA18CBE" w14:textId="77777777" w:rsidR="00C72A61" w:rsidRPr="009118AB" w:rsidRDefault="00C72A61" w:rsidP="00C72A61">
      <w:pPr>
        <w:jc w:val="both"/>
      </w:pPr>
      <w:r w:rsidRPr="009118AB">
        <w:tab/>
        <w:t>Vorliegender Artikel ist jedoch nur anwendbar, wenn der Empfänger am Datum der Zuerkennung oder Ausschüttung der in Absatz 1 erwähnten Dividenden am Kapital des Schuldners eine Beteiligung von weniger als 10 Prozent hält, deren Investitionswert mindestens 2.500.000 EUR beträgt, und diese Beteiligung während eines ununterbrochenen Zeitraums von mindestens einem Jahr in Volleigentum aufrechterhalten wird oder wurde.</w:t>
      </w:r>
    </w:p>
    <w:p w14:paraId="33A1274C" w14:textId="77777777" w:rsidR="00C72A61" w:rsidRPr="009118AB" w:rsidRDefault="00C72A61" w:rsidP="00C72A61">
      <w:pPr>
        <w:jc w:val="both"/>
      </w:pPr>
    </w:p>
    <w:p w14:paraId="486D5305" w14:textId="77777777" w:rsidR="00C72A61" w:rsidRPr="009118AB" w:rsidRDefault="00C72A61" w:rsidP="00C72A61">
      <w:pPr>
        <w:jc w:val="both"/>
      </w:pPr>
      <w:r w:rsidRPr="009118AB">
        <w:tab/>
        <w:t>Vorliegender Artikel ist nur in dem Maße anwendbar, wie der Mobiliensteuer</w:t>
      </w:r>
      <w:r w:rsidRPr="009118AB">
        <w:softHyphen/>
        <w:t>vorabzug, der geschuldet würde, wenn die in vorliegendem Artikel vorgesehene Befreiung nicht bestünde, zugunsten des Empfängers weder angerechnet noch erstattet werden könnte.</w:t>
      </w:r>
    </w:p>
    <w:p w14:paraId="2516BA70" w14:textId="77777777" w:rsidR="00C72A61" w:rsidRPr="009118AB" w:rsidRDefault="00C72A61" w:rsidP="00C72A61">
      <w:pPr>
        <w:jc w:val="both"/>
      </w:pPr>
    </w:p>
    <w:p w14:paraId="73FB296F" w14:textId="77777777" w:rsidR="00C72A61" w:rsidRPr="009118AB" w:rsidRDefault="00C72A61" w:rsidP="00C72A61">
      <w:pPr>
        <w:jc w:val="both"/>
      </w:pPr>
      <w:r w:rsidRPr="009118AB">
        <w:tab/>
        <w:t>Vorliegender Artikel ist nur anwendbar, wenn Schuldner und Empfänger Gesell</w:t>
      </w:r>
      <w:r w:rsidRPr="009118AB">
        <w:softHyphen/>
        <w:t>schaften sind, die:</w:t>
      </w:r>
    </w:p>
    <w:p w14:paraId="057183DC" w14:textId="77777777" w:rsidR="00C72A61" w:rsidRPr="009118AB" w:rsidRDefault="00C72A61" w:rsidP="00C72A61">
      <w:pPr>
        <w:jc w:val="both"/>
      </w:pPr>
    </w:p>
    <w:p w14:paraId="6EDC3E33" w14:textId="54994BE4" w:rsidR="00C72A61" w:rsidRPr="009118AB" w:rsidRDefault="00C72A61" w:rsidP="00C72A61">
      <w:pPr>
        <w:jc w:val="both"/>
      </w:pPr>
      <w:r w:rsidRPr="009118AB">
        <w:tab/>
        <w:t xml:space="preserve">- eine der Rechtsformen haben wie aufgeführt in Anhang I Teil A der Richtlinie des Rates vom 30. November 2011 (2011/96/EU) über das gemeinsame Steuersystem der Mutter- und Tochtergesellschaften verschiedener Mitgliedstaaten, abgeändert durch die Richtlinie des Rates vom 8. Juli 2014 (2014/86/EU), </w:t>
      </w:r>
      <w:r w:rsidR="002B50F3" w:rsidRPr="009118AB">
        <w:t xml:space="preserve">[- wobei in Bezug auf die in Buchstabe b) erwähnten Gesellschaften nach belgischem Recht die Verweise auf "société privée à responsabilité limitée"/"besloten vennootschap met beperkte aansprakelijkheid", auf "société coopérative à responsabilité limitée"/"coöperatieve vennootschap met beperkte aansprakelijkheid" und "société coopérative à responsabilité illimitée"/"coöperatieve vennootschap met onbeperkte aansprakelijkheid" und auf "société en commandite simple"/"gewone commanditaire </w:t>
      </w:r>
      <w:r w:rsidR="002B50F3" w:rsidRPr="009118AB">
        <w:lastRenderedPageBreak/>
        <w:t>vennootschap", das heißt auf die "Privatgesellschaft mit beschränkter Haftung", auf die "Genossenschaft mit beschränkter Haftung" und die "Genossenschaft mit unbeschränkter Haftung" und auf die "einfache Kommanditgesellschaft", auch als Verweis auf "société à responsabilité limitée"/"besloten vennootschap", "société coopérative"/"coöperatieve vennootschap" und "société en commandite"/"commanditaire vennootschap", das heißt auf die "Gesellschaft mit beschränkter Haftung", die "Genossenschaft" beziehungsweise die "Kommanditgesellschaft", zu verstehen sind</w:t>
      </w:r>
      <w:r w:rsidR="00FD68E8" w:rsidRPr="009118AB">
        <w:t> -]</w:t>
      </w:r>
      <w:r w:rsidR="002B50F3" w:rsidRPr="009118AB">
        <w:t xml:space="preserve"> </w:t>
      </w:r>
      <w:r w:rsidRPr="009118AB">
        <w:t>oder eine Rechtsform haben, die mit den in diesem Anhang aufgeführten Rechtsformen vergleichbar ist und die dem Recht eines anderen Mitgliedstaates des Europäischen Wirtschaftsraums oder dem Recht eines Staates unterliegt, mit dem Belgien ein Abkommen zur Vermeidung der Doppelbesteuerung abgeschlossen hat,</w:t>
      </w:r>
    </w:p>
    <w:p w14:paraId="124B1BF9" w14:textId="77777777" w:rsidR="00C72A61" w:rsidRPr="009118AB" w:rsidRDefault="00C72A61" w:rsidP="00C72A61">
      <w:pPr>
        <w:jc w:val="both"/>
      </w:pPr>
    </w:p>
    <w:p w14:paraId="667CD33B" w14:textId="77777777" w:rsidR="00C72A61" w:rsidRPr="009118AB" w:rsidRDefault="00C72A61" w:rsidP="00C72A61">
      <w:pPr>
        <w:jc w:val="both"/>
      </w:pPr>
      <w:r w:rsidRPr="009118AB">
        <w:tab/>
        <w:t>- der Gesellschaftssteuer oder einer ähnlichen Steuer wie der Gesellschaftssteuer unterliegen, ohne dass ein vom allgemeinen Recht abweichendes Besteuerungssystem zu ihren Gunsten angewandt wird.</w:t>
      </w:r>
    </w:p>
    <w:p w14:paraId="5DC06BFA" w14:textId="77777777" w:rsidR="00C72A61" w:rsidRPr="009118AB" w:rsidRDefault="00C72A61" w:rsidP="00C72A61">
      <w:pPr>
        <w:jc w:val="both"/>
      </w:pPr>
    </w:p>
    <w:p w14:paraId="39FB4517" w14:textId="144CD1EA" w:rsidR="00C72A61" w:rsidRPr="009118AB" w:rsidRDefault="00C72A61" w:rsidP="00C72A61">
      <w:pPr>
        <w:jc w:val="both"/>
      </w:pPr>
      <w:r w:rsidRPr="009118AB">
        <w:tab/>
      </w:r>
      <w:r w:rsidR="00D67EB8" w:rsidRPr="009118AB">
        <w:t>§ </w:t>
      </w:r>
      <w:r w:rsidRPr="009118AB">
        <w:t>2</w:t>
      </w:r>
      <w:r w:rsidR="00D67EB8" w:rsidRPr="009118AB">
        <w:t> - </w:t>
      </w:r>
      <w:r w:rsidRPr="009118AB">
        <w:t>Die Befreiung wird nur gewährt, wenn der Schuldner der Dividenden im Besitz einer Bescheinigung ist, in der bestätigt wird:</w:t>
      </w:r>
    </w:p>
    <w:p w14:paraId="77965313" w14:textId="77777777" w:rsidR="00C72A61" w:rsidRPr="009118AB" w:rsidRDefault="00C72A61" w:rsidP="00C72A61">
      <w:pPr>
        <w:jc w:val="both"/>
      </w:pPr>
    </w:p>
    <w:p w14:paraId="5CFE0A4B" w14:textId="02ECD00A" w:rsidR="00C72A61" w:rsidRPr="009118AB" w:rsidRDefault="00C72A61" w:rsidP="00C72A61">
      <w:pPr>
        <w:jc w:val="both"/>
      </w:pPr>
      <w:r w:rsidRPr="009118AB">
        <w:tab/>
        <w:t xml:space="preserve">1. dass der Empfänger eine der Rechtsformen hat wie aufgeführt in Anhang I Teil A der Richtlinie des Rates vom 30. November 2011 (2011/96/EU) über das gemeinsame Steuersystem der Mutter- und Tochtergesellschaften verschiedener Mitgliedstaaten, abgeändert durch die Richtlinie des Rates vom 8. Juli 2014 (2014/86/EU), </w:t>
      </w:r>
      <w:r w:rsidR="00631B54" w:rsidRPr="009118AB">
        <w:t>[- wobei in Bezug auf die in Buchstabe b) erwähnten Gesellschaften nach belgischem Recht die Verweise auf "société privée à responsabilité limitée"/"besloten vennootschap met beperkte aansprakelijkheid", auf "société coopérative à responsabilité limitée"/"coöperatieve vennootschap met beperkte aansprakelijkheid" und "société coopérative à responsabilité illimitée"/"coöperatieve vennootschap met onbeperkte aansprakelijkheid" und auf "société en commandite simple"/"gewone commanditaire vennootschap", das heißt auf die "Privatgesellschaft mit beschränkter Haftung", auf die "Genossenschaft mit beschränkter Haftung" und die "Genossenschaft mit unbeschränkter Haftung" und auf die "einfache Kommanditgesellschaft", auch als Verweis auf "société à responsabilité limitée"/"besloten vennootschap", "société coopérative"/"coöperatieve vennootschap" und "société en commandite"/"commanditaire vennootschap", das heißt auf die "Gesellschaft mit beschränkter Haftung", die "Genossenschaft" beziehungsweise die "Kommanditgesellschaft", zu verstehen sind</w:t>
      </w:r>
      <w:r w:rsidR="00FD68E8" w:rsidRPr="009118AB">
        <w:t> -]</w:t>
      </w:r>
      <w:r w:rsidR="00631B54" w:rsidRPr="009118AB">
        <w:t xml:space="preserve"> </w:t>
      </w:r>
      <w:r w:rsidRPr="009118AB">
        <w:t>oder eine Rechtsform hat, die mit den in diesem Anhang aufgeführten Rechtsformen vergleichbar ist und die dem Recht eines anderen Mitgliedstaates des Europäischen Wirtschaftsraums oder dem Recht eines Staates unterliegt, mit dem Belgien ein Abkommen zur Vermeidung der Doppelbesteuerung abgeschlossen hat,</w:t>
      </w:r>
    </w:p>
    <w:p w14:paraId="18DDCBF8" w14:textId="77777777" w:rsidR="00C72A61" w:rsidRPr="009118AB" w:rsidRDefault="00C72A61" w:rsidP="00C72A61">
      <w:pPr>
        <w:jc w:val="both"/>
      </w:pPr>
    </w:p>
    <w:p w14:paraId="0FE6B214" w14:textId="77777777" w:rsidR="00C72A61" w:rsidRPr="009118AB" w:rsidRDefault="00C72A61" w:rsidP="00C72A61">
      <w:pPr>
        <w:jc w:val="both"/>
      </w:pPr>
      <w:r w:rsidRPr="009118AB">
        <w:tab/>
        <w:t>2. dass der Empfänger der Gesellschaftssteuer oder einer ähnlichen Steuer wie der Gesellschaftssteuer unterliegt, ohne dass ein vom allgemeinen Recht abweichendes Besteuerungssystem zu seinen Gunsten angewandt wird,</w:t>
      </w:r>
    </w:p>
    <w:p w14:paraId="204A5999" w14:textId="77777777" w:rsidR="00C72A61" w:rsidRPr="009118AB" w:rsidRDefault="00C72A61" w:rsidP="00C72A61">
      <w:pPr>
        <w:jc w:val="both"/>
      </w:pPr>
    </w:p>
    <w:p w14:paraId="5F5BFC20" w14:textId="77777777" w:rsidR="00C72A61" w:rsidRPr="009118AB" w:rsidRDefault="00C72A61" w:rsidP="00C72A61">
      <w:pPr>
        <w:jc w:val="both"/>
      </w:pPr>
      <w:r w:rsidRPr="009118AB">
        <w:tab/>
        <w:t>3. dass der Empfänger am Kapital des Schuldners eine Beteiligung von weniger als 10 Prozent hält, deren Investitionswert mindestens 2.500.000 EUR beträgt,</w:t>
      </w:r>
    </w:p>
    <w:p w14:paraId="66E444A5" w14:textId="77777777" w:rsidR="00C72A61" w:rsidRPr="009118AB" w:rsidRDefault="00C72A61" w:rsidP="00C72A61">
      <w:pPr>
        <w:jc w:val="both"/>
      </w:pPr>
    </w:p>
    <w:p w14:paraId="5E2A52CB" w14:textId="77777777" w:rsidR="00C72A61" w:rsidRPr="009118AB" w:rsidRDefault="00C72A61" w:rsidP="00C72A61">
      <w:pPr>
        <w:jc w:val="both"/>
      </w:pPr>
      <w:r w:rsidRPr="009118AB">
        <w:tab/>
        <w:t>4. dass die Dividenden sich auf Aktien oder Anteile beziehen, die während eines ununterbrochenen Zeitraums von mindestens einem Jahr in Volleigentum gehalten werden oder wurden,</w:t>
      </w:r>
    </w:p>
    <w:p w14:paraId="18B72252" w14:textId="77777777" w:rsidR="00C72A61" w:rsidRPr="009118AB" w:rsidRDefault="00C72A61" w:rsidP="00C72A61">
      <w:pPr>
        <w:jc w:val="both"/>
      </w:pPr>
    </w:p>
    <w:p w14:paraId="44AC5ED5" w14:textId="6E857185" w:rsidR="00C72A61" w:rsidRPr="009118AB" w:rsidRDefault="00C72A61" w:rsidP="00C72A61">
      <w:pPr>
        <w:jc w:val="both"/>
      </w:pPr>
      <w:r w:rsidRPr="009118AB">
        <w:lastRenderedPageBreak/>
        <w:tab/>
        <w:t>5. in welchem Maße der Mobiliensteuervorabzug, der geschuldet würde, wenn die in vorliegendem Artikel vorgesehene Befreiung nicht bestünde, aufgrund der Gesetzes</w:t>
      </w:r>
      <w:r w:rsidRPr="009118AB">
        <w:softHyphen/>
        <w:t xml:space="preserve">bestimmungen, die am 31. Dezember des Jahres vor der Zuerkennung oder Ausschüttung der in </w:t>
      </w:r>
      <w:r w:rsidR="00D67EB8" w:rsidRPr="009118AB">
        <w:t>§ </w:t>
      </w:r>
      <w:r w:rsidRPr="009118AB">
        <w:t>1 Absatz 1 erwähnten Dividende in Kraft sind, für die begünstigte Gesellschaft im Prinzip anrechenbar oder erstattungsfähig ist,</w:t>
      </w:r>
    </w:p>
    <w:p w14:paraId="23BEF051" w14:textId="77777777" w:rsidR="00C72A61" w:rsidRPr="009118AB" w:rsidRDefault="00C72A61" w:rsidP="00C72A61">
      <w:pPr>
        <w:jc w:val="both"/>
      </w:pPr>
    </w:p>
    <w:p w14:paraId="6F160C38" w14:textId="77777777" w:rsidR="00C72A61" w:rsidRPr="009118AB" w:rsidRDefault="00C72A61" w:rsidP="00C72A61">
      <w:pPr>
        <w:autoSpaceDE w:val="0"/>
        <w:autoSpaceDN w:val="0"/>
        <w:adjustRightInd w:val="0"/>
        <w:jc w:val="both"/>
      </w:pPr>
      <w:r w:rsidRPr="009118AB">
        <w:tab/>
        <w:t>6. wie vollständiger Name, Rechtsform, Adresse und gegebenenfalls Steuer</w:t>
      </w:r>
      <w:r w:rsidRPr="009118AB">
        <w:softHyphen/>
        <w:t>identifikationsnummer der begünstigten Gesellschaft lauten.]</w:t>
      </w:r>
    </w:p>
    <w:p w14:paraId="3BDFB469" w14:textId="77777777" w:rsidR="00C72A61" w:rsidRPr="009118AB" w:rsidRDefault="00C72A61" w:rsidP="00C72A61">
      <w:pPr>
        <w:autoSpaceDE w:val="0"/>
        <w:autoSpaceDN w:val="0"/>
        <w:adjustRightInd w:val="0"/>
        <w:jc w:val="both"/>
      </w:pPr>
    </w:p>
    <w:p w14:paraId="1018E18F" w14:textId="5C509A96" w:rsidR="00C72A61" w:rsidRPr="009118AB" w:rsidRDefault="00C72A61" w:rsidP="00C72A61">
      <w:pPr>
        <w:autoSpaceDE w:val="0"/>
        <w:autoSpaceDN w:val="0"/>
        <w:adjustRightInd w:val="0"/>
        <w:jc w:val="both"/>
        <w:rPr>
          <w:i/>
          <w:iCs/>
        </w:rPr>
      </w:pPr>
      <w:r w:rsidRPr="009118AB">
        <w:rPr>
          <w:i/>
        </w:rPr>
        <w:t>[</w:t>
      </w:r>
      <w:r w:rsidR="00D67EB8" w:rsidRPr="009118AB">
        <w:rPr>
          <w:i/>
        </w:rPr>
        <w:t>Art. </w:t>
      </w:r>
      <w:r w:rsidRPr="009118AB">
        <w:rPr>
          <w:i/>
        </w:rPr>
        <w:t xml:space="preserve">264/1 eingefügt durch </w:t>
      </w:r>
      <w:r w:rsidR="00D67EB8" w:rsidRPr="009118AB">
        <w:rPr>
          <w:i/>
        </w:rPr>
        <w:t>Art. </w:t>
      </w:r>
      <w:r w:rsidRPr="009118AB">
        <w:rPr>
          <w:i/>
        </w:rPr>
        <w:t>69</w:t>
      </w:r>
      <w:r w:rsidRPr="009118AB">
        <w:rPr>
          <w:i/>
          <w:iCs/>
        </w:rPr>
        <w:t xml:space="preserve"> des G. vom 25. Dezember 2017 (III) (B.S. vom 29. Dezember 2017)</w:t>
      </w:r>
      <w:r w:rsidR="00D67EB8" w:rsidRPr="009118AB">
        <w:rPr>
          <w:i/>
          <w:iCs/>
        </w:rPr>
        <w:t> - </w:t>
      </w:r>
      <w:r w:rsidRPr="009118AB">
        <w:rPr>
          <w:i/>
          <w:iCs/>
        </w:rPr>
        <w:t>in Kraft am 1. Januar 2018 und anwendbar auf die ab dem 1. Januar 2018 gezahlten oder zuerkannten Dividenden</w:t>
      </w:r>
      <w:r w:rsidR="003366D9" w:rsidRPr="009118AB">
        <w:rPr>
          <w:i/>
          <w:iCs/>
        </w:rPr>
        <w:t> -;</w:t>
      </w:r>
      <w:r w:rsidR="00631B54" w:rsidRPr="009118AB">
        <w:rPr>
          <w:i/>
          <w:iCs/>
        </w:rPr>
        <w:t xml:space="preserve"> </w:t>
      </w:r>
      <w:r w:rsidR="00D67EB8" w:rsidRPr="009118AB">
        <w:rPr>
          <w:i/>
          <w:iCs/>
        </w:rPr>
        <w:t>§ </w:t>
      </w:r>
      <w:r w:rsidR="00631B54" w:rsidRPr="009118AB">
        <w:rPr>
          <w:i/>
          <w:iCs/>
        </w:rPr>
        <w:t xml:space="preserve">1 </w:t>
      </w:r>
      <w:r w:rsidR="00D67EB8" w:rsidRPr="009118AB">
        <w:rPr>
          <w:i/>
          <w:iCs/>
        </w:rPr>
        <w:t>Abs. </w:t>
      </w:r>
      <w:r w:rsidR="00631B54" w:rsidRPr="009118AB">
        <w:rPr>
          <w:i/>
          <w:iCs/>
        </w:rPr>
        <w:t xml:space="preserve">1 abgeändert durch </w:t>
      </w:r>
      <w:r w:rsidR="00D67EB8" w:rsidRPr="009118AB">
        <w:rPr>
          <w:i/>
          <w:iCs/>
        </w:rPr>
        <w:t>Art. </w:t>
      </w:r>
      <w:r w:rsidR="00631B54" w:rsidRPr="009118AB">
        <w:rPr>
          <w:i/>
          <w:iCs/>
        </w:rPr>
        <w:t xml:space="preserve">61 </w:t>
      </w:r>
      <w:r w:rsidR="00D67EB8" w:rsidRPr="009118AB">
        <w:rPr>
          <w:i/>
          <w:iCs/>
        </w:rPr>
        <w:t>Nr. </w:t>
      </w:r>
      <w:r w:rsidR="00631B54" w:rsidRPr="009118AB">
        <w:rPr>
          <w:i/>
          <w:iCs/>
        </w:rPr>
        <w:t>1</w:t>
      </w:r>
      <w:r w:rsidR="00631B54" w:rsidRPr="009118AB">
        <w:rPr>
          <w:i/>
          <w:iCs/>
          <w:spacing w:val="-2"/>
        </w:rPr>
        <w:t xml:space="preserve"> des G. vom 17. März 2019 (III) (B.S. vom 10. Mai 2019)</w:t>
      </w:r>
      <w:r w:rsidR="00D67EB8" w:rsidRPr="009118AB">
        <w:rPr>
          <w:i/>
          <w:iCs/>
          <w:spacing w:val="-2"/>
        </w:rPr>
        <w:t> - </w:t>
      </w:r>
      <w:r w:rsidR="00631B54" w:rsidRPr="009118AB">
        <w:rPr>
          <w:i/>
          <w:iCs/>
          <w:spacing w:val="-2"/>
        </w:rPr>
        <w:t>in Kraft am 1. Mai 2019</w:t>
      </w:r>
      <w:r w:rsidR="003366D9" w:rsidRPr="009118AB">
        <w:rPr>
          <w:i/>
          <w:iCs/>
          <w:spacing w:val="-2"/>
        </w:rPr>
        <w:t> -;</w:t>
      </w:r>
      <w:r w:rsidR="00631B54" w:rsidRPr="009118AB">
        <w:rPr>
          <w:i/>
          <w:iCs/>
          <w:spacing w:val="-2"/>
        </w:rPr>
        <w:t xml:space="preserve"> </w:t>
      </w:r>
      <w:r w:rsidR="00D67EB8" w:rsidRPr="009118AB">
        <w:rPr>
          <w:i/>
          <w:iCs/>
          <w:spacing w:val="-2"/>
        </w:rPr>
        <w:t>§ </w:t>
      </w:r>
      <w:r w:rsidR="00631B54" w:rsidRPr="009118AB">
        <w:rPr>
          <w:i/>
          <w:iCs/>
          <w:spacing w:val="-2"/>
        </w:rPr>
        <w:t xml:space="preserve">1 </w:t>
      </w:r>
      <w:r w:rsidR="00D67EB8" w:rsidRPr="009118AB">
        <w:rPr>
          <w:i/>
          <w:iCs/>
          <w:spacing w:val="-2"/>
        </w:rPr>
        <w:t>Abs. </w:t>
      </w:r>
      <w:r w:rsidR="00631B54" w:rsidRPr="009118AB">
        <w:rPr>
          <w:i/>
          <w:iCs/>
          <w:spacing w:val="-2"/>
        </w:rPr>
        <w:t xml:space="preserve">4 erster Gedankenstrich abgeändert durch </w:t>
      </w:r>
      <w:r w:rsidR="00D67EB8" w:rsidRPr="009118AB">
        <w:rPr>
          <w:i/>
          <w:iCs/>
          <w:spacing w:val="-2"/>
        </w:rPr>
        <w:t>Art. </w:t>
      </w:r>
      <w:r w:rsidR="00631B54" w:rsidRPr="009118AB">
        <w:rPr>
          <w:i/>
          <w:iCs/>
          <w:spacing w:val="-2"/>
        </w:rPr>
        <w:t xml:space="preserve">61 </w:t>
      </w:r>
      <w:r w:rsidR="00D67EB8" w:rsidRPr="009118AB">
        <w:rPr>
          <w:i/>
          <w:iCs/>
          <w:spacing w:val="-2"/>
        </w:rPr>
        <w:t>Nr. </w:t>
      </w:r>
      <w:r w:rsidR="00631B54" w:rsidRPr="009118AB">
        <w:rPr>
          <w:i/>
          <w:iCs/>
          <w:spacing w:val="-2"/>
        </w:rPr>
        <w:t>2 Buchstabe a) des G. vom 17. März 2019 (III) (B.S. vom 10. Mai 2019)</w:t>
      </w:r>
      <w:r w:rsidR="00D67EB8" w:rsidRPr="009118AB">
        <w:rPr>
          <w:i/>
          <w:iCs/>
          <w:spacing w:val="-2"/>
        </w:rPr>
        <w:t> - </w:t>
      </w:r>
      <w:r w:rsidR="00631B54" w:rsidRPr="009118AB">
        <w:rPr>
          <w:i/>
          <w:iCs/>
          <w:spacing w:val="-2"/>
        </w:rPr>
        <w:t>in Kraft am 1. Mai 2019</w:t>
      </w:r>
      <w:r w:rsidR="003366D9" w:rsidRPr="009118AB">
        <w:rPr>
          <w:i/>
          <w:iCs/>
          <w:spacing w:val="-2"/>
        </w:rPr>
        <w:t> -;</w:t>
      </w:r>
      <w:r w:rsidR="00631B54" w:rsidRPr="009118AB">
        <w:rPr>
          <w:i/>
          <w:iCs/>
          <w:spacing w:val="-2"/>
        </w:rPr>
        <w:t xml:space="preserve"> </w:t>
      </w:r>
      <w:r w:rsidR="00D67EB8" w:rsidRPr="009118AB">
        <w:rPr>
          <w:i/>
          <w:iCs/>
          <w:spacing w:val="-2"/>
        </w:rPr>
        <w:t>§ </w:t>
      </w:r>
      <w:r w:rsidR="00631B54" w:rsidRPr="009118AB">
        <w:rPr>
          <w:i/>
          <w:iCs/>
          <w:spacing w:val="-2"/>
        </w:rPr>
        <w:t xml:space="preserve">2 </w:t>
      </w:r>
      <w:r w:rsidR="00D67EB8" w:rsidRPr="009118AB">
        <w:rPr>
          <w:i/>
          <w:iCs/>
          <w:spacing w:val="-2"/>
        </w:rPr>
        <w:t>Abs. </w:t>
      </w:r>
      <w:r w:rsidR="00631B54" w:rsidRPr="009118AB">
        <w:rPr>
          <w:i/>
          <w:iCs/>
          <w:spacing w:val="-2"/>
        </w:rPr>
        <w:t xml:space="preserve">1 </w:t>
      </w:r>
      <w:r w:rsidR="00D67EB8" w:rsidRPr="009118AB">
        <w:rPr>
          <w:i/>
          <w:iCs/>
          <w:spacing w:val="-2"/>
        </w:rPr>
        <w:t>Nr. </w:t>
      </w:r>
      <w:r w:rsidR="00631B54" w:rsidRPr="009118AB">
        <w:rPr>
          <w:i/>
          <w:iCs/>
          <w:spacing w:val="-2"/>
        </w:rPr>
        <w:t xml:space="preserve">1 abgeändert durch </w:t>
      </w:r>
      <w:r w:rsidR="00D67EB8" w:rsidRPr="009118AB">
        <w:rPr>
          <w:i/>
          <w:iCs/>
          <w:spacing w:val="-2"/>
        </w:rPr>
        <w:t>Art. </w:t>
      </w:r>
      <w:r w:rsidR="00631B54" w:rsidRPr="009118AB">
        <w:rPr>
          <w:i/>
          <w:iCs/>
          <w:spacing w:val="-2"/>
        </w:rPr>
        <w:t xml:space="preserve">61 </w:t>
      </w:r>
      <w:r w:rsidR="00D67EB8" w:rsidRPr="009118AB">
        <w:rPr>
          <w:i/>
          <w:iCs/>
          <w:spacing w:val="-2"/>
        </w:rPr>
        <w:t>Nr. </w:t>
      </w:r>
      <w:r w:rsidR="00631B54" w:rsidRPr="009118AB">
        <w:rPr>
          <w:i/>
          <w:iCs/>
          <w:spacing w:val="-2"/>
        </w:rPr>
        <w:t>2 Buchstabe a) des G. vom 17. März 2019 (III) (B.S. vom 10. Mai 2019)</w:t>
      </w:r>
      <w:r w:rsidR="00D67EB8" w:rsidRPr="009118AB">
        <w:rPr>
          <w:i/>
          <w:iCs/>
          <w:spacing w:val="-2"/>
        </w:rPr>
        <w:t> - </w:t>
      </w:r>
      <w:r w:rsidR="00631B54" w:rsidRPr="009118AB">
        <w:rPr>
          <w:i/>
          <w:iCs/>
          <w:spacing w:val="-2"/>
        </w:rPr>
        <w:t>in Kraft am 1. Mai 2019</w:t>
      </w:r>
      <w:r w:rsidR="00FD68E8" w:rsidRPr="009118AB">
        <w:rPr>
          <w:i/>
          <w:iCs/>
          <w:spacing w:val="-2"/>
        </w:rPr>
        <w:t> -]</w:t>
      </w:r>
    </w:p>
    <w:p w14:paraId="2591F462" w14:textId="77777777" w:rsidR="00C72A61" w:rsidRPr="009118AB" w:rsidRDefault="00C72A61" w:rsidP="00C72A61">
      <w:pPr>
        <w:autoSpaceDE w:val="0"/>
        <w:autoSpaceDN w:val="0"/>
        <w:adjustRightInd w:val="0"/>
        <w:jc w:val="both"/>
        <w:rPr>
          <w:i/>
        </w:rPr>
      </w:pPr>
    </w:p>
    <w:p w14:paraId="6B590760" w14:textId="77777777" w:rsidR="00477B8F" w:rsidRPr="009118AB" w:rsidRDefault="00477B8F" w:rsidP="00477B8F">
      <w:pPr>
        <w:autoSpaceDE w:val="0"/>
        <w:autoSpaceDN w:val="0"/>
        <w:adjustRightInd w:val="0"/>
        <w:jc w:val="both"/>
      </w:pPr>
    </w:p>
    <w:p w14:paraId="43423B20" w14:textId="721B7E50" w:rsidR="00AE61F5" w:rsidRPr="009118AB" w:rsidRDefault="00AE61F5" w:rsidP="00AE61F5">
      <w:pPr>
        <w:jc w:val="both"/>
        <w:rPr>
          <w:lang w:eastAsia="fr-BE"/>
        </w:rPr>
      </w:pPr>
      <w:r w:rsidRPr="009118AB">
        <w:tab/>
        <w:t>[</w:t>
      </w:r>
      <w:r w:rsidR="00D67EB8" w:rsidRPr="009118AB">
        <w:rPr>
          <w:b/>
          <w:bCs/>
          <w:lang w:eastAsia="fr-BE"/>
        </w:rPr>
        <w:t>Art. </w:t>
      </w:r>
      <w:r w:rsidRPr="009118AB">
        <w:rPr>
          <w:b/>
          <w:bCs/>
          <w:lang w:eastAsia="fr-BE"/>
        </w:rPr>
        <w:t>264/2</w:t>
      </w:r>
      <w:r w:rsidR="00D67EB8" w:rsidRPr="009118AB">
        <w:rPr>
          <w:lang w:eastAsia="fr-BE"/>
        </w:rPr>
        <w:t> - § </w:t>
      </w:r>
      <w:r w:rsidRPr="009118AB">
        <w:rPr>
          <w:lang w:eastAsia="fr-BE"/>
        </w:rPr>
        <w:t>1</w:t>
      </w:r>
      <w:r w:rsidR="00D67EB8" w:rsidRPr="009118AB">
        <w:rPr>
          <w:lang w:eastAsia="fr-BE"/>
        </w:rPr>
        <w:t> - </w:t>
      </w:r>
      <w:r w:rsidRPr="009118AB">
        <w:rPr>
          <w:lang w:eastAsia="fr-BE"/>
        </w:rPr>
        <w:t xml:space="preserve">Der Mobiliensteuervorabzug wird nicht auf die in Artikel 202 </w:t>
      </w:r>
      <w:r w:rsidR="00D67EB8" w:rsidRPr="009118AB">
        <w:rPr>
          <w:lang w:eastAsia="fr-BE"/>
        </w:rPr>
        <w:t>§ </w:t>
      </w:r>
      <w:r w:rsidRPr="009118AB">
        <w:rPr>
          <w:lang w:eastAsia="fr-BE"/>
        </w:rPr>
        <w:t xml:space="preserve">1 </w:t>
      </w:r>
      <w:r w:rsidR="00D67EB8" w:rsidRPr="009118AB">
        <w:rPr>
          <w:lang w:eastAsia="fr-BE"/>
        </w:rPr>
        <w:t>Nr. </w:t>
      </w:r>
      <w:r w:rsidRPr="009118AB">
        <w:rPr>
          <w:lang w:eastAsia="fr-BE"/>
        </w:rPr>
        <w:t>1 und 2 erwähnten Dividenden geschuldet, deren Schuldner ein europäischer langfristiger Investmentfonds und deren Empfänger eine Gesellschaft ist, die in einem anderen Mitgliedstaat des Europäischen Wirtschaftsraums als Belgien oder in einem Staat, mit dem Belgien ein Abkommen zur Vermeidung der Doppelbesteuerung abgeschlossen hat, ansässig ist, unter der Bedingung, dass dieses Abkommen oder ein anderes Abkommen den Austausch von Auskünften vorsieht, die erforderlich sind, um die Bestimmungen der nationalen Rechtsvorschriften der Vertragsstaaten anzuwenden.</w:t>
      </w:r>
    </w:p>
    <w:p w14:paraId="5EE32506" w14:textId="77777777" w:rsidR="00AE61F5" w:rsidRPr="009118AB" w:rsidRDefault="00AE61F5" w:rsidP="00AE61F5">
      <w:pPr>
        <w:jc w:val="both"/>
        <w:rPr>
          <w:lang w:eastAsia="fr-BE"/>
        </w:rPr>
      </w:pPr>
    </w:p>
    <w:p w14:paraId="4B102E52" w14:textId="7C9B05A6" w:rsidR="00AE61F5" w:rsidRPr="009118AB" w:rsidRDefault="00AE61F5" w:rsidP="00AE61F5">
      <w:pPr>
        <w:jc w:val="both"/>
        <w:rPr>
          <w:lang w:eastAsia="fr-BE"/>
        </w:rPr>
      </w:pPr>
      <w:r w:rsidRPr="009118AB">
        <w:rPr>
          <w:lang w:eastAsia="fr-BE"/>
        </w:rPr>
        <w:tab/>
        <w:t xml:space="preserve">Vorliegender Artikel ist jedoch nur anwendbar, sofern die vom Schuldner ausgeschütteten Einkünfte aus Dividenden stammen, die selbst die in Artikel 203 </w:t>
      </w:r>
      <w:r w:rsidR="00D67EB8" w:rsidRPr="009118AB">
        <w:rPr>
          <w:lang w:eastAsia="fr-BE"/>
        </w:rPr>
        <w:t>§ </w:t>
      </w:r>
      <w:r w:rsidRPr="009118AB">
        <w:rPr>
          <w:lang w:eastAsia="fr-BE"/>
        </w:rPr>
        <w:t xml:space="preserve">1 Absatz 1 </w:t>
      </w:r>
      <w:r w:rsidR="00D67EB8" w:rsidRPr="009118AB">
        <w:rPr>
          <w:lang w:eastAsia="fr-BE"/>
        </w:rPr>
        <w:t>Nr. </w:t>
      </w:r>
      <w:r w:rsidRPr="009118AB">
        <w:rPr>
          <w:lang w:eastAsia="fr-BE"/>
        </w:rPr>
        <w:t xml:space="preserve">1 bis 4 erwähnten Abzugsbedingungen erfüllen, oder sofern sie aus Mehrwerten auf Aktien oder Anteile stammen, die aufgrund von Artikel 192 </w:t>
      </w:r>
      <w:r w:rsidR="00D67EB8" w:rsidRPr="009118AB">
        <w:rPr>
          <w:lang w:eastAsia="fr-BE"/>
        </w:rPr>
        <w:t>§ </w:t>
      </w:r>
      <w:r w:rsidRPr="009118AB">
        <w:rPr>
          <w:lang w:eastAsia="fr-BE"/>
        </w:rPr>
        <w:t>1 von der Steuer befreit werden können. Vorliegender Artikel ist nur in dem Maße anwendbar, wie der Mobiliensteuervorabzug, der geschuldet würde, wenn die in vorliegendem Artikel vorgesehene Befreiung nicht bestünde, zugunsten des Empfängers weder angerechnet noch erstattet werden könnte.</w:t>
      </w:r>
    </w:p>
    <w:p w14:paraId="46CDE325" w14:textId="77777777" w:rsidR="00AE61F5" w:rsidRPr="009118AB" w:rsidRDefault="00AE61F5" w:rsidP="00AE61F5">
      <w:pPr>
        <w:jc w:val="both"/>
        <w:rPr>
          <w:lang w:eastAsia="fr-BE"/>
        </w:rPr>
      </w:pPr>
    </w:p>
    <w:p w14:paraId="638FD6BC" w14:textId="77777777" w:rsidR="00AE61F5" w:rsidRPr="009118AB" w:rsidRDefault="00AE61F5" w:rsidP="00AE61F5">
      <w:pPr>
        <w:jc w:val="both"/>
        <w:rPr>
          <w:lang w:eastAsia="fr-BE"/>
        </w:rPr>
      </w:pPr>
      <w:r w:rsidRPr="009118AB">
        <w:rPr>
          <w:lang w:eastAsia="fr-BE"/>
        </w:rPr>
        <w:tab/>
        <w:t>Vorliegender Artikel ist nur anwendbar, wenn der Empfänger eine Gesellschaft ist, die der Gesellschaftssteuer oder einer ähnlichen Steuer wie der Gesellschaftssteuer unterliegt, ohne dass ein vom allgemeinen Recht abweichendes Besteuerungssystem zu ihren Gunsten angewandt wird.</w:t>
      </w:r>
    </w:p>
    <w:p w14:paraId="202DD167" w14:textId="77777777" w:rsidR="00AE61F5" w:rsidRPr="009118AB" w:rsidRDefault="00AE61F5" w:rsidP="00AE61F5">
      <w:pPr>
        <w:jc w:val="both"/>
        <w:rPr>
          <w:lang w:eastAsia="fr-BE"/>
        </w:rPr>
      </w:pPr>
    </w:p>
    <w:p w14:paraId="18C70D80" w14:textId="180996BE" w:rsidR="00AE61F5" w:rsidRPr="009118AB" w:rsidRDefault="00AE61F5" w:rsidP="00AE61F5">
      <w:pPr>
        <w:jc w:val="both"/>
        <w:rPr>
          <w:lang w:eastAsia="fr-BE"/>
        </w:rPr>
      </w:pPr>
      <w:r w:rsidRPr="009118AB">
        <w:rPr>
          <w:lang w:eastAsia="fr-BE"/>
        </w:rPr>
        <w:tab/>
      </w:r>
      <w:r w:rsidR="00D67EB8" w:rsidRPr="009118AB">
        <w:rPr>
          <w:lang w:eastAsia="fr-BE"/>
        </w:rPr>
        <w:t>§ </w:t>
      </w:r>
      <w:r w:rsidRPr="009118AB">
        <w:rPr>
          <w:lang w:eastAsia="fr-BE"/>
        </w:rPr>
        <w:t>2 ­ Die Befreiung wird nur gewährt, wenn der Schuldner der Dividenden eine Bescheinigung erhält, in der bestätigt wird:</w:t>
      </w:r>
    </w:p>
    <w:p w14:paraId="275D9A01" w14:textId="77777777" w:rsidR="00AE61F5" w:rsidRPr="009118AB" w:rsidRDefault="00AE61F5" w:rsidP="00AE61F5">
      <w:pPr>
        <w:jc w:val="both"/>
        <w:rPr>
          <w:lang w:eastAsia="fr-BE"/>
        </w:rPr>
      </w:pPr>
    </w:p>
    <w:p w14:paraId="4CE9DC2C" w14:textId="77777777" w:rsidR="00AE61F5" w:rsidRPr="009118AB" w:rsidRDefault="00AE61F5" w:rsidP="00AE61F5">
      <w:pPr>
        <w:jc w:val="both"/>
        <w:rPr>
          <w:lang w:eastAsia="fr-BE"/>
        </w:rPr>
      </w:pPr>
      <w:r w:rsidRPr="009118AB">
        <w:rPr>
          <w:lang w:eastAsia="fr-BE"/>
        </w:rPr>
        <w:tab/>
        <w:t>1. dass der Empfänger der Gesellschaftssteuer oder einer ähnlichen Steuer wie der Gesellschaftssteuer unterliegt, ohne dass ein vom allgemeinen Recht abweichendes Besteuerungssystem zu seinen Gunsten angewandt wird,</w:t>
      </w:r>
    </w:p>
    <w:p w14:paraId="42B06C96" w14:textId="77777777" w:rsidR="00AE61F5" w:rsidRPr="009118AB" w:rsidRDefault="00AE61F5" w:rsidP="00AE61F5">
      <w:pPr>
        <w:jc w:val="both"/>
        <w:rPr>
          <w:lang w:eastAsia="fr-BE"/>
        </w:rPr>
      </w:pPr>
    </w:p>
    <w:p w14:paraId="05427FDA" w14:textId="728E65EB" w:rsidR="00AE61F5" w:rsidRPr="009118AB" w:rsidRDefault="00AE61F5" w:rsidP="00AE61F5">
      <w:pPr>
        <w:jc w:val="both"/>
        <w:rPr>
          <w:lang w:eastAsia="fr-BE"/>
        </w:rPr>
      </w:pPr>
      <w:r w:rsidRPr="009118AB">
        <w:rPr>
          <w:lang w:eastAsia="fr-BE"/>
        </w:rPr>
        <w:tab/>
        <w:t xml:space="preserve">2. in welchem Maße der Mobiliensteuervorabzug, der geschuldet würde, wenn die in vorliegendem Artikel vorgesehene Befreiung nicht bestünde, aufgrund der </w:t>
      </w:r>
      <w:r w:rsidRPr="009118AB">
        <w:rPr>
          <w:lang w:eastAsia="fr-BE"/>
        </w:rPr>
        <w:lastRenderedPageBreak/>
        <w:t xml:space="preserve">Gesetzesbestimmungen, die am 31. Dezember des Jahres vor der Zuerkennung oder Ausschüttung der in </w:t>
      </w:r>
      <w:r w:rsidR="00D67EB8" w:rsidRPr="009118AB">
        <w:rPr>
          <w:lang w:eastAsia="fr-BE"/>
        </w:rPr>
        <w:t>§ </w:t>
      </w:r>
      <w:r w:rsidRPr="009118AB">
        <w:rPr>
          <w:lang w:eastAsia="fr-BE"/>
        </w:rPr>
        <w:t>1 Absatz 1 erwähnten Dividende in Kraft sind, für die begünstigte Gesellschaft im Prinzip anrechenbar oder erstattungsfähig ist,</w:t>
      </w:r>
    </w:p>
    <w:p w14:paraId="632F7B00" w14:textId="77777777" w:rsidR="00AE61F5" w:rsidRPr="009118AB" w:rsidRDefault="00AE61F5" w:rsidP="00AE61F5">
      <w:pPr>
        <w:jc w:val="both"/>
        <w:rPr>
          <w:lang w:eastAsia="fr-BE"/>
        </w:rPr>
      </w:pPr>
    </w:p>
    <w:p w14:paraId="1CABEE4B" w14:textId="2F8EA0AB" w:rsidR="00AE61F5" w:rsidRPr="009118AB" w:rsidRDefault="00AE61F5" w:rsidP="00AE61F5">
      <w:pPr>
        <w:autoSpaceDE w:val="0"/>
        <w:autoSpaceDN w:val="0"/>
        <w:adjustRightInd w:val="0"/>
        <w:jc w:val="both"/>
      </w:pPr>
      <w:r w:rsidRPr="009118AB">
        <w:rPr>
          <w:lang w:eastAsia="fr-BE"/>
        </w:rPr>
        <w:tab/>
        <w:t>3. wie vollständiger Name, Rechtsform, Adresse und gegebenenfalls Steueridentifikationsnummer der begünstigten Gesellschaft lauten.</w:t>
      </w:r>
      <w:r w:rsidRPr="009118AB">
        <w:t>]</w:t>
      </w:r>
    </w:p>
    <w:p w14:paraId="62875F63" w14:textId="77777777" w:rsidR="00AE61F5" w:rsidRPr="009118AB" w:rsidRDefault="00AE61F5" w:rsidP="00477B8F">
      <w:pPr>
        <w:autoSpaceDE w:val="0"/>
        <w:autoSpaceDN w:val="0"/>
        <w:adjustRightInd w:val="0"/>
        <w:jc w:val="both"/>
      </w:pPr>
    </w:p>
    <w:p w14:paraId="78134A5F" w14:textId="71678C6D" w:rsidR="00AE61F5" w:rsidRPr="009118AB" w:rsidRDefault="00AE61F5" w:rsidP="00477B8F">
      <w:pPr>
        <w:autoSpaceDE w:val="0"/>
        <w:autoSpaceDN w:val="0"/>
        <w:adjustRightInd w:val="0"/>
        <w:jc w:val="both"/>
        <w:rPr>
          <w:bCs/>
          <w:i/>
          <w:iCs/>
        </w:rPr>
      </w:pPr>
      <w:r w:rsidRPr="009118AB">
        <w:rPr>
          <w:i/>
          <w:iCs/>
        </w:rPr>
        <w:t>[</w:t>
      </w:r>
      <w:r w:rsidR="00D67EB8" w:rsidRPr="009118AB">
        <w:rPr>
          <w:i/>
          <w:iCs/>
        </w:rPr>
        <w:t>Art. </w:t>
      </w:r>
      <w:r w:rsidRPr="009118AB">
        <w:rPr>
          <w:i/>
          <w:iCs/>
        </w:rPr>
        <w:t xml:space="preserve">264/2 eingefügt durch </w:t>
      </w:r>
      <w:r w:rsidR="00D67EB8" w:rsidRPr="009118AB">
        <w:rPr>
          <w:i/>
          <w:iCs/>
        </w:rPr>
        <w:t>Art. </w:t>
      </w:r>
      <w:r w:rsidRPr="009118AB">
        <w:rPr>
          <w:i/>
          <w:iCs/>
        </w:rPr>
        <w:t>70</w:t>
      </w:r>
      <w:r w:rsidRPr="009118AB">
        <w:rPr>
          <w:bCs/>
          <w:i/>
          <w:iCs/>
          <w:sz w:val="20"/>
          <w:szCs w:val="20"/>
        </w:rPr>
        <w:t xml:space="preserve"> </w:t>
      </w:r>
      <w:r w:rsidRPr="009118AB">
        <w:rPr>
          <w:bCs/>
          <w:i/>
          <w:iCs/>
        </w:rPr>
        <w:t>des G. vom 21. Januar 2022 (B.S. vom 28. Januar 2022)]</w:t>
      </w:r>
    </w:p>
    <w:p w14:paraId="11C60055" w14:textId="77777777" w:rsidR="00AE61F5" w:rsidRPr="009118AB" w:rsidRDefault="00AE61F5" w:rsidP="00477B8F">
      <w:pPr>
        <w:autoSpaceDE w:val="0"/>
        <w:autoSpaceDN w:val="0"/>
        <w:adjustRightInd w:val="0"/>
        <w:jc w:val="both"/>
        <w:rPr>
          <w:i/>
          <w:iCs/>
        </w:rPr>
      </w:pPr>
    </w:p>
    <w:p w14:paraId="7A25A4A5" w14:textId="77777777" w:rsidR="00AE61F5" w:rsidRPr="009118AB" w:rsidRDefault="00AE61F5" w:rsidP="00477B8F">
      <w:pPr>
        <w:autoSpaceDE w:val="0"/>
        <w:autoSpaceDN w:val="0"/>
        <w:adjustRightInd w:val="0"/>
        <w:jc w:val="both"/>
      </w:pPr>
    </w:p>
    <w:p w14:paraId="517CDB6B" w14:textId="0CC82B4D"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264</w:t>
      </w:r>
      <w:r w:rsidRPr="009118AB">
        <w:rPr>
          <w:b/>
          <w:bCs/>
          <w:i/>
          <w:iCs/>
        </w:rPr>
        <w:t>bis</w:t>
      </w:r>
      <w:r w:rsidR="00D67EB8" w:rsidRPr="009118AB">
        <w:t> - </w:t>
      </w:r>
      <w:r w:rsidRPr="009118AB">
        <w:t>Zahlt ein Kreditinstitut, eine Börsengesellschaft beziehungsweise eine zugelassene Verrechnungs</w:t>
      </w:r>
      <w:r w:rsidRPr="009118AB">
        <w:noBreakHyphen/>
        <w:t xml:space="preserve"> oder Liquidationseinrichtung, die in Belgien ansässig sind, in Artikel 230 Absatz 1 </w:t>
      </w:r>
      <w:r w:rsidR="00D67EB8" w:rsidRPr="009118AB">
        <w:t>Nr. </w:t>
      </w:r>
      <w:r w:rsidRPr="009118AB">
        <w:t>2 Buchstabe </w:t>
      </w:r>
      <w:r w:rsidRPr="009118AB">
        <w:rPr>
          <w:i/>
          <w:iCs/>
        </w:rPr>
        <w:t>a)</w:t>
      </w:r>
      <w:r w:rsidRPr="009118AB">
        <w:t xml:space="preserve"> oder </w:t>
      </w:r>
      <w:r w:rsidRPr="009118AB">
        <w:rPr>
          <w:i/>
          <w:iCs/>
        </w:rPr>
        <w:t>b)</w:t>
      </w:r>
      <w:r w:rsidRPr="009118AB">
        <w:t xml:space="preserve"> erwähnte Einkünfte an einen nicht in Artikel 261 Absatz 4 erwähnten Vermittler, wird der Mobiliensteuervorabzug nicht auf diese Einkünfte geschuldet, sofern der letztgenannte Vermittler ihm/ihr eine Bescheinigung aushändigt, durch die er bestätigt, dass die Empfänger:</w:t>
      </w:r>
    </w:p>
    <w:p w14:paraId="3DFA874A" w14:textId="77777777" w:rsidR="00477B8F" w:rsidRPr="009118AB" w:rsidRDefault="00477B8F" w:rsidP="00477B8F">
      <w:pPr>
        <w:autoSpaceDE w:val="0"/>
        <w:autoSpaceDN w:val="0"/>
        <w:adjustRightInd w:val="0"/>
        <w:jc w:val="both"/>
      </w:pPr>
    </w:p>
    <w:p w14:paraId="4F24FF8B" w14:textId="77777777" w:rsidR="00477B8F" w:rsidRPr="009118AB" w:rsidRDefault="00477B8F" w:rsidP="00477B8F">
      <w:pPr>
        <w:autoSpaceDE w:val="0"/>
        <w:autoSpaceDN w:val="0"/>
        <w:adjustRightInd w:val="0"/>
        <w:jc w:val="both"/>
      </w:pPr>
      <w:r w:rsidRPr="009118AB">
        <w:tab/>
        <w:t>- in Artikel 227 erwähnte Gebietsfremde sind,</w:t>
      </w:r>
    </w:p>
    <w:p w14:paraId="596C5348" w14:textId="77777777" w:rsidR="00477B8F" w:rsidRPr="009118AB" w:rsidRDefault="00477B8F" w:rsidP="00477B8F">
      <w:pPr>
        <w:autoSpaceDE w:val="0"/>
        <w:autoSpaceDN w:val="0"/>
        <w:adjustRightInd w:val="0"/>
        <w:jc w:val="both"/>
      </w:pPr>
    </w:p>
    <w:p w14:paraId="2BC3DE8E" w14:textId="77777777" w:rsidR="00477B8F" w:rsidRPr="009118AB" w:rsidRDefault="00477B8F" w:rsidP="00477B8F">
      <w:pPr>
        <w:autoSpaceDE w:val="0"/>
        <w:autoSpaceDN w:val="0"/>
        <w:adjustRightInd w:val="0"/>
        <w:jc w:val="both"/>
      </w:pPr>
      <w:r w:rsidRPr="009118AB">
        <w:tab/>
        <w:t>- die Kapitalien oder Finanzinstrumente, die die Einkünfte erzeugen, nicht zur Ausübung einer Berufstätigkeit in Belgien genutzt haben,</w:t>
      </w:r>
    </w:p>
    <w:p w14:paraId="143DA88F" w14:textId="77777777" w:rsidR="00006C5D" w:rsidRPr="009118AB" w:rsidRDefault="00006C5D" w:rsidP="00477B8F">
      <w:pPr>
        <w:autoSpaceDE w:val="0"/>
        <w:autoSpaceDN w:val="0"/>
        <w:adjustRightInd w:val="0"/>
      </w:pPr>
    </w:p>
    <w:p w14:paraId="1C78278E" w14:textId="77777777" w:rsidR="00477B8F" w:rsidRPr="009118AB" w:rsidRDefault="00477B8F" w:rsidP="00924E2D">
      <w:pPr>
        <w:autoSpaceDE w:val="0"/>
        <w:autoSpaceDN w:val="0"/>
        <w:adjustRightInd w:val="0"/>
        <w:jc w:val="both"/>
      </w:pPr>
      <w:r w:rsidRPr="009118AB">
        <w:tab/>
        <w:t>- Volleigentümer oder Nießbraucher der Kapitalien oder Finanzinstrumente sind, die die Einkünfte erzeugen.]</w:t>
      </w:r>
    </w:p>
    <w:p w14:paraId="48922F81" w14:textId="77777777" w:rsidR="00477B8F" w:rsidRPr="009118AB" w:rsidRDefault="00477B8F" w:rsidP="00477B8F">
      <w:pPr>
        <w:autoSpaceDE w:val="0"/>
        <w:autoSpaceDN w:val="0"/>
        <w:adjustRightInd w:val="0"/>
        <w:jc w:val="both"/>
      </w:pPr>
    </w:p>
    <w:p w14:paraId="2B353531" w14:textId="1A8703D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264bis eingefügt</w:t>
      </w:r>
      <w:r w:rsidRPr="009118AB">
        <w:t xml:space="preserve"> </w:t>
      </w:r>
      <w:r w:rsidRPr="009118AB">
        <w:rPr>
          <w:i/>
          <w:iCs/>
        </w:rPr>
        <w:t xml:space="preserve">durch </w:t>
      </w:r>
      <w:r w:rsidR="00D67EB8" w:rsidRPr="009118AB">
        <w:rPr>
          <w:i/>
          <w:iCs/>
        </w:rPr>
        <w:t>Art. </w:t>
      </w:r>
      <w:r w:rsidRPr="009118AB">
        <w:rPr>
          <w:i/>
          <w:iCs/>
        </w:rPr>
        <w:t>7 des G. vom 25. April 2006 (B.S. vom 28. April 2006)</w:t>
      </w:r>
      <w:r w:rsidR="00D67EB8" w:rsidRPr="009118AB">
        <w:rPr>
          <w:i/>
          <w:iCs/>
        </w:rPr>
        <w:t> - </w:t>
      </w:r>
      <w:r w:rsidRPr="009118AB">
        <w:rPr>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FD68E8" w:rsidRPr="009118AB">
        <w:rPr>
          <w:i/>
          <w:iCs/>
        </w:rPr>
        <w:t> -]</w:t>
      </w:r>
    </w:p>
    <w:p w14:paraId="33465DA9" w14:textId="77777777" w:rsidR="00477B8F" w:rsidRPr="009118AB" w:rsidRDefault="00477B8F" w:rsidP="00477B8F">
      <w:pPr>
        <w:autoSpaceDE w:val="0"/>
        <w:autoSpaceDN w:val="0"/>
        <w:adjustRightInd w:val="0"/>
        <w:jc w:val="both"/>
        <w:rPr>
          <w:sz w:val="20"/>
          <w:szCs w:val="20"/>
        </w:rPr>
      </w:pPr>
    </w:p>
    <w:p w14:paraId="2D83F376" w14:textId="77777777" w:rsidR="00411882" w:rsidRPr="009118AB" w:rsidRDefault="00411882" w:rsidP="00477B8F">
      <w:pPr>
        <w:autoSpaceDE w:val="0"/>
        <w:autoSpaceDN w:val="0"/>
        <w:adjustRightInd w:val="0"/>
        <w:jc w:val="both"/>
        <w:rPr>
          <w:sz w:val="20"/>
          <w:szCs w:val="20"/>
        </w:rPr>
      </w:pPr>
    </w:p>
    <w:p w14:paraId="3A1FD241" w14:textId="2647512F" w:rsidR="00477B8F" w:rsidRPr="009118AB" w:rsidRDefault="00D67EB8" w:rsidP="00411882">
      <w:pPr>
        <w:autoSpaceDE w:val="0"/>
        <w:autoSpaceDN w:val="0"/>
        <w:adjustRightInd w:val="0"/>
        <w:ind w:firstLine="708"/>
        <w:jc w:val="both"/>
      </w:pPr>
      <w:r w:rsidRPr="009118AB">
        <w:rPr>
          <w:b/>
        </w:rPr>
        <w:t>Art. </w:t>
      </w:r>
      <w:r w:rsidR="00477B8F" w:rsidRPr="009118AB">
        <w:rPr>
          <w:b/>
        </w:rPr>
        <w:t>265</w:t>
      </w:r>
      <w:r w:rsidRPr="009118AB">
        <w:t> - </w:t>
      </w:r>
      <w:r w:rsidR="00477B8F" w:rsidRPr="009118AB">
        <w:t>[Der Mobiliensteuervorabzug wird ebenfalls nicht auf Einkünfte geschuldet, die:</w:t>
      </w:r>
    </w:p>
    <w:p w14:paraId="71D1E007" w14:textId="77777777" w:rsidR="00477B8F" w:rsidRPr="009118AB" w:rsidRDefault="00477B8F" w:rsidP="00477B8F">
      <w:pPr>
        <w:autoSpaceDE w:val="0"/>
        <w:autoSpaceDN w:val="0"/>
        <w:adjustRightInd w:val="0"/>
        <w:jc w:val="both"/>
      </w:pPr>
    </w:p>
    <w:p w14:paraId="1B8C5346" w14:textId="46EAEB3D" w:rsidR="00477B8F" w:rsidRPr="009118AB" w:rsidRDefault="00477B8F" w:rsidP="00411882">
      <w:pPr>
        <w:autoSpaceDE w:val="0"/>
        <w:autoSpaceDN w:val="0"/>
        <w:adjustRightInd w:val="0"/>
        <w:ind w:firstLine="708"/>
        <w:jc w:val="both"/>
      </w:pPr>
      <w:r w:rsidRPr="009118AB">
        <w:t>1. dem Staat gewährt oder zuerkannt werden aufgrund von Finanzverwaltungs</w:t>
      </w:r>
      <w:r w:rsidR="00D666D6" w:rsidRPr="009118AB">
        <w:softHyphen/>
      </w:r>
      <w:r w:rsidRPr="009118AB">
        <w:t>geschäften, die im allgemeinen Interesse der Staatskasse getätigt werden oder aus der Bildung unmittelbar verfügbarer Gelder zur Ausgleichung von Kassendefiziten hervorgehen, die durch die Unmöglichkeit bedingt sind, Zugang zum Geldmarkt durch tägliche Ausgabe von Schatzanweisungen zu erhalten,</w:t>
      </w:r>
    </w:p>
    <w:p w14:paraId="7163591A" w14:textId="77777777" w:rsidR="00477B8F" w:rsidRPr="009118AB" w:rsidRDefault="00477B8F" w:rsidP="00477B8F">
      <w:pPr>
        <w:autoSpaceDE w:val="0"/>
        <w:autoSpaceDN w:val="0"/>
        <w:adjustRightInd w:val="0"/>
        <w:jc w:val="both"/>
      </w:pPr>
    </w:p>
    <w:p w14:paraId="0B5E2EE3" w14:textId="0EDD8595" w:rsidR="00477B8F" w:rsidRPr="009118AB" w:rsidRDefault="00477B8F" w:rsidP="00411882">
      <w:pPr>
        <w:autoSpaceDE w:val="0"/>
        <w:autoSpaceDN w:val="0"/>
        <w:adjustRightInd w:val="0"/>
        <w:ind w:firstLine="708"/>
        <w:jc w:val="both"/>
      </w:pPr>
      <w:r w:rsidRPr="009118AB">
        <w:t>2. [</w:t>
      </w:r>
      <w:r w:rsidR="00DF2C4D" w:rsidRPr="009118AB">
        <w:t xml:space="preserve">[in Artikel 261 Absatz 1 </w:t>
      </w:r>
      <w:r w:rsidR="00D67EB8" w:rsidRPr="009118AB">
        <w:t>Nr. </w:t>
      </w:r>
      <w:r w:rsidR="00DF2C4D" w:rsidRPr="009118AB">
        <w:t>3]</w:t>
      </w:r>
      <w:r w:rsidRPr="009118AB">
        <w:t xml:space="preserve"> erwähnten Gesellschaften gewährt oder zuerkannt werden aufgrund der Aktiva, die sich auf Investmentfonds beziehen, deren Verwaltung sie gewährleisten,]]</w:t>
      </w:r>
    </w:p>
    <w:p w14:paraId="3739786E" w14:textId="77777777" w:rsidR="00477B8F" w:rsidRPr="009118AB" w:rsidRDefault="00477B8F" w:rsidP="00477B8F">
      <w:pPr>
        <w:autoSpaceDE w:val="0"/>
        <w:autoSpaceDN w:val="0"/>
        <w:adjustRightInd w:val="0"/>
        <w:jc w:val="both"/>
      </w:pPr>
    </w:p>
    <w:p w14:paraId="32CDF61E" w14:textId="77777777" w:rsidR="00477B8F" w:rsidRPr="009118AB" w:rsidRDefault="00477B8F" w:rsidP="00411882">
      <w:pPr>
        <w:autoSpaceDE w:val="0"/>
        <w:autoSpaceDN w:val="0"/>
        <w:adjustRightInd w:val="0"/>
        <w:ind w:firstLine="708"/>
        <w:jc w:val="both"/>
        <w:rPr>
          <w:spacing w:val="-2"/>
        </w:rPr>
      </w:pPr>
      <w:r w:rsidRPr="009118AB">
        <w:rPr>
          <w:spacing w:val="-2"/>
        </w:rPr>
        <w:lastRenderedPageBreak/>
        <w:t>[3.</w:t>
      </w:r>
      <w:r w:rsidR="005F02C3" w:rsidRPr="009118AB">
        <w:rPr>
          <w:spacing w:val="-2"/>
        </w:rPr>
        <w:t xml:space="preserve"> [</w:t>
      </w:r>
      <w:r w:rsidR="005F02C3" w:rsidRPr="009118AB">
        <w:t>in Artikel 19</w:t>
      </w:r>
      <w:r w:rsidR="005F02C3" w:rsidRPr="009118AB">
        <w:rPr>
          <w:i/>
        </w:rPr>
        <w:t>bis</w:t>
      </w:r>
      <w:r w:rsidR="005F02C3" w:rsidRPr="009118AB">
        <w:t xml:space="preserve"> erwähnt sind, wenn sie anderen Steuerpflichtigen als denen, die der Steuer der natürlichen Personen unterliegen, gezahlt oder zuerkannt werden,</w:t>
      </w:r>
      <w:r w:rsidR="005F02C3" w:rsidRPr="009118AB">
        <w:rPr>
          <w:spacing w:val="-2"/>
        </w:rPr>
        <w:t>]</w:t>
      </w:r>
      <w:r w:rsidRPr="009118AB">
        <w:rPr>
          <w:spacing w:val="-2"/>
        </w:rPr>
        <w:t>]</w:t>
      </w:r>
    </w:p>
    <w:p w14:paraId="2267B4CB" w14:textId="77777777" w:rsidR="00477B8F" w:rsidRPr="009118AB" w:rsidRDefault="00477B8F" w:rsidP="00477B8F">
      <w:pPr>
        <w:autoSpaceDE w:val="0"/>
        <w:autoSpaceDN w:val="0"/>
        <w:adjustRightInd w:val="0"/>
        <w:jc w:val="both"/>
      </w:pPr>
    </w:p>
    <w:p w14:paraId="7F8F85B1" w14:textId="77777777" w:rsidR="00477B8F" w:rsidRPr="009118AB" w:rsidRDefault="00477B8F" w:rsidP="00411882">
      <w:pPr>
        <w:autoSpaceDE w:val="0"/>
        <w:autoSpaceDN w:val="0"/>
        <w:adjustRightInd w:val="0"/>
        <w:ind w:firstLine="708"/>
        <w:jc w:val="both"/>
      </w:pPr>
      <w:r w:rsidRPr="009118AB">
        <w:t xml:space="preserve">[4. </w:t>
      </w:r>
      <w:r w:rsidR="00FD0276" w:rsidRPr="009118AB">
        <w:t>[</w:t>
      </w:r>
      <w:r w:rsidR="005F02C3" w:rsidRPr="009118AB">
        <w:t>ein gemeinsamer Investmentfonds seinen Anteilinhabern gewährt oder zuerkennt, in dem Maße, wie diese Einkünfte aus Einkünften erwähnt in den Artikeln 18, 19 und 19</w:t>
      </w:r>
      <w:r w:rsidR="005F02C3" w:rsidRPr="009118AB">
        <w:rPr>
          <w:i/>
        </w:rPr>
        <w:t>bis</w:t>
      </w:r>
      <w:r w:rsidR="005F02C3" w:rsidRPr="009118AB">
        <w:t xml:space="preserve"> stammen, und sofern die Verwaltungsgesellschaft von Organismen für gemeinsame Anlagen der in Artikel 321</w:t>
      </w:r>
      <w:r w:rsidR="005F02C3" w:rsidRPr="009118AB">
        <w:rPr>
          <w:i/>
        </w:rPr>
        <w:t>bis</w:t>
      </w:r>
      <w:r w:rsidR="005F02C3" w:rsidRPr="009118AB">
        <w:t xml:space="preserve"> erwähnten Verpflichtung nachgekommen ist.</w:t>
      </w:r>
      <w:r w:rsidRPr="009118AB">
        <w:t>]</w:t>
      </w:r>
      <w:r w:rsidR="00337D6A" w:rsidRPr="009118AB">
        <w:t>]</w:t>
      </w:r>
    </w:p>
    <w:p w14:paraId="4008CF1D" w14:textId="77777777" w:rsidR="00477B8F" w:rsidRPr="009118AB" w:rsidRDefault="00477B8F" w:rsidP="00477B8F">
      <w:pPr>
        <w:autoSpaceDE w:val="0"/>
        <w:autoSpaceDN w:val="0"/>
        <w:adjustRightInd w:val="0"/>
        <w:jc w:val="both"/>
      </w:pPr>
    </w:p>
    <w:p w14:paraId="2CFE5019" w14:textId="77777777" w:rsidR="00477B8F" w:rsidRPr="009118AB" w:rsidRDefault="00477B8F" w:rsidP="00411882">
      <w:pPr>
        <w:autoSpaceDE w:val="0"/>
        <w:autoSpaceDN w:val="0"/>
        <w:adjustRightInd w:val="0"/>
        <w:ind w:firstLine="708"/>
        <w:jc w:val="both"/>
      </w:pPr>
      <w:r w:rsidRPr="009118AB">
        <w:t xml:space="preserve">[5. </w:t>
      </w:r>
      <w:r w:rsidR="005F02C3" w:rsidRPr="009118AB">
        <w:t>[…]</w:t>
      </w:r>
      <w:r w:rsidRPr="009118AB">
        <w:t>]</w:t>
      </w:r>
      <w:r w:rsidR="00A50DAF" w:rsidRPr="009118AB">
        <w:t>.</w:t>
      </w:r>
    </w:p>
    <w:p w14:paraId="33538A47" w14:textId="77777777" w:rsidR="00477B8F" w:rsidRPr="009118AB" w:rsidRDefault="00477B8F" w:rsidP="00477B8F">
      <w:pPr>
        <w:autoSpaceDE w:val="0"/>
        <w:autoSpaceDN w:val="0"/>
        <w:adjustRightInd w:val="0"/>
        <w:jc w:val="both"/>
      </w:pPr>
    </w:p>
    <w:p w14:paraId="26EC8C4D" w14:textId="77777777" w:rsidR="00477B8F" w:rsidRPr="009118AB" w:rsidRDefault="00477B8F" w:rsidP="00411882">
      <w:pPr>
        <w:autoSpaceDE w:val="0"/>
        <w:autoSpaceDN w:val="0"/>
        <w:adjustRightInd w:val="0"/>
        <w:ind w:firstLine="708"/>
        <w:jc w:val="both"/>
      </w:pPr>
      <w:r w:rsidRPr="009118AB">
        <w:t>[Der Mobiliensteuervorabzug wird ebenfalls nicht geschuldet:</w:t>
      </w:r>
    </w:p>
    <w:p w14:paraId="5BCF3CE3" w14:textId="77777777" w:rsidR="00477B8F" w:rsidRPr="009118AB" w:rsidRDefault="00477B8F" w:rsidP="00477B8F">
      <w:pPr>
        <w:autoSpaceDE w:val="0"/>
        <w:autoSpaceDN w:val="0"/>
        <w:adjustRightInd w:val="0"/>
        <w:jc w:val="both"/>
      </w:pPr>
    </w:p>
    <w:p w14:paraId="385FC547" w14:textId="1A5C9720" w:rsidR="00477B8F" w:rsidRPr="009118AB" w:rsidRDefault="00477B8F" w:rsidP="00411882">
      <w:pPr>
        <w:autoSpaceDE w:val="0"/>
        <w:autoSpaceDN w:val="0"/>
        <w:adjustRightInd w:val="0"/>
        <w:ind w:firstLine="708"/>
        <w:jc w:val="both"/>
      </w:pPr>
      <w:r w:rsidRPr="009118AB">
        <w:t xml:space="preserve">1. auf Einkünfte ausländischer Herkunft erwähnt in </w:t>
      </w:r>
      <w:r w:rsidR="003843F1" w:rsidRPr="009118AB">
        <w:rPr>
          <w:iCs/>
        </w:rPr>
        <w:t xml:space="preserve">[Artikel 90 Absatz 1 </w:t>
      </w:r>
      <w:r w:rsidR="00D67EB8" w:rsidRPr="009118AB">
        <w:rPr>
          <w:iCs/>
        </w:rPr>
        <w:t>Nr. </w:t>
      </w:r>
      <w:r w:rsidR="003843F1" w:rsidRPr="009118AB">
        <w:rPr>
          <w:iCs/>
        </w:rPr>
        <w:t>11]</w:t>
      </w:r>
      <w:r w:rsidRPr="009118AB">
        <w:t>, deren Empfänger eine inländische Gesellschaft oder ein Steuerpflichtiger ist, der gemäß Artikel 233 der Steuer der Gebietsfremden unterliegt,</w:t>
      </w:r>
    </w:p>
    <w:p w14:paraId="4D201573" w14:textId="77777777" w:rsidR="00477B8F" w:rsidRPr="009118AB" w:rsidRDefault="00477B8F" w:rsidP="00477B8F">
      <w:pPr>
        <w:autoSpaceDE w:val="0"/>
        <w:autoSpaceDN w:val="0"/>
        <w:adjustRightInd w:val="0"/>
        <w:jc w:val="both"/>
      </w:pPr>
    </w:p>
    <w:p w14:paraId="62E3C2C1" w14:textId="3FCCB09E" w:rsidR="00006C5D" w:rsidRPr="009118AB" w:rsidRDefault="00477B8F" w:rsidP="00411882">
      <w:pPr>
        <w:autoSpaceDE w:val="0"/>
        <w:autoSpaceDN w:val="0"/>
        <w:adjustRightInd w:val="0"/>
        <w:ind w:firstLine="708"/>
        <w:jc w:val="both"/>
      </w:pPr>
      <w:r w:rsidRPr="009118AB">
        <w:t xml:space="preserve">2. auf Zinsen von Verleihen von ausländischen Finanzinstrumenten oder auf die in </w:t>
      </w:r>
      <w:r w:rsidR="003843F1" w:rsidRPr="009118AB">
        <w:rPr>
          <w:iCs/>
        </w:rPr>
        <w:t xml:space="preserve">[Artikel 90 Absatz 1 </w:t>
      </w:r>
      <w:r w:rsidR="00D67EB8" w:rsidRPr="009118AB">
        <w:rPr>
          <w:iCs/>
        </w:rPr>
        <w:t>Nr. </w:t>
      </w:r>
      <w:r w:rsidR="003843F1" w:rsidRPr="009118AB">
        <w:rPr>
          <w:iCs/>
        </w:rPr>
        <w:t xml:space="preserve">11] </w:t>
      </w:r>
      <w:r w:rsidRPr="009118AB">
        <w:t xml:space="preserve">erwähnten Einkünfte, die in Ausführung eines Verleihs in Bezug auf diese Finanzinstrumente gezahlt werden, der über ein in Artikel 261 Absatz 3 erwähntes zugelassenes zentralisiertes System für den Verleih von Finanzinstrumenten abgeschlossen </w:t>
      </w:r>
      <w:r w:rsidR="00924E2D" w:rsidRPr="009118AB">
        <w:t>und vollständig ausgezahlt wird,</w:t>
      </w:r>
      <w:r w:rsidRPr="009118AB">
        <w:t>]</w:t>
      </w:r>
    </w:p>
    <w:p w14:paraId="56B3481E" w14:textId="77777777" w:rsidR="00924E2D" w:rsidRPr="009118AB" w:rsidRDefault="00924E2D" w:rsidP="00006C5D">
      <w:pPr>
        <w:autoSpaceDE w:val="0"/>
        <w:autoSpaceDN w:val="0"/>
        <w:adjustRightInd w:val="0"/>
        <w:ind w:firstLine="708"/>
        <w:jc w:val="both"/>
      </w:pPr>
    </w:p>
    <w:p w14:paraId="36E29738" w14:textId="77777777" w:rsidR="00006C5D" w:rsidRPr="009118AB" w:rsidRDefault="0037702C" w:rsidP="00006C5D">
      <w:pPr>
        <w:autoSpaceDE w:val="0"/>
        <w:autoSpaceDN w:val="0"/>
        <w:adjustRightInd w:val="0"/>
        <w:ind w:firstLine="708"/>
        <w:jc w:val="both"/>
      </w:pPr>
      <w:r w:rsidRPr="009118AB">
        <w:t>[3. auf Zinsen:</w:t>
      </w:r>
    </w:p>
    <w:p w14:paraId="2DCFFD89" w14:textId="77777777" w:rsidR="00006C5D" w:rsidRPr="009118AB" w:rsidRDefault="00006C5D" w:rsidP="0037702C">
      <w:pPr>
        <w:ind w:firstLine="720"/>
        <w:jc w:val="both"/>
      </w:pPr>
    </w:p>
    <w:p w14:paraId="1F3E4178" w14:textId="11C77A39" w:rsidR="0037702C" w:rsidRPr="009118AB" w:rsidRDefault="0037702C" w:rsidP="0037702C">
      <w:pPr>
        <w:ind w:firstLine="720"/>
        <w:jc w:val="both"/>
      </w:pPr>
      <w:r w:rsidRPr="009118AB">
        <w:t xml:space="preserve">- </w:t>
      </w:r>
      <w:r w:rsidR="00BC2C36" w:rsidRPr="009118AB">
        <w:t xml:space="preserve">[die ein Versicherungsunternehmen </w:t>
      </w:r>
      <w:r w:rsidR="00FD0276" w:rsidRPr="009118AB">
        <w:t>[</w:t>
      </w:r>
      <w:r w:rsidR="00AF345D" w:rsidRPr="009118AB">
        <w:t>[</w:t>
      </w:r>
      <w:r w:rsidR="00AF345D" w:rsidRPr="009118AB">
        <w:rPr>
          <w:lang w:eastAsia="fr-BE"/>
        </w:rPr>
        <w:t>im Rahmen von Artikel 5 §</w:t>
      </w:r>
      <w:r w:rsidR="00D67EB8" w:rsidRPr="009118AB">
        <w:rPr>
          <w:lang w:eastAsia="fr-BE"/>
        </w:rPr>
        <w:t>§ </w:t>
      </w:r>
      <w:r w:rsidR="00AF345D" w:rsidRPr="009118AB">
        <w:rPr>
          <w:lang w:eastAsia="fr-BE"/>
        </w:rPr>
        <w:t>1, 2 und 5 des Gesetzes vom 24. Oktober 2011</w:t>
      </w:r>
      <w:r w:rsidR="00AF345D" w:rsidRPr="009118AB">
        <w:t>]</w:t>
      </w:r>
      <w:r w:rsidR="00FD0276" w:rsidRPr="009118AB">
        <w:t xml:space="preserve"> zur Gewährleistung einer dauerhaften Finanzierung der Pensionen der endgültig ernannten Personalmitglieder der provinzialen und lokalen Verwaltungen und der lokalen Polizeizonen, zur Abänderung des Gesetzes vom 6. Mai 2002 zur Schaffung des Pensionsfonds der integrierten Polizei und zur Festlegung besonderer Bestimmungen in Sachen soziale Sicherheit und zur Festlegung verschiedener Abänderungsbestimmungen </w:t>
      </w:r>
      <w:r w:rsidR="00AF345D" w:rsidRPr="009118AB">
        <w:t>[</w:t>
      </w:r>
      <w:r w:rsidR="00AF345D" w:rsidRPr="009118AB">
        <w:rPr>
          <w:lang w:eastAsia="fr-BE"/>
        </w:rPr>
        <w:t>einer lokalen Verwaltung gewährt oder zuerkennt, die</w:t>
      </w:r>
      <w:r w:rsidR="00AF345D" w:rsidRPr="009118AB">
        <w:t>]</w:t>
      </w:r>
      <w:r w:rsidR="00FD0276" w:rsidRPr="009118AB">
        <w:t xml:space="preserve"> der Steuer der juristischen Personen unterliegt]</w:t>
      </w:r>
      <w:r w:rsidR="00BC2C36" w:rsidRPr="009118AB">
        <w:t>]</w:t>
      </w:r>
    </w:p>
    <w:p w14:paraId="3262641F" w14:textId="77777777" w:rsidR="0037702C" w:rsidRPr="009118AB" w:rsidRDefault="0037702C" w:rsidP="0037702C">
      <w:pPr>
        <w:jc w:val="both"/>
      </w:pPr>
    </w:p>
    <w:p w14:paraId="03A7D6B4" w14:textId="340E78BF" w:rsidR="0037702C" w:rsidRPr="009118AB" w:rsidRDefault="0037702C" w:rsidP="0037702C">
      <w:pPr>
        <w:ind w:firstLine="720"/>
        <w:jc w:val="both"/>
      </w:pPr>
      <w:r w:rsidRPr="009118AB">
        <w:t>- und die aus Kapitalien hervorgehen, die für zukünftige Pensionsleistungen bestimmt sind, sofern:</w:t>
      </w:r>
    </w:p>
    <w:p w14:paraId="58E457E9" w14:textId="77777777" w:rsidR="0037702C" w:rsidRPr="009118AB" w:rsidRDefault="0037702C" w:rsidP="0037702C">
      <w:pPr>
        <w:jc w:val="both"/>
      </w:pPr>
    </w:p>
    <w:p w14:paraId="4B0D590A" w14:textId="00AC1729" w:rsidR="0037702C" w:rsidRPr="009118AB" w:rsidRDefault="0037702C" w:rsidP="0037702C">
      <w:pPr>
        <w:ind w:firstLine="720"/>
        <w:jc w:val="both"/>
      </w:pPr>
      <w:r w:rsidRPr="009118AB">
        <w:rPr>
          <w:i/>
          <w:iCs/>
        </w:rPr>
        <w:t>a)</w:t>
      </w:r>
      <w:r w:rsidRPr="009118AB">
        <w:t xml:space="preserve"> der abgeschlossene Vertrag zu Lasten des Versicherungsunternehmens ausschließlich das Sammeln, Zentralisieren, Kapitalisieren und Verteilen von Geldern zum Gegenstand hat, die ausschließlich zur Deckung zukünftiger Lasten in Sachen gesetzliche Pensionen </w:t>
      </w:r>
      <w:r w:rsidR="00BC2C36" w:rsidRPr="009118AB">
        <w:t>[</w:t>
      </w:r>
      <w:r w:rsidR="00BC2C36" w:rsidRPr="009118AB">
        <w:rPr>
          <w:iCs/>
        </w:rPr>
        <w:t xml:space="preserve">wie </w:t>
      </w:r>
      <w:r w:rsidR="00FD0276" w:rsidRPr="009118AB">
        <w:rPr>
          <w:iCs/>
        </w:rPr>
        <w:t>[</w:t>
      </w:r>
      <w:r w:rsidR="00AF345D" w:rsidRPr="009118AB">
        <w:rPr>
          <w:lang w:eastAsia="fr-BE"/>
        </w:rPr>
        <w:t>in den Artikeln 16 und 20 des vorerwähnten Gesetzes vom 24. Oktober 2011</w:t>
      </w:r>
      <w:r w:rsidR="00FD0276" w:rsidRPr="009118AB">
        <w:t>]</w:t>
      </w:r>
      <w:r w:rsidR="00BC2C36" w:rsidRPr="009118AB">
        <w:t xml:space="preserve"> erwähnt] </w:t>
      </w:r>
      <w:r w:rsidRPr="009118AB">
        <w:t>bestimmt sind,</w:t>
      </w:r>
    </w:p>
    <w:p w14:paraId="5A1DB4D7" w14:textId="77777777" w:rsidR="0037702C" w:rsidRPr="009118AB" w:rsidRDefault="0037702C" w:rsidP="0037702C">
      <w:pPr>
        <w:jc w:val="both"/>
      </w:pPr>
    </w:p>
    <w:p w14:paraId="40AF7EA3" w14:textId="77777777" w:rsidR="00BC2C36" w:rsidRPr="009118AB" w:rsidRDefault="00BC2C36" w:rsidP="00BC2C36">
      <w:pPr>
        <w:jc w:val="both"/>
      </w:pPr>
      <w:r w:rsidRPr="009118AB">
        <w:rPr>
          <w:i/>
          <w:iCs/>
        </w:rPr>
        <w:tab/>
      </w:r>
      <w:r w:rsidR="0037702C" w:rsidRPr="009118AB">
        <w:rPr>
          <w:i/>
          <w:iCs/>
        </w:rPr>
        <w:t>b)</w:t>
      </w:r>
      <w:r w:rsidR="0037702C" w:rsidRPr="009118AB">
        <w:t xml:space="preserve"> </w:t>
      </w:r>
      <w:r w:rsidRPr="009118AB">
        <w:t>[die von der vorerwähnten lokalen Verwaltung investierten Kapitalien zur Deckung von Lasten in Bezug auf gesetzliche Pensionen bestimmt sind durch Zahlungen des Versicherungsunternehmens:</w:t>
      </w:r>
    </w:p>
    <w:p w14:paraId="279A0796" w14:textId="77777777" w:rsidR="00BC2C36" w:rsidRPr="009118AB" w:rsidRDefault="00BC2C36" w:rsidP="00BC2C36">
      <w:pPr>
        <w:jc w:val="both"/>
      </w:pPr>
    </w:p>
    <w:p w14:paraId="5B21CD32" w14:textId="1745AC13" w:rsidR="00BC2C36" w:rsidRPr="009118AB" w:rsidRDefault="00BC2C36" w:rsidP="00BC2C36">
      <w:pPr>
        <w:jc w:val="both"/>
      </w:pPr>
      <w:r w:rsidRPr="009118AB">
        <w:tab/>
      </w:r>
      <w:r w:rsidR="00D125F2" w:rsidRPr="009118AB">
        <w:t>1.</w:t>
      </w:r>
      <w:r w:rsidRPr="009118AB">
        <w:t xml:space="preserve"> entweder direkt an ehemalige Lohnempfänger der betreffenden lokalen Verwaltung oder an ihre Rechtsnachfolger</w:t>
      </w:r>
    </w:p>
    <w:p w14:paraId="3AC9F0D9" w14:textId="77777777" w:rsidR="00BC2C36" w:rsidRPr="009118AB" w:rsidRDefault="00BC2C36" w:rsidP="00BC2C36">
      <w:pPr>
        <w:jc w:val="both"/>
      </w:pPr>
    </w:p>
    <w:p w14:paraId="70298E12" w14:textId="04AF3857" w:rsidR="0037702C" w:rsidRPr="009118AB" w:rsidRDefault="00D125F2" w:rsidP="00BC2C36">
      <w:pPr>
        <w:ind w:firstLine="720"/>
        <w:jc w:val="both"/>
      </w:pPr>
      <w:r w:rsidRPr="009118AB">
        <w:lastRenderedPageBreak/>
        <w:t>2.</w:t>
      </w:r>
      <w:r w:rsidR="00BC2C36" w:rsidRPr="009118AB">
        <w:t xml:space="preserve"> oder indirekt </w:t>
      </w:r>
      <w:r w:rsidR="00AF345D" w:rsidRPr="009118AB">
        <w:t>[</w:t>
      </w:r>
      <w:r w:rsidR="00AF345D" w:rsidRPr="009118AB">
        <w:rPr>
          <w:lang w:eastAsia="fr-BE"/>
        </w:rPr>
        <w:t>über die vorerwähnte lokale Verwaltung</w:t>
      </w:r>
      <w:r w:rsidR="00AF345D" w:rsidRPr="009118AB">
        <w:t xml:space="preserve">] </w:t>
      </w:r>
      <w:r w:rsidR="00BC2C36" w:rsidRPr="009118AB">
        <w:t>an eine Einrichtung für soziale Sicherheit, die mit der Zahlung der vorerwähnten gesetzlichen Pensionen beauftragt ist,]</w:t>
      </w:r>
    </w:p>
    <w:p w14:paraId="053C2F32" w14:textId="77777777" w:rsidR="0037702C" w:rsidRPr="009118AB" w:rsidRDefault="0037702C" w:rsidP="0037702C">
      <w:pPr>
        <w:jc w:val="both"/>
      </w:pPr>
    </w:p>
    <w:p w14:paraId="70EB3EF1" w14:textId="5B623937" w:rsidR="0037702C" w:rsidRPr="009118AB" w:rsidRDefault="0037702C" w:rsidP="0037702C">
      <w:pPr>
        <w:ind w:firstLine="720"/>
        <w:jc w:val="both"/>
      </w:pPr>
      <w:r w:rsidRPr="009118AB">
        <w:rPr>
          <w:i/>
          <w:iCs/>
        </w:rPr>
        <w:t>c)</w:t>
      </w:r>
      <w:r w:rsidRPr="009118AB">
        <w:t xml:space="preserve"> die Summen, die Pensionsberechtigten oder ihren Rechtsnachfolgern gezahlt werden, in Artikel 23 </w:t>
      </w:r>
      <w:r w:rsidR="00D67EB8" w:rsidRPr="009118AB">
        <w:t>§ </w:t>
      </w:r>
      <w:r w:rsidRPr="009118AB">
        <w:t xml:space="preserve">1 </w:t>
      </w:r>
      <w:r w:rsidR="00D67EB8" w:rsidRPr="009118AB">
        <w:t>Nr. </w:t>
      </w:r>
      <w:r w:rsidRPr="009118AB">
        <w:t>5 erwähnte Berufseinkünfte darstellen,</w:t>
      </w:r>
    </w:p>
    <w:p w14:paraId="0BDAA315" w14:textId="77777777" w:rsidR="0037702C" w:rsidRPr="009118AB" w:rsidRDefault="0037702C" w:rsidP="0037702C">
      <w:pPr>
        <w:jc w:val="both"/>
      </w:pPr>
    </w:p>
    <w:p w14:paraId="5DAF1619" w14:textId="77777777" w:rsidR="0037702C" w:rsidRPr="009118AB" w:rsidRDefault="0037702C" w:rsidP="0037702C">
      <w:pPr>
        <w:ind w:firstLine="720"/>
        <w:jc w:val="both"/>
      </w:pPr>
      <w:r w:rsidRPr="009118AB">
        <w:rPr>
          <w:i/>
          <w:iCs/>
        </w:rPr>
        <w:t>d)</w:t>
      </w:r>
      <w:r w:rsidRPr="009118AB">
        <w:t xml:space="preserve"> das Versicherungsunternehmen zum Zeitpunkt der Zuerkennung oder Ausschüttung der Zinsen eine Bescheinigung erhält, die </w:t>
      </w:r>
      <w:r w:rsidR="00BC2C36" w:rsidRPr="009118AB">
        <w:t xml:space="preserve">[von der lokalen Verwaltung] </w:t>
      </w:r>
      <w:r w:rsidRPr="009118AB">
        <w:t>ausgestellt wird und in der bestätigt wird, dass die vorerwähnten Bedingungen erfüllt sind; diese Bescheinigung ist der Verwaltung zur Verfügung zu halten.]</w:t>
      </w:r>
    </w:p>
    <w:p w14:paraId="20EFA323" w14:textId="77777777" w:rsidR="00477B8F" w:rsidRPr="009118AB" w:rsidRDefault="00477B8F" w:rsidP="00477B8F">
      <w:pPr>
        <w:autoSpaceDE w:val="0"/>
        <w:autoSpaceDN w:val="0"/>
        <w:adjustRightInd w:val="0"/>
        <w:jc w:val="both"/>
      </w:pPr>
    </w:p>
    <w:p w14:paraId="24523854" w14:textId="7782D9FC" w:rsidR="00477B8F" w:rsidRPr="009118AB" w:rsidRDefault="00477B8F" w:rsidP="00477B8F">
      <w:pPr>
        <w:autoSpaceDE w:val="0"/>
        <w:autoSpaceDN w:val="0"/>
        <w:adjustRightInd w:val="0"/>
        <w:jc w:val="both"/>
        <w:rPr>
          <w:rFonts w:ascii="Times New Roman Italique" w:hAnsi="Times New Roman Italique"/>
          <w:i/>
          <w:spacing w:val="2"/>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265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7 des G. vom 4. April 1995 (B.S. vom 23. Mai 1995);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2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25 des G. vom 12. Dezember 1996 (B.S. vom 14. Februar 1997)</w:t>
      </w:r>
      <w:r w:rsidR="00FD0276" w:rsidRPr="009118AB">
        <w:rPr>
          <w:rFonts w:ascii="Times New Roman Italique" w:hAnsi="Times New Roman Italique"/>
          <w:i/>
          <w:iCs/>
          <w:spacing w:val="2"/>
        </w:rPr>
        <w:t xml:space="preserve"> und abgeändert durch </w:t>
      </w:r>
      <w:r w:rsidR="00D67EB8" w:rsidRPr="009118AB">
        <w:rPr>
          <w:rFonts w:ascii="Times New Roman Italique" w:hAnsi="Times New Roman Italique"/>
          <w:i/>
          <w:iCs/>
          <w:spacing w:val="2"/>
        </w:rPr>
        <w:t>Art. </w:t>
      </w:r>
      <w:r w:rsidR="00FD0276" w:rsidRPr="009118AB">
        <w:rPr>
          <w:rFonts w:ascii="Times New Roman Italique" w:hAnsi="Times New Roman Italique"/>
          <w:i/>
          <w:iCs/>
          <w:spacing w:val="2"/>
        </w:rPr>
        <w:t>26 Buchstabe a) des G. vom 18. Dezember 2015 (II) (B.S. vom 28. Dezember 2015)</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3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w:t>
      </w:r>
      <w:r w:rsidR="00112472" w:rsidRPr="009118AB">
        <w:rPr>
          <w:rFonts w:ascii="Times New Roman Italique" w:hAnsi="Times New Roman Italique"/>
          <w:i/>
          <w:iCs/>
          <w:spacing w:val="2"/>
        </w:rPr>
        <w:t>14 des G. vom 27. Dezember 2005 </w:t>
      </w:r>
      <w:r w:rsidRPr="009118AB">
        <w:rPr>
          <w:rFonts w:ascii="Times New Roman Italique" w:hAnsi="Times New Roman Italique"/>
          <w:i/>
          <w:iCs/>
          <w:spacing w:val="2"/>
        </w:rPr>
        <w:t>(I) (B.S. vom 30. Dezember 2005)</w:t>
      </w:r>
      <w:r w:rsidR="00D67EB8" w:rsidRPr="009118AB">
        <w:rPr>
          <w:rFonts w:ascii="Times New Roman Italique" w:hAnsi="Times New Roman Italique"/>
          <w:i/>
          <w:iCs/>
          <w:spacing w:val="2"/>
        </w:rPr>
        <w:t> </w:t>
      </w:r>
      <w:r w:rsidR="00D67EB8" w:rsidRPr="009118AB">
        <w:rPr>
          <w:rFonts w:ascii="Times New Roman Italique" w:hAnsi="Times New Roman Italique" w:hint="eastAsia"/>
          <w:i/>
          <w:iCs/>
          <w:spacing w:val="2"/>
        </w:rPr>
        <w:t>-</w:t>
      </w:r>
      <w:r w:rsidR="00D67EB8" w:rsidRPr="009118AB">
        <w:rPr>
          <w:rFonts w:ascii="Times New Roman Italique" w:hAnsi="Times New Roman Italique"/>
          <w:i/>
          <w:iCs/>
          <w:spacing w:val="2"/>
        </w:rPr>
        <w:t> </w:t>
      </w:r>
      <w:r w:rsidRPr="009118AB">
        <w:rPr>
          <w:rFonts w:ascii="Times New Roman Italique" w:hAnsi="Times New Roman Italique"/>
          <w:i/>
          <w:iCs/>
          <w:spacing w:val="2"/>
        </w:rPr>
        <w:t>anwendbar auf die ab dem 1. Januar 2006 gezahlten Einkünfte</w:t>
      </w:r>
      <w:r w:rsidR="00D67EB8" w:rsidRPr="009118AB">
        <w:rPr>
          <w:rFonts w:ascii="Times New Roman Italique" w:hAnsi="Times New Roman Italique"/>
          <w:i/>
          <w:iCs/>
          <w:spacing w:val="2"/>
        </w:rPr>
        <w:t> - </w:t>
      </w:r>
      <w:r w:rsidR="005F02C3" w:rsidRPr="009118AB">
        <w:rPr>
          <w:rFonts w:ascii="Times New Roman Italique" w:hAnsi="Times New Roman Italique"/>
          <w:i/>
          <w:iCs/>
          <w:spacing w:val="2"/>
        </w:rPr>
        <w:t xml:space="preserve">und ersetzt durch </w:t>
      </w:r>
      <w:r w:rsidR="00D67EB8" w:rsidRPr="009118AB">
        <w:rPr>
          <w:rFonts w:ascii="Times New Roman Italique" w:hAnsi="Times New Roman Italique"/>
          <w:i/>
          <w:iCs/>
          <w:spacing w:val="2"/>
        </w:rPr>
        <w:t>Art. </w:t>
      </w:r>
      <w:r w:rsidR="005F02C3" w:rsidRPr="009118AB">
        <w:rPr>
          <w:rFonts w:ascii="Times New Roman Italique" w:hAnsi="Times New Roman Italique"/>
          <w:i/>
          <w:iCs/>
          <w:spacing w:val="2"/>
        </w:rPr>
        <w:t>102 Buchstabe a)</w:t>
      </w:r>
      <w:r w:rsidR="005F02C3" w:rsidRPr="009118AB">
        <w:rPr>
          <w:i/>
          <w:iCs/>
        </w:rPr>
        <w:t xml:space="preserve"> des G. vom 25. Dezember 2017 (IV) (B.S. vom 29. Dezember 2017)</w:t>
      </w:r>
      <w:r w:rsidR="00D67EB8" w:rsidRPr="009118AB">
        <w:rPr>
          <w:i/>
          <w:iCs/>
        </w:rPr>
        <w:t> - </w:t>
      </w:r>
      <w:r w:rsidR="005F02C3" w:rsidRPr="009118AB">
        <w:rPr>
          <w:i/>
          <w:iCs/>
        </w:rPr>
        <w:t>in Kraft am 29. Dezember 2017</w:t>
      </w:r>
      <w:r w:rsidR="003366D9" w:rsidRPr="009118AB">
        <w:rPr>
          <w:i/>
          <w:iCs/>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325 des G.</w:t>
      </w:r>
      <w:r w:rsidR="0014743B" w:rsidRPr="009118AB">
        <w:rPr>
          <w:rFonts w:ascii="Times New Roman Italique" w:hAnsi="Times New Roman Italique"/>
          <w:i/>
          <w:iCs/>
          <w:spacing w:val="2"/>
        </w:rPr>
        <w:t xml:space="preserve"> (I)</w:t>
      </w:r>
      <w:r w:rsidRPr="009118AB">
        <w:rPr>
          <w:rFonts w:ascii="Times New Roman Italique" w:hAnsi="Times New Roman Italique"/>
          <w:i/>
          <w:iCs/>
          <w:spacing w:val="2"/>
        </w:rPr>
        <w:t xml:space="preserve"> vom 27. Dezember 2006 (</w:t>
      </w:r>
      <w:r w:rsidR="0014743B" w:rsidRPr="009118AB">
        <w:rPr>
          <w:rFonts w:ascii="Times New Roman Italique" w:hAnsi="Times New Roman Italique"/>
          <w:i/>
          <w:iCs/>
          <w:spacing w:val="2"/>
        </w:rPr>
        <w:t>I</w:t>
      </w:r>
      <w:r w:rsidRPr="009118AB">
        <w:rPr>
          <w:rFonts w:ascii="Times New Roman Italique" w:hAnsi="Times New Roman Italique"/>
          <w:i/>
          <w:iCs/>
          <w:spacing w:val="2"/>
        </w:rPr>
        <w:t>I) (B.S. vom 28. Dezember 2006)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2007</w:t>
      </w:r>
      <w:r w:rsidR="00D67EB8" w:rsidRPr="009118AB">
        <w:rPr>
          <w:rFonts w:ascii="Times New Roman Italique" w:hAnsi="Times New Roman Italique"/>
          <w:i/>
          <w:iCs/>
          <w:spacing w:val="2"/>
        </w:rPr>
        <w:t> - </w:t>
      </w:r>
      <w:r w:rsidR="004800A2" w:rsidRPr="009118AB">
        <w:rPr>
          <w:rFonts w:ascii="Times New Roman Italique" w:hAnsi="Times New Roman Italique"/>
          <w:i/>
          <w:iCs/>
          <w:spacing w:val="2"/>
        </w:rPr>
        <w:t xml:space="preserve">und </w:t>
      </w:r>
      <w:r w:rsidR="005F02C3" w:rsidRPr="009118AB">
        <w:rPr>
          <w:rFonts w:ascii="Times New Roman Italique" w:hAnsi="Times New Roman Italique"/>
          <w:i/>
          <w:iCs/>
          <w:spacing w:val="2"/>
        </w:rPr>
        <w:t xml:space="preserve">ersetzt durch </w:t>
      </w:r>
      <w:r w:rsidR="00D67EB8" w:rsidRPr="009118AB">
        <w:rPr>
          <w:rFonts w:ascii="Times New Roman Italique" w:hAnsi="Times New Roman Italique"/>
          <w:i/>
          <w:iCs/>
          <w:spacing w:val="2"/>
        </w:rPr>
        <w:t>Art. </w:t>
      </w:r>
      <w:r w:rsidR="005F02C3" w:rsidRPr="009118AB">
        <w:rPr>
          <w:rFonts w:ascii="Times New Roman Italique" w:hAnsi="Times New Roman Italique"/>
          <w:i/>
          <w:iCs/>
          <w:spacing w:val="2"/>
        </w:rPr>
        <w:t>102 Buchstabe b)</w:t>
      </w:r>
      <w:r w:rsidR="005F02C3" w:rsidRPr="009118AB">
        <w:rPr>
          <w:i/>
          <w:iCs/>
        </w:rPr>
        <w:t xml:space="preserve"> des G. vom 25. Dezember 2017 (IV) (B.S. vom 29. Dezember 2017)</w:t>
      </w:r>
      <w:r w:rsidR="00D67EB8" w:rsidRPr="009118AB">
        <w:rPr>
          <w:i/>
          <w:iCs/>
        </w:rPr>
        <w:t> - </w:t>
      </w:r>
      <w:r w:rsidR="005F02C3" w:rsidRPr="009118AB">
        <w:rPr>
          <w:i/>
          <w:iCs/>
        </w:rPr>
        <w:t>in Kraft am 29. Dezember 2017</w:t>
      </w:r>
      <w:r w:rsidR="003366D9" w:rsidRPr="009118AB">
        <w:rPr>
          <w:i/>
          <w:iCs/>
        </w:rPr>
        <w:t> -;</w:t>
      </w:r>
      <w:r w:rsidR="0011247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5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325 des G. </w:t>
      </w:r>
      <w:r w:rsidR="00924E2D" w:rsidRPr="009118AB">
        <w:rPr>
          <w:rFonts w:ascii="Times New Roman Italique" w:hAnsi="Times New Roman Italique"/>
          <w:i/>
          <w:iCs/>
          <w:spacing w:val="2"/>
        </w:rPr>
        <w:t xml:space="preserve">(I) </w:t>
      </w:r>
      <w:r w:rsidRPr="009118AB">
        <w:rPr>
          <w:rFonts w:ascii="Times New Roman Italique" w:hAnsi="Times New Roman Italique"/>
          <w:i/>
          <w:iCs/>
          <w:spacing w:val="2"/>
        </w:rPr>
        <w:t>vom 27. Dezember 2006 (</w:t>
      </w:r>
      <w:r w:rsidR="00924E2D" w:rsidRPr="009118AB">
        <w:rPr>
          <w:rFonts w:ascii="Times New Roman Italique" w:hAnsi="Times New Roman Italique"/>
          <w:i/>
          <w:iCs/>
          <w:spacing w:val="2"/>
        </w:rPr>
        <w:t>I</w:t>
      </w:r>
      <w:r w:rsidRPr="009118AB">
        <w:rPr>
          <w:rFonts w:ascii="Times New Roman Italique" w:hAnsi="Times New Roman Italique"/>
          <w:i/>
          <w:iCs/>
          <w:spacing w:val="2"/>
        </w:rPr>
        <w:t>I) (B.S. vom 28. Dezember 2006)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2007</w:t>
      </w:r>
      <w:r w:rsidR="00D67EB8" w:rsidRPr="009118AB">
        <w:rPr>
          <w:rFonts w:ascii="Times New Roman Italique" w:hAnsi="Times New Roman Italique"/>
          <w:i/>
          <w:iCs/>
          <w:spacing w:val="2"/>
        </w:rPr>
        <w:t> - </w:t>
      </w:r>
      <w:r w:rsidR="004800A2" w:rsidRPr="009118AB">
        <w:rPr>
          <w:rFonts w:ascii="Times New Roman Italique" w:hAnsi="Times New Roman Italique"/>
          <w:i/>
          <w:iCs/>
          <w:spacing w:val="2"/>
        </w:rPr>
        <w:t xml:space="preserve">und </w:t>
      </w:r>
      <w:r w:rsidR="005F02C3" w:rsidRPr="009118AB">
        <w:rPr>
          <w:rFonts w:ascii="Times New Roman Italique" w:hAnsi="Times New Roman Italique"/>
          <w:i/>
          <w:iCs/>
          <w:spacing w:val="2"/>
        </w:rPr>
        <w:t xml:space="preserve">aufgehoben durch </w:t>
      </w:r>
      <w:r w:rsidR="00D67EB8" w:rsidRPr="009118AB">
        <w:rPr>
          <w:rFonts w:ascii="Times New Roman Italique" w:hAnsi="Times New Roman Italique"/>
          <w:i/>
          <w:iCs/>
          <w:spacing w:val="2"/>
        </w:rPr>
        <w:t>Art. </w:t>
      </w:r>
      <w:r w:rsidR="005F02C3" w:rsidRPr="009118AB">
        <w:rPr>
          <w:rFonts w:ascii="Times New Roman Italique" w:hAnsi="Times New Roman Italique"/>
          <w:i/>
          <w:iCs/>
          <w:spacing w:val="2"/>
        </w:rPr>
        <w:t>102 Buchstabe c)</w:t>
      </w:r>
      <w:r w:rsidR="005F02C3" w:rsidRPr="009118AB">
        <w:rPr>
          <w:i/>
          <w:iCs/>
        </w:rPr>
        <w:t xml:space="preserve"> des G. vom 25. Dezember 2017 (IV) (B.S. vom 29. Dezember 2017)</w:t>
      </w:r>
      <w:r w:rsidR="00D67EB8" w:rsidRPr="009118AB">
        <w:rPr>
          <w:i/>
          <w:iCs/>
        </w:rPr>
        <w:t> - </w:t>
      </w:r>
      <w:r w:rsidR="005F02C3" w:rsidRPr="009118AB">
        <w:rPr>
          <w:i/>
          <w:iCs/>
        </w:rPr>
        <w:t>in Kraft am 29. Dezember 2017</w:t>
      </w:r>
      <w:r w:rsidR="003366D9" w:rsidRPr="009118AB">
        <w:rPr>
          <w:i/>
          <w:iCs/>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57 des G. vom 15. Dezember 2004 (B.S.</w:t>
      </w:r>
      <w:r w:rsidR="00101102" w:rsidRPr="009118AB">
        <w:rPr>
          <w:rFonts w:ascii="Times New Roman Italique" w:hAnsi="Times New Roman Italique"/>
          <w:i/>
          <w:iCs/>
          <w:spacing w:val="2"/>
        </w:rPr>
        <w:t> </w:t>
      </w:r>
      <w:r w:rsidRPr="009118AB">
        <w:rPr>
          <w:rFonts w:ascii="Times New Roman Italique" w:hAnsi="Times New Roman Italique"/>
          <w:i/>
          <w:iCs/>
          <w:spacing w:val="2"/>
        </w:rPr>
        <w:t>vom 1. Februar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D67EB8" w:rsidRPr="009118AB">
        <w:rPr>
          <w:rFonts w:ascii="Times New Roman Italique" w:hAnsi="Times New Roman Italique"/>
          <w:i/>
          <w:iCs/>
          <w:spacing w:val="2"/>
        </w:rPr>
        <w:t> - </w:t>
      </w:r>
      <w:r w:rsidRPr="009118AB">
        <w:rPr>
          <w:rFonts w:ascii="Times New Roman Italique" w:hAnsi="Times New Roman Italique"/>
          <w:i/>
          <w:iCs/>
          <w:spacing w:val="2"/>
        </w:rPr>
        <w:t xml:space="preserve">und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8 des G.</w:t>
      </w:r>
      <w:r w:rsidR="00101102" w:rsidRPr="009118AB">
        <w:rPr>
          <w:rFonts w:ascii="Times New Roman Italique" w:hAnsi="Times New Roman Italique"/>
          <w:i/>
          <w:iCs/>
          <w:spacing w:val="2"/>
        </w:rPr>
        <w:t> </w:t>
      </w:r>
      <w:r w:rsidRPr="009118AB">
        <w:rPr>
          <w:rFonts w:ascii="Times New Roman Italique" w:hAnsi="Times New Roman Italique"/>
          <w:i/>
          <w:iCs/>
          <w:spacing w:val="2"/>
        </w:rPr>
        <w:t>vom 25. April 2006 (B.S. vom 28. April 2006)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118AB">
        <w:rPr>
          <w:rFonts w:ascii="Times New Roman Italique" w:hAnsi="Times New Roman Italique"/>
          <w:i/>
          <w:iCs/>
          <w:spacing w:val="2"/>
        </w:rPr>
        <w:t> -;</w:t>
      </w:r>
      <w:r w:rsidR="008903DB"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E7692E"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00E7692E" w:rsidRPr="009118AB">
        <w:rPr>
          <w:rFonts w:ascii="Times New Roman Italique" w:hAnsi="Times New Roman Italique"/>
          <w:i/>
          <w:iCs/>
          <w:spacing w:val="2"/>
        </w:rPr>
        <w:t xml:space="preserve">1 und 2 abgeändert durch </w:t>
      </w:r>
      <w:r w:rsidR="00D67EB8" w:rsidRPr="009118AB">
        <w:rPr>
          <w:rFonts w:ascii="Times New Roman Italique" w:hAnsi="Times New Roman Italique"/>
          <w:i/>
          <w:iCs/>
          <w:spacing w:val="2"/>
        </w:rPr>
        <w:t>Art. </w:t>
      </w:r>
      <w:r w:rsidR="00E7692E" w:rsidRPr="009118AB">
        <w:rPr>
          <w:rFonts w:ascii="Times New Roman Italique" w:hAnsi="Times New Roman Italique"/>
          <w:i/>
          <w:iCs/>
          <w:spacing w:val="2"/>
        </w:rPr>
        <w:t>77</w:t>
      </w:r>
      <w:r w:rsidR="00E7692E" w:rsidRPr="009118AB">
        <w:rPr>
          <w:rFonts w:ascii="Times New Roman Italique" w:hAnsi="Times New Roman Italique"/>
          <w:i/>
          <w:spacing w:val="2"/>
        </w:rPr>
        <w:t xml:space="preserve"> des G. vom </w:t>
      </w:r>
      <w:r w:rsidR="00E7692E" w:rsidRPr="009118AB">
        <w:rPr>
          <w:rFonts w:ascii="Times New Roman Italique" w:hAnsi="Times New Roman Italique"/>
          <w:i/>
        </w:rPr>
        <w:t>26. Dezember 2015 (II) (B.S. vom 30. Dezember 2015)</w:t>
      </w:r>
      <w:r w:rsidR="00D67EB8" w:rsidRPr="009118AB">
        <w:rPr>
          <w:rFonts w:ascii="Times New Roman Italique" w:hAnsi="Times New Roman Italique"/>
        </w:rPr>
        <w:t> - </w:t>
      </w:r>
      <w:r w:rsidR="00E7692E" w:rsidRPr="009118AB">
        <w:rPr>
          <w:rFonts w:ascii="Times New Roman Italique" w:hAnsi="Times New Roman Italique"/>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rFonts w:ascii="Times New Roman Italique" w:hAnsi="Times New Roman Italique"/>
          <w:i/>
        </w:rPr>
        <w:t> -;</w:t>
      </w:r>
      <w:r w:rsidR="00E7692E" w:rsidRPr="009118AB">
        <w:rPr>
          <w:rFonts w:ascii="Times New Roman Italique" w:hAnsi="Times New Roman Italique"/>
          <w:i/>
        </w:rPr>
        <w:t xml:space="preserve"> </w:t>
      </w:r>
      <w:r w:rsidR="00D67EB8" w:rsidRPr="009118AB">
        <w:rPr>
          <w:rFonts w:ascii="Times New Roman Italique" w:hAnsi="Times New Roman Italique"/>
          <w:i/>
          <w:iCs/>
        </w:rPr>
        <w:t>Abs. </w:t>
      </w:r>
      <w:r w:rsidR="00112472" w:rsidRPr="009118AB">
        <w:rPr>
          <w:rFonts w:ascii="Times New Roman Italique" w:hAnsi="Times New Roman Italique"/>
          <w:i/>
          <w:iCs/>
        </w:rPr>
        <w:t xml:space="preserve">2 </w:t>
      </w:r>
      <w:r w:rsidR="00D67EB8" w:rsidRPr="009118AB">
        <w:rPr>
          <w:rFonts w:ascii="Times New Roman Italique" w:hAnsi="Times New Roman Italique"/>
          <w:i/>
          <w:iCs/>
        </w:rPr>
        <w:t>Nr. </w:t>
      </w:r>
      <w:r w:rsidR="0037702C" w:rsidRPr="009118AB">
        <w:rPr>
          <w:rFonts w:ascii="Times New Roman Italique" w:hAnsi="Times New Roman Italique"/>
          <w:i/>
          <w:iCs/>
        </w:rPr>
        <w:t xml:space="preserve">3 eingefügt </w:t>
      </w:r>
      <w:r w:rsidR="00112472" w:rsidRPr="009118AB">
        <w:rPr>
          <w:rFonts w:ascii="Times New Roman Italique" w:hAnsi="Times New Roman Italique"/>
          <w:i/>
        </w:rPr>
        <w:t xml:space="preserve">durch </w:t>
      </w:r>
      <w:r w:rsidR="00D67EB8" w:rsidRPr="009118AB">
        <w:rPr>
          <w:rFonts w:ascii="Times New Roman Italique" w:hAnsi="Times New Roman Italique"/>
          <w:i/>
        </w:rPr>
        <w:t>Art. </w:t>
      </w:r>
      <w:r w:rsidR="00ED3F33" w:rsidRPr="009118AB">
        <w:rPr>
          <w:rFonts w:ascii="Times New Roman Italique" w:hAnsi="Times New Roman Italique"/>
          <w:i/>
        </w:rPr>
        <w:t>159</w:t>
      </w:r>
      <w:r w:rsidR="004F7F42" w:rsidRPr="009118AB">
        <w:rPr>
          <w:rFonts w:ascii="Times New Roman Italique" w:hAnsi="Times New Roman Italique"/>
          <w:i/>
        </w:rPr>
        <w:t xml:space="preserve"> des G. vom 27.</w:t>
      </w:r>
      <w:r w:rsidR="004F7F42" w:rsidRPr="009118AB">
        <w:rPr>
          <w:rFonts w:ascii="Times New Roman Italique" w:hAnsi="Times New Roman Italique" w:hint="eastAsia"/>
          <w:i/>
        </w:rPr>
        <w:t> </w:t>
      </w:r>
      <w:r w:rsidR="006D6E67" w:rsidRPr="009118AB">
        <w:rPr>
          <w:rFonts w:ascii="Times New Roman Italique" w:hAnsi="Times New Roman Italique"/>
          <w:i/>
        </w:rPr>
        <w:t>April 2007</w:t>
      </w:r>
      <w:r w:rsidR="00E9592B" w:rsidRPr="009118AB">
        <w:rPr>
          <w:rFonts w:ascii="Times New Roman Italique" w:hAnsi="Times New Roman Italique"/>
          <w:i/>
        </w:rPr>
        <w:t xml:space="preserve"> (I) </w:t>
      </w:r>
      <w:r w:rsidR="00112472" w:rsidRPr="009118AB">
        <w:rPr>
          <w:rFonts w:ascii="Times New Roman Italique" w:hAnsi="Times New Roman Italique"/>
          <w:i/>
        </w:rPr>
        <w:t>(B.S. vom 8. </w:t>
      </w:r>
      <w:r w:rsidR="006D6E67" w:rsidRPr="009118AB">
        <w:rPr>
          <w:rFonts w:ascii="Times New Roman Italique" w:hAnsi="Times New Roman Italique"/>
          <w:i/>
        </w:rPr>
        <w:t>Mai</w:t>
      </w:r>
      <w:r w:rsidR="00112472" w:rsidRPr="009118AB">
        <w:rPr>
          <w:rFonts w:ascii="Times New Roman Italique" w:hAnsi="Times New Roman Italique" w:hint="eastAsia"/>
          <w:i/>
        </w:rPr>
        <w:t> </w:t>
      </w:r>
      <w:r w:rsidR="006D6E67" w:rsidRPr="009118AB">
        <w:rPr>
          <w:rFonts w:ascii="Times New Roman Italique" w:hAnsi="Times New Roman Italique"/>
          <w:i/>
        </w:rPr>
        <w:t>2007)</w:t>
      </w:r>
      <w:r w:rsidR="00D67EB8" w:rsidRPr="009118AB">
        <w:rPr>
          <w:rFonts w:ascii="Times New Roman Italique" w:hAnsi="Times New Roman Italique"/>
          <w:i/>
          <w:iCs/>
        </w:rPr>
        <w:t> - </w:t>
      </w:r>
      <w:r w:rsidR="0037702C" w:rsidRPr="009118AB">
        <w:rPr>
          <w:rFonts w:ascii="Times New Roman Italique" w:hAnsi="Times New Roman Italique"/>
          <w:i/>
          <w:iCs/>
        </w:rPr>
        <w:t xml:space="preserve">anwendbar </w:t>
      </w:r>
      <w:r w:rsidR="0037702C" w:rsidRPr="009118AB">
        <w:rPr>
          <w:rFonts w:ascii="Times New Roman Italique" w:hAnsi="Times New Roman Italique"/>
          <w:i/>
        </w:rPr>
        <w:t>auf die ab dem 1. Januar 2007 gezahlten oder zuerkannten Zinsen</w:t>
      </w:r>
      <w:r w:rsidR="003366D9" w:rsidRPr="009118AB">
        <w:rPr>
          <w:rFonts w:ascii="Times New Roman Italique" w:hAnsi="Times New Roman Italique"/>
          <w:i/>
          <w:spacing w:val="2"/>
        </w:rPr>
        <w:t> -;</w:t>
      </w:r>
      <w:r w:rsidR="00BC2C36" w:rsidRPr="009118AB">
        <w:rPr>
          <w:rFonts w:ascii="Times New Roman Italique" w:hAnsi="Times New Roman Italique"/>
          <w:i/>
          <w:spacing w:val="2"/>
        </w:rPr>
        <w:t xml:space="preserve"> </w:t>
      </w:r>
      <w:r w:rsidR="00D67EB8" w:rsidRPr="009118AB">
        <w:rPr>
          <w:rFonts w:ascii="Times New Roman Italique" w:hAnsi="Times New Roman Italique"/>
          <w:i/>
          <w:spacing w:val="2"/>
        </w:rPr>
        <w:t>Abs. </w:t>
      </w:r>
      <w:r w:rsidR="00BC2C36" w:rsidRPr="009118AB">
        <w:rPr>
          <w:rFonts w:ascii="Times New Roman Italique" w:hAnsi="Times New Roman Italique"/>
          <w:i/>
          <w:spacing w:val="2"/>
        </w:rPr>
        <w:t xml:space="preserve">2 </w:t>
      </w:r>
      <w:r w:rsidR="00D67EB8" w:rsidRPr="009118AB">
        <w:rPr>
          <w:rFonts w:ascii="Times New Roman Italique" w:hAnsi="Times New Roman Italique"/>
          <w:i/>
          <w:spacing w:val="2"/>
        </w:rPr>
        <w:t>Nr. </w:t>
      </w:r>
      <w:r w:rsidR="00BC2C36" w:rsidRPr="009118AB">
        <w:rPr>
          <w:rFonts w:ascii="Times New Roman Italique" w:hAnsi="Times New Roman Italique"/>
          <w:i/>
          <w:spacing w:val="2"/>
        </w:rPr>
        <w:t>3</w:t>
      </w:r>
      <w:r w:rsidR="00E7692E" w:rsidRPr="009118AB">
        <w:rPr>
          <w:rFonts w:ascii="Times New Roman Italique" w:hAnsi="Times New Roman Italique"/>
          <w:i/>
          <w:spacing w:val="2"/>
        </w:rPr>
        <w:t xml:space="preserve"> </w:t>
      </w:r>
      <w:r w:rsidR="00FD6FFB" w:rsidRPr="009118AB">
        <w:rPr>
          <w:rFonts w:ascii="Times New Roman Italique" w:hAnsi="Times New Roman Italique"/>
          <w:i/>
          <w:spacing w:val="2"/>
        </w:rPr>
        <w:t xml:space="preserve">einziger Absatz </w:t>
      </w:r>
      <w:r w:rsidR="00BC2C36" w:rsidRPr="009118AB">
        <w:rPr>
          <w:rFonts w:ascii="Times New Roman Italique" w:hAnsi="Times New Roman Italique"/>
          <w:i/>
          <w:spacing w:val="2"/>
        </w:rPr>
        <w:t xml:space="preserve">erster Gedankenstrich ersetzt durch </w:t>
      </w:r>
      <w:r w:rsidR="00D67EB8" w:rsidRPr="009118AB">
        <w:rPr>
          <w:rFonts w:ascii="Times New Roman Italique" w:hAnsi="Times New Roman Italique"/>
          <w:i/>
          <w:spacing w:val="2"/>
        </w:rPr>
        <w:t>Art. </w:t>
      </w:r>
      <w:r w:rsidR="00BC2C36" w:rsidRPr="009118AB">
        <w:rPr>
          <w:rFonts w:ascii="Times New Roman Italique" w:hAnsi="Times New Roman Italique"/>
          <w:i/>
          <w:spacing w:val="2"/>
        </w:rPr>
        <w:t xml:space="preserve">7 </w:t>
      </w:r>
      <w:r w:rsidR="00D67EB8" w:rsidRPr="009118AB">
        <w:rPr>
          <w:rFonts w:ascii="Times New Roman Italique" w:hAnsi="Times New Roman Italique"/>
          <w:i/>
          <w:spacing w:val="2"/>
        </w:rPr>
        <w:t>Nr. </w:t>
      </w:r>
      <w:r w:rsidR="00BC2C36" w:rsidRPr="009118AB">
        <w:rPr>
          <w:rFonts w:ascii="Times New Roman Italique" w:hAnsi="Times New Roman Italique"/>
          <w:i/>
          <w:spacing w:val="2"/>
        </w:rPr>
        <w:t>1</w:t>
      </w:r>
      <w:r w:rsidR="00E7692E" w:rsidRPr="009118AB">
        <w:rPr>
          <w:rFonts w:ascii="Times New Roman Italique" w:hAnsi="Times New Roman Italique"/>
          <w:i/>
          <w:iCs/>
          <w:spacing w:val="2"/>
        </w:rPr>
        <w:t xml:space="preserve"> des G. (I) vom 24. Juli 2008 </w:t>
      </w:r>
      <w:r w:rsidR="00BC2C36" w:rsidRPr="009118AB">
        <w:rPr>
          <w:rFonts w:ascii="Times New Roman Italique" w:hAnsi="Times New Roman Italique"/>
          <w:i/>
          <w:iCs/>
          <w:spacing w:val="2"/>
        </w:rPr>
        <w:t>(I) (B.S. vom 7. August 2008)</w:t>
      </w:r>
      <w:r w:rsidR="00D67EB8" w:rsidRPr="009118AB">
        <w:rPr>
          <w:rFonts w:ascii="Times New Roman Italique" w:hAnsi="Times New Roman Italique"/>
          <w:i/>
          <w:iCs/>
          <w:spacing w:val="2"/>
        </w:rPr>
        <w:t> - </w:t>
      </w:r>
      <w:r w:rsidR="00BC2C36" w:rsidRPr="009118AB">
        <w:rPr>
          <w:rFonts w:ascii="Times New Roman Italique" w:hAnsi="Times New Roman Italique"/>
          <w:i/>
          <w:iCs/>
          <w:spacing w:val="2"/>
        </w:rPr>
        <w:t>wirksam auf die ab dem 1. Januar 2007 gezahlten oder zuerkannten Zinsen</w:t>
      </w:r>
      <w:r w:rsidR="00D67EB8" w:rsidRPr="009118AB">
        <w:rPr>
          <w:rFonts w:ascii="Times New Roman Italique" w:hAnsi="Times New Roman Italique"/>
          <w:i/>
          <w:iCs/>
          <w:spacing w:val="2"/>
        </w:rPr>
        <w:t> - </w:t>
      </w:r>
      <w:r w:rsidR="004800A2"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4800A2" w:rsidRPr="009118AB">
        <w:rPr>
          <w:rFonts w:ascii="Times New Roman Italique" w:hAnsi="Times New Roman Italique"/>
          <w:i/>
          <w:iCs/>
          <w:spacing w:val="2"/>
        </w:rPr>
        <w:t xml:space="preserve">26 Buchstabe d) des G. vom 18. Dezember 2015 (II) (B.S. </w:t>
      </w:r>
      <w:r w:rsidR="004800A2" w:rsidRPr="009118AB">
        <w:rPr>
          <w:rFonts w:ascii="Times New Roman Italique" w:hAnsi="Times New Roman Italique"/>
          <w:i/>
          <w:iCs/>
          <w:spacing w:val="2"/>
        </w:rPr>
        <w:lastRenderedPageBreak/>
        <w:t>vom 28. Dezember 2015)</w:t>
      </w:r>
      <w:r w:rsidR="00AF345D" w:rsidRPr="009118AB">
        <w:rPr>
          <w:i/>
          <w:iCs/>
          <w:sz w:val="20"/>
          <w:szCs w:val="20"/>
        </w:rPr>
        <w:t xml:space="preserve"> </w:t>
      </w:r>
      <w:r w:rsidR="00AF345D"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AF345D" w:rsidRPr="009118AB">
        <w:rPr>
          <w:rFonts w:ascii="Times New Roman Italique" w:hAnsi="Times New Roman Italique"/>
          <w:i/>
          <w:iCs/>
          <w:spacing w:val="2"/>
        </w:rPr>
        <w:t>51 Buchstabe</w:t>
      </w:r>
      <w:r w:rsidR="00AF345D" w:rsidRPr="009118AB">
        <w:rPr>
          <w:rFonts w:ascii="Times New Roman Italique" w:hAnsi="Times New Roman Italique" w:hint="eastAsia"/>
          <w:i/>
          <w:iCs/>
          <w:spacing w:val="2"/>
        </w:rPr>
        <w:t> </w:t>
      </w:r>
      <w:r w:rsidR="00AF345D" w:rsidRPr="009118AB">
        <w:rPr>
          <w:rFonts w:ascii="Times New Roman Italique" w:hAnsi="Times New Roman Italique"/>
          <w:i/>
          <w:iCs/>
          <w:spacing w:val="2"/>
        </w:rPr>
        <w:t>a)</w:t>
      </w:r>
      <w:r w:rsidR="00AF345D" w:rsidRPr="009118AB">
        <w:rPr>
          <w:rFonts w:ascii="Times New Roman Italique" w:hAnsi="Times New Roman Italique"/>
          <w:bCs/>
          <w:i/>
          <w:iCs/>
          <w:spacing w:val="2"/>
        </w:rPr>
        <w:t xml:space="preserve"> des G. vom 21. Januar 2022 (B.S. vom 28. Januar 2022)</w:t>
      </w:r>
      <w:r w:rsidR="00D67EB8" w:rsidRPr="009118AB">
        <w:rPr>
          <w:rFonts w:ascii="Times New Roman Italique" w:hAnsi="Times New Roman Italique"/>
          <w:bCs/>
          <w:i/>
          <w:iCs/>
          <w:spacing w:val="2"/>
        </w:rPr>
        <w:t> - </w:t>
      </w:r>
      <w:r w:rsidR="00AF345D" w:rsidRPr="009118AB">
        <w:rPr>
          <w:rFonts w:ascii="Times New Roman Italique" w:hAnsi="Times New Roman Italique"/>
          <w:bCs/>
          <w:i/>
          <w:iCs/>
          <w:spacing w:val="2"/>
        </w:rPr>
        <w:t>wirksam mit 1.</w:t>
      </w:r>
      <w:r w:rsidR="00AF345D" w:rsidRPr="009118AB">
        <w:rPr>
          <w:rFonts w:ascii="Times New Roman Italique" w:hAnsi="Times New Roman Italique" w:hint="eastAsia"/>
          <w:bCs/>
          <w:i/>
          <w:iCs/>
          <w:spacing w:val="2"/>
        </w:rPr>
        <w:t> </w:t>
      </w:r>
      <w:r w:rsidR="00AF345D" w:rsidRPr="009118AB">
        <w:rPr>
          <w:rFonts w:ascii="Times New Roman Italique" w:hAnsi="Times New Roman Italique"/>
          <w:bCs/>
          <w:i/>
          <w:iCs/>
          <w:spacing w:val="2"/>
        </w:rPr>
        <w:t>Januar</w:t>
      </w:r>
      <w:r w:rsidR="00AF345D" w:rsidRPr="009118AB">
        <w:rPr>
          <w:rFonts w:ascii="Times New Roman Italique" w:hAnsi="Times New Roman Italique" w:hint="eastAsia"/>
          <w:bCs/>
          <w:i/>
          <w:iCs/>
          <w:spacing w:val="2"/>
        </w:rPr>
        <w:t> </w:t>
      </w:r>
      <w:r w:rsidR="00AF345D" w:rsidRPr="009118AB">
        <w:rPr>
          <w:rFonts w:ascii="Times New Roman Italique" w:hAnsi="Times New Roman Italique"/>
          <w:bCs/>
          <w:i/>
          <w:iCs/>
          <w:spacing w:val="2"/>
        </w:rPr>
        <w:t>2022</w:t>
      </w:r>
      <w:r w:rsidR="003366D9" w:rsidRPr="009118AB">
        <w:rPr>
          <w:rFonts w:ascii="Times New Roman Italique" w:hAnsi="Times New Roman Italique"/>
          <w:bCs/>
          <w:i/>
          <w:iCs/>
          <w:spacing w:val="2"/>
        </w:rPr>
        <w:t> -;</w:t>
      </w:r>
      <w:r w:rsidR="0011247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112472"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00F06F12" w:rsidRPr="009118AB">
        <w:rPr>
          <w:rFonts w:ascii="Times New Roman Italique" w:hAnsi="Times New Roman Italique"/>
          <w:i/>
          <w:iCs/>
          <w:spacing w:val="2"/>
        </w:rPr>
        <w:t xml:space="preserve">3 </w:t>
      </w:r>
      <w:r w:rsidR="00FD6FFB" w:rsidRPr="009118AB">
        <w:rPr>
          <w:rFonts w:ascii="Times New Roman Italique" w:hAnsi="Times New Roman Italique"/>
          <w:i/>
          <w:spacing w:val="2"/>
        </w:rPr>
        <w:t xml:space="preserve">einziger Absatz </w:t>
      </w:r>
      <w:r w:rsidR="00F06F12" w:rsidRPr="009118AB">
        <w:rPr>
          <w:rFonts w:ascii="Times New Roman Italique" w:hAnsi="Times New Roman Italique"/>
          <w:i/>
          <w:iCs/>
          <w:spacing w:val="2"/>
        </w:rPr>
        <w:t xml:space="preserve">zweiter Gedankenstrich </w:t>
      </w:r>
      <w:r w:rsidR="006800A6" w:rsidRPr="009118AB">
        <w:rPr>
          <w:rFonts w:ascii="Times New Roman Italique" w:hAnsi="Times New Roman Italique"/>
          <w:i/>
          <w:iCs/>
          <w:spacing w:val="2"/>
        </w:rPr>
        <w:t xml:space="preserve">einziger Absatz </w:t>
      </w:r>
      <w:r w:rsidR="00F06F12" w:rsidRPr="009118AB">
        <w:rPr>
          <w:rFonts w:ascii="Times New Roman Italique" w:hAnsi="Times New Roman Italique"/>
          <w:i/>
          <w:iCs/>
          <w:spacing w:val="2"/>
        </w:rPr>
        <w:t>Buchstabe</w:t>
      </w:r>
      <w:r w:rsidR="00AF345D" w:rsidRPr="009118AB">
        <w:rPr>
          <w:rFonts w:ascii="Times New Roman Italique" w:hAnsi="Times New Roman Italique" w:hint="eastAsia"/>
          <w:i/>
          <w:iCs/>
          <w:spacing w:val="2"/>
        </w:rPr>
        <w:t> </w:t>
      </w:r>
      <w:r w:rsidR="00F06F12" w:rsidRPr="009118AB">
        <w:rPr>
          <w:rFonts w:ascii="Times New Roman Italique" w:hAnsi="Times New Roman Italique"/>
          <w:i/>
          <w:iCs/>
          <w:spacing w:val="2"/>
        </w:rPr>
        <w:t xml:space="preserve">a) abgeändert </w:t>
      </w:r>
      <w:r w:rsidR="00F06F12" w:rsidRPr="009118AB">
        <w:rPr>
          <w:rFonts w:ascii="Times New Roman Italique" w:hAnsi="Times New Roman Italique"/>
          <w:i/>
          <w:spacing w:val="2"/>
        </w:rPr>
        <w:t xml:space="preserve">durch </w:t>
      </w:r>
      <w:r w:rsidR="00D67EB8" w:rsidRPr="009118AB">
        <w:rPr>
          <w:rFonts w:ascii="Times New Roman Italique" w:hAnsi="Times New Roman Italique"/>
          <w:i/>
          <w:spacing w:val="2"/>
        </w:rPr>
        <w:t>Art. </w:t>
      </w:r>
      <w:r w:rsidR="00F06F12" w:rsidRPr="009118AB">
        <w:rPr>
          <w:rFonts w:ascii="Times New Roman Italique" w:hAnsi="Times New Roman Italique"/>
          <w:i/>
          <w:spacing w:val="2"/>
        </w:rPr>
        <w:t xml:space="preserve">7 </w:t>
      </w:r>
      <w:r w:rsidR="00D67EB8" w:rsidRPr="009118AB">
        <w:rPr>
          <w:rFonts w:ascii="Times New Roman Italique" w:hAnsi="Times New Roman Italique"/>
          <w:i/>
          <w:spacing w:val="2"/>
        </w:rPr>
        <w:t>Nr. </w:t>
      </w:r>
      <w:r w:rsidR="00F06F12" w:rsidRPr="009118AB">
        <w:rPr>
          <w:rFonts w:ascii="Times New Roman Italique" w:hAnsi="Times New Roman Italique"/>
          <w:i/>
          <w:spacing w:val="2"/>
        </w:rPr>
        <w:t>2</w:t>
      </w:r>
      <w:r w:rsidR="00F06F12" w:rsidRPr="009118AB">
        <w:rPr>
          <w:rFonts w:ascii="Times New Roman Italique" w:hAnsi="Times New Roman Italique"/>
          <w:i/>
          <w:iCs/>
          <w:spacing w:val="2"/>
        </w:rPr>
        <w:t xml:space="preserve"> des G.</w:t>
      </w:r>
      <w:r w:rsidR="00D67EB8" w:rsidRPr="009118AB">
        <w:rPr>
          <w:rFonts w:ascii="Times New Roman Italique" w:hAnsi="Times New Roman Italique"/>
          <w:i/>
          <w:iCs/>
          <w:spacing w:val="2"/>
        </w:rPr>
        <w:t> - </w:t>
      </w:r>
      <w:r w:rsidR="00F06F12" w:rsidRPr="009118AB">
        <w:rPr>
          <w:rFonts w:ascii="Times New Roman Italique" w:hAnsi="Times New Roman Italique"/>
          <w:i/>
          <w:iCs/>
          <w:spacing w:val="2"/>
        </w:rPr>
        <w:t>(I) vom 24. Juli 2008</w:t>
      </w:r>
      <w:r w:rsidR="00AF345D" w:rsidRPr="009118AB">
        <w:rPr>
          <w:rFonts w:ascii="Times New Roman Italique" w:hAnsi="Times New Roman Italique" w:hint="eastAsia"/>
          <w:i/>
          <w:iCs/>
          <w:spacing w:val="2"/>
        </w:rPr>
        <w:t> </w:t>
      </w:r>
      <w:r w:rsidR="00F06F12" w:rsidRPr="009118AB">
        <w:rPr>
          <w:rFonts w:ascii="Times New Roman Italique" w:hAnsi="Times New Roman Italique"/>
          <w:i/>
          <w:iCs/>
          <w:spacing w:val="2"/>
        </w:rPr>
        <w:t>(I) (B.S</w:t>
      </w:r>
      <w:r w:rsidR="00AF345D" w:rsidRPr="009118AB">
        <w:rPr>
          <w:rFonts w:ascii="Times New Roman Italique" w:hAnsi="Times New Roman Italique"/>
          <w:i/>
          <w:iCs/>
          <w:spacing w:val="2"/>
        </w:rPr>
        <w:t xml:space="preserve"> </w:t>
      </w:r>
      <w:r w:rsidR="00F06F12" w:rsidRPr="009118AB">
        <w:rPr>
          <w:rFonts w:ascii="Times New Roman Italique" w:hAnsi="Times New Roman Italique"/>
          <w:i/>
          <w:iCs/>
          <w:spacing w:val="2"/>
        </w:rPr>
        <w:t>vom 7. August 2008)</w:t>
      </w:r>
      <w:r w:rsidR="00D67EB8" w:rsidRPr="009118AB">
        <w:rPr>
          <w:rFonts w:ascii="Times New Roman Italique" w:hAnsi="Times New Roman Italique"/>
          <w:i/>
          <w:iCs/>
          <w:spacing w:val="2"/>
        </w:rPr>
        <w:t> - </w:t>
      </w:r>
      <w:r w:rsidR="00F06F12" w:rsidRPr="009118AB">
        <w:rPr>
          <w:rFonts w:ascii="Times New Roman Italique" w:hAnsi="Times New Roman Italique"/>
          <w:i/>
          <w:iCs/>
          <w:spacing w:val="2"/>
        </w:rPr>
        <w:t>wirksam auf die ab dem 1. Januar 2007 gezahlten oder zuerkannten Zinsen</w:t>
      </w:r>
      <w:r w:rsidR="00FD68E8" w:rsidRPr="009118AB">
        <w:rPr>
          <w:rFonts w:ascii="Times New Roman Italique" w:hAnsi="Times New Roman Italique"/>
          <w:i/>
          <w:iCs/>
          <w:spacing w:val="2"/>
        </w:rPr>
        <w:t> </w:t>
      </w:r>
      <w:r w:rsidR="00FD68E8" w:rsidRPr="009118AB">
        <w:rPr>
          <w:rFonts w:ascii="Times New Roman Italique" w:hAnsi="Times New Roman Italique" w:hint="eastAsia"/>
          <w:i/>
          <w:iCs/>
          <w:spacing w:val="2"/>
        </w:rPr>
        <w:t>-,</w:t>
      </w:r>
      <w:r w:rsidR="004800A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4800A2" w:rsidRPr="009118AB">
        <w:rPr>
          <w:rFonts w:ascii="Times New Roman Italique" w:hAnsi="Times New Roman Italique"/>
          <w:i/>
          <w:iCs/>
          <w:spacing w:val="2"/>
        </w:rPr>
        <w:t>26 Buchstabe e) des G. vom 18. Dezember 2015 (II) (B.S. vom 28. Dezember 2015</w:t>
      </w:r>
      <w:r w:rsidR="00CF7BB6" w:rsidRPr="009118AB">
        <w:rPr>
          <w:rFonts w:ascii="Times New Roman Italique" w:hAnsi="Times New Roman Italique"/>
          <w:i/>
          <w:iCs/>
          <w:spacing w:val="2"/>
        </w:rPr>
        <w:t>)</w:t>
      </w:r>
      <w:r w:rsidR="00AF345D" w:rsidRPr="009118AB">
        <w:rPr>
          <w:rFonts w:ascii="Times New Roman Italique" w:hAnsi="Times New Roman Italique"/>
          <w:i/>
          <w:iCs/>
          <w:spacing w:val="2"/>
        </w:rPr>
        <w:t xml:space="preserve"> und </w:t>
      </w:r>
      <w:r w:rsidR="00D67EB8" w:rsidRPr="009118AB">
        <w:rPr>
          <w:rFonts w:ascii="Times New Roman Italique" w:hAnsi="Times New Roman Italique"/>
          <w:i/>
          <w:iCs/>
          <w:spacing w:val="2"/>
        </w:rPr>
        <w:t>Art. </w:t>
      </w:r>
      <w:r w:rsidR="00AF345D" w:rsidRPr="009118AB">
        <w:rPr>
          <w:rFonts w:ascii="Times New Roman Italique" w:hAnsi="Times New Roman Italique"/>
          <w:i/>
          <w:iCs/>
          <w:spacing w:val="2"/>
        </w:rPr>
        <w:t>51 Buchstabe b)</w:t>
      </w:r>
      <w:r w:rsidR="00AF345D" w:rsidRPr="009118AB">
        <w:rPr>
          <w:rFonts w:ascii="Times New Roman Italique" w:hAnsi="Times New Roman Italique"/>
          <w:bCs/>
          <w:i/>
          <w:iCs/>
          <w:spacing w:val="2"/>
        </w:rPr>
        <w:t xml:space="preserve"> des G. vom 21. Januar 2022 (B.S. vom 28. Januar 2022)</w:t>
      </w:r>
      <w:r w:rsidR="00D67EB8" w:rsidRPr="009118AB">
        <w:rPr>
          <w:rFonts w:ascii="Times New Roman Italique" w:hAnsi="Times New Roman Italique"/>
          <w:bCs/>
          <w:i/>
          <w:iCs/>
          <w:spacing w:val="2"/>
        </w:rPr>
        <w:t> - </w:t>
      </w:r>
      <w:r w:rsidR="00AF345D" w:rsidRPr="009118AB">
        <w:rPr>
          <w:rFonts w:ascii="Times New Roman Italique" w:hAnsi="Times New Roman Italique"/>
          <w:bCs/>
          <w:i/>
          <w:iCs/>
          <w:spacing w:val="2"/>
        </w:rPr>
        <w:t>wirksam mit 1. Januar 2022</w:t>
      </w:r>
      <w:r w:rsidR="003366D9" w:rsidRPr="009118AB">
        <w:rPr>
          <w:rFonts w:ascii="Times New Roman Italique" w:hAnsi="Times New Roman Italique"/>
          <w:bCs/>
          <w:i/>
          <w:iCs/>
          <w:spacing w:val="2"/>
        </w:rPr>
        <w:t> -;</w:t>
      </w:r>
      <w:r w:rsidR="00F06F1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F06F12"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00F06F12" w:rsidRPr="009118AB">
        <w:rPr>
          <w:rFonts w:ascii="Times New Roman Italique" w:hAnsi="Times New Roman Italique"/>
          <w:i/>
          <w:iCs/>
          <w:spacing w:val="2"/>
        </w:rPr>
        <w:t xml:space="preserve">3 </w:t>
      </w:r>
      <w:r w:rsidR="00FD6FFB" w:rsidRPr="009118AB">
        <w:rPr>
          <w:rFonts w:ascii="Times New Roman Italique" w:hAnsi="Times New Roman Italique"/>
          <w:i/>
          <w:spacing w:val="2"/>
        </w:rPr>
        <w:t xml:space="preserve">einziger Absatz </w:t>
      </w:r>
      <w:r w:rsidR="00F06F12" w:rsidRPr="009118AB">
        <w:rPr>
          <w:rFonts w:ascii="Times New Roman Italique" w:hAnsi="Times New Roman Italique"/>
          <w:i/>
          <w:iCs/>
          <w:spacing w:val="2"/>
        </w:rPr>
        <w:t xml:space="preserve">zweiter Gedankenstrich </w:t>
      </w:r>
      <w:r w:rsidR="004A044D" w:rsidRPr="009118AB">
        <w:rPr>
          <w:rFonts w:ascii="Times New Roman Italique" w:hAnsi="Times New Roman Italique"/>
          <w:i/>
          <w:iCs/>
          <w:spacing w:val="2"/>
        </w:rPr>
        <w:t xml:space="preserve">einziger Absatz </w:t>
      </w:r>
      <w:r w:rsidR="00F06F12" w:rsidRPr="009118AB">
        <w:rPr>
          <w:rFonts w:ascii="Times New Roman Italique" w:hAnsi="Times New Roman Italique"/>
          <w:i/>
          <w:iCs/>
          <w:spacing w:val="2"/>
        </w:rPr>
        <w:t>Buchstabe</w:t>
      </w:r>
      <w:r w:rsidR="00AF345D" w:rsidRPr="009118AB">
        <w:rPr>
          <w:rFonts w:ascii="Times New Roman Italique" w:hAnsi="Times New Roman Italique" w:hint="eastAsia"/>
          <w:i/>
          <w:iCs/>
          <w:spacing w:val="2"/>
        </w:rPr>
        <w:t> </w:t>
      </w:r>
      <w:r w:rsidR="00F06F12" w:rsidRPr="009118AB">
        <w:rPr>
          <w:rFonts w:ascii="Times New Roman Italique" w:hAnsi="Times New Roman Italique"/>
          <w:i/>
          <w:iCs/>
          <w:spacing w:val="2"/>
        </w:rPr>
        <w:t xml:space="preserve">b) ersetzt </w:t>
      </w:r>
      <w:r w:rsidR="00F06F12" w:rsidRPr="009118AB">
        <w:rPr>
          <w:rFonts w:ascii="Times New Roman Italique" w:hAnsi="Times New Roman Italique"/>
          <w:i/>
          <w:spacing w:val="2"/>
        </w:rPr>
        <w:t xml:space="preserve">durch </w:t>
      </w:r>
      <w:r w:rsidR="00D67EB8" w:rsidRPr="009118AB">
        <w:rPr>
          <w:rFonts w:ascii="Times New Roman Italique" w:hAnsi="Times New Roman Italique"/>
          <w:i/>
          <w:spacing w:val="2"/>
        </w:rPr>
        <w:t>Art. </w:t>
      </w:r>
      <w:r w:rsidR="00F06F12" w:rsidRPr="009118AB">
        <w:rPr>
          <w:rFonts w:ascii="Times New Roman Italique" w:hAnsi="Times New Roman Italique"/>
          <w:i/>
          <w:spacing w:val="2"/>
        </w:rPr>
        <w:t xml:space="preserve">7 </w:t>
      </w:r>
      <w:r w:rsidR="00D67EB8" w:rsidRPr="009118AB">
        <w:rPr>
          <w:rFonts w:ascii="Times New Roman Italique" w:hAnsi="Times New Roman Italique"/>
          <w:i/>
          <w:spacing w:val="2"/>
        </w:rPr>
        <w:t>Nr. </w:t>
      </w:r>
      <w:r w:rsidR="004A044D" w:rsidRPr="009118AB">
        <w:rPr>
          <w:rFonts w:ascii="Times New Roman Italique" w:hAnsi="Times New Roman Italique"/>
          <w:i/>
          <w:spacing w:val="2"/>
        </w:rPr>
        <w:t>3</w:t>
      </w:r>
      <w:r w:rsidR="00112472" w:rsidRPr="009118AB">
        <w:rPr>
          <w:rFonts w:ascii="Times New Roman Italique" w:hAnsi="Times New Roman Italique"/>
          <w:i/>
          <w:iCs/>
          <w:spacing w:val="2"/>
        </w:rPr>
        <w:t xml:space="preserve"> des G. </w:t>
      </w:r>
      <w:r w:rsidR="00FD6FFB" w:rsidRPr="009118AB">
        <w:rPr>
          <w:rFonts w:ascii="Times New Roman Italique" w:hAnsi="Times New Roman Italique"/>
          <w:i/>
          <w:iCs/>
          <w:spacing w:val="2"/>
        </w:rPr>
        <w:t>(I) vom 24. Juli 2008 </w:t>
      </w:r>
      <w:r w:rsidR="00F06F12" w:rsidRPr="009118AB">
        <w:rPr>
          <w:rFonts w:ascii="Times New Roman Italique" w:hAnsi="Times New Roman Italique"/>
          <w:i/>
          <w:iCs/>
          <w:spacing w:val="2"/>
        </w:rPr>
        <w:t>(I) (B.S. vom 7. August 2008)</w:t>
      </w:r>
      <w:r w:rsidR="00D67EB8" w:rsidRPr="009118AB">
        <w:rPr>
          <w:rFonts w:ascii="Times New Roman Italique" w:hAnsi="Times New Roman Italique"/>
          <w:i/>
          <w:iCs/>
          <w:spacing w:val="2"/>
        </w:rPr>
        <w:t> - </w:t>
      </w:r>
      <w:r w:rsidR="00F06F12" w:rsidRPr="009118AB">
        <w:rPr>
          <w:rFonts w:ascii="Times New Roman Italique" w:hAnsi="Times New Roman Italique"/>
          <w:i/>
          <w:iCs/>
          <w:spacing w:val="2"/>
        </w:rPr>
        <w:t>wirksam auf die ab dem 1. Januar 2007 gezahlten oder zuerkannten Zinsen</w:t>
      </w:r>
      <w:r w:rsidR="003366D9" w:rsidRPr="009118AB">
        <w:rPr>
          <w:rFonts w:ascii="Times New Roman Italique" w:hAnsi="Times New Roman Italique"/>
          <w:i/>
          <w:iCs/>
          <w:spacing w:val="2"/>
        </w:rPr>
        <w:t> -;</w:t>
      </w:r>
      <w:r w:rsidR="00CF7BB6"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AF345D"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00AF345D" w:rsidRPr="009118AB">
        <w:rPr>
          <w:rFonts w:ascii="Times New Roman Italique" w:hAnsi="Times New Roman Italique"/>
          <w:i/>
          <w:iCs/>
          <w:spacing w:val="2"/>
        </w:rPr>
        <w:t xml:space="preserve">3 einziger Absatz zweiter Gedankenstrich </w:t>
      </w:r>
      <w:r w:rsidR="00703FD5" w:rsidRPr="009118AB">
        <w:rPr>
          <w:rFonts w:ascii="Times New Roman Italique" w:hAnsi="Times New Roman Italique"/>
          <w:i/>
          <w:iCs/>
          <w:spacing w:val="2"/>
        </w:rPr>
        <w:t>Buchstabe</w:t>
      </w:r>
      <w:r w:rsidR="00703FD5" w:rsidRPr="009118AB">
        <w:rPr>
          <w:rFonts w:ascii="Times New Roman Italique" w:hAnsi="Times New Roman Italique" w:hint="eastAsia"/>
          <w:i/>
          <w:iCs/>
          <w:spacing w:val="2"/>
        </w:rPr>
        <w:t> </w:t>
      </w:r>
      <w:r w:rsidR="00703FD5" w:rsidRPr="009118AB">
        <w:rPr>
          <w:rFonts w:ascii="Times New Roman Italique" w:hAnsi="Times New Roman Italique"/>
          <w:i/>
          <w:iCs/>
          <w:spacing w:val="2"/>
        </w:rPr>
        <w:t xml:space="preserve">b) einziger Absatz </w:t>
      </w:r>
      <w:r w:rsidR="00D67EB8" w:rsidRPr="009118AB">
        <w:rPr>
          <w:rFonts w:ascii="Times New Roman Italique" w:hAnsi="Times New Roman Italique"/>
          <w:i/>
          <w:iCs/>
          <w:spacing w:val="2"/>
        </w:rPr>
        <w:t>Nr. </w:t>
      </w:r>
      <w:r w:rsidR="00703FD5"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703FD5" w:rsidRPr="009118AB">
        <w:rPr>
          <w:rFonts w:ascii="Times New Roman Italique" w:hAnsi="Times New Roman Italique"/>
          <w:i/>
          <w:iCs/>
          <w:spacing w:val="2"/>
        </w:rPr>
        <w:t>51 Buchstabe c)</w:t>
      </w:r>
      <w:r w:rsidR="00703FD5" w:rsidRPr="009118AB">
        <w:rPr>
          <w:rFonts w:ascii="Times New Roman Italique" w:hAnsi="Times New Roman Italique"/>
          <w:bCs/>
          <w:i/>
          <w:iCs/>
          <w:spacing w:val="2"/>
        </w:rPr>
        <w:t xml:space="preserve"> des G. vom 21. Januar 2022 (B.S. vom 28. Januar 2022)</w:t>
      </w:r>
      <w:r w:rsidR="00D67EB8" w:rsidRPr="009118AB">
        <w:rPr>
          <w:rFonts w:ascii="Times New Roman Italique" w:hAnsi="Times New Roman Italique"/>
          <w:bCs/>
          <w:i/>
          <w:iCs/>
          <w:spacing w:val="2"/>
        </w:rPr>
        <w:t> - </w:t>
      </w:r>
      <w:r w:rsidR="00703FD5" w:rsidRPr="009118AB">
        <w:rPr>
          <w:rFonts w:ascii="Times New Roman Italique" w:hAnsi="Times New Roman Italique"/>
          <w:bCs/>
          <w:i/>
          <w:iCs/>
          <w:spacing w:val="2"/>
        </w:rPr>
        <w:t>wirksam mit 1. Januar 2022</w:t>
      </w:r>
      <w:r w:rsidR="003366D9" w:rsidRPr="009118AB">
        <w:rPr>
          <w:rFonts w:ascii="Times New Roman Italique" w:hAnsi="Times New Roman Italique"/>
          <w:bCs/>
          <w:i/>
          <w:iCs/>
          <w:spacing w:val="2"/>
        </w:rPr>
        <w:t> -;</w:t>
      </w:r>
      <w:r w:rsidR="00F06F1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112472"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00F06F12" w:rsidRPr="009118AB">
        <w:rPr>
          <w:rFonts w:ascii="Times New Roman Italique" w:hAnsi="Times New Roman Italique"/>
          <w:i/>
          <w:iCs/>
          <w:spacing w:val="2"/>
        </w:rPr>
        <w:t xml:space="preserve">3 </w:t>
      </w:r>
      <w:r w:rsidR="00FD6FFB" w:rsidRPr="009118AB">
        <w:rPr>
          <w:rFonts w:ascii="Times New Roman Italique" w:hAnsi="Times New Roman Italique"/>
          <w:i/>
          <w:spacing w:val="2"/>
        </w:rPr>
        <w:t xml:space="preserve">einziger Absatz </w:t>
      </w:r>
      <w:r w:rsidR="00F06F12" w:rsidRPr="009118AB">
        <w:rPr>
          <w:rFonts w:ascii="Times New Roman Italique" w:hAnsi="Times New Roman Italique"/>
          <w:i/>
          <w:iCs/>
          <w:spacing w:val="2"/>
        </w:rPr>
        <w:t>zweiter Gedankenstrich</w:t>
      </w:r>
      <w:r w:rsidR="004A044D" w:rsidRPr="009118AB">
        <w:rPr>
          <w:rFonts w:ascii="Times New Roman Italique" w:hAnsi="Times New Roman Italique"/>
          <w:i/>
          <w:iCs/>
          <w:spacing w:val="2"/>
        </w:rPr>
        <w:t xml:space="preserve"> einziger Absatz</w:t>
      </w:r>
      <w:r w:rsidR="00F06F12" w:rsidRPr="009118AB">
        <w:rPr>
          <w:rFonts w:ascii="Times New Roman Italique" w:hAnsi="Times New Roman Italique"/>
          <w:i/>
          <w:iCs/>
          <w:spacing w:val="2"/>
        </w:rPr>
        <w:t xml:space="preserve"> Buchstabe d) abgeändert</w:t>
      </w:r>
      <w:r w:rsidR="00F06F12" w:rsidRPr="009118AB">
        <w:rPr>
          <w:rFonts w:ascii="Times New Roman Italique" w:hAnsi="Times New Roman Italique"/>
          <w:i/>
          <w:spacing w:val="2"/>
        </w:rPr>
        <w:t xml:space="preserve"> durch </w:t>
      </w:r>
      <w:r w:rsidR="00D67EB8" w:rsidRPr="009118AB">
        <w:rPr>
          <w:rFonts w:ascii="Times New Roman Italique" w:hAnsi="Times New Roman Italique"/>
          <w:i/>
          <w:spacing w:val="2"/>
        </w:rPr>
        <w:t>Art. </w:t>
      </w:r>
      <w:r w:rsidR="00F06F12" w:rsidRPr="009118AB">
        <w:rPr>
          <w:rFonts w:ascii="Times New Roman Italique" w:hAnsi="Times New Roman Italique"/>
          <w:i/>
          <w:spacing w:val="2"/>
        </w:rPr>
        <w:t xml:space="preserve">7 </w:t>
      </w:r>
      <w:r w:rsidR="00D67EB8" w:rsidRPr="009118AB">
        <w:rPr>
          <w:rFonts w:ascii="Times New Roman Italique" w:hAnsi="Times New Roman Italique"/>
          <w:i/>
          <w:spacing w:val="2"/>
        </w:rPr>
        <w:t>Nr. </w:t>
      </w:r>
      <w:r w:rsidR="00F06F12" w:rsidRPr="009118AB">
        <w:rPr>
          <w:rFonts w:ascii="Times New Roman Italique" w:hAnsi="Times New Roman Italique"/>
          <w:i/>
          <w:spacing w:val="2"/>
        </w:rPr>
        <w:t>4</w:t>
      </w:r>
      <w:r w:rsidR="00112472" w:rsidRPr="009118AB">
        <w:rPr>
          <w:rFonts w:ascii="Times New Roman Italique" w:hAnsi="Times New Roman Italique"/>
          <w:i/>
          <w:iCs/>
          <w:spacing w:val="2"/>
        </w:rPr>
        <w:t xml:space="preserve"> des G.</w:t>
      </w:r>
      <w:r w:rsidR="00112472" w:rsidRPr="009118AB">
        <w:rPr>
          <w:rFonts w:ascii="Times New Roman Italique" w:hAnsi="Times New Roman Italique" w:hint="eastAsia"/>
          <w:i/>
          <w:iCs/>
          <w:spacing w:val="2"/>
        </w:rPr>
        <w:t> </w:t>
      </w:r>
      <w:r w:rsidR="00112472" w:rsidRPr="009118AB">
        <w:rPr>
          <w:rFonts w:ascii="Times New Roman Italique" w:hAnsi="Times New Roman Italique"/>
          <w:i/>
          <w:iCs/>
          <w:spacing w:val="2"/>
        </w:rPr>
        <w:t>(I) vom 24. Juli 2008 </w:t>
      </w:r>
      <w:r w:rsidR="00F06F12" w:rsidRPr="009118AB">
        <w:rPr>
          <w:rFonts w:ascii="Times New Roman Italique" w:hAnsi="Times New Roman Italique"/>
          <w:i/>
          <w:iCs/>
          <w:spacing w:val="2"/>
        </w:rPr>
        <w:t>(I) (B.S.</w:t>
      </w:r>
      <w:r w:rsidR="00703FD5" w:rsidRPr="009118AB">
        <w:rPr>
          <w:rFonts w:ascii="Times New Roman Italique" w:hAnsi="Times New Roman Italique"/>
          <w:i/>
          <w:iCs/>
          <w:spacing w:val="2"/>
        </w:rPr>
        <w:t xml:space="preserve"> </w:t>
      </w:r>
      <w:r w:rsidR="00F06F12" w:rsidRPr="009118AB">
        <w:rPr>
          <w:rFonts w:ascii="Times New Roman Italique" w:hAnsi="Times New Roman Italique"/>
          <w:i/>
          <w:iCs/>
          <w:spacing w:val="2"/>
        </w:rPr>
        <w:t>vom 7. August 2008)</w:t>
      </w:r>
      <w:r w:rsidR="00D67EB8" w:rsidRPr="009118AB">
        <w:rPr>
          <w:rFonts w:ascii="Times New Roman Italique" w:hAnsi="Times New Roman Italique"/>
          <w:i/>
          <w:iCs/>
          <w:spacing w:val="2"/>
        </w:rPr>
        <w:t> - </w:t>
      </w:r>
      <w:r w:rsidR="00F06F12" w:rsidRPr="009118AB">
        <w:rPr>
          <w:rFonts w:ascii="Times New Roman Italique" w:hAnsi="Times New Roman Italique"/>
          <w:i/>
          <w:iCs/>
          <w:spacing w:val="2"/>
        </w:rPr>
        <w:t>wirksam auf die ab dem 1. Januar 2007 gezahlten oder zuerkannten Zinsen</w:t>
      </w:r>
      <w:r w:rsidR="00FD68E8" w:rsidRPr="009118AB">
        <w:rPr>
          <w:rFonts w:ascii="Times New Roman Italique" w:hAnsi="Times New Roman Italique"/>
          <w:i/>
          <w:iCs/>
          <w:spacing w:val="2"/>
        </w:rPr>
        <w:t> -]</w:t>
      </w:r>
    </w:p>
    <w:p w14:paraId="0147B45A" w14:textId="77777777" w:rsidR="00477B8F" w:rsidRPr="009118AB" w:rsidRDefault="00477B8F" w:rsidP="00477B8F">
      <w:pPr>
        <w:autoSpaceDE w:val="0"/>
        <w:autoSpaceDN w:val="0"/>
        <w:adjustRightInd w:val="0"/>
        <w:jc w:val="both"/>
      </w:pPr>
    </w:p>
    <w:p w14:paraId="36DE9F43" w14:textId="77777777" w:rsidR="00477B8F" w:rsidRPr="009118AB" w:rsidRDefault="00477B8F" w:rsidP="00477B8F">
      <w:pPr>
        <w:autoSpaceDE w:val="0"/>
        <w:autoSpaceDN w:val="0"/>
        <w:adjustRightInd w:val="0"/>
        <w:jc w:val="both"/>
      </w:pPr>
    </w:p>
    <w:p w14:paraId="15909A85" w14:textId="5881BAA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266</w:t>
      </w:r>
      <w:r w:rsidR="00D67EB8" w:rsidRPr="009118AB">
        <w:t> - </w:t>
      </w:r>
      <w:r w:rsidRPr="009118AB">
        <w:t xml:space="preserve">Der König kann unter Bedingungen und in Grenzen, die Er bestimmt, ganz oder teilweise von der Erhebung des Mobiliensteuervorabzugs auf Einkünfte aus Kapitalvermögen und beweglichen Gütern und auf verschiedene Einkünfte absehen, sofern es sich um Einkünfte handelt, die von Empfängern bezogen werden, deren Identität festgestellt werden kann, [oder von Instituten für gemeinsame Anlagen ausländischen Rechts, die ein ungeteiltes Vermögen darstellen, das von einer Verwaltungsgesellschaft für Rechnung der Teilnehmer verwaltet wird, wenn ihre Anteile in Belgien nicht öffentlich ausgegeben werden und in Belgien nicht gehandelt werden,] oder um Einkünfte aus Inhaberpapieren </w:t>
      </w:r>
      <w:r w:rsidR="004C1E8A" w:rsidRPr="009118AB">
        <w:t xml:space="preserve">[und entmaterialisierten Wertpapieren] </w:t>
      </w:r>
      <w:r w:rsidRPr="009118AB">
        <w:t>einer der nachstehenden Kategorien:</w:t>
      </w:r>
    </w:p>
    <w:p w14:paraId="6784A2B3" w14:textId="77777777" w:rsidR="00477B8F" w:rsidRPr="009118AB" w:rsidRDefault="00477B8F" w:rsidP="00477B8F">
      <w:pPr>
        <w:autoSpaceDE w:val="0"/>
        <w:autoSpaceDN w:val="0"/>
        <w:adjustRightInd w:val="0"/>
        <w:jc w:val="both"/>
      </w:pPr>
    </w:p>
    <w:p w14:paraId="6662AAAE" w14:textId="77777777" w:rsidR="00477B8F" w:rsidRPr="009118AB" w:rsidRDefault="00477B8F" w:rsidP="00477B8F">
      <w:pPr>
        <w:autoSpaceDE w:val="0"/>
        <w:autoSpaceDN w:val="0"/>
        <w:adjustRightInd w:val="0"/>
        <w:jc w:val="both"/>
      </w:pPr>
      <w:r w:rsidRPr="009118AB">
        <w:tab/>
        <w:t xml:space="preserve">1. Einkünfte aus Wertpapieren, die vor dem 1. Dezember 1962 ausgegeben wurden, die laut Gesetz von der Mobiliensteuer oder von Realsteuern befreit sind oder die einem Steuersatz von weniger als </w:t>
      </w:r>
      <w:r w:rsidR="00EA2742" w:rsidRPr="009118AB">
        <w:t>[2</w:t>
      </w:r>
      <w:r w:rsidRPr="009118AB">
        <w:t>1 Prozent</w:t>
      </w:r>
      <w:r w:rsidR="00EA2742" w:rsidRPr="009118AB">
        <w:t>]</w:t>
      </w:r>
      <w:r w:rsidRPr="009118AB">
        <w:t xml:space="preserve"> unterliegen,</w:t>
      </w:r>
    </w:p>
    <w:p w14:paraId="723AC680" w14:textId="77777777" w:rsidR="00477B8F" w:rsidRPr="009118AB" w:rsidRDefault="00477B8F" w:rsidP="00477B8F">
      <w:pPr>
        <w:autoSpaceDE w:val="0"/>
        <w:autoSpaceDN w:val="0"/>
        <w:adjustRightInd w:val="0"/>
        <w:jc w:val="both"/>
      </w:pPr>
    </w:p>
    <w:p w14:paraId="53DE0EEA" w14:textId="77777777" w:rsidR="00477B8F" w:rsidRPr="009118AB" w:rsidRDefault="00477B8F" w:rsidP="00477B8F">
      <w:pPr>
        <w:autoSpaceDE w:val="0"/>
        <w:autoSpaceDN w:val="0"/>
        <w:adjustRightInd w:val="0"/>
        <w:jc w:val="both"/>
      </w:pPr>
      <w:r w:rsidRPr="009118AB">
        <w:tab/>
        <w:t>2. Einkünfte aus Zertifikaten von belgischen Instituten für gemeinsame Anlagen,</w:t>
      </w:r>
    </w:p>
    <w:p w14:paraId="08EF0EF0" w14:textId="77777777" w:rsidR="00477B8F" w:rsidRPr="009118AB" w:rsidRDefault="00477B8F" w:rsidP="00477B8F">
      <w:pPr>
        <w:autoSpaceDE w:val="0"/>
        <w:autoSpaceDN w:val="0"/>
        <w:adjustRightInd w:val="0"/>
        <w:jc w:val="both"/>
      </w:pPr>
    </w:p>
    <w:p w14:paraId="561CBE31" w14:textId="77777777" w:rsidR="00477B8F" w:rsidRPr="009118AB" w:rsidRDefault="00477B8F" w:rsidP="00477B8F">
      <w:pPr>
        <w:autoSpaceDE w:val="0"/>
        <w:autoSpaceDN w:val="0"/>
        <w:adjustRightInd w:val="0"/>
        <w:jc w:val="both"/>
      </w:pPr>
      <w:r w:rsidRPr="009118AB">
        <w:tab/>
        <w:t>3. Emissionsagien in Bezug auf Schuldverschreibungen, Kassenbons oder andere Wertpapiere, die Anleihen darstellen, die ab dem 1. Dezember 1962 ausgegeben wurden.</w:t>
      </w:r>
    </w:p>
    <w:p w14:paraId="27B92FB3" w14:textId="77777777" w:rsidR="00477B8F" w:rsidRPr="009118AB" w:rsidRDefault="00477B8F" w:rsidP="00477B8F">
      <w:pPr>
        <w:autoSpaceDE w:val="0"/>
        <w:autoSpaceDN w:val="0"/>
        <w:adjustRightInd w:val="0"/>
        <w:jc w:val="both"/>
      </w:pPr>
    </w:p>
    <w:p w14:paraId="0667ADF6" w14:textId="376F8B7A" w:rsidR="00477B8F" w:rsidRPr="009118AB" w:rsidRDefault="00477B8F" w:rsidP="00477B8F">
      <w:pPr>
        <w:autoSpaceDE w:val="0"/>
        <w:autoSpaceDN w:val="0"/>
        <w:adjustRightInd w:val="0"/>
        <w:jc w:val="both"/>
      </w:pPr>
      <w:r w:rsidRPr="009118AB">
        <w:tab/>
        <w:t>[Er kann keinesfalls absehen von der Erhebung des Mobiliensteuervorabzugs auf Einkünfte:</w:t>
      </w:r>
    </w:p>
    <w:p w14:paraId="5289783A" w14:textId="77777777" w:rsidR="00477B8F" w:rsidRPr="009118AB" w:rsidRDefault="00477B8F" w:rsidP="00477B8F">
      <w:pPr>
        <w:autoSpaceDE w:val="0"/>
        <w:autoSpaceDN w:val="0"/>
        <w:adjustRightInd w:val="0"/>
        <w:jc w:val="both"/>
      </w:pPr>
    </w:p>
    <w:p w14:paraId="7ED63C4E" w14:textId="77777777" w:rsidR="00477B8F" w:rsidRPr="009118AB" w:rsidRDefault="00477B8F" w:rsidP="00477B8F">
      <w:pPr>
        <w:autoSpaceDE w:val="0"/>
        <w:autoSpaceDN w:val="0"/>
        <w:adjustRightInd w:val="0"/>
        <w:jc w:val="both"/>
      </w:pPr>
      <w:r w:rsidRPr="009118AB">
        <w:tab/>
        <w:t>1. aus Wertpapieren, die Anleihen darstellen, deren Zinsen kapitalisiert werden, außer wenn Schuldner und Empfänger verbundene Unternehmen sind, die Er definiert,</w:t>
      </w:r>
    </w:p>
    <w:p w14:paraId="7BD48A79" w14:textId="77777777" w:rsidR="00477B8F" w:rsidRPr="009118AB" w:rsidRDefault="00477B8F" w:rsidP="00477B8F">
      <w:pPr>
        <w:autoSpaceDE w:val="0"/>
        <w:autoSpaceDN w:val="0"/>
        <w:adjustRightInd w:val="0"/>
        <w:jc w:val="both"/>
      </w:pPr>
    </w:p>
    <w:p w14:paraId="23D133D4" w14:textId="77777777" w:rsidR="00477B8F" w:rsidRPr="009118AB" w:rsidRDefault="00477B8F" w:rsidP="00477B8F">
      <w:pPr>
        <w:autoSpaceDE w:val="0"/>
        <w:autoSpaceDN w:val="0"/>
        <w:adjustRightInd w:val="0"/>
        <w:jc w:val="both"/>
      </w:pPr>
      <w:r w:rsidRPr="009118AB">
        <w:tab/>
        <w:t>2. aus Wertpapieren, die nicht zu einer periodischen Zahlung von Zinsen führen und für eine Dauer von mindestens einem Jahr mit einem Diskont ausgegeben wurden, der den bis zum Fälligkeitstermin des Wertpapiers kapitalisierten Zinsen entspricht, außer wenn Schuldner und Empfänger verbundene Unternehmen sind, die Er definiert,</w:t>
      </w:r>
    </w:p>
    <w:p w14:paraId="2BBE06D6" w14:textId="77777777" w:rsidR="00477B8F" w:rsidRPr="009118AB" w:rsidRDefault="00477B8F" w:rsidP="00477B8F">
      <w:pPr>
        <w:autoSpaceDE w:val="0"/>
        <w:autoSpaceDN w:val="0"/>
        <w:adjustRightInd w:val="0"/>
        <w:jc w:val="both"/>
      </w:pPr>
    </w:p>
    <w:p w14:paraId="341909C6" w14:textId="77777777" w:rsidR="00477B8F" w:rsidRPr="009118AB" w:rsidRDefault="00477B8F" w:rsidP="00477B8F">
      <w:pPr>
        <w:autoSpaceDE w:val="0"/>
        <w:autoSpaceDN w:val="0"/>
        <w:adjustRightInd w:val="0"/>
        <w:jc w:val="both"/>
      </w:pPr>
      <w:r w:rsidRPr="009118AB">
        <w:tab/>
        <w:t>3. aus Immobilienzertifikaten, was Zuerkennungen oder Ausschüttungen von Einkünften betrifft, die sich ganz oder teilweise auf die Realisierung des zugrunde liegend</w:t>
      </w:r>
      <w:r w:rsidR="009A0D65" w:rsidRPr="009118AB">
        <w:t>en unbeweglichen Gutes beziehen,</w:t>
      </w:r>
      <w:r w:rsidRPr="009118AB">
        <w:t>]</w:t>
      </w:r>
    </w:p>
    <w:p w14:paraId="3F98B617" w14:textId="77777777" w:rsidR="009A0D65" w:rsidRPr="009118AB" w:rsidRDefault="009A0D65" w:rsidP="00477B8F">
      <w:pPr>
        <w:autoSpaceDE w:val="0"/>
        <w:autoSpaceDN w:val="0"/>
        <w:adjustRightInd w:val="0"/>
        <w:jc w:val="both"/>
      </w:pPr>
    </w:p>
    <w:p w14:paraId="608E5CEE" w14:textId="77777777" w:rsidR="009A0D65" w:rsidRPr="009118AB" w:rsidRDefault="009A0D65" w:rsidP="0005678F">
      <w:pPr>
        <w:ind w:firstLine="708"/>
        <w:jc w:val="both"/>
      </w:pPr>
      <w:r w:rsidRPr="009118AB">
        <w:tab/>
        <w:t>[4. </w:t>
      </w:r>
      <w:r w:rsidR="0005678F" w:rsidRPr="009118AB">
        <w:t>[..</w:t>
      </w:r>
      <w:r w:rsidRPr="009118AB">
        <w:t>.</w:t>
      </w:r>
      <w:r w:rsidR="0005678F" w:rsidRPr="009118AB">
        <w:t>]</w:t>
      </w:r>
      <w:r w:rsidR="008B71CC" w:rsidRPr="009118AB">
        <w:t>.</w:t>
      </w:r>
      <w:r w:rsidRPr="009118AB">
        <w:t>]</w:t>
      </w:r>
    </w:p>
    <w:p w14:paraId="509008BA" w14:textId="77777777" w:rsidR="00BE070C" w:rsidRPr="009118AB" w:rsidRDefault="00BE070C" w:rsidP="00477B8F">
      <w:pPr>
        <w:autoSpaceDE w:val="0"/>
        <w:autoSpaceDN w:val="0"/>
        <w:adjustRightInd w:val="0"/>
      </w:pPr>
    </w:p>
    <w:p w14:paraId="40ABA17C" w14:textId="77777777" w:rsidR="00477B8F" w:rsidRPr="009118AB" w:rsidRDefault="00477B8F" w:rsidP="00101102">
      <w:pPr>
        <w:autoSpaceDE w:val="0"/>
        <w:autoSpaceDN w:val="0"/>
        <w:adjustRightInd w:val="0"/>
        <w:jc w:val="both"/>
      </w:pPr>
      <w:r w:rsidRPr="009118AB">
        <w:tab/>
        <w:t>[Absatz 2 ist nicht anwendbar auf Wertpapiere, die aus der Zerlegung von linearen Schuldverschreibungen, die vom Belgischen Staat ausgegeben wurden, hervorgehen.]</w:t>
      </w:r>
    </w:p>
    <w:p w14:paraId="135EEAB1" w14:textId="77777777" w:rsidR="002C5FD5" w:rsidRPr="009118AB" w:rsidRDefault="002C5FD5" w:rsidP="00101102">
      <w:pPr>
        <w:autoSpaceDE w:val="0"/>
        <w:autoSpaceDN w:val="0"/>
        <w:adjustRightInd w:val="0"/>
        <w:jc w:val="both"/>
      </w:pPr>
    </w:p>
    <w:p w14:paraId="3B5E3735" w14:textId="62DD1322" w:rsidR="002C5FD5" w:rsidRPr="009118AB" w:rsidRDefault="002C5FD5" w:rsidP="00101102">
      <w:pPr>
        <w:autoSpaceDE w:val="0"/>
        <w:autoSpaceDN w:val="0"/>
        <w:adjustRightInd w:val="0"/>
        <w:jc w:val="both"/>
      </w:pPr>
      <w:r w:rsidRPr="009118AB">
        <w:tab/>
        <w:t xml:space="preserve">[Der in Absatz 1 erwähnte Verzicht auf die Erhebung des Mobiliensteuervorabzugs kann nicht wirksam werden in Bezug auf Dividenden, die mit einer Rechtshandlung oder einer Gesamtheit von Rechtshandlungen verbunden sind, wenn die Verwaltung unter Berücksichtigung aller relevanten Fakten und Umstände außer bei Beweis des Gegenteils nachgewiesen hat, dass diese Handlung oder diese Gesamtheit von Handlungen unangemessen ist und dass ihr wesentlicher Zweck oder einer der wesentlichen Zwecke darin besteht, den Abzug der in Artikel 202 </w:t>
      </w:r>
      <w:r w:rsidR="00D67EB8" w:rsidRPr="009118AB">
        <w:t>§ </w:t>
      </w:r>
      <w:r w:rsidRPr="009118AB">
        <w:t xml:space="preserve">1 </w:t>
      </w:r>
      <w:r w:rsidR="00D67EB8" w:rsidRPr="009118AB">
        <w:t>Nr. </w:t>
      </w:r>
      <w:r w:rsidRPr="009118AB">
        <w:t>1 und 2 erwähnten Einkünfte, den in Absatz 1 erwähnten Verzicht in Bezug auf diese Einkünfte oder einen der Vorteile der Richtlinie 2011/96/EU in einem anderen Mitgliedstaat der Europäischen Union zu erlangen. Eine Rechtshandlung oder eine Gesamtheit von Rechtshandlungen gilt in dem Umfang als unangemessen, wie diese Handlung oder diese Gesamtheit von Handlungen nicht aus triftigen wirtschaftlichen Gründen vorgenommen wurde, die die wirtschaftliche Realität widerspiegeln.]</w:t>
      </w:r>
      <w:r w:rsidR="00AE74C3" w:rsidRPr="009118AB">
        <w:t xml:space="preserve"> [Die Tatsache, dass ein Empfänger von Dividenden, dessen Gesellschaftszweck ausschließlich oder hauptsächlich in der Verwaltung und Anlage von Geldern besteht, die mit dem Ziel gesammelt werden, gesetzliche oder ergänzende Pensionen auszuzahlen, die Wertpapiere, aus denen die Dividenden hervorgehen, nicht während eines ununterbrochenen Zeitraums von mindestens sechzig Tagen in Volleigentum gehalten hat, stellt eine widerlegbare Vermutung dar, dass die Rechtshandlung oder die Gesamtheit von Rechtshandlungen, mit der die Dividenden verbunden sind, unangemessen ist.]</w:t>
      </w:r>
    </w:p>
    <w:p w14:paraId="2878BADB" w14:textId="77777777" w:rsidR="00477B8F" w:rsidRPr="009118AB" w:rsidRDefault="00477B8F" w:rsidP="00477B8F">
      <w:pPr>
        <w:autoSpaceDE w:val="0"/>
        <w:autoSpaceDN w:val="0"/>
        <w:adjustRightInd w:val="0"/>
        <w:jc w:val="both"/>
      </w:pPr>
    </w:p>
    <w:p w14:paraId="3AA52BCA" w14:textId="36CC46FC" w:rsidR="00477B8F" w:rsidRPr="00DB693B" w:rsidRDefault="00477B8F" w:rsidP="00F62A1F">
      <w:pPr>
        <w:jc w:val="both"/>
        <w:rPr>
          <w:rFonts w:ascii="Times New Roman Italique" w:hAnsi="Times New Roman Italique"/>
          <w:i/>
          <w:strike/>
          <w:spacing w:val="-2"/>
        </w:rPr>
      </w:pPr>
      <w:r w:rsidRPr="009118AB">
        <w:rPr>
          <w:i/>
          <w:iCs/>
        </w:rPr>
        <w:t>[</w:t>
      </w:r>
      <w:r w:rsidR="00D67EB8" w:rsidRPr="009118AB">
        <w:rPr>
          <w:i/>
          <w:iCs/>
        </w:rPr>
        <w:t>Art. </w:t>
      </w:r>
      <w:r w:rsidRPr="009118AB">
        <w:rPr>
          <w:i/>
          <w:iCs/>
        </w:rPr>
        <w:t xml:space="preserve">266 </w:t>
      </w:r>
      <w:r w:rsidR="00D67EB8" w:rsidRPr="009118AB">
        <w:rPr>
          <w:i/>
          <w:iCs/>
        </w:rPr>
        <w:t>Abs. </w:t>
      </w:r>
      <w:r w:rsidRPr="009118AB">
        <w:rPr>
          <w:i/>
          <w:iCs/>
        </w:rPr>
        <w:t xml:space="preserve">1 einleitende Bestimmung abgeändert durch </w:t>
      </w:r>
      <w:r w:rsidR="00D67EB8" w:rsidRPr="009118AB">
        <w:rPr>
          <w:i/>
          <w:iCs/>
        </w:rPr>
        <w:t>Art. </w:t>
      </w:r>
      <w:r w:rsidRPr="009118AB">
        <w:rPr>
          <w:i/>
          <w:iCs/>
        </w:rPr>
        <w:t>8 des G. vom 4. April 1995 (B.S. vom 23. Mai 1995)</w:t>
      </w:r>
      <w:r w:rsidR="00EF4453" w:rsidRPr="009118AB">
        <w:rPr>
          <w:i/>
          <w:iCs/>
        </w:rPr>
        <w:t xml:space="preserve"> und </w:t>
      </w:r>
      <w:r w:rsidR="00D67EB8" w:rsidRPr="009118AB">
        <w:rPr>
          <w:i/>
          <w:iCs/>
        </w:rPr>
        <w:t>Art. </w:t>
      </w:r>
      <w:r w:rsidR="00EF4453" w:rsidRPr="009118AB">
        <w:rPr>
          <w:i/>
          <w:iCs/>
        </w:rPr>
        <w:t>1 des K.E. vom 7. Dezember 2007 (B.S. vom 12. Dezember 2007)</w:t>
      </w:r>
      <w:r w:rsidRPr="009118AB">
        <w:rPr>
          <w:i/>
          <w:iCs/>
        </w:rPr>
        <w:t xml:space="preserve">; </w:t>
      </w:r>
      <w:r w:rsidR="00D67EB8" w:rsidRPr="009118AB">
        <w:rPr>
          <w:i/>
          <w:iCs/>
        </w:rPr>
        <w:t>Abs. </w:t>
      </w:r>
      <w:r w:rsidR="00EA2742" w:rsidRPr="009118AB">
        <w:rPr>
          <w:i/>
          <w:iCs/>
        </w:rPr>
        <w:t>1</w:t>
      </w:r>
      <w:r w:rsidR="00C83EA3" w:rsidRPr="009118AB">
        <w:rPr>
          <w:i/>
          <w:iCs/>
        </w:rPr>
        <w:t xml:space="preserve"> </w:t>
      </w:r>
      <w:r w:rsidR="00D67EB8" w:rsidRPr="009118AB">
        <w:rPr>
          <w:i/>
          <w:iCs/>
        </w:rPr>
        <w:t>Nr. </w:t>
      </w:r>
      <w:r w:rsidR="00EA2742" w:rsidRPr="009118AB">
        <w:rPr>
          <w:i/>
          <w:iCs/>
        </w:rPr>
        <w:t xml:space="preserve">1 abgeändert durch </w:t>
      </w:r>
      <w:r w:rsidR="00D67EB8" w:rsidRPr="009118AB">
        <w:rPr>
          <w:i/>
          <w:iCs/>
        </w:rPr>
        <w:t>Art. </w:t>
      </w:r>
      <w:r w:rsidR="00EA2742" w:rsidRPr="009118AB">
        <w:rPr>
          <w:i/>
          <w:iCs/>
        </w:rPr>
        <w:t xml:space="preserve">52 des G. vom 13. Dezember 2012 (B.S. vom 20. Dezember 2012); </w:t>
      </w:r>
      <w:r w:rsidR="00D67EB8" w:rsidRPr="009118AB">
        <w:rPr>
          <w:i/>
          <w:iCs/>
        </w:rPr>
        <w:t>Abs. </w:t>
      </w:r>
      <w:r w:rsidRPr="009118AB">
        <w:rPr>
          <w:i/>
          <w:iCs/>
        </w:rPr>
        <w:t xml:space="preserve">2 ersetzt durch </w:t>
      </w:r>
      <w:r w:rsidR="00D67EB8" w:rsidRPr="009118AB">
        <w:rPr>
          <w:i/>
          <w:iCs/>
        </w:rPr>
        <w:t>Art. </w:t>
      </w:r>
      <w:r w:rsidRPr="009118AB">
        <w:rPr>
          <w:i/>
          <w:iCs/>
        </w:rPr>
        <w:t>3 des G. vom 4. Juli 2004 (B.S. vom 7. September 2004)</w:t>
      </w:r>
      <w:r w:rsidR="00D67EB8" w:rsidRPr="009118AB">
        <w:rPr>
          <w:i/>
          <w:iCs/>
        </w:rPr>
        <w:t> - Nr. </w:t>
      </w:r>
      <w:r w:rsidRPr="009118AB">
        <w:rPr>
          <w:i/>
          <w:iCs/>
        </w:rPr>
        <w:t xml:space="preserve">1 und 2 anwendbar auf Einkünfte, die ab dem 1. Januar 2004 zuerkannt oder ausgeschüttet werden, insofern diese Einkünfte sich auf einen Zeitraum nach dem 31. Dezember 2003 beziehen (s. auch die in </w:t>
      </w:r>
      <w:r w:rsidR="00D67EB8" w:rsidRPr="009118AB">
        <w:rPr>
          <w:i/>
          <w:iCs/>
        </w:rPr>
        <w:t>Art. </w:t>
      </w:r>
      <w:r w:rsidRPr="009118AB">
        <w:rPr>
          <w:i/>
          <w:iCs/>
        </w:rPr>
        <w:t xml:space="preserve">5 </w:t>
      </w:r>
      <w:r w:rsidR="00D67EB8" w:rsidRPr="009118AB">
        <w:rPr>
          <w:i/>
          <w:iCs/>
        </w:rPr>
        <w:t>Abs. </w:t>
      </w:r>
      <w:r w:rsidRPr="009118AB">
        <w:rPr>
          <w:i/>
          <w:iCs/>
        </w:rPr>
        <w:t xml:space="preserve">2 des G. vom 4. Juli 2004 </w:t>
      </w:r>
      <w:r w:rsidRPr="009118AB">
        <w:rPr>
          <w:rFonts w:ascii="Times New Roman Italique" w:hAnsi="Times New Roman Italique"/>
          <w:i/>
          <w:iCs/>
          <w:spacing w:val="2"/>
        </w:rPr>
        <w:t xml:space="preserve">erwähnte Ausnahmebestimmung) und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3 anwendbar auf Einkünfte, die nach dem 7. September 2004 zuerkannt oder ausgeschüttet werden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9A0D65"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009A0D65"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009A0D65" w:rsidRPr="009118AB">
        <w:rPr>
          <w:rFonts w:ascii="Times New Roman Italique" w:hAnsi="Times New Roman Italique"/>
          <w:i/>
          <w:iCs/>
          <w:spacing w:val="2"/>
        </w:rPr>
        <w:t>95 des G. vom 12. Mai 2014 (II) (B.S. vom 30. Juni 2014)</w:t>
      </w:r>
      <w:r w:rsidR="00D67EB8" w:rsidRPr="009118AB">
        <w:rPr>
          <w:rFonts w:ascii="Times New Roman Italique" w:hAnsi="Times New Roman Italique"/>
          <w:i/>
          <w:iCs/>
          <w:spacing w:val="2"/>
        </w:rPr>
        <w:t> - </w:t>
      </w:r>
      <w:r w:rsidR="009A0D65" w:rsidRPr="009118AB">
        <w:rPr>
          <w:rFonts w:ascii="Times New Roman Italique" w:hAnsi="Times New Roman Italique"/>
          <w:i/>
          <w:iCs/>
          <w:spacing w:val="2"/>
        </w:rPr>
        <w:t>in Kraft ab dem 16. Juli 2014</w:t>
      </w:r>
      <w:r w:rsidR="00D67EB8" w:rsidRPr="009118AB">
        <w:rPr>
          <w:rFonts w:ascii="Times New Roman Italique" w:hAnsi="Times New Roman Italique"/>
          <w:i/>
          <w:iCs/>
          <w:spacing w:val="2"/>
        </w:rPr>
        <w:t> - </w:t>
      </w:r>
      <w:r w:rsidR="0005678F" w:rsidRPr="009118AB">
        <w:rPr>
          <w:rFonts w:ascii="Times New Roman Italique" w:hAnsi="Times New Roman Italique"/>
          <w:i/>
          <w:iCs/>
          <w:spacing w:val="2"/>
        </w:rPr>
        <w:t xml:space="preserve">und aufgehoben durch </w:t>
      </w:r>
      <w:r w:rsidR="00D67EB8" w:rsidRPr="009118AB">
        <w:rPr>
          <w:rFonts w:ascii="Times New Roman Italique" w:hAnsi="Times New Roman Italique"/>
          <w:i/>
          <w:iCs/>
          <w:spacing w:val="2"/>
        </w:rPr>
        <w:t>Art. </w:t>
      </w:r>
      <w:r w:rsidR="0005678F" w:rsidRPr="009118AB">
        <w:rPr>
          <w:rFonts w:ascii="Times New Roman Italique" w:hAnsi="Times New Roman Italique" w:hint="eastAsia"/>
          <w:i/>
          <w:iCs/>
          <w:spacing w:val="2"/>
        </w:rPr>
        <w:t>5</w:t>
      </w:r>
      <w:r w:rsidR="0005678F" w:rsidRPr="009118AB">
        <w:rPr>
          <w:rFonts w:ascii="Times New Roman Italique" w:hAnsi="Times New Roman Italique"/>
          <w:i/>
          <w:iCs/>
          <w:spacing w:val="2"/>
        </w:rPr>
        <w:t>3</w:t>
      </w:r>
      <w:r w:rsidR="0005678F" w:rsidRPr="009118AB">
        <w:rPr>
          <w:i/>
          <w:iCs/>
        </w:rPr>
        <w:t xml:space="preserve"> des G. vom 18. Dezember 2015 (II) (B.S. vom 28. Dezember 2015)</w:t>
      </w:r>
      <w:r w:rsidR="009A0D65" w:rsidRPr="009118AB">
        <w:rPr>
          <w:rFonts w:ascii="Times New Roman Italique" w:hAnsi="Times New Roman Italique"/>
          <w:i/>
          <w:iCs/>
          <w:spacing w:val="2"/>
        </w:rPr>
        <w:t>;</w:t>
      </w:r>
      <w:r w:rsidR="009A0D65" w:rsidRPr="009118AB">
        <w:rPr>
          <w:i/>
          <w:iCs/>
        </w:rPr>
        <w:t xml:space="preserve"> </w:t>
      </w:r>
      <w:r w:rsidR="00D67EB8" w:rsidRPr="009118AB">
        <w:rPr>
          <w:i/>
          <w:iCs/>
        </w:rPr>
        <w:t>Abs. </w:t>
      </w:r>
      <w:r w:rsidRPr="009118AB">
        <w:rPr>
          <w:i/>
          <w:iCs/>
        </w:rPr>
        <w:t xml:space="preserve">3 </w:t>
      </w:r>
      <w:r w:rsidRPr="009118AB">
        <w:rPr>
          <w:rFonts w:ascii="Times New Roman Italique" w:hAnsi="Times New Roman Italique"/>
          <w:i/>
          <w:iCs/>
          <w:spacing w:val="-2"/>
        </w:rPr>
        <w:t xml:space="preserve">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42 des G. vom 6. Juli 1994 (B.S. vom 16. Juli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Einkünfte, die nach dem 1. Juli 1994 zuerkannt oder ausgeschüttet werden</w:t>
      </w:r>
      <w:r w:rsidR="003366D9" w:rsidRPr="009118AB">
        <w:rPr>
          <w:rFonts w:ascii="Times New Roman Italique" w:hAnsi="Times New Roman Italique"/>
          <w:i/>
          <w:iCs/>
          <w:spacing w:val="-2"/>
        </w:rPr>
        <w:t> -;</w:t>
      </w:r>
      <w:r w:rsidR="00F62A1F"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2C5FD5"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002C5FD5" w:rsidRPr="009118AB">
        <w:rPr>
          <w:rFonts w:ascii="Times New Roman Italique" w:hAnsi="Times New Roman Italique"/>
          <w:i/>
          <w:iCs/>
          <w:spacing w:val="-2"/>
        </w:rPr>
        <w:t>4 des G. vom 1. Dezember 2016 (B.S. vom 8. Dezember 2016)</w:t>
      </w:r>
      <w:r w:rsidR="00D67EB8" w:rsidRPr="009118AB">
        <w:rPr>
          <w:rFonts w:ascii="Times New Roman Italique" w:hAnsi="Times New Roman Italique"/>
          <w:i/>
          <w:iCs/>
          <w:spacing w:val="-2"/>
        </w:rPr>
        <w:t> - </w:t>
      </w:r>
      <w:r w:rsidR="002C5FD5" w:rsidRPr="009118AB">
        <w:rPr>
          <w:rFonts w:ascii="Times New Roman Italique" w:hAnsi="Times New Roman Italique"/>
          <w:i/>
          <w:iCs/>
          <w:spacing w:val="-2"/>
        </w:rPr>
        <w:t xml:space="preserve">anwendbar auf Einkünfte, die ab dem </w:t>
      </w:r>
      <w:r w:rsidR="009C1061" w:rsidRPr="009118AB">
        <w:rPr>
          <w:rFonts w:ascii="Times New Roman Italique" w:hAnsi="Times New Roman Italique"/>
          <w:i/>
          <w:iCs/>
          <w:spacing w:val="-2"/>
        </w:rPr>
        <w:t xml:space="preserve">1. Januar 2017 </w:t>
      </w:r>
      <w:r w:rsidR="002C5FD5" w:rsidRPr="009118AB">
        <w:rPr>
          <w:rFonts w:ascii="Times New Roman Italique" w:hAnsi="Times New Roman Italique"/>
          <w:i/>
          <w:iCs/>
          <w:spacing w:val="-2"/>
        </w:rPr>
        <w:t>zuerkannt oder ausgeschüttet werden</w:t>
      </w:r>
      <w:r w:rsidR="00D67EB8" w:rsidRPr="009118AB">
        <w:rPr>
          <w:rFonts w:ascii="Times New Roman Italique" w:hAnsi="Times New Roman Italique"/>
          <w:i/>
          <w:iCs/>
          <w:spacing w:val="-2"/>
        </w:rPr>
        <w:t> - </w:t>
      </w:r>
      <w:r w:rsidR="00AE74C3" w:rsidRPr="009118AB">
        <w:rPr>
          <w:rFonts w:ascii="Times New Roman Italique" w:hAnsi="Times New Roman Italique"/>
          <w:i/>
          <w:iCs/>
          <w:spacing w:val="-2"/>
        </w:rPr>
        <w:t xml:space="preserve">und ergänzt durch </w:t>
      </w:r>
      <w:r w:rsidR="00D67EB8" w:rsidRPr="009118AB">
        <w:rPr>
          <w:rFonts w:ascii="Times New Roman Italique" w:hAnsi="Times New Roman Italique"/>
          <w:i/>
          <w:iCs/>
          <w:spacing w:val="-2"/>
        </w:rPr>
        <w:t>Art. </w:t>
      </w:r>
      <w:r w:rsidR="00AE74C3" w:rsidRPr="009118AB">
        <w:rPr>
          <w:rFonts w:ascii="Times New Roman Italique" w:hAnsi="Times New Roman Italique"/>
          <w:i/>
          <w:iCs/>
          <w:spacing w:val="-2"/>
        </w:rPr>
        <w:t>3 des G. vom 11. Januar 2019 (B.S. vom 22. Januar 2019)</w:t>
      </w:r>
      <w:r w:rsidR="00D67EB8" w:rsidRPr="009118AB">
        <w:rPr>
          <w:rFonts w:ascii="Times New Roman Italique" w:hAnsi="Times New Roman Italique"/>
          <w:i/>
          <w:iCs/>
          <w:spacing w:val="-2"/>
        </w:rPr>
        <w:t> - </w:t>
      </w:r>
      <w:r w:rsidR="00AE74C3" w:rsidRPr="009118AB">
        <w:rPr>
          <w:rFonts w:ascii="Times New Roman Italique" w:hAnsi="Times New Roman Italique"/>
          <w:i/>
          <w:iCs/>
          <w:spacing w:val="-2"/>
        </w:rPr>
        <w:t>in Kraft am 22. Januar 2019</w:t>
      </w:r>
      <w:r w:rsidR="003366D9" w:rsidRPr="009118AB">
        <w:rPr>
          <w:rFonts w:ascii="Times New Roman Italique" w:hAnsi="Times New Roman Italique"/>
          <w:i/>
          <w:iCs/>
          <w:spacing w:val="-2"/>
        </w:rPr>
        <w:t> -</w:t>
      </w:r>
      <w:r w:rsidR="00CB1997">
        <w:rPr>
          <w:rFonts w:ascii="Times New Roman Italique" w:hAnsi="Times New Roman Italique"/>
          <w:i/>
          <w:iCs/>
          <w:spacing w:val="-2"/>
        </w:rPr>
        <w:t>]</w:t>
      </w:r>
    </w:p>
    <w:p w14:paraId="5E5D976B" w14:textId="77777777" w:rsidR="00CD5D19" w:rsidRPr="00DB693B" w:rsidRDefault="00CD5D19" w:rsidP="00F62A1F">
      <w:pPr>
        <w:jc w:val="both"/>
        <w:rPr>
          <w:rFonts w:ascii="Times New Roman Italique" w:hAnsi="Times New Roman Italique"/>
          <w:i/>
          <w:spacing w:val="-2"/>
        </w:rPr>
      </w:pPr>
    </w:p>
    <w:p w14:paraId="0622E988" w14:textId="77777777" w:rsidR="00CB1997" w:rsidRDefault="00CB1997" w:rsidP="00477B8F">
      <w:pPr>
        <w:autoSpaceDE w:val="0"/>
        <w:autoSpaceDN w:val="0"/>
        <w:adjustRightInd w:val="0"/>
        <w:jc w:val="center"/>
      </w:pPr>
    </w:p>
    <w:p w14:paraId="50844326" w14:textId="77777777" w:rsidR="00CB1997" w:rsidRDefault="00CB1997">
      <w:r>
        <w:br w:type="page"/>
      </w:r>
    </w:p>
    <w:p w14:paraId="6D8DC21E" w14:textId="0465CD5E" w:rsidR="00477B8F" w:rsidRPr="009118AB" w:rsidRDefault="00477B8F" w:rsidP="00477B8F">
      <w:pPr>
        <w:autoSpaceDE w:val="0"/>
        <w:autoSpaceDN w:val="0"/>
        <w:adjustRightInd w:val="0"/>
        <w:jc w:val="center"/>
      </w:pPr>
      <w:r w:rsidRPr="009118AB">
        <w:lastRenderedPageBreak/>
        <w:t>Unterabschnitt </w:t>
      </w:r>
      <w:r w:rsidR="00D74862" w:rsidRPr="009118AB">
        <w:t>3</w:t>
      </w:r>
      <w:r w:rsidR="00D67EB8" w:rsidRPr="009118AB">
        <w:t> - </w:t>
      </w:r>
      <w:r w:rsidRPr="009118AB">
        <w:t>[Fälligkeit des Vorabzugs]</w:t>
      </w:r>
    </w:p>
    <w:p w14:paraId="725CDBA7" w14:textId="77777777" w:rsidR="00477B8F" w:rsidRPr="009118AB" w:rsidRDefault="00477B8F" w:rsidP="00477B8F">
      <w:pPr>
        <w:autoSpaceDE w:val="0"/>
        <w:autoSpaceDN w:val="0"/>
        <w:adjustRightInd w:val="0"/>
        <w:jc w:val="center"/>
      </w:pPr>
    </w:p>
    <w:p w14:paraId="6F637F17" w14:textId="6B1C385A" w:rsidR="00477B8F" w:rsidRPr="009118AB" w:rsidRDefault="00477B8F" w:rsidP="00477B8F">
      <w:pPr>
        <w:autoSpaceDE w:val="0"/>
        <w:autoSpaceDN w:val="0"/>
        <w:adjustRightInd w:val="0"/>
        <w:jc w:val="both"/>
      </w:pPr>
      <w:r w:rsidRPr="009118AB">
        <w:rPr>
          <w:i/>
          <w:iCs/>
        </w:rPr>
        <w:t>[Überschrift von Unterabschnitt </w:t>
      </w:r>
      <w:r w:rsidR="00D74862" w:rsidRPr="009118AB">
        <w:rPr>
          <w:i/>
          <w:iCs/>
        </w:rPr>
        <w:t>3</w:t>
      </w:r>
      <w:r w:rsidRPr="009118AB">
        <w:rPr>
          <w:i/>
          <w:iCs/>
        </w:rPr>
        <w:t xml:space="preserve"> ersetzt durch </w:t>
      </w:r>
      <w:r w:rsidR="00D67EB8" w:rsidRPr="009118AB">
        <w:rPr>
          <w:i/>
          <w:iCs/>
        </w:rPr>
        <w:t>Art. </w:t>
      </w:r>
      <w:r w:rsidRPr="009118AB">
        <w:rPr>
          <w:i/>
          <w:iCs/>
        </w:rPr>
        <w:t>2 des G. vom 15. März 1999 (B.S. vom 27. März 1999)]</w:t>
      </w:r>
    </w:p>
    <w:p w14:paraId="570F8513" w14:textId="77777777" w:rsidR="00477B8F" w:rsidRPr="009118AB" w:rsidRDefault="00477B8F" w:rsidP="00477B8F">
      <w:pPr>
        <w:autoSpaceDE w:val="0"/>
        <w:autoSpaceDN w:val="0"/>
        <w:adjustRightInd w:val="0"/>
        <w:jc w:val="both"/>
      </w:pPr>
    </w:p>
    <w:p w14:paraId="0970FD27" w14:textId="77777777" w:rsidR="00477B8F" w:rsidRPr="009118AB" w:rsidRDefault="00477B8F" w:rsidP="00477B8F">
      <w:pPr>
        <w:autoSpaceDE w:val="0"/>
        <w:autoSpaceDN w:val="0"/>
        <w:adjustRightInd w:val="0"/>
        <w:jc w:val="both"/>
      </w:pPr>
    </w:p>
    <w:p w14:paraId="4EAC6D13" w14:textId="569E2967"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267</w:t>
      </w:r>
      <w:r w:rsidR="00D67EB8" w:rsidRPr="009118AB">
        <w:t> - </w:t>
      </w:r>
      <w:r w:rsidRPr="009118AB">
        <w:t>Die Zuerkennung oder Ausschüttung der Einkünfte [in bar oder in der Form von Sachgütern] bewirkt die [Fälligkeit] des Mobiliensteuervorabzugs.</w:t>
      </w:r>
    </w:p>
    <w:p w14:paraId="47E15CAD" w14:textId="77777777" w:rsidR="00477B8F" w:rsidRPr="009118AB" w:rsidRDefault="00477B8F" w:rsidP="00477B8F">
      <w:pPr>
        <w:autoSpaceDE w:val="0"/>
        <w:autoSpaceDN w:val="0"/>
        <w:adjustRightInd w:val="0"/>
        <w:jc w:val="both"/>
      </w:pPr>
    </w:p>
    <w:p w14:paraId="2BAD2C78" w14:textId="77777777" w:rsidR="00477B8F" w:rsidRPr="009118AB" w:rsidRDefault="00477B8F" w:rsidP="00477B8F">
      <w:pPr>
        <w:autoSpaceDE w:val="0"/>
        <w:autoSpaceDN w:val="0"/>
        <w:adjustRightInd w:val="0"/>
        <w:jc w:val="both"/>
      </w:pPr>
      <w:r w:rsidRPr="009118AB">
        <w:tab/>
        <w:t>Als Zuerkennung gilt insbesondere die Buchung eines Einkommens auf einem Konto, das zugunsten des Empfängers eröffnet ist, selbst wenn dieses Konto unverfügbar ist, sofern die Unverfügbarkeit auf einem ausdrücklichen oder stillschweigenden Einverständnis des Empfängers beruht.</w:t>
      </w:r>
    </w:p>
    <w:p w14:paraId="2D8FC658" w14:textId="77777777" w:rsidR="00477B8F" w:rsidRPr="009118AB" w:rsidRDefault="00477B8F" w:rsidP="00477B8F">
      <w:pPr>
        <w:autoSpaceDE w:val="0"/>
        <w:autoSpaceDN w:val="0"/>
        <w:adjustRightInd w:val="0"/>
        <w:jc w:val="both"/>
      </w:pPr>
    </w:p>
    <w:p w14:paraId="7FB8F422" w14:textId="77777777" w:rsidR="00477B8F" w:rsidRPr="009118AB" w:rsidRDefault="00477B8F" w:rsidP="00477B8F">
      <w:pPr>
        <w:autoSpaceDE w:val="0"/>
        <w:autoSpaceDN w:val="0"/>
        <w:adjustRightInd w:val="0"/>
        <w:jc w:val="both"/>
      </w:pPr>
      <w:r w:rsidRPr="009118AB">
        <w:tab/>
        <w:t>[...]</w:t>
      </w:r>
    </w:p>
    <w:p w14:paraId="757AB835" w14:textId="77777777" w:rsidR="00477B8F" w:rsidRPr="009118AB" w:rsidRDefault="00477B8F" w:rsidP="00477B8F">
      <w:pPr>
        <w:autoSpaceDE w:val="0"/>
        <w:autoSpaceDN w:val="0"/>
        <w:adjustRightInd w:val="0"/>
        <w:jc w:val="both"/>
      </w:pPr>
    </w:p>
    <w:p w14:paraId="7FF9ACD4" w14:textId="374E9216" w:rsidR="00477B8F" w:rsidRPr="009118AB" w:rsidRDefault="00477B8F" w:rsidP="00477B8F">
      <w:pPr>
        <w:autoSpaceDE w:val="0"/>
        <w:autoSpaceDN w:val="0"/>
        <w:adjustRightInd w:val="0"/>
        <w:jc w:val="both"/>
      </w:pPr>
      <w:r w:rsidRPr="009118AB">
        <w:tab/>
        <w:t xml:space="preserve">[Die Zuerkennung oder Ausschüttung von Einkünften durch einen in [Artikel 265 Absatz 1 </w:t>
      </w:r>
      <w:r w:rsidR="00D67EB8" w:rsidRPr="009118AB">
        <w:t>Nr. </w:t>
      </w:r>
      <w:r w:rsidRPr="009118AB">
        <w:t>2] erwähnten Fonds für Anlagen in Schuldforderungen bewirkt ebenfalls die [Fälligkeit] des Mobiliensteuervorabzugs in dem Maße, wie diese Einkünfte aus Einkünften wie in Artikel 17 erwähnt hervorgehen.]</w:t>
      </w:r>
    </w:p>
    <w:p w14:paraId="286850A8" w14:textId="77777777" w:rsidR="00477B8F" w:rsidRPr="009118AB" w:rsidRDefault="00477B8F" w:rsidP="00477B8F">
      <w:pPr>
        <w:autoSpaceDE w:val="0"/>
        <w:autoSpaceDN w:val="0"/>
        <w:adjustRightInd w:val="0"/>
        <w:jc w:val="both"/>
      </w:pPr>
    </w:p>
    <w:p w14:paraId="44EAF873" w14:textId="77777777" w:rsidR="00477B8F" w:rsidRPr="009118AB" w:rsidRDefault="00477B8F" w:rsidP="00477B8F">
      <w:pPr>
        <w:autoSpaceDE w:val="0"/>
        <w:autoSpaceDN w:val="0"/>
        <w:adjustRightInd w:val="0"/>
        <w:jc w:val="both"/>
      </w:pPr>
      <w:r w:rsidRPr="009118AB">
        <w:tab/>
        <w:t>Für Einkünfte aus Geldeinlagen gilt, dass sie am letzten Tag des Zeitraums, auf den sie sich beziehen, zuerkannt oder ausgeschüttet werden.</w:t>
      </w:r>
    </w:p>
    <w:p w14:paraId="054A2F32" w14:textId="77777777" w:rsidR="00477B8F" w:rsidRPr="009118AB" w:rsidRDefault="00477B8F" w:rsidP="00477B8F">
      <w:pPr>
        <w:autoSpaceDE w:val="0"/>
        <w:autoSpaceDN w:val="0"/>
        <w:adjustRightInd w:val="0"/>
        <w:jc w:val="both"/>
      </w:pPr>
    </w:p>
    <w:p w14:paraId="0A01355C" w14:textId="77777777" w:rsidR="00477B8F" w:rsidRPr="009118AB" w:rsidRDefault="00477B8F" w:rsidP="00477B8F">
      <w:pPr>
        <w:autoSpaceDE w:val="0"/>
        <w:autoSpaceDN w:val="0"/>
        <w:adjustRightInd w:val="0"/>
        <w:jc w:val="both"/>
      </w:pPr>
      <w:r w:rsidRPr="009118AB">
        <w:tab/>
        <w:t>Für Zinsen auf Geld, das bei der Hinterlegungs</w:t>
      </w:r>
      <w:r w:rsidRPr="009118AB">
        <w:noBreakHyphen/>
        <w:t xml:space="preserve"> und Konsignationskasse hinterlegt ist, gilt, dass sie </w:t>
      </w:r>
      <w:r w:rsidR="0005678F" w:rsidRPr="009118AB">
        <w:t>[am letzten Tag des Monats der Rückerstattung]</w:t>
      </w:r>
      <w:r w:rsidRPr="009118AB">
        <w:t xml:space="preserve"> zuerkannt oder ausgeschüttet werden.</w:t>
      </w:r>
    </w:p>
    <w:p w14:paraId="6B68B3A1" w14:textId="77777777" w:rsidR="00477B8F" w:rsidRPr="009118AB" w:rsidRDefault="00477B8F" w:rsidP="00477B8F">
      <w:pPr>
        <w:autoSpaceDE w:val="0"/>
        <w:autoSpaceDN w:val="0"/>
        <w:adjustRightInd w:val="0"/>
        <w:jc w:val="both"/>
      </w:pPr>
    </w:p>
    <w:p w14:paraId="2AC023F2" w14:textId="6D0181A6" w:rsidR="00477B8F" w:rsidRPr="009118AB" w:rsidRDefault="00477B8F" w:rsidP="00477B8F">
      <w:pPr>
        <w:autoSpaceDE w:val="0"/>
        <w:autoSpaceDN w:val="0"/>
        <w:adjustRightInd w:val="0"/>
        <w:jc w:val="both"/>
      </w:pPr>
      <w:r w:rsidRPr="009118AB">
        <w:tab/>
        <w:t>Für Einkünfte, für die gemäß [</w:t>
      </w:r>
      <w:r w:rsidR="00E03EF1" w:rsidRPr="009118AB">
        <w:t xml:space="preserve">Artikel 262 </w:t>
      </w:r>
      <w:r w:rsidR="00D67EB8" w:rsidRPr="009118AB">
        <w:t>§ </w:t>
      </w:r>
      <w:r w:rsidR="00E03EF1" w:rsidRPr="009118AB">
        <w:t xml:space="preserve">1 und </w:t>
      </w:r>
      <w:r w:rsidR="00D67EB8" w:rsidRPr="009118AB">
        <w:t>§ </w:t>
      </w:r>
      <w:r w:rsidR="00E03EF1" w:rsidRPr="009118AB">
        <w:t xml:space="preserve">2 </w:t>
      </w:r>
      <w:r w:rsidR="00D67EB8" w:rsidRPr="009118AB">
        <w:t>Nr. </w:t>
      </w:r>
      <w:r w:rsidR="00E03EF1" w:rsidRPr="009118AB">
        <w:t>1 bis 4</w:t>
      </w:r>
      <w:r w:rsidRPr="009118AB">
        <w:t>] der Mobiliensteuervorabzug vom Empfänger geschuldet wird, gilt, dass sie am letzten Tag des Besteuerungszeitraums, in dem sie vom Empfänger bezogen werden, zuerkannt oder ausgeschüttet werden.</w:t>
      </w:r>
    </w:p>
    <w:p w14:paraId="282FC984" w14:textId="77777777" w:rsidR="00477B8F" w:rsidRPr="009118AB" w:rsidRDefault="00477B8F" w:rsidP="00477B8F">
      <w:pPr>
        <w:autoSpaceDE w:val="0"/>
        <w:autoSpaceDN w:val="0"/>
        <w:adjustRightInd w:val="0"/>
        <w:jc w:val="both"/>
      </w:pPr>
    </w:p>
    <w:p w14:paraId="4C52952F" w14:textId="04F61F5D" w:rsidR="00477B8F" w:rsidRPr="009118AB" w:rsidRDefault="00477B8F" w:rsidP="00477B8F">
      <w:pPr>
        <w:autoSpaceDE w:val="0"/>
        <w:autoSpaceDN w:val="0"/>
        <w:adjustRightInd w:val="0"/>
        <w:jc w:val="both"/>
      </w:pPr>
      <w:r w:rsidRPr="009118AB">
        <w:tab/>
        <w:t xml:space="preserve">[Als Zuerkennung gilt ebenfalls der Erwerb von Einkünften, die durch Veräußerung von Aktien oder Anteilen ausländischer Investmentgesellschaften unter den </w:t>
      </w:r>
      <w:r w:rsidR="002858D2" w:rsidRPr="009118AB">
        <w:t>[</w:t>
      </w:r>
      <w:r w:rsidRPr="009118AB">
        <w:t xml:space="preserve">in Artikel 19 </w:t>
      </w:r>
      <w:r w:rsidR="00D67EB8" w:rsidRPr="009118AB">
        <w:t>§ </w:t>
      </w:r>
      <w:r w:rsidRPr="009118AB">
        <w:t xml:space="preserve">1 </w:t>
      </w:r>
      <w:r w:rsidR="002858D2" w:rsidRPr="009118AB">
        <w:t xml:space="preserve">Absatz 1 </w:t>
      </w:r>
      <w:r w:rsidR="00D67EB8" w:rsidRPr="009118AB">
        <w:t>Nr. </w:t>
      </w:r>
      <w:r w:rsidRPr="009118AB">
        <w:t>4</w:t>
      </w:r>
      <w:r w:rsidR="002858D2" w:rsidRPr="009118AB">
        <w:t>]</w:t>
      </w:r>
      <w:r w:rsidRPr="009118AB">
        <w:t xml:space="preserve"> erwähnten Bedingungen entstehen.]</w:t>
      </w:r>
    </w:p>
    <w:p w14:paraId="173209D0" w14:textId="77777777" w:rsidR="00477B8F" w:rsidRPr="009118AB" w:rsidRDefault="00477B8F" w:rsidP="00477B8F">
      <w:pPr>
        <w:autoSpaceDE w:val="0"/>
        <w:autoSpaceDN w:val="0"/>
        <w:adjustRightInd w:val="0"/>
        <w:jc w:val="both"/>
      </w:pPr>
    </w:p>
    <w:p w14:paraId="75AF2CF4" w14:textId="77777777" w:rsidR="00E7692E" w:rsidRPr="009118AB" w:rsidRDefault="00E7692E" w:rsidP="00477B8F">
      <w:pPr>
        <w:autoSpaceDE w:val="0"/>
        <w:autoSpaceDN w:val="0"/>
        <w:adjustRightInd w:val="0"/>
        <w:jc w:val="both"/>
      </w:pPr>
      <w:r w:rsidRPr="009118AB">
        <w:tab/>
        <w:t>[</w:t>
      </w:r>
      <w:r w:rsidR="000F3808" w:rsidRPr="009118AB">
        <w:t>..</w:t>
      </w:r>
      <w:r w:rsidRPr="009118AB">
        <w:t>.]</w:t>
      </w:r>
    </w:p>
    <w:p w14:paraId="5C5C75EA" w14:textId="77777777" w:rsidR="00E7692E" w:rsidRPr="009118AB" w:rsidRDefault="00E7692E" w:rsidP="00477B8F">
      <w:pPr>
        <w:autoSpaceDE w:val="0"/>
        <w:autoSpaceDN w:val="0"/>
        <w:adjustRightInd w:val="0"/>
        <w:jc w:val="both"/>
      </w:pPr>
    </w:p>
    <w:p w14:paraId="622473CA" w14:textId="5D1068F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267 </w:t>
      </w:r>
      <w:r w:rsidR="00D67EB8" w:rsidRPr="009118AB">
        <w:rPr>
          <w:i/>
          <w:iCs/>
        </w:rPr>
        <w:t>Abs. </w:t>
      </w:r>
      <w:r w:rsidRPr="009118AB">
        <w:rPr>
          <w:i/>
          <w:iCs/>
        </w:rPr>
        <w:t xml:space="preserve">1 abgeändert durch </w:t>
      </w:r>
      <w:r w:rsidR="00D67EB8" w:rsidRPr="009118AB">
        <w:rPr>
          <w:i/>
          <w:iCs/>
        </w:rPr>
        <w:t>Art. </w:t>
      </w:r>
      <w:r w:rsidRPr="009118AB">
        <w:rPr>
          <w:i/>
          <w:iCs/>
        </w:rPr>
        <w:t xml:space="preserve">3 </w:t>
      </w:r>
      <w:r w:rsidR="00D67EB8" w:rsidRPr="009118AB">
        <w:rPr>
          <w:i/>
          <w:iCs/>
        </w:rPr>
        <w:t>Nr. </w:t>
      </w:r>
      <w:r w:rsidRPr="009118AB">
        <w:rPr>
          <w:i/>
          <w:iCs/>
        </w:rPr>
        <w:t xml:space="preserve">1 des G. vom 15. März 1999 (B.S. vom 27. März 1999) und </w:t>
      </w:r>
      <w:r w:rsidR="00D67EB8" w:rsidRPr="009118AB">
        <w:rPr>
          <w:i/>
          <w:iCs/>
        </w:rPr>
        <w:t>Art. </w:t>
      </w:r>
      <w:r w:rsidRPr="009118AB">
        <w:rPr>
          <w:i/>
          <w:iCs/>
        </w:rPr>
        <w:t xml:space="preserve">9 </w:t>
      </w:r>
      <w:r w:rsidR="00D67EB8" w:rsidRPr="009118AB">
        <w:rPr>
          <w:i/>
          <w:iCs/>
        </w:rPr>
        <w:t>Nr. </w:t>
      </w:r>
      <w:r w:rsidRPr="009118AB">
        <w:rPr>
          <w:i/>
          <w:iCs/>
        </w:rPr>
        <w:t>1 des G. vom 25. April 2006 (B.S. vom 28. April 2006)</w:t>
      </w:r>
      <w:r w:rsidR="00D67EB8" w:rsidRPr="009118AB">
        <w:rPr>
          <w:i/>
          <w:iCs/>
        </w:rPr>
        <w:t> - </w:t>
      </w:r>
      <w:r w:rsidRPr="009118AB">
        <w:rPr>
          <w:i/>
          <w:iCs/>
        </w:rPr>
        <w:t>anwendbar auf Einkünfte aus beweglichen Gütern, die ab dem 1. Juni 2006 anders als in bar zuerkannt oder ausgeschüttet werden</w:t>
      </w:r>
      <w:r w:rsidR="003366D9" w:rsidRPr="009118AB">
        <w:rPr>
          <w:i/>
          <w:iCs/>
        </w:rPr>
        <w:t> -;</w:t>
      </w:r>
      <w:r w:rsidRPr="009118AB">
        <w:rPr>
          <w:i/>
          <w:iCs/>
        </w:rPr>
        <w:t xml:space="preserve"> früherer Absatz 3 aufgehoben durch </w:t>
      </w:r>
      <w:r w:rsidR="00D67EB8" w:rsidRPr="009118AB">
        <w:rPr>
          <w:i/>
          <w:iCs/>
        </w:rPr>
        <w:t>Art. </w:t>
      </w:r>
      <w:r w:rsidRPr="009118AB">
        <w:rPr>
          <w:i/>
          <w:iCs/>
        </w:rPr>
        <w:t xml:space="preserve">9 </w:t>
      </w:r>
      <w:r w:rsidR="00D67EB8" w:rsidRPr="009118AB">
        <w:rPr>
          <w:i/>
          <w:iCs/>
        </w:rPr>
        <w:t>Nr. </w:t>
      </w:r>
      <w:r w:rsidRPr="009118AB">
        <w:rPr>
          <w:i/>
          <w:iCs/>
        </w:rPr>
        <w:t>2 des G. vom 25. April 2006 (B.S. vom 28. April 2006)</w:t>
      </w:r>
      <w:r w:rsidR="00D67EB8" w:rsidRPr="009118AB">
        <w:rPr>
          <w:i/>
          <w:iCs/>
        </w:rPr>
        <w:t> - </w:t>
      </w:r>
      <w:r w:rsidRPr="009118AB">
        <w:rPr>
          <w:i/>
          <w:iCs/>
        </w:rPr>
        <w:t>anwendbar auf Einkünfte aus beweglichen Gütern, die ab dem 1. Juni 2006 anders als in bar zuerkannt oder ausgeschüttet werden</w:t>
      </w:r>
      <w:r w:rsidR="003366D9" w:rsidRPr="009118AB">
        <w:rPr>
          <w:i/>
          <w:iCs/>
        </w:rPr>
        <w:t> -;</w:t>
      </w:r>
      <w:r w:rsidRPr="009118AB">
        <w:rPr>
          <w:i/>
          <w:iCs/>
        </w:rPr>
        <w:t xml:space="preserve"> neuer Absatz 3 (früherer Absatz 4) eingefügt durch </w:t>
      </w:r>
      <w:r w:rsidR="00D67EB8" w:rsidRPr="009118AB">
        <w:rPr>
          <w:i/>
          <w:iCs/>
        </w:rPr>
        <w:t>Art. </w:t>
      </w:r>
      <w:r w:rsidRPr="009118AB">
        <w:rPr>
          <w:i/>
          <w:iCs/>
        </w:rPr>
        <w:t xml:space="preserve">9 des G. vom 4. April 1995 (B.S. vom 23. Mai 1995) und abgeändert durch </w:t>
      </w:r>
      <w:r w:rsidR="00D67EB8" w:rsidRPr="009118AB">
        <w:rPr>
          <w:i/>
          <w:iCs/>
        </w:rPr>
        <w:t>Art. </w:t>
      </w:r>
      <w:r w:rsidRPr="009118AB">
        <w:rPr>
          <w:i/>
          <w:iCs/>
        </w:rPr>
        <w:t xml:space="preserve">3 </w:t>
      </w:r>
      <w:r w:rsidR="00D67EB8" w:rsidRPr="009118AB">
        <w:rPr>
          <w:i/>
          <w:iCs/>
        </w:rPr>
        <w:t>Nr. </w:t>
      </w:r>
      <w:r w:rsidRPr="009118AB">
        <w:rPr>
          <w:i/>
          <w:iCs/>
        </w:rPr>
        <w:t xml:space="preserve">2 des G. vom 15. März 1999 </w:t>
      </w:r>
      <w:r w:rsidRPr="009118AB">
        <w:rPr>
          <w:i/>
          <w:iCs/>
          <w:spacing w:val="-5"/>
        </w:rPr>
        <w:t xml:space="preserve">(B.S. vom 27. März 1999) und </w:t>
      </w:r>
      <w:r w:rsidR="00D67EB8" w:rsidRPr="009118AB">
        <w:rPr>
          <w:i/>
          <w:iCs/>
          <w:spacing w:val="-5"/>
        </w:rPr>
        <w:t>Art. </w:t>
      </w:r>
      <w:r w:rsidRPr="009118AB">
        <w:rPr>
          <w:i/>
          <w:iCs/>
          <w:spacing w:val="-5"/>
        </w:rPr>
        <w:t xml:space="preserve">9 </w:t>
      </w:r>
      <w:r w:rsidR="00D67EB8" w:rsidRPr="009118AB">
        <w:rPr>
          <w:i/>
          <w:iCs/>
          <w:spacing w:val="-5"/>
        </w:rPr>
        <w:t>Nr. </w:t>
      </w:r>
      <w:r w:rsidRPr="009118AB">
        <w:rPr>
          <w:i/>
          <w:iCs/>
          <w:spacing w:val="-5"/>
        </w:rPr>
        <w:t>3 des G. vom 25. April 2006 (B.S. vom 28. April 2006)</w:t>
      </w:r>
      <w:r w:rsidR="00D67EB8" w:rsidRPr="009118AB">
        <w:rPr>
          <w:i/>
          <w:iCs/>
          <w:spacing w:val="-5"/>
        </w:rPr>
        <w:t> - </w:t>
      </w:r>
      <w:r w:rsidRPr="009118AB">
        <w:rPr>
          <w:i/>
          <w:iCs/>
          <w:spacing w:val="-5"/>
        </w:rPr>
        <w:t xml:space="preserve">anwendbar in Bezug auf Entschädigungen für fehlende Kupons oder für fehlende Lose auf Entschädigungen, die in Ausführung von Vereinbarungen über die Leistung von dinglichen </w:t>
      </w:r>
      <w:r w:rsidRPr="009118AB">
        <w:rPr>
          <w:i/>
          <w:iCs/>
          <w:spacing w:val="-5"/>
        </w:rPr>
        <w:lastRenderedPageBreak/>
        <w:t>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118AB">
        <w:rPr>
          <w:i/>
          <w:iCs/>
          <w:spacing w:val="-5"/>
        </w:rPr>
        <w:t> -;</w:t>
      </w:r>
      <w:r w:rsidRPr="009118AB">
        <w:rPr>
          <w:i/>
          <w:iCs/>
          <w:spacing w:val="-5"/>
        </w:rPr>
        <w:t xml:space="preserve"> </w:t>
      </w:r>
      <w:r w:rsidR="00D67EB8" w:rsidRPr="009118AB">
        <w:rPr>
          <w:i/>
          <w:iCs/>
          <w:spacing w:val="-5"/>
        </w:rPr>
        <w:t>Abs. </w:t>
      </w:r>
      <w:r w:rsidR="00F73BBA" w:rsidRPr="009118AB">
        <w:rPr>
          <w:i/>
          <w:iCs/>
          <w:spacing w:val="-5"/>
        </w:rPr>
        <w:t xml:space="preserve">5 abgeändert durch </w:t>
      </w:r>
      <w:r w:rsidR="00D67EB8" w:rsidRPr="009118AB">
        <w:rPr>
          <w:i/>
          <w:iCs/>
          <w:spacing w:val="-5"/>
        </w:rPr>
        <w:t>Art. </w:t>
      </w:r>
      <w:r w:rsidR="00F73BBA" w:rsidRPr="009118AB">
        <w:rPr>
          <w:i/>
          <w:iCs/>
          <w:spacing w:val="-5"/>
        </w:rPr>
        <w:t>54</w:t>
      </w:r>
      <w:r w:rsidR="00F73BBA" w:rsidRPr="009118AB">
        <w:rPr>
          <w:i/>
          <w:iCs/>
        </w:rPr>
        <w:t xml:space="preserve"> des G. vom 18. Dezember 2015 (II) (B.S. vom 28. Dezember 2015)</w:t>
      </w:r>
      <w:r w:rsidR="00D67EB8" w:rsidRPr="009118AB">
        <w:rPr>
          <w:i/>
          <w:iCs/>
        </w:rPr>
        <w:t> - </w:t>
      </w:r>
      <w:r w:rsidR="00F73BBA" w:rsidRPr="009118AB">
        <w:rPr>
          <w:i/>
          <w:iCs/>
        </w:rPr>
        <w:t>anwendbar ab dem 1. Januar 2016</w:t>
      </w:r>
      <w:r w:rsidR="003366D9" w:rsidRPr="009118AB">
        <w:rPr>
          <w:i/>
          <w:iCs/>
        </w:rPr>
        <w:t> -;</w:t>
      </w:r>
      <w:r w:rsidR="00F73BBA" w:rsidRPr="009118AB">
        <w:rPr>
          <w:i/>
          <w:iCs/>
        </w:rPr>
        <w:t xml:space="preserve"> </w:t>
      </w:r>
      <w:r w:rsidR="00D67EB8" w:rsidRPr="009118AB">
        <w:rPr>
          <w:i/>
          <w:iCs/>
          <w:spacing w:val="-5"/>
        </w:rPr>
        <w:t>Abs. </w:t>
      </w:r>
      <w:r w:rsidRPr="009118AB">
        <w:rPr>
          <w:i/>
          <w:iCs/>
          <w:spacing w:val="-5"/>
        </w:rPr>
        <w:t xml:space="preserve">6 abgeändert durch </w:t>
      </w:r>
      <w:r w:rsidR="00D67EB8" w:rsidRPr="009118AB">
        <w:rPr>
          <w:i/>
          <w:iCs/>
          <w:spacing w:val="-5"/>
        </w:rPr>
        <w:t>Art. </w:t>
      </w:r>
      <w:r w:rsidRPr="009118AB">
        <w:rPr>
          <w:i/>
          <w:iCs/>
          <w:spacing w:val="-5"/>
        </w:rPr>
        <w:t xml:space="preserve">9 </w:t>
      </w:r>
      <w:r w:rsidR="00D67EB8" w:rsidRPr="009118AB">
        <w:rPr>
          <w:i/>
          <w:iCs/>
          <w:spacing w:val="-5"/>
        </w:rPr>
        <w:t>Nr. </w:t>
      </w:r>
      <w:r w:rsidRPr="009118AB">
        <w:rPr>
          <w:i/>
          <w:iCs/>
          <w:spacing w:val="-5"/>
        </w:rPr>
        <w:t>4 des G. vom 25. April 2006 (B.S. vom 28. April 2006)</w:t>
      </w:r>
      <w:r w:rsidR="00D67EB8" w:rsidRPr="009118AB">
        <w:rPr>
          <w:i/>
          <w:iCs/>
          <w:spacing w:val="-5"/>
        </w:rPr>
        <w:t> - </w:t>
      </w:r>
      <w:r w:rsidRPr="009118AB">
        <w:rPr>
          <w:i/>
          <w:iCs/>
          <w:spacing w:val="-5"/>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D67EB8" w:rsidRPr="009118AB">
        <w:rPr>
          <w:i/>
          <w:iCs/>
          <w:spacing w:val="-5"/>
        </w:rPr>
        <w:t> - </w:t>
      </w:r>
      <w:r w:rsidR="00E03EF1" w:rsidRPr="009118AB">
        <w:rPr>
          <w:i/>
          <w:iCs/>
          <w:spacing w:val="-5"/>
        </w:rPr>
        <w:t xml:space="preserve">und </w:t>
      </w:r>
      <w:r w:rsidR="00D67EB8" w:rsidRPr="009118AB">
        <w:rPr>
          <w:i/>
          <w:iCs/>
          <w:spacing w:val="-5"/>
        </w:rPr>
        <w:t>Art. </w:t>
      </w:r>
      <w:r w:rsidR="00E03EF1" w:rsidRPr="009118AB">
        <w:rPr>
          <w:i/>
          <w:iCs/>
          <w:spacing w:val="-5"/>
        </w:rPr>
        <w:t>19 des G. vom 2</w:t>
      </w:r>
      <w:r w:rsidR="00306781" w:rsidRPr="009118AB">
        <w:rPr>
          <w:i/>
          <w:iCs/>
          <w:spacing w:val="-5"/>
        </w:rPr>
        <w:t>8</w:t>
      </w:r>
      <w:r w:rsidR="00E03EF1" w:rsidRPr="009118AB">
        <w:rPr>
          <w:i/>
          <w:iCs/>
          <w:spacing w:val="-5"/>
        </w:rPr>
        <w:t xml:space="preserve">. April 2019 (B.S. vom </w:t>
      </w:r>
      <w:r w:rsidR="00306781" w:rsidRPr="009118AB">
        <w:rPr>
          <w:i/>
          <w:iCs/>
          <w:spacing w:val="-5"/>
        </w:rPr>
        <w:t>6</w:t>
      </w:r>
      <w:r w:rsidR="00E03EF1" w:rsidRPr="009118AB">
        <w:rPr>
          <w:i/>
          <w:iCs/>
          <w:spacing w:val="-5"/>
        </w:rPr>
        <w:t>. Mai 2019)</w:t>
      </w:r>
      <w:r w:rsidR="00D67EB8" w:rsidRPr="009118AB">
        <w:rPr>
          <w:i/>
          <w:iCs/>
          <w:spacing w:val="-5"/>
        </w:rPr>
        <w:t> - </w:t>
      </w:r>
      <w:r w:rsidR="00E03EF1" w:rsidRPr="009118AB">
        <w:rPr>
          <w:i/>
          <w:iCs/>
          <w:spacing w:val="-5"/>
        </w:rPr>
        <w:t>in Kraft am 6. Mai 2019 und anwendbar auf die ab diesem Datum zuerkannten, ausgeschütteten, eingenommenen oder bezogenen Einkünfte</w:t>
      </w:r>
      <w:r w:rsidR="003366D9" w:rsidRPr="009118AB">
        <w:rPr>
          <w:i/>
          <w:iCs/>
          <w:spacing w:val="-5"/>
        </w:rPr>
        <w:t> -;</w:t>
      </w:r>
      <w:r w:rsidRPr="009118AB">
        <w:rPr>
          <w:i/>
          <w:iCs/>
          <w:spacing w:val="-5"/>
        </w:rPr>
        <w:t xml:space="preserve"> </w:t>
      </w:r>
      <w:r w:rsidR="00D67EB8" w:rsidRPr="009118AB">
        <w:rPr>
          <w:i/>
          <w:iCs/>
          <w:spacing w:val="-5"/>
        </w:rPr>
        <w:t>Abs. </w:t>
      </w:r>
      <w:r w:rsidRPr="009118AB">
        <w:rPr>
          <w:i/>
          <w:iCs/>
          <w:spacing w:val="-5"/>
        </w:rPr>
        <w:t xml:space="preserve">7 (früherer Absatz 8) eingefügt </w:t>
      </w:r>
      <w:r w:rsidRPr="009118AB">
        <w:rPr>
          <w:rFonts w:ascii="Times New Roman Italique" w:hAnsi="Times New Roman Italique"/>
          <w:i/>
          <w:iCs/>
          <w:spacing w:val="2"/>
        </w:rPr>
        <w:t xml:space="preserve">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7 des G.</w:t>
      </w:r>
      <w:r w:rsidR="002858D2" w:rsidRPr="009118AB">
        <w:rPr>
          <w:rFonts w:ascii="Times New Roman Italique" w:hAnsi="Times New Roman Italique"/>
          <w:i/>
          <w:iCs/>
          <w:spacing w:val="2"/>
        </w:rPr>
        <w:t> </w:t>
      </w:r>
      <w:r w:rsidRPr="009118AB">
        <w:rPr>
          <w:rFonts w:ascii="Times New Roman Italique" w:hAnsi="Times New Roman Italique"/>
          <w:i/>
          <w:iCs/>
          <w:spacing w:val="2"/>
        </w:rPr>
        <w:t>vom 20. März 1996 (B.S. vom 7. Mai 1996)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7. April 1995 ausgegebenen Aktien oder Anteile oder gezeichneten Verträge</w:t>
      </w:r>
      <w:r w:rsidR="00D67EB8" w:rsidRPr="009118AB">
        <w:rPr>
          <w:rFonts w:ascii="Times New Roman Italique" w:hAnsi="Times New Roman Italique"/>
          <w:i/>
          <w:iCs/>
          <w:spacing w:val="2"/>
        </w:rPr>
        <w:t> - </w:t>
      </w:r>
      <w:r w:rsidR="002858D2"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2858D2" w:rsidRPr="009118AB">
        <w:rPr>
          <w:rFonts w:ascii="Times New Roman Italique" w:hAnsi="Times New Roman Italique"/>
          <w:i/>
          <w:iCs/>
          <w:spacing w:val="2"/>
        </w:rPr>
        <w:t>7 des G. vom 28. Juli 20</w:t>
      </w:r>
      <w:r w:rsidR="00BC6637" w:rsidRPr="009118AB">
        <w:rPr>
          <w:rFonts w:ascii="Times New Roman Italique" w:hAnsi="Times New Roman Italique"/>
          <w:i/>
          <w:iCs/>
          <w:spacing w:val="2"/>
        </w:rPr>
        <w:t>11 (B.S. vom 11. August 2011)</w:t>
      </w:r>
      <w:r w:rsidR="00D67EB8" w:rsidRPr="009118AB">
        <w:rPr>
          <w:rFonts w:ascii="Times New Roman Italique" w:hAnsi="Times New Roman Italique"/>
          <w:i/>
          <w:iCs/>
          <w:spacing w:val="2"/>
        </w:rPr>
        <w:t> - </w:t>
      </w:r>
      <w:r w:rsidR="00BC6637" w:rsidRPr="009118AB">
        <w:rPr>
          <w:rFonts w:ascii="Times New Roman Italique" w:hAnsi="Times New Roman Italique"/>
          <w:i/>
          <w:iCs/>
          <w:spacing w:val="2"/>
        </w:rPr>
        <w:t>wirksam mit 1. Januar 2011</w:t>
      </w:r>
      <w:r w:rsidR="003366D9" w:rsidRPr="009118AB">
        <w:rPr>
          <w:rFonts w:ascii="Times New Roman Italique" w:hAnsi="Times New Roman Italique"/>
          <w:i/>
          <w:iCs/>
          <w:spacing w:val="2"/>
        </w:rPr>
        <w:t> </w:t>
      </w:r>
      <w:r w:rsidR="003366D9" w:rsidRPr="009118AB">
        <w:rPr>
          <w:rFonts w:ascii="Times New Roman Italique" w:hAnsi="Times New Roman Italique" w:hint="eastAsia"/>
          <w:i/>
          <w:iCs/>
          <w:spacing w:val="2"/>
        </w:rPr>
        <w:t>-;</w:t>
      </w:r>
      <w:r w:rsidR="00AC093D"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AC093D" w:rsidRPr="009118AB">
        <w:rPr>
          <w:rFonts w:ascii="Times New Roman Italique" w:hAnsi="Times New Roman Italique"/>
          <w:i/>
          <w:iCs/>
          <w:spacing w:val="2"/>
        </w:rPr>
        <w:t xml:space="preserve">8 eingefügt durch </w:t>
      </w:r>
      <w:r w:rsidR="00D67EB8" w:rsidRPr="009118AB">
        <w:rPr>
          <w:rFonts w:ascii="Times New Roman Italique" w:hAnsi="Times New Roman Italique"/>
          <w:i/>
          <w:iCs/>
          <w:spacing w:val="2"/>
        </w:rPr>
        <w:t>Art. </w:t>
      </w:r>
      <w:r w:rsidR="00AC093D" w:rsidRPr="009118AB">
        <w:rPr>
          <w:rFonts w:ascii="Times New Roman Italique" w:hAnsi="Times New Roman Italique"/>
          <w:i/>
          <w:iCs/>
          <w:spacing w:val="2"/>
        </w:rPr>
        <w:t>78</w:t>
      </w:r>
      <w:r w:rsidR="00AC093D" w:rsidRPr="009118AB">
        <w:rPr>
          <w:rFonts w:ascii="Times New Roman Italique" w:hAnsi="Times New Roman Italique"/>
          <w:i/>
          <w:spacing w:val="2"/>
        </w:rPr>
        <w:t xml:space="preserve"> des G. vom 26. Dezember 2015 (II) (B.S. vom 30. Dezember 2015)</w:t>
      </w:r>
      <w:r w:rsidR="00D67EB8" w:rsidRPr="009118AB">
        <w:rPr>
          <w:rFonts w:ascii="Times New Roman Italique" w:hAnsi="Times New Roman Italique"/>
          <w:spacing w:val="2"/>
        </w:rPr>
        <w:t> - </w:t>
      </w:r>
      <w:r w:rsidR="00AC093D" w:rsidRPr="009118AB">
        <w:rPr>
          <w:rFonts w:ascii="Times New Roman Italique" w:hAnsi="Times New Roman Italique"/>
          <w:i/>
          <w:spacing w:val="2"/>
        </w:rPr>
        <w:t>anwendbar auf Mehrwerte, die auf börsennotierte Aktien oder Anteile,</w:t>
      </w:r>
      <w:r w:rsidR="00AC093D" w:rsidRPr="009118AB">
        <w:rPr>
          <w:i/>
        </w:rPr>
        <w:t xml:space="preserv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0F3808" w:rsidRPr="009118AB">
        <w:rPr>
          <w:i/>
        </w:rPr>
        <w:t xml:space="preserve">und aufgehoben durch </w:t>
      </w:r>
      <w:r w:rsidR="00D67EB8" w:rsidRPr="009118AB">
        <w:rPr>
          <w:i/>
        </w:rPr>
        <w:t>Art. </w:t>
      </w:r>
      <w:r w:rsidR="000F3808" w:rsidRPr="009118AB">
        <w:rPr>
          <w:i/>
        </w:rPr>
        <w:t>88 des G. vom 25. Dezember 2016</w:t>
      </w:r>
      <w:r w:rsidR="001022BB" w:rsidRPr="009118AB">
        <w:rPr>
          <w:i/>
        </w:rPr>
        <w:t> (I)</w:t>
      </w:r>
      <w:r w:rsidR="000F3808" w:rsidRPr="009118AB">
        <w:rPr>
          <w:i/>
        </w:rPr>
        <w:t xml:space="preserve"> (B.S. vom 29. Dezember 2016)</w:t>
      </w:r>
      <w:r w:rsidR="00D67EB8" w:rsidRPr="009118AB">
        <w:rPr>
          <w:i/>
        </w:rPr>
        <w:t> - </w:t>
      </w:r>
      <w:r w:rsidR="000F3808" w:rsidRPr="009118AB">
        <w:rPr>
          <w:i/>
        </w:rPr>
        <w:t>in Kraft am 1. Januar 2017 und anwendbar auf die ab dem 1. Januar 2017 verwirklichten Mehrwerte</w:t>
      </w:r>
      <w:r w:rsidR="00FD68E8" w:rsidRPr="009118AB">
        <w:rPr>
          <w:i/>
        </w:rPr>
        <w:t> -]</w:t>
      </w:r>
    </w:p>
    <w:p w14:paraId="2B7AE7CC" w14:textId="5080554F" w:rsidR="00477B8F" w:rsidRPr="009118AB" w:rsidRDefault="00477B8F" w:rsidP="00477B8F">
      <w:pPr>
        <w:autoSpaceDE w:val="0"/>
        <w:autoSpaceDN w:val="0"/>
        <w:adjustRightInd w:val="0"/>
        <w:jc w:val="center"/>
      </w:pPr>
      <w:r w:rsidRPr="009118AB">
        <w:br w:type="page"/>
      </w:r>
      <w:r w:rsidRPr="009118AB">
        <w:lastRenderedPageBreak/>
        <w:t>Unterabschnitt </w:t>
      </w:r>
      <w:r w:rsidR="00D74862" w:rsidRPr="009118AB">
        <w:t>4</w:t>
      </w:r>
      <w:r w:rsidR="00D67EB8" w:rsidRPr="009118AB">
        <w:t> - </w:t>
      </w:r>
      <w:r w:rsidRPr="009118AB">
        <w:t>Berechnung des Vorabzugs</w:t>
      </w:r>
    </w:p>
    <w:p w14:paraId="251B47AA" w14:textId="77777777" w:rsidR="00477B8F" w:rsidRPr="009118AB" w:rsidRDefault="00477B8F" w:rsidP="00477B8F">
      <w:pPr>
        <w:autoSpaceDE w:val="0"/>
        <w:autoSpaceDN w:val="0"/>
        <w:adjustRightInd w:val="0"/>
        <w:jc w:val="center"/>
      </w:pPr>
    </w:p>
    <w:p w14:paraId="22991455" w14:textId="77777777" w:rsidR="00477B8F" w:rsidRPr="009118AB" w:rsidRDefault="00477B8F" w:rsidP="00477B8F">
      <w:pPr>
        <w:autoSpaceDE w:val="0"/>
        <w:autoSpaceDN w:val="0"/>
        <w:adjustRightInd w:val="0"/>
        <w:jc w:val="center"/>
      </w:pPr>
    </w:p>
    <w:p w14:paraId="65ADD6F8" w14:textId="7EAE4AE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268</w:t>
      </w:r>
      <w:r w:rsidR="00D67EB8" w:rsidRPr="009118AB">
        <w:t> - </w:t>
      </w:r>
      <w:r w:rsidRPr="009118AB">
        <w:t>Der Mobiliensteuervorabzug, den der Schuldner des Einkommens eventuell zur Entlastung des Empfängers zahlt, wird für die Berechnung des Mobiliensteuervorabzugs zum Betrag dieses Einkommens hinzugefügt.</w:t>
      </w:r>
    </w:p>
    <w:p w14:paraId="591CDCFB" w14:textId="77777777" w:rsidR="00477B8F" w:rsidRPr="009118AB" w:rsidRDefault="00477B8F" w:rsidP="00477B8F">
      <w:pPr>
        <w:autoSpaceDE w:val="0"/>
        <w:autoSpaceDN w:val="0"/>
        <w:adjustRightInd w:val="0"/>
        <w:jc w:val="both"/>
      </w:pPr>
    </w:p>
    <w:p w14:paraId="435670CF" w14:textId="77777777" w:rsidR="00477B8F" w:rsidRPr="009118AB" w:rsidRDefault="00477B8F" w:rsidP="00477B8F">
      <w:pPr>
        <w:autoSpaceDE w:val="0"/>
        <w:autoSpaceDN w:val="0"/>
        <w:adjustRightInd w:val="0"/>
        <w:jc w:val="both"/>
      </w:pPr>
    </w:p>
    <w:p w14:paraId="6632970E" w14:textId="10832C5E" w:rsidR="005F7990" w:rsidRPr="009118AB" w:rsidRDefault="00472D1D" w:rsidP="008E20BD">
      <w:pPr>
        <w:autoSpaceDE w:val="0"/>
        <w:autoSpaceDN w:val="0"/>
        <w:adjustRightInd w:val="0"/>
        <w:ind w:firstLine="709"/>
        <w:jc w:val="both"/>
        <w:rPr>
          <w:iCs/>
        </w:rPr>
      </w:pPr>
      <w:r w:rsidRPr="009118AB">
        <w:rPr>
          <w:b/>
          <w:bCs/>
        </w:rPr>
        <w:t>Art. 269 </w:t>
      </w:r>
      <w:r w:rsidR="00D67EB8" w:rsidRPr="009118AB">
        <w:t>- </w:t>
      </w:r>
      <w:r w:rsidR="005F7990" w:rsidRPr="009118AB">
        <w:rPr>
          <w:iCs/>
        </w:rPr>
        <w:t>[</w:t>
      </w:r>
      <w:r w:rsidR="00D67EB8" w:rsidRPr="009118AB">
        <w:rPr>
          <w:iCs/>
        </w:rPr>
        <w:t>§ </w:t>
      </w:r>
      <w:r w:rsidR="005F7990" w:rsidRPr="009118AB">
        <w:rPr>
          <w:iCs/>
        </w:rPr>
        <w:t>1]</w:t>
      </w:r>
      <w:r w:rsidR="00D67EB8" w:rsidRPr="009118AB">
        <w:rPr>
          <w:iCs/>
        </w:rPr>
        <w:t> - </w:t>
      </w:r>
      <w:r w:rsidR="005F7990" w:rsidRPr="009118AB">
        <w:rPr>
          <w:iCs/>
        </w:rPr>
        <w:t>[Der Steuersatz des Mobiliensteuervorabzugs wird festgelegt:</w:t>
      </w:r>
    </w:p>
    <w:p w14:paraId="3DD9D678" w14:textId="77777777" w:rsidR="005F7990" w:rsidRPr="009118AB" w:rsidRDefault="005F7990" w:rsidP="008E20BD">
      <w:pPr>
        <w:autoSpaceDE w:val="0"/>
        <w:autoSpaceDN w:val="0"/>
        <w:adjustRightInd w:val="0"/>
        <w:ind w:firstLine="709"/>
        <w:jc w:val="both"/>
        <w:rPr>
          <w:iCs/>
        </w:rPr>
      </w:pPr>
    </w:p>
    <w:p w14:paraId="69058006" w14:textId="6995CE3E" w:rsidR="005F7990" w:rsidRPr="009118AB" w:rsidRDefault="005F7990" w:rsidP="008E20BD">
      <w:pPr>
        <w:autoSpaceDE w:val="0"/>
        <w:autoSpaceDN w:val="0"/>
        <w:adjustRightInd w:val="0"/>
        <w:ind w:firstLine="709"/>
        <w:jc w:val="both"/>
        <w:rPr>
          <w:iCs/>
        </w:rPr>
      </w:pPr>
      <w:r w:rsidRPr="009118AB">
        <w:rPr>
          <w:iCs/>
        </w:rPr>
        <w:t>1. </w:t>
      </w:r>
      <w:r w:rsidR="001170C9" w:rsidRPr="009118AB">
        <w:rPr>
          <w:iCs/>
        </w:rPr>
        <w:t>[</w:t>
      </w:r>
      <w:r w:rsidR="001170C9" w:rsidRPr="009118AB">
        <w:t xml:space="preserve">auf </w:t>
      </w:r>
      <w:r w:rsidR="00B56C06" w:rsidRPr="009118AB">
        <w:t>[30</w:t>
      </w:r>
      <w:r w:rsidR="001170C9" w:rsidRPr="009118AB">
        <w:t> Prozent</w:t>
      </w:r>
      <w:r w:rsidR="00B56C06" w:rsidRPr="009118AB">
        <w:t>]</w:t>
      </w:r>
      <w:r w:rsidR="001170C9" w:rsidRPr="009118AB">
        <w:t xml:space="preserve"> für Einkünfte</w:t>
      </w:r>
      <w:r w:rsidR="001170C9" w:rsidRPr="009118AB">
        <w:rPr>
          <w:iCs/>
        </w:rPr>
        <w:t>]</w:t>
      </w:r>
      <w:r w:rsidRPr="009118AB">
        <w:rPr>
          <w:iCs/>
        </w:rPr>
        <w:t xml:space="preserve"> aus Kapitalvermögen und beweglichen Gütern, </w:t>
      </w:r>
      <w:r w:rsidR="008E20BD" w:rsidRPr="009118AB">
        <w:rPr>
          <w:iCs/>
        </w:rPr>
        <w:t>[</w:t>
      </w:r>
      <w:r w:rsidR="00347BA3" w:rsidRPr="009118AB">
        <w:t xml:space="preserve">die nicht </w:t>
      </w:r>
      <w:r w:rsidR="001170C9" w:rsidRPr="009118AB">
        <w:t>[</w:t>
      </w:r>
      <w:r w:rsidR="00B56C06" w:rsidRPr="009118AB">
        <w:t xml:space="preserve">in </w:t>
      </w:r>
      <w:r w:rsidR="00D67EB8" w:rsidRPr="009118AB">
        <w:t>Nr. </w:t>
      </w:r>
      <w:r w:rsidR="00B56C06" w:rsidRPr="009118AB">
        <w:t>2 bis</w:t>
      </w:r>
      <w:r w:rsidR="001170C9" w:rsidRPr="009118AB">
        <w:t xml:space="preserve"> 4</w:t>
      </w:r>
      <w:r w:rsidR="00B56C06" w:rsidRPr="009118AB">
        <w:t xml:space="preserve"> und</w:t>
      </w:r>
      <w:r w:rsidR="001170C9" w:rsidRPr="009118AB">
        <w:t xml:space="preserve"> 8]</w:t>
      </w:r>
      <w:r w:rsidR="00347BA3" w:rsidRPr="009118AB">
        <w:t xml:space="preserve"> erwähnt sind</w:t>
      </w:r>
      <w:r w:rsidR="008E20BD" w:rsidRPr="009118AB">
        <w:rPr>
          <w:iCs/>
        </w:rPr>
        <w:t>]</w:t>
      </w:r>
      <w:r w:rsidRPr="009118AB">
        <w:rPr>
          <w:iCs/>
        </w:rPr>
        <w:t>,</w:t>
      </w:r>
      <w:r w:rsidR="008E20BD" w:rsidRPr="009118AB">
        <w:rPr>
          <w:iCs/>
        </w:rPr>
        <w:t xml:space="preserve"> </w:t>
      </w:r>
      <w:r w:rsidRPr="009118AB">
        <w:rPr>
          <w:iCs/>
        </w:rPr>
        <w:t xml:space="preserve">und für die in </w:t>
      </w:r>
      <w:r w:rsidR="002240A3" w:rsidRPr="009118AB">
        <w:rPr>
          <w:iCs/>
        </w:rPr>
        <w:t>[</w:t>
      </w:r>
      <w:r w:rsidR="002240A3" w:rsidRPr="009118AB">
        <w:t xml:space="preserve">Artikel 90 Absatz 1 </w:t>
      </w:r>
      <w:r w:rsidR="00D67EB8" w:rsidRPr="009118AB">
        <w:t>Nr. </w:t>
      </w:r>
      <w:r w:rsidR="002240A3" w:rsidRPr="009118AB">
        <w:t>5 bis 7</w:t>
      </w:r>
      <w:r w:rsidR="002240A3" w:rsidRPr="009118AB">
        <w:rPr>
          <w:iCs/>
        </w:rPr>
        <w:t>]</w:t>
      </w:r>
      <w:r w:rsidRPr="009118AB">
        <w:rPr>
          <w:iCs/>
        </w:rPr>
        <w:t xml:space="preserve"> erwähnten verschiedenen Einkünfte,</w:t>
      </w:r>
    </w:p>
    <w:p w14:paraId="130D5C7F" w14:textId="77777777" w:rsidR="005F7990" w:rsidRPr="009118AB" w:rsidRDefault="005F7990" w:rsidP="008E20BD">
      <w:pPr>
        <w:autoSpaceDE w:val="0"/>
        <w:autoSpaceDN w:val="0"/>
        <w:adjustRightInd w:val="0"/>
        <w:ind w:firstLine="709"/>
        <w:jc w:val="both"/>
        <w:rPr>
          <w:iCs/>
        </w:rPr>
      </w:pPr>
    </w:p>
    <w:p w14:paraId="02A22059" w14:textId="34633EB4" w:rsidR="005F7990" w:rsidRPr="009118AB" w:rsidRDefault="005F7990" w:rsidP="008E20BD">
      <w:pPr>
        <w:autoSpaceDE w:val="0"/>
        <w:autoSpaceDN w:val="0"/>
        <w:adjustRightInd w:val="0"/>
        <w:ind w:firstLine="709"/>
        <w:jc w:val="both"/>
        <w:rPr>
          <w:iCs/>
        </w:rPr>
      </w:pPr>
      <w:r w:rsidRPr="009118AB">
        <w:rPr>
          <w:iCs/>
        </w:rPr>
        <w:t xml:space="preserve">2. auf 15 Prozent für die </w:t>
      </w:r>
      <w:r w:rsidR="00A50DAF" w:rsidRPr="009118AB">
        <w:rPr>
          <w:iCs/>
        </w:rPr>
        <w:t>[</w:t>
      </w:r>
      <w:r w:rsidRPr="009118AB">
        <w:rPr>
          <w:iCs/>
        </w:rPr>
        <w:t xml:space="preserve">in Artikel 21 </w:t>
      </w:r>
      <w:r w:rsidR="00A50DAF" w:rsidRPr="009118AB">
        <w:rPr>
          <w:iCs/>
        </w:rPr>
        <w:t xml:space="preserve">Absatz 1 </w:t>
      </w:r>
      <w:r w:rsidR="00D67EB8" w:rsidRPr="009118AB">
        <w:rPr>
          <w:iCs/>
        </w:rPr>
        <w:t>Nr. </w:t>
      </w:r>
      <w:r w:rsidRPr="009118AB">
        <w:rPr>
          <w:iCs/>
        </w:rPr>
        <w:t>5</w:t>
      </w:r>
      <w:r w:rsidR="00A50DAF" w:rsidRPr="009118AB">
        <w:rPr>
          <w:iCs/>
        </w:rPr>
        <w:t>]</w:t>
      </w:r>
      <w:r w:rsidRPr="009118AB">
        <w:rPr>
          <w:iCs/>
        </w:rPr>
        <w:t xml:space="preserve"> erwähnten Einkünfte aus Spareinlagen in dem Maße, wie sie in Bezug auf die an natürliche Personen gezahlten oder zuerkannten Einkünfte die </w:t>
      </w:r>
      <w:r w:rsidR="00B176A2" w:rsidRPr="009118AB">
        <w:rPr>
          <w:iCs/>
        </w:rPr>
        <w:t>[</w:t>
      </w:r>
      <w:r w:rsidRPr="009118AB">
        <w:rPr>
          <w:iCs/>
        </w:rPr>
        <w:t xml:space="preserve">in Artikel 21 </w:t>
      </w:r>
      <w:r w:rsidR="00B176A2" w:rsidRPr="009118AB">
        <w:rPr>
          <w:iCs/>
        </w:rPr>
        <w:t xml:space="preserve">Absatz 1 </w:t>
      </w:r>
      <w:r w:rsidR="00D67EB8" w:rsidRPr="009118AB">
        <w:rPr>
          <w:iCs/>
        </w:rPr>
        <w:t>Nr. </w:t>
      </w:r>
      <w:r w:rsidRPr="009118AB">
        <w:rPr>
          <w:iCs/>
        </w:rPr>
        <w:t>5</w:t>
      </w:r>
      <w:r w:rsidR="00B176A2" w:rsidRPr="009118AB">
        <w:rPr>
          <w:iCs/>
        </w:rPr>
        <w:t>]</w:t>
      </w:r>
      <w:r w:rsidRPr="009118AB">
        <w:rPr>
          <w:iCs/>
        </w:rPr>
        <w:t xml:space="preserve"> festgelegten Grenzen überschreiten,</w:t>
      </w:r>
    </w:p>
    <w:p w14:paraId="20BFB041" w14:textId="77777777" w:rsidR="005F7990" w:rsidRPr="009118AB" w:rsidRDefault="005F7990" w:rsidP="008E20BD">
      <w:pPr>
        <w:autoSpaceDE w:val="0"/>
        <w:autoSpaceDN w:val="0"/>
        <w:adjustRightInd w:val="0"/>
        <w:ind w:firstLine="709"/>
        <w:jc w:val="both"/>
        <w:rPr>
          <w:iCs/>
        </w:rPr>
      </w:pPr>
    </w:p>
    <w:p w14:paraId="74D970C0" w14:textId="705A47D3" w:rsidR="00B304FD" w:rsidRPr="009118AB" w:rsidRDefault="00C94264" w:rsidP="00C94264">
      <w:pPr>
        <w:jc w:val="both"/>
      </w:pPr>
      <w:r w:rsidRPr="009118AB">
        <w:rPr>
          <w:iCs/>
        </w:rPr>
        <w:tab/>
      </w:r>
      <w:r w:rsidR="005F7990" w:rsidRPr="009118AB">
        <w:rPr>
          <w:iCs/>
        </w:rPr>
        <w:t>3. </w:t>
      </w:r>
      <w:r w:rsidR="009A0D65" w:rsidRPr="009118AB">
        <w:rPr>
          <w:iCs/>
        </w:rPr>
        <w:t>[</w:t>
      </w:r>
      <w:r w:rsidR="00B304FD" w:rsidRPr="009118AB">
        <w:t>auf 15 Prozent für Dividenden, die ausgeschüttet werden von einer Investment</w:t>
      </w:r>
      <w:r w:rsidR="00B304FD" w:rsidRPr="009118AB">
        <w:softHyphen/>
        <w:t xml:space="preserve">gesellschaft mit fixem Kapital erwähnt in den Artikeln 195 Absatz 1 und 288 </w:t>
      </w:r>
      <w:r w:rsidR="00D67EB8" w:rsidRPr="009118AB">
        <w:t>§ </w:t>
      </w:r>
      <w:r w:rsidR="00B304FD" w:rsidRPr="009118AB">
        <w:t xml:space="preserve">1 des Gesetzes vom 19. April 2014 über alternative Organismen für gemeinsame Anlagen und ihre Verwalter, die als ausschließlichen Zweck gemeinsame Anlagen in der in Artikel 183 Absatz 1 </w:t>
      </w:r>
      <w:r w:rsidR="00D67EB8" w:rsidRPr="009118AB">
        <w:t>Nr. </w:t>
      </w:r>
      <w:r w:rsidR="00B304FD" w:rsidRPr="009118AB">
        <w:t xml:space="preserve">3 des vorerwähnten Gesetzes erwähnten Kategorie "Immobilien" hat, von einer ähnlichen Investmentgesellschaft erwähnt in Teil III Buch I Titel III des vorerwähnten Gesetzes oder von einer beaufsichtigten Immobiliengesellschaft, ungeachtet dessen, ob diese Investmentgesellschaft oder diese beaufsichtigte Immobiliengesellschaft ihre Wertpapiere in Belgien öffentlich anbietet, und sofern aufgrund von Artikel 338 oder einer entsprechenden Regelung ein Informationsaustausch durch den betreffenden Mitgliedstaat organisiert wird, </w:t>
      </w:r>
      <w:r w:rsidRPr="009118AB">
        <w:t>[</w:t>
      </w:r>
      <w:r w:rsidR="00B304FD" w:rsidRPr="009118AB">
        <w:t xml:space="preserve">in dem Maße, wie mindestens </w:t>
      </w:r>
      <w:r w:rsidRPr="009118AB">
        <w:t>8</w:t>
      </w:r>
      <w:r w:rsidR="00B304FD" w:rsidRPr="009118AB">
        <w:t>0 Prozent der Immobilien</w:t>
      </w:r>
      <w:r w:rsidRPr="009118AB">
        <w:t>]</w:t>
      </w:r>
      <w:r w:rsidR="00B304FD" w:rsidRPr="009118AB">
        <w:t xml:space="preserve"> im Sinne von Artikel 2 </w:t>
      </w:r>
      <w:r w:rsidR="00D67EB8" w:rsidRPr="009118AB">
        <w:t>Nr. </w:t>
      </w:r>
      <w:r w:rsidR="00B304FD" w:rsidRPr="009118AB">
        <w:t>20 des Königlichen Erlasses vom 7. Dezember 2010 über Immobilieninvestmentgesellschaften mit fixem Kapital oder</w:t>
      </w:r>
      <w:r w:rsidR="00D67EB8" w:rsidRPr="009118AB">
        <w:t> - </w:t>
      </w:r>
      <w:r w:rsidR="00B304FD" w:rsidRPr="009118AB">
        <w:t>hinsichtlich einer beaufsichtigten Immobiliengesellschaft</w:t>
      </w:r>
      <w:r w:rsidR="00D67EB8" w:rsidRPr="009118AB">
        <w:t> - </w:t>
      </w:r>
      <w:r w:rsidR="00B304FD" w:rsidRPr="009118AB">
        <w:t xml:space="preserve">von Artikel 2 </w:t>
      </w:r>
      <w:r w:rsidR="00D67EB8" w:rsidRPr="009118AB">
        <w:t>Nr. </w:t>
      </w:r>
      <w:r w:rsidR="00B304FD" w:rsidRPr="009118AB">
        <w:t>5 des Gesetzes vom 12. Mai 2014 über die beaufsichtigten Immobiliengesellschaften durch diese Investmentgesellschaft oder durch diese beaufsichtigte Immobiliengesellschaft direkt oder indirekt in unbewegliche Güter investiert werden, die in einem Mitgliedstaat des Europäischen Wirtschaftsraums gelegen sind und ausschließlich oder hauptsächlich als eine an die Wohn- oder Gesundheitspflege angepasste Wohneinheit genutzt werden oder zur Nutzung als solche bestimmt sind.</w:t>
      </w:r>
    </w:p>
    <w:p w14:paraId="54C75D00" w14:textId="77777777" w:rsidR="00B304FD" w:rsidRPr="009118AB" w:rsidRDefault="00B304FD" w:rsidP="00B304FD">
      <w:pPr>
        <w:jc w:val="both"/>
      </w:pPr>
    </w:p>
    <w:p w14:paraId="7F47AE86" w14:textId="77777777" w:rsidR="00B304FD" w:rsidRPr="009118AB" w:rsidRDefault="00B304FD" w:rsidP="00B304FD">
      <w:pPr>
        <w:jc w:val="both"/>
      </w:pPr>
      <w:r w:rsidRPr="009118AB">
        <w:tab/>
        <w:t>Bei Immobilien, die nicht ausschließlich als eine an die Wohn- oder Gesund</w:t>
      </w:r>
      <w:r w:rsidRPr="009118AB">
        <w:softHyphen/>
        <w:t>heitspflege angepasste Wohneinheit genutzt werden oder zur Nutzung als solche bestimmt sind oder die nur während eines Teils des Besteuerungszeitraums als solche genutzt werden oder zur Nutzung als solche bestimmt sind, werden für die Festlegung des in Absatz 1 erwähnten Prozentsatzes nur die anteilige Zeit und Fläche, die tatsächlich zur Wohn- oder Gesundheitspflege genutzt werden, berücksichtigt.</w:t>
      </w:r>
    </w:p>
    <w:p w14:paraId="7BFF4F99" w14:textId="39497ABA" w:rsidR="00B304FD" w:rsidRPr="009118AB" w:rsidRDefault="00B304FD" w:rsidP="00B304FD">
      <w:pPr>
        <w:jc w:val="both"/>
      </w:pPr>
    </w:p>
    <w:p w14:paraId="52F601AB" w14:textId="126A60F5" w:rsidR="00C94264" w:rsidRPr="009118AB" w:rsidRDefault="00C94264" w:rsidP="00B304FD">
      <w:pPr>
        <w:jc w:val="both"/>
        <w:rPr>
          <w:rFonts w:eastAsia="Calibri"/>
          <w:szCs w:val="22"/>
          <w:lang w:eastAsia="en-US"/>
        </w:rPr>
      </w:pPr>
      <w:r w:rsidRPr="009118AB">
        <w:tab/>
        <w:t>[</w:t>
      </w:r>
      <w:r w:rsidRPr="009118AB">
        <w:rPr>
          <w:rFonts w:eastAsia="Calibri"/>
          <w:szCs w:val="22"/>
          <w:lang w:eastAsia="en-US"/>
        </w:rPr>
        <w:t>Die Festlegung des in Absatz 1 erwähnten Prozentsatzes erfolgt, indem die Werte der Bewertungen und Aktualisierungen im Sinne von Artikel 29 des Königlichen Erlasses vom 7. Dezember 2010 über Immobilieninvestmentgesellschaften mit fixem Kapital oder</w:t>
      </w:r>
      <w:r w:rsidR="00D67EB8" w:rsidRPr="009118AB">
        <w:rPr>
          <w:rFonts w:eastAsia="Calibri"/>
          <w:szCs w:val="22"/>
          <w:lang w:eastAsia="en-US"/>
        </w:rPr>
        <w:t> - </w:t>
      </w:r>
      <w:r w:rsidRPr="009118AB">
        <w:rPr>
          <w:rFonts w:eastAsia="Calibri"/>
          <w:szCs w:val="22"/>
          <w:lang w:eastAsia="en-US"/>
        </w:rPr>
        <w:t>hinsichtlich einer beaufsichtigten Immobiliengesellschaft</w:t>
      </w:r>
      <w:r w:rsidR="00D67EB8" w:rsidRPr="009118AB">
        <w:rPr>
          <w:rFonts w:eastAsia="Calibri"/>
          <w:szCs w:val="22"/>
          <w:lang w:eastAsia="en-US"/>
        </w:rPr>
        <w:t> - </w:t>
      </w:r>
      <w:r w:rsidRPr="009118AB">
        <w:rPr>
          <w:rFonts w:eastAsia="Calibri"/>
          <w:szCs w:val="22"/>
          <w:lang w:eastAsia="en-US"/>
        </w:rPr>
        <w:t xml:space="preserve">gemäß Artikel 47 des Gesetzes vom 12. Mai 2014 über die beaufsichtigten Immobiliengesellschaften, die sich auf </w:t>
      </w:r>
      <w:r w:rsidRPr="009118AB">
        <w:rPr>
          <w:rFonts w:eastAsia="Calibri"/>
          <w:szCs w:val="22"/>
          <w:lang w:eastAsia="en-US"/>
        </w:rPr>
        <w:lastRenderedPageBreak/>
        <w:t>unbewegliche Güter beziehen, die in einem Mitgliedstaat des Europäischen Wirtschaftsraums gelegen sind und ausschließlich oder hauptsächlich als eine an die Wohn- oder Gesundheitspflege angepasste Wohneinheit genutzt werden oder zur Nutzung als solche bestimmt sind, zu den verschiedenen Bezugszeitpunkten addiert werden und durch den Gesamtwert dieser Bewertungen und Aktualisierungen zu den verschiedenen Bezugszeit</w:t>
      </w:r>
      <w:r w:rsidRPr="009118AB">
        <w:rPr>
          <w:rFonts w:eastAsia="Calibri"/>
          <w:szCs w:val="22"/>
          <w:lang w:eastAsia="en-US"/>
        </w:rPr>
        <w:softHyphen/>
        <w:t>punkten geteilt werden.]</w:t>
      </w:r>
    </w:p>
    <w:p w14:paraId="010B776F" w14:textId="77777777" w:rsidR="00C94264" w:rsidRPr="009118AB" w:rsidRDefault="00C94264" w:rsidP="00B304FD">
      <w:pPr>
        <w:jc w:val="both"/>
      </w:pPr>
    </w:p>
    <w:p w14:paraId="0C9DA9C7" w14:textId="77777777" w:rsidR="005F7990" w:rsidRPr="009118AB" w:rsidRDefault="00B304FD" w:rsidP="00B304FD">
      <w:pPr>
        <w:autoSpaceDE w:val="0"/>
        <w:autoSpaceDN w:val="0"/>
        <w:adjustRightInd w:val="0"/>
        <w:ind w:firstLine="709"/>
        <w:jc w:val="both"/>
        <w:rPr>
          <w:iCs/>
        </w:rPr>
      </w:pPr>
      <w:r w:rsidRPr="009118AB">
        <w:t>Der König bestimmt, wie der Nachweis zu erbringen ist, dass die vorstehenden Bedingungen erfüllt sind,</w:t>
      </w:r>
      <w:r w:rsidR="009A0D65" w:rsidRPr="009118AB">
        <w:t>]</w:t>
      </w:r>
    </w:p>
    <w:p w14:paraId="17870140" w14:textId="77777777" w:rsidR="005F7990" w:rsidRPr="009118AB" w:rsidRDefault="005F7990" w:rsidP="008E20BD">
      <w:pPr>
        <w:autoSpaceDE w:val="0"/>
        <w:autoSpaceDN w:val="0"/>
        <w:adjustRightInd w:val="0"/>
        <w:ind w:firstLine="709"/>
        <w:jc w:val="both"/>
        <w:rPr>
          <w:iCs/>
        </w:rPr>
      </w:pPr>
    </w:p>
    <w:p w14:paraId="3147B271" w14:textId="77E91A7E" w:rsidR="005F7990" w:rsidRPr="009118AB" w:rsidRDefault="005F7990" w:rsidP="008E20BD">
      <w:pPr>
        <w:autoSpaceDE w:val="0"/>
        <w:autoSpaceDN w:val="0"/>
        <w:adjustRightInd w:val="0"/>
        <w:ind w:firstLine="709"/>
        <w:jc w:val="both"/>
        <w:rPr>
          <w:iCs/>
        </w:rPr>
      </w:pPr>
      <w:r w:rsidRPr="009118AB">
        <w:rPr>
          <w:iCs/>
        </w:rPr>
        <w:t>4. </w:t>
      </w:r>
      <w:r w:rsidR="008D35CF" w:rsidRPr="009118AB">
        <w:rPr>
          <w:iCs/>
        </w:rPr>
        <w:t>[auf 15 Prozent für den ersten Teilbetrag in Höhe des in Artikel 37 Absatz 2 erwähnten Betrags, der 30 Prozent oder 37.500 EUR nicht übersteigt, unbeschadet der Anwendung von Artikel 37 Absatz 3, oder in Höhe des in Artikel 551 erwähnten Betrags der in Artikel 17 § 1 Nr. 5 erwähnten Einkünfte, die aus der Abtretung von oder der Vergabe einer Lizenz für Urheberrechte und verwandte Schutzrechte hervorgehen oder über eine in Artikel I.16 § 1 Nr. 4 bis 6 des Wirtschaftsrechtsgesetzbuches erwähnte Organisation bezogen werden,]</w:t>
      </w:r>
    </w:p>
    <w:p w14:paraId="269569C0" w14:textId="77777777" w:rsidR="005F7990" w:rsidRPr="009118AB" w:rsidRDefault="005F7990" w:rsidP="008E20BD">
      <w:pPr>
        <w:autoSpaceDE w:val="0"/>
        <w:autoSpaceDN w:val="0"/>
        <w:adjustRightInd w:val="0"/>
        <w:ind w:firstLine="709"/>
        <w:jc w:val="both"/>
        <w:rPr>
          <w:iCs/>
        </w:rPr>
      </w:pPr>
    </w:p>
    <w:p w14:paraId="4D06B647" w14:textId="6F45851F" w:rsidR="005F7990" w:rsidRPr="009118AB" w:rsidRDefault="005F7990" w:rsidP="008E20BD">
      <w:pPr>
        <w:autoSpaceDE w:val="0"/>
        <w:autoSpaceDN w:val="0"/>
        <w:adjustRightInd w:val="0"/>
        <w:ind w:firstLine="709"/>
        <w:jc w:val="both"/>
        <w:rPr>
          <w:iCs/>
        </w:rPr>
      </w:pPr>
      <w:r w:rsidRPr="009118AB">
        <w:rPr>
          <w:iCs/>
        </w:rPr>
        <w:t>5</w:t>
      </w:r>
      <w:r w:rsidR="00BC111D" w:rsidRPr="009118AB">
        <w:rPr>
          <w:iCs/>
        </w:rPr>
        <w:t>. [</w:t>
      </w:r>
      <w:r w:rsidR="006224B2" w:rsidRPr="009118AB">
        <w:t xml:space="preserve">auf 15 Prozent für die in Artikel 21 </w:t>
      </w:r>
      <w:r w:rsidR="00D67EB8" w:rsidRPr="009118AB">
        <w:t>Nr. </w:t>
      </w:r>
      <w:r w:rsidR="006224B2" w:rsidRPr="009118AB">
        <w:t xml:space="preserve">5 erwähnten Einkünfte aus Spareinlagen in dem Maße, wie sie in Bezug auf die an natürliche Personen gezahlten oder zuerkannten Einkünfte die in </w:t>
      </w:r>
      <w:r w:rsidR="00D67EB8" w:rsidRPr="009118AB">
        <w:t>Nr. </w:t>
      </w:r>
      <w:r w:rsidR="006224B2" w:rsidRPr="009118AB">
        <w:t>5 des vorerwähnten Artikels festgelegten Grenzen überschreiten,</w:t>
      </w:r>
      <w:r w:rsidR="00BC111D" w:rsidRPr="009118AB">
        <w:rPr>
          <w:iCs/>
        </w:rPr>
        <w:t>]</w:t>
      </w:r>
    </w:p>
    <w:p w14:paraId="158B9F3B" w14:textId="77777777" w:rsidR="005F7990" w:rsidRPr="009118AB" w:rsidRDefault="005F7990" w:rsidP="008E20BD">
      <w:pPr>
        <w:autoSpaceDE w:val="0"/>
        <w:autoSpaceDN w:val="0"/>
        <w:adjustRightInd w:val="0"/>
        <w:ind w:firstLine="709"/>
        <w:jc w:val="both"/>
        <w:rPr>
          <w:iCs/>
        </w:rPr>
      </w:pPr>
    </w:p>
    <w:p w14:paraId="28686151" w14:textId="0A72FFBD" w:rsidR="005F7990" w:rsidRPr="009118AB" w:rsidRDefault="005F7990" w:rsidP="008E20BD">
      <w:pPr>
        <w:autoSpaceDE w:val="0"/>
        <w:autoSpaceDN w:val="0"/>
        <w:adjustRightInd w:val="0"/>
        <w:ind w:firstLine="709"/>
        <w:jc w:val="both"/>
        <w:rPr>
          <w:iCs/>
        </w:rPr>
      </w:pPr>
      <w:r w:rsidRPr="009118AB">
        <w:rPr>
          <w:iCs/>
        </w:rPr>
        <w:t>6. </w:t>
      </w:r>
      <w:r w:rsidR="0092000A" w:rsidRPr="009118AB">
        <w:rPr>
          <w:iCs/>
        </w:rPr>
        <w:t>[</w:t>
      </w:r>
      <w:r w:rsidR="0092000A" w:rsidRPr="009118AB">
        <w:t xml:space="preserve">auf den Steuersatz, der auf Einkünfte aus Kapitalvermögen und beweglichen Gütern und auf Lose erwähnt in </w:t>
      </w:r>
      <w:r w:rsidR="002240A3" w:rsidRPr="009118AB">
        <w:t>[</w:t>
      </w:r>
      <w:r w:rsidR="0092000A" w:rsidRPr="009118AB">
        <w:t xml:space="preserve">Artikel 90 </w:t>
      </w:r>
      <w:r w:rsidR="002240A3" w:rsidRPr="009118AB">
        <w:t xml:space="preserve">Absatz 1 </w:t>
      </w:r>
      <w:r w:rsidR="00D67EB8" w:rsidRPr="009118AB">
        <w:t>Nr. </w:t>
      </w:r>
      <w:r w:rsidR="0092000A" w:rsidRPr="009118AB">
        <w:t>6</w:t>
      </w:r>
      <w:r w:rsidR="002240A3" w:rsidRPr="009118AB">
        <w:t>]</w:t>
      </w:r>
      <w:r w:rsidR="0092000A" w:rsidRPr="009118AB">
        <w:t xml:space="preserve"> anwendbar ist, für die in </w:t>
      </w:r>
      <w:r w:rsidR="002240A3" w:rsidRPr="009118AB">
        <w:t>[</w:t>
      </w:r>
      <w:r w:rsidR="0092000A" w:rsidRPr="009118AB">
        <w:t xml:space="preserve">Artikel 90 </w:t>
      </w:r>
      <w:r w:rsidR="002240A3" w:rsidRPr="009118AB">
        <w:t xml:space="preserve">Absatz 1 </w:t>
      </w:r>
      <w:r w:rsidR="00D67EB8" w:rsidRPr="009118AB">
        <w:t>Nr. </w:t>
      </w:r>
      <w:r w:rsidR="0092000A" w:rsidRPr="009118AB">
        <w:t>11</w:t>
      </w:r>
      <w:r w:rsidR="002240A3" w:rsidRPr="009118AB">
        <w:t>]</w:t>
      </w:r>
      <w:r w:rsidR="0092000A" w:rsidRPr="009118AB">
        <w:t xml:space="preserve"> erwähnten Entschädigungen für fehlende Kupons oder für fehlende Lose,</w:t>
      </w:r>
      <w:r w:rsidR="0092000A" w:rsidRPr="009118AB">
        <w:rPr>
          <w:iCs/>
        </w:rPr>
        <w:t>]</w:t>
      </w:r>
      <w:r w:rsidRPr="009118AB">
        <w:rPr>
          <w:iCs/>
        </w:rPr>
        <w:t>]</w:t>
      </w:r>
    </w:p>
    <w:p w14:paraId="476A33D2" w14:textId="77777777" w:rsidR="00DD2EA3" w:rsidRPr="009118AB" w:rsidRDefault="00DD2EA3" w:rsidP="008E20BD">
      <w:pPr>
        <w:autoSpaceDE w:val="0"/>
        <w:autoSpaceDN w:val="0"/>
        <w:adjustRightInd w:val="0"/>
        <w:ind w:firstLine="709"/>
        <w:jc w:val="both"/>
        <w:rPr>
          <w:iCs/>
        </w:rPr>
      </w:pPr>
    </w:p>
    <w:p w14:paraId="5052DF7F" w14:textId="77777777" w:rsidR="00DD2EA3" w:rsidRPr="009118AB" w:rsidRDefault="00DD2EA3" w:rsidP="008E20BD">
      <w:pPr>
        <w:autoSpaceDE w:val="0"/>
        <w:autoSpaceDN w:val="0"/>
        <w:adjustRightInd w:val="0"/>
        <w:ind w:firstLine="709"/>
        <w:jc w:val="both"/>
      </w:pPr>
      <w:r w:rsidRPr="009118AB">
        <w:rPr>
          <w:iCs/>
        </w:rPr>
        <w:t>[</w:t>
      </w:r>
      <w:r w:rsidRPr="009118AB">
        <w:t>7. </w:t>
      </w:r>
      <w:r w:rsidR="001170C9" w:rsidRPr="009118AB">
        <w:t>[...]</w:t>
      </w:r>
      <w:r w:rsidRPr="009118AB">
        <w:t>]</w:t>
      </w:r>
    </w:p>
    <w:p w14:paraId="1654EDAC" w14:textId="77777777" w:rsidR="00347BA3" w:rsidRPr="009118AB" w:rsidRDefault="00347BA3" w:rsidP="008E20BD">
      <w:pPr>
        <w:autoSpaceDE w:val="0"/>
        <w:autoSpaceDN w:val="0"/>
        <w:adjustRightInd w:val="0"/>
        <w:ind w:firstLine="709"/>
        <w:jc w:val="both"/>
      </w:pPr>
    </w:p>
    <w:p w14:paraId="532E8D7D" w14:textId="77777777" w:rsidR="00347BA3" w:rsidRPr="009118AB" w:rsidRDefault="00347BA3" w:rsidP="008E20BD">
      <w:pPr>
        <w:autoSpaceDE w:val="0"/>
        <w:autoSpaceDN w:val="0"/>
        <w:adjustRightInd w:val="0"/>
        <w:ind w:firstLine="709"/>
        <w:jc w:val="both"/>
      </w:pPr>
      <w:r w:rsidRPr="009118AB">
        <w:t xml:space="preserve">[8. auf 5 oder </w:t>
      </w:r>
      <w:r w:rsidR="001170C9" w:rsidRPr="009118AB">
        <w:t>[</w:t>
      </w:r>
      <w:r w:rsidR="00B56C06" w:rsidRPr="009118AB">
        <w:t>20</w:t>
      </w:r>
      <w:r w:rsidRPr="009118AB">
        <w:t> Prozent</w:t>
      </w:r>
      <w:r w:rsidR="001170C9" w:rsidRPr="009118AB">
        <w:t>]</w:t>
      </w:r>
      <w:r w:rsidRPr="009118AB">
        <w:t xml:space="preserve"> für Dividenden, die nicht in Artikel 209 erwähnt sind, in dem Maße, wie sie infolge einer Herabsetzung </w:t>
      </w:r>
      <w:r w:rsidR="00534D79" w:rsidRPr="009118AB">
        <w:t>[</w:t>
      </w:r>
      <w:r w:rsidRPr="009118AB">
        <w:t>der in Artikel 184</w:t>
      </w:r>
      <w:r w:rsidRPr="009118AB">
        <w:rPr>
          <w:i/>
        </w:rPr>
        <w:t>quater</w:t>
      </w:r>
      <w:r w:rsidRPr="009118AB">
        <w:t xml:space="preserve"> </w:t>
      </w:r>
      <w:r w:rsidR="00534D79" w:rsidRPr="009118AB">
        <w:t xml:space="preserve">oder in Artikel 541 </w:t>
      </w:r>
      <w:r w:rsidRPr="009118AB">
        <w:t>erwähnten Liquidations</w:t>
      </w:r>
      <w:r w:rsidRPr="009118AB">
        <w:softHyphen/>
        <w:t>rücklage</w:t>
      </w:r>
      <w:r w:rsidR="00534D79" w:rsidRPr="009118AB">
        <w:t>]</w:t>
      </w:r>
      <w:r w:rsidRPr="009118AB">
        <w:t xml:space="preserve"> zuerkannt oder ausgeschüttet werden, oder für Dividenden ausländischer Herkunft, die in Belgien vereinnahmt oder bezogen werden, in dem Maße, wie sie infolge ähnlicher Bestimmungen oder infolge von Bestimmungen mit gleichwertigen Auswirkungen eines anderen Mitgliedstaats des Europäischen Wirtschaftsraums zuerkannt oder ausgeschüttet werden, und je nachdem, ob der Teil dieser Rücklagen, der herabgesetzt wird, </w:t>
      </w:r>
      <w:r w:rsidR="00534D79" w:rsidRPr="009118AB">
        <w:t>[unter den in Artikel 184</w:t>
      </w:r>
      <w:r w:rsidR="00534D79" w:rsidRPr="009118AB">
        <w:rPr>
          <w:i/>
        </w:rPr>
        <w:t>quater</w:t>
      </w:r>
      <w:r w:rsidR="00534D79" w:rsidRPr="009118AB">
        <w:t xml:space="preserve"> Absatz 3 oder in Artikel 541 erwähnten Bedingungen] </w:t>
      </w:r>
      <w:r w:rsidRPr="009118AB">
        <w:t>während eines Zeitraums von mindestens fünf Jahren beziehungsweise von weniger als fünf Jahren ab dem letzten Tag des betreffenden Besteueru</w:t>
      </w:r>
      <w:r w:rsidR="002240A3" w:rsidRPr="009118AB">
        <w:t>ngszeitraums bewahrt worden ist,</w:t>
      </w:r>
      <w:r w:rsidRPr="009118AB">
        <w:t>]</w:t>
      </w:r>
    </w:p>
    <w:p w14:paraId="3BF6E27B" w14:textId="77777777" w:rsidR="002240A3" w:rsidRPr="009118AB" w:rsidRDefault="002240A3" w:rsidP="008E20BD">
      <w:pPr>
        <w:autoSpaceDE w:val="0"/>
        <w:autoSpaceDN w:val="0"/>
        <w:adjustRightInd w:val="0"/>
        <w:ind w:firstLine="709"/>
        <w:jc w:val="both"/>
      </w:pPr>
    </w:p>
    <w:p w14:paraId="095B5C02" w14:textId="31C500D5" w:rsidR="002240A3" w:rsidRPr="009118AB" w:rsidRDefault="002240A3" w:rsidP="008E20BD">
      <w:pPr>
        <w:autoSpaceDE w:val="0"/>
        <w:autoSpaceDN w:val="0"/>
        <w:adjustRightInd w:val="0"/>
        <w:ind w:firstLine="709"/>
        <w:jc w:val="both"/>
        <w:rPr>
          <w:iCs/>
        </w:rPr>
      </w:pPr>
      <w:r w:rsidRPr="009118AB">
        <w:t>[9. </w:t>
      </w:r>
      <w:r w:rsidR="000F3808" w:rsidRPr="009118AB">
        <w:t>[</w:t>
      </w:r>
      <w:r w:rsidR="009C5CA4" w:rsidRPr="009118AB">
        <w:rPr>
          <w:rFonts w:eastAsia="Calibri"/>
        </w:rPr>
        <w:t xml:space="preserve">auf 20 oder 15 Prozent für Dividenden, die von einem in Artikel 298 des Gesetzes vom 19. April 2014 über alternative Organismen für gemeinsame Anlagen und ihre Verwalter erwähnten privaten Kapitalanlagefonds mit fixem Kapital ausgeschüttet werden, sofern und in dem Maße, wie diese Einkünfte aus Dividenden hervorgehen, die </w:t>
      </w:r>
      <w:r w:rsidR="00AD1246" w:rsidRPr="009118AB">
        <w:rPr>
          <w:rFonts w:eastAsia="Calibri"/>
        </w:rPr>
        <w:t>[</w:t>
      </w:r>
      <w:r w:rsidR="00AD1246" w:rsidRPr="009118AB">
        <w:t xml:space="preserve">für den in </w:t>
      </w:r>
      <w:r w:rsidR="00D67EB8" w:rsidRPr="009118AB">
        <w:t>§ </w:t>
      </w:r>
      <w:r w:rsidR="00AD1246" w:rsidRPr="009118AB">
        <w:t xml:space="preserve">2 Absatz 2 </w:t>
      </w:r>
      <w:r w:rsidR="00D67EB8" w:rsidRPr="009118AB">
        <w:t>Nr. </w:t>
      </w:r>
      <w:r w:rsidR="00AD1246" w:rsidRPr="009118AB">
        <w:t xml:space="preserve">1 beziehungsweise </w:t>
      </w:r>
      <w:r w:rsidR="00D67EB8" w:rsidRPr="009118AB">
        <w:t>§ </w:t>
      </w:r>
      <w:r w:rsidR="00AD1246" w:rsidRPr="009118AB">
        <w:t xml:space="preserve">2 Absatz 2 </w:t>
      </w:r>
      <w:r w:rsidR="00D67EB8" w:rsidRPr="009118AB">
        <w:t>Nr. </w:t>
      </w:r>
      <w:r w:rsidR="00AD1246" w:rsidRPr="009118AB">
        <w:t>2 erwähnten Satz</w:t>
      </w:r>
      <w:r w:rsidR="00AD1246" w:rsidRPr="009118AB">
        <w:rPr>
          <w:rFonts w:eastAsia="Calibri"/>
        </w:rPr>
        <w:t>]</w:t>
      </w:r>
      <w:r w:rsidR="009C5CA4" w:rsidRPr="009118AB">
        <w:rPr>
          <w:rFonts w:eastAsia="Calibri"/>
        </w:rPr>
        <w:t xml:space="preserve"> in Betracht kommen.</w:t>
      </w:r>
      <w:r w:rsidR="000F3808" w:rsidRPr="009118AB">
        <w:t>]</w:t>
      </w:r>
      <w:r w:rsidRPr="009118AB">
        <w:t>]</w:t>
      </w:r>
    </w:p>
    <w:p w14:paraId="10E56B9B" w14:textId="77777777" w:rsidR="005F7990" w:rsidRPr="009118AB" w:rsidRDefault="005F7990" w:rsidP="008E20BD">
      <w:pPr>
        <w:autoSpaceDE w:val="0"/>
        <w:autoSpaceDN w:val="0"/>
        <w:adjustRightInd w:val="0"/>
        <w:ind w:firstLine="709"/>
        <w:jc w:val="both"/>
        <w:rPr>
          <w:iCs/>
        </w:rPr>
      </w:pPr>
    </w:p>
    <w:p w14:paraId="2A179304" w14:textId="77777777" w:rsidR="008D35CF" w:rsidRPr="009118AB" w:rsidRDefault="008D35CF">
      <w:pPr>
        <w:rPr>
          <w:iCs/>
        </w:rPr>
      </w:pPr>
      <w:r w:rsidRPr="009118AB">
        <w:rPr>
          <w:iCs/>
        </w:rPr>
        <w:br w:type="page"/>
      </w:r>
    </w:p>
    <w:p w14:paraId="6FF1562C" w14:textId="45174DFC" w:rsidR="00703FD5" w:rsidRPr="009118AB" w:rsidRDefault="005F7990" w:rsidP="00703FD5">
      <w:pPr>
        <w:ind w:firstLine="709"/>
        <w:jc w:val="both"/>
        <w:rPr>
          <w:lang w:eastAsia="fr-BE"/>
        </w:rPr>
      </w:pPr>
      <w:r w:rsidRPr="009118AB">
        <w:rPr>
          <w:iCs/>
        </w:rPr>
        <w:lastRenderedPageBreak/>
        <w:t>[</w:t>
      </w:r>
      <w:r w:rsidR="00D67EB8" w:rsidRPr="009118AB">
        <w:rPr>
          <w:iCs/>
        </w:rPr>
        <w:t>§ </w:t>
      </w:r>
      <w:r w:rsidRPr="009118AB">
        <w:rPr>
          <w:iCs/>
        </w:rPr>
        <w:t>2</w:t>
      </w:r>
      <w:r w:rsidR="00D67EB8" w:rsidRPr="009118AB">
        <w:rPr>
          <w:iCs/>
        </w:rPr>
        <w:t> - </w:t>
      </w:r>
      <w:r w:rsidR="00703FD5" w:rsidRPr="009118AB">
        <w:rPr>
          <w:iCs/>
        </w:rPr>
        <w:t>[</w:t>
      </w:r>
      <w:r w:rsidR="00703FD5" w:rsidRPr="009118AB">
        <w:rPr>
          <w:lang w:eastAsia="fr-BE"/>
        </w:rPr>
        <w:t xml:space="preserve">In Abweichung von </w:t>
      </w:r>
      <w:r w:rsidR="00D67EB8" w:rsidRPr="009118AB">
        <w:rPr>
          <w:lang w:eastAsia="fr-BE"/>
        </w:rPr>
        <w:t>§ </w:t>
      </w:r>
      <w:r w:rsidR="00703FD5" w:rsidRPr="009118AB">
        <w:rPr>
          <w:lang w:eastAsia="fr-BE"/>
        </w:rPr>
        <w:t xml:space="preserve">1 </w:t>
      </w:r>
      <w:r w:rsidR="00D67EB8" w:rsidRPr="009118AB">
        <w:rPr>
          <w:lang w:eastAsia="fr-BE"/>
        </w:rPr>
        <w:t>Nr. </w:t>
      </w:r>
      <w:r w:rsidR="00703FD5" w:rsidRPr="009118AB">
        <w:rPr>
          <w:lang w:eastAsia="fr-BE"/>
        </w:rPr>
        <w:t xml:space="preserve">1 wird der Steuersatz des Mobiliensteuervorabzugs für Dividenden mit Ausnahme der in Artikel 18 Absatz 1 </w:t>
      </w:r>
      <w:r w:rsidR="00D67EB8" w:rsidRPr="009118AB">
        <w:rPr>
          <w:lang w:eastAsia="fr-BE"/>
        </w:rPr>
        <w:t>Nr. </w:t>
      </w:r>
      <w:r w:rsidR="00703FD5" w:rsidRPr="009118AB">
        <w:rPr>
          <w:lang w:eastAsia="fr-BE"/>
        </w:rPr>
        <w:t>2</w:t>
      </w:r>
      <w:r w:rsidR="00703FD5" w:rsidRPr="009118AB">
        <w:rPr>
          <w:i/>
          <w:iCs/>
          <w:lang w:eastAsia="fr-BE"/>
        </w:rPr>
        <w:t>ter</w:t>
      </w:r>
      <w:r w:rsidR="00703FD5" w:rsidRPr="009118AB">
        <w:rPr>
          <w:lang w:eastAsia="fr-BE"/>
        </w:rPr>
        <w:t xml:space="preserve"> und 3 erwähnten Dividenden verringert, sofern:</w:t>
      </w:r>
    </w:p>
    <w:p w14:paraId="1883CA80" w14:textId="77777777" w:rsidR="00703FD5" w:rsidRPr="009118AB" w:rsidRDefault="00703FD5" w:rsidP="00703FD5">
      <w:pPr>
        <w:jc w:val="both"/>
        <w:rPr>
          <w:lang w:eastAsia="fr-BE"/>
        </w:rPr>
      </w:pPr>
    </w:p>
    <w:p w14:paraId="12FC555D" w14:textId="3C5FC284" w:rsidR="00703FD5" w:rsidRPr="009118AB" w:rsidRDefault="00703FD5" w:rsidP="00703FD5">
      <w:pPr>
        <w:jc w:val="both"/>
        <w:rPr>
          <w:lang w:eastAsia="fr-BE"/>
        </w:rPr>
      </w:pPr>
      <w:r w:rsidRPr="009118AB">
        <w:rPr>
          <w:lang w:eastAsia="fr-BE"/>
        </w:rPr>
        <w:tab/>
        <w:t xml:space="preserve">1. die Gesellschaft, die diese Dividenden ausschüttet, eine Gesellschaft ist, die </w:t>
      </w:r>
      <w:r w:rsidR="009D1768" w:rsidRPr="009118AB">
        <w:rPr>
          <w:lang w:eastAsia="fr-BE"/>
        </w:rPr>
        <w:t>[...]</w:t>
      </w:r>
      <w:r w:rsidRPr="009118AB">
        <w:rPr>
          <w:lang w:eastAsia="fr-BE"/>
        </w:rPr>
        <w:t xml:space="preserve"> für das Steuerjahr, das sich auf den Besteuerungszeitraum bezieht, in dem die Kapitaleinlage erfolgt, als kleine Gesellschaft gilt,</w:t>
      </w:r>
    </w:p>
    <w:p w14:paraId="7563817C" w14:textId="77777777" w:rsidR="00703FD5" w:rsidRPr="009118AB" w:rsidRDefault="00703FD5" w:rsidP="00703FD5">
      <w:pPr>
        <w:jc w:val="both"/>
        <w:rPr>
          <w:lang w:eastAsia="fr-BE"/>
        </w:rPr>
      </w:pPr>
    </w:p>
    <w:p w14:paraId="056B74CD" w14:textId="77777777" w:rsidR="00703FD5" w:rsidRPr="009118AB" w:rsidRDefault="00703FD5" w:rsidP="00703FD5">
      <w:pPr>
        <w:jc w:val="both"/>
        <w:rPr>
          <w:lang w:eastAsia="fr-BE"/>
        </w:rPr>
      </w:pPr>
      <w:r w:rsidRPr="009118AB">
        <w:rPr>
          <w:lang w:eastAsia="fr-BE"/>
        </w:rPr>
        <w:tab/>
        <w:t>2. diese Dividenden aus neuen Namensaktien oder -anteilen hervorgehen, die anlässlich der Gründung der Gesellschaft oder einer Erhöhung ihres Kapitals ausgegeben wurden,</w:t>
      </w:r>
    </w:p>
    <w:p w14:paraId="066C8E9B" w14:textId="77777777" w:rsidR="00703FD5" w:rsidRPr="009118AB" w:rsidRDefault="00703FD5" w:rsidP="00703FD5">
      <w:pPr>
        <w:jc w:val="both"/>
        <w:rPr>
          <w:lang w:eastAsia="fr-BE"/>
        </w:rPr>
      </w:pPr>
    </w:p>
    <w:p w14:paraId="0DA77148" w14:textId="77777777" w:rsidR="00703FD5" w:rsidRPr="009118AB" w:rsidRDefault="00703FD5" w:rsidP="00703FD5">
      <w:pPr>
        <w:jc w:val="both"/>
        <w:rPr>
          <w:lang w:eastAsia="fr-BE"/>
        </w:rPr>
      </w:pPr>
      <w:r w:rsidRPr="009118AB">
        <w:rPr>
          <w:lang w:eastAsia="fr-BE"/>
        </w:rPr>
        <w:tab/>
        <w:t>3. die Einzahlung des Kapitals, das diese Aktien oder Anteile darstellt, vollständig durch neue Geldeinlagen erfolgt,</w:t>
      </w:r>
    </w:p>
    <w:p w14:paraId="6BB187A2" w14:textId="77777777" w:rsidR="00703FD5" w:rsidRPr="009118AB" w:rsidRDefault="00703FD5" w:rsidP="00703FD5">
      <w:pPr>
        <w:jc w:val="both"/>
        <w:rPr>
          <w:lang w:eastAsia="fr-BE"/>
        </w:rPr>
      </w:pPr>
    </w:p>
    <w:p w14:paraId="14AD3FB3" w14:textId="77777777" w:rsidR="00703FD5" w:rsidRPr="009118AB" w:rsidRDefault="00703FD5" w:rsidP="00703FD5">
      <w:pPr>
        <w:jc w:val="both"/>
        <w:rPr>
          <w:lang w:eastAsia="fr-BE"/>
        </w:rPr>
      </w:pPr>
      <w:r w:rsidRPr="009118AB">
        <w:rPr>
          <w:lang w:eastAsia="fr-BE"/>
        </w:rPr>
        <w:tab/>
        <w:t>4. diese Geldeinlagen nicht aus der Ausschüttung von besteuerten Rücklagen stammen, die gemäß Artikel 537 Absatz 1 einem verringerten Mobiliensteuervorabzug wie in demselben Absatz erwähnt unterliegen,</w:t>
      </w:r>
    </w:p>
    <w:p w14:paraId="55717497" w14:textId="77777777" w:rsidR="00703FD5" w:rsidRPr="009118AB" w:rsidRDefault="00703FD5" w:rsidP="00703FD5">
      <w:pPr>
        <w:jc w:val="both"/>
        <w:rPr>
          <w:lang w:eastAsia="fr-BE"/>
        </w:rPr>
      </w:pPr>
    </w:p>
    <w:p w14:paraId="7C92B864" w14:textId="77777777" w:rsidR="00703FD5" w:rsidRPr="009118AB" w:rsidRDefault="00703FD5" w:rsidP="00703FD5">
      <w:pPr>
        <w:jc w:val="both"/>
        <w:rPr>
          <w:lang w:eastAsia="fr-BE"/>
        </w:rPr>
      </w:pPr>
      <w:r w:rsidRPr="009118AB">
        <w:rPr>
          <w:lang w:eastAsia="fr-BE"/>
        </w:rPr>
        <w:tab/>
        <w:t>5. die Ausgabe der Aktien oder Anteile ab dem 1. Juli 2013 getätigt wird,</w:t>
      </w:r>
    </w:p>
    <w:p w14:paraId="23B8D7FB" w14:textId="77777777" w:rsidR="00703FD5" w:rsidRPr="009118AB" w:rsidRDefault="00703FD5" w:rsidP="00703FD5">
      <w:pPr>
        <w:jc w:val="both"/>
        <w:rPr>
          <w:lang w:eastAsia="fr-BE"/>
        </w:rPr>
      </w:pPr>
    </w:p>
    <w:p w14:paraId="05427135" w14:textId="77777777" w:rsidR="00703FD5" w:rsidRPr="009118AB" w:rsidRDefault="00703FD5" w:rsidP="00703FD5">
      <w:pPr>
        <w:jc w:val="both"/>
        <w:rPr>
          <w:lang w:eastAsia="fr-BE"/>
        </w:rPr>
      </w:pPr>
      <w:r w:rsidRPr="009118AB">
        <w:rPr>
          <w:lang w:eastAsia="fr-BE"/>
        </w:rPr>
        <w:tab/>
        <w:t>6. der Steuerpflichtige das Volleigentum an diesen Namensaktien oder -anteilen seit ihrer Ausgabe ununterbrochen besitzt,</w:t>
      </w:r>
    </w:p>
    <w:p w14:paraId="60FDBA7F" w14:textId="77777777" w:rsidR="00703FD5" w:rsidRPr="009118AB" w:rsidRDefault="00703FD5" w:rsidP="00703FD5">
      <w:pPr>
        <w:jc w:val="both"/>
        <w:rPr>
          <w:lang w:eastAsia="fr-BE"/>
        </w:rPr>
      </w:pPr>
    </w:p>
    <w:p w14:paraId="00E8757A" w14:textId="77777777" w:rsidR="00703FD5" w:rsidRPr="009118AB" w:rsidRDefault="00703FD5" w:rsidP="00703FD5">
      <w:pPr>
        <w:jc w:val="both"/>
        <w:rPr>
          <w:lang w:eastAsia="fr-BE"/>
        </w:rPr>
      </w:pPr>
      <w:r w:rsidRPr="009118AB">
        <w:rPr>
          <w:lang w:eastAsia="fr-BE"/>
        </w:rPr>
        <w:tab/>
        <w:t>7. diese Dividenden bei der Gewinnausschüttung des zweiten Geschäftsjahres nach dem der Einlage, die bei der Gründung der Gesellschaft oder einer Erhöhung ihres Kapitals getätigt wurde, oder späterer Geschäftsjahre gewährt oder zuerkannt werden.</w:t>
      </w:r>
    </w:p>
    <w:p w14:paraId="70EF8CE7" w14:textId="77777777" w:rsidR="00703FD5" w:rsidRPr="009118AB" w:rsidRDefault="00703FD5" w:rsidP="00703FD5">
      <w:pPr>
        <w:jc w:val="both"/>
        <w:rPr>
          <w:lang w:eastAsia="fr-BE"/>
        </w:rPr>
      </w:pPr>
    </w:p>
    <w:p w14:paraId="30FD73FB" w14:textId="77777777" w:rsidR="00703FD5" w:rsidRPr="009118AB" w:rsidRDefault="00703FD5" w:rsidP="00703FD5">
      <w:pPr>
        <w:jc w:val="both"/>
        <w:rPr>
          <w:lang w:eastAsia="fr-BE"/>
        </w:rPr>
      </w:pPr>
      <w:r w:rsidRPr="009118AB">
        <w:rPr>
          <w:lang w:eastAsia="fr-BE"/>
        </w:rPr>
        <w:tab/>
        <w:t>Der Mobiliensteuervorabzug beträgt: </w:t>
      </w:r>
    </w:p>
    <w:p w14:paraId="06571F28" w14:textId="77777777" w:rsidR="00703FD5" w:rsidRPr="009118AB" w:rsidRDefault="00703FD5" w:rsidP="00703FD5">
      <w:pPr>
        <w:jc w:val="both"/>
        <w:rPr>
          <w:lang w:eastAsia="fr-BE"/>
        </w:rPr>
      </w:pPr>
    </w:p>
    <w:p w14:paraId="5752F322" w14:textId="77777777" w:rsidR="00703FD5" w:rsidRPr="009118AB" w:rsidRDefault="00703FD5" w:rsidP="00703FD5">
      <w:pPr>
        <w:jc w:val="both"/>
        <w:rPr>
          <w:lang w:eastAsia="fr-BE"/>
        </w:rPr>
      </w:pPr>
      <w:r w:rsidRPr="009118AB">
        <w:rPr>
          <w:lang w:eastAsia="fr-BE"/>
        </w:rPr>
        <w:tab/>
        <w:t>1. 20 Prozent für Dividenden, die bei der Gewinnausschüttung des zweiten Geschäftsjahres nach dem der Einlage, die bei der Gründung der Gesellschaft oder einer Erhöhung ihres Kapitals getätigt wurde, gewährt oder zuerkannt werden,</w:t>
      </w:r>
    </w:p>
    <w:p w14:paraId="244642A2" w14:textId="77777777" w:rsidR="00703FD5" w:rsidRPr="009118AB" w:rsidRDefault="00703FD5" w:rsidP="00703FD5">
      <w:pPr>
        <w:jc w:val="both"/>
        <w:rPr>
          <w:lang w:eastAsia="fr-BE"/>
        </w:rPr>
      </w:pPr>
    </w:p>
    <w:p w14:paraId="36770E2E" w14:textId="77777777" w:rsidR="00703FD5" w:rsidRPr="009118AB" w:rsidRDefault="00703FD5" w:rsidP="00703FD5">
      <w:pPr>
        <w:jc w:val="both"/>
        <w:rPr>
          <w:lang w:eastAsia="fr-BE"/>
        </w:rPr>
      </w:pPr>
      <w:r w:rsidRPr="009118AB">
        <w:rPr>
          <w:lang w:eastAsia="fr-BE"/>
        </w:rPr>
        <w:tab/>
        <w:t>2. 15 Prozent für Dividenden, die bei der Gewinnausschüttung des dritten Geschäftsjahres nach dem der Einlage, die bei der Gründung der Gesellschaft oder einer Erhöhung ihres Kapitals getätigt wurde, oder späterer Geschäftsjahre gewährt oder zuerkannt werden.</w:t>
      </w:r>
    </w:p>
    <w:p w14:paraId="1067BF93" w14:textId="77777777" w:rsidR="00703FD5" w:rsidRPr="009118AB" w:rsidRDefault="00703FD5" w:rsidP="00703FD5">
      <w:pPr>
        <w:jc w:val="both"/>
        <w:rPr>
          <w:lang w:eastAsia="fr-BE"/>
        </w:rPr>
      </w:pPr>
    </w:p>
    <w:p w14:paraId="772D1B1A" w14:textId="78DF145B" w:rsidR="00703FD5" w:rsidRPr="009118AB" w:rsidRDefault="00703FD5" w:rsidP="00703FD5">
      <w:pPr>
        <w:jc w:val="both"/>
        <w:rPr>
          <w:lang w:eastAsia="fr-BE"/>
        </w:rPr>
      </w:pPr>
      <w:r w:rsidRPr="009118AB">
        <w:rPr>
          <w:lang w:eastAsia="fr-BE"/>
        </w:rPr>
        <w:tab/>
        <w:t xml:space="preserve">Für die Übertragung in gerader Linie oder zwischen Ehepartnern von Aktien oder Anteilen durch Erbfolge oder Schenkung gilt für die Anwendung der in Absatz 1 </w:t>
      </w:r>
      <w:r w:rsidR="00D67EB8" w:rsidRPr="009118AB">
        <w:rPr>
          <w:lang w:eastAsia="fr-BE"/>
        </w:rPr>
        <w:t>Nr. </w:t>
      </w:r>
      <w:r w:rsidRPr="009118AB">
        <w:rPr>
          <w:lang w:eastAsia="fr-BE"/>
        </w:rPr>
        <w:t>6 erwähnten Bedingung des ununterbrochenen Besitzes, dass sie nicht stattgefunden hat.</w:t>
      </w:r>
    </w:p>
    <w:p w14:paraId="1875B733" w14:textId="77777777" w:rsidR="00703FD5" w:rsidRPr="009118AB" w:rsidRDefault="00703FD5" w:rsidP="00703FD5">
      <w:pPr>
        <w:jc w:val="both"/>
        <w:rPr>
          <w:lang w:eastAsia="fr-BE"/>
        </w:rPr>
      </w:pPr>
    </w:p>
    <w:p w14:paraId="7701D1A7" w14:textId="77777777" w:rsidR="00703FD5" w:rsidRPr="009118AB" w:rsidRDefault="00703FD5" w:rsidP="00703FD5">
      <w:pPr>
        <w:jc w:val="both"/>
        <w:rPr>
          <w:lang w:eastAsia="fr-BE"/>
        </w:rPr>
      </w:pPr>
      <w:r w:rsidRPr="009118AB">
        <w:rPr>
          <w:lang w:eastAsia="fr-BE"/>
        </w:rPr>
        <w:tab/>
        <w:t>Für die Übertragung in gerader Linie oder zwischen Ehepartnern von Aktien oder Anteilen gilt für die Anwendung der Bedingung des Volleigentums ebenfalls, dass sie nicht stattgefunden hat, wenn diese Übertragung die Folge ist:</w:t>
      </w:r>
    </w:p>
    <w:p w14:paraId="1BD4E15E" w14:textId="77777777" w:rsidR="00703FD5" w:rsidRPr="009118AB" w:rsidRDefault="00703FD5" w:rsidP="00703FD5">
      <w:pPr>
        <w:jc w:val="both"/>
        <w:rPr>
          <w:lang w:eastAsia="fr-BE"/>
        </w:rPr>
      </w:pPr>
    </w:p>
    <w:p w14:paraId="50D683A0" w14:textId="77777777" w:rsidR="00703FD5" w:rsidRPr="009118AB" w:rsidRDefault="00703FD5" w:rsidP="00703FD5">
      <w:pPr>
        <w:jc w:val="both"/>
        <w:rPr>
          <w:lang w:eastAsia="fr-BE"/>
        </w:rPr>
      </w:pPr>
      <w:r w:rsidRPr="009118AB">
        <w:rPr>
          <w:lang w:eastAsia="fr-BE"/>
        </w:rPr>
        <w:tab/>
        <w:t>1. einer gesetzlichen Erbfolge oder einer damit gleichartigen Erbfolge,</w:t>
      </w:r>
    </w:p>
    <w:p w14:paraId="50847EF8" w14:textId="77777777" w:rsidR="00703FD5" w:rsidRPr="009118AB" w:rsidRDefault="00703FD5" w:rsidP="00703FD5">
      <w:pPr>
        <w:jc w:val="both"/>
        <w:rPr>
          <w:lang w:eastAsia="fr-BE"/>
        </w:rPr>
      </w:pPr>
    </w:p>
    <w:p w14:paraId="0607D4E0" w14:textId="77777777" w:rsidR="00703FD5" w:rsidRPr="009118AB" w:rsidRDefault="00703FD5" w:rsidP="00703FD5">
      <w:pPr>
        <w:jc w:val="both"/>
        <w:rPr>
          <w:lang w:eastAsia="fr-BE"/>
        </w:rPr>
      </w:pPr>
      <w:r w:rsidRPr="009118AB">
        <w:rPr>
          <w:lang w:eastAsia="fr-BE"/>
        </w:rPr>
        <w:tab/>
        <w:t>2. einer Erbteilung durch Verwandte in aufsteigender Linie, die den Nießbrauch des längstlebenden Ehepartners nicht beeinträchtigt.</w:t>
      </w:r>
    </w:p>
    <w:p w14:paraId="757E549D" w14:textId="77777777" w:rsidR="00703FD5" w:rsidRPr="009118AB" w:rsidRDefault="00703FD5" w:rsidP="00703FD5">
      <w:pPr>
        <w:jc w:val="both"/>
        <w:rPr>
          <w:lang w:eastAsia="fr-BE"/>
        </w:rPr>
      </w:pPr>
    </w:p>
    <w:p w14:paraId="0A80F091" w14:textId="77777777" w:rsidR="00703FD5" w:rsidRPr="009118AB" w:rsidRDefault="00703FD5" w:rsidP="00703FD5">
      <w:pPr>
        <w:jc w:val="both"/>
        <w:rPr>
          <w:lang w:eastAsia="fr-BE"/>
        </w:rPr>
      </w:pPr>
      <w:r w:rsidRPr="009118AB">
        <w:rPr>
          <w:lang w:eastAsia="fr-BE"/>
        </w:rPr>
        <w:tab/>
        <w:t>Erben oder Beschenkte nehmen für die mit der Maßnahme verbundenen Vorteile und Verpflichtungen die Stelle des Steuerpflichtigen ein.</w:t>
      </w:r>
    </w:p>
    <w:p w14:paraId="0F99A2F3" w14:textId="77777777" w:rsidR="00703FD5" w:rsidRPr="009118AB" w:rsidRDefault="00703FD5" w:rsidP="00703FD5">
      <w:pPr>
        <w:jc w:val="both"/>
        <w:rPr>
          <w:lang w:eastAsia="fr-BE"/>
        </w:rPr>
      </w:pPr>
    </w:p>
    <w:p w14:paraId="140D0791" w14:textId="05C12F8B" w:rsidR="00703FD5" w:rsidRPr="009118AB" w:rsidRDefault="00703FD5" w:rsidP="00703FD5">
      <w:pPr>
        <w:jc w:val="both"/>
        <w:rPr>
          <w:lang w:eastAsia="fr-BE"/>
        </w:rPr>
      </w:pPr>
      <w:r w:rsidRPr="009118AB">
        <w:rPr>
          <w:lang w:eastAsia="fr-BE"/>
        </w:rPr>
        <w:tab/>
        <w:t xml:space="preserve">Für Umtausch von Aktien oder Anteilen aufgrund der in Artikel 45 erwähnten Vorgänge oder für Veräußerung oder Erwerb von Aktien oder Anteilen aufgrund von steuerneutralen Vorgängen, die in den Artikeln 46 </w:t>
      </w:r>
      <w:r w:rsidR="00D67EB8" w:rsidRPr="009118AB">
        <w:rPr>
          <w:lang w:eastAsia="fr-BE"/>
        </w:rPr>
        <w:t>§ </w:t>
      </w:r>
      <w:r w:rsidRPr="009118AB">
        <w:rPr>
          <w:lang w:eastAsia="fr-BE"/>
        </w:rPr>
        <w:t xml:space="preserve">1 Absatz 1 </w:t>
      </w:r>
      <w:r w:rsidR="00D67EB8" w:rsidRPr="009118AB">
        <w:rPr>
          <w:lang w:eastAsia="fr-BE"/>
        </w:rPr>
        <w:t>Nr. </w:t>
      </w:r>
      <w:r w:rsidRPr="009118AB">
        <w:rPr>
          <w:lang w:eastAsia="fr-BE"/>
        </w:rPr>
        <w:t xml:space="preserve">2, 211, 214 </w:t>
      </w:r>
      <w:r w:rsidR="00D67EB8" w:rsidRPr="009118AB">
        <w:rPr>
          <w:lang w:eastAsia="fr-BE"/>
        </w:rPr>
        <w:t>§ </w:t>
      </w:r>
      <w:r w:rsidRPr="009118AB">
        <w:rPr>
          <w:lang w:eastAsia="fr-BE"/>
        </w:rPr>
        <w:t>1 und 231 §</w:t>
      </w:r>
      <w:r w:rsidR="00D67EB8" w:rsidRPr="009118AB">
        <w:rPr>
          <w:lang w:eastAsia="fr-BE"/>
        </w:rPr>
        <w:t>§ </w:t>
      </w:r>
      <w:r w:rsidRPr="009118AB">
        <w:rPr>
          <w:lang w:eastAsia="fr-BE"/>
        </w:rPr>
        <w:t xml:space="preserve">2 und 3 erwähnt sind, gilt für die Anwendung von Absatz 1 </w:t>
      </w:r>
      <w:r w:rsidR="00D67EB8" w:rsidRPr="009118AB">
        <w:rPr>
          <w:lang w:eastAsia="fr-BE"/>
        </w:rPr>
        <w:t>Nr. </w:t>
      </w:r>
      <w:r w:rsidRPr="009118AB">
        <w:rPr>
          <w:lang w:eastAsia="fr-BE"/>
        </w:rPr>
        <w:t>6, dass sie nicht stattgefunden haben.</w:t>
      </w:r>
    </w:p>
    <w:p w14:paraId="52E7FD7F" w14:textId="77777777" w:rsidR="00703FD5" w:rsidRPr="009118AB" w:rsidRDefault="00703FD5" w:rsidP="00703FD5">
      <w:pPr>
        <w:jc w:val="both"/>
        <w:rPr>
          <w:lang w:eastAsia="fr-BE"/>
        </w:rPr>
      </w:pPr>
    </w:p>
    <w:p w14:paraId="28F4D757" w14:textId="77777777" w:rsidR="00703FD5" w:rsidRPr="009118AB" w:rsidRDefault="00703FD5" w:rsidP="00703FD5">
      <w:pPr>
        <w:jc w:val="both"/>
        <w:rPr>
          <w:lang w:eastAsia="fr-BE"/>
        </w:rPr>
      </w:pPr>
      <w:r w:rsidRPr="009118AB">
        <w:rPr>
          <w:lang w:eastAsia="fr-BE"/>
        </w:rPr>
        <w:tab/>
        <w:t>Erhöhungen des Kapitals, die nach einer ab dem 1. Mai 2013 organisierten Herabsetzung dieses Kapitals durchgeführt werden, werden für die Bewilligung des verringerten Satzes nur in dem Maße berücksichtigt, wie die Erhöhung des Kapitals die Herabsetzung übersteigt.</w:t>
      </w:r>
    </w:p>
    <w:p w14:paraId="53F5F527" w14:textId="77777777" w:rsidR="00703FD5" w:rsidRPr="009118AB" w:rsidRDefault="00703FD5" w:rsidP="00703FD5">
      <w:pPr>
        <w:jc w:val="both"/>
        <w:rPr>
          <w:lang w:eastAsia="fr-BE"/>
        </w:rPr>
      </w:pPr>
    </w:p>
    <w:p w14:paraId="1DCABD20" w14:textId="77777777" w:rsidR="00703FD5" w:rsidRPr="009118AB" w:rsidRDefault="00703FD5" w:rsidP="00703FD5">
      <w:pPr>
        <w:jc w:val="both"/>
        <w:rPr>
          <w:lang w:eastAsia="fr-BE"/>
        </w:rPr>
      </w:pPr>
      <w:r w:rsidRPr="009118AB">
        <w:rPr>
          <w:lang w:eastAsia="fr-BE"/>
        </w:rPr>
        <w:tab/>
        <w:t>Für Beträge, die hervorgehen aus einer ab dem 1. Mai 2013 organisierten Herabsetzung des Kapitals einer mit einer Person verbundenen oder assoziierten Gesellschaft im Sinne der Artikel 1:20 beziehungsweise 1:21 des Gesetzbuches der Gesellschaften und Vereinigungen oder einer Ausschüttung von Liquidationsrücklagen einer solchen Gesellschaft wie in Artikel 184</w:t>
      </w:r>
      <w:r w:rsidRPr="009118AB">
        <w:rPr>
          <w:i/>
          <w:iCs/>
          <w:lang w:eastAsia="fr-BE"/>
        </w:rPr>
        <w:t>quater</w:t>
      </w:r>
      <w:r w:rsidRPr="009118AB">
        <w:rPr>
          <w:lang w:eastAsia="fr-BE"/>
        </w:rPr>
        <w:t xml:space="preserve"> oder 541 erwähnt, die einem verringerten Satz des Mobiliensteuervorabzugs von 5 Prozent unterliegen, und die durch diese Person in eine Erhöhung des Kapitals einer anderen Gesellschaft investiert werden, gilt der vorerwähnte verringerte Satz nicht.</w:t>
      </w:r>
    </w:p>
    <w:p w14:paraId="05C633F1" w14:textId="77777777" w:rsidR="00703FD5" w:rsidRPr="009118AB" w:rsidRDefault="00703FD5" w:rsidP="00703FD5">
      <w:pPr>
        <w:jc w:val="both"/>
        <w:rPr>
          <w:lang w:eastAsia="fr-BE"/>
        </w:rPr>
      </w:pPr>
    </w:p>
    <w:p w14:paraId="1FC36AB0" w14:textId="77777777" w:rsidR="00703FD5" w:rsidRPr="009118AB" w:rsidRDefault="00703FD5" w:rsidP="00703FD5">
      <w:pPr>
        <w:jc w:val="both"/>
        <w:rPr>
          <w:lang w:eastAsia="fr-BE"/>
        </w:rPr>
      </w:pPr>
      <w:r w:rsidRPr="009118AB">
        <w:rPr>
          <w:lang w:eastAsia="fr-BE"/>
        </w:rPr>
        <w:tab/>
        <w:t>Unter "Person" versteht man für die Anwendung von Absatz 8 auch ihren Ehepartner, ihre Eltern und ihre Kinder, wenn diese Person oder ihr Ehepartner das gesetzliche Nutzungsrecht an ihren Einkünften haben.</w:t>
      </w:r>
    </w:p>
    <w:p w14:paraId="26E09604" w14:textId="77777777" w:rsidR="00703FD5" w:rsidRPr="009118AB" w:rsidRDefault="00703FD5" w:rsidP="00703FD5">
      <w:pPr>
        <w:jc w:val="both"/>
        <w:rPr>
          <w:lang w:eastAsia="fr-BE"/>
        </w:rPr>
      </w:pPr>
    </w:p>
    <w:p w14:paraId="10E7D426" w14:textId="77777777" w:rsidR="00703FD5" w:rsidRPr="009118AB" w:rsidRDefault="00703FD5" w:rsidP="00703FD5">
      <w:pPr>
        <w:jc w:val="both"/>
        <w:rPr>
          <w:lang w:eastAsia="fr-BE"/>
        </w:rPr>
      </w:pPr>
      <w:r w:rsidRPr="009118AB">
        <w:rPr>
          <w:lang w:eastAsia="fr-BE"/>
        </w:rPr>
        <w:tab/>
        <w:t>Wenn die Gesellschaft, die im Rahmen des vorliegenden Paragraphen Aktien oder Anteile ausgegeben oder ihr Kapital erhöht hat, später Herabsetzungen dieses Kapitals durchführt, werden diese Herabsetzungen vorrangig von den Kapitalien abgezogen, die in Ausführung der betreffenden Gründung oder Erhöhung eingezahlt werden.</w:t>
      </w:r>
    </w:p>
    <w:p w14:paraId="28C26E3A" w14:textId="77777777" w:rsidR="00703FD5" w:rsidRPr="009118AB" w:rsidRDefault="00703FD5" w:rsidP="00703FD5">
      <w:pPr>
        <w:jc w:val="both"/>
        <w:rPr>
          <w:lang w:eastAsia="fr-BE"/>
        </w:rPr>
      </w:pPr>
    </w:p>
    <w:p w14:paraId="460B784B" w14:textId="77777777" w:rsidR="00703FD5" w:rsidRPr="009118AB" w:rsidRDefault="00703FD5" w:rsidP="00703FD5">
      <w:pPr>
        <w:jc w:val="both"/>
        <w:rPr>
          <w:lang w:eastAsia="fr-BE"/>
        </w:rPr>
      </w:pPr>
      <w:r w:rsidRPr="009118AB">
        <w:rPr>
          <w:lang w:eastAsia="fr-BE"/>
        </w:rPr>
        <w:tab/>
        <w:t>Beträge, die anlässlich der Ausgabe der Aktien oder Anteile gezeichnet werden, müssen vollständig eingezahlt sein und diese Aktien oder Anteile dürfen mit keinem Vorzugsrecht hinsichtlich der Beteiligung am Kapital oder an den Gewinnen oder hinsichtlich der Verteilung des Gesellschaftsvermögens verbunden sein.</w:t>
      </w:r>
    </w:p>
    <w:p w14:paraId="4112AB30" w14:textId="77777777" w:rsidR="00703FD5" w:rsidRPr="009118AB" w:rsidRDefault="00703FD5" w:rsidP="00703FD5">
      <w:pPr>
        <w:jc w:val="both"/>
        <w:rPr>
          <w:lang w:eastAsia="fr-BE"/>
        </w:rPr>
      </w:pPr>
    </w:p>
    <w:p w14:paraId="0A31F10B" w14:textId="2A2BC352" w:rsidR="005F7990" w:rsidRPr="009118AB" w:rsidRDefault="00703FD5" w:rsidP="00703FD5">
      <w:pPr>
        <w:autoSpaceDE w:val="0"/>
        <w:autoSpaceDN w:val="0"/>
        <w:adjustRightInd w:val="0"/>
        <w:ind w:firstLine="709"/>
        <w:jc w:val="both"/>
        <w:rPr>
          <w:iCs/>
        </w:rPr>
      </w:pPr>
      <w:r w:rsidRPr="009118AB">
        <w:rPr>
          <w:lang w:eastAsia="fr-BE"/>
        </w:rPr>
        <w:t>Für Gesellschaften, die sich zwischen dem 1. Mai 2019 und dem 15. Dezember 2021 für eine Befreiung von der Einzahlung der gezeichneten Aktien oder Anteilen entschieden haben, wodurch die in Absatz 11 erwähnte Bedingung im Prinzip nie mehr erfüllt werden könnte, und die vor dem 31. Dezember 2022 eine Kapitalerhöhung in Geld durchführen, die zur Folge hat, dass der Betrag des in Geld eingezahlten Kapitals erneut auf den ursprünglich vor der Befreiung von der Einzahlung gezeichneten Betrag erhöht wird, können Dividenden, die sich sowohl auf Aktien oder Anteile beziehen, die anlässlich der Gründung nach dem 1. Juli 2013 ausgegeben wurden, als auch auf Aktien oder Anteile, die anlässlich der Kapitalerhöhung ausgegeben wurden, für den verringerten Satz in Betracht kommen, sofern die anderen Bedingungen erfüllt sind. Gegebenenfalls kann die Kapitalerhöhung ohne die Ausgabe neuer Aktien oder Anteile erfolgen.</w:t>
      </w:r>
      <w:r w:rsidRPr="009118AB">
        <w:rPr>
          <w:iCs/>
        </w:rPr>
        <w:t>]</w:t>
      </w:r>
      <w:r w:rsidR="005F7990" w:rsidRPr="009118AB">
        <w:rPr>
          <w:iCs/>
        </w:rPr>
        <w:t>]</w:t>
      </w:r>
    </w:p>
    <w:p w14:paraId="38F8F934" w14:textId="77777777" w:rsidR="005F7990" w:rsidRPr="009118AB" w:rsidRDefault="005F7990" w:rsidP="008E20BD">
      <w:pPr>
        <w:autoSpaceDE w:val="0"/>
        <w:autoSpaceDN w:val="0"/>
        <w:adjustRightInd w:val="0"/>
        <w:ind w:firstLine="709"/>
        <w:jc w:val="both"/>
        <w:rPr>
          <w:iCs/>
        </w:rPr>
      </w:pPr>
    </w:p>
    <w:p w14:paraId="427D214C" w14:textId="26A9C429" w:rsidR="005F7990" w:rsidRPr="009118AB" w:rsidRDefault="005F7990" w:rsidP="008E20BD">
      <w:pPr>
        <w:autoSpaceDE w:val="0"/>
        <w:autoSpaceDN w:val="0"/>
        <w:adjustRightInd w:val="0"/>
        <w:jc w:val="both"/>
        <w:rPr>
          <w:iCs/>
          <w:sz w:val="20"/>
          <w:szCs w:val="20"/>
        </w:rPr>
      </w:pPr>
      <w:r w:rsidRPr="009118AB">
        <w:rPr>
          <w:i/>
          <w:iCs/>
        </w:rPr>
        <w:t>[</w:t>
      </w:r>
      <w:r w:rsidR="00D67EB8" w:rsidRPr="009118AB">
        <w:rPr>
          <w:i/>
          <w:iCs/>
        </w:rPr>
        <w:t>Art. </w:t>
      </w:r>
      <w:r w:rsidRPr="009118AB">
        <w:rPr>
          <w:i/>
          <w:iCs/>
        </w:rPr>
        <w:t xml:space="preserve">269 ersetzt durch </w:t>
      </w:r>
      <w:r w:rsidR="00D67EB8" w:rsidRPr="009118AB">
        <w:rPr>
          <w:i/>
          <w:iCs/>
        </w:rPr>
        <w:t>Art. </w:t>
      </w:r>
      <w:r w:rsidRPr="009118AB">
        <w:rPr>
          <w:i/>
          <w:iCs/>
        </w:rPr>
        <w:t>84 des G. vom 27. Dezember 2012</w:t>
      </w:r>
      <w:r w:rsidR="004F7F42" w:rsidRPr="009118AB">
        <w:rPr>
          <w:i/>
          <w:iCs/>
        </w:rPr>
        <w:t xml:space="preserve"> (B.S. vom 31. Dezember 2012)</w:t>
      </w:r>
      <w:r w:rsidR="00D67EB8" w:rsidRPr="009118AB">
        <w:rPr>
          <w:i/>
          <w:iCs/>
        </w:rPr>
        <w:t> - </w:t>
      </w:r>
      <w:r w:rsidRPr="009118AB">
        <w:rPr>
          <w:i/>
          <w:iCs/>
        </w:rPr>
        <w:t xml:space="preserve">anwendbar auf die ab dem 1. Januar 2013 zuerkannten oder </w:t>
      </w:r>
      <w:r w:rsidRPr="009118AB">
        <w:rPr>
          <w:i/>
          <w:iCs/>
        </w:rPr>
        <w:lastRenderedPageBreak/>
        <w:t>ausgeschütteten Einkünfte</w:t>
      </w:r>
      <w:r w:rsidR="003366D9" w:rsidRPr="009118AB">
        <w:rPr>
          <w:i/>
          <w:iCs/>
        </w:rPr>
        <w:t> -;</w:t>
      </w:r>
      <w:r w:rsidRPr="009118AB">
        <w:rPr>
          <w:i/>
          <w:iCs/>
        </w:rPr>
        <w:t xml:space="preserve"> </w:t>
      </w:r>
      <w:r w:rsidR="00D67EB8" w:rsidRPr="009118AB">
        <w:rPr>
          <w:i/>
          <w:iCs/>
        </w:rPr>
        <w:t>§ </w:t>
      </w:r>
      <w:r w:rsidRPr="009118AB">
        <w:rPr>
          <w:i/>
          <w:iCs/>
        </w:rPr>
        <w:t xml:space="preserve">1 (früherer einziger Absatz) nummeriert durch </w:t>
      </w:r>
      <w:r w:rsidR="00D67EB8" w:rsidRPr="009118AB">
        <w:rPr>
          <w:i/>
          <w:iCs/>
        </w:rPr>
        <w:t>Art. </w:t>
      </w:r>
      <w:r w:rsidRPr="009118AB">
        <w:rPr>
          <w:i/>
          <w:iCs/>
        </w:rPr>
        <w:t>5 Buchstabe b) des G. vom 28. Juni 2013 (B.S. vom 1. Juli 2013)</w:t>
      </w:r>
      <w:r w:rsidR="00D67EB8" w:rsidRPr="009118AB">
        <w:rPr>
          <w:i/>
          <w:iCs/>
        </w:rPr>
        <w:t> - </w:t>
      </w:r>
      <w:r w:rsidRPr="009118AB">
        <w:rPr>
          <w:i/>
          <w:iCs/>
        </w:rPr>
        <w:t>anwendbar auf die ab dem 1. Juli 2013 getätigten Einlagen</w:t>
      </w:r>
      <w:r w:rsidR="003366D9" w:rsidRPr="009118AB">
        <w:rPr>
          <w:i/>
          <w:iCs/>
        </w:rPr>
        <w:t> -;</w:t>
      </w:r>
      <w:r w:rsidRPr="009118AB">
        <w:rPr>
          <w:i/>
          <w:iCs/>
        </w:rPr>
        <w:t xml:space="preserve"> </w:t>
      </w:r>
      <w:r w:rsidR="00D67EB8" w:rsidRPr="009118AB">
        <w:rPr>
          <w:i/>
          <w:iCs/>
        </w:rPr>
        <w:t>§ </w:t>
      </w:r>
      <w:r w:rsidR="008061EF" w:rsidRPr="009118AB">
        <w:rPr>
          <w:i/>
          <w:iCs/>
        </w:rPr>
        <w:t xml:space="preserve">1 einziger Absatz </w:t>
      </w:r>
      <w:r w:rsidR="00D67EB8" w:rsidRPr="009118AB">
        <w:rPr>
          <w:i/>
          <w:iCs/>
        </w:rPr>
        <w:t>Nr. </w:t>
      </w:r>
      <w:r w:rsidR="008061EF" w:rsidRPr="009118AB">
        <w:rPr>
          <w:i/>
          <w:iCs/>
        </w:rPr>
        <w:t xml:space="preserve">1 abgeändert durch </w:t>
      </w:r>
      <w:r w:rsidR="00D67EB8" w:rsidRPr="009118AB">
        <w:rPr>
          <w:i/>
          <w:iCs/>
        </w:rPr>
        <w:t>Art. </w:t>
      </w:r>
      <w:r w:rsidR="008061EF" w:rsidRPr="009118AB">
        <w:rPr>
          <w:i/>
          <w:iCs/>
        </w:rPr>
        <w:t xml:space="preserve">10 des G. vom 21. Dezember 2013 (II) (B.S. vom </w:t>
      </w:r>
      <w:r w:rsidR="00431609" w:rsidRPr="009118AB">
        <w:rPr>
          <w:i/>
          <w:iCs/>
        </w:rPr>
        <w:t>31. Dezember 2013</w:t>
      </w:r>
      <w:r w:rsidR="008061EF" w:rsidRPr="009118AB">
        <w:rPr>
          <w:i/>
          <w:iCs/>
        </w:rPr>
        <w:t>)</w:t>
      </w:r>
      <w:r w:rsidR="00D67EB8" w:rsidRPr="009118AB">
        <w:rPr>
          <w:i/>
        </w:rPr>
        <w:t> - </w:t>
      </w:r>
      <w:r w:rsidR="008061EF" w:rsidRPr="009118AB">
        <w:rPr>
          <w:i/>
        </w:rPr>
        <w:t>anwendbar auf die ab dem 1. Januar 2013 gezahlten oder zuerkannten Einkünfte</w:t>
      </w:r>
      <w:r w:rsidR="00FD68E8" w:rsidRPr="009118AB">
        <w:rPr>
          <w:i/>
        </w:rPr>
        <w:t> -,</w:t>
      </w:r>
      <w:r w:rsidR="00DD2EA3" w:rsidRPr="009118AB">
        <w:rPr>
          <w:i/>
        </w:rPr>
        <w:t xml:space="preserve"> </w:t>
      </w:r>
      <w:r w:rsidR="00D67EB8" w:rsidRPr="009118AB">
        <w:rPr>
          <w:i/>
        </w:rPr>
        <w:t>Art. </w:t>
      </w:r>
      <w:r w:rsidR="00DD2EA3" w:rsidRPr="009118AB">
        <w:rPr>
          <w:i/>
        </w:rPr>
        <w:t xml:space="preserve">24 </w:t>
      </w:r>
      <w:r w:rsidR="00D67EB8" w:rsidRPr="009118AB">
        <w:rPr>
          <w:i/>
        </w:rPr>
        <w:t>Nr. </w:t>
      </w:r>
      <w:r w:rsidR="00DD2EA3" w:rsidRPr="009118AB">
        <w:rPr>
          <w:i/>
        </w:rPr>
        <w:t>1</w:t>
      </w:r>
      <w:r w:rsidR="00DD2EA3" w:rsidRPr="009118AB">
        <w:rPr>
          <w:i/>
          <w:iCs/>
        </w:rPr>
        <w:t xml:space="preserve"> des G. vom 26. Dezember 2013</w:t>
      </w:r>
      <w:r w:rsidR="005B0577" w:rsidRPr="009118AB">
        <w:rPr>
          <w:i/>
          <w:iCs/>
        </w:rPr>
        <w:t> </w:t>
      </w:r>
      <w:r w:rsidR="00DD2EA3" w:rsidRPr="009118AB">
        <w:rPr>
          <w:i/>
          <w:iCs/>
        </w:rPr>
        <w:t>(III)</w:t>
      </w:r>
      <w:r w:rsidR="004F7F42" w:rsidRPr="009118AB">
        <w:rPr>
          <w:i/>
          <w:iCs/>
        </w:rPr>
        <w:t xml:space="preserve"> (B.S. vom 31. Dezember 2013)</w:t>
      </w:r>
      <w:r w:rsidR="00D67EB8" w:rsidRPr="009118AB">
        <w:rPr>
          <w:i/>
          <w:iCs/>
        </w:rPr>
        <w:t> - </w:t>
      </w:r>
      <w:r w:rsidR="00DD2EA3" w:rsidRPr="009118AB">
        <w:rPr>
          <w:i/>
          <w:iCs/>
        </w:rPr>
        <w:t xml:space="preserve">anwendbar auf die ab dem </w:t>
      </w:r>
      <w:r w:rsidR="00DD2EA3" w:rsidRPr="009118AB">
        <w:rPr>
          <w:rFonts w:ascii="Times New Roman Italique" w:hAnsi="Times New Roman Italique"/>
          <w:i/>
          <w:iCs/>
          <w:spacing w:val="-2"/>
        </w:rPr>
        <w:t>1. Januar 2014 gezahlten oder zuerkannten Zinsen</w:t>
      </w:r>
      <w:r w:rsidR="00FD68E8" w:rsidRPr="009118AB">
        <w:rPr>
          <w:rFonts w:ascii="Times New Roman Italique" w:hAnsi="Times New Roman Italique"/>
          <w:i/>
          <w:iCs/>
          <w:spacing w:val="-2"/>
        </w:rPr>
        <w:t> -,</w:t>
      </w:r>
      <w:r w:rsidR="00347BA3"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347BA3" w:rsidRPr="009118AB">
        <w:rPr>
          <w:rFonts w:ascii="Times New Roman Italique" w:hAnsi="Times New Roman Italique" w:hint="eastAsia"/>
          <w:i/>
          <w:iCs/>
          <w:spacing w:val="-2"/>
        </w:rPr>
        <w:t>4</w:t>
      </w:r>
      <w:r w:rsidR="00347BA3" w:rsidRPr="009118AB">
        <w:rPr>
          <w:rFonts w:ascii="Times New Roman Italique" w:hAnsi="Times New Roman Italique"/>
          <w:i/>
          <w:iCs/>
          <w:spacing w:val="-2"/>
        </w:rPr>
        <w:t>9 Buchstabe a)</w:t>
      </w:r>
      <w:r w:rsidR="00347BA3" w:rsidRPr="009118AB">
        <w:rPr>
          <w:i/>
          <w:iCs/>
        </w:rPr>
        <w:t xml:space="preserve"> </w:t>
      </w:r>
      <w:r w:rsidR="00347BA3" w:rsidRPr="009118AB">
        <w:rPr>
          <w:i/>
          <w:iCs/>
          <w:spacing w:val="-1"/>
        </w:rPr>
        <w:t>des G. vom 19. Dezember 2014 (B.S. vom 29. Dezember 2014)</w:t>
      </w:r>
      <w:r w:rsidR="00D67EB8" w:rsidRPr="009118AB">
        <w:rPr>
          <w:i/>
          <w:iCs/>
          <w:spacing w:val="-1"/>
        </w:rPr>
        <w:t> - </w:t>
      </w:r>
      <w:r w:rsidR="00347BA3" w:rsidRPr="009118AB">
        <w:rPr>
          <w:i/>
          <w:iCs/>
          <w:spacing w:val="-1"/>
        </w:rPr>
        <w:t>anwendbar auf die ab dem 1. Januar 2015 zuerkannten oder ausgeschütteten Einkünfte</w:t>
      </w:r>
      <w:r w:rsidR="00FD68E8" w:rsidRPr="009118AB">
        <w:rPr>
          <w:i/>
          <w:iCs/>
          <w:spacing w:val="-1"/>
        </w:rPr>
        <w:t> -,</w:t>
      </w:r>
      <w:r w:rsidR="00B41DFB" w:rsidRPr="009118AB">
        <w:rPr>
          <w:i/>
          <w:iCs/>
          <w:spacing w:val="-1"/>
        </w:rPr>
        <w:t xml:space="preserve"> </w:t>
      </w:r>
      <w:r w:rsidR="00D67EB8" w:rsidRPr="009118AB">
        <w:rPr>
          <w:i/>
          <w:iCs/>
          <w:spacing w:val="-1"/>
        </w:rPr>
        <w:t>Art. </w:t>
      </w:r>
      <w:r w:rsidR="00B41DFB" w:rsidRPr="009118AB">
        <w:rPr>
          <w:i/>
          <w:iCs/>
          <w:spacing w:val="-1"/>
        </w:rPr>
        <w:t xml:space="preserve">79 </w:t>
      </w:r>
      <w:r w:rsidR="00D67EB8" w:rsidRPr="009118AB">
        <w:rPr>
          <w:i/>
          <w:iCs/>
          <w:spacing w:val="-1"/>
        </w:rPr>
        <w:t>Nr. </w:t>
      </w:r>
      <w:r w:rsidR="00B41DFB" w:rsidRPr="009118AB">
        <w:rPr>
          <w:i/>
          <w:iCs/>
          <w:spacing w:val="-1"/>
        </w:rPr>
        <w:t>1</w:t>
      </w:r>
      <w:r w:rsidR="00B41DFB" w:rsidRPr="009118AB">
        <w:rPr>
          <w:i/>
        </w:rPr>
        <w:t xml:space="preserve"> des G. vom 26. Dezember 2015 (II) (B.S. vom 30. Dezember 2015)</w:t>
      </w:r>
      <w:r w:rsidR="00D67EB8" w:rsidRPr="009118AB">
        <w:t> - </w:t>
      </w:r>
      <w:r w:rsidR="00B41DFB"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r w:rsidR="00B56C06" w:rsidRPr="009118AB">
        <w:rPr>
          <w:i/>
        </w:rPr>
        <w:t xml:space="preserve"> </w:t>
      </w:r>
      <w:r w:rsidR="00D67EB8" w:rsidRPr="009118AB">
        <w:rPr>
          <w:i/>
        </w:rPr>
        <w:t>Art. </w:t>
      </w:r>
      <w:r w:rsidR="001170C9" w:rsidRPr="009118AB">
        <w:rPr>
          <w:i/>
        </w:rPr>
        <w:t xml:space="preserve">92 </w:t>
      </w:r>
      <w:r w:rsidR="00D67EB8" w:rsidRPr="009118AB">
        <w:rPr>
          <w:i/>
        </w:rPr>
        <w:t>Nr. </w:t>
      </w:r>
      <w:r w:rsidR="001170C9" w:rsidRPr="009118AB">
        <w:rPr>
          <w:i/>
        </w:rPr>
        <w:t>1 und 2 des G. vom 26. Dezember 2015 (II) (B.S. vom 30. Dezember 2015)</w:t>
      </w:r>
      <w:r w:rsidR="00D67EB8" w:rsidRPr="009118AB">
        <w:t> - </w:t>
      </w:r>
      <w:r w:rsidR="001170C9" w:rsidRPr="009118AB">
        <w:rPr>
          <w:i/>
        </w:rPr>
        <w:t>anwendbar auf die ab dem 1. Januar 2016 gezahlten oder zuerkannten Einkünfte</w:t>
      </w:r>
      <w:r w:rsidR="00D67EB8" w:rsidRPr="009118AB">
        <w:rPr>
          <w:i/>
        </w:rPr>
        <w:t> -</w:t>
      </w:r>
      <w:r w:rsidR="009D1768" w:rsidRPr="009118AB">
        <w:rPr>
          <w:i/>
        </w:rPr>
        <w:t xml:space="preserve"> und</w:t>
      </w:r>
      <w:r w:rsidR="00B56C06" w:rsidRPr="009118AB">
        <w:rPr>
          <w:i/>
        </w:rPr>
        <w:t xml:space="preserve"> </w:t>
      </w:r>
      <w:r w:rsidR="00D67EB8" w:rsidRPr="009118AB">
        <w:rPr>
          <w:i/>
        </w:rPr>
        <w:t>Art. </w:t>
      </w:r>
      <w:r w:rsidR="00B56C06" w:rsidRPr="009118AB">
        <w:rPr>
          <w:i/>
        </w:rPr>
        <w:t xml:space="preserve">94 </w:t>
      </w:r>
      <w:r w:rsidR="00D67EB8" w:rsidRPr="009118AB">
        <w:rPr>
          <w:i/>
        </w:rPr>
        <w:t>Nr. </w:t>
      </w:r>
      <w:r w:rsidR="00B56C06" w:rsidRPr="009118AB">
        <w:rPr>
          <w:i/>
        </w:rPr>
        <w:t>1 des G. vom 25. Dezember 2016</w:t>
      </w:r>
      <w:r w:rsidR="001022BB" w:rsidRPr="009118AB">
        <w:rPr>
          <w:i/>
        </w:rPr>
        <w:t> (I)</w:t>
      </w:r>
      <w:r w:rsidR="00B56C06" w:rsidRPr="009118AB">
        <w:rPr>
          <w:i/>
        </w:rPr>
        <w:t xml:space="preserve"> (B.S. vom 29. Dezember 2016)</w:t>
      </w:r>
      <w:r w:rsidR="00D67EB8" w:rsidRPr="009118AB">
        <w:rPr>
          <w:i/>
        </w:rPr>
        <w:t> - </w:t>
      </w:r>
      <w:r w:rsidR="00B56C06" w:rsidRPr="009118AB">
        <w:rPr>
          <w:i/>
        </w:rPr>
        <w:t>in Kraft am 1. Januar 2017 und anwendbar auf die ab dem 1. Januar 2017 gezahlten oder zuerkannten Einkünfte</w:t>
      </w:r>
      <w:r w:rsidR="003366D9" w:rsidRPr="009118AB">
        <w:rPr>
          <w:i/>
        </w:rPr>
        <w:t> -;</w:t>
      </w:r>
      <w:r w:rsidR="008061EF" w:rsidRPr="009118AB">
        <w:rPr>
          <w:rFonts w:ascii="Times New Roman Italique" w:hAnsi="Times New Roman Italique"/>
          <w:i/>
          <w:spacing w:val="-2"/>
        </w:rPr>
        <w:t xml:space="preserve"> </w:t>
      </w:r>
      <w:r w:rsidR="00D67EB8" w:rsidRPr="009118AB">
        <w:rPr>
          <w:rFonts w:ascii="Times New Roman Italique" w:hAnsi="Times New Roman Italique"/>
          <w:i/>
          <w:spacing w:val="-2"/>
        </w:rPr>
        <w:t>§ </w:t>
      </w:r>
      <w:r w:rsidR="00B176A2" w:rsidRPr="009118AB">
        <w:rPr>
          <w:rFonts w:ascii="Times New Roman Italique" w:hAnsi="Times New Roman Italique"/>
          <w:i/>
          <w:spacing w:val="-2"/>
        </w:rPr>
        <w:t xml:space="preserve">1 einziger Absatz </w:t>
      </w:r>
      <w:r w:rsidR="00D67EB8" w:rsidRPr="009118AB">
        <w:rPr>
          <w:rFonts w:ascii="Times New Roman Italique" w:hAnsi="Times New Roman Italique"/>
          <w:i/>
          <w:spacing w:val="-2"/>
        </w:rPr>
        <w:t>Nr. </w:t>
      </w:r>
      <w:r w:rsidR="00B176A2" w:rsidRPr="009118AB">
        <w:rPr>
          <w:rFonts w:ascii="Times New Roman Italique" w:hAnsi="Times New Roman Italique" w:hint="eastAsia"/>
          <w:i/>
          <w:spacing w:val="-2"/>
        </w:rPr>
        <w:t>2</w:t>
      </w:r>
      <w:r w:rsidR="00B176A2" w:rsidRPr="009118AB">
        <w:rPr>
          <w:rFonts w:ascii="Times New Roman Italique" w:hAnsi="Times New Roman Italique"/>
          <w:i/>
          <w:spacing w:val="-2"/>
        </w:rPr>
        <w:t xml:space="preserve"> abgeändert durch </w:t>
      </w:r>
      <w:r w:rsidR="00D67EB8" w:rsidRPr="009118AB">
        <w:rPr>
          <w:rFonts w:ascii="Times New Roman Italique" w:hAnsi="Times New Roman Italique"/>
          <w:i/>
          <w:spacing w:val="-2"/>
        </w:rPr>
        <w:t>Art. </w:t>
      </w:r>
      <w:r w:rsidR="00B176A2" w:rsidRPr="009118AB">
        <w:rPr>
          <w:rFonts w:ascii="Times New Roman Italique" w:hAnsi="Times New Roman Italique"/>
          <w:i/>
          <w:spacing w:val="-2"/>
        </w:rPr>
        <w:t xml:space="preserve">112 </w:t>
      </w:r>
      <w:r w:rsidR="00B176A2" w:rsidRPr="009118AB">
        <w:rPr>
          <w:i/>
          <w:iCs/>
        </w:rPr>
        <w:t>des G. vom 25. Dezember 2017 (IV) (B.S. vom 29. Dezember 2017)</w:t>
      </w:r>
      <w:r w:rsidR="00D67EB8" w:rsidRPr="009118AB">
        <w:rPr>
          <w:i/>
        </w:rPr>
        <w:t> - </w:t>
      </w:r>
      <w:r w:rsidR="00B176A2" w:rsidRPr="009118AB">
        <w:rPr>
          <w:i/>
        </w:rPr>
        <w:t>anwendbar ab dem 30. Dezember 2016</w:t>
      </w:r>
      <w:r w:rsidR="003366D9" w:rsidRPr="009118AB">
        <w:rPr>
          <w:i/>
        </w:rPr>
        <w:t> -;</w:t>
      </w:r>
      <w:r w:rsidR="00B176A2" w:rsidRPr="009118AB">
        <w:rPr>
          <w:i/>
        </w:rPr>
        <w:t xml:space="preserve"> </w:t>
      </w:r>
      <w:r w:rsidR="00D67EB8" w:rsidRPr="009118AB">
        <w:rPr>
          <w:rFonts w:ascii="Times New Roman Italique" w:hAnsi="Times New Roman Italique"/>
          <w:i/>
          <w:spacing w:val="-2"/>
        </w:rPr>
        <w:t>§ </w:t>
      </w:r>
      <w:r w:rsidR="009A0D65" w:rsidRPr="009118AB">
        <w:rPr>
          <w:rFonts w:ascii="Times New Roman Italique" w:hAnsi="Times New Roman Italique"/>
          <w:i/>
          <w:spacing w:val="-2"/>
        </w:rPr>
        <w:t xml:space="preserve">1 einziger Absatz </w:t>
      </w:r>
      <w:r w:rsidR="00D67EB8" w:rsidRPr="009118AB">
        <w:rPr>
          <w:rFonts w:ascii="Times New Roman Italique" w:hAnsi="Times New Roman Italique"/>
          <w:i/>
          <w:spacing w:val="-2"/>
        </w:rPr>
        <w:t>Nr. </w:t>
      </w:r>
      <w:r w:rsidR="009A0D65" w:rsidRPr="009118AB">
        <w:rPr>
          <w:rFonts w:ascii="Times New Roman Italique" w:hAnsi="Times New Roman Italique"/>
          <w:i/>
          <w:spacing w:val="-2"/>
        </w:rPr>
        <w:t xml:space="preserve">3 </w:t>
      </w:r>
      <w:r w:rsidR="001170C9" w:rsidRPr="009118AB">
        <w:rPr>
          <w:rFonts w:ascii="Times New Roman Italique" w:hAnsi="Times New Roman Italique"/>
          <w:i/>
          <w:spacing w:val="-2"/>
        </w:rPr>
        <w:t xml:space="preserve">aufgehoben durch </w:t>
      </w:r>
      <w:r w:rsidR="00D67EB8" w:rsidRPr="009118AB">
        <w:rPr>
          <w:rFonts w:ascii="Times New Roman Italique" w:hAnsi="Times New Roman Italique"/>
          <w:i/>
          <w:spacing w:val="-2"/>
        </w:rPr>
        <w:t>Art. </w:t>
      </w:r>
      <w:r w:rsidR="001170C9" w:rsidRPr="009118AB">
        <w:rPr>
          <w:rFonts w:ascii="Times New Roman Italique" w:hAnsi="Times New Roman Italique" w:hint="eastAsia"/>
          <w:i/>
          <w:spacing w:val="-2"/>
        </w:rPr>
        <w:t>9</w:t>
      </w:r>
      <w:r w:rsidR="001170C9" w:rsidRPr="009118AB">
        <w:rPr>
          <w:rFonts w:ascii="Times New Roman Italique" w:hAnsi="Times New Roman Italique"/>
          <w:i/>
          <w:spacing w:val="-2"/>
        </w:rPr>
        <w:t xml:space="preserve">2 </w:t>
      </w:r>
      <w:r w:rsidR="00D67EB8" w:rsidRPr="009118AB">
        <w:rPr>
          <w:rFonts w:ascii="Times New Roman Italique" w:hAnsi="Times New Roman Italique"/>
          <w:i/>
          <w:spacing w:val="-2"/>
        </w:rPr>
        <w:t>Nr. </w:t>
      </w:r>
      <w:r w:rsidR="001170C9" w:rsidRPr="009118AB">
        <w:rPr>
          <w:rFonts w:ascii="Times New Roman Italique" w:hAnsi="Times New Roman Italique" w:hint="eastAsia"/>
          <w:i/>
          <w:spacing w:val="-2"/>
        </w:rPr>
        <w:t>3</w:t>
      </w:r>
      <w:r w:rsidR="001170C9" w:rsidRPr="009118AB">
        <w:rPr>
          <w:i/>
        </w:rPr>
        <w:t xml:space="preserve"> des G. vom 26. Dezember 2015 (II) (B.S. vom 30. Dezember 2015)</w:t>
      </w:r>
      <w:r w:rsidR="00D67EB8" w:rsidRPr="009118AB">
        <w:t> - </w:t>
      </w:r>
      <w:r w:rsidR="001170C9" w:rsidRPr="009118AB">
        <w:rPr>
          <w:i/>
        </w:rPr>
        <w:t>anwendbar auf die ab dem 1. Januar 2016 gezahlten oder zuerkannten Einkünfte</w:t>
      </w:r>
      <w:r w:rsidR="00D67EB8" w:rsidRPr="009118AB">
        <w:rPr>
          <w:i/>
        </w:rPr>
        <w:t> - </w:t>
      </w:r>
      <w:r w:rsidR="00B304FD" w:rsidRPr="009118AB">
        <w:rPr>
          <w:i/>
        </w:rPr>
        <w:t xml:space="preserve">und wieder aufgenommen durch </w:t>
      </w:r>
      <w:r w:rsidR="00D67EB8" w:rsidRPr="009118AB">
        <w:rPr>
          <w:i/>
        </w:rPr>
        <w:t>Art. </w:t>
      </w:r>
      <w:r w:rsidR="00B304FD" w:rsidRPr="009118AB">
        <w:rPr>
          <w:i/>
        </w:rPr>
        <w:t>90 des G. vom 18. Dezember 2016</w:t>
      </w:r>
      <w:r w:rsidR="004E359B" w:rsidRPr="009118AB">
        <w:rPr>
          <w:i/>
        </w:rPr>
        <w:t> (I)</w:t>
      </w:r>
      <w:r w:rsidR="00B304FD" w:rsidRPr="009118AB">
        <w:rPr>
          <w:i/>
        </w:rPr>
        <w:t xml:space="preserve"> (B.S. vom 20. Dezember 2016)</w:t>
      </w:r>
      <w:r w:rsidR="00D67EB8" w:rsidRPr="009118AB">
        <w:rPr>
          <w:i/>
        </w:rPr>
        <w:t> - </w:t>
      </w:r>
      <w:r w:rsidR="00B304FD" w:rsidRPr="009118AB">
        <w:rPr>
          <w:i/>
        </w:rPr>
        <w:t>anwendbar auf die ab dem 1. Januar 2017 gezahlten oder zuerkannten Einkünfte</w:t>
      </w:r>
      <w:r w:rsidR="003366D9" w:rsidRPr="009118AB">
        <w:rPr>
          <w:i/>
        </w:rPr>
        <w:t> -;</w:t>
      </w:r>
      <w:r w:rsidR="009A0D65" w:rsidRPr="009118AB">
        <w:rPr>
          <w:i/>
          <w:iCs/>
        </w:rPr>
        <w:t xml:space="preserve"> </w:t>
      </w:r>
      <w:r w:rsidR="00D67EB8" w:rsidRPr="009118AB">
        <w:rPr>
          <w:i/>
          <w:iCs/>
        </w:rPr>
        <w:t>§ </w:t>
      </w:r>
      <w:r w:rsidR="00C94264" w:rsidRPr="009118AB">
        <w:rPr>
          <w:i/>
          <w:iCs/>
        </w:rPr>
        <w:t xml:space="preserve">1 einziger Absatz </w:t>
      </w:r>
      <w:r w:rsidR="00D67EB8" w:rsidRPr="009118AB">
        <w:rPr>
          <w:i/>
          <w:iCs/>
        </w:rPr>
        <w:t>Nr. </w:t>
      </w:r>
      <w:r w:rsidR="00C94264" w:rsidRPr="009118AB">
        <w:rPr>
          <w:i/>
          <w:iCs/>
        </w:rPr>
        <w:t xml:space="preserve">3 </w:t>
      </w:r>
      <w:r w:rsidR="00D67EB8" w:rsidRPr="009118AB">
        <w:rPr>
          <w:i/>
          <w:iCs/>
        </w:rPr>
        <w:t>Abs. </w:t>
      </w:r>
      <w:r w:rsidR="00C94264" w:rsidRPr="009118AB">
        <w:rPr>
          <w:i/>
          <w:iCs/>
        </w:rPr>
        <w:t xml:space="preserve">1 abgeändert durch </w:t>
      </w:r>
      <w:r w:rsidR="00D67EB8" w:rsidRPr="009118AB">
        <w:rPr>
          <w:i/>
          <w:iCs/>
        </w:rPr>
        <w:t>Art. </w:t>
      </w:r>
      <w:r w:rsidR="00C94264" w:rsidRPr="009118AB">
        <w:rPr>
          <w:i/>
          <w:iCs/>
        </w:rPr>
        <w:t xml:space="preserve">21 </w:t>
      </w:r>
      <w:r w:rsidR="00D67EB8" w:rsidRPr="009118AB">
        <w:rPr>
          <w:i/>
          <w:iCs/>
        </w:rPr>
        <w:t>Nr. </w:t>
      </w:r>
      <w:r w:rsidR="00C94264" w:rsidRPr="009118AB">
        <w:rPr>
          <w:i/>
          <w:iCs/>
        </w:rPr>
        <w:t>1</w:t>
      </w:r>
      <w:r w:rsidR="00C94264" w:rsidRPr="009118AB">
        <w:rPr>
          <w:i/>
        </w:rPr>
        <w:t xml:space="preserve"> des G. vom 27. Dezember 2021 (B.S. vom 31. Dezember 2021)</w:t>
      </w:r>
      <w:r w:rsidR="00D67EB8" w:rsidRPr="009118AB">
        <w:rPr>
          <w:i/>
        </w:rPr>
        <w:t> - </w:t>
      </w:r>
      <w:r w:rsidR="00C94264" w:rsidRPr="009118AB">
        <w:rPr>
          <w:i/>
        </w:rPr>
        <w:t>anwendbar auf die ab dem 1. Januar 2022 gezahlten oder zuerkannten Einkünfte</w:t>
      </w:r>
      <w:r w:rsidR="003366D9" w:rsidRPr="009118AB">
        <w:rPr>
          <w:i/>
        </w:rPr>
        <w:t> -;</w:t>
      </w:r>
      <w:r w:rsidR="00C94264" w:rsidRPr="009118AB">
        <w:rPr>
          <w:i/>
        </w:rPr>
        <w:t xml:space="preserve"> </w:t>
      </w:r>
      <w:r w:rsidR="00D67EB8" w:rsidRPr="009118AB">
        <w:rPr>
          <w:i/>
          <w:iCs/>
        </w:rPr>
        <w:t>§ </w:t>
      </w:r>
      <w:r w:rsidR="00C94264" w:rsidRPr="009118AB">
        <w:rPr>
          <w:i/>
          <w:iCs/>
        </w:rPr>
        <w:t xml:space="preserve">1 einziger Absatz </w:t>
      </w:r>
      <w:r w:rsidR="00D67EB8" w:rsidRPr="009118AB">
        <w:rPr>
          <w:i/>
          <w:iCs/>
        </w:rPr>
        <w:t>Nr. </w:t>
      </w:r>
      <w:r w:rsidR="00C94264" w:rsidRPr="009118AB">
        <w:rPr>
          <w:i/>
          <w:iCs/>
        </w:rPr>
        <w:t xml:space="preserve">3 neuer Absatz 3 eingefügt durch </w:t>
      </w:r>
      <w:r w:rsidR="00D67EB8" w:rsidRPr="009118AB">
        <w:rPr>
          <w:i/>
          <w:iCs/>
        </w:rPr>
        <w:t>Art. </w:t>
      </w:r>
      <w:r w:rsidR="00C94264" w:rsidRPr="009118AB">
        <w:rPr>
          <w:i/>
          <w:iCs/>
        </w:rPr>
        <w:t xml:space="preserve">21 </w:t>
      </w:r>
      <w:r w:rsidR="00D67EB8" w:rsidRPr="009118AB">
        <w:rPr>
          <w:i/>
          <w:iCs/>
        </w:rPr>
        <w:t>Nr. </w:t>
      </w:r>
      <w:r w:rsidR="0076682C" w:rsidRPr="009118AB">
        <w:rPr>
          <w:i/>
          <w:iCs/>
        </w:rPr>
        <w:t>2</w:t>
      </w:r>
      <w:r w:rsidR="00C94264" w:rsidRPr="009118AB">
        <w:rPr>
          <w:i/>
        </w:rPr>
        <w:t xml:space="preserve"> des G. vom 27. Dezember 2021 (B.S. vom 31. Dezember 2021)</w:t>
      </w:r>
      <w:r w:rsidR="00D67EB8" w:rsidRPr="009118AB">
        <w:rPr>
          <w:i/>
        </w:rPr>
        <w:t> - </w:t>
      </w:r>
      <w:r w:rsidR="00C94264" w:rsidRPr="009118AB">
        <w:rPr>
          <w:i/>
        </w:rPr>
        <w:t>anwendbar auf die ab dem 1. Januar 2022 gezahlten oder zuerkannten Einkünfte</w:t>
      </w:r>
      <w:r w:rsidR="003366D9" w:rsidRPr="009118AB">
        <w:rPr>
          <w:i/>
        </w:rPr>
        <w:t> -;</w:t>
      </w:r>
      <w:r w:rsidR="00C94264" w:rsidRPr="009118AB">
        <w:rPr>
          <w:i/>
        </w:rPr>
        <w:t xml:space="preserve"> </w:t>
      </w:r>
      <w:r w:rsidR="00690995" w:rsidRPr="009118AB">
        <w:rPr>
          <w:i/>
        </w:rPr>
        <w:t>§ 1 einziger Absatz Nr. 4 ersetzt durch Art. 105</w:t>
      </w:r>
      <w:r w:rsidR="00690995" w:rsidRPr="009118AB">
        <w:rPr>
          <w:bCs/>
          <w:i/>
          <w:iCs/>
        </w:rPr>
        <w:t xml:space="preserve"> des G. vom 26. Dezember 2022</w:t>
      </w:r>
      <w:r w:rsidR="00236038" w:rsidRPr="009118AB">
        <w:rPr>
          <w:bCs/>
          <w:i/>
          <w:iCs/>
        </w:rPr>
        <w:t> (I)</w:t>
      </w:r>
      <w:r w:rsidR="00690995" w:rsidRPr="009118AB">
        <w:rPr>
          <w:bCs/>
          <w:i/>
          <w:iCs/>
        </w:rPr>
        <w:t xml:space="preserve"> (B.S. vom 30. Dezember 2022) - in Kraft am 1. Januar 2023 und anwendbar auf die ab dem 1. Januar 2023 gezahlten oder zuerkannten Einkünfte -; </w:t>
      </w:r>
      <w:r w:rsidR="00D67EB8" w:rsidRPr="009118AB">
        <w:rPr>
          <w:i/>
          <w:iCs/>
        </w:rPr>
        <w:t>§ </w:t>
      </w:r>
      <w:r w:rsidRPr="009118AB">
        <w:rPr>
          <w:i/>
          <w:iCs/>
        </w:rPr>
        <w:t xml:space="preserve">1 einziger Absatz </w:t>
      </w:r>
      <w:r w:rsidR="00D67EB8" w:rsidRPr="009118AB">
        <w:rPr>
          <w:i/>
          <w:iCs/>
        </w:rPr>
        <w:t>Nr. </w:t>
      </w:r>
      <w:r w:rsidRPr="009118AB">
        <w:rPr>
          <w:i/>
          <w:iCs/>
        </w:rPr>
        <w:t xml:space="preserve">5 aufgehoben durch </w:t>
      </w:r>
      <w:r w:rsidR="00D67EB8" w:rsidRPr="009118AB">
        <w:rPr>
          <w:i/>
          <w:iCs/>
        </w:rPr>
        <w:t>Art. </w:t>
      </w:r>
      <w:r w:rsidRPr="009118AB">
        <w:rPr>
          <w:i/>
          <w:iCs/>
        </w:rPr>
        <w:t>5 Buchstabe a) des G. vom 28. Juni 2013 (B.S. vom 1. Juli 2013)</w:t>
      </w:r>
      <w:r w:rsidR="00D67EB8" w:rsidRPr="009118AB">
        <w:rPr>
          <w:i/>
          <w:iCs/>
        </w:rPr>
        <w:t> - </w:t>
      </w:r>
      <w:r w:rsidR="00536979" w:rsidRPr="009118AB">
        <w:rPr>
          <w:i/>
          <w:iCs/>
        </w:rPr>
        <w:t>anwendbar auf die ab dem 1. Oktober 2014 zuerkannten oder ausgeschütteten Einkünfte</w:t>
      </w:r>
      <w:r w:rsidR="00D67EB8" w:rsidRPr="009118AB">
        <w:rPr>
          <w:i/>
          <w:iCs/>
        </w:rPr>
        <w:t> - </w:t>
      </w:r>
      <w:r w:rsidR="008B58C2" w:rsidRPr="009118AB">
        <w:rPr>
          <w:i/>
          <w:iCs/>
        </w:rPr>
        <w:t xml:space="preserve">und wieder aufgenommen durch </w:t>
      </w:r>
      <w:r w:rsidR="00D67EB8" w:rsidRPr="009118AB">
        <w:rPr>
          <w:i/>
          <w:iCs/>
        </w:rPr>
        <w:t>Art. </w:t>
      </w:r>
      <w:r w:rsidR="008B58C2" w:rsidRPr="009118AB">
        <w:rPr>
          <w:i/>
          <w:iCs/>
        </w:rPr>
        <w:t>173 des G. vom 25. April 2014 (B.S. vom 7. Mai 2014)</w:t>
      </w:r>
      <w:r w:rsidR="00D67EB8" w:rsidRPr="009118AB">
        <w:rPr>
          <w:i/>
          <w:iCs/>
        </w:rPr>
        <w:t> - </w:t>
      </w:r>
      <w:r w:rsidR="00A24702" w:rsidRPr="009118AB">
        <w:rPr>
          <w:i/>
          <w:iCs/>
        </w:rPr>
        <w:t>wirksam auf die ab dem 1. Januar 2012 zuerkannten oder ausgeschütteten Einkünfte und nicht mehr wirksam auf die ab dem 1. Januar 2013 zuerkannten oder ausgeschütteten Einkünfte</w:t>
      </w:r>
      <w:r w:rsidR="003366D9" w:rsidRPr="009118AB">
        <w:rPr>
          <w:i/>
          <w:iCs/>
        </w:rPr>
        <w:t> -;</w:t>
      </w:r>
      <w:r w:rsidRPr="009118AB">
        <w:rPr>
          <w:i/>
          <w:iCs/>
        </w:rPr>
        <w:t xml:space="preserve"> </w:t>
      </w:r>
      <w:r w:rsidR="00D67EB8" w:rsidRPr="009118AB">
        <w:rPr>
          <w:i/>
          <w:iCs/>
        </w:rPr>
        <w:t>§ </w:t>
      </w:r>
      <w:r w:rsidR="003D3A1D" w:rsidRPr="009118AB">
        <w:rPr>
          <w:i/>
          <w:iCs/>
        </w:rPr>
        <w:t xml:space="preserve">1 einziger Absatz </w:t>
      </w:r>
      <w:r w:rsidR="00D67EB8" w:rsidRPr="009118AB">
        <w:rPr>
          <w:i/>
          <w:iCs/>
        </w:rPr>
        <w:t>Nr. </w:t>
      </w:r>
      <w:r w:rsidR="003D3A1D" w:rsidRPr="009118AB">
        <w:rPr>
          <w:i/>
          <w:iCs/>
        </w:rPr>
        <w:t xml:space="preserve">6 ersetzt durch </w:t>
      </w:r>
      <w:r w:rsidR="00D67EB8" w:rsidRPr="009118AB">
        <w:rPr>
          <w:i/>
          <w:iCs/>
        </w:rPr>
        <w:t>Art. </w:t>
      </w:r>
      <w:r w:rsidR="003D3A1D" w:rsidRPr="009118AB">
        <w:rPr>
          <w:i/>
          <w:iCs/>
        </w:rPr>
        <w:t>55 des G. vom 18. Dezember 2015 (II) (B.S. vom 28. Dezember 2015)</w:t>
      </w:r>
      <w:r w:rsidR="00D67EB8" w:rsidRPr="009118AB">
        <w:rPr>
          <w:i/>
          <w:iCs/>
        </w:rPr>
        <w:t> - </w:t>
      </w:r>
      <w:r w:rsidR="001D5DB8" w:rsidRPr="009118AB">
        <w:rPr>
          <w:i/>
          <w:iCs/>
        </w:rPr>
        <w:t xml:space="preserve">anwendbar </w:t>
      </w:r>
      <w:r w:rsidR="003D3A1D" w:rsidRPr="009118AB">
        <w:rPr>
          <w:i/>
          <w:iCs/>
        </w:rPr>
        <w:t>auf Einkünfte, die ab dem 28. Dezember 2015 zuerkannt oder ausgeschüttet werden</w:t>
      </w:r>
      <w:r w:rsidR="00D67EB8" w:rsidRPr="009118AB">
        <w:rPr>
          <w:i/>
          <w:iCs/>
        </w:rPr>
        <w:t> - </w:t>
      </w:r>
      <w:r w:rsidR="00B41DFB" w:rsidRPr="009118AB">
        <w:rPr>
          <w:i/>
          <w:iCs/>
        </w:rPr>
        <w:t xml:space="preserve">und abgeändert durch </w:t>
      </w:r>
      <w:r w:rsidR="00D67EB8" w:rsidRPr="009118AB">
        <w:rPr>
          <w:i/>
          <w:iCs/>
        </w:rPr>
        <w:t>Art. </w:t>
      </w:r>
      <w:r w:rsidR="00B41DFB" w:rsidRPr="009118AB">
        <w:rPr>
          <w:i/>
          <w:iCs/>
        </w:rPr>
        <w:t xml:space="preserve">79 </w:t>
      </w:r>
      <w:r w:rsidR="00D67EB8" w:rsidRPr="009118AB">
        <w:rPr>
          <w:i/>
          <w:iCs/>
        </w:rPr>
        <w:t>Nr. </w:t>
      </w:r>
      <w:r w:rsidR="00B41DFB" w:rsidRPr="009118AB">
        <w:rPr>
          <w:i/>
          <w:iCs/>
        </w:rPr>
        <w:t>2</w:t>
      </w:r>
      <w:r w:rsidR="00B41DFB" w:rsidRPr="009118AB">
        <w:rPr>
          <w:i/>
        </w:rPr>
        <w:t xml:space="preserve"> des G. vom 26. Dezember 2015 (II) (B.S. vom 30. Dezember 2015)</w:t>
      </w:r>
      <w:r w:rsidR="00D67EB8" w:rsidRPr="009118AB">
        <w:t> - </w:t>
      </w:r>
      <w:r w:rsidR="00B41DFB"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118AB">
        <w:rPr>
          <w:i/>
        </w:rPr>
        <w:t> -;</w:t>
      </w:r>
      <w:r w:rsidR="003D3A1D" w:rsidRPr="009118AB">
        <w:rPr>
          <w:i/>
          <w:iCs/>
        </w:rPr>
        <w:t xml:space="preserve"> </w:t>
      </w:r>
      <w:r w:rsidR="00D67EB8" w:rsidRPr="009118AB">
        <w:rPr>
          <w:i/>
          <w:iCs/>
        </w:rPr>
        <w:t>§ </w:t>
      </w:r>
      <w:r w:rsidR="00DD2EA3" w:rsidRPr="009118AB">
        <w:rPr>
          <w:i/>
          <w:iCs/>
        </w:rPr>
        <w:t xml:space="preserve">1 einziger Absatz </w:t>
      </w:r>
      <w:r w:rsidR="00D67EB8" w:rsidRPr="009118AB">
        <w:rPr>
          <w:i/>
          <w:iCs/>
        </w:rPr>
        <w:t>Nr. </w:t>
      </w:r>
      <w:r w:rsidR="00DD2EA3" w:rsidRPr="009118AB">
        <w:rPr>
          <w:i/>
          <w:iCs/>
        </w:rPr>
        <w:t xml:space="preserve">7 eingefügt durch </w:t>
      </w:r>
      <w:r w:rsidR="00D67EB8" w:rsidRPr="009118AB">
        <w:rPr>
          <w:i/>
          <w:iCs/>
        </w:rPr>
        <w:t>Art. </w:t>
      </w:r>
      <w:r w:rsidR="00DD2EA3" w:rsidRPr="009118AB">
        <w:rPr>
          <w:i/>
          <w:iCs/>
        </w:rPr>
        <w:t xml:space="preserve">24 </w:t>
      </w:r>
      <w:r w:rsidR="00D67EB8" w:rsidRPr="009118AB">
        <w:rPr>
          <w:i/>
          <w:iCs/>
        </w:rPr>
        <w:t>Nr. </w:t>
      </w:r>
      <w:r w:rsidR="00DD2EA3" w:rsidRPr="009118AB">
        <w:rPr>
          <w:i/>
          <w:iCs/>
        </w:rPr>
        <w:t>2 des G. vom 26. Dezember 2013</w:t>
      </w:r>
      <w:r w:rsidR="005B0577" w:rsidRPr="009118AB">
        <w:rPr>
          <w:i/>
          <w:iCs/>
        </w:rPr>
        <w:t> </w:t>
      </w:r>
      <w:r w:rsidR="00DD2EA3" w:rsidRPr="009118AB">
        <w:rPr>
          <w:i/>
          <w:iCs/>
        </w:rPr>
        <w:t>(III)</w:t>
      </w:r>
      <w:r w:rsidR="004F7F42" w:rsidRPr="009118AB">
        <w:rPr>
          <w:i/>
          <w:iCs/>
        </w:rPr>
        <w:t xml:space="preserve"> (B.S. vom 31. Dezember 2013)</w:t>
      </w:r>
      <w:r w:rsidR="00D67EB8" w:rsidRPr="009118AB">
        <w:rPr>
          <w:i/>
          <w:iCs/>
        </w:rPr>
        <w:t> - </w:t>
      </w:r>
      <w:r w:rsidR="00DD2EA3" w:rsidRPr="009118AB">
        <w:rPr>
          <w:i/>
          <w:iCs/>
        </w:rPr>
        <w:t>anwendbar auf die ab dem 1. Januar 2014 gezahlten oder zuerkannten Zinsen</w:t>
      </w:r>
      <w:r w:rsidR="00D67EB8" w:rsidRPr="009118AB">
        <w:rPr>
          <w:i/>
          <w:iCs/>
        </w:rPr>
        <w:t> - </w:t>
      </w:r>
      <w:r w:rsidR="003F54EB" w:rsidRPr="009118AB">
        <w:rPr>
          <w:i/>
          <w:iCs/>
        </w:rPr>
        <w:t xml:space="preserve">und aufgehoben durch </w:t>
      </w:r>
      <w:r w:rsidR="00D67EB8" w:rsidRPr="009118AB">
        <w:rPr>
          <w:i/>
          <w:iCs/>
        </w:rPr>
        <w:t>Art. </w:t>
      </w:r>
      <w:r w:rsidR="003F54EB" w:rsidRPr="009118AB">
        <w:rPr>
          <w:i/>
          <w:iCs/>
        </w:rPr>
        <w:t xml:space="preserve">92 </w:t>
      </w:r>
      <w:r w:rsidR="00D67EB8" w:rsidRPr="009118AB">
        <w:rPr>
          <w:i/>
          <w:iCs/>
        </w:rPr>
        <w:t>Nr. </w:t>
      </w:r>
      <w:r w:rsidR="003F54EB" w:rsidRPr="009118AB">
        <w:rPr>
          <w:i/>
          <w:iCs/>
        </w:rPr>
        <w:t>4</w:t>
      </w:r>
      <w:r w:rsidR="003F54EB" w:rsidRPr="009118AB">
        <w:rPr>
          <w:i/>
        </w:rPr>
        <w:t xml:space="preserve"> des G. vom 26. Dezember 2015 (II) (B.S. vom 30. Dezember 2015)</w:t>
      </w:r>
      <w:r w:rsidR="00D67EB8" w:rsidRPr="009118AB">
        <w:t> - </w:t>
      </w:r>
      <w:r w:rsidR="003F54EB" w:rsidRPr="009118AB">
        <w:rPr>
          <w:i/>
        </w:rPr>
        <w:t>anwendbar auf die ab dem 1. Januar 2016 gezahlten oder zuerkannten Einkünfte</w:t>
      </w:r>
      <w:r w:rsidR="003366D9" w:rsidRPr="009118AB">
        <w:rPr>
          <w:i/>
        </w:rPr>
        <w:t> -;</w:t>
      </w:r>
      <w:r w:rsidR="00347BA3" w:rsidRPr="009118AB">
        <w:rPr>
          <w:i/>
          <w:iCs/>
        </w:rPr>
        <w:t xml:space="preserve"> </w:t>
      </w:r>
      <w:r w:rsidR="00D67EB8" w:rsidRPr="009118AB">
        <w:rPr>
          <w:i/>
          <w:iCs/>
        </w:rPr>
        <w:t>§ </w:t>
      </w:r>
      <w:r w:rsidR="00347BA3" w:rsidRPr="009118AB">
        <w:rPr>
          <w:i/>
          <w:iCs/>
        </w:rPr>
        <w:t xml:space="preserve">1 einziger Absatz </w:t>
      </w:r>
      <w:r w:rsidR="00D67EB8" w:rsidRPr="009118AB">
        <w:rPr>
          <w:i/>
          <w:iCs/>
        </w:rPr>
        <w:t>Nr. </w:t>
      </w:r>
      <w:r w:rsidR="00347BA3" w:rsidRPr="009118AB">
        <w:rPr>
          <w:i/>
          <w:iCs/>
        </w:rPr>
        <w:t xml:space="preserve">8 eingefügt durch </w:t>
      </w:r>
      <w:r w:rsidR="00D67EB8" w:rsidRPr="009118AB">
        <w:rPr>
          <w:i/>
          <w:iCs/>
        </w:rPr>
        <w:t>Art. </w:t>
      </w:r>
      <w:r w:rsidR="00347BA3" w:rsidRPr="009118AB">
        <w:rPr>
          <w:i/>
          <w:iCs/>
        </w:rPr>
        <w:t xml:space="preserve">49 Buchstabe b) </w:t>
      </w:r>
      <w:r w:rsidR="00347BA3" w:rsidRPr="009118AB">
        <w:rPr>
          <w:i/>
          <w:iCs/>
          <w:spacing w:val="-1"/>
        </w:rPr>
        <w:t>des G. vom 19. Dezember 2014 (B.S. vom 29. Dezember 2014)</w:t>
      </w:r>
      <w:r w:rsidR="00D67EB8" w:rsidRPr="009118AB">
        <w:rPr>
          <w:i/>
          <w:iCs/>
          <w:spacing w:val="-1"/>
        </w:rPr>
        <w:t> - </w:t>
      </w:r>
      <w:r w:rsidR="00347BA3" w:rsidRPr="009118AB">
        <w:rPr>
          <w:i/>
          <w:iCs/>
          <w:spacing w:val="-1"/>
        </w:rPr>
        <w:t>anwendbar auf die ab dem 1. Januar 2015 zuerkannten oder ausgeschütteten Einkünfte</w:t>
      </w:r>
      <w:r w:rsidR="00D67EB8" w:rsidRPr="009118AB">
        <w:rPr>
          <w:i/>
          <w:iCs/>
          <w:spacing w:val="-1"/>
        </w:rPr>
        <w:t> - </w:t>
      </w:r>
      <w:r w:rsidR="008C74C1" w:rsidRPr="009118AB">
        <w:rPr>
          <w:i/>
          <w:iCs/>
          <w:spacing w:val="-1"/>
        </w:rPr>
        <w:t xml:space="preserve">und abgeändert durch </w:t>
      </w:r>
      <w:r w:rsidR="00D67EB8" w:rsidRPr="009118AB">
        <w:rPr>
          <w:i/>
          <w:iCs/>
          <w:spacing w:val="-1"/>
        </w:rPr>
        <w:t>Art. </w:t>
      </w:r>
      <w:r w:rsidR="008C74C1" w:rsidRPr="009118AB">
        <w:rPr>
          <w:i/>
          <w:iCs/>
          <w:spacing w:val="-1"/>
        </w:rPr>
        <w:t xml:space="preserve">80 </w:t>
      </w:r>
      <w:r w:rsidR="00D67EB8" w:rsidRPr="009118AB">
        <w:rPr>
          <w:i/>
          <w:iCs/>
          <w:spacing w:val="-1"/>
        </w:rPr>
        <w:lastRenderedPageBreak/>
        <w:t>Nr. </w:t>
      </w:r>
      <w:r w:rsidR="008C74C1" w:rsidRPr="009118AB">
        <w:rPr>
          <w:i/>
          <w:iCs/>
          <w:spacing w:val="-1"/>
        </w:rPr>
        <w:t>1 und 2 des G. vom 10. August 2015 (B.S. vom 18. August 2015)</w:t>
      </w:r>
      <w:r w:rsidR="00D67EB8" w:rsidRPr="009118AB">
        <w:rPr>
          <w:i/>
          <w:iCs/>
          <w:spacing w:val="-1"/>
        </w:rPr>
        <w:t> - </w:t>
      </w:r>
      <w:r w:rsidR="008C74C1" w:rsidRPr="009118AB">
        <w:rPr>
          <w:i/>
          <w:iCs/>
          <w:spacing w:val="-1"/>
        </w:rPr>
        <w:t>in Kraft a</w:t>
      </w:r>
      <w:r w:rsidR="006315CE" w:rsidRPr="009118AB">
        <w:rPr>
          <w:i/>
          <w:iCs/>
          <w:spacing w:val="-1"/>
        </w:rPr>
        <w:t>b de</w:t>
      </w:r>
      <w:r w:rsidR="008C74C1" w:rsidRPr="009118AB">
        <w:rPr>
          <w:i/>
          <w:iCs/>
          <w:spacing w:val="-1"/>
        </w:rPr>
        <w:t>m 18. August 2015</w:t>
      </w:r>
      <w:r w:rsidR="00FD68E8" w:rsidRPr="009118AB">
        <w:rPr>
          <w:i/>
          <w:iCs/>
          <w:spacing w:val="-1"/>
        </w:rPr>
        <w:t> -,</w:t>
      </w:r>
      <w:r w:rsidR="003F54EB" w:rsidRPr="009118AB">
        <w:rPr>
          <w:i/>
          <w:iCs/>
          <w:spacing w:val="-1"/>
        </w:rPr>
        <w:t xml:space="preserve"> </w:t>
      </w:r>
      <w:r w:rsidR="00D67EB8" w:rsidRPr="009118AB">
        <w:rPr>
          <w:i/>
          <w:iCs/>
          <w:spacing w:val="-1"/>
        </w:rPr>
        <w:t>Art. </w:t>
      </w:r>
      <w:r w:rsidR="003F54EB" w:rsidRPr="009118AB">
        <w:rPr>
          <w:i/>
          <w:iCs/>
          <w:spacing w:val="-1"/>
        </w:rPr>
        <w:t xml:space="preserve">92 </w:t>
      </w:r>
      <w:r w:rsidR="00D67EB8" w:rsidRPr="009118AB">
        <w:rPr>
          <w:i/>
          <w:iCs/>
          <w:spacing w:val="-1"/>
        </w:rPr>
        <w:t>Nr. </w:t>
      </w:r>
      <w:r w:rsidR="003F54EB" w:rsidRPr="009118AB">
        <w:rPr>
          <w:i/>
          <w:iCs/>
          <w:spacing w:val="-1"/>
        </w:rPr>
        <w:t>5</w:t>
      </w:r>
      <w:r w:rsidR="003F54EB" w:rsidRPr="009118AB">
        <w:rPr>
          <w:i/>
        </w:rPr>
        <w:t xml:space="preserve"> des G. vom 26. Dezember 2015 (II) (B.S. vom 30. Dezember 2015)</w:t>
      </w:r>
      <w:r w:rsidR="00D67EB8" w:rsidRPr="009118AB">
        <w:t> - </w:t>
      </w:r>
      <w:r w:rsidR="003F54EB" w:rsidRPr="009118AB">
        <w:rPr>
          <w:i/>
        </w:rPr>
        <w:t>anwendbar auf die ab dem 1. Januar 2016 gezahlten oder zuerkannten Einkünfte</w:t>
      </w:r>
      <w:r w:rsidR="00D67EB8" w:rsidRPr="009118AB">
        <w:rPr>
          <w:i/>
        </w:rPr>
        <w:t> - </w:t>
      </w:r>
      <w:r w:rsidR="00B56C06" w:rsidRPr="009118AB">
        <w:rPr>
          <w:i/>
        </w:rPr>
        <w:t xml:space="preserve">und </w:t>
      </w:r>
      <w:r w:rsidR="00D67EB8" w:rsidRPr="009118AB">
        <w:rPr>
          <w:i/>
        </w:rPr>
        <w:t>Art. </w:t>
      </w:r>
      <w:r w:rsidR="00B56C06" w:rsidRPr="009118AB">
        <w:rPr>
          <w:i/>
        </w:rPr>
        <w:t xml:space="preserve">94 </w:t>
      </w:r>
      <w:r w:rsidR="00D67EB8" w:rsidRPr="009118AB">
        <w:rPr>
          <w:i/>
        </w:rPr>
        <w:t>Nr. </w:t>
      </w:r>
      <w:r w:rsidR="00B56C06" w:rsidRPr="009118AB">
        <w:rPr>
          <w:i/>
        </w:rPr>
        <w:t>2 des G. vom 25. Dezember 2016</w:t>
      </w:r>
      <w:r w:rsidR="001022BB" w:rsidRPr="009118AB">
        <w:rPr>
          <w:i/>
        </w:rPr>
        <w:t> (I)</w:t>
      </w:r>
      <w:r w:rsidR="00B56C06" w:rsidRPr="009118AB">
        <w:rPr>
          <w:i/>
        </w:rPr>
        <w:t xml:space="preserve"> (B.S. vom 29. Dezember 2016)</w:t>
      </w:r>
      <w:r w:rsidR="00D67EB8" w:rsidRPr="009118AB">
        <w:rPr>
          <w:i/>
        </w:rPr>
        <w:t> - </w:t>
      </w:r>
      <w:r w:rsidR="00B56C06" w:rsidRPr="009118AB">
        <w:rPr>
          <w:i/>
        </w:rPr>
        <w:t>in Kraft am 1. Januar 2017 und anwendbar auf Liquidationsrücklagen, die für einen Besteuerungszeitraum gebildet werden, der frühestens an das Steuerjahr 2018 gebunden ist</w:t>
      </w:r>
      <w:r w:rsidR="003366D9" w:rsidRPr="009118AB">
        <w:rPr>
          <w:i/>
        </w:rPr>
        <w:t> -;</w:t>
      </w:r>
      <w:r w:rsidR="00B41DFB" w:rsidRPr="009118AB">
        <w:rPr>
          <w:i/>
          <w:iCs/>
          <w:spacing w:val="-1"/>
        </w:rPr>
        <w:t xml:space="preserve"> </w:t>
      </w:r>
      <w:r w:rsidR="00D67EB8" w:rsidRPr="009118AB">
        <w:rPr>
          <w:i/>
          <w:iCs/>
          <w:spacing w:val="-1"/>
        </w:rPr>
        <w:t>§ </w:t>
      </w:r>
      <w:r w:rsidR="00B41DFB" w:rsidRPr="009118AB">
        <w:rPr>
          <w:i/>
          <w:iCs/>
          <w:spacing w:val="-1"/>
        </w:rPr>
        <w:t xml:space="preserve">1 einziger Absatz </w:t>
      </w:r>
      <w:r w:rsidR="00D67EB8" w:rsidRPr="009118AB">
        <w:rPr>
          <w:i/>
          <w:iCs/>
          <w:spacing w:val="-1"/>
        </w:rPr>
        <w:t>Nr. </w:t>
      </w:r>
      <w:r w:rsidR="00B41DFB" w:rsidRPr="009118AB">
        <w:rPr>
          <w:i/>
          <w:iCs/>
          <w:spacing w:val="-1"/>
        </w:rPr>
        <w:t xml:space="preserve">9 eingefügt durch </w:t>
      </w:r>
      <w:r w:rsidR="00D67EB8" w:rsidRPr="009118AB">
        <w:rPr>
          <w:i/>
          <w:iCs/>
          <w:spacing w:val="-1"/>
        </w:rPr>
        <w:t>Art. </w:t>
      </w:r>
      <w:r w:rsidR="00B41DFB" w:rsidRPr="009118AB">
        <w:rPr>
          <w:i/>
          <w:iCs/>
          <w:spacing w:val="-1"/>
        </w:rPr>
        <w:t xml:space="preserve">79 </w:t>
      </w:r>
      <w:r w:rsidR="00D67EB8" w:rsidRPr="009118AB">
        <w:rPr>
          <w:i/>
          <w:iCs/>
          <w:spacing w:val="-1"/>
        </w:rPr>
        <w:t>Nr. </w:t>
      </w:r>
      <w:r w:rsidR="00B41DFB" w:rsidRPr="009118AB">
        <w:rPr>
          <w:i/>
          <w:iCs/>
          <w:spacing w:val="-1"/>
        </w:rPr>
        <w:t>3</w:t>
      </w:r>
      <w:r w:rsidR="00B41DFB" w:rsidRPr="009118AB">
        <w:rPr>
          <w:i/>
        </w:rPr>
        <w:t xml:space="preserve"> des G. vom 26. Dezember 2015 (II) (B.S. vom 30. Dezember 2015)</w:t>
      </w:r>
      <w:r w:rsidR="00D67EB8" w:rsidRPr="009118AB">
        <w:t> - </w:t>
      </w:r>
      <w:r w:rsidR="00B41DFB"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r w:rsidR="000F3808" w:rsidRPr="009118AB">
        <w:rPr>
          <w:i/>
        </w:rPr>
        <w:t xml:space="preserve"> aufgehoben durch </w:t>
      </w:r>
      <w:r w:rsidR="00D67EB8" w:rsidRPr="009118AB">
        <w:rPr>
          <w:i/>
        </w:rPr>
        <w:t>Art. </w:t>
      </w:r>
      <w:r w:rsidR="000F3808" w:rsidRPr="009118AB">
        <w:rPr>
          <w:i/>
        </w:rPr>
        <w:t>89 des G. vom 25. Dezember 2016</w:t>
      </w:r>
      <w:r w:rsidR="001022BB" w:rsidRPr="009118AB">
        <w:rPr>
          <w:i/>
        </w:rPr>
        <w:t> (I)</w:t>
      </w:r>
      <w:r w:rsidR="000F3808" w:rsidRPr="009118AB">
        <w:rPr>
          <w:i/>
        </w:rPr>
        <w:t xml:space="preserve"> (B.S. vom 29. Dezember 2016)</w:t>
      </w:r>
      <w:r w:rsidR="00D67EB8" w:rsidRPr="009118AB">
        <w:rPr>
          <w:i/>
        </w:rPr>
        <w:t> - </w:t>
      </w:r>
      <w:r w:rsidR="000F3808" w:rsidRPr="009118AB">
        <w:rPr>
          <w:i/>
        </w:rPr>
        <w:t>in Kraft am 1. Januar 2017 und anwendbar auf die ab dem 1. Januar 2017 verwirklichten Mehrwerte</w:t>
      </w:r>
      <w:r w:rsidR="00FD68E8" w:rsidRPr="009118AB">
        <w:rPr>
          <w:i/>
        </w:rPr>
        <w:t> -,</w:t>
      </w:r>
      <w:r w:rsidR="009C5CA4" w:rsidRPr="009118AB">
        <w:rPr>
          <w:i/>
        </w:rPr>
        <w:t xml:space="preserve"> wieder aufgenommen durch </w:t>
      </w:r>
      <w:r w:rsidR="00D67EB8" w:rsidRPr="009118AB">
        <w:rPr>
          <w:i/>
        </w:rPr>
        <w:t>Art. </w:t>
      </w:r>
      <w:r w:rsidR="009C5CA4" w:rsidRPr="009118AB">
        <w:rPr>
          <w:i/>
        </w:rPr>
        <w:t>54 des G. vom 26. März 2018 (B.S. vom 30. März 2018)</w:t>
      </w:r>
      <w:r w:rsidR="00D67EB8" w:rsidRPr="009118AB">
        <w:rPr>
          <w:i/>
        </w:rPr>
        <w:t> - </w:t>
      </w:r>
      <w:r w:rsidR="009C5CA4" w:rsidRPr="009118AB">
        <w:rPr>
          <w:i/>
        </w:rPr>
        <w:t>anwendbar auf die ab dem 1. Januar 2018 zuerkannten oder ausgeschütteten Einkünfte</w:t>
      </w:r>
      <w:r w:rsidR="00D67EB8" w:rsidRPr="009118AB">
        <w:rPr>
          <w:i/>
        </w:rPr>
        <w:t> - </w:t>
      </w:r>
      <w:r w:rsidR="00AD1246" w:rsidRPr="009118AB">
        <w:rPr>
          <w:i/>
        </w:rPr>
        <w:t xml:space="preserve">und abgeändert durch </w:t>
      </w:r>
      <w:r w:rsidR="00D67EB8" w:rsidRPr="009118AB">
        <w:rPr>
          <w:i/>
        </w:rPr>
        <w:t>Art. </w:t>
      </w:r>
      <w:r w:rsidR="00AD1246" w:rsidRPr="009118AB">
        <w:rPr>
          <w:i/>
        </w:rPr>
        <w:t>81</w:t>
      </w:r>
      <w:r w:rsidR="00AD1246" w:rsidRPr="009118AB">
        <w:rPr>
          <w:bCs/>
          <w:i/>
          <w:iCs/>
        </w:rPr>
        <w:t xml:space="preserve"> des G. vom 27. Juni 2021 (B.S. vom 30. Juni 2021)</w:t>
      </w:r>
      <w:r w:rsidR="00DD2EA3" w:rsidRPr="009118AB">
        <w:rPr>
          <w:i/>
          <w:iCs/>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5 Buchstabe b) des G. vom 28. Juni 2013 (B.S. vom 1. Juli 2013)</w:t>
      </w:r>
      <w:r w:rsidR="00D67EB8" w:rsidRPr="009118AB">
        <w:rPr>
          <w:i/>
          <w:iCs/>
        </w:rPr>
        <w:t> - </w:t>
      </w:r>
      <w:r w:rsidRPr="009118AB">
        <w:rPr>
          <w:i/>
          <w:iCs/>
        </w:rPr>
        <w:t>anwendbar auf die ab dem 1. Juli 2013 getätigten Einlagen</w:t>
      </w:r>
      <w:r w:rsidR="00D67EB8" w:rsidRPr="009118AB">
        <w:rPr>
          <w:i/>
          <w:iCs/>
        </w:rPr>
        <w:t> - </w:t>
      </w:r>
      <w:r w:rsidR="00703FD5" w:rsidRPr="009118AB">
        <w:rPr>
          <w:i/>
          <w:iCs/>
        </w:rPr>
        <w:t xml:space="preserve">und ersetzt durch </w:t>
      </w:r>
      <w:r w:rsidR="00D67EB8" w:rsidRPr="009118AB">
        <w:rPr>
          <w:i/>
          <w:iCs/>
        </w:rPr>
        <w:t>Art. </w:t>
      </w:r>
      <w:r w:rsidR="00703FD5" w:rsidRPr="009118AB">
        <w:rPr>
          <w:i/>
          <w:iCs/>
        </w:rPr>
        <w:t>52</w:t>
      </w:r>
      <w:r w:rsidR="00703FD5" w:rsidRPr="009118AB">
        <w:rPr>
          <w:i/>
          <w:iCs/>
          <w:sz w:val="20"/>
          <w:szCs w:val="20"/>
        </w:rPr>
        <w:t xml:space="preserve"> </w:t>
      </w:r>
      <w:r w:rsidR="00703FD5" w:rsidRPr="009118AB">
        <w:rPr>
          <w:bCs/>
          <w:i/>
          <w:iCs/>
        </w:rPr>
        <w:t>des G. vom 21. Januar 2022 (B.S. vom 28. Januar 2022)</w:t>
      </w:r>
      <w:r w:rsidR="00D67EB8" w:rsidRPr="009118AB">
        <w:rPr>
          <w:bCs/>
          <w:i/>
          <w:iCs/>
        </w:rPr>
        <w:t> - </w:t>
      </w:r>
      <w:r w:rsidR="00703FD5" w:rsidRPr="009118AB">
        <w:rPr>
          <w:bCs/>
          <w:i/>
          <w:iCs/>
        </w:rPr>
        <w:t xml:space="preserve">anwendbar </w:t>
      </w:r>
      <w:r w:rsidR="00703FD5" w:rsidRPr="009118AB">
        <w:rPr>
          <w:i/>
          <w:iCs/>
          <w:lang w:eastAsia="fr-BE"/>
        </w:rPr>
        <w:t>auf die ab dem 1. Januar 2022 zuerkannten oder ausgeschütteten Dividenden</w:t>
      </w:r>
      <w:r w:rsidR="00FD68E8" w:rsidRPr="009118AB">
        <w:rPr>
          <w:bCs/>
          <w:i/>
          <w:iCs/>
        </w:rPr>
        <w:t> -</w:t>
      </w:r>
      <w:r w:rsidR="00C6326D" w:rsidRPr="009118AB">
        <w:rPr>
          <w:bCs/>
          <w:i/>
          <w:iCs/>
        </w:rPr>
        <w:t xml:space="preserve">; § 2 Abs. 1 Nr. 1 abgeändert durch </w:t>
      </w:r>
      <w:r w:rsidR="00C6326D" w:rsidRPr="009118AB">
        <w:rPr>
          <w:i/>
        </w:rPr>
        <w:t>Art. 35</w:t>
      </w:r>
      <w:r w:rsidR="00C6326D" w:rsidRPr="009118AB">
        <w:rPr>
          <w:i/>
          <w:iCs/>
        </w:rPr>
        <w:t xml:space="preserve"> des G. vom 5. Juli 2022 (B.S. vom 15. Juli 2022)</w:t>
      </w:r>
      <w:r w:rsidR="00FD68E8" w:rsidRPr="009118AB">
        <w:rPr>
          <w:bCs/>
          <w:i/>
          <w:iCs/>
        </w:rPr>
        <w:t>]</w:t>
      </w:r>
    </w:p>
    <w:p w14:paraId="55733F8B" w14:textId="77777777" w:rsidR="005F7990" w:rsidRPr="009118AB" w:rsidRDefault="005F7990" w:rsidP="005F7990">
      <w:pPr>
        <w:autoSpaceDE w:val="0"/>
        <w:autoSpaceDN w:val="0"/>
        <w:adjustRightInd w:val="0"/>
        <w:jc w:val="both"/>
        <w:rPr>
          <w:iCs/>
        </w:rPr>
      </w:pPr>
    </w:p>
    <w:p w14:paraId="415996A8" w14:textId="77777777" w:rsidR="00D06C33" w:rsidRPr="009118AB" w:rsidRDefault="00D06C33" w:rsidP="005F7990">
      <w:pPr>
        <w:autoSpaceDE w:val="0"/>
        <w:autoSpaceDN w:val="0"/>
        <w:adjustRightInd w:val="0"/>
        <w:jc w:val="both"/>
        <w:rPr>
          <w:iCs/>
        </w:rPr>
      </w:pPr>
    </w:p>
    <w:p w14:paraId="24F578BC" w14:textId="594DEDF8" w:rsidR="00E12C11" w:rsidRPr="009118AB" w:rsidRDefault="00D06C33" w:rsidP="00C72A61">
      <w:pPr>
        <w:ind w:firstLine="708"/>
        <w:jc w:val="both"/>
      </w:pPr>
      <w:r w:rsidRPr="009118AB">
        <w:rPr>
          <w:iCs/>
        </w:rPr>
        <w:tab/>
        <w:t>[</w:t>
      </w:r>
      <w:r w:rsidR="00D67EB8" w:rsidRPr="009118AB">
        <w:rPr>
          <w:b/>
        </w:rPr>
        <w:t>Art. </w:t>
      </w:r>
      <w:r w:rsidRPr="009118AB">
        <w:rPr>
          <w:b/>
        </w:rPr>
        <w:t>269/1</w:t>
      </w:r>
      <w:r w:rsidR="00D67EB8" w:rsidRPr="009118AB">
        <w:t> - </w:t>
      </w:r>
      <w:r w:rsidR="00C72A61" w:rsidRPr="009118AB">
        <w:t>[..</w:t>
      </w:r>
      <w:r w:rsidR="00E12C11" w:rsidRPr="009118AB">
        <w:t>.</w:t>
      </w:r>
      <w:r w:rsidR="00C72A61" w:rsidRPr="009118AB">
        <w:t>]</w:t>
      </w:r>
      <w:r w:rsidR="00E12C11" w:rsidRPr="009118AB">
        <w:t>]</w:t>
      </w:r>
    </w:p>
    <w:p w14:paraId="782585A2" w14:textId="77777777" w:rsidR="00D06C33" w:rsidRPr="009118AB" w:rsidRDefault="00D06C33" w:rsidP="00D06C33">
      <w:pPr>
        <w:autoSpaceDE w:val="0"/>
        <w:autoSpaceDN w:val="0"/>
        <w:adjustRightInd w:val="0"/>
        <w:jc w:val="both"/>
      </w:pPr>
    </w:p>
    <w:p w14:paraId="528480AD" w14:textId="55A0B1EC" w:rsidR="00D06C33" w:rsidRPr="009118AB" w:rsidRDefault="00D06C33" w:rsidP="00D06C33">
      <w:pPr>
        <w:autoSpaceDE w:val="0"/>
        <w:autoSpaceDN w:val="0"/>
        <w:adjustRightInd w:val="0"/>
        <w:jc w:val="both"/>
        <w:rPr>
          <w:i/>
          <w:iCs/>
        </w:rPr>
      </w:pPr>
      <w:r w:rsidRPr="009118AB">
        <w:rPr>
          <w:i/>
        </w:rPr>
        <w:t>[</w:t>
      </w:r>
      <w:r w:rsidR="00D67EB8" w:rsidRPr="009118AB">
        <w:rPr>
          <w:i/>
        </w:rPr>
        <w:t>Art. </w:t>
      </w:r>
      <w:r w:rsidRPr="009118AB">
        <w:rPr>
          <w:i/>
        </w:rPr>
        <w:t xml:space="preserve">269/1 eingefügt durch </w:t>
      </w:r>
      <w:r w:rsidR="00D67EB8" w:rsidRPr="009118AB">
        <w:rPr>
          <w:i/>
        </w:rPr>
        <w:t>Art. </w:t>
      </w:r>
      <w:r w:rsidRPr="009118AB">
        <w:rPr>
          <w:i/>
        </w:rPr>
        <w:t>56</w:t>
      </w:r>
      <w:r w:rsidRPr="009118AB">
        <w:rPr>
          <w:i/>
          <w:iCs/>
        </w:rPr>
        <w:t xml:space="preserve"> des G. vom 18. Dezember 2015 (II) (B.S. vom 28. Dezember 2015)</w:t>
      </w:r>
      <w:r w:rsidR="00D67EB8" w:rsidRPr="009118AB">
        <w:rPr>
          <w:i/>
          <w:iCs/>
        </w:rPr>
        <w:t> - </w:t>
      </w:r>
      <w:r w:rsidR="00CF23E4" w:rsidRPr="009118AB">
        <w:rPr>
          <w:i/>
          <w:iCs/>
        </w:rPr>
        <w:t xml:space="preserve">anwendbar </w:t>
      </w:r>
      <w:r w:rsidRPr="009118AB">
        <w:rPr>
          <w:i/>
          <w:iCs/>
        </w:rPr>
        <w:t>auf Einkünfte, die ab dem 28. Dezember 2015 zuerkannt oder ausgeschüttet werden</w:t>
      </w:r>
      <w:r w:rsidR="00D67EB8" w:rsidRPr="009118AB">
        <w:rPr>
          <w:i/>
          <w:iCs/>
        </w:rPr>
        <w:t> - </w:t>
      </w:r>
      <w:r w:rsidR="00C72A61" w:rsidRPr="009118AB">
        <w:rPr>
          <w:i/>
          <w:iCs/>
        </w:rPr>
        <w:t xml:space="preserve">und aufgehoben durch </w:t>
      </w:r>
      <w:r w:rsidR="00D67EB8" w:rsidRPr="009118AB">
        <w:rPr>
          <w:i/>
          <w:iCs/>
        </w:rPr>
        <w:t>Art. </w:t>
      </w:r>
      <w:r w:rsidR="00C72A61" w:rsidRPr="009118AB">
        <w:rPr>
          <w:i/>
          <w:iCs/>
        </w:rPr>
        <w:t>70 des G. vom 25. Dezember 2017 (III) (B.S. vom 29. Dezember 2017)</w:t>
      </w:r>
      <w:r w:rsidR="00D67EB8" w:rsidRPr="009118AB">
        <w:rPr>
          <w:i/>
          <w:iCs/>
        </w:rPr>
        <w:t> - </w:t>
      </w:r>
      <w:r w:rsidR="00C72A61" w:rsidRPr="009118AB">
        <w:rPr>
          <w:i/>
          <w:iCs/>
        </w:rPr>
        <w:t>in Kraft am 1. Januar 2018 und anwendbar auf die ab dem 1. Januar 2018 gezahlten oder zuerkannten Dividenden</w:t>
      </w:r>
      <w:r w:rsidR="00FD68E8" w:rsidRPr="009118AB">
        <w:rPr>
          <w:i/>
          <w:iCs/>
        </w:rPr>
        <w:t> -]</w:t>
      </w:r>
    </w:p>
    <w:p w14:paraId="40494B2F" w14:textId="77777777" w:rsidR="005F7990" w:rsidRPr="009118AB" w:rsidRDefault="005F7990" w:rsidP="0025363B">
      <w:pPr>
        <w:autoSpaceDE w:val="0"/>
        <w:autoSpaceDN w:val="0"/>
        <w:adjustRightInd w:val="0"/>
        <w:jc w:val="both"/>
      </w:pPr>
    </w:p>
    <w:p w14:paraId="56D617D9" w14:textId="77777777" w:rsidR="0096194B" w:rsidRPr="009118AB" w:rsidRDefault="0096194B" w:rsidP="00477B8F">
      <w:pPr>
        <w:autoSpaceDE w:val="0"/>
        <w:autoSpaceDN w:val="0"/>
        <w:adjustRightInd w:val="0"/>
        <w:jc w:val="center"/>
      </w:pPr>
    </w:p>
    <w:p w14:paraId="6E5DCE80" w14:textId="77777777" w:rsidR="005F7990" w:rsidRPr="009118AB" w:rsidRDefault="005F7990" w:rsidP="00477B8F">
      <w:pPr>
        <w:autoSpaceDE w:val="0"/>
        <w:autoSpaceDN w:val="0"/>
        <w:adjustRightInd w:val="0"/>
        <w:jc w:val="center"/>
      </w:pPr>
    </w:p>
    <w:p w14:paraId="1FC7E935" w14:textId="77777777" w:rsidR="005F7990" w:rsidRPr="009118AB" w:rsidRDefault="005F7990" w:rsidP="00477B8F">
      <w:pPr>
        <w:autoSpaceDE w:val="0"/>
        <w:autoSpaceDN w:val="0"/>
        <w:adjustRightInd w:val="0"/>
        <w:jc w:val="center"/>
      </w:pPr>
    </w:p>
    <w:p w14:paraId="534A4E86" w14:textId="0EA64891" w:rsidR="00477B8F" w:rsidRPr="009118AB" w:rsidRDefault="00477B8F" w:rsidP="00477B8F">
      <w:pPr>
        <w:autoSpaceDE w:val="0"/>
        <w:autoSpaceDN w:val="0"/>
        <w:adjustRightInd w:val="0"/>
        <w:jc w:val="center"/>
      </w:pPr>
      <w:r w:rsidRPr="009118AB">
        <w:br w:type="page"/>
      </w:r>
      <w:r w:rsidRPr="009118AB">
        <w:rPr>
          <w:i/>
          <w:iCs/>
        </w:rPr>
        <w:lastRenderedPageBreak/>
        <w:t>Abschnitt </w:t>
      </w:r>
      <w:r w:rsidR="00D74862" w:rsidRPr="009118AB">
        <w:rPr>
          <w:i/>
          <w:iCs/>
        </w:rPr>
        <w:t>4</w:t>
      </w:r>
      <w:r w:rsidR="00D67EB8" w:rsidRPr="009118AB">
        <w:t> - </w:t>
      </w:r>
      <w:r w:rsidRPr="009118AB">
        <w:t>Berufssteuervorabzug</w:t>
      </w:r>
    </w:p>
    <w:p w14:paraId="64B35454" w14:textId="77777777" w:rsidR="00477B8F" w:rsidRPr="009118AB" w:rsidRDefault="00477B8F" w:rsidP="00477B8F">
      <w:pPr>
        <w:autoSpaceDE w:val="0"/>
        <w:autoSpaceDN w:val="0"/>
        <w:adjustRightInd w:val="0"/>
        <w:jc w:val="center"/>
      </w:pPr>
    </w:p>
    <w:p w14:paraId="566AD9FF" w14:textId="77777777" w:rsidR="00703FD5" w:rsidRPr="009118AB" w:rsidRDefault="00703FD5" w:rsidP="00477B8F">
      <w:pPr>
        <w:autoSpaceDE w:val="0"/>
        <w:autoSpaceDN w:val="0"/>
        <w:adjustRightInd w:val="0"/>
        <w:jc w:val="center"/>
      </w:pPr>
    </w:p>
    <w:p w14:paraId="353C1E73" w14:textId="0FCCFA44" w:rsidR="00703FD5" w:rsidRPr="009118AB" w:rsidRDefault="00703FD5" w:rsidP="00477B8F">
      <w:pPr>
        <w:autoSpaceDE w:val="0"/>
        <w:autoSpaceDN w:val="0"/>
        <w:adjustRightInd w:val="0"/>
        <w:jc w:val="center"/>
      </w:pPr>
      <w:r w:rsidRPr="009118AB">
        <w:t>[</w:t>
      </w:r>
      <w:r w:rsidRPr="009118AB">
        <w:rPr>
          <w:lang w:eastAsia="fr-BE"/>
        </w:rPr>
        <w:t>Unterabschnitt 1</w:t>
      </w:r>
      <w:r w:rsidR="00D67EB8" w:rsidRPr="009118AB">
        <w:rPr>
          <w:lang w:eastAsia="fr-BE"/>
        </w:rPr>
        <w:t> - </w:t>
      </w:r>
      <w:r w:rsidRPr="009118AB">
        <w:rPr>
          <w:lang w:eastAsia="fr-BE"/>
        </w:rPr>
        <w:t>Schuldner des Vorabzugs</w:t>
      </w:r>
      <w:r w:rsidRPr="009118AB">
        <w:t>]</w:t>
      </w:r>
    </w:p>
    <w:p w14:paraId="68055E19" w14:textId="77777777" w:rsidR="00703FD5" w:rsidRPr="009118AB" w:rsidRDefault="00703FD5" w:rsidP="00477B8F">
      <w:pPr>
        <w:autoSpaceDE w:val="0"/>
        <w:autoSpaceDN w:val="0"/>
        <w:adjustRightInd w:val="0"/>
        <w:jc w:val="center"/>
      </w:pPr>
    </w:p>
    <w:p w14:paraId="2DD3F958" w14:textId="5B10CE52" w:rsidR="00703FD5" w:rsidRPr="009118AB" w:rsidRDefault="00703FD5" w:rsidP="00703FD5">
      <w:pPr>
        <w:autoSpaceDE w:val="0"/>
        <w:autoSpaceDN w:val="0"/>
        <w:adjustRightInd w:val="0"/>
        <w:jc w:val="both"/>
        <w:rPr>
          <w:i/>
          <w:iCs/>
        </w:rPr>
      </w:pPr>
      <w:r w:rsidRPr="009118AB">
        <w:rPr>
          <w:i/>
          <w:iCs/>
        </w:rPr>
        <w:t xml:space="preserve">[Unterteilung Unterabschnitt 1 eingefügt durch </w:t>
      </w:r>
      <w:r w:rsidR="00D67EB8" w:rsidRPr="009118AB">
        <w:rPr>
          <w:i/>
          <w:iCs/>
        </w:rPr>
        <w:t>Art. </w:t>
      </w:r>
      <w:r w:rsidRPr="009118AB">
        <w:rPr>
          <w:i/>
          <w:iCs/>
        </w:rPr>
        <w:t>53</w:t>
      </w:r>
      <w:r w:rsidRPr="009118AB">
        <w:rPr>
          <w:bCs/>
          <w:i/>
          <w:iCs/>
          <w:sz w:val="20"/>
          <w:szCs w:val="20"/>
        </w:rPr>
        <w:t xml:space="preserve"> </w:t>
      </w:r>
      <w:r w:rsidRPr="009118AB">
        <w:rPr>
          <w:bCs/>
          <w:i/>
          <w:iCs/>
        </w:rPr>
        <w:t>des G. vom 21. Januar 2022 (B.S. vom 28. Januar 2022)]</w:t>
      </w:r>
    </w:p>
    <w:p w14:paraId="4EB6F8B3" w14:textId="77777777" w:rsidR="00477B8F" w:rsidRPr="009118AB" w:rsidRDefault="00477B8F" w:rsidP="00477B8F">
      <w:pPr>
        <w:autoSpaceDE w:val="0"/>
        <w:autoSpaceDN w:val="0"/>
        <w:adjustRightInd w:val="0"/>
        <w:jc w:val="center"/>
      </w:pPr>
    </w:p>
    <w:p w14:paraId="6256301D" w14:textId="77777777" w:rsidR="00703FD5" w:rsidRPr="009118AB" w:rsidRDefault="00703FD5" w:rsidP="00477B8F">
      <w:pPr>
        <w:autoSpaceDE w:val="0"/>
        <w:autoSpaceDN w:val="0"/>
        <w:adjustRightInd w:val="0"/>
        <w:jc w:val="center"/>
      </w:pPr>
    </w:p>
    <w:p w14:paraId="5C6FD13A" w14:textId="191287A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270</w:t>
      </w:r>
      <w:r w:rsidR="00D67EB8" w:rsidRPr="009118AB">
        <w:t> - </w:t>
      </w:r>
      <w:r w:rsidRPr="009118AB">
        <w:t>Der Berufssteuervorabzug wird geschuldet von:</w:t>
      </w:r>
    </w:p>
    <w:p w14:paraId="48BA94FB" w14:textId="77777777" w:rsidR="00477B8F" w:rsidRPr="009118AB" w:rsidRDefault="00477B8F" w:rsidP="00477B8F">
      <w:pPr>
        <w:autoSpaceDE w:val="0"/>
        <w:autoSpaceDN w:val="0"/>
        <w:adjustRightInd w:val="0"/>
        <w:jc w:val="both"/>
      </w:pPr>
    </w:p>
    <w:p w14:paraId="38F24524" w14:textId="37B064BE" w:rsidR="00477B8F" w:rsidRPr="009118AB" w:rsidRDefault="00477B8F" w:rsidP="009D1768">
      <w:pPr>
        <w:pStyle w:val="Paragraphedeliste"/>
        <w:numPr>
          <w:ilvl w:val="0"/>
          <w:numId w:val="15"/>
        </w:numPr>
        <w:autoSpaceDE w:val="0"/>
        <w:autoSpaceDN w:val="0"/>
        <w:adjustRightInd w:val="0"/>
        <w:jc w:val="both"/>
      </w:pPr>
      <w:r w:rsidRPr="009118AB">
        <w:t xml:space="preserve">[den in den Artikeln 3, 179 oder 220 erwähnten Steuerpflichtigen, die als Schuldner, Verwahrer, Bevollmächtigte oder Vermittler in Belgien oder im Ausland [Entlohnungen wie in Artikel 30 </w:t>
      </w:r>
      <w:r w:rsidR="00D67EB8" w:rsidRPr="009118AB">
        <w:t>Nr. </w:t>
      </w:r>
      <w:r w:rsidRPr="009118AB">
        <w:t xml:space="preserve">1 und 2 erwähnt], Pensionen, Renten und Zulagen zahlen oder zuerkennen, und von den in Artikel 227 erwähnten Gebietsfremden, für die [Entlohnungen wie in Artikel 30 </w:t>
      </w:r>
      <w:r w:rsidR="00D67EB8" w:rsidRPr="009118AB">
        <w:t>Nr. </w:t>
      </w:r>
      <w:r w:rsidRPr="009118AB">
        <w:t>1 und 2 erwähnt], Pensionen, Renten und Zulagen, die sie in Belgien oder im Ausland zahlen oder zuerkennen, im Sinne von Artikel 237 Werbungskosten darstellen,]</w:t>
      </w:r>
    </w:p>
    <w:p w14:paraId="41533565" w14:textId="77777777" w:rsidR="00477B8F" w:rsidRPr="009118AB" w:rsidRDefault="00477B8F" w:rsidP="00477B8F">
      <w:pPr>
        <w:autoSpaceDE w:val="0"/>
        <w:autoSpaceDN w:val="0"/>
        <w:adjustRightInd w:val="0"/>
        <w:jc w:val="both"/>
      </w:pPr>
    </w:p>
    <w:p w14:paraId="303429D3" w14:textId="77777777" w:rsidR="00477B8F" w:rsidRPr="009118AB" w:rsidRDefault="00477B8F" w:rsidP="00477B8F">
      <w:pPr>
        <w:autoSpaceDE w:val="0"/>
        <w:autoSpaceDN w:val="0"/>
        <w:adjustRightInd w:val="0"/>
        <w:jc w:val="both"/>
      </w:pPr>
      <w:r w:rsidRPr="009118AB">
        <w:tab/>
        <w:t>2. denjenigen, die in Belgien Personen beschäftigen, die durch Arbeitsvertrag gebunden sind und deren Entlohnung vollständig oder hauptsächlich aus Trinkgeldern oder Bedienungsprozenten besteht, die von den Kunden gezahlt werden,</w:t>
      </w:r>
    </w:p>
    <w:p w14:paraId="5C355E17" w14:textId="77777777" w:rsidR="00477B8F" w:rsidRPr="009118AB" w:rsidRDefault="00477B8F" w:rsidP="00477B8F">
      <w:pPr>
        <w:autoSpaceDE w:val="0"/>
        <w:autoSpaceDN w:val="0"/>
        <w:adjustRightInd w:val="0"/>
        <w:jc w:val="both"/>
      </w:pPr>
    </w:p>
    <w:p w14:paraId="06677B6A" w14:textId="59E5EA0F" w:rsidR="00477B8F" w:rsidRPr="009118AB" w:rsidRDefault="00477B8F" w:rsidP="00477B8F">
      <w:pPr>
        <w:autoSpaceDE w:val="0"/>
        <w:autoSpaceDN w:val="0"/>
        <w:adjustRightInd w:val="0"/>
        <w:jc w:val="both"/>
      </w:pPr>
      <w:r w:rsidRPr="009118AB">
        <w:tab/>
        <w:t xml:space="preserve">3. [denjenigen, die als Schuldner, Verwahrer, Bevollmächtigte oder Vermittler in Artikel 228 </w:t>
      </w:r>
      <w:r w:rsidR="00D67EB8" w:rsidRPr="009118AB">
        <w:t>§ </w:t>
      </w:r>
      <w:r w:rsidRPr="009118AB">
        <w:t xml:space="preserve">2 </w:t>
      </w:r>
      <w:r w:rsidR="00D67EB8" w:rsidRPr="009118AB">
        <w:t>Nr. </w:t>
      </w:r>
      <w:r w:rsidRPr="009118AB">
        <w:t>8 erwähnte Einkünfte von Unterhaltungskünstlern oder Sportlern zahlen oder zuerkennen, oder in Ermangelung solcher Personen der Veranstalter der Vorstellungen oder Wettbewerbe,]</w:t>
      </w:r>
    </w:p>
    <w:p w14:paraId="4AF649EE" w14:textId="77777777" w:rsidR="00477B8F" w:rsidRPr="009118AB" w:rsidRDefault="00477B8F" w:rsidP="00477B8F">
      <w:pPr>
        <w:autoSpaceDE w:val="0"/>
        <w:autoSpaceDN w:val="0"/>
        <w:adjustRightInd w:val="0"/>
        <w:jc w:val="both"/>
      </w:pPr>
    </w:p>
    <w:p w14:paraId="657F00AE" w14:textId="1B2862AA" w:rsidR="00477B8F" w:rsidRPr="009118AB" w:rsidRDefault="00477B8F" w:rsidP="00477B8F">
      <w:pPr>
        <w:autoSpaceDE w:val="0"/>
        <w:autoSpaceDN w:val="0"/>
        <w:adjustRightInd w:val="0"/>
        <w:jc w:val="both"/>
      </w:pPr>
      <w:r w:rsidRPr="009118AB">
        <w:tab/>
        <w:t xml:space="preserve">[4. demjenigen, der von den Mitgliedern einer in Artikel 229 </w:t>
      </w:r>
      <w:r w:rsidR="00D67EB8" w:rsidRPr="009118AB">
        <w:t>§ </w:t>
      </w:r>
      <w:r w:rsidRPr="009118AB">
        <w:t>3 erwähnten Gesellschaft oder Vereinigung beauftragt ist, sie in Steuerangelegenheiten zu vertreten, oder in Ermangelung solcher Personen gesamtschuldnerisch alle Gesellschafter oder Mitglieder,]</w:t>
      </w:r>
    </w:p>
    <w:p w14:paraId="544A0F84" w14:textId="77777777" w:rsidR="00477B8F" w:rsidRPr="009118AB" w:rsidRDefault="00477B8F" w:rsidP="00477B8F">
      <w:pPr>
        <w:autoSpaceDE w:val="0"/>
        <w:autoSpaceDN w:val="0"/>
        <w:adjustRightInd w:val="0"/>
        <w:jc w:val="both"/>
      </w:pPr>
    </w:p>
    <w:p w14:paraId="384221E8" w14:textId="7E2046EE" w:rsidR="00477B8F" w:rsidRPr="009118AB" w:rsidRDefault="00477B8F" w:rsidP="00477B8F">
      <w:pPr>
        <w:autoSpaceDE w:val="0"/>
        <w:autoSpaceDN w:val="0"/>
        <w:adjustRightInd w:val="0"/>
        <w:jc w:val="both"/>
      </w:pPr>
      <w:r w:rsidRPr="009118AB">
        <w:tab/>
        <w:t>[5. denjenigen, die aufgrund von Artikel 35 des Registrierungs</w:t>
      </w:r>
      <w:r w:rsidRPr="009118AB">
        <w:noBreakHyphen/>
        <w:t>, Hypotheken</w:t>
      </w:r>
      <w:r w:rsidRPr="009118AB">
        <w:noBreakHyphen/>
        <w:t xml:space="preserve"> und Kanzleigebührengesetzbuches dazu verpflichtet sind, Urkunden und Erklärungen registrieren zu lassen, wenn es sich um Urkunden oder Erklärungen handelt, durch die die entgeltliche Abtretung in Belgien gelegener unbeweglicher Güter oder dinglicher Rechte an diesen Gütern durch einen in Artikel 227 </w:t>
      </w:r>
      <w:r w:rsidR="00D67EB8" w:rsidRPr="009118AB">
        <w:t>Nr. </w:t>
      </w:r>
      <w:r w:rsidRPr="009118AB">
        <w:t>1 oder 2 erwähnten Steuerpflichtigen festgestellt wird,]</w:t>
      </w:r>
    </w:p>
    <w:p w14:paraId="5C1B8AC9" w14:textId="77777777" w:rsidR="00477B8F" w:rsidRPr="009118AB" w:rsidRDefault="00477B8F" w:rsidP="00477B8F">
      <w:pPr>
        <w:autoSpaceDE w:val="0"/>
        <w:autoSpaceDN w:val="0"/>
        <w:adjustRightInd w:val="0"/>
        <w:jc w:val="both"/>
      </w:pPr>
    </w:p>
    <w:p w14:paraId="27A82221" w14:textId="77777777" w:rsidR="00477B8F" w:rsidRPr="009118AB" w:rsidRDefault="00477B8F" w:rsidP="00477B8F">
      <w:pPr>
        <w:autoSpaceDE w:val="0"/>
        <w:autoSpaceDN w:val="0"/>
        <w:adjustRightInd w:val="0"/>
        <w:jc w:val="both"/>
      </w:pPr>
      <w:r w:rsidRPr="009118AB">
        <w:tab/>
        <w:t>[6. denjenigen, die als Konkursverwalter, Liquidatoren gerichtlicher Vergleiche, Liquidatoren von Gesellschaften oder als Personen, die ähnliche Funktionen ausüben, Schuldforderungen begleichen müssen, die als Entlohnungen</w:t>
      </w:r>
      <w:r w:rsidR="00F24BEE" w:rsidRPr="009118AB">
        <w:t xml:space="preserve"> im Sinne von Artikel 30 gelten,</w:t>
      </w:r>
      <w:r w:rsidRPr="009118AB">
        <w:t>]</w:t>
      </w:r>
    </w:p>
    <w:p w14:paraId="78320F0C" w14:textId="77777777" w:rsidR="00F24BEE" w:rsidRPr="009118AB" w:rsidRDefault="00F24BEE" w:rsidP="00477B8F">
      <w:pPr>
        <w:autoSpaceDE w:val="0"/>
        <w:autoSpaceDN w:val="0"/>
        <w:adjustRightInd w:val="0"/>
        <w:jc w:val="both"/>
      </w:pPr>
    </w:p>
    <w:p w14:paraId="33782F01" w14:textId="63FEB6FA" w:rsidR="00F24BEE" w:rsidRPr="009118AB" w:rsidRDefault="00F24BEE" w:rsidP="00477B8F">
      <w:pPr>
        <w:autoSpaceDE w:val="0"/>
        <w:autoSpaceDN w:val="0"/>
        <w:adjustRightInd w:val="0"/>
        <w:jc w:val="both"/>
      </w:pPr>
      <w:r w:rsidRPr="009118AB">
        <w:tab/>
        <w:t xml:space="preserve">[7. denjenigen, die als Schuldner, Verwahrer, Bevollmächtigte oder Vermittler in Artikel 228 </w:t>
      </w:r>
      <w:r w:rsidR="00D67EB8" w:rsidRPr="009118AB">
        <w:t>§ </w:t>
      </w:r>
      <w:r w:rsidRPr="009118AB">
        <w:t>3 erwähnte Einkünfte zahlen oder zuerkennen.]</w:t>
      </w:r>
    </w:p>
    <w:p w14:paraId="24B005B8" w14:textId="77777777" w:rsidR="00477B8F" w:rsidRPr="009118AB" w:rsidRDefault="00477B8F" w:rsidP="00477B8F">
      <w:pPr>
        <w:autoSpaceDE w:val="0"/>
        <w:autoSpaceDN w:val="0"/>
        <w:adjustRightInd w:val="0"/>
        <w:jc w:val="both"/>
      </w:pPr>
    </w:p>
    <w:p w14:paraId="0FD81AD8" w14:textId="77777777" w:rsidR="00137005" w:rsidRPr="009118AB" w:rsidRDefault="00137005" w:rsidP="00137005">
      <w:pPr>
        <w:jc w:val="both"/>
      </w:pPr>
      <w:r w:rsidRPr="009118AB">
        <w:tab/>
        <w:t>[Für die Anwendung des Berufssteuervorabzugs:</w:t>
      </w:r>
    </w:p>
    <w:p w14:paraId="708A9061" w14:textId="77777777" w:rsidR="00137005" w:rsidRPr="009118AB" w:rsidRDefault="00137005" w:rsidP="00137005">
      <w:pPr>
        <w:jc w:val="both"/>
      </w:pPr>
    </w:p>
    <w:p w14:paraId="0ED1D71F" w14:textId="5B502AF4" w:rsidR="00137005" w:rsidRPr="009118AB" w:rsidRDefault="00137005" w:rsidP="009D1768">
      <w:pPr>
        <w:pStyle w:val="Paragraphedeliste"/>
        <w:numPr>
          <w:ilvl w:val="0"/>
          <w:numId w:val="16"/>
        </w:numPr>
        <w:jc w:val="both"/>
      </w:pPr>
      <w:r w:rsidRPr="009118AB">
        <w:t>wird davon ausgegangen, dass die in den Artikeln 179 oder 220 erwähnten Steuer</w:t>
      </w:r>
      <w:r w:rsidRPr="009118AB">
        <w:softHyphen/>
        <w:t xml:space="preserve">pflichtigen die Entlohnungen wie in Artikel 30 </w:t>
      </w:r>
      <w:r w:rsidR="00D67EB8" w:rsidRPr="009118AB">
        <w:t>Nr. </w:t>
      </w:r>
      <w:r w:rsidRPr="009118AB">
        <w:t xml:space="preserve">1 und 2 erwähnt zuerkennen, die ein Empfänger aufgrund oder anlässlich der beruflichen Tätigkeit des Empfängers </w:t>
      </w:r>
      <w:r w:rsidRPr="009118AB">
        <w:lastRenderedPageBreak/>
        <w:t>zugunsten des Steuerpflichtigen von einer mit dem Steuerpflichtigen im Sinne von Artikel 1:20 des Gesetz</w:t>
      </w:r>
      <w:r w:rsidRPr="009118AB">
        <w:softHyphen/>
        <w:t>buches der Gesellschaften und Vereinigungen verbundenen ausländischen Gesellschaft bezieht,</w:t>
      </w:r>
    </w:p>
    <w:p w14:paraId="233679BC" w14:textId="77777777" w:rsidR="00137005" w:rsidRPr="009118AB" w:rsidRDefault="00137005" w:rsidP="00137005">
      <w:pPr>
        <w:jc w:val="both"/>
      </w:pPr>
    </w:p>
    <w:p w14:paraId="7BE8E0FC" w14:textId="4B3B2C2A" w:rsidR="00137005" w:rsidRPr="009118AB" w:rsidRDefault="00137005" w:rsidP="00137005">
      <w:pPr>
        <w:autoSpaceDE w:val="0"/>
        <w:autoSpaceDN w:val="0"/>
        <w:adjustRightInd w:val="0"/>
        <w:jc w:val="both"/>
      </w:pPr>
      <w:r w:rsidRPr="009118AB">
        <w:tab/>
      </w:r>
      <w:r w:rsidRPr="009118AB">
        <w:rPr>
          <w:i/>
        </w:rPr>
        <w:t>b)</w:t>
      </w:r>
      <w:r w:rsidRPr="009118AB">
        <w:t xml:space="preserve"> wird davon ausgegangen, dass die in Artikel 227 </w:t>
      </w:r>
      <w:r w:rsidR="00D67EB8" w:rsidRPr="009118AB">
        <w:t>Nr. </w:t>
      </w:r>
      <w:r w:rsidRPr="009118AB">
        <w:t>2 und 3 erwähnten Steuer</w:t>
      </w:r>
      <w:r w:rsidRPr="009118AB">
        <w:softHyphen/>
        <w:t xml:space="preserve">pflichtigen die Entlohnungen wie in Artikel 30 </w:t>
      </w:r>
      <w:r w:rsidR="00D67EB8" w:rsidRPr="009118AB">
        <w:t>Nr. </w:t>
      </w:r>
      <w:r w:rsidRPr="009118AB">
        <w:t xml:space="preserve">1 und 2 erwähnt zuerkennen, die ein Empfänger aufgrund oder anlässlich der beruflichen Tätigkeit des Empfängers zugunsten des Steuerpflichtigen, für die der Steuerpflichtige in Belgien oder im Ausland Entlohnungen wie in Artikel 30 </w:t>
      </w:r>
      <w:r w:rsidR="00D67EB8" w:rsidRPr="009118AB">
        <w:t>Nr. </w:t>
      </w:r>
      <w:r w:rsidRPr="009118AB">
        <w:t>1 und 2 erwähnt zahlt oder zuerkennt, die im Sinne von Artikel 237 Werbungs</w:t>
      </w:r>
      <w:r w:rsidRPr="009118AB">
        <w:softHyphen/>
        <w:t>kosten darstellen, von einer mit dem Steuerpflichtigen im Sinne von Artikel 1:20 des Gesetzbuches der Gesellschaften und Vereinigungen verbundenen ausländischen Gesellschaft bezieht.]</w:t>
      </w:r>
    </w:p>
    <w:p w14:paraId="300C0C86" w14:textId="77777777" w:rsidR="00137005" w:rsidRPr="009118AB" w:rsidRDefault="00137005" w:rsidP="00477B8F">
      <w:pPr>
        <w:autoSpaceDE w:val="0"/>
        <w:autoSpaceDN w:val="0"/>
        <w:adjustRightInd w:val="0"/>
        <w:jc w:val="both"/>
      </w:pPr>
    </w:p>
    <w:p w14:paraId="59493696" w14:textId="13942B74"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270 </w:t>
      </w:r>
      <w:r w:rsidR="00D67EB8" w:rsidRPr="009118AB">
        <w:rPr>
          <w:i/>
          <w:iCs/>
        </w:rPr>
        <w:t>Abs. </w:t>
      </w:r>
      <w:r w:rsidR="00137005" w:rsidRPr="009118AB">
        <w:rPr>
          <w:i/>
          <w:iCs/>
        </w:rPr>
        <w:t xml:space="preserve">1 (früherer </w:t>
      </w:r>
      <w:r w:rsidRPr="009118AB">
        <w:rPr>
          <w:i/>
          <w:iCs/>
        </w:rPr>
        <w:t>einziger Absatz</w:t>
      </w:r>
      <w:r w:rsidR="00137005" w:rsidRPr="009118AB">
        <w:rPr>
          <w:i/>
          <w:iCs/>
        </w:rPr>
        <w:t>)</w:t>
      </w:r>
      <w:r w:rsidRPr="009118AB">
        <w:rPr>
          <w:i/>
          <w:iCs/>
        </w:rPr>
        <w:t xml:space="preserve"> </w:t>
      </w:r>
      <w:r w:rsidR="00D67EB8" w:rsidRPr="009118AB">
        <w:rPr>
          <w:i/>
          <w:iCs/>
        </w:rPr>
        <w:t>Nr. </w:t>
      </w:r>
      <w:r w:rsidRPr="009118AB">
        <w:rPr>
          <w:i/>
          <w:iCs/>
        </w:rPr>
        <w:t xml:space="preserve">1 ersetzt durch </w:t>
      </w:r>
      <w:r w:rsidR="00D67EB8" w:rsidRPr="009118AB">
        <w:rPr>
          <w:i/>
          <w:iCs/>
        </w:rPr>
        <w:t>Art. </w:t>
      </w:r>
      <w:r w:rsidRPr="009118AB">
        <w:rPr>
          <w:i/>
          <w:iCs/>
        </w:rPr>
        <w:t>43 des G. vom 22. Dezember 1998 (B.S.</w:t>
      </w:r>
      <w:r w:rsidR="00D919B9" w:rsidRPr="009118AB">
        <w:rPr>
          <w:i/>
          <w:iCs/>
        </w:rPr>
        <w:t> </w:t>
      </w:r>
      <w:r w:rsidRPr="009118AB">
        <w:rPr>
          <w:i/>
          <w:iCs/>
        </w:rPr>
        <w:t>vom 15. Januar 1999)</w:t>
      </w:r>
      <w:r w:rsidR="00D67EB8" w:rsidRPr="009118AB">
        <w:rPr>
          <w:i/>
          <w:iCs/>
        </w:rPr>
        <w:t> - </w:t>
      </w:r>
      <w:r w:rsidRPr="009118AB">
        <w:rPr>
          <w:i/>
          <w:iCs/>
        </w:rPr>
        <w:t>anwendbar auf die ab dem 1. Februar 1999 gezahlten oder zuerkannten Einkünfte</w:t>
      </w:r>
      <w:r w:rsidR="00D67EB8" w:rsidRPr="009118AB">
        <w:rPr>
          <w:i/>
          <w:iCs/>
        </w:rPr>
        <w:t> - </w:t>
      </w:r>
      <w:r w:rsidRPr="009118AB">
        <w:rPr>
          <w:i/>
          <w:iCs/>
        </w:rPr>
        <w:t xml:space="preserve">und abgeändert durch </w:t>
      </w:r>
      <w:r w:rsidR="00D67EB8" w:rsidRPr="009118AB">
        <w:rPr>
          <w:i/>
          <w:iCs/>
        </w:rPr>
        <w:t>Art. </w:t>
      </w:r>
      <w:r w:rsidRPr="009118AB">
        <w:rPr>
          <w:i/>
          <w:iCs/>
        </w:rPr>
        <w:t>31 des G. (I) vom 24. Dezember 2002</w:t>
      </w:r>
      <w:r w:rsidR="00D86BCC" w:rsidRPr="009118AB">
        <w:rPr>
          <w:i/>
          <w:iCs/>
        </w:rPr>
        <w:t xml:space="preserve"> (I)</w:t>
      </w:r>
      <w:r w:rsidRPr="009118AB">
        <w:rPr>
          <w:i/>
          <w:iCs/>
        </w:rPr>
        <w:t xml:space="preserve"> (B.S. vom </w:t>
      </w:r>
      <w:r w:rsidRPr="009118AB">
        <w:rPr>
          <w:rFonts w:ascii="Times New Roman Italique" w:hAnsi="Times New Roman Italique"/>
          <w:i/>
          <w:iCs/>
          <w:spacing w:val="2"/>
        </w:rPr>
        <w:t>31. Dezember 2002)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2004</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137005" w:rsidRPr="009118AB">
        <w:rPr>
          <w:rFonts w:ascii="Times New Roman Italique" w:hAnsi="Times New Roman Italique"/>
          <w:i/>
          <w:iCs/>
          <w:spacing w:val="2"/>
        </w:rPr>
        <w:t>1</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3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33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des G. vom 28. Juli 1992 (B.S. vom 31. Juli 1992)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31. Juli 1992</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137005" w:rsidRPr="009118AB">
        <w:rPr>
          <w:rFonts w:ascii="Times New Roman Italique" w:hAnsi="Times New Roman Italique"/>
          <w:i/>
          <w:iCs/>
          <w:spacing w:val="2"/>
        </w:rPr>
        <w:t>1</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33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28. Juli 1992 (B.S. vom 31</w:t>
      </w:r>
      <w:r w:rsidRPr="009118AB">
        <w:rPr>
          <w:i/>
          <w:iCs/>
        </w:rPr>
        <w:t>. Juli 1992)</w:t>
      </w:r>
      <w:r w:rsidR="00D67EB8" w:rsidRPr="009118AB">
        <w:rPr>
          <w:i/>
          <w:iCs/>
        </w:rPr>
        <w:t> - </w:t>
      </w:r>
      <w:r w:rsidRPr="009118AB">
        <w:rPr>
          <w:i/>
          <w:iCs/>
        </w:rPr>
        <w:t>in Kraft ab dem 31. Juli 1992</w:t>
      </w:r>
      <w:r w:rsidR="003366D9" w:rsidRPr="009118AB">
        <w:rPr>
          <w:i/>
          <w:iCs/>
        </w:rPr>
        <w:t> -;</w:t>
      </w:r>
      <w:r w:rsidRPr="009118AB">
        <w:rPr>
          <w:i/>
          <w:iCs/>
        </w:rPr>
        <w:t xml:space="preserve"> </w:t>
      </w:r>
      <w:r w:rsidR="00D67EB8" w:rsidRPr="009118AB">
        <w:rPr>
          <w:i/>
          <w:iCs/>
        </w:rPr>
        <w:t>Abs. </w:t>
      </w:r>
      <w:r w:rsidR="00137005" w:rsidRPr="009118AB">
        <w:rPr>
          <w:i/>
          <w:iCs/>
        </w:rPr>
        <w:t>1</w:t>
      </w:r>
      <w:r w:rsidRPr="009118AB">
        <w:rPr>
          <w:i/>
          <w:iCs/>
        </w:rPr>
        <w:t xml:space="preserve"> </w:t>
      </w:r>
      <w:r w:rsidR="00D67EB8" w:rsidRPr="009118AB">
        <w:rPr>
          <w:i/>
          <w:iCs/>
        </w:rPr>
        <w:t>Nr. </w:t>
      </w:r>
      <w:r w:rsidRPr="009118AB">
        <w:rPr>
          <w:i/>
          <w:iCs/>
        </w:rPr>
        <w:t xml:space="preserve">5 eingefügt durch </w:t>
      </w:r>
      <w:r w:rsidR="00D67EB8" w:rsidRPr="009118AB">
        <w:rPr>
          <w:i/>
          <w:iCs/>
        </w:rPr>
        <w:t>Art. </w:t>
      </w:r>
      <w:r w:rsidRPr="009118AB">
        <w:rPr>
          <w:i/>
          <w:iCs/>
        </w:rPr>
        <w:t>14 des G. vom 28. Dezember 1992 (B.S. vom 31. Dezember 1992)</w:t>
      </w:r>
      <w:r w:rsidR="00D67EB8" w:rsidRPr="009118AB">
        <w:rPr>
          <w:i/>
          <w:iCs/>
        </w:rPr>
        <w:t> - </w:t>
      </w:r>
      <w:r w:rsidRPr="009118AB">
        <w:rPr>
          <w:i/>
          <w:iCs/>
        </w:rPr>
        <w:t>anwendbar auf die ab dem 1. Januar 1993 verwirklichten Mehrwerte</w:t>
      </w:r>
      <w:r w:rsidR="003366D9" w:rsidRPr="009118AB">
        <w:rPr>
          <w:i/>
          <w:iCs/>
        </w:rPr>
        <w:t> -;</w:t>
      </w:r>
      <w:r w:rsidRPr="009118AB">
        <w:rPr>
          <w:i/>
          <w:iCs/>
        </w:rPr>
        <w:t xml:space="preserve"> </w:t>
      </w:r>
      <w:r w:rsidR="00D67EB8" w:rsidRPr="009118AB">
        <w:rPr>
          <w:i/>
          <w:iCs/>
        </w:rPr>
        <w:t>Abs. </w:t>
      </w:r>
      <w:r w:rsidR="00137005" w:rsidRPr="009118AB">
        <w:rPr>
          <w:i/>
          <w:iCs/>
        </w:rPr>
        <w:t>1</w:t>
      </w:r>
      <w:r w:rsidRPr="009118AB">
        <w:rPr>
          <w:i/>
          <w:iCs/>
        </w:rPr>
        <w:t xml:space="preserve"> </w:t>
      </w:r>
      <w:r w:rsidR="00D67EB8" w:rsidRPr="009118AB">
        <w:rPr>
          <w:i/>
          <w:iCs/>
        </w:rPr>
        <w:t>Nr. </w:t>
      </w:r>
      <w:r w:rsidRPr="009118AB">
        <w:rPr>
          <w:i/>
          <w:iCs/>
        </w:rPr>
        <w:t xml:space="preserve">6 eingefügt durch </w:t>
      </w:r>
      <w:r w:rsidR="00D67EB8" w:rsidRPr="009118AB">
        <w:rPr>
          <w:i/>
          <w:iCs/>
        </w:rPr>
        <w:t>Art. </w:t>
      </w:r>
      <w:r w:rsidRPr="009118AB">
        <w:rPr>
          <w:i/>
          <w:iCs/>
        </w:rPr>
        <w:t>8 des G. vom 22. Juli 1993 (B.S. vom 24. Juli 1993)</w:t>
      </w:r>
      <w:r w:rsidR="00D67EB8" w:rsidRPr="009118AB">
        <w:rPr>
          <w:i/>
          <w:iCs/>
        </w:rPr>
        <w:t> - </w:t>
      </w:r>
      <w:r w:rsidRPr="009118AB">
        <w:rPr>
          <w:i/>
          <w:iCs/>
        </w:rPr>
        <w:t>anwendbar auf die ab dem 1. Juli 1993 zuerkannten oder ausgeschütteten Einkünfte</w:t>
      </w:r>
      <w:r w:rsidR="003366D9" w:rsidRPr="009118AB">
        <w:rPr>
          <w:i/>
          <w:iCs/>
        </w:rPr>
        <w:t> -;</w:t>
      </w:r>
      <w:r w:rsidR="00F24BEE" w:rsidRPr="009118AB">
        <w:rPr>
          <w:i/>
          <w:iCs/>
        </w:rPr>
        <w:t xml:space="preserve"> </w:t>
      </w:r>
      <w:r w:rsidR="00D67EB8" w:rsidRPr="009118AB">
        <w:rPr>
          <w:i/>
          <w:iCs/>
        </w:rPr>
        <w:t>Abs. </w:t>
      </w:r>
      <w:r w:rsidR="00137005" w:rsidRPr="009118AB">
        <w:rPr>
          <w:i/>
          <w:iCs/>
        </w:rPr>
        <w:t>1</w:t>
      </w:r>
      <w:r w:rsidR="00F24BEE" w:rsidRPr="009118AB">
        <w:rPr>
          <w:i/>
          <w:iCs/>
        </w:rPr>
        <w:t xml:space="preserve"> </w:t>
      </w:r>
      <w:r w:rsidR="00D67EB8" w:rsidRPr="009118AB">
        <w:rPr>
          <w:i/>
          <w:iCs/>
        </w:rPr>
        <w:t>Nr. </w:t>
      </w:r>
      <w:r w:rsidR="00F24BEE" w:rsidRPr="009118AB">
        <w:rPr>
          <w:i/>
          <w:iCs/>
        </w:rPr>
        <w:t xml:space="preserve">7 eingefügt durch </w:t>
      </w:r>
      <w:r w:rsidR="00D67EB8" w:rsidRPr="009118AB">
        <w:rPr>
          <w:i/>
          <w:iCs/>
        </w:rPr>
        <w:t>Art. </w:t>
      </w:r>
      <w:r w:rsidR="00F24BEE" w:rsidRPr="009118AB">
        <w:rPr>
          <w:i/>
          <w:iCs/>
        </w:rPr>
        <w:t>70 des G. vom 13. Dezember 2012 (B.S. vom 20. Dezember 2012)</w:t>
      </w:r>
      <w:r w:rsidR="00D67EB8" w:rsidRPr="009118AB">
        <w:rPr>
          <w:i/>
          <w:iCs/>
        </w:rPr>
        <w:t> - </w:t>
      </w:r>
      <w:r w:rsidR="00F24BEE" w:rsidRPr="009118AB">
        <w:rPr>
          <w:i/>
          <w:iCs/>
        </w:rPr>
        <w:t>anwendbar ab dem 1. Januar 2013</w:t>
      </w:r>
      <w:r w:rsidR="003366D9" w:rsidRPr="009118AB">
        <w:rPr>
          <w:i/>
          <w:iCs/>
        </w:rPr>
        <w:t> -;</w:t>
      </w:r>
      <w:r w:rsidR="00137005" w:rsidRPr="009118AB">
        <w:rPr>
          <w:i/>
          <w:iCs/>
        </w:rPr>
        <w:t xml:space="preserve"> </w:t>
      </w:r>
      <w:r w:rsidR="00D67EB8" w:rsidRPr="009118AB">
        <w:rPr>
          <w:i/>
          <w:iCs/>
        </w:rPr>
        <w:t>Abs. </w:t>
      </w:r>
      <w:r w:rsidR="00137005" w:rsidRPr="009118AB">
        <w:rPr>
          <w:i/>
          <w:iCs/>
        </w:rPr>
        <w:t xml:space="preserve">2 eingefügt durch </w:t>
      </w:r>
      <w:r w:rsidR="00D67EB8" w:rsidRPr="009118AB">
        <w:rPr>
          <w:i/>
          <w:iCs/>
        </w:rPr>
        <w:t>Art. </w:t>
      </w:r>
      <w:r w:rsidR="00137005" w:rsidRPr="009118AB">
        <w:rPr>
          <w:i/>
          <w:iCs/>
        </w:rPr>
        <w:t xml:space="preserve">8 </w:t>
      </w:r>
      <w:r w:rsidR="00D67EB8" w:rsidRPr="009118AB">
        <w:rPr>
          <w:i/>
          <w:iCs/>
        </w:rPr>
        <w:t>Nr. </w:t>
      </w:r>
      <w:r w:rsidR="00137005" w:rsidRPr="009118AB">
        <w:rPr>
          <w:i/>
          <w:iCs/>
        </w:rPr>
        <w:t>2</w:t>
      </w:r>
      <w:r w:rsidR="00137005" w:rsidRPr="009118AB">
        <w:rPr>
          <w:i/>
        </w:rPr>
        <w:t xml:space="preserve"> des G. vom 11. Februar 2019 (B.S. vom 22. März 2019)</w:t>
      </w:r>
      <w:r w:rsidR="00D67EB8" w:rsidRPr="009118AB">
        <w:rPr>
          <w:i/>
        </w:rPr>
        <w:t> - </w:t>
      </w:r>
      <w:r w:rsidR="00137005" w:rsidRPr="009118AB">
        <w:rPr>
          <w:i/>
        </w:rPr>
        <w:t>in Kraft am 1. März 2019 und anwendbar auf die ab dem 1. März 2019 gezahlten oder zuerkannten Entlohnungen</w:t>
      </w:r>
      <w:r w:rsidR="00FD68E8" w:rsidRPr="009118AB">
        <w:rPr>
          <w:i/>
        </w:rPr>
        <w:t> -]</w:t>
      </w:r>
    </w:p>
    <w:p w14:paraId="68C00463" w14:textId="77777777" w:rsidR="00F24BEE" w:rsidRPr="009118AB" w:rsidRDefault="00F24BEE" w:rsidP="000053EB">
      <w:pPr>
        <w:autoSpaceDE w:val="0"/>
        <w:autoSpaceDN w:val="0"/>
        <w:adjustRightInd w:val="0"/>
        <w:jc w:val="both"/>
      </w:pPr>
    </w:p>
    <w:p w14:paraId="29753963" w14:textId="77777777" w:rsidR="00F24BEE" w:rsidRPr="009118AB" w:rsidRDefault="00F24BEE" w:rsidP="000053EB">
      <w:pPr>
        <w:autoSpaceDE w:val="0"/>
        <w:autoSpaceDN w:val="0"/>
        <w:adjustRightInd w:val="0"/>
        <w:jc w:val="both"/>
      </w:pPr>
    </w:p>
    <w:p w14:paraId="11274244" w14:textId="069EEFFE" w:rsidR="000053EB" w:rsidRPr="009118AB" w:rsidRDefault="00477B8F" w:rsidP="000053EB">
      <w:pPr>
        <w:autoSpaceDE w:val="0"/>
        <w:autoSpaceDN w:val="0"/>
        <w:adjustRightInd w:val="0"/>
        <w:jc w:val="both"/>
        <w:rPr>
          <w:iCs/>
        </w:rPr>
      </w:pPr>
      <w:r w:rsidRPr="009118AB">
        <w:tab/>
      </w:r>
      <w:r w:rsidR="00D67EB8" w:rsidRPr="009118AB">
        <w:rPr>
          <w:b/>
          <w:bCs/>
        </w:rPr>
        <w:t>Art. </w:t>
      </w:r>
      <w:r w:rsidRPr="009118AB">
        <w:rPr>
          <w:b/>
          <w:bCs/>
        </w:rPr>
        <w:t>271</w:t>
      </w:r>
      <w:r w:rsidR="00D67EB8" w:rsidRPr="009118AB">
        <w:t> - </w:t>
      </w:r>
      <w:r w:rsidR="000053EB" w:rsidRPr="009118AB">
        <w:rPr>
          <w:iCs/>
        </w:rPr>
        <w:t xml:space="preserve">Der König kann unter Bedingungen, die Er festlegt, die Anwendung von Artikel 270 auf Gewinne, Profite [...] und auf die in [Artikel 90 </w:t>
      </w:r>
      <w:r w:rsidR="00B41DFB" w:rsidRPr="009118AB">
        <w:t xml:space="preserve">Absatz 1 </w:t>
      </w:r>
      <w:r w:rsidR="00D67EB8" w:rsidRPr="009118AB">
        <w:rPr>
          <w:iCs/>
        </w:rPr>
        <w:t>Nr. </w:t>
      </w:r>
      <w:r w:rsidR="000053EB" w:rsidRPr="009118AB">
        <w:rPr>
          <w:iCs/>
        </w:rPr>
        <w:t>1 bis 4 und 12] erwähnten verschiedenen Einkünfte ausweiten.</w:t>
      </w:r>
    </w:p>
    <w:p w14:paraId="2A25E021" w14:textId="77777777" w:rsidR="000053EB" w:rsidRPr="009118AB" w:rsidRDefault="000053EB" w:rsidP="000053EB">
      <w:pPr>
        <w:autoSpaceDE w:val="0"/>
        <w:autoSpaceDN w:val="0"/>
        <w:adjustRightInd w:val="0"/>
        <w:jc w:val="both"/>
        <w:rPr>
          <w:iCs/>
        </w:rPr>
      </w:pPr>
    </w:p>
    <w:p w14:paraId="0A141906" w14:textId="449B1F31" w:rsidR="000053EB" w:rsidRPr="009118AB" w:rsidRDefault="000053EB" w:rsidP="000053EB">
      <w:pPr>
        <w:autoSpaceDE w:val="0"/>
        <w:autoSpaceDN w:val="0"/>
        <w:adjustRightInd w:val="0"/>
        <w:jc w:val="both"/>
        <w:rPr>
          <w:iCs/>
        </w:rPr>
      </w:pPr>
      <w:r w:rsidRPr="009118AB">
        <w:rPr>
          <w:i/>
          <w:iCs/>
        </w:rPr>
        <w:t>[</w:t>
      </w:r>
      <w:r w:rsidR="00D67EB8" w:rsidRPr="009118AB">
        <w:rPr>
          <w:i/>
          <w:iCs/>
        </w:rPr>
        <w:t>Art. </w:t>
      </w:r>
      <w:r w:rsidRPr="009118AB">
        <w:rPr>
          <w:i/>
          <w:iCs/>
        </w:rPr>
        <w:t xml:space="preserve">271 abgeändert durch </w:t>
      </w:r>
      <w:r w:rsidR="00D67EB8" w:rsidRPr="009118AB">
        <w:rPr>
          <w:i/>
          <w:iCs/>
        </w:rPr>
        <w:t>Art. </w:t>
      </w:r>
      <w:r w:rsidRPr="009118AB">
        <w:rPr>
          <w:i/>
          <w:iCs/>
        </w:rPr>
        <w:t>43 des G. vom 6. Juli </w:t>
      </w:r>
      <w:r w:rsidR="004F7F42" w:rsidRPr="009118AB">
        <w:rPr>
          <w:i/>
          <w:iCs/>
        </w:rPr>
        <w:t>1994 (B.S. vom 16. Juli 1994)</w:t>
      </w:r>
      <w:r w:rsidR="00D67EB8" w:rsidRPr="009118AB">
        <w:rPr>
          <w:i/>
          <w:iCs/>
        </w:rPr>
        <w:t> - </w:t>
      </w:r>
      <w:r w:rsidRPr="009118AB">
        <w:rPr>
          <w:i/>
          <w:iCs/>
        </w:rPr>
        <w:t>anwendbar ab dem Steuerjahr 1992</w:t>
      </w:r>
      <w:r w:rsidR="00FD68E8" w:rsidRPr="009118AB">
        <w:rPr>
          <w:i/>
          <w:iCs/>
        </w:rPr>
        <w:t> -,</w:t>
      </w:r>
      <w:r w:rsidRPr="009118AB">
        <w:rPr>
          <w:i/>
          <w:iCs/>
        </w:rPr>
        <w:t xml:space="preserve"> </w:t>
      </w:r>
      <w:r w:rsidR="00D67EB8" w:rsidRPr="009118AB">
        <w:rPr>
          <w:i/>
          <w:iCs/>
        </w:rPr>
        <w:t>Art. </w:t>
      </w:r>
      <w:r w:rsidRPr="009118AB">
        <w:rPr>
          <w:i/>
          <w:iCs/>
        </w:rPr>
        <w:t>48 des K.E. vom 20. Dezember 1996 (B.S. vom 31. Dezember 1996)</w:t>
      </w:r>
      <w:r w:rsidR="00D67EB8" w:rsidRPr="009118AB">
        <w:rPr>
          <w:i/>
          <w:iCs/>
        </w:rPr>
        <w:t> - </w:t>
      </w:r>
      <w:r w:rsidRPr="009118AB">
        <w:rPr>
          <w:i/>
          <w:iCs/>
        </w:rPr>
        <w:t>in Kraft ab dem Steuerjahr 1998</w:t>
      </w:r>
      <w:r w:rsidR="00FD68E8" w:rsidRPr="009118AB">
        <w:rPr>
          <w:i/>
          <w:iCs/>
        </w:rPr>
        <w:t> -,</w:t>
      </w:r>
      <w:r w:rsidRPr="009118AB">
        <w:rPr>
          <w:i/>
          <w:iCs/>
        </w:rPr>
        <w:t xml:space="preserve"> </w:t>
      </w:r>
      <w:r w:rsidR="00D67EB8" w:rsidRPr="009118AB">
        <w:rPr>
          <w:i/>
          <w:iCs/>
        </w:rPr>
        <w:t>Art. </w:t>
      </w:r>
      <w:r w:rsidRPr="009118AB">
        <w:rPr>
          <w:i/>
          <w:iCs/>
        </w:rPr>
        <w:t>32 des G. (I) vom 24. Dezember 2002 (I) (B.S. vom 31. Dezember 2002)</w:t>
      </w:r>
      <w:r w:rsidR="00D67EB8" w:rsidRPr="009118AB">
        <w:rPr>
          <w:i/>
          <w:iCs/>
        </w:rPr>
        <w:t> - </w:t>
      </w:r>
      <w:r w:rsidRPr="009118AB">
        <w:rPr>
          <w:i/>
          <w:iCs/>
        </w:rPr>
        <w:t>in Kraft ab dem Steuerjahr 2004</w:t>
      </w:r>
      <w:r w:rsidR="00FD68E8" w:rsidRPr="009118AB">
        <w:rPr>
          <w:i/>
          <w:iCs/>
        </w:rPr>
        <w:t> -,</w:t>
      </w:r>
      <w:r w:rsidRPr="009118AB">
        <w:rPr>
          <w:i/>
          <w:iCs/>
        </w:rPr>
        <w:t xml:space="preserve"> </w:t>
      </w:r>
      <w:r w:rsidR="00D67EB8" w:rsidRPr="009118AB">
        <w:rPr>
          <w:i/>
          <w:iCs/>
        </w:rPr>
        <w:t>Art. </w:t>
      </w:r>
      <w:r w:rsidRPr="009118AB">
        <w:rPr>
          <w:i/>
          <w:iCs/>
        </w:rPr>
        <w:t>170 des G. (I) vom 22. Dezember 2008 (II) (B.S. vom 29. Dezember 2008)</w:t>
      </w:r>
      <w:r w:rsidR="00D67EB8" w:rsidRPr="009118AB">
        <w:rPr>
          <w:i/>
          <w:iCs/>
        </w:rPr>
        <w:t> - </w:t>
      </w:r>
      <w:r w:rsidRPr="009118AB">
        <w:rPr>
          <w:i/>
          <w:iCs/>
        </w:rPr>
        <w:t>anwendbar auf die ab dem 1. Januar 2009 gezahlten oder zuerkannten Einkünfte</w:t>
      </w:r>
      <w:r w:rsidR="00D67EB8" w:rsidRPr="009118AB">
        <w:rPr>
          <w:i/>
          <w:iCs/>
        </w:rPr>
        <w:t> - </w:t>
      </w:r>
      <w:r w:rsidR="00B41DFB" w:rsidRPr="009118AB">
        <w:rPr>
          <w:i/>
          <w:iCs/>
        </w:rPr>
        <w:t xml:space="preserve">und </w:t>
      </w:r>
      <w:r w:rsidR="00D67EB8" w:rsidRPr="009118AB">
        <w:rPr>
          <w:i/>
          <w:iCs/>
        </w:rPr>
        <w:t>Art. </w:t>
      </w:r>
      <w:r w:rsidR="00B41DFB" w:rsidRPr="009118AB">
        <w:rPr>
          <w:i/>
          <w:iCs/>
        </w:rPr>
        <w:t>80</w:t>
      </w:r>
      <w:r w:rsidR="00B41DFB" w:rsidRPr="009118AB">
        <w:rPr>
          <w:i/>
        </w:rPr>
        <w:t xml:space="preserve"> des G. vom 26. Dezember 2015 (II) (B.S. vom 30. Dezember 2015)</w:t>
      </w:r>
      <w:r w:rsidR="00D67EB8" w:rsidRPr="009118AB">
        <w:t> - </w:t>
      </w:r>
      <w:r w:rsidR="00B41DFB"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4010B626" w14:textId="77777777" w:rsidR="00C137FE" w:rsidRPr="009118AB" w:rsidRDefault="00C137FE" w:rsidP="000053EB">
      <w:pPr>
        <w:autoSpaceDE w:val="0"/>
        <w:autoSpaceDN w:val="0"/>
        <w:adjustRightInd w:val="0"/>
        <w:jc w:val="both"/>
        <w:rPr>
          <w:iCs/>
        </w:rPr>
      </w:pPr>
    </w:p>
    <w:p w14:paraId="29D89563" w14:textId="77777777" w:rsidR="00703FD5" w:rsidRPr="009118AB" w:rsidRDefault="00703FD5" w:rsidP="000053EB">
      <w:pPr>
        <w:autoSpaceDE w:val="0"/>
        <w:autoSpaceDN w:val="0"/>
        <w:adjustRightInd w:val="0"/>
        <w:jc w:val="both"/>
        <w:rPr>
          <w:iCs/>
        </w:rPr>
      </w:pPr>
    </w:p>
    <w:p w14:paraId="5C54BB2A" w14:textId="77777777" w:rsidR="00703FD5" w:rsidRPr="009118AB" w:rsidRDefault="00703FD5">
      <w:pPr>
        <w:rPr>
          <w:iCs/>
        </w:rPr>
      </w:pPr>
      <w:r w:rsidRPr="009118AB">
        <w:rPr>
          <w:iCs/>
        </w:rPr>
        <w:br w:type="page"/>
      </w:r>
    </w:p>
    <w:p w14:paraId="796DE118" w14:textId="4BF534B9" w:rsidR="00703FD5" w:rsidRPr="009118AB" w:rsidRDefault="00703FD5" w:rsidP="00703FD5">
      <w:pPr>
        <w:autoSpaceDE w:val="0"/>
        <w:autoSpaceDN w:val="0"/>
        <w:adjustRightInd w:val="0"/>
        <w:jc w:val="center"/>
        <w:rPr>
          <w:iCs/>
        </w:rPr>
      </w:pPr>
      <w:r w:rsidRPr="009118AB">
        <w:rPr>
          <w:iCs/>
        </w:rPr>
        <w:lastRenderedPageBreak/>
        <w:t>[</w:t>
      </w:r>
      <w:r w:rsidRPr="009118AB">
        <w:rPr>
          <w:lang w:eastAsia="fr-BE"/>
        </w:rPr>
        <w:t>Unterabschnitt 2</w:t>
      </w:r>
      <w:r w:rsidR="00D67EB8" w:rsidRPr="009118AB">
        <w:rPr>
          <w:lang w:eastAsia="fr-BE"/>
        </w:rPr>
        <w:t> - </w:t>
      </w:r>
      <w:r w:rsidRPr="009118AB">
        <w:rPr>
          <w:lang w:eastAsia="fr-BE"/>
        </w:rPr>
        <w:t>Einbehaltung, Einforderbarkeit und Berechnung des Vorabzugs</w:t>
      </w:r>
      <w:r w:rsidRPr="009118AB">
        <w:rPr>
          <w:iCs/>
        </w:rPr>
        <w:t>]</w:t>
      </w:r>
    </w:p>
    <w:p w14:paraId="5C28A7C5" w14:textId="77777777" w:rsidR="000053EB" w:rsidRPr="009118AB" w:rsidRDefault="000053EB" w:rsidP="000053EB">
      <w:pPr>
        <w:autoSpaceDE w:val="0"/>
        <w:autoSpaceDN w:val="0"/>
        <w:adjustRightInd w:val="0"/>
        <w:jc w:val="both"/>
      </w:pPr>
    </w:p>
    <w:p w14:paraId="68D7B14B" w14:textId="700027E2" w:rsidR="00703FD5" w:rsidRPr="009118AB" w:rsidRDefault="00703FD5" w:rsidP="00703FD5">
      <w:pPr>
        <w:autoSpaceDE w:val="0"/>
        <w:autoSpaceDN w:val="0"/>
        <w:adjustRightInd w:val="0"/>
        <w:jc w:val="both"/>
        <w:rPr>
          <w:i/>
          <w:iCs/>
        </w:rPr>
      </w:pPr>
      <w:r w:rsidRPr="009118AB">
        <w:rPr>
          <w:i/>
          <w:iCs/>
        </w:rPr>
        <w:t xml:space="preserve">[Unterteilung Unterabschnitt 2 eingefügt durch </w:t>
      </w:r>
      <w:r w:rsidR="00D67EB8" w:rsidRPr="009118AB">
        <w:rPr>
          <w:i/>
          <w:iCs/>
        </w:rPr>
        <w:t>Art. </w:t>
      </w:r>
      <w:r w:rsidRPr="009118AB">
        <w:rPr>
          <w:i/>
          <w:iCs/>
        </w:rPr>
        <w:t>54</w:t>
      </w:r>
      <w:r w:rsidRPr="009118AB">
        <w:rPr>
          <w:bCs/>
          <w:i/>
          <w:iCs/>
          <w:sz w:val="20"/>
          <w:szCs w:val="20"/>
        </w:rPr>
        <w:t xml:space="preserve"> </w:t>
      </w:r>
      <w:r w:rsidRPr="009118AB">
        <w:rPr>
          <w:bCs/>
          <w:i/>
          <w:iCs/>
        </w:rPr>
        <w:t>des G. vom 21. Januar 2022 (B.S. vom 28. Januar 2022)]</w:t>
      </w:r>
    </w:p>
    <w:p w14:paraId="3242C9D1" w14:textId="77777777" w:rsidR="00703FD5" w:rsidRPr="009118AB" w:rsidRDefault="00703FD5" w:rsidP="000053EB">
      <w:pPr>
        <w:autoSpaceDE w:val="0"/>
        <w:autoSpaceDN w:val="0"/>
        <w:adjustRightInd w:val="0"/>
        <w:jc w:val="both"/>
      </w:pPr>
    </w:p>
    <w:p w14:paraId="5A9FEEAD" w14:textId="77777777" w:rsidR="00703FD5" w:rsidRPr="009118AB" w:rsidRDefault="00703FD5" w:rsidP="000053EB">
      <w:pPr>
        <w:autoSpaceDE w:val="0"/>
        <w:autoSpaceDN w:val="0"/>
        <w:adjustRightInd w:val="0"/>
        <w:jc w:val="both"/>
      </w:pPr>
    </w:p>
    <w:p w14:paraId="1EB913D9" w14:textId="7631716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272</w:t>
      </w:r>
      <w:r w:rsidR="00D67EB8" w:rsidRPr="009118AB">
        <w:t> - </w:t>
      </w:r>
      <w:r w:rsidRPr="009118AB">
        <w:t>Außer bei gegenteiliger Vereinbarung:</w:t>
      </w:r>
    </w:p>
    <w:p w14:paraId="3D3B3929" w14:textId="77777777" w:rsidR="00477B8F" w:rsidRPr="009118AB" w:rsidRDefault="00477B8F" w:rsidP="00477B8F">
      <w:pPr>
        <w:autoSpaceDE w:val="0"/>
        <w:autoSpaceDN w:val="0"/>
        <w:adjustRightInd w:val="0"/>
        <w:jc w:val="both"/>
      </w:pPr>
    </w:p>
    <w:p w14:paraId="240C9EC1" w14:textId="02C72F30" w:rsidR="00477B8F" w:rsidRPr="009118AB" w:rsidRDefault="00477B8F" w:rsidP="009D1768">
      <w:pPr>
        <w:pStyle w:val="Paragraphedeliste"/>
        <w:numPr>
          <w:ilvl w:val="0"/>
          <w:numId w:val="17"/>
        </w:numPr>
        <w:autoSpaceDE w:val="0"/>
        <w:autoSpaceDN w:val="0"/>
        <w:adjustRightInd w:val="0"/>
        <w:jc w:val="both"/>
      </w:pPr>
      <w:r w:rsidRPr="009118AB">
        <w:t>haben [</w:t>
      </w:r>
      <w:r w:rsidR="003151C7" w:rsidRPr="009118AB">
        <w:t xml:space="preserve">[in Artikel 270 Absatz 1 </w:t>
      </w:r>
      <w:r w:rsidR="00D67EB8" w:rsidRPr="009118AB">
        <w:t>Nr. </w:t>
      </w:r>
      <w:r w:rsidR="003151C7" w:rsidRPr="009118AB">
        <w:t>1, 3, 6 und 7]</w:t>
      </w:r>
      <w:r w:rsidR="00F24BEE" w:rsidRPr="009118AB">
        <w:t xml:space="preserve"> erwähnte Steuerschuldner</w:t>
      </w:r>
      <w:r w:rsidRPr="009118AB">
        <w:t>] das Recht, auf steuerpflichtige Einkünfte den diesbezüglichen Vorabzug einzubehalten,</w:t>
      </w:r>
    </w:p>
    <w:p w14:paraId="1333292F" w14:textId="77777777" w:rsidR="00477B8F" w:rsidRPr="009118AB" w:rsidRDefault="00477B8F" w:rsidP="00477B8F">
      <w:pPr>
        <w:autoSpaceDE w:val="0"/>
        <w:autoSpaceDN w:val="0"/>
        <w:adjustRightInd w:val="0"/>
        <w:jc w:val="both"/>
      </w:pPr>
    </w:p>
    <w:p w14:paraId="2CBFA619" w14:textId="29A3532D" w:rsidR="00477B8F" w:rsidRPr="009118AB" w:rsidRDefault="00477B8F" w:rsidP="00477B8F">
      <w:pPr>
        <w:autoSpaceDE w:val="0"/>
        <w:autoSpaceDN w:val="0"/>
        <w:adjustRightInd w:val="0"/>
        <w:jc w:val="both"/>
      </w:pPr>
      <w:r w:rsidRPr="009118AB">
        <w:tab/>
        <w:t xml:space="preserve">2. haben </w:t>
      </w:r>
      <w:r w:rsidR="003151C7" w:rsidRPr="009118AB">
        <w:t>[</w:t>
      </w:r>
      <w:r w:rsidRPr="009118AB">
        <w:t xml:space="preserve">in Artikel 270 </w:t>
      </w:r>
      <w:r w:rsidR="003151C7" w:rsidRPr="009118AB">
        <w:t xml:space="preserve">Absatz 1 </w:t>
      </w:r>
      <w:r w:rsidR="00D67EB8" w:rsidRPr="009118AB">
        <w:t>Nr. </w:t>
      </w:r>
      <w:r w:rsidRPr="009118AB">
        <w:t>2</w:t>
      </w:r>
      <w:r w:rsidR="003151C7" w:rsidRPr="009118AB">
        <w:t>]</w:t>
      </w:r>
      <w:r w:rsidRPr="009118AB">
        <w:t xml:space="preserve"> erwähnte Steuerschuldner das Recht, sich den Betrag des Vorabzugs, der in Bezug auf Trinkgelder oder Bedienungsprozente geschuldet wird, im Voraus auszahlen zu lassen</w:t>
      </w:r>
      <w:r w:rsidR="003151C7" w:rsidRPr="009118AB">
        <w:t>,</w:t>
      </w:r>
    </w:p>
    <w:p w14:paraId="4F53E57F" w14:textId="77777777" w:rsidR="003151C7" w:rsidRPr="009118AB" w:rsidRDefault="003151C7" w:rsidP="00477B8F">
      <w:pPr>
        <w:autoSpaceDE w:val="0"/>
        <w:autoSpaceDN w:val="0"/>
        <w:adjustRightInd w:val="0"/>
        <w:jc w:val="both"/>
      </w:pPr>
    </w:p>
    <w:p w14:paraId="60981FDD" w14:textId="77777777" w:rsidR="003151C7" w:rsidRPr="009118AB" w:rsidRDefault="003151C7" w:rsidP="00477B8F">
      <w:pPr>
        <w:autoSpaceDE w:val="0"/>
        <w:autoSpaceDN w:val="0"/>
        <w:adjustRightInd w:val="0"/>
        <w:jc w:val="both"/>
      </w:pPr>
      <w:r w:rsidRPr="009118AB">
        <w:tab/>
        <w:t>[3. haben Steuerschuldner gemäß Artikel 270 Absatz 2 das Recht, auf die Gesamtheit der steuerpflichtigen Einkünfte, deren Schuldner sie sind, den Vorabzug einzubehalten.]</w:t>
      </w:r>
    </w:p>
    <w:p w14:paraId="470B3C3F" w14:textId="77777777" w:rsidR="00477B8F" w:rsidRPr="009118AB" w:rsidRDefault="00477B8F" w:rsidP="00477B8F">
      <w:pPr>
        <w:autoSpaceDE w:val="0"/>
        <w:autoSpaceDN w:val="0"/>
        <w:adjustRightInd w:val="0"/>
        <w:jc w:val="both"/>
      </w:pPr>
    </w:p>
    <w:p w14:paraId="15132A5C" w14:textId="4E2C551E" w:rsidR="00477B8F" w:rsidRPr="009118AB" w:rsidRDefault="00477B8F" w:rsidP="00477B8F">
      <w:pPr>
        <w:autoSpaceDE w:val="0"/>
        <w:autoSpaceDN w:val="0"/>
        <w:adjustRightInd w:val="0"/>
        <w:jc w:val="both"/>
      </w:pPr>
      <w:r w:rsidRPr="009118AB">
        <w:tab/>
        <w:t xml:space="preserve">[Ungeachtet gegenteiliger Vereinbarung müssen </w:t>
      </w:r>
      <w:r w:rsidR="003151C7" w:rsidRPr="009118AB">
        <w:t>[</w:t>
      </w:r>
      <w:r w:rsidRPr="009118AB">
        <w:t xml:space="preserve">in Artikel 270 </w:t>
      </w:r>
      <w:r w:rsidR="003151C7" w:rsidRPr="009118AB">
        <w:t xml:space="preserve">Absatz 1 </w:t>
      </w:r>
      <w:r w:rsidR="00D67EB8" w:rsidRPr="009118AB">
        <w:t>Nr. </w:t>
      </w:r>
      <w:r w:rsidRPr="009118AB">
        <w:t>5</w:t>
      </w:r>
      <w:r w:rsidR="003151C7" w:rsidRPr="009118AB">
        <w:t>]</w:t>
      </w:r>
      <w:r w:rsidRPr="009118AB">
        <w:t xml:space="preserve"> erwähnte Steuerschuldner auf Mehrwerte, die in den in Artikel 228 </w:t>
      </w:r>
      <w:r w:rsidR="00D67EB8" w:rsidRPr="009118AB">
        <w:t>§ </w:t>
      </w:r>
      <w:r w:rsidRPr="009118AB">
        <w:t xml:space="preserve">2 </w:t>
      </w:r>
      <w:r w:rsidR="00D67EB8" w:rsidRPr="009118AB">
        <w:t>Nr. </w:t>
      </w:r>
      <w:r w:rsidRPr="009118AB">
        <w:t>3 Buchstabe </w:t>
      </w:r>
      <w:r w:rsidRPr="009118AB">
        <w:rPr>
          <w:i/>
          <w:iCs/>
        </w:rPr>
        <w:t>a)</w:t>
      </w:r>
      <w:r w:rsidRPr="009118AB">
        <w:t xml:space="preserve"> und </w:t>
      </w:r>
      <w:r w:rsidR="00D67EB8" w:rsidRPr="009118AB">
        <w:t>Nr. </w:t>
      </w:r>
      <w:r w:rsidRPr="009118AB">
        <w:t>4 erwähnten Gewinnen oder Profiten enthalten sind, den diesbezüglichen Vorabzug einbehalten.]</w:t>
      </w:r>
    </w:p>
    <w:p w14:paraId="1B4CCD5D" w14:textId="77777777" w:rsidR="00477B8F" w:rsidRPr="009118AB" w:rsidRDefault="00477B8F" w:rsidP="00477B8F">
      <w:pPr>
        <w:autoSpaceDE w:val="0"/>
        <w:autoSpaceDN w:val="0"/>
        <w:adjustRightInd w:val="0"/>
        <w:jc w:val="both"/>
      </w:pPr>
    </w:p>
    <w:p w14:paraId="6C6F1644" w14:textId="741698C4"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272 </w:t>
      </w:r>
      <w:r w:rsidR="00D67EB8" w:rsidRPr="009118AB">
        <w:rPr>
          <w:i/>
          <w:iCs/>
        </w:rPr>
        <w:t>Abs. </w:t>
      </w:r>
      <w:r w:rsidRPr="009118AB">
        <w:rPr>
          <w:i/>
          <w:iCs/>
        </w:rPr>
        <w:t xml:space="preserve">1 </w:t>
      </w:r>
      <w:r w:rsidR="00D67EB8" w:rsidRPr="009118AB">
        <w:rPr>
          <w:i/>
          <w:iCs/>
        </w:rPr>
        <w:t>Nr. </w:t>
      </w:r>
      <w:r w:rsidRPr="009118AB">
        <w:rPr>
          <w:i/>
          <w:iCs/>
        </w:rPr>
        <w:t xml:space="preserve">1 abgeändert durch </w:t>
      </w:r>
      <w:r w:rsidR="00D67EB8" w:rsidRPr="009118AB">
        <w:rPr>
          <w:i/>
          <w:iCs/>
        </w:rPr>
        <w:t>Art. </w:t>
      </w:r>
      <w:r w:rsidRPr="009118AB">
        <w:rPr>
          <w:i/>
          <w:iCs/>
        </w:rPr>
        <w:t>9 des G. vom 22. Juli 1993 (B.S. vom 26. Juli 1993)</w:t>
      </w:r>
      <w:r w:rsidR="00D67EB8" w:rsidRPr="009118AB">
        <w:rPr>
          <w:i/>
          <w:iCs/>
        </w:rPr>
        <w:t> - </w:t>
      </w:r>
      <w:r w:rsidRPr="009118AB">
        <w:rPr>
          <w:i/>
          <w:iCs/>
        </w:rPr>
        <w:t>anwendbar auf die ab dem 1. Juli 1993 zuerkannten oder ausgeschütteten Einkünfte</w:t>
      </w:r>
      <w:r w:rsidR="00FD68E8" w:rsidRPr="009118AB">
        <w:rPr>
          <w:i/>
          <w:iCs/>
        </w:rPr>
        <w:t> -,</w:t>
      </w:r>
      <w:r w:rsidR="00F24BEE" w:rsidRPr="009118AB">
        <w:rPr>
          <w:i/>
          <w:iCs/>
        </w:rPr>
        <w:t xml:space="preserve"> </w:t>
      </w:r>
      <w:r w:rsidR="00D67EB8" w:rsidRPr="009118AB">
        <w:rPr>
          <w:i/>
          <w:iCs/>
        </w:rPr>
        <w:t>Art. </w:t>
      </w:r>
      <w:r w:rsidR="00F24BEE" w:rsidRPr="009118AB">
        <w:rPr>
          <w:i/>
          <w:iCs/>
        </w:rPr>
        <w:t>71 des G. vom 13. Dezember 2012 (B.S. vom 20. Dezember 2012)</w:t>
      </w:r>
      <w:r w:rsidR="00D67EB8" w:rsidRPr="009118AB">
        <w:rPr>
          <w:i/>
          <w:iCs/>
        </w:rPr>
        <w:t> - </w:t>
      </w:r>
      <w:r w:rsidR="00F24BEE" w:rsidRPr="009118AB">
        <w:rPr>
          <w:i/>
          <w:iCs/>
        </w:rPr>
        <w:t>anwendbar ab dem 1. Januar 2013</w:t>
      </w:r>
      <w:r w:rsidR="00D67EB8" w:rsidRPr="009118AB">
        <w:rPr>
          <w:i/>
          <w:iCs/>
        </w:rPr>
        <w:t> - </w:t>
      </w:r>
      <w:r w:rsidR="003151C7" w:rsidRPr="009118AB">
        <w:rPr>
          <w:i/>
          <w:iCs/>
        </w:rPr>
        <w:t xml:space="preserve">und </w:t>
      </w:r>
      <w:r w:rsidR="00D67EB8" w:rsidRPr="009118AB">
        <w:rPr>
          <w:i/>
          <w:iCs/>
        </w:rPr>
        <w:t>Art. </w:t>
      </w:r>
      <w:r w:rsidR="003151C7" w:rsidRPr="009118AB">
        <w:rPr>
          <w:i/>
          <w:iCs/>
        </w:rPr>
        <w:t xml:space="preserve">9 </w:t>
      </w:r>
      <w:r w:rsidR="00D67EB8" w:rsidRPr="009118AB">
        <w:rPr>
          <w:i/>
          <w:iCs/>
        </w:rPr>
        <w:t>Nr. </w:t>
      </w:r>
      <w:r w:rsidR="003151C7" w:rsidRPr="009118AB">
        <w:rPr>
          <w:i/>
          <w:iCs/>
        </w:rPr>
        <w:t>1</w:t>
      </w:r>
      <w:r w:rsidR="003151C7" w:rsidRPr="009118AB">
        <w:rPr>
          <w:i/>
        </w:rPr>
        <w:t xml:space="preserve"> des G. vom 11. Februar 2019 (B.S. vom 22. März 2019)</w:t>
      </w:r>
      <w:r w:rsidR="00D67EB8" w:rsidRPr="009118AB">
        <w:rPr>
          <w:i/>
        </w:rPr>
        <w:t> - </w:t>
      </w:r>
      <w:r w:rsidR="003151C7" w:rsidRPr="009118AB">
        <w:rPr>
          <w:i/>
        </w:rPr>
        <w:t>in Kraft am 1. März 2019 und anwendbar auf die ab dem 1. März 2019 gezahlten oder zuerkannten Entlohnungen</w:t>
      </w:r>
      <w:r w:rsidR="003366D9" w:rsidRPr="009118AB">
        <w:rPr>
          <w:i/>
        </w:rPr>
        <w:t> -;</w:t>
      </w:r>
      <w:r w:rsidR="003151C7" w:rsidRPr="009118AB">
        <w:rPr>
          <w:i/>
          <w:iCs/>
        </w:rPr>
        <w:t xml:space="preserve"> </w:t>
      </w:r>
      <w:r w:rsidR="00D67EB8" w:rsidRPr="009118AB">
        <w:rPr>
          <w:i/>
          <w:iCs/>
        </w:rPr>
        <w:t>Abs. </w:t>
      </w:r>
      <w:r w:rsidR="003151C7" w:rsidRPr="009118AB">
        <w:rPr>
          <w:i/>
          <w:iCs/>
        </w:rPr>
        <w:t xml:space="preserve">1 </w:t>
      </w:r>
      <w:r w:rsidR="00D67EB8" w:rsidRPr="009118AB">
        <w:rPr>
          <w:i/>
          <w:iCs/>
        </w:rPr>
        <w:t>Nr. </w:t>
      </w:r>
      <w:r w:rsidR="003151C7" w:rsidRPr="009118AB">
        <w:rPr>
          <w:i/>
          <w:iCs/>
        </w:rPr>
        <w:t xml:space="preserve">2 abgeändert durch </w:t>
      </w:r>
      <w:r w:rsidR="00D67EB8" w:rsidRPr="009118AB">
        <w:rPr>
          <w:i/>
          <w:iCs/>
        </w:rPr>
        <w:t>Art. </w:t>
      </w:r>
      <w:r w:rsidR="003151C7" w:rsidRPr="009118AB">
        <w:rPr>
          <w:i/>
          <w:iCs/>
        </w:rPr>
        <w:t xml:space="preserve">9 </w:t>
      </w:r>
      <w:r w:rsidR="00D67EB8" w:rsidRPr="009118AB">
        <w:rPr>
          <w:i/>
          <w:iCs/>
        </w:rPr>
        <w:t>Nr. </w:t>
      </w:r>
      <w:r w:rsidR="003151C7" w:rsidRPr="009118AB">
        <w:rPr>
          <w:i/>
          <w:iCs/>
        </w:rPr>
        <w:t>2</w:t>
      </w:r>
      <w:r w:rsidR="003151C7" w:rsidRPr="009118AB">
        <w:rPr>
          <w:i/>
        </w:rPr>
        <w:t xml:space="preserve"> des G. vom 11. Februar 2019 (B.S. vom 22. März 2019)</w:t>
      </w:r>
      <w:r w:rsidR="00D67EB8" w:rsidRPr="009118AB">
        <w:rPr>
          <w:i/>
        </w:rPr>
        <w:t> - </w:t>
      </w:r>
      <w:r w:rsidR="003151C7" w:rsidRPr="009118AB">
        <w:rPr>
          <w:i/>
        </w:rPr>
        <w:t>in Kraft am 1. März 2019 und anwendbar auf die ab dem 1. März 2019 gezahlten oder zuerkannten Entlohnungen</w:t>
      </w:r>
      <w:r w:rsidR="003366D9" w:rsidRPr="009118AB">
        <w:rPr>
          <w:i/>
        </w:rPr>
        <w:t> -;</w:t>
      </w:r>
      <w:r w:rsidR="003151C7" w:rsidRPr="009118AB">
        <w:rPr>
          <w:i/>
        </w:rPr>
        <w:t xml:space="preserve"> </w:t>
      </w:r>
      <w:r w:rsidR="00D67EB8" w:rsidRPr="009118AB">
        <w:rPr>
          <w:i/>
        </w:rPr>
        <w:t>Abs. </w:t>
      </w:r>
      <w:r w:rsidR="003151C7" w:rsidRPr="009118AB">
        <w:rPr>
          <w:i/>
        </w:rPr>
        <w:t xml:space="preserve">1 </w:t>
      </w:r>
      <w:r w:rsidR="00D67EB8" w:rsidRPr="009118AB">
        <w:rPr>
          <w:i/>
        </w:rPr>
        <w:t>Nr. </w:t>
      </w:r>
      <w:r w:rsidR="003151C7" w:rsidRPr="009118AB">
        <w:rPr>
          <w:i/>
        </w:rPr>
        <w:t xml:space="preserve">3 eingefügt durch </w:t>
      </w:r>
      <w:r w:rsidR="00D67EB8" w:rsidRPr="009118AB">
        <w:rPr>
          <w:i/>
        </w:rPr>
        <w:t>Art. </w:t>
      </w:r>
      <w:r w:rsidR="003151C7" w:rsidRPr="009118AB">
        <w:rPr>
          <w:i/>
        </w:rPr>
        <w:t xml:space="preserve">9 </w:t>
      </w:r>
      <w:r w:rsidR="00D67EB8" w:rsidRPr="009118AB">
        <w:rPr>
          <w:i/>
        </w:rPr>
        <w:t>Nr. </w:t>
      </w:r>
      <w:r w:rsidR="003151C7" w:rsidRPr="009118AB">
        <w:rPr>
          <w:i/>
        </w:rPr>
        <w:t>3 des G. vom 11. Februar 2019 (B.S. vom 22. März 2019)</w:t>
      </w:r>
      <w:r w:rsidR="00D67EB8" w:rsidRPr="009118AB">
        <w:rPr>
          <w:i/>
        </w:rPr>
        <w:t> - </w:t>
      </w:r>
      <w:r w:rsidR="003151C7" w:rsidRPr="009118AB">
        <w:rPr>
          <w:i/>
        </w:rPr>
        <w:t>in Kraft am 1. März 2019 und anwendbar auf die ab dem 1. März 2019 gezahlten oder zuerkannten Entlohnungen</w:t>
      </w:r>
      <w:r w:rsidR="003366D9" w:rsidRPr="009118AB">
        <w:rPr>
          <w:i/>
        </w:rPr>
        <w:t> -;</w:t>
      </w:r>
      <w:r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15 des G. vom 28. Dezember 1992 (B.S.</w:t>
      </w:r>
      <w:r w:rsidR="00D919B9" w:rsidRPr="009118AB">
        <w:rPr>
          <w:i/>
          <w:iCs/>
        </w:rPr>
        <w:t> </w:t>
      </w:r>
      <w:r w:rsidRPr="009118AB">
        <w:rPr>
          <w:i/>
          <w:iCs/>
        </w:rPr>
        <w:t>vom</w:t>
      </w:r>
      <w:r w:rsidR="00271109" w:rsidRPr="009118AB">
        <w:rPr>
          <w:i/>
          <w:iCs/>
        </w:rPr>
        <w:t> </w:t>
      </w:r>
      <w:r w:rsidRPr="009118AB">
        <w:rPr>
          <w:i/>
          <w:iCs/>
        </w:rPr>
        <w:t>31. Dezember 1992)</w:t>
      </w:r>
      <w:r w:rsidR="00D67EB8" w:rsidRPr="009118AB">
        <w:rPr>
          <w:i/>
          <w:iCs/>
        </w:rPr>
        <w:t> - </w:t>
      </w:r>
      <w:r w:rsidRPr="009118AB">
        <w:rPr>
          <w:i/>
          <w:iCs/>
        </w:rPr>
        <w:t>anwendbar auf die ab dem 1. Januar 1993 verwirklichten Mehrwerte</w:t>
      </w:r>
      <w:r w:rsidR="00D67EB8" w:rsidRPr="009118AB">
        <w:rPr>
          <w:i/>
          <w:iCs/>
        </w:rPr>
        <w:t> - </w:t>
      </w:r>
      <w:r w:rsidR="003151C7" w:rsidRPr="009118AB">
        <w:rPr>
          <w:i/>
          <w:iCs/>
        </w:rPr>
        <w:t xml:space="preserve">und abgeändert durch </w:t>
      </w:r>
      <w:r w:rsidR="00D67EB8" w:rsidRPr="009118AB">
        <w:rPr>
          <w:i/>
          <w:iCs/>
        </w:rPr>
        <w:t>Art. </w:t>
      </w:r>
      <w:r w:rsidR="003151C7" w:rsidRPr="009118AB">
        <w:rPr>
          <w:i/>
          <w:iCs/>
        </w:rPr>
        <w:t xml:space="preserve">9 </w:t>
      </w:r>
      <w:r w:rsidR="00D67EB8" w:rsidRPr="009118AB">
        <w:rPr>
          <w:i/>
          <w:iCs/>
        </w:rPr>
        <w:t>Nr. </w:t>
      </w:r>
      <w:r w:rsidR="003151C7" w:rsidRPr="009118AB">
        <w:rPr>
          <w:i/>
          <w:iCs/>
        </w:rPr>
        <w:t>4</w:t>
      </w:r>
      <w:r w:rsidR="003151C7" w:rsidRPr="009118AB">
        <w:rPr>
          <w:i/>
        </w:rPr>
        <w:t xml:space="preserve"> des G. vom 11. Februar 2019 (B.S. vom 22. März 2019)</w:t>
      </w:r>
      <w:r w:rsidR="00D67EB8" w:rsidRPr="009118AB">
        <w:rPr>
          <w:i/>
        </w:rPr>
        <w:t> - </w:t>
      </w:r>
      <w:r w:rsidR="003151C7" w:rsidRPr="009118AB">
        <w:rPr>
          <w:i/>
        </w:rPr>
        <w:t>in Kraft am 1. März 2019 und anwendbar auf die ab dem 1. März 2019 gezahlten oder zuerkannten Entlohnungen</w:t>
      </w:r>
      <w:r w:rsidR="00FD68E8" w:rsidRPr="009118AB">
        <w:rPr>
          <w:i/>
        </w:rPr>
        <w:t> -]</w:t>
      </w:r>
    </w:p>
    <w:p w14:paraId="7CB6125B" w14:textId="77777777" w:rsidR="00477B8F" w:rsidRPr="009118AB" w:rsidRDefault="00477B8F" w:rsidP="00477B8F">
      <w:pPr>
        <w:autoSpaceDE w:val="0"/>
        <w:autoSpaceDN w:val="0"/>
        <w:adjustRightInd w:val="0"/>
        <w:jc w:val="both"/>
      </w:pPr>
    </w:p>
    <w:p w14:paraId="6FEB1D60" w14:textId="77777777" w:rsidR="00477B8F" w:rsidRPr="009118AB" w:rsidRDefault="00477B8F" w:rsidP="00477B8F">
      <w:pPr>
        <w:autoSpaceDE w:val="0"/>
        <w:autoSpaceDN w:val="0"/>
        <w:adjustRightInd w:val="0"/>
        <w:jc w:val="both"/>
      </w:pPr>
    </w:p>
    <w:p w14:paraId="29D2D081" w14:textId="2CC7DFF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273</w:t>
      </w:r>
      <w:r w:rsidR="00D67EB8" w:rsidRPr="009118AB">
        <w:t> - </w:t>
      </w:r>
      <w:r w:rsidRPr="009118AB">
        <w:t>[Der Berufssteuervorabzug [ist fällig] aufgrund:</w:t>
      </w:r>
    </w:p>
    <w:p w14:paraId="1795BC9B" w14:textId="77777777" w:rsidR="00477B8F" w:rsidRPr="009118AB" w:rsidRDefault="00477B8F" w:rsidP="00477B8F">
      <w:pPr>
        <w:autoSpaceDE w:val="0"/>
        <w:autoSpaceDN w:val="0"/>
        <w:adjustRightInd w:val="0"/>
        <w:jc w:val="both"/>
      </w:pPr>
    </w:p>
    <w:p w14:paraId="667154AE" w14:textId="7C588440" w:rsidR="00477B8F" w:rsidRPr="009118AB" w:rsidRDefault="00477B8F" w:rsidP="009D1768">
      <w:pPr>
        <w:pStyle w:val="Paragraphedeliste"/>
        <w:numPr>
          <w:ilvl w:val="0"/>
          <w:numId w:val="18"/>
        </w:numPr>
        <w:autoSpaceDE w:val="0"/>
        <w:autoSpaceDN w:val="0"/>
        <w:adjustRightInd w:val="0"/>
        <w:jc w:val="both"/>
      </w:pPr>
      <w:r w:rsidRPr="009118AB">
        <w:t>der Zahlung oder Zuerkennung von steuerpflichtigen Entlohnungen,</w:t>
      </w:r>
    </w:p>
    <w:p w14:paraId="24CA9744" w14:textId="77777777" w:rsidR="00477B8F" w:rsidRPr="009118AB" w:rsidRDefault="00477B8F" w:rsidP="00477B8F">
      <w:pPr>
        <w:autoSpaceDE w:val="0"/>
        <w:autoSpaceDN w:val="0"/>
        <w:adjustRightInd w:val="0"/>
        <w:jc w:val="both"/>
      </w:pPr>
    </w:p>
    <w:p w14:paraId="0B19CF71" w14:textId="77777777" w:rsidR="00477B8F" w:rsidRPr="009118AB" w:rsidRDefault="00477B8F" w:rsidP="00477B8F">
      <w:pPr>
        <w:autoSpaceDE w:val="0"/>
        <w:autoSpaceDN w:val="0"/>
        <w:adjustRightInd w:val="0"/>
        <w:jc w:val="both"/>
      </w:pPr>
      <w:r w:rsidRPr="009118AB">
        <w:tab/>
        <w:t>2. der Verwirklichung in Artikel 272 Absatz 2 erwähnter Mehrwerte.]</w:t>
      </w:r>
    </w:p>
    <w:p w14:paraId="7837DD51" w14:textId="77777777" w:rsidR="00477B8F" w:rsidRPr="009118AB" w:rsidRDefault="00477B8F" w:rsidP="00477B8F">
      <w:pPr>
        <w:autoSpaceDE w:val="0"/>
        <w:autoSpaceDN w:val="0"/>
        <w:adjustRightInd w:val="0"/>
        <w:jc w:val="both"/>
      </w:pPr>
    </w:p>
    <w:p w14:paraId="12326045" w14:textId="3FC1AD32"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273 ersetzt durch </w:t>
      </w:r>
      <w:r w:rsidR="00D67EB8" w:rsidRPr="009118AB">
        <w:rPr>
          <w:i/>
          <w:iCs/>
        </w:rPr>
        <w:t>Art. </w:t>
      </w:r>
      <w:r w:rsidRPr="009118AB">
        <w:rPr>
          <w:i/>
          <w:iCs/>
        </w:rPr>
        <w:t>16 des G. vom 28. Dezember 1992</w:t>
      </w:r>
      <w:r w:rsidR="004F7F42" w:rsidRPr="009118AB">
        <w:rPr>
          <w:i/>
          <w:iCs/>
        </w:rPr>
        <w:t xml:space="preserve"> (B.S. vom 31. Dezember 1992)</w:t>
      </w:r>
      <w:r w:rsidR="00D67EB8" w:rsidRPr="009118AB">
        <w:rPr>
          <w:i/>
          <w:iCs/>
        </w:rPr>
        <w:t> - </w:t>
      </w:r>
      <w:r w:rsidRPr="009118AB">
        <w:rPr>
          <w:i/>
          <w:iCs/>
        </w:rPr>
        <w:t>anwendbar auf die ab dem 1. Januar 1993 verwirklichten Mehrwerte</w:t>
      </w:r>
      <w:r w:rsidR="003366D9" w:rsidRPr="009118AB">
        <w:rPr>
          <w:i/>
          <w:iCs/>
        </w:rPr>
        <w:t> -;</w:t>
      </w:r>
      <w:r w:rsidRPr="009118AB">
        <w:rPr>
          <w:i/>
          <w:iCs/>
        </w:rPr>
        <w:t xml:space="preserve"> einziger Absatz einleitende Bestimmung abgeändert durch </w:t>
      </w:r>
      <w:r w:rsidR="00D67EB8" w:rsidRPr="009118AB">
        <w:rPr>
          <w:i/>
          <w:iCs/>
        </w:rPr>
        <w:t>Art. </w:t>
      </w:r>
      <w:r w:rsidRPr="009118AB">
        <w:rPr>
          <w:i/>
          <w:iCs/>
        </w:rPr>
        <w:t>4 des G. vom 15. März 1999 (B.S. vom 27. März 1999)]</w:t>
      </w:r>
    </w:p>
    <w:p w14:paraId="31A3E3A6" w14:textId="77777777" w:rsidR="00477B8F" w:rsidRPr="009118AB" w:rsidRDefault="00477B8F" w:rsidP="00477B8F">
      <w:pPr>
        <w:autoSpaceDE w:val="0"/>
        <w:autoSpaceDN w:val="0"/>
        <w:adjustRightInd w:val="0"/>
        <w:jc w:val="both"/>
      </w:pPr>
    </w:p>
    <w:p w14:paraId="77613410" w14:textId="77777777" w:rsidR="00477B8F" w:rsidRPr="009118AB" w:rsidRDefault="00477B8F" w:rsidP="00477B8F">
      <w:pPr>
        <w:autoSpaceDE w:val="0"/>
        <w:autoSpaceDN w:val="0"/>
        <w:adjustRightInd w:val="0"/>
        <w:jc w:val="both"/>
      </w:pPr>
    </w:p>
    <w:p w14:paraId="67174511" w14:textId="4E6B504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274</w:t>
      </w:r>
      <w:r w:rsidR="00D67EB8" w:rsidRPr="009118AB">
        <w:t> - </w:t>
      </w:r>
      <w:r w:rsidRPr="009118AB">
        <w:t>[...]</w:t>
      </w:r>
    </w:p>
    <w:p w14:paraId="02C195BD" w14:textId="77777777" w:rsidR="00477B8F" w:rsidRPr="009118AB" w:rsidRDefault="00477B8F" w:rsidP="00477B8F">
      <w:pPr>
        <w:autoSpaceDE w:val="0"/>
        <w:autoSpaceDN w:val="0"/>
        <w:adjustRightInd w:val="0"/>
        <w:jc w:val="both"/>
      </w:pPr>
    </w:p>
    <w:p w14:paraId="579A311A" w14:textId="7EDE0A8B"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274 aufgehoben durch </w:t>
      </w:r>
      <w:r w:rsidR="00D67EB8" w:rsidRPr="009118AB">
        <w:rPr>
          <w:i/>
          <w:iCs/>
        </w:rPr>
        <w:t>Art. </w:t>
      </w:r>
      <w:r w:rsidRPr="009118AB">
        <w:rPr>
          <w:i/>
          <w:iCs/>
        </w:rPr>
        <w:t>92 des G. vom 28. Dezember 1992 (B.S. vom 31. Dezember 1992)</w:t>
      </w:r>
      <w:r w:rsidR="00D67EB8" w:rsidRPr="009118AB">
        <w:rPr>
          <w:i/>
          <w:iCs/>
        </w:rPr>
        <w:t> - </w:t>
      </w:r>
      <w:r w:rsidRPr="009118AB">
        <w:rPr>
          <w:i/>
          <w:iCs/>
        </w:rPr>
        <w:t>in Kraft ab dem 1. Januar 1993</w:t>
      </w:r>
      <w:r w:rsidR="00FD68E8" w:rsidRPr="009118AB">
        <w:rPr>
          <w:i/>
          <w:iCs/>
        </w:rPr>
        <w:t> -]</w:t>
      </w:r>
    </w:p>
    <w:p w14:paraId="515A8A30" w14:textId="77777777" w:rsidR="00093D04" w:rsidRPr="009118AB" w:rsidRDefault="00093D04" w:rsidP="00477B8F">
      <w:pPr>
        <w:autoSpaceDE w:val="0"/>
        <w:autoSpaceDN w:val="0"/>
        <w:adjustRightInd w:val="0"/>
        <w:jc w:val="both"/>
      </w:pPr>
    </w:p>
    <w:p w14:paraId="197438D1" w14:textId="77777777" w:rsidR="00093D04" w:rsidRPr="009118AB" w:rsidRDefault="00093D04" w:rsidP="00477B8F">
      <w:pPr>
        <w:autoSpaceDE w:val="0"/>
        <w:autoSpaceDN w:val="0"/>
        <w:adjustRightInd w:val="0"/>
        <w:jc w:val="both"/>
      </w:pPr>
    </w:p>
    <w:p w14:paraId="1AB47A8D" w14:textId="4E8092C5"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275</w:t>
      </w:r>
      <w:r w:rsidR="00D67EB8" w:rsidRPr="009118AB">
        <w:t> - § </w:t>
      </w:r>
      <w:r w:rsidRPr="009118AB">
        <w:t>1</w:t>
      </w:r>
      <w:r w:rsidR="00D67EB8" w:rsidRPr="009118AB">
        <w:t> - </w:t>
      </w:r>
      <w:r w:rsidRPr="009118AB">
        <w:t xml:space="preserve">Der Berufssteuervorabzug wird </w:t>
      </w:r>
      <w:r w:rsidR="00F3098F" w:rsidRPr="009118AB">
        <w:t>[gemäß den vom König festgelegten Regeln]</w:t>
      </w:r>
      <w:r w:rsidRPr="009118AB">
        <w:t xml:space="preserve"> bestimmt.</w:t>
      </w:r>
    </w:p>
    <w:p w14:paraId="18CE37C9" w14:textId="77777777" w:rsidR="00477B8F" w:rsidRPr="009118AB" w:rsidRDefault="00477B8F" w:rsidP="00477B8F">
      <w:pPr>
        <w:autoSpaceDE w:val="0"/>
        <w:autoSpaceDN w:val="0"/>
        <w:adjustRightInd w:val="0"/>
        <w:jc w:val="both"/>
      </w:pPr>
    </w:p>
    <w:p w14:paraId="3A3ED537" w14:textId="2759B8CD"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 xml:space="preserve">Der König kann verschiedene Kategorien von Steuerpflichtigen </w:t>
      </w:r>
      <w:r w:rsidR="00F3098F" w:rsidRPr="009118AB">
        <w:t xml:space="preserve">[und Einkünften] </w:t>
      </w:r>
      <w:r w:rsidRPr="009118AB">
        <w:t xml:space="preserve">unterscheiden. </w:t>
      </w:r>
      <w:r w:rsidR="00F3098F" w:rsidRPr="009118AB">
        <w:t>[Der Betrag des Berufssteuervorabzugs wird pauschal bestimmt.]</w:t>
      </w:r>
    </w:p>
    <w:p w14:paraId="1786657E" w14:textId="77777777" w:rsidR="00477B8F" w:rsidRPr="009118AB" w:rsidRDefault="00477B8F" w:rsidP="00477B8F">
      <w:pPr>
        <w:autoSpaceDE w:val="0"/>
        <w:autoSpaceDN w:val="0"/>
        <w:adjustRightInd w:val="0"/>
        <w:jc w:val="both"/>
      </w:pPr>
    </w:p>
    <w:p w14:paraId="19F04354" w14:textId="5E9556D4" w:rsidR="00477B8F" w:rsidRPr="009118AB" w:rsidRDefault="00477B8F" w:rsidP="00477B8F">
      <w:pPr>
        <w:autoSpaceDE w:val="0"/>
        <w:autoSpaceDN w:val="0"/>
        <w:adjustRightInd w:val="0"/>
        <w:jc w:val="both"/>
      </w:pPr>
      <w:r w:rsidRPr="009118AB">
        <w:tab/>
      </w:r>
      <w:r w:rsidR="00D67EB8" w:rsidRPr="009118AB">
        <w:t>§ </w:t>
      </w:r>
      <w:r w:rsidRPr="009118AB">
        <w:t>3</w:t>
      </w:r>
      <w:r w:rsidR="00D67EB8" w:rsidRPr="009118AB">
        <w:t> - </w:t>
      </w:r>
      <w:r w:rsidR="00016024" w:rsidRPr="009118AB">
        <w:t xml:space="preserve">[Der König reicht bei der Abgeordnetenkammer, wenn sie versammelt ist, unverzüglich und sonst, sobald die nächste Sitzungsperiode eröffnet ist, einen Gesetzentwurf ein zur Bestätigung der Erlasse zur Ausführung des vorliegenden Artikels. Es wird davon ausgegangen, dass diese Erlasse nicht wirksam geworden sind, wenn sie nicht binnen zwölf Monaten nach dem Datum ihrer Veröffentlichung im </w:t>
      </w:r>
      <w:r w:rsidR="00016024" w:rsidRPr="009118AB">
        <w:rPr>
          <w:i/>
          <w:iCs/>
        </w:rPr>
        <w:t>Belgischen Staatsblatt</w:t>
      </w:r>
      <w:r w:rsidR="00016024" w:rsidRPr="009118AB">
        <w:t xml:space="preserve"> durch Gesetz bestätigt worden sind.]</w:t>
      </w:r>
    </w:p>
    <w:p w14:paraId="33B3263C" w14:textId="7ACEA9D4" w:rsidR="00016024" w:rsidRPr="009118AB" w:rsidRDefault="00016024" w:rsidP="00477B8F">
      <w:pPr>
        <w:autoSpaceDE w:val="0"/>
        <w:autoSpaceDN w:val="0"/>
        <w:adjustRightInd w:val="0"/>
        <w:jc w:val="both"/>
      </w:pPr>
    </w:p>
    <w:p w14:paraId="2D524337" w14:textId="47E96288" w:rsidR="009B499C" w:rsidRPr="009118AB" w:rsidRDefault="00016024" w:rsidP="00477B8F">
      <w:pPr>
        <w:autoSpaceDE w:val="0"/>
        <w:autoSpaceDN w:val="0"/>
        <w:adjustRightInd w:val="0"/>
        <w:jc w:val="both"/>
        <w:rPr>
          <w:i/>
        </w:rPr>
      </w:pPr>
      <w:r w:rsidRPr="009118AB">
        <w:rPr>
          <w:i/>
        </w:rPr>
        <w:t>[</w:t>
      </w:r>
      <w:r w:rsidR="00D67EB8" w:rsidRPr="009118AB">
        <w:rPr>
          <w:i/>
        </w:rPr>
        <w:t>Art. </w:t>
      </w:r>
      <w:r w:rsidRPr="009118AB">
        <w:rPr>
          <w:i/>
        </w:rPr>
        <w:t xml:space="preserve">275 </w:t>
      </w:r>
      <w:r w:rsidR="009B499C" w:rsidRPr="009118AB">
        <w:rPr>
          <w:i/>
        </w:rPr>
        <w:t>§ 1 abgeändert durch Art. 29 Nr. 1</w:t>
      </w:r>
      <w:r w:rsidR="009B499C" w:rsidRPr="009118AB">
        <w:rPr>
          <w:i/>
          <w:iCs/>
        </w:rPr>
        <w:t xml:space="preserve"> des G. vom 31. Juli 2023 (II) (B.S. vom 23. August 2023); § 2 abgeändert durch Art. 2 des G. vom 31. Juli 2023 (II) (B.S. vom 23. August 2023); </w:t>
      </w:r>
      <w:r w:rsidR="00D67EB8" w:rsidRPr="009118AB">
        <w:rPr>
          <w:i/>
        </w:rPr>
        <w:t>§ </w:t>
      </w:r>
      <w:r w:rsidRPr="009118AB">
        <w:rPr>
          <w:i/>
        </w:rPr>
        <w:t xml:space="preserve">3 ersetzt durch </w:t>
      </w:r>
      <w:r w:rsidR="00D67EB8" w:rsidRPr="009118AB">
        <w:rPr>
          <w:i/>
        </w:rPr>
        <w:t>Art. </w:t>
      </w:r>
      <w:r w:rsidRPr="009118AB">
        <w:rPr>
          <w:i/>
        </w:rPr>
        <w:t>30 des G. vom 2. Mai 2019 (III) (B.S. vom 1</w:t>
      </w:r>
      <w:r w:rsidR="009B37FC" w:rsidRPr="009118AB">
        <w:rPr>
          <w:i/>
        </w:rPr>
        <w:t>5</w:t>
      </w:r>
      <w:r w:rsidRPr="009118AB">
        <w:rPr>
          <w:i/>
        </w:rPr>
        <w:t>. Mai 2019)</w:t>
      </w:r>
      <w:r w:rsidR="00D67EB8" w:rsidRPr="009118AB">
        <w:rPr>
          <w:i/>
        </w:rPr>
        <w:t> - </w:t>
      </w:r>
      <w:r w:rsidRPr="009118AB">
        <w:rPr>
          <w:i/>
        </w:rPr>
        <w:t>anwendbar auf die ab dem 1. Januar 2019 ergangenen Erlasse</w:t>
      </w:r>
      <w:r w:rsidR="00FD68E8" w:rsidRPr="009118AB">
        <w:rPr>
          <w:i/>
        </w:rPr>
        <w:t> -]</w:t>
      </w:r>
    </w:p>
    <w:p w14:paraId="3153BBF7" w14:textId="77777777" w:rsidR="00477B8F" w:rsidRPr="009118AB" w:rsidRDefault="00477B8F" w:rsidP="00477B8F">
      <w:pPr>
        <w:autoSpaceDE w:val="0"/>
        <w:autoSpaceDN w:val="0"/>
        <w:adjustRightInd w:val="0"/>
        <w:jc w:val="both"/>
      </w:pPr>
    </w:p>
    <w:p w14:paraId="745ED363" w14:textId="77777777" w:rsidR="00477B8F" w:rsidRPr="009118AB" w:rsidRDefault="00477B8F" w:rsidP="00477B8F">
      <w:pPr>
        <w:autoSpaceDE w:val="0"/>
        <w:autoSpaceDN w:val="0"/>
        <w:adjustRightInd w:val="0"/>
        <w:jc w:val="both"/>
      </w:pPr>
    </w:p>
    <w:p w14:paraId="058FE19F" w14:textId="7F5A9BCD" w:rsidR="00703FD5" w:rsidRPr="009118AB" w:rsidRDefault="00703FD5" w:rsidP="00703FD5">
      <w:pPr>
        <w:autoSpaceDE w:val="0"/>
        <w:autoSpaceDN w:val="0"/>
        <w:adjustRightInd w:val="0"/>
        <w:jc w:val="center"/>
      </w:pPr>
      <w:r w:rsidRPr="009118AB">
        <w:t>[</w:t>
      </w:r>
      <w:r w:rsidRPr="009118AB">
        <w:rPr>
          <w:lang w:eastAsia="fr-BE"/>
        </w:rPr>
        <w:t>Unterabschnitt 3</w:t>
      </w:r>
      <w:r w:rsidR="00D67EB8" w:rsidRPr="009118AB">
        <w:rPr>
          <w:lang w:eastAsia="fr-BE"/>
        </w:rPr>
        <w:t> - </w:t>
      </w:r>
      <w:r w:rsidRPr="009118AB">
        <w:rPr>
          <w:lang w:eastAsia="fr-BE"/>
        </w:rPr>
        <w:t>Befreiung von der Zahlung des Vorabzugs</w:t>
      </w:r>
      <w:r w:rsidRPr="009118AB">
        <w:t>]</w:t>
      </w:r>
    </w:p>
    <w:p w14:paraId="61EA9CC5" w14:textId="77777777" w:rsidR="00703FD5" w:rsidRPr="009118AB" w:rsidRDefault="00703FD5" w:rsidP="00703FD5">
      <w:pPr>
        <w:autoSpaceDE w:val="0"/>
        <w:autoSpaceDN w:val="0"/>
        <w:adjustRightInd w:val="0"/>
        <w:jc w:val="center"/>
      </w:pPr>
    </w:p>
    <w:p w14:paraId="589A0C65" w14:textId="01C8D52C" w:rsidR="00703FD5" w:rsidRPr="009118AB" w:rsidRDefault="00703FD5" w:rsidP="00703FD5">
      <w:pPr>
        <w:autoSpaceDE w:val="0"/>
        <w:autoSpaceDN w:val="0"/>
        <w:adjustRightInd w:val="0"/>
        <w:jc w:val="both"/>
        <w:rPr>
          <w:i/>
          <w:iCs/>
        </w:rPr>
      </w:pPr>
      <w:r w:rsidRPr="009118AB">
        <w:rPr>
          <w:i/>
          <w:iCs/>
        </w:rPr>
        <w:t xml:space="preserve">[Unterteilung Unterabschnitt 3 eingefügt durch </w:t>
      </w:r>
      <w:r w:rsidR="00D67EB8" w:rsidRPr="009118AB">
        <w:rPr>
          <w:i/>
          <w:iCs/>
        </w:rPr>
        <w:t>Art. </w:t>
      </w:r>
      <w:r w:rsidRPr="009118AB">
        <w:rPr>
          <w:i/>
          <w:iCs/>
        </w:rPr>
        <w:t>55</w:t>
      </w:r>
      <w:r w:rsidRPr="009118AB">
        <w:rPr>
          <w:bCs/>
          <w:i/>
          <w:iCs/>
          <w:sz w:val="20"/>
          <w:szCs w:val="20"/>
        </w:rPr>
        <w:t xml:space="preserve"> </w:t>
      </w:r>
      <w:r w:rsidRPr="009118AB">
        <w:rPr>
          <w:bCs/>
          <w:i/>
          <w:iCs/>
        </w:rPr>
        <w:t>des G. vom 21. Januar 2022 (B.S. vom 28. Januar 2022)]</w:t>
      </w:r>
    </w:p>
    <w:p w14:paraId="3E997F57" w14:textId="77777777" w:rsidR="00703FD5" w:rsidRPr="009118AB" w:rsidRDefault="00703FD5" w:rsidP="00703FD5">
      <w:pPr>
        <w:autoSpaceDE w:val="0"/>
        <w:autoSpaceDN w:val="0"/>
        <w:adjustRightInd w:val="0"/>
        <w:jc w:val="center"/>
      </w:pPr>
    </w:p>
    <w:p w14:paraId="1E29B729" w14:textId="77777777" w:rsidR="00703FD5" w:rsidRPr="009118AB" w:rsidRDefault="00703FD5" w:rsidP="009D1768">
      <w:pPr>
        <w:autoSpaceDE w:val="0"/>
        <w:autoSpaceDN w:val="0"/>
        <w:adjustRightInd w:val="0"/>
        <w:jc w:val="both"/>
      </w:pPr>
    </w:p>
    <w:p w14:paraId="2968E1EF" w14:textId="5BBC97A1" w:rsidR="009D1768" w:rsidRPr="009118AB" w:rsidRDefault="009D1768" w:rsidP="00CB07FE">
      <w:pPr>
        <w:ind w:firstLine="708"/>
        <w:jc w:val="both"/>
      </w:pPr>
      <w:r w:rsidRPr="009118AB">
        <w:tab/>
        <w:t>[</w:t>
      </w:r>
      <w:r w:rsidRPr="009118AB">
        <w:rPr>
          <w:rFonts w:eastAsia="Calibri"/>
          <w:b/>
          <w:bCs/>
          <w:kern w:val="2"/>
          <w:szCs w:val="22"/>
          <w:lang w:eastAsia="en-US"/>
          <w14:ligatures w14:val="standardContextual"/>
        </w:rPr>
        <w:t>Art. 275</w:t>
      </w:r>
      <w:r w:rsidRPr="009118AB">
        <w:rPr>
          <w:rFonts w:eastAsia="Calibri"/>
          <w:b/>
          <w:bCs/>
          <w:kern w:val="2"/>
          <w:szCs w:val="22"/>
          <w:vertAlign w:val="superscript"/>
          <w:lang w:eastAsia="en-US"/>
          <w14:ligatures w14:val="standardContextual"/>
        </w:rPr>
        <w:t>0/1</w:t>
      </w:r>
      <w:r w:rsidRPr="009118AB">
        <w:rPr>
          <w:rFonts w:eastAsia="Calibri"/>
          <w:kern w:val="2"/>
          <w:szCs w:val="22"/>
          <w:lang w:eastAsia="en-US"/>
          <w14:ligatures w14:val="standardContextual"/>
        </w:rPr>
        <w:t xml:space="preserve"> - </w:t>
      </w:r>
      <w:r w:rsidR="00CB07FE" w:rsidRPr="009118AB">
        <w:rPr>
          <w:rFonts w:eastAsia="Calibri"/>
          <w:kern w:val="2"/>
          <w:szCs w:val="22"/>
          <w:lang w:eastAsia="en-US"/>
          <w14:ligatures w14:val="standardContextual"/>
        </w:rPr>
        <w:t>[</w:t>
      </w:r>
      <w:r w:rsidR="00CB07FE" w:rsidRPr="009118AB">
        <w:t>Für die Anwendung des vorliegenden Unterabschnitts gilt eine Arbeitgeberorganisation, die in Anwendung von Artikel 3</w:t>
      </w:r>
      <w:r w:rsidR="00CB07FE" w:rsidRPr="009118AB">
        <w:rPr>
          <w:i/>
          <w:iCs/>
        </w:rPr>
        <w:t>bis</w:t>
      </w:r>
      <w:r w:rsidR="00CB07FE" w:rsidRPr="009118AB">
        <w:t xml:space="preserve"> des Gesetzes vom 8. Juni 1972 über die Hafenarbeit für ein bestimmtes Hafengebiet vom König zugelassen ist, als Arbeitgeber aller in diesem Hafengebiet beschäftigten Hafenarbeiter, für die diese Organisation alle Verpflichtungen erfüllt, die sich aufgrund der individuellen und kollektiven Rechtsvorschriften über die Arbeit und der Rechtsvorschriften über die soziale Sicherheit aus der Beschäftigung dieser Hafenarbeiter ergeben.</w:t>
      </w:r>
      <w:r w:rsidR="00CB07FE" w:rsidRPr="009118AB">
        <w:rPr>
          <w:rFonts w:eastAsia="Calibri"/>
          <w:kern w:val="2"/>
          <w:szCs w:val="22"/>
          <w:lang w:eastAsia="en-US"/>
          <w14:ligatures w14:val="standardContextual"/>
        </w:rPr>
        <w:t>]</w:t>
      </w:r>
      <w:r w:rsidRPr="009118AB">
        <w:t>]</w:t>
      </w:r>
    </w:p>
    <w:p w14:paraId="2B0F8F27" w14:textId="77777777" w:rsidR="009D1768" w:rsidRPr="009118AB" w:rsidRDefault="009D1768" w:rsidP="009D1768">
      <w:pPr>
        <w:autoSpaceDE w:val="0"/>
        <w:autoSpaceDN w:val="0"/>
        <w:adjustRightInd w:val="0"/>
        <w:jc w:val="both"/>
      </w:pPr>
    </w:p>
    <w:p w14:paraId="535B4E0B" w14:textId="209C55C9" w:rsidR="009D1768" w:rsidRPr="009118AB" w:rsidRDefault="009D1768" w:rsidP="009D1768">
      <w:pPr>
        <w:autoSpaceDE w:val="0"/>
        <w:autoSpaceDN w:val="0"/>
        <w:adjustRightInd w:val="0"/>
        <w:jc w:val="both"/>
        <w:rPr>
          <w:i/>
          <w:iCs/>
        </w:rPr>
      </w:pPr>
      <w:r w:rsidRPr="009118AB">
        <w:rPr>
          <w:i/>
          <w:iCs/>
        </w:rPr>
        <w:t>[Art. 275</w:t>
      </w:r>
      <w:r w:rsidRPr="009118AB">
        <w:rPr>
          <w:i/>
          <w:iCs/>
          <w:vertAlign w:val="superscript"/>
        </w:rPr>
        <w:t>0/1</w:t>
      </w:r>
      <w:r w:rsidRPr="009118AB">
        <w:rPr>
          <w:i/>
          <w:iCs/>
        </w:rPr>
        <w:t xml:space="preserve"> eingefügt durch Art. 35 des G. vom 5. Juli 2022 (B.S. vom 15. Juli 2022)</w:t>
      </w:r>
      <w:r w:rsidR="00CB07FE" w:rsidRPr="009118AB">
        <w:rPr>
          <w:i/>
          <w:iCs/>
        </w:rPr>
        <w:t xml:space="preserve"> und ersetzt durch Art. 48 des G. vom 20. November 2022 (B.S. vom 30. November 2022) - anwendbar auf die ab dem 25. Juli 2022 gezahlten oder zuerkannten Entlohnungen -</w:t>
      </w:r>
      <w:r w:rsidRPr="009118AB">
        <w:rPr>
          <w:i/>
          <w:iCs/>
        </w:rPr>
        <w:t>]</w:t>
      </w:r>
    </w:p>
    <w:p w14:paraId="2FBB6131" w14:textId="77777777" w:rsidR="009D1768" w:rsidRPr="009118AB" w:rsidRDefault="009D1768" w:rsidP="009D1768">
      <w:pPr>
        <w:autoSpaceDE w:val="0"/>
        <w:autoSpaceDN w:val="0"/>
        <w:adjustRightInd w:val="0"/>
        <w:jc w:val="both"/>
      </w:pPr>
    </w:p>
    <w:p w14:paraId="6370B764" w14:textId="77777777" w:rsidR="009D1768" w:rsidRPr="009118AB" w:rsidRDefault="009D1768" w:rsidP="009D1768">
      <w:pPr>
        <w:autoSpaceDE w:val="0"/>
        <w:autoSpaceDN w:val="0"/>
        <w:adjustRightInd w:val="0"/>
        <w:jc w:val="both"/>
      </w:pPr>
    </w:p>
    <w:p w14:paraId="74E062F0" w14:textId="7DC616C8" w:rsidR="00592EFC" w:rsidRPr="009118AB" w:rsidRDefault="00793604" w:rsidP="00592EFC">
      <w:pPr>
        <w:autoSpaceDE w:val="0"/>
        <w:autoSpaceDN w:val="0"/>
        <w:adjustRightInd w:val="0"/>
        <w:jc w:val="both"/>
      </w:pPr>
      <w:r w:rsidRPr="009118AB">
        <w:tab/>
      </w:r>
      <w:r w:rsidR="00EC6C48" w:rsidRPr="009118AB">
        <w:t>[</w:t>
      </w:r>
      <w:r w:rsidR="00D67EB8" w:rsidRPr="009118AB">
        <w:rPr>
          <w:b/>
        </w:rPr>
        <w:t>Art. </w:t>
      </w:r>
      <w:r w:rsidR="00477B8F" w:rsidRPr="009118AB">
        <w:rPr>
          <w:b/>
        </w:rPr>
        <w:t>275</w:t>
      </w:r>
      <w:r w:rsidR="00477B8F" w:rsidRPr="009118AB">
        <w:rPr>
          <w:b/>
          <w:vertAlign w:val="superscript"/>
        </w:rPr>
        <w:t>1</w:t>
      </w:r>
      <w:r w:rsidR="00D67EB8" w:rsidRPr="009118AB">
        <w:t> - </w:t>
      </w:r>
      <w:r w:rsidR="00592EFC" w:rsidRPr="009118AB">
        <w:t xml:space="preserve">In Absatz 2 bestimmte Arbeitgeber, </w:t>
      </w:r>
      <w:r w:rsidR="00EE409A" w:rsidRPr="009118AB">
        <w:t xml:space="preserve">[die Entlohnungen zahlen oder zuerkennen in Bezug auf die von einem Arbeitnehmer geleistete Überarbeit, die gemäß Artikel 29 des Gesetzes vom 16. März 1971 über die Arbeit oder gemäß Artikel 7 des Königlichen Erlasses </w:t>
      </w:r>
      <w:r w:rsidR="00D67EB8" w:rsidRPr="009118AB">
        <w:t>Nr. </w:t>
      </w:r>
      <w:r w:rsidR="00EE409A" w:rsidRPr="009118AB">
        <w:t xml:space="preserve">213 vom 26. September 1983 über die Arbeitszeit in den </w:t>
      </w:r>
      <w:r w:rsidR="00EE409A" w:rsidRPr="009118AB">
        <w:lastRenderedPageBreak/>
        <w:t>Unternehmen, die der Paritätischen Kommission für das Bauwesen unterstehen, zu einer gesetzlichen Lohnzulage berechtigt, und die]</w:t>
      </w:r>
      <w:r w:rsidR="00592EFC" w:rsidRPr="009118AB">
        <w:t xml:space="preserve"> </w:t>
      </w:r>
      <w:r w:rsidR="003151C7" w:rsidRPr="009118AB">
        <w:t>[</w:t>
      </w:r>
      <w:r w:rsidR="00592EFC" w:rsidRPr="009118AB">
        <w:t xml:space="preserve">aufgrund von Artikel 270 </w:t>
      </w:r>
      <w:r w:rsidR="003151C7" w:rsidRPr="009118AB">
        <w:t xml:space="preserve">Absatz 1 </w:t>
      </w:r>
      <w:r w:rsidR="00D67EB8" w:rsidRPr="009118AB">
        <w:t>Nr. </w:t>
      </w:r>
      <w:r w:rsidR="00592EFC" w:rsidRPr="009118AB">
        <w:t>1</w:t>
      </w:r>
      <w:r w:rsidR="003151C7" w:rsidRPr="009118AB">
        <w:t>]</w:t>
      </w:r>
      <w:r w:rsidR="00592EFC" w:rsidRPr="009118AB">
        <w:t xml:space="preserve"> den Berufssteuervorabzug auf diese Entlohnungen schulden, sind davon befreit, der Staatskasse [einen Teil des Berufssteuervorabzugs zuzuführen, der auf steuer</w:t>
      </w:r>
      <w:r w:rsidR="00592EFC" w:rsidRPr="009118AB">
        <w:softHyphen/>
        <w:t xml:space="preserve">pflichtige Entlohnungen geschuldet wird, </w:t>
      </w:r>
      <w:r w:rsidR="00EE409A" w:rsidRPr="009118AB">
        <w:t>[in denen Entlohnungen in Bezug auf die von einem Arbeitnehmer geleistete Überarbeit]</w:t>
      </w:r>
      <w:r w:rsidR="00592EFC" w:rsidRPr="009118AB">
        <w:t xml:space="preserve"> enthalten sind], unter der Bedingung, dass sie die Gesamtheit des vorerwähnten Vorabzugs auf diese Entlohnungen einbehalten.</w:t>
      </w:r>
    </w:p>
    <w:p w14:paraId="5F4099A1" w14:textId="77777777" w:rsidR="00592EFC" w:rsidRPr="009118AB" w:rsidRDefault="00592EFC" w:rsidP="00592EFC">
      <w:pPr>
        <w:autoSpaceDE w:val="0"/>
        <w:autoSpaceDN w:val="0"/>
        <w:adjustRightInd w:val="0"/>
        <w:jc w:val="both"/>
      </w:pPr>
    </w:p>
    <w:p w14:paraId="4C52ACD9" w14:textId="77777777" w:rsidR="00592EFC" w:rsidRPr="009118AB" w:rsidRDefault="00793604" w:rsidP="00592EFC">
      <w:pPr>
        <w:autoSpaceDE w:val="0"/>
        <w:autoSpaceDN w:val="0"/>
        <w:adjustRightInd w:val="0"/>
        <w:jc w:val="both"/>
      </w:pPr>
      <w:r w:rsidRPr="009118AB">
        <w:tab/>
      </w:r>
      <w:r w:rsidR="00592EFC" w:rsidRPr="009118AB">
        <w:t>Die Bestimmungen des vorliegenden Artikels sind anwendbar auf:</w:t>
      </w:r>
    </w:p>
    <w:p w14:paraId="1ABDE83C" w14:textId="77777777" w:rsidR="00592EFC" w:rsidRPr="009118AB" w:rsidRDefault="00592EFC" w:rsidP="00592EFC">
      <w:pPr>
        <w:autoSpaceDE w:val="0"/>
        <w:autoSpaceDN w:val="0"/>
        <w:adjustRightInd w:val="0"/>
        <w:jc w:val="both"/>
      </w:pPr>
    </w:p>
    <w:p w14:paraId="028312C1" w14:textId="77777777" w:rsidR="00592EFC" w:rsidRPr="009118AB" w:rsidRDefault="00793604" w:rsidP="00592EFC">
      <w:pPr>
        <w:autoSpaceDE w:val="0"/>
        <w:autoSpaceDN w:val="0"/>
        <w:adjustRightInd w:val="0"/>
        <w:jc w:val="both"/>
      </w:pPr>
      <w:r w:rsidRPr="009118AB">
        <w:tab/>
      </w:r>
      <w:r w:rsidR="00592EFC" w:rsidRPr="009118AB">
        <w:t>- Arbeitgeber, die dem Gesetz vom 5. Dezember 1968 über die kollektiven Arbeitsabkommen und die paritätischen Kommissionen unterliegen, in Bezug auf Arbeitnehmer, die dem Gesetz vom 16. März 1971 über die Arbeit unterliegen und der in Artikel 330 des Programmgesetzes vom 24. Dezember 2002 erwähnten Kategorie 1 angehören,</w:t>
      </w:r>
    </w:p>
    <w:p w14:paraId="79731821" w14:textId="77777777" w:rsidR="00592EFC" w:rsidRPr="009118AB" w:rsidRDefault="00592EFC" w:rsidP="00592EFC">
      <w:pPr>
        <w:autoSpaceDE w:val="0"/>
        <w:autoSpaceDN w:val="0"/>
        <w:adjustRightInd w:val="0"/>
        <w:jc w:val="both"/>
      </w:pPr>
    </w:p>
    <w:p w14:paraId="4F7195A9" w14:textId="77777777" w:rsidR="00592EFC" w:rsidRPr="009118AB" w:rsidRDefault="00793604" w:rsidP="00592EFC">
      <w:pPr>
        <w:autoSpaceDE w:val="0"/>
        <w:autoSpaceDN w:val="0"/>
        <w:adjustRightInd w:val="0"/>
        <w:jc w:val="both"/>
      </w:pPr>
      <w:r w:rsidRPr="009118AB">
        <w:tab/>
      </w:r>
      <w:r w:rsidR="00592EFC" w:rsidRPr="009118AB">
        <w:t>- für Aushilfsarbeit zugelassene Unternehmen, die im ersten Gedankenstrich erwähnten Unternehmen Aushilfsarbeitnehmer zur Verfügung stellen, sofern diese Aushilfsarbeitnehmer in der Funktion eines Arbeitnehmers der Kategorie 1 beschäftigt werden und Überarbeit leisten,</w:t>
      </w:r>
    </w:p>
    <w:p w14:paraId="538765E9" w14:textId="77777777" w:rsidR="00592EFC" w:rsidRPr="009118AB" w:rsidRDefault="00592EFC" w:rsidP="00592EFC">
      <w:pPr>
        <w:autoSpaceDE w:val="0"/>
        <w:autoSpaceDN w:val="0"/>
        <w:adjustRightInd w:val="0"/>
        <w:jc w:val="both"/>
      </w:pPr>
    </w:p>
    <w:p w14:paraId="0C5D7C9B" w14:textId="33EBEDE1" w:rsidR="00592EFC" w:rsidRPr="009118AB" w:rsidRDefault="00793604" w:rsidP="00592EFC">
      <w:pPr>
        <w:autoSpaceDE w:val="0"/>
        <w:autoSpaceDN w:val="0"/>
        <w:adjustRightInd w:val="0"/>
        <w:jc w:val="both"/>
      </w:pPr>
      <w:r w:rsidRPr="009118AB">
        <w:tab/>
      </w:r>
      <w:r w:rsidR="00641F21" w:rsidRPr="009118AB">
        <w:t>[- [folgende autonome öffentliche Unternehmen: die öffentlich-rechtliche Aktien</w:t>
      </w:r>
      <w:r w:rsidR="00641F21" w:rsidRPr="009118AB">
        <w:softHyphen/>
        <w:t>gesellschaft Proximus und die öffentlich-rechtliche Aktiengesellschaft bpost,]</w:t>
      </w:r>
      <w:r w:rsidR="00592EFC" w:rsidRPr="009118AB">
        <w:t>]</w:t>
      </w:r>
    </w:p>
    <w:p w14:paraId="7981FB6E" w14:textId="77777777" w:rsidR="00592EFC" w:rsidRPr="009118AB" w:rsidRDefault="00592EFC" w:rsidP="00592EFC">
      <w:pPr>
        <w:autoSpaceDE w:val="0"/>
        <w:autoSpaceDN w:val="0"/>
        <w:adjustRightInd w:val="0"/>
        <w:jc w:val="both"/>
      </w:pPr>
    </w:p>
    <w:p w14:paraId="0A97A2DA" w14:textId="2F741193" w:rsidR="00111835" w:rsidRPr="009118AB" w:rsidRDefault="00111835" w:rsidP="00592EFC">
      <w:pPr>
        <w:autoSpaceDE w:val="0"/>
        <w:autoSpaceDN w:val="0"/>
        <w:adjustRightInd w:val="0"/>
        <w:jc w:val="both"/>
      </w:pPr>
      <w:r w:rsidRPr="009118AB">
        <w:tab/>
        <w:t>[- </w:t>
      </w:r>
      <w:r w:rsidR="00641F21" w:rsidRPr="009118AB">
        <w:t>[die öffentlich-rechtliche Aktiengesellschaft HR Rail mit Ausnahme des Personals, das sie der öffentlich-rechtlichen Aktiengesellschaft NGBE und der öffentlich-rechtlichen Aktiengesellschaft Infrabel im Rahmen deren Tätigkeiten als öffentlicher Dienst zur Verfügung stellt.]</w:t>
      </w:r>
      <w:r w:rsidRPr="009118AB">
        <w:t>]</w:t>
      </w:r>
    </w:p>
    <w:p w14:paraId="764F2A48" w14:textId="77777777" w:rsidR="00111835" w:rsidRPr="009118AB" w:rsidRDefault="00111835" w:rsidP="00592EFC">
      <w:pPr>
        <w:autoSpaceDE w:val="0"/>
        <w:autoSpaceDN w:val="0"/>
        <w:adjustRightInd w:val="0"/>
        <w:jc w:val="both"/>
      </w:pPr>
    </w:p>
    <w:p w14:paraId="561608FC" w14:textId="77777777" w:rsidR="00592EFC" w:rsidRPr="009118AB" w:rsidRDefault="00793604" w:rsidP="00592EFC">
      <w:pPr>
        <w:autoSpaceDE w:val="0"/>
        <w:autoSpaceDN w:val="0"/>
        <w:adjustRightInd w:val="0"/>
        <w:jc w:val="both"/>
      </w:pPr>
      <w:r w:rsidRPr="009118AB">
        <w:tab/>
      </w:r>
      <w:r w:rsidR="00592EFC" w:rsidRPr="009118AB">
        <w:t>Der Berufssteuervorabzug, der nicht gezahlt werden muss, beträgt 24,75 Prozent des Bruttobetrags der Entlohnungen, die als Berechnungsgrundlage für die Festlegung der Lohnzulage gedient haben.</w:t>
      </w:r>
    </w:p>
    <w:p w14:paraId="26639D11" w14:textId="77777777" w:rsidR="00592EFC" w:rsidRPr="009118AB" w:rsidRDefault="00592EFC" w:rsidP="00592EFC">
      <w:pPr>
        <w:autoSpaceDE w:val="0"/>
        <w:autoSpaceDN w:val="0"/>
        <w:adjustRightInd w:val="0"/>
        <w:jc w:val="both"/>
      </w:pPr>
    </w:p>
    <w:p w14:paraId="568D4FC5" w14:textId="77777777" w:rsidR="00592EFC" w:rsidRPr="009118AB" w:rsidRDefault="00793604" w:rsidP="00592EFC">
      <w:pPr>
        <w:autoSpaceDE w:val="0"/>
        <w:autoSpaceDN w:val="0"/>
        <w:adjustRightInd w:val="0"/>
        <w:jc w:val="both"/>
      </w:pPr>
      <w:r w:rsidRPr="009118AB">
        <w:tab/>
      </w:r>
      <w:r w:rsidR="00592EFC" w:rsidRPr="009118AB">
        <w:t>[Der König kann durch einen im Ministerrat beratenen Erlass den in Absatz 3 erwähnten Prozentsatz erhöhen auf höchstens:</w:t>
      </w:r>
    </w:p>
    <w:p w14:paraId="063A140F" w14:textId="77777777" w:rsidR="00592EFC" w:rsidRPr="009118AB" w:rsidRDefault="00592EFC" w:rsidP="00592EFC">
      <w:pPr>
        <w:autoSpaceDE w:val="0"/>
        <w:autoSpaceDN w:val="0"/>
        <w:adjustRightInd w:val="0"/>
        <w:jc w:val="both"/>
      </w:pPr>
    </w:p>
    <w:p w14:paraId="7D202E9B" w14:textId="77777777" w:rsidR="00592EFC" w:rsidRPr="009118AB" w:rsidRDefault="00793604" w:rsidP="00592EFC">
      <w:pPr>
        <w:autoSpaceDE w:val="0"/>
        <w:autoSpaceDN w:val="0"/>
        <w:adjustRightInd w:val="0"/>
        <w:jc w:val="both"/>
      </w:pPr>
      <w:r w:rsidRPr="009118AB">
        <w:tab/>
      </w:r>
      <w:r w:rsidR="00592EFC" w:rsidRPr="009118AB">
        <w:t>- 32,19 Prozent für geleistete Stunden, auf die eine gesetzliche Lohnzulage von 20 Prozent anwendbar ist,</w:t>
      </w:r>
    </w:p>
    <w:p w14:paraId="56A8E220" w14:textId="77777777" w:rsidR="00592EFC" w:rsidRPr="009118AB" w:rsidRDefault="00592EFC" w:rsidP="00592EFC">
      <w:pPr>
        <w:autoSpaceDE w:val="0"/>
        <w:autoSpaceDN w:val="0"/>
        <w:adjustRightInd w:val="0"/>
        <w:jc w:val="both"/>
      </w:pPr>
    </w:p>
    <w:p w14:paraId="27F7BC2B" w14:textId="77777777" w:rsidR="00592EFC" w:rsidRPr="009118AB" w:rsidRDefault="00793604" w:rsidP="00592EFC">
      <w:pPr>
        <w:autoSpaceDE w:val="0"/>
        <w:autoSpaceDN w:val="0"/>
        <w:adjustRightInd w:val="0"/>
        <w:jc w:val="both"/>
      </w:pPr>
      <w:r w:rsidRPr="009118AB">
        <w:tab/>
      </w:r>
      <w:r w:rsidR="00592EFC" w:rsidRPr="009118AB">
        <w:t>- 41,25 Prozent für geleistete Stunden, auf die eine gesetzliche Lohnzulage von 50 oder 100 Prozent anwendbar ist.]</w:t>
      </w:r>
    </w:p>
    <w:p w14:paraId="65FA8F97" w14:textId="77777777" w:rsidR="00592EFC" w:rsidRPr="009118AB" w:rsidRDefault="00592EFC" w:rsidP="00592EFC">
      <w:pPr>
        <w:autoSpaceDE w:val="0"/>
        <w:autoSpaceDN w:val="0"/>
        <w:adjustRightInd w:val="0"/>
        <w:jc w:val="both"/>
      </w:pPr>
    </w:p>
    <w:p w14:paraId="5863891E" w14:textId="439D8B60" w:rsidR="00592EFC" w:rsidRPr="009118AB" w:rsidRDefault="00793604" w:rsidP="00592EFC">
      <w:pPr>
        <w:autoSpaceDE w:val="0"/>
        <w:autoSpaceDN w:val="0"/>
        <w:adjustRightInd w:val="0"/>
        <w:jc w:val="both"/>
      </w:pPr>
      <w:r w:rsidRPr="009118AB">
        <w:tab/>
      </w:r>
      <w:r w:rsidR="00592EFC" w:rsidRPr="009118AB">
        <w:t>[</w:t>
      </w:r>
      <w:r w:rsidR="00016024" w:rsidRPr="009118AB">
        <w:t xml:space="preserve">Der König reicht bei der Abgeordnetenkammer, wenn sie versammelt ist, unverzüglich und sonst, sobald die nächste Sitzungsperiode eröffnet ist, einen Gesetzentwurf ein zur Bestätigung der Erlasse zur Ausführung des vorhergehenden Absatzes. Es wird davon ausgegangen, dass diese Erlasse nicht wirksam geworden sind, wenn sie nicht binnen zwölf Monaten nach dem Datum ihrer Veröffentlichung im </w:t>
      </w:r>
      <w:r w:rsidR="00016024" w:rsidRPr="009118AB">
        <w:rPr>
          <w:i/>
          <w:iCs/>
        </w:rPr>
        <w:t>Belgischen Staatsblatt</w:t>
      </w:r>
      <w:r w:rsidR="00016024" w:rsidRPr="009118AB">
        <w:t xml:space="preserve"> durch Gesetz bestätigt worden sind.</w:t>
      </w:r>
      <w:r w:rsidR="00592EFC" w:rsidRPr="009118AB">
        <w:t>]</w:t>
      </w:r>
    </w:p>
    <w:p w14:paraId="7D902800" w14:textId="77777777" w:rsidR="00592EFC" w:rsidRPr="009118AB" w:rsidRDefault="00592EFC" w:rsidP="00592EFC">
      <w:pPr>
        <w:autoSpaceDE w:val="0"/>
        <w:autoSpaceDN w:val="0"/>
        <w:adjustRightInd w:val="0"/>
        <w:jc w:val="both"/>
      </w:pPr>
    </w:p>
    <w:p w14:paraId="1E5B7B9E" w14:textId="77777777" w:rsidR="00592EFC" w:rsidRPr="009118AB" w:rsidRDefault="00793604" w:rsidP="00592EFC">
      <w:pPr>
        <w:autoSpaceDE w:val="0"/>
        <w:autoSpaceDN w:val="0"/>
        <w:adjustRightInd w:val="0"/>
        <w:jc w:val="both"/>
      </w:pPr>
      <w:r w:rsidRPr="009118AB">
        <w:tab/>
      </w:r>
      <w:r w:rsidR="00592EFC" w:rsidRPr="009118AB">
        <w:t>Die Befreiung gilt nur [für die ersten hundertdreißig Stunden] Überarbeit, die pro Jahr und Arbeitnehmer geleistet werden.</w:t>
      </w:r>
    </w:p>
    <w:p w14:paraId="36A21A5D" w14:textId="77777777" w:rsidR="00005AA3" w:rsidRPr="009118AB" w:rsidRDefault="00005AA3" w:rsidP="00592EFC">
      <w:pPr>
        <w:autoSpaceDE w:val="0"/>
        <w:autoSpaceDN w:val="0"/>
        <w:adjustRightInd w:val="0"/>
        <w:jc w:val="both"/>
      </w:pPr>
    </w:p>
    <w:p w14:paraId="4E0BA05D" w14:textId="6B092287" w:rsidR="00BD33B2" w:rsidRPr="009118AB" w:rsidRDefault="00BD33B2" w:rsidP="00592EFC">
      <w:pPr>
        <w:autoSpaceDE w:val="0"/>
        <w:autoSpaceDN w:val="0"/>
        <w:adjustRightInd w:val="0"/>
        <w:jc w:val="both"/>
      </w:pPr>
      <w:r w:rsidRPr="009118AB">
        <w:lastRenderedPageBreak/>
        <w:tab/>
        <w:t xml:space="preserve">[Die in Absatz 6 bestimmte Höchstanzahl von hundertdreißig Stunden Überarbeit wird auf hundertachtzig Stunden erhöht für Entlohnungen, die ab dem 1. Januar 2019 und bis zum 31. Dezember 2020 </w:t>
      </w:r>
      <w:r w:rsidR="00E712E1" w:rsidRPr="009118AB">
        <w:t xml:space="preserve">[und ab dem 1. Januar 2022 und </w:t>
      </w:r>
      <w:r w:rsidR="000D2B58" w:rsidRPr="009118AB">
        <w:t>[</w:t>
      </w:r>
      <w:r w:rsidR="00E712E1" w:rsidRPr="009118AB">
        <w:t>bis zum 31. Dezember 202</w:t>
      </w:r>
      <w:r w:rsidR="000D2B58" w:rsidRPr="009118AB">
        <w:t>4</w:t>
      </w:r>
      <w:r w:rsidR="00E712E1" w:rsidRPr="009118AB">
        <w:t xml:space="preserve">] </w:t>
      </w:r>
      <w:r w:rsidRPr="009118AB">
        <w:t xml:space="preserve">gezahlt oder zuerkannt werden. </w:t>
      </w:r>
      <w:r w:rsidR="00E712E1" w:rsidRPr="009118AB">
        <w:t>[...]</w:t>
      </w:r>
      <w:r w:rsidRPr="009118AB">
        <w:t>]</w:t>
      </w:r>
      <w:r w:rsidR="00E712E1" w:rsidRPr="009118AB">
        <w:t xml:space="preserve"> [Die in Absatz 6 bestimmte Höchstanzahl von hundertdreißig Stunden Überarbeit wird ebenfalls auf hundertachtzig Stunden erhöht für Entlohnungen, die 2021 gezahlt oder zuerkannt werden, sofern diese fünfzig zusätzlichen Stunden Überarbeit im Zeitraum vom 1. Juli 2021 bis zum 31. Dezember 2021 einschließlich geleistet werden; dies gilt auch </w:t>
      </w:r>
      <w:r w:rsidR="000D2B58" w:rsidRPr="009118AB">
        <w:t>[</w:t>
      </w:r>
      <w:r w:rsidR="00E712E1" w:rsidRPr="009118AB">
        <w:t>für Entlohnungen, die 202</w:t>
      </w:r>
      <w:r w:rsidR="000D2B58" w:rsidRPr="009118AB">
        <w:t>5</w:t>
      </w:r>
      <w:r w:rsidR="00E712E1" w:rsidRPr="009118AB">
        <w:t xml:space="preserve"> gezahlt oder zuerkannt werden,</w:t>
      </w:r>
      <w:r w:rsidR="000D2B58" w:rsidRPr="009118AB">
        <w:t>]</w:t>
      </w:r>
      <w:r w:rsidR="00E712E1" w:rsidRPr="009118AB">
        <w:t xml:space="preserve"> sofern sowohl das Grundkontingent von hundertdreißig Stunden als auch diese fünfzig zusätzlichen Stunden Überarbeit </w:t>
      </w:r>
      <w:r w:rsidR="000D2B58" w:rsidRPr="009118AB">
        <w:t>[</w:t>
      </w:r>
      <w:r w:rsidR="00E712E1" w:rsidRPr="009118AB">
        <w:t>im Zeitraum vom 1. Januar 202</w:t>
      </w:r>
      <w:r w:rsidR="000D2B58" w:rsidRPr="009118AB">
        <w:t>5</w:t>
      </w:r>
      <w:r w:rsidR="00E712E1" w:rsidRPr="009118AB">
        <w:t xml:space="preserve"> bis zum 30. Juni 202</w:t>
      </w:r>
      <w:r w:rsidR="000D2B58" w:rsidRPr="009118AB">
        <w:t>5]</w:t>
      </w:r>
      <w:r w:rsidR="00E712E1" w:rsidRPr="009118AB">
        <w:t xml:space="preserve"> einschließlich geleistet werden. Um zu bestimmen, ob es sich um die ersten hundertachtzig Stunden Überarbeit handelt, die 2021 geleistet werden, werden für die im Zeitraum vom 1. Januar 2021 bis zum 30. Juni 2021 geleisteten Stunden Überarbeit höchstens hundertdreißig Stunden berücksichtigt.]</w:t>
      </w:r>
    </w:p>
    <w:p w14:paraId="2E488942" w14:textId="77777777" w:rsidR="00BD33B2" w:rsidRPr="009118AB" w:rsidRDefault="00BD33B2" w:rsidP="00592EFC">
      <w:pPr>
        <w:autoSpaceDE w:val="0"/>
        <w:autoSpaceDN w:val="0"/>
        <w:adjustRightInd w:val="0"/>
        <w:jc w:val="both"/>
      </w:pPr>
    </w:p>
    <w:p w14:paraId="1369C44B" w14:textId="77777777" w:rsidR="00D67484" w:rsidRPr="00700308" w:rsidRDefault="00005AA3" w:rsidP="00D67484">
      <w:pPr>
        <w:ind w:firstLine="708"/>
        <w:jc w:val="both"/>
      </w:pPr>
      <w:r w:rsidRPr="009118AB">
        <w:t>[</w:t>
      </w:r>
      <w:r w:rsidR="00D67484" w:rsidRPr="00700308">
        <w:t>Die in Absatz 6 bestimmte Höchstanzahl von hundertdreißig Stunden Überarbeit wird erhöht auf:</w:t>
      </w:r>
    </w:p>
    <w:p w14:paraId="5B9C38E0" w14:textId="77777777" w:rsidR="00D67484" w:rsidRPr="00700308" w:rsidRDefault="00D67484" w:rsidP="00D67484">
      <w:pPr>
        <w:jc w:val="both"/>
      </w:pPr>
    </w:p>
    <w:p w14:paraId="133EDC18" w14:textId="77777777" w:rsidR="00D67484" w:rsidRPr="00700308" w:rsidRDefault="00D67484" w:rsidP="00D67484">
      <w:pPr>
        <w:ind w:firstLine="708"/>
        <w:jc w:val="both"/>
      </w:pPr>
      <w:r w:rsidRPr="00700308">
        <w:t>- hundertachtzig Stunden für Arbeitgeber, die Immobilienarbeiten ausführen, unter der Bedingung, dass diese Arbeitgeber ein elektronisches System zur Registrierung der Anwesenheiten benutzen, das in Kapitel 5 Abschnitt 4 des Gesetzes vom 4. August 1996 über das Wohlbefinden der Arbeitnehmer bei der Ausführung ihrer Arbeit erwähnt ist,</w:t>
      </w:r>
    </w:p>
    <w:p w14:paraId="6D8E3BB7" w14:textId="77777777" w:rsidR="00D67484" w:rsidRPr="00700308" w:rsidRDefault="00D67484" w:rsidP="00D67484">
      <w:pPr>
        <w:jc w:val="both"/>
      </w:pPr>
    </w:p>
    <w:p w14:paraId="03DA43F2" w14:textId="0495C1C3" w:rsidR="00902C7A" w:rsidRPr="009118AB" w:rsidRDefault="00D67484" w:rsidP="00D67484">
      <w:pPr>
        <w:ind w:firstLine="708"/>
        <w:jc w:val="both"/>
      </w:pPr>
      <w:r w:rsidRPr="00700308">
        <w:t>- zweihundertachtzig Stunden für Arbeitgeber, die hauptsächlich Straßenarbeiten - mit Ausnahme von Arbeiten zum Verlegen von unterirdischen Leitungen und Kabeln - oder Eisenbahnarbeiten ausführen und denen von den Behörden vorgeschrieben wird, am Wochenende, an Feiertagen oder nachts zu arbeiten, unter der Bedingung, dass diese Arbeitgeber ein elektronisches System zur Registrierung der Anwesenheiten benutzen, das in Kapitel 5 Abschnitt 4 des Gesetzes vom 4. August 1996 über das Wohlbefinden der Arbeitnehmer bei der Ausführung ihrer Arbeit erwähnt ist, und unter der Bedingung, dass die erhöhte Höchstanzahl nur für Arbeitnehmer angewandt wird, die während aller Überstunden, für die die Befreiung beantragt wird, tatsächlich Straßenarbeiten oder Eisenbahnarbeiten ausgeführt haben, für die die Behörden vorschreiben, dass am Wochenende, an Feiertagen oder nachts gearbeitet werden muss. Der König kann die Modalitäten für die Anwendung des vorliegenden Gedankenstrichs festlegen.</w:t>
      </w:r>
      <w:r w:rsidR="00902C7A" w:rsidRPr="009118AB">
        <w:t>]</w:t>
      </w:r>
    </w:p>
    <w:p w14:paraId="676D4C71" w14:textId="77777777" w:rsidR="00902C7A" w:rsidRPr="009118AB" w:rsidRDefault="00902C7A" w:rsidP="00902C7A">
      <w:pPr>
        <w:jc w:val="both"/>
      </w:pPr>
    </w:p>
    <w:p w14:paraId="671A675C" w14:textId="77777777" w:rsidR="00005AA3" w:rsidRPr="009118AB" w:rsidRDefault="00902C7A" w:rsidP="00902C7A">
      <w:pPr>
        <w:ind w:firstLine="708"/>
        <w:jc w:val="both"/>
      </w:pPr>
      <w:r w:rsidRPr="009118AB">
        <w:t>[Die in Absatz 6 bestimmte Höchstanzahl von hundertdreißig Stunden Überarbeit wird auf dreihundertsechzig Stunden erhöht für Arbeitgeber, die der Paritätischen Kommission für das Hotelgewerbe oder der Paritätischen Kommission für Leiharbeit unterstehen, sofern der Entleiher der Paritätischen Kommission für das Hotelgewerbe untersteht.</w:t>
      </w:r>
      <w:r w:rsidR="00005AA3" w:rsidRPr="009118AB">
        <w:t>]</w:t>
      </w:r>
    </w:p>
    <w:p w14:paraId="7AFC2C3B" w14:textId="77777777" w:rsidR="00592EFC" w:rsidRPr="009118AB" w:rsidRDefault="00592EFC" w:rsidP="00592EFC">
      <w:pPr>
        <w:autoSpaceDE w:val="0"/>
        <w:autoSpaceDN w:val="0"/>
        <w:adjustRightInd w:val="0"/>
        <w:jc w:val="both"/>
      </w:pPr>
    </w:p>
    <w:p w14:paraId="3739BE48" w14:textId="226CBBDD" w:rsidR="00592EFC" w:rsidRPr="009118AB" w:rsidRDefault="00793604" w:rsidP="00592EFC">
      <w:pPr>
        <w:autoSpaceDE w:val="0"/>
        <w:autoSpaceDN w:val="0"/>
        <w:adjustRightInd w:val="0"/>
        <w:jc w:val="both"/>
      </w:pPr>
      <w:r w:rsidRPr="009118AB">
        <w:tab/>
      </w:r>
      <w:r w:rsidR="00592EFC" w:rsidRPr="009118AB">
        <w:t xml:space="preserve">Um die in Absatz 1 erwähnte Befreiung von der Zahlung des Berufssteuervorabzugs zu erhalten, muss der Arbeitgeber bei seiner Erklärung zum Berufssteuervorabzug den Nachweis erbringen, dass die Arbeitnehmer, für die die Befreiung beantragt wird, in dem Zeitraum, auf den die Erklärung zum Berufssteuervorabzug sich bezieht, </w:t>
      </w:r>
      <w:r w:rsidR="00EE409A" w:rsidRPr="009118AB">
        <w:t>[Überarbeit geleistet haben, die gemäß Absatz 1 zu einer gesetzlichen Lohnzulage berechtigt]</w:t>
      </w:r>
      <w:r w:rsidR="00592EFC" w:rsidRPr="009118AB">
        <w:t>. Der König bestimmt die Modalitäten für die Erbringung dieses Nachweises.]</w:t>
      </w:r>
    </w:p>
    <w:p w14:paraId="3D45AAE5" w14:textId="77777777" w:rsidR="00902C7A" w:rsidRPr="009118AB" w:rsidRDefault="00902C7A" w:rsidP="00592EFC">
      <w:pPr>
        <w:autoSpaceDE w:val="0"/>
        <w:autoSpaceDN w:val="0"/>
        <w:adjustRightInd w:val="0"/>
        <w:jc w:val="both"/>
      </w:pPr>
    </w:p>
    <w:p w14:paraId="34B9EBC2" w14:textId="132317A0" w:rsidR="00902C7A" w:rsidRPr="009118AB" w:rsidRDefault="00902C7A" w:rsidP="00592EFC">
      <w:pPr>
        <w:autoSpaceDE w:val="0"/>
        <w:autoSpaceDN w:val="0"/>
        <w:adjustRightInd w:val="0"/>
        <w:jc w:val="both"/>
      </w:pPr>
      <w:r w:rsidRPr="009118AB">
        <w:tab/>
        <w:t xml:space="preserve">[Die Befreiung von der Zahlung des Berufssteuervorabzugs ist nicht auf Überarbeit anwendbar, die für die Anwendung von Artikel 38 </w:t>
      </w:r>
      <w:r w:rsidR="00D67EB8" w:rsidRPr="009118AB">
        <w:t>§ </w:t>
      </w:r>
      <w:r w:rsidRPr="009118AB">
        <w:t xml:space="preserve">1 Absatz 1 </w:t>
      </w:r>
      <w:r w:rsidR="00D67EB8" w:rsidRPr="009118AB">
        <w:t>Nr. </w:t>
      </w:r>
      <w:r w:rsidRPr="009118AB">
        <w:t>30 in Betracht kommt.]</w:t>
      </w:r>
    </w:p>
    <w:p w14:paraId="5B963FC6" w14:textId="77777777" w:rsidR="00592EFC" w:rsidRPr="009118AB" w:rsidRDefault="00592EFC" w:rsidP="00592EFC">
      <w:pPr>
        <w:autoSpaceDE w:val="0"/>
        <w:autoSpaceDN w:val="0"/>
        <w:adjustRightInd w:val="0"/>
        <w:jc w:val="both"/>
      </w:pPr>
    </w:p>
    <w:p w14:paraId="541C60C2" w14:textId="53A310CB" w:rsidR="00BD33B2" w:rsidRPr="009118AB" w:rsidRDefault="00BD33B2" w:rsidP="00592EFC">
      <w:pPr>
        <w:autoSpaceDE w:val="0"/>
        <w:autoSpaceDN w:val="0"/>
        <w:adjustRightInd w:val="0"/>
        <w:jc w:val="both"/>
      </w:pPr>
      <w:r w:rsidRPr="009118AB">
        <w:tab/>
        <w:t>[</w:t>
      </w:r>
      <w:r w:rsidR="00E712E1" w:rsidRPr="009118AB">
        <w:t>..</w:t>
      </w:r>
      <w:r w:rsidRPr="009118AB">
        <w:t>.]</w:t>
      </w:r>
    </w:p>
    <w:p w14:paraId="7DD12C26" w14:textId="77777777" w:rsidR="00BD33B2" w:rsidRPr="009118AB" w:rsidRDefault="00BD33B2" w:rsidP="00592EFC">
      <w:pPr>
        <w:autoSpaceDE w:val="0"/>
        <w:autoSpaceDN w:val="0"/>
        <w:adjustRightInd w:val="0"/>
        <w:jc w:val="both"/>
      </w:pPr>
    </w:p>
    <w:p w14:paraId="2E198804" w14:textId="08BD3DB9" w:rsidR="00592EFC" w:rsidRPr="009118AB" w:rsidRDefault="00592EFC" w:rsidP="00592EFC">
      <w:pPr>
        <w:autoSpaceDE w:val="0"/>
        <w:autoSpaceDN w:val="0"/>
        <w:adjustRightInd w:val="0"/>
        <w:jc w:val="both"/>
        <w:rPr>
          <w:spacing w:val="2"/>
        </w:rPr>
      </w:pPr>
      <w:r w:rsidRPr="009118AB">
        <w:rPr>
          <w:i/>
          <w:iCs/>
          <w:spacing w:val="2"/>
        </w:rPr>
        <w:t>[</w:t>
      </w:r>
      <w:r w:rsidR="00D67EB8" w:rsidRPr="009118AB">
        <w:rPr>
          <w:i/>
          <w:iCs/>
          <w:spacing w:val="2"/>
        </w:rPr>
        <w:t>Art. </w:t>
      </w:r>
      <w:r w:rsidRPr="009118AB">
        <w:rPr>
          <w:i/>
          <w:iCs/>
          <w:spacing w:val="2"/>
        </w:rPr>
        <w:t>275</w:t>
      </w:r>
      <w:r w:rsidRPr="009118AB">
        <w:rPr>
          <w:i/>
          <w:iCs/>
          <w:spacing w:val="2"/>
          <w:vertAlign w:val="superscript"/>
        </w:rPr>
        <w:t>1</w:t>
      </w:r>
      <w:r w:rsidRPr="009118AB">
        <w:rPr>
          <w:i/>
          <w:iCs/>
          <w:spacing w:val="2"/>
        </w:rPr>
        <w:t xml:space="preserve"> eingefügt durch </w:t>
      </w:r>
      <w:r w:rsidR="00D67EB8" w:rsidRPr="009118AB">
        <w:rPr>
          <w:i/>
          <w:iCs/>
          <w:spacing w:val="2"/>
        </w:rPr>
        <w:t>Art. </w:t>
      </w:r>
      <w:r w:rsidRPr="009118AB">
        <w:rPr>
          <w:i/>
          <w:iCs/>
          <w:spacing w:val="2"/>
        </w:rPr>
        <w:t>25 des G. vom 3. Juli </w:t>
      </w:r>
      <w:r w:rsidR="004F7F42" w:rsidRPr="009118AB">
        <w:rPr>
          <w:i/>
          <w:iCs/>
          <w:spacing w:val="2"/>
        </w:rPr>
        <w:t>2005 (B.S. vom 19. Juli 2005)</w:t>
      </w:r>
      <w:r w:rsidR="00D67EB8" w:rsidRPr="009118AB">
        <w:rPr>
          <w:i/>
          <w:iCs/>
          <w:spacing w:val="2"/>
        </w:rPr>
        <w:t> - </w:t>
      </w:r>
      <w:r w:rsidRPr="009118AB">
        <w:rPr>
          <w:i/>
          <w:iCs/>
          <w:spacing w:val="2"/>
        </w:rPr>
        <w:t>anwendbar auf Schicht- und Nachtarbeitszulagen und auf Entlohnungen in Bezug auf Überarbeit, die ab dem 1. Juli 2005 gezahlt oder zuerkannt werden</w:t>
      </w:r>
      <w:r w:rsidR="003366D9" w:rsidRPr="009118AB">
        <w:rPr>
          <w:i/>
          <w:iCs/>
          <w:spacing w:val="2"/>
        </w:rPr>
        <w:t> -;</w:t>
      </w:r>
      <w:r w:rsidRPr="009118AB">
        <w:rPr>
          <w:i/>
          <w:iCs/>
          <w:spacing w:val="2"/>
        </w:rPr>
        <w:t xml:space="preserve"> </w:t>
      </w:r>
      <w:r w:rsidR="00D67EB8" w:rsidRPr="009118AB">
        <w:rPr>
          <w:i/>
          <w:iCs/>
          <w:spacing w:val="2"/>
        </w:rPr>
        <w:t>Abs. </w:t>
      </w:r>
      <w:r w:rsidRPr="009118AB">
        <w:rPr>
          <w:i/>
          <w:iCs/>
          <w:spacing w:val="2"/>
        </w:rPr>
        <w:t xml:space="preserve">1 abgeändert durch </w:t>
      </w:r>
      <w:r w:rsidR="00D67EB8" w:rsidRPr="009118AB">
        <w:rPr>
          <w:i/>
          <w:iCs/>
          <w:spacing w:val="2"/>
        </w:rPr>
        <w:t>Art. </w:t>
      </w:r>
      <w:r w:rsidRPr="009118AB">
        <w:rPr>
          <w:i/>
          <w:iCs/>
          <w:spacing w:val="2"/>
        </w:rPr>
        <w:t>126 des G. (I) vom 22. Dezember 2008 (II)</w:t>
      </w:r>
      <w:r w:rsidR="004F7F42" w:rsidRPr="009118AB">
        <w:rPr>
          <w:i/>
          <w:iCs/>
          <w:spacing w:val="2"/>
        </w:rPr>
        <w:t xml:space="preserve"> (B.S. vom 29. Dezember 2008)</w:t>
      </w:r>
      <w:r w:rsidR="00D67EB8" w:rsidRPr="009118AB">
        <w:rPr>
          <w:i/>
          <w:iCs/>
          <w:spacing w:val="2"/>
        </w:rPr>
        <w:t> - </w:t>
      </w:r>
      <w:r w:rsidRPr="009118AB">
        <w:rPr>
          <w:rFonts w:ascii="Times New Roman Italique" w:hAnsi="Times New Roman Italique"/>
          <w:i/>
          <w:iCs/>
        </w:rPr>
        <w:t>anwendbar auf die ab dem 1. Januar 2008 gezahlten oder zuerkannten Entlohnungen</w:t>
      </w:r>
      <w:r w:rsidR="00FD68E8" w:rsidRPr="009118AB">
        <w:rPr>
          <w:rFonts w:ascii="Times New Roman Italique" w:hAnsi="Times New Roman Italique"/>
          <w:i/>
          <w:iCs/>
        </w:rPr>
        <w:t> -,</w:t>
      </w:r>
      <w:r w:rsidR="003151C7" w:rsidRPr="009118AB">
        <w:rPr>
          <w:rFonts w:ascii="Times New Roman Italique" w:hAnsi="Times New Roman Italique"/>
          <w:i/>
          <w:iCs/>
        </w:rPr>
        <w:t xml:space="preserve"> </w:t>
      </w:r>
      <w:r w:rsidR="00D67EB8" w:rsidRPr="009118AB">
        <w:rPr>
          <w:rFonts w:ascii="Times New Roman Italique" w:hAnsi="Times New Roman Italique"/>
          <w:i/>
          <w:iCs/>
        </w:rPr>
        <w:t>Art. </w:t>
      </w:r>
      <w:r w:rsidR="003151C7" w:rsidRPr="009118AB">
        <w:rPr>
          <w:rFonts w:ascii="Times New Roman Italique" w:hAnsi="Times New Roman Italique"/>
          <w:i/>
          <w:iCs/>
        </w:rPr>
        <w:t>10</w:t>
      </w:r>
      <w:r w:rsidR="003151C7" w:rsidRPr="009118AB">
        <w:rPr>
          <w:rFonts w:ascii="Times New Roman Italique" w:hAnsi="Times New Roman Italique"/>
          <w:i/>
        </w:rPr>
        <w:t xml:space="preserve"> des G. vom 11. Februar 2019 (B.S. vom 22. März 2019)</w:t>
      </w:r>
      <w:r w:rsidR="00D67EB8" w:rsidRPr="009118AB">
        <w:rPr>
          <w:rFonts w:ascii="Times New Roman Italique" w:hAnsi="Times New Roman Italique"/>
          <w:i/>
        </w:rPr>
        <w:t> - </w:t>
      </w:r>
      <w:r w:rsidR="003151C7" w:rsidRPr="009118AB">
        <w:rPr>
          <w:rFonts w:ascii="Times New Roman Italique" w:hAnsi="Times New Roman Italique"/>
          <w:i/>
        </w:rPr>
        <w:t>in Kraft am 1. März 2019 und anwendbar auf die ab dem 1. März 2019 gezahlten oder zuerkannten Entlohnungen</w:t>
      </w:r>
      <w:r w:rsidR="00D67EB8" w:rsidRPr="009118AB">
        <w:rPr>
          <w:rFonts w:ascii="Times New Roman Italique" w:hAnsi="Times New Roman Italique"/>
          <w:i/>
        </w:rPr>
        <w:t> - </w:t>
      </w:r>
      <w:r w:rsidR="00EE409A" w:rsidRPr="009118AB">
        <w:rPr>
          <w:rFonts w:ascii="Times New Roman Italique" w:hAnsi="Times New Roman Italique"/>
          <w:i/>
        </w:rPr>
        <w:t xml:space="preserve">und </w:t>
      </w:r>
      <w:r w:rsidR="00D67EB8" w:rsidRPr="009118AB">
        <w:rPr>
          <w:rFonts w:ascii="Times New Roman Italique" w:hAnsi="Times New Roman Italique"/>
          <w:i/>
        </w:rPr>
        <w:t>Art. </w:t>
      </w:r>
      <w:r w:rsidR="00EE409A" w:rsidRPr="009118AB">
        <w:rPr>
          <w:rFonts w:ascii="Times New Roman Italique" w:hAnsi="Times New Roman Italique"/>
          <w:i/>
        </w:rPr>
        <w:t xml:space="preserve">6 </w:t>
      </w:r>
      <w:r w:rsidR="00D67EB8" w:rsidRPr="009118AB">
        <w:rPr>
          <w:rFonts w:ascii="Times New Roman Italique" w:hAnsi="Times New Roman Italique"/>
          <w:i/>
        </w:rPr>
        <w:t>Nr. </w:t>
      </w:r>
      <w:r w:rsidR="00EE409A" w:rsidRPr="009118AB">
        <w:rPr>
          <w:rFonts w:ascii="Times New Roman Italique" w:hAnsi="Times New Roman Italique"/>
          <w:i/>
        </w:rPr>
        <w:t>1 des G. vom 28. März 2022 (B.S. vom 31. März 2022)</w:t>
      </w:r>
      <w:r w:rsidRPr="009118AB">
        <w:rPr>
          <w:rFonts w:ascii="Times New Roman Italique" w:hAnsi="Times New Roman Italique"/>
          <w:i/>
          <w:iCs/>
        </w:rPr>
        <w:t>;</w:t>
      </w:r>
      <w:r w:rsidRPr="009118AB">
        <w:rPr>
          <w:i/>
          <w:iCs/>
          <w:spacing w:val="2"/>
        </w:rPr>
        <w:t xml:space="preserve"> </w:t>
      </w:r>
      <w:r w:rsidR="00D67EB8" w:rsidRPr="009118AB">
        <w:rPr>
          <w:i/>
          <w:iCs/>
          <w:spacing w:val="2"/>
        </w:rPr>
        <w:t>Abs. </w:t>
      </w:r>
      <w:r w:rsidRPr="009118AB">
        <w:rPr>
          <w:i/>
          <w:iCs/>
          <w:spacing w:val="2"/>
        </w:rPr>
        <w:t xml:space="preserve">2 dritter Gedankenstrich eingefügt durch </w:t>
      </w:r>
      <w:r w:rsidR="00D67EB8" w:rsidRPr="009118AB">
        <w:rPr>
          <w:i/>
          <w:iCs/>
          <w:spacing w:val="2"/>
        </w:rPr>
        <w:t>Art. </w:t>
      </w:r>
      <w:r w:rsidRPr="009118AB">
        <w:rPr>
          <w:i/>
          <w:iCs/>
          <w:spacing w:val="2"/>
        </w:rPr>
        <w:t xml:space="preserve">15 </w:t>
      </w:r>
      <w:r w:rsidR="00D67EB8" w:rsidRPr="009118AB">
        <w:rPr>
          <w:i/>
          <w:iCs/>
          <w:spacing w:val="2"/>
        </w:rPr>
        <w:t>Nr. </w:t>
      </w:r>
      <w:r w:rsidRPr="009118AB">
        <w:rPr>
          <w:i/>
          <w:iCs/>
          <w:spacing w:val="2"/>
        </w:rPr>
        <w:t>1 des G. vom 27. März 2009 (B.S. vom 7. April 2009)</w:t>
      </w:r>
      <w:r w:rsidR="00D67EB8" w:rsidRPr="009118AB">
        <w:rPr>
          <w:i/>
          <w:iCs/>
          <w:spacing w:val="2"/>
        </w:rPr>
        <w:t> - </w:t>
      </w:r>
      <w:r w:rsidRPr="009118AB">
        <w:rPr>
          <w:i/>
          <w:iCs/>
          <w:spacing w:val="2"/>
        </w:rPr>
        <w:t>in Kraft mit 1. Januar 2009</w:t>
      </w:r>
      <w:r w:rsidR="00D67EB8" w:rsidRPr="009118AB">
        <w:rPr>
          <w:i/>
          <w:iCs/>
          <w:spacing w:val="2"/>
        </w:rPr>
        <w:t> - </w:t>
      </w:r>
      <w:r w:rsidRPr="009118AB">
        <w:rPr>
          <w:i/>
          <w:iCs/>
          <w:spacing w:val="2"/>
        </w:rPr>
        <w:t xml:space="preserve">und </w:t>
      </w:r>
      <w:r w:rsidR="00B11499" w:rsidRPr="009118AB">
        <w:rPr>
          <w:i/>
          <w:iCs/>
          <w:spacing w:val="2"/>
        </w:rPr>
        <w:t xml:space="preserve">ersetzt durch </w:t>
      </w:r>
      <w:r w:rsidR="00D67EB8" w:rsidRPr="009118AB">
        <w:rPr>
          <w:i/>
          <w:iCs/>
          <w:spacing w:val="2"/>
        </w:rPr>
        <w:t>Art. </w:t>
      </w:r>
      <w:r w:rsidR="00B11499" w:rsidRPr="009118AB">
        <w:rPr>
          <w:i/>
          <w:iCs/>
          <w:spacing w:val="2"/>
        </w:rPr>
        <w:t xml:space="preserve">4 </w:t>
      </w:r>
      <w:r w:rsidR="00D67EB8" w:rsidRPr="009118AB">
        <w:rPr>
          <w:i/>
          <w:iCs/>
          <w:spacing w:val="2"/>
        </w:rPr>
        <w:t>Nr. </w:t>
      </w:r>
      <w:r w:rsidR="00B11499" w:rsidRPr="009118AB">
        <w:rPr>
          <w:i/>
          <w:iCs/>
          <w:spacing w:val="2"/>
        </w:rPr>
        <w:t>1 des G. vom 2</w:t>
      </w:r>
      <w:r w:rsidR="00306781" w:rsidRPr="009118AB">
        <w:rPr>
          <w:i/>
          <w:iCs/>
          <w:spacing w:val="2"/>
        </w:rPr>
        <w:t>8</w:t>
      </w:r>
      <w:r w:rsidR="00B11499" w:rsidRPr="009118AB">
        <w:rPr>
          <w:i/>
          <w:iCs/>
          <w:spacing w:val="2"/>
        </w:rPr>
        <w:t xml:space="preserve">. April 2019 (B.S. vom </w:t>
      </w:r>
      <w:r w:rsidR="00306781" w:rsidRPr="009118AB">
        <w:rPr>
          <w:i/>
          <w:iCs/>
          <w:spacing w:val="2"/>
        </w:rPr>
        <w:t>6</w:t>
      </w:r>
      <w:r w:rsidR="00B11499" w:rsidRPr="009118AB">
        <w:rPr>
          <w:i/>
          <w:iCs/>
          <w:spacing w:val="2"/>
        </w:rPr>
        <w:t>. Mai 2019)</w:t>
      </w:r>
      <w:r w:rsidR="00D67EB8" w:rsidRPr="009118AB">
        <w:rPr>
          <w:i/>
          <w:iCs/>
          <w:spacing w:val="2"/>
        </w:rPr>
        <w:t> - </w:t>
      </w:r>
      <w:r w:rsidR="00B11499" w:rsidRPr="009118AB">
        <w:rPr>
          <w:i/>
          <w:iCs/>
          <w:spacing w:val="2"/>
        </w:rPr>
        <w:t>anwendbar auf die ab dem 1. Januar 2017 gezahlten oder zuerkannten Entlohnungen</w:t>
      </w:r>
      <w:r w:rsidR="003366D9" w:rsidRPr="009118AB">
        <w:rPr>
          <w:i/>
          <w:iCs/>
          <w:spacing w:val="2"/>
        </w:rPr>
        <w:t> -;</w:t>
      </w:r>
      <w:r w:rsidRPr="009118AB">
        <w:rPr>
          <w:i/>
          <w:iCs/>
          <w:spacing w:val="2"/>
        </w:rPr>
        <w:t xml:space="preserve"> </w:t>
      </w:r>
      <w:r w:rsidR="00D67EB8" w:rsidRPr="009118AB">
        <w:rPr>
          <w:i/>
          <w:iCs/>
          <w:spacing w:val="2"/>
        </w:rPr>
        <w:t>Abs. </w:t>
      </w:r>
      <w:r w:rsidR="00111835" w:rsidRPr="009118AB">
        <w:rPr>
          <w:i/>
          <w:iCs/>
          <w:spacing w:val="2"/>
        </w:rPr>
        <w:t xml:space="preserve">2 vierter Gedankenstrich eingefügt durch </w:t>
      </w:r>
      <w:r w:rsidR="00D67EB8" w:rsidRPr="009118AB">
        <w:rPr>
          <w:i/>
          <w:iCs/>
          <w:spacing w:val="2"/>
        </w:rPr>
        <w:t>Art. </w:t>
      </w:r>
      <w:r w:rsidR="00111835" w:rsidRPr="009118AB">
        <w:rPr>
          <w:i/>
          <w:iCs/>
          <w:spacing w:val="2"/>
        </w:rPr>
        <w:t xml:space="preserve">70 </w:t>
      </w:r>
      <w:r w:rsidR="00D67EB8" w:rsidRPr="009118AB">
        <w:rPr>
          <w:i/>
          <w:iCs/>
          <w:spacing w:val="2"/>
        </w:rPr>
        <w:t>Nr. </w:t>
      </w:r>
      <w:r w:rsidR="00111835" w:rsidRPr="009118AB">
        <w:rPr>
          <w:i/>
          <w:iCs/>
          <w:spacing w:val="2"/>
        </w:rPr>
        <w:t>2 des K.E. vom 11. Dezember 2013 (B.S. vom 16. Dezember 201</w:t>
      </w:r>
      <w:r w:rsidR="00B11499" w:rsidRPr="009118AB">
        <w:rPr>
          <w:i/>
          <w:iCs/>
          <w:spacing w:val="2"/>
        </w:rPr>
        <w:t>3)</w:t>
      </w:r>
      <w:r w:rsidR="00D67EB8" w:rsidRPr="009118AB">
        <w:rPr>
          <w:i/>
          <w:iCs/>
          <w:spacing w:val="2"/>
        </w:rPr>
        <w:t> - </w:t>
      </w:r>
      <w:r w:rsidR="00B11499" w:rsidRPr="009118AB">
        <w:rPr>
          <w:i/>
          <w:iCs/>
          <w:spacing w:val="2"/>
        </w:rPr>
        <w:t>in Kraft am 1. Januar 2014</w:t>
      </w:r>
      <w:r w:rsidR="00D67EB8" w:rsidRPr="009118AB">
        <w:rPr>
          <w:i/>
          <w:iCs/>
          <w:spacing w:val="2"/>
        </w:rPr>
        <w:t> - </w:t>
      </w:r>
      <w:r w:rsidR="00B11499" w:rsidRPr="009118AB">
        <w:rPr>
          <w:i/>
          <w:iCs/>
          <w:spacing w:val="2"/>
        </w:rPr>
        <w:t xml:space="preserve">und ersetzt durch </w:t>
      </w:r>
      <w:r w:rsidR="00D67EB8" w:rsidRPr="009118AB">
        <w:rPr>
          <w:i/>
          <w:iCs/>
          <w:spacing w:val="2"/>
        </w:rPr>
        <w:t>Art. </w:t>
      </w:r>
      <w:r w:rsidR="00B11499" w:rsidRPr="009118AB">
        <w:rPr>
          <w:i/>
          <w:iCs/>
          <w:spacing w:val="2"/>
        </w:rPr>
        <w:t xml:space="preserve">4 </w:t>
      </w:r>
      <w:r w:rsidR="00D67EB8" w:rsidRPr="009118AB">
        <w:rPr>
          <w:i/>
          <w:iCs/>
          <w:spacing w:val="2"/>
        </w:rPr>
        <w:t>Nr. </w:t>
      </w:r>
      <w:r w:rsidR="00B11499" w:rsidRPr="009118AB">
        <w:rPr>
          <w:i/>
          <w:iCs/>
          <w:spacing w:val="2"/>
        </w:rPr>
        <w:t>2 des G. vom 2</w:t>
      </w:r>
      <w:r w:rsidR="00306781" w:rsidRPr="009118AB">
        <w:rPr>
          <w:i/>
          <w:iCs/>
          <w:spacing w:val="2"/>
        </w:rPr>
        <w:t>8</w:t>
      </w:r>
      <w:r w:rsidR="00B11499" w:rsidRPr="009118AB">
        <w:rPr>
          <w:i/>
          <w:iCs/>
          <w:spacing w:val="2"/>
        </w:rPr>
        <w:t xml:space="preserve">. April 2019 (B.S. vom </w:t>
      </w:r>
      <w:r w:rsidR="00306781" w:rsidRPr="009118AB">
        <w:rPr>
          <w:i/>
          <w:iCs/>
          <w:spacing w:val="2"/>
        </w:rPr>
        <w:t>6</w:t>
      </w:r>
      <w:r w:rsidR="00B11499" w:rsidRPr="009118AB">
        <w:rPr>
          <w:i/>
          <w:iCs/>
          <w:spacing w:val="2"/>
        </w:rPr>
        <w:t>. Mai 2019)</w:t>
      </w:r>
      <w:r w:rsidR="00D67EB8" w:rsidRPr="009118AB">
        <w:rPr>
          <w:i/>
          <w:iCs/>
          <w:spacing w:val="2"/>
        </w:rPr>
        <w:t> - </w:t>
      </w:r>
      <w:r w:rsidR="00B11499" w:rsidRPr="009118AB">
        <w:rPr>
          <w:i/>
          <w:iCs/>
          <w:spacing w:val="2"/>
        </w:rPr>
        <w:t>anwendbar auf die ab dem 1. Januar 2017 gezahlten oder zuerkannten Entlohnungen</w:t>
      </w:r>
      <w:r w:rsidR="003366D9" w:rsidRPr="009118AB">
        <w:rPr>
          <w:i/>
          <w:iCs/>
          <w:spacing w:val="2"/>
        </w:rPr>
        <w:t> -;</w:t>
      </w:r>
      <w:r w:rsidR="00111835" w:rsidRPr="009118AB">
        <w:rPr>
          <w:i/>
          <w:iCs/>
          <w:spacing w:val="2"/>
        </w:rPr>
        <w:t xml:space="preserve"> </w:t>
      </w:r>
      <w:r w:rsidRPr="009118AB">
        <w:rPr>
          <w:i/>
          <w:iCs/>
          <w:spacing w:val="2"/>
        </w:rPr>
        <w:t xml:space="preserve">neuer Absatz 4 eingefügt durch </w:t>
      </w:r>
      <w:r w:rsidR="00D67EB8" w:rsidRPr="009118AB">
        <w:rPr>
          <w:i/>
          <w:iCs/>
          <w:spacing w:val="2"/>
        </w:rPr>
        <w:t>Art. </w:t>
      </w:r>
      <w:r w:rsidRPr="009118AB">
        <w:rPr>
          <w:i/>
          <w:iCs/>
          <w:spacing w:val="2"/>
        </w:rPr>
        <w:t>29 des G.</w:t>
      </w:r>
      <w:r w:rsidR="003151C7" w:rsidRPr="009118AB">
        <w:rPr>
          <w:i/>
          <w:iCs/>
          <w:spacing w:val="2"/>
        </w:rPr>
        <w:t> </w:t>
      </w:r>
      <w:r w:rsidRPr="009118AB">
        <w:rPr>
          <w:i/>
          <w:iCs/>
          <w:spacing w:val="2"/>
        </w:rPr>
        <w:t>(I) vom 27. Dezember 2006</w:t>
      </w:r>
      <w:r w:rsidR="00B02C87" w:rsidRPr="009118AB">
        <w:rPr>
          <w:i/>
          <w:iCs/>
          <w:spacing w:val="2"/>
        </w:rPr>
        <w:t> </w:t>
      </w:r>
      <w:r w:rsidRPr="009118AB">
        <w:rPr>
          <w:i/>
          <w:iCs/>
          <w:spacing w:val="2"/>
        </w:rPr>
        <w:t>(I) (B.S. vom 28. Dezember 2006)</w:t>
      </w:r>
      <w:r w:rsidR="00D67EB8" w:rsidRPr="009118AB">
        <w:rPr>
          <w:i/>
          <w:iCs/>
          <w:spacing w:val="2"/>
        </w:rPr>
        <w:t> - </w:t>
      </w:r>
      <w:r w:rsidRPr="009118AB">
        <w:rPr>
          <w:i/>
          <w:iCs/>
          <w:spacing w:val="2"/>
        </w:rPr>
        <w:t>anwendbar auf die ab dem 1. April 2007 gezahlten oder zuerkannten Entlohnungen für Stunden, die als Überarbeit geleistet werden</w:t>
      </w:r>
      <w:r w:rsidR="00D67EB8" w:rsidRPr="009118AB">
        <w:rPr>
          <w:i/>
          <w:iCs/>
          <w:spacing w:val="2"/>
        </w:rPr>
        <w:t> - </w:t>
      </w:r>
      <w:r w:rsidRPr="009118AB">
        <w:rPr>
          <w:i/>
          <w:iCs/>
          <w:spacing w:val="2"/>
        </w:rPr>
        <w:t xml:space="preserve">und ersetzt durch </w:t>
      </w:r>
      <w:r w:rsidR="00D67EB8" w:rsidRPr="009118AB">
        <w:rPr>
          <w:i/>
          <w:iCs/>
          <w:spacing w:val="2"/>
        </w:rPr>
        <w:t>Art. </w:t>
      </w:r>
      <w:r w:rsidRPr="009118AB">
        <w:rPr>
          <w:i/>
          <w:iCs/>
          <w:spacing w:val="2"/>
        </w:rPr>
        <w:t xml:space="preserve">26 </w:t>
      </w:r>
      <w:r w:rsidR="00D67EB8" w:rsidRPr="009118AB">
        <w:rPr>
          <w:i/>
          <w:iCs/>
          <w:spacing w:val="2"/>
        </w:rPr>
        <w:t>Nr. </w:t>
      </w:r>
      <w:r w:rsidRPr="009118AB">
        <w:rPr>
          <w:i/>
          <w:iCs/>
          <w:spacing w:val="2"/>
        </w:rPr>
        <w:t>1 des G. vom 17. Mai 2007 (B.S. vom 19. Juni 2007)</w:t>
      </w:r>
      <w:r w:rsidR="00D67EB8" w:rsidRPr="009118AB">
        <w:rPr>
          <w:i/>
          <w:iCs/>
          <w:spacing w:val="2"/>
        </w:rPr>
        <w:t> - </w:t>
      </w:r>
      <w:r w:rsidRPr="009118AB">
        <w:rPr>
          <w:i/>
          <w:iCs/>
          <w:spacing w:val="2"/>
        </w:rPr>
        <w:t xml:space="preserve">anwendbar </w:t>
      </w:r>
      <w:r w:rsidRPr="009118AB">
        <w:rPr>
          <w:i/>
          <w:spacing w:val="2"/>
        </w:rPr>
        <w:t>auf die ab dem 1. April 2007 gezahlten oder zuerkannten Entlohnungen für Stunden, die als Überarbeit geleistet werden</w:t>
      </w:r>
      <w:r w:rsidR="003366D9" w:rsidRPr="009118AB">
        <w:rPr>
          <w:i/>
          <w:spacing w:val="2"/>
        </w:rPr>
        <w:t> -;</w:t>
      </w:r>
      <w:r w:rsidRPr="009118AB">
        <w:rPr>
          <w:i/>
          <w:spacing w:val="2"/>
        </w:rPr>
        <w:t xml:space="preserve"> </w:t>
      </w:r>
      <w:r w:rsidRPr="009118AB">
        <w:rPr>
          <w:i/>
          <w:iCs/>
          <w:spacing w:val="2"/>
        </w:rPr>
        <w:t>neuer Absatz</w:t>
      </w:r>
      <w:r w:rsidR="005C056E" w:rsidRPr="009118AB">
        <w:rPr>
          <w:i/>
          <w:iCs/>
          <w:spacing w:val="2"/>
        </w:rPr>
        <w:t> </w:t>
      </w:r>
      <w:r w:rsidRPr="009118AB">
        <w:rPr>
          <w:i/>
          <w:iCs/>
          <w:spacing w:val="2"/>
        </w:rPr>
        <w:t xml:space="preserve">5 eingefügt durch </w:t>
      </w:r>
      <w:r w:rsidR="00D67EB8" w:rsidRPr="009118AB">
        <w:rPr>
          <w:i/>
          <w:iCs/>
          <w:spacing w:val="2"/>
        </w:rPr>
        <w:t>Art. </w:t>
      </w:r>
      <w:r w:rsidRPr="009118AB">
        <w:rPr>
          <w:i/>
          <w:iCs/>
          <w:spacing w:val="2"/>
        </w:rPr>
        <w:t xml:space="preserve">26 </w:t>
      </w:r>
      <w:r w:rsidR="00D67EB8" w:rsidRPr="009118AB">
        <w:rPr>
          <w:i/>
          <w:iCs/>
          <w:spacing w:val="2"/>
        </w:rPr>
        <w:t>Nr. </w:t>
      </w:r>
      <w:r w:rsidRPr="009118AB">
        <w:rPr>
          <w:i/>
          <w:iCs/>
          <w:spacing w:val="2"/>
        </w:rPr>
        <w:t>2 des G. vom 17. Mai 2007 (B.S. vom 19. Juni 2007)</w:t>
      </w:r>
      <w:r w:rsidR="00D67EB8" w:rsidRPr="009118AB">
        <w:rPr>
          <w:i/>
          <w:iCs/>
          <w:spacing w:val="2"/>
        </w:rPr>
        <w:t> - </w:t>
      </w:r>
      <w:r w:rsidRPr="009118AB">
        <w:rPr>
          <w:i/>
          <w:iCs/>
          <w:spacing w:val="2"/>
        </w:rPr>
        <w:t xml:space="preserve">anwendbar </w:t>
      </w:r>
      <w:r w:rsidRPr="009118AB">
        <w:rPr>
          <w:i/>
          <w:spacing w:val="2"/>
        </w:rPr>
        <w:t>auf die ab dem 1. April 2007 gezahlten oder zuerkannten Entlohnungen für Stunden, die als Über</w:t>
      </w:r>
      <w:r w:rsidR="00771A0F" w:rsidRPr="009118AB">
        <w:rPr>
          <w:i/>
          <w:spacing w:val="2"/>
        </w:rPr>
        <w:t>arbeit geleistet werden</w:t>
      </w:r>
      <w:r w:rsidR="00D67EB8" w:rsidRPr="009118AB">
        <w:rPr>
          <w:i/>
          <w:spacing w:val="2"/>
        </w:rPr>
        <w:t> - </w:t>
      </w:r>
      <w:r w:rsidR="00016024" w:rsidRPr="009118AB">
        <w:rPr>
          <w:i/>
          <w:spacing w:val="2"/>
        </w:rPr>
        <w:t xml:space="preserve">und ersetzt durch </w:t>
      </w:r>
      <w:r w:rsidR="00D67EB8" w:rsidRPr="009118AB">
        <w:rPr>
          <w:i/>
          <w:spacing w:val="2"/>
        </w:rPr>
        <w:t>Art. </w:t>
      </w:r>
      <w:r w:rsidR="00016024" w:rsidRPr="009118AB">
        <w:rPr>
          <w:i/>
          <w:spacing w:val="2"/>
        </w:rPr>
        <w:t>31</w:t>
      </w:r>
      <w:r w:rsidR="00016024" w:rsidRPr="009118AB">
        <w:rPr>
          <w:i/>
        </w:rPr>
        <w:t xml:space="preserve"> des G. vom 2. Mai 2019 (III) (B.S. vom 1</w:t>
      </w:r>
      <w:r w:rsidR="009B37FC" w:rsidRPr="009118AB">
        <w:rPr>
          <w:i/>
        </w:rPr>
        <w:t>5</w:t>
      </w:r>
      <w:r w:rsidR="00016024" w:rsidRPr="009118AB">
        <w:rPr>
          <w:i/>
        </w:rPr>
        <w:t>. Mai 2019)</w:t>
      </w:r>
      <w:r w:rsidR="00D67EB8" w:rsidRPr="009118AB">
        <w:rPr>
          <w:i/>
        </w:rPr>
        <w:t> - </w:t>
      </w:r>
      <w:r w:rsidR="00016024" w:rsidRPr="009118AB">
        <w:rPr>
          <w:i/>
        </w:rPr>
        <w:t>anwendbar auf die ab dem 1. Januar 2019 ergangenen Erlasse</w:t>
      </w:r>
      <w:r w:rsidR="003366D9" w:rsidRPr="009118AB">
        <w:rPr>
          <w:i/>
        </w:rPr>
        <w:t> -;</w:t>
      </w:r>
      <w:r w:rsidR="00771A0F" w:rsidRPr="009118AB">
        <w:rPr>
          <w:i/>
          <w:spacing w:val="2"/>
        </w:rPr>
        <w:t xml:space="preserve"> </w:t>
      </w:r>
      <w:r w:rsidR="00D67EB8" w:rsidRPr="009118AB">
        <w:rPr>
          <w:i/>
          <w:spacing w:val="2"/>
        </w:rPr>
        <w:t>Abs. </w:t>
      </w:r>
      <w:r w:rsidRPr="009118AB">
        <w:rPr>
          <w:i/>
          <w:spacing w:val="2"/>
        </w:rPr>
        <w:t xml:space="preserve">6 abgeändert durch </w:t>
      </w:r>
      <w:r w:rsidR="00D67EB8" w:rsidRPr="009118AB">
        <w:rPr>
          <w:i/>
          <w:spacing w:val="2"/>
        </w:rPr>
        <w:t>Art. </w:t>
      </w:r>
      <w:r w:rsidRPr="009118AB">
        <w:rPr>
          <w:i/>
          <w:spacing w:val="2"/>
        </w:rPr>
        <w:t xml:space="preserve">15 </w:t>
      </w:r>
      <w:r w:rsidR="00D67EB8" w:rsidRPr="009118AB">
        <w:rPr>
          <w:i/>
          <w:spacing w:val="2"/>
        </w:rPr>
        <w:t>Nr. </w:t>
      </w:r>
      <w:r w:rsidRPr="009118AB">
        <w:rPr>
          <w:i/>
          <w:spacing w:val="2"/>
        </w:rPr>
        <w:t>2</w:t>
      </w:r>
      <w:r w:rsidRPr="009118AB">
        <w:rPr>
          <w:i/>
          <w:iCs/>
          <w:spacing w:val="2"/>
        </w:rPr>
        <w:t xml:space="preserve"> des G.</w:t>
      </w:r>
      <w:r w:rsidR="007B6928" w:rsidRPr="009118AB">
        <w:rPr>
          <w:i/>
          <w:iCs/>
          <w:spacing w:val="2"/>
        </w:rPr>
        <w:t> </w:t>
      </w:r>
      <w:r w:rsidRPr="009118AB">
        <w:rPr>
          <w:i/>
          <w:iCs/>
          <w:spacing w:val="2"/>
        </w:rPr>
        <w:t>vom 27. März 2009 (B.S. vom 7. April 2009)</w:t>
      </w:r>
      <w:r w:rsidR="00D67EB8" w:rsidRPr="009118AB">
        <w:rPr>
          <w:i/>
          <w:iCs/>
          <w:spacing w:val="2"/>
        </w:rPr>
        <w:t> - </w:t>
      </w:r>
      <w:r w:rsidRPr="009118AB">
        <w:rPr>
          <w:i/>
          <w:iCs/>
          <w:spacing w:val="2"/>
        </w:rPr>
        <w:t>in Kraft mit 1. Januar 2009</w:t>
      </w:r>
      <w:r w:rsidR="00D67EB8" w:rsidRPr="009118AB">
        <w:rPr>
          <w:i/>
          <w:iCs/>
          <w:spacing w:val="2"/>
        </w:rPr>
        <w:t> - </w:t>
      </w:r>
      <w:r w:rsidRPr="009118AB">
        <w:rPr>
          <w:i/>
          <w:iCs/>
          <w:spacing w:val="2"/>
        </w:rPr>
        <w:t xml:space="preserve">und </w:t>
      </w:r>
      <w:r w:rsidR="00D67EB8" w:rsidRPr="009118AB">
        <w:rPr>
          <w:i/>
          <w:iCs/>
          <w:spacing w:val="2"/>
        </w:rPr>
        <w:t>Art. </w:t>
      </w:r>
      <w:r w:rsidRPr="009118AB">
        <w:rPr>
          <w:i/>
          <w:iCs/>
          <w:spacing w:val="2"/>
        </w:rPr>
        <w:t xml:space="preserve">15 </w:t>
      </w:r>
      <w:r w:rsidR="00D67EB8" w:rsidRPr="009118AB">
        <w:rPr>
          <w:i/>
          <w:iCs/>
          <w:spacing w:val="2"/>
        </w:rPr>
        <w:t>Nr. </w:t>
      </w:r>
      <w:r w:rsidRPr="009118AB">
        <w:rPr>
          <w:i/>
          <w:iCs/>
          <w:spacing w:val="2"/>
        </w:rPr>
        <w:t>4 des G. vom 27. März 2009 (B.S. vom 7. April 2009)</w:t>
      </w:r>
      <w:r w:rsidR="00D67EB8" w:rsidRPr="009118AB">
        <w:rPr>
          <w:i/>
          <w:iCs/>
          <w:spacing w:val="2"/>
        </w:rPr>
        <w:t> - </w:t>
      </w:r>
      <w:r w:rsidRPr="009118AB">
        <w:rPr>
          <w:i/>
          <w:iCs/>
          <w:spacing w:val="2"/>
        </w:rPr>
        <w:t>in Kraft am 1. Januar 2010</w:t>
      </w:r>
      <w:r w:rsidR="003366D9" w:rsidRPr="009118AB">
        <w:rPr>
          <w:i/>
          <w:iCs/>
          <w:spacing w:val="2"/>
        </w:rPr>
        <w:t> -;</w:t>
      </w:r>
      <w:r w:rsidR="00BD33B2" w:rsidRPr="009118AB">
        <w:rPr>
          <w:i/>
          <w:iCs/>
          <w:spacing w:val="2"/>
        </w:rPr>
        <w:t xml:space="preserve"> neuer Absatz 7 eingefügt durch </w:t>
      </w:r>
      <w:r w:rsidR="00D67EB8" w:rsidRPr="009118AB">
        <w:rPr>
          <w:i/>
          <w:iCs/>
          <w:spacing w:val="2"/>
        </w:rPr>
        <w:t>Art. </w:t>
      </w:r>
      <w:r w:rsidR="00BD33B2" w:rsidRPr="009118AB">
        <w:rPr>
          <w:i/>
          <w:iCs/>
          <w:spacing w:val="2"/>
        </w:rPr>
        <w:t xml:space="preserve">7 </w:t>
      </w:r>
      <w:r w:rsidR="00D67EB8" w:rsidRPr="009118AB">
        <w:rPr>
          <w:i/>
          <w:iCs/>
          <w:spacing w:val="2"/>
        </w:rPr>
        <w:t>Nr. </w:t>
      </w:r>
      <w:r w:rsidR="00BD33B2" w:rsidRPr="009118AB">
        <w:rPr>
          <w:i/>
          <w:iCs/>
          <w:spacing w:val="2"/>
        </w:rPr>
        <w:t>1</w:t>
      </w:r>
      <w:r w:rsidR="00BD33B2" w:rsidRPr="009118AB">
        <w:rPr>
          <w:i/>
        </w:rPr>
        <w:t xml:space="preserve"> des G. vom 23. März 2019 (B.S. vom 5. April 2019)</w:t>
      </w:r>
      <w:r w:rsidR="00D67EB8" w:rsidRPr="009118AB">
        <w:rPr>
          <w:i/>
        </w:rPr>
        <w:t> - </w:t>
      </w:r>
      <w:r w:rsidR="00BD33B2" w:rsidRPr="009118AB">
        <w:rPr>
          <w:i/>
        </w:rPr>
        <w:t>wirksam mit 1. Januar 2019</w:t>
      </w:r>
      <w:r w:rsidR="00D67EB8" w:rsidRPr="009118AB">
        <w:rPr>
          <w:i/>
        </w:rPr>
        <w:t> - </w:t>
      </w:r>
      <w:r w:rsidR="00E712E1" w:rsidRPr="009118AB">
        <w:rPr>
          <w:i/>
        </w:rPr>
        <w:t xml:space="preserve">und abgeändert durch </w:t>
      </w:r>
      <w:r w:rsidR="00D67EB8" w:rsidRPr="009118AB">
        <w:rPr>
          <w:i/>
        </w:rPr>
        <w:t>Art. </w:t>
      </w:r>
      <w:r w:rsidR="00E712E1" w:rsidRPr="009118AB">
        <w:rPr>
          <w:i/>
        </w:rPr>
        <w:t xml:space="preserve">19 </w:t>
      </w:r>
      <w:r w:rsidR="00D67EB8" w:rsidRPr="009118AB">
        <w:rPr>
          <w:i/>
        </w:rPr>
        <w:t>Nr. </w:t>
      </w:r>
      <w:r w:rsidR="00E712E1" w:rsidRPr="009118AB">
        <w:rPr>
          <w:i/>
        </w:rPr>
        <w:t>1 bis 3 des G. vom 12. Dezember 2021 (B.S. vom 31. Dezember 2021)</w:t>
      </w:r>
      <w:r w:rsidR="00D67EB8" w:rsidRPr="009118AB">
        <w:rPr>
          <w:i/>
        </w:rPr>
        <w:t> - </w:t>
      </w:r>
      <w:r w:rsidR="00E712E1" w:rsidRPr="009118AB">
        <w:rPr>
          <w:i/>
        </w:rPr>
        <w:t>wirksam mit 1. Juli 2021</w:t>
      </w:r>
      <w:r w:rsidR="003366D9" w:rsidRPr="009118AB">
        <w:rPr>
          <w:i/>
        </w:rPr>
        <w:t> -</w:t>
      </w:r>
      <w:r w:rsidR="000D2B58" w:rsidRPr="009118AB">
        <w:rPr>
          <w:i/>
        </w:rPr>
        <w:t xml:space="preserve"> und Art. 7 Nr. 1 bis 3 des G. vom 31. Juli 2023 (III) (B.S. vom 5. September 2023) - in Kraft </w:t>
      </w:r>
      <w:r w:rsidR="000D2B58" w:rsidRPr="009118AB">
        <w:rPr>
          <w:i/>
          <w:iCs/>
        </w:rPr>
        <w:t>am 1. Juli 2023 und anwendbar auf die ab diesem Datum gezahlten oder zuerkannten Entlohnungen -</w:t>
      </w:r>
      <w:r w:rsidR="003366D9" w:rsidRPr="009118AB">
        <w:rPr>
          <w:i/>
        </w:rPr>
        <w:t>;</w:t>
      </w:r>
      <w:r w:rsidR="00005AA3" w:rsidRPr="009118AB">
        <w:rPr>
          <w:i/>
          <w:iCs/>
          <w:spacing w:val="2"/>
        </w:rPr>
        <w:t xml:space="preserve"> neuer Absatz </w:t>
      </w:r>
      <w:r w:rsidR="00BD33B2" w:rsidRPr="009118AB">
        <w:rPr>
          <w:i/>
          <w:iCs/>
          <w:spacing w:val="2"/>
        </w:rPr>
        <w:t>8</w:t>
      </w:r>
      <w:r w:rsidR="00005AA3" w:rsidRPr="009118AB">
        <w:rPr>
          <w:i/>
          <w:iCs/>
          <w:spacing w:val="2"/>
        </w:rPr>
        <w:t xml:space="preserve"> eingefügt durch </w:t>
      </w:r>
      <w:r w:rsidR="00D67EB8" w:rsidRPr="009118AB">
        <w:rPr>
          <w:i/>
          <w:iCs/>
          <w:spacing w:val="2"/>
        </w:rPr>
        <w:t>Art. </w:t>
      </w:r>
      <w:r w:rsidR="00005AA3" w:rsidRPr="009118AB">
        <w:rPr>
          <w:i/>
          <w:iCs/>
          <w:spacing w:val="2"/>
        </w:rPr>
        <w:t>52 des G.</w:t>
      </w:r>
      <w:r w:rsidR="00771A0F" w:rsidRPr="009118AB">
        <w:rPr>
          <w:i/>
          <w:iCs/>
          <w:spacing w:val="2"/>
        </w:rPr>
        <w:t> </w:t>
      </w:r>
      <w:r w:rsidR="00005AA3" w:rsidRPr="009118AB">
        <w:rPr>
          <w:i/>
          <w:iCs/>
          <w:spacing w:val="2"/>
        </w:rPr>
        <w:t>(I) vom 26. Dezember 2013 (II) (B.S. vom 31. Dezember 2013)</w:t>
      </w:r>
      <w:r w:rsidR="00D67EB8" w:rsidRPr="009118AB">
        <w:rPr>
          <w:i/>
          <w:iCs/>
          <w:spacing w:val="2"/>
        </w:rPr>
        <w:t> - </w:t>
      </w:r>
      <w:r w:rsidR="00005AA3" w:rsidRPr="009118AB">
        <w:rPr>
          <w:i/>
          <w:iCs/>
          <w:spacing w:val="2"/>
        </w:rPr>
        <w:t xml:space="preserve">in Kraft ab dem </w:t>
      </w:r>
      <w:r w:rsidR="00472ACF" w:rsidRPr="009118AB">
        <w:rPr>
          <w:i/>
          <w:iCs/>
          <w:spacing w:val="2"/>
        </w:rPr>
        <w:t>1. </w:t>
      </w:r>
      <w:r w:rsidR="00097798" w:rsidRPr="009118AB">
        <w:rPr>
          <w:i/>
          <w:iCs/>
          <w:spacing w:val="2"/>
        </w:rPr>
        <w:t>Januar</w:t>
      </w:r>
      <w:r w:rsidR="00472ACF" w:rsidRPr="009118AB">
        <w:rPr>
          <w:i/>
          <w:iCs/>
          <w:spacing w:val="2"/>
        </w:rPr>
        <w:t> 2014</w:t>
      </w:r>
      <w:r w:rsidR="00097798" w:rsidRPr="009118AB">
        <w:rPr>
          <w:i/>
          <w:iCs/>
          <w:spacing w:val="2"/>
        </w:rPr>
        <w:t>, mit Ausnahme der Bestimmungen, die sich auf Immobilienarbeiten beziehen, die am 1. April 2014 in Kraft treten</w:t>
      </w:r>
      <w:r w:rsidR="00D67EB8" w:rsidRPr="009118AB">
        <w:rPr>
          <w:i/>
          <w:iCs/>
          <w:spacing w:val="2"/>
        </w:rPr>
        <w:t> -</w:t>
      </w:r>
      <w:r w:rsidR="00F16AE8">
        <w:rPr>
          <w:i/>
          <w:iCs/>
          <w:spacing w:val="2"/>
        </w:rPr>
        <w:t>, ersetzt durch Art. 30 des G. vom 27. Dezember 2021 (B.S. vom 31. Dezember 2021), selbst widerrufen durch Art. 64</w:t>
      </w:r>
      <w:r w:rsidR="00F16AE8" w:rsidRPr="00F16AE8">
        <w:rPr>
          <w:i/>
          <w:iCs/>
          <w:spacing w:val="2"/>
        </w:rPr>
        <w:t xml:space="preserve"> des G. vom 12. Mai 2024 (B.S. vom 29. Mai 2024) - in Kraft am 1. Juni 2024 und anwendbar auf die ab diesem Datum geleistete Überarbeit -</w:t>
      </w:r>
      <w:r w:rsidR="00F16AE8">
        <w:rPr>
          <w:i/>
          <w:iCs/>
          <w:spacing w:val="2"/>
        </w:rPr>
        <w:t>,</w:t>
      </w:r>
      <w:r w:rsidR="00D67EB8" w:rsidRPr="009118AB">
        <w:rPr>
          <w:i/>
          <w:iCs/>
          <w:spacing w:val="2"/>
        </w:rPr>
        <w:t> </w:t>
      </w:r>
      <w:r w:rsidR="00902C7A" w:rsidRPr="009118AB">
        <w:rPr>
          <w:i/>
          <w:iCs/>
          <w:spacing w:val="2"/>
        </w:rPr>
        <w:t xml:space="preserve">und </w:t>
      </w:r>
      <w:r w:rsidR="00F16AE8">
        <w:rPr>
          <w:i/>
          <w:iCs/>
          <w:spacing w:val="2"/>
        </w:rPr>
        <w:t xml:space="preserve">erneut </w:t>
      </w:r>
      <w:r w:rsidR="00902C7A" w:rsidRPr="009118AB">
        <w:rPr>
          <w:i/>
          <w:iCs/>
          <w:spacing w:val="2"/>
        </w:rPr>
        <w:t xml:space="preserve">ersetzt durch </w:t>
      </w:r>
      <w:r w:rsidR="00D67EB8" w:rsidRPr="009118AB">
        <w:rPr>
          <w:rFonts w:ascii="Times New Roman Italique" w:hAnsi="Times New Roman Italique"/>
          <w:i/>
          <w:iCs/>
          <w:spacing w:val="2"/>
        </w:rPr>
        <w:t>Art. </w:t>
      </w:r>
      <w:r w:rsidR="00D67484">
        <w:rPr>
          <w:rFonts w:ascii="Times New Roman Italique" w:hAnsi="Times New Roman Italique"/>
          <w:i/>
          <w:iCs/>
          <w:spacing w:val="2"/>
        </w:rPr>
        <w:t>66</w:t>
      </w:r>
      <w:r w:rsidR="00D67484" w:rsidRPr="00D67484">
        <w:rPr>
          <w:rFonts w:ascii="Times New Roman Italique" w:hAnsi="Times New Roman Italique"/>
          <w:i/>
          <w:iCs/>
          <w:spacing w:val="2"/>
        </w:rPr>
        <w:t xml:space="preserve"> des G. vom 12. Mai 2024 (B.S. vom 29. Mai 2024)</w:t>
      </w:r>
      <w:r w:rsidR="001249F3">
        <w:rPr>
          <w:rFonts w:ascii="Times New Roman Italique" w:hAnsi="Times New Roman Italique" w:hint="eastAsia"/>
          <w:i/>
          <w:iCs/>
          <w:spacing w:val="2"/>
        </w:rPr>
        <w:t> </w:t>
      </w:r>
      <w:r w:rsidR="001249F3">
        <w:rPr>
          <w:rFonts w:ascii="Times New Roman Italique" w:hAnsi="Times New Roman Italique"/>
          <w:i/>
          <w:iCs/>
          <w:spacing w:val="2"/>
        </w:rPr>
        <w:t>-</w:t>
      </w:r>
      <w:r w:rsidR="001249F3">
        <w:rPr>
          <w:rFonts w:ascii="Times New Roman Italique" w:hAnsi="Times New Roman Italique" w:hint="eastAsia"/>
          <w:i/>
          <w:iCs/>
          <w:spacing w:val="2"/>
        </w:rPr>
        <w:t> </w:t>
      </w:r>
      <w:r w:rsidR="00D67484">
        <w:rPr>
          <w:rFonts w:ascii="Times New Roman Italique" w:hAnsi="Times New Roman Italique"/>
          <w:i/>
          <w:iCs/>
          <w:spacing w:val="2"/>
        </w:rPr>
        <w:t>in Kraft am 1.</w:t>
      </w:r>
      <w:r w:rsidR="00D67484">
        <w:rPr>
          <w:rFonts w:ascii="Times New Roman Italique" w:hAnsi="Times New Roman Italique" w:hint="eastAsia"/>
          <w:i/>
          <w:iCs/>
          <w:spacing w:val="2"/>
        </w:rPr>
        <w:t> </w:t>
      </w:r>
      <w:r w:rsidR="00D67484">
        <w:rPr>
          <w:rFonts w:ascii="Times New Roman Italique" w:hAnsi="Times New Roman Italique"/>
          <w:i/>
          <w:iCs/>
          <w:spacing w:val="2"/>
        </w:rPr>
        <w:t>Juni</w:t>
      </w:r>
      <w:r w:rsidR="00D67484">
        <w:rPr>
          <w:rFonts w:ascii="Times New Roman Italique" w:hAnsi="Times New Roman Italique" w:hint="eastAsia"/>
          <w:i/>
          <w:iCs/>
          <w:spacing w:val="2"/>
        </w:rPr>
        <w:t> </w:t>
      </w:r>
      <w:r w:rsidR="00D67484">
        <w:rPr>
          <w:rFonts w:ascii="Times New Roman Italique" w:hAnsi="Times New Roman Italique"/>
          <w:i/>
          <w:iCs/>
          <w:spacing w:val="2"/>
        </w:rPr>
        <w:t xml:space="preserve">2024 und </w:t>
      </w:r>
      <w:r w:rsidR="00D67484" w:rsidRPr="00D67484">
        <w:rPr>
          <w:rFonts w:ascii="Times New Roman Italique" w:hAnsi="Times New Roman Italique"/>
          <w:i/>
          <w:iCs/>
          <w:spacing w:val="2"/>
        </w:rPr>
        <w:t>anwendbar auf die ab diesem Datum geleistete Überarbeit</w:t>
      </w:r>
      <w:r w:rsidR="00D67484">
        <w:rPr>
          <w:rFonts w:ascii="Times New Roman Italique" w:hAnsi="Times New Roman Italique" w:hint="eastAsia"/>
          <w:i/>
          <w:iCs/>
          <w:spacing w:val="2"/>
        </w:rPr>
        <w:t> </w:t>
      </w:r>
      <w:r w:rsidR="00D67484">
        <w:rPr>
          <w:rFonts w:ascii="Times New Roman Italique" w:hAnsi="Times New Roman Italique"/>
          <w:i/>
          <w:iCs/>
          <w:spacing w:val="2"/>
        </w:rPr>
        <w:t>-</w:t>
      </w:r>
      <w:r w:rsidR="003366D9" w:rsidRPr="009118AB">
        <w:rPr>
          <w:rFonts w:ascii="Times New Roman Italique" w:hAnsi="Times New Roman Italique"/>
          <w:i/>
          <w:spacing w:val="2"/>
        </w:rPr>
        <w:t>;</w:t>
      </w:r>
      <w:r w:rsidR="005219FC" w:rsidRPr="009118AB">
        <w:rPr>
          <w:rFonts w:ascii="Times New Roman Italique" w:hAnsi="Times New Roman Italique"/>
          <w:i/>
          <w:spacing w:val="2"/>
        </w:rPr>
        <w:t xml:space="preserve"> neuer Absatz </w:t>
      </w:r>
      <w:r w:rsidR="00BD33B2" w:rsidRPr="009118AB">
        <w:rPr>
          <w:rFonts w:ascii="Times New Roman Italique" w:hAnsi="Times New Roman Italique"/>
          <w:i/>
          <w:spacing w:val="2"/>
        </w:rPr>
        <w:t>9</w:t>
      </w:r>
      <w:r w:rsidR="005219FC" w:rsidRPr="009118AB">
        <w:rPr>
          <w:rFonts w:ascii="Times New Roman Italique" w:hAnsi="Times New Roman Italique"/>
          <w:i/>
          <w:spacing w:val="2"/>
        </w:rPr>
        <w:t xml:space="preserve"> eingefügt durch </w:t>
      </w:r>
      <w:r w:rsidR="00D67EB8" w:rsidRPr="009118AB">
        <w:rPr>
          <w:rFonts w:ascii="Times New Roman Italique" w:hAnsi="Times New Roman Italique"/>
          <w:i/>
          <w:spacing w:val="2"/>
        </w:rPr>
        <w:t>Art. </w:t>
      </w:r>
      <w:r w:rsidR="005219FC" w:rsidRPr="009118AB">
        <w:rPr>
          <w:rFonts w:ascii="Times New Roman Italique" w:hAnsi="Times New Roman Italique"/>
          <w:i/>
          <w:spacing w:val="2"/>
        </w:rPr>
        <w:t xml:space="preserve">34 </w:t>
      </w:r>
      <w:r w:rsidR="00D67EB8" w:rsidRPr="009118AB">
        <w:rPr>
          <w:rFonts w:ascii="Times New Roman Italique" w:hAnsi="Times New Roman Italique"/>
          <w:i/>
          <w:spacing w:val="2"/>
        </w:rPr>
        <w:t>Nr. </w:t>
      </w:r>
      <w:r w:rsidR="005219FC" w:rsidRPr="009118AB">
        <w:rPr>
          <w:rFonts w:ascii="Times New Roman Italique" w:hAnsi="Times New Roman Italique"/>
          <w:i/>
          <w:spacing w:val="2"/>
        </w:rPr>
        <w:t>1 des G. vom 16. November 2015 (B.S. vom 26. November 2015)</w:t>
      </w:r>
      <w:r w:rsidR="00D67EB8" w:rsidRPr="009118AB">
        <w:rPr>
          <w:rFonts w:ascii="Times New Roman Italique" w:hAnsi="Times New Roman Italique"/>
          <w:i/>
          <w:spacing w:val="2"/>
        </w:rPr>
        <w:t> - </w:t>
      </w:r>
      <w:r w:rsidR="005219FC" w:rsidRPr="009118AB">
        <w:rPr>
          <w:rFonts w:ascii="Times New Roman Italique" w:hAnsi="Times New Roman Italique"/>
          <w:i/>
          <w:spacing w:val="2"/>
        </w:rPr>
        <w:t>anwendbar auf Entlohnungen, die ab dem 1. Dezember 2015 gezahlt oder zuerkannt werden</w:t>
      </w:r>
      <w:r w:rsidR="003366D9" w:rsidRPr="009118AB">
        <w:rPr>
          <w:rFonts w:ascii="Times New Roman Italique" w:hAnsi="Times New Roman Italique"/>
          <w:i/>
          <w:spacing w:val="2"/>
        </w:rPr>
        <w:t> -;</w:t>
      </w:r>
      <w:r w:rsidR="005219FC" w:rsidRPr="009118AB">
        <w:rPr>
          <w:rFonts w:ascii="Times New Roman Italique" w:hAnsi="Times New Roman Italique"/>
          <w:i/>
          <w:spacing w:val="2"/>
        </w:rPr>
        <w:t xml:space="preserve"> </w:t>
      </w:r>
      <w:r w:rsidR="00D67EB8" w:rsidRPr="009118AB">
        <w:rPr>
          <w:rFonts w:ascii="Times New Roman Italique" w:hAnsi="Times New Roman Italique"/>
          <w:i/>
          <w:spacing w:val="2"/>
        </w:rPr>
        <w:t>Abs. </w:t>
      </w:r>
      <w:r w:rsidR="00EE409A" w:rsidRPr="009118AB">
        <w:rPr>
          <w:rFonts w:ascii="Times New Roman Italique" w:hAnsi="Times New Roman Italique"/>
          <w:i/>
          <w:spacing w:val="2"/>
        </w:rPr>
        <w:t xml:space="preserve">10 abgeändert durch </w:t>
      </w:r>
      <w:r w:rsidR="00D67EB8" w:rsidRPr="009118AB">
        <w:rPr>
          <w:rFonts w:ascii="Times New Roman Italique" w:hAnsi="Times New Roman Italique"/>
          <w:i/>
          <w:spacing w:val="2"/>
        </w:rPr>
        <w:t>Art. </w:t>
      </w:r>
      <w:r w:rsidR="00EE409A" w:rsidRPr="009118AB">
        <w:rPr>
          <w:rFonts w:ascii="Times New Roman Italique" w:hAnsi="Times New Roman Italique"/>
          <w:i/>
          <w:spacing w:val="2"/>
        </w:rPr>
        <w:t xml:space="preserve">6 </w:t>
      </w:r>
      <w:r w:rsidR="00D67EB8" w:rsidRPr="009118AB">
        <w:rPr>
          <w:rFonts w:ascii="Times New Roman Italique" w:hAnsi="Times New Roman Italique"/>
          <w:i/>
          <w:spacing w:val="2"/>
        </w:rPr>
        <w:t>Nr. </w:t>
      </w:r>
      <w:r w:rsidR="00EE409A" w:rsidRPr="009118AB">
        <w:rPr>
          <w:rFonts w:ascii="Times New Roman Italique" w:hAnsi="Times New Roman Italique"/>
          <w:i/>
          <w:spacing w:val="2"/>
        </w:rPr>
        <w:t>2</w:t>
      </w:r>
      <w:r w:rsidR="00EE409A" w:rsidRPr="009118AB">
        <w:rPr>
          <w:rFonts w:ascii="Times New Roman Italique" w:hAnsi="Times New Roman Italique"/>
          <w:i/>
        </w:rPr>
        <w:t xml:space="preserve"> des G. vom 28. März 2022 (B.S. vom 31. März 2022); </w:t>
      </w:r>
      <w:r w:rsidR="00D67EB8" w:rsidRPr="009118AB">
        <w:rPr>
          <w:rFonts w:ascii="Times New Roman Italique" w:hAnsi="Times New Roman Italique"/>
          <w:i/>
          <w:spacing w:val="2"/>
        </w:rPr>
        <w:t>Abs. </w:t>
      </w:r>
      <w:r w:rsidR="005219FC" w:rsidRPr="009118AB">
        <w:rPr>
          <w:rFonts w:ascii="Times New Roman Italique" w:hAnsi="Times New Roman Italique"/>
          <w:i/>
          <w:spacing w:val="2"/>
        </w:rPr>
        <w:t>1</w:t>
      </w:r>
      <w:r w:rsidR="00BD33B2" w:rsidRPr="009118AB">
        <w:rPr>
          <w:rFonts w:ascii="Times New Roman Italique" w:hAnsi="Times New Roman Italique"/>
          <w:i/>
          <w:spacing w:val="2"/>
        </w:rPr>
        <w:t>1</w:t>
      </w:r>
      <w:r w:rsidR="005219FC" w:rsidRPr="009118AB">
        <w:rPr>
          <w:rFonts w:ascii="Times New Roman Italique" w:hAnsi="Times New Roman Italique"/>
          <w:i/>
          <w:spacing w:val="2"/>
        </w:rPr>
        <w:t xml:space="preserve"> eingefügt</w:t>
      </w:r>
      <w:r w:rsidR="005219FC" w:rsidRPr="009118AB">
        <w:rPr>
          <w:i/>
          <w:spacing w:val="2"/>
        </w:rPr>
        <w:t xml:space="preserve"> durch </w:t>
      </w:r>
      <w:r w:rsidR="00D67EB8" w:rsidRPr="009118AB">
        <w:rPr>
          <w:i/>
          <w:spacing w:val="2"/>
        </w:rPr>
        <w:t>Art. </w:t>
      </w:r>
      <w:r w:rsidR="005219FC" w:rsidRPr="009118AB">
        <w:rPr>
          <w:i/>
          <w:spacing w:val="2"/>
        </w:rPr>
        <w:t xml:space="preserve">34 </w:t>
      </w:r>
      <w:r w:rsidR="00D67EB8" w:rsidRPr="009118AB">
        <w:rPr>
          <w:i/>
          <w:spacing w:val="2"/>
        </w:rPr>
        <w:t>Nr. </w:t>
      </w:r>
      <w:r w:rsidR="005219FC" w:rsidRPr="009118AB">
        <w:rPr>
          <w:i/>
          <w:spacing w:val="2"/>
        </w:rPr>
        <w:t>2 des G. vom 16. November 2015 (B.S. vom 26. November 2015)</w:t>
      </w:r>
      <w:r w:rsidR="00D67EB8" w:rsidRPr="009118AB">
        <w:rPr>
          <w:i/>
          <w:spacing w:val="2"/>
        </w:rPr>
        <w:t> - </w:t>
      </w:r>
      <w:r w:rsidR="005219FC" w:rsidRPr="009118AB">
        <w:rPr>
          <w:i/>
          <w:spacing w:val="2"/>
        </w:rPr>
        <w:t>anwendbar auf Entlohnungen, die ab dem 1. Dezember 2015 gezahlt oder zuerkannt werden</w:t>
      </w:r>
      <w:r w:rsidR="003366D9" w:rsidRPr="009118AB">
        <w:rPr>
          <w:i/>
          <w:spacing w:val="2"/>
        </w:rPr>
        <w:t> -;</w:t>
      </w:r>
      <w:r w:rsidR="00BD33B2" w:rsidRPr="009118AB">
        <w:rPr>
          <w:i/>
          <w:spacing w:val="2"/>
        </w:rPr>
        <w:t xml:space="preserve"> </w:t>
      </w:r>
      <w:r w:rsidR="00D67EB8" w:rsidRPr="009118AB">
        <w:rPr>
          <w:i/>
          <w:spacing w:val="2"/>
        </w:rPr>
        <w:t>Abs. </w:t>
      </w:r>
      <w:r w:rsidR="00BD33B2" w:rsidRPr="009118AB">
        <w:rPr>
          <w:i/>
          <w:spacing w:val="2"/>
        </w:rPr>
        <w:t xml:space="preserve">12 eingefügt durch </w:t>
      </w:r>
      <w:r w:rsidR="00D67EB8" w:rsidRPr="009118AB">
        <w:rPr>
          <w:i/>
          <w:spacing w:val="2"/>
        </w:rPr>
        <w:t>Art. </w:t>
      </w:r>
      <w:r w:rsidR="00BD33B2" w:rsidRPr="009118AB">
        <w:rPr>
          <w:i/>
          <w:spacing w:val="2"/>
        </w:rPr>
        <w:t xml:space="preserve">7 </w:t>
      </w:r>
      <w:r w:rsidR="00D67EB8" w:rsidRPr="009118AB">
        <w:rPr>
          <w:i/>
          <w:spacing w:val="2"/>
        </w:rPr>
        <w:t>Nr. </w:t>
      </w:r>
      <w:r w:rsidR="00BD33B2" w:rsidRPr="009118AB">
        <w:rPr>
          <w:i/>
          <w:spacing w:val="2"/>
        </w:rPr>
        <w:t>2</w:t>
      </w:r>
      <w:r w:rsidR="00BD33B2" w:rsidRPr="009118AB">
        <w:rPr>
          <w:i/>
        </w:rPr>
        <w:t xml:space="preserve"> des G. vom 23. März 2019 (B.S. vom 5. April 2019)</w:t>
      </w:r>
      <w:r w:rsidR="00D67EB8" w:rsidRPr="009118AB">
        <w:rPr>
          <w:i/>
        </w:rPr>
        <w:t> - </w:t>
      </w:r>
      <w:r w:rsidR="00BD33B2" w:rsidRPr="009118AB">
        <w:rPr>
          <w:i/>
        </w:rPr>
        <w:t>wirksam mit 1. Januar 2019</w:t>
      </w:r>
      <w:r w:rsidR="00D67EB8" w:rsidRPr="009118AB">
        <w:rPr>
          <w:i/>
        </w:rPr>
        <w:t> - </w:t>
      </w:r>
      <w:r w:rsidR="00E712E1" w:rsidRPr="009118AB">
        <w:rPr>
          <w:i/>
        </w:rPr>
        <w:t xml:space="preserve">und </w:t>
      </w:r>
      <w:r w:rsidR="00E712E1" w:rsidRPr="009118AB">
        <w:rPr>
          <w:i/>
        </w:rPr>
        <w:lastRenderedPageBreak/>
        <w:t xml:space="preserve">aufgehoben durch </w:t>
      </w:r>
      <w:r w:rsidR="00D67EB8" w:rsidRPr="009118AB">
        <w:rPr>
          <w:i/>
        </w:rPr>
        <w:t>Art. </w:t>
      </w:r>
      <w:r w:rsidR="00E712E1" w:rsidRPr="009118AB">
        <w:rPr>
          <w:i/>
        </w:rPr>
        <w:t xml:space="preserve">19 </w:t>
      </w:r>
      <w:r w:rsidR="00D67EB8" w:rsidRPr="009118AB">
        <w:rPr>
          <w:i/>
        </w:rPr>
        <w:t>Nr. </w:t>
      </w:r>
      <w:r w:rsidR="00E712E1" w:rsidRPr="009118AB">
        <w:rPr>
          <w:i/>
        </w:rPr>
        <w:t>4 des G. vom 12. Dezember 2021 (B.S. vom 31. Dezember 2021)</w:t>
      </w:r>
      <w:r w:rsidR="00D67EB8" w:rsidRPr="009118AB">
        <w:rPr>
          <w:i/>
        </w:rPr>
        <w:t> - </w:t>
      </w:r>
      <w:r w:rsidR="00E712E1" w:rsidRPr="009118AB">
        <w:rPr>
          <w:i/>
        </w:rPr>
        <w:t>wirksam mit 1. Juli 2021</w:t>
      </w:r>
      <w:r w:rsidR="00FD68E8" w:rsidRPr="009118AB">
        <w:rPr>
          <w:i/>
        </w:rPr>
        <w:t> -]</w:t>
      </w:r>
    </w:p>
    <w:p w14:paraId="2483C950" w14:textId="2A699B6C" w:rsidR="00592EFC" w:rsidRPr="009118AB" w:rsidRDefault="00592EFC" w:rsidP="00477B8F">
      <w:pPr>
        <w:autoSpaceDE w:val="0"/>
        <w:autoSpaceDN w:val="0"/>
        <w:adjustRightInd w:val="0"/>
        <w:jc w:val="both"/>
      </w:pPr>
    </w:p>
    <w:p w14:paraId="307C524E" w14:textId="2C6E4C89" w:rsidR="00C672B1" w:rsidRPr="009118AB" w:rsidRDefault="00C672B1" w:rsidP="00477B8F">
      <w:pPr>
        <w:autoSpaceDE w:val="0"/>
        <w:autoSpaceDN w:val="0"/>
        <w:adjustRightInd w:val="0"/>
        <w:jc w:val="both"/>
      </w:pPr>
    </w:p>
    <w:p w14:paraId="0C33D401" w14:textId="541EB617"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275</w:t>
      </w:r>
      <w:r w:rsidRPr="009118AB">
        <w:rPr>
          <w:b/>
          <w:bCs/>
          <w:vertAlign w:val="superscript"/>
        </w:rPr>
        <w:t>2</w:t>
      </w:r>
      <w:r w:rsidR="00D67EB8" w:rsidRPr="009118AB">
        <w:t> - § </w:t>
      </w:r>
      <w:r w:rsidRPr="009118AB">
        <w:t>1</w:t>
      </w:r>
      <w:r w:rsidR="00D67EB8" w:rsidRPr="009118AB">
        <w:t> - </w:t>
      </w:r>
      <w:r w:rsidRPr="009118AB">
        <w:t xml:space="preserve">Vorliegender Artikel ist auf Arbeitgeber anwendbar, die zum Sektor der Handelsmarine, der Baggerarbeiten und der Schleppschifffahrt gehören und </w:t>
      </w:r>
      <w:r w:rsidR="003151C7" w:rsidRPr="009118AB">
        <w:t>[</w:t>
      </w:r>
      <w:r w:rsidRPr="009118AB">
        <w:t xml:space="preserve">in Anwendung von Artikel 270 </w:t>
      </w:r>
      <w:r w:rsidR="003151C7" w:rsidRPr="009118AB">
        <w:t xml:space="preserve">Absatz 1 </w:t>
      </w:r>
      <w:r w:rsidR="00D67EB8" w:rsidRPr="009118AB">
        <w:t>Nr. </w:t>
      </w:r>
      <w:r w:rsidRPr="009118AB">
        <w:t>1</w:t>
      </w:r>
      <w:r w:rsidR="003151C7" w:rsidRPr="009118AB">
        <w:t>]</w:t>
      </w:r>
      <w:r w:rsidRPr="009118AB">
        <w:t xml:space="preserve"> Schuldner des Berufssteuervorabzugs sind.</w:t>
      </w:r>
    </w:p>
    <w:p w14:paraId="3B58EB7A" w14:textId="77777777" w:rsidR="00477B8F" w:rsidRPr="009118AB" w:rsidRDefault="00477B8F" w:rsidP="00477B8F">
      <w:pPr>
        <w:autoSpaceDE w:val="0"/>
        <w:autoSpaceDN w:val="0"/>
        <w:adjustRightInd w:val="0"/>
        <w:jc w:val="both"/>
      </w:pPr>
    </w:p>
    <w:p w14:paraId="7415E589" w14:textId="4043FD86" w:rsidR="00E712E1" w:rsidRPr="009118AB" w:rsidRDefault="00477B8F" w:rsidP="00E712E1">
      <w:pPr>
        <w:autoSpaceDE w:val="0"/>
        <w:autoSpaceDN w:val="0"/>
        <w:adjustRightInd w:val="0"/>
        <w:jc w:val="both"/>
      </w:pPr>
      <w:r w:rsidRPr="009118AB">
        <w:tab/>
      </w:r>
      <w:r w:rsidR="00D67EB8" w:rsidRPr="009118AB">
        <w:t>§ </w:t>
      </w:r>
      <w:r w:rsidRPr="009118AB">
        <w:t>2</w:t>
      </w:r>
      <w:r w:rsidR="00D67EB8" w:rsidRPr="009118AB">
        <w:t> - </w:t>
      </w:r>
      <w:r w:rsidRPr="009118AB">
        <w:t xml:space="preserve">Unter den in vorliegendem Artikel vorgesehenen Bedingungen sind in </w:t>
      </w:r>
      <w:r w:rsidR="00D67EB8" w:rsidRPr="009118AB">
        <w:t>§ </w:t>
      </w:r>
      <w:r w:rsidRPr="009118AB">
        <w:t xml:space="preserve">1 erwähnte Arbeitgeber nicht verpflichtet, der Staatskasse den Berufssteuervorabzug zuzuführen, den sie aufgrund der in Artikel 273 </w:t>
      </w:r>
      <w:r w:rsidR="00D67EB8" w:rsidRPr="009118AB">
        <w:t>Nr. </w:t>
      </w:r>
      <w:r w:rsidRPr="009118AB">
        <w:t>1 erwähnten Zahlung oder Zuerkennung von steuerpflichtigen Entlohnungen an Arbeitnehmer schulden, die sie als Seeleute aus der Gemeinschaft an Bord von Schiffen beschäftigen, die in einem Mitgliedstaat des Europäischen Wirtschaftsraums registriert sind und für die ein Schiffszertifikat vorgelegt wird. Vorliegende Bestimmung darf jedoch nur auf den in Ausführung von Artikel 272 einbehaltenen Berufssteuervorabzug angewandt werden</w:t>
      </w:r>
      <w:r w:rsidR="00D10E7C" w:rsidRPr="009118AB">
        <w:t>[, gegebenenfalls verringert um den Betrag des Berufssteuervorabzugs, der zusätzlich zu dem verordnungsgemäßen Mindestbetrag des geschuldeten Berufssteuervorabzugs einbehalten wird]</w:t>
      </w:r>
      <w:r w:rsidRPr="009118AB">
        <w:t>.</w:t>
      </w:r>
    </w:p>
    <w:p w14:paraId="42B8AE19" w14:textId="77777777" w:rsidR="00E712E1" w:rsidRPr="009118AB" w:rsidRDefault="00E712E1" w:rsidP="00477B8F">
      <w:pPr>
        <w:autoSpaceDE w:val="0"/>
        <w:autoSpaceDN w:val="0"/>
        <w:adjustRightInd w:val="0"/>
      </w:pPr>
    </w:p>
    <w:p w14:paraId="30AF8DB4" w14:textId="3B4D61D2" w:rsidR="00477B8F" w:rsidRPr="009118AB" w:rsidRDefault="00477B8F" w:rsidP="00477B8F">
      <w:pPr>
        <w:autoSpaceDE w:val="0"/>
        <w:autoSpaceDN w:val="0"/>
        <w:adjustRightInd w:val="0"/>
      </w:pPr>
      <w:r w:rsidRPr="009118AB">
        <w:tab/>
      </w:r>
      <w:r w:rsidR="00D67EB8" w:rsidRPr="009118AB">
        <w:t>§ </w:t>
      </w:r>
      <w:r w:rsidRPr="009118AB">
        <w:t>3</w:t>
      </w:r>
      <w:r w:rsidR="00D67EB8" w:rsidRPr="009118AB">
        <w:t> - </w:t>
      </w:r>
      <w:r w:rsidRPr="009118AB">
        <w:t>Als Seeleute aus der Gemeinschaft gelten:</w:t>
      </w:r>
    </w:p>
    <w:p w14:paraId="59DC0962" w14:textId="77777777" w:rsidR="00477B8F" w:rsidRPr="009118AB" w:rsidRDefault="00477B8F" w:rsidP="00477B8F">
      <w:pPr>
        <w:autoSpaceDE w:val="0"/>
        <w:autoSpaceDN w:val="0"/>
        <w:adjustRightInd w:val="0"/>
        <w:jc w:val="both"/>
      </w:pPr>
    </w:p>
    <w:p w14:paraId="6960CA05" w14:textId="77777777" w:rsidR="00477B8F" w:rsidRPr="009118AB" w:rsidRDefault="00477B8F" w:rsidP="00477B8F">
      <w:pPr>
        <w:autoSpaceDE w:val="0"/>
        <w:autoSpaceDN w:val="0"/>
        <w:adjustRightInd w:val="0"/>
        <w:jc w:val="both"/>
      </w:pPr>
      <w:r w:rsidRPr="009118AB">
        <w:tab/>
        <w:t>- Bürger des Europäischen Wirtschaftsraums im Falle von Seeleuten, die auf Schiffen einschließlich Ro-Ro-Fahrgastschiffen arbeiten, die im regelmäßigen Personenbeförderungs</w:t>
      </w:r>
      <w:r w:rsidR="00A270E8" w:rsidRPr="009118AB">
        <w:softHyphen/>
      </w:r>
      <w:r w:rsidRPr="009118AB">
        <w:t>dienst zwischen Häfen der Gemeinschaft eingesetzt werden,</w:t>
      </w:r>
    </w:p>
    <w:p w14:paraId="4132FE5A" w14:textId="77777777" w:rsidR="00477B8F" w:rsidRPr="009118AB" w:rsidRDefault="00477B8F" w:rsidP="00477B8F">
      <w:pPr>
        <w:autoSpaceDE w:val="0"/>
        <w:autoSpaceDN w:val="0"/>
        <w:adjustRightInd w:val="0"/>
        <w:jc w:val="both"/>
      </w:pPr>
    </w:p>
    <w:p w14:paraId="5C54A90C" w14:textId="77777777" w:rsidR="00477B8F" w:rsidRPr="009118AB" w:rsidRDefault="00477B8F" w:rsidP="00477B8F">
      <w:pPr>
        <w:autoSpaceDE w:val="0"/>
        <w:autoSpaceDN w:val="0"/>
        <w:adjustRightInd w:val="0"/>
        <w:jc w:val="both"/>
      </w:pPr>
      <w:r w:rsidRPr="009118AB">
        <w:tab/>
        <w:t>- in allen anderen Fällen alle Seeleute, die in einem Mitgliedstaat steuerpflichtig sind und/oder Sozialversicherungsbeiträge zu entrichten haben.</w:t>
      </w:r>
    </w:p>
    <w:p w14:paraId="36E60FD8" w14:textId="77777777" w:rsidR="00477B8F" w:rsidRPr="009118AB" w:rsidRDefault="00477B8F" w:rsidP="00477B8F">
      <w:pPr>
        <w:autoSpaceDE w:val="0"/>
        <w:autoSpaceDN w:val="0"/>
        <w:adjustRightInd w:val="0"/>
        <w:jc w:val="both"/>
      </w:pPr>
    </w:p>
    <w:p w14:paraId="32FAAD2F" w14:textId="1EA72BCD" w:rsidR="00477B8F" w:rsidRPr="009118AB" w:rsidRDefault="00477B8F" w:rsidP="00477B8F">
      <w:pPr>
        <w:autoSpaceDE w:val="0"/>
        <w:autoSpaceDN w:val="0"/>
        <w:adjustRightInd w:val="0"/>
        <w:jc w:val="both"/>
      </w:pPr>
      <w:r w:rsidRPr="009118AB">
        <w:tab/>
      </w:r>
      <w:r w:rsidR="00D67EB8" w:rsidRPr="009118AB">
        <w:t>§ </w:t>
      </w:r>
      <w:r w:rsidRPr="009118AB">
        <w:t>4</w:t>
      </w:r>
      <w:r w:rsidR="00D67EB8" w:rsidRPr="009118AB">
        <w:t> - </w:t>
      </w:r>
      <w:r w:rsidRPr="009118AB">
        <w:t>In Bezug auf den Sektor der Schleppschifffahrt und der Baggerarbeiten ist die in vorliegendem Artikel erwähnte Maßnahme nur auf den maritimen Teil von Schlepp- und Baggerarbeiten anwendbar.</w:t>
      </w:r>
    </w:p>
    <w:p w14:paraId="55D2A423" w14:textId="77777777" w:rsidR="003151C7" w:rsidRPr="009118AB" w:rsidRDefault="003151C7" w:rsidP="00477B8F">
      <w:pPr>
        <w:autoSpaceDE w:val="0"/>
        <w:autoSpaceDN w:val="0"/>
        <w:adjustRightInd w:val="0"/>
        <w:jc w:val="both"/>
      </w:pPr>
    </w:p>
    <w:p w14:paraId="0CEFB82C" w14:textId="79FCAE87" w:rsidR="00477B8F" w:rsidRPr="009118AB" w:rsidRDefault="00477B8F" w:rsidP="00477B8F">
      <w:pPr>
        <w:autoSpaceDE w:val="0"/>
        <w:autoSpaceDN w:val="0"/>
        <w:adjustRightInd w:val="0"/>
        <w:jc w:val="both"/>
      </w:pPr>
      <w:r w:rsidRPr="009118AB">
        <w:tab/>
        <w:t xml:space="preserve">Die Seeleute aus der Gemeinschaft müssen </w:t>
      </w:r>
      <w:r w:rsidR="00D10E7C" w:rsidRPr="009118AB">
        <w:t>[auf seetüchtigen Booten oder Schiffen mit Eigenantrieb, die zur Beförderung einer Ladung auf See oder zur Hilfeleistung auf See vorgesehen sind,]</w:t>
      </w:r>
      <w:r w:rsidRPr="009118AB">
        <w:t xml:space="preserve"> arbeiten:</w:t>
      </w:r>
    </w:p>
    <w:p w14:paraId="63792136" w14:textId="77777777" w:rsidR="00477B8F" w:rsidRPr="009118AB" w:rsidRDefault="00477B8F" w:rsidP="00477B8F">
      <w:pPr>
        <w:autoSpaceDE w:val="0"/>
        <w:autoSpaceDN w:val="0"/>
        <w:adjustRightInd w:val="0"/>
        <w:jc w:val="both"/>
      </w:pPr>
    </w:p>
    <w:p w14:paraId="38FBFB6B" w14:textId="77777777" w:rsidR="00477B8F" w:rsidRPr="009118AB" w:rsidRDefault="00477B8F" w:rsidP="00477B8F">
      <w:pPr>
        <w:autoSpaceDE w:val="0"/>
        <w:autoSpaceDN w:val="0"/>
        <w:adjustRightInd w:val="0"/>
        <w:jc w:val="both"/>
      </w:pPr>
      <w:r w:rsidRPr="009118AB">
        <w:tab/>
        <w:t>- die in einem Mitgliedstaat registriert sind,</w:t>
      </w:r>
    </w:p>
    <w:p w14:paraId="35E919CE" w14:textId="77777777" w:rsidR="00A270E8" w:rsidRPr="009118AB" w:rsidRDefault="00A270E8" w:rsidP="00477B8F">
      <w:pPr>
        <w:autoSpaceDE w:val="0"/>
        <w:autoSpaceDN w:val="0"/>
        <w:adjustRightInd w:val="0"/>
        <w:jc w:val="both"/>
      </w:pPr>
    </w:p>
    <w:p w14:paraId="4A8FB6D2" w14:textId="77777777" w:rsidR="00477B8F" w:rsidRPr="009118AB" w:rsidRDefault="00477B8F" w:rsidP="00477B8F">
      <w:pPr>
        <w:autoSpaceDE w:val="0"/>
        <w:autoSpaceDN w:val="0"/>
        <w:adjustRightInd w:val="0"/>
        <w:jc w:val="both"/>
      </w:pPr>
      <w:r w:rsidRPr="009118AB">
        <w:tab/>
        <w:t>- für die ein Schiffszertifikat vorgelegt wird</w:t>
      </w:r>
    </w:p>
    <w:p w14:paraId="06657EF8" w14:textId="77777777" w:rsidR="00477B8F" w:rsidRPr="009118AB" w:rsidRDefault="00477B8F" w:rsidP="00477B8F">
      <w:pPr>
        <w:autoSpaceDE w:val="0"/>
        <w:autoSpaceDN w:val="0"/>
        <w:adjustRightInd w:val="0"/>
        <w:jc w:val="both"/>
      </w:pPr>
    </w:p>
    <w:p w14:paraId="7EC49A0D" w14:textId="77777777" w:rsidR="00477B8F" w:rsidRPr="009118AB" w:rsidRDefault="00477B8F" w:rsidP="00477B8F">
      <w:pPr>
        <w:autoSpaceDE w:val="0"/>
        <w:autoSpaceDN w:val="0"/>
        <w:adjustRightInd w:val="0"/>
        <w:jc w:val="both"/>
      </w:pPr>
      <w:r w:rsidRPr="009118AB">
        <w:tab/>
        <w:t>- und die während mindestens 50 Prozent ihrer Betriebszeit für Tätigkeiten auf See eingesetzt werden.</w:t>
      </w:r>
    </w:p>
    <w:p w14:paraId="5756DA22" w14:textId="77777777" w:rsidR="00477B8F" w:rsidRPr="009118AB" w:rsidRDefault="00477B8F" w:rsidP="00477B8F">
      <w:pPr>
        <w:autoSpaceDE w:val="0"/>
        <w:autoSpaceDN w:val="0"/>
        <w:adjustRightInd w:val="0"/>
        <w:jc w:val="both"/>
      </w:pPr>
    </w:p>
    <w:p w14:paraId="39FB3C78" w14:textId="77777777" w:rsidR="00477B8F" w:rsidRPr="009118AB" w:rsidRDefault="00477B8F" w:rsidP="00477B8F">
      <w:pPr>
        <w:autoSpaceDE w:val="0"/>
        <w:autoSpaceDN w:val="0"/>
        <w:adjustRightInd w:val="0"/>
        <w:jc w:val="both"/>
      </w:pPr>
      <w:r w:rsidRPr="009118AB">
        <w:tab/>
        <w:t>In Bezug auf den Sektor der Schleppschifffahrt wird ein proportionaler Teil der Wartezeit für die Berechnung der in Absatz 2 erwähnten Schwelle von 50 Prozent als Seeverkehr berücksichtigt.</w:t>
      </w:r>
    </w:p>
    <w:p w14:paraId="5761309C" w14:textId="77777777" w:rsidR="00D10E7C" w:rsidRPr="009118AB" w:rsidRDefault="00D10E7C" w:rsidP="00477B8F">
      <w:pPr>
        <w:autoSpaceDE w:val="0"/>
        <w:autoSpaceDN w:val="0"/>
        <w:adjustRightInd w:val="0"/>
        <w:jc w:val="both"/>
      </w:pPr>
    </w:p>
    <w:p w14:paraId="1ADF9413" w14:textId="77777777" w:rsidR="00CB07FE" w:rsidRPr="009118AB" w:rsidRDefault="00CB07FE" w:rsidP="00CB07FE">
      <w:pPr>
        <w:ind w:firstLine="708"/>
        <w:jc w:val="both"/>
      </w:pPr>
      <w:r w:rsidRPr="009118AB">
        <w:tab/>
        <w:t xml:space="preserve">[Für die Feststellung der Zeit, die sich auf den Seeverkehrsteil bezieht, wird nur der Teil berücksichtigt, der sich auf den Verkehr auf See bezieht. Der Verkehr auf Flüssen oder Kanälen </w:t>
      </w:r>
      <w:r w:rsidRPr="009118AB">
        <w:lastRenderedPageBreak/>
        <w:t>gilt nicht als Seeverkehr. Der Verkehr auf Wasserstraßen mit Seeschifffahrtscharakter gilt auch nicht als Seeverkehr, es sei denn, dieser Verkehr ist Teil einer längeren Fahrt auf See.</w:t>
      </w:r>
    </w:p>
    <w:p w14:paraId="0E406C1B" w14:textId="77777777" w:rsidR="00CB07FE" w:rsidRPr="009118AB" w:rsidRDefault="00CB07FE" w:rsidP="00CB07FE">
      <w:pPr>
        <w:jc w:val="both"/>
      </w:pPr>
    </w:p>
    <w:p w14:paraId="47F7A2AD" w14:textId="587FFB0F" w:rsidR="00CB07FE" w:rsidRPr="009118AB" w:rsidRDefault="00CB07FE" w:rsidP="00CB07FE">
      <w:pPr>
        <w:autoSpaceDE w:val="0"/>
        <w:autoSpaceDN w:val="0"/>
        <w:adjustRightInd w:val="0"/>
        <w:ind w:firstLine="708"/>
        <w:jc w:val="both"/>
      </w:pPr>
      <w:r w:rsidRPr="009118AB">
        <w:t>Für die Anwendung des vorliegenden Artikels ist unter See das Meer zu verstehen, das durch die Niedrigwasserlinie der Küste Belgiens wie im Gesetz vom 6. Oktober 1987 zur Festlegung der Breite des belgischen Küstenmeeres erwähnt sowie die Basislinie des Küstenmeeres jedes anderen Staates begrenzt wird, wie im Seerechtsübereinkommen der Vereinten Nationen erwähnt.]</w:t>
      </w:r>
    </w:p>
    <w:p w14:paraId="2269FBCE" w14:textId="77777777" w:rsidR="00CB07FE" w:rsidRPr="009118AB" w:rsidRDefault="00CB07FE" w:rsidP="00477B8F">
      <w:pPr>
        <w:autoSpaceDE w:val="0"/>
        <w:autoSpaceDN w:val="0"/>
        <w:adjustRightInd w:val="0"/>
        <w:jc w:val="both"/>
      </w:pPr>
    </w:p>
    <w:p w14:paraId="04173018" w14:textId="4BD005F7" w:rsidR="00D10E7C" w:rsidRPr="009118AB" w:rsidRDefault="00D10E7C" w:rsidP="00477B8F">
      <w:pPr>
        <w:autoSpaceDE w:val="0"/>
        <w:autoSpaceDN w:val="0"/>
        <w:adjustRightInd w:val="0"/>
        <w:jc w:val="both"/>
      </w:pPr>
      <w:r w:rsidRPr="009118AB">
        <w:tab/>
        <w:t>[Für die Berechnung der in Absatz 2 erwähnten Schwelle von 50 Prozent werden nur als Seeverkehr berücksichtigt: die Seeschifffahrt zwischen dem Hafen und der Baggerstelle, die Seeschifffahrt zwischen der Baggerstelle und der Entladestelle, die Seeschifffahrt zwischen der Entladestelle und dem Hafen, die Seeschifffahrt zu und zwischen Baggerstellen, die Entladung des Schiffes auf See und die Hilfeleistung auf See auf Ersuchen öffentlicher Behörden.]</w:t>
      </w:r>
    </w:p>
    <w:p w14:paraId="764B9391" w14:textId="77777777" w:rsidR="00477B8F" w:rsidRPr="009118AB" w:rsidRDefault="00477B8F" w:rsidP="00477B8F">
      <w:pPr>
        <w:autoSpaceDE w:val="0"/>
        <w:autoSpaceDN w:val="0"/>
        <w:adjustRightInd w:val="0"/>
        <w:jc w:val="both"/>
      </w:pPr>
    </w:p>
    <w:p w14:paraId="4C6928EC" w14:textId="7CA52046" w:rsidR="00477B8F" w:rsidRPr="009118AB" w:rsidRDefault="00477B8F" w:rsidP="00477B8F">
      <w:pPr>
        <w:autoSpaceDE w:val="0"/>
        <w:autoSpaceDN w:val="0"/>
        <w:adjustRightInd w:val="0"/>
        <w:jc w:val="both"/>
      </w:pPr>
      <w:r w:rsidRPr="009118AB">
        <w:tab/>
      </w:r>
      <w:r w:rsidR="00D67EB8" w:rsidRPr="009118AB">
        <w:t>§ </w:t>
      </w:r>
      <w:r w:rsidRPr="009118AB">
        <w:t>5</w:t>
      </w:r>
      <w:r w:rsidR="00D67EB8" w:rsidRPr="009118AB">
        <w:t> - </w:t>
      </w:r>
      <w:r w:rsidRPr="009118AB">
        <w:t>Der König bestimmt Regeln und Modalitäten in Bezug auf die Weise, wie bei der Einreichung der Erklärung zum Berufssteuervorabzug der Nachweis zu erbringen ist, dass Entlohnungen von Seeleuten aus der Gemeinschaft, für die der einbehaltene Berufssteuervorabzug in Bezug auf den Zeitraum, auf den diese Erklärung sich bezieht, nicht gezahlt wurde, für die Anwendung der in vorliegendem Artikel beschriebenen Maßnahme berücksichtigt werden.]</w:t>
      </w:r>
    </w:p>
    <w:p w14:paraId="7953BA53" w14:textId="77777777" w:rsidR="00477B8F" w:rsidRPr="009118AB" w:rsidRDefault="00477B8F" w:rsidP="00477B8F">
      <w:pPr>
        <w:autoSpaceDE w:val="0"/>
        <w:autoSpaceDN w:val="0"/>
        <w:adjustRightInd w:val="0"/>
        <w:jc w:val="both"/>
      </w:pPr>
    </w:p>
    <w:p w14:paraId="1C200521" w14:textId="13BBDE8E"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275</w:t>
      </w:r>
      <w:r w:rsidRPr="009118AB">
        <w:rPr>
          <w:i/>
          <w:iCs/>
          <w:vertAlign w:val="superscript"/>
        </w:rPr>
        <w:t>2</w:t>
      </w:r>
      <w:r w:rsidRPr="009118AB">
        <w:rPr>
          <w:i/>
          <w:iCs/>
        </w:rPr>
        <w:t xml:space="preserve"> eingefügt durch </w:t>
      </w:r>
      <w:r w:rsidR="00D67EB8" w:rsidRPr="009118AB">
        <w:rPr>
          <w:i/>
          <w:iCs/>
        </w:rPr>
        <w:t>Art. </w:t>
      </w:r>
      <w:r w:rsidRPr="009118AB">
        <w:rPr>
          <w:i/>
          <w:iCs/>
        </w:rPr>
        <w:t>2 des G. vom 20. Juli 2005 (B.S. vom 10. August 2005)</w:t>
      </w:r>
      <w:r w:rsidR="00D67EB8" w:rsidRPr="009118AB">
        <w:rPr>
          <w:i/>
          <w:iCs/>
        </w:rPr>
        <w:t> - </w:t>
      </w:r>
      <w:r w:rsidRPr="009118AB">
        <w:rPr>
          <w:i/>
          <w:iCs/>
        </w:rPr>
        <w:t>anwendbar auf die ab dem 1. Juli 2005 gezahlten oder zuerkannten Entlohnungen</w:t>
      </w:r>
      <w:r w:rsidR="003366D9" w:rsidRPr="009118AB">
        <w:rPr>
          <w:i/>
          <w:iCs/>
        </w:rPr>
        <w:t> -;</w:t>
      </w:r>
      <w:r w:rsidR="003151C7" w:rsidRPr="009118AB">
        <w:rPr>
          <w:i/>
          <w:iCs/>
        </w:rPr>
        <w:t xml:space="preserve"> </w:t>
      </w:r>
      <w:r w:rsidR="00D67EB8" w:rsidRPr="009118AB">
        <w:rPr>
          <w:i/>
          <w:iCs/>
        </w:rPr>
        <w:t>§ </w:t>
      </w:r>
      <w:r w:rsidR="003151C7" w:rsidRPr="009118AB">
        <w:rPr>
          <w:i/>
          <w:iCs/>
        </w:rPr>
        <w:t xml:space="preserve">1 abgeändert durch </w:t>
      </w:r>
      <w:r w:rsidR="00D67EB8" w:rsidRPr="009118AB">
        <w:rPr>
          <w:i/>
          <w:iCs/>
        </w:rPr>
        <w:t>Art. </w:t>
      </w:r>
      <w:r w:rsidR="003151C7" w:rsidRPr="009118AB">
        <w:rPr>
          <w:i/>
          <w:iCs/>
        </w:rPr>
        <w:t>11</w:t>
      </w:r>
      <w:r w:rsidR="003151C7" w:rsidRPr="009118AB">
        <w:rPr>
          <w:i/>
        </w:rPr>
        <w:t xml:space="preserve"> des G. vom 11. Februar 2019 (B.S. vom 22. März 2019)</w:t>
      </w:r>
      <w:r w:rsidR="00D67EB8" w:rsidRPr="009118AB">
        <w:rPr>
          <w:i/>
        </w:rPr>
        <w:t> - </w:t>
      </w:r>
      <w:r w:rsidR="003151C7" w:rsidRPr="009118AB">
        <w:rPr>
          <w:i/>
        </w:rPr>
        <w:t>in Kraft am 1. März 2019 und anwendbar auf die ab dem 1. März 2019 gezahlten oder zuerkannten Entlohnungen</w:t>
      </w:r>
      <w:r w:rsidR="003366D9" w:rsidRPr="009118AB">
        <w:rPr>
          <w:i/>
        </w:rPr>
        <w:t> -;</w:t>
      </w:r>
      <w:r w:rsidR="00D10E7C" w:rsidRPr="009118AB">
        <w:rPr>
          <w:i/>
        </w:rPr>
        <w:t xml:space="preserve"> </w:t>
      </w:r>
      <w:r w:rsidR="00D67EB8" w:rsidRPr="009118AB">
        <w:rPr>
          <w:i/>
        </w:rPr>
        <w:t>§ </w:t>
      </w:r>
      <w:r w:rsidR="00D10E7C" w:rsidRPr="009118AB">
        <w:rPr>
          <w:i/>
        </w:rPr>
        <w:t xml:space="preserve">2 abgeändert durch </w:t>
      </w:r>
      <w:r w:rsidR="00D67EB8" w:rsidRPr="009118AB">
        <w:rPr>
          <w:i/>
        </w:rPr>
        <w:t>Art. </w:t>
      </w:r>
      <w:r w:rsidR="00D10E7C" w:rsidRPr="009118AB">
        <w:rPr>
          <w:i/>
        </w:rPr>
        <w:t xml:space="preserve">8 </w:t>
      </w:r>
      <w:r w:rsidR="00D67EB8" w:rsidRPr="009118AB">
        <w:rPr>
          <w:i/>
        </w:rPr>
        <w:t>Nr. </w:t>
      </w:r>
      <w:r w:rsidR="00D10E7C" w:rsidRPr="009118AB">
        <w:rPr>
          <w:i/>
        </w:rPr>
        <w:t>1</w:t>
      </w:r>
      <w:r w:rsidR="00D10E7C"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D10E7C" w:rsidRPr="009118AB">
        <w:rPr>
          <w:rFonts w:ascii="Times New Roman Italique" w:hAnsi="Times New Roman Italique"/>
          <w:i/>
        </w:rPr>
        <w:t>anwendbar auf die ab dem 1.</w:t>
      </w:r>
      <w:r w:rsidR="00D10E7C" w:rsidRPr="009118AB">
        <w:rPr>
          <w:rFonts w:ascii="Times New Roman Italique" w:hAnsi="Times New Roman Italique" w:hint="eastAsia"/>
          <w:i/>
        </w:rPr>
        <w:t> </w:t>
      </w:r>
      <w:r w:rsidR="00D10E7C" w:rsidRPr="009118AB">
        <w:rPr>
          <w:rFonts w:ascii="Times New Roman Italique" w:hAnsi="Times New Roman Italique"/>
          <w:i/>
        </w:rPr>
        <w:t>April</w:t>
      </w:r>
      <w:r w:rsidR="00D10E7C" w:rsidRPr="009118AB">
        <w:rPr>
          <w:rFonts w:ascii="Times New Roman Italique" w:hAnsi="Times New Roman Italique" w:hint="eastAsia"/>
          <w:i/>
        </w:rPr>
        <w:t> </w:t>
      </w:r>
      <w:r w:rsidR="00D10E7C" w:rsidRPr="009118AB">
        <w:rPr>
          <w:rFonts w:ascii="Times New Roman Italique" w:hAnsi="Times New Roman Italique"/>
          <w:i/>
        </w:rPr>
        <w:t>2022 gezahlten oder zuerkannten Entlohnungen</w:t>
      </w:r>
      <w:r w:rsidR="003366D9" w:rsidRPr="009118AB">
        <w:rPr>
          <w:rFonts w:ascii="Times New Roman Italique" w:hAnsi="Times New Roman Italique"/>
          <w:i/>
        </w:rPr>
        <w:t> </w:t>
      </w:r>
      <w:r w:rsidR="003366D9" w:rsidRPr="009118AB">
        <w:rPr>
          <w:rFonts w:ascii="Times New Roman Italique" w:hAnsi="Times New Roman Italique" w:hint="eastAsia"/>
          <w:i/>
        </w:rPr>
        <w:t>-;</w:t>
      </w:r>
      <w:r w:rsidR="00D10E7C" w:rsidRPr="009118AB">
        <w:rPr>
          <w:rFonts w:ascii="Times New Roman Italique" w:hAnsi="Times New Roman Italique"/>
          <w:i/>
        </w:rPr>
        <w:t xml:space="preserve"> </w:t>
      </w:r>
      <w:r w:rsidR="00D67EB8" w:rsidRPr="009118AB">
        <w:rPr>
          <w:rFonts w:ascii="Times New Roman Italique" w:hAnsi="Times New Roman Italique"/>
          <w:i/>
        </w:rPr>
        <w:t>§ </w:t>
      </w:r>
      <w:r w:rsidR="00D10E7C" w:rsidRPr="009118AB">
        <w:rPr>
          <w:rFonts w:ascii="Times New Roman Italique" w:hAnsi="Times New Roman Italique"/>
          <w:i/>
        </w:rPr>
        <w:t xml:space="preserve">4 </w:t>
      </w:r>
      <w:r w:rsidR="00D67EB8" w:rsidRPr="009118AB">
        <w:rPr>
          <w:rFonts w:ascii="Times New Roman Italique" w:hAnsi="Times New Roman Italique"/>
          <w:i/>
        </w:rPr>
        <w:t>Abs. </w:t>
      </w:r>
      <w:r w:rsidR="00D10E7C" w:rsidRPr="009118AB">
        <w:rPr>
          <w:rFonts w:ascii="Times New Roman Italique" w:hAnsi="Times New Roman Italique"/>
          <w:i/>
        </w:rPr>
        <w:t xml:space="preserve">2 einleitende Bestimmung abgeändert durch </w:t>
      </w:r>
      <w:r w:rsidR="00D67EB8" w:rsidRPr="009118AB">
        <w:rPr>
          <w:rFonts w:ascii="Times New Roman Italique" w:hAnsi="Times New Roman Italique"/>
          <w:i/>
        </w:rPr>
        <w:t>Art. </w:t>
      </w:r>
      <w:r w:rsidR="00D10E7C" w:rsidRPr="009118AB">
        <w:rPr>
          <w:rFonts w:ascii="Times New Roman Italique" w:hAnsi="Times New Roman Italique"/>
          <w:i/>
        </w:rPr>
        <w:t xml:space="preserve">8 </w:t>
      </w:r>
      <w:r w:rsidR="00D67EB8" w:rsidRPr="009118AB">
        <w:rPr>
          <w:rFonts w:ascii="Times New Roman Italique" w:hAnsi="Times New Roman Italique"/>
          <w:i/>
        </w:rPr>
        <w:t>Nr. </w:t>
      </w:r>
      <w:r w:rsidR="00D10E7C" w:rsidRPr="009118AB">
        <w:rPr>
          <w:rFonts w:ascii="Times New Roman Italique" w:hAnsi="Times New Roman Italique"/>
          <w:i/>
        </w:rPr>
        <w:t>2 des G. vom 28. März 2022 (B.S. vom 31. März 2022)</w:t>
      </w:r>
      <w:r w:rsidR="00D67EB8" w:rsidRPr="009118AB">
        <w:rPr>
          <w:rFonts w:ascii="Times New Roman Italique" w:hAnsi="Times New Roman Italique"/>
          <w:i/>
        </w:rPr>
        <w:t> - </w:t>
      </w:r>
      <w:r w:rsidR="00D10E7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00CB07FE" w:rsidRPr="009118AB">
        <w:rPr>
          <w:rFonts w:ascii="Times New Roman Italique" w:hAnsi="Times New Roman Italique"/>
          <w:i/>
        </w:rPr>
        <w:t xml:space="preserve"> §</w:t>
      </w:r>
      <w:r w:rsidR="00CB07FE" w:rsidRPr="009118AB">
        <w:rPr>
          <w:rFonts w:ascii="Times New Roman Italique" w:hAnsi="Times New Roman Italique" w:hint="eastAsia"/>
          <w:i/>
        </w:rPr>
        <w:t> </w:t>
      </w:r>
      <w:r w:rsidR="00CB07FE" w:rsidRPr="009118AB">
        <w:rPr>
          <w:rFonts w:ascii="Times New Roman Italique" w:hAnsi="Times New Roman Italique"/>
          <w:i/>
        </w:rPr>
        <w:t>4 neue Absätze</w:t>
      </w:r>
      <w:r w:rsidR="00CB07FE" w:rsidRPr="009118AB">
        <w:rPr>
          <w:rFonts w:ascii="Times New Roman Italique" w:hAnsi="Times New Roman Italique" w:hint="eastAsia"/>
          <w:i/>
        </w:rPr>
        <w:t> </w:t>
      </w:r>
      <w:r w:rsidR="00CB07FE" w:rsidRPr="009118AB">
        <w:rPr>
          <w:rFonts w:ascii="Times New Roman Italique" w:hAnsi="Times New Roman Italique"/>
          <w:i/>
        </w:rPr>
        <w:t>4 und 5 eingefügt durch Art. 49</w:t>
      </w:r>
      <w:r w:rsidR="00CB07FE" w:rsidRPr="009118AB">
        <w:rPr>
          <w:i/>
          <w:iCs/>
        </w:rPr>
        <w:t xml:space="preserve"> des G. vom 20. November 2022 (B.S. vom 30. November 2022);</w:t>
      </w:r>
      <w:r w:rsidR="00D10E7C" w:rsidRPr="009118AB">
        <w:rPr>
          <w:rFonts w:ascii="Times New Roman Italique" w:hAnsi="Times New Roman Italique"/>
          <w:i/>
        </w:rPr>
        <w:t xml:space="preserve"> </w:t>
      </w:r>
      <w:r w:rsidR="00D67EB8" w:rsidRPr="009118AB">
        <w:rPr>
          <w:rFonts w:ascii="Times New Roman Italique" w:hAnsi="Times New Roman Italique"/>
          <w:i/>
        </w:rPr>
        <w:t>§ </w:t>
      </w:r>
      <w:r w:rsidR="00D10E7C" w:rsidRPr="009118AB">
        <w:rPr>
          <w:rFonts w:ascii="Times New Roman Italique" w:hAnsi="Times New Roman Italique"/>
          <w:i/>
        </w:rPr>
        <w:t xml:space="preserve">4 </w:t>
      </w:r>
      <w:r w:rsidR="00D67EB8" w:rsidRPr="009118AB">
        <w:rPr>
          <w:rFonts w:ascii="Times New Roman Italique" w:hAnsi="Times New Roman Italique"/>
          <w:i/>
        </w:rPr>
        <w:t>Abs. </w:t>
      </w:r>
      <w:r w:rsidR="00CB07FE" w:rsidRPr="009118AB">
        <w:rPr>
          <w:rFonts w:ascii="Times New Roman Italique" w:hAnsi="Times New Roman Italique"/>
          <w:i/>
        </w:rPr>
        <w:t>6</w:t>
      </w:r>
      <w:r w:rsidR="00D10E7C" w:rsidRPr="009118AB">
        <w:rPr>
          <w:rFonts w:ascii="Times New Roman Italique" w:hAnsi="Times New Roman Italique"/>
          <w:i/>
        </w:rPr>
        <w:t xml:space="preserve"> eingefügt durch </w:t>
      </w:r>
      <w:r w:rsidR="00D67EB8" w:rsidRPr="009118AB">
        <w:rPr>
          <w:rFonts w:ascii="Times New Roman Italique" w:hAnsi="Times New Roman Italique"/>
          <w:i/>
        </w:rPr>
        <w:t>Art. </w:t>
      </w:r>
      <w:r w:rsidR="00D10E7C" w:rsidRPr="009118AB">
        <w:rPr>
          <w:rFonts w:ascii="Times New Roman Italique" w:hAnsi="Times New Roman Italique"/>
          <w:i/>
        </w:rPr>
        <w:t xml:space="preserve">8 </w:t>
      </w:r>
      <w:r w:rsidR="00D67EB8" w:rsidRPr="009118AB">
        <w:rPr>
          <w:rFonts w:ascii="Times New Roman Italique" w:hAnsi="Times New Roman Italique"/>
          <w:i/>
        </w:rPr>
        <w:t>Nr. </w:t>
      </w:r>
      <w:r w:rsidR="00D10E7C" w:rsidRPr="009118AB">
        <w:rPr>
          <w:rFonts w:ascii="Times New Roman Italique" w:hAnsi="Times New Roman Italique"/>
          <w:i/>
        </w:rPr>
        <w:t>3 des G. vom 28. März 2022 (B.S. vom 31. März 2022)</w:t>
      </w:r>
      <w:r w:rsidR="00D67EB8" w:rsidRPr="009118AB">
        <w:rPr>
          <w:rFonts w:ascii="Times New Roman Italique" w:hAnsi="Times New Roman Italique"/>
          <w:i/>
        </w:rPr>
        <w:t> - </w:t>
      </w:r>
      <w:r w:rsidR="00C92B4A" w:rsidRPr="009118AB">
        <w:rPr>
          <w:rFonts w:ascii="Times New Roman Italique" w:hAnsi="Times New Roman Italique"/>
          <w:i/>
        </w:rPr>
        <w:t>a</w:t>
      </w:r>
      <w:r w:rsidR="00D10E7C" w:rsidRPr="009118AB">
        <w:rPr>
          <w:rFonts w:ascii="Times New Roman Italique" w:hAnsi="Times New Roman Italique"/>
          <w:i/>
        </w:rPr>
        <w:t>nwendbar auf die ab dem 1. April 2022 gezahlten oder zuerkannten Entlohnungen</w:t>
      </w:r>
      <w:r w:rsidR="00FD68E8" w:rsidRPr="009118AB">
        <w:rPr>
          <w:rFonts w:ascii="Times New Roman Italique" w:hAnsi="Times New Roman Italique"/>
          <w:i/>
        </w:rPr>
        <w:t> -]</w:t>
      </w:r>
    </w:p>
    <w:p w14:paraId="137189F3" w14:textId="77777777" w:rsidR="00477B8F" w:rsidRPr="009118AB" w:rsidRDefault="00477B8F" w:rsidP="00477B8F">
      <w:pPr>
        <w:autoSpaceDE w:val="0"/>
        <w:autoSpaceDN w:val="0"/>
        <w:adjustRightInd w:val="0"/>
        <w:jc w:val="both"/>
      </w:pPr>
    </w:p>
    <w:p w14:paraId="05C5E348" w14:textId="77777777" w:rsidR="00477B8F" w:rsidRPr="009118AB" w:rsidRDefault="00477B8F" w:rsidP="00477B8F">
      <w:pPr>
        <w:autoSpaceDE w:val="0"/>
        <w:autoSpaceDN w:val="0"/>
        <w:adjustRightInd w:val="0"/>
        <w:jc w:val="both"/>
      </w:pPr>
    </w:p>
    <w:p w14:paraId="13ACF6E2" w14:textId="3275CFED" w:rsidR="00435B35" w:rsidRPr="009118AB" w:rsidRDefault="00477B8F" w:rsidP="00435B35">
      <w:pPr>
        <w:autoSpaceDE w:val="0"/>
        <w:autoSpaceDN w:val="0"/>
        <w:adjustRightInd w:val="0"/>
        <w:jc w:val="both"/>
        <w:rPr>
          <w:iCs/>
        </w:rPr>
      </w:pPr>
      <w:r w:rsidRPr="009118AB">
        <w:tab/>
        <w:t>[</w:t>
      </w:r>
      <w:r w:rsidR="00D67EB8" w:rsidRPr="009118AB">
        <w:rPr>
          <w:b/>
          <w:bCs/>
        </w:rPr>
        <w:t>Art. </w:t>
      </w:r>
      <w:r w:rsidRPr="009118AB">
        <w:rPr>
          <w:b/>
          <w:bCs/>
        </w:rPr>
        <w:t>275</w:t>
      </w:r>
      <w:r w:rsidRPr="009118AB">
        <w:rPr>
          <w:b/>
          <w:bCs/>
          <w:vertAlign w:val="superscript"/>
        </w:rPr>
        <w:t>3</w:t>
      </w:r>
      <w:r w:rsidR="00D67EB8" w:rsidRPr="009118AB">
        <w:t> - </w:t>
      </w:r>
      <w:r w:rsidR="00435B35" w:rsidRPr="009118AB">
        <w:rPr>
          <w:iCs/>
        </w:rPr>
        <w:t>[</w:t>
      </w:r>
      <w:r w:rsidR="00D67EB8" w:rsidRPr="009118AB">
        <w:rPr>
          <w:iCs/>
        </w:rPr>
        <w:t>§ </w:t>
      </w:r>
      <w:r w:rsidR="00435B35" w:rsidRPr="009118AB">
        <w:rPr>
          <w:iCs/>
        </w:rPr>
        <w:t>1]</w:t>
      </w:r>
      <w:r w:rsidR="00D67EB8" w:rsidRPr="009118AB">
        <w:rPr>
          <w:iCs/>
        </w:rPr>
        <w:t> - </w:t>
      </w:r>
      <w:r w:rsidR="00435B35" w:rsidRPr="009118AB">
        <w:rPr>
          <w:iCs/>
        </w:rPr>
        <w:t>Universitäten und Hochschulen, die Assistenten-Forschern Entlohnungen zahlen oder zuerkennen, und [der "Föderale Fonds für wissen</w:t>
      </w:r>
      <w:r w:rsidR="00435B35" w:rsidRPr="009118AB">
        <w:rPr>
          <w:iCs/>
        </w:rPr>
        <w:softHyphen/>
        <w:t>schaftliche Forschung</w:t>
      </w:r>
      <w:r w:rsidR="00D67EB8" w:rsidRPr="009118AB">
        <w:rPr>
          <w:iCs/>
        </w:rPr>
        <w:t> - </w:t>
      </w:r>
      <w:r w:rsidR="00435B35" w:rsidRPr="009118AB">
        <w:rPr>
          <w:iCs/>
        </w:rPr>
        <w:t>Federaal Fonds voor Wetenschappelijk Onderzoek</w:t>
      </w:r>
      <w:r w:rsidR="00D67EB8" w:rsidRPr="009118AB">
        <w:rPr>
          <w:iCs/>
        </w:rPr>
        <w:t> - </w:t>
      </w:r>
      <w:r w:rsidR="00435B35" w:rsidRPr="009118AB">
        <w:rPr>
          <w:iCs/>
        </w:rPr>
        <w:t>Fonds fédéral de la Recherche scientifique</w:t>
      </w:r>
      <w:r w:rsidR="00D67EB8" w:rsidRPr="009118AB">
        <w:rPr>
          <w:iCs/>
        </w:rPr>
        <w:t> - </w:t>
      </w:r>
      <w:r w:rsidR="00435B35" w:rsidRPr="009118AB">
        <w:rPr>
          <w:iCs/>
        </w:rPr>
        <w:t>FFWF/FFWO/FFRS", der "Fonds voor Wetenschappelijk Onderzoek</w:t>
      </w:r>
      <w:r w:rsidR="00435B35" w:rsidRPr="009118AB">
        <w:rPr>
          <w:iCs/>
        </w:rPr>
        <w:noBreakHyphen/>
        <w:t>Vlaanderen</w:t>
      </w:r>
      <w:r w:rsidR="00D67EB8" w:rsidRPr="009118AB">
        <w:rPr>
          <w:iCs/>
        </w:rPr>
        <w:t> - </w:t>
      </w:r>
      <w:r w:rsidR="00435B35" w:rsidRPr="009118AB">
        <w:rPr>
          <w:iCs/>
        </w:rPr>
        <w:t>FWO" und der "Fonds de la Recherche scientifique</w:t>
      </w:r>
      <w:r w:rsidR="00D67EB8" w:rsidRPr="009118AB">
        <w:rPr>
          <w:iCs/>
        </w:rPr>
        <w:t> - </w:t>
      </w:r>
      <w:r w:rsidR="00435B35" w:rsidRPr="009118AB">
        <w:rPr>
          <w:iCs/>
        </w:rPr>
        <w:t>FNRS</w:t>
      </w:r>
      <w:r w:rsidR="00D67EB8" w:rsidRPr="009118AB">
        <w:rPr>
          <w:iCs/>
        </w:rPr>
        <w:t> - </w:t>
      </w:r>
      <w:r w:rsidR="00435B35" w:rsidRPr="009118AB">
        <w:rPr>
          <w:iCs/>
        </w:rPr>
        <w:t>FRS</w:t>
      </w:r>
      <w:r w:rsidR="00435B35" w:rsidRPr="009118AB">
        <w:rPr>
          <w:iCs/>
        </w:rPr>
        <w:noBreakHyphen/>
        <w:t xml:space="preserve">FNRS"], die Postdoc-Forschern Entlohnungen zahlen oder zuerkennen, und die </w:t>
      </w:r>
      <w:r w:rsidR="003151C7" w:rsidRPr="009118AB">
        <w:rPr>
          <w:iCs/>
        </w:rPr>
        <w:t>[</w:t>
      </w:r>
      <w:r w:rsidR="00435B35" w:rsidRPr="009118AB">
        <w:rPr>
          <w:iCs/>
        </w:rPr>
        <w:t xml:space="preserve">aufgrund von Artikel 270 </w:t>
      </w:r>
      <w:r w:rsidR="003151C7" w:rsidRPr="009118AB">
        <w:rPr>
          <w:iCs/>
        </w:rPr>
        <w:t xml:space="preserve">Absatz 1 </w:t>
      </w:r>
      <w:r w:rsidR="00D67EB8" w:rsidRPr="009118AB">
        <w:rPr>
          <w:iCs/>
        </w:rPr>
        <w:t>Nr. </w:t>
      </w:r>
      <w:r w:rsidR="00435B35" w:rsidRPr="009118AB">
        <w:rPr>
          <w:iCs/>
        </w:rPr>
        <w:t>1</w:t>
      </w:r>
      <w:r w:rsidR="003151C7" w:rsidRPr="009118AB">
        <w:rPr>
          <w:iCs/>
        </w:rPr>
        <w:t>]</w:t>
      </w:r>
      <w:r w:rsidR="00435B35" w:rsidRPr="009118AB">
        <w:rPr>
          <w:iCs/>
        </w:rPr>
        <w:t xml:space="preserve"> den Berufssteuervorabzug auf diese Entlohnungen schulden, sind davon befreit, der Staatskasse [[80 Prozent] dieses Berufssteuervorabzugs] zuzuführen, unter der Bedingung, dass sie 100 Prozent dieses Berufssteuervorabzugs auf diese Entlohnungen einbehalten. [In vorliegendem Absatz erwähnte Einrichtungen verwenden die Summen, die sie aufgrund des vorliegenden Artikels nicht zahlen müssen, nicht zur Finanzierung der Forschung, die zur Befreiung von der Zahlungsverpflichtung geführt hat.]</w:t>
      </w:r>
    </w:p>
    <w:p w14:paraId="6D87F8A4" w14:textId="77777777" w:rsidR="00435B35" w:rsidRPr="009118AB" w:rsidRDefault="00435B35" w:rsidP="00435B35">
      <w:pPr>
        <w:autoSpaceDE w:val="0"/>
        <w:autoSpaceDN w:val="0"/>
        <w:adjustRightInd w:val="0"/>
        <w:jc w:val="both"/>
        <w:rPr>
          <w:iCs/>
        </w:rPr>
      </w:pPr>
    </w:p>
    <w:p w14:paraId="145AA2CB" w14:textId="77777777" w:rsidR="00435B35" w:rsidRPr="009118AB" w:rsidRDefault="00435B35" w:rsidP="007102E0">
      <w:pPr>
        <w:autoSpaceDE w:val="0"/>
        <w:autoSpaceDN w:val="0"/>
        <w:adjustRightInd w:val="0"/>
        <w:ind w:firstLine="709"/>
        <w:jc w:val="both"/>
        <w:rPr>
          <w:iCs/>
        </w:rPr>
      </w:pPr>
      <w:r w:rsidRPr="009118AB">
        <w:rPr>
          <w:iCs/>
        </w:rPr>
        <w:lastRenderedPageBreak/>
        <w:t>[Eine gleiche Befreiung von der Zahlung des Berufssteuervorabzugs [in Höhe von [80 Prozent]] dieses Berufssteuervorabzugs] wird ebenfalls wissenschaftlichen Einrichtungen bewilligt, die zu diesem Zweck durch einen im Ministerrat beratenen Königlichen Erlass zugelassen sind und entweder Assistenten-Forschern oder Postdoc-Forschern Entlohnungen zahlen oder zuerkennen. [In vorliegendem Absatz erwähnte Einrichtungen verwenden die Summen, die sie aufgrund des vorliegenden Artikels nicht zahlen müssen, nicht zur Finanzierung der Forschung, die zur Befreiung von der Zahlungsverpflichtung geführt hat.]</w:t>
      </w:r>
    </w:p>
    <w:p w14:paraId="7423F8EB" w14:textId="77777777" w:rsidR="00435B35" w:rsidRPr="009118AB" w:rsidRDefault="00435B35" w:rsidP="00435B35">
      <w:pPr>
        <w:autoSpaceDE w:val="0"/>
        <w:autoSpaceDN w:val="0"/>
        <w:adjustRightInd w:val="0"/>
        <w:jc w:val="both"/>
        <w:rPr>
          <w:iCs/>
        </w:rPr>
      </w:pPr>
    </w:p>
    <w:p w14:paraId="231151E6" w14:textId="2955A1AA" w:rsidR="00435B35" w:rsidRPr="009118AB" w:rsidRDefault="00435B35" w:rsidP="007102E0">
      <w:pPr>
        <w:autoSpaceDE w:val="0"/>
        <w:autoSpaceDN w:val="0"/>
        <w:adjustRightInd w:val="0"/>
        <w:ind w:firstLine="709"/>
        <w:jc w:val="both"/>
        <w:rPr>
          <w:iCs/>
        </w:rPr>
      </w:pPr>
      <w:r w:rsidRPr="009118AB">
        <w:rPr>
          <w:iCs/>
        </w:rPr>
        <w:t>[[Die in Absatz 2 erwähnte Zahlungsbefreiung] wird ebenfalls bewilligt:</w:t>
      </w:r>
    </w:p>
    <w:p w14:paraId="6A7FA836" w14:textId="77777777" w:rsidR="00435B35" w:rsidRPr="009118AB" w:rsidRDefault="00435B35" w:rsidP="00435B35">
      <w:pPr>
        <w:autoSpaceDE w:val="0"/>
        <w:autoSpaceDN w:val="0"/>
        <w:adjustRightInd w:val="0"/>
        <w:jc w:val="both"/>
        <w:rPr>
          <w:iCs/>
        </w:rPr>
      </w:pPr>
    </w:p>
    <w:p w14:paraId="3E6520A5" w14:textId="77777777" w:rsidR="00435B35" w:rsidRPr="009118AB" w:rsidRDefault="00435B35" w:rsidP="007102E0">
      <w:pPr>
        <w:autoSpaceDE w:val="0"/>
        <w:autoSpaceDN w:val="0"/>
        <w:adjustRightInd w:val="0"/>
        <w:ind w:firstLine="709"/>
        <w:jc w:val="both"/>
        <w:rPr>
          <w:iCs/>
        </w:rPr>
      </w:pPr>
      <w:r w:rsidRPr="009118AB">
        <w:rPr>
          <w:iCs/>
        </w:rPr>
        <w:t>1. Unternehmen, die Forschern Entlohnungen zahlen oder zuerkennen, die [an Forschungs- oder Entwicklungsprojekten oder -programmen] zur Ausführung von Partnerschaftsabkommen arbeiten, die geschlossen werden mit Universitäten oder Hochschulen, die in Absatz 1 erwähnt sind und im Europäischen Wirtschaftsraum ansässig sind, oder mit zugelassenen wissenschaftlichen Einrichtungen, die in Absatz 2 erwähnt sind. Diese Befreiung ist nur auf den Berufssteuervorabzug auf Entlohnungen anwendbar, die im Rahmen des [Forschungs- oder Entwicklungsprojekts oder -programms] während der Dauer dieses Projekts gezahlt werden, in dem Maße, wie sie sich auf eine tatsächliche Beschäftigung im [Forschungs- oder Entwicklungs</w:t>
      </w:r>
      <w:r w:rsidRPr="009118AB">
        <w:rPr>
          <w:iCs/>
        </w:rPr>
        <w:softHyphen/>
        <w:t>projekt oder -programm] beziehen,</w:t>
      </w:r>
    </w:p>
    <w:p w14:paraId="48A22B8A" w14:textId="77777777" w:rsidR="00435B35" w:rsidRPr="009118AB" w:rsidRDefault="00435B35" w:rsidP="00435B35">
      <w:pPr>
        <w:autoSpaceDE w:val="0"/>
        <w:autoSpaceDN w:val="0"/>
        <w:adjustRightInd w:val="0"/>
        <w:jc w:val="both"/>
        <w:rPr>
          <w:iCs/>
        </w:rPr>
      </w:pPr>
    </w:p>
    <w:p w14:paraId="45605CEF" w14:textId="097589D9" w:rsidR="00435B35" w:rsidRPr="009118AB" w:rsidRDefault="00435B35" w:rsidP="007102E0">
      <w:pPr>
        <w:autoSpaceDE w:val="0"/>
        <w:autoSpaceDN w:val="0"/>
        <w:adjustRightInd w:val="0"/>
        <w:ind w:firstLine="709"/>
        <w:jc w:val="both"/>
        <w:rPr>
          <w:iCs/>
        </w:rPr>
      </w:pPr>
      <w:r w:rsidRPr="009118AB">
        <w:rPr>
          <w:iCs/>
        </w:rPr>
        <w:t>2. Gesellschaften, die der Definition der "Young Innovative Company" entsprechen und wissenschaftlichem Personal, das als Lohnempfänger von dieser Gesellschaft beschäftigt wird, Entlohnungen zahlen oder zuerkennen. Unter "Young Innovative Company" versteht man eine Gesellschaft, die Forschungsprojekte durchführt und am Ende des Besteuerungszeitraums folgende Bedingungen erfüllt:</w:t>
      </w:r>
    </w:p>
    <w:p w14:paraId="1CDA0834" w14:textId="77777777" w:rsidR="00435B35" w:rsidRPr="009118AB" w:rsidRDefault="00435B35" w:rsidP="00435B35">
      <w:pPr>
        <w:autoSpaceDE w:val="0"/>
        <w:autoSpaceDN w:val="0"/>
        <w:adjustRightInd w:val="0"/>
        <w:jc w:val="both"/>
        <w:rPr>
          <w:iCs/>
        </w:rPr>
      </w:pPr>
    </w:p>
    <w:p w14:paraId="73798263" w14:textId="77777777" w:rsidR="00435B35" w:rsidRPr="009118AB" w:rsidRDefault="00435B35" w:rsidP="007102E0">
      <w:pPr>
        <w:autoSpaceDE w:val="0"/>
        <w:autoSpaceDN w:val="0"/>
        <w:adjustRightInd w:val="0"/>
        <w:ind w:firstLine="709"/>
        <w:jc w:val="both"/>
        <w:rPr>
          <w:iCs/>
        </w:rPr>
      </w:pPr>
      <w:r w:rsidRPr="009118AB">
        <w:rPr>
          <w:i/>
          <w:iCs/>
        </w:rPr>
        <w:t>a)</w:t>
      </w:r>
      <w:r w:rsidRPr="009118AB">
        <w:rPr>
          <w:iCs/>
        </w:rPr>
        <w:t xml:space="preserve"> Sie ist eine kleine Gesellschaft [im Sinne von [Artikel 15 des Gesellschaftsgesetzbuches, so wie er vor seiner Abänderung durch das Gesetz vom 18. Dezember 2015 zur Umsetzung der Richtlinie 2013/34/EU des Europäischen Parlaments und des Rates vom 26. Juni 2013 über den Jahresabschluss, den konsolidierten Abschluss und damit verbundene Berichte von Unternehmen bestimmter Rechtsformen und zur Änderung der Richtlinie 2006/43/EG des Europäischen Parlaments und des Rates und zur Aufhebung der Richtlinien 78/660/EWG und 83/349/EWG des Rates bestand]].</w:t>
      </w:r>
    </w:p>
    <w:p w14:paraId="178C0575" w14:textId="77777777" w:rsidR="00435B35" w:rsidRPr="009118AB" w:rsidRDefault="00435B35" w:rsidP="00435B35">
      <w:pPr>
        <w:autoSpaceDE w:val="0"/>
        <w:autoSpaceDN w:val="0"/>
        <w:adjustRightInd w:val="0"/>
        <w:jc w:val="both"/>
        <w:rPr>
          <w:iCs/>
        </w:rPr>
      </w:pPr>
    </w:p>
    <w:p w14:paraId="71BA05C9" w14:textId="77777777" w:rsidR="00435B35" w:rsidRPr="009118AB" w:rsidRDefault="00435B35" w:rsidP="007102E0">
      <w:pPr>
        <w:autoSpaceDE w:val="0"/>
        <w:autoSpaceDN w:val="0"/>
        <w:adjustRightInd w:val="0"/>
        <w:ind w:firstLine="709"/>
        <w:jc w:val="both"/>
        <w:rPr>
          <w:iCs/>
        </w:rPr>
      </w:pPr>
      <w:r w:rsidRPr="009118AB">
        <w:rPr>
          <w:i/>
          <w:iCs/>
        </w:rPr>
        <w:t>b)</w:t>
      </w:r>
      <w:r w:rsidRPr="009118AB">
        <w:rPr>
          <w:iCs/>
        </w:rPr>
        <w:t xml:space="preserve"> Sie besteht seit weniger als zehn Jahren vor dem 1. Januar des Jahres, in dem die Befreiung von der Zahlung des Berufssteuervorabzugs bewilligt wird.</w:t>
      </w:r>
    </w:p>
    <w:p w14:paraId="087CD746" w14:textId="77777777" w:rsidR="00435B35" w:rsidRPr="009118AB" w:rsidRDefault="00435B35" w:rsidP="00435B35">
      <w:pPr>
        <w:autoSpaceDE w:val="0"/>
        <w:autoSpaceDN w:val="0"/>
        <w:adjustRightInd w:val="0"/>
        <w:jc w:val="both"/>
        <w:rPr>
          <w:iCs/>
        </w:rPr>
      </w:pPr>
    </w:p>
    <w:p w14:paraId="385B5798" w14:textId="77777777" w:rsidR="00435B35" w:rsidRPr="009118AB" w:rsidRDefault="00435B35" w:rsidP="007102E0">
      <w:pPr>
        <w:autoSpaceDE w:val="0"/>
        <w:autoSpaceDN w:val="0"/>
        <w:adjustRightInd w:val="0"/>
        <w:ind w:firstLine="709"/>
        <w:jc w:val="both"/>
        <w:rPr>
          <w:iCs/>
        </w:rPr>
      </w:pPr>
      <w:r w:rsidRPr="009118AB">
        <w:rPr>
          <w:i/>
          <w:iCs/>
        </w:rPr>
        <w:t>c)</w:t>
      </w:r>
      <w:r w:rsidRPr="009118AB">
        <w:rPr>
          <w:iCs/>
        </w:rPr>
        <w:t xml:space="preserve"> Sie ist nicht im Rahmen eines Zusammenschlusses, einer Umstrukturierung, einer Ausweitung einer früheren Tätigkeit oder einer Wiederaufnahme solcher Tätigkeiten gegründet worden.</w:t>
      </w:r>
    </w:p>
    <w:p w14:paraId="233C40C8" w14:textId="77777777" w:rsidR="00435B35" w:rsidRPr="009118AB" w:rsidRDefault="00435B35" w:rsidP="00435B35">
      <w:pPr>
        <w:autoSpaceDE w:val="0"/>
        <w:autoSpaceDN w:val="0"/>
        <w:adjustRightInd w:val="0"/>
        <w:jc w:val="both"/>
        <w:rPr>
          <w:iCs/>
        </w:rPr>
      </w:pPr>
    </w:p>
    <w:p w14:paraId="598DF4F9" w14:textId="77777777" w:rsidR="00435B35" w:rsidRPr="009118AB" w:rsidRDefault="00435B35" w:rsidP="007102E0">
      <w:pPr>
        <w:autoSpaceDE w:val="0"/>
        <w:autoSpaceDN w:val="0"/>
        <w:adjustRightInd w:val="0"/>
        <w:ind w:firstLine="709"/>
        <w:jc w:val="both"/>
        <w:rPr>
          <w:iCs/>
        </w:rPr>
      </w:pPr>
      <w:r w:rsidRPr="009118AB">
        <w:rPr>
          <w:i/>
          <w:iCs/>
        </w:rPr>
        <w:t>d)</w:t>
      </w:r>
      <w:r w:rsidRPr="009118AB">
        <w:rPr>
          <w:iCs/>
        </w:rPr>
        <w:t xml:space="preserve"> Sie hat Ausgaben im Bereich Forschung und Entwicklung getätigt, die mindestens 15 Prozent der Gesamtkosten des vorhergehenden Besteuerungszeitraums betragen,]</w:t>
      </w:r>
    </w:p>
    <w:p w14:paraId="35FBD6C4" w14:textId="77777777" w:rsidR="00435B35" w:rsidRPr="009118AB" w:rsidRDefault="00435B35" w:rsidP="00435B35">
      <w:pPr>
        <w:autoSpaceDE w:val="0"/>
        <w:autoSpaceDN w:val="0"/>
        <w:adjustRightInd w:val="0"/>
        <w:jc w:val="both"/>
        <w:rPr>
          <w:iCs/>
        </w:rPr>
      </w:pPr>
    </w:p>
    <w:p w14:paraId="196ADCAC" w14:textId="036D3E90" w:rsidR="00435B35" w:rsidRPr="009118AB" w:rsidRDefault="00435B35" w:rsidP="007102E0">
      <w:pPr>
        <w:autoSpaceDE w:val="0"/>
        <w:autoSpaceDN w:val="0"/>
        <w:adjustRightInd w:val="0"/>
        <w:ind w:firstLine="709"/>
        <w:jc w:val="both"/>
        <w:rPr>
          <w:iCs/>
        </w:rPr>
      </w:pPr>
      <w:r w:rsidRPr="009118AB">
        <w:rPr>
          <w:iCs/>
        </w:rPr>
        <w:t xml:space="preserve">[3. [[…] Unternehmen, die Forschern, die [in Forschungs- oder Entwicklungsprojekten oder -programmen] beschäftigt sind und ein [in </w:t>
      </w:r>
      <w:r w:rsidR="00D67EB8" w:rsidRPr="009118AB">
        <w:rPr>
          <w:iCs/>
        </w:rPr>
        <w:t>§ </w:t>
      </w:r>
      <w:r w:rsidRPr="009118AB">
        <w:rPr>
          <w:iCs/>
        </w:rPr>
        <w:t xml:space="preserve">2 </w:t>
      </w:r>
      <w:r w:rsidR="00D67EB8" w:rsidRPr="009118AB">
        <w:rPr>
          <w:iCs/>
        </w:rPr>
        <w:t>Nr. </w:t>
      </w:r>
      <w:r w:rsidRPr="009118AB">
        <w:rPr>
          <w:iCs/>
        </w:rPr>
        <w:t>1 oder 2] erwähntes Diplom besitzen, Entlohnungen zahlen oder zuerkennen.]]</w:t>
      </w:r>
    </w:p>
    <w:p w14:paraId="33A06031" w14:textId="77777777" w:rsidR="00435B35" w:rsidRPr="009118AB" w:rsidRDefault="00435B35" w:rsidP="00435B35">
      <w:pPr>
        <w:autoSpaceDE w:val="0"/>
        <w:autoSpaceDN w:val="0"/>
        <w:adjustRightInd w:val="0"/>
        <w:jc w:val="both"/>
        <w:rPr>
          <w:iCs/>
        </w:rPr>
      </w:pPr>
    </w:p>
    <w:p w14:paraId="2A970A00" w14:textId="77777777" w:rsidR="00435B35" w:rsidRPr="009118AB" w:rsidRDefault="00435B35" w:rsidP="007102E0">
      <w:pPr>
        <w:autoSpaceDE w:val="0"/>
        <w:autoSpaceDN w:val="0"/>
        <w:adjustRightInd w:val="0"/>
        <w:ind w:firstLine="709"/>
        <w:jc w:val="both"/>
        <w:rPr>
          <w:iCs/>
        </w:rPr>
      </w:pPr>
      <w:r w:rsidRPr="009118AB">
        <w:rPr>
          <w:iCs/>
        </w:rPr>
        <w:t xml:space="preserve">[Erfüllt die Gesellschaft am Ende eines Besteuerungszeitraums nicht mehr alle Bedingungen, um eine "Young Innovative Company" zu sein, kann die Befreiung von der </w:t>
      </w:r>
      <w:r w:rsidRPr="009118AB">
        <w:rPr>
          <w:iCs/>
        </w:rPr>
        <w:lastRenderedPageBreak/>
        <w:t>Zahlung des Berufssteuervorabzugs nicht mehr auf Entlohnungen angewandt werden, die ab dem darauf folgenden Monat gezahlt oder zuerkannt werden.]</w:t>
      </w:r>
    </w:p>
    <w:p w14:paraId="7F675F70" w14:textId="77777777" w:rsidR="00435B35" w:rsidRPr="009118AB" w:rsidRDefault="00435B35" w:rsidP="00435B35">
      <w:pPr>
        <w:autoSpaceDE w:val="0"/>
        <w:autoSpaceDN w:val="0"/>
        <w:adjustRightInd w:val="0"/>
        <w:jc w:val="both"/>
        <w:rPr>
          <w:iCs/>
        </w:rPr>
      </w:pPr>
    </w:p>
    <w:p w14:paraId="3BC549CB" w14:textId="30F757E5" w:rsidR="00435B35" w:rsidRPr="009118AB" w:rsidRDefault="00435B35" w:rsidP="007102E0">
      <w:pPr>
        <w:autoSpaceDE w:val="0"/>
        <w:autoSpaceDN w:val="0"/>
        <w:adjustRightInd w:val="0"/>
        <w:ind w:firstLine="709"/>
        <w:jc w:val="both"/>
        <w:rPr>
          <w:iCs/>
        </w:rPr>
      </w:pPr>
      <w:r w:rsidRPr="009118AB">
        <w:rPr>
          <w:iCs/>
        </w:rPr>
        <w:t xml:space="preserve">[Das in Absatz 3 </w:t>
      </w:r>
      <w:r w:rsidR="00D67EB8" w:rsidRPr="009118AB">
        <w:rPr>
          <w:iCs/>
        </w:rPr>
        <w:t>Nr. </w:t>
      </w:r>
      <w:r w:rsidRPr="009118AB">
        <w:rPr>
          <w:iCs/>
        </w:rPr>
        <w:t>2 erwähnte wissenschaftliche Personal umfasst Forscher, Forschungstechniker und Projektleiter im Bereich Forschung und Entwicklung, ausschließlich des Verwaltungspersonals und des kaufmännischen Personals.]</w:t>
      </w:r>
    </w:p>
    <w:p w14:paraId="1AACBF33" w14:textId="77777777" w:rsidR="00435B35" w:rsidRPr="009118AB" w:rsidRDefault="00435B35" w:rsidP="00435B35">
      <w:pPr>
        <w:autoSpaceDE w:val="0"/>
        <w:autoSpaceDN w:val="0"/>
        <w:adjustRightInd w:val="0"/>
        <w:jc w:val="both"/>
        <w:rPr>
          <w:iCs/>
        </w:rPr>
      </w:pPr>
    </w:p>
    <w:p w14:paraId="702FC1D2" w14:textId="265E53F0" w:rsidR="00435B35" w:rsidRPr="009118AB" w:rsidRDefault="00435B35" w:rsidP="007102E0">
      <w:pPr>
        <w:autoSpaceDE w:val="0"/>
        <w:autoSpaceDN w:val="0"/>
        <w:adjustRightInd w:val="0"/>
        <w:ind w:firstLine="709"/>
        <w:jc w:val="both"/>
        <w:rPr>
          <w:iCs/>
        </w:rPr>
      </w:pPr>
      <w:r w:rsidRPr="009118AB">
        <w:rPr>
          <w:iCs/>
        </w:rPr>
        <w:t>[</w:t>
      </w:r>
      <w:r w:rsidR="0057314A" w:rsidRPr="009118AB">
        <w:t xml:space="preserve">Eine gleiche Befreiung von der Zahlung des Berufssteuervorabzugs in Höhe von 80 Prozent dieses Berufssteuervorabzugs wird Unternehmen bewilligt, die Forschern, die in Forschungs- oder Entwicklungsprojekten oder -programmen beschäftigt sind und ein in </w:t>
      </w:r>
      <w:r w:rsidR="00D67EB8" w:rsidRPr="009118AB">
        <w:t>§ </w:t>
      </w:r>
      <w:r w:rsidR="0057314A" w:rsidRPr="009118AB">
        <w:t xml:space="preserve">2 </w:t>
      </w:r>
      <w:r w:rsidR="00D67EB8" w:rsidRPr="009118AB">
        <w:t>Nr. </w:t>
      </w:r>
      <w:r w:rsidR="0057314A" w:rsidRPr="009118AB">
        <w:t>3 oder 4 erwähntes Diplom besitzen, Entlohnungen zahlen oder zuerkennen.</w:t>
      </w:r>
      <w:r w:rsidR="001F6DF7" w:rsidRPr="009118AB">
        <w:rPr>
          <w:iCs/>
        </w:rPr>
        <w:t>]</w:t>
      </w:r>
    </w:p>
    <w:p w14:paraId="732B7B44" w14:textId="77777777" w:rsidR="00435B35" w:rsidRPr="009118AB" w:rsidRDefault="00435B35" w:rsidP="00435B35">
      <w:pPr>
        <w:autoSpaceDE w:val="0"/>
        <w:autoSpaceDN w:val="0"/>
        <w:adjustRightInd w:val="0"/>
        <w:jc w:val="both"/>
        <w:rPr>
          <w:iCs/>
        </w:rPr>
      </w:pPr>
    </w:p>
    <w:p w14:paraId="6624C1C8" w14:textId="102BF9D3" w:rsidR="00435B35" w:rsidRPr="009118AB" w:rsidRDefault="001F6DF7" w:rsidP="007102E0">
      <w:pPr>
        <w:autoSpaceDE w:val="0"/>
        <w:autoSpaceDN w:val="0"/>
        <w:adjustRightInd w:val="0"/>
        <w:ind w:firstLine="709"/>
        <w:jc w:val="both"/>
        <w:rPr>
          <w:iCs/>
        </w:rPr>
      </w:pPr>
      <w:r w:rsidRPr="009118AB">
        <w:rPr>
          <w:iCs/>
        </w:rPr>
        <w:t>[</w:t>
      </w:r>
      <w:r w:rsidR="00435B35" w:rsidRPr="009118AB">
        <w:rPr>
          <w:iCs/>
        </w:rPr>
        <w:t xml:space="preserve">Der Gesamtbetrag der Befreiung von der Zahlung des Berufssteuervorabzugs, die Unternehmen bewilligt wird, die Forschern, die in Forschungs- oder Entwicklungsprojekten oder -programmen beschäftigt sind und ein in </w:t>
      </w:r>
      <w:r w:rsidR="00D67EB8" w:rsidRPr="009118AB">
        <w:rPr>
          <w:iCs/>
        </w:rPr>
        <w:t>§ </w:t>
      </w:r>
      <w:r w:rsidR="00435B35" w:rsidRPr="009118AB">
        <w:rPr>
          <w:iCs/>
        </w:rPr>
        <w:t xml:space="preserve">2 </w:t>
      </w:r>
      <w:r w:rsidR="00D67EB8" w:rsidRPr="009118AB">
        <w:rPr>
          <w:iCs/>
        </w:rPr>
        <w:t>Nr. </w:t>
      </w:r>
      <w:r w:rsidR="00435B35" w:rsidRPr="009118AB">
        <w:rPr>
          <w:iCs/>
        </w:rPr>
        <w:t xml:space="preserve">3 oder 4 erwähntes Diplom besitzen, Entlohnungen zahlen oder zuerkennen, ist auf 25 Prozent des Gesamtbetrags der Befreiung von der Zahlung des Berufssteuervorabzugs begrenzt, die Unternehmen bewilligt wird, die Forschern, die in Forschungs- oder Entwicklungsprojekten oder -programmen beschäftigt sind und ein in </w:t>
      </w:r>
      <w:r w:rsidR="00D67EB8" w:rsidRPr="009118AB">
        <w:rPr>
          <w:iCs/>
        </w:rPr>
        <w:t>§ </w:t>
      </w:r>
      <w:r w:rsidR="00435B35" w:rsidRPr="009118AB">
        <w:rPr>
          <w:iCs/>
        </w:rPr>
        <w:t xml:space="preserve">2 </w:t>
      </w:r>
      <w:r w:rsidR="00D67EB8" w:rsidRPr="009118AB">
        <w:rPr>
          <w:iCs/>
        </w:rPr>
        <w:t>Nr. </w:t>
      </w:r>
      <w:r w:rsidR="00435B35" w:rsidRPr="009118AB">
        <w:rPr>
          <w:iCs/>
        </w:rPr>
        <w:t>1 oder 2 erwähntes Diplom besitzen, Entlohnungen zahlen oder zuerkennen.</w:t>
      </w:r>
      <w:r w:rsidR="00DE5E06" w:rsidRPr="009118AB">
        <w:rPr>
          <w:iCs/>
        </w:rPr>
        <w:t>]</w:t>
      </w:r>
    </w:p>
    <w:p w14:paraId="2B2B0D05" w14:textId="77777777" w:rsidR="00435B35" w:rsidRPr="009118AB" w:rsidRDefault="00435B35" w:rsidP="00435B35">
      <w:pPr>
        <w:autoSpaceDE w:val="0"/>
        <w:autoSpaceDN w:val="0"/>
        <w:adjustRightInd w:val="0"/>
        <w:jc w:val="both"/>
        <w:rPr>
          <w:iCs/>
        </w:rPr>
      </w:pPr>
    </w:p>
    <w:p w14:paraId="2D9F39DB" w14:textId="5900FF29" w:rsidR="00435B35" w:rsidRPr="009118AB" w:rsidRDefault="00DE5E06" w:rsidP="007102E0">
      <w:pPr>
        <w:autoSpaceDE w:val="0"/>
        <w:autoSpaceDN w:val="0"/>
        <w:adjustRightInd w:val="0"/>
        <w:ind w:firstLine="709"/>
        <w:jc w:val="both"/>
        <w:rPr>
          <w:iCs/>
        </w:rPr>
      </w:pPr>
      <w:r w:rsidRPr="009118AB">
        <w:rPr>
          <w:iCs/>
        </w:rPr>
        <w:t>[</w:t>
      </w:r>
      <w:r w:rsidR="00435B35" w:rsidRPr="009118AB">
        <w:rPr>
          <w:iCs/>
        </w:rPr>
        <w:t xml:space="preserve">Für Gesellschaften, die </w:t>
      </w:r>
      <w:r w:rsidR="00C6326D" w:rsidRPr="009118AB">
        <w:rPr>
          <w:iCs/>
        </w:rPr>
        <w:t>[...</w:t>
      </w:r>
      <w:r w:rsidRPr="009118AB">
        <w:t xml:space="preserve">] </w:t>
      </w:r>
      <w:r w:rsidR="00435B35" w:rsidRPr="009118AB">
        <w:rPr>
          <w:iCs/>
        </w:rPr>
        <w:t>für das Steuerjahr, das sich auf den Besteuerungszeitraum bezieht, in dem die Entlohnungen gezahlt werden, als kleine Gesellschaften gelten, wird der Prozentsatz der in Absatz 7 erwähnten Grenze jedoch verdoppelt.]</w:t>
      </w:r>
    </w:p>
    <w:p w14:paraId="507B5382" w14:textId="77777777" w:rsidR="00435B35" w:rsidRPr="009118AB" w:rsidRDefault="00435B35" w:rsidP="00435B35">
      <w:pPr>
        <w:autoSpaceDE w:val="0"/>
        <w:autoSpaceDN w:val="0"/>
        <w:adjustRightInd w:val="0"/>
        <w:jc w:val="both"/>
        <w:rPr>
          <w:iCs/>
        </w:rPr>
      </w:pPr>
    </w:p>
    <w:p w14:paraId="263F90F9" w14:textId="7B388456" w:rsidR="00435B35" w:rsidRPr="009118AB" w:rsidRDefault="00435B35" w:rsidP="007102E0">
      <w:pPr>
        <w:autoSpaceDE w:val="0"/>
        <w:autoSpaceDN w:val="0"/>
        <w:adjustRightInd w:val="0"/>
        <w:ind w:firstLine="709"/>
        <w:jc w:val="both"/>
        <w:rPr>
          <w:iCs/>
        </w:rPr>
      </w:pPr>
      <w:r w:rsidRPr="009118AB">
        <w:rPr>
          <w:iCs/>
        </w:rPr>
        <w:t>[Um die in den vorhergehenden Absätzen erwähnte Befreiung von der Zahlung des Berufssteuervorabzugs zu erhalten, muss der Arbeitgeber bei seiner Erklärung zum Berufssteuervorabzug auf die vom König bestimmte Weise den Nachweis erbringen, dass die Arbeitnehmer, für die die Befreiung beantragt wird, in dem Zeitraum, auf den die Erklärung zum Berufssteuervorabzug sich bezieht, tatsächlich beschäftigt waren:</w:t>
      </w:r>
    </w:p>
    <w:p w14:paraId="6FA965C3" w14:textId="77777777" w:rsidR="00435B35" w:rsidRPr="009118AB" w:rsidRDefault="00435B35" w:rsidP="00435B35">
      <w:pPr>
        <w:autoSpaceDE w:val="0"/>
        <w:autoSpaceDN w:val="0"/>
        <w:adjustRightInd w:val="0"/>
        <w:jc w:val="both"/>
        <w:rPr>
          <w:iCs/>
        </w:rPr>
      </w:pPr>
    </w:p>
    <w:p w14:paraId="50B1EAB7" w14:textId="77777777" w:rsidR="00435B35" w:rsidRPr="009118AB" w:rsidRDefault="00435B35" w:rsidP="007102E0">
      <w:pPr>
        <w:autoSpaceDE w:val="0"/>
        <w:autoSpaceDN w:val="0"/>
        <w:adjustRightInd w:val="0"/>
        <w:ind w:firstLine="709"/>
        <w:jc w:val="both"/>
        <w:rPr>
          <w:iCs/>
        </w:rPr>
      </w:pPr>
      <w:r w:rsidRPr="009118AB">
        <w:rPr>
          <w:iCs/>
        </w:rPr>
        <w:t>- als Assistent-Forscher oder Postdoc-Forscher erwähnt in den Absätzen 1 und 2</w:t>
      </w:r>
    </w:p>
    <w:p w14:paraId="54865881" w14:textId="77777777" w:rsidR="00435B35" w:rsidRPr="009118AB" w:rsidRDefault="00435B35" w:rsidP="00435B35">
      <w:pPr>
        <w:autoSpaceDE w:val="0"/>
        <w:autoSpaceDN w:val="0"/>
        <w:adjustRightInd w:val="0"/>
        <w:jc w:val="both"/>
        <w:rPr>
          <w:iCs/>
        </w:rPr>
      </w:pPr>
    </w:p>
    <w:p w14:paraId="40FE2787" w14:textId="6A9292D0" w:rsidR="00435B35" w:rsidRPr="009118AB" w:rsidRDefault="00435B35" w:rsidP="007102E0">
      <w:pPr>
        <w:autoSpaceDE w:val="0"/>
        <w:autoSpaceDN w:val="0"/>
        <w:adjustRightInd w:val="0"/>
        <w:ind w:firstLine="709"/>
        <w:jc w:val="both"/>
        <w:rPr>
          <w:iCs/>
        </w:rPr>
      </w:pPr>
      <w:r w:rsidRPr="009118AB">
        <w:rPr>
          <w:iCs/>
        </w:rPr>
        <w:t xml:space="preserve">- oder als Forscher zur Durchführung von Forschungsprojekten erwähnt in Absatz 3 </w:t>
      </w:r>
      <w:r w:rsidR="00D67EB8" w:rsidRPr="009118AB">
        <w:rPr>
          <w:iCs/>
        </w:rPr>
        <w:t>Nr. </w:t>
      </w:r>
      <w:r w:rsidRPr="009118AB">
        <w:rPr>
          <w:iCs/>
        </w:rPr>
        <w:t>1</w:t>
      </w:r>
    </w:p>
    <w:p w14:paraId="713F37A3" w14:textId="77777777" w:rsidR="00435B35" w:rsidRPr="009118AB" w:rsidRDefault="00435B35" w:rsidP="00435B35">
      <w:pPr>
        <w:autoSpaceDE w:val="0"/>
        <w:autoSpaceDN w:val="0"/>
        <w:adjustRightInd w:val="0"/>
        <w:jc w:val="both"/>
        <w:rPr>
          <w:iCs/>
        </w:rPr>
      </w:pPr>
    </w:p>
    <w:p w14:paraId="21466100" w14:textId="77777777" w:rsidR="00435B35" w:rsidRPr="009118AB" w:rsidRDefault="00435B35" w:rsidP="007102E0">
      <w:pPr>
        <w:autoSpaceDE w:val="0"/>
        <w:autoSpaceDN w:val="0"/>
        <w:adjustRightInd w:val="0"/>
        <w:ind w:firstLine="709"/>
        <w:jc w:val="both"/>
        <w:rPr>
          <w:iCs/>
        </w:rPr>
      </w:pPr>
      <w:r w:rsidRPr="009118AB">
        <w:rPr>
          <w:iCs/>
        </w:rPr>
        <w:t>- oder als wissenschaftliches Personal in einer Gesellschaft, die eine "Young Innovative Company" ist]</w:t>
      </w:r>
    </w:p>
    <w:p w14:paraId="24040F59" w14:textId="77777777" w:rsidR="00435B35" w:rsidRPr="009118AB" w:rsidRDefault="00435B35" w:rsidP="00435B35">
      <w:pPr>
        <w:autoSpaceDE w:val="0"/>
        <w:autoSpaceDN w:val="0"/>
        <w:adjustRightInd w:val="0"/>
        <w:jc w:val="both"/>
        <w:rPr>
          <w:iCs/>
        </w:rPr>
      </w:pPr>
    </w:p>
    <w:p w14:paraId="4ACD94B6" w14:textId="57B3262E" w:rsidR="00435B35" w:rsidRPr="009118AB" w:rsidRDefault="00435B35" w:rsidP="007102E0">
      <w:pPr>
        <w:autoSpaceDE w:val="0"/>
        <w:autoSpaceDN w:val="0"/>
        <w:adjustRightInd w:val="0"/>
        <w:ind w:firstLine="709"/>
        <w:jc w:val="both"/>
        <w:rPr>
          <w:iCs/>
        </w:rPr>
      </w:pPr>
      <w:r w:rsidRPr="009118AB">
        <w:rPr>
          <w:iCs/>
        </w:rPr>
        <w:t>[- oder als Forscher zur Durchführung [von Forschungs- oder Entwicklungspro</w:t>
      </w:r>
      <w:r w:rsidRPr="009118AB">
        <w:rPr>
          <w:iCs/>
        </w:rPr>
        <w:softHyphen/>
        <w:t xml:space="preserve">jekten oder -programmen] erwähnt in Absatz 3 </w:t>
      </w:r>
      <w:r w:rsidR="00D67EB8" w:rsidRPr="009118AB">
        <w:rPr>
          <w:iCs/>
        </w:rPr>
        <w:t>Nr. </w:t>
      </w:r>
      <w:r w:rsidRPr="009118AB">
        <w:rPr>
          <w:iCs/>
        </w:rPr>
        <w:t>3 [und Absatz 6].]</w:t>
      </w:r>
    </w:p>
    <w:p w14:paraId="4BCED99E" w14:textId="77777777" w:rsidR="00435B35" w:rsidRPr="009118AB" w:rsidRDefault="00435B35" w:rsidP="00435B35">
      <w:pPr>
        <w:autoSpaceDE w:val="0"/>
        <w:autoSpaceDN w:val="0"/>
        <w:adjustRightInd w:val="0"/>
        <w:jc w:val="both"/>
        <w:rPr>
          <w:iCs/>
        </w:rPr>
      </w:pPr>
    </w:p>
    <w:p w14:paraId="597F5186" w14:textId="77777777" w:rsidR="00435B35" w:rsidRPr="009118AB" w:rsidRDefault="00435B35" w:rsidP="007102E0">
      <w:pPr>
        <w:autoSpaceDE w:val="0"/>
        <w:autoSpaceDN w:val="0"/>
        <w:adjustRightInd w:val="0"/>
        <w:ind w:firstLine="709"/>
        <w:jc w:val="both"/>
        <w:rPr>
          <w:iCs/>
        </w:rPr>
      </w:pPr>
      <w:r w:rsidRPr="009118AB">
        <w:rPr>
          <w:iCs/>
        </w:rPr>
        <w:t>[…]]</w:t>
      </w:r>
    </w:p>
    <w:p w14:paraId="04675454" w14:textId="77777777" w:rsidR="00435B35" w:rsidRPr="009118AB" w:rsidRDefault="00435B35" w:rsidP="00435B35">
      <w:pPr>
        <w:autoSpaceDE w:val="0"/>
        <w:autoSpaceDN w:val="0"/>
        <w:adjustRightInd w:val="0"/>
        <w:jc w:val="both"/>
        <w:rPr>
          <w:iCs/>
        </w:rPr>
      </w:pPr>
    </w:p>
    <w:p w14:paraId="0B1ADB68" w14:textId="77777777" w:rsidR="00435B35" w:rsidRPr="009118AB" w:rsidRDefault="00435B35" w:rsidP="007102E0">
      <w:pPr>
        <w:autoSpaceDE w:val="0"/>
        <w:autoSpaceDN w:val="0"/>
        <w:adjustRightInd w:val="0"/>
        <w:ind w:firstLine="709"/>
        <w:jc w:val="both"/>
        <w:rPr>
          <w:iCs/>
        </w:rPr>
      </w:pPr>
      <w:r w:rsidRPr="009118AB">
        <w:rPr>
          <w:iCs/>
        </w:rPr>
        <w:t>[...]</w:t>
      </w:r>
    </w:p>
    <w:p w14:paraId="205FE3CC" w14:textId="77777777" w:rsidR="00435B35" w:rsidRPr="009118AB" w:rsidRDefault="00435B35" w:rsidP="00435B35">
      <w:pPr>
        <w:autoSpaceDE w:val="0"/>
        <w:autoSpaceDN w:val="0"/>
        <w:adjustRightInd w:val="0"/>
        <w:jc w:val="both"/>
        <w:rPr>
          <w:iCs/>
        </w:rPr>
      </w:pPr>
    </w:p>
    <w:p w14:paraId="19B2D9BC" w14:textId="77777777" w:rsidR="00435B35" w:rsidRPr="009118AB" w:rsidRDefault="00435B35" w:rsidP="007102E0">
      <w:pPr>
        <w:autoSpaceDE w:val="0"/>
        <w:autoSpaceDN w:val="0"/>
        <w:adjustRightInd w:val="0"/>
        <w:ind w:firstLine="709"/>
        <w:jc w:val="both"/>
        <w:rPr>
          <w:iCs/>
        </w:rPr>
      </w:pPr>
      <w:r w:rsidRPr="009118AB">
        <w:rPr>
          <w:iCs/>
        </w:rPr>
        <w:t>[Eine und dieselbe Entlohnung oder ein und derselbe Teil einer Entlohnung kann nur für eine der in vorliegendem Paragraphen erwähnten Befreiungen von der Zahlung des Berufssteuervorabzugs berücksichtigt werden.]</w:t>
      </w:r>
    </w:p>
    <w:p w14:paraId="43CC8374" w14:textId="77777777" w:rsidR="00964971" w:rsidRPr="009118AB" w:rsidRDefault="00964971" w:rsidP="007102E0">
      <w:pPr>
        <w:autoSpaceDE w:val="0"/>
        <w:autoSpaceDN w:val="0"/>
        <w:adjustRightInd w:val="0"/>
        <w:ind w:firstLine="709"/>
        <w:jc w:val="both"/>
        <w:rPr>
          <w:iCs/>
        </w:rPr>
      </w:pPr>
    </w:p>
    <w:p w14:paraId="668A60BE" w14:textId="682BC955" w:rsidR="00964971" w:rsidRPr="009118AB" w:rsidRDefault="00964971" w:rsidP="007102E0">
      <w:pPr>
        <w:autoSpaceDE w:val="0"/>
        <w:autoSpaceDN w:val="0"/>
        <w:adjustRightInd w:val="0"/>
        <w:ind w:firstLine="709"/>
        <w:jc w:val="both"/>
        <w:rPr>
          <w:iCs/>
        </w:rPr>
      </w:pPr>
      <w:r w:rsidRPr="009118AB">
        <w:rPr>
          <w:iCs/>
        </w:rPr>
        <w:lastRenderedPageBreak/>
        <w:t>[</w:t>
      </w:r>
      <w:r w:rsidRPr="009118AB">
        <w:t>Die in vorliegendem Artikel erwähnte Befreiung von der Zahlung des Berufssteuervorabzugs kann nicht auf den Berufssteuervorabzug angewandt werden, der zusätzlich zu dem verordnungsgemäßen Mindestbetrag des geschuldeten Berufssteuervorabzugs einbehalten wird.</w:t>
      </w:r>
      <w:r w:rsidRPr="009118AB">
        <w:rPr>
          <w:iCs/>
        </w:rPr>
        <w:t>]</w:t>
      </w:r>
    </w:p>
    <w:p w14:paraId="7D57C5DA" w14:textId="77777777" w:rsidR="00435B35" w:rsidRPr="009118AB" w:rsidRDefault="00435B35" w:rsidP="00435B35">
      <w:pPr>
        <w:autoSpaceDE w:val="0"/>
        <w:autoSpaceDN w:val="0"/>
        <w:adjustRightInd w:val="0"/>
        <w:jc w:val="both"/>
        <w:rPr>
          <w:iCs/>
        </w:rPr>
      </w:pPr>
    </w:p>
    <w:p w14:paraId="2B4E441E" w14:textId="6F1C218F" w:rsidR="00435B35" w:rsidRPr="009118AB" w:rsidRDefault="007102E0" w:rsidP="007102E0">
      <w:pPr>
        <w:rPr>
          <w:iCs/>
        </w:rPr>
      </w:pPr>
      <w:r w:rsidRPr="009118AB">
        <w:rPr>
          <w:iCs/>
        </w:rPr>
        <w:tab/>
      </w:r>
      <w:r w:rsidR="00435B35" w:rsidRPr="009118AB">
        <w:rPr>
          <w:iCs/>
        </w:rPr>
        <w:t>[</w:t>
      </w:r>
      <w:r w:rsidR="00D67EB8" w:rsidRPr="009118AB">
        <w:rPr>
          <w:iCs/>
        </w:rPr>
        <w:t>§ </w:t>
      </w:r>
      <w:r w:rsidR="00435B35" w:rsidRPr="009118AB">
        <w:rPr>
          <w:iCs/>
        </w:rPr>
        <w:t>2</w:t>
      </w:r>
      <w:r w:rsidR="00D67EB8" w:rsidRPr="009118AB">
        <w:rPr>
          <w:iCs/>
        </w:rPr>
        <w:t> - </w:t>
      </w:r>
      <w:r w:rsidR="00435B35" w:rsidRPr="009118AB">
        <w:rPr>
          <w:iCs/>
        </w:rPr>
        <w:t xml:space="preserve">Die [in </w:t>
      </w:r>
      <w:r w:rsidR="00D67EB8" w:rsidRPr="009118AB">
        <w:rPr>
          <w:iCs/>
        </w:rPr>
        <w:t>§ </w:t>
      </w:r>
      <w:r w:rsidR="00435B35" w:rsidRPr="009118AB">
        <w:rPr>
          <w:iCs/>
        </w:rPr>
        <w:t xml:space="preserve">1 Absatz 3 </w:t>
      </w:r>
      <w:r w:rsidR="00D67EB8" w:rsidRPr="009118AB">
        <w:rPr>
          <w:iCs/>
        </w:rPr>
        <w:t>Nr. </w:t>
      </w:r>
      <w:r w:rsidR="00435B35" w:rsidRPr="009118AB">
        <w:rPr>
          <w:iCs/>
        </w:rPr>
        <w:t>3 und Absatz 6] erwähnten Diplome sind:</w:t>
      </w:r>
    </w:p>
    <w:p w14:paraId="7497F98E" w14:textId="77777777" w:rsidR="00435B35" w:rsidRPr="009118AB" w:rsidRDefault="00435B35" w:rsidP="00435B35">
      <w:pPr>
        <w:autoSpaceDE w:val="0"/>
        <w:autoSpaceDN w:val="0"/>
        <w:adjustRightInd w:val="0"/>
        <w:jc w:val="both"/>
        <w:rPr>
          <w:iCs/>
        </w:rPr>
      </w:pPr>
    </w:p>
    <w:p w14:paraId="054DA171" w14:textId="77777777" w:rsidR="00435B35" w:rsidRPr="009118AB" w:rsidRDefault="00435B35" w:rsidP="007102E0">
      <w:pPr>
        <w:autoSpaceDE w:val="0"/>
        <w:autoSpaceDN w:val="0"/>
        <w:adjustRightInd w:val="0"/>
        <w:ind w:firstLine="709"/>
        <w:jc w:val="both"/>
        <w:rPr>
          <w:iCs/>
        </w:rPr>
      </w:pPr>
      <w:r w:rsidRPr="009118AB">
        <w:rPr>
          <w:iCs/>
        </w:rPr>
        <w:t>1. entweder ein Diplom eines Doktors der angewandten Wissenschaften, der exakten Wissenschaften, der Medizin, der Veterinärmedizin oder der pharmazeutischen Wissenschaften oder eines Zivilingenieurs</w:t>
      </w:r>
    </w:p>
    <w:p w14:paraId="0E373269" w14:textId="77777777" w:rsidR="00435B35" w:rsidRPr="009118AB" w:rsidRDefault="00435B35" w:rsidP="00435B35">
      <w:pPr>
        <w:autoSpaceDE w:val="0"/>
        <w:autoSpaceDN w:val="0"/>
        <w:adjustRightInd w:val="0"/>
        <w:jc w:val="both"/>
        <w:rPr>
          <w:iCs/>
        </w:rPr>
      </w:pPr>
    </w:p>
    <w:p w14:paraId="7695AF1F" w14:textId="1170082D" w:rsidR="00435B35" w:rsidRPr="009118AB" w:rsidRDefault="00435B35" w:rsidP="007102E0">
      <w:pPr>
        <w:autoSpaceDE w:val="0"/>
        <w:autoSpaceDN w:val="0"/>
        <w:adjustRightInd w:val="0"/>
        <w:ind w:firstLine="709"/>
        <w:jc w:val="both"/>
        <w:rPr>
          <w:iCs/>
        </w:rPr>
      </w:pPr>
      <w:r w:rsidRPr="009118AB">
        <w:rPr>
          <w:iCs/>
        </w:rPr>
        <w:t>2. oder ein Masterdiplom oder ein gleichwertiges Diplom in den Studienbereichen oder Kombinationen der Studienbereiche:</w:t>
      </w:r>
    </w:p>
    <w:p w14:paraId="676C3551" w14:textId="77777777" w:rsidR="00435B35" w:rsidRPr="009118AB" w:rsidRDefault="00435B35" w:rsidP="00435B35">
      <w:pPr>
        <w:autoSpaceDE w:val="0"/>
        <w:autoSpaceDN w:val="0"/>
        <w:adjustRightInd w:val="0"/>
        <w:jc w:val="both"/>
        <w:rPr>
          <w:iCs/>
        </w:rPr>
      </w:pPr>
    </w:p>
    <w:p w14:paraId="3D464469" w14:textId="77777777" w:rsidR="00435B35" w:rsidRPr="009118AB" w:rsidRDefault="00435B35" w:rsidP="007102E0">
      <w:pPr>
        <w:autoSpaceDE w:val="0"/>
        <w:autoSpaceDN w:val="0"/>
        <w:adjustRightInd w:val="0"/>
        <w:ind w:firstLine="709"/>
        <w:jc w:val="both"/>
        <w:rPr>
          <w:iCs/>
        </w:rPr>
      </w:pPr>
      <w:r w:rsidRPr="009118AB">
        <w:rPr>
          <w:i/>
          <w:iCs/>
        </w:rPr>
        <w:t>a)</w:t>
      </w:r>
      <w:r w:rsidRPr="009118AB">
        <w:rPr>
          <w:iCs/>
        </w:rPr>
        <w:t xml:space="preserve"> [für die Flämische Gemeinschaft:</w:t>
      </w:r>
    </w:p>
    <w:p w14:paraId="4BBB3DC5" w14:textId="77777777" w:rsidR="00435B35" w:rsidRPr="009118AB" w:rsidRDefault="00435B35" w:rsidP="00435B35">
      <w:pPr>
        <w:autoSpaceDE w:val="0"/>
        <w:autoSpaceDN w:val="0"/>
        <w:adjustRightInd w:val="0"/>
        <w:jc w:val="both"/>
        <w:rPr>
          <w:iCs/>
        </w:rPr>
      </w:pPr>
    </w:p>
    <w:p w14:paraId="693D8F4C" w14:textId="77777777" w:rsidR="00435B35" w:rsidRPr="009118AB" w:rsidRDefault="00435B35" w:rsidP="007102E0">
      <w:pPr>
        <w:autoSpaceDE w:val="0"/>
        <w:autoSpaceDN w:val="0"/>
        <w:adjustRightInd w:val="0"/>
        <w:ind w:firstLine="709"/>
        <w:jc w:val="both"/>
        <w:rPr>
          <w:iCs/>
        </w:rPr>
      </w:pPr>
      <w:r w:rsidRPr="009118AB">
        <w:rPr>
          <w:iCs/>
        </w:rPr>
        <w:t>- Wissenschaften,</w:t>
      </w:r>
    </w:p>
    <w:p w14:paraId="79AF438D" w14:textId="77777777" w:rsidR="00435B35" w:rsidRPr="009118AB" w:rsidRDefault="00435B35" w:rsidP="00435B35">
      <w:pPr>
        <w:autoSpaceDE w:val="0"/>
        <w:autoSpaceDN w:val="0"/>
        <w:adjustRightInd w:val="0"/>
        <w:jc w:val="both"/>
        <w:rPr>
          <w:iCs/>
        </w:rPr>
      </w:pPr>
    </w:p>
    <w:p w14:paraId="53BF7C78" w14:textId="77777777" w:rsidR="00435B35" w:rsidRPr="009118AB" w:rsidRDefault="00435B35" w:rsidP="007102E0">
      <w:pPr>
        <w:autoSpaceDE w:val="0"/>
        <w:autoSpaceDN w:val="0"/>
        <w:adjustRightInd w:val="0"/>
        <w:ind w:firstLine="709"/>
        <w:jc w:val="both"/>
        <w:rPr>
          <w:iCs/>
        </w:rPr>
      </w:pPr>
      <w:r w:rsidRPr="009118AB">
        <w:rPr>
          <w:iCs/>
        </w:rPr>
        <w:t>- angewandte Wissenschaften,</w:t>
      </w:r>
    </w:p>
    <w:p w14:paraId="7416F85C" w14:textId="77777777" w:rsidR="00435B35" w:rsidRPr="009118AB" w:rsidRDefault="00435B35" w:rsidP="00435B35">
      <w:pPr>
        <w:autoSpaceDE w:val="0"/>
        <w:autoSpaceDN w:val="0"/>
        <w:adjustRightInd w:val="0"/>
        <w:jc w:val="both"/>
        <w:rPr>
          <w:iCs/>
        </w:rPr>
      </w:pPr>
    </w:p>
    <w:p w14:paraId="3042C96C" w14:textId="77777777" w:rsidR="00435B35" w:rsidRPr="009118AB" w:rsidRDefault="00435B35" w:rsidP="007102E0">
      <w:pPr>
        <w:autoSpaceDE w:val="0"/>
        <w:autoSpaceDN w:val="0"/>
        <w:adjustRightInd w:val="0"/>
        <w:ind w:firstLine="709"/>
        <w:jc w:val="both"/>
        <w:rPr>
          <w:iCs/>
        </w:rPr>
      </w:pPr>
      <w:r w:rsidRPr="009118AB">
        <w:rPr>
          <w:iCs/>
        </w:rPr>
        <w:t>- angewandte biologische Wissenschaften,</w:t>
      </w:r>
    </w:p>
    <w:p w14:paraId="0D361293" w14:textId="77777777" w:rsidR="00435B35" w:rsidRPr="009118AB" w:rsidRDefault="00435B35" w:rsidP="00435B35">
      <w:pPr>
        <w:autoSpaceDE w:val="0"/>
        <w:autoSpaceDN w:val="0"/>
        <w:adjustRightInd w:val="0"/>
        <w:jc w:val="both"/>
        <w:rPr>
          <w:iCs/>
        </w:rPr>
      </w:pPr>
    </w:p>
    <w:p w14:paraId="6E7338D0" w14:textId="77777777" w:rsidR="00435B35" w:rsidRPr="009118AB" w:rsidRDefault="00435B35" w:rsidP="007102E0">
      <w:pPr>
        <w:autoSpaceDE w:val="0"/>
        <w:autoSpaceDN w:val="0"/>
        <w:adjustRightInd w:val="0"/>
        <w:ind w:firstLine="709"/>
        <w:jc w:val="both"/>
        <w:rPr>
          <w:iCs/>
        </w:rPr>
      </w:pPr>
      <w:r w:rsidRPr="009118AB">
        <w:rPr>
          <w:iCs/>
        </w:rPr>
        <w:t>- Medizin,</w:t>
      </w:r>
    </w:p>
    <w:p w14:paraId="5557723B" w14:textId="77777777" w:rsidR="00435B35" w:rsidRPr="009118AB" w:rsidRDefault="00435B35" w:rsidP="00435B35">
      <w:pPr>
        <w:autoSpaceDE w:val="0"/>
        <w:autoSpaceDN w:val="0"/>
        <w:adjustRightInd w:val="0"/>
        <w:jc w:val="both"/>
        <w:rPr>
          <w:iCs/>
        </w:rPr>
      </w:pPr>
    </w:p>
    <w:p w14:paraId="16C62637" w14:textId="77777777" w:rsidR="00435B35" w:rsidRPr="009118AB" w:rsidRDefault="00435B35" w:rsidP="007102E0">
      <w:pPr>
        <w:autoSpaceDE w:val="0"/>
        <w:autoSpaceDN w:val="0"/>
        <w:adjustRightInd w:val="0"/>
        <w:ind w:firstLine="709"/>
        <w:jc w:val="both"/>
        <w:rPr>
          <w:iCs/>
        </w:rPr>
      </w:pPr>
      <w:r w:rsidRPr="009118AB">
        <w:rPr>
          <w:iCs/>
        </w:rPr>
        <w:t>- Veterinärmedizin,</w:t>
      </w:r>
    </w:p>
    <w:p w14:paraId="4AB4CB38" w14:textId="77777777" w:rsidR="00435B35" w:rsidRPr="009118AB" w:rsidRDefault="00435B35" w:rsidP="00435B35">
      <w:pPr>
        <w:autoSpaceDE w:val="0"/>
        <w:autoSpaceDN w:val="0"/>
        <w:adjustRightInd w:val="0"/>
        <w:jc w:val="both"/>
        <w:rPr>
          <w:iCs/>
        </w:rPr>
      </w:pPr>
    </w:p>
    <w:p w14:paraId="14E508E0" w14:textId="77777777" w:rsidR="00435B35" w:rsidRPr="009118AB" w:rsidRDefault="00435B35" w:rsidP="007102E0">
      <w:pPr>
        <w:autoSpaceDE w:val="0"/>
        <w:autoSpaceDN w:val="0"/>
        <w:adjustRightInd w:val="0"/>
        <w:ind w:firstLine="709"/>
        <w:jc w:val="both"/>
        <w:rPr>
          <w:iCs/>
        </w:rPr>
      </w:pPr>
      <w:r w:rsidRPr="009118AB">
        <w:rPr>
          <w:iCs/>
        </w:rPr>
        <w:t>- pharmazeutische Wissenschaften,</w:t>
      </w:r>
    </w:p>
    <w:p w14:paraId="31923193" w14:textId="77777777" w:rsidR="00435B35" w:rsidRPr="009118AB" w:rsidRDefault="00435B35" w:rsidP="00435B35">
      <w:pPr>
        <w:autoSpaceDE w:val="0"/>
        <w:autoSpaceDN w:val="0"/>
        <w:adjustRightInd w:val="0"/>
        <w:jc w:val="both"/>
        <w:rPr>
          <w:iCs/>
        </w:rPr>
      </w:pPr>
    </w:p>
    <w:p w14:paraId="508490B8" w14:textId="77777777" w:rsidR="00435B35" w:rsidRPr="009118AB" w:rsidRDefault="00435B35" w:rsidP="007102E0">
      <w:pPr>
        <w:autoSpaceDE w:val="0"/>
        <w:autoSpaceDN w:val="0"/>
        <w:adjustRightInd w:val="0"/>
        <w:ind w:firstLine="709"/>
        <w:jc w:val="both"/>
        <w:rPr>
          <w:iCs/>
        </w:rPr>
      </w:pPr>
      <w:r w:rsidRPr="009118AB">
        <w:rPr>
          <w:iCs/>
        </w:rPr>
        <w:t>- biomedizinische Wissenschaften,</w:t>
      </w:r>
    </w:p>
    <w:p w14:paraId="08B0C527" w14:textId="77777777" w:rsidR="00435B35" w:rsidRPr="009118AB" w:rsidRDefault="00435B35" w:rsidP="00435B35">
      <w:pPr>
        <w:autoSpaceDE w:val="0"/>
        <w:autoSpaceDN w:val="0"/>
        <w:adjustRightInd w:val="0"/>
        <w:jc w:val="both"/>
        <w:rPr>
          <w:iCs/>
        </w:rPr>
      </w:pPr>
    </w:p>
    <w:p w14:paraId="008828A3" w14:textId="77777777" w:rsidR="00435B35" w:rsidRPr="009118AB" w:rsidRDefault="00435B35" w:rsidP="007102E0">
      <w:pPr>
        <w:autoSpaceDE w:val="0"/>
        <w:autoSpaceDN w:val="0"/>
        <w:adjustRightInd w:val="0"/>
        <w:ind w:firstLine="709"/>
        <w:jc w:val="both"/>
        <w:rPr>
          <w:iCs/>
        </w:rPr>
      </w:pPr>
      <w:r w:rsidRPr="009118AB">
        <w:rPr>
          <w:iCs/>
        </w:rPr>
        <w:t>- industrielle Wissenschaften und Technologie,</w:t>
      </w:r>
    </w:p>
    <w:p w14:paraId="028BA2ED" w14:textId="77777777" w:rsidR="00435B35" w:rsidRPr="009118AB" w:rsidRDefault="00435B35" w:rsidP="00435B35">
      <w:pPr>
        <w:autoSpaceDE w:val="0"/>
        <w:autoSpaceDN w:val="0"/>
        <w:adjustRightInd w:val="0"/>
        <w:jc w:val="both"/>
        <w:rPr>
          <w:iCs/>
        </w:rPr>
      </w:pPr>
    </w:p>
    <w:p w14:paraId="41F609EF" w14:textId="77777777" w:rsidR="00435B35" w:rsidRPr="009118AB" w:rsidRDefault="00435B35" w:rsidP="007102E0">
      <w:pPr>
        <w:autoSpaceDE w:val="0"/>
        <w:autoSpaceDN w:val="0"/>
        <w:adjustRightInd w:val="0"/>
        <w:ind w:firstLine="709"/>
        <w:jc w:val="both"/>
        <w:rPr>
          <w:iCs/>
        </w:rPr>
      </w:pPr>
      <w:r w:rsidRPr="009118AB">
        <w:rPr>
          <w:iCs/>
        </w:rPr>
        <w:t>- nautische Wissenschaften,</w:t>
      </w:r>
    </w:p>
    <w:p w14:paraId="16E7DEC4" w14:textId="77777777" w:rsidR="00435B35" w:rsidRPr="009118AB" w:rsidRDefault="00435B35" w:rsidP="00435B35">
      <w:pPr>
        <w:autoSpaceDE w:val="0"/>
        <w:autoSpaceDN w:val="0"/>
        <w:adjustRightInd w:val="0"/>
        <w:jc w:val="both"/>
        <w:rPr>
          <w:iCs/>
        </w:rPr>
      </w:pPr>
    </w:p>
    <w:p w14:paraId="5859D4A0" w14:textId="77777777" w:rsidR="00435B35" w:rsidRPr="009118AB" w:rsidRDefault="00435B35" w:rsidP="007102E0">
      <w:pPr>
        <w:autoSpaceDE w:val="0"/>
        <w:autoSpaceDN w:val="0"/>
        <w:adjustRightInd w:val="0"/>
        <w:ind w:firstLine="709"/>
        <w:jc w:val="both"/>
        <w:rPr>
          <w:iCs/>
        </w:rPr>
      </w:pPr>
      <w:r w:rsidRPr="009118AB">
        <w:rPr>
          <w:iCs/>
        </w:rPr>
        <w:t>- Biotechnik,</w:t>
      </w:r>
    </w:p>
    <w:p w14:paraId="093EECA6" w14:textId="77777777" w:rsidR="00435B35" w:rsidRPr="009118AB" w:rsidRDefault="00435B35" w:rsidP="00435B35">
      <w:pPr>
        <w:autoSpaceDE w:val="0"/>
        <w:autoSpaceDN w:val="0"/>
        <w:adjustRightInd w:val="0"/>
        <w:jc w:val="both"/>
        <w:rPr>
          <w:iCs/>
        </w:rPr>
      </w:pPr>
    </w:p>
    <w:p w14:paraId="4E094CB5" w14:textId="77777777" w:rsidR="00435B35" w:rsidRPr="009118AB" w:rsidRDefault="00435B35" w:rsidP="007102E0">
      <w:pPr>
        <w:autoSpaceDE w:val="0"/>
        <w:autoSpaceDN w:val="0"/>
        <w:adjustRightInd w:val="0"/>
        <w:ind w:firstLine="709"/>
        <w:jc w:val="both"/>
        <w:rPr>
          <w:iCs/>
        </w:rPr>
      </w:pPr>
      <w:r w:rsidRPr="009118AB">
        <w:rPr>
          <w:iCs/>
        </w:rPr>
        <w:t>- Architektur,</w:t>
      </w:r>
    </w:p>
    <w:p w14:paraId="55D0A2A1" w14:textId="77777777" w:rsidR="00435B35" w:rsidRPr="009118AB" w:rsidRDefault="00435B35" w:rsidP="00435B35">
      <w:pPr>
        <w:autoSpaceDE w:val="0"/>
        <w:autoSpaceDN w:val="0"/>
        <w:adjustRightInd w:val="0"/>
        <w:jc w:val="both"/>
        <w:rPr>
          <w:iCs/>
        </w:rPr>
      </w:pPr>
    </w:p>
    <w:p w14:paraId="3FFBE363" w14:textId="77777777" w:rsidR="00435B35" w:rsidRPr="009118AB" w:rsidRDefault="00435B35" w:rsidP="007102E0">
      <w:pPr>
        <w:autoSpaceDE w:val="0"/>
        <w:autoSpaceDN w:val="0"/>
        <w:adjustRightInd w:val="0"/>
        <w:ind w:firstLine="709"/>
        <w:jc w:val="both"/>
        <w:rPr>
          <w:iCs/>
        </w:rPr>
      </w:pPr>
      <w:r w:rsidRPr="009118AB">
        <w:rPr>
          <w:iCs/>
        </w:rPr>
        <w:t>- Produktentwicklung,]</w:t>
      </w:r>
    </w:p>
    <w:p w14:paraId="3D4F3232" w14:textId="77777777" w:rsidR="00435B35" w:rsidRPr="009118AB" w:rsidRDefault="00435B35" w:rsidP="00435B35">
      <w:pPr>
        <w:autoSpaceDE w:val="0"/>
        <w:autoSpaceDN w:val="0"/>
        <w:adjustRightInd w:val="0"/>
        <w:jc w:val="both"/>
        <w:rPr>
          <w:iCs/>
        </w:rPr>
      </w:pPr>
    </w:p>
    <w:p w14:paraId="22456ADA" w14:textId="2DE6E85D" w:rsidR="00435B35" w:rsidRPr="009118AB" w:rsidRDefault="00435B35" w:rsidP="007102E0">
      <w:pPr>
        <w:autoSpaceDE w:val="0"/>
        <w:autoSpaceDN w:val="0"/>
        <w:adjustRightInd w:val="0"/>
        <w:ind w:firstLine="709"/>
        <w:jc w:val="both"/>
        <w:rPr>
          <w:iCs/>
        </w:rPr>
      </w:pPr>
      <w:r w:rsidRPr="009118AB">
        <w:rPr>
          <w:i/>
          <w:iCs/>
        </w:rPr>
        <w:t>b)</w:t>
      </w:r>
      <w:r w:rsidRPr="009118AB">
        <w:rPr>
          <w:iCs/>
        </w:rPr>
        <w:t xml:space="preserve"> für die Französische Gemeinschaft: </w:t>
      </w:r>
    </w:p>
    <w:p w14:paraId="5C20F9FF" w14:textId="77777777" w:rsidR="00435B35" w:rsidRPr="009118AB" w:rsidRDefault="00435B35" w:rsidP="00435B35">
      <w:pPr>
        <w:autoSpaceDE w:val="0"/>
        <w:autoSpaceDN w:val="0"/>
        <w:adjustRightInd w:val="0"/>
        <w:jc w:val="both"/>
        <w:rPr>
          <w:iCs/>
        </w:rPr>
      </w:pPr>
    </w:p>
    <w:p w14:paraId="78238C71" w14:textId="77777777" w:rsidR="00435B35" w:rsidRPr="009118AB" w:rsidRDefault="00435B35" w:rsidP="007102E0">
      <w:pPr>
        <w:autoSpaceDE w:val="0"/>
        <w:autoSpaceDN w:val="0"/>
        <w:adjustRightInd w:val="0"/>
        <w:ind w:firstLine="709"/>
        <w:jc w:val="both"/>
        <w:rPr>
          <w:iCs/>
        </w:rPr>
      </w:pPr>
      <w:r w:rsidRPr="009118AB">
        <w:rPr>
          <w:iCs/>
        </w:rPr>
        <w:t>- Wissenschaften,</w:t>
      </w:r>
    </w:p>
    <w:p w14:paraId="06CFBEF8" w14:textId="77777777" w:rsidR="00435B35" w:rsidRPr="009118AB" w:rsidRDefault="00435B35" w:rsidP="00435B35">
      <w:pPr>
        <w:autoSpaceDE w:val="0"/>
        <w:autoSpaceDN w:val="0"/>
        <w:adjustRightInd w:val="0"/>
        <w:jc w:val="both"/>
        <w:rPr>
          <w:iCs/>
        </w:rPr>
      </w:pPr>
    </w:p>
    <w:p w14:paraId="6ADDE391" w14:textId="77777777" w:rsidR="00435B35" w:rsidRPr="009118AB" w:rsidRDefault="00435B35" w:rsidP="007102E0">
      <w:pPr>
        <w:autoSpaceDE w:val="0"/>
        <w:autoSpaceDN w:val="0"/>
        <w:adjustRightInd w:val="0"/>
        <w:ind w:firstLine="709"/>
        <w:jc w:val="both"/>
        <w:rPr>
          <w:iCs/>
        </w:rPr>
      </w:pPr>
      <w:r w:rsidRPr="009118AB">
        <w:rPr>
          <w:iCs/>
        </w:rPr>
        <w:t>- Ingenieurwissenschaften,</w:t>
      </w:r>
    </w:p>
    <w:p w14:paraId="5D7029B6" w14:textId="77777777" w:rsidR="00435B35" w:rsidRPr="009118AB" w:rsidRDefault="00435B35" w:rsidP="00435B35">
      <w:pPr>
        <w:autoSpaceDE w:val="0"/>
        <w:autoSpaceDN w:val="0"/>
        <w:adjustRightInd w:val="0"/>
        <w:jc w:val="both"/>
        <w:rPr>
          <w:iCs/>
        </w:rPr>
      </w:pPr>
    </w:p>
    <w:p w14:paraId="32FD04A8" w14:textId="77777777" w:rsidR="00435B35" w:rsidRPr="009118AB" w:rsidRDefault="00435B35" w:rsidP="007102E0">
      <w:pPr>
        <w:autoSpaceDE w:val="0"/>
        <w:autoSpaceDN w:val="0"/>
        <w:adjustRightInd w:val="0"/>
        <w:ind w:firstLine="709"/>
        <w:jc w:val="both"/>
        <w:rPr>
          <w:iCs/>
        </w:rPr>
      </w:pPr>
      <w:r w:rsidRPr="009118AB">
        <w:rPr>
          <w:iCs/>
        </w:rPr>
        <w:t>- Agrarwissenschaften und Bioingenieurwesen,</w:t>
      </w:r>
    </w:p>
    <w:p w14:paraId="2FA87D32" w14:textId="77777777" w:rsidR="00435B35" w:rsidRPr="009118AB" w:rsidRDefault="00435B35" w:rsidP="00435B35">
      <w:pPr>
        <w:autoSpaceDE w:val="0"/>
        <w:autoSpaceDN w:val="0"/>
        <w:adjustRightInd w:val="0"/>
        <w:jc w:val="both"/>
        <w:rPr>
          <w:iCs/>
        </w:rPr>
      </w:pPr>
    </w:p>
    <w:p w14:paraId="6DD7AAAC" w14:textId="77777777" w:rsidR="00435B35" w:rsidRPr="009118AB" w:rsidRDefault="00435B35" w:rsidP="007102E0">
      <w:pPr>
        <w:autoSpaceDE w:val="0"/>
        <w:autoSpaceDN w:val="0"/>
        <w:adjustRightInd w:val="0"/>
        <w:ind w:firstLine="709"/>
        <w:jc w:val="both"/>
        <w:rPr>
          <w:iCs/>
        </w:rPr>
      </w:pPr>
      <w:r w:rsidRPr="009118AB">
        <w:rPr>
          <w:iCs/>
        </w:rPr>
        <w:t>- Medizinwissenschaften,</w:t>
      </w:r>
    </w:p>
    <w:p w14:paraId="05BB7B94" w14:textId="77777777" w:rsidR="00435B35" w:rsidRPr="009118AB" w:rsidRDefault="00435B35" w:rsidP="00435B35">
      <w:pPr>
        <w:autoSpaceDE w:val="0"/>
        <w:autoSpaceDN w:val="0"/>
        <w:adjustRightInd w:val="0"/>
        <w:jc w:val="both"/>
        <w:rPr>
          <w:iCs/>
        </w:rPr>
      </w:pPr>
    </w:p>
    <w:p w14:paraId="0480903F" w14:textId="77777777" w:rsidR="00435B35" w:rsidRPr="009118AB" w:rsidRDefault="00435B35" w:rsidP="007102E0">
      <w:pPr>
        <w:autoSpaceDE w:val="0"/>
        <w:autoSpaceDN w:val="0"/>
        <w:adjustRightInd w:val="0"/>
        <w:ind w:firstLine="709"/>
        <w:jc w:val="both"/>
        <w:rPr>
          <w:iCs/>
        </w:rPr>
      </w:pPr>
      <w:r w:rsidRPr="009118AB">
        <w:rPr>
          <w:iCs/>
        </w:rPr>
        <w:lastRenderedPageBreak/>
        <w:t>- Veterinärmedizin,</w:t>
      </w:r>
    </w:p>
    <w:p w14:paraId="532A6C32" w14:textId="77777777" w:rsidR="00435B35" w:rsidRPr="009118AB" w:rsidRDefault="00435B35" w:rsidP="00435B35">
      <w:pPr>
        <w:autoSpaceDE w:val="0"/>
        <w:autoSpaceDN w:val="0"/>
        <w:adjustRightInd w:val="0"/>
        <w:jc w:val="both"/>
        <w:rPr>
          <w:iCs/>
        </w:rPr>
      </w:pPr>
    </w:p>
    <w:p w14:paraId="1D85938E" w14:textId="77777777" w:rsidR="00435B35" w:rsidRPr="009118AB" w:rsidRDefault="00435B35" w:rsidP="007102E0">
      <w:pPr>
        <w:autoSpaceDE w:val="0"/>
        <w:autoSpaceDN w:val="0"/>
        <w:adjustRightInd w:val="0"/>
        <w:ind w:firstLine="709"/>
        <w:jc w:val="both"/>
        <w:rPr>
          <w:iCs/>
        </w:rPr>
      </w:pPr>
      <w:r w:rsidRPr="009118AB">
        <w:rPr>
          <w:iCs/>
        </w:rPr>
        <w:t>- biomedizinische und pharmazeutische Wissenschaften,</w:t>
      </w:r>
    </w:p>
    <w:p w14:paraId="287A7CD0" w14:textId="77777777" w:rsidR="00435B35" w:rsidRPr="009118AB" w:rsidRDefault="00435B35" w:rsidP="00435B35">
      <w:pPr>
        <w:autoSpaceDE w:val="0"/>
        <w:autoSpaceDN w:val="0"/>
        <w:adjustRightInd w:val="0"/>
        <w:jc w:val="both"/>
        <w:rPr>
          <w:iCs/>
        </w:rPr>
      </w:pPr>
    </w:p>
    <w:p w14:paraId="7E130350" w14:textId="77777777" w:rsidR="00435B35" w:rsidRPr="009118AB" w:rsidRDefault="00435B35" w:rsidP="007102E0">
      <w:pPr>
        <w:autoSpaceDE w:val="0"/>
        <w:autoSpaceDN w:val="0"/>
        <w:adjustRightInd w:val="0"/>
        <w:ind w:firstLine="709"/>
        <w:jc w:val="both"/>
        <w:rPr>
          <w:iCs/>
        </w:rPr>
      </w:pPr>
      <w:r w:rsidRPr="009118AB">
        <w:rPr>
          <w:iCs/>
        </w:rPr>
        <w:t>- Architektur und Städtebau,</w:t>
      </w:r>
    </w:p>
    <w:p w14:paraId="3A730667" w14:textId="77777777" w:rsidR="00435B35" w:rsidRPr="009118AB" w:rsidRDefault="00435B35" w:rsidP="00435B35">
      <w:pPr>
        <w:autoSpaceDE w:val="0"/>
        <w:autoSpaceDN w:val="0"/>
        <w:adjustRightInd w:val="0"/>
        <w:jc w:val="both"/>
        <w:rPr>
          <w:iCs/>
        </w:rPr>
      </w:pPr>
    </w:p>
    <w:p w14:paraId="69C97E73" w14:textId="77777777" w:rsidR="00435B35" w:rsidRPr="009118AB" w:rsidRDefault="00435B35" w:rsidP="007102E0">
      <w:pPr>
        <w:autoSpaceDE w:val="0"/>
        <w:autoSpaceDN w:val="0"/>
        <w:adjustRightInd w:val="0"/>
        <w:ind w:firstLine="709"/>
        <w:jc w:val="both"/>
        <w:rPr>
          <w:iCs/>
        </w:rPr>
      </w:pPr>
      <w:r w:rsidRPr="009118AB">
        <w:rPr>
          <w:iCs/>
        </w:rPr>
        <w:t>- industrielle Wissenschaften,</w:t>
      </w:r>
    </w:p>
    <w:p w14:paraId="7204E43B" w14:textId="77777777" w:rsidR="00435B35" w:rsidRPr="009118AB" w:rsidRDefault="00435B35" w:rsidP="00435B35">
      <w:pPr>
        <w:autoSpaceDE w:val="0"/>
        <w:autoSpaceDN w:val="0"/>
        <w:adjustRightInd w:val="0"/>
        <w:jc w:val="both"/>
        <w:rPr>
          <w:iCs/>
        </w:rPr>
      </w:pPr>
    </w:p>
    <w:p w14:paraId="40B49F33" w14:textId="77777777" w:rsidR="00435B35" w:rsidRPr="009118AB" w:rsidRDefault="00435B35" w:rsidP="007102E0">
      <w:pPr>
        <w:autoSpaceDE w:val="0"/>
        <w:autoSpaceDN w:val="0"/>
        <w:adjustRightInd w:val="0"/>
        <w:ind w:firstLine="709"/>
        <w:jc w:val="both"/>
        <w:rPr>
          <w:iCs/>
        </w:rPr>
      </w:pPr>
      <w:r w:rsidRPr="009118AB">
        <w:rPr>
          <w:iCs/>
        </w:rPr>
        <w:t>- industrielle Agrarwissenschaften,]</w:t>
      </w:r>
    </w:p>
    <w:p w14:paraId="6C4C336D" w14:textId="77777777" w:rsidR="00435B35" w:rsidRPr="009118AB" w:rsidRDefault="00435B35" w:rsidP="00435B35">
      <w:pPr>
        <w:autoSpaceDE w:val="0"/>
        <w:autoSpaceDN w:val="0"/>
        <w:adjustRightInd w:val="0"/>
        <w:jc w:val="both"/>
        <w:rPr>
          <w:iCs/>
        </w:rPr>
      </w:pPr>
    </w:p>
    <w:p w14:paraId="425DDCE0" w14:textId="6AD5A325" w:rsidR="00435B35" w:rsidRPr="009118AB" w:rsidRDefault="00435B35" w:rsidP="007102E0">
      <w:pPr>
        <w:autoSpaceDE w:val="0"/>
        <w:autoSpaceDN w:val="0"/>
        <w:adjustRightInd w:val="0"/>
        <w:ind w:firstLine="709"/>
        <w:jc w:val="both"/>
        <w:rPr>
          <w:iCs/>
        </w:rPr>
      </w:pPr>
      <w:r w:rsidRPr="009118AB">
        <w:rPr>
          <w:iCs/>
        </w:rPr>
        <w:t xml:space="preserve">[3. oder ein Diplom eines Übergangsbachelors oder ein gleichwertiges Diplom in den in </w:t>
      </w:r>
      <w:r w:rsidR="00D67EB8" w:rsidRPr="009118AB">
        <w:rPr>
          <w:iCs/>
        </w:rPr>
        <w:t>Nr. </w:t>
      </w:r>
      <w:r w:rsidRPr="009118AB">
        <w:rPr>
          <w:iCs/>
        </w:rPr>
        <w:t>2 erwähnten Studienbereichen oder Kombinationen von Studienbereichen</w:t>
      </w:r>
    </w:p>
    <w:p w14:paraId="25EF5604" w14:textId="77777777" w:rsidR="007102E0" w:rsidRPr="009118AB" w:rsidRDefault="007102E0">
      <w:pPr>
        <w:rPr>
          <w:iCs/>
        </w:rPr>
      </w:pPr>
    </w:p>
    <w:p w14:paraId="69C3ACB8" w14:textId="77777777" w:rsidR="00435B35" w:rsidRPr="009118AB" w:rsidRDefault="007102E0" w:rsidP="007102E0">
      <w:pPr>
        <w:rPr>
          <w:iCs/>
        </w:rPr>
      </w:pPr>
      <w:r w:rsidRPr="009118AB">
        <w:rPr>
          <w:iCs/>
        </w:rPr>
        <w:tab/>
      </w:r>
      <w:r w:rsidR="00435B35" w:rsidRPr="009118AB">
        <w:rPr>
          <w:iCs/>
        </w:rPr>
        <w:t>4. oder ein Diplom eines berufsqualifizierenden Bachelors oder ein gleichwertiges Diplom in den Studienbereichen oder Kombinationen der Studienbereiche:</w:t>
      </w:r>
    </w:p>
    <w:p w14:paraId="12C603CF" w14:textId="77777777" w:rsidR="00435B35" w:rsidRPr="009118AB" w:rsidRDefault="00435B35" w:rsidP="00435B35">
      <w:pPr>
        <w:autoSpaceDE w:val="0"/>
        <w:autoSpaceDN w:val="0"/>
        <w:adjustRightInd w:val="0"/>
        <w:jc w:val="both"/>
        <w:rPr>
          <w:iCs/>
        </w:rPr>
      </w:pPr>
    </w:p>
    <w:p w14:paraId="518CE46E" w14:textId="77777777" w:rsidR="00435B35" w:rsidRPr="009118AB" w:rsidRDefault="00435B35" w:rsidP="007102E0">
      <w:pPr>
        <w:autoSpaceDE w:val="0"/>
        <w:autoSpaceDN w:val="0"/>
        <w:adjustRightInd w:val="0"/>
        <w:ind w:firstLine="709"/>
        <w:jc w:val="both"/>
        <w:rPr>
          <w:iCs/>
        </w:rPr>
      </w:pPr>
      <w:r w:rsidRPr="009118AB">
        <w:rPr>
          <w:i/>
          <w:iCs/>
        </w:rPr>
        <w:t>a)</w:t>
      </w:r>
      <w:r w:rsidRPr="009118AB">
        <w:rPr>
          <w:iCs/>
        </w:rPr>
        <w:t> für die Flämische Gemeinschaft:</w:t>
      </w:r>
    </w:p>
    <w:p w14:paraId="25242DB3" w14:textId="77777777" w:rsidR="00435B35" w:rsidRPr="009118AB" w:rsidRDefault="00435B35" w:rsidP="00435B35">
      <w:pPr>
        <w:autoSpaceDE w:val="0"/>
        <w:autoSpaceDN w:val="0"/>
        <w:adjustRightInd w:val="0"/>
        <w:jc w:val="both"/>
        <w:rPr>
          <w:iCs/>
        </w:rPr>
      </w:pPr>
    </w:p>
    <w:p w14:paraId="77F9E86B" w14:textId="77777777" w:rsidR="00435B35" w:rsidRPr="009118AB" w:rsidRDefault="00435B35" w:rsidP="007102E0">
      <w:pPr>
        <w:autoSpaceDE w:val="0"/>
        <w:autoSpaceDN w:val="0"/>
        <w:adjustRightInd w:val="0"/>
        <w:ind w:firstLine="709"/>
        <w:jc w:val="both"/>
        <w:rPr>
          <w:iCs/>
        </w:rPr>
      </w:pPr>
      <w:r w:rsidRPr="009118AB">
        <w:rPr>
          <w:iCs/>
        </w:rPr>
        <w:t>- Biotechnik,</w:t>
      </w:r>
    </w:p>
    <w:p w14:paraId="49563A25" w14:textId="77777777" w:rsidR="00435B35" w:rsidRPr="009118AB" w:rsidRDefault="00435B35" w:rsidP="00435B35">
      <w:pPr>
        <w:autoSpaceDE w:val="0"/>
        <w:autoSpaceDN w:val="0"/>
        <w:adjustRightInd w:val="0"/>
        <w:jc w:val="both"/>
        <w:rPr>
          <w:iCs/>
        </w:rPr>
      </w:pPr>
    </w:p>
    <w:p w14:paraId="0C017F3A" w14:textId="77777777" w:rsidR="00435B35" w:rsidRPr="009118AB" w:rsidRDefault="00435B35" w:rsidP="007102E0">
      <w:pPr>
        <w:autoSpaceDE w:val="0"/>
        <w:autoSpaceDN w:val="0"/>
        <w:adjustRightInd w:val="0"/>
        <w:ind w:firstLine="709"/>
        <w:jc w:val="both"/>
        <w:rPr>
          <w:iCs/>
        </w:rPr>
      </w:pPr>
      <w:r w:rsidRPr="009118AB">
        <w:rPr>
          <w:iCs/>
        </w:rPr>
        <w:t>- Gesundheitspflege,</w:t>
      </w:r>
    </w:p>
    <w:p w14:paraId="307A891F" w14:textId="77777777" w:rsidR="00435B35" w:rsidRPr="009118AB" w:rsidRDefault="00435B35" w:rsidP="00435B35">
      <w:pPr>
        <w:autoSpaceDE w:val="0"/>
        <w:autoSpaceDN w:val="0"/>
        <w:adjustRightInd w:val="0"/>
        <w:jc w:val="both"/>
        <w:rPr>
          <w:iCs/>
        </w:rPr>
      </w:pPr>
    </w:p>
    <w:p w14:paraId="67EB34D0" w14:textId="77777777" w:rsidR="00435B35" w:rsidRPr="009118AB" w:rsidRDefault="00435B35" w:rsidP="007102E0">
      <w:pPr>
        <w:autoSpaceDE w:val="0"/>
        <w:autoSpaceDN w:val="0"/>
        <w:adjustRightInd w:val="0"/>
        <w:ind w:firstLine="709"/>
        <w:jc w:val="both"/>
        <w:rPr>
          <w:iCs/>
        </w:rPr>
      </w:pPr>
      <w:r w:rsidRPr="009118AB">
        <w:rPr>
          <w:iCs/>
        </w:rPr>
        <w:t>- industrielle Wissenschaften und Technologie,</w:t>
      </w:r>
    </w:p>
    <w:p w14:paraId="45560580" w14:textId="77777777" w:rsidR="00435B35" w:rsidRPr="009118AB" w:rsidRDefault="00435B35" w:rsidP="00435B35">
      <w:pPr>
        <w:autoSpaceDE w:val="0"/>
        <w:autoSpaceDN w:val="0"/>
        <w:adjustRightInd w:val="0"/>
        <w:jc w:val="both"/>
        <w:rPr>
          <w:iCs/>
        </w:rPr>
      </w:pPr>
    </w:p>
    <w:p w14:paraId="101DD599" w14:textId="77777777" w:rsidR="00435B35" w:rsidRPr="009118AB" w:rsidRDefault="00435B35" w:rsidP="007102E0">
      <w:pPr>
        <w:autoSpaceDE w:val="0"/>
        <w:autoSpaceDN w:val="0"/>
        <w:adjustRightInd w:val="0"/>
        <w:ind w:firstLine="709"/>
        <w:jc w:val="both"/>
        <w:rPr>
          <w:iCs/>
        </w:rPr>
      </w:pPr>
      <w:r w:rsidRPr="009118AB">
        <w:rPr>
          <w:iCs/>
        </w:rPr>
        <w:t>- nautische Wissenschaften,</w:t>
      </w:r>
    </w:p>
    <w:p w14:paraId="6397F6BE" w14:textId="77777777" w:rsidR="00435B35" w:rsidRPr="009118AB" w:rsidRDefault="00435B35" w:rsidP="00435B35">
      <w:pPr>
        <w:autoSpaceDE w:val="0"/>
        <w:autoSpaceDN w:val="0"/>
        <w:adjustRightInd w:val="0"/>
        <w:jc w:val="both"/>
        <w:rPr>
          <w:iCs/>
        </w:rPr>
      </w:pPr>
    </w:p>
    <w:p w14:paraId="57E1BEA6" w14:textId="77777777" w:rsidR="00435B35" w:rsidRPr="009118AB" w:rsidRDefault="00435B35" w:rsidP="007102E0">
      <w:pPr>
        <w:autoSpaceDE w:val="0"/>
        <w:autoSpaceDN w:val="0"/>
        <w:adjustRightInd w:val="0"/>
        <w:ind w:firstLine="709"/>
        <w:jc w:val="both"/>
        <w:rPr>
          <w:iCs/>
        </w:rPr>
      </w:pPr>
      <w:r w:rsidRPr="009118AB">
        <w:rPr>
          <w:iCs/>
        </w:rPr>
        <w:t>- Handels- und Betriebswissenschaften, begrenzt auf Ausbildungen, die sich hauptsächlich auf Informatik und Innovation beziehen,</w:t>
      </w:r>
    </w:p>
    <w:p w14:paraId="0A5BC82A" w14:textId="77777777" w:rsidR="00435B35" w:rsidRPr="009118AB" w:rsidRDefault="00435B35" w:rsidP="00435B35">
      <w:pPr>
        <w:autoSpaceDE w:val="0"/>
        <w:autoSpaceDN w:val="0"/>
        <w:adjustRightInd w:val="0"/>
        <w:jc w:val="both"/>
        <w:rPr>
          <w:iCs/>
        </w:rPr>
      </w:pPr>
    </w:p>
    <w:p w14:paraId="7E1AAF46" w14:textId="516C62F0" w:rsidR="00435B35" w:rsidRPr="009118AB" w:rsidRDefault="00435B35" w:rsidP="007102E0">
      <w:pPr>
        <w:autoSpaceDE w:val="0"/>
        <w:autoSpaceDN w:val="0"/>
        <w:adjustRightInd w:val="0"/>
        <w:ind w:firstLine="709"/>
        <w:jc w:val="both"/>
        <w:rPr>
          <w:iCs/>
        </w:rPr>
      </w:pPr>
      <w:r w:rsidRPr="009118AB">
        <w:rPr>
          <w:i/>
          <w:iCs/>
        </w:rPr>
        <w:t>b)</w:t>
      </w:r>
      <w:r w:rsidRPr="009118AB">
        <w:rPr>
          <w:iCs/>
        </w:rPr>
        <w:t> für die Französische Gemeinschaft:</w:t>
      </w:r>
    </w:p>
    <w:p w14:paraId="60C2FD39" w14:textId="77777777" w:rsidR="00435B35" w:rsidRPr="009118AB" w:rsidRDefault="00435B35" w:rsidP="00435B35">
      <w:pPr>
        <w:autoSpaceDE w:val="0"/>
        <w:autoSpaceDN w:val="0"/>
        <w:adjustRightInd w:val="0"/>
        <w:jc w:val="both"/>
        <w:rPr>
          <w:iCs/>
        </w:rPr>
      </w:pPr>
    </w:p>
    <w:p w14:paraId="33796A05" w14:textId="77777777" w:rsidR="00435B35" w:rsidRPr="009118AB" w:rsidRDefault="00435B35" w:rsidP="007102E0">
      <w:pPr>
        <w:autoSpaceDE w:val="0"/>
        <w:autoSpaceDN w:val="0"/>
        <w:adjustRightInd w:val="0"/>
        <w:ind w:firstLine="709"/>
        <w:jc w:val="both"/>
        <w:rPr>
          <w:iCs/>
        </w:rPr>
      </w:pPr>
      <w:r w:rsidRPr="009118AB">
        <w:rPr>
          <w:iCs/>
        </w:rPr>
        <w:t>- Heilhilfe,</w:t>
      </w:r>
    </w:p>
    <w:p w14:paraId="53E51463" w14:textId="77777777" w:rsidR="00435B35" w:rsidRPr="009118AB" w:rsidRDefault="00435B35" w:rsidP="00435B35">
      <w:pPr>
        <w:autoSpaceDE w:val="0"/>
        <w:autoSpaceDN w:val="0"/>
        <w:adjustRightInd w:val="0"/>
        <w:jc w:val="both"/>
        <w:rPr>
          <w:iCs/>
        </w:rPr>
      </w:pPr>
    </w:p>
    <w:p w14:paraId="164BFA40" w14:textId="77777777" w:rsidR="00435B35" w:rsidRPr="009118AB" w:rsidRDefault="00435B35" w:rsidP="007102E0">
      <w:pPr>
        <w:autoSpaceDE w:val="0"/>
        <w:autoSpaceDN w:val="0"/>
        <w:adjustRightInd w:val="0"/>
        <w:ind w:firstLine="709"/>
        <w:jc w:val="both"/>
        <w:rPr>
          <w:iCs/>
        </w:rPr>
      </w:pPr>
      <w:r w:rsidRPr="009118AB">
        <w:rPr>
          <w:iCs/>
        </w:rPr>
        <w:t>- Technik, begrenzt auf Ausbildungen, die sich hauptsächlich auf Biotechnik, industrielle Wissenschaften, Technologie, nautische Wissenschaften, Produktentwicklung und Informatik beziehen.]</w:t>
      </w:r>
    </w:p>
    <w:p w14:paraId="7BCC2C62" w14:textId="77777777" w:rsidR="00435B35" w:rsidRPr="009118AB" w:rsidRDefault="00435B35" w:rsidP="00435B35">
      <w:pPr>
        <w:autoSpaceDE w:val="0"/>
        <w:autoSpaceDN w:val="0"/>
        <w:adjustRightInd w:val="0"/>
        <w:jc w:val="both"/>
        <w:rPr>
          <w:iCs/>
        </w:rPr>
      </w:pPr>
    </w:p>
    <w:p w14:paraId="62CFA236" w14:textId="08360537" w:rsidR="00435B35" w:rsidRPr="009118AB" w:rsidRDefault="00435B35" w:rsidP="007102E0">
      <w:pPr>
        <w:autoSpaceDE w:val="0"/>
        <w:autoSpaceDN w:val="0"/>
        <w:adjustRightInd w:val="0"/>
        <w:ind w:firstLine="709"/>
        <w:jc w:val="both"/>
        <w:rPr>
          <w:iCs/>
        </w:rPr>
      </w:pPr>
      <w:r w:rsidRPr="009118AB">
        <w:rPr>
          <w:iCs/>
        </w:rPr>
        <w:t>[</w:t>
      </w:r>
      <w:r w:rsidR="00D67EB8" w:rsidRPr="009118AB">
        <w:rPr>
          <w:iCs/>
        </w:rPr>
        <w:t>§ </w:t>
      </w:r>
      <w:r w:rsidRPr="009118AB">
        <w:rPr>
          <w:iCs/>
        </w:rPr>
        <w:t>3</w:t>
      </w:r>
      <w:r w:rsidR="00D67EB8" w:rsidRPr="009118AB">
        <w:rPr>
          <w:iCs/>
        </w:rPr>
        <w:t> - </w:t>
      </w:r>
      <w:r w:rsidRPr="009118AB">
        <w:rPr>
          <w:iCs/>
        </w:rPr>
        <w:t xml:space="preserve">Unter den in </w:t>
      </w:r>
      <w:r w:rsidR="00D67EB8" w:rsidRPr="009118AB">
        <w:rPr>
          <w:iCs/>
        </w:rPr>
        <w:t>§ </w:t>
      </w:r>
      <w:r w:rsidRPr="009118AB">
        <w:rPr>
          <w:iCs/>
        </w:rPr>
        <w:t xml:space="preserve">1 erwähnten Forschungs- oder Entwicklungsprojekten oder </w:t>
      </w:r>
      <w:r w:rsidRPr="009118AB">
        <w:rPr>
          <w:iCs/>
        </w:rPr>
        <w:noBreakHyphen/>
        <w:t>programmen versteht man Projekte oder Programme mit folgenden Zielen:</w:t>
      </w:r>
    </w:p>
    <w:p w14:paraId="528EE023" w14:textId="77777777" w:rsidR="00435B35" w:rsidRPr="009118AB" w:rsidRDefault="00435B35" w:rsidP="00435B35">
      <w:pPr>
        <w:autoSpaceDE w:val="0"/>
        <w:autoSpaceDN w:val="0"/>
        <w:adjustRightInd w:val="0"/>
        <w:jc w:val="both"/>
        <w:rPr>
          <w:iCs/>
        </w:rPr>
      </w:pPr>
    </w:p>
    <w:p w14:paraId="4E39757B" w14:textId="77777777" w:rsidR="00435B35" w:rsidRPr="009118AB" w:rsidRDefault="00435B35" w:rsidP="007102E0">
      <w:pPr>
        <w:autoSpaceDE w:val="0"/>
        <w:autoSpaceDN w:val="0"/>
        <w:adjustRightInd w:val="0"/>
        <w:ind w:firstLine="709"/>
        <w:jc w:val="both"/>
        <w:rPr>
          <w:iCs/>
        </w:rPr>
      </w:pPr>
      <w:r w:rsidRPr="009118AB">
        <w:rPr>
          <w:i/>
          <w:iCs/>
        </w:rPr>
        <w:t>a)</w:t>
      </w:r>
      <w:r w:rsidRPr="009118AB">
        <w:rPr>
          <w:iCs/>
        </w:rPr>
        <w:t xml:space="preserve"> Grundlagenforschung: experimentelle oder theoretische Arbeiten, die in erster Linie dem Erwerb neuen Grundlagenwissens ohne erkennbare direkte praktische Anwendungs</w:t>
      </w:r>
      <w:r w:rsidRPr="009118AB">
        <w:rPr>
          <w:iCs/>
        </w:rPr>
        <w:softHyphen/>
        <w:t>möglichkeiten dienen,</w:t>
      </w:r>
    </w:p>
    <w:p w14:paraId="0D5CD690" w14:textId="77777777" w:rsidR="00435B35" w:rsidRPr="009118AB" w:rsidRDefault="00435B35" w:rsidP="00435B35">
      <w:pPr>
        <w:autoSpaceDE w:val="0"/>
        <w:autoSpaceDN w:val="0"/>
        <w:adjustRightInd w:val="0"/>
        <w:jc w:val="both"/>
        <w:rPr>
          <w:iCs/>
        </w:rPr>
      </w:pPr>
    </w:p>
    <w:p w14:paraId="3DA014D9" w14:textId="77777777" w:rsidR="00435B35" w:rsidRPr="009118AB" w:rsidRDefault="00435B35" w:rsidP="007102E0">
      <w:pPr>
        <w:autoSpaceDE w:val="0"/>
        <w:autoSpaceDN w:val="0"/>
        <w:adjustRightInd w:val="0"/>
        <w:ind w:firstLine="709"/>
        <w:jc w:val="both"/>
        <w:rPr>
          <w:iCs/>
        </w:rPr>
      </w:pPr>
      <w:r w:rsidRPr="009118AB">
        <w:rPr>
          <w:i/>
          <w:iCs/>
        </w:rPr>
        <w:t>b)</w:t>
      </w:r>
      <w:r w:rsidRPr="009118AB">
        <w:rPr>
          <w:iCs/>
        </w:rPr>
        <w:t xml:space="preserve"> industrieller Forschung: planmäßiges Forschen oder kritisches Erforschen zur Gewinnung neuer Kenntnisse und Fertigkeiten mit dem Ziel, neue Produkte, Verfahren oder Dienstleistungen zu entwickeln oder zur Verwirklichung erheblicher Verbesserungen bei bestehenden Produkten, Verfahren oder Dienstleistungen nutzen zu können. Hierzu zählt auch die Entwicklung von Teilen komplexer Systeme, die für die industrielle Forschung und </w:t>
      </w:r>
      <w:r w:rsidRPr="009118AB">
        <w:rPr>
          <w:iCs/>
        </w:rPr>
        <w:lastRenderedPageBreak/>
        <w:t>insbesondere die Validierung von technologischen Grundlagen notwendig sind, mit Ausnahme von Prototypen,</w:t>
      </w:r>
    </w:p>
    <w:p w14:paraId="414CAE0F" w14:textId="77777777" w:rsidR="00435B35" w:rsidRPr="009118AB" w:rsidRDefault="00435B35" w:rsidP="00435B35">
      <w:pPr>
        <w:autoSpaceDE w:val="0"/>
        <w:autoSpaceDN w:val="0"/>
        <w:adjustRightInd w:val="0"/>
        <w:jc w:val="both"/>
        <w:rPr>
          <w:iCs/>
        </w:rPr>
      </w:pPr>
    </w:p>
    <w:p w14:paraId="35BE5E80" w14:textId="77777777" w:rsidR="00435B35" w:rsidRPr="009118AB" w:rsidRDefault="00435B35" w:rsidP="007102E0">
      <w:pPr>
        <w:autoSpaceDE w:val="0"/>
        <w:autoSpaceDN w:val="0"/>
        <w:adjustRightInd w:val="0"/>
        <w:ind w:firstLine="709"/>
        <w:jc w:val="both"/>
        <w:rPr>
          <w:iCs/>
        </w:rPr>
      </w:pPr>
      <w:r w:rsidRPr="009118AB">
        <w:rPr>
          <w:i/>
          <w:iCs/>
        </w:rPr>
        <w:t>c)</w:t>
      </w:r>
      <w:r w:rsidRPr="009118AB">
        <w:rPr>
          <w:iCs/>
        </w:rPr>
        <w:t xml:space="preserve"> experimenteller Entwicklung: Erwerb, Kombination, Gestaltung und Verwendung vorhandener wissenschaftlicher, technischer, wirtschaftlicher und sonstiger einschlägiger Kenntnisse und Fertigkeiten zur Erarbeitung von Plänen und Schemata oder Entwürfen für neue, veränderte oder verbesserte Produkte, Verfahren oder Dienstleistungen. Dazu zählen zum Beispiel auch Tätigkeiten im Hinblick auf die Konzeption, Planung und Dokumentation neuer Produkte, Verfahren und Dienstleistungen. Diese Tätigkeiten können die Erstellung von Entwürfen, Zeichnungen, Plänen und anderem Dokumentationsmaterial umfassen, soweit sie nicht für kommerzielle Zwecke bestimmt sind.</w:t>
      </w:r>
    </w:p>
    <w:p w14:paraId="633C214D" w14:textId="77777777" w:rsidR="00435B35" w:rsidRPr="009118AB" w:rsidRDefault="00435B35" w:rsidP="00435B35">
      <w:pPr>
        <w:autoSpaceDE w:val="0"/>
        <w:autoSpaceDN w:val="0"/>
        <w:adjustRightInd w:val="0"/>
        <w:jc w:val="both"/>
        <w:rPr>
          <w:iCs/>
        </w:rPr>
      </w:pPr>
    </w:p>
    <w:p w14:paraId="14D667C8" w14:textId="77777777" w:rsidR="00435B35" w:rsidRPr="009118AB" w:rsidRDefault="00435B35" w:rsidP="007102E0">
      <w:pPr>
        <w:autoSpaceDE w:val="0"/>
        <w:autoSpaceDN w:val="0"/>
        <w:adjustRightInd w:val="0"/>
        <w:ind w:firstLine="709"/>
        <w:jc w:val="both"/>
        <w:rPr>
          <w:iCs/>
        </w:rPr>
      </w:pPr>
      <w:r w:rsidRPr="009118AB">
        <w:rPr>
          <w:iCs/>
        </w:rPr>
        <w:t>Die Entwicklung von kommerziell nutzbaren Prototypen und Pilotprojekten ist ebenfalls eingeschlossen, wenn es sich bei dem Prototyp notwendigerweise um das kommerzielle Endprodukt handelt und seine Herstellung allein für Demonstrations- und Auswertungszwecke zu teuer wäre.</w:t>
      </w:r>
    </w:p>
    <w:p w14:paraId="00583136" w14:textId="77777777" w:rsidR="00435B35" w:rsidRPr="009118AB" w:rsidRDefault="00435B35" w:rsidP="00435B35">
      <w:pPr>
        <w:autoSpaceDE w:val="0"/>
        <w:autoSpaceDN w:val="0"/>
        <w:adjustRightInd w:val="0"/>
        <w:jc w:val="both"/>
        <w:rPr>
          <w:iCs/>
        </w:rPr>
      </w:pPr>
    </w:p>
    <w:p w14:paraId="52649804" w14:textId="77777777" w:rsidR="00435B35" w:rsidRPr="009118AB" w:rsidRDefault="00435B35" w:rsidP="007102E0">
      <w:pPr>
        <w:autoSpaceDE w:val="0"/>
        <w:autoSpaceDN w:val="0"/>
        <w:adjustRightInd w:val="0"/>
        <w:ind w:firstLine="709"/>
        <w:jc w:val="both"/>
        <w:rPr>
          <w:iCs/>
        </w:rPr>
      </w:pPr>
      <w:r w:rsidRPr="009118AB">
        <w:rPr>
          <w:iCs/>
        </w:rPr>
        <w:t>Experimentelle Entwicklung umfasst keine routinemäßigen oder regelmäßigen Änderungen an Produkten, Produktionslinien, Produktionsverfahren, bestehenden Dienstleistungen oder anderen laufenden betrieblichen Prozessen, selbst wenn diese Änderungen Verbesserungen darstellen.</w:t>
      </w:r>
    </w:p>
    <w:p w14:paraId="1D8C29BE" w14:textId="1649B2D2" w:rsidR="00964971" w:rsidRPr="009118AB" w:rsidRDefault="00964971">
      <w:pPr>
        <w:rPr>
          <w:iCs/>
        </w:rPr>
      </w:pPr>
    </w:p>
    <w:p w14:paraId="4EBB5436" w14:textId="7D4A1171" w:rsidR="00435B35" w:rsidRPr="009118AB" w:rsidRDefault="00435B35" w:rsidP="007102E0">
      <w:pPr>
        <w:autoSpaceDE w:val="0"/>
        <w:autoSpaceDN w:val="0"/>
        <w:adjustRightInd w:val="0"/>
        <w:ind w:firstLine="709"/>
        <w:jc w:val="both"/>
        <w:rPr>
          <w:iCs/>
        </w:rPr>
      </w:pPr>
      <w:r w:rsidRPr="009118AB">
        <w:rPr>
          <w:iCs/>
        </w:rPr>
        <w:t>In Absatz 1 erwähnte Projekte oder Programme werden nur berücksichtigt, wenn sie beim Föderalen Öffentlichen Programmierungsdienst Wissenschaftspolitik mit folgenden Angaben angemeldet sind:</w:t>
      </w:r>
    </w:p>
    <w:p w14:paraId="039A8B0A" w14:textId="77777777" w:rsidR="00435B35" w:rsidRPr="009118AB" w:rsidRDefault="00435B35" w:rsidP="00435B35">
      <w:pPr>
        <w:autoSpaceDE w:val="0"/>
        <w:autoSpaceDN w:val="0"/>
        <w:adjustRightInd w:val="0"/>
        <w:jc w:val="both"/>
        <w:rPr>
          <w:iCs/>
        </w:rPr>
      </w:pPr>
    </w:p>
    <w:p w14:paraId="5AD4B5EE" w14:textId="77777777" w:rsidR="00435B35" w:rsidRPr="009118AB" w:rsidRDefault="00435B35" w:rsidP="007102E0">
      <w:pPr>
        <w:autoSpaceDE w:val="0"/>
        <w:autoSpaceDN w:val="0"/>
        <w:adjustRightInd w:val="0"/>
        <w:ind w:firstLine="709"/>
        <w:jc w:val="both"/>
        <w:rPr>
          <w:iCs/>
        </w:rPr>
      </w:pPr>
      <w:r w:rsidRPr="009118AB">
        <w:rPr>
          <w:iCs/>
        </w:rPr>
        <w:t>1. Identifizierung des Schuldners des Berufssteuervorabzugs,</w:t>
      </w:r>
    </w:p>
    <w:p w14:paraId="2D544740" w14:textId="77777777" w:rsidR="00435B35" w:rsidRPr="009118AB" w:rsidRDefault="00435B35" w:rsidP="00435B35">
      <w:pPr>
        <w:autoSpaceDE w:val="0"/>
        <w:autoSpaceDN w:val="0"/>
        <w:adjustRightInd w:val="0"/>
        <w:jc w:val="both"/>
        <w:rPr>
          <w:iCs/>
        </w:rPr>
      </w:pPr>
    </w:p>
    <w:p w14:paraId="153E2949" w14:textId="77777777" w:rsidR="00435B35" w:rsidRPr="009118AB" w:rsidRDefault="00435B35" w:rsidP="007102E0">
      <w:pPr>
        <w:autoSpaceDE w:val="0"/>
        <w:autoSpaceDN w:val="0"/>
        <w:adjustRightInd w:val="0"/>
        <w:ind w:firstLine="709"/>
        <w:jc w:val="both"/>
        <w:rPr>
          <w:iCs/>
        </w:rPr>
      </w:pPr>
      <w:r w:rsidRPr="009118AB">
        <w:rPr>
          <w:iCs/>
        </w:rPr>
        <w:t>2. Beschreibung des Projekts oder Programms, in der nachgewiesen wird, dass Grund</w:t>
      </w:r>
      <w:r w:rsidRPr="009118AB">
        <w:rPr>
          <w:iCs/>
        </w:rPr>
        <w:softHyphen/>
        <w:t>lagen</w:t>
      </w:r>
      <w:r w:rsidRPr="009118AB">
        <w:rPr>
          <w:iCs/>
        </w:rPr>
        <w:softHyphen/>
        <w:t>forschung, industrielle Forschung oder experimentelle Entwicklung verfolgtes Ziel ist,</w:t>
      </w:r>
    </w:p>
    <w:p w14:paraId="0CC2907E" w14:textId="77777777" w:rsidR="00435B35" w:rsidRPr="009118AB" w:rsidRDefault="00435B35" w:rsidP="00435B35">
      <w:pPr>
        <w:autoSpaceDE w:val="0"/>
        <w:autoSpaceDN w:val="0"/>
        <w:adjustRightInd w:val="0"/>
        <w:jc w:val="both"/>
        <w:rPr>
          <w:iCs/>
        </w:rPr>
      </w:pPr>
    </w:p>
    <w:p w14:paraId="1F2DE361" w14:textId="77777777" w:rsidR="00435B35" w:rsidRPr="009118AB" w:rsidRDefault="00435B35" w:rsidP="007102E0">
      <w:pPr>
        <w:autoSpaceDE w:val="0"/>
        <w:autoSpaceDN w:val="0"/>
        <w:adjustRightInd w:val="0"/>
        <w:ind w:firstLine="709"/>
        <w:jc w:val="both"/>
        <w:rPr>
          <w:iCs/>
        </w:rPr>
      </w:pPr>
      <w:r w:rsidRPr="009118AB">
        <w:rPr>
          <w:iCs/>
        </w:rPr>
        <w:t>3. geplanter Beginn und Abschluss des Projekts oder Programms.</w:t>
      </w:r>
    </w:p>
    <w:p w14:paraId="3E78BD28" w14:textId="77777777" w:rsidR="00435B35" w:rsidRPr="009118AB" w:rsidRDefault="00435B35" w:rsidP="00435B35">
      <w:pPr>
        <w:autoSpaceDE w:val="0"/>
        <w:autoSpaceDN w:val="0"/>
        <w:adjustRightInd w:val="0"/>
        <w:jc w:val="both"/>
        <w:rPr>
          <w:iCs/>
        </w:rPr>
      </w:pPr>
    </w:p>
    <w:p w14:paraId="38FD74DC" w14:textId="77777777" w:rsidR="00435B35" w:rsidRPr="009118AB" w:rsidRDefault="00435B35" w:rsidP="007102E0">
      <w:pPr>
        <w:autoSpaceDE w:val="0"/>
        <w:autoSpaceDN w:val="0"/>
        <w:adjustRightInd w:val="0"/>
        <w:ind w:firstLine="709"/>
        <w:jc w:val="both"/>
        <w:rPr>
          <w:iCs/>
        </w:rPr>
      </w:pPr>
      <w:r w:rsidRPr="009118AB">
        <w:rPr>
          <w:iCs/>
        </w:rPr>
        <w:t>Der Schuldner des Berufssteuervorabzugs kann beim Föderalen Öffentlichen Programmierungsdienst Wissenschaftspolitik anfragen, ob die Forschungs- und/oder Entwicklungsprojekte oder -programme in den Geltungsbereich der Paragraphen 2 und 3 des vorliegenden Artikels fallen. Der Öffentliche Dienst gibt eine verbindliche Stellungnahme zu dieser Frage ab. Der König bestimmt Verfahren und Modalitäten für Beantragung und Abgabe dieser Stellungnahme.</w:t>
      </w:r>
    </w:p>
    <w:p w14:paraId="6E78E0C7" w14:textId="77777777" w:rsidR="00435B35" w:rsidRPr="009118AB" w:rsidRDefault="00435B35" w:rsidP="00435B35">
      <w:pPr>
        <w:autoSpaceDE w:val="0"/>
        <w:autoSpaceDN w:val="0"/>
        <w:adjustRightInd w:val="0"/>
        <w:jc w:val="both"/>
        <w:rPr>
          <w:iCs/>
        </w:rPr>
      </w:pPr>
    </w:p>
    <w:p w14:paraId="2E542FB9" w14:textId="77777777" w:rsidR="00435B35" w:rsidRPr="009118AB" w:rsidRDefault="00435B35" w:rsidP="007102E0">
      <w:pPr>
        <w:autoSpaceDE w:val="0"/>
        <w:autoSpaceDN w:val="0"/>
        <w:adjustRightInd w:val="0"/>
        <w:ind w:firstLine="709"/>
        <w:jc w:val="both"/>
        <w:rPr>
          <w:iCs/>
        </w:rPr>
      </w:pPr>
      <w:r w:rsidRPr="009118AB">
        <w:rPr>
          <w:iCs/>
        </w:rPr>
        <w:t>Der Föderale Öffentliche Programmierungsdienst Wissenschaftspolitik gibt auf Antrag des Föderalen Öffentlichen Dienstes Finanzen eine verbindliche Stellungnahme zu Anträgen in Bezug auf die Anwendung der in den Paragraphen 2 oder 3 aufgenommenen Bedingungen ab und sendet dem Schuldner des Berufssteuervorabzugs eine Abschrift dieser Stellungnahme zu. Der König bestimmt Verfahren und Modalitäten für diese Stellungnahme.]</w:t>
      </w:r>
    </w:p>
    <w:p w14:paraId="6EB7A8BE" w14:textId="77777777" w:rsidR="00435B35" w:rsidRPr="009118AB" w:rsidRDefault="00435B35" w:rsidP="00435B35">
      <w:pPr>
        <w:autoSpaceDE w:val="0"/>
        <w:autoSpaceDN w:val="0"/>
        <w:adjustRightInd w:val="0"/>
        <w:jc w:val="both"/>
        <w:rPr>
          <w:iCs/>
        </w:rPr>
      </w:pPr>
    </w:p>
    <w:p w14:paraId="7C188023" w14:textId="77777777" w:rsidR="006D77A4" w:rsidRDefault="006D77A4">
      <w:pPr>
        <w:rPr>
          <w:iCs/>
        </w:rPr>
      </w:pPr>
      <w:r>
        <w:rPr>
          <w:iCs/>
        </w:rPr>
        <w:br w:type="page"/>
      </w:r>
    </w:p>
    <w:p w14:paraId="16D16761" w14:textId="05432614" w:rsidR="00435B35" w:rsidRPr="009118AB" w:rsidRDefault="00435B35" w:rsidP="007102E0">
      <w:pPr>
        <w:autoSpaceDE w:val="0"/>
        <w:autoSpaceDN w:val="0"/>
        <w:adjustRightInd w:val="0"/>
        <w:ind w:firstLine="709"/>
        <w:jc w:val="both"/>
        <w:rPr>
          <w:iCs/>
        </w:rPr>
      </w:pPr>
      <w:r w:rsidRPr="009118AB">
        <w:rPr>
          <w:iCs/>
        </w:rPr>
        <w:lastRenderedPageBreak/>
        <w:t>[</w:t>
      </w:r>
      <w:r w:rsidR="00D67EB8" w:rsidRPr="009118AB">
        <w:rPr>
          <w:iCs/>
        </w:rPr>
        <w:t>§ </w:t>
      </w:r>
      <w:r w:rsidRPr="009118AB">
        <w:rPr>
          <w:iCs/>
        </w:rPr>
        <w:t>4</w:t>
      </w:r>
      <w:r w:rsidR="00D67EB8" w:rsidRPr="009118AB">
        <w:rPr>
          <w:iCs/>
        </w:rPr>
        <w:t> - </w:t>
      </w:r>
      <w:r w:rsidRPr="009118AB">
        <w:rPr>
          <w:iCs/>
        </w:rPr>
        <w:t xml:space="preserve">Der König kann festlegen, unter welchen Bedingungen und auf welche Weise in </w:t>
      </w:r>
      <w:r w:rsidR="00D67EB8" w:rsidRPr="009118AB">
        <w:rPr>
          <w:iCs/>
        </w:rPr>
        <w:t>§ </w:t>
      </w:r>
      <w:r w:rsidRPr="009118AB">
        <w:rPr>
          <w:iCs/>
        </w:rPr>
        <w:t>1 Absatz 2 erwähnte wissenschaftliche Einrichtungen zugelassen werden.]</w:t>
      </w:r>
    </w:p>
    <w:p w14:paraId="7A77AC82" w14:textId="77777777" w:rsidR="00435B35" w:rsidRPr="009118AB" w:rsidRDefault="00435B35" w:rsidP="00435B35">
      <w:pPr>
        <w:autoSpaceDE w:val="0"/>
        <w:autoSpaceDN w:val="0"/>
        <w:adjustRightInd w:val="0"/>
        <w:jc w:val="both"/>
        <w:rPr>
          <w:iCs/>
        </w:rPr>
      </w:pPr>
    </w:p>
    <w:p w14:paraId="5C21E0E0" w14:textId="3A33D5AB" w:rsidR="001F6DF7" w:rsidRPr="009118AB" w:rsidRDefault="00435B35" w:rsidP="00435B35">
      <w:pPr>
        <w:autoSpaceDE w:val="0"/>
        <w:autoSpaceDN w:val="0"/>
        <w:adjustRightInd w:val="0"/>
        <w:jc w:val="both"/>
        <w:rPr>
          <w:iCs/>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275</w:t>
      </w:r>
      <w:r w:rsidRPr="009118AB">
        <w:rPr>
          <w:rFonts w:ascii="Times New Roman Italique" w:hAnsi="Times New Roman Italique"/>
          <w:i/>
          <w:iCs/>
          <w:spacing w:val="-2"/>
          <w:vertAlign w:val="superscript"/>
        </w:rPr>
        <w:t>3</w:t>
      </w:r>
      <w:r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106 des G. vom 23. Dezember 2005 (B.S. vom 30. Dezember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Januar 2006 gezahlten oder zuerkannten Entlohnungen und Schicht- und Nachtarbeitszulagen</w:t>
      </w:r>
      <w:r w:rsidR="003366D9" w:rsidRPr="009118AB">
        <w:rPr>
          <w:rFonts w:ascii="Times New Roman Italique" w:hAnsi="Times New Roman Italique"/>
          <w:i/>
          <w:iCs/>
          <w:spacing w:val="-2"/>
        </w:rPr>
        <w:t> -;</w:t>
      </w:r>
      <w:r w:rsidRPr="009118AB">
        <w:rPr>
          <w:i/>
          <w:iCs/>
        </w:rPr>
        <w:t xml:space="preserve"> </w:t>
      </w:r>
      <w:r w:rsidR="00D67EB8" w:rsidRPr="009118AB">
        <w:rPr>
          <w:i/>
          <w:iCs/>
        </w:rPr>
        <w:t>§ </w:t>
      </w:r>
      <w:r w:rsidRPr="009118AB">
        <w:rPr>
          <w:i/>
          <w:iCs/>
        </w:rPr>
        <w:t xml:space="preserve">1 nummeriert durch </w:t>
      </w:r>
      <w:r w:rsidR="00D67EB8" w:rsidRPr="009118AB">
        <w:rPr>
          <w:i/>
          <w:iCs/>
        </w:rPr>
        <w:t>Art. </w:t>
      </w:r>
      <w:r w:rsidRPr="009118AB">
        <w:rPr>
          <w:i/>
          <w:iCs/>
        </w:rPr>
        <w:t xml:space="preserve">30 </w:t>
      </w:r>
      <w:r w:rsidR="00D67EB8" w:rsidRPr="009118AB">
        <w:rPr>
          <w:i/>
          <w:iCs/>
        </w:rPr>
        <w:t>Nr. </w:t>
      </w:r>
      <w:r w:rsidRPr="009118AB">
        <w:rPr>
          <w:i/>
          <w:iCs/>
        </w:rPr>
        <w:t>1 des G. (I) vom 27. Dezember 2006 (I) (B.S. vom 28. Dezember 2006)</w:t>
      </w:r>
      <w:r w:rsidR="00D67EB8" w:rsidRPr="009118AB">
        <w:rPr>
          <w:i/>
          <w:iCs/>
        </w:rPr>
        <w:t> - </w:t>
      </w:r>
      <w:r w:rsidRPr="009118AB">
        <w:rPr>
          <w:i/>
          <w:iCs/>
        </w:rPr>
        <w:t>anwendbar auf die ab dem 1. Januar 2007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abgeändert durch </w:t>
      </w:r>
      <w:r w:rsidR="00D67EB8" w:rsidRPr="009118AB">
        <w:rPr>
          <w:i/>
          <w:iCs/>
        </w:rPr>
        <w:t>Art. </w:t>
      </w:r>
      <w:r w:rsidRPr="009118AB">
        <w:rPr>
          <w:i/>
          <w:iCs/>
        </w:rPr>
        <w:t xml:space="preserve">138 </w:t>
      </w:r>
      <w:r w:rsidR="00D67EB8" w:rsidRPr="009118AB">
        <w:rPr>
          <w:i/>
          <w:iCs/>
        </w:rPr>
        <w:t>Nr. </w:t>
      </w:r>
      <w:r w:rsidRPr="009118AB">
        <w:rPr>
          <w:i/>
          <w:iCs/>
        </w:rPr>
        <w:t>2 des G. (IV) vom 25. April 2007 (I) (B.S. vom 8. Mai 2007)</w:t>
      </w:r>
      <w:r w:rsidR="00D67EB8" w:rsidRPr="009118AB">
        <w:rPr>
          <w:i/>
          <w:iCs/>
        </w:rPr>
        <w:t> - </w:t>
      </w:r>
      <w:r w:rsidRPr="009118AB">
        <w:rPr>
          <w:i/>
          <w:iCs/>
        </w:rPr>
        <w:t>anwendbar auf die ab dem 1. Januar 2007 gezahlten oder zuerkannten Vergütungen und Entlohnungen</w:t>
      </w:r>
      <w:r w:rsidR="00FD68E8" w:rsidRPr="009118AB">
        <w:rPr>
          <w:i/>
          <w:iCs/>
        </w:rPr>
        <w:t> -,</w:t>
      </w:r>
      <w:r w:rsidRPr="009118AB">
        <w:rPr>
          <w:i/>
          <w:iCs/>
        </w:rPr>
        <w:t xml:space="preserve"> </w:t>
      </w:r>
      <w:r w:rsidR="00D67EB8" w:rsidRPr="009118AB">
        <w:rPr>
          <w:i/>
          <w:iCs/>
        </w:rPr>
        <w:t>Art. </w:t>
      </w:r>
      <w:r w:rsidRPr="009118AB">
        <w:rPr>
          <w:i/>
          <w:iCs/>
        </w:rPr>
        <w:t xml:space="preserve">8 </w:t>
      </w:r>
      <w:r w:rsidR="00D67EB8" w:rsidRPr="009118AB">
        <w:rPr>
          <w:i/>
          <w:iCs/>
        </w:rPr>
        <w:t>Nr. </w:t>
      </w:r>
      <w:r w:rsidRPr="009118AB">
        <w:rPr>
          <w:i/>
          <w:iCs/>
        </w:rPr>
        <w:t>1 des G.</w:t>
      </w:r>
      <w:r w:rsidR="00C6326D" w:rsidRPr="009118AB">
        <w:rPr>
          <w:i/>
          <w:iCs/>
        </w:rPr>
        <w:t> </w:t>
      </w:r>
      <w:r w:rsidRPr="009118AB">
        <w:rPr>
          <w:i/>
          <w:iCs/>
        </w:rPr>
        <w:t xml:space="preserve">(I) vom 24. Juli 2008 (I) (B.S. vom 7. August 2008), </w:t>
      </w:r>
      <w:r w:rsidR="00D67EB8" w:rsidRPr="009118AB">
        <w:rPr>
          <w:i/>
          <w:iCs/>
        </w:rPr>
        <w:t>Art. </w:t>
      </w:r>
      <w:r w:rsidRPr="009118AB">
        <w:rPr>
          <w:i/>
          <w:iCs/>
        </w:rPr>
        <w:t xml:space="preserve">16 </w:t>
      </w:r>
      <w:r w:rsidR="00D67EB8" w:rsidRPr="009118AB">
        <w:rPr>
          <w:i/>
          <w:iCs/>
        </w:rPr>
        <w:t>Nr. </w:t>
      </w:r>
      <w:r w:rsidRPr="009118AB">
        <w:rPr>
          <w:i/>
          <w:iCs/>
        </w:rPr>
        <w:t>1 des G. vom 27. März 2009 (B.S. vom 7. April 2009)</w:t>
      </w:r>
      <w:r w:rsidR="00D67EB8" w:rsidRPr="009118AB">
        <w:rPr>
          <w:i/>
          <w:iCs/>
        </w:rPr>
        <w:t> - </w:t>
      </w:r>
      <w:r w:rsidRPr="009118AB">
        <w:rPr>
          <w:i/>
          <w:iCs/>
        </w:rPr>
        <w:t>wirksam mit 1. Januar 2009</w:t>
      </w:r>
      <w:r w:rsidR="00FD68E8" w:rsidRPr="009118AB">
        <w:rPr>
          <w:i/>
          <w:iCs/>
        </w:rPr>
        <w:t> -,</w:t>
      </w:r>
      <w:r w:rsidRPr="009118AB">
        <w:rPr>
          <w:i/>
          <w:iCs/>
        </w:rPr>
        <w:t xml:space="preserve"> </w:t>
      </w:r>
      <w:r w:rsidR="00D67EB8" w:rsidRPr="009118AB">
        <w:rPr>
          <w:i/>
          <w:iCs/>
        </w:rPr>
        <w:t>Art. </w:t>
      </w:r>
      <w:r w:rsidRPr="009118AB">
        <w:rPr>
          <w:i/>
          <w:iCs/>
        </w:rPr>
        <w:t>13 des G. vom 21. Dezember 2009 (B.S. vom 31. Dezember 2009)</w:t>
      </w:r>
      <w:r w:rsidR="003151C7" w:rsidRPr="009118AB">
        <w:rPr>
          <w:i/>
          <w:iCs/>
        </w:rPr>
        <w:t>,</w:t>
      </w:r>
      <w:r w:rsidRPr="009118AB">
        <w:rPr>
          <w:i/>
          <w:iCs/>
        </w:rPr>
        <w:t xml:space="preserve"> </w:t>
      </w:r>
      <w:r w:rsidR="00D67EB8" w:rsidRPr="009118AB">
        <w:rPr>
          <w:i/>
          <w:iCs/>
        </w:rPr>
        <w:t>Art. </w:t>
      </w:r>
      <w:r w:rsidRPr="009118AB">
        <w:rPr>
          <w:i/>
          <w:iCs/>
        </w:rPr>
        <w:t xml:space="preserve">3 </w:t>
      </w:r>
      <w:r w:rsidR="00D67EB8" w:rsidRPr="009118AB">
        <w:rPr>
          <w:i/>
          <w:iCs/>
        </w:rPr>
        <w:t>Nr. </w:t>
      </w:r>
      <w:r w:rsidRPr="009118AB">
        <w:rPr>
          <w:i/>
          <w:iCs/>
        </w:rPr>
        <w:t>1 des G. vom 17. Juni 2013 (B.S. vom 28. Juni 2013)</w:t>
      </w:r>
      <w:r w:rsidR="00D67EB8" w:rsidRPr="009118AB">
        <w:rPr>
          <w:i/>
          <w:iCs/>
        </w:rPr>
        <w:t> - </w:t>
      </w:r>
      <w:r w:rsidRPr="009118AB">
        <w:rPr>
          <w:i/>
          <w:iCs/>
        </w:rPr>
        <w:t>in Kraft ab dem 1. Juli 2013 und anwendbar auf den Berufssteuer</w:t>
      </w:r>
      <w:r w:rsidRPr="009118AB">
        <w:rPr>
          <w:i/>
          <w:iCs/>
        </w:rPr>
        <w:softHyphen/>
        <w:t>vorabzug, der ab dem 1. Juli 2013 fällig ist</w:t>
      </w:r>
      <w:r w:rsidR="00D67EB8" w:rsidRPr="009118AB">
        <w:rPr>
          <w:i/>
          <w:iCs/>
        </w:rPr>
        <w:t> - </w:t>
      </w:r>
      <w:r w:rsidR="003151C7" w:rsidRPr="009118AB">
        <w:rPr>
          <w:i/>
          <w:iCs/>
        </w:rPr>
        <w:t xml:space="preserve">und </w:t>
      </w:r>
      <w:r w:rsidR="00D67EB8" w:rsidRPr="009118AB">
        <w:rPr>
          <w:i/>
          <w:iCs/>
        </w:rPr>
        <w:t>Art. </w:t>
      </w:r>
      <w:r w:rsidR="003151C7" w:rsidRPr="009118AB">
        <w:rPr>
          <w:i/>
          <w:iCs/>
        </w:rPr>
        <w:t>12</w:t>
      </w:r>
      <w:r w:rsidR="003151C7" w:rsidRPr="009118AB">
        <w:rPr>
          <w:i/>
        </w:rPr>
        <w:t xml:space="preserve"> des G. vom 11. Februar 2019 (B.S. vom 22. März 2019)</w:t>
      </w:r>
      <w:r w:rsidR="00D67EB8" w:rsidRPr="009118AB">
        <w:rPr>
          <w:i/>
        </w:rPr>
        <w:t> - </w:t>
      </w:r>
      <w:r w:rsidR="003151C7" w:rsidRPr="009118AB">
        <w:rPr>
          <w:i/>
        </w:rPr>
        <w:t>in Kraft am 1. März 2019 und anwendbar auf die ab dem 1. März 2019 gezahlten oder zuerkannten Entlohnungen</w:t>
      </w:r>
      <w:r w:rsidR="003366D9" w:rsidRPr="009118AB">
        <w:rPr>
          <w:i/>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abgeändert durch </w:t>
      </w:r>
      <w:r w:rsidR="00D67EB8" w:rsidRPr="009118AB">
        <w:rPr>
          <w:i/>
          <w:iCs/>
        </w:rPr>
        <w:t>Art. </w:t>
      </w:r>
      <w:r w:rsidRPr="009118AB">
        <w:rPr>
          <w:i/>
          <w:iCs/>
        </w:rPr>
        <w:t xml:space="preserve">68 </w:t>
      </w:r>
      <w:r w:rsidR="00D67EB8" w:rsidRPr="009118AB">
        <w:rPr>
          <w:i/>
          <w:iCs/>
        </w:rPr>
        <w:t>Nr. </w:t>
      </w:r>
      <w:r w:rsidRPr="009118AB">
        <w:rPr>
          <w:i/>
          <w:iCs/>
        </w:rPr>
        <w:t>1 des G. vom 8. Juni 2008 (B.S. vom 16. Juni 2008)</w:t>
      </w:r>
      <w:r w:rsidR="00D67EB8" w:rsidRPr="009118AB">
        <w:rPr>
          <w:i/>
          <w:iCs/>
        </w:rPr>
        <w:t> - </w:t>
      </w:r>
      <w:r w:rsidRPr="009118AB">
        <w:rPr>
          <w:i/>
          <w:iCs/>
        </w:rPr>
        <w:t>in Kraft ab dem 1. Juli 2013 und anwendbar auf die ab dem 1. Juli 2008 gezahlten oder zuerkannten Entlohnungen</w:t>
      </w:r>
      <w:r w:rsidR="00FD68E8" w:rsidRPr="009118AB">
        <w:rPr>
          <w:i/>
          <w:iCs/>
        </w:rPr>
        <w:t> -,</w:t>
      </w:r>
      <w:r w:rsidRPr="009118AB">
        <w:rPr>
          <w:i/>
          <w:iCs/>
        </w:rPr>
        <w:t xml:space="preserve"> </w:t>
      </w:r>
      <w:r w:rsidR="00D67EB8" w:rsidRPr="009118AB">
        <w:rPr>
          <w:i/>
          <w:iCs/>
        </w:rPr>
        <w:t>Art. </w:t>
      </w:r>
      <w:r w:rsidRPr="009118AB">
        <w:rPr>
          <w:i/>
          <w:iCs/>
        </w:rPr>
        <w:t>16 </w:t>
      </w:r>
      <w:r w:rsidR="00D67EB8" w:rsidRPr="009118AB">
        <w:rPr>
          <w:i/>
          <w:iCs/>
        </w:rPr>
        <w:t>Nr. </w:t>
      </w:r>
      <w:r w:rsidRPr="009118AB">
        <w:rPr>
          <w:i/>
          <w:iCs/>
        </w:rPr>
        <w:t>2 des G. vom 27. März 2009 (B.S. vom 7. April 2009)</w:t>
      </w:r>
      <w:r w:rsidR="00D67EB8" w:rsidRPr="009118AB">
        <w:rPr>
          <w:i/>
          <w:iCs/>
        </w:rPr>
        <w:t> - </w:t>
      </w:r>
      <w:r w:rsidRPr="009118AB">
        <w:rPr>
          <w:i/>
          <w:iCs/>
        </w:rPr>
        <w:t>wirksam mit 1. Januar 2009</w:t>
      </w:r>
      <w:r w:rsidR="00FD68E8" w:rsidRPr="009118AB">
        <w:rPr>
          <w:i/>
          <w:iCs/>
        </w:rPr>
        <w:t> -,</w:t>
      </w:r>
      <w:r w:rsidRPr="009118AB">
        <w:rPr>
          <w:i/>
          <w:iCs/>
        </w:rPr>
        <w:t xml:space="preserve"> </w:t>
      </w:r>
      <w:r w:rsidR="00D67EB8" w:rsidRPr="009118AB">
        <w:rPr>
          <w:i/>
          <w:iCs/>
        </w:rPr>
        <w:t>Art. </w:t>
      </w:r>
      <w:r w:rsidRPr="009118AB">
        <w:rPr>
          <w:i/>
          <w:iCs/>
        </w:rPr>
        <w:t xml:space="preserve">14 des G. vom 21. Dezember 2009 (B.S. vom 31. Dezember 2009) und </w:t>
      </w:r>
      <w:r w:rsidR="00D67EB8" w:rsidRPr="009118AB">
        <w:rPr>
          <w:i/>
          <w:iCs/>
        </w:rPr>
        <w:t>Art. </w:t>
      </w:r>
      <w:r w:rsidRPr="009118AB">
        <w:rPr>
          <w:i/>
          <w:iCs/>
        </w:rPr>
        <w:t xml:space="preserve">3 </w:t>
      </w:r>
      <w:r w:rsidR="00D67EB8" w:rsidRPr="009118AB">
        <w:rPr>
          <w:i/>
          <w:iCs/>
        </w:rPr>
        <w:t>Nr. </w:t>
      </w:r>
      <w:r w:rsidRPr="009118AB">
        <w:rPr>
          <w:i/>
          <w:iCs/>
        </w:rPr>
        <w:t>1 des G. vom 17. Juni 2013 (B.S. vom 28. Juni 2013)</w:t>
      </w:r>
      <w:r w:rsidR="00D67EB8" w:rsidRPr="009118AB">
        <w:rPr>
          <w:i/>
          <w:iCs/>
        </w:rPr>
        <w:t> - </w:t>
      </w:r>
      <w:r w:rsidRPr="009118AB">
        <w:rPr>
          <w:i/>
          <w:iCs/>
        </w:rPr>
        <w:t xml:space="preserve">in Kraft ab dem 1. Juli 2013 und anwendbar auf den </w:t>
      </w:r>
      <w:r w:rsidRPr="009118AB">
        <w:rPr>
          <w:rFonts w:ascii="Times New Roman Italique" w:hAnsi="Times New Roman Italique"/>
          <w:i/>
          <w:iCs/>
          <w:spacing w:val="2"/>
        </w:rPr>
        <w:t>Berufssteuer</w:t>
      </w:r>
      <w:r w:rsidRPr="009118AB">
        <w:rPr>
          <w:rFonts w:ascii="Times New Roman Italique" w:hAnsi="Times New Roman Italique"/>
          <w:i/>
          <w:iCs/>
          <w:spacing w:val="2"/>
        </w:rPr>
        <w:softHyphen/>
        <w:t>vorabzug, der ab dem 1. Juli 2013 fällig ist</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3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109 des G. vom 23. Dezember 2005 (B.S. vom 30. Dezember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2006 gezahlten oder zuerkannten Entlohnungen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3 einleitende Bestimmung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68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8. Juni 2008 (B.S. vom</w:t>
      </w:r>
      <w:r w:rsidRPr="009118AB">
        <w:rPr>
          <w:i/>
          <w:iCs/>
        </w:rPr>
        <w:t xml:space="preserve"> 16. Juni 2008)</w:t>
      </w:r>
      <w:r w:rsidR="00D67EB8" w:rsidRPr="009118AB">
        <w:rPr>
          <w:i/>
          <w:iCs/>
        </w:rPr>
        <w:t> - </w:t>
      </w:r>
      <w:r w:rsidRPr="009118AB">
        <w:rPr>
          <w:i/>
          <w:iCs/>
        </w:rPr>
        <w:t>anwendbar auf die ab dem 1. Juli 2008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3 </w:t>
      </w:r>
      <w:r w:rsidR="00D67EB8" w:rsidRPr="009118AB">
        <w:rPr>
          <w:i/>
          <w:iCs/>
        </w:rPr>
        <w:t>Nr. </w:t>
      </w:r>
      <w:r w:rsidRPr="009118AB">
        <w:rPr>
          <w:i/>
          <w:iCs/>
        </w:rPr>
        <w:t xml:space="preserve">1 abgeändert durch </w:t>
      </w:r>
      <w:r w:rsidR="00D67EB8" w:rsidRPr="009118AB">
        <w:rPr>
          <w:i/>
          <w:iCs/>
        </w:rPr>
        <w:t>Art. </w:t>
      </w:r>
      <w:r w:rsidRPr="009118AB">
        <w:rPr>
          <w:i/>
          <w:iCs/>
        </w:rPr>
        <w:t xml:space="preserve">3 </w:t>
      </w:r>
      <w:r w:rsidR="00D67EB8" w:rsidRPr="009118AB">
        <w:rPr>
          <w:i/>
          <w:iCs/>
        </w:rPr>
        <w:t>Nr. </w:t>
      </w:r>
      <w:r w:rsidRPr="009118AB">
        <w:rPr>
          <w:i/>
          <w:iCs/>
        </w:rPr>
        <w:t xml:space="preserve">2 des G. vom 17. Juni 2013 (B.S. vom 28. Juni 2013); </w:t>
      </w:r>
      <w:r w:rsidR="00D67EB8" w:rsidRPr="009118AB">
        <w:rPr>
          <w:i/>
          <w:iCs/>
        </w:rPr>
        <w:t>§ </w:t>
      </w:r>
      <w:r w:rsidRPr="009118AB">
        <w:rPr>
          <w:i/>
          <w:iCs/>
        </w:rPr>
        <w:t xml:space="preserve">1 </w:t>
      </w:r>
      <w:r w:rsidR="00D67EB8" w:rsidRPr="009118AB">
        <w:rPr>
          <w:i/>
          <w:iCs/>
        </w:rPr>
        <w:t>Abs. </w:t>
      </w:r>
      <w:r w:rsidRPr="009118AB">
        <w:rPr>
          <w:i/>
          <w:iCs/>
        </w:rPr>
        <w:t xml:space="preserve">3 </w:t>
      </w:r>
      <w:r w:rsidR="00D67EB8" w:rsidRPr="009118AB">
        <w:rPr>
          <w:i/>
          <w:iCs/>
        </w:rPr>
        <w:t>Nr. </w:t>
      </w:r>
      <w:r w:rsidRPr="009118AB">
        <w:rPr>
          <w:i/>
          <w:iCs/>
        </w:rPr>
        <w:t xml:space="preserve">2 einziger Absatz Buchstabe a) abgeändert durch </w:t>
      </w:r>
      <w:r w:rsidR="00D67EB8" w:rsidRPr="009118AB">
        <w:rPr>
          <w:i/>
          <w:iCs/>
        </w:rPr>
        <w:t>Art. </w:t>
      </w:r>
      <w:r w:rsidRPr="009118AB">
        <w:rPr>
          <w:i/>
          <w:iCs/>
        </w:rPr>
        <w:t xml:space="preserve">3 </w:t>
      </w:r>
      <w:r w:rsidR="00D67EB8" w:rsidRPr="009118AB">
        <w:rPr>
          <w:i/>
          <w:iCs/>
        </w:rPr>
        <w:t>Nr. </w:t>
      </w:r>
      <w:r w:rsidRPr="009118AB">
        <w:rPr>
          <w:i/>
          <w:iCs/>
        </w:rPr>
        <w:t xml:space="preserve">3 des G. vom 17. Juni 2013 (B.S. vom 28. Juni 2013) und </w:t>
      </w:r>
      <w:r w:rsidR="00D67EB8" w:rsidRPr="009118AB">
        <w:rPr>
          <w:i/>
          <w:iCs/>
        </w:rPr>
        <w:t>Art. </w:t>
      </w:r>
      <w:r w:rsidRPr="009118AB">
        <w:rPr>
          <w:i/>
          <w:iCs/>
        </w:rPr>
        <w:t>59 des G. vom 18. Dezember 2015 (I) (B.S. vom 30. Dezember 2015, Err. vom 13. Januar 2016)</w:t>
      </w:r>
      <w:r w:rsidR="00D67EB8" w:rsidRPr="009118AB">
        <w:rPr>
          <w:i/>
          <w:iCs/>
        </w:rPr>
        <w:t> - </w:t>
      </w:r>
      <w:r w:rsidRPr="009118AB">
        <w:rPr>
          <w:i/>
          <w:iCs/>
        </w:rPr>
        <w:t>anwendbar auf Arbeitgeber für Entlohnungen, die sie im Laufe eines Besteuerungszeitraums zahlen oder zuerkennen, der ab dem 1. Januar 2016 beginnt</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3 </w:t>
      </w:r>
      <w:r w:rsidR="00D67EB8" w:rsidRPr="009118AB">
        <w:rPr>
          <w:i/>
          <w:iCs/>
        </w:rPr>
        <w:t>Nr. </w:t>
      </w:r>
      <w:r w:rsidRPr="009118AB">
        <w:rPr>
          <w:i/>
          <w:iCs/>
        </w:rPr>
        <w:t xml:space="preserve">3 eingefügt durch </w:t>
      </w:r>
      <w:r w:rsidR="00D67EB8" w:rsidRPr="009118AB">
        <w:rPr>
          <w:i/>
          <w:iCs/>
        </w:rPr>
        <w:t>Art. </w:t>
      </w:r>
      <w:r w:rsidRPr="009118AB">
        <w:rPr>
          <w:i/>
          <w:iCs/>
        </w:rPr>
        <w:t xml:space="preserve">110 </w:t>
      </w:r>
      <w:r w:rsidR="00D67EB8" w:rsidRPr="009118AB">
        <w:rPr>
          <w:i/>
          <w:iCs/>
        </w:rPr>
        <w:t>Nr. </w:t>
      </w:r>
      <w:r w:rsidRPr="009118AB">
        <w:rPr>
          <w:i/>
          <w:iCs/>
        </w:rPr>
        <w:t>1 des G. vom 23. Dezember 2005 (B.S. vom 30. Dezember 2005)</w:t>
      </w:r>
      <w:r w:rsidR="00D67EB8" w:rsidRPr="009118AB">
        <w:rPr>
          <w:i/>
          <w:iCs/>
        </w:rPr>
        <w:t> - </w:t>
      </w:r>
      <w:r w:rsidRPr="009118AB">
        <w:rPr>
          <w:i/>
          <w:iCs/>
        </w:rPr>
        <w:t>anwendbar auf die ab dem 1. Januar 2006 gezahlten oder zuerkannten Entlohnungen</w:t>
      </w:r>
      <w:r w:rsidR="00FD68E8" w:rsidRPr="009118AB">
        <w:rPr>
          <w:i/>
          <w:iCs/>
        </w:rPr>
        <w:t> -,</w:t>
      </w:r>
      <w:r w:rsidRPr="009118AB">
        <w:rPr>
          <w:i/>
          <w:iCs/>
        </w:rPr>
        <w:t xml:space="preserve"> ersetzt durch </w:t>
      </w:r>
      <w:r w:rsidR="00D67EB8" w:rsidRPr="009118AB">
        <w:rPr>
          <w:i/>
          <w:iCs/>
        </w:rPr>
        <w:t>Art. </w:t>
      </w:r>
      <w:r w:rsidRPr="009118AB">
        <w:rPr>
          <w:i/>
          <w:iCs/>
        </w:rPr>
        <w:t xml:space="preserve">30 </w:t>
      </w:r>
      <w:r w:rsidR="00D67EB8" w:rsidRPr="009118AB">
        <w:rPr>
          <w:i/>
          <w:iCs/>
        </w:rPr>
        <w:t>Nr. </w:t>
      </w:r>
      <w:r w:rsidRPr="009118AB">
        <w:rPr>
          <w:i/>
          <w:iCs/>
        </w:rPr>
        <w:t>1 des G. (I) vom 27. Dezember 2006 (I) (B.S. vom 28. Dezember 2006)</w:t>
      </w:r>
      <w:r w:rsidR="00D67EB8" w:rsidRPr="009118AB">
        <w:rPr>
          <w:i/>
          <w:iCs/>
        </w:rPr>
        <w:t> - </w:t>
      </w:r>
      <w:r w:rsidRPr="009118AB">
        <w:rPr>
          <w:i/>
          <w:iCs/>
        </w:rPr>
        <w:t>anwendbar auf die ab dem 1. Januar 2007 gezahlten oder zuerkannten Entlohnungen</w:t>
      </w:r>
      <w:r w:rsidR="00D67EB8" w:rsidRPr="009118AB">
        <w:rPr>
          <w:i/>
          <w:iCs/>
        </w:rPr>
        <w:t> - </w:t>
      </w:r>
      <w:r w:rsidRPr="009118AB">
        <w:rPr>
          <w:i/>
          <w:iCs/>
        </w:rPr>
        <w:t xml:space="preserve">und abgeändert durch </w:t>
      </w:r>
      <w:r w:rsidR="00D67EB8" w:rsidRPr="009118AB">
        <w:rPr>
          <w:i/>
          <w:iCs/>
        </w:rPr>
        <w:t>Art. </w:t>
      </w:r>
      <w:r w:rsidRPr="009118AB">
        <w:rPr>
          <w:i/>
          <w:iCs/>
        </w:rPr>
        <w:t xml:space="preserve">68 </w:t>
      </w:r>
      <w:r w:rsidR="00D67EB8" w:rsidRPr="009118AB">
        <w:rPr>
          <w:i/>
          <w:iCs/>
        </w:rPr>
        <w:t>Nr. </w:t>
      </w:r>
      <w:r w:rsidRPr="009118AB">
        <w:rPr>
          <w:i/>
          <w:iCs/>
        </w:rPr>
        <w:t>3 des G. vom 8.</w:t>
      </w:r>
      <w:r w:rsidR="003E07A2" w:rsidRPr="009118AB">
        <w:rPr>
          <w:i/>
          <w:iCs/>
        </w:rPr>
        <w:t> </w:t>
      </w:r>
      <w:r w:rsidRPr="009118AB">
        <w:rPr>
          <w:i/>
          <w:iCs/>
        </w:rPr>
        <w:t>Juni</w:t>
      </w:r>
      <w:r w:rsidR="003E07A2" w:rsidRPr="009118AB">
        <w:rPr>
          <w:i/>
          <w:iCs/>
        </w:rPr>
        <w:t> </w:t>
      </w:r>
      <w:r w:rsidRPr="009118AB">
        <w:rPr>
          <w:i/>
          <w:iCs/>
        </w:rPr>
        <w:t>2008 (B.S. vom 16. Juni 2008)</w:t>
      </w:r>
      <w:r w:rsidR="00D67EB8" w:rsidRPr="009118AB">
        <w:rPr>
          <w:i/>
          <w:iCs/>
        </w:rPr>
        <w:t> - </w:t>
      </w:r>
      <w:r w:rsidRPr="009118AB">
        <w:rPr>
          <w:i/>
          <w:iCs/>
        </w:rPr>
        <w:t>anwendbar auf die ab dem 1. Juli 2008 gezahlten oder zuerkannten Entlohnungen</w:t>
      </w:r>
      <w:r w:rsidR="00FD68E8" w:rsidRPr="009118AB">
        <w:rPr>
          <w:i/>
          <w:iCs/>
        </w:rPr>
        <w:t> -,</w:t>
      </w:r>
      <w:r w:rsidRPr="009118AB">
        <w:rPr>
          <w:i/>
          <w:iCs/>
        </w:rPr>
        <w:t xml:space="preserve"> </w:t>
      </w:r>
      <w:r w:rsidR="00D67EB8" w:rsidRPr="009118AB">
        <w:rPr>
          <w:i/>
          <w:iCs/>
        </w:rPr>
        <w:t>Art. </w:t>
      </w:r>
      <w:r w:rsidRPr="009118AB">
        <w:rPr>
          <w:i/>
          <w:iCs/>
        </w:rPr>
        <w:t xml:space="preserve">3 </w:t>
      </w:r>
      <w:r w:rsidR="00D67EB8" w:rsidRPr="009118AB">
        <w:rPr>
          <w:i/>
          <w:iCs/>
        </w:rPr>
        <w:t>Nr. </w:t>
      </w:r>
      <w:r w:rsidRPr="009118AB">
        <w:rPr>
          <w:i/>
          <w:iCs/>
        </w:rPr>
        <w:t xml:space="preserve">4 des G. vom 17. Juni 2013 (B.S. vom 28. Juni 2013) und </w:t>
      </w:r>
      <w:r w:rsidR="00D67EB8" w:rsidRPr="009118AB">
        <w:rPr>
          <w:i/>
          <w:iCs/>
        </w:rPr>
        <w:t>Art. </w:t>
      </w:r>
      <w:r w:rsidRPr="009118AB">
        <w:rPr>
          <w:i/>
          <w:iCs/>
        </w:rPr>
        <w:t xml:space="preserve">71 </w:t>
      </w:r>
      <w:r w:rsidR="00D67EB8" w:rsidRPr="009118AB">
        <w:rPr>
          <w:i/>
          <w:iCs/>
        </w:rPr>
        <w:t>Nr. </w:t>
      </w:r>
      <w:r w:rsidRPr="009118AB">
        <w:rPr>
          <w:i/>
          <w:iCs/>
        </w:rPr>
        <w:t>1 des G. vom 25. Dezember 2017 (III) (B.S. vom 29. Dezember 2017)</w:t>
      </w:r>
      <w:r w:rsidR="00D67EB8" w:rsidRPr="009118AB">
        <w:rPr>
          <w:i/>
          <w:iCs/>
        </w:rPr>
        <w:t> - </w:t>
      </w:r>
      <w:r w:rsidRPr="009118AB">
        <w:rPr>
          <w:i/>
          <w:iCs/>
        </w:rPr>
        <w:t>in Kraft am 1. Januar 2018 und anwendbar auf die ab dem 1. Januar 2018 und bis zum 31. Dezember 2019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4 ersetzt durch </w:t>
      </w:r>
      <w:r w:rsidR="00D67EB8" w:rsidRPr="009118AB">
        <w:rPr>
          <w:i/>
          <w:iCs/>
        </w:rPr>
        <w:t>Art. </w:t>
      </w:r>
      <w:r w:rsidRPr="009118AB">
        <w:rPr>
          <w:i/>
          <w:iCs/>
        </w:rPr>
        <w:t>109 des G. vom 23. Dezember 2005 (B.S. vom 30. Dezember 2005)</w:t>
      </w:r>
      <w:r w:rsidR="00D67EB8" w:rsidRPr="009118AB">
        <w:rPr>
          <w:i/>
          <w:iCs/>
        </w:rPr>
        <w:t> - </w:t>
      </w:r>
      <w:r w:rsidRPr="009118AB">
        <w:rPr>
          <w:i/>
          <w:iCs/>
        </w:rPr>
        <w:t>anwendbar auf die ab dem 1. Juli 2006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1 neuer Absatz 5 eingefügt durch </w:t>
      </w:r>
      <w:r w:rsidR="00D67EB8" w:rsidRPr="009118AB">
        <w:rPr>
          <w:i/>
          <w:iCs/>
        </w:rPr>
        <w:t>Art. </w:t>
      </w:r>
      <w:r w:rsidRPr="009118AB">
        <w:rPr>
          <w:i/>
          <w:iCs/>
        </w:rPr>
        <w:t>109 des G. vom 23. Dezember 2005 (B.S. vom 30. Dezember 2005)</w:t>
      </w:r>
      <w:r w:rsidR="00D67EB8" w:rsidRPr="009118AB">
        <w:rPr>
          <w:i/>
          <w:iCs/>
        </w:rPr>
        <w:t> - </w:t>
      </w:r>
      <w:r w:rsidRPr="009118AB">
        <w:rPr>
          <w:i/>
          <w:iCs/>
        </w:rPr>
        <w:t>anwendbar auf die ab dem 1. Juli 2006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6 eingefügt durch </w:t>
      </w:r>
      <w:r w:rsidR="00D67EB8" w:rsidRPr="009118AB">
        <w:rPr>
          <w:i/>
          <w:iCs/>
        </w:rPr>
        <w:t>Art. </w:t>
      </w:r>
      <w:r w:rsidRPr="009118AB">
        <w:rPr>
          <w:i/>
          <w:iCs/>
        </w:rPr>
        <w:t xml:space="preserve">71 </w:t>
      </w:r>
      <w:r w:rsidR="00D67EB8" w:rsidRPr="009118AB">
        <w:rPr>
          <w:i/>
          <w:iCs/>
        </w:rPr>
        <w:t>Nr. </w:t>
      </w:r>
      <w:r w:rsidRPr="009118AB">
        <w:rPr>
          <w:i/>
          <w:iCs/>
        </w:rPr>
        <w:t>2 des G. vom 25. Dezember 2017 (III) (B.S. vom 29. Dezember 2017)</w:t>
      </w:r>
      <w:r w:rsidR="00D67EB8" w:rsidRPr="009118AB">
        <w:rPr>
          <w:i/>
          <w:iCs/>
        </w:rPr>
        <w:t> - </w:t>
      </w:r>
      <w:r w:rsidRPr="009118AB">
        <w:rPr>
          <w:i/>
          <w:iCs/>
        </w:rPr>
        <w:t>in Kraft am 1. Januar 2018 und anwendbar auf die ab dem 1. Januar 2018 gezahlten oder zuerkannten Entlohnungen</w:t>
      </w:r>
      <w:r w:rsidR="00FD68E8" w:rsidRPr="009118AB">
        <w:rPr>
          <w:i/>
          <w:iCs/>
        </w:rPr>
        <w:t> -,</w:t>
      </w:r>
      <w:r w:rsidR="001F6DF7" w:rsidRPr="009118AB">
        <w:rPr>
          <w:i/>
          <w:iCs/>
        </w:rPr>
        <w:t xml:space="preserve"> aufgehoben durch </w:t>
      </w:r>
      <w:r w:rsidR="00D67EB8" w:rsidRPr="009118AB">
        <w:rPr>
          <w:i/>
          <w:iCs/>
        </w:rPr>
        <w:t>Art. </w:t>
      </w:r>
      <w:r w:rsidR="001F6DF7" w:rsidRPr="009118AB">
        <w:rPr>
          <w:i/>
          <w:iCs/>
        </w:rPr>
        <w:t xml:space="preserve">71 </w:t>
      </w:r>
      <w:r w:rsidR="00D67EB8" w:rsidRPr="009118AB">
        <w:rPr>
          <w:i/>
          <w:iCs/>
        </w:rPr>
        <w:t>Nr. </w:t>
      </w:r>
      <w:r w:rsidR="001F6DF7" w:rsidRPr="009118AB">
        <w:rPr>
          <w:i/>
          <w:iCs/>
        </w:rPr>
        <w:t xml:space="preserve">3 des G. vom 25. Dezember 2017 (III) (B.S. vom </w:t>
      </w:r>
      <w:r w:rsidR="001F6DF7" w:rsidRPr="009118AB">
        <w:rPr>
          <w:i/>
          <w:iCs/>
        </w:rPr>
        <w:lastRenderedPageBreak/>
        <w:t>29. Dezember 2017)</w:t>
      </w:r>
      <w:r w:rsidR="00D67EB8" w:rsidRPr="009118AB">
        <w:rPr>
          <w:i/>
          <w:iCs/>
        </w:rPr>
        <w:t> - </w:t>
      </w:r>
      <w:r w:rsidR="001F6DF7" w:rsidRPr="009118AB">
        <w:rPr>
          <w:i/>
          <w:iCs/>
        </w:rPr>
        <w:t>in Kraft am 1. Januar 2020 und anwendbar auf die ab dem 1. Januar 2020 gezahlten oder zuerkannten Entlohnungen</w:t>
      </w:r>
      <w:r w:rsidR="00D67EB8" w:rsidRPr="009118AB">
        <w:rPr>
          <w:i/>
          <w:iCs/>
        </w:rPr>
        <w:t> - </w:t>
      </w:r>
      <w:r w:rsidR="0057314A" w:rsidRPr="009118AB">
        <w:rPr>
          <w:i/>
          <w:iCs/>
        </w:rPr>
        <w:t xml:space="preserve">und wieder aufgenommen durch </w:t>
      </w:r>
      <w:r w:rsidR="00D67EB8" w:rsidRPr="009118AB">
        <w:rPr>
          <w:i/>
          <w:iCs/>
        </w:rPr>
        <w:t>Art. </w:t>
      </w:r>
      <w:r w:rsidR="0057314A" w:rsidRPr="009118AB">
        <w:rPr>
          <w:i/>
          <w:iCs/>
        </w:rPr>
        <w:t>2 des G. vom 20. Dezember 2020 (II) (B.S. vom 30. Dezember 2020)</w:t>
      </w:r>
      <w:r w:rsidR="00D67EB8" w:rsidRPr="009118AB">
        <w:rPr>
          <w:i/>
          <w:iCs/>
        </w:rPr>
        <w:t> - </w:t>
      </w:r>
      <w:r w:rsidR="0057314A" w:rsidRPr="009118AB">
        <w:rPr>
          <w:i/>
          <w:iCs/>
        </w:rPr>
        <w:t>wirksam mit 1. Januar 2020 und anwendbar auf die ab dem 1. Januar 2020 gezahlten oder zuerkannten Entlohnungen</w:t>
      </w:r>
      <w:r w:rsidR="003366D9" w:rsidRPr="009118AB">
        <w:rPr>
          <w:i/>
          <w:iCs/>
        </w:rPr>
        <w:t> -;</w:t>
      </w:r>
      <w:r w:rsidR="001F6DF7" w:rsidRPr="009118AB">
        <w:rPr>
          <w:i/>
          <w:iCs/>
        </w:rPr>
        <w:t xml:space="preserve"> </w:t>
      </w:r>
      <w:r w:rsidR="00D67EB8" w:rsidRPr="009118AB">
        <w:rPr>
          <w:i/>
          <w:iCs/>
        </w:rPr>
        <w:t>§ </w:t>
      </w:r>
      <w:r w:rsidR="001F6DF7" w:rsidRPr="009118AB">
        <w:rPr>
          <w:i/>
          <w:iCs/>
        </w:rPr>
        <w:t>1 neue</w:t>
      </w:r>
      <w:r w:rsidR="00DE5E06" w:rsidRPr="009118AB">
        <w:rPr>
          <w:i/>
          <w:iCs/>
        </w:rPr>
        <w:t>r</w:t>
      </w:r>
      <w:r w:rsidR="001F6DF7" w:rsidRPr="009118AB">
        <w:rPr>
          <w:i/>
          <w:iCs/>
        </w:rPr>
        <w:t xml:space="preserve"> Abs</w:t>
      </w:r>
      <w:r w:rsidR="00DE5E06" w:rsidRPr="009118AB">
        <w:rPr>
          <w:i/>
          <w:iCs/>
        </w:rPr>
        <w:t>atz</w:t>
      </w:r>
      <w:r w:rsidR="0057314A" w:rsidRPr="009118AB">
        <w:rPr>
          <w:i/>
          <w:iCs/>
        </w:rPr>
        <w:t> 7</w:t>
      </w:r>
      <w:r w:rsidR="001F6DF7" w:rsidRPr="009118AB">
        <w:rPr>
          <w:i/>
          <w:iCs/>
        </w:rPr>
        <w:t xml:space="preserve"> eingefügt durch </w:t>
      </w:r>
      <w:r w:rsidR="00D67EB8" w:rsidRPr="009118AB">
        <w:rPr>
          <w:i/>
          <w:iCs/>
        </w:rPr>
        <w:t>Art. </w:t>
      </w:r>
      <w:r w:rsidR="001F6DF7" w:rsidRPr="009118AB">
        <w:rPr>
          <w:i/>
          <w:iCs/>
        </w:rPr>
        <w:t xml:space="preserve">71 </w:t>
      </w:r>
      <w:r w:rsidR="00D67EB8" w:rsidRPr="009118AB">
        <w:rPr>
          <w:i/>
          <w:iCs/>
        </w:rPr>
        <w:t>Nr. </w:t>
      </w:r>
      <w:r w:rsidR="001F6DF7" w:rsidRPr="009118AB">
        <w:rPr>
          <w:i/>
          <w:iCs/>
        </w:rPr>
        <w:t>2 des G. vom 25. Dezember 2017 (III) (B.S. vom 29. Dezember 2017)</w:t>
      </w:r>
      <w:r w:rsidR="00D67EB8" w:rsidRPr="009118AB">
        <w:rPr>
          <w:i/>
          <w:iCs/>
        </w:rPr>
        <w:t> - </w:t>
      </w:r>
      <w:r w:rsidR="001F6DF7" w:rsidRPr="009118AB">
        <w:rPr>
          <w:i/>
          <w:iCs/>
        </w:rPr>
        <w:t xml:space="preserve">in Kraft am 1. Januar 2018 und anwendbar auf die ab dem 1. Januar 2018 gezahlten oder </w:t>
      </w:r>
      <w:r w:rsidR="001F6DF7" w:rsidRPr="009118AB">
        <w:rPr>
          <w:rFonts w:ascii="Times New Roman Italique" w:hAnsi="Times New Roman Italique"/>
          <w:i/>
          <w:iCs/>
          <w:spacing w:val="2"/>
        </w:rPr>
        <w:t>zuerkannten Entlohnungen</w:t>
      </w:r>
      <w:r w:rsidR="003366D9" w:rsidRPr="009118AB">
        <w:rPr>
          <w:rFonts w:ascii="Times New Roman Italique" w:hAnsi="Times New Roman Italique"/>
          <w:i/>
          <w:iCs/>
          <w:spacing w:val="2"/>
        </w:rPr>
        <w:t> -;</w:t>
      </w:r>
      <w:r w:rsidR="001F6DF7" w:rsidRPr="009118AB">
        <w:rPr>
          <w:rFonts w:ascii="Times New Roman Italique" w:hAnsi="Times New Roman Italique"/>
          <w:i/>
          <w:iCs/>
          <w:spacing w:val="2"/>
        </w:rPr>
        <w:t xml:space="preserve"> </w:t>
      </w:r>
      <w:r w:rsidR="00D67EB8" w:rsidRPr="009118AB">
        <w:rPr>
          <w:i/>
          <w:iCs/>
        </w:rPr>
        <w:t>§ </w:t>
      </w:r>
      <w:r w:rsidR="00DE5E06" w:rsidRPr="009118AB">
        <w:rPr>
          <w:i/>
          <w:iCs/>
        </w:rPr>
        <w:t>1 neuer Absatz </w:t>
      </w:r>
      <w:r w:rsidR="0057314A" w:rsidRPr="009118AB">
        <w:rPr>
          <w:i/>
          <w:iCs/>
        </w:rPr>
        <w:t>8</w:t>
      </w:r>
      <w:r w:rsidR="00DE5E06" w:rsidRPr="009118AB">
        <w:rPr>
          <w:i/>
          <w:iCs/>
        </w:rPr>
        <w:t xml:space="preserve"> eingefügt durch </w:t>
      </w:r>
      <w:r w:rsidR="00D67EB8" w:rsidRPr="009118AB">
        <w:rPr>
          <w:i/>
          <w:iCs/>
        </w:rPr>
        <w:t>Art. </w:t>
      </w:r>
      <w:r w:rsidR="00DE5E06" w:rsidRPr="009118AB">
        <w:rPr>
          <w:i/>
          <w:iCs/>
        </w:rPr>
        <w:t xml:space="preserve">71 </w:t>
      </w:r>
      <w:r w:rsidR="00D67EB8" w:rsidRPr="009118AB">
        <w:rPr>
          <w:i/>
          <w:iCs/>
        </w:rPr>
        <w:t>Nr. </w:t>
      </w:r>
      <w:r w:rsidR="00DE5E06" w:rsidRPr="009118AB">
        <w:rPr>
          <w:i/>
          <w:iCs/>
        </w:rPr>
        <w:t>2 des G. vom 25. Dezember 2017 (III) (B.S. vom 29. Dezember 2017)</w:t>
      </w:r>
      <w:r w:rsidR="00D67EB8" w:rsidRPr="009118AB">
        <w:rPr>
          <w:i/>
          <w:iCs/>
        </w:rPr>
        <w:t> - </w:t>
      </w:r>
      <w:r w:rsidR="00DE5E06" w:rsidRPr="009118AB">
        <w:rPr>
          <w:i/>
          <w:iCs/>
        </w:rPr>
        <w:t xml:space="preserve">in Kraft am 1. Januar 2018 und anwendbar auf die ab dem 1. Januar 2018 gezahlten oder </w:t>
      </w:r>
      <w:r w:rsidR="00DE5E06" w:rsidRPr="009118AB">
        <w:rPr>
          <w:rFonts w:ascii="Times New Roman Italique" w:hAnsi="Times New Roman Italique"/>
          <w:i/>
          <w:iCs/>
          <w:spacing w:val="2"/>
        </w:rPr>
        <w:t>zuerkannten Entlohnungen</w:t>
      </w:r>
      <w:r w:rsidR="00D67EB8" w:rsidRPr="009118AB">
        <w:rPr>
          <w:rFonts w:ascii="Times New Roman Italique" w:hAnsi="Times New Roman Italique"/>
          <w:i/>
          <w:iCs/>
          <w:spacing w:val="2"/>
        </w:rPr>
        <w:t> - </w:t>
      </w:r>
      <w:r w:rsidR="00DE5E06"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DE5E06" w:rsidRPr="009118AB">
        <w:rPr>
          <w:rFonts w:ascii="Times New Roman Italique" w:hAnsi="Times New Roman Italique"/>
          <w:i/>
          <w:iCs/>
          <w:spacing w:val="2"/>
        </w:rPr>
        <w:t>63</w:t>
      </w:r>
      <w:r w:rsidR="00DE5E06" w:rsidRPr="009118AB">
        <w:rPr>
          <w:i/>
          <w:iCs/>
          <w:spacing w:val="-2"/>
        </w:rPr>
        <w:t xml:space="preserve"> des G. vom 17. März 2019 (III) (B.S. vom 10. Mai 2019)</w:t>
      </w:r>
      <w:r w:rsidR="00D67EB8" w:rsidRPr="009118AB">
        <w:rPr>
          <w:i/>
          <w:iCs/>
          <w:spacing w:val="-2"/>
        </w:rPr>
        <w:t> - </w:t>
      </w:r>
      <w:r w:rsidR="00DE5E06" w:rsidRPr="009118AB">
        <w:rPr>
          <w:i/>
          <w:iCs/>
          <w:spacing w:val="-2"/>
        </w:rPr>
        <w:t>in Kraft am 1. Mai 2019</w:t>
      </w:r>
      <w:r w:rsidR="003366D9" w:rsidRPr="009118AB">
        <w:rPr>
          <w:i/>
          <w:iCs/>
          <w:spacing w:val="-2"/>
        </w:rPr>
        <w:t> -</w:t>
      </w:r>
      <w:r w:rsidR="00C6326D" w:rsidRPr="009118AB">
        <w:rPr>
          <w:i/>
          <w:iCs/>
          <w:spacing w:val="-2"/>
        </w:rPr>
        <w:t xml:space="preserve"> und Art. 37</w:t>
      </w:r>
      <w:r w:rsidR="00C6326D" w:rsidRPr="009118AB">
        <w:rPr>
          <w:i/>
          <w:iCs/>
        </w:rPr>
        <w:t xml:space="preserve"> des G. vom 5. Juli 2022 (B.S. vom 15. Juli 2022)</w:t>
      </w:r>
      <w:r w:rsidR="003366D9" w:rsidRPr="009118AB">
        <w:rPr>
          <w:i/>
          <w:iCs/>
          <w:spacing w:val="-2"/>
        </w:rPr>
        <w:t>;</w:t>
      </w:r>
      <w:r w:rsidR="00DE5E06"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57314A" w:rsidRPr="009118AB">
        <w:rPr>
          <w:rFonts w:ascii="Times New Roman Italique" w:hAnsi="Times New Roman Italique"/>
          <w:i/>
          <w:iCs/>
          <w:spacing w:val="2"/>
        </w:rPr>
        <w:t>1 neuer Absatz</w:t>
      </w:r>
      <w:r w:rsidR="0057314A" w:rsidRPr="009118AB">
        <w:rPr>
          <w:rFonts w:ascii="Times New Roman Italique" w:hAnsi="Times New Roman Italique" w:hint="eastAsia"/>
          <w:i/>
          <w:iCs/>
          <w:spacing w:val="2"/>
        </w:rPr>
        <w:t> </w:t>
      </w:r>
      <w:r w:rsidR="0057314A" w:rsidRPr="009118AB">
        <w:rPr>
          <w:rFonts w:ascii="Times New Roman Italique" w:hAnsi="Times New Roman Italique"/>
          <w:i/>
          <w:iCs/>
          <w:spacing w:val="2"/>
        </w:rPr>
        <w:t>9</w:t>
      </w:r>
      <w:r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109 des G. </w:t>
      </w:r>
      <w:r w:rsidR="0057314A" w:rsidRPr="009118AB">
        <w:rPr>
          <w:rFonts w:ascii="Times New Roman Italique" w:hAnsi="Times New Roman Italique"/>
          <w:i/>
          <w:iCs/>
          <w:spacing w:val="2"/>
        </w:rPr>
        <w:t xml:space="preserve">vom 23. Dezember 2005 (B.S. vom </w:t>
      </w:r>
      <w:r w:rsidRPr="009118AB">
        <w:rPr>
          <w:rFonts w:ascii="Times New Roman Italique" w:hAnsi="Times New Roman Italique"/>
          <w:i/>
          <w:iCs/>
          <w:spacing w:val="2"/>
        </w:rPr>
        <w:t>30. Dezember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Juli 2006 gezahlten oder zuerkannten Entlohnungen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57314A" w:rsidRPr="009118AB">
        <w:rPr>
          <w:rFonts w:ascii="Times New Roman Italique" w:hAnsi="Times New Roman Italique"/>
          <w:i/>
          <w:iCs/>
          <w:spacing w:val="2"/>
        </w:rPr>
        <w:t>9</w:t>
      </w:r>
      <w:r w:rsidRPr="009118AB">
        <w:rPr>
          <w:rFonts w:ascii="Times New Roman Italique" w:hAnsi="Times New Roman Italique"/>
          <w:i/>
          <w:iCs/>
          <w:spacing w:val="2"/>
        </w:rPr>
        <w:t xml:space="preserve"> vierter Gedankenstrich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110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23. Dezember 2005</w:t>
      </w:r>
      <w:r w:rsidR="004F7F42" w:rsidRPr="009118AB">
        <w:rPr>
          <w:rFonts w:ascii="Times New Roman Italique" w:hAnsi="Times New Roman Italique"/>
          <w:i/>
          <w:iCs/>
          <w:spacing w:val="2"/>
        </w:rPr>
        <w:t xml:space="preserve"> (B.S. vom 30. Dezember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Januar 2006 gezahlten oder zuerkannten Entlohnungen</w:t>
      </w:r>
      <w:r w:rsidR="00D67EB8" w:rsidRPr="009118AB">
        <w:rPr>
          <w:rFonts w:ascii="Times New Roman Italique" w:hAnsi="Times New Roman Italique"/>
          <w:i/>
          <w:iCs/>
          <w:spacing w:val="2"/>
        </w:rPr>
        <w:t> - </w:t>
      </w:r>
      <w:r w:rsidRPr="009118AB">
        <w:rPr>
          <w:rFonts w:ascii="Times New Roman Italique" w:hAnsi="Times New Roman Italique"/>
          <w:i/>
          <w:iCs/>
          <w:spacing w:val="2"/>
        </w:rPr>
        <w:t>und</w:t>
      </w:r>
      <w:r w:rsidRPr="009118AB">
        <w:rPr>
          <w:i/>
          <w:iCs/>
        </w:rPr>
        <w:t xml:space="preserve"> abgeändert durch </w:t>
      </w:r>
      <w:r w:rsidR="00D67EB8" w:rsidRPr="009118AB">
        <w:rPr>
          <w:i/>
          <w:iCs/>
        </w:rPr>
        <w:t>Art. </w:t>
      </w:r>
      <w:r w:rsidRPr="009118AB">
        <w:rPr>
          <w:i/>
          <w:iCs/>
        </w:rPr>
        <w:t xml:space="preserve">11 des G. vom 21. Dezember 2013 (II) (B.S. vom </w:t>
      </w:r>
      <w:r w:rsidR="004665BC" w:rsidRPr="009118AB">
        <w:rPr>
          <w:i/>
          <w:iCs/>
        </w:rPr>
        <w:t>31. Dezember 2013</w:t>
      </w:r>
      <w:r w:rsidRPr="009118AB">
        <w:rPr>
          <w:i/>
          <w:iCs/>
        </w:rPr>
        <w:t xml:space="preserve">) und </w:t>
      </w:r>
      <w:r w:rsidR="00D67EB8" w:rsidRPr="009118AB">
        <w:rPr>
          <w:i/>
          <w:iCs/>
        </w:rPr>
        <w:t>Art. </w:t>
      </w:r>
      <w:r w:rsidRPr="009118AB">
        <w:rPr>
          <w:i/>
          <w:iCs/>
        </w:rPr>
        <w:t xml:space="preserve">71 </w:t>
      </w:r>
      <w:r w:rsidR="00D67EB8" w:rsidRPr="009118AB">
        <w:rPr>
          <w:i/>
          <w:iCs/>
        </w:rPr>
        <w:t>Nr. </w:t>
      </w:r>
      <w:r w:rsidRPr="009118AB">
        <w:rPr>
          <w:i/>
          <w:iCs/>
        </w:rPr>
        <w:t>4 des G. vom 25. Dezember 2017 (III) (B.S. vom 29. Dezember 2017)</w:t>
      </w:r>
      <w:r w:rsidR="00D67EB8" w:rsidRPr="009118AB">
        <w:rPr>
          <w:i/>
          <w:iCs/>
        </w:rPr>
        <w:t> - </w:t>
      </w:r>
      <w:r w:rsidRPr="009118AB">
        <w:rPr>
          <w:i/>
          <w:iCs/>
        </w:rPr>
        <w:t>in Kraft am 1. Januar 2018 und anwendbar auf die ab dem 1. Januar 2018 und bis zum 31. Dezember 2019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1 früherer Absatz </w:t>
      </w:r>
      <w:r w:rsidR="0057314A" w:rsidRPr="009118AB">
        <w:rPr>
          <w:i/>
          <w:iCs/>
        </w:rPr>
        <w:t>10</w:t>
      </w:r>
      <w:r w:rsidRPr="009118AB">
        <w:rPr>
          <w:i/>
          <w:iCs/>
        </w:rPr>
        <w:t xml:space="preserve"> aufgehoben durch </w:t>
      </w:r>
      <w:r w:rsidR="00D67EB8" w:rsidRPr="009118AB">
        <w:rPr>
          <w:i/>
          <w:iCs/>
        </w:rPr>
        <w:t>Art. </w:t>
      </w:r>
      <w:r w:rsidRPr="009118AB">
        <w:rPr>
          <w:i/>
          <w:iCs/>
        </w:rPr>
        <w:t xml:space="preserve">16 </w:t>
      </w:r>
      <w:r w:rsidR="00D67EB8" w:rsidRPr="009118AB">
        <w:rPr>
          <w:i/>
          <w:iCs/>
        </w:rPr>
        <w:t>Nr. </w:t>
      </w:r>
      <w:r w:rsidRPr="009118AB">
        <w:rPr>
          <w:i/>
          <w:iCs/>
        </w:rPr>
        <w:t>3 des G. vom 27. März 2009 (B.S. vom 7. April 2009)</w:t>
      </w:r>
      <w:r w:rsidR="00D67EB8" w:rsidRPr="009118AB">
        <w:rPr>
          <w:i/>
          <w:iCs/>
        </w:rPr>
        <w:t> - </w:t>
      </w:r>
      <w:r w:rsidRPr="009118AB">
        <w:rPr>
          <w:i/>
          <w:iCs/>
        </w:rPr>
        <w:t>wirksam mit 1. Januar 2009</w:t>
      </w:r>
      <w:r w:rsidR="003366D9" w:rsidRPr="009118AB">
        <w:rPr>
          <w:i/>
          <w:iCs/>
        </w:rPr>
        <w:t> -;</w:t>
      </w:r>
      <w:r w:rsidRPr="009118AB">
        <w:rPr>
          <w:i/>
          <w:iCs/>
        </w:rPr>
        <w:t xml:space="preserve"> </w:t>
      </w:r>
      <w:r w:rsidR="00D67EB8" w:rsidRPr="009118AB">
        <w:rPr>
          <w:i/>
          <w:iCs/>
        </w:rPr>
        <w:t>§ </w:t>
      </w:r>
      <w:r w:rsidRPr="009118AB">
        <w:rPr>
          <w:i/>
          <w:iCs/>
        </w:rPr>
        <w:t>1 früherer Absatz 1</w:t>
      </w:r>
      <w:r w:rsidR="0057314A" w:rsidRPr="009118AB">
        <w:rPr>
          <w:i/>
          <w:iCs/>
        </w:rPr>
        <w:t>1</w:t>
      </w:r>
      <w:r w:rsidRPr="009118AB">
        <w:rPr>
          <w:i/>
          <w:iCs/>
        </w:rPr>
        <w:t xml:space="preserve"> eingefügt durch </w:t>
      </w:r>
      <w:r w:rsidR="00D67EB8" w:rsidRPr="009118AB">
        <w:rPr>
          <w:i/>
          <w:iCs/>
        </w:rPr>
        <w:t>Art. </w:t>
      </w:r>
      <w:r w:rsidRPr="009118AB">
        <w:rPr>
          <w:i/>
          <w:iCs/>
        </w:rPr>
        <w:t xml:space="preserve">110 </w:t>
      </w:r>
      <w:r w:rsidR="00D67EB8" w:rsidRPr="009118AB">
        <w:rPr>
          <w:i/>
          <w:iCs/>
        </w:rPr>
        <w:t>Nr. </w:t>
      </w:r>
      <w:r w:rsidRPr="009118AB">
        <w:rPr>
          <w:i/>
          <w:iCs/>
        </w:rPr>
        <w:t>3 des G. vom 23. Dezember 2005 (B.S. vom 30. Dezember 2005)</w:t>
      </w:r>
      <w:r w:rsidR="00D67EB8" w:rsidRPr="009118AB">
        <w:rPr>
          <w:i/>
          <w:iCs/>
        </w:rPr>
        <w:t> - </w:t>
      </w:r>
      <w:r w:rsidRPr="009118AB">
        <w:rPr>
          <w:i/>
          <w:iCs/>
        </w:rPr>
        <w:t>anwendbar auf die ab dem 1. Januar 2006 gezahlten oder zuerkannten Entlohnungen</w:t>
      </w:r>
      <w:r w:rsidR="00D67EB8" w:rsidRPr="009118AB">
        <w:rPr>
          <w:i/>
          <w:iCs/>
        </w:rPr>
        <w:t> - </w:t>
      </w:r>
      <w:r w:rsidRPr="009118AB">
        <w:rPr>
          <w:i/>
          <w:iCs/>
        </w:rPr>
        <w:t xml:space="preserve">und aufgehoben durch </w:t>
      </w:r>
      <w:r w:rsidR="00D67EB8" w:rsidRPr="009118AB">
        <w:rPr>
          <w:i/>
          <w:iCs/>
        </w:rPr>
        <w:t>Art. </w:t>
      </w:r>
      <w:r w:rsidRPr="009118AB">
        <w:rPr>
          <w:i/>
          <w:iCs/>
        </w:rPr>
        <w:t xml:space="preserve">68 </w:t>
      </w:r>
      <w:r w:rsidR="00D67EB8" w:rsidRPr="009118AB">
        <w:rPr>
          <w:i/>
          <w:iCs/>
        </w:rPr>
        <w:t>Nr. </w:t>
      </w:r>
      <w:r w:rsidRPr="009118AB">
        <w:rPr>
          <w:i/>
          <w:iCs/>
        </w:rPr>
        <w:t>4 des G. vom 8.</w:t>
      </w:r>
      <w:r w:rsidR="00710A6B" w:rsidRPr="009118AB">
        <w:rPr>
          <w:i/>
          <w:iCs/>
        </w:rPr>
        <w:t> </w:t>
      </w:r>
      <w:r w:rsidRPr="009118AB">
        <w:rPr>
          <w:i/>
          <w:iCs/>
        </w:rPr>
        <w:t>Juni 2008 (B.S. vom 16. Juni 2008)</w:t>
      </w:r>
      <w:r w:rsidR="00D67EB8" w:rsidRPr="009118AB">
        <w:rPr>
          <w:i/>
          <w:iCs/>
        </w:rPr>
        <w:t> - </w:t>
      </w:r>
      <w:r w:rsidRPr="009118AB">
        <w:rPr>
          <w:i/>
          <w:iCs/>
        </w:rPr>
        <w:t xml:space="preserve">anwendbar auf die ab dem 1. Juli 2008 gezahlten oder zuerkannten </w:t>
      </w:r>
      <w:r w:rsidRPr="009118AB">
        <w:rPr>
          <w:rFonts w:ascii="Times New Roman Italique" w:hAnsi="Times New Roman Italique"/>
          <w:i/>
          <w:iCs/>
          <w:spacing w:val="-2"/>
        </w:rPr>
        <w:t>Entlohnungen</w:t>
      </w:r>
      <w:r w:rsidR="003366D9" w:rsidRPr="009118AB">
        <w:rPr>
          <w:rFonts w:ascii="Times New Roman Italique" w:hAnsi="Times New Roman Italique"/>
          <w:i/>
          <w:iCs/>
          <w:spacing w:val="-2"/>
        </w:rPr>
        <w:t> -;</w:t>
      </w:r>
      <w:r w:rsidR="001F6DF7"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57314A" w:rsidRPr="009118AB">
        <w:rPr>
          <w:rFonts w:ascii="Times New Roman Italique" w:hAnsi="Times New Roman Italique"/>
          <w:i/>
          <w:iCs/>
          <w:spacing w:val="-2"/>
        </w:rPr>
        <w:t>10</w:t>
      </w:r>
      <w:r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00DE5E06" w:rsidRPr="009118AB">
        <w:rPr>
          <w:rFonts w:ascii="Times New Roman Italique" w:hAnsi="Times New Roman Italique"/>
          <w:i/>
          <w:iCs/>
          <w:spacing w:val="-2"/>
        </w:rPr>
        <w:t xml:space="preserve">30 </w:t>
      </w:r>
      <w:r w:rsidR="00D67EB8" w:rsidRPr="009118AB">
        <w:rPr>
          <w:rFonts w:ascii="Times New Roman Italique" w:hAnsi="Times New Roman Italique"/>
          <w:i/>
          <w:iCs/>
          <w:spacing w:val="-2"/>
        </w:rPr>
        <w:t>Nr. </w:t>
      </w:r>
      <w:r w:rsidR="00DE5E06" w:rsidRPr="009118AB">
        <w:rPr>
          <w:rFonts w:ascii="Times New Roman Italique" w:hAnsi="Times New Roman Italique"/>
          <w:i/>
          <w:iCs/>
          <w:spacing w:val="-2"/>
        </w:rPr>
        <w:t>2 des G.</w:t>
      </w:r>
      <w:r w:rsidR="00DE5E06" w:rsidRPr="009118AB">
        <w:rPr>
          <w:rFonts w:ascii="Times New Roman Italique" w:hAnsi="Times New Roman Italique" w:hint="eastAsia"/>
          <w:i/>
          <w:iCs/>
          <w:spacing w:val="-2"/>
        </w:rPr>
        <w:t> </w:t>
      </w:r>
      <w:r w:rsidR="00DE5E06" w:rsidRPr="009118AB">
        <w:rPr>
          <w:rFonts w:ascii="Times New Roman Italique" w:hAnsi="Times New Roman Italique"/>
          <w:i/>
          <w:iCs/>
          <w:spacing w:val="-2"/>
        </w:rPr>
        <w:t>(I) vom 27. Dezember 2006</w:t>
      </w:r>
      <w:r w:rsidR="00DE5E06" w:rsidRPr="009118AB">
        <w:rPr>
          <w:rFonts w:ascii="Times New Roman Italique" w:hAnsi="Times New Roman Italique" w:hint="eastAsia"/>
          <w:i/>
          <w:iCs/>
          <w:spacing w:val="-2"/>
        </w:rPr>
        <w:t> </w:t>
      </w:r>
      <w:r w:rsidR="00DE5E06" w:rsidRPr="009118AB">
        <w:rPr>
          <w:rFonts w:ascii="Times New Roman Italique" w:hAnsi="Times New Roman Italique"/>
          <w:i/>
          <w:iCs/>
          <w:spacing w:val="-2"/>
        </w:rPr>
        <w:t xml:space="preserve">(I) (B.S. vom </w:t>
      </w:r>
      <w:r w:rsidRPr="009118AB">
        <w:rPr>
          <w:rFonts w:ascii="Times New Roman Italique" w:hAnsi="Times New Roman Italique"/>
          <w:i/>
          <w:iCs/>
          <w:spacing w:val="-2"/>
        </w:rPr>
        <w:t>28. Dezember 2006)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Januar 2007 gezahlten oder zuerkannten Entlohnungen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964971"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964971" w:rsidRPr="009118AB">
        <w:rPr>
          <w:rFonts w:ascii="Times New Roman Italique" w:hAnsi="Times New Roman Italique"/>
          <w:i/>
          <w:iCs/>
          <w:spacing w:val="-2"/>
        </w:rPr>
        <w:t xml:space="preserve">11 eingefügt durch </w:t>
      </w:r>
      <w:r w:rsidR="00D67EB8" w:rsidRPr="009118AB">
        <w:rPr>
          <w:rFonts w:ascii="Times New Roman Italique" w:hAnsi="Times New Roman Italique"/>
          <w:i/>
          <w:iCs/>
          <w:spacing w:val="-2"/>
        </w:rPr>
        <w:t>Art. </w:t>
      </w:r>
      <w:r w:rsidR="00964971" w:rsidRPr="009118AB">
        <w:rPr>
          <w:rFonts w:ascii="Times New Roman Italique" w:hAnsi="Times New Roman Italique"/>
          <w:i/>
          <w:iCs/>
          <w:spacing w:val="-2"/>
        </w:rPr>
        <w:t>12</w:t>
      </w:r>
      <w:r w:rsidR="00964971"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964971"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00964971" w:rsidRPr="009118AB">
        <w:rPr>
          <w:rFonts w:ascii="Times New Roman Italique" w:hAnsi="Times New Roman Italique"/>
          <w:i/>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0057314A" w:rsidRPr="009118AB">
        <w:rPr>
          <w:rFonts w:ascii="Times New Roman Italique" w:hAnsi="Times New Roman Italique"/>
          <w:i/>
          <w:iCs/>
          <w:spacing w:val="-2"/>
        </w:rPr>
        <w:t xml:space="preserve">30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3 des G. (I) vom 27. Dezember 2</w:t>
      </w:r>
      <w:r w:rsidR="0057314A" w:rsidRPr="009118AB">
        <w:rPr>
          <w:rFonts w:ascii="Times New Roman Italique" w:hAnsi="Times New Roman Italique"/>
          <w:i/>
          <w:iCs/>
          <w:spacing w:val="-2"/>
        </w:rPr>
        <w:t>006</w:t>
      </w:r>
      <w:r w:rsidR="0057314A" w:rsidRPr="009118AB">
        <w:rPr>
          <w:rFonts w:ascii="Times New Roman Italique" w:hAnsi="Times New Roman Italique" w:hint="eastAsia"/>
          <w:i/>
          <w:iCs/>
          <w:spacing w:val="-2"/>
        </w:rPr>
        <w:t> </w:t>
      </w:r>
      <w:r w:rsidRPr="009118AB">
        <w:rPr>
          <w:rFonts w:ascii="Times New Roman Italique" w:hAnsi="Times New Roman Italique"/>
          <w:i/>
          <w:iCs/>
          <w:spacing w:val="-2"/>
        </w:rPr>
        <w:t>(I) (B.S. vom 28. Dezember 2006)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Januar 2007 gezahlten oder zuerkannten Entlohnungen</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i/>
          <w:iCs/>
        </w:rPr>
        <w:t>2</w:t>
      </w:r>
      <w:r w:rsidR="003B0B00" w:rsidRPr="009118AB">
        <w:rPr>
          <w:i/>
          <w:iCs/>
        </w:rPr>
        <w:t xml:space="preserve"> einziger Absatz</w:t>
      </w:r>
      <w:r w:rsidRPr="009118AB">
        <w:rPr>
          <w:i/>
          <w:iCs/>
        </w:rPr>
        <w:t xml:space="preserve"> einleitende Bestimmung abgeändert durch </w:t>
      </w:r>
      <w:r w:rsidR="00D67EB8" w:rsidRPr="009118AB">
        <w:rPr>
          <w:i/>
          <w:iCs/>
        </w:rPr>
        <w:t>Art. </w:t>
      </w:r>
      <w:r w:rsidRPr="009118AB">
        <w:rPr>
          <w:i/>
          <w:iCs/>
        </w:rPr>
        <w:t xml:space="preserve">71 </w:t>
      </w:r>
      <w:r w:rsidR="00D67EB8" w:rsidRPr="009118AB">
        <w:rPr>
          <w:i/>
          <w:iCs/>
        </w:rPr>
        <w:t>Nr. </w:t>
      </w:r>
      <w:r w:rsidRPr="009118AB">
        <w:rPr>
          <w:i/>
          <w:iCs/>
        </w:rPr>
        <w:t>5 des G. vom 25. Dezember 2017 (III) (B.S. vom 29. Dezember 2017)</w:t>
      </w:r>
      <w:r w:rsidR="00D67EB8" w:rsidRPr="009118AB">
        <w:rPr>
          <w:i/>
          <w:iCs/>
        </w:rPr>
        <w:t> - </w:t>
      </w:r>
      <w:r w:rsidRPr="009118AB">
        <w:rPr>
          <w:i/>
          <w:iCs/>
        </w:rPr>
        <w:t>in Kraft am 1. Januar 2018 und anwendbar auf die ab dem 1. Januar 2018 und bis zum 31. Dezember 2019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2 einziger Absatz Buchstabe a) ersetzt durch </w:t>
      </w:r>
      <w:r w:rsidR="00D67EB8" w:rsidRPr="009118AB">
        <w:rPr>
          <w:i/>
          <w:iCs/>
        </w:rPr>
        <w:t>Art. </w:t>
      </w:r>
      <w:r w:rsidRPr="009118AB">
        <w:rPr>
          <w:i/>
          <w:iCs/>
        </w:rPr>
        <w:t xml:space="preserve">71 </w:t>
      </w:r>
      <w:r w:rsidR="00D67EB8" w:rsidRPr="009118AB">
        <w:rPr>
          <w:i/>
          <w:iCs/>
        </w:rPr>
        <w:t>Nr. </w:t>
      </w:r>
      <w:r w:rsidRPr="009118AB">
        <w:rPr>
          <w:i/>
          <w:iCs/>
        </w:rPr>
        <w:t>6 des G. vom 25. Dezember 2017 (III) (B.S. vom 29. Dezember 2017)</w:t>
      </w:r>
      <w:r w:rsidR="00D67EB8" w:rsidRPr="009118AB">
        <w:rPr>
          <w:i/>
          <w:iCs/>
        </w:rPr>
        <w:t> - </w:t>
      </w:r>
      <w:r w:rsidRPr="009118AB">
        <w:rPr>
          <w:i/>
          <w:iCs/>
        </w:rPr>
        <w:t>in Kraft am 1. Januar 2018 und anwendbar auf die ab dem 1. Januar 2018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2 einziger Absatz </w:t>
      </w:r>
      <w:r w:rsidR="00D67EB8" w:rsidRPr="009118AB">
        <w:rPr>
          <w:i/>
          <w:iCs/>
        </w:rPr>
        <w:t>Nr. </w:t>
      </w:r>
      <w:r w:rsidRPr="009118AB">
        <w:rPr>
          <w:i/>
          <w:iCs/>
        </w:rPr>
        <w:t xml:space="preserve">3 und 4 eingefügt durch </w:t>
      </w:r>
      <w:r w:rsidR="00D67EB8" w:rsidRPr="009118AB">
        <w:rPr>
          <w:i/>
          <w:iCs/>
        </w:rPr>
        <w:t>Art. </w:t>
      </w:r>
      <w:r w:rsidRPr="009118AB">
        <w:rPr>
          <w:i/>
          <w:iCs/>
        </w:rPr>
        <w:t xml:space="preserve">71 </w:t>
      </w:r>
      <w:r w:rsidR="00D67EB8" w:rsidRPr="009118AB">
        <w:rPr>
          <w:i/>
          <w:iCs/>
        </w:rPr>
        <w:t>Nr. </w:t>
      </w:r>
      <w:r w:rsidRPr="009118AB">
        <w:rPr>
          <w:i/>
          <w:iCs/>
        </w:rPr>
        <w:t>7 des G. vom 25. Dezember 2017 (III) (B.S. vom 29. Dezember 2017)</w:t>
      </w:r>
      <w:r w:rsidR="00D67EB8" w:rsidRPr="009118AB">
        <w:rPr>
          <w:i/>
          <w:iCs/>
        </w:rPr>
        <w:t> - </w:t>
      </w:r>
      <w:r w:rsidRPr="009118AB">
        <w:rPr>
          <w:i/>
          <w:iCs/>
        </w:rPr>
        <w:t>in Kraft am 1. Januar 2018 und anwendbar auf die ab dem 1. Januar 2018 gezahlten oder zuerkannten Entlohnungen</w:t>
      </w:r>
      <w:r w:rsidR="003366D9" w:rsidRPr="009118AB">
        <w:rPr>
          <w:i/>
          <w:iCs/>
        </w:rPr>
        <w:t> -;</w:t>
      </w:r>
      <w:r w:rsidRPr="009118AB">
        <w:rPr>
          <w:i/>
          <w:iCs/>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 xml:space="preserve">3 </w:t>
      </w:r>
      <w:r w:rsidR="00D67EB8" w:rsidRPr="009118AB">
        <w:rPr>
          <w:i/>
          <w:iCs/>
        </w:rPr>
        <w:t>Nr. </w:t>
      </w:r>
      <w:r w:rsidRPr="009118AB">
        <w:rPr>
          <w:i/>
          <w:iCs/>
        </w:rPr>
        <w:t>5 des G. vom 17. Juni 2013 (B.S. vom 28. Juni 2013)</w:t>
      </w:r>
      <w:r w:rsidR="00D67EB8" w:rsidRPr="009118AB">
        <w:rPr>
          <w:i/>
          <w:iCs/>
        </w:rPr>
        <w:t> - </w:t>
      </w:r>
      <w:r w:rsidRPr="009118AB">
        <w:rPr>
          <w:i/>
          <w:iCs/>
        </w:rPr>
        <w:t>in Kraft am 1. Januar 2014</w:t>
      </w:r>
      <w:r w:rsidR="003366D9" w:rsidRPr="009118AB">
        <w:rPr>
          <w:i/>
          <w:iCs/>
        </w:rPr>
        <w:t> -;</w:t>
      </w:r>
      <w:r w:rsidRPr="009118AB">
        <w:rPr>
          <w:i/>
          <w:iCs/>
        </w:rPr>
        <w:t xml:space="preserve"> </w:t>
      </w:r>
      <w:r w:rsidR="00D67EB8" w:rsidRPr="009118AB">
        <w:rPr>
          <w:i/>
          <w:iCs/>
        </w:rPr>
        <w:t>§ </w:t>
      </w:r>
      <w:r w:rsidRPr="009118AB">
        <w:rPr>
          <w:i/>
          <w:iCs/>
        </w:rPr>
        <w:t xml:space="preserve">4 eingefügt durch </w:t>
      </w:r>
      <w:r w:rsidR="00D67EB8" w:rsidRPr="009118AB">
        <w:rPr>
          <w:i/>
          <w:iCs/>
        </w:rPr>
        <w:t>Art. </w:t>
      </w:r>
      <w:r w:rsidRPr="009118AB">
        <w:rPr>
          <w:i/>
          <w:iCs/>
        </w:rPr>
        <w:t xml:space="preserve">71 </w:t>
      </w:r>
      <w:r w:rsidR="00D67EB8" w:rsidRPr="009118AB">
        <w:rPr>
          <w:i/>
          <w:iCs/>
        </w:rPr>
        <w:t>Nr. </w:t>
      </w:r>
      <w:r w:rsidRPr="009118AB">
        <w:rPr>
          <w:i/>
          <w:iCs/>
        </w:rPr>
        <w:t>8 des G. vom 25. Dezember 2017 (III) (B.S. vom 29. Dezember 2017)</w:t>
      </w:r>
      <w:r w:rsidR="00D67EB8" w:rsidRPr="009118AB">
        <w:rPr>
          <w:i/>
          <w:iCs/>
        </w:rPr>
        <w:t> - </w:t>
      </w:r>
      <w:r w:rsidRPr="009118AB">
        <w:rPr>
          <w:i/>
          <w:iCs/>
        </w:rPr>
        <w:t>in Kraft am 1. Januar 2018 und anwendbar auf die ab dem 1. Januar 2018 gezahlten oder zuerkannten Entlohnungen</w:t>
      </w:r>
      <w:r w:rsidR="00FD68E8" w:rsidRPr="009118AB">
        <w:rPr>
          <w:i/>
          <w:iCs/>
        </w:rPr>
        <w:t> -]</w:t>
      </w:r>
    </w:p>
    <w:p w14:paraId="1ABCCFB6" w14:textId="77777777" w:rsidR="00710A6B" w:rsidRPr="009118AB" w:rsidRDefault="00710A6B" w:rsidP="00435B35">
      <w:pPr>
        <w:autoSpaceDE w:val="0"/>
        <w:autoSpaceDN w:val="0"/>
        <w:adjustRightInd w:val="0"/>
        <w:jc w:val="both"/>
      </w:pPr>
    </w:p>
    <w:p w14:paraId="587946E4" w14:textId="77777777" w:rsidR="00477B8F" w:rsidRPr="009118AB" w:rsidRDefault="00477B8F" w:rsidP="00477B8F">
      <w:pPr>
        <w:autoSpaceDE w:val="0"/>
        <w:autoSpaceDN w:val="0"/>
        <w:adjustRightInd w:val="0"/>
        <w:jc w:val="both"/>
      </w:pPr>
    </w:p>
    <w:p w14:paraId="3FA1877F" w14:textId="66758E7F"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275</w:t>
      </w:r>
      <w:r w:rsidRPr="009118AB">
        <w:rPr>
          <w:b/>
          <w:bCs/>
          <w:vertAlign w:val="superscript"/>
        </w:rPr>
        <w:t>4</w:t>
      </w:r>
      <w:r w:rsidR="00D67EB8" w:rsidRPr="009118AB">
        <w:t> - § </w:t>
      </w:r>
      <w:r w:rsidRPr="009118AB">
        <w:t>1</w:t>
      </w:r>
      <w:r w:rsidR="00D67EB8" w:rsidRPr="009118AB">
        <w:t> - </w:t>
      </w:r>
      <w:r w:rsidRPr="009118AB">
        <w:t xml:space="preserve">Vorliegender Artikel ist auf Arbeitgeber im Sektor der Seefischerei anwendbar, die </w:t>
      </w:r>
      <w:r w:rsidR="003151C7" w:rsidRPr="009118AB">
        <w:t>[</w:t>
      </w:r>
      <w:r w:rsidRPr="009118AB">
        <w:t xml:space="preserve">in Anwendung von Artikel 270 </w:t>
      </w:r>
      <w:r w:rsidR="003151C7" w:rsidRPr="009118AB">
        <w:t xml:space="preserve">Absatz 1 </w:t>
      </w:r>
      <w:r w:rsidR="00D67EB8" w:rsidRPr="009118AB">
        <w:t>Nr. </w:t>
      </w:r>
      <w:r w:rsidRPr="009118AB">
        <w:t>1</w:t>
      </w:r>
      <w:r w:rsidR="003151C7" w:rsidRPr="009118AB">
        <w:t>]</w:t>
      </w:r>
      <w:r w:rsidRPr="009118AB">
        <w:t xml:space="preserve"> Schuldner des</w:t>
      </w:r>
      <w:r w:rsidR="003151C7" w:rsidRPr="009118AB">
        <w:t xml:space="preserve"> </w:t>
      </w:r>
      <w:r w:rsidRPr="009118AB">
        <w:t xml:space="preserve">Berufssteuervorabzugs sind aufgrund der in Artikel 273 </w:t>
      </w:r>
      <w:r w:rsidR="00D67EB8" w:rsidRPr="009118AB">
        <w:t>Nr. </w:t>
      </w:r>
      <w:r w:rsidRPr="009118AB">
        <w:t xml:space="preserve">1 erwähnten Zahlung oder </w:t>
      </w:r>
      <w:r w:rsidRPr="009118AB">
        <w:lastRenderedPageBreak/>
        <w:t>Zuerkennung von steuerpflichtigen Entlohnungen an Arbeitnehmer, die an Bord eines Schiffes beschäftigt sind, das in einem Mitgliedstaat der Europäischen Union registriert ist und für das ein Schiffszertifikat vorgelegt werden kann. Vorliegender Artikel ist jedoch nur auf den in Ausführung von Artikel 272 einbehaltenen Berufssteuervorabzug anwendbar.</w:t>
      </w:r>
    </w:p>
    <w:p w14:paraId="32D7F7D7" w14:textId="77777777" w:rsidR="00477B8F" w:rsidRPr="009118AB" w:rsidRDefault="00477B8F" w:rsidP="00477B8F">
      <w:pPr>
        <w:autoSpaceDE w:val="0"/>
        <w:autoSpaceDN w:val="0"/>
        <w:adjustRightInd w:val="0"/>
        <w:jc w:val="both"/>
      </w:pPr>
    </w:p>
    <w:p w14:paraId="224BD1BE" w14:textId="77777777" w:rsidR="00477B8F" w:rsidRPr="009118AB" w:rsidRDefault="00477B8F" w:rsidP="00477B8F">
      <w:pPr>
        <w:autoSpaceDE w:val="0"/>
        <w:autoSpaceDN w:val="0"/>
        <w:adjustRightInd w:val="0"/>
        <w:jc w:val="both"/>
      </w:pPr>
      <w:r w:rsidRPr="009118AB">
        <w:tab/>
        <w:t>Bevor die Zahlung an die Staatskasse durchgeführt wird, wird der Betrag des einbehaltenen Berufssteuervorabzugs mit dem Betrag des fiktiven Berufssteuervorabzugs verglichen, der erhalten wird, indem die pauschalen Tageslöhne berücksichtigt werden, so wie sie festgelegt sind durch die Vorschriften zur Festlegung der pauschalen Tageslöhne für die Berechnung der Sozialversicherungsbeiträge, die für Handarbeiter geschuldet werden, deren Entlohnung ganz oder teilweise aus Trinkgeldern oder Bedienungsgeldern besteht, und für Arbeitnehmer, die durch einen Arbeitsvertrag für Seefischer gebunden sind, und die als Grundlage für die Berechnung der Sozialbeiträge dienen.</w:t>
      </w:r>
    </w:p>
    <w:p w14:paraId="51BA294F" w14:textId="77777777" w:rsidR="00477B8F" w:rsidRPr="009118AB" w:rsidRDefault="00477B8F" w:rsidP="00477B8F">
      <w:pPr>
        <w:autoSpaceDE w:val="0"/>
        <w:autoSpaceDN w:val="0"/>
        <w:adjustRightInd w:val="0"/>
        <w:jc w:val="both"/>
      </w:pPr>
    </w:p>
    <w:p w14:paraId="6DCF99E2" w14:textId="77777777" w:rsidR="00477B8F" w:rsidRPr="009118AB" w:rsidRDefault="00477B8F" w:rsidP="00477B8F">
      <w:pPr>
        <w:autoSpaceDE w:val="0"/>
        <w:autoSpaceDN w:val="0"/>
        <w:adjustRightInd w:val="0"/>
        <w:jc w:val="both"/>
      </w:pPr>
      <w:r w:rsidRPr="009118AB">
        <w:tab/>
        <w:t>Wenn der Betrag des einbehaltenen Berufssteuervorabzugs weniger als der Betrag des fiktiven Berufssteuervorabzugs beträgt, sind in Absatz 1 erwähnte Arbeitgeber verpflichtet, der Staatskasse den Gesamtbetrag des fiktiven Berufssteuervorabzugs zuzuführen.</w:t>
      </w:r>
    </w:p>
    <w:p w14:paraId="504F594E" w14:textId="77777777" w:rsidR="00477B8F" w:rsidRPr="009118AB" w:rsidRDefault="00477B8F" w:rsidP="00477B8F">
      <w:pPr>
        <w:autoSpaceDE w:val="0"/>
        <w:autoSpaceDN w:val="0"/>
        <w:adjustRightInd w:val="0"/>
        <w:jc w:val="both"/>
      </w:pPr>
    </w:p>
    <w:p w14:paraId="0F21D5E3" w14:textId="77777777" w:rsidR="00477B8F" w:rsidRPr="009118AB" w:rsidRDefault="00477B8F" w:rsidP="00477B8F">
      <w:pPr>
        <w:autoSpaceDE w:val="0"/>
        <w:autoSpaceDN w:val="0"/>
        <w:adjustRightInd w:val="0"/>
        <w:jc w:val="both"/>
      </w:pPr>
      <w:r w:rsidRPr="009118AB">
        <w:tab/>
        <w:t>Die Differenz zwischen dem fiktiven Berufssteuervorabzug und dem einbehaltenen Berufssteuervorabzug stellt für die Arbeitgeber in Artikel 49 erwähnte abzugsfähige Werbungskosten dar und ist für den Arbeitnehmer nicht anrechenbar.</w:t>
      </w:r>
    </w:p>
    <w:p w14:paraId="2017230F" w14:textId="77777777" w:rsidR="00477B8F" w:rsidRPr="009118AB" w:rsidRDefault="00477B8F" w:rsidP="00477B8F">
      <w:pPr>
        <w:autoSpaceDE w:val="0"/>
        <w:autoSpaceDN w:val="0"/>
        <w:adjustRightInd w:val="0"/>
        <w:jc w:val="both"/>
      </w:pPr>
    </w:p>
    <w:p w14:paraId="32A8B5C4" w14:textId="77777777" w:rsidR="00472ACF" w:rsidRPr="009118AB" w:rsidRDefault="00477B8F" w:rsidP="00DB18BE">
      <w:pPr>
        <w:autoSpaceDE w:val="0"/>
        <w:autoSpaceDN w:val="0"/>
        <w:adjustRightInd w:val="0"/>
        <w:jc w:val="both"/>
      </w:pPr>
      <w:r w:rsidRPr="009118AB">
        <w:tab/>
        <w:t xml:space="preserve">Wenn der Betrag des einbehaltenen Berufssteuervorabzugs mehr als der Betrag des fiktiven Berufssteuervorabzugs beträgt, müssen die Arbeitgeber der Staatskasse nur einen Betrag zuführen, der dem fiktiven Berufssteuervorabzug entspricht. Den Restbetrag des einbehaltenen Berufssteuervorabzugs führt der Arbeitgeber dem </w:t>
      </w:r>
      <w:r w:rsidR="00117C1A" w:rsidRPr="009118AB">
        <w:t>"</w:t>
      </w:r>
      <w:r w:rsidRPr="009118AB">
        <w:t>Zeevissersfonds</w:t>
      </w:r>
      <w:r w:rsidR="00117C1A" w:rsidRPr="009118AB">
        <w:t>"</w:t>
      </w:r>
      <w:r w:rsidRPr="009118AB">
        <w:t xml:space="preserve"> zu, der durch das kollektive Arbeitsabkommen vom 29. August 1986 eingerichtet wurde.</w:t>
      </w:r>
      <w:r w:rsidRPr="009118AB">
        <w:tab/>
      </w:r>
    </w:p>
    <w:p w14:paraId="0D51E657" w14:textId="77777777" w:rsidR="00710A6B" w:rsidRPr="009118AB" w:rsidRDefault="00710A6B"/>
    <w:p w14:paraId="19FE4BAF" w14:textId="64DB839A" w:rsidR="00477B8F" w:rsidRPr="009118AB" w:rsidRDefault="00472ACF" w:rsidP="00477B8F">
      <w:pPr>
        <w:autoSpaceDE w:val="0"/>
        <w:autoSpaceDN w:val="0"/>
        <w:adjustRightInd w:val="0"/>
      </w:pPr>
      <w:r w:rsidRPr="009118AB">
        <w:tab/>
      </w:r>
      <w:r w:rsidR="00D67EB8" w:rsidRPr="009118AB">
        <w:t>§ </w:t>
      </w:r>
      <w:r w:rsidR="00477B8F" w:rsidRPr="009118AB">
        <w:t>2</w:t>
      </w:r>
      <w:r w:rsidR="00D67EB8" w:rsidRPr="009118AB">
        <w:t> - </w:t>
      </w:r>
      <w:r w:rsidR="00477B8F" w:rsidRPr="009118AB">
        <w:t>Der König bestimmt Regeln und Modalitäten in Bezug auf die Weise:</w:t>
      </w:r>
    </w:p>
    <w:p w14:paraId="4BAA3544" w14:textId="77777777" w:rsidR="00477B8F" w:rsidRPr="009118AB" w:rsidRDefault="00477B8F" w:rsidP="00477B8F">
      <w:pPr>
        <w:autoSpaceDE w:val="0"/>
        <w:autoSpaceDN w:val="0"/>
        <w:adjustRightInd w:val="0"/>
        <w:jc w:val="both"/>
      </w:pPr>
    </w:p>
    <w:p w14:paraId="5BCA507C" w14:textId="72494840" w:rsidR="00477B8F" w:rsidRPr="009118AB" w:rsidRDefault="00477B8F" w:rsidP="00477B8F">
      <w:pPr>
        <w:autoSpaceDE w:val="0"/>
        <w:autoSpaceDN w:val="0"/>
        <w:adjustRightInd w:val="0"/>
        <w:jc w:val="both"/>
      </w:pPr>
      <w:r w:rsidRPr="009118AB">
        <w:tab/>
        <w:t xml:space="preserve">- wie bei Einreichung der Erklärung zum Berufssteuervorabzug der Nachweis zu erbringen ist, dass Arbeitnehmer, für die der einbehaltene Berufssteuervorabzug für den Zeitraum, auf den die Erklärung sich bezieht, nicht vollständig gezahlt wurde, tatsächlich an Bord eines in </w:t>
      </w:r>
      <w:r w:rsidR="00D67EB8" w:rsidRPr="009118AB">
        <w:t>§ </w:t>
      </w:r>
      <w:r w:rsidRPr="009118AB">
        <w:t>1 Absatz 1 erwähnten Schiffes beschäftigt waren,</w:t>
      </w:r>
    </w:p>
    <w:p w14:paraId="7B7E9CA1" w14:textId="77777777" w:rsidR="00477B8F" w:rsidRPr="009118AB" w:rsidRDefault="00477B8F" w:rsidP="00477B8F">
      <w:pPr>
        <w:autoSpaceDE w:val="0"/>
        <w:autoSpaceDN w:val="0"/>
        <w:adjustRightInd w:val="0"/>
        <w:jc w:val="both"/>
      </w:pPr>
    </w:p>
    <w:p w14:paraId="4D62FAC6" w14:textId="5B2C4E5A" w:rsidR="00477B8F" w:rsidRPr="009118AB" w:rsidRDefault="00477B8F" w:rsidP="00477B8F">
      <w:pPr>
        <w:autoSpaceDE w:val="0"/>
        <w:autoSpaceDN w:val="0"/>
        <w:adjustRightInd w:val="0"/>
        <w:jc w:val="both"/>
      </w:pPr>
      <w:r w:rsidRPr="009118AB">
        <w:tab/>
        <w:t xml:space="preserve">- wie bei Einreichung der Erklärung zum Berufssteuervorabzug in dem in </w:t>
      </w:r>
      <w:r w:rsidR="00D67EB8" w:rsidRPr="009118AB">
        <w:t>§ </w:t>
      </w:r>
      <w:r w:rsidRPr="009118AB">
        <w:t>1 Absatz 3 erwähnten Fall ein Unterschied zwischen dem einbehaltenen und dem gezahlten Berufssteuervorabzug zu machen ist.]</w:t>
      </w:r>
    </w:p>
    <w:p w14:paraId="693B4E67" w14:textId="77777777" w:rsidR="00477B8F" w:rsidRPr="009118AB" w:rsidRDefault="00477B8F" w:rsidP="00477B8F">
      <w:pPr>
        <w:autoSpaceDE w:val="0"/>
        <w:autoSpaceDN w:val="0"/>
        <w:adjustRightInd w:val="0"/>
        <w:jc w:val="both"/>
      </w:pPr>
    </w:p>
    <w:p w14:paraId="233BA268" w14:textId="7F167D36"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275</w:t>
      </w:r>
      <w:r w:rsidRPr="009118AB">
        <w:rPr>
          <w:i/>
          <w:iCs/>
          <w:vertAlign w:val="superscript"/>
        </w:rPr>
        <w:t>4</w:t>
      </w:r>
      <w:r w:rsidR="00C72F24" w:rsidRPr="009118AB">
        <w:rPr>
          <w:i/>
          <w:iCs/>
        </w:rPr>
        <w:t xml:space="preserve"> eingefügt durch </w:t>
      </w:r>
      <w:r w:rsidR="00D67EB8" w:rsidRPr="009118AB">
        <w:rPr>
          <w:i/>
          <w:iCs/>
        </w:rPr>
        <w:t>Art. </w:t>
      </w:r>
      <w:r w:rsidRPr="009118AB">
        <w:rPr>
          <w:i/>
          <w:iCs/>
        </w:rPr>
        <w:t>107 des G. vom 23. Dezember 2005 (B.S. vom 30. Dezember 2005)</w:t>
      </w:r>
      <w:r w:rsidR="00D67EB8" w:rsidRPr="009118AB">
        <w:rPr>
          <w:i/>
          <w:iCs/>
        </w:rPr>
        <w:t> - </w:t>
      </w:r>
      <w:r w:rsidRPr="009118AB">
        <w:rPr>
          <w:i/>
          <w:iCs/>
        </w:rPr>
        <w:t>anwendbar auf die ab dem 1. Januar 2006 gezahlten oder zuerkannten Entlohnungen und Schicht- und Nachtarbeitszulagen</w:t>
      </w:r>
      <w:r w:rsidR="003366D9" w:rsidRPr="009118AB">
        <w:rPr>
          <w:i/>
          <w:iCs/>
        </w:rPr>
        <w:t> -;</w:t>
      </w:r>
      <w:r w:rsidR="003151C7" w:rsidRPr="009118AB">
        <w:rPr>
          <w:i/>
          <w:iCs/>
        </w:rPr>
        <w:t xml:space="preserve"> </w:t>
      </w:r>
      <w:r w:rsidR="00D67EB8" w:rsidRPr="009118AB">
        <w:rPr>
          <w:i/>
          <w:iCs/>
        </w:rPr>
        <w:t>§ </w:t>
      </w:r>
      <w:r w:rsidR="003151C7" w:rsidRPr="009118AB">
        <w:rPr>
          <w:i/>
          <w:iCs/>
        </w:rPr>
        <w:t xml:space="preserve">1 </w:t>
      </w:r>
      <w:r w:rsidR="00D67EB8" w:rsidRPr="009118AB">
        <w:rPr>
          <w:i/>
          <w:iCs/>
        </w:rPr>
        <w:t>Abs. </w:t>
      </w:r>
      <w:r w:rsidR="003151C7" w:rsidRPr="009118AB">
        <w:rPr>
          <w:i/>
          <w:iCs/>
        </w:rPr>
        <w:t xml:space="preserve">1 abgeändert durch </w:t>
      </w:r>
      <w:r w:rsidR="00D67EB8" w:rsidRPr="009118AB">
        <w:rPr>
          <w:i/>
          <w:iCs/>
        </w:rPr>
        <w:t>Art. </w:t>
      </w:r>
      <w:r w:rsidR="003151C7" w:rsidRPr="009118AB">
        <w:rPr>
          <w:i/>
          <w:iCs/>
        </w:rPr>
        <w:t>13</w:t>
      </w:r>
      <w:r w:rsidR="003151C7" w:rsidRPr="009118AB">
        <w:rPr>
          <w:i/>
        </w:rPr>
        <w:t xml:space="preserve"> des G. vom 11. Februar 2019 (B.S. vom 22. März 2019)</w:t>
      </w:r>
      <w:r w:rsidR="00D67EB8" w:rsidRPr="009118AB">
        <w:rPr>
          <w:i/>
        </w:rPr>
        <w:t> - </w:t>
      </w:r>
      <w:r w:rsidR="003151C7" w:rsidRPr="009118AB">
        <w:rPr>
          <w:i/>
        </w:rPr>
        <w:t>in Kraft am 1. März 2019 und anwendbar auf die ab dem 1. März 2019 gezahlten oder zuerkannten Entlohnungen</w:t>
      </w:r>
      <w:r w:rsidR="00FD68E8" w:rsidRPr="009118AB">
        <w:rPr>
          <w:i/>
        </w:rPr>
        <w:t> -]</w:t>
      </w:r>
    </w:p>
    <w:p w14:paraId="41D23338" w14:textId="77777777" w:rsidR="00477B8F" w:rsidRPr="009118AB" w:rsidRDefault="00477B8F" w:rsidP="00477B8F">
      <w:pPr>
        <w:autoSpaceDE w:val="0"/>
        <w:autoSpaceDN w:val="0"/>
        <w:adjustRightInd w:val="0"/>
        <w:jc w:val="both"/>
      </w:pPr>
    </w:p>
    <w:p w14:paraId="3803B11A" w14:textId="77777777" w:rsidR="00477B8F" w:rsidRPr="009118AB" w:rsidRDefault="00477B8F" w:rsidP="00477B8F">
      <w:pPr>
        <w:autoSpaceDE w:val="0"/>
        <w:autoSpaceDN w:val="0"/>
        <w:adjustRightInd w:val="0"/>
        <w:jc w:val="both"/>
      </w:pPr>
    </w:p>
    <w:p w14:paraId="4D483E80" w14:textId="4286567D" w:rsidR="00296F0C" w:rsidRPr="009118AB" w:rsidRDefault="00477B8F" w:rsidP="00296F0C">
      <w:pPr>
        <w:ind w:firstLine="708"/>
        <w:jc w:val="both"/>
      </w:pPr>
      <w:r w:rsidRPr="009118AB">
        <w:rPr>
          <w:spacing w:val="2"/>
        </w:rPr>
        <w:t>[</w:t>
      </w:r>
      <w:r w:rsidR="00D67EB8" w:rsidRPr="009118AB">
        <w:rPr>
          <w:b/>
          <w:bCs/>
          <w:spacing w:val="2"/>
        </w:rPr>
        <w:t>Art. </w:t>
      </w:r>
      <w:r w:rsidRPr="009118AB">
        <w:rPr>
          <w:b/>
          <w:bCs/>
          <w:spacing w:val="2"/>
        </w:rPr>
        <w:t>275</w:t>
      </w:r>
      <w:r w:rsidRPr="009118AB">
        <w:rPr>
          <w:b/>
          <w:bCs/>
          <w:spacing w:val="2"/>
          <w:vertAlign w:val="superscript"/>
        </w:rPr>
        <w:t>5</w:t>
      </w:r>
      <w:r w:rsidR="00D67EB8" w:rsidRPr="009118AB">
        <w:rPr>
          <w:spacing w:val="2"/>
        </w:rPr>
        <w:t> - </w:t>
      </w:r>
      <w:r w:rsidR="00D67EB8" w:rsidRPr="009118AB">
        <w:rPr>
          <w:iCs/>
          <w:spacing w:val="-1"/>
        </w:rPr>
        <w:t>§ </w:t>
      </w:r>
      <w:r w:rsidR="00AB0866" w:rsidRPr="009118AB">
        <w:rPr>
          <w:iCs/>
          <w:spacing w:val="-1"/>
        </w:rPr>
        <w:t>1</w:t>
      </w:r>
      <w:r w:rsidR="00D67EB8" w:rsidRPr="009118AB">
        <w:rPr>
          <w:iCs/>
          <w:spacing w:val="-1"/>
        </w:rPr>
        <w:t> - </w:t>
      </w:r>
      <w:r w:rsidR="00296F0C" w:rsidRPr="009118AB">
        <w:rPr>
          <w:iCs/>
          <w:spacing w:val="-1"/>
        </w:rPr>
        <w:t>[</w:t>
      </w:r>
      <w:r w:rsidR="00296F0C" w:rsidRPr="009118AB">
        <w:t xml:space="preserve">Unternehmen, in denen Schichtarbeit geleistet wird und die eine Schichtzulage zahlen oder zuerkennen und aufgrund von Artikel 270 Absatz 1 </w:t>
      </w:r>
      <w:r w:rsidR="00D67EB8" w:rsidRPr="009118AB">
        <w:t>Nr. </w:t>
      </w:r>
      <w:r w:rsidR="00296F0C" w:rsidRPr="009118AB">
        <w:t xml:space="preserve">1 Schuldner des Berufssteuervorabzugs auf diese Zulage sind, sind davon befreit, der Staatskasse einen Berufssteuervorabzugbetrag zuzuführen, der 22,8 Prozent der Gesamtheit der steuerpflichtigen </w:t>
      </w:r>
      <w:r w:rsidR="00296F0C" w:rsidRPr="009118AB">
        <w:lastRenderedPageBreak/>
        <w:t>Entlohnungen, Schichtzulagen einbegriffen, aller von vorliegendem Paragraphen betroffenen Arbeitnehmer entspricht, unter der Bedingung, dass sie die Gesamtheit des vorerwähnten Vorabzugs auf diese Entlohnungen und Zulagen einbehalten.</w:t>
      </w:r>
    </w:p>
    <w:p w14:paraId="67929083" w14:textId="77777777" w:rsidR="00296F0C" w:rsidRPr="009118AB" w:rsidRDefault="00296F0C" w:rsidP="00296F0C">
      <w:pPr>
        <w:jc w:val="both"/>
      </w:pPr>
    </w:p>
    <w:p w14:paraId="7CBECD86" w14:textId="77777777" w:rsidR="00296F0C" w:rsidRPr="009118AB" w:rsidRDefault="00296F0C" w:rsidP="00296F0C">
      <w:pPr>
        <w:ind w:firstLine="708"/>
        <w:jc w:val="both"/>
      </w:pPr>
      <w:r w:rsidRPr="009118AB">
        <w:t>Für die Anwendung von Absatz 1 versteht man unter Unternehmen, in denen Schichtarbeit geleistet wird, Unternehmen, in denen die Arbeit in mindestens zwei Schichten mit mindestens zwei Arbeitnehmern geleistet wird, die sowohl in Bezug auf Inhalt als auch auf Umfang die gleiche Arbeit leisten und sich im Laufe des Tages ablösen, ohne dass es eine Unterbrechung zwischen den aufeinander folgenden Schichten gibt, ohne dass die Überschneidung mehr als ein Viertel ihrer täglichen Arbeit beträgt und wobei alle Arbeitnehmer, die Schichtarbeit leisten, eine Schichtzulage erhalten; die Arbeit wird geleistet:</w:t>
      </w:r>
    </w:p>
    <w:p w14:paraId="3EDF8903" w14:textId="77777777" w:rsidR="00296F0C" w:rsidRPr="009118AB" w:rsidRDefault="00296F0C" w:rsidP="00296F0C">
      <w:pPr>
        <w:jc w:val="both"/>
      </w:pPr>
    </w:p>
    <w:p w14:paraId="20981155" w14:textId="77777777" w:rsidR="00296F0C" w:rsidRPr="009118AB" w:rsidRDefault="00296F0C" w:rsidP="00296F0C">
      <w:pPr>
        <w:ind w:firstLine="708"/>
        <w:jc w:val="both"/>
      </w:pPr>
      <w:r w:rsidRPr="009118AB">
        <w:rPr>
          <w:i/>
          <w:iCs/>
        </w:rPr>
        <w:t>a)</w:t>
      </w:r>
      <w:r w:rsidRPr="009118AB">
        <w:t> entweder von Arbeitnehmern der Kategorie 1 erwähnt in Artikel 330 des Programmgesetzes (I) vom 24. Dezember 2002</w:t>
      </w:r>
    </w:p>
    <w:p w14:paraId="04DDAA2C" w14:textId="77777777" w:rsidR="00296F0C" w:rsidRPr="009118AB" w:rsidRDefault="00296F0C" w:rsidP="00296F0C">
      <w:pPr>
        <w:jc w:val="both"/>
      </w:pPr>
    </w:p>
    <w:p w14:paraId="46D6079E" w14:textId="77777777" w:rsidR="00296F0C" w:rsidRPr="009118AB" w:rsidRDefault="00296F0C" w:rsidP="00296F0C">
      <w:pPr>
        <w:ind w:firstLine="708"/>
        <w:jc w:val="both"/>
      </w:pPr>
      <w:r w:rsidRPr="009118AB">
        <w:rPr>
          <w:i/>
          <w:iCs/>
        </w:rPr>
        <w:t>b)</w:t>
      </w:r>
      <w:r w:rsidRPr="009118AB">
        <w:t> oder von statutarisch angestellten Arbeitnehmern bei folgenden autonomen öffentlichen Unternehmen: der öffentlich-rechtlichen Aktiengesellschaft Proximus und der öffentlich-rechtlichen Aktiengesellschaft bpost</w:t>
      </w:r>
    </w:p>
    <w:p w14:paraId="1BEF03A1" w14:textId="77777777" w:rsidR="00296F0C" w:rsidRPr="009118AB" w:rsidRDefault="00296F0C" w:rsidP="00296F0C">
      <w:pPr>
        <w:jc w:val="both"/>
      </w:pPr>
    </w:p>
    <w:p w14:paraId="3B6AF90D" w14:textId="77777777" w:rsidR="00296F0C" w:rsidRPr="009118AB" w:rsidRDefault="00296F0C" w:rsidP="00296F0C">
      <w:pPr>
        <w:ind w:firstLine="708"/>
        <w:jc w:val="both"/>
      </w:pPr>
      <w:r w:rsidRPr="009118AB">
        <w:rPr>
          <w:i/>
          <w:iCs/>
        </w:rPr>
        <w:t>c)</w:t>
      </w:r>
      <w:r w:rsidRPr="009118AB">
        <w:t> oder von Arbeitnehmern bei der öffentlich-rechtlichen Aktiengesellschaft HR Rail mit Ausnahme der Arbeitnehmer, die sie der öffentlich-rechtlichen Aktiengesellschaft NGBE und der öffentlich-rechtlichen Aktiengesellschaft Infrabel im Rahmen deren Tätigkeiten als öffentlicher Dienst zur Verfügung stellt.</w:t>
      </w:r>
    </w:p>
    <w:p w14:paraId="11E13F18" w14:textId="77777777" w:rsidR="00296F0C" w:rsidRPr="009118AB" w:rsidRDefault="00296F0C" w:rsidP="00296F0C">
      <w:pPr>
        <w:jc w:val="both"/>
      </w:pPr>
    </w:p>
    <w:p w14:paraId="093E2741" w14:textId="77777777" w:rsidR="00296F0C" w:rsidRPr="009118AB" w:rsidRDefault="00296F0C" w:rsidP="00296F0C">
      <w:pPr>
        <w:ind w:firstLine="708"/>
        <w:jc w:val="both"/>
      </w:pPr>
      <w:r w:rsidRPr="009118AB">
        <w:t>Für die Anwendung von Absatz 2 wird eine Unterbrechung zwischen den aufeinander folgenden Schichten, die fünfzehn Minuten oder weniger dauert, nicht berücksichtigt.</w:t>
      </w:r>
    </w:p>
    <w:p w14:paraId="3074B08C" w14:textId="77777777" w:rsidR="00296F0C" w:rsidRPr="009118AB" w:rsidRDefault="00296F0C" w:rsidP="00296F0C">
      <w:pPr>
        <w:jc w:val="both"/>
      </w:pPr>
    </w:p>
    <w:p w14:paraId="07A5ACBA" w14:textId="3D7AFDE3" w:rsidR="00296F0C" w:rsidRPr="009118AB" w:rsidRDefault="00296F0C" w:rsidP="00296F0C">
      <w:pPr>
        <w:ind w:firstLine="708"/>
        <w:jc w:val="both"/>
      </w:pPr>
      <w:r w:rsidRPr="009118AB">
        <w:t xml:space="preserve">In Absatz 1 erwähnte steuerpflichtige Entlohnungen, Schichtzulagen einbegriffen, sind die steuerpflichtigen Entlohnungen der Arbeitnehmer, die gemäß Artikel 31 Absatz 2 </w:t>
      </w:r>
      <w:r w:rsidR="00D67EB8" w:rsidRPr="009118AB">
        <w:t>Nr. </w:t>
      </w:r>
      <w:r w:rsidRPr="009118AB">
        <w:t>1 und 2 festgelegt werden, ohne doppeltes Urlaubsgeld, Jahresendprämie und ausstehende Entlohnungen.</w:t>
      </w:r>
    </w:p>
    <w:p w14:paraId="79E00215" w14:textId="77777777" w:rsidR="00296F0C" w:rsidRPr="009118AB" w:rsidRDefault="00296F0C" w:rsidP="00296F0C">
      <w:pPr>
        <w:jc w:val="both"/>
      </w:pPr>
    </w:p>
    <w:p w14:paraId="21BCC768" w14:textId="77777777" w:rsidR="00296F0C" w:rsidRPr="009118AB" w:rsidRDefault="00296F0C" w:rsidP="00296F0C">
      <w:pPr>
        <w:ind w:firstLine="708"/>
        <w:jc w:val="both"/>
      </w:pPr>
      <w:r w:rsidRPr="009118AB">
        <w:t>Die in vorliegendem Paragraphen erwähnte Befreiung von der Zahlung des Berufssteuervorabzugs wird nur bewilligt, sofern es sich um Entlohnungen für Arbeitnehmer handelt, die gemäß der Arbeitsregelung, der sie unterliegen, in dem Monat, für den der Vorteil beantragt wird, während mindestens eines Drittels ihrer Arbeitszeit Schichtarbeit verrichten. Die Zeiträume der Aussetzung der Erfüllung des Arbeitsvertrags ohne Lohnfortzahlung werden nicht berücksichtigt. Für die Anwendung dieser Norm enthält:</w:t>
      </w:r>
    </w:p>
    <w:p w14:paraId="623AAA49" w14:textId="77777777" w:rsidR="00296F0C" w:rsidRPr="009118AB" w:rsidRDefault="00296F0C" w:rsidP="00296F0C">
      <w:pPr>
        <w:jc w:val="both"/>
      </w:pPr>
    </w:p>
    <w:p w14:paraId="7FA3939F" w14:textId="4DC4C373" w:rsidR="00296F0C" w:rsidRPr="009118AB" w:rsidRDefault="00296F0C" w:rsidP="00296F0C">
      <w:pPr>
        <w:ind w:firstLine="708"/>
        <w:jc w:val="both"/>
      </w:pPr>
      <w:r w:rsidRPr="009118AB">
        <w:t>- der Zähler: Anzahl tatsächlich geleisteter Arbeitsstunden in Schichtarbeit, für die der Arbeit</w:t>
      </w:r>
      <w:r w:rsidR="00C6326D" w:rsidRPr="009118AB">
        <w:softHyphen/>
      </w:r>
      <w:r w:rsidRPr="009118AB">
        <w:t>nehmer auch eine Schichtzulage erhalten hat, sowie Stunden, für die die Erfüllung des Arbeits</w:t>
      </w:r>
      <w:r w:rsidR="00C6326D" w:rsidRPr="009118AB">
        <w:softHyphen/>
      </w:r>
      <w:r w:rsidRPr="009118AB">
        <w:t>vertrags ausgesetzt worden ist und der Lohn durch den Arbeitgeber fortgezahlt worden ist, wenn nachgewiesen werden kann, dass der betreffende Arbeitnehmer gemäß seiner Arbeits</w:t>
      </w:r>
      <w:r w:rsidR="00C6326D" w:rsidRPr="009118AB">
        <w:softHyphen/>
      </w:r>
      <w:r w:rsidRPr="009118AB">
        <w:t>regelung in Schichtarbeit gearbeitet hätte und hierfür auch eine Schichtzulage erhalten hätte,</w:t>
      </w:r>
    </w:p>
    <w:p w14:paraId="41634A8D" w14:textId="77777777" w:rsidR="00296F0C" w:rsidRPr="009118AB" w:rsidRDefault="00296F0C" w:rsidP="00296F0C">
      <w:pPr>
        <w:jc w:val="both"/>
      </w:pPr>
    </w:p>
    <w:p w14:paraId="192FCC95" w14:textId="77777777" w:rsidR="00296F0C" w:rsidRPr="009118AB" w:rsidRDefault="00296F0C" w:rsidP="00296F0C">
      <w:pPr>
        <w:ind w:firstLine="708"/>
        <w:jc w:val="both"/>
      </w:pPr>
      <w:r w:rsidRPr="009118AB">
        <w:t>- der Nenner: Gesamtanzahl tatsächlich geleisteter Arbeitsstunden sowie Gesamtanzahl Stunden, für die die Erfüllung des Arbeitsvertrags ausgesetzt worden ist, der Lohn jedoch fortgezahlt worden ist.</w:t>
      </w:r>
    </w:p>
    <w:p w14:paraId="59C81CEF" w14:textId="77777777" w:rsidR="00296F0C" w:rsidRPr="009118AB" w:rsidRDefault="00296F0C" w:rsidP="00296F0C">
      <w:pPr>
        <w:jc w:val="both"/>
      </w:pPr>
    </w:p>
    <w:p w14:paraId="6D0AEE7D" w14:textId="641E89D9" w:rsidR="00296F0C" w:rsidRPr="009118AB" w:rsidRDefault="00296F0C" w:rsidP="00296F0C">
      <w:pPr>
        <w:ind w:firstLine="708"/>
        <w:jc w:val="both"/>
        <w:rPr>
          <w:spacing w:val="-2"/>
        </w:rPr>
      </w:pPr>
      <w:r w:rsidRPr="009118AB">
        <w:rPr>
          <w:spacing w:val="-2"/>
        </w:rPr>
        <w:lastRenderedPageBreak/>
        <w:t xml:space="preserve">Die in vorliegendem Paragraphen erwähnte Zahlungsbefreiung kann nicht gewährt werden, wenn eine in </w:t>
      </w:r>
      <w:r w:rsidR="00D67EB8" w:rsidRPr="009118AB">
        <w:rPr>
          <w:spacing w:val="-2"/>
        </w:rPr>
        <w:t>§ </w:t>
      </w:r>
      <w:r w:rsidRPr="009118AB">
        <w:rPr>
          <w:spacing w:val="-2"/>
        </w:rPr>
        <w:t>2, 4 oder 5 erwähnte Befreiung auf dieselbe Entlohnung angewandt wird.</w:t>
      </w:r>
    </w:p>
    <w:p w14:paraId="576C204E" w14:textId="77777777" w:rsidR="00296F0C" w:rsidRPr="009118AB" w:rsidRDefault="00296F0C" w:rsidP="00296F0C">
      <w:pPr>
        <w:jc w:val="both"/>
      </w:pPr>
    </w:p>
    <w:p w14:paraId="6A202394" w14:textId="77777777" w:rsidR="00296F0C" w:rsidRPr="009118AB" w:rsidRDefault="00296F0C" w:rsidP="00296F0C">
      <w:pPr>
        <w:ind w:firstLine="708"/>
        <w:jc w:val="both"/>
      </w:pPr>
      <w:r w:rsidRPr="009118AB">
        <w:t>Für die Anwendung des vorliegenden Paragraphen und des Paragraphen 3 versteht man unter Schichtzulage eine Zulage, die anlässlich der Ausübung von Schichtarbeit oder Nachtarbeit zuerkannt wird und die die Entlohnung, die einem Arbeitnehmer für eine in Schichtarbeit oder Nachtarbeit geleistete Stunde zuerkannt wird, um mindestens 2 Prozent erhöht. Eine Zulage, die ab dem 1. April 2024 gezahlt oder zuerkannt wird, kann darüber hinaus für die Anwendung des vorliegenden Paragraphen nur dann als Schichtzulage angesehen werden, wenn sie in einem KAA, in der Arbeitsordnung oder in einem Arbeitsvertrag zwischen dem Arbeitgeber und dem Arbeitnehmer festgelegt ist.</w:t>
      </w:r>
    </w:p>
    <w:p w14:paraId="6E01DD66" w14:textId="77777777" w:rsidR="00296F0C" w:rsidRPr="009118AB" w:rsidRDefault="00296F0C" w:rsidP="00296F0C">
      <w:pPr>
        <w:jc w:val="both"/>
      </w:pPr>
    </w:p>
    <w:p w14:paraId="58977CD4" w14:textId="35475ADF" w:rsidR="00296F0C" w:rsidRPr="009118AB" w:rsidRDefault="00296F0C" w:rsidP="00296F0C">
      <w:pPr>
        <w:ind w:firstLine="708"/>
        <w:jc w:val="both"/>
      </w:pPr>
      <w:r w:rsidRPr="009118AB">
        <w:t xml:space="preserve">Für Leiharbeit zugelassene Unternehmen, die Leiharbeitnehmer zur Verfügung von Unternehmen stellen, die in vorliegendem Paragraphen erwähnt sind und diese Leiharbeitnehmer in einem Schichtarbeitssystem in der Funktion eines Arbeitnehmers der Kategorie 1 beschäftigen, sind in Bezug auf die Befreiung von der Zahlung des Berufssteuervorabzugs auf steuerpflichtige Entlohnungen dieser Leiharbeitnehmer, in denen Schichtzulagen einbegriffen sind, diesen Unternehmen gleichgesetzt, sofern sie den Nachweis erbringen können, dass sie alle Bedingungen für die Anwendung des vorliegenden Artikels erfüllen. Die in vorliegendem Absatz erwähnte Gleichsetzung der für Leiharbeit zugelassenen Unternehmen wird für steuerpflichtige Entlohnungen von Leiharbeitnehmern, die ab dem 1. Oktober 2022 gezahlt oder zuerkannt werden, darüber hinaus nur gewährt, </w:t>
      </w:r>
      <w:r w:rsidR="00E40DE2" w:rsidRPr="009118AB">
        <w:t>[sofern die für Leiharbeit zugelassenen Unternehmen auf die vom König bestimmte Weise die Zustimmung des Unternehmens]</w:t>
      </w:r>
      <w:r w:rsidRPr="009118AB">
        <w:t>, in dem die Leiharbeitnehmer beschäftigt sind, zur Anwendung der in vorliegendem Paragraphen erwähnten Befreiung erhalten haben.</w:t>
      </w:r>
    </w:p>
    <w:p w14:paraId="469CA4B6" w14:textId="77777777" w:rsidR="00296F0C" w:rsidRPr="009118AB" w:rsidRDefault="00296F0C" w:rsidP="00296F0C">
      <w:pPr>
        <w:jc w:val="both"/>
      </w:pPr>
    </w:p>
    <w:p w14:paraId="6071EAFE" w14:textId="0267AFD7" w:rsidR="00AB0866" w:rsidRPr="009118AB" w:rsidRDefault="00296F0C" w:rsidP="00296F0C">
      <w:pPr>
        <w:autoSpaceDE w:val="0"/>
        <w:autoSpaceDN w:val="0"/>
        <w:adjustRightInd w:val="0"/>
        <w:ind w:firstLine="709"/>
        <w:jc w:val="both"/>
        <w:rPr>
          <w:iCs/>
          <w:spacing w:val="-1"/>
        </w:rPr>
      </w:pPr>
      <w:r w:rsidRPr="009118AB">
        <w:t>Um die in vorliegendem Paragraphen erwähnte Befreiung von der Zahlung des Berufssteuervorabzugs zu erhalten, muss der Arbeitgeber bei seiner Erklärung zum Berufssteuervorabzug den Nachweis erbringen, dass die Arbeitnehmer, für die die Befreiung beantragt wird, in dem Zeitraum, auf den die Erklärung zum Berufssteuervorabzug sich bezieht, Schichtarbeit verrichtet haben und für diese Leistungen Schichtzulagen erhalten haben. Der König bestimmt die Modalitäten der Erbringung dieses Nachweises.</w:t>
      </w:r>
      <w:r w:rsidRPr="009118AB">
        <w:rPr>
          <w:iCs/>
          <w:spacing w:val="-1"/>
        </w:rPr>
        <w:t>]</w:t>
      </w:r>
    </w:p>
    <w:p w14:paraId="0D510046" w14:textId="77777777" w:rsidR="00AB0866" w:rsidRDefault="00AB0866" w:rsidP="00AB0866">
      <w:pPr>
        <w:autoSpaceDE w:val="0"/>
        <w:autoSpaceDN w:val="0"/>
        <w:adjustRightInd w:val="0"/>
        <w:jc w:val="both"/>
        <w:rPr>
          <w:iCs/>
          <w:spacing w:val="-1"/>
        </w:rPr>
      </w:pPr>
    </w:p>
    <w:p w14:paraId="12ABC9A4" w14:textId="03277AA4" w:rsidR="001249F3" w:rsidRPr="00700308" w:rsidRDefault="001249F3" w:rsidP="001249F3">
      <w:pPr>
        <w:ind w:firstLine="708"/>
        <w:jc w:val="both"/>
      </w:pPr>
      <w:r>
        <w:rPr>
          <w:iCs/>
          <w:spacing w:val="-1"/>
        </w:rPr>
        <w:tab/>
        <w:t>[</w:t>
      </w:r>
      <w:r w:rsidRPr="00700308">
        <w:t>§ 1/1 - Unternehmen, in denen Schichtarbeit geleistet wird und die eine Schichtzulage zahlen oder zuerkennen und aufgrund von Artikel 270 Absatz 1 Nr. 1 Schuldner des Berufssteuervorabzugs auf diese Zulage sind, sind davon befreit, der Staatskasse den in Absatz 4 erwähnten Betrag des Berufssteuervorabzugs zuzuführen, unter der Bedingung, dass sie die Gesamtheit des vorerwähnten Vorabzugs auf diese Entlohnungen und Zulagen einbehalten.</w:t>
      </w:r>
    </w:p>
    <w:p w14:paraId="63636621" w14:textId="77777777" w:rsidR="001249F3" w:rsidRPr="00700308" w:rsidRDefault="001249F3" w:rsidP="001249F3">
      <w:pPr>
        <w:jc w:val="both"/>
      </w:pPr>
    </w:p>
    <w:p w14:paraId="7751D9C0" w14:textId="77777777" w:rsidR="001249F3" w:rsidRPr="00700308" w:rsidRDefault="001249F3" w:rsidP="001249F3">
      <w:pPr>
        <w:ind w:firstLine="708"/>
        <w:jc w:val="both"/>
      </w:pPr>
      <w:r w:rsidRPr="00700308">
        <w:t>Für die Anwendung von Absatz 1 versteht man unter Unternehmen, in denen Schichtarbeit geleistet wird, Unternehmen, in denen die Arbeit in mindestens zwei Schichten mit mindestens zwei Arbeitnehmern geleistet wird, die in Bezug auf den Inhalt die gleiche Arbeit leisten und sich im Laufe des Tages ablösen, ohne dass es eine Unterbrechung zwischen den aufeinander folgenden Schichten gibt, ohne dass die Überschneidung mehr als ein Viertel ihrer täglichen Arbeit beträgt und wobei alle Arbeitnehmer, die Schichtarbeit leisten, eine Schichtzulage erhalten; die Arbeit wird geleistet:</w:t>
      </w:r>
    </w:p>
    <w:p w14:paraId="1A1B8BD2" w14:textId="77777777" w:rsidR="001249F3" w:rsidRPr="00700308" w:rsidRDefault="001249F3" w:rsidP="001249F3">
      <w:pPr>
        <w:jc w:val="both"/>
      </w:pPr>
    </w:p>
    <w:p w14:paraId="2DCFAE83" w14:textId="77777777" w:rsidR="001249F3" w:rsidRPr="00700308" w:rsidRDefault="001249F3" w:rsidP="001249F3">
      <w:pPr>
        <w:ind w:firstLine="708"/>
        <w:jc w:val="both"/>
      </w:pPr>
      <w:r w:rsidRPr="00700308">
        <w:rPr>
          <w:i/>
          <w:iCs/>
        </w:rPr>
        <w:t>a)</w:t>
      </w:r>
      <w:r w:rsidRPr="00700308">
        <w:t> entweder von Arbeitnehmern der Kategorie 1 erwähnt in Artikel 330 des Programmgesetzes (I) vom 24. Dezember 2002</w:t>
      </w:r>
    </w:p>
    <w:p w14:paraId="1366AC69" w14:textId="77777777" w:rsidR="001249F3" w:rsidRPr="00700308" w:rsidRDefault="001249F3" w:rsidP="001249F3">
      <w:pPr>
        <w:jc w:val="both"/>
      </w:pPr>
    </w:p>
    <w:p w14:paraId="64F1034C" w14:textId="77777777" w:rsidR="001249F3" w:rsidRPr="00700308" w:rsidRDefault="001249F3" w:rsidP="001249F3">
      <w:pPr>
        <w:ind w:firstLine="708"/>
        <w:jc w:val="both"/>
      </w:pPr>
      <w:r w:rsidRPr="00700308">
        <w:rPr>
          <w:i/>
          <w:iCs/>
        </w:rPr>
        <w:t>b)</w:t>
      </w:r>
      <w:r w:rsidRPr="00700308">
        <w:t> oder von statutarisch angestellten Arbeitnehmern bei folgenden autonomen öffentlichen Unternehmen: der öffentlich-rechtlichen Aktiengesellschaft Proximus und der öffentlich-rechtlichen Aktiengesellschaft bpost</w:t>
      </w:r>
    </w:p>
    <w:p w14:paraId="0D185B92" w14:textId="77777777" w:rsidR="001249F3" w:rsidRPr="00700308" w:rsidRDefault="001249F3" w:rsidP="001249F3">
      <w:pPr>
        <w:jc w:val="both"/>
      </w:pPr>
    </w:p>
    <w:p w14:paraId="7A7DA529" w14:textId="77777777" w:rsidR="001249F3" w:rsidRPr="00700308" w:rsidRDefault="001249F3" w:rsidP="001249F3">
      <w:pPr>
        <w:ind w:firstLine="708"/>
        <w:jc w:val="both"/>
      </w:pPr>
      <w:r w:rsidRPr="00700308">
        <w:rPr>
          <w:i/>
          <w:iCs/>
        </w:rPr>
        <w:t>c)</w:t>
      </w:r>
      <w:r w:rsidRPr="00700308">
        <w:t> oder von Arbeitnehmern bei der öffentlich-rechtlichen Aktiengesellschaft HR Rail mit Ausnahme der Arbeitnehmer, die sie der öffentlich-rechtlichen Aktiengesellschaft NGBE und der öffentlich-rechtlichen Aktiengesellschaft Infrabel im Rahmen deren Tätigkeiten als öffentlicher Dienst zur Verfügung stellt.</w:t>
      </w:r>
    </w:p>
    <w:p w14:paraId="41360DC8" w14:textId="77777777" w:rsidR="001249F3" w:rsidRPr="00700308" w:rsidRDefault="001249F3" w:rsidP="001249F3">
      <w:pPr>
        <w:jc w:val="both"/>
      </w:pPr>
    </w:p>
    <w:p w14:paraId="51BB7D1C" w14:textId="77777777" w:rsidR="001249F3" w:rsidRPr="00700308" w:rsidRDefault="001249F3" w:rsidP="001249F3">
      <w:pPr>
        <w:ind w:firstLine="708"/>
        <w:jc w:val="both"/>
      </w:pPr>
      <w:r w:rsidRPr="00700308">
        <w:t>Für die Anwendung von Absatz 2 wird eine Unterbrechung zwischen den aufeinander folgenden Schichten, die fünfzehn Minuten oder weniger dauert, nicht berücksichtigt.</w:t>
      </w:r>
    </w:p>
    <w:p w14:paraId="20BB71A4" w14:textId="77777777" w:rsidR="001249F3" w:rsidRPr="00700308" w:rsidRDefault="001249F3" w:rsidP="001249F3">
      <w:pPr>
        <w:jc w:val="both"/>
      </w:pPr>
    </w:p>
    <w:p w14:paraId="52036B95" w14:textId="77777777" w:rsidR="001249F3" w:rsidRPr="00700308" w:rsidRDefault="001249F3" w:rsidP="001249F3">
      <w:pPr>
        <w:ind w:firstLine="708"/>
        <w:jc w:val="both"/>
      </w:pPr>
      <w:r w:rsidRPr="00700308">
        <w:t>Der in Anwendung des vorliegenden Paragraphen befreite Betrag des Berufssteuervorabzugs wird wie folgt bestimmt:</w:t>
      </w:r>
    </w:p>
    <w:p w14:paraId="68430626" w14:textId="77777777" w:rsidR="001249F3" w:rsidRPr="00700308" w:rsidRDefault="001249F3" w:rsidP="001249F3">
      <w:pPr>
        <w:jc w:val="both"/>
      </w:pPr>
    </w:p>
    <w:p w14:paraId="6E4FC388" w14:textId="77777777" w:rsidR="001249F3" w:rsidRPr="00700308" w:rsidRDefault="001249F3" w:rsidP="001249F3">
      <w:pPr>
        <w:ind w:firstLine="708"/>
        <w:jc w:val="both"/>
      </w:pPr>
      <w:r w:rsidRPr="00700308">
        <w:t>1. Für den Monat, für den der Vorteil beantragt wird, wird ein Betrag festgelegt, der 22,8 Prozent der Gesamtheit der steuerpflichtigen Entlohnungen, die in Absatz 1 erwähnten Schichtzulagen einbegriffen, aller von vorliegendem Paragraphen betroffenen Arbeitnehmer entspricht.</w:t>
      </w:r>
    </w:p>
    <w:p w14:paraId="050D2F8C" w14:textId="77777777" w:rsidR="001249F3" w:rsidRPr="00700308" w:rsidRDefault="001249F3" w:rsidP="001249F3">
      <w:pPr>
        <w:jc w:val="both"/>
      </w:pPr>
    </w:p>
    <w:p w14:paraId="65E5BA24" w14:textId="77777777" w:rsidR="001249F3" w:rsidRPr="00700308" w:rsidRDefault="001249F3" w:rsidP="001249F3">
      <w:pPr>
        <w:ind w:firstLine="708"/>
        <w:jc w:val="both"/>
      </w:pPr>
      <w:r w:rsidRPr="00700308">
        <w:t>2. Dann wird für jeden Arbeitstag, an dem in diesem Monat Schichtarbeit geleistet wird, einerseits der Unterschied im Arbeitsumfang zwischen den aufeinander folgenden Schichten im Vergleich zur Schicht mit dem geringsten Arbeitsumfang und andererseits der Gesamtumfang der Arbeit der aufeinander folgenden Schichten festgelegt.</w:t>
      </w:r>
    </w:p>
    <w:p w14:paraId="3922DE54" w14:textId="77777777" w:rsidR="001249F3" w:rsidRPr="00700308" w:rsidRDefault="001249F3" w:rsidP="001249F3">
      <w:pPr>
        <w:jc w:val="both"/>
      </w:pPr>
    </w:p>
    <w:p w14:paraId="09B821E6" w14:textId="77777777" w:rsidR="001249F3" w:rsidRPr="00700308" w:rsidRDefault="001249F3" w:rsidP="001249F3">
      <w:pPr>
        <w:ind w:firstLine="708"/>
        <w:jc w:val="both"/>
      </w:pPr>
      <w:r w:rsidRPr="00700308">
        <w:t>3. Anschließend wird die Abweichung im Arbeitsumfang, die sich auf diesen Monat bezieht, durch einen Bruch festgelegt und als Prozentsatz ausgedrückt, wobei der Zähler der Summe des Unterschieds im Arbeitsumfang der aufeinander folgenden Schichten entspricht, der für jeden Arbeitstag dieses Monats festgelegt wird, und der Nenner der Summe des Gesamtumfangs der Arbeit der aufeinander folgenden Schichten entspricht, der für jeden Arbeitstag dieses Monats festgelegt wird.</w:t>
      </w:r>
    </w:p>
    <w:p w14:paraId="77F91ED0" w14:textId="77777777" w:rsidR="001249F3" w:rsidRPr="00700308" w:rsidRDefault="001249F3" w:rsidP="001249F3">
      <w:pPr>
        <w:jc w:val="both"/>
      </w:pPr>
    </w:p>
    <w:p w14:paraId="2B1FFC7D" w14:textId="77777777" w:rsidR="001249F3" w:rsidRPr="00700308" w:rsidRDefault="001249F3" w:rsidP="001249F3">
      <w:pPr>
        <w:ind w:firstLine="708"/>
        <w:jc w:val="both"/>
      </w:pPr>
      <w:r w:rsidRPr="00700308">
        <w:t>4. Schließlich ergibt sich der in Anwendung des vorliegenden Paragraphen befreite Betrag des Berufssteuervorabzugs, indem der in Nr. 1 festgelegte Betrag im Verhältnis zu dem in Nr. 3 festgelegten Prozentsatz der Abweichung im Arbeitsumfang verringert wird.</w:t>
      </w:r>
    </w:p>
    <w:p w14:paraId="052602AF" w14:textId="77777777" w:rsidR="001249F3" w:rsidRPr="00700308" w:rsidRDefault="001249F3" w:rsidP="001249F3">
      <w:pPr>
        <w:jc w:val="both"/>
      </w:pPr>
    </w:p>
    <w:p w14:paraId="1E419AB0" w14:textId="77777777" w:rsidR="001249F3" w:rsidRPr="00700308" w:rsidRDefault="001249F3" w:rsidP="001249F3">
      <w:pPr>
        <w:ind w:firstLine="708"/>
        <w:jc w:val="both"/>
      </w:pPr>
      <w:r w:rsidRPr="00700308">
        <w:t>In Absatz 4 erwähnte steuerpflichtige Entlohnungen, Schichtzulagen einbegriffen, sind die steuerpflichtigen Entlohnungen der Arbeitnehmer, die gemäß Artikel 31 Absatz 2 Nr. 1 und 2 festgelegt werden, ohne doppeltes Urlaubsgeld, Jahresendprämie und ausstehende Entlohnungen.</w:t>
      </w:r>
    </w:p>
    <w:p w14:paraId="55D824BB" w14:textId="77777777" w:rsidR="001249F3" w:rsidRPr="00700308" w:rsidRDefault="001249F3" w:rsidP="001249F3">
      <w:pPr>
        <w:jc w:val="both"/>
      </w:pPr>
    </w:p>
    <w:p w14:paraId="60060F1F" w14:textId="77777777" w:rsidR="001249F3" w:rsidRPr="00700308" w:rsidRDefault="001249F3" w:rsidP="001249F3">
      <w:pPr>
        <w:ind w:firstLine="708"/>
        <w:jc w:val="both"/>
      </w:pPr>
      <w:r w:rsidRPr="00700308">
        <w:t>Die in vorliegendem Paragraphen erwähnte Befreiung von der Zahlung des Berufssteuervorabzugs wird nur bewilligt, sofern es sich um Entlohnungen für Arbeitnehmer handelt, die gemäß der Arbeitsregelung, der sie unterliegen, in dem Monat, für den der Vorteil beantragt wird, während mindestens eines Drittels ihrer Arbeitszeit Schichtarbeit verrichten. Die Zeiträume der Aussetzung der Erfüllung des Arbeitsvertrags ohne Lohnfortzahlung werden nicht berücksichtigt. Für die Anwendung dieser Norm enthält:</w:t>
      </w:r>
    </w:p>
    <w:p w14:paraId="637EF565" w14:textId="77777777" w:rsidR="001249F3" w:rsidRPr="00700308" w:rsidRDefault="001249F3" w:rsidP="001249F3">
      <w:pPr>
        <w:jc w:val="both"/>
      </w:pPr>
    </w:p>
    <w:p w14:paraId="18991B6E" w14:textId="77777777" w:rsidR="001249F3" w:rsidRPr="00700308" w:rsidRDefault="001249F3" w:rsidP="001249F3">
      <w:pPr>
        <w:ind w:firstLine="708"/>
        <w:jc w:val="both"/>
      </w:pPr>
      <w:r w:rsidRPr="00700308">
        <w:lastRenderedPageBreak/>
        <w:t>- der Zähler: Anzahl tatsächlich geleisteter Arbeitsstunden in Schichtarbeit, für die der Arbeitnehmer auch eine Schichtzulage erhalten hat, sowie Stunden, für die die Erfüllung des Arbeitsvertrags ausgesetzt worden ist und der Lohn durch den Arbeitgeber fortgezahlt worden ist, wenn nachgewiesen werden kann, dass der betreffende Arbeitnehmer gemäß seiner Arbeitsregelung in Schichtarbeit gearbeitet hätte und hierfür auch eine Schichtzulage erhalten hätte,</w:t>
      </w:r>
    </w:p>
    <w:p w14:paraId="44BE087A" w14:textId="77777777" w:rsidR="001249F3" w:rsidRPr="00700308" w:rsidRDefault="001249F3" w:rsidP="001249F3">
      <w:pPr>
        <w:jc w:val="both"/>
      </w:pPr>
    </w:p>
    <w:p w14:paraId="49580F08" w14:textId="77777777" w:rsidR="001249F3" w:rsidRPr="00700308" w:rsidRDefault="001249F3" w:rsidP="001249F3">
      <w:pPr>
        <w:ind w:firstLine="708"/>
        <w:jc w:val="both"/>
      </w:pPr>
      <w:r w:rsidRPr="00700308">
        <w:t>- der Nenner: Gesamtanzahl tatsächlich geleisteter Arbeitsstunden sowie Gesamtanzahl Stunden, für die die Erfüllung des Arbeitsvertrags ausgesetzt worden ist, der Lohn jedoch fortgezahlt worden ist.</w:t>
      </w:r>
    </w:p>
    <w:p w14:paraId="52457029" w14:textId="77777777" w:rsidR="001249F3" w:rsidRPr="00700308" w:rsidRDefault="001249F3" w:rsidP="001249F3">
      <w:pPr>
        <w:jc w:val="both"/>
      </w:pPr>
    </w:p>
    <w:p w14:paraId="4CECAEF5" w14:textId="77777777" w:rsidR="001249F3" w:rsidRPr="00700308" w:rsidRDefault="001249F3" w:rsidP="001249F3">
      <w:pPr>
        <w:ind w:firstLine="708"/>
        <w:jc w:val="both"/>
      </w:pPr>
      <w:r w:rsidRPr="00700308">
        <w:t>Die in vorliegendem Paragraphen erwähnte Zahlungsbefreiung kann nicht gewährt werden, wenn eine in § 1, 2, 3, 4 oder 5 erwähnte Befreiung auf dieselbe Entlohnung angewandt wird.</w:t>
      </w:r>
    </w:p>
    <w:p w14:paraId="2F00D395" w14:textId="77777777" w:rsidR="001249F3" w:rsidRPr="00700308" w:rsidRDefault="001249F3" w:rsidP="001249F3">
      <w:pPr>
        <w:jc w:val="both"/>
      </w:pPr>
    </w:p>
    <w:p w14:paraId="4DC1C828" w14:textId="77777777" w:rsidR="001249F3" w:rsidRPr="00700308" w:rsidRDefault="001249F3" w:rsidP="001249F3">
      <w:pPr>
        <w:ind w:firstLine="708"/>
        <w:jc w:val="both"/>
      </w:pPr>
      <w:r w:rsidRPr="00700308">
        <w:t>Für die Anwendung des vorliegenden Paragraphen versteht man unter Schichtzulage die in § 1 Absatz 7 erwähnte Zulage.</w:t>
      </w:r>
    </w:p>
    <w:p w14:paraId="1E2875E2" w14:textId="77777777" w:rsidR="001249F3" w:rsidRPr="00700308" w:rsidRDefault="001249F3" w:rsidP="001249F3">
      <w:pPr>
        <w:jc w:val="both"/>
      </w:pPr>
    </w:p>
    <w:p w14:paraId="113F204B" w14:textId="77777777" w:rsidR="001249F3" w:rsidRPr="00700308" w:rsidRDefault="001249F3" w:rsidP="001249F3">
      <w:pPr>
        <w:ind w:firstLine="708"/>
        <w:jc w:val="both"/>
      </w:pPr>
      <w:r w:rsidRPr="00700308">
        <w:t>Für Leiharbeit zugelassene Unternehmen, die Leiharbeitnehmer zur Verfügung von Unternehmen stellen, die in vorliegendem Paragraphen erwähnt sind und diese Leiharbeitnehmer in einem Schichtarbeitssystem in der Funktion eines Arbeitnehmers der Kategorie 1 beschäftigen, sind in Bezug auf die Befreiung von der Zahlung des Berufssteuervorabzugs auf steuerpflichtige Entlohnungen dieser Leiharbeitnehmer, in denen Schichtzulagen einbegriffen sind, diesen Unternehmen gleichgesetzt, sofern die in § 1 Absatz 8 erwähnten Bedingungen erfüllt sind.</w:t>
      </w:r>
    </w:p>
    <w:p w14:paraId="3DC691C5" w14:textId="77777777" w:rsidR="001249F3" w:rsidRPr="00700308" w:rsidRDefault="001249F3" w:rsidP="001249F3">
      <w:pPr>
        <w:jc w:val="both"/>
      </w:pPr>
    </w:p>
    <w:p w14:paraId="05D31912" w14:textId="77777777" w:rsidR="001249F3" w:rsidRPr="00700308" w:rsidRDefault="001249F3" w:rsidP="001249F3">
      <w:pPr>
        <w:ind w:firstLine="708"/>
        <w:jc w:val="both"/>
      </w:pPr>
      <w:r w:rsidRPr="00700308">
        <w:t>Um die in vorliegendem Paragraphen erwähnte Befreiung von der Zahlung des Berufssteuervorabzugs zu erhalten, muss der Arbeitgeber bei seiner Erklärung zum Berufssteuervorabzug den Nachweis erbringen, dass die Arbeitnehmer, für die die Befreiung beantragt wird, in dem Zeitraum, auf den die Erklärung zum Berufssteuervorabzug sich bezieht, Schichtarbeit verrichtet haben und für diese Leistungen Schichtzulagen erhalten haben. Der König bestimmt die Modalitäten der Erbringung dieses Nachweises.</w:t>
      </w:r>
    </w:p>
    <w:p w14:paraId="0E758D9A" w14:textId="77777777" w:rsidR="001249F3" w:rsidRPr="00700308" w:rsidRDefault="001249F3" w:rsidP="001249F3">
      <w:pPr>
        <w:jc w:val="both"/>
      </w:pPr>
    </w:p>
    <w:p w14:paraId="51264EE6" w14:textId="1C9888DF" w:rsidR="001249F3" w:rsidRDefault="001249F3" w:rsidP="001249F3">
      <w:pPr>
        <w:autoSpaceDE w:val="0"/>
        <w:autoSpaceDN w:val="0"/>
        <w:adjustRightInd w:val="0"/>
        <w:ind w:firstLine="708"/>
        <w:jc w:val="both"/>
      </w:pPr>
      <w:r w:rsidRPr="00700308">
        <w:t>Vorliegender Paragraph ist nur auf Entlohnungen anwendbar, die bis zum 31. Dezember 2026 gezahlt oder zuerkannt werden.</w:t>
      </w:r>
      <w:r>
        <w:t>]</w:t>
      </w:r>
    </w:p>
    <w:p w14:paraId="5EACCD7C" w14:textId="77777777" w:rsidR="001249F3" w:rsidRPr="009118AB" w:rsidRDefault="001249F3" w:rsidP="001249F3">
      <w:pPr>
        <w:autoSpaceDE w:val="0"/>
        <w:autoSpaceDN w:val="0"/>
        <w:adjustRightInd w:val="0"/>
        <w:jc w:val="both"/>
        <w:rPr>
          <w:iCs/>
          <w:spacing w:val="-1"/>
        </w:rPr>
      </w:pPr>
    </w:p>
    <w:p w14:paraId="0315DD37" w14:textId="3A7F5A95" w:rsidR="00296F0C" w:rsidRPr="009118AB" w:rsidRDefault="00D67EB8" w:rsidP="00296F0C">
      <w:pPr>
        <w:ind w:firstLine="708"/>
        <w:jc w:val="both"/>
      </w:pPr>
      <w:r w:rsidRPr="009118AB">
        <w:rPr>
          <w:iCs/>
          <w:spacing w:val="-1"/>
        </w:rPr>
        <w:t>§ </w:t>
      </w:r>
      <w:r w:rsidR="00AB0866" w:rsidRPr="009118AB">
        <w:rPr>
          <w:iCs/>
          <w:spacing w:val="-1"/>
        </w:rPr>
        <w:t>2</w:t>
      </w:r>
      <w:r w:rsidRPr="009118AB">
        <w:rPr>
          <w:iCs/>
          <w:spacing w:val="-1"/>
        </w:rPr>
        <w:t> - </w:t>
      </w:r>
      <w:r w:rsidR="00296F0C" w:rsidRPr="009118AB">
        <w:rPr>
          <w:iCs/>
          <w:spacing w:val="-1"/>
        </w:rPr>
        <w:t>[</w:t>
      </w:r>
      <w:r w:rsidR="00296F0C" w:rsidRPr="009118AB">
        <w:t xml:space="preserve">Unternehmen, in denen Nachtarbeit geleistet wird und die eine Nachtarbeitszulage zahlen oder zuerkennen und aufgrund von Artikel 270 Absatz 1 </w:t>
      </w:r>
      <w:r w:rsidRPr="009118AB">
        <w:t>Nr. </w:t>
      </w:r>
      <w:r w:rsidR="00296F0C" w:rsidRPr="009118AB">
        <w:t>1 Schuldner des Berufssteuervorabzugs auf diese Zulage sind, sind davon befreit, der Staatskasse einen Berufssteuervorabzugbetrag zuzuführen, der 22,8 Prozent der Gesamtheit der steuerpflichtigen Entlohnungen, Nachtarbeitszulagen einbegriffen, aller von vorliegendem Paragraphen betroffenen Arbeitnehmer entspricht, unter der Bedingung, dass sie die Gesamtheit des vorerwähnten Vorabzugs auf diese Entlohnungen und Zulagen einbehalten.</w:t>
      </w:r>
    </w:p>
    <w:p w14:paraId="78D44C23" w14:textId="77777777" w:rsidR="00296F0C" w:rsidRPr="009118AB" w:rsidRDefault="00296F0C" w:rsidP="00296F0C">
      <w:pPr>
        <w:jc w:val="both"/>
      </w:pPr>
    </w:p>
    <w:p w14:paraId="2DAC9914" w14:textId="77777777" w:rsidR="006D77A4" w:rsidRDefault="006D77A4">
      <w:r>
        <w:br w:type="page"/>
      </w:r>
    </w:p>
    <w:p w14:paraId="0379CDA9" w14:textId="52F8CBBB" w:rsidR="00296F0C" w:rsidRPr="009118AB" w:rsidRDefault="00296F0C" w:rsidP="00296F0C">
      <w:pPr>
        <w:ind w:firstLine="708"/>
        <w:jc w:val="both"/>
      </w:pPr>
      <w:r w:rsidRPr="009118AB">
        <w:lastRenderedPageBreak/>
        <w:t>Für die Anwendung von Absatz 1 versteht man unter Unternehmen, in denen Nachtarbeit geleistet wird, Unternehmen, in denen Arbeitnehmer gemäß der im Unternehmen anwendbaren Arbeitsregelung zwischen 20 Uhr und 6 Uhr Leistungen erbringen, ausschließlich der Arbeitnehmer, die nur zwischen 6 Uhr und 24 Uhr Leistungen erbringen, und der Arbeitnehmer, die gewöhnlich ab 5 Uhr zu arbeiten beginnen. Die hier erwähnten Arbeitnehmer sind:</w:t>
      </w:r>
    </w:p>
    <w:p w14:paraId="72D38902" w14:textId="77777777" w:rsidR="00296F0C" w:rsidRPr="009118AB" w:rsidRDefault="00296F0C" w:rsidP="00296F0C">
      <w:pPr>
        <w:jc w:val="both"/>
      </w:pPr>
    </w:p>
    <w:p w14:paraId="383C0FE8" w14:textId="77777777" w:rsidR="00296F0C" w:rsidRPr="009118AB" w:rsidRDefault="00296F0C" w:rsidP="00296F0C">
      <w:pPr>
        <w:ind w:firstLine="708"/>
        <w:jc w:val="both"/>
      </w:pPr>
      <w:r w:rsidRPr="009118AB">
        <w:rPr>
          <w:i/>
          <w:iCs/>
        </w:rPr>
        <w:t>a)</w:t>
      </w:r>
      <w:r w:rsidRPr="009118AB">
        <w:t> entweder Arbeitnehmer der Kategorie 1 erwähnt in Artikel 330 des Programmgesetzes (I) vom 24. Dezember 2002</w:t>
      </w:r>
    </w:p>
    <w:p w14:paraId="733B0C9F" w14:textId="77777777" w:rsidR="00296F0C" w:rsidRPr="009118AB" w:rsidRDefault="00296F0C" w:rsidP="00296F0C">
      <w:pPr>
        <w:jc w:val="both"/>
      </w:pPr>
    </w:p>
    <w:p w14:paraId="3B602BB2" w14:textId="77777777" w:rsidR="00296F0C" w:rsidRPr="009118AB" w:rsidRDefault="00296F0C" w:rsidP="00296F0C">
      <w:pPr>
        <w:ind w:firstLine="708"/>
        <w:jc w:val="both"/>
      </w:pPr>
      <w:r w:rsidRPr="009118AB">
        <w:rPr>
          <w:i/>
          <w:iCs/>
        </w:rPr>
        <w:t>b)</w:t>
      </w:r>
      <w:r w:rsidRPr="009118AB">
        <w:t> oder statutarisch angestellte Arbeitnehmer bei folgenden autonomen öffentlichen Unternehmen: der öffentlich-rechtlichen Aktiengesellschaft Proximus und der öffentlich-rechtlichen Aktiengesellschaft bpost</w:t>
      </w:r>
    </w:p>
    <w:p w14:paraId="73790FEC" w14:textId="77777777" w:rsidR="00296F0C" w:rsidRPr="009118AB" w:rsidRDefault="00296F0C" w:rsidP="00296F0C">
      <w:pPr>
        <w:jc w:val="both"/>
      </w:pPr>
    </w:p>
    <w:p w14:paraId="0664BCC9" w14:textId="77777777" w:rsidR="00296F0C" w:rsidRPr="009118AB" w:rsidRDefault="00296F0C" w:rsidP="00296F0C">
      <w:pPr>
        <w:ind w:firstLine="708"/>
        <w:jc w:val="both"/>
      </w:pPr>
      <w:r w:rsidRPr="009118AB">
        <w:rPr>
          <w:i/>
          <w:iCs/>
        </w:rPr>
        <w:t>c)</w:t>
      </w:r>
      <w:r w:rsidRPr="009118AB">
        <w:t> oder Arbeitnehmer bei der öffentlich-rechtlichen Aktiengesellschaft HR Rail mit Ausnahme der Arbeitnehmer, die sie der öffentlich-rechtlichen Aktiengesellschaft NGBE und der öffentlich-rechtlichen Aktiengesellschaft Infrabel im Rahmen deren Tätigkeiten als öffentlicher Dienst zur Verfügung stellt.</w:t>
      </w:r>
    </w:p>
    <w:p w14:paraId="61AB1BCC" w14:textId="77777777" w:rsidR="00296F0C" w:rsidRPr="009118AB" w:rsidRDefault="00296F0C" w:rsidP="00296F0C">
      <w:pPr>
        <w:jc w:val="both"/>
      </w:pPr>
    </w:p>
    <w:p w14:paraId="7C564476" w14:textId="12766FA6" w:rsidR="00296F0C" w:rsidRPr="009118AB" w:rsidRDefault="00296F0C" w:rsidP="00296F0C">
      <w:pPr>
        <w:ind w:firstLine="708"/>
        <w:jc w:val="both"/>
      </w:pPr>
      <w:r w:rsidRPr="009118AB">
        <w:t xml:space="preserve">In Absatz 1 erwähnte steuerpflichtige Entlohnungen, Nachtarbeitszulagen einbegriffen, sind die steuerpflichtigen Entlohnungen der Arbeitnehmer, die gemäß Artikel 31 Absatz 2 </w:t>
      </w:r>
      <w:r w:rsidR="00D67EB8" w:rsidRPr="009118AB">
        <w:t>Nr. </w:t>
      </w:r>
      <w:r w:rsidRPr="009118AB">
        <w:t>1 und 2 festgelegt werden, ohne doppeltes Urlaubsgeld, Jahresendprämie und ausstehende Entlohnungen.</w:t>
      </w:r>
    </w:p>
    <w:p w14:paraId="148D5D87" w14:textId="77777777" w:rsidR="00296F0C" w:rsidRPr="009118AB" w:rsidRDefault="00296F0C" w:rsidP="00296F0C">
      <w:pPr>
        <w:jc w:val="both"/>
      </w:pPr>
    </w:p>
    <w:p w14:paraId="0E49C4DC" w14:textId="77777777" w:rsidR="00296F0C" w:rsidRPr="009118AB" w:rsidRDefault="00296F0C" w:rsidP="00296F0C">
      <w:pPr>
        <w:ind w:firstLine="708"/>
        <w:jc w:val="both"/>
      </w:pPr>
      <w:r w:rsidRPr="009118AB">
        <w:t>Die in vorliegendem Paragraphen erwähnte Befreiung von der Zahlung des Berufssteuervorabzugs wird nur bewilligt, sofern es sich um Entlohnungen für Arbeitnehmer handelt, die gemäß der Arbeitsregelung, der sie unterliegen, in dem Monat, für den der Vorteil beantragt wird, während mindestens eines Drittels ihrer Arbeitszeit Nachtarbeit verrichten. Die Zeiträume der Aussetzung der Erfüllung des Arbeitsvertrags ohne Lohnfortzahlung werden nicht berücksichtigt. Für die Anwendung dieser Norm enthält:</w:t>
      </w:r>
    </w:p>
    <w:p w14:paraId="3F11E3F8" w14:textId="77777777" w:rsidR="00296F0C" w:rsidRPr="009118AB" w:rsidRDefault="00296F0C" w:rsidP="00296F0C">
      <w:pPr>
        <w:jc w:val="both"/>
      </w:pPr>
    </w:p>
    <w:p w14:paraId="2C6375D7" w14:textId="77777777" w:rsidR="00296F0C" w:rsidRPr="009118AB" w:rsidRDefault="00296F0C" w:rsidP="00296F0C">
      <w:pPr>
        <w:ind w:firstLine="708"/>
        <w:jc w:val="both"/>
      </w:pPr>
      <w:r w:rsidRPr="009118AB">
        <w:t>- der Zähler: Anzahl tatsächlich geleisteter Arbeitsstunden in Nachtarbeit, für die der Arbeitnehmer auch eine Nachtarbeitszulage erhalten hat, sowie Stunden, für die die Erfüllung des Arbeitsvertrags ausgesetzt worden ist und der Lohn durch den Arbeitgeber fortgezahlt worden ist, wenn nachgewiesen werden kann, dass der betreffende Arbeitnehmer gemäß seiner Arbeitsregelung in Nachtarbeit gearbeitet hätte und hierfür auch eine Nachtarbeitszulage erhalten hätte,</w:t>
      </w:r>
    </w:p>
    <w:p w14:paraId="7EAC7D49" w14:textId="77777777" w:rsidR="00296F0C" w:rsidRPr="009118AB" w:rsidRDefault="00296F0C" w:rsidP="00296F0C">
      <w:pPr>
        <w:jc w:val="both"/>
      </w:pPr>
    </w:p>
    <w:p w14:paraId="3A4F64F6" w14:textId="77777777" w:rsidR="00296F0C" w:rsidRPr="009118AB" w:rsidRDefault="00296F0C" w:rsidP="00296F0C">
      <w:pPr>
        <w:ind w:firstLine="708"/>
        <w:jc w:val="both"/>
      </w:pPr>
      <w:r w:rsidRPr="009118AB">
        <w:t>- der Nenner: Gesamtanzahl tatsächlich geleisteter Arbeitsstunden sowie Gesamtanzahl Stunden, für die die Erfüllung des Arbeitsvertrags ausgesetzt worden ist, der Lohn jedoch fortgezahlt worden ist.</w:t>
      </w:r>
    </w:p>
    <w:p w14:paraId="12E10C8F" w14:textId="77777777" w:rsidR="00296F0C" w:rsidRPr="009118AB" w:rsidRDefault="00296F0C" w:rsidP="00296F0C">
      <w:pPr>
        <w:jc w:val="both"/>
      </w:pPr>
    </w:p>
    <w:p w14:paraId="5EAB7F99" w14:textId="54736006" w:rsidR="00296F0C" w:rsidRPr="009118AB" w:rsidRDefault="00296F0C" w:rsidP="00296F0C">
      <w:pPr>
        <w:ind w:firstLine="708"/>
        <w:jc w:val="both"/>
      </w:pPr>
      <w:r w:rsidRPr="009118AB">
        <w:t>Die in vorliegendem Paragraphen erwähnte Zahlungsbefreiung kann nicht gewährt werden, wenn eine andere in vorliegendem Artikel erwähnte Befreiung auf dieselbe Entlohnung angewandt wird.</w:t>
      </w:r>
    </w:p>
    <w:p w14:paraId="744AEC84" w14:textId="77777777" w:rsidR="00296F0C" w:rsidRPr="009118AB" w:rsidRDefault="00296F0C" w:rsidP="00296F0C">
      <w:pPr>
        <w:jc w:val="both"/>
      </w:pPr>
    </w:p>
    <w:p w14:paraId="79607F48" w14:textId="77777777" w:rsidR="00296F0C" w:rsidRPr="009118AB" w:rsidRDefault="00296F0C" w:rsidP="00296F0C">
      <w:pPr>
        <w:ind w:firstLine="708"/>
        <w:jc w:val="both"/>
      </w:pPr>
      <w:r w:rsidRPr="009118AB">
        <w:t xml:space="preserve">Für die Anwendung des vorliegenden Paragraphen versteht man unter Nachtarbeitszulage eine Zulage, die anlässlich von Nachtarbeit zuerkannt wird und die die Entlohnung, die einem Arbeitnehmer für eine in Nachtarbeit geleistete Stunde zuerkannt wird, um mindestens 12 Prozent erhöht. Eine Zulage, die ab dem 1. April 2024 gezahlt oder </w:t>
      </w:r>
      <w:r w:rsidRPr="009118AB">
        <w:lastRenderedPageBreak/>
        <w:t>zuerkannt wird, kann darüber hinaus für die Anwendung des vorliegenden Paragraphen nur dann als Nachtarbeitszulage angesehen werden, wenn sie in einem KAA, in der Arbeitsordnung oder in einem Arbeitsvertrag zwischen dem Arbeitgeber und dem Arbeitnehmer festgelegt ist.</w:t>
      </w:r>
    </w:p>
    <w:p w14:paraId="05FFECC3" w14:textId="77777777" w:rsidR="00296F0C" w:rsidRPr="009118AB" w:rsidRDefault="00296F0C" w:rsidP="00296F0C">
      <w:pPr>
        <w:jc w:val="both"/>
      </w:pPr>
    </w:p>
    <w:p w14:paraId="462AB534" w14:textId="6F04F7E5" w:rsidR="00296F0C" w:rsidRPr="009118AB" w:rsidRDefault="00296F0C" w:rsidP="00296F0C">
      <w:pPr>
        <w:ind w:firstLine="708"/>
        <w:jc w:val="both"/>
      </w:pPr>
      <w:r w:rsidRPr="009118AB">
        <w:t xml:space="preserve">Für Leiharbeit zugelassene Unternehmen, die Leiharbeitnehmer zur Verfügung von Unternehmen stellen, die in vorliegendem Paragraphen erwähnt sind und diese Leiharbeitnehmer in einem Nachtarbeitssystem in der Funktion eines Arbeitnehmers der Kategorie 1 beschäftigen, sind in Bezug auf die Befreiung von der Zahlung des Berufssteuervorabzugs auf steuerpflichtige Entlohnungen dieser Leiharbeitnehmer, in denen Nachtarbeitszulagen einbegriffen sind, diesen Unternehmen gleichgesetzt, sofern sie den Nachweis erbringen können, dass sie alle Bedingungen für die Anwendung des vorliegenden Artikels erfüllen. Die in vorliegendem Absatz erwähnte Gleichsetzung der für Leiharbeit zugelassenen Unternehmen wird für steuerpflichtige Entlohnungen von Leiharbeitnehmern, die ab dem 1. Oktober 2022 gezahlt oder zuerkannt werden, darüber hinaus nur gewährt, </w:t>
      </w:r>
      <w:r w:rsidR="00E40DE2" w:rsidRPr="009118AB">
        <w:t>[sofern die für Leiharbeit zugelassenen Unternehmen auf die vom König bestimmte Weise die Zustimmung des Unternehmens]</w:t>
      </w:r>
      <w:r w:rsidRPr="009118AB">
        <w:t>, in dem die Leiharbeitnehmer beschäftigt sind, zur Anwendung der in vorliegendem Paragraphen erwähnten Befreiung erhalten haben.</w:t>
      </w:r>
    </w:p>
    <w:p w14:paraId="6F7666DA" w14:textId="77777777" w:rsidR="00296F0C" w:rsidRPr="009118AB" w:rsidRDefault="00296F0C" w:rsidP="00296F0C">
      <w:pPr>
        <w:jc w:val="both"/>
      </w:pPr>
    </w:p>
    <w:p w14:paraId="784953CF" w14:textId="2C54A6AB" w:rsidR="00AB0866" w:rsidRPr="009118AB" w:rsidRDefault="00296F0C" w:rsidP="00296F0C">
      <w:pPr>
        <w:autoSpaceDE w:val="0"/>
        <w:autoSpaceDN w:val="0"/>
        <w:adjustRightInd w:val="0"/>
        <w:ind w:firstLine="709"/>
        <w:jc w:val="both"/>
        <w:rPr>
          <w:iCs/>
          <w:spacing w:val="-1"/>
        </w:rPr>
      </w:pPr>
      <w:r w:rsidRPr="009118AB">
        <w:t>Um die in vorliegendem Paragraphen erwähnte Befreiung von der Zahlung des Berufssteuervorabzugs zu erhalten, muss der Arbeitgeber bei seiner Erklärung zum Berufssteuervorabzug den Nachweis erbringen, dass die Arbeitnehmer, für die die Befreiung beantragt wird, in dem Zeitraum, auf den die Erklärung zum Berufssteuervorabzug sich bezieht, Nachtarbeit verrichtet haben und für diese Leistungen Nachtarbeitszulagen erhalten haben. Der König bestimmt die Modalitäten der Erbringung dieses Nachweises.</w:t>
      </w:r>
      <w:r w:rsidR="00AB0866" w:rsidRPr="009118AB">
        <w:rPr>
          <w:iCs/>
          <w:spacing w:val="-1"/>
        </w:rPr>
        <w:t>]</w:t>
      </w:r>
    </w:p>
    <w:p w14:paraId="30213086" w14:textId="77777777" w:rsidR="00AB0866" w:rsidRPr="009118AB" w:rsidRDefault="00AB0866" w:rsidP="00AB0866">
      <w:pPr>
        <w:autoSpaceDE w:val="0"/>
        <w:autoSpaceDN w:val="0"/>
        <w:adjustRightInd w:val="0"/>
        <w:jc w:val="both"/>
        <w:rPr>
          <w:iCs/>
          <w:spacing w:val="-1"/>
        </w:rPr>
      </w:pPr>
    </w:p>
    <w:p w14:paraId="044F5621" w14:textId="4A9B0D4E" w:rsidR="00AB0866" w:rsidRPr="009118AB" w:rsidRDefault="00AB0866" w:rsidP="001F6DF7">
      <w:pPr>
        <w:autoSpaceDE w:val="0"/>
        <w:autoSpaceDN w:val="0"/>
        <w:adjustRightInd w:val="0"/>
        <w:ind w:firstLine="709"/>
        <w:jc w:val="both"/>
        <w:rPr>
          <w:iCs/>
          <w:spacing w:val="-1"/>
        </w:rPr>
      </w:pPr>
      <w:r w:rsidRPr="009118AB">
        <w:rPr>
          <w:iCs/>
          <w:spacing w:val="-1"/>
        </w:rPr>
        <w:t>[</w:t>
      </w:r>
      <w:r w:rsidR="00D67EB8" w:rsidRPr="009118AB">
        <w:rPr>
          <w:iCs/>
          <w:spacing w:val="-1"/>
        </w:rPr>
        <w:t>§ </w:t>
      </w:r>
      <w:r w:rsidRPr="009118AB">
        <w:rPr>
          <w:iCs/>
          <w:spacing w:val="-1"/>
        </w:rPr>
        <w:t>3</w:t>
      </w:r>
      <w:r w:rsidR="00D67EB8" w:rsidRPr="009118AB">
        <w:rPr>
          <w:iCs/>
          <w:spacing w:val="-1"/>
        </w:rPr>
        <w:t> - </w:t>
      </w:r>
      <w:r w:rsidRPr="009118AB">
        <w:rPr>
          <w:iCs/>
          <w:spacing w:val="-1"/>
        </w:rPr>
        <w:t xml:space="preserve">Die in </w:t>
      </w:r>
      <w:r w:rsidR="00D67EB8" w:rsidRPr="009118AB">
        <w:rPr>
          <w:iCs/>
          <w:spacing w:val="-1"/>
        </w:rPr>
        <w:t>§ </w:t>
      </w:r>
      <w:r w:rsidRPr="009118AB">
        <w:rPr>
          <w:iCs/>
          <w:spacing w:val="-1"/>
        </w:rPr>
        <w:t>1 Absatz 1 erwähnte Befreiung von der Zahlung des Berufssteuer</w:t>
      </w:r>
      <w:r w:rsidRPr="009118AB">
        <w:rPr>
          <w:iCs/>
          <w:spacing w:val="-1"/>
        </w:rPr>
        <w:softHyphen/>
        <w:t xml:space="preserve">vorabzugs wird um 2,2 Prozentpunkte </w:t>
      </w:r>
      <w:r w:rsidR="007676CA" w:rsidRPr="009118AB">
        <w:rPr>
          <w:iCs/>
          <w:spacing w:val="-1"/>
        </w:rPr>
        <w:t>[</w:t>
      </w:r>
      <w:r w:rsidR="007676CA" w:rsidRPr="009118AB">
        <w:t>der Gesamtheit der steuerpflichtigen Entlohnungen aller von vorliegendem Paragraphen betroffenen Arbeitnehmer</w:t>
      </w:r>
      <w:r w:rsidR="007676CA" w:rsidRPr="009118AB">
        <w:rPr>
          <w:iCs/>
          <w:spacing w:val="-1"/>
        </w:rPr>
        <w:t xml:space="preserve">] </w:t>
      </w:r>
      <w:r w:rsidRPr="009118AB">
        <w:rPr>
          <w:iCs/>
          <w:spacing w:val="-1"/>
        </w:rPr>
        <w:t>erhöht für Unternehmen, die ein System der vollkonti</w:t>
      </w:r>
      <w:r w:rsidRPr="009118AB">
        <w:rPr>
          <w:iCs/>
          <w:spacing w:val="-1"/>
        </w:rPr>
        <w:softHyphen/>
        <w:t>nuierlichen Schichtarbeit praktizieren.</w:t>
      </w:r>
    </w:p>
    <w:p w14:paraId="72A7F478" w14:textId="77777777" w:rsidR="00AB0866" w:rsidRPr="009118AB" w:rsidRDefault="00AB0866" w:rsidP="00AB0866">
      <w:pPr>
        <w:autoSpaceDE w:val="0"/>
        <w:autoSpaceDN w:val="0"/>
        <w:adjustRightInd w:val="0"/>
        <w:jc w:val="both"/>
        <w:rPr>
          <w:iCs/>
          <w:spacing w:val="-1"/>
        </w:rPr>
      </w:pPr>
    </w:p>
    <w:p w14:paraId="305AA08C" w14:textId="7CABA90E" w:rsidR="00AB0866" w:rsidRPr="009118AB" w:rsidRDefault="00AB0866" w:rsidP="001F6DF7">
      <w:pPr>
        <w:autoSpaceDE w:val="0"/>
        <w:autoSpaceDN w:val="0"/>
        <w:adjustRightInd w:val="0"/>
        <w:ind w:firstLine="709"/>
        <w:jc w:val="both"/>
        <w:rPr>
          <w:iCs/>
          <w:spacing w:val="-1"/>
        </w:rPr>
      </w:pPr>
      <w:r w:rsidRPr="009118AB">
        <w:rPr>
          <w:iCs/>
          <w:spacing w:val="-1"/>
        </w:rPr>
        <w:t>Unter Unternehmen, die ein System der vollkontinuierlichen Schichtarbeit praktizie</w:t>
      </w:r>
      <w:r w:rsidRPr="009118AB">
        <w:rPr>
          <w:iCs/>
          <w:spacing w:val="-1"/>
        </w:rPr>
        <w:softHyphen/>
        <w:t>ren, versteht man Unternehmen, in denen die Arbeit von Arbeitnehmern der Kategorie 1 erwähnt in Artikel 330 des Programmgesetzes (I) vom 24. Dezember 2002 in mindestens vier Schichten mit mindestens zwei Arbeitnehmern geleistet wird, die sowohl in Bezug auf Inhalt als auch auf Umfang die gleiche Arbeit leisten, die eine durchgehende Besetzung während der ganzen Woche und am Wochenende gewährleisten und die sich ablösen, ohne dass es eine Unterbrechung zwischen den aufeinander folgenden Schichten gibt</w:t>
      </w:r>
      <w:r w:rsidR="00296F0C" w:rsidRPr="009118AB">
        <w:rPr>
          <w:iCs/>
          <w:spacing w:val="-1"/>
        </w:rPr>
        <w:t>[</w:t>
      </w:r>
      <w:r w:rsidR="00296F0C" w:rsidRPr="009118AB">
        <w:t>, ohne dass die Überschneidung mehr als ein Viertel ihrer täglichen Arbeit beträgt und wobei alle Arbeitnehmer, die Schichtarbeit in einem System der vollkontinuierlichen Schichtarbeit leisten, eine Schichtzulage erhalten</w:t>
      </w:r>
      <w:r w:rsidR="00296F0C" w:rsidRPr="009118AB">
        <w:rPr>
          <w:iCs/>
          <w:spacing w:val="-1"/>
        </w:rPr>
        <w:t>]</w:t>
      </w:r>
      <w:r w:rsidRPr="009118AB">
        <w:rPr>
          <w:iCs/>
          <w:spacing w:val="-1"/>
        </w:rPr>
        <w:t>. Die Betriebszeit in solchen Unternehmen, das heißt die Zeit, in der das Unternehmen tätig ist, beläuft sich auf Wochenbasis auf mindestens hundertsechzig Stunden.]</w:t>
      </w:r>
    </w:p>
    <w:p w14:paraId="3835C9C0" w14:textId="77777777" w:rsidR="00296F0C" w:rsidRPr="009118AB" w:rsidRDefault="00296F0C" w:rsidP="001F6DF7">
      <w:pPr>
        <w:autoSpaceDE w:val="0"/>
        <w:autoSpaceDN w:val="0"/>
        <w:adjustRightInd w:val="0"/>
        <w:ind w:firstLine="709"/>
        <w:jc w:val="both"/>
        <w:rPr>
          <w:iCs/>
          <w:spacing w:val="-1"/>
        </w:rPr>
      </w:pPr>
    </w:p>
    <w:p w14:paraId="722C0CAD" w14:textId="59C7E10B" w:rsidR="00296F0C" w:rsidRDefault="00296F0C" w:rsidP="001F6DF7">
      <w:pPr>
        <w:autoSpaceDE w:val="0"/>
        <w:autoSpaceDN w:val="0"/>
        <w:adjustRightInd w:val="0"/>
        <w:ind w:firstLine="709"/>
        <w:jc w:val="both"/>
        <w:rPr>
          <w:iCs/>
          <w:spacing w:val="-1"/>
        </w:rPr>
      </w:pPr>
      <w:r w:rsidRPr="009118AB">
        <w:rPr>
          <w:iCs/>
          <w:spacing w:val="-1"/>
        </w:rPr>
        <w:t>[</w:t>
      </w:r>
      <w:r w:rsidRPr="009118AB">
        <w:t>Für die Anwendung von Absatz 2 wird eine Unterbrechung zwischen den aufeinander folgenden Schichten, die fünfzehn Minuten oder weniger dauert, nicht berücksichtigt.</w:t>
      </w:r>
      <w:r w:rsidRPr="009118AB">
        <w:rPr>
          <w:iCs/>
          <w:spacing w:val="-1"/>
        </w:rPr>
        <w:t>]</w:t>
      </w:r>
    </w:p>
    <w:p w14:paraId="7DF929DB" w14:textId="77777777" w:rsidR="001249F3" w:rsidRDefault="001249F3" w:rsidP="001F6DF7">
      <w:pPr>
        <w:autoSpaceDE w:val="0"/>
        <w:autoSpaceDN w:val="0"/>
        <w:adjustRightInd w:val="0"/>
        <w:ind w:firstLine="709"/>
        <w:jc w:val="both"/>
        <w:rPr>
          <w:iCs/>
          <w:spacing w:val="-1"/>
        </w:rPr>
      </w:pPr>
    </w:p>
    <w:p w14:paraId="690D9242" w14:textId="208B81A9" w:rsidR="001249F3" w:rsidRPr="00700308" w:rsidRDefault="001249F3" w:rsidP="001249F3">
      <w:pPr>
        <w:ind w:firstLine="708"/>
        <w:jc w:val="both"/>
      </w:pPr>
      <w:r>
        <w:rPr>
          <w:iCs/>
          <w:spacing w:val="-1"/>
        </w:rPr>
        <w:t>[</w:t>
      </w:r>
      <w:r w:rsidRPr="00700308">
        <w:t>§ 3/1 - Der in § 1/1 Absatz 4 Nr. 1 erwähnte Betrag wird um 2,2 Prozentpunkte der Gesamtheit der steuerpflichtigen Entlohnungen aller von vorliegendem Paragraphen betroffenen Arbeitnehmer erhöht für Unternehmen, die ein System der vollkontinuierlichen Schichtarbeit praktizieren.</w:t>
      </w:r>
    </w:p>
    <w:p w14:paraId="48B0E38A" w14:textId="77777777" w:rsidR="001249F3" w:rsidRPr="00700308" w:rsidRDefault="001249F3" w:rsidP="001249F3">
      <w:pPr>
        <w:jc w:val="both"/>
      </w:pPr>
    </w:p>
    <w:p w14:paraId="4515FEBF" w14:textId="77777777" w:rsidR="001249F3" w:rsidRPr="00700308" w:rsidRDefault="001249F3" w:rsidP="001249F3">
      <w:pPr>
        <w:ind w:firstLine="708"/>
        <w:jc w:val="both"/>
      </w:pPr>
      <w:r w:rsidRPr="00700308">
        <w:lastRenderedPageBreak/>
        <w:t>Unter Unternehmen, die ein System der vollkontinuierlichen Schichtarbeit praktizieren, versteht man Unternehmen, in denen die Arbeit von Arbeitnehmern der Kategorie 1 erwähnt in Artikel 330 des Programmgesetzes (I) vom 24. Dezember 2002 in mindestens vier Schichten mit mindestens zwei Arbeitnehmern geleistet wird, die in Bezug auf den Inhalt die gleiche Arbeit leisten, die eine durchgehende Besetzung während der ganzen Woche und am Wochenende gewährleisten und die sich ablösen, ohne dass es eine Unterbrechung zwischen den aufeinander folgenden Schichten gibt, ohne dass die Überschneidung mehr als ein Viertel ihrer täglichen Arbeit beträgt und wobei alle Arbeitnehmer, die Schichtarbeit in einem System der vollkontinuierlichen Schichtarbeit leisten, eine Schichtzulage erhalten. Die Betriebszeit in solchen Unternehmen, das heißt die Zeit, in der das Unternehmen tätig ist, beläuft sich auf Wochenbasis auf mindestens hundertsechzig Stunden.</w:t>
      </w:r>
    </w:p>
    <w:p w14:paraId="77DAC884" w14:textId="77777777" w:rsidR="001249F3" w:rsidRPr="00700308" w:rsidRDefault="001249F3" w:rsidP="001249F3">
      <w:pPr>
        <w:jc w:val="both"/>
      </w:pPr>
    </w:p>
    <w:p w14:paraId="1F4B55B5" w14:textId="77777777" w:rsidR="001249F3" w:rsidRPr="00700308" w:rsidRDefault="001249F3" w:rsidP="001249F3">
      <w:pPr>
        <w:ind w:firstLine="708"/>
        <w:jc w:val="both"/>
      </w:pPr>
      <w:r w:rsidRPr="00700308">
        <w:t>Für die Anwendung von Absatz 2 wird eine Unterbrechung zwischen den aufeinander folgenden Schichten, die fünfzehn Minuten oder weniger dauert, nicht berücksichtigt.</w:t>
      </w:r>
    </w:p>
    <w:p w14:paraId="2823CE02" w14:textId="77777777" w:rsidR="001249F3" w:rsidRPr="00700308" w:rsidRDefault="001249F3" w:rsidP="001249F3">
      <w:pPr>
        <w:jc w:val="both"/>
      </w:pPr>
    </w:p>
    <w:p w14:paraId="38BB7F9B" w14:textId="22F9E11A" w:rsidR="001249F3" w:rsidRPr="009118AB" w:rsidRDefault="001249F3" w:rsidP="001249F3">
      <w:pPr>
        <w:autoSpaceDE w:val="0"/>
        <w:autoSpaceDN w:val="0"/>
        <w:adjustRightInd w:val="0"/>
        <w:ind w:firstLine="709"/>
        <w:jc w:val="both"/>
        <w:rPr>
          <w:iCs/>
          <w:spacing w:val="-1"/>
        </w:rPr>
      </w:pPr>
      <w:r w:rsidRPr="00700308">
        <w:t>Vorliegender Paragraph ist nur auf Entlohnungen anwendbar, die bis zum 31. Dezember 2026 gezahlt oder zuerkannt werden.</w:t>
      </w:r>
      <w:r>
        <w:t>]</w:t>
      </w:r>
    </w:p>
    <w:p w14:paraId="1FCDE591" w14:textId="77777777" w:rsidR="000117ED" w:rsidRPr="009118AB" w:rsidRDefault="000117ED" w:rsidP="00AB0866">
      <w:pPr>
        <w:autoSpaceDE w:val="0"/>
        <w:autoSpaceDN w:val="0"/>
        <w:adjustRightInd w:val="0"/>
        <w:jc w:val="both"/>
        <w:rPr>
          <w:iCs/>
          <w:spacing w:val="-1"/>
        </w:rPr>
      </w:pPr>
    </w:p>
    <w:p w14:paraId="5A918738" w14:textId="599BA6D1" w:rsidR="00BD33B2" w:rsidRPr="009118AB" w:rsidRDefault="000117ED" w:rsidP="00BD33B2">
      <w:pPr>
        <w:ind w:firstLine="708"/>
        <w:jc w:val="both"/>
      </w:pPr>
      <w:r w:rsidRPr="009118AB">
        <w:rPr>
          <w:iCs/>
          <w:spacing w:val="-1"/>
        </w:rPr>
        <w:t>[</w:t>
      </w:r>
      <w:r w:rsidR="00D67EB8" w:rsidRPr="009118AB">
        <w:rPr>
          <w:iCs/>
          <w:spacing w:val="-1"/>
        </w:rPr>
        <w:t>§ </w:t>
      </w:r>
      <w:r w:rsidRPr="009118AB">
        <w:rPr>
          <w:iCs/>
          <w:spacing w:val="-1"/>
        </w:rPr>
        <w:t>4</w:t>
      </w:r>
      <w:r w:rsidR="00D67EB8" w:rsidRPr="009118AB">
        <w:rPr>
          <w:iCs/>
          <w:spacing w:val="-1"/>
        </w:rPr>
        <w:t> - </w:t>
      </w:r>
      <w:r w:rsidR="00C72F24" w:rsidRPr="009118AB">
        <w:rPr>
          <w:iCs/>
          <w:spacing w:val="-1"/>
        </w:rPr>
        <w:t>[</w:t>
      </w:r>
      <w:r w:rsidR="00BD33B2" w:rsidRPr="009118AB">
        <w:t>In Abweichung von den Paragraphen 1 bis 3 gelten für die Anwendung des vorliegenden Artikels ebenfalls als Unternehmen, in denen Schichtarbeit geleistet wird:</w:t>
      </w:r>
    </w:p>
    <w:p w14:paraId="1BFD5387" w14:textId="77777777" w:rsidR="00BD33B2" w:rsidRPr="009118AB" w:rsidRDefault="00BD33B2" w:rsidP="00BD33B2">
      <w:pPr>
        <w:jc w:val="both"/>
      </w:pPr>
    </w:p>
    <w:p w14:paraId="607A0FE6" w14:textId="77777777" w:rsidR="00BD33B2" w:rsidRPr="009118AB" w:rsidRDefault="00BD33B2" w:rsidP="00BD33B2">
      <w:pPr>
        <w:ind w:firstLine="708"/>
        <w:jc w:val="both"/>
      </w:pPr>
      <w:r w:rsidRPr="009118AB">
        <w:t>- Unternehmen, die der Paritätischen Kommission für die Binnenschifffahrt unterstehen, mit Ausnahme ihrer Schlepptätigkeit,</w:t>
      </w:r>
    </w:p>
    <w:p w14:paraId="45C0CAB0" w14:textId="77777777" w:rsidR="00BD33B2" w:rsidRPr="009118AB" w:rsidRDefault="00BD33B2" w:rsidP="00BD33B2">
      <w:pPr>
        <w:jc w:val="both"/>
      </w:pPr>
    </w:p>
    <w:p w14:paraId="102C9D81" w14:textId="77777777" w:rsidR="00BD33B2" w:rsidRPr="009118AB" w:rsidRDefault="00BD33B2" w:rsidP="00BD33B2">
      <w:pPr>
        <w:ind w:firstLine="708"/>
        <w:jc w:val="both"/>
      </w:pPr>
      <w:r w:rsidRPr="009118AB">
        <w:t>- und sofern es sich um Arbeiten unter der Systemschifffahrtsregelung handelt, in deren Rahmen Arbeitnehmer, die genauso viele Ruhetage wie Arbeitstage haben, gemäß dem kollektiven Arbeitsabkommen vom 3. Oktober 2012 über die Möglichkeit der Einführung einer Systemschifffahrtsregelung beschäftigt werden und der Zeitraum an Bord dreißig aufeinander folgende Tage nicht überschreitet.</w:t>
      </w:r>
    </w:p>
    <w:p w14:paraId="1AA30FFE" w14:textId="77777777" w:rsidR="00BD33B2" w:rsidRPr="009118AB" w:rsidRDefault="00BD33B2" w:rsidP="00BD33B2">
      <w:pPr>
        <w:jc w:val="both"/>
      </w:pPr>
    </w:p>
    <w:p w14:paraId="7CA94A9A" w14:textId="1E94C90F" w:rsidR="00BD33B2" w:rsidRPr="009118AB" w:rsidRDefault="00BD33B2" w:rsidP="00BD33B2">
      <w:pPr>
        <w:ind w:firstLine="708"/>
        <w:jc w:val="both"/>
      </w:pPr>
      <w:r w:rsidRPr="009118AB">
        <w:t xml:space="preserve">Die in </w:t>
      </w:r>
      <w:r w:rsidR="00D67EB8" w:rsidRPr="009118AB">
        <w:t>§ </w:t>
      </w:r>
      <w:r w:rsidRPr="009118AB">
        <w:t>1 erwähnte Befreiung wird in Absatz 1 erwähnten Unternehmen nur für Arbeitnehmer bewilligt, denen eine Zulage von 18,5 Prozent des Basislohns zuerkannt wird wie in dem in Absatz 1 erwähnten kollektiven Arbeitsabkommen bestimmt und die gemäß vorerwähntem kollektiven Arbeitsabkommen in dem Monat, für den der Vorteil beantragt wird, während mindestens eines Drittels ihrer Arbeitszeit in der Systemschifffahrtsregelung beschäftigt sind.</w:t>
      </w:r>
    </w:p>
    <w:p w14:paraId="059FF328" w14:textId="77777777" w:rsidR="00BD33B2" w:rsidRPr="009118AB" w:rsidRDefault="00BD33B2" w:rsidP="00BD33B2">
      <w:pPr>
        <w:jc w:val="both"/>
      </w:pPr>
    </w:p>
    <w:p w14:paraId="643FE6B9" w14:textId="7B8CFC13" w:rsidR="00BD33B2" w:rsidRPr="009118AB" w:rsidRDefault="00BD33B2" w:rsidP="00BD33B2">
      <w:pPr>
        <w:ind w:firstLine="708"/>
        <w:jc w:val="both"/>
      </w:pPr>
      <w:r w:rsidRPr="009118AB">
        <w:t xml:space="preserve">Für die in Absatz 1 erwähnten Unternehmen wird die in </w:t>
      </w:r>
      <w:r w:rsidR="00D67EB8" w:rsidRPr="009118AB">
        <w:t>§ </w:t>
      </w:r>
      <w:r w:rsidRPr="009118AB">
        <w:t>1 erwähnte Befreiung auf die Gesamtheit der steuerpflichtigen Entlohnungen aller betroffenen Arbeitnehmer berechnet, mit Ausnahme der steuerpflichtigen Entlohnungen der Arbeitnehmer, die die in den Absätzen 1 und 2 erwähnten Bedingungen nicht erfüllen.</w:t>
      </w:r>
    </w:p>
    <w:p w14:paraId="028332F5" w14:textId="77777777" w:rsidR="00BD33B2" w:rsidRPr="009118AB" w:rsidRDefault="00BD33B2" w:rsidP="00BD33B2">
      <w:pPr>
        <w:jc w:val="both"/>
      </w:pPr>
    </w:p>
    <w:p w14:paraId="7E469C1E" w14:textId="4A9663B5" w:rsidR="00BD33B2" w:rsidRPr="009118AB" w:rsidRDefault="00BD33B2" w:rsidP="00BD33B2">
      <w:pPr>
        <w:ind w:firstLine="708"/>
        <w:jc w:val="both"/>
      </w:pPr>
      <w:r w:rsidRPr="009118AB">
        <w:t xml:space="preserve">Die in vorliegendem Paragraphen erwähnte Befreiung kann einem in Absatz 1 erwähnten Unternehmen nicht bewilligt werden, wenn der Gesamtbetrag der aufgrund des vorliegenden Paragraphen bewilligten Befreiung und der anderen von der Föderalbehörde oder einer Region gewährten Beihilfen, die in den Anwendungsbereich der Verordnung (EU) </w:t>
      </w:r>
      <w:r w:rsidR="00D67EB8" w:rsidRPr="009118AB">
        <w:t>Nr. </w:t>
      </w:r>
      <w:r w:rsidRPr="009118AB">
        <w:t xml:space="preserve">1407/2013 der Kommission vom 18. Dezember 2013 über die Anwendung der Artikel 107 und 108 des Vertrags über die Arbeitsweise der Europäischen Union auf De-minimis-Beihilfen fallen, die diesem Unternehmen oder einer Gesellschaft, die Teil derselben Unternehmensgruppe wie dieses Unternehmen ist, im laufenden Besteuerungszeitraum und in </w:t>
      </w:r>
      <w:r w:rsidRPr="009118AB">
        <w:lastRenderedPageBreak/>
        <w:t>den letzten beiden abgeschlossenen Besteuerungszeiträumen gewährt worden sind, sich auf mehr als 200.000 EUR beläuft.</w:t>
      </w:r>
    </w:p>
    <w:p w14:paraId="75E0372A" w14:textId="77777777" w:rsidR="00BD33B2" w:rsidRPr="009118AB" w:rsidRDefault="00BD33B2" w:rsidP="00BD33B2">
      <w:pPr>
        <w:jc w:val="both"/>
      </w:pPr>
    </w:p>
    <w:p w14:paraId="35B13860" w14:textId="5E536BA9" w:rsidR="00BD33B2" w:rsidRPr="009118AB" w:rsidRDefault="00BD33B2" w:rsidP="00BD33B2">
      <w:pPr>
        <w:ind w:firstLine="708"/>
        <w:jc w:val="both"/>
      </w:pPr>
      <w:r w:rsidRPr="009118AB">
        <w:t xml:space="preserve">In Absatz 3 erwähnte steuerpflichtige Entlohnungen, die Zulage einbegriffen, sind die steuerpflichtigen Entlohnungen der Arbeitnehmer, die gemäß Artikel 31 Absatz 2 </w:t>
      </w:r>
      <w:r w:rsidR="00D67EB8" w:rsidRPr="009118AB">
        <w:t>Nr. </w:t>
      </w:r>
      <w:r w:rsidRPr="009118AB">
        <w:t>1 und 2 festgelegt werden, ohne Urlaubsgeld, Jahresendprämie und ausstehende Entlohnungen.</w:t>
      </w:r>
    </w:p>
    <w:p w14:paraId="6ACC86ED" w14:textId="77777777" w:rsidR="00BD33B2" w:rsidRPr="009118AB" w:rsidRDefault="00BD33B2" w:rsidP="00BD33B2">
      <w:pPr>
        <w:jc w:val="both"/>
      </w:pPr>
    </w:p>
    <w:p w14:paraId="436119F3" w14:textId="383DC080" w:rsidR="00BD33B2" w:rsidRPr="009118AB" w:rsidRDefault="00296F0C" w:rsidP="00BD33B2">
      <w:pPr>
        <w:ind w:firstLine="708"/>
        <w:jc w:val="both"/>
      </w:pPr>
      <w:r w:rsidRPr="009118AB">
        <w:t>[Für Leiharbeit zugelassene Unternehmen, die Leiharbeitnehmer zur Verfügung von Unternehmen stellen, die die in Absatz 1 erwähnten Bedingungen erfüllen, sind in Bezug auf die Befreiung von der Zahlung des Berufssteuervorabzugs auf die in Absatz 3 erwähnten steuerpflichtigen Entlohnungen dieser Leiharbeitnehmer den in Absatz 1 erwähnten Unternehmen gleichgesetzt, denen sie Leiharbeitnehmer zur Verfügung stellen, sofern sie den Nachweis erbringen können, dass sie alle Bedingungen für die Anwendung des vorliegenden Artikels erfüllen. Die in vorliegendem Absatz erwähnte Gleichsetzung der für Leiharbeit zugelassenen Unternehmen wird für steuerpflichtige Entlohnungen von Leiharbeitnehmern, die ab dem 1. Oktober 2022 gezahlt oder zuerkannt werden, darüber hinaus nur gewährt</w:t>
      </w:r>
      <w:r w:rsidR="007C7DE5" w:rsidRPr="009118AB">
        <w:t xml:space="preserve">, </w:t>
      </w:r>
      <w:r w:rsidR="00E40DE2" w:rsidRPr="009118AB">
        <w:t>[sofern die für Leiharbeit zugelassenen Unternehmen auf die vom König bestimmte Weise die Zustimmung des Unternehmens]</w:t>
      </w:r>
      <w:r w:rsidRPr="009118AB">
        <w:t>, in dem die Leiharbeitnehmer beschäftigt sind, zur Anwendung der in vorliegendem Paragraphen erwähnten Befreiung erhalten haben.]</w:t>
      </w:r>
    </w:p>
    <w:p w14:paraId="7F2D4FD2" w14:textId="77777777" w:rsidR="00BD33B2" w:rsidRPr="009118AB" w:rsidRDefault="00BD33B2" w:rsidP="00BD33B2">
      <w:pPr>
        <w:jc w:val="both"/>
      </w:pPr>
    </w:p>
    <w:p w14:paraId="38ECA2D3" w14:textId="085C359C" w:rsidR="000117ED" w:rsidRPr="009118AB" w:rsidRDefault="00BD33B2" w:rsidP="00BD33B2">
      <w:pPr>
        <w:autoSpaceDE w:val="0"/>
        <w:autoSpaceDN w:val="0"/>
        <w:adjustRightInd w:val="0"/>
        <w:ind w:firstLine="709"/>
        <w:jc w:val="both"/>
        <w:rPr>
          <w:iCs/>
          <w:spacing w:val="-1"/>
        </w:rPr>
      </w:pPr>
      <w:r w:rsidRPr="009118AB">
        <w:t>Die in vorliegendem Paragraphen erwähnte Befreiung kann nur bewilligt werden, wenn zusammen mit der Erklärung eine Bescheinigung übermittelt wird, deren Muster vom König festgelegt wird und in der die Gesamtheit der aufgrund des vorliegenden Paragraphen bewilligten Befreiung und der anderen von der Föderalbehörde oder einer Region gewährten Beihilfen, die in den Anwendungsbereich der in Absatz 4 erwähnten Verordnung fallen, die diesem Unternehmen oder einer Gesellschaft, die Teil derselben Unternehmensgruppe wie dieses Unternehmen ist, im laufenden Besteuerungszeitraum und in den letzten beiden abgeschlossenen Besteuerungszeiträumen gewährt worden sind, angegeben ist.</w:t>
      </w:r>
      <w:r w:rsidR="00C72F24" w:rsidRPr="009118AB">
        <w:rPr>
          <w:iCs/>
          <w:spacing w:val="-1"/>
        </w:rPr>
        <w:t>]</w:t>
      </w:r>
      <w:r w:rsidR="000117ED" w:rsidRPr="009118AB">
        <w:rPr>
          <w:iCs/>
          <w:spacing w:val="-1"/>
        </w:rPr>
        <w:t>]</w:t>
      </w:r>
    </w:p>
    <w:p w14:paraId="53F7E016" w14:textId="77777777" w:rsidR="00296F0C" w:rsidRPr="009118AB" w:rsidRDefault="00296F0C" w:rsidP="00BD33B2">
      <w:pPr>
        <w:autoSpaceDE w:val="0"/>
        <w:autoSpaceDN w:val="0"/>
        <w:adjustRightInd w:val="0"/>
        <w:ind w:firstLine="709"/>
        <w:jc w:val="both"/>
        <w:rPr>
          <w:iCs/>
          <w:spacing w:val="-1"/>
        </w:rPr>
      </w:pPr>
    </w:p>
    <w:p w14:paraId="6205DF61" w14:textId="7D5F2431" w:rsidR="00296F0C" w:rsidRPr="009118AB" w:rsidRDefault="00296F0C" w:rsidP="00BD33B2">
      <w:pPr>
        <w:autoSpaceDE w:val="0"/>
        <w:autoSpaceDN w:val="0"/>
        <w:adjustRightInd w:val="0"/>
        <w:ind w:firstLine="709"/>
        <w:jc w:val="both"/>
        <w:rPr>
          <w:iCs/>
          <w:spacing w:val="-1"/>
        </w:rPr>
      </w:pPr>
      <w:r w:rsidRPr="009118AB">
        <w:rPr>
          <w:iCs/>
          <w:spacing w:val="-1"/>
        </w:rPr>
        <w:t>[</w:t>
      </w:r>
      <w:r w:rsidRPr="009118AB">
        <w:t>Die in vorliegendem Paragraphen erwähnte Zahlungsbefreiung kann nicht gewährt werden, wenn eine andere in vorliegendem Artikel erwähnte Befreiung auf dieselbe Entlohnung angewandt wird.</w:t>
      </w:r>
      <w:r w:rsidRPr="009118AB">
        <w:rPr>
          <w:iCs/>
          <w:spacing w:val="-1"/>
        </w:rPr>
        <w:t>]</w:t>
      </w:r>
    </w:p>
    <w:p w14:paraId="692F4680" w14:textId="77777777" w:rsidR="00C45FBD" w:rsidRPr="009118AB" w:rsidRDefault="00C45FBD" w:rsidP="001F6DF7">
      <w:pPr>
        <w:autoSpaceDE w:val="0"/>
        <w:autoSpaceDN w:val="0"/>
        <w:adjustRightInd w:val="0"/>
        <w:ind w:firstLine="709"/>
        <w:jc w:val="both"/>
        <w:rPr>
          <w:iCs/>
          <w:spacing w:val="-1"/>
        </w:rPr>
      </w:pPr>
    </w:p>
    <w:p w14:paraId="55B09223" w14:textId="5A42AE48" w:rsidR="00C45FBD" w:rsidRPr="009118AB" w:rsidRDefault="00C45FBD" w:rsidP="00C45FBD">
      <w:pPr>
        <w:autoSpaceDE w:val="0"/>
        <w:autoSpaceDN w:val="0"/>
        <w:adjustRightInd w:val="0"/>
        <w:ind w:firstLine="709"/>
        <w:jc w:val="both"/>
        <w:rPr>
          <w:iCs/>
          <w:spacing w:val="-1"/>
        </w:rPr>
      </w:pPr>
      <w:r w:rsidRPr="009118AB">
        <w:rPr>
          <w:iCs/>
          <w:spacing w:val="-1"/>
        </w:rPr>
        <w:t>[</w:t>
      </w:r>
      <w:r w:rsidR="00D67EB8" w:rsidRPr="009118AB">
        <w:rPr>
          <w:iCs/>
          <w:spacing w:val="-1"/>
        </w:rPr>
        <w:t>§ </w:t>
      </w:r>
      <w:r w:rsidRPr="009118AB">
        <w:rPr>
          <w:iCs/>
          <w:spacing w:val="-1"/>
        </w:rPr>
        <w:t>5</w:t>
      </w:r>
      <w:r w:rsidR="00D67EB8" w:rsidRPr="009118AB">
        <w:rPr>
          <w:iCs/>
          <w:spacing w:val="-1"/>
        </w:rPr>
        <w:t> - </w:t>
      </w:r>
      <w:r w:rsidR="001D63BE" w:rsidRPr="009118AB">
        <w:rPr>
          <w:iCs/>
          <w:spacing w:val="-1"/>
        </w:rPr>
        <w:t>[</w:t>
      </w:r>
      <w:r w:rsidR="001D63BE" w:rsidRPr="009118AB">
        <w:t>Für die Anwendung des vorliegenden Artikels gelten folgende Unternehmen ebenfalls als Unternehmen, in denen Schichtarbeit geleistet wird, wenn sie aufgrund von Artikel 270 Absatz 1 Nr. 1 Schuldner des Berufssteuervorabzugs auf die in den Absätzen 4 und 5 erwähnten steuerpflichtigen Entlohnungen sind und unter der Bedingung, dass sie die Gesamtheit des vorerwähnten Vorabzugs auf diese Entlohnungen einbehalten:</w:t>
      </w:r>
      <w:r w:rsidR="001D63BE" w:rsidRPr="009118AB">
        <w:rPr>
          <w:iCs/>
          <w:spacing w:val="-1"/>
        </w:rPr>
        <w:t>]</w:t>
      </w:r>
    </w:p>
    <w:p w14:paraId="71E3294B" w14:textId="77777777" w:rsidR="00C45FBD" w:rsidRPr="009118AB" w:rsidRDefault="00C45FBD" w:rsidP="00C45FBD">
      <w:pPr>
        <w:autoSpaceDE w:val="0"/>
        <w:autoSpaceDN w:val="0"/>
        <w:adjustRightInd w:val="0"/>
        <w:ind w:firstLine="709"/>
        <w:jc w:val="both"/>
        <w:rPr>
          <w:iCs/>
          <w:spacing w:val="-1"/>
        </w:rPr>
      </w:pPr>
    </w:p>
    <w:p w14:paraId="32B4279F" w14:textId="3989F17E" w:rsidR="00C45FBD" w:rsidRPr="009118AB" w:rsidRDefault="00C45FBD" w:rsidP="00C45FBD">
      <w:pPr>
        <w:autoSpaceDE w:val="0"/>
        <w:autoSpaceDN w:val="0"/>
        <w:adjustRightInd w:val="0"/>
        <w:ind w:firstLine="709"/>
        <w:jc w:val="both"/>
        <w:rPr>
          <w:iCs/>
          <w:spacing w:val="-1"/>
        </w:rPr>
      </w:pPr>
      <w:r w:rsidRPr="009118AB">
        <w:rPr>
          <w:iCs/>
          <w:spacing w:val="-1"/>
        </w:rPr>
        <w:t xml:space="preserve">- Unternehmen, in denen die Arbeit in einer oder mehreren Schichten mit mindestens zwei Personen </w:t>
      </w:r>
      <w:r w:rsidR="007676CA" w:rsidRPr="009118AB">
        <w:rPr>
          <w:iCs/>
          <w:spacing w:val="-1"/>
        </w:rPr>
        <w:t>[</w:t>
      </w:r>
      <w:r w:rsidR="007676CA" w:rsidRPr="009118AB">
        <w:t>- ohne Berücksichtigung der Studenten, die in Titel VII des Gesetzes vom 3. Juli 1978 über die Arbeitsverträge erwähnt sind, und der Lehrlinge in einer dualen Ausbildung, die in Artikel 1</w:t>
      </w:r>
      <w:r w:rsidR="007676CA" w:rsidRPr="009118AB">
        <w:rPr>
          <w:i/>
          <w:iCs/>
        </w:rPr>
        <w:t>bis</w:t>
      </w:r>
      <w:r w:rsidR="007676CA" w:rsidRPr="009118AB">
        <w:t xml:space="preserve"> des Königlichen Erlasses vom 28. November 1969 zur Ausführung des Gesetzes vom 27. Juni 1969 zur Revision des Erlassgesetzes vom 28. Dezember 1944 über die soziale Sicherheit der Arbeitnehmer erwähnt sind,</w:t>
      </w:r>
      <w:r w:rsidR="00FD68E8" w:rsidRPr="009118AB">
        <w:t> -]</w:t>
      </w:r>
      <w:r w:rsidR="007676CA" w:rsidRPr="009118AB">
        <w:rPr>
          <w:iCs/>
          <w:spacing w:val="-1"/>
        </w:rPr>
        <w:t xml:space="preserve"> </w:t>
      </w:r>
      <w:r w:rsidRPr="009118AB">
        <w:rPr>
          <w:iCs/>
          <w:spacing w:val="-1"/>
        </w:rPr>
        <w:t>geleistet wird, die sowohl in Bezug auf Inhalt als auch auf Umfang die gleiche Arbeit oder ergänzende Arbeit leisten,</w:t>
      </w:r>
    </w:p>
    <w:p w14:paraId="4460BE87" w14:textId="77777777" w:rsidR="00C45FBD" w:rsidRPr="009118AB" w:rsidRDefault="00C45FBD" w:rsidP="00C45FBD">
      <w:pPr>
        <w:autoSpaceDE w:val="0"/>
        <w:autoSpaceDN w:val="0"/>
        <w:adjustRightInd w:val="0"/>
        <w:ind w:firstLine="709"/>
        <w:jc w:val="both"/>
        <w:rPr>
          <w:iCs/>
          <w:spacing w:val="-1"/>
        </w:rPr>
      </w:pPr>
    </w:p>
    <w:p w14:paraId="4E7A0A9F" w14:textId="36D1C4F3" w:rsidR="00C45FBD" w:rsidRPr="009118AB" w:rsidRDefault="00C45FBD" w:rsidP="00C45FBD">
      <w:pPr>
        <w:autoSpaceDE w:val="0"/>
        <w:autoSpaceDN w:val="0"/>
        <w:adjustRightInd w:val="0"/>
        <w:ind w:firstLine="709"/>
        <w:jc w:val="both"/>
        <w:rPr>
          <w:iCs/>
          <w:spacing w:val="-1"/>
        </w:rPr>
      </w:pPr>
      <w:r w:rsidRPr="009118AB">
        <w:rPr>
          <w:iCs/>
          <w:spacing w:val="-1"/>
        </w:rPr>
        <w:t xml:space="preserve">- und sofern es sich um Arbeiten handelt, die in Artikel 20 </w:t>
      </w:r>
      <w:r w:rsidR="00D67EB8" w:rsidRPr="009118AB">
        <w:rPr>
          <w:iCs/>
          <w:spacing w:val="-1"/>
        </w:rPr>
        <w:t>§ </w:t>
      </w:r>
      <w:r w:rsidRPr="009118AB">
        <w:rPr>
          <w:iCs/>
          <w:spacing w:val="-1"/>
        </w:rPr>
        <w:t xml:space="preserve">2 des Königlichen Erlasses </w:t>
      </w:r>
      <w:r w:rsidR="00D67EB8" w:rsidRPr="009118AB">
        <w:rPr>
          <w:iCs/>
          <w:spacing w:val="-1"/>
        </w:rPr>
        <w:t>Nr. </w:t>
      </w:r>
      <w:r w:rsidRPr="009118AB">
        <w:rPr>
          <w:iCs/>
          <w:spacing w:val="-1"/>
        </w:rPr>
        <w:t xml:space="preserve">1 vom 29. Dezember 1992 über Maßnahmen im Hinblick auf die Gewährleistung der </w:t>
      </w:r>
      <w:r w:rsidRPr="009118AB">
        <w:rPr>
          <w:iCs/>
          <w:spacing w:val="-1"/>
        </w:rPr>
        <w:lastRenderedPageBreak/>
        <w:t xml:space="preserve">Zahlung </w:t>
      </w:r>
      <w:r w:rsidR="007676CA" w:rsidRPr="009118AB">
        <w:rPr>
          <w:iCs/>
          <w:spacing w:val="-1"/>
        </w:rPr>
        <w:t>der Mehrwertsteuer erwähnt sind</w:t>
      </w:r>
      <w:r w:rsidR="00296F0C" w:rsidRPr="009118AB">
        <w:rPr>
          <w:iCs/>
          <w:spacing w:val="-1"/>
        </w:rPr>
        <w:t xml:space="preserve"> [</w:t>
      </w:r>
      <w:r w:rsidR="00296F0C" w:rsidRPr="009118AB">
        <w:t>und die</w:t>
      </w:r>
      <w:r w:rsidR="00D67EB8" w:rsidRPr="009118AB">
        <w:t> - </w:t>
      </w:r>
      <w:r w:rsidR="00296F0C" w:rsidRPr="009118AB">
        <w:t>wenn sie in den Anwendungsbereich von Artikel 30</w:t>
      </w:r>
      <w:r w:rsidR="00296F0C" w:rsidRPr="009118AB">
        <w:rPr>
          <w:i/>
          <w:iCs/>
        </w:rPr>
        <w:t>bis</w:t>
      </w:r>
      <w:r w:rsidR="00296F0C" w:rsidRPr="009118AB">
        <w:t xml:space="preserve"> des Gesetzes vom 27. Juni 1969 zur Revision des Erlassgesetzes vom 28. Dezember 1944 über die soziale Sicherheit der Arbeitnehmer fallen</w:t>
      </w:r>
      <w:r w:rsidR="00D67EB8" w:rsidRPr="009118AB">
        <w:t> - </w:t>
      </w:r>
      <w:r w:rsidR="00296F0C" w:rsidRPr="009118AB">
        <w:t>gemäß diesem Artikel dem Landesamt für soziale Sicherheit gemeldet worden sind</w:t>
      </w:r>
      <w:r w:rsidR="00296F0C" w:rsidRPr="009118AB">
        <w:rPr>
          <w:iCs/>
          <w:spacing w:val="-1"/>
        </w:rPr>
        <w:t>]</w:t>
      </w:r>
      <w:r w:rsidR="007676CA" w:rsidRPr="009118AB">
        <w:rPr>
          <w:iCs/>
          <w:spacing w:val="-1"/>
        </w:rPr>
        <w:t>,</w:t>
      </w:r>
    </w:p>
    <w:p w14:paraId="3888A090" w14:textId="6C847D37" w:rsidR="007676CA" w:rsidRPr="009118AB" w:rsidRDefault="007676CA" w:rsidP="00C45FBD">
      <w:pPr>
        <w:autoSpaceDE w:val="0"/>
        <w:autoSpaceDN w:val="0"/>
        <w:adjustRightInd w:val="0"/>
        <w:ind w:firstLine="709"/>
        <w:jc w:val="both"/>
        <w:rPr>
          <w:iCs/>
          <w:spacing w:val="-1"/>
        </w:rPr>
      </w:pPr>
    </w:p>
    <w:p w14:paraId="31C49D12" w14:textId="4F1C6801" w:rsidR="007676CA" w:rsidRPr="009118AB" w:rsidRDefault="007676CA" w:rsidP="00C45FBD">
      <w:pPr>
        <w:autoSpaceDE w:val="0"/>
        <w:autoSpaceDN w:val="0"/>
        <w:adjustRightInd w:val="0"/>
        <w:ind w:firstLine="709"/>
        <w:jc w:val="both"/>
        <w:rPr>
          <w:iCs/>
          <w:spacing w:val="-1"/>
        </w:rPr>
      </w:pPr>
      <w:r w:rsidRPr="009118AB">
        <w:rPr>
          <w:iCs/>
          <w:spacing w:val="-1"/>
        </w:rPr>
        <w:t>[</w:t>
      </w:r>
      <w:r w:rsidRPr="009118AB">
        <w:t>- und sofern diese Unternehmen den betreffenden Arbeitnehmern in der vorerwähnten Schicht einen Bruttostundenlohn</w:t>
      </w:r>
      <w:r w:rsidR="00D67EB8" w:rsidRPr="009118AB">
        <w:t> - </w:t>
      </w:r>
      <w:r w:rsidRPr="009118AB">
        <w:t>vor Einbehaltung der persönlichen Sozialversicherungs</w:t>
      </w:r>
      <w:r w:rsidRPr="009118AB">
        <w:softHyphen/>
        <w:t>beiträge</w:t>
      </w:r>
      <w:r w:rsidR="00D67EB8" w:rsidRPr="009118AB">
        <w:t> - </w:t>
      </w:r>
      <w:r w:rsidRPr="009118AB">
        <w:t>von mindestens 13,75 EUR zahlen oder zuerkennen.]</w:t>
      </w:r>
    </w:p>
    <w:p w14:paraId="3AF65DD6" w14:textId="77777777" w:rsidR="00C45FBD" w:rsidRPr="009118AB" w:rsidRDefault="00C45FBD" w:rsidP="00C45FBD">
      <w:pPr>
        <w:autoSpaceDE w:val="0"/>
        <w:autoSpaceDN w:val="0"/>
        <w:adjustRightInd w:val="0"/>
        <w:ind w:firstLine="709"/>
        <w:jc w:val="both"/>
        <w:rPr>
          <w:iCs/>
          <w:spacing w:val="-1"/>
        </w:rPr>
      </w:pPr>
    </w:p>
    <w:p w14:paraId="187AC00C" w14:textId="3F7E7E25" w:rsidR="00C45FBD" w:rsidRPr="009118AB" w:rsidRDefault="007676CA" w:rsidP="00C45FBD">
      <w:pPr>
        <w:autoSpaceDE w:val="0"/>
        <w:autoSpaceDN w:val="0"/>
        <w:adjustRightInd w:val="0"/>
        <w:ind w:firstLine="709"/>
        <w:jc w:val="both"/>
        <w:rPr>
          <w:iCs/>
          <w:spacing w:val="-1"/>
        </w:rPr>
      </w:pPr>
      <w:r w:rsidRPr="009118AB">
        <w:rPr>
          <w:iCs/>
          <w:spacing w:val="-1"/>
        </w:rPr>
        <w:t>[</w:t>
      </w:r>
      <w:r w:rsidRPr="009118AB">
        <w:t>Wenn diese Unternehmen einen in vorhergehendem Absatz erwähnten Bruttostundenlohn</w:t>
      </w:r>
      <w:r w:rsidR="00D67EB8" w:rsidRPr="009118AB">
        <w:t> - </w:t>
      </w:r>
      <w:r w:rsidRPr="009118AB">
        <w:t>vor Einbehaltung der persönlichen Sozialversicherungsbeiträge</w:t>
      </w:r>
      <w:r w:rsidR="00D67EB8" w:rsidRPr="009118AB">
        <w:t> - </w:t>
      </w:r>
      <w:r w:rsidRPr="009118AB">
        <w:t xml:space="preserve">von mindestens 13,75 EUR zahlen oder zuerkennen, wird davon ausgegangen, dass sie eine Schichtzulage wie in </w:t>
      </w:r>
      <w:r w:rsidR="00D67EB8" w:rsidRPr="009118AB">
        <w:t>§ </w:t>
      </w:r>
      <w:r w:rsidRPr="009118AB">
        <w:t>1 Absatz 1 erwähnt gezahlt oder zuerkannt haben.</w:t>
      </w:r>
      <w:r w:rsidRPr="009118AB">
        <w:rPr>
          <w:iCs/>
          <w:spacing w:val="-1"/>
        </w:rPr>
        <w:t>]</w:t>
      </w:r>
    </w:p>
    <w:p w14:paraId="38265604" w14:textId="77777777" w:rsidR="00C45FBD" w:rsidRPr="009118AB" w:rsidRDefault="00C45FBD" w:rsidP="00C45FBD">
      <w:pPr>
        <w:autoSpaceDE w:val="0"/>
        <w:autoSpaceDN w:val="0"/>
        <w:adjustRightInd w:val="0"/>
        <w:ind w:firstLine="709"/>
        <w:jc w:val="both"/>
        <w:rPr>
          <w:iCs/>
          <w:spacing w:val="-1"/>
        </w:rPr>
      </w:pPr>
    </w:p>
    <w:p w14:paraId="31BEA023" w14:textId="25D8065E" w:rsidR="00C45FBD" w:rsidRPr="009118AB" w:rsidRDefault="00C45FBD" w:rsidP="00C45FBD">
      <w:pPr>
        <w:autoSpaceDE w:val="0"/>
        <w:autoSpaceDN w:val="0"/>
        <w:adjustRightInd w:val="0"/>
        <w:ind w:firstLine="709"/>
        <w:jc w:val="both"/>
        <w:rPr>
          <w:iCs/>
          <w:spacing w:val="-1"/>
        </w:rPr>
      </w:pPr>
      <w:r w:rsidRPr="009118AB">
        <w:rPr>
          <w:iCs/>
          <w:spacing w:val="-1"/>
        </w:rPr>
        <w:t xml:space="preserve">Für die in Absatz 1 erwähnten Unternehmen wird die in </w:t>
      </w:r>
      <w:r w:rsidR="00D67EB8" w:rsidRPr="009118AB">
        <w:rPr>
          <w:iCs/>
          <w:spacing w:val="-1"/>
        </w:rPr>
        <w:t>§ </w:t>
      </w:r>
      <w:r w:rsidRPr="009118AB">
        <w:rPr>
          <w:iCs/>
          <w:spacing w:val="-1"/>
        </w:rPr>
        <w:t xml:space="preserve">1 erwähnte Befreiung auf </w:t>
      </w:r>
      <w:r w:rsidR="001D63BE" w:rsidRPr="009118AB">
        <w:rPr>
          <w:iCs/>
          <w:spacing w:val="-1"/>
        </w:rPr>
        <w:t>[18 </w:t>
      </w:r>
      <w:r w:rsidRPr="009118AB">
        <w:rPr>
          <w:iCs/>
          <w:spacing w:val="-1"/>
        </w:rPr>
        <w:t>Prozent</w:t>
      </w:r>
      <w:r w:rsidR="001D63BE" w:rsidRPr="009118AB">
        <w:rPr>
          <w:iCs/>
          <w:spacing w:val="-1"/>
        </w:rPr>
        <w:t>]</w:t>
      </w:r>
      <w:r w:rsidRPr="009118AB">
        <w:rPr>
          <w:iCs/>
          <w:spacing w:val="-1"/>
        </w:rPr>
        <w:t xml:space="preserve"> der Gesamtheit der steuerpflichtigen Entlohnungen aller betroffenen Arbeitnehmer festgelegt.</w:t>
      </w:r>
    </w:p>
    <w:p w14:paraId="79121988" w14:textId="77777777" w:rsidR="00C45FBD" w:rsidRPr="009118AB" w:rsidRDefault="00C45FBD" w:rsidP="00C45FBD">
      <w:pPr>
        <w:autoSpaceDE w:val="0"/>
        <w:autoSpaceDN w:val="0"/>
        <w:adjustRightInd w:val="0"/>
        <w:ind w:firstLine="709"/>
        <w:jc w:val="both"/>
        <w:rPr>
          <w:iCs/>
          <w:spacing w:val="-1"/>
        </w:rPr>
      </w:pPr>
    </w:p>
    <w:p w14:paraId="466A66CC" w14:textId="6B790E7A" w:rsidR="00C45FBD" w:rsidRPr="009118AB" w:rsidRDefault="001D63BE" w:rsidP="00C45FBD">
      <w:pPr>
        <w:autoSpaceDE w:val="0"/>
        <w:autoSpaceDN w:val="0"/>
        <w:adjustRightInd w:val="0"/>
        <w:ind w:firstLine="709"/>
        <w:jc w:val="both"/>
        <w:rPr>
          <w:iCs/>
          <w:spacing w:val="-1"/>
        </w:rPr>
      </w:pPr>
      <w:r w:rsidRPr="009118AB">
        <w:rPr>
          <w:iCs/>
          <w:spacing w:val="-1"/>
        </w:rPr>
        <w:t>[</w:t>
      </w:r>
      <w:r w:rsidRPr="009118AB">
        <w:t>Die in vorliegendem Paragraphen erwähnte Befreiung von der Zahlung des Berufssteuervorabzugs ist</w:t>
      </w:r>
      <w:r w:rsidRPr="009118AB">
        <w:rPr>
          <w:iCs/>
          <w:spacing w:val="-1"/>
        </w:rPr>
        <w:t>]</w:t>
      </w:r>
      <w:r w:rsidR="00C45FBD" w:rsidRPr="009118AB">
        <w:rPr>
          <w:iCs/>
          <w:spacing w:val="-1"/>
        </w:rPr>
        <w:t xml:space="preserve"> nur auf steuerpflichtige Entlohnungen von Arbeitnehmern anwendbar, die in Schichtarbeit Immobilien-arbeiten an Ort und Stelle verrichten.</w:t>
      </w:r>
    </w:p>
    <w:p w14:paraId="7AF68BA1" w14:textId="77777777" w:rsidR="00C45FBD" w:rsidRPr="009118AB" w:rsidRDefault="00C45FBD" w:rsidP="00C45FBD">
      <w:pPr>
        <w:autoSpaceDE w:val="0"/>
        <w:autoSpaceDN w:val="0"/>
        <w:adjustRightInd w:val="0"/>
        <w:ind w:firstLine="709"/>
        <w:jc w:val="both"/>
        <w:rPr>
          <w:iCs/>
          <w:spacing w:val="-1"/>
        </w:rPr>
      </w:pPr>
    </w:p>
    <w:p w14:paraId="5F57926D" w14:textId="6C606294" w:rsidR="00C45FBD" w:rsidRPr="009118AB" w:rsidRDefault="00C45FBD" w:rsidP="00C45FBD">
      <w:pPr>
        <w:autoSpaceDE w:val="0"/>
        <w:autoSpaceDN w:val="0"/>
        <w:adjustRightInd w:val="0"/>
        <w:ind w:firstLine="709"/>
        <w:jc w:val="both"/>
        <w:rPr>
          <w:iCs/>
          <w:spacing w:val="-1"/>
        </w:rPr>
      </w:pPr>
      <w:r w:rsidRPr="009118AB">
        <w:rPr>
          <w:iCs/>
          <w:spacing w:val="-1"/>
        </w:rPr>
        <w:t xml:space="preserve">In vorhergehendem Absatz erwähnte steuerpflichtige Entlohnungen, Schichtzulagen einbegriffen, sind die steuerpflichtigen Entlohnungen der Arbeitnehmer, die gemäß Artikel 31 Absatz 2 </w:t>
      </w:r>
      <w:r w:rsidR="00D67EB8" w:rsidRPr="009118AB">
        <w:rPr>
          <w:iCs/>
          <w:spacing w:val="-1"/>
        </w:rPr>
        <w:t>Nr. </w:t>
      </w:r>
      <w:r w:rsidRPr="009118AB">
        <w:rPr>
          <w:iCs/>
          <w:spacing w:val="-1"/>
        </w:rPr>
        <w:t>1 und 2 festgelegt werden, ohne Zulagen, Urlaubsgeld, Jahresendprämie und ausstehende Entlohnungen.</w:t>
      </w:r>
    </w:p>
    <w:p w14:paraId="3D995203" w14:textId="77777777" w:rsidR="00C45FBD" w:rsidRPr="009118AB" w:rsidRDefault="00C45FBD" w:rsidP="00C45FBD">
      <w:pPr>
        <w:autoSpaceDE w:val="0"/>
        <w:autoSpaceDN w:val="0"/>
        <w:adjustRightInd w:val="0"/>
        <w:ind w:firstLine="709"/>
        <w:jc w:val="both"/>
        <w:rPr>
          <w:iCs/>
          <w:spacing w:val="-1"/>
        </w:rPr>
      </w:pPr>
    </w:p>
    <w:p w14:paraId="23082BE0" w14:textId="77777777" w:rsidR="001D63BE" w:rsidRPr="009118AB" w:rsidRDefault="001D63BE" w:rsidP="001D63BE">
      <w:pPr>
        <w:ind w:firstLine="708"/>
        <w:jc w:val="both"/>
      </w:pPr>
      <w:r w:rsidRPr="009118AB">
        <w:rPr>
          <w:iCs/>
          <w:spacing w:val="-1"/>
        </w:rPr>
        <w:t>[</w:t>
      </w:r>
      <w:r w:rsidRPr="009118AB">
        <w:t>Die in vorliegendem Paragraphen erwähnte Befreiung von der Zahlung des Berufssteuervorabzugs wird nur bewilligt, sofern es sich um Entlohnungen für Arbeitnehmer handelt, die gemäß der Arbeitsregelung, der sie unterliegen, in dem Monat, für den der Vorteil beantragt wird, während mindestens eines Drittels ihrer Arbeitszeit in Schichtarbeit Immobilienarbeiten an Ort und Stelle verrichten. Die Zeiträume der Aussetzung der Erfüllung des Arbeitsvertrags ohne Lohnfortzahlung werden nicht berücksichtigt. Für die Anwendung dieser Norm enthält:</w:t>
      </w:r>
    </w:p>
    <w:p w14:paraId="0B87FC22" w14:textId="77777777" w:rsidR="001D63BE" w:rsidRPr="009118AB" w:rsidRDefault="001D63BE" w:rsidP="001D63BE">
      <w:pPr>
        <w:jc w:val="both"/>
      </w:pPr>
    </w:p>
    <w:p w14:paraId="7AE049F6" w14:textId="77777777" w:rsidR="001D63BE" w:rsidRPr="009118AB" w:rsidRDefault="001D63BE" w:rsidP="001D63BE">
      <w:pPr>
        <w:ind w:firstLine="708"/>
        <w:jc w:val="both"/>
      </w:pPr>
      <w:r w:rsidRPr="009118AB">
        <w:t>- der Zähler: Anzahl tatsächlich geleisteter Arbeitsstunden in Schichtarbeit sowie Stunden, für die die Erfüllung des Arbeitsvertrags ausgesetzt worden ist und der Lohn durch den Arbeitgeber fortgezahlt worden ist, wenn nachgewiesen werden kann, dass der betreffende Arbeitnehmer gemäß seiner Arbeitsregelung in Schichtarbeit Immobilienarbeiten an Ort und Stelle verrichtet hätte,</w:t>
      </w:r>
    </w:p>
    <w:p w14:paraId="0982699E" w14:textId="77777777" w:rsidR="001D63BE" w:rsidRPr="009118AB" w:rsidRDefault="001D63BE" w:rsidP="001D63BE">
      <w:pPr>
        <w:jc w:val="both"/>
      </w:pPr>
    </w:p>
    <w:p w14:paraId="48E4423A" w14:textId="6B1A80A0" w:rsidR="001D63BE" w:rsidRPr="009118AB" w:rsidRDefault="001D63BE" w:rsidP="001D63BE">
      <w:pPr>
        <w:autoSpaceDE w:val="0"/>
        <w:autoSpaceDN w:val="0"/>
        <w:adjustRightInd w:val="0"/>
        <w:ind w:firstLine="709"/>
        <w:jc w:val="both"/>
        <w:rPr>
          <w:iCs/>
          <w:spacing w:val="-1"/>
        </w:rPr>
      </w:pPr>
      <w:r w:rsidRPr="009118AB">
        <w:t>- der Nenner: Gesamtanzahl tatsächlich geleisteter Arbeitsstunden sowie Gesamtanzahl Stunden, für die die Erfüllung des Arbeitsvertrags ausgesetzt worden ist, der Lohn jedoch fortgezahlt worden ist.</w:t>
      </w:r>
      <w:r w:rsidRPr="009118AB">
        <w:rPr>
          <w:iCs/>
          <w:spacing w:val="-1"/>
        </w:rPr>
        <w:t>]</w:t>
      </w:r>
    </w:p>
    <w:p w14:paraId="3AA0A6A1" w14:textId="77777777" w:rsidR="001D63BE" w:rsidRPr="009118AB" w:rsidRDefault="001D63BE" w:rsidP="001D63BE">
      <w:pPr>
        <w:autoSpaceDE w:val="0"/>
        <w:autoSpaceDN w:val="0"/>
        <w:adjustRightInd w:val="0"/>
        <w:ind w:firstLine="709"/>
        <w:jc w:val="both"/>
        <w:rPr>
          <w:iCs/>
          <w:spacing w:val="-1"/>
        </w:rPr>
      </w:pPr>
    </w:p>
    <w:p w14:paraId="3DEC24F1" w14:textId="76A45765" w:rsidR="00C45FBD" w:rsidRPr="009118AB" w:rsidRDefault="00296F0C" w:rsidP="00C45FBD">
      <w:pPr>
        <w:autoSpaceDE w:val="0"/>
        <w:autoSpaceDN w:val="0"/>
        <w:adjustRightInd w:val="0"/>
        <w:ind w:firstLine="709"/>
        <w:jc w:val="both"/>
        <w:rPr>
          <w:iCs/>
          <w:spacing w:val="-1"/>
        </w:rPr>
      </w:pPr>
      <w:r w:rsidRPr="009118AB">
        <w:rPr>
          <w:iCs/>
          <w:spacing w:val="-1"/>
        </w:rPr>
        <w:t>[</w:t>
      </w:r>
      <w:r w:rsidRPr="009118AB">
        <w:t xml:space="preserve">Für Leiharbeit zugelassene Unternehmen, die in Absatz 1 erwähnten Unternehmen Leiharbeitnehmer zur Verfügung stellen, sind in Bezug auf die Befreiung von der Zahlung des Berufssteuervorabzugs auf steuerpflichtige Entlohnungen dieser Leiharbeitnehmer diesen Unternehmen gleichgesetzt, sofern sie den Nachweis erbringen können, dass sie alle Bedingungen für die Anwendung des vorliegenden Artikels erfüllen. Die in vorliegendem </w:t>
      </w:r>
      <w:r w:rsidRPr="009118AB">
        <w:lastRenderedPageBreak/>
        <w:t xml:space="preserve">Absatz erwähnte Gleichsetzung der für Leiharbeit zugelassenen Unternehmen wird für steuerpflichtige Entlohnungen von Leiharbeitnehmern, die ab dem 1. Oktober 2022 gezahlt oder zuerkannt werden, darüber hinaus nur gewährt, </w:t>
      </w:r>
      <w:r w:rsidR="002D696C" w:rsidRPr="009118AB">
        <w:t>[sofern die für Leiharbeit zugelassenen Unternehmen auf die vom König bestimmte Weise die Zustimmung des Unternehmens]</w:t>
      </w:r>
      <w:r w:rsidRPr="009118AB">
        <w:t>, in dem die Leiharbeitnehmer beschäftigt sind, zur Anwendung der in vorliegendem Paragraphen erwähnten Befreiung erhalten haben.</w:t>
      </w:r>
      <w:r w:rsidRPr="009118AB">
        <w:rPr>
          <w:iCs/>
          <w:spacing w:val="-1"/>
        </w:rPr>
        <w:t>]</w:t>
      </w:r>
    </w:p>
    <w:p w14:paraId="275201F3" w14:textId="77777777" w:rsidR="00C45FBD" w:rsidRPr="009118AB" w:rsidRDefault="00C45FBD" w:rsidP="00C45FBD">
      <w:pPr>
        <w:autoSpaceDE w:val="0"/>
        <w:autoSpaceDN w:val="0"/>
        <w:adjustRightInd w:val="0"/>
        <w:ind w:firstLine="709"/>
        <w:jc w:val="both"/>
        <w:rPr>
          <w:iCs/>
          <w:spacing w:val="-1"/>
        </w:rPr>
      </w:pPr>
    </w:p>
    <w:p w14:paraId="10219D4C" w14:textId="2EB533E6" w:rsidR="00C45FBD" w:rsidRPr="009118AB" w:rsidRDefault="007676CA" w:rsidP="00C45FBD">
      <w:pPr>
        <w:autoSpaceDE w:val="0"/>
        <w:autoSpaceDN w:val="0"/>
        <w:adjustRightInd w:val="0"/>
        <w:ind w:firstLine="709"/>
        <w:jc w:val="both"/>
        <w:rPr>
          <w:iCs/>
          <w:spacing w:val="-1"/>
        </w:rPr>
      </w:pPr>
      <w:r w:rsidRPr="009118AB">
        <w:rPr>
          <w:iCs/>
          <w:spacing w:val="-1"/>
        </w:rPr>
        <w:t>[</w:t>
      </w:r>
      <w:r w:rsidRPr="009118AB">
        <w:t xml:space="preserve">Der in Absatz 1 dritter Gedankenstrich und in Absatz 2 erwähnte Betrag ist gebunden an den abgeflachten Gesundheitsindex erwähnt in Artikel 2 </w:t>
      </w:r>
      <w:r w:rsidR="00D67EB8" w:rsidRPr="009118AB">
        <w:t>§ </w:t>
      </w:r>
      <w:r w:rsidRPr="009118AB">
        <w:t>2 des Königlichen Erlasses vom 24. Dezember 1993 zur Ausführung des Gesetzes vom 6. Januar 1989 zur Wahrung der Konkurrenzfähigkeit des Landes, bestätigt durch das Gesetz vom 30. März 1994 zur Festlegung sozialer Bestimmungen, des Monats September 2017 (103,42). [Dieser gegebenenfalls in Anwendung von Absatz 8 erhöhte Betrag] wird am 1. Januar jeden Jahres angepasst, indem er mit der Zahl des abgeflachten Gesundheitsindexes des Monats September des Jahres vor dem Jahr, in dem der neue Betrag anwendbar sein wird, multipliziert wird und durch die Zahl des abgeflachten Gesundheitsindexes des Monats September 2017 geteilt wird. Der so erhaltene Betrag wird auf den höheren oder niedrigeren Eurocent abgerundet, je nachdem ob die Ziffer der Tausendstel 5 erreicht oder nicht.</w:t>
      </w:r>
      <w:r w:rsidRPr="009118AB">
        <w:rPr>
          <w:iCs/>
          <w:spacing w:val="-1"/>
        </w:rPr>
        <w:t>]</w:t>
      </w:r>
    </w:p>
    <w:p w14:paraId="749C342A" w14:textId="7579123A" w:rsidR="00C45FBD" w:rsidRPr="009118AB" w:rsidRDefault="00C45FBD" w:rsidP="00C45FBD">
      <w:pPr>
        <w:autoSpaceDE w:val="0"/>
        <w:autoSpaceDN w:val="0"/>
        <w:adjustRightInd w:val="0"/>
        <w:ind w:firstLine="709"/>
        <w:jc w:val="both"/>
        <w:rPr>
          <w:iCs/>
          <w:spacing w:val="-1"/>
        </w:rPr>
      </w:pPr>
    </w:p>
    <w:p w14:paraId="0647E64E" w14:textId="77777777" w:rsidR="007676CA" w:rsidRPr="009118AB" w:rsidRDefault="007676CA" w:rsidP="007676CA">
      <w:pPr>
        <w:ind w:firstLine="708"/>
        <w:jc w:val="both"/>
      </w:pPr>
      <w:r w:rsidRPr="009118AB">
        <w:rPr>
          <w:iCs/>
          <w:spacing w:val="-1"/>
        </w:rPr>
        <w:t>[</w:t>
      </w:r>
      <w:r w:rsidRPr="009118AB">
        <w:t>Der König kann durch einen im Ministerrat beratenen Erlass den in Absatz 1 dritter Gedankenstrich und in Absatz 2 erwähnten Betrag erhöhen. Diese Erhöhung darf jeweils 10 Prozent des in Absatz 1 dritter Gedankenstrich und in Absatz 2 erwähnten Betrags nicht übersteigen, gegebenenfalls nach Anwendung von Erhöhungen, die in Ausführung des vorliegenden Absatzes bereits durchgeführt und gemäß nachstehendem Absatz bestätigt worden sind.</w:t>
      </w:r>
    </w:p>
    <w:p w14:paraId="0F5AEF4E" w14:textId="77777777" w:rsidR="007676CA" w:rsidRPr="009118AB" w:rsidRDefault="007676CA" w:rsidP="007676CA">
      <w:pPr>
        <w:jc w:val="both"/>
      </w:pPr>
    </w:p>
    <w:p w14:paraId="40BD30B5" w14:textId="14BC1DDA" w:rsidR="007676CA" w:rsidRPr="009118AB" w:rsidRDefault="007676CA" w:rsidP="007676CA">
      <w:pPr>
        <w:autoSpaceDE w:val="0"/>
        <w:autoSpaceDN w:val="0"/>
        <w:adjustRightInd w:val="0"/>
        <w:ind w:firstLine="709"/>
        <w:jc w:val="both"/>
        <w:rPr>
          <w:iCs/>
          <w:spacing w:val="-1"/>
        </w:rPr>
      </w:pPr>
      <w:r w:rsidRPr="009118AB">
        <w:t xml:space="preserve">Der König reicht bei der Abgeordnetenkammer, wenn sie versammelt ist, unverzüglich und sonst, sobald die nächste Sitzungsperiode eröffnet ist, einen Gesetzentwurf ein zur Bestätigung der Erlasse zur Ausführung von vorhergehendem Absatz. Es wird davon ausgegangen, dass diese Erlasse nicht wirksam geworden sind, wenn sie nicht binnen zwölf Monaten nach dem Datum ihrer Veröffentlichung im </w:t>
      </w:r>
      <w:r w:rsidRPr="009118AB">
        <w:rPr>
          <w:i/>
          <w:iCs/>
        </w:rPr>
        <w:t>Belgischen Staatsblatt</w:t>
      </w:r>
      <w:r w:rsidRPr="009118AB">
        <w:t xml:space="preserve"> durch Gesetz bestätigt worden sind.</w:t>
      </w:r>
      <w:r w:rsidRPr="009118AB">
        <w:rPr>
          <w:iCs/>
          <w:spacing w:val="-1"/>
        </w:rPr>
        <w:t>]</w:t>
      </w:r>
    </w:p>
    <w:p w14:paraId="0FD1F5E0" w14:textId="77777777" w:rsidR="007676CA" w:rsidRPr="009118AB" w:rsidRDefault="007676CA" w:rsidP="007676CA">
      <w:pPr>
        <w:autoSpaceDE w:val="0"/>
        <w:autoSpaceDN w:val="0"/>
        <w:adjustRightInd w:val="0"/>
        <w:ind w:firstLine="709"/>
        <w:jc w:val="both"/>
        <w:rPr>
          <w:iCs/>
          <w:spacing w:val="-1"/>
        </w:rPr>
      </w:pPr>
    </w:p>
    <w:p w14:paraId="278A1B02" w14:textId="4FFD6C67" w:rsidR="00C45FBD" w:rsidRPr="009118AB" w:rsidRDefault="001D63BE" w:rsidP="00C45FBD">
      <w:pPr>
        <w:autoSpaceDE w:val="0"/>
        <w:autoSpaceDN w:val="0"/>
        <w:adjustRightInd w:val="0"/>
        <w:ind w:firstLine="709"/>
        <w:jc w:val="both"/>
        <w:rPr>
          <w:iCs/>
          <w:spacing w:val="-1"/>
        </w:rPr>
      </w:pPr>
      <w:r w:rsidRPr="009118AB">
        <w:rPr>
          <w:iCs/>
          <w:spacing w:val="-1"/>
        </w:rPr>
        <w:t>[...]</w:t>
      </w:r>
      <w:r w:rsidR="00C45FBD" w:rsidRPr="009118AB">
        <w:rPr>
          <w:iCs/>
          <w:spacing w:val="-1"/>
        </w:rPr>
        <w:t>]</w:t>
      </w:r>
    </w:p>
    <w:p w14:paraId="3C69BB16" w14:textId="77777777" w:rsidR="00296F0C" w:rsidRPr="009118AB" w:rsidRDefault="00296F0C" w:rsidP="00C45FBD">
      <w:pPr>
        <w:autoSpaceDE w:val="0"/>
        <w:autoSpaceDN w:val="0"/>
        <w:adjustRightInd w:val="0"/>
        <w:ind w:firstLine="709"/>
        <w:jc w:val="both"/>
        <w:rPr>
          <w:iCs/>
          <w:spacing w:val="-1"/>
        </w:rPr>
      </w:pPr>
    </w:p>
    <w:p w14:paraId="570E52E6" w14:textId="45FC53F3" w:rsidR="00296F0C" w:rsidRPr="009118AB" w:rsidRDefault="00296F0C" w:rsidP="00C45FBD">
      <w:pPr>
        <w:autoSpaceDE w:val="0"/>
        <w:autoSpaceDN w:val="0"/>
        <w:adjustRightInd w:val="0"/>
        <w:ind w:firstLine="709"/>
        <w:jc w:val="both"/>
        <w:rPr>
          <w:iCs/>
          <w:spacing w:val="-1"/>
        </w:rPr>
      </w:pPr>
      <w:r w:rsidRPr="009118AB">
        <w:rPr>
          <w:iCs/>
          <w:spacing w:val="-1"/>
        </w:rPr>
        <w:t>[</w:t>
      </w:r>
      <w:r w:rsidRPr="009118AB">
        <w:t>Die in vorliegendem Paragraphen erwähnte Zahlungsbefreiung kann nicht gewährt werden, wenn eine andere in vorliegendem Artikel erwähnte Befreiung auf dieselbe Entlohnung angewandt wird.</w:t>
      </w:r>
      <w:r w:rsidRPr="009118AB">
        <w:rPr>
          <w:iCs/>
          <w:spacing w:val="-1"/>
        </w:rPr>
        <w:t>]</w:t>
      </w:r>
    </w:p>
    <w:p w14:paraId="54816123" w14:textId="77777777" w:rsidR="00BD33B2" w:rsidRPr="009118AB" w:rsidRDefault="00BD33B2" w:rsidP="00C45FBD">
      <w:pPr>
        <w:autoSpaceDE w:val="0"/>
        <w:autoSpaceDN w:val="0"/>
        <w:adjustRightInd w:val="0"/>
        <w:ind w:firstLine="709"/>
        <w:jc w:val="both"/>
        <w:rPr>
          <w:iCs/>
          <w:spacing w:val="-1"/>
        </w:rPr>
      </w:pPr>
    </w:p>
    <w:p w14:paraId="02784FCA" w14:textId="48348C86" w:rsidR="00BD33B2" w:rsidRPr="009118AB" w:rsidRDefault="00BD33B2" w:rsidP="00C45FBD">
      <w:pPr>
        <w:autoSpaceDE w:val="0"/>
        <w:autoSpaceDN w:val="0"/>
        <w:adjustRightInd w:val="0"/>
        <w:ind w:firstLine="709"/>
        <w:jc w:val="both"/>
        <w:rPr>
          <w:iCs/>
          <w:spacing w:val="-1"/>
        </w:rPr>
      </w:pPr>
      <w:r w:rsidRPr="009118AB">
        <w:rPr>
          <w:iCs/>
          <w:spacing w:val="-1"/>
        </w:rPr>
        <w:t>[</w:t>
      </w:r>
      <w:r w:rsidR="00D67EB8" w:rsidRPr="009118AB">
        <w:t>§ </w:t>
      </w:r>
      <w:r w:rsidRPr="009118AB">
        <w:t>6</w:t>
      </w:r>
      <w:r w:rsidR="00D67EB8" w:rsidRPr="009118AB">
        <w:t> - </w:t>
      </w:r>
      <w:r w:rsidRPr="009118AB">
        <w:t xml:space="preserve">Der König bestimmt die Formalitäten, die für die Anwendung des vorliegenden Artikels zu erledigen sind. Er bestimmt insbesondere die Regeln und Modalitäten für die Einreichung der in </w:t>
      </w:r>
      <w:r w:rsidR="00D67EB8" w:rsidRPr="009118AB">
        <w:t>§ </w:t>
      </w:r>
      <w:r w:rsidRPr="009118AB">
        <w:t>4 Absatz 7 erwähnten Bescheinigung.</w:t>
      </w:r>
      <w:r w:rsidRPr="009118AB">
        <w:rPr>
          <w:iCs/>
          <w:spacing w:val="-1"/>
        </w:rPr>
        <w:t>]</w:t>
      </w:r>
    </w:p>
    <w:p w14:paraId="783AD6FE" w14:textId="77777777" w:rsidR="00AB0866" w:rsidRPr="009118AB" w:rsidRDefault="00AB0866" w:rsidP="00AB0866">
      <w:pPr>
        <w:autoSpaceDE w:val="0"/>
        <w:autoSpaceDN w:val="0"/>
        <w:adjustRightInd w:val="0"/>
        <w:jc w:val="both"/>
        <w:rPr>
          <w:iCs/>
          <w:spacing w:val="-1"/>
        </w:rPr>
      </w:pPr>
    </w:p>
    <w:p w14:paraId="0456C21E" w14:textId="77EA48C3" w:rsidR="00AB0866" w:rsidRPr="009118AB" w:rsidRDefault="00AB0866" w:rsidP="00AB0866">
      <w:pPr>
        <w:autoSpaceDE w:val="0"/>
        <w:autoSpaceDN w:val="0"/>
        <w:adjustRightInd w:val="0"/>
        <w:jc w:val="both"/>
        <w:rPr>
          <w:i/>
          <w:iCs/>
          <w:spacing w:val="-1"/>
        </w:rPr>
      </w:pPr>
      <w:r w:rsidRPr="009118AB">
        <w:rPr>
          <w:i/>
          <w:iCs/>
          <w:spacing w:val="-1"/>
        </w:rPr>
        <w:t>[</w:t>
      </w:r>
      <w:r w:rsidR="00D67EB8" w:rsidRPr="009118AB">
        <w:rPr>
          <w:i/>
          <w:iCs/>
          <w:spacing w:val="-1"/>
        </w:rPr>
        <w:t>Art. </w:t>
      </w:r>
      <w:r w:rsidRPr="009118AB">
        <w:rPr>
          <w:i/>
          <w:iCs/>
          <w:spacing w:val="-1"/>
        </w:rPr>
        <w:t>275</w:t>
      </w:r>
      <w:r w:rsidRPr="009118AB">
        <w:rPr>
          <w:i/>
          <w:iCs/>
          <w:spacing w:val="-1"/>
          <w:vertAlign w:val="superscript"/>
        </w:rPr>
        <w:t>5</w:t>
      </w:r>
      <w:r w:rsidRPr="009118AB">
        <w:rPr>
          <w:i/>
          <w:iCs/>
          <w:spacing w:val="-1"/>
        </w:rPr>
        <w:t xml:space="preserve"> eingefügt durch </w:t>
      </w:r>
      <w:r w:rsidR="00D67EB8" w:rsidRPr="009118AB">
        <w:rPr>
          <w:i/>
          <w:iCs/>
          <w:spacing w:val="-1"/>
        </w:rPr>
        <w:t>Art. </w:t>
      </w:r>
      <w:r w:rsidRPr="009118AB">
        <w:rPr>
          <w:i/>
          <w:iCs/>
          <w:spacing w:val="-1"/>
        </w:rPr>
        <w:t>108 des G. vom 23. Dezember 2005 (B.S. vom 30. Dezember 2005)</w:t>
      </w:r>
      <w:r w:rsidR="00D67EB8" w:rsidRPr="009118AB">
        <w:rPr>
          <w:i/>
          <w:iCs/>
          <w:spacing w:val="-1"/>
        </w:rPr>
        <w:t> - </w:t>
      </w:r>
      <w:r w:rsidRPr="009118AB">
        <w:rPr>
          <w:i/>
          <w:iCs/>
          <w:spacing w:val="-1"/>
        </w:rPr>
        <w:t>anwendbar auf die ab dem 1. Januar 2006 gezahlten oder zuerkannten Entlohnungen und Schicht- und Nachtarbeitszulagen</w:t>
      </w:r>
      <w:r w:rsidR="003366D9" w:rsidRPr="009118AB">
        <w:rPr>
          <w:i/>
          <w:iCs/>
          <w:spacing w:val="-1"/>
        </w:rPr>
        <w:t> -;</w:t>
      </w:r>
      <w:r w:rsidRPr="009118AB">
        <w:rPr>
          <w:i/>
          <w:iCs/>
          <w:spacing w:val="-1"/>
        </w:rPr>
        <w:t xml:space="preserve"> </w:t>
      </w:r>
      <w:r w:rsidR="00D67EB8" w:rsidRPr="009118AB">
        <w:rPr>
          <w:i/>
          <w:iCs/>
          <w:spacing w:val="-1"/>
        </w:rPr>
        <w:t>§ </w:t>
      </w:r>
      <w:r w:rsidRPr="009118AB">
        <w:rPr>
          <w:i/>
          <w:iCs/>
          <w:spacing w:val="-1"/>
        </w:rPr>
        <w:t xml:space="preserve">1 </w:t>
      </w:r>
      <w:r w:rsidR="00296F0C" w:rsidRPr="009118AB">
        <w:rPr>
          <w:i/>
          <w:iCs/>
          <w:spacing w:val="-1"/>
        </w:rPr>
        <w:t xml:space="preserve">ersetzt durch </w:t>
      </w:r>
      <w:r w:rsidR="00D67EB8" w:rsidRPr="009118AB">
        <w:rPr>
          <w:i/>
          <w:iCs/>
          <w:spacing w:val="-1"/>
        </w:rPr>
        <w:t>Art. </w:t>
      </w:r>
      <w:r w:rsidR="00296F0C" w:rsidRPr="009118AB">
        <w:rPr>
          <w:i/>
          <w:iCs/>
          <w:spacing w:val="-1"/>
        </w:rPr>
        <w:t xml:space="preserve">10 </w:t>
      </w:r>
      <w:r w:rsidR="00D67EB8" w:rsidRPr="009118AB">
        <w:rPr>
          <w:i/>
          <w:iCs/>
          <w:spacing w:val="-1"/>
        </w:rPr>
        <w:t>Nr. </w:t>
      </w:r>
      <w:r w:rsidR="00296F0C" w:rsidRPr="009118AB">
        <w:rPr>
          <w:i/>
          <w:iCs/>
          <w:spacing w:val="-1"/>
        </w:rPr>
        <w:t>1</w:t>
      </w:r>
      <w:r w:rsidR="00296F0C"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296F0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Pr="009118AB">
        <w:rPr>
          <w:rFonts w:ascii="Times New Roman Italique" w:hAnsi="Times New Roman Italique"/>
          <w:i/>
          <w:iCs/>
          <w:spacing w:val="2"/>
        </w:rPr>
        <w:t xml:space="preserve"> </w:t>
      </w:r>
      <w:r w:rsidR="002D696C" w:rsidRPr="009118AB">
        <w:rPr>
          <w:rFonts w:ascii="Times New Roman Italique" w:hAnsi="Times New Roman Italique"/>
          <w:i/>
          <w:iCs/>
          <w:spacing w:val="2"/>
        </w:rPr>
        <w:t>§</w:t>
      </w:r>
      <w:r w:rsidR="002D696C" w:rsidRPr="009118AB">
        <w:rPr>
          <w:rFonts w:ascii="Times New Roman Italique" w:hAnsi="Times New Roman Italique" w:hint="eastAsia"/>
          <w:i/>
          <w:iCs/>
          <w:spacing w:val="2"/>
        </w:rPr>
        <w:t> </w:t>
      </w:r>
      <w:r w:rsidR="002D696C" w:rsidRPr="009118AB">
        <w:rPr>
          <w:rFonts w:ascii="Times New Roman Italique" w:hAnsi="Times New Roman Italique"/>
          <w:i/>
          <w:iCs/>
          <w:spacing w:val="2"/>
        </w:rPr>
        <w:t>1 Abs.8 abgeändert durch Art. 30 Nr.</w:t>
      </w:r>
      <w:r w:rsidR="002D696C" w:rsidRPr="009118AB">
        <w:rPr>
          <w:rFonts w:ascii="Times New Roman Italique" w:hAnsi="Times New Roman Italique" w:hint="eastAsia"/>
          <w:i/>
          <w:iCs/>
          <w:spacing w:val="2"/>
        </w:rPr>
        <w:t> </w:t>
      </w:r>
      <w:r w:rsidR="002D696C" w:rsidRPr="009118AB">
        <w:rPr>
          <w:rFonts w:ascii="Times New Roman Italique" w:hAnsi="Times New Roman Italique"/>
          <w:i/>
          <w:iCs/>
          <w:spacing w:val="2"/>
        </w:rPr>
        <w:t>1</w:t>
      </w:r>
      <w:r w:rsidR="002D696C" w:rsidRPr="009118AB">
        <w:rPr>
          <w:i/>
          <w:iCs/>
        </w:rPr>
        <w:t xml:space="preserve"> des G. vom 21. Dezember 2022 (II) (B.S. vom 29. Dezember 2022)</w:t>
      </w:r>
      <w:r w:rsidR="002D696C" w:rsidRPr="009118AB">
        <w:rPr>
          <w:rFonts w:ascii="Times New Roman Italique" w:hAnsi="Times New Roman Italique"/>
          <w:i/>
          <w:iCs/>
          <w:spacing w:val="2"/>
        </w:rPr>
        <w:t xml:space="preserve">; </w:t>
      </w:r>
      <w:r w:rsidR="00FD7990">
        <w:rPr>
          <w:rFonts w:ascii="Times New Roman Italique" w:hAnsi="Times New Roman Italique"/>
          <w:i/>
          <w:iCs/>
          <w:spacing w:val="2"/>
        </w:rPr>
        <w:t>§</w:t>
      </w:r>
      <w:r w:rsidR="00FD7990">
        <w:rPr>
          <w:rFonts w:ascii="Times New Roman Italique" w:hAnsi="Times New Roman Italique" w:hint="eastAsia"/>
          <w:i/>
          <w:iCs/>
          <w:spacing w:val="2"/>
        </w:rPr>
        <w:t> </w:t>
      </w:r>
      <w:r w:rsidR="00FD7990">
        <w:rPr>
          <w:rFonts w:ascii="Times New Roman Italique" w:hAnsi="Times New Roman Italique"/>
          <w:i/>
          <w:iCs/>
          <w:spacing w:val="2"/>
        </w:rPr>
        <w:t>1/1 eingefügt durch Art. 68 Nr.</w:t>
      </w:r>
      <w:r w:rsidR="00FD7990">
        <w:rPr>
          <w:rFonts w:ascii="Times New Roman Italique" w:hAnsi="Times New Roman Italique" w:hint="eastAsia"/>
          <w:i/>
          <w:iCs/>
          <w:spacing w:val="2"/>
        </w:rPr>
        <w:t> </w:t>
      </w:r>
      <w:r w:rsidR="00FD7990">
        <w:rPr>
          <w:rFonts w:ascii="Times New Roman Italique" w:hAnsi="Times New Roman Italique"/>
          <w:i/>
          <w:iCs/>
          <w:spacing w:val="2"/>
        </w:rPr>
        <w:t>1</w:t>
      </w:r>
      <w:r w:rsidR="00FD7990" w:rsidRPr="00FD7990">
        <w:rPr>
          <w:rFonts w:ascii="Times New Roman Italique" w:hAnsi="Times New Roman Italique"/>
          <w:i/>
          <w:iCs/>
          <w:spacing w:val="2"/>
        </w:rPr>
        <w:t xml:space="preserve"> des G. vom 12. Mai 2024 (B.S. vom 29. Mai 2024) -</w:t>
      </w:r>
      <w:r w:rsidR="00FD7990">
        <w:rPr>
          <w:rFonts w:ascii="Times New Roman Italique" w:hAnsi="Times New Roman Italique" w:hint="eastAsia"/>
          <w:i/>
          <w:iCs/>
          <w:spacing w:val="2"/>
        </w:rPr>
        <w:t> </w:t>
      </w:r>
      <w:r w:rsidR="00FD7990" w:rsidRPr="00FD7990">
        <w:rPr>
          <w:rFonts w:ascii="Times New Roman Italique" w:hAnsi="Times New Roman Italique"/>
          <w:i/>
          <w:iCs/>
          <w:spacing w:val="2"/>
        </w:rPr>
        <w:t>anwendbar</w:t>
      </w:r>
      <w:r w:rsidR="00FD7990">
        <w:rPr>
          <w:rFonts w:ascii="Times New Roman Italique" w:hAnsi="Times New Roman Italique" w:hint="eastAsia"/>
          <w:i/>
          <w:iCs/>
          <w:spacing w:val="2"/>
        </w:rPr>
        <w:t> </w:t>
      </w:r>
      <w:r w:rsidR="00FD7990" w:rsidRPr="00FD7990">
        <w:rPr>
          <w:rFonts w:ascii="Times New Roman Italique" w:hAnsi="Times New Roman Italique"/>
          <w:i/>
          <w:iCs/>
          <w:spacing w:val="2"/>
        </w:rPr>
        <w:t xml:space="preserve">auf die ab dem </w:t>
      </w:r>
      <w:r w:rsidR="00FD7990" w:rsidRPr="00FD7990">
        <w:rPr>
          <w:rFonts w:ascii="Times New Roman Italique" w:hAnsi="Times New Roman Italique"/>
          <w:i/>
          <w:iCs/>
          <w:spacing w:val="2"/>
        </w:rPr>
        <w:lastRenderedPageBreak/>
        <w:t xml:space="preserve">1. Januar 2021 gezahlten oder zuerkannten Entlohnungen </w:t>
      </w:r>
      <w:r w:rsidR="00FD7990">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w:t>
      </w:r>
      <w:r w:rsidR="00296F0C" w:rsidRPr="009118AB">
        <w:rPr>
          <w:rFonts w:ascii="Times New Roman Italique" w:hAnsi="Times New Roman Italique"/>
          <w:i/>
          <w:iCs/>
          <w:spacing w:val="2"/>
        </w:rPr>
        <w:t xml:space="preserve">ersetzt durch </w:t>
      </w:r>
      <w:r w:rsidR="00D67EB8" w:rsidRPr="009118AB">
        <w:rPr>
          <w:rFonts w:ascii="Times New Roman Italique" w:hAnsi="Times New Roman Italique"/>
          <w:i/>
          <w:iCs/>
          <w:spacing w:val="2"/>
        </w:rPr>
        <w:t>Art. </w:t>
      </w:r>
      <w:r w:rsidR="00296F0C" w:rsidRPr="009118AB">
        <w:rPr>
          <w:rFonts w:ascii="Times New Roman Italique" w:hAnsi="Times New Roman Italique"/>
          <w:i/>
          <w:iCs/>
          <w:spacing w:val="2"/>
        </w:rPr>
        <w:t xml:space="preserve">10 </w:t>
      </w:r>
      <w:r w:rsidR="00D67EB8" w:rsidRPr="009118AB">
        <w:rPr>
          <w:rFonts w:ascii="Times New Roman Italique" w:hAnsi="Times New Roman Italique"/>
          <w:i/>
          <w:iCs/>
          <w:spacing w:val="2"/>
        </w:rPr>
        <w:t>Nr. </w:t>
      </w:r>
      <w:r w:rsidR="00296F0C" w:rsidRPr="009118AB">
        <w:rPr>
          <w:rFonts w:ascii="Times New Roman Italique" w:hAnsi="Times New Roman Italique"/>
          <w:i/>
          <w:iCs/>
          <w:spacing w:val="2"/>
        </w:rPr>
        <w:t>2</w:t>
      </w:r>
      <w:r w:rsidR="00296F0C"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296F0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Pr="009118AB">
        <w:rPr>
          <w:i/>
          <w:iCs/>
          <w:spacing w:val="-1"/>
        </w:rPr>
        <w:t xml:space="preserve"> </w:t>
      </w:r>
      <w:r w:rsidR="002D696C" w:rsidRPr="009118AB">
        <w:rPr>
          <w:rFonts w:ascii="Times New Roman Italique" w:hAnsi="Times New Roman Italique"/>
          <w:i/>
          <w:iCs/>
          <w:spacing w:val="2"/>
        </w:rPr>
        <w:t>§</w:t>
      </w:r>
      <w:r w:rsidR="002D696C" w:rsidRPr="009118AB">
        <w:rPr>
          <w:rFonts w:ascii="Times New Roman Italique" w:hAnsi="Times New Roman Italique" w:hint="eastAsia"/>
          <w:i/>
          <w:iCs/>
          <w:spacing w:val="2"/>
        </w:rPr>
        <w:t> </w:t>
      </w:r>
      <w:r w:rsidR="002D696C" w:rsidRPr="009118AB">
        <w:rPr>
          <w:rFonts w:ascii="Times New Roman Italique" w:hAnsi="Times New Roman Italique"/>
          <w:i/>
          <w:iCs/>
          <w:spacing w:val="2"/>
        </w:rPr>
        <w:t>2 Abs.7 abgeändert durch Art. 30 Nr.</w:t>
      </w:r>
      <w:r w:rsidR="002D696C" w:rsidRPr="009118AB">
        <w:rPr>
          <w:rFonts w:ascii="Times New Roman Italique" w:hAnsi="Times New Roman Italique" w:hint="eastAsia"/>
          <w:i/>
          <w:iCs/>
          <w:spacing w:val="2"/>
        </w:rPr>
        <w:t> </w:t>
      </w:r>
      <w:r w:rsidR="002D696C" w:rsidRPr="009118AB">
        <w:rPr>
          <w:rFonts w:ascii="Times New Roman Italique" w:hAnsi="Times New Roman Italique"/>
          <w:i/>
          <w:iCs/>
          <w:spacing w:val="2"/>
        </w:rPr>
        <w:t>2</w:t>
      </w:r>
      <w:r w:rsidR="002D696C" w:rsidRPr="009118AB">
        <w:rPr>
          <w:i/>
          <w:iCs/>
        </w:rPr>
        <w:t xml:space="preserve"> des G. vom 21. Dezember 2022 (II) (B.S. vom 29. Dezember 2022)</w:t>
      </w:r>
      <w:r w:rsidR="002D696C" w:rsidRPr="009118AB">
        <w:rPr>
          <w:rFonts w:ascii="Times New Roman Italique" w:hAnsi="Times New Roman Italique"/>
          <w:i/>
          <w:iCs/>
          <w:spacing w:val="2"/>
        </w:rPr>
        <w:t xml:space="preserve">; </w:t>
      </w:r>
      <w:r w:rsidR="00D67EB8" w:rsidRPr="009118AB">
        <w:rPr>
          <w:i/>
          <w:iCs/>
          <w:spacing w:val="-1"/>
        </w:rPr>
        <w:t>§ </w:t>
      </w:r>
      <w:r w:rsidRPr="009118AB">
        <w:rPr>
          <w:i/>
          <w:iCs/>
          <w:spacing w:val="-1"/>
        </w:rPr>
        <w:t xml:space="preserve">3 eingefügt durch </w:t>
      </w:r>
      <w:r w:rsidR="00D67EB8" w:rsidRPr="009118AB">
        <w:rPr>
          <w:i/>
          <w:iCs/>
          <w:spacing w:val="-1"/>
        </w:rPr>
        <w:t>Art. </w:t>
      </w:r>
      <w:r w:rsidRPr="009118AB">
        <w:rPr>
          <w:i/>
          <w:iCs/>
          <w:spacing w:val="-1"/>
        </w:rPr>
        <w:t>53 des G. (I) vom 26. Dezember 2013 (II) (B.S. vom 31. Dezember 2013)</w:t>
      </w:r>
      <w:r w:rsidR="00D67EB8" w:rsidRPr="009118AB">
        <w:rPr>
          <w:i/>
          <w:iCs/>
          <w:spacing w:val="-1"/>
        </w:rPr>
        <w:t> - </w:t>
      </w:r>
      <w:r w:rsidRPr="009118AB">
        <w:rPr>
          <w:i/>
          <w:iCs/>
          <w:spacing w:val="-1"/>
        </w:rPr>
        <w:t>in Kraft ab dem 1. Januar 2014</w:t>
      </w:r>
      <w:r w:rsidR="003366D9" w:rsidRPr="009118AB">
        <w:rPr>
          <w:i/>
          <w:iCs/>
          <w:spacing w:val="-1"/>
        </w:rPr>
        <w:t> -;</w:t>
      </w:r>
      <w:r w:rsidR="000117ED" w:rsidRPr="009118AB">
        <w:rPr>
          <w:i/>
          <w:iCs/>
          <w:spacing w:val="-1"/>
        </w:rPr>
        <w:t xml:space="preserve"> </w:t>
      </w:r>
      <w:r w:rsidR="00D67EB8" w:rsidRPr="009118AB">
        <w:rPr>
          <w:i/>
          <w:iCs/>
          <w:spacing w:val="-1"/>
        </w:rPr>
        <w:t>§ </w:t>
      </w:r>
      <w:r w:rsidR="00046003" w:rsidRPr="009118AB">
        <w:rPr>
          <w:i/>
          <w:iCs/>
          <w:spacing w:val="-1"/>
        </w:rPr>
        <w:t xml:space="preserve">3 </w:t>
      </w:r>
      <w:r w:rsidR="00D67EB8" w:rsidRPr="009118AB">
        <w:rPr>
          <w:i/>
          <w:iCs/>
          <w:spacing w:val="-1"/>
        </w:rPr>
        <w:t>Abs. </w:t>
      </w:r>
      <w:r w:rsidR="00046003" w:rsidRPr="009118AB">
        <w:rPr>
          <w:i/>
          <w:iCs/>
          <w:spacing w:val="-1"/>
        </w:rPr>
        <w:t xml:space="preserve">1 abgeändert durch </w:t>
      </w:r>
      <w:r w:rsidR="00D67EB8" w:rsidRPr="009118AB">
        <w:rPr>
          <w:i/>
          <w:iCs/>
          <w:spacing w:val="-1"/>
        </w:rPr>
        <w:t>Art. </w:t>
      </w:r>
      <w:r w:rsidR="00046003" w:rsidRPr="009118AB">
        <w:rPr>
          <w:i/>
          <w:iCs/>
          <w:spacing w:val="-1"/>
        </w:rPr>
        <w:t xml:space="preserve">5 </w:t>
      </w:r>
      <w:r w:rsidR="00D67EB8" w:rsidRPr="009118AB">
        <w:rPr>
          <w:i/>
          <w:iCs/>
          <w:spacing w:val="-1"/>
        </w:rPr>
        <w:t>Nr. </w:t>
      </w:r>
      <w:r w:rsidR="00046003" w:rsidRPr="009118AB">
        <w:rPr>
          <w:i/>
          <w:iCs/>
          <w:spacing w:val="-1"/>
        </w:rPr>
        <w:t>5</w:t>
      </w:r>
      <w:r w:rsidR="00046003" w:rsidRPr="009118AB">
        <w:rPr>
          <w:i/>
          <w:iCs/>
          <w:spacing w:val="2"/>
        </w:rPr>
        <w:t xml:space="preserve"> des G. vom 2</w:t>
      </w:r>
      <w:r w:rsidR="00306781" w:rsidRPr="009118AB">
        <w:rPr>
          <w:i/>
          <w:iCs/>
          <w:spacing w:val="2"/>
        </w:rPr>
        <w:t>8</w:t>
      </w:r>
      <w:r w:rsidR="00046003" w:rsidRPr="009118AB">
        <w:rPr>
          <w:i/>
          <w:iCs/>
          <w:spacing w:val="2"/>
        </w:rPr>
        <w:t xml:space="preserve">. April 2019 (B.S. vom </w:t>
      </w:r>
      <w:r w:rsidR="00306781" w:rsidRPr="009118AB">
        <w:rPr>
          <w:i/>
          <w:iCs/>
          <w:spacing w:val="2"/>
        </w:rPr>
        <w:t>6</w:t>
      </w:r>
      <w:r w:rsidR="00046003" w:rsidRPr="009118AB">
        <w:rPr>
          <w:i/>
          <w:iCs/>
          <w:spacing w:val="2"/>
        </w:rPr>
        <w:t>. Mai 2019)</w:t>
      </w:r>
      <w:r w:rsidR="00D67EB8" w:rsidRPr="009118AB">
        <w:rPr>
          <w:i/>
          <w:iCs/>
          <w:spacing w:val="2"/>
        </w:rPr>
        <w:t> - </w:t>
      </w:r>
      <w:r w:rsidR="00046003" w:rsidRPr="009118AB">
        <w:rPr>
          <w:i/>
          <w:iCs/>
          <w:spacing w:val="2"/>
        </w:rPr>
        <w:t>anwendbar auf die ab dem 1. Januar 2018 gezahlten oder zuerkannten Entlohnungen</w:t>
      </w:r>
      <w:r w:rsidR="003366D9" w:rsidRPr="009118AB">
        <w:rPr>
          <w:i/>
          <w:iCs/>
          <w:spacing w:val="2"/>
        </w:rPr>
        <w:t> -;</w:t>
      </w:r>
      <w:r w:rsidR="00046003" w:rsidRPr="009118AB">
        <w:rPr>
          <w:i/>
          <w:iCs/>
          <w:spacing w:val="2"/>
        </w:rPr>
        <w:t xml:space="preserve"> </w:t>
      </w:r>
      <w:r w:rsidR="00D67EB8" w:rsidRPr="009118AB">
        <w:rPr>
          <w:i/>
          <w:iCs/>
          <w:spacing w:val="2"/>
        </w:rPr>
        <w:t>§ </w:t>
      </w:r>
      <w:r w:rsidR="00296F0C" w:rsidRPr="009118AB">
        <w:rPr>
          <w:i/>
          <w:iCs/>
          <w:spacing w:val="2"/>
        </w:rPr>
        <w:t xml:space="preserve">3 </w:t>
      </w:r>
      <w:r w:rsidR="00D67EB8" w:rsidRPr="009118AB">
        <w:rPr>
          <w:i/>
          <w:iCs/>
          <w:spacing w:val="2"/>
        </w:rPr>
        <w:t>Abs. </w:t>
      </w:r>
      <w:r w:rsidR="00296F0C" w:rsidRPr="009118AB">
        <w:rPr>
          <w:i/>
          <w:iCs/>
          <w:spacing w:val="2"/>
        </w:rPr>
        <w:t xml:space="preserve">2 abgeändert durch </w:t>
      </w:r>
      <w:r w:rsidR="00D67EB8" w:rsidRPr="009118AB">
        <w:rPr>
          <w:i/>
          <w:iCs/>
          <w:spacing w:val="2"/>
        </w:rPr>
        <w:t>Art. </w:t>
      </w:r>
      <w:r w:rsidR="00296F0C" w:rsidRPr="009118AB">
        <w:rPr>
          <w:i/>
          <w:iCs/>
          <w:spacing w:val="2"/>
        </w:rPr>
        <w:t xml:space="preserve">10 </w:t>
      </w:r>
      <w:r w:rsidR="00D67EB8" w:rsidRPr="009118AB">
        <w:rPr>
          <w:i/>
          <w:iCs/>
          <w:spacing w:val="2"/>
        </w:rPr>
        <w:t>Nr. </w:t>
      </w:r>
      <w:r w:rsidR="00296F0C" w:rsidRPr="009118AB">
        <w:rPr>
          <w:i/>
          <w:iCs/>
          <w:spacing w:val="2"/>
        </w:rPr>
        <w:t>3</w:t>
      </w:r>
      <w:r w:rsidR="00296F0C"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296F0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00296F0C" w:rsidRPr="009118AB">
        <w:rPr>
          <w:rFonts w:ascii="Times New Roman Italique" w:hAnsi="Times New Roman Italique"/>
          <w:i/>
        </w:rPr>
        <w:t xml:space="preserve"> </w:t>
      </w:r>
      <w:r w:rsidR="00D67EB8" w:rsidRPr="009118AB">
        <w:rPr>
          <w:rFonts w:ascii="Times New Roman Italique" w:hAnsi="Times New Roman Italique"/>
          <w:i/>
        </w:rPr>
        <w:t>§ </w:t>
      </w:r>
      <w:r w:rsidR="00296F0C" w:rsidRPr="009118AB">
        <w:rPr>
          <w:rFonts w:ascii="Times New Roman Italique" w:hAnsi="Times New Roman Italique"/>
          <w:i/>
        </w:rPr>
        <w:t xml:space="preserve">3 </w:t>
      </w:r>
      <w:r w:rsidR="00D67EB8" w:rsidRPr="009118AB">
        <w:rPr>
          <w:rFonts w:ascii="Times New Roman Italique" w:hAnsi="Times New Roman Italique"/>
          <w:i/>
        </w:rPr>
        <w:t>Abs. </w:t>
      </w:r>
      <w:r w:rsidR="00296F0C" w:rsidRPr="009118AB">
        <w:rPr>
          <w:rFonts w:ascii="Times New Roman Italique" w:hAnsi="Times New Roman Italique"/>
          <w:i/>
        </w:rPr>
        <w:t xml:space="preserve">3 eingefügt durch </w:t>
      </w:r>
      <w:r w:rsidR="00D67EB8" w:rsidRPr="009118AB">
        <w:rPr>
          <w:rFonts w:ascii="Times New Roman Italique" w:hAnsi="Times New Roman Italique"/>
          <w:i/>
        </w:rPr>
        <w:t>Art. </w:t>
      </w:r>
      <w:r w:rsidR="00296F0C" w:rsidRPr="009118AB">
        <w:rPr>
          <w:rFonts w:ascii="Times New Roman Italique" w:hAnsi="Times New Roman Italique"/>
          <w:i/>
        </w:rPr>
        <w:t xml:space="preserve">10 </w:t>
      </w:r>
      <w:r w:rsidR="00D67EB8" w:rsidRPr="009118AB">
        <w:rPr>
          <w:rFonts w:ascii="Times New Roman Italique" w:hAnsi="Times New Roman Italique"/>
          <w:i/>
        </w:rPr>
        <w:t>Nr. </w:t>
      </w:r>
      <w:r w:rsidR="00296F0C" w:rsidRPr="009118AB">
        <w:rPr>
          <w:rFonts w:ascii="Times New Roman Italique" w:hAnsi="Times New Roman Italique"/>
          <w:i/>
        </w:rPr>
        <w:t>4 des G. vom 28. März 2022 (B.S. vom 31. März 2022)</w:t>
      </w:r>
      <w:r w:rsidR="00D67EB8" w:rsidRPr="009118AB">
        <w:rPr>
          <w:rFonts w:ascii="Times New Roman Italique" w:hAnsi="Times New Roman Italique"/>
          <w:i/>
        </w:rPr>
        <w:t> - </w:t>
      </w:r>
      <w:r w:rsidR="00296F0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00296F0C" w:rsidRPr="009118AB">
        <w:rPr>
          <w:rFonts w:ascii="Times New Roman Italique" w:hAnsi="Times New Roman Italique"/>
          <w:i/>
        </w:rPr>
        <w:t xml:space="preserve"> </w:t>
      </w:r>
      <w:r w:rsidR="00FD7990">
        <w:rPr>
          <w:rFonts w:ascii="Times New Roman Italique" w:hAnsi="Times New Roman Italique"/>
          <w:i/>
        </w:rPr>
        <w:t>§</w:t>
      </w:r>
      <w:r w:rsidR="00FD7990">
        <w:rPr>
          <w:rFonts w:ascii="Times New Roman Italique" w:hAnsi="Times New Roman Italique" w:hint="eastAsia"/>
          <w:i/>
        </w:rPr>
        <w:t> </w:t>
      </w:r>
      <w:r w:rsidR="00FD7990">
        <w:rPr>
          <w:rFonts w:ascii="Times New Roman Italique" w:hAnsi="Times New Roman Italique"/>
          <w:i/>
        </w:rPr>
        <w:t>3/1 eingefügt durch Art. </w:t>
      </w:r>
      <w:r w:rsidR="00FD7990">
        <w:rPr>
          <w:rFonts w:ascii="Times New Roman Italique" w:hAnsi="Times New Roman Italique"/>
          <w:i/>
          <w:iCs/>
          <w:spacing w:val="2"/>
        </w:rPr>
        <w:t>68 Nr.</w:t>
      </w:r>
      <w:r w:rsidR="00FD7990">
        <w:rPr>
          <w:rFonts w:ascii="Times New Roman Italique" w:hAnsi="Times New Roman Italique" w:hint="eastAsia"/>
          <w:i/>
          <w:iCs/>
          <w:spacing w:val="2"/>
        </w:rPr>
        <w:t> </w:t>
      </w:r>
      <w:r w:rsidR="00FD7990">
        <w:rPr>
          <w:rFonts w:ascii="Times New Roman Italique" w:hAnsi="Times New Roman Italique"/>
          <w:i/>
          <w:iCs/>
          <w:spacing w:val="2"/>
        </w:rPr>
        <w:t>2</w:t>
      </w:r>
      <w:r w:rsidR="00FD7990" w:rsidRPr="00FD7990">
        <w:rPr>
          <w:rFonts w:ascii="Times New Roman Italique" w:hAnsi="Times New Roman Italique"/>
          <w:i/>
          <w:iCs/>
          <w:spacing w:val="2"/>
        </w:rPr>
        <w:t xml:space="preserve"> des G. vom 12. Mai 2024 (B.S. vom 29. Mai 2024) -</w:t>
      </w:r>
      <w:r w:rsidR="00FD7990">
        <w:rPr>
          <w:rFonts w:ascii="Times New Roman Italique" w:hAnsi="Times New Roman Italique" w:hint="eastAsia"/>
          <w:i/>
          <w:iCs/>
          <w:spacing w:val="2"/>
        </w:rPr>
        <w:t> </w:t>
      </w:r>
      <w:r w:rsidR="00FD7990" w:rsidRPr="00FD7990">
        <w:rPr>
          <w:rFonts w:ascii="Times New Roman Italique" w:hAnsi="Times New Roman Italique"/>
          <w:i/>
          <w:iCs/>
          <w:spacing w:val="2"/>
        </w:rPr>
        <w:t>anwendbar</w:t>
      </w:r>
      <w:r w:rsidR="00FD7990">
        <w:rPr>
          <w:rFonts w:ascii="Times New Roman Italique" w:hAnsi="Times New Roman Italique" w:hint="eastAsia"/>
          <w:i/>
          <w:iCs/>
          <w:spacing w:val="2"/>
        </w:rPr>
        <w:t> </w:t>
      </w:r>
      <w:r w:rsidR="00FD7990" w:rsidRPr="00FD7990">
        <w:rPr>
          <w:rFonts w:ascii="Times New Roman Italique" w:hAnsi="Times New Roman Italique"/>
          <w:i/>
          <w:iCs/>
          <w:spacing w:val="2"/>
        </w:rPr>
        <w:t xml:space="preserve">auf die ab dem 1. Januar 2021 gezahlten oder zuerkannten Entlohnungen </w:t>
      </w:r>
      <w:r w:rsidR="00FD7990">
        <w:rPr>
          <w:rFonts w:ascii="Times New Roman Italique" w:hAnsi="Times New Roman Italique"/>
          <w:i/>
          <w:iCs/>
          <w:spacing w:val="2"/>
        </w:rPr>
        <w:t xml:space="preserve">-; </w:t>
      </w:r>
      <w:r w:rsidR="00D67EB8" w:rsidRPr="009118AB">
        <w:rPr>
          <w:i/>
          <w:iCs/>
          <w:spacing w:val="-1"/>
        </w:rPr>
        <w:t>§ </w:t>
      </w:r>
      <w:r w:rsidR="000117ED" w:rsidRPr="009118AB">
        <w:rPr>
          <w:i/>
          <w:iCs/>
          <w:spacing w:val="-1"/>
        </w:rPr>
        <w:t xml:space="preserve">4 eingefügt durch </w:t>
      </w:r>
      <w:r w:rsidR="00D67EB8" w:rsidRPr="009118AB">
        <w:rPr>
          <w:i/>
          <w:iCs/>
          <w:spacing w:val="-1"/>
        </w:rPr>
        <w:t>Art. </w:t>
      </w:r>
      <w:r w:rsidR="000117ED" w:rsidRPr="009118AB">
        <w:rPr>
          <w:i/>
          <w:iCs/>
          <w:spacing w:val="-1"/>
        </w:rPr>
        <w:t>97 des G. vom 26. Dezember 2015 (II) (B.S. vom 30. Dezember 2015)</w:t>
      </w:r>
      <w:r w:rsidR="00D67EB8" w:rsidRPr="009118AB">
        <w:rPr>
          <w:i/>
          <w:iCs/>
          <w:spacing w:val="-1"/>
        </w:rPr>
        <w:t> - </w:t>
      </w:r>
      <w:r w:rsidR="000117ED" w:rsidRPr="009118AB">
        <w:rPr>
          <w:i/>
          <w:iCs/>
          <w:spacing w:val="-1"/>
        </w:rPr>
        <w:t>in Kraft am 1. Januar 2016 unter der Bedingung, dass aus einem Beschluss der Europäischen Kommission hervorgeht, dass die in diesem Artikel erwähnte Bestimmung keine staatliche Beihilfe, für die eine Unvereinbarkeit vorliegt, darstellt wie in Artikel 107 des Vertrags über die Arbeitsweise der Europäischen Union erwähnt</w:t>
      </w:r>
      <w:r w:rsidR="00FD68E8" w:rsidRPr="009118AB">
        <w:rPr>
          <w:i/>
          <w:iCs/>
          <w:spacing w:val="-1"/>
        </w:rPr>
        <w:t> -,</w:t>
      </w:r>
      <w:r w:rsidR="00C72F24" w:rsidRPr="009118AB">
        <w:rPr>
          <w:i/>
          <w:iCs/>
          <w:spacing w:val="-1"/>
        </w:rPr>
        <w:t xml:space="preserve"> selbst widerrufen durch </w:t>
      </w:r>
      <w:r w:rsidR="00D67EB8" w:rsidRPr="009118AB">
        <w:rPr>
          <w:i/>
          <w:iCs/>
          <w:spacing w:val="-1"/>
        </w:rPr>
        <w:t>Art. </w:t>
      </w:r>
      <w:r w:rsidR="00C72F24" w:rsidRPr="009118AB">
        <w:rPr>
          <w:i/>
          <w:iCs/>
          <w:spacing w:val="-1"/>
        </w:rPr>
        <w:t>89 des G. vom 25. Dezember 2017</w:t>
      </w:r>
      <w:r w:rsidR="002D252C" w:rsidRPr="009118AB">
        <w:rPr>
          <w:i/>
          <w:iCs/>
          <w:spacing w:val="-1"/>
        </w:rPr>
        <w:t> (III)</w:t>
      </w:r>
      <w:r w:rsidR="00C72F24" w:rsidRPr="009118AB">
        <w:rPr>
          <w:i/>
          <w:iCs/>
          <w:spacing w:val="-1"/>
        </w:rPr>
        <w:t xml:space="preserve"> (B.S. vom 29. Dezember 2017)</w:t>
      </w:r>
      <w:r w:rsidR="00BD33B2" w:rsidRPr="009118AB">
        <w:rPr>
          <w:i/>
          <w:iCs/>
          <w:spacing w:val="-1"/>
        </w:rPr>
        <w:t xml:space="preserve">, und wieder aufgenommen durch </w:t>
      </w:r>
      <w:r w:rsidR="00D67EB8" w:rsidRPr="009118AB">
        <w:rPr>
          <w:i/>
          <w:iCs/>
          <w:spacing w:val="-1"/>
        </w:rPr>
        <w:t>Art. </w:t>
      </w:r>
      <w:r w:rsidR="00BD33B2" w:rsidRPr="009118AB">
        <w:rPr>
          <w:i/>
          <w:iCs/>
          <w:spacing w:val="-1"/>
        </w:rPr>
        <w:t xml:space="preserve">4 </w:t>
      </w:r>
      <w:r w:rsidR="00D67EB8" w:rsidRPr="009118AB">
        <w:rPr>
          <w:i/>
          <w:iCs/>
          <w:spacing w:val="-1"/>
        </w:rPr>
        <w:t>Nr. </w:t>
      </w:r>
      <w:r w:rsidR="00BD33B2" w:rsidRPr="009118AB">
        <w:rPr>
          <w:i/>
          <w:iCs/>
          <w:spacing w:val="-1"/>
        </w:rPr>
        <w:t>1</w:t>
      </w:r>
      <w:r w:rsidR="00BD33B2" w:rsidRPr="009118AB">
        <w:rPr>
          <w:i/>
        </w:rPr>
        <w:t xml:space="preserve"> des G. vom 23. März 2019 (B.S. vom 5. April 2019)</w:t>
      </w:r>
      <w:r w:rsidR="00D67EB8" w:rsidRPr="009118AB">
        <w:rPr>
          <w:i/>
        </w:rPr>
        <w:t> - </w:t>
      </w:r>
      <w:r w:rsidR="00BD33B2" w:rsidRPr="009118AB">
        <w:rPr>
          <w:i/>
        </w:rPr>
        <w:t>wirksam mit 1. Januar 2019 und anwendbar auf die ab dem 1. Januar 2019 gezahlten oder zuerkannten Entlohnungen</w:t>
      </w:r>
      <w:r w:rsidR="003366D9" w:rsidRPr="009118AB">
        <w:rPr>
          <w:i/>
        </w:rPr>
        <w:t> -;</w:t>
      </w:r>
      <w:r w:rsidR="00C45FBD" w:rsidRPr="009118AB">
        <w:rPr>
          <w:i/>
          <w:iCs/>
          <w:spacing w:val="-1"/>
        </w:rPr>
        <w:t xml:space="preserve"> </w:t>
      </w:r>
      <w:r w:rsidR="00D67EB8" w:rsidRPr="009118AB">
        <w:rPr>
          <w:i/>
          <w:iCs/>
          <w:spacing w:val="-1"/>
        </w:rPr>
        <w:t>§ </w:t>
      </w:r>
      <w:r w:rsidR="00296F0C" w:rsidRPr="009118AB">
        <w:rPr>
          <w:i/>
          <w:iCs/>
          <w:spacing w:val="-1"/>
        </w:rPr>
        <w:t xml:space="preserve">4 </w:t>
      </w:r>
      <w:r w:rsidR="00D67EB8" w:rsidRPr="009118AB">
        <w:rPr>
          <w:i/>
          <w:iCs/>
          <w:spacing w:val="-1"/>
        </w:rPr>
        <w:t>Abs. </w:t>
      </w:r>
      <w:r w:rsidR="00296F0C" w:rsidRPr="009118AB">
        <w:rPr>
          <w:i/>
          <w:iCs/>
          <w:spacing w:val="-1"/>
        </w:rPr>
        <w:t xml:space="preserve">6 ersetzt durch </w:t>
      </w:r>
      <w:r w:rsidR="00D67EB8" w:rsidRPr="009118AB">
        <w:rPr>
          <w:i/>
          <w:iCs/>
          <w:spacing w:val="-1"/>
        </w:rPr>
        <w:t>Art. </w:t>
      </w:r>
      <w:r w:rsidR="00296F0C" w:rsidRPr="009118AB">
        <w:rPr>
          <w:i/>
          <w:iCs/>
          <w:spacing w:val="-1"/>
        </w:rPr>
        <w:t xml:space="preserve">10 </w:t>
      </w:r>
      <w:r w:rsidR="00D67EB8" w:rsidRPr="009118AB">
        <w:rPr>
          <w:i/>
          <w:iCs/>
          <w:spacing w:val="-1"/>
        </w:rPr>
        <w:t>Nr. </w:t>
      </w:r>
      <w:r w:rsidR="00296F0C" w:rsidRPr="009118AB">
        <w:rPr>
          <w:i/>
          <w:iCs/>
          <w:spacing w:val="-1"/>
        </w:rPr>
        <w:t>5</w:t>
      </w:r>
      <w:r w:rsidR="00296F0C"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296F0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002D696C" w:rsidRPr="009118AB">
        <w:rPr>
          <w:rFonts w:ascii="Times New Roman Italique" w:hAnsi="Times New Roman Italique"/>
          <w:i/>
        </w:rPr>
        <w:t xml:space="preserve"> und abgeändert durch Art. 30 Nr.</w:t>
      </w:r>
      <w:r w:rsidR="002D696C" w:rsidRPr="009118AB">
        <w:rPr>
          <w:rFonts w:ascii="Times New Roman Italique" w:hAnsi="Times New Roman Italique" w:hint="eastAsia"/>
          <w:i/>
        </w:rPr>
        <w:t> </w:t>
      </w:r>
      <w:r w:rsidR="002D696C" w:rsidRPr="009118AB">
        <w:rPr>
          <w:rFonts w:ascii="Times New Roman Italique" w:hAnsi="Times New Roman Italique"/>
          <w:i/>
        </w:rPr>
        <w:t>3</w:t>
      </w:r>
      <w:r w:rsidR="002D696C" w:rsidRPr="009118AB">
        <w:rPr>
          <w:i/>
          <w:iCs/>
        </w:rPr>
        <w:t xml:space="preserve"> des G. vom 21. Dezember 2022 (II) (B.S. vom 29. Dezember 2022)</w:t>
      </w:r>
      <w:r w:rsidR="003366D9" w:rsidRPr="009118AB">
        <w:rPr>
          <w:rFonts w:ascii="Times New Roman Italique" w:hAnsi="Times New Roman Italique"/>
          <w:i/>
        </w:rPr>
        <w:t>;</w:t>
      </w:r>
      <w:r w:rsidR="00296F0C" w:rsidRPr="009118AB">
        <w:rPr>
          <w:rFonts w:ascii="Times New Roman Italique" w:hAnsi="Times New Roman Italique"/>
          <w:i/>
        </w:rPr>
        <w:t xml:space="preserve"> </w:t>
      </w:r>
      <w:r w:rsidR="00D67EB8" w:rsidRPr="009118AB">
        <w:rPr>
          <w:rFonts w:ascii="Times New Roman Italique" w:hAnsi="Times New Roman Italique"/>
          <w:i/>
        </w:rPr>
        <w:t>§ </w:t>
      </w:r>
      <w:r w:rsidR="00296F0C" w:rsidRPr="009118AB">
        <w:rPr>
          <w:rFonts w:ascii="Times New Roman Italique" w:hAnsi="Times New Roman Italique"/>
          <w:i/>
        </w:rPr>
        <w:t xml:space="preserve">4 </w:t>
      </w:r>
      <w:r w:rsidR="00D67EB8" w:rsidRPr="009118AB">
        <w:rPr>
          <w:rFonts w:ascii="Times New Roman Italique" w:hAnsi="Times New Roman Italique"/>
          <w:i/>
        </w:rPr>
        <w:t>Abs. </w:t>
      </w:r>
      <w:r w:rsidR="00296F0C" w:rsidRPr="009118AB">
        <w:rPr>
          <w:rFonts w:ascii="Times New Roman Italique" w:hAnsi="Times New Roman Italique"/>
          <w:i/>
        </w:rPr>
        <w:t xml:space="preserve">8 eingefügt durch </w:t>
      </w:r>
      <w:r w:rsidR="00D67EB8" w:rsidRPr="009118AB">
        <w:rPr>
          <w:rFonts w:ascii="Times New Roman Italique" w:hAnsi="Times New Roman Italique"/>
          <w:i/>
        </w:rPr>
        <w:t>Art. </w:t>
      </w:r>
      <w:r w:rsidR="00296F0C" w:rsidRPr="009118AB">
        <w:rPr>
          <w:rFonts w:ascii="Times New Roman Italique" w:hAnsi="Times New Roman Italique"/>
          <w:i/>
        </w:rPr>
        <w:t xml:space="preserve">10 </w:t>
      </w:r>
      <w:r w:rsidR="00D67EB8" w:rsidRPr="009118AB">
        <w:rPr>
          <w:rFonts w:ascii="Times New Roman Italique" w:hAnsi="Times New Roman Italique"/>
          <w:i/>
        </w:rPr>
        <w:t>Nr. </w:t>
      </w:r>
      <w:r w:rsidR="00296F0C" w:rsidRPr="009118AB">
        <w:rPr>
          <w:rFonts w:ascii="Times New Roman Italique" w:hAnsi="Times New Roman Italique"/>
          <w:i/>
        </w:rPr>
        <w:t>6 des G. vom 28. März 2022 (B.S. vom 31. März 2022)</w:t>
      </w:r>
      <w:r w:rsidR="00D67EB8" w:rsidRPr="009118AB">
        <w:rPr>
          <w:rFonts w:ascii="Times New Roman Italique" w:hAnsi="Times New Roman Italique"/>
          <w:i/>
        </w:rPr>
        <w:t> - </w:t>
      </w:r>
      <w:r w:rsidR="00296F0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00296F0C" w:rsidRPr="009118AB">
        <w:rPr>
          <w:rFonts w:ascii="Times New Roman Italique" w:hAnsi="Times New Roman Italique"/>
          <w:i/>
        </w:rPr>
        <w:t xml:space="preserve"> </w:t>
      </w:r>
      <w:r w:rsidR="00D67EB8" w:rsidRPr="009118AB">
        <w:rPr>
          <w:i/>
          <w:iCs/>
          <w:spacing w:val="-1"/>
        </w:rPr>
        <w:t>§ </w:t>
      </w:r>
      <w:r w:rsidR="00C45FBD" w:rsidRPr="009118AB">
        <w:rPr>
          <w:i/>
          <w:iCs/>
          <w:spacing w:val="-1"/>
        </w:rPr>
        <w:t xml:space="preserve">5 eingefügt durch </w:t>
      </w:r>
      <w:r w:rsidR="00D67EB8" w:rsidRPr="009118AB">
        <w:rPr>
          <w:i/>
          <w:iCs/>
        </w:rPr>
        <w:t>Art. </w:t>
      </w:r>
      <w:r w:rsidR="00C45FBD" w:rsidRPr="009118AB">
        <w:rPr>
          <w:i/>
          <w:iCs/>
        </w:rPr>
        <w:t xml:space="preserve">74 </w:t>
      </w:r>
      <w:r w:rsidR="00D67EB8" w:rsidRPr="009118AB">
        <w:rPr>
          <w:i/>
          <w:iCs/>
        </w:rPr>
        <w:t>Nr. </w:t>
      </w:r>
      <w:r w:rsidR="004F6C13" w:rsidRPr="009118AB">
        <w:rPr>
          <w:i/>
          <w:iCs/>
        </w:rPr>
        <w:t>4</w:t>
      </w:r>
      <w:r w:rsidR="00C45FBD" w:rsidRPr="009118AB">
        <w:rPr>
          <w:i/>
          <w:iCs/>
        </w:rPr>
        <w:t xml:space="preserve"> des G. vom 26. März 2018 (B.S. vom 30. März 2018)</w:t>
      </w:r>
      <w:r w:rsidR="00D67EB8" w:rsidRPr="009118AB">
        <w:rPr>
          <w:i/>
          <w:iCs/>
          <w:spacing w:val="-1"/>
        </w:rPr>
        <w:t> - </w:t>
      </w:r>
      <w:r w:rsidR="00C45FBD" w:rsidRPr="009118AB">
        <w:rPr>
          <w:i/>
          <w:iCs/>
          <w:spacing w:val="-1"/>
        </w:rPr>
        <w:t>anwendbar auf die ab dem 1. Januar 2018 gezahlten oder zuerkannten Entlohnungen</w:t>
      </w:r>
      <w:r w:rsidR="003366D9" w:rsidRPr="009118AB">
        <w:rPr>
          <w:i/>
          <w:iCs/>
          <w:spacing w:val="-1"/>
        </w:rPr>
        <w:t> -;</w:t>
      </w:r>
      <w:r w:rsidR="00B27B9C" w:rsidRPr="009118AB">
        <w:rPr>
          <w:i/>
          <w:iCs/>
          <w:spacing w:val="-1"/>
        </w:rPr>
        <w:t xml:space="preserve"> </w:t>
      </w:r>
      <w:r w:rsidR="001D63BE" w:rsidRPr="009118AB">
        <w:rPr>
          <w:i/>
          <w:iCs/>
          <w:spacing w:val="-1"/>
        </w:rPr>
        <w:t>§ 5 Abs. 1 einleitende Bestimmung ersetzt durch Art. 50 Nr. 1</w:t>
      </w:r>
      <w:r w:rsidR="001D63BE" w:rsidRPr="009118AB">
        <w:rPr>
          <w:i/>
          <w:iCs/>
        </w:rPr>
        <w:t xml:space="preserve"> des G. vom 20. November 2022 (B.S. vom 30. November 2022); </w:t>
      </w:r>
      <w:r w:rsidR="00D67EB8" w:rsidRPr="009118AB">
        <w:rPr>
          <w:i/>
          <w:iCs/>
          <w:spacing w:val="-1"/>
        </w:rPr>
        <w:t>§ </w:t>
      </w:r>
      <w:r w:rsidR="00046003" w:rsidRPr="009118AB">
        <w:rPr>
          <w:i/>
          <w:iCs/>
          <w:spacing w:val="-1"/>
        </w:rPr>
        <w:t xml:space="preserve">5 </w:t>
      </w:r>
      <w:r w:rsidR="00D67EB8" w:rsidRPr="009118AB">
        <w:rPr>
          <w:i/>
          <w:iCs/>
          <w:spacing w:val="-1"/>
        </w:rPr>
        <w:t>Abs. </w:t>
      </w:r>
      <w:r w:rsidR="00046003" w:rsidRPr="009118AB">
        <w:rPr>
          <w:i/>
          <w:iCs/>
          <w:spacing w:val="-1"/>
        </w:rPr>
        <w:t xml:space="preserve">1 erster Gedankenstrich abgeändert durch </w:t>
      </w:r>
      <w:r w:rsidR="00D67EB8" w:rsidRPr="009118AB">
        <w:rPr>
          <w:i/>
          <w:iCs/>
          <w:spacing w:val="-1"/>
        </w:rPr>
        <w:t>Art. </w:t>
      </w:r>
      <w:r w:rsidR="00046003" w:rsidRPr="009118AB">
        <w:rPr>
          <w:i/>
          <w:iCs/>
          <w:spacing w:val="-1"/>
        </w:rPr>
        <w:t xml:space="preserve">5 </w:t>
      </w:r>
      <w:r w:rsidR="00D67EB8" w:rsidRPr="009118AB">
        <w:rPr>
          <w:i/>
          <w:iCs/>
          <w:spacing w:val="-1"/>
        </w:rPr>
        <w:t>Nr. </w:t>
      </w:r>
      <w:r w:rsidR="00046003" w:rsidRPr="009118AB">
        <w:rPr>
          <w:i/>
          <w:iCs/>
          <w:spacing w:val="-1"/>
        </w:rPr>
        <w:t>6</w:t>
      </w:r>
      <w:r w:rsidR="00046003" w:rsidRPr="009118AB">
        <w:rPr>
          <w:i/>
          <w:iCs/>
          <w:spacing w:val="2"/>
        </w:rPr>
        <w:t xml:space="preserve"> des G. vom 2</w:t>
      </w:r>
      <w:r w:rsidR="00306781" w:rsidRPr="009118AB">
        <w:rPr>
          <w:i/>
          <w:iCs/>
          <w:spacing w:val="2"/>
        </w:rPr>
        <w:t>8</w:t>
      </w:r>
      <w:r w:rsidR="00046003" w:rsidRPr="009118AB">
        <w:rPr>
          <w:i/>
          <w:iCs/>
          <w:spacing w:val="2"/>
        </w:rPr>
        <w:t xml:space="preserve">. April 2019 (B.S. vom </w:t>
      </w:r>
      <w:r w:rsidR="00306781" w:rsidRPr="009118AB">
        <w:rPr>
          <w:i/>
          <w:iCs/>
          <w:spacing w:val="2"/>
        </w:rPr>
        <w:t>6</w:t>
      </w:r>
      <w:r w:rsidR="00046003" w:rsidRPr="009118AB">
        <w:rPr>
          <w:i/>
          <w:iCs/>
          <w:spacing w:val="2"/>
        </w:rPr>
        <w:t>. Mai 2019)</w:t>
      </w:r>
      <w:r w:rsidR="00D67EB8" w:rsidRPr="009118AB">
        <w:rPr>
          <w:i/>
          <w:iCs/>
          <w:spacing w:val="2"/>
        </w:rPr>
        <w:t> - </w:t>
      </w:r>
      <w:r w:rsidR="00046003" w:rsidRPr="009118AB">
        <w:rPr>
          <w:i/>
          <w:iCs/>
          <w:spacing w:val="2"/>
        </w:rPr>
        <w:t>anwendbar auf die ab dem 1. Januar 2018 gezahlten oder zuerkannten Entlohnungen</w:t>
      </w:r>
      <w:r w:rsidR="003366D9" w:rsidRPr="009118AB">
        <w:rPr>
          <w:i/>
          <w:iCs/>
          <w:spacing w:val="2"/>
        </w:rPr>
        <w:t> -;</w:t>
      </w:r>
      <w:r w:rsidR="00046003" w:rsidRPr="009118AB">
        <w:rPr>
          <w:i/>
          <w:iCs/>
          <w:spacing w:val="2"/>
        </w:rPr>
        <w:t xml:space="preserve"> </w:t>
      </w:r>
      <w:r w:rsidR="00D67EB8" w:rsidRPr="009118AB">
        <w:rPr>
          <w:i/>
          <w:iCs/>
          <w:spacing w:val="2"/>
        </w:rPr>
        <w:t>§ </w:t>
      </w:r>
      <w:r w:rsidR="00296F0C" w:rsidRPr="009118AB">
        <w:rPr>
          <w:i/>
          <w:iCs/>
          <w:spacing w:val="2"/>
        </w:rPr>
        <w:t xml:space="preserve">5 </w:t>
      </w:r>
      <w:r w:rsidR="00D67EB8" w:rsidRPr="009118AB">
        <w:rPr>
          <w:i/>
          <w:iCs/>
          <w:spacing w:val="2"/>
        </w:rPr>
        <w:t>Abs. </w:t>
      </w:r>
      <w:r w:rsidR="00296F0C" w:rsidRPr="009118AB">
        <w:rPr>
          <w:i/>
          <w:iCs/>
          <w:spacing w:val="2"/>
        </w:rPr>
        <w:t xml:space="preserve">1 zweiter Gedankenstrich abgeändert durch </w:t>
      </w:r>
      <w:r w:rsidR="00D67EB8" w:rsidRPr="009118AB">
        <w:rPr>
          <w:i/>
          <w:iCs/>
          <w:spacing w:val="2"/>
        </w:rPr>
        <w:t>Art. </w:t>
      </w:r>
      <w:r w:rsidR="00296F0C" w:rsidRPr="009118AB">
        <w:rPr>
          <w:i/>
          <w:iCs/>
          <w:spacing w:val="2"/>
        </w:rPr>
        <w:t xml:space="preserve">10 </w:t>
      </w:r>
      <w:r w:rsidR="00D67EB8" w:rsidRPr="009118AB">
        <w:rPr>
          <w:i/>
          <w:iCs/>
          <w:spacing w:val="2"/>
        </w:rPr>
        <w:t>Nr. </w:t>
      </w:r>
      <w:r w:rsidR="00296F0C" w:rsidRPr="009118AB">
        <w:rPr>
          <w:i/>
          <w:iCs/>
          <w:spacing w:val="2"/>
        </w:rPr>
        <w:t>7</w:t>
      </w:r>
      <w:r w:rsidR="00296F0C"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296F0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00296F0C" w:rsidRPr="009118AB">
        <w:rPr>
          <w:rFonts w:ascii="Times New Roman Italique" w:hAnsi="Times New Roman Italique"/>
          <w:i/>
        </w:rPr>
        <w:t xml:space="preserve"> </w:t>
      </w:r>
      <w:r w:rsidR="00D67EB8" w:rsidRPr="009118AB">
        <w:rPr>
          <w:i/>
          <w:iCs/>
          <w:spacing w:val="2"/>
        </w:rPr>
        <w:t>§ </w:t>
      </w:r>
      <w:r w:rsidR="00046003" w:rsidRPr="009118AB">
        <w:rPr>
          <w:i/>
          <w:iCs/>
          <w:spacing w:val="2"/>
        </w:rPr>
        <w:t xml:space="preserve">5 </w:t>
      </w:r>
      <w:r w:rsidR="00D67EB8" w:rsidRPr="009118AB">
        <w:rPr>
          <w:i/>
          <w:iCs/>
          <w:spacing w:val="2"/>
        </w:rPr>
        <w:t>Abs. </w:t>
      </w:r>
      <w:r w:rsidR="00046003" w:rsidRPr="009118AB">
        <w:rPr>
          <w:i/>
          <w:iCs/>
          <w:spacing w:val="2"/>
        </w:rPr>
        <w:t xml:space="preserve">1 dritter Gedankenstrich eingefügt durch </w:t>
      </w:r>
      <w:r w:rsidR="00D67EB8" w:rsidRPr="009118AB">
        <w:rPr>
          <w:i/>
          <w:iCs/>
          <w:spacing w:val="2"/>
        </w:rPr>
        <w:t>Art. </w:t>
      </w:r>
      <w:r w:rsidR="00046003" w:rsidRPr="009118AB">
        <w:rPr>
          <w:i/>
          <w:iCs/>
          <w:spacing w:val="2"/>
        </w:rPr>
        <w:t xml:space="preserve">5 </w:t>
      </w:r>
      <w:r w:rsidR="00D67EB8" w:rsidRPr="009118AB">
        <w:rPr>
          <w:i/>
          <w:iCs/>
          <w:spacing w:val="2"/>
        </w:rPr>
        <w:t>Nr. </w:t>
      </w:r>
      <w:r w:rsidR="00046003" w:rsidRPr="009118AB">
        <w:rPr>
          <w:i/>
          <w:iCs/>
          <w:spacing w:val="2"/>
        </w:rPr>
        <w:t>7 des G. vom 2</w:t>
      </w:r>
      <w:r w:rsidR="00306781" w:rsidRPr="009118AB">
        <w:rPr>
          <w:i/>
          <w:iCs/>
          <w:spacing w:val="2"/>
        </w:rPr>
        <w:t>8</w:t>
      </w:r>
      <w:r w:rsidR="00046003" w:rsidRPr="009118AB">
        <w:rPr>
          <w:i/>
          <w:iCs/>
          <w:spacing w:val="2"/>
        </w:rPr>
        <w:t xml:space="preserve">. April 2019 (B.S. vom </w:t>
      </w:r>
      <w:r w:rsidR="00306781" w:rsidRPr="009118AB">
        <w:rPr>
          <w:i/>
          <w:iCs/>
          <w:spacing w:val="2"/>
        </w:rPr>
        <w:t>6</w:t>
      </w:r>
      <w:r w:rsidR="00046003" w:rsidRPr="009118AB">
        <w:rPr>
          <w:i/>
          <w:iCs/>
          <w:spacing w:val="2"/>
        </w:rPr>
        <w:t>. Mai 2019)</w:t>
      </w:r>
      <w:r w:rsidR="00D67EB8" w:rsidRPr="009118AB">
        <w:rPr>
          <w:i/>
          <w:iCs/>
          <w:spacing w:val="2"/>
        </w:rPr>
        <w:t> - </w:t>
      </w:r>
      <w:r w:rsidR="00046003" w:rsidRPr="009118AB">
        <w:rPr>
          <w:i/>
          <w:iCs/>
          <w:spacing w:val="2"/>
        </w:rPr>
        <w:t>anwendbar auf die ab dem 1. Januar 2018 gezahlten oder zuerkannten Entlohnungen</w:t>
      </w:r>
      <w:r w:rsidR="003366D9" w:rsidRPr="009118AB">
        <w:rPr>
          <w:i/>
          <w:iCs/>
          <w:spacing w:val="2"/>
        </w:rPr>
        <w:t> -;</w:t>
      </w:r>
      <w:r w:rsidR="00046003" w:rsidRPr="009118AB">
        <w:rPr>
          <w:i/>
          <w:iCs/>
          <w:spacing w:val="2"/>
        </w:rPr>
        <w:t xml:space="preserve"> </w:t>
      </w:r>
      <w:r w:rsidR="00D67EB8" w:rsidRPr="009118AB">
        <w:rPr>
          <w:i/>
          <w:iCs/>
          <w:spacing w:val="2"/>
        </w:rPr>
        <w:t>§ </w:t>
      </w:r>
      <w:r w:rsidR="00046003" w:rsidRPr="009118AB">
        <w:rPr>
          <w:i/>
          <w:iCs/>
          <w:spacing w:val="2"/>
        </w:rPr>
        <w:t>5</w:t>
      </w:r>
      <w:r w:rsidR="009F13DA" w:rsidRPr="009118AB">
        <w:rPr>
          <w:i/>
          <w:iCs/>
          <w:spacing w:val="2"/>
        </w:rPr>
        <w:t xml:space="preserve"> A</w:t>
      </w:r>
      <w:r w:rsidR="00D67EB8" w:rsidRPr="009118AB">
        <w:rPr>
          <w:i/>
          <w:iCs/>
          <w:spacing w:val="2"/>
        </w:rPr>
        <w:t>bs. </w:t>
      </w:r>
      <w:r w:rsidR="00046003" w:rsidRPr="009118AB">
        <w:rPr>
          <w:i/>
          <w:iCs/>
          <w:spacing w:val="2"/>
        </w:rPr>
        <w:t xml:space="preserve">2 ersetzt durch </w:t>
      </w:r>
      <w:r w:rsidR="00D67EB8" w:rsidRPr="009118AB">
        <w:rPr>
          <w:i/>
          <w:iCs/>
          <w:spacing w:val="2"/>
        </w:rPr>
        <w:t>Art. </w:t>
      </w:r>
      <w:r w:rsidR="00046003" w:rsidRPr="009118AB">
        <w:rPr>
          <w:i/>
          <w:iCs/>
          <w:spacing w:val="2"/>
        </w:rPr>
        <w:t xml:space="preserve">5 </w:t>
      </w:r>
      <w:r w:rsidR="00D67EB8" w:rsidRPr="009118AB">
        <w:rPr>
          <w:i/>
          <w:iCs/>
          <w:spacing w:val="2"/>
        </w:rPr>
        <w:t>Nr. </w:t>
      </w:r>
      <w:r w:rsidR="00046003" w:rsidRPr="009118AB">
        <w:rPr>
          <w:i/>
          <w:iCs/>
          <w:spacing w:val="2"/>
        </w:rPr>
        <w:t>8 des G. vom 2</w:t>
      </w:r>
      <w:r w:rsidR="00306781" w:rsidRPr="009118AB">
        <w:rPr>
          <w:i/>
          <w:iCs/>
          <w:spacing w:val="2"/>
        </w:rPr>
        <w:t>8</w:t>
      </w:r>
      <w:r w:rsidR="00046003" w:rsidRPr="009118AB">
        <w:rPr>
          <w:i/>
          <w:iCs/>
          <w:spacing w:val="2"/>
        </w:rPr>
        <w:t xml:space="preserve">. April 2019 (B.S. vom </w:t>
      </w:r>
      <w:r w:rsidR="00306781" w:rsidRPr="009118AB">
        <w:rPr>
          <w:i/>
          <w:iCs/>
          <w:spacing w:val="2"/>
        </w:rPr>
        <w:t>6</w:t>
      </w:r>
      <w:r w:rsidR="00046003" w:rsidRPr="009118AB">
        <w:rPr>
          <w:i/>
          <w:iCs/>
          <w:spacing w:val="2"/>
        </w:rPr>
        <w:t>. Mai 2019)</w:t>
      </w:r>
      <w:r w:rsidR="00D67EB8" w:rsidRPr="009118AB">
        <w:rPr>
          <w:i/>
          <w:iCs/>
          <w:spacing w:val="2"/>
        </w:rPr>
        <w:t> - </w:t>
      </w:r>
      <w:r w:rsidR="00046003" w:rsidRPr="009118AB">
        <w:rPr>
          <w:i/>
          <w:iCs/>
          <w:spacing w:val="2"/>
        </w:rPr>
        <w:t>anwendbar auf die ab dem 1. Januar 2018 gezahlten oder zuerkannten Entlohnungen</w:t>
      </w:r>
      <w:r w:rsidR="003366D9" w:rsidRPr="009118AB">
        <w:rPr>
          <w:i/>
          <w:iCs/>
          <w:spacing w:val="2"/>
        </w:rPr>
        <w:t> -;</w:t>
      </w:r>
      <w:r w:rsidR="00046003" w:rsidRPr="009118AB">
        <w:rPr>
          <w:i/>
          <w:iCs/>
          <w:spacing w:val="2"/>
        </w:rPr>
        <w:t xml:space="preserve"> </w:t>
      </w:r>
      <w:r w:rsidR="009F13DA" w:rsidRPr="009118AB">
        <w:rPr>
          <w:i/>
          <w:iCs/>
          <w:spacing w:val="2"/>
        </w:rPr>
        <w:t>§ 5 Abs. 3 abgeändert durch Art. 50 Nr. 2</w:t>
      </w:r>
      <w:r w:rsidR="009F13DA" w:rsidRPr="009118AB">
        <w:rPr>
          <w:i/>
          <w:iCs/>
        </w:rPr>
        <w:t xml:space="preserve"> des G. vom 20. November 2022 (B.S. vom 30. November 2022); § 5 Abs. 4 abgeändert durch Art. 50 Nr. 3 des G. vom 20. November 2022 (B.S. vom 30. November 2022); § 5 neuer Absatz 6 eingefügt durch Art. 50 Nr. 4 des G. vom 20. November 2022 (B.S. vom 30. November 2022); </w:t>
      </w:r>
      <w:r w:rsidR="009F13DA" w:rsidRPr="009118AB">
        <w:rPr>
          <w:i/>
          <w:iCs/>
          <w:spacing w:val="2"/>
        </w:rPr>
        <w:t>§</w:t>
      </w:r>
      <w:r w:rsidR="00D67EB8" w:rsidRPr="009118AB">
        <w:rPr>
          <w:i/>
          <w:iCs/>
          <w:spacing w:val="2"/>
        </w:rPr>
        <w:t> </w:t>
      </w:r>
      <w:r w:rsidR="00296F0C" w:rsidRPr="009118AB">
        <w:rPr>
          <w:i/>
          <w:iCs/>
          <w:spacing w:val="2"/>
        </w:rPr>
        <w:t xml:space="preserve">5 </w:t>
      </w:r>
      <w:r w:rsidR="00D67EB8" w:rsidRPr="009118AB">
        <w:rPr>
          <w:i/>
          <w:iCs/>
          <w:spacing w:val="2"/>
        </w:rPr>
        <w:t>Abs. </w:t>
      </w:r>
      <w:r w:rsidR="009F13DA" w:rsidRPr="009118AB">
        <w:rPr>
          <w:i/>
          <w:iCs/>
          <w:spacing w:val="2"/>
        </w:rPr>
        <w:t>7 (früherer Absatz 6)</w:t>
      </w:r>
      <w:r w:rsidR="00296F0C" w:rsidRPr="009118AB">
        <w:rPr>
          <w:i/>
          <w:iCs/>
          <w:spacing w:val="2"/>
        </w:rPr>
        <w:t xml:space="preserve"> ersetzt durch </w:t>
      </w:r>
      <w:r w:rsidR="00D67EB8" w:rsidRPr="009118AB">
        <w:rPr>
          <w:i/>
          <w:iCs/>
          <w:spacing w:val="2"/>
        </w:rPr>
        <w:t>Art. </w:t>
      </w:r>
      <w:r w:rsidR="00296F0C" w:rsidRPr="009118AB">
        <w:rPr>
          <w:i/>
          <w:iCs/>
          <w:spacing w:val="2"/>
        </w:rPr>
        <w:t xml:space="preserve">10 </w:t>
      </w:r>
      <w:r w:rsidR="00D67EB8" w:rsidRPr="009118AB">
        <w:rPr>
          <w:i/>
          <w:iCs/>
          <w:spacing w:val="2"/>
        </w:rPr>
        <w:t>Nr. </w:t>
      </w:r>
      <w:r w:rsidR="00296F0C" w:rsidRPr="009118AB">
        <w:rPr>
          <w:i/>
          <w:iCs/>
          <w:spacing w:val="2"/>
        </w:rPr>
        <w:t>8</w:t>
      </w:r>
      <w:r w:rsidR="00296F0C"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296F0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002D696C" w:rsidRPr="009118AB">
        <w:rPr>
          <w:rFonts w:ascii="Times New Roman Italique" w:hAnsi="Times New Roman Italique"/>
          <w:i/>
        </w:rPr>
        <w:t xml:space="preserve"> und abgeändert durch Art. 30 Nr.</w:t>
      </w:r>
      <w:r w:rsidR="002D696C" w:rsidRPr="009118AB">
        <w:rPr>
          <w:rFonts w:ascii="Times New Roman Italique" w:hAnsi="Times New Roman Italique" w:hint="eastAsia"/>
          <w:i/>
        </w:rPr>
        <w:t> </w:t>
      </w:r>
      <w:r w:rsidR="002D696C" w:rsidRPr="009118AB">
        <w:rPr>
          <w:rFonts w:ascii="Times New Roman Italique" w:hAnsi="Times New Roman Italique"/>
          <w:i/>
        </w:rPr>
        <w:t>4</w:t>
      </w:r>
      <w:r w:rsidR="002D696C" w:rsidRPr="009118AB">
        <w:rPr>
          <w:i/>
          <w:iCs/>
        </w:rPr>
        <w:t xml:space="preserve"> des G. vom 21. Dezember 2022 (II) (B.S. vom 29. Dezember 2022)</w:t>
      </w:r>
      <w:r w:rsidR="003366D9" w:rsidRPr="009118AB">
        <w:rPr>
          <w:rFonts w:ascii="Times New Roman Italique" w:hAnsi="Times New Roman Italique"/>
          <w:i/>
        </w:rPr>
        <w:t>;</w:t>
      </w:r>
      <w:r w:rsidR="00296F0C" w:rsidRPr="009118AB">
        <w:rPr>
          <w:rFonts w:ascii="Times New Roman Italique" w:hAnsi="Times New Roman Italique"/>
          <w:i/>
        </w:rPr>
        <w:t xml:space="preserve"> </w:t>
      </w:r>
      <w:r w:rsidR="00D67EB8" w:rsidRPr="009118AB">
        <w:rPr>
          <w:i/>
          <w:iCs/>
          <w:spacing w:val="2"/>
        </w:rPr>
        <w:t>§ </w:t>
      </w:r>
      <w:r w:rsidR="00046003" w:rsidRPr="009118AB">
        <w:rPr>
          <w:i/>
          <w:iCs/>
          <w:spacing w:val="2"/>
        </w:rPr>
        <w:t xml:space="preserve">5 </w:t>
      </w:r>
      <w:r w:rsidR="00D67EB8" w:rsidRPr="009118AB">
        <w:rPr>
          <w:i/>
          <w:iCs/>
          <w:spacing w:val="2"/>
        </w:rPr>
        <w:t>Abs. </w:t>
      </w:r>
      <w:r w:rsidR="009F13DA" w:rsidRPr="009118AB">
        <w:rPr>
          <w:i/>
          <w:iCs/>
          <w:spacing w:val="2"/>
        </w:rPr>
        <w:t>8</w:t>
      </w:r>
      <w:r w:rsidR="00046003" w:rsidRPr="009118AB">
        <w:rPr>
          <w:i/>
          <w:iCs/>
          <w:spacing w:val="2"/>
        </w:rPr>
        <w:t xml:space="preserve"> ersetzt durch </w:t>
      </w:r>
      <w:r w:rsidR="00D67EB8" w:rsidRPr="009118AB">
        <w:rPr>
          <w:i/>
          <w:iCs/>
          <w:spacing w:val="2"/>
        </w:rPr>
        <w:t>Art. </w:t>
      </w:r>
      <w:r w:rsidR="00046003" w:rsidRPr="009118AB">
        <w:rPr>
          <w:i/>
          <w:iCs/>
          <w:spacing w:val="2"/>
        </w:rPr>
        <w:t xml:space="preserve">5 </w:t>
      </w:r>
      <w:r w:rsidR="00D67EB8" w:rsidRPr="009118AB">
        <w:rPr>
          <w:i/>
          <w:iCs/>
          <w:spacing w:val="2"/>
        </w:rPr>
        <w:t>Nr. </w:t>
      </w:r>
      <w:r w:rsidR="00046003" w:rsidRPr="009118AB">
        <w:rPr>
          <w:i/>
          <w:iCs/>
          <w:spacing w:val="2"/>
        </w:rPr>
        <w:t>9 des G. vom 2</w:t>
      </w:r>
      <w:r w:rsidR="00306781" w:rsidRPr="009118AB">
        <w:rPr>
          <w:i/>
          <w:iCs/>
          <w:spacing w:val="2"/>
        </w:rPr>
        <w:t>8</w:t>
      </w:r>
      <w:r w:rsidR="00046003" w:rsidRPr="009118AB">
        <w:rPr>
          <w:i/>
          <w:iCs/>
          <w:spacing w:val="2"/>
        </w:rPr>
        <w:t xml:space="preserve">. April 2019 (B.S. vom </w:t>
      </w:r>
      <w:r w:rsidR="00306781" w:rsidRPr="009118AB">
        <w:rPr>
          <w:i/>
          <w:iCs/>
          <w:spacing w:val="2"/>
        </w:rPr>
        <w:t>6</w:t>
      </w:r>
      <w:r w:rsidR="00046003" w:rsidRPr="009118AB">
        <w:rPr>
          <w:i/>
          <w:iCs/>
          <w:spacing w:val="2"/>
        </w:rPr>
        <w:t>. Mai 2019)</w:t>
      </w:r>
      <w:r w:rsidR="00D67EB8" w:rsidRPr="009118AB">
        <w:rPr>
          <w:i/>
          <w:iCs/>
          <w:spacing w:val="2"/>
        </w:rPr>
        <w:t> - </w:t>
      </w:r>
      <w:r w:rsidR="00046003" w:rsidRPr="009118AB">
        <w:rPr>
          <w:i/>
          <w:iCs/>
          <w:spacing w:val="2"/>
        </w:rPr>
        <w:t>anwendbar auf die ab dem 1. Januar 2018 gezahlten oder zuerkannten Entlohnungen</w:t>
      </w:r>
      <w:r w:rsidR="00D67EB8" w:rsidRPr="009118AB">
        <w:rPr>
          <w:i/>
          <w:iCs/>
          <w:spacing w:val="2"/>
        </w:rPr>
        <w:t> - </w:t>
      </w:r>
      <w:r w:rsidR="00046003" w:rsidRPr="009118AB">
        <w:rPr>
          <w:i/>
          <w:iCs/>
          <w:spacing w:val="2"/>
        </w:rPr>
        <w:t xml:space="preserve">und abgeändert durch </w:t>
      </w:r>
      <w:r w:rsidR="00D67EB8" w:rsidRPr="009118AB">
        <w:rPr>
          <w:i/>
          <w:iCs/>
          <w:spacing w:val="2"/>
        </w:rPr>
        <w:t>Art. </w:t>
      </w:r>
      <w:r w:rsidR="00046003" w:rsidRPr="009118AB">
        <w:rPr>
          <w:i/>
          <w:iCs/>
          <w:spacing w:val="2"/>
        </w:rPr>
        <w:t xml:space="preserve">5 </w:t>
      </w:r>
      <w:r w:rsidR="00D67EB8" w:rsidRPr="009118AB">
        <w:rPr>
          <w:i/>
          <w:iCs/>
          <w:spacing w:val="2"/>
        </w:rPr>
        <w:t>Nr. </w:t>
      </w:r>
      <w:r w:rsidR="00046003" w:rsidRPr="009118AB">
        <w:rPr>
          <w:i/>
          <w:iCs/>
          <w:spacing w:val="2"/>
        </w:rPr>
        <w:t>10 des G. vom 2</w:t>
      </w:r>
      <w:r w:rsidR="00306781" w:rsidRPr="009118AB">
        <w:rPr>
          <w:i/>
          <w:iCs/>
          <w:spacing w:val="2"/>
        </w:rPr>
        <w:t>8</w:t>
      </w:r>
      <w:r w:rsidR="00046003" w:rsidRPr="009118AB">
        <w:rPr>
          <w:i/>
          <w:iCs/>
          <w:spacing w:val="2"/>
        </w:rPr>
        <w:t xml:space="preserve">. April 2019 (B.S. vom </w:t>
      </w:r>
      <w:r w:rsidR="00306781" w:rsidRPr="009118AB">
        <w:rPr>
          <w:i/>
          <w:iCs/>
          <w:spacing w:val="2"/>
        </w:rPr>
        <w:t>6</w:t>
      </w:r>
      <w:r w:rsidR="00046003" w:rsidRPr="009118AB">
        <w:rPr>
          <w:i/>
          <w:iCs/>
          <w:spacing w:val="2"/>
        </w:rPr>
        <w:t xml:space="preserve">. Mai 2019); </w:t>
      </w:r>
      <w:r w:rsidR="00D67EB8" w:rsidRPr="009118AB">
        <w:rPr>
          <w:i/>
          <w:iCs/>
          <w:spacing w:val="2"/>
        </w:rPr>
        <w:t>§ </w:t>
      </w:r>
      <w:r w:rsidR="00046003" w:rsidRPr="009118AB">
        <w:rPr>
          <w:i/>
          <w:iCs/>
          <w:spacing w:val="2"/>
        </w:rPr>
        <w:t>5 neue Absätze </w:t>
      </w:r>
      <w:r w:rsidR="009F13DA" w:rsidRPr="009118AB">
        <w:rPr>
          <w:i/>
          <w:iCs/>
          <w:spacing w:val="2"/>
        </w:rPr>
        <w:t>9</w:t>
      </w:r>
      <w:r w:rsidR="00046003" w:rsidRPr="009118AB">
        <w:rPr>
          <w:i/>
          <w:iCs/>
          <w:spacing w:val="2"/>
        </w:rPr>
        <w:t xml:space="preserve"> und </w:t>
      </w:r>
      <w:r w:rsidR="009F13DA" w:rsidRPr="009118AB">
        <w:rPr>
          <w:i/>
          <w:iCs/>
          <w:spacing w:val="2"/>
        </w:rPr>
        <w:t>10</w:t>
      </w:r>
      <w:r w:rsidR="00046003" w:rsidRPr="009118AB">
        <w:rPr>
          <w:i/>
          <w:iCs/>
          <w:spacing w:val="2"/>
        </w:rPr>
        <w:t xml:space="preserve"> eingefügt durch </w:t>
      </w:r>
      <w:r w:rsidR="00D67EB8" w:rsidRPr="009118AB">
        <w:rPr>
          <w:i/>
          <w:iCs/>
          <w:spacing w:val="2"/>
        </w:rPr>
        <w:t>Art. </w:t>
      </w:r>
      <w:r w:rsidR="00046003" w:rsidRPr="009118AB">
        <w:rPr>
          <w:i/>
          <w:iCs/>
          <w:spacing w:val="2"/>
        </w:rPr>
        <w:t xml:space="preserve">5 </w:t>
      </w:r>
      <w:r w:rsidR="00D67EB8" w:rsidRPr="009118AB">
        <w:rPr>
          <w:i/>
          <w:iCs/>
          <w:spacing w:val="2"/>
        </w:rPr>
        <w:t>Nr. </w:t>
      </w:r>
      <w:r w:rsidR="00046003" w:rsidRPr="009118AB">
        <w:rPr>
          <w:i/>
          <w:iCs/>
          <w:spacing w:val="2"/>
        </w:rPr>
        <w:t>11 des G. vom 2</w:t>
      </w:r>
      <w:r w:rsidR="00306781" w:rsidRPr="009118AB">
        <w:rPr>
          <w:i/>
          <w:iCs/>
          <w:spacing w:val="2"/>
        </w:rPr>
        <w:t>8</w:t>
      </w:r>
      <w:r w:rsidR="00046003" w:rsidRPr="009118AB">
        <w:rPr>
          <w:i/>
          <w:iCs/>
          <w:spacing w:val="2"/>
        </w:rPr>
        <w:t xml:space="preserve">. April 2019 (B.S. vom </w:t>
      </w:r>
      <w:r w:rsidR="00306781" w:rsidRPr="009118AB">
        <w:rPr>
          <w:i/>
          <w:iCs/>
          <w:spacing w:val="2"/>
        </w:rPr>
        <w:t>6</w:t>
      </w:r>
      <w:r w:rsidR="00046003" w:rsidRPr="009118AB">
        <w:rPr>
          <w:i/>
          <w:iCs/>
          <w:spacing w:val="2"/>
        </w:rPr>
        <w:t>. Mai 2019);</w:t>
      </w:r>
      <w:r w:rsidR="009F13DA" w:rsidRPr="009118AB">
        <w:rPr>
          <w:i/>
          <w:iCs/>
          <w:spacing w:val="2"/>
        </w:rPr>
        <w:t xml:space="preserve"> § 5 früherer </w:t>
      </w:r>
      <w:r w:rsidR="009F13DA" w:rsidRPr="009118AB">
        <w:rPr>
          <w:i/>
          <w:iCs/>
          <w:spacing w:val="2"/>
        </w:rPr>
        <w:lastRenderedPageBreak/>
        <w:t>Absatz 11 aufgehoben durch Art. 50 Nr. 5</w:t>
      </w:r>
      <w:r w:rsidR="009F13DA" w:rsidRPr="009118AB">
        <w:rPr>
          <w:i/>
          <w:iCs/>
        </w:rPr>
        <w:t xml:space="preserve"> des G. vom 20. November 2022 (B.S. vom 30. November 2022); </w:t>
      </w:r>
      <w:r w:rsidR="00D67EB8" w:rsidRPr="009118AB">
        <w:rPr>
          <w:i/>
          <w:iCs/>
          <w:spacing w:val="2"/>
        </w:rPr>
        <w:t>§ </w:t>
      </w:r>
      <w:r w:rsidR="00296F0C" w:rsidRPr="009118AB">
        <w:rPr>
          <w:i/>
          <w:iCs/>
          <w:spacing w:val="2"/>
        </w:rPr>
        <w:t xml:space="preserve">5 </w:t>
      </w:r>
      <w:r w:rsidR="00D67EB8" w:rsidRPr="009118AB">
        <w:rPr>
          <w:i/>
          <w:iCs/>
          <w:spacing w:val="2"/>
        </w:rPr>
        <w:t>Abs. </w:t>
      </w:r>
      <w:r w:rsidR="00296F0C" w:rsidRPr="009118AB">
        <w:rPr>
          <w:i/>
          <w:iCs/>
          <w:spacing w:val="2"/>
        </w:rPr>
        <w:t>1</w:t>
      </w:r>
      <w:r w:rsidR="009F13DA" w:rsidRPr="009118AB">
        <w:rPr>
          <w:i/>
          <w:iCs/>
          <w:spacing w:val="2"/>
        </w:rPr>
        <w:t>1</w:t>
      </w:r>
      <w:r w:rsidR="00296F0C" w:rsidRPr="009118AB">
        <w:rPr>
          <w:i/>
          <w:iCs/>
          <w:spacing w:val="2"/>
        </w:rPr>
        <w:t xml:space="preserve"> eingefügt durch </w:t>
      </w:r>
      <w:r w:rsidR="00D67EB8" w:rsidRPr="009118AB">
        <w:rPr>
          <w:i/>
          <w:iCs/>
          <w:spacing w:val="2"/>
        </w:rPr>
        <w:t>Art. </w:t>
      </w:r>
      <w:r w:rsidR="00296F0C" w:rsidRPr="009118AB">
        <w:rPr>
          <w:i/>
          <w:iCs/>
          <w:spacing w:val="2"/>
        </w:rPr>
        <w:t xml:space="preserve">10 </w:t>
      </w:r>
      <w:r w:rsidR="00D67EB8" w:rsidRPr="009118AB">
        <w:rPr>
          <w:i/>
          <w:iCs/>
          <w:spacing w:val="2"/>
        </w:rPr>
        <w:t>Nr. </w:t>
      </w:r>
      <w:r w:rsidR="00296F0C" w:rsidRPr="009118AB">
        <w:rPr>
          <w:i/>
          <w:iCs/>
          <w:spacing w:val="2"/>
        </w:rPr>
        <w:t>9</w:t>
      </w:r>
      <w:r w:rsidR="00296F0C"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296F0C" w:rsidRPr="009118AB">
        <w:rPr>
          <w:rFonts w:ascii="Times New Roman Italique" w:hAnsi="Times New Roman Italique"/>
          <w:i/>
        </w:rPr>
        <w:t>anwendbar auf die ab dem 1. April 2022 gezahlten oder zuerkannten Entlohnungen</w:t>
      </w:r>
      <w:r w:rsidR="003366D9" w:rsidRPr="009118AB">
        <w:rPr>
          <w:rFonts w:ascii="Times New Roman Italique" w:hAnsi="Times New Roman Italique"/>
          <w:i/>
        </w:rPr>
        <w:t> -;</w:t>
      </w:r>
      <w:r w:rsidR="00296F0C" w:rsidRPr="009118AB">
        <w:rPr>
          <w:rFonts w:ascii="Times New Roman Italique" w:hAnsi="Times New Roman Italique"/>
          <w:i/>
        </w:rPr>
        <w:t xml:space="preserve"> </w:t>
      </w:r>
      <w:r w:rsidR="00D67EB8" w:rsidRPr="009118AB">
        <w:rPr>
          <w:i/>
          <w:iCs/>
          <w:spacing w:val="-1"/>
        </w:rPr>
        <w:t>§ </w:t>
      </w:r>
      <w:r w:rsidR="00B27B9C" w:rsidRPr="009118AB">
        <w:rPr>
          <w:i/>
          <w:iCs/>
          <w:spacing w:val="-1"/>
        </w:rPr>
        <w:t xml:space="preserve">6 eingefügt durch </w:t>
      </w:r>
      <w:r w:rsidR="00D67EB8" w:rsidRPr="009118AB">
        <w:rPr>
          <w:i/>
          <w:iCs/>
          <w:spacing w:val="-1"/>
        </w:rPr>
        <w:t>Art. </w:t>
      </w:r>
      <w:r w:rsidR="00B27B9C" w:rsidRPr="009118AB">
        <w:rPr>
          <w:i/>
          <w:iCs/>
          <w:spacing w:val="-1"/>
        </w:rPr>
        <w:t xml:space="preserve">4 </w:t>
      </w:r>
      <w:r w:rsidR="00D67EB8" w:rsidRPr="009118AB">
        <w:rPr>
          <w:i/>
          <w:iCs/>
          <w:spacing w:val="-1"/>
        </w:rPr>
        <w:t>Nr. </w:t>
      </w:r>
      <w:r w:rsidR="00B27B9C" w:rsidRPr="009118AB">
        <w:rPr>
          <w:i/>
          <w:iCs/>
          <w:spacing w:val="-1"/>
        </w:rPr>
        <w:t>2</w:t>
      </w:r>
      <w:r w:rsidR="00B27B9C" w:rsidRPr="009118AB">
        <w:rPr>
          <w:i/>
        </w:rPr>
        <w:t xml:space="preserve"> des G. vom 23. März 2019 (B.S. vom 5. April 2019)</w:t>
      </w:r>
      <w:r w:rsidR="00D67EB8" w:rsidRPr="009118AB">
        <w:rPr>
          <w:i/>
        </w:rPr>
        <w:t> - </w:t>
      </w:r>
      <w:r w:rsidR="00B27B9C" w:rsidRPr="009118AB">
        <w:rPr>
          <w:i/>
        </w:rPr>
        <w:t>wirksam mit 1. Januar 2019 und anwendbar auf die ab dem 1. Januar 2019 gezahlten oder zuerkannten Entlohnungen</w:t>
      </w:r>
      <w:r w:rsidR="00FD68E8" w:rsidRPr="009118AB">
        <w:rPr>
          <w:i/>
        </w:rPr>
        <w:t> -]</w:t>
      </w:r>
    </w:p>
    <w:p w14:paraId="0F61A57C" w14:textId="77777777" w:rsidR="00AB0866" w:rsidRPr="009118AB" w:rsidRDefault="00AB0866" w:rsidP="00461450">
      <w:pPr>
        <w:autoSpaceDE w:val="0"/>
        <w:autoSpaceDN w:val="0"/>
        <w:adjustRightInd w:val="0"/>
        <w:jc w:val="center"/>
        <w:rPr>
          <w:iCs/>
          <w:spacing w:val="-1"/>
        </w:rPr>
      </w:pPr>
    </w:p>
    <w:p w14:paraId="30163C72" w14:textId="77777777" w:rsidR="00AB0866" w:rsidRPr="009118AB" w:rsidRDefault="00AB0866" w:rsidP="00EB25AF">
      <w:pPr>
        <w:autoSpaceDE w:val="0"/>
        <w:autoSpaceDN w:val="0"/>
        <w:adjustRightInd w:val="0"/>
        <w:jc w:val="both"/>
        <w:rPr>
          <w:iCs/>
          <w:spacing w:val="-1"/>
        </w:rPr>
      </w:pPr>
    </w:p>
    <w:p w14:paraId="2AB531E1" w14:textId="4121EF13" w:rsidR="00E02A5B" w:rsidRPr="009118AB" w:rsidRDefault="00E02A5B" w:rsidP="00E02A5B">
      <w:pPr>
        <w:jc w:val="both"/>
        <w:rPr>
          <w:iCs/>
        </w:rPr>
      </w:pPr>
      <w:r w:rsidRPr="009118AB">
        <w:tab/>
        <w:t>[</w:t>
      </w:r>
      <w:r w:rsidR="00D67EB8" w:rsidRPr="009118AB">
        <w:rPr>
          <w:b/>
        </w:rPr>
        <w:t>Art. </w:t>
      </w:r>
      <w:r w:rsidRPr="009118AB">
        <w:rPr>
          <w:b/>
        </w:rPr>
        <w:t>275</w:t>
      </w:r>
      <w:r w:rsidRPr="009118AB">
        <w:rPr>
          <w:b/>
          <w:vertAlign w:val="superscript"/>
        </w:rPr>
        <w:t>6</w:t>
      </w:r>
      <w:r w:rsidR="00D67EB8" w:rsidRPr="009118AB">
        <w:t> - </w:t>
      </w:r>
      <w:r w:rsidRPr="009118AB">
        <w:t>[</w:t>
      </w:r>
      <w:r w:rsidRPr="009118AB">
        <w:rPr>
          <w:iCs/>
        </w:rPr>
        <w:t xml:space="preserve">In Artikel 270 Absatz 1 </w:t>
      </w:r>
      <w:r w:rsidR="00D67EB8" w:rsidRPr="009118AB">
        <w:rPr>
          <w:iCs/>
        </w:rPr>
        <w:t>Nr. </w:t>
      </w:r>
      <w:r w:rsidRPr="009118AB">
        <w:rPr>
          <w:iCs/>
        </w:rPr>
        <w:t xml:space="preserve">1 erwähnte Schuldner] des Berufssteuervorabzugs, die Sportlern, die am 1. Januar des Jahres nach dem Jahr, in dem die Befreiung beantragt wird, keine 26 Jahre alt sind, [in Artikel 30 </w:t>
      </w:r>
      <w:r w:rsidR="00D67EB8" w:rsidRPr="009118AB">
        <w:rPr>
          <w:iCs/>
        </w:rPr>
        <w:t>Nr. </w:t>
      </w:r>
      <w:r w:rsidRPr="009118AB">
        <w:rPr>
          <w:iCs/>
        </w:rPr>
        <w:t>1 erwähnte Entlohnungen] zahlen oder zuerkennen, sind von der Zuführung von [75 Prozent] dieses Berufssteuervorabzugs an die Staatskasse befreit [</w:t>
      </w:r>
      <w:r w:rsidRPr="009118AB">
        <w:rPr>
          <w:rFonts w:eastAsia="Calibri"/>
          <w:szCs w:val="22"/>
          <w:lang w:eastAsia="en-US"/>
        </w:rPr>
        <w:t>unter der Bedingung, dass sie die Gesamtheit des vorerwähnten Vorabzugs auf diese Entlohnungen einbehalten</w:t>
      </w:r>
      <w:r w:rsidRPr="009118AB">
        <w:rPr>
          <w:iCs/>
        </w:rPr>
        <w:t>].</w:t>
      </w:r>
    </w:p>
    <w:p w14:paraId="04475690" w14:textId="77777777" w:rsidR="00E02A5B" w:rsidRPr="009118AB" w:rsidRDefault="00E02A5B" w:rsidP="00E02A5B">
      <w:pPr>
        <w:jc w:val="both"/>
        <w:rPr>
          <w:iCs/>
        </w:rPr>
      </w:pPr>
    </w:p>
    <w:p w14:paraId="3FD09347" w14:textId="6DC8A13D" w:rsidR="00E02A5B" w:rsidRPr="009118AB" w:rsidRDefault="00E02A5B" w:rsidP="00E02A5B">
      <w:pPr>
        <w:jc w:val="both"/>
        <w:rPr>
          <w:iCs/>
        </w:rPr>
      </w:pPr>
      <w:r w:rsidRPr="009118AB">
        <w:rPr>
          <w:iCs/>
        </w:rPr>
        <w:tab/>
        <w:t xml:space="preserve">Die in Absatz 1 erwähnte Befreiung von der Zahlung des Berufssteuervorabzugs wird ebenfalls bewilligt, wenn sie nicht in Absatz 1 erwähnten Sportlern [in Artikel 30 </w:t>
      </w:r>
      <w:r w:rsidR="00D67EB8" w:rsidRPr="009118AB">
        <w:rPr>
          <w:iCs/>
        </w:rPr>
        <w:t>Nr. </w:t>
      </w:r>
      <w:r w:rsidRPr="009118AB">
        <w:rPr>
          <w:iCs/>
        </w:rPr>
        <w:t>1 erwähnte Entlohnungen] zahlen oder zuerkennen, unter der Bedingung, dass spätestens am 31. Dezember des Jahres nach dem Jahr, in dem die Befreiung beantragt wird, [</w:t>
      </w:r>
      <w:r w:rsidRPr="009118AB">
        <w:rPr>
          <w:rFonts w:eastAsia="Calibri"/>
          <w:szCs w:val="22"/>
          <w:lang w:eastAsia="en-US"/>
        </w:rPr>
        <w:t>55 Prozent dieser Befreiung von der Zahlung des Berufssteuervorabzugs für die Ausbildung junger Sportler verwendet werden</w:t>
      </w:r>
      <w:r w:rsidRPr="009118AB">
        <w:rPr>
          <w:iCs/>
        </w:rPr>
        <w:t>], [</w:t>
      </w:r>
      <w:r w:rsidRPr="009118AB">
        <w:t>die am 1. Januar des Jahres nach dem Jahr, in dem die Befreiung beantragt wird, jünger als 23 Jahre sind]</w:t>
      </w:r>
      <w:r w:rsidRPr="009118AB">
        <w:rPr>
          <w:iCs/>
        </w:rPr>
        <w:t>.</w:t>
      </w:r>
    </w:p>
    <w:p w14:paraId="3FAED0C7" w14:textId="77777777" w:rsidR="00E02A5B" w:rsidRPr="009118AB" w:rsidRDefault="00E02A5B" w:rsidP="00E02A5B">
      <w:pPr>
        <w:jc w:val="both"/>
        <w:rPr>
          <w:iCs/>
        </w:rPr>
      </w:pPr>
    </w:p>
    <w:p w14:paraId="308C2ECC" w14:textId="04ECF5DF" w:rsidR="00E02A5B" w:rsidRPr="009118AB" w:rsidRDefault="00E02A5B" w:rsidP="00E02A5B">
      <w:pPr>
        <w:jc w:val="both"/>
        <w:rPr>
          <w:iCs/>
        </w:rPr>
      </w:pPr>
      <w:r w:rsidRPr="009118AB">
        <w:rPr>
          <w:iCs/>
        </w:rPr>
        <w:tab/>
        <w:t>[</w:t>
      </w:r>
      <w:r w:rsidRPr="009118AB">
        <w:t xml:space="preserve">Für die Anwendung von Absatz 2 gelten als Beträge, die für die Ausbildung junger Sportler verwendet werden, die Entlohnung von Personen, die mit Ausbildung, Betreuung oder Unterstützung dieser jungen Sportler im Rahmen ihrer sportlichen Betätigung beauftragt sind, und die Entlohnung der jungen Sportler. Die Entlohnung junger Sportler umfasst die gezahlte oder zuerkannte Entlohnung bis zu einem Höchstbetrag von achtmal dem in Artikel 2 </w:t>
      </w:r>
      <w:r w:rsidR="00D67EB8" w:rsidRPr="009118AB">
        <w:t>§ </w:t>
      </w:r>
      <w:r w:rsidRPr="009118AB">
        <w:t xml:space="preserve">1 des Gesetzes vom 24. Februar 1978 über den Arbeitsvertrag für entlohnte Sportler erwähnten Betrag und die in Artikel 52 </w:t>
      </w:r>
      <w:r w:rsidR="00D67EB8" w:rsidRPr="009118AB">
        <w:t>Nr. </w:t>
      </w:r>
      <w:r w:rsidRPr="009118AB">
        <w:t>3 erwähnten Nebenkosten.]</w:t>
      </w:r>
    </w:p>
    <w:p w14:paraId="0CEC0D0C" w14:textId="49B92B24" w:rsidR="00E02A5B" w:rsidRPr="009118AB" w:rsidRDefault="00E02A5B" w:rsidP="00E02A5B">
      <w:pPr>
        <w:jc w:val="both"/>
        <w:rPr>
          <w:iCs/>
        </w:rPr>
      </w:pPr>
    </w:p>
    <w:p w14:paraId="5FB8E209" w14:textId="7434FC18" w:rsidR="00E02A5B" w:rsidRPr="009118AB" w:rsidRDefault="00E02A5B" w:rsidP="00E02A5B">
      <w:pPr>
        <w:jc w:val="both"/>
        <w:rPr>
          <w:iCs/>
        </w:rPr>
      </w:pPr>
      <w:r w:rsidRPr="009118AB">
        <w:rPr>
          <w:iCs/>
        </w:rPr>
        <w:tab/>
        <w:t>[</w:t>
      </w:r>
      <w:r w:rsidRPr="009118AB">
        <w:rPr>
          <w:rFonts w:eastAsia="Calibri"/>
          <w:szCs w:val="22"/>
          <w:lang w:eastAsia="en-US"/>
        </w:rPr>
        <w:t>In Absatz 1 und 2 erwähnte Entlohnungen kommen nur in Betracht, sofern die Sportler, denen diese Entlohnungen gezahlt oder zuerkannt wurden, in dem Zeitraum, auf den die Befreiung sich bezieht, für einen in Absatz 1 erwähnten Schuldner sportliche Leistungen erbracht haben.</w:t>
      </w:r>
      <w:r w:rsidRPr="009118AB">
        <w:rPr>
          <w:iCs/>
        </w:rPr>
        <w:t>]</w:t>
      </w:r>
    </w:p>
    <w:p w14:paraId="4D2C5B6B" w14:textId="77777777" w:rsidR="00E02A5B" w:rsidRPr="009118AB" w:rsidRDefault="00E02A5B" w:rsidP="00E02A5B">
      <w:pPr>
        <w:jc w:val="both"/>
        <w:rPr>
          <w:iCs/>
        </w:rPr>
      </w:pPr>
    </w:p>
    <w:p w14:paraId="56BD3D08" w14:textId="77777777" w:rsidR="00E02A5B" w:rsidRPr="009118AB" w:rsidRDefault="00E02A5B" w:rsidP="00E02A5B">
      <w:pPr>
        <w:jc w:val="both"/>
        <w:rPr>
          <w:iCs/>
        </w:rPr>
      </w:pPr>
      <w:r w:rsidRPr="009118AB">
        <w:rPr>
          <w:iCs/>
        </w:rPr>
        <w:tab/>
        <w:t>[Bei Ablauf der vorerwähnten Frist müssen nicht gemäß Absatz 2 und 3 verwendete Beträge erhöht um die gemäß Artikel 414 berechneten Verzugszinsen der Staatskasse zugeführt werden.]</w:t>
      </w:r>
    </w:p>
    <w:p w14:paraId="34DB342C" w14:textId="77777777" w:rsidR="00E02A5B" w:rsidRPr="009118AB" w:rsidRDefault="00E02A5B" w:rsidP="00E02A5B">
      <w:pPr>
        <w:jc w:val="both"/>
        <w:rPr>
          <w:iCs/>
        </w:rPr>
      </w:pPr>
    </w:p>
    <w:p w14:paraId="586D54C6" w14:textId="77777777" w:rsidR="00E02A5B" w:rsidRPr="009118AB" w:rsidRDefault="00E02A5B" w:rsidP="00E02A5B">
      <w:pPr>
        <w:jc w:val="both"/>
        <w:rPr>
          <w:iCs/>
        </w:rPr>
      </w:pPr>
      <w:r w:rsidRPr="009118AB">
        <w:rPr>
          <w:iCs/>
        </w:rPr>
        <w:tab/>
        <w:t>Um die in den Absätzen 1 und 2 erwähnte Befreiung von der Zahlung des Berufssteuer</w:t>
      </w:r>
      <w:r w:rsidRPr="009118AB">
        <w:rPr>
          <w:iCs/>
        </w:rPr>
        <w:softHyphen/>
        <w:t>vorabzugs zu erhalten, muss der Schuldner den Nachweis, dass die Sportler, für die die Befreiung beantragt wird, im gesamten Zeitraum, auf den die Befreiung sich bezieht, die Bedingungen erfüllen und dass die Beträge tatsächlich gemäß den Absätzen 2 und 3 verwendet wurden, zur Verfügung des Föderalen Öffentlichen Dienstes Finanzen halten. Der König bestimmt die Modalitäten der Erbringung dieses Nachweises.</w:t>
      </w:r>
    </w:p>
    <w:p w14:paraId="755A1322" w14:textId="77777777" w:rsidR="00E02A5B" w:rsidRPr="009118AB" w:rsidRDefault="00E02A5B" w:rsidP="00E02A5B">
      <w:pPr>
        <w:jc w:val="both"/>
        <w:rPr>
          <w:iCs/>
        </w:rPr>
      </w:pPr>
    </w:p>
    <w:p w14:paraId="1B9CEC13" w14:textId="187E1D27" w:rsidR="00E02A5B" w:rsidRPr="009118AB" w:rsidRDefault="00E02A5B" w:rsidP="00E02A5B">
      <w:pPr>
        <w:jc w:val="both"/>
        <w:rPr>
          <w:iCs/>
        </w:rPr>
      </w:pPr>
      <w:r w:rsidRPr="009118AB">
        <w:rPr>
          <w:iCs/>
        </w:rPr>
        <w:tab/>
        <w:t>[...]]</w:t>
      </w:r>
    </w:p>
    <w:p w14:paraId="6586A9CA" w14:textId="77777777" w:rsidR="00F3098F" w:rsidRPr="009118AB" w:rsidRDefault="00F3098F" w:rsidP="00E02A5B">
      <w:pPr>
        <w:jc w:val="both"/>
        <w:rPr>
          <w:iCs/>
        </w:rPr>
      </w:pPr>
    </w:p>
    <w:p w14:paraId="5E365DAA" w14:textId="38DF31CF" w:rsidR="00E02A5B" w:rsidRPr="009118AB" w:rsidRDefault="00E02A5B" w:rsidP="00E02A5B">
      <w:pPr>
        <w:jc w:val="both"/>
        <w:rPr>
          <w:iCs/>
        </w:rPr>
      </w:pPr>
      <w:r w:rsidRPr="009118AB">
        <w:rPr>
          <w:iCs/>
        </w:rPr>
        <w:lastRenderedPageBreak/>
        <w:tab/>
        <w:t xml:space="preserve">[Vorliegender Artikel ist ebenfalls auf die in Artikel 270 </w:t>
      </w:r>
      <w:r w:rsidR="00D67EB8" w:rsidRPr="009118AB">
        <w:rPr>
          <w:iCs/>
        </w:rPr>
        <w:t>Nr. </w:t>
      </w:r>
      <w:r w:rsidRPr="009118AB">
        <w:rPr>
          <w:iCs/>
        </w:rPr>
        <w:t xml:space="preserve">3 erwähnten Schuldner des Berufssteuervorabzugs anwendbar, die Sportlern in Artikel 232 Absatz 1 </w:t>
      </w:r>
      <w:r w:rsidR="00D67EB8" w:rsidRPr="009118AB">
        <w:rPr>
          <w:iCs/>
        </w:rPr>
        <w:t>Nr. </w:t>
      </w:r>
      <w:r w:rsidRPr="009118AB">
        <w:rPr>
          <w:iCs/>
        </w:rPr>
        <w:t>2 Buch</w:t>
      </w:r>
      <w:r w:rsidRPr="009118AB">
        <w:rPr>
          <w:iCs/>
        </w:rPr>
        <w:softHyphen/>
        <w:t>stabe </w:t>
      </w:r>
      <w:r w:rsidRPr="009118AB">
        <w:rPr>
          <w:i/>
          <w:iCs/>
        </w:rPr>
        <w:t>c)</w:t>
      </w:r>
      <w:r w:rsidRPr="009118AB">
        <w:rPr>
          <w:iCs/>
        </w:rPr>
        <w:t xml:space="preserve"> erwähnte Entlohnungen direkt zahlen oder zuerkennen.]</w:t>
      </w:r>
    </w:p>
    <w:p w14:paraId="25BB2A1A" w14:textId="77777777" w:rsidR="00964971" w:rsidRPr="009118AB" w:rsidRDefault="00964971" w:rsidP="00E02A5B">
      <w:pPr>
        <w:jc w:val="both"/>
        <w:rPr>
          <w:iCs/>
        </w:rPr>
      </w:pPr>
    </w:p>
    <w:p w14:paraId="0D5B2347" w14:textId="0833AA21" w:rsidR="00964971" w:rsidRPr="009118AB" w:rsidRDefault="00964971" w:rsidP="00E02A5B">
      <w:pPr>
        <w:jc w:val="both"/>
        <w:rPr>
          <w:iCs/>
        </w:rPr>
      </w:pPr>
      <w:r w:rsidRPr="009118AB">
        <w:rPr>
          <w:iCs/>
        </w:rPr>
        <w:tab/>
        <w:t>[</w:t>
      </w:r>
      <w:r w:rsidRPr="009118AB">
        <w:t>Die in vorliegendem Artikel erwähnte Befreiung von der Zahlung des Berufssteuervorabzugs kann nicht auf den Berufssteuervorabzug angewandt werden, der zusätzlich zu dem verordnungsgemäßen Mindestbetrag des geschuldeten Berufssteuervorabzugs einbehalten wird.</w:t>
      </w:r>
      <w:r w:rsidRPr="009118AB">
        <w:rPr>
          <w:iCs/>
        </w:rPr>
        <w:t>]</w:t>
      </w:r>
    </w:p>
    <w:p w14:paraId="66B41EB1" w14:textId="77777777" w:rsidR="00E02A5B" w:rsidRPr="009118AB" w:rsidRDefault="00E02A5B" w:rsidP="00E02A5B">
      <w:pPr>
        <w:jc w:val="both"/>
        <w:rPr>
          <w:iCs/>
        </w:rPr>
      </w:pPr>
    </w:p>
    <w:p w14:paraId="270A67A2" w14:textId="5105F84A" w:rsidR="00E02A5B" w:rsidRPr="009118AB" w:rsidRDefault="00E02A5B" w:rsidP="00E02A5B">
      <w:pPr>
        <w:jc w:val="both"/>
        <w:rPr>
          <w:i/>
          <w:iCs/>
        </w:rPr>
      </w:pPr>
      <w:r w:rsidRPr="009118AB">
        <w:rPr>
          <w:i/>
          <w:iCs/>
        </w:rPr>
        <w:t>[</w:t>
      </w:r>
      <w:r w:rsidR="00D67EB8" w:rsidRPr="009118AB">
        <w:rPr>
          <w:i/>
          <w:iCs/>
        </w:rPr>
        <w:t>Art. </w:t>
      </w:r>
      <w:r w:rsidRPr="009118AB">
        <w:rPr>
          <w:i/>
          <w:iCs/>
        </w:rPr>
        <w:t>275</w:t>
      </w:r>
      <w:r w:rsidRPr="009118AB">
        <w:rPr>
          <w:i/>
          <w:iCs/>
          <w:vertAlign w:val="superscript"/>
        </w:rPr>
        <w:t>6</w:t>
      </w:r>
      <w:r w:rsidRPr="009118AB">
        <w:rPr>
          <w:i/>
          <w:iCs/>
        </w:rPr>
        <w:t xml:space="preserve"> eingefügt durch </w:t>
      </w:r>
      <w:r w:rsidR="00D67EB8" w:rsidRPr="009118AB">
        <w:rPr>
          <w:i/>
          <w:iCs/>
        </w:rPr>
        <w:t>Art. </w:t>
      </w:r>
      <w:r w:rsidRPr="009118AB">
        <w:rPr>
          <w:i/>
          <w:iCs/>
        </w:rPr>
        <w:t>5 des G. vom 4. Mai 2007 (B.S. vom 15. Mai 2007)</w:t>
      </w:r>
      <w:r w:rsidR="00D67EB8" w:rsidRPr="009118AB">
        <w:rPr>
          <w:i/>
          <w:iCs/>
        </w:rPr>
        <w:t> - </w:t>
      </w:r>
      <w:r w:rsidRPr="009118AB">
        <w:rPr>
          <w:i/>
          <w:iCs/>
        </w:rPr>
        <w:t>anwendbar auf die ab dem 1. Januar 2008 gezahlten oder zuerkannten Einkünfte</w:t>
      </w:r>
      <w:r w:rsidR="003366D9" w:rsidRPr="009118AB">
        <w:rPr>
          <w:i/>
          <w:iCs/>
        </w:rPr>
        <w:t> -;</w:t>
      </w:r>
      <w:r w:rsidRPr="009118AB">
        <w:rPr>
          <w:i/>
          <w:iCs/>
        </w:rPr>
        <w:t xml:space="preserve"> </w:t>
      </w:r>
      <w:r w:rsidR="00D67EB8" w:rsidRPr="009118AB">
        <w:rPr>
          <w:i/>
          <w:iCs/>
        </w:rPr>
        <w:t>Abs. </w:t>
      </w:r>
      <w:r w:rsidRPr="009118AB">
        <w:rPr>
          <w:i/>
          <w:iCs/>
        </w:rPr>
        <w:t xml:space="preserve">1 abgeändert durch </w:t>
      </w:r>
      <w:r w:rsidR="00D67EB8" w:rsidRPr="009118AB">
        <w:rPr>
          <w:i/>
          <w:iCs/>
        </w:rPr>
        <w:t>Art. </w:t>
      </w:r>
      <w:r w:rsidRPr="009118AB">
        <w:rPr>
          <w:i/>
          <w:iCs/>
        </w:rPr>
        <w:t xml:space="preserve">64 </w:t>
      </w:r>
      <w:r w:rsidR="00D67EB8" w:rsidRPr="009118AB">
        <w:rPr>
          <w:i/>
          <w:iCs/>
        </w:rPr>
        <w:t>Nr. </w:t>
      </w:r>
      <w:r w:rsidRPr="009118AB">
        <w:rPr>
          <w:i/>
          <w:iCs/>
        </w:rPr>
        <w:t>1 des G. vom 22. Dezember 2009 (I) (B.S. vom 31. Dezember 2009)</w:t>
      </w:r>
      <w:r w:rsidR="00D67EB8" w:rsidRPr="009118AB">
        <w:rPr>
          <w:i/>
          <w:iCs/>
        </w:rPr>
        <w:t> - </w:t>
      </w:r>
      <w:r w:rsidRPr="009118AB">
        <w:rPr>
          <w:i/>
          <w:iCs/>
        </w:rPr>
        <w:t>in Kraft am 1. Juli 2010</w:t>
      </w:r>
      <w:r w:rsidR="00FD68E8" w:rsidRPr="009118AB">
        <w:rPr>
          <w:i/>
          <w:iCs/>
        </w:rPr>
        <w:t> -,</w:t>
      </w:r>
      <w:r w:rsidRPr="009118AB">
        <w:rPr>
          <w:i/>
          <w:iCs/>
        </w:rPr>
        <w:t xml:space="preserve"> </w:t>
      </w:r>
      <w:r w:rsidR="00D67EB8" w:rsidRPr="009118AB">
        <w:rPr>
          <w:i/>
          <w:iCs/>
        </w:rPr>
        <w:t>Art. </w:t>
      </w:r>
      <w:r w:rsidRPr="009118AB">
        <w:rPr>
          <w:i/>
          <w:iCs/>
        </w:rPr>
        <w:t>15</w:t>
      </w:r>
      <w:r w:rsidRPr="009118AB">
        <w:rPr>
          <w:i/>
        </w:rPr>
        <w:t xml:space="preserve"> des G. vom 11. Februar 2019 (B.S. vom 22. März 2019)</w:t>
      </w:r>
      <w:r w:rsidR="00D67EB8" w:rsidRPr="009118AB">
        <w:rPr>
          <w:i/>
        </w:rPr>
        <w:t> - </w:t>
      </w:r>
      <w:r w:rsidRPr="009118AB">
        <w:rPr>
          <w:i/>
        </w:rPr>
        <w:t>in Kraft am 1. März 2019 und anwendbar auf die ab dem 1. März 2019 gezahlten oder zuerkannten Entlohnungen</w:t>
      </w:r>
      <w:r w:rsidR="00D67EB8" w:rsidRPr="009118AB">
        <w:rPr>
          <w:i/>
        </w:rPr>
        <w:t> - </w:t>
      </w:r>
      <w:r w:rsidRPr="009118AB">
        <w:rPr>
          <w:i/>
        </w:rPr>
        <w:t xml:space="preserve">und </w:t>
      </w:r>
      <w:r w:rsidR="00D67EB8" w:rsidRPr="009118AB">
        <w:rPr>
          <w:i/>
        </w:rPr>
        <w:t>Art. </w:t>
      </w:r>
      <w:r w:rsidRPr="009118AB">
        <w:rPr>
          <w:i/>
        </w:rPr>
        <w:t>2 Buchstabe a) und b) des G. vom 27. Dezember 2021 (B.S. vom 31. Dezember 2021)</w:t>
      </w:r>
      <w:r w:rsidR="00D67EB8" w:rsidRPr="009118AB">
        <w:rPr>
          <w:i/>
        </w:rPr>
        <w:t> - </w:t>
      </w:r>
      <w:r w:rsidRPr="009118AB">
        <w:rPr>
          <w:i/>
        </w:rPr>
        <w:t>anwendbar auf die ab dem 1. Januar 2022 gezahlten oder zuerkannten Entlohnungen</w:t>
      </w:r>
      <w:r w:rsidR="003366D9" w:rsidRPr="009118AB">
        <w:rPr>
          <w:i/>
        </w:rPr>
        <w:t> -;</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 xml:space="preserve">64 </w:t>
      </w:r>
      <w:r w:rsidR="00D67EB8" w:rsidRPr="009118AB">
        <w:rPr>
          <w:i/>
          <w:iCs/>
        </w:rPr>
        <w:t>Nr. </w:t>
      </w:r>
      <w:r w:rsidRPr="009118AB">
        <w:rPr>
          <w:i/>
          <w:iCs/>
        </w:rPr>
        <w:t>1 des G. vom 22. Dezember 2009 (I) (B.S. vom 31. Dezember 2009)</w:t>
      </w:r>
      <w:r w:rsidR="00D67EB8" w:rsidRPr="009118AB">
        <w:rPr>
          <w:i/>
          <w:iCs/>
        </w:rPr>
        <w:t> - </w:t>
      </w:r>
      <w:r w:rsidRPr="009118AB">
        <w:rPr>
          <w:i/>
          <w:iCs/>
        </w:rPr>
        <w:t>in Kraft am 1. Juli 2010</w:t>
      </w:r>
      <w:r w:rsidR="00FD68E8" w:rsidRPr="009118AB">
        <w:rPr>
          <w:i/>
          <w:iCs/>
        </w:rPr>
        <w:t> -,</w:t>
      </w:r>
      <w:r w:rsidRPr="009118AB">
        <w:rPr>
          <w:i/>
          <w:iCs/>
        </w:rPr>
        <w:t xml:space="preserve"> </w:t>
      </w:r>
      <w:r w:rsidR="00D67EB8" w:rsidRPr="009118AB">
        <w:rPr>
          <w:i/>
          <w:iCs/>
        </w:rPr>
        <w:t>Art. </w:t>
      </w:r>
      <w:r w:rsidRPr="009118AB">
        <w:rPr>
          <w:i/>
          <w:iCs/>
        </w:rPr>
        <w:t xml:space="preserve">2 </w:t>
      </w:r>
      <w:r w:rsidR="00D67EB8" w:rsidRPr="009118AB">
        <w:rPr>
          <w:i/>
          <w:iCs/>
        </w:rPr>
        <w:t>Nr. </w:t>
      </w:r>
      <w:r w:rsidRPr="009118AB">
        <w:rPr>
          <w:i/>
          <w:iCs/>
        </w:rPr>
        <w:t>1 des G. vom 28. April 2011 (B.S. vom 13. Mai 2011)</w:t>
      </w:r>
      <w:r w:rsidR="00D67EB8" w:rsidRPr="009118AB">
        <w:rPr>
          <w:i/>
          <w:iCs/>
        </w:rPr>
        <w:t> - </w:t>
      </w:r>
      <w:r w:rsidRPr="009118AB">
        <w:rPr>
          <w:i/>
          <w:iCs/>
        </w:rPr>
        <w:t>wirksam mit 1. Juli 2010</w:t>
      </w:r>
      <w:r w:rsidR="00D67EB8" w:rsidRPr="009118AB">
        <w:rPr>
          <w:i/>
          <w:iCs/>
        </w:rPr>
        <w:t> - </w:t>
      </w:r>
      <w:r w:rsidRPr="009118AB">
        <w:rPr>
          <w:i/>
          <w:iCs/>
        </w:rPr>
        <w:t xml:space="preserve">und </w:t>
      </w:r>
      <w:r w:rsidR="00D67EB8" w:rsidRPr="009118AB">
        <w:rPr>
          <w:i/>
          <w:iCs/>
        </w:rPr>
        <w:t>Art. </w:t>
      </w:r>
      <w:r w:rsidRPr="009118AB">
        <w:rPr>
          <w:i/>
          <w:iCs/>
        </w:rPr>
        <w:t>2 Buchstabe c)</w:t>
      </w:r>
      <w:r w:rsidRPr="009118AB">
        <w:rPr>
          <w:i/>
        </w:rPr>
        <w:t xml:space="preserve"> des G. vom 27. Dezember 2021 (B.S. vom 31. Dezember 2021)</w:t>
      </w:r>
      <w:r w:rsidR="00D67EB8" w:rsidRPr="009118AB">
        <w:rPr>
          <w:i/>
        </w:rPr>
        <w:t> - </w:t>
      </w:r>
      <w:r w:rsidRPr="009118AB">
        <w:rPr>
          <w:i/>
        </w:rPr>
        <w:t>anwendbar auf die ab dem 1. Januar 2022 gezahlten oder zuerkannten Entlohnungen</w:t>
      </w:r>
      <w:r w:rsidR="003366D9" w:rsidRPr="009118AB">
        <w:rPr>
          <w:i/>
        </w:rPr>
        <w:t> -;</w:t>
      </w:r>
      <w:r w:rsidRPr="009118AB">
        <w:rPr>
          <w:i/>
          <w:iCs/>
        </w:rPr>
        <w:t xml:space="preserve"> </w:t>
      </w:r>
      <w:r w:rsidR="00D67EB8" w:rsidRPr="009118AB">
        <w:rPr>
          <w:i/>
          <w:iCs/>
        </w:rPr>
        <w:t>Abs. </w:t>
      </w:r>
      <w:r w:rsidRPr="009118AB">
        <w:rPr>
          <w:i/>
          <w:iCs/>
        </w:rPr>
        <w:t xml:space="preserve">3 ersetzt durch </w:t>
      </w:r>
      <w:r w:rsidR="00D67EB8" w:rsidRPr="009118AB">
        <w:rPr>
          <w:i/>
          <w:iCs/>
        </w:rPr>
        <w:t>Art. </w:t>
      </w:r>
      <w:r w:rsidRPr="009118AB">
        <w:rPr>
          <w:i/>
          <w:iCs/>
        </w:rPr>
        <w:t xml:space="preserve">2 </w:t>
      </w:r>
      <w:r w:rsidR="00D67EB8" w:rsidRPr="009118AB">
        <w:rPr>
          <w:i/>
          <w:iCs/>
        </w:rPr>
        <w:t>Nr. </w:t>
      </w:r>
      <w:r w:rsidRPr="009118AB">
        <w:rPr>
          <w:i/>
          <w:iCs/>
        </w:rPr>
        <w:t>2 des G. vom 28. April 2011 (B.S. vom 13. Mai 2011)</w:t>
      </w:r>
      <w:r w:rsidR="00D67EB8" w:rsidRPr="009118AB">
        <w:rPr>
          <w:i/>
          <w:iCs/>
        </w:rPr>
        <w:t> - </w:t>
      </w:r>
      <w:r w:rsidRPr="009118AB">
        <w:rPr>
          <w:i/>
          <w:iCs/>
        </w:rPr>
        <w:t>wirksam mit 1. Juli 2010</w:t>
      </w:r>
      <w:r w:rsidR="003366D9" w:rsidRPr="009118AB">
        <w:rPr>
          <w:i/>
          <w:iCs/>
        </w:rPr>
        <w:t> -;</w:t>
      </w:r>
      <w:r w:rsidRPr="009118AB">
        <w:rPr>
          <w:i/>
          <w:iCs/>
        </w:rPr>
        <w:t xml:space="preserve"> neuer Absatz 4 eingefügt durch </w:t>
      </w:r>
      <w:r w:rsidR="00D67EB8" w:rsidRPr="009118AB">
        <w:rPr>
          <w:i/>
          <w:iCs/>
        </w:rPr>
        <w:t>Art. </w:t>
      </w:r>
      <w:r w:rsidRPr="009118AB">
        <w:rPr>
          <w:i/>
          <w:iCs/>
        </w:rPr>
        <w:t>2 Buchstabe d)</w:t>
      </w:r>
      <w:r w:rsidRPr="009118AB">
        <w:rPr>
          <w:i/>
        </w:rPr>
        <w:t xml:space="preserve"> des G. vom 27. Dezember 2021 (B.S. vom 31. Dezember 2021)</w:t>
      </w:r>
      <w:r w:rsidR="00D67EB8" w:rsidRPr="009118AB">
        <w:rPr>
          <w:i/>
        </w:rPr>
        <w:t> - </w:t>
      </w:r>
      <w:r w:rsidRPr="009118AB">
        <w:rPr>
          <w:i/>
        </w:rPr>
        <w:t>anwendbar auf die ab dem 1. Januar 2022 gezahlten oder zuerkannten Entlohnungen</w:t>
      </w:r>
      <w:r w:rsidR="003366D9" w:rsidRPr="009118AB">
        <w:rPr>
          <w:i/>
        </w:rPr>
        <w:t> -;</w:t>
      </w:r>
      <w:r w:rsidRPr="009118AB">
        <w:rPr>
          <w:i/>
        </w:rPr>
        <w:t xml:space="preserve"> </w:t>
      </w:r>
      <w:r w:rsidR="00D67EB8" w:rsidRPr="009118AB">
        <w:rPr>
          <w:i/>
          <w:iCs/>
        </w:rPr>
        <w:t>Abs. </w:t>
      </w:r>
      <w:r w:rsidRPr="009118AB">
        <w:rPr>
          <w:i/>
          <w:iCs/>
        </w:rPr>
        <w:t xml:space="preserve">5 (früherer Absatz 4) ersetzt durch </w:t>
      </w:r>
      <w:r w:rsidR="00D67EB8" w:rsidRPr="009118AB">
        <w:rPr>
          <w:i/>
          <w:iCs/>
        </w:rPr>
        <w:t>Art. </w:t>
      </w:r>
      <w:r w:rsidRPr="009118AB">
        <w:rPr>
          <w:i/>
          <w:iCs/>
        </w:rPr>
        <w:t xml:space="preserve">64 </w:t>
      </w:r>
      <w:r w:rsidR="00D67EB8" w:rsidRPr="009118AB">
        <w:rPr>
          <w:i/>
          <w:iCs/>
        </w:rPr>
        <w:t>Nr. </w:t>
      </w:r>
      <w:r w:rsidRPr="009118AB">
        <w:rPr>
          <w:i/>
          <w:iCs/>
        </w:rPr>
        <w:t>3 des G. vom 22. Dezember 2009 (I) (B.S. vom 31. Dezember 2009)</w:t>
      </w:r>
      <w:r w:rsidR="00D67EB8" w:rsidRPr="009118AB">
        <w:rPr>
          <w:i/>
          <w:iCs/>
        </w:rPr>
        <w:t> - </w:t>
      </w:r>
      <w:r w:rsidRPr="009118AB">
        <w:rPr>
          <w:i/>
          <w:iCs/>
        </w:rPr>
        <w:t>in Kraft am 1. Juli 2010</w:t>
      </w:r>
      <w:r w:rsidR="003366D9" w:rsidRPr="009118AB">
        <w:rPr>
          <w:i/>
          <w:iCs/>
        </w:rPr>
        <w:t> -;</w:t>
      </w:r>
      <w:r w:rsidRPr="009118AB">
        <w:rPr>
          <w:i/>
          <w:iCs/>
        </w:rPr>
        <w:t xml:space="preserve"> früherer Absatz </w:t>
      </w:r>
      <w:r w:rsidR="00964971" w:rsidRPr="009118AB">
        <w:rPr>
          <w:i/>
          <w:iCs/>
        </w:rPr>
        <w:t>7</w:t>
      </w:r>
      <w:r w:rsidRPr="009118AB">
        <w:rPr>
          <w:i/>
          <w:iCs/>
        </w:rPr>
        <w:t xml:space="preserve"> aufgehoben durch </w:t>
      </w:r>
      <w:r w:rsidR="00D67EB8" w:rsidRPr="009118AB">
        <w:rPr>
          <w:i/>
          <w:iCs/>
        </w:rPr>
        <w:t>Art. </w:t>
      </w:r>
      <w:r w:rsidRPr="009118AB">
        <w:rPr>
          <w:i/>
          <w:iCs/>
        </w:rPr>
        <w:t>2 Buchstabe e)</w:t>
      </w:r>
      <w:r w:rsidRPr="009118AB">
        <w:rPr>
          <w:i/>
        </w:rPr>
        <w:t xml:space="preserve"> des G. vom 27. Dezember 2021 (B.S. vom 31. Dezember 2021)</w:t>
      </w:r>
      <w:r w:rsidR="00D67EB8" w:rsidRPr="009118AB">
        <w:rPr>
          <w:i/>
        </w:rPr>
        <w:t> - </w:t>
      </w:r>
      <w:r w:rsidRPr="009118AB">
        <w:rPr>
          <w:i/>
        </w:rPr>
        <w:t>anwendbar auf die ab dem 1. Januar 2022 gezahlten oder zuerkannten Entlohnunge</w:t>
      </w:r>
      <w:r w:rsidR="00A05D38" w:rsidRPr="009118AB">
        <w:rPr>
          <w:i/>
        </w:rPr>
        <w:t>n</w:t>
      </w:r>
      <w:r w:rsidR="003366D9" w:rsidRPr="009118AB">
        <w:rPr>
          <w:i/>
        </w:rPr>
        <w:t> -;</w:t>
      </w:r>
      <w:r w:rsidRPr="009118AB">
        <w:rPr>
          <w:i/>
        </w:rPr>
        <w:t xml:space="preserve"> </w:t>
      </w:r>
      <w:r w:rsidR="00964971" w:rsidRPr="009118AB">
        <w:rPr>
          <w:i/>
        </w:rPr>
        <w:t xml:space="preserve">neuer </w:t>
      </w:r>
      <w:r w:rsidRPr="009118AB">
        <w:rPr>
          <w:i/>
          <w:iCs/>
        </w:rPr>
        <w:t>Abs</w:t>
      </w:r>
      <w:r w:rsidR="00964971" w:rsidRPr="009118AB">
        <w:rPr>
          <w:i/>
          <w:iCs/>
        </w:rPr>
        <w:t>a</w:t>
      </w:r>
      <w:r w:rsidR="00A05D38" w:rsidRPr="009118AB">
        <w:rPr>
          <w:i/>
          <w:iCs/>
        </w:rPr>
        <w:t>tz </w:t>
      </w:r>
      <w:r w:rsidRPr="009118AB">
        <w:rPr>
          <w:i/>
          <w:iCs/>
        </w:rPr>
        <w:t xml:space="preserve">7 eingefügt durch </w:t>
      </w:r>
      <w:r w:rsidR="00D67EB8" w:rsidRPr="009118AB">
        <w:rPr>
          <w:i/>
          <w:iCs/>
        </w:rPr>
        <w:t>Art. </w:t>
      </w:r>
      <w:r w:rsidRPr="009118AB">
        <w:rPr>
          <w:i/>
          <w:iCs/>
        </w:rPr>
        <w:t>171 des G. (I) vom 22. Dezember 2008 (II) (B.S. vom 29. Dezember 2008)</w:t>
      </w:r>
      <w:r w:rsidR="00D67EB8" w:rsidRPr="009118AB">
        <w:rPr>
          <w:i/>
          <w:iCs/>
        </w:rPr>
        <w:t> - </w:t>
      </w:r>
      <w:r w:rsidRPr="009118AB">
        <w:rPr>
          <w:i/>
          <w:iCs/>
        </w:rPr>
        <w:t>anwendbar auf die ab dem 1. Januar 2008 gezahlten oder zuerkannten Einkünfte</w:t>
      </w:r>
      <w:r w:rsidR="003366D9" w:rsidRPr="009118AB">
        <w:rPr>
          <w:i/>
          <w:iCs/>
        </w:rPr>
        <w:t> -;</w:t>
      </w:r>
      <w:r w:rsidR="00964971" w:rsidRPr="009118AB">
        <w:rPr>
          <w:i/>
          <w:iCs/>
        </w:rPr>
        <w:t xml:space="preserve"> </w:t>
      </w:r>
      <w:r w:rsidR="00D67EB8" w:rsidRPr="009118AB">
        <w:rPr>
          <w:i/>
          <w:iCs/>
        </w:rPr>
        <w:t>Abs. </w:t>
      </w:r>
      <w:r w:rsidR="00964971" w:rsidRPr="009118AB">
        <w:rPr>
          <w:i/>
          <w:iCs/>
        </w:rPr>
        <w:t xml:space="preserve">8 eingefügt durch </w:t>
      </w:r>
      <w:r w:rsidR="00D67EB8" w:rsidRPr="009118AB">
        <w:rPr>
          <w:i/>
          <w:iCs/>
        </w:rPr>
        <w:t>Art. </w:t>
      </w:r>
      <w:r w:rsidR="00964971" w:rsidRPr="009118AB">
        <w:rPr>
          <w:i/>
          <w:iCs/>
        </w:rPr>
        <w:t>13</w:t>
      </w:r>
      <w:r w:rsidR="00964971"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964971" w:rsidRPr="009118AB">
        <w:rPr>
          <w:rFonts w:ascii="Times New Roman Italique" w:hAnsi="Times New Roman Italique"/>
          <w:i/>
        </w:rPr>
        <w:t>anwendbar auf die ab dem 1. April 2022 gezahlten oder zuerkannten Entlohnungen</w:t>
      </w:r>
      <w:r w:rsidR="00FD68E8" w:rsidRPr="009118AB">
        <w:rPr>
          <w:rFonts w:ascii="Times New Roman Italique" w:hAnsi="Times New Roman Italique"/>
          <w:i/>
        </w:rPr>
        <w:t> -]</w:t>
      </w:r>
    </w:p>
    <w:p w14:paraId="353AC570" w14:textId="77777777" w:rsidR="00E02A5B" w:rsidRPr="009118AB" w:rsidRDefault="00E02A5B" w:rsidP="00A329D0">
      <w:pPr>
        <w:jc w:val="both"/>
        <w:rPr>
          <w:iCs/>
        </w:rPr>
      </w:pPr>
    </w:p>
    <w:p w14:paraId="27EA3EEC" w14:textId="77777777" w:rsidR="004551B4" w:rsidRPr="009118AB" w:rsidRDefault="004551B4" w:rsidP="004B0D9C">
      <w:pPr>
        <w:jc w:val="both"/>
        <w:rPr>
          <w:i/>
          <w:iCs/>
        </w:rPr>
      </w:pPr>
    </w:p>
    <w:p w14:paraId="607CAE23" w14:textId="7E86A831" w:rsidR="002C7433" w:rsidRPr="009118AB" w:rsidRDefault="00492148" w:rsidP="002C7433">
      <w:pPr>
        <w:ind w:firstLine="708"/>
        <w:jc w:val="both"/>
      </w:pPr>
      <w:r w:rsidRPr="009118AB">
        <w:tab/>
      </w:r>
      <w:r w:rsidR="00E30ED7" w:rsidRPr="009118AB">
        <w:t>[</w:t>
      </w:r>
      <w:r w:rsidR="00D67EB8" w:rsidRPr="009118AB">
        <w:rPr>
          <w:b/>
        </w:rPr>
        <w:t>Art. </w:t>
      </w:r>
      <w:r w:rsidR="00E30ED7" w:rsidRPr="009118AB">
        <w:rPr>
          <w:b/>
        </w:rPr>
        <w:t>275</w:t>
      </w:r>
      <w:r w:rsidR="00E30ED7" w:rsidRPr="009118AB">
        <w:rPr>
          <w:b/>
          <w:vertAlign w:val="superscript"/>
        </w:rPr>
        <w:t>7</w:t>
      </w:r>
      <w:r w:rsidR="00D67EB8" w:rsidRPr="009118AB">
        <w:t> - </w:t>
      </w:r>
      <w:r w:rsidR="002C7433" w:rsidRPr="009118AB">
        <w:t xml:space="preserve">[In Absatz 2 bestimmte Arbeitgeber, die Entlohnungen zahlen oder zuerkennen und </w:t>
      </w:r>
      <w:r w:rsidR="004551B4" w:rsidRPr="009118AB">
        <w:t>[</w:t>
      </w:r>
      <w:r w:rsidR="002C7433" w:rsidRPr="009118AB">
        <w:t xml:space="preserve">aufgrund von Artikel 270 </w:t>
      </w:r>
      <w:r w:rsidR="004551B4" w:rsidRPr="009118AB">
        <w:t xml:space="preserve">Absatz 1 </w:t>
      </w:r>
      <w:r w:rsidR="00D67EB8" w:rsidRPr="009118AB">
        <w:t>Nr. </w:t>
      </w:r>
      <w:r w:rsidR="002C7433" w:rsidRPr="009118AB">
        <w:t>1</w:t>
      </w:r>
      <w:r w:rsidR="004551B4" w:rsidRPr="009118AB">
        <w:t>]</w:t>
      </w:r>
      <w:r w:rsidR="002C7433" w:rsidRPr="009118AB">
        <w:t xml:space="preserve"> den Berufssteuervorabzug auf diese Entlohnungen schulden, sind von der Zuführung eines Teils dieses Berufssteuervorabzugs an die Staatskasse befreit unter der Bedingung, dass sie die Gesamtheit des vorerwähnten Vorabzugs auf diese Entlohnungen einbehalten.</w:t>
      </w:r>
    </w:p>
    <w:p w14:paraId="2A315CB8" w14:textId="77777777" w:rsidR="002C7433" w:rsidRPr="009118AB" w:rsidRDefault="002C7433" w:rsidP="002C7433">
      <w:pPr>
        <w:jc w:val="both"/>
      </w:pPr>
    </w:p>
    <w:p w14:paraId="29783DB4" w14:textId="584A4065" w:rsidR="002C7433" w:rsidRPr="009118AB" w:rsidRDefault="002C7433" w:rsidP="002C7433">
      <w:pPr>
        <w:ind w:firstLine="708"/>
        <w:jc w:val="both"/>
      </w:pPr>
      <w:r w:rsidRPr="009118AB">
        <w:t>Die Bestimmungen des vorliegenden Artikels sind anwendbar auf:</w:t>
      </w:r>
    </w:p>
    <w:p w14:paraId="04E3EAB3" w14:textId="77777777" w:rsidR="002C7433" w:rsidRPr="009118AB" w:rsidRDefault="002C7433" w:rsidP="002C7433">
      <w:pPr>
        <w:jc w:val="both"/>
      </w:pPr>
    </w:p>
    <w:p w14:paraId="36AF935E" w14:textId="26D71911" w:rsidR="002C7433" w:rsidRPr="009118AB" w:rsidRDefault="002C7433" w:rsidP="002C7433">
      <w:pPr>
        <w:ind w:firstLine="708"/>
        <w:jc w:val="both"/>
      </w:pPr>
      <w:r w:rsidRPr="009118AB">
        <w:rPr>
          <w:i/>
        </w:rPr>
        <w:t>a)</w:t>
      </w:r>
      <w:r w:rsidRPr="009118AB">
        <w:t xml:space="preserve"> sofern es sich um Arbeitgeber handelt, die entweder </w:t>
      </w:r>
      <w:r w:rsidR="00292D49" w:rsidRPr="009118AB">
        <w:t>[</w:t>
      </w:r>
      <w:r w:rsidR="00292D49" w:rsidRPr="009118AB">
        <w:rPr>
          <w:rFonts w:eastAsia="Calibri"/>
          <w:kern w:val="2"/>
          <w:szCs w:val="22"/>
          <w:lang w:eastAsia="en-US"/>
          <w14:ligatures w14:val="standardContextual"/>
        </w:rPr>
        <w:t>als kleine Gesellschaften gelten oder natürliche Personen sind, die die Kriterien des Artikels 1:24 §§ 1 bis 6 des Gesetzbuches der Gesellschaften und Vereinigungen mutatis mutandis erfüllen</w:t>
      </w:r>
      <w:r w:rsidR="00292D49" w:rsidRPr="009118AB">
        <w:t>]</w:t>
      </w:r>
      <w:r w:rsidRPr="009118AB">
        <w:t>:</w:t>
      </w:r>
    </w:p>
    <w:p w14:paraId="08B55BC9" w14:textId="77777777" w:rsidR="002C7433" w:rsidRPr="009118AB" w:rsidRDefault="002C7433" w:rsidP="002C7433">
      <w:pPr>
        <w:jc w:val="both"/>
      </w:pPr>
    </w:p>
    <w:p w14:paraId="308EF14E" w14:textId="77777777" w:rsidR="002C7433" w:rsidRPr="009118AB" w:rsidRDefault="002C7433" w:rsidP="002C7433">
      <w:pPr>
        <w:ind w:firstLine="708"/>
        <w:jc w:val="both"/>
      </w:pPr>
      <w:r w:rsidRPr="009118AB">
        <w:t>- Arbeitgeber, die in den Anwendungsbereich des Gesetzes vom 5. Dezember 1968 über die kollektiven Arbeitsabkommen und die paritätischen Kommissionen fallen,</w:t>
      </w:r>
    </w:p>
    <w:p w14:paraId="76CC1B85" w14:textId="77777777" w:rsidR="002C7433" w:rsidRPr="009118AB" w:rsidRDefault="002C7433" w:rsidP="002C7433">
      <w:pPr>
        <w:jc w:val="both"/>
      </w:pPr>
    </w:p>
    <w:p w14:paraId="0F48A386" w14:textId="77777777" w:rsidR="002C7433" w:rsidRPr="009118AB" w:rsidRDefault="002C7433" w:rsidP="002C7433">
      <w:pPr>
        <w:ind w:firstLine="708"/>
        <w:jc w:val="both"/>
      </w:pPr>
      <w:r w:rsidRPr="009118AB">
        <w:lastRenderedPageBreak/>
        <w:t>- für Leiharbeit zugelassene Unternehmen, die im ersten Gedankenstrich erwähnten Unternehmen Leiharbeitnehmer zur Verfügung stellen,</w:t>
      </w:r>
    </w:p>
    <w:p w14:paraId="70B5F5DD" w14:textId="77777777" w:rsidR="002C7433" w:rsidRPr="009118AB" w:rsidRDefault="002C7433" w:rsidP="002C7433">
      <w:pPr>
        <w:jc w:val="both"/>
      </w:pPr>
    </w:p>
    <w:p w14:paraId="0FA6033E" w14:textId="5A316D0D" w:rsidR="002C7433" w:rsidRPr="009118AB" w:rsidRDefault="002C7433" w:rsidP="002C7433">
      <w:pPr>
        <w:ind w:firstLine="708"/>
        <w:jc w:val="both"/>
      </w:pPr>
      <w:r w:rsidRPr="009118AB">
        <w:rPr>
          <w:i/>
        </w:rPr>
        <w:t>b)</w:t>
      </w:r>
      <w:r w:rsidRPr="009118AB">
        <w:t> </w:t>
      </w:r>
      <w:r w:rsidR="00046003" w:rsidRPr="009118AB">
        <w:t xml:space="preserve">[Arbeitgeber von Arbeitnehmern, die den paritätischen Kommissionen und Unterkommissionen unterstehen, die in Artikel 1 </w:t>
      </w:r>
      <w:r w:rsidR="00D67EB8" w:rsidRPr="009118AB">
        <w:t>Nr. </w:t>
      </w:r>
      <w:r w:rsidR="00046003" w:rsidRPr="009118AB">
        <w:t>1 Buchstabe </w:t>
      </w:r>
      <w:r w:rsidR="00046003" w:rsidRPr="009118AB">
        <w:rPr>
          <w:i/>
          <w:iCs/>
        </w:rPr>
        <w:t>a)</w:t>
      </w:r>
      <w:r w:rsidR="00046003" w:rsidRPr="009118AB">
        <w:t xml:space="preserve"> bis einschließlich </w:t>
      </w:r>
      <w:r w:rsidR="00046003" w:rsidRPr="009118AB">
        <w:rPr>
          <w:i/>
          <w:iCs/>
        </w:rPr>
        <w:t>s)</w:t>
      </w:r>
      <w:r w:rsidR="00046003" w:rsidRPr="009118AB">
        <w:t xml:space="preserve"> des Königlichen Erlasses vom 18. Juli 2002 zur Einführung von Maßnahmen zur Förderung der Beschäftigung im nichtkommerziellen Sektor aufgezählt sind, einschließlich der sozialen Werkstätten erwähnt in vorerwähntem Artikel 1 </w:t>
      </w:r>
      <w:r w:rsidR="00D67EB8" w:rsidRPr="009118AB">
        <w:t>Nr. </w:t>
      </w:r>
      <w:r w:rsidR="00046003" w:rsidRPr="009118AB">
        <w:t>1 Buchstabe </w:t>
      </w:r>
      <w:r w:rsidR="00046003" w:rsidRPr="009118AB">
        <w:rPr>
          <w:i/>
          <w:iCs/>
        </w:rPr>
        <w:t>a)</w:t>
      </w:r>
      <w:r w:rsidR="00046003" w:rsidRPr="009118AB">
        <w:t xml:space="preserve"> bis </w:t>
      </w:r>
      <w:r w:rsidR="00046003" w:rsidRPr="009118AB">
        <w:rPr>
          <w:i/>
          <w:iCs/>
        </w:rPr>
        <w:t>s)</w:t>
      </w:r>
      <w:r w:rsidR="00046003" w:rsidRPr="009118AB">
        <w:t xml:space="preserve"> und der beschützten Werkstätten beziehungsweise "maatwerkbedrijven",]</w:t>
      </w:r>
    </w:p>
    <w:p w14:paraId="6ED720FC" w14:textId="77777777" w:rsidR="002C7433" w:rsidRPr="009118AB" w:rsidRDefault="002C7433" w:rsidP="002C7433">
      <w:pPr>
        <w:jc w:val="both"/>
      </w:pPr>
    </w:p>
    <w:p w14:paraId="4E195DFB" w14:textId="77777777" w:rsidR="002C7433" w:rsidRPr="009118AB" w:rsidRDefault="002C7433" w:rsidP="002C7433">
      <w:pPr>
        <w:ind w:firstLine="708"/>
        <w:jc w:val="both"/>
      </w:pPr>
      <w:r w:rsidRPr="009118AB">
        <w:rPr>
          <w:i/>
        </w:rPr>
        <w:t>c)</w:t>
      </w:r>
      <w:r w:rsidRPr="009118AB">
        <w:t> die öffentlich-rechtliche Aktiengesellschaft Proximus und die öffentlich-rechtliche Aktiengesellschaft bpost für ihre Arbeitnehmer, die anders als aufgrund eines Arbeitsvertrags für diese Gesellschaften Arbeitsleistungen erbringen.</w:t>
      </w:r>
    </w:p>
    <w:p w14:paraId="3E373888" w14:textId="77777777" w:rsidR="002C7433" w:rsidRPr="009118AB" w:rsidRDefault="002C7433" w:rsidP="002C7433">
      <w:pPr>
        <w:jc w:val="both"/>
      </w:pPr>
    </w:p>
    <w:p w14:paraId="678084C8" w14:textId="0A4BFA16" w:rsidR="002C7433" w:rsidRPr="009118AB" w:rsidRDefault="002C7433" w:rsidP="002C7433">
      <w:pPr>
        <w:ind w:firstLine="708"/>
        <w:jc w:val="both"/>
      </w:pPr>
      <w:r w:rsidRPr="009118AB">
        <w:t>Der Berufssteuervorabzug, der nicht gezahlt werden muss, beträgt:</w:t>
      </w:r>
    </w:p>
    <w:p w14:paraId="4872E285" w14:textId="77777777" w:rsidR="002C7433" w:rsidRPr="009118AB" w:rsidRDefault="002C7433" w:rsidP="002C7433">
      <w:pPr>
        <w:jc w:val="both"/>
      </w:pPr>
    </w:p>
    <w:p w14:paraId="7A68D770" w14:textId="77777777" w:rsidR="002C7433" w:rsidRPr="009118AB" w:rsidRDefault="002C7433" w:rsidP="002C7433">
      <w:pPr>
        <w:ind w:firstLine="708"/>
        <w:jc w:val="both"/>
      </w:pPr>
      <w:r w:rsidRPr="009118AB">
        <w:rPr>
          <w:i/>
        </w:rPr>
        <w:t>a)</w:t>
      </w:r>
      <w:r w:rsidRPr="009118AB">
        <w:t> 0,12 Prozent des Bruttobetrags der Entlohnungen vor Abzug der persönlichen Sozialversicherungsbeiträge für die in Absatz 2 Buchstabe </w:t>
      </w:r>
      <w:r w:rsidRPr="009118AB">
        <w:rPr>
          <w:i/>
        </w:rPr>
        <w:t>a)</w:t>
      </w:r>
      <w:r w:rsidRPr="009118AB">
        <w:t xml:space="preserve"> erwähnten Arbeitgeber,</w:t>
      </w:r>
    </w:p>
    <w:p w14:paraId="231DDCB3" w14:textId="77777777" w:rsidR="002C7433" w:rsidRPr="009118AB" w:rsidRDefault="002C7433" w:rsidP="002C7433">
      <w:pPr>
        <w:jc w:val="both"/>
      </w:pPr>
    </w:p>
    <w:p w14:paraId="4BA87FFD" w14:textId="77777777" w:rsidR="00E13196" w:rsidRPr="009118AB" w:rsidRDefault="002C7433" w:rsidP="00E13196">
      <w:pPr>
        <w:ind w:firstLine="708"/>
        <w:jc w:val="both"/>
      </w:pPr>
      <w:r w:rsidRPr="009118AB">
        <w:rPr>
          <w:i/>
        </w:rPr>
        <w:t>b)</w:t>
      </w:r>
      <w:r w:rsidRPr="009118AB">
        <w:t> </w:t>
      </w:r>
      <w:r w:rsidR="00E13196" w:rsidRPr="009118AB">
        <w:t>[1. 1 Prozent des Bruttobetrags der Entlohnungen vor Abzug der persönlichen Sozialversicherungsbeiträge für die in Absatz 2 Buchstabe </w:t>
      </w:r>
      <w:r w:rsidR="00E13196" w:rsidRPr="009118AB">
        <w:rPr>
          <w:i/>
        </w:rPr>
        <w:t>b)</w:t>
      </w:r>
      <w:r w:rsidR="00E13196" w:rsidRPr="009118AB">
        <w:t xml:space="preserve"> erwähnten Arbeitgeber.</w:t>
      </w:r>
    </w:p>
    <w:p w14:paraId="1A42F942" w14:textId="77777777" w:rsidR="00E13196" w:rsidRPr="009118AB" w:rsidRDefault="00E13196" w:rsidP="00E13196">
      <w:pPr>
        <w:jc w:val="both"/>
      </w:pPr>
    </w:p>
    <w:p w14:paraId="1661257B" w14:textId="390E5AAF" w:rsidR="00E13196" w:rsidRPr="009118AB" w:rsidRDefault="00E13196" w:rsidP="00E13196">
      <w:pPr>
        <w:jc w:val="both"/>
      </w:pPr>
      <w:r w:rsidRPr="009118AB">
        <w:tab/>
        <w:t xml:space="preserve">2. Wenn diese Arbeitgeber entweder </w:t>
      </w:r>
      <w:r w:rsidR="0017115B" w:rsidRPr="009118AB">
        <w:t>[</w:t>
      </w:r>
      <w:r w:rsidR="0017115B" w:rsidRPr="009118AB">
        <w:rPr>
          <w:rFonts w:eastAsia="Calibri"/>
          <w:kern w:val="2"/>
          <w:szCs w:val="22"/>
          <w:lang w:eastAsia="en-US"/>
          <w14:ligatures w14:val="standardContextual"/>
        </w:rPr>
        <w:t>als kleine Gesellschaften gelten oder natürliche Personen sind, die die Kriterien des Artikels 1:24 §§ 1 bis 6 des Gesetzbuches der Gesellschaften und Vereinigungen mutatis mutandis erfüllen</w:t>
      </w:r>
      <w:r w:rsidR="0017115B" w:rsidRPr="009118AB">
        <w:t>]</w:t>
      </w:r>
      <w:r w:rsidRPr="009118AB">
        <w:t>, wird dieser Prozentsatz auf 1,12 Prozent erhöht.</w:t>
      </w:r>
    </w:p>
    <w:p w14:paraId="27E7A49F" w14:textId="77777777" w:rsidR="00E13196" w:rsidRPr="009118AB" w:rsidRDefault="00E13196" w:rsidP="00E13196">
      <w:pPr>
        <w:jc w:val="both"/>
      </w:pPr>
    </w:p>
    <w:p w14:paraId="7CA31F6E" w14:textId="456DBBD3" w:rsidR="002C7433" w:rsidRPr="009118AB" w:rsidRDefault="00E13196" w:rsidP="00E13196">
      <w:pPr>
        <w:ind w:firstLine="708"/>
        <w:jc w:val="both"/>
      </w:pPr>
      <w:r w:rsidRPr="009118AB">
        <w:tab/>
        <w:t xml:space="preserve">3. Arbeitgeber von Arbeitnehmern, die den paritätischen Kommissionen und Unterkommissionen unterstehen, die in Artikel 1 </w:t>
      </w:r>
      <w:r w:rsidR="00D67EB8" w:rsidRPr="009118AB">
        <w:t>Nr. </w:t>
      </w:r>
      <w:r w:rsidRPr="009118AB">
        <w:t>1 Buchstabe </w:t>
      </w:r>
      <w:r w:rsidRPr="009118AB">
        <w:rPr>
          <w:i/>
        </w:rPr>
        <w:t>a)</w:t>
      </w:r>
      <w:r w:rsidRPr="009118AB">
        <w:t xml:space="preserve"> bis </w:t>
      </w:r>
      <w:r w:rsidRPr="009118AB">
        <w:rPr>
          <w:i/>
        </w:rPr>
        <w:t>p)</w:t>
      </w:r>
      <w:r w:rsidRPr="009118AB">
        <w:t xml:space="preserve"> des Königlichen Erlasses vom 18. Juli 2002 zur Einführung von Maßnahmen zur Förderung der Beschäftigung im nichtkommerziellen Sektor aufgezählt sind, müssen einen Betrag, der drei Vierteln der Befreiung von der Zahlung des Berufssteuervorabzugs entspricht, direkt für die Finanzierung der Fonds "Sozialer Maribel" verwenden. Der Arbeitgeber muss dem zuständigen Einnehmer diesen Betrag zu dem Zeitpunkt zahlen, zu dem der Berufssteuervorabzug der Staatskasse zugeführt wird. Die Staatskasse überträgt die erhaltenen Summen dem Landesamt für soziale Sicherheit, das sie unter den begünstigten Fonds "Sozialer Maribel" verteilt,]</w:t>
      </w:r>
    </w:p>
    <w:p w14:paraId="18F9BD98" w14:textId="77777777" w:rsidR="002C7433" w:rsidRPr="009118AB" w:rsidRDefault="002C7433" w:rsidP="002C7433">
      <w:pPr>
        <w:jc w:val="both"/>
      </w:pPr>
    </w:p>
    <w:p w14:paraId="3FEB22CC" w14:textId="77777777" w:rsidR="002C7433" w:rsidRPr="009118AB" w:rsidRDefault="002C7433" w:rsidP="002C7433">
      <w:pPr>
        <w:ind w:firstLine="708"/>
        <w:jc w:val="both"/>
      </w:pPr>
      <w:r w:rsidRPr="009118AB">
        <w:rPr>
          <w:i/>
        </w:rPr>
        <w:t>c)</w:t>
      </w:r>
      <w:r w:rsidRPr="009118AB">
        <w:t> 1 Prozent des Bruttobetrags der Entlohnungen vor Abzug der persönlichen Sozialversicherungsbeiträge für die in Absatz 2 Buchstabe </w:t>
      </w:r>
      <w:r w:rsidRPr="009118AB">
        <w:rPr>
          <w:i/>
        </w:rPr>
        <w:t>c)</w:t>
      </w:r>
      <w:r w:rsidRPr="009118AB">
        <w:t xml:space="preserve"> erwähnten Arbeitgeber.</w:t>
      </w:r>
    </w:p>
    <w:p w14:paraId="3AA2B6E3" w14:textId="77777777" w:rsidR="002C7433" w:rsidRPr="009118AB" w:rsidRDefault="002C7433" w:rsidP="002C7433">
      <w:pPr>
        <w:jc w:val="both"/>
      </w:pPr>
    </w:p>
    <w:p w14:paraId="65CA3BA4" w14:textId="7F3FFF13" w:rsidR="00853932" w:rsidRPr="009118AB" w:rsidRDefault="002C7433" w:rsidP="002C7433">
      <w:pPr>
        <w:jc w:val="both"/>
      </w:pPr>
      <w:r w:rsidRPr="009118AB">
        <w:tab/>
        <w:t>Der König bestimmt die Modalitäten der Anwendung des vorliegenden Artikels.</w:t>
      </w:r>
      <w:r w:rsidR="00853932" w:rsidRPr="009118AB">
        <w:t>]</w:t>
      </w:r>
    </w:p>
    <w:p w14:paraId="1A5EF898" w14:textId="77777777" w:rsidR="00853932" w:rsidRPr="009118AB" w:rsidRDefault="00853932" w:rsidP="00853932">
      <w:pPr>
        <w:jc w:val="both"/>
      </w:pPr>
    </w:p>
    <w:p w14:paraId="487395EB" w14:textId="199F053C" w:rsidR="00853932" w:rsidRPr="009118AB" w:rsidRDefault="00853932" w:rsidP="004B0D9C">
      <w:pPr>
        <w:jc w:val="both"/>
        <w:rPr>
          <w:i/>
        </w:rPr>
      </w:pPr>
      <w:r w:rsidRPr="009118AB">
        <w:rPr>
          <w:i/>
          <w:iCs/>
        </w:rPr>
        <w:t>[</w:t>
      </w:r>
      <w:r w:rsidR="00D67EB8" w:rsidRPr="009118AB">
        <w:rPr>
          <w:i/>
          <w:iCs/>
        </w:rPr>
        <w:t>Art. </w:t>
      </w:r>
      <w:r w:rsidRPr="009118AB">
        <w:rPr>
          <w:i/>
          <w:iCs/>
        </w:rPr>
        <w:t>275</w:t>
      </w:r>
      <w:r w:rsidRPr="009118AB">
        <w:rPr>
          <w:i/>
          <w:iCs/>
          <w:vertAlign w:val="superscript"/>
        </w:rPr>
        <w:t xml:space="preserve">7 </w:t>
      </w:r>
      <w:r w:rsidRPr="009118AB">
        <w:rPr>
          <w:i/>
          <w:iCs/>
        </w:rPr>
        <w:t xml:space="preserve">eingefügt durch </w:t>
      </w:r>
      <w:r w:rsidR="00D67EB8" w:rsidRPr="009118AB">
        <w:rPr>
          <w:i/>
          <w:iCs/>
        </w:rPr>
        <w:t>Art. </w:t>
      </w:r>
      <w:r w:rsidRPr="009118AB">
        <w:rPr>
          <w:i/>
          <w:iCs/>
        </w:rPr>
        <w:t>28 des G. vom 17. Mai </w:t>
      </w:r>
      <w:r w:rsidR="004F7F42" w:rsidRPr="009118AB">
        <w:rPr>
          <w:i/>
          <w:iCs/>
        </w:rPr>
        <w:t>2007 (B.S. vom 19. Juni 2007)</w:t>
      </w:r>
      <w:r w:rsidR="00D67EB8" w:rsidRPr="009118AB">
        <w:rPr>
          <w:i/>
          <w:iCs/>
        </w:rPr>
        <w:t> - </w:t>
      </w:r>
      <w:r w:rsidRPr="009118AB">
        <w:rPr>
          <w:i/>
          <w:iCs/>
        </w:rPr>
        <w:t xml:space="preserve">anwendbar </w:t>
      </w:r>
      <w:r w:rsidRPr="009118AB">
        <w:rPr>
          <w:i/>
        </w:rPr>
        <w:t>auf die ab dem 1. Oktober 2007 gezahlten oder zuerkannten Entlohnungen</w:t>
      </w:r>
      <w:r w:rsidR="00D67EB8" w:rsidRPr="009118AB">
        <w:rPr>
          <w:i/>
        </w:rPr>
        <w:t> - </w:t>
      </w:r>
      <w:r w:rsidR="002C7433" w:rsidRPr="009118AB">
        <w:rPr>
          <w:i/>
        </w:rPr>
        <w:t xml:space="preserve">und ersetzt durch </w:t>
      </w:r>
      <w:r w:rsidR="00D67EB8" w:rsidRPr="009118AB">
        <w:rPr>
          <w:i/>
        </w:rPr>
        <w:t>Art. </w:t>
      </w:r>
      <w:r w:rsidR="002C7433" w:rsidRPr="009118AB">
        <w:rPr>
          <w:i/>
        </w:rPr>
        <w:t>137 des G. vom 26. Dezember 2015 (II) (B.S. vom 30. Dezember 2015)</w:t>
      </w:r>
      <w:r w:rsidR="00D67EB8" w:rsidRPr="009118AB">
        <w:t> - </w:t>
      </w:r>
      <w:r w:rsidR="002C7433" w:rsidRPr="009118AB">
        <w:rPr>
          <w:i/>
        </w:rPr>
        <w:t>in Kraft am 1. April 2016 und anwendbar auf die ab dem 1. April 2016 gezahlten oder zuerkannten Entlohnungen</w:t>
      </w:r>
      <w:r w:rsidR="003366D9" w:rsidRPr="009118AB">
        <w:rPr>
          <w:i/>
        </w:rPr>
        <w:t> -;</w:t>
      </w:r>
      <w:r w:rsidR="00E13196" w:rsidRPr="009118AB">
        <w:rPr>
          <w:i/>
        </w:rPr>
        <w:t xml:space="preserve"> </w:t>
      </w:r>
      <w:r w:rsidR="00D67EB8" w:rsidRPr="009118AB">
        <w:rPr>
          <w:i/>
        </w:rPr>
        <w:t>Abs. </w:t>
      </w:r>
      <w:r w:rsidR="004551B4" w:rsidRPr="009118AB">
        <w:rPr>
          <w:i/>
        </w:rPr>
        <w:t xml:space="preserve">1 abgeändert durch </w:t>
      </w:r>
      <w:r w:rsidR="00D67EB8" w:rsidRPr="009118AB">
        <w:rPr>
          <w:i/>
        </w:rPr>
        <w:t>Art. </w:t>
      </w:r>
      <w:r w:rsidR="004551B4" w:rsidRPr="009118AB">
        <w:rPr>
          <w:i/>
        </w:rPr>
        <w:t>16 des G. vom 11. Februar 2019 (B.S. vom 22. März 2019)</w:t>
      </w:r>
      <w:r w:rsidR="00D67EB8" w:rsidRPr="009118AB">
        <w:rPr>
          <w:i/>
        </w:rPr>
        <w:t> - </w:t>
      </w:r>
      <w:r w:rsidR="004551B4" w:rsidRPr="009118AB">
        <w:rPr>
          <w:i/>
        </w:rPr>
        <w:t>in Kraft am 1. März 2019 und anwendbar auf die ab dem 1. März 2019 gezahlten oder zuerkannten Entlohnungen</w:t>
      </w:r>
      <w:r w:rsidR="003366D9" w:rsidRPr="009118AB">
        <w:rPr>
          <w:i/>
        </w:rPr>
        <w:t> -;</w:t>
      </w:r>
      <w:r w:rsidR="004551B4" w:rsidRPr="009118AB">
        <w:rPr>
          <w:i/>
        </w:rPr>
        <w:t xml:space="preserve"> </w:t>
      </w:r>
      <w:r w:rsidR="00D67EB8" w:rsidRPr="009118AB">
        <w:rPr>
          <w:i/>
        </w:rPr>
        <w:t>Abs. </w:t>
      </w:r>
      <w:r w:rsidR="00724D66" w:rsidRPr="009118AB">
        <w:rPr>
          <w:i/>
        </w:rPr>
        <w:t>2 Buchstabe a)</w:t>
      </w:r>
      <w:r w:rsidR="0081518F" w:rsidRPr="009118AB">
        <w:rPr>
          <w:i/>
        </w:rPr>
        <w:t xml:space="preserve"> </w:t>
      </w:r>
      <w:r w:rsidR="0017115B" w:rsidRPr="009118AB">
        <w:rPr>
          <w:i/>
        </w:rPr>
        <w:t xml:space="preserve">einziger Absatz </w:t>
      </w:r>
      <w:r w:rsidR="0081518F" w:rsidRPr="009118AB">
        <w:rPr>
          <w:i/>
        </w:rPr>
        <w:t>einleitende Bestimmung</w:t>
      </w:r>
      <w:r w:rsidR="00724D66" w:rsidRPr="009118AB">
        <w:rPr>
          <w:i/>
        </w:rPr>
        <w:t xml:space="preserve"> abgeändert durch </w:t>
      </w:r>
      <w:r w:rsidR="00D67EB8" w:rsidRPr="009118AB">
        <w:rPr>
          <w:i/>
        </w:rPr>
        <w:t>Art. </w:t>
      </w:r>
      <w:r w:rsidR="00724D66" w:rsidRPr="009118AB">
        <w:rPr>
          <w:i/>
        </w:rPr>
        <w:t>64</w:t>
      </w:r>
      <w:r w:rsidR="00724D66" w:rsidRPr="009118AB">
        <w:rPr>
          <w:i/>
          <w:iCs/>
          <w:spacing w:val="-2"/>
        </w:rPr>
        <w:t xml:space="preserve"> des G. vom 17. März 2019 (III) (B.S. </w:t>
      </w:r>
      <w:r w:rsidR="00724D66" w:rsidRPr="009118AB">
        <w:rPr>
          <w:i/>
          <w:iCs/>
          <w:spacing w:val="-2"/>
        </w:rPr>
        <w:lastRenderedPageBreak/>
        <w:t>vom 10. Mai 2019)</w:t>
      </w:r>
      <w:r w:rsidR="00D67EB8" w:rsidRPr="009118AB">
        <w:rPr>
          <w:i/>
          <w:iCs/>
          <w:spacing w:val="-2"/>
        </w:rPr>
        <w:t> - </w:t>
      </w:r>
      <w:r w:rsidR="00724D66" w:rsidRPr="009118AB">
        <w:rPr>
          <w:i/>
          <w:iCs/>
          <w:spacing w:val="-2"/>
        </w:rPr>
        <w:t>in Kraft am 1. Mai 2019</w:t>
      </w:r>
      <w:r w:rsidR="00D67EB8" w:rsidRPr="009118AB">
        <w:rPr>
          <w:i/>
          <w:iCs/>
          <w:spacing w:val="-2"/>
        </w:rPr>
        <w:t> -</w:t>
      </w:r>
      <w:r w:rsidR="0017115B" w:rsidRPr="009118AB">
        <w:rPr>
          <w:i/>
          <w:iCs/>
          <w:spacing w:val="-2"/>
        </w:rPr>
        <w:t>,</w:t>
      </w:r>
      <w:r w:rsidR="00D67EB8" w:rsidRPr="009118AB">
        <w:rPr>
          <w:i/>
          <w:iCs/>
          <w:spacing w:val="-2"/>
        </w:rPr>
        <w:t> Art. </w:t>
      </w:r>
      <w:r w:rsidR="00721FFA" w:rsidRPr="009118AB">
        <w:rPr>
          <w:i/>
          <w:iCs/>
          <w:spacing w:val="-2"/>
        </w:rPr>
        <w:t xml:space="preserve">82 </w:t>
      </w:r>
      <w:r w:rsidR="00D67EB8" w:rsidRPr="009118AB">
        <w:rPr>
          <w:i/>
          <w:iCs/>
          <w:spacing w:val="-2"/>
        </w:rPr>
        <w:t>Nr. </w:t>
      </w:r>
      <w:r w:rsidR="00721FFA" w:rsidRPr="009118AB">
        <w:rPr>
          <w:i/>
          <w:iCs/>
          <w:spacing w:val="-2"/>
        </w:rPr>
        <w:t>1</w:t>
      </w:r>
      <w:r w:rsidR="00721FFA" w:rsidRPr="009118AB">
        <w:rPr>
          <w:bCs/>
          <w:i/>
          <w:iCs/>
        </w:rPr>
        <w:t xml:space="preserve"> des G. vom 27. Juni 2021 (B.S. vom 30. Juni 2021)</w:t>
      </w:r>
      <w:r w:rsidR="0017115B" w:rsidRPr="009118AB">
        <w:rPr>
          <w:bCs/>
          <w:i/>
          <w:iCs/>
        </w:rPr>
        <w:t xml:space="preserve"> und Art. 38 Nr. 1</w:t>
      </w:r>
      <w:r w:rsidR="0017115B" w:rsidRPr="009118AB">
        <w:rPr>
          <w:i/>
          <w:iCs/>
        </w:rPr>
        <w:t xml:space="preserve"> des G. vom 5. Juli 2022 (B.S. vom 15. Juli 2022)</w:t>
      </w:r>
      <w:r w:rsidR="00724D66" w:rsidRPr="009118AB">
        <w:rPr>
          <w:i/>
          <w:iCs/>
          <w:spacing w:val="-2"/>
        </w:rPr>
        <w:t xml:space="preserve">; </w:t>
      </w:r>
      <w:r w:rsidR="00D67EB8" w:rsidRPr="009118AB">
        <w:rPr>
          <w:i/>
        </w:rPr>
        <w:t>Abs. </w:t>
      </w:r>
      <w:r w:rsidR="00E13196" w:rsidRPr="009118AB">
        <w:rPr>
          <w:i/>
        </w:rPr>
        <w:t xml:space="preserve">2 Buchstabe b) </w:t>
      </w:r>
      <w:r w:rsidR="00046003" w:rsidRPr="009118AB">
        <w:rPr>
          <w:i/>
        </w:rPr>
        <w:t xml:space="preserve">ersetzt durch </w:t>
      </w:r>
      <w:r w:rsidR="00D67EB8" w:rsidRPr="009118AB">
        <w:rPr>
          <w:i/>
        </w:rPr>
        <w:t>Art. </w:t>
      </w:r>
      <w:r w:rsidR="00046003" w:rsidRPr="009118AB">
        <w:rPr>
          <w:i/>
        </w:rPr>
        <w:t>6</w:t>
      </w:r>
      <w:r w:rsidR="00046003" w:rsidRPr="009118AB">
        <w:rPr>
          <w:i/>
          <w:iCs/>
          <w:spacing w:val="2"/>
        </w:rPr>
        <w:t xml:space="preserve"> des G. vom 2</w:t>
      </w:r>
      <w:r w:rsidR="00306781" w:rsidRPr="009118AB">
        <w:rPr>
          <w:i/>
          <w:iCs/>
          <w:spacing w:val="2"/>
        </w:rPr>
        <w:t>8</w:t>
      </w:r>
      <w:r w:rsidR="00046003" w:rsidRPr="009118AB">
        <w:rPr>
          <w:i/>
          <w:iCs/>
          <w:spacing w:val="2"/>
        </w:rPr>
        <w:t xml:space="preserve">. April 2019 (B.S. vom </w:t>
      </w:r>
      <w:r w:rsidR="00306781" w:rsidRPr="009118AB">
        <w:rPr>
          <w:i/>
          <w:iCs/>
          <w:spacing w:val="2"/>
        </w:rPr>
        <w:t>6</w:t>
      </w:r>
      <w:r w:rsidR="00046003" w:rsidRPr="009118AB">
        <w:rPr>
          <w:i/>
          <w:iCs/>
          <w:spacing w:val="2"/>
        </w:rPr>
        <w:t>. Mai 2019)</w:t>
      </w:r>
      <w:r w:rsidR="00D67EB8" w:rsidRPr="009118AB">
        <w:rPr>
          <w:i/>
          <w:iCs/>
          <w:spacing w:val="2"/>
        </w:rPr>
        <w:t> - </w:t>
      </w:r>
      <w:r w:rsidR="00E13196" w:rsidRPr="009118AB">
        <w:rPr>
          <w:i/>
        </w:rPr>
        <w:t>wirksam für die ab dem 1. April 2016 gezahlten oder zuerkannten Entlohnungen</w:t>
      </w:r>
      <w:r w:rsidR="003366D9" w:rsidRPr="009118AB">
        <w:rPr>
          <w:i/>
        </w:rPr>
        <w:t> -;</w:t>
      </w:r>
      <w:r w:rsidR="00E13196" w:rsidRPr="009118AB">
        <w:rPr>
          <w:i/>
        </w:rPr>
        <w:t xml:space="preserve"> </w:t>
      </w:r>
      <w:r w:rsidR="00D67EB8" w:rsidRPr="009118AB">
        <w:rPr>
          <w:i/>
        </w:rPr>
        <w:t>Abs. </w:t>
      </w:r>
      <w:r w:rsidR="00E13196" w:rsidRPr="009118AB">
        <w:rPr>
          <w:i/>
        </w:rPr>
        <w:t xml:space="preserve">3 Buchstabe b) ersetzt durch </w:t>
      </w:r>
      <w:r w:rsidR="00D67EB8" w:rsidRPr="009118AB">
        <w:rPr>
          <w:i/>
        </w:rPr>
        <w:t>Art. </w:t>
      </w:r>
      <w:r w:rsidR="00E13196" w:rsidRPr="009118AB">
        <w:rPr>
          <w:i/>
        </w:rPr>
        <w:t xml:space="preserve">79 </w:t>
      </w:r>
      <w:r w:rsidR="00D67EB8" w:rsidRPr="009118AB">
        <w:rPr>
          <w:i/>
        </w:rPr>
        <w:t>Nr. </w:t>
      </w:r>
      <w:r w:rsidR="00E13196" w:rsidRPr="009118AB">
        <w:rPr>
          <w:i/>
        </w:rPr>
        <w:t>2 des G. vom 18. Dezember 2016</w:t>
      </w:r>
      <w:r w:rsidR="004E359B" w:rsidRPr="009118AB">
        <w:rPr>
          <w:i/>
        </w:rPr>
        <w:t> (I)</w:t>
      </w:r>
      <w:r w:rsidR="00E13196" w:rsidRPr="009118AB">
        <w:rPr>
          <w:i/>
        </w:rPr>
        <w:t xml:space="preserve"> (B.S. vom 20. Dezember 2016)</w:t>
      </w:r>
      <w:r w:rsidR="00D67EB8" w:rsidRPr="009118AB">
        <w:rPr>
          <w:i/>
        </w:rPr>
        <w:t> - </w:t>
      </w:r>
      <w:r w:rsidR="00E13196" w:rsidRPr="009118AB">
        <w:rPr>
          <w:i/>
        </w:rPr>
        <w:t>wirksam für die ab dem 1. April 2016 gezahlten oder zuerkannten Entlohnungen</w:t>
      </w:r>
      <w:r w:rsidR="003366D9" w:rsidRPr="009118AB">
        <w:rPr>
          <w:i/>
        </w:rPr>
        <w:t> -;</w:t>
      </w:r>
      <w:r w:rsidR="000342F0" w:rsidRPr="009118AB">
        <w:rPr>
          <w:i/>
        </w:rPr>
        <w:t xml:space="preserve"> </w:t>
      </w:r>
      <w:r w:rsidR="00D67EB8" w:rsidRPr="009118AB">
        <w:rPr>
          <w:i/>
        </w:rPr>
        <w:t>Abs. </w:t>
      </w:r>
      <w:r w:rsidR="000342F0" w:rsidRPr="009118AB">
        <w:rPr>
          <w:i/>
        </w:rPr>
        <w:t xml:space="preserve">3 Buchstabe b) </w:t>
      </w:r>
      <w:r w:rsidR="0017115B" w:rsidRPr="009118AB">
        <w:rPr>
          <w:i/>
        </w:rPr>
        <w:t xml:space="preserve">einziger Absatz </w:t>
      </w:r>
      <w:r w:rsidR="00D67EB8" w:rsidRPr="009118AB">
        <w:rPr>
          <w:i/>
        </w:rPr>
        <w:t>Nr. </w:t>
      </w:r>
      <w:r w:rsidR="000342F0" w:rsidRPr="009118AB">
        <w:rPr>
          <w:i/>
        </w:rPr>
        <w:t>2 abgeändert durch</w:t>
      </w:r>
      <w:r w:rsidR="00724D66" w:rsidRPr="009118AB">
        <w:rPr>
          <w:i/>
        </w:rPr>
        <w:t xml:space="preserve"> </w:t>
      </w:r>
      <w:r w:rsidR="00D67EB8" w:rsidRPr="009118AB">
        <w:rPr>
          <w:i/>
        </w:rPr>
        <w:t>Art. </w:t>
      </w:r>
      <w:r w:rsidR="00724D66" w:rsidRPr="009118AB">
        <w:rPr>
          <w:i/>
        </w:rPr>
        <w:t>64</w:t>
      </w:r>
      <w:r w:rsidR="00724D66" w:rsidRPr="009118AB">
        <w:rPr>
          <w:i/>
          <w:iCs/>
          <w:spacing w:val="-2"/>
        </w:rPr>
        <w:t xml:space="preserve"> des G. vom 17. März 2019 (III) (B.S. vom 10. Mai 2019)</w:t>
      </w:r>
      <w:r w:rsidR="00D67EB8" w:rsidRPr="009118AB">
        <w:rPr>
          <w:i/>
          <w:iCs/>
          <w:spacing w:val="-2"/>
        </w:rPr>
        <w:t> - </w:t>
      </w:r>
      <w:r w:rsidR="00724D66" w:rsidRPr="009118AB">
        <w:rPr>
          <w:i/>
          <w:iCs/>
          <w:spacing w:val="-2"/>
        </w:rPr>
        <w:t>in Kraft am 1. Mai 2019</w:t>
      </w:r>
      <w:r w:rsidR="00D67EB8" w:rsidRPr="009118AB">
        <w:rPr>
          <w:i/>
          <w:iCs/>
          <w:spacing w:val="-2"/>
        </w:rPr>
        <w:t> -</w:t>
      </w:r>
      <w:r w:rsidR="0017115B" w:rsidRPr="009118AB">
        <w:rPr>
          <w:i/>
          <w:iCs/>
          <w:spacing w:val="-2"/>
        </w:rPr>
        <w:t xml:space="preserve">, </w:t>
      </w:r>
      <w:r w:rsidR="00D67EB8" w:rsidRPr="009118AB">
        <w:rPr>
          <w:i/>
          <w:iCs/>
          <w:spacing w:val="-2"/>
        </w:rPr>
        <w:t>Art. </w:t>
      </w:r>
      <w:r w:rsidR="00721FFA" w:rsidRPr="009118AB">
        <w:rPr>
          <w:i/>
          <w:iCs/>
          <w:spacing w:val="-2"/>
        </w:rPr>
        <w:t xml:space="preserve">82 </w:t>
      </w:r>
      <w:r w:rsidR="00D67EB8" w:rsidRPr="009118AB">
        <w:rPr>
          <w:i/>
          <w:iCs/>
          <w:spacing w:val="-2"/>
        </w:rPr>
        <w:t>Nr. </w:t>
      </w:r>
      <w:r w:rsidR="00721FFA" w:rsidRPr="009118AB">
        <w:rPr>
          <w:i/>
          <w:iCs/>
          <w:spacing w:val="-2"/>
        </w:rPr>
        <w:t>2</w:t>
      </w:r>
      <w:r w:rsidR="00721FFA" w:rsidRPr="009118AB">
        <w:rPr>
          <w:bCs/>
          <w:i/>
          <w:iCs/>
        </w:rPr>
        <w:t xml:space="preserve"> des G. vom 27. Juni 2021 (B.S. vom 30. Juni 2021)</w:t>
      </w:r>
      <w:r w:rsidR="0017115B" w:rsidRPr="009118AB">
        <w:rPr>
          <w:bCs/>
          <w:i/>
          <w:iCs/>
        </w:rPr>
        <w:t xml:space="preserve"> und Art. 38 Nr. 2</w:t>
      </w:r>
      <w:r w:rsidR="0017115B" w:rsidRPr="009118AB">
        <w:rPr>
          <w:i/>
          <w:iCs/>
        </w:rPr>
        <w:t xml:space="preserve"> des G. vom 5. Juli 2022 (B.S. vom 15. Juli 2022)</w:t>
      </w:r>
      <w:r w:rsidRPr="009118AB">
        <w:rPr>
          <w:i/>
          <w:spacing w:val="-3"/>
        </w:rPr>
        <w:t>]</w:t>
      </w:r>
    </w:p>
    <w:p w14:paraId="25FA6CDE" w14:textId="77777777" w:rsidR="00724D66" w:rsidRPr="009118AB" w:rsidRDefault="00724D66" w:rsidP="004B0D9C">
      <w:pPr>
        <w:jc w:val="both"/>
      </w:pPr>
    </w:p>
    <w:p w14:paraId="7E81EDED" w14:textId="77777777" w:rsidR="008C77EB" w:rsidRPr="009118AB" w:rsidRDefault="008C77EB" w:rsidP="004B0D9C">
      <w:pPr>
        <w:jc w:val="both"/>
      </w:pPr>
    </w:p>
    <w:p w14:paraId="5991A1CB" w14:textId="3638BC41" w:rsidR="0087727A" w:rsidRPr="009118AB" w:rsidRDefault="008C77EB" w:rsidP="0087727A">
      <w:pPr>
        <w:jc w:val="both"/>
      </w:pPr>
      <w:r w:rsidRPr="009118AB">
        <w:tab/>
        <w:t>[</w:t>
      </w:r>
      <w:r w:rsidR="00D67EB8" w:rsidRPr="009118AB">
        <w:rPr>
          <w:b/>
        </w:rPr>
        <w:t>Art. </w:t>
      </w:r>
      <w:r w:rsidR="0087727A" w:rsidRPr="009118AB">
        <w:rPr>
          <w:b/>
        </w:rPr>
        <w:t>275</w:t>
      </w:r>
      <w:r w:rsidR="0087727A" w:rsidRPr="009118AB">
        <w:rPr>
          <w:b/>
          <w:vertAlign w:val="superscript"/>
        </w:rPr>
        <w:t>8</w:t>
      </w:r>
      <w:r w:rsidR="00D67EB8" w:rsidRPr="009118AB">
        <w:rPr>
          <w:b/>
          <w:vertAlign w:val="superscript"/>
        </w:rPr>
        <w:t> - </w:t>
      </w:r>
      <w:r w:rsidR="00D67EB8" w:rsidRPr="009118AB">
        <w:t>§ </w:t>
      </w:r>
      <w:r w:rsidR="0087727A" w:rsidRPr="009118AB">
        <w:t>1</w:t>
      </w:r>
      <w:r w:rsidR="00D67EB8" w:rsidRPr="009118AB">
        <w:t> - </w:t>
      </w:r>
      <w:r w:rsidR="0087727A" w:rsidRPr="009118AB">
        <w:t xml:space="preserve">In </w:t>
      </w:r>
      <w:r w:rsidR="00D67EB8" w:rsidRPr="009118AB">
        <w:t>§ </w:t>
      </w:r>
      <w:r w:rsidR="0087727A" w:rsidRPr="009118AB">
        <w:t xml:space="preserve">2 erwähnte Arbeitgeber, die eine in </w:t>
      </w:r>
      <w:r w:rsidR="00D67EB8" w:rsidRPr="009118AB">
        <w:t>§ </w:t>
      </w:r>
      <w:r w:rsidR="0087727A" w:rsidRPr="009118AB">
        <w:t xml:space="preserve">3 erwähnte Investition </w:t>
      </w:r>
      <w:r w:rsidR="00574AFF" w:rsidRPr="009118AB">
        <w:t>[</w:t>
      </w:r>
      <w:r w:rsidR="00574AFF" w:rsidRPr="009118AB">
        <w:rPr>
          <w:rFonts w:eastAsia="Calibri"/>
          <w:kern w:val="2"/>
          <w:szCs w:val="22"/>
          <w:lang w:eastAsia="en-US"/>
          <w14:ligatures w14:val="standardContextual"/>
        </w:rPr>
        <w:t>in einer Betriebsstätte tätigen, die zum Zeitpunkt der Vorlage des in § 5 erwähnten Formulars in einer Förderzone gelegen ist</w:t>
      </w:r>
      <w:r w:rsidR="00574AFF" w:rsidRPr="009118AB">
        <w:t>]</w:t>
      </w:r>
      <w:r w:rsidR="0087727A" w:rsidRPr="009118AB">
        <w:t>, die im Erlass des Königs zur Ausführung von Artikel 16 des Gesetzes vom 15. Mai 2014 zur Ausführung des Pakts für Wettbewerbs</w:t>
      </w:r>
      <w:r w:rsidR="0087727A" w:rsidRPr="009118AB">
        <w:softHyphen/>
        <w:t xml:space="preserve">fähigkeit, Beschäftigung und Wirtschaftsbelebung aufgenommen ist, die ein Formular wie in </w:t>
      </w:r>
      <w:r w:rsidR="00D67EB8" w:rsidRPr="009118AB">
        <w:t>§ </w:t>
      </w:r>
      <w:r w:rsidR="0087727A" w:rsidRPr="009118AB">
        <w:t xml:space="preserve">5 erwähnt rechtsgültig vorgelegt haben, die Entlohnungen zahlen oder zuerkennen und die </w:t>
      </w:r>
      <w:r w:rsidR="004551B4" w:rsidRPr="009118AB">
        <w:t>[</w:t>
      </w:r>
      <w:r w:rsidR="0087727A" w:rsidRPr="009118AB">
        <w:t xml:space="preserve">aufgrund von Artikel 270 </w:t>
      </w:r>
      <w:r w:rsidR="004551B4" w:rsidRPr="009118AB">
        <w:t xml:space="preserve">Absatz 1 </w:t>
      </w:r>
      <w:r w:rsidR="00D67EB8" w:rsidRPr="009118AB">
        <w:t>Nr. </w:t>
      </w:r>
      <w:r w:rsidR="0087727A" w:rsidRPr="009118AB">
        <w:t>1</w:t>
      </w:r>
      <w:r w:rsidR="004551B4" w:rsidRPr="009118AB">
        <w:t>]</w:t>
      </w:r>
      <w:r w:rsidR="0087727A" w:rsidRPr="009118AB">
        <w:t xml:space="preserve"> Berufssteuervorabzug auf diese Entlohnungen schulden, sind zeitweilig von der Zuführung </w:t>
      </w:r>
      <w:r w:rsidR="004470E4" w:rsidRPr="009118AB">
        <w:t xml:space="preserve">[von 25 Prozent] </w:t>
      </w:r>
      <w:r w:rsidR="0087727A" w:rsidRPr="009118AB">
        <w:t xml:space="preserve">des Berufssteuervorabzugs in Bezug auf die in </w:t>
      </w:r>
      <w:r w:rsidR="00D67EB8" w:rsidRPr="009118AB">
        <w:t>§ </w:t>
      </w:r>
      <w:r w:rsidR="0087727A" w:rsidRPr="009118AB">
        <w:t xml:space="preserve">4 erwähnten Entlohnungen an die Staatskasse befreit unter der Bedingung, dass sie die Gesamtheit des vorerwähnten Vorabzugs auf diese Entlohnungen einbehalten. </w:t>
      </w:r>
      <w:r w:rsidR="004470E4" w:rsidRPr="009118AB">
        <w:t>[…]</w:t>
      </w:r>
    </w:p>
    <w:p w14:paraId="42F8DCF6" w14:textId="77777777" w:rsidR="0087727A" w:rsidRPr="009118AB" w:rsidRDefault="0087727A" w:rsidP="0087727A">
      <w:pPr>
        <w:jc w:val="both"/>
      </w:pPr>
    </w:p>
    <w:p w14:paraId="604198A4" w14:textId="77777777" w:rsidR="0087727A" w:rsidRPr="009118AB" w:rsidRDefault="0087727A" w:rsidP="0087727A">
      <w:pPr>
        <w:jc w:val="both"/>
      </w:pPr>
      <w:r w:rsidRPr="009118AB">
        <w:tab/>
        <w:t xml:space="preserve">Diese Befreiung von der Zahlung des Berufssteuervorabzugs kann nicht auf steuerpflichtige Entlohnungen von Arbeitnehmern angewandt werden, für die eine andere Befreiung von der Zahlung des Berufssteuervorabzugs </w:t>
      </w:r>
      <w:r w:rsidR="00EC67B1" w:rsidRPr="009118AB">
        <w:t>[wie in den Artikeln 275</w:t>
      </w:r>
      <w:r w:rsidR="00EC67B1" w:rsidRPr="009118AB">
        <w:rPr>
          <w:vertAlign w:val="superscript"/>
        </w:rPr>
        <w:t>2</w:t>
      </w:r>
      <w:r w:rsidR="00EC67B1" w:rsidRPr="009118AB">
        <w:t>, 275</w:t>
      </w:r>
      <w:r w:rsidR="00EC67B1" w:rsidRPr="009118AB">
        <w:rPr>
          <w:vertAlign w:val="superscript"/>
        </w:rPr>
        <w:t>3</w:t>
      </w:r>
      <w:r w:rsidR="00EC67B1" w:rsidRPr="009118AB">
        <w:t>, 275</w:t>
      </w:r>
      <w:r w:rsidR="00EC67B1" w:rsidRPr="009118AB">
        <w:rPr>
          <w:vertAlign w:val="superscript"/>
        </w:rPr>
        <w:t>4</w:t>
      </w:r>
      <w:r w:rsidR="00EC67B1" w:rsidRPr="009118AB">
        <w:t xml:space="preserve"> und 275</w:t>
      </w:r>
      <w:r w:rsidR="00EC67B1" w:rsidRPr="009118AB">
        <w:rPr>
          <w:vertAlign w:val="superscript"/>
        </w:rPr>
        <w:t>6</w:t>
      </w:r>
      <w:r w:rsidR="00EC67B1" w:rsidRPr="009118AB">
        <w:t xml:space="preserve"> erwähnt bereits anwendbar ist, und kann auch nicht auf den Teil der Entlohnungen in Bezug auf die von Arbeitnehmern geleistete Überarbeit wie in Artikel 275</w:t>
      </w:r>
      <w:r w:rsidR="00EC67B1" w:rsidRPr="009118AB">
        <w:rPr>
          <w:vertAlign w:val="superscript"/>
        </w:rPr>
        <w:t>1</w:t>
      </w:r>
      <w:r w:rsidR="00EC67B1" w:rsidRPr="009118AB">
        <w:t xml:space="preserve"> erwähnt angewandt werden]</w:t>
      </w:r>
      <w:r w:rsidRPr="009118AB">
        <w:t>.</w:t>
      </w:r>
    </w:p>
    <w:p w14:paraId="4F89AC29" w14:textId="77777777" w:rsidR="0087727A" w:rsidRPr="009118AB" w:rsidRDefault="0087727A" w:rsidP="0087727A">
      <w:pPr>
        <w:jc w:val="both"/>
      </w:pPr>
    </w:p>
    <w:p w14:paraId="6F9E7FE7" w14:textId="77777777" w:rsidR="004470E4" w:rsidRPr="009118AB" w:rsidRDefault="004470E4" w:rsidP="0087727A">
      <w:pPr>
        <w:jc w:val="both"/>
      </w:pPr>
      <w:r w:rsidRPr="009118AB">
        <w:tab/>
        <w:t xml:space="preserve">[Diese Befreiung von der Zahlung des Berufssteuervorabzugs kann nicht von einem Arbeitgeber angewandt werden, für den infolge eines Beschlusses der Europäischen Kommission zur Feststellung der Unzulässigkeit einer </w:t>
      </w:r>
      <w:r w:rsidR="00EC67B1" w:rsidRPr="009118AB">
        <w:t>[</w:t>
      </w:r>
      <w:r w:rsidRPr="009118AB">
        <w:t xml:space="preserve">von </w:t>
      </w:r>
      <w:r w:rsidR="00EC67B1" w:rsidRPr="009118AB">
        <w:t>Belgien]</w:t>
      </w:r>
      <w:r w:rsidRPr="009118AB">
        <w:t xml:space="preserve"> gewährten Beihilfe und ihrer Unvereinbarkeit mit dem Binnenmarkt eine Rückforderungsanordnung besteht.]</w:t>
      </w:r>
    </w:p>
    <w:p w14:paraId="2E9DA70C" w14:textId="77777777" w:rsidR="004470E4" w:rsidRPr="009118AB" w:rsidRDefault="004470E4" w:rsidP="0087727A">
      <w:pPr>
        <w:jc w:val="both"/>
      </w:pPr>
    </w:p>
    <w:p w14:paraId="711E4103" w14:textId="77777777" w:rsidR="00EC67B1" w:rsidRPr="009118AB" w:rsidRDefault="00EC67B1" w:rsidP="0087727A">
      <w:pPr>
        <w:jc w:val="both"/>
      </w:pPr>
      <w:r w:rsidRPr="009118AB">
        <w:tab/>
        <w:t>[Für die Anwendung von Absatz 1 kann eine Investition, die von einer Gesellschaft getätigt wird, die Teil einer Unternehmensgruppe ist, der auch der Arbeitgeber angehört, als eine vom Arbeitgeber getätigte Investition betrachtet werden. Gegebenenfalls muss der Arbeitgeber den Nachweis erbringen, dass die Bedingungen für die Anwendung des vorliegenden Artikels erfüllt sind, so als ob der Arbeitgeber selbst die Investition getätigt hätte.]</w:t>
      </w:r>
    </w:p>
    <w:p w14:paraId="30B0FF23" w14:textId="77777777" w:rsidR="00EC67B1" w:rsidRPr="009118AB" w:rsidRDefault="00EC67B1" w:rsidP="0087727A">
      <w:pPr>
        <w:jc w:val="both"/>
      </w:pPr>
    </w:p>
    <w:p w14:paraId="11389CB0" w14:textId="05EE67D4" w:rsidR="0087727A" w:rsidRPr="009118AB" w:rsidRDefault="0087727A" w:rsidP="0087727A">
      <w:pPr>
        <w:jc w:val="both"/>
      </w:pPr>
      <w:r w:rsidRPr="009118AB">
        <w:tab/>
        <w:t xml:space="preserve">Die Zahlungsbefreiung wird definitiv gewährt, nachdem der Arbeitgeber </w:t>
      </w:r>
      <w:r w:rsidR="00C03792" w:rsidRPr="009118AB">
        <w:t xml:space="preserve">[oder </w:t>
      </w:r>
      <w:r w:rsidR="00EC67B1" w:rsidRPr="009118AB">
        <w:t>[das in Absatz 8 erwähnte für Leiharbeit zugelassene Unternehmen]</w:t>
      </w:r>
      <w:r w:rsidR="00C03792" w:rsidRPr="009118AB">
        <w:t xml:space="preserve">] </w:t>
      </w:r>
      <w:r w:rsidRPr="009118AB">
        <w:t xml:space="preserve">in einer Anlage zu seiner Einkommensteuererklärung in Bezug auf das dritte Steuerjahr nach dem Steuerjahr, das sich auf den Besteuerungszeitraum bezieht, in dem der infolge der Investition geschaffene neue Arbeitsplatz besetzt wurde, nachgewiesen hat, dass </w:t>
      </w:r>
      <w:r w:rsidR="004470E4" w:rsidRPr="009118AB">
        <w:t>[</w:t>
      </w:r>
      <w:r w:rsidR="00A367CC" w:rsidRPr="009118AB">
        <w:t xml:space="preserve">dieser neue Arbeitsplatz während eines Zeitraums von mindestens drei Jahren erhalten geblieben ist und die in </w:t>
      </w:r>
      <w:r w:rsidR="00D67EB8" w:rsidRPr="009118AB">
        <w:t>§ </w:t>
      </w:r>
      <w:r w:rsidR="00A367CC" w:rsidRPr="009118AB">
        <w:t>4 Absatz 2 erwähnte Bedingung während dieses Zeitraums erfüllt hat]</w:t>
      </w:r>
      <w:r w:rsidRPr="009118AB">
        <w:t>. Das Muster der Anlage wird von dem für Finanzen zuständigen Minister oder seinem Beauftragten festgelegt.</w:t>
      </w:r>
    </w:p>
    <w:p w14:paraId="43DFBD8A" w14:textId="77777777" w:rsidR="0087727A" w:rsidRPr="009118AB" w:rsidRDefault="0087727A" w:rsidP="0087727A">
      <w:pPr>
        <w:jc w:val="both"/>
      </w:pPr>
    </w:p>
    <w:p w14:paraId="79773A69" w14:textId="77777777" w:rsidR="0087727A" w:rsidRPr="009118AB" w:rsidRDefault="0087727A" w:rsidP="0087727A">
      <w:pPr>
        <w:jc w:val="both"/>
      </w:pPr>
      <w:r w:rsidRPr="009118AB">
        <w:lastRenderedPageBreak/>
        <w:tab/>
        <w:t xml:space="preserve">Hat der Arbeitgeber </w:t>
      </w:r>
      <w:r w:rsidR="00C03792" w:rsidRPr="009118AB">
        <w:t xml:space="preserve">[oder </w:t>
      </w:r>
      <w:r w:rsidR="00EC67B1" w:rsidRPr="009118AB">
        <w:t>[</w:t>
      </w:r>
      <w:r w:rsidR="00C03792" w:rsidRPr="009118AB">
        <w:t>das in Absatz </w:t>
      </w:r>
      <w:r w:rsidR="00EC67B1" w:rsidRPr="009118AB">
        <w:t>8</w:t>
      </w:r>
      <w:r w:rsidR="00C03792" w:rsidRPr="009118AB">
        <w:t xml:space="preserve"> erwähnte für Leiharbeit zugelassene Unternehmen]</w:t>
      </w:r>
      <w:r w:rsidR="00EC67B1" w:rsidRPr="009118AB">
        <w:t>]</w:t>
      </w:r>
      <w:r w:rsidR="00C03792" w:rsidRPr="009118AB">
        <w:t xml:space="preserve"> </w:t>
      </w:r>
      <w:r w:rsidRPr="009118AB">
        <w:t xml:space="preserve">bei Ablauf </w:t>
      </w:r>
      <w:r w:rsidR="00A367CC" w:rsidRPr="009118AB">
        <w:t>[der in Absatz </w:t>
      </w:r>
      <w:r w:rsidR="00EC67B1" w:rsidRPr="009118AB">
        <w:t>5</w:t>
      </w:r>
      <w:r w:rsidR="00A367CC" w:rsidRPr="009118AB">
        <w:t xml:space="preserve"> erwähnten Frist für die Abgabe der Erklärung]</w:t>
      </w:r>
      <w:r w:rsidRPr="009118AB">
        <w:t xml:space="preserve"> nicht nachgewiesen, dass der neu geschaffene Arbeitsplatz </w:t>
      </w:r>
      <w:r w:rsidR="00A367CC" w:rsidRPr="009118AB">
        <w:t>[</w:t>
      </w:r>
      <w:r w:rsidR="00EC67B1" w:rsidRPr="009118AB">
        <w:t>[</w:t>
      </w:r>
      <w:r w:rsidR="00A367CC" w:rsidRPr="009118AB">
        <w:t>während des in Absatz </w:t>
      </w:r>
      <w:r w:rsidR="00EC67B1" w:rsidRPr="009118AB">
        <w:t>5</w:t>
      </w:r>
      <w:r w:rsidR="00A367CC" w:rsidRPr="009118AB">
        <w:t xml:space="preserve"> erwähnten Mindesterhaltungszeitraums</w:t>
      </w:r>
      <w:r w:rsidR="00EC67B1" w:rsidRPr="009118AB">
        <w:t>]</w:t>
      </w:r>
      <w:r w:rsidR="00A367CC" w:rsidRPr="009118AB">
        <w:t xml:space="preserve"> von drei Jahren erhalten geblieben ist]</w:t>
      </w:r>
      <w:r w:rsidRPr="009118AB">
        <w:t xml:space="preserve">, gilt der aufgrund von Absatz 1 von der Zahlung befreite Berufssteuervorabzug als geschuldeter Berufssteuervorabzug </w:t>
      </w:r>
      <w:r w:rsidR="00A367CC" w:rsidRPr="009118AB">
        <w:t>[des Monats, in dem der Mindesterhaltungszeitraum abgelaufen ist]</w:t>
      </w:r>
      <w:r w:rsidRPr="009118AB">
        <w:t>.</w:t>
      </w:r>
    </w:p>
    <w:p w14:paraId="6E08C1D5" w14:textId="77777777" w:rsidR="0087727A" w:rsidRPr="009118AB" w:rsidRDefault="0087727A" w:rsidP="0087727A">
      <w:pPr>
        <w:jc w:val="both"/>
      </w:pPr>
    </w:p>
    <w:p w14:paraId="6100F399" w14:textId="77777777" w:rsidR="0087727A" w:rsidRPr="009118AB" w:rsidRDefault="0087727A" w:rsidP="0087727A">
      <w:pPr>
        <w:jc w:val="both"/>
      </w:pPr>
      <w:r w:rsidRPr="009118AB">
        <w:tab/>
      </w:r>
      <w:r w:rsidR="00A367CC" w:rsidRPr="009118AB">
        <w:t>[Die Zahlungsbefreiung ist pro Investition auf höchstens 7,5 Millionen EUR begrenzt.]</w:t>
      </w:r>
    </w:p>
    <w:p w14:paraId="7C8E3215" w14:textId="77777777" w:rsidR="0087727A" w:rsidRPr="009118AB" w:rsidRDefault="0087727A" w:rsidP="0087727A">
      <w:pPr>
        <w:jc w:val="both"/>
      </w:pPr>
    </w:p>
    <w:p w14:paraId="76245958" w14:textId="06B77C36" w:rsidR="00A367CC" w:rsidRPr="009118AB" w:rsidRDefault="00A367CC" w:rsidP="0087727A">
      <w:pPr>
        <w:jc w:val="both"/>
      </w:pPr>
      <w:r w:rsidRPr="009118AB">
        <w:tab/>
        <w:t xml:space="preserve">[Ein für Leiharbeit zugelassenes Unternehmen, das einem in Absatz 1 erwähnten Arbeitgeber einen oder mehrere Leiharbeitnehmer zur Verfügung stellt und für diese Leiharbeitnehmer Entlohnungen, die die in </w:t>
      </w:r>
      <w:r w:rsidR="00D67EB8" w:rsidRPr="009118AB">
        <w:t>§ </w:t>
      </w:r>
      <w:r w:rsidRPr="009118AB">
        <w:t xml:space="preserve">4 erwähnten Bedingungen erfüllen, zahlt, </w:t>
      </w:r>
      <w:r w:rsidR="00EC67B1" w:rsidRPr="009118AB">
        <w:t>[kann</w:t>
      </w:r>
      <w:r w:rsidR="00D67EB8" w:rsidRPr="009118AB">
        <w:t> - </w:t>
      </w:r>
      <w:r w:rsidR="00EC67B1" w:rsidRPr="009118AB">
        <w:t>wenn dieses Unternehmen die Verwaltung vorher auf die vom König bestimmte Weise davon in Kenntnis setzt</w:t>
      </w:r>
      <w:r w:rsidR="00D67EB8" w:rsidRPr="009118AB">
        <w:t> - </w:t>
      </w:r>
      <w:r w:rsidR="00EC67B1" w:rsidRPr="009118AB">
        <w:t>anstelle dieses Arbeitgebers]</w:t>
      </w:r>
      <w:r w:rsidRPr="009118AB">
        <w:t xml:space="preserve"> zeitweilig von der Zahlung des Berufssteuervorabzugs befreit werden. In diesem Fall müssen der Arbeitgeber und das für Leiharbeit zugelassene Unternehmen den in </w:t>
      </w:r>
      <w:r w:rsidR="00D67EB8" w:rsidRPr="009118AB">
        <w:t>§ </w:t>
      </w:r>
      <w:r w:rsidRPr="009118AB">
        <w:t>4 Absatz 5 erwähnten Nachweis erbringen.]</w:t>
      </w:r>
    </w:p>
    <w:p w14:paraId="6B847FC6" w14:textId="77777777" w:rsidR="00EC67B1" w:rsidRPr="009118AB" w:rsidRDefault="00EC67B1" w:rsidP="0087727A">
      <w:pPr>
        <w:jc w:val="both"/>
      </w:pPr>
    </w:p>
    <w:p w14:paraId="5526C40B" w14:textId="77777777" w:rsidR="00EC67B1" w:rsidRPr="009118AB" w:rsidRDefault="00EC67B1" w:rsidP="0087727A">
      <w:pPr>
        <w:jc w:val="both"/>
      </w:pPr>
      <w:r w:rsidRPr="009118AB">
        <w:tab/>
        <w:t>[Hat der Arbeitgeber infolge einer Fusion, einer Aufspaltung, eines mit einer Fusion oder einer Aufspaltung gleichgesetzten Vorgangs, einer Einbringung eines Gesamtvermögens oder einer Einbringung eines Teilbetriebs beziehungsweise eines Teils einer Tätigkeit die Nutzung der in Absatz 1 erwähnten Investition auf eine andere Gesellschaft übertragen und hat diese andere Gesellschaft auf die vom König bestimmte Weise unwiderruflich dafür optiert, mit dem in vorliegendem Paragraphen erwähnten Arbeitgeber gleichgesetzt zu werden, wird diese andere Gesellschaft für die Anwendung des vorliegenden Paragraphen und des Paragraphen 4 mit diesem Arbeitgeber gleichgesetzt.]</w:t>
      </w:r>
    </w:p>
    <w:p w14:paraId="4B3BB03D" w14:textId="77777777" w:rsidR="00A367CC" w:rsidRPr="009118AB" w:rsidRDefault="00A367CC" w:rsidP="0087727A">
      <w:pPr>
        <w:jc w:val="both"/>
      </w:pPr>
    </w:p>
    <w:p w14:paraId="4BE4F09F" w14:textId="15F98356" w:rsidR="0087727A" w:rsidRPr="009118AB" w:rsidRDefault="0087727A" w:rsidP="00B76D50">
      <w:pPr>
        <w:jc w:val="both"/>
      </w:pPr>
      <w:r w:rsidRPr="009118AB">
        <w:tab/>
      </w:r>
      <w:r w:rsidR="00D67EB8" w:rsidRPr="009118AB">
        <w:t>§ </w:t>
      </w:r>
      <w:r w:rsidRPr="009118AB">
        <w:t>2</w:t>
      </w:r>
      <w:r w:rsidR="00D67EB8" w:rsidRPr="009118AB">
        <w:t> - </w:t>
      </w:r>
      <w:r w:rsidR="00EC67B1" w:rsidRPr="009118AB">
        <w:t>[</w:t>
      </w:r>
      <w:r w:rsidR="00B76D50" w:rsidRPr="009118AB">
        <w:t>Die in vorliegendem Artikel erwähnte Befreiung von der Zahlung des Berufssteuer</w:t>
      </w:r>
      <w:r w:rsidR="00B76D50" w:rsidRPr="009118AB">
        <w:softHyphen/>
        <w:t xml:space="preserve">vorabzugs kann nur angewandt werden, wenn der Arbeitgeber und gegebenenfalls die in </w:t>
      </w:r>
      <w:r w:rsidR="00D67EB8" w:rsidRPr="009118AB">
        <w:t>§ </w:t>
      </w:r>
      <w:r w:rsidR="00B76D50" w:rsidRPr="009118AB">
        <w:t xml:space="preserve">1 Absatz 4 erwähnte Gesellschaft, die die Investition getätigt hat, </w:t>
      </w:r>
      <w:r w:rsidR="00574AFF" w:rsidRPr="009118AB">
        <w:t>[</w:t>
      </w:r>
      <w:r w:rsidR="00574AFF" w:rsidRPr="009118AB">
        <w:rPr>
          <w:rFonts w:eastAsia="Calibri"/>
          <w:kern w:val="2"/>
          <w:szCs w:val="22"/>
          <w:lang w:eastAsia="en-US"/>
          <w14:ligatures w14:val="standardContextual"/>
        </w:rPr>
        <w:t>zum Zeitpunkt der Einreichung des Formulars wie in § 5 erwähnt</w:t>
      </w:r>
      <w:r w:rsidR="00574AFF" w:rsidRPr="009118AB">
        <w:t xml:space="preserve">] </w:t>
      </w:r>
      <w:r w:rsidR="00B76D50" w:rsidRPr="009118AB">
        <w:t>ein mittleres Unternehmen ist.]</w:t>
      </w:r>
    </w:p>
    <w:p w14:paraId="28EFE326" w14:textId="77777777" w:rsidR="0087727A" w:rsidRPr="009118AB" w:rsidRDefault="0087727A" w:rsidP="0087727A">
      <w:pPr>
        <w:jc w:val="both"/>
      </w:pPr>
    </w:p>
    <w:p w14:paraId="15E9E50D" w14:textId="77777777" w:rsidR="0087727A" w:rsidRPr="009118AB" w:rsidRDefault="0087727A" w:rsidP="00B76D50">
      <w:pPr>
        <w:jc w:val="both"/>
      </w:pPr>
      <w:r w:rsidRPr="009118AB">
        <w:tab/>
      </w:r>
      <w:r w:rsidR="00DE5C3E" w:rsidRPr="009118AB">
        <w:t>[</w:t>
      </w:r>
      <w:r w:rsidR="00B76D50" w:rsidRPr="009118AB">
        <w:t>..</w:t>
      </w:r>
      <w:r w:rsidR="008C0502" w:rsidRPr="009118AB">
        <w:t>.]</w:t>
      </w:r>
    </w:p>
    <w:p w14:paraId="4904D8B2" w14:textId="77777777" w:rsidR="0087727A" w:rsidRPr="009118AB" w:rsidRDefault="0087727A" w:rsidP="0087727A">
      <w:pPr>
        <w:jc w:val="both"/>
      </w:pPr>
    </w:p>
    <w:p w14:paraId="59FA0E9D" w14:textId="4274616A" w:rsidR="002C578B" w:rsidRPr="009118AB" w:rsidRDefault="002C578B" w:rsidP="0087727A">
      <w:pPr>
        <w:jc w:val="both"/>
      </w:pPr>
      <w:r w:rsidRPr="009118AB">
        <w:tab/>
      </w:r>
      <w:r w:rsidR="00D40694" w:rsidRPr="009118AB">
        <w:t>[...]</w:t>
      </w:r>
    </w:p>
    <w:p w14:paraId="690F70BA" w14:textId="77777777" w:rsidR="002C578B" w:rsidRPr="009118AB" w:rsidRDefault="002C578B" w:rsidP="0087727A">
      <w:pPr>
        <w:jc w:val="both"/>
      </w:pPr>
    </w:p>
    <w:p w14:paraId="10648BA8" w14:textId="2F6FC884" w:rsidR="002C578B" w:rsidRPr="009118AB" w:rsidRDefault="002C578B" w:rsidP="0087727A">
      <w:pPr>
        <w:jc w:val="both"/>
      </w:pPr>
      <w:r w:rsidRPr="009118AB">
        <w:tab/>
      </w:r>
      <w:r w:rsidR="00D40694" w:rsidRPr="009118AB">
        <w:t>[...]</w:t>
      </w:r>
    </w:p>
    <w:p w14:paraId="7C4E57B6" w14:textId="77777777" w:rsidR="002C578B" w:rsidRPr="009118AB" w:rsidRDefault="002C578B" w:rsidP="0087727A">
      <w:pPr>
        <w:jc w:val="both"/>
      </w:pPr>
    </w:p>
    <w:p w14:paraId="4B437F77" w14:textId="56E6FD22" w:rsidR="0087727A" w:rsidRPr="009118AB" w:rsidRDefault="0087727A" w:rsidP="0087727A">
      <w:pPr>
        <w:jc w:val="both"/>
      </w:pPr>
      <w:r w:rsidRPr="009118AB">
        <w:tab/>
      </w:r>
      <w:r w:rsidR="00B76D50" w:rsidRPr="009118AB">
        <w:t>[Die in vorliegendem Artikel erwähnte Befreiung von der Zahlung des Berufssteuer</w:t>
      </w:r>
      <w:r w:rsidR="00B76D50" w:rsidRPr="009118AB">
        <w:softHyphen/>
        <w:t xml:space="preserve">vorabzugs kann nicht von einem Arbeitgeber angewandt werden, der zum Zeitpunkt der Einreichung des Formulars wie in </w:t>
      </w:r>
      <w:r w:rsidR="00D67EB8" w:rsidRPr="009118AB">
        <w:t>§ </w:t>
      </w:r>
      <w:r w:rsidR="00B76D50" w:rsidRPr="009118AB">
        <w:t>5 erwähnt ein Unternehmen in Schwierigkeiten ist.</w:t>
      </w:r>
      <w:r w:rsidR="000D0721" w:rsidRPr="009118AB">
        <w:t>]</w:t>
      </w:r>
    </w:p>
    <w:p w14:paraId="083716A8" w14:textId="77777777" w:rsidR="00574AFF" w:rsidRPr="009118AB" w:rsidRDefault="00574AFF" w:rsidP="0087727A">
      <w:pPr>
        <w:jc w:val="both"/>
      </w:pPr>
    </w:p>
    <w:p w14:paraId="777DD3CA" w14:textId="27A1F76C" w:rsidR="0087727A" w:rsidRPr="009118AB" w:rsidRDefault="0087727A" w:rsidP="0017115B">
      <w:r w:rsidRPr="009118AB">
        <w:tab/>
      </w:r>
      <w:r w:rsidR="00D67EB8" w:rsidRPr="009118AB">
        <w:t>§ </w:t>
      </w:r>
      <w:r w:rsidRPr="009118AB">
        <w:t>3</w:t>
      </w:r>
      <w:r w:rsidR="00D67EB8" w:rsidRPr="009118AB">
        <w:t> - </w:t>
      </w:r>
      <w:r w:rsidR="00FB130B" w:rsidRPr="009118AB">
        <w:t>[…]</w:t>
      </w:r>
      <w:r w:rsidRPr="009118AB">
        <w:t xml:space="preserve"> </w:t>
      </w:r>
      <w:r w:rsidR="00FB130B" w:rsidRPr="009118AB">
        <w:t xml:space="preserve">[Die in </w:t>
      </w:r>
      <w:r w:rsidR="00D67EB8" w:rsidRPr="009118AB">
        <w:t>§ </w:t>
      </w:r>
      <w:r w:rsidR="00FB130B" w:rsidRPr="009118AB">
        <w:t>1 erwähnte Investition kommt nur in Betracht, sofern sie eine Investition in Sachanlagen oder immaterielle Anlagen betrifft:]</w:t>
      </w:r>
    </w:p>
    <w:p w14:paraId="3132EB3D" w14:textId="77777777" w:rsidR="0087727A" w:rsidRPr="009118AB" w:rsidRDefault="0087727A" w:rsidP="0087727A">
      <w:pPr>
        <w:jc w:val="both"/>
      </w:pPr>
    </w:p>
    <w:p w14:paraId="09774A92" w14:textId="77777777" w:rsidR="0087727A" w:rsidRPr="009118AB" w:rsidRDefault="0087727A" w:rsidP="0087727A">
      <w:pPr>
        <w:jc w:val="both"/>
      </w:pPr>
      <w:r w:rsidRPr="009118AB">
        <w:tab/>
        <w:t>- bei Errichtung einer neuen Betriebsstätte</w:t>
      </w:r>
    </w:p>
    <w:p w14:paraId="40747A7C" w14:textId="77777777" w:rsidR="0087727A" w:rsidRPr="009118AB" w:rsidRDefault="0087727A" w:rsidP="0087727A">
      <w:pPr>
        <w:jc w:val="both"/>
      </w:pPr>
    </w:p>
    <w:p w14:paraId="4F8BD0C5" w14:textId="77777777" w:rsidR="0087727A" w:rsidRPr="009118AB" w:rsidRDefault="0087727A" w:rsidP="0087727A">
      <w:pPr>
        <w:jc w:val="both"/>
      </w:pPr>
      <w:r w:rsidRPr="009118AB">
        <w:tab/>
        <w:t>- oder bei Erweiterung der Kapazität einer bestehenden Betriebsstätte</w:t>
      </w:r>
    </w:p>
    <w:p w14:paraId="41D4FAB8" w14:textId="77777777" w:rsidR="0087727A" w:rsidRPr="009118AB" w:rsidRDefault="0087727A" w:rsidP="0087727A">
      <w:pPr>
        <w:jc w:val="both"/>
      </w:pPr>
    </w:p>
    <w:p w14:paraId="22A346ED" w14:textId="77777777" w:rsidR="0087727A" w:rsidRPr="009118AB" w:rsidRDefault="0087727A" w:rsidP="0087727A">
      <w:pPr>
        <w:jc w:val="both"/>
      </w:pPr>
      <w:r w:rsidRPr="009118AB">
        <w:tab/>
        <w:t>- oder bei Diversifizierung der Produktion einer Betriebsstätte in vorher nicht in der Betriebsstätte hergestellte Produkte</w:t>
      </w:r>
    </w:p>
    <w:p w14:paraId="6CE4C305" w14:textId="77777777" w:rsidR="0087727A" w:rsidRPr="009118AB" w:rsidRDefault="0087727A" w:rsidP="0087727A">
      <w:pPr>
        <w:jc w:val="both"/>
      </w:pPr>
    </w:p>
    <w:p w14:paraId="1F1A7740" w14:textId="77777777" w:rsidR="0087727A" w:rsidRPr="009118AB" w:rsidRDefault="0087727A" w:rsidP="0087727A">
      <w:pPr>
        <w:jc w:val="both"/>
      </w:pPr>
      <w:r w:rsidRPr="009118AB">
        <w:tab/>
        <w:t>- oder bei grundlegender Änderung des gesamten Produktionsverfahrens einer bestehenden Betriebsstätte.</w:t>
      </w:r>
    </w:p>
    <w:p w14:paraId="555DA365" w14:textId="77777777" w:rsidR="0087727A" w:rsidRPr="009118AB" w:rsidRDefault="0087727A" w:rsidP="0087727A">
      <w:pPr>
        <w:jc w:val="both"/>
      </w:pPr>
    </w:p>
    <w:p w14:paraId="04524F08" w14:textId="75A59492" w:rsidR="0087727A" w:rsidRPr="009118AB" w:rsidRDefault="0087727A" w:rsidP="0087727A">
      <w:pPr>
        <w:jc w:val="both"/>
      </w:pPr>
      <w:r w:rsidRPr="009118AB">
        <w:tab/>
        <w:t xml:space="preserve">Die in </w:t>
      </w:r>
      <w:r w:rsidR="00D67EB8" w:rsidRPr="009118AB">
        <w:t>§ </w:t>
      </w:r>
      <w:r w:rsidRPr="009118AB">
        <w:t>1 erwähnte Investition kann sich ebenfalls auf eine Übernahme beziehen von Sachanlagen oder immateriellen Anlagen von:</w:t>
      </w:r>
    </w:p>
    <w:p w14:paraId="64AEAA9D" w14:textId="77777777" w:rsidR="0087727A" w:rsidRPr="009118AB" w:rsidRDefault="0087727A" w:rsidP="0087727A">
      <w:pPr>
        <w:jc w:val="both"/>
      </w:pPr>
    </w:p>
    <w:p w14:paraId="1BD43888" w14:textId="77777777" w:rsidR="0087727A" w:rsidRPr="009118AB" w:rsidRDefault="0087727A" w:rsidP="0087727A">
      <w:pPr>
        <w:jc w:val="both"/>
      </w:pPr>
      <w:r w:rsidRPr="009118AB">
        <w:tab/>
        <w:t>- einer Betriebsstätte, für die der Drittarbeitgeber gemäß dem in Artikel 66 des Gesetzes vom 13. Februar 1998 zur Festlegung beschäftigungsfördernder Bestimmungen vorgesehenen Verfahren die Schließung der Niederlassung angekündigt hat,</w:t>
      </w:r>
    </w:p>
    <w:p w14:paraId="378977AC" w14:textId="77777777" w:rsidR="0087727A" w:rsidRPr="009118AB" w:rsidRDefault="0087727A" w:rsidP="0087727A">
      <w:pPr>
        <w:jc w:val="both"/>
      </w:pPr>
    </w:p>
    <w:p w14:paraId="2FC0D927" w14:textId="5D37A555" w:rsidR="0087727A" w:rsidRPr="009118AB" w:rsidRDefault="0087727A" w:rsidP="0087727A">
      <w:pPr>
        <w:jc w:val="both"/>
      </w:pPr>
      <w:r w:rsidRPr="009118AB">
        <w:tab/>
        <w:t xml:space="preserve">- oder einer Betriebsstätte, die Teil eines Unternehmens ist, für das ein Verfahren der gerichtlichen Reorganisation durch Übertragung unter der Autorität des Gerichts eröffnet worden ist wie </w:t>
      </w:r>
      <w:r w:rsidR="000A0CD5" w:rsidRPr="009118AB">
        <w:t>[in Artikel XX.84 des Wirtschaftsgesetzbuches]</w:t>
      </w:r>
      <w:r w:rsidRPr="009118AB">
        <w:t xml:space="preserve"> vorgesehen,</w:t>
      </w:r>
    </w:p>
    <w:p w14:paraId="14577494" w14:textId="77777777" w:rsidR="0087727A" w:rsidRPr="009118AB" w:rsidRDefault="0087727A" w:rsidP="0087727A">
      <w:pPr>
        <w:jc w:val="both"/>
      </w:pPr>
    </w:p>
    <w:p w14:paraId="7A200936" w14:textId="77777777" w:rsidR="0087727A" w:rsidRPr="009118AB" w:rsidRDefault="0087727A" w:rsidP="0087727A">
      <w:pPr>
        <w:jc w:val="both"/>
      </w:pPr>
      <w:r w:rsidRPr="009118AB">
        <w:tab/>
        <w:t>- oder einer Betriebsstätte, die Teil eines Unternehmens ist, für das das zuständige Gericht ein Konkurseröffnungsurteil verkündet hat.</w:t>
      </w:r>
    </w:p>
    <w:p w14:paraId="3A0E4657" w14:textId="77777777" w:rsidR="0087727A" w:rsidRPr="009118AB" w:rsidRDefault="0087727A" w:rsidP="0087727A">
      <w:pPr>
        <w:jc w:val="both"/>
      </w:pPr>
    </w:p>
    <w:p w14:paraId="50AD5CD5" w14:textId="4ABB2A14" w:rsidR="0087727A" w:rsidRPr="009118AB" w:rsidRDefault="0087727A" w:rsidP="0087727A">
      <w:pPr>
        <w:jc w:val="both"/>
      </w:pPr>
      <w:r w:rsidRPr="009118AB">
        <w:tab/>
        <w:t xml:space="preserve">Der Drittarbeitgeber und das Unternehmen, die in vorhergehendem Absatz erwähnt sind, dürfen mit dem Arbeitgeber, der die Investition tätigt, nicht im Sinne der </w:t>
      </w:r>
      <w:r w:rsidR="009E1E97" w:rsidRPr="009118AB">
        <w:t xml:space="preserve">[Artikel 1:20 beziehungsweise 1:21 des Gesetzbuches der Gesellschaften und Vereinigungen] </w:t>
      </w:r>
      <w:r w:rsidRPr="009118AB">
        <w:t>verbunden oder assoziiert sein.</w:t>
      </w:r>
    </w:p>
    <w:p w14:paraId="25CF406E" w14:textId="77777777" w:rsidR="0087727A" w:rsidRPr="009118AB" w:rsidRDefault="0087727A" w:rsidP="0087727A">
      <w:pPr>
        <w:jc w:val="both"/>
      </w:pPr>
    </w:p>
    <w:p w14:paraId="1AE788C4" w14:textId="77777777" w:rsidR="000D0721" w:rsidRPr="009118AB" w:rsidRDefault="000D0721" w:rsidP="0087727A">
      <w:pPr>
        <w:jc w:val="both"/>
      </w:pPr>
      <w:r w:rsidRPr="009118AB">
        <w:tab/>
        <w:t>[Für die Anwendung des vorliegenden Artikels ist unter Betriebsstätte ein Standort zu verstehen, der geografisch anhand einer Adresse identifiziert werden kann und wo mindestens eine Tätigkeit des Unternehmens ausgeübt wird oder werden wird.]</w:t>
      </w:r>
    </w:p>
    <w:p w14:paraId="3F7681A6" w14:textId="77777777" w:rsidR="000D0721" w:rsidRPr="009118AB" w:rsidRDefault="000D0721" w:rsidP="0087727A">
      <w:pPr>
        <w:jc w:val="both"/>
      </w:pPr>
    </w:p>
    <w:p w14:paraId="40588ADB" w14:textId="77777777" w:rsidR="0087727A" w:rsidRPr="009118AB" w:rsidRDefault="0087727A" w:rsidP="0087727A">
      <w:pPr>
        <w:jc w:val="both"/>
      </w:pPr>
      <w:r w:rsidRPr="009118AB">
        <w:tab/>
        <w:t>Vorliegender Artikel ist nicht auf Investitionen anwendbar, die zu der Ausübung einer Tätigkeit in einem der folgenden Sektoren gehören:</w:t>
      </w:r>
    </w:p>
    <w:p w14:paraId="1FD3CD53" w14:textId="77777777" w:rsidR="0087727A" w:rsidRPr="009118AB" w:rsidRDefault="0087727A" w:rsidP="0087727A">
      <w:pPr>
        <w:jc w:val="both"/>
      </w:pPr>
    </w:p>
    <w:p w14:paraId="1B78B3DC" w14:textId="77777777" w:rsidR="0087727A" w:rsidRPr="009118AB" w:rsidRDefault="0087727A" w:rsidP="0087727A">
      <w:pPr>
        <w:jc w:val="both"/>
      </w:pPr>
      <w:r w:rsidRPr="009118AB">
        <w:tab/>
      </w:r>
      <w:r w:rsidR="000D0721" w:rsidRPr="009118AB">
        <w:t>[…]</w:t>
      </w:r>
    </w:p>
    <w:p w14:paraId="0098B613" w14:textId="77777777" w:rsidR="0087727A" w:rsidRPr="009118AB" w:rsidRDefault="0087727A" w:rsidP="0087727A">
      <w:pPr>
        <w:jc w:val="both"/>
      </w:pPr>
    </w:p>
    <w:p w14:paraId="7D8D9E63" w14:textId="77777777" w:rsidR="0087727A" w:rsidRPr="009118AB" w:rsidRDefault="0087727A" w:rsidP="0087727A">
      <w:pPr>
        <w:jc w:val="both"/>
      </w:pPr>
      <w:r w:rsidRPr="009118AB">
        <w:tab/>
      </w:r>
      <w:r w:rsidR="000D0721" w:rsidRPr="009118AB">
        <w:t>[…]</w:t>
      </w:r>
    </w:p>
    <w:p w14:paraId="3D02319B" w14:textId="77777777" w:rsidR="0087727A" w:rsidRPr="009118AB" w:rsidRDefault="0087727A" w:rsidP="0087727A">
      <w:pPr>
        <w:jc w:val="both"/>
      </w:pPr>
    </w:p>
    <w:p w14:paraId="1835CD12" w14:textId="50A7C2BF" w:rsidR="0087727A" w:rsidRPr="009118AB" w:rsidRDefault="0087727A" w:rsidP="0087727A">
      <w:pPr>
        <w:jc w:val="both"/>
      </w:pPr>
      <w:r w:rsidRPr="009118AB">
        <w:tab/>
        <w:t xml:space="preserve">- Fischerei und Aquakultur in dem Maße, wie die Tätigkeit in den Geltungsbereich der </w:t>
      </w:r>
      <w:r w:rsidR="000D0721" w:rsidRPr="009118AB">
        <w:t xml:space="preserve">[Verordnung (EU) </w:t>
      </w:r>
      <w:r w:rsidR="00D67EB8" w:rsidRPr="009118AB">
        <w:t>Nr. </w:t>
      </w:r>
      <w:r w:rsidR="000D0721" w:rsidRPr="009118AB">
        <w:t xml:space="preserve">1379/2013 des Europäischen Parlaments und des Rates vom 11. Dezember 2013 über die gemeinsame Marktorganisation für Erzeugnisse der Fischerei und der Aquakultur, zur Änderung der Verordnungen (EG) </w:t>
      </w:r>
      <w:r w:rsidR="00D67EB8" w:rsidRPr="009118AB">
        <w:t>Nr. </w:t>
      </w:r>
      <w:r w:rsidR="000D0721" w:rsidRPr="009118AB">
        <w:t xml:space="preserve">1184/2006 und (EG) </w:t>
      </w:r>
      <w:r w:rsidR="00D67EB8" w:rsidRPr="009118AB">
        <w:t>Nr. </w:t>
      </w:r>
      <w:r w:rsidR="000D0721" w:rsidRPr="009118AB">
        <w:t xml:space="preserve">1224/2009 des Rates und zur Aufhebung der Verordnung (EG) </w:t>
      </w:r>
      <w:r w:rsidR="00D67EB8" w:rsidRPr="009118AB">
        <w:t>Nr. </w:t>
      </w:r>
      <w:r w:rsidR="000D0721" w:rsidRPr="009118AB">
        <w:t>104/2000 des Rates]</w:t>
      </w:r>
      <w:r w:rsidRPr="009118AB">
        <w:t xml:space="preserve"> fällt,</w:t>
      </w:r>
    </w:p>
    <w:p w14:paraId="6308E322" w14:textId="77777777" w:rsidR="0087727A" w:rsidRPr="009118AB" w:rsidRDefault="0087727A" w:rsidP="0087727A">
      <w:pPr>
        <w:jc w:val="both"/>
      </w:pPr>
    </w:p>
    <w:p w14:paraId="66FE8703" w14:textId="77777777" w:rsidR="0087727A" w:rsidRPr="009118AB" w:rsidRDefault="0087727A" w:rsidP="0087727A">
      <w:pPr>
        <w:jc w:val="both"/>
      </w:pPr>
      <w:r w:rsidRPr="009118AB">
        <w:tab/>
        <w:t>- </w:t>
      </w:r>
      <w:r w:rsidR="000D0721" w:rsidRPr="009118AB">
        <w:t>[Erzeugung von in Anhang I des Vertrags über die Arbeitsweise der Europäischen Union aufgeführten landwirtschaftlichen Erzeugnissen ohne weitere Vorgänge, die die Beschaffenheit solcher Erzeugnisse verändern.]</w:t>
      </w:r>
    </w:p>
    <w:p w14:paraId="4D8E5B00" w14:textId="77777777" w:rsidR="0087727A" w:rsidRPr="009118AB" w:rsidRDefault="0087727A" w:rsidP="0087727A">
      <w:pPr>
        <w:jc w:val="both"/>
      </w:pPr>
    </w:p>
    <w:p w14:paraId="6945F1D4" w14:textId="77777777" w:rsidR="0087727A" w:rsidRPr="009118AB" w:rsidRDefault="0087727A" w:rsidP="0087727A">
      <w:pPr>
        <w:jc w:val="both"/>
      </w:pPr>
      <w:r w:rsidRPr="009118AB">
        <w:tab/>
        <w:t>- </w:t>
      </w:r>
      <w:r w:rsidR="000D0721" w:rsidRPr="009118AB">
        <w:t>[…]</w:t>
      </w:r>
    </w:p>
    <w:p w14:paraId="3B5B4242" w14:textId="77777777" w:rsidR="0087727A" w:rsidRPr="009118AB" w:rsidRDefault="0087727A" w:rsidP="0087727A">
      <w:pPr>
        <w:jc w:val="both"/>
      </w:pPr>
    </w:p>
    <w:p w14:paraId="3709BB90" w14:textId="77777777" w:rsidR="0087727A" w:rsidRPr="009118AB" w:rsidRDefault="0087727A" w:rsidP="0087727A">
      <w:pPr>
        <w:jc w:val="both"/>
      </w:pPr>
      <w:r w:rsidRPr="009118AB">
        <w:tab/>
        <w:t>- </w:t>
      </w:r>
      <w:r w:rsidR="000D0721" w:rsidRPr="009118AB">
        <w:t>[…]</w:t>
      </w:r>
    </w:p>
    <w:p w14:paraId="0B6D5823" w14:textId="77777777" w:rsidR="0087727A" w:rsidRPr="009118AB" w:rsidRDefault="0087727A" w:rsidP="0087727A">
      <w:pPr>
        <w:jc w:val="both"/>
      </w:pPr>
    </w:p>
    <w:p w14:paraId="7CDADB80" w14:textId="77777777" w:rsidR="0087727A" w:rsidRPr="009118AB" w:rsidRDefault="0087727A" w:rsidP="0087727A">
      <w:pPr>
        <w:jc w:val="both"/>
      </w:pPr>
      <w:r w:rsidRPr="009118AB">
        <w:tab/>
        <w:t>- </w:t>
      </w:r>
      <w:r w:rsidR="000D0721" w:rsidRPr="009118AB">
        <w:t>[…]</w:t>
      </w:r>
    </w:p>
    <w:p w14:paraId="7323C4D1" w14:textId="77777777" w:rsidR="0087727A" w:rsidRPr="009118AB" w:rsidRDefault="0087727A" w:rsidP="0087727A">
      <w:pPr>
        <w:jc w:val="both"/>
      </w:pPr>
    </w:p>
    <w:p w14:paraId="3E4287ED" w14:textId="58073E6B" w:rsidR="0087727A" w:rsidRPr="009118AB" w:rsidRDefault="0087727A" w:rsidP="0087727A">
      <w:pPr>
        <w:jc w:val="both"/>
      </w:pPr>
      <w:r w:rsidRPr="009118AB">
        <w:lastRenderedPageBreak/>
        <w:tab/>
      </w:r>
      <w:r w:rsidR="00D67EB8" w:rsidRPr="009118AB">
        <w:t>§ </w:t>
      </w:r>
      <w:r w:rsidRPr="009118AB">
        <w:t>4</w:t>
      </w:r>
      <w:r w:rsidR="00D67EB8" w:rsidRPr="009118AB">
        <w:t> - </w:t>
      </w:r>
      <w:r w:rsidRPr="009118AB">
        <w:t xml:space="preserve">Vom Arbeitgeber gezahlte Entlohnungen, die für die Befreiung von der Zahlung des Berufssteuervorabzugs in Betracht kommen, müssen sich auf die in </w:t>
      </w:r>
      <w:r w:rsidR="00D67EB8" w:rsidRPr="009118AB">
        <w:t>§ </w:t>
      </w:r>
      <w:r w:rsidRPr="009118AB">
        <w:t xml:space="preserve">3 erwähnte Investition beziehen. </w:t>
      </w:r>
      <w:r w:rsidR="002B6FD7" w:rsidRPr="009118AB">
        <w:t xml:space="preserve">[Nur ein infolge dieser Investition geschaffener neuer Arbeitsplatz, </w:t>
      </w:r>
      <w:r w:rsidR="008C0502" w:rsidRPr="009118AB">
        <w:t xml:space="preserve">[der zwischen dem Tag, an dem das in </w:t>
      </w:r>
      <w:r w:rsidR="00D67EB8" w:rsidRPr="009118AB">
        <w:t>§ </w:t>
      </w:r>
      <w:r w:rsidR="008C0502" w:rsidRPr="009118AB">
        <w:t>5 erwähnte Formular eingereicht wird, und dem ersten Tag des sechsunddreißigsten Monats nach dem Monat, in dem die Investition abgeschlossen wird, zum ersten Mal besetzt wird]</w:t>
      </w:r>
      <w:r w:rsidR="00BE0769" w:rsidRPr="009118AB">
        <w:t>]</w:t>
      </w:r>
      <w:r w:rsidRPr="009118AB">
        <w:t>, kommt für diese Maßnahme in Betracht.</w:t>
      </w:r>
    </w:p>
    <w:p w14:paraId="19656EA2" w14:textId="77777777" w:rsidR="0087727A" w:rsidRPr="009118AB" w:rsidRDefault="0087727A" w:rsidP="0087727A">
      <w:pPr>
        <w:jc w:val="both"/>
      </w:pPr>
    </w:p>
    <w:p w14:paraId="63520707" w14:textId="69F2288B" w:rsidR="0087727A" w:rsidRPr="009118AB" w:rsidRDefault="0087727A" w:rsidP="0087727A">
      <w:pPr>
        <w:jc w:val="both"/>
      </w:pPr>
      <w:r w:rsidRPr="009118AB">
        <w:tab/>
      </w:r>
      <w:r w:rsidR="008C0502" w:rsidRPr="009118AB">
        <w:t xml:space="preserve">[Ein Arbeitsplatz gilt nur als neu, wenn seine Besetzung in der betreffenden Betriebsstätte eine Erhöhung der Gesamtanzahl Arbeitnehmer und Leiharbeitnehmer in Vollzeitgleichwerten im Verhältnis zur durchschnittlichen Anzahl Arbeitnehmer und Leiharbeitnehmer in Vollzeitgleichwerten während der zwölf Monate vor dem Monat, in dem das in </w:t>
      </w:r>
      <w:r w:rsidR="00D67EB8" w:rsidRPr="009118AB">
        <w:t>§ </w:t>
      </w:r>
      <w:r w:rsidR="008C0502" w:rsidRPr="009118AB">
        <w:t>5 erwähnte Formular eingereicht wird, erhöht um die anderen bereits durch die Investition geschaffenen neuen Arbeitsplätze in Vollzeitgleichwerten, zur Folge hat.]</w:t>
      </w:r>
    </w:p>
    <w:p w14:paraId="5CE49100" w14:textId="77777777" w:rsidR="0087727A" w:rsidRPr="009118AB" w:rsidRDefault="0087727A" w:rsidP="0087727A">
      <w:pPr>
        <w:jc w:val="both"/>
      </w:pPr>
    </w:p>
    <w:p w14:paraId="479B97B3" w14:textId="4671404B" w:rsidR="0087727A" w:rsidRPr="009118AB" w:rsidRDefault="0087727A" w:rsidP="0087727A">
      <w:pPr>
        <w:jc w:val="both"/>
      </w:pPr>
      <w:r w:rsidRPr="009118AB">
        <w:tab/>
        <w:t xml:space="preserve">Bei Übernahme von Sachanlagen oder immateriellen Anlagen wie in </w:t>
      </w:r>
      <w:r w:rsidR="00D67EB8" w:rsidRPr="009118AB">
        <w:t>§ </w:t>
      </w:r>
      <w:r w:rsidRPr="009118AB">
        <w:t>3 Absatz 2 vorgesehen gelten alle Arbeitsplätze als neu.</w:t>
      </w:r>
    </w:p>
    <w:p w14:paraId="37177AAE" w14:textId="77777777" w:rsidR="0087727A" w:rsidRPr="009118AB" w:rsidRDefault="0087727A" w:rsidP="0087727A">
      <w:pPr>
        <w:jc w:val="both"/>
      </w:pPr>
    </w:p>
    <w:p w14:paraId="1ACA3816" w14:textId="77777777" w:rsidR="0087727A" w:rsidRPr="009118AB" w:rsidRDefault="0087727A" w:rsidP="0087727A">
      <w:pPr>
        <w:jc w:val="both"/>
      </w:pPr>
      <w:r w:rsidRPr="009118AB">
        <w:tab/>
        <w:t xml:space="preserve">Nur Entlohnungen, die infolge der Besetzung dieses neuen Arbeitsplatzes binnen zwei Jahren </w:t>
      </w:r>
      <w:r w:rsidR="008C0502" w:rsidRPr="009118AB">
        <w:t>[ab dem Datum der Erstbesetzung]</w:t>
      </w:r>
      <w:r w:rsidRPr="009118AB">
        <w:t xml:space="preserve"> gezahlt werden, kommen für diese Maßnahme in Betracht.</w:t>
      </w:r>
    </w:p>
    <w:p w14:paraId="5AD6536C" w14:textId="77777777" w:rsidR="0087727A" w:rsidRPr="009118AB" w:rsidRDefault="0087727A" w:rsidP="0087727A">
      <w:pPr>
        <w:jc w:val="both"/>
      </w:pPr>
    </w:p>
    <w:p w14:paraId="6B4B2F3F" w14:textId="326602DF" w:rsidR="0087727A" w:rsidRPr="009118AB" w:rsidRDefault="0087727A" w:rsidP="0087727A">
      <w:pPr>
        <w:jc w:val="both"/>
      </w:pPr>
      <w:r w:rsidRPr="009118AB">
        <w:tab/>
        <w:t xml:space="preserve">Um die Befreiung von der Zahlung des Berufssteuervorabzugs zu erhalten, muss der Schuldner den Nachweis erbringen, dass er </w:t>
      </w:r>
      <w:r w:rsidR="000F7DC0" w:rsidRPr="009118AB">
        <w:t>[die in vorliegendem Paragraphen beziehungsweise in Paragraph 1 des vorliegenden Artikels oder des Artikels 275</w:t>
      </w:r>
      <w:r w:rsidR="000F7DC0" w:rsidRPr="009118AB">
        <w:rPr>
          <w:vertAlign w:val="superscript"/>
        </w:rPr>
        <w:t>9</w:t>
      </w:r>
      <w:r w:rsidR="000F7DC0" w:rsidRPr="009118AB">
        <w:t xml:space="preserve"> vorgesehenen Bedingungen]</w:t>
      </w:r>
      <w:r w:rsidRPr="009118AB">
        <w:t xml:space="preserve"> erfüllt</w:t>
      </w:r>
      <w:r w:rsidR="006C52A1" w:rsidRPr="009118AB">
        <w:t>,</w:t>
      </w:r>
      <w:r w:rsidRPr="009118AB">
        <w:t xml:space="preserve"> und ihn zur Verfügung des Föderalen Öffentlichen Dienstes Finanzen bereithalten. Der König bestimmt die Modalitäten für die Erbringung dieses Nachweises.</w:t>
      </w:r>
    </w:p>
    <w:p w14:paraId="3E607BFF" w14:textId="77777777" w:rsidR="0087727A" w:rsidRPr="009118AB" w:rsidRDefault="0087727A" w:rsidP="0087727A">
      <w:pPr>
        <w:jc w:val="both"/>
      </w:pPr>
    </w:p>
    <w:p w14:paraId="1681C613" w14:textId="76A4FFEA" w:rsidR="0087727A" w:rsidRPr="009118AB" w:rsidRDefault="0087727A" w:rsidP="0087727A">
      <w:pPr>
        <w:jc w:val="both"/>
      </w:pPr>
      <w:r w:rsidRPr="009118AB">
        <w:tab/>
      </w:r>
      <w:r w:rsidR="00D67EB8" w:rsidRPr="009118AB">
        <w:t>§ </w:t>
      </w:r>
      <w:r w:rsidRPr="009118AB">
        <w:t>5</w:t>
      </w:r>
      <w:r w:rsidR="00D67EB8" w:rsidRPr="009118AB">
        <w:t> - </w:t>
      </w:r>
      <w:r w:rsidRPr="009118AB">
        <w:t xml:space="preserve">Um die in </w:t>
      </w:r>
      <w:r w:rsidR="00D67EB8" w:rsidRPr="009118AB">
        <w:t>§ </w:t>
      </w:r>
      <w:r w:rsidRPr="009118AB">
        <w:t xml:space="preserve">1 Absatz 1 erwähnte Zahlungsbefreiung zu erhalten, muss der Arbeitgeber </w:t>
      </w:r>
      <w:r w:rsidR="000F7DC0" w:rsidRPr="009118AB">
        <w:t>[</w:t>
      </w:r>
      <w:r w:rsidR="008C0502" w:rsidRPr="009118AB">
        <w:t>spätestens im dritten Monat nach Abschluss der Investition]</w:t>
      </w:r>
      <w:r w:rsidRPr="009118AB">
        <w:t xml:space="preserve"> ein vom König erstelltes Formular vorlegen, </w:t>
      </w:r>
      <w:r w:rsidR="000F7DC0" w:rsidRPr="009118AB">
        <w:t xml:space="preserve">[in dem die erforderlichen Angaben oder Erklärungen vermerkt sind über Identität und Tätigkeit des Arbeitgebers, Vorhaben und Durchführung der Investition, </w:t>
      </w:r>
      <w:r w:rsidR="008C0502" w:rsidRPr="009118AB">
        <w:t>[Datum des Beginns und des erwarteten oder tatsächlichen Abschlusses der Investition]</w:t>
      </w:r>
      <w:r w:rsidR="000F7DC0" w:rsidRPr="009118AB">
        <w:t xml:space="preserve"> und</w:t>
      </w:r>
      <w:r w:rsidR="00BC5F09" w:rsidRPr="009118AB">
        <w:t xml:space="preserve"> [gegebenenfalls]</w:t>
      </w:r>
      <w:r w:rsidR="000F7DC0" w:rsidRPr="009118AB">
        <w:t xml:space="preserve"> über Regionalbeihilfen, die für die Investition beantragt oder gewährt werden]</w:t>
      </w:r>
      <w:r w:rsidRPr="009118AB">
        <w:t>.</w:t>
      </w:r>
      <w:r w:rsidR="000F7DC0" w:rsidRPr="009118AB">
        <w:t xml:space="preserve"> [In dem Formular beschreibt der Arbeitgeber die erwarteten zusätzlichen Arbeitsplätze; in der Beschreibung wird der Zusammenhang zwischen diesen Arbeitsplätzen und der Investition aufgezeigt. In dem Formular veranschlagt der Arbeitgeber ebenfalls die mit diesen erwarteten zusätzlichen Arbeitsplätzen verbundenen Lohnkosten und berechnet die Zahlungsbefreiung, die auf diese Löhne angewandt wird.]</w:t>
      </w:r>
      <w:r w:rsidR="008C0502" w:rsidRPr="009118AB">
        <w:t xml:space="preserve"> [Beantragt der Arbeitgeber die Anwendung von Artikel 275</w:t>
      </w:r>
      <w:r w:rsidR="008C0502" w:rsidRPr="009118AB">
        <w:rPr>
          <w:vertAlign w:val="superscript"/>
        </w:rPr>
        <w:t>8</w:t>
      </w:r>
      <w:r w:rsidR="008C0502" w:rsidRPr="009118AB">
        <w:t>, werden jahres</w:t>
      </w:r>
      <w:r w:rsidR="008C0502" w:rsidRPr="009118AB">
        <w:softHyphen/>
        <w:t xml:space="preserve">durchschnittliche Beschäftigtenzahl, Jahresumsatz und Jahresbilanzsumme des Arbeitgebers und gegebenenfalls der in </w:t>
      </w:r>
      <w:r w:rsidR="00D67EB8" w:rsidRPr="009118AB">
        <w:t>§ </w:t>
      </w:r>
      <w:r w:rsidR="008C0502" w:rsidRPr="009118AB">
        <w:t>1 Absatz 4 erwähnten Gesellschaft, die die Investition getätigt hat, die gemäß Artikel 275</w:t>
      </w:r>
      <w:r w:rsidR="008C0502" w:rsidRPr="009118AB">
        <w:rPr>
          <w:vertAlign w:val="superscript"/>
        </w:rPr>
        <w:t>8</w:t>
      </w:r>
      <w:r w:rsidR="008C0502" w:rsidRPr="009118AB">
        <w:t xml:space="preserve"> </w:t>
      </w:r>
      <w:r w:rsidR="00D67EB8" w:rsidRPr="009118AB">
        <w:t>§ </w:t>
      </w:r>
      <w:r w:rsidR="008C0502" w:rsidRPr="009118AB">
        <w:t>2 festgelegt werden und sich auf die in Artikel 275</w:t>
      </w:r>
      <w:r w:rsidR="008C0502" w:rsidRPr="009118AB">
        <w:rPr>
          <w:vertAlign w:val="superscript"/>
        </w:rPr>
        <w:t>8</w:t>
      </w:r>
      <w:r w:rsidR="008C0502" w:rsidRPr="009118AB">
        <w:t xml:space="preserve"> </w:t>
      </w:r>
      <w:r w:rsidR="00D67EB8" w:rsidRPr="009118AB">
        <w:t>§ </w:t>
      </w:r>
      <w:r w:rsidR="008C0502" w:rsidRPr="009118AB">
        <w:t>2 Absatz 1 erwähnten Besteuerungszeiträume beziehen, vermerkt.]</w:t>
      </w:r>
    </w:p>
    <w:p w14:paraId="0B98719D" w14:textId="77777777" w:rsidR="008C0502" w:rsidRPr="009118AB" w:rsidRDefault="008C0502" w:rsidP="0087727A">
      <w:pPr>
        <w:jc w:val="both"/>
      </w:pPr>
    </w:p>
    <w:p w14:paraId="724B5C0A" w14:textId="047F8625" w:rsidR="008C0502" w:rsidRPr="009118AB" w:rsidRDefault="008C0502" w:rsidP="0087727A">
      <w:pPr>
        <w:jc w:val="both"/>
      </w:pPr>
      <w:r w:rsidRPr="009118AB">
        <w:tab/>
        <w:t xml:space="preserve">[Bei Anwendung von </w:t>
      </w:r>
      <w:r w:rsidR="00D67EB8" w:rsidRPr="009118AB">
        <w:t>§ </w:t>
      </w:r>
      <w:r w:rsidRPr="009118AB">
        <w:t>1 Absatz 4 oder von Artikel 275</w:t>
      </w:r>
      <w:r w:rsidRPr="009118AB">
        <w:rPr>
          <w:vertAlign w:val="superscript"/>
        </w:rPr>
        <w:t>9</w:t>
      </w:r>
      <w:r w:rsidRPr="009118AB">
        <w:t xml:space="preserve"> </w:t>
      </w:r>
      <w:r w:rsidR="00D67EB8" w:rsidRPr="009118AB">
        <w:t>§ </w:t>
      </w:r>
      <w:r w:rsidRPr="009118AB">
        <w:t>1 Absatz 4 vermerkt der Arbeitgeber in dem Formular Name, Adresse und Unternehmensnummer der Gesellschaft, die die Investition tätigt, und erbringt der Arbeitgeber den Nachweis, dass diese Gesellschaft Teil der Unternehmensgruppe ist, der er selbst angehört.]</w:t>
      </w:r>
    </w:p>
    <w:p w14:paraId="5016DAD3" w14:textId="77777777" w:rsidR="000F7DC0" w:rsidRPr="009118AB" w:rsidRDefault="000F7DC0" w:rsidP="0087727A">
      <w:pPr>
        <w:jc w:val="both"/>
      </w:pPr>
    </w:p>
    <w:p w14:paraId="17D5BFC6" w14:textId="77777777" w:rsidR="000F7DC0" w:rsidRPr="009118AB" w:rsidRDefault="000F7DC0" w:rsidP="0087727A">
      <w:pPr>
        <w:jc w:val="both"/>
      </w:pPr>
      <w:r w:rsidRPr="009118AB">
        <w:lastRenderedPageBreak/>
        <w:tab/>
        <w:t>[Unter Beginn der Investition versteht man entweder den Beginn der Bauarbeiten oder die erste rechtsverbindliche Verpflichtung zur Bestellung von Ausrüstung oder eine andere Verpflichtung, die die Investition unumkehrbar macht, wobei der früheste dieser Zeitpunkte maßgebend ist. Der Kauf von Grundstücken und Vorarbeiten wie die Einholung von Genehmigungen und die Erstellung vorläufiger Durchführbarkeitsstudien gelten nicht als Beginn der Investition. Bei einer Übernahme ist der Beginn der Investition der Zeitpunkt des Erwerbs der unmittelbar mit der erworbenen Betriebsstätte verbundenen Vermögenswerte.]</w:t>
      </w:r>
    </w:p>
    <w:p w14:paraId="7E2AD0B7" w14:textId="77777777" w:rsidR="0087727A" w:rsidRPr="009118AB" w:rsidRDefault="0087727A" w:rsidP="0087727A">
      <w:pPr>
        <w:jc w:val="both"/>
      </w:pPr>
    </w:p>
    <w:p w14:paraId="4B95E8C0" w14:textId="77777777" w:rsidR="008C0502" w:rsidRPr="009118AB" w:rsidRDefault="008C0502" w:rsidP="008C0502">
      <w:pPr>
        <w:jc w:val="both"/>
      </w:pPr>
      <w:r w:rsidRPr="009118AB">
        <w:tab/>
        <w:t>[Unter Abschluss der Investition versteht man den Zeitpunkt, zu dem diese Investition tatsächlich vom Arbeitgeber in Gebrauch genommen wird.]</w:t>
      </w:r>
    </w:p>
    <w:p w14:paraId="510EF9B9" w14:textId="77777777" w:rsidR="008C0502" w:rsidRPr="009118AB" w:rsidRDefault="008C0502" w:rsidP="008C0502">
      <w:pPr>
        <w:jc w:val="both"/>
      </w:pPr>
    </w:p>
    <w:p w14:paraId="468EFE3B" w14:textId="77777777" w:rsidR="008C77EB" w:rsidRPr="009118AB" w:rsidRDefault="0087727A" w:rsidP="0087727A">
      <w:pPr>
        <w:jc w:val="both"/>
      </w:pPr>
      <w:r w:rsidRPr="009118AB">
        <w:tab/>
        <w:t xml:space="preserve">Die Zahlungsbefreiung wird nicht gewährt, </w:t>
      </w:r>
      <w:r w:rsidR="000F7DC0" w:rsidRPr="009118AB">
        <w:t>[</w:t>
      </w:r>
      <w:r w:rsidR="00F53E05" w:rsidRPr="009118AB">
        <w:t>…]</w:t>
      </w:r>
      <w:r w:rsidRPr="009118AB">
        <w:t xml:space="preserve"> wenn nicht nachgewiesen wird, dass die neu geschaffenen Arbeitsplätze sich auf die Investition beziehen.</w:t>
      </w:r>
      <w:r w:rsidR="008C77EB" w:rsidRPr="009118AB">
        <w:t>]</w:t>
      </w:r>
    </w:p>
    <w:p w14:paraId="76BBF6F8" w14:textId="77777777" w:rsidR="00C85D77" w:rsidRPr="009118AB" w:rsidRDefault="00C85D77" w:rsidP="0087727A">
      <w:pPr>
        <w:jc w:val="both"/>
      </w:pPr>
    </w:p>
    <w:p w14:paraId="23FE8A9F" w14:textId="7922D0E3" w:rsidR="008C0502" w:rsidRPr="009118AB" w:rsidRDefault="00C85D77" w:rsidP="008C0502">
      <w:pPr>
        <w:ind w:firstLine="708"/>
        <w:jc w:val="both"/>
      </w:pPr>
      <w:r w:rsidRPr="009118AB">
        <w:tab/>
        <w:t>[</w:t>
      </w:r>
      <w:r w:rsidR="008C0502" w:rsidRPr="009118AB">
        <w:t>Ein Formular wird nur als rechtsgültig vorgelegt angesehen, wenn:</w:t>
      </w:r>
    </w:p>
    <w:p w14:paraId="7718B96B" w14:textId="77777777" w:rsidR="008C0502" w:rsidRPr="009118AB" w:rsidRDefault="008C0502" w:rsidP="008C0502">
      <w:pPr>
        <w:jc w:val="both"/>
      </w:pPr>
    </w:p>
    <w:p w14:paraId="0A8E3EE7" w14:textId="77777777" w:rsidR="008C0502" w:rsidRPr="009118AB" w:rsidRDefault="008C0502" w:rsidP="008C0502">
      <w:pPr>
        <w:ind w:firstLine="708"/>
        <w:jc w:val="both"/>
      </w:pPr>
      <w:r w:rsidRPr="009118AB">
        <w:t>- aus den Angaben, die in dem Formular vermerkt sind, oder aus den Anlagen, die dem Formular beigefügt sind, deutlich genug hervorgeht, dass der Arbeitgeber oder die vom Arbeitgeber getätigte Investition in den Anwendungsbereich der Paragraphen 1 bis 3 des vorliegenden Artikels beziehungsweise des Artikels 275</w:t>
      </w:r>
      <w:r w:rsidRPr="009118AB">
        <w:rPr>
          <w:vertAlign w:val="superscript"/>
        </w:rPr>
        <w:t>9</w:t>
      </w:r>
      <w:r w:rsidRPr="009118AB">
        <w:t xml:space="preserve"> fällt,</w:t>
      </w:r>
    </w:p>
    <w:p w14:paraId="0E0FCF4E" w14:textId="77777777" w:rsidR="008C0502" w:rsidRPr="009118AB" w:rsidRDefault="008C0502" w:rsidP="008C0502">
      <w:pPr>
        <w:jc w:val="both"/>
      </w:pPr>
    </w:p>
    <w:p w14:paraId="7E73C5F0" w14:textId="77777777" w:rsidR="00C672B1" w:rsidRPr="009118AB" w:rsidRDefault="008C0502" w:rsidP="00C672B1">
      <w:pPr>
        <w:ind w:firstLine="708"/>
        <w:jc w:val="both"/>
      </w:pPr>
      <w:r w:rsidRPr="009118AB">
        <w:t>- der tatsächliche Abschluss der Investition vor Ablauf des sechsten Monats nach dem in dem Formular vermerkten Monat, in dem der Abschluss der Investition erwartet wird, erfolgt ist.</w:t>
      </w:r>
      <w:r w:rsidR="003D5CCF" w:rsidRPr="009118AB">
        <w:t>]</w:t>
      </w:r>
    </w:p>
    <w:p w14:paraId="7AFAB61B" w14:textId="3A7D7EBA" w:rsidR="002108CB" w:rsidRPr="009118AB" w:rsidRDefault="002108CB" w:rsidP="00C672B1">
      <w:pPr>
        <w:ind w:firstLine="708"/>
        <w:jc w:val="both"/>
      </w:pPr>
    </w:p>
    <w:p w14:paraId="5CD082AC" w14:textId="4A460355" w:rsidR="00C85D77" w:rsidRPr="009118AB" w:rsidRDefault="000117ED" w:rsidP="00BC5F09">
      <w:pPr>
        <w:jc w:val="both"/>
      </w:pPr>
      <w:r w:rsidRPr="009118AB">
        <w:tab/>
      </w:r>
      <w:r w:rsidR="00BC5F09" w:rsidRPr="009118AB">
        <w:t>[..</w:t>
      </w:r>
      <w:r w:rsidR="00C85D77" w:rsidRPr="009118AB">
        <w:t>.</w:t>
      </w:r>
      <w:r w:rsidR="00BC5F09" w:rsidRPr="009118AB">
        <w:t>]</w:t>
      </w:r>
    </w:p>
    <w:p w14:paraId="5581D880" w14:textId="77777777" w:rsidR="00964971" w:rsidRPr="009118AB" w:rsidRDefault="00964971" w:rsidP="00BC5F09">
      <w:pPr>
        <w:jc w:val="both"/>
      </w:pPr>
    </w:p>
    <w:p w14:paraId="5D1569C3" w14:textId="576D26F3" w:rsidR="00964971" w:rsidRPr="009118AB" w:rsidRDefault="00964971" w:rsidP="00BC5F09">
      <w:pPr>
        <w:jc w:val="both"/>
      </w:pPr>
      <w:r w:rsidRPr="009118AB">
        <w:tab/>
        <w:t>[</w:t>
      </w:r>
      <w:r w:rsidR="00D67EB8" w:rsidRPr="009118AB">
        <w:t>§ </w:t>
      </w:r>
      <w:r w:rsidRPr="009118AB">
        <w:t>6</w:t>
      </w:r>
      <w:r w:rsidR="00D67EB8" w:rsidRPr="009118AB">
        <w:t> - </w:t>
      </w:r>
      <w:r w:rsidRPr="009118AB">
        <w:t xml:space="preserve">Die in </w:t>
      </w:r>
      <w:r w:rsidR="00D67EB8" w:rsidRPr="009118AB">
        <w:t>§ </w:t>
      </w:r>
      <w:r w:rsidRPr="009118AB">
        <w:t>1 erwähnte Befreiung von der Zahlung des Berufssteuervorabzugs kann nicht auf den Berufssteuervorabzug angewandt werden, der zusätzlich zu dem verordnungsgemäßen Mindestbetrag des geschuldeten Berufssteuervorabzugs einbehalten wird.]</w:t>
      </w:r>
    </w:p>
    <w:p w14:paraId="4631EF4E" w14:textId="77777777" w:rsidR="008C77EB" w:rsidRPr="009118AB" w:rsidRDefault="008C77EB" w:rsidP="004B0D9C">
      <w:pPr>
        <w:jc w:val="both"/>
      </w:pPr>
    </w:p>
    <w:p w14:paraId="04B64F9E" w14:textId="45AD2268" w:rsidR="008C77EB" w:rsidRPr="009118AB" w:rsidRDefault="00016024" w:rsidP="004B0D9C">
      <w:pPr>
        <w:jc w:val="both"/>
        <w:rPr>
          <w:rFonts w:ascii="Times New Roman Italique" w:hAnsi="Times New Roman Italique"/>
          <w:i/>
          <w:iCs/>
          <w:spacing w:val="-2"/>
        </w:rPr>
      </w:pPr>
      <w:r w:rsidRPr="009118AB">
        <w:rPr>
          <w:i/>
        </w:rPr>
        <w:t>[Früherer Artikel </w:t>
      </w:r>
      <w:r w:rsidR="008C77EB" w:rsidRPr="009118AB">
        <w:rPr>
          <w:i/>
        </w:rPr>
        <w:t>275</w:t>
      </w:r>
      <w:r w:rsidR="008C77EB" w:rsidRPr="009118AB">
        <w:rPr>
          <w:i/>
          <w:vertAlign w:val="superscript"/>
        </w:rPr>
        <w:t>8</w:t>
      </w:r>
      <w:r w:rsidR="008C77EB" w:rsidRPr="009118AB">
        <w:rPr>
          <w:i/>
        </w:rPr>
        <w:t xml:space="preserve"> eingefügt durch </w:t>
      </w:r>
      <w:r w:rsidR="00D67EB8" w:rsidRPr="009118AB">
        <w:rPr>
          <w:i/>
        </w:rPr>
        <w:t>Art. </w:t>
      </w:r>
      <w:r w:rsidR="008C77EB" w:rsidRPr="009118AB">
        <w:rPr>
          <w:i/>
        </w:rPr>
        <w:t>30 des G. vom 17. Mai 2007 (B.S. vom 19. Juni 2007)</w:t>
      </w:r>
      <w:r w:rsidR="0087727A" w:rsidRPr="009118AB">
        <w:rPr>
          <w:i/>
        </w:rPr>
        <w:tab/>
        <w:t xml:space="preserve">, </w:t>
      </w:r>
      <w:r w:rsidR="008C77EB" w:rsidRPr="009118AB">
        <w:rPr>
          <w:i/>
        </w:rPr>
        <w:t xml:space="preserve">widerrufen durch </w:t>
      </w:r>
      <w:r w:rsidR="00D67EB8" w:rsidRPr="009118AB">
        <w:rPr>
          <w:i/>
        </w:rPr>
        <w:t>Art. </w:t>
      </w:r>
      <w:r w:rsidR="008C77EB" w:rsidRPr="009118AB">
        <w:rPr>
          <w:i/>
        </w:rPr>
        <w:t>127</w:t>
      </w:r>
      <w:r w:rsidR="008C77EB" w:rsidRPr="009118AB">
        <w:rPr>
          <w:i/>
          <w:iCs/>
        </w:rPr>
        <w:t xml:space="preserve"> des G. (I) vom 22. Dezember 2008 (II) (B.S. vom 29. Dezember 2008)</w:t>
      </w:r>
      <w:r w:rsidR="0087727A" w:rsidRPr="009118AB">
        <w:rPr>
          <w:i/>
          <w:iCs/>
        </w:rPr>
        <w:t xml:space="preserve"> und </w:t>
      </w:r>
      <w:r w:rsidR="00304E1B" w:rsidRPr="009118AB">
        <w:rPr>
          <w:i/>
          <w:iCs/>
        </w:rPr>
        <w:t>erneut eingefügt</w:t>
      </w:r>
      <w:r w:rsidR="0087727A" w:rsidRPr="009118AB">
        <w:rPr>
          <w:i/>
          <w:iCs/>
        </w:rPr>
        <w:t xml:space="preserve"> durch </w:t>
      </w:r>
      <w:r w:rsidR="00D67EB8" w:rsidRPr="009118AB">
        <w:rPr>
          <w:i/>
          <w:iCs/>
        </w:rPr>
        <w:t>Art. </w:t>
      </w:r>
      <w:r w:rsidR="0087727A" w:rsidRPr="009118AB">
        <w:rPr>
          <w:i/>
          <w:iCs/>
        </w:rPr>
        <w:t>18 des G. vom 15. </w:t>
      </w:r>
      <w:r w:rsidR="004B1D78" w:rsidRPr="009118AB">
        <w:rPr>
          <w:i/>
          <w:iCs/>
        </w:rPr>
        <w:t xml:space="preserve">Mai 2014 (B.S. vom 22. Mai 2014); </w:t>
      </w:r>
      <w:r w:rsidR="00D67EB8" w:rsidRPr="009118AB">
        <w:rPr>
          <w:i/>
          <w:iCs/>
        </w:rPr>
        <w:t>§ </w:t>
      </w:r>
      <w:r w:rsidR="004B1D78" w:rsidRPr="009118AB">
        <w:rPr>
          <w:i/>
          <w:iCs/>
        </w:rPr>
        <w:t xml:space="preserve">1 </w:t>
      </w:r>
      <w:r w:rsidR="00D67EB8" w:rsidRPr="009118AB">
        <w:rPr>
          <w:i/>
          <w:iCs/>
        </w:rPr>
        <w:t>Abs. </w:t>
      </w:r>
      <w:r w:rsidR="004B1D78" w:rsidRPr="009118AB">
        <w:rPr>
          <w:i/>
          <w:iCs/>
        </w:rPr>
        <w:t xml:space="preserve">1 abgeändert durch </w:t>
      </w:r>
      <w:r w:rsidR="00D67EB8" w:rsidRPr="009118AB">
        <w:rPr>
          <w:i/>
          <w:iCs/>
        </w:rPr>
        <w:t>Art. </w:t>
      </w:r>
      <w:r w:rsidR="004B1D78" w:rsidRPr="009118AB">
        <w:rPr>
          <w:i/>
          <w:iCs/>
        </w:rPr>
        <w:t>4 Buchstabe a) und b) des G. vom 24. März 2015 (B.S. vom 2. April 2015)</w:t>
      </w:r>
      <w:r w:rsidR="00D67EB8" w:rsidRPr="009118AB">
        <w:rPr>
          <w:i/>
          <w:iCs/>
        </w:rPr>
        <w:t> - </w:t>
      </w:r>
      <w:r w:rsidR="00DF0879" w:rsidRPr="009118AB">
        <w:rPr>
          <w:i/>
          <w:iCs/>
        </w:rPr>
        <w:t>in Kraft am 2. April 2015</w:t>
      </w:r>
      <w:r w:rsidR="00D67EB8" w:rsidRPr="009118AB">
        <w:rPr>
          <w:i/>
          <w:iCs/>
        </w:rPr>
        <w:t> -</w:t>
      </w:r>
      <w:r w:rsidR="00574AFF" w:rsidRPr="009118AB">
        <w:rPr>
          <w:i/>
          <w:iCs/>
        </w:rPr>
        <w:t>,</w:t>
      </w:r>
      <w:r w:rsidR="004551B4" w:rsidRPr="009118AB">
        <w:rPr>
          <w:i/>
          <w:iCs/>
        </w:rPr>
        <w:t xml:space="preserve"> </w:t>
      </w:r>
      <w:r w:rsidR="00D67EB8" w:rsidRPr="009118AB">
        <w:rPr>
          <w:i/>
          <w:iCs/>
        </w:rPr>
        <w:t>Art. </w:t>
      </w:r>
      <w:r w:rsidR="004551B4" w:rsidRPr="009118AB">
        <w:rPr>
          <w:i/>
          <w:iCs/>
        </w:rPr>
        <w:t>17</w:t>
      </w:r>
      <w:r w:rsidR="004551B4" w:rsidRPr="009118AB">
        <w:rPr>
          <w:i/>
        </w:rPr>
        <w:t xml:space="preserve"> des G. vom 11. Februar 2019 (B.S. vom 22. März 2019)</w:t>
      </w:r>
      <w:r w:rsidR="00D67EB8" w:rsidRPr="009118AB">
        <w:rPr>
          <w:i/>
        </w:rPr>
        <w:t> - </w:t>
      </w:r>
      <w:r w:rsidR="004551B4" w:rsidRPr="009118AB">
        <w:rPr>
          <w:i/>
        </w:rPr>
        <w:t>in Kraft am 1. März 2019 und anwendbar auf die ab dem 1. März 2019 gezahlten oder zuerkannten Entlohnungen</w:t>
      </w:r>
      <w:r w:rsidR="003366D9" w:rsidRPr="009118AB">
        <w:rPr>
          <w:i/>
        </w:rPr>
        <w:t> -</w:t>
      </w:r>
      <w:r w:rsidR="00574AFF" w:rsidRPr="009118AB">
        <w:rPr>
          <w:i/>
        </w:rPr>
        <w:t xml:space="preserve"> und Art. 65 Nr. 1</w:t>
      </w:r>
      <w:r w:rsidR="00574AFF" w:rsidRPr="009118AB">
        <w:rPr>
          <w:i/>
          <w:iCs/>
        </w:rPr>
        <w:t xml:space="preserve"> des G. vom 5. Juli 2022 (B.S. vom 15. Juli 2022)</w:t>
      </w:r>
      <w:r w:rsidR="003366D9" w:rsidRPr="009118AB">
        <w:rPr>
          <w:i/>
        </w:rPr>
        <w:t>;</w:t>
      </w:r>
      <w:r w:rsidR="008C0502" w:rsidRPr="009118AB">
        <w:rPr>
          <w:i/>
          <w:iCs/>
        </w:rPr>
        <w:t xml:space="preserve"> </w:t>
      </w:r>
      <w:r w:rsidR="00D67EB8" w:rsidRPr="009118AB">
        <w:rPr>
          <w:i/>
          <w:iCs/>
        </w:rPr>
        <w:t>§ </w:t>
      </w:r>
      <w:r w:rsidR="008C0502" w:rsidRPr="009118AB">
        <w:rPr>
          <w:i/>
          <w:iCs/>
        </w:rPr>
        <w:t xml:space="preserve">1 </w:t>
      </w:r>
      <w:r w:rsidR="00D67EB8" w:rsidRPr="009118AB">
        <w:rPr>
          <w:i/>
          <w:iCs/>
        </w:rPr>
        <w:t>Abs. </w:t>
      </w:r>
      <w:r w:rsidR="008C0502" w:rsidRPr="009118AB">
        <w:rPr>
          <w:i/>
          <w:iCs/>
        </w:rPr>
        <w:t xml:space="preserve">2 abgeändert </w:t>
      </w:r>
      <w:r w:rsidR="008C0502" w:rsidRPr="009118AB">
        <w:rPr>
          <w:i/>
          <w:iCs/>
          <w:spacing w:val="-2"/>
        </w:rPr>
        <w:t xml:space="preserve">durch </w:t>
      </w:r>
      <w:r w:rsidR="00D67EB8" w:rsidRPr="009118AB">
        <w:rPr>
          <w:i/>
          <w:iCs/>
          <w:spacing w:val="-2"/>
        </w:rPr>
        <w:t>Art. </w:t>
      </w:r>
      <w:r w:rsidR="008C0502" w:rsidRPr="009118AB">
        <w:rPr>
          <w:i/>
          <w:iCs/>
          <w:spacing w:val="-2"/>
        </w:rPr>
        <w:t>6 Buchstabe a) des G. vom 30. Juli 2018 (II) (B.S. vom 10. August 2018)</w:t>
      </w:r>
      <w:r w:rsidR="00D67EB8" w:rsidRPr="009118AB">
        <w:rPr>
          <w:i/>
          <w:iCs/>
          <w:spacing w:val="-2"/>
        </w:rPr>
        <w:t> - </w:t>
      </w:r>
      <w:r w:rsidR="008C0502" w:rsidRPr="009118AB">
        <w:rPr>
          <w:i/>
          <w:iCs/>
          <w:spacing w:val="-2"/>
        </w:rPr>
        <w:t xml:space="preserve">in Kraft am </w:t>
      </w:r>
      <w:r w:rsidR="009659A5" w:rsidRPr="009118AB">
        <w:rPr>
          <w:i/>
          <w:iCs/>
          <w:spacing w:val="-2"/>
        </w:rPr>
        <w:t>1. September 2018 und anwendbar auf Investitionen, für die ein Formular eingereicht wird</w:t>
      </w:r>
      <w:r w:rsidR="003366D9" w:rsidRPr="009118AB">
        <w:rPr>
          <w:i/>
          <w:iCs/>
          <w:spacing w:val="-2"/>
        </w:rPr>
        <w:t> -;</w:t>
      </w:r>
      <w:r w:rsidR="004B1D78" w:rsidRPr="009118AB">
        <w:rPr>
          <w:i/>
          <w:iCs/>
          <w:spacing w:val="-2"/>
        </w:rPr>
        <w:t xml:space="preserve"> </w:t>
      </w:r>
      <w:r w:rsidR="00D67EB8" w:rsidRPr="009118AB">
        <w:rPr>
          <w:i/>
          <w:iCs/>
          <w:spacing w:val="-2"/>
        </w:rPr>
        <w:t>§ </w:t>
      </w:r>
      <w:r w:rsidR="004B1D78" w:rsidRPr="009118AB">
        <w:rPr>
          <w:i/>
          <w:iCs/>
          <w:spacing w:val="-2"/>
        </w:rPr>
        <w:t xml:space="preserve">1 neuer Absatz 3 eingefügt durch </w:t>
      </w:r>
      <w:r w:rsidR="00D67EB8" w:rsidRPr="009118AB">
        <w:rPr>
          <w:i/>
          <w:iCs/>
          <w:spacing w:val="-2"/>
        </w:rPr>
        <w:t>Art. </w:t>
      </w:r>
      <w:r w:rsidR="004B1D78" w:rsidRPr="009118AB">
        <w:rPr>
          <w:i/>
          <w:iCs/>
          <w:spacing w:val="-2"/>
        </w:rPr>
        <w:t xml:space="preserve">4 Buchstabe c) des G. vom 24. März 2015 (B.S. vom </w:t>
      </w:r>
      <w:r w:rsidR="004B1D78" w:rsidRPr="009118AB">
        <w:rPr>
          <w:i/>
          <w:iCs/>
        </w:rPr>
        <w:t>2. April 2015)</w:t>
      </w:r>
      <w:r w:rsidR="00D67EB8" w:rsidRPr="009118AB">
        <w:rPr>
          <w:i/>
          <w:iCs/>
        </w:rPr>
        <w:t> - </w:t>
      </w:r>
      <w:r w:rsidR="0067723B" w:rsidRPr="009118AB">
        <w:rPr>
          <w:i/>
          <w:iCs/>
        </w:rPr>
        <w:t xml:space="preserve">in </w:t>
      </w:r>
      <w:r w:rsidR="0067723B" w:rsidRPr="009118AB">
        <w:rPr>
          <w:rFonts w:ascii="Times New Roman Italique" w:hAnsi="Times New Roman Italique"/>
          <w:i/>
          <w:iCs/>
          <w:spacing w:val="-2"/>
        </w:rPr>
        <w:t>Kraft am 2. April 2015</w:t>
      </w:r>
      <w:r w:rsidR="00D67EB8" w:rsidRPr="009118AB">
        <w:rPr>
          <w:rFonts w:ascii="Times New Roman Italique" w:hAnsi="Times New Roman Italique"/>
          <w:i/>
          <w:iCs/>
          <w:spacing w:val="-2"/>
        </w:rPr>
        <w:t> - </w:t>
      </w:r>
      <w:r w:rsidR="009659A5"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9659A5" w:rsidRPr="009118AB">
        <w:rPr>
          <w:rFonts w:ascii="Times New Roman Italique" w:hAnsi="Times New Roman Italique"/>
          <w:i/>
          <w:iCs/>
          <w:spacing w:val="-2"/>
        </w:rPr>
        <w:t>6 Buchstabe</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b) des G. vom 30. Juli</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2018</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(II) (B.S. vom 10.</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August</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2018)</w:t>
      </w:r>
      <w:r w:rsidR="00D67EB8" w:rsidRPr="009118AB">
        <w:rPr>
          <w:rFonts w:ascii="Times New Roman Italique" w:hAnsi="Times New Roman Italique"/>
          <w:i/>
          <w:iCs/>
          <w:spacing w:val="-2"/>
        </w:rPr>
        <w:t> - </w:t>
      </w:r>
      <w:r w:rsidR="009659A5" w:rsidRPr="009118AB">
        <w:rPr>
          <w:i/>
          <w:iCs/>
          <w:spacing w:val="-2"/>
        </w:rPr>
        <w:t>in Kraft am 1. September 2018 und anwendbar auf Investitionen, für die ein Formular eingereicht wird</w:t>
      </w:r>
      <w:r w:rsidR="003366D9" w:rsidRPr="009118AB">
        <w:rPr>
          <w:i/>
          <w:iCs/>
          <w:spacing w:val="-2"/>
        </w:rPr>
        <w:t> -;</w:t>
      </w:r>
      <w:r w:rsidR="004B1D78"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9659A5" w:rsidRPr="009118AB">
        <w:rPr>
          <w:rFonts w:ascii="Times New Roman Italique" w:hAnsi="Times New Roman Italique"/>
          <w:i/>
          <w:iCs/>
          <w:spacing w:val="-2"/>
        </w:rPr>
        <w:t>1 neuer Absatz</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009659A5" w:rsidRPr="009118AB">
        <w:rPr>
          <w:rFonts w:ascii="Times New Roman Italique" w:hAnsi="Times New Roman Italique"/>
          <w:i/>
          <w:iCs/>
          <w:spacing w:val="-2"/>
        </w:rPr>
        <w:t>6 Buchstabe c) des G. vom 30. Juli 2018 (II) (B.S. vom 10. August 2018)</w:t>
      </w:r>
      <w:r w:rsidR="00D67EB8" w:rsidRPr="009118AB">
        <w:rPr>
          <w:rFonts w:ascii="Times New Roman Italique" w:hAnsi="Times New Roman Italique"/>
          <w:i/>
          <w:iCs/>
          <w:spacing w:val="-2"/>
        </w:rPr>
        <w:t> - </w:t>
      </w:r>
      <w:r w:rsidR="009659A5" w:rsidRPr="009118AB">
        <w:rPr>
          <w:i/>
          <w:iCs/>
          <w:spacing w:val="-2"/>
        </w:rPr>
        <w:t>in Kraft am 1. September 2018 und anwendbar auf Investitionen, für die ein Formular eingereicht wird</w:t>
      </w:r>
      <w:r w:rsidR="003366D9" w:rsidRPr="009118AB">
        <w:rPr>
          <w:i/>
          <w:iCs/>
          <w:spacing w:val="-2"/>
        </w:rPr>
        <w:t> -;</w:t>
      </w:r>
      <w:r w:rsidR="009659A5" w:rsidRPr="009118AB">
        <w:rPr>
          <w:i/>
          <w:iCs/>
          <w:spacing w:val="-2"/>
        </w:rPr>
        <w:t xml:space="preserve"> </w:t>
      </w:r>
      <w:r w:rsidR="00D67EB8" w:rsidRPr="009118AB">
        <w:rPr>
          <w:rFonts w:ascii="Times New Roman Italique" w:hAnsi="Times New Roman Italique"/>
          <w:i/>
          <w:iCs/>
          <w:spacing w:val="-2"/>
        </w:rPr>
        <w:t>§ </w:t>
      </w:r>
      <w:r w:rsidR="004B1D78"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9659A5" w:rsidRPr="009118AB">
        <w:rPr>
          <w:rFonts w:ascii="Times New Roman Italique" w:hAnsi="Times New Roman Italique"/>
          <w:i/>
          <w:iCs/>
          <w:spacing w:val="-2"/>
        </w:rPr>
        <w:t>5 (früherer A</w:t>
      </w:r>
      <w:r w:rsidR="004B1D78" w:rsidRPr="009118AB">
        <w:rPr>
          <w:rFonts w:ascii="Times New Roman Italique" w:hAnsi="Times New Roman Italique"/>
          <w:i/>
          <w:iCs/>
          <w:spacing w:val="-2"/>
        </w:rPr>
        <w:t>bs</w:t>
      </w:r>
      <w:r w:rsidR="009659A5" w:rsidRPr="009118AB">
        <w:rPr>
          <w:rFonts w:ascii="Times New Roman Italique" w:hAnsi="Times New Roman Italique"/>
          <w:i/>
          <w:iCs/>
          <w:spacing w:val="-2"/>
        </w:rPr>
        <w:t>atz</w:t>
      </w:r>
      <w:r w:rsidR="004B1D78" w:rsidRPr="009118AB">
        <w:rPr>
          <w:rFonts w:ascii="Times New Roman Italique" w:hAnsi="Times New Roman Italique"/>
          <w:i/>
          <w:iCs/>
          <w:spacing w:val="-2"/>
        </w:rPr>
        <w:t> 4</w:t>
      </w:r>
      <w:r w:rsidR="009659A5" w:rsidRPr="009118AB">
        <w:rPr>
          <w:rFonts w:ascii="Times New Roman Italique" w:hAnsi="Times New Roman Italique"/>
          <w:i/>
          <w:iCs/>
          <w:spacing w:val="-2"/>
        </w:rPr>
        <w:t>)</w:t>
      </w:r>
      <w:r w:rsidR="004B1D78" w:rsidRPr="009118AB">
        <w:rPr>
          <w:rFonts w:ascii="Times New Roman Italique" w:hAnsi="Times New Roman Italique"/>
          <w:i/>
          <w:iCs/>
          <w:spacing w:val="-2"/>
        </w:rPr>
        <w:t xml:space="preserve"> abgeändert durch </w:t>
      </w:r>
      <w:r w:rsidR="00D67EB8" w:rsidRPr="009118AB">
        <w:rPr>
          <w:rFonts w:ascii="Times New Roman Italique" w:hAnsi="Times New Roman Italique"/>
          <w:i/>
          <w:iCs/>
          <w:spacing w:val="-2"/>
        </w:rPr>
        <w:t>Art. </w:t>
      </w:r>
      <w:r w:rsidR="004B1D78" w:rsidRPr="009118AB">
        <w:rPr>
          <w:rFonts w:ascii="Times New Roman Italique" w:hAnsi="Times New Roman Italique"/>
          <w:i/>
          <w:iCs/>
          <w:spacing w:val="-2"/>
        </w:rPr>
        <w:t>4 Buchstabe e) des G. vom 24. März 2015 (B.S. vom 2. April 2015)</w:t>
      </w:r>
      <w:r w:rsidR="00D67EB8" w:rsidRPr="009118AB">
        <w:rPr>
          <w:rFonts w:ascii="Times New Roman Italique" w:hAnsi="Times New Roman Italique"/>
          <w:i/>
          <w:iCs/>
          <w:spacing w:val="-2"/>
        </w:rPr>
        <w:t> - </w:t>
      </w:r>
      <w:r w:rsidR="0067723B" w:rsidRPr="009118AB">
        <w:rPr>
          <w:rFonts w:ascii="Times New Roman Italique" w:hAnsi="Times New Roman Italique"/>
          <w:i/>
          <w:iCs/>
          <w:spacing w:val="-2"/>
        </w:rPr>
        <w:t>in Kraft am 2. April 2015</w:t>
      </w:r>
      <w:r w:rsidR="00FD68E8" w:rsidRPr="009118AB">
        <w:rPr>
          <w:rFonts w:ascii="Times New Roman Italique" w:hAnsi="Times New Roman Italique"/>
          <w:i/>
          <w:iCs/>
          <w:spacing w:val="-2"/>
        </w:rPr>
        <w:t> -,</w:t>
      </w:r>
      <w:r w:rsidR="00BC5F09"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BC5F09" w:rsidRPr="009118AB">
        <w:rPr>
          <w:rFonts w:ascii="Times New Roman Italique" w:hAnsi="Times New Roman Italique"/>
          <w:i/>
          <w:iCs/>
          <w:spacing w:val="-2"/>
        </w:rPr>
        <w:t xml:space="preserve">12 Buchstabe a) des G. vom </w:t>
      </w:r>
      <w:r w:rsidR="00BC5F09" w:rsidRPr="009118AB">
        <w:rPr>
          <w:rFonts w:ascii="Times New Roman Italique" w:hAnsi="Times New Roman Italique"/>
          <w:i/>
          <w:iCs/>
          <w:spacing w:val="-2"/>
        </w:rPr>
        <w:lastRenderedPageBreak/>
        <w:t>18. Dezember 2015 (II) (B.S. vom 28. Dezember 2015)</w:t>
      </w:r>
      <w:r w:rsidR="00D67EB8" w:rsidRPr="009118AB">
        <w:rPr>
          <w:rFonts w:ascii="Times New Roman Italique" w:hAnsi="Times New Roman Italique"/>
          <w:i/>
          <w:iCs/>
          <w:spacing w:val="-2"/>
        </w:rPr>
        <w:t> - </w:t>
      </w:r>
      <w:r w:rsidR="00AA6AE6" w:rsidRPr="009118AB">
        <w:rPr>
          <w:rFonts w:ascii="Times New Roman Italique" w:hAnsi="Times New Roman Italique"/>
          <w:i/>
          <w:iCs/>
          <w:spacing w:val="-2"/>
        </w:rPr>
        <w:t>wirksam mit 1. Mai 2015</w:t>
      </w:r>
      <w:r w:rsidR="00D67EB8" w:rsidRPr="009118AB">
        <w:rPr>
          <w:rFonts w:ascii="Times New Roman Italique" w:hAnsi="Times New Roman Italique"/>
          <w:i/>
          <w:iCs/>
          <w:spacing w:val="-2"/>
        </w:rPr>
        <w:t> - </w:t>
      </w:r>
      <w:r w:rsidR="009659A5"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9659A5" w:rsidRPr="009118AB">
        <w:rPr>
          <w:rFonts w:ascii="Times New Roman Italique" w:hAnsi="Times New Roman Italique"/>
          <w:i/>
          <w:iCs/>
          <w:spacing w:val="-2"/>
        </w:rPr>
        <w:t>6 Buchstabe d) des G. vom 30. Juli 2018 (II) (B.S. vom 10. August 2018)</w:t>
      </w:r>
      <w:r w:rsidR="00D67EB8" w:rsidRPr="009118AB">
        <w:rPr>
          <w:rFonts w:ascii="Times New Roman Italique" w:hAnsi="Times New Roman Italique"/>
          <w:i/>
          <w:iCs/>
          <w:spacing w:val="-2"/>
        </w:rPr>
        <w:t> - </w:t>
      </w:r>
      <w:r w:rsidR="009659A5" w:rsidRPr="009118AB">
        <w:rPr>
          <w:i/>
          <w:iCs/>
          <w:spacing w:val="-2"/>
        </w:rPr>
        <w:t>in Kraft am 1. September 2018 und anwendbar auf Investitionen, für die ein Formular eingereicht wird</w:t>
      </w:r>
      <w:r w:rsidR="003366D9" w:rsidRPr="009118AB">
        <w:rPr>
          <w:i/>
          <w:iCs/>
          <w:spacing w:val="-2"/>
        </w:rPr>
        <w:t> -;</w:t>
      </w:r>
      <w:r w:rsidR="003B21D3" w:rsidRPr="009118AB">
        <w:rPr>
          <w:i/>
          <w:iCs/>
        </w:rPr>
        <w:t xml:space="preserve"> </w:t>
      </w:r>
      <w:r w:rsidR="00D67EB8" w:rsidRPr="009118AB">
        <w:rPr>
          <w:i/>
          <w:iCs/>
        </w:rPr>
        <w:t>§ </w:t>
      </w:r>
      <w:r w:rsidR="003B21D3" w:rsidRPr="009118AB">
        <w:rPr>
          <w:i/>
          <w:iCs/>
        </w:rPr>
        <w:t xml:space="preserve">1 </w:t>
      </w:r>
      <w:r w:rsidR="00D67EB8" w:rsidRPr="009118AB">
        <w:rPr>
          <w:i/>
          <w:iCs/>
        </w:rPr>
        <w:t>Abs. </w:t>
      </w:r>
      <w:r w:rsidR="009659A5" w:rsidRPr="009118AB">
        <w:rPr>
          <w:i/>
          <w:iCs/>
        </w:rPr>
        <w:t>6</w:t>
      </w:r>
      <w:r w:rsidR="003B21D3" w:rsidRPr="009118AB">
        <w:rPr>
          <w:i/>
          <w:iCs/>
        </w:rPr>
        <w:t xml:space="preserve"> abgeändert durch </w:t>
      </w:r>
      <w:r w:rsidR="00D67EB8" w:rsidRPr="009118AB">
        <w:rPr>
          <w:i/>
          <w:iCs/>
        </w:rPr>
        <w:t>Art. </w:t>
      </w:r>
      <w:r w:rsidR="003B21D3" w:rsidRPr="009118AB">
        <w:rPr>
          <w:i/>
          <w:iCs/>
        </w:rPr>
        <w:t>4 Buchstabe f), h) und i) des G. vom 24. März 2015 (B.S. vom 2. April 2015)</w:t>
      </w:r>
      <w:r w:rsidR="00D67EB8" w:rsidRPr="009118AB">
        <w:rPr>
          <w:i/>
          <w:iCs/>
        </w:rPr>
        <w:t> - </w:t>
      </w:r>
      <w:r w:rsidR="0067723B" w:rsidRPr="009118AB">
        <w:rPr>
          <w:i/>
          <w:iCs/>
        </w:rPr>
        <w:t>in Kraft am 2. April 2015</w:t>
      </w:r>
      <w:r w:rsidR="00FD68E8" w:rsidRPr="009118AB">
        <w:rPr>
          <w:i/>
          <w:iCs/>
        </w:rPr>
        <w:t> -,</w:t>
      </w:r>
      <w:r w:rsidR="00AA6AE6" w:rsidRPr="009118AB">
        <w:rPr>
          <w:i/>
          <w:iCs/>
        </w:rPr>
        <w:t xml:space="preserve"> </w:t>
      </w:r>
      <w:r w:rsidR="00D67EB8" w:rsidRPr="009118AB">
        <w:rPr>
          <w:i/>
          <w:iCs/>
        </w:rPr>
        <w:t>Art. </w:t>
      </w:r>
      <w:r w:rsidR="00AA6AE6" w:rsidRPr="009118AB">
        <w:rPr>
          <w:i/>
          <w:iCs/>
        </w:rPr>
        <w:t>12 Buchstabe b) des G. vom 18. Dezember 2015 (II) (B.S. vom 28. Dezember 2015)</w:t>
      </w:r>
      <w:r w:rsidR="00D67EB8" w:rsidRPr="009118AB">
        <w:rPr>
          <w:i/>
          <w:iCs/>
        </w:rPr>
        <w:t> - </w:t>
      </w:r>
      <w:r w:rsidR="00AA6AE6" w:rsidRPr="009118AB">
        <w:rPr>
          <w:i/>
          <w:iCs/>
        </w:rPr>
        <w:t>wirksam mit 1. Mai 2015</w:t>
      </w:r>
      <w:r w:rsidR="00D67EB8" w:rsidRPr="009118AB">
        <w:rPr>
          <w:i/>
          <w:iCs/>
        </w:rPr>
        <w:t> - </w:t>
      </w:r>
      <w:r w:rsidR="009659A5" w:rsidRPr="009118AB">
        <w:rPr>
          <w:i/>
          <w:iCs/>
        </w:rPr>
        <w:t xml:space="preserve">und </w:t>
      </w:r>
      <w:r w:rsidR="00D67EB8" w:rsidRPr="009118AB">
        <w:rPr>
          <w:i/>
          <w:iCs/>
        </w:rPr>
        <w:t>Art. </w:t>
      </w:r>
      <w:r w:rsidR="009659A5" w:rsidRPr="009118AB">
        <w:rPr>
          <w:rFonts w:ascii="Times New Roman Italique" w:hAnsi="Times New Roman Italique"/>
          <w:i/>
          <w:iCs/>
          <w:spacing w:val="-2"/>
        </w:rPr>
        <w:t>6 Buchstabe e) bis g) des G. vom 30. Juli 2018 (II) (B.S. vom 10. August 2018)</w:t>
      </w:r>
      <w:r w:rsidR="00D67EB8" w:rsidRPr="009118AB">
        <w:rPr>
          <w:rFonts w:ascii="Times New Roman Italique" w:hAnsi="Times New Roman Italique"/>
          <w:i/>
          <w:iCs/>
          <w:spacing w:val="-2"/>
        </w:rPr>
        <w:t> - </w:t>
      </w:r>
      <w:r w:rsidR="009659A5" w:rsidRPr="009118AB">
        <w:rPr>
          <w:i/>
          <w:iCs/>
          <w:spacing w:val="-2"/>
        </w:rPr>
        <w:t>in Kraft am 1. September 2018 und anwendbar auf Investitionen, für die ein Formular eingereicht wird</w:t>
      </w:r>
      <w:r w:rsidR="003366D9" w:rsidRPr="009118AB">
        <w:rPr>
          <w:i/>
          <w:iCs/>
          <w:spacing w:val="-2"/>
        </w:rPr>
        <w:t> -;</w:t>
      </w:r>
      <w:r w:rsidR="003B21D3" w:rsidRPr="009118AB">
        <w:rPr>
          <w:i/>
          <w:iCs/>
        </w:rPr>
        <w:t xml:space="preserve"> </w:t>
      </w:r>
      <w:r w:rsidR="00D67EB8" w:rsidRPr="009118AB">
        <w:rPr>
          <w:i/>
          <w:iCs/>
        </w:rPr>
        <w:t>§ </w:t>
      </w:r>
      <w:r w:rsidR="003B21D3" w:rsidRPr="009118AB">
        <w:rPr>
          <w:i/>
          <w:iCs/>
        </w:rPr>
        <w:t xml:space="preserve">1 </w:t>
      </w:r>
      <w:r w:rsidR="00D67EB8" w:rsidRPr="009118AB">
        <w:rPr>
          <w:i/>
          <w:iCs/>
        </w:rPr>
        <w:t>Abs. </w:t>
      </w:r>
      <w:r w:rsidR="009659A5" w:rsidRPr="009118AB">
        <w:rPr>
          <w:i/>
          <w:iCs/>
        </w:rPr>
        <w:t>7</w:t>
      </w:r>
      <w:r w:rsidR="003B21D3" w:rsidRPr="009118AB">
        <w:rPr>
          <w:i/>
          <w:iCs/>
        </w:rPr>
        <w:t xml:space="preserve"> ersetzt durch </w:t>
      </w:r>
      <w:r w:rsidR="00D67EB8" w:rsidRPr="009118AB">
        <w:rPr>
          <w:i/>
          <w:iCs/>
        </w:rPr>
        <w:t>Art. </w:t>
      </w:r>
      <w:r w:rsidR="003B21D3" w:rsidRPr="009118AB">
        <w:rPr>
          <w:i/>
          <w:iCs/>
        </w:rPr>
        <w:t xml:space="preserve">4 Buchstabe j) des G. vom 24. März 2015 (B.S. </w:t>
      </w:r>
      <w:r w:rsidR="003B21D3" w:rsidRPr="009118AB">
        <w:rPr>
          <w:rFonts w:ascii="Times New Roman Italique" w:hAnsi="Times New Roman Italique"/>
          <w:i/>
          <w:iCs/>
          <w:spacing w:val="-2"/>
        </w:rPr>
        <w:t>vom 2. April 2015)</w:t>
      </w:r>
      <w:r w:rsidR="00D67EB8" w:rsidRPr="009118AB">
        <w:rPr>
          <w:rFonts w:ascii="Times New Roman Italique" w:hAnsi="Times New Roman Italique"/>
          <w:i/>
          <w:iCs/>
          <w:spacing w:val="-2"/>
        </w:rPr>
        <w:t> - </w:t>
      </w:r>
      <w:r w:rsidR="0067723B" w:rsidRPr="009118AB">
        <w:rPr>
          <w:rFonts w:ascii="Times New Roman Italique" w:hAnsi="Times New Roman Italique"/>
          <w:i/>
          <w:iCs/>
          <w:spacing w:val="-2"/>
        </w:rPr>
        <w:t>in Kraft am 2. April 2015</w:t>
      </w:r>
      <w:r w:rsidR="003366D9" w:rsidRPr="009118AB">
        <w:rPr>
          <w:rFonts w:ascii="Times New Roman Italique" w:hAnsi="Times New Roman Italique"/>
          <w:i/>
          <w:iCs/>
          <w:spacing w:val="-2"/>
        </w:rPr>
        <w:t> -;</w:t>
      </w:r>
      <w:r w:rsidR="003B21D3"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3B21D3"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9659A5" w:rsidRPr="009118AB">
        <w:rPr>
          <w:rFonts w:ascii="Times New Roman Italique" w:hAnsi="Times New Roman Italique"/>
          <w:i/>
          <w:iCs/>
          <w:spacing w:val="-2"/>
        </w:rPr>
        <w:t>8</w:t>
      </w:r>
      <w:r w:rsidR="003B21D3"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003B21D3" w:rsidRPr="009118AB">
        <w:rPr>
          <w:rFonts w:ascii="Times New Roman Italique" w:hAnsi="Times New Roman Italique"/>
          <w:i/>
          <w:iCs/>
          <w:spacing w:val="-2"/>
        </w:rPr>
        <w:t>4 Buchstabe k) des G. vom 24. März 2015 (B.S. vom 2. April 2015)</w:t>
      </w:r>
      <w:r w:rsidR="00D67EB8" w:rsidRPr="009118AB">
        <w:rPr>
          <w:rFonts w:ascii="Times New Roman Italique" w:hAnsi="Times New Roman Italique"/>
          <w:i/>
          <w:iCs/>
          <w:spacing w:val="-2"/>
        </w:rPr>
        <w:t> - </w:t>
      </w:r>
      <w:r w:rsidR="00AA6AE6" w:rsidRPr="009118AB">
        <w:rPr>
          <w:rFonts w:ascii="Times New Roman Italique" w:hAnsi="Times New Roman Italique"/>
          <w:i/>
          <w:iCs/>
          <w:spacing w:val="-2"/>
        </w:rPr>
        <w:t>in Kraft am 2. April 2015</w:t>
      </w:r>
      <w:r w:rsidR="00D67EB8" w:rsidRPr="009118AB">
        <w:rPr>
          <w:rFonts w:ascii="Times New Roman Italique" w:hAnsi="Times New Roman Italique"/>
          <w:i/>
          <w:iCs/>
          <w:spacing w:val="-2"/>
        </w:rPr>
        <w:t> - </w:t>
      </w:r>
      <w:r w:rsidR="009659A5"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9659A5" w:rsidRPr="009118AB">
        <w:rPr>
          <w:rFonts w:ascii="Times New Roman Italique" w:hAnsi="Times New Roman Italique"/>
          <w:i/>
          <w:iCs/>
          <w:spacing w:val="-2"/>
        </w:rPr>
        <w:t>6 Buchstabe</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h) des G. vom 30.</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Juli</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2018</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(II) (B.S. vom 10.</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August</w:t>
      </w:r>
      <w:r w:rsidR="009659A5" w:rsidRPr="009118AB">
        <w:rPr>
          <w:rFonts w:ascii="Times New Roman Italique" w:hAnsi="Times New Roman Italique" w:hint="eastAsia"/>
          <w:i/>
          <w:iCs/>
          <w:spacing w:val="-2"/>
        </w:rPr>
        <w:t> </w:t>
      </w:r>
      <w:r w:rsidR="009659A5" w:rsidRPr="009118AB">
        <w:rPr>
          <w:rFonts w:ascii="Times New Roman Italique" w:hAnsi="Times New Roman Italique"/>
          <w:i/>
          <w:iCs/>
          <w:spacing w:val="-2"/>
        </w:rPr>
        <w:t>2018)</w:t>
      </w:r>
      <w:r w:rsidR="00D67EB8" w:rsidRPr="009118AB">
        <w:rPr>
          <w:rFonts w:ascii="Times New Roman Italique" w:hAnsi="Times New Roman Italique"/>
          <w:i/>
          <w:iCs/>
          <w:spacing w:val="-2"/>
        </w:rPr>
        <w:t> - </w:t>
      </w:r>
      <w:r w:rsidR="009659A5" w:rsidRPr="009118AB">
        <w:rPr>
          <w:rFonts w:ascii="Times New Roman Italique" w:hAnsi="Times New Roman Italique"/>
          <w:i/>
          <w:iCs/>
          <w:spacing w:val="-2"/>
        </w:rPr>
        <w:t>in Kraft am</w:t>
      </w:r>
      <w:r w:rsidR="00215469" w:rsidRPr="009118AB">
        <w:rPr>
          <w:rFonts w:ascii="Times New Roman Italique" w:hAnsi="Times New Roman Italique"/>
          <w:i/>
          <w:iCs/>
          <w:spacing w:val="-2"/>
        </w:rPr>
        <w:t xml:space="preserve"> 19.</w:t>
      </w:r>
      <w:r w:rsidR="00215469" w:rsidRPr="009118AB">
        <w:rPr>
          <w:rFonts w:ascii="Times New Roman Italique" w:hAnsi="Times New Roman Italique" w:hint="eastAsia"/>
          <w:i/>
          <w:iCs/>
          <w:spacing w:val="-2"/>
        </w:rPr>
        <w:t> </w:t>
      </w:r>
      <w:r w:rsidR="00215469" w:rsidRPr="009118AB">
        <w:rPr>
          <w:rFonts w:ascii="Times New Roman Italique" w:hAnsi="Times New Roman Italique"/>
          <w:i/>
          <w:iCs/>
          <w:spacing w:val="-2"/>
        </w:rPr>
        <w:t>Mai</w:t>
      </w:r>
      <w:r w:rsidR="00215469" w:rsidRPr="009118AB">
        <w:rPr>
          <w:rFonts w:ascii="Times New Roman Italique" w:hAnsi="Times New Roman Italique" w:hint="eastAsia"/>
          <w:i/>
          <w:iCs/>
          <w:spacing w:val="-2"/>
        </w:rPr>
        <w:t> </w:t>
      </w:r>
      <w:r w:rsidR="00215469" w:rsidRPr="009118AB">
        <w:rPr>
          <w:rFonts w:ascii="Times New Roman Italique" w:hAnsi="Times New Roman Italique"/>
          <w:i/>
          <w:iCs/>
          <w:spacing w:val="-2"/>
        </w:rPr>
        <w:t>2019</w:t>
      </w:r>
      <w:r w:rsidR="003366D9" w:rsidRPr="009118AB">
        <w:rPr>
          <w:rFonts w:ascii="Times New Roman Italique" w:hAnsi="Times New Roman Italique"/>
          <w:i/>
          <w:iCs/>
          <w:spacing w:val="-2"/>
        </w:rPr>
        <w:t> -;</w:t>
      </w:r>
      <w:r w:rsidR="00215469"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215469"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215469" w:rsidRPr="009118AB">
        <w:rPr>
          <w:rFonts w:ascii="Times New Roman Italique" w:hAnsi="Times New Roman Italique"/>
          <w:i/>
          <w:iCs/>
          <w:spacing w:val="-2"/>
        </w:rPr>
        <w:t xml:space="preserve">9 eingefügt durch </w:t>
      </w:r>
      <w:r w:rsidR="00D67EB8" w:rsidRPr="009118AB">
        <w:rPr>
          <w:rFonts w:ascii="Times New Roman Italique" w:hAnsi="Times New Roman Italique"/>
          <w:i/>
          <w:iCs/>
          <w:spacing w:val="-2"/>
        </w:rPr>
        <w:t>Art. </w:t>
      </w:r>
      <w:r w:rsidR="00215469" w:rsidRPr="009118AB">
        <w:rPr>
          <w:rFonts w:ascii="Times New Roman Italique" w:hAnsi="Times New Roman Italique"/>
          <w:i/>
          <w:iCs/>
          <w:spacing w:val="-2"/>
        </w:rPr>
        <w:t>6 Buchstabe i) des G. vom 30. Juli 2018 (II) (B.S. vom 10. August 2018)</w:t>
      </w:r>
      <w:r w:rsidR="00D67EB8" w:rsidRPr="009118AB">
        <w:rPr>
          <w:rFonts w:ascii="Times New Roman Italique" w:hAnsi="Times New Roman Italique"/>
          <w:i/>
          <w:iCs/>
          <w:spacing w:val="-2"/>
        </w:rPr>
        <w:t> - </w:t>
      </w:r>
      <w:r w:rsidR="00215469" w:rsidRPr="009118AB">
        <w:rPr>
          <w:i/>
          <w:iCs/>
          <w:spacing w:val="-2"/>
        </w:rPr>
        <w:t>in Kraft am 1. September 2018 und anwendbar auf Anträge auf Gleichsetzung, die auf die vom König bestimmte Weise gestellt werden</w:t>
      </w:r>
      <w:r w:rsidR="003366D9" w:rsidRPr="009118AB">
        <w:rPr>
          <w:i/>
          <w:iCs/>
          <w:spacing w:val="-2"/>
        </w:rPr>
        <w:t> -;</w:t>
      </w:r>
      <w:r w:rsidR="003B21D3" w:rsidRPr="009118AB">
        <w:rPr>
          <w:i/>
          <w:iCs/>
        </w:rPr>
        <w:t xml:space="preserve"> </w:t>
      </w:r>
      <w:r w:rsidR="00D67EB8" w:rsidRPr="009118AB">
        <w:rPr>
          <w:i/>
          <w:iCs/>
        </w:rPr>
        <w:t>§ </w:t>
      </w:r>
      <w:r w:rsidR="00B8048D" w:rsidRPr="009118AB">
        <w:rPr>
          <w:i/>
          <w:iCs/>
        </w:rPr>
        <w:t xml:space="preserve">2 </w:t>
      </w:r>
      <w:r w:rsidR="00D67EB8" w:rsidRPr="009118AB">
        <w:rPr>
          <w:i/>
          <w:iCs/>
        </w:rPr>
        <w:t>Abs. </w:t>
      </w:r>
      <w:r w:rsidR="00B8048D" w:rsidRPr="009118AB">
        <w:rPr>
          <w:i/>
          <w:iCs/>
        </w:rPr>
        <w:t xml:space="preserve">1 </w:t>
      </w:r>
      <w:r w:rsidR="002C578B" w:rsidRPr="009118AB">
        <w:rPr>
          <w:i/>
          <w:iCs/>
        </w:rPr>
        <w:t xml:space="preserve">ersetzt durch </w:t>
      </w:r>
      <w:r w:rsidR="00D67EB8" w:rsidRPr="009118AB">
        <w:rPr>
          <w:i/>
          <w:iCs/>
        </w:rPr>
        <w:t>Art. </w:t>
      </w:r>
      <w:r w:rsidR="002C578B" w:rsidRPr="009118AB">
        <w:rPr>
          <w:i/>
          <w:iCs/>
        </w:rPr>
        <w:t xml:space="preserve">96 </w:t>
      </w:r>
      <w:r w:rsidR="00D67EB8" w:rsidRPr="009118AB">
        <w:rPr>
          <w:i/>
          <w:iCs/>
        </w:rPr>
        <w:t>Nr. </w:t>
      </w:r>
      <w:r w:rsidR="002C578B" w:rsidRPr="009118AB">
        <w:rPr>
          <w:i/>
          <w:iCs/>
        </w:rPr>
        <w:t>1</w:t>
      </w:r>
      <w:r w:rsidR="002C578B" w:rsidRPr="009118AB">
        <w:rPr>
          <w:i/>
          <w:iCs/>
          <w:spacing w:val="-2"/>
        </w:rPr>
        <w:t xml:space="preserve"> des G. vom 11. Februar 2019 (B.S. vom 22. März 2020)</w:t>
      </w:r>
      <w:r w:rsidR="00D67EB8" w:rsidRPr="009118AB">
        <w:rPr>
          <w:i/>
          <w:iCs/>
          <w:spacing w:val="-2"/>
        </w:rPr>
        <w:t> - </w:t>
      </w:r>
      <w:r w:rsidR="002C578B"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574AFF" w:rsidRPr="009118AB">
        <w:rPr>
          <w:i/>
          <w:iCs/>
          <w:spacing w:val="-2"/>
        </w:rPr>
        <w:t>und abgeändert durch Art. 65 Nr. 2 des G. vom 5. Juli 2022 (B.S. vom 15. Juli 2022)</w:t>
      </w:r>
      <w:r w:rsidR="003366D9" w:rsidRPr="009118AB">
        <w:rPr>
          <w:i/>
          <w:iCs/>
          <w:spacing w:val="-2"/>
        </w:rPr>
        <w:t>;</w:t>
      </w:r>
      <w:r w:rsidR="00A21228"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A21228" w:rsidRPr="009118AB">
        <w:rPr>
          <w:rFonts w:ascii="Times New Roman Italique" w:hAnsi="Times New Roman Italique"/>
          <w:i/>
          <w:iCs/>
          <w:spacing w:val="-2"/>
        </w:rPr>
        <w:t xml:space="preserve">2 </w:t>
      </w:r>
      <w:r w:rsidR="002C578B" w:rsidRPr="009118AB">
        <w:rPr>
          <w:rFonts w:ascii="Times New Roman Italique" w:hAnsi="Times New Roman Italique"/>
          <w:i/>
          <w:iCs/>
          <w:spacing w:val="-2"/>
        </w:rPr>
        <w:t>frühere Absätze</w:t>
      </w:r>
      <w:r w:rsidR="002C578B" w:rsidRPr="009118AB">
        <w:rPr>
          <w:rFonts w:ascii="Times New Roman Italique" w:hAnsi="Times New Roman Italique" w:hint="eastAsia"/>
          <w:i/>
          <w:iCs/>
          <w:spacing w:val="-2"/>
        </w:rPr>
        <w:t> </w:t>
      </w:r>
      <w:r w:rsidR="00A21228" w:rsidRPr="009118AB">
        <w:rPr>
          <w:rFonts w:ascii="Times New Roman Italique" w:hAnsi="Times New Roman Italique"/>
          <w:i/>
          <w:iCs/>
          <w:spacing w:val="-2"/>
        </w:rPr>
        <w:t>2</w:t>
      </w:r>
      <w:r w:rsidR="002C578B" w:rsidRPr="009118AB">
        <w:rPr>
          <w:rFonts w:ascii="Times New Roman Italique" w:hAnsi="Times New Roman Italique"/>
          <w:i/>
          <w:iCs/>
          <w:spacing w:val="-2"/>
        </w:rPr>
        <w:t xml:space="preserve"> bis 4</w:t>
      </w:r>
      <w:r w:rsidR="00A21228" w:rsidRPr="009118AB">
        <w:rPr>
          <w:rFonts w:ascii="Times New Roman Italique" w:hAnsi="Times New Roman Italique"/>
          <w:i/>
          <w:iCs/>
          <w:spacing w:val="-2"/>
        </w:rPr>
        <w:t xml:space="preserve"> a</w:t>
      </w:r>
      <w:r w:rsidR="002C578B" w:rsidRPr="009118AB">
        <w:rPr>
          <w:rFonts w:ascii="Times New Roman Italique" w:hAnsi="Times New Roman Italique"/>
          <w:i/>
          <w:iCs/>
          <w:spacing w:val="-2"/>
        </w:rPr>
        <w:t xml:space="preserve">ufgehoben durch </w:t>
      </w:r>
      <w:r w:rsidR="00D67EB8" w:rsidRPr="009118AB">
        <w:rPr>
          <w:rFonts w:ascii="Times New Roman Italique" w:hAnsi="Times New Roman Italique"/>
          <w:i/>
          <w:iCs/>
          <w:spacing w:val="-2"/>
        </w:rPr>
        <w:t>Art. </w:t>
      </w:r>
      <w:r w:rsidR="002C578B" w:rsidRPr="009118AB">
        <w:rPr>
          <w:rFonts w:ascii="Times New Roman Italique" w:hAnsi="Times New Roman Italique"/>
          <w:i/>
          <w:iCs/>
          <w:spacing w:val="-2"/>
        </w:rPr>
        <w:t xml:space="preserve">96 </w:t>
      </w:r>
      <w:r w:rsidR="00D67EB8" w:rsidRPr="009118AB">
        <w:rPr>
          <w:rFonts w:ascii="Times New Roman Italique" w:hAnsi="Times New Roman Italique"/>
          <w:i/>
          <w:iCs/>
          <w:spacing w:val="-2"/>
        </w:rPr>
        <w:t>Nr. </w:t>
      </w:r>
      <w:r w:rsidR="002C578B" w:rsidRPr="009118AB">
        <w:rPr>
          <w:rFonts w:ascii="Times New Roman Italique" w:hAnsi="Times New Roman Italique"/>
          <w:i/>
          <w:iCs/>
          <w:spacing w:val="-2"/>
        </w:rPr>
        <w:t>2</w:t>
      </w:r>
      <w:r w:rsidR="002C578B" w:rsidRPr="009118AB">
        <w:rPr>
          <w:i/>
          <w:iCs/>
          <w:spacing w:val="-2"/>
        </w:rPr>
        <w:t xml:space="preserve"> des G. vom 11. Februar 2019 (B.S. vom 22. März 2020)</w:t>
      </w:r>
      <w:r w:rsidR="00D67EB8" w:rsidRPr="009118AB">
        <w:rPr>
          <w:i/>
          <w:iCs/>
          <w:spacing w:val="-2"/>
        </w:rPr>
        <w:t> - </w:t>
      </w:r>
      <w:r w:rsidR="002C578B"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215469" w:rsidRPr="009118AB">
        <w:rPr>
          <w:i/>
          <w:iCs/>
          <w:spacing w:val="-2"/>
        </w:rPr>
        <w:t xml:space="preserve"> </w:t>
      </w:r>
      <w:r w:rsidR="00D67EB8" w:rsidRPr="009118AB">
        <w:rPr>
          <w:i/>
          <w:iCs/>
          <w:spacing w:val="-2"/>
        </w:rPr>
        <w:t>§ </w:t>
      </w:r>
      <w:r w:rsidR="00215469" w:rsidRPr="009118AB">
        <w:rPr>
          <w:i/>
          <w:iCs/>
          <w:spacing w:val="-2"/>
        </w:rPr>
        <w:t xml:space="preserve">2 </w:t>
      </w:r>
      <w:r w:rsidR="002C578B" w:rsidRPr="009118AB">
        <w:rPr>
          <w:i/>
          <w:iCs/>
          <w:spacing w:val="-2"/>
        </w:rPr>
        <w:t>frühere</w:t>
      </w:r>
      <w:r w:rsidR="00215469" w:rsidRPr="009118AB">
        <w:rPr>
          <w:i/>
          <w:iCs/>
          <w:spacing w:val="-2"/>
        </w:rPr>
        <w:t xml:space="preserve"> Absätze 5 und 6 eingefügt durch </w:t>
      </w:r>
      <w:r w:rsidR="00D67EB8" w:rsidRPr="009118AB">
        <w:rPr>
          <w:i/>
          <w:iCs/>
          <w:spacing w:val="-2"/>
        </w:rPr>
        <w:t>Art. </w:t>
      </w:r>
      <w:r w:rsidR="00215469" w:rsidRPr="009118AB">
        <w:rPr>
          <w:rFonts w:ascii="Times New Roman Italique" w:hAnsi="Times New Roman Italique"/>
          <w:i/>
          <w:iCs/>
          <w:spacing w:val="-2"/>
        </w:rPr>
        <w:t>6 Buchstabe n) des G. vom 30. Juli 2018 (II) (B.S. vom 10. August 2018)</w:t>
      </w:r>
      <w:r w:rsidR="00D67EB8" w:rsidRPr="009118AB">
        <w:rPr>
          <w:rFonts w:ascii="Times New Roman Italique" w:hAnsi="Times New Roman Italique"/>
          <w:i/>
          <w:iCs/>
          <w:spacing w:val="-2"/>
        </w:rPr>
        <w:t> - </w:t>
      </w:r>
      <w:r w:rsidR="00215469" w:rsidRPr="009118AB">
        <w:rPr>
          <w:i/>
          <w:iCs/>
          <w:spacing w:val="-2"/>
        </w:rPr>
        <w:t>in Kraft am 1. September 2018 und anwendbar auf Investitionen, für die ein Formular eingereicht wird</w:t>
      </w:r>
      <w:r w:rsidR="00D67EB8" w:rsidRPr="009118AB">
        <w:rPr>
          <w:i/>
          <w:iCs/>
          <w:spacing w:val="-2"/>
        </w:rPr>
        <w:t> - </w:t>
      </w:r>
      <w:r w:rsidR="002C578B" w:rsidRPr="009118AB">
        <w:rPr>
          <w:i/>
          <w:iCs/>
          <w:spacing w:val="-2"/>
        </w:rPr>
        <w:t xml:space="preserve">und aufgehoben durch </w:t>
      </w:r>
      <w:r w:rsidR="00D67EB8" w:rsidRPr="009118AB">
        <w:rPr>
          <w:i/>
          <w:iCs/>
          <w:spacing w:val="-2"/>
        </w:rPr>
        <w:t>Art. </w:t>
      </w:r>
      <w:r w:rsidR="002C578B" w:rsidRPr="009118AB">
        <w:rPr>
          <w:i/>
          <w:iCs/>
          <w:spacing w:val="-2"/>
        </w:rPr>
        <w:t xml:space="preserve">96 </w:t>
      </w:r>
      <w:r w:rsidR="00D67EB8" w:rsidRPr="009118AB">
        <w:rPr>
          <w:i/>
          <w:iCs/>
          <w:spacing w:val="-2"/>
        </w:rPr>
        <w:t>Nr. </w:t>
      </w:r>
      <w:r w:rsidR="002C578B" w:rsidRPr="009118AB">
        <w:rPr>
          <w:i/>
          <w:iCs/>
          <w:spacing w:val="-2"/>
        </w:rPr>
        <w:t>2 des G. vom 11. Februar 2019 (B.S. vom 22. März 2020)</w:t>
      </w:r>
      <w:r w:rsidR="00D67EB8" w:rsidRPr="009118AB">
        <w:rPr>
          <w:i/>
          <w:iCs/>
          <w:spacing w:val="-2"/>
        </w:rPr>
        <w:t> - </w:t>
      </w:r>
      <w:r w:rsidR="002C578B"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215469" w:rsidRPr="009118AB">
        <w:rPr>
          <w:i/>
          <w:iCs/>
          <w:spacing w:val="-2"/>
        </w:rPr>
        <w:t xml:space="preserve"> </w:t>
      </w:r>
      <w:r w:rsidR="00D67EB8" w:rsidRPr="009118AB">
        <w:rPr>
          <w:rFonts w:ascii="Times New Roman Italique" w:hAnsi="Times New Roman Italique"/>
          <w:i/>
          <w:iCs/>
          <w:spacing w:val="-2"/>
        </w:rPr>
        <w:t>§ </w:t>
      </w:r>
      <w:r w:rsidR="00A21228" w:rsidRPr="009118AB">
        <w:rPr>
          <w:rFonts w:ascii="Times New Roman Italique" w:hAnsi="Times New Roman Italique"/>
          <w:i/>
          <w:iCs/>
          <w:spacing w:val="-2"/>
        </w:rPr>
        <w:t xml:space="preserve">2 </w:t>
      </w:r>
      <w:r w:rsidR="002C578B" w:rsidRPr="009118AB">
        <w:rPr>
          <w:rFonts w:ascii="Times New Roman Italique" w:hAnsi="Times New Roman Italique"/>
          <w:i/>
          <w:iCs/>
          <w:spacing w:val="-2"/>
        </w:rPr>
        <w:t xml:space="preserve">früherer </w:t>
      </w:r>
      <w:r w:rsidR="00A21228" w:rsidRPr="009118AB">
        <w:rPr>
          <w:rFonts w:ascii="Times New Roman Italique" w:hAnsi="Times New Roman Italique"/>
          <w:i/>
          <w:iCs/>
          <w:spacing w:val="-2"/>
        </w:rPr>
        <w:t>Abs</w:t>
      </w:r>
      <w:r w:rsidR="002C578B" w:rsidRPr="009118AB">
        <w:rPr>
          <w:rFonts w:ascii="Times New Roman Italique" w:hAnsi="Times New Roman Italique"/>
          <w:i/>
          <w:iCs/>
          <w:spacing w:val="-2"/>
        </w:rPr>
        <w:t>atz</w:t>
      </w:r>
      <w:r w:rsidR="00A21228" w:rsidRPr="009118AB">
        <w:rPr>
          <w:rFonts w:ascii="Times New Roman Italique" w:hAnsi="Times New Roman Italique"/>
          <w:i/>
          <w:iCs/>
          <w:spacing w:val="-2"/>
        </w:rPr>
        <w:t> </w:t>
      </w:r>
      <w:r w:rsidR="00215469" w:rsidRPr="009118AB">
        <w:rPr>
          <w:rFonts w:ascii="Times New Roman Italique" w:hAnsi="Times New Roman Italique"/>
          <w:i/>
          <w:iCs/>
          <w:spacing w:val="-2"/>
        </w:rPr>
        <w:t xml:space="preserve">7 </w:t>
      </w:r>
      <w:r w:rsidR="002C578B" w:rsidRPr="009118AB">
        <w:rPr>
          <w:rFonts w:ascii="Times New Roman Italique" w:hAnsi="Times New Roman Italique"/>
          <w:i/>
          <w:iCs/>
          <w:spacing w:val="-2"/>
        </w:rPr>
        <w:t xml:space="preserve">aufgehoben durch </w:t>
      </w:r>
      <w:r w:rsidR="00D67EB8" w:rsidRPr="009118AB">
        <w:rPr>
          <w:rFonts w:ascii="Times New Roman Italique" w:hAnsi="Times New Roman Italique"/>
          <w:i/>
          <w:iCs/>
          <w:spacing w:val="-2"/>
        </w:rPr>
        <w:t>Art. </w:t>
      </w:r>
      <w:r w:rsidR="002C578B" w:rsidRPr="009118AB">
        <w:rPr>
          <w:rFonts w:ascii="Times New Roman Italique" w:hAnsi="Times New Roman Italique"/>
          <w:i/>
          <w:iCs/>
          <w:spacing w:val="-2"/>
        </w:rPr>
        <w:t xml:space="preserve">96 </w:t>
      </w:r>
      <w:r w:rsidR="00D67EB8" w:rsidRPr="009118AB">
        <w:rPr>
          <w:rFonts w:ascii="Times New Roman Italique" w:hAnsi="Times New Roman Italique"/>
          <w:i/>
          <w:iCs/>
          <w:spacing w:val="-2"/>
        </w:rPr>
        <w:t>Nr. </w:t>
      </w:r>
      <w:r w:rsidR="002C578B" w:rsidRPr="009118AB">
        <w:rPr>
          <w:rFonts w:ascii="Times New Roman Italique" w:hAnsi="Times New Roman Italique"/>
          <w:i/>
          <w:iCs/>
          <w:spacing w:val="-2"/>
        </w:rPr>
        <w:t>2</w:t>
      </w:r>
      <w:r w:rsidR="002C578B" w:rsidRPr="009118AB">
        <w:rPr>
          <w:i/>
          <w:iCs/>
          <w:spacing w:val="-2"/>
        </w:rPr>
        <w:t xml:space="preserve"> des G. vom 11. Februar 2019 (B.S. vom 22. März 2020)</w:t>
      </w:r>
      <w:r w:rsidR="00D67EB8" w:rsidRPr="009118AB">
        <w:rPr>
          <w:i/>
          <w:iCs/>
          <w:spacing w:val="-2"/>
        </w:rPr>
        <w:t> - </w:t>
      </w:r>
      <w:r w:rsidR="002C578B"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A21228" w:rsidRPr="009118AB">
        <w:rPr>
          <w:i/>
          <w:iCs/>
        </w:rPr>
        <w:t xml:space="preserve"> </w:t>
      </w:r>
      <w:r w:rsidR="00D67EB8" w:rsidRPr="009118AB">
        <w:rPr>
          <w:i/>
          <w:iCs/>
        </w:rPr>
        <w:t>§ </w:t>
      </w:r>
      <w:r w:rsidR="00A21228" w:rsidRPr="009118AB">
        <w:rPr>
          <w:i/>
          <w:iCs/>
        </w:rPr>
        <w:t xml:space="preserve">2 </w:t>
      </w:r>
      <w:r w:rsidR="002C578B" w:rsidRPr="009118AB">
        <w:rPr>
          <w:i/>
          <w:iCs/>
        </w:rPr>
        <w:t xml:space="preserve">neuer </w:t>
      </w:r>
      <w:r w:rsidR="00A21228" w:rsidRPr="009118AB">
        <w:rPr>
          <w:i/>
          <w:iCs/>
        </w:rPr>
        <w:t>Abs</w:t>
      </w:r>
      <w:r w:rsidR="002C578B" w:rsidRPr="009118AB">
        <w:rPr>
          <w:i/>
          <w:iCs/>
        </w:rPr>
        <w:t>atz</w:t>
      </w:r>
      <w:r w:rsidR="00A21228" w:rsidRPr="009118AB">
        <w:rPr>
          <w:i/>
          <w:iCs/>
        </w:rPr>
        <w:t> </w:t>
      </w:r>
      <w:r w:rsidR="002C578B" w:rsidRPr="009118AB">
        <w:rPr>
          <w:i/>
          <w:iCs/>
        </w:rPr>
        <w:t>2</w:t>
      </w:r>
      <w:r w:rsidR="00A21228" w:rsidRPr="009118AB">
        <w:rPr>
          <w:i/>
          <w:iCs/>
        </w:rPr>
        <w:t xml:space="preserve"> </w:t>
      </w:r>
      <w:r w:rsidR="002C578B" w:rsidRPr="009118AB">
        <w:rPr>
          <w:i/>
          <w:iCs/>
        </w:rPr>
        <w:t xml:space="preserve">ersetzt durch </w:t>
      </w:r>
      <w:r w:rsidR="00D67EB8" w:rsidRPr="009118AB">
        <w:rPr>
          <w:i/>
          <w:iCs/>
        </w:rPr>
        <w:t>Art. </w:t>
      </w:r>
      <w:r w:rsidR="002C578B" w:rsidRPr="009118AB">
        <w:rPr>
          <w:i/>
          <w:iCs/>
        </w:rPr>
        <w:t xml:space="preserve">96 </w:t>
      </w:r>
      <w:r w:rsidR="00D67EB8" w:rsidRPr="009118AB">
        <w:rPr>
          <w:i/>
          <w:iCs/>
        </w:rPr>
        <w:t>Nr. </w:t>
      </w:r>
      <w:r w:rsidR="002C578B" w:rsidRPr="009118AB">
        <w:rPr>
          <w:i/>
          <w:iCs/>
        </w:rPr>
        <w:t>3</w:t>
      </w:r>
      <w:r w:rsidR="002C578B" w:rsidRPr="009118AB">
        <w:rPr>
          <w:i/>
          <w:iCs/>
          <w:spacing w:val="-2"/>
        </w:rPr>
        <w:t xml:space="preserve"> des G. vom 11. Februar 2019 (B.S. vom 22. März 2020)</w:t>
      </w:r>
      <w:r w:rsidR="00D67EB8" w:rsidRPr="009118AB">
        <w:rPr>
          <w:i/>
          <w:iCs/>
          <w:spacing w:val="-2"/>
        </w:rPr>
        <w:t> - </w:t>
      </w:r>
      <w:r w:rsidR="002C578B"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F66160" w:rsidRPr="009118AB">
        <w:rPr>
          <w:i/>
          <w:iCs/>
        </w:rPr>
        <w:t xml:space="preserve"> </w:t>
      </w:r>
      <w:r w:rsidR="00D67EB8" w:rsidRPr="009118AB">
        <w:rPr>
          <w:i/>
          <w:iCs/>
        </w:rPr>
        <w:t>§ </w:t>
      </w:r>
      <w:r w:rsidR="002137D6" w:rsidRPr="009118AB">
        <w:rPr>
          <w:i/>
          <w:iCs/>
        </w:rPr>
        <w:t xml:space="preserve">3 </w:t>
      </w:r>
      <w:r w:rsidR="00D67EB8" w:rsidRPr="009118AB">
        <w:rPr>
          <w:i/>
          <w:iCs/>
        </w:rPr>
        <w:t>Abs. </w:t>
      </w:r>
      <w:r w:rsidR="002137D6" w:rsidRPr="009118AB">
        <w:rPr>
          <w:i/>
          <w:iCs/>
        </w:rPr>
        <w:t xml:space="preserve">1 einleitende Bestimmung abgeändert durch </w:t>
      </w:r>
      <w:r w:rsidR="00D67EB8" w:rsidRPr="009118AB">
        <w:rPr>
          <w:i/>
          <w:iCs/>
        </w:rPr>
        <w:t>Art. </w:t>
      </w:r>
      <w:r w:rsidR="002137D6" w:rsidRPr="009118AB">
        <w:rPr>
          <w:i/>
          <w:iCs/>
        </w:rPr>
        <w:t>12 Buchstabe d) des G. vom 18. Dezember 2015 (II) (B.S. vom 28. Dezember 2015)</w:t>
      </w:r>
      <w:r w:rsidR="00D67EB8" w:rsidRPr="009118AB">
        <w:rPr>
          <w:i/>
          <w:iCs/>
        </w:rPr>
        <w:t> - </w:t>
      </w:r>
      <w:r w:rsidR="002137D6" w:rsidRPr="009118AB">
        <w:rPr>
          <w:i/>
          <w:iCs/>
        </w:rPr>
        <w:t>wirksam mit 1. Mai 2015</w:t>
      </w:r>
      <w:r w:rsidR="003366D9" w:rsidRPr="009118AB">
        <w:rPr>
          <w:i/>
          <w:iCs/>
        </w:rPr>
        <w:t> -;</w:t>
      </w:r>
      <w:r w:rsidR="009E1E97" w:rsidRPr="009118AB">
        <w:rPr>
          <w:i/>
          <w:iCs/>
        </w:rPr>
        <w:t xml:space="preserve"> </w:t>
      </w:r>
      <w:r w:rsidR="00D67EB8" w:rsidRPr="009118AB">
        <w:rPr>
          <w:i/>
          <w:iCs/>
        </w:rPr>
        <w:t>§ </w:t>
      </w:r>
      <w:r w:rsidR="000A0CD5" w:rsidRPr="009118AB">
        <w:rPr>
          <w:i/>
          <w:iCs/>
        </w:rPr>
        <w:t xml:space="preserve">3 </w:t>
      </w:r>
      <w:r w:rsidR="00D67EB8" w:rsidRPr="009118AB">
        <w:rPr>
          <w:i/>
          <w:iCs/>
        </w:rPr>
        <w:t>Abs. </w:t>
      </w:r>
      <w:r w:rsidR="000A0CD5" w:rsidRPr="009118AB">
        <w:rPr>
          <w:i/>
          <w:iCs/>
        </w:rPr>
        <w:t xml:space="preserve">2 zweiter Gedankenstrich abgeändert durch </w:t>
      </w:r>
      <w:r w:rsidR="00D67EB8" w:rsidRPr="009118AB">
        <w:rPr>
          <w:i/>
          <w:iCs/>
        </w:rPr>
        <w:t>Art. </w:t>
      </w:r>
      <w:r w:rsidR="000A0CD5" w:rsidRPr="009118AB">
        <w:rPr>
          <w:i/>
          <w:iCs/>
        </w:rPr>
        <w:t>5 des K.E. vom 3. Oktober 2019 (B.S. vom 30. Oktober 2019)</w:t>
      </w:r>
      <w:r w:rsidR="00A713E8" w:rsidRPr="009118AB">
        <w:rPr>
          <w:i/>
          <w:iCs/>
        </w:rPr>
        <w:t xml:space="preserve"> und </w:t>
      </w:r>
      <w:r w:rsidR="00D67EB8" w:rsidRPr="009118AB">
        <w:rPr>
          <w:i/>
          <w:iCs/>
        </w:rPr>
        <w:t>Art. </w:t>
      </w:r>
      <w:r w:rsidR="00A713E8" w:rsidRPr="009118AB">
        <w:rPr>
          <w:i/>
          <w:iCs/>
        </w:rPr>
        <w:t>5 Buchstabe c)</w:t>
      </w:r>
      <w:r w:rsidR="00A713E8" w:rsidRPr="009118AB">
        <w:rPr>
          <w:i/>
        </w:rPr>
        <w:t xml:space="preserve"> des K.E. vom 18. April 2022 (B.S. vom 1. Juni 2022)</w:t>
      </w:r>
      <w:r w:rsidR="000A0CD5" w:rsidRPr="009118AB">
        <w:rPr>
          <w:i/>
          <w:iCs/>
        </w:rPr>
        <w:t xml:space="preserve">; </w:t>
      </w:r>
      <w:r w:rsidR="00D67EB8" w:rsidRPr="009118AB">
        <w:rPr>
          <w:i/>
          <w:iCs/>
        </w:rPr>
        <w:t>§ </w:t>
      </w:r>
      <w:r w:rsidR="009E1E97" w:rsidRPr="009118AB">
        <w:rPr>
          <w:i/>
          <w:iCs/>
        </w:rPr>
        <w:t xml:space="preserve">3 </w:t>
      </w:r>
      <w:r w:rsidR="00D67EB8" w:rsidRPr="009118AB">
        <w:rPr>
          <w:i/>
          <w:iCs/>
        </w:rPr>
        <w:t>Abs. </w:t>
      </w:r>
      <w:r w:rsidR="009E1E97" w:rsidRPr="009118AB">
        <w:rPr>
          <w:i/>
          <w:iCs/>
        </w:rPr>
        <w:t xml:space="preserve">3 abgeändert durch </w:t>
      </w:r>
      <w:r w:rsidR="00D67EB8" w:rsidRPr="009118AB">
        <w:rPr>
          <w:i/>
          <w:iCs/>
        </w:rPr>
        <w:t>Art. </w:t>
      </w:r>
      <w:r w:rsidR="000A0CD5" w:rsidRPr="009118AB">
        <w:rPr>
          <w:i/>
          <w:iCs/>
        </w:rPr>
        <w:t xml:space="preserve">65 </w:t>
      </w:r>
      <w:r w:rsidR="00D67EB8" w:rsidRPr="009118AB">
        <w:rPr>
          <w:i/>
          <w:iCs/>
        </w:rPr>
        <w:t>Nr. </w:t>
      </w:r>
      <w:r w:rsidR="000A0CD5" w:rsidRPr="009118AB">
        <w:rPr>
          <w:i/>
          <w:iCs/>
        </w:rPr>
        <w:t>4 des G. vom 17. März </w:t>
      </w:r>
      <w:r w:rsidR="009E1E97" w:rsidRPr="009118AB">
        <w:rPr>
          <w:i/>
          <w:iCs/>
        </w:rPr>
        <w:t>2019</w:t>
      </w:r>
      <w:r w:rsidR="000A0CD5" w:rsidRPr="009118AB">
        <w:rPr>
          <w:i/>
          <w:iCs/>
        </w:rPr>
        <w:t> </w:t>
      </w:r>
      <w:r w:rsidR="009E1E97" w:rsidRPr="009118AB">
        <w:rPr>
          <w:i/>
          <w:iCs/>
        </w:rPr>
        <w:t>(III) (B.S. vom 10. Mai 2019)</w:t>
      </w:r>
      <w:r w:rsidR="00D67EB8" w:rsidRPr="009118AB">
        <w:rPr>
          <w:i/>
          <w:iCs/>
        </w:rPr>
        <w:t> - </w:t>
      </w:r>
      <w:r w:rsidR="009E1E97" w:rsidRPr="009118AB">
        <w:rPr>
          <w:i/>
          <w:iCs/>
        </w:rPr>
        <w:t>in Kraft am 1. Mai 2019</w:t>
      </w:r>
      <w:r w:rsidR="003366D9" w:rsidRPr="009118AB">
        <w:rPr>
          <w:i/>
          <w:iCs/>
        </w:rPr>
        <w:t> -;</w:t>
      </w:r>
      <w:r w:rsidR="002137D6" w:rsidRPr="009118AB">
        <w:rPr>
          <w:i/>
          <w:iCs/>
        </w:rPr>
        <w:t xml:space="preserve"> </w:t>
      </w:r>
      <w:r w:rsidR="00D67EB8" w:rsidRPr="009118AB">
        <w:rPr>
          <w:i/>
          <w:iCs/>
        </w:rPr>
        <w:t>§ </w:t>
      </w:r>
      <w:r w:rsidR="0037492E" w:rsidRPr="009118AB">
        <w:rPr>
          <w:i/>
          <w:iCs/>
        </w:rPr>
        <w:t xml:space="preserve">3 neuer Absatz 4 eingefügt durch </w:t>
      </w:r>
      <w:r w:rsidR="00D67EB8" w:rsidRPr="009118AB">
        <w:rPr>
          <w:i/>
          <w:iCs/>
        </w:rPr>
        <w:t>Art. </w:t>
      </w:r>
      <w:r w:rsidR="0037492E" w:rsidRPr="009118AB">
        <w:rPr>
          <w:i/>
          <w:iCs/>
        </w:rPr>
        <w:t xml:space="preserve">6 </w:t>
      </w:r>
      <w:r w:rsidR="0037492E" w:rsidRPr="009118AB">
        <w:rPr>
          <w:rFonts w:ascii="Times New Roman Italique" w:hAnsi="Times New Roman Italique"/>
          <w:i/>
          <w:iCs/>
          <w:spacing w:val="-1"/>
        </w:rPr>
        <w:t>Buchstabe a) des G. vom 24. März 2015 (B.S. vom 2. April 2015)</w:t>
      </w:r>
      <w:r w:rsidR="00D67EB8" w:rsidRPr="009118AB">
        <w:rPr>
          <w:rFonts w:ascii="Times New Roman Italique" w:hAnsi="Times New Roman Italique"/>
          <w:i/>
          <w:iCs/>
          <w:spacing w:val="-1"/>
        </w:rPr>
        <w:t> - </w:t>
      </w:r>
      <w:r w:rsidR="0037492E" w:rsidRPr="009118AB">
        <w:rPr>
          <w:rFonts w:ascii="Times New Roman Italique" w:hAnsi="Times New Roman Italique"/>
          <w:i/>
          <w:iCs/>
          <w:spacing w:val="-1"/>
        </w:rPr>
        <w:t>in Kraft am 2. April 2015</w:t>
      </w:r>
      <w:r w:rsidR="003366D9" w:rsidRPr="009118AB">
        <w:rPr>
          <w:rFonts w:ascii="Times New Roman Italique" w:hAnsi="Times New Roman Italique"/>
          <w:i/>
          <w:iCs/>
          <w:spacing w:val="-1"/>
        </w:rPr>
        <w:t> -;</w:t>
      </w:r>
      <w:r w:rsidR="0037492E" w:rsidRPr="009118AB">
        <w:rPr>
          <w:i/>
          <w:iCs/>
        </w:rPr>
        <w:t xml:space="preserve"> </w:t>
      </w:r>
      <w:r w:rsidR="00D67EB8" w:rsidRPr="009118AB">
        <w:rPr>
          <w:i/>
          <w:iCs/>
        </w:rPr>
        <w:t>§ </w:t>
      </w:r>
      <w:r w:rsidR="0037492E" w:rsidRPr="009118AB">
        <w:rPr>
          <w:i/>
          <w:iCs/>
        </w:rPr>
        <w:t xml:space="preserve">3 </w:t>
      </w:r>
      <w:r w:rsidR="00D67EB8" w:rsidRPr="009118AB">
        <w:rPr>
          <w:i/>
          <w:iCs/>
        </w:rPr>
        <w:t>Abs. </w:t>
      </w:r>
      <w:r w:rsidR="0037492E" w:rsidRPr="009118AB">
        <w:rPr>
          <w:i/>
          <w:iCs/>
        </w:rPr>
        <w:t xml:space="preserve">5 </w:t>
      </w:r>
      <w:r w:rsidR="008C0174" w:rsidRPr="009118AB">
        <w:rPr>
          <w:i/>
          <w:iCs/>
        </w:rPr>
        <w:t xml:space="preserve">früherer </w:t>
      </w:r>
      <w:r w:rsidR="0037492E" w:rsidRPr="009118AB">
        <w:rPr>
          <w:i/>
          <w:iCs/>
        </w:rPr>
        <w:t xml:space="preserve">erster und zweiter Gedankenstrich </w:t>
      </w:r>
      <w:r w:rsidR="0037492E" w:rsidRPr="009118AB">
        <w:rPr>
          <w:rFonts w:ascii="Times New Roman Italique" w:hAnsi="Times New Roman Italique"/>
          <w:i/>
          <w:iCs/>
          <w:spacing w:val="-2"/>
        </w:rPr>
        <w:t xml:space="preserve">aufgehoben durch </w:t>
      </w:r>
      <w:r w:rsidR="00D67EB8" w:rsidRPr="009118AB">
        <w:rPr>
          <w:rFonts w:ascii="Times New Roman Italique" w:hAnsi="Times New Roman Italique"/>
          <w:i/>
          <w:iCs/>
          <w:spacing w:val="-2"/>
        </w:rPr>
        <w:t>Art. </w:t>
      </w:r>
      <w:r w:rsidR="0037492E" w:rsidRPr="009118AB">
        <w:rPr>
          <w:rFonts w:ascii="Times New Roman Italique" w:hAnsi="Times New Roman Italique"/>
          <w:i/>
          <w:iCs/>
          <w:spacing w:val="-2"/>
        </w:rPr>
        <w:t>6 Buchstabe b) des G. vom 24. März 2015 (B.S. vom 2. April 2015)</w:t>
      </w:r>
      <w:r w:rsidR="00D67EB8" w:rsidRPr="009118AB">
        <w:rPr>
          <w:rFonts w:ascii="Times New Roman Italique" w:hAnsi="Times New Roman Italique"/>
          <w:i/>
          <w:iCs/>
          <w:spacing w:val="-2"/>
        </w:rPr>
        <w:t> - </w:t>
      </w:r>
      <w:r w:rsidR="0037492E" w:rsidRPr="009118AB">
        <w:rPr>
          <w:rFonts w:ascii="Times New Roman Italique" w:hAnsi="Times New Roman Italique"/>
          <w:i/>
          <w:iCs/>
          <w:spacing w:val="-2"/>
        </w:rPr>
        <w:t>in Kraft am 2. April 2015</w:t>
      </w:r>
      <w:r w:rsidR="003366D9" w:rsidRPr="009118AB">
        <w:rPr>
          <w:rFonts w:ascii="Times New Roman Italique" w:hAnsi="Times New Roman Italique"/>
          <w:i/>
          <w:iCs/>
          <w:spacing w:val="-2"/>
        </w:rPr>
        <w:t> -;</w:t>
      </w:r>
      <w:r w:rsidR="00AC38E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AC38E4"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Abs. </w:t>
      </w:r>
      <w:r w:rsidR="00AC38E4" w:rsidRPr="009118AB">
        <w:rPr>
          <w:rFonts w:ascii="Times New Roman Italique" w:hAnsi="Times New Roman Italique"/>
          <w:i/>
          <w:iCs/>
          <w:spacing w:val="-2"/>
        </w:rPr>
        <w:t xml:space="preserve">5 </w:t>
      </w:r>
      <w:r w:rsidR="008C0174" w:rsidRPr="009118AB">
        <w:rPr>
          <w:rFonts w:ascii="Times New Roman Italique" w:hAnsi="Times New Roman Italique"/>
          <w:i/>
          <w:iCs/>
          <w:spacing w:val="-2"/>
        </w:rPr>
        <w:t>neuer erst</w:t>
      </w:r>
      <w:r w:rsidR="00AC38E4" w:rsidRPr="009118AB">
        <w:rPr>
          <w:rFonts w:ascii="Times New Roman Italique" w:hAnsi="Times New Roman Italique"/>
          <w:i/>
          <w:iCs/>
          <w:spacing w:val="-2"/>
        </w:rPr>
        <w:t xml:space="preserve">er Gedankenstrich abgeändert durch </w:t>
      </w:r>
      <w:r w:rsidR="00D67EB8" w:rsidRPr="009118AB">
        <w:rPr>
          <w:rFonts w:ascii="Times New Roman Italique" w:hAnsi="Times New Roman Italique"/>
          <w:i/>
          <w:iCs/>
          <w:spacing w:val="-2"/>
        </w:rPr>
        <w:t>Art. </w:t>
      </w:r>
      <w:r w:rsidR="00AC38E4" w:rsidRPr="009118AB">
        <w:rPr>
          <w:rFonts w:ascii="Times New Roman Italique" w:hAnsi="Times New Roman Italique"/>
          <w:i/>
          <w:iCs/>
          <w:spacing w:val="-2"/>
        </w:rPr>
        <w:t>6 Buchstabe c) des G. vom 24. März 2015 (B.S. vom 2. April 2015)</w:t>
      </w:r>
      <w:r w:rsidR="00D67EB8" w:rsidRPr="009118AB">
        <w:rPr>
          <w:rFonts w:ascii="Times New Roman Italique" w:hAnsi="Times New Roman Italique"/>
          <w:i/>
          <w:iCs/>
          <w:spacing w:val="-2"/>
        </w:rPr>
        <w:t> - </w:t>
      </w:r>
      <w:r w:rsidR="00AC38E4" w:rsidRPr="009118AB">
        <w:rPr>
          <w:rFonts w:ascii="Times New Roman Italique" w:hAnsi="Times New Roman Italique"/>
          <w:i/>
          <w:iCs/>
          <w:spacing w:val="-2"/>
        </w:rPr>
        <w:t>in Kraft am 2. April 2015</w:t>
      </w:r>
      <w:r w:rsidR="003366D9" w:rsidRPr="009118AB">
        <w:rPr>
          <w:rFonts w:ascii="Times New Roman Italique" w:hAnsi="Times New Roman Italique"/>
          <w:i/>
          <w:iCs/>
          <w:spacing w:val="-2"/>
        </w:rPr>
        <w:t> -;</w:t>
      </w:r>
      <w:r w:rsidR="00AC38E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AC38E4" w:rsidRPr="009118AB">
        <w:rPr>
          <w:rFonts w:ascii="Times New Roman Italique" w:hAnsi="Times New Roman Italique"/>
          <w:i/>
          <w:iCs/>
          <w:spacing w:val="-2"/>
        </w:rPr>
        <w:t>3</w:t>
      </w:r>
      <w:r w:rsidR="00AC38E4" w:rsidRPr="009118AB">
        <w:rPr>
          <w:i/>
          <w:iCs/>
          <w:spacing w:val="-2"/>
        </w:rPr>
        <w:t xml:space="preserve"> </w:t>
      </w:r>
      <w:r w:rsidR="00D67EB8" w:rsidRPr="009118AB">
        <w:rPr>
          <w:i/>
          <w:iCs/>
          <w:spacing w:val="-2"/>
        </w:rPr>
        <w:t>Abs. </w:t>
      </w:r>
      <w:r w:rsidR="00AC38E4" w:rsidRPr="009118AB">
        <w:rPr>
          <w:i/>
          <w:iCs/>
          <w:spacing w:val="-2"/>
        </w:rPr>
        <w:t xml:space="preserve">5 </w:t>
      </w:r>
      <w:r w:rsidR="008C0174" w:rsidRPr="009118AB">
        <w:rPr>
          <w:i/>
          <w:iCs/>
          <w:spacing w:val="-2"/>
        </w:rPr>
        <w:t>neuer zwei</w:t>
      </w:r>
      <w:r w:rsidR="00AC38E4" w:rsidRPr="009118AB">
        <w:rPr>
          <w:i/>
          <w:iCs/>
          <w:spacing w:val="-2"/>
        </w:rPr>
        <w:t xml:space="preserve">ter Gedankenstrich ersetzt durch </w:t>
      </w:r>
      <w:r w:rsidR="00D67EB8" w:rsidRPr="009118AB">
        <w:rPr>
          <w:i/>
          <w:iCs/>
          <w:spacing w:val="-2"/>
        </w:rPr>
        <w:t>Art. </w:t>
      </w:r>
      <w:r w:rsidR="00AC38E4" w:rsidRPr="009118AB">
        <w:rPr>
          <w:i/>
          <w:iCs/>
          <w:spacing w:val="-2"/>
        </w:rPr>
        <w:t>6 Buchstabe d) des G. vom 24. März 2015 (B.S. vom 2. April 2015)</w:t>
      </w:r>
      <w:r w:rsidR="00D67EB8" w:rsidRPr="009118AB">
        <w:rPr>
          <w:i/>
          <w:iCs/>
          <w:spacing w:val="-2"/>
        </w:rPr>
        <w:t> - </w:t>
      </w:r>
      <w:r w:rsidR="00AC38E4" w:rsidRPr="009118AB">
        <w:rPr>
          <w:i/>
          <w:iCs/>
          <w:spacing w:val="-2"/>
        </w:rPr>
        <w:t>in Kraft am 2. April 2015</w:t>
      </w:r>
      <w:r w:rsidR="003366D9" w:rsidRPr="009118AB">
        <w:rPr>
          <w:i/>
          <w:iCs/>
          <w:spacing w:val="-2"/>
        </w:rPr>
        <w:t> -;</w:t>
      </w:r>
      <w:r w:rsidR="00AC38E4" w:rsidRPr="009118AB">
        <w:rPr>
          <w:i/>
          <w:iCs/>
          <w:spacing w:val="-2"/>
        </w:rPr>
        <w:t xml:space="preserve"> </w:t>
      </w:r>
      <w:r w:rsidR="00D67EB8" w:rsidRPr="009118AB">
        <w:rPr>
          <w:i/>
          <w:iCs/>
          <w:spacing w:val="-2"/>
        </w:rPr>
        <w:t>§ </w:t>
      </w:r>
      <w:r w:rsidR="00AC38E4" w:rsidRPr="009118AB">
        <w:rPr>
          <w:i/>
          <w:iCs/>
          <w:spacing w:val="-2"/>
        </w:rPr>
        <w:t xml:space="preserve">3 </w:t>
      </w:r>
      <w:r w:rsidR="00D67EB8" w:rsidRPr="009118AB">
        <w:rPr>
          <w:i/>
          <w:iCs/>
          <w:spacing w:val="-2"/>
        </w:rPr>
        <w:t>Abs. </w:t>
      </w:r>
      <w:r w:rsidR="00AC38E4" w:rsidRPr="009118AB">
        <w:rPr>
          <w:i/>
          <w:iCs/>
          <w:spacing w:val="-2"/>
        </w:rPr>
        <w:t xml:space="preserve">5 </w:t>
      </w:r>
      <w:r w:rsidR="00927D73" w:rsidRPr="009118AB">
        <w:rPr>
          <w:i/>
          <w:iCs/>
          <w:spacing w:val="-2"/>
        </w:rPr>
        <w:t>drit</w:t>
      </w:r>
      <w:r w:rsidR="00AC38E4" w:rsidRPr="009118AB">
        <w:rPr>
          <w:i/>
          <w:iCs/>
          <w:spacing w:val="-2"/>
        </w:rPr>
        <w:t xml:space="preserve">ter bis </w:t>
      </w:r>
      <w:r w:rsidR="00927D73" w:rsidRPr="009118AB">
        <w:rPr>
          <w:rFonts w:ascii="Times New Roman Italique" w:hAnsi="Times New Roman Italique"/>
          <w:i/>
          <w:iCs/>
          <w:spacing w:val="-2"/>
        </w:rPr>
        <w:t>fünf</w:t>
      </w:r>
      <w:r w:rsidR="00AC38E4" w:rsidRPr="009118AB">
        <w:rPr>
          <w:rFonts w:ascii="Times New Roman Italique" w:hAnsi="Times New Roman Italique"/>
          <w:i/>
          <w:iCs/>
          <w:spacing w:val="-2"/>
        </w:rPr>
        <w:t xml:space="preserve">ter Gedankenstrich aufgehoben durch </w:t>
      </w:r>
      <w:r w:rsidR="00D67EB8" w:rsidRPr="009118AB">
        <w:rPr>
          <w:rFonts w:ascii="Times New Roman Italique" w:hAnsi="Times New Roman Italique"/>
          <w:i/>
          <w:iCs/>
          <w:spacing w:val="-2"/>
        </w:rPr>
        <w:t>Art. </w:t>
      </w:r>
      <w:r w:rsidR="00AC38E4" w:rsidRPr="009118AB">
        <w:rPr>
          <w:rFonts w:ascii="Times New Roman Italique" w:hAnsi="Times New Roman Italique"/>
          <w:i/>
          <w:iCs/>
          <w:spacing w:val="-2"/>
        </w:rPr>
        <w:t>6 Buchstabe e) des G. vom 24. März 2015 (B.S. vom 2. April 2015)</w:t>
      </w:r>
      <w:r w:rsidR="00D67EB8" w:rsidRPr="009118AB">
        <w:rPr>
          <w:rFonts w:ascii="Times New Roman Italique" w:hAnsi="Times New Roman Italique"/>
          <w:i/>
          <w:iCs/>
          <w:spacing w:val="-2"/>
        </w:rPr>
        <w:t> - </w:t>
      </w:r>
      <w:r w:rsidR="00AC38E4" w:rsidRPr="009118AB">
        <w:rPr>
          <w:rFonts w:ascii="Times New Roman Italique" w:hAnsi="Times New Roman Italique"/>
          <w:i/>
          <w:iCs/>
          <w:spacing w:val="-2"/>
        </w:rPr>
        <w:t>in Kraft am 2. April 2015</w:t>
      </w:r>
      <w:r w:rsidR="003366D9" w:rsidRPr="009118AB">
        <w:rPr>
          <w:rFonts w:ascii="Times New Roman Italique" w:hAnsi="Times New Roman Italique"/>
          <w:i/>
          <w:iCs/>
          <w:spacing w:val="-2"/>
        </w:rPr>
        <w:t> -;</w:t>
      </w:r>
      <w:r w:rsidR="00AC38E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lastRenderedPageBreak/>
        <w:t>§ </w:t>
      </w:r>
      <w:r w:rsidR="00AC38E4" w:rsidRPr="009118AB">
        <w:rPr>
          <w:rFonts w:ascii="Times New Roman Italique" w:hAnsi="Times New Roman Italique"/>
          <w:i/>
          <w:iCs/>
          <w:spacing w:val="-2"/>
        </w:rPr>
        <w:t xml:space="preserve">4 </w:t>
      </w:r>
      <w:r w:rsidR="00D67EB8" w:rsidRPr="009118AB">
        <w:rPr>
          <w:rFonts w:ascii="Times New Roman Italique" w:hAnsi="Times New Roman Italique"/>
          <w:i/>
          <w:iCs/>
          <w:spacing w:val="-2"/>
        </w:rPr>
        <w:t>Abs. </w:t>
      </w:r>
      <w:r w:rsidR="00AC38E4" w:rsidRPr="009118AB">
        <w:rPr>
          <w:rFonts w:ascii="Times New Roman Italique" w:hAnsi="Times New Roman Italique"/>
          <w:i/>
          <w:iCs/>
          <w:spacing w:val="-2"/>
        </w:rPr>
        <w:t xml:space="preserve">1 abgeändert durch </w:t>
      </w:r>
      <w:r w:rsidR="00D67EB8" w:rsidRPr="009118AB">
        <w:rPr>
          <w:rFonts w:ascii="Times New Roman Italique" w:hAnsi="Times New Roman Italique"/>
          <w:i/>
          <w:iCs/>
          <w:spacing w:val="-2"/>
        </w:rPr>
        <w:t>Art. </w:t>
      </w:r>
      <w:r w:rsidR="00AC38E4" w:rsidRPr="009118AB">
        <w:rPr>
          <w:rFonts w:ascii="Times New Roman Italique" w:hAnsi="Times New Roman Italique"/>
          <w:i/>
          <w:iCs/>
          <w:spacing w:val="-2"/>
        </w:rPr>
        <w:t>7 Buchstabe b) des G. vom 24. März 2015 (B.S. vom 2. April 2015)</w:t>
      </w:r>
      <w:r w:rsidR="00D67EB8" w:rsidRPr="009118AB">
        <w:rPr>
          <w:rFonts w:ascii="Times New Roman Italique" w:hAnsi="Times New Roman Italique"/>
          <w:i/>
          <w:iCs/>
          <w:spacing w:val="-2"/>
        </w:rPr>
        <w:t> - </w:t>
      </w:r>
      <w:r w:rsidR="00AC38E4" w:rsidRPr="009118AB">
        <w:rPr>
          <w:rFonts w:ascii="Times New Roman Italique" w:hAnsi="Times New Roman Italique"/>
          <w:i/>
          <w:iCs/>
          <w:spacing w:val="-2"/>
        </w:rPr>
        <w:t>in Kraft am 2. April 2015</w:t>
      </w:r>
      <w:r w:rsidR="00FD68E8" w:rsidRPr="009118AB">
        <w:rPr>
          <w:rFonts w:ascii="Times New Roman Italique" w:hAnsi="Times New Roman Italique"/>
          <w:i/>
          <w:iCs/>
          <w:spacing w:val="-2"/>
        </w:rPr>
        <w:t> -,</w:t>
      </w:r>
      <w:r w:rsidR="002137D6" w:rsidRPr="009118AB">
        <w:rPr>
          <w:i/>
          <w:iCs/>
        </w:rPr>
        <w:t xml:space="preserve"> </w:t>
      </w:r>
      <w:r w:rsidR="00D67EB8" w:rsidRPr="009118AB">
        <w:rPr>
          <w:i/>
          <w:iCs/>
        </w:rPr>
        <w:t>Art. </w:t>
      </w:r>
      <w:r w:rsidR="002137D6" w:rsidRPr="009118AB">
        <w:rPr>
          <w:i/>
          <w:iCs/>
        </w:rPr>
        <w:t>12 Buchstabe e) des G. vom 18. Dezember 2015 (II) (B.S. vom 28. Dezember 2015)</w:t>
      </w:r>
      <w:r w:rsidR="00D67EB8" w:rsidRPr="009118AB">
        <w:rPr>
          <w:i/>
          <w:iCs/>
        </w:rPr>
        <w:t> - </w:t>
      </w:r>
      <w:r w:rsidR="002137D6" w:rsidRPr="009118AB">
        <w:rPr>
          <w:i/>
          <w:iCs/>
        </w:rPr>
        <w:t>wirksam mit 1. Mai 2015</w:t>
      </w:r>
      <w:r w:rsidR="00D67EB8" w:rsidRPr="009118AB">
        <w:rPr>
          <w:i/>
          <w:iCs/>
        </w:rPr>
        <w:t> - </w:t>
      </w:r>
      <w:r w:rsidR="008F764C" w:rsidRPr="009118AB">
        <w:rPr>
          <w:i/>
          <w:iCs/>
        </w:rPr>
        <w:t xml:space="preserve">und </w:t>
      </w:r>
      <w:r w:rsidR="00D67EB8" w:rsidRPr="009118AB">
        <w:rPr>
          <w:i/>
          <w:iCs/>
        </w:rPr>
        <w:t>Art. </w:t>
      </w:r>
      <w:r w:rsidR="008F764C" w:rsidRPr="009118AB">
        <w:rPr>
          <w:rFonts w:ascii="Times New Roman Italique" w:hAnsi="Times New Roman Italique"/>
          <w:i/>
          <w:iCs/>
          <w:spacing w:val="-2"/>
        </w:rPr>
        <w:t>6 Buchstabe q) des G. vom 30.</w:t>
      </w:r>
      <w:r w:rsidR="00D666D6" w:rsidRPr="009118AB">
        <w:rPr>
          <w:rFonts w:ascii="Times New Roman Italique" w:hAnsi="Times New Roman Italique" w:hint="eastAsia"/>
          <w:i/>
          <w:iCs/>
          <w:spacing w:val="-2"/>
        </w:rPr>
        <w:t> </w:t>
      </w:r>
      <w:r w:rsidR="008F764C" w:rsidRPr="009118AB">
        <w:rPr>
          <w:rFonts w:ascii="Times New Roman Italique" w:hAnsi="Times New Roman Italique"/>
          <w:i/>
          <w:iCs/>
          <w:spacing w:val="-2"/>
        </w:rPr>
        <w:t>Juli 2018 (II) (B.S. vom 10. August 2018)</w:t>
      </w:r>
      <w:r w:rsidR="00D67EB8" w:rsidRPr="009118AB">
        <w:rPr>
          <w:rFonts w:ascii="Times New Roman Italique" w:hAnsi="Times New Roman Italique"/>
          <w:i/>
          <w:iCs/>
          <w:spacing w:val="-2"/>
        </w:rPr>
        <w:t> - </w:t>
      </w:r>
      <w:r w:rsidR="008F764C" w:rsidRPr="009118AB">
        <w:rPr>
          <w:i/>
          <w:iCs/>
          <w:spacing w:val="-2"/>
        </w:rPr>
        <w:t>in Kraft am 1. September 2018 und anwendbar auf Investitionen, für die ein Formular eingereicht wird</w:t>
      </w:r>
      <w:r w:rsidR="003366D9" w:rsidRPr="009118AB">
        <w:rPr>
          <w:i/>
          <w:iCs/>
          <w:spacing w:val="-2"/>
        </w:rPr>
        <w:t> -;</w:t>
      </w:r>
      <w:r w:rsidR="002A7E9D" w:rsidRPr="009118AB">
        <w:rPr>
          <w:i/>
          <w:iCs/>
        </w:rPr>
        <w:t xml:space="preserve"> </w:t>
      </w:r>
      <w:r w:rsidR="00D67EB8" w:rsidRPr="009118AB">
        <w:rPr>
          <w:i/>
          <w:iCs/>
        </w:rPr>
        <w:t>§ </w:t>
      </w:r>
      <w:r w:rsidR="002A7E9D" w:rsidRPr="009118AB">
        <w:rPr>
          <w:i/>
          <w:iCs/>
        </w:rPr>
        <w:t xml:space="preserve">4 </w:t>
      </w:r>
      <w:r w:rsidR="00D67EB8" w:rsidRPr="009118AB">
        <w:rPr>
          <w:i/>
          <w:iCs/>
        </w:rPr>
        <w:t>Abs. </w:t>
      </w:r>
      <w:r w:rsidR="002A7E9D" w:rsidRPr="009118AB">
        <w:rPr>
          <w:i/>
          <w:iCs/>
        </w:rPr>
        <w:t xml:space="preserve">2 </w:t>
      </w:r>
      <w:r w:rsidR="00505536" w:rsidRPr="009118AB">
        <w:rPr>
          <w:i/>
          <w:iCs/>
        </w:rPr>
        <w:t>ersetzt durch</w:t>
      </w:r>
      <w:r w:rsidR="008F764C" w:rsidRPr="009118AB">
        <w:rPr>
          <w:i/>
          <w:iCs/>
        </w:rPr>
        <w:t xml:space="preserve"> </w:t>
      </w:r>
      <w:r w:rsidR="00D67EB8" w:rsidRPr="009118AB">
        <w:rPr>
          <w:i/>
          <w:iCs/>
        </w:rPr>
        <w:t>Art. </w:t>
      </w:r>
      <w:r w:rsidR="008F764C" w:rsidRPr="009118AB">
        <w:rPr>
          <w:rFonts w:ascii="Times New Roman Italique" w:hAnsi="Times New Roman Italique"/>
          <w:i/>
          <w:iCs/>
          <w:spacing w:val="-2"/>
        </w:rPr>
        <w:t>6 Buchstabe r) des G. vom 30. Juli 2018 (II) (B.S. vom 10. August 2018)</w:t>
      </w:r>
      <w:r w:rsidR="00D67EB8" w:rsidRPr="009118AB">
        <w:rPr>
          <w:rFonts w:ascii="Times New Roman Italique" w:hAnsi="Times New Roman Italique"/>
          <w:i/>
          <w:iCs/>
          <w:spacing w:val="-2"/>
        </w:rPr>
        <w:t> - </w:t>
      </w:r>
      <w:r w:rsidR="008F764C" w:rsidRPr="009118AB">
        <w:rPr>
          <w:i/>
          <w:iCs/>
          <w:spacing w:val="-2"/>
        </w:rPr>
        <w:t>in Kraft am 1. September 2018 und anwendbar auf Investitionen, für die ein Formular eingereicht wird</w:t>
      </w:r>
      <w:r w:rsidR="003366D9" w:rsidRPr="009118AB">
        <w:rPr>
          <w:i/>
          <w:iCs/>
          <w:spacing w:val="-2"/>
        </w:rPr>
        <w:t> -;</w:t>
      </w:r>
      <w:r w:rsidR="002A7E9D" w:rsidRPr="009118AB">
        <w:rPr>
          <w:i/>
          <w:iCs/>
        </w:rPr>
        <w:t xml:space="preserve"> </w:t>
      </w:r>
      <w:r w:rsidR="00D67EB8" w:rsidRPr="009118AB">
        <w:rPr>
          <w:i/>
          <w:iCs/>
        </w:rPr>
        <w:t>§ </w:t>
      </w:r>
      <w:r w:rsidR="008F764C" w:rsidRPr="009118AB">
        <w:rPr>
          <w:i/>
          <w:iCs/>
        </w:rPr>
        <w:t xml:space="preserve">4 </w:t>
      </w:r>
      <w:r w:rsidR="00D67EB8" w:rsidRPr="009118AB">
        <w:rPr>
          <w:i/>
          <w:iCs/>
        </w:rPr>
        <w:t>Abs. </w:t>
      </w:r>
      <w:r w:rsidR="008F764C" w:rsidRPr="009118AB">
        <w:rPr>
          <w:i/>
          <w:iCs/>
        </w:rPr>
        <w:t xml:space="preserve">4 abgeändert durch </w:t>
      </w:r>
      <w:r w:rsidR="00D67EB8" w:rsidRPr="009118AB">
        <w:rPr>
          <w:i/>
          <w:iCs/>
        </w:rPr>
        <w:t>Art. </w:t>
      </w:r>
      <w:r w:rsidR="008F764C" w:rsidRPr="009118AB">
        <w:rPr>
          <w:rFonts w:ascii="Times New Roman Italique" w:hAnsi="Times New Roman Italique"/>
          <w:i/>
          <w:iCs/>
          <w:spacing w:val="-2"/>
        </w:rPr>
        <w:t>6 Buchstabe t) des G. vom 30.</w:t>
      </w:r>
      <w:r w:rsidR="00505536" w:rsidRPr="009118AB">
        <w:rPr>
          <w:rFonts w:ascii="Times New Roman Italique" w:hAnsi="Times New Roman Italique" w:hint="eastAsia"/>
          <w:i/>
          <w:iCs/>
          <w:spacing w:val="-2"/>
        </w:rPr>
        <w:t> </w:t>
      </w:r>
      <w:r w:rsidR="008F764C" w:rsidRPr="009118AB">
        <w:rPr>
          <w:rFonts w:ascii="Times New Roman Italique" w:hAnsi="Times New Roman Italique"/>
          <w:i/>
          <w:iCs/>
          <w:spacing w:val="-2"/>
        </w:rPr>
        <w:t>Juli 2018 (II) (B.S. vom 10. August 2018)</w:t>
      </w:r>
      <w:r w:rsidR="00D67EB8" w:rsidRPr="009118AB">
        <w:rPr>
          <w:rFonts w:ascii="Times New Roman Italique" w:hAnsi="Times New Roman Italique"/>
          <w:i/>
          <w:iCs/>
          <w:spacing w:val="-2"/>
        </w:rPr>
        <w:t> - </w:t>
      </w:r>
      <w:r w:rsidR="008F764C" w:rsidRPr="009118AB">
        <w:rPr>
          <w:i/>
          <w:iCs/>
          <w:spacing w:val="-2"/>
        </w:rPr>
        <w:t>in Kraft am 1. September 2018 und anwendbar auf Investitionen, für die ein Formular eingereicht wird</w:t>
      </w:r>
      <w:r w:rsidR="003366D9" w:rsidRPr="009118AB">
        <w:rPr>
          <w:i/>
          <w:iCs/>
          <w:spacing w:val="-2"/>
        </w:rPr>
        <w:t> -;</w:t>
      </w:r>
      <w:r w:rsidR="008F764C" w:rsidRPr="009118AB">
        <w:rPr>
          <w:i/>
          <w:iCs/>
          <w:spacing w:val="-2"/>
        </w:rPr>
        <w:t xml:space="preserve"> </w:t>
      </w:r>
      <w:r w:rsidR="00D67EB8" w:rsidRPr="009118AB">
        <w:rPr>
          <w:i/>
          <w:iCs/>
        </w:rPr>
        <w:t>§ </w:t>
      </w:r>
      <w:r w:rsidR="002A7E9D" w:rsidRPr="009118AB">
        <w:rPr>
          <w:i/>
          <w:iCs/>
        </w:rPr>
        <w:t xml:space="preserve">4 </w:t>
      </w:r>
      <w:r w:rsidR="00D67EB8" w:rsidRPr="009118AB">
        <w:rPr>
          <w:i/>
          <w:iCs/>
        </w:rPr>
        <w:t>Abs. </w:t>
      </w:r>
      <w:r w:rsidR="002A7E9D" w:rsidRPr="009118AB">
        <w:rPr>
          <w:i/>
          <w:iCs/>
        </w:rPr>
        <w:t xml:space="preserve">5 abgeändert durch </w:t>
      </w:r>
      <w:r w:rsidR="00D67EB8" w:rsidRPr="009118AB">
        <w:rPr>
          <w:i/>
          <w:iCs/>
        </w:rPr>
        <w:t>Art. </w:t>
      </w:r>
      <w:r w:rsidR="002A7E9D" w:rsidRPr="009118AB">
        <w:rPr>
          <w:i/>
          <w:iCs/>
        </w:rPr>
        <w:t>7 Buchstabe i) des G. vom 24. März 2015 (B.S. vom 2. April 2015)</w:t>
      </w:r>
      <w:r w:rsidR="00D67EB8" w:rsidRPr="009118AB">
        <w:rPr>
          <w:i/>
          <w:iCs/>
        </w:rPr>
        <w:t> - </w:t>
      </w:r>
      <w:r w:rsidR="002A7E9D" w:rsidRPr="009118AB">
        <w:rPr>
          <w:i/>
          <w:iCs/>
        </w:rPr>
        <w:t>in Kraft am 2. April 2015</w:t>
      </w:r>
      <w:r w:rsidR="003366D9" w:rsidRPr="009118AB">
        <w:rPr>
          <w:i/>
          <w:iCs/>
        </w:rPr>
        <w:t> -;</w:t>
      </w:r>
      <w:r w:rsidR="002A7E9D" w:rsidRPr="009118AB">
        <w:rPr>
          <w:i/>
          <w:iCs/>
        </w:rPr>
        <w:t xml:space="preserve"> </w:t>
      </w:r>
      <w:r w:rsidR="00D67EB8" w:rsidRPr="009118AB">
        <w:rPr>
          <w:i/>
          <w:iCs/>
        </w:rPr>
        <w:t>§ </w:t>
      </w:r>
      <w:r w:rsidR="00DF2981" w:rsidRPr="009118AB">
        <w:rPr>
          <w:i/>
          <w:iCs/>
        </w:rPr>
        <w:t xml:space="preserve">5 </w:t>
      </w:r>
      <w:r w:rsidR="00D67EB8" w:rsidRPr="009118AB">
        <w:rPr>
          <w:i/>
          <w:iCs/>
        </w:rPr>
        <w:t>Abs. </w:t>
      </w:r>
      <w:r w:rsidR="00DF2981" w:rsidRPr="009118AB">
        <w:rPr>
          <w:i/>
          <w:iCs/>
        </w:rPr>
        <w:t>1 ab</w:t>
      </w:r>
      <w:r w:rsidR="00927D73" w:rsidRPr="009118AB">
        <w:rPr>
          <w:i/>
          <w:iCs/>
        </w:rPr>
        <w:t xml:space="preserve">geändert durch </w:t>
      </w:r>
      <w:r w:rsidR="00D67EB8" w:rsidRPr="009118AB">
        <w:rPr>
          <w:i/>
          <w:iCs/>
        </w:rPr>
        <w:t>Art. </w:t>
      </w:r>
      <w:r w:rsidR="00927D73" w:rsidRPr="009118AB">
        <w:rPr>
          <w:i/>
          <w:iCs/>
        </w:rPr>
        <w:t>8 Buchstabe </w:t>
      </w:r>
      <w:r w:rsidR="00DF2981" w:rsidRPr="009118AB">
        <w:rPr>
          <w:i/>
          <w:iCs/>
        </w:rPr>
        <w:t xml:space="preserve">a) bis c) des G. vom 24. März 2015 (B.S. vom </w:t>
      </w:r>
      <w:r w:rsidR="00DF2981" w:rsidRPr="009118AB">
        <w:rPr>
          <w:rFonts w:ascii="Times New Roman Italique" w:hAnsi="Times New Roman Italique"/>
          <w:i/>
          <w:iCs/>
          <w:spacing w:val="-2"/>
        </w:rPr>
        <w:t>2. April 2015)</w:t>
      </w:r>
      <w:r w:rsidR="00D67EB8" w:rsidRPr="009118AB">
        <w:rPr>
          <w:rFonts w:ascii="Times New Roman Italique" w:hAnsi="Times New Roman Italique"/>
          <w:i/>
          <w:iCs/>
          <w:spacing w:val="-2"/>
        </w:rPr>
        <w:t> - </w:t>
      </w:r>
      <w:r w:rsidR="00DF2981" w:rsidRPr="009118AB">
        <w:rPr>
          <w:rFonts w:ascii="Times New Roman Italique" w:hAnsi="Times New Roman Italique"/>
          <w:i/>
          <w:iCs/>
          <w:spacing w:val="-2"/>
        </w:rPr>
        <w:t>in Kraft am 2. April 2015</w:t>
      </w:r>
      <w:r w:rsidR="00FD68E8" w:rsidRPr="009118AB">
        <w:rPr>
          <w:rFonts w:ascii="Times New Roman Italique" w:hAnsi="Times New Roman Italique"/>
          <w:i/>
          <w:iCs/>
          <w:spacing w:val="-2"/>
        </w:rPr>
        <w:t> -,</w:t>
      </w:r>
      <w:r w:rsidR="00A500E1"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A500E1" w:rsidRPr="009118AB">
        <w:rPr>
          <w:rFonts w:ascii="Times New Roman Italique" w:hAnsi="Times New Roman Italique" w:hint="eastAsia"/>
          <w:i/>
          <w:iCs/>
          <w:spacing w:val="-2"/>
        </w:rPr>
        <w:t>1</w:t>
      </w:r>
      <w:r w:rsidR="00A500E1" w:rsidRPr="009118AB">
        <w:rPr>
          <w:rFonts w:ascii="Times New Roman Italique" w:hAnsi="Times New Roman Italique"/>
          <w:i/>
          <w:iCs/>
          <w:spacing w:val="-2"/>
        </w:rPr>
        <w:t>2 Buchstabe h)</w:t>
      </w:r>
      <w:r w:rsidR="00A500E1" w:rsidRPr="009118AB">
        <w:rPr>
          <w:i/>
          <w:iCs/>
        </w:rPr>
        <w:t xml:space="preserve"> des G. vom 18. Dezember 2015 (II) (B.S. vom 28. Dezember 2015)</w:t>
      </w:r>
      <w:r w:rsidR="00D67EB8" w:rsidRPr="009118AB">
        <w:rPr>
          <w:i/>
          <w:iCs/>
        </w:rPr>
        <w:t> - </w:t>
      </w:r>
      <w:r w:rsidR="00A500E1" w:rsidRPr="009118AB">
        <w:rPr>
          <w:i/>
          <w:iCs/>
        </w:rPr>
        <w:t>wirksam mit 1. Mai 2015</w:t>
      </w:r>
      <w:r w:rsidR="00D67EB8" w:rsidRPr="009118AB">
        <w:rPr>
          <w:i/>
          <w:iCs/>
        </w:rPr>
        <w:t> - </w:t>
      </w:r>
      <w:r w:rsidR="008F764C" w:rsidRPr="009118AB">
        <w:rPr>
          <w:i/>
          <w:iCs/>
        </w:rPr>
        <w:t xml:space="preserve">und </w:t>
      </w:r>
      <w:r w:rsidR="00D67EB8" w:rsidRPr="009118AB">
        <w:rPr>
          <w:i/>
          <w:iCs/>
        </w:rPr>
        <w:t>Art. </w:t>
      </w:r>
      <w:r w:rsidR="008F764C" w:rsidRPr="009118AB">
        <w:rPr>
          <w:rFonts w:ascii="Times New Roman Italique" w:hAnsi="Times New Roman Italique"/>
          <w:i/>
          <w:iCs/>
          <w:spacing w:val="-2"/>
        </w:rPr>
        <w:t>6 Buchstabe u) bis w) des G. vom 30.</w:t>
      </w:r>
      <w:r w:rsidR="009067AA" w:rsidRPr="009118AB">
        <w:rPr>
          <w:rFonts w:ascii="Times New Roman Italique" w:hAnsi="Times New Roman Italique" w:hint="eastAsia"/>
          <w:i/>
          <w:iCs/>
          <w:spacing w:val="-2"/>
        </w:rPr>
        <w:t> </w:t>
      </w:r>
      <w:r w:rsidR="008F764C" w:rsidRPr="009118AB">
        <w:rPr>
          <w:rFonts w:ascii="Times New Roman Italique" w:hAnsi="Times New Roman Italique"/>
          <w:i/>
          <w:iCs/>
          <w:spacing w:val="-2"/>
        </w:rPr>
        <w:t>Juli 2018 (II) (B.S. vom 10. August 2018)</w:t>
      </w:r>
      <w:r w:rsidR="00D67EB8" w:rsidRPr="009118AB">
        <w:rPr>
          <w:rFonts w:ascii="Times New Roman Italique" w:hAnsi="Times New Roman Italique"/>
          <w:i/>
          <w:iCs/>
          <w:spacing w:val="-2"/>
        </w:rPr>
        <w:t> - </w:t>
      </w:r>
      <w:r w:rsidR="008F764C" w:rsidRPr="009118AB">
        <w:rPr>
          <w:i/>
          <w:iCs/>
          <w:spacing w:val="-2"/>
        </w:rPr>
        <w:t>in Kraft am 1. September 2018 und anwendbar auf Investitionen, für die ein Formular eingereicht wird</w:t>
      </w:r>
      <w:r w:rsidR="003366D9" w:rsidRPr="009118AB">
        <w:rPr>
          <w:i/>
          <w:iCs/>
          <w:spacing w:val="-2"/>
        </w:rPr>
        <w:t> -;</w:t>
      </w:r>
      <w:r w:rsidR="00DF2981"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8F764C" w:rsidRPr="009118AB">
        <w:rPr>
          <w:rFonts w:ascii="Times New Roman Italique" w:hAnsi="Times New Roman Italique"/>
          <w:i/>
          <w:iCs/>
          <w:spacing w:val="-2"/>
        </w:rPr>
        <w:t>5 neuer Absatz</w:t>
      </w:r>
      <w:r w:rsidR="008F764C" w:rsidRPr="009118AB">
        <w:rPr>
          <w:rFonts w:ascii="Times New Roman Italique" w:hAnsi="Times New Roman Italique" w:hint="eastAsia"/>
          <w:i/>
          <w:iCs/>
          <w:spacing w:val="-2"/>
        </w:rPr>
        <w:t> </w:t>
      </w:r>
      <w:r w:rsidR="008F764C"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008F764C" w:rsidRPr="009118AB">
        <w:rPr>
          <w:rFonts w:ascii="Times New Roman Italique" w:hAnsi="Times New Roman Italique"/>
          <w:i/>
          <w:iCs/>
          <w:spacing w:val="-2"/>
        </w:rPr>
        <w:t>6 Buchstabe x) des G. vom 30. Juli 2018 (II) (B.S. vom 10. August 2018)</w:t>
      </w:r>
      <w:r w:rsidR="00D67EB8" w:rsidRPr="009118AB">
        <w:rPr>
          <w:rFonts w:ascii="Times New Roman Italique" w:hAnsi="Times New Roman Italique"/>
          <w:i/>
          <w:iCs/>
          <w:spacing w:val="-2"/>
        </w:rPr>
        <w:t> - </w:t>
      </w:r>
      <w:r w:rsidR="008F764C" w:rsidRPr="009118AB">
        <w:rPr>
          <w:i/>
          <w:iCs/>
          <w:spacing w:val="-2"/>
        </w:rPr>
        <w:t>in Kraft am 1. September 2018 und anwendbar auf Investitionen, für die ein Formular eingereicht wird</w:t>
      </w:r>
      <w:r w:rsidR="003366D9" w:rsidRPr="009118AB">
        <w:rPr>
          <w:i/>
          <w:iCs/>
          <w:spacing w:val="-2"/>
        </w:rPr>
        <w:t> -;</w:t>
      </w:r>
      <w:r w:rsidR="008F764C" w:rsidRPr="009118AB">
        <w:rPr>
          <w:i/>
          <w:iCs/>
          <w:spacing w:val="-2"/>
        </w:rPr>
        <w:t xml:space="preserve"> </w:t>
      </w:r>
      <w:r w:rsidR="00D67EB8" w:rsidRPr="009118AB">
        <w:rPr>
          <w:rFonts w:ascii="Times New Roman Italique" w:hAnsi="Times New Roman Italique"/>
          <w:i/>
          <w:iCs/>
          <w:spacing w:val="-2"/>
        </w:rPr>
        <w:t>§ </w:t>
      </w:r>
      <w:r w:rsidR="00DF2981" w:rsidRPr="009118AB">
        <w:rPr>
          <w:rFonts w:ascii="Times New Roman Italique" w:hAnsi="Times New Roman Italique"/>
          <w:i/>
          <w:iCs/>
          <w:spacing w:val="-2"/>
        </w:rPr>
        <w:t>5 neuer Absatz </w:t>
      </w:r>
      <w:r w:rsidR="008F764C" w:rsidRPr="009118AB">
        <w:rPr>
          <w:rFonts w:ascii="Times New Roman Italique" w:hAnsi="Times New Roman Italique"/>
          <w:i/>
          <w:iCs/>
          <w:spacing w:val="-2"/>
        </w:rPr>
        <w:t>3</w:t>
      </w:r>
      <w:r w:rsidR="00DF2981" w:rsidRPr="009118AB">
        <w:rPr>
          <w:rFonts w:ascii="Times New Roman Italique" w:hAnsi="Times New Roman Italique"/>
          <w:i/>
          <w:iCs/>
          <w:spacing w:val="-2"/>
        </w:rPr>
        <w:t xml:space="preserve"> e</w:t>
      </w:r>
      <w:r w:rsidR="00927D73" w:rsidRPr="009118AB">
        <w:rPr>
          <w:rFonts w:ascii="Times New Roman Italique" w:hAnsi="Times New Roman Italique"/>
          <w:i/>
          <w:iCs/>
          <w:spacing w:val="-2"/>
        </w:rPr>
        <w:t xml:space="preserve">ingefügt durch </w:t>
      </w:r>
      <w:r w:rsidR="00D67EB8" w:rsidRPr="009118AB">
        <w:rPr>
          <w:rFonts w:ascii="Times New Roman Italique" w:hAnsi="Times New Roman Italique"/>
          <w:i/>
          <w:iCs/>
          <w:spacing w:val="-2"/>
        </w:rPr>
        <w:t>Art. </w:t>
      </w:r>
      <w:r w:rsidR="00927D73" w:rsidRPr="009118AB">
        <w:rPr>
          <w:rFonts w:ascii="Times New Roman Italique" w:hAnsi="Times New Roman Italique"/>
          <w:i/>
          <w:iCs/>
          <w:spacing w:val="-2"/>
        </w:rPr>
        <w:t>8 Buchstabe </w:t>
      </w:r>
      <w:r w:rsidR="00DF2981" w:rsidRPr="009118AB">
        <w:rPr>
          <w:rFonts w:ascii="Times New Roman Italique" w:hAnsi="Times New Roman Italique"/>
          <w:i/>
          <w:iCs/>
          <w:spacing w:val="-2"/>
        </w:rPr>
        <w:t>d) des G. vom 24. März 2015 (B.S. vom 2. April 2015)</w:t>
      </w:r>
      <w:r w:rsidR="00D67EB8" w:rsidRPr="009118AB">
        <w:rPr>
          <w:rFonts w:ascii="Times New Roman Italique" w:hAnsi="Times New Roman Italique"/>
          <w:i/>
          <w:iCs/>
          <w:spacing w:val="-2"/>
        </w:rPr>
        <w:t> - </w:t>
      </w:r>
      <w:r w:rsidR="00DF2981" w:rsidRPr="009118AB">
        <w:rPr>
          <w:rFonts w:ascii="Times New Roman Italique" w:hAnsi="Times New Roman Italique"/>
          <w:i/>
          <w:iCs/>
          <w:spacing w:val="-2"/>
        </w:rPr>
        <w:t>in Kraft am 2. April 2015</w:t>
      </w:r>
      <w:r w:rsidR="003366D9" w:rsidRPr="009118AB">
        <w:rPr>
          <w:rFonts w:ascii="Times New Roman Italique" w:hAnsi="Times New Roman Italique"/>
          <w:i/>
          <w:iCs/>
          <w:spacing w:val="-2"/>
        </w:rPr>
        <w:t> -;</w:t>
      </w:r>
      <w:r w:rsidR="00DF2981" w:rsidRPr="009118AB">
        <w:rPr>
          <w:i/>
          <w:iCs/>
        </w:rPr>
        <w:t xml:space="preserve"> </w:t>
      </w:r>
      <w:r w:rsidR="00D67EB8" w:rsidRPr="009118AB">
        <w:rPr>
          <w:i/>
          <w:iCs/>
          <w:spacing w:val="-2"/>
        </w:rPr>
        <w:t>§ </w:t>
      </w:r>
      <w:r w:rsidR="008F764C" w:rsidRPr="009118AB">
        <w:rPr>
          <w:i/>
          <w:iCs/>
          <w:spacing w:val="-2"/>
        </w:rPr>
        <w:t xml:space="preserve">5 neuer Absatz 4 eingefügt durch </w:t>
      </w:r>
      <w:r w:rsidR="00D67EB8" w:rsidRPr="009118AB">
        <w:rPr>
          <w:i/>
          <w:iCs/>
          <w:spacing w:val="-2"/>
        </w:rPr>
        <w:t>Art. </w:t>
      </w:r>
      <w:r w:rsidR="008F764C" w:rsidRPr="009118AB">
        <w:rPr>
          <w:rFonts w:ascii="Times New Roman Italique" w:hAnsi="Times New Roman Italique"/>
          <w:i/>
          <w:iCs/>
          <w:spacing w:val="-2"/>
        </w:rPr>
        <w:t>6 Buchstabe y) des G. vom 30. Juli 2018 (II) (B.S. vom 10. August 2018)</w:t>
      </w:r>
      <w:r w:rsidR="00D67EB8" w:rsidRPr="009118AB">
        <w:rPr>
          <w:rFonts w:ascii="Times New Roman Italique" w:hAnsi="Times New Roman Italique"/>
          <w:i/>
          <w:iCs/>
          <w:spacing w:val="-2"/>
        </w:rPr>
        <w:t> - </w:t>
      </w:r>
      <w:r w:rsidR="008F764C" w:rsidRPr="009118AB">
        <w:rPr>
          <w:i/>
          <w:iCs/>
          <w:spacing w:val="-2"/>
        </w:rPr>
        <w:t>in Kraft am 1. September 2018 und anwendbar auf Investitionen, für die ein Formular eingereicht wird</w:t>
      </w:r>
      <w:r w:rsidR="003366D9" w:rsidRPr="009118AB">
        <w:rPr>
          <w:i/>
          <w:iCs/>
          <w:spacing w:val="-2"/>
        </w:rPr>
        <w:t> -;</w:t>
      </w:r>
      <w:r w:rsidR="008F764C" w:rsidRPr="009118AB">
        <w:rPr>
          <w:i/>
          <w:iCs/>
          <w:spacing w:val="-2"/>
        </w:rPr>
        <w:t xml:space="preserve"> </w:t>
      </w:r>
      <w:r w:rsidR="00D67EB8" w:rsidRPr="009118AB">
        <w:rPr>
          <w:i/>
          <w:iCs/>
        </w:rPr>
        <w:t>§ </w:t>
      </w:r>
      <w:r w:rsidR="00DF2981" w:rsidRPr="009118AB">
        <w:rPr>
          <w:i/>
          <w:iCs/>
        </w:rPr>
        <w:t xml:space="preserve">5 </w:t>
      </w:r>
      <w:r w:rsidR="00D67EB8" w:rsidRPr="009118AB">
        <w:rPr>
          <w:i/>
          <w:iCs/>
        </w:rPr>
        <w:t>Abs. </w:t>
      </w:r>
      <w:r w:rsidR="008F764C" w:rsidRPr="009118AB">
        <w:rPr>
          <w:i/>
          <w:iCs/>
        </w:rPr>
        <w:t>5</w:t>
      </w:r>
      <w:r w:rsidR="00DF2981" w:rsidRPr="009118AB">
        <w:rPr>
          <w:i/>
          <w:iCs/>
        </w:rPr>
        <w:t xml:space="preserve"> </w:t>
      </w:r>
      <w:r w:rsidR="008F764C" w:rsidRPr="009118AB">
        <w:rPr>
          <w:i/>
          <w:iCs/>
        </w:rPr>
        <w:t xml:space="preserve">(früherer Absatz 3) </w:t>
      </w:r>
      <w:r w:rsidR="00DF2981" w:rsidRPr="009118AB">
        <w:rPr>
          <w:i/>
          <w:iCs/>
        </w:rPr>
        <w:t>ab</w:t>
      </w:r>
      <w:r w:rsidR="00927D73" w:rsidRPr="009118AB">
        <w:rPr>
          <w:i/>
          <w:iCs/>
        </w:rPr>
        <w:t xml:space="preserve">geändert durch </w:t>
      </w:r>
      <w:r w:rsidR="00D67EB8" w:rsidRPr="009118AB">
        <w:rPr>
          <w:i/>
          <w:iCs/>
        </w:rPr>
        <w:t>Art. </w:t>
      </w:r>
      <w:r w:rsidR="00927D73" w:rsidRPr="009118AB">
        <w:rPr>
          <w:i/>
          <w:iCs/>
        </w:rPr>
        <w:t>8 Buchstabe </w:t>
      </w:r>
      <w:r w:rsidR="00DF2981" w:rsidRPr="009118AB">
        <w:rPr>
          <w:i/>
          <w:iCs/>
        </w:rPr>
        <w:t xml:space="preserve">e) des G. vom 24. März 2015 (B.S. vom </w:t>
      </w:r>
      <w:r w:rsidR="00DF2981" w:rsidRPr="009118AB">
        <w:rPr>
          <w:rFonts w:ascii="Times New Roman Italique" w:hAnsi="Times New Roman Italique"/>
          <w:i/>
          <w:iCs/>
          <w:spacing w:val="-2"/>
        </w:rPr>
        <w:t>2. April 2015)</w:t>
      </w:r>
      <w:r w:rsidR="00D67EB8" w:rsidRPr="009118AB">
        <w:rPr>
          <w:rFonts w:ascii="Times New Roman Italique" w:hAnsi="Times New Roman Italique"/>
          <w:i/>
          <w:iCs/>
          <w:spacing w:val="-2"/>
        </w:rPr>
        <w:t> - </w:t>
      </w:r>
      <w:r w:rsidR="00DF2981" w:rsidRPr="009118AB">
        <w:rPr>
          <w:rFonts w:ascii="Times New Roman Italique" w:hAnsi="Times New Roman Italique"/>
          <w:i/>
          <w:iCs/>
          <w:spacing w:val="-2"/>
        </w:rPr>
        <w:t>in Kraft am 2. April 2015</w:t>
      </w:r>
      <w:r w:rsidR="00D67EB8" w:rsidRPr="009118AB">
        <w:rPr>
          <w:rFonts w:ascii="Times New Roman Italique" w:hAnsi="Times New Roman Italique"/>
          <w:i/>
          <w:iCs/>
          <w:spacing w:val="-2"/>
        </w:rPr>
        <w:t> - </w:t>
      </w:r>
      <w:r w:rsidR="008F764C"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8F764C" w:rsidRPr="009118AB">
        <w:rPr>
          <w:rFonts w:ascii="Times New Roman Italique" w:hAnsi="Times New Roman Italique"/>
          <w:i/>
          <w:iCs/>
          <w:spacing w:val="-2"/>
        </w:rPr>
        <w:t>6 Buchstabe z) des G. vom 30.</w:t>
      </w:r>
      <w:r w:rsidR="00B93F9E" w:rsidRPr="009118AB">
        <w:rPr>
          <w:rFonts w:ascii="Times New Roman Italique" w:hAnsi="Times New Roman Italique" w:hint="eastAsia"/>
          <w:i/>
          <w:iCs/>
          <w:spacing w:val="-2"/>
        </w:rPr>
        <w:t> </w:t>
      </w:r>
      <w:r w:rsidR="008F764C" w:rsidRPr="009118AB">
        <w:rPr>
          <w:rFonts w:ascii="Times New Roman Italique" w:hAnsi="Times New Roman Italique"/>
          <w:i/>
          <w:iCs/>
          <w:spacing w:val="-2"/>
        </w:rPr>
        <w:t>Juli 2018 (II) (B.S. vom 10. August 2018)</w:t>
      </w:r>
      <w:r w:rsidR="00D67EB8" w:rsidRPr="009118AB">
        <w:rPr>
          <w:rFonts w:ascii="Times New Roman Italique" w:hAnsi="Times New Roman Italique"/>
          <w:i/>
          <w:iCs/>
          <w:spacing w:val="-2"/>
        </w:rPr>
        <w:t> - </w:t>
      </w:r>
      <w:r w:rsidR="008F764C" w:rsidRPr="009118AB">
        <w:rPr>
          <w:i/>
          <w:iCs/>
          <w:spacing w:val="-2"/>
        </w:rPr>
        <w:t>in Kraft am 1. September 2018 und anwendbar auf Investitionen, für die ein Formular eingereicht wird</w:t>
      </w:r>
      <w:r w:rsidR="003366D9" w:rsidRPr="009118AB">
        <w:rPr>
          <w:i/>
          <w:iCs/>
          <w:spacing w:val="-2"/>
        </w:rPr>
        <w:t> -;</w:t>
      </w:r>
      <w:r w:rsidR="00B50219"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B50219" w:rsidRPr="009118AB">
        <w:rPr>
          <w:rFonts w:ascii="Times New Roman Italique" w:hAnsi="Times New Roman Italique"/>
          <w:i/>
          <w:iCs/>
          <w:spacing w:val="-2"/>
        </w:rPr>
        <w:t xml:space="preserve">5 </w:t>
      </w:r>
      <w:r w:rsidR="00D67EB8" w:rsidRPr="009118AB">
        <w:rPr>
          <w:rFonts w:ascii="Times New Roman Italique" w:hAnsi="Times New Roman Italique"/>
          <w:i/>
          <w:iCs/>
          <w:spacing w:val="-2"/>
        </w:rPr>
        <w:t>Abs. </w:t>
      </w:r>
      <w:r w:rsidR="008F764C" w:rsidRPr="009118AB">
        <w:rPr>
          <w:rFonts w:ascii="Times New Roman Italique" w:hAnsi="Times New Roman Italique"/>
          <w:i/>
          <w:iCs/>
          <w:spacing w:val="-2"/>
        </w:rPr>
        <w:t>6</w:t>
      </w:r>
      <w:r w:rsidR="00B50219"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00B50219" w:rsidRPr="009118AB">
        <w:rPr>
          <w:rFonts w:ascii="Times New Roman Italique" w:hAnsi="Times New Roman Italique"/>
          <w:i/>
          <w:iCs/>
          <w:spacing w:val="-2"/>
        </w:rPr>
        <w:t>8 Buchstabe</w:t>
      </w:r>
      <w:r w:rsidR="00B50219" w:rsidRPr="009118AB">
        <w:rPr>
          <w:rFonts w:ascii="Times New Roman Italique" w:hAnsi="Times New Roman Italique" w:hint="eastAsia"/>
          <w:i/>
          <w:iCs/>
          <w:spacing w:val="-2"/>
        </w:rPr>
        <w:t> </w:t>
      </w:r>
      <w:r w:rsidR="00B50219" w:rsidRPr="009118AB">
        <w:rPr>
          <w:rFonts w:ascii="Times New Roman Italique" w:hAnsi="Times New Roman Italique"/>
          <w:i/>
          <w:iCs/>
          <w:spacing w:val="-2"/>
        </w:rPr>
        <w:t>f) des G. vom 24. März 2015 (B.S. vom 2. April 2015)</w:t>
      </w:r>
      <w:r w:rsidR="00D67EB8" w:rsidRPr="009118AB">
        <w:rPr>
          <w:rFonts w:ascii="Times New Roman Italique" w:hAnsi="Times New Roman Italique"/>
          <w:i/>
          <w:iCs/>
          <w:spacing w:val="-2"/>
        </w:rPr>
        <w:t> - </w:t>
      </w:r>
      <w:r w:rsidR="00B50219" w:rsidRPr="009118AB">
        <w:rPr>
          <w:rFonts w:ascii="Times New Roman Italique" w:hAnsi="Times New Roman Italique"/>
          <w:i/>
          <w:iCs/>
          <w:spacing w:val="-2"/>
        </w:rPr>
        <w:t>in Kraft am 2. April 2015</w:t>
      </w:r>
      <w:r w:rsidR="00D67EB8" w:rsidRPr="009118AB">
        <w:rPr>
          <w:rFonts w:ascii="Times New Roman Italique" w:hAnsi="Times New Roman Italique"/>
          <w:i/>
          <w:iCs/>
          <w:spacing w:val="-2"/>
        </w:rPr>
        <w:t> - </w:t>
      </w:r>
      <w:r w:rsidR="008F764C" w:rsidRPr="009118AB">
        <w:rPr>
          <w:rFonts w:ascii="Times New Roman Italique" w:hAnsi="Times New Roman Italique"/>
          <w:i/>
          <w:iCs/>
          <w:spacing w:val="-2"/>
        </w:rPr>
        <w:t xml:space="preserve">und </w:t>
      </w:r>
      <w:r w:rsidR="00505536" w:rsidRPr="009118AB">
        <w:rPr>
          <w:rFonts w:ascii="Times New Roman Italique" w:hAnsi="Times New Roman Italique"/>
          <w:i/>
          <w:iCs/>
          <w:spacing w:val="-2"/>
        </w:rPr>
        <w:t>ersetzt</w:t>
      </w:r>
      <w:r w:rsidR="008F764C" w:rsidRPr="009118AB">
        <w:rPr>
          <w:rFonts w:ascii="Times New Roman Italique" w:hAnsi="Times New Roman Italique"/>
          <w:i/>
          <w:iCs/>
          <w:spacing w:val="-2"/>
        </w:rPr>
        <w:t xml:space="preserve"> durch </w:t>
      </w:r>
      <w:r w:rsidR="00D67EB8" w:rsidRPr="009118AB">
        <w:rPr>
          <w:rFonts w:ascii="Times New Roman Italique" w:hAnsi="Times New Roman Italique"/>
          <w:i/>
          <w:iCs/>
          <w:spacing w:val="-2"/>
        </w:rPr>
        <w:t>Art. </w:t>
      </w:r>
      <w:r w:rsidR="008F764C" w:rsidRPr="009118AB">
        <w:rPr>
          <w:rFonts w:ascii="Times New Roman Italique" w:hAnsi="Times New Roman Italique"/>
          <w:i/>
          <w:iCs/>
          <w:spacing w:val="-2"/>
        </w:rPr>
        <w:t>6 Buchstabe z1) des G. vom 30. Juli 2018 (II) (B.S. vom 10. August 2018)</w:t>
      </w:r>
      <w:r w:rsidR="00D67EB8" w:rsidRPr="009118AB">
        <w:rPr>
          <w:rFonts w:ascii="Times New Roman Italique" w:hAnsi="Times New Roman Italique"/>
          <w:i/>
          <w:iCs/>
          <w:spacing w:val="-2"/>
        </w:rPr>
        <w:t> - </w:t>
      </w:r>
      <w:r w:rsidR="008F764C" w:rsidRPr="009118AB">
        <w:rPr>
          <w:i/>
          <w:iCs/>
          <w:spacing w:val="-2"/>
        </w:rPr>
        <w:t>in Kraft am 1. September 2018 und anwendbar auf Investitionen, für die ein Formular eingereicht wird</w:t>
      </w:r>
      <w:r w:rsidR="003366D9" w:rsidRPr="009118AB">
        <w:rPr>
          <w:i/>
          <w:iCs/>
          <w:spacing w:val="-2"/>
        </w:rPr>
        <w:t> -;</w:t>
      </w:r>
      <w:r w:rsidR="00A500E1"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A500E1" w:rsidRPr="009118AB">
        <w:rPr>
          <w:rFonts w:ascii="Times New Roman Italique" w:hAnsi="Times New Roman Italique"/>
          <w:i/>
          <w:iCs/>
          <w:spacing w:val="-2"/>
        </w:rPr>
        <w:t xml:space="preserve">5 </w:t>
      </w:r>
      <w:r w:rsidR="00D67EB8" w:rsidRPr="009118AB">
        <w:rPr>
          <w:rFonts w:ascii="Times New Roman Italique" w:hAnsi="Times New Roman Italique"/>
          <w:i/>
          <w:iCs/>
          <w:spacing w:val="-2"/>
        </w:rPr>
        <w:t>Abs. </w:t>
      </w:r>
      <w:r w:rsidR="00A500E1" w:rsidRPr="009118AB">
        <w:rPr>
          <w:rFonts w:ascii="Times New Roman Italique" w:hAnsi="Times New Roman Italique"/>
          <w:i/>
          <w:iCs/>
          <w:spacing w:val="-2"/>
        </w:rPr>
        <w:t xml:space="preserve">5 eingefügt durch </w:t>
      </w:r>
      <w:r w:rsidR="00D67EB8" w:rsidRPr="009118AB">
        <w:rPr>
          <w:rFonts w:ascii="Times New Roman Italique" w:hAnsi="Times New Roman Italique"/>
          <w:i/>
          <w:iCs/>
          <w:spacing w:val="-2"/>
        </w:rPr>
        <w:t>Art. </w:t>
      </w:r>
      <w:r w:rsidR="00A500E1" w:rsidRPr="009118AB">
        <w:rPr>
          <w:rFonts w:ascii="Times New Roman Italique" w:hAnsi="Times New Roman Italique"/>
          <w:i/>
          <w:iCs/>
          <w:spacing w:val="-2"/>
        </w:rPr>
        <w:t>8 Buchstabe f) des G. vom 24. März 2015 (B.S. vom 2. April 2015)</w:t>
      </w:r>
      <w:r w:rsidR="00D67EB8" w:rsidRPr="009118AB">
        <w:rPr>
          <w:rFonts w:ascii="Times New Roman Italique" w:hAnsi="Times New Roman Italique"/>
          <w:i/>
          <w:iCs/>
          <w:spacing w:val="-2"/>
        </w:rPr>
        <w:t> - </w:t>
      </w:r>
      <w:r w:rsidR="00A500E1" w:rsidRPr="009118AB">
        <w:rPr>
          <w:rFonts w:ascii="Times New Roman Italique" w:hAnsi="Times New Roman Italique"/>
          <w:i/>
          <w:iCs/>
          <w:spacing w:val="-2"/>
        </w:rPr>
        <w:t>in Kraft am 2. April 2015</w:t>
      </w:r>
      <w:r w:rsidR="00D67EB8" w:rsidRPr="009118AB">
        <w:rPr>
          <w:rFonts w:ascii="Times New Roman Italique" w:hAnsi="Times New Roman Italique"/>
          <w:i/>
          <w:iCs/>
          <w:spacing w:val="-2"/>
        </w:rPr>
        <w:t> - </w:t>
      </w:r>
      <w:r w:rsidR="00A500E1" w:rsidRPr="009118AB">
        <w:rPr>
          <w:rFonts w:ascii="Times New Roman Italique" w:hAnsi="Times New Roman Italique"/>
          <w:i/>
          <w:iCs/>
          <w:spacing w:val="-2"/>
        </w:rPr>
        <w:t xml:space="preserve">und aufgehoben durch </w:t>
      </w:r>
      <w:r w:rsidR="00D67EB8" w:rsidRPr="009118AB">
        <w:rPr>
          <w:rFonts w:ascii="Times New Roman Italique" w:hAnsi="Times New Roman Italique"/>
          <w:i/>
          <w:iCs/>
          <w:spacing w:val="-2"/>
        </w:rPr>
        <w:t>Art. </w:t>
      </w:r>
      <w:r w:rsidR="00A500E1" w:rsidRPr="009118AB">
        <w:rPr>
          <w:rFonts w:ascii="Times New Roman Italique" w:hAnsi="Times New Roman Italique"/>
          <w:i/>
          <w:iCs/>
          <w:spacing w:val="-2"/>
        </w:rPr>
        <w:t>12 Buchstabe i)</w:t>
      </w:r>
      <w:r w:rsidR="00A500E1" w:rsidRPr="009118AB">
        <w:rPr>
          <w:i/>
          <w:iCs/>
        </w:rPr>
        <w:t xml:space="preserve"> des G. vom 18. Dezember 2015 (II) (B.S. vom 28. Dezember 2015)</w:t>
      </w:r>
      <w:r w:rsidR="00D67EB8" w:rsidRPr="009118AB">
        <w:rPr>
          <w:i/>
          <w:iCs/>
        </w:rPr>
        <w:t> - </w:t>
      </w:r>
      <w:r w:rsidR="00A500E1" w:rsidRPr="009118AB">
        <w:rPr>
          <w:i/>
          <w:iCs/>
        </w:rPr>
        <w:t>wirksam mit 1. Mai 2015</w:t>
      </w:r>
      <w:r w:rsidR="003366D9" w:rsidRPr="009118AB">
        <w:rPr>
          <w:i/>
          <w:iCs/>
        </w:rPr>
        <w:t> -;</w:t>
      </w:r>
      <w:r w:rsidR="00964971" w:rsidRPr="009118AB">
        <w:rPr>
          <w:i/>
          <w:iCs/>
        </w:rPr>
        <w:t xml:space="preserve"> </w:t>
      </w:r>
      <w:r w:rsidR="00D67EB8" w:rsidRPr="009118AB">
        <w:rPr>
          <w:i/>
          <w:iCs/>
        </w:rPr>
        <w:t>§ </w:t>
      </w:r>
      <w:r w:rsidR="00964971" w:rsidRPr="009118AB">
        <w:rPr>
          <w:i/>
          <w:iCs/>
        </w:rPr>
        <w:t xml:space="preserve">6 eingefügt durch </w:t>
      </w:r>
      <w:r w:rsidR="00D67EB8" w:rsidRPr="009118AB">
        <w:rPr>
          <w:i/>
          <w:iCs/>
        </w:rPr>
        <w:t>Art. </w:t>
      </w:r>
      <w:r w:rsidR="00C92B4A" w:rsidRPr="009118AB">
        <w:rPr>
          <w:i/>
          <w:iCs/>
        </w:rPr>
        <w:t>14</w:t>
      </w:r>
      <w:r w:rsidR="00964971"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964971" w:rsidRPr="009118AB">
        <w:rPr>
          <w:rFonts w:ascii="Times New Roman Italique" w:hAnsi="Times New Roman Italique"/>
          <w:i/>
        </w:rPr>
        <w:t>anwendbar auf die ab dem 1. April 2022 gezahlten oder zuerkannten Entlohnungen</w:t>
      </w:r>
      <w:r w:rsidR="00D67EB8" w:rsidRPr="009118AB">
        <w:rPr>
          <w:rFonts w:ascii="Times New Roman Italique" w:hAnsi="Times New Roman Italique"/>
          <w:i/>
        </w:rPr>
        <w:t> - </w:t>
      </w:r>
    </w:p>
    <w:p w14:paraId="6119106D" w14:textId="77777777" w:rsidR="00994E62" w:rsidRPr="009118AB" w:rsidRDefault="00994E62" w:rsidP="003C0F4B">
      <w:pPr>
        <w:autoSpaceDE w:val="0"/>
        <w:autoSpaceDN w:val="0"/>
        <w:adjustRightInd w:val="0"/>
        <w:jc w:val="both"/>
      </w:pPr>
    </w:p>
    <w:p w14:paraId="19981000" w14:textId="77777777" w:rsidR="008C77EB" w:rsidRPr="009118AB" w:rsidRDefault="008C77EB" w:rsidP="003C0F4B">
      <w:pPr>
        <w:autoSpaceDE w:val="0"/>
        <w:autoSpaceDN w:val="0"/>
        <w:adjustRightInd w:val="0"/>
        <w:jc w:val="both"/>
      </w:pPr>
    </w:p>
    <w:p w14:paraId="79AA80C6" w14:textId="3C7ACAEB" w:rsidR="0087727A" w:rsidRPr="009118AB" w:rsidRDefault="0087727A" w:rsidP="0087727A">
      <w:pPr>
        <w:jc w:val="both"/>
      </w:pPr>
      <w:r w:rsidRPr="009118AB">
        <w:rPr>
          <w:iCs/>
        </w:rPr>
        <w:tab/>
        <w:t>[</w:t>
      </w:r>
      <w:r w:rsidR="00D67EB8" w:rsidRPr="009118AB">
        <w:rPr>
          <w:b/>
        </w:rPr>
        <w:t>Art. </w:t>
      </w:r>
      <w:r w:rsidRPr="009118AB">
        <w:rPr>
          <w:b/>
        </w:rPr>
        <w:t>275</w:t>
      </w:r>
      <w:r w:rsidRPr="009118AB">
        <w:rPr>
          <w:b/>
          <w:vertAlign w:val="superscript"/>
        </w:rPr>
        <w:t>9</w:t>
      </w:r>
      <w:r w:rsidR="00833979" w:rsidRPr="009118AB">
        <w:rPr>
          <w:b/>
          <w:vertAlign w:val="superscript"/>
        </w:rPr>
        <w:t xml:space="preserve"> </w:t>
      </w:r>
      <w:r w:rsidRPr="009118AB">
        <w:t>- </w:t>
      </w:r>
      <w:r w:rsidR="00D67EB8" w:rsidRPr="009118AB">
        <w:t>§ </w:t>
      </w:r>
      <w:r w:rsidRPr="009118AB">
        <w:t>1</w:t>
      </w:r>
      <w:r w:rsidR="00D67EB8" w:rsidRPr="009118AB">
        <w:t> - </w:t>
      </w:r>
      <w:r w:rsidRPr="009118AB">
        <w:t xml:space="preserve">In </w:t>
      </w:r>
      <w:r w:rsidR="00D67EB8" w:rsidRPr="009118AB">
        <w:t>§ </w:t>
      </w:r>
      <w:r w:rsidRPr="009118AB">
        <w:t xml:space="preserve">2 erwähnte Arbeitgeber, die eine in </w:t>
      </w:r>
      <w:r w:rsidR="00D67EB8" w:rsidRPr="009118AB">
        <w:t>§ </w:t>
      </w:r>
      <w:r w:rsidRPr="009118AB">
        <w:t xml:space="preserve">3 erwähnte Investition </w:t>
      </w:r>
      <w:r w:rsidR="00574AFF" w:rsidRPr="009118AB">
        <w:t>[</w:t>
      </w:r>
      <w:r w:rsidR="00574AFF" w:rsidRPr="009118AB">
        <w:rPr>
          <w:rFonts w:eastAsia="Calibri"/>
          <w:kern w:val="2"/>
          <w:szCs w:val="22"/>
          <w:lang w:eastAsia="en-US"/>
          <w14:ligatures w14:val="standardContextual"/>
        </w:rPr>
        <w:t>in einer Betriebsstätte tätigen, die zum Zeitpunkt der Vorlage des in § 5 erwähnten Formulars einerseits in einer Förderzone, die im Erlass des Königs zur Ausführung von Artikel 16 des Gesetzes vom 15. Mai 2014 zur Ausführung des Pakts für Wettbewerbsfähigkeit, Beschäftigung und Wirtschaftsbelebung aufgenommen ist, und andererseits in einem Fördergebiet gelegen ist, das gemäß den Leitlinien für Regionalbeihilfen (2021/C 153/01) in der belgischen Fördergebietskarte ausgewiesen ist</w:t>
      </w:r>
      <w:r w:rsidR="00574AFF" w:rsidRPr="009118AB">
        <w:t>]</w:t>
      </w:r>
      <w:r w:rsidRPr="009118AB">
        <w:t>, die ein Formular wie in Artikel 275</w:t>
      </w:r>
      <w:r w:rsidRPr="009118AB">
        <w:rPr>
          <w:vertAlign w:val="superscript"/>
        </w:rPr>
        <w:t>8</w:t>
      </w:r>
      <w:r w:rsidRPr="009118AB">
        <w:t xml:space="preserve"> </w:t>
      </w:r>
      <w:r w:rsidR="00D67EB8" w:rsidRPr="009118AB">
        <w:t>§ </w:t>
      </w:r>
      <w:r w:rsidRPr="009118AB">
        <w:t xml:space="preserve">5 erwähnt rechtsgültig vorgelegt haben, die Entlohnungen zahlen oder zuerkennen und die </w:t>
      </w:r>
      <w:r w:rsidR="004551B4" w:rsidRPr="009118AB">
        <w:t>[</w:t>
      </w:r>
      <w:r w:rsidRPr="009118AB">
        <w:t xml:space="preserve">aufgrund von Artikel 270 </w:t>
      </w:r>
      <w:r w:rsidR="004551B4" w:rsidRPr="009118AB">
        <w:t xml:space="preserve">Absatz 1 </w:t>
      </w:r>
      <w:r w:rsidR="00D67EB8" w:rsidRPr="009118AB">
        <w:t>Nr. </w:t>
      </w:r>
      <w:r w:rsidRPr="009118AB">
        <w:t>1</w:t>
      </w:r>
      <w:r w:rsidR="004551B4" w:rsidRPr="009118AB">
        <w:t>]</w:t>
      </w:r>
      <w:r w:rsidRPr="009118AB">
        <w:t xml:space="preserve"> Berufssteuervorabzug auf diese Entlohnungen schulden, sind zeitweilig von der Zuführung </w:t>
      </w:r>
      <w:r w:rsidR="003D3E52" w:rsidRPr="009118AB">
        <w:t>[von 25 Prozent]</w:t>
      </w:r>
      <w:r w:rsidRPr="009118AB">
        <w:t xml:space="preserve"> des Berufssteuervorabzugs in Bezug auf die in Artikel 275</w:t>
      </w:r>
      <w:r w:rsidRPr="009118AB">
        <w:rPr>
          <w:vertAlign w:val="superscript"/>
        </w:rPr>
        <w:t>8</w:t>
      </w:r>
      <w:r w:rsidRPr="009118AB">
        <w:t xml:space="preserve"> </w:t>
      </w:r>
      <w:r w:rsidR="00D67EB8" w:rsidRPr="009118AB">
        <w:t>§ </w:t>
      </w:r>
      <w:r w:rsidRPr="009118AB">
        <w:t xml:space="preserve">4 erwähnten Entlohnungen an die Staatskasse befreit unter der Bedingung, dass sie die Gesamtheit des vorerwähnten Vorabzugs auf diese Entlohnungen einbehalten. </w:t>
      </w:r>
      <w:r w:rsidR="003D3E52" w:rsidRPr="009118AB">
        <w:t>[…]</w:t>
      </w:r>
    </w:p>
    <w:p w14:paraId="1D1B35A6" w14:textId="77777777" w:rsidR="0087727A" w:rsidRPr="009118AB" w:rsidRDefault="0087727A" w:rsidP="0087727A">
      <w:pPr>
        <w:jc w:val="both"/>
      </w:pPr>
    </w:p>
    <w:p w14:paraId="37E5F5C0" w14:textId="77777777" w:rsidR="0087727A" w:rsidRPr="009118AB" w:rsidRDefault="0087727A" w:rsidP="0087727A">
      <w:pPr>
        <w:jc w:val="both"/>
        <w:rPr>
          <w:spacing w:val="-2"/>
        </w:rPr>
      </w:pPr>
      <w:r w:rsidRPr="009118AB">
        <w:rPr>
          <w:spacing w:val="-2"/>
        </w:rPr>
        <w:tab/>
        <w:t xml:space="preserve">Diese Befreiung von der Zahlung des Berufssteuervorabzugs kann nicht auf steuerpflichtige Entlohnungen von Arbeitnehmern angewandt werden, für die eine andere Befreiung von der Zahlung des Berufssteuervorabzugs </w:t>
      </w:r>
      <w:r w:rsidR="00E42587" w:rsidRPr="009118AB">
        <w:rPr>
          <w:spacing w:val="-2"/>
        </w:rPr>
        <w:t>[wie in den Artikeln 275</w:t>
      </w:r>
      <w:r w:rsidR="00E42587" w:rsidRPr="009118AB">
        <w:rPr>
          <w:spacing w:val="-2"/>
          <w:vertAlign w:val="superscript"/>
        </w:rPr>
        <w:t>2</w:t>
      </w:r>
      <w:r w:rsidR="00E42587" w:rsidRPr="009118AB">
        <w:rPr>
          <w:spacing w:val="-2"/>
        </w:rPr>
        <w:t>, 275</w:t>
      </w:r>
      <w:r w:rsidR="00E42587" w:rsidRPr="009118AB">
        <w:rPr>
          <w:spacing w:val="-2"/>
          <w:vertAlign w:val="superscript"/>
        </w:rPr>
        <w:t>3</w:t>
      </w:r>
      <w:r w:rsidR="00E42587" w:rsidRPr="009118AB">
        <w:rPr>
          <w:spacing w:val="-2"/>
        </w:rPr>
        <w:t>, 275</w:t>
      </w:r>
      <w:r w:rsidR="00E42587" w:rsidRPr="009118AB">
        <w:rPr>
          <w:spacing w:val="-2"/>
          <w:vertAlign w:val="superscript"/>
        </w:rPr>
        <w:t>4</w:t>
      </w:r>
      <w:r w:rsidR="00E42587" w:rsidRPr="009118AB">
        <w:rPr>
          <w:spacing w:val="-2"/>
        </w:rPr>
        <w:t xml:space="preserve"> und 275</w:t>
      </w:r>
      <w:r w:rsidR="00E42587" w:rsidRPr="009118AB">
        <w:rPr>
          <w:spacing w:val="-2"/>
          <w:vertAlign w:val="superscript"/>
        </w:rPr>
        <w:t>6</w:t>
      </w:r>
      <w:r w:rsidR="00E42587" w:rsidRPr="009118AB">
        <w:rPr>
          <w:spacing w:val="-2"/>
        </w:rPr>
        <w:t xml:space="preserve"> erwähnt bereits anwendbar ist, und kann auch nicht auf den Teil der Entlohnungen in Bezug auf die von Arbeitnehmern geleistete Überarbeit wie in Artikel 275</w:t>
      </w:r>
      <w:r w:rsidR="00E42587" w:rsidRPr="009118AB">
        <w:rPr>
          <w:spacing w:val="-2"/>
          <w:vertAlign w:val="superscript"/>
        </w:rPr>
        <w:t>1</w:t>
      </w:r>
      <w:r w:rsidR="00E42587" w:rsidRPr="009118AB">
        <w:rPr>
          <w:spacing w:val="-2"/>
        </w:rPr>
        <w:t xml:space="preserve"> erwähnt angewandt werden]</w:t>
      </w:r>
      <w:r w:rsidRPr="009118AB">
        <w:rPr>
          <w:spacing w:val="-2"/>
        </w:rPr>
        <w:t>.</w:t>
      </w:r>
    </w:p>
    <w:p w14:paraId="0C11956E" w14:textId="77777777" w:rsidR="0087727A" w:rsidRPr="009118AB" w:rsidRDefault="0087727A" w:rsidP="0087727A">
      <w:pPr>
        <w:jc w:val="both"/>
      </w:pPr>
    </w:p>
    <w:p w14:paraId="199E45CD" w14:textId="77777777" w:rsidR="003D3E52" w:rsidRPr="009118AB" w:rsidRDefault="003D3E52" w:rsidP="0087727A">
      <w:pPr>
        <w:jc w:val="both"/>
      </w:pPr>
      <w:r w:rsidRPr="009118AB">
        <w:tab/>
        <w:t xml:space="preserve">[Diese Befreiung von der Zahlung des Berufssteuervorabzugs kann nicht von einem Arbeitgeber angewandt werden, für den infolge eines Beschlusses der Europäischen Kommission zur Feststellung der Unzulässigkeit einer </w:t>
      </w:r>
      <w:r w:rsidR="00E42587" w:rsidRPr="009118AB">
        <w:t>[</w:t>
      </w:r>
      <w:r w:rsidRPr="009118AB">
        <w:t xml:space="preserve">von </w:t>
      </w:r>
      <w:r w:rsidR="00E42587" w:rsidRPr="009118AB">
        <w:t>Belgien]</w:t>
      </w:r>
      <w:r w:rsidRPr="009118AB">
        <w:t xml:space="preserve"> gewährten Beihilfe und ihrer Unvereinbarkeit mit dem Binnenmarkt eine Rückforderungsanordnung besteht.]</w:t>
      </w:r>
    </w:p>
    <w:p w14:paraId="67E87CB9" w14:textId="77777777" w:rsidR="003D3E52" w:rsidRPr="009118AB" w:rsidRDefault="003D3E52" w:rsidP="0087727A">
      <w:pPr>
        <w:jc w:val="both"/>
      </w:pPr>
    </w:p>
    <w:p w14:paraId="5D05A856" w14:textId="77777777" w:rsidR="00E42587" w:rsidRPr="009118AB" w:rsidRDefault="00E42587" w:rsidP="0087727A">
      <w:pPr>
        <w:jc w:val="both"/>
      </w:pPr>
      <w:r w:rsidRPr="009118AB">
        <w:tab/>
        <w:t>[Für die Anwendung von Absatz 1 kann eine Investition, die von einer Gesellschaft getätigt wird, die Teil einer Unternehmensgruppe ist, der auch der Arbeitgeber angehört, als eine vom Arbeitgeber getätigte Investition betrachtet werden. Gegebenenfalls muss der Arbeitgeber den Nachweis erbringen, dass die Bedingungen für die Anwendung des vorliegenden Artikels erfüllt sind, so als ob der Arbeitgeber selbst die Investition getätigt hätte.]</w:t>
      </w:r>
    </w:p>
    <w:p w14:paraId="3D17D0FF" w14:textId="77777777" w:rsidR="00E42587" w:rsidRPr="009118AB" w:rsidRDefault="00E42587" w:rsidP="0087727A">
      <w:pPr>
        <w:jc w:val="both"/>
      </w:pPr>
    </w:p>
    <w:p w14:paraId="55B993BD" w14:textId="56C88C73" w:rsidR="0087727A" w:rsidRPr="009118AB" w:rsidRDefault="0087727A" w:rsidP="0087727A">
      <w:pPr>
        <w:jc w:val="both"/>
      </w:pPr>
      <w:r w:rsidRPr="009118AB">
        <w:tab/>
        <w:t xml:space="preserve">Die Zahlungsbefreiung wird definitiv gewährt, nachdem der Arbeitgeber </w:t>
      </w:r>
      <w:r w:rsidR="00716E15" w:rsidRPr="009118AB">
        <w:t xml:space="preserve">[oder </w:t>
      </w:r>
      <w:r w:rsidR="00E42587" w:rsidRPr="009118AB">
        <w:t>[das</w:t>
      </w:r>
      <w:r w:rsidR="00716E15" w:rsidRPr="009118AB">
        <w:t xml:space="preserve"> in Absatz </w:t>
      </w:r>
      <w:r w:rsidR="00E42587" w:rsidRPr="009118AB">
        <w:t>9</w:t>
      </w:r>
      <w:r w:rsidR="00716E15" w:rsidRPr="009118AB">
        <w:t xml:space="preserve"> erwähnte für Leiharbeit zugelassene Unternehmen]</w:t>
      </w:r>
      <w:r w:rsidR="00E42587" w:rsidRPr="009118AB">
        <w:t>]</w:t>
      </w:r>
      <w:r w:rsidR="00716E15" w:rsidRPr="009118AB">
        <w:t xml:space="preserve"> </w:t>
      </w:r>
      <w:r w:rsidRPr="009118AB">
        <w:t xml:space="preserve">in einer Anlage zu seiner Einkommensteuererklärung in Bezug auf das fünfte Steuerjahr nach dem Steuerjahr, das sich auf den Besteuerungszeitraum bezieht, in dem der infolge der Investition geschaffene neue Arbeitsplatz besetzt wurde, nachgewiesen hat, dass </w:t>
      </w:r>
      <w:r w:rsidR="003D3E52" w:rsidRPr="009118AB">
        <w:t>[dieser neue Arbeitsplatz während eines Zeitraums von mindestens fünf Jahren erhalten geblieben ist und die in Artikel 275</w:t>
      </w:r>
      <w:r w:rsidR="003D3E52" w:rsidRPr="009118AB">
        <w:rPr>
          <w:vertAlign w:val="superscript"/>
        </w:rPr>
        <w:t>8</w:t>
      </w:r>
      <w:r w:rsidR="003D3E52" w:rsidRPr="009118AB">
        <w:t xml:space="preserve"> </w:t>
      </w:r>
      <w:r w:rsidR="00D67EB8" w:rsidRPr="009118AB">
        <w:t>§ </w:t>
      </w:r>
      <w:r w:rsidR="003D3E52" w:rsidRPr="009118AB">
        <w:t>4 Absatz 2 erwähnte Bedingung während dieses Zeitraums erfüllt hat]</w:t>
      </w:r>
      <w:r w:rsidRPr="009118AB">
        <w:t>. Das Muster der Anlage wird von dem für Finanzen zuständigen Minister oder seinem Beauftragten festgelegt.</w:t>
      </w:r>
    </w:p>
    <w:p w14:paraId="4B658FFA" w14:textId="77777777" w:rsidR="0087727A" w:rsidRPr="009118AB" w:rsidRDefault="0087727A" w:rsidP="0087727A">
      <w:pPr>
        <w:jc w:val="both"/>
      </w:pPr>
    </w:p>
    <w:p w14:paraId="12514D41" w14:textId="77777777" w:rsidR="0087727A" w:rsidRPr="009118AB" w:rsidRDefault="0087727A" w:rsidP="0087727A">
      <w:pPr>
        <w:jc w:val="both"/>
      </w:pPr>
      <w:r w:rsidRPr="009118AB">
        <w:tab/>
        <w:t xml:space="preserve">Hat der Arbeitgeber </w:t>
      </w:r>
      <w:r w:rsidR="00716E15" w:rsidRPr="009118AB">
        <w:t xml:space="preserve">[oder </w:t>
      </w:r>
      <w:r w:rsidR="00E42587" w:rsidRPr="009118AB">
        <w:t>[</w:t>
      </w:r>
      <w:r w:rsidR="00716E15" w:rsidRPr="009118AB">
        <w:t>das in Absatz </w:t>
      </w:r>
      <w:r w:rsidR="00E42587" w:rsidRPr="009118AB">
        <w:t>9</w:t>
      </w:r>
      <w:r w:rsidR="00716E15" w:rsidRPr="009118AB">
        <w:t xml:space="preserve"> erwähnte für Leiharbeit zugelassene Unternehmen] </w:t>
      </w:r>
      <w:r w:rsidRPr="009118AB">
        <w:t xml:space="preserve">bei Ablauf </w:t>
      </w:r>
      <w:r w:rsidR="003D3E52" w:rsidRPr="009118AB">
        <w:t>[der in Absatz </w:t>
      </w:r>
      <w:r w:rsidR="00505536" w:rsidRPr="009118AB">
        <w:t>5</w:t>
      </w:r>
      <w:r w:rsidR="003D3E52" w:rsidRPr="009118AB">
        <w:t xml:space="preserve"> erwähnten Frist für die Abgabe der Erklärung]</w:t>
      </w:r>
      <w:r w:rsidRPr="009118AB">
        <w:t xml:space="preserve"> nicht nachgewiesen, dass der neu geschaffene Arbeitsplatz </w:t>
      </w:r>
      <w:r w:rsidR="003D3E52" w:rsidRPr="009118AB">
        <w:t>[während des in Absatz </w:t>
      </w:r>
      <w:r w:rsidR="00B112F8" w:rsidRPr="009118AB">
        <w:t>5</w:t>
      </w:r>
      <w:r w:rsidR="003D3E52" w:rsidRPr="009118AB">
        <w:t xml:space="preserve"> erwähnten Mindesterhaltungszeitraums</w:t>
      </w:r>
      <w:r w:rsidR="00B112F8" w:rsidRPr="009118AB">
        <w:t>]</w:t>
      </w:r>
      <w:r w:rsidR="003D3E52" w:rsidRPr="009118AB">
        <w:t xml:space="preserve"> von fünf Jahren erhalten geblieben ist]</w:t>
      </w:r>
      <w:r w:rsidRPr="009118AB">
        <w:t xml:space="preserve">, gilt der aufgrund von Absatz 1 von der Zahlung befreite Berufssteuervorabzug als geschuldeter Berufssteuervorabzug </w:t>
      </w:r>
      <w:r w:rsidR="006C0D46" w:rsidRPr="009118AB">
        <w:t>[des Monats, in dem der Mindesterhaltungszeitraum abgelaufen ist]</w:t>
      </w:r>
      <w:r w:rsidRPr="009118AB">
        <w:t>.</w:t>
      </w:r>
    </w:p>
    <w:p w14:paraId="540D6B83" w14:textId="77777777" w:rsidR="0087727A" w:rsidRPr="009118AB" w:rsidRDefault="0087727A" w:rsidP="0087727A">
      <w:pPr>
        <w:jc w:val="both"/>
      </w:pPr>
    </w:p>
    <w:p w14:paraId="21E26393" w14:textId="33979C41" w:rsidR="006C0D46" w:rsidRPr="009118AB" w:rsidRDefault="0087727A" w:rsidP="006C0D46">
      <w:pPr>
        <w:jc w:val="both"/>
        <w:rPr>
          <w:spacing w:val="-2"/>
        </w:rPr>
      </w:pPr>
      <w:r w:rsidRPr="009118AB">
        <w:rPr>
          <w:spacing w:val="-2"/>
        </w:rPr>
        <w:tab/>
      </w:r>
      <w:r w:rsidR="006C0D46" w:rsidRPr="009118AB">
        <w:rPr>
          <w:spacing w:val="-2"/>
        </w:rPr>
        <w:t>[Die Zahlungsbefreiung ist pro Investition auf höchstens 7,5 Millionen EUR begrenzt. Dieser Höchstwert wird jedoch um den Gesamtbetrag des Berufssteuervorabzugs, von dessen Zahlung der Arbeitgeber gemäß vorliegendem Artikel befreit war, und um den Gesamtbetrag der Investitionshilfe, die dem Arbeitgeber von einer Region gewährt worden ist, verringert, sofern:</w:t>
      </w:r>
    </w:p>
    <w:p w14:paraId="0512AFDC" w14:textId="77777777" w:rsidR="006C0D46" w:rsidRPr="009118AB" w:rsidRDefault="006C0D46" w:rsidP="006C0D46">
      <w:pPr>
        <w:jc w:val="both"/>
      </w:pPr>
    </w:p>
    <w:p w14:paraId="38F139E7" w14:textId="77777777" w:rsidR="006C0D46" w:rsidRPr="009118AB" w:rsidRDefault="006C0D46" w:rsidP="006C0D46">
      <w:pPr>
        <w:jc w:val="both"/>
      </w:pPr>
      <w:r w:rsidRPr="009118AB">
        <w:tab/>
        <w:t>- diese Befreiung oder Hilfe sich auf eine Investition bezieht, die im selben Verwaltungsbezirk wie die in Absatz 1 erwähnte Investition getätigt wurde, und</w:t>
      </w:r>
    </w:p>
    <w:p w14:paraId="1947287D" w14:textId="77777777" w:rsidR="006C0D46" w:rsidRPr="009118AB" w:rsidRDefault="006C0D46" w:rsidP="006C0D46">
      <w:pPr>
        <w:jc w:val="both"/>
      </w:pPr>
    </w:p>
    <w:p w14:paraId="59E90785" w14:textId="13442919" w:rsidR="0087727A" w:rsidRPr="009118AB" w:rsidRDefault="006C0D46" w:rsidP="006C0D46">
      <w:pPr>
        <w:jc w:val="both"/>
      </w:pPr>
      <w:r w:rsidRPr="009118AB">
        <w:tab/>
        <w:t>- diese Befreiung oder Hilfe eine Investition mit Beginn in einem Zeitraum von drei Jahren vor Beginn der Investition betrifft, deren Datum der Arbeitgeber in dem in Artikel 275</w:t>
      </w:r>
      <w:r w:rsidRPr="009118AB">
        <w:rPr>
          <w:vertAlign w:val="superscript"/>
        </w:rPr>
        <w:t>8</w:t>
      </w:r>
      <w:r w:rsidRPr="009118AB">
        <w:t xml:space="preserve"> </w:t>
      </w:r>
      <w:r w:rsidR="00D67EB8" w:rsidRPr="009118AB">
        <w:t>§ </w:t>
      </w:r>
      <w:r w:rsidRPr="009118AB">
        <w:t>5 erwähnten Formular angegeben hat.]</w:t>
      </w:r>
    </w:p>
    <w:p w14:paraId="5BD2576D" w14:textId="77777777" w:rsidR="006C0D46" w:rsidRPr="009118AB" w:rsidRDefault="006C0D46" w:rsidP="006C0D46">
      <w:pPr>
        <w:jc w:val="both"/>
      </w:pPr>
    </w:p>
    <w:p w14:paraId="2F70CFD5" w14:textId="37FADFED" w:rsidR="006C0D46" w:rsidRPr="009118AB" w:rsidRDefault="006C0D46" w:rsidP="006C0D46">
      <w:pPr>
        <w:jc w:val="both"/>
      </w:pPr>
      <w:r w:rsidRPr="009118AB">
        <w:tab/>
        <w:t xml:space="preserve">[Für die Anwendung von Absatz 6 wird jede Gesellschaft, die im Sinne von </w:t>
      </w:r>
      <w:r w:rsidR="009E1E97" w:rsidRPr="009118AB">
        <w:t xml:space="preserve">[Artikel 1:20 des Gesetzbuches der Gesellschaften und Vereinigungen] </w:t>
      </w:r>
      <w:r w:rsidRPr="009118AB">
        <w:t>mit dem Arbeitgeber verbunden ist, diesem Arbeitgeber gleichgesetzt.</w:t>
      </w:r>
      <w:r w:rsidR="00D41A83" w:rsidRPr="009118AB">
        <w:t>]</w:t>
      </w:r>
    </w:p>
    <w:p w14:paraId="15E1F30D" w14:textId="77777777" w:rsidR="006C0D46" w:rsidRPr="009118AB" w:rsidRDefault="006C0D46" w:rsidP="006C0D46">
      <w:pPr>
        <w:jc w:val="both"/>
      </w:pPr>
    </w:p>
    <w:p w14:paraId="1835F6F1" w14:textId="1ACD5A45" w:rsidR="006C0D46" w:rsidRPr="009118AB" w:rsidRDefault="006C0D46" w:rsidP="006C0D46">
      <w:pPr>
        <w:jc w:val="both"/>
      </w:pPr>
      <w:r w:rsidRPr="009118AB">
        <w:lastRenderedPageBreak/>
        <w:tab/>
      </w:r>
      <w:r w:rsidR="00D41A83" w:rsidRPr="009118AB">
        <w:t>[</w:t>
      </w:r>
      <w:r w:rsidRPr="009118AB">
        <w:t>Ein für Leiharbeit zugelassenes Unternehmen, das einem in Absatz 1 erwähnten Arbeitgeber einen oder mehrere Leiharbeitnehmer zur Verfügung stellt und für diese Leiharbeitnehmer Entlohnungen, die die in Artikel 275</w:t>
      </w:r>
      <w:r w:rsidRPr="009118AB">
        <w:rPr>
          <w:vertAlign w:val="superscript"/>
        </w:rPr>
        <w:t>8</w:t>
      </w:r>
      <w:r w:rsidRPr="009118AB">
        <w:t xml:space="preserve"> </w:t>
      </w:r>
      <w:r w:rsidR="00D67EB8" w:rsidRPr="009118AB">
        <w:t>§ </w:t>
      </w:r>
      <w:r w:rsidRPr="009118AB">
        <w:t xml:space="preserve">4 erwähnten Bedingungen erfüllen, zahlt, </w:t>
      </w:r>
      <w:r w:rsidR="00B112F8" w:rsidRPr="009118AB">
        <w:t>[kann</w:t>
      </w:r>
      <w:r w:rsidR="00D67EB8" w:rsidRPr="009118AB">
        <w:t> - </w:t>
      </w:r>
      <w:r w:rsidR="00B112F8" w:rsidRPr="009118AB">
        <w:t>wenn dieses Unternehmen die Verwaltung vorher auf die vom König bestimmte Weise davon in Kenntnis setzt</w:t>
      </w:r>
      <w:r w:rsidR="00D67EB8" w:rsidRPr="009118AB">
        <w:t> - </w:t>
      </w:r>
      <w:r w:rsidR="00B112F8" w:rsidRPr="009118AB">
        <w:t>anstelle dieses Arbeitgebers]</w:t>
      </w:r>
      <w:r w:rsidRPr="009118AB">
        <w:t xml:space="preserve"> zeitweilig von der Zahlung des Berufssteuervorabzugs befreit werden. In diesem Fall müssen der Arbeitgeber und das für Leiharbeit zugelassene Unternehmen den in Artikel 275</w:t>
      </w:r>
      <w:r w:rsidRPr="009118AB">
        <w:rPr>
          <w:vertAlign w:val="superscript"/>
        </w:rPr>
        <w:t>8</w:t>
      </w:r>
      <w:r w:rsidRPr="009118AB">
        <w:t xml:space="preserve"> </w:t>
      </w:r>
      <w:r w:rsidR="00D67EB8" w:rsidRPr="009118AB">
        <w:t>§ </w:t>
      </w:r>
      <w:r w:rsidRPr="009118AB">
        <w:t>4 Absatz 5 erwähnten Nachweis erbringen.]</w:t>
      </w:r>
    </w:p>
    <w:p w14:paraId="694F3E62" w14:textId="77777777" w:rsidR="0087727A" w:rsidRPr="009118AB" w:rsidRDefault="0087727A" w:rsidP="0087727A">
      <w:pPr>
        <w:jc w:val="both"/>
      </w:pPr>
    </w:p>
    <w:p w14:paraId="201936B5" w14:textId="0A491E62" w:rsidR="00B112F8" w:rsidRPr="009118AB" w:rsidRDefault="00B112F8" w:rsidP="0087727A">
      <w:pPr>
        <w:jc w:val="both"/>
      </w:pPr>
      <w:r w:rsidRPr="009118AB">
        <w:tab/>
        <w:t>[Hat der Arbeitgeber infolge einer Fusion, einer Aufspaltung, eines mit einer Fusion oder einer Aufspaltung gleichgesetzten Vorgangs, einer Einbringung eines Gesamtvermögens oder einer Einbringung eines Teilbetriebs beziehungsweise eines Teils einer Tätigkeit die Nutzung der in Absatz 1 erwähnten Investition auf eine andere Gesellschaft übertragen und hat diese andere Gesellschaft auf die vom König bestimmte Weise unwiderruflich dafür optiert, mit dem in vorliegendem Paragraphen erwähnten Arbeitgeber gleichgesetzt zu werden, wird diese andere Gesellschaft für die Anwendung des vorliegenden Paragraphen und des Artikels 275</w:t>
      </w:r>
      <w:r w:rsidRPr="009118AB">
        <w:rPr>
          <w:vertAlign w:val="superscript"/>
        </w:rPr>
        <w:t>8</w:t>
      </w:r>
      <w:r w:rsidRPr="009118AB">
        <w:t xml:space="preserve"> </w:t>
      </w:r>
      <w:r w:rsidR="00D67EB8" w:rsidRPr="009118AB">
        <w:t>§ </w:t>
      </w:r>
      <w:r w:rsidRPr="009118AB">
        <w:t>4 mit diesem Arbeitgeber gleichgesetzt.]</w:t>
      </w:r>
    </w:p>
    <w:p w14:paraId="02546FF6" w14:textId="77777777" w:rsidR="00B112F8" w:rsidRPr="009118AB" w:rsidRDefault="00B112F8" w:rsidP="0087727A">
      <w:pPr>
        <w:jc w:val="both"/>
      </w:pPr>
    </w:p>
    <w:p w14:paraId="7C57D84D" w14:textId="2E46F6DC" w:rsidR="0087727A" w:rsidRPr="009118AB" w:rsidRDefault="0087727A" w:rsidP="0087727A">
      <w:pPr>
        <w:jc w:val="both"/>
      </w:pPr>
      <w:r w:rsidRPr="009118AB">
        <w:tab/>
      </w:r>
      <w:r w:rsidR="00D67EB8" w:rsidRPr="009118AB">
        <w:t>§ </w:t>
      </w:r>
      <w:r w:rsidRPr="009118AB">
        <w:t>2</w:t>
      </w:r>
      <w:r w:rsidR="00D67EB8" w:rsidRPr="009118AB">
        <w:t> - </w:t>
      </w:r>
      <w:r w:rsidR="002C578B" w:rsidRPr="009118AB">
        <w:t>[Die in vorliegendem Artikel erwähnte Befreiung von der Zahlung des Berufssteuer</w:t>
      </w:r>
      <w:r w:rsidR="002C578B" w:rsidRPr="009118AB">
        <w:softHyphen/>
        <w:t xml:space="preserve">vorabzugs kann nur angewandt werden, wenn der Arbeitgeber oder gegebenenfalls die in </w:t>
      </w:r>
      <w:r w:rsidR="00D67EB8" w:rsidRPr="009118AB">
        <w:t>§ </w:t>
      </w:r>
      <w:r w:rsidR="002C578B" w:rsidRPr="009118AB">
        <w:t xml:space="preserve">1 Absatz 4 erwähnte Gesellschaft, die die Investition getätigt hat, </w:t>
      </w:r>
      <w:r w:rsidR="00574AFF" w:rsidRPr="009118AB">
        <w:t>[</w:t>
      </w:r>
      <w:r w:rsidR="00574AFF" w:rsidRPr="009118AB">
        <w:rPr>
          <w:rFonts w:eastAsia="Calibri"/>
          <w:kern w:val="2"/>
          <w:szCs w:val="22"/>
          <w:lang w:eastAsia="en-US"/>
          <w14:ligatures w14:val="standardContextual"/>
        </w:rPr>
        <w:t>zum Zeitpunkt der Einreichung des Formulars wie in § 5 erwähnt</w:t>
      </w:r>
      <w:r w:rsidR="00574AFF" w:rsidRPr="009118AB">
        <w:t xml:space="preserve">] </w:t>
      </w:r>
      <w:r w:rsidR="002C578B" w:rsidRPr="009118AB">
        <w:t>kein mittleres Unternehmen ist.</w:t>
      </w:r>
      <w:r w:rsidR="006C0D46" w:rsidRPr="009118AB">
        <w:t>]</w:t>
      </w:r>
    </w:p>
    <w:p w14:paraId="5111FB0F" w14:textId="77777777" w:rsidR="00710A6B" w:rsidRPr="009118AB" w:rsidRDefault="00710A6B"/>
    <w:p w14:paraId="39D94D62" w14:textId="596B0D7C" w:rsidR="006C0D46" w:rsidRPr="009118AB" w:rsidRDefault="0087727A" w:rsidP="006C0D46">
      <w:pPr>
        <w:jc w:val="both"/>
      </w:pPr>
      <w:r w:rsidRPr="009118AB">
        <w:tab/>
      </w:r>
      <w:r w:rsidR="002C578B" w:rsidRPr="009118AB">
        <w:t>[Die in vorliegendem Artikel erwähnte Befreiung von der Zahlung des Berufssteuervorabzugs kann nicht von einem Arbeitgeber angewandt werden, der zum Zeitpunkt der Einreichung des Formulars wie in Artikel 275</w:t>
      </w:r>
      <w:r w:rsidR="002C578B" w:rsidRPr="009118AB">
        <w:rPr>
          <w:vertAlign w:val="superscript"/>
        </w:rPr>
        <w:t>8</w:t>
      </w:r>
      <w:r w:rsidR="002C578B" w:rsidRPr="009118AB">
        <w:t xml:space="preserve"> </w:t>
      </w:r>
      <w:r w:rsidR="00D67EB8" w:rsidRPr="009118AB">
        <w:t>§ </w:t>
      </w:r>
      <w:r w:rsidR="002C578B" w:rsidRPr="009118AB">
        <w:t>5 erwähnt ein Unternehmen in Schwierigkeiten ist,]</w:t>
      </w:r>
      <w:r w:rsidR="006C0D46" w:rsidRPr="009118AB">
        <w:t xml:space="preserve"> [oder von einem Arbeitgeber:</w:t>
      </w:r>
    </w:p>
    <w:p w14:paraId="607A87C2" w14:textId="77777777" w:rsidR="006C0D46" w:rsidRPr="009118AB" w:rsidRDefault="006C0D46" w:rsidP="006C0D46">
      <w:pPr>
        <w:jc w:val="both"/>
      </w:pPr>
    </w:p>
    <w:p w14:paraId="57B7118A" w14:textId="15372BBA" w:rsidR="006C0D46" w:rsidRPr="009118AB" w:rsidRDefault="006C0D46" w:rsidP="006C0D46">
      <w:pPr>
        <w:jc w:val="both"/>
      </w:pPr>
      <w:r w:rsidRPr="009118AB">
        <w:tab/>
        <w:t>- für den für die letzten beiden Besteuerungszeiträume vor dem Zeitpunkt der Einreichung des in Artikel 275</w:t>
      </w:r>
      <w:r w:rsidRPr="009118AB">
        <w:rPr>
          <w:vertAlign w:val="superscript"/>
        </w:rPr>
        <w:t>8</w:t>
      </w:r>
      <w:r w:rsidRPr="009118AB">
        <w:t xml:space="preserve"> </w:t>
      </w:r>
      <w:r w:rsidR="00D67EB8" w:rsidRPr="009118AB">
        <w:t>§ </w:t>
      </w:r>
      <w:r w:rsidRPr="009118AB">
        <w:t>5 erwähnten Formulars:</w:t>
      </w:r>
    </w:p>
    <w:p w14:paraId="2528C2D6" w14:textId="77777777" w:rsidR="006C0D46" w:rsidRPr="009118AB" w:rsidRDefault="006C0D46" w:rsidP="006C0D46">
      <w:pPr>
        <w:jc w:val="both"/>
      </w:pPr>
    </w:p>
    <w:p w14:paraId="27C74E35" w14:textId="04501AF2" w:rsidR="006C0D46" w:rsidRPr="009118AB" w:rsidRDefault="006C0D46" w:rsidP="006C0D46">
      <w:pPr>
        <w:jc w:val="both"/>
      </w:pPr>
      <w:r w:rsidRPr="009118AB">
        <w:tab/>
        <w:t xml:space="preserve">1. der Gesamtbetrag der in </w:t>
      </w:r>
      <w:r w:rsidR="00AC2D61" w:rsidRPr="009118AB">
        <w:t>[Anlage 3 zum Königlichen Erlass vom 29. April 2019 zur Ausführung des Gesetzbuches der Gesellschaften und Vereinigungen]</w:t>
      </w:r>
      <w:r w:rsidRPr="009118AB">
        <w:t xml:space="preserve"> erwähnten Verbindlichkeiten den Gesamtbetrag des in demselben Artikel erwähnten Eigenkapitals siebeneinhalbmal überschritten hat, und</w:t>
      </w:r>
    </w:p>
    <w:p w14:paraId="240FFF27" w14:textId="77777777" w:rsidR="006C0D46" w:rsidRPr="009118AB" w:rsidRDefault="006C0D46" w:rsidP="006C0D46">
      <w:pPr>
        <w:jc w:val="both"/>
      </w:pPr>
    </w:p>
    <w:p w14:paraId="14BC41FA" w14:textId="36654DFE" w:rsidR="0087727A" w:rsidRPr="009118AB" w:rsidRDefault="006C0D46" w:rsidP="006C0D46">
      <w:pPr>
        <w:jc w:val="both"/>
      </w:pPr>
      <w:r w:rsidRPr="009118AB">
        <w:tab/>
        <w:t xml:space="preserve">2. der in </w:t>
      </w:r>
      <w:r w:rsidR="00AC2D61" w:rsidRPr="009118AB">
        <w:t>[Anlage 3 zu demselben Erlass]</w:t>
      </w:r>
      <w:r w:rsidRPr="009118AB">
        <w:t xml:space="preserve"> im Posten "Aufwendungen für Verbindlichkeiten" vermerkte Betrag, verringert um den in demselben Artikel im Posten "Erträge aus Finanzanlagen" vermerkten Betrag, höher ist als das EBITDA]</w:t>
      </w:r>
      <w:r w:rsidR="003A2A79" w:rsidRPr="009118AB">
        <w:t>.</w:t>
      </w:r>
    </w:p>
    <w:p w14:paraId="0B1E9E08" w14:textId="77777777" w:rsidR="00574AFF" w:rsidRPr="009118AB" w:rsidRDefault="00574AFF" w:rsidP="006C0D46">
      <w:pPr>
        <w:jc w:val="both"/>
      </w:pPr>
    </w:p>
    <w:p w14:paraId="51981506" w14:textId="1B23249B" w:rsidR="00AC2D61" w:rsidRPr="009118AB" w:rsidRDefault="006C0D46" w:rsidP="00AC2D61">
      <w:pPr>
        <w:jc w:val="both"/>
      </w:pPr>
      <w:r w:rsidRPr="009118AB">
        <w:tab/>
        <w:t>[</w:t>
      </w:r>
      <w:r w:rsidR="00AC2D61" w:rsidRPr="009118AB">
        <w:t>Das EBITDA wird festgelegt durch den in Artikel 3:82 XIV und in Anlage 3 zu demselben Erlass erwähnten Posten "Gewinn (Verlust) des Geschäftsjahres vor Steuern" (Code 9903), der je nachdem, ob es sich um Aufwendungen oder Erträge handelt, um folgende in demselben Artikel erwähnte Posten erhöht oder verringert wird:</w:t>
      </w:r>
    </w:p>
    <w:p w14:paraId="526B6656" w14:textId="77777777" w:rsidR="00AC2D61" w:rsidRPr="009118AB" w:rsidRDefault="00AC2D61" w:rsidP="00AC2D61">
      <w:pPr>
        <w:jc w:val="both"/>
      </w:pPr>
    </w:p>
    <w:p w14:paraId="7D41E54D" w14:textId="77777777" w:rsidR="00AC2D61" w:rsidRPr="009118AB" w:rsidRDefault="00AC2D61" w:rsidP="00AC2D61">
      <w:pPr>
        <w:jc w:val="both"/>
      </w:pPr>
      <w:r w:rsidRPr="009118AB">
        <w:tab/>
        <w:t>- Abschreibungen und Wertminderungen auf Aufwendungen für die Errichtung und Erweiterung des Unternehmens, auf immaterielle Anlagewerte und Sachanlagen (Code 630),</w:t>
      </w:r>
    </w:p>
    <w:p w14:paraId="6406C909" w14:textId="77777777" w:rsidR="00AC2D61" w:rsidRPr="009118AB" w:rsidRDefault="00AC2D61" w:rsidP="00AC2D61">
      <w:pPr>
        <w:jc w:val="both"/>
      </w:pPr>
    </w:p>
    <w:p w14:paraId="735B4717" w14:textId="77777777" w:rsidR="00AC2D61" w:rsidRPr="009118AB" w:rsidRDefault="00AC2D61" w:rsidP="00AC2D61">
      <w:pPr>
        <w:jc w:val="both"/>
      </w:pPr>
      <w:r w:rsidRPr="009118AB">
        <w:tab/>
        <w:t>- Wertminderungen von Vorräten, in Ausführung befindlichen Bestellungen und Forderungen aus Lieferungen und Leistungen: Zuführungen (Rücknahmen) (Code 631/4),</w:t>
      </w:r>
    </w:p>
    <w:p w14:paraId="0FC341FB" w14:textId="77777777" w:rsidR="00AC2D61" w:rsidRPr="009118AB" w:rsidRDefault="00AC2D61" w:rsidP="00AC2D61">
      <w:pPr>
        <w:jc w:val="both"/>
      </w:pPr>
    </w:p>
    <w:p w14:paraId="50C70124" w14:textId="77777777" w:rsidR="00AC2D61" w:rsidRPr="009118AB" w:rsidRDefault="00AC2D61" w:rsidP="00AC2D61">
      <w:pPr>
        <w:jc w:val="both"/>
      </w:pPr>
      <w:r w:rsidRPr="009118AB">
        <w:tab/>
        <w:t>- Erträge aus Finanzanlagen (Code 750),</w:t>
      </w:r>
    </w:p>
    <w:p w14:paraId="7D839C70" w14:textId="77777777" w:rsidR="00AC2D61" w:rsidRPr="009118AB" w:rsidRDefault="00AC2D61" w:rsidP="00AC2D61">
      <w:pPr>
        <w:jc w:val="both"/>
      </w:pPr>
    </w:p>
    <w:p w14:paraId="3D157723" w14:textId="77777777" w:rsidR="00AC2D61" w:rsidRPr="009118AB" w:rsidRDefault="00AC2D61" w:rsidP="00AC2D61">
      <w:pPr>
        <w:jc w:val="both"/>
      </w:pPr>
      <w:r w:rsidRPr="009118AB">
        <w:tab/>
        <w:t>- Erträge aus Gegenständen des Umlaufvermögens (Code 751),</w:t>
      </w:r>
    </w:p>
    <w:p w14:paraId="7B885CB1" w14:textId="77777777" w:rsidR="00AC2D61" w:rsidRPr="009118AB" w:rsidRDefault="00AC2D61" w:rsidP="00AC2D61">
      <w:pPr>
        <w:jc w:val="both"/>
      </w:pPr>
    </w:p>
    <w:p w14:paraId="3958F07B" w14:textId="77777777" w:rsidR="00AC2D61" w:rsidRPr="009118AB" w:rsidRDefault="00AC2D61" w:rsidP="00AC2D61">
      <w:pPr>
        <w:jc w:val="both"/>
      </w:pPr>
      <w:r w:rsidRPr="009118AB">
        <w:tab/>
        <w:t>- sonstige Finanzerträge (Code 752/9),</w:t>
      </w:r>
    </w:p>
    <w:p w14:paraId="240E7407" w14:textId="77777777" w:rsidR="00AC2D61" w:rsidRPr="009118AB" w:rsidRDefault="00AC2D61" w:rsidP="00AC2D61">
      <w:pPr>
        <w:jc w:val="both"/>
      </w:pPr>
    </w:p>
    <w:p w14:paraId="5986061C" w14:textId="77777777" w:rsidR="00AC2D61" w:rsidRPr="009118AB" w:rsidRDefault="00AC2D61" w:rsidP="00AC2D61">
      <w:pPr>
        <w:jc w:val="both"/>
      </w:pPr>
      <w:r w:rsidRPr="009118AB">
        <w:tab/>
        <w:t>- Aufwendungen für Verbindlichkeiten (Code 650),</w:t>
      </w:r>
    </w:p>
    <w:p w14:paraId="05A54AA6" w14:textId="77777777" w:rsidR="00AC2D61" w:rsidRPr="009118AB" w:rsidRDefault="00AC2D61" w:rsidP="00AC2D61">
      <w:pPr>
        <w:jc w:val="both"/>
      </w:pPr>
    </w:p>
    <w:p w14:paraId="312D7A0D" w14:textId="77777777" w:rsidR="00AC2D61" w:rsidRPr="009118AB" w:rsidRDefault="00AC2D61" w:rsidP="00AC2D61">
      <w:pPr>
        <w:jc w:val="both"/>
      </w:pPr>
      <w:r w:rsidRPr="009118AB">
        <w:tab/>
        <w:t>- Wertminderungen von Gegenständen des Umlaufvermögens mit Ausnahme der Vorräte, der in Ausführung befindlichen Bestellungen und der Forderungen aus Lieferungen und Leistungen: Zuführungen (Rücknahmen) (Code 651),</w:t>
      </w:r>
    </w:p>
    <w:p w14:paraId="38B023F5" w14:textId="77777777" w:rsidR="00AC2D61" w:rsidRPr="009118AB" w:rsidRDefault="00AC2D61" w:rsidP="00AC2D61">
      <w:pPr>
        <w:jc w:val="both"/>
      </w:pPr>
    </w:p>
    <w:p w14:paraId="586042AC" w14:textId="77777777" w:rsidR="00AC2D61" w:rsidRPr="009118AB" w:rsidRDefault="00AC2D61" w:rsidP="00AC2D61">
      <w:pPr>
        <w:jc w:val="both"/>
      </w:pPr>
      <w:r w:rsidRPr="009118AB">
        <w:tab/>
        <w:t>- sonstige Finanzaufwendungen (Code 652/9),</w:t>
      </w:r>
    </w:p>
    <w:p w14:paraId="7FEAA40F" w14:textId="77777777" w:rsidR="00AC2D61" w:rsidRPr="009118AB" w:rsidRDefault="00AC2D61" w:rsidP="00AC2D61">
      <w:pPr>
        <w:jc w:val="both"/>
      </w:pPr>
    </w:p>
    <w:p w14:paraId="67A4E302" w14:textId="77777777" w:rsidR="00AC2D61" w:rsidRPr="009118AB" w:rsidRDefault="00AC2D61" w:rsidP="00AC2D61">
      <w:pPr>
        <w:jc w:val="both"/>
      </w:pPr>
      <w:r w:rsidRPr="009118AB">
        <w:tab/>
        <w:t>- Rücknahme von Abschreibungen und Wertminderungen auf immaterielle Anlagewerte und Sachanlagen (Code 760),</w:t>
      </w:r>
    </w:p>
    <w:p w14:paraId="3BA5C4D4" w14:textId="77777777" w:rsidR="00AC2D61" w:rsidRPr="009118AB" w:rsidRDefault="00AC2D61" w:rsidP="00AC2D61">
      <w:pPr>
        <w:jc w:val="both"/>
      </w:pPr>
    </w:p>
    <w:p w14:paraId="617CD194" w14:textId="77777777" w:rsidR="00AC2D61" w:rsidRPr="009118AB" w:rsidRDefault="00AC2D61" w:rsidP="00AC2D61">
      <w:pPr>
        <w:jc w:val="both"/>
      </w:pPr>
      <w:r w:rsidRPr="009118AB">
        <w:tab/>
        <w:t>- Rücknahme von Wertminderungen auf Finanzanlagen (Code 761),</w:t>
      </w:r>
    </w:p>
    <w:p w14:paraId="0C810F6F" w14:textId="77777777" w:rsidR="00AC2D61" w:rsidRPr="009118AB" w:rsidRDefault="00AC2D61" w:rsidP="00AC2D61">
      <w:pPr>
        <w:jc w:val="both"/>
      </w:pPr>
    </w:p>
    <w:p w14:paraId="4E39C1AE" w14:textId="77777777" w:rsidR="00AC2D61" w:rsidRPr="009118AB" w:rsidRDefault="00AC2D61" w:rsidP="00AC2D61">
      <w:pPr>
        <w:jc w:val="both"/>
      </w:pPr>
      <w:r w:rsidRPr="009118AB">
        <w:tab/>
        <w:t>- sonstige einmalige Finanzerträge (Code 769),</w:t>
      </w:r>
    </w:p>
    <w:p w14:paraId="18C81E6F" w14:textId="77777777" w:rsidR="00AC2D61" w:rsidRPr="009118AB" w:rsidRDefault="00AC2D61" w:rsidP="00AC2D61">
      <w:pPr>
        <w:jc w:val="both"/>
      </w:pPr>
    </w:p>
    <w:p w14:paraId="50444338" w14:textId="77777777" w:rsidR="00AC2D61" w:rsidRPr="009118AB" w:rsidRDefault="00AC2D61" w:rsidP="00AC2D61">
      <w:pPr>
        <w:jc w:val="both"/>
      </w:pPr>
      <w:r w:rsidRPr="009118AB">
        <w:tab/>
        <w:t>- einmalige Abschreibungen und Wertminderungen auf Aufwendungen für die Errichtung und Erweiterung des Unternehmens, auf immaterielle Anlagewerte und Sachanlagen (Code 660),</w:t>
      </w:r>
    </w:p>
    <w:p w14:paraId="65D38C57" w14:textId="77777777" w:rsidR="00AC2D61" w:rsidRPr="009118AB" w:rsidRDefault="00AC2D61" w:rsidP="00AC2D61">
      <w:pPr>
        <w:jc w:val="both"/>
      </w:pPr>
    </w:p>
    <w:p w14:paraId="7FBBCD01" w14:textId="77777777" w:rsidR="00AC2D61" w:rsidRPr="009118AB" w:rsidRDefault="00AC2D61" w:rsidP="00AC2D61">
      <w:pPr>
        <w:jc w:val="both"/>
      </w:pPr>
      <w:r w:rsidRPr="009118AB">
        <w:tab/>
        <w:t>- Wertminderungen auf Finanzanlagen (Code 661),</w:t>
      </w:r>
    </w:p>
    <w:p w14:paraId="62B492AD" w14:textId="77777777" w:rsidR="00AC2D61" w:rsidRPr="009118AB" w:rsidRDefault="00AC2D61" w:rsidP="00AC2D61">
      <w:pPr>
        <w:jc w:val="both"/>
      </w:pPr>
    </w:p>
    <w:p w14:paraId="2A3FE742" w14:textId="446BE5AB" w:rsidR="006C0D46" w:rsidRPr="009118AB" w:rsidRDefault="00AC2D61" w:rsidP="00AC2D61">
      <w:pPr>
        <w:jc w:val="both"/>
      </w:pPr>
      <w:r w:rsidRPr="009118AB">
        <w:tab/>
        <w:t>- sonstige einmalige Finanzaufwendungen (Code 668).</w:t>
      </w:r>
      <w:r w:rsidR="006C0D46" w:rsidRPr="009118AB">
        <w:t>]</w:t>
      </w:r>
    </w:p>
    <w:p w14:paraId="3A1CCA3E" w14:textId="282DC866" w:rsidR="00016024" w:rsidRPr="009118AB" w:rsidRDefault="00016024"/>
    <w:p w14:paraId="04739444" w14:textId="17D0294C" w:rsidR="0087727A" w:rsidRPr="009118AB" w:rsidRDefault="0087727A" w:rsidP="0087727A">
      <w:pPr>
        <w:jc w:val="both"/>
      </w:pPr>
      <w:r w:rsidRPr="009118AB">
        <w:tab/>
      </w:r>
      <w:r w:rsidR="00D67EB8" w:rsidRPr="009118AB">
        <w:t>§ </w:t>
      </w:r>
      <w:r w:rsidRPr="009118AB">
        <w:t>3</w:t>
      </w:r>
      <w:r w:rsidR="00D67EB8" w:rsidRPr="009118AB">
        <w:t> - </w:t>
      </w:r>
      <w:r w:rsidR="00716E15" w:rsidRPr="009118AB">
        <w:t>[…]</w:t>
      </w:r>
      <w:r w:rsidRPr="009118AB">
        <w:t xml:space="preserve"> </w:t>
      </w:r>
      <w:r w:rsidR="00716E15" w:rsidRPr="009118AB">
        <w:t xml:space="preserve">[Die in </w:t>
      </w:r>
      <w:r w:rsidR="00D67EB8" w:rsidRPr="009118AB">
        <w:t>§ </w:t>
      </w:r>
      <w:r w:rsidR="00716E15" w:rsidRPr="009118AB">
        <w:t>1 erwähnte Investition kommt nur in Betracht, sofern sie eine Investition in Sachanlagen oder immaterielle Anlagen betrifft:]</w:t>
      </w:r>
    </w:p>
    <w:p w14:paraId="610BAF5F" w14:textId="77777777" w:rsidR="0087727A" w:rsidRPr="009118AB" w:rsidRDefault="0087727A" w:rsidP="0087727A">
      <w:pPr>
        <w:jc w:val="both"/>
      </w:pPr>
    </w:p>
    <w:p w14:paraId="1853B1F8" w14:textId="77777777" w:rsidR="0087727A" w:rsidRPr="009118AB" w:rsidRDefault="0087727A" w:rsidP="0087727A">
      <w:pPr>
        <w:jc w:val="both"/>
      </w:pPr>
      <w:r w:rsidRPr="009118AB">
        <w:tab/>
        <w:t>- bei Errichtung einer neuen Betriebsstätte</w:t>
      </w:r>
    </w:p>
    <w:p w14:paraId="5DDF447E" w14:textId="77777777" w:rsidR="0087727A" w:rsidRPr="009118AB" w:rsidRDefault="0087727A" w:rsidP="0087727A">
      <w:pPr>
        <w:jc w:val="both"/>
      </w:pPr>
    </w:p>
    <w:p w14:paraId="595387F7" w14:textId="77777777" w:rsidR="0087727A" w:rsidRPr="009118AB" w:rsidRDefault="0087727A" w:rsidP="0087727A">
      <w:pPr>
        <w:jc w:val="both"/>
      </w:pPr>
      <w:r w:rsidRPr="009118AB">
        <w:tab/>
        <w:t>- oder bei Diversifizierung der Tätigkeit einer Betriebsstätte, sofern die neue Tätigkeit mit der vorher in der Betriebsstätte ausgeübten Tätigkeit weder identisch noch vergleichbar ist.</w:t>
      </w:r>
    </w:p>
    <w:p w14:paraId="7493E1AC" w14:textId="77777777" w:rsidR="0087727A" w:rsidRPr="009118AB" w:rsidRDefault="0087727A" w:rsidP="0087727A">
      <w:pPr>
        <w:jc w:val="both"/>
      </w:pPr>
    </w:p>
    <w:p w14:paraId="6845869B" w14:textId="77777777" w:rsidR="00873C53" w:rsidRPr="009118AB" w:rsidRDefault="00873C53" w:rsidP="0087727A">
      <w:pPr>
        <w:jc w:val="both"/>
      </w:pPr>
      <w:r w:rsidRPr="009118AB">
        <w:tab/>
        <w:t xml:space="preserve">[Für die Anwendung des vorliegenden Artikels ist unter Betriebsstätte ein Standort zu verstehen, der geografisch anhand einer Adresse identifiziert werden kann und wo mindestens eine Tätigkeit des Unternehmens ausgeübt wird oder werden wird.] </w:t>
      </w:r>
    </w:p>
    <w:p w14:paraId="4E49E3B7" w14:textId="77777777" w:rsidR="00873C53" w:rsidRPr="009118AB" w:rsidRDefault="00873C53" w:rsidP="0087727A">
      <w:pPr>
        <w:jc w:val="both"/>
      </w:pPr>
    </w:p>
    <w:p w14:paraId="03B1C38B" w14:textId="399989FA" w:rsidR="0087727A" w:rsidRPr="009118AB" w:rsidRDefault="0087727A" w:rsidP="0087727A">
      <w:pPr>
        <w:jc w:val="both"/>
      </w:pPr>
      <w:r w:rsidRPr="009118AB">
        <w:tab/>
        <w:t xml:space="preserve">Die in </w:t>
      </w:r>
      <w:r w:rsidR="00D67EB8" w:rsidRPr="009118AB">
        <w:t>§ </w:t>
      </w:r>
      <w:r w:rsidRPr="009118AB">
        <w:t>1 erwähnte Investition kann sich ebenfalls auf eine Übernahme von Sachanlagen oder immateriellen Anlagen wie in Artikel 275</w:t>
      </w:r>
      <w:r w:rsidRPr="009118AB">
        <w:rPr>
          <w:vertAlign w:val="superscript"/>
        </w:rPr>
        <w:t>8</w:t>
      </w:r>
      <w:r w:rsidRPr="009118AB">
        <w:t xml:space="preserve"> </w:t>
      </w:r>
      <w:r w:rsidR="00D67EB8" w:rsidRPr="009118AB">
        <w:t>§ </w:t>
      </w:r>
      <w:r w:rsidRPr="009118AB">
        <w:t>3 Absatz 2 und 3 erwähnt beziehen</w:t>
      </w:r>
      <w:r w:rsidR="00750C4F" w:rsidRPr="009118AB">
        <w:t>[, sofern die neue Tätigkeit mit der Tätigkeit, die vor der Übernahme in der Betriebsstätte ausgeübt wurde, weder identisch noch vergleichbar ist]</w:t>
      </w:r>
      <w:r w:rsidRPr="009118AB">
        <w:t>.</w:t>
      </w:r>
    </w:p>
    <w:p w14:paraId="55A759BA" w14:textId="77777777" w:rsidR="0087727A" w:rsidRPr="009118AB" w:rsidRDefault="0087727A" w:rsidP="0087727A">
      <w:pPr>
        <w:jc w:val="both"/>
      </w:pPr>
    </w:p>
    <w:p w14:paraId="102A112F" w14:textId="3B14A6D8" w:rsidR="003A2A79" w:rsidRPr="009118AB" w:rsidRDefault="003A2A79" w:rsidP="003A2A79">
      <w:pPr>
        <w:jc w:val="both"/>
      </w:pPr>
      <w:r w:rsidRPr="009118AB">
        <w:tab/>
        <w:t xml:space="preserve">[Eine Tätigkeit wird als Tätigkeit angesehen, die mit einer anderen Tätigkeit vergleichbar ist, sofern beide Tätigkeiten derselben Kategorie der statistischen Systematik der Wirtschaftszweige NACE Revision 2 gemäß der Verordnung (EG) </w:t>
      </w:r>
      <w:r w:rsidR="00D67EB8" w:rsidRPr="009118AB">
        <w:t>Nr. </w:t>
      </w:r>
      <w:r w:rsidRPr="009118AB">
        <w:t xml:space="preserve">1893/2006 des </w:t>
      </w:r>
      <w:r w:rsidRPr="009118AB">
        <w:lastRenderedPageBreak/>
        <w:t xml:space="preserve">Europäischen Parlaments und des Rates vom 20. Dezember 2006 zur Aufstellung der statistischen Systematik der Wirtschaftszweige NACE Revision 2 und zur Änderung der Verordnung (EWG) </w:t>
      </w:r>
      <w:r w:rsidR="00D67EB8" w:rsidRPr="009118AB">
        <w:t>Nr. </w:t>
      </w:r>
      <w:r w:rsidRPr="009118AB">
        <w:t>3037/90 des Rates sowie einiger Verordnungen der EG über bestimmte Bereiche der Statistik angehören.</w:t>
      </w:r>
      <w:r w:rsidR="00B112F8" w:rsidRPr="009118AB">
        <w:t>]</w:t>
      </w:r>
    </w:p>
    <w:p w14:paraId="38E1FF08" w14:textId="77777777" w:rsidR="003A2A79" w:rsidRPr="009118AB" w:rsidRDefault="003A2A79" w:rsidP="003A2A79">
      <w:pPr>
        <w:jc w:val="both"/>
      </w:pPr>
    </w:p>
    <w:p w14:paraId="5101B045" w14:textId="4082D49C" w:rsidR="00B112F8" w:rsidRPr="009118AB" w:rsidRDefault="003A2A79" w:rsidP="00B112F8">
      <w:pPr>
        <w:ind w:firstLine="708"/>
        <w:jc w:val="both"/>
      </w:pPr>
      <w:r w:rsidRPr="009118AB">
        <w:tab/>
      </w:r>
      <w:r w:rsidR="00B112F8" w:rsidRPr="009118AB">
        <w:t xml:space="preserve">[Die in </w:t>
      </w:r>
      <w:r w:rsidR="00D67EB8" w:rsidRPr="009118AB">
        <w:t>§ </w:t>
      </w:r>
      <w:r w:rsidR="00B112F8" w:rsidRPr="009118AB">
        <w:t>1 erwähnte Investition ist nicht zulässig, wenn:</w:t>
      </w:r>
    </w:p>
    <w:p w14:paraId="48D42327" w14:textId="77777777" w:rsidR="00B112F8" w:rsidRPr="009118AB" w:rsidRDefault="00B112F8" w:rsidP="00B112F8">
      <w:pPr>
        <w:jc w:val="both"/>
      </w:pPr>
    </w:p>
    <w:p w14:paraId="0D557214" w14:textId="3E2DFB46" w:rsidR="00B112F8" w:rsidRPr="009118AB" w:rsidRDefault="00B112F8" w:rsidP="00B112F8">
      <w:pPr>
        <w:ind w:firstLine="708"/>
        <w:jc w:val="both"/>
      </w:pPr>
      <w:r w:rsidRPr="009118AB">
        <w:t>- diese Investition in einer Betriebsstätte getätigt wird, zu der im Laufe von zwei Jahren vor dem Zeitpunkt, zu dem das in Artikel 275</w:t>
      </w:r>
      <w:r w:rsidRPr="009118AB">
        <w:rPr>
          <w:vertAlign w:val="superscript"/>
        </w:rPr>
        <w:t>8</w:t>
      </w:r>
      <w:r w:rsidRPr="009118AB">
        <w:t xml:space="preserve"> </w:t>
      </w:r>
      <w:r w:rsidR="00D67EB8" w:rsidRPr="009118AB">
        <w:t>§ </w:t>
      </w:r>
      <w:r w:rsidRPr="009118AB">
        <w:t>5 erwähnte Formular eingereicht worden ist, eine Übertragung einer identischen oder einer vergleichbaren Tätigkeit als Tätigkeit, die vom Arbeitgeber in einer anderen Betriebsstätte im Europäischen Wirtschaftsraum ausgeübt wurde, stattgefunden hat, die zumindest teilweise denselben Zwecken dient und der Nachfrage oder dem Bedarf desselben Typs von Kunden gerecht wird, und wobei infolge dieser Übertragung in dieser anderen Betriebsstätte Arbeitsplätze verloren gegangen sind, oder</w:t>
      </w:r>
    </w:p>
    <w:p w14:paraId="220613C1" w14:textId="77777777" w:rsidR="00B112F8" w:rsidRPr="009118AB" w:rsidRDefault="00B112F8" w:rsidP="00B112F8">
      <w:pPr>
        <w:jc w:val="both"/>
      </w:pPr>
    </w:p>
    <w:p w14:paraId="5E308636" w14:textId="002C9C2C" w:rsidR="003A2A79" w:rsidRPr="009118AB" w:rsidRDefault="00B112F8" w:rsidP="00B112F8">
      <w:pPr>
        <w:ind w:firstLine="708"/>
        <w:jc w:val="both"/>
      </w:pPr>
      <w:r w:rsidRPr="009118AB">
        <w:t>- der Arbeitgeber in dem in Artikel 275</w:t>
      </w:r>
      <w:r w:rsidRPr="009118AB">
        <w:rPr>
          <w:vertAlign w:val="superscript"/>
        </w:rPr>
        <w:t>8</w:t>
      </w:r>
      <w:r w:rsidRPr="009118AB">
        <w:t xml:space="preserve"> </w:t>
      </w:r>
      <w:r w:rsidR="00D67EB8" w:rsidRPr="009118AB">
        <w:t>§ </w:t>
      </w:r>
      <w:r w:rsidRPr="009118AB">
        <w:t xml:space="preserve">5 erwähnten Formular nicht seine Absicht angegeben hat, in den beiden Jahren nach Abschluss der in </w:t>
      </w:r>
      <w:r w:rsidR="00D67EB8" w:rsidRPr="009118AB">
        <w:t>§ </w:t>
      </w:r>
      <w:r w:rsidRPr="009118AB">
        <w:t>1 erwähnten Investition keine Übertragung einer identischen oder einer vergleichbaren Tätigkeit als Tätigkeit, die vom Arbeitgeber in einer anderen Betriebsstätte im Europäischen Wirtschaftsraum ausgeübt wurde, vorzunehmen, die zumindest teilweise denselben Zwecken dient und der Nachfrage oder dem Bedarf desselben Typs von Kunden gerecht wird, und wobei infolge dieser Übertragung in dieser anderen Betriebsstätte Arbeitsplätze verloren gehen.</w:t>
      </w:r>
      <w:r w:rsidR="003A2A79" w:rsidRPr="009118AB">
        <w:t>]</w:t>
      </w:r>
    </w:p>
    <w:p w14:paraId="0699C12E" w14:textId="77777777" w:rsidR="003A2A79" w:rsidRPr="009118AB" w:rsidRDefault="003A2A79" w:rsidP="003A2A79">
      <w:pPr>
        <w:jc w:val="both"/>
      </w:pPr>
    </w:p>
    <w:p w14:paraId="083D438A" w14:textId="4130C12D" w:rsidR="003A2A79" w:rsidRPr="009118AB" w:rsidRDefault="0087727A" w:rsidP="003A2A79">
      <w:pPr>
        <w:jc w:val="both"/>
      </w:pPr>
      <w:r w:rsidRPr="009118AB">
        <w:tab/>
        <w:t xml:space="preserve">Vorliegender Artikel ist jedoch nicht auf Investitionen anwendbar, die zu der Ausübung einer Tätigkeit in einem der in </w:t>
      </w:r>
      <w:r w:rsidR="003A2A79" w:rsidRPr="009118AB">
        <w:t>[Artikel 275</w:t>
      </w:r>
      <w:r w:rsidR="003A2A79" w:rsidRPr="009118AB">
        <w:rPr>
          <w:vertAlign w:val="superscript"/>
        </w:rPr>
        <w:t>8</w:t>
      </w:r>
      <w:r w:rsidR="003A2A79" w:rsidRPr="009118AB">
        <w:t xml:space="preserve"> </w:t>
      </w:r>
      <w:r w:rsidR="00D67EB8" w:rsidRPr="009118AB">
        <w:t>§ </w:t>
      </w:r>
      <w:r w:rsidR="003A2A79" w:rsidRPr="009118AB">
        <w:t>3 Absatz 5]</w:t>
      </w:r>
      <w:r w:rsidRPr="009118AB">
        <w:t xml:space="preserve"> erwähnten Sektoren gehören</w:t>
      </w:r>
      <w:r w:rsidR="003A2A79" w:rsidRPr="009118AB">
        <w:t xml:space="preserve"> [oder die zu der Ausübung einer Tätigkeit in einem der folgenden Sektoren gehören:</w:t>
      </w:r>
    </w:p>
    <w:p w14:paraId="3154BC22" w14:textId="77777777" w:rsidR="003A2A79" w:rsidRPr="009118AB" w:rsidRDefault="003A2A79" w:rsidP="003A2A79">
      <w:pPr>
        <w:jc w:val="both"/>
      </w:pPr>
    </w:p>
    <w:p w14:paraId="1AC22445" w14:textId="298999AE" w:rsidR="003A2A79" w:rsidRPr="009118AB" w:rsidRDefault="003A2A79" w:rsidP="003A2A79">
      <w:pPr>
        <w:jc w:val="both"/>
      </w:pPr>
      <w:r w:rsidRPr="009118AB">
        <w:tab/>
        <w:t xml:space="preserve">- Stahlindustrie wie bestimmt in Artikel 2 Unterabsatz 43 der Verordnung (EG) </w:t>
      </w:r>
      <w:r w:rsidR="00D67EB8" w:rsidRPr="009118AB">
        <w:t>Nr. </w:t>
      </w:r>
      <w:r w:rsidRPr="009118AB">
        <w:t>651/2014 der Kommission vom 17. Juni 2014 zur Feststellung der Vereinbarkeit bestimmter Gruppen von Beihilfen mit dem Binnenmarkt in Anwendung der Artikel 107 und 108 des Vertrags über die Arbeitsweise der Europäischen Union,</w:t>
      </w:r>
    </w:p>
    <w:p w14:paraId="24F61C39" w14:textId="77777777" w:rsidR="003A2A79" w:rsidRPr="009118AB" w:rsidRDefault="003A2A79" w:rsidP="003A2A79">
      <w:pPr>
        <w:jc w:val="both"/>
      </w:pPr>
    </w:p>
    <w:p w14:paraId="10A5702E" w14:textId="156E0BCA" w:rsidR="003A2A79" w:rsidRPr="009118AB" w:rsidRDefault="003A2A79" w:rsidP="003A2A79">
      <w:pPr>
        <w:jc w:val="both"/>
      </w:pPr>
      <w:r w:rsidRPr="009118AB">
        <w:tab/>
        <w:t xml:space="preserve">- Kunstfaserindustrie wie bestimmt in Artikel 2 Unterabsatz 44 der vorerwähnten Verordnung (EG) </w:t>
      </w:r>
      <w:r w:rsidR="00D67EB8" w:rsidRPr="009118AB">
        <w:t>Nr. </w:t>
      </w:r>
      <w:r w:rsidRPr="009118AB">
        <w:t>651/2014,</w:t>
      </w:r>
    </w:p>
    <w:p w14:paraId="35CD5467" w14:textId="77777777" w:rsidR="003A2A79" w:rsidRPr="009118AB" w:rsidRDefault="003A2A79" w:rsidP="003A2A79">
      <w:pPr>
        <w:jc w:val="both"/>
      </w:pPr>
    </w:p>
    <w:p w14:paraId="212BB608" w14:textId="251BF6AF" w:rsidR="003A2A79" w:rsidRPr="009118AB" w:rsidRDefault="003A2A79" w:rsidP="003A2A79">
      <w:pPr>
        <w:jc w:val="both"/>
      </w:pPr>
      <w:r w:rsidRPr="009118AB">
        <w:tab/>
        <w:t xml:space="preserve">- Verkehrssektor wie erwähnt in Artikel 2 Unterabsatz 45 der vorerwähnten Verordnung (EG) </w:t>
      </w:r>
      <w:r w:rsidR="00D67EB8" w:rsidRPr="009118AB">
        <w:t>Nr. </w:t>
      </w:r>
      <w:r w:rsidRPr="009118AB">
        <w:t>651/2014, einschließlich der damit verbundenen Infrastrukturen,</w:t>
      </w:r>
    </w:p>
    <w:p w14:paraId="24F316BE" w14:textId="77777777" w:rsidR="003A2A79" w:rsidRPr="009118AB" w:rsidRDefault="003A2A79" w:rsidP="003A2A79">
      <w:pPr>
        <w:jc w:val="both"/>
      </w:pPr>
    </w:p>
    <w:p w14:paraId="1CBC3597" w14:textId="77777777" w:rsidR="003A2A79" w:rsidRPr="009118AB" w:rsidRDefault="003A2A79" w:rsidP="003A2A79">
      <w:pPr>
        <w:jc w:val="both"/>
      </w:pPr>
      <w:r w:rsidRPr="009118AB">
        <w:tab/>
        <w:t>- Luftverkehrssektor und Betrieb von Flughäfen wie in den Leitlinien für staatliche Beihilfe für Flughäfen und Luftverkehrsgesellschaften erwähnt (</w:t>
      </w:r>
      <w:r w:rsidRPr="009118AB">
        <w:rPr>
          <w:i/>
        </w:rPr>
        <w:t>ABl.</w:t>
      </w:r>
      <w:r w:rsidRPr="009118AB">
        <w:t xml:space="preserve"> C 99 vom 4. April 2014, S. 3),</w:t>
      </w:r>
    </w:p>
    <w:p w14:paraId="7B60AF07" w14:textId="77777777" w:rsidR="003A2A79" w:rsidRPr="009118AB" w:rsidRDefault="003A2A79" w:rsidP="003A2A79">
      <w:pPr>
        <w:jc w:val="both"/>
      </w:pPr>
    </w:p>
    <w:p w14:paraId="4727A331" w14:textId="77777777" w:rsidR="003A2A79" w:rsidRPr="009118AB" w:rsidRDefault="003A2A79" w:rsidP="003A2A79">
      <w:pPr>
        <w:jc w:val="both"/>
      </w:pPr>
      <w:r w:rsidRPr="009118AB">
        <w:tab/>
        <w:t>- Sektor der Energieerzeugung, -verteilung und -infrastruktur,</w:t>
      </w:r>
    </w:p>
    <w:p w14:paraId="56AC6E2F" w14:textId="77777777" w:rsidR="003A2A79" w:rsidRPr="009118AB" w:rsidRDefault="003A2A79" w:rsidP="003A2A79">
      <w:pPr>
        <w:jc w:val="both"/>
      </w:pPr>
    </w:p>
    <w:p w14:paraId="300BE3AE" w14:textId="77777777" w:rsidR="003A2A79" w:rsidRPr="009118AB" w:rsidRDefault="003A2A79" w:rsidP="003A2A79">
      <w:pPr>
        <w:jc w:val="both"/>
      </w:pPr>
      <w:r w:rsidRPr="009118AB">
        <w:tab/>
        <w:t>- Schiffbausektor,</w:t>
      </w:r>
    </w:p>
    <w:p w14:paraId="532A658C" w14:textId="77777777" w:rsidR="003A2A79" w:rsidRPr="009118AB" w:rsidRDefault="003A2A79" w:rsidP="003A2A79">
      <w:pPr>
        <w:jc w:val="both"/>
      </w:pPr>
    </w:p>
    <w:p w14:paraId="1C8695CF" w14:textId="15DB2AE2" w:rsidR="0099458F" w:rsidRPr="009118AB" w:rsidRDefault="003A2A79" w:rsidP="003A2A79">
      <w:pPr>
        <w:jc w:val="both"/>
        <w:rPr>
          <w:iCs/>
        </w:rPr>
      </w:pPr>
      <w:r w:rsidRPr="009118AB">
        <w:tab/>
        <w:t xml:space="preserve">- Gewinnung von Steinkohle oder Kohle wie in Artikel 2 Unterabsatz 13 der vorerwähnten Verordnung (EG) </w:t>
      </w:r>
      <w:r w:rsidR="00D67EB8" w:rsidRPr="009118AB">
        <w:t>Nr. </w:t>
      </w:r>
      <w:r w:rsidRPr="009118AB">
        <w:t>651/2014 bestimmt].</w:t>
      </w:r>
      <w:r w:rsidR="0087727A" w:rsidRPr="009118AB">
        <w:rPr>
          <w:iCs/>
        </w:rPr>
        <w:t>]</w:t>
      </w:r>
    </w:p>
    <w:p w14:paraId="4A80DFDA" w14:textId="77777777" w:rsidR="00964971" w:rsidRPr="009118AB" w:rsidRDefault="00964971" w:rsidP="003A2A79">
      <w:pPr>
        <w:jc w:val="both"/>
        <w:rPr>
          <w:iCs/>
        </w:rPr>
      </w:pPr>
    </w:p>
    <w:p w14:paraId="445DADF4" w14:textId="5ED59561" w:rsidR="00964971" w:rsidRPr="009118AB" w:rsidRDefault="00964971" w:rsidP="003A2A79">
      <w:pPr>
        <w:jc w:val="both"/>
        <w:rPr>
          <w:iCs/>
        </w:rPr>
      </w:pPr>
      <w:r w:rsidRPr="009118AB">
        <w:rPr>
          <w:iCs/>
        </w:rPr>
        <w:lastRenderedPageBreak/>
        <w:tab/>
        <w:t>[</w:t>
      </w:r>
      <w:r w:rsidR="00D67EB8" w:rsidRPr="009118AB">
        <w:t>§ </w:t>
      </w:r>
      <w:r w:rsidRPr="009118AB">
        <w:t>4</w:t>
      </w:r>
      <w:r w:rsidR="00D67EB8" w:rsidRPr="009118AB">
        <w:t> - </w:t>
      </w:r>
      <w:r w:rsidRPr="009118AB">
        <w:t xml:space="preserve">Die in </w:t>
      </w:r>
      <w:r w:rsidR="00D67EB8" w:rsidRPr="009118AB">
        <w:t>§ </w:t>
      </w:r>
      <w:r w:rsidRPr="009118AB">
        <w:t>1 erwähnte Befreiung von der Zahlung des Berufssteuervorabzugs kann nicht auf den Berufssteuervorabzug angewandt werden, der zusätzlich zu dem verordnungsgemäßen Mindestbetrag des geschuldeten Berufssteuervorabzugs einbehalten wird.</w:t>
      </w:r>
      <w:r w:rsidRPr="009118AB">
        <w:rPr>
          <w:iCs/>
        </w:rPr>
        <w:t>]</w:t>
      </w:r>
    </w:p>
    <w:p w14:paraId="722DF9E4" w14:textId="77777777" w:rsidR="0087727A" w:rsidRPr="009118AB" w:rsidRDefault="0087727A" w:rsidP="0087727A">
      <w:pPr>
        <w:jc w:val="both"/>
        <w:rPr>
          <w:iCs/>
        </w:rPr>
      </w:pPr>
    </w:p>
    <w:p w14:paraId="68D89BE8" w14:textId="6D4C290E" w:rsidR="0087727A" w:rsidRPr="009118AB" w:rsidRDefault="0087727A" w:rsidP="0087727A">
      <w:pPr>
        <w:jc w:val="both"/>
        <w:rPr>
          <w:i/>
          <w:iCs/>
        </w:rPr>
      </w:pPr>
      <w:r w:rsidRPr="009118AB">
        <w:rPr>
          <w:i/>
          <w:iCs/>
        </w:rPr>
        <w:t>[</w:t>
      </w:r>
      <w:r w:rsidR="00D67EB8" w:rsidRPr="009118AB">
        <w:rPr>
          <w:i/>
          <w:iCs/>
        </w:rPr>
        <w:t>Art. </w:t>
      </w:r>
      <w:r w:rsidRPr="009118AB">
        <w:rPr>
          <w:i/>
          <w:iCs/>
        </w:rPr>
        <w:t>275</w:t>
      </w:r>
      <w:r w:rsidRPr="009118AB">
        <w:rPr>
          <w:i/>
          <w:iCs/>
          <w:vertAlign w:val="superscript"/>
        </w:rPr>
        <w:t>9</w:t>
      </w:r>
      <w:r w:rsidRPr="009118AB">
        <w:rPr>
          <w:i/>
          <w:iCs/>
        </w:rPr>
        <w:t xml:space="preserve"> eingefügt durch </w:t>
      </w:r>
      <w:r w:rsidR="00D67EB8" w:rsidRPr="009118AB">
        <w:rPr>
          <w:i/>
          <w:iCs/>
        </w:rPr>
        <w:t>Art. </w:t>
      </w:r>
      <w:r w:rsidRPr="009118AB">
        <w:rPr>
          <w:i/>
          <w:iCs/>
        </w:rPr>
        <w:t>19 des G. vom 15. Mai 2014 (B.S. vom 22. Mai 2014)</w:t>
      </w:r>
      <w:r w:rsidR="00AA3356" w:rsidRPr="009118AB">
        <w:rPr>
          <w:i/>
          <w:iCs/>
        </w:rPr>
        <w:t xml:space="preserve">; </w:t>
      </w:r>
      <w:r w:rsidR="00D67EB8" w:rsidRPr="009118AB">
        <w:rPr>
          <w:i/>
          <w:iCs/>
        </w:rPr>
        <w:t>§ </w:t>
      </w:r>
      <w:r w:rsidR="00AA3356" w:rsidRPr="009118AB">
        <w:rPr>
          <w:i/>
          <w:iCs/>
        </w:rPr>
        <w:t xml:space="preserve">1 </w:t>
      </w:r>
      <w:r w:rsidR="00D67EB8" w:rsidRPr="009118AB">
        <w:rPr>
          <w:i/>
          <w:iCs/>
        </w:rPr>
        <w:t>Abs. </w:t>
      </w:r>
      <w:r w:rsidR="00AA3356" w:rsidRPr="009118AB">
        <w:rPr>
          <w:i/>
          <w:iCs/>
        </w:rPr>
        <w:t xml:space="preserve">1 abgeändert durch </w:t>
      </w:r>
      <w:r w:rsidR="00D67EB8" w:rsidRPr="009118AB">
        <w:rPr>
          <w:i/>
          <w:iCs/>
        </w:rPr>
        <w:t>Art. </w:t>
      </w:r>
      <w:r w:rsidR="00AA3356" w:rsidRPr="009118AB">
        <w:rPr>
          <w:i/>
          <w:iCs/>
        </w:rPr>
        <w:t xml:space="preserve">9 Buchstabe a) und b) des G. vom 24. März 2015 (B.S. vom </w:t>
      </w:r>
      <w:r w:rsidR="00AA3356" w:rsidRPr="009118AB">
        <w:rPr>
          <w:rFonts w:ascii="Times New Roman Italique" w:hAnsi="Times New Roman Italique"/>
          <w:i/>
          <w:iCs/>
          <w:spacing w:val="-2"/>
        </w:rPr>
        <w:t>2. April 2015)</w:t>
      </w:r>
      <w:r w:rsidR="00D67EB8" w:rsidRPr="009118AB">
        <w:rPr>
          <w:rFonts w:ascii="Times New Roman Italique" w:hAnsi="Times New Roman Italique"/>
          <w:i/>
          <w:iCs/>
          <w:spacing w:val="-2"/>
        </w:rPr>
        <w:t> - </w:t>
      </w:r>
      <w:r w:rsidR="00AA3356" w:rsidRPr="009118AB">
        <w:rPr>
          <w:rFonts w:ascii="Times New Roman Italique" w:hAnsi="Times New Roman Italique"/>
          <w:i/>
          <w:iCs/>
          <w:spacing w:val="-2"/>
        </w:rPr>
        <w:t>in Kraft am 2. April 2015</w:t>
      </w:r>
      <w:r w:rsidR="00D67EB8" w:rsidRPr="009118AB">
        <w:rPr>
          <w:rFonts w:ascii="Times New Roman Italique" w:hAnsi="Times New Roman Italique"/>
          <w:i/>
          <w:iCs/>
          <w:spacing w:val="-2"/>
        </w:rPr>
        <w:t> -</w:t>
      </w:r>
      <w:r w:rsidR="00574AFF" w:rsidRPr="009118AB">
        <w:rPr>
          <w:rFonts w:ascii="Times New Roman Italique" w:hAnsi="Times New Roman Italique"/>
          <w:i/>
          <w:iCs/>
          <w:spacing w:val="-2"/>
        </w:rPr>
        <w:t>,</w:t>
      </w:r>
      <w:r w:rsidR="004551B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4551B4" w:rsidRPr="009118AB">
        <w:rPr>
          <w:rFonts w:ascii="Times New Roman Italique" w:hAnsi="Times New Roman Italique"/>
          <w:i/>
          <w:iCs/>
          <w:spacing w:val="-2"/>
        </w:rPr>
        <w:t>18</w:t>
      </w:r>
      <w:r w:rsidR="004551B4" w:rsidRPr="009118AB">
        <w:rPr>
          <w:i/>
        </w:rPr>
        <w:t xml:space="preserve"> des G. vom 11. Februar 2019 (B.S. vom 22. März 2019)</w:t>
      </w:r>
      <w:r w:rsidR="00D67EB8" w:rsidRPr="009118AB">
        <w:rPr>
          <w:i/>
        </w:rPr>
        <w:t> - </w:t>
      </w:r>
      <w:r w:rsidR="004551B4" w:rsidRPr="009118AB">
        <w:rPr>
          <w:i/>
        </w:rPr>
        <w:t>in Kraft am 1. März 2019 und anwendbar auf die ab dem 1. März 2019 gezahlten oder zuerkannten Entlohnungen</w:t>
      </w:r>
      <w:r w:rsidR="003366D9" w:rsidRPr="009118AB">
        <w:rPr>
          <w:i/>
        </w:rPr>
        <w:t> -</w:t>
      </w:r>
      <w:r w:rsidR="00574AFF" w:rsidRPr="009118AB">
        <w:rPr>
          <w:i/>
        </w:rPr>
        <w:t xml:space="preserve"> und Art. 66 Nr. 1</w:t>
      </w:r>
      <w:r w:rsidR="00574AFF" w:rsidRPr="009118AB">
        <w:rPr>
          <w:i/>
          <w:iCs/>
        </w:rPr>
        <w:t xml:space="preserve"> des G. vom 5. Juli 2022 (B.S. vom 15. Juli 2022)</w:t>
      </w:r>
      <w:r w:rsidR="003366D9" w:rsidRPr="009118AB">
        <w:rPr>
          <w:i/>
        </w:rPr>
        <w:t>;</w:t>
      </w:r>
      <w:r w:rsidR="00AA3356"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B112F8"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B112F8"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B112F8" w:rsidRPr="009118AB">
        <w:rPr>
          <w:rFonts w:ascii="Times New Roman Italique" w:hAnsi="Times New Roman Italique"/>
          <w:i/>
          <w:iCs/>
          <w:spacing w:val="-2"/>
        </w:rPr>
        <w:t>7 Buchstabe a) des G. vom 30. Juli 2018 (II) (B.S. vom 10. August 2018)</w:t>
      </w:r>
      <w:r w:rsidR="00D67EB8" w:rsidRPr="009118AB">
        <w:rPr>
          <w:rFonts w:ascii="Times New Roman Italique" w:hAnsi="Times New Roman Italique"/>
          <w:i/>
          <w:iCs/>
          <w:spacing w:val="-2"/>
        </w:rPr>
        <w:t> - </w:t>
      </w:r>
      <w:r w:rsidR="00B112F8" w:rsidRPr="009118AB">
        <w:rPr>
          <w:i/>
          <w:iCs/>
          <w:spacing w:val="-2"/>
        </w:rPr>
        <w:t>in Kraft am 1. September 2018 und anwendbar auf Investitionen, für die ein Formular eingereicht wird</w:t>
      </w:r>
      <w:r w:rsidR="003366D9" w:rsidRPr="009118AB">
        <w:rPr>
          <w:i/>
          <w:iCs/>
          <w:spacing w:val="-2"/>
        </w:rPr>
        <w:t> -;</w:t>
      </w:r>
      <w:r w:rsidR="00B112F8" w:rsidRPr="009118AB">
        <w:rPr>
          <w:i/>
          <w:iCs/>
          <w:spacing w:val="-2"/>
        </w:rPr>
        <w:t xml:space="preserve"> </w:t>
      </w:r>
      <w:r w:rsidR="00D67EB8" w:rsidRPr="009118AB">
        <w:rPr>
          <w:rFonts w:ascii="Times New Roman Italique" w:hAnsi="Times New Roman Italique"/>
          <w:i/>
          <w:iCs/>
          <w:spacing w:val="-2"/>
        </w:rPr>
        <w:t>§ </w:t>
      </w:r>
      <w:r w:rsidR="00AA3356" w:rsidRPr="009118AB">
        <w:rPr>
          <w:rFonts w:ascii="Times New Roman Italique" w:hAnsi="Times New Roman Italique"/>
          <w:i/>
          <w:iCs/>
          <w:spacing w:val="-2"/>
        </w:rPr>
        <w:t xml:space="preserve">1 </w:t>
      </w:r>
      <w:r w:rsidR="00D32D02" w:rsidRPr="009118AB">
        <w:rPr>
          <w:rFonts w:ascii="Times New Roman Italique" w:hAnsi="Times New Roman Italique"/>
          <w:i/>
          <w:iCs/>
          <w:spacing w:val="-2"/>
        </w:rPr>
        <w:t>neuer Absatz 3</w:t>
      </w:r>
      <w:r w:rsidR="00AA3356" w:rsidRPr="009118AB">
        <w:rPr>
          <w:rFonts w:ascii="Times New Roman Italique" w:hAnsi="Times New Roman Italique"/>
          <w:i/>
          <w:iCs/>
          <w:spacing w:val="-2"/>
        </w:rPr>
        <w:t xml:space="preserve"> </w:t>
      </w:r>
      <w:r w:rsidR="00D32D02" w:rsidRPr="009118AB">
        <w:rPr>
          <w:rFonts w:ascii="Times New Roman Italique" w:hAnsi="Times New Roman Italique"/>
          <w:i/>
          <w:iCs/>
          <w:spacing w:val="-2"/>
        </w:rPr>
        <w:t>eingefügt</w:t>
      </w:r>
      <w:r w:rsidR="00AA3356" w:rsidRPr="009118AB">
        <w:rPr>
          <w:rFonts w:ascii="Times New Roman Italique" w:hAnsi="Times New Roman Italique"/>
          <w:i/>
          <w:iCs/>
          <w:spacing w:val="-2"/>
        </w:rPr>
        <w:t xml:space="preserve"> durch </w:t>
      </w:r>
      <w:r w:rsidR="00D67EB8" w:rsidRPr="009118AB">
        <w:rPr>
          <w:rFonts w:ascii="Times New Roman Italique" w:hAnsi="Times New Roman Italique"/>
          <w:i/>
          <w:iCs/>
          <w:spacing w:val="-2"/>
        </w:rPr>
        <w:t>Art. </w:t>
      </w:r>
      <w:r w:rsidR="00AA3356" w:rsidRPr="009118AB">
        <w:rPr>
          <w:rFonts w:ascii="Times New Roman Italique" w:hAnsi="Times New Roman Italique"/>
          <w:i/>
          <w:iCs/>
          <w:spacing w:val="-2"/>
        </w:rPr>
        <w:t>9 Buchstabe </w:t>
      </w:r>
      <w:r w:rsidR="00D32D02" w:rsidRPr="009118AB">
        <w:rPr>
          <w:rFonts w:ascii="Times New Roman Italique" w:hAnsi="Times New Roman Italique"/>
          <w:i/>
          <w:iCs/>
          <w:spacing w:val="-2"/>
        </w:rPr>
        <w:t>c</w:t>
      </w:r>
      <w:r w:rsidR="00AA3356" w:rsidRPr="009118AB">
        <w:rPr>
          <w:rFonts w:ascii="Times New Roman Italique" w:hAnsi="Times New Roman Italique"/>
          <w:i/>
          <w:iCs/>
          <w:spacing w:val="-2"/>
        </w:rPr>
        <w:t>) des G. vom 24. März 2015 (B.S. vom 2. April 2015)</w:t>
      </w:r>
      <w:r w:rsidR="00D67EB8" w:rsidRPr="009118AB">
        <w:rPr>
          <w:rFonts w:ascii="Times New Roman Italique" w:hAnsi="Times New Roman Italique"/>
          <w:i/>
          <w:iCs/>
          <w:spacing w:val="-2"/>
        </w:rPr>
        <w:t> - </w:t>
      </w:r>
      <w:r w:rsidR="00AA3356" w:rsidRPr="009118AB">
        <w:rPr>
          <w:rFonts w:ascii="Times New Roman Italique" w:hAnsi="Times New Roman Italique"/>
          <w:i/>
          <w:iCs/>
          <w:spacing w:val="-2"/>
        </w:rPr>
        <w:t>in Kraft am 2. April 2015</w:t>
      </w:r>
      <w:r w:rsidR="00D67EB8" w:rsidRPr="009118AB">
        <w:rPr>
          <w:rFonts w:ascii="Times New Roman Italique" w:hAnsi="Times New Roman Italique"/>
          <w:i/>
          <w:iCs/>
          <w:spacing w:val="-2"/>
        </w:rPr>
        <w:t> - </w:t>
      </w:r>
      <w:r w:rsidR="00B112F8"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B112F8" w:rsidRPr="009118AB">
        <w:rPr>
          <w:rFonts w:ascii="Times New Roman Italique" w:hAnsi="Times New Roman Italique"/>
          <w:i/>
          <w:iCs/>
          <w:spacing w:val="-2"/>
        </w:rPr>
        <w:t>7 Buchstabe b) des G. vom 30. Juli 2018 (II) (B.S. vom 10. August 2018)</w:t>
      </w:r>
      <w:r w:rsidR="00D67EB8" w:rsidRPr="009118AB">
        <w:rPr>
          <w:rFonts w:ascii="Times New Roman Italique" w:hAnsi="Times New Roman Italique"/>
          <w:i/>
          <w:iCs/>
          <w:spacing w:val="-2"/>
        </w:rPr>
        <w:t> - </w:t>
      </w:r>
      <w:r w:rsidR="00B112F8" w:rsidRPr="009118AB">
        <w:rPr>
          <w:i/>
          <w:iCs/>
          <w:spacing w:val="-2"/>
        </w:rPr>
        <w:t>in Kraft am 1. September 2018 und anwendbar auf Investitionen, für die ein Formular eingereicht wird</w:t>
      </w:r>
      <w:r w:rsidR="003366D9" w:rsidRPr="009118AB">
        <w:rPr>
          <w:i/>
          <w:iCs/>
          <w:spacing w:val="-2"/>
        </w:rPr>
        <w:t> -;</w:t>
      </w:r>
      <w:r w:rsidR="00D32D0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B112F8" w:rsidRPr="009118AB">
        <w:rPr>
          <w:rFonts w:ascii="Times New Roman Italique" w:hAnsi="Times New Roman Italique"/>
          <w:i/>
          <w:iCs/>
          <w:spacing w:val="-2"/>
        </w:rPr>
        <w:t>1 neuer Absatz</w:t>
      </w:r>
      <w:r w:rsidR="00B112F8" w:rsidRPr="009118AB">
        <w:rPr>
          <w:rFonts w:ascii="Times New Roman Italique" w:hAnsi="Times New Roman Italique" w:hint="eastAsia"/>
          <w:i/>
          <w:iCs/>
          <w:spacing w:val="-2"/>
        </w:rPr>
        <w:t> </w:t>
      </w:r>
      <w:r w:rsidR="00B112F8"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00B112F8" w:rsidRPr="009118AB">
        <w:rPr>
          <w:rFonts w:ascii="Times New Roman Italique" w:hAnsi="Times New Roman Italique"/>
          <w:i/>
          <w:iCs/>
          <w:spacing w:val="-2"/>
        </w:rPr>
        <w:t>7 Buchstabe c) des G. vom 30. Juli 2018 (II) (B.S. vom 10. August 2018)</w:t>
      </w:r>
      <w:r w:rsidR="00D67EB8" w:rsidRPr="009118AB">
        <w:rPr>
          <w:rFonts w:ascii="Times New Roman Italique" w:hAnsi="Times New Roman Italique"/>
          <w:i/>
          <w:iCs/>
          <w:spacing w:val="-2"/>
        </w:rPr>
        <w:t> - </w:t>
      </w:r>
      <w:r w:rsidR="00B112F8" w:rsidRPr="009118AB">
        <w:rPr>
          <w:i/>
          <w:iCs/>
          <w:spacing w:val="-2"/>
        </w:rPr>
        <w:t>in Kraft am 1. September 2018 und anwendbar auf Investitionen, für die ein Formular eingereicht wird</w:t>
      </w:r>
      <w:r w:rsidR="003366D9" w:rsidRPr="009118AB">
        <w:rPr>
          <w:i/>
          <w:iCs/>
          <w:spacing w:val="-2"/>
        </w:rPr>
        <w:t> -;</w:t>
      </w:r>
      <w:r w:rsidR="00B112F8" w:rsidRPr="009118AB">
        <w:rPr>
          <w:i/>
          <w:iCs/>
          <w:spacing w:val="-2"/>
        </w:rPr>
        <w:t xml:space="preserve"> </w:t>
      </w:r>
      <w:r w:rsidR="00D67EB8" w:rsidRPr="009118AB">
        <w:rPr>
          <w:rFonts w:ascii="Times New Roman Italique" w:hAnsi="Times New Roman Italique"/>
          <w:i/>
          <w:iCs/>
          <w:spacing w:val="-2"/>
        </w:rPr>
        <w:t>§ </w:t>
      </w:r>
      <w:r w:rsidR="00D32D02" w:rsidRPr="009118AB">
        <w:rPr>
          <w:rFonts w:ascii="Times New Roman Italique" w:hAnsi="Times New Roman Italique"/>
          <w:i/>
          <w:iCs/>
          <w:spacing w:val="-2"/>
        </w:rPr>
        <w:t>1</w:t>
      </w:r>
      <w:r w:rsidR="00D32D02" w:rsidRPr="009118AB">
        <w:rPr>
          <w:i/>
          <w:iCs/>
        </w:rPr>
        <w:t xml:space="preserve"> </w:t>
      </w:r>
      <w:r w:rsidR="00D67EB8" w:rsidRPr="009118AB">
        <w:rPr>
          <w:i/>
          <w:iCs/>
        </w:rPr>
        <w:t>Abs. </w:t>
      </w:r>
      <w:r w:rsidR="00B112F8" w:rsidRPr="009118AB">
        <w:rPr>
          <w:i/>
          <w:iCs/>
        </w:rPr>
        <w:t>5 (früherer Absatz </w:t>
      </w:r>
      <w:r w:rsidR="00D32D02" w:rsidRPr="009118AB">
        <w:rPr>
          <w:i/>
          <w:iCs/>
        </w:rPr>
        <w:t>4</w:t>
      </w:r>
      <w:r w:rsidR="00B112F8" w:rsidRPr="009118AB">
        <w:rPr>
          <w:i/>
          <w:iCs/>
        </w:rPr>
        <w:t>)</w:t>
      </w:r>
      <w:r w:rsidR="00D32D02" w:rsidRPr="009118AB">
        <w:rPr>
          <w:i/>
          <w:iCs/>
        </w:rPr>
        <w:t xml:space="preserve"> abgeändert durch </w:t>
      </w:r>
      <w:r w:rsidR="00D67EB8" w:rsidRPr="009118AB">
        <w:rPr>
          <w:i/>
          <w:iCs/>
        </w:rPr>
        <w:t>Art. </w:t>
      </w:r>
      <w:r w:rsidR="00D32D02" w:rsidRPr="009118AB">
        <w:rPr>
          <w:i/>
          <w:iCs/>
        </w:rPr>
        <w:t>9 Buchstabe e) des G. vom 24. März 2015 (B.S. vom 2. April 2015)</w:t>
      </w:r>
      <w:r w:rsidR="00D67EB8" w:rsidRPr="009118AB">
        <w:rPr>
          <w:i/>
          <w:iCs/>
        </w:rPr>
        <w:t> - </w:t>
      </w:r>
      <w:r w:rsidR="00D32D02" w:rsidRPr="009118AB">
        <w:rPr>
          <w:i/>
          <w:iCs/>
        </w:rPr>
        <w:t>in Kraft am 2. April 2015</w:t>
      </w:r>
      <w:r w:rsidR="00FD68E8" w:rsidRPr="009118AB">
        <w:rPr>
          <w:i/>
          <w:iCs/>
        </w:rPr>
        <w:t> -,</w:t>
      </w:r>
      <w:r w:rsidR="00E371F6" w:rsidRPr="009118AB">
        <w:rPr>
          <w:i/>
          <w:iCs/>
        </w:rPr>
        <w:t xml:space="preserve"> </w:t>
      </w:r>
      <w:r w:rsidR="00D67EB8" w:rsidRPr="009118AB">
        <w:rPr>
          <w:i/>
          <w:iCs/>
        </w:rPr>
        <w:t>Art. </w:t>
      </w:r>
      <w:r w:rsidR="00E371F6" w:rsidRPr="009118AB">
        <w:rPr>
          <w:i/>
          <w:iCs/>
        </w:rPr>
        <w:t>13 Buchstabe a) des G. vom 18. Dezember 2015 (II) (B.S. vom 28. Dezember 2015)</w:t>
      </w:r>
      <w:r w:rsidR="00D67EB8" w:rsidRPr="009118AB">
        <w:rPr>
          <w:i/>
          <w:iCs/>
        </w:rPr>
        <w:t> - </w:t>
      </w:r>
      <w:r w:rsidR="00E371F6" w:rsidRPr="009118AB">
        <w:rPr>
          <w:i/>
          <w:iCs/>
        </w:rPr>
        <w:t>wirksam mit 1. Mai 2015</w:t>
      </w:r>
      <w:r w:rsidR="00D67EB8" w:rsidRPr="009118AB">
        <w:rPr>
          <w:i/>
          <w:iCs/>
        </w:rPr>
        <w:t> - </w:t>
      </w:r>
      <w:r w:rsidR="00B112F8" w:rsidRPr="009118AB">
        <w:rPr>
          <w:i/>
          <w:iCs/>
        </w:rPr>
        <w:t xml:space="preserve">und </w:t>
      </w:r>
      <w:r w:rsidR="00D67EB8" w:rsidRPr="009118AB">
        <w:rPr>
          <w:i/>
          <w:iCs/>
        </w:rPr>
        <w:t>Art. </w:t>
      </w:r>
      <w:r w:rsidR="00B112F8" w:rsidRPr="009118AB">
        <w:rPr>
          <w:i/>
          <w:iCs/>
        </w:rPr>
        <w:t>7</w:t>
      </w:r>
      <w:r w:rsidR="00B112F8" w:rsidRPr="009118AB">
        <w:rPr>
          <w:rFonts w:ascii="Times New Roman Italique" w:hAnsi="Times New Roman Italique"/>
          <w:i/>
          <w:iCs/>
          <w:spacing w:val="-2"/>
        </w:rPr>
        <w:t xml:space="preserve"> Buchstabe d) des G. vom 30. Juli 2018 (II) (B.S. vom 10. August 2018)</w:t>
      </w:r>
      <w:r w:rsidR="00D67EB8" w:rsidRPr="009118AB">
        <w:rPr>
          <w:rFonts w:ascii="Times New Roman Italique" w:hAnsi="Times New Roman Italique"/>
          <w:i/>
          <w:iCs/>
          <w:spacing w:val="-2"/>
        </w:rPr>
        <w:t> - </w:t>
      </w:r>
      <w:r w:rsidR="00B112F8" w:rsidRPr="009118AB">
        <w:rPr>
          <w:i/>
          <w:iCs/>
          <w:spacing w:val="-2"/>
        </w:rPr>
        <w:t>in Kraft am 1. September 2018 und anwendbar auf Investitionen, für die ein Formular eingereicht wird</w:t>
      </w:r>
      <w:r w:rsidR="003366D9" w:rsidRPr="009118AB">
        <w:rPr>
          <w:i/>
          <w:iCs/>
          <w:spacing w:val="-2"/>
        </w:rPr>
        <w:t> -;</w:t>
      </w:r>
      <w:r w:rsidR="00D32D02" w:rsidRPr="009118AB">
        <w:rPr>
          <w:i/>
          <w:iCs/>
        </w:rPr>
        <w:t xml:space="preserve"> </w:t>
      </w:r>
      <w:r w:rsidR="00D67EB8" w:rsidRPr="009118AB">
        <w:rPr>
          <w:i/>
          <w:iCs/>
        </w:rPr>
        <w:t>§ </w:t>
      </w:r>
      <w:r w:rsidR="00D32D02" w:rsidRPr="009118AB">
        <w:rPr>
          <w:i/>
          <w:iCs/>
        </w:rPr>
        <w:t xml:space="preserve">1 </w:t>
      </w:r>
      <w:r w:rsidR="00D67EB8" w:rsidRPr="009118AB">
        <w:rPr>
          <w:i/>
          <w:iCs/>
        </w:rPr>
        <w:t>Abs. </w:t>
      </w:r>
      <w:r w:rsidR="00B112F8" w:rsidRPr="009118AB">
        <w:rPr>
          <w:i/>
          <w:iCs/>
        </w:rPr>
        <w:t>6</w:t>
      </w:r>
      <w:r w:rsidR="00D32D02" w:rsidRPr="009118AB">
        <w:rPr>
          <w:i/>
          <w:iCs/>
        </w:rPr>
        <w:t xml:space="preserve"> abgeändert durch </w:t>
      </w:r>
      <w:r w:rsidR="00D67EB8" w:rsidRPr="009118AB">
        <w:rPr>
          <w:i/>
          <w:iCs/>
        </w:rPr>
        <w:t>Art. </w:t>
      </w:r>
      <w:r w:rsidR="00D32D02" w:rsidRPr="009118AB">
        <w:rPr>
          <w:i/>
          <w:iCs/>
        </w:rPr>
        <w:t>9 Buchstabe f), h) und i) des G. vom 24. März 2015 (B.S. vom 2. April 2015)</w:t>
      </w:r>
      <w:r w:rsidR="00D67EB8" w:rsidRPr="009118AB">
        <w:rPr>
          <w:i/>
          <w:iCs/>
        </w:rPr>
        <w:t> - </w:t>
      </w:r>
      <w:r w:rsidR="00D32D02" w:rsidRPr="009118AB">
        <w:rPr>
          <w:i/>
          <w:iCs/>
        </w:rPr>
        <w:t>in Kraft am 2. April 2015</w:t>
      </w:r>
      <w:r w:rsidR="00FD68E8" w:rsidRPr="009118AB">
        <w:rPr>
          <w:i/>
          <w:iCs/>
        </w:rPr>
        <w:t> -,</w:t>
      </w:r>
      <w:r w:rsidR="00E371F6" w:rsidRPr="009118AB">
        <w:rPr>
          <w:i/>
          <w:iCs/>
        </w:rPr>
        <w:t xml:space="preserve"> </w:t>
      </w:r>
      <w:r w:rsidR="00D67EB8" w:rsidRPr="009118AB">
        <w:rPr>
          <w:i/>
          <w:iCs/>
        </w:rPr>
        <w:t>Art. </w:t>
      </w:r>
      <w:r w:rsidR="00E371F6" w:rsidRPr="009118AB">
        <w:rPr>
          <w:i/>
          <w:iCs/>
        </w:rPr>
        <w:t>13 Buchstabe b) des G. vom 18. Dezember 2015 (II) (B.S. vom 28. Dezember 2015)</w:t>
      </w:r>
      <w:r w:rsidR="00D67EB8" w:rsidRPr="009118AB">
        <w:rPr>
          <w:i/>
          <w:iCs/>
        </w:rPr>
        <w:t> - </w:t>
      </w:r>
      <w:r w:rsidR="00E371F6" w:rsidRPr="009118AB">
        <w:rPr>
          <w:i/>
          <w:iCs/>
        </w:rPr>
        <w:t>wirksam mit 1. Mai 2015</w:t>
      </w:r>
      <w:r w:rsidR="00D67EB8" w:rsidRPr="009118AB">
        <w:rPr>
          <w:i/>
          <w:iCs/>
        </w:rPr>
        <w:t> - </w:t>
      </w:r>
      <w:r w:rsidR="00B112F8" w:rsidRPr="009118AB">
        <w:rPr>
          <w:i/>
          <w:iCs/>
        </w:rPr>
        <w:t xml:space="preserve">und </w:t>
      </w:r>
      <w:r w:rsidR="00D67EB8" w:rsidRPr="009118AB">
        <w:rPr>
          <w:i/>
          <w:iCs/>
        </w:rPr>
        <w:t>Art. </w:t>
      </w:r>
      <w:r w:rsidR="00B112F8" w:rsidRPr="009118AB">
        <w:rPr>
          <w:rFonts w:ascii="Times New Roman Italique" w:hAnsi="Times New Roman Italique"/>
          <w:i/>
          <w:iCs/>
          <w:spacing w:val="-2"/>
        </w:rPr>
        <w:t>7 Buchstabe e) bis g) des G. vom 30. Juli 2018 (II) (B.S. vom 10. August 2018)</w:t>
      </w:r>
      <w:r w:rsidR="00D67EB8" w:rsidRPr="009118AB">
        <w:rPr>
          <w:rFonts w:ascii="Times New Roman Italique" w:hAnsi="Times New Roman Italique"/>
          <w:i/>
          <w:iCs/>
          <w:spacing w:val="-2"/>
        </w:rPr>
        <w:t> - </w:t>
      </w:r>
      <w:r w:rsidR="00B112F8" w:rsidRPr="009118AB">
        <w:rPr>
          <w:i/>
          <w:iCs/>
          <w:spacing w:val="-2"/>
        </w:rPr>
        <w:t>in Kraft am 1. September 2018 und anwendbar auf Investitionen, für die ein Formular eingereicht wird</w:t>
      </w:r>
      <w:r w:rsidR="003366D9" w:rsidRPr="009118AB">
        <w:rPr>
          <w:i/>
          <w:iCs/>
          <w:spacing w:val="-2"/>
        </w:rPr>
        <w:t> -;</w:t>
      </w:r>
      <w:r w:rsidR="00D32D02" w:rsidRPr="009118AB">
        <w:rPr>
          <w:i/>
          <w:iCs/>
        </w:rPr>
        <w:t xml:space="preserve"> </w:t>
      </w:r>
      <w:r w:rsidR="00D67EB8" w:rsidRPr="009118AB">
        <w:rPr>
          <w:i/>
          <w:iCs/>
        </w:rPr>
        <w:t>§ </w:t>
      </w:r>
      <w:r w:rsidR="00D32D02" w:rsidRPr="009118AB">
        <w:rPr>
          <w:i/>
          <w:iCs/>
        </w:rPr>
        <w:t xml:space="preserve">1 </w:t>
      </w:r>
      <w:r w:rsidR="00D67EB8" w:rsidRPr="009118AB">
        <w:rPr>
          <w:i/>
          <w:iCs/>
        </w:rPr>
        <w:t>Abs. </w:t>
      </w:r>
      <w:r w:rsidR="00B112F8" w:rsidRPr="009118AB">
        <w:rPr>
          <w:i/>
          <w:iCs/>
        </w:rPr>
        <w:t>7</w:t>
      </w:r>
      <w:r w:rsidR="00D32D02" w:rsidRPr="009118AB">
        <w:rPr>
          <w:i/>
          <w:iCs/>
        </w:rPr>
        <w:t xml:space="preserve"> ersetzt durch </w:t>
      </w:r>
      <w:r w:rsidR="00D67EB8" w:rsidRPr="009118AB">
        <w:rPr>
          <w:i/>
          <w:iCs/>
        </w:rPr>
        <w:t>Art. </w:t>
      </w:r>
      <w:r w:rsidR="00D32D02" w:rsidRPr="009118AB">
        <w:rPr>
          <w:i/>
          <w:iCs/>
        </w:rPr>
        <w:t>9 Buchstabe j) des G. vom 24. März 2015 (B.S. vom 2. April 2015)</w:t>
      </w:r>
      <w:r w:rsidR="00D67EB8" w:rsidRPr="009118AB">
        <w:rPr>
          <w:i/>
          <w:iCs/>
        </w:rPr>
        <w:t> - </w:t>
      </w:r>
      <w:r w:rsidR="00D32D02" w:rsidRPr="009118AB">
        <w:rPr>
          <w:i/>
          <w:iCs/>
        </w:rPr>
        <w:t>in Kraft am 2. April 2015</w:t>
      </w:r>
      <w:r w:rsidR="003366D9" w:rsidRPr="009118AB">
        <w:rPr>
          <w:i/>
          <w:iCs/>
        </w:rPr>
        <w:t> -;</w:t>
      </w:r>
      <w:r w:rsidR="00D32D02" w:rsidRPr="009118AB">
        <w:rPr>
          <w:i/>
          <w:iCs/>
        </w:rPr>
        <w:t xml:space="preserve"> </w:t>
      </w:r>
      <w:r w:rsidR="00D67EB8" w:rsidRPr="009118AB">
        <w:rPr>
          <w:i/>
          <w:iCs/>
        </w:rPr>
        <w:t>§ </w:t>
      </w:r>
      <w:r w:rsidR="00D32D02" w:rsidRPr="009118AB">
        <w:rPr>
          <w:i/>
          <w:iCs/>
        </w:rPr>
        <w:t xml:space="preserve">1 </w:t>
      </w:r>
      <w:r w:rsidR="00D67EB8" w:rsidRPr="009118AB">
        <w:rPr>
          <w:i/>
          <w:iCs/>
        </w:rPr>
        <w:t>Abs. </w:t>
      </w:r>
      <w:r w:rsidR="00B112F8" w:rsidRPr="009118AB">
        <w:rPr>
          <w:i/>
          <w:iCs/>
        </w:rPr>
        <w:t>8</w:t>
      </w:r>
      <w:r w:rsidR="00D32D02" w:rsidRPr="009118AB">
        <w:rPr>
          <w:i/>
          <w:iCs/>
        </w:rPr>
        <w:t xml:space="preserve"> eingefügt durch </w:t>
      </w:r>
      <w:r w:rsidR="00D67EB8" w:rsidRPr="009118AB">
        <w:rPr>
          <w:i/>
          <w:iCs/>
        </w:rPr>
        <w:t>Art. </w:t>
      </w:r>
      <w:r w:rsidR="00D32D02" w:rsidRPr="009118AB">
        <w:rPr>
          <w:i/>
          <w:iCs/>
        </w:rPr>
        <w:t>9 Buchstabe k) des G. vom 24. März 2015 (B.S. vom 2. April 2015)</w:t>
      </w:r>
      <w:r w:rsidR="00D67EB8" w:rsidRPr="009118AB">
        <w:rPr>
          <w:i/>
          <w:iCs/>
        </w:rPr>
        <w:t> - </w:t>
      </w:r>
      <w:r w:rsidR="00D32D02" w:rsidRPr="009118AB">
        <w:rPr>
          <w:i/>
          <w:iCs/>
        </w:rPr>
        <w:t>in Kraft am 2. April 2015</w:t>
      </w:r>
      <w:r w:rsidR="00D67EB8" w:rsidRPr="009118AB">
        <w:rPr>
          <w:i/>
          <w:iCs/>
        </w:rPr>
        <w:t> - </w:t>
      </w:r>
      <w:r w:rsidR="009E1E97" w:rsidRPr="009118AB">
        <w:rPr>
          <w:i/>
          <w:iCs/>
        </w:rPr>
        <w:t xml:space="preserve">und abgeändert durch </w:t>
      </w:r>
      <w:r w:rsidR="00D67EB8" w:rsidRPr="009118AB">
        <w:rPr>
          <w:i/>
          <w:iCs/>
        </w:rPr>
        <w:t>Art. </w:t>
      </w:r>
      <w:r w:rsidR="009E1E97" w:rsidRPr="009118AB">
        <w:rPr>
          <w:i/>
          <w:iCs/>
        </w:rPr>
        <w:t>66</w:t>
      </w:r>
      <w:r w:rsidR="009E1E97" w:rsidRPr="009118AB">
        <w:rPr>
          <w:i/>
          <w:iCs/>
          <w:spacing w:val="-2"/>
        </w:rPr>
        <w:t xml:space="preserve"> des G. vom 17. März 2019 (III) (B.S. vom 10. Mai 2019)</w:t>
      </w:r>
      <w:r w:rsidR="00D67EB8" w:rsidRPr="009118AB">
        <w:rPr>
          <w:i/>
          <w:iCs/>
          <w:spacing w:val="-2"/>
        </w:rPr>
        <w:t> - </w:t>
      </w:r>
      <w:r w:rsidR="009E1E97" w:rsidRPr="009118AB">
        <w:rPr>
          <w:i/>
          <w:iCs/>
          <w:spacing w:val="-2"/>
        </w:rPr>
        <w:t>in Kraft am 1. Mai 2019</w:t>
      </w:r>
      <w:r w:rsidR="003366D9" w:rsidRPr="009118AB">
        <w:rPr>
          <w:i/>
          <w:iCs/>
          <w:spacing w:val="-2"/>
        </w:rPr>
        <w:t> -;</w:t>
      </w:r>
      <w:r w:rsidR="00B112F8" w:rsidRPr="009118AB">
        <w:rPr>
          <w:i/>
          <w:iCs/>
        </w:rPr>
        <w:t xml:space="preserve"> </w:t>
      </w:r>
      <w:r w:rsidR="00D67EB8" w:rsidRPr="009118AB">
        <w:rPr>
          <w:i/>
          <w:iCs/>
        </w:rPr>
        <w:t>§ </w:t>
      </w:r>
      <w:r w:rsidR="00B112F8" w:rsidRPr="009118AB">
        <w:rPr>
          <w:i/>
          <w:iCs/>
        </w:rPr>
        <w:t xml:space="preserve">1 </w:t>
      </w:r>
      <w:r w:rsidR="00D67EB8" w:rsidRPr="009118AB">
        <w:rPr>
          <w:i/>
          <w:iCs/>
        </w:rPr>
        <w:t>Abs. </w:t>
      </w:r>
      <w:r w:rsidR="00B112F8" w:rsidRPr="009118AB">
        <w:rPr>
          <w:i/>
          <w:iCs/>
        </w:rPr>
        <w:t xml:space="preserve">9 eingefügt durch </w:t>
      </w:r>
      <w:r w:rsidR="00D67EB8" w:rsidRPr="009118AB">
        <w:rPr>
          <w:i/>
          <w:iCs/>
        </w:rPr>
        <w:t>Art. </w:t>
      </w:r>
      <w:r w:rsidR="00B112F8" w:rsidRPr="009118AB">
        <w:rPr>
          <w:i/>
          <w:iCs/>
        </w:rPr>
        <w:t>9 Buchstabe k) des G. vom 24. März 2015 (B.S. vom 2. April 2015)</w:t>
      </w:r>
      <w:r w:rsidR="00D67EB8" w:rsidRPr="009118AB">
        <w:rPr>
          <w:i/>
          <w:iCs/>
        </w:rPr>
        <w:t> - </w:t>
      </w:r>
      <w:r w:rsidR="00B112F8" w:rsidRPr="009118AB">
        <w:rPr>
          <w:i/>
          <w:iCs/>
        </w:rPr>
        <w:t>in Kraft am 2. April 2015</w:t>
      </w:r>
      <w:r w:rsidR="00D67EB8" w:rsidRPr="009118AB">
        <w:rPr>
          <w:i/>
          <w:iCs/>
        </w:rPr>
        <w:t> - </w:t>
      </w:r>
      <w:r w:rsidR="00D41A83" w:rsidRPr="009118AB">
        <w:rPr>
          <w:i/>
          <w:iCs/>
        </w:rPr>
        <w:t xml:space="preserve">und abgeändert durch </w:t>
      </w:r>
      <w:r w:rsidR="00D67EB8" w:rsidRPr="009118AB">
        <w:rPr>
          <w:i/>
          <w:iCs/>
        </w:rPr>
        <w:t>Art. </w:t>
      </w:r>
      <w:r w:rsidR="00D41A83" w:rsidRPr="009118AB">
        <w:rPr>
          <w:i/>
          <w:iCs/>
        </w:rPr>
        <w:t>7</w:t>
      </w:r>
      <w:r w:rsidR="00D41A83" w:rsidRPr="009118AB">
        <w:rPr>
          <w:rFonts w:ascii="Times New Roman Italique" w:hAnsi="Times New Roman Italique"/>
          <w:i/>
          <w:iCs/>
          <w:spacing w:val="-2"/>
        </w:rPr>
        <w:t xml:space="preserve"> Buchstabe h) des G. vom 30. Juli 2018 (II) (B.S. vom 10. August 2018)</w:t>
      </w:r>
      <w:r w:rsidR="00D67EB8" w:rsidRPr="009118AB">
        <w:rPr>
          <w:rFonts w:ascii="Times New Roman Italique" w:hAnsi="Times New Roman Italique"/>
          <w:i/>
          <w:iCs/>
          <w:spacing w:val="-2"/>
        </w:rPr>
        <w:t> - </w:t>
      </w:r>
      <w:r w:rsidR="00D41A83" w:rsidRPr="009118AB">
        <w:rPr>
          <w:rFonts w:ascii="Times New Roman Italique" w:hAnsi="Times New Roman Italique"/>
          <w:i/>
          <w:iCs/>
          <w:spacing w:val="-2"/>
        </w:rPr>
        <w:t>in Kraft am 19. Mai 2019</w:t>
      </w:r>
      <w:r w:rsidR="003366D9" w:rsidRPr="009118AB">
        <w:rPr>
          <w:rFonts w:ascii="Times New Roman Italique" w:hAnsi="Times New Roman Italique"/>
          <w:i/>
          <w:iCs/>
          <w:spacing w:val="-2"/>
        </w:rPr>
        <w:t> -;</w:t>
      </w:r>
      <w:r w:rsidR="00D41A83"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D41A83"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D41A83" w:rsidRPr="009118AB">
        <w:rPr>
          <w:rFonts w:ascii="Times New Roman Italique" w:hAnsi="Times New Roman Italique"/>
          <w:i/>
          <w:iCs/>
          <w:spacing w:val="-2"/>
        </w:rPr>
        <w:t xml:space="preserve">10 eingefügt durch </w:t>
      </w:r>
      <w:r w:rsidR="00D67EB8" w:rsidRPr="009118AB">
        <w:rPr>
          <w:rFonts w:ascii="Times New Roman Italique" w:hAnsi="Times New Roman Italique"/>
          <w:i/>
          <w:iCs/>
          <w:spacing w:val="-2"/>
        </w:rPr>
        <w:t>Art. </w:t>
      </w:r>
      <w:r w:rsidR="00D41A83" w:rsidRPr="009118AB">
        <w:rPr>
          <w:rFonts w:ascii="Times New Roman Italique" w:hAnsi="Times New Roman Italique"/>
          <w:i/>
          <w:iCs/>
          <w:spacing w:val="-2"/>
        </w:rPr>
        <w:t>7</w:t>
      </w:r>
      <w:r w:rsidR="008C648E" w:rsidRPr="009118AB">
        <w:rPr>
          <w:rFonts w:ascii="Times New Roman Italique" w:hAnsi="Times New Roman Italique"/>
          <w:i/>
          <w:iCs/>
          <w:spacing w:val="-2"/>
        </w:rPr>
        <w:t xml:space="preserve"> </w:t>
      </w:r>
      <w:r w:rsidR="00D41A83" w:rsidRPr="009118AB">
        <w:rPr>
          <w:rFonts w:ascii="Times New Roman Italique" w:hAnsi="Times New Roman Italique"/>
          <w:i/>
          <w:iCs/>
          <w:spacing w:val="-2"/>
        </w:rPr>
        <w:t>Buchstabe i) des G. vom 30. Juli 2018 (II) (B.S. vom 10. August 2018)</w:t>
      </w:r>
      <w:r w:rsidR="00D67EB8" w:rsidRPr="009118AB">
        <w:rPr>
          <w:rFonts w:ascii="Times New Roman Italique" w:hAnsi="Times New Roman Italique"/>
          <w:i/>
          <w:iCs/>
          <w:spacing w:val="-2"/>
        </w:rPr>
        <w:t> - </w:t>
      </w:r>
      <w:r w:rsidR="00D41A83" w:rsidRPr="009118AB">
        <w:rPr>
          <w:i/>
          <w:iCs/>
          <w:spacing w:val="-2"/>
        </w:rPr>
        <w:t>in Kraft am 1. September 2018 und anwendbar auf Anträge auf Gleichsetzung, die auf die vom König bestimmte Weise gestellt werden</w:t>
      </w:r>
      <w:r w:rsidR="003366D9" w:rsidRPr="009118AB">
        <w:rPr>
          <w:i/>
          <w:iCs/>
          <w:spacing w:val="-2"/>
        </w:rPr>
        <w:t> -;</w:t>
      </w:r>
      <w:r w:rsidR="00D32D02" w:rsidRPr="009118AB">
        <w:rPr>
          <w:i/>
          <w:iCs/>
        </w:rPr>
        <w:t xml:space="preserve"> </w:t>
      </w:r>
      <w:r w:rsidR="00D67EB8" w:rsidRPr="009118AB">
        <w:rPr>
          <w:i/>
          <w:iCs/>
        </w:rPr>
        <w:t>§ </w:t>
      </w:r>
      <w:r w:rsidR="00EC77C4" w:rsidRPr="009118AB">
        <w:rPr>
          <w:i/>
          <w:iCs/>
        </w:rPr>
        <w:t xml:space="preserve">2 </w:t>
      </w:r>
      <w:r w:rsidR="00D67EB8" w:rsidRPr="009118AB">
        <w:rPr>
          <w:i/>
          <w:iCs/>
        </w:rPr>
        <w:t>Abs. </w:t>
      </w:r>
      <w:r w:rsidR="00EC77C4" w:rsidRPr="009118AB">
        <w:rPr>
          <w:i/>
          <w:iCs/>
        </w:rPr>
        <w:t>1</w:t>
      </w:r>
      <w:r w:rsidR="002C578B" w:rsidRPr="009118AB">
        <w:rPr>
          <w:i/>
          <w:iCs/>
        </w:rPr>
        <w:t xml:space="preserve"> ersetzt durch </w:t>
      </w:r>
      <w:r w:rsidR="00D67EB8" w:rsidRPr="009118AB">
        <w:rPr>
          <w:i/>
          <w:iCs/>
        </w:rPr>
        <w:t>Art. </w:t>
      </w:r>
      <w:r w:rsidR="002C578B" w:rsidRPr="009118AB">
        <w:rPr>
          <w:i/>
          <w:iCs/>
        </w:rPr>
        <w:t xml:space="preserve">97 </w:t>
      </w:r>
      <w:r w:rsidR="00D67EB8" w:rsidRPr="009118AB">
        <w:rPr>
          <w:i/>
          <w:iCs/>
        </w:rPr>
        <w:t>Nr. </w:t>
      </w:r>
      <w:r w:rsidR="002C578B" w:rsidRPr="009118AB">
        <w:rPr>
          <w:i/>
          <w:iCs/>
        </w:rPr>
        <w:t>1</w:t>
      </w:r>
      <w:r w:rsidR="002C578B" w:rsidRPr="009118AB">
        <w:rPr>
          <w:i/>
          <w:iCs/>
          <w:spacing w:val="-2"/>
        </w:rPr>
        <w:t xml:space="preserve"> des G. vom 11. Februar 2019 (B.S. vom 22. März 2020)</w:t>
      </w:r>
      <w:r w:rsidR="00D67EB8" w:rsidRPr="009118AB">
        <w:rPr>
          <w:i/>
          <w:iCs/>
          <w:spacing w:val="-2"/>
        </w:rPr>
        <w:t> - </w:t>
      </w:r>
      <w:r w:rsidR="002C578B"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574AFF" w:rsidRPr="009118AB">
        <w:rPr>
          <w:i/>
          <w:iCs/>
          <w:spacing w:val="-2"/>
        </w:rPr>
        <w:t xml:space="preserve"> und abgeändert durch Art. 66 Nr. 2</w:t>
      </w:r>
      <w:r w:rsidR="00574AFF" w:rsidRPr="009118AB">
        <w:rPr>
          <w:i/>
          <w:iCs/>
        </w:rPr>
        <w:t xml:space="preserve"> des G. vom 5. Juli 2022 (B.S. vom 15. Juli 2022)</w:t>
      </w:r>
      <w:r w:rsidR="003366D9" w:rsidRPr="009118AB">
        <w:rPr>
          <w:i/>
          <w:iCs/>
          <w:spacing w:val="-2"/>
        </w:rPr>
        <w:t>;</w:t>
      </w:r>
      <w:r w:rsidR="00EC77C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EC77C4"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EC77C4"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EC77C4" w:rsidRPr="009118AB">
        <w:rPr>
          <w:rFonts w:ascii="Times New Roman Italique" w:hAnsi="Times New Roman Italique"/>
          <w:i/>
          <w:iCs/>
          <w:spacing w:val="-2"/>
        </w:rPr>
        <w:t>10 Buchstabe b) des G. vom 24. März 2015 (B.S. vom 2. April 2015)</w:t>
      </w:r>
      <w:r w:rsidR="00D67EB8" w:rsidRPr="009118AB">
        <w:rPr>
          <w:rFonts w:ascii="Times New Roman Italique" w:hAnsi="Times New Roman Italique"/>
          <w:i/>
          <w:iCs/>
          <w:spacing w:val="-2"/>
        </w:rPr>
        <w:t> - </w:t>
      </w:r>
      <w:r w:rsidR="00EC77C4" w:rsidRPr="009118AB">
        <w:rPr>
          <w:rFonts w:ascii="Times New Roman Italique" w:hAnsi="Times New Roman Italique"/>
          <w:i/>
          <w:iCs/>
          <w:spacing w:val="-2"/>
        </w:rPr>
        <w:t>in Kraft am 2. April 2015</w:t>
      </w:r>
      <w:r w:rsidR="00FD68E8" w:rsidRPr="009118AB">
        <w:rPr>
          <w:rFonts w:ascii="Times New Roman Italique" w:hAnsi="Times New Roman Italique"/>
          <w:i/>
          <w:iCs/>
          <w:spacing w:val="-2"/>
        </w:rPr>
        <w:t> -,</w:t>
      </w:r>
      <w:r w:rsidR="00D41A83"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Art. </w:t>
      </w:r>
      <w:r w:rsidR="00D41A83" w:rsidRPr="009118AB">
        <w:rPr>
          <w:rFonts w:ascii="Times New Roman Italique" w:hAnsi="Times New Roman Italique"/>
          <w:i/>
          <w:iCs/>
          <w:spacing w:val="-2"/>
        </w:rPr>
        <w:t>7 Buchstabe k) des G. vom 30. Juli 2018 (II) (B.S. vom 10. August 2018)</w:t>
      </w:r>
      <w:r w:rsidR="00D67EB8" w:rsidRPr="009118AB">
        <w:rPr>
          <w:rFonts w:ascii="Times New Roman Italique" w:hAnsi="Times New Roman Italique"/>
          <w:i/>
          <w:iCs/>
          <w:spacing w:val="-2"/>
        </w:rPr>
        <w:t> - </w:t>
      </w:r>
      <w:r w:rsidR="00D41A83" w:rsidRPr="009118AB">
        <w:rPr>
          <w:i/>
          <w:iCs/>
          <w:spacing w:val="-2"/>
        </w:rPr>
        <w:t>in Kraft am 1. September 2018 und anwendbar auf Investitionen, für die ein Formular eingereicht wird</w:t>
      </w:r>
      <w:r w:rsidR="00FD68E8" w:rsidRPr="009118AB">
        <w:rPr>
          <w:i/>
          <w:iCs/>
          <w:spacing w:val="-2"/>
        </w:rPr>
        <w:t> -,</w:t>
      </w:r>
      <w:r w:rsidR="002C578B" w:rsidRPr="009118AB">
        <w:rPr>
          <w:i/>
          <w:iCs/>
          <w:spacing w:val="-2"/>
        </w:rPr>
        <w:t xml:space="preserve"> </w:t>
      </w:r>
      <w:r w:rsidR="00D67EB8" w:rsidRPr="009118AB">
        <w:rPr>
          <w:i/>
          <w:iCs/>
          <w:spacing w:val="-2"/>
        </w:rPr>
        <w:t>Art. </w:t>
      </w:r>
      <w:r w:rsidR="002C578B" w:rsidRPr="009118AB">
        <w:rPr>
          <w:i/>
          <w:iCs/>
          <w:spacing w:val="-2"/>
        </w:rPr>
        <w:t xml:space="preserve">97 </w:t>
      </w:r>
      <w:r w:rsidR="00D67EB8" w:rsidRPr="009118AB">
        <w:rPr>
          <w:i/>
          <w:iCs/>
          <w:spacing w:val="-2"/>
        </w:rPr>
        <w:t>Nr. </w:t>
      </w:r>
      <w:r w:rsidR="002C578B" w:rsidRPr="009118AB">
        <w:rPr>
          <w:i/>
          <w:iCs/>
          <w:spacing w:val="-2"/>
        </w:rPr>
        <w:t>2 des G. vom 11. Februar 2019 (B.S. vom 22. März 2020)</w:t>
      </w:r>
      <w:r w:rsidR="00D67EB8" w:rsidRPr="009118AB">
        <w:rPr>
          <w:i/>
          <w:iCs/>
          <w:spacing w:val="-2"/>
        </w:rPr>
        <w:t> - </w:t>
      </w:r>
      <w:r w:rsidR="002C578B"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D67EB8" w:rsidRPr="009118AB">
        <w:rPr>
          <w:i/>
          <w:iCs/>
          <w:spacing w:val="-2"/>
        </w:rPr>
        <w:t> - </w:t>
      </w:r>
      <w:r w:rsidR="00AC2D61" w:rsidRPr="009118AB">
        <w:rPr>
          <w:i/>
          <w:iCs/>
          <w:spacing w:val="-2"/>
        </w:rPr>
        <w:t xml:space="preserve">und </w:t>
      </w:r>
      <w:r w:rsidR="00D67EB8" w:rsidRPr="009118AB">
        <w:rPr>
          <w:i/>
          <w:iCs/>
          <w:spacing w:val="-2"/>
        </w:rPr>
        <w:t>Art. </w:t>
      </w:r>
      <w:r w:rsidR="00AC2D61" w:rsidRPr="009118AB">
        <w:rPr>
          <w:i/>
          <w:iCs/>
          <w:spacing w:val="-2"/>
        </w:rPr>
        <w:t>83 Buchstabe a) und b)</w:t>
      </w:r>
      <w:r w:rsidR="00AC2D61" w:rsidRPr="009118AB">
        <w:rPr>
          <w:bCs/>
          <w:i/>
          <w:iCs/>
        </w:rPr>
        <w:t xml:space="preserve"> des </w:t>
      </w:r>
      <w:r w:rsidR="00AC2D61" w:rsidRPr="009118AB">
        <w:rPr>
          <w:bCs/>
          <w:i/>
          <w:iCs/>
        </w:rPr>
        <w:lastRenderedPageBreak/>
        <w:t>G. vom 27. Juni 2021 (B.S. vom 30. Juni 2021)</w:t>
      </w:r>
      <w:r w:rsidR="00EC77C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EC77C4"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EC77C4" w:rsidRPr="009118AB">
        <w:rPr>
          <w:rFonts w:ascii="Times New Roman Italique" w:hAnsi="Times New Roman Italique"/>
          <w:i/>
          <w:iCs/>
          <w:spacing w:val="-2"/>
        </w:rPr>
        <w:t xml:space="preserve">3 eingefügt durch </w:t>
      </w:r>
      <w:r w:rsidR="00D67EB8" w:rsidRPr="009118AB">
        <w:rPr>
          <w:rFonts w:ascii="Times New Roman Italique" w:hAnsi="Times New Roman Italique"/>
          <w:i/>
          <w:iCs/>
          <w:spacing w:val="-2"/>
        </w:rPr>
        <w:t>Art. </w:t>
      </w:r>
      <w:r w:rsidR="00EC77C4" w:rsidRPr="009118AB">
        <w:rPr>
          <w:rFonts w:ascii="Times New Roman Italique" w:hAnsi="Times New Roman Italique"/>
          <w:i/>
          <w:iCs/>
          <w:spacing w:val="-2"/>
        </w:rPr>
        <w:t>10 Buchstabe c) des G. vom 24. März 2015 (B.S. vom 2. April 2015)</w:t>
      </w:r>
      <w:r w:rsidR="00D67EB8" w:rsidRPr="009118AB">
        <w:rPr>
          <w:rFonts w:ascii="Times New Roman Italique" w:hAnsi="Times New Roman Italique"/>
          <w:i/>
          <w:iCs/>
          <w:spacing w:val="-2"/>
        </w:rPr>
        <w:t> - </w:t>
      </w:r>
      <w:r w:rsidR="00EC77C4" w:rsidRPr="009118AB">
        <w:rPr>
          <w:rFonts w:ascii="Times New Roman Italique" w:hAnsi="Times New Roman Italique"/>
          <w:i/>
          <w:iCs/>
          <w:spacing w:val="-2"/>
        </w:rPr>
        <w:t>in Kraft am 2. April 2015</w:t>
      </w:r>
      <w:r w:rsidR="00D67EB8" w:rsidRPr="009118AB">
        <w:rPr>
          <w:rFonts w:ascii="Times New Roman Italique" w:hAnsi="Times New Roman Italique"/>
          <w:i/>
          <w:iCs/>
          <w:spacing w:val="-2"/>
        </w:rPr>
        <w:t> - </w:t>
      </w:r>
      <w:r w:rsidR="00AC2D61" w:rsidRPr="009118AB">
        <w:rPr>
          <w:rFonts w:ascii="Times New Roman Italique" w:hAnsi="Times New Roman Italique"/>
          <w:i/>
          <w:iCs/>
          <w:spacing w:val="-2"/>
        </w:rPr>
        <w:t xml:space="preserve">und ersetzt durch </w:t>
      </w:r>
      <w:r w:rsidR="00D67EB8" w:rsidRPr="009118AB">
        <w:rPr>
          <w:rFonts w:ascii="Times New Roman Italique" w:hAnsi="Times New Roman Italique"/>
          <w:i/>
          <w:iCs/>
          <w:spacing w:val="-2"/>
        </w:rPr>
        <w:t>Art. </w:t>
      </w:r>
      <w:r w:rsidR="00AC2D61" w:rsidRPr="009118AB">
        <w:rPr>
          <w:rFonts w:ascii="Times New Roman Italique" w:hAnsi="Times New Roman Italique"/>
          <w:i/>
          <w:iCs/>
          <w:spacing w:val="-2"/>
        </w:rPr>
        <w:t>83 Buchstabe</w:t>
      </w:r>
      <w:r w:rsidR="00AC2D61" w:rsidRPr="009118AB">
        <w:rPr>
          <w:rFonts w:ascii="Times New Roman Italique" w:hAnsi="Times New Roman Italique" w:hint="eastAsia"/>
          <w:i/>
          <w:iCs/>
          <w:spacing w:val="-2"/>
        </w:rPr>
        <w:t> </w:t>
      </w:r>
      <w:r w:rsidR="00AC2D61" w:rsidRPr="009118AB">
        <w:rPr>
          <w:rFonts w:ascii="Times New Roman Italique" w:hAnsi="Times New Roman Italique"/>
          <w:i/>
          <w:iCs/>
          <w:spacing w:val="-2"/>
        </w:rPr>
        <w:t>c)</w:t>
      </w:r>
      <w:r w:rsidR="00AC2D61" w:rsidRPr="009118AB">
        <w:rPr>
          <w:bCs/>
          <w:i/>
          <w:iCs/>
        </w:rPr>
        <w:t xml:space="preserve"> des G. vom 27. Juni 2021 (B.S. vom 30. Juni 2021)</w:t>
      </w:r>
      <w:r w:rsidR="00EC77C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E371F6"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Abs. </w:t>
      </w:r>
      <w:r w:rsidR="00E371F6" w:rsidRPr="009118AB">
        <w:rPr>
          <w:rFonts w:ascii="Times New Roman Italique" w:hAnsi="Times New Roman Italique" w:hint="eastAsia"/>
          <w:i/>
          <w:iCs/>
          <w:spacing w:val="-2"/>
        </w:rPr>
        <w:t>1</w:t>
      </w:r>
      <w:r w:rsidR="00E371F6" w:rsidRPr="009118AB">
        <w:rPr>
          <w:rFonts w:ascii="Times New Roman Italique" w:hAnsi="Times New Roman Italique"/>
          <w:i/>
          <w:iCs/>
          <w:spacing w:val="-2"/>
        </w:rPr>
        <w:t xml:space="preserve"> einleitende Bestimmung abgeändert durch </w:t>
      </w:r>
      <w:r w:rsidR="00D67EB8" w:rsidRPr="009118AB">
        <w:rPr>
          <w:rFonts w:ascii="Times New Roman Italique" w:hAnsi="Times New Roman Italique"/>
          <w:i/>
          <w:iCs/>
          <w:spacing w:val="-2"/>
        </w:rPr>
        <w:t>Art. </w:t>
      </w:r>
      <w:r w:rsidR="00E371F6" w:rsidRPr="009118AB">
        <w:rPr>
          <w:rFonts w:ascii="Times New Roman Italique" w:hAnsi="Times New Roman Italique"/>
          <w:i/>
          <w:iCs/>
          <w:spacing w:val="-2"/>
        </w:rPr>
        <w:t>13 Buchstabe c)</w:t>
      </w:r>
      <w:r w:rsidR="00E371F6" w:rsidRPr="009118AB">
        <w:rPr>
          <w:i/>
          <w:iCs/>
        </w:rPr>
        <w:t xml:space="preserve"> des G. vom 18. Dezember 2015 (II) (B.S. vom 28. Dezember 2015)</w:t>
      </w:r>
      <w:r w:rsidR="00D67EB8" w:rsidRPr="009118AB">
        <w:rPr>
          <w:i/>
          <w:iCs/>
        </w:rPr>
        <w:t> - </w:t>
      </w:r>
      <w:r w:rsidR="00E371F6" w:rsidRPr="009118AB">
        <w:rPr>
          <w:i/>
          <w:iCs/>
        </w:rPr>
        <w:t>wirksam mit 1. Mai 2015</w:t>
      </w:r>
      <w:r w:rsidR="003366D9" w:rsidRPr="009118AB">
        <w:rPr>
          <w:i/>
          <w:iCs/>
        </w:rPr>
        <w:t> -;</w:t>
      </w:r>
      <w:r w:rsidR="00E371F6" w:rsidRPr="009118AB">
        <w:rPr>
          <w:i/>
          <w:iCs/>
        </w:rPr>
        <w:t xml:space="preserve"> </w:t>
      </w:r>
      <w:r w:rsidR="00D67EB8" w:rsidRPr="009118AB">
        <w:rPr>
          <w:rFonts w:ascii="Times New Roman Italique" w:hAnsi="Times New Roman Italique"/>
          <w:i/>
          <w:iCs/>
          <w:spacing w:val="-2"/>
        </w:rPr>
        <w:t>§ </w:t>
      </w:r>
      <w:r w:rsidR="00EC77C4" w:rsidRPr="009118AB">
        <w:rPr>
          <w:rFonts w:ascii="Times New Roman Italique" w:hAnsi="Times New Roman Italique"/>
          <w:i/>
          <w:iCs/>
          <w:spacing w:val="-2"/>
        </w:rPr>
        <w:t>3 neuer Absatz </w:t>
      </w:r>
      <w:r w:rsidR="00C72E57" w:rsidRPr="009118AB">
        <w:rPr>
          <w:rFonts w:ascii="Times New Roman Italique" w:hAnsi="Times New Roman Italique"/>
          <w:i/>
          <w:iCs/>
          <w:spacing w:val="-2"/>
        </w:rPr>
        <w:t>2</w:t>
      </w:r>
      <w:r w:rsidR="00EC77C4"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00EC77C4" w:rsidRPr="009118AB">
        <w:rPr>
          <w:rFonts w:ascii="Times New Roman Italique" w:hAnsi="Times New Roman Italique"/>
          <w:i/>
          <w:iCs/>
          <w:spacing w:val="-2"/>
        </w:rPr>
        <w:t>11 Buchstabe a) des G. vom 24. März 2015 (B.S. vom 2. April 2015)</w:t>
      </w:r>
      <w:r w:rsidR="00D67EB8" w:rsidRPr="009118AB">
        <w:rPr>
          <w:rFonts w:ascii="Times New Roman Italique" w:hAnsi="Times New Roman Italique"/>
          <w:i/>
          <w:iCs/>
          <w:spacing w:val="-2"/>
        </w:rPr>
        <w:t> - </w:t>
      </w:r>
      <w:r w:rsidR="00EC77C4" w:rsidRPr="009118AB">
        <w:rPr>
          <w:rFonts w:ascii="Times New Roman Italique" w:hAnsi="Times New Roman Italique"/>
          <w:i/>
          <w:iCs/>
          <w:spacing w:val="-2"/>
        </w:rPr>
        <w:t>in Kraft am 2. April 2015</w:t>
      </w:r>
      <w:r w:rsidR="003366D9" w:rsidRPr="009118AB">
        <w:rPr>
          <w:rFonts w:ascii="Times New Roman Italique" w:hAnsi="Times New Roman Italique"/>
          <w:i/>
          <w:iCs/>
          <w:spacing w:val="-2"/>
        </w:rPr>
        <w:t> -;</w:t>
      </w:r>
      <w:r w:rsidR="00EC77C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EC77C4"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Abs. </w:t>
      </w:r>
      <w:r w:rsidR="00EC77C4" w:rsidRPr="009118AB">
        <w:rPr>
          <w:rFonts w:ascii="Times New Roman Italique" w:hAnsi="Times New Roman Italique"/>
          <w:i/>
          <w:iCs/>
          <w:spacing w:val="-2"/>
        </w:rPr>
        <w:t xml:space="preserve">3 abgeändert durch </w:t>
      </w:r>
      <w:r w:rsidR="00D67EB8" w:rsidRPr="009118AB">
        <w:rPr>
          <w:rFonts w:ascii="Times New Roman Italique" w:hAnsi="Times New Roman Italique"/>
          <w:i/>
          <w:iCs/>
          <w:spacing w:val="-2"/>
        </w:rPr>
        <w:t>Art. </w:t>
      </w:r>
      <w:r w:rsidR="00EC77C4" w:rsidRPr="009118AB">
        <w:rPr>
          <w:rFonts w:ascii="Times New Roman Italique" w:hAnsi="Times New Roman Italique"/>
          <w:i/>
          <w:iCs/>
          <w:spacing w:val="-2"/>
        </w:rPr>
        <w:t>11 Buchstabe b) des G. vom 24. März 2015 (B.S. vom 2. April 2015)</w:t>
      </w:r>
      <w:r w:rsidR="00D67EB8" w:rsidRPr="009118AB">
        <w:rPr>
          <w:rFonts w:ascii="Times New Roman Italique" w:hAnsi="Times New Roman Italique"/>
          <w:i/>
          <w:iCs/>
          <w:spacing w:val="-2"/>
        </w:rPr>
        <w:t> - </w:t>
      </w:r>
      <w:r w:rsidR="00EC77C4" w:rsidRPr="009118AB">
        <w:rPr>
          <w:rFonts w:ascii="Times New Roman Italique" w:hAnsi="Times New Roman Italique"/>
          <w:i/>
          <w:iCs/>
          <w:spacing w:val="-2"/>
        </w:rPr>
        <w:t>in Kraft am 2. April 2015</w:t>
      </w:r>
      <w:r w:rsidR="003366D9" w:rsidRPr="009118AB">
        <w:rPr>
          <w:rFonts w:ascii="Times New Roman Italique" w:hAnsi="Times New Roman Italique"/>
          <w:i/>
          <w:iCs/>
          <w:spacing w:val="-2"/>
        </w:rPr>
        <w:t> -;</w:t>
      </w:r>
      <w:r w:rsidR="00C72E57"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C72E57" w:rsidRPr="009118AB">
        <w:rPr>
          <w:rFonts w:ascii="Times New Roman Italique" w:hAnsi="Times New Roman Italique"/>
          <w:i/>
          <w:iCs/>
          <w:spacing w:val="-2"/>
        </w:rPr>
        <w:t>3 neue</w:t>
      </w:r>
      <w:r w:rsidR="00D41A83" w:rsidRPr="009118AB">
        <w:rPr>
          <w:rFonts w:ascii="Times New Roman Italique" w:hAnsi="Times New Roman Italique"/>
          <w:i/>
          <w:iCs/>
          <w:spacing w:val="-2"/>
        </w:rPr>
        <w:t>r</w:t>
      </w:r>
      <w:r w:rsidR="00C72E57" w:rsidRPr="009118AB">
        <w:rPr>
          <w:rFonts w:ascii="Times New Roman Italique" w:hAnsi="Times New Roman Italique"/>
          <w:i/>
          <w:iCs/>
          <w:spacing w:val="-2"/>
        </w:rPr>
        <w:t xml:space="preserve"> Ab</w:t>
      </w:r>
      <w:r w:rsidR="00D41A83" w:rsidRPr="009118AB">
        <w:rPr>
          <w:rFonts w:ascii="Times New Roman Italique" w:hAnsi="Times New Roman Italique"/>
          <w:i/>
          <w:iCs/>
          <w:spacing w:val="-2"/>
        </w:rPr>
        <w:t>satz</w:t>
      </w:r>
      <w:r w:rsidR="00C72E57" w:rsidRPr="009118AB">
        <w:rPr>
          <w:rFonts w:ascii="Times New Roman Italique" w:hAnsi="Times New Roman Italique"/>
          <w:i/>
          <w:iCs/>
          <w:spacing w:val="-2"/>
        </w:rPr>
        <w:t> 4</w:t>
      </w:r>
      <w:r w:rsidR="00C72E57" w:rsidRPr="009118AB">
        <w:rPr>
          <w:i/>
          <w:iCs/>
          <w:spacing w:val="-2"/>
        </w:rPr>
        <w:t xml:space="preserve"> eingefügt durch </w:t>
      </w:r>
      <w:r w:rsidR="00D67EB8" w:rsidRPr="009118AB">
        <w:rPr>
          <w:i/>
          <w:iCs/>
          <w:spacing w:val="-2"/>
        </w:rPr>
        <w:t>Art. </w:t>
      </w:r>
      <w:r w:rsidR="00C72E57" w:rsidRPr="009118AB">
        <w:rPr>
          <w:i/>
          <w:iCs/>
          <w:spacing w:val="-2"/>
        </w:rPr>
        <w:t>11 Buchstabe c) des G. vom 24. März 2015 (B.S. vom 2. April 2015)</w:t>
      </w:r>
      <w:r w:rsidR="00D67EB8" w:rsidRPr="009118AB">
        <w:rPr>
          <w:i/>
          <w:iCs/>
          <w:spacing w:val="-2"/>
        </w:rPr>
        <w:t> - </w:t>
      </w:r>
      <w:r w:rsidR="00C72E57" w:rsidRPr="009118AB">
        <w:rPr>
          <w:i/>
          <w:iCs/>
          <w:spacing w:val="-2"/>
        </w:rPr>
        <w:t>in Kraft am 2. April 2015</w:t>
      </w:r>
      <w:r w:rsidR="003366D9" w:rsidRPr="009118AB">
        <w:rPr>
          <w:i/>
          <w:iCs/>
          <w:spacing w:val="-2"/>
        </w:rPr>
        <w:t> -;</w:t>
      </w:r>
      <w:r w:rsidR="00C72E57" w:rsidRPr="009118AB">
        <w:rPr>
          <w:i/>
          <w:iCs/>
          <w:spacing w:val="-2"/>
        </w:rPr>
        <w:t xml:space="preserve"> </w:t>
      </w:r>
      <w:r w:rsidR="00D67EB8" w:rsidRPr="009118AB">
        <w:rPr>
          <w:rFonts w:ascii="Times New Roman Italique" w:hAnsi="Times New Roman Italique"/>
          <w:i/>
          <w:iCs/>
          <w:spacing w:val="-2"/>
        </w:rPr>
        <w:t>§ </w:t>
      </w:r>
      <w:r w:rsidR="00D41A83" w:rsidRPr="009118AB">
        <w:rPr>
          <w:rFonts w:ascii="Times New Roman Italique" w:hAnsi="Times New Roman Italique"/>
          <w:i/>
          <w:iCs/>
          <w:spacing w:val="-2"/>
        </w:rPr>
        <w:t>3 neuer Absatz</w:t>
      </w:r>
      <w:r w:rsidR="00D41A83" w:rsidRPr="009118AB">
        <w:rPr>
          <w:rFonts w:ascii="Times New Roman Italique" w:hAnsi="Times New Roman Italique" w:hint="eastAsia"/>
          <w:i/>
          <w:iCs/>
          <w:spacing w:val="-2"/>
        </w:rPr>
        <w:t> </w:t>
      </w:r>
      <w:r w:rsidR="00D41A83" w:rsidRPr="009118AB">
        <w:rPr>
          <w:rFonts w:ascii="Times New Roman Italique" w:hAnsi="Times New Roman Italique"/>
          <w:i/>
          <w:iCs/>
          <w:spacing w:val="-2"/>
        </w:rPr>
        <w:t>5</w:t>
      </w:r>
      <w:r w:rsidR="00D41A83" w:rsidRPr="009118AB">
        <w:rPr>
          <w:i/>
          <w:iCs/>
          <w:spacing w:val="-2"/>
        </w:rPr>
        <w:t xml:space="preserve"> eingefügt durch </w:t>
      </w:r>
      <w:r w:rsidR="00D67EB8" w:rsidRPr="009118AB">
        <w:rPr>
          <w:i/>
          <w:iCs/>
          <w:spacing w:val="-2"/>
        </w:rPr>
        <w:t>Art. </w:t>
      </w:r>
      <w:r w:rsidR="00D41A83" w:rsidRPr="009118AB">
        <w:rPr>
          <w:i/>
          <w:iCs/>
          <w:spacing w:val="-2"/>
        </w:rPr>
        <w:t xml:space="preserve">11 Buchstabe c) des G. vom 24. März 2015 (B.S. </w:t>
      </w:r>
      <w:r w:rsidR="00D41A83" w:rsidRPr="009118AB">
        <w:rPr>
          <w:i/>
          <w:iCs/>
          <w:spacing w:val="2"/>
        </w:rPr>
        <w:t xml:space="preserve">vom </w:t>
      </w:r>
      <w:r w:rsidR="00D41A83" w:rsidRPr="009118AB">
        <w:rPr>
          <w:i/>
          <w:iCs/>
        </w:rPr>
        <w:t>2. April 2015)</w:t>
      </w:r>
      <w:r w:rsidR="00D67EB8" w:rsidRPr="009118AB">
        <w:rPr>
          <w:i/>
          <w:iCs/>
        </w:rPr>
        <w:t> - </w:t>
      </w:r>
      <w:r w:rsidR="00D41A83" w:rsidRPr="009118AB">
        <w:rPr>
          <w:i/>
          <w:iCs/>
        </w:rPr>
        <w:t>in Kraft am 2. April 2015</w:t>
      </w:r>
      <w:r w:rsidR="00D67EB8" w:rsidRPr="009118AB">
        <w:rPr>
          <w:i/>
          <w:iCs/>
        </w:rPr>
        <w:t> - </w:t>
      </w:r>
      <w:r w:rsidR="00D41A83" w:rsidRPr="009118AB">
        <w:rPr>
          <w:i/>
          <w:iCs/>
        </w:rPr>
        <w:t xml:space="preserve">und ersetzt durch </w:t>
      </w:r>
      <w:r w:rsidR="00D67EB8" w:rsidRPr="009118AB">
        <w:rPr>
          <w:i/>
          <w:iCs/>
        </w:rPr>
        <w:t>Art. </w:t>
      </w:r>
      <w:r w:rsidR="00D41A83" w:rsidRPr="009118AB">
        <w:rPr>
          <w:i/>
          <w:iCs/>
        </w:rPr>
        <w:t>7 Buchstabe l) des G. vom 30. Juli 2018 (II) (B.S. vom 10. August 2018)</w:t>
      </w:r>
      <w:r w:rsidR="00D67EB8" w:rsidRPr="009118AB">
        <w:rPr>
          <w:i/>
          <w:iCs/>
        </w:rPr>
        <w:t> - </w:t>
      </w:r>
      <w:r w:rsidR="00D41A83" w:rsidRPr="009118AB">
        <w:rPr>
          <w:i/>
          <w:iCs/>
        </w:rPr>
        <w:t>in Kraft am 1. September 2018 und anwendbar auf Investitionen, für die ein Formular eingereicht wird</w:t>
      </w:r>
      <w:r w:rsidR="003366D9" w:rsidRPr="009118AB">
        <w:rPr>
          <w:i/>
          <w:iCs/>
        </w:rPr>
        <w:t> -;</w:t>
      </w:r>
      <w:r w:rsidR="00D41A83" w:rsidRPr="009118AB">
        <w:rPr>
          <w:i/>
          <w:iCs/>
        </w:rPr>
        <w:t xml:space="preserve"> </w:t>
      </w:r>
      <w:r w:rsidR="00D67EB8" w:rsidRPr="009118AB">
        <w:rPr>
          <w:i/>
          <w:iCs/>
        </w:rPr>
        <w:t>§ </w:t>
      </w:r>
      <w:r w:rsidR="00C72E57" w:rsidRPr="009118AB">
        <w:rPr>
          <w:i/>
          <w:iCs/>
        </w:rPr>
        <w:t xml:space="preserve">3 </w:t>
      </w:r>
      <w:r w:rsidR="00D67EB8" w:rsidRPr="009118AB">
        <w:rPr>
          <w:i/>
          <w:iCs/>
        </w:rPr>
        <w:t>Abs. </w:t>
      </w:r>
      <w:r w:rsidR="00C72E57" w:rsidRPr="009118AB">
        <w:rPr>
          <w:i/>
          <w:iCs/>
        </w:rPr>
        <w:t xml:space="preserve">6 abgeändert durch </w:t>
      </w:r>
      <w:r w:rsidR="00D67EB8" w:rsidRPr="009118AB">
        <w:rPr>
          <w:i/>
          <w:iCs/>
        </w:rPr>
        <w:t>Art. </w:t>
      </w:r>
      <w:r w:rsidR="00C72E57" w:rsidRPr="009118AB">
        <w:rPr>
          <w:i/>
          <w:iCs/>
        </w:rPr>
        <w:t>11 Buchstabe d) und e) des G. vom 24. März 2015 (B.S. vom 2. April 2015)</w:t>
      </w:r>
      <w:r w:rsidR="00D67EB8" w:rsidRPr="009118AB">
        <w:rPr>
          <w:i/>
          <w:iCs/>
        </w:rPr>
        <w:t> - </w:t>
      </w:r>
      <w:r w:rsidR="00C72E57" w:rsidRPr="009118AB">
        <w:rPr>
          <w:i/>
          <w:iCs/>
        </w:rPr>
        <w:t>in Kraft am 2. April 2015</w:t>
      </w:r>
      <w:r w:rsidR="003366D9" w:rsidRPr="009118AB">
        <w:rPr>
          <w:i/>
          <w:iCs/>
        </w:rPr>
        <w:t> -;</w:t>
      </w:r>
      <w:r w:rsidR="00E4342B" w:rsidRPr="009118AB">
        <w:rPr>
          <w:i/>
          <w:iCs/>
        </w:rPr>
        <w:t xml:space="preserve"> </w:t>
      </w:r>
      <w:r w:rsidR="00D67EB8" w:rsidRPr="009118AB">
        <w:rPr>
          <w:i/>
          <w:iCs/>
        </w:rPr>
        <w:t>§ </w:t>
      </w:r>
      <w:r w:rsidR="00C92B4A" w:rsidRPr="009118AB">
        <w:rPr>
          <w:i/>
          <w:iCs/>
        </w:rPr>
        <w:t>4</w:t>
      </w:r>
      <w:r w:rsidR="00E4342B" w:rsidRPr="009118AB">
        <w:rPr>
          <w:i/>
          <w:iCs/>
        </w:rPr>
        <w:t xml:space="preserve"> eingefügt durch </w:t>
      </w:r>
      <w:r w:rsidR="00D67EB8" w:rsidRPr="009118AB">
        <w:rPr>
          <w:i/>
          <w:iCs/>
        </w:rPr>
        <w:t>Art. </w:t>
      </w:r>
      <w:r w:rsidR="00E4342B" w:rsidRPr="009118AB">
        <w:rPr>
          <w:i/>
          <w:iCs/>
        </w:rPr>
        <w:t>15</w:t>
      </w:r>
      <w:r w:rsidR="00E4342B"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E4342B" w:rsidRPr="009118AB">
        <w:rPr>
          <w:rFonts w:ascii="Times New Roman Italique" w:hAnsi="Times New Roman Italique"/>
          <w:i/>
        </w:rPr>
        <w:t>anwendbar auf die ab dem 1. April 2022 gezahlten oder zuerkannten Entlohnungen</w:t>
      </w:r>
      <w:r w:rsidR="00FD68E8" w:rsidRPr="009118AB">
        <w:rPr>
          <w:rFonts w:ascii="Times New Roman Italique" w:hAnsi="Times New Roman Italique"/>
          <w:i/>
        </w:rPr>
        <w:t> -]</w:t>
      </w:r>
    </w:p>
    <w:p w14:paraId="58E20BB1" w14:textId="77777777" w:rsidR="000C73D8" w:rsidRPr="009118AB" w:rsidRDefault="000C73D8" w:rsidP="00A43806">
      <w:pPr>
        <w:jc w:val="center"/>
      </w:pPr>
    </w:p>
    <w:p w14:paraId="7FFA5510" w14:textId="77777777" w:rsidR="00634A86" w:rsidRPr="009118AB" w:rsidRDefault="00634A86" w:rsidP="00A43806">
      <w:pPr>
        <w:jc w:val="center"/>
      </w:pPr>
    </w:p>
    <w:p w14:paraId="558DE201" w14:textId="77777777" w:rsidR="00634A86" w:rsidRPr="009118AB" w:rsidRDefault="00634A86" w:rsidP="00634A86">
      <w:pPr>
        <w:ind w:firstLine="708"/>
        <w:jc w:val="both"/>
      </w:pPr>
      <w:bookmarkStart w:id="24" w:name="_Hlk203136723"/>
      <w:r w:rsidRPr="009118AB">
        <w:tab/>
        <w:t>[</w:t>
      </w:r>
      <w:r w:rsidRPr="009118AB">
        <w:rPr>
          <w:b/>
          <w:bCs/>
        </w:rPr>
        <w:t>Art. 275</w:t>
      </w:r>
      <w:r w:rsidRPr="009118AB">
        <w:rPr>
          <w:b/>
          <w:bCs/>
          <w:vertAlign w:val="superscript"/>
        </w:rPr>
        <w:t>9/1</w:t>
      </w:r>
      <w:r w:rsidRPr="009118AB">
        <w:t> - § 1 ­ In § 2 erwähnte Arbeitgeber, denen infolge einer Naturkatastrophe, die der König in Anwendung von Artikel 19/2 des Gesetzes vom 15. Mai 2014 zur Ausführung des Pakts für Wettbewerbsfähigkeit, Beschäftigung und Wirtschaftsbelebung in den Anwendungsbereich des vorliegenden Artikels einbezogen hat, in einer Betriebsstätte, die auf dem Gebiet einer Region wie in Artikel 19/2 desselben Gesetzes erwähnt gelegen ist, Schäden entstanden sind und die ein Formular wie in § 4 erwähnt rechtsgültig vorgelegt haben, sind von der Zuführung von 30 Prozent des Berufssteuervorabzugs in Bezug auf die in § 2 erwähnten Entlohnungen an die Staatskasse befreit unter der Bedingung, dass der Gesamtbetrag der Befreiung den in § 3 erwähnten Betrag nicht übersteigt und dass sie die Gesamtheit des vorerwähnten Vorabzugs auf diese Entlohnungen einbehalten.</w:t>
      </w:r>
    </w:p>
    <w:p w14:paraId="3F241EB3" w14:textId="77777777" w:rsidR="00634A86" w:rsidRPr="009118AB" w:rsidRDefault="00634A86" w:rsidP="00634A86">
      <w:pPr>
        <w:jc w:val="both"/>
      </w:pPr>
    </w:p>
    <w:p w14:paraId="67BA86CD" w14:textId="77777777" w:rsidR="00634A86" w:rsidRPr="009118AB" w:rsidRDefault="00634A86" w:rsidP="00634A86">
      <w:pPr>
        <w:ind w:firstLine="708"/>
        <w:jc w:val="both"/>
      </w:pPr>
      <w:r w:rsidRPr="009118AB">
        <w:t>Für die Anwendung des vorliegenden Artikels ist unter Betriebsstätte ein Standort zu verstehen, der geografisch anhand einer Adresse identifiziert werden kann und wo zum Zeitpunkt der Naturkatastrophe eine oder mehrere Tätigkeiten des Unternehmens ausgeübt wurden.</w:t>
      </w:r>
    </w:p>
    <w:p w14:paraId="79D25523" w14:textId="77777777" w:rsidR="00634A86" w:rsidRPr="009118AB" w:rsidRDefault="00634A86" w:rsidP="00634A86">
      <w:pPr>
        <w:jc w:val="both"/>
      </w:pPr>
    </w:p>
    <w:p w14:paraId="15192AC9" w14:textId="56BFF8FC" w:rsidR="00634A86" w:rsidRPr="009118AB" w:rsidRDefault="00634A86" w:rsidP="00634A86">
      <w:pPr>
        <w:ind w:firstLine="708"/>
        <w:jc w:val="both"/>
      </w:pPr>
      <w:r w:rsidRPr="009118AB">
        <w:t>§ 2 - Entlohnungen, die für die Anwendung des vorliegenden Artikels in Betracht kommen, sind Entlohnungen, die folgende Bedingungen erfüllen:</w:t>
      </w:r>
    </w:p>
    <w:p w14:paraId="018B194B" w14:textId="77777777" w:rsidR="00634A86" w:rsidRPr="009118AB" w:rsidRDefault="00634A86" w:rsidP="00634A86">
      <w:pPr>
        <w:jc w:val="both"/>
      </w:pPr>
    </w:p>
    <w:p w14:paraId="50561588" w14:textId="77777777" w:rsidR="00634A86" w:rsidRPr="009118AB" w:rsidRDefault="00634A86" w:rsidP="00634A86">
      <w:pPr>
        <w:ind w:firstLine="708"/>
        <w:jc w:val="both"/>
      </w:pPr>
      <w:r w:rsidRPr="009118AB">
        <w:t>- Es handelt sich um Entlohnungen für Arbeitnehmer, die in einer Betriebsstätte beschäftigt sind, der infolge einer in § 1 erwähnten Naturkatastrophe Schäden entstanden sind.</w:t>
      </w:r>
    </w:p>
    <w:p w14:paraId="1184E098" w14:textId="77777777" w:rsidR="00634A86" w:rsidRPr="009118AB" w:rsidRDefault="00634A86" w:rsidP="00634A86">
      <w:pPr>
        <w:jc w:val="both"/>
      </w:pPr>
    </w:p>
    <w:p w14:paraId="31A8F286" w14:textId="0E5FC716" w:rsidR="00634A86" w:rsidRPr="009118AB" w:rsidRDefault="00634A86" w:rsidP="00634A86">
      <w:pPr>
        <w:ind w:firstLine="708"/>
        <w:jc w:val="both"/>
      </w:pPr>
      <w:r w:rsidRPr="009118AB">
        <w:t>- </w:t>
      </w:r>
      <w:r w:rsidR="00093D39">
        <w:t>[</w:t>
      </w:r>
      <w:r w:rsidR="00093D39" w:rsidRPr="009541B3">
        <w:t>Es handelt sich um Entlohnungen</w:t>
      </w:r>
      <w:r w:rsidR="00FD7990">
        <w:t xml:space="preserve"> [</w:t>
      </w:r>
      <w:r w:rsidR="00FD7990" w:rsidRPr="00700308">
        <w:t>für Leistungen, die in einem Zeitraum von vierzig Monaten ab dem Monat erbracht wurden,</w:t>
      </w:r>
      <w:r w:rsidR="00FD7990">
        <w:t>]</w:t>
      </w:r>
      <w:r w:rsidR="00093D39" w:rsidRPr="009541B3">
        <w:t xml:space="preserve"> der auf den Monat folgt, in dem die Naturkatastrophe sich ereignet hat, und die spätestens im siebenundvierzigsten Monat nach dem Monat, in dem die Naturkatastrophe sich ereignet hat, gezahlt oder zuerkannt werden.</w:t>
      </w:r>
      <w:r w:rsidR="00093D39">
        <w:t>]</w:t>
      </w:r>
    </w:p>
    <w:p w14:paraId="396CC736" w14:textId="77777777" w:rsidR="00634A86" w:rsidRPr="009118AB" w:rsidRDefault="00634A86" w:rsidP="00634A86">
      <w:pPr>
        <w:jc w:val="both"/>
      </w:pPr>
    </w:p>
    <w:p w14:paraId="1D2335DD" w14:textId="77777777" w:rsidR="00634A86" w:rsidRPr="009118AB" w:rsidRDefault="00634A86" w:rsidP="00634A86">
      <w:pPr>
        <w:ind w:firstLine="708"/>
        <w:jc w:val="both"/>
      </w:pPr>
      <w:r w:rsidRPr="009118AB">
        <w:t>- Es handelt sich um steuerpflichtige Entlohnungen der Arbeitnehmer, die gemäß Artikel 31 Absatz 2 Nr. 1 und 2 festgelegt werden, ohne doppeltes Urlaubsgeld, Jahresendprämie und ausstehende Entlohnungen.</w:t>
      </w:r>
    </w:p>
    <w:p w14:paraId="6AD6318E" w14:textId="77777777" w:rsidR="00634A86" w:rsidRPr="009118AB" w:rsidRDefault="00634A86" w:rsidP="00634A86">
      <w:pPr>
        <w:jc w:val="both"/>
      </w:pPr>
    </w:p>
    <w:p w14:paraId="3637FF5C" w14:textId="77777777" w:rsidR="00634A86" w:rsidRPr="009118AB" w:rsidRDefault="00634A86" w:rsidP="00634A86">
      <w:pPr>
        <w:ind w:firstLine="708"/>
        <w:jc w:val="both"/>
      </w:pPr>
      <w:r w:rsidRPr="009118AB">
        <w:lastRenderedPageBreak/>
        <w:t>Die in vorliegendem Artikel erwähnte Befreiung von der Zahlung des Berufssteuervorabzugs kann nicht auf den Berufssteuervorabzug angewandt werden, der zusätzlich zu dem verordnungsgemäßen Mindestbetrag des geschuldeten Berufssteuervorabzugs einbehalten wird.</w:t>
      </w:r>
    </w:p>
    <w:p w14:paraId="1D4C401F" w14:textId="77777777" w:rsidR="00634A86" w:rsidRPr="009118AB" w:rsidRDefault="00634A86" w:rsidP="00634A86">
      <w:pPr>
        <w:jc w:val="both"/>
      </w:pPr>
    </w:p>
    <w:p w14:paraId="1144949F" w14:textId="77777777" w:rsidR="00634A86" w:rsidRPr="009118AB" w:rsidRDefault="00634A86" w:rsidP="00634A86">
      <w:pPr>
        <w:ind w:firstLine="708"/>
        <w:jc w:val="both"/>
      </w:pPr>
      <w:r w:rsidRPr="009118AB">
        <w:t>Die in vorliegendem Artikel erwähnte Befreiung von der Zahlung des Berufssteuervorabzugs kann nicht gewährt werden, wenn eine andere in den Artikeln 275</w:t>
      </w:r>
      <w:r w:rsidRPr="009118AB">
        <w:rPr>
          <w:vertAlign w:val="superscript"/>
        </w:rPr>
        <w:t>2</w:t>
      </w:r>
      <w:r w:rsidRPr="009118AB">
        <w:t xml:space="preserve"> bis 275</w:t>
      </w:r>
      <w:r w:rsidRPr="009118AB">
        <w:rPr>
          <w:vertAlign w:val="superscript"/>
        </w:rPr>
        <w:t>6</w:t>
      </w:r>
      <w:r w:rsidRPr="009118AB">
        <w:t xml:space="preserve"> und 275</w:t>
      </w:r>
      <w:r w:rsidRPr="009118AB">
        <w:rPr>
          <w:vertAlign w:val="superscript"/>
        </w:rPr>
        <w:t>8</w:t>
      </w:r>
      <w:r w:rsidRPr="009118AB">
        <w:t xml:space="preserve"> bis 275</w:t>
      </w:r>
      <w:r w:rsidRPr="009118AB">
        <w:rPr>
          <w:vertAlign w:val="superscript"/>
        </w:rPr>
        <w:t>12</w:t>
      </w:r>
      <w:r w:rsidRPr="009118AB">
        <w:t xml:space="preserve"> erwähnte Befreiung auf dieselbe Entlohnung angewandt wird.</w:t>
      </w:r>
    </w:p>
    <w:p w14:paraId="0F064373" w14:textId="77777777" w:rsidR="00634A86" w:rsidRPr="009118AB" w:rsidRDefault="00634A86" w:rsidP="00634A86">
      <w:pPr>
        <w:jc w:val="both"/>
      </w:pPr>
    </w:p>
    <w:p w14:paraId="7E564247" w14:textId="77777777" w:rsidR="00634A86" w:rsidRPr="009118AB" w:rsidRDefault="00634A86" w:rsidP="00634A86">
      <w:pPr>
        <w:ind w:firstLine="708"/>
        <w:jc w:val="both"/>
      </w:pPr>
      <w:r w:rsidRPr="009118AB">
        <w:t>Um die Befreiung von der Zahlung des Berufssteuervorabzugs zu erhalten, muss der Arbeitgeber den Nachweis erbringen, dass er die in vorliegendem Paragraphen vorgesehenen Bedingungen erfüllt, und ihn zur Verfügung des Föderalen Öffentlichen Dienstes Finanzen bereithalten. Der König bestimmt die Modalitäten für die Erbringung dieses Nachweises.</w:t>
      </w:r>
    </w:p>
    <w:p w14:paraId="4E39A424" w14:textId="77777777" w:rsidR="00634A86" w:rsidRPr="009118AB" w:rsidRDefault="00634A86" w:rsidP="00634A86">
      <w:pPr>
        <w:jc w:val="both"/>
      </w:pPr>
    </w:p>
    <w:p w14:paraId="145AC6C8" w14:textId="52176FA7" w:rsidR="00634A86" w:rsidRPr="009118AB" w:rsidRDefault="00634A86" w:rsidP="00634A86">
      <w:pPr>
        <w:ind w:firstLine="708"/>
        <w:jc w:val="both"/>
      </w:pPr>
      <w:r w:rsidRPr="009118AB">
        <w:t xml:space="preserve">§ 3 - Der Gesamtbetrag der Befreiung von der Zahlung des Berufssteuervorabzugs, der gemäß vorliegendem Artikel pro Arbeitgeber und pro Naturkatastrophe gewährt wird, gegebenenfalls erhöht um die für diesen Vorabzug geschuldeten Aufschubzinsen, kann nicht höher sein als 25 Prozent der Differenz zwischen einerseits den Kosten, die durch die als direkte Folge der Naturkatastrophe entstandenen Schäden verursacht wurden, die von der Region auf der Grundlage von Artikel 50 der in Artikel 19/1 desselben Gesetzes erwähnten Verordnung (EU) Nr. 651/2014, von Artikel 30 der in Artikel 19/1 desselben Gesetzes erwähnten Verordnung (EU) Nr. 702/2014 oder von Artikel 44 der in Artikel 19/1 desselben Gesetzes erwähnten Verordnung (EU) Nr. 1388/2014 endgültig festgestellt worden sind </w:t>
      </w:r>
      <w:r w:rsidR="00F57AA5" w:rsidRPr="009118AB">
        <w:t>[und die von der Region in der in § 4 erwähnten Bescheinigung angegeben worden sind, und andererseits der Beihilfe und den Entschädigungen wie in der Bescheinigung angegeben]</w:t>
      </w:r>
      <w:r w:rsidRPr="009118AB">
        <w:t>, die dem Arbeitgeber von der Region, einer anderen öffentlichen Behörde oder einem Versicherer als Ausgleich für diese Schäden gewährt wurde beziehungsweise zuerkannt wurden.</w:t>
      </w:r>
    </w:p>
    <w:p w14:paraId="7988A7FE" w14:textId="77777777" w:rsidR="00634A86" w:rsidRPr="009118AB" w:rsidRDefault="00634A86" w:rsidP="00634A86">
      <w:pPr>
        <w:jc w:val="both"/>
      </w:pPr>
    </w:p>
    <w:p w14:paraId="0AA1A41A" w14:textId="77777777" w:rsidR="00634A86" w:rsidRPr="009118AB" w:rsidRDefault="00634A86" w:rsidP="00634A86">
      <w:pPr>
        <w:ind w:firstLine="708"/>
        <w:jc w:val="both"/>
      </w:pPr>
      <w:r w:rsidRPr="009118AB">
        <w:t>§ 4 - Bevor der Arbeitgeber die in vorliegendem Artikel erwähnte Zahlungsbefreiung erhalten kann, muss er spätestens im dreißigsten Monat nach dem Monat, in dem die Naturkatastrophe sich ereignet hat, ein Formular einreichen, dessen Muster vom König festgelegt wird.</w:t>
      </w:r>
    </w:p>
    <w:p w14:paraId="7621316A" w14:textId="77777777" w:rsidR="00634A86" w:rsidRPr="009118AB" w:rsidRDefault="00634A86" w:rsidP="00634A86">
      <w:pPr>
        <w:jc w:val="both"/>
      </w:pPr>
    </w:p>
    <w:p w14:paraId="7271A3A5" w14:textId="1A8164FC" w:rsidR="00634A86" w:rsidRPr="009118AB" w:rsidRDefault="00634A86" w:rsidP="00634A86">
      <w:pPr>
        <w:ind w:firstLine="708"/>
        <w:jc w:val="both"/>
      </w:pPr>
      <w:r w:rsidRPr="009118AB">
        <w:t>In diesem Formular vermerkt der Arbeitgeber:</w:t>
      </w:r>
    </w:p>
    <w:p w14:paraId="0C9FDFC4" w14:textId="77777777" w:rsidR="00634A86" w:rsidRPr="009118AB" w:rsidRDefault="00634A86" w:rsidP="00634A86">
      <w:pPr>
        <w:jc w:val="both"/>
      </w:pPr>
    </w:p>
    <w:p w14:paraId="6C580830" w14:textId="77777777" w:rsidR="00634A86" w:rsidRPr="009118AB" w:rsidRDefault="00634A86" w:rsidP="00634A86">
      <w:pPr>
        <w:ind w:firstLine="708"/>
        <w:jc w:val="both"/>
      </w:pPr>
      <w:r w:rsidRPr="009118AB">
        <w:t>- seine Identität,</w:t>
      </w:r>
    </w:p>
    <w:p w14:paraId="083F1D2A" w14:textId="77777777" w:rsidR="00634A86" w:rsidRPr="009118AB" w:rsidRDefault="00634A86" w:rsidP="00634A86">
      <w:pPr>
        <w:jc w:val="both"/>
      </w:pPr>
    </w:p>
    <w:p w14:paraId="784E9452" w14:textId="77777777" w:rsidR="00634A86" w:rsidRPr="009118AB" w:rsidRDefault="00634A86" w:rsidP="00634A86">
      <w:pPr>
        <w:ind w:firstLine="708"/>
        <w:jc w:val="both"/>
      </w:pPr>
      <w:r w:rsidRPr="009118AB">
        <w:t>- Adresse und Parzellennummer der von der Naturkatastrophe betroffenen Betriebsstätte(n),</w:t>
      </w:r>
    </w:p>
    <w:p w14:paraId="799CF33D" w14:textId="77777777" w:rsidR="00634A86" w:rsidRPr="009118AB" w:rsidRDefault="00634A86" w:rsidP="00634A86">
      <w:pPr>
        <w:jc w:val="both"/>
      </w:pPr>
    </w:p>
    <w:p w14:paraId="152C6944" w14:textId="17F5E7E5" w:rsidR="00634A86" w:rsidRPr="009118AB" w:rsidRDefault="00634A86" w:rsidP="00634A86">
      <w:pPr>
        <w:ind w:firstLine="708"/>
        <w:jc w:val="both"/>
      </w:pPr>
      <w:r w:rsidRPr="009118AB">
        <w:t>- </w:t>
      </w:r>
      <w:r w:rsidR="00F57AA5" w:rsidRPr="009118AB">
        <w:t>[</w:t>
      </w:r>
      <w:r w:rsidRPr="009118AB">
        <w:t>Betrag de</w:t>
      </w:r>
      <w:r w:rsidR="00F57AA5" w:rsidRPr="009118AB">
        <w:t>r</w:t>
      </w:r>
      <w:r w:rsidRPr="009118AB">
        <w:t xml:space="preserve"> K</w:t>
      </w:r>
      <w:r w:rsidR="00F57AA5" w:rsidRPr="009118AB">
        <w:t>o</w:t>
      </w:r>
      <w:r w:rsidRPr="009118AB">
        <w:t>sten</w:t>
      </w:r>
      <w:r w:rsidR="00F57AA5" w:rsidRPr="009118AB">
        <w:t>]</w:t>
      </w:r>
      <w:r w:rsidRPr="009118AB">
        <w:t>, die der Arbeitgeber für die Anwendung der in vorliegendem Artikel erwähnten Befreiung berücksichtigen möchte und die durch die materiellen Schäden an Vermögenswerten verursacht wurden, die als direkte Folge der Naturkatastrophe entstanden sind, sowie Vermögenswerte, auf die diese Kosten sich beziehen,</w:t>
      </w:r>
    </w:p>
    <w:p w14:paraId="63CF2427" w14:textId="77777777" w:rsidR="00634A86" w:rsidRPr="009118AB" w:rsidRDefault="00634A86" w:rsidP="00634A86">
      <w:pPr>
        <w:jc w:val="both"/>
      </w:pPr>
    </w:p>
    <w:p w14:paraId="1CAACCD4" w14:textId="112F7C24" w:rsidR="00634A86" w:rsidRPr="009118AB" w:rsidRDefault="00634A86" w:rsidP="00634A86">
      <w:pPr>
        <w:ind w:firstLine="708"/>
        <w:jc w:val="both"/>
      </w:pPr>
      <w:r w:rsidRPr="009118AB">
        <w:t>- </w:t>
      </w:r>
      <w:r w:rsidR="00F57AA5" w:rsidRPr="009118AB">
        <w:t>[</w:t>
      </w:r>
      <w:r w:rsidRPr="009118AB">
        <w:t>Betrag der Kosten</w:t>
      </w:r>
      <w:r w:rsidR="00F57AA5" w:rsidRPr="009118AB">
        <w:t>]</w:t>
      </w:r>
      <w:r w:rsidRPr="009118AB">
        <w:t>, die der Arbeitgeber für die Anwendung der in vorliegendem Artikel erwähnten Befreiung berücksichtigen möchte und die durch den Einkommensausfall verursacht wurden, der als direkte Folge der Naturkatastrophe entstanden ist,</w:t>
      </w:r>
    </w:p>
    <w:p w14:paraId="5F80A0A1" w14:textId="77777777" w:rsidR="00634A86" w:rsidRPr="009118AB" w:rsidRDefault="00634A86" w:rsidP="00634A86">
      <w:pPr>
        <w:jc w:val="both"/>
      </w:pPr>
    </w:p>
    <w:p w14:paraId="649F227E" w14:textId="77777777" w:rsidR="00634A86" w:rsidRPr="009118AB" w:rsidRDefault="00634A86" w:rsidP="00634A86">
      <w:pPr>
        <w:ind w:firstLine="708"/>
        <w:jc w:val="both"/>
      </w:pPr>
      <w:r w:rsidRPr="009118AB">
        <w:lastRenderedPageBreak/>
        <w:t>- gegebenenfalls Betrag der Beihilfe, die dem Arbeitgeber von der Region oder einer anderen öffentlichen Behörde als Ausgleich für diese Schäden gewährt wurde oder gewährt werden wird,</w:t>
      </w:r>
    </w:p>
    <w:p w14:paraId="47FB2C17" w14:textId="77777777" w:rsidR="00634A86" w:rsidRPr="009118AB" w:rsidRDefault="00634A86" w:rsidP="00634A86">
      <w:pPr>
        <w:jc w:val="both"/>
      </w:pPr>
    </w:p>
    <w:p w14:paraId="09D752EA" w14:textId="77777777" w:rsidR="00634A86" w:rsidRPr="009118AB" w:rsidRDefault="00634A86" w:rsidP="00634A86">
      <w:pPr>
        <w:ind w:firstLine="708"/>
        <w:jc w:val="both"/>
      </w:pPr>
      <w:r w:rsidRPr="009118AB">
        <w:t>- gegebenenfalls Betrag der Entschädigungen, die dem Arbeitgeber von einem oder mehreren Versicherern als Ausgleich für diese Schäden gezahlt oder zuerkannt wurden,</w:t>
      </w:r>
    </w:p>
    <w:p w14:paraId="24948558" w14:textId="77777777" w:rsidR="00634A86" w:rsidRPr="009118AB" w:rsidRDefault="00634A86" w:rsidP="00634A86">
      <w:pPr>
        <w:jc w:val="both"/>
      </w:pPr>
    </w:p>
    <w:p w14:paraId="70CC4C7E" w14:textId="77777777" w:rsidR="00634A86" w:rsidRPr="009118AB" w:rsidRDefault="00634A86" w:rsidP="00634A86">
      <w:pPr>
        <w:ind w:firstLine="708"/>
        <w:jc w:val="both"/>
      </w:pPr>
      <w:r w:rsidRPr="009118AB">
        <w:t>- ob diese Beträge endgültig festgestellt worden sind oder nicht.</w:t>
      </w:r>
    </w:p>
    <w:p w14:paraId="689F8192" w14:textId="77777777" w:rsidR="00634A86" w:rsidRPr="009118AB" w:rsidRDefault="00634A86" w:rsidP="00634A86">
      <w:pPr>
        <w:jc w:val="both"/>
      </w:pPr>
    </w:p>
    <w:p w14:paraId="4A3AAB5C" w14:textId="745C924F" w:rsidR="00634A86" w:rsidRPr="009118AB" w:rsidRDefault="00634A86" w:rsidP="00634A86">
      <w:pPr>
        <w:ind w:firstLine="708"/>
        <w:jc w:val="both"/>
      </w:pPr>
      <w:r w:rsidRPr="009118AB">
        <w:t xml:space="preserve">Die in vorliegendem Artikel erwähnte Befreiung von der Zahlung des Berufssteuervorabzugs kann außerdem nur angewandt werden, nachdem der Föderale Öffentliche Dienst Finanzen spätestens im sechsunddreißigsten Monat nach dem Monat, in dem die Naturkatastrophe sich ereignet hat, von der Region eine Bescheinigung erhalten hat, </w:t>
      </w:r>
      <w:r w:rsidR="00F57AA5" w:rsidRPr="009118AB">
        <w:t>[in der die Kosten, die der Arbeitgeber für die Anwendung der in vorliegendem Artikel erwähnten Befreiung berücksichtigen möchte, und die als Ausgleich für diese Kosten ausgezahlten oder zuerkannten Entschädigungen und Beihilfebeträge aufgeführt sind, ohne dass die in § 3 festgelegten Grenzen überschritten werden]</w:t>
      </w:r>
      <w:r w:rsidRPr="009118AB">
        <w:t>. Die Region kann nur dann eine Bescheinigung ausstellen, wenn diese Kosten, Entschädigungen und Beihilfebeträge endgültig festgestellt worden sind.</w:t>
      </w:r>
    </w:p>
    <w:p w14:paraId="47CCC2C9" w14:textId="77777777" w:rsidR="00634A86" w:rsidRPr="009118AB" w:rsidRDefault="00634A86" w:rsidP="00634A86">
      <w:pPr>
        <w:jc w:val="both"/>
      </w:pPr>
    </w:p>
    <w:p w14:paraId="1559751C" w14:textId="77777777" w:rsidR="00634A86" w:rsidRPr="009118AB" w:rsidRDefault="00634A86" w:rsidP="00634A86">
      <w:pPr>
        <w:ind w:firstLine="708"/>
        <w:jc w:val="both"/>
      </w:pPr>
      <w:r w:rsidRPr="009118AB">
        <w:t>Nach Erhalt der in Absatz 2 erwähnten Bescheinigung und spätestens im einundvierzigsten Monat nach dem Monat, in dem die Naturkatastrophe sich ereignet hat, setzt der Föderale Öffentliche Dienst Finanzen den Arbeitgeber durch einen in verschlossenem Umschlag versendeten Brief über die Möglichkeit der Anwendung der in vorliegendem Artikel erwähnten Befreiung von der Zahlung des Berufssteuervorabzugs in Kenntnis. In diesem Brief ist Folgendes vermerkt:</w:t>
      </w:r>
    </w:p>
    <w:p w14:paraId="23EE6FB7" w14:textId="77777777" w:rsidR="00634A86" w:rsidRPr="009118AB" w:rsidRDefault="00634A86" w:rsidP="00634A86">
      <w:pPr>
        <w:jc w:val="both"/>
      </w:pPr>
    </w:p>
    <w:p w14:paraId="0D409055" w14:textId="77777777" w:rsidR="00634A86" w:rsidRPr="009118AB" w:rsidRDefault="00634A86" w:rsidP="00634A86">
      <w:pPr>
        <w:ind w:firstLine="708"/>
        <w:jc w:val="both"/>
      </w:pPr>
      <w:r w:rsidRPr="009118AB">
        <w:t>- Entlohnungen, auf die diese Befreiung angewandt werden kann,</w:t>
      </w:r>
    </w:p>
    <w:p w14:paraId="00EDBFFC" w14:textId="77777777" w:rsidR="00634A86" w:rsidRPr="009118AB" w:rsidRDefault="00634A86" w:rsidP="00634A86">
      <w:pPr>
        <w:jc w:val="both"/>
      </w:pPr>
    </w:p>
    <w:p w14:paraId="3BEAD561" w14:textId="77777777" w:rsidR="00634A86" w:rsidRPr="009118AB" w:rsidRDefault="00634A86" w:rsidP="00634A86">
      <w:pPr>
        <w:ind w:firstLine="708"/>
        <w:jc w:val="both"/>
      </w:pPr>
      <w:r w:rsidRPr="009118AB">
        <w:t>- Formalitäten, die bei der Angabe der Befreiung beachtet werden müssen,</w:t>
      </w:r>
    </w:p>
    <w:p w14:paraId="3B08B1DF" w14:textId="77777777" w:rsidR="00634A86" w:rsidRPr="009118AB" w:rsidRDefault="00634A86" w:rsidP="00634A86">
      <w:pPr>
        <w:jc w:val="both"/>
      </w:pPr>
    </w:p>
    <w:p w14:paraId="579C8FD4" w14:textId="77777777" w:rsidR="00634A86" w:rsidRPr="009118AB" w:rsidRDefault="00634A86" w:rsidP="00634A86">
      <w:pPr>
        <w:ind w:firstLine="708"/>
        <w:jc w:val="both"/>
      </w:pPr>
      <w:r w:rsidRPr="009118AB">
        <w:t>- Formalitäten, die bei der Erbringung des in § 2 Absatz 4 erwähnten Nachweises beachtet werden müssen.</w:t>
      </w:r>
    </w:p>
    <w:p w14:paraId="2C468D5C" w14:textId="77777777" w:rsidR="00634A86" w:rsidRPr="009118AB" w:rsidRDefault="00634A86" w:rsidP="00634A86">
      <w:pPr>
        <w:jc w:val="both"/>
      </w:pPr>
    </w:p>
    <w:p w14:paraId="29A9D7FE" w14:textId="77777777" w:rsidR="00634A86" w:rsidRPr="009118AB" w:rsidRDefault="00634A86" w:rsidP="00634A86">
      <w:pPr>
        <w:ind w:firstLine="708"/>
        <w:jc w:val="both"/>
      </w:pPr>
      <w:r w:rsidRPr="009118AB">
        <w:t>Ab dem 1. Januar 2025 versendet der Föderale Öffentliche Dienst Finanzen den in Absatz 4 erwähnten Brief über die in Artikel 304</w:t>
      </w:r>
      <w:r w:rsidRPr="009118AB">
        <w:rPr>
          <w:i/>
          <w:iCs/>
        </w:rPr>
        <w:t>ter</w:t>
      </w:r>
      <w:r w:rsidRPr="009118AB">
        <w:t xml:space="preserve"> Absatz 2 erwähnte gesicherte elektronische Plattform, außer wenn der Arbeitgeber gemäß Artikel 304</w:t>
      </w:r>
      <w:r w:rsidRPr="009118AB">
        <w:rPr>
          <w:i/>
          <w:iCs/>
        </w:rPr>
        <w:t>quater</w:t>
      </w:r>
      <w:r w:rsidRPr="009118AB">
        <w:t xml:space="preserve"> § 2 Absatz 1 von der Pflicht befreit ist, die in Artikel 304</w:t>
      </w:r>
      <w:r w:rsidRPr="009118AB">
        <w:rPr>
          <w:i/>
          <w:iCs/>
        </w:rPr>
        <w:t>ter</w:t>
      </w:r>
      <w:r w:rsidRPr="009118AB">
        <w:t xml:space="preserve"> Absatz 2 erwähnte gesicherte elektronische Plattform zu benutzen, und er sich nicht dafür entschieden hat, auf elektronischem Wege mit dem Föderalen Öffentlichen Dienst Finanzen zu kommunizieren.</w:t>
      </w:r>
    </w:p>
    <w:p w14:paraId="73CFEF61" w14:textId="77777777" w:rsidR="00634A86" w:rsidRPr="009118AB" w:rsidRDefault="00634A86" w:rsidP="00634A86">
      <w:pPr>
        <w:jc w:val="both"/>
      </w:pPr>
    </w:p>
    <w:p w14:paraId="713F48F4" w14:textId="0B1F60B7" w:rsidR="00634A86" w:rsidRPr="009118AB" w:rsidRDefault="00634A86" w:rsidP="00634A86">
      <w:pPr>
        <w:ind w:firstLine="708"/>
        <w:jc w:val="both"/>
      </w:pPr>
      <w:r w:rsidRPr="009118AB">
        <w:t>Der König kann die in vorliegendem Paragraphen erwähnten Fristen bis spätestens zum siebenundvierzigsten Monat nach dem Monat, in dem die Naturkatastrophe sich ereignet hat, verlängern.]</w:t>
      </w:r>
    </w:p>
    <w:p w14:paraId="4A0EACC4" w14:textId="77777777" w:rsidR="00634A86" w:rsidRPr="009118AB" w:rsidRDefault="00634A86" w:rsidP="00634A86">
      <w:pPr>
        <w:ind w:firstLine="708"/>
        <w:jc w:val="both"/>
      </w:pPr>
    </w:p>
    <w:p w14:paraId="0B598450" w14:textId="084015EF" w:rsidR="00634A86" w:rsidRPr="009118AB" w:rsidRDefault="00634A86" w:rsidP="00634A86">
      <w:pPr>
        <w:jc w:val="both"/>
        <w:rPr>
          <w:i/>
          <w:iCs/>
        </w:rPr>
      </w:pPr>
      <w:r w:rsidRPr="009118AB">
        <w:rPr>
          <w:i/>
          <w:iCs/>
        </w:rPr>
        <w:t>[Art. 275</w:t>
      </w:r>
      <w:r w:rsidRPr="009118AB">
        <w:rPr>
          <w:i/>
          <w:iCs/>
          <w:vertAlign w:val="superscript"/>
        </w:rPr>
        <w:t>9/1</w:t>
      </w:r>
      <w:r w:rsidRPr="009118AB">
        <w:rPr>
          <w:i/>
          <w:iCs/>
        </w:rPr>
        <w:t xml:space="preserve"> eingefügt durch Art. 9 des G. vom 26. Dezember 2022 (II) (B.S. vom 13. Januar 2023) - anwendbar auf die ab dem 1. August 2021 gezahlten oder zuerkannten Entlohnungen -</w:t>
      </w:r>
      <w:r w:rsidR="00F57AA5" w:rsidRPr="009118AB">
        <w:rPr>
          <w:i/>
          <w:iCs/>
        </w:rPr>
        <w:t xml:space="preserve">; </w:t>
      </w:r>
      <w:r w:rsidR="007D04B4">
        <w:rPr>
          <w:i/>
          <w:iCs/>
        </w:rPr>
        <w:t xml:space="preserve">§ 2 Abs. 1 zweiter Gedankenstrich </w:t>
      </w:r>
      <w:r w:rsidR="004706FE">
        <w:rPr>
          <w:i/>
          <w:iCs/>
          <w:spacing w:val="-2"/>
        </w:rPr>
        <w:t>ersetz</w:t>
      </w:r>
      <w:r w:rsidR="007D04B4" w:rsidRPr="003E131B">
        <w:rPr>
          <w:i/>
          <w:iCs/>
          <w:spacing w:val="-2"/>
        </w:rPr>
        <w:t>t durch Art. </w:t>
      </w:r>
      <w:r w:rsidR="007D04B4">
        <w:rPr>
          <w:i/>
          <w:iCs/>
          <w:spacing w:val="-2"/>
        </w:rPr>
        <w:t>55</w:t>
      </w:r>
      <w:r w:rsidR="007D04B4" w:rsidRPr="003E131B">
        <w:rPr>
          <w:i/>
          <w:iCs/>
          <w:spacing w:val="-2"/>
        </w:rPr>
        <w:t xml:space="preserve"> des G. vom 28. Dezember 2023 (B.S. vom 29. Dezember 2023)</w:t>
      </w:r>
      <w:r w:rsidR="00FD7990">
        <w:rPr>
          <w:i/>
          <w:iCs/>
          <w:spacing w:val="-2"/>
        </w:rPr>
        <w:t xml:space="preserve"> und abgeändert durch Art. 71 Nr. 1</w:t>
      </w:r>
      <w:r w:rsidR="00B45A64" w:rsidRPr="00B45A64">
        <w:rPr>
          <w:i/>
          <w:iCs/>
          <w:spacing w:val="-2"/>
        </w:rPr>
        <w:t xml:space="preserve"> des G. vom 12. Mai 2024 (B.S. vom 29. Mai 2024)</w:t>
      </w:r>
      <w:r w:rsidR="007D04B4">
        <w:rPr>
          <w:i/>
          <w:iCs/>
          <w:spacing w:val="-2"/>
        </w:rPr>
        <w:t xml:space="preserve">; </w:t>
      </w:r>
      <w:r w:rsidR="00F57AA5" w:rsidRPr="009118AB">
        <w:rPr>
          <w:i/>
          <w:iCs/>
        </w:rPr>
        <w:t xml:space="preserve">§ 3 abgeändert durch Art. 30 Nr. 1 des G. vom </w:t>
      </w:r>
      <w:r w:rsidR="00F57AA5" w:rsidRPr="009118AB">
        <w:rPr>
          <w:i/>
          <w:iCs/>
        </w:rPr>
        <w:lastRenderedPageBreak/>
        <w:t>31. Juli 2023 (II) (B.S. vom 23. August 2023); § 4 Abs. 2 dritter Gedankenstrich abgeändert durch Art. 30 Nr. 2 des G. vom 31. Juli 2023 (II) (B.S. vom 23. August 2023); § 4 Abs. 2 vierter Gedankenstrich abgeändert durch Art. 30 Nr. 3 des G. vom 31. Juli 2023 (II) (B.S. vom 23. August 2023); § 4 Abs. 3 abgeändert durch Art. 30 Nr. 4 des G. vom 31. Juli 2023 (II) (B.S. vom 23. August 2023)</w:t>
      </w:r>
      <w:r w:rsidRPr="009118AB">
        <w:rPr>
          <w:i/>
          <w:iCs/>
        </w:rPr>
        <w:t>]</w:t>
      </w:r>
    </w:p>
    <w:bookmarkEnd w:id="24"/>
    <w:p w14:paraId="652E245E" w14:textId="77777777" w:rsidR="00634A86" w:rsidRDefault="00634A86" w:rsidP="00634A86">
      <w:pPr>
        <w:jc w:val="both"/>
      </w:pPr>
    </w:p>
    <w:p w14:paraId="5FF7C8B7" w14:textId="77777777" w:rsidR="00641EC6" w:rsidRDefault="00641EC6" w:rsidP="00634A86">
      <w:pPr>
        <w:jc w:val="both"/>
      </w:pPr>
    </w:p>
    <w:p w14:paraId="671AE0E4" w14:textId="01233D79" w:rsidR="00641EC6" w:rsidRDefault="00641EC6" w:rsidP="00641EC6">
      <w:pPr>
        <w:jc w:val="both"/>
        <w:rPr>
          <w:iCs/>
          <w:sz w:val="20"/>
        </w:rPr>
      </w:pPr>
      <w:r>
        <w:rPr>
          <w:sz w:val="20"/>
          <w:szCs w:val="20"/>
        </w:rPr>
        <w:t>Ab einem gemäß Art. 222 des G. vom 12. Mai 2024 (B.S. vom 30. Mai 2024) vom König festzulegenden Datum und spätestens am 1. Januar 2028 lautet Art. 275</w:t>
      </w:r>
      <w:r w:rsidRPr="00641EC6">
        <w:rPr>
          <w:sz w:val="20"/>
          <w:szCs w:val="20"/>
          <w:vertAlign w:val="superscript"/>
        </w:rPr>
        <w:t>9/1</w:t>
      </w:r>
      <w:r>
        <w:rPr>
          <w:sz w:val="20"/>
          <w:szCs w:val="20"/>
        </w:rPr>
        <w:t xml:space="preserve"> </w:t>
      </w:r>
      <w:r>
        <w:rPr>
          <w:iCs/>
          <w:sz w:val="20"/>
        </w:rPr>
        <w:t>wie folgt:</w:t>
      </w:r>
    </w:p>
    <w:p w14:paraId="73160BD7" w14:textId="77777777" w:rsidR="00641EC6" w:rsidRDefault="00641EC6" w:rsidP="00641EC6">
      <w:pPr>
        <w:jc w:val="both"/>
        <w:rPr>
          <w:iCs/>
          <w:sz w:val="20"/>
        </w:rPr>
      </w:pPr>
    </w:p>
    <w:p w14:paraId="5024222F" w14:textId="0B852F83" w:rsidR="00641EC6" w:rsidRPr="00641EC6" w:rsidRDefault="00641EC6" w:rsidP="00641EC6">
      <w:pPr>
        <w:jc w:val="both"/>
        <w:rPr>
          <w:iCs/>
          <w:sz w:val="20"/>
        </w:rPr>
      </w:pPr>
      <w:r>
        <w:rPr>
          <w:iCs/>
          <w:sz w:val="20"/>
        </w:rPr>
        <w:t>"</w:t>
      </w:r>
      <w:r w:rsidRPr="00641EC6">
        <w:rPr>
          <w:iCs/>
          <w:sz w:val="20"/>
        </w:rPr>
        <w:t>[Art. 275</w:t>
      </w:r>
      <w:r w:rsidRPr="00641EC6">
        <w:rPr>
          <w:iCs/>
          <w:sz w:val="20"/>
          <w:vertAlign w:val="superscript"/>
        </w:rPr>
        <w:t>9/1</w:t>
      </w:r>
      <w:r w:rsidRPr="00641EC6">
        <w:rPr>
          <w:iCs/>
          <w:sz w:val="20"/>
        </w:rPr>
        <w:t> - § 1 ­ In § 2 erwähnte Arbeitgeber, denen infolge einer Naturkatastrophe, die der König in Anwendung von Artikel 19/2 des Gesetzes vom 15. Mai 2014 zur Ausführung des Pakts für Wettbewerbsfähigkeit, Beschäftigung und Wirtschaftsbelebung in den Anwendungsbereich des vorliegenden Artikels einbezogen hat, in einer Betriebsstätte, die auf dem Gebiet einer Region wie in Artikel 19/2 desselben Gesetzes erwähnt gelegen ist, Schäden entstanden sind und die ein Formular wie in § 4 erwähnt rechtsgültig vorgelegt haben, sind von der Zuführung von 30 Prozent des Berufssteuervorabzugs in Bezug auf die in § 2 erwähnten Entlohnungen an die Staatskasse befreit unter der Bedingung, dass der Gesamtbetrag der Befreiung den in § 3 erwähnten Betrag nicht übersteigt und dass sie die Gesamtheit des vorerwähnten Vorabzugs auf diese Entlohnungen einbehalten.</w:t>
      </w:r>
    </w:p>
    <w:p w14:paraId="154032DA" w14:textId="77777777" w:rsidR="00641EC6" w:rsidRPr="00641EC6" w:rsidRDefault="00641EC6" w:rsidP="00641EC6">
      <w:pPr>
        <w:jc w:val="both"/>
        <w:rPr>
          <w:iCs/>
          <w:sz w:val="20"/>
        </w:rPr>
      </w:pPr>
    </w:p>
    <w:p w14:paraId="5AEB9D80" w14:textId="77777777" w:rsidR="00641EC6" w:rsidRPr="00641EC6" w:rsidRDefault="00641EC6" w:rsidP="00641EC6">
      <w:pPr>
        <w:jc w:val="both"/>
        <w:rPr>
          <w:iCs/>
          <w:sz w:val="20"/>
        </w:rPr>
      </w:pPr>
      <w:r w:rsidRPr="00641EC6">
        <w:rPr>
          <w:iCs/>
          <w:sz w:val="20"/>
        </w:rPr>
        <w:t>Für die Anwendung des vorliegenden Artikels ist unter Betriebsstätte ein Standort zu verstehen, der geografisch anhand einer Adresse identifiziert werden kann und wo zum Zeitpunkt der Naturkatastrophe eine oder mehrere Tätigkeiten des Unternehmens ausgeübt wurden.</w:t>
      </w:r>
    </w:p>
    <w:p w14:paraId="1C061C35" w14:textId="77777777" w:rsidR="00641EC6" w:rsidRPr="00641EC6" w:rsidRDefault="00641EC6" w:rsidP="00641EC6">
      <w:pPr>
        <w:jc w:val="both"/>
        <w:rPr>
          <w:iCs/>
          <w:sz w:val="20"/>
        </w:rPr>
      </w:pPr>
    </w:p>
    <w:p w14:paraId="6A305F54" w14:textId="77777777" w:rsidR="00641EC6" w:rsidRPr="00641EC6" w:rsidRDefault="00641EC6" w:rsidP="00641EC6">
      <w:pPr>
        <w:jc w:val="both"/>
        <w:rPr>
          <w:iCs/>
          <w:sz w:val="20"/>
        </w:rPr>
      </w:pPr>
      <w:r w:rsidRPr="00641EC6">
        <w:rPr>
          <w:iCs/>
          <w:sz w:val="20"/>
        </w:rPr>
        <w:t>§ 2 - Entlohnungen, die für die Anwendung des vorliegenden Artikels in Betracht kommen, sind Entlohnungen, die folgende Bedingungen erfüllen:</w:t>
      </w:r>
    </w:p>
    <w:p w14:paraId="5CC5F7B3" w14:textId="77777777" w:rsidR="00641EC6" w:rsidRPr="00641EC6" w:rsidRDefault="00641EC6" w:rsidP="00641EC6">
      <w:pPr>
        <w:jc w:val="both"/>
        <w:rPr>
          <w:iCs/>
          <w:sz w:val="20"/>
        </w:rPr>
      </w:pPr>
    </w:p>
    <w:p w14:paraId="31BC743B" w14:textId="77777777" w:rsidR="00641EC6" w:rsidRPr="00641EC6" w:rsidRDefault="00641EC6" w:rsidP="00641EC6">
      <w:pPr>
        <w:jc w:val="both"/>
        <w:rPr>
          <w:iCs/>
          <w:sz w:val="20"/>
        </w:rPr>
      </w:pPr>
      <w:r w:rsidRPr="00641EC6">
        <w:rPr>
          <w:iCs/>
          <w:sz w:val="20"/>
        </w:rPr>
        <w:t>- Es handelt sich um Entlohnungen für Arbeitnehmer, die in einer Betriebsstätte beschäftigt sind, der infolge einer in § 1 erwähnten Naturkatastrophe Schäden entstanden sind.</w:t>
      </w:r>
    </w:p>
    <w:p w14:paraId="25C3CBFC" w14:textId="77777777" w:rsidR="00641EC6" w:rsidRPr="00641EC6" w:rsidRDefault="00641EC6" w:rsidP="00641EC6">
      <w:pPr>
        <w:jc w:val="both"/>
        <w:rPr>
          <w:iCs/>
          <w:sz w:val="20"/>
        </w:rPr>
      </w:pPr>
    </w:p>
    <w:p w14:paraId="63754023" w14:textId="77777777" w:rsidR="00641EC6" w:rsidRPr="00641EC6" w:rsidRDefault="00641EC6" w:rsidP="00641EC6">
      <w:pPr>
        <w:jc w:val="both"/>
        <w:rPr>
          <w:iCs/>
          <w:sz w:val="20"/>
        </w:rPr>
      </w:pPr>
      <w:r w:rsidRPr="00641EC6">
        <w:rPr>
          <w:iCs/>
          <w:sz w:val="20"/>
        </w:rPr>
        <w:t>- [Es handelt sich um Entlohnungen [für Leistungen, die in einem Zeitraum von vierzig Monaten ab dem Monat erbracht wurden,] der auf den Monat folgt, in dem die Naturkatastrophe sich ereignet hat, und die spätestens im siebenundvierzigsten Monat nach dem Monat, in dem die Naturkatastrophe sich ereignet hat, gezahlt oder zuerkannt werden.]</w:t>
      </w:r>
    </w:p>
    <w:p w14:paraId="242A6465" w14:textId="77777777" w:rsidR="00641EC6" w:rsidRPr="00641EC6" w:rsidRDefault="00641EC6" w:rsidP="00641EC6">
      <w:pPr>
        <w:jc w:val="both"/>
        <w:rPr>
          <w:iCs/>
          <w:sz w:val="20"/>
        </w:rPr>
      </w:pPr>
    </w:p>
    <w:p w14:paraId="095A3CD4" w14:textId="77777777" w:rsidR="00641EC6" w:rsidRPr="00641EC6" w:rsidRDefault="00641EC6" w:rsidP="00641EC6">
      <w:pPr>
        <w:jc w:val="both"/>
        <w:rPr>
          <w:iCs/>
          <w:sz w:val="20"/>
        </w:rPr>
      </w:pPr>
      <w:r w:rsidRPr="00641EC6">
        <w:rPr>
          <w:iCs/>
          <w:sz w:val="20"/>
        </w:rPr>
        <w:t>- Es handelt sich um steuerpflichtige Entlohnungen der Arbeitnehmer, die gemäß Artikel 31 Absatz 2 Nr. 1 und 2 festgelegt werden, ohne doppeltes Urlaubsgeld, Jahresendprämie und ausstehende Entlohnungen.</w:t>
      </w:r>
    </w:p>
    <w:p w14:paraId="65DC4517" w14:textId="77777777" w:rsidR="00641EC6" w:rsidRPr="00641EC6" w:rsidRDefault="00641EC6" w:rsidP="00641EC6">
      <w:pPr>
        <w:jc w:val="both"/>
        <w:rPr>
          <w:iCs/>
          <w:sz w:val="20"/>
        </w:rPr>
      </w:pPr>
    </w:p>
    <w:p w14:paraId="4E536669" w14:textId="77777777" w:rsidR="00641EC6" w:rsidRPr="00641EC6" w:rsidRDefault="00641EC6" w:rsidP="00641EC6">
      <w:pPr>
        <w:jc w:val="both"/>
        <w:rPr>
          <w:iCs/>
          <w:sz w:val="20"/>
        </w:rPr>
      </w:pPr>
      <w:r w:rsidRPr="00641EC6">
        <w:rPr>
          <w:iCs/>
          <w:sz w:val="20"/>
        </w:rPr>
        <w:t>Die in vorliegendem Artikel erwähnte Befreiung von der Zahlung des Berufssteuervorabzugs kann nicht auf den Berufssteuervorabzug angewandt werden, der zusätzlich zu dem verordnungsgemäßen Mindestbetrag des geschuldeten Berufssteuervorabzugs einbehalten wird.</w:t>
      </w:r>
    </w:p>
    <w:p w14:paraId="708CA8ED" w14:textId="77777777" w:rsidR="00641EC6" w:rsidRPr="00641EC6" w:rsidRDefault="00641EC6" w:rsidP="00641EC6">
      <w:pPr>
        <w:jc w:val="both"/>
        <w:rPr>
          <w:iCs/>
          <w:sz w:val="20"/>
        </w:rPr>
      </w:pPr>
    </w:p>
    <w:p w14:paraId="5F3983AE" w14:textId="77777777" w:rsidR="00641EC6" w:rsidRPr="00641EC6" w:rsidRDefault="00641EC6" w:rsidP="00641EC6">
      <w:pPr>
        <w:jc w:val="both"/>
        <w:rPr>
          <w:iCs/>
          <w:sz w:val="20"/>
        </w:rPr>
      </w:pPr>
      <w:r w:rsidRPr="00641EC6">
        <w:rPr>
          <w:iCs/>
          <w:sz w:val="20"/>
        </w:rPr>
        <w:t>Die in vorliegendem Artikel erwähnte Befreiung von der Zahlung des Berufssteuervorabzugs kann nicht gewährt werden, wenn eine andere in den Artikeln 275</w:t>
      </w:r>
      <w:r w:rsidRPr="00641EC6">
        <w:rPr>
          <w:iCs/>
          <w:sz w:val="20"/>
          <w:vertAlign w:val="superscript"/>
        </w:rPr>
        <w:t>2</w:t>
      </w:r>
      <w:r w:rsidRPr="00641EC6">
        <w:rPr>
          <w:iCs/>
          <w:sz w:val="20"/>
        </w:rPr>
        <w:t xml:space="preserve"> bis 275</w:t>
      </w:r>
      <w:r w:rsidRPr="00641EC6">
        <w:rPr>
          <w:iCs/>
          <w:sz w:val="20"/>
          <w:vertAlign w:val="superscript"/>
        </w:rPr>
        <w:t>6</w:t>
      </w:r>
      <w:r w:rsidRPr="00641EC6">
        <w:rPr>
          <w:iCs/>
          <w:sz w:val="20"/>
        </w:rPr>
        <w:t xml:space="preserve"> und 275</w:t>
      </w:r>
      <w:r w:rsidRPr="00641EC6">
        <w:rPr>
          <w:iCs/>
          <w:sz w:val="20"/>
          <w:vertAlign w:val="superscript"/>
        </w:rPr>
        <w:t>8</w:t>
      </w:r>
      <w:r w:rsidRPr="00641EC6">
        <w:rPr>
          <w:iCs/>
          <w:sz w:val="20"/>
        </w:rPr>
        <w:t xml:space="preserve"> bis 275</w:t>
      </w:r>
      <w:r w:rsidRPr="00641EC6">
        <w:rPr>
          <w:iCs/>
          <w:sz w:val="20"/>
          <w:vertAlign w:val="superscript"/>
        </w:rPr>
        <w:t>12</w:t>
      </w:r>
      <w:r w:rsidRPr="00641EC6">
        <w:rPr>
          <w:iCs/>
          <w:sz w:val="20"/>
        </w:rPr>
        <w:t xml:space="preserve"> erwähnte Befreiung auf dieselbe Entlohnung angewandt wird.</w:t>
      </w:r>
    </w:p>
    <w:p w14:paraId="3C7DA684" w14:textId="77777777" w:rsidR="00641EC6" w:rsidRPr="00641EC6" w:rsidRDefault="00641EC6" w:rsidP="00641EC6">
      <w:pPr>
        <w:jc w:val="both"/>
        <w:rPr>
          <w:iCs/>
          <w:sz w:val="20"/>
        </w:rPr>
      </w:pPr>
    </w:p>
    <w:p w14:paraId="3B69FCE8" w14:textId="77777777" w:rsidR="00641EC6" w:rsidRPr="00641EC6" w:rsidRDefault="00641EC6" w:rsidP="00641EC6">
      <w:pPr>
        <w:jc w:val="both"/>
        <w:rPr>
          <w:iCs/>
          <w:sz w:val="20"/>
        </w:rPr>
      </w:pPr>
      <w:r w:rsidRPr="00641EC6">
        <w:rPr>
          <w:iCs/>
          <w:sz w:val="20"/>
        </w:rPr>
        <w:t>Um die Befreiung von der Zahlung des Berufssteuervorabzugs zu erhalten, muss der Arbeitgeber den Nachweis erbringen, dass er die in vorliegendem Paragraphen vorgesehenen Bedingungen erfüllt, und ihn zur Verfügung des Föderalen Öffentlichen Dienstes Finanzen bereithalten. Der König bestimmt die Modalitäten für die Erbringung dieses Nachweises.</w:t>
      </w:r>
    </w:p>
    <w:p w14:paraId="6C1819C9" w14:textId="77777777" w:rsidR="00641EC6" w:rsidRPr="00641EC6" w:rsidRDefault="00641EC6" w:rsidP="00641EC6">
      <w:pPr>
        <w:jc w:val="both"/>
        <w:rPr>
          <w:iCs/>
          <w:sz w:val="20"/>
        </w:rPr>
      </w:pPr>
    </w:p>
    <w:p w14:paraId="73A21520" w14:textId="77777777" w:rsidR="00641EC6" w:rsidRPr="00641EC6" w:rsidRDefault="00641EC6" w:rsidP="00641EC6">
      <w:pPr>
        <w:jc w:val="both"/>
        <w:rPr>
          <w:iCs/>
          <w:sz w:val="20"/>
        </w:rPr>
      </w:pPr>
      <w:r w:rsidRPr="00641EC6">
        <w:rPr>
          <w:iCs/>
          <w:sz w:val="20"/>
        </w:rPr>
        <w:t xml:space="preserve">§ 3 - Der Gesamtbetrag der Befreiung von der Zahlung des Berufssteuervorabzugs, der gemäß vorliegendem Artikel pro Arbeitgeber und pro Naturkatastrophe gewährt wird, gegebenenfalls erhöht um die für diesen Vorabzug geschuldeten Aufschubzinsen, kann nicht höher sein als 25 Prozent der Differenz zwischen einerseits den Kosten, die durch die als direkte Folge der Naturkatastrophe entstandenen Schäden verursacht wurden, die von der Region auf der Grundlage von Artikel 50 der in Artikel 19/1 desselben Gesetzes erwähnten Verordnung (EU) Nr. 651/2014, von Artikel 30 der in Artikel 19/1 desselben Gesetzes erwähnten Verordnung (EU) Nr. 702/2014 oder von Artikel 44 der in Artikel 19/1 desselben Gesetzes erwähnten Verordnung (EU) Nr. 1388/2014 endgültig festgestellt worden sind [und die von der Region in der in § 4 erwähnten Bescheinigung angegeben worden sind, und andererseits der Beihilfe und den Entschädigungen wie in </w:t>
      </w:r>
      <w:r w:rsidRPr="00641EC6">
        <w:rPr>
          <w:iCs/>
          <w:sz w:val="20"/>
        </w:rPr>
        <w:lastRenderedPageBreak/>
        <w:t>der Bescheinigung angegeben], die dem Arbeitgeber von der Region, einer anderen öffentlichen Behörde oder einem Versicherer als Ausgleich für diese Schäden gewährt wurde beziehungsweise zuerkannt wurden.</w:t>
      </w:r>
    </w:p>
    <w:p w14:paraId="2C11560D" w14:textId="77777777" w:rsidR="00641EC6" w:rsidRPr="00641EC6" w:rsidRDefault="00641EC6" w:rsidP="00641EC6">
      <w:pPr>
        <w:jc w:val="both"/>
        <w:rPr>
          <w:iCs/>
          <w:sz w:val="20"/>
        </w:rPr>
      </w:pPr>
    </w:p>
    <w:p w14:paraId="301EFA14" w14:textId="77777777" w:rsidR="00641EC6" w:rsidRPr="00641EC6" w:rsidRDefault="00641EC6" w:rsidP="00641EC6">
      <w:pPr>
        <w:jc w:val="both"/>
        <w:rPr>
          <w:iCs/>
          <w:sz w:val="20"/>
        </w:rPr>
      </w:pPr>
      <w:r w:rsidRPr="00641EC6">
        <w:rPr>
          <w:iCs/>
          <w:sz w:val="20"/>
        </w:rPr>
        <w:t>§ 4 - Bevor der Arbeitgeber die in vorliegendem Artikel erwähnte Zahlungsbefreiung erhalten kann, muss er spätestens im dreißigsten Monat nach dem Monat, in dem die Naturkatastrophe sich ereignet hat, ein Formular einreichen, dessen Muster vom König festgelegt wird.</w:t>
      </w:r>
    </w:p>
    <w:p w14:paraId="2F6CA470" w14:textId="77777777" w:rsidR="00641EC6" w:rsidRPr="00641EC6" w:rsidRDefault="00641EC6" w:rsidP="00641EC6">
      <w:pPr>
        <w:jc w:val="both"/>
        <w:rPr>
          <w:iCs/>
          <w:sz w:val="20"/>
        </w:rPr>
      </w:pPr>
    </w:p>
    <w:p w14:paraId="262403CE" w14:textId="77777777" w:rsidR="00641EC6" w:rsidRPr="00641EC6" w:rsidRDefault="00641EC6" w:rsidP="00641EC6">
      <w:pPr>
        <w:jc w:val="both"/>
        <w:rPr>
          <w:iCs/>
          <w:sz w:val="20"/>
        </w:rPr>
      </w:pPr>
      <w:r w:rsidRPr="00641EC6">
        <w:rPr>
          <w:iCs/>
          <w:sz w:val="20"/>
        </w:rPr>
        <w:t>In diesem Formular vermerkt der Arbeitgeber:</w:t>
      </w:r>
    </w:p>
    <w:p w14:paraId="4EB2C915" w14:textId="77777777" w:rsidR="00641EC6" w:rsidRPr="00641EC6" w:rsidRDefault="00641EC6" w:rsidP="00641EC6">
      <w:pPr>
        <w:jc w:val="both"/>
        <w:rPr>
          <w:iCs/>
          <w:sz w:val="20"/>
        </w:rPr>
      </w:pPr>
    </w:p>
    <w:p w14:paraId="3BD8FCE7" w14:textId="77777777" w:rsidR="00641EC6" w:rsidRPr="00641EC6" w:rsidRDefault="00641EC6" w:rsidP="00641EC6">
      <w:pPr>
        <w:jc w:val="both"/>
        <w:rPr>
          <w:iCs/>
          <w:sz w:val="20"/>
        </w:rPr>
      </w:pPr>
      <w:r w:rsidRPr="00641EC6">
        <w:rPr>
          <w:iCs/>
          <w:sz w:val="20"/>
        </w:rPr>
        <w:t>- seine Identität,</w:t>
      </w:r>
    </w:p>
    <w:p w14:paraId="0E6AEE55" w14:textId="77777777" w:rsidR="00641EC6" w:rsidRPr="00641EC6" w:rsidRDefault="00641EC6" w:rsidP="00641EC6">
      <w:pPr>
        <w:jc w:val="both"/>
        <w:rPr>
          <w:iCs/>
          <w:sz w:val="20"/>
        </w:rPr>
      </w:pPr>
    </w:p>
    <w:p w14:paraId="3745E023" w14:textId="77777777" w:rsidR="00641EC6" w:rsidRPr="00641EC6" w:rsidRDefault="00641EC6" w:rsidP="00641EC6">
      <w:pPr>
        <w:jc w:val="both"/>
        <w:rPr>
          <w:iCs/>
          <w:sz w:val="20"/>
        </w:rPr>
      </w:pPr>
      <w:r w:rsidRPr="00641EC6">
        <w:rPr>
          <w:iCs/>
          <w:sz w:val="20"/>
        </w:rPr>
        <w:t>- Adresse und Parzellennummer der von der Naturkatastrophe betroffenen Betriebsstätte(n),</w:t>
      </w:r>
    </w:p>
    <w:p w14:paraId="0EB46D78" w14:textId="77777777" w:rsidR="00641EC6" w:rsidRPr="00641EC6" w:rsidRDefault="00641EC6" w:rsidP="00641EC6">
      <w:pPr>
        <w:jc w:val="both"/>
        <w:rPr>
          <w:iCs/>
          <w:sz w:val="20"/>
        </w:rPr>
      </w:pPr>
    </w:p>
    <w:p w14:paraId="3AD84466" w14:textId="77777777" w:rsidR="00641EC6" w:rsidRPr="00641EC6" w:rsidRDefault="00641EC6" w:rsidP="00641EC6">
      <w:pPr>
        <w:jc w:val="both"/>
        <w:rPr>
          <w:iCs/>
          <w:sz w:val="20"/>
        </w:rPr>
      </w:pPr>
      <w:r w:rsidRPr="00641EC6">
        <w:rPr>
          <w:iCs/>
          <w:sz w:val="20"/>
        </w:rPr>
        <w:t>- [Betrag der Kosten], die der Arbeitgeber für die Anwendung der in vorliegendem Artikel erwähnten Befreiung berücksichtigen möchte und die durch die materiellen Schäden an Vermögenswerten verursacht wurden, die als direkte Folge der Naturkatastrophe entstanden sind, sowie Vermögenswerte, auf die diese Kosten sich beziehen,</w:t>
      </w:r>
    </w:p>
    <w:p w14:paraId="15C4D28D" w14:textId="77777777" w:rsidR="00641EC6" w:rsidRPr="00641EC6" w:rsidRDefault="00641EC6" w:rsidP="00641EC6">
      <w:pPr>
        <w:jc w:val="both"/>
        <w:rPr>
          <w:iCs/>
          <w:sz w:val="20"/>
        </w:rPr>
      </w:pPr>
    </w:p>
    <w:p w14:paraId="3ACE285D" w14:textId="77777777" w:rsidR="00641EC6" w:rsidRPr="00641EC6" w:rsidRDefault="00641EC6" w:rsidP="00641EC6">
      <w:pPr>
        <w:jc w:val="both"/>
        <w:rPr>
          <w:iCs/>
          <w:sz w:val="20"/>
        </w:rPr>
      </w:pPr>
      <w:r w:rsidRPr="00641EC6">
        <w:rPr>
          <w:iCs/>
          <w:sz w:val="20"/>
        </w:rPr>
        <w:t>- [Betrag der Kosten], die der Arbeitgeber für die Anwendung der in vorliegendem Artikel erwähnten Befreiung berücksichtigen möchte und die durch den Einkommensausfall verursacht wurden, der als direkte Folge der Naturkatastrophe entstanden ist,</w:t>
      </w:r>
    </w:p>
    <w:p w14:paraId="11EF5A05" w14:textId="77777777" w:rsidR="00641EC6" w:rsidRPr="00641EC6" w:rsidRDefault="00641EC6" w:rsidP="00641EC6">
      <w:pPr>
        <w:jc w:val="both"/>
        <w:rPr>
          <w:iCs/>
          <w:sz w:val="20"/>
        </w:rPr>
      </w:pPr>
    </w:p>
    <w:p w14:paraId="265D2A50" w14:textId="77777777" w:rsidR="00641EC6" w:rsidRPr="00641EC6" w:rsidRDefault="00641EC6" w:rsidP="00641EC6">
      <w:pPr>
        <w:jc w:val="both"/>
        <w:rPr>
          <w:iCs/>
          <w:sz w:val="20"/>
        </w:rPr>
      </w:pPr>
      <w:r w:rsidRPr="00641EC6">
        <w:rPr>
          <w:iCs/>
          <w:sz w:val="20"/>
        </w:rPr>
        <w:t>- gegebenenfalls Betrag der Beihilfe, die dem Arbeitgeber von der Region oder einer anderen öffentlichen Behörde als Ausgleich für diese Schäden gewährt wurde oder gewährt werden wird,</w:t>
      </w:r>
    </w:p>
    <w:p w14:paraId="5F2D1740" w14:textId="77777777" w:rsidR="00641EC6" w:rsidRPr="00641EC6" w:rsidRDefault="00641EC6" w:rsidP="00641EC6">
      <w:pPr>
        <w:jc w:val="both"/>
        <w:rPr>
          <w:iCs/>
          <w:sz w:val="20"/>
        </w:rPr>
      </w:pPr>
    </w:p>
    <w:p w14:paraId="5FE1EA6F" w14:textId="77777777" w:rsidR="00641EC6" w:rsidRPr="00641EC6" w:rsidRDefault="00641EC6" w:rsidP="00641EC6">
      <w:pPr>
        <w:jc w:val="both"/>
        <w:rPr>
          <w:iCs/>
          <w:sz w:val="20"/>
        </w:rPr>
      </w:pPr>
      <w:r w:rsidRPr="00641EC6">
        <w:rPr>
          <w:iCs/>
          <w:sz w:val="20"/>
        </w:rPr>
        <w:t>- gegebenenfalls Betrag der Entschädigungen, die dem Arbeitgeber von einem oder mehreren Versicherern als Ausgleich für diese Schäden gezahlt oder zuerkannt wurden,</w:t>
      </w:r>
    </w:p>
    <w:p w14:paraId="78EB8BA6" w14:textId="77777777" w:rsidR="00641EC6" w:rsidRPr="00641EC6" w:rsidRDefault="00641EC6" w:rsidP="00641EC6">
      <w:pPr>
        <w:jc w:val="both"/>
        <w:rPr>
          <w:iCs/>
          <w:sz w:val="20"/>
        </w:rPr>
      </w:pPr>
    </w:p>
    <w:p w14:paraId="7F594BA6" w14:textId="77777777" w:rsidR="00641EC6" w:rsidRPr="00641EC6" w:rsidRDefault="00641EC6" w:rsidP="00641EC6">
      <w:pPr>
        <w:jc w:val="both"/>
        <w:rPr>
          <w:iCs/>
          <w:sz w:val="20"/>
        </w:rPr>
      </w:pPr>
      <w:r w:rsidRPr="00641EC6">
        <w:rPr>
          <w:iCs/>
          <w:sz w:val="20"/>
        </w:rPr>
        <w:t>- ob diese Beträge endgültig festgestellt worden sind oder nicht.</w:t>
      </w:r>
    </w:p>
    <w:p w14:paraId="1FB81252" w14:textId="77777777" w:rsidR="00641EC6" w:rsidRPr="00641EC6" w:rsidRDefault="00641EC6" w:rsidP="00641EC6">
      <w:pPr>
        <w:jc w:val="both"/>
        <w:rPr>
          <w:iCs/>
          <w:sz w:val="20"/>
        </w:rPr>
      </w:pPr>
    </w:p>
    <w:p w14:paraId="73A3A6BB" w14:textId="77777777" w:rsidR="00641EC6" w:rsidRPr="00641EC6" w:rsidRDefault="00641EC6" w:rsidP="00641EC6">
      <w:pPr>
        <w:jc w:val="both"/>
        <w:rPr>
          <w:iCs/>
          <w:sz w:val="20"/>
        </w:rPr>
      </w:pPr>
      <w:r w:rsidRPr="00641EC6">
        <w:rPr>
          <w:iCs/>
          <w:sz w:val="20"/>
        </w:rPr>
        <w:t>Die in vorliegendem Artikel erwähnte Befreiung von der Zahlung des Berufssteuervorabzugs kann außerdem nur angewandt werden, nachdem der Föderale Öffentliche Dienst Finanzen spätestens im sechsunddreißigsten Monat nach dem Monat, in dem die Naturkatastrophe sich ereignet hat, von der Region eine Bescheinigung erhalten hat, [in der die Kosten, die der Arbeitgeber für die Anwendung der in vorliegendem Artikel erwähnten Befreiung berücksichtigen möchte, und die als Ausgleich für diese Kosten ausgezahlten oder zuerkannten Entschädigungen und Beihilfebeträge aufgeführt sind, ohne dass die in § 3 festgelegten Grenzen überschritten werden]. Die Region kann nur dann eine Bescheinigung ausstellen, wenn diese Kosten, Entschädigungen und Beihilfebeträge endgültig festgestellt worden sind.</w:t>
      </w:r>
    </w:p>
    <w:p w14:paraId="6840570E" w14:textId="77777777" w:rsidR="00641EC6" w:rsidRPr="00641EC6" w:rsidRDefault="00641EC6" w:rsidP="00641EC6">
      <w:pPr>
        <w:jc w:val="both"/>
        <w:rPr>
          <w:iCs/>
          <w:sz w:val="20"/>
        </w:rPr>
      </w:pPr>
    </w:p>
    <w:p w14:paraId="0758AF7F" w14:textId="48A1D1EC" w:rsidR="00641EC6" w:rsidRPr="00641EC6" w:rsidRDefault="00641EC6" w:rsidP="00641EC6">
      <w:pPr>
        <w:jc w:val="both"/>
        <w:rPr>
          <w:iCs/>
          <w:sz w:val="20"/>
        </w:rPr>
      </w:pPr>
      <w:r w:rsidRPr="00641EC6">
        <w:rPr>
          <w:iCs/>
          <w:sz w:val="20"/>
        </w:rPr>
        <w:t xml:space="preserve">Nach Erhalt der in Absatz 2 erwähnten Bescheinigung und spätestens im einundvierzigsten Monat nach dem Monat, in dem die Naturkatastrophe sich ereignet hat, </w:t>
      </w:r>
      <w:r>
        <w:rPr>
          <w:iCs/>
          <w:sz w:val="20"/>
        </w:rPr>
        <w:t>[</w:t>
      </w:r>
      <w:r w:rsidRPr="00641EC6">
        <w:rPr>
          <w:iCs/>
          <w:sz w:val="20"/>
        </w:rPr>
        <w:t>informiert der Föderale Öffentliche Dienst Finanzen den Arbeitgeber über die Möglichkeit der Anwendung der in vorliegendem Artikel erwähnten Befreiung von der Zahlung des Berufssteuervorabzugs</w:t>
      </w:r>
      <w:r>
        <w:rPr>
          <w:iCs/>
          <w:sz w:val="20"/>
        </w:rPr>
        <w:t>]</w:t>
      </w:r>
      <w:r w:rsidRPr="00641EC6">
        <w:rPr>
          <w:iCs/>
          <w:sz w:val="20"/>
        </w:rPr>
        <w:t>. In diesem Brief ist Folgendes vermerkt:</w:t>
      </w:r>
    </w:p>
    <w:p w14:paraId="705154D4" w14:textId="77777777" w:rsidR="00641EC6" w:rsidRPr="00641EC6" w:rsidRDefault="00641EC6" w:rsidP="00641EC6">
      <w:pPr>
        <w:jc w:val="both"/>
        <w:rPr>
          <w:iCs/>
          <w:sz w:val="20"/>
        </w:rPr>
      </w:pPr>
    </w:p>
    <w:p w14:paraId="7B3043F8" w14:textId="77777777" w:rsidR="00641EC6" w:rsidRPr="00641EC6" w:rsidRDefault="00641EC6" w:rsidP="00641EC6">
      <w:pPr>
        <w:jc w:val="both"/>
        <w:rPr>
          <w:iCs/>
          <w:sz w:val="20"/>
        </w:rPr>
      </w:pPr>
      <w:r w:rsidRPr="00641EC6">
        <w:rPr>
          <w:iCs/>
          <w:sz w:val="20"/>
        </w:rPr>
        <w:t>- Entlohnungen, auf die diese Befreiung angewandt werden kann,</w:t>
      </w:r>
    </w:p>
    <w:p w14:paraId="05AC8426" w14:textId="77777777" w:rsidR="00641EC6" w:rsidRPr="00641EC6" w:rsidRDefault="00641EC6" w:rsidP="00641EC6">
      <w:pPr>
        <w:jc w:val="both"/>
        <w:rPr>
          <w:iCs/>
          <w:sz w:val="20"/>
        </w:rPr>
      </w:pPr>
    </w:p>
    <w:p w14:paraId="46564D71" w14:textId="77777777" w:rsidR="00641EC6" w:rsidRPr="00641EC6" w:rsidRDefault="00641EC6" w:rsidP="00641EC6">
      <w:pPr>
        <w:jc w:val="both"/>
        <w:rPr>
          <w:iCs/>
          <w:sz w:val="20"/>
        </w:rPr>
      </w:pPr>
      <w:r w:rsidRPr="00641EC6">
        <w:rPr>
          <w:iCs/>
          <w:sz w:val="20"/>
        </w:rPr>
        <w:t>- Formalitäten, die bei der Angabe der Befreiung beachtet werden müssen,</w:t>
      </w:r>
    </w:p>
    <w:p w14:paraId="77E5C542" w14:textId="77777777" w:rsidR="00641EC6" w:rsidRPr="00641EC6" w:rsidRDefault="00641EC6" w:rsidP="00641EC6">
      <w:pPr>
        <w:jc w:val="both"/>
        <w:rPr>
          <w:iCs/>
          <w:sz w:val="20"/>
        </w:rPr>
      </w:pPr>
    </w:p>
    <w:p w14:paraId="44CD73AE" w14:textId="77777777" w:rsidR="00641EC6" w:rsidRPr="00641EC6" w:rsidRDefault="00641EC6" w:rsidP="00641EC6">
      <w:pPr>
        <w:jc w:val="both"/>
        <w:rPr>
          <w:iCs/>
          <w:sz w:val="20"/>
        </w:rPr>
      </w:pPr>
      <w:r w:rsidRPr="00641EC6">
        <w:rPr>
          <w:iCs/>
          <w:sz w:val="20"/>
        </w:rPr>
        <w:t>- Formalitäten, die bei der Erbringung des in § 2 Absatz 4 erwähnten Nachweises beachtet werden müssen.</w:t>
      </w:r>
    </w:p>
    <w:p w14:paraId="18DBBA0C" w14:textId="77777777" w:rsidR="00641EC6" w:rsidRPr="00641EC6" w:rsidRDefault="00641EC6" w:rsidP="00641EC6">
      <w:pPr>
        <w:jc w:val="both"/>
        <w:rPr>
          <w:iCs/>
          <w:sz w:val="20"/>
        </w:rPr>
      </w:pPr>
    </w:p>
    <w:p w14:paraId="407D1E0C" w14:textId="57DB2AC6" w:rsidR="00641EC6" w:rsidRPr="00641EC6" w:rsidRDefault="00641EC6" w:rsidP="00641EC6">
      <w:pPr>
        <w:jc w:val="both"/>
        <w:rPr>
          <w:iCs/>
          <w:sz w:val="20"/>
        </w:rPr>
      </w:pPr>
      <w:r>
        <w:rPr>
          <w:iCs/>
          <w:sz w:val="20"/>
        </w:rPr>
        <w:t>[...]</w:t>
      </w:r>
    </w:p>
    <w:p w14:paraId="1AF69B56" w14:textId="77777777" w:rsidR="00641EC6" w:rsidRPr="00641EC6" w:rsidRDefault="00641EC6" w:rsidP="00641EC6">
      <w:pPr>
        <w:jc w:val="both"/>
        <w:rPr>
          <w:iCs/>
          <w:sz w:val="20"/>
        </w:rPr>
      </w:pPr>
    </w:p>
    <w:p w14:paraId="01B1F814" w14:textId="77777777" w:rsidR="00641EC6" w:rsidRPr="00641EC6" w:rsidRDefault="00641EC6" w:rsidP="00641EC6">
      <w:pPr>
        <w:jc w:val="both"/>
        <w:rPr>
          <w:iCs/>
          <w:sz w:val="20"/>
        </w:rPr>
      </w:pPr>
      <w:r w:rsidRPr="00641EC6">
        <w:rPr>
          <w:iCs/>
          <w:sz w:val="20"/>
        </w:rPr>
        <w:t>Der König kann die in vorliegendem Paragraphen erwähnten Fristen bis spätestens zum siebenundvierzigsten Monat nach dem Monat, in dem die Naturkatastrophe sich ereignet hat, verlängern.]</w:t>
      </w:r>
    </w:p>
    <w:p w14:paraId="2386D5D5" w14:textId="77777777" w:rsidR="00641EC6" w:rsidRPr="00641EC6" w:rsidRDefault="00641EC6" w:rsidP="00641EC6">
      <w:pPr>
        <w:jc w:val="both"/>
        <w:rPr>
          <w:iCs/>
          <w:sz w:val="20"/>
        </w:rPr>
      </w:pPr>
    </w:p>
    <w:p w14:paraId="08E77C01" w14:textId="6CA854AE" w:rsidR="00641EC6" w:rsidRPr="00641EC6" w:rsidRDefault="00641EC6" w:rsidP="00641EC6">
      <w:pPr>
        <w:jc w:val="both"/>
        <w:rPr>
          <w:sz w:val="20"/>
        </w:rPr>
      </w:pPr>
      <w:r w:rsidRPr="00641EC6">
        <w:rPr>
          <w:i/>
          <w:iCs/>
          <w:sz w:val="20"/>
        </w:rPr>
        <w:t>[Art. 275</w:t>
      </w:r>
      <w:r w:rsidRPr="00641EC6">
        <w:rPr>
          <w:i/>
          <w:iCs/>
          <w:sz w:val="20"/>
          <w:vertAlign w:val="superscript"/>
        </w:rPr>
        <w:t>9/1</w:t>
      </w:r>
      <w:r w:rsidRPr="00641EC6">
        <w:rPr>
          <w:i/>
          <w:iCs/>
          <w:sz w:val="20"/>
        </w:rPr>
        <w:t xml:space="preserve"> eingefügt durch Art. 9 des G. vom 26. Dezember 2022 (II) (B.S. vom 13. Januar 2023) - anwendbar auf die ab dem 1. August 2021 gezahlten oder zuerkannten Entlohnungen -; § 2 Abs. 1 zweiter Gedankenstrich ersetzt durch Art. 55 des G. vom 28. Dezember 2023 (B.S. vom 29. Dezember 2023) und abgeändert durch Art. 71 Nr. 1 des G. vom 12. Mai 2024 (B.S. vom 29. Mai 2024); § 3 abgeändert durch Art. 30 Nr. 1 des G. vom 31. Juli 2023 (II) (B.S. vom 23. August 2023); § 4 Abs. 2 dritter Gedankenstrich abgeändert durch Art. 30 Nr. 2 des G. vom 31. Juli 2023 (II) (B.S. vom 23. August 2023); § 4 Abs. 2 vierter Gedankenstrich abgeändert durch </w:t>
      </w:r>
      <w:r w:rsidRPr="00641EC6">
        <w:rPr>
          <w:i/>
          <w:iCs/>
          <w:sz w:val="20"/>
        </w:rPr>
        <w:lastRenderedPageBreak/>
        <w:t>Art. 30 Nr. 3 des G. vom 31. Juli 2023 (II) (B.S. vom 23. August 2023); § 4 Abs. 3 abgeändert durch Art. 30 Nr. 4 des G. vom 31. Juli 2023 (II) (B.S. vom 23. August 2023)</w:t>
      </w:r>
      <w:r>
        <w:rPr>
          <w:i/>
          <w:iCs/>
          <w:sz w:val="20"/>
        </w:rPr>
        <w:t>; § 4 Abs. 4 einleitende Bestimmung abgeändert durch Art. 7 Nr. 1</w:t>
      </w:r>
      <w:r w:rsidRPr="00641EC6">
        <w:rPr>
          <w:i/>
          <w:iCs/>
          <w:sz w:val="20"/>
        </w:rPr>
        <w:t xml:space="preserve"> des G. vom 12. Mai 2024 (B.S. vom 30. Mai 2024) - </w:t>
      </w:r>
      <w:r w:rsidR="00A54224">
        <w:rPr>
          <w:i/>
          <w:iCs/>
          <w:sz w:val="20"/>
        </w:rPr>
        <w:t xml:space="preserve">in Kraft für alle oder bestimmte Kategorien von Inhabern einer Unternehmensnummer sowie für natürliche Personen an dem jeweils vom König festzulegenden Datum und spätestens am </w:t>
      </w:r>
      <w:r w:rsidR="00CC23FF">
        <w:rPr>
          <w:i/>
          <w:iCs/>
          <w:sz w:val="20"/>
        </w:rPr>
        <w:t>1. Januar 2028 </w:t>
      </w:r>
      <w:r w:rsidRPr="00641EC6">
        <w:rPr>
          <w:i/>
          <w:iCs/>
          <w:sz w:val="20"/>
        </w:rPr>
        <w:t>-</w:t>
      </w:r>
      <w:r>
        <w:rPr>
          <w:i/>
          <w:iCs/>
          <w:sz w:val="20"/>
        </w:rPr>
        <w:t>; § 4 früherer Absatz 5 aufgehoben durch Art. 7 Nr. 2</w:t>
      </w:r>
      <w:r w:rsidRPr="00641EC6">
        <w:rPr>
          <w:i/>
          <w:iCs/>
          <w:sz w:val="20"/>
        </w:rPr>
        <w:t xml:space="preserve"> des G. vom 12. Mai 2024 (B.S. vom 30. Mai 2024) - </w:t>
      </w:r>
      <w:r w:rsidR="00A54224">
        <w:rPr>
          <w:i/>
          <w:iCs/>
          <w:sz w:val="20"/>
        </w:rPr>
        <w:t xml:space="preserve">in Kraft für alle oder bestimmte Kategorien von Inhabern einer Unternehmensnummer sowie für natürliche Personen an dem jeweils vom König festzulegenden Datum und spätestens am </w:t>
      </w:r>
      <w:r w:rsidR="00CC23FF">
        <w:rPr>
          <w:i/>
          <w:iCs/>
          <w:sz w:val="20"/>
        </w:rPr>
        <w:t>1. Januar 2028 </w:t>
      </w:r>
      <w:r w:rsidRPr="00641EC6">
        <w:rPr>
          <w:i/>
          <w:iCs/>
          <w:sz w:val="20"/>
        </w:rPr>
        <w:t>-]</w:t>
      </w:r>
      <w:r>
        <w:rPr>
          <w:sz w:val="20"/>
        </w:rPr>
        <w:t>"</w:t>
      </w:r>
    </w:p>
    <w:p w14:paraId="78601743" w14:textId="77777777" w:rsidR="00641EC6" w:rsidRPr="00641EC6" w:rsidRDefault="00641EC6" w:rsidP="00634A86">
      <w:pPr>
        <w:jc w:val="both"/>
      </w:pPr>
    </w:p>
    <w:p w14:paraId="72E75B2A" w14:textId="77777777" w:rsidR="00676F3B" w:rsidRPr="009118AB" w:rsidRDefault="00676F3B" w:rsidP="00A43806">
      <w:pPr>
        <w:jc w:val="center"/>
      </w:pPr>
    </w:p>
    <w:p w14:paraId="30A1609B" w14:textId="4A7CAA11" w:rsidR="00676F3B" w:rsidRPr="009118AB" w:rsidRDefault="00676F3B" w:rsidP="00676F3B">
      <w:pPr>
        <w:ind w:firstLine="708"/>
        <w:jc w:val="both"/>
      </w:pPr>
      <w:r w:rsidRPr="009118AB">
        <w:tab/>
        <w:t>[</w:t>
      </w:r>
      <w:r w:rsidR="00D67EB8" w:rsidRPr="009118AB">
        <w:rPr>
          <w:b/>
        </w:rPr>
        <w:t>Art. </w:t>
      </w:r>
      <w:r w:rsidRPr="009118AB">
        <w:rPr>
          <w:b/>
        </w:rPr>
        <w:t>275</w:t>
      </w:r>
      <w:r w:rsidRPr="009118AB">
        <w:rPr>
          <w:b/>
          <w:vertAlign w:val="superscript"/>
        </w:rPr>
        <w:t>10</w:t>
      </w:r>
      <w:r w:rsidR="00D67EB8" w:rsidRPr="009118AB">
        <w:t> - </w:t>
      </w:r>
      <w:r w:rsidRPr="009118AB">
        <w:t xml:space="preserve">In Absatz 2 bestimmte Arbeitgeber, die Arbeitnehmern Entlohnungen zahlen oder zuerkennen und </w:t>
      </w:r>
      <w:r w:rsidR="004551B4" w:rsidRPr="009118AB">
        <w:t>[</w:t>
      </w:r>
      <w:r w:rsidRPr="009118AB">
        <w:t xml:space="preserve">aufgrund von Artikel 270 </w:t>
      </w:r>
      <w:r w:rsidR="004551B4" w:rsidRPr="009118AB">
        <w:t xml:space="preserve">Absatz 1 </w:t>
      </w:r>
      <w:r w:rsidR="00D67EB8" w:rsidRPr="009118AB">
        <w:t>Nr. </w:t>
      </w:r>
      <w:r w:rsidRPr="009118AB">
        <w:t>1</w:t>
      </w:r>
      <w:r w:rsidR="004551B4" w:rsidRPr="009118AB">
        <w:t>]</w:t>
      </w:r>
      <w:r w:rsidRPr="009118AB">
        <w:t xml:space="preserve"> den Berufssteuervorabzug auf diese Entlohnungen schulden, sind von der Zuführung von 10 Prozent dieses Berufssteuervorabzugs an die Staatskasse befreit unter der Bedingung, dass sie die Gesamtheit des vorerwähnten Vorabzugs auf diese Entlohnungen einbehalten.</w:t>
      </w:r>
    </w:p>
    <w:p w14:paraId="3A03E803" w14:textId="77777777" w:rsidR="00676F3B" w:rsidRPr="009118AB" w:rsidRDefault="00676F3B" w:rsidP="00676F3B">
      <w:pPr>
        <w:jc w:val="both"/>
      </w:pPr>
    </w:p>
    <w:p w14:paraId="42E87C6D" w14:textId="7EB040FF" w:rsidR="00676F3B" w:rsidRPr="009118AB" w:rsidRDefault="00676F3B" w:rsidP="00676F3B">
      <w:pPr>
        <w:ind w:firstLine="708"/>
        <w:jc w:val="both"/>
      </w:pPr>
      <w:r w:rsidRPr="009118AB">
        <w:t>Vorliegender Artikel ist auf Arbeitgeber anwendbar, die gleichzeitig alle folgenden Bedingungen erfüllen:</w:t>
      </w:r>
    </w:p>
    <w:p w14:paraId="6BFA4A6C" w14:textId="77777777" w:rsidR="00676F3B" w:rsidRPr="009118AB" w:rsidRDefault="00676F3B" w:rsidP="00676F3B">
      <w:pPr>
        <w:jc w:val="both"/>
      </w:pPr>
    </w:p>
    <w:p w14:paraId="7C05EF7E" w14:textId="77777777" w:rsidR="00676F3B" w:rsidRPr="009118AB" w:rsidRDefault="00676F3B" w:rsidP="00676F3B">
      <w:pPr>
        <w:ind w:firstLine="708"/>
        <w:jc w:val="both"/>
      </w:pPr>
      <w:r w:rsidRPr="009118AB">
        <w:t>1. Der Arbeitgeber fällt in den Anwendungsbereich des Gesetzes vom 5. Dezember 1968 über die kollektiven Arbeitsabkommen und die paritätischen Kommissionen.</w:t>
      </w:r>
    </w:p>
    <w:p w14:paraId="0AC1A219" w14:textId="77777777" w:rsidR="00676F3B" w:rsidRPr="009118AB" w:rsidRDefault="00676F3B" w:rsidP="00676F3B">
      <w:pPr>
        <w:jc w:val="both"/>
      </w:pPr>
    </w:p>
    <w:p w14:paraId="41744D28" w14:textId="1A13059B" w:rsidR="00676F3B" w:rsidRPr="009118AB" w:rsidRDefault="00676F3B" w:rsidP="00676F3B">
      <w:pPr>
        <w:ind w:firstLine="708"/>
        <w:jc w:val="both"/>
      </w:pPr>
      <w:r w:rsidRPr="009118AB">
        <w:t xml:space="preserve">2. Der Arbeitgeber </w:t>
      </w:r>
      <w:r w:rsidR="0017115B" w:rsidRPr="009118AB">
        <w:t>[</w:t>
      </w:r>
      <w:r w:rsidR="0017115B" w:rsidRPr="009118AB">
        <w:rPr>
          <w:rFonts w:eastAsia="Calibri"/>
          <w:kern w:val="2"/>
          <w:szCs w:val="22"/>
          <w:lang w:eastAsia="en-US"/>
          <w14:ligatures w14:val="standardContextual"/>
        </w:rPr>
        <w:t>gilt als kleine Gesellschaft oder ist eine natürliche Person, die die Kriterien des Artikels 1:24 §§ 1 bis 6 des Gesetzbuches der Gesellschaften und Vereinigungen mutatis mutandis erfüllt</w:t>
      </w:r>
      <w:r w:rsidR="0017115B" w:rsidRPr="009118AB">
        <w:t>]</w:t>
      </w:r>
      <w:r w:rsidRPr="009118AB">
        <w:t>.</w:t>
      </w:r>
    </w:p>
    <w:p w14:paraId="25C0DA97" w14:textId="77777777" w:rsidR="00676F3B" w:rsidRPr="009118AB" w:rsidRDefault="00676F3B" w:rsidP="00676F3B">
      <w:pPr>
        <w:jc w:val="both"/>
      </w:pPr>
    </w:p>
    <w:p w14:paraId="728E8B46" w14:textId="77777777" w:rsidR="00676F3B" w:rsidRPr="009118AB" w:rsidRDefault="00676F3B" w:rsidP="00676F3B">
      <w:pPr>
        <w:ind w:firstLine="708"/>
        <w:jc w:val="both"/>
      </w:pPr>
      <w:r w:rsidRPr="009118AB">
        <w:t>3. Der Arbeitgeber ist seit höchstens achtundvierzig Monaten in der Zentralen Datenbank der Unternehmen eingetragen</w:t>
      </w:r>
      <w:r w:rsidR="004F0BB5" w:rsidRPr="009118AB">
        <w:t>[; die Frist von achtundvierzig Monaten beginnt am ersten Tag des Monats nach dieser Eintragung]</w:t>
      </w:r>
      <w:r w:rsidRPr="009118AB">
        <w:t>.</w:t>
      </w:r>
    </w:p>
    <w:p w14:paraId="6181F403" w14:textId="77777777" w:rsidR="00676F3B" w:rsidRPr="009118AB" w:rsidRDefault="00676F3B" w:rsidP="00676F3B">
      <w:pPr>
        <w:jc w:val="both"/>
      </w:pPr>
    </w:p>
    <w:p w14:paraId="517B1365" w14:textId="745CBDC6" w:rsidR="00676F3B" w:rsidRPr="009118AB" w:rsidRDefault="00676F3B" w:rsidP="00676F3B">
      <w:pPr>
        <w:ind w:firstLine="708"/>
        <w:jc w:val="both"/>
      </w:pPr>
      <w:r w:rsidRPr="009118AB">
        <w:t xml:space="preserve">Führt der Arbeitgeber eine Tätigkeit fort, die vorher von einer natürlichen Person oder einer anderen juristischen Person ausgeübt wurde, beginnt die in Absatz 2 </w:t>
      </w:r>
      <w:r w:rsidR="00D67EB8" w:rsidRPr="009118AB">
        <w:t>Nr. </w:t>
      </w:r>
      <w:r w:rsidRPr="009118AB">
        <w:t xml:space="preserve">3 erwähnte Frist von achtundvierzig Monaten </w:t>
      </w:r>
      <w:r w:rsidR="004F0BB5" w:rsidRPr="009118AB">
        <w:t>[am ersten Tag des Monats nach der ersten Eintragung in der Zentralen Datenbank der Unternehmen, die diese natürliche oder juristische Person veranlasst hat]</w:t>
      </w:r>
      <w:r w:rsidRPr="009118AB">
        <w:t>.</w:t>
      </w:r>
    </w:p>
    <w:p w14:paraId="79A3F0A4" w14:textId="77777777" w:rsidR="00676F3B" w:rsidRPr="009118AB" w:rsidRDefault="00676F3B" w:rsidP="00676F3B">
      <w:pPr>
        <w:jc w:val="both"/>
      </w:pPr>
    </w:p>
    <w:p w14:paraId="2153B373" w14:textId="346392C5" w:rsidR="00676F3B" w:rsidRPr="009118AB" w:rsidRDefault="00534781" w:rsidP="00534781">
      <w:pPr>
        <w:ind w:firstLine="708"/>
        <w:jc w:val="both"/>
      </w:pPr>
      <w:r w:rsidRPr="009118AB">
        <w:t xml:space="preserve">[Der in Absatz 1 erwähnte Prozentsatz wird auf 20 Prozent erhöht, wenn der Arbeitgeber </w:t>
      </w:r>
      <w:r w:rsidR="00AC2D61" w:rsidRPr="009118AB">
        <w:t>[...]</w:t>
      </w:r>
      <w:r w:rsidRPr="009118AB">
        <w:t xml:space="preserve"> eine Kleinstgesellschaft im Sinne von </w:t>
      </w:r>
      <w:r w:rsidR="009E1E97" w:rsidRPr="009118AB">
        <w:t>[Artikel 1:25 des Gesetzbuches der Gesellschaften und Vereinigungen]</w:t>
      </w:r>
      <w:r w:rsidRPr="009118AB">
        <w:t xml:space="preserve"> oder eine natürliche Person, die die Kriterien </w:t>
      </w:r>
      <w:r w:rsidR="009E1E97" w:rsidRPr="009118AB">
        <w:t>[</w:t>
      </w:r>
      <w:r w:rsidRPr="009118AB">
        <w:t>des vorerwähnten Artikels </w:t>
      </w:r>
      <w:r w:rsidR="009E1E97" w:rsidRPr="009118AB">
        <w:t>1:25]</w:t>
      </w:r>
      <w:r w:rsidRPr="009118AB">
        <w:t xml:space="preserve"> mutatis mutandis erfüllt, ist.]</w:t>
      </w:r>
    </w:p>
    <w:p w14:paraId="2317FD99" w14:textId="77777777" w:rsidR="001C35DD" w:rsidRPr="009118AB" w:rsidRDefault="001C35DD"/>
    <w:p w14:paraId="6A68A09C" w14:textId="73B88CE3" w:rsidR="00676F3B" w:rsidRPr="009118AB" w:rsidRDefault="00676F3B" w:rsidP="00676F3B">
      <w:pPr>
        <w:ind w:firstLine="708"/>
        <w:jc w:val="both"/>
      </w:pPr>
      <w:r w:rsidRPr="009118AB">
        <w:t>Die Befreiung von der Zahlung des Berufssteuervorabzugs kann nicht von einem Arbeitgeber angewandt werden:</w:t>
      </w:r>
    </w:p>
    <w:p w14:paraId="4AE66C32" w14:textId="77777777" w:rsidR="00676F3B" w:rsidRPr="009118AB" w:rsidRDefault="00676F3B" w:rsidP="00676F3B">
      <w:pPr>
        <w:jc w:val="both"/>
      </w:pPr>
    </w:p>
    <w:p w14:paraId="04D186BF" w14:textId="335F7D70" w:rsidR="00676F3B" w:rsidRPr="009118AB" w:rsidRDefault="00676F3B" w:rsidP="00676F3B">
      <w:pPr>
        <w:ind w:firstLine="708"/>
        <w:jc w:val="both"/>
      </w:pPr>
      <w:r w:rsidRPr="009118AB">
        <w:t xml:space="preserve">- für den ein Konkursgeständnis abgelegt oder ein Konkursantrag eingereicht wird oder dem die Verwaltung der Aktiva ganz oder teilweise entzogen wird wie </w:t>
      </w:r>
      <w:r w:rsidR="000A0CD5" w:rsidRPr="009118AB">
        <w:t>[in den Artikeln XX.32 und XX.101 des Wirtschaftsgesetzbuches]</w:t>
      </w:r>
      <w:r w:rsidRPr="009118AB">
        <w:t xml:space="preserve"> erwähnt,</w:t>
      </w:r>
    </w:p>
    <w:p w14:paraId="752AF2EC" w14:textId="77777777" w:rsidR="00676F3B" w:rsidRPr="009118AB" w:rsidRDefault="00676F3B" w:rsidP="00676F3B">
      <w:pPr>
        <w:jc w:val="both"/>
      </w:pPr>
    </w:p>
    <w:p w14:paraId="0BB64804" w14:textId="36CC7D6C" w:rsidR="00676F3B" w:rsidRPr="009118AB" w:rsidRDefault="00676F3B" w:rsidP="00676F3B">
      <w:pPr>
        <w:ind w:firstLine="708"/>
        <w:jc w:val="both"/>
      </w:pPr>
      <w:r w:rsidRPr="009118AB">
        <w:t xml:space="preserve">- für den ein Verfahren der gerichtlichen Reorganisation eröffnet wird wie </w:t>
      </w:r>
      <w:r w:rsidR="000A0CD5" w:rsidRPr="009118AB">
        <w:t>[in Artikel XX.45 des Wirtschaftsgesetzbuches]</w:t>
      </w:r>
      <w:r w:rsidRPr="009118AB">
        <w:t xml:space="preserve"> erwähnt,</w:t>
      </w:r>
    </w:p>
    <w:p w14:paraId="6AF573BA" w14:textId="77777777" w:rsidR="00676F3B" w:rsidRPr="009118AB" w:rsidRDefault="00676F3B" w:rsidP="00676F3B">
      <w:pPr>
        <w:jc w:val="both"/>
      </w:pPr>
    </w:p>
    <w:p w14:paraId="6565A233" w14:textId="77777777" w:rsidR="00676F3B" w:rsidRPr="009118AB" w:rsidRDefault="00676F3B" w:rsidP="00676F3B">
      <w:pPr>
        <w:ind w:firstLine="708"/>
        <w:jc w:val="both"/>
      </w:pPr>
      <w:r w:rsidRPr="009118AB">
        <w:lastRenderedPageBreak/>
        <w:t>- der eine aufgelöste Gesellschaft ist und in Liquidation befindlich ist.</w:t>
      </w:r>
    </w:p>
    <w:p w14:paraId="070C73A5" w14:textId="77777777" w:rsidR="00676F3B" w:rsidRPr="009118AB" w:rsidRDefault="00676F3B" w:rsidP="00676F3B">
      <w:pPr>
        <w:jc w:val="both"/>
      </w:pPr>
    </w:p>
    <w:p w14:paraId="47D33CEF" w14:textId="4193E8EA" w:rsidR="00E4342B" w:rsidRPr="009118AB" w:rsidRDefault="00E4342B" w:rsidP="00676F3B">
      <w:pPr>
        <w:jc w:val="both"/>
      </w:pPr>
      <w:r w:rsidRPr="009118AB">
        <w:tab/>
        <w:t>[Die in Absatz 1 erwähnte Befreiung von der Zahlung des Berufssteuervorabzugs kann nicht auf den Berufssteuervorabzug angewandt werden, der zusätzlich zu dem verordnungsgemäßen Mindestbetrag des geschuldeten Berufssteuervorabzugs einbehalten wird.]</w:t>
      </w:r>
    </w:p>
    <w:p w14:paraId="2A04338A" w14:textId="77777777" w:rsidR="00E4342B" w:rsidRPr="009118AB" w:rsidRDefault="00E4342B" w:rsidP="00676F3B">
      <w:pPr>
        <w:jc w:val="both"/>
      </w:pPr>
    </w:p>
    <w:p w14:paraId="03BD30C0" w14:textId="77777777" w:rsidR="00676F3B" w:rsidRPr="009118AB" w:rsidRDefault="00676F3B" w:rsidP="00676F3B">
      <w:pPr>
        <w:jc w:val="both"/>
      </w:pPr>
      <w:r w:rsidRPr="009118AB">
        <w:tab/>
        <w:t>Der König bestimmt die Formalitäten, die für die Anwendung des vorliegenden Artikels zu erledigen sind.]</w:t>
      </w:r>
    </w:p>
    <w:p w14:paraId="0C03E4E2" w14:textId="77777777" w:rsidR="00676F3B" w:rsidRPr="009118AB" w:rsidRDefault="00676F3B" w:rsidP="00676F3B">
      <w:pPr>
        <w:jc w:val="both"/>
      </w:pPr>
    </w:p>
    <w:p w14:paraId="0C706F3F" w14:textId="5E649A1C" w:rsidR="00E24013" w:rsidRPr="009118AB" w:rsidRDefault="00676F3B" w:rsidP="00E24013">
      <w:pPr>
        <w:jc w:val="both"/>
        <w:rPr>
          <w:i/>
          <w:iCs/>
        </w:rPr>
      </w:pPr>
      <w:r w:rsidRPr="009118AB">
        <w:rPr>
          <w:i/>
        </w:rPr>
        <w:t>[</w:t>
      </w:r>
      <w:r w:rsidR="00D67EB8" w:rsidRPr="009118AB">
        <w:rPr>
          <w:i/>
        </w:rPr>
        <w:t>Art. </w:t>
      </w:r>
      <w:r w:rsidRPr="009118AB">
        <w:rPr>
          <w:i/>
        </w:rPr>
        <w:t>275</w:t>
      </w:r>
      <w:r w:rsidRPr="009118AB">
        <w:rPr>
          <w:i/>
          <w:vertAlign w:val="superscript"/>
        </w:rPr>
        <w:t>10</w:t>
      </w:r>
      <w:r w:rsidRPr="009118AB">
        <w:rPr>
          <w:i/>
        </w:rPr>
        <w:t xml:space="preserve"> eingefügt durch </w:t>
      </w:r>
      <w:r w:rsidR="00D67EB8" w:rsidRPr="009118AB">
        <w:rPr>
          <w:i/>
        </w:rPr>
        <w:t>Art. </w:t>
      </w:r>
      <w:r w:rsidRPr="009118AB">
        <w:rPr>
          <w:i/>
        </w:rPr>
        <w:t>58</w:t>
      </w:r>
      <w:r w:rsidRPr="009118AB">
        <w:rPr>
          <w:i/>
          <w:iCs/>
        </w:rPr>
        <w:t xml:space="preserve"> des G. vom 10. August 20</w:t>
      </w:r>
      <w:r w:rsidR="004F7F42" w:rsidRPr="009118AB">
        <w:rPr>
          <w:i/>
          <w:iCs/>
        </w:rPr>
        <w:t>15 (B.S. vom 18. August 2015)</w:t>
      </w:r>
      <w:r w:rsidR="00D67EB8" w:rsidRPr="009118AB">
        <w:rPr>
          <w:i/>
          <w:iCs/>
        </w:rPr>
        <w:t> - </w:t>
      </w:r>
      <w:r w:rsidRPr="009118AB">
        <w:rPr>
          <w:i/>
          <w:iCs/>
        </w:rPr>
        <w:t>anwendbar auf die ab dem 1. August 2015 gezahlten oder zuerkannten Entlohnungen</w:t>
      </w:r>
      <w:r w:rsidR="003366D9" w:rsidRPr="009118AB">
        <w:rPr>
          <w:i/>
          <w:iCs/>
        </w:rPr>
        <w:t> -;</w:t>
      </w:r>
      <w:r w:rsidR="00C0094D" w:rsidRPr="009118AB">
        <w:rPr>
          <w:i/>
          <w:iCs/>
        </w:rPr>
        <w:t xml:space="preserve"> </w:t>
      </w:r>
      <w:r w:rsidR="00D67EB8" w:rsidRPr="009118AB">
        <w:rPr>
          <w:i/>
          <w:iCs/>
        </w:rPr>
        <w:t>Abs. </w:t>
      </w:r>
      <w:r w:rsidR="004551B4" w:rsidRPr="009118AB">
        <w:rPr>
          <w:i/>
          <w:iCs/>
        </w:rPr>
        <w:t xml:space="preserve">1 abgeändert durch </w:t>
      </w:r>
      <w:r w:rsidR="00D67EB8" w:rsidRPr="009118AB">
        <w:rPr>
          <w:i/>
          <w:iCs/>
        </w:rPr>
        <w:t>Art. </w:t>
      </w:r>
      <w:r w:rsidR="004551B4" w:rsidRPr="009118AB">
        <w:rPr>
          <w:i/>
          <w:iCs/>
        </w:rPr>
        <w:t>19</w:t>
      </w:r>
      <w:r w:rsidR="004551B4" w:rsidRPr="009118AB">
        <w:rPr>
          <w:i/>
        </w:rPr>
        <w:t xml:space="preserve"> des G. vom 11. Februar 2019 (B.S. vom 22. März 2019)</w:t>
      </w:r>
      <w:r w:rsidR="00D67EB8" w:rsidRPr="009118AB">
        <w:rPr>
          <w:i/>
        </w:rPr>
        <w:t> - </w:t>
      </w:r>
      <w:r w:rsidR="004551B4" w:rsidRPr="009118AB">
        <w:rPr>
          <w:i/>
        </w:rPr>
        <w:t>in Kraft am 1. März 2019 und anwendbar auf die ab dem 1. März 2019 gezahlten oder zuerkannten Entlohnungen</w:t>
      </w:r>
      <w:r w:rsidR="003366D9" w:rsidRPr="009118AB">
        <w:rPr>
          <w:i/>
        </w:rPr>
        <w:t> -;</w:t>
      </w:r>
      <w:r w:rsidR="004551B4" w:rsidRPr="009118AB">
        <w:rPr>
          <w:i/>
        </w:rPr>
        <w:t xml:space="preserve"> </w:t>
      </w:r>
      <w:r w:rsidR="00D67EB8" w:rsidRPr="009118AB">
        <w:rPr>
          <w:i/>
          <w:iCs/>
        </w:rPr>
        <w:t>Abs. </w:t>
      </w:r>
      <w:r w:rsidR="00C0094D" w:rsidRPr="009118AB">
        <w:rPr>
          <w:i/>
          <w:iCs/>
        </w:rPr>
        <w:t xml:space="preserve">2 </w:t>
      </w:r>
      <w:r w:rsidR="00D67EB8" w:rsidRPr="009118AB">
        <w:rPr>
          <w:i/>
          <w:iCs/>
        </w:rPr>
        <w:t>Nr. </w:t>
      </w:r>
      <w:r w:rsidR="00C0094D" w:rsidRPr="009118AB">
        <w:rPr>
          <w:i/>
          <w:iCs/>
        </w:rPr>
        <w:t xml:space="preserve">2 abgeändert durch </w:t>
      </w:r>
      <w:r w:rsidR="00D67EB8" w:rsidRPr="009118AB">
        <w:rPr>
          <w:i/>
          <w:iCs/>
        </w:rPr>
        <w:t>Art. </w:t>
      </w:r>
      <w:r w:rsidR="00C0094D" w:rsidRPr="009118AB">
        <w:rPr>
          <w:i/>
          <w:iCs/>
        </w:rPr>
        <w:t xml:space="preserve">62 </w:t>
      </w:r>
      <w:r w:rsidR="00D67EB8" w:rsidRPr="009118AB">
        <w:rPr>
          <w:i/>
          <w:iCs/>
        </w:rPr>
        <w:t>Nr. </w:t>
      </w:r>
      <w:r w:rsidR="00C0094D" w:rsidRPr="009118AB">
        <w:rPr>
          <w:i/>
          <w:iCs/>
        </w:rPr>
        <w:t xml:space="preserve">1 </w:t>
      </w:r>
      <w:r w:rsidR="00C0094D" w:rsidRPr="009118AB">
        <w:rPr>
          <w:i/>
        </w:rPr>
        <w:t>des G. vom 18. Dezember 2015</w:t>
      </w:r>
      <w:r w:rsidR="00E56969" w:rsidRPr="009118AB">
        <w:rPr>
          <w:i/>
        </w:rPr>
        <w:t> (I)</w:t>
      </w:r>
      <w:r w:rsidR="00C0094D" w:rsidRPr="009118AB">
        <w:rPr>
          <w:i/>
        </w:rPr>
        <w:t xml:space="preserve"> (B.S. vom 30. Dezember 2015, Err. vom 13. Januar 2016)</w:t>
      </w:r>
      <w:r w:rsidR="00D67EB8" w:rsidRPr="009118AB">
        <w:rPr>
          <w:i/>
        </w:rPr>
        <w:t> - </w:t>
      </w:r>
      <w:r w:rsidR="005B0577" w:rsidRPr="009118AB">
        <w:rPr>
          <w:i/>
        </w:rPr>
        <w:t xml:space="preserve">anwendbar </w:t>
      </w:r>
      <w:r w:rsidR="006A289F" w:rsidRPr="009118AB">
        <w:rPr>
          <w:i/>
        </w:rPr>
        <w:t>auf Arbeitgeber für Entlohnungen, die sie im Laufe eines Besteuerungszeitraums zahlen oder zuerkennen, der ab dem 1. Januar 2016 beginnt</w:t>
      </w:r>
      <w:r w:rsidR="00D67EB8" w:rsidRPr="009118AB">
        <w:t> -</w:t>
      </w:r>
      <w:r w:rsidR="0017115B" w:rsidRPr="009118AB">
        <w:t>,</w:t>
      </w:r>
      <w:r w:rsidR="009E1E97" w:rsidRPr="009118AB">
        <w:rPr>
          <w:i/>
        </w:rPr>
        <w:t xml:space="preserve"> </w:t>
      </w:r>
      <w:r w:rsidR="00D67EB8" w:rsidRPr="009118AB">
        <w:rPr>
          <w:i/>
        </w:rPr>
        <w:t>Art. </w:t>
      </w:r>
      <w:r w:rsidR="009E1E97" w:rsidRPr="009118AB">
        <w:rPr>
          <w:i/>
        </w:rPr>
        <w:t xml:space="preserve">67 </w:t>
      </w:r>
      <w:r w:rsidR="00D67EB8" w:rsidRPr="009118AB">
        <w:rPr>
          <w:i/>
        </w:rPr>
        <w:t>Nr. </w:t>
      </w:r>
      <w:r w:rsidR="009E1E97" w:rsidRPr="009118AB">
        <w:rPr>
          <w:i/>
        </w:rPr>
        <w:t>1</w:t>
      </w:r>
      <w:r w:rsidR="009E1E97" w:rsidRPr="009118AB">
        <w:rPr>
          <w:i/>
          <w:iCs/>
          <w:spacing w:val="-2"/>
        </w:rPr>
        <w:t xml:space="preserve"> des G. vom 17. März 2019 (III) (B.S. vom 10. Mai 2019)</w:t>
      </w:r>
      <w:r w:rsidR="00D67EB8" w:rsidRPr="009118AB">
        <w:rPr>
          <w:i/>
          <w:iCs/>
          <w:spacing w:val="-2"/>
        </w:rPr>
        <w:t> - </w:t>
      </w:r>
      <w:r w:rsidR="009E1E97" w:rsidRPr="009118AB">
        <w:rPr>
          <w:i/>
          <w:iCs/>
          <w:spacing w:val="-2"/>
        </w:rPr>
        <w:t>in Kraft am 1. Mai 2019</w:t>
      </w:r>
      <w:r w:rsidR="003366D9" w:rsidRPr="009118AB">
        <w:rPr>
          <w:i/>
          <w:iCs/>
          <w:spacing w:val="-2"/>
        </w:rPr>
        <w:t> -</w:t>
      </w:r>
      <w:r w:rsidR="0017115B" w:rsidRPr="009118AB">
        <w:rPr>
          <w:i/>
          <w:iCs/>
          <w:spacing w:val="-2"/>
        </w:rPr>
        <w:t xml:space="preserve"> und Art. 39</w:t>
      </w:r>
      <w:r w:rsidR="0017115B" w:rsidRPr="009118AB">
        <w:rPr>
          <w:i/>
          <w:iCs/>
        </w:rPr>
        <w:t xml:space="preserve"> des G. vom 5. Juli 2022 (B.S. vom 15. Juli 2022)</w:t>
      </w:r>
      <w:r w:rsidR="003366D9" w:rsidRPr="009118AB">
        <w:rPr>
          <w:i/>
          <w:iCs/>
          <w:spacing w:val="-2"/>
        </w:rPr>
        <w:t>;</w:t>
      </w:r>
      <w:r w:rsidR="00534781" w:rsidRPr="009118AB">
        <w:rPr>
          <w:i/>
        </w:rPr>
        <w:t xml:space="preserve"> </w:t>
      </w:r>
      <w:r w:rsidR="00D67EB8" w:rsidRPr="009118AB">
        <w:rPr>
          <w:i/>
        </w:rPr>
        <w:t>Abs. </w:t>
      </w:r>
      <w:r w:rsidR="004F0BB5" w:rsidRPr="009118AB">
        <w:rPr>
          <w:i/>
        </w:rPr>
        <w:t xml:space="preserve">2 </w:t>
      </w:r>
      <w:r w:rsidR="00D67EB8" w:rsidRPr="009118AB">
        <w:rPr>
          <w:i/>
        </w:rPr>
        <w:t>Nr. </w:t>
      </w:r>
      <w:r w:rsidR="004F0BB5" w:rsidRPr="009118AB">
        <w:rPr>
          <w:i/>
        </w:rPr>
        <w:t xml:space="preserve">3 </w:t>
      </w:r>
      <w:r w:rsidR="008C26FF" w:rsidRPr="009118AB">
        <w:rPr>
          <w:i/>
        </w:rPr>
        <w:t>ergänz</w:t>
      </w:r>
      <w:r w:rsidR="004F0BB5" w:rsidRPr="009118AB">
        <w:rPr>
          <w:i/>
        </w:rPr>
        <w:t xml:space="preserve">t durch </w:t>
      </w:r>
      <w:r w:rsidR="00D67EB8" w:rsidRPr="009118AB">
        <w:rPr>
          <w:i/>
        </w:rPr>
        <w:t>Art. </w:t>
      </w:r>
      <w:r w:rsidR="004F0BB5" w:rsidRPr="009118AB">
        <w:rPr>
          <w:i/>
        </w:rPr>
        <w:t xml:space="preserve">109 </w:t>
      </w:r>
      <w:r w:rsidR="00D67EB8" w:rsidRPr="009118AB">
        <w:rPr>
          <w:i/>
        </w:rPr>
        <w:t>Nr. </w:t>
      </w:r>
      <w:r w:rsidR="004F0BB5" w:rsidRPr="009118AB">
        <w:rPr>
          <w:i/>
        </w:rPr>
        <w:t>1 des G. (I) vom 26. Dezember 2015</w:t>
      </w:r>
      <w:r w:rsidR="000D0E3F" w:rsidRPr="009118AB">
        <w:rPr>
          <w:i/>
        </w:rPr>
        <w:t> (I)</w:t>
      </w:r>
      <w:r w:rsidR="004F0BB5" w:rsidRPr="009118AB">
        <w:rPr>
          <w:i/>
        </w:rPr>
        <w:t xml:space="preserve"> (B.S. vom 30. Dezember 2015)</w:t>
      </w:r>
      <w:r w:rsidR="00D67EB8" w:rsidRPr="009118AB">
        <w:rPr>
          <w:i/>
        </w:rPr>
        <w:t> - </w:t>
      </w:r>
      <w:r w:rsidR="004F0BB5" w:rsidRPr="009118AB">
        <w:rPr>
          <w:i/>
        </w:rPr>
        <w:t>wirksam mit 1. </w:t>
      </w:r>
      <w:r w:rsidR="008C26FF" w:rsidRPr="009118AB">
        <w:rPr>
          <w:i/>
        </w:rPr>
        <w:t>August</w:t>
      </w:r>
      <w:r w:rsidR="004F0BB5" w:rsidRPr="009118AB">
        <w:rPr>
          <w:i/>
        </w:rPr>
        <w:t> 2015</w:t>
      </w:r>
      <w:r w:rsidR="003366D9" w:rsidRPr="009118AB">
        <w:rPr>
          <w:i/>
        </w:rPr>
        <w:t> -;</w:t>
      </w:r>
      <w:r w:rsidR="008C26FF" w:rsidRPr="009118AB">
        <w:rPr>
          <w:i/>
        </w:rPr>
        <w:t xml:space="preserve"> </w:t>
      </w:r>
      <w:r w:rsidR="00D67EB8" w:rsidRPr="009118AB">
        <w:rPr>
          <w:i/>
        </w:rPr>
        <w:t>Abs. </w:t>
      </w:r>
      <w:r w:rsidR="008C26FF" w:rsidRPr="009118AB">
        <w:rPr>
          <w:i/>
        </w:rPr>
        <w:t xml:space="preserve">3 abgeändert durch </w:t>
      </w:r>
      <w:r w:rsidR="00D67EB8" w:rsidRPr="009118AB">
        <w:rPr>
          <w:i/>
        </w:rPr>
        <w:t>Art. </w:t>
      </w:r>
      <w:r w:rsidR="008C26FF" w:rsidRPr="009118AB">
        <w:rPr>
          <w:i/>
        </w:rPr>
        <w:t xml:space="preserve">109 </w:t>
      </w:r>
      <w:r w:rsidR="00D67EB8" w:rsidRPr="009118AB">
        <w:rPr>
          <w:i/>
        </w:rPr>
        <w:t>Nr. </w:t>
      </w:r>
      <w:r w:rsidR="008C26FF" w:rsidRPr="009118AB">
        <w:rPr>
          <w:i/>
        </w:rPr>
        <w:t>2 des G. (I) vom 26. Dezember 2015</w:t>
      </w:r>
      <w:r w:rsidR="000D0E3F" w:rsidRPr="009118AB">
        <w:rPr>
          <w:i/>
        </w:rPr>
        <w:t> (I)</w:t>
      </w:r>
      <w:r w:rsidR="008C26FF" w:rsidRPr="009118AB">
        <w:rPr>
          <w:i/>
        </w:rPr>
        <w:t xml:space="preserve"> (B.S. vom 30. Dezember 2015)</w:t>
      </w:r>
      <w:r w:rsidR="00D67EB8" w:rsidRPr="009118AB">
        <w:rPr>
          <w:i/>
        </w:rPr>
        <w:t> - </w:t>
      </w:r>
      <w:r w:rsidR="008C26FF" w:rsidRPr="009118AB">
        <w:rPr>
          <w:i/>
        </w:rPr>
        <w:t>wirksam mit 1. August 2015</w:t>
      </w:r>
      <w:r w:rsidR="003366D9" w:rsidRPr="009118AB">
        <w:rPr>
          <w:i/>
        </w:rPr>
        <w:t> -;</w:t>
      </w:r>
      <w:r w:rsidR="008C26FF" w:rsidRPr="009118AB">
        <w:rPr>
          <w:i/>
        </w:rPr>
        <w:t xml:space="preserve"> </w:t>
      </w:r>
      <w:r w:rsidR="00D67EB8" w:rsidRPr="009118AB">
        <w:rPr>
          <w:i/>
        </w:rPr>
        <w:t>Abs. </w:t>
      </w:r>
      <w:r w:rsidR="00534781" w:rsidRPr="009118AB">
        <w:rPr>
          <w:i/>
        </w:rPr>
        <w:t xml:space="preserve">4 ersetzt durch </w:t>
      </w:r>
      <w:r w:rsidR="00D67EB8" w:rsidRPr="009118AB">
        <w:rPr>
          <w:i/>
        </w:rPr>
        <w:t>Art. </w:t>
      </w:r>
      <w:r w:rsidR="00534781" w:rsidRPr="009118AB">
        <w:rPr>
          <w:i/>
        </w:rPr>
        <w:t xml:space="preserve">62 </w:t>
      </w:r>
      <w:r w:rsidR="00D67EB8" w:rsidRPr="009118AB">
        <w:rPr>
          <w:i/>
        </w:rPr>
        <w:t>Nr. </w:t>
      </w:r>
      <w:r w:rsidR="00534781" w:rsidRPr="009118AB">
        <w:rPr>
          <w:i/>
        </w:rPr>
        <w:t>2 des G. vom 18. Dezember 2015</w:t>
      </w:r>
      <w:r w:rsidR="00E56969" w:rsidRPr="009118AB">
        <w:rPr>
          <w:i/>
        </w:rPr>
        <w:t> (I)</w:t>
      </w:r>
      <w:r w:rsidR="00534781" w:rsidRPr="009118AB">
        <w:rPr>
          <w:i/>
        </w:rPr>
        <w:t xml:space="preserve"> (B.S. vom 30. Dezember 2015, Err. vom 13. Januar 2016)</w:t>
      </w:r>
      <w:r w:rsidR="00D67EB8" w:rsidRPr="009118AB">
        <w:rPr>
          <w:i/>
        </w:rPr>
        <w:t> - </w:t>
      </w:r>
      <w:r w:rsidR="005B0577" w:rsidRPr="009118AB">
        <w:rPr>
          <w:i/>
        </w:rPr>
        <w:t xml:space="preserve">anwendbar </w:t>
      </w:r>
      <w:r w:rsidR="006A289F" w:rsidRPr="009118AB">
        <w:rPr>
          <w:i/>
        </w:rPr>
        <w:t>auf Arbeitgeber für Entlohnungen, die sie im Laufe eines Besteuerungszeitraums zahlen oder zuerkennen, der ab dem 1. Januar 2016 beginnt</w:t>
      </w:r>
      <w:r w:rsidR="00D67EB8" w:rsidRPr="009118AB">
        <w:rPr>
          <w:i/>
        </w:rPr>
        <w:t> - </w:t>
      </w:r>
      <w:r w:rsidR="009E1E97" w:rsidRPr="009118AB">
        <w:rPr>
          <w:i/>
          <w:iCs/>
        </w:rPr>
        <w:t xml:space="preserve">und </w:t>
      </w:r>
      <w:r w:rsidR="00A63F11" w:rsidRPr="009118AB">
        <w:rPr>
          <w:i/>
          <w:iCs/>
        </w:rPr>
        <w:t xml:space="preserve">abgeändert durch </w:t>
      </w:r>
      <w:r w:rsidR="00D67EB8" w:rsidRPr="009118AB">
        <w:rPr>
          <w:i/>
          <w:iCs/>
        </w:rPr>
        <w:t>Art. </w:t>
      </w:r>
      <w:r w:rsidR="009E1E97" w:rsidRPr="009118AB">
        <w:rPr>
          <w:i/>
          <w:iCs/>
        </w:rPr>
        <w:t xml:space="preserve">67 </w:t>
      </w:r>
      <w:r w:rsidR="00D67EB8" w:rsidRPr="009118AB">
        <w:rPr>
          <w:i/>
          <w:iCs/>
        </w:rPr>
        <w:t>Nr. </w:t>
      </w:r>
      <w:r w:rsidR="009E1E97" w:rsidRPr="009118AB">
        <w:rPr>
          <w:i/>
          <w:iCs/>
        </w:rPr>
        <w:t>2</w:t>
      </w:r>
      <w:r w:rsidR="009E1E97" w:rsidRPr="009118AB">
        <w:rPr>
          <w:i/>
          <w:iCs/>
          <w:spacing w:val="-2"/>
        </w:rPr>
        <w:t xml:space="preserve"> des G. vom 17. März 2019 (III) (B.S. vom 10. Mai 2019)</w:t>
      </w:r>
      <w:r w:rsidR="00D67EB8" w:rsidRPr="009118AB">
        <w:rPr>
          <w:i/>
          <w:iCs/>
          <w:spacing w:val="-2"/>
        </w:rPr>
        <w:t> - </w:t>
      </w:r>
      <w:r w:rsidR="009E1E97" w:rsidRPr="009118AB">
        <w:rPr>
          <w:i/>
          <w:iCs/>
          <w:spacing w:val="-2"/>
        </w:rPr>
        <w:t>in Kraft am 1. Mai 2019</w:t>
      </w:r>
      <w:r w:rsidR="00D67EB8" w:rsidRPr="009118AB">
        <w:rPr>
          <w:i/>
          <w:iCs/>
          <w:spacing w:val="-2"/>
        </w:rPr>
        <w:t> - </w:t>
      </w:r>
      <w:r w:rsidR="00AC2D61" w:rsidRPr="009118AB">
        <w:rPr>
          <w:i/>
          <w:iCs/>
          <w:spacing w:val="-2"/>
        </w:rPr>
        <w:t xml:space="preserve">und </w:t>
      </w:r>
      <w:r w:rsidR="00D67EB8" w:rsidRPr="009118AB">
        <w:rPr>
          <w:i/>
          <w:iCs/>
          <w:spacing w:val="-2"/>
        </w:rPr>
        <w:t>Art. </w:t>
      </w:r>
      <w:r w:rsidR="00AC2D61" w:rsidRPr="009118AB">
        <w:rPr>
          <w:i/>
          <w:iCs/>
          <w:spacing w:val="-2"/>
        </w:rPr>
        <w:t>84</w:t>
      </w:r>
      <w:r w:rsidR="00AC2D61" w:rsidRPr="009118AB">
        <w:rPr>
          <w:bCs/>
          <w:i/>
          <w:iCs/>
        </w:rPr>
        <w:t xml:space="preserve"> des G. vom 27. Juni 2021 (B.S. vom 30. Juni 2021)</w:t>
      </w:r>
      <w:r w:rsidR="000A0CD5" w:rsidRPr="009118AB">
        <w:rPr>
          <w:i/>
          <w:iCs/>
          <w:spacing w:val="-2"/>
        </w:rPr>
        <w:t xml:space="preserve">; </w:t>
      </w:r>
      <w:r w:rsidR="00D67EB8" w:rsidRPr="009118AB">
        <w:rPr>
          <w:i/>
          <w:iCs/>
          <w:spacing w:val="-2"/>
        </w:rPr>
        <w:t>Abs. </w:t>
      </w:r>
      <w:r w:rsidR="000A0CD5" w:rsidRPr="009118AB">
        <w:rPr>
          <w:i/>
          <w:iCs/>
          <w:spacing w:val="-2"/>
        </w:rPr>
        <w:t xml:space="preserve">5 erster Gedankenstrich abgeändert durch </w:t>
      </w:r>
      <w:r w:rsidR="00D67EB8" w:rsidRPr="009118AB">
        <w:rPr>
          <w:i/>
          <w:iCs/>
          <w:spacing w:val="-2"/>
        </w:rPr>
        <w:t>Art. </w:t>
      </w:r>
      <w:r w:rsidR="000A0CD5" w:rsidRPr="009118AB">
        <w:rPr>
          <w:i/>
          <w:iCs/>
          <w:spacing w:val="-2"/>
        </w:rPr>
        <w:t>6 Buchstabe a)</w:t>
      </w:r>
      <w:r w:rsidR="000A0CD5" w:rsidRPr="009118AB">
        <w:rPr>
          <w:i/>
          <w:iCs/>
        </w:rPr>
        <w:t xml:space="preserve"> des K.E. vom 3. Oktober 2019 (B.S. vom 30. Oktober 2019)</w:t>
      </w:r>
      <w:r w:rsidR="00FA6BFC" w:rsidRPr="009118AB">
        <w:rPr>
          <w:i/>
          <w:iCs/>
        </w:rPr>
        <w:t xml:space="preserve"> und </w:t>
      </w:r>
      <w:r w:rsidR="00D67EB8" w:rsidRPr="009118AB">
        <w:rPr>
          <w:i/>
          <w:iCs/>
        </w:rPr>
        <w:t>Art. </w:t>
      </w:r>
      <w:r w:rsidR="00FA6BFC" w:rsidRPr="009118AB">
        <w:rPr>
          <w:i/>
          <w:iCs/>
        </w:rPr>
        <w:t>6 Buchstabe a)</w:t>
      </w:r>
      <w:r w:rsidR="00FA6BFC" w:rsidRPr="009118AB">
        <w:rPr>
          <w:i/>
        </w:rPr>
        <w:t xml:space="preserve"> des K.E. vom 18. April 2022 (B.S. vom 1. Juni 2022)</w:t>
      </w:r>
      <w:r w:rsidR="000A0CD5" w:rsidRPr="009118AB">
        <w:rPr>
          <w:i/>
          <w:iCs/>
        </w:rPr>
        <w:t xml:space="preserve">; </w:t>
      </w:r>
      <w:r w:rsidR="00D67EB8" w:rsidRPr="009118AB">
        <w:rPr>
          <w:i/>
          <w:iCs/>
          <w:spacing w:val="-2"/>
        </w:rPr>
        <w:t>Abs. </w:t>
      </w:r>
      <w:r w:rsidR="000A0CD5" w:rsidRPr="009118AB">
        <w:rPr>
          <w:i/>
          <w:iCs/>
          <w:spacing w:val="-2"/>
        </w:rPr>
        <w:t xml:space="preserve">5 zweiter Gedankenstrich abgeändert durch </w:t>
      </w:r>
      <w:r w:rsidR="00D67EB8" w:rsidRPr="009118AB">
        <w:rPr>
          <w:i/>
          <w:iCs/>
          <w:spacing w:val="-2"/>
        </w:rPr>
        <w:t>Art. </w:t>
      </w:r>
      <w:r w:rsidR="000A0CD5" w:rsidRPr="009118AB">
        <w:rPr>
          <w:i/>
          <w:iCs/>
          <w:spacing w:val="-2"/>
        </w:rPr>
        <w:t>6 Buchstabe b)</w:t>
      </w:r>
      <w:r w:rsidR="000A0CD5" w:rsidRPr="009118AB">
        <w:rPr>
          <w:i/>
          <w:iCs/>
        </w:rPr>
        <w:t xml:space="preserve"> des K.E. vom 3. Oktober 2019 (B.S. vom 30. Oktober 2019)</w:t>
      </w:r>
      <w:r w:rsidR="00FA6BFC" w:rsidRPr="009118AB">
        <w:rPr>
          <w:i/>
          <w:iCs/>
        </w:rPr>
        <w:t xml:space="preserve"> und </w:t>
      </w:r>
      <w:r w:rsidR="00D67EB8" w:rsidRPr="009118AB">
        <w:rPr>
          <w:i/>
          <w:iCs/>
        </w:rPr>
        <w:t>Art. </w:t>
      </w:r>
      <w:r w:rsidR="00FA6BFC" w:rsidRPr="009118AB">
        <w:rPr>
          <w:i/>
          <w:iCs/>
        </w:rPr>
        <w:t>6 Buchstabe b)</w:t>
      </w:r>
      <w:r w:rsidR="00FA6BFC" w:rsidRPr="009118AB">
        <w:rPr>
          <w:i/>
        </w:rPr>
        <w:t xml:space="preserve"> des K.E. vom 18. April 2022 (B.S. vom 1. Juni 2022)</w:t>
      </w:r>
      <w:r w:rsidR="00E4342B" w:rsidRPr="009118AB">
        <w:rPr>
          <w:i/>
        </w:rPr>
        <w:t xml:space="preserve">; neuer Absatz 6 eingefügt durch </w:t>
      </w:r>
      <w:r w:rsidR="00D67EB8" w:rsidRPr="009118AB">
        <w:rPr>
          <w:i/>
        </w:rPr>
        <w:t>Art. </w:t>
      </w:r>
      <w:r w:rsidR="00E4342B" w:rsidRPr="009118AB">
        <w:rPr>
          <w:i/>
        </w:rPr>
        <w:t>16</w:t>
      </w:r>
      <w:r w:rsidR="00E4342B"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E4342B" w:rsidRPr="009118AB">
        <w:rPr>
          <w:rFonts w:ascii="Times New Roman Italique" w:hAnsi="Times New Roman Italique"/>
          <w:i/>
        </w:rPr>
        <w:t>anwendbar auf die ab dem 1. April 2022 gezahlten oder zuerkannten Entlohnungen</w:t>
      </w:r>
      <w:r w:rsidR="00FD68E8" w:rsidRPr="009118AB">
        <w:rPr>
          <w:rFonts w:ascii="Times New Roman Italique" w:hAnsi="Times New Roman Italique"/>
          <w:i/>
        </w:rPr>
        <w:t> -]</w:t>
      </w:r>
    </w:p>
    <w:p w14:paraId="50687FC1" w14:textId="77777777" w:rsidR="008260F1" w:rsidRPr="009118AB" w:rsidRDefault="008260F1" w:rsidP="00E24013">
      <w:pPr>
        <w:jc w:val="both"/>
        <w:rPr>
          <w:i/>
          <w:iCs/>
        </w:rPr>
      </w:pPr>
    </w:p>
    <w:p w14:paraId="53F9EDF9" w14:textId="77777777" w:rsidR="0070406F" w:rsidRPr="009118AB" w:rsidRDefault="0070406F" w:rsidP="00E24013">
      <w:pPr>
        <w:jc w:val="both"/>
        <w:rPr>
          <w:i/>
          <w:iCs/>
        </w:rPr>
      </w:pPr>
    </w:p>
    <w:p w14:paraId="362B41A6" w14:textId="1CE61DAA" w:rsidR="008260F1" w:rsidRPr="009118AB" w:rsidRDefault="008260F1" w:rsidP="008260F1">
      <w:pPr>
        <w:jc w:val="both"/>
        <w:rPr>
          <w:iCs/>
        </w:rPr>
      </w:pPr>
      <w:r w:rsidRPr="009118AB">
        <w:rPr>
          <w:i/>
          <w:iCs/>
        </w:rPr>
        <w:tab/>
      </w:r>
      <w:r w:rsidRPr="009118AB">
        <w:rPr>
          <w:iCs/>
        </w:rPr>
        <w:t>[</w:t>
      </w:r>
      <w:r w:rsidR="00D67EB8" w:rsidRPr="009118AB">
        <w:rPr>
          <w:b/>
          <w:iCs/>
        </w:rPr>
        <w:t>Art. </w:t>
      </w:r>
      <w:r w:rsidRPr="009118AB">
        <w:rPr>
          <w:b/>
          <w:iCs/>
        </w:rPr>
        <w:t>275</w:t>
      </w:r>
      <w:r w:rsidRPr="009118AB">
        <w:rPr>
          <w:b/>
          <w:iCs/>
          <w:vertAlign w:val="superscript"/>
        </w:rPr>
        <w:t>11</w:t>
      </w:r>
      <w:r w:rsidR="00D67EB8" w:rsidRPr="009118AB">
        <w:rPr>
          <w:iCs/>
        </w:rPr>
        <w:t> - </w:t>
      </w:r>
      <w:r w:rsidRPr="009118AB">
        <w:rPr>
          <w:iCs/>
        </w:rPr>
        <w:t>Arbeitgeber, die jungen Arbeitnehmern einen in Artikel</w:t>
      </w:r>
      <w:r w:rsidR="004551B4" w:rsidRPr="009118AB">
        <w:rPr>
          <w:iCs/>
        </w:rPr>
        <w:t> </w:t>
      </w:r>
      <w:r w:rsidRPr="009118AB">
        <w:rPr>
          <w:iCs/>
        </w:rPr>
        <w:t>33</w:t>
      </w:r>
      <w:r w:rsidRPr="009118AB">
        <w:rPr>
          <w:i/>
          <w:iCs/>
        </w:rPr>
        <w:t>bis</w:t>
      </w:r>
      <w:r w:rsidRPr="009118AB">
        <w:rPr>
          <w:iCs/>
        </w:rPr>
        <w:t xml:space="preserve"> </w:t>
      </w:r>
      <w:r w:rsidR="00D67EB8" w:rsidRPr="009118AB">
        <w:rPr>
          <w:iCs/>
        </w:rPr>
        <w:t>§ </w:t>
      </w:r>
      <w:r w:rsidRPr="009118AB">
        <w:rPr>
          <w:iCs/>
        </w:rPr>
        <w:t>4 des Gesetzes vom 24.</w:t>
      </w:r>
      <w:r w:rsidR="004551B4" w:rsidRPr="009118AB">
        <w:rPr>
          <w:iCs/>
        </w:rPr>
        <w:t> </w:t>
      </w:r>
      <w:r w:rsidRPr="009118AB">
        <w:rPr>
          <w:iCs/>
        </w:rPr>
        <w:t>Dezember</w:t>
      </w:r>
      <w:r w:rsidR="004551B4" w:rsidRPr="009118AB">
        <w:rPr>
          <w:iCs/>
        </w:rPr>
        <w:t> </w:t>
      </w:r>
      <w:r w:rsidRPr="009118AB">
        <w:rPr>
          <w:iCs/>
        </w:rPr>
        <w:t xml:space="preserve">1999 zur Förderung der Beschäftigung erwähnten </w:t>
      </w:r>
      <w:r w:rsidR="00BC3C7C" w:rsidRPr="009118AB">
        <w:rPr>
          <w:iCs/>
        </w:rPr>
        <w:t>[Ausgleichsz</w:t>
      </w:r>
      <w:r w:rsidRPr="009118AB">
        <w:rPr>
          <w:iCs/>
        </w:rPr>
        <w:t>uschlag</w:t>
      </w:r>
      <w:r w:rsidR="00BC3C7C" w:rsidRPr="009118AB">
        <w:rPr>
          <w:iCs/>
        </w:rPr>
        <w:t>]</w:t>
      </w:r>
      <w:r w:rsidRPr="009118AB">
        <w:rPr>
          <w:iCs/>
        </w:rPr>
        <w:t xml:space="preserve"> zahlen oder zuerkennen und die </w:t>
      </w:r>
      <w:r w:rsidR="004551B4" w:rsidRPr="009118AB">
        <w:rPr>
          <w:iCs/>
        </w:rPr>
        <w:t>[</w:t>
      </w:r>
      <w:r w:rsidRPr="009118AB">
        <w:rPr>
          <w:iCs/>
        </w:rPr>
        <w:t>aufgrund von Artikel</w:t>
      </w:r>
      <w:r w:rsidR="004551B4" w:rsidRPr="009118AB">
        <w:rPr>
          <w:iCs/>
        </w:rPr>
        <w:t> </w:t>
      </w:r>
      <w:r w:rsidRPr="009118AB">
        <w:rPr>
          <w:iCs/>
        </w:rPr>
        <w:t xml:space="preserve">270 </w:t>
      </w:r>
      <w:r w:rsidR="004551B4" w:rsidRPr="009118AB">
        <w:rPr>
          <w:iCs/>
        </w:rPr>
        <w:t xml:space="preserve">Absatz 1 </w:t>
      </w:r>
      <w:r w:rsidR="00D67EB8" w:rsidRPr="009118AB">
        <w:rPr>
          <w:iCs/>
        </w:rPr>
        <w:t>Nr. </w:t>
      </w:r>
      <w:r w:rsidRPr="009118AB">
        <w:rPr>
          <w:iCs/>
        </w:rPr>
        <w:t>1</w:t>
      </w:r>
      <w:r w:rsidR="004551B4" w:rsidRPr="009118AB">
        <w:rPr>
          <w:iCs/>
        </w:rPr>
        <w:t>]</w:t>
      </w:r>
      <w:r w:rsidRPr="009118AB">
        <w:rPr>
          <w:iCs/>
        </w:rPr>
        <w:t xml:space="preserve"> Berufssteuervorabzug auf Entlohnungen schulden, die sie jungen Arbeitnehmern zahlen oder zuerkennen, sind von der Zuführung eines Teils des nach Anwendung der Artikel 275</w:t>
      </w:r>
      <w:r w:rsidRPr="009118AB">
        <w:rPr>
          <w:iCs/>
          <w:vertAlign w:val="superscript"/>
        </w:rPr>
        <w:t>1</w:t>
      </w:r>
      <w:r w:rsidRPr="009118AB">
        <w:rPr>
          <w:iCs/>
        </w:rPr>
        <w:t xml:space="preserve"> bis 275</w:t>
      </w:r>
      <w:r w:rsidRPr="009118AB">
        <w:rPr>
          <w:iCs/>
          <w:vertAlign w:val="superscript"/>
        </w:rPr>
        <w:t>10</w:t>
      </w:r>
      <w:r w:rsidRPr="009118AB">
        <w:rPr>
          <w:iCs/>
        </w:rPr>
        <w:t xml:space="preserve"> geschuldeten Berufssteuervorabzugs an die Staatskasse befreit.</w:t>
      </w:r>
    </w:p>
    <w:p w14:paraId="34824F21" w14:textId="77777777" w:rsidR="008260F1" w:rsidRPr="009118AB" w:rsidRDefault="008260F1" w:rsidP="008260F1">
      <w:pPr>
        <w:jc w:val="both"/>
        <w:rPr>
          <w:iCs/>
        </w:rPr>
      </w:pPr>
    </w:p>
    <w:p w14:paraId="062265F4" w14:textId="696428C6" w:rsidR="008260F1" w:rsidRPr="009118AB" w:rsidRDefault="008260F1" w:rsidP="008260F1">
      <w:pPr>
        <w:jc w:val="both"/>
        <w:rPr>
          <w:iCs/>
        </w:rPr>
      </w:pPr>
      <w:r w:rsidRPr="009118AB">
        <w:rPr>
          <w:iCs/>
        </w:rPr>
        <w:tab/>
        <w:t xml:space="preserve">Der nicht zu entrichtende Berufssteuervorabzug entspricht dem Betrag der </w:t>
      </w:r>
      <w:r w:rsidR="00BC3C7C" w:rsidRPr="009118AB">
        <w:rPr>
          <w:iCs/>
        </w:rPr>
        <w:t>[Ausgleichsz</w:t>
      </w:r>
      <w:r w:rsidRPr="009118AB">
        <w:rPr>
          <w:iCs/>
        </w:rPr>
        <w:t>uschläge</w:t>
      </w:r>
      <w:r w:rsidR="00BC3C7C" w:rsidRPr="009118AB">
        <w:rPr>
          <w:iCs/>
        </w:rPr>
        <w:t>]</w:t>
      </w:r>
      <w:r w:rsidRPr="009118AB">
        <w:rPr>
          <w:iCs/>
        </w:rPr>
        <w:t>, die der Arbeitgeber in Anwendung von Artikel 33</w:t>
      </w:r>
      <w:r w:rsidRPr="009118AB">
        <w:rPr>
          <w:i/>
          <w:iCs/>
        </w:rPr>
        <w:t>bis</w:t>
      </w:r>
      <w:r w:rsidRPr="009118AB">
        <w:rPr>
          <w:iCs/>
        </w:rPr>
        <w:t xml:space="preserve"> </w:t>
      </w:r>
      <w:r w:rsidR="00D67EB8" w:rsidRPr="009118AB">
        <w:rPr>
          <w:iCs/>
        </w:rPr>
        <w:t>§ </w:t>
      </w:r>
      <w:r w:rsidRPr="009118AB">
        <w:rPr>
          <w:iCs/>
        </w:rPr>
        <w:t>4 des Gesetzes vom 24.</w:t>
      </w:r>
      <w:r w:rsidR="002D5BE0" w:rsidRPr="009118AB">
        <w:rPr>
          <w:iCs/>
        </w:rPr>
        <w:t> Dezember </w:t>
      </w:r>
      <w:r w:rsidRPr="009118AB">
        <w:rPr>
          <w:iCs/>
        </w:rPr>
        <w:t>1999 zur Förderung der Beschäftigung jungen Arbeitnehmern während eines Zeitraums gezahlt oder zuerkannt hat, für den Berufssteuervorabzug geschuldet wird.</w:t>
      </w:r>
    </w:p>
    <w:p w14:paraId="70AE079F" w14:textId="77777777" w:rsidR="008260F1" w:rsidRPr="009118AB" w:rsidRDefault="008260F1" w:rsidP="008260F1">
      <w:pPr>
        <w:jc w:val="both"/>
        <w:rPr>
          <w:iCs/>
        </w:rPr>
      </w:pPr>
    </w:p>
    <w:p w14:paraId="5F6751A0" w14:textId="3A10F250" w:rsidR="008260F1" w:rsidRPr="009118AB" w:rsidRDefault="008260F1" w:rsidP="008260F1">
      <w:pPr>
        <w:jc w:val="both"/>
        <w:rPr>
          <w:iCs/>
        </w:rPr>
      </w:pPr>
      <w:r w:rsidRPr="009118AB">
        <w:rPr>
          <w:iCs/>
        </w:rPr>
        <w:lastRenderedPageBreak/>
        <w:tab/>
        <w:t>Der Teil des gemäß Absatz 2 festgelegten Betrags, der nicht in Anwendung von Absatz</w:t>
      </w:r>
      <w:r w:rsidR="002D5BE0" w:rsidRPr="009118AB">
        <w:rPr>
          <w:iCs/>
        </w:rPr>
        <w:t> </w:t>
      </w:r>
      <w:r w:rsidRPr="009118AB">
        <w:rPr>
          <w:iCs/>
        </w:rPr>
        <w:t xml:space="preserve">1 von dem für den betreffenden Zeitraum geschuldeten Berufssteuervorabzug abgezogen werden kann, kann nacheinander von dem Berufssteuervorabzug abgezogen werden, der </w:t>
      </w:r>
      <w:r w:rsidR="00C9685A">
        <w:rPr>
          <w:iCs/>
        </w:rPr>
        <w:t>[</w:t>
      </w:r>
      <w:r w:rsidR="00C9685A" w:rsidRPr="009541B3">
        <w:t>nach Anwendung der anderen Artikel des vorliegenden Unterabschnitts</w:t>
      </w:r>
      <w:r w:rsidR="00C9685A">
        <w:rPr>
          <w:iCs/>
        </w:rPr>
        <w:t xml:space="preserve">] </w:t>
      </w:r>
      <w:r w:rsidRPr="009118AB">
        <w:rPr>
          <w:iCs/>
        </w:rPr>
        <w:t>für jeden der nachfolgenden Zeiträume, für die Berufssteuervorabzug geschuldet wird und die zu einem selben Kalenderjahr gehören, geschuldet wird.</w:t>
      </w:r>
    </w:p>
    <w:p w14:paraId="19B35280" w14:textId="77777777" w:rsidR="002C578B" w:rsidRPr="009118AB" w:rsidRDefault="002C578B" w:rsidP="001C35DD">
      <w:pPr>
        <w:ind w:firstLine="709"/>
        <w:jc w:val="both"/>
        <w:rPr>
          <w:iCs/>
        </w:rPr>
      </w:pPr>
    </w:p>
    <w:p w14:paraId="0F70B725" w14:textId="77777777" w:rsidR="008260F1" w:rsidRPr="009118AB" w:rsidRDefault="008260F1" w:rsidP="001C35DD">
      <w:pPr>
        <w:ind w:firstLine="709"/>
        <w:jc w:val="both"/>
        <w:rPr>
          <w:iCs/>
        </w:rPr>
      </w:pPr>
      <w:r w:rsidRPr="009118AB">
        <w:rPr>
          <w:iCs/>
        </w:rPr>
        <w:t>Der König bestimmt die Formalitäten, die für die Anwendung des vorliegenden Artikels zu erledigen sind.]</w:t>
      </w:r>
    </w:p>
    <w:p w14:paraId="722EB438" w14:textId="77777777" w:rsidR="008260F1" w:rsidRPr="009118AB" w:rsidRDefault="008260F1" w:rsidP="008260F1">
      <w:pPr>
        <w:jc w:val="both"/>
        <w:rPr>
          <w:iCs/>
        </w:rPr>
      </w:pPr>
    </w:p>
    <w:p w14:paraId="04C4C7E0" w14:textId="1634F700" w:rsidR="008260F1" w:rsidRPr="009118AB" w:rsidRDefault="008260F1" w:rsidP="008260F1">
      <w:pPr>
        <w:jc w:val="both"/>
        <w:rPr>
          <w:iCs/>
        </w:rPr>
      </w:pPr>
      <w:r w:rsidRPr="009118AB">
        <w:rPr>
          <w:i/>
          <w:iCs/>
        </w:rPr>
        <w:t>[</w:t>
      </w:r>
      <w:r w:rsidR="00D67EB8" w:rsidRPr="009118AB">
        <w:rPr>
          <w:i/>
          <w:iCs/>
        </w:rPr>
        <w:t>Art. </w:t>
      </w:r>
      <w:r w:rsidRPr="009118AB">
        <w:rPr>
          <w:i/>
          <w:iCs/>
        </w:rPr>
        <w:t>275</w:t>
      </w:r>
      <w:r w:rsidRPr="009118AB">
        <w:rPr>
          <w:i/>
          <w:iCs/>
          <w:vertAlign w:val="superscript"/>
        </w:rPr>
        <w:t xml:space="preserve">11 </w:t>
      </w:r>
      <w:r w:rsidRPr="009118AB">
        <w:rPr>
          <w:i/>
          <w:iCs/>
        </w:rPr>
        <w:t xml:space="preserve">eingefügt durch </w:t>
      </w:r>
      <w:r w:rsidR="00D67EB8" w:rsidRPr="009118AB">
        <w:rPr>
          <w:i/>
          <w:iCs/>
        </w:rPr>
        <w:t>Art. </w:t>
      </w:r>
      <w:r w:rsidRPr="009118AB">
        <w:rPr>
          <w:i/>
          <w:iCs/>
        </w:rPr>
        <w:t>2</w:t>
      </w:r>
      <w:r w:rsidR="0070406F" w:rsidRPr="009118AB">
        <w:rPr>
          <w:i/>
          <w:iCs/>
        </w:rPr>
        <w:t>1</w:t>
      </w:r>
      <w:r w:rsidRPr="009118AB">
        <w:rPr>
          <w:i/>
          <w:iCs/>
        </w:rPr>
        <w:t xml:space="preserve"> des G. vom 26. März 2018 (B.S. vom 30. März 2018)</w:t>
      </w:r>
      <w:r w:rsidR="00D67EB8" w:rsidRPr="009118AB">
        <w:rPr>
          <w:i/>
          <w:iCs/>
        </w:rPr>
        <w:t> - </w:t>
      </w:r>
      <w:r w:rsidRPr="009118AB">
        <w:rPr>
          <w:i/>
          <w:iCs/>
        </w:rPr>
        <w:t>in Kraft am 1. Juli 2018 und anwendbar</w:t>
      </w:r>
      <w:r w:rsidRPr="009118AB">
        <w:rPr>
          <w:i/>
        </w:rPr>
        <w:t xml:space="preserve"> auf alle ab dem 1. Juli 2018 abgeschlossenen Arbeitsverträge</w:t>
      </w:r>
      <w:r w:rsidR="003366D9" w:rsidRPr="009118AB">
        <w:rPr>
          <w:i/>
          <w:iCs/>
        </w:rPr>
        <w:t> -;</w:t>
      </w:r>
      <w:r w:rsidR="004551B4" w:rsidRPr="009118AB">
        <w:rPr>
          <w:i/>
          <w:iCs/>
        </w:rPr>
        <w:t xml:space="preserve"> </w:t>
      </w:r>
      <w:r w:rsidR="00D67EB8" w:rsidRPr="009118AB">
        <w:rPr>
          <w:i/>
          <w:iCs/>
        </w:rPr>
        <w:t>Abs. </w:t>
      </w:r>
      <w:r w:rsidR="004551B4" w:rsidRPr="009118AB">
        <w:rPr>
          <w:i/>
          <w:iCs/>
        </w:rPr>
        <w:t xml:space="preserve">1 abgeändert durch </w:t>
      </w:r>
      <w:r w:rsidR="00D67EB8" w:rsidRPr="009118AB">
        <w:rPr>
          <w:i/>
          <w:iCs/>
        </w:rPr>
        <w:t>Art. </w:t>
      </w:r>
      <w:r w:rsidR="00296F5F" w:rsidRPr="009118AB">
        <w:rPr>
          <w:i/>
          <w:iCs/>
        </w:rPr>
        <w:t>20</w:t>
      </w:r>
      <w:r w:rsidR="00296F5F" w:rsidRPr="009118AB">
        <w:rPr>
          <w:i/>
        </w:rPr>
        <w:t xml:space="preserve"> des G. vom 11. Februar 2019 (B.S. vom 22. März 2019)</w:t>
      </w:r>
      <w:r w:rsidR="00D67EB8" w:rsidRPr="009118AB">
        <w:rPr>
          <w:i/>
        </w:rPr>
        <w:t> - </w:t>
      </w:r>
      <w:r w:rsidR="00296F5F" w:rsidRPr="009118AB">
        <w:rPr>
          <w:i/>
        </w:rPr>
        <w:t>in Kraft am 1. März 2019 und anwendbar auf die ab dem 1. März 2019 gezahlten oder zuerkannten Entlohnungen</w:t>
      </w:r>
      <w:r w:rsidR="00D67EB8" w:rsidRPr="009118AB">
        <w:rPr>
          <w:i/>
        </w:rPr>
        <w:t> - </w:t>
      </w:r>
      <w:r w:rsidR="00BC3C7C" w:rsidRPr="009118AB">
        <w:rPr>
          <w:i/>
        </w:rPr>
        <w:t xml:space="preserve">und </w:t>
      </w:r>
      <w:r w:rsidR="00D67EB8" w:rsidRPr="009118AB">
        <w:rPr>
          <w:i/>
        </w:rPr>
        <w:t>Art. </w:t>
      </w:r>
      <w:r w:rsidR="00BC3C7C" w:rsidRPr="009118AB">
        <w:rPr>
          <w:i/>
        </w:rPr>
        <w:t>11 des G. vom 23. März 2</w:t>
      </w:r>
      <w:r w:rsidR="003B0B00" w:rsidRPr="009118AB">
        <w:rPr>
          <w:i/>
        </w:rPr>
        <w:t>019 (B.S. vom 5. April 2019)</w:t>
      </w:r>
      <w:r w:rsidR="00D67EB8" w:rsidRPr="009118AB">
        <w:rPr>
          <w:i/>
        </w:rPr>
        <w:t> - </w:t>
      </w:r>
      <w:r w:rsidR="00BC3C7C" w:rsidRPr="009118AB">
        <w:rPr>
          <w:i/>
        </w:rPr>
        <w:t>anwendbar auf die ab dem 1. Januar 2019 gezahlten oder zuerkannten Zuschläge</w:t>
      </w:r>
      <w:r w:rsidR="003366D9" w:rsidRPr="009118AB">
        <w:rPr>
          <w:i/>
        </w:rPr>
        <w:t> -;</w:t>
      </w:r>
      <w:r w:rsidR="00BC3C7C" w:rsidRPr="009118AB">
        <w:rPr>
          <w:i/>
        </w:rPr>
        <w:t xml:space="preserve"> </w:t>
      </w:r>
      <w:r w:rsidR="00D67EB8" w:rsidRPr="009118AB">
        <w:rPr>
          <w:i/>
        </w:rPr>
        <w:t>Abs. </w:t>
      </w:r>
      <w:r w:rsidR="00BC3C7C" w:rsidRPr="009118AB">
        <w:rPr>
          <w:i/>
        </w:rPr>
        <w:t xml:space="preserve">2 abgeändert durch </w:t>
      </w:r>
      <w:r w:rsidR="00D67EB8" w:rsidRPr="009118AB">
        <w:rPr>
          <w:i/>
        </w:rPr>
        <w:t>Art. </w:t>
      </w:r>
      <w:r w:rsidR="00BC3C7C" w:rsidRPr="009118AB">
        <w:rPr>
          <w:i/>
        </w:rPr>
        <w:t>11 des G. vom 23. März 2019 (B.S. vom 5. April 20</w:t>
      </w:r>
      <w:r w:rsidR="003B0B00" w:rsidRPr="009118AB">
        <w:rPr>
          <w:i/>
        </w:rPr>
        <w:t>19)</w:t>
      </w:r>
      <w:r w:rsidR="00D67EB8" w:rsidRPr="009118AB">
        <w:rPr>
          <w:i/>
        </w:rPr>
        <w:t> - </w:t>
      </w:r>
      <w:r w:rsidR="00BC3C7C" w:rsidRPr="009118AB">
        <w:rPr>
          <w:i/>
        </w:rPr>
        <w:t>anwendbar auf die ab dem 1. Januar 2019 gezahlten oder zuerkannten Zuschläge</w:t>
      </w:r>
      <w:r w:rsidR="00FD68E8" w:rsidRPr="009118AB">
        <w:rPr>
          <w:i/>
        </w:rPr>
        <w:t> -</w:t>
      </w:r>
      <w:r w:rsidR="00DF03D5">
        <w:rPr>
          <w:i/>
        </w:rPr>
        <w:t xml:space="preserve">; Abs. 3 </w:t>
      </w:r>
      <w:r w:rsidR="00DF03D5" w:rsidRPr="003E131B">
        <w:rPr>
          <w:i/>
          <w:iCs/>
          <w:spacing w:val="-2"/>
        </w:rPr>
        <w:t>abgeändert durch Art. </w:t>
      </w:r>
      <w:r w:rsidR="00DF03D5">
        <w:rPr>
          <w:i/>
          <w:iCs/>
          <w:spacing w:val="-2"/>
        </w:rPr>
        <w:t>56</w:t>
      </w:r>
      <w:r w:rsidR="00DF03D5" w:rsidRPr="003E131B">
        <w:rPr>
          <w:i/>
          <w:iCs/>
          <w:spacing w:val="-2"/>
        </w:rPr>
        <w:t xml:space="preserve"> des G. vom 28. Dezember 2023 (B.S. vom 29. Dezember 2023)</w:t>
      </w:r>
      <w:r w:rsidR="00DF03D5">
        <w:rPr>
          <w:i/>
          <w:iCs/>
          <w:spacing w:val="-2"/>
        </w:rPr>
        <w:t xml:space="preserve"> </w:t>
      </w:r>
      <w:r w:rsidR="00DF03D5" w:rsidRPr="00DF03D5">
        <w:rPr>
          <w:i/>
          <w:iCs/>
          <w:spacing w:val="-2"/>
        </w:rPr>
        <w:t>- </w:t>
      </w:r>
      <w:r w:rsidR="00DF03D5" w:rsidRPr="00DF03D5">
        <w:rPr>
          <w:i/>
          <w:iCs/>
        </w:rPr>
        <w:t>anwendbar auf die ab dem 1. August 2023 gezahlten oder zuerkannten Entlohnungen -</w:t>
      </w:r>
      <w:r w:rsidR="00FD68E8" w:rsidRPr="009118AB">
        <w:rPr>
          <w:i/>
        </w:rPr>
        <w:t>]</w:t>
      </w:r>
    </w:p>
    <w:p w14:paraId="7F1A04CC" w14:textId="24370604" w:rsidR="008876EE" w:rsidRPr="009118AB" w:rsidRDefault="008876EE" w:rsidP="008260F1">
      <w:pPr>
        <w:jc w:val="both"/>
        <w:rPr>
          <w:iCs/>
        </w:rPr>
      </w:pPr>
    </w:p>
    <w:p w14:paraId="6DEE7D53" w14:textId="714AC9FE" w:rsidR="008876EE" w:rsidRPr="009118AB" w:rsidRDefault="008876EE" w:rsidP="008260F1">
      <w:pPr>
        <w:jc w:val="both"/>
        <w:rPr>
          <w:iCs/>
        </w:rPr>
      </w:pPr>
    </w:p>
    <w:p w14:paraId="73E536A2" w14:textId="261A08F3" w:rsidR="008876EE" w:rsidRPr="009118AB" w:rsidRDefault="008876EE" w:rsidP="008876EE">
      <w:pPr>
        <w:ind w:firstLine="708"/>
        <w:jc w:val="both"/>
      </w:pPr>
      <w:r w:rsidRPr="009118AB">
        <w:rPr>
          <w:iCs/>
        </w:rPr>
        <w:tab/>
        <w:t>[</w:t>
      </w:r>
      <w:r w:rsidR="00D67EB8" w:rsidRPr="009118AB">
        <w:rPr>
          <w:b/>
        </w:rPr>
        <w:t>Art. </w:t>
      </w:r>
      <w:r w:rsidRPr="009118AB">
        <w:rPr>
          <w:b/>
        </w:rPr>
        <w:t>275</w:t>
      </w:r>
      <w:r w:rsidRPr="009118AB">
        <w:rPr>
          <w:b/>
          <w:vertAlign w:val="superscript"/>
        </w:rPr>
        <w:t>12</w:t>
      </w:r>
      <w:r w:rsidR="00D67EB8" w:rsidRPr="009118AB">
        <w:t> - § </w:t>
      </w:r>
      <w:r w:rsidRPr="009118AB">
        <w:t>1</w:t>
      </w:r>
      <w:r w:rsidR="00D67EB8" w:rsidRPr="009118AB">
        <w:t> - </w:t>
      </w:r>
      <w:r w:rsidRPr="009118AB">
        <w:t xml:space="preserve">In Absatz 2 erwähnte Arbeitgeber, die in Anwendung von Artikel 270 Absatz 1 </w:t>
      </w:r>
      <w:r w:rsidR="00D67EB8" w:rsidRPr="009118AB">
        <w:t>Nr. </w:t>
      </w:r>
      <w:r w:rsidRPr="009118AB">
        <w:t xml:space="preserve">1 Schuldner des Berufssteuervorabzugs sind, sind davon befreit, der Staatskasse einen Teil des Berufssteuervorabzugs zuzuführen, der auf die in </w:t>
      </w:r>
      <w:r w:rsidR="00D67EB8" w:rsidRPr="009118AB">
        <w:t>§ </w:t>
      </w:r>
      <w:r w:rsidRPr="009118AB">
        <w:t xml:space="preserve">4 erwähnten steuerpflichtigen Entlohnungen der in </w:t>
      </w:r>
      <w:r w:rsidR="00D67EB8" w:rsidRPr="009118AB">
        <w:t>§ </w:t>
      </w:r>
      <w:r w:rsidRPr="009118AB">
        <w:t>2 erwähnten Arbeitnehmer geschuldet wird, unter der Bedingung, dass sie die Gesamtheit des vorerwähnten Vorabzugs auf diese Entlohnungen einbehalten.</w:t>
      </w:r>
    </w:p>
    <w:p w14:paraId="3B6DD2FF" w14:textId="77777777" w:rsidR="008876EE" w:rsidRPr="009118AB" w:rsidRDefault="008876EE" w:rsidP="008876EE">
      <w:pPr>
        <w:jc w:val="both"/>
      </w:pPr>
    </w:p>
    <w:p w14:paraId="63E19651" w14:textId="0A3CA3F1" w:rsidR="00AC2D61" w:rsidRPr="009118AB" w:rsidRDefault="00AC2D61" w:rsidP="00AC2D61">
      <w:pPr>
        <w:jc w:val="both"/>
      </w:pPr>
      <w:r w:rsidRPr="009118AB">
        <w:tab/>
        <w:t>[Die Bestimmungen des vorliegenden Artikels sind anwendbar auf:</w:t>
      </w:r>
    </w:p>
    <w:p w14:paraId="6050903E" w14:textId="77777777" w:rsidR="00AC2D61" w:rsidRPr="009118AB" w:rsidRDefault="00AC2D61" w:rsidP="00AC2D61">
      <w:pPr>
        <w:jc w:val="both"/>
      </w:pPr>
    </w:p>
    <w:p w14:paraId="0DBA8D2B" w14:textId="77777777" w:rsidR="00AC2D61" w:rsidRPr="009118AB" w:rsidRDefault="00AC2D61" w:rsidP="00AC2D61">
      <w:pPr>
        <w:jc w:val="both"/>
      </w:pPr>
      <w:r w:rsidRPr="009118AB">
        <w:tab/>
        <w:t>- Arbeitgeber, die dem Gesetz vom 5. Dezember 1968 über die kollektiven Arbeits</w:t>
      </w:r>
      <w:r w:rsidRPr="009118AB">
        <w:softHyphen/>
        <w:t>abkommen und die paritätischen Kommissionen unterliegen,</w:t>
      </w:r>
    </w:p>
    <w:p w14:paraId="70AAE078" w14:textId="77777777" w:rsidR="00641EC6" w:rsidRDefault="00641EC6" w:rsidP="00AC2D61">
      <w:pPr>
        <w:jc w:val="both"/>
      </w:pPr>
    </w:p>
    <w:p w14:paraId="7C907CB3" w14:textId="552B13FE" w:rsidR="00AC2D61" w:rsidRPr="009118AB" w:rsidRDefault="00AC2D61" w:rsidP="00AC2D61">
      <w:pPr>
        <w:jc w:val="both"/>
      </w:pPr>
      <w:r w:rsidRPr="009118AB">
        <w:tab/>
        <w:t>- folgende autonome öffentliche Unternehmen: die öffentlich-rechtliche Aktien</w:t>
      </w:r>
      <w:r w:rsidRPr="009118AB">
        <w:softHyphen/>
        <w:t>gesellschaft Proximus und die öffentlich-rechtliche Aktiengesellschaft bpost,</w:t>
      </w:r>
    </w:p>
    <w:p w14:paraId="4E0CDC88" w14:textId="77777777" w:rsidR="00AC2D61" w:rsidRPr="009118AB" w:rsidRDefault="00AC2D61" w:rsidP="00AC2D61">
      <w:pPr>
        <w:jc w:val="both"/>
      </w:pPr>
    </w:p>
    <w:p w14:paraId="7F445B12" w14:textId="5E7530D6" w:rsidR="008876EE" w:rsidRPr="009118AB" w:rsidRDefault="00AC2D61" w:rsidP="00AC2D61">
      <w:pPr>
        <w:ind w:firstLine="708"/>
        <w:jc w:val="both"/>
      </w:pPr>
      <w:r w:rsidRPr="009118AB">
        <w:tab/>
        <w:t>- die öffentlich-rechtliche Aktiengesellschaft HR Rail mit Ausnahme des Personals, das sie der öffentlich-rechtlichen Aktiengesellschaft NGBE und der öffentlich-rechtlichen Aktiengesellschaft Infrabel im Rahmen deren Tätigkeiten als öffentlicher Dienst zur Verfügung stellt.]</w:t>
      </w:r>
    </w:p>
    <w:p w14:paraId="7C66CAF4" w14:textId="77777777" w:rsidR="008876EE" w:rsidRPr="009118AB" w:rsidRDefault="008876EE" w:rsidP="008876EE">
      <w:pPr>
        <w:jc w:val="both"/>
      </w:pPr>
    </w:p>
    <w:p w14:paraId="0E84F7F1" w14:textId="636D8ED7" w:rsidR="008876EE" w:rsidRPr="009118AB" w:rsidRDefault="00D67EB8" w:rsidP="008876EE">
      <w:pPr>
        <w:ind w:firstLine="708"/>
        <w:jc w:val="both"/>
      </w:pPr>
      <w:r w:rsidRPr="009118AB">
        <w:t>§ </w:t>
      </w:r>
      <w:r w:rsidR="008876EE" w:rsidRPr="009118AB">
        <w:t>2</w:t>
      </w:r>
      <w:r w:rsidRPr="009118AB">
        <w:t> - </w:t>
      </w:r>
      <w:r w:rsidR="008876EE" w:rsidRPr="009118AB">
        <w:t xml:space="preserve">Für die Anwendung der in </w:t>
      </w:r>
      <w:r w:rsidRPr="009118AB">
        <w:t>§ </w:t>
      </w:r>
      <w:r w:rsidR="008876EE" w:rsidRPr="009118AB">
        <w:t xml:space="preserve">1 erwähnten Befreiung werden nur Arbeitnehmer berücksichtigt, </w:t>
      </w:r>
      <w:r w:rsidR="006F5294" w:rsidRPr="009118AB">
        <w:t>[</w:t>
      </w:r>
      <w:r w:rsidR="008876EE" w:rsidRPr="009118AB">
        <w:t xml:space="preserve">die </w:t>
      </w:r>
      <w:r w:rsidR="006F5294" w:rsidRPr="009118AB">
        <w:t xml:space="preserve">seit </w:t>
      </w:r>
      <w:r w:rsidR="008876EE" w:rsidRPr="009118AB">
        <w:t>mindestens sechs Monate</w:t>
      </w:r>
      <w:r w:rsidR="006F5294" w:rsidRPr="009118AB">
        <w:t>n]</w:t>
      </w:r>
      <w:r w:rsidR="008876EE" w:rsidRPr="009118AB">
        <w:t xml:space="preserve"> beim Arbeitgeber beschäftigt sind</w:t>
      </w:r>
      <w:r w:rsidR="006F5294" w:rsidRPr="009118AB">
        <w:t>[</w:t>
      </w:r>
      <w:r w:rsidR="006F5294" w:rsidRPr="009118AB">
        <w:rPr>
          <w:lang w:eastAsia="fr-BE"/>
        </w:rPr>
        <w:t>, die keine in Artikel 275</w:t>
      </w:r>
      <w:r w:rsidR="006F5294" w:rsidRPr="009118AB">
        <w:rPr>
          <w:vertAlign w:val="superscript"/>
          <w:lang w:eastAsia="fr-BE"/>
        </w:rPr>
        <w:t>6</w:t>
      </w:r>
      <w:r w:rsidR="006F5294" w:rsidRPr="009118AB">
        <w:rPr>
          <w:lang w:eastAsia="fr-BE"/>
        </w:rPr>
        <w:t xml:space="preserve"> erwähnten Sportler sind und die eine oder mehrere Ausbildungen wie in </w:t>
      </w:r>
      <w:r w:rsidRPr="009118AB">
        <w:rPr>
          <w:lang w:eastAsia="fr-BE"/>
        </w:rPr>
        <w:t>§ </w:t>
      </w:r>
      <w:r w:rsidR="006F5294" w:rsidRPr="009118AB">
        <w:rPr>
          <w:lang w:eastAsia="fr-BE"/>
        </w:rPr>
        <w:t>3 bestimmt absolviert haben, die insgesamt eine Mindestdauer von sechsundsiebzig Stunden während eines ununterbrochenen Zeitraums von dreißig Kalendertagen haben</w:t>
      </w:r>
      <w:r w:rsidR="006F5294" w:rsidRPr="009118AB">
        <w:t>]</w:t>
      </w:r>
      <w:r w:rsidR="008876EE" w:rsidRPr="009118AB">
        <w:t>.</w:t>
      </w:r>
    </w:p>
    <w:p w14:paraId="1E28916C" w14:textId="77777777" w:rsidR="008876EE" w:rsidRPr="009118AB" w:rsidRDefault="008876EE" w:rsidP="008876EE">
      <w:pPr>
        <w:jc w:val="both"/>
      </w:pPr>
    </w:p>
    <w:p w14:paraId="155FB0E8" w14:textId="4F0E9673" w:rsidR="008876EE" w:rsidRPr="009118AB" w:rsidRDefault="008876EE" w:rsidP="008876EE">
      <w:pPr>
        <w:ind w:firstLine="708"/>
        <w:jc w:val="both"/>
      </w:pPr>
      <w:r w:rsidRPr="009118AB">
        <w:lastRenderedPageBreak/>
        <w:t xml:space="preserve">Die in Absatz 1 erwähnte Mindestdauer </w:t>
      </w:r>
      <w:r w:rsidR="006F5294" w:rsidRPr="009118AB">
        <w:t>[</w:t>
      </w:r>
      <w:r w:rsidR="006F5294" w:rsidRPr="009118AB">
        <w:rPr>
          <w:lang w:eastAsia="fr-BE"/>
        </w:rPr>
        <w:t>von sechsundsiebzig Stunden</w:t>
      </w:r>
      <w:r w:rsidR="006F5294" w:rsidRPr="009118AB">
        <w:t>]</w:t>
      </w:r>
      <w:r w:rsidRPr="009118AB">
        <w:t xml:space="preserve"> ist auf Arbeitnehmer anwendbar, die gemäß den auf das betreffende Unternehmen anwendbaren Vorschriften vollzeitig beschäftigt sind. </w:t>
      </w:r>
      <w:r w:rsidR="006F5294" w:rsidRPr="009118AB">
        <w:t>[</w:t>
      </w:r>
      <w:r w:rsidR="006F5294" w:rsidRPr="009118AB">
        <w:rPr>
          <w:lang w:eastAsia="fr-BE"/>
        </w:rPr>
        <w:t>Diese Mindestdauer wird im Verhältnis zu der Arbeitsregelung verringert, die auf den betreffenden Arbeitnehmer anwendbar ist, und zwar am Tag, an dem die letzte dieser Ausbildungen abgeschlossen wurde.</w:t>
      </w:r>
      <w:r w:rsidR="006F5294" w:rsidRPr="009118AB">
        <w:t>]</w:t>
      </w:r>
    </w:p>
    <w:p w14:paraId="13127180" w14:textId="77777777" w:rsidR="008876EE" w:rsidRPr="009118AB" w:rsidRDefault="008876EE" w:rsidP="008876EE">
      <w:pPr>
        <w:jc w:val="both"/>
      </w:pPr>
    </w:p>
    <w:p w14:paraId="4598FE56" w14:textId="0C703D01" w:rsidR="008876EE" w:rsidRPr="009118AB" w:rsidRDefault="008876EE" w:rsidP="008876EE">
      <w:pPr>
        <w:ind w:firstLine="708"/>
        <w:jc w:val="both"/>
      </w:pPr>
      <w:r w:rsidRPr="009118AB">
        <w:t xml:space="preserve">Ist der Arbeitgeber ein Unternehmen, in dem Schichtarbeit oder Nachtarbeit geleistet wird und das eine Schichtzulage zahlt oder zuerkennt und aufgrund von Artikel 270 Absatz 1 </w:t>
      </w:r>
      <w:r w:rsidR="00D67EB8" w:rsidRPr="009118AB">
        <w:t>Nr. </w:t>
      </w:r>
      <w:r w:rsidRPr="009118AB">
        <w:t xml:space="preserve">1 </w:t>
      </w:r>
      <w:r w:rsidR="009F13DA" w:rsidRPr="009118AB">
        <w:t>[...]</w:t>
      </w:r>
      <w:r w:rsidRPr="009118AB">
        <w:t xml:space="preserve"> Schuldner des Berufssteuervorabzugs auf diese Zulage ist, wird die in den Absätzen 1 und 2 erwähnte Mindestdauer </w:t>
      </w:r>
      <w:r w:rsidR="006F5294" w:rsidRPr="009118AB">
        <w:t>[</w:t>
      </w:r>
      <w:r w:rsidR="006F5294" w:rsidRPr="009118AB">
        <w:rPr>
          <w:lang w:eastAsia="fr-BE"/>
        </w:rPr>
        <w:t>von sechsundsiebzig Stunden</w:t>
      </w:r>
      <w:r w:rsidR="006F5294" w:rsidRPr="009118AB">
        <w:t>]</w:t>
      </w:r>
      <w:r w:rsidRPr="009118AB">
        <w:t xml:space="preserve"> während eines ununterbrochenen Zeitraums von dreißig Kalendertagen durch eine Mindestdauer </w:t>
      </w:r>
      <w:r w:rsidR="00271EEB" w:rsidRPr="009118AB">
        <w:t>[</w:t>
      </w:r>
      <w:r w:rsidR="00271EEB" w:rsidRPr="009118AB">
        <w:rPr>
          <w:lang w:eastAsia="fr-BE"/>
        </w:rPr>
        <w:t>von sechsundsiebzig Stunden</w:t>
      </w:r>
      <w:r w:rsidR="00271EEB" w:rsidRPr="009118AB">
        <w:t xml:space="preserve">] </w:t>
      </w:r>
      <w:r w:rsidRPr="009118AB">
        <w:t>während eines ununterbrochenen Zeitraums von sechzig Kalendertagen ersetzt für Arbeitnehmer, die die vorerwähnte Prämie während des vorerwähnten ununterbrochenen Zeitraums von sechzig Tagen erhalten.</w:t>
      </w:r>
    </w:p>
    <w:p w14:paraId="196203FC" w14:textId="77777777" w:rsidR="008876EE" w:rsidRPr="009118AB" w:rsidRDefault="008876EE" w:rsidP="008876EE">
      <w:pPr>
        <w:jc w:val="both"/>
      </w:pPr>
    </w:p>
    <w:p w14:paraId="603F8CBF" w14:textId="448AA52B" w:rsidR="008876EE" w:rsidRPr="009118AB" w:rsidRDefault="0017115B" w:rsidP="008876EE">
      <w:pPr>
        <w:ind w:firstLine="708"/>
        <w:jc w:val="both"/>
      </w:pPr>
      <w:r w:rsidRPr="009118AB">
        <w:t>[</w:t>
      </w:r>
      <w:r w:rsidRPr="009118AB">
        <w:rPr>
          <w:rFonts w:eastAsia="Calibri"/>
          <w:kern w:val="2"/>
          <w:szCs w:val="22"/>
          <w:lang w:eastAsia="en-US"/>
          <w14:ligatures w14:val="standardContextual"/>
        </w:rPr>
        <w:t>Gilt der Arbeitgeber als kleine Gesellschaft oder ist er eine natürliche Person, die die Kriterien des Artikels 1:24 §§ 1 bis 6 des Gesetzbuches der Gesellschaften und Vereinigungen mutatis mutandis erfüllt</w:t>
      </w:r>
      <w:r w:rsidRPr="009118AB">
        <w:t>]</w:t>
      </w:r>
      <w:r w:rsidR="008876EE" w:rsidRPr="009118AB">
        <w:t xml:space="preserve">, wird die in den Absätzen 1 und 2 erwähnte Mindestdauer </w:t>
      </w:r>
      <w:r w:rsidR="006F5294" w:rsidRPr="009118AB">
        <w:t>[</w:t>
      </w:r>
      <w:r w:rsidR="006F5294" w:rsidRPr="009118AB">
        <w:rPr>
          <w:lang w:eastAsia="fr-BE"/>
        </w:rPr>
        <w:t>von sechsundsiebzig Stunden</w:t>
      </w:r>
      <w:r w:rsidR="006F5294" w:rsidRPr="009118AB">
        <w:t>]</w:t>
      </w:r>
      <w:r w:rsidR="008876EE" w:rsidRPr="009118AB">
        <w:t xml:space="preserve"> während eines ununterbrochenen Zeitraums von dreißig Kalendertagen durch eine Mindestdauer </w:t>
      </w:r>
      <w:r w:rsidR="006F5294" w:rsidRPr="009118AB">
        <w:t>[</w:t>
      </w:r>
      <w:r w:rsidR="006F5294" w:rsidRPr="009118AB">
        <w:rPr>
          <w:lang w:eastAsia="fr-BE"/>
        </w:rPr>
        <w:t>von achtunddreißig Stunden</w:t>
      </w:r>
      <w:r w:rsidR="006F5294" w:rsidRPr="009118AB">
        <w:t>]</w:t>
      </w:r>
      <w:r w:rsidR="008876EE" w:rsidRPr="009118AB">
        <w:t xml:space="preserve"> während eines ununterbrochenen Zeitraums von fünfundsiebzig Kalendertagen ersetzt.</w:t>
      </w:r>
    </w:p>
    <w:p w14:paraId="0107700E" w14:textId="77777777" w:rsidR="008876EE" w:rsidRPr="009118AB" w:rsidRDefault="008876EE" w:rsidP="008876EE">
      <w:pPr>
        <w:jc w:val="both"/>
      </w:pPr>
    </w:p>
    <w:p w14:paraId="15627572" w14:textId="708AA2D6" w:rsidR="008876EE" w:rsidRPr="009118AB" w:rsidRDefault="006F5294" w:rsidP="008876EE">
      <w:pPr>
        <w:ind w:firstLine="708"/>
        <w:jc w:val="both"/>
      </w:pPr>
      <w:r w:rsidRPr="009118AB">
        <w:t>[</w:t>
      </w:r>
      <w:r w:rsidRPr="009118AB">
        <w:rPr>
          <w:lang w:eastAsia="fr-BE"/>
        </w:rPr>
        <w:t>Eine Entlohnung eines Arbeitnehmers wird für die Anwendung des vorliegenden Artikels nicht berücksichtigt, wenn vorherige Entlohnungen dieses Arbeitnehmers bereits zehnmal von demselben Arbeitgeber in Anwendung der Paragraphen 4 und 5 in die Grundlage für die Befreiung einbezogen worden sind.</w:t>
      </w:r>
      <w:r w:rsidRPr="009118AB">
        <w:t>]</w:t>
      </w:r>
    </w:p>
    <w:p w14:paraId="7D405E45" w14:textId="77777777" w:rsidR="008876EE" w:rsidRPr="009118AB" w:rsidRDefault="008876EE" w:rsidP="008876EE">
      <w:pPr>
        <w:jc w:val="both"/>
      </w:pPr>
    </w:p>
    <w:p w14:paraId="296D69D4" w14:textId="77777777" w:rsidR="008876EE" w:rsidRPr="009118AB" w:rsidRDefault="008876EE" w:rsidP="008876EE">
      <w:pPr>
        <w:ind w:firstLine="708"/>
        <w:jc w:val="both"/>
      </w:pPr>
      <w:r w:rsidRPr="009118AB">
        <w:t>Der Zeitraum von dreißig Kalendertagen, sechzig Kalendertagen oder fünfundsiebzig Kalendertagen wird durch Ereignisse, durch die die Ausführung des Arbeitsvertrags ausgesetzt wird, nicht unterbrochen, sondern um so viele Tage verlängert, wie die Aussetzung dauert.</w:t>
      </w:r>
    </w:p>
    <w:p w14:paraId="6581A355" w14:textId="77777777" w:rsidR="008876EE" w:rsidRPr="009118AB" w:rsidRDefault="008876EE" w:rsidP="008876EE">
      <w:pPr>
        <w:jc w:val="both"/>
      </w:pPr>
    </w:p>
    <w:p w14:paraId="3963F25C" w14:textId="128E8275" w:rsidR="008876EE" w:rsidRPr="009118AB" w:rsidRDefault="00D67EB8" w:rsidP="008876EE">
      <w:pPr>
        <w:ind w:firstLine="708"/>
        <w:jc w:val="both"/>
      </w:pPr>
      <w:r w:rsidRPr="009118AB">
        <w:t>§ </w:t>
      </w:r>
      <w:r w:rsidR="008876EE" w:rsidRPr="009118AB">
        <w:t>3</w:t>
      </w:r>
      <w:r w:rsidRPr="009118AB">
        <w:t> - </w:t>
      </w:r>
      <w:r w:rsidR="008876EE" w:rsidRPr="009118AB">
        <w:t xml:space="preserve">Damit die in </w:t>
      </w:r>
      <w:r w:rsidRPr="009118AB">
        <w:t>§ </w:t>
      </w:r>
      <w:r w:rsidR="008876EE" w:rsidRPr="009118AB">
        <w:t>2 erwähnte Ausbildung in Betracht kommt:</w:t>
      </w:r>
    </w:p>
    <w:p w14:paraId="4A557E46" w14:textId="77777777" w:rsidR="008876EE" w:rsidRPr="009118AB" w:rsidRDefault="008876EE" w:rsidP="008876EE">
      <w:pPr>
        <w:jc w:val="both"/>
      </w:pPr>
    </w:p>
    <w:p w14:paraId="4CDA2EE0" w14:textId="77777777" w:rsidR="008876EE" w:rsidRPr="009118AB" w:rsidRDefault="008876EE" w:rsidP="008876EE">
      <w:pPr>
        <w:ind w:firstLine="708"/>
        <w:jc w:val="both"/>
      </w:pPr>
      <w:r w:rsidRPr="009118AB">
        <w:t>- muss sie den in Artikel 9 des Gesetzes vom 5. März 2017 über machbare und modulierbare Arbeit erwähnten Begriffsbestimmungen entsprechen,</w:t>
      </w:r>
    </w:p>
    <w:p w14:paraId="69453358" w14:textId="77777777" w:rsidR="008876EE" w:rsidRPr="009118AB" w:rsidRDefault="008876EE" w:rsidP="008876EE">
      <w:pPr>
        <w:jc w:val="both"/>
      </w:pPr>
    </w:p>
    <w:p w14:paraId="1ECFAD5C" w14:textId="77777777" w:rsidR="008876EE" w:rsidRPr="009118AB" w:rsidRDefault="008876EE" w:rsidP="008876EE">
      <w:pPr>
        <w:ind w:firstLine="708"/>
        <w:jc w:val="both"/>
      </w:pPr>
      <w:r w:rsidRPr="009118AB">
        <w:t>- darf sie nicht durch eine Gesetzes- oder Verordnungsbestimmung oder durch ein kollektives Arbeitsabkommen vorgeschrieben worden sein,</w:t>
      </w:r>
    </w:p>
    <w:p w14:paraId="203A559A" w14:textId="77777777" w:rsidR="008876EE" w:rsidRPr="009118AB" w:rsidRDefault="008876EE" w:rsidP="008876EE">
      <w:pPr>
        <w:jc w:val="both"/>
      </w:pPr>
    </w:p>
    <w:p w14:paraId="78F2AABE" w14:textId="1F6C6E3B" w:rsidR="008876EE" w:rsidRPr="009118AB" w:rsidRDefault="008876EE" w:rsidP="008876EE">
      <w:pPr>
        <w:ind w:firstLine="708"/>
        <w:jc w:val="both"/>
      </w:pPr>
      <w:r w:rsidRPr="009118AB">
        <w:t>- </w:t>
      </w:r>
      <w:r w:rsidR="006F5294" w:rsidRPr="009118AB">
        <w:t>[...].</w:t>
      </w:r>
    </w:p>
    <w:p w14:paraId="108D24E6" w14:textId="77777777" w:rsidR="008876EE" w:rsidRPr="009118AB" w:rsidRDefault="008876EE" w:rsidP="008876EE">
      <w:pPr>
        <w:jc w:val="both"/>
      </w:pPr>
    </w:p>
    <w:p w14:paraId="74DF0260" w14:textId="1C7CCF33" w:rsidR="006F5294" w:rsidRPr="009118AB" w:rsidRDefault="006F5294" w:rsidP="008876EE">
      <w:pPr>
        <w:jc w:val="both"/>
      </w:pPr>
      <w:r w:rsidRPr="009118AB">
        <w:tab/>
        <w:t>[</w:t>
      </w:r>
      <w:r w:rsidRPr="009118AB">
        <w:rPr>
          <w:lang w:eastAsia="fr-BE"/>
        </w:rPr>
        <w:t xml:space="preserve">Die Kosten der in </w:t>
      </w:r>
      <w:r w:rsidR="00D67EB8" w:rsidRPr="009118AB">
        <w:rPr>
          <w:lang w:eastAsia="fr-BE"/>
        </w:rPr>
        <w:t>§ </w:t>
      </w:r>
      <w:r w:rsidRPr="009118AB">
        <w:rPr>
          <w:lang w:eastAsia="fr-BE"/>
        </w:rPr>
        <w:t>2 erwähnten Ausbildung sowie die Lohnkosten, die anfallen, wenn die Ausbildung während der Arbeitszeit absolviert wird, müssen vollständig vom Arbeitgeber getragen werden, damit sie berücksichtigt werden.</w:t>
      </w:r>
      <w:r w:rsidRPr="009118AB">
        <w:t>]</w:t>
      </w:r>
      <w:r w:rsidR="009F13DA" w:rsidRPr="009118AB">
        <w:t xml:space="preserve"> [Ausbildungen, die ganz oder teilweise </w:t>
      </w:r>
      <w:r w:rsidR="00F57AA5" w:rsidRPr="009118AB">
        <w:t>[über einen von einer öffentlichen Behörde bezuschussten Ausbildungsurlaub]</w:t>
      </w:r>
      <w:r w:rsidR="009F13DA" w:rsidRPr="009118AB">
        <w:t xml:space="preserve"> finanziert werden, werden nicht berücksichtigt.]</w:t>
      </w:r>
    </w:p>
    <w:p w14:paraId="1A4B8467" w14:textId="77777777" w:rsidR="006F5294" w:rsidRPr="009118AB" w:rsidRDefault="006F5294" w:rsidP="008876EE">
      <w:pPr>
        <w:jc w:val="both"/>
      </w:pPr>
    </w:p>
    <w:p w14:paraId="11CD585C" w14:textId="6A61983B" w:rsidR="008876EE" w:rsidRPr="009118AB" w:rsidRDefault="008876EE" w:rsidP="008876EE">
      <w:pPr>
        <w:ind w:firstLine="708"/>
        <w:jc w:val="both"/>
      </w:pPr>
      <w:r w:rsidRPr="009118AB">
        <w:t xml:space="preserve">Für die Berechnung der Dauer der Ausbildung wird davon ausgegangen, dass </w:t>
      </w:r>
      <w:r w:rsidR="006F5294" w:rsidRPr="009118AB">
        <w:t>[</w:t>
      </w:r>
      <w:r w:rsidR="006F5294" w:rsidRPr="009118AB">
        <w:rPr>
          <w:lang w:eastAsia="fr-BE"/>
        </w:rPr>
        <w:t>ein vollständiger Ausbildungs-Arbeitstag</w:t>
      </w:r>
      <w:r w:rsidR="006F5294" w:rsidRPr="009118AB">
        <w:t>]</w:t>
      </w:r>
      <w:r w:rsidRPr="009118AB">
        <w:t xml:space="preserve"> 7,6 Ausbildungsstunden entspricht.</w:t>
      </w:r>
    </w:p>
    <w:p w14:paraId="0DC37BDF" w14:textId="77777777" w:rsidR="008876EE" w:rsidRPr="009118AB" w:rsidRDefault="008876EE" w:rsidP="008876EE">
      <w:pPr>
        <w:jc w:val="both"/>
      </w:pPr>
    </w:p>
    <w:p w14:paraId="1F73C134" w14:textId="0D0759B2" w:rsidR="008876EE" w:rsidRPr="009118AB" w:rsidRDefault="008876EE" w:rsidP="008876EE">
      <w:pPr>
        <w:ind w:firstLine="708"/>
        <w:jc w:val="both"/>
      </w:pPr>
      <w:r w:rsidRPr="009118AB">
        <w:lastRenderedPageBreak/>
        <w:t xml:space="preserve">Informelle Ausbildungen im Sinne von Artikel 9 des Gesetzes vom 5. März 2017 über machbare und modulierbare Arbeit dürfen nicht mehr als 10 Prozent der Mindestdauer </w:t>
      </w:r>
      <w:r w:rsidR="006F5294" w:rsidRPr="009118AB">
        <w:t>[</w:t>
      </w:r>
      <w:r w:rsidR="006F5294" w:rsidRPr="009118AB">
        <w:rPr>
          <w:lang w:eastAsia="fr-BE"/>
        </w:rPr>
        <w:t>von sechsundsiebzig Stunden</w:t>
      </w:r>
      <w:r w:rsidR="006F5294" w:rsidRPr="009118AB">
        <w:t>]</w:t>
      </w:r>
      <w:r w:rsidRPr="009118AB">
        <w:t xml:space="preserve"> während eines ununterbrochenen Zeitraums von dreißig Kalendertagen oder sechzig Kalendertagen oder nicht mehr als 20 Prozent der Mindestdauer </w:t>
      </w:r>
      <w:r w:rsidR="006F5294" w:rsidRPr="009118AB">
        <w:t>[</w:t>
      </w:r>
      <w:r w:rsidR="006F5294" w:rsidRPr="009118AB">
        <w:rPr>
          <w:lang w:eastAsia="fr-BE"/>
        </w:rPr>
        <w:t>von achtunddreißig Stunden</w:t>
      </w:r>
      <w:r w:rsidR="006F5294" w:rsidRPr="009118AB">
        <w:t>]</w:t>
      </w:r>
      <w:r w:rsidRPr="009118AB">
        <w:t xml:space="preserve"> während eines ununterbrochenen Zeitraums von fünfundsiebzig Kalendertagen ausmachen.</w:t>
      </w:r>
    </w:p>
    <w:p w14:paraId="36C79B4B" w14:textId="77777777" w:rsidR="008876EE" w:rsidRPr="009118AB" w:rsidRDefault="008876EE" w:rsidP="008876EE">
      <w:pPr>
        <w:jc w:val="both"/>
      </w:pPr>
    </w:p>
    <w:p w14:paraId="229D56F4" w14:textId="37947271" w:rsidR="008876EE" w:rsidRPr="009118AB" w:rsidRDefault="00D67EB8" w:rsidP="008876EE">
      <w:pPr>
        <w:ind w:firstLine="708"/>
        <w:jc w:val="both"/>
      </w:pPr>
      <w:r w:rsidRPr="009118AB">
        <w:t>§ </w:t>
      </w:r>
      <w:r w:rsidR="008876EE" w:rsidRPr="009118AB">
        <w:t>4</w:t>
      </w:r>
      <w:r w:rsidRPr="009118AB">
        <w:t> - </w:t>
      </w:r>
      <w:r w:rsidR="008876EE" w:rsidRPr="009118AB">
        <w:t xml:space="preserve">Die in </w:t>
      </w:r>
      <w:r w:rsidRPr="009118AB">
        <w:t>§ </w:t>
      </w:r>
      <w:r w:rsidR="008876EE" w:rsidRPr="009118AB">
        <w:t>1 erwähnte Befreiung wird berechnet, indem die Gesamtheit der steuerpflichtigen Entlohnungen des Kalendermonats, in dem die Ausbildung abgeschlossen wurde, berücksichtigt wird.</w:t>
      </w:r>
    </w:p>
    <w:p w14:paraId="091D85CB" w14:textId="77777777" w:rsidR="008876EE" w:rsidRPr="009118AB" w:rsidRDefault="008876EE" w:rsidP="008876EE">
      <w:pPr>
        <w:jc w:val="both"/>
      </w:pPr>
    </w:p>
    <w:p w14:paraId="4CA2643C" w14:textId="2661FBA6" w:rsidR="008876EE" w:rsidRPr="009118AB" w:rsidRDefault="008876EE" w:rsidP="008876EE">
      <w:pPr>
        <w:ind w:firstLine="708"/>
        <w:jc w:val="both"/>
      </w:pPr>
      <w:r w:rsidRPr="009118AB">
        <w:t xml:space="preserve">In Absatz 1 erwähnte steuerpflichtige Entlohnungen sind die steuerpflichtigen Entlohnungen der Arbeitnehmer, die gemäß Artikel 31 Absatz 2 </w:t>
      </w:r>
      <w:r w:rsidR="00D67EB8" w:rsidRPr="009118AB">
        <w:t>Nr. </w:t>
      </w:r>
      <w:r w:rsidRPr="009118AB">
        <w:t>1 und 2 festgelegt werden, ohne Urlaubsgeld, Jahresendprämie und ausstehende Entlohnungen und ohne Einkünfte, die dem Berufssteuervorabzug nicht unterliegen oder aufgrund eines Abkommens steuerfrei sind. Für die Anwendung des vorliegenden Paragraphen werden diese Entlohnungen nur bis in Höhe von 3.500 EUR, die pro Arbeitnehmer steuerpflichtig sind, berücksichtigt. Dieser Betrag ist auf Arbeitnehmer anwendbar, die gemäß den auf das betreffende Unternehmen anwendbaren Vorschriften vollzeitig beschäftigt sind. Er wird im Verhältnis zu der auf den betreffenden Arbeitnehmer anwendbaren Arbeitsregelung verringert. Er wird nicht gemäß Artikel 178 indexiert.</w:t>
      </w:r>
    </w:p>
    <w:p w14:paraId="0CEC2113" w14:textId="77777777" w:rsidR="008876EE" w:rsidRPr="009118AB" w:rsidRDefault="008876EE" w:rsidP="008876EE">
      <w:pPr>
        <w:jc w:val="both"/>
      </w:pPr>
    </w:p>
    <w:p w14:paraId="59BD901F" w14:textId="63C611EF" w:rsidR="008876EE" w:rsidRPr="009118AB" w:rsidRDefault="008876EE" w:rsidP="008876EE">
      <w:pPr>
        <w:ind w:firstLine="708"/>
        <w:jc w:val="both"/>
      </w:pPr>
      <w:r w:rsidRPr="009118AB">
        <w:t xml:space="preserve">Für die Anwendung des vorliegenden Artikels wird davon ausgegangen, dass der Berufssteuervorabzug, der auf den in Absatz 2 erwähnten Grenzbetrag geschuldet wird, ein proportionaler Anteil des Berufssteuervorabzugs ist, der </w:t>
      </w:r>
      <w:r w:rsidR="009F13DA" w:rsidRPr="009118AB">
        <w:t>[auf die in vorliegendem Paragraphen erwähnten steuerpflichtigen Entlohnungen]</w:t>
      </w:r>
      <w:r w:rsidRPr="009118AB">
        <w:t xml:space="preserve"> des betreffenden Arbeitnehmers geschuldet wird.</w:t>
      </w:r>
    </w:p>
    <w:p w14:paraId="584ED445" w14:textId="77777777" w:rsidR="008876EE" w:rsidRPr="009118AB" w:rsidRDefault="008876EE" w:rsidP="008876EE">
      <w:pPr>
        <w:jc w:val="both"/>
      </w:pPr>
    </w:p>
    <w:p w14:paraId="63324131" w14:textId="2B316BD6" w:rsidR="008876EE" w:rsidRPr="009118AB" w:rsidRDefault="00D67EB8" w:rsidP="008876EE">
      <w:pPr>
        <w:ind w:firstLine="708"/>
        <w:jc w:val="both"/>
      </w:pPr>
      <w:r w:rsidRPr="009118AB">
        <w:t>§ </w:t>
      </w:r>
      <w:r w:rsidR="008876EE" w:rsidRPr="009118AB">
        <w:t>5</w:t>
      </w:r>
      <w:r w:rsidRPr="009118AB">
        <w:t> - </w:t>
      </w:r>
      <w:r w:rsidR="008876EE" w:rsidRPr="009118AB">
        <w:t xml:space="preserve">Der Berufssteuervorabzug, der nicht gezahlt werden muss, beträgt 11,75 Prozent der Gesamtheit der in </w:t>
      </w:r>
      <w:r w:rsidRPr="009118AB">
        <w:t>§ </w:t>
      </w:r>
      <w:r w:rsidR="008876EE" w:rsidRPr="009118AB">
        <w:t xml:space="preserve">4 erwähnten Entlohnungen aller in </w:t>
      </w:r>
      <w:r w:rsidRPr="009118AB">
        <w:t>§ </w:t>
      </w:r>
      <w:r w:rsidR="008876EE" w:rsidRPr="009118AB">
        <w:t>2 erwähnten Arbeitnehmer.</w:t>
      </w:r>
    </w:p>
    <w:p w14:paraId="19FBE4BF" w14:textId="77777777" w:rsidR="008876EE" w:rsidRPr="009118AB" w:rsidRDefault="008876EE" w:rsidP="008876EE">
      <w:pPr>
        <w:jc w:val="both"/>
      </w:pPr>
    </w:p>
    <w:p w14:paraId="5D340464" w14:textId="3FD38FE3" w:rsidR="008876EE" w:rsidRPr="009118AB" w:rsidRDefault="00D67EB8" w:rsidP="008876EE">
      <w:pPr>
        <w:ind w:firstLine="708"/>
        <w:jc w:val="both"/>
        <w:rPr>
          <w:iCs/>
        </w:rPr>
      </w:pPr>
      <w:r w:rsidRPr="009118AB">
        <w:t>§ </w:t>
      </w:r>
      <w:r w:rsidR="008876EE" w:rsidRPr="009118AB">
        <w:t>6</w:t>
      </w:r>
      <w:r w:rsidRPr="009118AB">
        <w:t> - </w:t>
      </w:r>
      <w:r w:rsidR="008876EE" w:rsidRPr="009118AB">
        <w:t>Der König bestimmt Regeln und Modalitäten in Bezug auf die Weise, wie bei der Einreichung der Erklärung zum Berufssteuervorabzug der Nachweis zu erbringen ist, dass die in den Paragraphen 2 bis 4 erwähnten Bedingungen eingehalten werden.</w:t>
      </w:r>
      <w:r w:rsidR="008876EE" w:rsidRPr="009118AB">
        <w:rPr>
          <w:iCs/>
        </w:rPr>
        <w:t>]</w:t>
      </w:r>
    </w:p>
    <w:p w14:paraId="5FA4D09E" w14:textId="50E42C71" w:rsidR="008876EE" w:rsidRPr="009118AB" w:rsidRDefault="008876EE" w:rsidP="008876EE">
      <w:pPr>
        <w:ind w:firstLine="708"/>
        <w:jc w:val="both"/>
        <w:rPr>
          <w:iCs/>
        </w:rPr>
      </w:pPr>
    </w:p>
    <w:p w14:paraId="5C89CC3B" w14:textId="1AE0E229" w:rsidR="008876EE" w:rsidRDefault="008876EE" w:rsidP="008876EE">
      <w:pPr>
        <w:jc w:val="both"/>
        <w:rPr>
          <w:i/>
          <w:iCs/>
          <w:lang w:eastAsia="fr-BE"/>
        </w:rPr>
      </w:pPr>
      <w:r w:rsidRPr="009118AB">
        <w:rPr>
          <w:i/>
          <w:iCs/>
        </w:rPr>
        <w:t>[</w:t>
      </w:r>
      <w:r w:rsidR="00D67EB8" w:rsidRPr="009118AB">
        <w:rPr>
          <w:i/>
          <w:iCs/>
        </w:rPr>
        <w:t>Art. </w:t>
      </w:r>
      <w:r w:rsidRPr="009118AB">
        <w:rPr>
          <w:i/>
          <w:iCs/>
        </w:rPr>
        <w:t>275</w:t>
      </w:r>
      <w:r w:rsidRPr="009118AB">
        <w:rPr>
          <w:i/>
          <w:iCs/>
          <w:vertAlign w:val="superscript"/>
        </w:rPr>
        <w:t>12</w:t>
      </w:r>
      <w:r w:rsidRPr="009118AB">
        <w:rPr>
          <w:i/>
          <w:iCs/>
        </w:rPr>
        <w:t xml:space="preserve"> eingefügt durch </w:t>
      </w:r>
      <w:r w:rsidR="00D67EB8" w:rsidRPr="009118AB">
        <w:rPr>
          <w:i/>
          <w:iCs/>
        </w:rPr>
        <w:t>Art. </w:t>
      </w:r>
      <w:r w:rsidRPr="009118AB">
        <w:rPr>
          <w:i/>
          <w:iCs/>
        </w:rPr>
        <w:t>13</w:t>
      </w:r>
      <w:r w:rsidRPr="009118AB">
        <w:rPr>
          <w:rFonts w:ascii="Times New Roman Italique" w:hAnsi="Times New Roman Italique"/>
          <w:i/>
        </w:rPr>
        <w:t xml:space="preserve"> des G. vom 20. Dezember 2020</w:t>
      </w:r>
      <w:r w:rsidR="00B43C02" w:rsidRPr="009118AB">
        <w:rPr>
          <w:rFonts w:ascii="Times New Roman Italique" w:hAnsi="Times New Roman Italique"/>
          <w:i/>
        </w:rPr>
        <w:t> (I)</w:t>
      </w:r>
      <w:r w:rsidRPr="009118AB">
        <w:rPr>
          <w:rFonts w:ascii="Times New Roman Italique" w:hAnsi="Times New Roman Italique"/>
          <w:i/>
        </w:rPr>
        <w:t xml:space="preserve"> (B.S. vom 30. Dezember 2020)</w:t>
      </w:r>
      <w:r w:rsidR="00D67EB8" w:rsidRPr="009118AB">
        <w:rPr>
          <w:rFonts w:ascii="Times New Roman Italique" w:hAnsi="Times New Roman Italique"/>
          <w:i/>
        </w:rPr>
        <w:t> - </w:t>
      </w:r>
      <w:r w:rsidRPr="009118AB">
        <w:rPr>
          <w:rFonts w:ascii="Times New Roman Italique" w:hAnsi="Times New Roman Italique"/>
          <w:i/>
        </w:rPr>
        <w:t>in Kraft am 1. Januar 2021</w:t>
      </w:r>
      <w:r w:rsidR="003366D9" w:rsidRPr="009118AB">
        <w:rPr>
          <w:rFonts w:ascii="Times New Roman Italique" w:hAnsi="Times New Roman Italique"/>
          <w:i/>
        </w:rPr>
        <w:t> -;</w:t>
      </w:r>
      <w:r w:rsidR="00AC2D61" w:rsidRPr="009118AB">
        <w:rPr>
          <w:rFonts w:ascii="Times New Roman Italique" w:hAnsi="Times New Roman Italique"/>
          <w:i/>
        </w:rPr>
        <w:t xml:space="preserve"> </w:t>
      </w:r>
      <w:r w:rsidR="00D67EB8" w:rsidRPr="009118AB">
        <w:rPr>
          <w:rFonts w:ascii="Times New Roman Italique" w:hAnsi="Times New Roman Italique"/>
          <w:i/>
        </w:rPr>
        <w:t>§ </w:t>
      </w:r>
      <w:r w:rsidR="00AC2D61" w:rsidRPr="009118AB">
        <w:rPr>
          <w:rFonts w:ascii="Times New Roman Italique" w:hAnsi="Times New Roman Italique"/>
          <w:i/>
        </w:rPr>
        <w:t xml:space="preserve">1 </w:t>
      </w:r>
      <w:r w:rsidR="00D67EB8" w:rsidRPr="009118AB">
        <w:rPr>
          <w:rFonts w:ascii="Times New Roman Italique" w:hAnsi="Times New Roman Italique"/>
          <w:i/>
        </w:rPr>
        <w:t>Abs. </w:t>
      </w:r>
      <w:r w:rsidR="00AC2D61" w:rsidRPr="009118AB">
        <w:rPr>
          <w:rFonts w:ascii="Times New Roman Italique" w:hAnsi="Times New Roman Italique"/>
          <w:i/>
        </w:rPr>
        <w:t xml:space="preserve">2 ersetzt durch </w:t>
      </w:r>
      <w:r w:rsidR="00D67EB8" w:rsidRPr="009118AB">
        <w:rPr>
          <w:rFonts w:ascii="Times New Roman Italique" w:hAnsi="Times New Roman Italique"/>
          <w:i/>
        </w:rPr>
        <w:t>Art. </w:t>
      </w:r>
      <w:r w:rsidR="00AC2D61" w:rsidRPr="009118AB">
        <w:rPr>
          <w:rFonts w:ascii="Times New Roman Italique" w:hAnsi="Times New Roman Italique"/>
          <w:i/>
        </w:rPr>
        <w:t>85</w:t>
      </w:r>
      <w:r w:rsidR="00AC2D61" w:rsidRPr="009118AB">
        <w:rPr>
          <w:bCs/>
          <w:i/>
          <w:iCs/>
        </w:rPr>
        <w:t xml:space="preserve"> des G. vom 27. Juni 2021 (B.S. vom 30. Juni 2021)</w:t>
      </w:r>
      <w:r w:rsidR="00D67EB8" w:rsidRPr="009118AB">
        <w:rPr>
          <w:bCs/>
          <w:i/>
          <w:iCs/>
        </w:rPr>
        <w:t> - </w:t>
      </w:r>
      <w:r w:rsidR="00AC2D61" w:rsidRPr="009118AB">
        <w:rPr>
          <w:bCs/>
          <w:i/>
          <w:iCs/>
        </w:rPr>
        <w:t>wirksam mit 1. Januar 2021</w:t>
      </w:r>
      <w:r w:rsidR="003366D9" w:rsidRPr="009118AB">
        <w:rPr>
          <w:bCs/>
          <w:i/>
          <w:iCs/>
        </w:rPr>
        <w:t> -;</w:t>
      </w:r>
      <w:r w:rsidR="006F5294" w:rsidRPr="009118AB">
        <w:rPr>
          <w:bCs/>
          <w:i/>
          <w:iCs/>
        </w:rPr>
        <w:t xml:space="preserve"> </w:t>
      </w:r>
      <w:r w:rsidR="00D67EB8" w:rsidRPr="009118AB">
        <w:rPr>
          <w:bCs/>
          <w:i/>
          <w:iCs/>
        </w:rPr>
        <w:t>§ </w:t>
      </w:r>
      <w:r w:rsidR="006F5294" w:rsidRPr="009118AB">
        <w:rPr>
          <w:bCs/>
          <w:i/>
          <w:iCs/>
        </w:rPr>
        <w:t xml:space="preserve">2 </w:t>
      </w:r>
      <w:r w:rsidR="00D67EB8" w:rsidRPr="009118AB">
        <w:rPr>
          <w:bCs/>
          <w:i/>
          <w:iCs/>
        </w:rPr>
        <w:t>Abs. </w:t>
      </w:r>
      <w:r w:rsidR="006F5294" w:rsidRPr="009118AB">
        <w:rPr>
          <w:bCs/>
          <w:i/>
          <w:iCs/>
        </w:rPr>
        <w:t xml:space="preserve">1 abgeändert durch </w:t>
      </w:r>
      <w:r w:rsidR="00D67EB8" w:rsidRPr="009118AB">
        <w:rPr>
          <w:bCs/>
          <w:i/>
          <w:iCs/>
        </w:rPr>
        <w:t>Art. </w:t>
      </w:r>
      <w:r w:rsidR="006F5294" w:rsidRPr="009118AB">
        <w:rPr>
          <w:bCs/>
          <w:i/>
          <w:iCs/>
        </w:rPr>
        <w:t>56 Buchstabe a) und b)</w:t>
      </w:r>
      <w:r w:rsidR="006F5294" w:rsidRPr="009118AB">
        <w:rPr>
          <w:bCs/>
          <w:i/>
          <w:iCs/>
          <w:sz w:val="20"/>
          <w:szCs w:val="20"/>
        </w:rPr>
        <w:t xml:space="preserve"> </w:t>
      </w:r>
      <w:r w:rsidR="006F5294" w:rsidRPr="009118AB">
        <w:rPr>
          <w:bCs/>
          <w:i/>
          <w:iCs/>
        </w:rPr>
        <w:t>des G. vom 21. Januar 2022 (B.S. vom 28. Januar 2022)</w:t>
      </w:r>
      <w:r w:rsidR="00D67EB8" w:rsidRPr="009118AB">
        <w:rPr>
          <w:bCs/>
          <w:i/>
          <w:iCs/>
        </w:rPr>
        <w:t> - </w:t>
      </w:r>
      <w:r w:rsidR="006F5294" w:rsidRPr="009118AB">
        <w:rPr>
          <w:i/>
          <w:iCs/>
          <w:lang w:eastAsia="fr-BE"/>
        </w:rPr>
        <w:t xml:space="preserve">wirksam mit 1. Januar 2022 und </w:t>
      </w:r>
      <w:r w:rsidR="00733E12" w:rsidRPr="009118AB">
        <w:rPr>
          <w:i/>
          <w:iCs/>
          <w:lang w:eastAsia="fr-BE"/>
        </w:rPr>
        <w:t>anwendbar</w:t>
      </w:r>
      <w:r w:rsidR="006F5294" w:rsidRPr="009118AB">
        <w:rPr>
          <w:i/>
          <w:iCs/>
          <w:lang w:eastAsia="fr-BE"/>
        </w:rPr>
        <w:t xml:space="preserve"> auf die ab diesem Datum gezahlten oder zuerkannten Entlohnungen</w:t>
      </w:r>
      <w:r w:rsidR="003366D9" w:rsidRPr="009118AB">
        <w:rPr>
          <w:lang w:eastAsia="fr-BE"/>
        </w:rPr>
        <w:t> -;</w:t>
      </w:r>
      <w:r w:rsidR="006F5294" w:rsidRPr="009118AB">
        <w:rPr>
          <w:i/>
          <w:iCs/>
          <w:lang w:eastAsia="fr-BE"/>
        </w:rPr>
        <w:t xml:space="preserve"> </w:t>
      </w:r>
      <w:r w:rsidR="00D67EB8" w:rsidRPr="009118AB">
        <w:rPr>
          <w:i/>
          <w:iCs/>
          <w:lang w:eastAsia="fr-BE"/>
        </w:rPr>
        <w:t>§ </w:t>
      </w:r>
      <w:r w:rsidR="006F5294" w:rsidRPr="009118AB">
        <w:rPr>
          <w:i/>
          <w:iCs/>
          <w:lang w:eastAsia="fr-BE"/>
        </w:rPr>
        <w:t xml:space="preserve">2 </w:t>
      </w:r>
      <w:r w:rsidR="00D67EB8" w:rsidRPr="009118AB">
        <w:rPr>
          <w:i/>
          <w:iCs/>
          <w:lang w:eastAsia="fr-BE"/>
        </w:rPr>
        <w:t>Abs. </w:t>
      </w:r>
      <w:r w:rsidR="006F5294" w:rsidRPr="009118AB">
        <w:rPr>
          <w:i/>
          <w:iCs/>
          <w:lang w:eastAsia="fr-BE"/>
        </w:rPr>
        <w:t xml:space="preserve">2 abgeändert durch </w:t>
      </w:r>
      <w:r w:rsidR="00D67EB8" w:rsidRPr="009118AB">
        <w:rPr>
          <w:i/>
          <w:iCs/>
          <w:lang w:eastAsia="fr-BE"/>
        </w:rPr>
        <w:t>Art. </w:t>
      </w:r>
      <w:r w:rsidR="006F5294" w:rsidRPr="009118AB">
        <w:rPr>
          <w:i/>
          <w:iCs/>
          <w:lang w:eastAsia="fr-BE"/>
        </w:rPr>
        <w:t>56 Buchstabe c)</w:t>
      </w:r>
      <w:r w:rsidR="006F5294" w:rsidRPr="009118AB">
        <w:rPr>
          <w:bCs/>
          <w:i/>
          <w:iCs/>
          <w:sz w:val="20"/>
          <w:szCs w:val="20"/>
        </w:rPr>
        <w:t xml:space="preserve"> </w:t>
      </w:r>
      <w:r w:rsidR="006F5294" w:rsidRPr="009118AB">
        <w:rPr>
          <w:bCs/>
          <w:i/>
          <w:iCs/>
        </w:rPr>
        <w:t>des G. vom 21. Januar 2022 (B.S. vom 28. Januar 2022)</w:t>
      </w:r>
      <w:r w:rsidR="00D67EB8" w:rsidRPr="009118AB">
        <w:rPr>
          <w:bCs/>
          <w:i/>
          <w:iCs/>
        </w:rPr>
        <w:t> - </w:t>
      </w:r>
      <w:r w:rsidR="006F5294" w:rsidRPr="009118AB">
        <w:rPr>
          <w:i/>
          <w:iCs/>
          <w:lang w:eastAsia="fr-BE"/>
        </w:rPr>
        <w:t xml:space="preserve">wirksam mit 1. Januar 2022 und </w:t>
      </w:r>
      <w:r w:rsidR="008837ED" w:rsidRPr="009118AB">
        <w:rPr>
          <w:i/>
          <w:iCs/>
          <w:lang w:eastAsia="fr-BE"/>
        </w:rPr>
        <w:t>anwendbar</w:t>
      </w:r>
      <w:r w:rsidR="006F5294" w:rsidRPr="009118AB">
        <w:rPr>
          <w:i/>
          <w:iCs/>
          <w:lang w:eastAsia="fr-BE"/>
        </w:rPr>
        <w:t xml:space="preserve"> auf die ab diesem Datum gezahlten oder zuerkannten Entlohnungen</w:t>
      </w:r>
      <w:r w:rsidR="003366D9" w:rsidRPr="009118AB">
        <w:rPr>
          <w:lang w:eastAsia="fr-BE"/>
        </w:rPr>
        <w:t> -;</w:t>
      </w:r>
      <w:r w:rsidR="006F5294" w:rsidRPr="009118AB">
        <w:rPr>
          <w:i/>
          <w:iCs/>
          <w:lang w:eastAsia="fr-BE"/>
        </w:rPr>
        <w:t xml:space="preserve"> </w:t>
      </w:r>
      <w:r w:rsidR="00D67EB8" w:rsidRPr="009118AB">
        <w:rPr>
          <w:i/>
          <w:iCs/>
          <w:lang w:eastAsia="fr-BE"/>
        </w:rPr>
        <w:t>§ </w:t>
      </w:r>
      <w:r w:rsidR="006F5294" w:rsidRPr="009118AB">
        <w:rPr>
          <w:i/>
          <w:iCs/>
          <w:lang w:eastAsia="fr-BE"/>
        </w:rPr>
        <w:t xml:space="preserve">2 </w:t>
      </w:r>
      <w:r w:rsidR="00D67EB8" w:rsidRPr="009118AB">
        <w:rPr>
          <w:i/>
          <w:iCs/>
          <w:lang w:eastAsia="fr-BE"/>
        </w:rPr>
        <w:t>Abs. </w:t>
      </w:r>
      <w:r w:rsidR="006F5294" w:rsidRPr="009118AB">
        <w:rPr>
          <w:i/>
          <w:iCs/>
          <w:lang w:eastAsia="fr-BE"/>
        </w:rPr>
        <w:t xml:space="preserve">3 abgeändert durch </w:t>
      </w:r>
      <w:r w:rsidR="00D67EB8" w:rsidRPr="009118AB">
        <w:rPr>
          <w:i/>
          <w:iCs/>
          <w:lang w:eastAsia="fr-BE"/>
        </w:rPr>
        <w:t>Art. </w:t>
      </w:r>
      <w:r w:rsidR="006F5294" w:rsidRPr="009118AB">
        <w:rPr>
          <w:i/>
          <w:iCs/>
          <w:lang w:eastAsia="fr-BE"/>
        </w:rPr>
        <w:t>56 Buchstabe d)</w:t>
      </w:r>
      <w:r w:rsidR="009F13DA" w:rsidRPr="009118AB">
        <w:rPr>
          <w:bCs/>
          <w:i/>
          <w:iCs/>
          <w:sz w:val="20"/>
          <w:szCs w:val="20"/>
        </w:rPr>
        <w:t xml:space="preserve"> </w:t>
      </w:r>
      <w:r w:rsidR="006F5294" w:rsidRPr="009118AB">
        <w:rPr>
          <w:bCs/>
          <w:i/>
          <w:iCs/>
        </w:rPr>
        <w:t>des G. vom 21. Januar 2022 (B.S. vom 28. Januar 2022)</w:t>
      </w:r>
      <w:r w:rsidR="00D67EB8" w:rsidRPr="009118AB">
        <w:rPr>
          <w:bCs/>
          <w:i/>
          <w:iCs/>
        </w:rPr>
        <w:t> - </w:t>
      </w:r>
      <w:r w:rsidR="006F5294" w:rsidRPr="009118AB">
        <w:rPr>
          <w:i/>
          <w:iCs/>
          <w:lang w:eastAsia="fr-BE"/>
        </w:rPr>
        <w:t xml:space="preserve">wirksam mit 1. Januar 2022 und </w:t>
      </w:r>
      <w:r w:rsidR="008837ED" w:rsidRPr="009118AB">
        <w:rPr>
          <w:i/>
          <w:iCs/>
          <w:lang w:eastAsia="fr-BE"/>
        </w:rPr>
        <w:t>anwendbar</w:t>
      </w:r>
      <w:r w:rsidR="008837ED" w:rsidRPr="009118AB">
        <w:rPr>
          <w:lang w:eastAsia="fr-BE"/>
        </w:rPr>
        <w:t xml:space="preserve"> </w:t>
      </w:r>
      <w:r w:rsidR="006F5294" w:rsidRPr="009118AB">
        <w:rPr>
          <w:i/>
          <w:iCs/>
          <w:lang w:eastAsia="fr-BE"/>
        </w:rPr>
        <w:t>auf die ab diesem Datum gezahlten oder zuerkannten Entlohnungen</w:t>
      </w:r>
      <w:r w:rsidR="003366D9" w:rsidRPr="009118AB">
        <w:rPr>
          <w:i/>
          <w:iCs/>
          <w:lang w:eastAsia="fr-BE"/>
        </w:rPr>
        <w:t> -</w:t>
      </w:r>
      <w:r w:rsidR="009F13DA" w:rsidRPr="009118AB">
        <w:rPr>
          <w:i/>
          <w:iCs/>
          <w:lang w:eastAsia="fr-BE"/>
        </w:rPr>
        <w:t xml:space="preserve"> und Art. 51 Nr. 1</w:t>
      </w:r>
      <w:r w:rsidR="009F13DA" w:rsidRPr="009118AB">
        <w:rPr>
          <w:i/>
          <w:iCs/>
        </w:rPr>
        <w:t xml:space="preserve"> des G. vom 20. November 2022 (B.S. vom 30. November 2022)</w:t>
      </w:r>
      <w:r w:rsidR="003366D9" w:rsidRPr="009118AB">
        <w:rPr>
          <w:i/>
          <w:iCs/>
          <w:lang w:eastAsia="fr-BE"/>
        </w:rPr>
        <w:t>;</w:t>
      </w:r>
      <w:r w:rsidR="006F5294" w:rsidRPr="009118AB">
        <w:rPr>
          <w:i/>
          <w:iCs/>
          <w:lang w:eastAsia="fr-BE"/>
        </w:rPr>
        <w:t xml:space="preserve"> </w:t>
      </w:r>
      <w:r w:rsidR="00D67EB8" w:rsidRPr="009118AB">
        <w:rPr>
          <w:i/>
          <w:iCs/>
          <w:lang w:eastAsia="fr-BE"/>
        </w:rPr>
        <w:t>§ </w:t>
      </w:r>
      <w:r w:rsidR="006F5294" w:rsidRPr="009118AB">
        <w:rPr>
          <w:i/>
          <w:iCs/>
          <w:lang w:eastAsia="fr-BE"/>
        </w:rPr>
        <w:t xml:space="preserve">2 </w:t>
      </w:r>
      <w:r w:rsidR="00D67EB8" w:rsidRPr="009118AB">
        <w:rPr>
          <w:i/>
          <w:iCs/>
          <w:lang w:eastAsia="fr-BE"/>
        </w:rPr>
        <w:t>Abs. </w:t>
      </w:r>
      <w:r w:rsidR="006F5294" w:rsidRPr="009118AB">
        <w:rPr>
          <w:i/>
          <w:iCs/>
          <w:lang w:eastAsia="fr-BE"/>
        </w:rPr>
        <w:t xml:space="preserve">4 abgeändert durch </w:t>
      </w:r>
      <w:r w:rsidR="00D67EB8" w:rsidRPr="009118AB">
        <w:rPr>
          <w:i/>
          <w:iCs/>
          <w:lang w:eastAsia="fr-BE"/>
        </w:rPr>
        <w:t>Art. </w:t>
      </w:r>
      <w:r w:rsidR="006F5294" w:rsidRPr="009118AB">
        <w:rPr>
          <w:i/>
          <w:iCs/>
          <w:lang w:eastAsia="fr-BE"/>
        </w:rPr>
        <w:t>56 Buchstabe e)</w:t>
      </w:r>
      <w:r w:rsidR="006F5294" w:rsidRPr="009118AB">
        <w:rPr>
          <w:bCs/>
          <w:i/>
          <w:iCs/>
          <w:sz w:val="20"/>
          <w:szCs w:val="20"/>
        </w:rPr>
        <w:t xml:space="preserve"> </w:t>
      </w:r>
      <w:r w:rsidR="006F5294" w:rsidRPr="009118AB">
        <w:rPr>
          <w:bCs/>
          <w:i/>
          <w:iCs/>
        </w:rPr>
        <w:t>des G. vom 21. Januar 2022 (B.S. vom 28. Januar 2022)</w:t>
      </w:r>
      <w:r w:rsidR="00D67EB8" w:rsidRPr="009118AB">
        <w:rPr>
          <w:bCs/>
          <w:i/>
          <w:iCs/>
        </w:rPr>
        <w:t> - </w:t>
      </w:r>
      <w:r w:rsidR="006F5294" w:rsidRPr="009118AB">
        <w:rPr>
          <w:i/>
          <w:iCs/>
          <w:lang w:eastAsia="fr-BE"/>
        </w:rPr>
        <w:t xml:space="preserve">wirksam mit 1. Januar 2022 und </w:t>
      </w:r>
      <w:r w:rsidR="008837ED" w:rsidRPr="009118AB">
        <w:rPr>
          <w:i/>
          <w:iCs/>
          <w:lang w:eastAsia="fr-BE"/>
        </w:rPr>
        <w:t xml:space="preserve">anwendbar </w:t>
      </w:r>
      <w:r w:rsidR="006F5294" w:rsidRPr="009118AB">
        <w:rPr>
          <w:i/>
          <w:iCs/>
          <w:lang w:eastAsia="fr-BE"/>
        </w:rPr>
        <w:t>auf die ab diesem Datum gezahlten oder zuerkannten Entlohnungen</w:t>
      </w:r>
      <w:r w:rsidR="003366D9" w:rsidRPr="009118AB">
        <w:rPr>
          <w:i/>
          <w:iCs/>
          <w:lang w:eastAsia="fr-BE"/>
        </w:rPr>
        <w:t> -</w:t>
      </w:r>
      <w:r w:rsidR="0017115B" w:rsidRPr="009118AB">
        <w:rPr>
          <w:i/>
          <w:iCs/>
          <w:lang w:eastAsia="fr-BE"/>
        </w:rPr>
        <w:t xml:space="preserve"> und Art. 40</w:t>
      </w:r>
      <w:r w:rsidR="0017115B" w:rsidRPr="009118AB">
        <w:rPr>
          <w:i/>
          <w:iCs/>
        </w:rPr>
        <w:t xml:space="preserve"> des G. vom 5. Juli 2022 (B.S. vom 15. Juli 2022)</w:t>
      </w:r>
      <w:r w:rsidR="003366D9" w:rsidRPr="009118AB">
        <w:rPr>
          <w:i/>
          <w:iCs/>
          <w:lang w:eastAsia="fr-BE"/>
        </w:rPr>
        <w:t>;</w:t>
      </w:r>
      <w:r w:rsidR="006F5294" w:rsidRPr="009118AB">
        <w:rPr>
          <w:i/>
          <w:iCs/>
          <w:lang w:eastAsia="fr-BE"/>
        </w:rPr>
        <w:t xml:space="preserve"> </w:t>
      </w:r>
      <w:r w:rsidR="00D67EB8" w:rsidRPr="009118AB">
        <w:rPr>
          <w:i/>
          <w:iCs/>
          <w:lang w:eastAsia="fr-BE"/>
        </w:rPr>
        <w:t>§ </w:t>
      </w:r>
      <w:r w:rsidR="006F5294" w:rsidRPr="009118AB">
        <w:rPr>
          <w:i/>
          <w:iCs/>
          <w:lang w:eastAsia="fr-BE"/>
        </w:rPr>
        <w:t xml:space="preserve">2 </w:t>
      </w:r>
      <w:r w:rsidR="00D67EB8" w:rsidRPr="009118AB">
        <w:rPr>
          <w:i/>
          <w:iCs/>
          <w:lang w:eastAsia="fr-BE"/>
        </w:rPr>
        <w:t>Abs. </w:t>
      </w:r>
      <w:r w:rsidR="006F5294" w:rsidRPr="009118AB">
        <w:rPr>
          <w:i/>
          <w:iCs/>
          <w:lang w:eastAsia="fr-BE"/>
        </w:rPr>
        <w:t xml:space="preserve">5 ersetzt durch </w:t>
      </w:r>
      <w:r w:rsidR="00D67EB8" w:rsidRPr="009118AB">
        <w:rPr>
          <w:i/>
          <w:iCs/>
          <w:lang w:eastAsia="fr-BE"/>
        </w:rPr>
        <w:t>Art. </w:t>
      </w:r>
      <w:r w:rsidR="006F5294" w:rsidRPr="009118AB">
        <w:rPr>
          <w:i/>
          <w:iCs/>
          <w:lang w:eastAsia="fr-BE"/>
        </w:rPr>
        <w:t>56 Buchstabe f)</w:t>
      </w:r>
      <w:r w:rsidR="006F5294" w:rsidRPr="009118AB">
        <w:rPr>
          <w:bCs/>
          <w:i/>
          <w:iCs/>
          <w:sz w:val="20"/>
          <w:szCs w:val="20"/>
        </w:rPr>
        <w:t xml:space="preserve"> </w:t>
      </w:r>
      <w:r w:rsidR="006F5294" w:rsidRPr="009118AB">
        <w:rPr>
          <w:bCs/>
          <w:i/>
          <w:iCs/>
        </w:rPr>
        <w:t>des G. vom 21. Januar 2022 (B.S. vom 28. Januar 2022)</w:t>
      </w:r>
      <w:r w:rsidR="00D67EB8" w:rsidRPr="009118AB">
        <w:rPr>
          <w:bCs/>
          <w:i/>
          <w:iCs/>
        </w:rPr>
        <w:t> - </w:t>
      </w:r>
      <w:r w:rsidR="006F5294" w:rsidRPr="009118AB">
        <w:rPr>
          <w:i/>
          <w:iCs/>
          <w:lang w:eastAsia="fr-BE"/>
        </w:rPr>
        <w:t xml:space="preserve">wirksam mit 1. Januar 2022 und </w:t>
      </w:r>
      <w:r w:rsidR="008837ED" w:rsidRPr="009118AB">
        <w:rPr>
          <w:i/>
          <w:iCs/>
          <w:lang w:eastAsia="fr-BE"/>
        </w:rPr>
        <w:t>anwendbar</w:t>
      </w:r>
      <w:r w:rsidR="006F5294" w:rsidRPr="009118AB">
        <w:rPr>
          <w:i/>
          <w:iCs/>
          <w:lang w:eastAsia="fr-BE"/>
        </w:rPr>
        <w:t xml:space="preserve"> auf </w:t>
      </w:r>
      <w:r w:rsidR="006F5294" w:rsidRPr="009118AB">
        <w:rPr>
          <w:i/>
          <w:iCs/>
          <w:lang w:eastAsia="fr-BE"/>
        </w:rPr>
        <w:lastRenderedPageBreak/>
        <w:t>die ab diesem Datum gezahlten oder zuerkannten Entlohnungen</w:t>
      </w:r>
      <w:r w:rsidR="003366D9" w:rsidRPr="009118AB">
        <w:rPr>
          <w:lang w:eastAsia="fr-BE"/>
        </w:rPr>
        <w:t> -;</w:t>
      </w:r>
      <w:r w:rsidR="006F5294" w:rsidRPr="009118AB">
        <w:rPr>
          <w:i/>
          <w:iCs/>
          <w:lang w:eastAsia="fr-BE"/>
        </w:rPr>
        <w:t xml:space="preserve"> </w:t>
      </w:r>
      <w:r w:rsidR="00D67EB8" w:rsidRPr="009118AB">
        <w:rPr>
          <w:i/>
          <w:iCs/>
          <w:lang w:eastAsia="fr-BE"/>
        </w:rPr>
        <w:t>§ </w:t>
      </w:r>
      <w:r w:rsidR="006F5294" w:rsidRPr="009118AB">
        <w:rPr>
          <w:i/>
          <w:iCs/>
          <w:lang w:eastAsia="fr-BE"/>
        </w:rPr>
        <w:t xml:space="preserve">3 </w:t>
      </w:r>
      <w:r w:rsidR="00D67EB8" w:rsidRPr="009118AB">
        <w:rPr>
          <w:i/>
          <w:iCs/>
          <w:lang w:eastAsia="fr-BE"/>
        </w:rPr>
        <w:t>Abs. </w:t>
      </w:r>
      <w:r w:rsidR="006F5294" w:rsidRPr="009118AB">
        <w:rPr>
          <w:i/>
          <w:iCs/>
          <w:lang w:eastAsia="fr-BE"/>
        </w:rPr>
        <w:t xml:space="preserve">1 dritter Gedankenstrich aufgehoben durch </w:t>
      </w:r>
      <w:r w:rsidR="00D67EB8" w:rsidRPr="009118AB">
        <w:rPr>
          <w:i/>
          <w:iCs/>
          <w:lang w:eastAsia="fr-BE"/>
        </w:rPr>
        <w:t>Art. </w:t>
      </w:r>
      <w:r w:rsidR="006F5294" w:rsidRPr="009118AB">
        <w:rPr>
          <w:i/>
          <w:iCs/>
          <w:lang w:eastAsia="fr-BE"/>
        </w:rPr>
        <w:t>56 Buchstabe g)</w:t>
      </w:r>
      <w:r w:rsidR="006F5294" w:rsidRPr="009118AB">
        <w:rPr>
          <w:bCs/>
          <w:i/>
          <w:iCs/>
          <w:sz w:val="20"/>
          <w:szCs w:val="20"/>
        </w:rPr>
        <w:t xml:space="preserve"> </w:t>
      </w:r>
      <w:r w:rsidR="006F5294" w:rsidRPr="009118AB">
        <w:rPr>
          <w:bCs/>
          <w:i/>
          <w:iCs/>
        </w:rPr>
        <w:t>des G. vom 21. Januar 2022 (B.S. vom 28. Januar 2022)</w:t>
      </w:r>
      <w:r w:rsidR="00D67EB8" w:rsidRPr="009118AB">
        <w:rPr>
          <w:bCs/>
          <w:i/>
          <w:iCs/>
        </w:rPr>
        <w:t> - </w:t>
      </w:r>
      <w:r w:rsidR="006F5294" w:rsidRPr="009118AB">
        <w:rPr>
          <w:i/>
          <w:iCs/>
          <w:lang w:eastAsia="fr-BE"/>
        </w:rPr>
        <w:t xml:space="preserve">wirksam mit 1. Januar 2022 und </w:t>
      </w:r>
      <w:r w:rsidR="008837ED" w:rsidRPr="009118AB">
        <w:rPr>
          <w:i/>
          <w:iCs/>
          <w:lang w:eastAsia="fr-BE"/>
        </w:rPr>
        <w:t xml:space="preserve">anwendbar </w:t>
      </w:r>
      <w:r w:rsidR="006F5294" w:rsidRPr="009118AB">
        <w:rPr>
          <w:i/>
          <w:iCs/>
          <w:lang w:eastAsia="fr-BE"/>
        </w:rPr>
        <w:t>auf die ab diesem Datum gezahlten oder zuerkannten Entlohnungen</w:t>
      </w:r>
      <w:r w:rsidR="003366D9" w:rsidRPr="009118AB">
        <w:rPr>
          <w:lang w:eastAsia="fr-BE"/>
        </w:rPr>
        <w:t> -;</w:t>
      </w:r>
      <w:r w:rsidR="006F5294" w:rsidRPr="009118AB">
        <w:rPr>
          <w:i/>
          <w:iCs/>
          <w:lang w:eastAsia="fr-BE"/>
        </w:rPr>
        <w:t xml:space="preserve"> </w:t>
      </w:r>
      <w:r w:rsidR="00D67EB8" w:rsidRPr="009118AB">
        <w:rPr>
          <w:i/>
          <w:iCs/>
          <w:lang w:eastAsia="fr-BE"/>
        </w:rPr>
        <w:t>§ </w:t>
      </w:r>
      <w:r w:rsidR="006F5294" w:rsidRPr="009118AB">
        <w:rPr>
          <w:i/>
          <w:iCs/>
          <w:lang w:eastAsia="fr-BE"/>
        </w:rPr>
        <w:t xml:space="preserve">3 neuer Absatz 2 eingefügt durch </w:t>
      </w:r>
      <w:r w:rsidR="00D67EB8" w:rsidRPr="009118AB">
        <w:rPr>
          <w:i/>
          <w:iCs/>
          <w:lang w:eastAsia="fr-BE"/>
        </w:rPr>
        <w:t>Art. </w:t>
      </w:r>
      <w:r w:rsidR="006F5294" w:rsidRPr="009118AB">
        <w:rPr>
          <w:i/>
          <w:iCs/>
          <w:lang w:eastAsia="fr-BE"/>
        </w:rPr>
        <w:t>56 Buchstabe h)</w:t>
      </w:r>
      <w:r w:rsidR="006F5294" w:rsidRPr="009118AB">
        <w:rPr>
          <w:bCs/>
          <w:i/>
          <w:iCs/>
          <w:sz w:val="20"/>
          <w:szCs w:val="20"/>
        </w:rPr>
        <w:t xml:space="preserve"> </w:t>
      </w:r>
      <w:r w:rsidR="006F5294" w:rsidRPr="009118AB">
        <w:rPr>
          <w:bCs/>
          <w:i/>
          <w:iCs/>
        </w:rPr>
        <w:t>des G. vom 21. Januar 2022 (B.S. vom 28. Januar 2022)</w:t>
      </w:r>
      <w:r w:rsidR="00D67EB8" w:rsidRPr="009118AB">
        <w:rPr>
          <w:bCs/>
          <w:i/>
          <w:iCs/>
        </w:rPr>
        <w:t> - </w:t>
      </w:r>
      <w:r w:rsidR="006F5294" w:rsidRPr="009118AB">
        <w:rPr>
          <w:i/>
          <w:iCs/>
          <w:lang w:eastAsia="fr-BE"/>
        </w:rPr>
        <w:t xml:space="preserve">wirksam mit 1. Januar 2022 und </w:t>
      </w:r>
      <w:r w:rsidR="008837ED" w:rsidRPr="009118AB">
        <w:rPr>
          <w:i/>
          <w:iCs/>
          <w:lang w:eastAsia="fr-BE"/>
        </w:rPr>
        <w:t>anwendbar</w:t>
      </w:r>
      <w:r w:rsidR="006F5294" w:rsidRPr="009118AB">
        <w:rPr>
          <w:i/>
          <w:iCs/>
          <w:lang w:eastAsia="fr-BE"/>
        </w:rPr>
        <w:t xml:space="preserve"> auf die ab diesem Datum gezahlten oder zuerkannten Entlohnungen</w:t>
      </w:r>
      <w:r w:rsidR="003366D9" w:rsidRPr="009118AB">
        <w:rPr>
          <w:i/>
          <w:iCs/>
          <w:lang w:eastAsia="fr-BE"/>
        </w:rPr>
        <w:t> -</w:t>
      </w:r>
      <w:r w:rsidR="009F13DA" w:rsidRPr="009118AB">
        <w:rPr>
          <w:i/>
          <w:iCs/>
          <w:lang w:eastAsia="fr-BE"/>
        </w:rPr>
        <w:t xml:space="preserve"> und</w:t>
      </w:r>
      <w:r w:rsidR="00427E3E" w:rsidRPr="009118AB">
        <w:rPr>
          <w:i/>
          <w:iCs/>
          <w:lang w:eastAsia="fr-BE"/>
        </w:rPr>
        <w:t xml:space="preserve"> abgeändert durch</w:t>
      </w:r>
      <w:r w:rsidR="009F13DA" w:rsidRPr="009118AB">
        <w:rPr>
          <w:i/>
          <w:iCs/>
          <w:lang w:eastAsia="fr-BE"/>
        </w:rPr>
        <w:t xml:space="preserve"> Art. 51 Nr. 2</w:t>
      </w:r>
      <w:r w:rsidR="009F13DA" w:rsidRPr="009118AB">
        <w:rPr>
          <w:i/>
          <w:iCs/>
        </w:rPr>
        <w:t xml:space="preserve"> des G. vom 20. November 2022 (B.S. vom 30. November 2022)</w:t>
      </w:r>
      <w:r w:rsidR="00102F61" w:rsidRPr="009118AB">
        <w:rPr>
          <w:i/>
          <w:iCs/>
        </w:rPr>
        <w:t xml:space="preserve"> und Art. 31 des G. vom 31. Juli 2023 (II) (B.S. vom 23. August 2023)</w:t>
      </w:r>
      <w:r w:rsidR="003366D9" w:rsidRPr="009118AB">
        <w:rPr>
          <w:i/>
          <w:iCs/>
          <w:lang w:eastAsia="fr-BE"/>
        </w:rPr>
        <w:t>;</w:t>
      </w:r>
      <w:r w:rsidR="006F5294" w:rsidRPr="009118AB">
        <w:rPr>
          <w:i/>
          <w:iCs/>
          <w:lang w:eastAsia="fr-BE"/>
        </w:rPr>
        <w:t xml:space="preserve"> </w:t>
      </w:r>
      <w:r w:rsidR="00D67EB8" w:rsidRPr="009118AB">
        <w:rPr>
          <w:i/>
          <w:iCs/>
          <w:lang w:eastAsia="fr-BE"/>
        </w:rPr>
        <w:t>§ </w:t>
      </w:r>
      <w:r w:rsidR="006F5294" w:rsidRPr="009118AB">
        <w:rPr>
          <w:i/>
          <w:iCs/>
          <w:lang w:eastAsia="fr-BE"/>
        </w:rPr>
        <w:t xml:space="preserve">3 </w:t>
      </w:r>
      <w:r w:rsidR="00D67EB8" w:rsidRPr="009118AB">
        <w:rPr>
          <w:i/>
          <w:iCs/>
          <w:lang w:eastAsia="fr-BE"/>
        </w:rPr>
        <w:t>Abs. </w:t>
      </w:r>
      <w:r w:rsidR="006F5294" w:rsidRPr="009118AB">
        <w:rPr>
          <w:i/>
          <w:iCs/>
          <w:lang w:eastAsia="fr-BE"/>
        </w:rPr>
        <w:t xml:space="preserve">3 abgeändert durch </w:t>
      </w:r>
      <w:r w:rsidR="00D67EB8" w:rsidRPr="009118AB">
        <w:rPr>
          <w:i/>
          <w:iCs/>
          <w:lang w:eastAsia="fr-BE"/>
        </w:rPr>
        <w:t>Art. </w:t>
      </w:r>
      <w:r w:rsidR="006F5294" w:rsidRPr="009118AB">
        <w:rPr>
          <w:i/>
          <w:iCs/>
          <w:lang w:eastAsia="fr-BE"/>
        </w:rPr>
        <w:t>56 Buchstabe </w:t>
      </w:r>
      <w:r w:rsidR="00906DC9" w:rsidRPr="009118AB">
        <w:rPr>
          <w:i/>
          <w:iCs/>
          <w:lang w:eastAsia="fr-BE"/>
        </w:rPr>
        <w:t>i</w:t>
      </w:r>
      <w:r w:rsidR="006F5294" w:rsidRPr="009118AB">
        <w:rPr>
          <w:i/>
          <w:iCs/>
          <w:lang w:eastAsia="fr-BE"/>
        </w:rPr>
        <w:t>)</w:t>
      </w:r>
      <w:r w:rsidR="006F5294" w:rsidRPr="009118AB">
        <w:rPr>
          <w:bCs/>
          <w:i/>
          <w:iCs/>
          <w:sz w:val="20"/>
          <w:szCs w:val="20"/>
        </w:rPr>
        <w:t xml:space="preserve"> </w:t>
      </w:r>
      <w:r w:rsidR="006F5294" w:rsidRPr="009118AB">
        <w:rPr>
          <w:bCs/>
          <w:i/>
          <w:iCs/>
        </w:rPr>
        <w:t>des G. vom 21. Januar 2022 (B.S. vom 28. Januar 2022)</w:t>
      </w:r>
      <w:r w:rsidR="00D67EB8" w:rsidRPr="009118AB">
        <w:rPr>
          <w:bCs/>
          <w:i/>
          <w:iCs/>
        </w:rPr>
        <w:t> - </w:t>
      </w:r>
      <w:r w:rsidR="006F5294" w:rsidRPr="009118AB">
        <w:rPr>
          <w:i/>
          <w:iCs/>
          <w:lang w:eastAsia="fr-BE"/>
        </w:rPr>
        <w:t xml:space="preserve">wirksam mit 1. Januar 2022 und </w:t>
      </w:r>
      <w:r w:rsidR="008837ED" w:rsidRPr="009118AB">
        <w:rPr>
          <w:i/>
          <w:iCs/>
          <w:lang w:eastAsia="fr-BE"/>
        </w:rPr>
        <w:t>anwendbar</w:t>
      </w:r>
      <w:r w:rsidR="006F5294" w:rsidRPr="009118AB">
        <w:rPr>
          <w:i/>
          <w:iCs/>
          <w:lang w:eastAsia="fr-BE"/>
        </w:rPr>
        <w:t xml:space="preserve"> auf die ab diesem Datum gezahlten oder zuerkannten Entlohnungen</w:t>
      </w:r>
      <w:r w:rsidR="003366D9" w:rsidRPr="009118AB">
        <w:rPr>
          <w:lang w:eastAsia="fr-BE"/>
        </w:rPr>
        <w:t> -;</w:t>
      </w:r>
      <w:r w:rsidR="006F5294" w:rsidRPr="009118AB">
        <w:rPr>
          <w:i/>
          <w:iCs/>
          <w:lang w:eastAsia="fr-BE"/>
        </w:rPr>
        <w:t xml:space="preserve"> </w:t>
      </w:r>
      <w:r w:rsidR="00D67EB8" w:rsidRPr="009118AB">
        <w:rPr>
          <w:i/>
          <w:iCs/>
          <w:lang w:eastAsia="fr-BE"/>
        </w:rPr>
        <w:t>§ </w:t>
      </w:r>
      <w:r w:rsidR="00906DC9" w:rsidRPr="009118AB">
        <w:rPr>
          <w:i/>
          <w:iCs/>
          <w:lang w:eastAsia="fr-BE"/>
        </w:rPr>
        <w:t xml:space="preserve">3 </w:t>
      </w:r>
      <w:r w:rsidR="00D67EB8" w:rsidRPr="009118AB">
        <w:rPr>
          <w:i/>
          <w:iCs/>
          <w:lang w:eastAsia="fr-BE"/>
        </w:rPr>
        <w:t>Abs. </w:t>
      </w:r>
      <w:r w:rsidR="00906DC9" w:rsidRPr="009118AB">
        <w:rPr>
          <w:i/>
          <w:iCs/>
          <w:lang w:eastAsia="fr-BE"/>
        </w:rPr>
        <w:t xml:space="preserve">4 abgeändert durch </w:t>
      </w:r>
      <w:r w:rsidR="00D67EB8" w:rsidRPr="009118AB">
        <w:rPr>
          <w:i/>
          <w:iCs/>
          <w:lang w:eastAsia="fr-BE"/>
        </w:rPr>
        <w:t>Art. </w:t>
      </w:r>
      <w:r w:rsidR="00906DC9" w:rsidRPr="009118AB">
        <w:rPr>
          <w:i/>
          <w:iCs/>
          <w:lang w:eastAsia="fr-BE"/>
        </w:rPr>
        <w:t>56 Buchstabe j)</w:t>
      </w:r>
      <w:r w:rsidR="00906DC9" w:rsidRPr="009118AB">
        <w:rPr>
          <w:bCs/>
          <w:i/>
          <w:iCs/>
          <w:sz w:val="20"/>
          <w:szCs w:val="20"/>
        </w:rPr>
        <w:t xml:space="preserve"> </w:t>
      </w:r>
      <w:r w:rsidR="00906DC9" w:rsidRPr="009118AB">
        <w:rPr>
          <w:bCs/>
          <w:i/>
          <w:iCs/>
        </w:rPr>
        <w:t>des G. vom 21. Januar 2022 (B.S. vom 28. Januar 2022)</w:t>
      </w:r>
      <w:r w:rsidR="00D67EB8" w:rsidRPr="009118AB">
        <w:rPr>
          <w:bCs/>
          <w:i/>
          <w:iCs/>
        </w:rPr>
        <w:t> - </w:t>
      </w:r>
      <w:r w:rsidR="00906DC9" w:rsidRPr="009118AB">
        <w:rPr>
          <w:i/>
          <w:iCs/>
          <w:lang w:eastAsia="fr-BE"/>
        </w:rPr>
        <w:t xml:space="preserve">wirksam mit 1. Januar 2022 und </w:t>
      </w:r>
      <w:r w:rsidR="008837ED" w:rsidRPr="009118AB">
        <w:rPr>
          <w:i/>
          <w:iCs/>
          <w:lang w:eastAsia="fr-BE"/>
        </w:rPr>
        <w:t>anwendbar</w:t>
      </w:r>
      <w:r w:rsidR="00906DC9" w:rsidRPr="009118AB">
        <w:rPr>
          <w:i/>
          <w:iCs/>
          <w:lang w:eastAsia="fr-BE"/>
        </w:rPr>
        <w:t xml:space="preserve"> auf die ab diesem Datum gezahlten oder zuerkannten Entlohnungen</w:t>
      </w:r>
      <w:r w:rsidR="00FD68E8" w:rsidRPr="009118AB">
        <w:rPr>
          <w:lang w:eastAsia="fr-BE"/>
        </w:rPr>
        <w:t> </w:t>
      </w:r>
      <w:r w:rsidR="00FD68E8" w:rsidRPr="009118AB">
        <w:rPr>
          <w:i/>
          <w:iCs/>
          <w:lang w:eastAsia="fr-BE"/>
        </w:rPr>
        <w:t>-</w:t>
      </w:r>
      <w:r w:rsidR="009F13DA" w:rsidRPr="009118AB">
        <w:rPr>
          <w:i/>
          <w:iCs/>
          <w:lang w:eastAsia="fr-BE"/>
        </w:rPr>
        <w:t>; § 4 Abs. 3 abgeändert durch Art. 51 Nr. 3</w:t>
      </w:r>
      <w:r w:rsidR="009F13DA" w:rsidRPr="009118AB">
        <w:rPr>
          <w:i/>
          <w:iCs/>
        </w:rPr>
        <w:t xml:space="preserve"> des G. vom 20. November 2022 (B.S. vom 30. November 2022)</w:t>
      </w:r>
      <w:r w:rsidR="00FD68E8" w:rsidRPr="009118AB">
        <w:rPr>
          <w:i/>
          <w:iCs/>
          <w:lang w:eastAsia="fr-BE"/>
        </w:rPr>
        <w:t>]</w:t>
      </w:r>
    </w:p>
    <w:p w14:paraId="4EDF125B" w14:textId="77777777" w:rsidR="0027186E" w:rsidRDefault="0027186E" w:rsidP="008876EE">
      <w:pPr>
        <w:jc w:val="both"/>
        <w:rPr>
          <w:lang w:eastAsia="fr-BE"/>
        </w:rPr>
      </w:pPr>
    </w:p>
    <w:p w14:paraId="704EB893" w14:textId="77777777" w:rsidR="0027186E" w:rsidRDefault="0027186E" w:rsidP="008876EE">
      <w:pPr>
        <w:jc w:val="both"/>
        <w:rPr>
          <w:lang w:eastAsia="fr-BE"/>
        </w:rPr>
      </w:pPr>
    </w:p>
    <w:p w14:paraId="3AD94E4C" w14:textId="2A34E8B9" w:rsidR="0027186E" w:rsidRDefault="00D119BA" w:rsidP="00D53250">
      <w:pPr>
        <w:ind w:firstLine="708"/>
        <w:jc w:val="both"/>
      </w:pPr>
      <w:r>
        <w:rPr>
          <w:lang w:eastAsia="fr-BE"/>
        </w:rPr>
        <w:tab/>
        <w:t>[</w:t>
      </w:r>
      <w:r w:rsidRPr="00D119BA">
        <w:rPr>
          <w:b/>
          <w:bCs/>
        </w:rPr>
        <w:t>Art. 275</w:t>
      </w:r>
      <w:r w:rsidRPr="00D119BA">
        <w:rPr>
          <w:b/>
          <w:bCs/>
          <w:vertAlign w:val="superscript"/>
        </w:rPr>
        <w:t>13</w:t>
      </w:r>
      <w:r w:rsidRPr="00FF1F87">
        <w:t> ­ </w:t>
      </w:r>
      <w:r w:rsidR="00D53250">
        <w:t>[...]</w:t>
      </w:r>
      <w:r>
        <w:t>]</w:t>
      </w:r>
    </w:p>
    <w:p w14:paraId="2F3FBC4F" w14:textId="77777777" w:rsidR="00D119BA" w:rsidRDefault="00D119BA" w:rsidP="00D119BA">
      <w:pPr>
        <w:ind w:firstLine="708"/>
        <w:jc w:val="both"/>
      </w:pPr>
    </w:p>
    <w:p w14:paraId="0621A20D" w14:textId="5D7970CE" w:rsidR="00D119BA" w:rsidRPr="00D119BA" w:rsidRDefault="00D119BA" w:rsidP="00D119BA">
      <w:pPr>
        <w:jc w:val="both"/>
        <w:rPr>
          <w:i/>
          <w:iCs/>
        </w:rPr>
      </w:pPr>
      <w:r>
        <w:rPr>
          <w:i/>
          <w:iCs/>
        </w:rPr>
        <w:t>[Art. 275</w:t>
      </w:r>
      <w:r w:rsidRPr="00D119BA">
        <w:rPr>
          <w:i/>
          <w:iCs/>
          <w:vertAlign w:val="superscript"/>
        </w:rPr>
        <w:t>13</w:t>
      </w:r>
      <w:r>
        <w:rPr>
          <w:i/>
          <w:iCs/>
        </w:rPr>
        <w:t xml:space="preserve"> eingefügt durch Art. 17</w:t>
      </w:r>
      <w:r w:rsidRPr="00D119BA">
        <w:rPr>
          <w:i/>
          <w:iCs/>
        </w:rPr>
        <w:t xml:space="preserve"> des G. vom 22. Dezember 2023 (II) (B.S. vom 29. Dezember 2023)</w:t>
      </w:r>
      <w:r>
        <w:rPr>
          <w:i/>
          <w:iCs/>
        </w:rPr>
        <w:t> - </w:t>
      </w:r>
      <w:r w:rsidRPr="00D119BA">
        <w:rPr>
          <w:i/>
          <w:iCs/>
        </w:rPr>
        <w:t>anwendbar auf die Stunden, die ab dem 1. Januar 2024 als Gelegenheitsarbeitnehmer im Obst- oder Gemüsebau geleistet werden</w:t>
      </w:r>
      <w:r>
        <w:rPr>
          <w:i/>
          <w:iCs/>
        </w:rPr>
        <w:t> -</w:t>
      </w:r>
      <w:r w:rsidR="00D53250">
        <w:rPr>
          <w:i/>
          <w:iCs/>
        </w:rPr>
        <w:t xml:space="preserve">, selbst für nichtig erklärt durch </w:t>
      </w:r>
      <w:r w:rsidR="00D53250" w:rsidRPr="00D53250">
        <w:rPr>
          <w:i/>
          <w:iCs/>
        </w:rPr>
        <w:t>Entscheid Nr. 86/2025 des Verfassungsgerichtshofes vom 12. Juni 2025 (B</w:t>
      </w:r>
      <w:r w:rsidR="001E2ACB">
        <w:rPr>
          <w:i/>
          <w:iCs/>
        </w:rPr>
        <w:t>.S.</w:t>
      </w:r>
      <w:r w:rsidR="00D53250" w:rsidRPr="00D53250">
        <w:rPr>
          <w:i/>
          <w:iCs/>
        </w:rPr>
        <w:t xml:space="preserve"> vom 14. Juli 2025)</w:t>
      </w:r>
      <w:r>
        <w:rPr>
          <w:i/>
          <w:iCs/>
        </w:rPr>
        <w:t>]</w:t>
      </w:r>
    </w:p>
    <w:p w14:paraId="0C3495D9" w14:textId="5F7842B0" w:rsidR="00477B8F" w:rsidRPr="009118AB" w:rsidRDefault="00477B8F" w:rsidP="00176752">
      <w:pPr>
        <w:jc w:val="center"/>
        <w:rPr>
          <w:i/>
          <w:iCs/>
        </w:rPr>
      </w:pPr>
      <w:r w:rsidRPr="009118AB">
        <w:br w:type="page"/>
      </w:r>
      <w:r w:rsidR="00D666D6" w:rsidRPr="009118AB">
        <w:rPr>
          <w:b/>
          <w:bCs/>
        </w:rPr>
        <w:lastRenderedPageBreak/>
        <w:t>KAPITEL </w:t>
      </w:r>
      <w:r w:rsidR="007828ED" w:rsidRPr="009118AB">
        <w:rPr>
          <w:b/>
          <w:bCs/>
        </w:rPr>
        <w:t>2</w:t>
      </w:r>
      <w:r w:rsidR="00D67EB8" w:rsidRPr="009118AB">
        <w:t> - </w:t>
      </w:r>
      <w:r w:rsidRPr="009118AB">
        <w:rPr>
          <w:i/>
          <w:iCs/>
        </w:rPr>
        <w:t>Anrechnung der Vorabzüge</w:t>
      </w:r>
    </w:p>
    <w:p w14:paraId="58656585" w14:textId="77777777" w:rsidR="00477B8F" w:rsidRPr="009118AB" w:rsidRDefault="00477B8F" w:rsidP="00477B8F">
      <w:pPr>
        <w:autoSpaceDE w:val="0"/>
        <w:autoSpaceDN w:val="0"/>
        <w:adjustRightInd w:val="0"/>
        <w:jc w:val="center"/>
      </w:pPr>
    </w:p>
    <w:p w14:paraId="44F4884A" w14:textId="77777777" w:rsidR="00477B8F" w:rsidRPr="009118AB" w:rsidRDefault="00477B8F" w:rsidP="00477B8F">
      <w:pPr>
        <w:autoSpaceDE w:val="0"/>
        <w:autoSpaceDN w:val="0"/>
        <w:adjustRightInd w:val="0"/>
        <w:jc w:val="center"/>
      </w:pPr>
    </w:p>
    <w:p w14:paraId="741D6B14" w14:textId="49959BDD" w:rsidR="00477B8F" w:rsidRPr="009118AB" w:rsidRDefault="00477B8F" w:rsidP="00477B8F">
      <w:pPr>
        <w:autoSpaceDE w:val="0"/>
        <w:autoSpaceDN w:val="0"/>
        <w:adjustRightInd w:val="0"/>
        <w:jc w:val="center"/>
      </w:pPr>
      <w:r w:rsidRPr="009118AB">
        <w:rPr>
          <w:i/>
          <w:iCs/>
        </w:rPr>
        <w:t>Abschnitt </w:t>
      </w:r>
      <w:r w:rsidR="00D74862" w:rsidRPr="009118AB">
        <w:rPr>
          <w:i/>
          <w:iCs/>
        </w:rPr>
        <w:t>1</w:t>
      </w:r>
      <w:r w:rsidR="00D67EB8" w:rsidRPr="009118AB">
        <w:rPr>
          <w:i/>
          <w:iCs/>
        </w:rPr>
        <w:t> - </w:t>
      </w:r>
      <w:r w:rsidRPr="009118AB">
        <w:t>Allgemeine Bestimmungen</w:t>
      </w:r>
    </w:p>
    <w:p w14:paraId="27A1C332" w14:textId="77777777" w:rsidR="00477B8F" w:rsidRPr="009118AB" w:rsidRDefault="00477B8F" w:rsidP="00477B8F">
      <w:pPr>
        <w:autoSpaceDE w:val="0"/>
        <w:autoSpaceDN w:val="0"/>
        <w:adjustRightInd w:val="0"/>
        <w:jc w:val="center"/>
      </w:pPr>
    </w:p>
    <w:p w14:paraId="03CA226B" w14:textId="77777777" w:rsidR="00477B8F" w:rsidRPr="009118AB" w:rsidRDefault="00477B8F" w:rsidP="00477B8F">
      <w:pPr>
        <w:autoSpaceDE w:val="0"/>
        <w:autoSpaceDN w:val="0"/>
        <w:adjustRightInd w:val="0"/>
        <w:jc w:val="center"/>
      </w:pPr>
    </w:p>
    <w:p w14:paraId="7C9720C2" w14:textId="2E9C8FBA" w:rsidR="0091376B" w:rsidRPr="009118AB" w:rsidRDefault="00477B8F" w:rsidP="0091376B">
      <w:pPr>
        <w:autoSpaceDE w:val="0"/>
        <w:autoSpaceDN w:val="0"/>
        <w:adjustRightInd w:val="0"/>
        <w:jc w:val="both"/>
        <w:rPr>
          <w:bCs/>
        </w:rPr>
      </w:pPr>
      <w:r w:rsidRPr="009118AB">
        <w:tab/>
      </w:r>
      <w:r w:rsidR="00D67EB8" w:rsidRPr="009118AB">
        <w:rPr>
          <w:b/>
          <w:bCs/>
        </w:rPr>
        <w:t>Art. </w:t>
      </w:r>
      <w:r w:rsidRPr="009118AB">
        <w:rPr>
          <w:b/>
          <w:bCs/>
        </w:rPr>
        <w:t>276</w:t>
      </w:r>
      <w:r w:rsidR="00D67EB8" w:rsidRPr="009118AB">
        <w:t> - </w:t>
      </w:r>
      <w:r w:rsidR="0091376B" w:rsidRPr="009118AB">
        <w:rPr>
          <w:bCs/>
        </w:rPr>
        <w:t>In Artikel 1 erwähnte Steuern werden in nachstehend erwähntem Maße per Anrechnung des Immobiliensteuervorabzugs, des Mobiliensteuervorabzugs[, des Berufssteuervorabzugs, [des Pauschalanteils ausländischer Steuer und [der Steuergutschriften]]] beglichen.</w:t>
      </w:r>
    </w:p>
    <w:p w14:paraId="4CD0B407" w14:textId="77777777" w:rsidR="0091376B" w:rsidRPr="009118AB" w:rsidRDefault="0091376B" w:rsidP="0091376B">
      <w:pPr>
        <w:autoSpaceDE w:val="0"/>
        <w:autoSpaceDN w:val="0"/>
        <w:adjustRightInd w:val="0"/>
        <w:jc w:val="both"/>
        <w:rPr>
          <w:bCs/>
        </w:rPr>
      </w:pPr>
    </w:p>
    <w:p w14:paraId="7D974CA0" w14:textId="4D02403F" w:rsidR="0091376B" w:rsidRPr="009118AB" w:rsidRDefault="007C6725" w:rsidP="0091376B">
      <w:pPr>
        <w:autoSpaceDE w:val="0"/>
        <w:autoSpaceDN w:val="0"/>
        <w:adjustRightInd w:val="0"/>
        <w:jc w:val="both"/>
      </w:pPr>
      <w:r w:rsidRPr="009118AB">
        <w:rPr>
          <w:bCs/>
        </w:rPr>
        <w:tab/>
      </w:r>
      <w:r w:rsidR="0091376B" w:rsidRPr="009118AB">
        <w:rPr>
          <w:bCs/>
        </w:rPr>
        <w:t>[</w:t>
      </w:r>
      <w:r w:rsidR="0091376B" w:rsidRPr="009118AB">
        <w:t xml:space="preserve">Weder ein Vorabzug noch ein Pauschalanteil ausländischer Steuer noch eine Steuergutschrift darf auf die in den Artikeln 217 Absatz 1 </w:t>
      </w:r>
      <w:r w:rsidR="00D67EB8" w:rsidRPr="009118AB">
        <w:t>Nr. </w:t>
      </w:r>
      <w:r w:rsidR="0091376B" w:rsidRPr="009118AB">
        <w:t>4 und 246 Absatz 3 erwähnte Steuer angerechnet werden.]</w:t>
      </w:r>
    </w:p>
    <w:p w14:paraId="30639F65" w14:textId="77777777" w:rsidR="00A622DE" w:rsidRPr="009118AB" w:rsidRDefault="00A622DE" w:rsidP="0091376B">
      <w:pPr>
        <w:autoSpaceDE w:val="0"/>
        <w:autoSpaceDN w:val="0"/>
        <w:adjustRightInd w:val="0"/>
        <w:jc w:val="both"/>
      </w:pPr>
    </w:p>
    <w:p w14:paraId="78E6B689" w14:textId="368225C4" w:rsidR="00A622DE" w:rsidRPr="009118AB" w:rsidRDefault="007C6725" w:rsidP="0091376B">
      <w:pPr>
        <w:autoSpaceDE w:val="0"/>
        <w:autoSpaceDN w:val="0"/>
        <w:adjustRightInd w:val="0"/>
        <w:jc w:val="both"/>
        <w:rPr>
          <w:bCs/>
        </w:rPr>
      </w:pPr>
      <w:r w:rsidRPr="009118AB">
        <w:tab/>
      </w:r>
      <w:r w:rsidR="00A622DE" w:rsidRPr="009118AB">
        <w:t xml:space="preserve">[Für die Anwendung der Artikel 175, 296, 304 </w:t>
      </w:r>
      <w:r w:rsidR="00D67EB8" w:rsidRPr="009118AB">
        <w:t>§ </w:t>
      </w:r>
      <w:r w:rsidR="00A622DE" w:rsidRPr="009118AB">
        <w:t xml:space="preserve">2 und 376 </w:t>
      </w:r>
      <w:r w:rsidR="00D67EB8" w:rsidRPr="009118AB">
        <w:t>§ </w:t>
      </w:r>
      <w:r w:rsidR="00A622DE" w:rsidRPr="009118AB">
        <w:t xml:space="preserve">3 </w:t>
      </w:r>
      <w:r w:rsidR="00D67EB8" w:rsidRPr="009118AB">
        <w:t>Nr. </w:t>
      </w:r>
      <w:r w:rsidR="00A622DE" w:rsidRPr="009118AB">
        <w:t xml:space="preserve">1 gilt der Betrag von einer bis fünf vorzeitigen Einnahmen der Steuer auf langfristiges Sparen wie in den Artikeln 185 </w:t>
      </w:r>
      <w:r w:rsidR="00D67EB8" w:rsidRPr="009118AB">
        <w:t>§ </w:t>
      </w:r>
      <w:r w:rsidR="00A622DE" w:rsidRPr="009118AB">
        <w:t xml:space="preserve">4 und 186 </w:t>
      </w:r>
      <w:r w:rsidR="00D67EB8" w:rsidRPr="009118AB">
        <w:t>§ </w:t>
      </w:r>
      <w:r w:rsidR="00A622DE" w:rsidRPr="009118AB">
        <w:t>3 des Gesetzbuches der verschiedenen Gebühren und Steuern erwähnt, die im Laufe der Jahre 2015 bis 2019 auf den theoretischen Rückkaufswert oder die Sparguthaben erfolgen, der/die bis zum 31. Dezember 2014 im Rahmen des Pensionssparens gebildet worden ist beziehungsweise angelegt worden sind durch Zahlungen wie erwähnt in Artikel 145</w:t>
      </w:r>
      <w:r w:rsidR="00A622DE" w:rsidRPr="009118AB">
        <w:rPr>
          <w:vertAlign w:val="superscript"/>
        </w:rPr>
        <w:t>1</w:t>
      </w:r>
      <w:r w:rsidR="00A622DE" w:rsidRPr="009118AB">
        <w:t xml:space="preserve"> </w:t>
      </w:r>
      <w:r w:rsidR="00D67EB8" w:rsidRPr="009118AB">
        <w:t>Nr. </w:t>
      </w:r>
      <w:r w:rsidR="00A622DE" w:rsidRPr="009118AB">
        <w:t xml:space="preserve">5 oder in den Artikeln 104 Absatz 1 </w:t>
      </w:r>
      <w:r w:rsidR="00D67EB8" w:rsidRPr="009118AB">
        <w:t>Nr. </w:t>
      </w:r>
      <w:r w:rsidR="00A622DE" w:rsidRPr="009118AB">
        <w:t xml:space="preserve">10 und 117, bevor diese Artikel durch die Artikel 81 </w:t>
      </w:r>
      <w:r w:rsidR="00D67EB8" w:rsidRPr="009118AB">
        <w:t>Nr. </w:t>
      </w:r>
      <w:r w:rsidR="00A622DE" w:rsidRPr="009118AB">
        <w:t xml:space="preserve">2 beziehungsweise 85 des Gesetzes vom 28. Dezember 1992 aufgehoben wurden, in Höhe des tatsächlich eingenommenen Gesamtbetrags als einbehaltener Berufssteuervorabzug. </w:t>
      </w:r>
      <w:r w:rsidR="009D0DF8" w:rsidRPr="009118AB">
        <w:t>[...]</w:t>
      </w:r>
      <w:r w:rsidR="00A622DE" w:rsidRPr="009118AB">
        <w:t>]</w:t>
      </w:r>
    </w:p>
    <w:p w14:paraId="45F5A599" w14:textId="77777777" w:rsidR="0091376B" w:rsidRPr="009118AB" w:rsidRDefault="0091376B" w:rsidP="0091376B">
      <w:pPr>
        <w:autoSpaceDE w:val="0"/>
        <w:autoSpaceDN w:val="0"/>
        <w:adjustRightInd w:val="0"/>
        <w:jc w:val="both"/>
        <w:rPr>
          <w:bCs/>
        </w:rPr>
      </w:pPr>
    </w:p>
    <w:p w14:paraId="7BDEB3EC" w14:textId="2286AFC3" w:rsidR="0091376B" w:rsidRPr="009118AB" w:rsidRDefault="0091376B" w:rsidP="0091376B">
      <w:pPr>
        <w:autoSpaceDE w:val="0"/>
        <w:autoSpaceDN w:val="0"/>
        <w:adjustRightInd w:val="0"/>
        <w:jc w:val="both"/>
      </w:pPr>
      <w:r w:rsidRPr="009118AB">
        <w:rPr>
          <w:bCs/>
          <w:i/>
          <w:iCs/>
        </w:rPr>
        <w:t>[</w:t>
      </w:r>
      <w:r w:rsidR="00D67EB8" w:rsidRPr="009118AB">
        <w:rPr>
          <w:bCs/>
          <w:i/>
          <w:iCs/>
        </w:rPr>
        <w:t>Art. </w:t>
      </w:r>
      <w:r w:rsidRPr="009118AB">
        <w:rPr>
          <w:bCs/>
          <w:i/>
          <w:iCs/>
        </w:rPr>
        <w:t xml:space="preserve">276 </w:t>
      </w:r>
      <w:r w:rsidR="00D67EB8" w:rsidRPr="009118AB">
        <w:rPr>
          <w:bCs/>
          <w:i/>
          <w:iCs/>
        </w:rPr>
        <w:t>Abs. </w:t>
      </w:r>
      <w:r w:rsidRPr="009118AB">
        <w:rPr>
          <w:bCs/>
          <w:i/>
          <w:iCs/>
        </w:rPr>
        <w:t xml:space="preserve">1 (früherer einziger Absatz) abgeändert durch </w:t>
      </w:r>
      <w:r w:rsidR="00D67EB8" w:rsidRPr="009118AB">
        <w:rPr>
          <w:bCs/>
          <w:i/>
          <w:iCs/>
        </w:rPr>
        <w:t>Art. </w:t>
      </w:r>
      <w:r w:rsidRPr="009118AB">
        <w:rPr>
          <w:bCs/>
          <w:i/>
          <w:iCs/>
        </w:rPr>
        <w:t>14 des G. vom 20. Dezember 1995 (B.S. vom 23. Dezember 1995)</w:t>
      </w:r>
      <w:r w:rsidR="00D67EB8" w:rsidRPr="009118AB">
        <w:rPr>
          <w:bCs/>
          <w:i/>
          <w:iCs/>
        </w:rPr>
        <w:t> - </w:t>
      </w:r>
      <w:r w:rsidRPr="009118AB">
        <w:rPr>
          <w:bCs/>
          <w:i/>
          <w:iCs/>
        </w:rPr>
        <w:t>in Kraft ab dem Steuerjahr 1997</w:t>
      </w:r>
      <w:r w:rsidR="00FD68E8" w:rsidRPr="009118AB">
        <w:rPr>
          <w:bCs/>
          <w:i/>
          <w:iCs/>
        </w:rPr>
        <w:t> -,</w:t>
      </w:r>
      <w:r w:rsidRPr="009118AB">
        <w:rPr>
          <w:bCs/>
          <w:i/>
          <w:iCs/>
        </w:rPr>
        <w:t xml:space="preserve"> </w:t>
      </w:r>
      <w:r w:rsidR="00D67EB8" w:rsidRPr="009118AB">
        <w:rPr>
          <w:bCs/>
          <w:i/>
          <w:iCs/>
        </w:rPr>
        <w:t>Art. </w:t>
      </w:r>
      <w:r w:rsidRPr="009118AB">
        <w:rPr>
          <w:bCs/>
          <w:i/>
          <w:iCs/>
        </w:rPr>
        <w:t>30 des G. vom 28. Dezember 2011 (B.S. vom 30. Dezember 2011)</w:t>
      </w:r>
      <w:r w:rsidR="00D67EB8" w:rsidRPr="009118AB">
        <w:rPr>
          <w:bCs/>
          <w:i/>
          <w:iCs/>
        </w:rPr>
        <w:t> - </w:t>
      </w:r>
      <w:r w:rsidRPr="009118AB">
        <w:rPr>
          <w:bCs/>
          <w:i/>
          <w:iCs/>
        </w:rPr>
        <w:t>anwendbar auf die ab dem 1. Januar 2012 zuerkannten oder ausgeschütteten Einkünfte</w:t>
      </w:r>
      <w:r w:rsidR="00FD68E8" w:rsidRPr="009118AB">
        <w:rPr>
          <w:bCs/>
          <w:i/>
          <w:iCs/>
        </w:rPr>
        <w:t> -,</w:t>
      </w:r>
      <w:r w:rsidRPr="009118AB">
        <w:rPr>
          <w:bCs/>
          <w:i/>
          <w:iCs/>
        </w:rPr>
        <w:t xml:space="preserve"> </w:t>
      </w:r>
      <w:r w:rsidR="00D67EB8" w:rsidRPr="009118AB">
        <w:rPr>
          <w:bCs/>
          <w:i/>
          <w:iCs/>
        </w:rPr>
        <w:t>Art. </w:t>
      </w:r>
      <w:r w:rsidRPr="009118AB">
        <w:rPr>
          <w:bCs/>
          <w:i/>
          <w:iCs/>
        </w:rPr>
        <w:t>85 des G. vom 27. Dezember 2012 (B.S. vom 31. Dezember 2012)</w:t>
      </w:r>
      <w:r w:rsidR="00D67EB8" w:rsidRPr="009118AB">
        <w:rPr>
          <w:bCs/>
          <w:i/>
          <w:iCs/>
        </w:rPr>
        <w:t> - </w:t>
      </w:r>
      <w:r w:rsidRPr="009118AB">
        <w:rPr>
          <w:bCs/>
          <w:i/>
          <w:iCs/>
        </w:rPr>
        <w:t>anwendbar auf die ab dem 1. Januar 2013 zuerkannten oder ausgeschütteten Einkünfte</w:t>
      </w:r>
      <w:r w:rsidR="00D67EB8" w:rsidRPr="009118AB">
        <w:rPr>
          <w:bCs/>
          <w:i/>
          <w:iCs/>
        </w:rPr>
        <w:t> - </w:t>
      </w:r>
      <w:r w:rsidR="00A622DE" w:rsidRPr="009118AB">
        <w:rPr>
          <w:bCs/>
          <w:i/>
          <w:iCs/>
        </w:rPr>
        <w:t xml:space="preserve">und </w:t>
      </w:r>
      <w:r w:rsidR="00D67EB8" w:rsidRPr="009118AB">
        <w:rPr>
          <w:bCs/>
          <w:i/>
          <w:iCs/>
        </w:rPr>
        <w:t>Art. </w:t>
      </w:r>
      <w:r w:rsidR="00A622DE" w:rsidRPr="009118AB">
        <w:rPr>
          <w:bCs/>
          <w:i/>
          <w:iCs/>
        </w:rPr>
        <w:t xml:space="preserve">112 </w:t>
      </w:r>
      <w:r w:rsidR="00D67EB8" w:rsidRPr="009118AB">
        <w:rPr>
          <w:bCs/>
          <w:i/>
          <w:iCs/>
        </w:rPr>
        <w:t>Nr. </w:t>
      </w:r>
      <w:r w:rsidR="00A622DE" w:rsidRPr="009118AB">
        <w:rPr>
          <w:bCs/>
          <w:i/>
          <w:iCs/>
        </w:rPr>
        <w:t>1</w:t>
      </w:r>
      <w:r w:rsidR="00A622DE" w:rsidRPr="009118AB">
        <w:rPr>
          <w:i/>
          <w:iCs/>
        </w:rPr>
        <w:t xml:space="preserve"> des G. vom 19. Dezember 2014 (B.S. vom 29. Dezember 2014)</w:t>
      </w:r>
      <w:r w:rsidR="00D67EB8" w:rsidRPr="009118AB">
        <w:rPr>
          <w:i/>
          <w:iCs/>
        </w:rPr>
        <w:t> - </w:t>
      </w:r>
      <w:r w:rsidR="00A622DE" w:rsidRPr="009118AB">
        <w:rPr>
          <w:i/>
          <w:iCs/>
        </w:rPr>
        <w:t>anwendbar ab dem Steuerjahr 2016</w:t>
      </w:r>
      <w:r w:rsidR="003366D9" w:rsidRPr="009118AB">
        <w:rPr>
          <w:i/>
          <w:iCs/>
        </w:rPr>
        <w:t> -;</w:t>
      </w:r>
      <w:r w:rsidRPr="009118AB">
        <w:rPr>
          <w:bCs/>
          <w:i/>
          <w:iCs/>
        </w:rPr>
        <w:t xml:space="preserve"> </w:t>
      </w:r>
      <w:r w:rsidR="00D67EB8" w:rsidRPr="009118AB">
        <w:rPr>
          <w:bCs/>
          <w:i/>
          <w:iCs/>
        </w:rPr>
        <w:t>Abs. </w:t>
      </w:r>
      <w:r w:rsidRPr="009118AB">
        <w:rPr>
          <w:bCs/>
          <w:i/>
          <w:iCs/>
        </w:rPr>
        <w:t xml:space="preserve">2 eingefügt durch </w:t>
      </w:r>
      <w:r w:rsidR="00D67EB8" w:rsidRPr="009118AB">
        <w:rPr>
          <w:bCs/>
          <w:i/>
          <w:iCs/>
        </w:rPr>
        <w:t>Art. </w:t>
      </w:r>
      <w:r w:rsidRPr="009118AB">
        <w:rPr>
          <w:bCs/>
          <w:i/>
          <w:iCs/>
        </w:rPr>
        <w:t>56</w:t>
      </w:r>
      <w:r w:rsidRPr="009118AB">
        <w:rPr>
          <w:i/>
          <w:iCs/>
        </w:rPr>
        <w:t xml:space="preserve"> des G. vom 19. Dezember 2014</w:t>
      </w:r>
      <w:r w:rsidR="004F7F42" w:rsidRPr="009118AB">
        <w:rPr>
          <w:i/>
          <w:iCs/>
        </w:rPr>
        <w:t xml:space="preserve"> (B.S. vom 29. Dezember 2014)</w:t>
      </w:r>
      <w:r w:rsidR="00D67EB8" w:rsidRPr="009118AB">
        <w:rPr>
          <w:i/>
          <w:iCs/>
        </w:rPr>
        <w:t> - </w:t>
      </w:r>
      <w:r w:rsidRPr="009118AB">
        <w:rPr>
          <w:i/>
          <w:iCs/>
        </w:rPr>
        <w:t>anwendbar auf die ab 2015 zuerkannten Kapital- und Zinszuschüsse, sofern diese Zuschüsse frühestens am 1. Januar 2008 notifiziert wurden</w:t>
      </w:r>
      <w:r w:rsidR="003366D9" w:rsidRPr="009118AB">
        <w:rPr>
          <w:i/>
          <w:iCs/>
        </w:rPr>
        <w:t> -;</w:t>
      </w:r>
      <w:r w:rsidR="00A622DE" w:rsidRPr="009118AB">
        <w:rPr>
          <w:i/>
          <w:iCs/>
        </w:rPr>
        <w:t xml:space="preserve"> </w:t>
      </w:r>
      <w:r w:rsidR="00D67EB8" w:rsidRPr="009118AB">
        <w:rPr>
          <w:i/>
          <w:iCs/>
        </w:rPr>
        <w:t>Abs. </w:t>
      </w:r>
      <w:r w:rsidR="00A622DE" w:rsidRPr="009118AB">
        <w:rPr>
          <w:i/>
          <w:iCs/>
        </w:rPr>
        <w:t xml:space="preserve">3 eingefügt durch </w:t>
      </w:r>
      <w:r w:rsidR="00D67EB8" w:rsidRPr="009118AB">
        <w:rPr>
          <w:i/>
          <w:iCs/>
        </w:rPr>
        <w:t>Art. </w:t>
      </w:r>
      <w:r w:rsidR="00A622DE" w:rsidRPr="009118AB">
        <w:rPr>
          <w:i/>
          <w:iCs/>
        </w:rPr>
        <w:t xml:space="preserve">112 </w:t>
      </w:r>
      <w:r w:rsidR="00D67EB8" w:rsidRPr="009118AB">
        <w:rPr>
          <w:i/>
          <w:iCs/>
        </w:rPr>
        <w:t>Nr. </w:t>
      </w:r>
      <w:r w:rsidR="00A622DE" w:rsidRPr="009118AB">
        <w:rPr>
          <w:i/>
          <w:iCs/>
        </w:rPr>
        <w:t>2 des G. vom 19. Dezember 2014 (B.S. vom 29. Dezember 2014)</w:t>
      </w:r>
      <w:r w:rsidR="00D67EB8" w:rsidRPr="009118AB">
        <w:rPr>
          <w:i/>
          <w:iCs/>
        </w:rPr>
        <w:t> - </w:t>
      </w:r>
      <w:r w:rsidR="00A622DE" w:rsidRPr="009118AB">
        <w:rPr>
          <w:i/>
          <w:iCs/>
        </w:rPr>
        <w:t>anwendbar ab dem Steuerjahr 2016</w:t>
      </w:r>
      <w:r w:rsidR="00D67EB8" w:rsidRPr="009118AB">
        <w:rPr>
          <w:i/>
          <w:iCs/>
        </w:rPr>
        <w:t> - </w:t>
      </w:r>
      <w:r w:rsidR="009D0DF8" w:rsidRPr="009118AB">
        <w:rPr>
          <w:i/>
          <w:iCs/>
        </w:rPr>
        <w:t xml:space="preserve">und abgeändert durch </w:t>
      </w:r>
      <w:r w:rsidR="00D67EB8" w:rsidRPr="009118AB">
        <w:rPr>
          <w:i/>
          <w:iCs/>
        </w:rPr>
        <w:t>Art. </w:t>
      </w:r>
      <w:r w:rsidR="009D0DF8" w:rsidRPr="009118AB">
        <w:rPr>
          <w:i/>
          <w:iCs/>
        </w:rPr>
        <w:t>2 des G. vom 30. Juni 2017 (II) (B.S. vom 7. Juli 2017)</w:t>
      </w:r>
      <w:r w:rsidR="00D67EB8" w:rsidRPr="009118AB">
        <w:rPr>
          <w:i/>
          <w:iCs/>
        </w:rPr>
        <w:t> - </w:t>
      </w:r>
      <w:r w:rsidR="009D0DF8" w:rsidRPr="009118AB">
        <w:rPr>
          <w:i/>
          <w:iCs/>
        </w:rPr>
        <w:t>wirksam ab dem Steuerjahr 2016</w:t>
      </w:r>
      <w:r w:rsidR="00FD68E8" w:rsidRPr="009118AB">
        <w:rPr>
          <w:i/>
          <w:iCs/>
        </w:rPr>
        <w:t> -]</w:t>
      </w:r>
    </w:p>
    <w:p w14:paraId="29A960AB" w14:textId="77777777" w:rsidR="0091376B" w:rsidRPr="009118AB" w:rsidRDefault="0091376B" w:rsidP="0091376B">
      <w:pPr>
        <w:autoSpaceDE w:val="0"/>
        <w:autoSpaceDN w:val="0"/>
        <w:adjustRightInd w:val="0"/>
        <w:jc w:val="both"/>
      </w:pPr>
    </w:p>
    <w:p w14:paraId="61EE4461" w14:textId="77777777" w:rsidR="0091376B" w:rsidRPr="009118AB" w:rsidRDefault="0091376B" w:rsidP="00D65F67">
      <w:pPr>
        <w:autoSpaceDE w:val="0"/>
        <w:autoSpaceDN w:val="0"/>
        <w:adjustRightInd w:val="0"/>
        <w:jc w:val="center"/>
        <w:rPr>
          <w:sz w:val="20"/>
          <w:szCs w:val="20"/>
        </w:rPr>
      </w:pPr>
    </w:p>
    <w:p w14:paraId="0CC2294A" w14:textId="0268B0AD" w:rsidR="00477B8F" w:rsidRPr="009118AB" w:rsidRDefault="00477B8F" w:rsidP="00D65F67">
      <w:pPr>
        <w:autoSpaceDE w:val="0"/>
        <w:autoSpaceDN w:val="0"/>
        <w:adjustRightInd w:val="0"/>
        <w:jc w:val="center"/>
      </w:pPr>
      <w:r w:rsidRPr="009118AB">
        <w:br w:type="page"/>
      </w:r>
      <w:r w:rsidRPr="009118AB">
        <w:rPr>
          <w:i/>
          <w:iCs/>
        </w:rPr>
        <w:lastRenderedPageBreak/>
        <w:t>Abschnitt </w:t>
      </w:r>
      <w:r w:rsidR="00D74862" w:rsidRPr="009118AB">
        <w:rPr>
          <w:i/>
          <w:iCs/>
        </w:rPr>
        <w:t>2</w:t>
      </w:r>
      <w:r w:rsidR="00D67EB8" w:rsidRPr="009118AB">
        <w:t> - </w:t>
      </w:r>
      <w:r w:rsidRPr="009118AB">
        <w:t>Immobiliensteuervorabzug</w:t>
      </w:r>
    </w:p>
    <w:p w14:paraId="0FB6AC84" w14:textId="77777777" w:rsidR="00477B8F" w:rsidRPr="009118AB" w:rsidRDefault="00477B8F" w:rsidP="00477B8F">
      <w:pPr>
        <w:autoSpaceDE w:val="0"/>
        <w:autoSpaceDN w:val="0"/>
        <w:adjustRightInd w:val="0"/>
        <w:jc w:val="center"/>
      </w:pPr>
    </w:p>
    <w:p w14:paraId="6E04F301" w14:textId="77777777" w:rsidR="00477B8F" w:rsidRPr="009118AB" w:rsidRDefault="00477B8F" w:rsidP="00477B8F">
      <w:pPr>
        <w:autoSpaceDE w:val="0"/>
        <w:autoSpaceDN w:val="0"/>
        <w:adjustRightInd w:val="0"/>
        <w:jc w:val="center"/>
      </w:pPr>
    </w:p>
    <w:p w14:paraId="4EEB7043" w14:textId="2FE72A24"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277</w:t>
      </w:r>
      <w:r w:rsidR="00D67EB8" w:rsidRPr="009118AB">
        <w:t> - </w:t>
      </w:r>
      <w:r w:rsidRPr="009118AB">
        <w:t>[...]</w:t>
      </w:r>
    </w:p>
    <w:p w14:paraId="393EA0C4" w14:textId="77777777" w:rsidR="00477B8F" w:rsidRPr="009118AB" w:rsidRDefault="00477B8F" w:rsidP="00477B8F">
      <w:pPr>
        <w:autoSpaceDE w:val="0"/>
        <w:autoSpaceDN w:val="0"/>
        <w:adjustRightInd w:val="0"/>
        <w:jc w:val="both"/>
      </w:pPr>
    </w:p>
    <w:p w14:paraId="32AA64A8" w14:textId="4F1A2EEA"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277 aufgehoben durch </w:t>
      </w:r>
      <w:r w:rsidR="00D67EB8" w:rsidRPr="009118AB">
        <w:rPr>
          <w:i/>
          <w:iCs/>
        </w:rPr>
        <w:t>Art. </w:t>
      </w:r>
      <w:r w:rsidRPr="009118AB">
        <w:rPr>
          <w:i/>
          <w:iCs/>
        </w:rPr>
        <w:t>407 des G. vom 27. Dezember 2004 (B.S. vom 31. Dezember 2004)</w:t>
      </w:r>
      <w:r w:rsidR="00D67EB8" w:rsidRPr="009118AB">
        <w:t> - </w:t>
      </w:r>
      <w:r w:rsidRPr="009118AB">
        <w:rPr>
          <w:i/>
          <w:iCs/>
        </w:rPr>
        <w:t>in Kraft ab dem Steuerjahr 2006</w:t>
      </w:r>
      <w:r w:rsidR="00FD68E8" w:rsidRPr="009118AB">
        <w:rPr>
          <w:i/>
          <w:iCs/>
        </w:rPr>
        <w:t> -]</w:t>
      </w:r>
    </w:p>
    <w:p w14:paraId="4DE4589F" w14:textId="77777777" w:rsidR="00477B8F" w:rsidRPr="009118AB" w:rsidRDefault="00477B8F" w:rsidP="00477B8F">
      <w:pPr>
        <w:autoSpaceDE w:val="0"/>
        <w:autoSpaceDN w:val="0"/>
        <w:adjustRightInd w:val="0"/>
        <w:jc w:val="both"/>
      </w:pPr>
    </w:p>
    <w:p w14:paraId="4C28B290" w14:textId="77777777" w:rsidR="00477B8F" w:rsidRPr="009118AB" w:rsidRDefault="00477B8F" w:rsidP="00477B8F">
      <w:pPr>
        <w:autoSpaceDE w:val="0"/>
        <w:autoSpaceDN w:val="0"/>
        <w:adjustRightInd w:val="0"/>
        <w:jc w:val="both"/>
      </w:pPr>
    </w:p>
    <w:p w14:paraId="5057203E" w14:textId="2B4764F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278</w:t>
      </w:r>
      <w:r w:rsidR="00D67EB8" w:rsidRPr="009118AB">
        <w:t> - </w:t>
      </w:r>
      <w:r w:rsidRPr="009118AB">
        <w:t>[...]</w:t>
      </w:r>
    </w:p>
    <w:p w14:paraId="397CD3E0" w14:textId="77777777" w:rsidR="00477B8F" w:rsidRPr="009118AB" w:rsidRDefault="00477B8F" w:rsidP="00477B8F">
      <w:pPr>
        <w:autoSpaceDE w:val="0"/>
        <w:autoSpaceDN w:val="0"/>
        <w:adjustRightInd w:val="0"/>
        <w:jc w:val="both"/>
      </w:pPr>
    </w:p>
    <w:p w14:paraId="04D8FAB1" w14:textId="5BE93E94"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278 aufgehoben durch </w:t>
      </w:r>
      <w:r w:rsidR="00D67EB8" w:rsidRPr="009118AB">
        <w:rPr>
          <w:i/>
          <w:iCs/>
        </w:rPr>
        <w:t>Art. </w:t>
      </w:r>
      <w:r w:rsidRPr="009118AB">
        <w:rPr>
          <w:i/>
          <w:iCs/>
        </w:rPr>
        <w:t>11 des G. vom 22. Juli </w:t>
      </w:r>
      <w:r w:rsidR="004F7F42" w:rsidRPr="009118AB">
        <w:rPr>
          <w:i/>
          <w:iCs/>
        </w:rPr>
        <w:t>1993 (B.S. vom 26. Juli 1993)</w:t>
      </w:r>
      <w:r w:rsidR="00D67EB8" w:rsidRPr="009118AB">
        <w:rPr>
          <w:i/>
          <w:iCs/>
        </w:rPr>
        <w:t> - </w:t>
      </w:r>
      <w:r w:rsidRPr="009118AB">
        <w:rPr>
          <w:i/>
          <w:iCs/>
        </w:rPr>
        <w:t>anwendbar ab dem Steuerjahr 1994</w:t>
      </w:r>
      <w:r w:rsidR="00FD68E8" w:rsidRPr="009118AB">
        <w:rPr>
          <w:i/>
          <w:iCs/>
        </w:rPr>
        <w:t> -]</w:t>
      </w:r>
    </w:p>
    <w:p w14:paraId="13160244" w14:textId="382FAC0A" w:rsidR="00477B8F" w:rsidRPr="009118AB" w:rsidRDefault="00477B8F" w:rsidP="00477B8F">
      <w:pPr>
        <w:autoSpaceDE w:val="0"/>
        <w:autoSpaceDN w:val="0"/>
        <w:adjustRightInd w:val="0"/>
        <w:jc w:val="center"/>
      </w:pPr>
      <w:r w:rsidRPr="009118AB">
        <w:br w:type="page"/>
      </w:r>
      <w:r w:rsidRPr="009118AB">
        <w:rPr>
          <w:i/>
          <w:iCs/>
        </w:rPr>
        <w:lastRenderedPageBreak/>
        <w:t>Abschnitt </w:t>
      </w:r>
      <w:r w:rsidR="00D74862" w:rsidRPr="009118AB">
        <w:rPr>
          <w:i/>
          <w:iCs/>
        </w:rPr>
        <w:t>3</w:t>
      </w:r>
      <w:r w:rsidR="00D67EB8" w:rsidRPr="009118AB">
        <w:t> - </w:t>
      </w:r>
      <w:r w:rsidRPr="009118AB">
        <w:t>Mobiliensteuervorabzug</w:t>
      </w:r>
    </w:p>
    <w:p w14:paraId="4E619363" w14:textId="77777777" w:rsidR="00477B8F" w:rsidRPr="009118AB" w:rsidRDefault="00477B8F" w:rsidP="00477B8F">
      <w:pPr>
        <w:autoSpaceDE w:val="0"/>
        <w:autoSpaceDN w:val="0"/>
        <w:adjustRightInd w:val="0"/>
        <w:jc w:val="center"/>
      </w:pPr>
    </w:p>
    <w:p w14:paraId="10602F02" w14:textId="77777777" w:rsidR="00477B8F" w:rsidRPr="009118AB" w:rsidRDefault="00477B8F" w:rsidP="00477B8F">
      <w:pPr>
        <w:autoSpaceDE w:val="0"/>
        <w:autoSpaceDN w:val="0"/>
        <w:adjustRightInd w:val="0"/>
        <w:jc w:val="center"/>
      </w:pPr>
    </w:p>
    <w:p w14:paraId="54F824BC" w14:textId="3570C38F"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279</w:t>
      </w:r>
      <w:r w:rsidR="00D67EB8" w:rsidRPr="009118AB">
        <w:t> - </w:t>
      </w:r>
      <w:r w:rsidRPr="009118AB">
        <w:t>Als Mobiliensteuervorabzug wird der gemäß Artikel 269 festgelegte Betrag des Mobiliensteuervorabzugs angerechnet.</w:t>
      </w:r>
    </w:p>
    <w:p w14:paraId="4EA6254D" w14:textId="77777777" w:rsidR="00477B8F" w:rsidRPr="009118AB" w:rsidRDefault="00477B8F" w:rsidP="00477B8F">
      <w:pPr>
        <w:autoSpaceDE w:val="0"/>
        <w:autoSpaceDN w:val="0"/>
        <w:adjustRightInd w:val="0"/>
        <w:jc w:val="both"/>
      </w:pPr>
    </w:p>
    <w:p w14:paraId="56F1CF1E" w14:textId="77777777" w:rsidR="00477B8F" w:rsidRPr="009118AB" w:rsidRDefault="00477B8F" w:rsidP="00477B8F">
      <w:pPr>
        <w:autoSpaceDE w:val="0"/>
        <w:autoSpaceDN w:val="0"/>
        <w:adjustRightInd w:val="0"/>
        <w:jc w:val="both"/>
      </w:pPr>
    </w:p>
    <w:p w14:paraId="38E7DBEB" w14:textId="77777777" w:rsidR="00CD5D19" w:rsidRDefault="00CD5D19">
      <w:r>
        <w:br w:type="page"/>
      </w:r>
    </w:p>
    <w:p w14:paraId="15A38B11" w14:textId="097A6E58" w:rsidR="00477B8F" w:rsidRPr="009118AB" w:rsidRDefault="00477B8F" w:rsidP="00477B8F">
      <w:pPr>
        <w:autoSpaceDE w:val="0"/>
        <w:autoSpaceDN w:val="0"/>
        <w:adjustRightInd w:val="0"/>
        <w:jc w:val="both"/>
      </w:pPr>
      <w:r w:rsidRPr="009118AB">
        <w:lastRenderedPageBreak/>
        <w:tab/>
      </w:r>
      <w:r w:rsidR="00D67EB8" w:rsidRPr="009118AB">
        <w:rPr>
          <w:b/>
          <w:bCs/>
        </w:rPr>
        <w:t>Art. </w:t>
      </w:r>
      <w:r w:rsidRPr="009118AB">
        <w:rPr>
          <w:b/>
          <w:bCs/>
        </w:rPr>
        <w:t>280</w:t>
      </w:r>
      <w:r w:rsidR="00D67EB8" w:rsidRPr="009118AB">
        <w:t> - </w:t>
      </w:r>
      <w:r w:rsidRPr="009118AB">
        <w:t>Zu Lasten des Empfängers von Einkünften aus Kapitalvermögen und beweglichen Gütern, die keine [Dividenden und keine] Einkünfte aus Vermietung, Verpachtung, Nutzung und Überlassung von beweglichen Gütern sind, wird der Mobiliensteuervorabzug nur bis zu dem Betrag des Vorabzugs angerechnet, der sich auf Einkünfte bezieht, die proportional zu dem Zeitraum steuerpflichtig sind, in dem der Steuerpflichtige Eigentümer oder Nießbraucher des Kapitalvermögens und der beweglichen Güter war oder in dem er die Eigenschaft eines Gläubigers hatte.</w:t>
      </w:r>
    </w:p>
    <w:p w14:paraId="3E1AC47F" w14:textId="77777777" w:rsidR="00477B8F" w:rsidRPr="009118AB" w:rsidRDefault="00477B8F" w:rsidP="00477B8F">
      <w:pPr>
        <w:autoSpaceDE w:val="0"/>
        <w:autoSpaceDN w:val="0"/>
        <w:adjustRightInd w:val="0"/>
        <w:jc w:val="both"/>
      </w:pPr>
    </w:p>
    <w:p w14:paraId="23F11441" w14:textId="77777777" w:rsidR="00477B8F" w:rsidRPr="009118AB" w:rsidRDefault="00477B8F" w:rsidP="00477B8F">
      <w:pPr>
        <w:autoSpaceDE w:val="0"/>
        <w:autoSpaceDN w:val="0"/>
        <w:adjustRightInd w:val="0"/>
        <w:jc w:val="both"/>
      </w:pPr>
      <w:r w:rsidRPr="009118AB">
        <w:tab/>
        <w:t>[Nutzt der Empfänger von Einkünften aus Kapitalvermögen und beweglichen Gütern dieses Kapitalvermögen und diese beweglichen Güter jedoch zur Ausübung seiner Berufstätigkeit, wird der Mobiliensteuervorabzug nur bis zu dem Betrag des Vorabzugs angerechnet, der sich auf Einkünfte bezieht, die proportional zu dem Zeitraum steuerpflichtig sind, in dem der Steuerpflichtige das Volleigentum am Kapitalvermögen und an den beweglichen Gütern besaß].</w:t>
      </w:r>
    </w:p>
    <w:p w14:paraId="72A2CC77" w14:textId="77777777" w:rsidR="00477B8F" w:rsidRPr="009118AB" w:rsidRDefault="00477B8F" w:rsidP="00477B8F">
      <w:pPr>
        <w:autoSpaceDE w:val="0"/>
        <w:autoSpaceDN w:val="0"/>
        <w:adjustRightInd w:val="0"/>
        <w:jc w:val="both"/>
      </w:pPr>
    </w:p>
    <w:p w14:paraId="6A8ADCAD" w14:textId="77777777" w:rsidR="00477B8F" w:rsidRPr="009118AB" w:rsidRDefault="00477B8F" w:rsidP="00477B8F">
      <w:pPr>
        <w:autoSpaceDE w:val="0"/>
        <w:autoSpaceDN w:val="0"/>
        <w:adjustRightInd w:val="0"/>
        <w:jc w:val="both"/>
      </w:pPr>
      <w:r w:rsidRPr="009118AB">
        <w:tab/>
        <w:t>[Für die Anwendung der Absätze 1 und 2 stimmt für die in Artikel 266 Absatz 2 erwähnten Einkünfte der Zeitraum, auf den die Einkünfte sich beziehen, mit dem Zeitraum überein, der am Tag der Ausgabe der Wertpapiere beginnt und am Tag der Zuerkennung oder Ausschüttung der Einkünfte endet.]</w:t>
      </w:r>
    </w:p>
    <w:p w14:paraId="6C40C4F8" w14:textId="77777777" w:rsidR="00477B8F" w:rsidRPr="009118AB" w:rsidRDefault="00477B8F" w:rsidP="00477B8F">
      <w:pPr>
        <w:autoSpaceDE w:val="0"/>
        <w:autoSpaceDN w:val="0"/>
        <w:adjustRightInd w:val="0"/>
        <w:jc w:val="both"/>
      </w:pPr>
    </w:p>
    <w:p w14:paraId="0BD13C0F" w14:textId="77777777" w:rsidR="00477B8F" w:rsidRPr="009118AB" w:rsidRDefault="00477B8F" w:rsidP="00477B8F">
      <w:pPr>
        <w:autoSpaceDE w:val="0"/>
        <w:autoSpaceDN w:val="0"/>
        <w:adjustRightInd w:val="0"/>
        <w:jc w:val="both"/>
      </w:pPr>
      <w:r w:rsidRPr="009118AB">
        <w:tab/>
        <w:t>[Außerdem wird für die Anwendung von Absatz 2 zu Lasten des Empfängers von Einkünften aus Kapitalvermögen und beweglichen Gütern, die aufgrund einer Vereinbarung über die Leistung von dinglichen Sicherheiten oder eines Verleihs mit Bezug auf Finanzinstrumente sein Eigentum geworden sind, der Mobiliensteuervorabzug bis zu dem Betrag des Vorabzugs angerechnet, der sich proportional auf den Gesamtzeitraum bezieht, der aus dem Zeitraum besteht, der gemäß vorerwähntem Absatz bestimmt wird, und dem Zeitraum, in dem der Verleiher, Zedent oder Pfandschuldner das Volleigentum an diesen Finanzinstrumenten besaß.]</w:t>
      </w:r>
    </w:p>
    <w:p w14:paraId="74F9B688" w14:textId="77777777" w:rsidR="00477B8F" w:rsidRPr="009118AB" w:rsidRDefault="00477B8F" w:rsidP="00477B8F">
      <w:pPr>
        <w:autoSpaceDE w:val="0"/>
        <w:autoSpaceDN w:val="0"/>
        <w:adjustRightInd w:val="0"/>
        <w:jc w:val="both"/>
      </w:pPr>
    </w:p>
    <w:p w14:paraId="2ADC6A41" w14:textId="433C2050" w:rsidR="00477B8F" w:rsidRPr="00DB693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280 </w:t>
      </w:r>
      <w:r w:rsidR="00D67EB8" w:rsidRPr="009118AB">
        <w:rPr>
          <w:i/>
          <w:iCs/>
        </w:rPr>
        <w:t>Abs. </w:t>
      </w:r>
      <w:r w:rsidRPr="009118AB">
        <w:rPr>
          <w:i/>
          <w:iCs/>
        </w:rPr>
        <w:t xml:space="preserve">1 abgeändert durch </w:t>
      </w:r>
      <w:r w:rsidR="00D67EB8" w:rsidRPr="009118AB">
        <w:rPr>
          <w:i/>
          <w:iCs/>
        </w:rPr>
        <w:t>Art. </w:t>
      </w:r>
      <w:r w:rsidRPr="009118AB">
        <w:rPr>
          <w:i/>
          <w:iCs/>
        </w:rPr>
        <w:t xml:space="preserve">44 </w:t>
      </w:r>
      <w:r w:rsidR="00D67EB8" w:rsidRPr="009118AB">
        <w:rPr>
          <w:i/>
          <w:iCs/>
        </w:rPr>
        <w:t>Nr. </w:t>
      </w:r>
      <w:r w:rsidRPr="009118AB">
        <w:rPr>
          <w:i/>
          <w:iCs/>
        </w:rPr>
        <w:t>1 des G. vom 6. Juli 1994 (B.S. vom 16. Juli 1994)</w:t>
      </w:r>
      <w:r w:rsidR="00D67EB8" w:rsidRPr="009118AB">
        <w:rPr>
          <w:i/>
          <w:iCs/>
        </w:rPr>
        <w:t> - </w:t>
      </w:r>
      <w:r w:rsidRPr="009118AB">
        <w:rPr>
          <w:i/>
          <w:iCs/>
        </w:rPr>
        <w:t>anwendbar ab dem Steuerjahr 1992</w:t>
      </w:r>
      <w:r w:rsidR="003366D9" w:rsidRPr="009118AB">
        <w:rPr>
          <w:i/>
          <w:iCs/>
        </w:rPr>
        <w:t> -;</w:t>
      </w:r>
      <w:r w:rsidRPr="009118AB">
        <w:rPr>
          <w:i/>
          <w:iCs/>
        </w:rPr>
        <w:t xml:space="preserve"> </w:t>
      </w:r>
      <w:r w:rsidR="00D67EB8" w:rsidRPr="009118AB">
        <w:rPr>
          <w:i/>
          <w:iCs/>
        </w:rPr>
        <w:t>Abs. </w:t>
      </w:r>
      <w:r w:rsidRPr="009118AB">
        <w:rPr>
          <w:i/>
          <w:iCs/>
        </w:rPr>
        <w:t xml:space="preserve">2 ersetzt durch </w:t>
      </w:r>
      <w:r w:rsidR="00D67EB8" w:rsidRPr="009118AB">
        <w:rPr>
          <w:i/>
          <w:iCs/>
        </w:rPr>
        <w:t>Art. </w:t>
      </w:r>
      <w:r w:rsidRPr="009118AB">
        <w:rPr>
          <w:i/>
          <w:iCs/>
        </w:rPr>
        <w:t xml:space="preserve">44 </w:t>
      </w:r>
      <w:r w:rsidR="00D67EB8" w:rsidRPr="009118AB">
        <w:rPr>
          <w:i/>
          <w:iCs/>
        </w:rPr>
        <w:t>Nr. </w:t>
      </w:r>
      <w:r w:rsidRPr="009118AB">
        <w:rPr>
          <w:i/>
          <w:iCs/>
        </w:rPr>
        <w:t>2 des G. vom 6. Juli 1994 (B.S. vom 16. Juli 1994)</w:t>
      </w:r>
      <w:r w:rsidR="00D67EB8" w:rsidRPr="009118AB">
        <w:rPr>
          <w:i/>
          <w:iCs/>
        </w:rPr>
        <w:t> - </w:t>
      </w:r>
      <w:r w:rsidRPr="009118AB">
        <w:rPr>
          <w:i/>
          <w:iCs/>
        </w:rPr>
        <w:t>anwendbar ab dem Steuerjahr 1992</w:t>
      </w:r>
      <w:r w:rsidR="003366D9" w:rsidRPr="009118AB">
        <w:rPr>
          <w:i/>
          <w:iCs/>
        </w:rPr>
        <w:t> -;</w:t>
      </w:r>
      <w:r w:rsidRPr="009118AB">
        <w:rPr>
          <w:i/>
          <w:iCs/>
        </w:rPr>
        <w:t xml:space="preserve"> </w:t>
      </w:r>
      <w:r w:rsidR="00CB1997" w:rsidRPr="002853ED">
        <w:rPr>
          <w:i/>
          <w:iCs/>
        </w:rPr>
        <w:t>Abs. 3 eingefügt durch Art. 4 des G. vom 4. Juli 2004 (B.S. vom 7. September 2004), selbst für nichtig erklärt durch Entscheid Nr. 7/2006 des Schiedshofes vom 18. Januar 2006 (B.S. vom 1. Februar 2006</w:t>
      </w:r>
      <w:r w:rsidR="000852E6">
        <w:rPr>
          <w:i/>
          <w:iCs/>
        </w:rPr>
        <w:t>)</w:t>
      </w:r>
      <w:r w:rsidR="000852E6" w:rsidRPr="000852E6">
        <w:rPr>
          <w:i/>
          <w:iCs/>
        </w:rPr>
        <w:t xml:space="preserve">, außer wenn das Immobilienzertifikat durch den Steuerpflichtigen, für den der Mobiliensteuervorabzug befreiend ist, vor seinem Fälligkeitstermin an einen Steuerpflichtigen, auf den dies nicht zutrifft, übertragen wurde </w:t>
      </w:r>
      <w:r w:rsidR="003366D9" w:rsidRPr="009118AB">
        <w:rPr>
          <w:i/>
          <w:iCs/>
        </w:rPr>
        <w:t>;</w:t>
      </w:r>
      <w:r w:rsidRPr="009118AB">
        <w:rPr>
          <w:i/>
          <w:iCs/>
        </w:rPr>
        <w:t xml:space="preserve"> </w:t>
      </w:r>
      <w:r w:rsidR="00D67EB8" w:rsidRPr="009118AB">
        <w:rPr>
          <w:i/>
          <w:iCs/>
        </w:rPr>
        <w:t>Abs. </w:t>
      </w:r>
      <w:r w:rsidRPr="009118AB">
        <w:rPr>
          <w:i/>
          <w:iCs/>
        </w:rPr>
        <w:t xml:space="preserve">4 eingefügt durch </w:t>
      </w:r>
      <w:r w:rsidR="00D67EB8" w:rsidRPr="009118AB">
        <w:rPr>
          <w:i/>
          <w:iCs/>
        </w:rPr>
        <w:t>Art. </w:t>
      </w:r>
      <w:r w:rsidRPr="009118AB">
        <w:rPr>
          <w:i/>
          <w:iCs/>
        </w:rPr>
        <w:t>59 des G. vom 15. Dezember 2004 (B.S. vom 1. Februar 2005)</w:t>
      </w:r>
      <w:r w:rsidR="00D67EB8" w:rsidRPr="009118AB">
        <w:rPr>
          <w:i/>
          <w:iCs/>
        </w:rPr>
        <w:t> - </w:t>
      </w:r>
      <w:r w:rsidRPr="009118AB">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118AB">
        <w:rPr>
          <w:i/>
          <w:iCs/>
        </w:rPr>
        <w:t> -</w:t>
      </w:r>
      <w:r w:rsidRPr="00DB693B">
        <w:rPr>
          <w:i/>
          <w:iCs/>
        </w:rPr>
        <w:t>]</w:t>
      </w:r>
    </w:p>
    <w:p w14:paraId="682D9060" w14:textId="77777777" w:rsidR="000852E6" w:rsidRDefault="000852E6" w:rsidP="001D52E0">
      <w:pPr>
        <w:autoSpaceDE w:val="0"/>
        <w:autoSpaceDN w:val="0"/>
        <w:adjustRightInd w:val="0"/>
        <w:jc w:val="both"/>
        <w:rPr>
          <w:b/>
          <w:bCs/>
        </w:rPr>
      </w:pPr>
    </w:p>
    <w:p w14:paraId="6385DB0A" w14:textId="77777777" w:rsidR="000852E6" w:rsidRDefault="000852E6" w:rsidP="001D52E0">
      <w:pPr>
        <w:autoSpaceDE w:val="0"/>
        <w:autoSpaceDN w:val="0"/>
        <w:adjustRightInd w:val="0"/>
        <w:jc w:val="both"/>
        <w:rPr>
          <w:b/>
          <w:bCs/>
        </w:rPr>
      </w:pPr>
    </w:p>
    <w:p w14:paraId="64E51A59" w14:textId="6F94D61F" w:rsidR="00477B8F" w:rsidRPr="009118AB" w:rsidRDefault="000852E6" w:rsidP="000852E6">
      <w:pPr>
        <w:autoSpaceDE w:val="0"/>
        <w:autoSpaceDN w:val="0"/>
        <w:adjustRightInd w:val="0"/>
        <w:ind w:firstLine="709"/>
        <w:jc w:val="both"/>
      </w:pPr>
      <w:r>
        <w:rPr>
          <w:b/>
          <w:bCs/>
        </w:rPr>
        <w:t>A</w:t>
      </w:r>
      <w:r w:rsidR="00D67EB8" w:rsidRPr="009118AB">
        <w:rPr>
          <w:b/>
          <w:bCs/>
        </w:rPr>
        <w:t>rt. </w:t>
      </w:r>
      <w:r w:rsidR="00477B8F" w:rsidRPr="009118AB">
        <w:rPr>
          <w:b/>
          <w:bCs/>
        </w:rPr>
        <w:t>281</w:t>
      </w:r>
      <w:r w:rsidR="00D67EB8" w:rsidRPr="009118AB">
        <w:t> - </w:t>
      </w:r>
      <w:r w:rsidR="00477B8F" w:rsidRPr="009118AB">
        <w:t xml:space="preserve">Der Mobiliensteuervorabzug in Bezug auf Dividenden, deren Wertpapiere </w:t>
      </w:r>
      <w:r w:rsidR="00D745A2" w:rsidRPr="009118AB">
        <w:t>[der Empfänger zur Ausübung seiner beruflichen Tätigkeit nutzt, wird nur unter der Bedingung angerechnet, dass der Steuerpflichtige am Datum der Identifizierung der Dividendenberechtigten]</w:t>
      </w:r>
      <w:r w:rsidR="00477B8F" w:rsidRPr="009118AB">
        <w:t xml:space="preserve"> das Volleigentum an diesen Wertpapieren besaß.</w:t>
      </w:r>
    </w:p>
    <w:p w14:paraId="4430C743" w14:textId="77777777" w:rsidR="00477B8F" w:rsidRPr="009118AB" w:rsidRDefault="00477B8F" w:rsidP="001D52E0">
      <w:pPr>
        <w:autoSpaceDE w:val="0"/>
        <w:autoSpaceDN w:val="0"/>
        <w:adjustRightInd w:val="0"/>
        <w:jc w:val="both"/>
      </w:pPr>
    </w:p>
    <w:p w14:paraId="35EE28D7" w14:textId="77777777" w:rsidR="000852E6" w:rsidRDefault="000852E6">
      <w:r>
        <w:br w:type="page"/>
      </w:r>
    </w:p>
    <w:p w14:paraId="1E5923A4" w14:textId="3BE75D2C" w:rsidR="00477B8F" w:rsidRPr="009118AB" w:rsidRDefault="00477B8F" w:rsidP="001D52E0">
      <w:pPr>
        <w:autoSpaceDE w:val="0"/>
        <w:autoSpaceDN w:val="0"/>
        <w:adjustRightInd w:val="0"/>
        <w:jc w:val="both"/>
      </w:pPr>
      <w:r w:rsidRPr="009118AB">
        <w:lastRenderedPageBreak/>
        <w:tab/>
        <w:t>[...]</w:t>
      </w:r>
    </w:p>
    <w:p w14:paraId="5CB91D4C" w14:textId="77777777" w:rsidR="00477B8F" w:rsidRPr="009118AB" w:rsidRDefault="00477B8F" w:rsidP="001D52E0">
      <w:pPr>
        <w:autoSpaceDE w:val="0"/>
        <w:autoSpaceDN w:val="0"/>
        <w:adjustRightInd w:val="0"/>
        <w:jc w:val="both"/>
      </w:pPr>
    </w:p>
    <w:p w14:paraId="44A5DAD4" w14:textId="4978DD5A" w:rsidR="00477B8F" w:rsidRPr="009118AB" w:rsidRDefault="00477B8F" w:rsidP="001D52E0">
      <w:pPr>
        <w:autoSpaceDE w:val="0"/>
        <w:autoSpaceDN w:val="0"/>
        <w:adjustRightInd w:val="0"/>
        <w:jc w:val="both"/>
      </w:pPr>
      <w:r w:rsidRPr="009118AB">
        <w:rPr>
          <w:i/>
          <w:iCs/>
        </w:rPr>
        <w:t>[</w:t>
      </w:r>
      <w:r w:rsidR="00D67EB8" w:rsidRPr="009118AB">
        <w:rPr>
          <w:i/>
          <w:iCs/>
        </w:rPr>
        <w:t>Art. </w:t>
      </w:r>
      <w:r w:rsidRPr="009118AB">
        <w:rPr>
          <w:i/>
          <w:iCs/>
        </w:rPr>
        <w:t xml:space="preserve">281 </w:t>
      </w:r>
      <w:r w:rsidR="00D745A2" w:rsidRPr="009118AB">
        <w:rPr>
          <w:i/>
          <w:iCs/>
        </w:rPr>
        <w:t xml:space="preserve">abgeändert durch </w:t>
      </w:r>
      <w:r w:rsidR="00D67EB8" w:rsidRPr="009118AB">
        <w:rPr>
          <w:i/>
          <w:iCs/>
        </w:rPr>
        <w:t>Art. </w:t>
      </w:r>
      <w:r w:rsidR="00D745A2" w:rsidRPr="009118AB">
        <w:rPr>
          <w:i/>
          <w:iCs/>
        </w:rPr>
        <w:t>4 des G. vom 11. Januar 2019 (B.S. vom 22. Januar 2019)</w:t>
      </w:r>
      <w:r w:rsidR="00D67EB8" w:rsidRPr="009118AB">
        <w:rPr>
          <w:i/>
          <w:iCs/>
        </w:rPr>
        <w:t> - </w:t>
      </w:r>
      <w:r w:rsidR="00D745A2" w:rsidRPr="009118AB">
        <w:rPr>
          <w:i/>
          <w:iCs/>
        </w:rPr>
        <w:t>in Kraft am 22. Januar 2019</w:t>
      </w:r>
      <w:r w:rsidR="003366D9" w:rsidRPr="009118AB">
        <w:rPr>
          <w:i/>
          <w:iCs/>
        </w:rPr>
        <w:t> -;</w:t>
      </w:r>
      <w:r w:rsidR="00D745A2" w:rsidRPr="009118AB">
        <w:rPr>
          <w:i/>
          <w:iCs/>
        </w:rPr>
        <w:t xml:space="preserve"> </w:t>
      </w:r>
      <w:r w:rsidRPr="009118AB">
        <w:rPr>
          <w:i/>
          <w:iCs/>
        </w:rPr>
        <w:t xml:space="preserve">früherer Absatz 2 eingefügt durch </w:t>
      </w:r>
      <w:r w:rsidR="00D67EB8" w:rsidRPr="009118AB">
        <w:rPr>
          <w:i/>
          <w:iCs/>
        </w:rPr>
        <w:t>Art. </w:t>
      </w:r>
      <w:r w:rsidRPr="009118AB">
        <w:rPr>
          <w:i/>
          <w:iCs/>
        </w:rPr>
        <w:t>59 des G. vom 10. März 1999 (B.S. vom 14. April 1999)</w:t>
      </w:r>
      <w:r w:rsidR="00D67EB8" w:rsidRPr="009118AB">
        <w:rPr>
          <w:i/>
          <w:iCs/>
        </w:rPr>
        <w:t> - </w:t>
      </w:r>
      <w:r w:rsidRPr="009118AB">
        <w:rPr>
          <w:i/>
          <w:iCs/>
        </w:rPr>
        <w:t>in Kraft ab dem 14. April 1999</w:t>
      </w:r>
      <w:r w:rsidR="00D67EB8" w:rsidRPr="009118AB">
        <w:rPr>
          <w:i/>
          <w:iCs/>
        </w:rPr>
        <w:t> - </w:t>
      </w:r>
      <w:r w:rsidRPr="009118AB">
        <w:rPr>
          <w:i/>
          <w:iCs/>
        </w:rPr>
        <w:t xml:space="preserve">und aufgehoben durch </w:t>
      </w:r>
      <w:r w:rsidR="00D67EB8" w:rsidRPr="009118AB">
        <w:rPr>
          <w:i/>
          <w:iCs/>
        </w:rPr>
        <w:t>Art. </w:t>
      </w:r>
      <w:r w:rsidRPr="009118AB">
        <w:rPr>
          <w:i/>
          <w:iCs/>
        </w:rPr>
        <w:t>60 des G. vom 15. Dezember 2004 (B.S. vom 1. Februar 2005)</w:t>
      </w:r>
      <w:r w:rsidR="00D67EB8" w:rsidRPr="009118AB">
        <w:rPr>
          <w:i/>
          <w:iCs/>
        </w:rPr>
        <w:t> - </w:t>
      </w:r>
      <w:r w:rsidRPr="009118AB">
        <w:rPr>
          <w:i/>
          <w:iCs/>
        </w:rPr>
        <w:t>anwendbar auf Aktien- oder Anteilverleihe, die ab dem 1. Februar 2005 abgeschlossen werden</w:t>
      </w:r>
      <w:r w:rsidR="00FD68E8" w:rsidRPr="009118AB">
        <w:rPr>
          <w:i/>
          <w:iCs/>
        </w:rPr>
        <w:t> -]</w:t>
      </w:r>
    </w:p>
    <w:p w14:paraId="29C8D846" w14:textId="77777777" w:rsidR="00477B8F" w:rsidRPr="009118AB" w:rsidRDefault="00477B8F" w:rsidP="001D52E0">
      <w:pPr>
        <w:autoSpaceDE w:val="0"/>
        <w:autoSpaceDN w:val="0"/>
        <w:adjustRightInd w:val="0"/>
        <w:jc w:val="both"/>
      </w:pPr>
    </w:p>
    <w:p w14:paraId="191DC66E" w14:textId="77777777" w:rsidR="00477B8F" w:rsidRPr="009118AB" w:rsidRDefault="00477B8F" w:rsidP="001D52E0">
      <w:pPr>
        <w:autoSpaceDE w:val="0"/>
        <w:autoSpaceDN w:val="0"/>
        <w:adjustRightInd w:val="0"/>
        <w:jc w:val="both"/>
      </w:pPr>
    </w:p>
    <w:p w14:paraId="26522B00" w14:textId="258CB378" w:rsidR="00D745A2" w:rsidRPr="009118AB" w:rsidRDefault="00D745A2" w:rsidP="00D745A2">
      <w:pPr>
        <w:jc w:val="both"/>
      </w:pPr>
      <w:r w:rsidRPr="009118AB">
        <w:tab/>
        <w:t>[</w:t>
      </w:r>
      <w:r w:rsidR="00D67EB8" w:rsidRPr="009118AB">
        <w:rPr>
          <w:b/>
          <w:bCs/>
        </w:rPr>
        <w:t>Art. </w:t>
      </w:r>
      <w:r w:rsidRPr="009118AB">
        <w:rPr>
          <w:b/>
          <w:bCs/>
        </w:rPr>
        <w:t>281/1</w:t>
      </w:r>
      <w:r w:rsidR="00D67EB8" w:rsidRPr="009118AB">
        <w:t> - </w:t>
      </w:r>
      <w:r w:rsidRPr="009118AB">
        <w:t>Kein Mobiliensteuervorabzug wird angerechnet in Bezug auf Dividenden, wenn der Empfänger, dessen Gesellschaftszweck ausschließlich oder hauptsächlich in der Verwaltung und Anlage von Geldern besteht, die mit dem Ziel gesammelt werden, gesetzliche oder ergänzende Pensionen auszuzahlen, die Wertpapiere, aus denen die Dividenden hervorgehen, nicht während eines ununterbrochenen Zeitraums von mindestens sechzig Tagen in Volleigentum gehalten hat.</w:t>
      </w:r>
    </w:p>
    <w:p w14:paraId="39486BF4" w14:textId="77777777" w:rsidR="00D745A2" w:rsidRPr="009118AB" w:rsidRDefault="00D745A2" w:rsidP="00D745A2">
      <w:pPr>
        <w:jc w:val="both"/>
      </w:pPr>
    </w:p>
    <w:p w14:paraId="2A623806" w14:textId="77777777" w:rsidR="00D745A2" w:rsidRPr="009118AB" w:rsidRDefault="00D745A2" w:rsidP="00D745A2">
      <w:pPr>
        <w:autoSpaceDE w:val="0"/>
        <w:autoSpaceDN w:val="0"/>
        <w:adjustRightInd w:val="0"/>
        <w:jc w:val="both"/>
      </w:pPr>
      <w:r w:rsidRPr="009118AB">
        <w:tab/>
        <w:t>Absatz 1 ist nicht anwendbar auf Dividenden, für die der Empfänger nachgewiesen hat, dass sie nicht mit einer Rechtshandlung oder einer Gesamtheit von Rechtshandlungen verbunden sind, die unangemessen ist und bei der der wesentliche Zweck oder einer der wesentlichen Zwecke darin besteht, die Anrechnung des Mobiliensteuervorabzugs auf diese Dividenden zu erlangen.]</w:t>
      </w:r>
    </w:p>
    <w:p w14:paraId="150C037E" w14:textId="77777777" w:rsidR="00D745A2" w:rsidRPr="009118AB" w:rsidRDefault="00D745A2" w:rsidP="00D745A2">
      <w:pPr>
        <w:autoSpaceDE w:val="0"/>
        <w:autoSpaceDN w:val="0"/>
        <w:adjustRightInd w:val="0"/>
        <w:jc w:val="both"/>
      </w:pPr>
    </w:p>
    <w:p w14:paraId="08EEACED" w14:textId="28829398" w:rsidR="00D745A2" w:rsidRPr="009118AB" w:rsidRDefault="00D745A2" w:rsidP="00D745A2">
      <w:pPr>
        <w:autoSpaceDE w:val="0"/>
        <w:autoSpaceDN w:val="0"/>
        <w:adjustRightInd w:val="0"/>
        <w:jc w:val="both"/>
        <w:rPr>
          <w:i/>
          <w:iCs/>
        </w:rPr>
      </w:pPr>
      <w:r w:rsidRPr="009118AB">
        <w:rPr>
          <w:i/>
          <w:iCs/>
        </w:rPr>
        <w:t>[</w:t>
      </w:r>
      <w:r w:rsidR="00D67EB8" w:rsidRPr="009118AB">
        <w:rPr>
          <w:i/>
          <w:iCs/>
        </w:rPr>
        <w:t>Art. </w:t>
      </w:r>
      <w:r w:rsidRPr="009118AB">
        <w:rPr>
          <w:i/>
          <w:iCs/>
        </w:rPr>
        <w:t xml:space="preserve">281/1 eingefügt durch </w:t>
      </w:r>
      <w:r w:rsidR="00D67EB8" w:rsidRPr="009118AB">
        <w:rPr>
          <w:i/>
          <w:iCs/>
        </w:rPr>
        <w:t>Art. </w:t>
      </w:r>
      <w:r w:rsidRPr="009118AB">
        <w:rPr>
          <w:i/>
          <w:iCs/>
        </w:rPr>
        <w:t>5 des G. vom 11. Januar 2019 (B.S. vom 22. Januar 2019)</w:t>
      </w:r>
      <w:r w:rsidR="00D67EB8" w:rsidRPr="009118AB">
        <w:rPr>
          <w:i/>
          <w:iCs/>
        </w:rPr>
        <w:t> - </w:t>
      </w:r>
      <w:r w:rsidRPr="009118AB">
        <w:rPr>
          <w:i/>
          <w:iCs/>
        </w:rPr>
        <w:t>in Kraft am 22. Januar 2019</w:t>
      </w:r>
      <w:r w:rsidR="00FD68E8" w:rsidRPr="009118AB">
        <w:rPr>
          <w:i/>
          <w:iCs/>
        </w:rPr>
        <w:t> -]</w:t>
      </w:r>
    </w:p>
    <w:p w14:paraId="476CC3C2" w14:textId="77777777" w:rsidR="00D745A2" w:rsidRPr="009118AB" w:rsidRDefault="00D745A2" w:rsidP="00D745A2">
      <w:pPr>
        <w:autoSpaceDE w:val="0"/>
        <w:autoSpaceDN w:val="0"/>
        <w:adjustRightInd w:val="0"/>
        <w:jc w:val="both"/>
        <w:rPr>
          <w:i/>
          <w:iCs/>
        </w:rPr>
      </w:pPr>
    </w:p>
    <w:p w14:paraId="329EC424" w14:textId="77777777" w:rsidR="00D745A2" w:rsidRPr="009118AB" w:rsidRDefault="00D745A2" w:rsidP="00D745A2">
      <w:pPr>
        <w:autoSpaceDE w:val="0"/>
        <w:autoSpaceDN w:val="0"/>
        <w:adjustRightInd w:val="0"/>
        <w:jc w:val="both"/>
        <w:rPr>
          <w:i/>
          <w:iCs/>
        </w:rPr>
      </w:pPr>
    </w:p>
    <w:p w14:paraId="0FD76AAE" w14:textId="07796F31" w:rsidR="00477B8F" w:rsidRPr="009118AB" w:rsidRDefault="00477B8F" w:rsidP="001D52E0">
      <w:pPr>
        <w:autoSpaceDE w:val="0"/>
        <w:autoSpaceDN w:val="0"/>
        <w:adjustRightInd w:val="0"/>
        <w:jc w:val="both"/>
      </w:pPr>
      <w:r w:rsidRPr="009118AB">
        <w:tab/>
      </w:r>
      <w:r w:rsidR="00D67EB8" w:rsidRPr="009118AB">
        <w:rPr>
          <w:b/>
          <w:bCs/>
        </w:rPr>
        <w:t>Art. </w:t>
      </w:r>
      <w:r w:rsidRPr="009118AB">
        <w:rPr>
          <w:b/>
          <w:bCs/>
        </w:rPr>
        <w:t>282</w:t>
      </w:r>
      <w:r w:rsidR="00D67EB8" w:rsidRPr="009118AB">
        <w:t> - </w:t>
      </w:r>
      <w:r w:rsidRPr="009118AB">
        <w:t>Kein Mobiliensteuervorabzug wird angerechnet in Bezug auf Dividenden in dem Maße, wie ihre Zuerkennung oder Ausschüttung zu einer Wertminderung oder zu einem Minderwert der Aktien oder Anteile führt, auf die sie sich beziehen.</w:t>
      </w:r>
    </w:p>
    <w:p w14:paraId="56244145" w14:textId="77777777" w:rsidR="00477B8F" w:rsidRPr="009118AB" w:rsidRDefault="00477B8F" w:rsidP="001D52E0">
      <w:pPr>
        <w:autoSpaceDE w:val="0"/>
        <w:autoSpaceDN w:val="0"/>
        <w:adjustRightInd w:val="0"/>
        <w:jc w:val="both"/>
      </w:pPr>
    </w:p>
    <w:p w14:paraId="47E8C66A" w14:textId="77777777" w:rsidR="00477B8F" w:rsidRPr="009118AB" w:rsidRDefault="00477B8F" w:rsidP="001D52E0">
      <w:pPr>
        <w:autoSpaceDE w:val="0"/>
        <w:autoSpaceDN w:val="0"/>
        <w:adjustRightInd w:val="0"/>
        <w:jc w:val="both"/>
      </w:pPr>
      <w:r w:rsidRPr="009118AB">
        <w:tab/>
        <w:t>[Absatz 1 ist nicht anwendbar auf Dividenden, die aus Aktien oder Anteilen hervorgehen, für die der Steuerpflichtige nachweist, dass sie während eines ununterbrochenen Zeitraums von zwölf Monaten vor Zuerkennung der Dividenden in seinem Volleigentum befindlich waren oder während des vorerwähnten Zeitraums zu keinem Zeitpunkt im Volleigentum eines Steuerpflichtigen befindlich waren, der keine Gesellschaft ist, die der Gesellschaftssteuer unterliegt, oder einer ausländischen Gesellschaft, die diese Aktien oder Anteile ununterbrochen in eine belgische Einrichtung investiert hat.]</w:t>
      </w:r>
    </w:p>
    <w:p w14:paraId="48109BE3" w14:textId="77777777" w:rsidR="00477B8F" w:rsidRPr="009118AB" w:rsidRDefault="00477B8F" w:rsidP="001D52E0">
      <w:pPr>
        <w:autoSpaceDE w:val="0"/>
        <w:autoSpaceDN w:val="0"/>
        <w:adjustRightInd w:val="0"/>
        <w:jc w:val="both"/>
      </w:pPr>
    </w:p>
    <w:p w14:paraId="403922F7" w14:textId="1E724CFC" w:rsidR="00477B8F" w:rsidRPr="009118AB" w:rsidRDefault="00477B8F" w:rsidP="001D52E0">
      <w:pPr>
        <w:autoSpaceDE w:val="0"/>
        <w:autoSpaceDN w:val="0"/>
        <w:adjustRightInd w:val="0"/>
        <w:jc w:val="both"/>
      </w:pPr>
      <w:r w:rsidRPr="009118AB">
        <w:rPr>
          <w:i/>
          <w:iCs/>
        </w:rPr>
        <w:t>[</w:t>
      </w:r>
      <w:r w:rsidR="00D67EB8" w:rsidRPr="009118AB">
        <w:rPr>
          <w:i/>
          <w:iCs/>
        </w:rPr>
        <w:t>Art. </w:t>
      </w:r>
      <w:r w:rsidRPr="009118AB">
        <w:rPr>
          <w:i/>
          <w:iCs/>
        </w:rPr>
        <w:t xml:space="preserve">282 </w:t>
      </w:r>
      <w:r w:rsidR="00D67EB8" w:rsidRPr="009118AB">
        <w:rPr>
          <w:i/>
          <w:iCs/>
        </w:rPr>
        <w:t>Abs. </w:t>
      </w:r>
      <w:r w:rsidRPr="009118AB">
        <w:rPr>
          <w:i/>
          <w:iCs/>
        </w:rPr>
        <w:t xml:space="preserve">2 eingefügt durch </w:t>
      </w:r>
      <w:r w:rsidR="00D67EB8" w:rsidRPr="009118AB">
        <w:rPr>
          <w:i/>
          <w:iCs/>
        </w:rPr>
        <w:t>Art. </w:t>
      </w:r>
      <w:r w:rsidRPr="009118AB">
        <w:rPr>
          <w:i/>
          <w:iCs/>
        </w:rPr>
        <w:t xml:space="preserve">17 des G. vom 24. Dezember 2002 </w:t>
      </w:r>
      <w:r w:rsidR="00D86BCC" w:rsidRPr="009118AB">
        <w:rPr>
          <w:i/>
          <w:iCs/>
        </w:rPr>
        <w:t xml:space="preserve">(II) </w:t>
      </w:r>
      <w:r w:rsidRPr="009118AB">
        <w:rPr>
          <w:i/>
          <w:iCs/>
        </w:rPr>
        <w:t>(B.S. vom 31. Dezember 2002)</w:t>
      </w:r>
      <w:r w:rsidR="00D67EB8" w:rsidRPr="009118AB">
        <w:rPr>
          <w:i/>
          <w:iCs/>
        </w:rPr>
        <w:t> - </w:t>
      </w:r>
      <w:r w:rsidRPr="009118AB">
        <w:rPr>
          <w:i/>
          <w:iCs/>
        </w:rPr>
        <w:t xml:space="preserve">anwendbar auf Einkünfte, die zuerkannt oder ausgeschüttet werden, oder als solche anzusehen sind ab dem 1. Januar 2002, insofern, wenn es sich um in </w:t>
      </w:r>
      <w:r w:rsidR="00D67EB8" w:rsidRPr="009118AB">
        <w:rPr>
          <w:i/>
          <w:iCs/>
        </w:rPr>
        <w:t>Art. </w:t>
      </w:r>
      <w:r w:rsidRPr="009118AB">
        <w:rPr>
          <w:i/>
          <w:iCs/>
        </w:rPr>
        <w:t>209 des Einkommensteuergesetzbuches 1992 erwähnte Verrichtungen handelt, die Liquidation nicht vor dem 25. März 2002 beendet wurde</w:t>
      </w:r>
      <w:r w:rsidR="00FD68E8" w:rsidRPr="009118AB">
        <w:rPr>
          <w:i/>
          <w:iCs/>
        </w:rPr>
        <w:t> -]</w:t>
      </w:r>
    </w:p>
    <w:p w14:paraId="6AFF2CDA" w14:textId="77777777" w:rsidR="00477B8F" w:rsidRPr="009118AB" w:rsidRDefault="00477B8F" w:rsidP="001D52E0">
      <w:pPr>
        <w:autoSpaceDE w:val="0"/>
        <w:autoSpaceDN w:val="0"/>
        <w:adjustRightInd w:val="0"/>
        <w:jc w:val="both"/>
      </w:pPr>
    </w:p>
    <w:p w14:paraId="5A68A034" w14:textId="77777777" w:rsidR="00477B8F" w:rsidRPr="009118AB" w:rsidRDefault="00477B8F" w:rsidP="001D52E0">
      <w:pPr>
        <w:autoSpaceDE w:val="0"/>
        <w:autoSpaceDN w:val="0"/>
        <w:adjustRightInd w:val="0"/>
        <w:jc w:val="both"/>
      </w:pPr>
    </w:p>
    <w:p w14:paraId="7AD6D237" w14:textId="325835F5" w:rsidR="00477B8F" w:rsidRPr="009118AB" w:rsidRDefault="00477B8F" w:rsidP="001D52E0">
      <w:pPr>
        <w:autoSpaceDE w:val="0"/>
        <w:autoSpaceDN w:val="0"/>
        <w:adjustRightInd w:val="0"/>
        <w:jc w:val="both"/>
      </w:pPr>
      <w:r w:rsidRPr="009118AB">
        <w:tab/>
      </w:r>
      <w:r w:rsidR="00D67EB8" w:rsidRPr="009118AB">
        <w:rPr>
          <w:b/>
          <w:bCs/>
        </w:rPr>
        <w:t>Art. </w:t>
      </w:r>
      <w:r w:rsidRPr="009118AB">
        <w:rPr>
          <w:b/>
          <w:bCs/>
        </w:rPr>
        <w:t>283</w:t>
      </w:r>
      <w:r w:rsidR="00D67EB8" w:rsidRPr="009118AB">
        <w:rPr>
          <w:b/>
          <w:bCs/>
        </w:rPr>
        <w:t> - </w:t>
      </w:r>
      <w:r w:rsidRPr="009118AB">
        <w:t xml:space="preserve">[Außer wenn der Verleih über ein in Artikel 261 Absatz 3 erwähntes zugelassenes zentralisiertes System für den Verleih von Finanzinstrumenten abgeschlossen wird, wird kein Mobiliensteuervorabzug aufgrund von Einkünften aus Aktien oder Anteilen von belgischen Gesellschaften angerechnet, die anlässlich eines Verleihs in Bezug auf diese Finanzinstrumente Eigentum des Empfängers geworden sind, wenn der Verleiher dieser </w:t>
      </w:r>
      <w:r w:rsidRPr="009118AB">
        <w:lastRenderedPageBreak/>
        <w:t>Finanzinstrumente in einem Staat ansässig ist, mit dem Belgien ein Abkommen zur Vermeidung der Doppelbesteuerung geschlossen hat, und er diese Finanzinstrumente nicht zur Ausübung einer Berufstätigkeit in Belgien genutzt hat.</w:t>
      </w:r>
    </w:p>
    <w:p w14:paraId="1E4B7454" w14:textId="77777777" w:rsidR="00812CBE" w:rsidRPr="009118AB" w:rsidRDefault="00812CBE" w:rsidP="001D52E0">
      <w:pPr>
        <w:autoSpaceDE w:val="0"/>
        <w:autoSpaceDN w:val="0"/>
        <w:adjustRightInd w:val="0"/>
        <w:jc w:val="both"/>
      </w:pPr>
    </w:p>
    <w:p w14:paraId="4FBA872B" w14:textId="0707F936" w:rsidR="00477B8F" w:rsidRPr="009118AB" w:rsidRDefault="00477B8F" w:rsidP="001D52E0">
      <w:pPr>
        <w:autoSpaceDE w:val="0"/>
        <w:autoSpaceDN w:val="0"/>
        <w:adjustRightInd w:val="0"/>
        <w:jc w:val="both"/>
      </w:pPr>
      <w:r w:rsidRPr="009118AB">
        <w:tab/>
        <w:t>In Abweichung von vorhergehendem Absatz und unbeschadet der in den Artikeln 281 und 282 vorgesehenen Bestimmungen wird zu Lasten des Entleihers</w:t>
      </w:r>
      <w:r w:rsidR="00D67EB8" w:rsidRPr="009118AB">
        <w:t> - </w:t>
      </w:r>
      <w:r w:rsidRPr="009118AB">
        <w:t>wenn dieser nachweist, dass zugunsten des Verleihers der Aktien oder Anteile ohne Verleih ein Verzicht auf die Erhebung des Mobiliensteuervorabzugs oder eine Ermäßigung des Mobiliensteuervorabzugs vorgesehen in einem von Belgien geschlossenen Abkommen zur Vermeidung der Doppelbesteuerung in Bezug auf Dividenden, die für diese Aktien oder Anteile zuerkannt oder ausgeschüttet werden, erfolgt wäre</w:t>
      </w:r>
      <w:r w:rsidR="00D67EB8" w:rsidRPr="009118AB">
        <w:t> - </w:t>
      </w:r>
      <w:r w:rsidRPr="009118AB">
        <w:t>der Mobiliensteuervorabzug angerechnet bis zu der Differenz zwischen dem tatsächlich auf die Dividenden einbehaltenen Mobiliensteuer</w:t>
      </w:r>
      <w:r w:rsidR="00A270E8" w:rsidRPr="009118AB">
        <w:softHyphen/>
      </w:r>
      <w:r w:rsidRPr="009118AB">
        <w:t>vorabzug und dem Betrag des Mobiliensteuervorabzugs, der definitiv vom Verleiher geschuldet worden wäre, wenn dieser die Dividenden selbst bezogen hätte.]</w:t>
      </w:r>
    </w:p>
    <w:p w14:paraId="41E04F7E" w14:textId="77777777" w:rsidR="00477B8F" w:rsidRPr="009118AB" w:rsidRDefault="00477B8F" w:rsidP="001D52E0">
      <w:pPr>
        <w:autoSpaceDE w:val="0"/>
        <w:autoSpaceDN w:val="0"/>
        <w:adjustRightInd w:val="0"/>
        <w:jc w:val="both"/>
      </w:pPr>
    </w:p>
    <w:p w14:paraId="55566A91" w14:textId="78457A95" w:rsidR="00477B8F" w:rsidRPr="009118AB" w:rsidRDefault="00477B8F" w:rsidP="001D52E0">
      <w:pPr>
        <w:autoSpaceDE w:val="0"/>
        <w:autoSpaceDN w:val="0"/>
        <w:adjustRightInd w:val="0"/>
        <w:jc w:val="both"/>
      </w:pPr>
      <w:r w:rsidRPr="009118AB">
        <w:rPr>
          <w:i/>
          <w:iCs/>
        </w:rPr>
        <w:t>[</w:t>
      </w:r>
      <w:r w:rsidR="00D67EB8" w:rsidRPr="009118AB">
        <w:rPr>
          <w:i/>
          <w:iCs/>
        </w:rPr>
        <w:t>Art. </w:t>
      </w:r>
      <w:r w:rsidRPr="009118AB">
        <w:rPr>
          <w:i/>
          <w:iCs/>
        </w:rPr>
        <w:t xml:space="preserve">283 aufgehoben durch </w:t>
      </w:r>
      <w:r w:rsidR="00D67EB8" w:rsidRPr="009118AB">
        <w:rPr>
          <w:i/>
          <w:iCs/>
        </w:rPr>
        <w:t>Art. </w:t>
      </w:r>
      <w:r w:rsidRPr="009118AB">
        <w:rPr>
          <w:i/>
          <w:iCs/>
        </w:rPr>
        <w:t xml:space="preserve">10 </w:t>
      </w:r>
      <w:r w:rsidR="00D67EB8" w:rsidRPr="009118AB">
        <w:rPr>
          <w:i/>
          <w:iCs/>
        </w:rPr>
        <w:t>Nr. </w:t>
      </w:r>
      <w:r w:rsidRPr="009118AB">
        <w:rPr>
          <w:i/>
          <w:iCs/>
        </w:rPr>
        <w:t>4 des G. vom 30. Januar 1996 (B.S. vom 30. März 1996)</w:t>
      </w:r>
      <w:r w:rsidR="00D67EB8" w:rsidRPr="009118AB">
        <w:rPr>
          <w:i/>
          <w:iCs/>
        </w:rPr>
        <w:t> - </w:t>
      </w:r>
      <w:r w:rsidRPr="009118AB">
        <w:rPr>
          <w:i/>
          <w:iCs/>
        </w:rPr>
        <w:t>anwendbar ab dem Steuerjahr 1996</w:t>
      </w:r>
      <w:r w:rsidR="00D67EB8" w:rsidRPr="009118AB">
        <w:rPr>
          <w:i/>
          <w:iCs/>
        </w:rPr>
        <w:t> - </w:t>
      </w:r>
      <w:r w:rsidRPr="009118AB">
        <w:rPr>
          <w:i/>
          <w:iCs/>
        </w:rPr>
        <w:t xml:space="preserve">und wieder aufgenommen durch </w:t>
      </w:r>
      <w:r w:rsidR="00D67EB8" w:rsidRPr="009118AB">
        <w:rPr>
          <w:i/>
          <w:iCs/>
        </w:rPr>
        <w:t>Art. </w:t>
      </w:r>
      <w:r w:rsidRPr="009118AB">
        <w:rPr>
          <w:i/>
          <w:iCs/>
        </w:rPr>
        <w:t>61 des G. vom 15. Dezember 2004 (B.S. vom 1. Februar 2005)</w:t>
      </w:r>
      <w:r w:rsidR="00D67EB8" w:rsidRPr="009118AB">
        <w:rPr>
          <w:i/>
          <w:iCs/>
        </w:rPr>
        <w:t> - </w:t>
      </w:r>
      <w:r w:rsidRPr="009118AB">
        <w:rPr>
          <w:i/>
          <w:iCs/>
        </w:rPr>
        <w:t>anwendbar auf Einkünfte aus Finanzinstrumenten, die Gegenstand von Vereinbarungen über die Leistung von dinglichen Sicherheiten und von Verleihen mit Bezug auf Finanzinstrumente sind, die ab dem 1. Februar 2005 abgeschlossen werden</w:t>
      </w:r>
      <w:r w:rsidR="00FD68E8" w:rsidRPr="009118AB">
        <w:rPr>
          <w:i/>
          <w:iCs/>
        </w:rPr>
        <w:t> -]</w:t>
      </w:r>
    </w:p>
    <w:p w14:paraId="6F4315B0" w14:textId="77777777" w:rsidR="00477B8F" w:rsidRPr="009118AB" w:rsidRDefault="00477B8F" w:rsidP="001D52E0">
      <w:pPr>
        <w:autoSpaceDE w:val="0"/>
        <w:autoSpaceDN w:val="0"/>
        <w:adjustRightInd w:val="0"/>
        <w:jc w:val="both"/>
      </w:pPr>
    </w:p>
    <w:p w14:paraId="7BA3F90B" w14:textId="77777777" w:rsidR="00477B8F" w:rsidRPr="009118AB" w:rsidRDefault="00477B8F" w:rsidP="001D52E0">
      <w:pPr>
        <w:autoSpaceDE w:val="0"/>
        <w:autoSpaceDN w:val="0"/>
        <w:adjustRightInd w:val="0"/>
        <w:jc w:val="both"/>
      </w:pPr>
    </w:p>
    <w:p w14:paraId="5C9621CA" w14:textId="422B993F" w:rsidR="00477B8F" w:rsidRPr="009118AB" w:rsidRDefault="00477B8F" w:rsidP="001D52E0">
      <w:pPr>
        <w:autoSpaceDE w:val="0"/>
        <w:autoSpaceDN w:val="0"/>
        <w:adjustRightInd w:val="0"/>
        <w:jc w:val="both"/>
      </w:pPr>
      <w:r w:rsidRPr="009118AB">
        <w:tab/>
      </w:r>
      <w:r w:rsidR="00D67EB8" w:rsidRPr="009118AB">
        <w:rPr>
          <w:b/>
          <w:bCs/>
        </w:rPr>
        <w:t>Art. </w:t>
      </w:r>
      <w:r w:rsidRPr="009118AB">
        <w:rPr>
          <w:b/>
          <w:bCs/>
        </w:rPr>
        <w:t>284</w:t>
      </w:r>
      <w:r w:rsidR="00D67EB8" w:rsidRPr="009118AB">
        <w:t> - </w:t>
      </w:r>
      <w:r w:rsidRPr="009118AB">
        <w:t>Der König kann die Anrechnung eines fiktiven Vorabzugs in Grenzen und unter Bedingungen, die Er bestimmt, vorsehen in Bezug auf:</w:t>
      </w:r>
    </w:p>
    <w:p w14:paraId="069B39E6" w14:textId="77777777" w:rsidR="00477B8F" w:rsidRPr="009118AB" w:rsidRDefault="00477B8F" w:rsidP="001D52E0">
      <w:pPr>
        <w:autoSpaceDE w:val="0"/>
        <w:autoSpaceDN w:val="0"/>
        <w:adjustRightInd w:val="0"/>
        <w:jc w:val="both"/>
      </w:pPr>
    </w:p>
    <w:p w14:paraId="0C08D52B" w14:textId="4BA78C72" w:rsidR="00477B8F" w:rsidRPr="009118AB" w:rsidRDefault="00477B8F" w:rsidP="001D52E0">
      <w:pPr>
        <w:autoSpaceDE w:val="0"/>
        <w:autoSpaceDN w:val="0"/>
        <w:adjustRightInd w:val="0"/>
        <w:jc w:val="both"/>
      </w:pPr>
      <w:r w:rsidRPr="009118AB">
        <w:tab/>
        <w:t xml:space="preserve">1. Einkünfte aus Kapitalvermögen und beweglichen Gütern und die in [Artikel 90 </w:t>
      </w:r>
      <w:r w:rsidR="00B27A0A" w:rsidRPr="009118AB">
        <w:t xml:space="preserve">Absatz 1 </w:t>
      </w:r>
      <w:r w:rsidR="00D67EB8" w:rsidRPr="009118AB">
        <w:t>Nr. </w:t>
      </w:r>
      <w:r w:rsidRPr="009118AB">
        <w:t>5 bis 7] erwähnten verschiedenen Einkünfte, für die Er in Ausführung von Artikel 266 ganz oder teilweise von der Erhebung des Mobiliensteuervorabzugs absieht,</w:t>
      </w:r>
    </w:p>
    <w:p w14:paraId="49E69754" w14:textId="77777777" w:rsidR="00477B8F" w:rsidRPr="009118AB" w:rsidRDefault="00477B8F" w:rsidP="001D52E0">
      <w:pPr>
        <w:autoSpaceDE w:val="0"/>
        <w:autoSpaceDN w:val="0"/>
        <w:adjustRightInd w:val="0"/>
        <w:jc w:val="both"/>
      </w:pPr>
    </w:p>
    <w:p w14:paraId="2E486103" w14:textId="77777777" w:rsidR="00477B8F" w:rsidRPr="009118AB" w:rsidRDefault="00477B8F" w:rsidP="001D52E0">
      <w:pPr>
        <w:autoSpaceDE w:val="0"/>
        <w:autoSpaceDN w:val="0"/>
        <w:adjustRightInd w:val="0"/>
        <w:jc w:val="both"/>
      </w:pPr>
      <w:r w:rsidRPr="009118AB">
        <w:tab/>
        <w:t>2. Einkünfte aus beweglichen Gütern in Form von Wertpapieren, die vor Inkrafttreten des Gesetzes vom 20. November 1962 zur Reform der Einkommensteuern ausgegeben wurden.</w:t>
      </w:r>
    </w:p>
    <w:p w14:paraId="29BE6E5B" w14:textId="77777777" w:rsidR="00477B8F" w:rsidRPr="009118AB" w:rsidRDefault="00477B8F" w:rsidP="001D52E0">
      <w:pPr>
        <w:autoSpaceDE w:val="0"/>
        <w:autoSpaceDN w:val="0"/>
        <w:adjustRightInd w:val="0"/>
        <w:jc w:val="both"/>
      </w:pPr>
    </w:p>
    <w:p w14:paraId="099C70BA" w14:textId="71D2A18E" w:rsidR="00477B8F" w:rsidRPr="009118AB" w:rsidRDefault="00477B8F" w:rsidP="001D52E0">
      <w:pPr>
        <w:autoSpaceDE w:val="0"/>
        <w:autoSpaceDN w:val="0"/>
        <w:adjustRightInd w:val="0"/>
        <w:jc w:val="both"/>
      </w:pPr>
      <w:r w:rsidRPr="009118AB">
        <w:rPr>
          <w:i/>
          <w:iCs/>
        </w:rPr>
        <w:t>[</w:t>
      </w:r>
      <w:r w:rsidR="00D67EB8" w:rsidRPr="009118AB">
        <w:rPr>
          <w:i/>
          <w:iCs/>
        </w:rPr>
        <w:t>Art. </w:t>
      </w:r>
      <w:r w:rsidRPr="009118AB">
        <w:rPr>
          <w:i/>
          <w:iCs/>
        </w:rPr>
        <w:t xml:space="preserve">284 einziger Absatz </w:t>
      </w:r>
      <w:r w:rsidR="00D67EB8" w:rsidRPr="009118AB">
        <w:rPr>
          <w:i/>
          <w:iCs/>
        </w:rPr>
        <w:t>Nr. </w:t>
      </w:r>
      <w:r w:rsidRPr="009118AB">
        <w:rPr>
          <w:i/>
          <w:iCs/>
        </w:rPr>
        <w:t xml:space="preserve">1 abgeändert durch </w:t>
      </w:r>
      <w:r w:rsidR="00D67EB8" w:rsidRPr="009118AB">
        <w:rPr>
          <w:i/>
          <w:iCs/>
        </w:rPr>
        <w:t>Art. </w:t>
      </w:r>
      <w:r w:rsidRPr="009118AB">
        <w:rPr>
          <w:i/>
          <w:iCs/>
        </w:rPr>
        <w:t>45 des G. vom 6. Juli 1994 (B.S. vom 16. Juli 1994)</w:t>
      </w:r>
      <w:r w:rsidR="00B27A0A" w:rsidRPr="009118AB">
        <w:rPr>
          <w:i/>
          <w:iCs/>
        </w:rPr>
        <w:t xml:space="preserve"> und </w:t>
      </w:r>
      <w:r w:rsidR="00D67EB8" w:rsidRPr="009118AB">
        <w:rPr>
          <w:i/>
          <w:iCs/>
        </w:rPr>
        <w:t>Art. </w:t>
      </w:r>
      <w:r w:rsidR="00B27A0A" w:rsidRPr="009118AB">
        <w:rPr>
          <w:i/>
          <w:iCs/>
        </w:rPr>
        <w:t>81</w:t>
      </w:r>
      <w:r w:rsidR="00B27A0A" w:rsidRPr="009118AB">
        <w:rPr>
          <w:i/>
        </w:rPr>
        <w:t xml:space="preserve"> des G. vom 26. Dezember 2015 (II) (B.S. vom 30. Dezember 2015)</w:t>
      </w:r>
      <w:r w:rsidR="00D67EB8" w:rsidRPr="009118AB">
        <w:t> - </w:t>
      </w:r>
      <w:r w:rsidR="00B27A0A"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519D56FA" w14:textId="77777777" w:rsidR="00141459" w:rsidRPr="009118AB" w:rsidRDefault="00141459" w:rsidP="00141459">
      <w:pPr>
        <w:autoSpaceDE w:val="0"/>
        <w:autoSpaceDN w:val="0"/>
        <w:adjustRightInd w:val="0"/>
        <w:jc w:val="both"/>
      </w:pPr>
    </w:p>
    <w:p w14:paraId="1C1E92A2" w14:textId="77777777" w:rsidR="00141459" w:rsidRPr="009118AB" w:rsidRDefault="00141459" w:rsidP="00141459">
      <w:pPr>
        <w:autoSpaceDE w:val="0"/>
        <w:autoSpaceDN w:val="0"/>
        <w:adjustRightInd w:val="0"/>
        <w:jc w:val="both"/>
      </w:pPr>
    </w:p>
    <w:p w14:paraId="5BEC1436" w14:textId="4105827E" w:rsidR="00141459" w:rsidRPr="009118AB" w:rsidRDefault="00141459" w:rsidP="008E6F28">
      <w:pPr>
        <w:autoSpaceDE w:val="0"/>
        <w:autoSpaceDN w:val="0"/>
        <w:adjustRightInd w:val="0"/>
        <w:jc w:val="center"/>
        <w:rPr>
          <w:bCs/>
        </w:rPr>
      </w:pPr>
      <w:r w:rsidRPr="009118AB">
        <w:rPr>
          <w:sz w:val="20"/>
          <w:szCs w:val="20"/>
        </w:rPr>
        <w:br w:type="page"/>
      </w:r>
      <w:r w:rsidRPr="009118AB">
        <w:rPr>
          <w:bCs/>
        </w:rPr>
        <w:lastRenderedPageBreak/>
        <w:t>[</w:t>
      </w:r>
      <w:r w:rsidRPr="009118AB">
        <w:rPr>
          <w:bCs/>
          <w:i/>
        </w:rPr>
        <w:t xml:space="preserve">Abschnitt </w:t>
      </w:r>
      <w:r w:rsidR="00D74862" w:rsidRPr="009118AB">
        <w:rPr>
          <w:bCs/>
          <w:i/>
        </w:rPr>
        <w:t>3</w:t>
      </w:r>
      <w:r w:rsidRPr="009118AB">
        <w:rPr>
          <w:bCs/>
          <w:i/>
        </w:rPr>
        <w:t>bis</w:t>
      </w:r>
      <w:r w:rsidR="00D67EB8" w:rsidRPr="009118AB">
        <w:rPr>
          <w:bCs/>
        </w:rPr>
        <w:t> - </w:t>
      </w:r>
      <w:r w:rsidR="0025363B" w:rsidRPr="009118AB">
        <w:rPr>
          <w:bCs/>
        </w:rPr>
        <w:t>[…]</w:t>
      </w:r>
    </w:p>
    <w:p w14:paraId="0AD040C6" w14:textId="77777777" w:rsidR="00141459" w:rsidRPr="009118AB" w:rsidRDefault="00141459" w:rsidP="00141459">
      <w:pPr>
        <w:autoSpaceDE w:val="0"/>
        <w:autoSpaceDN w:val="0"/>
        <w:adjustRightInd w:val="0"/>
        <w:jc w:val="both"/>
        <w:rPr>
          <w:bCs/>
        </w:rPr>
      </w:pPr>
    </w:p>
    <w:p w14:paraId="7251A7A5" w14:textId="0B356D68" w:rsidR="00141459" w:rsidRPr="009118AB" w:rsidRDefault="00141459" w:rsidP="00141459">
      <w:pPr>
        <w:autoSpaceDE w:val="0"/>
        <w:autoSpaceDN w:val="0"/>
        <w:adjustRightInd w:val="0"/>
        <w:jc w:val="both"/>
        <w:rPr>
          <w:bCs/>
        </w:rPr>
      </w:pPr>
      <w:r w:rsidRPr="009118AB">
        <w:rPr>
          <w:bCs/>
          <w:i/>
        </w:rPr>
        <w:t xml:space="preserve">[Abschnitt </w:t>
      </w:r>
      <w:r w:rsidR="00D74862" w:rsidRPr="009118AB">
        <w:rPr>
          <w:bCs/>
          <w:i/>
        </w:rPr>
        <w:t>3</w:t>
      </w:r>
      <w:r w:rsidRPr="009118AB">
        <w:rPr>
          <w:bCs/>
          <w:i/>
        </w:rPr>
        <w:t xml:space="preserve">bis mit </w:t>
      </w:r>
      <w:r w:rsidR="00D67EB8" w:rsidRPr="009118AB">
        <w:rPr>
          <w:bCs/>
          <w:i/>
        </w:rPr>
        <w:t>Art. </w:t>
      </w:r>
      <w:r w:rsidRPr="009118AB">
        <w:rPr>
          <w:bCs/>
          <w:i/>
        </w:rPr>
        <w:t>284/1 eingefügt</w:t>
      </w:r>
      <w:r w:rsidRPr="009118AB">
        <w:rPr>
          <w:i/>
          <w:iCs/>
        </w:rPr>
        <w:t xml:space="preserve"> durch </w:t>
      </w:r>
      <w:r w:rsidR="00D67EB8" w:rsidRPr="009118AB">
        <w:rPr>
          <w:i/>
          <w:iCs/>
        </w:rPr>
        <w:t>Art. </w:t>
      </w:r>
      <w:r w:rsidRPr="009118AB">
        <w:rPr>
          <w:i/>
          <w:iCs/>
        </w:rPr>
        <w:t>31 des G. vom 28. Dezember 2011 (B.S.</w:t>
      </w:r>
      <w:r w:rsidR="0025363B" w:rsidRPr="009118AB">
        <w:rPr>
          <w:i/>
          <w:iCs/>
        </w:rPr>
        <w:t> </w:t>
      </w:r>
      <w:r w:rsidRPr="009118AB">
        <w:rPr>
          <w:i/>
          <w:iCs/>
        </w:rPr>
        <w:t>vom 30. Dezember 2011)</w:t>
      </w:r>
      <w:r w:rsidR="00D67EB8" w:rsidRPr="009118AB">
        <w:rPr>
          <w:i/>
          <w:iCs/>
        </w:rPr>
        <w:t> - </w:t>
      </w:r>
      <w:r w:rsidRPr="009118AB">
        <w:rPr>
          <w:i/>
          <w:iCs/>
        </w:rPr>
        <w:t>anwendbar auf die ab dem 1. Januar 2012 zuerkannten oder ausgeschütteten Einkünfte</w:t>
      </w:r>
      <w:r w:rsidR="00D67EB8" w:rsidRPr="009118AB">
        <w:rPr>
          <w:i/>
          <w:iCs/>
        </w:rPr>
        <w:t> - </w:t>
      </w:r>
      <w:r w:rsidR="0025363B" w:rsidRPr="009118AB">
        <w:rPr>
          <w:i/>
          <w:iCs/>
        </w:rPr>
        <w:t xml:space="preserve">und aufgehoben durch </w:t>
      </w:r>
      <w:r w:rsidR="00D67EB8" w:rsidRPr="009118AB">
        <w:rPr>
          <w:i/>
          <w:iCs/>
        </w:rPr>
        <w:t>Art. </w:t>
      </w:r>
      <w:r w:rsidR="0025363B" w:rsidRPr="009118AB">
        <w:rPr>
          <w:i/>
          <w:iCs/>
        </w:rPr>
        <w:t>86 des G. vom 27. Dezember 2012 (B.S. vom 31. Dezember 2012)</w:t>
      </w:r>
      <w:r w:rsidR="00D67EB8" w:rsidRPr="009118AB">
        <w:rPr>
          <w:i/>
          <w:iCs/>
        </w:rPr>
        <w:t> - </w:t>
      </w:r>
      <w:r w:rsidR="0025363B" w:rsidRPr="009118AB">
        <w:rPr>
          <w:i/>
          <w:iCs/>
        </w:rPr>
        <w:t>anwendbar auf die ab dem 1. Januar 2013 zuerkannten oder ausgeschütteten Einkünfte</w:t>
      </w:r>
      <w:r w:rsidR="00FD68E8" w:rsidRPr="009118AB">
        <w:rPr>
          <w:i/>
          <w:iCs/>
        </w:rPr>
        <w:t> -]</w:t>
      </w:r>
    </w:p>
    <w:p w14:paraId="41995C3A" w14:textId="77777777" w:rsidR="00141459" w:rsidRPr="009118AB" w:rsidRDefault="00141459" w:rsidP="00141459">
      <w:pPr>
        <w:autoSpaceDE w:val="0"/>
        <w:autoSpaceDN w:val="0"/>
        <w:adjustRightInd w:val="0"/>
        <w:jc w:val="both"/>
        <w:rPr>
          <w:bCs/>
        </w:rPr>
      </w:pPr>
    </w:p>
    <w:p w14:paraId="3373FD81" w14:textId="77777777" w:rsidR="008E6F28" w:rsidRPr="009118AB" w:rsidRDefault="008E6F28" w:rsidP="00141459">
      <w:pPr>
        <w:autoSpaceDE w:val="0"/>
        <w:autoSpaceDN w:val="0"/>
        <w:adjustRightInd w:val="0"/>
        <w:jc w:val="both"/>
        <w:rPr>
          <w:bCs/>
        </w:rPr>
      </w:pPr>
    </w:p>
    <w:p w14:paraId="03D10EF1" w14:textId="4255150D" w:rsidR="00141459" w:rsidRPr="009118AB" w:rsidRDefault="00D67EB8" w:rsidP="008E6F28">
      <w:pPr>
        <w:autoSpaceDE w:val="0"/>
        <w:autoSpaceDN w:val="0"/>
        <w:adjustRightInd w:val="0"/>
        <w:ind w:firstLine="708"/>
        <w:jc w:val="both"/>
        <w:rPr>
          <w:bCs/>
        </w:rPr>
      </w:pPr>
      <w:r w:rsidRPr="009118AB">
        <w:rPr>
          <w:b/>
          <w:bCs/>
        </w:rPr>
        <w:t>Art. </w:t>
      </w:r>
      <w:r w:rsidR="00141459" w:rsidRPr="009118AB">
        <w:rPr>
          <w:b/>
          <w:bCs/>
        </w:rPr>
        <w:t>284/1</w:t>
      </w:r>
      <w:r w:rsidRPr="009118AB">
        <w:rPr>
          <w:bCs/>
        </w:rPr>
        <w:t> - </w:t>
      </w:r>
      <w:r w:rsidR="0025363B" w:rsidRPr="009118AB">
        <w:rPr>
          <w:bCs/>
        </w:rPr>
        <w:t>[..</w:t>
      </w:r>
      <w:r w:rsidR="00141459" w:rsidRPr="009118AB">
        <w:rPr>
          <w:bCs/>
        </w:rPr>
        <w:t>.]</w:t>
      </w:r>
      <w:r w:rsidR="0025363B" w:rsidRPr="009118AB">
        <w:rPr>
          <w:bCs/>
        </w:rPr>
        <w:t>]</w:t>
      </w:r>
    </w:p>
    <w:p w14:paraId="0636D533" w14:textId="77777777" w:rsidR="00141459" w:rsidRPr="009118AB" w:rsidRDefault="00141459" w:rsidP="00141459">
      <w:pPr>
        <w:autoSpaceDE w:val="0"/>
        <w:autoSpaceDN w:val="0"/>
        <w:adjustRightInd w:val="0"/>
        <w:jc w:val="both"/>
      </w:pPr>
    </w:p>
    <w:p w14:paraId="009DA800" w14:textId="77777777" w:rsidR="00141459" w:rsidRPr="009118AB" w:rsidRDefault="00141459" w:rsidP="00477B8F">
      <w:pPr>
        <w:autoSpaceDE w:val="0"/>
        <w:autoSpaceDN w:val="0"/>
        <w:adjustRightInd w:val="0"/>
        <w:jc w:val="center"/>
      </w:pPr>
    </w:p>
    <w:p w14:paraId="3B42AA65" w14:textId="2F501F0F" w:rsidR="00477B8F" w:rsidRPr="009118AB" w:rsidRDefault="00477B8F" w:rsidP="00477B8F">
      <w:pPr>
        <w:autoSpaceDE w:val="0"/>
        <w:autoSpaceDN w:val="0"/>
        <w:adjustRightInd w:val="0"/>
        <w:jc w:val="center"/>
      </w:pPr>
      <w:r w:rsidRPr="009118AB">
        <w:br w:type="page"/>
      </w:r>
      <w:r w:rsidRPr="009118AB">
        <w:rPr>
          <w:i/>
          <w:iCs/>
        </w:rPr>
        <w:lastRenderedPageBreak/>
        <w:t>Abschnitt </w:t>
      </w:r>
      <w:r w:rsidR="00D74862" w:rsidRPr="009118AB">
        <w:rPr>
          <w:i/>
          <w:iCs/>
        </w:rPr>
        <w:t>4</w:t>
      </w:r>
      <w:r w:rsidR="00D67EB8" w:rsidRPr="009118AB">
        <w:t> - </w:t>
      </w:r>
      <w:r w:rsidRPr="009118AB">
        <w:t>Pauschalanteil ausländischer Steuer</w:t>
      </w:r>
    </w:p>
    <w:p w14:paraId="078FA67C" w14:textId="77777777" w:rsidR="00477B8F" w:rsidRPr="009118AB" w:rsidRDefault="00477B8F" w:rsidP="00477B8F">
      <w:pPr>
        <w:autoSpaceDE w:val="0"/>
        <w:autoSpaceDN w:val="0"/>
        <w:adjustRightInd w:val="0"/>
        <w:jc w:val="center"/>
      </w:pPr>
    </w:p>
    <w:p w14:paraId="2CF28E0F" w14:textId="77777777" w:rsidR="00477B8F" w:rsidRPr="009118AB" w:rsidRDefault="00477B8F" w:rsidP="00477B8F">
      <w:pPr>
        <w:autoSpaceDE w:val="0"/>
        <w:autoSpaceDN w:val="0"/>
        <w:adjustRightInd w:val="0"/>
        <w:jc w:val="center"/>
      </w:pPr>
    </w:p>
    <w:p w14:paraId="704092F6" w14:textId="18F32D21"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285</w:t>
      </w:r>
      <w:r w:rsidR="00D67EB8" w:rsidRPr="009118AB">
        <w:t> - </w:t>
      </w:r>
      <w:r w:rsidRPr="009118AB">
        <w:t xml:space="preserve">[In Bezug auf Einkünfte aus Kapitalvermögen und beweglichen Gütern und in Bezug auf die in </w:t>
      </w:r>
      <w:r w:rsidR="00B27A0A" w:rsidRPr="009118AB">
        <w:t>[</w:t>
      </w:r>
      <w:r w:rsidRPr="009118AB">
        <w:t xml:space="preserve">Artikel 90 </w:t>
      </w:r>
      <w:r w:rsidR="00B27A0A" w:rsidRPr="009118AB">
        <w:t xml:space="preserve">Absatz 1 </w:t>
      </w:r>
      <w:r w:rsidR="00D67EB8" w:rsidRPr="009118AB">
        <w:t>Nr. </w:t>
      </w:r>
      <w:r w:rsidRPr="009118AB">
        <w:t>5 bis 7</w:t>
      </w:r>
      <w:r w:rsidR="00B27A0A" w:rsidRPr="009118AB">
        <w:t>]</w:t>
      </w:r>
      <w:r w:rsidRPr="009118AB">
        <w:t xml:space="preserve"> erwähnten verschiedenen Einkünfte wird ein Pauschalanteil ausländischer Steuer auf die Steuer angerechnet, sofern diese Einkünfte im Ausland einer ähnlichen Steuer wie der Steuer der natürlichen Personen, der Gesellschaftssteuer oder der Steuer der Gebietsfremden unterlagen und sofern dieses Kapitalvermögen und diese beweglichen Güter in Belgien zur Ausübung der Berufstätigkeit genutzt werden.</w:t>
      </w:r>
    </w:p>
    <w:p w14:paraId="7852EC70" w14:textId="77777777" w:rsidR="00477B8F" w:rsidRPr="009118AB" w:rsidRDefault="00477B8F" w:rsidP="00477B8F">
      <w:pPr>
        <w:autoSpaceDE w:val="0"/>
        <w:autoSpaceDN w:val="0"/>
        <w:adjustRightInd w:val="0"/>
        <w:jc w:val="both"/>
      </w:pPr>
    </w:p>
    <w:p w14:paraId="2045754F" w14:textId="77777777" w:rsidR="00477B8F" w:rsidRPr="009118AB" w:rsidRDefault="00477B8F" w:rsidP="00477B8F">
      <w:pPr>
        <w:autoSpaceDE w:val="0"/>
        <w:autoSpaceDN w:val="0"/>
        <w:adjustRightInd w:val="0"/>
        <w:jc w:val="both"/>
      </w:pPr>
      <w:r w:rsidRPr="009118AB">
        <w:tab/>
        <w:t>In Abweichung von Absatz 1 wird in Bezug auf Dividenden ein Pauschalanteil ausländischer Steuer nur angerechnet, wenn es sich um Dividenden handelt, die von Investmentgesellschaften bewilligt oder zuerkannt werden, und in dem Maße, wie feststeht, dass diese Dividenden aus Einkünften hervorgehen, die den in Absatz 1 und in Artikel 289 festgelegten Bedingungen entsprechen.]</w:t>
      </w:r>
    </w:p>
    <w:p w14:paraId="23B20B7A" w14:textId="77777777" w:rsidR="00477B8F" w:rsidRPr="009118AB" w:rsidRDefault="00477B8F" w:rsidP="00477B8F">
      <w:pPr>
        <w:autoSpaceDE w:val="0"/>
        <w:autoSpaceDN w:val="0"/>
        <w:adjustRightInd w:val="0"/>
        <w:jc w:val="both"/>
      </w:pPr>
    </w:p>
    <w:p w14:paraId="006F0E82" w14:textId="39A463E1"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285 ersetzt durch </w:t>
      </w:r>
      <w:r w:rsidR="00D67EB8" w:rsidRPr="009118AB">
        <w:rPr>
          <w:i/>
          <w:iCs/>
        </w:rPr>
        <w:t>Art. </w:t>
      </w:r>
      <w:r w:rsidRPr="009118AB">
        <w:rPr>
          <w:i/>
          <w:iCs/>
        </w:rPr>
        <w:t>46 des G. vom 6. Juli 1994 (B.S. vom 16. Juli 1994)</w:t>
      </w:r>
      <w:r w:rsidR="00D67EB8" w:rsidRPr="009118AB">
        <w:rPr>
          <w:i/>
          <w:iCs/>
        </w:rPr>
        <w:t> - </w:t>
      </w:r>
      <w:r w:rsidRPr="009118AB">
        <w:rPr>
          <w:i/>
          <w:iCs/>
        </w:rPr>
        <w:t>anwendbar ab dem Steuerjahr 1992</w:t>
      </w:r>
      <w:r w:rsidR="003366D9" w:rsidRPr="009118AB">
        <w:rPr>
          <w:i/>
          <w:iCs/>
        </w:rPr>
        <w:t> -;</w:t>
      </w:r>
      <w:r w:rsidR="00B27A0A" w:rsidRPr="009118AB">
        <w:rPr>
          <w:i/>
          <w:iCs/>
        </w:rPr>
        <w:t xml:space="preserve"> </w:t>
      </w:r>
      <w:r w:rsidR="00D67EB8" w:rsidRPr="009118AB">
        <w:rPr>
          <w:i/>
          <w:iCs/>
        </w:rPr>
        <w:t>Abs. </w:t>
      </w:r>
      <w:r w:rsidR="00B27A0A" w:rsidRPr="009118AB">
        <w:rPr>
          <w:i/>
          <w:iCs/>
        </w:rPr>
        <w:t xml:space="preserve">1 abgeändert durch </w:t>
      </w:r>
      <w:r w:rsidR="00D67EB8" w:rsidRPr="009118AB">
        <w:rPr>
          <w:i/>
          <w:iCs/>
        </w:rPr>
        <w:t>Art. </w:t>
      </w:r>
      <w:r w:rsidR="00B27A0A" w:rsidRPr="009118AB">
        <w:rPr>
          <w:i/>
          <w:iCs/>
        </w:rPr>
        <w:t>82</w:t>
      </w:r>
      <w:r w:rsidR="00B27A0A" w:rsidRPr="009118AB">
        <w:rPr>
          <w:i/>
        </w:rPr>
        <w:t xml:space="preserve"> des G. vom 26. Dezember 2015 (II) (B.S. vom 30. Dezember 2015)</w:t>
      </w:r>
      <w:r w:rsidR="00D67EB8" w:rsidRPr="009118AB">
        <w:t> - </w:t>
      </w:r>
      <w:r w:rsidR="00B27A0A"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p>
    <w:p w14:paraId="3F8C33C5" w14:textId="77777777" w:rsidR="00477B8F" w:rsidRPr="009118AB" w:rsidRDefault="00477B8F" w:rsidP="00477B8F">
      <w:pPr>
        <w:autoSpaceDE w:val="0"/>
        <w:autoSpaceDN w:val="0"/>
        <w:adjustRightInd w:val="0"/>
        <w:jc w:val="both"/>
      </w:pPr>
    </w:p>
    <w:p w14:paraId="00AADC4C" w14:textId="77777777" w:rsidR="0031458F" w:rsidRPr="009118AB" w:rsidRDefault="0031458F" w:rsidP="00141459">
      <w:pPr>
        <w:autoSpaceDE w:val="0"/>
        <w:autoSpaceDN w:val="0"/>
        <w:adjustRightInd w:val="0"/>
        <w:jc w:val="both"/>
      </w:pPr>
    </w:p>
    <w:p w14:paraId="35D1F261" w14:textId="24B1F2D1" w:rsidR="0031458F" w:rsidRPr="009118AB" w:rsidRDefault="0031458F" w:rsidP="0031458F">
      <w:pPr>
        <w:autoSpaceDE w:val="0"/>
        <w:autoSpaceDN w:val="0"/>
        <w:adjustRightInd w:val="0"/>
        <w:jc w:val="both"/>
        <w:rPr>
          <w:bCs/>
        </w:rPr>
      </w:pPr>
      <w:r w:rsidRPr="009118AB">
        <w:tab/>
      </w:r>
      <w:r w:rsidR="00D67EB8" w:rsidRPr="009118AB">
        <w:rPr>
          <w:b/>
          <w:bCs/>
        </w:rPr>
        <w:t>Art. </w:t>
      </w:r>
      <w:r w:rsidRPr="009118AB">
        <w:rPr>
          <w:b/>
          <w:bCs/>
        </w:rPr>
        <w:t>286</w:t>
      </w:r>
      <w:r w:rsidR="00D67EB8" w:rsidRPr="009118AB">
        <w:t> - </w:t>
      </w:r>
      <w:r w:rsidRPr="009118AB">
        <w:rPr>
          <w:bCs/>
        </w:rPr>
        <w:t>Der Pauschalanteil ausländischer Steuer beträgt fünfzehn Fünfundachtzigstel des Nettoeinkommens vor Abzug des Mobiliensteuervorabzugs [</w:t>
      </w:r>
      <w:r w:rsidR="0017115B" w:rsidRPr="009118AB">
        <w:rPr>
          <w:bCs/>
        </w:rPr>
        <w:t>...</w:t>
      </w:r>
      <w:r w:rsidRPr="009118AB">
        <w:rPr>
          <w:bCs/>
        </w:rPr>
        <w:t>] […].</w:t>
      </w:r>
    </w:p>
    <w:p w14:paraId="524C3181" w14:textId="77777777" w:rsidR="0031458F" w:rsidRPr="009118AB" w:rsidRDefault="0031458F" w:rsidP="0031458F">
      <w:pPr>
        <w:autoSpaceDE w:val="0"/>
        <w:autoSpaceDN w:val="0"/>
        <w:adjustRightInd w:val="0"/>
        <w:jc w:val="both"/>
        <w:rPr>
          <w:bCs/>
        </w:rPr>
      </w:pPr>
    </w:p>
    <w:p w14:paraId="501404FE" w14:textId="15F6077C" w:rsidR="0031458F" w:rsidRPr="009118AB" w:rsidRDefault="0031458F" w:rsidP="0031458F">
      <w:pPr>
        <w:autoSpaceDE w:val="0"/>
        <w:autoSpaceDN w:val="0"/>
        <w:adjustRightInd w:val="0"/>
        <w:jc w:val="both"/>
        <w:rPr>
          <w:bCs/>
        </w:rPr>
      </w:pPr>
      <w:r w:rsidRPr="009118AB">
        <w:rPr>
          <w:bCs/>
        </w:rPr>
        <w:tab/>
        <w:t xml:space="preserve">[In Abweichung von Absatz 1 wird </w:t>
      </w:r>
      <w:r w:rsidR="00F77D61" w:rsidRPr="009118AB">
        <w:rPr>
          <w:bCs/>
        </w:rPr>
        <w:t>[</w:t>
      </w:r>
      <w:r w:rsidR="00F77D61" w:rsidRPr="009118AB">
        <w:t>in Bezug auf Einkünfte aus Vermietung, Verpachtung, Nutzung und Überlassung aller beweglichen Güter</w:t>
      </w:r>
      <w:r w:rsidR="00F77D61" w:rsidRPr="009118AB">
        <w:rPr>
          <w:bCs/>
        </w:rPr>
        <w:t>]</w:t>
      </w:r>
      <w:r w:rsidRPr="009118AB">
        <w:rPr>
          <w:bCs/>
        </w:rPr>
        <w:t xml:space="preserve"> der Pauschalanteil ausländischer Steuer festgelegt gemäß dem Produkt des Bruchs, dessen Zähler der tatsächlich einbehaltenen ausländischen Steuer entspricht, die in einem Prozentsatz des Einkommens, auf das sie sich bezieht, ausgedrückt ist, ohne dass er 15 Prozent dieses Einkommens übersteigen darf, und dessen Nenner 100 beträgt abzüglich der Zahl des Zählers.]</w:t>
      </w:r>
    </w:p>
    <w:p w14:paraId="2B106A07" w14:textId="77777777" w:rsidR="0031458F" w:rsidRPr="009118AB" w:rsidRDefault="0031458F" w:rsidP="0031458F">
      <w:pPr>
        <w:autoSpaceDE w:val="0"/>
        <w:autoSpaceDN w:val="0"/>
        <w:adjustRightInd w:val="0"/>
        <w:jc w:val="both"/>
        <w:rPr>
          <w:bCs/>
        </w:rPr>
      </w:pPr>
    </w:p>
    <w:p w14:paraId="2FC05BA5" w14:textId="6D28CAC3" w:rsidR="0031458F" w:rsidRPr="009118AB" w:rsidRDefault="0031458F" w:rsidP="0031458F">
      <w:pPr>
        <w:autoSpaceDE w:val="0"/>
        <w:autoSpaceDN w:val="0"/>
        <w:adjustRightInd w:val="0"/>
        <w:jc w:val="both"/>
        <w:rPr>
          <w:bCs/>
        </w:rPr>
      </w:pPr>
      <w:r w:rsidRPr="009118AB">
        <w:rPr>
          <w:bCs/>
        </w:rPr>
        <w:tab/>
        <w:t xml:space="preserve">[Der Pauschalanteil ausländischer Steuer </w:t>
      </w:r>
      <w:r w:rsidR="00F77D61" w:rsidRPr="009118AB">
        <w:rPr>
          <w:bCs/>
        </w:rPr>
        <w:t>[</w:t>
      </w:r>
      <w:r w:rsidR="00F77D61" w:rsidRPr="009118AB">
        <w:t>in Bezug auf Einkünfte aus Innovationen, für die gemäß den Artikeln 205/1 bis 205/4 oder Artikel 236</w:t>
      </w:r>
      <w:r w:rsidR="00F77D61" w:rsidRPr="009118AB">
        <w:rPr>
          <w:i/>
          <w:iCs/>
        </w:rPr>
        <w:t>bis</w:t>
      </w:r>
      <w:r w:rsidR="00F77D61" w:rsidRPr="009118AB">
        <w:t xml:space="preserve"> ein Abzug für Einkünfte aus Innovationen gewährt wird,</w:t>
      </w:r>
      <w:r w:rsidR="00F77D61" w:rsidRPr="009118AB">
        <w:rPr>
          <w:bCs/>
        </w:rPr>
        <w:t>]</w:t>
      </w:r>
      <w:r w:rsidRPr="009118AB">
        <w:rPr>
          <w:bCs/>
        </w:rPr>
        <w:t xml:space="preserve"> ist [</w:t>
      </w:r>
      <w:r w:rsidRPr="009118AB">
        <w:t>nur anrechenbar bis zum Betrag der Steuer auf diese Einkünfte aus Innovationen, für die gemäß den Artikeln 205/1 bis 205/4 oder Artikel 236</w:t>
      </w:r>
      <w:r w:rsidRPr="009118AB">
        <w:rPr>
          <w:i/>
        </w:rPr>
        <w:t>bis</w:t>
      </w:r>
      <w:r w:rsidRPr="009118AB">
        <w:t xml:space="preserve"> </w:t>
      </w:r>
      <w:r w:rsidR="00F77D61" w:rsidRPr="009118AB">
        <w:t>[ein Abzug für Einkünfte aus Innovationen gewährt wird] [...]</w:t>
      </w:r>
      <w:r w:rsidRPr="009118AB">
        <w:rPr>
          <w:bCs/>
        </w:rPr>
        <w:t>].]</w:t>
      </w:r>
    </w:p>
    <w:p w14:paraId="01889F43" w14:textId="77777777" w:rsidR="0031458F" w:rsidRPr="009118AB" w:rsidRDefault="0031458F" w:rsidP="0031458F">
      <w:pPr>
        <w:autoSpaceDE w:val="0"/>
        <w:autoSpaceDN w:val="0"/>
        <w:adjustRightInd w:val="0"/>
        <w:jc w:val="both"/>
        <w:rPr>
          <w:bCs/>
        </w:rPr>
      </w:pPr>
    </w:p>
    <w:p w14:paraId="71528A67" w14:textId="50F78DDB" w:rsidR="0031458F" w:rsidRPr="009118AB" w:rsidRDefault="0031458F" w:rsidP="0031458F">
      <w:pPr>
        <w:autoSpaceDE w:val="0"/>
        <w:autoSpaceDN w:val="0"/>
        <w:adjustRightInd w:val="0"/>
        <w:jc w:val="both"/>
        <w:rPr>
          <w:bCs/>
        </w:rPr>
      </w:pPr>
      <w:r w:rsidRPr="009118AB">
        <w:rPr>
          <w:bCs/>
        </w:rPr>
        <w:tab/>
        <w:t>[Zahlt der Schuldner des Einkommens die ausländische Steuer zur Entlastung des Empfängers, beträgt der in Absatz 2 erwähnte Nenner 100.]</w:t>
      </w:r>
    </w:p>
    <w:p w14:paraId="0694930D" w14:textId="77777777" w:rsidR="0031458F" w:rsidRPr="009118AB" w:rsidRDefault="0031458F" w:rsidP="0031458F">
      <w:pPr>
        <w:autoSpaceDE w:val="0"/>
        <w:autoSpaceDN w:val="0"/>
        <w:adjustRightInd w:val="0"/>
        <w:jc w:val="both"/>
        <w:rPr>
          <w:bCs/>
        </w:rPr>
      </w:pPr>
    </w:p>
    <w:p w14:paraId="0CD9FB85" w14:textId="0A91904A" w:rsidR="0031458F" w:rsidRPr="009118AB" w:rsidRDefault="0031458F" w:rsidP="0031458F">
      <w:pPr>
        <w:autoSpaceDE w:val="0"/>
        <w:autoSpaceDN w:val="0"/>
        <w:adjustRightInd w:val="0"/>
        <w:jc w:val="both"/>
        <w:rPr>
          <w:bCs/>
        </w:rPr>
      </w:pPr>
      <w:r w:rsidRPr="009118AB">
        <w:rPr>
          <w:bCs/>
          <w:i/>
          <w:iCs/>
        </w:rPr>
        <w:t>[</w:t>
      </w:r>
      <w:r w:rsidR="00D67EB8" w:rsidRPr="009118AB">
        <w:rPr>
          <w:bCs/>
          <w:i/>
          <w:iCs/>
        </w:rPr>
        <w:t>Art. </w:t>
      </w:r>
      <w:r w:rsidRPr="009118AB">
        <w:rPr>
          <w:bCs/>
          <w:i/>
          <w:iCs/>
        </w:rPr>
        <w:t xml:space="preserve">286 </w:t>
      </w:r>
      <w:r w:rsidR="00D67EB8" w:rsidRPr="009118AB">
        <w:rPr>
          <w:bCs/>
          <w:i/>
          <w:iCs/>
        </w:rPr>
        <w:t>Abs. </w:t>
      </w:r>
      <w:r w:rsidRPr="009118AB">
        <w:rPr>
          <w:bCs/>
          <w:i/>
          <w:iCs/>
        </w:rPr>
        <w:t xml:space="preserve">1 abgeändert durch </w:t>
      </w:r>
      <w:r w:rsidR="00D67EB8" w:rsidRPr="009118AB">
        <w:rPr>
          <w:bCs/>
          <w:i/>
          <w:iCs/>
        </w:rPr>
        <w:t>Art. </w:t>
      </w:r>
      <w:r w:rsidRPr="009118AB">
        <w:rPr>
          <w:bCs/>
          <w:i/>
          <w:iCs/>
        </w:rPr>
        <w:t>11 des G. vom 17. Mai 2004 (III) (B.S. vom 27. Mai 2004)</w:t>
      </w:r>
      <w:r w:rsidR="00D67EB8" w:rsidRPr="009118AB">
        <w:rPr>
          <w:bCs/>
          <w:i/>
          <w:iCs/>
        </w:rPr>
        <w:t> - </w:t>
      </w:r>
      <w:r w:rsidRPr="009118AB">
        <w:rPr>
          <w:bCs/>
          <w:i/>
          <w:iCs/>
        </w:rPr>
        <w:t>anwendbar auf gezahlte oder zuerkannte Zinsen, aufgelaufen ab dem 1. Juli 2005</w:t>
      </w:r>
      <w:r w:rsidR="00FD68E8" w:rsidRPr="009118AB">
        <w:rPr>
          <w:bCs/>
          <w:i/>
          <w:iCs/>
        </w:rPr>
        <w:t> -,</w:t>
      </w:r>
      <w:r w:rsidRPr="009118AB">
        <w:rPr>
          <w:bCs/>
          <w:i/>
          <w:iCs/>
        </w:rPr>
        <w:t xml:space="preserve"> </w:t>
      </w:r>
      <w:r w:rsidR="00D67EB8" w:rsidRPr="009118AB">
        <w:rPr>
          <w:bCs/>
          <w:i/>
          <w:iCs/>
        </w:rPr>
        <w:t>Art. </w:t>
      </w:r>
      <w:r w:rsidRPr="009118AB">
        <w:rPr>
          <w:bCs/>
          <w:i/>
          <w:iCs/>
        </w:rPr>
        <w:t>32</w:t>
      </w:r>
      <w:r w:rsidRPr="009118AB">
        <w:rPr>
          <w:i/>
          <w:iCs/>
        </w:rPr>
        <w:t xml:space="preserve"> des G. vom 28. Dezember 2011 (B.S. vom 30. Dezember 2</w:t>
      </w:r>
      <w:r w:rsidR="004F7F42" w:rsidRPr="009118AB">
        <w:rPr>
          <w:i/>
          <w:iCs/>
        </w:rPr>
        <w:t>011)</w:t>
      </w:r>
      <w:r w:rsidR="00D67EB8" w:rsidRPr="009118AB">
        <w:rPr>
          <w:i/>
          <w:iCs/>
        </w:rPr>
        <w:t> - </w:t>
      </w:r>
      <w:r w:rsidRPr="009118AB">
        <w:rPr>
          <w:i/>
          <w:iCs/>
        </w:rPr>
        <w:t>anwendbar auf die ab dem 1. Januar 2012 zuerkannten oder ausgeschütteten Einkünfte</w:t>
      </w:r>
      <w:r w:rsidR="00D67EB8" w:rsidRPr="009118AB">
        <w:rPr>
          <w:i/>
          <w:iCs/>
        </w:rPr>
        <w:t> -</w:t>
      </w:r>
      <w:r w:rsidR="0017115B" w:rsidRPr="009118AB">
        <w:rPr>
          <w:i/>
          <w:iCs/>
        </w:rPr>
        <w:t>,</w:t>
      </w:r>
      <w:r w:rsidRPr="009118AB">
        <w:rPr>
          <w:i/>
          <w:iCs/>
        </w:rPr>
        <w:t xml:space="preserve"> </w:t>
      </w:r>
      <w:r w:rsidR="00D67EB8" w:rsidRPr="009118AB">
        <w:rPr>
          <w:i/>
          <w:iCs/>
        </w:rPr>
        <w:t>Art. </w:t>
      </w:r>
      <w:r w:rsidRPr="009118AB">
        <w:rPr>
          <w:i/>
          <w:iCs/>
        </w:rPr>
        <w:t>87 des G. vom 27. Dezember 2012 (B.S. vom 31. Dezember 2012)</w:t>
      </w:r>
      <w:r w:rsidR="00D67EB8" w:rsidRPr="009118AB">
        <w:rPr>
          <w:i/>
          <w:iCs/>
        </w:rPr>
        <w:t> - </w:t>
      </w:r>
      <w:r w:rsidRPr="009118AB">
        <w:rPr>
          <w:i/>
          <w:iCs/>
        </w:rPr>
        <w:t xml:space="preserve">anwendbar auf die ab dem 1. Januar 2013 zuerkannten oder </w:t>
      </w:r>
      <w:r w:rsidRPr="009118AB">
        <w:rPr>
          <w:i/>
          <w:iCs/>
        </w:rPr>
        <w:lastRenderedPageBreak/>
        <w:t>ausgeschütteten Einkünfte</w:t>
      </w:r>
      <w:r w:rsidR="003366D9" w:rsidRPr="009118AB">
        <w:rPr>
          <w:i/>
          <w:iCs/>
        </w:rPr>
        <w:t> -</w:t>
      </w:r>
      <w:r w:rsidR="0017115B" w:rsidRPr="009118AB">
        <w:rPr>
          <w:i/>
          <w:iCs/>
        </w:rPr>
        <w:t xml:space="preserve"> und Art. 41 des G. vom 5. Juli 2022 (B.S. vom 15. Juli 2022)</w:t>
      </w:r>
      <w:r w:rsidR="003366D9" w:rsidRPr="009118AB">
        <w:rPr>
          <w:i/>
          <w:iCs/>
        </w:rPr>
        <w:t>;</w:t>
      </w:r>
      <w:r w:rsidRPr="009118AB">
        <w:rPr>
          <w:bCs/>
          <w:i/>
          <w:iCs/>
        </w:rPr>
        <w:t xml:space="preserve"> </w:t>
      </w:r>
      <w:r w:rsidR="00D67EB8" w:rsidRPr="009118AB">
        <w:rPr>
          <w:bCs/>
          <w:i/>
          <w:iCs/>
        </w:rPr>
        <w:t>Abs. </w:t>
      </w:r>
      <w:r w:rsidRPr="009118AB">
        <w:rPr>
          <w:bCs/>
          <w:i/>
          <w:iCs/>
        </w:rPr>
        <w:t xml:space="preserve">2 </w:t>
      </w:r>
      <w:r w:rsidR="001E1ED5" w:rsidRPr="009118AB">
        <w:rPr>
          <w:bCs/>
          <w:i/>
        </w:rPr>
        <w:t xml:space="preserve">eingefügt durch </w:t>
      </w:r>
      <w:r w:rsidR="00D67EB8" w:rsidRPr="009118AB">
        <w:rPr>
          <w:bCs/>
          <w:i/>
        </w:rPr>
        <w:t>Art. </w:t>
      </w:r>
      <w:r w:rsidRPr="009118AB">
        <w:rPr>
          <w:bCs/>
          <w:i/>
        </w:rPr>
        <w:t>92 des G. vom 27. April 2007 (I) (B.S. vom 8. Mai 2007)</w:t>
      </w:r>
      <w:r w:rsidR="00D67EB8" w:rsidRPr="009118AB">
        <w:rPr>
          <w:bCs/>
          <w:i/>
          <w:iCs/>
        </w:rPr>
        <w:t> - </w:t>
      </w:r>
      <w:r w:rsidRPr="009118AB">
        <w:rPr>
          <w:bCs/>
          <w:i/>
          <w:iCs/>
        </w:rPr>
        <w:t xml:space="preserve">anwendbar </w:t>
      </w:r>
      <w:r w:rsidRPr="009118AB">
        <w:rPr>
          <w:bCs/>
          <w:i/>
        </w:rPr>
        <w:t>ab dem Steuerjahr 2008 auf die in Artikel 205</w:t>
      </w:r>
      <w:r w:rsidRPr="009118AB">
        <w:rPr>
          <w:bCs/>
          <w:i/>
          <w:vertAlign w:val="superscript"/>
        </w:rPr>
        <w:t>2</w:t>
      </w:r>
      <w:r w:rsidRPr="009118AB">
        <w:rPr>
          <w:bCs/>
          <w:i/>
        </w:rPr>
        <w:t xml:space="preserve"> des Einkommensteuergesetzbuches 1992 erwähnten Einkünfte aus Patenten, die sich auf Patente im Sinne von Artikel 205</w:t>
      </w:r>
      <w:r w:rsidRPr="009118AB">
        <w:rPr>
          <w:bCs/>
          <w:i/>
          <w:vertAlign w:val="superscript"/>
        </w:rPr>
        <w:t>2</w:t>
      </w:r>
      <w:r w:rsidRPr="009118AB">
        <w:rPr>
          <w:bCs/>
          <w:i/>
        </w:rPr>
        <w:t> </w:t>
      </w:r>
      <w:r w:rsidR="00D67EB8" w:rsidRPr="009118AB">
        <w:rPr>
          <w:bCs/>
          <w:i/>
        </w:rPr>
        <w:t>§ </w:t>
      </w:r>
      <w:r w:rsidRPr="009118AB">
        <w:rPr>
          <w:bCs/>
          <w:i/>
        </w:rPr>
        <w:t>2 desselben Gesetzbuches beziehen, die die Gesellschaft, ein Lizenznehmer oder verbundene Unternehmen nicht vor dem 1. Januar 2007 zum Verkauf von Gütern oder Dienstleistungen an unabhängige Dritte genutzt hat</w:t>
      </w:r>
      <w:r w:rsidR="00D67EB8" w:rsidRPr="009118AB">
        <w:rPr>
          <w:bCs/>
          <w:i/>
        </w:rPr>
        <w:t> - </w:t>
      </w:r>
      <w:r w:rsidRPr="009118AB">
        <w:rPr>
          <w:bCs/>
          <w:i/>
          <w:iCs/>
        </w:rPr>
        <w:t xml:space="preserve">und abgeändert durch </w:t>
      </w:r>
      <w:r w:rsidR="00D67EB8" w:rsidRPr="009118AB">
        <w:rPr>
          <w:bCs/>
          <w:i/>
          <w:iCs/>
        </w:rPr>
        <w:t>Art. </w:t>
      </w:r>
      <w:r w:rsidRPr="009118AB">
        <w:rPr>
          <w:i/>
          <w:iCs/>
        </w:rPr>
        <w:t xml:space="preserve">9 </w:t>
      </w:r>
      <w:r w:rsidR="00D67EB8" w:rsidRPr="009118AB">
        <w:rPr>
          <w:i/>
          <w:iCs/>
        </w:rPr>
        <w:t>Nr. </w:t>
      </w:r>
      <w:r w:rsidRPr="009118AB">
        <w:rPr>
          <w:i/>
          <w:iCs/>
        </w:rPr>
        <w:t>1 des G. vom 3. August 2016 (I) (B.S. vom 28. März 2017)</w:t>
      </w:r>
      <w:r w:rsidR="00D67EB8" w:rsidRPr="009118AB">
        <w:rPr>
          <w:i/>
          <w:iCs/>
        </w:rPr>
        <w:t> - </w:t>
      </w:r>
      <w:r w:rsidRPr="009118AB">
        <w:rPr>
          <w:i/>
          <w:iCs/>
        </w:rPr>
        <w:t>in Kraft am 1. Juli 2016</w:t>
      </w:r>
      <w:r w:rsidR="00D67EB8" w:rsidRPr="009118AB">
        <w:rPr>
          <w:i/>
          <w:iCs/>
        </w:rPr>
        <w:t> -</w:t>
      </w:r>
      <w:r w:rsidR="00D20FE6" w:rsidRPr="009118AB">
        <w:rPr>
          <w:i/>
          <w:iCs/>
        </w:rPr>
        <w:t>,</w:t>
      </w:r>
      <w:r w:rsidRPr="009118AB">
        <w:rPr>
          <w:i/>
          <w:iCs/>
        </w:rPr>
        <w:t xml:space="preserve"> </w:t>
      </w:r>
      <w:r w:rsidR="00D67EB8" w:rsidRPr="009118AB">
        <w:rPr>
          <w:i/>
          <w:iCs/>
        </w:rPr>
        <w:t>Art. </w:t>
      </w:r>
      <w:r w:rsidRPr="009118AB">
        <w:rPr>
          <w:i/>
          <w:iCs/>
        </w:rPr>
        <w:t xml:space="preserve">14 </w:t>
      </w:r>
      <w:r w:rsidR="00D67EB8" w:rsidRPr="009118AB">
        <w:rPr>
          <w:i/>
          <w:iCs/>
        </w:rPr>
        <w:t>Nr. </w:t>
      </w:r>
      <w:r w:rsidRPr="009118AB">
        <w:rPr>
          <w:i/>
          <w:iCs/>
        </w:rPr>
        <w:t>1</w:t>
      </w:r>
      <w:r w:rsidRPr="009118AB">
        <w:rPr>
          <w:i/>
        </w:rPr>
        <w:t xml:space="preserve"> des G. vom 9. Februar 2017 (B.S. vom 20. Februar 2017)</w:t>
      </w:r>
      <w:r w:rsidR="00D67EB8" w:rsidRPr="009118AB">
        <w:rPr>
          <w:i/>
        </w:rPr>
        <w:t> - </w:t>
      </w:r>
      <w:r w:rsidRPr="009118AB">
        <w:rPr>
          <w:i/>
        </w:rPr>
        <w:t>wirksam mit 1. Juli 2016</w:t>
      </w:r>
      <w:r w:rsidR="003366D9" w:rsidRPr="009118AB">
        <w:rPr>
          <w:i/>
        </w:rPr>
        <w:t> -</w:t>
      </w:r>
      <w:r w:rsidR="00D20FE6" w:rsidRPr="009118AB">
        <w:rPr>
          <w:i/>
        </w:rPr>
        <w:t xml:space="preserve"> und Art. 123 Nr. 1</w:t>
      </w:r>
      <w:r w:rsidR="00D20FE6" w:rsidRPr="009118AB">
        <w:rPr>
          <w:bCs/>
          <w:i/>
          <w:iCs/>
        </w:rPr>
        <w:t xml:space="preserve"> des G. vom 26. Dezember 2022</w:t>
      </w:r>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r w:rsidR="00236038" w:rsidRPr="009118AB">
        <w:rPr>
          <w:bCs/>
          <w:i/>
          <w:iCs/>
        </w:rPr>
        <w:t xml:space="preserve"> </w:t>
      </w:r>
      <w:r w:rsidR="00D20FE6" w:rsidRPr="009118AB">
        <w:rPr>
          <w:bCs/>
          <w:i/>
          <w:iCs/>
        </w:rPr>
        <w:t>(B.S. vom 30. Dezember 2022) - anwendbar auf die Besteuerungszeiträume, die ab dem 31. Dezember 2023 enden -</w:t>
      </w:r>
      <w:r w:rsidR="003366D9" w:rsidRPr="009118AB">
        <w:rPr>
          <w:i/>
        </w:rPr>
        <w:t>;</w:t>
      </w:r>
      <w:r w:rsidRPr="009118AB">
        <w:rPr>
          <w:bCs/>
          <w:i/>
          <w:iCs/>
        </w:rPr>
        <w:t xml:space="preserve"> </w:t>
      </w:r>
      <w:r w:rsidR="00D67EB8" w:rsidRPr="009118AB">
        <w:rPr>
          <w:bCs/>
          <w:i/>
          <w:iCs/>
        </w:rPr>
        <w:t>Abs. </w:t>
      </w:r>
      <w:r w:rsidRPr="009118AB">
        <w:rPr>
          <w:bCs/>
          <w:i/>
          <w:iCs/>
        </w:rPr>
        <w:t>3</w:t>
      </w:r>
      <w:r w:rsidRPr="009118AB">
        <w:rPr>
          <w:bCs/>
          <w:i/>
        </w:rPr>
        <w:t xml:space="preserve"> eingefügt durch </w:t>
      </w:r>
      <w:r w:rsidR="00D67EB8" w:rsidRPr="009118AB">
        <w:rPr>
          <w:bCs/>
          <w:i/>
        </w:rPr>
        <w:t>Art. </w:t>
      </w:r>
      <w:r w:rsidRPr="009118AB">
        <w:rPr>
          <w:bCs/>
          <w:i/>
        </w:rPr>
        <w:t>92 des G. vom 27. April 2007 (I) (B.S. vom 8. Mai 2007)</w:t>
      </w:r>
      <w:r w:rsidR="00D67EB8" w:rsidRPr="009118AB">
        <w:rPr>
          <w:bCs/>
          <w:i/>
          <w:iCs/>
        </w:rPr>
        <w:t> - </w:t>
      </w:r>
      <w:r w:rsidRPr="009118AB">
        <w:rPr>
          <w:bCs/>
          <w:i/>
          <w:iCs/>
        </w:rPr>
        <w:t xml:space="preserve">anwendbar </w:t>
      </w:r>
      <w:r w:rsidRPr="009118AB">
        <w:rPr>
          <w:bCs/>
          <w:i/>
        </w:rPr>
        <w:t>ab dem Steuerjahr 2008 auf die in Artikel 205</w:t>
      </w:r>
      <w:r w:rsidRPr="009118AB">
        <w:rPr>
          <w:bCs/>
          <w:i/>
          <w:vertAlign w:val="superscript"/>
        </w:rPr>
        <w:t>2</w:t>
      </w:r>
      <w:r w:rsidRPr="009118AB">
        <w:rPr>
          <w:bCs/>
          <w:i/>
        </w:rPr>
        <w:t xml:space="preserve"> des Einkommensteuergesetzbuches 1992 erwähnten Einkünfte aus Patenten, die sich auf Patente im Sinne von Artikel 205</w:t>
      </w:r>
      <w:r w:rsidRPr="009118AB">
        <w:rPr>
          <w:bCs/>
          <w:i/>
          <w:vertAlign w:val="superscript"/>
        </w:rPr>
        <w:t>2</w:t>
      </w:r>
      <w:r w:rsidRPr="009118AB">
        <w:rPr>
          <w:bCs/>
          <w:i/>
        </w:rPr>
        <w:t> </w:t>
      </w:r>
      <w:r w:rsidR="00D67EB8" w:rsidRPr="009118AB">
        <w:rPr>
          <w:bCs/>
          <w:i/>
        </w:rPr>
        <w:t>§ </w:t>
      </w:r>
      <w:r w:rsidRPr="009118AB">
        <w:rPr>
          <w:bCs/>
          <w:i/>
        </w:rPr>
        <w:t>2 desselben Gesetzbuches beziehen, die die Gesellschaft, ein Lizenznehmer oder verbundene Unternehmen nicht vor dem 1. Januar 2007 zum Verkauf von Gütern oder Dienstleistungen an unabhängige Dritte genutzt hat</w:t>
      </w:r>
      <w:r w:rsidR="00D67EB8" w:rsidRPr="009118AB">
        <w:rPr>
          <w:bCs/>
          <w:i/>
        </w:rPr>
        <w:t> - </w:t>
      </w:r>
      <w:r w:rsidRPr="009118AB">
        <w:rPr>
          <w:bCs/>
          <w:i/>
          <w:iCs/>
        </w:rPr>
        <w:t xml:space="preserve">und abgeändert durch </w:t>
      </w:r>
      <w:r w:rsidR="00D67EB8" w:rsidRPr="009118AB">
        <w:rPr>
          <w:bCs/>
          <w:i/>
          <w:iCs/>
        </w:rPr>
        <w:t>Art. </w:t>
      </w:r>
      <w:r w:rsidRPr="009118AB">
        <w:rPr>
          <w:i/>
          <w:iCs/>
        </w:rPr>
        <w:t xml:space="preserve">9 </w:t>
      </w:r>
      <w:r w:rsidR="00D67EB8" w:rsidRPr="009118AB">
        <w:rPr>
          <w:i/>
          <w:iCs/>
        </w:rPr>
        <w:t>Nr. </w:t>
      </w:r>
      <w:r w:rsidRPr="009118AB">
        <w:rPr>
          <w:i/>
          <w:iCs/>
        </w:rPr>
        <w:t>2 des G. vom 3. August 2016 (I) (B.S. vom 28. März 2017)</w:t>
      </w:r>
      <w:r w:rsidR="00D67EB8" w:rsidRPr="009118AB">
        <w:rPr>
          <w:i/>
          <w:iCs/>
        </w:rPr>
        <w:t> - </w:t>
      </w:r>
      <w:r w:rsidRPr="009118AB">
        <w:rPr>
          <w:i/>
          <w:iCs/>
        </w:rPr>
        <w:t>in Kraft am 1. Juli 2016</w:t>
      </w:r>
      <w:r w:rsidR="00D67EB8" w:rsidRPr="009118AB">
        <w:rPr>
          <w:i/>
          <w:iCs/>
        </w:rPr>
        <w:t> -</w:t>
      </w:r>
      <w:r w:rsidR="00D20FE6" w:rsidRPr="009118AB">
        <w:rPr>
          <w:i/>
          <w:iCs/>
        </w:rPr>
        <w:t>,</w:t>
      </w:r>
      <w:r w:rsidRPr="009118AB">
        <w:rPr>
          <w:i/>
          <w:iCs/>
        </w:rPr>
        <w:t xml:space="preserve"> </w:t>
      </w:r>
      <w:r w:rsidR="00D67EB8" w:rsidRPr="009118AB">
        <w:rPr>
          <w:i/>
          <w:iCs/>
        </w:rPr>
        <w:t>Art. </w:t>
      </w:r>
      <w:r w:rsidRPr="009118AB">
        <w:rPr>
          <w:i/>
          <w:iCs/>
        </w:rPr>
        <w:t xml:space="preserve">14 </w:t>
      </w:r>
      <w:r w:rsidR="00D67EB8" w:rsidRPr="009118AB">
        <w:rPr>
          <w:i/>
          <w:iCs/>
        </w:rPr>
        <w:t>Nr. </w:t>
      </w:r>
      <w:r w:rsidRPr="009118AB">
        <w:rPr>
          <w:i/>
          <w:iCs/>
        </w:rPr>
        <w:t>2</w:t>
      </w:r>
      <w:r w:rsidRPr="009118AB">
        <w:rPr>
          <w:i/>
        </w:rPr>
        <w:t xml:space="preserve"> des G. vom 9. Februar 2017 (B.S. vom 20. Februar 2017)</w:t>
      </w:r>
      <w:r w:rsidR="00D67EB8" w:rsidRPr="009118AB">
        <w:rPr>
          <w:i/>
        </w:rPr>
        <w:t> - </w:t>
      </w:r>
      <w:r w:rsidRPr="009118AB">
        <w:rPr>
          <w:i/>
        </w:rPr>
        <w:t>wirksam mit 1. Juli 2016</w:t>
      </w:r>
      <w:r w:rsidR="003366D9" w:rsidRPr="009118AB">
        <w:rPr>
          <w:i/>
        </w:rPr>
        <w:t> -</w:t>
      </w:r>
      <w:r w:rsidR="00D20FE6" w:rsidRPr="009118AB">
        <w:rPr>
          <w:i/>
        </w:rPr>
        <w:t xml:space="preserve"> und Art. 123 Nr. 2 und 3</w:t>
      </w:r>
      <w:r w:rsidR="00D20FE6" w:rsidRPr="009118AB">
        <w:rPr>
          <w:bCs/>
          <w:i/>
          <w:iCs/>
        </w:rPr>
        <w:t xml:space="preserve"> des G. vom 26. Dezember 2022</w:t>
      </w:r>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r w:rsidR="00D20FE6" w:rsidRPr="009118AB">
        <w:rPr>
          <w:bCs/>
          <w:i/>
          <w:iCs/>
        </w:rPr>
        <w:t xml:space="preserve"> (B.S. vom 30. Dezember 2022) - anwendbar auf die Besteuerungszeiträume, die ab dem 31. Dezember 2023 enden -</w:t>
      </w:r>
      <w:r w:rsidR="003366D9" w:rsidRPr="009118AB">
        <w:rPr>
          <w:i/>
        </w:rPr>
        <w:t>;</w:t>
      </w:r>
      <w:r w:rsidRPr="009118AB">
        <w:rPr>
          <w:bCs/>
          <w:i/>
          <w:iCs/>
        </w:rPr>
        <w:t xml:space="preserve"> </w:t>
      </w:r>
      <w:r w:rsidR="00D67EB8" w:rsidRPr="009118AB">
        <w:rPr>
          <w:bCs/>
          <w:i/>
          <w:iCs/>
        </w:rPr>
        <w:t>Abs. </w:t>
      </w:r>
      <w:r w:rsidRPr="009118AB">
        <w:rPr>
          <w:bCs/>
          <w:i/>
          <w:iCs/>
        </w:rPr>
        <w:t>4</w:t>
      </w:r>
      <w:r w:rsidRPr="009118AB">
        <w:rPr>
          <w:bCs/>
          <w:i/>
        </w:rPr>
        <w:t xml:space="preserve"> eingefügt durch </w:t>
      </w:r>
      <w:r w:rsidR="00D67EB8" w:rsidRPr="009118AB">
        <w:rPr>
          <w:bCs/>
          <w:i/>
        </w:rPr>
        <w:t>Art. </w:t>
      </w:r>
      <w:r w:rsidRPr="009118AB">
        <w:rPr>
          <w:bCs/>
          <w:i/>
        </w:rPr>
        <w:t>92 des G. vom 27. April 2007 (I) (B.S. vom 8. Mai 2007)</w:t>
      </w:r>
      <w:r w:rsidR="00D67EB8" w:rsidRPr="009118AB">
        <w:rPr>
          <w:bCs/>
          <w:i/>
          <w:iCs/>
        </w:rPr>
        <w:t> - </w:t>
      </w:r>
      <w:r w:rsidRPr="009118AB">
        <w:rPr>
          <w:bCs/>
          <w:i/>
          <w:iCs/>
        </w:rPr>
        <w:t xml:space="preserve">anwendbar </w:t>
      </w:r>
      <w:r w:rsidRPr="009118AB">
        <w:rPr>
          <w:bCs/>
          <w:i/>
        </w:rPr>
        <w:t>ab dem Steuerjahr 2008 auf die in Artikel 205</w:t>
      </w:r>
      <w:r w:rsidRPr="009118AB">
        <w:rPr>
          <w:bCs/>
          <w:i/>
          <w:vertAlign w:val="superscript"/>
        </w:rPr>
        <w:t>2</w:t>
      </w:r>
      <w:r w:rsidRPr="009118AB">
        <w:rPr>
          <w:bCs/>
          <w:i/>
        </w:rPr>
        <w:t xml:space="preserve"> des Einkommensteuergesetzbuches 1992 erwähnten Einkünfte aus Patenten, die sich auf Patente im Sinne von Artikel 205</w:t>
      </w:r>
      <w:r w:rsidRPr="009118AB">
        <w:rPr>
          <w:bCs/>
          <w:i/>
          <w:vertAlign w:val="superscript"/>
        </w:rPr>
        <w:t>2</w:t>
      </w:r>
      <w:r w:rsidRPr="009118AB">
        <w:rPr>
          <w:bCs/>
          <w:i/>
        </w:rPr>
        <w:t> </w:t>
      </w:r>
      <w:r w:rsidR="00D67EB8" w:rsidRPr="009118AB">
        <w:rPr>
          <w:bCs/>
          <w:i/>
        </w:rPr>
        <w:t>§ </w:t>
      </w:r>
      <w:r w:rsidRPr="009118AB">
        <w:rPr>
          <w:bCs/>
          <w:i/>
        </w:rPr>
        <w:t>2 desselben Gesetzbuches beziehen, die die Gesellschaft, ein Lizenznehmer oder verbundene Unternehmen nicht vor dem 1. Januar 2007 zum Verkauf von Gütern oder Dienstleistungen an unabhängige Dritte genutzt hat</w:t>
      </w:r>
      <w:r w:rsidR="00FD68E8" w:rsidRPr="009118AB">
        <w:rPr>
          <w:bCs/>
          <w:i/>
        </w:rPr>
        <w:t> -]</w:t>
      </w:r>
    </w:p>
    <w:p w14:paraId="2192CDB9" w14:textId="77777777" w:rsidR="00477B8F" w:rsidRPr="009118AB" w:rsidRDefault="00477B8F" w:rsidP="00477B8F">
      <w:pPr>
        <w:autoSpaceDE w:val="0"/>
        <w:autoSpaceDN w:val="0"/>
        <w:adjustRightInd w:val="0"/>
        <w:jc w:val="both"/>
      </w:pPr>
    </w:p>
    <w:p w14:paraId="17EAF2B9" w14:textId="77777777" w:rsidR="0031458F" w:rsidRPr="009118AB" w:rsidRDefault="0031458F" w:rsidP="00477B8F">
      <w:pPr>
        <w:autoSpaceDE w:val="0"/>
        <w:autoSpaceDN w:val="0"/>
        <w:adjustRightInd w:val="0"/>
        <w:jc w:val="both"/>
      </w:pPr>
    </w:p>
    <w:p w14:paraId="2B6E65BF" w14:textId="0B6D514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287</w:t>
      </w:r>
      <w:r w:rsidR="00D67EB8" w:rsidRPr="009118AB">
        <w:t> - </w:t>
      </w:r>
      <w:r w:rsidRPr="009118AB">
        <w:t>[In Bezug auf Einkünfte aus Kapitalvermögen und beweglichen Gütern, die keine Dividenden und keine Einkünfte aus Vermietung, Verpachtung, Nutzung und Überlassung von beweglichen Gütern sind, wird der Pauschalanteil ausländischer Steuer festgelegt gemäß dem Produkt:</w:t>
      </w:r>
    </w:p>
    <w:p w14:paraId="45420F40" w14:textId="77777777" w:rsidR="00477B8F" w:rsidRPr="009118AB" w:rsidRDefault="00477B8F" w:rsidP="00477B8F">
      <w:pPr>
        <w:autoSpaceDE w:val="0"/>
        <w:autoSpaceDN w:val="0"/>
        <w:adjustRightInd w:val="0"/>
        <w:jc w:val="both"/>
      </w:pPr>
    </w:p>
    <w:p w14:paraId="124FF34D" w14:textId="77777777" w:rsidR="00477B8F" w:rsidRPr="009118AB" w:rsidRDefault="00477B8F" w:rsidP="00477B8F">
      <w:pPr>
        <w:autoSpaceDE w:val="0"/>
        <w:autoSpaceDN w:val="0"/>
        <w:adjustRightInd w:val="0"/>
        <w:jc w:val="both"/>
      </w:pPr>
      <w:r w:rsidRPr="009118AB">
        <w:tab/>
      </w:r>
      <w:r w:rsidRPr="009118AB">
        <w:rPr>
          <w:i/>
          <w:iCs/>
        </w:rPr>
        <w:t>a)</w:t>
      </w:r>
      <w:r w:rsidRPr="009118AB">
        <w:t xml:space="preserve"> des Bruchs, dessen Zähler der tatsächlich einbehaltenen ausländischen Steuer entspricht, die in einem Prozentsatz des Einkommens, auf das sie sich bezieht, ausgedrückt ist, ohne dass er 15 Prozent dieses Einkommens übersteigen darf, und dessen Nenner 100 beträgt abzüglich der Zahl des Zählers,</w:t>
      </w:r>
    </w:p>
    <w:p w14:paraId="20359DC7" w14:textId="77777777" w:rsidR="00477B8F" w:rsidRPr="009118AB" w:rsidRDefault="00477B8F" w:rsidP="00477B8F">
      <w:pPr>
        <w:autoSpaceDE w:val="0"/>
        <w:autoSpaceDN w:val="0"/>
        <w:adjustRightInd w:val="0"/>
        <w:jc w:val="both"/>
      </w:pPr>
    </w:p>
    <w:p w14:paraId="43F295BD" w14:textId="77777777" w:rsidR="00477B8F" w:rsidRPr="009118AB" w:rsidRDefault="00477B8F" w:rsidP="00477B8F">
      <w:pPr>
        <w:autoSpaceDE w:val="0"/>
        <w:autoSpaceDN w:val="0"/>
        <w:adjustRightInd w:val="0"/>
        <w:jc w:val="both"/>
      </w:pPr>
      <w:r w:rsidRPr="009118AB">
        <w:tab/>
      </w:r>
      <w:r w:rsidRPr="009118AB">
        <w:rPr>
          <w:i/>
          <w:iCs/>
        </w:rPr>
        <w:t>b)</w:t>
      </w:r>
      <w:r w:rsidRPr="009118AB">
        <w:t xml:space="preserve"> und des Bruchs, dessen Zähler der Plusdifferenz zwischen dem Gesamtbetrag des Nenners und dem Gesamtbetrag der Einkünfte aus Kapitalvermögen und beweglichen Gütern entspricht ausschließlich der Dividenden, die die Gesellschaft während des Besteuerungszeitraums getragen hat, und dessen Nenner der Summe des Gesamtbetrags der Einkünfte aus unbeweglichen Gütern, Kapitalvermögen und beweglichen Gütern und des Gesamtbruttobetrags der Berufseinkünfte ausschließlich der verwirklichten oder nicht verwirklichten Mehrwerte entspricht.</w:t>
      </w:r>
    </w:p>
    <w:p w14:paraId="4C674136" w14:textId="77777777" w:rsidR="00477B8F" w:rsidRPr="009118AB" w:rsidRDefault="00477B8F" w:rsidP="00477B8F">
      <w:pPr>
        <w:autoSpaceDE w:val="0"/>
        <w:autoSpaceDN w:val="0"/>
        <w:adjustRightInd w:val="0"/>
        <w:jc w:val="both"/>
      </w:pPr>
    </w:p>
    <w:p w14:paraId="303D8E62" w14:textId="77777777" w:rsidR="00477B8F" w:rsidRPr="009118AB" w:rsidRDefault="00477B8F" w:rsidP="00477B8F">
      <w:pPr>
        <w:autoSpaceDE w:val="0"/>
        <w:autoSpaceDN w:val="0"/>
        <w:adjustRightInd w:val="0"/>
        <w:jc w:val="both"/>
      </w:pPr>
      <w:r w:rsidRPr="009118AB">
        <w:tab/>
        <w:t>Zahlt der Schuldner des Einkommens die ausländische Steuer zur Entlastung des Empfängers, beträgt der in Absatz 1 Buchstabe </w:t>
      </w:r>
      <w:r w:rsidRPr="009118AB">
        <w:rPr>
          <w:i/>
          <w:iCs/>
        </w:rPr>
        <w:t>a)</w:t>
      </w:r>
      <w:r w:rsidRPr="009118AB">
        <w:t xml:space="preserve"> erwähnte Nenner 100.</w:t>
      </w:r>
    </w:p>
    <w:p w14:paraId="448C104E" w14:textId="77777777" w:rsidR="00246460" w:rsidRPr="009118AB" w:rsidRDefault="00246460" w:rsidP="00477B8F">
      <w:pPr>
        <w:autoSpaceDE w:val="0"/>
        <w:autoSpaceDN w:val="0"/>
        <w:adjustRightInd w:val="0"/>
        <w:jc w:val="both"/>
      </w:pPr>
    </w:p>
    <w:p w14:paraId="4C5A5DD9" w14:textId="77777777" w:rsidR="00477B8F" w:rsidRPr="009118AB" w:rsidRDefault="00477B8F" w:rsidP="00477B8F">
      <w:pPr>
        <w:autoSpaceDE w:val="0"/>
        <w:autoSpaceDN w:val="0"/>
        <w:adjustRightInd w:val="0"/>
        <w:jc w:val="both"/>
      </w:pPr>
      <w:r w:rsidRPr="009118AB">
        <w:lastRenderedPageBreak/>
        <w:tab/>
        <w:t>Für die Anwendung von Absatz 1 Buchstabe </w:t>
      </w:r>
      <w:r w:rsidRPr="009118AB">
        <w:rPr>
          <w:i/>
          <w:iCs/>
        </w:rPr>
        <w:t>b)</w:t>
      </w:r>
      <w:r w:rsidRPr="009118AB">
        <w:t xml:space="preserve"> umfassen Einkünfte aus Kapitalvermögen und beweglichen Gütern ebenfalls in Artikel 21 erwähnte Einkünfte.]</w:t>
      </w:r>
    </w:p>
    <w:p w14:paraId="41CF1BAF" w14:textId="77777777" w:rsidR="00477B8F" w:rsidRPr="009118AB" w:rsidRDefault="00477B8F" w:rsidP="00477B8F">
      <w:pPr>
        <w:autoSpaceDE w:val="0"/>
        <w:autoSpaceDN w:val="0"/>
        <w:adjustRightInd w:val="0"/>
        <w:jc w:val="both"/>
      </w:pPr>
    </w:p>
    <w:p w14:paraId="4165D7D9" w14:textId="27588C77"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287 ersetzt durch </w:t>
      </w:r>
      <w:r w:rsidR="00D67EB8" w:rsidRPr="009118AB">
        <w:rPr>
          <w:i/>
          <w:iCs/>
        </w:rPr>
        <w:t>Art. </w:t>
      </w:r>
      <w:r w:rsidRPr="009118AB">
        <w:rPr>
          <w:i/>
          <w:iCs/>
        </w:rPr>
        <w:t>12 des G. vom 22. Juli 1993 (B.S. vom 26. Juli 1993)</w:t>
      </w:r>
      <w:r w:rsidR="00D67EB8" w:rsidRPr="009118AB">
        <w:rPr>
          <w:i/>
          <w:iCs/>
        </w:rPr>
        <w:t> - </w:t>
      </w:r>
      <w:r w:rsidRPr="009118AB">
        <w:rPr>
          <w:i/>
          <w:iCs/>
        </w:rPr>
        <w:t>anwendbar ab dem Steuerjahr 1994</w:t>
      </w:r>
      <w:r w:rsidR="00FD68E8" w:rsidRPr="009118AB">
        <w:rPr>
          <w:i/>
          <w:iCs/>
        </w:rPr>
        <w:t> -]</w:t>
      </w:r>
    </w:p>
    <w:p w14:paraId="7B168069" w14:textId="77777777" w:rsidR="00477B8F" w:rsidRPr="009118AB" w:rsidRDefault="00477B8F" w:rsidP="00477B8F">
      <w:pPr>
        <w:autoSpaceDE w:val="0"/>
        <w:autoSpaceDN w:val="0"/>
        <w:adjustRightInd w:val="0"/>
        <w:jc w:val="both"/>
      </w:pPr>
    </w:p>
    <w:p w14:paraId="29494185" w14:textId="77777777" w:rsidR="00477B8F" w:rsidRPr="009118AB" w:rsidRDefault="00477B8F" w:rsidP="00477B8F">
      <w:pPr>
        <w:autoSpaceDE w:val="0"/>
        <w:autoSpaceDN w:val="0"/>
        <w:adjustRightInd w:val="0"/>
        <w:jc w:val="both"/>
      </w:pPr>
    </w:p>
    <w:p w14:paraId="7A634B14" w14:textId="580C66E2"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288</w:t>
      </w:r>
      <w:r w:rsidR="00D67EB8" w:rsidRPr="009118AB">
        <w:t> - </w:t>
      </w:r>
      <w:r w:rsidRPr="009118AB">
        <w:t>[Beim Empfänger von Einkünften aus Kapitalvermögen und beweglichen Gütern, die keine Dividenden und keine Einkünfte aus Vermietung, Verpachtung, Nutzung und Überlassung von beweglichen Gütern sind, wird der Pauschalanteil ausländischer Steuer nur bis zu dem Teil angerechnet, der sich auf Einkünfte bezieht, die proportional zu dem Zeitraum steuerpflichtig sind, in dem der Steuerpflichtige das Volleigentum am Kapitalvermögen und an den beweglichen Gütern besaß.]</w:t>
      </w:r>
    </w:p>
    <w:p w14:paraId="4E442E35" w14:textId="77777777" w:rsidR="00477B8F" w:rsidRPr="009118AB" w:rsidRDefault="00477B8F" w:rsidP="00477B8F">
      <w:pPr>
        <w:autoSpaceDE w:val="0"/>
        <w:autoSpaceDN w:val="0"/>
        <w:adjustRightInd w:val="0"/>
        <w:jc w:val="both"/>
      </w:pPr>
    </w:p>
    <w:p w14:paraId="28AD8F7B" w14:textId="384DE307"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288 ersetzt durch </w:t>
      </w:r>
      <w:r w:rsidR="00D67EB8" w:rsidRPr="009118AB">
        <w:rPr>
          <w:i/>
          <w:iCs/>
        </w:rPr>
        <w:t>Art. </w:t>
      </w:r>
      <w:r w:rsidRPr="009118AB">
        <w:rPr>
          <w:i/>
          <w:iCs/>
        </w:rPr>
        <w:t>47 des G. vom 6. Juli 1994 (B.S. vom 16. Juli 1994)</w:t>
      </w:r>
      <w:r w:rsidR="00D67EB8" w:rsidRPr="009118AB">
        <w:rPr>
          <w:i/>
          <w:iCs/>
        </w:rPr>
        <w:t> - </w:t>
      </w:r>
      <w:r w:rsidRPr="009118AB">
        <w:rPr>
          <w:i/>
          <w:iCs/>
        </w:rPr>
        <w:t>anwendbar ab dem Steuerjahr 1992</w:t>
      </w:r>
      <w:r w:rsidR="00FD68E8" w:rsidRPr="009118AB">
        <w:rPr>
          <w:i/>
          <w:iCs/>
        </w:rPr>
        <w:t> -]</w:t>
      </w:r>
    </w:p>
    <w:p w14:paraId="25662E90" w14:textId="77777777" w:rsidR="00477B8F" w:rsidRPr="009118AB" w:rsidRDefault="00477B8F" w:rsidP="00477B8F">
      <w:pPr>
        <w:autoSpaceDE w:val="0"/>
        <w:autoSpaceDN w:val="0"/>
        <w:adjustRightInd w:val="0"/>
        <w:jc w:val="both"/>
      </w:pPr>
    </w:p>
    <w:p w14:paraId="5C150BB9" w14:textId="77777777" w:rsidR="00477B8F" w:rsidRPr="009118AB" w:rsidRDefault="00477B8F" w:rsidP="00477B8F">
      <w:pPr>
        <w:autoSpaceDE w:val="0"/>
        <w:autoSpaceDN w:val="0"/>
        <w:adjustRightInd w:val="0"/>
        <w:jc w:val="both"/>
      </w:pPr>
    </w:p>
    <w:p w14:paraId="2E6FA800" w14:textId="3E1E95C5" w:rsidR="00246460" w:rsidRPr="009118AB" w:rsidRDefault="00477B8F" w:rsidP="00477B8F">
      <w:pPr>
        <w:autoSpaceDE w:val="0"/>
        <w:autoSpaceDN w:val="0"/>
        <w:adjustRightInd w:val="0"/>
        <w:jc w:val="both"/>
      </w:pPr>
      <w:r w:rsidRPr="009118AB">
        <w:tab/>
      </w:r>
      <w:r w:rsidR="00D67EB8" w:rsidRPr="009118AB">
        <w:rPr>
          <w:b/>
          <w:bCs/>
        </w:rPr>
        <w:t>Art. </w:t>
      </w:r>
      <w:r w:rsidRPr="009118AB">
        <w:rPr>
          <w:b/>
          <w:bCs/>
        </w:rPr>
        <w:t>289</w:t>
      </w:r>
      <w:r w:rsidR="00D67EB8" w:rsidRPr="009118AB">
        <w:t> - </w:t>
      </w:r>
      <w:r w:rsidRPr="009118AB">
        <w:t>[Der Pauschalanteil ausländischer Steuer wird nicht angerechnet in Bezug auf Einkünfte aus Schuldforderungen und Darlehen, die der Gläubiger in Belgien zur Ausübung der Berufstätigkeit nutzt, wenn der Gläubiger, obwohl er das Geschäft in seinem eigenen Namen getätigt hat, in Wirklichkeit für Rechnung Dritter gehandelt hat, die ihm die notwendigen Gelder zur Finanzierung des Geschäfts bereitgestellt haben und die die Risiken des Geschäfts ganz oder teilweise tragen. Für die Anwendung vorliegender Bestimmung gilt das im Ausland ansässige Unternehmen, das über eine belgische Niederlassung verfügt, die in der Eigenschaft eines Gläubigers auftritt, ebenfalls als Dritter.]</w:t>
      </w:r>
    </w:p>
    <w:p w14:paraId="0C8CE224" w14:textId="77777777" w:rsidR="00812CBE" w:rsidRPr="009118AB" w:rsidRDefault="00812CBE" w:rsidP="00477B8F">
      <w:pPr>
        <w:autoSpaceDE w:val="0"/>
        <w:autoSpaceDN w:val="0"/>
        <w:adjustRightInd w:val="0"/>
        <w:jc w:val="both"/>
      </w:pPr>
    </w:p>
    <w:p w14:paraId="13CC4643" w14:textId="77777777" w:rsidR="00477B8F" w:rsidRPr="009118AB" w:rsidRDefault="00477B8F" w:rsidP="00477B8F">
      <w:pPr>
        <w:autoSpaceDE w:val="0"/>
        <w:autoSpaceDN w:val="0"/>
        <w:adjustRightInd w:val="0"/>
        <w:jc w:val="both"/>
      </w:pPr>
      <w:r w:rsidRPr="009118AB">
        <w:tab/>
        <w:t>[Der Pauschalanteil ausländischer Steuer wird nicht aufgrund von Zinsen angerechnet, die aus Finanzinstrumenten hervorgehen, die in Belgien zur Ausübung der Berufstätigkeit des Empfängers dieser Einkünfte genutzt werden, wenn er diese Finanzinstrumente [entweder als Entleiher in Ausführung eines Verleihs in Bezug auf diese Finanzinstrumente oder als Zessionar oder Pfandgläubiger in Ausführung einer Vereinbarung über die Leistung von dinglichen Sicherheiten] besitzt.]</w:t>
      </w:r>
    </w:p>
    <w:p w14:paraId="1EB0413F" w14:textId="77777777" w:rsidR="00477B8F" w:rsidRPr="009118AB" w:rsidRDefault="00477B8F" w:rsidP="00477B8F">
      <w:pPr>
        <w:autoSpaceDE w:val="0"/>
        <w:autoSpaceDN w:val="0"/>
        <w:adjustRightInd w:val="0"/>
        <w:jc w:val="both"/>
      </w:pPr>
    </w:p>
    <w:p w14:paraId="6AC3DD9C" w14:textId="0EABF113" w:rsidR="00477B8F"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289 </w:t>
      </w:r>
      <w:r w:rsidR="00D67EB8" w:rsidRPr="009118AB">
        <w:rPr>
          <w:i/>
          <w:iCs/>
        </w:rPr>
        <w:t>Abs. </w:t>
      </w:r>
      <w:r w:rsidRPr="009118AB">
        <w:rPr>
          <w:i/>
          <w:iCs/>
        </w:rPr>
        <w:t xml:space="preserve">1 ersetzt durch </w:t>
      </w:r>
      <w:r w:rsidR="00D67EB8" w:rsidRPr="009118AB">
        <w:rPr>
          <w:i/>
          <w:iCs/>
        </w:rPr>
        <w:t>Art. </w:t>
      </w:r>
      <w:r w:rsidRPr="009118AB">
        <w:rPr>
          <w:i/>
          <w:iCs/>
        </w:rPr>
        <w:t>48 des G. vom 6. Juli </w:t>
      </w:r>
      <w:r w:rsidR="004F7F42" w:rsidRPr="009118AB">
        <w:rPr>
          <w:i/>
          <w:iCs/>
        </w:rPr>
        <w:t>1994 (B.S. vom 16. Juli 1994)</w:t>
      </w:r>
      <w:r w:rsidR="00D67EB8" w:rsidRPr="009118AB">
        <w:rPr>
          <w:i/>
          <w:iCs/>
        </w:rPr>
        <w:t> - </w:t>
      </w:r>
      <w:r w:rsidRPr="009118AB">
        <w:rPr>
          <w:i/>
          <w:iCs/>
        </w:rPr>
        <w:t>anwendbar ab dem Steuerjahr 1992</w:t>
      </w:r>
      <w:r w:rsidR="003366D9" w:rsidRPr="009118AB">
        <w:rPr>
          <w:i/>
          <w:iCs/>
        </w:rPr>
        <w:t> -;</w:t>
      </w:r>
      <w:r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62 des G. vom 15. Dezember 2004 (B.S. vom 1. Februar 2005)</w:t>
      </w:r>
      <w:r w:rsidR="00D67EB8" w:rsidRPr="009118AB">
        <w:rPr>
          <w:i/>
          <w:iCs/>
        </w:rPr>
        <w:t> - </w:t>
      </w:r>
      <w:r w:rsidRPr="009118AB">
        <w:rPr>
          <w:i/>
          <w:iCs/>
        </w:rPr>
        <w:t>anwendbar auf Einkünfte aus Finanzinstrumenten, die Gegenstand von Vereinbarungen über die Leistung von dinglichen Sicherheiten und von Verleihen mit Bezug auf Finanzinstrumente sind, die ab dem 1. Februar 2005 abgeschlossen werden</w:t>
      </w:r>
      <w:r w:rsidR="00D67EB8" w:rsidRPr="009118AB">
        <w:rPr>
          <w:i/>
          <w:iCs/>
        </w:rPr>
        <w:t> - </w:t>
      </w:r>
      <w:r w:rsidRPr="009118AB">
        <w:rPr>
          <w:i/>
          <w:iCs/>
        </w:rPr>
        <w:t xml:space="preserve">und abgeändert durch </w:t>
      </w:r>
      <w:r w:rsidR="00D67EB8" w:rsidRPr="009118AB">
        <w:rPr>
          <w:i/>
          <w:iCs/>
        </w:rPr>
        <w:t>Art. </w:t>
      </w:r>
      <w:r w:rsidRPr="009118AB">
        <w:rPr>
          <w:i/>
          <w:iCs/>
        </w:rPr>
        <w:t>11 des G. vom 25. April 2006 (B.S. vom 28. April 2006)</w:t>
      </w:r>
      <w:r w:rsidR="00D67EB8" w:rsidRPr="009118AB">
        <w:rPr>
          <w:i/>
          <w:iCs/>
        </w:rPr>
        <w:t> - </w:t>
      </w:r>
      <w:r w:rsidRPr="009118AB">
        <w:rPr>
          <w:i/>
          <w:iCs/>
        </w:rPr>
        <w:t>anwendbar auf Einkünfte aus Finanzinstrumenten, die Gegenstand von Vereinbarungen über die Leistung von dinglichen Sicherheiten und von Verleihen mit Bezug auf Finanzinstrumente sind, die ab dem 1. Februar 2005 abgeschlossen werden</w:t>
      </w:r>
      <w:r w:rsidR="00FD68E8" w:rsidRPr="009118AB">
        <w:rPr>
          <w:i/>
          <w:iCs/>
        </w:rPr>
        <w:t> -]</w:t>
      </w:r>
    </w:p>
    <w:p w14:paraId="7F964453" w14:textId="77777777" w:rsidR="00577668" w:rsidRDefault="00577668" w:rsidP="00477B8F">
      <w:pPr>
        <w:autoSpaceDE w:val="0"/>
        <w:autoSpaceDN w:val="0"/>
        <w:adjustRightInd w:val="0"/>
        <w:jc w:val="both"/>
      </w:pPr>
    </w:p>
    <w:p w14:paraId="11B4B991" w14:textId="5D3FAB2B" w:rsidR="00577668" w:rsidRDefault="00577668">
      <w:r>
        <w:br w:type="page"/>
      </w:r>
    </w:p>
    <w:p w14:paraId="6E967300" w14:textId="30FB3AED" w:rsidR="00577668" w:rsidRDefault="00577668" w:rsidP="00577668">
      <w:pPr>
        <w:autoSpaceDE w:val="0"/>
        <w:autoSpaceDN w:val="0"/>
        <w:adjustRightInd w:val="0"/>
        <w:jc w:val="center"/>
      </w:pPr>
      <w:r>
        <w:lastRenderedPageBreak/>
        <w:t>[</w:t>
      </w:r>
      <w:r w:rsidRPr="00577668">
        <w:rPr>
          <w:i/>
          <w:iCs/>
        </w:rPr>
        <w:t>Abschnitt 4/1</w:t>
      </w:r>
      <w:r w:rsidRPr="00FF1F87">
        <w:t> - Bestimmung der ausländischen Steuer auf die in Artikel 185/2 erwähnten Gewinne</w:t>
      </w:r>
      <w:r>
        <w:t>]</w:t>
      </w:r>
    </w:p>
    <w:p w14:paraId="5EE25903" w14:textId="77777777" w:rsidR="00577668" w:rsidRDefault="00577668" w:rsidP="00577668">
      <w:pPr>
        <w:autoSpaceDE w:val="0"/>
        <w:autoSpaceDN w:val="0"/>
        <w:adjustRightInd w:val="0"/>
        <w:jc w:val="center"/>
      </w:pPr>
    </w:p>
    <w:p w14:paraId="6E51CFBF" w14:textId="78822747" w:rsidR="00577668" w:rsidRDefault="00577668" w:rsidP="00577668">
      <w:pPr>
        <w:autoSpaceDE w:val="0"/>
        <w:autoSpaceDN w:val="0"/>
        <w:adjustRightInd w:val="0"/>
        <w:jc w:val="both"/>
        <w:rPr>
          <w:i/>
          <w:iCs/>
        </w:rPr>
      </w:pPr>
      <w:r>
        <w:rPr>
          <w:i/>
          <w:iCs/>
        </w:rPr>
        <w:t>[Unterteilung Abschnitt 4/1 eingefügt durch Art. 27</w:t>
      </w:r>
      <w:r w:rsidRPr="00577668">
        <w:rPr>
          <w:i/>
          <w:iCs/>
        </w:rPr>
        <w:t xml:space="preserve"> des G. vom 22. Dezember 2023 (II) (B.S. vom 29. Dezember 2023) - anwendbar ab dem Steuerjahr 2024 -</w:t>
      </w:r>
      <w:r>
        <w:rPr>
          <w:i/>
          <w:iCs/>
        </w:rPr>
        <w:t>]</w:t>
      </w:r>
    </w:p>
    <w:p w14:paraId="4089FA51" w14:textId="77777777" w:rsidR="00577668" w:rsidRDefault="00577668" w:rsidP="00577668">
      <w:pPr>
        <w:autoSpaceDE w:val="0"/>
        <w:autoSpaceDN w:val="0"/>
        <w:adjustRightInd w:val="0"/>
        <w:jc w:val="both"/>
      </w:pPr>
    </w:p>
    <w:p w14:paraId="3AC53CAD" w14:textId="77777777" w:rsidR="00577668" w:rsidRDefault="00577668" w:rsidP="00577668">
      <w:pPr>
        <w:autoSpaceDE w:val="0"/>
        <w:autoSpaceDN w:val="0"/>
        <w:adjustRightInd w:val="0"/>
        <w:jc w:val="both"/>
      </w:pPr>
    </w:p>
    <w:p w14:paraId="469A1451" w14:textId="77777777" w:rsidR="00577668" w:rsidRPr="00FF1F87" w:rsidRDefault="00577668" w:rsidP="00577668">
      <w:pPr>
        <w:ind w:firstLine="708"/>
        <w:jc w:val="both"/>
      </w:pPr>
      <w:r>
        <w:tab/>
        <w:t>[</w:t>
      </w:r>
      <w:r w:rsidRPr="00577668">
        <w:rPr>
          <w:b/>
          <w:bCs/>
        </w:rPr>
        <w:t>Art. 289/1</w:t>
      </w:r>
      <w:r w:rsidRPr="00FF1F87">
        <w:t> - Falls gemäß Artikel 185/2 die nicht ausgeschütteten Gewinne einer in demselben Artikel erwähnten ausländischen Gesellschaft oder ausländischen Niederlassung, die als CFC gilt, im vorhergehenden Besteuerungszeitraum beim Steuerpflichtigen besteuert wurden, so kann die Steuer, die die ausländische Gesellschaft oder die ausländische Niederlassung tatsächlich an den Staat gezahlt hat, in dem diese ausländische Gesellschaft ansässig oder die ausländische Niederlassung gelegen ist, als Zahlung der ausländischen Einkommensteuer, die für diesen Besteuerungszeitraum geschuldet wird, auf die Gesellschaftssteuer angerechnet werden, die für den Besteuerungszeitraum geschuldet wird, und zwar gemäß den Bestimmungen des vorliegenden Artikels.</w:t>
      </w:r>
    </w:p>
    <w:p w14:paraId="200A43E4" w14:textId="77777777" w:rsidR="00577668" w:rsidRPr="00FF1F87" w:rsidRDefault="00577668" w:rsidP="00577668">
      <w:pPr>
        <w:jc w:val="both"/>
      </w:pPr>
    </w:p>
    <w:p w14:paraId="44DB3AD9" w14:textId="77777777" w:rsidR="00577668" w:rsidRPr="00FF1F87" w:rsidRDefault="00577668" w:rsidP="00577668">
      <w:pPr>
        <w:ind w:firstLine="708"/>
        <w:jc w:val="both"/>
      </w:pPr>
      <w:r w:rsidRPr="00FF1F87">
        <w:t>Der Betrag der für diesen Besteuerungszeitraum tatsächlich gezahlten Einkommensteuer, die die ausländische Gesellschaft oder die ausländische Niederlassung der ausländischen Gesellschaft dem Staat schuldet, in dem diese ausländische Gesellschaft ansässig oder die ausländische Niederlassung gelegen ist, wird mit einem Bruch multipliziert, dessen Zähler dem nach Anwendung von Artikel 185/2 § 2 Absatz 5 erhaltenen Betrag entspricht, der in Anwendung dieses Artikels 185/2 tatsächlich als Gewinn des Steuerpflichtigen galt, und dessen Nenner dem Gewinn der ausländischen Gesellschaft oder der ausländischen Niederlassung entspricht, der gemäß Artikel 185/2 § 2 Absatz 2 festgelegt wurde.</w:t>
      </w:r>
    </w:p>
    <w:p w14:paraId="296D7970" w14:textId="77777777" w:rsidR="00577668" w:rsidRPr="00FF1F87" w:rsidRDefault="00577668" w:rsidP="00577668">
      <w:pPr>
        <w:jc w:val="both"/>
      </w:pPr>
    </w:p>
    <w:p w14:paraId="67D89906" w14:textId="77777777" w:rsidR="00577668" w:rsidRPr="00FF1F87" w:rsidRDefault="00577668" w:rsidP="00577668">
      <w:pPr>
        <w:ind w:firstLine="708"/>
        <w:jc w:val="both"/>
      </w:pPr>
      <w:r w:rsidRPr="00FF1F87">
        <w:t>Der Betrag der für diesen Besteuerungszeitraum tatsächlich gezahlten Einkommensteuer, die die ausländische Niederlassung des Steuerpflichtigen dem Staat schuldet, in dem diese ausländische Niederlassung gelegen ist, wird mit einem Bruch multipliziert, dessen Zähler dem nach Anwendung von Artikel 185/2 § 2 Absatz 8 erhaltenen Betrag entspricht, der in Anwendung dieses Artikels 185/2 tatsächlich als Gewinn des Steuerpflichtigen galt, und dessen Nenner dem Gewinn der ausländischen Niederlassung entspricht, der gemäß Artikel 185/2 § 2 Absatz 7 festgelegt wurde.</w:t>
      </w:r>
    </w:p>
    <w:p w14:paraId="7B736520" w14:textId="77777777" w:rsidR="00577668" w:rsidRPr="00FF1F87" w:rsidRDefault="00577668" w:rsidP="00577668">
      <w:pPr>
        <w:jc w:val="both"/>
      </w:pPr>
    </w:p>
    <w:p w14:paraId="3CBE3EA8" w14:textId="2B142D09" w:rsidR="00577668" w:rsidRDefault="00577668" w:rsidP="00577668">
      <w:pPr>
        <w:autoSpaceDE w:val="0"/>
        <w:autoSpaceDN w:val="0"/>
        <w:adjustRightInd w:val="0"/>
        <w:ind w:firstLine="708"/>
        <w:jc w:val="both"/>
      </w:pPr>
      <w:r w:rsidRPr="00FF1F87">
        <w:t>Bei der Bestimmung des Betrags der für den Besteuerungszeitraum tatsächlich gezahlten Einkommensteuer werden auch die Vorauszahlungen in Bezug auf diese Einkommensteuern berücksichtigt, die im Zeitraum vor dem Besteuerungszeitraum getätigt wurden, gegebenenfalls jedoch mit Ausnahme von Steuerzuschlägen, Geldbußen oder anderen Formen von Verwaltungsstrafen.</w:t>
      </w:r>
      <w:r>
        <w:t>]</w:t>
      </w:r>
    </w:p>
    <w:p w14:paraId="52720728" w14:textId="77777777" w:rsidR="00577668" w:rsidRDefault="00577668" w:rsidP="00577668">
      <w:pPr>
        <w:autoSpaceDE w:val="0"/>
        <w:autoSpaceDN w:val="0"/>
        <w:adjustRightInd w:val="0"/>
        <w:ind w:firstLine="708"/>
        <w:jc w:val="both"/>
      </w:pPr>
    </w:p>
    <w:p w14:paraId="646A9A81" w14:textId="1BAD15BA" w:rsidR="00577668" w:rsidRPr="00577668" w:rsidRDefault="00577668" w:rsidP="00577668">
      <w:pPr>
        <w:autoSpaceDE w:val="0"/>
        <w:autoSpaceDN w:val="0"/>
        <w:adjustRightInd w:val="0"/>
        <w:jc w:val="both"/>
        <w:rPr>
          <w:i/>
          <w:iCs/>
        </w:rPr>
      </w:pPr>
      <w:r>
        <w:rPr>
          <w:i/>
          <w:iCs/>
        </w:rPr>
        <w:t>[Art. 289/1 eingefügt durch Art. 28</w:t>
      </w:r>
      <w:r w:rsidRPr="00577668">
        <w:rPr>
          <w:i/>
          <w:iCs/>
        </w:rPr>
        <w:t xml:space="preserve"> des G. vom 22. Dezember 2023 (II) (B.S. vom 29. Dezember 2023) - anwendbar ab dem Steuerjahr 2024 -</w:t>
      </w:r>
      <w:r>
        <w:rPr>
          <w:i/>
          <w:iCs/>
        </w:rPr>
        <w:t>]</w:t>
      </w:r>
    </w:p>
    <w:p w14:paraId="77198DB3" w14:textId="3D39AEEE" w:rsidR="00477B8F" w:rsidRPr="009118AB" w:rsidRDefault="00477B8F" w:rsidP="00477B8F">
      <w:pPr>
        <w:autoSpaceDE w:val="0"/>
        <w:autoSpaceDN w:val="0"/>
        <w:adjustRightInd w:val="0"/>
        <w:jc w:val="center"/>
      </w:pPr>
      <w:r w:rsidRPr="009118AB">
        <w:br w:type="page"/>
      </w:r>
      <w:r w:rsidRPr="009118AB">
        <w:lastRenderedPageBreak/>
        <w:t>[</w:t>
      </w:r>
      <w:r w:rsidRPr="009118AB">
        <w:rPr>
          <w:i/>
          <w:iCs/>
        </w:rPr>
        <w:t>Abschnitt </w:t>
      </w:r>
      <w:r w:rsidR="00D74862" w:rsidRPr="009118AB">
        <w:rPr>
          <w:i/>
          <w:iCs/>
        </w:rPr>
        <w:t>4</w:t>
      </w:r>
      <w:r w:rsidRPr="009118AB">
        <w:rPr>
          <w:i/>
          <w:iCs/>
        </w:rPr>
        <w:t>bis</w:t>
      </w:r>
      <w:r w:rsidR="00D67EB8" w:rsidRPr="009118AB">
        <w:t> - </w:t>
      </w:r>
      <w:r w:rsidR="00306DAF" w:rsidRPr="009118AB">
        <w:t>[Steuergutschriften]</w:t>
      </w:r>
    </w:p>
    <w:p w14:paraId="2A5DF8AD" w14:textId="77777777" w:rsidR="00477B8F" w:rsidRPr="009118AB" w:rsidRDefault="00477B8F" w:rsidP="00477B8F">
      <w:pPr>
        <w:autoSpaceDE w:val="0"/>
        <w:autoSpaceDN w:val="0"/>
        <w:adjustRightInd w:val="0"/>
        <w:jc w:val="center"/>
      </w:pPr>
    </w:p>
    <w:p w14:paraId="7219C702" w14:textId="04B2A1B0" w:rsidR="00477B8F" w:rsidRPr="009118AB" w:rsidRDefault="00477B8F" w:rsidP="00477B8F">
      <w:pPr>
        <w:autoSpaceDE w:val="0"/>
        <w:autoSpaceDN w:val="0"/>
        <w:adjustRightInd w:val="0"/>
        <w:jc w:val="both"/>
      </w:pPr>
      <w:r w:rsidRPr="009118AB">
        <w:rPr>
          <w:i/>
          <w:iCs/>
        </w:rPr>
        <w:t>[Abschnitt </w:t>
      </w:r>
      <w:r w:rsidR="00D74862" w:rsidRPr="009118AB">
        <w:rPr>
          <w:i/>
          <w:iCs/>
        </w:rPr>
        <w:t>4</w:t>
      </w:r>
      <w:r w:rsidRPr="009118AB">
        <w:rPr>
          <w:i/>
          <w:iCs/>
        </w:rPr>
        <w:t xml:space="preserve">bis mit </w:t>
      </w:r>
      <w:r w:rsidR="00D67EB8" w:rsidRPr="009118AB">
        <w:rPr>
          <w:i/>
          <w:iCs/>
        </w:rPr>
        <w:t>Art. </w:t>
      </w:r>
      <w:r w:rsidRPr="009118AB">
        <w:rPr>
          <w:i/>
          <w:iCs/>
        </w:rPr>
        <w:t xml:space="preserve">289bis eingefügt durch </w:t>
      </w:r>
      <w:r w:rsidR="00D67EB8" w:rsidRPr="009118AB">
        <w:rPr>
          <w:i/>
          <w:iCs/>
        </w:rPr>
        <w:t>Art. </w:t>
      </w:r>
      <w:r w:rsidRPr="009118AB">
        <w:rPr>
          <w:i/>
          <w:iCs/>
        </w:rPr>
        <w:t>15 des G. vom 20. Dezember 1995 (B.S.</w:t>
      </w:r>
      <w:r w:rsidR="00812CBE" w:rsidRPr="009118AB">
        <w:rPr>
          <w:i/>
          <w:iCs/>
        </w:rPr>
        <w:t> </w:t>
      </w:r>
      <w:r w:rsidRPr="009118AB">
        <w:rPr>
          <w:i/>
          <w:iCs/>
        </w:rPr>
        <w:t>vom 23. Dezember 1995)</w:t>
      </w:r>
      <w:r w:rsidR="00306DAF" w:rsidRPr="009118AB">
        <w:rPr>
          <w:i/>
          <w:iCs/>
        </w:rPr>
        <w:t xml:space="preserve">; Überschrift von Abschnitt 4bis ersetzt durch </w:t>
      </w:r>
      <w:r w:rsidR="00D67EB8" w:rsidRPr="009118AB">
        <w:rPr>
          <w:i/>
          <w:iCs/>
        </w:rPr>
        <w:t>Art. </w:t>
      </w:r>
      <w:r w:rsidR="00306DAF" w:rsidRPr="009118AB">
        <w:rPr>
          <w:i/>
          <w:iCs/>
        </w:rPr>
        <w:t>81</w:t>
      </w:r>
      <w:r w:rsidR="00306DAF" w:rsidRPr="009118AB">
        <w:rPr>
          <w:i/>
        </w:rPr>
        <w:t xml:space="preserve"> des G. vom 8. Mai 2014 (B.S. vom 28. Mai 2014)</w:t>
      </w:r>
      <w:r w:rsidR="00D67EB8" w:rsidRPr="009118AB">
        <w:rPr>
          <w:i/>
        </w:rPr>
        <w:t> - </w:t>
      </w:r>
      <w:r w:rsidR="00306DAF" w:rsidRPr="009118AB">
        <w:rPr>
          <w:i/>
          <w:iCs/>
        </w:rPr>
        <w:t>anwendbar ab dem Steuerjahr 2015</w:t>
      </w:r>
      <w:r w:rsidR="00FD68E8" w:rsidRPr="009118AB">
        <w:rPr>
          <w:i/>
          <w:iCs/>
        </w:rPr>
        <w:t> -]</w:t>
      </w:r>
    </w:p>
    <w:p w14:paraId="61F48079" w14:textId="77777777" w:rsidR="00477B8F" w:rsidRPr="009118AB" w:rsidRDefault="00477B8F" w:rsidP="00477B8F">
      <w:pPr>
        <w:autoSpaceDE w:val="0"/>
        <w:autoSpaceDN w:val="0"/>
        <w:adjustRightInd w:val="0"/>
        <w:jc w:val="both"/>
      </w:pPr>
    </w:p>
    <w:p w14:paraId="7BF19FC2" w14:textId="77777777" w:rsidR="00477B8F" w:rsidRPr="009118AB" w:rsidRDefault="00477B8F" w:rsidP="00477B8F">
      <w:pPr>
        <w:autoSpaceDE w:val="0"/>
        <w:autoSpaceDN w:val="0"/>
        <w:adjustRightInd w:val="0"/>
        <w:jc w:val="both"/>
      </w:pPr>
    </w:p>
    <w:p w14:paraId="7F8AD4B4" w14:textId="0BDC77CC" w:rsidR="00477B8F" w:rsidRPr="009118AB" w:rsidRDefault="00477B8F" w:rsidP="00477B8F">
      <w:pPr>
        <w:autoSpaceDE w:val="0"/>
        <w:autoSpaceDN w:val="0"/>
        <w:adjustRightInd w:val="0"/>
        <w:jc w:val="center"/>
      </w:pPr>
      <w:r w:rsidRPr="009118AB">
        <w:t>[Unterabschnitt </w:t>
      </w:r>
      <w:r w:rsidR="00D74862" w:rsidRPr="009118AB">
        <w:t>1</w:t>
      </w:r>
      <w:r w:rsidR="00D67EB8" w:rsidRPr="009118AB">
        <w:t> - </w:t>
      </w:r>
      <w:r w:rsidRPr="009118AB">
        <w:t>Steuergutschrift für Steuerpflichtige</w:t>
      </w:r>
      <w:r w:rsidR="00D67EB8" w:rsidRPr="009118AB">
        <w:t> - </w:t>
      </w:r>
      <w:r w:rsidRPr="009118AB">
        <w:t>natürliche Personen]</w:t>
      </w:r>
    </w:p>
    <w:p w14:paraId="0C0EE7B8" w14:textId="77777777" w:rsidR="00477B8F" w:rsidRPr="009118AB" w:rsidRDefault="00477B8F" w:rsidP="00477B8F">
      <w:pPr>
        <w:autoSpaceDE w:val="0"/>
        <w:autoSpaceDN w:val="0"/>
        <w:adjustRightInd w:val="0"/>
        <w:jc w:val="both"/>
      </w:pPr>
    </w:p>
    <w:p w14:paraId="32DC27BB" w14:textId="763AF8CC" w:rsidR="00477B8F" w:rsidRPr="009118AB" w:rsidRDefault="00477B8F" w:rsidP="00477B8F">
      <w:pPr>
        <w:autoSpaceDE w:val="0"/>
        <w:autoSpaceDN w:val="0"/>
        <w:adjustRightInd w:val="0"/>
        <w:jc w:val="both"/>
      </w:pPr>
      <w:r w:rsidRPr="009118AB">
        <w:rPr>
          <w:i/>
          <w:iCs/>
        </w:rPr>
        <w:t xml:space="preserve">[Unterteilung Unterabschnitt </w:t>
      </w:r>
      <w:r w:rsidR="00D74862" w:rsidRPr="009118AB">
        <w:rPr>
          <w:i/>
          <w:iCs/>
        </w:rPr>
        <w:t>1</w:t>
      </w:r>
      <w:r w:rsidRPr="009118AB">
        <w:rPr>
          <w:i/>
          <w:iCs/>
        </w:rPr>
        <w:t xml:space="preserve"> eingefügt durch </w:t>
      </w:r>
      <w:r w:rsidR="00D67EB8" w:rsidRPr="009118AB">
        <w:rPr>
          <w:i/>
          <w:iCs/>
        </w:rPr>
        <w:t>Art. </w:t>
      </w:r>
      <w:r w:rsidRPr="009118AB">
        <w:rPr>
          <w:i/>
          <w:iCs/>
        </w:rPr>
        <w:t>123 des G. vom 23. Dezember 2005 (B.S.</w:t>
      </w:r>
      <w:r w:rsidR="00812CBE" w:rsidRPr="009118AB">
        <w:rPr>
          <w:i/>
          <w:iCs/>
        </w:rPr>
        <w:t> </w:t>
      </w:r>
      <w:r w:rsidRPr="009118AB">
        <w:rPr>
          <w:i/>
          <w:iCs/>
        </w:rPr>
        <w:t>vom 30. Dezember 2005)</w:t>
      </w:r>
      <w:r w:rsidR="00D67EB8" w:rsidRPr="009118AB">
        <w:rPr>
          <w:i/>
          <w:iCs/>
        </w:rPr>
        <w:t> - </w:t>
      </w:r>
      <w:r w:rsidRPr="009118AB">
        <w:rPr>
          <w:i/>
          <w:iCs/>
        </w:rPr>
        <w:t>in Kraft ab dem Steuerjahr 2007</w:t>
      </w:r>
      <w:r w:rsidR="00FD68E8" w:rsidRPr="009118AB">
        <w:rPr>
          <w:i/>
          <w:iCs/>
        </w:rPr>
        <w:t> -]</w:t>
      </w:r>
    </w:p>
    <w:p w14:paraId="42ECF904" w14:textId="77777777" w:rsidR="00477B8F" w:rsidRPr="009118AB" w:rsidRDefault="00477B8F" w:rsidP="00477B8F">
      <w:pPr>
        <w:autoSpaceDE w:val="0"/>
        <w:autoSpaceDN w:val="0"/>
        <w:adjustRightInd w:val="0"/>
        <w:jc w:val="both"/>
      </w:pPr>
    </w:p>
    <w:p w14:paraId="1819DE41" w14:textId="77777777" w:rsidR="00477B8F" w:rsidRPr="009118AB" w:rsidRDefault="00477B8F" w:rsidP="00477B8F">
      <w:pPr>
        <w:autoSpaceDE w:val="0"/>
        <w:autoSpaceDN w:val="0"/>
        <w:adjustRightInd w:val="0"/>
        <w:jc w:val="both"/>
      </w:pPr>
    </w:p>
    <w:p w14:paraId="33702840" w14:textId="6D0C2476"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289</w:t>
      </w:r>
      <w:r w:rsidRPr="009118AB">
        <w:rPr>
          <w:b/>
          <w:bCs/>
          <w:i/>
          <w:iCs/>
        </w:rPr>
        <w:t>bis</w:t>
      </w:r>
      <w:r w:rsidR="00D67EB8" w:rsidRPr="009118AB">
        <w:t> - </w:t>
      </w:r>
      <w:r w:rsidRPr="009118AB">
        <w:t>[</w:t>
      </w:r>
      <w:r w:rsidR="00D67EB8" w:rsidRPr="009118AB">
        <w:t>§ </w:t>
      </w:r>
      <w:r w:rsidRPr="009118AB">
        <w:t>1</w:t>
      </w:r>
      <w:r w:rsidR="00D67EB8" w:rsidRPr="009118AB">
        <w:t> - </w:t>
      </w:r>
      <w:r w:rsidR="00892AA9" w:rsidRPr="009118AB">
        <w:t>[</w:t>
      </w:r>
      <w:r w:rsidR="006D2D07" w:rsidRPr="009118AB">
        <w:t xml:space="preserve">Einwohnern des Königreichs, die in Artikel 23 </w:t>
      </w:r>
      <w:r w:rsidR="00D67EB8" w:rsidRPr="009118AB">
        <w:t>§ </w:t>
      </w:r>
      <w:r w:rsidR="006D2D07" w:rsidRPr="009118AB">
        <w:t xml:space="preserve">1 </w:t>
      </w:r>
      <w:r w:rsidR="00D67EB8" w:rsidRPr="009118AB">
        <w:t>Nr. </w:t>
      </w:r>
      <w:r w:rsidR="006D2D07" w:rsidRPr="009118AB">
        <w:t xml:space="preserve">1 und 2 erwähnte Gewinne oder Profite erzielen oder beziehen, und in Artikel 227 </w:t>
      </w:r>
      <w:r w:rsidR="00D67EB8" w:rsidRPr="009118AB">
        <w:t>Nr. </w:t>
      </w:r>
      <w:r w:rsidR="006D2D07" w:rsidRPr="009118AB">
        <w:t xml:space="preserve">1 erwähnten Gebietsfremden, die in Artikel 228 </w:t>
      </w:r>
      <w:r w:rsidR="00D67EB8" w:rsidRPr="009118AB">
        <w:t>§ </w:t>
      </w:r>
      <w:r w:rsidR="006D2D07" w:rsidRPr="009118AB">
        <w:t xml:space="preserve">2 </w:t>
      </w:r>
      <w:r w:rsidR="00D67EB8" w:rsidRPr="009118AB">
        <w:t>Nr. </w:t>
      </w:r>
      <w:r w:rsidR="006D2D07" w:rsidRPr="009118AB">
        <w:t>3 und 4 erwähnte Gewinne oder Profite erzielen oder beziehen, wird eine Steuergutschrift von 10 Prozent</w:t>
      </w:r>
      <w:r w:rsidR="00D67EB8" w:rsidRPr="009118AB">
        <w:t> - </w:t>
      </w:r>
      <w:r w:rsidR="006D2D07" w:rsidRPr="009118AB">
        <w:t>mit einem Höchstbetrag von 3.750 EUR</w:t>
      </w:r>
      <w:r w:rsidR="00D67EB8" w:rsidRPr="009118AB">
        <w:t> - </w:t>
      </w:r>
      <w:r w:rsidR="006D2D07" w:rsidRPr="009118AB">
        <w:t>des nachfolgenden Überschusses gewährt:</w:t>
      </w:r>
      <w:r w:rsidR="00892AA9" w:rsidRPr="009118AB">
        <w:t>]</w:t>
      </w:r>
    </w:p>
    <w:p w14:paraId="70C4E169" w14:textId="77777777" w:rsidR="00477B8F" w:rsidRPr="009118AB" w:rsidRDefault="00477B8F" w:rsidP="00477B8F">
      <w:pPr>
        <w:autoSpaceDE w:val="0"/>
        <w:autoSpaceDN w:val="0"/>
        <w:adjustRightInd w:val="0"/>
        <w:jc w:val="both"/>
      </w:pPr>
    </w:p>
    <w:p w14:paraId="4C0861E5" w14:textId="77777777" w:rsidR="00477B8F" w:rsidRPr="009118AB" w:rsidRDefault="00477B8F" w:rsidP="00477B8F">
      <w:pPr>
        <w:autoSpaceDE w:val="0"/>
        <w:autoSpaceDN w:val="0"/>
        <w:adjustRightInd w:val="0"/>
        <w:jc w:val="both"/>
      </w:pPr>
      <w:r w:rsidRPr="009118AB">
        <w:tab/>
        <w:t>- der Plusdifferenz, die am Ende des Besteuerungszeitraums zwischen dem Steuerwert der in Artikel 41 erwähnten Anlagen und dem Gesamtbetrag der Schulden mit einer ursprünglichen Laufzeit von mehr als einem Jahr besteht, die die Ausübung von Gewinne oder Profite erzeugenden Berufstätigkeiten betreffen,</w:t>
      </w:r>
    </w:p>
    <w:p w14:paraId="78A065A1" w14:textId="77777777" w:rsidR="00477B8F" w:rsidRPr="009118AB" w:rsidRDefault="00477B8F" w:rsidP="00477B8F">
      <w:pPr>
        <w:autoSpaceDE w:val="0"/>
        <w:autoSpaceDN w:val="0"/>
        <w:adjustRightInd w:val="0"/>
        <w:jc w:val="both"/>
      </w:pPr>
    </w:p>
    <w:p w14:paraId="3C67D0B8" w14:textId="77777777" w:rsidR="00477B8F" w:rsidRPr="009118AB" w:rsidRDefault="00477B8F" w:rsidP="00477B8F">
      <w:pPr>
        <w:autoSpaceDE w:val="0"/>
        <w:autoSpaceDN w:val="0"/>
        <w:adjustRightInd w:val="0"/>
        <w:jc w:val="both"/>
      </w:pPr>
      <w:r w:rsidRPr="009118AB">
        <w:tab/>
        <w:t>- im Verhältnis zu dem Höchstbetrag dieser Differenz am Ende eines der drei vorhergehenden Besteuerungszeiträume.</w:t>
      </w:r>
    </w:p>
    <w:p w14:paraId="75BEE6CD" w14:textId="77777777" w:rsidR="00477B8F" w:rsidRPr="009118AB" w:rsidRDefault="00477B8F" w:rsidP="00477B8F">
      <w:pPr>
        <w:autoSpaceDE w:val="0"/>
        <w:autoSpaceDN w:val="0"/>
        <w:adjustRightInd w:val="0"/>
        <w:jc w:val="both"/>
      </w:pPr>
    </w:p>
    <w:p w14:paraId="37A93D03" w14:textId="77777777" w:rsidR="00092893" w:rsidRPr="009118AB" w:rsidRDefault="00092893" w:rsidP="00477B8F">
      <w:pPr>
        <w:autoSpaceDE w:val="0"/>
        <w:autoSpaceDN w:val="0"/>
        <w:adjustRightInd w:val="0"/>
        <w:jc w:val="both"/>
      </w:pPr>
      <w:r w:rsidRPr="009118AB">
        <w:tab/>
        <w:t>[Für die Berechnung der Steuergutschrift werden Anlagen und Schulden in dem Maße, wie sie die Ausübung von Berufstätigkeiten betreffen, die Einkünfte erzeugen, auf die Artikel 155 oder 156 Anwendung finden kann, nicht berücksichtigt.]</w:t>
      </w:r>
    </w:p>
    <w:p w14:paraId="72965D5A" w14:textId="77777777" w:rsidR="00092893" w:rsidRPr="009118AB" w:rsidRDefault="00092893" w:rsidP="00477B8F">
      <w:pPr>
        <w:autoSpaceDE w:val="0"/>
        <w:autoSpaceDN w:val="0"/>
        <w:adjustRightInd w:val="0"/>
        <w:jc w:val="both"/>
      </w:pPr>
    </w:p>
    <w:p w14:paraId="0D88278E" w14:textId="77777777" w:rsidR="00477B8F" w:rsidRPr="009118AB" w:rsidRDefault="00477B8F" w:rsidP="00477B8F">
      <w:pPr>
        <w:autoSpaceDE w:val="0"/>
        <w:autoSpaceDN w:val="0"/>
        <w:adjustRightInd w:val="0"/>
        <w:jc w:val="both"/>
      </w:pPr>
      <w:r w:rsidRPr="009118AB">
        <w:tab/>
        <w:t>Die Bewilligung der Steuergutschrift unterliegt der Bedingung, dass der Steuerpflichtige seiner Einkommensteuererklärung eine Bescheinigung beifügt, deren Muster vom Minister, zu dessen Zuständigkeitsbereich das Sozialstatut der Selbständigen gehört, festgelegt wird und in der bescheinigt wird, dass er die Zahlung seiner Beiträge zur sozialen Sicherheit als Selbständiger ordnungsgemäß geleistet hat.</w:t>
      </w:r>
    </w:p>
    <w:p w14:paraId="3B622EC1" w14:textId="77777777" w:rsidR="00477B8F" w:rsidRPr="009118AB" w:rsidRDefault="00477B8F" w:rsidP="00477B8F">
      <w:pPr>
        <w:autoSpaceDE w:val="0"/>
        <w:autoSpaceDN w:val="0"/>
        <w:adjustRightInd w:val="0"/>
        <w:jc w:val="both"/>
      </w:pPr>
    </w:p>
    <w:p w14:paraId="40A8767C" w14:textId="74733719" w:rsidR="00477B8F" w:rsidRPr="009118AB" w:rsidRDefault="00477B8F" w:rsidP="00477B8F">
      <w:pPr>
        <w:autoSpaceDE w:val="0"/>
        <w:autoSpaceDN w:val="0"/>
        <w:adjustRightInd w:val="0"/>
        <w:jc w:val="both"/>
      </w:pPr>
      <w:r w:rsidRPr="009118AB">
        <w:tab/>
        <w:t xml:space="preserve">In den in Artikel 46 </w:t>
      </w:r>
      <w:r w:rsidR="00D67EB8" w:rsidRPr="009118AB">
        <w:t>§ </w:t>
      </w:r>
      <w:r w:rsidRPr="009118AB">
        <w:t xml:space="preserve">1 Absatz 1 </w:t>
      </w:r>
      <w:r w:rsidR="00D67EB8" w:rsidRPr="009118AB">
        <w:t>Nr. </w:t>
      </w:r>
      <w:r w:rsidRPr="009118AB">
        <w:t>1 und 3 erwähnten Fällen wird die Steuergutschrift festgelegt, als ob der Steuerpflichtige nicht gewechselt hätte.</w:t>
      </w:r>
    </w:p>
    <w:p w14:paraId="19D63AC2" w14:textId="77777777" w:rsidR="00477B8F" w:rsidRPr="009118AB" w:rsidRDefault="00477B8F" w:rsidP="00477B8F">
      <w:pPr>
        <w:autoSpaceDE w:val="0"/>
        <w:autoSpaceDN w:val="0"/>
        <w:adjustRightInd w:val="0"/>
        <w:jc w:val="both"/>
      </w:pPr>
    </w:p>
    <w:p w14:paraId="4A98D16F" w14:textId="77777777" w:rsidR="00477B8F" w:rsidRPr="009118AB" w:rsidRDefault="00477B8F" w:rsidP="00477B8F">
      <w:pPr>
        <w:autoSpaceDE w:val="0"/>
        <w:autoSpaceDN w:val="0"/>
        <w:adjustRightInd w:val="0"/>
        <w:jc w:val="both"/>
      </w:pPr>
      <w:r w:rsidRPr="009118AB">
        <w:tab/>
        <w:t>[Wird eine gemeinsame Veranlagung festgelegt,] gelten der Prozentsatz, der Betrag und die Grenze, die in Absatz 1 erwähnt sind, pro Steuerpflichtigen.</w:t>
      </w:r>
    </w:p>
    <w:p w14:paraId="63A76890" w14:textId="77777777" w:rsidR="00892AA9" w:rsidRPr="009118AB" w:rsidRDefault="00892AA9" w:rsidP="00477B8F">
      <w:pPr>
        <w:autoSpaceDE w:val="0"/>
        <w:autoSpaceDN w:val="0"/>
        <w:adjustRightInd w:val="0"/>
        <w:jc w:val="both"/>
      </w:pPr>
    </w:p>
    <w:p w14:paraId="286342F7" w14:textId="411C5A89" w:rsidR="00892AA9" w:rsidRPr="009118AB" w:rsidRDefault="00892AA9" w:rsidP="00892AA9">
      <w:pPr>
        <w:jc w:val="both"/>
      </w:pPr>
      <w:r w:rsidRPr="009118AB">
        <w:tab/>
        <w:t xml:space="preserve">[In Bezug auf die in Artikel 227 </w:t>
      </w:r>
      <w:r w:rsidR="00D67EB8" w:rsidRPr="009118AB">
        <w:t>Nr. </w:t>
      </w:r>
      <w:r w:rsidRPr="009118AB">
        <w:t>1 erwähnten Gebietsfremden:</w:t>
      </w:r>
    </w:p>
    <w:p w14:paraId="030CD1BB" w14:textId="77777777" w:rsidR="00892AA9" w:rsidRPr="009118AB" w:rsidRDefault="00892AA9" w:rsidP="00892AA9">
      <w:pPr>
        <w:jc w:val="both"/>
      </w:pPr>
    </w:p>
    <w:p w14:paraId="1DD697CD" w14:textId="77777777" w:rsidR="00892AA9" w:rsidRPr="009118AB" w:rsidRDefault="00892AA9" w:rsidP="00892AA9">
      <w:pPr>
        <w:jc w:val="both"/>
      </w:pPr>
      <w:r w:rsidRPr="009118AB">
        <w:tab/>
        <w:t>- </w:t>
      </w:r>
      <w:r w:rsidR="006D2D07" w:rsidRPr="009118AB">
        <w:t>[wird die Steuergutschrift nur gewährt, wenn die Steuer gemäß Artikel 243/1 oder 244 berechnet wird,]</w:t>
      </w:r>
    </w:p>
    <w:p w14:paraId="4C8A5509" w14:textId="77777777" w:rsidR="00892AA9" w:rsidRPr="009118AB" w:rsidRDefault="00892AA9" w:rsidP="00892AA9">
      <w:pPr>
        <w:jc w:val="both"/>
      </w:pPr>
    </w:p>
    <w:p w14:paraId="71ED28A3" w14:textId="77777777" w:rsidR="00892AA9" w:rsidRPr="009118AB" w:rsidRDefault="00892AA9" w:rsidP="00892AA9">
      <w:pPr>
        <w:autoSpaceDE w:val="0"/>
        <w:autoSpaceDN w:val="0"/>
        <w:adjustRightInd w:val="0"/>
        <w:jc w:val="both"/>
      </w:pPr>
      <w:r w:rsidRPr="009118AB">
        <w:lastRenderedPageBreak/>
        <w:tab/>
        <w:t>- werden für die Berechnung der Steuergutschrift Anlagen und Schulden berücksichtigt, die die Ausübung von Berufstätigkeiten betreffen, die steuerpflichtige Einkünfte erzeugen, die der Steuer der Gebietsfremden unterliegen.]</w:t>
      </w:r>
    </w:p>
    <w:p w14:paraId="323CE469" w14:textId="77777777" w:rsidR="00477B8F" w:rsidRPr="009118AB" w:rsidRDefault="00477B8F" w:rsidP="00477B8F">
      <w:pPr>
        <w:autoSpaceDE w:val="0"/>
        <w:autoSpaceDN w:val="0"/>
        <w:adjustRightInd w:val="0"/>
        <w:jc w:val="both"/>
      </w:pPr>
    </w:p>
    <w:p w14:paraId="651358E6" w14:textId="745C9A82"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w:t>
      </w:r>
      <w:r w:rsidR="00092893" w:rsidRPr="009118AB">
        <w:t xml:space="preserve">Artikel 174/1 ist auf den in </w:t>
      </w:r>
      <w:r w:rsidR="00D67EB8" w:rsidRPr="009118AB">
        <w:t>§ </w:t>
      </w:r>
      <w:r w:rsidR="00092893" w:rsidRPr="009118AB">
        <w:t>1 Absatz 1 erwähnten Betrag anwendbar.</w:t>
      </w:r>
      <w:r w:rsidRPr="009118AB">
        <w:t>]</w:t>
      </w:r>
    </w:p>
    <w:p w14:paraId="324657B5" w14:textId="77777777" w:rsidR="00246460" w:rsidRPr="009118AB" w:rsidRDefault="00246460" w:rsidP="00477B8F">
      <w:pPr>
        <w:autoSpaceDE w:val="0"/>
        <w:autoSpaceDN w:val="0"/>
        <w:adjustRightInd w:val="0"/>
      </w:pPr>
    </w:p>
    <w:p w14:paraId="4F9F80A9" w14:textId="65D8660F" w:rsidR="00477B8F" w:rsidRPr="009118AB" w:rsidRDefault="00477B8F" w:rsidP="00812CBE">
      <w:pPr>
        <w:autoSpaceDE w:val="0"/>
        <w:autoSpaceDN w:val="0"/>
        <w:adjustRightInd w:val="0"/>
        <w:jc w:val="both"/>
      </w:pPr>
      <w:r w:rsidRPr="009118AB">
        <w:tab/>
      </w:r>
      <w:r w:rsidR="00D67EB8" w:rsidRPr="009118AB">
        <w:t>§ </w:t>
      </w:r>
      <w:r w:rsidRPr="009118AB">
        <w:t>3</w:t>
      </w:r>
      <w:r w:rsidR="00D67EB8" w:rsidRPr="009118AB">
        <w:t> - </w:t>
      </w:r>
      <w:r w:rsidRPr="009118AB">
        <w:t>Um zur Steuergutschrift berechtigt zu sein, muss der Steuerpflichtige seiner Einkommensteuererklärung des Steuerjahres, für das er die Anrechnung beantragt, eine ausgefüllte, datierte und unterzeichnete Aufstellung beifügen, deren Muster vom Minister der Finanzen oder von seinem Beauftragten festgelegt wird.]]</w:t>
      </w:r>
    </w:p>
    <w:p w14:paraId="3517BF4B" w14:textId="77777777" w:rsidR="00477B8F" w:rsidRPr="009118AB" w:rsidRDefault="00477B8F" w:rsidP="00477B8F">
      <w:pPr>
        <w:autoSpaceDE w:val="0"/>
        <w:autoSpaceDN w:val="0"/>
        <w:adjustRightInd w:val="0"/>
        <w:jc w:val="both"/>
      </w:pPr>
    </w:p>
    <w:p w14:paraId="6B12694D" w14:textId="54516F97"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289bis ersetzt durch </w:t>
      </w:r>
      <w:r w:rsidR="00D67EB8" w:rsidRPr="009118AB">
        <w:rPr>
          <w:i/>
          <w:iCs/>
        </w:rPr>
        <w:t>Art. </w:t>
      </w:r>
      <w:r w:rsidRPr="009118AB">
        <w:rPr>
          <w:i/>
          <w:iCs/>
        </w:rPr>
        <w:t>28 des G. vom 4. Mai 1999 (II) (B.S. vom 12. Juni 1999)</w:t>
      </w:r>
      <w:r w:rsidR="00D67EB8" w:rsidRPr="009118AB">
        <w:rPr>
          <w:i/>
          <w:iCs/>
        </w:rPr>
        <w:t> - </w:t>
      </w:r>
      <w:r w:rsidRPr="009118AB">
        <w:rPr>
          <w:i/>
          <w:iCs/>
        </w:rPr>
        <w:t>in Kraft ab dem Steuerjahr 2000</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einleitende Bestimmung </w:t>
      </w:r>
      <w:r w:rsidR="00892AA9" w:rsidRPr="009118AB">
        <w:rPr>
          <w:i/>
          <w:iCs/>
        </w:rPr>
        <w:t xml:space="preserve">ersetzt durch </w:t>
      </w:r>
      <w:r w:rsidR="00D67EB8" w:rsidRPr="009118AB">
        <w:rPr>
          <w:i/>
          <w:iCs/>
        </w:rPr>
        <w:t>Art. </w:t>
      </w:r>
      <w:r w:rsidR="00AD696D" w:rsidRPr="009118AB">
        <w:rPr>
          <w:i/>
          <w:iCs/>
        </w:rPr>
        <w:t xml:space="preserve">83 </w:t>
      </w:r>
      <w:r w:rsidR="00D67EB8" w:rsidRPr="009118AB">
        <w:rPr>
          <w:i/>
          <w:iCs/>
        </w:rPr>
        <w:t>Nr. </w:t>
      </w:r>
      <w:r w:rsidR="00AD696D" w:rsidRPr="009118AB">
        <w:rPr>
          <w:i/>
          <w:iCs/>
        </w:rPr>
        <w:t>1</w:t>
      </w:r>
      <w:r w:rsidR="00AD696D" w:rsidRPr="009118AB">
        <w:rPr>
          <w:i/>
        </w:rPr>
        <w:t xml:space="preserve"> des G. vom 8. Mai 2014 (B.S. vom 28. Mai 2014)</w:t>
      </w:r>
      <w:r w:rsidR="00D67EB8" w:rsidRPr="009118AB">
        <w:rPr>
          <w:i/>
        </w:rPr>
        <w:t> - </w:t>
      </w:r>
      <w:r w:rsidR="00AD696D" w:rsidRPr="009118AB">
        <w:rPr>
          <w:i/>
          <w:iCs/>
        </w:rPr>
        <w:t>anwendbar ab dem Steuerjahr 2015</w:t>
      </w:r>
      <w:r w:rsidR="003366D9" w:rsidRPr="009118AB">
        <w:rPr>
          <w:i/>
          <w:iCs/>
        </w:rPr>
        <w:t> -;</w:t>
      </w:r>
      <w:r w:rsidRPr="009118AB">
        <w:rPr>
          <w:i/>
          <w:iCs/>
        </w:rPr>
        <w:t xml:space="preserve"> </w:t>
      </w:r>
      <w:r w:rsidR="00D67EB8" w:rsidRPr="009118AB">
        <w:rPr>
          <w:i/>
          <w:iCs/>
        </w:rPr>
        <w:t>§ </w:t>
      </w:r>
      <w:r w:rsidR="00092893" w:rsidRPr="009118AB">
        <w:rPr>
          <w:i/>
          <w:iCs/>
        </w:rPr>
        <w:t xml:space="preserve">1 neuer Absatz 2 eingefügt durch </w:t>
      </w:r>
      <w:r w:rsidR="00D67EB8" w:rsidRPr="009118AB">
        <w:rPr>
          <w:i/>
          <w:iCs/>
        </w:rPr>
        <w:t>Art. </w:t>
      </w:r>
      <w:r w:rsidR="00092893" w:rsidRPr="009118AB">
        <w:rPr>
          <w:i/>
          <w:iCs/>
        </w:rPr>
        <w:t xml:space="preserve">127 </w:t>
      </w:r>
      <w:r w:rsidR="00D67EB8" w:rsidRPr="009118AB">
        <w:rPr>
          <w:i/>
          <w:iCs/>
        </w:rPr>
        <w:t>Nr. </w:t>
      </w:r>
      <w:r w:rsidR="00092893" w:rsidRPr="009118AB">
        <w:rPr>
          <w:i/>
          <w:iCs/>
        </w:rPr>
        <w:t>1 des G. vom 25. Dezember 2017 (IV) (B.S. vom 29. Dezember 2017)</w:t>
      </w:r>
      <w:r w:rsidR="00D67EB8" w:rsidRPr="009118AB">
        <w:rPr>
          <w:i/>
          <w:iCs/>
        </w:rPr>
        <w:t> - </w:t>
      </w:r>
      <w:r w:rsidR="00092893" w:rsidRPr="009118AB">
        <w:rPr>
          <w:i/>
          <w:iCs/>
        </w:rPr>
        <w:t>anwendbar ab dem Steuerjahr 2018</w:t>
      </w:r>
      <w:r w:rsidR="003366D9" w:rsidRPr="009118AB">
        <w:rPr>
          <w:i/>
          <w:iCs/>
        </w:rPr>
        <w:t> -;</w:t>
      </w:r>
      <w:r w:rsidR="00092893" w:rsidRPr="009118AB">
        <w:rPr>
          <w:i/>
          <w:iCs/>
        </w:rPr>
        <w:t xml:space="preserve"> </w:t>
      </w:r>
      <w:r w:rsidR="00D67EB8" w:rsidRPr="009118AB">
        <w:rPr>
          <w:i/>
          <w:iCs/>
        </w:rPr>
        <w:t>§ </w:t>
      </w:r>
      <w:r w:rsidRPr="009118AB">
        <w:rPr>
          <w:i/>
          <w:iCs/>
        </w:rPr>
        <w:t xml:space="preserve">1 </w:t>
      </w:r>
      <w:r w:rsidR="00D67EB8" w:rsidRPr="009118AB">
        <w:rPr>
          <w:i/>
          <w:iCs/>
        </w:rPr>
        <w:t>Abs. </w:t>
      </w:r>
      <w:r w:rsidR="00092893" w:rsidRPr="009118AB">
        <w:rPr>
          <w:i/>
          <w:iCs/>
        </w:rPr>
        <w:t>5 (früherer Absatz 4)</w:t>
      </w:r>
      <w:r w:rsidRPr="009118AB">
        <w:rPr>
          <w:i/>
          <w:iCs/>
        </w:rPr>
        <w:t xml:space="preserve"> abgeändert durch </w:t>
      </w:r>
      <w:r w:rsidR="00D67EB8" w:rsidRPr="009118AB">
        <w:rPr>
          <w:i/>
          <w:iCs/>
        </w:rPr>
        <w:t>Art. </w:t>
      </w:r>
      <w:r w:rsidRPr="009118AB">
        <w:rPr>
          <w:i/>
          <w:iCs/>
        </w:rPr>
        <w:t>48 des G. vom 10. August 2001 (B.S. vom 20. September 2001)</w:t>
      </w:r>
      <w:r w:rsidR="00D67EB8" w:rsidRPr="009118AB">
        <w:rPr>
          <w:i/>
          <w:iCs/>
        </w:rPr>
        <w:t> - </w:t>
      </w:r>
      <w:r w:rsidRPr="009118AB">
        <w:rPr>
          <w:i/>
          <w:iCs/>
        </w:rPr>
        <w:t>in Kraft ab dem Steuerjahr 2005</w:t>
      </w:r>
      <w:r w:rsidR="003366D9" w:rsidRPr="009118AB">
        <w:rPr>
          <w:i/>
          <w:iCs/>
        </w:rPr>
        <w:t> -;</w:t>
      </w:r>
      <w:r w:rsidRPr="009118AB">
        <w:rPr>
          <w:i/>
          <w:iCs/>
        </w:rPr>
        <w:t xml:space="preserve"> </w:t>
      </w:r>
      <w:r w:rsidR="00D67EB8" w:rsidRPr="009118AB">
        <w:rPr>
          <w:i/>
          <w:iCs/>
        </w:rPr>
        <w:t>§ </w:t>
      </w:r>
      <w:r w:rsidR="00892AA9" w:rsidRPr="009118AB">
        <w:rPr>
          <w:i/>
          <w:iCs/>
        </w:rPr>
        <w:t xml:space="preserve">1 </w:t>
      </w:r>
      <w:r w:rsidR="00D67EB8" w:rsidRPr="009118AB">
        <w:rPr>
          <w:i/>
          <w:iCs/>
        </w:rPr>
        <w:t>Abs. </w:t>
      </w:r>
      <w:r w:rsidR="00092893" w:rsidRPr="009118AB">
        <w:rPr>
          <w:i/>
          <w:iCs/>
        </w:rPr>
        <w:t>6</w:t>
      </w:r>
      <w:r w:rsidR="00892AA9" w:rsidRPr="009118AB">
        <w:rPr>
          <w:i/>
          <w:iCs/>
        </w:rPr>
        <w:t xml:space="preserve"> eingefügt durch </w:t>
      </w:r>
      <w:r w:rsidR="00D67EB8" w:rsidRPr="009118AB">
        <w:rPr>
          <w:i/>
          <w:iCs/>
        </w:rPr>
        <w:t>Art. </w:t>
      </w:r>
      <w:r w:rsidR="00892AA9" w:rsidRPr="009118AB">
        <w:rPr>
          <w:i/>
          <w:iCs/>
        </w:rPr>
        <w:t xml:space="preserve">20 </w:t>
      </w:r>
      <w:r w:rsidR="00D67EB8" w:rsidRPr="009118AB">
        <w:rPr>
          <w:i/>
          <w:iCs/>
        </w:rPr>
        <w:t>Nr. </w:t>
      </w:r>
      <w:r w:rsidR="00892AA9" w:rsidRPr="009118AB">
        <w:rPr>
          <w:i/>
          <w:iCs/>
        </w:rPr>
        <w:t>2 des G. vom 17. Juni 2013 (B.S. vom 28. Juni 2013)</w:t>
      </w:r>
      <w:r w:rsidR="00D67EB8" w:rsidRPr="009118AB">
        <w:rPr>
          <w:i/>
          <w:iCs/>
        </w:rPr>
        <w:t> - </w:t>
      </w:r>
      <w:r w:rsidR="00892AA9" w:rsidRPr="009118AB">
        <w:rPr>
          <w:i/>
          <w:iCs/>
        </w:rPr>
        <w:t>anwendbar ab dem Steuerjahr 2013</w:t>
      </w:r>
      <w:r w:rsidR="003366D9" w:rsidRPr="009118AB">
        <w:rPr>
          <w:i/>
          <w:iCs/>
        </w:rPr>
        <w:t> -;</w:t>
      </w:r>
      <w:r w:rsidR="00092893" w:rsidRPr="009118AB">
        <w:rPr>
          <w:i/>
          <w:iCs/>
        </w:rPr>
        <w:t xml:space="preserve"> </w:t>
      </w:r>
      <w:r w:rsidR="00D67EB8" w:rsidRPr="009118AB">
        <w:rPr>
          <w:i/>
          <w:iCs/>
        </w:rPr>
        <w:t>§ </w:t>
      </w:r>
      <w:r w:rsidR="00092893" w:rsidRPr="009118AB">
        <w:rPr>
          <w:i/>
          <w:iCs/>
        </w:rPr>
        <w:t xml:space="preserve">1 </w:t>
      </w:r>
      <w:r w:rsidR="00D67EB8" w:rsidRPr="009118AB">
        <w:rPr>
          <w:i/>
          <w:iCs/>
        </w:rPr>
        <w:t>Abs. </w:t>
      </w:r>
      <w:r w:rsidR="00092893" w:rsidRPr="009118AB">
        <w:rPr>
          <w:i/>
          <w:iCs/>
        </w:rPr>
        <w:t>6</w:t>
      </w:r>
      <w:r w:rsidR="00AD696D" w:rsidRPr="009118AB">
        <w:rPr>
          <w:i/>
          <w:iCs/>
        </w:rPr>
        <w:t xml:space="preserve"> erster Gedankenstrich ersetzt durch </w:t>
      </w:r>
      <w:r w:rsidR="00D67EB8" w:rsidRPr="009118AB">
        <w:rPr>
          <w:i/>
          <w:iCs/>
        </w:rPr>
        <w:t>Art. </w:t>
      </w:r>
      <w:r w:rsidR="00AD696D" w:rsidRPr="009118AB">
        <w:rPr>
          <w:i/>
          <w:iCs/>
        </w:rPr>
        <w:t xml:space="preserve">83 </w:t>
      </w:r>
      <w:r w:rsidR="00D67EB8" w:rsidRPr="009118AB">
        <w:rPr>
          <w:i/>
          <w:iCs/>
        </w:rPr>
        <w:t>Nr. </w:t>
      </w:r>
      <w:r w:rsidR="00AD696D" w:rsidRPr="009118AB">
        <w:rPr>
          <w:i/>
          <w:iCs/>
        </w:rPr>
        <w:t>2</w:t>
      </w:r>
      <w:r w:rsidR="00AD696D" w:rsidRPr="009118AB">
        <w:rPr>
          <w:i/>
        </w:rPr>
        <w:t xml:space="preserve"> des G. vom 8. Mai</w:t>
      </w:r>
      <w:r w:rsidR="004F7F42" w:rsidRPr="009118AB">
        <w:rPr>
          <w:i/>
        </w:rPr>
        <w:t> 2014 (B.S. vom 28. Mai 2014)</w:t>
      </w:r>
      <w:r w:rsidR="00D67EB8" w:rsidRPr="009118AB">
        <w:rPr>
          <w:i/>
        </w:rPr>
        <w:t> - </w:t>
      </w:r>
      <w:r w:rsidR="00AD696D" w:rsidRPr="009118AB">
        <w:rPr>
          <w:i/>
          <w:iCs/>
        </w:rPr>
        <w:t>anwendbar ab dem Steuerjahr 2015</w:t>
      </w:r>
      <w:r w:rsidR="003366D9" w:rsidRPr="009118AB">
        <w:rPr>
          <w:i/>
          <w:iCs/>
        </w:rPr>
        <w:t> -;</w:t>
      </w:r>
      <w:r w:rsidR="00892AA9" w:rsidRPr="009118AB">
        <w:rPr>
          <w:i/>
          <w:iCs/>
        </w:rPr>
        <w:t xml:space="preserve"> </w:t>
      </w:r>
      <w:r w:rsidR="00D67EB8" w:rsidRPr="009118AB">
        <w:rPr>
          <w:i/>
          <w:iCs/>
        </w:rPr>
        <w:t>§ </w:t>
      </w:r>
      <w:r w:rsidRPr="009118AB">
        <w:rPr>
          <w:i/>
          <w:iCs/>
        </w:rPr>
        <w:t xml:space="preserve">2 aufgehoben durch </w:t>
      </w:r>
      <w:r w:rsidR="00D67EB8" w:rsidRPr="009118AB">
        <w:rPr>
          <w:i/>
          <w:iCs/>
        </w:rPr>
        <w:t>Art. </w:t>
      </w:r>
      <w:r w:rsidRPr="009118AB">
        <w:rPr>
          <w:i/>
          <w:iCs/>
        </w:rPr>
        <w:t>15 des G. vom 22. Juni 2005 (B.S. vom 30. Juni 2005)</w:t>
      </w:r>
      <w:r w:rsidR="00D67EB8" w:rsidRPr="009118AB">
        <w:rPr>
          <w:i/>
          <w:iCs/>
        </w:rPr>
        <w:t> - </w:t>
      </w:r>
      <w:r w:rsidRPr="009118AB">
        <w:rPr>
          <w:i/>
          <w:iCs/>
        </w:rPr>
        <w:t>in Kraft ab dem Steuerjahr 2007</w:t>
      </w:r>
      <w:r w:rsidR="00D67EB8" w:rsidRPr="009118AB">
        <w:rPr>
          <w:i/>
          <w:iCs/>
        </w:rPr>
        <w:t> - </w:t>
      </w:r>
      <w:r w:rsidR="00092893" w:rsidRPr="009118AB">
        <w:rPr>
          <w:i/>
          <w:iCs/>
        </w:rPr>
        <w:t xml:space="preserve">und wieder aufgenommen durch </w:t>
      </w:r>
      <w:r w:rsidR="00D67EB8" w:rsidRPr="009118AB">
        <w:rPr>
          <w:i/>
          <w:iCs/>
        </w:rPr>
        <w:t>Art. </w:t>
      </w:r>
      <w:r w:rsidR="00092893" w:rsidRPr="009118AB">
        <w:rPr>
          <w:i/>
          <w:iCs/>
        </w:rPr>
        <w:t xml:space="preserve">127 </w:t>
      </w:r>
      <w:r w:rsidR="00D67EB8" w:rsidRPr="009118AB">
        <w:rPr>
          <w:i/>
          <w:iCs/>
        </w:rPr>
        <w:t>Nr. </w:t>
      </w:r>
      <w:r w:rsidR="00092893" w:rsidRPr="009118AB">
        <w:rPr>
          <w:i/>
          <w:iCs/>
        </w:rPr>
        <w:t>2 des G. vom 25. Dezember 2017 (IV) (B.S. vom 29. Dezember 2017)</w:t>
      </w:r>
      <w:r w:rsidR="00D67EB8" w:rsidRPr="009118AB">
        <w:rPr>
          <w:i/>
          <w:iCs/>
        </w:rPr>
        <w:t> - </w:t>
      </w:r>
      <w:r w:rsidR="00092893" w:rsidRPr="009118AB">
        <w:rPr>
          <w:i/>
          <w:iCs/>
        </w:rPr>
        <w:t>anwendbar ab dem Steuerjahr 2018</w:t>
      </w:r>
      <w:r w:rsidR="00FD68E8" w:rsidRPr="009118AB">
        <w:rPr>
          <w:i/>
          <w:iCs/>
        </w:rPr>
        <w:t> -]</w:t>
      </w:r>
    </w:p>
    <w:p w14:paraId="3C5E8CA2" w14:textId="77777777" w:rsidR="00477B8F" w:rsidRPr="009118AB" w:rsidRDefault="00477B8F" w:rsidP="00477B8F">
      <w:pPr>
        <w:autoSpaceDE w:val="0"/>
        <w:autoSpaceDN w:val="0"/>
        <w:adjustRightInd w:val="0"/>
        <w:jc w:val="both"/>
      </w:pPr>
    </w:p>
    <w:p w14:paraId="1245FECB" w14:textId="77777777" w:rsidR="00477B8F" w:rsidRPr="009118AB" w:rsidRDefault="00477B8F" w:rsidP="00477B8F">
      <w:pPr>
        <w:autoSpaceDE w:val="0"/>
        <w:autoSpaceDN w:val="0"/>
        <w:adjustRightInd w:val="0"/>
        <w:jc w:val="both"/>
      </w:pPr>
    </w:p>
    <w:p w14:paraId="224C605B" w14:textId="6AABD4A0" w:rsidR="00346980" w:rsidRPr="009118AB" w:rsidRDefault="00477B8F" w:rsidP="00346980">
      <w:pPr>
        <w:autoSpaceDE w:val="0"/>
        <w:autoSpaceDN w:val="0"/>
        <w:adjustRightInd w:val="0"/>
        <w:jc w:val="both"/>
      </w:pPr>
      <w:r w:rsidRPr="009118AB">
        <w:tab/>
        <w:t>[</w:t>
      </w:r>
      <w:r w:rsidR="00D67EB8" w:rsidRPr="009118AB">
        <w:rPr>
          <w:b/>
          <w:bCs/>
        </w:rPr>
        <w:t>Art. </w:t>
      </w:r>
      <w:r w:rsidRPr="009118AB">
        <w:rPr>
          <w:b/>
          <w:bCs/>
        </w:rPr>
        <w:t>289</w:t>
      </w:r>
      <w:r w:rsidRPr="009118AB">
        <w:rPr>
          <w:b/>
          <w:bCs/>
          <w:i/>
          <w:iCs/>
        </w:rPr>
        <w:t>ter</w:t>
      </w:r>
      <w:r w:rsidR="00D67EB8" w:rsidRPr="009118AB">
        <w:t> - § </w:t>
      </w:r>
      <w:r w:rsidR="00346980" w:rsidRPr="009118AB">
        <w:t>1</w:t>
      </w:r>
      <w:r w:rsidR="00D67EB8" w:rsidRPr="009118AB">
        <w:t> - </w:t>
      </w:r>
      <w:r w:rsidR="00346980" w:rsidRPr="009118AB">
        <w:t>Beträgt die Gesamtheit der Nettoeinkünfte des Besteuerungs</w:t>
      </w:r>
      <w:r w:rsidR="000A2687" w:rsidRPr="009118AB">
        <w:softHyphen/>
      </w:r>
      <w:r w:rsidR="00346980" w:rsidRPr="009118AB">
        <w:t>zeitraums nicht mehr als 14.140 EUR, hat der Einwohner des Königreichs Anspruch auf eine Steuergutschrift, deren Betrag auf der Grundlage des Betrags der Einkünfte aus Tätigkeiten festgelegt wird.</w:t>
      </w:r>
    </w:p>
    <w:p w14:paraId="671935C8" w14:textId="77777777" w:rsidR="00346980" w:rsidRPr="009118AB" w:rsidRDefault="00346980" w:rsidP="00346980">
      <w:pPr>
        <w:autoSpaceDE w:val="0"/>
        <w:autoSpaceDN w:val="0"/>
        <w:adjustRightInd w:val="0"/>
        <w:jc w:val="both"/>
      </w:pPr>
    </w:p>
    <w:p w14:paraId="4D3138BC" w14:textId="77777777" w:rsidR="00346980" w:rsidRPr="009118AB" w:rsidRDefault="00346980" w:rsidP="000A2687">
      <w:pPr>
        <w:autoSpaceDE w:val="0"/>
        <w:autoSpaceDN w:val="0"/>
        <w:adjustRightInd w:val="0"/>
        <w:ind w:firstLine="709"/>
        <w:jc w:val="both"/>
      </w:pPr>
      <w:r w:rsidRPr="009118AB">
        <w:t>[Der Betrag der Einkünfte aus Tätigkeiten entspricht dem Nettobetrag der Berufseinkünfte abzüglich:</w:t>
      </w:r>
    </w:p>
    <w:p w14:paraId="745A6088" w14:textId="77777777" w:rsidR="00346980" w:rsidRPr="009118AB" w:rsidRDefault="00346980" w:rsidP="00346980">
      <w:pPr>
        <w:autoSpaceDE w:val="0"/>
        <w:autoSpaceDN w:val="0"/>
        <w:adjustRightInd w:val="0"/>
        <w:jc w:val="both"/>
      </w:pPr>
    </w:p>
    <w:p w14:paraId="4A36323F" w14:textId="1EDDD24C" w:rsidR="00346980" w:rsidRPr="009118AB" w:rsidRDefault="00346980" w:rsidP="000A2687">
      <w:pPr>
        <w:autoSpaceDE w:val="0"/>
        <w:autoSpaceDN w:val="0"/>
        <w:adjustRightInd w:val="0"/>
        <w:ind w:firstLine="709"/>
        <w:jc w:val="both"/>
      </w:pPr>
      <w:r w:rsidRPr="009118AB">
        <w:t xml:space="preserve">1. der in Artikel 23 </w:t>
      </w:r>
      <w:r w:rsidR="00D67EB8" w:rsidRPr="009118AB">
        <w:t>§ </w:t>
      </w:r>
      <w:r w:rsidRPr="009118AB">
        <w:t xml:space="preserve">1 </w:t>
      </w:r>
      <w:r w:rsidR="00D67EB8" w:rsidRPr="009118AB">
        <w:t>Nr. </w:t>
      </w:r>
      <w:r w:rsidRPr="009118AB">
        <w:t>5 erwähnten Einkünfte,</w:t>
      </w:r>
    </w:p>
    <w:p w14:paraId="1C328A02" w14:textId="77777777" w:rsidR="00346980" w:rsidRPr="009118AB" w:rsidRDefault="00346980" w:rsidP="00346980">
      <w:pPr>
        <w:autoSpaceDE w:val="0"/>
        <w:autoSpaceDN w:val="0"/>
        <w:adjustRightInd w:val="0"/>
        <w:jc w:val="both"/>
      </w:pPr>
    </w:p>
    <w:p w14:paraId="59E53083" w14:textId="77777777" w:rsidR="00346980" w:rsidRPr="009118AB" w:rsidRDefault="00346980" w:rsidP="000A2687">
      <w:pPr>
        <w:autoSpaceDE w:val="0"/>
        <w:autoSpaceDN w:val="0"/>
        <w:adjustRightInd w:val="0"/>
        <w:ind w:firstLine="709"/>
        <w:jc w:val="both"/>
      </w:pPr>
      <w:r w:rsidRPr="009118AB">
        <w:t>2. der Entlohnungen, die erwähnt sind in:</w:t>
      </w:r>
    </w:p>
    <w:p w14:paraId="4882FDDC" w14:textId="77777777" w:rsidR="00346980" w:rsidRPr="009118AB" w:rsidRDefault="00346980" w:rsidP="00346980">
      <w:pPr>
        <w:autoSpaceDE w:val="0"/>
        <w:autoSpaceDN w:val="0"/>
        <w:adjustRightInd w:val="0"/>
        <w:jc w:val="both"/>
      </w:pPr>
    </w:p>
    <w:p w14:paraId="6451CCD1" w14:textId="1A5DA3B8" w:rsidR="00346980" w:rsidRPr="009118AB" w:rsidRDefault="00346980" w:rsidP="000A2687">
      <w:pPr>
        <w:autoSpaceDE w:val="0"/>
        <w:autoSpaceDN w:val="0"/>
        <w:adjustRightInd w:val="0"/>
        <w:ind w:firstLine="709"/>
        <w:jc w:val="both"/>
      </w:pPr>
      <w:r w:rsidRPr="009118AB">
        <w:t xml:space="preserve">- [Artikel 30 </w:t>
      </w:r>
      <w:r w:rsidR="00D67EB8" w:rsidRPr="009118AB">
        <w:t>Nr. </w:t>
      </w:r>
      <w:r w:rsidRPr="009118AB">
        <w:t>1 und die von anderen Steuerpflichtigen bezogen werden als von Personen, die anders als aufgrund eines Arbeitsvertrags Arbeitsleistungen im öffentlichen Sektor erbringen,]</w:t>
      </w:r>
    </w:p>
    <w:p w14:paraId="312B5D58" w14:textId="77777777" w:rsidR="00346980" w:rsidRPr="009118AB" w:rsidRDefault="00346980" w:rsidP="00346980">
      <w:pPr>
        <w:autoSpaceDE w:val="0"/>
        <w:autoSpaceDN w:val="0"/>
        <w:adjustRightInd w:val="0"/>
        <w:jc w:val="both"/>
      </w:pPr>
    </w:p>
    <w:p w14:paraId="67A8D6A1" w14:textId="66FC713E" w:rsidR="00346980" w:rsidRPr="009118AB" w:rsidRDefault="00346980" w:rsidP="000A2687">
      <w:pPr>
        <w:autoSpaceDE w:val="0"/>
        <w:autoSpaceDN w:val="0"/>
        <w:adjustRightInd w:val="0"/>
        <w:ind w:firstLine="709"/>
        <w:jc w:val="both"/>
      </w:pPr>
      <w:r w:rsidRPr="009118AB">
        <w:t xml:space="preserve">- Artikel 30 </w:t>
      </w:r>
      <w:r w:rsidR="00D67EB8" w:rsidRPr="009118AB">
        <w:t>Nr. </w:t>
      </w:r>
      <w:r w:rsidRPr="009118AB">
        <w:t xml:space="preserve">2 in Bezug auf die in Artikel 32 Absatz 1 </w:t>
      </w:r>
      <w:r w:rsidR="00D67EB8" w:rsidRPr="009118AB">
        <w:t>Nr. </w:t>
      </w:r>
      <w:r w:rsidRPr="009118AB">
        <w:t>1 erwähnten Unternehmensleiter, die im Rahmen eines Arbeitsvertrags beschäftigt sind,</w:t>
      </w:r>
    </w:p>
    <w:p w14:paraId="533EBA46" w14:textId="77777777" w:rsidR="00346980" w:rsidRPr="009118AB" w:rsidRDefault="00346980" w:rsidP="00346980">
      <w:pPr>
        <w:autoSpaceDE w:val="0"/>
        <w:autoSpaceDN w:val="0"/>
        <w:adjustRightInd w:val="0"/>
        <w:jc w:val="both"/>
      </w:pPr>
    </w:p>
    <w:p w14:paraId="287CFCD4" w14:textId="77777777" w:rsidR="00346980" w:rsidRPr="009118AB" w:rsidRDefault="00346980" w:rsidP="000A2687">
      <w:pPr>
        <w:autoSpaceDE w:val="0"/>
        <w:autoSpaceDN w:val="0"/>
        <w:adjustRightInd w:val="0"/>
        <w:ind w:firstLine="709"/>
        <w:jc w:val="both"/>
      </w:pPr>
      <w:r w:rsidRPr="009118AB">
        <w:t>3. der Entschädigungen, die als vollständige Entschädigung oder Teilentschädigung für einen zeitweiligen Einkommensausfall bezogen werden,</w:t>
      </w:r>
    </w:p>
    <w:p w14:paraId="5DFC0BFC" w14:textId="77777777" w:rsidR="00346980" w:rsidRPr="009118AB" w:rsidRDefault="00346980" w:rsidP="00346980">
      <w:pPr>
        <w:autoSpaceDE w:val="0"/>
        <w:autoSpaceDN w:val="0"/>
        <w:adjustRightInd w:val="0"/>
        <w:jc w:val="both"/>
      </w:pPr>
    </w:p>
    <w:p w14:paraId="29649A84" w14:textId="77777777" w:rsidR="00346980" w:rsidRPr="009118AB" w:rsidRDefault="00346980" w:rsidP="000A2687">
      <w:pPr>
        <w:autoSpaceDE w:val="0"/>
        <w:autoSpaceDN w:val="0"/>
        <w:adjustRightInd w:val="0"/>
        <w:ind w:firstLine="709"/>
        <w:jc w:val="both"/>
      </w:pPr>
      <w:r w:rsidRPr="009118AB">
        <w:t>4. der Berufseinkünfte, die gemäß Artikel 171 getrennt besteuert werden,</w:t>
      </w:r>
    </w:p>
    <w:p w14:paraId="138876DF" w14:textId="77777777" w:rsidR="00346980" w:rsidRPr="009118AB" w:rsidRDefault="00346980" w:rsidP="00346980">
      <w:pPr>
        <w:autoSpaceDE w:val="0"/>
        <w:autoSpaceDN w:val="0"/>
        <w:adjustRightInd w:val="0"/>
        <w:jc w:val="both"/>
      </w:pPr>
    </w:p>
    <w:p w14:paraId="75451656" w14:textId="479AFD63" w:rsidR="00346980" w:rsidRPr="009118AB" w:rsidRDefault="00346980" w:rsidP="000A2687">
      <w:pPr>
        <w:autoSpaceDE w:val="0"/>
        <w:autoSpaceDN w:val="0"/>
        <w:adjustRightInd w:val="0"/>
        <w:ind w:firstLine="709"/>
        <w:jc w:val="both"/>
      </w:pPr>
      <w:r w:rsidRPr="009118AB">
        <w:lastRenderedPageBreak/>
        <w:t xml:space="preserve">5. [der Gewinne, Profite und in Artikel 30 </w:t>
      </w:r>
      <w:r w:rsidR="00D67EB8" w:rsidRPr="009118AB">
        <w:t>Nr. </w:t>
      </w:r>
      <w:r w:rsidRPr="009118AB">
        <w:t>2 erwähnten Entlohnungen], die für die Anwendung der Rechtsvorschriften über das Sozialstatut der Selbständigen als Einkünfte aus einer Nebentätigkeit [oder eines Student-Selbständigen] gelten.]</w:t>
      </w:r>
    </w:p>
    <w:p w14:paraId="7676CC76" w14:textId="77777777" w:rsidR="00346980" w:rsidRPr="009118AB" w:rsidRDefault="00346980" w:rsidP="00346980">
      <w:pPr>
        <w:autoSpaceDE w:val="0"/>
        <w:autoSpaceDN w:val="0"/>
        <w:adjustRightInd w:val="0"/>
        <w:jc w:val="both"/>
      </w:pPr>
    </w:p>
    <w:p w14:paraId="468EC85F" w14:textId="38DDC795" w:rsidR="00346980" w:rsidRPr="009118AB" w:rsidRDefault="00346980" w:rsidP="000A2687">
      <w:pPr>
        <w:autoSpaceDE w:val="0"/>
        <w:autoSpaceDN w:val="0"/>
        <w:adjustRightInd w:val="0"/>
        <w:ind w:firstLine="709"/>
        <w:jc w:val="both"/>
      </w:pPr>
      <w:r w:rsidRPr="009118AB">
        <w:t xml:space="preserve">[Keine Steuergutschrift wird Steuerpflichtigen gewährt, für die die steuerpflichtigen Gewinne oder Profite in Anwendung von Artikel 342 </w:t>
      </w:r>
      <w:r w:rsidR="00D67EB8" w:rsidRPr="009118AB">
        <w:t>§ </w:t>
      </w:r>
      <w:r w:rsidRPr="009118AB">
        <w:t xml:space="preserve">3 festgelegt werden.] </w:t>
      </w:r>
    </w:p>
    <w:p w14:paraId="6EA9C7F0" w14:textId="77777777" w:rsidR="00346980" w:rsidRPr="009118AB" w:rsidRDefault="00346980" w:rsidP="00346980">
      <w:pPr>
        <w:autoSpaceDE w:val="0"/>
        <w:autoSpaceDN w:val="0"/>
        <w:adjustRightInd w:val="0"/>
        <w:jc w:val="both"/>
      </w:pPr>
    </w:p>
    <w:p w14:paraId="026843D1" w14:textId="77777777" w:rsidR="00346980" w:rsidRPr="009118AB" w:rsidRDefault="00346980" w:rsidP="000A2687">
      <w:pPr>
        <w:autoSpaceDE w:val="0"/>
        <w:autoSpaceDN w:val="0"/>
        <w:adjustRightInd w:val="0"/>
        <w:ind w:firstLine="709"/>
        <w:jc w:val="both"/>
      </w:pPr>
      <w:r w:rsidRPr="009118AB">
        <w:t>[Wird eine gemeinsame Veranlagung festgelegt,] werden Steuergutschrift, Einkünfte und Grenzen pro Steuerpflichtigen berechnet, vor Anwendung der Artikel 86 bis 89.</w:t>
      </w:r>
    </w:p>
    <w:p w14:paraId="74FE65B1" w14:textId="77777777" w:rsidR="00346980" w:rsidRPr="009118AB" w:rsidRDefault="00346980" w:rsidP="00346980">
      <w:pPr>
        <w:autoSpaceDE w:val="0"/>
        <w:autoSpaceDN w:val="0"/>
        <w:adjustRightInd w:val="0"/>
        <w:jc w:val="both"/>
      </w:pPr>
    </w:p>
    <w:p w14:paraId="5E901D0E" w14:textId="77777777" w:rsidR="00346980" w:rsidRPr="009118AB" w:rsidRDefault="00346980" w:rsidP="000A2687">
      <w:pPr>
        <w:autoSpaceDE w:val="0"/>
        <w:autoSpaceDN w:val="0"/>
        <w:adjustRightInd w:val="0"/>
        <w:ind w:firstLine="709"/>
        <w:jc w:val="both"/>
      </w:pPr>
      <w:r w:rsidRPr="009118AB">
        <w:t>[Keine Steuergutschrift wird in Artikel 33 Absatz 1 erwähnten mithelfenden Ehepartnern gewährt, wenn ihre Entlohnungen aus Einkünften aus Tätigkeiten stammen, die für die Steuergutschrift nicht berücksichtigt werden, oder wenn sie von einem in Absatz 3 erwähnten Steuerpflichtigen zuerkannt werden.]</w:t>
      </w:r>
    </w:p>
    <w:p w14:paraId="59B78644" w14:textId="77777777" w:rsidR="00346980" w:rsidRPr="009118AB" w:rsidRDefault="00346980" w:rsidP="00346980">
      <w:pPr>
        <w:autoSpaceDE w:val="0"/>
        <w:autoSpaceDN w:val="0"/>
        <w:adjustRightInd w:val="0"/>
        <w:jc w:val="both"/>
      </w:pPr>
    </w:p>
    <w:p w14:paraId="70A6B2EB" w14:textId="3CDB10A5" w:rsidR="00346980" w:rsidRPr="009118AB" w:rsidRDefault="00D67EB8" w:rsidP="000A2687">
      <w:pPr>
        <w:autoSpaceDE w:val="0"/>
        <w:autoSpaceDN w:val="0"/>
        <w:adjustRightInd w:val="0"/>
        <w:ind w:firstLine="709"/>
        <w:jc w:val="both"/>
      </w:pPr>
      <w:r w:rsidRPr="009118AB">
        <w:t>§ </w:t>
      </w:r>
      <w:r w:rsidR="00346980" w:rsidRPr="009118AB">
        <w:t>2</w:t>
      </w:r>
      <w:r w:rsidRPr="009118AB">
        <w:t> - </w:t>
      </w:r>
      <w:r w:rsidR="00346980" w:rsidRPr="009118AB">
        <w:t>Um zur Steuergutschrift zu berechtigen, muss der Betrag der Einkünfte aus Tätigkeiten über 3.260 EUR liegen.</w:t>
      </w:r>
    </w:p>
    <w:p w14:paraId="462AE7DE" w14:textId="77777777" w:rsidR="00346980" w:rsidRPr="009118AB" w:rsidRDefault="00346980" w:rsidP="00346980">
      <w:pPr>
        <w:autoSpaceDE w:val="0"/>
        <w:autoSpaceDN w:val="0"/>
        <w:adjustRightInd w:val="0"/>
        <w:jc w:val="both"/>
      </w:pPr>
    </w:p>
    <w:p w14:paraId="770E0B48" w14:textId="77777777" w:rsidR="00346980" w:rsidRPr="009118AB" w:rsidRDefault="00346980" w:rsidP="000A2687">
      <w:pPr>
        <w:autoSpaceDE w:val="0"/>
        <w:autoSpaceDN w:val="0"/>
        <w:adjustRightInd w:val="0"/>
        <w:ind w:firstLine="709"/>
        <w:jc w:val="both"/>
      </w:pPr>
      <w:r w:rsidRPr="009118AB">
        <w:t>Der Betrag der Steuergutschrift wird wie folgt festgelegt:</w:t>
      </w:r>
    </w:p>
    <w:p w14:paraId="70D3CEFA" w14:textId="77777777" w:rsidR="00346980" w:rsidRPr="009118AB" w:rsidRDefault="00346980" w:rsidP="00346980">
      <w:pPr>
        <w:autoSpaceDE w:val="0"/>
        <w:autoSpaceDN w:val="0"/>
        <w:adjustRightInd w:val="0"/>
        <w:jc w:val="both"/>
      </w:pPr>
    </w:p>
    <w:p w14:paraId="08B8368C" w14:textId="77777777" w:rsidR="00346980" w:rsidRPr="009118AB" w:rsidRDefault="00346980" w:rsidP="000A2687">
      <w:pPr>
        <w:autoSpaceDE w:val="0"/>
        <w:autoSpaceDN w:val="0"/>
        <w:adjustRightInd w:val="0"/>
        <w:ind w:firstLine="709"/>
        <w:jc w:val="both"/>
      </w:pPr>
      <w:r w:rsidRPr="009118AB">
        <w:t>1. beträgt der Betrag der Einkünfte aus Tätigkeiten mehr als 3.260 EUR, ohne 4.350 EUR zu übersteigen: [440 EUR] multipliziert mit einem Bruch, dessen Zähler der Differenz zwischen dem Betrag der Einkünfte aus Tätigkeiten und 3.260 EUR entspricht und dessen Nenner der Differenz zwischen 4.350 EUR und 3.260 EUR entspricht,</w:t>
      </w:r>
    </w:p>
    <w:p w14:paraId="1E1157BA" w14:textId="77777777" w:rsidR="00346980" w:rsidRPr="009118AB" w:rsidRDefault="00346980" w:rsidP="00346980">
      <w:pPr>
        <w:autoSpaceDE w:val="0"/>
        <w:autoSpaceDN w:val="0"/>
        <w:adjustRightInd w:val="0"/>
        <w:jc w:val="both"/>
      </w:pPr>
    </w:p>
    <w:p w14:paraId="1A5F3D42" w14:textId="77777777" w:rsidR="00346980" w:rsidRPr="009118AB" w:rsidRDefault="00346980" w:rsidP="000A2687">
      <w:pPr>
        <w:autoSpaceDE w:val="0"/>
        <w:autoSpaceDN w:val="0"/>
        <w:adjustRightInd w:val="0"/>
        <w:ind w:firstLine="709"/>
        <w:jc w:val="both"/>
      </w:pPr>
      <w:r w:rsidRPr="009118AB">
        <w:t>2. beträgt der Betrag der Einkünfte aus Tätigkeiten mehr als 4.350 EUR ohne 10.880 EUR zu übersteigen: [440 EUR],</w:t>
      </w:r>
    </w:p>
    <w:p w14:paraId="52BDD9C7" w14:textId="77777777" w:rsidR="00346980" w:rsidRPr="009118AB" w:rsidRDefault="00346980" w:rsidP="00346980">
      <w:pPr>
        <w:autoSpaceDE w:val="0"/>
        <w:autoSpaceDN w:val="0"/>
        <w:adjustRightInd w:val="0"/>
        <w:jc w:val="both"/>
      </w:pPr>
    </w:p>
    <w:p w14:paraId="58588819" w14:textId="77777777" w:rsidR="00346980" w:rsidRPr="009118AB" w:rsidRDefault="00346980" w:rsidP="000A2687">
      <w:pPr>
        <w:autoSpaceDE w:val="0"/>
        <w:autoSpaceDN w:val="0"/>
        <w:adjustRightInd w:val="0"/>
        <w:ind w:firstLine="709"/>
        <w:jc w:val="both"/>
      </w:pPr>
      <w:r w:rsidRPr="009118AB">
        <w:t>3. beträgt der Betrag der Einkünfte aus Tätigkeiten mehr als 10.880 EUR, ohne 14.140 EUR zu übersteigen: [440 EUR] multipliziert mit einem Bruch, dessen Zähler der Differenz zwischen 14.140 EUR und dem Betrag der Einkünfte aus Tätigkeiten entspricht und dessen Nenner der Differenz zwischen 14.140 EUR und 10.880 EUR entspricht.</w:t>
      </w:r>
    </w:p>
    <w:p w14:paraId="576A1AFF" w14:textId="77777777" w:rsidR="00346980" w:rsidRPr="009118AB" w:rsidRDefault="00346980" w:rsidP="00346980">
      <w:pPr>
        <w:autoSpaceDE w:val="0"/>
        <w:autoSpaceDN w:val="0"/>
        <w:adjustRightInd w:val="0"/>
        <w:jc w:val="both"/>
      </w:pPr>
    </w:p>
    <w:p w14:paraId="1C9A8267" w14:textId="77777777" w:rsidR="00346980" w:rsidRPr="009118AB" w:rsidRDefault="00346980" w:rsidP="000A2687">
      <w:pPr>
        <w:autoSpaceDE w:val="0"/>
        <w:autoSpaceDN w:val="0"/>
        <w:adjustRightInd w:val="0"/>
        <w:ind w:firstLine="709"/>
        <w:jc w:val="both"/>
      </w:pPr>
      <w:r w:rsidRPr="009118AB">
        <w:t>Bestehen Berufseinkünfte nur teilweise aus Einkünften aus Tätigkeiten, wird die gemäß Absatz 2 festgelegte Steuergutschrift proportional zu dem Teil verringert, den die Einkünfte aus Tätigkeiten im Vergleich zum Nettobetrag der Berufseinkünfte darstellen.</w:t>
      </w:r>
    </w:p>
    <w:p w14:paraId="6E89741E" w14:textId="77777777" w:rsidR="00346980" w:rsidRPr="009118AB" w:rsidRDefault="00346980" w:rsidP="00346980">
      <w:pPr>
        <w:autoSpaceDE w:val="0"/>
        <w:autoSpaceDN w:val="0"/>
        <w:adjustRightInd w:val="0"/>
        <w:jc w:val="both"/>
      </w:pPr>
    </w:p>
    <w:p w14:paraId="2A38A6C6" w14:textId="77777777" w:rsidR="00346980" w:rsidRPr="009118AB" w:rsidRDefault="00346980" w:rsidP="000A2687">
      <w:pPr>
        <w:autoSpaceDE w:val="0"/>
        <w:autoSpaceDN w:val="0"/>
        <w:adjustRightInd w:val="0"/>
        <w:ind w:firstLine="709"/>
        <w:jc w:val="both"/>
      </w:pPr>
      <w:r w:rsidRPr="009118AB">
        <w:t>Beträgt die Gesamtheit der Nettoeinkünfte mehr als 10.880 EUR ohne 14.140 EUR zu übersteigen, darf die Steuergutschrift das Produkt der Multiplikation von [440 EUR] mit einem Bruch, dessen Zähler der Differenz zwischen 14.140 EUR und dem Betrag der Gesamtheit der Nettoeinkünfte entspricht und dessen Nenner der Differenz zwischen 14.140 EUR und 10.880 EUR entspricht, nicht übersteigen.</w:t>
      </w:r>
    </w:p>
    <w:p w14:paraId="5A62C7C7" w14:textId="77777777" w:rsidR="00346980" w:rsidRPr="009118AB" w:rsidRDefault="00346980" w:rsidP="00346980">
      <w:pPr>
        <w:autoSpaceDE w:val="0"/>
        <w:autoSpaceDN w:val="0"/>
        <w:adjustRightInd w:val="0"/>
        <w:jc w:val="both"/>
      </w:pPr>
    </w:p>
    <w:p w14:paraId="1A9712EF" w14:textId="77777777" w:rsidR="00346980" w:rsidRPr="009118AB" w:rsidRDefault="00346980" w:rsidP="000A2687">
      <w:pPr>
        <w:autoSpaceDE w:val="0"/>
        <w:autoSpaceDN w:val="0"/>
        <w:adjustRightInd w:val="0"/>
        <w:ind w:firstLine="709"/>
        <w:jc w:val="both"/>
      </w:pPr>
      <w:r w:rsidRPr="009118AB">
        <w:t>[In Abweichung von den vorhergehenden Absätzen wird der Betrag in Höhe von 440 EUR jeweils ersetzt durch:</w:t>
      </w:r>
    </w:p>
    <w:p w14:paraId="30BE150B" w14:textId="77777777" w:rsidR="00346980" w:rsidRPr="009118AB" w:rsidRDefault="00346980" w:rsidP="00346980">
      <w:pPr>
        <w:autoSpaceDE w:val="0"/>
        <w:autoSpaceDN w:val="0"/>
        <w:adjustRightInd w:val="0"/>
        <w:jc w:val="both"/>
      </w:pPr>
    </w:p>
    <w:p w14:paraId="073A2602" w14:textId="77777777" w:rsidR="00346980" w:rsidRPr="009118AB" w:rsidRDefault="00346980" w:rsidP="000A2687">
      <w:pPr>
        <w:autoSpaceDE w:val="0"/>
        <w:autoSpaceDN w:val="0"/>
        <w:adjustRightInd w:val="0"/>
        <w:ind w:firstLine="709"/>
        <w:jc w:val="both"/>
      </w:pPr>
      <w:r w:rsidRPr="009118AB">
        <w:t>1. einen Betrag in Höhe von 200 EUR für die in Artikel 33 Absatz 1 erwähnten mithelfenden Ehepartner,</w:t>
      </w:r>
    </w:p>
    <w:p w14:paraId="5CD0DA7D" w14:textId="77777777" w:rsidR="00346980" w:rsidRPr="009118AB" w:rsidRDefault="00346980" w:rsidP="00346980">
      <w:pPr>
        <w:autoSpaceDE w:val="0"/>
        <w:autoSpaceDN w:val="0"/>
        <w:adjustRightInd w:val="0"/>
        <w:jc w:val="both"/>
      </w:pPr>
    </w:p>
    <w:p w14:paraId="535ADD5A" w14:textId="77777777" w:rsidR="00346980" w:rsidRPr="009118AB" w:rsidRDefault="00346980" w:rsidP="000A2687">
      <w:pPr>
        <w:autoSpaceDE w:val="0"/>
        <w:autoSpaceDN w:val="0"/>
        <w:adjustRightInd w:val="0"/>
        <w:ind w:firstLine="709"/>
        <w:jc w:val="both"/>
      </w:pPr>
      <w:r w:rsidRPr="009118AB">
        <w:lastRenderedPageBreak/>
        <w:t>2. einen Betrag in Höhe von 485 EUR für Arbeitnehmer, die anders als aufgrund eines Arbeitsvertrags im öffentlichen Sektor Arbeitsleistungen erbringen.]</w:t>
      </w:r>
    </w:p>
    <w:p w14:paraId="5FEAADC5" w14:textId="77777777" w:rsidR="00346980" w:rsidRPr="009118AB" w:rsidRDefault="00346980" w:rsidP="00346980">
      <w:pPr>
        <w:autoSpaceDE w:val="0"/>
        <w:autoSpaceDN w:val="0"/>
        <w:adjustRightInd w:val="0"/>
        <w:jc w:val="both"/>
      </w:pPr>
    </w:p>
    <w:p w14:paraId="491943DF" w14:textId="7E9DDF62" w:rsidR="00346980" w:rsidRPr="009118AB" w:rsidRDefault="00346980" w:rsidP="000A2687">
      <w:pPr>
        <w:autoSpaceDE w:val="0"/>
        <w:autoSpaceDN w:val="0"/>
        <w:adjustRightInd w:val="0"/>
        <w:ind w:firstLine="709"/>
        <w:jc w:val="both"/>
      </w:pPr>
      <w:r w:rsidRPr="009118AB">
        <w:t>[</w:t>
      </w:r>
      <w:r w:rsidR="00D67EB8" w:rsidRPr="009118AB">
        <w:t>§ </w:t>
      </w:r>
      <w:r w:rsidRPr="009118AB">
        <w:t>2/1</w:t>
      </w:r>
      <w:r w:rsidR="00D67EB8" w:rsidRPr="009118AB">
        <w:t> - </w:t>
      </w:r>
      <w:r w:rsidRPr="009118AB">
        <w:t xml:space="preserve">Ein in Artikel 227 </w:t>
      </w:r>
      <w:r w:rsidR="00D67EB8" w:rsidRPr="009118AB">
        <w:t>Nr. </w:t>
      </w:r>
      <w:r w:rsidRPr="009118AB">
        <w:t>1 erwähnter Steuerpflichtiger, für den die Steuer gemäß [Artikel 243/1 oder 244] berechnet wird, hat ebenfalls Anspruch auf die in den vorhergehenden Paragraphen erwähnte Steuergutschrift, wobei für die Beurteilung der Bedingungen für ihre Gewährung und Berechnung die Gesamtheit der Einkünfte belgischer und ausländischer Herkunft berücksichtigt wird.]</w:t>
      </w:r>
    </w:p>
    <w:p w14:paraId="694D8BAA" w14:textId="77777777" w:rsidR="00346980" w:rsidRPr="009118AB" w:rsidRDefault="00346980" w:rsidP="00346980">
      <w:pPr>
        <w:autoSpaceDE w:val="0"/>
        <w:autoSpaceDN w:val="0"/>
        <w:adjustRightInd w:val="0"/>
        <w:jc w:val="both"/>
      </w:pPr>
    </w:p>
    <w:p w14:paraId="5EF3E7CD" w14:textId="6AF6218C" w:rsidR="00346980" w:rsidRPr="009118AB" w:rsidRDefault="00D67EB8" w:rsidP="000A2687">
      <w:pPr>
        <w:autoSpaceDE w:val="0"/>
        <w:autoSpaceDN w:val="0"/>
        <w:adjustRightInd w:val="0"/>
        <w:ind w:firstLine="709"/>
        <w:jc w:val="both"/>
      </w:pPr>
      <w:r w:rsidRPr="009118AB">
        <w:t>§ </w:t>
      </w:r>
      <w:r w:rsidR="00346980" w:rsidRPr="009118AB">
        <w:t>3</w:t>
      </w:r>
      <w:r w:rsidRPr="009118AB">
        <w:t> - </w:t>
      </w:r>
      <w:r w:rsidR="00346980" w:rsidRPr="009118AB">
        <w:t xml:space="preserve">Die Bestimmungen </w:t>
      </w:r>
      <w:r w:rsidR="00092893" w:rsidRPr="009118AB">
        <w:t xml:space="preserve">[der Artikel 174/1 und 178 </w:t>
      </w:r>
      <w:r w:rsidRPr="009118AB">
        <w:t>§ </w:t>
      </w:r>
      <w:r w:rsidR="00092893" w:rsidRPr="009118AB">
        <w:t xml:space="preserve">3 Absatz 1 </w:t>
      </w:r>
      <w:r w:rsidRPr="009118AB">
        <w:t>Nr. </w:t>
      </w:r>
      <w:r w:rsidR="00092893" w:rsidRPr="009118AB">
        <w:t>2</w:t>
      </w:r>
      <w:r w:rsidR="00346980" w:rsidRPr="009118AB">
        <w:t xml:space="preserve">] sind auf die in vorliegendem Artikel erwähnten Beträge anwendbar.] </w:t>
      </w:r>
    </w:p>
    <w:p w14:paraId="4E1084A7" w14:textId="77777777" w:rsidR="00346980" w:rsidRPr="009118AB" w:rsidRDefault="00346980" w:rsidP="00346980">
      <w:pPr>
        <w:autoSpaceDE w:val="0"/>
        <w:autoSpaceDN w:val="0"/>
        <w:adjustRightInd w:val="0"/>
        <w:jc w:val="both"/>
      </w:pPr>
    </w:p>
    <w:p w14:paraId="6ABDEB0F" w14:textId="187ED9BA" w:rsidR="00E42644" w:rsidRPr="009118AB" w:rsidRDefault="00346980" w:rsidP="00346980">
      <w:pPr>
        <w:autoSpaceDE w:val="0"/>
        <w:autoSpaceDN w:val="0"/>
        <w:adjustRightInd w:val="0"/>
        <w:jc w:val="both"/>
      </w:pPr>
      <w:r w:rsidRPr="009118AB">
        <w:rPr>
          <w:i/>
          <w:iCs/>
        </w:rPr>
        <w:t>[</w:t>
      </w:r>
      <w:r w:rsidR="00D67EB8" w:rsidRPr="009118AB">
        <w:rPr>
          <w:i/>
          <w:iCs/>
        </w:rPr>
        <w:t>Art. </w:t>
      </w:r>
      <w:r w:rsidRPr="009118AB">
        <w:rPr>
          <w:i/>
          <w:iCs/>
        </w:rPr>
        <w:t xml:space="preserve">289ter eingefügt durch </w:t>
      </w:r>
      <w:r w:rsidR="00D67EB8" w:rsidRPr="009118AB">
        <w:rPr>
          <w:i/>
          <w:iCs/>
        </w:rPr>
        <w:t>Art. </w:t>
      </w:r>
      <w:r w:rsidRPr="009118AB">
        <w:rPr>
          <w:i/>
          <w:iCs/>
        </w:rPr>
        <w:t>49 Buchstabe A des G. vom 10. August 2001 (B.S. vom 20. September 2001)</w:t>
      </w:r>
      <w:r w:rsidR="00D67EB8" w:rsidRPr="009118AB">
        <w:rPr>
          <w:i/>
          <w:iCs/>
        </w:rPr>
        <w:t> - </w:t>
      </w:r>
      <w:r w:rsidRPr="009118AB">
        <w:rPr>
          <w:i/>
          <w:iCs/>
        </w:rPr>
        <w:t>in Kraft ab dem Steuerjahr 2003</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ersetzt durch </w:t>
      </w:r>
      <w:r w:rsidR="00D67EB8" w:rsidRPr="009118AB">
        <w:rPr>
          <w:i/>
          <w:iCs/>
        </w:rPr>
        <w:t>Art. </w:t>
      </w:r>
      <w:r w:rsidRPr="009118AB">
        <w:rPr>
          <w:i/>
          <w:iCs/>
        </w:rPr>
        <w:t>140 des G. vom 27. Dezember 2004 (B.S. vom 31. Dezember 2004)</w:t>
      </w:r>
      <w:r w:rsidR="00D67EB8" w:rsidRPr="009118AB">
        <w:rPr>
          <w:i/>
          <w:iCs/>
        </w:rPr>
        <w:t> - </w:t>
      </w:r>
      <w:r w:rsidRPr="009118AB">
        <w:rPr>
          <w:i/>
          <w:iCs/>
        </w:rPr>
        <w:t>anwendbar ab dem Steuerjahr 2005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w:t>
      </w:r>
      <w:r w:rsidR="00D67EB8" w:rsidRPr="009118AB">
        <w:rPr>
          <w:i/>
          <w:iCs/>
        </w:rPr>
        <w:t>Nr. </w:t>
      </w:r>
      <w:r w:rsidRPr="009118AB">
        <w:rPr>
          <w:i/>
          <w:iCs/>
        </w:rPr>
        <w:t xml:space="preserve">2 einziger Absatz erster Gedankenstrich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99 des G. vom 27. Dezember 2005 (I) (B.S. vom 30. Dezember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Steuerjahr 2006</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5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und 2 des G. vom 18. Dezember 2016 (II) (B.S. vom 30. Dezember 2016)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3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2 des G. vom 3. August 2016 (II) (B.S. vom 6. April 2017)</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w:t>
      </w:r>
      <w:r w:rsidRPr="009118AB">
        <w:rPr>
          <w:i/>
          <w:iCs/>
        </w:rPr>
        <w:t xml:space="preserve"> Kraft ab dem Steuerjahr 2017</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4 abgeändert durch </w:t>
      </w:r>
      <w:r w:rsidR="00D67EB8" w:rsidRPr="009118AB">
        <w:rPr>
          <w:i/>
          <w:iCs/>
        </w:rPr>
        <w:t>Art. </w:t>
      </w:r>
      <w:r w:rsidRPr="009118AB">
        <w:rPr>
          <w:i/>
          <w:iCs/>
        </w:rPr>
        <w:t>49 Buchstabe D des G. vom 10. August 2001 (B.S. vom 20. September 2001)</w:t>
      </w:r>
      <w:r w:rsidR="00D67EB8" w:rsidRPr="009118AB">
        <w:rPr>
          <w:i/>
          <w:iCs/>
        </w:rPr>
        <w:t> - </w:t>
      </w:r>
      <w:r w:rsidRPr="009118AB">
        <w:rPr>
          <w:i/>
          <w:iCs/>
        </w:rPr>
        <w:t>in Kraft ab dem Steuerjahr 2005</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5 eingefügt durch </w:t>
      </w:r>
      <w:r w:rsidR="00D67EB8" w:rsidRPr="009118AB">
        <w:rPr>
          <w:i/>
          <w:iCs/>
        </w:rPr>
        <w:t>Art. </w:t>
      </w:r>
      <w:r w:rsidRPr="009118AB">
        <w:rPr>
          <w:i/>
          <w:iCs/>
        </w:rPr>
        <w:t>33 des G. (I) vom 24. Dezember 2002 (I) (B.S. vom 31. Dezember 2002)</w:t>
      </w:r>
      <w:r w:rsidR="00D67EB8" w:rsidRPr="009118AB">
        <w:rPr>
          <w:i/>
          <w:iCs/>
        </w:rPr>
        <w:t> - </w:t>
      </w:r>
      <w:r w:rsidRPr="009118AB">
        <w:rPr>
          <w:i/>
          <w:iCs/>
        </w:rPr>
        <w:t>in Kraft ab dem Steuerjahr 2005</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2 </w:t>
      </w:r>
      <w:r w:rsidR="00D67EB8" w:rsidRPr="009118AB">
        <w:rPr>
          <w:i/>
          <w:iCs/>
        </w:rPr>
        <w:t>Nr. </w:t>
      </w:r>
      <w:r w:rsidRPr="009118AB">
        <w:rPr>
          <w:i/>
          <w:iCs/>
        </w:rPr>
        <w:t xml:space="preserve">1 bis 3 und </w:t>
      </w:r>
      <w:r w:rsidR="00D67EB8" w:rsidRPr="009118AB">
        <w:rPr>
          <w:i/>
          <w:iCs/>
        </w:rPr>
        <w:t>Abs. </w:t>
      </w:r>
      <w:r w:rsidRPr="009118AB">
        <w:rPr>
          <w:i/>
          <w:iCs/>
        </w:rPr>
        <w:t xml:space="preserve">4 abgeändert durch </w:t>
      </w:r>
      <w:r w:rsidR="00D67EB8" w:rsidRPr="009118AB">
        <w:rPr>
          <w:i/>
          <w:iCs/>
        </w:rPr>
        <w:t>Art. </w:t>
      </w:r>
      <w:r w:rsidRPr="009118AB">
        <w:rPr>
          <w:i/>
          <w:iCs/>
        </w:rPr>
        <w:t xml:space="preserve">49 Buchstabe B </w:t>
      </w:r>
      <w:r w:rsidR="00D67EB8" w:rsidRPr="009118AB">
        <w:rPr>
          <w:i/>
          <w:iCs/>
        </w:rPr>
        <w:t>Nr. </w:t>
      </w:r>
      <w:r w:rsidRPr="009118AB">
        <w:rPr>
          <w:i/>
          <w:iCs/>
        </w:rPr>
        <w:t xml:space="preserve">1 des G. vom 10. August 2001 (B.S. vom 20. September 2001), selbst abgeändert durch </w:t>
      </w:r>
      <w:r w:rsidR="00D67EB8" w:rsidRPr="009118AB">
        <w:rPr>
          <w:i/>
          <w:iCs/>
        </w:rPr>
        <w:t>Art. </w:t>
      </w:r>
      <w:r w:rsidRPr="009118AB">
        <w:rPr>
          <w:i/>
          <w:iCs/>
        </w:rPr>
        <w:t xml:space="preserve">35 des G. (I) vom 24. Dezember 2002 (I) (B.S. vom </w:t>
      </w:r>
      <w:r w:rsidRPr="009118AB">
        <w:rPr>
          <w:i/>
          <w:iCs/>
          <w:spacing w:val="-2"/>
        </w:rPr>
        <w:t>31. Dezember 2002)</w:t>
      </w:r>
      <w:r w:rsidR="00D67EB8" w:rsidRPr="009118AB">
        <w:rPr>
          <w:i/>
          <w:iCs/>
          <w:spacing w:val="-2"/>
        </w:rPr>
        <w:t> - </w:t>
      </w:r>
      <w:r w:rsidRPr="009118AB">
        <w:rPr>
          <w:i/>
          <w:iCs/>
          <w:spacing w:val="-2"/>
        </w:rPr>
        <w:t>in Kraft ab dem Steuerjahr 2005</w:t>
      </w:r>
      <w:r w:rsidR="00FD68E8" w:rsidRPr="009118AB">
        <w:rPr>
          <w:i/>
          <w:iCs/>
          <w:spacing w:val="-2"/>
        </w:rPr>
        <w:t> -,</w:t>
      </w:r>
      <w:r w:rsidRPr="009118AB">
        <w:rPr>
          <w:i/>
          <w:iCs/>
          <w:spacing w:val="-2"/>
        </w:rPr>
        <w:t xml:space="preserve"> und durch </w:t>
      </w:r>
      <w:r w:rsidR="00D67EB8" w:rsidRPr="009118AB">
        <w:rPr>
          <w:i/>
          <w:iCs/>
          <w:spacing w:val="-2"/>
        </w:rPr>
        <w:t>Art. </w:t>
      </w:r>
      <w:r w:rsidRPr="009118AB">
        <w:rPr>
          <w:i/>
          <w:iCs/>
          <w:spacing w:val="-2"/>
        </w:rPr>
        <w:t>49 Buchstabe C des G. vom 10. August 2001 (B.S. vom 20. September 2001)</w:t>
      </w:r>
      <w:r w:rsidR="00D67EB8" w:rsidRPr="009118AB">
        <w:rPr>
          <w:i/>
          <w:iCs/>
          <w:spacing w:val="-2"/>
        </w:rPr>
        <w:t> - </w:t>
      </w:r>
      <w:r w:rsidRPr="009118AB">
        <w:rPr>
          <w:i/>
          <w:iCs/>
          <w:spacing w:val="-2"/>
        </w:rPr>
        <w:t>in Kraft ab dem Steuerjahr 2004</w:t>
      </w:r>
      <w:r w:rsidR="003366D9" w:rsidRPr="009118AB">
        <w:rPr>
          <w:i/>
          <w:iCs/>
          <w:spacing w:val="-2"/>
        </w:rPr>
        <w:t> -;</w:t>
      </w:r>
      <w:r w:rsidRPr="009118AB">
        <w:rPr>
          <w:i/>
          <w:iCs/>
          <w:spacing w:val="-2"/>
        </w:rPr>
        <w:t xml:space="preserve"> </w:t>
      </w:r>
      <w:r w:rsidR="00D67EB8" w:rsidRPr="009118AB">
        <w:rPr>
          <w:i/>
          <w:iCs/>
          <w:spacing w:val="-2"/>
        </w:rPr>
        <w:t>§ </w:t>
      </w:r>
      <w:r w:rsidRPr="009118AB">
        <w:rPr>
          <w:i/>
          <w:iCs/>
          <w:spacing w:val="-2"/>
        </w:rPr>
        <w:t xml:space="preserve">2 </w:t>
      </w:r>
      <w:r w:rsidR="00D67EB8" w:rsidRPr="009118AB">
        <w:rPr>
          <w:i/>
          <w:iCs/>
          <w:spacing w:val="-2"/>
        </w:rPr>
        <w:t>Abs. </w:t>
      </w:r>
      <w:r w:rsidRPr="009118AB">
        <w:rPr>
          <w:i/>
          <w:iCs/>
          <w:spacing w:val="-2"/>
        </w:rPr>
        <w:t xml:space="preserve">5 eingefügt durch </w:t>
      </w:r>
      <w:r w:rsidR="00D67EB8" w:rsidRPr="009118AB">
        <w:rPr>
          <w:i/>
          <w:iCs/>
          <w:spacing w:val="-2"/>
        </w:rPr>
        <w:t>Art. </w:t>
      </w:r>
      <w:r w:rsidRPr="009118AB">
        <w:rPr>
          <w:i/>
          <w:iCs/>
          <w:spacing w:val="-2"/>
        </w:rPr>
        <w:t xml:space="preserve">49 Buchstabe B </w:t>
      </w:r>
      <w:r w:rsidR="00D67EB8" w:rsidRPr="009118AB">
        <w:rPr>
          <w:i/>
          <w:iCs/>
          <w:spacing w:val="-2"/>
        </w:rPr>
        <w:t>Nr. </w:t>
      </w:r>
      <w:r w:rsidRPr="009118AB">
        <w:rPr>
          <w:i/>
          <w:iCs/>
          <w:spacing w:val="-2"/>
        </w:rPr>
        <w:t xml:space="preserve">2 des G. vom 10. August 2001 (B.S. vom 20. September 2001), selbst abgeändert durch </w:t>
      </w:r>
      <w:r w:rsidR="00D67EB8" w:rsidRPr="009118AB">
        <w:rPr>
          <w:i/>
          <w:iCs/>
          <w:spacing w:val="-2"/>
        </w:rPr>
        <w:t>Art. </w:t>
      </w:r>
      <w:r w:rsidRPr="009118AB">
        <w:rPr>
          <w:i/>
          <w:iCs/>
          <w:spacing w:val="-2"/>
        </w:rPr>
        <w:t>35 des G. (I) vom 24. Dezember 2002 (I) (B.S. vom 31. Dezember 2002)</w:t>
      </w:r>
      <w:r w:rsidR="00D67EB8" w:rsidRPr="009118AB">
        <w:rPr>
          <w:i/>
          <w:iCs/>
          <w:spacing w:val="-2"/>
        </w:rPr>
        <w:t> - </w:t>
      </w:r>
      <w:r w:rsidRPr="009118AB">
        <w:rPr>
          <w:i/>
          <w:iCs/>
          <w:spacing w:val="-2"/>
        </w:rPr>
        <w:t>in Kraft ab dem Steuerjahr 2004</w:t>
      </w:r>
      <w:r w:rsidR="00FD68E8" w:rsidRPr="009118AB">
        <w:rPr>
          <w:i/>
          <w:iCs/>
          <w:spacing w:val="-2"/>
        </w:rPr>
        <w:t> -,</w:t>
      </w:r>
      <w:r w:rsidRPr="009118AB">
        <w:rPr>
          <w:i/>
          <w:iCs/>
          <w:spacing w:val="-2"/>
        </w:rPr>
        <w:t xml:space="preserve"> und ersetzt durch </w:t>
      </w:r>
      <w:r w:rsidR="00D67EB8" w:rsidRPr="009118AB">
        <w:rPr>
          <w:i/>
          <w:iCs/>
          <w:spacing w:val="-2"/>
        </w:rPr>
        <w:t>Art. </w:t>
      </w:r>
      <w:r w:rsidRPr="009118AB">
        <w:rPr>
          <w:i/>
          <w:iCs/>
          <w:spacing w:val="-2"/>
        </w:rPr>
        <w:t>5 des G. vom 17. Juni 2013 (B.S. vom 28. Juni 2013)</w:t>
      </w:r>
      <w:r w:rsidR="00D67EB8" w:rsidRPr="009118AB">
        <w:rPr>
          <w:i/>
          <w:iCs/>
          <w:spacing w:val="-2"/>
        </w:rPr>
        <w:t> - </w:t>
      </w:r>
      <w:r w:rsidRPr="009118AB">
        <w:rPr>
          <w:i/>
          <w:iCs/>
          <w:spacing w:val="-2"/>
        </w:rPr>
        <w:t>anwendbar ab dem Steuerjahr 2014</w:t>
      </w:r>
      <w:r w:rsidR="003366D9" w:rsidRPr="009118AB">
        <w:rPr>
          <w:i/>
          <w:iCs/>
          <w:spacing w:val="-2"/>
        </w:rPr>
        <w:t> -;</w:t>
      </w:r>
      <w:r w:rsidRPr="009118AB">
        <w:rPr>
          <w:spacing w:val="-2"/>
        </w:rPr>
        <w:t xml:space="preserve"> </w:t>
      </w:r>
      <w:r w:rsidR="00D67EB8" w:rsidRPr="009118AB">
        <w:rPr>
          <w:i/>
          <w:spacing w:val="-2"/>
        </w:rPr>
        <w:t>§ </w:t>
      </w:r>
      <w:r w:rsidRPr="009118AB">
        <w:rPr>
          <w:i/>
          <w:spacing w:val="-2"/>
        </w:rPr>
        <w:t xml:space="preserve">2/1 eingefügt durch </w:t>
      </w:r>
      <w:r w:rsidR="00D67EB8" w:rsidRPr="009118AB">
        <w:rPr>
          <w:i/>
          <w:spacing w:val="-2"/>
        </w:rPr>
        <w:t>Art. </w:t>
      </w:r>
      <w:r w:rsidRPr="009118AB">
        <w:rPr>
          <w:i/>
          <w:spacing w:val="-2"/>
        </w:rPr>
        <w:t>21</w:t>
      </w:r>
      <w:r w:rsidRPr="009118AB">
        <w:rPr>
          <w:i/>
          <w:iCs/>
          <w:spacing w:val="-2"/>
        </w:rPr>
        <w:t xml:space="preserve"> des G. vom 17. Juni 2013 (B.S. vom 28. Juni 2013)</w:t>
      </w:r>
      <w:r w:rsidR="00D67EB8" w:rsidRPr="009118AB">
        <w:rPr>
          <w:i/>
          <w:iCs/>
          <w:spacing w:val="-2"/>
        </w:rPr>
        <w:t> - </w:t>
      </w:r>
      <w:r w:rsidRPr="009118AB">
        <w:rPr>
          <w:i/>
          <w:iCs/>
          <w:spacing w:val="-2"/>
        </w:rPr>
        <w:t>anwendbar ab dem Steuerjahr 2013</w:t>
      </w:r>
      <w:r w:rsidR="00D67EB8" w:rsidRPr="009118AB">
        <w:rPr>
          <w:i/>
          <w:iCs/>
          <w:spacing w:val="-2"/>
        </w:rPr>
        <w:t> - </w:t>
      </w:r>
      <w:r w:rsidRPr="009118AB">
        <w:rPr>
          <w:i/>
          <w:iCs/>
          <w:spacing w:val="-2"/>
        </w:rPr>
        <w:t xml:space="preserve">und abgeändert durch </w:t>
      </w:r>
      <w:r w:rsidR="00D67EB8" w:rsidRPr="009118AB">
        <w:rPr>
          <w:i/>
          <w:iCs/>
          <w:spacing w:val="-2"/>
        </w:rPr>
        <w:t>Art. </w:t>
      </w:r>
      <w:r w:rsidRPr="009118AB">
        <w:rPr>
          <w:i/>
          <w:iCs/>
          <w:spacing w:val="-2"/>
        </w:rPr>
        <w:t>84</w:t>
      </w:r>
      <w:r w:rsidRPr="009118AB">
        <w:rPr>
          <w:i/>
          <w:spacing w:val="-2"/>
        </w:rPr>
        <w:t xml:space="preserve"> des G. vom 8. Mai 2014 (B.S. vom 28. Mai 2014)</w:t>
      </w:r>
      <w:r w:rsidR="00D67EB8" w:rsidRPr="009118AB">
        <w:rPr>
          <w:i/>
          <w:spacing w:val="-2"/>
        </w:rPr>
        <w:t> - </w:t>
      </w:r>
      <w:r w:rsidRPr="009118AB">
        <w:rPr>
          <w:i/>
          <w:iCs/>
          <w:spacing w:val="-2"/>
        </w:rPr>
        <w:t>anwendbar ab dem Steuerjahr 2015</w:t>
      </w:r>
      <w:r w:rsidR="003366D9" w:rsidRPr="009118AB">
        <w:rPr>
          <w:i/>
          <w:iCs/>
          <w:spacing w:val="-2"/>
        </w:rPr>
        <w:t> -;</w:t>
      </w:r>
      <w:r w:rsidRPr="009118AB">
        <w:rPr>
          <w:i/>
          <w:iCs/>
          <w:spacing w:val="-2"/>
        </w:rPr>
        <w:t xml:space="preserve"> </w:t>
      </w:r>
      <w:r w:rsidR="00D67EB8" w:rsidRPr="009118AB">
        <w:rPr>
          <w:i/>
          <w:iCs/>
          <w:spacing w:val="-2"/>
        </w:rPr>
        <w:t>§ </w:t>
      </w:r>
      <w:r w:rsidRPr="009118AB">
        <w:rPr>
          <w:i/>
          <w:iCs/>
          <w:spacing w:val="-2"/>
        </w:rPr>
        <w:t xml:space="preserve">3 abgeändert durch </w:t>
      </w:r>
      <w:r w:rsidR="00D67EB8" w:rsidRPr="009118AB">
        <w:rPr>
          <w:i/>
          <w:iCs/>
          <w:spacing w:val="-2"/>
        </w:rPr>
        <w:t>Art. </w:t>
      </w:r>
      <w:r w:rsidRPr="009118AB">
        <w:rPr>
          <w:i/>
          <w:iCs/>
          <w:spacing w:val="-2"/>
        </w:rPr>
        <w:t>8 des G. vom 19. Dezember 2014 (B.S. vom</w:t>
      </w:r>
      <w:r w:rsidRPr="009118AB">
        <w:rPr>
          <w:i/>
          <w:iCs/>
        </w:rPr>
        <w:t xml:space="preserve"> </w:t>
      </w:r>
      <w:r w:rsidRPr="009118AB">
        <w:rPr>
          <w:rFonts w:ascii="Times New Roman Italique" w:hAnsi="Times New Roman Italique"/>
          <w:i/>
          <w:iCs/>
          <w:spacing w:val="-2"/>
        </w:rPr>
        <w:t>29. Dezember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2015</w:t>
      </w:r>
      <w:r w:rsidR="00D67EB8" w:rsidRPr="009118AB">
        <w:rPr>
          <w:rFonts w:ascii="Times New Roman Italique" w:hAnsi="Times New Roman Italique"/>
          <w:i/>
          <w:iCs/>
          <w:spacing w:val="-2"/>
        </w:rPr>
        <w:t> - </w:t>
      </w:r>
      <w:r w:rsidR="00092893"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092893" w:rsidRPr="009118AB">
        <w:rPr>
          <w:rFonts w:ascii="Times New Roman Italique" w:hAnsi="Times New Roman Italique"/>
          <w:i/>
          <w:iCs/>
          <w:spacing w:val="-2"/>
        </w:rPr>
        <w:t>128 des G. vom 25. Dezember 2017 (IV) (B.S. vom 29. Dezember 2017)</w:t>
      </w:r>
      <w:r w:rsidR="00D67EB8" w:rsidRPr="009118AB">
        <w:rPr>
          <w:rFonts w:ascii="Times New Roman Italique" w:hAnsi="Times New Roman Italique"/>
          <w:i/>
          <w:iCs/>
          <w:spacing w:val="-2"/>
        </w:rPr>
        <w:t> - </w:t>
      </w:r>
      <w:r w:rsidR="00092893" w:rsidRPr="009118AB">
        <w:rPr>
          <w:rFonts w:ascii="Times New Roman Italique" w:hAnsi="Times New Roman Italique"/>
          <w:i/>
          <w:iCs/>
          <w:spacing w:val="-2"/>
        </w:rPr>
        <w:t>anwendbar ab dem Steuerjahr 2018</w:t>
      </w:r>
      <w:r w:rsidR="003366D9" w:rsidRPr="009118AB">
        <w:rPr>
          <w:rFonts w:ascii="Times New Roman Italique" w:hAnsi="Times New Roman Italique"/>
          <w:i/>
          <w:iCs/>
          <w:spacing w:val="-2"/>
        </w:rPr>
        <w:t> -;</w:t>
      </w:r>
      <w:r w:rsidRPr="009118AB">
        <w:rPr>
          <w:i/>
          <w:iCs/>
        </w:rPr>
        <w:t xml:space="preserve"> </w:t>
      </w:r>
      <w:r w:rsidRPr="009118AB">
        <w:rPr>
          <w:i/>
        </w:rPr>
        <w:t xml:space="preserve">Gemäß </w:t>
      </w:r>
      <w:r w:rsidR="00D67EB8" w:rsidRPr="009118AB">
        <w:rPr>
          <w:i/>
        </w:rPr>
        <w:t>Art. </w:t>
      </w:r>
      <w:r w:rsidRPr="009118AB">
        <w:rPr>
          <w:i/>
        </w:rPr>
        <w:t>96 des G. vom 27. April 2007 (I) (B.S. vom 8. Mai 2007) wird für das Steuerjahr 2008 der Betrag der in Artikel 289</w:t>
      </w:r>
      <w:r w:rsidRPr="009118AB">
        <w:rPr>
          <w:i/>
          <w:iCs/>
        </w:rPr>
        <w:t>ter</w:t>
      </w:r>
      <w:r w:rsidRPr="009118AB">
        <w:rPr>
          <w:i/>
        </w:rPr>
        <w:t xml:space="preserve"> </w:t>
      </w:r>
      <w:r w:rsidR="00D67EB8" w:rsidRPr="009118AB">
        <w:rPr>
          <w:i/>
        </w:rPr>
        <w:t>§ </w:t>
      </w:r>
      <w:r w:rsidRPr="009118AB">
        <w:rPr>
          <w:i/>
        </w:rPr>
        <w:t>2 des Einkom</w:t>
      </w:r>
      <w:r w:rsidRPr="009118AB">
        <w:rPr>
          <w:i/>
        </w:rPr>
        <w:softHyphen/>
        <w:t>mensteuergesetzbuches 1992 erwähnten Steuergutschrift um 80 Prozent erhöht für Steuerpflich</w:t>
      </w:r>
      <w:r w:rsidRPr="009118AB">
        <w:rPr>
          <w:i/>
        </w:rPr>
        <w:softHyphen/>
        <w:t>tige, die anders als aufgrund eines Arbeitsvertrags im öffentlichen Sektor Arbeitsleistungen erbringen.</w:t>
      </w:r>
      <w:r w:rsidRPr="009118AB">
        <w:rPr>
          <w:i/>
          <w:iCs/>
        </w:rPr>
        <w:t>]</w:t>
      </w:r>
    </w:p>
    <w:p w14:paraId="12EF89F9" w14:textId="77777777" w:rsidR="00854327" w:rsidRPr="009118AB" w:rsidRDefault="00854327" w:rsidP="00477B8F">
      <w:pPr>
        <w:autoSpaceDE w:val="0"/>
        <w:autoSpaceDN w:val="0"/>
        <w:adjustRightInd w:val="0"/>
        <w:jc w:val="center"/>
      </w:pPr>
    </w:p>
    <w:p w14:paraId="0A8CE20A" w14:textId="77777777" w:rsidR="00CE7F40" w:rsidRPr="009118AB" w:rsidRDefault="00CE7F40" w:rsidP="00CE7F40">
      <w:pPr>
        <w:autoSpaceDE w:val="0"/>
        <w:autoSpaceDN w:val="0"/>
        <w:adjustRightInd w:val="0"/>
        <w:jc w:val="both"/>
        <w:rPr>
          <w:iCs/>
          <w:spacing w:val="-1"/>
        </w:rPr>
      </w:pPr>
    </w:p>
    <w:p w14:paraId="57DF8ACC" w14:textId="6BB5EBDF" w:rsidR="00102F61" w:rsidRPr="0045356F" w:rsidRDefault="003027B9" w:rsidP="0045356F">
      <w:pPr>
        <w:autoSpaceDE w:val="0"/>
        <w:autoSpaceDN w:val="0"/>
        <w:adjustRightInd w:val="0"/>
        <w:jc w:val="both"/>
        <w:rPr>
          <w:iCs/>
        </w:rPr>
      </w:pPr>
      <w:r w:rsidRPr="009118AB">
        <w:rPr>
          <w:iCs/>
          <w:spacing w:val="-1"/>
        </w:rPr>
        <w:tab/>
      </w:r>
      <w:r w:rsidR="00BD6DF5" w:rsidRPr="009118AB">
        <w:rPr>
          <w:iCs/>
          <w:spacing w:val="-1"/>
        </w:rPr>
        <w:t>[</w:t>
      </w:r>
      <w:r w:rsidR="00D67EB8" w:rsidRPr="009118AB">
        <w:rPr>
          <w:b/>
          <w:iCs/>
          <w:spacing w:val="-1"/>
        </w:rPr>
        <w:t>Art. </w:t>
      </w:r>
      <w:r w:rsidR="00BD6DF5" w:rsidRPr="009118AB">
        <w:rPr>
          <w:b/>
          <w:iCs/>
          <w:spacing w:val="-1"/>
        </w:rPr>
        <w:t>289</w:t>
      </w:r>
      <w:r w:rsidR="00BD6DF5" w:rsidRPr="009118AB">
        <w:rPr>
          <w:b/>
          <w:i/>
          <w:iCs/>
          <w:spacing w:val="-1"/>
        </w:rPr>
        <w:t>ter</w:t>
      </w:r>
      <w:r w:rsidR="00BD6DF5" w:rsidRPr="009118AB">
        <w:rPr>
          <w:b/>
          <w:iCs/>
          <w:spacing w:val="-1"/>
        </w:rPr>
        <w:t>/1</w:t>
      </w:r>
      <w:r w:rsidR="00D67EB8" w:rsidRPr="009118AB">
        <w:rPr>
          <w:iCs/>
          <w:spacing w:val="-1"/>
        </w:rPr>
        <w:t> - </w:t>
      </w:r>
      <w:r w:rsidR="00102F61" w:rsidRPr="0045356F">
        <w:rPr>
          <w:iCs/>
        </w:rPr>
        <w:t>Eine Steuergutschrift wird [Einwohnern des Königreichs mit Niedriglöhnen und Gebietsfremden mit Niedriglöhnen, für die die Steuer gemäß Artikel 243/1 oder 244 berechnet wird, gewährt, die]:</w:t>
      </w:r>
    </w:p>
    <w:p w14:paraId="35DCA1A8" w14:textId="77777777" w:rsidR="00102F61" w:rsidRPr="0045356F" w:rsidRDefault="00102F61" w:rsidP="0045356F">
      <w:pPr>
        <w:ind w:firstLine="709"/>
        <w:jc w:val="both"/>
        <w:rPr>
          <w:iCs/>
        </w:rPr>
      </w:pPr>
    </w:p>
    <w:p w14:paraId="6C3272EF" w14:textId="77777777" w:rsidR="00102F61" w:rsidRPr="0045356F" w:rsidRDefault="00102F61" w:rsidP="0045356F">
      <w:pPr>
        <w:ind w:firstLine="709"/>
        <w:jc w:val="both"/>
        <w:rPr>
          <w:iCs/>
        </w:rPr>
      </w:pPr>
      <w:r w:rsidRPr="0045356F">
        <w:rPr>
          <w:iCs/>
        </w:rPr>
        <w:t>- entweder den in Artikel 21 § 1 Nr. 1 bis 3 und 5 des Gesetzes vom 29. Juni 1981 zur Festlegung der allgemeinen Grundsätze der sozialen Sicherheit für Lohnempfänger erwähnten Regelungen unterliegen</w:t>
      </w:r>
    </w:p>
    <w:p w14:paraId="667030E9" w14:textId="77777777" w:rsidR="00102F61" w:rsidRPr="0045356F" w:rsidRDefault="00102F61" w:rsidP="0045356F">
      <w:pPr>
        <w:ind w:firstLine="709"/>
        <w:jc w:val="both"/>
        <w:rPr>
          <w:iCs/>
        </w:rPr>
      </w:pPr>
    </w:p>
    <w:p w14:paraId="79113EAC" w14:textId="77777777" w:rsidR="00102F61" w:rsidRPr="0045356F" w:rsidRDefault="00102F61" w:rsidP="0045356F">
      <w:pPr>
        <w:ind w:firstLine="709"/>
        <w:jc w:val="both"/>
        <w:rPr>
          <w:iCs/>
        </w:rPr>
      </w:pPr>
      <w:r w:rsidRPr="0045356F">
        <w:rPr>
          <w:iCs/>
        </w:rPr>
        <w:t>- oder den in Artikel 1 Nr. 1 bis 3 des Erlassgesetzes vom 7. Februar 1945 über die soziale Sicherheit der Seeleute der Handelsmarine erwähnten Regelungen unterliegen.</w:t>
      </w:r>
    </w:p>
    <w:p w14:paraId="259E3922" w14:textId="77777777" w:rsidR="00102F61" w:rsidRPr="0045356F" w:rsidRDefault="00102F61" w:rsidP="0045356F">
      <w:pPr>
        <w:ind w:firstLine="709"/>
        <w:jc w:val="both"/>
        <w:rPr>
          <w:iCs/>
        </w:rPr>
      </w:pPr>
    </w:p>
    <w:p w14:paraId="6907FA14" w14:textId="77777777" w:rsidR="00D119BA" w:rsidRPr="0045356F" w:rsidRDefault="00D119BA" w:rsidP="0045356F">
      <w:pPr>
        <w:ind w:firstLine="709"/>
        <w:jc w:val="both"/>
        <w:rPr>
          <w:iCs/>
        </w:rPr>
      </w:pPr>
      <w:r w:rsidRPr="0045356F">
        <w:rPr>
          <w:iCs/>
        </w:rPr>
        <w:t>[Die Steuergutschrift entspricht:</w:t>
      </w:r>
    </w:p>
    <w:p w14:paraId="7211CBC5" w14:textId="77777777" w:rsidR="00D119BA" w:rsidRPr="0045356F" w:rsidRDefault="00D119BA" w:rsidP="0045356F">
      <w:pPr>
        <w:ind w:firstLine="709"/>
        <w:jc w:val="both"/>
        <w:rPr>
          <w:iCs/>
        </w:rPr>
      </w:pPr>
    </w:p>
    <w:p w14:paraId="2FC34418" w14:textId="77777777" w:rsidR="00D119BA" w:rsidRPr="0045356F" w:rsidRDefault="00D119BA" w:rsidP="0045356F">
      <w:pPr>
        <w:ind w:firstLine="709"/>
        <w:jc w:val="both"/>
        <w:rPr>
          <w:iCs/>
        </w:rPr>
      </w:pPr>
      <w:r w:rsidRPr="0045356F">
        <w:rPr>
          <w:iCs/>
        </w:rPr>
        <w:t>- 33,14 Prozent des Betrags von Teil A der Ermäßigung der persönlichen Sozialversicherungsbeiträge, die für die im Besteuerungszeitraum bezogenen Entlohnungen tatsächlich gewährt wird in Anwendung von Artikel 2 § 1/1 des Gesetzes vom 20. Dezember 1999 zur Gewährung eines Arbeitsbonus an Lohnempfänger mit Niedriglöhnen und anderer Ermäßigungen der persönlichen Sozialversicherungsbeiträge, und</w:t>
      </w:r>
    </w:p>
    <w:p w14:paraId="71182C8D" w14:textId="77777777" w:rsidR="00D119BA" w:rsidRPr="0045356F" w:rsidRDefault="00D119BA" w:rsidP="0045356F">
      <w:pPr>
        <w:ind w:firstLine="709"/>
        <w:jc w:val="both"/>
        <w:rPr>
          <w:iCs/>
        </w:rPr>
      </w:pPr>
    </w:p>
    <w:p w14:paraId="42028F83" w14:textId="4A786E42" w:rsidR="00102F61" w:rsidRPr="0045356F" w:rsidRDefault="00D119BA" w:rsidP="0045356F">
      <w:pPr>
        <w:ind w:firstLine="709"/>
        <w:jc w:val="both"/>
        <w:rPr>
          <w:iCs/>
        </w:rPr>
      </w:pPr>
      <w:r w:rsidRPr="0045356F">
        <w:rPr>
          <w:iCs/>
        </w:rPr>
        <w:t>- 52,54 Prozent des Betrags von Teil B der Ermäßigung der persönlichen Sozialversicherungsbeiträge, die für die im Besteuerungszeitraum bezogenen Entlohnungen tatsächlich gewährt wird in Anwendung von Artikel 2 § 1/2 des vorerwähnten Gesetzes vom 20. Dezember 1999.]</w:t>
      </w:r>
    </w:p>
    <w:p w14:paraId="77487D56" w14:textId="77777777" w:rsidR="00102F61" w:rsidRPr="0045356F" w:rsidRDefault="00102F61" w:rsidP="0045356F">
      <w:pPr>
        <w:ind w:firstLine="709"/>
        <w:jc w:val="both"/>
        <w:rPr>
          <w:iCs/>
        </w:rPr>
      </w:pPr>
    </w:p>
    <w:p w14:paraId="32FD49E6" w14:textId="355F8C75" w:rsidR="00102F61" w:rsidRPr="0045356F" w:rsidRDefault="00102F61" w:rsidP="0045356F">
      <w:pPr>
        <w:ind w:firstLine="709"/>
        <w:jc w:val="both"/>
        <w:rPr>
          <w:iCs/>
        </w:rPr>
      </w:pPr>
      <w:r w:rsidRPr="0045356F">
        <w:rPr>
          <w:iCs/>
        </w:rPr>
        <w:t>Die Steuergutschrift darf pro Besteuerungszeitraum nicht über [</w:t>
      </w:r>
      <w:r w:rsidR="00D119BA" w:rsidRPr="0045356F">
        <w:rPr>
          <w:iCs/>
        </w:rPr>
        <w:t>71</w:t>
      </w:r>
      <w:r w:rsidRPr="0045356F">
        <w:rPr>
          <w:iCs/>
        </w:rPr>
        <w:t>0</w:t>
      </w:r>
      <w:r w:rsidRPr="0045356F">
        <w:rPr>
          <w:iCs/>
          <w:lang w:bidi="de-DE"/>
        </w:rPr>
        <w:t> EUR</w:t>
      </w:r>
      <w:r w:rsidRPr="0045356F">
        <w:rPr>
          <w:iCs/>
        </w:rPr>
        <w:t>] liegen. Die Bestimmungen [der Artikel 174/1 und 178 § 3 Absatz 1 Nr. 2] sind auf diesen Betrag anwendbar.]</w:t>
      </w:r>
    </w:p>
    <w:p w14:paraId="3A08C78F" w14:textId="77777777" w:rsidR="00102F61" w:rsidRPr="0045356F" w:rsidRDefault="00102F61" w:rsidP="0045356F">
      <w:pPr>
        <w:ind w:firstLine="709"/>
        <w:jc w:val="both"/>
        <w:rPr>
          <w:iCs/>
        </w:rPr>
      </w:pPr>
    </w:p>
    <w:p w14:paraId="415B9BB7" w14:textId="66EE89C6" w:rsidR="00D119BA" w:rsidRDefault="00102F61" w:rsidP="0045356F">
      <w:pPr>
        <w:jc w:val="both"/>
        <w:rPr>
          <w:i/>
          <w:iCs/>
        </w:rPr>
      </w:pPr>
      <w:r w:rsidRPr="0045356F">
        <w:rPr>
          <w:i/>
          <w:iCs/>
        </w:rPr>
        <w:t xml:space="preserve">[Art. 289ter/1 eingefügt durch Art. 4 des G. vom 19. Juni 2011 (B.S. vom 28. Juni 2011) - anwendbar ab dem Steuerjahr 2012 -; Abs. 1 einleitende Bestimmung abgeändert durch Art. 129 Nr. 1 des G. vom 25. Dezember 2017 (IV) (B.S. vom 29. Dezember 2017) - anwendbar ab dem Steuerjahr 2018 -; </w:t>
      </w:r>
      <w:r w:rsidR="00D119BA" w:rsidRPr="0045356F">
        <w:rPr>
          <w:i/>
          <w:iCs/>
        </w:rPr>
        <w:t>Abs. 2 ersetzt durch Art. 19 Nr. 1 des G. vom 22. Dezember 2023 (II) (B.S. vom 29. Dezember 2023) - anwendbar auf die ab dem 1. April 2024 gewährten Ermäßigungen der persönlichen Sozialversicherungsbeiträge -</w:t>
      </w:r>
      <w:r w:rsidRPr="0045356F">
        <w:rPr>
          <w:i/>
          <w:iCs/>
        </w:rPr>
        <w:t>; Abs. 3 abgeändert durch Art. 6 Nr. 2 des G. vom 17. Juni 2013 (B.S. vom 28. Juni 2013) - anwendbar ab dem Steuerjahr 2014 -, Art. 9 Buchstabe A des G. vom 15. Mai 2014 (B.S. vom 22. Mai 2014) - in Kraft ab dem 1. April 2014 -, Art. 9 Buchstabe B des G. vom 15. Mai 2014 (B.S. vom 22. Mai 2014) - in Kraft ab dem 1. August 2015 -, selbst abgeändert durch Art. 61 des G. vom 19. Dezember 2014 (B.S. vom 29. Dezember 2014) und Art. 84 Nr. 1 des G. vom 10. August 2015 (B.S. vom 18. August 2015), durch Art. 9 Buchstabe C des G. vom 15. Mai 2014 (B.S. vom 22. Mai 2014) - in Kraft ab dem 1. Januar 2016 -, selbst aufgehoben durch Art. 61 des G. vom 19. Dezember 2014 (B.S. vom 29. Dezember 2014) und wieder aufgenommen durch Art. 84 Nr. 2 des G. vom 10. August 2015 (B.S. vom 18. August 2015), durch Art. 9 Buchstabe D) des G. vom 15. Mai 2014 (B.S. vom 22. Mai 2014) - in Kraft ab dem 1. Januar 2019 -, selbst abgeändert durch Art. 84 Nr. 3 des G. vom 10. August 2015 (B.S. vom 18. August 2015), durch Art. 9 des G. vom 19. Dezember 2014 (B.S. vom 29. Dezember 2014) - anwendbar ab dem Steuerjahr 2015 -, Art. 129 Nr. 2 des G. vom 25. Dezember 2017 (IV) (B.S. vom 29. Dezember 2017) - anwendbar ab dem Steuerjahr 2018 -, Art. 21 Nr. 1 des G. vom 12. Dezember 2021 (B.S. vom 31. Dezember 2021) - in Kraft ab dem Steuerjahr 2023 -, Art. 21 Nr. 2 des G. vom 12. Dezember 2021 (B.S. vom 31. Dezember 2021) - in Kraft ab dem Steuerjahr 2024 -, selbst aufgehoben durch Art. 51 des G. vom 5. Juli 2022 (B.S. vom 15. Juli 2022), und durch Art. 50 des G. vom 5. Juli 2022 (B.S. vom 15. Juli 2022) - in Kraft ab dem Steuerjahr 2023 -, Art. 31 des G. vom 21. Dezember 2022 (II) (B.S. vom 29. Dezember 2022) - anwendbar ab dem Steuerjahr 2023 -, Art. 32 Nr. 2 des G. vom 31. Juli 2023 (II) (B.S. vom 23. August 2023) - anwendbar ab dem Steuerjahr 2024 -</w:t>
      </w:r>
      <w:r w:rsidR="00D119BA" w:rsidRPr="0045356F">
        <w:rPr>
          <w:i/>
          <w:iCs/>
        </w:rPr>
        <w:t>,</w:t>
      </w:r>
      <w:r w:rsidRPr="0045356F">
        <w:rPr>
          <w:i/>
          <w:iCs/>
        </w:rPr>
        <w:t xml:space="preserve"> Art. 32 Nr. 3 des G. vom 31. Juli 2023 (II) (B.S. vom 23. August 2023) - anwendbar ab dem Steuerjahr 2025 -</w:t>
      </w:r>
      <w:r w:rsidR="00D119BA" w:rsidRPr="0045356F">
        <w:rPr>
          <w:i/>
          <w:iCs/>
        </w:rPr>
        <w:t xml:space="preserve"> und </w:t>
      </w:r>
      <w:r w:rsidR="00D119BA" w:rsidRPr="0045356F">
        <w:rPr>
          <w:i/>
          <w:iCs/>
        </w:rPr>
        <w:lastRenderedPageBreak/>
        <w:t>Art. 19 Nr. 2 des G. vom 22. Dezember 2023 (II) (B.S. vom 29. Dezember 2023) - anwendbar ab dem Steuerjahr 2025 -</w:t>
      </w:r>
      <w:r w:rsidRPr="0045356F">
        <w:rPr>
          <w:i/>
          <w:iCs/>
        </w:rPr>
        <w:t>]</w:t>
      </w:r>
    </w:p>
    <w:p w14:paraId="719D41A0" w14:textId="77777777" w:rsidR="0045356F" w:rsidRPr="0045356F" w:rsidRDefault="0045356F" w:rsidP="0045356F">
      <w:pPr>
        <w:jc w:val="both"/>
      </w:pPr>
    </w:p>
    <w:p w14:paraId="3FEE50B6" w14:textId="77777777" w:rsidR="0045356F" w:rsidRPr="0045356F" w:rsidRDefault="0045356F" w:rsidP="0045356F">
      <w:pPr>
        <w:jc w:val="both"/>
        <w:rPr>
          <w:sz w:val="20"/>
        </w:rPr>
      </w:pPr>
    </w:p>
    <w:p w14:paraId="5D5DA5FD" w14:textId="52C3ECAD" w:rsidR="00D119BA" w:rsidRPr="00D119BA" w:rsidRDefault="00D119BA" w:rsidP="00D119BA">
      <w:pPr>
        <w:jc w:val="both"/>
        <w:rPr>
          <w:sz w:val="20"/>
        </w:rPr>
      </w:pPr>
      <w:r w:rsidRPr="00D119BA">
        <w:rPr>
          <w:sz w:val="20"/>
        </w:rPr>
        <w:t>Ab dem Steuerjahr 202</w:t>
      </w:r>
      <w:r>
        <w:rPr>
          <w:sz w:val="20"/>
        </w:rPr>
        <w:t>6</w:t>
      </w:r>
      <w:r w:rsidRPr="00D119BA">
        <w:rPr>
          <w:sz w:val="20"/>
        </w:rPr>
        <w:t xml:space="preserve"> (gemäß Art. </w:t>
      </w:r>
      <w:r>
        <w:rPr>
          <w:sz w:val="20"/>
        </w:rPr>
        <w:t>20</w:t>
      </w:r>
      <w:r w:rsidRPr="00D119BA">
        <w:rPr>
          <w:sz w:val="20"/>
        </w:rPr>
        <w:t xml:space="preserve"> Abs. </w:t>
      </w:r>
      <w:r>
        <w:rPr>
          <w:sz w:val="20"/>
        </w:rPr>
        <w:t>3</w:t>
      </w:r>
      <w:r w:rsidRPr="00D119BA">
        <w:rPr>
          <w:sz w:val="20"/>
        </w:rPr>
        <w:t xml:space="preserve"> des G. vom 22. Dezember 2023 (II) (B.S. vom 29. Dezember 2023)) lautet Art. </w:t>
      </w:r>
      <w:r>
        <w:rPr>
          <w:sz w:val="20"/>
        </w:rPr>
        <w:t>289</w:t>
      </w:r>
      <w:r w:rsidRPr="00D119BA">
        <w:rPr>
          <w:i/>
          <w:iCs/>
          <w:sz w:val="20"/>
        </w:rPr>
        <w:t>ter</w:t>
      </w:r>
      <w:r>
        <w:rPr>
          <w:sz w:val="20"/>
        </w:rPr>
        <w:t>/1</w:t>
      </w:r>
      <w:r w:rsidRPr="00D119BA">
        <w:rPr>
          <w:sz w:val="20"/>
        </w:rPr>
        <w:t xml:space="preserve"> wie folgt:</w:t>
      </w:r>
    </w:p>
    <w:p w14:paraId="6CB5BC8A" w14:textId="77777777" w:rsidR="00D119BA" w:rsidRPr="00D119BA" w:rsidRDefault="00D119BA" w:rsidP="00D119BA">
      <w:pPr>
        <w:jc w:val="both"/>
        <w:rPr>
          <w:sz w:val="20"/>
        </w:rPr>
      </w:pPr>
    </w:p>
    <w:p w14:paraId="694FBC23" w14:textId="2721B25A" w:rsidR="00D119BA" w:rsidRPr="009118AB" w:rsidRDefault="00D119BA" w:rsidP="00D119BA">
      <w:pPr>
        <w:jc w:val="both"/>
        <w:rPr>
          <w:iCs/>
          <w:sz w:val="20"/>
        </w:rPr>
      </w:pPr>
      <w:r w:rsidRPr="00D119BA">
        <w:rPr>
          <w:sz w:val="20"/>
        </w:rPr>
        <w:t>"</w:t>
      </w:r>
      <w:r w:rsidRPr="009118AB">
        <w:rPr>
          <w:iCs/>
          <w:sz w:val="20"/>
        </w:rPr>
        <w:t>[</w:t>
      </w:r>
      <w:r w:rsidRPr="009118AB">
        <w:rPr>
          <w:bCs/>
          <w:iCs/>
          <w:sz w:val="20"/>
        </w:rPr>
        <w:t>Art. 289</w:t>
      </w:r>
      <w:r w:rsidRPr="009118AB">
        <w:rPr>
          <w:bCs/>
          <w:i/>
          <w:iCs/>
          <w:sz w:val="20"/>
        </w:rPr>
        <w:t>ter</w:t>
      </w:r>
      <w:r w:rsidRPr="009118AB">
        <w:rPr>
          <w:bCs/>
          <w:iCs/>
          <w:sz w:val="20"/>
        </w:rPr>
        <w:t>/1</w:t>
      </w:r>
      <w:r w:rsidRPr="009118AB">
        <w:rPr>
          <w:iCs/>
          <w:sz w:val="20"/>
        </w:rPr>
        <w:t> - Eine Steuergutschrift wird [Einwohnern des Königreichs mit Niedriglöhnen und Gebietsfremden mit Niedriglöhnen, für die die Steuer gemäß Artikel 243/1 oder 244 berechnet wird, gewährt, die]:</w:t>
      </w:r>
    </w:p>
    <w:p w14:paraId="32F177A9" w14:textId="77777777" w:rsidR="00D119BA" w:rsidRPr="009118AB" w:rsidRDefault="00D119BA" w:rsidP="00D119BA">
      <w:pPr>
        <w:jc w:val="both"/>
        <w:rPr>
          <w:iCs/>
          <w:sz w:val="20"/>
        </w:rPr>
      </w:pPr>
    </w:p>
    <w:p w14:paraId="74886C47" w14:textId="77777777" w:rsidR="00D119BA" w:rsidRPr="009118AB" w:rsidRDefault="00D119BA" w:rsidP="00D119BA">
      <w:pPr>
        <w:jc w:val="both"/>
        <w:rPr>
          <w:iCs/>
          <w:sz w:val="20"/>
        </w:rPr>
      </w:pPr>
      <w:r w:rsidRPr="009118AB">
        <w:rPr>
          <w:iCs/>
          <w:sz w:val="20"/>
        </w:rPr>
        <w:t>- entweder den in Artikel 21 § 1 Nr. 1 bis 3 und 5 des Gesetzes vom 29. Juni 1981 zur Festlegung der allgemeinen Grundsätze der sozialen Sicherheit für Lohnempfänger erwähnten Regelungen unterliegen</w:t>
      </w:r>
    </w:p>
    <w:p w14:paraId="30AED07D" w14:textId="77777777" w:rsidR="00D119BA" w:rsidRPr="009118AB" w:rsidRDefault="00D119BA" w:rsidP="00D119BA">
      <w:pPr>
        <w:jc w:val="both"/>
        <w:rPr>
          <w:iCs/>
          <w:sz w:val="20"/>
        </w:rPr>
      </w:pPr>
    </w:p>
    <w:p w14:paraId="3D810614" w14:textId="77777777" w:rsidR="00D119BA" w:rsidRPr="009118AB" w:rsidRDefault="00D119BA" w:rsidP="00D119BA">
      <w:pPr>
        <w:jc w:val="both"/>
        <w:rPr>
          <w:iCs/>
          <w:sz w:val="20"/>
        </w:rPr>
      </w:pPr>
      <w:r w:rsidRPr="009118AB">
        <w:rPr>
          <w:iCs/>
          <w:sz w:val="20"/>
        </w:rPr>
        <w:t>- oder den in Artikel 1 Nr. 1 bis 3 des Erlassgesetzes vom 7. Februar 1945 über die soziale Sicherheit der Seeleute der Handelsmarine erwähnten Regelungen unterliegen.</w:t>
      </w:r>
    </w:p>
    <w:p w14:paraId="19D30FB9" w14:textId="77777777" w:rsidR="00D119BA" w:rsidRPr="009118AB" w:rsidRDefault="00D119BA" w:rsidP="00D119BA">
      <w:pPr>
        <w:jc w:val="both"/>
        <w:rPr>
          <w:iCs/>
          <w:sz w:val="20"/>
        </w:rPr>
      </w:pPr>
    </w:p>
    <w:p w14:paraId="510EF99B" w14:textId="77777777" w:rsidR="00D119BA" w:rsidRPr="00D119BA" w:rsidRDefault="00D119BA" w:rsidP="00D119BA">
      <w:pPr>
        <w:jc w:val="both"/>
        <w:rPr>
          <w:iCs/>
          <w:sz w:val="20"/>
        </w:rPr>
      </w:pPr>
      <w:r>
        <w:rPr>
          <w:iCs/>
          <w:sz w:val="20"/>
        </w:rPr>
        <w:t>[</w:t>
      </w:r>
      <w:r w:rsidRPr="00D119BA">
        <w:rPr>
          <w:iCs/>
          <w:sz w:val="20"/>
        </w:rPr>
        <w:t>Die Steuergutschrift entspricht:</w:t>
      </w:r>
    </w:p>
    <w:p w14:paraId="468AA180" w14:textId="77777777" w:rsidR="00D119BA" w:rsidRPr="00D119BA" w:rsidRDefault="00D119BA" w:rsidP="00D119BA">
      <w:pPr>
        <w:jc w:val="both"/>
        <w:rPr>
          <w:iCs/>
          <w:sz w:val="20"/>
        </w:rPr>
      </w:pPr>
    </w:p>
    <w:p w14:paraId="4F627E72" w14:textId="77777777" w:rsidR="00D119BA" w:rsidRPr="00D119BA" w:rsidRDefault="00D119BA" w:rsidP="00D119BA">
      <w:pPr>
        <w:jc w:val="both"/>
        <w:rPr>
          <w:iCs/>
          <w:sz w:val="20"/>
        </w:rPr>
      </w:pPr>
      <w:r w:rsidRPr="00D119BA">
        <w:rPr>
          <w:iCs/>
          <w:sz w:val="20"/>
        </w:rPr>
        <w:t>- 33,14 Prozent des Betrags von Teil A der Ermäßigung der persönlichen Sozialversicherungsbeiträge, die für die im Besteuerungszeitraum bezogenen Entlohnungen tatsächlich gewährt wird in Anwendung von Artikel 2 § 1/1 des Gesetzes vom 20. Dezember 1999 zur Gewährung eines Arbeitsbonus an Lohnempfänger mit Niedriglöhnen und anderer Ermäßigungen der persönlichen Sozialversicherungsbeiträge, und</w:t>
      </w:r>
    </w:p>
    <w:p w14:paraId="1099B82E" w14:textId="77777777" w:rsidR="00D119BA" w:rsidRPr="00D119BA" w:rsidRDefault="00D119BA" w:rsidP="00D119BA">
      <w:pPr>
        <w:jc w:val="both"/>
        <w:rPr>
          <w:iCs/>
          <w:sz w:val="20"/>
        </w:rPr>
      </w:pPr>
    </w:p>
    <w:p w14:paraId="743B6B3D" w14:textId="77777777" w:rsidR="00D119BA" w:rsidRPr="009118AB" w:rsidRDefault="00D119BA" w:rsidP="00D119BA">
      <w:pPr>
        <w:jc w:val="both"/>
        <w:rPr>
          <w:iCs/>
          <w:sz w:val="20"/>
        </w:rPr>
      </w:pPr>
      <w:r w:rsidRPr="00D119BA">
        <w:rPr>
          <w:iCs/>
          <w:sz w:val="20"/>
        </w:rPr>
        <w:t>- 52,54 Prozent des Betrags von Teil B der Ermäßigung der persönlichen Sozialversicherungsbeiträge, die für die im Besteuerungszeitraum bezogenen Entlohnungen tatsächlich gewährt wird in Anwendung von Artikel 2 § 1/2 des vorerwähnten Gesetzes vom 20. Dezember 1999.</w:t>
      </w:r>
      <w:r>
        <w:rPr>
          <w:iCs/>
          <w:sz w:val="20"/>
        </w:rPr>
        <w:t>]</w:t>
      </w:r>
    </w:p>
    <w:p w14:paraId="268DFBA6" w14:textId="77777777" w:rsidR="00D119BA" w:rsidRPr="009118AB" w:rsidRDefault="00D119BA" w:rsidP="00D119BA">
      <w:pPr>
        <w:jc w:val="both"/>
        <w:rPr>
          <w:iCs/>
          <w:sz w:val="20"/>
        </w:rPr>
      </w:pPr>
    </w:p>
    <w:p w14:paraId="2FFBC5C7" w14:textId="5FB0ECD6" w:rsidR="00D119BA" w:rsidRPr="009118AB" w:rsidRDefault="00D119BA" w:rsidP="00D119BA">
      <w:pPr>
        <w:jc w:val="both"/>
        <w:rPr>
          <w:iCs/>
          <w:sz w:val="20"/>
        </w:rPr>
      </w:pPr>
      <w:r w:rsidRPr="009118AB">
        <w:rPr>
          <w:iCs/>
          <w:sz w:val="20"/>
        </w:rPr>
        <w:t>Die Steuergutschrift darf pro Besteuerungszeitraum nicht über [</w:t>
      </w:r>
      <w:r>
        <w:rPr>
          <w:iCs/>
          <w:sz w:val="20"/>
        </w:rPr>
        <w:t>765</w:t>
      </w:r>
      <w:r w:rsidRPr="009118AB">
        <w:rPr>
          <w:iCs/>
          <w:sz w:val="20"/>
          <w:lang w:bidi="de-DE"/>
        </w:rPr>
        <w:t> EUR</w:t>
      </w:r>
      <w:r w:rsidRPr="009118AB">
        <w:rPr>
          <w:iCs/>
          <w:sz w:val="20"/>
        </w:rPr>
        <w:t>] liegen. Die Bestimmungen [der Artikel 174/1 und 178 § 3 Absatz 1 Nr. 2] sind auf diesen Betrag anwendbar.]</w:t>
      </w:r>
    </w:p>
    <w:p w14:paraId="68DF3F27" w14:textId="77777777" w:rsidR="00D119BA" w:rsidRPr="009118AB" w:rsidRDefault="00D119BA" w:rsidP="00D119BA">
      <w:pPr>
        <w:jc w:val="both"/>
        <w:rPr>
          <w:iCs/>
          <w:sz w:val="20"/>
        </w:rPr>
      </w:pPr>
    </w:p>
    <w:p w14:paraId="12D46D7C" w14:textId="7B9B15D4" w:rsidR="00BA1E19" w:rsidRPr="00D119BA" w:rsidRDefault="00D119BA" w:rsidP="00D119BA">
      <w:pPr>
        <w:jc w:val="both"/>
        <w:rPr>
          <w:sz w:val="20"/>
        </w:rPr>
      </w:pPr>
      <w:r w:rsidRPr="009118AB">
        <w:rPr>
          <w:i/>
          <w:iCs/>
          <w:sz w:val="20"/>
        </w:rPr>
        <w:t xml:space="preserve">[Art. 289ter/1 eingefügt durch Art. 4 des G. vom 19. Juni 2011 (B.S. vom 28. Juni 2011) - anwendbar ab dem Steuerjahr 2012 -; Abs. 1 einleitende Bestimmung abgeändert durch Art. 129 Nr. 1 des G. vom 25. Dezember 2017 (IV) (B.S. vom 29. Dezember 2017) - anwendbar ab dem Steuerjahr 2018 -; </w:t>
      </w:r>
      <w:r w:rsidRPr="00D119BA">
        <w:rPr>
          <w:i/>
          <w:iCs/>
          <w:sz w:val="20"/>
        </w:rPr>
        <w:t>Abs. 2 ersetzt durch Art. 19 Nr. 1 des G. vom 22. Dezember 2023 (II) (B.S. vom 29. Dezember 2023) - anwendbar auf die ab dem 1. April 2024 gewährten Ermäßigungen der persönlichen Sozialversicherungsbeiträge -</w:t>
      </w:r>
      <w:r w:rsidRPr="009118AB">
        <w:rPr>
          <w:i/>
          <w:iCs/>
          <w:sz w:val="20"/>
        </w:rPr>
        <w:t>; Abs. 3 abgeändert durch Art. 6 Nr. 2 des G. vom 17. Juni 2013 (B.S. vom 28. Juni 2013) - anwendbar ab dem Steuerjahr 2014 -, Art. 9 Buchstabe A des G. vom 15. Mai 2014 (B.S. vom 22. Mai 2014) - in Kraft ab dem 1. April 2014 -, Art. 9 Buchstabe B des G. vom 15. Mai 2014 (B.S. vom 22. Mai 2014) - in Kraft ab dem 1. August 2015 -, selbst abgeändert durch Art. 61 des G. vom 19. Dezember 2014 (B.S. vom 29. Dezember 2014) und Art. 84 Nr. 1 des G. vom 10. August 2015 (B.S. vom 18. August 2015), durch Art. 9 Buchstabe C des G. vom 15. Mai 2014 (B.S. vom 22. Mai 2014) - in Kraft ab dem 1. Januar 2016 -, selbst aufgehoben durch Art. 61 des G. vom 19. Dezember 2014 (B.S. vom 29. Dezember 2014) und wieder aufgenommen durch Art. 84 Nr. 2 des G. vom 10. August 2015 (B.S. vom 18. August 2015), durch Art. 9 Buchstabe D) des G. vom 15. Mai 2014 (B.S. vom 22. Mai 2014) - in Kraft ab dem 1. Januar 2019 -, selbst abgeändert durch Art. 84 Nr. 3 des G. vom 10. August 2015 (B.S. vom 18. August 2015), durch Art. 9 des G. vom 19. Dezember 2014 (B.S. vom 29. Dezember 2014) - anwendbar ab dem Steuerjahr 2015 -, Art. 129 Nr. 2 des G. vom 25. Dezember 2017 (IV) (B.S. vom 29. Dezember 2017) - anwendbar ab dem Steuerjahr 2018 -, Art. 21 Nr. 1 des G. vom 12. Dezember 2021 (B.S. vom 31. Dezember 2021) - in Kraft ab dem Steuerjahr 2023 -, Art. 21 Nr. 2 des G. vom 12. Dezember 2021 (B.S. vom 31. Dezember 2021) - in Kraft ab dem Steuerjahr 2024 -, selbst aufgehoben durch Art. 51 des G. vom 5. Juli 2022 (B.S. vom 15. Juli 2022), und durch Art. 50 des G. vom 5. Juli 2022 (B.S. vom 15. Juli 2022) - in Kraft ab dem Steuerjahr 2023 -, Art. 31 des G. vom 21. Dezember 2022 (II) (B.S. vom 29. Dezember 2022) - anwendbar ab dem Steuerjahr 2023 -, Art. 32 Nr. 2 des G. vom 31. Juli 2023 (II) (B.S. vom 23. August 2023) - anwendbar ab dem Steuerjahr 2024 -</w:t>
      </w:r>
      <w:r>
        <w:rPr>
          <w:i/>
          <w:iCs/>
          <w:sz w:val="20"/>
        </w:rPr>
        <w:t>,</w:t>
      </w:r>
      <w:r w:rsidRPr="009118AB">
        <w:rPr>
          <w:i/>
          <w:iCs/>
          <w:sz w:val="20"/>
        </w:rPr>
        <w:t xml:space="preserve"> Art. 32 Nr. 3 des G. vom 31. Juli 2023 (II) (B.S. vom 23. August 2023) - anwendbar ab dem Steuerjahr 2025 -</w:t>
      </w:r>
      <w:r>
        <w:rPr>
          <w:i/>
          <w:iCs/>
          <w:sz w:val="20"/>
        </w:rPr>
        <w:t>, Art. 19 Nr. 2</w:t>
      </w:r>
      <w:r w:rsidRPr="00D119BA">
        <w:rPr>
          <w:i/>
          <w:iCs/>
          <w:sz w:val="20"/>
        </w:rPr>
        <w:t xml:space="preserve"> des G. vom 22. Dezember 2023 (II) (B.S. vom 29. Dezember 2023) - anwendbar ab dem Steuerjahr 2025 -</w:t>
      </w:r>
      <w:r>
        <w:rPr>
          <w:i/>
          <w:iCs/>
          <w:sz w:val="20"/>
        </w:rPr>
        <w:t xml:space="preserve"> und Art. 19 Nr. 3</w:t>
      </w:r>
      <w:r w:rsidRPr="00D119BA">
        <w:rPr>
          <w:i/>
          <w:iCs/>
          <w:sz w:val="20"/>
        </w:rPr>
        <w:t xml:space="preserve"> des G. vom 22. Dezember 2023 (II) (B.S. vom 29. Dezember 2023) - anwendbar ab dem Steuerjahr 202</w:t>
      </w:r>
      <w:r>
        <w:rPr>
          <w:i/>
          <w:iCs/>
          <w:sz w:val="20"/>
        </w:rPr>
        <w:t>6</w:t>
      </w:r>
      <w:r w:rsidRPr="00D119BA">
        <w:rPr>
          <w:i/>
          <w:iCs/>
          <w:sz w:val="20"/>
        </w:rPr>
        <w:t> -</w:t>
      </w:r>
      <w:r w:rsidRPr="009118AB">
        <w:rPr>
          <w:i/>
          <w:iCs/>
          <w:sz w:val="20"/>
        </w:rPr>
        <w:t>]</w:t>
      </w:r>
      <w:r w:rsidRPr="009118AB">
        <w:rPr>
          <w:sz w:val="20"/>
        </w:rPr>
        <w:t>"</w:t>
      </w:r>
      <w:r w:rsidR="00BA1E19" w:rsidRPr="00D119BA">
        <w:rPr>
          <w:sz w:val="20"/>
        </w:rPr>
        <w:br w:type="page"/>
      </w:r>
    </w:p>
    <w:p w14:paraId="4595FDC0" w14:textId="5E4EDF2B" w:rsidR="00477B8F" w:rsidRPr="009118AB" w:rsidRDefault="00477B8F" w:rsidP="005C09AF">
      <w:pPr>
        <w:autoSpaceDE w:val="0"/>
        <w:autoSpaceDN w:val="0"/>
        <w:adjustRightInd w:val="0"/>
        <w:jc w:val="center"/>
      </w:pPr>
      <w:r w:rsidRPr="009118AB">
        <w:lastRenderedPageBreak/>
        <w:t>[Unterabschnitt </w:t>
      </w:r>
      <w:r w:rsidR="00D74862" w:rsidRPr="009118AB">
        <w:t>2</w:t>
      </w:r>
      <w:r w:rsidR="00D67EB8" w:rsidRPr="009118AB">
        <w:t> - </w:t>
      </w:r>
      <w:r w:rsidRPr="009118AB">
        <w:t>Steuergutschrift für Steuerpflichtige</w:t>
      </w:r>
      <w:r w:rsidR="00D67EB8" w:rsidRPr="009118AB">
        <w:t> - </w:t>
      </w:r>
      <w:r w:rsidRPr="009118AB">
        <w:t>Gesellschaften</w:t>
      </w:r>
    </w:p>
    <w:p w14:paraId="46B9ADED" w14:textId="77777777" w:rsidR="00CE7F40" w:rsidRPr="009118AB" w:rsidRDefault="00CE7F40" w:rsidP="00477B8F">
      <w:pPr>
        <w:autoSpaceDE w:val="0"/>
        <w:autoSpaceDN w:val="0"/>
        <w:adjustRightInd w:val="0"/>
        <w:jc w:val="both"/>
      </w:pPr>
    </w:p>
    <w:p w14:paraId="5C523AD5" w14:textId="239D1A98" w:rsidR="00477B8F" w:rsidRPr="009118AB" w:rsidRDefault="00477B8F" w:rsidP="00477B8F">
      <w:pPr>
        <w:autoSpaceDE w:val="0"/>
        <w:autoSpaceDN w:val="0"/>
        <w:adjustRightInd w:val="0"/>
        <w:jc w:val="both"/>
      </w:pPr>
      <w:r w:rsidRPr="009118AB">
        <w:rPr>
          <w:i/>
          <w:iCs/>
        </w:rPr>
        <w:t xml:space="preserve">[Unterabschnitt </w:t>
      </w:r>
      <w:r w:rsidR="00D74862" w:rsidRPr="009118AB">
        <w:rPr>
          <w:i/>
          <w:iCs/>
        </w:rPr>
        <w:t>2</w:t>
      </w:r>
      <w:r w:rsidRPr="009118AB">
        <w:rPr>
          <w:i/>
          <w:iCs/>
        </w:rPr>
        <w:t xml:space="preserve"> mit </w:t>
      </w:r>
      <w:r w:rsidR="00D67EB8" w:rsidRPr="009118AB">
        <w:rPr>
          <w:i/>
          <w:iCs/>
        </w:rPr>
        <w:t>Art. </w:t>
      </w:r>
      <w:r w:rsidRPr="009118AB">
        <w:rPr>
          <w:i/>
          <w:iCs/>
        </w:rPr>
        <w:t xml:space="preserve">289quater eingefügt durch </w:t>
      </w:r>
      <w:r w:rsidR="00D67EB8" w:rsidRPr="009118AB">
        <w:rPr>
          <w:i/>
          <w:iCs/>
        </w:rPr>
        <w:t>Art. </w:t>
      </w:r>
      <w:r w:rsidRPr="009118AB">
        <w:rPr>
          <w:i/>
          <w:iCs/>
        </w:rPr>
        <w:t>124 des G. vom 23. Dezember 2005 (B.S. vom 30. Dezember 2005)</w:t>
      </w:r>
      <w:r w:rsidR="00D67EB8" w:rsidRPr="009118AB">
        <w:rPr>
          <w:i/>
          <w:iCs/>
        </w:rPr>
        <w:t> - </w:t>
      </w:r>
      <w:r w:rsidRPr="009118AB">
        <w:rPr>
          <w:i/>
          <w:iCs/>
        </w:rPr>
        <w:t>in Kraft ab dem Steuerjahr 2007</w:t>
      </w:r>
      <w:r w:rsidR="00FD68E8" w:rsidRPr="009118AB">
        <w:rPr>
          <w:i/>
          <w:iCs/>
        </w:rPr>
        <w:t> -]</w:t>
      </w:r>
    </w:p>
    <w:p w14:paraId="59A7E022" w14:textId="77777777" w:rsidR="00477B8F" w:rsidRPr="009118AB" w:rsidRDefault="00477B8F" w:rsidP="00477B8F">
      <w:pPr>
        <w:autoSpaceDE w:val="0"/>
        <w:autoSpaceDN w:val="0"/>
        <w:adjustRightInd w:val="0"/>
        <w:jc w:val="both"/>
      </w:pPr>
    </w:p>
    <w:p w14:paraId="08049241" w14:textId="77777777" w:rsidR="00E4342B" w:rsidRPr="009118AB" w:rsidRDefault="00E4342B" w:rsidP="00477B8F">
      <w:pPr>
        <w:autoSpaceDE w:val="0"/>
        <w:autoSpaceDN w:val="0"/>
        <w:adjustRightInd w:val="0"/>
        <w:jc w:val="both"/>
      </w:pPr>
    </w:p>
    <w:p w14:paraId="120418D6" w14:textId="3791BDD5" w:rsidR="00A273D6" w:rsidRPr="009118AB" w:rsidRDefault="00477B8F" w:rsidP="00A273D6">
      <w:pPr>
        <w:autoSpaceDE w:val="0"/>
        <w:autoSpaceDN w:val="0"/>
        <w:adjustRightInd w:val="0"/>
        <w:jc w:val="both"/>
        <w:rPr>
          <w:iCs/>
        </w:rPr>
      </w:pPr>
      <w:r w:rsidRPr="009118AB">
        <w:tab/>
      </w:r>
      <w:r w:rsidR="00D67EB8" w:rsidRPr="009118AB">
        <w:rPr>
          <w:b/>
          <w:bCs/>
        </w:rPr>
        <w:t>Art. </w:t>
      </w:r>
      <w:r w:rsidRPr="009118AB">
        <w:rPr>
          <w:b/>
          <w:bCs/>
        </w:rPr>
        <w:t>289</w:t>
      </w:r>
      <w:r w:rsidRPr="009118AB">
        <w:rPr>
          <w:b/>
          <w:bCs/>
          <w:i/>
          <w:iCs/>
        </w:rPr>
        <w:t>quater</w:t>
      </w:r>
      <w:r w:rsidR="00D67EB8" w:rsidRPr="009118AB">
        <w:t> - </w:t>
      </w:r>
      <w:r w:rsidR="00A273D6" w:rsidRPr="009118AB">
        <w:rPr>
          <w:iCs/>
        </w:rPr>
        <w:t xml:space="preserve">In Bezug auf die in Artikel 69 </w:t>
      </w:r>
      <w:r w:rsidR="00D67EB8" w:rsidRPr="009118AB">
        <w:rPr>
          <w:iCs/>
        </w:rPr>
        <w:t>§ </w:t>
      </w:r>
      <w:r w:rsidR="00A273D6" w:rsidRPr="009118AB">
        <w:rPr>
          <w:iCs/>
        </w:rPr>
        <w:t xml:space="preserve">1 Absatz 1 </w:t>
      </w:r>
      <w:r w:rsidR="00D67EB8" w:rsidRPr="009118AB">
        <w:rPr>
          <w:iCs/>
        </w:rPr>
        <w:t>Nr. </w:t>
      </w:r>
      <w:r w:rsidR="00A273D6" w:rsidRPr="009118AB">
        <w:rPr>
          <w:iCs/>
        </w:rPr>
        <w:t>2 Buchstabe </w:t>
      </w:r>
      <w:r w:rsidR="00A273D6" w:rsidRPr="009118AB">
        <w:rPr>
          <w:i/>
          <w:iCs/>
        </w:rPr>
        <w:t>a)</w:t>
      </w:r>
      <w:r w:rsidR="00A273D6" w:rsidRPr="009118AB">
        <w:rPr>
          <w:iCs/>
        </w:rPr>
        <w:t xml:space="preserve"> und </w:t>
      </w:r>
      <w:r w:rsidR="00A273D6" w:rsidRPr="009118AB">
        <w:rPr>
          <w:i/>
          <w:iCs/>
        </w:rPr>
        <w:t>b)</w:t>
      </w:r>
      <w:r w:rsidR="00A273D6" w:rsidRPr="009118AB">
        <w:rPr>
          <w:iCs/>
        </w:rPr>
        <w:t xml:space="preserve"> erwähnten Anlagen kann auf die Gesellschaftssteuer [oder für die in Artikel 227 </w:t>
      </w:r>
      <w:r w:rsidR="00D67EB8" w:rsidRPr="009118AB">
        <w:rPr>
          <w:iCs/>
        </w:rPr>
        <w:t>Nr. </w:t>
      </w:r>
      <w:r w:rsidR="00A273D6" w:rsidRPr="009118AB">
        <w:rPr>
          <w:iCs/>
        </w:rPr>
        <w:t>2 erwähnten Steuerpflichtigen auf die Steuer der Gebietsfremden] eine Steuergutschrift angerechnet werden, die dem in Absatz 2 erwähnten Satz entspricht und auf einen Teil des Anschaffungs- oder Investitionswertes der in Neuzustand erworbenen oder gebildeten Sachanlagen und der neuen immateriellen Anlagen angewandt wird, wenn diese Anlagen in Belgien zur Ausübung des Gesellschaftszwecks genutzt werden. Diese Steuergutschrift wird "Steuergutschrift für Forschung und Entwicklung" genannt.</w:t>
      </w:r>
    </w:p>
    <w:p w14:paraId="423977D3" w14:textId="77777777" w:rsidR="00A273D6" w:rsidRPr="009118AB" w:rsidRDefault="00A273D6" w:rsidP="00A273D6">
      <w:pPr>
        <w:autoSpaceDE w:val="0"/>
        <w:autoSpaceDN w:val="0"/>
        <w:adjustRightInd w:val="0"/>
        <w:jc w:val="both"/>
        <w:rPr>
          <w:iCs/>
        </w:rPr>
      </w:pPr>
    </w:p>
    <w:p w14:paraId="31B6A854" w14:textId="77777777" w:rsidR="00A273D6" w:rsidRPr="009118AB" w:rsidRDefault="00A273D6" w:rsidP="00710A6B">
      <w:pPr>
        <w:autoSpaceDE w:val="0"/>
        <w:autoSpaceDN w:val="0"/>
        <w:adjustRightInd w:val="0"/>
        <w:ind w:firstLine="709"/>
        <w:jc w:val="both"/>
        <w:rPr>
          <w:iCs/>
        </w:rPr>
      </w:pPr>
      <w:r w:rsidRPr="009118AB">
        <w:rPr>
          <w:iCs/>
        </w:rPr>
        <w:t>Der Satz der Steuergutschrift für Forschung und Entwicklung entspricht dem in Artikel 215 Absatz 1 erwähnten Satz […].</w:t>
      </w:r>
    </w:p>
    <w:p w14:paraId="47646DB7" w14:textId="77777777" w:rsidR="00A273D6" w:rsidRPr="009118AB" w:rsidRDefault="00A273D6" w:rsidP="00A273D6">
      <w:pPr>
        <w:autoSpaceDE w:val="0"/>
        <w:autoSpaceDN w:val="0"/>
        <w:adjustRightInd w:val="0"/>
        <w:jc w:val="both"/>
        <w:rPr>
          <w:iCs/>
        </w:rPr>
      </w:pPr>
    </w:p>
    <w:p w14:paraId="72D1DF18" w14:textId="77777777" w:rsidR="00A273D6" w:rsidRPr="009118AB" w:rsidRDefault="00A273D6" w:rsidP="00710A6B">
      <w:pPr>
        <w:autoSpaceDE w:val="0"/>
        <w:autoSpaceDN w:val="0"/>
        <w:adjustRightInd w:val="0"/>
        <w:ind w:firstLine="709"/>
        <w:jc w:val="both"/>
        <w:rPr>
          <w:iCs/>
        </w:rPr>
      </w:pPr>
      <w:r w:rsidRPr="009118AB">
        <w:rPr>
          <w:iCs/>
        </w:rPr>
        <w:t>Um die in Absatz 1 erwähnte Steuergutschrift zu erhalten, müssen die Steuerpflichtigen ab einem bestimmten Besteuerungszeitraum unwiderruflich für diese Möglichkeit optieren.]</w:t>
      </w:r>
    </w:p>
    <w:p w14:paraId="29B828C8" w14:textId="77777777" w:rsidR="00A63C08" w:rsidRPr="009118AB" w:rsidRDefault="00A63C08" w:rsidP="00710A6B">
      <w:pPr>
        <w:autoSpaceDE w:val="0"/>
        <w:autoSpaceDN w:val="0"/>
        <w:adjustRightInd w:val="0"/>
        <w:ind w:firstLine="709"/>
        <w:jc w:val="both"/>
        <w:rPr>
          <w:iCs/>
        </w:rPr>
      </w:pPr>
    </w:p>
    <w:p w14:paraId="616189AE" w14:textId="1BBF3FE2" w:rsidR="00A63C08" w:rsidRPr="009118AB" w:rsidRDefault="00A63C08" w:rsidP="00710A6B">
      <w:pPr>
        <w:autoSpaceDE w:val="0"/>
        <w:autoSpaceDN w:val="0"/>
        <w:adjustRightInd w:val="0"/>
        <w:ind w:firstLine="709"/>
        <w:jc w:val="both"/>
        <w:rPr>
          <w:iCs/>
        </w:rPr>
      </w:pPr>
      <w:r w:rsidRPr="009118AB">
        <w:rPr>
          <w:iCs/>
        </w:rPr>
        <w:t>[</w:t>
      </w:r>
      <w:r w:rsidRPr="009118AB">
        <w:t>Sind im Anschaffungs- oder Investitionswert der in Absatz 1 erwähnten Anlagen Entlohnungen der in Artikel 275</w:t>
      </w:r>
      <w:r w:rsidRPr="009118AB">
        <w:rPr>
          <w:vertAlign w:val="superscript"/>
        </w:rPr>
        <w:t>3</w:t>
      </w:r>
      <w:r w:rsidRPr="009118AB">
        <w:t xml:space="preserve"> erwähnten Forscher enthalten, deren Arbeitgeber einen Teil des Berufssteuervorabzugs in Anwendung von Artikel 275</w:t>
      </w:r>
      <w:r w:rsidRPr="009118AB">
        <w:rPr>
          <w:vertAlign w:val="superscript"/>
        </w:rPr>
        <w:t>3</w:t>
      </w:r>
      <w:r w:rsidRPr="009118AB">
        <w:t xml:space="preserve"> nicht der Staatskasse zugeführt hat, darf dieser nicht gezahlte Berufssteuervorabzug nicht in die Grundlage für die Berechnung der in Absatz 1 erwähnten Steuergutschrift einbezogen werden.</w:t>
      </w:r>
      <w:r w:rsidRPr="009118AB">
        <w:rPr>
          <w:iCs/>
        </w:rPr>
        <w:t>]</w:t>
      </w:r>
    </w:p>
    <w:p w14:paraId="78687ED9" w14:textId="77777777" w:rsidR="00A273D6" w:rsidRPr="009118AB" w:rsidRDefault="00A273D6" w:rsidP="00A273D6">
      <w:pPr>
        <w:autoSpaceDE w:val="0"/>
        <w:autoSpaceDN w:val="0"/>
        <w:adjustRightInd w:val="0"/>
        <w:jc w:val="both"/>
        <w:rPr>
          <w:iCs/>
        </w:rPr>
      </w:pPr>
    </w:p>
    <w:p w14:paraId="5BD730A9" w14:textId="15B1E352" w:rsidR="00A273D6" w:rsidRPr="009118AB" w:rsidRDefault="00A273D6" w:rsidP="00A273D6">
      <w:pPr>
        <w:autoSpaceDE w:val="0"/>
        <w:autoSpaceDN w:val="0"/>
        <w:adjustRightInd w:val="0"/>
        <w:jc w:val="both"/>
        <w:rPr>
          <w:iCs/>
        </w:rPr>
      </w:pPr>
      <w:r w:rsidRPr="009118AB">
        <w:rPr>
          <w:i/>
          <w:iCs/>
        </w:rPr>
        <w:t>[</w:t>
      </w:r>
      <w:r w:rsidR="00D67EB8" w:rsidRPr="009118AB">
        <w:rPr>
          <w:i/>
          <w:iCs/>
        </w:rPr>
        <w:t>Art. </w:t>
      </w:r>
      <w:r w:rsidRPr="009118AB">
        <w:rPr>
          <w:i/>
          <w:iCs/>
        </w:rPr>
        <w:t xml:space="preserve">289quater </w:t>
      </w:r>
      <w:r w:rsidR="00D67EB8" w:rsidRPr="009118AB">
        <w:rPr>
          <w:i/>
          <w:iCs/>
        </w:rPr>
        <w:t>Abs. </w:t>
      </w:r>
      <w:r w:rsidRPr="009118AB">
        <w:rPr>
          <w:i/>
          <w:iCs/>
        </w:rPr>
        <w:t xml:space="preserve">1 abgeändert durch </w:t>
      </w:r>
      <w:r w:rsidR="00D67EB8" w:rsidRPr="009118AB">
        <w:rPr>
          <w:i/>
          <w:iCs/>
        </w:rPr>
        <w:t>Art. </w:t>
      </w:r>
      <w:r w:rsidRPr="009118AB">
        <w:rPr>
          <w:i/>
          <w:iCs/>
        </w:rPr>
        <w:t>152 des G. (I) vom 22. Dezember 2008 (II) (B.S. vom 29. Dezember 2008)</w:t>
      </w:r>
      <w:r w:rsidR="00D67EB8" w:rsidRPr="009118AB">
        <w:rPr>
          <w:i/>
          <w:iCs/>
        </w:rPr>
        <w:t> - </w:t>
      </w:r>
      <w:r w:rsidRPr="009118AB">
        <w:rPr>
          <w:i/>
          <w:iCs/>
        </w:rPr>
        <w:t>anwendbar ab dem Steuerjahr 2009</w:t>
      </w:r>
      <w:r w:rsidR="003366D9" w:rsidRPr="009118AB">
        <w:rPr>
          <w:i/>
          <w:iCs/>
        </w:rPr>
        <w:t> -;</w:t>
      </w:r>
      <w:r w:rsidR="007B1DB9" w:rsidRPr="009118AB">
        <w:rPr>
          <w:i/>
          <w:iCs/>
        </w:rPr>
        <w:t xml:space="preserve"> </w:t>
      </w:r>
      <w:r w:rsidR="00D67EB8" w:rsidRPr="009118AB">
        <w:rPr>
          <w:i/>
          <w:iCs/>
        </w:rPr>
        <w:t>Abs. </w:t>
      </w:r>
      <w:r w:rsidR="007B1DB9" w:rsidRPr="009118AB">
        <w:rPr>
          <w:i/>
          <w:iCs/>
        </w:rPr>
        <w:t xml:space="preserve">2 abgeändert durch </w:t>
      </w:r>
      <w:r w:rsidR="00D67EB8" w:rsidRPr="009118AB">
        <w:rPr>
          <w:i/>
          <w:iCs/>
        </w:rPr>
        <w:t>Art. </w:t>
      </w:r>
      <w:r w:rsidR="007B1DB9" w:rsidRPr="009118AB">
        <w:rPr>
          <w:i/>
          <w:iCs/>
        </w:rPr>
        <w:t>72 des G. vom 25. Dezember 2017 (III) (B.S. vom 29. Dezember 2017)</w:t>
      </w:r>
      <w:r w:rsidR="00D67EB8" w:rsidRPr="009118AB">
        <w:rPr>
          <w:i/>
          <w:iCs/>
        </w:rPr>
        <w:t> - </w:t>
      </w:r>
      <w:r w:rsidR="007B1DB9" w:rsidRPr="009118AB">
        <w:rPr>
          <w:i/>
          <w:iCs/>
        </w:rPr>
        <w:t>in Kraft am 1. Januar 2020 und anwendbar ab dem Steuerjahr 2021, das sich auf einen Besteuerungs</w:t>
      </w:r>
      <w:r w:rsidR="00A63C08" w:rsidRPr="009118AB">
        <w:rPr>
          <w:i/>
          <w:iCs/>
        </w:rPr>
        <w:softHyphen/>
      </w:r>
      <w:r w:rsidR="007B1DB9" w:rsidRPr="009118AB">
        <w:rPr>
          <w:i/>
          <w:iCs/>
        </w:rPr>
        <w:t>zeitraum bezieht, der frühestens am 1. Januar 2020 beginnt</w:t>
      </w:r>
      <w:r w:rsidR="003366D9" w:rsidRPr="009118AB">
        <w:rPr>
          <w:i/>
          <w:iCs/>
        </w:rPr>
        <w:t> -;</w:t>
      </w:r>
      <w:r w:rsidR="00A63C08" w:rsidRPr="009118AB">
        <w:rPr>
          <w:i/>
          <w:iCs/>
        </w:rPr>
        <w:t xml:space="preserve"> </w:t>
      </w:r>
      <w:r w:rsidR="00D67EB8" w:rsidRPr="009118AB">
        <w:rPr>
          <w:i/>
          <w:iCs/>
        </w:rPr>
        <w:t>Abs. </w:t>
      </w:r>
      <w:r w:rsidR="00A63C08" w:rsidRPr="009118AB">
        <w:rPr>
          <w:i/>
          <w:iCs/>
        </w:rPr>
        <w:t xml:space="preserve">4 eingefügt durch </w:t>
      </w:r>
      <w:r w:rsidR="00D67EB8" w:rsidRPr="009118AB">
        <w:rPr>
          <w:i/>
          <w:iCs/>
        </w:rPr>
        <w:t>Art. </w:t>
      </w:r>
      <w:r w:rsidR="00A63C08" w:rsidRPr="009118AB">
        <w:rPr>
          <w:i/>
          <w:iCs/>
        </w:rPr>
        <w:t>18</w:t>
      </w:r>
      <w:r w:rsidR="00A63C08"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A63C08" w:rsidRPr="009118AB">
        <w:rPr>
          <w:rFonts w:ascii="Times New Roman Italique" w:hAnsi="Times New Roman Italique"/>
          <w:i/>
        </w:rPr>
        <w:t xml:space="preserve">anwendbar </w:t>
      </w:r>
      <w:r w:rsidR="00A63C08" w:rsidRPr="009118AB">
        <w:rPr>
          <w:i/>
          <w:iCs/>
        </w:rPr>
        <w:t>auf die Besteuerungszeit</w:t>
      </w:r>
      <w:r w:rsidR="00C92B4A" w:rsidRPr="009118AB">
        <w:rPr>
          <w:i/>
          <w:iCs/>
        </w:rPr>
        <w:softHyphen/>
      </w:r>
      <w:r w:rsidR="00A63C08" w:rsidRPr="009118AB">
        <w:rPr>
          <w:i/>
          <w:iCs/>
        </w:rPr>
        <w:t>räume, die ab dem 1. April 2022 enden</w:t>
      </w:r>
      <w:r w:rsidR="00FD68E8" w:rsidRPr="009118AB">
        <w:rPr>
          <w:i/>
          <w:iCs/>
        </w:rPr>
        <w:t> -]</w:t>
      </w:r>
    </w:p>
    <w:p w14:paraId="69729789" w14:textId="77777777" w:rsidR="00A273D6" w:rsidRDefault="00A273D6" w:rsidP="00A273D6">
      <w:pPr>
        <w:autoSpaceDE w:val="0"/>
        <w:autoSpaceDN w:val="0"/>
        <w:adjustRightInd w:val="0"/>
        <w:jc w:val="both"/>
      </w:pPr>
    </w:p>
    <w:p w14:paraId="4C2200BA" w14:textId="77777777" w:rsidR="002B6591" w:rsidRDefault="002B6591" w:rsidP="00A273D6">
      <w:pPr>
        <w:autoSpaceDE w:val="0"/>
        <w:autoSpaceDN w:val="0"/>
        <w:adjustRightInd w:val="0"/>
        <w:jc w:val="both"/>
      </w:pPr>
    </w:p>
    <w:p w14:paraId="43572D9E" w14:textId="644E39D7" w:rsidR="002B6591" w:rsidRDefault="002B6591" w:rsidP="002B6591">
      <w:pPr>
        <w:autoSpaceDE w:val="0"/>
        <w:autoSpaceDN w:val="0"/>
        <w:adjustRightInd w:val="0"/>
        <w:jc w:val="both"/>
        <w:rPr>
          <w:sz w:val="20"/>
          <w:szCs w:val="20"/>
        </w:rPr>
      </w:pPr>
      <w:r>
        <w:rPr>
          <w:sz w:val="20"/>
          <w:szCs w:val="20"/>
        </w:rPr>
        <w:t>Ab dem Steuerjahr 2026 (gemäß Art. 21 Abs. 2 des G. vom 12. Mai 2024 (B.S. vom 29. Mai 2024)) lautet Art. 289</w:t>
      </w:r>
      <w:r w:rsidRPr="002B6591">
        <w:rPr>
          <w:i/>
          <w:iCs/>
          <w:sz w:val="20"/>
          <w:szCs w:val="20"/>
        </w:rPr>
        <w:t>quater</w:t>
      </w:r>
      <w:r>
        <w:rPr>
          <w:sz w:val="20"/>
          <w:szCs w:val="20"/>
        </w:rPr>
        <w:t xml:space="preserve"> wie folgt:</w:t>
      </w:r>
    </w:p>
    <w:p w14:paraId="027DE2DD" w14:textId="77777777" w:rsidR="002B6591" w:rsidRDefault="002B6591" w:rsidP="002B6591">
      <w:pPr>
        <w:autoSpaceDE w:val="0"/>
        <w:autoSpaceDN w:val="0"/>
        <w:adjustRightInd w:val="0"/>
        <w:jc w:val="both"/>
        <w:rPr>
          <w:sz w:val="20"/>
          <w:szCs w:val="20"/>
        </w:rPr>
      </w:pPr>
    </w:p>
    <w:p w14:paraId="13CC0BB8" w14:textId="4708F14B" w:rsidR="002B6591" w:rsidRPr="002B6591" w:rsidRDefault="002B6591" w:rsidP="002B6591">
      <w:pPr>
        <w:autoSpaceDE w:val="0"/>
        <w:autoSpaceDN w:val="0"/>
        <w:adjustRightInd w:val="0"/>
        <w:jc w:val="both"/>
        <w:rPr>
          <w:iCs/>
          <w:sz w:val="20"/>
          <w:szCs w:val="20"/>
        </w:rPr>
      </w:pPr>
      <w:r>
        <w:rPr>
          <w:sz w:val="20"/>
          <w:szCs w:val="20"/>
        </w:rPr>
        <w:t>"</w:t>
      </w:r>
      <w:r w:rsidRPr="002B6591">
        <w:rPr>
          <w:sz w:val="20"/>
          <w:szCs w:val="20"/>
        </w:rPr>
        <w:t>Art. 289</w:t>
      </w:r>
      <w:r w:rsidRPr="002B6591">
        <w:rPr>
          <w:i/>
          <w:iCs/>
          <w:sz w:val="20"/>
          <w:szCs w:val="20"/>
        </w:rPr>
        <w:t>quater</w:t>
      </w:r>
      <w:r w:rsidRPr="002B6591">
        <w:rPr>
          <w:sz w:val="20"/>
          <w:szCs w:val="20"/>
        </w:rPr>
        <w:t> - </w:t>
      </w:r>
      <w:r w:rsidRPr="002B6591">
        <w:rPr>
          <w:iCs/>
          <w:sz w:val="20"/>
          <w:szCs w:val="20"/>
        </w:rPr>
        <w:t xml:space="preserve">In Bezug auf die in </w:t>
      </w:r>
      <w:r>
        <w:rPr>
          <w:iCs/>
          <w:sz w:val="20"/>
          <w:szCs w:val="20"/>
        </w:rPr>
        <w:t>[</w:t>
      </w:r>
      <w:r w:rsidRPr="002B6591">
        <w:rPr>
          <w:iCs/>
          <w:sz w:val="20"/>
          <w:szCs w:val="20"/>
        </w:rPr>
        <w:t>Artikel 69</w:t>
      </w:r>
      <w:r>
        <w:rPr>
          <w:iCs/>
          <w:sz w:val="20"/>
          <w:szCs w:val="20"/>
        </w:rPr>
        <w:t>/2]</w:t>
      </w:r>
      <w:r w:rsidRPr="002B6591">
        <w:rPr>
          <w:iCs/>
          <w:sz w:val="20"/>
          <w:szCs w:val="20"/>
        </w:rPr>
        <w:t xml:space="preserve"> erwähnten Anlagen kann auf die Gesellschaftssteuer [oder für die in Artikel 227 Nr. 2 erwähnten Steuerpflichtigen auf die Steuer der Gebietsfremden] eine Steuergutschrift angerechnet werden, die dem in Absatz 2 erwähnten Satz entspricht und auf einen Teil des Anschaffungs- oder Investitionswertes der in Neuzustand erworbenen oder gebildeten Sachanlagen und der neuen immateriellen Anlagen angewandt wird, wenn diese Anlagen in Belgien zur Ausübung des Gesellschaftszwecks genutzt werden. Diese Steuergutschrift wird "Steuergutschrift für Forschung und Entwicklung" genannt.</w:t>
      </w:r>
    </w:p>
    <w:p w14:paraId="15EA4865" w14:textId="77777777" w:rsidR="002B6591" w:rsidRPr="002B6591" w:rsidRDefault="002B6591" w:rsidP="002B6591">
      <w:pPr>
        <w:autoSpaceDE w:val="0"/>
        <w:autoSpaceDN w:val="0"/>
        <w:adjustRightInd w:val="0"/>
        <w:jc w:val="both"/>
        <w:rPr>
          <w:iCs/>
          <w:sz w:val="20"/>
          <w:szCs w:val="20"/>
        </w:rPr>
      </w:pPr>
    </w:p>
    <w:p w14:paraId="57E80728" w14:textId="77777777" w:rsidR="002B6591" w:rsidRPr="002B6591" w:rsidRDefault="002B6591" w:rsidP="002B6591">
      <w:pPr>
        <w:autoSpaceDE w:val="0"/>
        <w:autoSpaceDN w:val="0"/>
        <w:adjustRightInd w:val="0"/>
        <w:jc w:val="both"/>
        <w:rPr>
          <w:iCs/>
          <w:sz w:val="20"/>
          <w:szCs w:val="20"/>
        </w:rPr>
      </w:pPr>
      <w:r w:rsidRPr="002B6591">
        <w:rPr>
          <w:iCs/>
          <w:sz w:val="20"/>
          <w:szCs w:val="20"/>
        </w:rPr>
        <w:t>Der Satz der Steuergutschrift für Forschung und Entwicklung entspricht dem in Artikel 215 Absatz 1 erwähnten Satz […].</w:t>
      </w:r>
    </w:p>
    <w:p w14:paraId="7B6779C5" w14:textId="77777777" w:rsidR="002B6591" w:rsidRPr="002B6591" w:rsidRDefault="002B6591" w:rsidP="002B6591">
      <w:pPr>
        <w:autoSpaceDE w:val="0"/>
        <w:autoSpaceDN w:val="0"/>
        <w:adjustRightInd w:val="0"/>
        <w:jc w:val="both"/>
        <w:rPr>
          <w:iCs/>
          <w:sz w:val="20"/>
          <w:szCs w:val="20"/>
        </w:rPr>
      </w:pPr>
    </w:p>
    <w:p w14:paraId="4BB77E84" w14:textId="77777777" w:rsidR="002B6591" w:rsidRPr="002B6591" w:rsidRDefault="002B6591" w:rsidP="002B6591">
      <w:pPr>
        <w:autoSpaceDE w:val="0"/>
        <w:autoSpaceDN w:val="0"/>
        <w:adjustRightInd w:val="0"/>
        <w:jc w:val="both"/>
        <w:rPr>
          <w:iCs/>
          <w:sz w:val="20"/>
          <w:szCs w:val="20"/>
        </w:rPr>
      </w:pPr>
      <w:r w:rsidRPr="002B6591">
        <w:rPr>
          <w:iCs/>
          <w:sz w:val="20"/>
          <w:szCs w:val="20"/>
        </w:rPr>
        <w:t>Um die in Absatz 1 erwähnte Steuergutschrift zu erhalten, müssen die Steuerpflichtigen ab einem bestimmten Besteuerungszeitraum unwiderruflich für diese Möglichkeit optieren.]</w:t>
      </w:r>
    </w:p>
    <w:p w14:paraId="597D62D8" w14:textId="77777777" w:rsidR="002B6591" w:rsidRPr="002B6591" w:rsidRDefault="002B6591" w:rsidP="002B6591">
      <w:pPr>
        <w:autoSpaceDE w:val="0"/>
        <w:autoSpaceDN w:val="0"/>
        <w:adjustRightInd w:val="0"/>
        <w:jc w:val="both"/>
        <w:rPr>
          <w:iCs/>
          <w:sz w:val="20"/>
          <w:szCs w:val="20"/>
        </w:rPr>
      </w:pPr>
    </w:p>
    <w:p w14:paraId="3A45F0F4" w14:textId="77777777" w:rsidR="002B6591" w:rsidRPr="002B6591" w:rsidRDefault="002B6591" w:rsidP="002B6591">
      <w:pPr>
        <w:autoSpaceDE w:val="0"/>
        <w:autoSpaceDN w:val="0"/>
        <w:adjustRightInd w:val="0"/>
        <w:jc w:val="both"/>
        <w:rPr>
          <w:iCs/>
          <w:sz w:val="20"/>
          <w:szCs w:val="20"/>
        </w:rPr>
      </w:pPr>
      <w:r w:rsidRPr="002B6591">
        <w:rPr>
          <w:iCs/>
          <w:sz w:val="20"/>
          <w:szCs w:val="20"/>
        </w:rPr>
        <w:lastRenderedPageBreak/>
        <w:t>[</w:t>
      </w:r>
      <w:r w:rsidRPr="002B6591">
        <w:rPr>
          <w:sz w:val="20"/>
          <w:szCs w:val="20"/>
        </w:rPr>
        <w:t>Sind im Anschaffungs- oder Investitionswert der in Absatz 1 erwähnten Anlagen Entlohnungen der in Artikel 275</w:t>
      </w:r>
      <w:r w:rsidRPr="002B6591">
        <w:rPr>
          <w:sz w:val="20"/>
          <w:szCs w:val="20"/>
          <w:vertAlign w:val="superscript"/>
        </w:rPr>
        <w:t>3</w:t>
      </w:r>
      <w:r w:rsidRPr="002B6591">
        <w:rPr>
          <w:sz w:val="20"/>
          <w:szCs w:val="20"/>
        </w:rPr>
        <w:t xml:space="preserve"> erwähnten Forscher enthalten, deren Arbeitgeber einen Teil des Berufssteuervorabzugs in Anwendung von Artikel 275</w:t>
      </w:r>
      <w:r w:rsidRPr="002B6591">
        <w:rPr>
          <w:sz w:val="20"/>
          <w:szCs w:val="20"/>
          <w:vertAlign w:val="superscript"/>
        </w:rPr>
        <w:t>3</w:t>
      </w:r>
      <w:r w:rsidRPr="002B6591">
        <w:rPr>
          <w:sz w:val="20"/>
          <w:szCs w:val="20"/>
        </w:rPr>
        <w:t xml:space="preserve"> nicht der Staatskasse zugeführt hat, darf dieser nicht gezahlte Berufssteuervorabzug nicht in die Grundlage für die Berechnung der in Absatz 1 erwähnten Steuergutschrift einbezogen werden.</w:t>
      </w:r>
      <w:r w:rsidRPr="002B6591">
        <w:rPr>
          <w:iCs/>
          <w:sz w:val="20"/>
          <w:szCs w:val="20"/>
        </w:rPr>
        <w:t>]</w:t>
      </w:r>
    </w:p>
    <w:p w14:paraId="28399D7B" w14:textId="77777777" w:rsidR="002B6591" w:rsidRPr="002B6591" w:rsidRDefault="002B6591" w:rsidP="002B6591">
      <w:pPr>
        <w:autoSpaceDE w:val="0"/>
        <w:autoSpaceDN w:val="0"/>
        <w:adjustRightInd w:val="0"/>
        <w:jc w:val="both"/>
        <w:rPr>
          <w:iCs/>
          <w:sz w:val="20"/>
          <w:szCs w:val="20"/>
        </w:rPr>
      </w:pPr>
    </w:p>
    <w:p w14:paraId="55E13213" w14:textId="74E4200A" w:rsidR="002B6591" w:rsidRPr="002B6591" w:rsidRDefault="002B6591" w:rsidP="002B6591">
      <w:pPr>
        <w:autoSpaceDE w:val="0"/>
        <w:autoSpaceDN w:val="0"/>
        <w:adjustRightInd w:val="0"/>
        <w:jc w:val="both"/>
        <w:rPr>
          <w:sz w:val="20"/>
          <w:szCs w:val="20"/>
        </w:rPr>
      </w:pPr>
      <w:r w:rsidRPr="002B6591">
        <w:rPr>
          <w:i/>
          <w:iCs/>
          <w:sz w:val="20"/>
          <w:szCs w:val="20"/>
        </w:rPr>
        <w:t>[Art. 289quater Abs. 1 abgeändert durch Art. 152 des G. (I) vom 22. Dezember 2008 (II) (B.S. vom 29. Dezember 2008) - anwendbar ab dem Steuerjahr 2009 -</w:t>
      </w:r>
      <w:r>
        <w:rPr>
          <w:i/>
          <w:iCs/>
          <w:sz w:val="20"/>
          <w:szCs w:val="20"/>
        </w:rPr>
        <w:t xml:space="preserve"> und Art. 14</w:t>
      </w:r>
      <w:r w:rsidRPr="002B6591">
        <w:rPr>
          <w:i/>
          <w:iCs/>
          <w:sz w:val="20"/>
          <w:szCs w:val="20"/>
        </w:rPr>
        <w:t xml:space="preserve"> des G. vom 12. Mai 2024 (B.S. vom 29. Mai 2024) - anwendbar auf die ab dem 1. Januar 2025 erworbenen oder gebildeten Anlagen -; Abs. 2 abgeändert durch Art. 72 des G. vom 25. Dezember 2017 (III) (B.S. vom 29. Dezember 2017) - in Kraft am 1. Januar 2020 und anwendbar ab dem Steuerjahr 2021, das sich auf einen Besteuerungs</w:t>
      </w:r>
      <w:r w:rsidRPr="002B6591">
        <w:rPr>
          <w:i/>
          <w:iCs/>
          <w:sz w:val="20"/>
          <w:szCs w:val="20"/>
        </w:rPr>
        <w:softHyphen/>
        <w:t>zeitraum bezieht, der frühestens am 1. Januar 2020 beginnt -; Abs. 4 eingefügt durch Art. 18</w:t>
      </w:r>
      <w:r w:rsidRPr="002B6591">
        <w:rPr>
          <w:i/>
          <w:sz w:val="20"/>
          <w:szCs w:val="20"/>
        </w:rPr>
        <w:t xml:space="preserve"> des G. vom 28. März 2022 (B.S. vom 31. März 2022) - anwendbar </w:t>
      </w:r>
      <w:r w:rsidRPr="002B6591">
        <w:rPr>
          <w:i/>
          <w:iCs/>
          <w:sz w:val="20"/>
          <w:szCs w:val="20"/>
        </w:rPr>
        <w:t>auf die Besteuerungszeit</w:t>
      </w:r>
      <w:r w:rsidRPr="002B6591">
        <w:rPr>
          <w:i/>
          <w:iCs/>
          <w:sz w:val="20"/>
          <w:szCs w:val="20"/>
        </w:rPr>
        <w:softHyphen/>
        <w:t>räume, die ab dem 1. April 2022 enden -]</w:t>
      </w:r>
      <w:r>
        <w:rPr>
          <w:sz w:val="20"/>
          <w:szCs w:val="20"/>
        </w:rPr>
        <w:t>"</w:t>
      </w:r>
    </w:p>
    <w:p w14:paraId="6565FEEF" w14:textId="3B4AE01D" w:rsidR="002B6591" w:rsidRPr="009118AB" w:rsidRDefault="002B6591" w:rsidP="002B6591">
      <w:pPr>
        <w:autoSpaceDE w:val="0"/>
        <w:autoSpaceDN w:val="0"/>
        <w:adjustRightInd w:val="0"/>
        <w:jc w:val="both"/>
      </w:pPr>
    </w:p>
    <w:p w14:paraId="6C2C624C" w14:textId="77777777" w:rsidR="00710A6B" w:rsidRPr="009118AB" w:rsidRDefault="00710A6B" w:rsidP="00477B8F">
      <w:pPr>
        <w:autoSpaceDE w:val="0"/>
        <w:autoSpaceDN w:val="0"/>
        <w:adjustRightInd w:val="0"/>
        <w:jc w:val="both"/>
      </w:pPr>
    </w:p>
    <w:p w14:paraId="7DC3DD4A" w14:textId="2083889E"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289</w:t>
      </w:r>
      <w:r w:rsidRPr="009118AB">
        <w:rPr>
          <w:b/>
          <w:bCs/>
          <w:i/>
          <w:iCs/>
        </w:rPr>
        <w:t>quinquies</w:t>
      </w:r>
      <w:r w:rsidR="00D67EB8" w:rsidRPr="009118AB">
        <w:t> - </w:t>
      </w:r>
      <w:r w:rsidRPr="009118AB">
        <w:t>Der in Artikel 289</w:t>
      </w:r>
      <w:r w:rsidRPr="009118AB">
        <w:rPr>
          <w:i/>
          <w:iCs/>
        </w:rPr>
        <w:t>quater</w:t>
      </w:r>
      <w:r w:rsidRPr="009118AB">
        <w:t xml:space="preserve"> Absatz 1 erwähnte Teil entspricht dem in Artikel 69 </w:t>
      </w:r>
      <w:r w:rsidR="00D67EB8" w:rsidRPr="009118AB">
        <w:t>§ </w:t>
      </w:r>
      <w:r w:rsidRPr="009118AB">
        <w:t xml:space="preserve">1 Absatz 1 </w:t>
      </w:r>
      <w:r w:rsidR="00D67EB8" w:rsidRPr="009118AB">
        <w:t>Nr. </w:t>
      </w:r>
      <w:r w:rsidRPr="009118AB">
        <w:t>2 erwähnten Prozentsatz.]</w:t>
      </w:r>
    </w:p>
    <w:p w14:paraId="5E0D5E6F" w14:textId="77777777" w:rsidR="00477B8F" w:rsidRPr="009118AB" w:rsidRDefault="00477B8F" w:rsidP="00477B8F">
      <w:pPr>
        <w:autoSpaceDE w:val="0"/>
        <w:autoSpaceDN w:val="0"/>
        <w:adjustRightInd w:val="0"/>
        <w:jc w:val="both"/>
      </w:pPr>
    </w:p>
    <w:p w14:paraId="41ECC096" w14:textId="6237AF2B" w:rsidR="00477B8F" w:rsidRPr="009118AB" w:rsidRDefault="001E1ED5" w:rsidP="00477B8F">
      <w:pPr>
        <w:autoSpaceDE w:val="0"/>
        <w:autoSpaceDN w:val="0"/>
        <w:adjustRightInd w:val="0"/>
        <w:jc w:val="both"/>
      </w:pPr>
      <w:r w:rsidRPr="009118AB">
        <w:rPr>
          <w:i/>
          <w:iCs/>
        </w:rPr>
        <w:t>[</w:t>
      </w:r>
      <w:r w:rsidR="00D67EB8" w:rsidRPr="009118AB">
        <w:rPr>
          <w:i/>
          <w:iCs/>
        </w:rPr>
        <w:t>Art. </w:t>
      </w:r>
      <w:r w:rsidR="00477B8F" w:rsidRPr="009118AB">
        <w:rPr>
          <w:i/>
          <w:iCs/>
        </w:rPr>
        <w:t>28</w:t>
      </w:r>
      <w:r w:rsidRPr="009118AB">
        <w:rPr>
          <w:i/>
          <w:iCs/>
        </w:rPr>
        <w:t xml:space="preserve">9quinquies eingefügt durch </w:t>
      </w:r>
      <w:r w:rsidR="00D67EB8" w:rsidRPr="009118AB">
        <w:rPr>
          <w:i/>
          <w:iCs/>
        </w:rPr>
        <w:t>Art. </w:t>
      </w:r>
      <w:r w:rsidR="00477B8F" w:rsidRPr="009118AB">
        <w:rPr>
          <w:i/>
          <w:iCs/>
        </w:rPr>
        <w:t>125 des G. vom 23. Dezember 2005 (B.S. vom 30. Dezember 2005)</w:t>
      </w:r>
      <w:r w:rsidR="00D67EB8" w:rsidRPr="009118AB">
        <w:rPr>
          <w:i/>
          <w:iCs/>
        </w:rPr>
        <w:t> - </w:t>
      </w:r>
      <w:r w:rsidR="00477B8F" w:rsidRPr="009118AB">
        <w:rPr>
          <w:i/>
          <w:iCs/>
        </w:rPr>
        <w:t>in Kraft ab dem Steuerjahr 2007</w:t>
      </w:r>
      <w:r w:rsidR="00FD68E8" w:rsidRPr="009118AB">
        <w:rPr>
          <w:i/>
          <w:iCs/>
        </w:rPr>
        <w:t> -]</w:t>
      </w:r>
    </w:p>
    <w:p w14:paraId="32A5026D" w14:textId="77777777" w:rsidR="00477B8F" w:rsidRDefault="00477B8F" w:rsidP="00477B8F">
      <w:pPr>
        <w:autoSpaceDE w:val="0"/>
        <w:autoSpaceDN w:val="0"/>
        <w:adjustRightInd w:val="0"/>
        <w:jc w:val="both"/>
      </w:pPr>
    </w:p>
    <w:p w14:paraId="5B94DB53" w14:textId="77777777" w:rsidR="002B6591" w:rsidRDefault="002B6591" w:rsidP="00477B8F">
      <w:pPr>
        <w:autoSpaceDE w:val="0"/>
        <w:autoSpaceDN w:val="0"/>
        <w:adjustRightInd w:val="0"/>
        <w:jc w:val="both"/>
      </w:pPr>
    </w:p>
    <w:p w14:paraId="3472F400" w14:textId="57E6909C" w:rsidR="002B6591" w:rsidRDefault="002B6591" w:rsidP="002B6591">
      <w:pPr>
        <w:autoSpaceDE w:val="0"/>
        <w:autoSpaceDN w:val="0"/>
        <w:adjustRightInd w:val="0"/>
        <w:jc w:val="both"/>
        <w:rPr>
          <w:sz w:val="20"/>
          <w:szCs w:val="20"/>
        </w:rPr>
      </w:pPr>
      <w:r>
        <w:rPr>
          <w:sz w:val="20"/>
          <w:szCs w:val="20"/>
        </w:rPr>
        <w:t>Ab dem Steuerjahr 2026 (gemäß Art. 21 Abs. 2 des G. vom 12. Mai 2024 (B.S. vom 29. Mai 2024)) lautet Art. 289</w:t>
      </w:r>
      <w:r w:rsidRPr="002B6591">
        <w:rPr>
          <w:i/>
          <w:iCs/>
          <w:sz w:val="20"/>
          <w:szCs w:val="20"/>
        </w:rPr>
        <w:t>quinquies</w:t>
      </w:r>
      <w:r>
        <w:rPr>
          <w:sz w:val="20"/>
          <w:szCs w:val="20"/>
        </w:rPr>
        <w:t xml:space="preserve"> wie folgt:</w:t>
      </w:r>
    </w:p>
    <w:p w14:paraId="39077BE4" w14:textId="77777777" w:rsidR="002B6591" w:rsidRDefault="002B6591" w:rsidP="002B6591">
      <w:pPr>
        <w:autoSpaceDE w:val="0"/>
        <w:autoSpaceDN w:val="0"/>
        <w:adjustRightInd w:val="0"/>
        <w:jc w:val="both"/>
        <w:rPr>
          <w:sz w:val="20"/>
          <w:szCs w:val="20"/>
        </w:rPr>
      </w:pPr>
    </w:p>
    <w:p w14:paraId="3C3DF6F4" w14:textId="64850DAD" w:rsidR="002B6591" w:rsidRPr="002B6591" w:rsidRDefault="002B6591" w:rsidP="002B6591">
      <w:pPr>
        <w:autoSpaceDE w:val="0"/>
        <w:autoSpaceDN w:val="0"/>
        <w:adjustRightInd w:val="0"/>
        <w:jc w:val="both"/>
        <w:rPr>
          <w:sz w:val="20"/>
          <w:szCs w:val="20"/>
        </w:rPr>
      </w:pPr>
      <w:r>
        <w:rPr>
          <w:sz w:val="20"/>
          <w:szCs w:val="20"/>
        </w:rPr>
        <w:t>"</w:t>
      </w:r>
      <w:r w:rsidRPr="002B6591">
        <w:rPr>
          <w:sz w:val="20"/>
          <w:szCs w:val="20"/>
        </w:rPr>
        <w:t>[Art. 289</w:t>
      </w:r>
      <w:r w:rsidRPr="002B6591">
        <w:rPr>
          <w:i/>
          <w:iCs/>
          <w:sz w:val="20"/>
          <w:szCs w:val="20"/>
        </w:rPr>
        <w:t>quinquies</w:t>
      </w:r>
      <w:r w:rsidRPr="002B6591">
        <w:rPr>
          <w:sz w:val="20"/>
          <w:szCs w:val="20"/>
        </w:rPr>
        <w:t> - Der in Artikel 289</w:t>
      </w:r>
      <w:r w:rsidRPr="002B6591">
        <w:rPr>
          <w:i/>
          <w:iCs/>
          <w:sz w:val="20"/>
          <w:szCs w:val="20"/>
        </w:rPr>
        <w:t>quater</w:t>
      </w:r>
      <w:r w:rsidRPr="002B6591">
        <w:rPr>
          <w:sz w:val="20"/>
          <w:szCs w:val="20"/>
        </w:rPr>
        <w:t xml:space="preserve"> Absatz 1 erwähnte Teil entspricht dem in </w:t>
      </w:r>
      <w:r>
        <w:rPr>
          <w:sz w:val="20"/>
          <w:szCs w:val="20"/>
        </w:rPr>
        <w:t>[</w:t>
      </w:r>
      <w:r w:rsidRPr="002B6591">
        <w:rPr>
          <w:sz w:val="20"/>
          <w:szCs w:val="20"/>
        </w:rPr>
        <w:t>Artikel 69 Absatz 1 Nr. </w:t>
      </w:r>
      <w:r>
        <w:rPr>
          <w:sz w:val="20"/>
          <w:szCs w:val="20"/>
        </w:rPr>
        <w:t>3]</w:t>
      </w:r>
      <w:r w:rsidRPr="002B6591">
        <w:rPr>
          <w:sz w:val="20"/>
          <w:szCs w:val="20"/>
        </w:rPr>
        <w:t xml:space="preserve"> erwähnten Prozentsatz.]</w:t>
      </w:r>
    </w:p>
    <w:p w14:paraId="3037CA34" w14:textId="77777777" w:rsidR="002B6591" w:rsidRPr="002B6591" w:rsidRDefault="002B6591" w:rsidP="002B6591">
      <w:pPr>
        <w:autoSpaceDE w:val="0"/>
        <w:autoSpaceDN w:val="0"/>
        <w:adjustRightInd w:val="0"/>
        <w:jc w:val="both"/>
        <w:rPr>
          <w:sz w:val="20"/>
          <w:szCs w:val="20"/>
        </w:rPr>
      </w:pPr>
    </w:p>
    <w:p w14:paraId="67550561" w14:textId="6ECCCE60" w:rsidR="002B6591" w:rsidRPr="002B6591" w:rsidRDefault="002B6591" w:rsidP="002B6591">
      <w:pPr>
        <w:autoSpaceDE w:val="0"/>
        <w:autoSpaceDN w:val="0"/>
        <w:adjustRightInd w:val="0"/>
        <w:jc w:val="both"/>
        <w:rPr>
          <w:sz w:val="20"/>
          <w:szCs w:val="20"/>
        </w:rPr>
      </w:pPr>
      <w:r w:rsidRPr="002B6591">
        <w:rPr>
          <w:i/>
          <w:iCs/>
          <w:sz w:val="20"/>
          <w:szCs w:val="20"/>
        </w:rPr>
        <w:t>[Art. 289quinquies eingefügt durch Art. 125 des G. vom 23. Dezember 2005 (B.S. vom 30. Dezember 2005) - in Kraft ab dem Steuerjahr 2007 -</w:t>
      </w:r>
      <w:r w:rsidR="003430E0">
        <w:rPr>
          <w:i/>
          <w:iCs/>
          <w:sz w:val="20"/>
          <w:szCs w:val="20"/>
        </w:rPr>
        <w:t xml:space="preserve"> und abgeändert durch Art. 15</w:t>
      </w:r>
      <w:r w:rsidR="003430E0" w:rsidRPr="003430E0">
        <w:rPr>
          <w:i/>
          <w:iCs/>
          <w:sz w:val="20"/>
          <w:szCs w:val="20"/>
        </w:rPr>
        <w:t xml:space="preserve"> des G. vom 12. Mai 2024 (B.S. vom 29. Mai 2024) - anwendbar auf die ab dem 1. Januar 2025 erworbenen oder gebildeten Anlagen -</w:t>
      </w:r>
      <w:r w:rsidRPr="002B6591">
        <w:rPr>
          <w:i/>
          <w:iCs/>
          <w:sz w:val="20"/>
          <w:szCs w:val="20"/>
        </w:rPr>
        <w:t>]</w:t>
      </w:r>
      <w:r w:rsidR="003430E0">
        <w:rPr>
          <w:sz w:val="20"/>
          <w:szCs w:val="20"/>
        </w:rPr>
        <w:t>"</w:t>
      </w:r>
    </w:p>
    <w:p w14:paraId="66EF9822" w14:textId="43BC47EF" w:rsidR="002B6591" w:rsidRPr="009118AB" w:rsidRDefault="002B6591" w:rsidP="002B6591">
      <w:pPr>
        <w:autoSpaceDE w:val="0"/>
        <w:autoSpaceDN w:val="0"/>
        <w:adjustRightInd w:val="0"/>
        <w:jc w:val="both"/>
      </w:pPr>
    </w:p>
    <w:p w14:paraId="7F5AD175" w14:textId="77777777" w:rsidR="00477B8F" w:rsidRPr="009118AB" w:rsidRDefault="00477B8F" w:rsidP="00477B8F">
      <w:pPr>
        <w:autoSpaceDE w:val="0"/>
        <w:autoSpaceDN w:val="0"/>
        <w:adjustRightInd w:val="0"/>
        <w:jc w:val="both"/>
      </w:pPr>
    </w:p>
    <w:p w14:paraId="2C19CBD8" w14:textId="70527CE0" w:rsidR="00A63C08" w:rsidRPr="009118AB" w:rsidRDefault="00477B8F" w:rsidP="00A63C08">
      <w:pPr>
        <w:autoSpaceDE w:val="0"/>
        <w:autoSpaceDN w:val="0"/>
        <w:adjustRightInd w:val="0"/>
        <w:jc w:val="both"/>
      </w:pPr>
      <w:r w:rsidRPr="009118AB">
        <w:tab/>
        <w:t>[</w:t>
      </w:r>
      <w:r w:rsidR="00D67EB8" w:rsidRPr="009118AB">
        <w:rPr>
          <w:b/>
          <w:bCs/>
        </w:rPr>
        <w:t>Art. </w:t>
      </w:r>
      <w:r w:rsidRPr="009118AB">
        <w:rPr>
          <w:b/>
          <w:bCs/>
        </w:rPr>
        <w:t>289</w:t>
      </w:r>
      <w:r w:rsidRPr="009118AB">
        <w:rPr>
          <w:b/>
          <w:bCs/>
          <w:i/>
          <w:iCs/>
        </w:rPr>
        <w:t>sexies</w:t>
      </w:r>
      <w:r w:rsidR="00D67EB8" w:rsidRPr="009118AB">
        <w:t> - </w:t>
      </w:r>
      <w:r w:rsidRPr="009118AB">
        <w:t xml:space="preserve">In Bezug auf die in Artikel 69 </w:t>
      </w:r>
      <w:r w:rsidR="00D67EB8" w:rsidRPr="009118AB">
        <w:t>§ </w:t>
      </w:r>
      <w:r w:rsidRPr="009118AB">
        <w:t xml:space="preserve">1 Absatz 1 </w:t>
      </w:r>
      <w:r w:rsidR="00D67EB8" w:rsidRPr="009118AB">
        <w:t>Nr. </w:t>
      </w:r>
      <w:r w:rsidRPr="009118AB">
        <w:t>2 Buchstabe </w:t>
      </w:r>
      <w:r w:rsidRPr="009118AB">
        <w:rPr>
          <w:i/>
          <w:iCs/>
        </w:rPr>
        <w:t>b)</w:t>
      </w:r>
      <w:r w:rsidRPr="009118AB">
        <w:t xml:space="preserve"> erwähnten Anlagen haben die Steuerpflichtigen die Möglichkeit, die Steuergutschrift für Forschung und Entwicklung auf den Abschreibungszeitraum dieser Anlagen zu verteilen. In diesem Fall entspricht die gestaffelte Steuergutschrift für Forschung und Entwicklung dem in Artikel 289</w:t>
      </w:r>
      <w:r w:rsidRPr="009118AB">
        <w:rPr>
          <w:i/>
          <w:iCs/>
        </w:rPr>
        <w:t>quater</w:t>
      </w:r>
      <w:r w:rsidRPr="009118AB">
        <w:t xml:space="preserve"> Absatz 2 vorgesehenen Satz, der auf die Abschreibung angewandt wird, die für jeden Besteuerungszeitraum des Abschreibungszeitraums zugelassen wird, multipliziert mit dem in Artikel 70 Absatz 2 erwähnten Prozentsatz.</w:t>
      </w:r>
    </w:p>
    <w:p w14:paraId="6144C9A4" w14:textId="74ADDA9B" w:rsidR="00710A6B" w:rsidRPr="009118AB" w:rsidRDefault="00710A6B" w:rsidP="00A63C08">
      <w:pPr>
        <w:autoSpaceDE w:val="0"/>
        <w:autoSpaceDN w:val="0"/>
        <w:adjustRightInd w:val="0"/>
        <w:jc w:val="both"/>
      </w:pPr>
    </w:p>
    <w:p w14:paraId="26F890FD" w14:textId="77777777" w:rsidR="00477B8F" w:rsidRPr="009118AB" w:rsidRDefault="00477B8F" w:rsidP="00477B8F">
      <w:pPr>
        <w:autoSpaceDE w:val="0"/>
        <w:autoSpaceDN w:val="0"/>
        <w:adjustRightInd w:val="0"/>
        <w:jc w:val="both"/>
      </w:pPr>
      <w:r w:rsidRPr="009118AB">
        <w:tab/>
        <w:t>Wird eine Anlage abgetreten oder außer Betrieb gesetzt und liegt der Gesamtbetrag der gemäß Absatz 1 angerechneten Steuergutschriften für Forschung und Entwicklung unter der Steuergutschrift für Forschung und Entwicklung, die gemäß Artikel 289</w:t>
      </w:r>
      <w:r w:rsidRPr="009118AB">
        <w:rPr>
          <w:i/>
          <w:iCs/>
        </w:rPr>
        <w:t>quinquies</w:t>
      </w:r>
      <w:r w:rsidRPr="009118AB">
        <w:t xml:space="preserve"> hätte angerechnet werden können, wird eine entsprechende zusätzliche Steuergutschrift für Forschung und Entwicklung gewährt.]</w:t>
      </w:r>
    </w:p>
    <w:p w14:paraId="28DF0FC8" w14:textId="77777777" w:rsidR="00477B8F" w:rsidRPr="009118AB" w:rsidRDefault="00477B8F" w:rsidP="00477B8F">
      <w:pPr>
        <w:autoSpaceDE w:val="0"/>
        <w:autoSpaceDN w:val="0"/>
        <w:adjustRightInd w:val="0"/>
        <w:jc w:val="both"/>
      </w:pPr>
    </w:p>
    <w:p w14:paraId="106D2548" w14:textId="1ADD5325"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289sexies eingefügt durch </w:t>
      </w:r>
      <w:r w:rsidR="00D67EB8" w:rsidRPr="009118AB">
        <w:rPr>
          <w:i/>
          <w:iCs/>
        </w:rPr>
        <w:t>Art. </w:t>
      </w:r>
      <w:r w:rsidRPr="009118AB">
        <w:rPr>
          <w:i/>
          <w:iCs/>
        </w:rPr>
        <w:t>126 des G. vom 23. Dezember 2005 (B.S. vom 30. Dezember 2005)</w:t>
      </w:r>
      <w:r w:rsidR="00D67EB8" w:rsidRPr="009118AB">
        <w:rPr>
          <w:i/>
          <w:iCs/>
        </w:rPr>
        <w:t> - </w:t>
      </w:r>
      <w:r w:rsidRPr="009118AB">
        <w:rPr>
          <w:i/>
          <w:iCs/>
        </w:rPr>
        <w:t>in Kraft ab dem Steuerjahr 2007</w:t>
      </w:r>
      <w:r w:rsidR="00FD68E8" w:rsidRPr="009118AB">
        <w:rPr>
          <w:i/>
          <w:iCs/>
        </w:rPr>
        <w:t> -]</w:t>
      </w:r>
    </w:p>
    <w:p w14:paraId="463BE26B" w14:textId="77777777" w:rsidR="00F73243" w:rsidRPr="009118AB" w:rsidRDefault="00F73243" w:rsidP="00477B8F">
      <w:pPr>
        <w:autoSpaceDE w:val="0"/>
        <w:autoSpaceDN w:val="0"/>
        <w:adjustRightInd w:val="0"/>
        <w:jc w:val="both"/>
      </w:pPr>
    </w:p>
    <w:p w14:paraId="026A039C" w14:textId="77777777" w:rsidR="00F73243" w:rsidRDefault="00F73243" w:rsidP="00477B8F">
      <w:pPr>
        <w:autoSpaceDE w:val="0"/>
        <w:autoSpaceDN w:val="0"/>
        <w:adjustRightInd w:val="0"/>
        <w:jc w:val="both"/>
      </w:pPr>
    </w:p>
    <w:p w14:paraId="77DBE652" w14:textId="57C5C720" w:rsidR="003430E0" w:rsidRDefault="003430E0" w:rsidP="003430E0">
      <w:pPr>
        <w:autoSpaceDE w:val="0"/>
        <w:autoSpaceDN w:val="0"/>
        <w:adjustRightInd w:val="0"/>
        <w:jc w:val="both"/>
        <w:rPr>
          <w:sz w:val="20"/>
          <w:szCs w:val="20"/>
        </w:rPr>
      </w:pPr>
      <w:r>
        <w:rPr>
          <w:sz w:val="20"/>
          <w:szCs w:val="20"/>
        </w:rPr>
        <w:t>Ab dem Steuerjahr 2026 (gemäß Art. 21 Abs. 2 des G. vom 12. Mai 2024 (B.S. vom 29. Mai 2024)) lautet Art. 289</w:t>
      </w:r>
      <w:r w:rsidRPr="003430E0">
        <w:rPr>
          <w:i/>
          <w:iCs/>
          <w:sz w:val="20"/>
          <w:szCs w:val="20"/>
        </w:rPr>
        <w:t>sexies</w:t>
      </w:r>
      <w:r>
        <w:rPr>
          <w:sz w:val="20"/>
          <w:szCs w:val="20"/>
        </w:rPr>
        <w:t xml:space="preserve"> wie folgt:</w:t>
      </w:r>
    </w:p>
    <w:p w14:paraId="4A1FDE83" w14:textId="77777777" w:rsidR="003430E0" w:rsidRDefault="003430E0" w:rsidP="003430E0">
      <w:pPr>
        <w:autoSpaceDE w:val="0"/>
        <w:autoSpaceDN w:val="0"/>
        <w:adjustRightInd w:val="0"/>
        <w:jc w:val="both"/>
        <w:rPr>
          <w:sz w:val="20"/>
          <w:szCs w:val="20"/>
        </w:rPr>
      </w:pPr>
    </w:p>
    <w:p w14:paraId="08F6753F" w14:textId="519B336F" w:rsidR="003430E0" w:rsidRPr="003430E0" w:rsidRDefault="003430E0" w:rsidP="003430E0">
      <w:pPr>
        <w:autoSpaceDE w:val="0"/>
        <w:autoSpaceDN w:val="0"/>
        <w:adjustRightInd w:val="0"/>
        <w:jc w:val="both"/>
        <w:rPr>
          <w:sz w:val="20"/>
          <w:szCs w:val="20"/>
        </w:rPr>
      </w:pPr>
      <w:r>
        <w:rPr>
          <w:sz w:val="20"/>
          <w:szCs w:val="20"/>
        </w:rPr>
        <w:t>"</w:t>
      </w:r>
      <w:r w:rsidRPr="003430E0">
        <w:rPr>
          <w:sz w:val="20"/>
          <w:szCs w:val="20"/>
        </w:rPr>
        <w:t>[Art. 289</w:t>
      </w:r>
      <w:r w:rsidRPr="003430E0">
        <w:rPr>
          <w:i/>
          <w:iCs/>
          <w:sz w:val="20"/>
          <w:szCs w:val="20"/>
        </w:rPr>
        <w:t>sexies</w:t>
      </w:r>
      <w:r w:rsidRPr="003430E0">
        <w:rPr>
          <w:sz w:val="20"/>
          <w:szCs w:val="20"/>
        </w:rPr>
        <w:t xml:space="preserve"> - In Bezug auf die in </w:t>
      </w:r>
      <w:r>
        <w:rPr>
          <w:sz w:val="20"/>
          <w:szCs w:val="20"/>
        </w:rPr>
        <w:t>[</w:t>
      </w:r>
      <w:r w:rsidRPr="003430E0">
        <w:rPr>
          <w:sz w:val="20"/>
          <w:szCs w:val="20"/>
        </w:rPr>
        <w:t>Artikel 69</w:t>
      </w:r>
      <w:r>
        <w:rPr>
          <w:sz w:val="20"/>
          <w:szCs w:val="20"/>
        </w:rPr>
        <w:t>/2</w:t>
      </w:r>
      <w:r w:rsidRPr="003430E0">
        <w:rPr>
          <w:sz w:val="20"/>
          <w:szCs w:val="20"/>
        </w:rPr>
        <w:t xml:space="preserve"> Nr. </w:t>
      </w:r>
      <w:r>
        <w:rPr>
          <w:sz w:val="20"/>
          <w:szCs w:val="20"/>
        </w:rPr>
        <w:t xml:space="preserve">2] </w:t>
      </w:r>
      <w:r w:rsidRPr="003430E0">
        <w:rPr>
          <w:sz w:val="20"/>
          <w:szCs w:val="20"/>
        </w:rPr>
        <w:t xml:space="preserve">erwähnten Anlagen haben die Steuerpflichtigen die Möglichkeit, die Steuergutschrift für Forschung und Entwicklung auf den Abschreibungszeitraum dieser Anlagen </w:t>
      </w:r>
      <w:r w:rsidRPr="003430E0">
        <w:rPr>
          <w:sz w:val="20"/>
          <w:szCs w:val="20"/>
        </w:rPr>
        <w:lastRenderedPageBreak/>
        <w:t>zu verteilen. In diesem Fall entspricht die gestaffelte Steuergutschrift für Forschung und Entwicklung dem in Artikel 289</w:t>
      </w:r>
      <w:r w:rsidRPr="003430E0">
        <w:rPr>
          <w:i/>
          <w:iCs/>
          <w:sz w:val="20"/>
          <w:szCs w:val="20"/>
        </w:rPr>
        <w:t>quater</w:t>
      </w:r>
      <w:r w:rsidRPr="003430E0">
        <w:rPr>
          <w:sz w:val="20"/>
          <w:szCs w:val="20"/>
        </w:rPr>
        <w:t xml:space="preserve"> Absatz 2 vorgesehenen Satz, der auf die Abschreibung angewandt wird, die für jeden Besteuerungszeitraum des Abschreibungszeitraums zugelassen wird, multipliziert mit dem in Artikel 70 Absatz 2 erwähnten Prozentsatz.</w:t>
      </w:r>
    </w:p>
    <w:p w14:paraId="71FC9F11" w14:textId="77777777" w:rsidR="003430E0" w:rsidRPr="003430E0" w:rsidRDefault="003430E0" w:rsidP="003430E0">
      <w:pPr>
        <w:autoSpaceDE w:val="0"/>
        <w:autoSpaceDN w:val="0"/>
        <w:adjustRightInd w:val="0"/>
        <w:jc w:val="both"/>
        <w:rPr>
          <w:sz w:val="20"/>
          <w:szCs w:val="20"/>
        </w:rPr>
      </w:pPr>
    </w:p>
    <w:p w14:paraId="036F3D53" w14:textId="7EB246D5" w:rsidR="003430E0" w:rsidRPr="003430E0" w:rsidRDefault="003430E0" w:rsidP="003430E0">
      <w:pPr>
        <w:autoSpaceDE w:val="0"/>
        <w:autoSpaceDN w:val="0"/>
        <w:adjustRightInd w:val="0"/>
        <w:jc w:val="both"/>
        <w:rPr>
          <w:sz w:val="20"/>
          <w:szCs w:val="20"/>
        </w:rPr>
      </w:pPr>
      <w:r w:rsidRPr="003430E0">
        <w:rPr>
          <w:sz w:val="20"/>
          <w:szCs w:val="20"/>
        </w:rPr>
        <w:t>Wird eine Anlage abgetreten oder außer Betrieb gesetzt und liegt der Gesamtbetrag der gemäß Absatz 1 angerechneten Steuergutschriften für Forschung und Entwicklung unter der Steuergutschrift für Forschung und Entwicklung, die gemäß Artikel 289</w:t>
      </w:r>
      <w:r w:rsidRPr="003430E0">
        <w:rPr>
          <w:i/>
          <w:iCs/>
          <w:sz w:val="20"/>
          <w:szCs w:val="20"/>
        </w:rPr>
        <w:t>quinquies</w:t>
      </w:r>
      <w:r w:rsidRPr="003430E0">
        <w:rPr>
          <w:sz w:val="20"/>
          <w:szCs w:val="20"/>
        </w:rPr>
        <w:t xml:space="preserve"> hätte angerechnet werden können, wird eine entsprechende zusätzliche Steuergutschrift für Forschung und Entwicklung gewährt.]</w:t>
      </w:r>
    </w:p>
    <w:p w14:paraId="5D904D3A" w14:textId="77777777" w:rsidR="003430E0" w:rsidRPr="003430E0" w:rsidRDefault="003430E0" w:rsidP="003430E0">
      <w:pPr>
        <w:autoSpaceDE w:val="0"/>
        <w:autoSpaceDN w:val="0"/>
        <w:adjustRightInd w:val="0"/>
        <w:jc w:val="both"/>
        <w:rPr>
          <w:sz w:val="20"/>
          <w:szCs w:val="20"/>
        </w:rPr>
      </w:pPr>
    </w:p>
    <w:p w14:paraId="03EF8D21" w14:textId="3E9DBB95" w:rsidR="003430E0" w:rsidRPr="003430E0" w:rsidRDefault="003430E0" w:rsidP="003430E0">
      <w:pPr>
        <w:autoSpaceDE w:val="0"/>
        <w:autoSpaceDN w:val="0"/>
        <w:adjustRightInd w:val="0"/>
        <w:jc w:val="both"/>
        <w:rPr>
          <w:sz w:val="20"/>
          <w:szCs w:val="20"/>
        </w:rPr>
      </w:pPr>
      <w:r w:rsidRPr="003430E0">
        <w:rPr>
          <w:i/>
          <w:iCs/>
          <w:sz w:val="20"/>
          <w:szCs w:val="20"/>
        </w:rPr>
        <w:t>[Art. 289sexies eingefügt durch Art. 126 des G. vom 23. Dezember 2005 (B.S. vom 30. Dezember 2005) - in Kraft ab dem Steuerjahr 2007 -</w:t>
      </w:r>
      <w:r>
        <w:rPr>
          <w:i/>
          <w:iCs/>
          <w:sz w:val="20"/>
          <w:szCs w:val="20"/>
        </w:rPr>
        <w:t>; Abs. 1 abgeändert durch Art. 16</w:t>
      </w:r>
      <w:r w:rsidRPr="003430E0">
        <w:rPr>
          <w:i/>
          <w:iCs/>
          <w:sz w:val="20"/>
          <w:szCs w:val="20"/>
        </w:rPr>
        <w:t xml:space="preserve"> des G. vom 12. Mai 2024 (B.S. vom 29. Mai 2024) - anwendbar auf die ab dem 1. Januar 2025 erworbenen oder gebildeten Anlagen -]</w:t>
      </w:r>
      <w:r>
        <w:rPr>
          <w:sz w:val="20"/>
          <w:szCs w:val="20"/>
        </w:rPr>
        <w:t>"</w:t>
      </w:r>
    </w:p>
    <w:p w14:paraId="69C3A425" w14:textId="1805E369" w:rsidR="003430E0" w:rsidRDefault="003430E0" w:rsidP="003430E0">
      <w:pPr>
        <w:autoSpaceDE w:val="0"/>
        <w:autoSpaceDN w:val="0"/>
        <w:adjustRightInd w:val="0"/>
        <w:jc w:val="both"/>
      </w:pPr>
    </w:p>
    <w:p w14:paraId="53C18E6B" w14:textId="77777777" w:rsidR="003430E0" w:rsidRPr="009118AB" w:rsidRDefault="003430E0" w:rsidP="003430E0">
      <w:pPr>
        <w:autoSpaceDE w:val="0"/>
        <w:autoSpaceDN w:val="0"/>
        <w:adjustRightInd w:val="0"/>
        <w:jc w:val="both"/>
      </w:pPr>
    </w:p>
    <w:p w14:paraId="381917E4" w14:textId="5AA81F35" w:rsidR="00477B8F" w:rsidRPr="009118AB" w:rsidRDefault="00477B8F" w:rsidP="00477B8F">
      <w:pPr>
        <w:autoSpaceDE w:val="0"/>
        <w:autoSpaceDN w:val="0"/>
        <w:adjustRightInd w:val="0"/>
        <w:jc w:val="both"/>
      </w:pPr>
      <w:r w:rsidRPr="009118AB">
        <w:tab/>
        <w:t>[</w:t>
      </w:r>
      <w:r w:rsidR="00D67EB8" w:rsidRPr="009118AB">
        <w:rPr>
          <w:b/>
          <w:bCs/>
        </w:rPr>
        <w:t>Art. </w:t>
      </w:r>
      <w:r w:rsidRPr="009118AB">
        <w:rPr>
          <w:b/>
          <w:bCs/>
        </w:rPr>
        <w:t>289</w:t>
      </w:r>
      <w:r w:rsidRPr="009118AB">
        <w:rPr>
          <w:b/>
          <w:bCs/>
          <w:i/>
          <w:iCs/>
        </w:rPr>
        <w:t>septies</w:t>
      </w:r>
      <w:r w:rsidR="00D67EB8" w:rsidRPr="009118AB">
        <w:t> - </w:t>
      </w:r>
      <w:r w:rsidRPr="009118AB">
        <w:t>Die Steuergutschrift für Forschung und Entwicklung wird bei der Bestimmung der späteren Mehr- oder Minderwerte auf Anlagen, aufgrund deren sie gewährt wurde, nicht berücksichtigt.]</w:t>
      </w:r>
    </w:p>
    <w:p w14:paraId="35B663B7" w14:textId="77777777" w:rsidR="00477B8F" w:rsidRPr="009118AB" w:rsidRDefault="00477B8F" w:rsidP="00477B8F">
      <w:pPr>
        <w:autoSpaceDE w:val="0"/>
        <w:autoSpaceDN w:val="0"/>
        <w:adjustRightInd w:val="0"/>
        <w:jc w:val="both"/>
      </w:pPr>
    </w:p>
    <w:p w14:paraId="311C44D0" w14:textId="1059C253" w:rsidR="00477B8F" w:rsidRPr="009118AB" w:rsidRDefault="001E1ED5" w:rsidP="00477B8F">
      <w:pPr>
        <w:autoSpaceDE w:val="0"/>
        <w:autoSpaceDN w:val="0"/>
        <w:adjustRightInd w:val="0"/>
        <w:jc w:val="both"/>
        <w:rPr>
          <w:i/>
          <w:iCs/>
        </w:rPr>
      </w:pPr>
      <w:r w:rsidRPr="009118AB">
        <w:rPr>
          <w:i/>
          <w:iCs/>
        </w:rPr>
        <w:t>[</w:t>
      </w:r>
      <w:r w:rsidR="00D67EB8" w:rsidRPr="009118AB">
        <w:rPr>
          <w:i/>
          <w:iCs/>
        </w:rPr>
        <w:t>Art. </w:t>
      </w:r>
      <w:r w:rsidR="00477B8F" w:rsidRPr="009118AB">
        <w:rPr>
          <w:i/>
          <w:iCs/>
        </w:rPr>
        <w:t xml:space="preserve">289septies eingefügt durch </w:t>
      </w:r>
      <w:r w:rsidR="00D67EB8" w:rsidRPr="009118AB">
        <w:rPr>
          <w:i/>
          <w:iCs/>
        </w:rPr>
        <w:t>Art. </w:t>
      </w:r>
      <w:r w:rsidR="00477B8F" w:rsidRPr="009118AB">
        <w:rPr>
          <w:i/>
          <w:iCs/>
        </w:rPr>
        <w:t>127 des G. vom 23. Dezember 2005 (B.S. vom 30. Dezember 2005)</w:t>
      </w:r>
      <w:r w:rsidR="00D67EB8" w:rsidRPr="009118AB">
        <w:rPr>
          <w:i/>
          <w:iCs/>
        </w:rPr>
        <w:t> - </w:t>
      </w:r>
      <w:r w:rsidR="00477B8F" w:rsidRPr="009118AB">
        <w:rPr>
          <w:i/>
          <w:iCs/>
        </w:rPr>
        <w:t>in Kraft ab dem Steuerjahr 2007</w:t>
      </w:r>
      <w:r w:rsidR="00FD68E8" w:rsidRPr="009118AB">
        <w:rPr>
          <w:i/>
          <w:iCs/>
        </w:rPr>
        <w:t> -]</w:t>
      </w:r>
    </w:p>
    <w:p w14:paraId="2488B788" w14:textId="77777777" w:rsidR="00477B8F" w:rsidRPr="009118AB" w:rsidRDefault="00477B8F" w:rsidP="00477B8F">
      <w:pPr>
        <w:autoSpaceDE w:val="0"/>
        <w:autoSpaceDN w:val="0"/>
        <w:adjustRightInd w:val="0"/>
        <w:jc w:val="both"/>
        <w:rPr>
          <w:i/>
          <w:iCs/>
        </w:rPr>
      </w:pPr>
    </w:p>
    <w:p w14:paraId="2BF59953" w14:textId="77777777" w:rsidR="00477B8F" w:rsidRPr="009118AB" w:rsidRDefault="00477B8F" w:rsidP="00477B8F">
      <w:pPr>
        <w:autoSpaceDE w:val="0"/>
        <w:autoSpaceDN w:val="0"/>
        <w:adjustRightInd w:val="0"/>
        <w:jc w:val="both"/>
        <w:rPr>
          <w:i/>
          <w:iCs/>
        </w:rPr>
      </w:pPr>
    </w:p>
    <w:p w14:paraId="0807D27B" w14:textId="0B8E2F4F" w:rsidR="00477B8F" w:rsidRPr="009118AB" w:rsidRDefault="00477B8F" w:rsidP="00477B8F">
      <w:pPr>
        <w:autoSpaceDE w:val="0"/>
        <w:autoSpaceDN w:val="0"/>
        <w:adjustRightInd w:val="0"/>
        <w:jc w:val="both"/>
      </w:pPr>
      <w:r w:rsidRPr="009118AB">
        <w:rPr>
          <w:i/>
          <w:iCs/>
        </w:rPr>
        <w:tab/>
      </w:r>
      <w:r w:rsidRPr="009118AB">
        <w:t>[</w:t>
      </w:r>
      <w:r w:rsidR="00D67EB8" w:rsidRPr="009118AB">
        <w:rPr>
          <w:b/>
          <w:bCs/>
        </w:rPr>
        <w:t>Art. </w:t>
      </w:r>
      <w:r w:rsidRPr="009118AB">
        <w:rPr>
          <w:b/>
          <w:bCs/>
        </w:rPr>
        <w:t>289</w:t>
      </w:r>
      <w:r w:rsidRPr="009118AB">
        <w:rPr>
          <w:b/>
          <w:bCs/>
          <w:i/>
          <w:iCs/>
        </w:rPr>
        <w:t>octies</w:t>
      </w:r>
      <w:r w:rsidR="00D67EB8" w:rsidRPr="009118AB">
        <w:t> - </w:t>
      </w:r>
      <w:r w:rsidRPr="009118AB">
        <w:t>Die in den Artikeln 75 und 76 erwähnten Bestimmungen zur Ausschließung von Anlagen für den Investitionsabzug sind ebenfalls auf die Steuergutschrift für Forschung und Entwicklung anwendbar.]</w:t>
      </w:r>
    </w:p>
    <w:p w14:paraId="2F227D8B" w14:textId="77777777" w:rsidR="00477B8F" w:rsidRPr="009118AB" w:rsidRDefault="00477B8F" w:rsidP="00477B8F">
      <w:pPr>
        <w:autoSpaceDE w:val="0"/>
        <w:autoSpaceDN w:val="0"/>
        <w:adjustRightInd w:val="0"/>
        <w:jc w:val="both"/>
      </w:pPr>
    </w:p>
    <w:p w14:paraId="59371490" w14:textId="0662C437" w:rsidR="00477B8F" w:rsidRPr="009118AB" w:rsidRDefault="001E1ED5"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289octies eingefügt durch </w:t>
      </w:r>
      <w:r w:rsidR="00D67EB8" w:rsidRPr="009118AB">
        <w:rPr>
          <w:i/>
          <w:iCs/>
        </w:rPr>
        <w:t>Art. </w:t>
      </w:r>
      <w:r w:rsidR="00477B8F" w:rsidRPr="009118AB">
        <w:rPr>
          <w:i/>
          <w:iCs/>
        </w:rPr>
        <w:t>128 des G. vom 23. Dezember 2005 (B.S. vom 30. Dezember 2005)</w:t>
      </w:r>
      <w:r w:rsidR="00D67EB8" w:rsidRPr="009118AB">
        <w:rPr>
          <w:i/>
          <w:iCs/>
        </w:rPr>
        <w:t> - </w:t>
      </w:r>
      <w:r w:rsidR="00477B8F" w:rsidRPr="009118AB">
        <w:rPr>
          <w:i/>
          <w:iCs/>
        </w:rPr>
        <w:t>in Kraft ab dem Steuerjahr 2007</w:t>
      </w:r>
      <w:r w:rsidR="00FD68E8" w:rsidRPr="009118AB">
        <w:rPr>
          <w:i/>
          <w:iCs/>
        </w:rPr>
        <w:t> -]</w:t>
      </w:r>
    </w:p>
    <w:p w14:paraId="311CB4B3" w14:textId="77777777" w:rsidR="00477B8F" w:rsidRPr="009118AB" w:rsidRDefault="00477B8F" w:rsidP="00477B8F">
      <w:pPr>
        <w:autoSpaceDE w:val="0"/>
        <w:autoSpaceDN w:val="0"/>
        <w:adjustRightInd w:val="0"/>
        <w:jc w:val="both"/>
        <w:rPr>
          <w:i/>
          <w:iCs/>
        </w:rPr>
      </w:pPr>
    </w:p>
    <w:p w14:paraId="354D0F72" w14:textId="77777777" w:rsidR="00477B8F" w:rsidRPr="009118AB" w:rsidRDefault="00477B8F" w:rsidP="00477B8F">
      <w:pPr>
        <w:autoSpaceDE w:val="0"/>
        <w:autoSpaceDN w:val="0"/>
        <w:adjustRightInd w:val="0"/>
        <w:jc w:val="both"/>
      </w:pPr>
    </w:p>
    <w:p w14:paraId="685648C6" w14:textId="4B596955" w:rsidR="00477B8F" w:rsidRPr="009118AB" w:rsidRDefault="00477B8F" w:rsidP="00477B8F">
      <w:pPr>
        <w:autoSpaceDE w:val="0"/>
        <w:autoSpaceDN w:val="0"/>
        <w:adjustRightInd w:val="0"/>
        <w:jc w:val="both"/>
      </w:pPr>
      <w:bookmarkStart w:id="25" w:name="_Hlk202163826"/>
      <w:r w:rsidRPr="009118AB">
        <w:tab/>
        <w:t>[</w:t>
      </w:r>
      <w:r w:rsidR="00D67EB8" w:rsidRPr="009118AB">
        <w:rPr>
          <w:b/>
          <w:bCs/>
        </w:rPr>
        <w:t>Art. </w:t>
      </w:r>
      <w:r w:rsidRPr="009118AB">
        <w:rPr>
          <w:b/>
          <w:bCs/>
        </w:rPr>
        <w:t>289</w:t>
      </w:r>
      <w:r w:rsidRPr="009118AB">
        <w:rPr>
          <w:b/>
          <w:bCs/>
          <w:i/>
          <w:iCs/>
        </w:rPr>
        <w:t>novies</w:t>
      </w:r>
      <w:r w:rsidR="00D67EB8" w:rsidRPr="009118AB">
        <w:t> - </w:t>
      </w:r>
      <w:r w:rsidRPr="009118AB">
        <w:t>Der König bestimmt die Weise, wie die Steuergutschrift für Forschung und Entwicklung angewandt wird, welche Verpflichtungen Steuerpflichtige erfüllen müssen, um zu dieser Gutschrift berechtigt zu sein, und welche Kriterien die Patente und Anlagen erfüllen müssen, um zur Steuergutschrift zu berechtigen.]</w:t>
      </w:r>
    </w:p>
    <w:p w14:paraId="5132D541" w14:textId="77777777" w:rsidR="00477B8F" w:rsidRPr="009118AB" w:rsidRDefault="00477B8F" w:rsidP="00477B8F">
      <w:pPr>
        <w:autoSpaceDE w:val="0"/>
        <w:autoSpaceDN w:val="0"/>
        <w:adjustRightInd w:val="0"/>
        <w:jc w:val="both"/>
      </w:pPr>
    </w:p>
    <w:p w14:paraId="262C0C16" w14:textId="3AAB298D" w:rsidR="00477B8F"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289novies eingefügt durch </w:t>
      </w:r>
      <w:r w:rsidR="00D67EB8" w:rsidRPr="009118AB">
        <w:rPr>
          <w:i/>
          <w:iCs/>
        </w:rPr>
        <w:t>Art. </w:t>
      </w:r>
      <w:r w:rsidRPr="009118AB">
        <w:rPr>
          <w:i/>
          <w:iCs/>
        </w:rPr>
        <w:t>129 des G. vom 23. Dezember 2005 (B.S. vom 30. Dezember 2005)</w:t>
      </w:r>
      <w:r w:rsidR="00D67EB8" w:rsidRPr="009118AB">
        <w:rPr>
          <w:i/>
          <w:iCs/>
        </w:rPr>
        <w:t> - </w:t>
      </w:r>
      <w:r w:rsidRPr="009118AB">
        <w:rPr>
          <w:i/>
          <w:iCs/>
        </w:rPr>
        <w:t>in Kraft ab dem Steuerjahr 2007</w:t>
      </w:r>
      <w:r w:rsidR="00FD68E8" w:rsidRPr="009118AB">
        <w:rPr>
          <w:i/>
          <w:iCs/>
        </w:rPr>
        <w:t> -]</w:t>
      </w:r>
    </w:p>
    <w:bookmarkEnd w:id="25"/>
    <w:p w14:paraId="589EF42F" w14:textId="77777777" w:rsidR="003430E0" w:rsidRDefault="003430E0" w:rsidP="00477B8F">
      <w:pPr>
        <w:autoSpaceDE w:val="0"/>
        <w:autoSpaceDN w:val="0"/>
        <w:adjustRightInd w:val="0"/>
        <w:jc w:val="both"/>
      </w:pPr>
    </w:p>
    <w:p w14:paraId="63E22042" w14:textId="77777777" w:rsidR="003430E0" w:rsidRDefault="003430E0" w:rsidP="00477B8F">
      <w:pPr>
        <w:autoSpaceDE w:val="0"/>
        <w:autoSpaceDN w:val="0"/>
        <w:adjustRightInd w:val="0"/>
        <w:jc w:val="both"/>
      </w:pPr>
    </w:p>
    <w:p w14:paraId="7AA819BD" w14:textId="7067D92A" w:rsidR="003430E0" w:rsidRDefault="003430E0" w:rsidP="003430E0">
      <w:pPr>
        <w:autoSpaceDE w:val="0"/>
        <w:autoSpaceDN w:val="0"/>
        <w:adjustRightInd w:val="0"/>
        <w:jc w:val="both"/>
        <w:rPr>
          <w:sz w:val="20"/>
          <w:szCs w:val="20"/>
        </w:rPr>
      </w:pPr>
      <w:r>
        <w:rPr>
          <w:sz w:val="20"/>
          <w:szCs w:val="20"/>
        </w:rPr>
        <w:t>Ab dem Steuerjahr 2026 (gemäß Art. 21 Abs. 2 des G. vom 12. Mai 2024 (B.S. vom 29. Mai 2024)) lautet Art. </w:t>
      </w:r>
      <w:r w:rsidR="00344F73">
        <w:rPr>
          <w:sz w:val="20"/>
          <w:szCs w:val="20"/>
        </w:rPr>
        <w:t>298</w:t>
      </w:r>
      <w:r w:rsidR="00344F73" w:rsidRPr="00344F73">
        <w:rPr>
          <w:i/>
          <w:iCs/>
          <w:sz w:val="20"/>
          <w:szCs w:val="20"/>
        </w:rPr>
        <w:t>novies</w:t>
      </w:r>
      <w:r>
        <w:rPr>
          <w:sz w:val="20"/>
          <w:szCs w:val="20"/>
        </w:rPr>
        <w:t xml:space="preserve"> wie folgt:</w:t>
      </w:r>
    </w:p>
    <w:p w14:paraId="1DF06BD6" w14:textId="77777777" w:rsidR="003430E0" w:rsidRDefault="003430E0" w:rsidP="003430E0">
      <w:pPr>
        <w:autoSpaceDE w:val="0"/>
        <w:autoSpaceDN w:val="0"/>
        <w:adjustRightInd w:val="0"/>
        <w:jc w:val="both"/>
        <w:rPr>
          <w:sz w:val="20"/>
          <w:szCs w:val="20"/>
        </w:rPr>
      </w:pPr>
    </w:p>
    <w:p w14:paraId="3018E6A6" w14:textId="05C1BF79" w:rsidR="003430E0" w:rsidRPr="003430E0" w:rsidRDefault="003430E0" w:rsidP="003430E0">
      <w:pPr>
        <w:autoSpaceDE w:val="0"/>
        <w:autoSpaceDN w:val="0"/>
        <w:adjustRightInd w:val="0"/>
        <w:jc w:val="both"/>
        <w:rPr>
          <w:sz w:val="20"/>
          <w:szCs w:val="20"/>
        </w:rPr>
      </w:pPr>
      <w:r>
        <w:rPr>
          <w:sz w:val="20"/>
          <w:szCs w:val="20"/>
        </w:rPr>
        <w:t>"</w:t>
      </w:r>
      <w:r w:rsidRPr="003430E0">
        <w:rPr>
          <w:sz w:val="20"/>
          <w:szCs w:val="20"/>
        </w:rPr>
        <w:t>[Art. 289</w:t>
      </w:r>
      <w:r w:rsidRPr="003430E0">
        <w:rPr>
          <w:i/>
          <w:iCs/>
          <w:sz w:val="20"/>
          <w:szCs w:val="20"/>
        </w:rPr>
        <w:t>novies</w:t>
      </w:r>
      <w:r w:rsidRPr="003430E0">
        <w:rPr>
          <w:sz w:val="20"/>
          <w:szCs w:val="20"/>
        </w:rPr>
        <w:t xml:space="preserve"> - Der König bestimmt die Weise, wie die Steuergutschrift für Forschung und Entwicklung angewandt wird, welche Verpflichtungen Steuerpflichtige erfüllen müssen, um zu dieser Gutschrift berechtigt zu sein, und welche Kriterien </w:t>
      </w:r>
      <w:r>
        <w:rPr>
          <w:sz w:val="20"/>
          <w:szCs w:val="20"/>
        </w:rPr>
        <w:t>[</w:t>
      </w:r>
      <w:r w:rsidRPr="003430E0">
        <w:rPr>
          <w:sz w:val="20"/>
          <w:szCs w:val="20"/>
        </w:rPr>
        <w:t xml:space="preserve">die </w:t>
      </w:r>
      <w:r>
        <w:rPr>
          <w:sz w:val="20"/>
          <w:szCs w:val="20"/>
        </w:rPr>
        <w:t>in Artikel 69/2 erwähnten</w:t>
      </w:r>
      <w:r w:rsidRPr="003430E0">
        <w:rPr>
          <w:sz w:val="20"/>
          <w:szCs w:val="20"/>
        </w:rPr>
        <w:t xml:space="preserve"> Anlagen</w:t>
      </w:r>
      <w:r>
        <w:rPr>
          <w:sz w:val="20"/>
          <w:szCs w:val="20"/>
        </w:rPr>
        <w:t>]</w:t>
      </w:r>
      <w:r w:rsidRPr="003430E0">
        <w:rPr>
          <w:sz w:val="20"/>
          <w:szCs w:val="20"/>
        </w:rPr>
        <w:t xml:space="preserve"> erfüllen müssen, um zur Steuergutschrift zu berechtigen.]</w:t>
      </w:r>
    </w:p>
    <w:p w14:paraId="4655303E" w14:textId="77777777" w:rsidR="003430E0" w:rsidRPr="003430E0" w:rsidRDefault="003430E0" w:rsidP="003430E0">
      <w:pPr>
        <w:autoSpaceDE w:val="0"/>
        <w:autoSpaceDN w:val="0"/>
        <w:adjustRightInd w:val="0"/>
        <w:jc w:val="both"/>
        <w:rPr>
          <w:sz w:val="20"/>
          <w:szCs w:val="20"/>
        </w:rPr>
      </w:pPr>
    </w:p>
    <w:p w14:paraId="4D288E5E" w14:textId="163E7443" w:rsidR="003430E0" w:rsidRDefault="003430E0" w:rsidP="003430E0">
      <w:pPr>
        <w:autoSpaceDE w:val="0"/>
        <w:autoSpaceDN w:val="0"/>
        <w:adjustRightInd w:val="0"/>
        <w:jc w:val="both"/>
        <w:rPr>
          <w:sz w:val="20"/>
          <w:szCs w:val="20"/>
        </w:rPr>
      </w:pPr>
      <w:r w:rsidRPr="003430E0">
        <w:rPr>
          <w:i/>
          <w:iCs/>
          <w:sz w:val="20"/>
          <w:szCs w:val="20"/>
        </w:rPr>
        <w:t>[Art. 289novies eingefügt durch Art. 129 des G. vom 23. Dezember 2005 (B.S. vom 30. Dezember 2005) - in Kraft ab dem Steuerjahr 2007 -</w:t>
      </w:r>
      <w:r>
        <w:rPr>
          <w:i/>
          <w:iCs/>
          <w:sz w:val="20"/>
          <w:szCs w:val="20"/>
        </w:rPr>
        <w:t xml:space="preserve"> und abgeändert durch Art. 17</w:t>
      </w:r>
      <w:r w:rsidRPr="003430E0">
        <w:rPr>
          <w:i/>
          <w:iCs/>
          <w:sz w:val="20"/>
          <w:szCs w:val="20"/>
        </w:rPr>
        <w:t xml:space="preserve"> des G. vom 12. Mai 2024 (B.S. vom 29. Mai 2024) - anwendbar auf die ab dem 1. Januar 2025 erworbenen oder gebildeten Anlagen -]</w:t>
      </w:r>
      <w:r>
        <w:rPr>
          <w:sz w:val="20"/>
          <w:szCs w:val="20"/>
        </w:rPr>
        <w:t>"</w:t>
      </w:r>
    </w:p>
    <w:p w14:paraId="19F24F60" w14:textId="77777777" w:rsidR="00575008" w:rsidRDefault="00575008" w:rsidP="003430E0">
      <w:pPr>
        <w:autoSpaceDE w:val="0"/>
        <w:autoSpaceDN w:val="0"/>
        <w:adjustRightInd w:val="0"/>
        <w:jc w:val="both"/>
      </w:pPr>
    </w:p>
    <w:p w14:paraId="4E7909A4" w14:textId="77777777" w:rsidR="00575008" w:rsidRDefault="00575008" w:rsidP="003430E0">
      <w:pPr>
        <w:autoSpaceDE w:val="0"/>
        <w:autoSpaceDN w:val="0"/>
        <w:adjustRightInd w:val="0"/>
        <w:jc w:val="both"/>
      </w:pPr>
    </w:p>
    <w:p w14:paraId="36EF34C4" w14:textId="794696F6" w:rsidR="00575008" w:rsidRDefault="00575008" w:rsidP="003430E0">
      <w:pPr>
        <w:autoSpaceDE w:val="0"/>
        <w:autoSpaceDN w:val="0"/>
        <w:adjustRightInd w:val="0"/>
        <w:jc w:val="both"/>
      </w:pPr>
      <w:r>
        <w:lastRenderedPageBreak/>
        <w:tab/>
        <w:t>[</w:t>
      </w:r>
      <w:r w:rsidRPr="00575008">
        <w:rPr>
          <w:b/>
          <w:bCs/>
        </w:rPr>
        <w:t>Art. 289</w:t>
      </w:r>
      <w:r w:rsidRPr="00575008">
        <w:rPr>
          <w:b/>
          <w:bCs/>
          <w:i/>
          <w:iCs/>
        </w:rPr>
        <w:t>decies</w:t>
      </w:r>
      <w:r w:rsidRPr="00700308">
        <w:t> - In Bezug auf den in Artikel 205/1 § 1 Absatz 3 erwähnten Abzug für Einkünfte aus Innovationen, der im vorhergehenden Besteuerungszeitraum nicht oder nicht vollständig von den Gewinnen abgezogen worden ist, kann auf die Gesellschaftssteuer oder für die in Artikel 227 Nr. 2 erwähnten Steuerpflichtigen auf die Steuer der Gebietsfremden eine Steuergutschrift angerechnet werden, die dem Betrag des Abzugs für Einkünfte aus Innovationen entspricht, der nicht abgezogen worden ist, multipliziert mit dem in Artikel 215 Absatz 1 vorgesehenen Satz. Diese Steuergutschrift wird "Steuergutschrift für Einkünfte aus Innovationen" genannt.</w:t>
      </w:r>
      <w:r>
        <w:t>]</w:t>
      </w:r>
    </w:p>
    <w:p w14:paraId="207FF5A6" w14:textId="77777777" w:rsidR="00575008" w:rsidRDefault="00575008" w:rsidP="003430E0">
      <w:pPr>
        <w:autoSpaceDE w:val="0"/>
        <w:autoSpaceDN w:val="0"/>
        <w:adjustRightInd w:val="0"/>
        <w:jc w:val="both"/>
      </w:pPr>
    </w:p>
    <w:p w14:paraId="5781FA35" w14:textId="61A7DDED" w:rsidR="00575008" w:rsidRPr="003430E0" w:rsidRDefault="00575008" w:rsidP="003430E0">
      <w:pPr>
        <w:autoSpaceDE w:val="0"/>
        <w:autoSpaceDN w:val="0"/>
        <w:adjustRightInd w:val="0"/>
        <w:jc w:val="both"/>
        <w:rPr>
          <w:i/>
          <w:iCs/>
        </w:rPr>
      </w:pPr>
      <w:r>
        <w:rPr>
          <w:i/>
          <w:iCs/>
        </w:rPr>
        <w:t>[Art. 289decies eingefügt durch Art. 25</w:t>
      </w:r>
      <w:r w:rsidRPr="00575008">
        <w:rPr>
          <w:i/>
          <w:iCs/>
        </w:rPr>
        <w:t xml:space="preserve"> des G. vom 12. Mai 2024 (B.S. vom 29. Mai 2024) - anwendbar ab dem Steuerjahr 2025 -</w:t>
      </w:r>
      <w:r>
        <w:rPr>
          <w:i/>
          <w:iCs/>
        </w:rPr>
        <w:t>]</w:t>
      </w:r>
    </w:p>
    <w:p w14:paraId="14FD7AAE" w14:textId="27EA8FCE" w:rsidR="003430E0" w:rsidRPr="003430E0" w:rsidRDefault="003430E0" w:rsidP="003430E0">
      <w:pPr>
        <w:autoSpaceDE w:val="0"/>
        <w:autoSpaceDN w:val="0"/>
        <w:adjustRightInd w:val="0"/>
        <w:jc w:val="both"/>
      </w:pPr>
    </w:p>
    <w:p w14:paraId="02D869EF" w14:textId="07CB1074" w:rsidR="00477B8F" w:rsidRPr="009118AB" w:rsidRDefault="00477B8F" w:rsidP="00577668">
      <w:pPr>
        <w:autoSpaceDE w:val="0"/>
        <w:autoSpaceDN w:val="0"/>
        <w:adjustRightInd w:val="0"/>
        <w:jc w:val="both"/>
      </w:pPr>
      <w:r w:rsidRPr="009118AB">
        <w:br w:type="page"/>
      </w:r>
      <w:r w:rsidRPr="009118AB">
        <w:rPr>
          <w:i/>
          <w:iCs/>
        </w:rPr>
        <w:lastRenderedPageBreak/>
        <w:t>Abschnitt </w:t>
      </w:r>
      <w:r w:rsidR="00D74862" w:rsidRPr="009118AB">
        <w:rPr>
          <w:i/>
          <w:iCs/>
        </w:rPr>
        <w:t>5</w:t>
      </w:r>
      <w:r w:rsidR="00D67EB8" w:rsidRPr="009118AB">
        <w:t> - </w:t>
      </w:r>
      <w:r w:rsidR="00577668">
        <w:t>[</w:t>
      </w:r>
      <w:r w:rsidR="00577668" w:rsidRPr="00FF1F87">
        <w:t>Grenzen der Anrechnung des Mobiliensteuervorabzugs, des Pauschalanteils ausländischer Steuer, der ausländischen Steuer auf die in Artikel 185/2 erwähnten Gewinne und der Steuergutschriften</w:t>
      </w:r>
      <w:r w:rsidRPr="009118AB">
        <w:t>]</w:t>
      </w:r>
    </w:p>
    <w:p w14:paraId="4364A34E" w14:textId="77777777" w:rsidR="00477B8F" w:rsidRPr="009118AB" w:rsidRDefault="00477B8F" w:rsidP="00477B8F">
      <w:pPr>
        <w:autoSpaceDE w:val="0"/>
        <w:autoSpaceDN w:val="0"/>
        <w:adjustRightInd w:val="0"/>
        <w:jc w:val="center"/>
      </w:pPr>
    </w:p>
    <w:p w14:paraId="06D9CAFF" w14:textId="0647E861" w:rsidR="00477B8F" w:rsidRPr="009118AB" w:rsidRDefault="00477B8F" w:rsidP="00477B8F">
      <w:pPr>
        <w:autoSpaceDE w:val="0"/>
        <w:autoSpaceDN w:val="0"/>
        <w:adjustRightInd w:val="0"/>
        <w:jc w:val="both"/>
      </w:pPr>
      <w:r w:rsidRPr="009118AB">
        <w:rPr>
          <w:i/>
          <w:iCs/>
        </w:rPr>
        <w:t>[Überschrift von Abschnitt </w:t>
      </w:r>
      <w:r w:rsidR="00D74862" w:rsidRPr="009118AB">
        <w:rPr>
          <w:i/>
          <w:iCs/>
        </w:rPr>
        <w:t>5</w:t>
      </w:r>
      <w:r w:rsidRPr="009118AB">
        <w:rPr>
          <w:i/>
          <w:iCs/>
        </w:rPr>
        <w:t xml:space="preserve"> ersetzt durch </w:t>
      </w:r>
      <w:r w:rsidR="00D67EB8" w:rsidRPr="009118AB">
        <w:rPr>
          <w:i/>
          <w:iCs/>
        </w:rPr>
        <w:t>Art. </w:t>
      </w:r>
      <w:r w:rsidR="00577668">
        <w:rPr>
          <w:i/>
          <w:iCs/>
        </w:rPr>
        <w:t>29</w:t>
      </w:r>
      <w:r w:rsidR="00577668" w:rsidRPr="00577668">
        <w:rPr>
          <w:i/>
          <w:iCs/>
        </w:rPr>
        <w:t xml:space="preserve"> des G. vom 22. Dezember 2023 (II) (B.S. vom 29. Dezember 2023) - anwendbar ab dem Steuerjahr 2024 -</w:t>
      </w:r>
      <w:r w:rsidR="00FD68E8" w:rsidRPr="009118AB">
        <w:rPr>
          <w:i/>
          <w:iCs/>
        </w:rPr>
        <w:t>]</w:t>
      </w:r>
    </w:p>
    <w:p w14:paraId="6C4D5314" w14:textId="77777777" w:rsidR="00477B8F" w:rsidRPr="009118AB" w:rsidRDefault="00477B8F" w:rsidP="00477B8F">
      <w:pPr>
        <w:autoSpaceDE w:val="0"/>
        <w:autoSpaceDN w:val="0"/>
        <w:adjustRightInd w:val="0"/>
        <w:jc w:val="both"/>
      </w:pPr>
    </w:p>
    <w:p w14:paraId="6D791A2D" w14:textId="77777777" w:rsidR="00477B8F" w:rsidRPr="009118AB" w:rsidRDefault="00477B8F" w:rsidP="00477B8F">
      <w:pPr>
        <w:autoSpaceDE w:val="0"/>
        <w:autoSpaceDN w:val="0"/>
        <w:adjustRightInd w:val="0"/>
        <w:jc w:val="both"/>
      </w:pPr>
    </w:p>
    <w:p w14:paraId="59EE308C" w14:textId="35F187CF" w:rsidR="00914759" w:rsidRPr="009118AB" w:rsidRDefault="00477B8F" w:rsidP="00914759">
      <w:pPr>
        <w:jc w:val="both"/>
      </w:pPr>
      <w:r w:rsidRPr="009118AB">
        <w:tab/>
      </w:r>
      <w:r w:rsidR="00D67EB8" w:rsidRPr="009118AB">
        <w:rPr>
          <w:b/>
          <w:bCs/>
        </w:rPr>
        <w:t>Art. </w:t>
      </w:r>
      <w:r w:rsidRPr="009118AB">
        <w:rPr>
          <w:b/>
          <w:bCs/>
        </w:rPr>
        <w:t>290</w:t>
      </w:r>
      <w:r w:rsidR="00D67EB8" w:rsidRPr="009118AB">
        <w:t> - </w:t>
      </w:r>
      <w:r w:rsidRPr="009118AB">
        <w:t>[</w:t>
      </w:r>
      <w:r w:rsidR="00914759" w:rsidRPr="009118AB">
        <w:t>Für Einwohner des Königreichs:</w:t>
      </w:r>
    </w:p>
    <w:p w14:paraId="21C962F9" w14:textId="77777777" w:rsidR="00914759" w:rsidRPr="009118AB" w:rsidRDefault="00914759" w:rsidP="00914759">
      <w:pPr>
        <w:jc w:val="both"/>
      </w:pPr>
    </w:p>
    <w:p w14:paraId="45E6A474" w14:textId="77777777" w:rsidR="00914759" w:rsidRPr="009118AB" w:rsidRDefault="00914759" w:rsidP="00914759">
      <w:pPr>
        <w:jc w:val="both"/>
      </w:pPr>
      <w:r w:rsidRPr="009118AB">
        <w:tab/>
        <w:t>1. ist der Pauschalanteil ausländischer Steuer in dem in Artikel 285 erwähnten Fall nur auf die Steuer anrechenbar in dem Maße, wie er den Anteil der Staatssteuer in Bezug auf Berufseinkünfte nicht übersteigt,</w:t>
      </w:r>
    </w:p>
    <w:p w14:paraId="3C3FC03F" w14:textId="77777777" w:rsidR="00914759" w:rsidRPr="009118AB" w:rsidRDefault="00914759" w:rsidP="00914759">
      <w:pPr>
        <w:jc w:val="both"/>
      </w:pPr>
    </w:p>
    <w:p w14:paraId="74BEFD03" w14:textId="47340EC1" w:rsidR="00914759" w:rsidRPr="009118AB" w:rsidRDefault="00914759" w:rsidP="00914759">
      <w:pPr>
        <w:jc w:val="both"/>
      </w:pPr>
      <w:r w:rsidRPr="009118AB">
        <w:tab/>
        <w:t>2. werden die in den Artikeln 289</w:t>
      </w:r>
      <w:r w:rsidRPr="009118AB">
        <w:rPr>
          <w:i/>
        </w:rPr>
        <w:t>bis</w:t>
      </w:r>
      <w:r w:rsidRPr="009118AB">
        <w:t xml:space="preserve"> </w:t>
      </w:r>
      <w:r w:rsidR="00D67EB8" w:rsidRPr="009118AB">
        <w:t>§ </w:t>
      </w:r>
      <w:r w:rsidRPr="009118AB">
        <w:t>1, 289</w:t>
      </w:r>
      <w:r w:rsidRPr="009118AB">
        <w:rPr>
          <w:i/>
        </w:rPr>
        <w:t>ter</w:t>
      </w:r>
      <w:r w:rsidRPr="009118AB">
        <w:t xml:space="preserve"> und 289</w:t>
      </w:r>
      <w:r w:rsidRPr="009118AB">
        <w:rPr>
          <w:i/>
        </w:rPr>
        <w:t>ter</w:t>
      </w:r>
      <w:r w:rsidRPr="009118AB">
        <w:t>/1 erwähnten Steuergutschriften vollständig auf die Steuer angerechnet.</w:t>
      </w:r>
    </w:p>
    <w:p w14:paraId="5DFD4AE8" w14:textId="77777777" w:rsidR="00914759" w:rsidRPr="009118AB" w:rsidRDefault="00914759" w:rsidP="00914759">
      <w:pPr>
        <w:jc w:val="both"/>
      </w:pPr>
    </w:p>
    <w:p w14:paraId="592F98FF" w14:textId="17823C79" w:rsidR="00477B8F" w:rsidRPr="009118AB" w:rsidRDefault="00914759" w:rsidP="00914759">
      <w:pPr>
        <w:autoSpaceDE w:val="0"/>
        <w:autoSpaceDN w:val="0"/>
        <w:adjustRightInd w:val="0"/>
        <w:jc w:val="both"/>
      </w:pPr>
      <w:r w:rsidRPr="009118AB">
        <w:tab/>
        <w:t>Für die Anwendung von Absatz 1 gilt als Steuer die Gesamtsteuer, erhöht um die in den Artikeln </w:t>
      </w:r>
      <w:r w:rsidR="0052245F" w:rsidRPr="009118AB">
        <w:t xml:space="preserve">[25/1, 27/1,] </w:t>
      </w:r>
      <w:r w:rsidR="00C030D3" w:rsidRPr="009118AB">
        <w:t>[</w:t>
      </w:r>
      <w:r w:rsidR="00B90C34" w:rsidRPr="009118AB">
        <w:t>...</w:t>
      </w:r>
      <w:r w:rsidR="00C030D3" w:rsidRPr="009118AB">
        <w:t xml:space="preserve">] </w:t>
      </w:r>
      <w:r w:rsidR="00AF2838" w:rsidRPr="009118AB">
        <w:t>[145</w:t>
      </w:r>
      <w:r w:rsidR="00AF2838" w:rsidRPr="009118AB">
        <w:rPr>
          <w:vertAlign w:val="superscript"/>
        </w:rPr>
        <w:t>7</w:t>
      </w:r>
      <w:r w:rsidR="00AF2838" w:rsidRPr="009118AB">
        <w:t xml:space="preserve"> </w:t>
      </w:r>
      <w:r w:rsidR="00D67EB8" w:rsidRPr="009118AB">
        <w:t>§ </w:t>
      </w:r>
      <w:r w:rsidR="00AF2838" w:rsidRPr="009118AB">
        <w:t>2, 145</w:t>
      </w:r>
      <w:r w:rsidR="00AF2838" w:rsidRPr="009118AB">
        <w:rPr>
          <w:vertAlign w:val="superscript"/>
        </w:rPr>
        <w:t>26</w:t>
      </w:r>
      <w:r w:rsidR="00AF2838" w:rsidRPr="009118AB">
        <w:t xml:space="preserve"> </w:t>
      </w:r>
      <w:r w:rsidR="00D67EB8" w:rsidRPr="009118AB">
        <w:t>§ </w:t>
      </w:r>
      <w:r w:rsidR="00AF2838" w:rsidRPr="009118AB">
        <w:t>5]</w:t>
      </w:r>
      <w:r w:rsidRPr="009118AB">
        <w:t>,</w:t>
      </w:r>
      <w:r w:rsidR="00E76F0E" w:rsidRPr="009118AB">
        <w:t xml:space="preserve"> [</w:t>
      </w:r>
      <w:r w:rsidR="00E76F0E" w:rsidRPr="009118AB">
        <w:rPr>
          <w:rFonts w:eastAsia="Calibri"/>
        </w:rPr>
        <w:t>145</w:t>
      </w:r>
      <w:r w:rsidR="00E76F0E" w:rsidRPr="009118AB">
        <w:rPr>
          <w:rFonts w:eastAsia="Calibri"/>
          <w:vertAlign w:val="superscript"/>
        </w:rPr>
        <w:t>27</w:t>
      </w:r>
      <w:r w:rsidR="00E76F0E" w:rsidRPr="009118AB">
        <w:rPr>
          <w:rFonts w:eastAsia="Calibri"/>
        </w:rPr>
        <w:t xml:space="preserve"> </w:t>
      </w:r>
      <w:r w:rsidR="00D67EB8" w:rsidRPr="009118AB">
        <w:rPr>
          <w:rFonts w:eastAsia="Calibri"/>
        </w:rPr>
        <w:t>§ </w:t>
      </w:r>
      <w:r w:rsidR="00E76F0E" w:rsidRPr="009118AB">
        <w:rPr>
          <w:rFonts w:eastAsia="Calibri"/>
        </w:rPr>
        <w:t>4,</w:t>
      </w:r>
      <w:r w:rsidR="00E76F0E" w:rsidRPr="009118AB">
        <w:t>]</w:t>
      </w:r>
      <w:r w:rsidRPr="009118AB">
        <w:t xml:space="preserve"> 145</w:t>
      </w:r>
      <w:r w:rsidRPr="009118AB">
        <w:rPr>
          <w:vertAlign w:val="superscript"/>
        </w:rPr>
        <w:t>32</w:t>
      </w:r>
      <w:r w:rsidRPr="009118AB">
        <w:t xml:space="preserve"> </w:t>
      </w:r>
      <w:r w:rsidR="00D67EB8" w:rsidRPr="009118AB">
        <w:t>§ </w:t>
      </w:r>
      <w:r w:rsidRPr="009118AB">
        <w:t>2</w:t>
      </w:r>
      <w:r w:rsidR="000E76CC" w:rsidRPr="009118AB">
        <w:t>[,</w:t>
      </w:r>
      <w:r w:rsidRPr="009118AB">
        <w:t xml:space="preserve"> 157</w:t>
      </w:r>
      <w:r w:rsidR="000E76CC" w:rsidRPr="009118AB">
        <w:t xml:space="preserve"> und 168/1]</w:t>
      </w:r>
      <w:r w:rsidRPr="009118AB">
        <w:t xml:space="preserve"> erwähnten Erhöhungen.</w:t>
      </w:r>
      <w:r w:rsidR="00477B8F" w:rsidRPr="009118AB">
        <w:t>]</w:t>
      </w:r>
    </w:p>
    <w:p w14:paraId="120D4C00" w14:textId="77777777" w:rsidR="00477B8F" w:rsidRPr="009118AB" w:rsidRDefault="00477B8F" w:rsidP="00477B8F">
      <w:pPr>
        <w:autoSpaceDE w:val="0"/>
        <w:autoSpaceDN w:val="0"/>
        <w:adjustRightInd w:val="0"/>
        <w:jc w:val="both"/>
      </w:pPr>
    </w:p>
    <w:p w14:paraId="23295BEA" w14:textId="495FD069"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290 ersetzt durch </w:t>
      </w:r>
      <w:r w:rsidR="00D67EB8" w:rsidRPr="009118AB">
        <w:rPr>
          <w:i/>
          <w:iCs/>
        </w:rPr>
        <w:t>Art. </w:t>
      </w:r>
      <w:r w:rsidR="00914759" w:rsidRPr="009118AB">
        <w:rPr>
          <w:i/>
          <w:iCs/>
        </w:rPr>
        <w:t>85</w:t>
      </w:r>
      <w:r w:rsidR="00914759" w:rsidRPr="009118AB">
        <w:rPr>
          <w:i/>
        </w:rPr>
        <w:t xml:space="preserve"> des G. vom 8. Mai 2014 (B.S. vom 28. Mai 2014)</w:t>
      </w:r>
      <w:r w:rsidR="00D67EB8" w:rsidRPr="009118AB">
        <w:rPr>
          <w:i/>
        </w:rPr>
        <w:t> - </w:t>
      </w:r>
      <w:r w:rsidR="00914759" w:rsidRPr="009118AB">
        <w:rPr>
          <w:i/>
          <w:iCs/>
        </w:rPr>
        <w:t xml:space="preserve">anwendbar ab dem Steuerjahr 2015 und ebenfalls auf den in Artikel 289bis </w:t>
      </w:r>
      <w:r w:rsidR="00D67EB8" w:rsidRPr="009118AB">
        <w:rPr>
          <w:i/>
          <w:iCs/>
        </w:rPr>
        <w:t>§ </w:t>
      </w:r>
      <w:r w:rsidR="00914759" w:rsidRPr="009118AB">
        <w:rPr>
          <w:i/>
          <w:iCs/>
        </w:rPr>
        <w:t>1 des Einkommensteuer</w:t>
      </w:r>
      <w:r w:rsidR="00914759" w:rsidRPr="009118AB">
        <w:rPr>
          <w:i/>
          <w:iCs/>
        </w:rPr>
        <w:softHyphen/>
        <w:t>gesetzbuches 1992 erwähnten Überschuss von Steuergutschriften, die aufgrund von Artikel 291 Absatz 2 und 3 desselben Gesetzbuches, so wie er vor seiner Aufhebung durch Artikel 86 des vorliegenden Gesetzes bestand, auf das Steuerjahr 2015 übertragen wurden</w:t>
      </w:r>
      <w:r w:rsidR="003366D9" w:rsidRPr="009118AB">
        <w:rPr>
          <w:i/>
          <w:iCs/>
        </w:rPr>
        <w:t> -;</w:t>
      </w:r>
      <w:r w:rsidR="00AF2838" w:rsidRPr="009118AB">
        <w:rPr>
          <w:i/>
          <w:iCs/>
        </w:rPr>
        <w:t xml:space="preserve"> </w:t>
      </w:r>
      <w:r w:rsidR="00D67EB8" w:rsidRPr="009118AB">
        <w:rPr>
          <w:i/>
          <w:iCs/>
        </w:rPr>
        <w:t>Abs. </w:t>
      </w:r>
      <w:r w:rsidR="00AF2838" w:rsidRPr="009118AB">
        <w:rPr>
          <w:i/>
          <w:iCs/>
        </w:rPr>
        <w:t xml:space="preserve">2 abgeändert durch </w:t>
      </w:r>
      <w:r w:rsidR="00D67EB8" w:rsidRPr="009118AB">
        <w:rPr>
          <w:i/>
          <w:iCs/>
        </w:rPr>
        <w:t>Art. </w:t>
      </w:r>
      <w:r w:rsidR="00AF2838" w:rsidRPr="009118AB">
        <w:rPr>
          <w:i/>
          <w:iCs/>
        </w:rPr>
        <w:t>55 des G. vom 10. August 2015 (B.S. vom 18. August 2015)</w:t>
      </w:r>
      <w:r w:rsidR="00D67EB8" w:rsidRPr="009118AB">
        <w:rPr>
          <w:i/>
          <w:iCs/>
        </w:rPr>
        <w:t> - </w:t>
      </w:r>
      <w:r w:rsidR="00AF2838" w:rsidRPr="009118AB">
        <w:rPr>
          <w:i/>
          <w:iCs/>
        </w:rPr>
        <w:t>anwendbar ab dem Steuerjahr 2016</w:t>
      </w:r>
      <w:r w:rsidR="00FD68E8" w:rsidRPr="009118AB">
        <w:rPr>
          <w:i/>
          <w:iCs/>
        </w:rPr>
        <w:t> -,</w:t>
      </w:r>
      <w:r w:rsidR="00E76F0E" w:rsidRPr="009118AB">
        <w:rPr>
          <w:i/>
          <w:iCs/>
        </w:rPr>
        <w:t xml:space="preserve"> </w:t>
      </w:r>
      <w:r w:rsidR="00D67EB8" w:rsidRPr="009118AB">
        <w:rPr>
          <w:i/>
          <w:iCs/>
        </w:rPr>
        <w:t>Art. </w:t>
      </w:r>
      <w:r w:rsidR="00E76F0E" w:rsidRPr="009118AB">
        <w:rPr>
          <w:i/>
          <w:iCs/>
        </w:rPr>
        <w:t>37 des G. vom 26. März 2018 (B.S. vom 30. März 2018)</w:t>
      </w:r>
      <w:r w:rsidR="00D67EB8" w:rsidRPr="009118AB">
        <w:rPr>
          <w:i/>
          <w:iCs/>
        </w:rPr>
        <w:t> - </w:t>
      </w:r>
      <w:r w:rsidR="00E76F0E" w:rsidRPr="009118AB">
        <w:rPr>
          <w:i/>
          <w:iCs/>
        </w:rPr>
        <w:t>wirksam ab dem Steuerjahr 2019</w:t>
      </w:r>
      <w:r w:rsidR="00FD68E8" w:rsidRPr="009118AB">
        <w:rPr>
          <w:i/>
          <w:iCs/>
        </w:rPr>
        <w:t> -,</w:t>
      </w:r>
      <w:r w:rsidR="000E76CC" w:rsidRPr="009118AB">
        <w:rPr>
          <w:i/>
          <w:iCs/>
        </w:rPr>
        <w:t xml:space="preserve"> </w:t>
      </w:r>
      <w:r w:rsidR="00D67EB8" w:rsidRPr="009118AB">
        <w:rPr>
          <w:i/>
          <w:iCs/>
        </w:rPr>
        <w:t>Art. </w:t>
      </w:r>
      <w:r w:rsidR="000E76CC" w:rsidRPr="009118AB">
        <w:rPr>
          <w:i/>
          <w:iCs/>
        </w:rPr>
        <w:t>98</w:t>
      </w:r>
      <w:r w:rsidR="000E76CC" w:rsidRPr="009118AB">
        <w:rPr>
          <w:i/>
          <w:iCs/>
          <w:spacing w:val="-2"/>
        </w:rPr>
        <w:t xml:space="preserve"> des G. vom 11. Februar 2019 (B.S. vom 22. März 2020)</w:t>
      </w:r>
      <w:r w:rsidR="00D67EB8" w:rsidRPr="009118AB">
        <w:rPr>
          <w:i/>
          <w:iCs/>
          <w:spacing w:val="-2"/>
        </w:rPr>
        <w:t> - </w:t>
      </w:r>
      <w:r w:rsidR="000E76CC" w:rsidRPr="009118AB">
        <w:rPr>
          <w:i/>
          <w:iCs/>
          <w:spacing w:val="-2"/>
        </w:rPr>
        <w:t>anwendbar ab dem Steuerjahr 2019 auf berufliche Verluste, die Schäden an Landwirtschaftskulturen zuzurechnen sind, die durch ab dem 1. Januar 2018 aufgetretene schlechte Witterungsbedi</w:t>
      </w:r>
      <w:r w:rsidR="00C030D3" w:rsidRPr="009118AB">
        <w:rPr>
          <w:i/>
          <w:iCs/>
          <w:spacing w:val="-2"/>
        </w:rPr>
        <w:t>ngungen verursacht worden sind</w:t>
      </w:r>
      <w:r w:rsidR="00FD68E8" w:rsidRPr="009118AB">
        <w:rPr>
          <w:i/>
          <w:iCs/>
          <w:spacing w:val="-2"/>
        </w:rPr>
        <w:t> -,</w:t>
      </w:r>
      <w:r w:rsidR="00C030D3" w:rsidRPr="009118AB">
        <w:rPr>
          <w:i/>
          <w:iCs/>
          <w:spacing w:val="-2"/>
        </w:rPr>
        <w:t xml:space="preserve"> </w:t>
      </w:r>
      <w:r w:rsidR="00D67EB8" w:rsidRPr="009118AB">
        <w:rPr>
          <w:i/>
          <w:iCs/>
          <w:spacing w:val="-2"/>
        </w:rPr>
        <w:t>Art. </w:t>
      </w:r>
      <w:r w:rsidR="00C030D3" w:rsidRPr="009118AB">
        <w:rPr>
          <w:i/>
          <w:iCs/>
          <w:spacing w:val="-2"/>
        </w:rPr>
        <w:t>32</w:t>
      </w:r>
      <w:r w:rsidR="002678A9" w:rsidRPr="009118AB">
        <w:rPr>
          <w:i/>
        </w:rPr>
        <w:t xml:space="preserve"> des G. vom 7. April 2019 (I) (B.S. vom 19. April 2019)</w:t>
      </w:r>
      <w:r w:rsidR="00B90C34" w:rsidRPr="009118AB">
        <w:rPr>
          <w:i/>
        </w:rPr>
        <w:t>,</w:t>
      </w:r>
      <w:r w:rsidR="0052245F" w:rsidRPr="009118AB">
        <w:rPr>
          <w:i/>
        </w:rPr>
        <w:t xml:space="preserve"> </w:t>
      </w:r>
      <w:r w:rsidR="00D67EB8" w:rsidRPr="009118AB">
        <w:rPr>
          <w:i/>
        </w:rPr>
        <w:t>Art. </w:t>
      </w:r>
      <w:r w:rsidR="0052245F" w:rsidRPr="009118AB">
        <w:rPr>
          <w:i/>
        </w:rPr>
        <w:t>15</w:t>
      </w:r>
      <w:r w:rsidR="0052245F" w:rsidRPr="009118AB">
        <w:rPr>
          <w:i/>
          <w:iCs/>
        </w:rPr>
        <w:t xml:space="preserve"> des G. vom 23. Juni 2020 (B.S. vom 1. Juli 2020)</w:t>
      </w:r>
      <w:r w:rsidR="00B90C34" w:rsidRPr="009118AB">
        <w:rPr>
          <w:i/>
          <w:iCs/>
        </w:rPr>
        <w:t xml:space="preserve"> und Art. 16 des G. vom 31. Juli 2023 (II) (B.S. vom 23. August 2023)</w:t>
      </w:r>
      <w:r w:rsidRPr="009118AB">
        <w:rPr>
          <w:i/>
          <w:iCs/>
          <w:spacing w:val="-2"/>
        </w:rPr>
        <w:t>]</w:t>
      </w:r>
    </w:p>
    <w:p w14:paraId="04B7F787" w14:textId="77777777" w:rsidR="00477B8F" w:rsidRPr="009118AB" w:rsidRDefault="00477B8F" w:rsidP="00477B8F">
      <w:pPr>
        <w:autoSpaceDE w:val="0"/>
        <w:autoSpaceDN w:val="0"/>
        <w:adjustRightInd w:val="0"/>
        <w:jc w:val="both"/>
      </w:pPr>
    </w:p>
    <w:p w14:paraId="209FAF84" w14:textId="77777777" w:rsidR="00477B8F" w:rsidRPr="009118AB" w:rsidRDefault="00477B8F" w:rsidP="00477B8F">
      <w:pPr>
        <w:autoSpaceDE w:val="0"/>
        <w:autoSpaceDN w:val="0"/>
        <w:adjustRightInd w:val="0"/>
        <w:jc w:val="both"/>
      </w:pPr>
    </w:p>
    <w:p w14:paraId="291D1AA5" w14:textId="036C0681" w:rsidR="00477B8F" w:rsidRPr="009118AB" w:rsidRDefault="00477B8F" w:rsidP="00914759">
      <w:pPr>
        <w:autoSpaceDE w:val="0"/>
        <w:autoSpaceDN w:val="0"/>
        <w:adjustRightInd w:val="0"/>
        <w:jc w:val="both"/>
      </w:pPr>
      <w:r w:rsidRPr="009118AB">
        <w:tab/>
      </w:r>
      <w:r w:rsidR="00D67EB8" w:rsidRPr="009118AB">
        <w:rPr>
          <w:b/>
          <w:bCs/>
        </w:rPr>
        <w:t>Art. </w:t>
      </w:r>
      <w:r w:rsidRPr="009118AB">
        <w:rPr>
          <w:b/>
          <w:bCs/>
        </w:rPr>
        <w:t>291</w:t>
      </w:r>
      <w:r w:rsidR="00D67EB8" w:rsidRPr="009118AB">
        <w:t> - </w:t>
      </w:r>
      <w:r w:rsidR="00914759" w:rsidRPr="009118AB">
        <w:t>[..</w:t>
      </w:r>
      <w:r w:rsidRPr="009118AB">
        <w:t>.]</w:t>
      </w:r>
    </w:p>
    <w:p w14:paraId="5C93EE8D" w14:textId="77777777" w:rsidR="00477B8F" w:rsidRPr="009118AB" w:rsidRDefault="00477B8F" w:rsidP="00477B8F">
      <w:pPr>
        <w:autoSpaceDE w:val="0"/>
        <w:autoSpaceDN w:val="0"/>
        <w:adjustRightInd w:val="0"/>
        <w:jc w:val="both"/>
      </w:pPr>
    </w:p>
    <w:p w14:paraId="3233836C" w14:textId="5E5881FE"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291 </w:t>
      </w:r>
      <w:r w:rsidR="00914759" w:rsidRPr="009118AB">
        <w:rPr>
          <w:i/>
          <w:iCs/>
        </w:rPr>
        <w:t xml:space="preserve">aufgehoben durch </w:t>
      </w:r>
      <w:r w:rsidR="00D67EB8" w:rsidRPr="009118AB">
        <w:rPr>
          <w:i/>
          <w:iCs/>
        </w:rPr>
        <w:t>Art. </w:t>
      </w:r>
      <w:r w:rsidR="00914759" w:rsidRPr="009118AB">
        <w:rPr>
          <w:i/>
          <w:iCs/>
        </w:rPr>
        <w:t>86</w:t>
      </w:r>
      <w:r w:rsidR="00914759" w:rsidRPr="009118AB">
        <w:rPr>
          <w:i/>
        </w:rPr>
        <w:t xml:space="preserve"> des G. vom 8. Mai 2014 (B.S. vom 28. Mai 2014)</w:t>
      </w:r>
      <w:r w:rsidR="00D67EB8" w:rsidRPr="009118AB">
        <w:rPr>
          <w:i/>
        </w:rPr>
        <w:t> - </w:t>
      </w:r>
      <w:r w:rsidR="00914759" w:rsidRPr="009118AB">
        <w:rPr>
          <w:i/>
          <w:iCs/>
        </w:rPr>
        <w:t>anwendbar ab dem Steuerjahr 2015</w:t>
      </w:r>
      <w:r w:rsidR="00FD68E8" w:rsidRPr="009118AB">
        <w:rPr>
          <w:i/>
          <w:iCs/>
        </w:rPr>
        <w:t> -]</w:t>
      </w:r>
    </w:p>
    <w:p w14:paraId="7D4584CC" w14:textId="77777777" w:rsidR="00914759" w:rsidRPr="009118AB" w:rsidRDefault="00914759" w:rsidP="00477B8F">
      <w:pPr>
        <w:autoSpaceDE w:val="0"/>
        <w:autoSpaceDN w:val="0"/>
        <w:adjustRightInd w:val="0"/>
        <w:jc w:val="both"/>
      </w:pPr>
    </w:p>
    <w:p w14:paraId="6F0479A5" w14:textId="77777777" w:rsidR="003027B9" w:rsidRPr="009118AB" w:rsidRDefault="003027B9" w:rsidP="007B1DB9">
      <w:pPr>
        <w:autoSpaceDE w:val="0"/>
        <w:autoSpaceDN w:val="0"/>
        <w:adjustRightInd w:val="0"/>
        <w:jc w:val="both"/>
        <w:rPr>
          <w:iCs/>
        </w:rPr>
      </w:pPr>
    </w:p>
    <w:p w14:paraId="19BBB2BE" w14:textId="592C440E" w:rsidR="007B1DB9" w:rsidRPr="009118AB" w:rsidRDefault="003027B9" w:rsidP="007B1DB9">
      <w:pPr>
        <w:autoSpaceDE w:val="0"/>
        <w:autoSpaceDN w:val="0"/>
        <w:adjustRightInd w:val="0"/>
        <w:jc w:val="both"/>
        <w:rPr>
          <w:iCs/>
        </w:rPr>
      </w:pPr>
      <w:r w:rsidRPr="009118AB">
        <w:rPr>
          <w:bCs/>
          <w:iCs/>
        </w:rPr>
        <w:tab/>
      </w:r>
      <w:r w:rsidR="00D67EB8" w:rsidRPr="009118AB">
        <w:rPr>
          <w:b/>
          <w:bCs/>
          <w:iCs/>
        </w:rPr>
        <w:t>Art. </w:t>
      </w:r>
      <w:r w:rsidR="007B1DB9" w:rsidRPr="009118AB">
        <w:rPr>
          <w:b/>
          <w:bCs/>
          <w:iCs/>
        </w:rPr>
        <w:t>292</w:t>
      </w:r>
      <w:r w:rsidR="00D67EB8" w:rsidRPr="009118AB">
        <w:rPr>
          <w:iCs/>
        </w:rPr>
        <w:t> - </w:t>
      </w:r>
      <w:r w:rsidR="007B1DB9" w:rsidRPr="009118AB">
        <w:rPr>
          <w:iCs/>
        </w:rPr>
        <w:t>Als [...] fiktiver Mobiliensteuervorabzug und Pauschalanteil ausländischer Steuer anrechenbare Summen werden für inländische Gesellschaften vollständig auf die Gesellschaftssteuer angerechnet; ein eventueller Überschuss wird nicht erstattet.</w:t>
      </w:r>
    </w:p>
    <w:p w14:paraId="50C4E9FB" w14:textId="77777777" w:rsidR="007B1DB9" w:rsidRPr="009118AB" w:rsidRDefault="007B1DB9" w:rsidP="007B1DB9">
      <w:pPr>
        <w:autoSpaceDE w:val="0"/>
        <w:autoSpaceDN w:val="0"/>
        <w:adjustRightInd w:val="0"/>
        <w:jc w:val="both"/>
        <w:rPr>
          <w:iCs/>
        </w:rPr>
      </w:pPr>
    </w:p>
    <w:p w14:paraId="2D511C8C" w14:textId="77777777" w:rsidR="007B1DB9" w:rsidRPr="009118AB" w:rsidRDefault="003027B9" w:rsidP="007B1DB9">
      <w:pPr>
        <w:autoSpaceDE w:val="0"/>
        <w:autoSpaceDN w:val="0"/>
        <w:adjustRightInd w:val="0"/>
        <w:jc w:val="both"/>
        <w:rPr>
          <w:iCs/>
        </w:rPr>
      </w:pPr>
      <w:r w:rsidRPr="009118AB">
        <w:rPr>
          <w:iCs/>
        </w:rPr>
        <w:tab/>
      </w:r>
      <w:r w:rsidR="007B1DB9" w:rsidRPr="009118AB">
        <w:rPr>
          <w:iCs/>
        </w:rPr>
        <w:t>[Kein Vorabzug wird auf die in Ausführung der Artikel 219 und 219</w:t>
      </w:r>
      <w:r w:rsidR="007B1DB9" w:rsidRPr="009118AB">
        <w:rPr>
          <w:i/>
          <w:iCs/>
        </w:rPr>
        <w:t>bis</w:t>
      </w:r>
      <w:r w:rsidR="007B1DB9" w:rsidRPr="009118AB">
        <w:rPr>
          <w:iCs/>
        </w:rPr>
        <w:t xml:space="preserve"> festgelegten getrennten Steuern angerechnet.]</w:t>
      </w:r>
    </w:p>
    <w:p w14:paraId="1BC102F3" w14:textId="77777777" w:rsidR="00EC54D5" w:rsidRPr="009118AB" w:rsidRDefault="00EC54D5">
      <w:pPr>
        <w:rPr>
          <w:iCs/>
        </w:rPr>
      </w:pPr>
    </w:p>
    <w:p w14:paraId="569AE0D1" w14:textId="2C940FF4" w:rsidR="00913875" w:rsidRPr="009118AB" w:rsidRDefault="003027B9" w:rsidP="00913875">
      <w:pPr>
        <w:ind w:firstLine="708"/>
        <w:jc w:val="both"/>
      </w:pPr>
      <w:r w:rsidRPr="009118AB">
        <w:rPr>
          <w:iCs/>
        </w:rPr>
        <w:lastRenderedPageBreak/>
        <w:tab/>
      </w:r>
      <w:r w:rsidR="007B1DB9" w:rsidRPr="009118AB">
        <w:rPr>
          <w:iCs/>
        </w:rPr>
        <w:t>[</w:t>
      </w:r>
      <w:r w:rsidR="00913875" w:rsidRPr="009118AB">
        <w:t xml:space="preserve">Die in Absatz 1 erwähnten anrechenbaren Summen werden nicht auf den Betrag des in Artikel 185 </w:t>
      </w:r>
      <w:r w:rsidR="00D67EB8" w:rsidRPr="009118AB">
        <w:t>§ </w:t>
      </w:r>
      <w:r w:rsidR="00913875" w:rsidRPr="009118AB">
        <w:t>4 Absatz 1 erwähnten Konzernbeitrags, der in die Besteuerungsgrundlage einbezogen wird, angerechnet.</w:t>
      </w:r>
    </w:p>
    <w:p w14:paraId="0EAFA924" w14:textId="77777777" w:rsidR="00913875" w:rsidRPr="009118AB" w:rsidRDefault="00913875" w:rsidP="00913875">
      <w:pPr>
        <w:jc w:val="both"/>
      </w:pPr>
    </w:p>
    <w:p w14:paraId="03F87D2F" w14:textId="77777777" w:rsidR="007B1DB9" w:rsidRPr="009118AB" w:rsidRDefault="00913875" w:rsidP="00913875">
      <w:pPr>
        <w:autoSpaceDE w:val="0"/>
        <w:autoSpaceDN w:val="0"/>
        <w:adjustRightInd w:val="0"/>
        <w:ind w:firstLine="708"/>
        <w:jc w:val="both"/>
        <w:rPr>
          <w:iCs/>
        </w:rPr>
      </w:pPr>
      <w:r w:rsidRPr="009118AB">
        <w:t>In Abweichung von Absatz 1 wird der Pauschalanteil ausländischer Steuer nur bis zu dem Teil der Gesellschaftssteuer angerechnet, der sich auf steuerpflichtige Nettoeinkünfte bezieht, die durch eine hybride Übertragung erzielt werden. Diese Nettoeinkünfte werden gebildet aus der Differenz zwischen den im Rahmen dieser hybriden Übertragung bezogenen Einkünften und den möglichen Zahlungen, die im Rahmen dieser hybriden Übertragung ebenfalls geleistet werden mussten.</w:t>
      </w:r>
      <w:r w:rsidR="007B1DB9" w:rsidRPr="009118AB">
        <w:rPr>
          <w:iCs/>
        </w:rPr>
        <w:t>]</w:t>
      </w:r>
    </w:p>
    <w:p w14:paraId="6EE722E7" w14:textId="77777777" w:rsidR="00913875" w:rsidRPr="009118AB" w:rsidRDefault="00913875" w:rsidP="007B1DB9">
      <w:pPr>
        <w:autoSpaceDE w:val="0"/>
        <w:autoSpaceDN w:val="0"/>
        <w:adjustRightInd w:val="0"/>
        <w:jc w:val="both"/>
        <w:rPr>
          <w:iCs/>
        </w:rPr>
      </w:pPr>
    </w:p>
    <w:p w14:paraId="3432E5EA" w14:textId="31E08098" w:rsidR="007B1DB9" w:rsidRPr="009118AB" w:rsidRDefault="007B1DB9" w:rsidP="007B1DB9">
      <w:pPr>
        <w:autoSpaceDE w:val="0"/>
        <w:autoSpaceDN w:val="0"/>
        <w:adjustRightInd w:val="0"/>
        <w:jc w:val="both"/>
        <w:rPr>
          <w:iCs/>
        </w:rPr>
      </w:pPr>
      <w:r w:rsidRPr="009118AB">
        <w:rPr>
          <w:i/>
          <w:iCs/>
        </w:rPr>
        <w:t>[</w:t>
      </w:r>
      <w:r w:rsidR="00D67EB8" w:rsidRPr="009118AB">
        <w:rPr>
          <w:i/>
          <w:iCs/>
        </w:rPr>
        <w:t>Art. </w:t>
      </w:r>
      <w:r w:rsidRPr="009118AB">
        <w:rPr>
          <w:i/>
          <w:iCs/>
        </w:rPr>
        <w:t xml:space="preserve">292 </w:t>
      </w:r>
      <w:r w:rsidR="00D67EB8" w:rsidRPr="009118AB">
        <w:rPr>
          <w:i/>
          <w:iCs/>
        </w:rPr>
        <w:t>Abs. </w:t>
      </w:r>
      <w:r w:rsidRPr="009118AB">
        <w:rPr>
          <w:i/>
          <w:iCs/>
        </w:rPr>
        <w:t xml:space="preserve">1 abgeändert durch </w:t>
      </w:r>
      <w:r w:rsidR="00D67EB8" w:rsidRPr="009118AB">
        <w:rPr>
          <w:i/>
          <w:iCs/>
        </w:rPr>
        <w:t>Art. </w:t>
      </w:r>
      <w:r w:rsidRPr="009118AB">
        <w:rPr>
          <w:i/>
          <w:iCs/>
        </w:rPr>
        <w:t>14 des G. vom 22. Juli 19</w:t>
      </w:r>
      <w:r w:rsidR="004F7F42" w:rsidRPr="009118AB">
        <w:rPr>
          <w:i/>
          <w:iCs/>
        </w:rPr>
        <w:t>93 (B.S. vom 26. Juli 1993)</w:t>
      </w:r>
      <w:r w:rsidR="00D67EB8" w:rsidRPr="009118AB">
        <w:rPr>
          <w:i/>
          <w:iCs/>
        </w:rPr>
        <w:t> - </w:t>
      </w:r>
      <w:r w:rsidRPr="009118AB">
        <w:rPr>
          <w:i/>
          <w:iCs/>
        </w:rPr>
        <w:t>anwendbar ab dem Steuerjahr 1994</w:t>
      </w:r>
      <w:r w:rsidR="003366D9" w:rsidRPr="009118AB">
        <w:rPr>
          <w:i/>
          <w:iCs/>
        </w:rPr>
        <w:t> -;</w:t>
      </w:r>
      <w:r w:rsidRPr="009118AB">
        <w:rPr>
          <w:i/>
          <w:iCs/>
        </w:rPr>
        <w:t xml:space="preserve"> </w:t>
      </w:r>
      <w:r w:rsidR="00D67EB8" w:rsidRPr="009118AB">
        <w:rPr>
          <w:i/>
          <w:iCs/>
        </w:rPr>
        <w:t>Abs. </w:t>
      </w:r>
      <w:r w:rsidRPr="009118AB">
        <w:rPr>
          <w:i/>
          <w:iCs/>
        </w:rPr>
        <w:t xml:space="preserve">2 ersetzt durch </w:t>
      </w:r>
      <w:r w:rsidR="00D67EB8" w:rsidRPr="009118AB">
        <w:rPr>
          <w:i/>
          <w:iCs/>
        </w:rPr>
        <w:t>Art. </w:t>
      </w:r>
      <w:r w:rsidRPr="009118AB">
        <w:rPr>
          <w:i/>
          <w:iCs/>
        </w:rPr>
        <w:t>31 des G. vom 4. Mai 1999 (II) (B.S. vom 12. Juni 1999)</w:t>
      </w:r>
      <w:r w:rsidR="00D67EB8" w:rsidRPr="009118AB">
        <w:rPr>
          <w:i/>
          <w:iCs/>
        </w:rPr>
        <w:t> - </w:t>
      </w:r>
      <w:r w:rsidRPr="009118AB">
        <w:rPr>
          <w:i/>
          <w:iCs/>
        </w:rPr>
        <w:t>in Kraft ab dem Steuerjahr 1999</w:t>
      </w:r>
      <w:r w:rsidR="003366D9" w:rsidRPr="009118AB">
        <w:rPr>
          <w:i/>
          <w:iCs/>
        </w:rPr>
        <w:t> -;</w:t>
      </w:r>
      <w:r w:rsidRPr="009118AB">
        <w:rPr>
          <w:i/>
          <w:iCs/>
        </w:rPr>
        <w:t xml:space="preserve"> </w:t>
      </w:r>
      <w:r w:rsidR="00D67EB8" w:rsidRPr="009118AB">
        <w:rPr>
          <w:i/>
          <w:iCs/>
        </w:rPr>
        <w:t>Abs. </w:t>
      </w:r>
      <w:r w:rsidRPr="009118AB">
        <w:rPr>
          <w:i/>
          <w:iCs/>
        </w:rPr>
        <w:t>3</w:t>
      </w:r>
      <w:r w:rsidR="00913875" w:rsidRPr="009118AB">
        <w:rPr>
          <w:i/>
          <w:iCs/>
        </w:rPr>
        <w:t xml:space="preserve"> und 4</w:t>
      </w:r>
      <w:r w:rsidRPr="009118AB">
        <w:rPr>
          <w:i/>
          <w:iCs/>
        </w:rPr>
        <w:t xml:space="preserve"> eingefügt durch </w:t>
      </w:r>
      <w:r w:rsidR="00D67EB8" w:rsidRPr="009118AB">
        <w:rPr>
          <w:i/>
          <w:iCs/>
        </w:rPr>
        <w:t>Art. </w:t>
      </w:r>
      <w:r w:rsidRPr="009118AB">
        <w:rPr>
          <w:i/>
          <w:iCs/>
        </w:rPr>
        <w:t>73 des G. vom 25. Dezember 2017 (III) (B.S. vom 29. Dezember 2017)</w:t>
      </w:r>
      <w:r w:rsidR="00D67EB8" w:rsidRPr="009118AB">
        <w:rPr>
          <w:i/>
          <w:iCs/>
        </w:rPr>
        <w:t> - </w:t>
      </w:r>
      <w:r w:rsidRPr="009118AB">
        <w:rPr>
          <w:i/>
          <w:iCs/>
        </w:rPr>
        <w:t>in Kraft am 1. Januar 2019 und anwendbar ab dem Steuerjahr 2020, das sich auf einen Besteuerungszeitraum bezieht, der frühestens am 1. Januar 2019 beginnt</w:t>
      </w:r>
      <w:r w:rsidR="00FD68E8" w:rsidRPr="009118AB">
        <w:rPr>
          <w:i/>
          <w:iCs/>
        </w:rPr>
        <w:t> -,</w:t>
      </w:r>
      <w:r w:rsidR="00913875" w:rsidRPr="009118AB">
        <w:rPr>
          <w:i/>
          <w:iCs/>
        </w:rPr>
        <w:t xml:space="preserve"> selbst ersetzt durch </w:t>
      </w:r>
      <w:r w:rsidR="00D67EB8" w:rsidRPr="009118AB">
        <w:rPr>
          <w:i/>
          <w:iCs/>
        </w:rPr>
        <w:t>Art. </w:t>
      </w:r>
      <w:r w:rsidR="00913875" w:rsidRPr="009118AB">
        <w:rPr>
          <w:i/>
          <w:iCs/>
        </w:rPr>
        <w:t>34</w:t>
      </w:r>
      <w:r w:rsidR="00913875" w:rsidRPr="009118AB">
        <w:rPr>
          <w:i/>
        </w:rPr>
        <w:t xml:space="preserve"> des G. vom 30. Juli 2018 (I) (B.S. vom 10. August 2018)</w:t>
      </w:r>
      <w:r w:rsidRPr="009118AB">
        <w:rPr>
          <w:i/>
          <w:iCs/>
        </w:rPr>
        <w:t>]</w:t>
      </w:r>
    </w:p>
    <w:p w14:paraId="1FAB0E5D" w14:textId="77777777" w:rsidR="007B1DB9" w:rsidRPr="009118AB" w:rsidRDefault="007B1DB9" w:rsidP="007B1DB9">
      <w:pPr>
        <w:autoSpaceDE w:val="0"/>
        <w:autoSpaceDN w:val="0"/>
        <w:adjustRightInd w:val="0"/>
        <w:jc w:val="both"/>
      </w:pPr>
    </w:p>
    <w:p w14:paraId="0052BCC9" w14:textId="77777777" w:rsidR="00477B8F" w:rsidRDefault="00477B8F" w:rsidP="00477B8F">
      <w:pPr>
        <w:autoSpaceDE w:val="0"/>
        <w:autoSpaceDN w:val="0"/>
        <w:adjustRightInd w:val="0"/>
        <w:jc w:val="both"/>
      </w:pPr>
    </w:p>
    <w:p w14:paraId="0FC7426F" w14:textId="77777777" w:rsidR="00D60836" w:rsidRPr="00FF1F87" w:rsidRDefault="00D60836" w:rsidP="00D60836">
      <w:pPr>
        <w:ind w:firstLine="708"/>
        <w:jc w:val="both"/>
      </w:pPr>
      <w:r>
        <w:tab/>
        <w:t>[</w:t>
      </w:r>
      <w:r w:rsidRPr="00D60836">
        <w:rPr>
          <w:b/>
          <w:bCs/>
        </w:rPr>
        <w:t>Art. 292/1</w:t>
      </w:r>
      <w:r w:rsidRPr="00FF1F87">
        <w:t> - Die in Artikel 289/1 erwähnte ausländische Steuer auf die in Artikel 185/2 erwähnten Gewinne wird vollständig auf die Gesellschaftssteuer angerechnet.</w:t>
      </w:r>
    </w:p>
    <w:p w14:paraId="6A4C483B" w14:textId="77777777" w:rsidR="00D60836" w:rsidRPr="00FF1F87" w:rsidRDefault="00D60836" w:rsidP="00D60836">
      <w:pPr>
        <w:jc w:val="both"/>
      </w:pPr>
    </w:p>
    <w:p w14:paraId="7AFDE8D3" w14:textId="4C24AF32" w:rsidR="00D60836" w:rsidRDefault="00D60836" w:rsidP="00D60836">
      <w:pPr>
        <w:autoSpaceDE w:val="0"/>
        <w:autoSpaceDN w:val="0"/>
        <w:adjustRightInd w:val="0"/>
        <w:ind w:firstLine="708"/>
        <w:jc w:val="both"/>
      </w:pPr>
      <w:r w:rsidRPr="00FF1F87">
        <w:t>Gibt es während eines Steuerjahres keine oder unzureichende Steuern, auf die die in Absatz 1 erwähnte ausländische Steuer angerechnet werden kann, wird die für dieses Steuerjahr nicht angerechnete ausländische Steuer nicht erstattet, sondern auf das folgende Steuerjahr übertragen.</w:t>
      </w:r>
      <w:r>
        <w:t>]</w:t>
      </w:r>
    </w:p>
    <w:p w14:paraId="680AF9CE" w14:textId="77777777" w:rsidR="00D60836" w:rsidRDefault="00D60836" w:rsidP="00D60836">
      <w:pPr>
        <w:autoSpaceDE w:val="0"/>
        <w:autoSpaceDN w:val="0"/>
        <w:adjustRightInd w:val="0"/>
        <w:jc w:val="both"/>
      </w:pPr>
    </w:p>
    <w:p w14:paraId="048C51CA" w14:textId="66309B20" w:rsidR="00D60836" w:rsidRDefault="00D60836" w:rsidP="00D60836">
      <w:pPr>
        <w:autoSpaceDE w:val="0"/>
        <w:autoSpaceDN w:val="0"/>
        <w:adjustRightInd w:val="0"/>
        <w:jc w:val="both"/>
        <w:rPr>
          <w:i/>
          <w:iCs/>
        </w:rPr>
      </w:pPr>
      <w:r>
        <w:rPr>
          <w:i/>
          <w:iCs/>
        </w:rPr>
        <w:t>[Art. 292/1 eingefügt durch Art. 30</w:t>
      </w:r>
      <w:r w:rsidRPr="00D60836">
        <w:rPr>
          <w:i/>
          <w:iCs/>
        </w:rPr>
        <w:t xml:space="preserve"> des G. vom 22. Dezember 2023 (II) (B.S. vom 29. Dezember 2023) - anwendbar ab dem Steuerjahr 2024 -</w:t>
      </w:r>
      <w:r>
        <w:rPr>
          <w:i/>
          <w:iCs/>
        </w:rPr>
        <w:t>]</w:t>
      </w:r>
    </w:p>
    <w:p w14:paraId="56390163" w14:textId="77777777" w:rsidR="00D60836" w:rsidRDefault="00D60836" w:rsidP="00D60836">
      <w:pPr>
        <w:autoSpaceDE w:val="0"/>
        <w:autoSpaceDN w:val="0"/>
        <w:adjustRightInd w:val="0"/>
        <w:jc w:val="both"/>
        <w:rPr>
          <w:i/>
          <w:iCs/>
        </w:rPr>
      </w:pPr>
    </w:p>
    <w:p w14:paraId="0CE16873" w14:textId="77777777" w:rsidR="00D60836" w:rsidRPr="009118AB" w:rsidRDefault="00D60836" w:rsidP="00D60836">
      <w:pPr>
        <w:autoSpaceDE w:val="0"/>
        <w:autoSpaceDN w:val="0"/>
        <w:adjustRightInd w:val="0"/>
        <w:jc w:val="both"/>
      </w:pPr>
    </w:p>
    <w:p w14:paraId="01212AF0" w14:textId="2DBC57A1" w:rsidR="00E06F4E" w:rsidRPr="009118AB" w:rsidRDefault="00477B8F" w:rsidP="00E06F4E">
      <w:pPr>
        <w:autoSpaceDE w:val="0"/>
        <w:autoSpaceDN w:val="0"/>
        <w:adjustRightInd w:val="0"/>
        <w:jc w:val="both"/>
        <w:rPr>
          <w:iCs/>
        </w:rPr>
      </w:pPr>
      <w:r w:rsidRPr="009118AB">
        <w:tab/>
        <w:t>[</w:t>
      </w:r>
      <w:r w:rsidR="00D67EB8" w:rsidRPr="009118AB">
        <w:rPr>
          <w:b/>
          <w:bCs/>
        </w:rPr>
        <w:t>Art. </w:t>
      </w:r>
      <w:r w:rsidRPr="009118AB">
        <w:rPr>
          <w:b/>
          <w:bCs/>
        </w:rPr>
        <w:t>292</w:t>
      </w:r>
      <w:r w:rsidRPr="009118AB">
        <w:rPr>
          <w:b/>
          <w:bCs/>
          <w:i/>
          <w:iCs/>
        </w:rPr>
        <w:t>bis</w:t>
      </w:r>
      <w:r w:rsidR="00D67EB8" w:rsidRPr="009118AB">
        <w:t> - </w:t>
      </w:r>
      <w:r w:rsidR="00E06F4E" w:rsidRPr="009118AB">
        <w:rPr>
          <w:iCs/>
        </w:rPr>
        <w:t>[</w:t>
      </w:r>
      <w:r w:rsidR="00D67EB8" w:rsidRPr="009118AB">
        <w:rPr>
          <w:iCs/>
        </w:rPr>
        <w:t>§ </w:t>
      </w:r>
      <w:r w:rsidR="00E06F4E" w:rsidRPr="009118AB">
        <w:rPr>
          <w:iCs/>
        </w:rPr>
        <w:t>1</w:t>
      </w:r>
      <w:r w:rsidR="00D67EB8" w:rsidRPr="009118AB">
        <w:rPr>
          <w:iCs/>
        </w:rPr>
        <w:t> - </w:t>
      </w:r>
      <w:r w:rsidR="00E06F4E" w:rsidRPr="009118AB">
        <w:rPr>
          <w:iCs/>
        </w:rPr>
        <w:t xml:space="preserve">Die Steuergutschrift für Forschung und Entwicklung wird vollständig auf die Gesellschaftssteuer </w:t>
      </w:r>
      <w:r w:rsidR="00872410" w:rsidRPr="009118AB">
        <w:rPr>
          <w:iCs/>
        </w:rPr>
        <w:t xml:space="preserve">[oder für die in Artikel 227 </w:t>
      </w:r>
      <w:r w:rsidR="00D67EB8" w:rsidRPr="009118AB">
        <w:rPr>
          <w:iCs/>
        </w:rPr>
        <w:t>Nr. </w:t>
      </w:r>
      <w:r w:rsidR="00872410" w:rsidRPr="009118AB">
        <w:rPr>
          <w:iCs/>
        </w:rPr>
        <w:t>2 erwähnten Steuer</w:t>
      </w:r>
      <w:r w:rsidR="00872410" w:rsidRPr="009118AB">
        <w:rPr>
          <w:iCs/>
        </w:rPr>
        <w:softHyphen/>
        <w:t xml:space="preserve">pflichtigen auf die Steuer der Gebietsfremden] </w:t>
      </w:r>
      <w:r w:rsidR="00E06F4E" w:rsidRPr="009118AB">
        <w:rPr>
          <w:iCs/>
        </w:rPr>
        <w:t>angerechnet.</w:t>
      </w:r>
    </w:p>
    <w:p w14:paraId="7078EA57" w14:textId="77777777" w:rsidR="00E06F4E" w:rsidRPr="009118AB" w:rsidRDefault="00E06F4E" w:rsidP="00E06F4E">
      <w:pPr>
        <w:autoSpaceDE w:val="0"/>
        <w:autoSpaceDN w:val="0"/>
        <w:adjustRightInd w:val="0"/>
        <w:jc w:val="both"/>
        <w:rPr>
          <w:iCs/>
        </w:rPr>
      </w:pPr>
    </w:p>
    <w:p w14:paraId="69C2F9CF" w14:textId="77777777" w:rsidR="00E06F4E" w:rsidRPr="009118AB" w:rsidRDefault="00B20101" w:rsidP="00E06F4E">
      <w:pPr>
        <w:autoSpaceDE w:val="0"/>
        <w:autoSpaceDN w:val="0"/>
        <w:adjustRightInd w:val="0"/>
        <w:jc w:val="both"/>
        <w:rPr>
          <w:iCs/>
        </w:rPr>
      </w:pPr>
      <w:r w:rsidRPr="009118AB">
        <w:rPr>
          <w:iCs/>
        </w:rPr>
        <w:tab/>
      </w:r>
      <w:r w:rsidR="00E06F4E" w:rsidRPr="009118AB">
        <w:rPr>
          <w:iCs/>
        </w:rPr>
        <w:t>Gibt es während eines Steuerjahres keine oder unzureichende Steuern, auf die die Steuergutschrift für Forschung und Entwicklung angerechnet werden kann, wird die für dieses Steuerjahr nicht angerechnete Steuergutschrift für Forschung und Entwicklung nacheinander auf die folgenden vier Steuerjahre übertragen.</w:t>
      </w:r>
    </w:p>
    <w:p w14:paraId="77F67681" w14:textId="77777777" w:rsidR="00E06F4E" w:rsidRPr="009118AB" w:rsidRDefault="00E06F4E" w:rsidP="00E06F4E">
      <w:pPr>
        <w:autoSpaceDE w:val="0"/>
        <w:autoSpaceDN w:val="0"/>
        <w:adjustRightInd w:val="0"/>
        <w:jc w:val="both"/>
        <w:rPr>
          <w:iCs/>
        </w:rPr>
      </w:pPr>
    </w:p>
    <w:p w14:paraId="452D19D1" w14:textId="5DED80D3" w:rsidR="00E06F4E" w:rsidRPr="009118AB" w:rsidRDefault="00B20101" w:rsidP="00E06F4E">
      <w:pPr>
        <w:autoSpaceDE w:val="0"/>
        <w:autoSpaceDN w:val="0"/>
        <w:adjustRightInd w:val="0"/>
        <w:jc w:val="both"/>
        <w:rPr>
          <w:iCs/>
        </w:rPr>
      </w:pPr>
      <w:r w:rsidRPr="009118AB">
        <w:rPr>
          <w:iCs/>
        </w:rPr>
        <w:tab/>
      </w:r>
      <w:r w:rsidR="00E06F4E" w:rsidRPr="009118AB">
        <w:rPr>
          <w:iCs/>
        </w:rPr>
        <w:t xml:space="preserve">Die Anrechnung der übertragenen Steuergutschrift für Forschung und Entwicklung auf die Steuer jedes der folgenden Steuerjahre darf jedoch pro Steuerjahr 105.400 EUR oder, wenn der Gesamtbetrag der am Ende des vorhergehenden Steuerjahres übertragenen Steuergutschrift für Forschung und Entwicklung 421.600 EUR übersteigt, 25 Prozent dieses Gesamtbetrags nicht übersteigen. [Diese Beträge werden jährlich an den Verbraucherpreisindex des Königreichs angepasst, und zwar </w:t>
      </w:r>
      <w:r w:rsidR="00B9394E" w:rsidRPr="009118AB">
        <w:rPr>
          <w:iCs/>
        </w:rPr>
        <w:t>[</w:t>
      </w:r>
      <w:r w:rsidR="00B9394E" w:rsidRPr="009118AB">
        <w:t xml:space="preserve">mit dem in Artikel 178 </w:t>
      </w:r>
      <w:r w:rsidR="00D67EB8" w:rsidRPr="009118AB">
        <w:t>§ </w:t>
      </w:r>
      <w:r w:rsidR="00B9394E" w:rsidRPr="009118AB">
        <w:t xml:space="preserve">3 Absatz 1 </w:t>
      </w:r>
      <w:r w:rsidR="00D67EB8" w:rsidRPr="009118AB">
        <w:t>Nr. </w:t>
      </w:r>
      <w:r w:rsidR="00B9394E" w:rsidRPr="009118AB">
        <w:t>2 festgelegten Koeffizienten</w:t>
      </w:r>
      <w:r w:rsidR="00B9394E" w:rsidRPr="009118AB">
        <w:rPr>
          <w:iCs/>
        </w:rPr>
        <w:t>]</w:t>
      </w:r>
      <w:r w:rsidR="00E06F4E" w:rsidRPr="009118AB">
        <w:rPr>
          <w:iCs/>
        </w:rPr>
        <w:t>.]</w:t>
      </w:r>
    </w:p>
    <w:p w14:paraId="6E443094" w14:textId="77777777" w:rsidR="00E06F4E" w:rsidRPr="009118AB" w:rsidRDefault="00E06F4E" w:rsidP="00E06F4E">
      <w:pPr>
        <w:autoSpaceDE w:val="0"/>
        <w:autoSpaceDN w:val="0"/>
        <w:adjustRightInd w:val="0"/>
        <w:jc w:val="both"/>
        <w:rPr>
          <w:iCs/>
        </w:rPr>
      </w:pPr>
    </w:p>
    <w:p w14:paraId="49088CCF" w14:textId="77777777" w:rsidR="00E06F4E" w:rsidRPr="009118AB" w:rsidRDefault="00B20101" w:rsidP="00E06F4E">
      <w:pPr>
        <w:autoSpaceDE w:val="0"/>
        <w:autoSpaceDN w:val="0"/>
        <w:adjustRightInd w:val="0"/>
        <w:jc w:val="both"/>
        <w:rPr>
          <w:iCs/>
        </w:rPr>
      </w:pPr>
      <w:r w:rsidRPr="009118AB">
        <w:rPr>
          <w:iCs/>
        </w:rPr>
        <w:lastRenderedPageBreak/>
        <w:tab/>
      </w:r>
      <w:r w:rsidR="00E06F4E" w:rsidRPr="009118AB">
        <w:rPr>
          <w:iCs/>
        </w:rPr>
        <w:t>Der Restbetrag der übertragenen Steuergutschrift für Forschung und Entwicklung des ältesten Steuerjahres wird zuerst angerechnet.</w:t>
      </w:r>
    </w:p>
    <w:p w14:paraId="680EC287" w14:textId="77777777" w:rsidR="00E06F4E" w:rsidRPr="009118AB" w:rsidRDefault="00E06F4E" w:rsidP="00E06F4E">
      <w:pPr>
        <w:autoSpaceDE w:val="0"/>
        <w:autoSpaceDN w:val="0"/>
        <w:adjustRightInd w:val="0"/>
        <w:jc w:val="both"/>
        <w:rPr>
          <w:iCs/>
        </w:rPr>
      </w:pPr>
    </w:p>
    <w:p w14:paraId="1949B360" w14:textId="77777777" w:rsidR="00E06F4E" w:rsidRPr="009118AB" w:rsidRDefault="00B20101" w:rsidP="00E06F4E">
      <w:pPr>
        <w:autoSpaceDE w:val="0"/>
        <w:autoSpaceDN w:val="0"/>
        <w:adjustRightInd w:val="0"/>
        <w:jc w:val="both"/>
        <w:rPr>
          <w:iCs/>
        </w:rPr>
      </w:pPr>
      <w:r w:rsidRPr="009118AB">
        <w:rPr>
          <w:iCs/>
        </w:rPr>
        <w:tab/>
      </w:r>
      <w:r w:rsidR="00E06F4E" w:rsidRPr="009118AB">
        <w:rPr>
          <w:iCs/>
        </w:rPr>
        <w:t>Wenn für ein bestimmtes Steuerjahr ein Teil der Steuergutschrift für Forschung und Entwicklung, der sich auf dieses Steuerjahr bezieht, nicht auf die Steuer von fünf nachfolgenden Steuerjahren angerechnet werden kann, wird dieser Teil erstattet.</w:t>
      </w:r>
    </w:p>
    <w:p w14:paraId="3B7326CB" w14:textId="77777777" w:rsidR="00E06F4E" w:rsidRPr="009118AB" w:rsidRDefault="00E06F4E" w:rsidP="00E06F4E">
      <w:pPr>
        <w:autoSpaceDE w:val="0"/>
        <w:autoSpaceDN w:val="0"/>
        <w:adjustRightInd w:val="0"/>
        <w:jc w:val="both"/>
        <w:rPr>
          <w:iCs/>
        </w:rPr>
      </w:pPr>
    </w:p>
    <w:p w14:paraId="4BA40712" w14:textId="515E1019" w:rsidR="00E06F4E" w:rsidRPr="009118AB" w:rsidRDefault="00B20101" w:rsidP="00E06F4E">
      <w:pPr>
        <w:autoSpaceDE w:val="0"/>
        <w:autoSpaceDN w:val="0"/>
        <w:adjustRightInd w:val="0"/>
        <w:jc w:val="both"/>
        <w:rPr>
          <w:iCs/>
        </w:rPr>
      </w:pPr>
      <w:r w:rsidRPr="009118AB">
        <w:rPr>
          <w:iCs/>
        </w:rPr>
        <w:tab/>
      </w:r>
      <w:r w:rsidR="00D67EB8" w:rsidRPr="009118AB">
        <w:rPr>
          <w:iCs/>
        </w:rPr>
        <w:t>§ </w:t>
      </w:r>
      <w:r w:rsidR="00E06F4E" w:rsidRPr="009118AB">
        <w:rPr>
          <w:iCs/>
        </w:rPr>
        <w:t>2</w:t>
      </w:r>
      <w:r w:rsidR="00D67EB8" w:rsidRPr="009118AB">
        <w:rPr>
          <w:iCs/>
        </w:rPr>
        <w:t> - </w:t>
      </w:r>
      <w:r w:rsidR="00E06F4E" w:rsidRPr="009118AB">
        <w:rPr>
          <w:iCs/>
        </w:rPr>
        <w:t>Im Falle der Übernahme oder Änderung der Kontrolle einer Gesellschaft im Besteuerungszeitraum, die keinen rechtmäßigen finanziellen oder wirtschaftlichen Bedürfnissen entspricht, wird die noch nicht angerechnete Steuergutschrift weder auf die Gesellschaftssteuer in Bezug auf diesen Besteuerungszeitraum noch auf einen anderen späteren Besteuerungszeitraum übertragen.</w:t>
      </w:r>
    </w:p>
    <w:p w14:paraId="6EB028C2" w14:textId="77777777" w:rsidR="00E06F4E" w:rsidRPr="009118AB" w:rsidRDefault="00E06F4E" w:rsidP="00E06F4E">
      <w:pPr>
        <w:autoSpaceDE w:val="0"/>
        <w:autoSpaceDN w:val="0"/>
        <w:adjustRightInd w:val="0"/>
        <w:jc w:val="both"/>
        <w:rPr>
          <w:iCs/>
        </w:rPr>
      </w:pPr>
    </w:p>
    <w:p w14:paraId="771897E7" w14:textId="2B3E39BC" w:rsidR="00E06F4E" w:rsidRPr="009118AB" w:rsidRDefault="00B20101" w:rsidP="00E06F4E">
      <w:pPr>
        <w:autoSpaceDE w:val="0"/>
        <w:autoSpaceDN w:val="0"/>
        <w:adjustRightInd w:val="0"/>
        <w:jc w:val="both"/>
        <w:rPr>
          <w:iCs/>
        </w:rPr>
      </w:pPr>
      <w:r w:rsidRPr="009118AB">
        <w:rPr>
          <w:iCs/>
        </w:rPr>
        <w:tab/>
      </w:r>
      <w:r w:rsidR="00D67EB8" w:rsidRPr="009118AB">
        <w:rPr>
          <w:iCs/>
        </w:rPr>
        <w:t>§ </w:t>
      </w:r>
      <w:r w:rsidR="00E06F4E" w:rsidRPr="009118AB">
        <w:rPr>
          <w:iCs/>
        </w:rPr>
        <w:t>3</w:t>
      </w:r>
      <w:r w:rsidR="00D67EB8" w:rsidRPr="009118AB">
        <w:rPr>
          <w:iCs/>
        </w:rPr>
        <w:t> - </w:t>
      </w:r>
      <w:r w:rsidR="00E06F4E" w:rsidRPr="009118AB">
        <w:rPr>
          <w:iCs/>
        </w:rPr>
        <w:t>[…]]</w:t>
      </w:r>
    </w:p>
    <w:p w14:paraId="05887BD2" w14:textId="77777777" w:rsidR="00E06F4E" w:rsidRPr="009118AB" w:rsidRDefault="00E06F4E" w:rsidP="00E06F4E">
      <w:pPr>
        <w:autoSpaceDE w:val="0"/>
        <w:autoSpaceDN w:val="0"/>
        <w:adjustRightInd w:val="0"/>
        <w:jc w:val="both"/>
        <w:rPr>
          <w:iCs/>
        </w:rPr>
      </w:pPr>
    </w:p>
    <w:p w14:paraId="6002E75A" w14:textId="3A19BAC1" w:rsidR="00E06F4E" w:rsidRPr="009118AB" w:rsidRDefault="00E06F4E" w:rsidP="00E06F4E">
      <w:pPr>
        <w:autoSpaceDE w:val="0"/>
        <w:autoSpaceDN w:val="0"/>
        <w:adjustRightInd w:val="0"/>
        <w:jc w:val="both"/>
        <w:rPr>
          <w:iCs/>
        </w:rPr>
      </w:pPr>
      <w:r w:rsidRPr="009118AB">
        <w:rPr>
          <w:i/>
          <w:iCs/>
        </w:rPr>
        <w:t>[</w:t>
      </w:r>
      <w:r w:rsidR="00D67EB8" w:rsidRPr="009118AB">
        <w:rPr>
          <w:i/>
          <w:iCs/>
        </w:rPr>
        <w:t>Art. </w:t>
      </w:r>
      <w:r w:rsidRPr="009118AB">
        <w:rPr>
          <w:i/>
          <w:iCs/>
        </w:rPr>
        <w:t xml:space="preserve">292bis eingefügt durch </w:t>
      </w:r>
      <w:r w:rsidR="00D67EB8" w:rsidRPr="009118AB">
        <w:rPr>
          <w:i/>
          <w:iCs/>
        </w:rPr>
        <w:t>Art. </w:t>
      </w:r>
      <w:r w:rsidRPr="009118AB">
        <w:rPr>
          <w:i/>
          <w:iCs/>
        </w:rPr>
        <w:t>19 des G. vom 20. Dezember 1995 (B.S. vom 23. Dezember 1995</w:t>
      </w:r>
      <w:r w:rsidR="002B6419" w:rsidRPr="009118AB">
        <w:rPr>
          <w:i/>
          <w:iCs/>
        </w:rPr>
        <w:t>)</w:t>
      </w:r>
      <w:r w:rsidR="00D67EB8" w:rsidRPr="009118AB">
        <w:rPr>
          <w:i/>
          <w:iCs/>
        </w:rPr>
        <w:t> - </w:t>
      </w:r>
      <w:r w:rsidR="002B6419" w:rsidRPr="009118AB">
        <w:rPr>
          <w:i/>
          <w:iCs/>
        </w:rPr>
        <w:t>anwendbar ab dem Steuerjahr </w:t>
      </w:r>
      <w:r w:rsidRPr="009118AB">
        <w:rPr>
          <w:i/>
          <w:iCs/>
        </w:rPr>
        <w:t>1997</w:t>
      </w:r>
      <w:r w:rsidR="00FD68E8" w:rsidRPr="009118AB">
        <w:rPr>
          <w:i/>
          <w:iCs/>
        </w:rPr>
        <w:t> -,</w:t>
      </w:r>
      <w:r w:rsidRPr="009118AB">
        <w:rPr>
          <w:i/>
          <w:iCs/>
        </w:rPr>
        <w:t xml:space="preserve"> aufgehoben </w:t>
      </w:r>
      <w:r w:rsidR="002B6419" w:rsidRPr="009118AB">
        <w:rPr>
          <w:i/>
          <w:iCs/>
        </w:rPr>
        <w:t xml:space="preserve">durch </w:t>
      </w:r>
      <w:r w:rsidR="00D67EB8" w:rsidRPr="009118AB">
        <w:rPr>
          <w:i/>
          <w:iCs/>
        </w:rPr>
        <w:t>Art. </w:t>
      </w:r>
      <w:r w:rsidR="002B6419" w:rsidRPr="009118AB">
        <w:rPr>
          <w:i/>
          <w:iCs/>
        </w:rPr>
        <w:t xml:space="preserve">16 des G. </w:t>
      </w:r>
      <w:r w:rsidRPr="009118AB">
        <w:rPr>
          <w:i/>
          <w:iCs/>
        </w:rPr>
        <w:t>vom 22. Juni 2005 (B.S. vom 30. Juni 2005)</w:t>
      </w:r>
      <w:r w:rsidR="00D67EB8" w:rsidRPr="009118AB">
        <w:rPr>
          <w:i/>
          <w:iCs/>
        </w:rPr>
        <w:t> - </w:t>
      </w:r>
      <w:r w:rsidRPr="009118AB">
        <w:rPr>
          <w:i/>
          <w:iCs/>
        </w:rPr>
        <w:t>in Kraft ab dem Steuerjahr 2007</w:t>
      </w:r>
      <w:r w:rsidR="00D67EB8" w:rsidRPr="009118AB">
        <w:rPr>
          <w:i/>
          <w:iCs/>
        </w:rPr>
        <w:t> - </w:t>
      </w:r>
      <w:r w:rsidRPr="009118AB">
        <w:rPr>
          <w:i/>
          <w:iCs/>
        </w:rPr>
        <w:t>un</w:t>
      </w:r>
      <w:r w:rsidR="002B6419" w:rsidRPr="009118AB">
        <w:rPr>
          <w:i/>
          <w:iCs/>
        </w:rPr>
        <w:t xml:space="preserve">d wieder aufgenommen durch </w:t>
      </w:r>
      <w:r w:rsidR="00D67EB8" w:rsidRPr="009118AB">
        <w:rPr>
          <w:i/>
          <w:iCs/>
        </w:rPr>
        <w:t>Art. </w:t>
      </w:r>
      <w:r w:rsidRPr="009118AB">
        <w:rPr>
          <w:i/>
          <w:iCs/>
        </w:rPr>
        <w:t>130 des</w:t>
      </w:r>
      <w:r w:rsidR="002B6419" w:rsidRPr="009118AB">
        <w:rPr>
          <w:i/>
          <w:iCs/>
        </w:rPr>
        <w:t xml:space="preserve"> G. vom 23. Dezember 2005 (B.S. </w:t>
      </w:r>
      <w:r w:rsidRPr="009118AB">
        <w:rPr>
          <w:i/>
          <w:iCs/>
        </w:rPr>
        <w:t>vom 30. Dezember 2005)</w:t>
      </w:r>
      <w:r w:rsidR="00D67EB8" w:rsidRPr="009118AB">
        <w:rPr>
          <w:i/>
          <w:iCs/>
        </w:rPr>
        <w:t> - </w:t>
      </w:r>
      <w:r w:rsidRPr="009118AB">
        <w:rPr>
          <w:rFonts w:ascii="Times New Roman Italique" w:hAnsi="Times New Roman Italique"/>
          <w:i/>
          <w:iCs/>
          <w:spacing w:val="-2"/>
        </w:rPr>
        <w:t>in Kraft ab dem Steuerjahr 2007</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2B6419"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872410" w:rsidRPr="009118AB">
        <w:rPr>
          <w:rFonts w:ascii="Times New Roman Italique" w:hAnsi="Times New Roman Italique"/>
          <w:i/>
          <w:iCs/>
          <w:spacing w:val="-2"/>
        </w:rPr>
        <w:t xml:space="preserve">1 abgeändert durch </w:t>
      </w:r>
      <w:r w:rsidR="00D67EB8" w:rsidRPr="009118AB">
        <w:rPr>
          <w:rFonts w:ascii="Times New Roman Italique" w:hAnsi="Times New Roman Italique"/>
          <w:i/>
          <w:iCs/>
          <w:spacing w:val="-2"/>
        </w:rPr>
        <w:t>Art. </w:t>
      </w:r>
      <w:r w:rsidR="00872410" w:rsidRPr="009118AB">
        <w:rPr>
          <w:rFonts w:ascii="Times New Roman Italique" w:hAnsi="Times New Roman Italique"/>
          <w:i/>
          <w:iCs/>
          <w:spacing w:val="-2"/>
        </w:rPr>
        <w:t>153 d</w:t>
      </w:r>
      <w:r w:rsidR="002B6419" w:rsidRPr="009118AB">
        <w:rPr>
          <w:rFonts w:ascii="Times New Roman Italique" w:hAnsi="Times New Roman Italique"/>
          <w:i/>
          <w:iCs/>
          <w:spacing w:val="-2"/>
        </w:rPr>
        <w:t>es G. (I) vom 22. Dezember 2008 </w:t>
      </w:r>
      <w:r w:rsidR="00872410" w:rsidRPr="009118AB">
        <w:rPr>
          <w:rFonts w:ascii="Times New Roman Italique" w:hAnsi="Times New Roman Italique"/>
          <w:i/>
          <w:iCs/>
          <w:spacing w:val="-2"/>
        </w:rPr>
        <w:t>(II) (B.S. vom 29. Dezember 2008)</w:t>
      </w:r>
      <w:r w:rsidR="00D67EB8" w:rsidRPr="009118AB">
        <w:rPr>
          <w:rFonts w:ascii="Times New Roman Italique" w:hAnsi="Times New Roman Italique"/>
          <w:i/>
          <w:iCs/>
          <w:spacing w:val="-2"/>
        </w:rPr>
        <w:t> - </w:t>
      </w:r>
      <w:r w:rsidR="00872410" w:rsidRPr="009118AB">
        <w:rPr>
          <w:rFonts w:ascii="Times New Roman Italique" w:hAnsi="Times New Roman Italique"/>
          <w:i/>
          <w:iCs/>
          <w:spacing w:val="-2"/>
        </w:rPr>
        <w:t>anwendbar ab dem Steuerjahr 2009</w:t>
      </w:r>
      <w:r w:rsidR="003366D9" w:rsidRPr="009118AB">
        <w:rPr>
          <w:rFonts w:ascii="Times New Roman Italique" w:hAnsi="Times New Roman Italique"/>
          <w:i/>
          <w:iCs/>
          <w:spacing w:val="-2"/>
        </w:rPr>
        <w:t> -;</w:t>
      </w:r>
      <w:r w:rsidR="00872410" w:rsidRPr="009118AB">
        <w:rPr>
          <w:i/>
          <w:iCs/>
          <w:spacing w:val="-2"/>
        </w:rPr>
        <w:t xml:space="preserve"> </w:t>
      </w:r>
      <w:r w:rsidR="00D67EB8" w:rsidRPr="009118AB">
        <w:rPr>
          <w:i/>
          <w:iCs/>
          <w:spacing w:val="-2"/>
        </w:rPr>
        <w:t>§ </w:t>
      </w:r>
      <w:r w:rsidR="002B6419" w:rsidRPr="009118AB">
        <w:rPr>
          <w:i/>
          <w:iCs/>
          <w:spacing w:val="-2"/>
        </w:rPr>
        <w:t xml:space="preserve">1 </w:t>
      </w:r>
      <w:r w:rsidR="00D67EB8" w:rsidRPr="009118AB">
        <w:rPr>
          <w:i/>
          <w:iCs/>
          <w:spacing w:val="-2"/>
        </w:rPr>
        <w:t>Abs. </w:t>
      </w:r>
      <w:r w:rsidR="002B6419" w:rsidRPr="009118AB">
        <w:rPr>
          <w:i/>
          <w:iCs/>
          <w:spacing w:val="-2"/>
        </w:rPr>
        <w:t xml:space="preserve">3 </w:t>
      </w:r>
      <w:r w:rsidR="00B9394E" w:rsidRPr="009118AB">
        <w:rPr>
          <w:i/>
          <w:iCs/>
          <w:spacing w:val="-2"/>
        </w:rPr>
        <w:t>abgeänder</w:t>
      </w:r>
      <w:r w:rsidR="002B6419" w:rsidRPr="009118AB">
        <w:rPr>
          <w:i/>
          <w:iCs/>
          <w:spacing w:val="-2"/>
        </w:rPr>
        <w:t xml:space="preserve">t durch </w:t>
      </w:r>
      <w:r w:rsidR="00D67EB8" w:rsidRPr="009118AB">
        <w:rPr>
          <w:i/>
          <w:iCs/>
          <w:spacing w:val="-2"/>
        </w:rPr>
        <w:t>Art. </w:t>
      </w:r>
      <w:r w:rsidRPr="009118AB">
        <w:rPr>
          <w:i/>
          <w:iCs/>
          <w:spacing w:val="-2"/>
        </w:rPr>
        <w:t>288</w:t>
      </w:r>
      <w:r w:rsidRPr="009118AB">
        <w:rPr>
          <w:iCs/>
          <w:spacing w:val="-2"/>
        </w:rPr>
        <w:t xml:space="preserve"> </w:t>
      </w:r>
      <w:r w:rsidR="002B6419" w:rsidRPr="009118AB">
        <w:rPr>
          <w:i/>
          <w:iCs/>
          <w:spacing w:val="-2"/>
        </w:rPr>
        <w:t>des G. </w:t>
      </w:r>
      <w:r w:rsidRPr="009118AB">
        <w:rPr>
          <w:i/>
          <w:iCs/>
          <w:spacing w:val="-2"/>
        </w:rPr>
        <w:t>(I) vom 27. Dezember 2006</w:t>
      </w:r>
      <w:r w:rsidR="002B6419" w:rsidRPr="009118AB">
        <w:rPr>
          <w:i/>
          <w:iCs/>
          <w:spacing w:val="-2"/>
        </w:rPr>
        <w:t> </w:t>
      </w:r>
      <w:r w:rsidRPr="009118AB">
        <w:rPr>
          <w:i/>
          <w:iCs/>
          <w:spacing w:val="-2"/>
        </w:rPr>
        <w:t>(II) (B.S. vom 28. Dezember 2006)</w:t>
      </w:r>
      <w:r w:rsidR="00D67EB8" w:rsidRPr="009118AB">
        <w:rPr>
          <w:i/>
          <w:iCs/>
          <w:spacing w:val="-2"/>
        </w:rPr>
        <w:t> - </w:t>
      </w:r>
      <w:r w:rsidRPr="009118AB">
        <w:rPr>
          <w:i/>
          <w:iCs/>
          <w:spacing w:val="-2"/>
        </w:rPr>
        <w:t>anwendbar ab dem Steuerjahr 2007</w:t>
      </w:r>
      <w:r w:rsidR="00D67EB8" w:rsidRPr="009118AB">
        <w:rPr>
          <w:i/>
          <w:iCs/>
          <w:spacing w:val="-2"/>
        </w:rPr>
        <w:t> - </w:t>
      </w:r>
      <w:r w:rsidR="00B9394E" w:rsidRPr="009118AB">
        <w:rPr>
          <w:i/>
          <w:iCs/>
          <w:spacing w:val="-2"/>
        </w:rPr>
        <w:t xml:space="preserve">und </w:t>
      </w:r>
      <w:r w:rsidR="00D67EB8" w:rsidRPr="009118AB">
        <w:rPr>
          <w:i/>
          <w:iCs/>
          <w:spacing w:val="-2"/>
        </w:rPr>
        <w:t>Art. </w:t>
      </w:r>
      <w:r w:rsidR="00B9394E" w:rsidRPr="009118AB">
        <w:rPr>
          <w:i/>
          <w:iCs/>
          <w:spacing w:val="-2"/>
        </w:rPr>
        <w:t>10</w:t>
      </w:r>
      <w:r w:rsidR="00B9394E" w:rsidRPr="009118AB">
        <w:rPr>
          <w:i/>
          <w:iCs/>
          <w:spacing w:val="-1"/>
        </w:rPr>
        <w:t xml:space="preserve"> des G. vom 19. Dezember 2014 (B.S. vom 29. Dezember 2014)</w:t>
      </w:r>
      <w:r w:rsidR="00D67EB8" w:rsidRPr="009118AB">
        <w:rPr>
          <w:i/>
          <w:iCs/>
          <w:spacing w:val="-1"/>
        </w:rPr>
        <w:t> - </w:t>
      </w:r>
      <w:r w:rsidR="00B9394E" w:rsidRPr="009118AB">
        <w:rPr>
          <w:i/>
          <w:iCs/>
          <w:spacing w:val="-1"/>
        </w:rPr>
        <w:t>anwendbar ab dem Steuerjahr 2015</w:t>
      </w:r>
      <w:r w:rsidR="003366D9" w:rsidRPr="009118AB">
        <w:rPr>
          <w:i/>
          <w:iCs/>
          <w:spacing w:val="-1"/>
        </w:rPr>
        <w:t> -;</w:t>
      </w:r>
      <w:r w:rsidR="002B6419" w:rsidRPr="009118AB">
        <w:rPr>
          <w:i/>
          <w:iCs/>
        </w:rPr>
        <w:t xml:space="preserve"> </w:t>
      </w:r>
      <w:r w:rsidR="00D67EB8" w:rsidRPr="009118AB">
        <w:rPr>
          <w:i/>
          <w:iCs/>
        </w:rPr>
        <w:t>§ </w:t>
      </w:r>
      <w:r w:rsidR="002B6419" w:rsidRPr="009118AB">
        <w:rPr>
          <w:i/>
          <w:iCs/>
        </w:rPr>
        <w:t xml:space="preserve">3 aufgehoben durch </w:t>
      </w:r>
      <w:r w:rsidR="00D67EB8" w:rsidRPr="009118AB">
        <w:rPr>
          <w:i/>
          <w:iCs/>
        </w:rPr>
        <w:t>Art. </w:t>
      </w:r>
      <w:r w:rsidR="000326D3" w:rsidRPr="009118AB">
        <w:rPr>
          <w:i/>
          <w:iCs/>
        </w:rPr>
        <w:t xml:space="preserve">31 des G. </w:t>
      </w:r>
      <w:r w:rsidRPr="009118AB">
        <w:rPr>
          <w:i/>
          <w:iCs/>
        </w:rPr>
        <w:t>vom 11. Dezember 20</w:t>
      </w:r>
      <w:r w:rsidR="004F7F42" w:rsidRPr="009118AB">
        <w:rPr>
          <w:i/>
          <w:iCs/>
        </w:rPr>
        <w:t>08 (B.S. vom 12. Januar 2009)</w:t>
      </w:r>
      <w:r w:rsidR="00D67EB8" w:rsidRPr="009118AB">
        <w:rPr>
          <w:i/>
          <w:iCs/>
        </w:rPr>
        <w:t> - </w:t>
      </w:r>
      <w:r w:rsidRPr="009118AB">
        <w:rPr>
          <w:i/>
          <w:iCs/>
        </w:rPr>
        <w:t>anwendbar auf Vorgänge oder Verlegungen, d</w:t>
      </w:r>
      <w:r w:rsidR="000326D3" w:rsidRPr="009118AB">
        <w:rPr>
          <w:i/>
          <w:iCs/>
        </w:rPr>
        <w:t>ie ab dem 12. Januar 2009 statt</w:t>
      </w:r>
      <w:r w:rsidRPr="009118AB">
        <w:rPr>
          <w:i/>
          <w:iCs/>
        </w:rPr>
        <w:t>finden</w:t>
      </w:r>
      <w:r w:rsidR="00FD68E8" w:rsidRPr="009118AB">
        <w:rPr>
          <w:i/>
          <w:iCs/>
        </w:rPr>
        <w:t> -]</w:t>
      </w:r>
    </w:p>
    <w:p w14:paraId="6A724D25" w14:textId="77777777" w:rsidR="00E06F4E" w:rsidRDefault="00E06F4E" w:rsidP="00E06F4E">
      <w:pPr>
        <w:autoSpaceDE w:val="0"/>
        <w:autoSpaceDN w:val="0"/>
        <w:adjustRightInd w:val="0"/>
        <w:jc w:val="both"/>
      </w:pPr>
    </w:p>
    <w:p w14:paraId="2C266194" w14:textId="77777777" w:rsidR="00575008" w:rsidRDefault="00575008" w:rsidP="00E06F4E">
      <w:pPr>
        <w:autoSpaceDE w:val="0"/>
        <w:autoSpaceDN w:val="0"/>
        <w:adjustRightInd w:val="0"/>
        <w:jc w:val="both"/>
      </w:pPr>
    </w:p>
    <w:p w14:paraId="41FC2618" w14:textId="221B46BC" w:rsidR="00575008" w:rsidRPr="00700308" w:rsidRDefault="00575008" w:rsidP="00575008">
      <w:pPr>
        <w:ind w:firstLine="708"/>
        <w:jc w:val="both"/>
      </w:pPr>
      <w:r>
        <w:tab/>
        <w:t>[</w:t>
      </w:r>
      <w:r w:rsidRPr="00575008">
        <w:rPr>
          <w:b/>
          <w:bCs/>
        </w:rPr>
        <w:t>Art. 292</w:t>
      </w:r>
      <w:r w:rsidRPr="00575008">
        <w:rPr>
          <w:b/>
          <w:bCs/>
          <w:i/>
          <w:iCs/>
        </w:rPr>
        <w:t>ter</w:t>
      </w:r>
      <w:r w:rsidRPr="00700308">
        <w:t> - § 1 ­ Die Steuergutschrift für Einkünfte aus Innovationen wird vollständig auf die Gesellschaftssteuer oder für die in Artikel 227 Nr. 2 erwähnten Steuerpflichtigen auf die Steuer der Gebietsfremden angerechnet.</w:t>
      </w:r>
    </w:p>
    <w:p w14:paraId="014E39AB" w14:textId="77777777" w:rsidR="00575008" w:rsidRPr="00700308" w:rsidRDefault="00575008" w:rsidP="00575008">
      <w:pPr>
        <w:jc w:val="both"/>
      </w:pPr>
    </w:p>
    <w:p w14:paraId="31070B85" w14:textId="77777777" w:rsidR="00575008" w:rsidRPr="00700308" w:rsidRDefault="00575008" w:rsidP="00575008">
      <w:pPr>
        <w:ind w:firstLine="708"/>
        <w:jc w:val="both"/>
      </w:pPr>
      <w:r w:rsidRPr="00700308">
        <w:t>Der Steuerpflichtige kann dafür optieren, die in Absatz 1 erwähnte Steuergutschrift für Einkünfte aus Innovationen ganz oder teilweise nicht anrechnen zu lassen.</w:t>
      </w:r>
    </w:p>
    <w:p w14:paraId="7651C235" w14:textId="77777777" w:rsidR="00575008" w:rsidRPr="00700308" w:rsidRDefault="00575008" w:rsidP="00575008">
      <w:pPr>
        <w:jc w:val="both"/>
      </w:pPr>
    </w:p>
    <w:p w14:paraId="39946F3E" w14:textId="77777777" w:rsidR="00575008" w:rsidRPr="00700308" w:rsidRDefault="00575008" w:rsidP="00575008">
      <w:pPr>
        <w:ind w:firstLine="708"/>
        <w:jc w:val="both"/>
      </w:pPr>
      <w:r w:rsidRPr="00700308">
        <w:t>Gibt es während eines Steuerjahres keine oder unzureichende Steuern, auf die die Steuergutschrift für Einkünfte aus Innovationen angerechnet werden kann, und/oder optiert der Steuerpflichtige gemäß Absatz 2 dafür, die Steuergutschrift ganz oder teilweise nicht anzurechnen, wird die für dieses Steuerjahr nicht angerechnete Steuergutschrift auf die folgenden Steuerjahre übertragen.</w:t>
      </w:r>
    </w:p>
    <w:p w14:paraId="0E7C62B0" w14:textId="77777777" w:rsidR="00575008" w:rsidRPr="00700308" w:rsidRDefault="00575008" w:rsidP="00575008">
      <w:pPr>
        <w:jc w:val="both"/>
      </w:pPr>
    </w:p>
    <w:p w14:paraId="54E2A026" w14:textId="2EDC2F1A" w:rsidR="00575008" w:rsidRDefault="00575008" w:rsidP="00575008">
      <w:pPr>
        <w:ind w:firstLine="708"/>
        <w:jc w:val="both"/>
      </w:pPr>
      <w:r w:rsidRPr="00700308">
        <w:t>§ 2 ­ Im Falle der Übernahme oder Änderung der Kontrolle einer Gesellschaft im Besteuerungszeitraum, die keinen rechtmäßigen finanziellen oder wirtschaftlichen Bedürfnissen entspricht, wird die noch nicht angerechnete Steuergutschrift weder auf die Gesellschaftssteuer in Bezug auf diesen Besteuerungszeitraum noch auf einen anderen späteren Besteuerungszeitraum übertragen.</w:t>
      </w:r>
      <w:r>
        <w:t>]</w:t>
      </w:r>
    </w:p>
    <w:p w14:paraId="55B69C3A" w14:textId="77777777" w:rsidR="00575008" w:rsidRDefault="00575008" w:rsidP="00575008">
      <w:pPr>
        <w:ind w:firstLine="708"/>
        <w:jc w:val="both"/>
      </w:pPr>
    </w:p>
    <w:p w14:paraId="27D185E2" w14:textId="0EAE3B53" w:rsidR="00575008" w:rsidRPr="00575008" w:rsidRDefault="00575008" w:rsidP="00575008">
      <w:pPr>
        <w:jc w:val="both"/>
        <w:rPr>
          <w:i/>
          <w:iCs/>
        </w:rPr>
      </w:pPr>
      <w:r>
        <w:rPr>
          <w:i/>
          <w:iCs/>
        </w:rPr>
        <w:t>[Art. 292ter eingefügt durch Art. 26</w:t>
      </w:r>
      <w:r w:rsidRPr="00575008">
        <w:rPr>
          <w:i/>
          <w:iCs/>
        </w:rPr>
        <w:t xml:space="preserve"> des G. vom 12. Mai 2024 (B.S. vom 29. Mai 2024) - anwendbar ab dem Steuerjahr 2025 -</w:t>
      </w:r>
      <w:r>
        <w:rPr>
          <w:i/>
          <w:iCs/>
        </w:rPr>
        <w:t>]</w:t>
      </w:r>
    </w:p>
    <w:p w14:paraId="071FD193" w14:textId="1526C413" w:rsidR="00575008" w:rsidRPr="009118AB" w:rsidRDefault="00575008" w:rsidP="00E06F4E">
      <w:pPr>
        <w:autoSpaceDE w:val="0"/>
        <w:autoSpaceDN w:val="0"/>
        <w:adjustRightInd w:val="0"/>
        <w:jc w:val="both"/>
      </w:pPr>
    </w:p>
    <w:p w14:paraId="3E068265" w14:textId="77777777" w:rsidR="00477B8F" w:rsidRPr="009118AB" w:rsidRDefault="00477B8F" w:rsidP="00477B8F">
      <w:pPr>
        <w:autoSpaceDE w:val="0"/>
        <w:autoSpaceDN w:val="0"/>
        <w:adjustRightInd w:val="0"/>
        <w:jc w:val="both"/>
      </w:pPr>
    </w:p>
    <w:p w14:paraId="1AC5437F" w14:textId="32346224"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293</w:t>
      </w:r>
      <w:r w:rsidR="00D67EB8" w:rsidRPr="009118AB">
        <w:t> - </w:t>
      </w:r>
      <w:r w:rsidRPr="009118AB">
        <w:t>Kein Vorabzug wird auf die gemäß Artikel 225 Absatz 2 festgelegten Veranlagungen zur Steuer der juristischen Personen angerechnet.</w:t>
      </w:r>
    </w:p>
    <w:p w14:paraId="1CBB1AB5" w14:textId="77777777" w:rsidR="00477B8F" w:rsidRPr="009118AB" w:rsidRDefault="00477B8F" w:rsidP="00477B8F">
      <w:pPr>
        <w:autoSpaceDE w:val="0"/>
        <w:autoSpaceDN w:val="0"/>
        <w:adjustRightInd w:val="0"/>
        <w:jc w:val="both"/>
      </w:pPr>
    </w:p>
    <w:p w14:paraId="50FC54BD" w14:textId="77777777" w:rsidR="00477B8F" w:rsidRPr="009118AB" w:rsidRDefault="00477B8F" w:rsidP="00477B8F">
      <w:pPr>
        <w:autoSpaceDE w:val="0"/>
        <w:autoSpaceDN w:val="0"/>
        <w:adjustRightInd w:val="0"/>
        <w:jc w:val="both"/>
      </w:pPr>
    </w:p>
    <w:p w14:paraId="7B4BBF55" w14:textId="5B3D6404"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294</w:t>
      </w:r>
      <w:r w:rsidR="00D67EB8" w:rsidRPr="009118AB">
        <w:t> - </w:t>
      </w:r>
      <w:r w:rsidRPr="009118AB">
        <w:t xml:space="preserve">Die Bestimmungen der Artikel 290 bis 292 sind gemäß der [in den Artikeln 243 bis 245 und 246 Absatz 1 </w:t>
      </w:r>
      <w:r w:rsidR="00D67EB8" w:rsidRPr="009118AB">
        <w:t>Nr. </w:t>
      </w:r>
      <w:r w:rsidRPr="009118AB">
        <w:t>1 und Absatz 2] erwähnten Unterscheidung ebenfalls auf die in Artikel 227 erwähnten Gebietsfremden anwendbar.</w:t>
      </w:r>
    </w:p>
    <w:p w14:paraId="23F81691" w14:textId="77777777" w:rsidR="00F54FBD" w:rsidRPr="009118AB" w:rsidRDefault="00F54FBD" w:rsidP="00477B8F">
      <w:pPr>
        <w:autoSpaceDE w:val="0"/>
        <w:autoSpaceDN w:val="0"/>
        <w:adjustRightInd w:val="0"/>
        <w:jc w:val="both"/>
      </w:pPr>
    </w:p>
    <w:p w14:paraId="7F8687B9" w14:textId="77777777" w:rsidR="00F54FBD" w:rsidRPr="009118AB" w:rsidRDefault="00F54FBD" w:rsidP="00F54FBD">
      <w:pPr>
        <w:jc w:val="both"/>
      </w:pPr>
      <w:r w:rsidRPr="009118AB">
        <w:tab/>
        <w:t>[Für die in Artikel 232 erwähnten Gebietsfremden gilt jedoch für die Anwendung der Artikel 290 und 291 Folgendes:</w:t>
      </w:r>
    </w:p>
    <w:p w14:paraId="6711B63F" w14:textId="77777777" w:rsidR="00F54FBD" w:rsidRPr="009118AB" w:rsidRDefault="00F54FBD" w:rsidP="00F54FBD">
      <w:pPr>
        <w:jc w:val="both"/>
      </w:pPr>
    </w:p>
    <w:p w14:paraId="2D897A69" w14:textId="77777777" w:rsidR="00F54FBD" w:rsidRPr="009118AB" w:rsidRDefault="00F54FBD" w:rsidP="00F54FBD">
      <w:pPr>
        <w:jc w:val="both"/>
      </w:pPr>
      <w:r w:rsidRPr="009118AB">
        <w:tab/>
        <w:t>1. Wenn die Steuer gemäß Artikel 243 oder 243/1 festgelegt wird, ist unter "Staatssteuer" die gemäß den Artikeln 130 bis 145, 146 bis 154, 169 und 171 bis 174 berechnete Steuer zu verstehen.</w:t>
      </w:r>
    </w:p>
    <w:p w14:paraId="0E29DABA" w14:textId="77777777" w:rsidR="00F54FBD" w:rsidRPr="009118AB" w:rsidRDefault="00F54FBD" w:rsidP="00F54FBD">
      <w:pPr>
        <w:jc w:val="both"/>
      </w:pPr>
    </w:p>
    <w:p w14:paraId="76B8B71B" w14:textId="77777777" w:rsidR="00F54FBD" w:rsidRPr="009118AB" w:rsidRDefault="00F54FBD" w:rsidP="00F54FBD">
      <w:pPr>
        <w:jc w:val="both"/>
      </w:pPr>
      <w:r w:rsidRPr="009118AB">
        <w:tab/>
        <w:t>2. Unter "Steuer" ist zu verstehen:</w:t>
      </w:r>
    </w:p>
    <w:p w14:paraId="27558716" w14:textId="77777777" w:rsidR="00F54FBD" w:rsidRPr="009118AB" w:rsidRDefault="00F54FBD" w:rsidP="00F54FBD">
      <w:pPr>
        <w:jc w:val="both"/>
      </w:pPr>
    </w:p>
    <w:p w14:paraId="172C2FA3" w14:textId="7A4DAA22" w:rsidR="00F54FBD" w:rsidRPr="009118AB" w:rsidRDefault="00F54FBD" w:rsidP="00F54FBD">
      <w:pPr>
        <w:jc w:val="both"/>
      </w:pPr>
      <w:r w:rsidRPr="009118AB">
        <w:tab/>
        <w:t xml:space="preserve">- wenn die Steuer gemäß Artikel 243 festgelegt wird: die Gesamtsteuer wie in Artikel 243 Absatz 3 </w:t>
      </w:r>
      <w:r w:rsidR="00D67EB8" w:rsidRPr="009118AB">
        <w:t>Nr. </w:t>
      </w:r>
      <w:r w:rsidRPr="009118AB">
        <w:t>3 bestimmt, erhöht um die in den Artikeln </w:t>
      </w:r>
      <w:r w:rsidR="0052245F" w:rsidRPr="009118AB">
        <w:t xml:space="preserve">[25/1, 27/1,] </w:t>
      </w:r>
      <w:r w:rsidR="002678A9" w:rsidRPr="009118AB">
        <w:t>[</w:t>
      </w:r>
      <w:r w:rsidR="00B90C34" w:rsidRPr="009118AB">
        <w:t>...</w:t>
      </w:r>
      <w:r w:rsidR="002678A9" w:rsidRPr="009118AB">
        <w:t xml:space="preserve">] </w:t>
      </w:r>
      <w:r w:rsidR="00AF2838" w:rsidRPr="009118AB">
        <w:t>[145</w:t>
      </w:r>
      <w:r w:rsidR="00AF2838" w:rsidRPr="009118AB">
        <w:rPr>
          <w:vertAlign w:val="superscript"/>
        </w:rPr>
        <w:t>26</w:t>
      </w:r>
      <w:r w:rsidR="00AF2838" w:rsidRPr="009118AB">
        <w:t xml:space="preserve"> </w:t>
      </w:r>
      <w:r w:rsidR="00D67EB8" w:rsidRPr="009118AB">
        <w:t>§ </w:t>
      </w:r>
      <w:r w:rsidR="00AF2838" w:rsidRPr="009118AB">
        <w:t xml:space="preserve">5, </w:t>
      </w:r>
      <w:r w:rsidR="00FB0979" w:rsidRPr="009118AB">
        <w:t>[</w:t>
      </w:r>
      <w:r w:rsidR="00FB0979" w:rsidRPr="009118AB">
        <w:rPr>
          <w:rFonts w:eastAsia="Calibri"/>
        </w:rPr>
        <w:t>145</w:t>
      </w:r>
      <w:r w:rsidR="00FB0979" w:rsidRPr="009118AB">
        <w:rPr>
          <w:rFonts w:eastAsia="Calibri"/>
          <w:vertAlign w:val="superscript"/>
        </w:rPr>
        <w:t>27</w:t>
      </w:r>
      <w:r w:rsidR="00FB0979" w:rsidRPr="009118AB">
        <w:rPr>
          <w:rFonts w:eastAsia="Calibri"/>
        </w:rPr>
        <w:t xml:space="preserve"> </w:t>
      </w:r>
      <w:r w:rsidR="00D67EB8" w:rsidRPr="009118AB">
        <w:rPr>
          <w:rFonts w:eastAsia="Calibri"/>
        </w:rPr>
        <w:t>§ </w:t>
      </w:r>
      <w:r w:rsidR="00FB0979" w:rsidRPr="009118AB">
        <w:rPr>
          <w:rFonts w:eastAsia="Calibri"/>
        </w:rPr>
        <w:t>4, 145</w:t>
      </w:r>
      <w:r w:rsidR="00FB0979" w:rsidRPr="009118AB">
        <w:rPr>
          <w:rFonts w:eastAsia="Calibri"/>
          <w:vertAlign w:val="superscript"/>
        </w:rPr>
        <w:t>32</w:t>
      </w:r>
      <w:r w:rsidR="00FB0979" w:rsidRPr="009118AB">
        <w:rPr>
          <w:rFonts w:eastAsia="Calibri"/>
        </w:rPr>
        <w:t xml:space="preserve"> </w:t>
      </w:r>
      <w:r w:rsidR="00D67EB8" w:rsidRPr="009118AB">
        <w:rPr>
          <w:rFonts w:eastAsia="Calibri"/>
        </w:rPr>
        <w:t>§ </w:t>
      </w:r>
      <w:r w:rsidR="00FB0979" w:rsidRPr="009118AB">
        <w:rPr>
          <w:rFonts w:eastAsia="Calibri"/>
        </w:rPr>
        <w:t>2</w:t>
      </w:r>
      <w:r w:rsidR="00FB0979" w:rsidRPr="009118AB">
        <w:t>]</w:t>
      </w:r>
      <w:r w:rsidR="00AF2838" w:rsidRPr="009118AB">
        <w:t>]</w:t>
      </w:r>
      <w:r w:rsidR="000E76CC" w:rsidRPr="009118AB">
        <w:t>[,</w:t>
      </w:r>
      <w:r w:rsidRPr="009118AB">
        <w:t xml:space="preserve"> 157</w:t>
      </w:r>
      <w:r w:rsidR="000E76CC" w:rsidRPr="009118AB">
        <w:t xml:space="preserve"> und 168/1]</w:t>
      </w:r>
      <w:r w:rsidRPr="009118AB">
        <w:t xml:space="preserve"> erwähnten Erhöhungen,</w:t>
      </w:r>
    </w:p>
    <w:p w14:paraId="152C2F1F" w14:textId="77777777" w:rsidR="00F54FBD" w:rsidRPr="009118AB" w:rsidRDefault="00F54FBD" w:rsidP="00F54FBD">
      <w:pPr>
        <w:jc w:val="both"/>
      </w:pPr>
    </w:p>
    <w:p w14:paraId="5B1886DC" w14:textId="2BBFA31D" w:rsidR="00F54FBD" w:rsidRPr="009118AB" w:rsidRDefault="00F54FBD" w:rsidP="00F54FBD">
      <w:pPr>
        <w:jc w:val="both"/>
      </w:pPr>
      <w:r w:rsidRPr="009118AB">
        <w:tab/>
        <w:t xml:space="preserve">- wenn die Steuer gemäß Artikel 243/1 festgelegt wird: die Gesamtsteuer wie in Artikel 243/1 </w:t>
      </w:r>
      <w:r w:rsidR="00D67EB8" w:rsidRPr="009118AB">
        <w:t>Nr. </w:t>
      </w:r>
      <w:r w:rsidRPr="009118AB">
        <w:t>4 bestimmt, erhöht um die in den Artikeln </w:t>
      </w:r>
      <w:r w:rsidR="0052245F" w:rsidRPr="009118AB">
        <w:t xml:space="preserve">[25/1, 27/1,] </w:t>
      </w:r>
      <w:r w:rsidR="002678A9" w:rsidRPr="009118AB">
        <w:t>[</w:t>
      </w:r>
      <w:r w:rsidR="00B90C34" w:rsidRPr="009118AB">
        <w:t>...</w:t>
      </w:r>
      <w:r w:rsidR="002678A9" w:rsidRPr="009118AB">
        <w:t xml:space="preserve">] </w:t>
      </w:r>
      <w:r w:rsidRPr="009118AB">
        <w:t>145</w:t>
      </w:r>
      <w:r w:rsidRPr="009118AB">
        <w:rPr>
          <w:vertAlign w:val="superscript"/>
        </w:rPr>
        <w:t>7</w:t>
      </w:r>
      <w:r w:rsidRPr="009118AB">
        <w:t xml:space="preserve"> </w:t>
      </w:r>
      <w:r w:rsidR="00D67EB8" w:rsidRPr="009118AB">
        <w:t>§ </w:t>
      </w:r>
      <w:r w:rsidRPr="009118AB">
        <w:t xml:space="preserve">2, </w:t>
      </w:r>
      <w:r w:rsidR="00AF2838" w:rsidRPr="009118AB">
        <w:t>[145</w:t>
      </w:r>
      <w:r w:rsidR="00AF2838" w:rsidRPr="009118AB">
        <w:rPr>
          <w:vertAlign w:val="superscript"/>
        </w:rPr>
        <w:t>26</w:t>
      </w:r>
      <w:r w:rsidR="00AF2838" w:rsidRPr="009118AB">
        <w:t xml:space="preserve"> </w:t>
      </w:r>
      <w:r w:rsidR="00D67EB8" w:rsidRPr="009118AB">
        <w:t>§ </w:t>
      </w:r>
      <w:r w:rsidR="00AF2838" w:rsidRPr="009118AB">
        <w:t xml:space="preserve">5, </w:t>
      </w:r>
      <w:r w:rsidR="00FB0979" w:rsidRPr="009118AB">
        <w:t>[</w:t>
      </w:r>
      <w:r w:rsidR="00FB0979" w:rsidRPr="009118AB">
        <w:rPr>
          <w:rFonts w:eastAsia="Calibri"/>
        </w:rPr>
        <w:t>145</w:t>
      </w:r>
      <w:r w:rsidR="00FB0979" w:rsidRPr="009118AB">
        <w:rPr>
          <w:rFonts w:eastAsia="Calibri"/>
          <w:vertAlign w:val="superscript"/>
        </w:rPr>
        <w:t>27</w:t>
      </w:r>
      <w:r w:rsidR="00FB0979" w:rsidRPr="009118AB">
        <w:rPr>
          <w:rFonts w:eastAsia="Calibri"/>
        </w:rPr>
        <w:t xml:space="preserve"> </w:t>
      </w:r>
      <w:r w:rsidR="00D67EB8" w:rsidRPr="009118AB">
        <w:rPr>
          <w:rFonts w:eastAsia="Calibri"/>
        </w:rPr>
        <w:t>§ </w:t>
      </w:r>
      <w:r w:rsidR="00FB0979" w:rsidRPr="009118AB">
        <w:rPr>
          <w:rFonts w:eastAsia="Calibri"/>
        </w:rPr>
        <w:t>4, 145</w:t>
      </w:r>
      <w:r w:rsidR="00FB0979" w:rsidRPr="009118AB">
        <w:rPr>
          <w:rFonts w:eastAsia="Calibri"/>
          <w:vertAlign w:val="superscript"/>
        </w:rPr>
        <w:t>32</w:t>
      </w:r>
      <w:r w:rsidR="00FB0979" w:rsidRPr="009118AB">
        <w:rPr>
          <w:rFonts w:eastAsia="Calibri"/>
        </w:rPr>
        <w:t xml:space="preserve"> </w:t>
      </w:r>
      <w:r w:rsidR="00D67EB8" w:rsidRPr="009118AB">
        <w:rPr>
          <w:rFonts w:eastAsia="Calibri"/>
        </w:rPr>
        <w:t>§ </w:t>
      </w:r>
      <w:r w:rsidR="00FB0979" w:rsidRPr="009118AB">
        <w:rPr>
          <w:rFonts w:eastAsia="Calibri"/>
        </w:rPr>
        <w:t>2</w:t>
      </w:r>
      <w:r w:rsidR="00FB0979" w:rsidRPr="009118AB">
        <w:t>]</w:t>
      </w:r>
      <w:r w:rsidR="00AF2838" w:rsidRPr="009118AB">
        <w:t>]</w:t>
      </w:r>
      <w:r w:rsidR="000E76CC" w:rsidRPr="009118AB">
        <w:t>[, 157 und 168/1]</w:t>
      </w:r>
      <w:r w:rsidRPr="009118AB">
        <w:t xml:space="preserve"> erwähnten Erhöhungen,</w:t>
      </w:r>
    </w:p>
    <w:p w14:paraId="56FA9484" w14:textId="77777777" w:rsidR="00F54FBD" w:rsidRPr="009118AB" w:rsidRDefault="00F54FBD" w:rsidP="00F54FBD">
      <w:pPr>
        <w:jc w:val="both"/>
      </w:pPr>
    </w:p>
    <w:p w14:paraId="662069B0" w14:textId="77777777" w:rsidR="00F54FBD" w:rsidRPr="009118AB" w:rsidRDefault="00F54FBD" w:rsidP="00F54FBD">
      <w:pPr>
        <w:autoSpaceDE w:val="0"/>
        <w:autoSpaceDN w:val="0"/>
        <w:adjustRightInd w:val="0"/>
        <w:jc w:val="both"/>
      </w:pPr>
      <w:r w:rsidRPr="009118AB">
        <w:tab/>
        <w:t>- wenn die Steuer gemäß Artikel 244 festgelegt wird: die Steuer wie in Artikel 290 Absatz 2 bestimmt.]</w:t>
      </w:r>
    </w:p>
    <w:p w14:paraId="048367B2" w14:textId="77777777" w:rsidR="00477B8F" w:rsidRPr="009118AB" w:rsidRDefault="00477B8F" w:rsidP="00477B8F">
      <w:pPr>
        <w:autoSpaceDE w:val="0"/>
        <w:autoSpaceDN w:val="0"/>
        <w:adjustRightInd w:val="0"/>
        <w:jc w:val="both"/>
      </w:pPr>
    </w:p>
    <w:p w14:paraId="402DDA93" w14:textId="202CD4F2" w:rsidR="00477B8F" w:rsidRPr="009118AB" w:rsidRDefault="00477B8F" w:rsidP="00477B8F">
      <w:pPr>
        <w:autoSpaceDE w:val="0"/>
        <w:autoSpaceDN w:val="0"/>
        <w:adjustRightInd w:val="0"/>
        <w:jc w:val="both"/>
      </w:pPr>
      <w:r w:rsidRPr="009118AB">
        <w:tab/>
      </w:r>
      <w:r w:rsidR="00EA5BA0" w:rsidRPr="009118AB">
        <w:t>[Für die in Artikel 232 erwähnten Gebietsfremden, die in Belgien andere Einkünfte als in vorerwähntem Artikel erwähnte Einkünfte oder Einkünfte, die gemäß Artikel 248 §</w:t>
      </w:r>
      <w:r w:rsidR="00D67EB8" w:rsidRPr="009118AB">
        <w:t>§ </w:t>
      </w:r>
      <w:r w:rsidR="00EA5BA0" w:rsidRPr="009118AB">
        <w:t xml:space="preserve">2 und 3 zu den in Artikel 232 erwähnten Einkünften hinzugefügt werden, beziehen, wird auf die gemäß den Artikeln 243 bis 245 berechnete Steuer keine Anrechnung als Vorabzug in Bezug auf diese anderen Einkünfte durchgeführt. Außerdem wird auf diese Steuer auch kein Vorabzug in Bezug auf Einkünfte, auf die Artikel 248 </w:t>
      </w:r>
      <w:r w:rsidR="00D67EB8" w:rsidRPr="009118AB">
        <w:t>§ </w:t>
      </w:r>
      <w:r w:rsidR="00EA5BA0" w:rsidRPr="009118AB">
        <w:t>1 Absatz 2 anwendbar ist, angerechnet.]</w:t>
      </w:r>
    </w:p>
    <w:p w14:paraId="3A271B1C" w14:textId="77777777" w:rsidR="00DE29A3" w:rsidRPr="009118AB" w:rsidRDefault="00DE29A3" w:rsidP="00477B8F">
      <w:pPr>
        <w:autoSpaceDE w:val="0"/>
        <w:autoSpaceDN w:val="0"/>
        <w:adjustRightInd w:val="0"/>
        <w:jc w:val="both"/>
      </w:pPr>
    </w:p>
    <w:p w14:paraId="0947D59F" w14:textId="4AD55F83" w:rsidR="00DE29A3" w:rsidRPr="009118AB" w:rsidRDefault="00DE29A3" w:rsidP="00477B8F">
      <w:pPr>
        <w:autoSpaceDE w:val="0"/>
        <w:autoSpaceDN w:val="0"/>
        <w:adjustRightInd w:val="0"/>
        <w:jc w:val="both"/>
      </w:pPr>
      <w:r w:rsidRPr="009118AB">
        <w:tab/>
        <w:t xml:space="preserve">[Für die in Artikel 233 erwähnten Gebietsfremden, die in Belgien andere Einkünfte als in vorerwähntem Artikel erwähnte Einkünfte oder Einkünfte, die gemäß Artikel 248 </w:t>
      </w:r>
      <w:r w:rsidR="00D67EB8" w:rsidRPr="009118AB">
        <w:t>§ </w:t>
      </w:r>
      <w:r w:rsidRPr="009118AB">
        <w:t xml:space="preserve">3 zu den in Artikel 233 erwähnten Einkünften hinzugefügt werden, beziehen, wird auf die gemäß Artikel 246 Absatz 1 </w:t>
      </w:r>
      <w:r w:rsidR="00D67EB8" w:rsidRPr="009118AB">
        <w:t>Nr. </w:t>
      </w:r>
      <w:r w:rsidRPr="009118AB">
        <w:t>1 und Absatz 2 berechnete Steuer keine Anrechnung als Vorabzug in Bezug auf diese anderen Einkünfte durchgeführt.]</w:t>
      </w:r>
    </w:p>
    <w:p w14:paraId="23DADD13" w14:textId="77777777" w:rsidR="00477B8F" w:rsidRPr="009118AB" w:rsidRDefault="00477B8F" w:rsidP="00477B8F">
      <w:pPr>
        <w:autoSpaceDE w:val="0"/>
        <w:autoSpaceDN w:val="0"/>
        <w:adjustRightInd w:val="0"/>
        <w:jc w:val="both"/>
      </w:pPr>
    </w:p>
    <w:p w14:paraId="1E5FF11B" w14:textId="09FCF1E7" w:rsidR="00477B8F" w:rsidRPr="009118AB" w:rsidRDefault="00477B8F" w:rsidP="00477B8F">
      <w:pPr>
        <w:autoSpaceDE w:val="0"/>
        <w:autoSpaceDN w:val="0"/>
        <w:adjustRightInd w:val="0"/>
        <w:jc w:val="both"/>
      </w:pPr>
      <w:r w:rsidRPr="009118AB">
        <w:tab/>
        <w:t xml:space="preserve">Kein Vorabzug wird auf die gemäß [Artikel 246 Absatz 1 </w:t>
      </w:r>
      <w:r w:rsidR="00D67EB8" w:rsidRPr="009118AB">
        <w:t>Nr. </w:t>
      </w:r>
      <w:r w:rsidRPr="009118AB">
        <w:t>2] festgelegte besondere getrennte Steuer auf nicht nachgewiesene Ausgaben angerechnet.</w:t>
      </w:r>
    </w:p>
    <w:p w14:paraId="61B14C0F" w14:textId="77777777" w:rsidR="008006B7" w:rsidRPr="009118AB" w:rsidRDefault="008006B7" w:rsidP="00E202BB">
      <w:pPr>
        <w:autoSpaceDE w:val="0"/>
        <w:autoSpaceDN w:val="0"/>
        <w:adjustRightInd w:val="0"/>
        <w:jc w:val="both"/>
      </w:pPr>
    </w:p>
    <w:p w14:paraId="69BFBE94" w14:textId="74B67286" w:rsidR="00477B8F" w:rsidRPr="009118AB" w:rsidRDefault="00477B8F" w:rsidP="00E202BB">
      <w:pPr>
        <w:autoSpaceDE w:val="0"/>
        <w:autoSpaceDN w:val="0"/>
        <w:adjustRightInd w:val="0"/>
        <w:jc w:val="both"/>
      </w:pPr>
      <w:r w:rsidRPr="009118AB">
        <w:tab/>
        <w:t xml:space="preserve">Für die in Artikel 234 erwähnten Gebietsfremden, die in Belgien </w:t>
      </w:r>
      <w:r w:rsidR="002E410B" w:rsidRPr="009118AB">
        <w:t xml:space="preserve">[andere Einkünfte als in vorerwähntem Artikel erwähnte Einkünfte oder Einkünfte, die gemäß Artikel 248 </w:t>
      </w:r>
      <w:r w:rsidR="00D67EB8" w:rsidRPr="009118AB">
        <w:t>§ </w:t>
      </w:r>
      <w:r w:rsidR="002E410B" w:rsidRPr="009118AB">
        <w:t>3 zu den in Artikel 234 erwähnten Einkünften hinzugefügt werden,]</w:t>
      </w:r>
      <w:r w:rsidRPr="009118AB">
        <w:t xml:space="preserve"> beziehen, wird auf die gemäß </w:t>
      </w:r>
      <w:r w:rsidRPr="009118AB">
        <w:lastRenderedPageBreak/>
        <w:t>Artikel 247 berechnete Steuer keine Anrechnung als Vorabzug in Bezug auf diese anderen Einkünfte durchgeführt.</w:t>
      </w:r>
    </w:p>
    <w:p w14:paraId="7BFF1984" w14:textId="77777777" w:rsidR="00477B8F" w:rsidRPr="009118AB" w:rsidRDefault="00477B8F" w:rsidP="00477B8F">
      <w:pPr>
        <w:autoSpaceDE w:val="0"/>
        <w:autoSpaceDN w:val="0"/>
        <w:adjustRightInd w:val="0"/>
        <w:jc w:val="both"/>
      </w:pPr>
    </w:p>
    <w:p w14:paraId="0482D06C" w14:textId="0E61361C" w:rsidR="00477B8F" w:rsidRPr="009118AB" w:rsidRDefault="00477B8F" w:rsidP="00477B8F">
      <w:pPr>
        <w:autoSpaceDE w:val="0"/>
        <w:autoSpaceDN w:val="0"/>
        <w:adjustRightInd w:val="0"/>
        <w:jc w:val="both"/>
        <w:rPr>
          <w:rFonts w:ascii="Times New Roman Italique" w:hAnsi="Times New Roman Italique"/>
          <w:spacing w:val="-2"/>
        </w:rPr>
      </w:pPr>
      <w:r w:rsidRPr="009118AB">
        <w:rPr>
          <w:i/>
          <w:iCs/>
        </w:rPr>
        <w:t>[</w:t>
      </w:r>
      <w:r w:rsidR="00D67EB8" w:rsidRPr="009118AB">
        <w:rPr>
          <w:i/>
          <w:iCs/>
        </w:rPr>
        <w:t>Art. </w:t>
      </w:r>
      <w:r w:rsidRPr="009118AB">
        <w:rPr>
          <w:i/>
          <w:iCs/>
        </w:rPr>
        <w:t xml:space="preserve">294 </w:t>
      </w:r>
      <w:r w:rsidR="00D67EB8" w:rsidRPr="009118AB">
        <w:rPr>
          <w:i/>
          <w:iCs/>
        </w:rPr>
        <w:t>Abs. </w:t>
      </w:r>
      <w:r w:rsidRPr="009118AB">
        <w:rPr>
          <w:i/>
          <w:iCs/>
        </w:rPr>
        <w:t xml:space="preserve">1 abgeändert durch </w:t>
      </w:r>
      <w:r w:rsidR="00D67EB8" w:rsidRPr="009118AB">
        <w:rPr>
          <w:i/>
          <w:iCs/>
        </w:rPr>
        <w:t>Art. </w:t>
      </w:r>
      <w:r w:rsidRPr="009118AB">
        <w:rPr>
          <w:i/>
          <w:iCs/>
        </w:rPr>
        <w:t xml:space="preserve">44 </w:t>
      </w:r>
      <w:r w:rsidR="00D67EB8" w:rsidRPr="009118AB">
        <w:rPr>
          <w:i/>
          <w:iCs/>
        </w:rPr>
        <w:t>Nr. </w:t>
      </w:r>
      <w:r w:rsidRPr="009118AB">
        <w:rPr>
          <w:i/>
          <w:iCs/>
        </w:rPr>
        <w:t xml:space="preserve">1 des G. vom 22. Dezember 1998 (B.S. vom 15. Januar 1999); </w:t>
      </w:r>
      <w:r w:rsidR="00F54FBD" w:rsidRPr="009118AB">
        <w:rPr>
          <w:i/>
          <w:iCs/>
        </w:rPr>
        <w:t xml:space="preserve">neuer Absatz 2 eingefügt durch </w:t>
      </w:r>
      <w:r w:rsidR="00D67EB8" w:rsidRPr="009118AB">
        <w:rPr>
          <w:i/>
          <w:iCs/>
        </w:rPr>
        <w:t>Art. </w:t>
      </w:r>
      <w:r w:rsidR="00F54FBD" w:rsidRPr="009118AB">
        <w:rPr>
          <w:i/>
          <w:iCs/>
        </w:rPr>
        <w:t>88</w:t>
      </w:r>
      <w:r w:rsidR="00F54FBD" w:rsidRPr="009118AB">
        <w:rPr>
          <w:i/>
        </w:rPr>
        <w:t xml:space="preserve"> des G. vom 8. Mai 2014 (B.S. vom 28. Mai 2014)</w:t>
      </w:r>
      <w:r w:rsidR="00D67EB8" w:rsidRPr="009118AB">
        <w:rPr>
          <w:i/>
        </w:rPr>
        <w:t> - </w:t>
      </w:r>
      <w:r w:rsidR="00F54FBD" w:rsidRPr="009118AB">
        <w:rPr>
          <w:i/>
          <w:iCs/>
        </w:rPr>
        <w:t>anwendbar ab dem Steuerjahr 2015</w:t>
      </w:r>
      <w:r w:rsidR="003366D9" w:rsidRPr="009118AB">
        <w:rPr>
          <w:i/>
          <w:iCs/>
        </w:rPr>
        <w:t> -;</w:t>
      </w:r>
      <w:r w:rsidR="00F54FBD" w:rsidRPr="009118AB">
        <w:rPr>
          <w:i/>
          <w:iCs/>
        </w:rPr>
        <w:t xml:space="preserve"> </w:t>
      </w:r>
      <w:r w:rsidR="00D67EB8" w:rsidRPr="009118AB">
        <w:rPr>
          <w:i/>
          <w:iCs/>
        </w:rPr>
        <w:t>Abs. </w:t>
      </w:r>
      <w:r w:rsidR="00170649" w:rsidRPr="009118AB">
        <w:rPr>
          <w:i/>
          <w:iCs/>
        </w:rPr>
        <w:t xml:space="preserve">2 </w:t>
      </w:r>
      <w:r w:rsidR="00D67EB8" w:rsidRPr="009118AB">
        <w:rPr>
          <w:i/>
          <w:iCs/>
        </w:rPr>
        <w:t>Nr. </w:t>
      </w:r>
      <w:r w:rsidR="004744AA" w:rsidRPr="009118AB">
        <w:rPr>
          <w:i/>
          <w:iCs/>
        </w:rPr>
        <w:t xml:space="preserve">2 einziger Absatz </w:t>
      </w:r>
      <w:r w:rsidR="00170649" w:rsidRPr="009118AB">
        <w:rPr>
          <w:i/>
          <w:iCs/>
        </w:rPr>
        <w:t xml:space="preserve">erster und zweiter Gedankenstrich abgeändert durch </w:t>
      </w:r>
      <w:r w:rsidR="00D67EB8" w:rsidRPr="009118AB">
        <w:rPr>
          <w:i/>
          <w:iCs/>
        </w:rPr>
        <w:t>Art. </w:t>
      </w:r>
      <w:r w:rsidR="00170649" w:rsidRPr="009118AB">
        <w:rPr>
          <w:i/>
          <w:iCs/>
        </w:rPr>
        <w:t>56 des G. vom 10. August 2015 (B.S. vom 18. August 2015)</w:t>
      </w:r>
      <w:r w:rsidR="00D67EB8" w:rsidRPr="009118AB">
        <w:rPr>
          <w:i/>
          <w:iCs/>
        </w:rPr>
        <w:t> - </w:t>
      </w:r>
      <w:r w:rsidR="00170649" w:rsidRPr="009118AB">
        <w:rPr>
          <w:i/>
          <w:iCs/>
        </w:rPr>
        <w:t>anwendbar ab dem Steuerjahr 2016</w:t>
      </w:r>
      <w:r w:rsidR="00FD68E8" w:rsidRPr="009118AB">
        <w:rPr>
          <w:i/>
          <w:iCs/>
        </w:rPr>
        <w:t> -,</w:t>
      </w:r>
      <w:r w:rsidR="00FB0979" w:rsidRPr="009118AB">
        <w:rPr>
          <w:i/>
          <w:iCs/>
        </w:rPr>
        <w:t xml:space="preserve"> </w:t>
      </w:r>
      <w:r w:rsidR="00D67EB8" w:rsidRPr="009118AB">
        <w:rPr>
          <w:i/>
          <w:iCs/>
        </w:rPr>
        <w:t>Art. </w:t>
      </w:r>
      <w:r w:rsidR="00FB0979" w:rsidRPr="009118AB">
        <w:rPr>
          <w:i/>
          <w:iCs/>
        </w:rPr>
        <w:t>38 des G. vom 26. März 2018 (B.S. vom 30. März 2018)</w:t>
      </w:r>
      <w:r w:rsidR="00D67EB8" w:rsidRPr="009118AB">
        <w:rPr>
          <w:i/>
          <w:iCs/>
        </w:rPr>
        <w:t> - </w:t>
      </w:r>
      <w:r w:rsidR="00FB0979" w:rsidRPr="009118AB">
        <w:rPr>
          <w:i/>
          <w:iCs/>
        </w:rPr>
        <w:t>wirksam ab dem Steuerjahr 2019</w:t>
      </w:r>
      <w:r w:rsidR="00FD68E8" w:rsidRPr="009118AB">
        <w:rPr>
          <w:i/>
          <w:iCs/>
        </w:rPr>
        <w:t> -,</w:t>
      </w:r>
      <w:r w:rsidR="000E76CC" w:rsidRPr="009118AB">
        <w:rPr>
          <w:i/>
          <w:iCs/>
        </w:rPr>
        <w:t xml:space="preserve"> </w:t>
      </w:r>
      <w:r w:rsidR="00D67EB8" w:rsidRPr="009118AB">
        <w:rPr>
          <w:i/>
          <w:iCs/>
        </w:rPr>
        <w:t>Art. </w:t>
      </w:r>
      <w:r w:rsidR="000E76CC" w:rsidRPr="009118AB">
        <w:rPr>
          <w:i/>
          <w:iCs/>
        </w:rPr>
        <w:t>99</w:t>
      </w:r>
      <w:r w:rsidR="000E76CC" w:rsidRPr="009118AB">
        <w:rPr>
          <w:i/>
          <w:iCs/>
          <w:spacing w:val="-2"/>
        </w:rPr>
        <w:t xml:space="preserve"> des G. vom 11. Februar 2019 (B.S. vom 22. März 2020)</w:t>
      </w:r>
      <w:r w:rsidR="00D67EB8" w:rsidRPr="009118AB">
        <w:rPr>
          <w:i/>
          <w:iCs/>
          <w:spacing w:val="-2"/>
        </w:rPr>
        <w:t> - </w:t>
      </w:r>
      <w:r w:rsidR="000E76CC"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r w:rsidR="002678A9" w:rsidRPr="009118AB">
        <w:rPr>
          <w:i/>
          <w:iCs/>
          <w:spacing w:val="-2"/>
        </w:rPr>
        <w:t xml:space="preserve"> </w:t>
      </w:r>
      <w:r w:rsidR="00D67EB8" w:rsidRPr="009118AB">
        <w:rPr>
          <w:i/>
          <w:iCs/>
          <w:spacing w:val="-2"/>
        </w:rPr>
        <w:t>Art. </w:t>
      </w:r>
      <w:r w:rsidR="002678A9" w:rsidRPr="009118AB">
        <w:rPr>
          <w:i/>
          <w:iCs/>
          <w:spacing w:val="-2"/>
        </w:rPr>
        <w:t xml:space="preserve">33 </w:t>
      </w:r>
      <w:r w:rsidR="00D67EB8" w:rsidRPr="009118AB">
        <w:rPr>
          <w:i/>
          <w:iCs/>
          <w:spacing w:val="-2"/>
        </w:rPr>
        <w:t>Nr. </w:t>
      </w:r>
      <w:r w:rsidR="002678A9" w:rsidRPr="009118AB">
        <w:rPr>
          <w:i/>
          <w:iCs/>
          <w:spacing w:val="-2"/>
        </w:rPr>
        <w:t>1 und 2</w:t>
      </w:r>
      <w:r w:rsidR="002678A9" w:rsidRPr="009118AB">
        <w:rPr>
          <w:i/>
        </w:rPr>
        <w:t xml:space="preserve"> des G. vom 7. April 2019 (I) (B.S. vom 19. April 2019)</w:t>
      </w:r>
      <w:r w:rsidR="0068385F" w:rsidRPr="009118AB">
        <w:rPr>
          <w:i/>
        </w:rPr>
        <w:t>,</w:t>
      </w:r>
      <w:r w:rsidR="0052245F" w:rsidRPr="009118AB">
        <w:rPr>
          <w:i/>
        </w:rPr>
        <w:t xml:space="preserve"> </w:t>
      </w:r>
      <w:r w:rsidR="00D67EB8" w:rsidRPr="009118AB">
        <w:rPr>
          <w:i/>
        </w:rPr>
        <w:t>Art. </w:t>
      </w:r>
      <w:r w:rsidR="0052245F" w:rsidRPr="009118AB">
        <w:rPr>
          <w:i/>
        </w:rPr>
        <w:t xml:space="preserve">16 </w:t>
      </w:r>
      <w:r w:rsidR="00D67EB8" w:rsidRPr="009118AB">
        <w:rPr>
          <w:i/>
        </w:rPr>
        <w:t>Nr. </w:t>
      </w:r>
      <w:r w:rsidR="0052245F" w:rsidRPr="009118AB">
        <w:rPr>
          <w:i/>
        </w:rPr>
        <w:t>1 und 2</w:t>
      </w:r>
      <w:r w:rsidR="0052245F" w:rsidRPr="009118AB">
        <w:rPr>
          <w:i/>
          <w:iCs/>
        </w:rPr>
        <w:t xml:space="preserve"> des G. vom 23. Juni 2020 (B.S. vom 1. Juli 2020)</w:t>
      </w:r>
      <w:r w:rsidR="0068385F" w:rsidRPr="009118AB">
        <w:rPr>
          <w:i/>
          <w:iCs/>
        </w:rPr>
        <w:t xml:space="preserve"> und Art. 17 des G. vom 31. Juli 2023 (II) (B.S. vom 23. August 2023)</w:t>
      </w:r>
      <w:r w:rsidR="00170649" w:rsidRPr="009118AB">
        <w:rPr>
          <w:i/>
          <w:iCs/>
          <w:spacing w:val="-2"/>
        </w:rPr>
        <w:t xml:space="preserve">; </w:t>
      </w:r>
      <w:r w:rsidR="00D67EB8" w:rsidRPr="009118AB">
        <w:rPr>
          <w:i/>
          <w:iCs/>
          <w:spacing w:val="-2"/>
        </w:rPr>
        <w:t>Abs. </w:t>
      </w:r>
      <w:r w:rsidR="00F54FBD" w:rsidRPr="009118AB">
        <w:rPr>
          <w:i/>
          <w:iCs/>
          <w:spacing w:val="-2"/>
        </w:rPr>
        <w:t>3 (früherer Absatz</w:t>
      </w:r>
      <w:r w:rsidRPr="009118AB">
        <w:rPr>
          <w:i/>
          <w:iCs/>
          <w:spacing w:val="-2"/>
        </w:rPr>
        <w:t> 2</w:t>
      </w:r>
      <w:r w:rsidR="00F54FBD" w:rsidRPr="009118AB">
        <w:rPr>
          <w:i/>
          <w:iCs/>
          <w:spacing w:val="-2"/>
        </w:rPr>
        <w:t>)</w:t>
      </w:r>
      <w:r w:rsidRPr="009118AB">
        <w:rPr>
          <w:i/>
          <w:iCs/>
          <w:spacing w:val="-2"/>
        </w:rPr>
        <w:t xml:space="preserve"> </w:t>
      </w:r>
      <w:r w:rsidR="000326D3" w:rsidRPr="009118AB">
        <w:rPr>
          <w:i/>
          <w:iCs/>
          <w:spacing w:val="-2"/>
        </w:rPr>
        <w:t xml:space="preserve">ersetzt durch </w:t>
      </w:r>
      <w:r w:rsidR="00D67EB8" w:rsidRPr="009118AB">
        <w:rPr>
          <w:i/>
          <w:iCs/>
          <w:spacing w:val="-2"/>
        </w:rPr>
        <w:t>Art. </w:t>
      </w:r>
      <w:r w:rsidR="000326D3" w:rsidRPr="009118AB">
        <w:rPr>
          <w:i/>
          <w:iCs/>
          <w:spacing w:val="-2"/>
        </w:rPr>
        <w:t xml:space="preserve">87 </w:t>
      </w:r>
      <w:r w:rsidR="00D67EB8" w:rsidRPr="009118AB">
        <w:rPr>
          <w:i/>
          <w:iCs/>
          <w:spacing w:val="-2"/>
        </w:rPr>
        <w:t>Nr. </w:t>
      </w:r>
      <w:r w:rsidR="000326D3" w:rsidRPr="009118AB">
        <w:rPr>
          <w:i/>
          <w:iCs/>
          <w:spacing w:val="-2"/>
        </w:rPr>
        <w:t>1</w:t>
      </w:r>
      <w:r w:rsidR="000326D3" w:rsidRPr="009118AB">
        <w:rPr>
          <w:i/>
          <w:spacing w:val="-2"/>
        </w:rPr>
        <w:t xml:space="preserve"> des G. vom 8. Mai 2014 (B.S. vom 28. Mai 2014)</w:t>
      </w:r>
      <w:r w:rsidR="00D67EB8" w:rsidRPr="009118AB">
        <w:rPr>
          <w:i/>
          <w:spacing w:val="-2"/>
        </w:rPr>
        <w:t> - </w:t>
      </w:r>
      <w:r w:rsidR="000326D3" w:rsidRPr="009118AB">
        <w:rPr>
          <w:i/>
          <w:iCs/>
          <w:spacing w:val="-2"/>
        </w:rPr>
        <w:t>anwendbar ab dem Steuerjahr 2014</w:t>
      </w:r>
      <w:r w:rsidR="003366D9" w:rsidRPr="009118AB">
        <w:rPr>
          <w:i/>
          <w:iCs/>
          <w:spacing w:val="-2"/>
        </w:rPr>
        <w:t> -;</w:t>
      </w:r>
      <w:r w:rsidRPr="009118AB">
        <w:rPr>
          <w:i/>
          <w:iCs/>
          <w:spacing w:val="-2"/>
        </w:rPr>
        <w:t xml:space="preserve"> </w:t>
      </w:r>
      <w:r w:rsidR="00DE29A3" w:rsidRPr="009118AB">
        <w:rPr>
          <w:i/>
          <w:iCs/>
          <w:spacing w:val="-2"/>
        </w:rPr>
        <w:t>neuer Absatz </w:t>
      </w:r>
      <w:r w:rsidR="00F54FBD" w:rsidRPr="009118AB">
        <w:rPr>
          <w:i/>
          <w:iCs/>
          <w:spacing w:val="-2"/>
        </w:rPr>
        <w:t>4</w:t>
      </w:r>
      <w:r w:rsidR="00DE29A3" w:rsidRPr="009118AB">
        <w:rPr>
          <w:i/>
          <w:iCs/>
          <w:spacing w:val="-2"/>
        </w:rPr>
        <w:t xml:space="preserve"> eingefügt durch </w:t>
      </w:r>
      <w:r w:rsidR="00D67EB8" w:rsidRPr="009118AB">
        <w:rPr>
          <w:i/>
          <w:iCs/>
          <w:spacing w:val="-2"/>
        </w:rPr>
        <w:t>Art. </w:t>
      </w:r>
      <w:r w:rsidR="00DE29A3" w:rsidRPr="009118AB">
        <w:rPr>
          <w:i/>
          <w:iCs/>
          <w:spacing w:val="-2"/>
        </w:rPr>
        <w:t xml:space="preserve">87 </w:t>
      </w:r>
      <w:r w:rsidR="00D67EB8" w:rsidRPr="009118AB">
        <w:rPr>
          <w:i/>
          <w:iCs/>
          <w:spacing w:val="-2"/>
        </w:rPr>
        <w:t>Nr. </w:t>
      </w:r>
      <w:r w:rsidR="00DE29A3" w:rsidRPr="009118AB">
        <w:rPr>
          <w:i/>
          <w:iCs/>
          <w:spacing w:val="-2"/>
        </w:rPr>
        <w:t>2</w:t>
      </w:r>
      <w:r w:rsidR="00DE29A3" w:rsidRPr="009118AB">
        <w:rPr>
          <w:i/>
          <w:spacing w:val="-2"/>
        </w:rPr>
        <w:t xml:space="preserve"> des G. vom 8. Mai 2014 (B.S. vom 28. Mai 2014)</w:t>
      </w:r>
      <w:r w:rsidR="00D67EB8" w:rsidRPr="009118AB">
        <w:rPr>
          <w:i/>
          <w:spacing w:val="-2"/>
        </w:rPr>
        <w:t> - </w:t>
      </w:r>
      <w:r w:rsidR="00DE29A3" w:rsidRPr="009118AB">
        <w:rPr>
          <w:i/>
          <w:iCs/>
          <w:spacing w:val="-2"/>
        </w:rPr>
        <w:t>anwendbar ab dem Steuerjahr 2014</w:t>
      </w:r>
      <w:r w:rsidR="003366D9" w:rsidRPr="009118AB">
        <w:rPr>
          <w:i/>
          <w:iCs/>
          <w:spacing w:val="-2"/>
        </w:rPr>
        <w:t> -;</w:t>
      </w:r>
      <w:r w:rsidR="00DE29A3" w:rsidRPr="009118AB">
        <w:rPr>
          <w:i/>
          <w:iCs/>
          <w:spacing w:val="-2"/>
        </w:rPr>
        <w:t xml:space="preserve"> </w:t>
      </w:r>
      <w:r w:rsidR="00D67EB8" w:rsidRPr="009118AB">
        <w:rPr>
          <w:i/>
          <w:iCs/>
          <w:spacing w:val="-2"/>
        </w:rPr>
        <w:t>Abs. </w:t>
      </w:r>
      <w:r w:rsidR="00F54FBD" w:rsidRPr="009118AB">
        <w:rPr>
          <w:i/>
          <w:iCs/>
          <w:spacing w:val="-2"/>
        </w:rPr>
        <w:t xml:space="preserve">5 </w:t>
      </w:r>
      <w:r w:rsidRPr="009118AB">
        <w:rPr>
          <w:i/>
          <w:iCs/>
          <w:spacing w:val="-2"/>
        </w:rPr>
        <w:t xml:space="preserve">abgeändert durch </w:t>
      </w:r>
      <w:r w:rsidR="00D67EB8" w:rsidRPr="009118AB">
        <w:rPr>
          <w:i/>
          <w:iCs/>
          <w:spacing w:val="-2"/>
        </w:rPr>
        <w:t>Art. </w:t>
      </w:r>
      <w:r w:rsidRPr="009118AB">
        <w:rPr>
          <w:i/>
          <w:iCs/>
          <w:spacing w:val="-2"/>
        </w:rPr>
        <w:t xml:space="preserve">44 </w:t>
      </w:r>
      <w:r w:rsidR="00D67EB8" w:rsidRPr="009118AB">
        <w:rPr>
          <w:i/>
          <w:iCs/>
          <w:spacing w:val="-2"/>
        </w:rPr>
        <w:t>Nr. </w:t>
      </w:r>
      <w:r w:rsidRPr="009118AB">
        <w:rPr>
          <w:i/>
          <w:iCs/>
          <w:spacing w:val="-2"/>
        </w:rPr>
        <w:t>3 des G. vom 22. Dezember 1998 (B.S. vom 15. Januar 1999)</w:t>
      </w:r>
      <w:r w:rsidR="00F54FBD" w:rsidRPr="009118AB">
        <w:rPr>
          <w:i/>
          <w:iCs/>
          <w:spacing w:val="-2"/>
        </w:rPr>
        <w:t xml:space="preserve">; </w:t>
      </w:r>
      <w:r w:rsidR="00D67EB8" w:rsidRPr="009118AB">
        <w:rPr>
          <w:rFonts w:ascii="Times New Roman Italique" w:hAnsi="Times New Roman Italique"/>
          <w:i/>
          <w:iCs/>
          <w:spacing w:val="-2"/>
        </w:rPr>
        <w:t>Abs. </w:t>
      </w:r>
      <w:r w:rsidR="00F54FBD" w:rsidRPr="009118AB">
        <w:rPr>
          <w:rFonts w:ascii="Times New Roman Italique" w:hAnsi="Times New Roman Italique"/>
          <w:i/>
          <w:iCs/>
          <w:spacing w:val="-2"/>
        </w:rPr>
        <w:t xml:space="preserve">6 abgeändert durch </w:t>
      </w:r>
      <w:r w:rsidR="00D67EB8" w:rsidRPr="009118AB">
        <w:rPr>
          <w:rFonts w:ascii="Times New Roman Italique" w:hAnsi="Times New Roman Italique"/>
          <w:i/>
          <w:iCs/>
          <w:spacing w:val="-2"/>
        </w:rPr>
        <w:t>Art. </w:t>
      </w:r>
      <w:r w:rsidR="00F54FBD" w:rsidRPr="009118AB">
        <w:rPr>
          <w:rFonts w:ascii="Times New Roman Italique" w:hAnsi="Times New Roman Italique"/>
          <w:i/>
          <w:iCs/>
          <w:spacing w:val="-2"/>
        </w:rPr>
        <w:t xml:space="preserve">87 </w:t>
      </w:r>
      <w:r w:rsidR="00D67EB8" w:rsidRPr="009118AB">
        <w:rPr>
          <w:rFonts w:ascii="Times New Roman Italique" w:hAnsi="Times New Roman Italique"/>
          <w:i/>
          <w:iCs/>
          <w:spacing w:val="-2"/>
        </w:rPr>
        <w:t>Nr. </w:t>
      </w:r>
      <w:r w:rsidR="00F54FBD" w:rsidRPr="009118AB">
        <w:rPr>
          <w:rFonts w:ascii="Times New Roman Italique" w:hAnsi="Times New Roman Italique"/>
          <w:i/>
          <w:iCs/>
          <w:spacing w:val="-2"/>
        </w:rPr>
        <w:t>3</w:t>
      </w:r>
      <w:r w:rsidR="00F54FBD" w:rsidRPr="009118AB">
        <w:rPr>
          <w:rFonts w:ascii="Times New Roman Italique" w:hAnsi="Times New Roman Italique"/>
          <w:i/>
          <w:spacing w:val="-2"/>
        </w:rPr>
        <w:t xml:space="preserve"> des G. vom 8. Mai 2014 (B.S. vom 28. Mai 2014)</w:t>
      </w:r>
      <w:r w:rsidR="00D67EB8" w:rsidRPr="009118AB">
        <w:rPr>
          <w:rFonts w:ascii="Times New Roman Italique" w:hAnsi="Times New Roman Italique"/>
          <w:i/>
          <w:spacing w:val="-2"/>
        </w:rPr>
        <w:t> - </w:t>
      </w:r>
      <w:r w:rsidR="00F54FBD" w:rsidRPr="009118AB">
        <w:rPr>
          <w:rFonts w:ascii="Times New Roman Italique" w:hAnsi="Times New Roman Italique"/>
          <w:i/>
          <w:iCs/>
          <w:spacing w:val="-2"/>
        </w:rPr>
        <w:t>anwendbar ab dem Steuerjahr 2014</w:t>
      </w:r>
      <w:r w:rsidR="00FD68E8" w:rsidRPr="009118AB">
        <w:rPr>
          <w:rFonts w:ascii="Times New Roman Italique" w:hAnsi="Times New Roman Italique"/>
          <w:i/>
          <w:iCs/>
          <w:spacing w:val="-2"/>
        </w:rPr>
        <w:t> -,</w:t>
      </w:r>
      <w:r w:rsidR="00331D8D" w:rsidRPr="009118AB">
        <w:rPr>
          <w:rFonts w:ascii="Times New Roman Italique" w:hAnsi="Times New Roman Italique"/>
          <w:i/>
          <w:iCs/>
          <w:spacing w:val="-2"/>
        </w:rPr>
        <w:t xml:space="preserve"> selbst widerrufen durch </w:t>
      </w:r>
      <w:r w:rsidR="00D67EB8" w:rsidRPr="009118AB">
        <w:rPr>
          <w:rFonts w:ascii="Times New Roman Italique" w:hAnsi="Times New Roman Italique"/>
          <w:i/>
          <w:iCs/>
          <w:spacing w:val="-2"/>
        </w:rPr>
        <w:t>Art. </w:t>
      </w:r>
      <w:r w:rsidR="00331D8D" w:rsidRPr="009118AB">
        <w:rPr>
          <w:rFonts w:ascii="Times New Roman Italique" w:hAnsi="Times New Roman Italique"/>
          <w:i/>
          <w:iCs/>
          <w:spacing w:val="-2"/>
        </w:rPr>
        <w:t>66 des G. vom 18. Dezember 2015 (II) (B.S. vom 28. Dezember 2015),</w:t>
      </w:r>
      <w:r w:rsidR="002E410B" w:rsidRPr="009118AB">
        <w:rPr>
          <w:rFonts w:ascii="Times New Roman Italique" w:hAnsi="Times New Roman Italique"/>
          <w:i/>
          <w:iCs/>
          <w:spacing w:val="-2"/>
        </w:rPr>
        <w:t xml:space="preserve"> und </w:t>
      </w:r>
      <w:r w:rsidR="00331D8D" w:rsidRPr="009118AB">
        <w:rPr>
          <w:rFonts w:ascii="Times New Roman Italique" w:hAnsi="Times New Roman Italique"/>
          <w:i/>
          <w:iCs/>
          <w:spacing w:val="-2"/>
        </w:rPr>
        <w:t xml:space="preserve">durch </w:t>
      </w:r>
      <w:r w:rsidR="00D67EB8" w:rsidRPr="009118AB">
        <w:rPr>
          <w:rFonts w:ascii="Times New Roman Italique" w:hAnsi="Times New Roman Italique"/>
          <w:i/>
          <w:iCs/>
          <w:spacing w:val="-2"/>
        </w:rPr>
        <w:t>Art. </w:t>
      </w:r>
      <w:r w:rsidR="002E410B" w:rsidRPr="009118AB">
        <w:rPr>
          <w:rFonts w:ascii="Times New Roman Italique" w:hAnsi="Times New Roman Italique"/>
          <w:i/>
          <w:iCs/>
          <w:spacing w:val="-2"/>
        </w:rPr>
        <w:t>57 des G. vom 18. Dezember 2015 (II) (B.S. vom 28. Dezember 2015)</w:t>
      </w:r>
      <w:r w:rsidR="00D67EB8" w:rsidRPr="009118AB">
        <w:rPr>
          <w:rFonts w:ascii="Times New Roman Italique" w:hAnsi="Times New Roman Italique"/>
          <w:i/>
          <w:iCs/>
          <w:spacing w:val="-2"/>
        </w:rPr>
        <w:t> - </w:t>
      </w:r>
      <w:r w:rsidR="002E410B" w:rsidRPr="009118AB">
        <w:rPr>
          <w:rFonts w:ascii="Times New Roman Italique" w:hAnsi="Times New Roman Italique"/>
          <w:i/>
          <w:iCs/>
          <w:spacing w:val="-2"/>
        </w:rPr>
        <w:t>anwendbar ab dem Steuerjahr 2014</w:t>
      </w:r>
      <w:r w:rsidR="00FD68E8" w:rsidRPr="009118AB">
        <w:rPr>
          <w:rFonts w:ascii="Times New Roman Italique" w:hAnsi="Times New Roman Italique"/>
          <w:i/>
          <w:iCs/>
          <w:spacing w:val="-2"/>
        </w:rPr>
        <w:t> -]</w:t>
      </w:r>
    </w:p>
    <w:p w14:paraId="29826F44" w14:textId="77777777" w:rsidR="00477B8F" w:rsidRPr="009118AB" w:rsidRDefault="00477B8F" w:rsidP="00477B8F">
      <w:pPr>
        <w:autoSpaceDE w:val="0"/>
        <w:autoSpaceDN w:val="0"/>
        <w:adjustRightInd w:val="0"/>
        <w:jc w:val="both"/>
      </w:pPr>
    </w:p>
    <w:p w14:paraId="0BF347BE" w14:textId="77777777" w:rsidR="00477B8F" w:rsidRPr="009118AB" w:rsidRDefault="00477B8F" w:rsidP="00477B8F">
      <w:pPr>
        <w:autoSpaceDE w:val="0"/>
        <w:autoSpaceDN w:val="0"/>
        <w:adjustRightInd w:val="0"/>
        <w:jc w:val="both"/>
      </w:pPr>
    </w:p>
    <w:p w14:paraId="0F13F4CE" w14:textId="1C7086E8"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295</w:t>
      </w:r>
      <w:r w:rsidR="00D67EB8" w:rsidRPr="009118AB">
        <w:t> - </w:t>
      </w:r>
      <w:r w:rsidRPr="009118AB">
        <w:t>Der König regelt die Modalitäten zur Ausführung der Artikel 276 bis 294.</w:t>
      </w:r>
    </w:p>
    <w:p w14:paraId="0BA33FD5" w14:textId="6B223513" w:rsidR="00477B8F" w:rsidRPr="009118AB" w:rsidRDefault="00477B8F" w:rsidP="00477B8F">
      <w:pPr>
        <w:autoSpaceDE w:val="0"/>
        <w:autoSpaceDN w:val="0"/>
        <w:adjustRightInd w:val="0"/>
        <w:jc w:val="center"/>
      </w:pPr>
      <w:r w:rsidRPr="009118AB">
        <w:br w:type="page"/>
      </w:r>
      <w:r w:rsidRPr="009118AB">
        <w:rPr>
          <w:i/>
          <w:iCs/>
        </w:rPr>
        <w:lastRenderedPageBreak/>
        <w:t>Abschnitt </w:t>
      </w:r>
      <w:r w:rsidR="00D74862" w:rsidRPr="009118AB">
        <w:rPr>
          <w:i/>
          <w:iCs/>
        </w:rPr>
        <w:t>6</w:t>
      </w:r>
      <w:r w:rsidR="00D67EB8" w:rsidRPr="009118AB">
        <w:t> - </w:t>
      </w:r>
      <w:r w:rsidRPr="009118AB">
        <w:t>Berufssteuervorabzug</w:t>
      </w:r>
    </w:p>
    <w:p w14:paraId="10D47C50" w14:textId="77777777" w:rsidR="00477B8F" w:rsidRPr="009118AB" w:rsidRDefault="00477B8F" w:rsidP="00477B8F">
      <w:pPr>
        <w:autoSpaceDE w:val="0"/>
        <w:autoSpaceDN w:val="0"/>
        <w:adjustRightInd w:val="0"/>
        <w:jc w:val="center"/>
      </w:pPr>
    </w:p>
    <w:p w14:paraId="42B1C9CD" w14:textId="77777777" w:rsidR="00477B8F" w:rsidRPr="009118AB" w:rsidRDefault="00477B8F" w:rsidP="00477B8F">
      <w:pPr>
        <w:autoSpaceDE w:val="0"/>
        <w:autoSpaceDN w:val="0"/>
        <w:adjustRightInd w:val="0"/>
        <w:jc w:val="center"/>
      </w:pPr>
    </w:p>
    <w:p w14:paraId="399794EA" w14:textId="30453AC0"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296</w:t>
      </w:r>
      <w:r w:rsidR="00D67EB8" w:rsidRPr="009118AB">
        <w:t> - </w:t>
      </w:r>
      <w:r w:rsidRPr="009118AB">
        <w:t xml:space="preserve">Auf die eventuell um </w:t>
      </w:r>
      <w:r w:rsidR="00356192" w:rsidRPr="009118AB">
        <w:t>[…]</w:t>
      </w:r>
      <w:r w:rsidRPr="009118AB">
        <w:t xml:space="preserve"> den Mobiliensteuervorabzug[, den Pauschalanteil ausländischer Steuer und </w:t>
      </w:r>
      <w:r w:rsidR="00356192" w:rsidRPr="009118AB">
        <w:t>[</w:t>
      </w:r>
      <w:r w:rsidRPr="009118AB">
        <w:t>die Steuergutschrift</w:t>
      </w:r>
      <w:r w:rsidR="00356192" w:rsidRPr="009118AB">
        <w:t>en]</w:t>
      </w:r>
      <w:r w:rsidRPr="009118AB">
        <w:t>] ermäßigte Steuer wird der Betrag der erhobenen Berufssteuervorabzüge angerechnet.</w:t>
      </w:r>
    </w:p>
    <w:p w14:paraId="0738ADE0" w14:textId="77777777" w:rsidR="00477B8F" w:rsidRPr="009118AB" w:rsidRDefault="00477B8F" w:rsidP="00477B8F">
      <w:pPr>
        <w:autoSpaceDE w:val="0"/>
        <w:autoSpaceDN w:val="0"/>
        <w:adjustRightInd w:val="0"/>
        <w:jc w:val="both"/>
      </w:pPr>
    </w:p>
    <w:p w14:paraId="24732E30" w14:textId="77777777" w:rsidR="00477B8F" w:rsidRPr="009118AB" w:rsidRDefault="00477B8F" w:rsidP="00477B8F">
      <w:pPr>
        <w:autoSpaceDE w:val="0"/>
        <w:autoSpaceDN w:val="0"/>
        <w:adjustRightInd w:val="0"/>
        <w:jc w:val="both"/>
      </w:pPr>
      <w:r w:rsidRPr="009118AB">
        <w:tab/>
        <w:t>[Der erhobene Berufssteuervorabzug ist:</w:t>
      </w:r>
    </w:p>
    <w:p w14:paraId="71BFA9AC" w14:textId="77777777" w:rsidR="00477B8F" w:rsidRPr="009118AB" w:rsidRDefault="00477B8F" w:rsidP="00477B8F">
      <w:pPr>
        <w:autoSpaceDE w:val="0"/>
        <w:autoSpaceDN w:val="0"/>
        <w:adjustRightInd w:val="0"/>
        <w:jc w:val="both"/>
      </w:pPr>
    </w:p>
    <w:p w14:paraId="60DD1B33" w14:textId="77777777" w:rsidR="00477B8F" w:rsidRPr="009118AB" w:rsidRDefault="00477B8F" w:rsidP="00477B8F">
      <w:pPr>
        <w:autoSpaceDE w:val="0"/>
        <w:autoSpaceDN w:val="0"/>
        <w:adjustRightInd w:val="0"/>
        <w:jc w:val="both"/>
      </w:pPr>
      <w:r w:rsidRPr="009118AB">
        <w:tab/>
        <w:t>- der in Ausführung von Artikel 272 einbehaltene Berufssteuervorabzug,</w:t>
      </w:r>
    </w:p>
    <w:p w14:paraId="1D696D23" w14:textId="77777777" w:rsidR="00477B8F" w:rsidRPr="009118AB" w:rsidRDefault="00477B8F" w:rsidP="00477B8F">
      <w:pPr>
        <w:autoSpaceDE w:val="0"/>
        <w:autoSpaceDN w:val="0"/>
        <w:adjustRightInd w:val="0"/>
        <w:jc w:val="both"/>
      </w:pPr>
    </w:p>
    <w:p w14:paraId="708CA9FC" w14:textId="77777777" w:rsidR="00477B8F" w:rsidRPr="009118AB" w:rsidRDefault="00477B8F" w:rsidP="00477B8F">
      <w:pPr>
        <w:autoSpaceDE w:val="0"/>
        <w:autoSpaceDN w:val="0"/>
        <w:adjustRightInd w:val="0"/>
        <w:jc w:val="both"/>
      </w:pPr>
      <w:r w:rsidRPr="009118AB">
        <w:tab/>
        <w:t>- der nicht einbehaltene Berufssteuervorabzug, der der Staatskasse tatsächlich zugeführt wird.]</w:t>
      </w:r>
    </w:p>
    <w:p w14:paraId="5F621351" w14:textId="77777777" w:rsidR="00477B8F" w:rsidRPr="009118AB" w:rsidRDefault="00477B8F" w:rsidP="00477B8F">
      <w:pPr>
        <w:autoSpaceDE w:val="0"/>
        <w:autoSpaceDN w:val="0"/>
        <w:adjustRightInd w:val="0"/>
        <w:jc w:val="both"/>
      </w:pPr>
    </w:p>
    <w:p w14:paraId="508C047C" w14:textId="3EBCA4C3"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296 </w:t>
      </w:r>
      <w:r w:rsidR="00D67EB8" w:rsidRPr="009118AB">
        <w:rPr>
          <w:i/>
          <w:iCs/>
        </w:rPr>
        <w:t>Abs. </w:t>
      </w:r>
      <w:r w:rsidRPr="009118AB">
        <w:rPr>
          <w:i/>
          <w:iCs/>
        </w:rPr>
        <w:t xml:space="preserve">1 abgeändert durch </w:t>
      </w:r>
      <w:r w:rsidR="00D67EB8" w:rsidRPr="009118AB">
        <w:rPr>
          <w:i/>
          <w:iCs/>
        </w:rPr>
        <w:t>Art. </w:t>
      </w:r>
      <w:r w:rsidRPr="009118AB">
        <w:rPr>
          <w:i/>
          <w:iCs/>
        </w:rPr>
        <w:t>20 des G. vom 20. Dezember 1995 (B.S. vom 23. Dezember 1995)</w:t>
      </w:r>
      <w:r w:rsidR="00D67EB8" w:rsidRPr="009118AB">
        <w:rPr>
          <w:i/>
          <w:iCs/>
        </w:rPr>
        <w:t> - </w:t>
      </w:r>
      <w:r w:rsidRPr="009118AB">
        <w:rPr>
          <w:i/>
          <w:iCs/>
        </w:rPr>
        <w:t>in Kraft ab dem Steuerjahr</w:t>
      </w:r>
      <w:r w:rsidR="00356192" w:rsidRPr="009118AB">
        <w:rPr>
          <w:i/>
          <w:iCs/>
        </w:rPr>
        <w:t> </w:t>
      </w:r>
      <w:r w:rsidRPr="009118AB">
        <w:rPr>
          <w:i/>
          <w:iCs/>
        </w:rPr>
        <w:t>1997</w:t>
      </w:r>
      <w:r w:rsidR="00D67EB8" w:rsidRPr="009118AB">
        <w:rPr>
          <w:i/>
          <w:iCs/>
        </w:rPr>
        <w:t> - </w:t>
      </w:r>
      <w:r w:rsidR="00356192" w:rsidRPr="009118AB">
        <w:rPr>
          <w:i/>
          <w:iCs/>
        </w:rPr>
        <w:t xml:space="preserve">und </w:t>
      </w:r>
      <w:r w:rsidR="00D67EB8" w:rsidRPr="009118AB">
        <w:rPr>
          <w:i/>
          <w:iCs/>
        </w:rPr>
        <w:t>Art. </w:t>
      </w:r>
      <w:r w:rsidR="00356192" w:rsidRPr="009118AB">
        <w:rPr>
          <w:i/>
          <w:iCs/>
        </w:rPr>
        <w:t>89</w:t>
      </w:r>
      <w:r w:rsidR="00356192" w:rsidRPr="009118AB">
        <w:rPr>
          <w:i/>
        </w:rPr>
        <w:t xml:space="preserve"> des G. vom 8. Mai 2014 (B.S. vom 28. Mai 2014)</w:t>
      </w:r>
      <w:r w:rsidR="00D67EB8" w:rsidRPr="009118AB">
        <w:rPr>
          <w:i/>
        </w:rPr>
        <w:t> - </w:t>
      </w:r>
      <w:r w:rsidR="00356192" w:rsidRPr="009118AB">
        <w:rPr>
          <w:i/>
          <w:iCs/>
        </w:rPr>
        <w:t>anwendbar ab dem Steuerjahr 2015</w:t>
      </w:r>
      <w:r w:rsidR="003366D9" w:rsidRPr="009118AB">
        <w:rPr>
          <w:i/>
          <w:iCs/>
        </w:rPr>
        <w:t> -;</w:t>
      </w:r>
      <w:r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400 des G. (I) vom 24. Dezember 2002</w:t>
      </w:r>
      <w:r w:rsidR="00356192" w:rsidRPr="009118AB">
        <w:rPr>
          <w:i/>
          <w:iCs/>
        </w:rPr>
        <w:t> </w:t>
      </w:r>
      <w:r w:rsidR="00D86BCC" w:rsidRPr="009118AB">
        <w:rPr>
          <w:i/>
          <w:iCs/>
        </w:rPr>
        <w:t xml:space="preserve">(I) </w:t>
      </w:r>
      <w:r w:rsidRPr="009118AB">
        <w:rPr>
          <w:i/>
          <w:iCs/>
        </w:rPr>
        <w:t>(B.S.</w:t>
      </w:r>
      <w:r w:rsidR="00364642" w:rsidRPr="009118AB">
        <w:rPr>
          <w:i/>
          <w:iCs/>
        </w:rPr>
        <w:t xml:space="preserve"> </w:t>
      </w:r>
      <w:r w:rsidRPr="009118AB">
        <w:rPr>
          <w:i/>
          <w:iCs/>
        </w:rPr>
        <w:t>vom 31. Dezember 2002)]</w:t>
      </w:r>
    </w:p>
    <w:p w14:paraId="2694DEC4" w14:textId="379351A8" w:rsidR="00477B8F" w:rsidRPr="009118AB" w:rsidRDefault="00477B8F" w:rsidP="00477B8F">
      <w:pPr>
        <w:autoSpaceDE w:val="0"/>
        <w:autoSpaceDN w:val="0"/>
        <w:adjustRightInd w:val="0"/>
        <w:jc w:val="center"/>
      </w:pPr>
      <w:r w:rsidRPr="009118AB">
        <w:br w:type="page"/>
      </w:r>
      <w:r w:rsidRPr="009118AB">
        <w:rPr>
          <w:b/>
          <w:bCs/>
        </w:rPr>
        <w:lastRenderedPageBreak/>
        <w:t>TITEL VII</w:t>
      </w:r>
      <w:r w:rsidR="00D67EB8" w:rsidRPr="009118AB">
        <w:rPr>
          <w:b/>
          <w:bCs/>
        </w:rPr>
        <w:t> - </w:t>
      </w:r>
      <w:r w:rsidR="008A0086" w:rsidRPr="009118AB">
        <w:rPr>
          <w:bCs/>
        </w:rPr>
        <w:t>[</w:t>
      </w:r>
      <w:r w:rsidRPr="009118AB">
        <w:rPr>
          <w:b/>
          <w:bCs/>
          <w:i/>
          <w:iCs/>
        </w:rPr>
        <w:t>Festlegung und Ein</w:t>
      </w:r>
      <w:r w:rsidR="007B11CE" w:rsidRPr="009118AB">
        <w:rPr>
          <w:b/>
          <w:bCs/>
          <w:i/>
          <w:iCs/>
        </w:rPr>
        <w:t>nahme</w:t>
      </w:r>
      <w:r w:rsidRPr="009118AB">
        <w:rPr>
          <w:b/>
          <w:bCs/>
          <w:i/>
          <w:iCs/>
        </w:rPr>
        <w:t xml:space="preserve"> der Steuern</w:t>
      </w:r>
      <w:r w:rsidR="007B11CE" w:rsidRPr="009118AB">
        <w:rPr>
          <w:bCs/>
          <w:iCs/>
        </w:rPr>
        <w:t>]</w:t>
      </w:r>
    </w:p>
    <w:p w14:paraId="3832D740" w14:textId="6E8B1FDD" w:rsidR="00477B8F" w:rsidRPr="009118AB" w:rsidRDefault="00477B8F" w:rsidP="007B11CE">
      <w:pPr>
        <w:autoSpaceDE w:val="0"/>
        <w:autoSpaceDN w:val="0"/>
        <w:adjustRightInd w:val="0"/>
        <w:jc w:val="both"/>
      </w:pPr>
    </w:p>
    <w:p w14:paraId="6A5258CB" w14:textId="6524B890" w:rsidR="007B11CE" w:rsidRPr="009118AB" w:rsidRDefault="007B11CE" w:rsidP="007B11CE">
      <w:pPr>
        <w:autoSpaceDE w:val="0"/>
        <w:autoSpaceDN w:val="0"/>
        <w:adjustRightInd w:val="0"/>
        <w:jc w:val="both"/>
        <w:rPr>
          <w:i/>
          <w:iCs/>
        </w:rPr>
      </w:pPr>
      <w:r w:rsidRPr="009118AB">
        <w:rPr>
          <w:i/>
        </w:rPr>
        <w:t xml:space="preserve">[Überschrift von Titel VII ersetzt durch </w:t>
      </w:r>
      <w:r w:rsidR="00D67EB8" w:rsidRPr="009118AB">
        <w:rPr>
          <w:i/>
        </w:rPr>
        <w:t>Art. </w:t>
      </w:r>
      <w:r w:rsidRPr="009118AB">
        <w:rPr>
          <w:i/>
        </w:rPr>
        <w:t>29</w:t>
      </w:r>
      <w:r w:rsidRPr="009118AB">
        <w:rPr>
          <w:i/>
          <w:iCs/>
        </w:rPr>
        <w:t xml:space="preserve"> des G. vom 13. April 2019 (II) (B.S. vom 30. April 2019)</w:t>
      </w:r>
      <w:r w:rsidR="00D67EB8" w:rsidRPr="009118AB">
        <w:rPr>
          <w:i/>
          <w:iCs/>
        </w:rPr>
        <w:t> - </w:t>
      </w:r>
      <w:r w:rsidRPr="009118AB">
        <w:rPr>
          <w:i/>
          <w:iCs/>
        </w:rPr>
        <w:t>in Kraft am 1. Januar 2020</w:t>
      </w:r>
      <w:r w:rsidR="00FD68E8" w:rsidRPr="009118AB">
        <w:rPr>
          <w:i/>
          <w:iCs/>
        </w:rPr>
        <w:t> -]</w:t>
      </w:r>
    </w:p>
    <w:p w14:paraId="69B8EFC2" w14:textId="77777777" w:rsidR="007B11CE" w:rsidRPr="009118AB" w:rsidRDefault="007B11CE" w:rsidP="007B11CE">
      <w:pPr>
        <w:autoSpaceDE w:val="0"/>
        <w:autoSpaceDN w:val="0"/>
        <w:adjustRightInd w:val="0"/>
        <w:jc w:val="both"/>
        <w:rPr>
          <w:i/>
        </w:rPr>
      </w:pPr>
    </w:p>
    <w:p w14:paraId="1178881F" w14:textId="77777777" w:rsidR="00477B8F" w:rsidRPr="009118AB" w:rsidRDefault="00477B8F" w:rsidP="00477B8F">
      <w:pPr>
        <w:autoSpaceDE w:val="0"/>
        <w:autoSpaceDN w:val="0"/>
        <w:adjustRightInd w:val="0"/>
        <w:jc w:val="center"/>
      </w:pPr>
    </w:p>
    <w:p w14:paraId="580AC6E1" w14:textId="49FD6D2B" w:rsidR="00477B8F" w:rsidRPr="009118AB" w:rsidRDefault="00D666D6" w:rsidP="00477B8F">
      <w:pPr>
        <w:autoSpaceDE w:val="0"/>
        <w:autoSpaceDN w:val="0"/>
        <w:adjustRightInd w:val="0"/>
        <w:jc w:val="center"/>
      </w:pPr>
      <w:r w:rsidRPr="009118AB">
        <w:rPr>
          <w:b/>
          <w:bCs/>
        </w:rPr>
        <w:t>KAPITEL </w:t>
      </w:r>
      <w:r w:rsidR="007828ED" w:rsidRPr="009118AB">
        <w:rPr>
          <w:b/>
          <w:bCs/>
        </w:rPr>
        <w:t>1</w:t>
      </w:r>
      <w:r w:rsidR="00D67EB8" w:rsidRPr="009118AB">
        <w:t> - </w:t>
      </w:r>
      <w:r w:rsidR="00477B8F" w:rsidRPr="009118AB">
        <w:rPr>
          <w:i/>
          <w:iCs/>
        </w:rPr>
        <w:t>Allgemeine Bestimmungen</w:t>
      </w:r>
    </w:p>
    <w:p w14:paraId="307C99BB" w14:textId="77777777" w:rsidR="00477B8F" w:rsidRPr="009118AB" w:rsidRDefault="00477B8F" w:rsidP="00477B8F">
      <w:pPr>
        <w:autoSpaceDE w:val="0"/>
        <w:autoSpaceDN w:val="0"/>
        <w:adjustRightInd w:val="0"/>
        <w:jc w:val="center"/>
      </w:pPr>
    </w:p>
    <w:p w14:paraId="3722554E" w14:textId="77777777" w:rsidR="00477B8F" w:rsidRPr="009118AB" w:rsidRDefault="00477B8F" w:rsidP="00477B8F">
      <w:pPr>
        <w:autoSpaceDE w:val="0"/>
        <w:autoSpaceDN w:val="0"/>
        <w:adjustRightInd w:val="0"/>
        <w:jc w:val="center"/>
      </w:pPr>
    </w:p>
    <w:p w14:paraId="3B2F57EB" w14:textId="5188821E"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297</w:t>
      </w:r>
      <w:r w:rsidR="00D67EB8" w:rsidRPr="009118AB">
        <w:t> - </w:t>
      </w:r>
      <w:r w:rsidRPr="009118AB">
        <w:t>[...]</w:t>
      </w:r>
    </w:p>
    <w:p w14:paraId="224CB042" w14:textId="77777777" w:rsidR="00477B8F" w:rsidRPr="009118AB" w:rsidRDefault="00477B8F" w:rsidP="00477B8F">
      <w:pPr>
        <w:autoSpaceDE w:val="0"/>
        <w:autoSpaceDN w:val="0"/>
        <w:adjustRightInd w:val="0"/>
        <w:jc w:val="both"/>
      </w:pPr>
    </w:p>
    <w:p w14:paraId="73129E4D" w14:textId="4A74F983" w:rsidR="00477B8F" w:rsidRPr="009118AB" w:rsidRDefault="00477B8F" w:rsidP="00477B8F">
      <w:pPr>
        <w:autoSpaceDE w:val="0"/>
        <w:autoSpaceDN w:val="0"/>
        <w:adjustRightInd w:val="0"/>
        <w:jc w:val="both"/>
      </w:pPr>
      <w:r w:rsidRPr="009118AB">
        <w:tab/>
        <w:t xml:space="preserve">[In Bezug auf die in Artikel 27 </w:t>
      </w:r>
      <w:r w:rsidR="00D67EB8" w:rsidRPr="009118AB">
        <w:t>Nr. </w:t>
      </w:r>
      <w:r w:rsidRPr="009118AB">
        <w:t>5 erwähnten Personen ist ein einziges Kontrollzentrum, das durch Königlichen Erlass bestimmt wird, für Entgegennahme und Überprüfung der Erklärung zuständig.]</w:t>
      </w:r>
    </w:p>
    <w:p w14:paraId="2C4FF75F" w14:textId="77777777" w:rsidR="00477B8F" w:rsidRPr="009118AB" w:rsidRDefault="00477B8F" w:rsidP="00477B8F">
      <w:pPr>
        <w:autoSpaceDE w:val="0"/>
        <w:autoSpaceDN w:val="0"/>
        <w:adjustRightInd w:val="0"/>
        <w:jc w:val="both"/>
      </w:pPr>
    </w:p>
    <w:p w14:paraId="12D1B3AF" w14:textId="620AC707" w:rsidR="00477B8F" w:rsidRPr="009118AB" w:rsidRDefault="00477B8F" w:rsidP="00477B8F">
      <w:pPr>
        <w:autoSpaceDE w:val="0"/>
        <w:autoSpaceDN w:val="0"/>
        <w:adjustRightInd w:val="0"/>
        <w:jc w:val="both"/>
        <w:rPr>
          <w:i/>
          <w:iCs/>
        </w:rPr>
      </w:pPr>
      <w:r w:rsidRPr="009118AB">
        <w:rPr>
          <w:i/>
          <w:iCs/>
        </w:rPr>
        <w:t>[</w:t>
      </w:r>
      <w:r w:rsidR="00D67EB8" w:rsidRPr="009118AB">
        <w:rPr>
          <w:i/>
          <w:iCs/>
        </w:rPr>
        <w:t>Art. </w:t>
      </w:r>
      <w:r w:rsidRPr="009118AB">
        <w:rPr>
          <w:i/>
          <w:iCs/>
        </w:rPr>
        <w:t xml:space="preserve">297 früherer Absatz 1 aufgehoben durch </w:t>
      </w:r>
      <w:r w:rsidR="00D67EB8" w:rsidRPr="009118AB">
        <w:rPr>
          <w:i/>
          <w:iCs/>
        </w:rPr>
        <w:t>Art. </w:t>
      </w:r>
      <w:r w:rsidRPr="009118AB">
        <w:rPr>
          <w:i/>
          <w:iCs/>
        </w:rPr>
        <w:t xml:space="preserve">5 des G. vom 15. März 1999 (B.S. vom 27. März 1999); neuer einziger Absatz (früherer Absatz 2) eingefügt durch </w:t>
      </w:r>
      <w:r w:rsidR="00D67EB8" w:rsidRPr="009118AB">
        <w:rPr>
          <w:i/>
          <w:iCs/>
        </w:rPr>
        <w:t>Art. </w:t>
      </w:r>
      <w:r w:rsidRPr="009118AB">
        <w:rPr>
          <w:i/>
          <w:iCs/>
        </w:rPr>
        <w:t>3 des G. vom 7. April 1995 (B.S. vom 16. Juni 1995)</w:t>
      </w:r>
      <w:r w:rsidR="00D67EB8" w:rsidRPr="009118AB">
        <w:rPr>
          <w:i/>
          <w:iCs/>
        </w:rPr>
        <w:t> - </w:t>
      </w:r>
      <w:r w:rsidRPr="009118AB">
        <w:rPr>
          <w:i/>
          <w:iCs/>
        </w:rPr>
        <w:t>in Kraft ab dem 1. Januar 1996</w:t>
      </w:r>
      <w:r w:rsidR="00FD68E8" w:rsidRPr="009118AB">
        <w:rPr>
          <w:i/>
          <w:iCs/>
        </w:rPr>
        <w:t> -]</w:t>
      </w:r>
    </w:p>
    <w:p w14:paraId="11E6EE95" w14:textId="77777777" w:rsidR="00477B8F" w:rsidRPr="009118AB" w:rsidRDefault="00477B8F" w:rsidP="00477B8F">
      <w:pPr>
        <w:autoSpaceDE w:val="0"/>
        <w:autoSpaceDN w:val="0"/>
        <w:adjustRightInd w:val="0"/>
        <w:jc w:val="both"/>
        <w:rPr>
          <w:i/>
          <w:iCs/>
        </w:rPr>
      </w:pPr>
    </w:p>
    <w:p w14:paraId="635B91D5" w14:textId="77777777" w:rsidR="00477B8F" w:rsidRPr="009118AB" w:rsidRDefault="00477B8F" w:rsidP="00477B8F">
      <w:pPr>
        <w:autoSpaceDE w:val="0"/>
        <w:autoSpaceDN w:val="0"/>
        <w:adjustRightInd w:val="0"/>
        <w:jc w:val="both"/>
        <w:rPr>
          <w:i/>
          <w:iCs/>
        </w:rPr>
      </w:pPr>
    </w:p>
    <w:p w14:paraId="4AF69210" w14:textId="2306B871" w:rsidR="00477B8F" w:rsidRPr="009118AB" w:rsidRDefault="00477B8F" w:rsidP="00477B8F">
      <w:pPr>
        <w:autoSpaceDE w:val="0"/>
        <w:autoSpaceDN w:val="0"/>
        <w:adjustRightInd w:val="0"/>
        <w:jc w:val="both"/>
      </w:pPr>
      <w:r w:rsidRPr="009118AB">
        <w:rPr>
          <w:i/>
          <w:iCs/>
        </w:rPr>
        <w:tab/>
      </w:r>
      <w:r w:rsidR="00D67EB8" w:rsidRPr="009118AB">
        <w:rPr>
          <w:b/>
          <w:bCs/>
        </w:rPr>
        <w:t>Art. </w:t>
      </w:r>
      <w:r w:rsidRPr="009118AB">
        <w:rPr>
          <w:b/>
          <w:bCs/>
        </w:rPr>
        <w:t>298</w:t>
      </w:r>
      <w:r w:rsidR="00D67EB8" w:rsidRPr="009118AB">
        <w:rPr>
          <w:i/>
          <w:iCs/>
        </w:rPr>
        <w:t> - </w:t>
      </w:r>
      <w:r w:rsidRPr="009118AB">
        <w:t>[</w:t>
      </w:r>
      <w:r w:rsidR="00D67EB8" w:rsidRPr="009118AB">
        <w:t>§ </w:t>
      </w:r>
      <w:r w:rsidRPr="009118AB">
        <w:t>1</w:t>
      </w:r>
      <w:r w:rsidR="00D67EB8" w:rsidRPr="009118AB">
        <w:t> - </w:t>
      </w:r>
      <w:r w:rsidRPr="009118AB">
        <w:t xml:space="preserve">Für die Steuer und für die Vorabzüge, bestehend aus Hauptsumme, Zuschlaghundertsteln und Zuschlägen, zugunsten des Staates, der Gemeinschaften, Regionen, Provinzen, Agglomerationen, Gemeindeföderationen und Gemeinden und für die Geldbußen werden Heberollen vom leitenden Beamten der </w:t>
      </w:r>
      <w:r w:rsidR="005464B9" w:rsidRPr="009118AB">
        <w:t xml:space="preserve">[mit der Festlegung der Einkommensteuern beauftragten Verwaltung] </w:t>
      </w:r>
      <w:r w:rsidRPr="009118AB">
        <w:t>oder von dem von ihm beauftragten Beamten erstellt und für vollstreckbar erklärt.</w:t>
      </w:r>
    </w:p>
    <w:p w14:paraId="704E490D" w14:textId="77777777" w:rsidR="00477B8F" w:rsidRPr="009118AB" w:rsidRDefault="00477B8F" w:rsidP="00477B8F">
      <w:pPr>
        <w:autoSpaceDE w:val="0"/>
        <w:autoSpaceDN w:val="0"/>
        <w:adjustRightInd w:val="0"/>
        <w:jc w:val="both"/>
      </w:pPr>
    </w:p>
    <w:p w14:paraId="0DD551C4" w14:textId="18DBA10C" w:rsidR="00C44A31" w:rsidRPr="009118AB" w:rsidRDefault="00477B8F" w:rsidP="007B11CE">
      <w:pPr>
        <w:autoSpaceDE w:val="0"/>
        <w:autoSpaceDN w:val="0"/>
        <w:adjustRightInd w:val="0"/>
        <w:jc w:val="both"/>
      </w:pPr>
      <w:r w:rsidRPr="009118AB">
        <w:tab/>
      </w:r>
      <w:r w:rsidR="00D67EB8" w:rsidRPr="009118AB">
        <w:t>§ </w:t>
      </w:r>
      <w:r w:rsidRPr="009118AB">
        <w:t>2</w:t>
      </w:r>
      <w:r w:rsidR="00D67EB8" w:rsidRPr="009118AB">
        <w:t> - </w:t>
      </w:r>
      <w:r w:rsidR="007B11CE" w:rsidRPr="009118AB">
        <w:t>[..</w:t>
      </w:r>
      <w:r w:rsidR="00BE7FAD" w:rsidRPr="009118AB">
        <w:t>.]</w:t>
      </w:r>
      <w:r w:rsidR="007B11CE" w:rsidRPr="009118AB">
        <w:t>]</w:t>
      </w:r>
    </w:p>
    <w:p w14:paraId="4BAE970E" w14:textId="77777777" w:rsidR="00477B8F" w:rsidRPr="009118AB" w:rsidRDefault="00477B8F" w:rsidP="00477B8F">
      <w:pPr>
        <w:autoSpaceDE w:val="0"/>
        <w:autoSpaceDN w:val="0"/>
        <w:adjustRightInd w:val="0"/>
        <w:jc w:val="both"/>
      </w:pPr>
    </w:p>
    <w:p w14:paraId="03E5DF89" w14:textId="67CFCCB8"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298 ersetzt durch </w:t>
      </w:r>
      <w:r w:rsidR="00D67EB8" w:rsidRPr="009118AB">
        <w:rPr>
          <w:i/>
          <w:iCs/>
        </w:rPr>
        <w:t>Art. </w:t>
      </w:r>
      <w:r w:rsidRPr="009118AB">
        <w:rPr>
          <w:i/>
          <w:iCs/>
        </w:rPr>
        <w:t>2 des G. vom 5. Dezember 2001 (B.S. vom 8. Januar 2002)</w:t>
      </w:r>
      <w:r w:rsidR="00D67EB8" w:rsidRPr="009118AB">
        <w:rPr>
          <w:i/>
          <w:iCs/>
        </w:rPr>
        <w:t> - </w:t>
      </w:r>
      <w:r w:rsidRPr="009118AB">
        <w:rPr>
          <w:i/>
          <w:iCs/>
        </w:rPr>
        <w:t>in Kraft ab dem 1. März 2002</w:t>
      </w:r>
      <w:r w:rsidR="003366D9" w:rsidRPr="009118AB">
        <w:rPr>
          <w:i/>
          <w:iCs/>
        </w:rPr>
        <w:t> -;</w:t>
      </w:r>
      <w:r w:rsidRPr="009118AB">
        <w:rPr>
          <w:i/>
          <w:iCs/>
        </w:rPr>
        <w:t xml:space="preserve"> </w:t>
      </w:r>
      <w:r w:rsidR="00D67EB8" w:rsidRPr="009118AB">
        <w:rPr>
          <w:i/>
          <w:iCs/>
        </w:rPr>
        <w:t>§ </w:t>
      </w:r>
      <w:r w:rsidR="005464B9" w:rsidRPr="009118AB">
        <w:rPr>
          <w:i/>
          <w:iCs/>
        </w:rPr>
        <w:t xml:space="preserve">1 abgeändert durch </w:t>
      </w:r>
      <w:r w:rsidR="00D67EB8" w:rsidRPr="009118AB">
        <w:rPr>
          <w:i/>
          <w:iCs/>
        </w:rPr>
        <w:t>Art. </w:t>
      </w:r>
      <w:r w:rsidR="005464B9" w:rsidRPr="009118AB">
        <w:rPr>
          <w:i/>
          <w:iCs/>
        </w:rPr>
        <w:t>3</w:t>
      </w:r>
      <w:r w:rsidR="00A829AC" w:rsidRPr="009118AB">
        <w:rPr>
          <w:i/>
          <w:iCs/>
        </w:rPr>
        <w:t xml:space="preserve"> des G. vom 25. April 2014 </w:t>
      </w:r>
      <w:r w:rsidR="005464B9" w:rsidRPr="009118AB">
        <w:rPr>
          <w:i/>
          <w:iCs/>
        </w:rPr>
        <w:t>(I) (B.S. vom 16. Mai 2014)</w:t>
      </w:r>
      <w:r w:rsidR="00D67EB8" w:rsidRPr="009118AB">
        <w:rPr>
          <w:i/>
          <w:iCs/>
        </w:rPr>
        <w:t> - </w:t>
      </w:r>
      <w:r w:rsidR="00B60E13" w:rsidRPr="009118AB">
        <w:rPr>
          <w:i/>
          <w:iCs/>
        </w:rPr>
        <w:t>in Kraft am 16. Mai 2014</w:t>
      </w:r>
      <w:r w:rsidR="003366D9" w:rsidRPr="009118AB">
        <w:rPr>
          <w:i/>
          <w:iCs/>
        </w:rPr>
        <w:t> -;</w:t>
      </w:r>
      <w:r w:rsidR="005464B9" w:rsidRPr="009118AB">
        <w:rPr>
          <w:i/>
          <w:iCs/>
        </w:rPr>
        <w:t xml:space="preserve"> </w:t>
      </w:r>
      <w:r w:rsidR="00D67EB8" w:rsidRPr="009118AB">
        <w:rPr>
          <w:i/>
          <w:iCs/>
        </w:rPr>
        <w:t>§ </w:t>
      </w:r>
      <w:r w:rsidR="00A829AC" w:rsidRPr="009118AB">
        <w:rPr>
          <w:i/>
          <w:iCs/>
        </w:rPr>
        <w:t xml:space="preserve">2 </w:t>
      </w:r>
      <w:r w:rsidR="007B11CE" w:rsidRPr="009118AB">
        <w:rPr>
          <w:i/>
          <w:iCs/>
        </w:rPr>
        <w:t xml:space="preserve">aufgehoben durch </w:t>
      </w:r>
      <w:r w:rsidR="00D67EB8" w:rsidRPr="009118AB">
        <w:rPr>
          <w:i/>
          <w:iCs/>
        </w:rPr>
        <w:t>Art. </w:t>
      </w:r>
      <w:r w:rsidR="007B11CE" w:rsidRPr="009118AB">
        <w:rPr>
          <w:i/>
          <w:iCs/>
        </w:rPr>
        <w:t>30 des G. vom 13. April 2019 (II) (B.S. vom 30. April 2019)</w:t>
      </w:r>
      <w:r w:rsidR="00D67EB8" w:rsidRPr="009118AB">
        <w:rPr>
          <w:i/>
          <w:iCs/>
        </w:rPr>
        <w:t> - </w:t>
      </w:r>
      <w:r w:rsidR="007B11CE" w:rsidRPr="009118AB">
        <w:rPr>
          <w:i/>
          <w:iCs/>
        </w:rPr>
        <w:t>in Kraft am 1. Januar 2020</w:t>
      </w:r>
      <w:r w:rsidR="00FD68E8" w:rsidRPr="009118AB">
        <w:rPr>
          <w:i/>
          <w:iCs/>
        </w:rPr>
        <w:t> -]</w:t>
      </w:r>
    </w:p>
    <w:p w14:paraId="24BD5061" w14:textId="77777777" w:rsidR="00477B8F" w:rsidRPr="009118AB" w:rsidRDefault="00477B8F" w:rsidP="00477B8F">
      <w:pPr>
        <w:autoSpaceDE w:val="0"/>
        <w:autoSpaceDN w:val="0"/>
        <w:adjustRightInd w:val="0"/>
        <w:jc w:val="both"/>
      </w:pPr>
    </w:p>
    <w:p w14:paraId="0DC16944" w14:textId="77777777" w:rsidR="00477B8F" w:rsidRPr="009118AB" w:rsidRDefault="00477B8F" w:rsidP="00477B8F">
      <w:pPr>
        <w:autoSpaceDE w:val="0"/>
        <w:autoSpaceDN w:val="0"/>
        <w:adjustRightInd w:val="0"/>
        <w:jc w:val="both"/>
      </w:pPr>
    </w:p>
    <w:p w14:paraId="4FF008E1" w14:textId="6D18F01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299</w:t>
      </w:r>
      <w:r w:rsidR="00D67EB8" w:rsidRPr="009118AB">
        <w:t> - </w:t>
      </w:r>
      <w:r w:rsidR="00024BC9" w:rsidRPr="009118AB">
        <w:t>[Daten der Heberollen, die von der mit der Festlegung der Einkommensteuer beauftragten Verwaltung oder unter ihrer Kontrolle auf einem angemessenen Datenträger registriert und aufbewahrt werden, und ihre lesbare Wiedergabe haben dieselbe Beweiskraft wie Originaldaten.]</w:t>
      </w:r>
    </w:p>
    <w:p w14:paraId="46917BE6" w14:textId="77777777" w:rsidR="00477B8F" w:rsidRPr="009118AB" w:rsidRDefault="00477B8F" w:rsidP="00477B8F">
      <w:pPr>
        <w:autoSpaceDE w:val="0"/>
        <w:autoSpaceDN w:val="0"/>
        <w:adjustRightInd w:val="0"/>
        <w:jc w:val="both"/>
      </w:pPr>
    </w:p>
    <w:p w14:paraId="564B106D" w14:textId="236F0043" w:rsidR="00024BC9" w:rsidRPr="009118AB" w:rsidRDefault="00024BC9" w:rsidP="00477B8F">
      <w:pPr>
        <w:autoSpaceDE w:val="0"/>
        <w:autoSpaceDN w:val="0"/>
        <w:adjustRightInd w:val="0"/>
        <w:jc w:val="both"/>
        <w:rPr>
          <w:i/>
          <w:iCs/>
        </w:rPr>
      </w:pPr>
      <w:r w:rsidRPr="009118AB">
        <w:rPr>
          <w:i/>
        </w:rPr>
        <w:t>[</w:t>
      </w:r>
      <w:r w:rsidR="00D67EB8" w:rsidRPr="009118AB">
        <w:rPr>
          <w:i/>
        </w:rPr>
        <w:t>Art. </w:t>
      </w:r>
      <w:r w:rsidRPr="009118AB">
        <w:rPr>
          <w:i/>
        </w:rPr>
        <w:t xml:space="preserve">299 ersetzt durch </w:t>
      </w:r>
      <w:r w:rsidR="00D67EB8" w:rsidRPr="009118AB">
        <w:rPr>
          <w:i/>
        </w:rPr>
        <w:t>Art. </w:t>
      </w:r>
      <w:r w:rsidRPr="009118AB">
        <w:rPr>
          <w:i/>
        </w:rPr>
        <w:t>24</w:t>
      </w:r>
      <w:r w:rsidRPr="009118AB">
        <w:rPr>
          <w:i/>
          <w:iCs/>
        </w:rPr>
        <w:t xml:space="preserve"> des G. vom 17. Juni 2013 (B.S. vom 28. Juni 2013)]</w:t>
      </w:r>
    </w:p>
    <w:p w14:paraId="18C218B1" w14:textId="77777777" w:rsidR="00024BC9" w:rsidRPr="009118AB" w:rsidRDefault="00024BC9" w:rsidP="00477B8F">
      <w:pPr>
        <w:autoSpaceDE w:val="0"/>
        <w:autoSpaceDN w:val="0"/>
        <w:adjustRightInd w:val="0"/>
        <w:jc w:val="both"/>
        <w:rPr>
          <w:i/>
          <w:iCs/>
        </w:rPr>
      </w:pPr>
    </w:p>
    <w:p w14:paraId="6939F1C6" w14:textId="77777777" w:rsidR="00477B8F" w:rsidRPr="009118AB" w:rsidRDefault="00477B8F" w:rsidP="00477B8F">
      <w:pPr>
        <w:autoSpaceDE w:val="0"/>
        <w:autoSpaceDN w:val="0"/>
        <w:adjustRightInd w:val="0"/>
        <w:jc w:val="both"/>
      </w:pPr>
    </w:p>
    <w:p w14:paraId="13458025" w14:textId="15B7E2D5" w:rsidR="007B11CE" w:rsidRPr="009118AB" w:rsidRDefault="00477B8F" w:rsidP="007B11CE">
      <w:pPr>
        <w:ind w:firstLine="708"/>
        <w:jc w:val="both"/>
        <w:rPr>
          <w:rFonts w:eastAsia="Calibri"/>
          <w:lang w:eastAsia="en-US"/>
        </w:rPr>
      </w:pPr>
      <w:r w:rsidRPr="009118AB">
        <w:tab/>
      </w:r>
      <w:r w:rsidR="00D67EB8" w:rsidRPr="009118AB">
        <w:rPr>
          <w:b/>
          <w:bCs/>
        </w:rPr>
        <w:t>Art. </w:t>
      </w:r>
      <w:r w:rsidRPr="009118AB">
        <w:rPr>
          <w:b/>
          <w:bCs/>
        </w:rPr>
        <w:t>300</w:t>
      </w:r>
      <w:r w:rsidR="00D67EB8" w:rsidRPr="009118AB">
        <w:t> - </w:t>
      </w:r>
      <w:r w:rsidR="007B11CE" w:rsidRPr="009118AB">
        <w:t>[</w:t>
      </w:r>
      <w:r w:rsidR="00D67EB8" w:rsidRPr="009118AB">
        <w:rPr>
          <w:rFonts w:eastAsia="Calibri"/>
          <w:lang w:eastAsia="en-US"/>
        </w:rPr>
        <w:t>§ </w:t>
      </w:r>
      <w:r w:rsidR="007B11CE" w:rsidRPr="009118AB">
        <w:rPr>
          <w:rFonts w:eastAsia="Calibri"/>
          <w:lang w:eastAsia="en-US"/>
        </w:rPr>
        <w:t>1</w:t>
      </w:r>
      <w:r w:rsidR="00D67EB8" w:rsidRPr="009118AB">
        <w:rPr>
          <w:rFonts w:eastAsia="Calibri"/>
          <w:lang w:eastAsia="en-US"/>
        </w:rPr>
        <w:t> - </w:t>
      </w:r>
      <w:r w:rsidR="007B11CE" w:rsidRPr="009118AB">
        <w:rPr>
          <w:rFonts w:eastAsia="Calibri"/>
          <w:lang w:eastAsia="en-US"/>
        </w:rPr>
        <w:t>Der König bestimmt die Vorgehensweise in Bezug auf die Erklärungen, die Erstellung und Notifizierung der Heberollen, die Zahlungen und die Quittungen.</w:t>
      </w:r>
    </w:p>
    <w:p w14:paraId="6C51BDF1" w14:textId="77777777" w:rsidR="007B11CE" w:rsidRPr="009118AB" w:rsidRDefault="007B11CE" w:rsidP="007B11CE">
      <w:pPr>
        <w:jc w:val="both"/>
        <w:rPr>
          <w:rFonts w:eastAsia="Calibri"/>
          <w:lang w:eastAsia="en-US"/>
        </w:rPr>
      </w:pPr>
    </w:p>
    <w:p w14:paraId="05C15B6E" w14:textId="77777777" w:rsidR="007B11CE" w:rsidRPr="009118AB" w:rsidRDefault="007B11CE">
      <w:pPr>
        <w:rPr>
          <w:rFonts w:eastAsia="Calibri"/>
          <w:lang w:eastAsia="en-US"/>
        </w:rPr>
      </w:pPr>
      <w:r w:rsidRPr="009118AB">
        <w:rPr>
          <w:rFonts w:eastAsia="Calibri"/>
          <w:lang w:eastAsia="en-US"/>
        </w:rPr>
        <w:br w:type="page"/>
      </w:r>
    </w:p>
    <w:p w14:paraId="64DF3F88" w14:textId="08CC2751" w:rsidR="00477B8F" w:rsidRPr="009118AB" w:rsidRDefault="00D67EB8" w:rsidP="007B11CE">
      <w:pPr>
        <w:autoSpaceDE w:val="0"/>
        <w:autoSpaceDN w:val="0"/>
        <w:adjustRightInd w:val="0"/>
        <w:ind w:firstLine="708"/>
        <w:jc w:val="both"/>
      </w:pPr>
      <w:r w:rsidRPr="009118AB">
        <w:rPr>
          <w:rFonts w:eastAsia="Calibri"/>
          <w:lang w:eastAsia="en-US"/>
        </w:rPr>
        <w:lastRenderedPageBreak/>
        <w:t>§ </w:t>
      </w:r>
      <w:r w:rsidR="007B11CE" w:rsidRPr="009118AB">
        <w:rPr>
          <w:rFonts w:eastAsia="Calibri"/>
          <w:lang w:eastAsia="en-US"/>
        </w:rPr>
        <w:t>2</w:t>
      </w:r>
      <w:r w:rsidRPr="009118AB">
        <w:rPr>
          <w:rFonts w:eastAsia="Calibri"/>
          <w:lang w:eastAsia="en-US"/>
        </w:rPr>
        <w:t> - </w:t>
      </w:r>
      <w:r w:rsidR="007B11CE" w:rsidRPr="009118AB">
        <w:rPr>
          <w:rFonts w:eastAsia="Calibri"/>
          <w:lang w:eastAsia="en-US"/>
        </w:rPr>
        <w:t>Die Bestimmungen des vorliegenden Gesetzbuches stehen dem Recht des Staates nicht im Wege, durch Auftreten als Zivilpartei oder Haftpflichtklage Ersatz für den Schaden aus der Nichtzahlung von Steuern und Vorabzügen, Zinsen, administrativen Geldbußen, Zuschlägen und Nebenforderungen zu fordern.</w:t>
      </w:r>
      <w:r w:rsidR="005543E7" w:rsidRPr="009118AB">
        <w:t>]</w:t>
      </w:r>
    </w:p>
    <w:p w14:paraId="63952BBB" w14:textId="77777777" w:rsidR="005543E7" w:rsidRPr="009118AB" w:rsidRDefault="005543E7" w:rsidP="00477B8F">
      <w:pPr>
        <w:autoSpaceDE w:val="0"/>
        <w:autoSpaceDN w:val="0"/>
        <w:adjustRightInd w:val="0"/>
        <w:jc w:val="both"/>
      </w:pPr>
    </w:p>
    <w:p w14:paraId="6CBB9147" w14:textId="1CA684F3" w:rsidR="005543E7" w:rsidRPr="009118AB" w:rsidRDefault="005543E7" w:rsidP="00477B8F">
      <w:pPr>
        <w:autoSpaceDE w:val="0"/>
        <w:autoSpaceDN w:val="0"/>
        <w:adjustRightInd w:val="0"/>
        <w:jc w:val="both"/>
        <w:rPr>
          <w:i/>
        </w:rPr>
      </w:pPr>
      <w:r w:rsidRPr="009118AB">
        <w:rPr>
          <w:i/>
        </w:rPr>
        <w:t>[</w:t>
      </w:r>
      <w:r w:rsidR="00D67EB8" w:rsidRPr="009118AB">
        <w:rPr>
          <w:i/>
        </w:rPr>
        <w:t>Art. </w:t>
      </w:r>
      <w:r w:rsidRPr="009118AB">
        <w:rPr>
          <w:i/>
        </w:rPr>
        <w:t xml:space="preserve">300 ersetzt durch </w:t>
      </w:r>
      <w:r w:rsidR="00D67EB8" w:rsidRPr="009118AB">
        <w:rPr>
          <w:i/>
        </w:rPr>
        <w:t>Art. </w:t>
      </w:r>
      <w:r w:rsidR="007B11CE" w:rsidRPr="009118AB">
        <w:rPr>
          <w:i/>
        </w:rPr>
        <w:t>31</w:t>
      </w:r>
      <w:r w:rsidR="007B11CE" w:rsidRPr="009118AB">
        <w:rPr>
          <w:i/>
          <w:iCs/>
        </w:rPr>
        <w:t xml:space="preserve"> des G. vom 13. April 2019 (II) (B.S. vom 30. April 2019)</w:t>
      </w:r>
      <w:r w:rsidR="00D67EB8" w:rsidRPr="009118AB">
        <w:rPr>
          <w:i/>
          <w:iCs/>
        </w:rPr>
        <w:t> - </w:t>
      </w:r>
      <w:r w:rsidR="007B11CE" w:rsidRPr="009118AB">
        <w:rPr>
          <w:i/>
          <w:iCs/>
        </w:rPr>
        <w:t>in Kraft am 1. Januar 2020</w:t>
      </w:r>
      <w:r w:rsidR="00FD68E8" w:rsidRPr="009118AB">
        <w:rPr>
          <w:i/>
          <w:iCs/>
        </w:rPr>
        <w:t> -]</w:t>
      </w:r>
    </w:p>
    <w:p w14:paraId="72C143A8" w14:textId="77777777" w:rsidR="00477B8F" w:rsidRPr="009118AB" w:rsidRDefault="00477B8F" w:rsidP="00477B8F">
      <w:pPr>
        <w:autoSpaceDE w:val="0"/>
        <w:autoSpaceDN w:val="0"/>
        <w:adjustRightInd w:val="0"/>
        <w:jc w:val="both"/>
      </w:pPr>
    </w:p>
    <w:p w14:paraId="7B4D6F66" w14:textId="77777777" w:rsidR="00477B8F" w:rsidRPr="009118AB" w:rsidRDefault="00477B8F" w:rsidP="00477B8F">
      <w:pPr>
        <w:autoSpaceDE w:val="0"/>
        <w:autoSpaceDN w:val="0"/>
        <w:adjustRightInd w:val="0"/>
        <w:jc w:val="both"/>
      </w:pPr>
    </w:p>
    <w:p w14:paraId="64B7A77F" w14:textId="5C472B57"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301</w:t>
      </w:r>
      <w:r w:rsidR="00D67EB8" w:rsidRPr="009118AB">
        <w:t> - </w:t>
      </w:r>
      <w:r w:rsidRPr="009118AB">
        <w:t xml:space="preserve">[Für die in Artikel 227 </w:t>
      </w:r>
      <w:r w:rsidR="00D67EB8" w:rsidRPr="009118AB">
        <w:t>Nr. </w:t>
      </w:r>
      <w:r w:rsidRPr="009118AB">
        <w:t xml:space="preserve">1 und 3 erwähnten Steuerpflichtigen wird die Steuer der Gebietsfremden in Bezug auf die in Artikel 228 </w:t>
      </w:r>
      <w:r w:rsidR="00D67EB8" w:rsidRPr="009118AB">
        <w:t>§ </w:t>
      </w:r>
      <w:r w:rsidRPr="009118AB">
        <w:t xml:space="preserve">2 </w:t>
      </w:r>
      <w:r w:rsidR="00D67EB8" w:rsidRPr="009118AB">
        <w:t>Nr. </w:t>
      </w:r>
      <w:r w:rsidRPr="009118AB">
        <w:t>9 Buchstabe </w:t>
      </w:r>
      <w:r w:rsidRPr="009118AB">
        <w:rPr>
          <w:i/>
          <w:iCs/>
        </w:rPr>
        <w:t>g)</w:t>
      </w:r>
      <w:r w:rsidRPr="009118AB">
        <w:t xml:space="preserve"> und </w:t>
      </w:r>
      <w:r w:rsidRPr="009118AB">
        <w:rPr>
          <w:i/>
          <w:iCs/>
        </w:rPr>
        <w:t>i)</w:t>
      </w:r>
      <w:r w:rsidRPr="009118AB">
        <w:t xml:space="preserve"> erwähnten Mehrwerte, die sich nicht auf die in Artikel 44 </w:t>
      </w:r>
      <w:r w:rsidR="00D67EB8" w:rsidRPr="009118AB">
        <w:t>§ </w:t>
      </w:r>
      <w:r w:rsidRPr="009118AB">
        <w:t xml:space="preserve">2 erwähnten unbebauten unbeweglichen Güter beziehen, von der </w:t>
      </w:r>
      <w:r w:rsidR="005C2FAB" w:rsidRPr="009118AB">
        <w:t xml:space="preserve">[Generalverwaltung Vermögensdokumentation] </w:t>
      </w:r>
      <w:r w:rsidRPr="009118AB">
        <w:t xml:space="preserve">zu den Sätzen und gemäß den Unterscheidungen, die in Artikel 171 </w:t>
      </w:r>
      <w:r w:rsidR="00D67EB8" w:rsidRPr="009118AB">
        <w:t>Nr. </w:t>
      </w:r>
      <w:r w:rsidRPr="009118AB">
        <w:t>1 Buchstabe </w:t>
      </w:r>
      <w:r w:rsidRPr="009118AB">
        <w:rPr>
          <w:i/>
          <w:iCs/>
        </w:rPr>
        <w:t>b)</w:t>
      </w:r>
      <w:r w:rsidRPr="009118AB">
        <w:t xml:space="preserve"> und </w:t>
      </w:r>
      <w:r w:rsidR="00D67EB8" w:rsidRPr="009118AB">
        <w:t>Nr. </w:t>
      </w:r>
      <w:r w:rsidRPr="009118AB">
        <w:t>4 Buchstabe </w:t>
      </w:r>
      <w:r w:rsidRPr="009118AB">
        <w:rPr>
          <w:i/>
          <w:iCs/>
        </w:rPr>
        <w:t>d)</w:t>
      </w:r>
      <w:r w:rsidRPr="009118AB">
        <w:t xml:space="preserve"> und </w:t>
      </w:r>
      <w:r w:rsidRPr="009118AB">
        <w:rPr>
          <w:i/>
          <w:iCs/>
        </w:rPr>
        <w:t>e)</w:t>
      </w:r>
      <w:r w:rsidRPr="009118AB">
        <w:t xml:space="preserve"> vorgesehen sind, festgelegt und eingetrieben.]</w:t>
      </w:r>
    </w:p>
    <w:p w14:paraId="74A18E52" w14:textId="77777777" w:rsidR="00477B8F" w:rsidRPr="009118AB" w:rsidRDefault="00477B8F" w:rsidP="00477B8F">
      <w:pPr>
        <w:autoSpaceDE w:val="0"/>
        <w:autoSpaceDN w:val="0"/>
        <w:adjustRightInd w:val="0"/>
        <w:jc w:val="both"/>
      </w:pPr>
    </w:p>
    <w:p w14:paraId="74DDE229" w14:textId="77777777" w:rsidR="00477B8F" w:rsidRPr="009118AB" w:rsidRDefault="00477B8F" w:rsidP="00477B8F">
      <w:pPr>
        <w:autoSpaceDE w:val="0"/>
        <w:autoSpaceDN w:val="0"/>
        <w:adjustRightInd w:val="0"/>
        <w:jc w:val="both"/>
      </w:pPr>
      <w:r w:rsidRPr="009118AB">
        <w:tab/>
        <w:t>Der König regelt die Ausführung des vorliegenden Artikels.</w:t>
      </w:r>
    </w:p>
    <w:p w14:paraId="7F3A4131" w14:textId="77777777" w:rsidR="00477B8F" w:rsidRPr="009118AB" w:rsidRDefault="00477B8F" w:rsidP="00477B8F">
      <w:pPr>
        <w:autoSpaceDE w:val="0"/>
        <w:autoSpaceDN w:val="0"/>
        <w:adjustRightInd w:val="0"/>
        <w:jc w:val="both"/>
      </w:pPr>
    </w:p>
    <w:p w14:paraId="78E3F034" w14:textId="338EC79C"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301</w:t>
      </w:r>
      <w:r w:rsidR="009626F5" w:rsidRPr="009118AB">
        <w:rPr>
          <w:i/>
          <w:iCs/>
        </w:rPr>
        <w:t xml:space="preserve"> ersetzt durch </w:t>
      </w:r>
      <w:r w:rsidR="00D67EB8" w:rsidRPr="009118AB">
        <w:rPr>
          <w:i/>
          <w:iCs/>
        </w:rPr>
        <w:t>Art. </w:t>
      </w:r>
      <w:r w:rsidR="009626F5" w:rsidRPr="009118AB">
        <w:rPr>
          <w:i/>
          <w:iCs/>
        </w:rPr>
        <w:t>120 des G. vom 21. Januar 2022 (B.S. vom 28. Januar 2022)</w:t>
      </w:r>
      <w:r w:rsidR="00D67EB8" w:rsidRPr="009118AB">
        <w:rPr>
          <w:i/>
          <w:iCs/>
        </w:rPr>
        <w:t> - </w:t>
      </w:r>
      <w:r w:rsidR="00FD34EA" w:rsidRPr="009118AB">
        <w:rPr>
          <w:i/>
          <w:iCs/>
        </w:rPr>
        <w:t>in Kraft am 1. April 2022</w:t>
      </w:r>
      <w:r w:rsidR="00FD68E8" w:rsidRPr="009118AB">
        <w:rPr>
          <w:i/>
          <w:iCs/>
        </w:rPr>
        <w:t> -,</w:t>
      </w:r>
      <w:r w:rsidR="00FD34EA" w:rsidRPr="009118AB">
        <w:rPr>
          <w:rFonts w:ascii="Times New Roman Italique" w:hAnsi="Times New Roman Italique"/>
          <w:i/>
          <w:iCs/>
          <w:spacing w:val="-2"/>
        </w:rPr>
        <w:t xml:space="preserve"> selbst widerrufen durch </w:t>
      </w:r>
      <w:r w:rsidR="00D67EB8" w:rsidRPr="009118AB">
        <w:rPr>
          <w:rFonts w:ascii="Times New Roman Italique" w:hAnsi="Times New Roman Italique"/>
          <w:i/>
          <w:iCs/>
          <w:spacing w:val="-2"/>
        </w:rPr>
        <w:t>Art. </w:t>
      </w:r>
      <w:r w:rsidR="00FD34EA" w:rsidRPr="009118AB">
        <w:rPr>
          <w:rFonts w:ascii="Times New Roman Italique" w:hAnsi="Times New Roman Italique"/>
          <w:i/>
          <w:iCs/>
          <w:spacing w:val="-2"/>
        </w:rPr>
        <w:t>86 des G. vom 5. Juli 2022 (B.S. vom 15. Juli 2022)</w:t>
      </w:r>
      <w:r w:rsidR="00D67EB8" w:rsidRPr="009118AB">
        <w:rPr>
          <w:rFonts w:ascii="Times New Roman Italique" w:hAnsi="Times New Roman Italique"/>
          <w:i/>
          <w:iCs/>
          <w:spacing w:val="-2"/>
        </w:rPr>
        <w:t> - </w:t>
      </w:r>
      <w:r w:rsidR="00226364" w:rsidRPr="009118AB">
        <w:rPr>
          <w:rFonts w:ascii="Times New Roman Italique" w:hAnsi="Times New Roman Italique"/>
          <w:i/>
          <w:iCs/>
          <w:spacing w:val="-2"/>
        </w:rPr>
        <w:t>in Kraft am 21.</w:t>
      </w:r>
      <w:r w:rsidR="00226364" w:rsidRPr="009118AB">
        <w:rPr>
          <w:rFonts w:ascii="Times New Roman Italique" w:hAnsi="Times New Roman Italique" w:hint="eastAsia"/>
          <w:i/>
          <w:iCs/>
          <w:spacing w:val="-2"/>
        </w:rPr>
        <w:t> </w:t>
      </w:r>
      <w:r w:rsidR="00226364" w:rsidRPr="009118AB">
        <w:rPr>
          <w:rFonts w:ascii="Times New Roman Italique" w:hAnsi="Times New Roman Italique"/>
          <w:i/>
          <w:iCs/>
          <w:spacing w:val="-2"/>
        </w:rPr>
        <w:t>Januar</w:t>
      </w:r>
      <w:r w:rsidR="00226364" w:rsidRPr="009118AB">
        <w:rPr>
          <w:rFonts w:ascii="Times New Roman Italique" w:hAnsi="Times New Roman Italique" w:hint="eastAsia"/>
          <w:i/>
          <w:iCs/>
          <w:spacing w:val="-2"/>
        </w:rPr>
        <w:t> </w:t>
      </w:r>
      <w:r w:rsidR="00226364" w:rsidRPr="009118AB">
        <w:rPr>
          <w:rFonts w:ascii="Times New Roman Italique" w:hAnsi="Times New Roman Italique"/>
          <w:i/>
          <w:iCs/>
          <w:spacing w:val="-2"/>
        </w:rPr>
        <w:t>2022</w:t>
      </w:r>
      <w:r w:rsidR="003366D9" w:rsidRPr="009118AB">
        <w:rPr>
          <w:rFonts w:ascii="Times New Roman Italique" w:hAnsi="Times New Roman Italique"/>
          <w:i/>
          <w:iCs/>
          <w:spacing w:val="-2"/>
        </w:rPr>
        <w:t> </w:t>
      </w:r>
      <w:r w:rsidR="003366D9" w:rsidRPr="009118AB">
        <w:rPr>
          <w:rFonts w:ascii="Times New Roman Italique" w:hAnsi="Times New Roman Italique" w:hint="eastAsia"/>
          <w:i/>
          <w:iCs/>
          <w:spacing w:val="-2"/>
        </w:rPr>
        <w:t>-;</w:t>
      </w:r>
      <w:r w:rsidRPr="009118AB">
        <w:rPr>
          <w:i/>
          <w:iCs/>
        </w:rPr>
        <w:t xml:space="preserve"> </w:t>
      </w:r>
      <w:r w:rsidR="00D67EB8" w:rsidRPr="009118AB">
        <w:rPr>
          <w:i/>
          <w:iCs/>
        </w:rPr>
        <w:t>Abs. </w:t>
      </w:r>
      <w:r w:rsidRPr="009118AB">
        <w:rPr>
          <w:i/>
          <w:iCs/>
        </w:rPr>
        <w:t xml:space="preserve">1 ersetzt durch </w:t>
      </w:r>
      <w:r w:rsidR="00D67EB8" w:rsidRPr="009118AB">
        <w:rPr>
          <w:i/>
          <w:iCs/>
        </w:rPr>
        <w:t>Art. </w:t>
      </w:r>
      <w:r w:rsidRPr="009118AB">
        <w:rPr>
          <w:i/>
          <w:iCs/>
        </w:rPr>
        <w:t>37 des K.E. vom 20. Dezember 1996 (B.S. vom 31. Dezember 1996)</w:t>
      </w:r>
      <w:r w:rsidR="00D67EB8" w:rsidRPr="009118AB">
        <w:rPr>
          <w:i/>
          <w:iCs/>
        </w:rPr>
        <w:t> - </w:t>
      </w:r>
      <w:r w:rsidRPr="009118AB">
        <w:rPr>
          <w:i/>
          <w:iCs/>
        </w:rPr>
        <w:t>in Kraft ab dem 1. Januar 1997</w:t>
      </w:r>
      <w:r w:rsidR="00D67EB8" w:rsidRPr="009118AB">
        <w:rPr>
          <w:i/>
          <w:iCs/>
        </w:rPr>
        <w:t> - </w:t>
      </w:r>
      <w:r w:rsidR="00B60E13" w:rsidRPr="009118AB">
        <w:rPr>
          <w:i/>
          <w:iCs/>
        </w:rPr>
        <w:t xml:space="preserve">und abgeändert durch </w:t>
      </w:r>
      <w:r w:rsidR="00D67EB8" w:rsidRPr="009118AB">
        <w:rPr>
          <w:i/>
          <w:iCs/>
        </w:rPr>
        <w:t>Art. </w:t>
      </w:r>
      <w:r w:rsidR="00461A8B" w:rsidRPr="009118AB">
        <w:rPr>
          <w:i/>
          <w:iCs/>
        </w:rPr>
        <w:t>5</w:t>
      </w:r>
      <w:r w:rsidR="00BE30A0" w:rsidRPr="009118AB">
        <w:rPr>
          <w:i/>
          <w:iCs/>
        </w:rPr>
        <w:t xml:space="preserve"> des G. vom 25. April 2014 </w:t>
      </w:r>
      <w:r w:rsidR="00461A8B" w:rsidRPr="009118AB">
        <w:rPr>
          <w:i/>
          <w:iCs/>
        </w:rPr>
        <w:t>(I) (B.S. vom 16. Mai 2014)</w:t>
      </w:r>
      <w:r w:rsidR="00D67EB8" w:rsidRPr="009118AB">
        <w:rPr>
          <w:i/>
          <w:iCs/>
        </w:rPr>
        <w:t> - </w:t>
      </w:r>
      <w:r w:rsidR="00461A8B" w:rsidRPr="009118AB">
        <w:rPr>
          <w:i/>
          <w:iCs/>
        </w:rPr>
        <w:t>in Kraft am 16. Mai 2014</w:t>
      </w:r>
      <w:r w:rsidR="00FD68E8" w:rsidRPr="009118AB">
        <w:rPr>
          <w:i/>
          <w:iCs/>
        </w:rPr>
        <w:t> -]</w:t>
      </w:r>
    </w:p>
    <w:p w14:paraId="5B830163" w14:textId="77777777" w:rsidR="00477B8F" w:rsidRPr="009118AB" w:rsidRDefault="00477B8F" w:rsidP="00477B8F">
      <w:pPr>
        <w:autoSpaceDE w:val="0"/>
        <w:autoSpaceDN w:val="0"/>
        <w:adjustRightInd w:val="0"/>
        <w:jc w:val="both"/>
      </w:pPr>
    </w:p>
    <w:p w14:paraId="59A2AAB6" w14:textId="77777777" w:rsidR="000A387E" w:rsidRPr="009118AB" w:rsidRDefault="000A387E" w:rsidP="00477B8F">
      <w:pPr>
        <w:autoSpaceDE w:val="0"/>
        <w:autoSpaceDN w:val="0"/>
        <w:adjustRightInd w:val="0"/>
        <w:jc w:val="both"/>
      </w:pPr>
    </w:p>
    <w:p w14:paraId="11437FD2" w14:textId="6A3A82BF" w:rsidR="000A387E" w:rsidRPr="009118AB" w:rsidRDefault="000A387E" w:rsidP="000A387E">
      <w:pPr>
        <w:autoSpaceDE w:val="0"/>
        <w:autoSpaceDN w:val="0"/>
        <w:adjustRightInd w:val="0"/>
        <w:jc w:val="both"/>
        <w:rPr>
          <w:sz w:val="20"/>
        </w:rPr>
      </w:pPr>
      <w:r w:rsidRPr="009118AB">
        <w:rPr>
          <w:iCs/>
          <w:sz w:val="20"/>
          <w:szCs w:val="20"/>
        </w:rPr>
        <w:t>Ab dem 1. Januar 2028 (gemäß Art. </w:t>
      </w:r>
      <w:r w:rsidR="00642299" w:rsidRPr="009118AB">
        <w:rPr>
          <w:iCs/>
          <w:sz w:val="20"/>
          <w:szCs w:val="20"/>
        </w:rPr>
        <w:t>89</w:t>
      </w:r>
      <w:r w:rsidRPr="009118AB">
        <w:rPr>
          <w:i/>
          <w:iCs/>
          <w:sz w:val="20"/>
        </w:rPr>
        <w:t xml:space="preserve"> </w:t>
      </w:r>
      <w:r w:rsidRPr="009118AB">
        <w:rPr>
          <w:sz w:val="20"/>
        </w:rPr>
        <w:t>des G. vom 5. Juli 2022 (B.S. vom 15. Juli 2022)</w:t>
      </w:r>
      <w:r w:rsidR="00ED37C4" w:rsidRPr="009118AB">
        <w:rPr>
          <w:sz w:val="20"/>
        </w:rPr>
        <w:t>, selbst abgeändert durch Art. 39 des G. vom 22. Dezember 2023</w:t>
      </w:r>
      <w:r w:rsidR="00552005" w:rsidRPr="00552005">
        <w:rPr>
          <w:i/>
          <w:iCs/>
          <w:sz w:val="20"/>
        </w:rPr>
        <w:t> (I)</w:t>
      </w:r>
      <w:r w:rsidR="00ED37C4" w:rsidRPr="009118AB">
        <w:rPr>
          <w:sz w:val="20"/>
        </w:rPr>
        <w:t xml:space="preserve"> (B.S. vom 29. Dezember 2023)</w:t>
      </w:r>
      <w:r w:rsidRPr="009118AB">
        <w:rPr>
          <w:sz w:val="20"/>
        </w:rPr>
        <w:t>) lautet Art. 301 wie folgt:</w:t>
      </w:r>
    </w:p>
    <w:p w14:paraId="658B4D90" w14:textId="77777777" w:rsidR="000A387E" w:rsidRPr="009118AB" w:rsidRDefault="000A387E" w:rsidP="000A387E">
      <w:pPr>
        <w:autoSpaceDE w:val="0"/>
        <w:autoSpaceDN w:val="0"/>
        <w:adjustRightInd w:val="0"/>
        <w:jc w:val="both"/>
        <w:rPr>
          <w:sz w:val="20"/>
        </w:rPr>
      </w:pPr>
    </w:p>
    <w:p w14:paraId="6020A878" w14:textId="77777777" w:rsidR="000A387E" w:rsidRPr="009118AB" w:rsidRDefault="000A387E" w:rsidP="000A387E">
      <w:pPr>
        <w:autoSpaceDE w:val="0"/>
        <w:autoSpaceDN w:val="0"/>
        <w:adjustRightInd w:val="0"/>
        <w:jc w:val="both"/>
        <w:rPr>
          <w:sz w:val="20"/>
        </w:rPr>
      </w:pPr>
      <w:r w:rsidRPr="009118AB">
        <w:rPr>
          <w:sz w:val="20"/>
        </w:rPr>
        <w:t>"Art. 301 - [Für die in Artikel 227 Nr. 1 und 3 erwähnten Steuerpflichtigen wird die Steuer der Gebietsfremden in Bezug auf die in Artikel 228 § 2 Nr. 9 Buchstabe </w:t>
      </w:r>
      <w:r w:rsidRPr="009118AB">
        <w:rPr>
          <w:i/>
          <w:iCs/>
          <w:sz w:val="20"/>
        </w:rPr>
        <w:t>g)</w:t>
      </w:r>
      <w:r w:rsidRPr="009118AB">
        <w:rPr>
          <w:sz w:val="20"/>
        </w:rPr>
        <w:t xml:space="preserve"> und </w:t>
      </w:r>
      <w:r w:rsidRPr="009118AB">
        <w:rPr>
          <w:i/>
          <w:iCs/>
          <w:sz w:val="20"/>
        </w:rPr>
        <w:t>i)</w:t>
      </w:r>
      <w:r w:rsidRPr="009118AB">
        <w:rPr>
          <w:sz w:val="20"/>
        </w:rPr>
        <w:t xml:space="preserve"> erwähnten Mehrwerte, die sich nicht auf die in Artikel 44 § 2 erwähnten unbebauten unbeweglichen Güter beziehen, vom zuständigen Amt der Generalverwaltung Vermögensdokumentation zu den Sätzen und gemäß den Unterscheidungen, die in Artikel 171 Nr. 1 Buchstabe </w:t>
      </w:r>
      <w:r w:rsidRPr="009118AB">
        <w:rPr>
          <w:i/>
          <w:iCs/>
          <w:sz w:val="20"/>
        </w:rPr>
        <w:t>b)</w:t>
      </w:r>
      <w:r w:rsidRPr="009118AB">
        <w:rPr>
          <w:sz w:val="20"/>
        </w:rPr>
        <w:t xml:space="preserve"> und Nr. 4 Buchstabe </w:t>
      </w:r>
      <w:r w:rsidRPr="009118AB">
        <w:rPr>
          <w:i/>
          <w:iCs/>
          <w:sz w:val="20"/>
        </w:rPr>
        <w:t>d)</w:t>
      </w:r>
      <w:r w:rsidRPr="009118AB">
        <w:rPr>
          <w:sz w:val="20"/>
        </w:rPr>
        <w:t xml:space="preserve"> und </w:t>
      </w:r>
      <w:r w:rsidRPr="009118AB">
        <w:rPr>
          <w:i/>
          <w:iCs/>
          <w:sz w:val="20"/>
        </w:rPr>
        <w:t>e)</w:t>
      </w:r>
      <w:r w:rsidRPr="009118AB">
        <w:rPr>
          <w:sz w:val="20"/>
        </w:rPr>
        <w:t xml:space="preserve"> vorgesehen sind, berechnet und vom zuständigen Dienst der Generalverwaltung Einnahme und Beitreibung eingenommen bei der Registrierung der Urkunde über die entgeltliche Abtretung unbeweglicher Güter oder dinglicher Rechte an diesen Gütern, bei der die in Artikel 228 § 2 Nr. 9 Buchstabe </w:t>
      </w:r>
      <w:r w:rsidRPr="009118AB">
        <w:rPr>
          <w:i/>
          <w:iCs/>
          <w:sz w:val="20"/>
        </w:rPr>
        <w:t>g)</w:t>
      </w:r>
      <w:r w:rsidRPr="009118AB">
        <w:rPr>
          <w:sz w:val="20"/>
        </w:rPr>
        <w:t xml:space="preserve"> und </w:t>
      </w:r>
      <w:r w:rsidRPr="009118AB">
        <w:rPr>
          <w:i/>
          <w:iCs/>
          <w:sz w:val="20"/>
        </w:rPr>
        <w:t>i)</w:t>
      </w:r>
      <w:r w:rsidRPr="009118AB">
        <w:rPr>
          <w:sz w:val="20"/>
        </w:rPr>
        <w:t xml:space="preserve"> erwähnten Mehrwerte verwirklicht werden, oder bei der Registrierung einer Erklärung, durch die diese Abtretung festgestellt wird.</w:t>
      </w:r>
    </w:p>
    <w:p w14:paraId="5FEBECA4" w14:textId="77777777" w:rsidR="000A387E" w:rsidRPr="009118AB" w:rsidRDefault="000A387E" w:rsidP="000A387E">
      <w:pPr>
        <w:autoSpaceDE w:val="0"/>
        <w:autoSpaceDN w:val="0"/>
        <w:adjustRightInd w:val="0"/>
        <w:jc w:val="both"/>
        <w:rPr>
          <w:sz w:val="20"/>
        </w:rPr>
      </w:pPr>
    </w:p>
    <w:p w14:paraId="78E242BD" w14:textId="77777777" w:rsidR="000A387E" w:rsidRPr="009118AB" w:rsidRDefault="000A387E" w:rsidP="000A387E">
      <w:pPr>
        <w:autoSpaceDE w:val="0"/>
        <w:autoSpaceDN w:val="0"/>
        <w:adjustRightInd w:val="0"/>
        <w:jc w:val="both"/>
        <w:rPr>
          <w:sz w:val="20"/>
        </w:rPr>
      </w:pPr>
      <w:r w:rsidRPr="009118AB">
        <w:rPr>
          <w:sz w:val="20"/>
        </w:rPr>
        <w:t>Stellt sich heraus, dass die in Absatz 1 erwähnte Steuer der Gebietsfremden ganz oder teilweise nicht gemäß Absatz 1 eingenommen worden ist, wird diese Steuer vom zuständigen Dienst der mit der Festlegung der Einkommensteuern beauftragten Verwaltung festgelegt und von den zuständigen Diensten der Generalverwaltung Einnahme und Beitreibung eingenommen und beigetrieben.</w:t>
      </w:r>
    </w:p>
    <w:p w14:paraId="1B2753D5" w14:textId="77777777" w:rsidR="000A387E" w:rsidRPr="009118AB" w:rsidRDefault="000A387E" w:rsidP="000A387E">
      <w:pPr>
        <w:autoSpaceDE w:val="0"/>
        <w:autoSpaceDN w:val="0"/>
        <w:adjustRightInd w:val="0"/>
        <w:jc w:val="both"/>
        <w:rPr>
          <w:sz w:val="20"/>
        </w:rPr>
      </w:pPr>
    </w:p>
    <w:p w14:paraId="48C04F8D" w14:textId="4EC7DFEE" w:rsidR="000A387E" w:rsidRPr="009118AB" w:rsidRDefault="000A387E" w:rsidP="000A387E">
      <w:pPr>
        <w:autoSpaceDE w:val="0"/>
        <w:autoSpaceDN w:val="0"/>
        <w:adjustRightInd w:val="0"/>
        <w:jc w:val="both"/>
        <w:rPr>
          <w:sz w:val="20"/>
        </w:rPr>
      </w:pPr>
      <w:r w:rsidRPr="009118AB">
        <w:rPr>
          <w:sz w:val="20"/>
        </w:rPr>
        <w:t>Der König regelt die Ausführung des vorliegenden Artikels.]</w:t>
      </w:r>
    </w:p>
    <w:p w14:paraId="14B8AD3E" w14:textId="77777777" w:rsidR="000A387E" w:rsidRPr="009118AB" w:rsidRDefault="000A387E" w:rsidP="000A387E">
      <w:pPr>
        <w:autoSpaceDE w:val="0"/>
        <w:autoSpaceDN w:val="0"/>
        <w:adjustRightInd w:val="0"/>
        <w:jc w:val="both"/>
        <w:rPr>
          <w:sz w:val="20"/>
        </w:rPr>
      </w:pPr>
    </w:p>
    <w:p w14:paraId="0BDACEE9" w14:textId="1816D95F" w:rsidR="000A387E" w:rsidRPr="009118AB" w:rsidRDefault="000A387E" w:rsidP="000A387E">
      <w:pPr>
        <w:autoSpaceDE w:val="0"/>
        <w:autoSpaceDN w:val="0"/>
        <w:adjustRightInd w:val="0"/>
        <w:jc w:val="both"/>
        <w:rPr>
          <w:sz w:val="20"/>
        </w:rPr>
      </w:pPr>
      <w:r w:rsidRPr="009118AB">
        <w:rPr>
          <w:i/>
          <w:iCs/>
          <w:sz w:val="20"/>
        </w:rPr>
        <w:t>[Art. 301 ersetzt</w:t>
      </w:r>
      <w:r w:rsidR="00ED37C4" w:rsidRPr="009118AB">
        <w:rPr>
          <w:i/>
          <w:iCs/>
          <w:sz w:val="20"/>
        </w:rPr>
        <w:t xml:space="preserve"> durch Art. 120 des G. vom 21. Januar 2022 (B.S. vom 28. Januar 2022) - in Kraft am 1. April 2022 -, selbst widerrufen durch Art. 86 des G. vom 5. Juli 2022 (B.S. vom 15. Juli 2022) - in Kraft am 21. Januar 2022 - und erneut ersetzt</w:t>
      </w:r>
      <w:r w:rsidRPr="009118AB">
        <w:rPr>
          <w:i/>
          <w:iCs/>
          <w:sz w:val="20"/>
        </w:rPr>
        <w:t xml:space="preserve"> durch Art. 87 des G. vom 5. Juli 2022 (B.S. vom 15. Juli 2022) - in Kraft am 1.</w:t>
      </w:r>
      <w:r w:rsidRPr="009118AB">
        <w:rPr>
          <w:rFonts w:hint="eastAsia"/>
          <w:i/>
          <w:iCs/>
          <w:sz w:val="20"/>
        </w:rPr>
        <w:t> </w:t>
      </w:r>
      <w:r w:rsidRPr="009118AB">
        <w:rPr>
          <w:i/>
          <w:iCs/>
          <w:sz w:val="20"/>
        </w:rPr>
        <w:t>Januar</w:t>
      </w:r>
      <w:r w:rsidRPr="009118AB">
        <w:rPr>
          <w:rFonts w:hint="eastAsia"/>
          <w:i/>
          <w:iCs/>
          <w:sz w:val="20"/>
        </w:rPr>
        <w:t> </w:t>
      </w:r>
      <w:r w:rsidRPr="009118AB">
        <w:rPr>
          <w:i/>
          <w:iCs/>
          <w:sz w:val="20"/>
        </w:rPr>
        <w:t>2028 </w:t>
      </w:r>
      <w:r w:rsidRPr="009118AB">
        <w:rPr>
          <w:rFonts w:hint="eastAsia"/>
          <w:i/>
          <w:iCs/>
          <w:sz w:val="20"/>
        </w:rPr>
        <w:t>-</w:t>
      </w:r>
      <w:r w:rsidRPr="009118AB">
        <w:rPr>
          <w:i/>
          <w:iCs/>
          <w:sz w:val="20"/>
        </w:rPr>
        <w:t>]</w:t>
      </w:r>
      <w:r w:rsidRPr="009118AB">
        <w:rPr>
          <w:sz w:val="20"/>
        </w:rPr>
        <w:t>"</w:t>
      </w:r>
    </w:p>
    <w:p w14:paraId="3C0E2060" w14:textId="64407AA3" w:rsidR="000A387E" w:rsidRPr="009118AB" w:rsidRDefault="000A387E" w:rsidP="000A387E">
      <w:pPr>
        <w:autoSpaceDE w:val="0"/>
        <w:autoSpaceDN w:val="0"/>
        <w:adjustRightInd w:val="0"/>
        <w:jc w:val="both"/>
      </w:pPr>
    </w:p>
    <w:p w14:paraId="4BD90E9A" w14:textId="77777777" w:rsidR="00477B8F" w:rsidRPr="009118AB" w:rsidRDefault="00477B8F" w:rsidP="00477B8F">
      <w:pPr>
        <w:autoSpaceDE w:val="0"/>
        <w:autoSpaceDN w:val="0"/>
        <w:adjustRightInd w:val="0"/>
        <w:jc w:val="both"/>
      </w:pPr>
    </w:p>
    <w:p w14:paraId="6D48D5B8" w14:textId="48B7B86F" w:rsidR="00AC2D61" w:rsidRPr="002310E9" w:rsidRDefault="00477B8F" w:rsidP="00AC2D61">
      <w:pPr>
        <w:autoSpaceDE w:val="0"/>
        <w:autoSpaceDN w:val="0"/>
        <w:adjustRightInd w:val="0"/>
        <w:jc w:val="both"/>
        <w:rPr>
          <w:iCs/>
        </w:rPr>
      </w:pPr>
      <w:r w:rsidRPr="009118AB">
        <w:lastRenderedPageBreak/>
        <w:tab/>
      </w:r>
      <w:r w:rsidR="00D67EB8" w:rsidRPr="009118AB">
        <w:rPr>
          <w:b/>
          <w:bCs/>
        </w:rPr>
        <w:t>Art. </w:t>
      </w:r>
      <w:r w:rsidRPr="009118AB">
        <w:rPr>
          <w:b/>
          <w:bCs/>
        </w:rPr>
        <w:t>302</w:t>
      </w:r>
      <w:r w:rsidR="00D67EB8" w:rsidRPr="009118AB">
        <w:t> - </w:t>
      </w:r>
      <w:r w:rsidR="00AC2D61" w:rsidRPr="002310E9">
        <w:rPr>
          <w:iCs/>
        </w:rPr>
        <w:t>Sämtliche Mitteilungen in Bezug auf die Erklärung und die Kontrolle und die Steuerbescheide in Bezug auf die Einkommensteuern werden dem Steuerpflichtigen in geschlossenem Umschlag zugesandt.</w:t>
      </w:r>
    </w:p>
    <w:p w14:paraId="1E3BDEC5" w14:textId="77777777" w:rsidR="00AC2D61" w:rsidRPr="002310E9" w:rsidRDefault="00AC2D61" w:rsidP="00AC2D61">
      <w:pPr>
        <w:autoSpaceDE w:val="0"/>
        <w:autoSpaceDN w:val="0"/>
        <w:adjustRightInd w:val="0"/>
        <w:jc w:val="both"/>
        <w:rPr>
          <w:iCs/>
        </w:rPr>
      </w:pPr>
    </w:p>
    <w:p w14:paraId="79DDE6D5" w14:textId="3F0B400F" w:rsidR="00AC2D61" w:rsidRPr="002310E9" w:rsidRDefault="00AC2D61" w:rsidP="002310E9">
      <w:pPr>
        <w:autoSpaceDE w:val="0"/>
        <w:autoSpaceDN w:val="0"/>
        <w:adjustRightInd w:val="0"/>
        <w:ind w:firstLine="709"/>
        <w:jc w:val="both"/>
        <w:rPr>
          <w:iCs/>
        </w:rPr>
      </w:pPr>
      <w:r w:rsidRPr="002310E9">
        <w:rPr>
          <w:iCs/>
        </w:rPr>
        <w:t>[</w:t>
      </w:r>
      <w:r w:rsidR="002D696C" w:rsidRPr="002310E9">
        <w:rPr>
          <w:iCs/>
        </w:rPr>
        <w:t>In Abweichung von vorhergehendem Absatz kann der Steuerpflichtige jedoch, durch ausdrückliche Erklärung in diesem Sinne, für eine ausschließliche Entgegennahme der Steuerbescheide und der Vorschläge der vereinfachten Erklärung anhand eines Verfahrens, bei dem Informatiktechniken verwendet werden, optieren. In diesem Fall gilt die Zurverfügung</w:t>
      </w:r>
      <w:r w:rsidR="002D696C" w:rsidRPr="002310E9">
        <w:rPr>
          <w:iCs/>
        </w:rPr>
        <w:softHyphen/>
        <w:t>stellung anhand eines solchen Verfahrens als rechtsgültige Notifizierung des Steuerbescheids und des Vorschlags der vereinfachten Erklärung. Betreffen der Steuerbescheid und der Vorschlag der vereinfachten Erklärung eine in Artikel 126 § 1 erwähnte gemeinsame Veranlagung, müssen beide Steuerpflichtigen sich ausdrücklich damit einverstanden erklärt haben.</w:t>
      </w:r>
      <w:r w:rsidR="00D86D70" w:rsidRPr="002310E9">
        <w:rPr>
          <w:iCs/>
        </w:rPr>
        <w:t>]</w:t>
      </w:r>
    </w:p>
    <w:p w14:paraId="50ED6D38" w14:textId="77777777" w:rsidR="00AC2D61" w:rsidRPr="002310E9" w:rsidRDefault="00AC2D61" w:rsidP="00AC2D61">
      <w:pPr>
        <w:autoSpaceDE w:val="0"/>
        <w:autoSpaceDN w:val="0"/>
        <w:adjustRightInd w:val="0"/>
        <w:jc w:val="both"/>
        <w:rPr>
          <w:iCs/>
        </w:rPr>
      </w:pPr>
    </w:p>
    <w:p w14:paraId="3F83D04A" w14:textId="50433015" w:rsidR="00AC2D61" w:rsidRPr="002310E9" w:rsidRDefault="00D86D70" w:rsidP="002310E9">
      <w:pPr>
        <w:autoSpaceDE w:val="0"/>
        <w:autoSpaceDN w:val="0"/>
        <w:adjustRightInd w:val="0"/>
        <w:ind w:firstLine="709"/>
        <w:jc w:val="both"/>
        <w:rPr>
          <w:iCs/>
        </w:rPr>
      </w:pPr>
      <w:r w:rsidRPr="002310E9">
        <w:rPr>
          <w:iCs/>
        </w:rPr>
        <w:t>[</w:t>
      </w:r>
      <w:r w:rsidR="00AC2D61" w:rsidRPr="002310E9">
        <w:rPr>
          <w:iCs/>
        </w:rPr>
        <w:t>Der König bestimmt die Modalitäten für die Anwendung des in vorhergehendem Absatz erwähnten Verfahrens.]</w:t>
      </w:r>
    </w:p>
    <w:p w14:paraId="3EDA83A5" w14:textId="77777777" w:rsidR="00AC2D61" w:rsidRPr="002310E9" w:rsidRDefault="00AC2D61" w:rsidP="00AC2D61">
      <w:pPr>
        <w:autoSpaceDE w:val="0"/>
        <w:autoSpaceDN w:val="0"/>
        <w:adjustRightInd w:val="0"/>
        <w:jc w:val="both"/>
        <w:rPr>
          <w:iCs/>
        </w:rPr>
      </w:pPr>
    </w:p>
    <w:p w14:paraId="64BA373B" w14:textId="077234C3" w:rsidR="00437343" w:rsidRPr="002310E9" w:rsidRDefault="00AC2D61" w:rsidP="00AC2D61">
      <w:pPr>
        <w:autoSpaceDE w:val="0"/>
        <w:autoSpaceDN w:val="0"/>
        <w:adjustRightInd w:val="0"/>
        <w:jc w:val="both"/>
      </w:pPr>
      <w:r w:rsidRPr="002310E9">
        <w:rPr>
          <w:i/>
          <w:iCs/>
        </w:rPr>
        <w:t>[</w:t>
      </w:r>
      <w:r w:rsidR="00D67EB8" w:rsidRPr="002310E9">
        <w:rPr>
          <w:i/>
          <w:iCs/>
        </w:rPr>
        <w:t>Art. </w:t>
      </w:r>
      <w:r w:rsidRPr="002310E9">
        <w:rPr>
          <w:i/>
          <w:iCs/>
        </w:rPr>
        <w:t xml:space="preserve">302 </w:t>
      </w:r>
      <w:r w:rsidR="00D67EB8" w:rsidRPr="002310E9">
        <w:rPr>
          <w:i/>
          <w:iCs/>
        </w:rPr>
        <w:t>Abs. </w:t>
      </w:r>
      <w:r w:rsidRPr="002310E9">
        <w:rPr>
          <w:i/>
          <w:iCs/>
        </w:rPr>
        <w:t xml:space="preserve">2 </w:t>
      </w:r>
      <w:r w:rsidR="00D86D70" w:rsidRPr="002310E9">
        <w:rPr>
          <w:i/>
          <w:iCs/>
        </w:rPr>
        <w:t>e</w:t>
      </w:r>
      <w:r w:rsidRPr="002310E9">
        <w:rPr>
          <w:i/>
          <w:iCs/>
        </w:rPr>
        <w:t>ingefügt</w:t>
      </w:r>
      <w:r w:rsidR="002C5F3E" w:rsidRPr="002310E9">
        <w:rPr>
          <w:i/>
          <w:iCs/>
        </w:rPr>
        <w:t xml:space="preserve"> </w:t>
      </w:r>
      <w:r w:rsidRPr="002310E9">
        <w:rPr>
          <w:i/>
          <w:iCs/>
        </w:rPr>
        <w:t xml:space="preserve">durch </w:t>
      </w:r>
      <w:r w:rsidR="00D67EB8" w:rsidRPr="002310E9">
        <w:rPr>
          <w:i/>
          <w:iCs/>
        </w:rPr>
        <w:t>Art. </w:t>
      </w:r>
      <w:r w:rsidRPr="002310E9">
        <w:rPr>
          <w:i/>
          <w:iCs/>
        </w:rPr>
        <w:t>25 des G. vom 17. Juni 2013 (B.S. vom 28. Juni 2013)</w:t>
      </w:r>
      <w:r w:rsidR="00D67EB8" w:rsidRPr="002310E9">
        <w:rPr>
          <w:i/>
          <w:iCs/>
        </w:rPr>
        <w:t> - </w:t>
      </w:r>
      <w:r w:rsidRPr="002310E9">
        <w:rPr>
          <w:i/>
          <w:iCs/>
        </w:rPr>
        <w:t>anwendbar auf Steuerbescheide in Bezug auf die Steuerjahre 2013 und folgende</w:t>
      </w:r>
      <w:r w:rsidR="00D67EB8" w:rsidRPr="002310E9">
        <w:rPr>
          <w:i/>
          <w:iCs/>
        </w:rPr>
        <w:t> - </w:t>
      </w:r>
      <w:r w:rsidR="00D86D70" w:rsidRPr="002310E9">
        <w:rPr>
          <w:i/>
          <w:iCs/>
        </w:rPr>
        <w:t xml:space="preserve">und abgeändert durch </w:t>
      </w:r>
      <w:r w:rsidR="00D67EB8" w:rsidRPr="002310E9">
        <w:rPr>
          <w:i/>
          <w:iCs/>
        </w:rPr>
        <w:t>Art. </w:t>
      </w:r>
      <w:r w:rsidR="00D86D70" w:rsidRPr="002310E9">
        <w:rPr>
          <w:i/>
          <w:iCs/>
        </w:rPr>
        <w:t>86</w:t>
      </w:r>
      <w:r w:rsidR="00D86D70" w:rsidRPr="002310E9">
        <w:rPr>
          <w:bCs/>
          <w:i/>
          <w:iCs/>
        </w:rPr>
        <w:t xml:space="preserve"> des G. vom 27. Juni 2021 (B.S. vom 30. Juni 2021)</w:t>
      </w:r>
      <w:r w:rsidR="00D67EB8" w:rsidRPr="002310E9">
        <w:rPr>
          <w:i/>
          <w:iCs/>
        </w:rPr>
        <w:t> - </w:t>
      </w:r>
      <w:r w:rsidR="002310E9" w:rsidRPr="002310E9">
        <w:rPr>
          <w:i/>
          <w:iCs/>
        </w:rPr>
        <w:t>in Kraft am 3. April 2023</w:t>
      </w:r>
      <w:r w:rsidR="003366D9" w:rsidRPr="002310E9">
        <w:rPr>
          <w:i/>
          <w:iCs/>
        </w:rPr>
        <w:t> -</w:t>
      </w:r>
      <w:r w:rsidR="002D696C" w:rsidRPr="002310E9">
        <w:rPr>
          <w:i/>
          <w:iCs/>
        </w:rPr>
        <w:t>, selbst ersetzt durch Art. 32 des G. vom 21. Dezember 2022 (II) (B.S. vom 29. Dezember 2022)</w:t>
      </w:r>
      <w:r w:rsidR="003366D9" w:rsidRPr="002310E9">
        <w:rPr>
          <w:i/>
          <w:iCs/>
        </w:rPr>
        <w:t>;</w:t>
      </w:r>
      <w:r w:rsidR="00D86D70" w:rsidRPr="002310E9">
        <w:rPr>
          <w:i/>
          <w:iCs/>
        </w:rPr>
        <w:t xml:space="preserve"> </w:t>
      </w:r>
      <w:r w:rsidR="00D67EB8" w:rsidRPr="002310E9">
        <w:rPr>
          <w:i/>
          <w:iCs/>
        </w:rPr>
        <w:t>Abs. </w:t>
      </w:r>
      <w:r w:rsidR="00D86D70" w:rsidRPr="002310E9">
        <w:rPr>
          <w:i/>
          <w:iCs/>
        </w:rPr>
        <w:t xml:space="preserve">3 eingefügt durch </w:t>
      </w:r>
      <w:r w:rsidR="00D67EB8" w:rsidRPr="002310E9">
        <w:rPr>
          <w:i/>
          <w:iCs/>
        </w:rPr>
        <w:t>Art. </w:t>
      </w:r>
      <w:r w:rsidR="00D86D70" w:rsidRPr="002310E9">
        <w:rPr>
          <w:i/>
          <w:iCs/>
        </w:rPr>
        <w:t>25 des G. vom 17. Juni 2013 (B.S. vom 28. Juni 2013)</w:t>
      </w:r>
      <w:r w:rsidR="00D67EB8" w:rsidRPr="002310E9">
        <w:rPr>
          <w:i/>
          <w:iCs/>
        </w:rPr>
        <w:t> - </w:t>
      </w:r>
      <w:r w:rsidR="00D86D70" w:rsidRPr="002310E9">
        <w:rPr>
          <w:i/>
          <w:iCs/>
        </w:rPr>
        <w:t>anwendbar auf Steuerbescheide in Bezug auf die Steuerjahre 2013 und folgende</w:t>
      </w:r>
      <w:r w:rsidR="00FD68E8" w:rsidRPr="002310E9">
        <w:rPr>
          <w:i/>
          <w:iCs/>
        </w:rPr>
        <w:t> -]</w:t>
      </w:r>
      <w:r w:rsidR="00D86D70" w:rsidRPr="002310E9">
        <w:t>"</w:t>
      </w:r>
    </w:p>
    <w:p w14:paraId="4C26205D" w14:textId="77777777" w:rsidR="00AC2D61" w:rsidRPr="002310E9" w:rsidRDefault="00AC2D61" w:rsidP="00437343">
      <w:pPr>
        <w:autoSpaceDE w:val="0"/>
        <w:autoSpaceDN w:val="0"/>
        <w:adjustRightInd w:val="0"/>
        <w:jc w:val="both"/>
        <w:rPr>
          <w:iCs/>
        </w:rPr>
      </w:pPr>
    </w:p>
    <w:p w14:paraId="3E7B62D5" w14:textId="77777777" w:rsidR="00AC2D61" w:rsidRPr="002310E9" w:rsidRDefault="00AC2D61" w:rsidP="00437343">
      <w:pPr>
        <w:autoSpaceDE w:val="0"/>
        <w:autoSpaceDN w:val="0"/>
        <w:adjustRightInd w:val="0"/>
        <w:jc w:val="both"/>
        <w:rPr>
          <w:iCs/>
        </w:rPr>
      </w:pPr>
    </w:p>
    <w:p w14:paraId="4D5E59BD" w14:textId="2F622BB7" w:rsidR="00437343" w:rsidRPr="009118AB" w:rsidRDefault="002310E9" w:rsidP="00437343">
      <w:pPr>
        <w:autoSpaceDE w:val="0"/>
        <w:autoSpaceDN w:val="0"/>
        <w:adjustRightInd w:val="0"/>
        <w:jc w:val="both"/>
        <w:rPr>
          <w:iCs/>
          <w:sz w:val="20"/>
        </w:rPr>
      </w:pPr>
      <w:r w:rsidRPr="002310E9">
        <w:rPr>
          <w:iCs/>
          <w:sz w:val="20"/>
        </w:rPr>
        <w:t xml:space="preserve">Ab einem gemäß Art. 222 des G. vom 12. Mai 2024 (B.S. vom 30. Mai 2024) vom König festzulegenden Datum und spätestens am 1. Januar 2028 lautet </w:t>
      </w:r>
      <w:r w:rsidR="00D67EB8" w:rsidRPr="009118AB">
        <w:rPr>
          <w:iCs/>
          <w:sz w:val="20"/>
        </w:rPr>
        <w:t>Art. </w:t>
      </w:r>
      <w:r w:rsidR="00437343" w:rsidRPr="009118AB">
        <w:rPr>
          <w:iCs/>
          <w:sz w:val="20"/>
        </w:rPr>
        <w:t>302 wie folgt:</w:t>
      </w:r>
    </w:p>
    <w:p w14:paraId="37A57A02" w14:textId="77777777" w:rsidR="00437343" w:rsidRPr="009118AB" w:rsidRDefault="00437343" w:rsidP="00437343">
      <w:pPr>
        <w:autoSpaceDE w:val="0"/>
        <w:autoSpaceDN w:val="0"/>
        <w:adjustRightInd w:val="0"/>
        <w:jc w:val="both"/>
        <w:rPr>
          <w:iCs/>
          <w:sz w:val="20"/>
        </w:rPr>
      </w:pPr>
    </w:p>
    <w:p w14:paraId="4A781D7B" w14:textId="5BD82A1C" w:rsidR="00437343" w:rsidRPr="009118AB" w:rsidRDefault="00437343" w:rsidP="00437343">
      <w:pPr>
        <w:autoSpaceDE w:val="0"/>
        <w:autoSpaceDN w:val="0"/>
        <w:adjustRightInd w:val="0"/>
        <w:jc w:val="both"/>
        <w:rPr>
          <w:iCs/>
          <w:sz w:val="20"/>
        </w:rPr>
      </w:pPr>
      <w:r w:rsidRPr="009118AB">
        <w:rPr>
          <w:iCs/>
          <w:sz w:val="20"/>
        </w:rPr>
        <w:t>"</w:t>
      </w:r>
      <w:r w:rsidR="00D67EB8" w:rsidRPr="009118AB">
        <w:rPr>
          <w:iCs/>
          <w:sz w:val="20"/>
        </w:rPr>
        <w:t>Art. </w:t>
      </w:r>
      <w:r w:rsidRPr="009118AB">
        <w:rPr>
          <w:bCs/>
          <w:iCs/>
          <w:sz w:val="20"/>
        </w:rPr>
        <w:t>302</w:t>
      </w:r>
      <w:r w:rsidR="00D67EB8" w:rsidRPr="009118AB">
        <w:rPr>
          <w:iCs/>
          <w:sz w:val="20"/>
        </w:rPr>
        <w:t> - </w:t>
      </w:r>
      <w:r w:rsidRPr="009118AB">
        <w:rPr>
          <w:iCs/>
          <w:sz w:val="20"/>
        </w:rPr>
        <w:t>[...]</w:t>
      </w:r>
    </w:p>
    <w:p w14:paraId="7D0FCEF9" w14:textId="77777777" w:rsidR="00437343" w:rsidRPr="009118AB" w:rsidRDefault="00437343" w:rsidP="00437343">
      <w:pPr>
        <w:autoSpaceDE w:val="0"/>
        <w:autoSpaceDN w:val="0"/>
        <w:adjustRightInd w:val="0"/>
        <w:jc w:val="both"/>
        <w:rPr>
          <w:iCs/>
          <w:sz w:val="20"/>
        </w:rPr>
      </w:pPr>
    </w:p>
    <w:p w14:paraId="44A44460" w14:textId="6E4AC651" w:rsidR="00437343" w:rsidRPr="009118AB" w:rsidRDefault="00437343" w:rsidP="00437343">
      <w:pPr>
        <w:autoSpaceDE w:val="0"/>
        <w:autoSpaceDN w:val="0"/>
        <w:adjustRightInd w:val="0"/>
        <w:jc w:val="both"/>
      </w:pPr>
      <w:r w:rsidRPr="009118AB">
        <w:rPr>
          <w:i/>
          <w:iCs/>
          <w:sz w:val="20"/>
        </w:rPr>
        <w:t>[</w:t>
      </w:r>
      <w:r w:rsidR="00D67EB8" w:rsidRPr="009118AB">
        <w:rPr>
          <w:i/>
          <w:iCs/>
          <w:sz w:val="20"/>
        </w:rPr>
        <w:t>Art. </w:t>
      </w:r>
      <w:r w:rsidRPr="009118AB">
        <w:rPr>
          <w:i/>
          <w:iCs/>
          <w:sz w:val="20"/>
        </w:rPr>
        <w:t xml:space="preserve">302 </w:t>
      </w:r>
      <w:r w:rsidR="005B358C" w:rsidRPr="005B358C">
        <w:rPr>
          <w:i/>
          <w:iCs/>
          <w:sz w:val="20"/>
        </w:rPr>
        <w:t>aufgehoben durch Art. 4 des G. vom 26. Januar 2021 (B.S. vom 10. Februar 2021) - in Kraft am 1. Januar 2025 -, selbst aufgehoben durch Art. 213 des G. vom 12. Mai 2024 (B.S. vom 30. Mai 2024)</w:t>
      </w:r>
      <w:r w:rsidR="005B358C">
        <w:rPr>
          <w:i/>
          <w:iCs/>
          <w:sz w:val="20"/>
        </w:rPr>
        <w:t>, und erneut</w:t>
      </w:r>
      <w:r w:rsidR="005B358C" w:rsidRPr="005B358C">
        <w:rPr>
          <w:i/>
          <w:iCs/>
          <w:sz w:val="20"/>
        </w:rPr>
        <w:t xml:space="preserve"> </w:t>
      </w:r>
      <w:r w:rsidRPr="009118AB">
        <w:rPr>
          <w:i/>
          <w:iCs/>
          <w:sz w:val="20"/>
        </w:rPr>
        <w:t xml:space="preserve">aufgehoben durch </w:t>
      </w:r>
      <w:r w:rsidR="00D67EB8" w:rsidRPr="009118AB">
        <w:rPr>
          <w:i/>
          <w:iCs/>
          <w:sz w:val="20"/>
        </w:rPr>
        <w:t>Art. </w:t>
      </w:r>
      <w:r w:rsidR="002310E9">
        <w:rPr>
          <w:i/>
          <w:iCs/>
          <w:sz w:val="20"/>
        </w:rPr>
        <w:t>8</w:t>
      </w:r>
      <w:r w:rsidR="002310E9" w:rsidRPr="002310E9">
        <w:rPr>
          <w:i/>
          <w:iCs/>
          <w:sz w:val="20"/>
        </w:rPr>
        <w:t xml:space="preserve"> des G. vom 12. Mai 2024 (B.S. vom 30. Mai 2024) - in Kraft </w:t>
      </w:r>
      <w:r w:rsidR="00CA68BA">
        <w:rPr>
          <w:i/>
          <w:iCs/>
          <w:sz w:val="20"/>
        </w:rPr>
        <w:t xml:space="preserve">für alle oder bestimmte Kategorien von Inhabern einer Unternehmensnummer sowie für natürliche Personen an dem jeweils vom König festzulegenden Datum und spätestens </w:t>
      </w:r>
      <w:r w:rsidR="002310E9" w:rsidRPr="002310E9">
        <w:rPr>
          <w:i/>
          <w:iCs/>
          <w:sz w:val="20"/>
        </w:rPr>
        <w:t>am 1. Januar 2028 -</w:t>
      </w:r>
      <w:r w:rsidR="00FD68E8" w:rsidRPr="009118AB">
        <w:rPr>
          <w:i/>
          <w:iCs/>
          <w:sz w:val="20"/>
        </w:rPr>
        <w:t>]</w:t>
      </w:r>
      <w:r w:rsidRPr="009118AB">
        <w:rPr>
          <w:iCs/>
          <w:sz w:val="20"/>
        </w:rPr>
        <w:t>"</w:t>
      </w:r>
    </w:p>
    <w:p w14:paraId="78A910BE" w14:textId="756FA057" w:rsidR="00477B8F" w:rsidRPr="009118AB" w:rsidRDefault="00477B8F" w:rsidP="00477B8F">
      <w:pPr>
        <w:autoSpaceDE w:val="0"/>
        <w:autoSpaceDN w:val="0"/>
        <w:adjustRightInd w:val="0"/>
        <w:jc w:val="both"/>
      </w:pPr>
    </w:p>
    <w:p w14:paraId="56672696" w14:textId="77777777" w:rsidR="00437343" w:rsidRPr="009118AB" w:rsidRDefault="00437343" w:rsidP="00477B8F">
      <w:pPr>
        <w:autoSpaceDE w:val="0"/>
        <w:autoSpaceDN w:val="0"/>
        <w:adjustRightInd w:val="0"/>
        <w:jc w:val="both"/>
      </w:pPr>
    </w:p>
    <w:p w14:paraId="08F44D6D" w14:textId="3F9DBE2B"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303</w:t>
      </w:r>
      <w:r w:rsidR="00D67EB8" w:rsidRPr="009118AB">
        <w:t> - </w:t>
      </w:r>
      <w:r w:rsidRPr="009118AB">
        <w:t>Bei der Festlegung der steuerpflichtigen Einkünfte und vorbehaltlich der Bestimmungen von Artikel 505 werden nur [in Euro] ausgedrückte Beträge berücksichtigt ungeachtet eventueller Paritätsänderungen.</w:t>
      </w:r>
    </w:p>
    <w:p w14:paraId="1F4B0094" w14:textId="77777777" w:rsidR="00477B8F" w:rsidRPr="009118AB" w:rsidRDefault="00477B8F" w:rsidP="00477B8F">
      <w:pPr>
        <w:autoSpaceDE w:val="0"/>
        <w:autoSpaceDN w:val="0"/>
        <w:adjustRightInd w:val="0"/>
        <w:jc w:val="both"/>
      </w:pPr>
    </w:p>
    <w:p w14:paraId="1B61E72A" w14:textId="673A22FC"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303 abgeändert durch </w:t>
      </w:r>
      <w:r w:rsidR="00D67EB8" w:rsidRPr="009118AB">
        <w:rPr>
          <w:i/>
          <w:iCs/>
        </w:rPr>
        <w:t>Art. </w:t>
      </w:r>
      <w:r w:rsidRPr="009118AB">
        <w:rPr>
          <w:i/>
          <w:iCs/>
        </w:rPr>
        <w:t xml:space="preserve">4 </w:t>
      </w:r>
      <w:r w:rsidR="00D67EB8" w:rsidRPr="009118AB">
        <w:rPr>
          <w:i/>
          <w:iCs/>
        </w:rPr>
        <w:t>Nr. </w:t>
      </w:r>
      <w:r w:rsidRPr="009118AB">
        <w:rPr>
          <w:i/>
          <w:iCs/>
        </w:rPr>
        <w:t>6 des K.E. vom 20. Juli 2000 (II) (B.S. vom 30. August 2000)</w:t>
      </w:r>
      <w:r w:rsidR="00D67EB8" w:rsidRPr="009118AB">
        <w:rPr>
          <w:i/>
          <w:iCs/>
        </w:rPr>
        <w:t> - </w:t>
      </w:r>
      <w:r w:rsidRPr="009118AB">
        <w:rPr>
          <w:i/>
          <w:iCs/>
        </w:rPr>
        <w:t>in Kraft ab dem Steuerjahr 2002</w:t>
      </w:r>
      <w:r w:rsidR="00FD68E8" w:rsidRPr="009118AB">
        <w:rPr>
          <w:i/>
          <w:iCs/>
        </w:rPr>
        <w:t> -]</w:t>
      </w:r>
    </w:p>
    <w:p w14:paraId="15EDEEFB" w14:textId="77777777" w:rsidR="00477B8F" w:rsidRPr="009118AB" w:rsidRDefault="00477B8F" w:rsidP="00477B8F">
      <w:pPr>
        <w:autoSpaceDE w:val="0"/>
        <w:autoSpaceDN w:val="0"/>
        <w:adjustRightInd w:val="0"/>
        <w:jc w:val="both"/>
      </w:pPr>
    </w:p>
    <w:p w14:paraId="63F5D9EA" w14:textId="77777777" w:rsidR="00477B8F" w:rsidRPr="009118AB" w:rsidRDefault="00477B8F" w:rsidP="00477B8F">
      <w:pPr>
        <w:autoSpaceDE w:val="0"/>
        <w:autoSpaceDN w:val="0"/>
        <w:adjustRightInd w:val="0"/>
        <w:jc w:val="both"/>
      </w:pPr>
    </w:p>
    <w:p w14:paraId="69B5D1D4" w14:textId="1E9CF679"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304</w:t>
      </w:r>
      <w:r w:rsidR="00D67EB8" w:rsidRPr="009118AB">
        <w:t> - § </w:t>
      </w:r>
      <w:r w:rsidRPr="009118AB">
        <w:t>1</w:t>
      </w:r>
      <w:r w:rsidR="00D67EB8" w:rsidRPr="009118AB">
        <w:t> - </w:t>
      </w:r>
      <w:r w:rsidRPr="009118AB">
        <w:t>[Der Immobiliensteuervorabzug wird in Heberollen eingetragen. Veranlagungen zum Immobiliensteuervorabzug, die sich auf ein Katastereinkommen unter [15 EUR] pro Artikel der Katastermutterrolle beziehen, werden nicht in eine Heberolle eingetragen.]</w:t>
      </w:r>
    </w:p>
    <w:p w14:paraId="7F3F9A76" w14:textId="77777777" w:rsidR="00477B8F" w:rsidRPr="009118AB" w:rsidRDefault="00477B8F" w:rsidP="00477B8F">
      <w:pPr>
        <w:autoSpaceDE w:val="0"/>
        <w:autoSpaceDN w:val="0"/>
        <w:adjustRightInd w:val="0"/>
        <w:jc w:val="both"/>
      </w:pPr>
    </w:p>
    <w:p w14:paraId="4615A903" w14:textId="77777777" w:rsidR="00477B8F" w:rsidRPr="009118AB" w:rsidRDefault="00477B8F" w:rsidP="00477B8F">
      <w:pPr>
        <w:autoSpaceDE w:val="0"/>
        <w:autoSpaceDN w:val="0"/>
        <w:adjustRightInd w:val="0"/>
        <w:jc w:val="both"/>
      </w:pPr>
      <w:r w:rsidRPr="009118AB">
        <w:lastRenderedPageBreak/>
        <w:tab/>
        <w:t>[In Ermangelung einer Zahlung in der in Artikel 412 erwähnten Frist werden Veranlagungen zum Mobiliensteuervorabzug und zum Berufssteuervorabzug ungeachtet ihres Betrags immer in Heberollen eingetragen.]</w:t>
      </w:r>
    </w:p>
    <w:p w14:paraId="4801B394" w14:textId="77777777" w:rsidR="008006B7" w:rsidRPr="009118AB" w:rsidRDefault="008006B7" w:rsidP="00E202BB">
      <w:pPr>
        <w:autoSpaceDE w:val="0"/>
        <w:autoSpaceDN w:val="0"/>
        <w:adjustRightInd w:val="0"/>
        <w:jc w:val="both"/>
      </w:pPr>
    </w:p>
    <w:p w14:paraId="0453064B" w14:textId="2121352D" w:rsidR="00477B8F" w:rsidRPr="009118AB" w:rsidRDefault="00477B8F" w:rsidP="00E202BB">
      <w:pPr>
        <w:autoSpaceDE w:val="0"/>
        <w:autoSpaceDN w:val="0"/>
        <w:adjustRightInd w:val="0"/>
        <w:jc w:val="both"/>
      </w:pPr>
      <w:r w:rsidRPr="009118AB">
        <w:tab/>
        <w:t xml:space="preserve">[Außer in den in den Artikeln 225 Absatz 1 </w:t>
      </w:r>
      <w:r w:rsidR="00C44A31" w:rsidRPr="009118AB">
        <w:t>[</w:t>
      </w:r>
      <w:r w:rsidRPr="009118AB">
        <w:t xml:space="preserve">und 248 </w:t>
      </w:r>
      <w:r w:rsidR="00D67EB8" w:rsidRPr="009118AB">
        <w:t>§ </w:t>
      </w:r>
      <w:r w:rsidRPr="009118AB">
        <w:t>1</w:t>
      </w:r>
      <w:r w:rsidR="00C44A31" w:rsidRPr="009118AB">
        <w:t>]</w:t>
      </w:r>
      <w:r w:rsidRPr="009118AB">
        <w:t xml:space="preserve"> erwähnten Fällen werden Veranlagungen zur Steuer der natürlichen Personen, zur Gesellschaftssteuer, zur Steuer der juristischen Personen und zur Steuer der Gebietsfremden ungeachtet ihres Betrags immer in Heberollen eingetragen; dieser Betrag wird jedoch nicht eingetrieben oder erstattet, wenn er nach Anrechnung der Vorabzüge, der Vorauszahlungen und anderer Bestandteile unter [2,50 EUR] liegt.]</w:t>
      </w:r>
    </w:p>
    <w:p w14:paraId="00251057" w14:textId="77777777" w:rsidR="00C44A31" w:rsidRPr="009118AB" w:rsidRDefault="00C44A31" w:rsidP="00E202BB">
      <w:pPr>
        <w:autoSpaceDE w:val="0"/>
        <w:autoSpaceDN w:val="0"/>
        <w:adjustRightInd w:val="0"/>
        <w:jc w:val="both"/>
      </w:pPr>
    </w:p>
    <w:p w14:paraId="28F089B6" w14:textId="77777777" w:rsidR="00477B8F" w:rsidRPr="009118AB" w:rsidRDefault="00477B8F" w:rsidP="00477B8F">
      <w:pPr>
        <w:autoSpaceDE w:val="0"/>
        <w:autoSpaceDN w:val="0"/>
        <w:adjustRightInd w:val="0"/>
        <w:jc w:val="both"/>
      </w:pPr>
      <w:r w:rsidRPr="009118AB">
        <w:tab/>
        <w:t>Bei der Bestimmung, ob die Grenze von [2,50 EUR] erreicht ist, werden die in den Artikeln 245 und 466 vorgesehenen Zuschlaghundertstel und Zuschlagsteuern berücksichtigt.</w:t>
      </w:r>
    </w:p>
    <w:p w14:paraId="2EDFD620" w14:textId="77777777" w:rsidR="00477B8F" w:rsidRPr="009118AB" w:rsidRDefault="00477B8F" w:rsidP="00477B8F">
      <w:pPr>
        <w:autoSpaceDE w:val="0"/>
        <w:autoSpaceDN w:val="0"/>
        <w:adjustRightInd w:val="0"/>
        <w:jc w:val="both"/>
      </w:pPr>
    </w:p>
    <w:p w14:paraId="5C2644AB" w14:textId="7D9BFD10" w:rsidR="00477B8F" w:rsidRPr="009118AB" w:rsidRDefault="00477B8F" w:rsidP="00477B8F">
      <w:pPr>
        <w:autoSpaceDE w:val="0"/>
        <w:autoSpaceDN w:val="0"/>
        <w:adjustRightInd w:val="0"/>
        <w:jc w:val="both"/>
      </w:pPr>
      <w:r w:rsidRPr="009118AB">
        <w:tab/>
      </w:r>
      <w:r w:rsidR="00D67EB8" w:rsidRPr="009118AB">
        <w:t>§ </w:t>
      </w:r>
      <w:r w:rsidRPr="009118AB">
        <w:t>2</w:t>
      </w:r>
      <w:r w:rsidR="00D67EB8" w:rsidRPr="009118AB">
        <w:t> - </w:t>
      </w:r>
      <w:r w:rsidRPr="009118AB">
        <w:t>[</w:t>
      </w:r>
      <w:r w:rsidR="00380D18" w:rsidRPr="009118AB">
        <w:t xml:space="preserve">Für Einwohner des Königreichs wird der eventuelle Überschuss </w:t>
      </w:r>
      <w:r w:rsidR="00D828AE" w:rsidRPr="009118AB">
        <w:t>[</w:t>
      </w:r>
      <w:r w:rsidR="00D828AE" w:rsidRPr="009118AB">
        <w:rPr>
          <w:rFonts w:eastAsia="Calibri"/>
        </w:rPr>
        <w:t xml:space="preserve">der in den Artikeln 134 </w:t>
      </w:r>
      <w:r w:rsidR="00D67EB8" w:rsidRPr="009118AB">
        <w:rPr>
          <w:rFonts w:eastAsia="Calibri"/>
        </w:rPr>
        <w:t>§ </w:t>
      </w:r>
      <w:r w:rsidR="00D828AE" w:rsidRPr="009118AB">
        <w:rPr>
          <w:rFonts w:eastAsia="Calibri"/>
        </w:rPr>
        <w:t>3 und 145</w:t>
      </w:r>
      <w:r w:rsidR="00D828AE" w:rsidRPr="009118AB">
        <w:rPr>
          <w:rFonts w:eastAsia="Calibri"/>
          <w:vertAlign w:val="superscript"/>
        </w:rPr>
        <w:t>35</w:t>
      </w:r>
      <w:r w:rsidR="00D828AE" w:rsidRPr="009118AB">
        <w:rPr>
          <w:rFonts w:eastAsia="Calibri"/>
        </w:rPr>
        <w:t xml:space="preserve"> Absatz 10 erwähnten Steuergut</w:t>
      </w:r>
      <w:r w:rsidR="00D828AE" w:rsidRPr="009118AB">
        <w:rPr>
          <w:rFonts w:eastAsia="Calibri"/>
        </w:rPr>
        <w:softHyphen/>
        <w:t>schriften</w:t>
      </w:r>
      <w:r w:rsidR="00D828AE" w:rsidRPr="009118AB">
        <w:t>]</w:t>
      </w:r>
      <w:r w:rsidR="00380D18" w:rsidRPr="009118AB">
        <w:t>, der in den Artikeln 157 und 175 erwähnten Vorauszahlungen, der in den Artikeln 270 bis 272 erwähnten Berufssteuervorabzüge, der in den Artikeln 279 und 284 erwähnten tatsächlichen oder fiktiven Mobiliensteuervorabzüge, der in den Artikeln 289</w:t>
      </w:r>
      <w:r w:rsidR="00380D18" w:rsidRPr="009118AB">
        <w:rPr>
          <w:i/>
        </w:rPr>
        <w:t>bis</w:t>
      </w:r>
      <w:r w:rsidR="00380D18" w:rsidRPr="009118AB">
        <w:t xml:space="preserve"> </w:t>
      </w:r>
      <w:r w:rsidR="00D67EB8" w:rsidRPr="009118AB">
        <w:t>§ </w:t>
      </w:r>
      <w:r w:rsidR="00380D18" w:rsidRPr="009118AB">
        <w:t>1, 289</w:t>
      </w:r>
      <w:r w:rsidR="00380D18" w:rsidRPr="009118AB">
        <w:rPr>
          <w:i/>
        </w:rPr>
        <w:t>ter</w:t>
      </w:r>
      <w:r w:rsidR="00380D18" w:rsidRPr="009118AB">
        <w:t xml:space="preserve"> und 289</w:t>
      </w:r>
      <w:r w:rsidR="00380D18" w:rsidRPr="009118AB">
        <w:rPr>
          <w:i/>
        </w:rPr>
        <w:t>ter</w:t>
      </w:r>
      <w:r w:rsidR="00380D18" w:rsidRPr="009118AB">
        <w:t>/1 erwähnten Steuergutschriften und der regionalen Steuergutschriften gegebenenfalls auf die in Titel VIII erwähnten Zuschlagsteuern auf die Steuer der natürlichen Personen angerechnet und wird der Restbetrag erstattet, sofern er mindestens 2,50 EUR beträgt.</w:t>
      </w:r>
      <w:r w:rsidRPr="009118AB">
        <w:t>]</w:t>
      </w:r>
    </w:p>
    <w:p w14:paraId="4325330E" w14:textId="77777777" w:rsidR="00477B8F" w:rsidRPr="009118AB" w:rsidRDefault="00477B8F" w:rsidP="00477B8F">
      <w:pPr>
        <w:autoSpaceDE w:val="0"/>
        <w:autoSpaceDN w:val="0"/>
        <w:adjustRightInd w:val="0"/>
        <w:jc w:val="both"/>
      </w:pPr>
    </w:p>
    <w:p w14:paraId="05247F40" w14:textId="77777777" w:rsidR="00477B8F" w:rsidRPr="009118AB" w:rsidRDefault="00477B8F" w:rsidP="00477B8F">
      <w:pPr>
        <w:autoSpaceDE w:val="0"/>
        <w:autoSpaceDN w:val="0"/>
        <w:adjustRightInd w:val="0"/>
        <w:jc w:val="both"/>
      </w:pPr>
      <w:r w:rsidRPr="009118AB">
        <w:tab/>
        <w:t xml:space="preserve">Für inländische Gesellschaften wird der eventuelle Überschuss des in Artikel 279 erwähnten Mobiliensteuervorabzugs und der in den Artikeln 157 bis 168 und 218 erwähnten Vorauszahlungen gegebenenfalls auf [die in Ausführung </w:t>
      </w:r>
      <w:r w:rsidR="00DB18BE" w:rsidRPr="009118AB">
        <w:t>[</w:t>
      </w:r>
      <w:r w:rsidRPr="009118AB">
        <w:t xml:space="preserve">der Artikel 219 </w:t>
      </w:r>
      <w:r w:rsidR="00DB18BE" w:rsidRPr="009118AB">
        <w:t>bis</w:t>
      </w:r>
      <w:r w:rsidRPr="009118AB">
        <w:t> 219</w:t>
      </w:r>
      <w:r w:rsidR="002E410B" w:rsidRPr="009118AB">
        <w:rPr>
          <w:i/>
        </w:rPr>
        <w:t>qua</w:t>
      </w:r>
      <w:r w:rsidR="00DB18BE" w:rsidRPr="009118AB">
        <w:rPr>
          <w:i/>
          <w:iCs/>
        </w:rPr>
        <w:t>ter</w:t>
      </w:r>
      <w:r w:rsidR="00DB18BE" w:rsidRPr="009118AB">
        <w:rPr>
          <w:iCs/>
        </w:rPr>
        <w:t>]</w:t>
      </w:r>
      <w:r w:rsidRPr="009118AB">
        <w:t xml:space="preserve"> fest</w:t>
      </w:r>
      <w:r w:rsidR="00215A10" w:rsidRPr="009118AB">
        <w:softHyphen/>
      </w:r>
      <w:r w:rsidRPr="009118AB">
        <w:t>gelegten getrennten Steuern] angerechnet und wird der Restbetrag erstattet, sofern er mindestens [2,50 EUR] beträgt.</w:t>
      </w:r>
    </w:p>
    <w:p w14:paraId="64326196" w14:textId="77777777" w:rsidR="00477B8F" w:rsidRPr="009118AB" w:rsidRDefault="00477B8F" w:rsidP="00477B8F">
      <w:pPr>
        <w:autoSpaceDE w:val="0"/>
        <w:autoSpaceDN w:val="0"/>
        <w:adjustRightInd w:val="0"/>
        <w:jc w:val="both"/>
      </w:pPr>
    </w:p>
    <w:p w14:paraId="7BD69F31" w14:textId="77777777" w:rsidR="00477B8F" w:rsidRPr="009118AB" w:rsidRDefault="00477B8F" w:rsidP="00477B8F">
      <w:pPr>
        <w:autoSpaceDE w:val="0"/>
        <w:autoSpaceDN w:val="0"/>
        <w:adjustRightInd w:val="0"/>
        <w:jc w:val="both"/>
      </w:pPr>
      <w:r w:rsidRPr="009118AB">
        <w:tab/>
        <w:t>[Für Steuerpflichtige, die der Steuer der juristischen Personen unterliegen, werden nicht angerechnete Vorauszahlungen erstattet, sofern sie mindestens [2,50 EUR] betragen.]</w:t>
      </w:r>
    </w:p>
    <w:p w14:paraId="73A6039F" w14:textId="77777777" w:rsidR="00477B8F" w:rsidRPr="009118AB" w:rsidRDefault="00477B8F" w:rsidP="00477B8F">
      <w:pPr>
        <w:autoSpaceDE w:val="0"/>
        <w:autoSpaceDN w:val="0"/>
        <w:adjustRightInd w:val="0"/>
        <w:jc w:val="both"/>
      </w:pPr>
    </w:p>
    <w:p w14:paraId="42E5EF76" w14:textId="77777777" w:rsidR="00477B8F" w:rsidRPr="009118AB" w:rsidRDefault="00477B8F" w:rsidP="00477B8F">
      <w:pPr>
        <w:autoSpaceDE w:val="0"/>
        <w:autoSpaceDN w:val="0"/>
        <w:adjustRightInd w:val="0"/>
        <w:jc w:val="both"/>
      </w:pPr>
      <w:r w:rsidRPr="009118AB">
        <w:tab/>
        <w:t>[Für Steuerpflichtige, die gemäß Artikel 232 der Steuer der Gebietsfremden unterliegen, ist Absatz 1 des vorliegenden Paragraphen auf die gemäß den Artikeln 243 bis 245 berechnete Steuer anwendbar.]</w:t>
      </w:r>
    </w:p>
    <w:p w14:paraId="0A204FB9" w14:textId="77777777" w:rsidR="00477B8F" w:rsidRPr="009118AB" w:rsidRDefault="00477B8F" w:rsidP="00477B8F">
      <w:pPr>
        <w:autoSpaceDE w:val="0"/>
        <w:autoSpaceDN w:val="0"/>
        <w:adjustRightInd w:val="0"/>
        <w:jc w:val="both"/>
      </w:pPr>
    </w:p>
    <w:p w14:paraId="149F151F" w14:textId="77777777" w:rsidR="00477B8F" w:rsidRPr="009118AB" w:rsidRDefault="00477B8F" w:rsidP="00477B8F">
      <w:pPr>
        <w:autoSpaceDE w:val="0"/>
        <w:autoSpaceDN w:val="0"/>
        <w:adjustRightInd w:val="0"/>
        <w:jc w:val="both"/>
      </w:pPr>
      <w:r w:rsidRPr="009118AB">
        <w:tab/>
        <w:t>[Für Steuerpflichtige, die gemäß Artikel 233 der Steuer der Gebietsfremden unterliegen, ist Absatz 2 des vorliegenden Paragraphen auf die gemäß Artikel 246 berechnete Steuer anwendbar und wird der eventuelle Überschuss des in den Artikeln 270 bis 272 erwähnten Berufssteuervorabzugs auf diese Steuer angerechnet; der Restbetrag wird erstattet, sofern er mindestens [2,50 EUR] beträgt.]</w:t>
      </w:r>
    </w:p>
    <w:p w14:paraId="35FA007B" w14:textId="77777777" w:rsidR="00477B8F" w:rsidRPr="009118AB" w:rsidRDefault="00477B8F" w:rsidP="00477B8F">
      <w:pPr>
        <w:autoSpaceDE w:val="0"/>
        <w:autoSpaceDN w:val="0"/>
        <w:adjustRightInd w:val="0"/>
        <w:jc w:val="both"/>
      </w:pPr>
    </w:p>
    <w:p w14:paraId="52F14DB1" w14:textId="597F351D" w:rsidR="00477B8F" w:rsidRPr="009118AB" w:rsidRDefault="00477B8F" w:rsidP="00477B8F">
      <w:pPr>
        <w:autoSpaceDE w:val="0"/>
        <w:autoSpaceDN w:val="0"/>
        <w:adjustRightInd w:val="0"/>
        <w:jc w:val="both"/>
      </w:pPr>
      <w:r w:rsidRPr="009118AB">
        <w:rPr>
          <w:i/>
          <w:iCs/>
        </w:rPr>
        <w:t>[</w:t>
      </w:r>
      <w:r w:rsidR="00D67EB8" w:rsidRPr="009118AB">
        <w:rPr>
          <w:i/>
          <w:iCs/>
        </w:rPr>
        <w:t>Art. </w:t>
      </w:r>
      <w:r w:rsidRPr="009118AB">
        <w:rPr>
          <w:i/>
          <w:iCs/>
        </w:rPr>
        <w:t xml:space="preserve">304 </w:t>
      </w:r>
      <w:r w:rsidR="00D67EB8" w:rsidRPr="009118AB">
        <w:rPr>
          <w:i/>
          <w:iCs/>
        </w:rPr>
        <w:t>§ </w:t>
      </w:r>
      <w:r w:rsidRPr="009118AB">
        <w:rPr>
          <w:i/>
          <w:iCs/>
        </w:rPr>
        <w:t xml:space="preserve">1 </w:t>
      </w:r>
      <w:r w:rsidR="00D67EB8" w:rsidRPr="009118AB">
        <w:rPr>
          <w:i/>
          <w:iCs/>
        </w:rPr>
        <w:t>Abs. </w:t>
      </w:r>
      <w:r w:rsidRPr="009118AB">
        <w:rPr>
          <w:i/>
          <w:iCs/>
        </w:rPr>
        <w:t xml:space="preserve">1 ersetzt durch </w:t>
      </w:r>
      <w:r w:rsidR="00D67EB8" w:rsidRPr="009118AB">
        <w:rPr>
          <w:i/>
          <w:iCs/>
        </w:rPr>
        <w:t>Art. </w:t>
      </w:r>
      <w:r w:rsidRPr="009118AB">
        <w:rPr>
          <w:i/>
          <w:iCs/>
        </w:rPr>
        <w:t xml:space="preserve">7 </w:t>
      </w:r>
      <w:r w:rsidR="00D67EB8" w:rsidRPr="009118AB">
        <w:rPr>
          <w:i/>
          <w:iCs/>
        </w:rPr>
        <w:t>Nr. </w:t>
      </w:r>
      <w:r w:rsidRPr="009118AB">
        <w:rPr>
          <w:i/>
          <w:iCs/>
        </w:rPr>
        <w:t xml:space="preserve">1 des G. vom 15. März 1999 (B.S. vom 27. März 1999) und abgeändert durch </w:t>
      </w:r>
      <w:r w:rsidR="00D67EB8" w:rsidRPr="009118AB">
        <w:rPr>
          <w:i/>
          <w:iCs/>
        </w:rPr>
        <w:t>Art. </w:t>
      </w:r>
      <w:r w:rsidRPr="009118AB">
        <w:rPr>
          <w:i/>
          <w:iCs/>
        </w:rPr>
        <w:t>1 des K.E. vom 20. Juli 2000 (II) (B.S. vom 30. August 200</w:t>
      </w:r>
      <w:r w:rsidR="00380D18" w:rsidRPr="009118AB">
        <w:rPr>
          <w:i/>
          <w:iCs/>
        </w:rPr>
        <w:t>0)</w:t>
      </w:r>
      <w:r w:rsidR="00D67EB8" w:rsidRPr="009118AB">
        <w:rPr>
          <w:i/>
          <w:iCs/>
        </w:rPr>
        <w:t> - </w:t>
      </w:r>
      <w:r w:rsidR="00380D18" w:rsidRPr="009118AB">
        <w:rPr>
          <w:i/>
          <w:iCs/>
        </w:rPr>
        <w:t>in Kraft ab dem Steuerjahr </w:t>
      </w:r>
      <w:r w:rsidRPr="009118AB">
        <w:rPr>
          <w:i/>
          <w:iCs/>
        </w:rPr>
        <w:t>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2 ersetzt durch </w:t>
      </w:r>
      <w:r w:rsidR="00D67EB8" w:rsidRPr="009118AB">
        <w:rPr>
          <w:i/>
          <w:iCs/>
        </w:rPr>
        <w:t>Art. </w:t>
      </w:r>
      <w:r w:rsidRPr="009118AB">
        <w:rPr>
          <w:i/>
          <w:iCs/>
        </w:rPr>
        <w:t xml:space="preserve">7 </w:t>
      </w:r>
      <w:r w:rsidR="00D67EB8" w:rsidRPr="009118AB">
        <w:rPr>
          <w:i/>
          <w:iCs/>
        </w:rPr>
        <w:t>Nr. </w:t>
      </w:r>
      <w:r w:rsidRPr="009118AB">
        <w:rPr>
          <w:i/>
          <w:iCs/>
        </w:rPr>
        <w:t xml:space="preserve">2 des G. vom 15. März 1999 (B.S. vom 27. März 1999); </w:t>
      </w:r>
      <w:r w:rsidR="00D67EB8" w:rsidRPr="009118AB">
        <w:rPr>
          <w:i/>
          <w:iCs/>
        </w:rPr>
        <w:t>§ </w:t>
      </w:r>
      <w:r w:rsidRPr="009118AB">
        <w:rPr>
          <w:i/>
          <w:iCs/>
        </w:rPr>
        <w:t xml:space="preserve">1 neuer Absatz 3 eingefügt durch </w:t>
      </w:r>
      <w:r w:rsidR="00D67EB8" w:rsidRPr="009118AB">
        <w:rPr>
          <w:i/>
          <w:iCs/>
        </w:rPr>
        <w:t>Art. </w:t>
      </w:r>
      <w:r w:rsidRPr="009118AB">
        <w:rPr>
          <w:i/>
          <w:iCs/>
        </w:rPr>
        <w:t xml:space="preserve">7 </w:t>
      </w:r>
      <w:r w:rsidR="00D67EB8" w:rsidRPr="009118AB">
        <w:rPr>
          <w:i/>
          <w:iCs/>
        </w:rPr>
        <w:t>Nr. </w:t>
      </w:r>
      <w:r w:rsidRPr="009118AB">
        <w:rPr>
          <w:i/>
          <w:iCs/>
        </w:rPr>
        <w:t xml:space="preserve">3 des G. vom 15. März 1999 (B.S. vom 27. März 1999) und abgeändert durch </w:t>
      </w:r>
      <w:r w:rsidR="00D67EB8" w:rsidRPr="009118AB">
        <w:rPr>
          <w:i/>
          <w:iCs/>
        </w:rPr>
        <w:t>Art. </w:t>
      </w:r>
      <w:r w:rsidRPr="009118AB">
        <w:rPr>
          <w:i/>
          <w:iCs/>
        </w:rPr>
        <w:t>1 des K.</w:t>
      </w:r>
      <w:r w:rsidR="00380D18" w:rsidRPr="009118AB">
        <w:rPr>
          <w:i/>
          <w:iCs/>
        </w:rPr>
        <w:t xml:space="preserve">E. vom 20. Juli 2000 (II) (B.S. </w:t>
      </w:r>
      <w:r w:rsidRPr="009118AB">
        <w:rPr>
          <w:i/>
          <w:iCs/>
        </w:rPr>
        <w:t>vom 30. August 200</w:t>
      </w:r>
      <w:r w:rsidR="00380D18" w:rsidRPr="009118AB">
        <w:rPr>
          <w:i/>
          <w:iCs/>
        </w:rPr>
        <w:t>0)</w:t>
      </w:r>
      <w:r w:rsidR="00D67EB8" w:rsidRPr="009118AB">
        <w:rPr>
          <w:i/>
          <w:iCs/>
        </w:rPr>
        <w:t> - </w:t>
      </w:r>
      <w:r w:rsidR="00380D18" w:rsidRPr="009118AB">
        <w:rPr>
          <w:i/>
          <w:iCs/>
        </w:rPr>
        <w:t>in Kraft ab dem Steuerjahr </w:t>
      </w:r>
      <w:r w:rsidRPr="009118AB">
        <w:rPr>
          <w:i/>
          <w:iCs/>
        </w:rPr>
        <w:t>2002</w:t>
      </w:r>
      <w:r w:rsidR="00D67EB8" w:rsidRPr="009118AB">
        <w:rPr>
          <w:i/>
          <w:iCs/>
        </w:rPr>
        <w:t> - </w:t>
      </w:r>
      <w:r w:rsidR="00380D18" w:rsidRPr="009118AB">
        <w:rPr>
          <w:i/>
          <w:iCs/>
        </w:rPr>
        <w:t xml:space="preserve">und </w:t>
      </w:r>
      <w:r w:rsidR="00D67EB8" w:rsidRPr="009118AB">
        <w:rPr>
          <w:i/>
          <w:iCs/>
        </w:rPr>
        <w:t>Art. </w:t>
      </w:r>
      <w:r w:rsidR="00C44A31" w:rsidRPr="009118AB">
        <w:rPr>
          <w:i/>
          <w:iCs/>
        </w:rPr>
        <w:t xml:space="preserve">66 </w:t>
      </w:r>
      <w:r w:rsidR="00D67EB8" w:rsidRPr="009118AB">
        <w:rPr>
          <w:i/>
          <w:iCs/>
        </w:rPr>
        <w:t>Nr. </w:t>
      </w:r>
      <w:r w:rsidR="00C44A31" w:rsidRPr="009118AB">
        <w:rPr>
          <w:i/>
          <w:iCs/>
        </w:rPr>
        <w:t xml:space="preserve">1 des </w:t>
      </w:r>
      <w:r w:rsidR="00380D18" w:rsidRPr="009118AB">
        <w:rPr>
          <w:i/>
          <w:iCs/>
        </w:rPr>
        <w:t>G. vom 22. Dezember 2009 </w:t>
      </w:r>
      <w:r w:rsidR="00DC1F9F" w:rsidRPr="009118AB">
        <w:rPr>
          <w:i/>
          <w:iCs/>
        </w:rPr>
        <w:t>(I)</w:t>
      </w:r>
      <w:r w:rsidR="00C44A31" w:rsidRPr="009118AB">
        <w:rPr>
          <w:i/>
          <w:iCs/>
        </w:rPr>
        <w:t xml:space="preserve"> (B.S. vom </w:t>
      </w:r>
      <w:r w:rsidR="00C44A31" w:rsidRPr="009118AB">
        <w:rPr>
          <w:i/>
          <w:iCs/>
        </w:rPr>
        <w:lastRenderedPageBreak/>
        <w:t>31. Dezember 2009)</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4 (früherer Absatz 3) abgeändert durch </w:t>
      </w:r>
      <w:r w:rsidR="00D67EB8" w:rsidRPr="009118AB">
        <w:rPr>
          <w:i/>
          <w:iCs/>
        </w:rPr>
        <w:t>Art. </w:t>
      </w:r>
      <w:r w:rsidRPr="009118AB">
        <w:rPr>
          <w:i/>
          <w:iCs/>
        </w:rPr>
        <w:t>1 des K.E. vom 20. Juli 2000 (II) (B.S. vom 30. August 200</w:t>
      </w:r>
      <w:r w:rsidR="00380D18" w:rsidRPr="009118AB">
        <w:rPr>
          <w:i/>
          <w:iCs/>
        </w:rPr>
        <w:t>0)</w:t>
      </w:r>
      <w:r w:rsidR="00D67EB8" w:rsidRPr="009118AB">
        <w:rPr>
          <w:i/>
          <w:iCs/>
        </w:rPr>
        <w:t> - </w:t>
      </w:r>
      <w:r w:rsidR="00380D18" w:rsidRPr="009118AB">
        <w:rPr>
          <w:i/>
          <w:iCs/>
        </w:rPr>
        <w:t>in Kraft ab dem Steuerjahr </w:t>
      </w:r>
      <w:r w:rsidRPr="009118AB">
        <w:rPr>
          <w:i/>
          <w:iCs/>
        </w:rPr>
        <w:t>2002</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1 ersetzt durch </w:t>
      </w:r>
      <w:r w:rsidR="00D67EB8" w:rsidRPr="009118AB">
        <w:rPr>
          <w:i/>
          <w:iCs/>
        </w:rPr>
        <w:t>Art. </w:t>
      </w:r>
      <w:r w:rsidR="00380D18" w:rsidRPr="009118AB">
        <w:rPr>
          <w:i/>
          <w:iCs/>
        </w:rPr>
        <w:t>91</w:t>
      </w:r>
      <w:r w:rsidR="00380D18" w:rsidRPr="009118AB">
        <w:rPr>
          <w:i/>
        </w:rPr>
        <w:t xml:space="preserve"> des G. vom 8. Mai 2014 (B.S. vom 28. Mai 2014)</w:t>
      </w:r>
      <w:r w:rsidR="00D67EB8" w:rsidRPr="009118AB">
        <w:rPr>
          <w:i/>
        </w:rPr>
        <w:t> - </w:t>
      </w:r>
      <w:r w:rsidR="00380D18" w:rsidRPr="009118AB">
        <w:rPr>
          <w:i/>
          <w:iCs/>
        </w:rPr>
        <w:t>anwendbar ab dem Steuerjahr 2015</w:t>
      </w:r>
      <w:r w:rsidR="00D67EB8" w:rsidRPr="009118AB">
        <w:rPr>
          <w:i/>
          <w:iCs/>
        </w:rPr>
        <w:t> - </w:t>
      </w:r>
      <w:r w:rsidR="00D828AE" w:rsidRPr="009118AB">
        <w:rPr>
          <w:i/>
          <w:iCs/>
        </w:rPr>
        <w:t xml:space="preserve">und abgeändert durch </w:t>
      </w:r>
      <w:r w:rsidR="00D67EB8" w:rsidRPr="009118AB">
        <w:rPr>
          <w:i/>
          <w:iCs/>
        </w:rPr>
        <w:t>Art. </w:t>
      </w:r>
      <w:r w:rsidR="00D828AE" w:rsidRPr="009118AB">
        <w:rPr>
          <w:i/>
          <w:iCs/>
        </w:rPr>
        <w:t>69 des G. vom 26. März 2018 (B.S. vom 30. März 2018)</w:t>
      </w:r>
      <w:r w:rsidR="00D67EB8" w:rsidRPr="009118AB">
        <w:rPr>
          <w:i/>
          <w:iCs/>
        </w:rPr>
        <w:t> - </w:t>
      </w:r>
      <w:r w:rsidR="00D828AE" w:rsidRPr="009118AB">
        <w:rPr>
          <w:i/>
          <w:iCs/>
        </w:rPr>
        <w:t>wirksam ab dem Steuerjahr 2018</w:t>
      </w:r>
      <w:r w:rsidR="003366D9" w:rsidRPr="009118AB">
        <w:rPr>
          <w:i/>
          <w:iCs/>
        </w:rPr>
        <w:t> -;</w:t>
      </w:r>
      <w:r w:rsidRPr="009118AB">
        <w:rPr>
          <w:i/>
          <w:iCs/>
        </w:rPr>
        <w:t xml:space="preserve"> </w:t>
      </w:r>
      <w:r w:rsidR="00D67EB8" w:rsidRPr="009118AB">
        <w:rPr>
          <w:i/>
          <w:iCs/>
        </w:rPr>
        <w:t>§ </w:t>
      </w:r>
      <w:r w:rsidRPr="009118AB">
        <w:rPr>
          <w:i/>
          <w:iCs/>
        </w:rPr>
        <w:t xml:space="preserve">2 </w:t>
      </w:r>
      <w:r w:rsidR="00D67EB8" w:rsidRPr="009118AB">
        <w:rPr>
          <w:i/>
          <w:iCs/>
        </w:rPr>
        <w:t>Abs. </w:t>
      </w:r>
      <w:r w:rsidRPr="009118AB">
        <w:rPr>
          <w:i/>
          <w:iCs/>
        </w:rPr>
        <w:t xml:space="preserve">2 abgeändert durch </w:t>
      </w:r>
      <w:r w:rsidR="00D67EB8" w:rsidRPr="009118AB">
        <w:rPr>
          <w:i/>
          <w:iCs/>
        </w:rPr>
        <w:t>Art. </w:t>
      </w:r>
      <w:r w:rsidRPr="009118AB">
        <w:rPr>
          <w:i/>
          <w:iCs/>
        </w:rPr>
        <w:t>33 Buchstabe A des G. vom 4. Mai 1999 (II) (B.S. vom 12. Juni 199</w:t>
      </w:r>
      <w:r w:rsidR="006338FE" w:rsidRPr="009118AB">
        <w:rPr>
          <w:i/>
          <w:iCs/>
        </w:rPr>
        <w:t>9)</w:t>
      </w:r>
      <w:r w:rsidR="00D67EB8" w:rsidRPr="009118AB">
        <w:rPr>
          <w:i/>
          <w:iCs/>
        </w:rPr>
        <w:t> - </w:t>
      </w:r>
      <w:r w:rsidR="006338FE" w:rsidRPr="009118AB">
        <w:rPr>
          <w:i/>
          <w:iCs/>
        </w:rPr>
        <w:t>in Kraft ab dem Steuerjahr </w:t>
      </w:r>
      <w:r w:rsidRPr="009118AB">
        <w:rPr>
          <w:i/>
          <w:iCs/>
        </w:rPr>
        <w:t>1999</w:t>
      </w:r>
      <w:r w:rsidR="00FD68E8" w:rsidRPr="009118AB">
        <w:rPr>
          <w:i/>
          <w:iCs/>
        </w:rPr>
        <w:t> -,</w:t>
      </w:r>
      <w:r w:rsidRPr="009118AB">
        <w:rPr>
          <w:i/>
          <w:iCs/>
        </w:rPr>
        <w:t xml:space="preserve"> </w:t>
      </w:r>
      <w:r w:rsidR="00D67EB8" w:rsidRPr="009118AB">
        <w:rPr>
          <w:i/>
          <w:iCs/>
        </w:rPr>
        <w:t>Art. </w:t>
      </w:r>
      <w:r w:rsidRPr="009118AB">
        <w:rPr>
          <w:i/>
          <w:iCs/>
        </w:rPr>
        <w:t>1 des K.E. vom 20. Juli 2000 (II) (B.S. vom 30. August 200</w:t>
      </w:r>
      <w:r w:rsidR="006338FE" w:rsidRPr="009118AB">
        <w:rPr>
          <w:i/>
          <w:iCs/>
        </w:rPr>
        <w:t>0)</w:t>
      </w:r>
      <w:r w:rsidR="00D67EB8" w:rsidRPr="009118AB">
        <w:rPr>
          <w:i/>
          <w:iCs/>
        </w:rPr>
        <w:t> - </w:t>
      </w:r>
      <w:r w:rsidR="006338FE" w:rsidRPr="009118AB">
        <w:rPr>
          <w:i/>
          <w:iCs/>
        </w:rPr>
        <w:t>in Kraft ab dem Steuerjahr </w:t>
      </w:r>
      <w:r w:rsidRPr="009118AB">
        <w:rPr>
          <w:i/>
          <w:iCs/>
        </w:rPr>
        <w:t>2002</w:t>
      </w:r>
      <w:r w:rsidR="00FD68E8" w:rsidRPr="009118AB">
        <w:rPr>
          <w:i/>
          <w:iCs/>
        </w:rPr>
        <w:t> -,</w:t>
      </w:r>
      <w:r w:rsidR="00DB18BE" w:rsidRPr="009118AB">
        <w:rPr>
          <w:i/>
          <w:iCs/>
        </w:rPr>
        <w:t xml:space="preserve"> </w:t>
      </w:r>
      <w:r w:rsidR="00D67EB8" w:rsidRPr="009118AB">
        <w:rPr>
          <w:i/>
          <w:iCs/>
        </w:rPr>
        <w:t>Art. </w:t>
      </w:r>
      <w:r w:rsidR="00DB18BE" w:rsidRPr="009118AB">
        <w:rPr>
          <w:i/>
          <w:iCs/>
        </w:rPr>
        <w:t xml:space="preserve">12 des G. vom 21. Dezember 2013 (II) (B.S. vom </w:t>
      </w:r>
      <w:r w:rsidR="004665BC" w:rsidRPr="009118AB">
        <w:rPr>
          <w:i/>
          <w:iCs/>
        </w:rPr>
        <w:t>31. Dezember 2013</w:t>
      </w:r>
      <w:r w:rsidR="00DB18BE" w:rsidRPr="009118AB">
        <w:rPr>
          <w:rFonts w:ascii="Times New Roman Italique" w:hAnsi="Times New Roman Italique"/>
          <w:i/>
          <w:iCs/>
          <w:spacing w:val="-1"/>
        </w:rPr>
        <w:t>)</w:t>
      </w:r>
      <w:r w:rsidR="00D67EB8" w:rsidRPr="009118AB">
        <w:rPr>
          <w:rFonts w:ascii="Times New Roman Italique" w:hAnsi="Times New Roman Italique"/>
          <w:i/>
          <w:iCs/>
          <w:spacing w:val="-1"/>
        </w:rPr>
        <w:t> - </w:t>
      </w:r>
      <w:r w:rsidR="0055193F" w:rsidRPr="009118AB">
        <w:rPr>
          <w:rFonts w:ascii="Times New Roman Italique" w:hAnsi="Times New Roman Italique"/>
          <w:i/>
          <w:spacing w:val="-1"/>
        </w:rPr>
        <w:t>anwendbar ab dem Steuerjahr 2014</w:t>
      </w:r>
      <w:r w:rsidR="00D67EB8" w:rsidRPr="009118AB">
        <w:rPr>
          <w:rFonts w:ascii="Times New Roman Italique" w:hAnsi="Times New Roman Italique"/>
          <w:i/>
          <w:spacing w:val="-1"/>
        </w:rPr>
        <w:t> - </w:t>
      </w:r>
      <w:r w:rsidR="007730FC" w:rsidRPr="009118AB">
        <w:rPr>
          <w:rFonts w:ascii="Times New Roman Italique" w:hAnsi="Times New Roman Italique"/>
          <w:i/>
          <w:spacing w:val="-1"/>
        </w:rPr>
        <w:t xml:space="preserve">und </w:t>
      </w:r>
      <w:r w:rsidR="00D67EB8" w:rsidRPr="009118AB">
        <w:rPr>
          <w:rFonts w:ascii="Times New Roman Italique" w:hAnsi="Times New Roman Italique"/>
          <w:i/>
          <w:spacing w:val="-1"/>
        </w:rPr>
        <w:t>Art. </w:t>
      </w:r>
      <w:r w:rsidR="007730FC" w:rsidRPr="009118AB">
        <w:rPr>
          <w:rFonts w:ascii="Times New Roman Italique" w:hAnsi="Times New Roman Italique"/>
          <w:i/>
          <w:spacing w:val="-1"/>
        </w:rPr>
        <w:t>58</w:t>
      </w:r>
      <w:r w:rsidR="007730FC" w:rsidRPr="009118AB">
        <w:rPr>
          <w:rFonts w:ascii="Times New Roman Italique" w:hAnsi="Times New Roman Italique"/>
          <w:i/>
          <w:iCs/>
          <w:spacing w:val="-1"/>
        </w:rPr>
        <w:t xml:space="preserve"> des G. vom 18. Dezember 2015 (II) (B.S. vom 28. Dezember 2015)</w:t>
      </w:r>
      <w:r w:rsidR="00D67EB8" w:rsidRPr="009118AB">
        <w:rPr>
          <w:rFonts w:ascii="Times New Roman Italique" w:hAnsi="Times New Roman Italique"/>
          <w:i/>
          <w:iCs/>
          <w:spacing w:val="-1"/>
        </w:rPr>
        <w:t> - </w:t>
      </w:r>
      <w:r w:rsidR="007730FC" w:rsidRPr="009118AB">
        <w:rPr>
          <w:rFonts w:ascii="Times New Roman Italique" w:hAnsi="Times New Roman Italique"/>
          <w:i/>
          <w:iCs/>
          <w:spacing w:val="-1"/>
        </w:rPr>
        <w:t xml:space="preserve">anwendbar </w:t>
      </w:r>
      <w:r w:rsidR="00852528" w:rsidRPr="009118AB">
        <w:rPr>
          <w:rFonts w:ascii="Times New Roman Italique" w:hAnsi="Times New Roman Italique"/>
          <w:i/>
          <w:iCs/>
          <w:spacing w:val="-1"/>
        </w:rPr>
        <w:t xml:space="preserve">in Bezug auf die Ausnahme hinsichtlich der in Artikel 219quater des Einkommensteuerbuches 1992 erwähnten getrennten Steuer </w:t>
      </w:r>
      <w:r w:rsidR="007730FC" w:rsidRPr="009118AB">
        <w:rPr>
          <w:rFonts w:ascii="Times New Roman Italique" w:hAnsi="Times New Roman Italique"/>
          <w:i/>
          <w:iCs/>
          <w:spacing w:val="-1"/>
        </w:rPr>
        <w:t>ab dem Steuerjahr 2015</w:t>
      </w:r>
      <w:r w:rsidR="003366D9" w:rsidRPr="009118AB">
        <w:rPr>
          <w:rFonts w:ascii="Times New Roman Italique" w:hAnsi="Times New Roman Italique"/>
          <w:i/>
          <w:iCs/>
          <w:spacing w:val="-1"/>
        </w:rPr>
        <w:t> -;</w:t>
      </w:r>
      <w:r w:rsidRPr="009118AB">
        <w:rPr>
          <w:i/>
          <w:iCs/>
        </w:rPr>
        <w:t xml:space="preserve"> </w:t>
      </w:r>
      <w:r w:rsidR="00D67EB8" w:rsidRPr="009118AB">
        <w:rPr>
          <w:i/>
          <w:iCs/>
        </w:rPr>
        <w:t>§ </w:t>
      </w:r>
      <w:r w:rsidRPr="009118AB">
        <w:rPr>
          <w:i/>
          <w:iCs/>
        </w:rPr>
        <w:t xml:space="preserve">2 neuer Absatz 3 eingefügt durch </w:t>
      </w:r>
      <w:r w:rsidR="00D67EB8" w:rsidRPr="009118AB">
        <w:rPr>
          <w:i/>
          <w:iCs/>
        </w:rPr>
        <w:t>Art. </w:t>
      </w:r>
      <w:r w:rsidRPr="009118AB">
        <w:rPr>
          <w:i/>
          <w:iCs/>
        </w:rPr>
        <w:t>33 Buchstabe B des G. vom 4. Mai 1999 (II) (B.S.</w:t>
      </w:r>
      <w:r w:rsidR="006338FE" w:rsidRPr="009118AB">
        <w:rPr>
          <w:i/>
          <w:iCs/>
        </w:rPr>
        <w:t xml:space="preserve"> </w:t>
      </w:r>
      <w:r w:rsidRPr="009118AB">
        <w:rPr>
          <w:i/>
          <w:iCs/>
        </w:rPr>
        <w:t>vom 12. Juni 199</w:t>
      </w:r>
      <w:r w:rsidR="006338FE" w:rsidRPr="009118AB">
        <w:rPr>
          <w:i/>
          <w:iCs/>
        </w:rPr>
        <w:t>9)</w:t>
      </w:r>
      <w:r w:rsidR="00D67EB8" w:rsidRPr="009118AB">
        <w:rPr>
          <w:i/>
          <w:iCs/>
        </w:rPr>
        <w:t> - </w:t>
      </w:r>
      <w:r w:rsidR="006338FE" w:rsidRPr="009118AB">
        <w:rPr>
          <w:i/>
          <w:iCs/>
        </w:rPr>
        <w:t>in Kraft ab dem Steuerjahr </w:t>
      </w:r>
      <w:r w:rsidRPr="009118AB">
        <w:rPr>
          <w:i/>
          <w:iCs/>
        </w:rPr>
        <w:t>1998</w:t>
      </w:r>
      <w:r w:rsidR="00D67EB8" w:rsidRPr="009118AB">
        <w:rPr>
          <w:i/>
          <w:iCs/>
        </w:rPr>
        <w:t> - </w:t>
      </w:r>
      <w:r w:rsidRPr="009118AB">
        <w:rPr>
          <w:i/>
          <w:iCs/>
        </w:rPr>
        <w:t xml:space="preserve">und abgeändert durch </w:t>
      </w:r>
      <w:r w:rsidR="00D67EB8" w:rsidRPr="009118AB">
        <w:rPr>
          <w:i/>
          <w:iCs/>
        </w:rPr>
        <w:t>Art. </w:t>
      </w:r>
      <w:r w:rsidRPr="009118AB">
        <w:rPr>
          <w:i/>
          <w:iCs/>
        </w:rPr>
        <w:t>1 des K.E. vom 20. Juli 2000 (II) (B.S. vom 30. August 200</w:t>
      </w:r>
      <w:r w:rsidR="006338FE" w:rsidRPr="009118AB">
        <w:rPr>
          <w:i/>
          <w:iCs/>
        </w:rPr>
        <w:t>0)</w:t>
      </w:r>
      <w:r w:rsidR="00D67EB8" w:rsidRPr="009118AB">
        <w:rPr>
          <w:i/>
          <w:iCs/>
        </w:rPr>
        <w:t> - </w:t>
      </w:r>
      <w:r w:rsidR="006338FE" w:rsidRPr="009118AB">
        <w:rPr>
          <w:i/>
          <w:iCs/>
        </w:rPr>
        <w:t>in Kraft ab dem Steuerjahr </w:t>
      </w:r>
      <w:r w:rsidRPr="009118AB">
        <w:rPr>
          <w:i/>
          <w:iCs/>
        </w:rPr>
        <w:t>2002</w:t>
      </w:r>
      <w:r w:rsidR="003366D9" w:rsidRPr="009118AB">
        <w:rPr>
          <w:i/>
          <w:iCs/>
        </w:rPr>
        <w:t> -;</w:t>
      </w:r>
      <w:r w:rsidR="006338FE" w:rsidRPr="009118AB">
        <w:rPr>
          <w:i/>
          <w:iCs/>
        </w:rPr>
        <w:t xml:space="preserve"> </w:t>
      </w:r>
      <w:r w:rsidR="00D67EB8" w:rsidRPr="009118AB">
        <w:rPr>
          <w:i/>
          <w:iCs/>
        </w:rPr>
        <w:t>§ </w:t>
      </w:r>
      <w:r w:rsidR="006338FE" w:rsidRPr="009118AB">
        <w:rPr>
          <w:i/>
          <w:iCs/>
        </w:rPr>
        <w:t xml:space="preserve">2 </w:t>
      </w:r>
      <w:r w:rsidR="00D67EB8" w:rsidRPr="009118AB">
        <w:rPr>
          <w:i/>
          <w:iCs/>
        </w:rPr>
        <w:t>Abs. </w:t>
      </w:r>
      <w:r w:rsidR="006338FE" w:rsidRPr="009118AB">
        <w:rPr>
          <w:i/>
          <w:iCs/>
        </w:rPr>
        <w:t>4 (früherer Absatz </w:t>
      </w:r>
      <w:r w:rsidRPr="009118AB">
        <w:rPr>
          <w:i/>
          <w:iCs/>
        </w:rPr>
        <w:t xml:space="preserve">3) ersetzt durch </w:t>
      </w:r>
      <w:r w:rsidR="00D67EB8" w:rsidRPr="009118AB">
        <w:rPr>
          <w:i/>
          <w:iCs/>
        </w:rPr>
        <w:t>Art. </w:t>
      </w:r>
      <w:r w:rsidRPr="009118AB">
        <w:rPr>
          <w:i/>
          <w:iCs/>
        </w:rPr>
        <w:t xml:space="preserve">38 </w:t>
      </w:r>
      <w:r w:rsidR="00D67EB8" w:rsidRPr="009118AB">
        <w:rPr>
          <w:i/>
          <w:iCs/>
        </w:rPr>
        <w:t>Nr. </w:t>
      </w:r>
      <w:r w:rsidRPr="009118AB">
        <w:rPr>
          <w:i/>
          <w:iCs/>
        </w:rPr>
        <w:t>2 des K.E.</w:t>
      </w:r>
      <w:r w:rsidR="006338FE" w:rsidRPr="009118AB">
        <w:rPr>
          <w:i/>
          <w:iCs/>
        </w:rPr>
        <w:t xml:space="preserve"> </w:t>
      </w:r>
      <w:r w:rsidRPr="009118AB">
        <w:rPr>
          <w:i/>
          <w:iCs/>
        </w:rPr>
        <w:t>vom 20. Dezember 1996 (B.S. vom 31. Dezember 199</w:t>
      </w:r>
      <w:r w:rsidR="00CD138C" w:rsidRPr="009118AB">
        <w:rPr>
          <w:i/>
          <w:iCs/>
        </w:rPr>
        <w:t>6)</w:t>
      </w:r>
      <w:r w:rsidR="00D67EB8" w:rsidRPr="009118AB">
        <w:rPr>
          <w:i/>
          <w:iCs/>
        </w:rPr>
        <w:t> - </w:t>
      </w:r>
      <w:r w:rsidR="00CD138C" w:rsidRPr="009118AB">
        <w:rPr>
          <w:i/>
          <w:iCs/>
        </w:rPr>
        <w:t>in Kraft ab dem Steuerjahr 1</w:t>
      </w:r>
      <w:r w:rsidRPr="009118AB">
        <w:rPr>
          <w:i/>
          <w:iCs/>
        </w:rPr>
        <w:t>997 in dem Maße, wie es sich bei Steuerpflichtigen, die gemäß Artikel</w:t>
      </w:r>
      <w:r w:rsidR="00854327" w:rsidRPr="009118AB">
        <w:rPr>
          <w:i/>
          <w:iCs/>
        </w:rPr>
        <w:t> </w:t>
      </w:r>
      <w:r w:rsidRPr="009118AB">
        <w:rPr>
          <w:i/>
          <w:iCs/>
        </w:rPr>
        <w:t xml:space="preserve">233 </w:t>
      </w:r>
      <w:r w:rsidR="006338FE" w:rsidRPr="009118AB">
        <w:rPr>
          <w:i/>
          <w:iCs/>
        </w:rPr>
        <w:t>des Einkommensteuergesetzbuches </w:t>
      </w:r>
      <w:r w:rsidRPr="009118AB">
        <w:rPr>
          <w:i/>
          <w:iCs/>
        </w:rPr>
        <w:t>1992 der Steuer der Gebietsfremden unterliegen, auf den Über</w:t>
      </w:r>
      <w:r w:rsidR="006338FE" w:rsidRPr="009118AB">
        <w:rPr>
          <w:i/>
          <w:iCs/>
        </w:rPr>
        <w:t>schuss des in den Artikeln </w:t>
      </w:r>
      <w:r w:rsidRPr="009118AB">
        <w:rPr>
          <w:i/>
          <w:iCs/>
        </w:rPr>
        <w:t>270 bis 272 desselben Gesetzbuches erwähnten Berufssteuervorabzugs bezieht</w:t>
      </w:r>
      <w:r w:rsidR="00D67EB8" w:rsidRPr="009118AB">
        <w:rPr>
          <w:i/>
          <w:iCs/>
        </w:rPr>
        <w:t> - § </w:t>
      </w:r>
      <w:r w:rsidRPr="009118AB">
        <w:rPr>
          <w:i/>
          <w:iCs/>
        </w:rPr>
        <w:t xml:space="preserve">2 </w:t>
      </w:r>
      <w:r w:rsidR="00D67EB8" w:rsidRPr="009118AB">
        <w:rPr>
          <w:i/>
          <w:iCs/>
        </w:rPr>
        <w:t>Abs. </w:t>
      </w:r>
      <w:r w:rsidRPr="009118AB">
        <w:rPr>
          <w:i/>
          <w:iCs/>
        </w:rPr>
        <w:t>5 eingefü</w:t>
      </w:r>
      <w:r w:rsidR="006338FE" w:rsidRPr="009118AB">
        <w:rPr>
          <w:i/>
          <w:iCs/>
        </w:rPr>
        <w:t xml:space="preserve">gt durch </w:t>
      </w:r>
      <w:r w:rsidR="00D67EB8" w:rsidRPr="009118AB">
        <w:rPr>
          <w:i/>
          <w:iCs/>
        </w:rPr>
        <w:t>Art. </w:t>
      </w:r>
      <w:r w:rsidR="006338FE" w:rsidRPr="009118AB">
        <w:rPr>
          <w:i/>
          <w:iCs/>
        </w:rPr>
        <w:t xml:space="preserve">38 </w:t>
      </w:r>
      <w:r w:rsidR="00D67EB8" w:rsidRPr="009118AB">
        <w:rPr>
          <w:i/>
          <w:iCs/>
        </w:rPr>
        <w:t>Nr. </w:t>
      </w:r>
      <w:r w:rsidR="006338FE" w:rsidRPr="009118AB">
        <w:rPr>
          <w:i/>
          <w:iCs/>
        </w:rPr>
        <w:t xml:space="preserve">2 des K.E. </w:t>
      </w:r>
      <w:r w:rsidRPr="009118AB">
        <w:rPr>
          <w:i/>
          <w:iCs/>
        </w:rPr>
        <w:t>vom 20. Dezember 1996 (B.S. vom 31. Dezember 1996)</w:t>
      </w:r>
      <w:r w:rsidR="00D67EB8" w:rsidRPr="009118AB">
        <w:rPr>
          <w:i/>
          <w:iCs/>
        </w:rPr>
        <w:t> - </w:t>
      </w:r>
      <w:r w:rsidRPr="009118AB">
        <w:rPr>
          <w:i/>
          <w:iCs/>
        </w:rPr>
        <w:t>in Kraft ab dem Steuerjahr</w:t>
      </w:r>
      <w:r w:rsidR="00854327" w:rsidRPr="009118AB">
        <w:rPr>
          <w:i/>
          <w:iCs/>
        </w:rPr>
        <w:t> </w:t>
      </w:r>
      <w:r w:rsidRPr="009118AB">
        <w:rPr>
          <w:i/>
          <w:iCs/>
        </w:rPr>
        <w:t>1997 in dem Maße, wie es sich bei Steuerpflichtigen, die gemäß Artikel</w:t>
      </w:r>
      <w:r w:rsidR="00C44A31" w:rsidRPr="009118AB">
        <w:rPr>
          <w:i/>
          <w:iCs/>
        </w:rPr>
        <w:t> </w:t>
      </w:r>
      <w:r w:rsidRPr="009118AB">
        <w:rPr>
          <w:i/>
          <w:iCs/>
        </w:rPr>
        <w:t xml:space="preserve">233 </w:t>
      </w:r>
      <w:r w:rsidR="006338FE" w:rsidRPr="009118AB">
        <w:rPr>
          <w:i/>
          <w:iCs/>
        </w:rPr>
        <w:t>des Einkommensteuergesetzbuches </w:t>
      </w:r>
      <w:r w:rsidRPr="009118AB">
        <w:rPr>
          <w:i/>
          <w:iCs/>
        </w:rPr>
        <w:t>1992 der Steuer der Gebietsfremden unterliegen, auf den</w:t>
      </w:r>
      <w:r w:rsidR="006338FE" w:rsidRPr="009118AB">
        <w:rPr>
          <w:i/>
          <w:iCs/>
        </w:rPr>
        <w:t xml:space="preserve"> Überschuss des in den Artikeln </w:t>
      </w:r>
      <w:r w:rsidRPr="009118AB">
        <w:rPr>
          <w:i/>
          <w:iCs/>
        </w:rPr>
        <w:t>270 bis 272 desselben Gesetzbuches erwähnten Berufssteuervorabzugs bezieht</w:t>
      </w:r>
      <w:r w:rsidR="00D67EB8" w:rsidRPr="009118AB">
        <w:rPr>
          <w:i/>
          <w:iCs/>
        </w:rPr>
        <w:t> - </w:t>
      </w:r>
      <w:r w:rsidRPr="009118AB">
        <w:rPr>
          <w:i/>
          <w:iCs/>
        </w:rPr>
        <w:t xml:space="preserve">und abgeändert durch </w:t>
      </w:r>
      <w:r w:rsidR="00D67EB8" w:rsidRPr="009118AB">
        <w:rPr>
          <w:i/>
          <w:iCs/>
        </w:rPr>
        <w:t>Art. </w:t>
      </w:r>
      <w:r w:rsidRPr="009118AB">
        <w:rPr>
          <w:i/>
          <w:iCs/>
        </w:rPr>
        <w:t>1 des K.E. vom 20. Juli 2000 (II) (B.S. vom 30. August 200</w:t>
      </w:r>
      <w:r w:rsidR="006338FE" w:rsidRPr="009118AB">
        <w:rPr>
          <w:i/>
          <w:iCs/>
        </w:rPr>
        <w:t>0)</w:t>
      </w:r>
      <w:r w:rsidR="00D67EB8" w:rsidRPr="009118AB">
        <w:rPr>
          <w:i/>
          <w:iCs/>
        </w:rPr>
        <w:t> - </w:t>
      </w:r>
      <w:r w:rsidR="006338FE" w:rsidRPr="009118AB">
        <w:rPr>
          <w:i/>
          <w:iCs/>
        </w:rPr>
        <w:t>in Kraft ab dem Steuerjahr </w:t>
      </w:r>
      <w:r w:rsidRPr="009118AB">
        <w:rPr>
          <w:i/>
          <w:iCs/>
        </w:rPr>
        <w:t>2002</w:t>
      </w:r>
      <w:r w:rsidR="00FD68E8" w:rsidRPr="009118AB">
        <w:rPr>
          <w:i/>
          <w:iCs/>
        </w:rPr>
        <w:t> -]</w:t>
      </w:r>
    </w:p>
    <w:p w14:paraId="0E3E656E" w14:textId="77777777" w:rsidR="00477B8F" w:rsidRPr="009118AB" w:rsidRDefault="00477B8F" w:rsidP="00477B8F">
      <w:pPr>
        <w:autoSpaceDE w:val="0"/>
        <w:autoSpaceDN w:val="0"/>
        <w:adjustRightInd w:val="0"/>
        <w:jc w:val="both"/>
      </w:pPr>
    </w:p>
    <w:p w14:paraId="60F8B3B6" w14:textId="77777777" w:rsidR="00FE6F38" w:rsidRPr="009118AB" w:rsidRDefault="00FE6F38" w:rsidP="00477B8F">
      <w:pPr>
        <w:autoSpaceDE w:val="0"/>
        <w:autoSpaceDN w:val="0"/>
        <w:adjustRightInd w:val="0"/>
        <w:jc w:val="both"/>
      </w:pPr>
    </w:p>
    <w:p w14:paraId="63B582E6" w14:textId="0063FD17" w:rsidR="00FE6F38" w:rsidRPr="009118AB" w:rsidRDefault="00FE6F38" w:rsidP="00FE6F38">
      <w:pPr>
        <w:ind w:right="-57"/>
        <w:jc w:val="both"/>
        <w:rPr>
          <w:lang w:eastAsia="fr-BE"/>
        </w:rPr>
      </w:pPr>
      <w:r w:rsidRPr="009118AB">
        <w:tab/>
        <w:t>[</w:t>
      </w:r>
      <w:r w:rsidR="00D67EB8" w:rsidRPr="009118AB">
        <w:rPr>
          <w:b/>
          <w:bCs/>
          <w:lang w:eastAsia="fr-BE"/>
        </w:rPr>
        <w:t>Art. </w:t>
      </w:r>
      <w:r w:rsidRPr="009118AB">
        <w:rPr>
          <w:b/>
          <w:bCs/>
          <w:lang w:eastAsia="fr-BE"/>
        </w:rPr>
        <w:t>304/1</w:t>
      </w:r>
      <w:r w:rsidR="00D67EB8" w:rsidRPr="009118AB">
        <w:rPr>
          <w:lang w:eastAsia="fr-BE"/>
        </w:rPr>
        <w:t> - § </w:t>
      </w:r>
      <w:r w:rsidRPr="009118AB">
        <w:rPr>
          <w:lang w:eastAsia="fr-BE"/>
        </w:rPr>
        <w:t>1</w:t>
      </w:r>
      <w:r w:rsidR="00D67EB8" w:rsidRPr="009118AB">
        <w:rPr>
          <w:lang w:eastAsia="fr-BE"/>
        </w:rPr>
        <w:t> - </w:t>
      </w:r>
      <w:r w:rsidRPr="009118AB">
        <w:rPr>
          <w:lang w:eastAsia="fr-BE"/>
        </w:rPr>
        <w:t>Unbeschadet der Anwendung von Artikel 334 des Programmgesetzes vom 27. Dezember 2004 erfolgt die Erstattung der Beträge, die in Anwendung der Bestimmungen des vorliegenden Gesetzbuches oder seiner Ausführungserlasse zu erstatten sind, unter Berücksichtigung der zu diesem Zweck der Verwaltung mitgeteilten Bankangaben, die die Ausführung der Erstattung ermöglichen, oder, für natürliche Personen und in Ermangelung solcher Bankangaben, per Postscheckanweisung oder internationaler Anweisung.</w:t>
      </w:r>
    </w:p>
    <w:p w14:paraId="456B9E33" w14:textId="77777777" w:rsidR="00FE6F38" w:rsidRPr="009118AB" w:rsidRDefault="00FE6F38" w:rsidP="00FE6F38">
      <w:pPr>
        <w:ind w:right="-57"/>
        <w:jc w:val="both"/>
        <w:rPr>
          <w:lang w:eastAsia="fr-BE"/>
        </w:rPr>
      </w:pPr>
    </w:p>
    <w:p w14:paraId="4CA0F2E7" w14:textId="6FF8325C" w:rsidR="00FE6F38" w:rsidRPr="009118AB" w:rsidRDefault="00FE6F38" w:rsidP="00FE6F38">
      <w:pPr>
        <w:ind w:right="-57"/>
        <w:jc w:val="both"/>
        <w:rPr>
          <w:lang w:eastAsia="fr-BE"/>
        </w:rPr>
      </w:pPr>
      <w:r w:rsidRPr="009118AB">
        <w:rPr>
          <w:lang w:eastAsia="fr-BE"/>
        </w:rPr>
        <w:tab/>
      </w:r>
      <w:r w:rsidR="00D67EB8" w:rsidRPr="009118AB">
        <w:rPr>
          <w:lang w:eastAsia="fr-BE"/>
        </w:rPr>
        <w:t>§ </w:t>
      </w:r>
      <w:r w:rsidRPr="009118AB">
        <w:rPr>
          <w:lang w:eastAsia="fr-BE"/>
        </w:rPr>
        <w:t xml:space="preserve">2 ­ Wenn der einer natürlichen Person zu erstattende Betrag weniger als 50 EUR beträgt und sofern die Bankangaben, die die Ausführung der Erstattung ermöglichen, der Verwaltung nicht zu diesem Zweck mitgeteilt worden sind oder sofern die Verwaltung nicht darüber in Kenntnis gesetzt worden ist, dass der Steuerpflichtige über kein Bankkonto verfügt, erfolgt die Erstattung in Abweichung von </w:t>
      </w:r>
      <w:r w:rsidR="00D67EB8" w:rsidRPr="009118AB">
        <w:rPr>
          <w:lang w:eastAsia="fr-BE"/>
        </w:rPr>
        <w:t>§ </w:t>
      </w:r>
      <w:r w:rsidRPr="009118AB">
        <w:rPr>
          <w:lang w:eastAsia="fr-BE"/>
        </w:rPr>
        <w:t>1 bis zum Ende des dritten Jahres nach dem Jahr, in dem der Anspruch auf Erstattung entstanden ist, durch Verwendung gemäß Artikel 334 des Programmgesetzes vom 27. Dezember 2004.</w:t>
      </w:r>
    </w:p>
    <w:p w14:paraId="559362BB" w14:textId="77777777" w:rsidR="00FE6F38" w:rsidRPr="009118AB" w:rsidRDefault="00FE6F38" w:rsidP="00FE6F38">
      <w:pPr>
        <w:ind w:right="-57"/>
        <w:jc w:val="both"/>
        <w:rPr>
          <w:lang w:eastAsia="fr-BE"/>
        </w:rPr>
      </w:pPr>
    </w:p>
    <w:p w14:paraId="638B60E7" w14:textId="77777777" w:rsidR="00916AEA" w:rsidRDefault="00916AEA">
      <w:pPr>
        <w:rPr>
          <w:lang w:eastAsia="fr-BE"/>
        </w:rPr>
      </w:pPr>
      <w:r>
        <w:rPr>
          <w:lang w:eastAsia="fr-BE"/>
        </w:rPr>
        <w:br w:type="page"/>
      </w:r>
    </w:p>
    <w:p w14:paraId="57AAEF7B" w14:textId="1C7F87D9" w:rsidR="00FE6F38" w:rsidRPr="009118AB" w:rsidRDefault="00FE6F38" w:rsidP="00FE6F38">
      <w:pPr>
        <w:autoSpaceDE w:val="0"/>
        <w:autoSpaceDN w:val="0"/>
        <w:adjustRightInd w:val="0"/>
        <w:jc w:val="both"/>
      </w:pPr>
      <w:r w:rsidRPr="009118AB">
        <w:rPr>
          <w:lang w:eastAsia="fr-BE"/>
        </w:rPr>
        <w:lastRenderedPageBreak/>
        <w:tab/>
        <w:t>Wenn bei Ablauf des dritten Jahres nach dem Jahr, in dem der Anspruch auf Erstattung entstanden ist, die Bankangaben, die die Ausführung der Erstattung ermöglichen, der Verwaltung nicht zu diesem Zweck mitgeteilt worden sind oder die Verwaltung nicht darüber in Kenntnis gesetzt worden ist, dass der Steuerpflichtige über kein Bankkonto verfügt, und der zu erstattende Betrag ganz oder teilweise nicht gemäß Absatz 1 erstattet werden konnte, wird der zu erstattende Betrag beziehungsweise der entsprechende Restbetrag in Abweichung von Artikel 304 nicht erstattet.</w:t>
      </w:r>
      <w:r w:rsidRPr="009118AB">
        <w:t>]</w:t>
      </w:r>
    </w:p>
    <w:p w14:paraId="00D969BF" w14:textId="77777777" w:rsidR="00FE6F38" w:rsidRPr="009118AB" w:rsidRDefault="00FE6F38" w:rsidP="00FE6F38">
      <w:pPr>
        <w:autoSpaceDE w:val="0"/>
        <w:autoSpaceDN w:val="0"/>
        <w:adjustRightInd w:val="0"/>
        <w:jc w:val="both"/>
      </w:pPr>
    </w:p>
    <w:p w14:paraId="1CC96B2A" w14:textId="38CAAFE9" w:rsidR="00FE6F38" w:rsidRPr="009118AB" w:rsidRDefault="00FE6F38" w:rsidP="00FE6F38">
      <w:pPr>
        <w:autoSpaceDE w:val="0"/>
        <w:autoSpaceDN w:val="0"/>
        <w:adjustRightInd w:val="0"/>
        <w:jc w:val="both"/>
        <w:rPr>
          <w:i/>
          <w:iCs/>
        </w:rPr>
      </w:pPr>
      <w:r w:rsidRPr="009118AB">
        <w:rPr>
          <w:i/>
          <w:iCs/>
        </w:rPr>
        <w:t>[</w:t>
      </w:r>
      <w:r w:rsidR="00D67EB8" w:rsidRPr="009118AB">
        <w:rPr>
          <w:i/>
          <w:iCs/>
        </w:rPr>
        <w:t>Art. </w:t>
      </w:r>
      <w:r w:rsidRPr="009118AB">
        <w:rPr>
          <w:i/>
          <w:iCs/>
        </w:rPr>
        <w:t xml:space="preserve">304/1 eingefügt durch </w:t>
      </w:r>
      <w:r w:rsidR="00D67EB8" w:rsidRPr="009118AB">
        <w:rPr>
          <w:i/>
          <w:iCs/>
        </w:rPr>
        <w:t>Art. </w:t>
      </w:r>
      <w:r w:rsidRPr="009118AB">
        <w:rPr>
          <w:i/>
          <w:iCs/>
        </w:rPr>
        <w:t>117</w:t>
      </w:r>
      <w:r w:rsidRPr="009118AB">
        <w:rPr>
          <w:bCs/>
          <w:i/>
          <w:iCs/>
          <w:sz w:val="20"/>
          <w:szCs w:val="20"/>
        </w:rPr>
        <w:t xml:space="preserve"> </w:t>
      </w:r>
      <w:r w:rsidRPr="009118AB">
        <w:rPr>
          <w:bCs/>
          <w:i/>
          <w:iCs/>
        </w:rPr>
        <w:t>des G. vom 21. Januar 2022 (B.S. vom 28. Januar 2022)</w:t>
      </w:r>
      <w:r w:rsidR="00D67EB8" w:rsidRPr="009118AB">
        <w:rPr>
          <w:bCs/>
          <w:i/>
          <w:iCs/>
        </w:rPr>
        <w:t> - </w:t>
      </w:r>
      <w:r w:rsidRPr="009118AB">
        <w:rPr>
          <w:bCs/>
          <w:i/>
          <w:iCs/>
        </w:rPr>
        <w:t>wirksam mit 1. Januar 2022</w:t>
      </w:r>
      <w:r w:rsidR="00FD68E8" w:rsidRPr="009118AB">
        <w:rPr>
          <w:bCs/>
          <w:i/>
          <w:iCs/>
        </w:rPr>
        <w:t> -]</w:t>
      </w:r>
    </w:p>
    <w:p w14:paraId="0AC5F68B" w14:textId="77777777" w:rsidR="00477B8F" w:rsidRPr="009118AB" w:rsidRDefault="00477B8F" w:rsidP="00477B8F">
      <w:pPr>
        <w:autoSpaceDE w:val="0"/>
        <w:autoSpaceDN w:val="0"/>
        <w:adjustRightInd w:val="0"/>
        <w:jc w:val="both"/>
      </w:pPr>
    </w:p>
    <w:p w14:paraId="329E41A0" w14:textId="77777777" w:rsidR="00FE6F38" w:rsidRPr="009118AB" w:rsidRDefault="00FE6F38" w:rsidP="00477B8F">
      <w:pPr>
        <w:autoSpaceDE w:val="0"/>
        <w:autoSpaceDN w:val="0"/>
        <w:adjustRightInd w:val="0"/>
        <w:jc w:val="both"/>
      </w:pPr>
    </w:p>
    <w:p w14:paraId="678FF435" w14:textId="4934F538" w:rsidR="00477B8F" w:rsidRPr="009118AB" w:rsidRDefault="00477B8F" w:rsidP="007B11CE">
      <w:pPr>
        <w:autoSpaceDE w:val="0"/>
        <w:autoSpaceDN w:val="0"/>
        <w:adjustRightInd w:val="0"/>
        <w:ind w:firstLine="709"/>
        <w:jc w:val="both"/>
      </w:pPr>
      <w:r w:rsidRPr="009118AB">
        <w:t>[</w:t>
      </w:r>
      <w:r w:rsidR="00D67EB8" w:rsidRPr="009118AB">
        <w:rPr>
          <w:b/>
          <w:bCs/>
        </w:rPr>
        <w:t>Art. </w:t>
      </w:r>
      <w:r w:rsidRPr="009118AB">
        <w:rPr>
          <w:b/>
          <w:bCs/>
        </w:rPr>
        <w:t>304</w:t>
      </w:r>
      <w:r w:rsidRPr="009118AB">
        <w:rPr>
          <w:b/>
          <w:bCs/>
          <w:i/>
          <w:iCs/>
        </w:rPr>
        <w:t>bis</w:t>
      </w:r>
      <w:r w:rsidR="00D67EB8" w:rsidRPr="009118AB">
        <w:t> - </w:t>
      </w:r>
      <w:r w:rsidRPr="009118AB">
        <w:t>Sofern nicht davon abgewichen wird, sind die auf den Mobiliensteuervorabzug anwendbaren Bestimmungen des vorliegenden Titels auf die Steuer und die Zuschlagsteuer auf Beteiligungen an Kapital und Gewinn anwendbar, die in Titel VII des Gesetzbuches der der Einkommensteuer gleichgesetzten Steuern erwähnt sind.]</w:t>
      </w:r>
    </w:p>
    <w:p w14:paraId="18987A8F" w14:textId="77777777" w:rsidR="00FD37DB" w:rsidRPr="009118AB" w:rsidRDefault="00FD37DB" w:rsidP="00477B8F">
      <w:pPr>
        <w:autoSpaceDE w:val="0"/>
        <w:autoSpaceDN w:val="0"/>
        <w:adjustRightInd w:val="0"/>
        <w:jc w:val="both"/>
      </w:pPr>
    </w:p>
    <w:p w14:paraId="2CA2899B" w14:textId="7C48565C" w:rsidR="00FD37DB" w:rsidRPr="009118AB" w:rsidRDefault="00FD37DB" w:rsidP="00477B8F">
      <w:pPr>
        <w:autoSpaceDE w:val="0"/>
        <w:autoSpaceDN w:val="0"/>
        <w:adjustRightInd w:val="0"/>
        <w:jc w:val="both"/>
      </w:pPr>
      <w:r w:rsidRPr="009118AB">
        <w:tab/>
        <w:t>[</w:t>
      </w:r>
      <w:r w:rsidR="00C44032" w:rsidRPr="009118AB">
        <w:t>Die gewährte, in Artikel 117 des Gesetzbuches der den Einkommensteuern gleich</w:t>
      </w:r>
      <w:r w:rsidR="00C44032" w:rsidRPr="009118AB">
        <w:softHyphen/>
        <w:t>gesetzten Steuern erwähnte Prämie wird auf dem Berechnungsblatt vermerkt, das dem Steuer</w:t>
      </w:r>
      <w:r w:rsidR="00C44032" w:rsidRPr="009118AB">
        <w:softHyphen/>
        <w:t>bescheid des Arbeitnehmers in Bezug auf die Steuer der natürlichen Personen beigefügt ist.</w:t>
      </w:r>
      <w:r w:rsidRPr="009118AB">
        <w:t>]</w:t>
      </w:r>
    </w:p>
    <w:p w14:paraId="7285C7FC" w14:textId="77777777" w:rsidR="00477B8F" w:rsidRPr="009118AB" w:rsidRDefault="00477B8F" w:rsidP="00477B8F">
      <w:pPr>
        <w:autoSpaceDE w:val="0"/>
        <w:autoSpaceDN w:val="0"/>
        <w:adjustRightInd w:val="0"/>
        <w:jc w:val="both"/>
      </w:pPr>
    </w:p>
    <w:p w14:paraId="11561618" w14:textId="59FFBD1C" w:rsidR="00477B8F" w:rsidRPr="009118AB" w:rsidRDefault="00477B8F" w:rsidP="00477B8F">
      <w:pPr>
        <w:autoSpaceDE w:val="0"/>
        <w:autoSpaceDN w:val="0"/>
        <w:adjustRightInd w:val="0"/>
        <w:jc w:val="both"/>
        <w:rPr>
          <w:iCs/>
        </w:rPr>
      </w:pPr>
      <w:r w:rsidRPr="009118AB">
        <w:rPr>
          <w:i/>
          <w:iCs/>
        </w:rPr>
        <w:t>[</w:t>
      </w:r>
      <w:r w:rsidR="00D67EB8" w:rsidRPr="009118AB">
        <w:rPr>
          <w:i/>
          <w:iCs/>
        </w:rPr>
        <w:t>Art. </w:t>
      </w:r>
      <w:r w:rsidRPr="009118AB">
        <w:rPr>
          <w:i/>
          <w:iCs/>
        </w:rPr>
        <w:t xml:space="preserve">304bis eingefügt durch </w:t>
      </w:r>
      <w:r w:rsidR="00D67EB8" w:rsidRPr="009118AB">
        <w:rPr>
          <w:i/>
          <w:iCs/>
        </w:rPr>
        <w:t>Art. </w:t>
      </w:r>
      <w:r w:rsidRPr="009118AB">
        <w:rPr>
          <w:i/>
          <w:iCs/>
        </w:rPr>
        <w:t>30 des G. vom 22. Mai 2001 (B.S. vom 9. Juni 2001)</w:t>
      </w:r>
      <w:r w:rsidR="00D67EB8" w:rsidRPr="009118AB">
        <w:rPr>
          <w:i/>
          <w:iCs/>
        </w:rPr>
        <w:t> - </w:t>
      </w:r>
      <w:r w:rsidRPr="009118AB">
        <w:rPr>
          <w:i/>
          <w:iCs/>
        </w:rPr>
        <w:t>in Kraft ab dem Steuerjahr 2002</w:t>
      </w:r>
      <w:r w:rsidR="003366D9" w:rsidRPr="009118AB">
        <w:rPr>
          <w:i/>
          <w:iCs/>
        </w:rPr>
        <w:t> -;</w:t>
      </w:r>
      <w:r w:rsidR="00C44032" w:rsidRPr="009118AB">
        <w:rPr>
          <w:i/>
          <w:iCs/>
        </w:rPr>
        <w:t xml:space="preserve"> </w:t>
      </w:r>
      <w:r w:rsidR="00D67EB8" w:rsidRPr="009118AB">
        <w:rPr>
          <w:i/>
          <w:iCs/>
        </w:rPr>
        <w:t>Abs. </w:t>
      </w:r>
      <w:r w:rsidR="00C44032" w:rsidRPr="009118AB">
        <w:rPr>
          <w:i/>
          <w:iCs/>
        </w:rPr>
        <w:t xml:space="preserve">2 eingefügt durch </w:t>
      </w:r>
      <w:r w:rsidR="00D67EB8" w:rsidRPr="009118AB">
        <w:rPr>
          <w:i/>
          <w:iCs/>
        </w:rPr>
        <w:t>Art. </w:t>
      </w:r>
      <w:r w:rsidR="006101FA" w:rsidRPr="009118AB">
        <w:rPr>
          <w:i/>
          <w:iCs/>
        </w:rPr>
        <w:t>77 des G. vom 25. Dezember 2017 (IV) (B.S. vom 29. Dezember 2017)</w:t>
      </w:r>
      <w:r w:rsidR="00D67EB8" w:rsidRPr="009118AB">
        <w:rPr>
          <w:i/>
          <w:iCs/>
        </w:rPr>
        <w:t> - </w:t>
      </w:r>
      <w:r w:rsidR="006101FA" w:rsidRPr="009118AB">
        <w:rPr>
          <w:i/>
          <w:iCs/>
        </w:rPr>
        <w:t>in Kraft am 1. Januar 2018</w:t>
      </w:r>
      <w:r w:rsidR="00FD68E8" w:rsidRPr="009118AB">
        <w:rPr>
          <w:i/>
          <w:iCs/>
        </w:rPr>
        <w:t> -]</w:t>
      </w:r>
    </w:p>
    <w:p w14:paraId="0262DB93" w14:textId="258E3D11" w:rsidR="003F0D4F" w:rsidRPr="009118AB" w:rsidRDefault="003F0D4F" w:rsidP="00477B8F">
      <w:pPr>
        <w:autoSpaceDE w:val="0"/>
        <w:autoSpaceDN w:val="0"/>
        <w:adjustRightInd w:val="0"/>
        <w:jc w:val="both"/>
        <w:rPr>
          <w:iCs/>
        </w:rPr>
      </w:pPr>
    </w:p>
    <w:p w14:paraId="5CC98487" w14:textId="125CB452" w:rsidR="003F0D4F" w:rsidRPr="009118AB" w:rsidRDefault="003F0D4F">
      <w:pPr>
        <w:rPr>
          <w:iCs/>
        </w:rPr>
      </w:pPr>
    </w:p>
    <w:p w14:paraId="5958043C" w14:textId="77777777" w:rsidR="00916AEA" w:rsidRDefault="00916AEA">
      <w:pPr>
        <w:rPr>
          <w:sz w:val="20"/>
          <w:szCs w:val="20"/>
        </w:rPr>
      </w:pPr>
      <w:r>
        <w:rPr>
          <w:sz w:val="20"/>
          <w:szCs w:val="20"/>
        </w:rPr>
        <w:br w:type="page"/>
      </w:r>
    </w:p>
    <w:p w14:paraId="51880CF7" w14:textId="38741BB7" w:rsidR="00A13EDD" w:rsidRDefault="00A13EDD" w:rsidP="00A13EDD">
      <w:pPr>
        <w:jc w:val="both"/>
        <w:rPr>
          <w:iCs/>
          <w:sz w:val="20"/>
          <w:szCs w:val="20"/>
        </w:rPr>
      </w:pPr>
      <w:r w:rsidRPr="00A13EDD">
        <w:rPr>
          <w:sz w:val="20"/>
          <w:szCs w:val="20"/>
        </w:rPr>
        <w:lastRenderedPageBreak/>
        <w:t xml:space="preserve">Ab einem gemäß Art. 222 des G. vom 12. Mai 2024 (B.S. vom 30. Mai 2024) vom König festzulegenden Datum und spätestens am 1. Januar 2028 </w:t>
      </w:r>
      <w:r>
        <w:rPr>
          <w:sz w:val="20"/>
          <w:szCs w:val="20"/>
        </w:rPr>
        <w:t>wird eine Unterteilung Kapitel 1/1 mit folgendem Wortlaut eingefügt</w:t>
      </w:r>
      <w:r w:rsidRPr="00A13EDD">
        <w:rPr>
          <w:iCs/>
          <w:sz w:val="20"/>
          <w:szCs w:val="20"/>
        </w:rPr>
        <w:t>:</w:t>
      </w:r>
    </w:p>
    <w:p w14:paraId="481155F9" w14:textId="77777777" w:rsidR="00A13EDD" w:rsidRDefault="00A13EDD" w:rsidP="00A13EDD">
      <w:pPr>
        <w:jc w:val="both"/>
        <w:rPr>
          <w:iCs/>
          <w:sz w:val="20"/>
          <w:szCs w:val="20"/>
        </w:rPr>
      </w:pPr>
    </w:p>
    <w:p w14:paraId="3C5743DB" w14:textId="1BB35686" w:rsidR="00A13EDD" w:rsidRPr="00A13EDD" w:rsidRDefault="00A13EDD" w:rsidP="00A13EDD">
      <w:pPr>
        <w:jc w:val="both"/>
        <w:rPr>
          <w:iCs/>
          <w:sz w:val="20"/>
          <w:szCs w:val="20"/>
        </w:rPr>
      </w:pPr>
      <w:r>
        <w:rPr>
          <w:iCs/>
          <w:sz w:val="20"/>
          <w:szCs w:val="20"/>
        </w:rPr>
        <w:t>"[</w:t>
      </w:r>
      <w:r w:rsidRPr="00A13EDD">
        <w:rPr>
          <w:sz w:val="20"/>
          <w:szCs w:val="20"/>
        </w:rPr>
        <w:t>KAPITEL 1/1 - Digitalisierung der Beziehungen zwischen dem Föderalen Öffentlichen Dienst Finanzen, den Steuerpflichtigen und bestimmten Dritten</w:t>
      </w:r>
      <w:r>
        <w:rPr>
          <w:sz w:val="20"/>
          <w:szCs w:val="20"/>
        </w:rPr>
        <w:t>]</w:t>
      </w:r>
    </w:p>
    <w:p w14:paraId="671DCFD7" w14:textId="77777777" w:rsidR="00A13EDD" w:rsidRDefault="00A13EDD" w:rsidP="00A13EDD">
      <w:pPr>
        <w:jc w:val="both"/>
        <w:rPr>
          <w:b/>
          <w:bCs/>
          <w:sz w:val="20"/>
          <w:szCs w:val="20"/>
        </w:rPr>
      </w:pPr>
    </w:p>
    <w:p w14:paraId="243FDAF9" w14:textId="55B02456" w:rsidR="00A13EDD" w:rsidRPr="001751A9" w:rsidRDefault="00A13EDD" w:rsidP="00A13EDD">
      <w:pPr>
        <w:jc w:val="both"/>
        <w:rPr>
          <w:i/>
          <w:iCs/>
          <w:spacing w:val="-2"/>
          <w:sz w:val="20"/>
          <w:szCs w:val="20"/>
        </w:rPr>
      </w:pPr>
      <w:r w:rsidRPr="001751A9">
        <w:rPr>
          <w:i/>
          <w:iCs/>
          <w:spacing w:val="-2"/>
          <w:sz w:val="20"/>
          <w:szCs w:val="20"/>
        </w:rPr>
        <w:t xml:space="preserve">[Unterteilung Kapitel 1/1 </w:t>
      </w:r>
      <w:r w:rsidR="005B358C" w:rsidRPr="001751A9">
        <w:rPr>
          <w:i/>
          <w:iCs/>
          <w:spacing w:val="-2"/>
          <w:sz w:val="20"/>
          <w:szCs w:val="20"/>
        </w:rPr>
        <w:t>eingefügt durch Art. 5 des G. vom 26. Januar 2021 (B.S. vom 10. Februar 2021) - in Kraft am 1. Januar 2025 -, selbst aufgehoben durch Art. 213 des G. vom 12. Mai 2024 (B.S. vom 30. Mai 2024), und erneut e</w:t>
      </w:r>
      <w:r w:rsidRPr="001751A9">
        <w:rPr>
          <w:i/>
          <w:iCs/>
          <w:spacing w:val="-2"/>
          <w:sz w:val="20"/>
          <w:szCs w:val="20"/>
        </w:rPr>
        <w:t>ingefügt</w:t>
      </w:r>
      <w:r w:rsidR="005B358C" w:rsidRPr="001751A9">
        <w:rPr>
          <w:i/>
          <w:iCs/>
          <w:spacing w:val="-2"/>
          <w:sz w:val="20"/>
          <w:szCs w:val="20"/>
        </w:rPr>
        <w:t xml:space="preserve"> </w:t>
      </w:r>
      <w:r w:rsidRPr="001751A9">
        <w:rPr>
          <w:i/>
          <w:iCs/>
          <w:spacing w:val="-2"/>
          <w:sz w:val="20"/>
          <w:szCs w:val="20"/>
        </w:rPr>
        <w:t>durch Art. 9 des G. vom 12. Mai 2024 (B.S. vom 30. Mai 2024) - </w:t>
      </w:r>
      <w:r w:rsidR="00A54224">
        <w:rPr>
          <w:i/>
          <w:iCs/>
          <w:spacing w:val="-2"/>
          <w:sz w:val="20"/>
          <w:szCs w:val="20"/>
        </w:rPr>
        <w:t xml:space="preserve">in Kraft für alle oder bestimmte Kategorien von Inhabern einer Unternehmensnummer sowie für natürliche Personen an dem jeweils vom König festzulegenden Datum und spätestens am </w:t>
      </w:r>
      <w:r w:rsidR="00CC23FF">
        <w:rPr>
          <w:i/>
          <w:iCs/>
          <w:spacing w:val="-2"/>
          <w:sz w:val="20"/>
          <w:szCs w:val="20"/>
        </w:rPr>
        <w:t>1. Januar 2028 </w:t>
      </w:r>
      <w:r w:rsidRPr="001751A9">
        <w:rPr>
          <w:i/>
          <w:iCs/>
          <w:spacing w:val="-2"/>
          <w:sz w:val="20"/>
          <w:szCs w:val="20"/>
        </w:rPr>
        <w:t>-]</w:t>
      </w:r>
      <w:r w:rsidRPr="001751A9">
        <w:rPr>
          <w:spacing w:val="-2"/>
          <w:sz w:val="20"/>
          <w:szCs w:val="20"/>
        </w:rPr>
        <w:t>"</w:t>
      </w:r>
    </w:p>
    <w:p w14:paraId="76912421" w14:textId="77777777" w:rsidR="00A13EDD" w:rsidRDefault="00A13EDD" w:rsidP="00A13EDD">
      <w:pPr>
        <w:jc w:val="both"/>
        <w:rPr>
          <w:sz w:val="20"/>
          <w:szCs w:val="20"/>
        </w:rPr>
      </w:pPr>
    </w:p>
    <w:p w14:paraId="3DB067E1" w14:textId="77777777" w:rsidR="00A13EDD" w:rsidRDefault="00A13EDD" w:rsidP="00A13EDD">
      <w:pPr>
        <w:jc w:val="both"/>
        <w:rPr>
          <w:sz w:val="20"/>
          <w:szCs w:val="20"/>
        </w:rPr>
      </w:pPr>
    </w:p>
    <w:p w14:paraId="6288A48F" w14:textId="4AC1E9B9" w:rsidR="00A13EDD" w:rsidRDefault="00A13EDD" w:rsidP="00A13EDD">
      <w:pPr>
        <w:jc w:val="both"/>
        <w:rPr>
          <w:iCs/>
          <w:sz w:val="20"/>
          <w:szCs w:val="20"/>
        </w:rPr>
      </w:pPr>
      <w:r w:rsidRPr="00A13EDD">
        <w:rPr>
          <w:sz w:val="20"/>
          <w:szCs w:val="20"/>
        </w:rPr>
        <w:t xml:space="preserve">Ab einem gemäß Art. 222 des G. vom 12. Mai 2024 (B.S. vom 30. Mai 2024) vom König festzulegenden Datum und spätestens am 1. Januar 2028 </w:t>
      </w:r>
      <w:r>
        <w:rPr>
          <w:sz w:val="20"/>
          <w:szCs w:val="20"/>
        </w:rPr>
        <w:t>wird ein Artikel 304</w:t>
      </w:r>
      <w:r w:rsidRPr="00A13EDD">
        <w:rPr>
          <w:i/>
          <w:iCs/>
          <w:sz w:val="20"/>
          <w:szCs w:val="20"/>
        </w:rPr>
        <w:t>ter</w:t>
      </w:r>
      <w:r>
        <w:rPr>
          <w:sz w:val="20"/>
          <w:szCs w:val="20"/>
        </w:rPr>
        <w:t xml:space="preserve"> mit folgendem Wortlaut eingefügt</w:t>
      </w:r>
      <w:r w:rsidRPr="00A13EDD">
        <w:rPr>
          <w:iCs/>
          <w:sz w:val="20"/>
          <w:szCs w:val="20"/>
        </w:rPr>
        <w:t>:</w:t>
      </w:r>
    </w:p>
    <w:p w14:paraId="315310FD" w14:textId="77777777" w:rsidR="00A13EDD" w:rsidRDefault="00A13EDD" w:rsidP="00A13EDD">
      <w:pPr>
        <w:jc w:val="both"/>
        <w:rPr>
          <w:iCs/>
          <w:sz w:val="20"/>
          <w:szCs w:val="20"/>
        </w:rPr>
      </w:pPr>
    </w:p>
    <w:p w14:paraId="5DC5F644" w14:textId="600793CD" w:rsidR="00A13EDD" w:rsidRPr="00A13EDD" w:rsidRDefault="00A13EDD" w:rsidP="00A13EDD">
      <w:pPr>
        <w:jc w:val="both"/>
        <w:rPr>
          <w:iCs/>
          <w:sz w:val="20"/>
          <w:szCs w:val="20"/>
        </w:rPr>
      </w:pPr>
      <w:r>
        <w:rPr>
          <w:iCs/>
          <w:sz w:val="20"/>
          <w:szCs w:val="20"/>
        </w:rPr>
        <w:t>"[</w:t>
      </w:r>
      <w:r w:rsidRPr="00A13EDD">
        <w:rPr>
          <w:iCs/>
          <w:sz w:val="20"/>
          <w:szCs w:val="20"/>
        </w:rPr>
        <w:t>Art. 304</w:t>
      </w:r>
      <w:r w:rsidRPr="00A13EDD">
        <w:rPr>
          <w:i/>
          <w:iCs/>
          <w:sz w:val="20"/>
          <w:szCs w:val="20"/>
        </w:rPr>
        <w:t>ter</w:t>
      </w:r>
      <w:r w:rsidRPr="00A13EDD">
        <w:rPr>
          <w:iCs/>
          <w:sz w:val="20"/>
          <w:szCs w:val="20"/>
        </w:rPr>
        <w:t> - § 1 - Sofern in Gesetzes- oder Verordnungsbestimmungen nichts anderes vorgesehen ist, werden an den Föderalen Öffentlichen Dienst Finanzen gerichtete Nachrichten, die von einer natürlichen Person ausgehen, die nicht Inhaber einer Unternehmensnummer ist, über eine gesicherte elektronische Plattform übermittelt, sofern sie sich ausdrücklich dafür entschieden hat, auf elektronischem Wege mit dem Föderalen Öffentlichen Dienst Finanzen zu kommunizieren.</w:t>
      </w:r>
    </w:p>
    <w:p w14:paraId="0E856639" w14:textId="77777777" w:rsidR="00A13EDD" w:rsidRPr="00A13EDD" w:rsidRDefault="00A13EDD" w:rsidP="00A13EDD">
      <w:pPr>
        <w:jc w:val="both"/>
        <w:rPr>
          <w:iCs/>
          <w:sz w:val="20"/>
          <w:szCs w:val="20"/>
        </w:rPr>
      </w:pPr>
    </w:p>
    <w:p w14:paraId="2EAF522E" w14:textId="1DBE0AB3" w:rsidR="00A13EDD" w:rsidRPr="00A13EDD" w:rsidRDefault="00A13EDD" w:rsidP="00A13EDD">
      <w:pPr>
        <w:jc w:val="both"/>
        <w:rPr>
          <w:iCs/>
          <w:sz w:val="20"/>
          <w:szCs w:val="20"/>
        </w:rPr>
      </w:pPr>
      <w:r w:rsidRPr="00A13EDD">
        <w:rPr>
          <w:iCs/>
          <w:sz w:val="20"/>
          <w:szCs w:val="20"/>
        </w:rPr>
        <w:t>Liegt keine ausdrückliche Erklärung gemäß Absatz 1 vor, werden die Nachrichten in verschlossenem Umschlag übermittelt.</w:t>
      </w:r>
    </w:p>
    <w:p w14:paraId="16F06E67" w14:textId="77777777" w:rsidR="00A13EDD" w:rsidRPr="00A13EDD" w:rsidRDefault="00A13EDD" w:rsidP="00A13EDD">
      <w:pPr>
        <w:jc w:val="both"/>
        <w:rPr>
          <w:iCs/>
          <w:sz w:val="20"/>
          <w:szCs w:val="20"/>
        </w:rPr>
      </w:pPr>
    </w:p>
    <w:p w14:paraId="20C82808" w14:textId="1EAD3132" w:rsidR="00A13EDD" w:rsidRPr="00A13EDD" w:rsidRDefault="00A13EDD" w:rsidP="00A13EDD">
      <w:pPr>
        <w:jc w:val="both"/>
        <w:rPr>
          <w:iCs/>
          <w:sz w:val="20"/>
          <w:szCs w:val="20"/>
        </w:rPr>
      </w:pPr>
      <w:r w:rsidRPr="00A13EDD">
        <w:rPr>
          <w:iCs/>
          <w:sz w:val="20"/>
          <w:szCs w:val="20"/>
        </w:rPr>
        <w:t>Betreffen an den Föderalen Öffentlichen Dienst Finanzen gerichtete Nachrichten, die von einem Steuerpflichtigen ausgehen, der eine natürliche Person ist, eine gemeinsame Veranlagung wie in Artikel 126 § 1 erwähnt und hat nur einer der beiden Ehepartner oder gesetzlich Zusammenwohnenden sich ausdrücklich dafür entschieden, auf elektronischem Wege mit dem Föderalen Öffentlichen Dienst Finanzen zu kommunizieren, werden diese Nachrichten dem Föderalen Öffentlichen Dienst Finanzen immer in verschlossenem Umschlag übermittelt.</w:t>
      </w:r>
    </w:p>
    <w:p w14:paraId="39B480BD" w14:textId="77777777" w:rsidR="00A13EDD" w:rsidRPr="00A13EDD" w:rsidRDefault="00A13EDD" w:rsidP="00A13EDD">
      <w:pPr>
        <w:jc w:val="both"/>
        <w:rPr>
          <w:iCs/>
          <w:sz w:val="20"/>
          <w:szCs w:val="20"/>
        </w:rPr>
      </w:pPr>
    </w:p>
    <w:p w14:paraId="5CBBB796" w14:textId="75451F88" w:rsidR="00A13EDD" w:rsidRPr="00A13EDD" w:rsidRDefault="00A13EDD" w:rsidP="00A13EDD">
      <w:pPr>
        <w:jc w:val="both"/>
        <w:rPr>
          <w:iCs/>
          <w:sz w:val="20"/>
          <w:szCs w:val="20"/>
        </w:rPr>
      </w:pPr>
      <w:r w:rsidRPr="00A13EDD">
        <w:rPr>
          <w:iCs/>
          <w:sz w:val="20"/>
          <w:szCs w:val="20"/>
        </w:rPr>
        <w:t>Der König bestimmt die Modalitäten für die Anwendung des Verfahrens für den Austausch von Nachrichten auf elektronischem Wege.</w:t>
      </w:r>
    </w:p>
    <w:p w14:paraId="287EE909" w14:textId="77777777" w:rsidR="00A13EDD" w:rsidRPr="00A13EDD" w:rsidRDefault="00A13EDD" w:rsidP="00A13EDD">
      <w:pPr>
        <w:jc w:val="both"/>
        <w:rPr>
          <w:iCs/>
          <w:sz w:val="20"/>
          <w:szCs w:val="20"/>
        </w:rPr>
      </w:pPr>
    </w:p>
    <w:p w14:paraId="27BEB532" w14:textId="77D79279" w:rsidR="00A13EDD" w:rsidRPr="00A13EDD" w:rsidRDefault="00A13EDD" w:rsidP="00A13EDD">
      <w:pPr>
        <w:jc w:val="both"/>
        <w:rPr>
          <w:iCs/>
          <w:sz w:val="20"/>
          <w:szCs w:val="20"/>
        </w:rPr>
      </w:pPr>
      <w:r w:rsidRPr="00A13EDD">
        <w:rPr>
          <w:iCs/>
          <w:sz w:val="20"/>
          <w:szCs w:val="20"/>
        </w:rPr>
        <w:t>§ 2 ­ Sofern in Gesetzes- oder Verordnungsbestimmungen nichts anderes vorgesehen ist, werden Nachrichten des Föderalen Öffentlichen Dienstes Finanzen, die an eine natürliche Person gerichtet sind, die nicht Inhaber einer Unternehmensnummer ist, über eine gesicherte elektronische Plattform übermittelt, sofern sie sich ausdrücklich dafür entschieden hat, auf elektronischem Wege mit dem Föderalen Öffentlichen Dienst Finanzen zu kommunizieren.</w:t>
      </w:r>
    </w:p>
    <w:p w14:paraId="5A39F81C" w14:textId="77777777" w:rsidR="00A13EDD" w:rsidRPr="00A13EDD" w:rsidRDefault="00A13EDD" w:rsidP="00A13EDD">
      <w:pPr>
        <w:jc w:val="both"/>
        <w:rPr>
          <w:iCs/>
          <w:sz w:val="20"/>
          <w:szCs w:val="20"/>
        </w:rPr>
      </w:pPr>
    </w:p>
    <w:p w14:paraId="7CF025CE" w14:textId="241B25B8" w:rsidR="00A13EDD" w:rsidRPr="00A13EDD" w:rsidRDefault="00A13EDD" w:rsidP="00A13EDD">
      <w:pPr>
        <w:jc w:val="both"/>
        <w:rPr>
          <w:iCs/>
          <w:sz w:val="20"/>
          <w:szCs w:val="20"/>
        </w:rPr>
      </w:pPr>
      <w:r w:rsidRPr="00A13EDD">
        <w:rPr>
          <w:iCs/>
          <w:sz w:val="20"/>
          <w:szCs w:val="20"/>
        </w:rPr>
        <w:t>Liegt keine ausdrückliche Erklärung gemäß Absatz 1 vor, werden die Nachrichten in verschlossenem Umschlag übermittelt.</w:t>
      </w:r>
    </w:p>
    <w:p w14:paraId="23E755A9" w14:textId="77777777" w:rsidR="00A13EDD" w:rsidRPr="00A13EDD" w:rsidRDefault="00A13EDD" w:rsidP="00A13EDD">
      <w:pPr>
        <w:jc w:val="both"/>
        <w:rPr>
          <w:iCs/>
          <w:sz w:val="20"/>
          <w:szCs w:val="20"/>
        </w:rPr>
      </w:pPr>
    </w:p>
    <w:p w14:paraId="7CCDF7C0" w14:textId="4082BDC3" w:rsidR="00A13EDD" w:rsidRPr="00A13EDD" w:rsidRDefault="00A13EDD" w:rsidP="00A13EDD">
      <w:pPr>
        <w:jc w:val="both"/>
        <w:rPr>
          <w:iCs/>
          <w:sz w:val="20"/>
          <w:szCs w:val="20"/>
        </w:rPr>
      </w:pPr>
      <w:r w:rsidRPr="00A13EDD">
        <w:rPr>
          <w:iCs/>
          <w:sz w:val="20"/>
          <w:szCs w:val="20"/>
        </w:rPr>
        <w:t>Betreffen Nachrichten des Föderalen Öffentlichen Dienstes Finanzen, die an einen Steuerpflichtigen gerichtet sind, der eine natürliche Person ist, eine gemeinsame Veranlagung wie in Artikel 126 § 1 erwähnt und hat nur einer der beiden Ehepartner oder gesetzlich Zusammenwohnenden sich ausdrücklich dafür entschieden, auf elektronischem Wege mit dem Föderalen Öffentlichen Dienst Finanzen zu kommunizieren, werden diese Nachrichten beiden Ehepartnern oder gesetzlich Zusammenwohnenden immer in verschlossenem Umschlag übermittelt.</w:t>
      </w:r>
    </w:p>
    <w:p w14:paraId="04A68C45" w14:textId="77777777" w:rsidR="00A13EDD" w:rsidRPr="00A13EDD" w:rsidRDefault="00A13EDD" w:rsidP="00A13EDD">
      <w:pPr>
        <w:jc w:val="both"/>
        <w:rPr>
          <w:iCs/>
          <w:sz w:val="20"/>
          <w:szCs w:val="20"/>
        </w:rPr>
      </w:pPr>
    </w:p>
    <w:p w14:paraId="045FEEF0" w14:textId="2B17D51F" w:rsidR="00A13EDD" w:rsidRDefault="00A13EDD" w:rsidP="00A13EDD">
      <w:pPr>
        <w:jc w:val="both"/>
        <w:rPr>
          <w:iCs/>
          <w:sz w:val="20"/>
          <w:szCs w:val="20"/>
        </w:rPr>
      </w:pPr>
      <w:r w:rsidRPr="00A13EDD">
        <w:rPr>
          <w:iCs/>
          <w:sz w:val="20"/>
          <w:szCs w:val="20"/>
        </w:rPr>
        <w:t>§ 3 ­ Die Entscheidung einer natürlichen Person, die nicht Inhaber einer Unternehmensnummer ist, auf elektronischem Wege mit dem Föderalen Öffentlichen Dienst Finanzen zu kommunizieren, erfolgt durch ausdrückliche und vorherige Annahme des Verfahrens in Bezug auf die elektronische Kommunikation mit dem Föderalen Öffentlichen Dienst Finanzen über eine gesicherte elektronische Plattform. Diese vorherige und ausdrückliche Zustimmung muss freiwillig, in informierter Weise und unmissverständlich gegeben werden. Die natürliche Person, die nicht Inhaber einer Unternehmensnummer ist, kann ihre Zustimmung jederzeit widerrufen. Die Nachrichten werden dann künftig in verschlossenem Umschlag versendet und dieser Widerruf der Zustimmung wird sofort wirksam.</w:t>
      </w:r>
      <w:r>
        <w:rPr>
          <w:iCs/>
          <w:sz w:val="20"/>
          <w:szCs w:val="20"/>
        </w:rPr>
        <w:t>]</w:t>
      </w:r>
    </w:p>
    <w:p w14:paraId="6173E02B" w14:textId="77777777" w:rsidR="00A13EDD" w:rsidRDefault="00A13EDD" w:rsidP="00A13EDD">
      <w:pPr>
        <w:jc w:val="both"/>
        <w:rPr>
          <w:iCs/>
          <w:sz w:val="20"/>
          <w:szCs w:val="20"/>
        </w:rPr>
      </w:pPr>
    </w:p>
    <w:p w14:paraId="0188FDEB" w14:textId="74353A57" w:rsidR="00A13EDD" w:rsidRPr="00A13EDD" w:rsidRDefault="00A13EDD" w:rsidP="00A13EDD">
      <w:pPr>
        <w:jc w:val="both"/>
        <w:rPr>
          <w:sz w:val="20"/>
          <w:szCs w:val="20"/>
        </w:rPr>
      </w:pPr>
      <w:r>
        <w:rPr>
          <w:i/>
          <w:sz w:val="20"/>
          <w:szCs w:val="20"/>
        </w:rPr>
        <w:t xml:space="preserve">[Art. 304ter </w:t>
      </w:r>
      <w:r w:rsidR="005B358C" w:rsidRPr="005B358C">
        <w:rPr>
          <w:i/>
          <w:iCs/>
          <w:sz w:val="20"/>
          <w:szCs w:val="20"/>
        </w:rPr>
        <w:t>eingefügt durch Art. </w:t>
      </w:r>
      <w:r w:rsidR="005B358C">
        <w:rPr>
          <w:i/>
          <w:iCs/>
          <w:sz w:val="20"/>
          <w:szCs w:val="20"/>
        </w:rPr>
        <w:t>6</w:t>
      </w:r>
      <w:r w:rsidR="005B358C" w:rsidRPr="005B358C">
        <w:rPr>
          <w:i/>
          <w:iCs/>
          <w:sz w:val="20"/>
          <w:szCs w:val="20"/>
        </w:rPr>
        <w:t xml:space="preserve"> des G. vom 26. Januar 2021 (B.S. vom 10. Februar 2021) - in Kraft am 1. Januar 2025 -, selbst aufgehoben durch Art. 213 des G. vom 12. Mai 2024 (B.S. vom 30. Mai 2024), und erneut </w:t>
      </w:r>
      <w:r>
        <w:rPr>
          <w:i/>
          <w:sz w:val="20"/>
          <w:szCs w:val="20"/>
        </w:rPr>
        <w:lastRenderedPageBreak/>
        <w:t>eingefügt durch Art. 10</w:t>
      </w:r>
      <w:r w:rsidRPr="00A13EDD">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A13EDD">
        <w:rPr>
          <w:i/>
          <w:iCs/>
          <w:sz w:val="20"/>
          <w:szCs w:val="20"/>
        </w:rPr>
        <w:t>-</w:t>
      </w:r>
      <w:r>
        <w:rPr>
          <w:i/>
          <w:iCs/>
          <w:sz w:val="20"/>
          <w:szCs w:val="20"/>
        </w:rPr>
        <w:t>]</w:t>
      </w:r>
      <w:r>
        <w:rPr>
          <w:sz w:val="20"/>
          <w:szCs w:val="20"/>
        </w:rPr>
        <w:t>"</w:t>
      </w:r>
    </w:p>
    <w:p w14:paraId="6F5E25AE" w14:textId="77777777" w:rsidR="00A13EDD" w:rsidRDefault="00A13EDD" w:rsidP="00A13EDD">
      <w:pPr>
        <w:jc w:val="both"/>
        <w:rPr>
          <w:iCs/>
          <w:sz w:val="20"/>
          <w:szCs w:val="20"/>
        </w:rPr>
      </w:pPr>
    </w:p>
    <w:p w14:paraId="1FF0923C" w14:textId="77777777" w:rsidR="00A13EDD" w:rsidRDefault="00A13EDD" w:rsidP="00A13EDD">
      <w:pPr>
        <w:jc w:val="both"/>
        <w:rPr>
          <w:iCs/>
          <w:sz w:val="20"/>
          <w:szCs w:val="20"/>
        </w:rPr>
      </w:pPr>
    </w:p>
    <w:p w14:paraId="533370F2" w14:textId="72F36851" w:rsidR="00A13EDD" w:rsidRDefault="00A13EDD" w:rsidP="00A13EDD">
      <w:pPr>
        <w:jc w:val="both"/>
        <w:rPr>
          <w:iCs/>
          <w:sz w:val="20"/>
          <w:szCs w:val="20"/>
        </w:rPr>
      </w:pPr>
      <w:r w:rsidRPr="00A13EDD">
        <w:rPr>
          <w:sz w:val="20"/>
          <w:szCs w:val="20"/>
        </w:rPr>
        <w:t xml:space="preserve">Ab einem gemäß Art. 222 des G. vom 12. Mai 2024 (B.S. vom 30. Mai 2024) vom König festzulegenden Datum und spätestens am 1. Januar 2028 </w:t>
      </w:r>
      <w:r>
        <w:rPr>
          <w:sz w:val="20"/>
          <w:szCs w:val="20"/>
        </w:rPr>
        <w:t>wird ein Artikel 304</w:t>
      </w:r>
      <w:r>
        <w:rPr>
          <w:i/>
          <w:iCs/>
          <w:sz w:val="20"/>
          <w:szCs w:val="20"/>
        </w:rPr>
        <w:t>quat</w:t>
      </w:r>
      <w:r w:rsidRPr="00A13EDD">
        <w:rPr>
          <w:i/>
          <w:iCs/>
          <w:sz w:val="20"/>
          <w:szCs w:val="20"/>
        </w:rPr>
        <w:t>er</w:t>
      </w:r>
      <w:r>
        <w:rPr>
          <w:sz w:val="20"/>
          <w:szCs w:val="20"/>
        </w:rPr>
        <w:t xml:space="preserve"> mit folgendem Wortlaut eingefügt</w:t>
      </w:r>
      <w:r w:rsidRPr="00A13EDD">
        <w:rPr>
          <w:iCs/>
          <w:sz w:val="20"/>
          <w:szCs w:val="20"/>
        </w:rPr>
        <w:t>:</w:t>
      </w:r>
    </w:p>
    <w:p w14:paraId="7780CCC7" w14:textId="77777777" w:rsidR="00A13EDD" w:rsidRDefault="00A13EDD" w:rsidP="00A13EDD">
      <w:pPr>
        <w:jc w:val="both"/>
        <w:rPr>
          <w:iCs/>
          <w:sz w:val="20"/>
          <w:szCs w:val="20"/>
        </w:rPr>
      </w:pPr>
    </w:p>
    <w:p w14:paraId="6FF02719" w14:textId="4FFB7C78" w:rsidR="00A13EDD" w:rsidRPr="00A13EDD" w:rsidRDefault="00A13EDD" w:rsidP="00A13EDD">
      <w:pPr>
        <w:jc w:val="both"/>
        <w:rPr>
          <w:iCs/>
          <w:sz w:val="20"/>
          <w:szCs w:val="20"/>
        </w:rPr>
      </w:pPr>
      <w:r>
        <w:rPr>
          <w:iCs/>
          <w:sz w:val="20"/>
          <w:szCs w:val="20"/>
        </w:rPr>
        <w:t>"[</w:t>
      </w:r>
      <w:r w:rsidRPr="00A13EDD">
        <w:rPr>
          <w:iCs/>
          <w:sz w:val="20"/>
          <w:szCs w:val="20"/>
        </w:rPr>
        <w:t>Art. 304</w:t>
      </w:r>
      <w:r w:rsidRPr="00A13EDD">
        <w:rPr>
          <w:i/>
          <w:iCs/>
          <w:sz w:val="20"/>
          <w:szCs w:val="20"/>
        </w:rPr>
        <w:t>quater</w:t>
      </w:r>
      <w:r w:rsidRPr="00A13EDD">
        <w:rPr>
          <w:iCs/>
          <w:sz w:val="20"/>
          <w:szCs w:val="20"/>
        </w:rPr>
        <w:t> - Sofern in Gesetzes- oder Verordnungsbestimmungen nichts anderes vorgesehen ist, werden an den Föderalen Öffentlichen Dienst Finanzen gerichtete Nachrichten, die von einer Person ausgehen, die Inhaber einer Unternehmensnummer ist, über eine gesicherte elektronische Plattform übermittelt.</w:t>
      </w:r>
    </w:p>
    <w:p w14:paraId="6B18DD52" w14:textId="77777777" w:rsidR="00A13EDD" w:rsidRPr="00A13EDD" w:rsidRDefault="00A13EDD" w:rsidP="00A13EDD">
      <w:pPr>
        <w:jc w:val="both"/>
        <w:rPr>
          <w:iCs/>
          <w:sz w:val="20"/>
          <w:szCs w:val="20"/>
        </w:rPr>
      </w:pPr>
    </w:p>
    <w:p w14:paraId="33EF7AB7" w14:textId="2D88B64B" w:rsidR="00A13EDD" w:rsidRDefault="00A13EDD" w:rsidP="00A13EDD">
      <w:pPr>
        <w:jc w:val="both"/>
        <w:rPr>
          <w:iCs/>
          <w:sz w:val="20"/>
          <w:szCs w:val="20"/>
        </w:rPr>
      </w:pPr>
      <w:r w:rsidRPr="00A13EDD">
        <w:rPr>
          <w:iCs/>
          <w:sz w:val="20"/>
          <w:szCs w:val="20"/>
        </w:rPr>
        <w:t>Sofern in Gesetzes- oder Verordnungsbestimmungen nichts anderes vorgesehen ist, werden Nachrichten des Föderalen Öffentlichen Dienstes Finanzen, die an eine Person gerichtet sind, die Inhaber einer Unternehmensnummer ist, über eine gesicherte elektronische Plattform übermittelt.</w:t>
      </w:r>
      <w:r>
        <w:rPr>
          <w:iCs/>
          <w:sz w:val="20"/>
          <w:szCs w:val="20"/>
        </w:rPr>
        <w:t>]</w:t>
      </w:r>
    </w:p>
    <w:p w14:paraId="7E8AC330" w14:textId="77777777" w:rsidR="00A13EDD" w:rsidRDefault="00A13EDD" w:rsidP="00A13EDD">
      <w:pPr>
        <w:jc w:val="both"/>
        <w:rPr>
          <w:iCs/>
          <w:sz w:val="20"/>
          <w:szCs w:val="20"/>
        </w:rPr>
      </w:pPr>
    </w:p>
    <w:p w14:paraId="484CA413" w14:textId="1EF2D8C7" w:rsidR="00A13EDD" w:rsidRPr="00A13EDD" w:rsidRDefault="00A13EDD" w:rsidP="00A13EDD">
      <w:pPr>
        <w:jc w:val="both"/>
        <w:rPr>
          <w:iCs/>
          <w:sz w:val="20"/>
          <w:szCs w:val="20"/>
        </w:rPr>
      </w:pPr>
      <w:r w:rsidRPr="00A13EDD">
        <w:rPr>
          <w:i/>
          <w:iCs/>
          <w:sz w:val="20"/>
          <w:szCs w:val="20"/>
        </w:rPr>
        <w:t>[Art. 304</w:t>
      </w:r>
      <w:r>
        <w:rPr>
          <w:i/>
          <w:iCs/>
          <w:sz w:val="20"/>
          <w:szCs w:val="20"/>
        </w:rPr>
        <w:t>qua</w:t>
      </w:r>
      <w:r w:rsidRPr="00A13EDD">
        <w:rPr>
          <w:i/>
          <w:iCs/>
          <w:sz w:val="20"/>
          <w:szCs w:val="20"/>
        </w:rPr>
        <w:t xml:space="preserve">ter </w:t>
      </w:r>
      <w:r w:rsidR="005B358C" w:rsidRPr="005B358C">
        <w:rPr>
          <w:i/>
          <w:iCs/>
          <w:sz w:val="20"/>
          <w:szCs w:val="20"/>
        </w:rPr>
        <w:t>eingefügt durch Art. </w:t>
      </w:r>
      <w:r w:rsidR="005B358C">
        <w:rPr>
          <w:i/>
          <w:iCs/>
          <w:sz w:val="20"/>
          <w:szCs w:val="20"/>
        </w:rPr>
        <w:t>7</w:t>
      </w:r>
      <w:r w:rsidR="005B358C" w:rsidRPr="005B358C">
        <w:rPr>
          <w:i/>
          <w:iCs/>
          <w:sz w:val="20"/>
          <w:szCs w:val="20"/>
        </w:rPr>
        <w:t xml:space="preserve"> des G. vom 26. Januar 2021 (B.S. vom 10. Februar 2021) - in Kraft am 1. Januar 2025 -, selbst aufgehoben durch Art. 213 des G. vom 12. Mai 2024 (B.S. vom 30. Mai 2024), und erneut </w:t>
      </w:r>
      <w:r w:rsidRPr="00A13EDD">
        <w:rPr>
          <w:i/>
          <w:iCs/>
          <w:sz w:val="20"/>
          <w:szCs w:val="20"/>
        </w:rPr>
        <w:t>eingefügt durch Art. 1</w:t>
      </w:r>
      <w:r>
        <w:rPr>
          <w:i/>
          <w:iCs/>
          <w:sz w:val="20"/>
          <w:szCs w:val="20"/>
        </w:rPr>
        <w:t>1</w:t>
      </w:r>
      <w:r w:rsidRPr="00A13EDD">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A13EDD">
        <w:rPr>
          <w:i/>
          <w:iCs/>
          <w:sz w:val="20"/>
          <w:szCs w:val="20"/>
        </w:rPr>
        <w:t>-]</w:t>
      </w:r>
      <w:r w:rsidRPr="00A13EDD">
        <w:rPr>
          <w:iCs/>
          <w:sz w:val="20"/>
          <w:szCs w:val="20"/>
        </w:rPr>
        <w:t>"</w:t>
      </w:r>
    </w:p>
    <w:p w14:paraId="3F3F3968" w14:textId="77777777" w:rsidR="00A13EDD" w:rsidRDefault="00A13EDD" w:rsidP="00A13EDD">
      <w:pPr>
        <w:jc w:val="both"/>
        <w:rPr>
          <w:iCs/>
          <w:sz w:val="20"/>
          <w:szCs w:val="20"/>
        </w:rPr>
      </w:pPr>
    </w:p>
    <w:p w14:paraId="6733FA6D" w14:textId="77777777" w:rsidR="00A13EDD" w:rsidRPr="00A13EDD" w:rsidRDefault="00A13EDD" w:rsidP="00A13EDD">
      <w:pPr>
        <w:jc w:val="both"/>
        <w:rPr>
          <w:iCs/>
          <w:sz w:val="20"/>
          <w:szCs w:val="20"/>
        </w:rPr>
      </w:pPr>
    </w:p>
    <w:p w14:paraId="23DCBA9B" w14:textId="6E70096B" w:rsidR="00A13EDD" w:rsidRPr="00A13EDD" w:rsidRDefault="00A13EDD" w:rsidP="00A13EDD">
      <w:pPr>
        <w:jc w:val="both"/>
        <w:rPr>
          <w:iCs/>
          <w:sz w:val="20"/>
          <w:szCs w:val="20"/>
        </w:rPr>
      </w:pPr>
      <w:r w:rsidRPr="00A13EDD">
        <w:rPr>
          <w:iCs/>
          <w:sz w:val="20"/>
          <w:szCs w:val="20"/>
        </w:rPr>
        <w:t>Ab einem gemäß Art. 222 des G. vom 12. Mai 2024 (B.S. vom 30. Mai 2024) vom König festzulegenden Datum und spätestens am 1. Januar 2028 wird ein Artikel 304</w:t>
      </w:r>
      <w:r>
        <w:rPr>
          <w:i/>
          <w:iCs/>
          <w:sz w:val="20"/>
          <w:szCs w:val="20"/>
        </w:rPr>
        <w:t>quinquies</w:t>
      </w:r>
      <w:r w:rsidRPr="00A13EDD">
        <w:rPr>
          <w:iCs/>
          <w:sz w:val="20"/>
          <w:szCs w:val="20"/>
        </w:rPr>
        <w:t xml:space="preserve"> mit folgendem Wortlaut eingefügt:</w:t>
      </w:r>
    </w:p>
    <w:p w14:paraId="65EFA03A" w14:textId="77777777" w:rsidR="00A13EDD" w:rsidRPr="00A13EDD" w:rsidRDefault="00A13EDD" w:rsidP="00A13EDD">
      <w:pPr>
        <w:jc w:val="both"/>
        <w:rPr>
          <w:iCs/>
          <w:sz w:val="20"/>
          <w:szCs w:val="20"/>
        </w:rPr>
      </w:pPr>
    </w:p>
    <w:p w14:paraId="2DF1BBD6" w14:textId="2E22244F" w:rsidR="00A13EDD" w:rsidRPr="00A13EDD" w:rsidRDefault="00A13EDD" w:rsidP="00A13EDD">
      <w:pPr>
        <w:jc w:val="both"/>
        <w:rPr>
          <w:iCs/>
          <w:sz w:val="20"/>
          <w:szCs w:val="20"/>
        </w:rPr>
      </w:pPr>
      <w:r w:rsidRPr="00A13EDD">
        <w:rPr>
          <w:iCs/>
          <w:sz w:val="20"/>
          <w:szCs w:val="20"/>
        </w:rPr>
        <w:t>"</w:t>
      </w:r>
      <w:r>
        <w:rPr>
          <w:iCs/>
          <w:sz w:val="20"/>
          <w:szCs w:val="20"/>
        </w:rPr>
        <w:t>[</w:t>
      </w:r>
      <w:r w:rsidRPr="00A13EDD">
        <w:rPr>
          <w:iCs/>
          <w:sz w:val="20"/>
          <w:szCs w:val="20"/>
        </w:rPr>
        <w:t>Art. 304</w:t>
      </w:r>
      <w:r w:rsidRPr="00A13EDD">
        <w:rPr>
          <w:i/>
          <w:iCs/>
          <w:sz w:val="20"/>
          <w:szCs w:val="20"/>
        </w:rPr>
        <w:t>quinquies</w:t>
      </w:r>
      <w:r w:rsidRPr="00A13EDD">
        <w:rPr>
          <w:iCs/>
          <w:sz w:val="20"/>
          <w:szCs w:val="20"/>
        </w:rPr>
        <w:t> - Sofern in Gesetzes- oder Verordnungsbestimmungen nichts anderes vorgesehen ist, werden Nachrichten, die aufgrund höherer Gewalt nicht über eine gesicherte elektronische Plattform übermittelt werden können, in verschlossenem Umschlag übermittelt.</w:t>
      </w:r>
    </w:p>
    <w:p w14:paraId="2DBFD3EA" w14:textId="77777777" w:rsidR="00A13EDD" w:rsidRPr="00A13EDD" w:rsidRDefault="00A13EDD" w:rsidP="00A13EDD">
      <w:pPr>
        <w:jc w:val="both"/>
        <w:rPr>
          <w:iCs/>
          <w:sz w:val="20"/>
          <w:szCs w:val="20"/>
        </w:rPr>
      </w:pPr>
    </w:p>
    <w:p w14:paraId="33318350" w14:textId="2607E684" w:rsidR="00A13EDD" w:rsidRPr="00A13EDD" w:rsidRDefault="00A13EDD" w:rsidP="00A13EDD">
      <w:pPr>
        <w:jc w:val="both"/>
        <w:rPr>
          <w:iCs/>
          <w:sz w:val="20"/>
          <w:szCs w:val="20"/>
        </w:rPr>
      </w:pPr>
      <w:r w:rsidRPr="00A13EDD">
        <w:rPr>
          <w:iCs/>
          <w:sz w:val="20"/>
          <w:szCs w:val="20"/>
        </w:rPr>
        <w:t>Ist eine Person nicht in der Lage, sich auf einer gesicherten elektronischen Plattform zu identifizieren, weil die gesicherte elektronische Plattform technisch nicht so konfiguriert ist, dass diese Person sich mit ihr verbinden kann, werden die Nachrichten ebenfalls in verschlossenem Umschlag übermittelt.</w:t>
      </w:r>
      <w:r>
        <w:rPr>
          <w:iCs/>
          <w:sz w:val="20"/>
          <w:szCs w:val="20"/>
        </w:rPr>
        <w:t>]</w:t>
      </w:r>
    </w:p>
    <w:p w14:paraId="0D875C99" w14:textId="77777777" w:rsidR="00A13EDD" w:rsidRPr="00A13EDD" w:rsidRDefault="00A13EDD" w:rsidP="00A13EDD">
      <w:pPr>
        <w:jc w:val="both"/>
        <w:rPr>
          <w:iCs/>
          <w:sz w:val="20"/>
          <w:szCs w:val="20"/>
        </w:rPr>
      </w:pPr>
    </w:p>
    <w:p w14:paraId="098211B8" w14:textId="0713E507" w:rsidR="00A13EDD" w:rsidRPr="00A13EDD" w:rsidRDefault="00A13EDD" w:rsidP="00A13EDD">
      <w:pPr>
        <w:jc w:val="both"/>
        <w:rPr>
          <w:iCs/>
          <w:sz w:val="20"/>
          <w:szCs w:val="20"/>
        </w:rPr>
      </w:pPr>
      <w:r w:rsidRPr="00A13EDD">
        <w:rPr>
          <w:i/>
          <w:iCs/>
          <w:sz w:val="20"/>
          <w:szCs w:val="20"/>
        </w:rPr>
        <w:t>[Art. 304</w:t>
      </w:r>
      <w:r>
        <w:rPr>
          <w:i/>
          <w:iCs/>
          <w:sz w:val="20"/>
          <w:szCs w:val="20"/>
        </w:rPr>
        <w:t>quinquies</w:t>
      </w:r>
      <w:r w:rsidRPr="00A13EDD">
        <w:rPr>
          <w:i/>
          <w:iCs/>
          <w:sz w:val="20"/>
          <w:szCs w:val="20"/>
        </w:rPr>
        <w:t xml:space="preserve"> </w:t>
      </w:r>
      <w:r w:rsidR="005B358C" w:rsidRPr="005B358C">
        <w:rPr>
          <w:i/>
          <w:iCs/>
          <w:sz w:val="20"/>
          <w:szCs w:val="20"/>
        </w:rPr>
        <w:t>eingefügt durch Art. </w:t>
      </w:r>
      <w:r w:rsidR="005B358C">
        <w:rPr>
          <w:i/>
          <w:iCs/>
          <w:sz w:val="20"/>
          <w:szCs w:val="20"/>
        </w:rPr>
        <w:t>8</w:t>
      </w:r>
      <w:r w:rsidR="005B358C" w:rsidRPr="005B358C">
        <w:rPr>
          <w:i/>
          <w:iCs/>
          <w:sz w:val="20"/>
          <w:szCs w:val="20"/>
        </w:rPr>
        <w:t xml:space="preserve"> des G. vom 26. Januar 2021 (B.S. vom 10. Februar 2021) - in Kraft am 1. Januar 2025 -, selbst aufgehoben durch Art. 213 des G. vom 12. Mai 2024 (B.S. vom 30. Mai 2024), und erneut </w:t>
      </w:r>
      <w:r w:rsidRPr="00A13EDD">
        <w:rPr>
          <w:i/>
          <w:iCs/>
          <w:sz w:val="20"/>
          <w:szCs w:val="20"/>
        </w:rPr>
        <w:t>eingefügt durch Art. 1</w:t>
      </w:r>
      <w:r>
        <w:rPr>
          <w:i/>
          <w:iCs/>
          <w:sz w:val="20"/>
          <w:szCs w:val="20"/>
        </w:rPr>
        <w:t>2</w:t>
      </w:r>
      <w:r w:rsidRPr="00A13EDD">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A13EDD">
        <w:rPr>
          <w:i/>
          <w:iCs/>
          <w:sz w:val="20"/>
          <w:szCs w:val="20"/>
        </w:rPr>
        <w:t>-]</w:t>
      </w:r>
      <w:r w:rsidRPr="00A13EDD">
        <w:rPr>
          <w:iCs/>
          <w:sz w:val="20"/>
          <w:szCs w:val="20"/>
        </w:rPr>
        <w:t>"</w:t>
      </w:r>
    </w:p>
    <w:p w14:paraId="5DEE7D35" w14:textId="77777777" w:rsidR="00A13EDD" w:rsidRPr="00A13EDD" w:rsidRDefault="00A13EDD" w:rsidP="00A13EDD">
      <w:pPr>
        <w:jc w:val="both"/>
        <w:rPr>
          <w:iCs/>
          <w:sz w:val="20"/>
          <w:szCs w:val="20"/>
        </w:rPr>
      </w:pPr>
    </w:p>
    <w:p w14:paraId="1CF80677" w14:textId="77777777" w:rsidR="00A13EDD" w:rsidRPr="00A13EDD" w:rsidRDefault="00A13EDD" w:rsidP="00A13EDD">
      <w:pPr>
        <w:jc w:val="both"/>
        <w:rPr>
          <w:iCs/>
          <w:sz w:val="20"/>
          <w:szCs w:val="20"/>
        </w:rPr>
      </w:pPr>
    </w:p>
    <w:p w14:paraId="7E5CA0D3" w14:textId="753B1FE9" w:rsidR="00A13EDD" w:rsidRPr="00A13EDD" w:rsidRDefault="00A13EDD" w:rsidP="00A13EDD">
      <w:pPr>
        <w:jc w:val="both"/>
        <w:rPr>
          <w:iCs/>
          <w:sz w:val="20"/>
          <w:szCs w:val="20"/>
        </w:rPr>
      </w:pPr>
      <w:r w:rsidRPr="00A13EDD">
        <w:rPr>
          <w:iCs/>
          <w:sz w:val="20"/>
          <w:szCs w:val="20"/>
        </w:rPr>
        <w:t>Ab einem gemäß Art. 222 des G. vom 12. Mai 2024 (B.S. vom 30. Mai 2024) vom König festzulegenden Datum und spätestens am 1. Januar 2028 wird ein Artikel 304</w:t>
      </w:r>
      <w:r>
        <w:rPr>
          <w:i/>
          <w:iCs/>
          <w:sz w:val="20"/>
          <w:szCs w:val="20"/>
        </w:rPr>
        <w:t xml:space="preserve">sexies </w:t>
      </w:r>
      <w:r w:rsidRPr="00A13EDD">
        <w:rPr>
          <w:iCs/>
          <w:sz w:val="20"/>
          <w:szCs w:val="20"/>
        </w:rPr>
        <w:t>mit folgendem Wortlaut eingefügt:</w:t>
      </w:r>
    </w:p>
    <w:p w14:paraId="4292BC88" w14:textId="77777777" w:rsidR="00A13EDD" w:rsidRPr="00A13EDD" w:rsidRDefault="00A13EDD" w:rsidP="00A13EDD">
      <w:pPr>
        <w:jc w:val="both"/>
        <w:rPr>
          <w:iCs/>
          <w:sz w:val="20"/>
          <w:szCs w:val="20"/>
        </w:rPr>
      </w:pPr>
    </w:p>
    <w:p w14:paraId="065AA321" w14:textId="78442321" w:rsidR="00A13EDD" w:rsidRPr="00A13EDD" w:rsidRDefault="00A13EDD" w:rsidP="00A13EDD">
      <w:pPr>
        <w:jc w:val="both"/>
        <w:rPr>
          <w:iCs/>
          <w:sz w:val="20"/>
          <w:szCs w:val="20"/>
        </w:rPr>
      </w:pPr>
      <w:r w:rsidRPr="00A13EDD">
        <w:rPr>
          <w:iCs/>
          <w:sz w:val="20"/>
          <w:szCs w:val="20"/>
        </w:rPr>
        <w:t>"</w:t>
      </w:r>
      <w:r>
        <w:rPr>
          <w:iCs/>
          <w:sz w:val="20"/>
          <w:szCs w:val="20"/>
        </w:rPr>
        <w:t>[</w:t>
      </w:r>
      <w:r w:rsidRPr="00A13EDD">
        <w:rPr>
          <w:iCs/>
          <w:sz w:val="20"/>
          <w:szCs w:val="20"/>
        </w:rPr>
        <w:t>Art. 304</w:t>
      </w:r>
      <w:r w:rsidRPr="00A13EDD">
        <w:rPr>
          <w:i/>
          <w:iCs/>
          <w:sz w:val="20"/>
          <w:szCs w:val="20"/>
        </w:rPr>
        <w:t>sexies</w:t>
      </w:r>
      <w:r w:rsidRPr="00A13EDD">
        <w:rPr>
          <w:iCs/>
          <w:sz w:val="20"/>
          <w:szCs w:val="20"/>
        </w:rPr>
        <w:t> - § 1 - Sofern in Gesetzes- oder Verordnungsbestimmungen nichts anderes vorgesehen ist, werden von einer Person über eine gesicherte elektronische Plattform übermittelte Nachrichten sofort auf der gesicherten elektronischen Plattform des Föderalen Öffentlichen Dienstes Finanzen zur Verfügung gestellt. Das Datum der Zurverfügungstellung gilt als Datum des Empfangs der Nachricht durch den Föderalen Öffentlichen Dienst Finanzen.</w:t>
      </w:r>
    </w:p>
    <w:p w14:paraId="5E30D857" w14:textId="77777777" w:rsidR="00A13EDD" w:rsidRPr="00A13EDD" w:rsidRDefault="00A13EDD" w:rsidP="00A13EDD">
      <w:pPr>
        <w:jc w:val="both"/>
        <w:rPr>
          <w:iCs/>
          <w:sz w:val="20"/>
          <w:szCs w:val="20"/>
        </w:rPr>
      </w:pPr>
    </w:p>
    <w:p w14:paraId="12E87A05" w14:textId="6904A1FF" w:rsidR="00A13EDD" w:rsidRPr="00A13EDD" w:rsidRDefault="00A13EDD" w:rsidP="00A13EDD">
      <w:pPr>
        <w:jc w:val="both"/>
        <w:rPr>
          <w:iCs/>
          <w:sz w:val="20"/>
          <w:szCs w:val="20"/>
        </w:rPr>
      </w:pPr>
      <w:r w:rsidRPr="00A13EDD">
        <w:rPr>
          <w:iCs/>
          <w:sz w:val="20"/>
          <w:szCs w:val="20"/>
        </w:rPr>
        <w:t>Vom Föderalen Öffentlichen Dienst Finanzen über eine gesicherte elektronische Plattform übermittelte Nachrichten enthalten in der Überschrift der Nachricht auf der gesicherten elektronischen Plattform des Föderalen Öffentlichen Dienstes Finanzen ein Datum der Zurverfügungstellung der Nachricht.</w:t>
      </w:r>
    </w:p>
    <w:p w14:paraId="7B9DC151" w14:textId="77777777" w:rsidR="00A13EDD" w:rsidRPr="00A13EDD" w:rsidRDefault="00A13EDD" w:rsidP="00A13EDD">
      <w:pPr>
        <w:jc w:val="both"/>
        <w:rPr>
          <w:iCs/>
          <w:sz w:val="20"/>
          <w:szCs w:val="20"/>
        </w:rPr>
      </w:pPr>
    </w:p>
    <w:p w14:paraId="6E0E46C5" w14:textId="71C79AF6" w:rsidR="00A13EDD" w:rsidRPr="00A13EDD" w:rsidRDefault="00A13EDD" w:rsidP="00A13EDD">
      <w:pPr>
        <w:jc w:val="both"/>
        <w:rPr>
          <w:iCs/>
          <w:sz w:val="20"/>
          <w:szCs w:val="20"/>
        </w:rPr>
      </w:pPr>
      <w:r w:rsidRPr="00A13EDD">
        <w:rPr>
          <w:iCs/>
          <w:sz w:val="20"/>
          <w:szCs w:val="20"/>
        </w:rPr>
        <w:t>Sofern in Gesetzes- oder Verordnungsbestimmungen nichts anderes vorgesehen ist, gilt für jede über eine gesicherte elektronische Plattform übermittelte oder empfangene Nachricht der dritte Werktag nach dem Datum der Zurverfügungstellung, das in der Überschrift der Nachricht auf der gesicherten elektronischen Plattform des Föderalen Öffentlichen Dienstes Finanzen enthalten ist, als Ausgangspunkt für die Fristen, die für die Einhaltung der Rechte und Pflichten anwendbar sind, die in vorliegendem Gesetzbuch, in den besonderen Gesetzesbestimmungen über Einkommensteuern oder in ihren Ausführungserlassen vorgesehen sind.</w:t>
      </w:r>
    </w:p>
    <w:p w14:paraId="34BDE7A2" w14:textId="77777777" w:rsidR="00A13EDD" w:rsidRPr="00A13EDD" w:rsidRDefault="00A13EDD" w:rsidP="00A13EDD">
      <w:pPr>
        <w:jc w:val="both"/>
        <w:rPr>
          <w:iCs/>
          <w:sz w:val="20"/>
          <w:szCs w:val="20"/>
        </w:rPr>
      </w:pPr>
    </w:p>
    <w:p w14:paraId="746BF343" w14:textId="1190BBB7" w:rsidR="00A13EDD" w:rsidRPr="00A13EDD" w:rsidRDefault="00A13EDD" w:rsidP="00A13EDD">
      <w:pPr>
        <w:jc w:val="both"/>
        <w:rPr>
          <w:iCs/>
          <w:sz w:val="20"/>
          <w:szCs w:val="20"/>
        </w:rPr>
      </w:pPr>
      <w:r w:rsidRPr="00A13EDD">
        <w:rPr>
          <w:iCs/>
          <w:sz w:val="20"/>
          <w:szCs w:val="20"/>
        </w:rPr>
        <w:t>Übermittelt der Föderale Öffentliche Dienst Finanzen eine Nachricht über eine gesicherte elektronische Plattform und unterscheiden sich das Datum der Zurverfügungstellung der Nachricht, das in der Überschrift der Nachricht auf der gesicherten elektronischen Plattform des Föderalen Öffentlichen Dienstes Finanzen enthalten ist, und das Datum der Übermittlung der über eine gesicherte elektronische Plattform übermittelten Nachricht, gilt das für die betreffende Person günstigste Datum als Ausgangspunkt für die Frist.</w:t>
      </w:r>
    </w:p>
    <w:p w14:paraId="6C604121" w14:textId="77777777" w:rsidR="00A13EDD" w:rsidRPr="00A13EDD" w:rsidRDefault="00A13EDD" w:rsidP="00A13EDD">
      <w:pPr>
        <w:jc w:val="both"/>
        <w:rPr>
          <w:iCs/>
          <w:sz w:val="20"/>
          <w:szCs w:val="20"/>
        </w:rPr>
      </w:pPr>
    </w:p>
    <w:p w14:paraId="43AF8F7E" w14:textId="300F27A7" w:rsidR="00A13EDD" w:rsidRDefault="00A13EDD" w:rsidP="00A13EDD">
      <w:pPr>
        <w:jc w:val="both"/>
        <w:rPr>
          <w:iCs/>
          <w:sz w:val="20"/>
          <w:szCs w:val="20"/>
        </w:rPr>
      </w:pPr>
      <w:r w:rsidRPr="00A13EDD">
        <w:rPr>
          <w:iCs/>
          <w:sz w:val="20"/>
          <w:szCs w:val="20"/>
        </w:rPr>
        <w:t>§ 2 ­ Sofern in Gesetzes- oder Verordnungsbestimmungen nichts anderes vorgesehen ist, gilt der dritte Werktag nach dem Datum der Versendung der in verschlossenem Umschlag übermittelten oder empfangenen Nachricht als Ausgangspunkt für die Fristen, die für die Einhaltung der Rechte und Pflichten anwendbar sind, die in vorliegendem Gesetzbuch, in den besonderen Gesetzesbestimmungen über Einkommensteuern oder in ihren Ausführungserlassen vorgesehen sind.</w:t>
      </w:r>
      <w:r>
        <w:rPr>
          <w:iCs/>
          <w:sz w:val="20"/>
          <w:szCs w:val="20"/>
        </w:rPr>
        <w:t>]</w:t>
      </w:r>
    </w:p>
    <w:p w14:paraId="180A977C" w14:textId="77777777" w:rsidR="00A13EDD" w:rsidRDefault="00A13EDD" w:rsidP="00A13EDD">
      <w:pPr>
        <w:jc w:val="both"/>
        <w:rPr>
          <w:iCs/>
          <w:sz w:val="20"/>
          <w:szCs w:val="20"/>
        </w:rPr>
      </w:pPr>
    </w:p>
    <w:p w14:paraId="49E1ABCA" w14:textId="130580F3" w:rsidR="00A13EDD" w:rsidRPr="00A13EDD" w:rsidRDefault="00A13EDD" w:rsidP="00A13EDD">
      <w:pPr>
        <w:jc w:val="both"/>
        <w:rPr>
          <w:iCs/>
          <w:sz w:val="20"/>
          <w:szCs w:val="20"/>
        </w:rPr>
      </w:pPr>
      <w:r w:rsidRPr="00A13EDD">
        <w:rPr>
          <w:i/>
          <w:iCs/>
          <w:sz w:val="20"/>
          <w:szCs w:val="20"/>
        </w:rPr>
        <w:t>[Art. 304</w:t>
      </w:r>
      <w:r>
        <w:rPr>
          <w:i/>
          <w:iCs/>
          <w:sz w:val="20"/>
          <w:szCs w:val="20"/>
        </w:rPr>
        <w:t>sexies</w:t>
      </w:r>
      <w:r w:rsidRPr="00A13EDD">
        <w:rPr>
          <w:i/>
          <w:iCs/>
          <w:sz w:val="20"/>
          <w:szCs w:val="20"/>
        </w:rPr>
        <w:t xml:space="preserve"> </w:t>
      </w:r>
      <w:r w:rsidR="005B358C" w:rsidRPr="005B358C">
        <w:rPr>
          <w:i/>
          <w:iCs/>
          <w:sz w:val="20"/>
          <w:szCs w:val="20"/>
        </w:rPr>
        <w:t>eingefügt durch Art. </w:t>
      </w:r>
      <w:r w:rsidR="005B358C">
        <w:rPr>
          <w:i/>
          <w:iCs/>
          <w:sz w:val="20"/>
          <w:szCs w:val="20"/>
        </w:rPr>
        <w:t>9</w:t>
      </w:r>
      <w:r w:rsidR="005B358C" w:rsidRPr="005B358C">
        <w:rPr>
          <w:i/>
          <w:iCs/>
          <w:sz w:val="20"/>
          <w:szCs w:val="20"/>
        </w:rPr>
        <w:t xml:space="preserve"> des G. vom 26. Januar 2021 (B.S. vom 10. Februar 2021) - in Kraft am 1. Januar 2025 -, selbst aufgehoben durch Art. 213 des G. vom 12. Mai 2024 (B.S. vom 30. Mai 2024), und erneut </w:t>
      </w:r>
      <w:r w:rsidRPr="00A13EDD">
        <w:rPr>
          <w:i/>
          <w:iCs/>
          <w:sz w:val="20"/>
          <w:szCs w:val="20"/>
        </w:rPr>
        <w:t>eingefügt durch Art. 1</w:t>
      </w:r>
      <w:r>
        <w:rPr>
          <w:i/>
          <w:iCs/>
          <w:sz w:val="20"/>
          <w:szCs w:val="20"/>
        </w:rPr>
        <w:t>3</w:t>
      </w:r>
      <w:r w:rsidRPr="00A13EDD">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A13EDD">
        <w:rPr>
          <w:i/>
          <w:iCs/>
          <w:sz w:val="20"/>
          <w:szCs w:val="20"/>
        </w:rPr>
        <w:t>-]</w:t>
      </w:r>
      <w:r w:rsidRPr="00A13EDD">
        <w:rPr>
          <w:iCs/>
          <w:sz w:val="20"/>
          <w:szCs w:val="20"/>
        </w:rPr>
        <w:t>"</w:t>
      </w:r>
    </w:p>
    <w:p w14:paraId="71884244" w14:textId="77777777" w:rsidR="00A13EDD" w:rsidRPr="00A13EDD" w:rsidRDefault="00A13EDD" w:rsidP="00A13EDD">
      <w:pPr>
        <w:jc w:val="both"/>
        <w:rPr>
          <w:iCs/>
          <w:sz w:val="20"/>
          <w:szCs w:val="20"/>
        </w:rPr>
      </w:pPr>
    </w:p>
    <w:p w14:paraId="4059AE91" w14:textId="77777777" w:rsidR="00A13EDD" w:rsidRDefault="00A13EDD" w:rsidP="00A13EDD">
      <w:pPr>
        <w:jc w:val="both"/>
        <w:rPr>
          <w:iCs/>
          <w:sz w:val="20"/>
          <w:szCs w:val="20"/>
        </w:rPr>
      </w:pPr>
    </w:p>
    <w:p w14:paraId="2EB84181" w14:textId="0A8C76AE" w:rsidR="00A13EDD" w:rsidRPr="00A13EDD" w:rsidRDefault="00A13EDD" w:rsidP="00A13EDD">
      <w:pPr>
        <w:jc w:val="both"/>
        <w:rPr>
          <w:iCs/>
          <w:sz w:val="20"/>
          <w:szCs w:val="20"/>
        </w:rPr>
      </w:pPr>
      <w:r w:rsidRPr="00A13EDD">
        <w:rPr>
          <w:iCs/>
          <w:sz w:val="20"/>
          <w:szCs w:val="20"/>
        </w:rPr>
        <w:t>Ab einem gemäß Art. 222 des G. vom 12. Mai 2024 (B.S. vom 30. Mai 2024) vom König festzulegenden Datum und spätestens am 1. Januar 2028 wird ein Artikel 304</w:t>
      </w:r>
      <w:r>
        <w:rPr>
          <w:i/>
          <w:iCs/>
          <w:sz w:val="20"/>
          <w:szCs w:val="20"/>
        </w:rPr>
        <w:t>septies</w:t>
      </w:r>
      <w:r w:rsidRPr="00A13EDD">
        <w:rPr>
          <w:iCs/>
          <w:sz w:val="20"/>
          <w:szCs w:val="20"/>
        </w:rPr>
        <w:t xml:space="preserve"> mit folgendem Wortlaut eingefügt:</w:t>
      </w:r>
    </w:p>
    <w:p w14:paraId="6DB5C362" w14:textId="77777777" w:rsidR="00A13EDD" w:rsidRPr="00A13EDD" w:rsidRDefault="00A13EDD" w:rsidP="00A13EDD">
      <w:pPr>
        <w:jc w:val="both"/>
        <w:rPr>
          <w:iCs/>
          <w:sz w:val="20"/>
          <w:szCs w:val="20"/>
        </w:rPr>
      </w:pPr>
    </w:p>
    <w:p w14:paraId="6093645C" w14:textId="091BE464" w:rsidR="00A13EDD" w:rsidRDefault="00A13EDD" w:rsidP="00A13EDD">
      <w:pPr>
        <w:jc w:val="both"/>
        <w:rPr>
          <w:iCs/>
          <w:sz w:val="20"/>
          <w:szCs w:val="20"/>
        </w:rPr>
      </w:pPr>
      <w:r w:rsidRPr="00A13EDD">
        <w:rPr>
          <w:iCs/>
          <w:sz w:val="20"/>
          <w:szCs w:val="20"/>
        </w:rPr>
        <w:t>"</w:t>
      </w:r>
      <w:r>
        <w:rPr>
          <w:iCs/>
          <w:sz w:val="20"/>
          <w:szCs w:val="20"/>
        </w:rPr>
        <w:t>[</w:t>
      </w:r>
      <w:r w:rsidRPr="00A13EDD">
        <w:rPr>
          <w:iCs/>
          <w:sz w:val="20"/>
          <w:szCs w:val="20"/>
        </w:rPr>
        <w:t>Art. 304</w:t>
      </w:r>
      <w:r w:rsidRPr="00A13EDD">
        <w:rPr>
          <w:i/>
          <w:iCs/>
          <w:sz w:val="20"/>
          <w:szCs w:val="20"/>
        </w:rPr>
        <w:t>septies</w:t>
      </w:r>
      <w:r w:rsidRPr="00A13EDD">
        <w:rPr>
          <w:iCs/>
          <w:sz w:val="20"/>
          <w:szCs w:val="20"/>
        </w:rPr>
        <w:t> - Die Rechtsfolgen einer über eine gesicherte elektronische Plattform übermittelten Nachricht und einer in verschlossenem Umschlag übermittelten Nachricht sind dieselben.</w:t>
      </w:r>
      <w:r>
        <w:rPr>
          <w:iCs/>
          <w:sz w:val="20"/>
          <w:szCs w:val="20"/>
        </w:rPr>
        <w:t>]</w:t>
      </w:r>
    </w:p>
    <w:p w14:paraId="6B993A0E" w14:textId="77777777" w:rsidR="00A13EDD" w:rsidRDefault="00A13EDD" w:rsidP="00A13EDD">
      <w:pPr>
        <w:jc w:val="both"/>
        <w:rPr>
          <w:iCs/>
          <w:sz w:val="20"/>
          <w:szCs w:val="20"/>
        </w:rPr>
      </w:pPr>
    </w:p>
    <w:p w14:paraId="5731F508" w14:textId="454BE4D8" w:rsidR="00A13EDD" w:rsidRPr="00A13EDD" w:rsidRDefault="00A13EDD" w:rsidP="00A13EDD">
      <w:pPr>
        <w:jc w:val="both"/>
        <w:rPr>
          <w:iCs/>
          <w:sz w:val="20"/>
          <w:szCs w:val="20"/>
        </w:rPr>
      </w:pPr>
      <w:r w:rsidRPr="00A13EDD">
        <w:rPr>
          <w:i/>
          <w:iCs/>
          <w:sz w:val="20"/>
          <w:szCs w:val="20"/>
        </w:rPr>
        <w:t>[Art. 304</w:t>
      </w:r>
      <w:r>
        <w:rPr>
          <w:i/>
          <w:iCs/>
          <w:sz w:val="20"/>
          <w:szCs w:val="20"/>
        </w:rPr>
        <w:t>se</w:t>
      </w:r>
      <w:r w:rsidR="00D3474D">
        <w:rPr>
          <w:i/>
          <w:iCs/>
          <w:sz w:val="20"/>
          <w:szCs w:val="20"/>
        </w:rPr>
        <w:t>pt</w:t>
      </w:r>
      <w:r>
        <w:rPr>
          <w:i/>
          <w:iCs/>
          <w:sz w:val="20"/>
          <w:szCs w:val="20"/>
        </w:rPr>
        <w:t>ies</w:t>
      </w:r>
      <w:r w:rsidRPr="00A13EDD">
        <w:rPr>
          <w:i/>
          <w:iCs/>
          <w:sz w:val="20"/>
          <w:szCs w:val="20"/>
        </w:rPr>
        <w:t xml:space="preserve"> </w:t>
      </w:r>
      <w:r w:rsidR="005B358C" w:rsidRPr="005B358C">
        <w:rPr>
          <w:i/>
          <w:iCs/>
          <w:sz w:val="20"/>
          <w:szCs w:val="20"/>
        </w:rPr>
        <w:t>eingefügt durch Art. </w:t>
      </w:r>
      <w:r w:rsidR="005B358C">
        <w:rPr>
          <w:i/>
          <w:iCs/>
          <w:sz w:val="20"/>
          <w:szCs w:val="20"/>
        </w:rPr>
        <w:t>10</w:t>
      </w:r>
      <w:r w:rsidR="005B358C" w:rsidRPr="005B358C">
        <w:rPr>
          <w:i/>
          <w:iCs/>
          <w:sz w:val="20"/>
          <w:szCs w:val="20"/>
        </w:rPr>
        <w:t xml:space="preserve"> des G. vom 26. Januar 2021 (B.S. vom 10. Februar 2021) - in Kraft am 1. Januar 2025 -, selbst aufgehoben durch Art. 213 des G. vom 12. Mai 2024 (B.S. vom 30. Mai 2024), und erneut </w:t>
      </w:r>
      <w:r w:rsidRPr="00A13EDD">
        <w:rPr>
          <w:i/>
          <w:iCs/>
          <w:sz w:val="20"/>
          <w:szCs w:val="20"/>
        </w:rPr>
        <w:t>eingefügt durch Art. 1</w:t>
      </w:r>
      <w:r>
        <w:rPr>
          <w:i/>
          <w:iCs/>
          <w:sz w:val="20"/>
          <w:szCs w:val="20"/>
        </w:rPr>
        <w:t>4</w:t>
      </w:r>
      <w:r w:rsidRPr="00A13EDD">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A13EDD">
        <w:rPr>
          <w:i/>
          <w:iCs/>
          <w:sz w:val="20"/>
          <w:szCs w:val="20"/>
        </w:rPr>
        <w:t>-]</w:t>
      </w:r>
      <w:r w:rsidRPr="00A13EDD">
        <w:rPr>
          <w:iCs/>
          <w:sz w:val="20"/>
          <w:szCs w:val="20"/>
        </w:rPr>
        <w:t>"</w:t>
      </w:r>
    </w:p>
    <w:p w14:paraId="329211A5" w14:textId="77777777" w:rsidR="00A13EDD" w:rsidRPr="00A13EDD" w:rsidRDefault="00A13EDD" w:rsidP="00A13EDD">
      <w:pPr>
        <w:jc w:val="both"/>
        <w:rPr>
          <w:iCs/>
          <w:sz w:val="20"/>
          <w:szCs w:val="20"/>
        </w:rPr>
      </w:pPr>
    </w:p>
    <w:p w14:paraId="66612B8E" w14:textId="77777777" w:rsidR="00A13EDD" w:rsidRDefault="00A13EDD" w:rsidP="00A13EDD">
      <w:pPr>
        <w:jc w:val="both"/>
        <w:rPr>
          <w:iCs/>
          <w:sz w:val="20"/>
          <w:szCs w:val="20"/>
        </w:rPr>
      </w:pPr>
    </w:p>
    <w:p w14:paraId="1149A396" w14:textId="3CE091A2" w:rsidR="00A13EDD" w:rsidRPr="00A13EDD" w:rsidRDefault="00A13EDD" w:rsidP="00A13EDD">
      <w:pPr>
        <w:jc w:val="both"/>
        <w:rPr>
          <w:iCs/>
          <w:sz w:val="20"/>
          <w:szCs w:val="20"/>
        </w:rPr>
      </w:pPr>
      <w:r w:rsidRPr="00A13EDD">
        <w:rPr>
          <w:iCs/>
          <w:sz w:val="20"/>
          <w:szCs w:val="20"/>
        </w:rPr>
        <w:t>Ab einem gemäß Art. 222 des G. vom 12. Mai 2024 (B.S. vom 30. Mai 2024) vom König festzulegenden Datum und spätestens am 1. Januar 2028 wird ein Artikel 304</w:t>
      </w:r>
      <w:r>
        <w:rPr>
          <w:i/>
          <w:iCs/>
          <w:sz w:val="20"/>
          <w:szCs w:val="20"/>
        </w:rPr>
        <w:t>octies</w:t>
      </w:r>
      <w:r w:rsidRPr="00A13EDD">
        <w:rPr>
          <w:iCs/>
          <w:sz w:val="20"/>
          <w:szCs w:val="20"/>
        </w:rPr>
        <w:t xml:space="preserve"> mit folgendem Wortlaut eingefügt:</w:t>
      </w:r>
    </w:p>
    <w:p w14:paraId="51157587" w14:textId="77777777" w:rsidR="00A13EDD" w:rsidRPr="00A13EDD" w:rsidRDefault="00A13EDD" w:rsidP="00A13EDD">
      <w:pPr>
        <w:jc w:val="both"/>
        <w:rPr>
          <w:iCs/>
          <w:sz w:val="20"/>
          <w:szCs w:val="20"/>
        </w:rPr>
      </w:pPr>
    </w:p>
    <w:p w14:paraId="1151B970" w14:textId="01B4A8C4" w:rsidR="00A13EDD" w:rsidRPr="00A13EDD" w:rsidRDefault="00A13EDD" w:rsidP="00A13EDD">
      <w:pPr>
        <w:jc w:val="both"/>
        <w:rPr>
          <w:iCs/>
          <w:sz w:val="20"/>
          <w:szCs w:val="20"/>
        </w:rPr>
      </w:pPr>
      <w:r w:rsidRPr="00A13EDD">
        <w:rPr>
          <w:iCs/>
          <w:sz w:val="20"/>
          <w:szCs w:val="20"/>
        </w:rPr>
        <w:t>"</w:t>
      </w:r>
      <w:r>
        <w:rPr>
          <w:iCs/>
          <w:sz w:val="20"/>
          <w:szCs w:val="20"/>
        </w:rPr>
        <w:t>[</w:t>
      </w:r>
      <w:r w:rsidRPr="00A13EDD">
        <w:rPr>
          <w:iCs/>
          <w:sz w:val="20"/>
          <w:szCs w:val="20"/>
        </w:rPr>
        <w:t>Art. 304</w:t>
      </w:r>
      <w:r w:rsidRPr="00A13EDD">
        <w:rPr>
          <w:i/>
          <w:iCs/>
          <w:sz w:val="20"/>
          <w:szCs w:val="20"/>
        </w:rPr>
        <w:t>octies</w:t>
      </w:r>
      <w:r w:rsidRPr="00A13EDD">
        <w:rPr>
          <w:iCs/>
          <w:sz w:val="20"/>
          <w:szCs w:val="20"/>
        </w:rPr>
        <w:t> - Wird eine Unterlage von ihrem Ersteller oder ihren Erstellern elektronisch unterzeichnet, erfolgt diese Unterzeichnung mindestens mit Hilfe einer fortgeschrittenen elektronischen Signatur im Sinne von Artikel 3 Nr. 11 der Verordnung (EU) Nr. 910/2014 des Europäischen Parlaments und des Rates vom 23. Juli 2014 über elektronische Identifizierung und Vertrauensdienste für elektronische Transaktionen im Binnenmarkt und zur Aufhebung der Richtlinie 1999/93/EG.</w:t>
      </w:r>
    </w:p>
    <w:p w14:paraId="0743B6B6" w14:textId="77777777" w:rsidR="00A13EDD" w:rsidRPr="00A13EDD" w:rsidRDefault="00A13EDD" w:rsidP="00A13EDD">
      <w:pPr>
        <w:jc w:val="both"/>
        <w:rPr>
          <w:iCs/>
          <w:sz w:val="20"/>
          <w:szCs w:val="20"/>
        </w:rPr>
      </w:pPr>
    </w:p>
    <w:p w14:paraId="4BC5205C" w14:textId="6F1939D1" w:rsidR="00A13EDD" w:rsidRDefault="00A13EDD" w:rsidP="00A13EDD">
      <w:pPr>
        <w:jc w:val="both"/>
        <w:rPr>
          <w:iCs/>
          <w:sz w:val="20"/>
          <w:szCs w:val="20"/>
        </w:rPr>
      </w:pPr>
      <w:r w:rsidRPr="00A13EDD">
        <w:rPr>
          <w:iCs/>
          <w:sz w:val="20"/>
          <w:szCs w:val="20"/>
        </w:rPr>
        <w:t>Wird eine Unterlage mit Hilfe des gemäß Artikel 9 Absatz 1 der Verordnung (EU) Nr. 910/2014 von Belgien notifizierten elektronischen Identifizierungssystems unterzeichnet, gilt diese Signatur als qualifiziert im Sinne von Artikel 3 Nr. 12 dieser Verordnung.</w:t>
      </w:r>
      <w:r>
        <w:rPr>
          <w:iCs/>
          <w:sz w:val="20"/>
          <w:szCs w:val="20"/>
        </w:rPr>
        <w:t>]</w:t>
      </w:r>
    </w:p>
    <w:p w14:paraId="6DE9FDF0" w14:textId="77777777" w:rsidR="00A13EDD" w:rsidRDefault="00A13EDD" w:rsidP="00A13EDD">
      <w:pPr>
        <w:jc w:val="both"/>
        <w:rPr>
          <w:iCs/>
          <w:sz w:val="20"/>
          <w:szCs w:val="20"/>
        </w:rPr>
      </w:pPr>
    </w:p>
    <w:p w14:paraId="68507D57" w14:textId="3EEACB69" w:rsidR="00A13EDD" w:rsidRPr="00A13EDD" w:rsidRDefault="00A13EDD" w:rsidP="00A13EDD">
      <w:pPr>
        <w:jc w:val="both"/>
        <w:rPr>
          <w:iCs/>
          <w:sz w:val="20"/>
          <w:szCs w:val="20"/>
        </w:rPr>
      </w:pPr>
      <w:r w:rsidRPr="00A13EDD">
        <w:rPr>
          <w:i/>
          <w:iCs/>
          <w:sz w:val="20"/>
          <w:szCs w:val="20"/>
        </w:rPr>
        <w:t>[Art. 304</w:t>
      </w:r>
      <w:r>
        <w:rPr>
          <w:i/>
          <w:iCs/>
          <w:sz w:val="20"/>
          <w:szCs w:val="20"/>
        </w:rPr>
        <w:t>octies</w:t>
      </w:r>
      <w:r w:rsidRPr="00A13EDD">
        <w:rPr>
          <w:i/>
          <w:iCs/>
          <w:sz w:val="20"/>
          <w:szCs w:val="20"/>
        </w:rPr>
        <w:t xml:space="preserve"> </w:t>
      </w:r>
      <w:r w:rsidR="005B358C" w:rsidRPr="005B358C">
        <w:rPr>
          <w:i/>
          <w:iCs/>
          <w:sz w:val="20"/>
          <w:szCs w:val="20"/>
        </w:rPr>
        <w:t>eingefügt durch Art. </w:t>
      </w:r>
      <w:r w:rsidR="005B358C">
        <w:rPr>
          <w:i/>
          <w:iCs/>
          <w:sz w:val="20"/>
          <w:szCs w:val="20"/>
        </w:rPr>
        <w:t>11</w:t>
      </w:r>
      <w:r w:rsidR="005B358C" w:rsidRPr="005B358C">
        <w:rPr>
          <w:i/>
          <w:iCs/>
          <w:sz w:val="20"/>
          <w:szCs w:val="20"/>
        </w:rPr>
        <w:t xml:space="preserve"> des G. vom 26. Januar 2021 (B.S. vom 10. Februar 2021) - in Kraft am 1. Januar 2025 -, selbst aufgehoben durch Art. 213 des G. vom 12. Mai 2024 (B.S. vom 30. Mai 2024), und erneut </w:t>
      </w:r>
      <w:r w:rsidRPr="00A13EDD">
        <w:rPr>
          <w:i/>
          <w:iCs/>
          <w:sz w:val="20"/>
          <w:szCs w:val="20"/>
        </w:rPr>
        <w:t>eingefügt durch Art. </w:t>
      </w:r>
      <w:r>
        <w:rPr>
          <w:i/>
          <w:iCs/>
          <w:sz w:val="20"/>
          <w:szCs w:val="20"/>
        </w:rPr>
        <w:t>15</w:t>
      </w:r>
      <w:r w:rsidRPr="00A13EDD">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A13EDD">
        <w:rPr>
          <w:i/>
          <w:iCs/>
          <w:sz w:val="20"/>
          <w:szCs w:val="20"/>
        </w:rPr>
        <w:t>-]</w:t>
      </w:r>
      <w:r w:rsidRPr="00A13EDD">
        <w:rPr>
          <w:iCs/>
          <w:sz w:val="20"/>
          <w:szCs w:val="20"/>
        </w:rPr>
        <w:t>"</w:t>
      </w:r>
    </w:p>
    <w:p w14:paraId="72E558A8" w14:textId="77777777" w:rsidR="00A13EDD" w:rsidRPr="00A13EDD" w:rsidRDefault="00A13EDD" w:rsidP="00A13EDD">
      <w:pPr>
        <w:jc w:val="both"/>
        <w:rPr>
          <w:iCs/>
          <w:sz w:val="20"/>
          <w:szCs w:val="20"/>
        </w:rPr>
      </w:pPr>
    </w:p>
    <w:p w14:paraId="0F9A5375" w14:textId="77777777" w:rsidR="00A13EDD" w:rsidRPr="00A13EDD" w:rsidRDefault="00A13EDD" w:rsidP="00A13EDD">
      <w:pPr>
        <w:jc w:val="both"/>
        <w:rPr>
          <w:iCs/>
          <w:sz w:val="20"/>
          <w:szCs w:val="20"/>
        </w:rPr>
      </w:pPr>
    </w:p>
    <w:p w14:paraId="4F32852F" w14:textId="77777777" w:rsidR="00916AEA" w:rsidRDefault="00916AEA">
      <w:pPr>
        <w:rPr>
          <w:iCs/>
          <w:sz w:val="20"/>
          <w:szCs w:val="20"/>
        </w:rPr>
      </w:pPr>
      <w:r>
        <w:rPr>
          <w:iCs/>
          <w:sz w:val="20"/>
          <w:szCs w:val="20"/>
        </w:rPr>
        <w:br w:type="page"/>
      </w:r>
    </w:p>
    <w:p w14:paraId="4BCF882E" w14:textId="20A759F3" w:rsidR="00A13EDD" w:rsidRPr="00A13EDD" w:rsidRDefault="00A13EDD" w:rsidP="00A13EDD">
      <w:pPr>
        <w:jc w:val="both"/>
        <w:rPr>
          <w:iCs/>
          <w:sz w:val="20"/>
          <w:szCs w:val="20"/>
        </w:rPr>
      </w:pPr>
      <w:r w:rsidRPr="00A13EDD">
        <w:rPr>
          <w:iCs/>
          <w:sz w:val="20"/>
          <w:szCs w:val="20"/>
        </w:rPr>
        <w:lastRenderedPageBreak/>
        <w:t>Ab einem gemäß Art. 222 des G. vom 12. Mai 2024 (B.S. vom 30. Mai 2024) vom König festzulegenden Datum und spätestens am 1. Januar 2028 wird ein Artikel 304</w:t>
      </w:r>
      <w:r>
        <w:rPr>
          <w:i/>
          <w:iCs/>
          <w:sz w:val="20"/>
          <w:szCs w:val="20"/>
        </w:rPr>
        <w:t>nonies</w:t>
      </w:r>
      <w:r w:rsidRPr="00A13EDD">
        <w:rPr>
          <w:iCs/>
          <w:sz w:val="20"/>
          <w:szCs w:val="20"/>
        </w:rPr>
        <w:t xml:space="preserve"> mit folgendem Wortlaut eingefügt:</w:t>
      </w:r>
    </w:p>
    <w:p w14:paraId="73A81829" w14:textId="77777777" w:rsidR="00A13EDD" w:rsidRPr="00A13EDD" w:rsidRDefault="00A13EDD" w:rsidP="00A13EDD">
      <w:pPr>
        <w:jc w:val="both"/>
        <w:rPr>
          <w:iCs/>
          <w:sz w:val="20"/>
          <w:szCs w:val="20"/>
        </w:rPr>
      </w:pPr>
    </w:p>
    <w:p w14:paraId="783300C6" w14:textId="55F6CC8E" w:rsidR="00A13EDD" w:rsidRDefault="00A13EDD" w:rsidP="00A13EDD">
      <w:pPr>
        <w:jc w:val="both"/>
        <w:rPr>
          <w:iCs/>
          <w:sz w:val="20"/>
          <w:szCs w:val="20"/>
        </w:rPr>
      </w:pPr>
      <w:r w:rsidRPr="00A13EDD">
        <w:rPr>
          <w:iCs/>
          <w:sz w:val="20"/>
          <w:szCs w:val="20"/>
        </w:rPr>
        <w:t>"</w:t>
      </w:r>
      <w:r>
        <w:rPr>
          <w:iCs/>
          <w:sz w:val="20"/>
          <w:szCs w:val="20"/>
        </w:rPr>
        <w:t>[</w:t>
      </w:r>
      <w:r w:rsidRPr="00A13EDD">
        <w:rPr>
          <w:iCs/>
          <w:sz w:val="20"/>
          <w:szCs w:val="20"/>
        </w:rPr>
        <w:t>Art. 304</w:t>
      </w:r>
      <w:r w:rsidRPr="00A13EDD">
        <w:rPr>
          <w:i/>
          <w:iCs/>
          <w:sz w:val="20"/>
          <w:szCs w:val="20"/>
        </w:rPr>
        <w:t>nonies</w:t>
      </w:r>
      <w:r w:rsidRPr="00A13EDD">
        <w:rPr>
          <w:iCs/>
          <w:sz w:val="20"/>
          <w:szCs w:val="20"/>
        </w:rPr>
        <w:t> - Für die Anwendung von Titel VII Kapitel 1/1 versteht man unter "Nachricht": schriftliche Mitteilungen in Bezug auf Rechte und Pflichten, die in vorliegendem Gesetzbuch, in den besonderen Gesetzesbestimmungen über Einkommensteuern oder in ihren Ausführungserlassen aufgenommen sind, einschließlich Schreiben, Formularen und Übermittlungen von Daten, unabhängig vom verwendeten Träger.</w:t>
      </w:r>
      <w:r>
        <w:rPr>
          <w:iCs/>
          <w:sz w:val="20"/>
          <w:szCs w:val="20"/>
        </w:rPr>
        <w:t>]</w:t>
      </w:r>
    </w:p>
    <w:p w14:paraId="6EF0AE96" w14:textId="77777777" w:rsidR="00A13EDD" w:rsidRDefault="00A13EDD" w:rsidP="00A13EDD">
      <w:pPr>
        <w:jc w:val="both"/>
        <w:rPr>
          <w:iCs/>
          <w:sz w:val="20"/>
          <w:szCs w:val="20"/>
        </w:rPr>
      </w:pPr>
    </w:p>
    <w:p w14:paraId="6B959864" w14:textId="6763A846" w:rsidR="00A13EDD" w:rsidRPr="00A13EDD" w:rsidRDefault="00A13EDD" w:rsidP="00A13EDD">
      <w:pPr>
        <w:jc w:val="both"/>
        <w:rPr>
          <w:iCs/>
          <w:sz w:val="20"/>
          <w:szCs w:val="20"/>
        </w:rPr>
      </w:pPr>
      <w:r w:rsidRPr="00A13EDD">
        <w:rPr>
          <w:i/>
          <w:iCs/>
          <w:sz w:val="20"/>
          <w:szCs w:val="20"/>
        </w:rPr>
        <w:t>[Art. 304</w:t>
      </w:r>
      <w:r>
        <w:rPr>
          <w:i/>
          <w:iCs/>
          <w:sz w:val="20"/>
          <w:szCs w:val="20"/>
        </w:rPr>
        <w:t>nonies</w:t>
      </w:r>
      <w:r w:rsidRPr="00A13EDD">
        <w:rPr>
          <w:i/>
          <w:iCs/>
          <w:sz w:val="20"/>
          <w:szCs w:val="20"/>
        </w:rPr>
        <w:t xml:space="preserve"> </w:t>
      </w:r>
      <w:r w:rsidR="005B358C" w:rsidRPr="005B358C">
        <w:rPr>
          <w:i/>
          <w:iCs/>
          <w:sz w:val="20"/>
          <w:szCs w:val="20"/>
        </w:rPr>
        <w:t>eingefügt durch Art. </w:t>
      </w:r>
      <w:r w:rsidR="005B358C">
        <w:rPr>
          <w:i/>
          <w:iCs/>
          <w:sz w:val="20"/>
          <w:szCs w:val="20"/>
        </w:rPr>
        <w:t>12</w:t>
      </w:r>
      <w:r w:rsidR="005B358C" w:rsidRPr="005B358C">
        <w:rPr>
          <w:i/>
          <w:iCs/>
          <w:sz w:val="20"/>
          <w:szCs w:val="20"/>
        </w:rPr>
        <w:t xml:space="preserve"> des G. vom 26. Januar 2021 (B.S. vom 10. Februar 2021) - in Kraft am 1. Januar 2025 -, selbst aufgehoben durch Art. 213 des G. vom 12. Mai 2024 (B.S. vom 30. Mai 2024), und erneut </w:t>
      </w:r>
      <w:r w:rsidRPr="00A13EDD">
        <w:rPr>
          <w:i/>
          <w:iCs/>
          <w:sz w:val="20"/>
          <w:szCs w:val="20"/>
        </w:rPr>
        <w:t>eingefügt durch Art. 1</w:t>
      </w:r>
      <w:r>
        <w:rPr>
          <w:i/>
          <w:iCs/>
          <w:sz w:val="20"/>
          <w:szCs w:val="20"/>
        </w:rPr>
        <w:t>6</w:t>
      </w:r>
      <w:r w:rsidRPr="00A13EDD">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A13EDD">
        <w:rPr>
          <w:i/>
          <w:iCs/>
          <w:sz w:val="20"/>
          <w:szCs w:val="20"/>
        </w:rPr>
        <w:t>-]</w:t>
      </w:r>
      <w:r w:rsidRPr="00A13EDD">
        <w:rPr>
          <w:iCs/>
          <w:sz w:val="20"/>
          <w:szCs w:val="20"/>
        </w:rPr>
        <w:t>"</w:t>
      </w:r>
    </w:p>
    <w:p w14:paraId="65042E16" w14:textId="77777777" w:rsidR="00A13EDD" w:rsidRPr="00A13EDD" w:rsidRDefault="00A13EDD" w:rsidP="00A13EDD">
      <w:pPr>
        <w:jc w:val="both"/>
        <w:rPr>
          <w:iCs/>
          <w:sz w:val="20"/>
          <w:szCs w:val="20"/>
        </w:rPr>
      </w:pPr>
    </w:p>
    <w:p w14:paraId="563F894F" w14:textId="77777777" w:rsidR="00A13EDD" w:rsidRPr="00A13EDD" w:rsidRDefault="00A13EDD" w:rsidP="00A13EDD">
      <w:pPr>
        <w:jc w:val="both"/>
        <w:rPr>
          <w:iCs/>
          <w:sz w:val="20"/>
          <w:szCs w:val="20"/>
        </w:rPr>
      </w:pPr>
    </w:p>
    <w:p w14:paraId="5995D68C" w14:textId="2D0AF49A" w:rsidR="005B358C" w:rsidRPr="00515990" w:rsidRDefault="005B358C" w:rsidP="00515990">
      <w:pPr>
        <w:ind w:firstLine="709"/>
        <w:jc w:val="both"/>
        <w:rPr>
          <w:iCs/>
        </w:rPr>
      </w:pPr>
      <w:r w:rsidRPr="00515990">
        <w:rPr>
          <w:iCs/>
        </w:rPr>
        <w:t>[...]</w:t>
      </w:r>
    </w:p>
    <w:p w14:paraId="64548D01" w14:textId="77777777" w:rsidR="005B358C" w:rsidRPr="00515990" w:rsidRDefault="005B358C" w:rsidP="005B358C">
      <w:pPr>
        <w:jc w:val="both"/>
        <w:rPr>
          <w:iCs/>
        </w:rPr>
      </w:pPr>
    </w:p>
    <w:p w14:paraId="1AB23888" w14:textId="64D53FBB" w:rsidR="005B358C" w:rsidRPr="005B358C" w:rsidRDefault="005B358C" w:rsidP="005B358C">
      <w:pPr>
        <w:jc w:val="both"/>
        <w:rPr>
          <w:iCs/>
        </w:rPr>
      </w:pPr>
      <w:r w:rsidRPr="00515990">
        <w:rPr>
          <w:i/>
          <w:iCs/>
        </w:rPr>
        <w:t>[Früherer Artikel 304decies eingefügt durch Art. 13 des G. vom 26. Januar 2021 (B.S. vom 10. Februar 2021) - in Kraft am 1. Januar 2025 -, selbst aufgehoben durch Art. 213 des G. vom 12. Mai 2024 (B.S. vom 30. Mai 2024)]</w:t>
      </w:r>
    </w:p>
    <w:p w14:paraId="016BEBBF" w14:textId="57B1A829" w:rsidR="00A13EDD" w:rsidRDefault="00A13EDD" w:rsidP="00A13EDD">
      <w:pPr>
        <w:jc w:val="both"/>
        <w:rPr>
          <w:iCs/>
          <w:sz w:val="20"/>
          <w:szCs w:val="20"/>
        </w:rPr>
      </w:pPr>
    </w:p>
    <w:p w14:paraId="040473D6" w14:textId="77777777" w:rsidR="001751A9" w:rsidRDefault="001751A9">
      <w:pPr>
        <w:rPr>
          <w:b/>
          <w:bCs/>
        </w:rPr>
      </w:pPr>
      <w:r>
        <w:rPr>
          <w:b/>
          <w:bCs/>
        </w:rPr>
        <w:br w:type="page"/>
      </w:r>
    </w:p>
    <w:p w14:paraId="2E9A60D3" w14:textId="480BB3FB" w:rsidR="00477B8F" w:rsidRPr="001751A9" w:rsidRDefault="00D666D6" w:rsidP="001751A9">
      <w:pPr>
        <w:jc w:val="center"/>
        <w:rPr>
          <w:b/>
          <w:bCs/>
        </w:rPr>
      </w:pPr>
      <w:r w:rsidRPr="009118AB">
        <w:rPr>
          <w:b/>
          <w:bCs/>
        </w:rPr>
        <w:lastRenderedPageBreak/>
        <w:t>KAPITEL </w:t>
      </w:r>
      <w:r w:rsidR="007828ED" w:rsidRPr="009118AB">
        <w:rPr>
          <w:b/>
          <w:bCs/>
        </w:rPr>
        <w:t>2</w:t>
      </w:r>
      <w:r w:rsidR="00D67EB8" w:rsidRPr="009118AB">
        <w:t> - </w:t>
      </w:r>
      <w:r w:rsidR="00477B8F" w:rsidRPr="009118AB">
        <w:rPr>
          <w:i/>
          <w:iCs/>
        </w:rPr>
        <w:t>Erklärung</w:t>
      </w:r>
    </w:p>
    <w:p w14:paraId="73814AC7" w14:textId="77777777" w:rsidR="00477B8F" w:rsidRPr="009118AB" w:rsidRDefault="00477B8F" w:rsidP="00477B8F">
      <w:pPr>
        <w:autoSpaceDE w:val="0"/>
        <w:autoSpaceDN w:val="0"/>
        <w:adjustRightInd w:val="0"/>
        <w:jc w:val="center"/>
      </w:pPr>
    </w:p>
    <w:p w14:paraId="421EA31D" w14:textId="77777777" w:rsidR="00477B8F" w:rsidRPr="009118AB" w:rsidRDefault="00477B8F" w:rsidP="00477B8F">
      <w:pPr>
        <w:autoSpaceDE w:val="0"/>
        <w:autoSpaceDN w:val="0"/>
        <w:adjustRightInd w:val="0"/>
        <w:jc w:val="center"/>
      </w:pPr>
    </w:p>
    <w:p w14:paraId="2C645BE3" w14:textId="47681E2D" w:rsidR="00477B8F" w:rsidRPr="009118AB" w:rsidRDefault="00477B8F" w:rsidP="00477B8F">
      <w:pPr>
        <w:autoSpaceDE w:val="0"/>
        <w:autoSpaceDN w:val="0"/>
        <w:adjustRightInd w:val="0"/>
        <w:jc w:val="center"/>
      </w:pPr>
      <w:r w:rsidRPr="009118AB">
        <w:rPr>
          <w:i/>
          <w:iCs/>
        </w:rPr>
        <w:t>Abschnitt </w:t>
      </w:r>
      <w:r w:rsidR="00D74862" w:rsidRPr="009118AB">
        <w:rPr>
          <w:i/>
          <w:iCs/>
        </w:rPr>
        <w:t>1</w:t>
      </w:r>
      <w:r w:rsidR="00D67EB8" w:rsidRPr="009118AB">
        <w:t> - </w:t>
      </w:r>
      <w:r w:rsidRPr="009118AB">
        <w:t>Erklärung in Bezug auf die Steuer der natürlichen Personen, die Gesellschaftssteuer, die Steuer der juristischen Personen und die Steuer der Gebietsfremden</w:t>
      </w:r>
    </w:p>
    <w:p w14:paraId="2125F0D4" w14:textId="77777777" w:rsidR="00477B8F" w:rsidRPr="009118AB" w:rsidRDefault="00477B8F" w:rsidP="00477B8F">
      <w:pPr>
        <w:autoSpaceDE w:val="0"/>
        <w:autoSpaceDN w:val="0"/>
        <w:adjustRightInd w:val="0"/>
        <w:jc w:val="center"/>
      </w:pPr>
    </w:p>
    <w:p w14:paraId="4794B4EE" w14:textId="77777777" w:rsidR="00477B8F" w:rsidRPr="009118AB" w:rsidRDefault="00477B8F" w:rsidP="00477B8F">
      <w:pPr>
        <w:autoSpaceDE w:val="0"/>
        <w:autoSpaceDN w:val="0"/>
        <w:adjustRightInd w:val="0"/>
        <w:jc w:val="both"/>
      </w:pPr>
    </w:p>
    <w:p w14:paraId="2EEDE5FB" w14:textId="2C9BF29C" w:rsidR="00477B8F" w:rsidRPr="009118AB" w:rsidRDefault="00477B8F" w:rsidP="00477B8F">
      <w:pPr>
        <w:autoSpaceDE w:val="0"/>
        <w:autoSpaceDN w:val="0"/>
        <w:adjustRightInd w:val="0"/>
        <w:jc w:val="both"/>
      </w:pPr>
      <w:r w:rsidRPr="009118AB">
        <w:tab/>
      </w:r>
      <w:r w:rsidR="00D67EB8" w:rsidRPr="009118AB">
        <w:rPr>
          <w:b/>
          <w:bCs/>
        </w:rPr>
        <w:t>Art. </w:t>
      </w:r>
      <w:r w:rsidRPr="009118AB">
        <w:rPr>
          <w:b/>
          <w:bCs/>
        </w:rPr>
        <w:t>305</w:t>
      </w:r>
      <w:r w:rsidR="00D67EB8" w:rsidRPr="009118AB">
        <w:t> - </w:t>
      </w:r>
      <w:r w:rsidRPr="009118AB">
        <w:t xml:space="preserve">Steuerpflichtige, die der Steuer der natürlichen Personen, der Gesellschaftssteuer oder der Steuer der juristischen Personen unterliegen, </w:t>
      </w:r>
      <w:r w:rsidR="00A50425" w:rsidRPr="009118AB">
        <w:t>[und in Artikel 227 erwähnte Steuerpflichtige, für die die Steuer gemäß den Artikeln 232 bis 234 und 248 §</w:t>
      </w:r>
      <w:r w:rsidR="00D67EB8" w:rsidRPr="009118AB">
        <w:t>§ </w:t>
      </w:r>
      <w:r w:rsidR="00A50425" w:rsidRPr="009118AB">
        <w:t>2 und 3 festgelegt wird]</w:t>
      </w:r>
      <w:r w:rsidRPr="009118AB">
        <w:t xml:space="preserve">, sind verpflichtet, bei der </w:t>
      </w:r>
      <w:r w:rsidR="00461A8B" w:rsidRPr="009118AB">
        <w:t xml:space="preserve">[mit der Festlegung der Einkommensteuern beauftragten Verwaltung] </w:t>
      </w:r>
      <w:r w:rsidRPr="009118AB">
        <w:t>jedes Jahr in den Formen und Fristen, die in den Artikeln 307 bis 311 angegeben sind, eine Erklärung einzureichen.</w:t>
      </w:r>
    </w:p>
    <w:p w14:paraId="779C87A7" w14:textId="77777777" w:rsidR="00477B8F" w:rsidRPr="009118AB" w:rsidRDefault="00477B8F" w:rsidP="00477B8F">
      <w:pPr>
        <w:autoSpaceDE w:val="0"/>
        <w:autoSpaceDN w:val="0"/>
        <w:adjustRightInd w:val="0"/>
        <w:jc w:val="both"/>
      </w:pPr>
    </w:p>
    <w:p w14:paraId="4B0CF7B8" w14:textId="77777777" w:rsidR="00477B8F" w:rsidRPr="009118AB" w:rsidRDefault="00477B8F" w:rsidP="00477B8F">
      <w:pPr>
        <w:autoSpaceDE w:val="0"/>
        <w:autoSpaceDN w:val="0"/>
        <w:adjustRightInd w:val="0"/>
        <w:jc w:val="both"/>
      </w:pPr>
      <w:r w:rsidRPr="009118AB">
        <w:tab/>
        <w:t>Ist ein Steuerpflichtiger verstorben oder gesetzlich handlungsunfähig, obliegt die Erklärungspflicht im ersten Fall den Erben oder den Gesamtvermächtnisnehmern oder -beschenkten und im zweiten Fall dem gesetzlichen Vertreter.</w:t>
      </w:r>
    </w:p>
    <w:p w14:paraId="4B8836F8" w14:textId="77777777" w:rsidR="00477B8F" w:rsidRPr="009118AB" w:rsidRDefault="00477B8F" w:rsidP="00477B8F">
      <w:pPr>
        <w:autoSpaceDE w:val="0"/>
        <w:autoSpaceDN w:val="0"/>
        <w:adjustRightInd w:val="0"/>
        <w:jc w:val="both"/>
      </w:pPr>
    </w:p>
    <w:p w14:paraId="43B19BDD" w14:textId="5B3FFA1B" w:rsidR="00477B8F" w:rsidRPr="009118AB" w:rsidRDefault="00477B8F" w:rsidP="00477B8F">
      <w:pPr>
        <w:autoSpaceDE w:val="0"/>
        <w:autoSpaceDN w:val="0"/>
        <w:adjustRightInd w:val="0"/>
        <w:jc w:val="both"/>
      </w:pPr>
      <w:r w:rsidRPr="009118AB">
        <w:tab/>
      </w:r>
      <w:r w:rsidR="00B80AEA" w:rsidRPr="009118AB">
        <w:t xml:space="preserve">[Bei Gesellschaften, </w:t>
      </w:r>
      <w:r w:rsidR="00CD4FAE" w:rsidRPr="009118AB">
        <w:t>[die ohne Liquidation aufgelöst werden im Rahmen einer Fusion, eines mit einer Fusion gleichgesetzten Vorgangs oder einer Aufspaltung oder einer anderen Auflösung ohne Gesamtverteilung des Gesellschaftsvermögens]</w:t>
      </w:r>
      <w:r w:rsidR="00B80AEA" w:rsidRPr="009118AB">
        <w:t>, obliegt die Erklärungspflicht je nach Fall der übernehmenden Gesellschaft oder den begünstigten Gesellschaften. Bei anderen aufgelösten Gesellschaften obliegt diese Pflicht den Liquidatoren.]</w:t>
      </w:r>
    </w:p>
    <w:p w14:paraId="0FB549FA" w14:textId="77777777" w:rsidR="00B80AEA" w:rsidRPr="009118AB" w:rsidRDefault="00B80AEA" w:rsidP="00477B8F">
      <w:pPr>
        <w:autoSpaceDE w:val="0"/>
        <w:autoSpaceDN w:val="0"/>
        <w:adjustRightInd w:val="0"/>
        <w:jc w:val="both"/>
      </w:pPr>
    </w:p>
    <w:p w14:paraId="38E3A362" w14:textId="77777777" w:rsidR="00477B8F" w:rsidRPr="009118AB" w:rsidRDefault="00477B8F" w:rsidP="00477B8F">
      <w:pPr>
        <w:autoSpaceDE w:val="0"/>
        <w:autoSpaceDN w:val="0"/>
        <w:adjustRightInd w:val="0"/>
        <w:jc w:val="both"/>
      </w:pPr>
      <w:r w:rsidRPr="009118AB">
        <w:tab/>
      </w:r>
      <w:r w:rsidR="002303F6" w:rsidRPr="009118AB">
        <w:t>[Steuerpflichtige, die weder lesen noch unterzeichnen können, dürfen ihre Erklärung von Bediensteten des zuständigen Besteuerungsdienstes ausfüllen lassen, sofern sie die notwendigen Angaben machen. In diesem Fall wird dieser Umstand in der Erklärung angegeben und wird die Erklärung von dem Bediensteten unterzeichnet, der sie ausgefüllt hat.]</w:t>
      </w:r>
    </w:p>
    <w:p w14:paraId="0FFFBCD9" w14:textId="77777777" w:rsidR="002303F6" w:rsidRPr="009118AB" w:rsidRDefault="002303F6" w:rsidP="00477B8F">
      <w:pPr>
        <w:autoSpaceDE w:val="0"/>
        <w:autoSpaceDN w:val="0"/>
        <w:adjustRightInd w:val="0"/>
        <w:jc w:val="both"/>
      </w:pPr>
    </w:p>
    <w:p w14:paraId="60FC86EE" w14:textId="77777777" w:rsidR="00477B8F" w:rsidRPr="009118AB" w:rsidRDefault="00477B8F" w:rsidP="00477B8F">
      <w:pPr>
        <w:autoSpaceDE w:val="0"/>
        <w:autoSpaceDN w:val="0"/>
        <w:adjustRightInd w:val="0"/>
        <w:jc w:val="both"/>
      </w:pPr>
      <w:r w:rsidRPr="009118AB">
        <w:tab/>
        <w:t>Erklärungen dürfen ebenfalls von einem Beauftragten eingereicht werden, der dann den Nachweis der Generalvollmacht, aufgrund deren er handelt, erbringen muss.</w:t>
      </w:r>
    </w:p>
    <w:p w14:paraId="52D137D8" w14:textId="77777777" w:rsidR="00B80AEA" w:rsidRPr="009118AB" w:rsidRDefault="00B80AEA" w:rsidP="00477B8F">
      <w:pPr>
        <w:autoSpaceDE w:val="0"/>
        <w:autoSpaceDN w:val="0"/>
        <w:adjustRightInd w:val="0"/>
        <w:jc w:val="both"/>
      </w:pPr>
    </w:p>
    <w:p w14:paraId="3F583C13" w14:textId="7C7506BD" w:rsidR="00B80AEA" w:rsidRPr="009118AB" w:rsidRDefault="00B80AEA" w:rsidP="00477B8F">
      <w:pPr>
        <w:autoSpaceDE w:val="0"/>
        <w:autoSpaceDN w:val="0"/>
        <w:adjustRightInd w:val="0"/>
        <w:jc w:val="both"/>
        <w:rPr>
          <w:i/>
        </w:rPr>
      </w:pPr>
      <w:r w:rsidRPr="009118AB">
        <w:rPr>
          <w:i/>
        </w:rPr>
        <w:t>[</w:t>
      </w:r>
      <w:r w:rsidR="00D67EB8" w:rsidRPr="009118AB">
        <w:rPr>
          <w:i/>
        </w:rPr>
        <w:t>Art. </w:t>
      </w:r>
      <w:r w:rsidRPr="009118AB">
        <w:rPr>
          <w:i/>
        </w:rPr>
        <w:t>305</w:t>
      </w:r>
      <w:r w:rsidR="00BE30A0" w:rsidRPr="009118AB">
        <w:rPr>
          <w:i/>
        </w:rPr>
        <w:t xml:space="preserve"> </w:t>
      </w:r>
      <w:r w:rsidR="00D67EB8" w:rsidRPr="009118AB">
        <w:rPr>
          <w:i/>
        </w:rPr>
        <w:t>Abs. </w:t>
      </w:r>
      <w:r w:rsidR="00BE30A0" w:rsidRPr="009118AB">
        <w:rPr>
          <w:i/>
        </w:rPr>
        <w:t xml:space="preserve">1 abgeändert durch </w:t>
      </w:r>
      <w:r w:rsidR="00D67EB8" w:rsidRPr="009118AB">
        <w:rPr>
          <w:i/>
        </w:rPr>
        <w:t>Art. </w:t>
      </w:r>
      <w:r w:rsidR="00093D04" w:rsidRPr="009118AB">
        <w:rPr>
          <w:i/>
        </w:rPr>
        <w:t>172</w:t>
      </w:r>
      <w:r w:rsidR="00093D04" w:rsidRPr="009118AB">
        <w:rPr>
          <w:i/>
          <w:iCs/>
        </w:rPr>
        <w:t xml:space="preserve"> </w:t>
      </w:r>
      <w:r w:rsidR="00BE30A0" w:rsidRPr="009118AB">
        <w:rPr>
          <w:i/>
          <w:iCs/>
        </w:rPr>
        <w:t>des G. </w:t>
      </w:r>
      <w:r w:rsidR="00FC66AA" w:rsidRPr="009118AB">
        <w:rPr>
          <w:i/>
          <w:iCs/>
        </w:rPr>
        <w:t>(I) vom 22. Dezember 2008 </w:t>
      </w:r>
      <w:r w:rsidR="00093D04" w:rsidRPr="009118AB">
        <w:rPr>
          <w:i/>
          <w:iCs/>
        </w:rPr>
        <w:t>(II) (B.S. vom 29. Dezember 2008)</w:t>
      </w:r>
      <w:r w:rsidR="00D67EB8" w:rsidRPr="009118AB">
        <w:rPr>
          <w:i/>
          <w:iCs/>
        </w:rPr>
        <w:t> - </w:t>
      </w:r>
      <w:r w:rsidR="00093D04" w:rsidRPr="009118AB">
        <w:rPr>
          <w:i/>
          <w:iCs/>
        </w:rPr>
        <w:t>anwendbar ab dem Steuerjahr 2009</w:t>
      </w:r>
      <w:r w:rsidR="00FD68E8" w:rsidRPr="009118AB">
        <w:rPr>
          <w:i/>
          <w:iCs/>
        </w:rPr>
        <w:t> -,</w:t>
      </w:r>
      <w:r w:rsidR="00934A49" w:rsidRPr="009118AB">
        <w:rPr>
          <w:i/>
          <w:iCs/>
        </w:rPr>
        <w:t xml:space="preserve"> </w:t>
      </w:r>
      <w:r w:rsidR="00D67EB8" w:rsidRPr="009118AB">
        <w:rPr>
          <w:i/>
          <w:iCs/>
        </w:rPr>
        <w:t>Art. </w:t>
      </w:r>
      <w:r w:rsidR="00934A49" w:rsidRPr="009118AB">
        <w:rPr>
          <w:i/>
          <w:iCs/>
        </w:rPr>
        <w:t>26 des G. vom 17. Juni 2013 (B.S. vom 28. Juni 2013)</w:t>
      </w:r>
      <w:r w:rsidR="00D67EB8" w:rsidRPr="009118AB">
        <w:rPr>
          <w:i/>
          <w:iCs/>
        </w:rPr>
        <w:t> - </w:t>
      </w:r>
      <w:r w:rsidR="00934A49" w:rsidRPr="009118AB">
        <w:rPr>
          <w:i/>
          <w:iCs/>
        </w:rPr>
        <w:t>anwendbar ab dem Steuerjahr 2014</w:t>
      </w:r>
      <w:r w:rsidR="00D67EB8" w:rsidRPr="009118AB">
        <w:rPr>
          <w:i/>
          <w:iCs/>
        </w:rPr>
        <w:t> - </w:t>
      </w:r>
      <w:r w:rsidR="00917455" w:rsidRPr="009118AB">
        <w:rPr>
          <w:i/>
          <w:iCs/>
        </w:rPr>
        <w:t xml:space="preserve">und </w:t>
      </w:r>
      <w:r w:rsidR="00D67EB8" w:rsidRPr="009118AB">
        <w:rPr>
          <w:i/>
          <w:iCs/>
        </w:rPr>
        <w:t>Art. </w:t>
      </w:r>
      <w:r w:rsidR="00917455" w:rsidRPr="009118AB">
        <w:rPr>
          <w:i/>
          <w:iCs/>
        </w:rPr>
        <w:t>6 des G. vom 25. April 2014 (I) (B.S. vom 16. Mai 2014)</w:t>
      </w:r>
      <w:r w:rsidR="00D67EB8" w:rsidRPr="009118AB">
        <w:rPr>
          <w:i/>
          <w:iCs/>
        </w:rPr>
        <w:t> - </w:t>
      </w:r>
      <w:r w:rsidR="00917455" w:rsidRPr="009118AB">
        <w:rPr>
          <w:i/>
          <w:iCs/>
        </w:rPr>
        <w:t>in Kraft am 16. Mai 2014</w:t>
      </w:r>
      <w:r w:rsidR="003366D9" w:rsidRPr="009118AB">
        <w:rPr>
          <w:i/>
          <w:iCs/>
        </w:rPr>
        <w:t> -;</w:t>
      </w:r>
      <w:r w:rsidR="00FC66AA" w:rsidRPr="009118AB">
        <w:rPr>
          <w:i/>
        </w:rPr>
        <w:t xml:space="preserve"> </w:t>
      </w:r>
      <w:r w:rsidR="00D67EB8" w:rsidRPr="009118AB">
        <w:rPr>
          <w:i/>
        </w:rPr>
        <w:t>Abs. </w:t>
      </w:r>
      <w:r w:rsidR="00FC66AA" w:rsidRPr="009118AB">
        <w:rPr>
          <w:i/>
        </w:rPr>
        <w:t xml:space="preserve">3 ersetzt durch </w:t>
      </w:r>
      <w:r w:rsidR="00D67EB8" w:rsidRPr="009118AB">
        <w:rPr>
          <w:i/>
        </w:rPr>
        <w:t>Art. </w:t>
      </w:r>
      <w:r w:rsidRPr="009118AB">
        <w:rPr>
          <w:i/>
        </w:rPr>
        <w:t>156</w:t>
      </w:r>
      <w:r w:rsidR="00FC66AA" w:rsidRPr="009118AB">
        <w:rPr>
          <w:i/>
          <w:iCs/>
        </w:rPr>
        <w:t xml:space="preserve"> des G. (I) vom 22. Dezember 2008 </w:t>
      </w:r>
      <w:r w:rsidRPr="009118AB">
        <w:rPr>
          <w:i/>
          <w:iCs/>
        </w:rPr>
        <w:t>(II) (B.S. vom 29. Dezember 2008)</w:t>
      </w:r>
      <w:r w:rsidR="00D67EB8" w:rsidRPr="009118AB">
        <w:rPr>
          <w:i/>
          <w:iCs/>
        </w:rPr>
        <w:t> - </w:t>
      </w:r>
      <w:r w:rsidR="00721FC7" w:rsidRPr="009118AB">
        <w:rPr>
          <w:i/>
          <w:iCs/>
        </w:rPr>
        <w:t>in Kraft am 29. Dezember 2008</w:t>
      </w:r>
      <w:r w:rsidR="00D67EB8" w:rsidRPr="009118AB">
        <w:rPr>
          <w:i/>
          <w:iCs/>
        </w:rPr>
        <w:t> - </w:t>
      </w:r>
      <w:r w:rsidR="008349CC" w:rsidRPr="009118AB">
        <w:rPr>
          <w:i/>
          <w:iCs/>
        </w:rPr>
        <w:t xml:space="preserve">und abgeändert durch </w:t>
      </w:r>
      <w:r w:rsidR="00D67EB8" w:rsidRPr="009118AB">
        <w:rPr>
          <w:i/>
          <w:iCs/>
        </w:rPr>
        <w:t>Art. </w:t>
      </w:r>
      <w:r w:rsidR="008349CC" w:rsidRPr="009118AB">
        <w:rPr>
          <w:i/>
          <w:iCs/>
        </w:rPr>
        <w:t>68</w:t>
      </w:r>
      <w:r w:rsidR="008349CC" w:rsidRPr="009118AB">
        <w:rPr>
          <w:i/>
          <w:iCs/>
          <w:spacing w:val="-2"/>
        </w:rPr>
        <w:t xml:space="preserve"> des G. vom 17. März 2019 (III) (B.S. vom 10. Mai 2019)</w:t>
      </w:r>
      <w:r w:rsidR="00D67EB8" w:rsidRPr="009118AB">
        <w:rPr>
          <w:i/>
          <w:iCs/>
          <w:spacing w:val="-2"/>
        </w:rPr>
        <w:t> - </w:t>
      </w:r>
      <w:r w:rsidR="008349CC" w:rsidRPr="009118AB">
        <w:rPr>
          <w:i/>
          <w:iCs/>
          <w:spacing w:val="-2"/>
        </w:rPr>
        <w:t>in Kraft am 1. Mai 2019</w:t>
      </w:r>
      <w:r w:rsidR="003366D9" w:rsidRPr="009118AB">
        <w:rPr>
          <w:i/>
          <w:iCs/>
          <w:spacing w:val="-2"/>
        </w:rPr>
        <w:t> -;</w:t>
      </w:r>
      <w:r w:rsidR="00FC66AA" w:rsidRPr="009118AB">
        <w:rPr>
          <w:i/>
          <w:iCs/>
        </w:rPr>
        <w:t xml:space="preserve"> </w:t>
      </w:r>
      <w:r w:rsidR="00D67EB8" w:rsidRPr="009118AB">
        <w:rPr>
          <w:i/>
          <w:iCs/>
        </w:rPr>
        <w:t>Abs. </w:t>
      </w:r>
      <w:r w:rsidR="00FC66AA" w:rsidRPr="009118AB">
        <w:rPr>
          <w:i/>
          <w:iCs/>
        </w:rPr>
        <w:t xml:space="preserve">4 ersetzt durch </w:t>
      </w:r>
      <w:r w:rsidR="00D67EB8" w:rsidRPr="009118AB">
        <w:rPr>
          <w:i/>
          <w:iCs/>
        </w:rPr>
        <w:t>Art. </w:t>
      </w:r>
      <w:r w:rsidR="002303F6" w:rsidRPr="009118AB">
        <w:rPr>
          <w:i/>
          <w:iCs/>
        </w:rPr>
        <w:t>2 des G. vom 8. Juni 2009 (B.S. vom 18. Juni 2009)</w:t>
      </w:r>
      <w:r w:rsidR="00D67EB8" w:rsidRPr="009118AB">
        <w:rPr>
          <w:i/>
          <w:iCs/>
        </w:rPr>
        <w:t> - </w:t>
      </w:r>
      <w:r w:rsidR="002303F6" w:rsidRPr="009118AB">
        <w:rPr>
          <w:i/>
          <w:iCs/>
        </w:rPr>
        <w:t>wirksam mit dem Steuerjahr 2009</w:t>
      </w:r>
      <w:r w:rsidR="00FD68E8" w:rsidRPr="009118AB">
        <w:rPr>
          <w:i/>
          <w:iCs/>
        </w:rPr>
        <w:t> -]</w:t>
      </w:r>
    </w:p>
    <w:p w14:paraId="3705803E" w14:textId="6D11C674" w:rsidR="00477B8F" w:rsidRPr="009118AB" w:rsidRDefault="00477B8F" w:rsidP="00477B8F">
      <w:pPr>
        <w:autoSpaceDE w:val="0"/>
        <w:autoSpaceDN w:val="0"/>
        <w:adjustRightInd w:val="0"/>
        <w:jc w:val="both"/>
      </w:pPr>
    </w:p>
    <w:p w14:paraId="5DF734FE" w14:textId="77777777" w:rsidR="00FF3113" w:rsidRPr="009118AB" w:rsidRDefault="00FF3113" w:rsidP="00477B8F">
      <w:pPr>
        <w:autoSpaceDE w:val="0"/>
        <w:autoSpaceDN w:val="0"/>
        <w:adjustRightInd w:val="0"/>
        <w:jc w:val="both"/>
      </w:pPr>
    </w:p>
    <w:p w14:paraId="2933EBC6" w14:textId="5025AB1D" w:rsidR="00D3474D" w:rsidRPr="00D3474D" w:rsidRDefault="00D3474D" w:rsidP="00D3474D">
      <w:pPr>
        <w:autoSpaceDE w:val="0"/>
        <w:autoSpaceDN w:val="0"/>
        <w:adjustRightInd w:val="0"/>
        <w:jc w:val="both"/>
        <w:rPr>
          <w:iCs/>
          <w:sz w:val="20"/>
          <w:szCs w:val="20"/>
        </w:rPr>
      </w:pPr>
      <w:r w:rsidRPr="00D3474D">
        <w:rPr>
          <w:iCs/>
          <w:sz w:val="20"/>
          <w:szCs w:val="20"/>
        </w:rPr>
        <w:t>Ab einem gemäß Art. 222 des G. vom 12. Mai 2024 (B.S. vom 30. Mai 2024) vom König festzulegenden Datum und spätestens am 1. Januar 2028 lautet Art. </w:t>
      </w:r>
      <w:r>
        <w:rPr>
          <w:iCs/>
          <w:sz w:val="20"/>
          <w:szCs w:val="20"/>
        </w:rPr>
        <w:t>305</w:t>
      </w:r>
      <w:r w:rsidRPr="00D3474D">
        <w:rPr>
          <w:iCs/>
          <w:sz w:val="20"/>
          <w:szCs w:val="20"/>
        </w:rPr>
        <w:t xml:space="preserve"> wie folgt:</w:t>
      </w:r>
    </w:p>
    <w:p w14:paraId="2D7CB74E" w14:textId="77777777" w:rsidR="00FF3113" w:rsidRPr="009118AB" w:rsidRDefault="00FF3113" w:rsidP="00FF3113">
      <w:pPr>
        <w:autoSpaceDE w:val="0"/>
        <w:autoSpaceDN w:val="0"/>
        <w:adjustRightInd w:val="0"/>
        <w:jc w:val="both"/>
        <w:rPr>
          <w:iCs/>
          <w:sz w:val="20"/>
          <w:szCs w:val="20"/>
        </w:rPr>
      </w:pPr>
    </w:p>
    <w:p w14:paraId="3C0DA7C0" w14:textId="7FACA2BA" w:rsidR="00D3474D" w:rsidRPr="00D3474D" w:rsidRDefault="00FF3113" w:rsidP="00D3474D">
      <w:pPr>
        <w:autoSpaceDE w:val="0"/>
        <w:autoSpaceDN w:val="0"/>
        <w:adjustRightInd w:val="0"/>
        <w:jc w:val="both"/>
        <w:rPr>
          <w:iCs/>
          <w:sz w:val="20"/>
          <w:szCs w:val="20"/>
        </w:rPr>
      </w:pPr>
      <w:r w:rsidRPr="009118AB">
        <w:rPr>
          <w:iCs/>
          <w:sz w:val="20"/>
          <w:szCs w:val="20"/>
        </w:rPr>
        <w:t>"</w:t>
      </w:r>
      <w:r w:rsidR="00D67EB8" w:rsidRPr="009118AB">
        <w:rPr>
          <w:bCs/>
          <w:iCs/>
          <w:sz w:val="20"/>
          <w:szCs w:val="20"/>
        </w:rPr>
        <w:t>Art. </w:t>
      </w:r>
      <w:r w:rsidRPr="009118AB">
        <w:rPr>
          <w:bCs/>
          <w:iCs/>
          <w:sz w:val="20"/>
          <w:szCs w:val="20"/>
        </w:rPr>
        <w:t>305</w:t>
      </w:r>
      <w:r w:rsidR="00D67EB8" w:rsidRPr="009118AB">
        <w:rPr>
          <w:iCs/>
          <w:sz w:val="20"/>
          <w:szCs w:val="20"/>
        </w:rPr>
        <w:t> - </w:t>
      </w:r>
      <w:r w:rsidR="00D3474D" w:rsidRPr="00D3474D">
        <w:rPr>
          <w:iCs/>
          <w:sz w:val="20"/>
          <w:szCs w:val="20"/>
        </w:rPr>
        <w:t xml:space="preserve">Steuerpflichtige, die der Steuer der natürlichen Personen, der Gesellschaftssteuer oder der Steuer der juristischen Personen unterliegen, [und in Artikel 227 erwähnte Steuerpflichtige, für die die Steuer gemäß den Artikeln 232 bis 234 und 248 §§ 2 und 3 festgelegt wird], sind verpflichtet, </w:t>
      </w:r>
      <w:r w:rsidR="00D3474D">
        <w:rPr>
          <w:iCs/>
          <w:sz w:val="20"/>
          <w:szCs w:val="20"/>
        </w:rPr>
        <w:t>[</w:t>
      </w:r>
      <w:r w:rsidR="00D3474D" w:rsidRPr="00D3474D">
        <w:rPr>
          <w:iCs/>
          <w:sz w:val="20"/>
          <w:szCs w:val="20"/>
        </w:rPr>
        <w:t>der mit der Festlegung der Einkommensteuern beauftragten Verwaltung jedes Jahr in den Formen und Fristen, die in den Artikeln 307 bis 311 angegeben sind, eine Erklärung zu übermitteln</w:t>
      </w:r>
      <w:r w:rsidR="00D3474D">
        <w:rPr>
          <w:iCs/>
          <w:sz w:val="20"/>
          <w:szCs w:val="20"/>
        </w:rPr>
        <w:t>]</w:t>
      </w:r>
      <w:r w:rsidR="00D3474D" w:rsidRPr="00D3474D">
        <w:rPr>
          <w:iCs/>
          <w:sz w:val="20"/>
          <w:szCs w:val="20"/>
        </w:rPr>
        <w:t>.</w:t>
      </w:r>
    </w:p>
    <w:p w14:paraId="72E944E4" w14:textId="77777777" w:rsidR="00D3474D" w:rsidRDefault="00D3474D" w:rsidP="00D3474D">
      <w:pPr>
        <w:autoSpaceDE w:val="0"/>
        <w:autoSpaceDN w:val="0"/>
        <w:adjustRightInd w:val="0"/>
        <w:jc w:val="both"/>
        <w:rPr>
          <w:iCs/>
          <w:sz w:val="20"/>
          <w:szCs w:val="20"/>
        </w:rPr>
      </w:pPr>
    </w:p>
    <w:p w14:paraId="5E4B157A" w14:textId="77777777" w:rsidR="00A54224" w:rsidRDefault="00A54224" w:rsidP="00D3474D">
      <w:pPr>
        <w:autoSpaceDE w:val="0"/>
        <w:autoSpaceDN w:val="0"/>
        <w:adjustRightInd w:val="0"/>
        <w:jc w:val="both"/>
        <w:rPr>
          <w:iCs/>
          <w:sz w:val="20"/>
          <w:szCs w:val="20"/>
        </w:rPr>
      </w:pPr>
      <w:r>
        <w:rPr>
          <w:iCs/>
          <w:sz w:val="20"/>
          <w:szCs w:val="20"/>
        </w:rPr>
        <w:t>[…]</w:t>
      </w:r>
    </w:p>
    <w:p w14:paraId="39277371" w14:textId="77777777" w:rsidR="00A54224" w:rsidRDefault="00A54224" w:rsidP="00D3474D">
      <w:pPr>
        <w:autoSpaceDE w:val="0"/>
        <w:autoSpaceDN w:val="0"/>
        <w:adjustRightInd w:val="0"/>
        <w:jc w:val="both"/>
        <w:rPr>
          <w:iCs/>
          <w:sz w:val="20"/>
          <w:szCs w:val="20"/>
        </w:rPr>
      </w:pPr>
    </w:p>
    <w:p w14:paraId="273FA174" w14:textId="0183D24D" w:rsidR="00D3474D" w:rsidRPr="00D3474D" w:rsidRDefault="00D3474D" w:rsidP="00D3474D">
      <w:pPr>
        <w:autoSpaceDE w:val="0"/>
        <w:autoSpaceDN w:val="0"/>
        <w:adjustRightInd w:val="0"/>
        <w:jc w:val="both"/>
        <w:rPr>
          <w:iCs/>
          <w:sz w:val="20"/>
          <w:szCs w:val="20"/>
        </w:rPr>
      </w:pPr>
      <w:r>
        <w:rPr>
          <w:iCs/>
          <w:sz w:val="20"/>
          <w:szCs w:val="20"/>
        </w:rPr>
        <w:t>[</w:t>
      </w:r>
      <w:r w:rsidRPr="00D3474D">
        <w:rPr>
          <w:iCs/>
          <w:sz w:val="20"/>
          <w:szCs w:val="20"/>
        </w:rPr>
        <w:t>Steuerpflichtige, die der Gesellschaftssteuer oder der Steuer der juristischen Personen unterliegen, und Steuerpflichtige, die gemäß Artikel 227 Nr. 2 und 3 der Steuer der Gebietsfremden unterliegen, müssen ihre Erklärung ab einem vom König für alle oder bestimmte Kategorien von Inhabern einer Unternehmensnummer festzulegenden Datum auf elektronischem Wege einreichen.</w:t>
      </w:r>
    </w:p>
    <w:p w14:paraId="4F21A293" w14:textId="77777777" w:rsidR="00D3474D" w:rsidRPr="00D3474D" w:rsidRDefault="00D3474D" w:rsidP="00D3474D">
      <w:pPr>
        <w:autoSpaceDE w:val="0"/>
        <w:autoSpaceDN w:val="0"/>
        <w:adjustRightInd w:val="0"/>
        <w:jc w:val="both"/>
        <w:rPr>
          <w:iCs/>
          <w:sz w:val="20"/>
          <w:szCs w:val="20"/>
        </w:rPr>
      </w:pPr>
    </w:p>
    <w:p w14:paraId="5866CD86" w14:textId="3D09A0E5" w:rsidR="00D3474D" w:rsidRPr="00D3474D" w:rsidRDefault="00D3474D" w:rsidP="00D3474D">
      <w:pPr>
        <w:autoSpaceDE w:val="0"/>
        <w:autoSpaceDN w:val="0"/>
        <w:adjustRightInd w:val="0"/>
        <w:jc w:val="both"/>
        <w:rPr>
          <w:iCs/>
          <w:sz w:val="20"/>
          <w:szCs w:val="20"/>
        </w:rPr>
      </w:pPr>
      <w:r w:rsidRPr="00D3474D">
        <w:rPr>
          <w:iCs/>
          <w:sz w:val="20"/>
          <w:szCs w:val="20"/>
        </w:rPr>
        <w:t>Steuerpflichtige, die der Steuer der natürlichen Personen unterliegen, und Steuerpflichtige, die gemäß Artikel 227 Nr. 1 der Steuer der Gebietsfremden unterliegen, die gemäß Artikel 304</w:t>
      </w:r>
      <w:r w:rsidRPr="00D3474D">
        <w:rPr>
          <w:i/>
          <w:iCs/>
          <w:sz w:val="20"/>
          <w:szCs w:val="20"/>
        </w:rPr>
        <w:t>ter</w:t>
      </w:r>
      <w:r w:rsidRPr="00D3474D">
        <w:rPr>
          <w:iCs/>
          <w:sz w:val="20"/>
          <w:szCs w:val="20"/>
        </w:rPr>
        <w:t xml:space="preserve"> § 3 das Verfahren in Bezug auf die elektronische Kommunikation mit dem Föderalen Öffentlichen Dienst Finanzen über eine gesicherte elektronische Plattform ausdrücklich angenommen haben oder die gemäß Artikel 304</w:t>
      </w:r>
      <w:r w:rsidRPr="00D3474D">
        <w:rPr>
          <w:i/>
          <w:iCs/>
          <w:sz w:val="20"/>
          <w:szCs w:val="20"/>
        </w:rPr>
        <w:t>quater</w:t>
      </w:r>
      <w:r w:rsidRPr="00D3474D">
        <w:rPr>
          <w:iCs/>
          <w:sz w:val="20"/>
          <w:szCs w:val="20"/>
        </w:rPr>
        <w:t xml:space="preserve"> verpflichtet sind, mit dem Föderalen Öffentlichen Dienst Finanzen über eine gesicherte elektronische Plattform auf elektronischem Wege zu kommunizieren, sind verpflichtet, ihre Erklärung auf elektronischem Wege einzureichen.</w:t>
      </w:r>
    </w:p>
    <w:p w14:paraId="7AE76BA3" w14:textId="77777777" w:rsidR="00D3474D" w:rsidRPr="00D3474D" w:rsidRDefault="00D3474D" w:rsidP="00D3474D">
      <w:pPr>
        <w:autoSpaceDE w:val="0"/>
        <w:autoSpaceDN w:val="0"/>
        <w:adjustRightInd w:val="0"/>
        <w:jc w:val="both"/>
        <w:rPr>
          <w:iCs/>
          <w:sz w:val="20"/>
          <w:szCs w:val="20"/>
        </w:rPr>
      </w:pPr>
    </w:p>
    <w:p w14:paraId="495E2241" w14:textId="6363C206" w:rsidR="00D3474D" w:rsidRDefault="00D3474D" w:rsidP="00D3474D">
      <w:pPr>
        <w:autoSpaceDE w:val="0"/>
        <w:autoSpaceDN w:val="0"/>
        <w:adjustRightInd w:val="0"/>
        <w:jc w:val="both"/>
        <w:rPr>
          <w:iCs/>
          <w:sz w:val="20"/>
          <w:szCs w:val="20"/>
        </w:rPr>
      </w:pPr>
      <w:r w:rsidRPr="00D3474D">
        <w:rPr>
          <w:iCs/>
          <w:sz w:val="20"/>
          <w:szCs w:val="20"/>
        </w:rPr>
        <w:t>Der König bestimmt die Einreichungsmodalitäten.</w:t>
      </w:r>
      <w:r>
        <w:rPr>
          <w:iCs/>
          <w:sz w:val="20"/>
          <w:szCs w:val="20"/>
        </w:rPr>
        <w:t>]</w:t>
      </w:r>
    </w:p>
    <w:p w14:paraId="6B1EB530" w14:textId="77777777" w:rsidR="00D3474D" w:rsidRPr="00D3474D" w:rsidRDefault="00D3474D" w:rsidP="00D3474D">
      <w:pPr>
        <w:autoSpaceDE w:val="0"/>
        <w:autoSpaceDN w:val="0"/>
        <w:adjustRightInd w:val="0"/>
        <w:jc w:val="both"/>
        <w:rPr>
          <w:iCs/>
          <w:sz w:val="20"/>
          <w:szCs w:val="20"/>
        </w:rPr>
      </w:pPr>
    </w:p>
    <w:p w14:paraId="7A04DE5A" w14:textId="400099AB" w:rsidR="00D3474D" w:rsidRPr="00D3474D" w:rsidRDefault="00D3474D" w:rsidP="00D3474D">
      <w:pPr>
        <w:autoSpaceDE w:val="0"/>
        <w:autoSpaceDN w:val="0"/>
        <w:adjustRightInd w:val="0"/>
        <w:jc w:val="both"/>
        <w:rPr>
          <w:iCs/>
          <w:sz w:val="20"/>
          <w:szCs w:val="20"/>
        </w:rPr>
      </w:pPr>
      <w:r w:rsidRPr="00D3474D">
        <w:rPr>
          <w:iCs/>
          <w:sz w:val="20"/>
          <w:szCs w:val="20"/>
        </w:rPr>
        <w:t>Ist ein Steuerpflichtiger verstorben oder gesetzlich handlungsunfähig, obliegt die Erklärungspflicht im ersten Fall den Erben oder den Gesamtvermächtnisnehmern oder -beschenkten und im zweiten Fall dem gesetzlichen Vertreter.</w:t>
      </w:r>
    </w:p>
    <w:p w14:paraId="27D328E5" w14:textId="77777777" w:rsidR="00D3474D" w:rsidRPr="00D3474D" w:rsidRDefault="00D3474D" w:rsidP="00D3474D">
      <w:pPr>
        <w:autoSpaceDE w:val="0"/>
        <w:autoSpaceDN w:val="0"/>
        <w:adjustRightInd w:val="0"/>
        <w:jc w:val="both"/>
        <w:rPr>
          <w:iCs/>
          <w:sz w:val="20"/>
          <w:szCs w:val="20"/>
        </w:rPr>
      </w:pPr>
    </w:p>
    <w:p w14:paraId="6AD498F4" w14:textId="7213FDBA" w:rsidR="00D3474D" w:rsidRPr="00D3474D" w:rsidRDefault="00D3474D" w:rsidP="00D3474D">
      <w:pPr>
        <w:autoSpaceDE w:val="0"/>
        <w:autoSpaceDN w:val="0"/>
        <w:adjustRightInd w:val="0"/>
        <w:jc w:val="both"/>
        <w:rPr>
          <w:iCs/>
          <w:sz w:val="20"/>
          <w:szCs w:val="20"/>
        </w:rPr>
      </w:pPr>
      <w:r w:rsidRPr="00D3474D">
        <w:rPr>
          <w:iCs/>
          <w:sz w:val="20"/>
          <w:szCs w:val="20"/>
        </w:rPr>
        <w:t>[Bei Gesellschaften, [die ohne Liquidation aufgelöst werden im Rahmen einer Fusion, eines mit einer Fusion gleichgesetzten Vorgangs oder einer Aufspaltung oder einer anderen Auflösung ohne Gesamtverteilung des Gesellschaftsvermögens], obliegt die Erklärungspflicht je nach Fall der übernehmenden Gesellschaft oder den begünstigten Gesellschaften. Bei anderen aufgelösten Gesellschaften obliegt diese Pflicht den Liquidatoren.]</w:t>
      </w:r>
    </w:p>
    <w:p w14:paraId="78FCB895" w14:textId="77777777" w:rsidR="00D3474D" w:rsidRPr="00D3474D" w:rsidRDefault="00D3474D" w:rsidP="00D3474D">
      <w:pPr>
        <w:autoSpaceDE w:val="0"/>
        <w:autoSpaceDN w:val="0"/>
        <w:adjustRightInd w:val="0"/>
        <w:jc w:val="both"/>
        <w:rPr>
          <w:iCs/>
          <w:sz w:val="20"/>
          <w:szCs w:val="20"/>
        </w:rPr>
      </w:pPr>
    </w:p>
    <w:p w14:paraId="1242145B" w14:textId="03F9B12D" w:rsidR="00D3474D" w:rsidRPr="00D3474D" w:rsidRDefault="00D3474D" w:rsidP="00D3474D">
      <w:pPr>
        <w:autoSpaceDE w:val="0"/>
        <w:autoSpaceDN w:val="0"/>
        <w:adjustRightInd w:val="0"/>
        <w:jc w:val="both"/>
        <w:rPr>
          <w:iCs/>
          <w:sz w:val="20"/>
          <w:szCs w:val="20"/>
        </w:rPr>
      </w:pPr>
      <w:r w:rsidRPr="00D3474D">
        <w:rPr>
          <w:iCs/>
          <w:sz w:val="20"/>
          <w:szCs w:val="20"/>
        </w:rPr>
        <w:t>[Steuerpflichtige, die weder lesen noch unterzeichnen können, dürfen ihre Erklärung von Bediensteten des zuständigen Besteuerungsdienstes ausfüllen lassen, sofern sie die notwendigen Angaben machen. In diesem Fall wird dieser Umstand in der Erklärung angegeben und wird die Erklärung von dem Bediensteten unterzeichnet, der sie ausgefüllt hat.]</w:t>
      </w:r>
    </w:p>
    <w:p w14:paraId="0C13B403" w14:textId="77777777" w:rsidR="00D3474D" w:rsidRPr="00D3474D" w:rsidRDefault="00D3474D" w:rsidP="00D3474D">
      <w:pPr>
        <w:autoSpaceDE w:val="0"/>
        <w:autoSpaceDN w:val="0"/>
        <w:adjustRightInd w:val="0"/>
        <w:jc w:val="both"/>
        <w:rPr>
          <w:iCs/>
          <w:sz w:val="20"/>
          <w:szCs w:val="20"/>
        </w:rPr>
      </w:pPr>
    </w:p>
    <w:p w14:paraId="6AED9F78" w14:textId="1D0EAE57" w:rsidR="00D3474D" w:rsidRPr="00D3474D" w:rsidRDefault="00D3474D" w:rsidP="00D3474D">
      <w:pPr>
        <w:autoSpaceDE w:val="0"/>
        <w:autoSpaceDN w:val="0"/>
        <w:adjustRightInd w:val="0"/>
        <w:jc w:val="both"/>
        <w:rPr>
          <w:iCs/>
          <w:sz w:val="20"/>
          <w:szCs w:val="20"/>
        </w:rPr>
      </w:pPr>
      <w:r w:rsidRPr="00D3474D">
        <w:rPr>
          <w:iCs/>
          <w:sz w:val="20"/>
          <w:szCs w:val="20"/>
        </w:rPr>
        <w:t>Erklärungen dürfen ebenfalls von einem Beauftragten eingereicht werden, der dann den Nachweis der Generalvollmacht, aufgrund deren er handelt, erbringen muss.</w:t>
      </w:r>
    </w:p>
    <w:p w14:paraId="390BAA44" w14:textId="77777777" w:rsidR="00D3474D" w:rsidRPr="00D3474D" w:rsidRDefault="00D3474D" w:rsidP="00D3474D">
      <w:pPr>
        <w:autoSpaceDE w:val="0"/>
        <w:autoSpaceDN w:val="0"/>
        <w:adjustRightInd w:val="0"/>
        <w:jc w:val="both"/>
        <w:rPr>
          <w:iCs/>
          <w:sz w:val="20"/>
          <w:szCs w:val="20"/>
        </w:rPr>
      </w:pPr>
    </w:p>
    <w:p w14:paraId="1BA86FE1" w14:textId="4F74CEEA" w:rsidR="00FF3113" w:rsidRPr="00D3474D" w:rsidRDefault="00D3474D" w:rsidP="00FF3113">
      <w:pPr>
        <w:autoSpaceDE w:val="0"/>
        <w:autoSpaceDN w:val="0"/>
        <w:adjustRightInd w:val="0"/>
        <w:jc w:val="both"/>
        <w:rPr>
          <w:i/>
          <w:iCs/>
          <w:sz w:val="20"/>
          <w:szCs w:val="20"/>
        </w:rPr>
      </w:pPr>
      <w:r w:rsidRPr="00D3474D">
        <w:rPr>
          <w:i/>
          <w:iCs/>
          <w:sz w:val="20"/>
          <w:szCs w:val="20"/>
        </w:rPr>
        <w:t>[Art. 305 Abs. 1 abgeändert durch Art. 172 des G. (I) vom 22. Dezember 2008 (II) (B.S. vom 29. Dezember 2008) - anwendbar ab dem Steuerjahr 2009 -, Art. 26 des G. vom 17. Juni 2013 (B.S. vom 28. Juni 2013) - anwendbar ab dem Steuerjahr 2014 -</w:t>
      </w:r>
      <w:r>
        <w:rPr>
          <w:i/>
          <w:iCs/>
          <w:sz w:val="20"/>
          <w:szCs w:val="20"/>
        </w:rPr>
        <w:t>,</w:t>
      </w:r>
      <w:r w:rsidRPr="00D3474D">
        <w:rPr>
          <w:i/>
          <w:iCs/>
          <w:sz w:val="20"/>
          <w:szCs w:val="20"/>
        </w:rPr>
        <w:t xml:space="preserve"> Art. 6 des G. vom 25. April 2014 (I) (B.S. vom 16. Mai 2014) - in Kraft am 16. Mai 2014 -</w:t>
      </w:r>
      <w:r>
        <w:rPr>
          <w:i/>
          <w:iCs/>
          <w:sz w:val="20"/>
          <w:szCs w:val="20"/>
        </w:rPr>
        <w:t xml:space="preserve"> und Art. 17 Nr. 1</w:t>
      </w:r>
      <w:r w:rsidRPr="00D3474D">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w:t>
      </w:r>
      <w:r w:rsidR="00A54224" w:rsidRPr="00916AEA">
        <w:rPr>
          <w:i/>
          <w:iCs/>
          <w:sz w:val="20"/>
          <w:szCs w:val="20"/>
        </w:rPr>
        <w:t xml:space="preserve">natürliche Personen an dem jeweils vom König festzulegenden Datum und spätestens am </w:t>
      </w:r>
      <w:r w:rsidR="00CC23FF" w:rsidRPr="00916AEA">
        <w:rPr>
          <w:i/>
          <w:iCs/>
          <w:sz w:val="20"/>
          <w:szCs w:val="20"/>
        </w:rPr>
        <w:t>1. Januar 2028 </w:t>
      </w:r>
      <w:r w:rsidRPr="00916AEA">
        <w:rPr>
          <w:i/>
          <w:iCs/>
          <w:sz w:val="20"/>
          <w:szCs w:val="20"/>
        </w:rPr>
        <w:t xml:space="preserve">-; </w:t>
      </w:r>
      <w:r w:rsidR="00BA52F1" w:rsidRPr="00916AEA">
        <w:rPr>
          <w:i/>
          <w:iCs/>
          <w:sz w:val="20"/>
          <w:szCs w:val="20"/>
        </w:rPr>
        <w:t xml:space="preserve">frühere Absätze 2 und 3 eingefügt durch Art. 14 des G. vom 26. Januar 2021 (B.S. vom 10. Februar 2021) - in Kraft am 1. Januar 2025 -, selbst aufgehoben durch Art. 213 des G. vom 12. Mai 2024 (B.S. vom 30. Mai 2024); </w:t>
      </w:r>
      <w:r w:rsidRPr="00916AEA">
        <w:rPr>
          <w:i/>
          <w:iCs/>
          <w:sz w:val="20"/>
          <w:szCs w:val="20"/>
        </w:rPr>
        <w:t>neue Absätze 2 bis 4 eingefügt durch Art. 17 Nr. 2 des G. vom 12. Mai 2024 (B.S. vom 30. Mai 2024) - </w:t>
      </w:r>
      <w:r w:rsidR="00A54224" w:rsidRPr="00916AEA">
        <w:rPr>
          <w:i/>
          <w:iCs/>
          <w:sz w:val="20"/>
          <w:szCs w:val="20"/>
        </w:rPr>
        <w:t>in Kraft für alle</w:t>
      </w:r>
      <w:r w:rsidR="00A54224">
        <w:rPr>
          <w:i/>
          <w:iCs/>
          <w:sz w:val="20"/>
          <w:szCs w:val="20"/>
        </w:rPr>
        <w:t xml:space="preserve"> oder bestimmte Kategorien von Inhabern einer Unternehmensnummer sowie für natürliche Personen an dem jeweils vom König festzulegenden Datum und spätestens am </w:t>
      </w:r>
      <w:r w:rsidR="00CC23FF">
        <w:rPr>
          <w:i/>
          <w:iCs/>
          <w:sz w:val="20"/>
          <w:szCs w:val="20"/>
        </w:rPr>
        <w:t>1. Januar 2028 </w:t>
      </w:r>
      <w:r w:rsidRPr="00D3474D">
        <w:rPr>
          <w:i/>
          <w:iCs/>
          <w:sz w:val="20"/>
          <w:szCs w:val="20"/>
        </w:rPr>
        <w:t>-</w:t>
      </w:r>
      <w:r>
        <w:rPr>
          <w:i/>
          <w:iCs/>
          <w:sz w:val="20"/>
          <w:szCs w:val="20"/>
        </w:rPr>
        <w:t xml:space="preserve">; </w:t>
      </w:r>
      <w:r w:rsidRPr="00D3474D">
        <w:rPr>
          <w:i/>
          <w:iCs/>
          <w:sz w:val="20"/>
          <w:szCs w:val="20"/>
        </w:rPr>
        <w:t>Abs. </w:t>
      </w:r>
      <w:r>
        <w:rPr>
          <w:i/>
          <w:iCs/>
          <w:sz w:val="20"/>
          <w:szCs w:val="20"/>
        </w:rPr>
        <w:t>6 (früherer Absatz </w:t>
      </w:r>
      <w:r w:rsidRPr="00D3474D">
        <w:rPr>
          <w:i/>
          <w:iCs/>
          <w:sz w:val="20"/>
          <w:szCs w:val="20"/>
        </w:rPr>
        <w:t>3</w:t>
      </w:r>
      <w:r>
        <w:rPr>
          <w:i/>
          <w:iCs/>
          <w:sz w:val="20"/>
          <w:szCs w:val="20"/>
        </w:rPr>
        <w:t>)</w:t>
      </w:r>
      <w:r w:rsidRPr="00D3474D">
        <w:rPr>
          <w:i/>
          <w:iCs/>
          <w:sz w:val="20"/>
          <w:szCs w:val="20"/>
        </w:rPr>
        <w:t xml:space="preserve"> ersetzt durch Art. 156 des G. (I) vom 22. Dezember 2008 (II) (B.S. vom 29. Dezember 2008) - in Kraft am 29. Dezember 2008 - und abgeändert durch Art. 68 des G. vom 17. März 2019 (III) (B.S. vom 10. Mai 2019) - in Kraft am 1. Mai 2019 -; Abs. </w:t>
      </w:r>
      <w:r>
        <w:rPr>
          <w:i/>
          <w:iCs/>
          <w:sz w:val="20"/>
          <w:szCs w:val="20"/>
        </w:rPr>
        <w:t>7</w:t>
      </w:r>
      <w:r w:rsidRPr="00D3474D">
        <w:rPr>
          <w:i/>
          <w:iCs/>
          <w:sz w:val="20"/>
          <w:szCs w:val="20"/>
        </w:rPr>
        <w:t xml:space="preserve"> ersetzt durch Art. 2 des G. vom 8. Juni 2009 (B.S. vom 18. Juni 2009) - wirksam mit dem Steuerjahr 2009 -]</w:t>
      </w:r>
      <w:r w:rsidR="00FF3113" w:rsidRPr="009118AB">
        <w:rPr>
          <w:iCs/>
          <w:sz w:val="20"/>
          <w:szCs w:val="20"/>
        </w:rPr>
        <w:t>"</w:t>
      </w:r>
    </w:p>
    <w:p w14:paraId="65E9F642" w14:textId="4E8FF95A" w:rsidR="0055148C" w:rsidRPr="009118AB" w:rsidRDefault="0055148C" w:rsidP="00477B8F">
      <w:pPr>
        <w:autoSpaceDE w:val="0"/>
        <w:autoSpaceDN w:val="0"/>
        <w:adjustRightInd w:val="0"/>
        <w:jc w:val="both"/>
      </w:pPr>
    </w:p>
    <w:p w14:paraId="69158E1B" w14:textId="77777777" w:rsidR="00477B8F" w:rsidRPr="009118AB" w:rsidRDefault="00477B8F" w:rsidP="00477B8F">
      <w:pPr>
        <w:autoSpaceDE w:val="0"/>
        <w:autoSpaceDN w:val="0"/>
        <w:adjustRightInd w:val="0"/>
        <w:jc w:val="both"/>
      </w:pPr>
    </w:p>
    <w:p w14:paraId="117DE577" w14:textId="77777777" w:rsidR="001751A9" w:rsidRPr="001751A9" w:rsidRDefault="00477B8F" w:rsidP="001751A9">
      <w:pPr>
        <w:autoSpaceDE w:val="0"/>
        <w:autoSpaceDN w:val="0"/>
        <w:adjustRightInd w:val="0"/>
        <w:jc w:val="both"/>
      </w:pPr>
      <w:r w:rsidRPr="009118AB">
        <w:tab/>
      </w:r>
      <w:r w:rsidR="00D67EB8" w:rsidRPr="009118AB">
        <w:rPr>
          <w:b/>
          <w:bCs/>
        </w:rPr>
        <w:t>Art. </w:t>
      </w:r>
      <w:r w:rsidRPr="009118AB">
        <w:rPr>
          <w:b/>
          <w:bCs/>
        </w:rPr>
        <w:t>306</w:t>
      </w:r>
      <w:r w:rsidR="00D67EB8" w:rsidRPr="009118AB">
        <w:t> - </w:t>
      </w:r>
      <w:r w:rsidR="001751A9" w:rsidRPr="001751A9">
        <w:t>[§ 1] - [Der König kann gemäß Modalitäten und Bedingungen, die Er bestimmt, durch einen im Ministerrat beratenen Erlass bestimmte Kategorien von Steuerpflichtigen von der in Artikel 305 erwähnten Pflicht, eine Erklärung zur Steuer der natürlichen Personen einzureichen, befreien.]</w:t>
      </w:r>
    </w:p>
    <w:p w14:paraId="25D8D309" w14:textId="77777777" w:rsidR="001751A9" w:rsidRPr="001751A9" w:rsidRDefault="001751A9" w:rsidP="001751A9">
      <w:pPr>
        <w:autoSpaceDE w:val="0"/>
        <w:autoSpaceDN w:val="0"/>
        <w:adjustRightInd w:val="0"/>
        <w:jc w:val="both"/>
      </w:pPr>
    </w:p>
    <w:p w14:paraId="0A24BAB8" w14:textId="77777777" w:rsidR="001751A9" w:rsidRPr="001751A9" w:rsidRDefault="001751A9" w:rsidP="001751A9">
      <w:pPr>
        <w:autoSpaceDE w:val="0"/>
        <w:autoSpaceDN w:val="0"/>
        <w:adjustRightInd w:val="0"/>
        <w:jc w:val="both"/>
      </w:pPr>
      <w:r w:rsidRPr="001751A9">
        <w:tab/>
        <w:t>[Diese Steuerpflichtigen sind trotzdem verpflichtet, eine Erklärung einzureichen, wenn sie von einem dazu ermächtigten Bediensteten der [mit der Festlegung der Einkommensteuern beauftragten Verwaltung] ausdrücklich dazu aufgefordert werden.]</w:t>
      </w:r>
    </w:p>
    <w:p w14:paraId="3E1BCC08" w14:textId="77777777" w:rsidR="001751A9" w:rsidRPr="001751A9" w:rsidRDefault="001751A9" w:rsidP="001751A9">
      <w:pPr>
        <w:autoSpaceDE w:val="0"/>
        <w:autoSpaceDN w:val="0"/>
        <w:adjustRightInd w:val="0"/>
        <w:jc w:val="both"/>
      </w:pPr>
    </w:p>
    <w:p w14:paraId="4B6F28AC" w14:textId="77777777" w:rsidR="001751A9" w:rsidRPr="001751A9" w:rsidRDefault="001751A9" w:rsidP="001751A9">
      <w:pPr>
        <w:autoSpaceDE w:val="0"/>
        <w:autoSpaceDN w:val="0"/>
        <w:adjustRightInd w:val="0"/>
        <w:jc w:val="both"/>
      </w:pPr>
      <w:r w:rsidRPr="001751A9">
        <w:lastRenderedPageBreak/>
        <w:tab/>
        <w:t>[§ 2 - Steuerpflichtigen, die gemäß § 1 von der Erklärungspflicht befreit sind, wird ein [Vorschlag der vereinfachten Erklärung] zugesandt. Dieser Vorschlag enthält die steuerpflichtige Grundlage und die diesbezüglich geschuldete Steuer und alle Auskünfte und Daten, die berücksichtigt wurden.</w:t>
      </w:r>
    </w:p>
    <w:p w14:paraId="02781931" w14:textId="77777777" w:rsidR="001751A9" w:rsidRPr="001751A9" w:rsidRDefault="001751A9" w:rsidP="001751A9">
      <w:pPr>
        <w:autoSpaceDE w:val="0"/>
        <w:autoSpaceDN w:val="0"/>
        <w:adjustRightInd w:val="0"/>
        <w:jc w:val="both"/>
      </w:pPr>
    </w:p>
    <w:p w14:paraId="546B23F2" w14:textId="77777777" w:rsidR="001751A9" w:rsidRPr="001751A9" w:rsidRDefault="001751A9" w:rsidP="001751A9">
      <w:pPr>
        <w:autoSpaceDE w:val="0"/>
        <w:autoSpaceDN w:val="0"/>
        <w:adjustRightInd w:val="0"/>
        <w:jc w:val="both"/>
      </w:pPr>
      <w:r w:rsidRPr="001751A9">
        <w:tab/>
        <w:t>Der König kann in Abweichung von Absatz 1 und gemäß Modalitäten und Bedingungen, die Er bestimmt, durch einen im Ministerrat beratenen Erlass Fälle festlegen, in denen die Verwaltung keinen [Vorschlag der vereinfachten Erklärung] versenden muss.</w:t>
      </w:r>
    </w:p>
    <w:p w14:paraId="2D4EEF22" w14:textId="77777777" w:rsidR="001751A9" w:rsidRPr="001751A9" w:rsidRDefault="001751A9" w:rsidP="001751A9">
      <w:pPr>
        <w:autoSpaceDE w:val="0"/>
        <w:autoSpaceDN w:val="0"/>
        <w:adjustRightInd w:val="0"/>
        <w:jc w:val="both"/>
      </w:pPr>
    </w:p>
    <w:p w14:paraId="4838AB44" w14:textId="77777777" w:rsidR="001751A9" w:rsidRPr="001751A9" w:rsidRDefault="001751A9" w:rsidP="001751A9">
      <w:pPr>
        <w:autoSpaceDE w:val="0"/>
        <w:autoSpaceDN w:val="0"/>
        <w:adjustRightInd w:val="0"/>
        <w:jc w:val="both"/>
      </w:pPr>
      <w:r w:rsidRPr="001751A9">
        <w:tab/>
        <w:t>§ 3 - Ist ein Steuerpflichtiger mit dem [Vorschlag der vereinfachten Erklärung] nicht einverstanden, muss er die Verwaltung unter Angabe seiner Gründe innerhalb eines Monats nach Versendung dieses Vorschlags darüber in Kenntnis setzen.</w:t>
      </w:r>
    </w:p>
    <w:p w14:paraId="410F2738" w14:textId="77777777" w:rsidR="001751A9" w:rsidRPr="001751A9" w:rsidRDefault="001751A9" w:rsidP="001751A9">
      <w:pPr>
        <w:autoSpaceDE w:val="0"/>
        <w:autoSpaceDN w:val="0"/>
        <w:adjustRightInd w:val="0"/>
        <w:jc w:val="both"/>
      </w:pPr>
    </w:p>
    <w:p w14:paraId="7D606F2C" w14:textId="77777777" w:rsidR="001751A9" w:rsidRPr="001751A9" w:rsidRDefault="001751A9" w:rsidP="001751A9">
      <w:pPr>
        <w:autoSpaceDE w:val="0"/>
        <w:autoSpaceDN w:val="0"/>
        <w:adjustRightInd w:val="0"/>
        <w:jc w:val="both"/>
      </w:pPr>
      <w:r w:rsidRPr="001751A9">
        <w:tab/>
        <w:t>Außerdem muss der Steuerpflichtige der Verwaltung in derselben Frist alle unrichtigen oder unvollständigen Angaben im [Vorschlag der vereinfachten Erklärung] mitteilen.</w:t>
      </w:r>
    </w:p>
    <w:p w14:paraId="7795F766" w14:textId="77777777" w:rsidR="001751A9" w:rsidRPr="001751A9" w:rsidRDefault="001751A9" w:rsidP="001751A9">
      <w:pPr>
        <w:autoSpaceDE w:val="0"/>
        <w:autoSpaceDN w:val="0"/>
        <w:adjustRightInd w:val="0"/>
        <w:jc w:val="both"/>
      </w:pPr>
    </w:p>
    <w:p w14:paraId="4F40ED2E" w14:textId="77777777" w:rsidR="001751A9" w:rsidRPr="001751A9" w:rsidRDefault="001751A9" w:rsidP="001751A9">
      <w:pPr>
        <w:autoSpaceDE w:val="0"/>
        <w:autoSpaceDN w:val="0"/>
        <w:adjustRightInd w:val="0"/>
        <w:jc w:val="both"/>
      </w:pPr>
      <w:r w:rsidRPr="001751A9">
        <w:tab/>
        <w:t>§ 4 - Der [Vorschlag der vereinfachten Erklärung], der um die Angaben ergänzt wurde, die der betreffende Steuerpflichtige in der in § 3 erwähnten Frist mitgeteilt hat, gilt als eine in den vorgeschriebenen Formen und Fristen eingereichte Erklärung.</w:t>
      </w:r>
    </w:p>
    <w:p w14:paraId="08D7D18F" w14:textId="77777777" w:rsidR="001751A9" w:rsidRPr="001751A9" w:rsidRDefault="001751A9" w:rsidP="001751A9">
      <w:pPr>
        <w:autoSpaceDE w:val="0"/>
        <w:autoSpaceDN w:val="0"/>
        <w:adjustRightInd w:val="0"/>
        <w:jc w:val="both"/>
      </w:pPr>
    </w:p>
    <w:p w14:paraId="5A8F183D" w14:textId="77777777" w:rsidR="001751A9" w:rsidRPr="001751A9" w:rsidRDefault="001751A9" w:rsidP="001751A9">
      <w:pPr>
        <w:autoSpaceDE w:val="0"/>
        <w:autoSpaceDN w:val="0"/>
        <w:adjustRightInd w:val="0"/>
        <w:jc w:val="both"/>
      </w:pPr>
      <w:r w:rsidRPr="001751A9">
        <w:tab/>
        <w:t>Ist ein Steuerpflichtiger der in § 3 Absatz 2 erwähnten Verpflichtung jedoch nicht nachgekommen, wird der [Vorschlag der vereinfachten Erklärung] mit einer unrichtigen oder unvollständigen Erklärung gleichgesetzt.]</w:t>
      </w:r>
    </w:p>
    <w:p w14:paraId="3EA1CC54" w14:textId="77777777" w:rsidR="001751A9" w:rsidRPr="001751A9" w:rsidRDefault="001751A9" w:rsidP="001751A9">
      <w:pPr>
        <w:autoSpaceDE w:val="0"/>
        <w:autoSpaceDN w:val="0"/>
        <w:adjustRightInd w:val="0"/>
        <w:jc w:val="both"/>
      </w:pPr>
    </w:p>
    <w:p w14:paraId="60288922" w14:textId="77777777" w:rsidR="001751A9" w:rsidRPr="001751A9" w:rsidRDefault="001751A9" w:rsidP="001751A9">
      <w:pPr>
        <w:autoSpaceDE w:val="0"/>
        <w:autoSpaceDN w:val="0"/>
        <w:adjustRightInd w:val="0"/>
        <w:jc w:val="both"/>
      </w:pPr>
      <w:r w:rsidRPr="001751A9">
        <w:rPr>
          <w:i/>
          <w:iCs/>
        </w:rPr>
        <w:t>[Art. 306 § 1 nummeriert durch Art. 1 Nr. 1 des G. vom 5. Juli 1994 (B.S. vom 16. Juli 1994) - anwendbar ab dem Steuerjahr 1994 -; § 1 frühere Absätze 1 und 2 ersetzt durch Abs. 1 durch Art. 17 des G. vom 28. Dezember 1992 (B.S. vom 31. Dezember 1992); § 1 Abs. 2 eingefügt durch Art. 1 Nr. 1 des G. vom 5. Juli 1994 (B.S. vom 16. Juli 1994) - anwendbar ab dem Steuerjahr 1994 - und abgeändert durch Art. 7 Nr. 1 des G. vom 25. April 2014 (I) (B.S. vom 16. Mai 2014) - in Kraft am 16. Mai 2014 -; §§ 2 bis 4 eingefügt durch Art. 1 Nr. 2 des G. vom 5. Juli 1994 (B.S. vom 16. Juli 1994) - anwendbar ab dem Steuerjahr 1994 - und abgeändert durch Art. 27 des G. (I) vom 29. Dezember 2010 (B.S. vom 31. Dezember 2010) - in Kraft ab dem Steuerjahr 2011 -]</w:t>
      </w:r>
    </w:p>
    <w:p w14:paraId="5D814246" w14:textId="0E21B64B" w:rsidR="00477B8F" w:rsidRPr="009118AB" w:rsidRDefault="00477B8F" w:rsidP="00907C03">
      <w:pPr>
        <w:autoSpaceDE w:val="0"/>
        <w:autoSpaceDN w:val="0"/>
        <w:adjustRightInd w:val="0"/>
        <w:jc w:val="both"/>
      </w:pPr>
    </w:p>
    <w:p w14:paraId="42D8559D" w14:textId="045DC35F" w:rsidR="00477B8F" w:rsidRPr="009118AB" w:rsidRDefault="00477B8F" w:rsidP="00477B8F">
      <w:pPr>
        <w:autoSpaceDE w:val="0"/>
        <w:autoSpaceDN w:val="0"/>
        <w:adjustRightInd w:val="0"/>
        <w:jc w:val="both"/>
      </w:pPr>
    </w:p>
    <w:p w14:paraId="78D07EDB" w14:textId="55CB93E5" w:rsidR="00FF3113" w:rsidRPr="009118AB" w:rsidRDefault="00907C03" w:rsidP="00FF3113">
      <w:pPr>
        <w:autoSpaceDE w:val="0"/>
        <w:autoSpaceDN w:val="0"/>
        <w:adjustRightInd w:val="0"/>
        <w:jc w:val="both"/>
        <w:rPr>
          <w:iCs/>
          <w:sz w:val="20"/>
          <w:szCs w:val="20"/>
        </w:rPr>
      </w:pPr>
      <w:r w:rsidRPr="00907C03">
        <w:rPr>
          <w:iCs/>
          <w:sz w:val="20"/>
          <w:szCs w:val="20"/>
        </w:rPr>
        <w:t>Ab einem gemäß Art. 222 des G. vom 12. Mai 2024 (B.S. vom 30. Mai 2024) vom König festzulegenden Datum und spätestens am 1. Januar 2028 lautet Art. </w:t>
      </w:r>
      <w:r w:rsidR="00FF3113" w:rsidRPr="009118AB">
        <w:rPr>
          <w:iCs/>
          <w:sz w:val="20"/>
          <w:szCs w:val="20"/>
        </w:rPr>
        <w:t>306 wie folgt:</w:t>
      </w:r>
    </w:p>
    <w:p w14:paraId="719F9AC1" w14:textId="77777777" w:rsidR="00FF3113" w:rsidRPr="009118AB" w:rsidRDefault="00FF3113" w:rsidP="00FF3113">
      <w:pPr>
        <w:autoSpaceDE w:val="0"/>
        <w:autoSpaceDN w:val="0"/>
        <w:adjustRightInd w:val="0"/>
        <w:jc w:val="both"/>
        <w:rPr>
          <w:iCs/>
          <w:sz w:val="20"/>
          <w:szCs w:val="20"/>
        </w:rPr>
      </w:pPr>
    </w:p>
    <w:p w14:paraId="1FDFBA4E" w14:textId="77777777" w:rsidR="00907C03" w:rsidRPr="00907C03" w:rsidRDefault="00FF3113" w:rsidP="00907C03">
      <w:pPr>
        <w:autoSpaceDE w:val="0"/>
        <w:autoSpaceDN w:val="0"/>
        <w:adjustRightInd w:val="0"/>
        <w:jc w:val="both"/>
        <w:rPr>
          <w:iCs/>
          <w:sz w:val="20"/>
          <w:szCs w:val="20"/>
        </w:rPr>
      </w:pPr>
      <w:r w:rsidRPr="009118AB">
        <w:rPr>
          <w:iCs/>
          <w:sz w:val="20"/>
          <w:szCs w:val="20"/>
        </w:rPr>
        <w:t>"</w:t>
      </w:r>
      <w:r w:rsidR="00D67EB8" w:rsidRPr="009118AB">
        <w:rPr>
          <w:bCs/>
          <w:iCs/>
          <w:sz w:val="20"/>
          <w:szCs w:val="20"/>
        </w:rPr>
        <w:t>Art. </w:t>
      </w:r>
      <w:r w:rsidRPr="009118AB">
        <w:rPr>
          <w:bCs/>
          <w:iCs/>
          <w:sz w:val="20"/>
          <w:szCs w:val="20"/>
        </w:rPr>
        <w:t>306</w:t>
      </w:r>
      <w:r w:rsidR="00D67EB8" w:rsidRPr="009118AB">
        <w:rPr>
          <w:iCs/>
          <w:sz w:val="20"/>
          <w:szCs w:val="20"/>
        </w:rPr>
        <w:t> - </w:t>
      </w:r>
      <w:r w:rsidR="00907C03" w:rsidRPr="00907C03">
        <w:rPr>
          <w:iCs/>
          <w:sz w:val="20"/>
          <w:szCs w:val="20"/>
        </w:rPr>
        <w:t>[§ 1] - [Der König kann gemäß Modalitäten und Bedingungen, die Er bestimmt, durch einen im Ministerrat beratenen Erlass bestimmte Kategorien von Steuerpflichtigen von der in Artikel 305 erwähnten Pflicht, eine Erklärung zur Steuer der natürlichen Personen einzureichen, befreien.]</w:t>
      </w:r>
    </w:p>
    <w:p w14:paraId="64FAF49C" w14:textId="77777777" w:rsidR="00907C03" w:rsidRPr="00907C03" w:rsidRDefault="00907C03" w:rsidP="00907C03">
      <w:pPr>
        <w:autoSpaceDE w:val="0"/>
        <w:autoSpaceDN w:val="0"/>
        <w:adjustRightInd w:val="0"/>
        <w:jc w:val="both"/>
        <w:rPr>
          <w:iCs/>
          <w:sz w:val="20"/>
          <w:szCs w:val="20"/>
        </w:rPr>
      </w:pPr>
    </w:p>
    <w:p w14:paraId="0A87004F" w14:textId="3AE9B21C" w:rsidR="00907C03" w:rsidRPr="00907C03" w:rsidRDefault="00907C03" w:rsidP="00907C03">
      <w:pPr>
        <w:autoSpaceDE w:val="0"/>
        <w:autoSpaceDN w:val="0"/>
        <w:adjustRightInd w:val="0"/>
        <w:jc w:val="both"/>
        <w:rPr>
          <w:iCs/>
          <w:sz w:val="20"/>
          <w:szCs w:val="20"/>
        </w:rPr>
      </w:pPr>
      <w:r w:rsidRPr="00907C03">
        <w:rPr>
          <w:iCs/>
          <w:sz w:val="20"/>
          <w:szCs w:val="20"/>
        </w:rPr>
        <w:t>[Diese Steuerpflichtigen sind trotzdem verpflichtet, eine Erklärung einzureichen, wenn sie von einem dazu ermächtigten Bediensteten der [mit der Festlegung der Einkommensteuern beauftragten Verwaltung] ausdrücklich dazu aufgefordert werden.]</w:t>
      </w:r>
    </w:p>
    <w:p w14:paraId="78237EEF" w14:textId="77777777" w:rsidR="00907C03" w:rsidRPr="00907C03" w:rsidRDefault="00907C03" w:rsidP="00907C03">
      <w:pPr>
        <w:autoSpaceDE w:val="0"/>
        <w:autoSpaceDN w:val="0"/>
        <w:adjustRightInd w:val="0"/>
        <w:jc w:val="both"/>
        <w:rPr>
          <w:iCs/>
          <w:sz w:val="20"/>
          <w:szCs w:val="20"/>
        </w:rPr>
      </w:pPr>
    </w:p>
    <w:p w14:paraId="04C9856C" w14:textId="0BD2577F" w:rsidR="00907C03" w:rsidRPr="00907C03" w:rsidRDefault="00907C03" w:rsidP="00907C03">
      <w:pPr>
        <w:autoSpaceDE w:val="0"/>
        <w:autoSpaceDN w:val="0"/>
        <w:adjustRightInd w:val="0"/>
        <w:jc w:val="both"/>
        <w:rPr>
          <w:iCs/>
          <w:sz w:val="20"/>
          <w:szCs w:val="20"/>
        </w:rPr>
      </w:pPr>
      <w:r w:rsidRPr="00907C03">
        <w:rPr>
          <w:iCs/>
          <w:sz w:val="20"/>
          <w:szCs w:val="20"/>
        </w:rPr>
        <w:t>[§ 2 - </w:t>
      </w:r>
      <w:r>
        <w:rPr>
          <w:iCs/>
          <w:sz w:val="20"/>
          <w:szCs w:val="20"/>
        </w:rPr>
        <w:t>[</w:t>
      </w:r>
      <w:r w:rsidRPr="00907C03">
        <w:rPr>
          <w:iCs/>
          <w:sz w:val="20"/>
          <w:szCs w:val="20"/>
        </w:rPr>
        <w:t>Steuerpflichtigen, die gemäß § 1 von der Erklärungspflicht befreit sind, wird ein Vorschlag der vereinfachten Erklärung übermittelt. Dieser Vorschlag enthält die steuerpflichtige Grundlage und die diesbezüglich geschuldete Steuer und alle Auskünfte und Daten, die berücksichtigt wurden.</w:t>
      </w:r>
      <w:r>
        <w:rPr>
          <w:iCs/>
          <w:sz w:val="20"/>
          <w:szCs w:val="20"/>
        </w:rPr>
        <w:t>]</w:t>
      </w:r>
    </w:p>
    <w:p w14:paraId="4210379B" w14:textId="77777777" w:rsidR="00907C03" w:rsidRPr="00907C03" w:rsidRDefault="00907C03" w:rsidP="00907C03">
      <w:pPr>
        <w:autoSpaceDE w:val="0"/>
        <w:autoSpaceDN w:val="0"/>
        <w:adjustRightInd w:val="0"/>
        <w:jc w:val="both"/>
        <w:rPr>
          <w:iCs/>
          <w:sz w:val="20"/>
          <w:szCs w:val="20"/>
        </w:rPr>
      </w:pPr>
    </w:p>
    <w:p w14:paraId="03321811" w14:textId="5F2DC538" w:rsidR="00907C03" w:rsidRPr="00907C03" w:rsidRDefault="00907C03" w:rsidP="00907C03">
      <w:pPr>
        <w:autoSpaceDE w:val="0"/>
        <w:autoSpaceDN w:val="0"/>
        <w:adjustRightInd w:val="0"/>
        <w:jc w:val="both"/>
        <w:rPr>
          <w:iCs/>
          <w:sz w:val="20"/>
          <w:szCs w:val="20"/>
        </w:rPr>
      </w:pPr>
      <w:r w:rsidRPr="00907C03">
        <w:rPr>
          <w:iCs/>
          <w:sz w:val="20"/>
          <w:szCs w:val="20"/>
        </w:rPr>
        <w:t xml:space="preserve">Der König kann in Abweichung von Absatz 1 und gemäß Modalitäten und Bedingungen, die Er bestimmt, durch einen im Ministerrat beratenen Erlass Fälle festlegen, in denen die Verwaltung keinen [Vorschlag der vereinfachten Erklärung] </w:t>
      </w:r>
      <w:r>
        <w:rPr>
          <w:iCs/>
          <w:sz w:val="20"/>
          <w:szCs w:val="20"/>
        </w:rPr>
        <w:t>[</w:t>
      </w:r>
      <w:r w:rsidRPr="00907C03">
        <w:rPr>
          <w:iCs/>
          <w:sz w:val="20"/>
          <w:szCs w:val="20"/>
        </w:rPr>
        <w:t>übermitteln</w:t>
      </w:r>
      <w:r>
        <w:rPr>
          <w:iCs/>
          <w:sz w:val="20"/>
          <w:szCs w:val="20"/>
        </w:rPr>
        <w:t>]</w:t>
      </w:r>
      <w:r w:rsidRPr="00907C03">
        <w:rPr>
          <w:iCs/>
          <w:sz w:val="20"/>
          <w:szCs w:val="20"/>
        </w:rPr>
        <w:t xml:space="preserve"> muss.</w:t>
      </w:r>
      <w:r>
        <w:rPr>
          <w:iCs/>
          <w:sz w:val="20"/>
          <w:szCs w:val="20"/>
        </w:rPr>
        <w:t>]</w:t>
      </w:r>
    </w:p>
    <w:p w14:paraId="33D20716" w14:textId="77777777" w:rsidR="00907C03" w:rsidRPr="00907C03" w:rsidRDefault="00907C03" w:rsidP="00907C03">
      <w:pPr>
        <w:autoSpaceDE w:val="0"/>
        <w:autoSpaceDN w:val="0"/>
        <w:adjustRightInd w:val="0"/>
        <w:jc w:val="both"/>
        <w:rPr>
          <w:iCs/>
          <w:sz w:val="20"/>
          <w:szCs w:val="20"/>
        </w:rPr>
      </w:pPr>
    </w:p>
    <w:p w14:paraId="1B66B8B4" w14:textId="79F3EBA7" w:rsidR="00907C03" w:rsidRPr="00907C03" w:rsidRDefault="00907C03" w:rsidP="00907C03">
      <w:pPr>
        <w:autoSpaceDE w:val="0"/>
        <w:autoSpaceDN w:val="0"/>
        <w:adjustRightInd w:val="0"/>
        <w:jc w:val="both"/>
        <w:rPr>
          <w:iCs/>
          <w:sz w:val="20"/>
          <w:szCs w:val="20"/>
        </w:rPr>
      </w:pPr>
      <w:r>
        <w:rPr>
          <w:iCs/>
          <w:sz w:val="20"/>
          <w:szCs w:val="20"/>
        </w:rPr>
        <w:t>[</w:t>
      </w:r>
      <w:r w:rsidRPr="00907C03">
        <w:rPr>
          <w:iCs/>
          <w:sz w:val="20"/>
          <w:szCs w:val="20"/>
        </w:rPr>
        <w:t>§ 3 - </w:t>
      </w:r>
      <w:r>
        <w:rPr>
          <w:iCs/>
          <w:sz w:val="20"/>
          <w:szCs w:val="20"/>
        </w:rPr>
        <w:t>[</w:t>
      </w:r>
      <w:r w:rsidRPr="00907C03">
        <w:rPr>
          <w:iCs/>
          <w:sz w:val="20"/>
          <w:szCs w:val="20"/>
        </w:rPr>
        <w:t>Ist ein Steuerpflichtiger mit dem Vorschlag der vereinfachten Erklärung nicht einverstanden, muss er die Verwaltung unter Angabe seiner Gründe anhand des dafür vorgesehenen Antwortformulars innerhalb eines Monats nach Übermittlung dieses Vorschlags darüber in Kenntnis setzen.</w:t>
      </w:r>
      <w:r>
        <w:rPr>
          <w:iCs/>
          <w:sz w:val="20"/>
          <w:szCs w:val="20"/>
        </w:rPr>
        <w:t>]</w:t>
      </w:r>
    </w:p>
    <w:p w14:paraId="4EC89679" w14:textId="77777777" w:rsidR="00907C03" w:rsidRPr="00907C03" w:rsidRDefault="00907C03" w:rsidP="00907C03">
      <w:pPr>
        <w:autoSpaceDE w:val="0"/>
        <w:autoSpaceDN w:val="0"/>
        <w:adjustRightInd w:val="0"/>
        <w:jc w:val="both"/>
        <w:rPr>
          <w:iCs/>
          <w:sz w:val="20"/>
          <w:szCs w:val="20"/>
        </w:rPr>
      </w:pPr>
    </w:p>
    <w:p w14:paraId="00418BEF" w14:textId="1DA45E9B" w:rsidR="00907C03" w:rsidRPr="00907C03" w:rsidRDefault="00907C03" w:rsidP="00907C03">
      <w:pPr>
        <w:autoSpaceDE w:val="0"/>
        <w:autoSpaceDN w:val="0"/>
        <w:adjustRightInd w:val="0"/>
        <w:jc w:val="both"/>
        <w:rPr>
          <w:iCs/>
          <w:sz w:val="20"/>
          <w:szCs w:val="20"/>
        </w:rPr>
      </w:pPr>
      <w:r w:rsidRPr="00907C03">
        <w:rPr>
          <w:iCs/>
          <w:sz w:val="20"/>
          <w:szCs w:val="20"/>
        </w:rPr>
        <w:t xml:space="preserve">Außerdem muss der Steuerpflichtige der Verwaltung in derselben Frist alle unrichtigen oder unvollständigen Angaben im [Vorschlag der vereinfachten Erklärung] </w:t>
      </w:r>
      <w:r>
        <w:rPr>
          <w:iCs/>
          <w:sz w:val="20"/>
          <w:szCs w:val="20"/>
        </w:rPr>
        <w:t>[</w:t>
      </w:r>
      <w:r w:rsidRPr="00907C03">
        <w:rPr>
          <w:iCs/>
          <w:sz w:val="20"/>
          <w:szCs w:val="20"/>
        </w:rPr>
        <w:t>anhand des dafür vorgesehenen Antwortformulars</w:t>
      </w:r>
      <w:r>
        <w:rPr>
          <w:iCs/>
          <w:sz w:val="20"/>
          <w:szCs w:val="20"/>
        </w:rPr>
        <w:t xml:space="preserve">] </w:t>
      </w:r>
      <w:r w:rsidRPr="00907C03">
        <w:rPr>
          <w:iCs/>
          <w:sz w:val="20"/>
          <w:szCs w:val="20"/>
        </w:rPr>
        <w:t>mitteilen.</w:t>
      </w:r>
      <w:r>
        <w:rPr>
          <w:iCs/>
          <w:sz w:val="20"/>
          <w:szCs w:val="20"/>
        </w:rPr>
        <w:t>]</w:t>
      </w:r>
    </w:p>
    <w:p w14:paraId="6DA1F97B" w14:textId="77777777" w:rsidR="00907C03" w:rsidRPr="00907C03" w:rsidRDefault="00907C03" w:rsidP="00907C03">
      <w:pPr>
        <w:autoSpaceDE w:val="0"/>
        <w:autoSpaceDN w:val="0"/>
        <w:adjustRightInd w:val="0"/>
        <w:jc w:val="both"/>
        <w:rPr>
          <w:iCs/>
          <w:sz w:val="20"/>
          <w:szCs w:val="20"/>
        </w:rPr>
      </w:pPr>
    </w:p>
    <w:p w14:paraId="79ECE396" w14:textId="45CE1A61" w:rsidR="00907C03" w:rsidRPr="00907C03" w:rsidRDefault="00907C03" w:rsidP="00907C03">
      <w:pPr>
        <w:autoSpaceDE w:val="0"/>
        <w:autoSpaceDN w:val="0"/>
        <w:adjustRightInd w:val="0"/>
        <w:jc w:val="both"/>
        <w:rPr>
          <w:iCs/>
          <w:sz w:val="20"/>
          <w:szCs w:val="20"/>
        </w:rPr>
      </w:pPr>
      <w:r>
        <w:rPr>
          <w:iCs/>
          <w:sz w:val="20"/>
          <w:szCs w:val="20"/>
        </w:rPr>
        <w:t>[</w:t>
      </w:r>
      <w:r w:rsidRPr="00907C03">
        <w:rPr>
          <w:iCs/>
          <w:sz w:val="20"/>
          <w:szCs w:val="20"/>
        </w:rPr>
        <w:t>§ 4 - Der [Vorschlag der vereinfachten Erklärung], der um die Angaben ergänzt wurde, die der betreffende Steuerpflichtige in der in § 3 erwähnten Frist mitgeteilt hat, gilt als eine in den vorgeschriebenen Formen und Fristen eingereichte Erklärung.</w:t>
      </w:r>
    </w:p>
    <w:p w14:paraId="0FE3DC1E" w14:textId="77777777" w:rsidR="00907C03" w:rsidRPr="00907C03" w:rsidRDefault="00907C03" w:rsidP="00907C03">
      <w:pPr>
        <w:autoSpaceDE w:val="0"/>
        <w:autoSpaceDN w:val="0"/>
        <w:adjustRightInd w:val="0"/>
        <w:jc w:val="both"/>
        <w:rPr>
          <w:iCs/>
          <w:sz w:val="20"/>
          <w:szCs w:val="20"/>
        </w:rPr>
      </w:pPr>
    </w:p>
    <w:p w14:paraId="338030A8" w14:textId="4B884148" w:rsidR="00907C03" w:rsidRPr="00907C03" w:rsidRDefault="00907C03" w:rsidP="00907C03">
      <w:pPr>
        <w:autoSpaceDE w:val="0"/>
        <w:autoSpaceDN w:val="0"/>
        <w:adjustRightInd w:val="0"/>
        <w:jc w:val="both"/>
        <w:rPr>
          <w:iCs/>
          <w:sz w:val="20"/>
          <w:szCs w:val="20"/>
        </w:rPr>
      </w:pPr>
      <w:r w:rsidRPr="00907C03">
        <w:rPr>
          <w:iCs/>
          <w:sz w:val="20"/>
          <w:szCs w:val="20"/>
        </w:rPr>
        <w:t>Ist ein Steuerpflichtiger der in § 3 Absatz 2 erwähnten Verpflichtung jedoch nicht nachgekommen, wird der [Vorschlag der vereinfachten Erklärung] mit einer unrichtigen oder unvollständigen Erklärung gleichgesetzt.]</w:t>
      </w:r>
    </w:p>
    <w:p w14:paraId="57D77AFD" w14:textId="77777777" w:rsidR="00907C03" w:rsidRPr="00907C03" w:rsidRDefault="00907C03" w:rsidP="00907C03">
      <w:pPr>
        <w:autoSpaceDE w:val="0"/>
        <w:autoSpaceDN w:val="0"/>
        <w:adjustRightInd w:val="0"/>
        <w:jc w:val="both"/>
        <w:rPr>
          <w:iCs/>
          <w:sz w:val="20"/>
          <w:szCs w:val="20"/>
        </w:rPr>
      </w:pPr>
    </w:p>
    <w:p w14:paraId="1300E06B" w14:textId="2B8F44F8" w:rsidR="00FF3113" w:rsidRPr="00907C03" w:rsidRDefault="00907C03" w:rsidP="00FF3113">
      <w:pPr>
        <w:autoSpaceDE w:val="0"/>
        <w:autoSpaceDN w:val="0"/>
        <w:adjustRightInd w:val="0"/>
        <w:jc w:val="both"/>
        <w:rPr>
          <w:iCs/>
          <w:sz w:val="20"/>
          <w:szCs w:val="20"/>
        </w:rPr>
      </w:pPr>
      <w:r w:rsidRPr="00907C03">
        <w:rPr>
          <w:i/>
          <w:iCs/>
          <w:sz w:val="20"/>
          <w:szCs w:val="20"/>
        </w:rPr>
        <w:t>[Art. 306 § 1 nummeriert durch Art. 1 Nr. 1 des G. vom 5. Juli 1994 (B.S. vom 16. Juli 1994) - anwendbar ab dem Steuerjahr 1994 -; § 1 frühere Absätze 1 und 2 ersetzt durch Abs. 1 durch Art. 17 des G. vom 28. Dezember 1992 (B.S. vom 31. Dezember 1992); § 1 Abs. 2 eingefügt durch Art. 1 Nr. 1 des G. vom 5. Juli 1994 (B.S. vom 16. Juli 1994) - anwendbar ab dem Steuerjahr 1994 - und abgeändert durch Art. 7 Nr. 1 des G. vom 25. April 2014 (I) (B.S. vom 16. Mai 2014) - in Kraft am 16. Mai 2014 -; § 2 eingefügt durch Art. 1 Nr. 2 des G. vom 5. Juli 1994 (B.S. vom 16. Juli 1994) - anwendbar ab dem Steuerjahr 1994 - und abgeändert durch Art. 27 des G. (I) vom 29. Dezember 2010 (B.S. vom 31. Dezember 2010) - in Kraft ab dem Steuerjahr 2011 -</w:t>
      </w:r>
      <w:r>
        <w:rPr>
          <w:i/>
          <w:iCs/>
          <w:sz w:val="20"/>
          <w:szCs w:val="20"/>
        </w:rPr>
        <w:t>; § 2 Abs. 1 ersetzt durch Art. 18 Nr. 1</w:t>
      </w:r>
      <w:r w:rsidRPr="00907C03">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907C03">
        <w:rPr>
          <w:i/>
          <w:iCs/>
          <w:sz w:val="20"/>
          <w:szCs w:val="20"/>
        </w:rPr>
        <w:t>-</w:t>
      </w:r>
      <w:r>
        <w:rPr>
          <w:i/>
          <w:iCs/>
          <w:sz w:val="20"/>
          <w:szCs w:val="20"/>
        </w:rPr>
        <w:t>; § 2 Abs. 2 abgeändert durch Art. 18 Nr. 2</w:t>
      </w:r>
      <w:r w:rsidRPr="00907C03">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907C03">
        <w:rPr>
          <w:i/>
          <w:iCs/>
          <w:sz w:val="20"/>
          <w:szCs w:val="20"/>
        </w:rPr>
        <w:t>-</w:t>
      </w:r>
      <w:r>
        <w:rPr>
          <w:i/>
          <w:iCs/>
          <w:sz w:val="20"/>
          <w:szCs w:val="20"/>
        </w:rPr>
        <w:t xml:space="preserve">; </w:t>
      </w:r>
      <w:r w:rsidRPr="00907C03">
        <w:rPr>
          <w:i/>
          <w:iCs/>
          <w:sz w:val="20"/>
          <w:szCs w:val="20"/>
        </w:rPr>
        <w:t>§ </w:t>
      </w:r>
      <w:r>
        <w:rPr>
          <w:i/>
          <w:iCs/>
          <w:sz w:val="20"/>
          <w:szCs w:val="20"/>
        </w:rPr>
        <w:t>3</w:t>
      </w:r>
      <w:r w:rsidRPr="00907C03">
        <w:rPr>
          <w:i/>
          <w:iCs/>
          <w:sz w:val="20"/>
          <w:szCs w:val="20"/>
        </w:rPr>
        <w:t xml:space="preserve"> eingefügt durch Art. 1 Nr. 2 des G. vom 5. Juli 1994 (B.S. vom 16. Juli 1994) - anwendbar ab dem Steuerjahr 1994 - und abgeändert durch Art. 27 des G. (I) vom 29. Dezember 2010 (B.S. vom 31. Dezember 2010) - in Kraft ab dem Steuerjahr 2011 -</w:t>
      </w:r>
      <w:r>
        <w:rPr>
          <w:i/>
          <w:iCs/>
          <w:sz w:val="20"/>
          <w:szCs w:val="20"/>
        </w:rPr>
        <w:t>; § 3 Abs. 1 ersetzt durch Art. 18 Nr. 3</w:t>
      </w:r>
      <w:r w:rsidRPr="00907C03">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907C03">
        <w:rPr>
          <w:i/>
          <w:iCs/>
          <w:sz w:val="20"/>
          <w:szCs w:val="20"/>
        </w:rPr>
        <w:t>-</w:t>
      </w:r>
      <w:r>
        <w:rPr>
          <w:i/>
          <w:iCs/>
          <w:sz w:val="20"/>
          <w:szCs w:val="20"/>
        </w:rPr>
        <w:t xml:space="preserve">; § 3 Abs. 2 abgeändert </w:t>
      </w:r>
      <w:r w:rsidR="00FA3167" w:rsidRPr="00FA3167">
        <w:rPr>
          <w:i/>
          <w:iCs/>
          <w:sz w:val="20"/>
          <w:szCs w:val="20"/>
        </w:rPr>
        <w:t>durch Art. 15 Nr. 2 des G. vom 26. Januar 2021 (B.S. vom 10. Februar 2021) - in Kraft am 1. Januar 2025 -, selbst aufgehoben durch Art. 213 des G. vom 12. Mai 2024 (B.S. vom 30. Mai 2024)</w:t>
      </w:r>
      <w:r w:rsidR="00FA3167">
        <w:rPr>
          <w:i/>
          <w:iCs/>
          <w:sz w:val="20"/>
          <w:szCs w:val="20"/>
        </w:rPr>
        <w:t xml:space="preserve">, und </w:t>
      </w:r>
      <w:r>
        <w:rPr>
          <w:i/>
          <w:iCs/>
          <w:sz w:val="20"/>
          <w:szCs w:val="20"/>
        </w:rPr>
        <w:t>durch Art. 18 Nr. 4</w:t>
      </w:r>
      <w:r w:rsidRPr="00907C03">
        <w:rPr>
          <w:i/>
          <w:iCs/>
          <w:sz w:val="20"/>
          <w:szCs w:val="20"/>
        </w:rPr>
        <w:t xml:space="preserve"> des G. vom 12. Mai 2024 (B.S. vom 30. Mai 2024) - </w:t>
      </w:r>
      <w:r w:rsidR="00A54224">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907C03">
        <w:rPr>
          <w:i/>
          <w:iCs/>
          <w:sz w:val="20"/>
          <w:szCs w:val="20"/>
        </w:rPr>
        <w:t>-</w:t>
      </w:r>
      <w:r>
        <w:rPr>
          <w:i/>
          <w:iCs/>
          <w:sz w:val="20"/>
          <w:szCs w:val="20"/>
        </w:rPr>
        <w:t xml:space="preserve">; </w:t>
      </w:r>
      <w:r w:rsidRPr="00907C03">
        <w:rPr>
          <w:i/>
          <w:iCs/>
          <w:sz w:val="20"/>
          <w:szCs w:val="20"/>
        </w:rPr>
        <w:t>§ 4 eingefügt durch Art. 1 Nr. 2 des G. vom 5. Juli 1994 (B.S. vom 16. Juli 1994) - anwendbar ab dem Steuerjahr 1994 - und abgeändert durch Art. 27 des G. (I) vom 29. Dezember 2010 (B.S. vom 31. Dezember 2010) - in Kraft ab dem Steuerjahr 2011 -</w:t>
      </w:r>
      <w:r w:rsidR="00FD68E8" w:rsidRPr="009118AB">
        <w:rPr>
          <w:i/>
          <w:iCs/>
          <w:sz w:val="20"/>
          <w:szCs w:val="20"/>
        </w:rPr>
        <w:t>]</w:t>
      </w:r>
      <w:r w:rsidR="00FF3113" w:rsidRPr="009118AB">
        <w:rPr>
          <w:iCs/>
          <w:sz w:val="20"/>
          <w:szCs w:val="20"/>
        </w:rPr>
        <w:t>"</w:t>
      </w:r>
    </w:p>
    <w:p w14:paraId="7972172C" w14:textId="77777777" w:rsidR="00FF3113" w:rsidRPr="009118AB" w:rsidRDefault="00FF3113" w:rsidP="00477B8F">
      <w:pPr>
        <w:autoSpaceDE w:val="0"/>
        <w:autoSpaceDN w:val="0"/>
        <w:adjustRightInd w:val="0"/>
        <w:jc w:val="both"/>
      </w:pPr>
    </w:p>
    <w:p w14:paraId="00594E3E" w14:textId="77777777" w:rsidR="00477B8F" w:rsidRPr="009118AB" w:rsidRDefault="00477B8F" w:rsidP="00477B8F">
      <w:pPr>
        <w:autoSpaceDE w:val="0"/>
        <w:autoSpaceDN w:val="0"/>
        <w:adjustRightInd w:val="0"/>
        <w:jc w:val="both"/>
      </w:pPr>
    </w:p>
    <w:p w14:paraId="35BCC63E" w14:textId="77777777" w:rsidR="000510A2" w:rsidRPr="009118AB" w:rsidRDefault="000510A2" w:rsidP="000510A2">
      <w:pPr>
        <w:jc w:val="both"/>
      </w:pPr>
      <w:r w:rsidRPr="009118AB">
        <w:rPr>
          <w:b/>
          <w:bCs/>
        </w:rPr>
        <w:tab/>
        <w:t>Art. 307</w:t>
      </w:r>
      <w:r w:rsidRPr="009118AB">
        <w:t> - § 1 - [Die Erklärung erfolgt auf einem Formular, dessen Muster vom König festgelegt wird und das von dem vom König bestimmten Dienst bereitgestellt wird.]</w:t>
      </w:r>
    </w:p>
    <w:p w14:paraId="260E045A" w14:textId="77777777" w:rsidR="000510A2" w:rsidRPr="009118AB" w:rsidRDefault="000510A2" w:rsidP="000510A2">
      <w:pPr>
        <w:jc w:val="both"/>
      </w:pPr>
    </w:p>
    <w:p w14:paraId="02C9C3A5" w14:textId="77777777" w:rsidR="000510A2" w:rsidRPr="009118AB" w:rsidRDefault="000510A2" w:rsidP="000510A2">
      <w:pPr>
        <w:jc w:val="both"/>
      </w:pPr>
      <w:r w:rsidRPr="009118AB">
        <w:tab/>
        <w:t>[§ 1/1 - In der jährlichen Erklärung zur Steuer der natürlichen Personen muss Folgen</w:t>
      </w:r>
      <w:r w:rsidRPr="009118AB">
        <w:softHyphen/>
        <w:t>des vermerkt werden:</w:t>
      </w:r>
    </w:p>
    <w:p w14:paraId="11634758" w14:textId="77777777" w:rsidR="000510A2" w:rsidRPr="009118AB" w:rsidRDefault="000510A2" w:rsidP="000510A2">
      <w:pPr>
        <w:jc w:val="both"/>
      </w:pPr>
    </w:p>
    <w:p w14:paraId="28B4A981" w14:textId="77777777" w:rsidR="000510A2" w:rsidRPr="00916AEA" w:rsidRDefault="000510A2" w:rsidP="000510A2">
      <w:pPr>
        <w:jc w:val="both"/>
        <w:rPr>
          <w:spacing w:val="-2"/>
        </w:rPr>
      </w:pPr>
      <w:r w:rsidRPr="00916AEA">
        <w:rPr>
          <w:spacing w:val="-2"/>
        </w:rPr>
        <w:tab/>
      </w:r>
      <w:r w:rsidRPr="00916AEA">
        <w:rPr>
          <w:i/>
          <w:spacing w:val="-2"/>
        </w:rPr>
        <w:t>a)</w:t>
      </w:r>
      <w:r w:rsidRPr="00916AEA">
        <w:rPr>
          <w:spacing w:val="-2"/>
        </w:rPr>
        <w:t> das Bestehen von Konten jeglicher Art, deren Inhaber der Steuerpflichtige, sein Ehepartner und die Kinder, deren Einkünfte gemäß Artikel 126 § 4 mit denen ihrer Eltern zusammengelegt werden, zu gleich welchem Zeitpunkt während des Besteuerungszeitraums bei einem im Ausland ansässigen Bank-, Wechsel-, Kredit- oder Sparinstitut waren, und von Konten, zu deren Verwaltung sie zu gleich welchem Zeitpunkt während des Besteuerungs</w:t>
      </w:r>
      <w:r w:rsidRPr="00916AEA">
        <w:rPr>
          <w:spacing w:val="-2"/>
        </w:rPr>
        <w:softHyphen/>
        <w:t>zeitraums ermächtigt waren und deren Inhaber eine oder mehrere in Artikel 5/2 erwähnte Vereinigungen bei einem im Ausland ansässigen Bank-, Wechsel-, Kredit- oder Sparinstitut waren, sowie das Land oder die Länder, in dem beziehungsweise denen diese Konten eröffnet worden sind,</w:t>
      </w:r>
    </w:p>
    <w:p w14:paraId="35D77CA0" w14:textId="77777777" w:rsidR="000510A2" w:rsidRPr="009118AB" w:rsidRDefault="000510A2" w:rsidP="000510A2">
      <w:pPr>
        <w:jc w:val="both"/>
      </w:pPr>
    </w:p>
    <w:p w14:paraId="26D4D9E6" w14:textId="77777777" w:rsidR="000510A2" w:rsidRPr="009118AB" w:rsidRDefault="000510A2" w:rsidP="000510A2">
      <w:pPr>
        <w:jc w:val="both"/>
      </w:pPr>
      <w:r w:rsidRPr="009118AB">
        <w:tab/>
      </w:r>
      <w:r w:rsidRPr="009118AB">
        <w:rPr>
          <w:i/>
        </w:rPr>
        <w:t>b)</w:t>
      </w:r>
      <w:r w:rsidRPr="009118AB">
        <w:t> das Bestehen von individuellen Lebensversicherungsverträgen, die der Steuer</w:t>
      </w:r>
      <w:r w:rsidRPr="009118AB">
        <w:softHyphen/>
        <w:t>pflichtige oder sein Ehepartner und die Kinder, über die er gemäß Artikel 376 des Zivilgesetz</w:t>
      </w:r>
      <w:r w:rsidRPr="009118AB">
        <w:softHyphen/>
        <w:t>buches die elterliche Autorität ausübt, bei einem im Ausland ansässigen Versicherungs</w:t>
      </w:r>
      <w:r w:rsidRPr="009118AB">
        <w:softHyphen/>
        <w:t>unternehmen abgeschlossen haben, sowie das Land oder die Länder, in dem beziehungsweise denen diese Verträge abgeschlossen worden sind,</w:t>
      </w:r>
    </w:p>
    <w:p w14:paraId="4EB802E1" w14:textId="77777777" w:rsidR="000510A2" w:rsidRPr="009118AB" w:rsidRDefault="000510A2" w:rsidP="000510A2">
      <w:pPr>
        <w:jc w:val="both"/>
      </w:pPr>
    </w:p>
    <w:p w14:paraId="04533FAB" w14:textId="77777777" w:rsidR="000510A2" w:rsidRPr="009118AB" w:rsidRDefault="000510A2" w:rsidP="000510A2">
      <w:pPr>
        <w:jc w:val="both"/>
      </w:pPr>
      <w:r w:rsidRPr="009118AB">
        <w:tab/>
      </w:r>
      <w:r w:rsidRPr="009118AB">
        <w:rPr>
          <w:i/>
        </w:rPr>
        <w:t>c)</w:t>
      </w:r>
      <w:r w:rsidRPr="009118AB">
        <w:t> das Bestehen einer Rechtsvereinbarung, wenn der Steuerpflichtige, sein Ehepartner beziehungsweise die Kinder, über die er gemäß Artikel 376 des Zivilgesetzbuches die elterliche Autorität ausübt, entweder Gründer der Rechtsvereinbarung sind oder während des Besteuerungszeitraums eine Dividende erzielt oder in irgendeiner Weise andere Vorteile von einer Rechtsvereinbarung erhalten haben,</w:t>
      </w:r>
    </w:p>
    <w:p w14:paraId="08BE3301" w14:textId="77777777" w:rsidR="000510A2" w:rsidRPr="009118AB" w:rsidRDefault="000510A2" w:rsidP="000510A2">
      <w:pPr>
        <w:jc w:val="both"/>
      </w:pPr>
    </w:p>
    <w:p w14:paraId="03B76377" w14:textId="77777777" w:rsidR="000510A2" w:rsidRPr="009118AB" w:rsidRDefault="000510A2" w:rsidP="000510A2">
      <w:pPr>
        <w:jc w:val="both"/>
      </w:pPr>
      <w:r w:rsidRPr="009118AB">
        <w:tab/>
      </w:r>
      <w:r w:rsidRPr="009118AB">
        <w:rPr>
          <w:i/>
        </w:rPr>
        <w:t>d)</w:t>
      </w:r>
      <w:r w:rsidRPr="009118AB">
        <w:t> die Anzahl in Artikel 21 Absatz 1 Nr. 13 erwähnte Darlehen, die die Steuer</w:t>
      </w:r>
      <w:r w:rsidRPr="009118AB">
        <w:softHyphen/>
        <w:t>pflichtigen, die der Steuer der natürlichen Personen unterliegen, in ihrer Eigenschaft als Darlehensgeber abgeschlossen haben,</w:t>
      </w:r>
    </w:p>
    <w:p w14:paraId="2D6F8541" w14:textId="77777777" w:rsidR="000510A2" w:rsidRPr="009118AB" w:rsidRDefault="000510A2" w:rsidP="000510A2">
      <w:pPr>
        <w:jc w:val="both"/>
      </w:pPr>
    </w:p>
    <w:p w14:paraId="2A57CADB" w14:textId="6A7E1DB7" w:rsidR="000510A2" w:rsidRPr="009118AB" w:rsidRDefault="000510A2" w:rsidP="000510A2">
      <w:pPr>
        <w:jc w:val="both"/>
      </w:pPr>
      <w:r w:rsidRPr="009118AB">
        <w:tab/>
        <w:t>[</w:t>
      </w:r>
      <w:r w:rsidRPr="000510A2">
        <w:rPr>
          <w:iCs/>
        </w:rPr>
        <w:t>..</w:t>
      </w:r>
      <w:r w:rsidRPr="009118AB">
        <w:t>.]</w:t>
      </w:r>
    </w:p>
    <w:p w14:paraId="050E0EE6" w14:textId="77777777" w:rsidR="000510A2" w:rsidRPr="009118AB" w:rsidRDefault="000510A2" w:rsidP="000510A2">
      <w:pPr>
        <w:jc w:val="both"/>
      </w:pPr>
    </w:p>
    <w:p w14:paraId="075E5125" w14:textId="77777777" w:rsidR="000510A2" w:rsidRPr="00916AEA" w:rsidRDefault="000510A2" w:rsidP="000510A2">
      <w:pPr>
        <w:jc w:val="both"/>
      </w:pPr>
      <w:r w:rsidRPr="00916AEA">
        <w:tab/>
        <w:t>Spätestens gleichzeitig mit der Einreichung der Erklärung, in der das Bestehen von ausländischen Konten wie in Absatz 1 Buchstabe </w:t>
      </w:r>
      <w:r w:rsidRPr="00916AEA">
        <w:rPr>
          <w:i/>
        </w:rPr>
        <w:t>a)</w:t>
      </w:r>
      <w:r w:rsidRPr="00916AEA">
        <w:t xml:space="preserve"> erwähnt vermerkt ist, müssen die Nummern dieser Konten, der Name des Bank-, Wechsel-, Kredit- oder Sparinstituts und das Land oder die Länder, in dem beziehungsweise denen diese Konten eröffnet worden sind, der in Artikel 322 § 3 erwähnten zentralen Kontaktstelle mitgeteilt werden, außer wenn diese Mitteilung bereits in einem vorhergehenden Steuerjahr erfolgt ist. Der König bestimmt die Modalitäten dieser Mitteilung und die Frist für die Aufbewahrung der betreffenden Angaben. Das Formular der Erklärung zur Steuer der natürlichen Personen enthält die Rubriken, die für die Angabe des Bestehens ausländischer Konten und für die Bestätigung, dass die Nummern dieser Konten der vorerwähnten Kontaktstelle mitgeteilt wurden, notwendig sind.]</w:t>
      </w:r>
    </w:p>
    <w:p w14:paraId="485BA5C6" w14:textId="77777777" w:rsidR="000510A2" w:rsidRPr="009118AB" w:rsidRDefault="000510A2" w:rsidP="000510A2">
      <w:pPr>
        <w:jc w:val="both"/>
        <w:rPr>
          <w:spacing w:val="2"/>
        </w:rPr>
      </w:pPr>
    </w:p>
    <w:p w14:paraId="7EF372A5" w14:textId="77777777" w:rsidR="000510A2" w:rsidRPr="00916AEA" w:rsidRDefault="000510A2" w:rsidP="000510A2">
      <w:pPr>
        <w:jc w:val="both"/>
      </w:pPr>
      <w:r w:rsidRPr="00916AEA">
        <w:tab/>
        <w:t>[Wünscht ein Einwohner des Königreichs die Anwendung von Artikel 21 Absatz 1 Nr. 14 für Dividenden, für die in Anwendung von Artikel 261 ein Mobiliensteuervorabzug einbehalten wurde, beantragt er in seiner Erklärung zur Steuer der natürlichen Personen für den Besteuerungszeitraum, in dem diese Dividenden zuerkannt oder ausgeschüttet wurden, die Anrechnung und gegebenenfalls die Erstattung dieses Mobilien</w:t>
      </w:r>
      <w:r w:rsidRPr="00916AEA">
        <w:softHyphen/>
        <w:t>steuer</w:t>
      </w:r>
      <w:r w:rsidRPr="00916AEA">
        <w:softHyphen/>
        <w:t>vorabzugs. Dieser Antrag wird mit Belegen untermauert, die zur Verfügung der Verwaltung gehalten werden.]</w:t>
      </w:r>
    </w:p>
    <w:p w14:paraId="5C821C5A" w14:textId="77777777" w:rsidR="000510A2" w:rsidRPr="009118AB" w:rsidRDefault="000510A2" w:rsidP="000510A2">
      <w:pPr>
        <w:jc w:val="both"/>
      </w:pPr>
    </w:p>
    <w:p w14:paraId="06867EA4" w14:textId="77777777" w:rsidR="000510A2" w:rsidRPr="009118AB" w:rsidRDefault="000510A2" w:rsidP="000510A2">
      <w:pPr>
        <w:jc w:val="both"/>
      </w:pPr>
      <w:r w:rsidRPr="009118AB">
        <w:tab/>
        <w:t>[Der König bestimmt, wie der in [Absatz 3] erwähnte Nachweis zu erbringen ist.]</w:t>
      </w:r>
    </w:p>
    <w:p w14:paraId="70B51A2A" w14:textId="77777777" w:rsidR="000510A2" w:rsidRPr="009118AB" w:rsidRDefault="000510A2" w:rsidP="000510A2"/>
    <w:p w14:paraId="6EB9AD20" w14:textId="77777777" w:rsidR="000510A2" w:rsidRPr="009118AB" w:rsidRDefault="000510A2" w:rsidP="000510A2">
      <w:pPr>
        <w:jc w:val="both"/>
      </w:pPr>
      <w:r w:rsidRPr="009118AB">
        <w:tab/>
        <w:t>[§ 1/2 - Steuerpflichtige, die der Gesellschaftssteuer oder gemäß Artikel 227 Nr. 2 der Steuer der Gebietsfremden unterliegen, sind verpflichtet, alle Zahlungen anzugeben, die sie direkt oder indirekt an Personen oder Betriebsstätten machen, die in einem Staat ansässig sind, auf Bankkonten machen, die von einer dieser Personen oder Betriebsstätten verwaltet oder gehalten werden, oder auf Bankkonten machen, die bei Kreditinstituten verwaltet oder gehalten werden, die in einem Staat ansässig sind oder eine Betriebsstätte in einem Staat besitzen, [wenn dieser Staat zu dem Zeitpunkt, zu dem die Zahlung getätigt wurde:]</w:t>
      </w:r>
    </w:p>
    <w:p w14:paraId="643385CE" w14:textId="77777777" w:rsidR="000510A2" w:rsidRPr="009118AB" w:rsidRDefault="000510A2" w:rsidP="000510A2">
      <w:pPr>
        <w:jc w:val="both"/>
      </w:pPr>
    </w:p>
    <w:p w14:paraId="27A1204E" w14:textId="77777777" w:rsidR="000510A2" w:rsidRPr="009118AB" w:rsidRDefault="000510A2" w:rsidP="000510A2">
      <w:pPr>
        <w:jc w:val="both"/>
      </w:pPr>
      <w:r w:rsidRPr="009118AB">
        <w:tab/>
      </w:r>
      <w:r w:rsidRPr="009118AB">
        <w:rPr>
          <w:i/>
        </w:rPr>
        <w:t>a)</w:t>
      </w:r>
      <w:r w:rsidRPr="009118AB">
        <w:t> entweder [...] durch das Globale Forum für Transparenz und Informationsaustausch zu Steuerzwecken als Staat betrachtet wird, der den Standard für den Austausch von Informationen auf Ersuchen tatsächlich oder im Wesentlichen nicht umsetzt,</w:t>
      </w:r>
    </w:p>
    <w:p w14:paraId="6B611C76" w14:textId="77777777" w:rsidR="000510A2" w:rsidRPr="009118AB" w:rsidRDefault="000510A2" w:rsidP="000510A2">
      <w:pPr>
        <w:jc w:val="both"/>
      </w:pPr>
    </w:p>
    <w:p w14:paraId="078DC9B1" w14:textId="77777777" w:rsidR="000510A2" w:rsidRPr="009118AB" w:rsidRDefault="000510A2" w:rsidP="000510A2">
      <w:pPr>
        <w:jc w:val="both"/>
      </w:pPr>
      <w:r w:rsidRPr="009118AB">
        <w:tab/>
      </w:r>
      <w:r w:rsidRPr="009118AB">
        <w:rPr>
          <w:i/>
        </w:rPr>
        <w:t>b)</w:t>
      </w:r>
      <w:r w:rsidRPr="009118AB">
        <w:t> oder auf der Liste der Staaten ohne oder mit niedriger Besteuerung steht,</w:t>
      </w:r>
    </w:p>
    <w:p w14:paraId="657F314A" w14:textId="77777777" w:rsidR="000510A2" w:rsidRPr="009118AB" w:rsidRDefault="000510A2" w:rsidP="000510A2">
      <w:pPr>
        <w:jc w:val="both"/>
      </w:pPr>
    </w:p>
    <w:p w14:paraId="5B92C13E" w14:textId="77777777" w:rsidR="000510A2" w:rsidRPr="009118AB" w:rsidRDefault="000510A2" w:rsidP="000510A2">
      <w:pPr>
        <w:jc w:val="both"/>
      </w:pPr>
      <w:r w:rsidRPr="009118AB">
        <w:tab/>
        <w:t>[</w:t>
      </w:r>
      <w:r w:rsidRPr="009118AB">
        <w:rPr>
          <w:i/>
        </w:rPr>
        <w:t>c)</w:t>
      </w:r>
      <w:r w:rsidRPr="009118AB">
        <w:t> oder in der EU-Liste nicht kooperativer Steuergebiete aufgenommen ist.]</w:t>
      </w:r>
    </w:p>
    <w:p w14:paraId="280C4DCD" w14:textId="77777777" w:rsidR="000510A2" w:rsidRPr="009118AB" w:rsidRDefault="000510A2" w:rsidP="000510A2">
      <w:pPr>
        <w:jc w:val="both"/>
      </w:pPr>
    </w:p>
    <w:p w14:paraId="7B1188FC" w14:textId="77777777" w:rsidR="000510A2" w:rsidRPr="009118AB" w:rsidRDefault="000510A2" w:rsidP="000510A2">
      <w:pPr>
        <w:jc w:val="both"/>
      </w:pPr>
      <w:r w:rsidRPr="009118AB">
        <w:tab/>
        <w:t>Für die Anwendung von Absatz 1 gilt als Staat ein von der Mehrheit der Mitglieder der Vereinten Nationen anerkannter unabhängiger Staat oder ein Teil eines solchen Staates, der autonom dafür zuständig ist, Grundlage oder Satz der Gesellschaftssteuer ganz oder teilweise zu bestimmen, und gilt als Staat ohne oder mit niedriger Besteuerung ein Staat, der nicht Teil des Europäischen Wirtschaftsraums ist und:</w:t>
      </w:r>
    </w:p>
    <w:p w14:paraId="6AC131BE" w14:textId="77777777" w:rsidR="000510A2" w:rsidRPr="009118AB" w:rsidRDefault="000510A2" w:rsidP="000510A2">
      <w:pPr>
        <w:jc w:val="both"/>
      </w:pPr>
    </w:p>
    <w:p w14:paraId="109E2C27" w14:textId="77777777" w:rsidR="000510A2" w:rsidRPr="009118AB" w:rsidRDefault="000510A2" w:rsidP="000510A2">
      <w:pPr>
        <w:jc w:val="both"/>
      </w:pPr>
      <w:r w:rsidRPr="009118AB">
        <w:tab/>
        <w:t>- in dem Gesellschaften keiner Gesellschaftssteuer auf Einkünfte inländischer oder ausländischer Herkunft unterliegen oder</w:t>
      </w:r>
    </w:p>
    <w:p w14:paraId="1F109DC0" w14:textId="77777777" w:rsidR="000510A2" w:rsidRPr="009118AB" w:rsidRDefault="000510A2" w:rsidP="000510A2">
      <w:pPr>
        <w:jc w:val="both"/>
      </w:pPr>
    </w:p>
    <w:p w14:paraId="5B809076" w14:textId="77777777" w:rsidR="000510A2" w:rsidRPr="009118AB" w:rsidRDefault="000510A2" w:rsidP="000510A2">
      <w:pPr>
        <w:jc w:val="both"/>
      </w:pPr>
      <w:r w:rsidRPr="009118AB">
        <w:tab/>
        <w:t>- dessen nominaler Satz der Gesellschaftssteuer unter 10 Prozent liegt oder</w:t>
      </w:r>
    </w:p>
    <w:p w14:paraId="6E32E42B" w14:textId="77777777" w:rsidR="000510A2" w:rsidRPr="009118AB" w:rsidRDefault="000510A2" w:rsidP="000510A2">
      <w:pPr>
        <w:jc w:val="both"/>
      </w:pPr>
    </w:p>
    <w:p w14:paraId="316835A4" w14:textId="77777777" w:rsidR="000510A2" w:rsidRPr="009118AB" w:rsidRDefault="000510A2" w:rsidP="000510A2">
      <w:pPr>
        <w:jc w:val="both"/>
      </w:pPr>
      <w:r w:rsidRPr="009118AB">
        <w:tab/>
        <w:t>- dessen Gesellschaftssteuersatz, der der tatsächlichen Steuerlast auf Einkünfte auslän</w:t>
      </w:r>
      <w:r w:rsidRPr="009118AB">
        <w:softHyphen/>
        <w:t>discher Herkunft entspricht, unter 15 Prozent liegt.</w:t>
      </w:r>
    </w:p>
    <w:p w14:paraId="05DE9D56" w14:textId="77777777" w:rsidR="000510A2" w:rsidRPr="009118AB" w:rsidRDefault="000510A2" w:rsidP="000510A2">
      <w:pPr>
        <w:jc w:val="both"/>
      </w:pPr>
    </w:p>
    <w:p w14:paraId="4846AE07" w14:textId="77777777" w:rsidR="000510A2" w:rsidRPr="009118AB" w:rsidRDefault="000510A2" w:rsidP="000510A2">
      <w:pPr>
        <w:jc w:val="both"/>
      </w:pPr>
      <w:r w:rsidRPr="009118AB">
        <w:tab/>
        <w:t>Die Liste der Staaten ohne oder mit niedriger Besteuerung wird durch einen im Ministerrat beratenen Königlichen Erlass festgelegt. Diese Liste wird durch einen im Ministerrat beratenen Königlichen Erlass aktualisiert.</w:t>
      </w:r>
    </w:p>
    <w:p w14:paraId="5A8F2ED0" w14:textId="77777777" w:rsidR="000510A2" w:rsidRPr="009118AB" w:rsidRDefault="000510A2" w:rsidP="000510A2">
      <w:pPr>
        <w:jc w:val="both"/>
      </w:pPr>
    </w:p>
    <w:p w14:paraId="4203CD76" w14:textId="77777777" w:rsidR="000510A2" w:rsidRPr="009118AB" w:rsidRDefault="000510A2" w:rsidP="000510A2">
      <w:pPr>
        <w:jc w:val="both"/>
      </w:pPr>
      <w:r w:rsidRPr="009118AB">
        <w:tab/>
        <w:t xml:space="preserve">Die in Absatz 1 erwähnte Erklärung muss nur erfolgen, </w:t>
      </w:r>
      <w:r>
        <w:t>[</w:t>
      </w:r>
      <w:r w:rsidRPr="009541B3">
        <w:t>wenn die Gesamtheit der während des Besteuerungszeitraums getätigten Zahlungen, erhöht um den während des Besteuerungszeitraums festgestellten Anstieg der Schulden gegenüber den in Absatz 1 erwähnten Personen oder Betriebsstätten,</w:t>
      </w:r>
      <w:r>
        <w:t>]</w:t>
      </w:r>
      <w:r w:rsidRPr="009118AB">
        <w:t xml:space="preserve"> einen Mindestbetrag von 100.000 EUR erreicht. Die Erklärung erfolgt auf einem Formular, dessen Muster vom König festgelegt wird, und wird der in Artikel 305 Absatz 1 erwähnten Erklärung beigefügt.</w:t>
      </w:r>
    </w:p>
    <w:p w14:paraId="26EDF0ED" w14:textId="77777777" w:rsidR="000510A2" w:rsidRPr="009118AB" w:rsidRDefault="000510A2" w:rsidP="000510A2">
      <w:pPr>
        <w:jc w:val="both"/>
      </w:pPr>
    </w:p>
    <w:p w14:paraId="11406B66" w14:textId="77777777" w:rsidR="000510A2" w:rsidRPr="009118AB" w:rsidRDefault="000510A2" w:rsidP="000510A2">
      <w:pPr>
        <w:ind w:firstLine="708"/>
        <w:jc w:val="both"/>
      </w:pPr>
      <w:r w:rsidRPr="009118AB">
        <w:tab/>
        <w:t>[</w:t>
      </w:r>
      <w:r w:rsidRPr="00FF1F87">
        <w:t>Steuerpflichtige, die der Gesellschaftssteuer unterliegen, sind ebenfalls verpflichtet, in der Erklärung das Bestehen jeder ausländischen Gesellschaft oder ausländischen Niederlassung, die in Anwendung von Artikel 185/2 § 3 als CFC gilt, zu vermerken.</w:t>
      </w:r>
      <w:r>
        <w:t>]</w:t>
      </w:r>
    </w:p>
    <w:p w14:paraId="6F64DD7A" w14:textId="77777777" w:rsidR="000510A2" w:rsidRPr="009118AB" w:rsidRDefault="000510A2" w:rsidP="000510A2">
      <w:pPr>
        <w:jc w:val="both"/>
      </w:pPr>
    </w:p>
    <w:p w14:paraId="0B917EB8" w14:textId="77777777" w:rsidR="000510A2" w:rsidRPr="00FF1F87" w:rsidRDefault="000510A2" w:rsidP="000510A2">
      <w:pPr>
        <w:ind w:firstLine="708"/>
        <w:jc w:val="both"/>
      </w:pPr>
      <w:r>
        <w:t>[</w:t>
      </w:r>
      <w:r w:rsidRPr="00FF1F87">
        <w:t>Wird in der Erklärung das Bestehen einer in Artikel 185/2 § 3 erwähnten ausländischen Gesellschaft oder ausländischen Niederlassung einer ausländischen Gesellschaft, die gemäß Artikel 185/2 § 3 als CFC gilt, vermerkt, wird ebenfalls Nachstehendes vermerkt:</w:t>
      </w:r>
    </w:p>
    <w:p w14:paraId="67B713CF" w14:textId="77777777" w:rsidR="000510A2" w:rsidRPr="00FF1F87" w:rsidRDefault="000510A2" w:rsidP="000510A2">
      <w:pPr>
        <w:jc w:val="both"/>
      </w:pPr>
    </w:p>
    <w:p w14:paraId="757FEA86" w14:textId="77777777" w:rsidR="000510A2" w:rsidRPr="00FF1F87" w:rsidRDefault="000510A2" w:rsidP="000510A2">
      <w:pPr>
        <w:ind w:firstLine="708"/>
        <w:jc w:val="both"/>
      </w:pPr>
      <w:r w:rsidRPr="00FF1F87">
        <w:t>- Name der Gesellschaft,</w:t>
      </w:r>
    </w:p>
    <w:p w14:paraId="47552053" w14:textId="77777777" w:rsidR="000510A2" w:rsidRPr="00FF1F87" w:rsidRDefault="000510A2" w:rsidP="000510A2">
      <w:pPr>
        <w:jc w:val="both"/>
      </w:pPr>
    </w:p>
    <w:p w14:paraId="27C5DD8E" w14:textId="77777777" w:rsidR="000510A2" w:rsidRPr="00FF1F87" w:rsidRDefault="000510A2" w:rsidP="000510A2">
      <w:pPr>
        <w:ind w:firstLine="708"/>
        <w:jc w:val="both"/>
      </w:pPr>
      <w:r w:rsidRPr="00FF1F87">
        <w:t>- Adresse des Geschäftsführungs- oder Verwaltungssitzes der Gesellschaft,</w:t>
      </w:r>
    </w:p>
    <w:p w14:paraId="6CD15C69" w14:textId="77777777" w:rsidR="000510A2" w:rsidRPr="00FF1F87" w:rsidRDefault="000510A2" w:rsidP="000510A2">
      <w:pPr>
        <w:jc w:val="both"/>
      </w:pPr>
    </w:p>
    <w:p w14:paraId="36D32174" w14:textId="77777777" w:rsidR="000510A2" w:rsidRPr="00FF1F87" w:rsidRDefault="000510A2" w:rsidP="000510A2">
      <w:pPr>
        <w:ind w:firstLine="708"/>
        <w:jc w:val="both"/>
      </w:pPr>
      <w:r w:rsidRPr="00FF1F87">
        <w:t>- gegebenenfalls Identifikationsnummer dieser Gesellschaft,</w:t>
      </w:r>
    </w:p>
    <w:p w14:paraId="5CB73BFA" w14:textId="77777777" w:rsidR="000510A2" w:rsidRPr="00FF1F87" w:rsidRDefault="000510A2" w:rsidP="000510A2">
      <w:pPr>
        <w:jc w:val="both"/>
      </w:pPr>
    </w:p>
    <w:p w14:paraId="7C84C1AE" w14:textId="77777777" w:rsidR="000510A2" w:rsidRPr="00FF1F87" w:rsidRDefault="000510A2" w:rsidP="000510A2">
      <w:pPr>
        <w:ind w:firstLine="708"/>
        <w:jc w:val="both"/>
      </w:pPr>
      <w:r w:rsidRPr="00FF1F87">
        <w:t>- gegebenenfalls Land, in dem die ausländische Niederlassung gelegen ist,</w:t>
      </w:r>
    </w:p>
    <w:p w14:paraId="0C072494" w14:textId="77777777" w:rsidR="000510A2" w:rsidRPr="00FF1F87" w:rsidRDefault="000510A2" w:rsidP="000510A2">
      <w:pPr>
        <w:jc w:val="both"/>
      </w:pPr>
    </w:p>
    <w:p w14:paraId="0912F8B1" w14:textId="77777777" w:rsidR="000510A2" w:rsidRPr="00FF1F87" w:rsidRDefault="000510A2" w:rsidP="000510A2">
      <w:pPr>
        <w:ind w:firstLine="708"/>
        <w:jc w:val="both"/>
      </w:pPr>
      <w:r w:rsidRPr="00FF1F87">
        <w:t>- Prozentsatz erwähnt in Artikel 185/2 § 2 Absatz 5,</w:t>
      </w:r>
    </w:p>
    <w:p w14:paraId="37DB573F" w14:textId="77777777" w:rsidR="000510A2" w:rsidRPr="00FF1F87" w:rsidRDefault="000510A2" w:rsidP="000510A2">
      <w:pPr>
        <w:jc w:val="both"/>
      </w:pPr>
    </w:p>
    <w:p w14:paraId="74AEE785" w14:textId="77777777" w:rsidR="000510A2" w:rsidRPr="009118AB" w:rsidRDefault="000510A2" w:rsidP="000510A2">
      <w:pPr>
        <w:ind w:firstLine="708"/>
        <w:jc w:val="both"/>
      </w:pPr>
      <w:r w:rsidRPr="00FF1F87">
        <w:t>- ob die Befreiung erwähnt in Artikel 185/2 § 4 erster Gedankenstrich, zweiter Gedankenstrich beziehungsweise dritter Gedankenstrich geltend gemacht wird.</w:t>
      </w:r>
      <w:r>
        <w:t>]</w:t>
      </w:r>
    </w:p>
    <w:p w14:paraId="74F4DF23" w14:textId="77777777" w:rsidR="000510A2" w:rsidRPr="009118AB" w:rsidRDefault="000510A2" w:rsidP="000510A2">
      <w:pPr>
        <w:jc w:val="both"/>
      </w:pPr>
    </w:p>
    <w:p w14:paraId="71212B70" w14:textId="77777777" w:rsidR="000510A2" w:rsidRPr="009118AB" w:rsidRDefault="000510A2" w:rsidP="000510A2">
      <w:pPr>
        <w:ind w:firstLine="708"/>
        <w:jc w:val="both"/>
      </w:pPr>
      <w:r>
        <w:t>[..</w:t>
      </w:r>
      <w:r w:rsidRPr="009118AB">
        <w:t>.]</w:t>
      </w:r>
    </w:p>
    <w:p w14:paraId="208C4CEB" w14:textId="77777777" w:rsidR="000510A2" w:rsidRPr="009118AB" w:rsidRDefault="000510A2" w:rsidP="000510A2">
      <w:pPr>
        <w:jc w:val="both"/>
      </w:pPr>
    </w:p>
    <w:p w14:paraId="416F9622" w14:textId="77777777" w:rsidR="000510A2" w:rsidRPr="009118AB" w:rsidRDefault="000510A2" w:rsidP="000510A2">
      <w:pPr>
        <w:jc w:val="both"/>
      </w:pPr>
      <w:r w:rsidRPr="009118AB">
        <w:tab/>
      </w:r>
      <w:r>
        <w:t>[</w:t>
      </w:r>
      <w:r w:rsidRPr="009118AB">
        <w:t>§ 1/3 - In der jährlichen Erklärung zur Steuer der juristischen Personen wird das Bestehen einer Rechtsvereinbarung vermerkt, wenn der Steuerpflichtige entweder Gründer dieser Rechtsvereinbarung ist oder während des Besteuerungszeitraums eine Dividende erzielt oder in irgendeiner Weise andere Vorteile erhalten hat.</w:t>
      </w:r>
      <w:r>
        <w:t>]</w:t>
      </w:r>
    </w:p>
    <w:p w14:paraId="70DF6A1E" w14:textId="77777777" w:rsidR="000510A2" w:rsidRPr="009118AB" w:rsidRDefault="000510A2" w:rsidP="000510A2">
      <w:pPr>
        <w:jc w:val="both"/>
      </w:pPr>
    </w:p>
    <w:p w14:paraId="45F703F3" w14:textId="77777777" w:rsidR="000510A2" w:rsidRPr="00FF1F87" w:rsidRDefault="000510A2" w:rsidP="000510A2">
      <w:pPr>
        <w:ind w:firstLine="708"/>
        <w:jc w:val="both"/>
      </w:pPr>
      <w:r>
        <w:t>[</w:t>
      </w:r>
      <w:r w:rsidRPr="009118AB">
        <w:t>§ 1/4 - </w:t>
      </w:r>
      <w:r>
        <w:t>[</w:t>
      </w:r>
      <w:r w:rsidRPr="00FF1F87">
        <w:t>Wird in der Erklärung zur Steuer der natürlichen Personen oder zur Steuer der juristischen Personen das Bestehen einer Rechtsvereinbarung vermerkt, wird in einer Anlage zur Erklärung zur Steuer der natürlichen Personen oder zur Steuer der juristischen Personen, deren Muster vom König festgelegt wird, Folgendes vermerkt:</w:t>
      </w:r>
    </w:p>
    <w:p w14:paraId="305F4F47" w14:textId="77777777" w:rsidR="000510A2" w:rsidRPr="00FF1F87" w:rsidRDefault="000510A2" w:rsidP="000510A2">
      <w:pPr>
        <w:jc w:val="both"/>
      </w:pPr>
    </w:p>
    <w:p w14:paraId="53713401" w14:textId="77777777" w:rsidR="000510A2" w:rsidRPr="00FF1F87" w:rsidRDefault="000510A2" w:rsidP="000510A2">
      <w:pPr>
        <w:ind w:firstLine="708"/>
        <w:jc w:val="both"/>
      </w:pPr>
      <w:r w:rsidRPr="00FF1F87">
        <w:t>- vollständiger Name, Rechtsform, Adresse und gegebenenfalls Identifikationsnummer der Rechtsvereinbarung,</w:t>
      </w:r>
    </w:p>
    <w:p w14:paraId="38E4E2B4" w14:textId="77777777" w:rsidR="000510A2" w:rsidRPr="00FF1F87" w:rsidRDefault="000510A2" w:rsidP="000510A2">
      <w:pPr>
        <w:jc w:val="both"/>
      </w:pPr>
    </w:p>
    <w:p w14:paraId="3FD9F326" w14:textId="77777777" w:rsidR="000510A2" w:rsidRPr="00FF1F87" w:rsidRDefault="000510A2" w:rsidP="000510A2">
      <w:pPr>
        <w:ind w:firstLine="708"/>
        <w:jc w:val="both"/>
      </w:pPr>
      <w:r w:rsidRPr="00FF1F87">
        <w:t>- Name und Adresse des Verwalters dieser Rechtsvereinbarung, wenn es sich um eine in Artikel 2 § 1 Nr. 13 Buchstabe </w:t>
      </w:r>
      <w:r w:rsidRPr="00FF1F87">
        <w:rPr>
          <w:i/>
          <w:iCs/>
        </w:rPr>
        <w:t>a)</w:t>
      </w:r>
      <w:r w:rsidRPr="00FF1F87">
        <w:t xml:space="preserve"> erwähnte Rechtsvereinbarung handelt,</w:t>
      </w:r>
    </w:p>
    <w:p w14:paraId="2751D7E4" w14:textId="77777777" w:rsidR="000510A2" w:rsidRPr="00FF1F87" w:rsidRDefault="000510A2" w:rsidP="000510A2">
      <w:pPr>
        <w:jc w:val="both"/>
      </w:pPr>
    </w:p>
    <w:p w14:paraId="09D40C90" w14:textId="77777777" w:rsidR="000510A2" w:rsidRPr="009118AB" w:rsidRDefault="000510A2" w:rsidP="000510A2">
      <w:pPr>
        <w:autoSpaceDE w:val="0"/>
        <w:autoSpaceDN w:val="0"/>
        <w:adjustRightInd w:val="0"/>
        <w:ind w:firstLine="708"/>
        <w:jc w:val="both"/>
      </w:pPr>
      <w:r w:rsidRPr="00FF1F87">
        <w:t>- die in der Erklärung angegebenen Einkünfte, die von jeder Rechtsvereinbarung getrennt bezogen wurden, sowie der Betrag des Vermögens der Rechtsvereinbarung am Ende des Besteuerungszeitraums, der Teil des Vermögens, der vom Gründer eingebracht wurde, die in Artikel 18 Absatz 1 Nr. 3 und 3/1 erwähnten Dividenden, die in der Erklärung angegeben waren, sowie diejenigen, die in Anwendung von Artikel 21 Absatz 1 Nr. 12 steuerfrei waren, und diejenigen, die nicht in der Erklärung angegeben werden müssen, weil ein Mobiliensteuervorabzug auf diese Dividenden einbehalten wurde.</w:t>
      </w:r>
      <w:r>
        <w:t>]</w:t>
      </w:r>
      <w:r w:rsidRPr="009118AB">
        <w:t>]</w:t>
      </w:r>
    </w:p>
    <w:p w14:paraId="26F2B5C6" w14:textId="77777777" w:rsidR="000510A2" w:rsidRPr="009118AB" w:rsidRDefault="000510A2" w:rsidP="000510A2">
      <w:pPr>
        <w:autoSpaceDE w:val="0"/>
        <w:autoSpaceDN w:val="0"/>
        <w:adjustRightInd w:val="0"/>
        <w:jc w:val="both"/>
      </w:pPr>
    </w:p>
    <w:p w14:paraId="48342F04" w14:textId="77777777" w:rsidR="000510A2" w:rsidRPr="009118AB" w:rsidRDefault="000510A2" w:rsidP="000510A2">
      <w:pPr>
        <w:jc w:val="both"/>
      </w:pPr>
      <w:r w:rsidRPr="009118AB">
        <w:tab/>
        <w:t>[§ 1/5 - Wünscht ein in Artikel 227 Nr. 1 erwähnter Gebietsfremder die Anwendung von Artikel 21 Absatz 1 Nr. 14 für Dividenden, für die in Anwendung von Artikel 261 ein Mobiliensteuervorabzug einbehalten wurde und die während eines Besteuerungszeitraums zuerkannt oder ausgeschüttet wurden, auf den sich ebenfalls Einkünfte beziehen, die er gemäß den Artikeln 232 und 248 §§ 2 und 3 in einer Erklärung zur Steuer der Gebietsfremden regularisiert, beantragt er in seiner Erklärung zur Steuer der Gebietsfremden für den betreffenden Besteuerungszeitraum die Anrechnung und gegebenenfalls die Erstattung dieses Mobiliensteuervorabzugs. Dieser Antrag wird mit Belegen untermauert, die zur Verfügung der Verwaltung gehalten werden.</w:t>
      </w:r>
    </w:p>
    <w:p w14:paraId="14FC8E3D" w14:textId="77777777" w:rsidR="000510A2" w:rsidRPr="009118AB" w:rsidRDefault="000510A2" w:rsidP="000510A2">
      <w:pPr>
        <w:jc w:val="both"/>
      </w:pPr>
    </w:p>
    <w:p w14:paraId="37E96F36" w14:textId="77777777" w:rsidR="000510A2" w:rsidRPr="009118AB" w:rsidRDefault="000510A2" w:rsidP="000510A2">
      <w:pPr>
        <w:autoSpaceDE w:val="0"/>
        <w:autoSpaceDN w:val="0"/>
        <w:adjustRightInd w:val="0"/>
        <w:jc w:val="both"/>
      </w:pPr>
      <w:r w:rsidRPr="009118AB">
        <w:tab/>
        <w:t>Der König bestimmt, wie der in Absatz 1 erwähnte Nachweis zu erbringen ist.]</w:t>
      </w:r>
    </w:p>
    <w:p w14:paraId="115C352D" w14:textId="77777777" w:rsidR="000510A2" w:rsidRPr="009118AB" w:rsidRDefault="000510A2" w:rsidP="000510A2">
      <w:pPr>
        <w:autoSpaceDE w:val="0"/>
        <w:autoSpaceDN w:val="0"/>
        <w:adjustRightInd w:val="0"/>
        <w:jc w:val="both"/>
      </w:pPr>
    </w:p>
    <w:p w14:paraId="1970A890" w14:textId="7A36EF3D" w:rsidR="000510A2" w:rsidRPr="009118AB" w:rsidRDefault="000510A2" w:rsidP="000510A2">
      <w:pPr>
        <w:autoSpaceDE w:val="0"/>
        <w:autoSpaceDN w:val="0"/>
        <w:adjustRightInd w:val="0"/>
        <w:jc w:val="both"/>
      </w:pPr>
      <w:r w:rsidRPr="009118AB">
        <w:tab/>
      </w:r>
      <w:r>
        <w:t>[..</w:t>
      </w:r>
      <w:r w:rsidRPr="009118AB">
        <w:t>.]</w:t>
      </w:r>
    </w:p>
    <w:p w14:paraId="11FF4C0C" w14:textId="77777777" w:rsidR="000510A2" w:rsidRPr="009118AB" w:rsidRDefault="000510A2" w:rsidP="000510A2">
      <w:pPr>
        <w:autoSpaceDE w:val="0"/>
        <w:autoSpaceDN w:val="0"/>
        <w:adjustRightInd w:val="0"/>
        <w:jc w:val="both"/>
      </w:pPr>
    </w:p>
    <w:p w14:paraId="0A151086" w14:textId="77777777" w:rsidR="000510A2" w:rsidRPr="009118AB" w:rsidRDefault="000510A2" w:rsidP="000510A2">
      <w:pPr>
        <w:ind w:firstLine="708"/>
        <w:jc w:val="both"/>
      </w:pPr>
      <w:r w:rsidRPr="009118AB">
        <w:tab/>
        <w:t>§ 2 - [Das Formular wird gemäß den darin befindlichen Angaben ausgefüllt, für richtig bescheinigt, datiert und unterzeichnet.</w:t>
      </w:r>
    </w:p>
    <w:p w14:paraId="6527A5F1" w14:textId="77777777" w:rsidR="000510A2" w:rsidRPr="009118AB" w:rsidRDefault="000510A2" w:rsidP="000510A2">
      <w:pPr>
        <w:jc w:val="both"/>
      </w:pPr>
    </w:p>
    <w:p w14:paraId="3D15F068" w14:textId="77777777" w:rsidR="000510A2" w:rsidRPr="009118AB" w:rsidRDefault="000510A2" w:rsidP="000510A2">
      <w:pPr>
        <w:ind w:firstLine="708"/>
        <w:jc w:val="both"/>
      </w:pPr>
      <w:r w:rsidRPr="009118AB">
        <w:t xml:space="preserve">Das Erklärungsformular, das ein Steuerpflichtiger bei einem Besuch im Amt oder an einem zu diesem Zweck von der zuständigen Verwaltung des Föderalen Öffentlichen Dienstes Finanzen bestimmten Ort mit Unterstützung eines Beamten dieser Verwaltung einreicht, muss vom Steuerpflichtigen anhand einer digitalen Signatur für richtig bescheinigt, datiert und unterzeichnet werden, nachdem der Beamte die vom Steuerpflichtigen angegebenen Einkünfte </w:t>
      </w:r>
      <w:r w:rsidRPr="009118AB">
        <w:lastRenderedPageBreak/>
        <w:t>und anderen Daten über Tax-on-Web in die elektronischen Dateien der Verwaltung eingegeben hat.</w:t>
      </w:r>
    </w:p>
    <w:p w14:paraId="0DB4A82A" w14:textId="77777777" w:rsidR="000510A2" w:rsidRPr="009118AB" w:rsidRDefault="000510A2" w:rsidP="000510A2">
      <w:pPr>
        <w:jc w:val="both"/>
      </w:pPr>
    </w:p>
    <w:p w14:paraId="66A419B0" w14:textId="77777777" w:rsidR="000510A2" w:rsidRPr="009118AB" w:rsidRDefault="000510A2" w:rsidP="000510A2">
      <w:pPr>
        <w:ind w:firstLine="708"/>
        <w:jc w:val="both"/>
      </w:pPr>
      <w:r w:rsidRPr="009118AB">
        <w:t>Das Für-richtig-Bescheinigen, Datieren und Unterzeichnen durch den Steuerpflichtigen wie in Absatz 2 erwähnt wird mit dem Für-richtig-Bescheinigen, Datieren und Unterzeichnen auf Papier gleichgesetzt.</w:t>
      </w:r>
    </w:p>
    <w:p w14:paraId="407A6B40" w14:textId="77777777" w:rsidR="000510A2" w:rsidRPr="009118AB" w:rsidRDefault="000510A2" w:rsidP="000510A2">
      <w:pPr>
        <w:jc w:val="both"/>
      </w:pPr>
    </w:p>
    <w:p w14:paraId="337148D2" w14:textId="77777777" w:rsidR="000510A2" w:rsidRPr="009118AB" w:rsidRDefault="000510A2" w:rsidP="000510A2">
      <w:pPr>
        <w:autoSpaceDE w:val="0"/>
        <w:autoSpaceDN w:val="0"/>
        <w:adjustRightInd w:val="0"/>
        <w:ind w:firstLine="708"/>
        <w:jc w:val="both"/>
      </w:pPr>
      <w:r w:rsidRPr="009118AB">
        <w:t>Ist jedoch die Benutzung des Mittels, mit dem die in Absatz 2 erwähnte digitale Signatur angebracht wird, aufgrund einer Fehlfunktion dieses Dienstes nicht möglich, führt der Steuerpflichtige das Für-richtig-Bescheinigen, Datieren und Unterzeichnen wie in Absatz 1 erwähnt auf einem Zustimmungsformular auf Papier durch, nachdem der Beamte die vom Steuerpflichtigen angegebenen Einkünfte und anderen Daten über Tax-on-Web in die elektronischen Dateien der Verwaltung eingegeben hat.]</w:t>
      </w:r>
    </w:p>
    <w:p w14:paraId="1C038093" w14:textId="77777777" w:rsidR="000510A2" w:rsidRPr="009118AB" w:rsidRDefault="000510A2" w:rsidP="000510A2">
      <w:pPr>
        <w:autoSpaceDE w:val="0"/>
        <w:autoSpaceDN w:val="0"/>
        <w:adjustRightInd w:val="0"/>
        <w:jc w:val="both"/>
      </w:pPr>
    </w:p>
    <w:p w14:paraId="4D684A8A" w14:textId="77777777" w:rsidR="000510A2" w:rsidRPr="009118AB" w:rsidRDefault="000510A2" w:rsidP="000510A2">
      <w:pPr>
        <w:autoSpaceDE w:val="0"/>
        <w:autoSpaceDN w:val="0"/>
        <w:adjustRightInd w:val="0"/>
        <w:jc w:val="both"/>
      </w:pPr>
      <w:r w:rsidRPr="009118AB">
        <w:tab/>
        <w:t>[§ 2/1 - Der Gesellschaftssteuererklärung und - für die in Artikel 227 Nr. 2 erwähnten Steuerpflichtigen - der Erklärung zur Steuer der Gebietsfremden muss der Jahresabschluss wie in Artikel 320/1 erwähnt als Anlage beigefügt werden. Ist die Gesellschaft zur Offenlegung eines solchen Jahresabschlusses verpflichtet, muss der offengelegte Jahresabschluss der Erklärung nicht beigefügt werden. Er gilt jedoch als Bestandteil der Erklärung.]</w:t>
      </w:r>
    </w:p>
    <w:p w14:paraId="35006062" w14:textId="77777777" w:rsidR="000510A2" w:rsidRDefault="000510A2" w:rsidP="000510A2">
      <w:pPr>
        <w:autoSpaceDE w:val="0"/>
        <w:autoSpaceDN w:val="0"/>
        <w:adjustRightInd w:val="0"/>
        <w:jc w:val="both"/>
      </w:pPr>
    </w:p>
    <w:p w14:paraId="6A7E57AE" w14:textId="487D5EEC" w:rsidR="000510A2" w:rsidRPr="009541B3" w:rsidRDefault="000510A2" w:rsidP="000510A2">
      <w:pPr>
        <w:ind w:firstLine="708"/>
        <w:jc w:val="both"/>
      </w:pPr>
      <w:r>
        <w:tab/>
        <w:t xml:space="preserve">[§ 2/2 - </w:t>
      </w:r>
      <w:r w:rsidRPr="009541B3">
        <w:t>Ist der Steuerpflichtige Mieter eines unbeweglichen Gutes oder Inhaber eines Erbbaurechts, eines Erbpachtrechts oder eines anderen dinglichen Gebrauchsrechts an einem unbeweglichen Gut</w:t>
      </w:r>
      <w:r w:rsidR="003430E0">
        <w:t xml:space="preserve"> [</w:t>
      </w:r>
      <w:r w:rsidR="003430E0" w:rsidRPr="00700308">
        <w:t>- mit Ausnahme des unbeweglichen Gutes, das gemäß den Rechtsvorschriften über den Landpachtvertrag oder einem entsprechenden ausländischen Recht, das die Pachtpreise beschränkt, vermietet ist und zu landwirtschaftlichen oder gartenbaulichen Zwecken genutzt wird -</w:t>
      </w:r>
      <w:r w:rsidR="003430E0">
        <w:t xml:space="preserve">] </w:t>
      </w:r>
      <w:r w:rsidRPr="009541B3">
        <w:t>und ist der Steuerpflichtige eine juristische Person, die verpflichtet ist, eine Einkommensteuererklärung einzureichen, oder eine natürliche Person, die die Mietvergütungen für dieses unbewegliche Gut oder die Vergütungen für die Begründung oder Abtretung dieses Rechts ganz oder teilweise als tatsächliche Werbungskosten abzieht, muss die Erklärung eine Anlage mit folgenden Informationen enthalten:</w:t>
      </w:r>
    </w:p>
    <w:p w14:paraId="0BF6A460" w14:textId="77777777" w:rsidR="000510A2" w:rsidRPr="009541B3" w:rsidRDefault="000510A2" w:rsidP="000510A2">
      <w:pPr>
        <w:jc w:val="both"/>
      </w:pPr>
    </w:p>
    <w:p w14:paraId="100CBB83" w14:textId="77777777" w:rsidR="000510A2" w:rsidRPr="009541B3" w:rsidRDefault="000510A2" w:rsidP="000510A2">
      <w:pPr>
        <w:ind w:firstLine="708"/>
        <w:jc w:val="both"/>
      </w:pPr>
      <w:r w:rsidRPr="009541B3">
        <w:rPr>
          <w:i/>
          <w:iCs/>
        </w:rPr>
        <w:t>a)</w:t>
      </w:r>
      <w:r w:rsidRPr="009541B3">
        <w:t> Identifizierungsdaten des/der Vermieter(s) oder der Person(en), die ein Erbbaurecht, ein Erbpachtrecht oder ein anderes dingliches Gebrauchsrecht einräumt/einräumen, pro Gut,</w:t>
      </w:r>
    </w:p>
    <w:p w14:paraId="538252C0" w14:textId="77777777" w:rsidR="000510A2" w:rsidRPr="009541B3" w:rsidRDefault="000510A2" w:rsidP="000510A2">
      <w:pPr>
        <w:jc w:val="both"/>
      </w:pPr>
    </w:p>
    <w:p w14:paraId="49AD7880" w14:textId="77777777" w:rsidR="000510A2" w:rsidRPr="009541B3" w:rsidRDefault="000510A2" w:rsidP="000510A2">
      <w:pPr>
        <w:ind w:firstLine="708"/>
        <w:jc w:val="both"/>
      </w:pPr>
      <w:r w:rsidRPr="009541B3">
        <w:rPr>
          <w:i/>
          <w:iCs/>
        </w:rPr>
        <w:t>b)</w:t>
      </w:r>
      <w:r w:rsidRPr="009541B3">
        <w:t> Adresse des unbeweglichen Gutes oder der unbeweglichen Güter,</w:t>
      </w:r>
    </w:p>
    <w:p w14:paraId="1EF49DCB" w14:textId="77777777" w:rsidR="000510A2" w:rsidRPr="009541B3" w:rsidRDefault="000510A2" w:rsidP="000510A2">
      <w:pPr>
        <w:jc w:val="both"/>
      </w:pPr>
    </w:p>
    <w:p w14:paraId="29563FAD" w14:textId="77777777" w:rsidR="000510A2" w:rsidRPr="009541B3" w:rsidRDefault="000510A2" w:rsidP="000510A2">
      <w:pPr>
        <w:ind w:firstLine="708"/>
        <w:jc w:val="both"/>
      </w:pPr>
      <w:r w:rsidRPr="009541B3">
        <w:rPr>
          <w:i/>
          <w:iCs/>
        </w:rPr>
        <w:t>c)</w:t>
      </w:r>
      <w:r w:rsidRPr="009541B3">
        <w:t> Betrag der Mietvergütungen und der Vergütungen für ein Erbbaurecht, ein Erbpachtrecht oder ein anderes dingliches Gebrauchsrecht an einem unbeweglichen Gut, die im betreffenden Besteuerungszeitraum gezahlt oder zuerkannt wurden, pro Gut,</w:t>
      </w:r>
    </w:p>
    <w:p w14:paraId="6CD59BE6" w14:textId="77777777" w:rsidR="000510A2" w:rsidRPr="009541B3" w:rsidRDefault="000510A2" w:rsidP="000510A2">
      <w:pPr>
        <w:jc w:val="both"/>
      </w:pPr>
    </w:p>
    <w:p w14:paraId="59CAAE67" w14:textId="77777777" w:rsidR="000510A2" w:rsidRPr="009541B3" w:rsidRDefault="000510A2" w:rsidP="000510A2">
      <w:pPr>
        <w:ind w:firstLine="708"/>
        <w:jc w:val="both"/>
      </w:pPr>
      <w:r w:rsidRPr="009541B3">
        <w:rPr>
          <w:i/>
          <w:iCs/>
        </w:rPr>
        <w:t>d)</w:t>
      </w:r>
      <w:r w:rsidRPr="009541B3">
        <w:t> wenn der Steuerpflichtige eine natürliche Person ist, Teil der in Buchstabe </w:t>
      </w:r>
      <w:r w:rsidRPr="009541B3">
        <w:rPr>
          <w:i/>
          <w:iCs/>
        </w:rPr>
        <w:t>c)</w:t>
      </w:r>
      <w:r w:rsidRPr="009541B3">
        <w:t xml:space="preserve"> erwähnten Beträge, die als tatsächliche Werbungskosten abgezogen wurden,</w:t>
      </w:r>
    </w:p>
    <w:p w14:paraId="4F919C54" w14:textId="77777777" w:rsidR="000510A2" w:rsidRPr="009541B3" w:rsidRDefault="000510A2" w:rsidP="000510A2">
      <w:pPr>
        <w:jc w:val="both"/>
      </w:pPr>
    </w:p>
    <w:p w14:paraId="20272679" w14:textId="77777777" w:rsidR="000510A2" w:rsidRPr="009541B3" w:rsidRDefault="000510A2" w:rsidP="000510A2">
      <w:pPr>
        <w:ind w:firstLine="708"/>
        <w:jc w:val="both"/>
      </w:pPr>
      <w:r w:rsidRPr="009541B3">
        <w:rPr>
          <w:i/>
          <w:iCs/>
        </w:rPr>
        <w:t>e)</w:t>
      </w:r>
      <w:r w:rsidRPr="009541B3">
        <w:t> wenn der Steuerpflichtige der Gesellschaftssteuer unterliegt oder ein in Artikel 227 Nr. 2 erwähnter Steuerpflichtiger ist, Betrag der Mietvergütungen und der Vergütungen für ein Erbbaurecht, ein Erbpachtrecht oder ein anderes dingliches Gebrauchsrechts an einem unbeweglichen Gut, die im betreffenden Besteuerungszeitraum als Werbungskosten abgezogen wurden.</w:t>
      </w:r>
    </w:p>
    <w:p w14:paraId="18FBAF46" w14:textId="77777777" w:rsidR="000510A2" w:rsidRPr="009541B3" w:rsidRDefault="000510A2" w:rsidP="000510A2">
      <w:pPr>
        <w:jc w:val="both"/>
      </w:pPr>
    </w:p>
    <w:p w14:paraId="2D3238EB" w14:textId="77777777" w:rsidR="00907C03" w:rsidRDefault="00907C03">
      <w:r>
        <w:br w:type="page"/>
      </w:r>
    </w:p>
    <w:p w14:paraId="0A7FD691" w14:textId="22658F2B" w:rsidR="000510A2" w:rsidRPr="009541B3" w:rsidRDefault="000510A2" w:rsidP="000510A2">
      <w:pPr>
        <w:ind w:firstLine="708"/>
        <w:jc w:val="both"/>
      </w:pPr>
      <w:r w:rsidRPr="009541B3">
        <w:lastRenderedPageBreak/>
        <w:t>Die in Absatz 1 Buchstabe </w:t>
      </w:r>
      <w:r w:rsidRPr="009541B3">
        <w:rPr>
          <w:i/>
          <w:iCs/>
        </w:rPr>
        <w:t>a)</w:t>
      </w:r>
      <w:r w:rsidRPr="009541B3">
        <w:t xml:space="preserve"> erwähnten Identifizierungsdaten sind:</w:t>
      </w:r>
    </w:p>
    <w:p w14:paraId="65572CC0" w14:textId="77777777" w:rsidR="000510A2" w:rsidRPr="009541B3" w:rsidRDefault="000510A2" w:rsidP="000510A2">
      <w:pPr>
        <w:jc w:val="both"/>
      </w:pPr>
    </w:p>
    <w:p w14:paraId="5C5CA4CE" w14:textId="77777777" w:rsidR="000510A2" w:rsidRPr="009541B3" w:rsidRDefault="000510A2" w:rsidP="000510A2">
      <w:pPr>
        <w:ind w:firstLine="708"/>
        <w:jc w:val="both"/>
      </w:pPr>
      <w:r w:rsidRPr="009541B3">
        <w:rPr>
          <w:i/>
          <w:iCs/>
        </w:rPr>
        <w:t>a)</w:t>
      </w:r>
      <w:r w:rsidRPr="009541B3">
        <w:t> wenn eine natürliche Person betroffen ist:</w:t>
      </w:r>
    </w:p>
    <w:p w14:paraId="692B519E" w14:textId="77777777" w:rsidR="000510A2" w:rsidRPr="009541B3" w:rsidRDefault="000510A2" w:rsidP="000510A2">
      <w:pPr>
        <w:jc w:val="both"/>
      </w:pPr>
    </w:p>
    <w:p w14:paraId="3DE711FC" w14:textId="77777777" w:rsidR="000510A2" w:rsidRPr="009541B3" w:rsidRDefault="000510A2" w:rsidP="000510A2">
      <w:pPr>
        <w:ind w:firstLine="708"/>
        <w:jc w:val="both"/>
      </w:pPr>
      <w:r w:rsidRPr="009541B3">
        <w:t>- Name, Vorname und vollständige Adresse,</w:t>
      </w:r>
    </w:p>
    <w:p w14:paraId="64A9C67D" w14:textId="77777777" w:rsidR="000510A2" w:rsidRPr="009541B3" w:rsidRDefault="000510A2" w:rsidP="000510A2">
      <w:pPr>
        <w:jc w:val="both"/>
      </w:pPr>
    </w:p>
    <w:p w14:paraId="6030905C" w14:textId="77777777" w:rsidR="000510A2" w:rsidRPr="009541B3" w:rsidRDefault="000510A2" w:rsidP="000510A2">
      <w:pPr>
        <w:ind w:firstLine="708"/>
        <w:jc w:val="both"/>
      </w:pPr>
      <w:r w:rsidRPr="009541B3">
        <w:t>- gegebenenfalls Erkennungsnummer des Nationalregisters oder des Warteregisters,</w:t>
      </w:r>
    </w:p>
    <w:p w14:paraId="421F094A" w14:textId="77777777" w:rsidR="000510A2" w:rsidRPr="009541B3" w:rsidRDefault="000510A2" w:rsidP="000510A2">
      <w:pPr>
        <w:jc w:val="both"/>
      </w:pPr>
    </w:p>
    <w:p w14:paraId="3BB43CFE" w14:textId="77777777" w:rsidR="000510A2" w:rsidRPr="009541B3" w:rsidRDefault="000510A2" w:rsidP="000510A2">
      <w:pPr>
        <w:ind w:firstLine="708"/>
        <w:jc w:val="both"/>
      </w:pPr>
      <w:r w:rsidRPr="009541B3">
        <w:t>- gegebenenfalls Erkennungsnummer der Zentralen Datenbank der Unternehmen,</w:t>
      </w:r>
    </w:p>
    <w:p w14:paraId="0C949F56" w14:textId="77777777" w:rsidR="000510A2" w:rsidRPr="009541B3" w:rsidRDefault="000510A2" w:rsidP="000510A2">
      <w:pPr>
        <w:jc w:val="both"/>
      </w:pPr>
    </w:p>
    <w:p w14:paraId="3CB16F86" w14:textId="77777777" w:rsidR="000510A2" w:rsidRPr="009541B3" w:rsidRDefault="000510A2" w:rsidP="000510A2">
      <w:pPr>
        <w:ind w:firstLine="708"/>
        <w:jc w:val="both"/>
      </w:pPr>
      <w:r w:rsidRPr="009541B3">
        <w:rPr>
          <w:i/>
          <w:iCs/>
        </w:rPr>
        <w:t>b)</w:t>
      </w:r>
      <w:r w:rsidRPr="009541B3">
        <w:t> wenn eine juristische Person betroffen ist:</w:t>
      </w:r>
    </w:p>
    <w:p w14:paraId="7E1033E1" w14:textId="77777777" w:rsidR="000510A2" w:rsidRPr="009541B3" w:rsidRDefault="000510A2" w:rsidP="000510A2">
      <w:pPr>
        <w:jc w:val="both"/>
      </w:pPr>
    </w:p>
    <w:p w14:paraId="4EA33486" w14:textId="77777777" w:rsidR="000510A2" w:rsidRPr="009541B3" w:rsidRDefault="000510A2" w:rsidP="000510A2">
      <w:pPr>
        <w:ind w:firstLine="708"/>
        <w:jc w:val="both"/>
      </w:pPr>
      <w:r w:rsidRPr="009541B3">
        <w:t>- Bezeichnung, vollständige Adresse des Gesellschaftssitzes,</w:t>
      </w:r>
    </w:p>
    <w:p w14:paraId="6622E732" w14:textId="77777777" w:rsidR="000510A2" w:rsidRPr="009541B3" w:rsidRDefault="000510A2" w:rsidP="000510A2">
      <w:pPr>
        <w:jc w:val="both"/>
      </w:pPr>
    </w:p>
    <w:p w14:paraId="640C664B" w14:textId="77777777" w:rsidR="000510A2" w:rsidRPr="009541B3" w:rsidRDefault="000510A2" w:rsidP="000510A2">
      <w:pPr>
        <w:ind w:firstLine="708"/>
        <w:jc w:val="both"/>
      </w:pPr>
      <w:r w:rsidRPr="009541B3">
        <w:t>- gegebenenfalls Erkennungsnummer der Zentralen Datenbank der Unternehmen.</w:t>
      </w:r>
    </w:p>
    <w:p w14:paraId="4ABD321F" w14:textId="77777777" w:rsidR="000510A2" w:rsidRPr="009541B3" w:rsidRDefault="000510A2" w:rsidP="000510A2">
      <w:pPr>
        <w:jc w:val="both"/>
      </w:pPr>
    </w:p>
    <w:p w14:paraId="5738B829" w14:textId="77777777" w:rsidR="000510A2" w:rsidRPr="009541B3" w:rsidRDefault="000510A2" w:rsidP="000510A2">
      <w:pPr>
        <w:ind w:firstLine="708"/>
        <w:jc w:val="both"/>
      </w:pPr>
      <w:r w:rsidRPr="009541B3">
        <w:t>Für die Anwendung des vorliegenden Paragraphen versteht man unter:</w:t>
      </w:r>
    </w:p>
    <w:p w14:paraId="35FDE220" w14:textId="77777777" w:rsidR="000510A2" w:rsidRPr="009541B3" w:rsidRDefault="000510A2" w:rsidP="000510A2">
      <w:pPr>
        <w:jc w:val="both"/>
      </w:pPr>
    </w:p>
    <w:p w14:paraId="67D8A84F" w14:textId="77777777" w:rsidR="000510A2" w:rsidRPr="009541B3" w:rsidRDefault="000510A2" w:rsidP="000510A2">
      <w:pPr>
        <w:ind w:firstLine="708"/>
        <w:jc w:val="both"/>
      </w:pPr>
      <w:r w:rsidRPr="009541B3">
        <w:t>- Vermieter: die Person, der die in Artikel 1719 des Zivilgesetzbuches erwähnten Verpflichtungen obliegen,</w:t>
      </w:r>
    </w:p>
    <w:p w14:paraId="7DBDD1DC" w14:textId="77777777" w:rsidR="000510A2" w:rsidRPr="009541B3" w:rsidRDefault="000510A2" w:rsidP="000510A2">
      <w:pPr>
        <w:jc w:val="both"/>
      </w:pPr>
    </w:p>
    <w:p w14:paraId="7628EC17" w14:textId="77777777" w:rsidR="000510A2" w:rsidRPr="009541B3" w:rsidRDefault="000510A2" w:rsidP="000510A2">
      <w:pPr>
        <w:ind w:firstLine="708"/>
        <w:jc w:val="both"/>
      </w:pPr>
      <w:r w:rsidRPr="009541B3">
        <w:t>- Mietvergütungen: den Mietpreis und die Mietvorteile, die dem Vermieter gewährt werden,</w:t>
      </w:r>
    </w:p>
    <w:p w14:paraId="1AF62246" w14:textId="77777777" w:rsidR="000510A2" w:rsidRPr="009541B3" w:rsidRDefault="000510A2" w:rsidP="000510A2">
      <w:pPr>
        <w:jc w:val="both"/>
      </w:pPr>
    </w:p>
    <w:p w14:paraId="6F8D8AE7" w14:textId="77777777" w:rsidR="000510A2" w:rsidRPr="009541B3" w:rsidRDefault="000510A2" w:rsidP="000510A2">
      <w:pPr>
        <w:ind w:firstLine="708"/>
        <w:jc w:val="both"/>
      </w:pPr>
      <w:r w:rsidRPr="009541B3">
        <w:t>- Vergütungen für ein Erbbaurecht, ein Erbpachtrecht oder ein anderes dingliches Gebrauchsrecht an einem unbeweglichen Gut: die eigentlichen Vergütungen für dieses Erbbaurecht, dieses Erbpachtrecht oder dieses andere dingliche Gebrauchsrecht sowie alle anderen Vorteile, die dem Zedenten des dinglichen Gebrauchsrechts aufgrund dieses Rechts gewährt werden.</w:t>
      </w:r>
    </w:p>
    <w:p w14:paraId="2416B7F5" w14:textId="77777777" w:rsidR="000510A2" w:rsidRPr="009541B3" w:rsidRDefault="000510A2" w:rsidP="000510A2">
      <w:pPr>
        <w:jc w:val="both"/>
      </w:pPr>
    </w:p>
    <w:p w14:paraId="169BE52F" w14:textId="77777777" w:rsidR="000510A2" w:rsidRPr="009541B3" w:rsidRDefault="000510A2" w:rsidP="000510A2">
      <w:pPr>
        <w:ind w:firstLine="708"/>
        <w:jc w:val="both"/>
      </w:pPr>
      <w:r w:rsidRPr="009541B3">
        <w:t>Vorliegender Paragraph ist nicht auf Mietvergütungen und Vergütungen für ein Erbbaurecht, ein Erbpachtrecht oder ein anderes dingliches Gebrauchsrecht an einem unbeweglichen Gut anwendbar, die im Zusammenhang mit Lieferungen von Gütern oder Dienstleistungen stehen, die von einem Steuerpflichtigen bewirkt werden, der im Gebiet der Gemeinschaft im Sinne von Artikel 1 § 2 Nr. 2 des Mehrwertsteuergesetzbuches oder in Norwegen, Island oder Liechtenstein ansässig ist, und für die gemäß dem Mehrwertsteuergesetzbuch, der Richtlinie 2006/112/EG des Rates vom 28. November 2006 über das gemeinsame Mehrwertsteuersystem oder jeder anderen auf den Steuerpflichtigen anwendbaren Gesetzes- oder Verordnungsbestimmung eine Rechnung oder ein gleichwertiges Dokument ausgestellt worden ist.</w:t>
      </w:r>
    </w:p>
    <w:p w14:paraId="75B3F1DF" w14:textId="77777777" w:rsidR="000510A2" w:rsidRPr="009541B3" w:rsidRDefault="000510A2" w:rsidP="000510A2">
      <w:pPr>
        <w:jc w:val="both"/>
      </w:pPr>
    </w:p>
    <w:p w14:paraId="1352E1E3" w14:textId="77777777" w:rsidR="000510A2" w:rsidRPr="009541B3" w:rsidRDefault="000510A2" w:rsidP="000510A2">
      <w:pPr>
        <w:ind w:firstLine="708"/>
        <w:jc w:val="both"/>
      </w:pPr>
      <w:r w:rsidRPr="009541B3">
        <w:t>Das Muster der in Absatz 1 erwähnten Anlage wird vom Minister der Finanzen oder von seinem Beauftragten festgelegt.</w:t>
      </w:r>
    </w:p>
    <w:p w14:paraId="6DB08E44" w14:textId="77777777" w:rsidR="000510A2" w:rsidRPr="009541B3" w:rsidRDefault="000510A2" w:rsidP="000510A2">
      <w:pPr>
        <w:jc w:val="both"/>
      </w:pPr>
    </w:p>
    <w:p w14:paraId="294EA783" w14:textId="77777777" w:rsidR="000510A2" w:rsidRDefault="000510A2" w:rsidP="000510A2">
      <w:pPr>
        <w:autoSpaceDE w:val="0"/>
        <w:autoSpaceDN w:val="0"/>
        <w:adjustRightInd w:val="0"/>
        <w:ind w:firstLine="708"/>
        <w:jc w:val="both"/>
      </w:pPr>
      <w:r w:rsidRPr="009541B3">
        <w:t>Die betreffenden Steuerpflichtigen sind ausschließlich zum Zwecke der Einhaltung der Verpflichtungen des vorliegenden Paragraphen ermächtigt, die Erkennungsnummer des Nationalregisters der natürlichen Personen oder des Warteregisters zu benutzen, um Vermieter oder Personen, die ein Erbbaurecht, ein Erbpachtrecht oder ein anderes dingliches Gebrauchsrecht einräumen, zu identifizieren. Diese Nummer wird nicht länger als für die in den Artikeln 315 und 315</w:t>
      </w:r>
      <w:r w:rsidRPr="009541B3">
        <w:rPr>
          <w:i/>
          <w:iCs/>
        </w:rPr>
        <w:t>bis</w:t>
      </w:r>
      <w:r w:rsidRPr="009541B3">
        <w:t xml:space="preserve"> vorgesehene Dauer aufbewahrt.</w:t>
      </w:r>
      <w:r>
        <w:t>]</w:t>
      </w:r>
    </w:p>
    <w:p w14:paraId="497D1A24" w14:textId="77777777" w:rsidR="000510A2" w:rsidRPr="009118AB" w:rsidRDefault="000510A2" w:rsidP="000510A2">
      <w:pPr>
        <w:autoSpaceDE w:val="0"/>
        <w:autoSpaceDN w:val="0"/>
        <w:adjustRightInd w:val="0"/>
        <w:jc w:val="both"/>
      </w:pPr>
    </w:p>
    <w:p w14:paraId="5F60B0D7" w14:textId="77777777" w:rsidR="000510A2" w:rsidRPr="009118AB" w:rsidRDefault="000510A2" w:rsidP="000510A2">
      <w:pPr>
        <w:autoSpaceDE w:val="0"/>
        <w:autoSpaceDN w:val="0"/>
        <w:adjustRightInd w:val="0"/>
        <w:jc w:val="both"/>
      </w:pPr>
      <w:r w:rsidRPr="009118AB">
        <w:tab/>
        <w:t>§ 3 - Abschriften müssen für gleich lautend erklärt werden mit den Originalen; andere Anlagen der Erklärung müssen für richtig bescheinigt, datiert und unterzeichnet werden, außer wenn sie von Dritten ausgehen.</w:t>
      </w:r>
    </w:p>
    <w:p w14:paraId="1B6D192D" w14:textId="77777777" w:rsidR="000510A2" w:rsidRPr="009118AB" w:rsidRDefault="000510A2" w:rsidP="000510A2">
      <w:pPr>
        <w:autoSpaceDE w:val="0"/>
        <w:autoSpaceDN w:val="0"/>
        <w:adjustRightInd w:val="0"/>
      </w:pPr>
    </w:p>
    <w:p w14:paraId="436B8A7F" w14:textId="77777777" w:rsidR="000510A2" w:rsidRPr="009118AB" w:rsidRDefault="000510A2" w:rsidP="000510A2">
      <w:pPr>
        <w:autoSpaceDE w:val="0"/>
        <w:autoSpaceDN w:val="0"/>
        <w:adjustRightInd w:val="0"/>
        <w:jc w:val="both"/>
      </w:pPr>
      <w:r w:rsidRPr="009118AB">
        <w:tab/>
        <w:t>[Nomenklatur und Muster der in Absatz 1 erwähnten Unterlagen, Aufstellungen und Auskünfte werden nach Absprache mit den repräsentativsten Organisationen von Industrie, Landwirtschaft, Handel und Handwerk und den repräsentativsten Arbeitnehmerorganisationen festgelegt.]</w:t>
      </w:r>
    </w:p>
    <w:p w14:paraId="0FACF7FE" w14:textId="77777777" w:rsidR="000510A2" w:rsidRPr="009118AB" w:rsidRDefault="000510A2" w:rsidP="000510A2">
      <w:pPr>
        <w:autoSpaceDE w:val="0"/>
        <w:autoSpaceDN w:val="0"/>
        <w:adjustRightInd w:val="0"/>
        <w:jc w:val="both"/>
      </w:pPr>
    </w:p>
    <w:p w14:paraId="79B2742E" w14:textId="77777777" w:rsidR="000510A2" w:rsidRPr="009118AB" w:rsidRDefault="000510A2" w:rsidP="000510A2">
      <w:pPr>
        <w:autoSpaceDE w:val="0"/>
        <w:autoSpaceDN w:val="0"/>
        <w:adjustRightInd w:val="0"/>
        <w:jc w:val="both"/>
      </w:pPr>
      <w:r w:rsidRPr="009118AB">
        <w:tab/>
        <w:t>§ 4 - [Die Erklärung muss an den auf dem Formular angegebenen Dienst zurückgesendet oder bei ihm eingereicht werden. Die Erklärung zur Steuer der natürlichen Personen muss an den auf dem Formular angegebenen Dienst zurückgesendet werden.]</w:t>
      </w:r>
    </w:p>
    <w:p w14:paraId="4E200FA8" w14:textId="77777777" w:rsidR="000510A2" w:rsidRPr="009118AB" w:rsidRDefault="000510A2" w:rsidP="000510A2">
      <w:pPr>
        <w:autoSpaceDE w:val="0"/>
        <w:autoSpaceDN w:val="0"/>
        <w:adjustRightInd w:val="0"/>
        <w:jc w:val="both"/>
      </w:pPr>
    </w:p>
    <w:p w14:paraId="3F057F1E" w14:textId="77777777" w:rsidR="000510A2" w:rsidRPr="009118AB" w:rsidRDefault="000510A2" w:rsidP="000510A2">
      <w:pPr>
        <w:autoSpaceDE w:val="0"/>
        <w:autoSpaceDN w:val="0"/>
        <w:adjustRightInd w:val="0"/>
        <w:jc w:val="both"/>
      </w:pPr>
      <w:r w:rsidRPr="009118AB">
        <w:tab/>
        <w:t>[§ 5 - Unter den vom König festgelegten Bedingungen kann der Steuerpflichtige die im Erklärungsformular geforderten Daten ebenfalls anhand von Computerausdrucken oder elektronischen Datenträgern einreichen.]</w:t>
      </w:r>
    </w:p>
    <w:p w14:paraId="50EA68A1" w14:textId="77777777" w:rsidR="000510A2" w:rsidRPr="009118AB" w:rsidRDefault="000510A2" w:rsidP="000510A2">
      <w:pPr>
        <w:autoSpaceDE w:val="0"/>
        <w:autoSpaceDN w:val="0"/>
        <w:adjustRightInd w:val="0"/>
        <w:jc w:val="both"/>
      </w:pPr>
    </w:p>
    <w:p w14:paraId="4BBCD44F" w14:textId="691CF691" w:rsidR="000510A2" w:rsidRPr="009118AB" w:rsidRDefault="000510A2" w:rsidP="000510A2">
      <w:pPr>
        <w:autoSpaceDE w:val="0"/>
        <w:autoSpaceDN w:val="0"/>
        <w:adjustRightInd w:val="0"/>
        <w:jc w:val="both"/>
        <w:rPr>
          <w:i/>
          <w:lang w:bidi="de-DE"/>
        </w:rPr>
      </w:pPr>
      <w:r w:rsidRPr="009118AB">
        <w:rPr>
          <w:rFonts w:ascii="Times New Roman Italique" w:hAnsi="Times New Roman Italique"/>
          <w:i/>
          <w:iCs/>
          <w:spacing w:val="-2"/>
        </w:rPr>
        <w:t xml:space="preserve">[Art. 307 § 1 ersetzt durch Art. 94 des G. vom 25. Dezember 2017 (IV) (B.S. vom 29. Dezember 2017) - in Kraft am 1. Januar 2018 -; § 1/1 eingefügt durch Art. 94 des G. vom 25. Dezember 2017 (IV) (B.S. vom 29. Dezember 2017) - in Kraft am 1. Januar 2018 -; § 1/1 </w:t>
      </w:r>
      <w:r w:rsidRPr="009118AB">
        <w:rPr>
          <w:rFonts w:ascii="Times New Roman Italique" w:hAnsi="Times New Roman Italique"/>
          <w:i/>
          <w:iCs/>
          <w:spacing w:val="2"/>
        </w:rPr>
        <w:t>Abs. </w:t>
      </w:r>
      <w:r w:rsidRPr="009118AB">
        <w:rPr>
          <w:rFonts w:ascii="Times New Roman Italique" w:hAnsi="Times New Roman Italique" w:hint="eastAsia"/>
          <w:i/>
          <w:iCs/>
          <w:spacing w:val="2"/>
        </w:rPr>
        <w:t>1</w:t>
      </w:r>
      <w:r w:rsidRPr="009118AB">
        <w:rPr>
          <w:rFonts w:ascii="Times New Roman Italique" w:hAnsi="Times New Roman Italique"/>
          <w:i/>
          <w:iCs/>
          <w:spacing w:val="2"/>
        </w:rPr>
        <w:t xml:space="preserve"> Buchstabe e) eingefügt durch Art. </w:t>
      </w:r>
      <w:r w:rsidRPr="009118AB">
        <w:rPr>
          <w:rFonts w:ascii="Times New Roman Italique" w:hAnsi="Times New Roman Italique"/>
          <w:i/>
          <w:spacing w:val="2"/>
        </w:rPr>
        <w:t>16 Nr. 1</w:t>
      </w:r>
      <w:r w:rsidRPr="009118AB">
        <w:rPr>
          <w:i/>
          <w:spacing w:val="2"/>
        </w:rPr>
        <w:t xml:space="preserve"> des G. vom 7. Februar 2018 (B.S. vom 9. März 2018) - in Kraft am 10. März 2018 -</w:t>
      </w:r>
      <w:r w:rsidRPr="000510A2">
        <w:rPr>
          <w:i/>
          <w:iCs/>
          <w:spacing w:val="2"/>
        </w:rPr>
        <w:t>, selbst bedingt für nichtig erklärt durch Entscheid Nr. 138/2019 des Verfassungsgerichtshofes vom 17. Oktober 2019 (B.S. vom 5. November 2019)</w:t>
      </w:r>
      <w:r w:rsidRPr="009118AB">
        <w:rPr>
          <w:i/>
          <w:spacing w:val="2"/>
        </w:rPr>
        <w:t xml:space="preserve">; </w:t>
      </w:r>
      <w:r w:rsidRPr="009118AB">
        <w:rPr>
          <w:rFonts w:ascii="Times New Roman Italique" w:hAnsi="Times New Roman Italique"/>
          <w:i/>
          <w:iCs/>
          <w:spacing w:val="2"/>
        </w:rPr>
        <w:t>§ 1/1 Abs. 3 eingefügt durch Art. 113 Nr. </w:t>
      </w:r>
      <w:r w:rsidRPr="009118AB">
        <w:rPr>
          <w:rFonts w:ascii="Times New Roman Italique" w:hAnsi="Times New Roman Italique" w:hint="eastAsia"/>
          <w:i/>
          <w:iCs/>
          <w:spacing w:val="2"/>
        </w:rPr>
        <w:t>1</w:t>
      </w:r>
      <w:r w:rsidRPr="009118AB">
        <w:rPr>
          <w:rFonts w:ascii="Times New Roman Italique" w:hAnsi="Times New Roman Italique"/>
          <w:i/>
          <w:iCs/>
          <w:spacing w:val="2"/>
        </w:rPr>
        <w:t xml:space="preserve"> </w:t>
      </w:r>
      <w:r w:rsidRPr="009118AB">
        <w:rPr>
          <w:i/>
          <w:iCs/>
          <w:spacing w:val="2"/>
        </w:rPr>
        <w:t>des G. vom 25. Dezember 2017 (IV) (B.S. vom 29. Dezember 2017) - </w:t>
      </w:r>
      <w:r w:rsidRPr="009118AB">
        <w:rPr>
          <w:i/>
          <w:spacing w:val="2"/>
        </w:rPr>
        <w:t xml:space="preserve">anwendbar auf die ab dem 1. Januar 2018 gezahlten oder zuerkannten Einkünfte -; </w:t>
      </w:r>
      <w:r w:rsidRPr="009118AB">
        <w:rPr>
          <w:rFonts w:ascii="Times New Roman Italique" w:hAnsi="Times New Roman Italique"/>
          <w:i/>
          <w:iCs/>
          <w:spacing w:val="2"/>
        </w:rPr>
        <w:t>§ 1/1 Abs. 4 eingefügt durch Art. 113 Nr. </w:t>
      </w:r>
      <w:r w:rsidRPr="009118AB">
        <w:rPr>
          <w:rFonts w:ascii="Times New Roman Italique" w:hAnsi="Times New Roman Italique" w:hint="eastAsia"/>
          <w:i/>
          <w:iCs/>
          <w:spacing w:val="2"/>
        </w:rPr>
        <w:t>1</w:t>
      </w:r>
      <w:r w:rsidRPr="009118AB">
        <w:rPr>
          <w:rFonts w:ascii="Times New Roman Italique" w:hAnsi="Times New Roman Italique"/>
          <w:i/>
          <w:iCs/>
          <w:spacing w:val="2"/>
        </w:rPr>
        <w:t xml:space="preserve"> </w:t>
      </w:r>
      <w:r w:rsidRPr="009118AB">
        <w:rPr>
          <w:i/>
          <w:iCs/>
          <w:spacing w:val="2"/>
        </w:rPr>
        <w:t>des G. vom 25. Dezember 2017 (IV) (B.S. vom 29. Dezember 2017) - </w:t>
      </w:r>
      <w:r w:rsidRPr="009118AB">
        <w:rPr>
          <w:i/>
          <w:spacing w:val="2"/>
        </w:rPr>
        <w:t>anwendbar auf die ab dem 1. Januar 2018 gezahlten oder zuerkannten Einkünfte - und abgeändert durch Art. 17 Nr. 1</w:t>
      </w:r>
      <w:r w:rsidRPr="009118AB">
        <w:rPr>
          <w:i/>
        </w:rPr>
        <w:t xml:space="preserve"> des G. vom 2. Mai 2019 (III) (B.S. vom 15. Mai 2019) - anwendbar auf die ab dem 1. Januar 2018 erzielten oder bezogenen Einkünfte -;</w:t>
      </w:r>
      <w:r w:rsidRPr="009118AB">
        <w:rPr>
          <w:i/>
          <w:spacing w:val="2"/>
        </w:rPr>
        <w:t xml:space="preserve"> </w:t>
      </w:r>
      <w:r w:rsidRPr="009118AB">
        <w:rPr>
          <w:rFonts w:ascii="Times New Roman Italique" w:hAnsi="Times New Roman Italique"/>
          <w:i/>
          <w:iCs/>
          <w:spacing w:val="2"/>
        </w:rPr>
        <w:t>§ 1/2 eingefügt durch Art. 94 des G. vom 25. Dezember 2017 (IV) (B.S. vom 29. Dezember 2017) - in Kraft am 1. Januar 2018 -;</w:t>
      </w:r>
      <w:r w:rsidRPr="009118AB">
        <w:rPr>
          <w:rFonts w:ascii="Times New Roman Italique" w:hAnsi="Times New Roman Italique"/>
          <w:i/>
          <w:spacing w:val="2"/>
        </w:rPr>
        <w:t xml:space="preserve"> § 1/2 Abs. 1 einleitende Bestimmung abgeändert durch Art. 10 Nr. 1</w:t>
      </w:r>
      <w:r w:rsidRPr="009118AB">
        <w:rPr>
          <w:i/>
          <w:iCs/>
        </w:rPr>
        <w:t xml:space="preserve"> des G. vom 20. Dezember 2020 (II) (B.S. vom 30. Dezember 2020) - in Kraft am 31. Dezember 2020 und anwendbar auf die ab dem 1. Januar 2021 getätigten Zahlungen -;</w:t>
      </w:r>
      <w:r w:rsidRPr="009118AB">
        <w:rPr>
          <w:rFonts w:ascii="Times New Roman Italique" w:hAnsi="Times New Roman Italique"/>
          <w:i/>
          <w:spacing w:val="2"/>
        </w:rPr>
        <w:t xml:space="preserve"> § 1/2 Abs. 1 Buchstabe</w:t>
      </w:r>
      <w:r w:rsidRPr="009118AB">
        <w:rPr>
          <w:rFonts w:ascii="Times New Roman Italique" w:hAnsi="Times New Roman Italique" w:hint="eastAsia"/>
          <w:i/>
          <w:spacing w:val="2"/>
        </w:rPr>
        <w:t> </w:t>
      </w:r>
      <w:r w:rsidRPr="009118AB">
        <w:rPr>
          <w:rFonts w:ascii="Times New Roman Italique" w:hAnsi="Times New Roman Italique"/>
          <w:i/>
          <w:spacing w:val="2"/>
        </w:rPr>
        <w:t>a) abgeändert durch Art. 10 Nr. 2</w:t>
      </w:r>
      <w:r w:rsidRPr="009118AB">
        <w:rPr>
          <w:i/>
          <w:iCs/>
        </w:rPr>
        <w:t xml:space="preserve"> des G. vom 20. Dezember 2020 (II) (B.S. vom 30. Dezember 2020) - in Kraft am 31. Dezember 2020 und anwendbar auf die ab dem 1. Januar 2021 getätigten Zahlungen -; </w:t>
      </w:r>
      <w:r w:rsidRPr="009118AB">
        <w:rPr>
          <w:rFonts w:ascii="Times New Roman Italique" w:hAnsi="Times New Roman Italique"/>
          <w:i/>
          <w:spacing w:val="2"/>
        </w:rPr>
        <w:t>§ 1/2 Abs. 1 Buchstabe</w:t>
      </w:r>
      <w:r w:rsidRPr="009118AB">
        <w:rPr>
          <w:rFonts w:ascii="Times New Roman Italique" w:hAnsi="Times New Roman Italique" w:hint="eastAsia"/>
          <w:i/>
          <w:spacing w:val="2"/>
        </w:rPr>
        <w:t> </w:t>
      </w:r>
      <w:r w:rsidRPr="009118AB">
        <w:rPr>
          <w:rFonts w:ascii="Times New Roman Italique" w:hAnsi="Times New Roman Italique"/>
          <w:i/>
          <w:spacing w:val="2"/>
        </w:rPr>
        <w:t>c) eingefügt durch Art. 10 Nr. 3</w:t>
      </w:r>
      <w:r w:rsidRPr="009118AB">
        <w:rPr>
          <w:i/>
          <w:iCs/>
        </w:rPr>
        <w:t xml:space="preserve"> des G. vom 20. Dezember 2020 (II) (B.S. vom 30. Dezember 2020) - in Kraft am 31. Dezember 2020 und anwendbar auf die ab dem 1. Januar 2021 getätigten Zahlungen -;</w:t>
      </w:r>
      <w:r w:rsidRPr="009118AB">
        <w:rPr>
          <w:rFonts w:ascii="Times New Roman Italique" w:hAnsi="Times New Roman Italique"/>
          <w:i/>
          <w:spacing w:val="2"/>
        </w:rPr>
        <w:t xml:space="preserve"> </w:t>
      </w:r>
      <w:r>
        <w:rPr>
          <w:rFonts w:ascii="Times New Roman Italique" w:hAnsi="Times New Roman Italique"/>
          <w:i/>
          <w:spacing w:val="2"/>
        </w:rPr>
        <w:t>§</w:t>
      </w:r>
      <w:r>
        <w:rPr>
          <w:rFonts w:ascii="Times New Roman Italique" w:hAnsi="Times New Roman Italique" w:hint="eastAsia"/>
          <w:i/>
          <w:spacing w:val="2"/>
        </w:rPr>
        <w:t> </w:t>
      </w:r>
      <w:r>
        <w:rPr>
          <w:rFonts w:ascii="Times New Roman Italique" w:hAnsi="Times New Roman Italique"/>
          <w:i/>
          <w:spacing w:val="2"/>
        </w:rPr>
        <w:t>1/2 Abs.</w:t>
      </w:r>
      <w:r>
        <w:rPr>
          <w:rFonts w:ascii="Times New Roman Italique" w:hAnsi="Times New Roman Italique" w:hint="eastAsia"/>
          <w:i/>
          <w:spacing w:val="2"/>
        </w:rPr>
        <w:t> </w:t>
      </w:r>
      <w:r>
        <w:rPr>
          <w:rFonts w:ascii="Times New Roman Italique" w:hAnsi="Times New Roman Italique"/>
          <w:i/>
          <w:spacing w:val="2"/>
        </w:rPr>
        <w:t xml:space="preserve">4 </w:t>
      </w:r>
      <w:r w:rsidRPr="003E131B">
        <w:rPr>
          <w:i/>
          <w:iCs/>
          <w:spacing w:val="-2"/>
        </w:rPr>
        <w:t>abgeändert durch Art. </w:t>
      </w:r>
      <w:r>
        <w:rPr>
          <w:i/>
          <w:iCs/>
          <w:spacing w:val="-2"/>
        </w:rPr>
        <w:t>57</w:t>
      </w:r>
      <w:r w:rsidRPr="003E131B">
        <w:rPr>
          <w:i/>
          <w:iCs/>
          <w:spacing w:val="-2"/>
        </w:rPr>
        <w:t xml:space="preserve"> des G. vom 28. Dezember 2023 (B.S. vom 29. Dezember 2023</w:t>
      </w:r>
      <w:r w:rsidRPr="004947EB">
        <w:rPr>
          <w:i/>
          <w:iCs/>
          <w:spacing w:val="-2"/>
        </w:rPr>
        <w:t>) - </w:t>
      </w:r>
      <w:r w:rsidRPr="004947EB">
        <w:rPr>
          <w:i/>
          <w:iCs/>
        </w:rPr>
        <w:t>anwendbar ab dem Steuerjahr 2024 -;</w:t>
      </w:r>
      <w:r>
        <w:t xml:space="preserve"> </w:t>
      </w:r>
      <w:r w:rsidRPr="009118AB">
        <w:rPr>
          <w:rFonts w:ascii="Times New Roman Italique" w:hAnsi="Times New Roman Italique"/>
          <w:i/>
          <w:spacing w:val="2"/>
        </w:rPr>
        <w:t>§ 1/2 Abs. 5 eingefügt durch Art. 73/1 des G. vom 25.</w:t>
      </w:r>
      <w:r w:rsidRPr="009118AB">
        <w:rPr>
          <w:rFonts w:ascii="Times New Roman Italique" w:hAnsi="Times New Roman Italique" w:hint="eastAsia"/>
          <w:i/>
          <w:spacing w:val="2"/>
        </w:rPr>
        <w:t> </w:t>
      </w:r>
      <w:r w:rsidRPr="009118AB">
        <w:rPr>
          <w:rFonts w:ascii="Times New Roman Italique" w:hAnsi="Times New Roman Italique"/>
          <w:i/>
          <w:spacing w:val="2"/>
        </w:rPr>
        <w:t>Dezember</w:t>
      </w:r>
      <w:r w:rsidRPr="009118AB">
        <w:rPr>
          <w:rFonts w:ascii="Times New Roman Italique" w:hAnsi="Times New Roman Italique" w:hint="eastAsia"/>
          <w:i/>
          <w:spacing w:val="2"/>
        </w:rPr>
        <w:t> </w:t>
      </w:r>
      <w:r w:rsidRPr="009118AB">
        <w:rPr>
          <w:rFonts w:ascii="Times New Roman Italique" w:hAnsi="Times New Roman Italique"/>
          <w:i/>
          <w:spacing w:val="2"/>
        </w:rPr>
        <w:t>2017</w:t>
      </w:r>
      <w:r w:rsidRPr="009118AB">
        <w:rPr>
          <w:rFonts w:ascii="Times New Roman Italique" w:hAnsi="Times New Roman Italique" w:hint="eastAsia"/>
          <w:i/>
          <w:spacing w:val="2"/>
        </w:rPr>
        <w:t> </w:t>
      </w:r>
      <w:r w:rsidRPr="009118AB">
        <w:rPr>
          <w:rFonts w:ascii="Times New Roman Italique" w:hAnsi="Times New Roman Italique"/>
          <w:i/>
          <w:spacing w:val="2"/>
        </w:rPr>
        <w:t>(III) (B.S. vom 29.</w:t>
      </w:r>
      <w:r w:rsidRPr="009118AB">
        <w:rPr>
          <w:rFonts w:ascii="Times New Roman Italique" w:hAnsi="Times New Roman Italique" w:hint="eastAsia"/>
          <w:i/>
          <w:spacing w:val="2"/>
        </w:rPr>
        <w:t> </w:t>
      </w:r>
      <w:r w:rsidRPr="009118AB">
        <w:rPr>
          <w:rFonts w:ascii="Times New Roman Italique" w:hAnsi="Times New Roman Italique"/>
          <w:i/>
          <w:spacing w:val="2"/>
        </w:rPr>
        <w:t>Dezember</w:t>
      </w:r>
      <w:r w:rsidRPr="009118AB">
        <w:rPr>
          <w:rFonts w:ascii="Times New Roman Italique" w:hAnsi="Times New Roman Italique" w:hint="eastAsia"/>
          <w:i/>
          <w:spacing w:val="2"/>
        </w:rPr>
        <w:t> </w:t>
      </w:r>
      <w:r w:rsidRPr="009118AB">
        <w:rPr>
          <w:rFonts w:ascii="Times New Roman Italique" w:hAnsi="Times New Roman Italique"/>
          <w:i/>
          <w:spacing w:val="2"/>
        </w:rPr>
        <w:t>2017) - </w:t>
      </w:r>
      <w:r w:rsidRPr="009118AB">
        <w:rPr>
          <w:i/>
          <w:iCs/>
        </w:rPr>
        <w:t>in Kraft am 1. Januar 2019 und anwendbar ab dem Steuerjahr 2020, das sich auf einen Besteuerungszeitraum bezieht, der frühestens am 1. Januar 2019 beginnt -, selbst eingefügt durch Art. 37</w:t>
      </w:r>
      <w:r w:rsidRPr="009118AB">
        <w:rPr>
          <w:i/>
        </w:rPr>
        <w:t xml:space="preserve"> des G. vom 30. Juli 2018 (I) (B.S. vom 10. August 2018)</w:t>
      </w:r>
      <w:r>
        <w:rPr>
          <w:i/>
        </w:rPr>
        <w:t>, und ersetzt durch Art. 31 Nr. 1</w:t>
      </w:r>
      <w:r w:rsidRPr="00D60836">
        <w:rPr>
          <w:i/>
          <w:iCs/>
        </w:rPr>
        <w:t xml:space="preserve"> des G. vom 22. Dezember 2023 (II) (B.S. vom 29. Dezember 2023) - anwendbar ab dem Steuerjahr 2024 -</w:t>
      </w:r>
      <w:r w:rsidRPr="009118AB">
        <w:rPr>
          <w:i/>
        </w:rPr>
        <w:t>;</w:t>
      </w:r>
      <w:r w:rsidRPr="009118AB">
        <w:rPr>
          <w:i/>
          <w:spacing w:val="2"/>
        </w:rPr>
        <w:t xml:space="preserve"> </w:t>
      </w:r>
      <w:r w:rsidRPr="009118AB">
        <w:rPr>
          <w:rFonts w:ascii="Times New Roman Italique" w:hAnsi="Times New Roman Italique"/>
          <w:i/>
          <w:spacing w:val="2"/>
        </w:rPr>
        <w:t>§ 1/2 Abs. </w:t>
      </w:r>
      <w:r>
        <w:rPr>
          <w:rFonts w:ascii="Times New Roman Italique" w:hAnsi="Times New Roman Italique"/>
          <w:i/>
          <w:spacing w:val="2"/>
        </w:rPr>
        <w:t>6</w:t>
      </w:r>
      <w:r w:rsidRPr="009118AB">
        <w:rPr>
          <w:rFonts w:ascii="Times New Roman Italique" w:hAnsi="Times New Roman Italique"/>
          <w:i/>
          <w:spacing w:val="2"/>
        </w:rPr>
        <w:t xml:space="preserve"> eingefügt durch Art. 73/1 des G. vom 25.</w:t>
      </w:r>
      <w:r w:rsidRPr="009118AB">
        <w:rPr>
          <w:rFonts w:ascii="Times New Roman Italique" w:hAnsi="Times New Roman Italique" w:hint="eastAsia"/>
          <w:i/>
          <w:spacing w:val="2"/>
        </w:rPr>
        <w:t> </w:t>
      </w:r>
      <w:r w:rsidRPr="009118AB">
        <w:rPr>
          <w:rFonts w:ascii="Times New Roman Italique" w:hAnsi="Times New Roman Italique"/>
          <w:i/>
          <w:spacing w:val="2"/>
        </w:rPr>
        <w:t>Dezember</w:t>
      </w:r>
      <w:r w:rsidRPr="009118AB">
        <w:rPr>
          <w:rFonts w:ascii="Times New Roman Italique" w:hAnsi="Times New Roman Italique" w:hint="eastAsia"/>
          <w:i/>
          <w:spacing w:val="2"/>
        </w:rPr>
        <w:t> </w:t>
      </w:r>
      <w:r w:rsidRPr="009118AB">
        <w:rPr>
          <w:rFonts w:ascii="Times New Roman Italique" w:hAnsi="Times New Roman Italique"/>
          <w:i/>
          <w:spacing w:val="2"/>
        </w:rPr>
        <w:t>2017</w:t>
      </w:r>
      <w:r w:rsidRPr="009118AB">
        <w:rPr>
          <w:rFonts w:ascii="Times New Roman Italique" w:hAnsi="Times New Roman Italique" w:hint="eastAsia"/>
          <w:i/>
          <w:spacing w:val="2"/>
        </w:rPr>
        <w:t> </w:t>
      </w:r>
      <w:r w:rsidRPr="009118AB">
        <w:rPr>
          <w:rFonts w:ascii="Times New Roman Italique" w:hAnsi="Times New Roman Italique"/>
          <w:i/>
          <w:spacing w:val="2"/>
        </w:rPr>
        <w:t>(III) (B.S. vom 29.</w:t>
      </w:r>
      <w:r w:rsidRPr="009118AB">
        <w:rPr>
          <w:rFonts w:ascii="Times New Roman Italique" w:hAnsi="Times New Roman Italique" w:hint="eastAsia"/>
          <w:i/>
          <w:spacing w:val="2"/>
        </w:rPr>
        <w:t> </w:t>
      </w:r>
      <w:r w:rsidRPr="009118AB">
        <w:rPr>
          <w:rFonts w:ascii="Times New Roman Italique" w:hAnsi="Times New Roman Italique"/>
          <w:i/>
          <w:spacing w:val="2"/>
        </w:rPr>
        <w:t>Dezember</w:t>
      </w:r>
      <w:r w:rsidRPr="009118AB">
        <w:rPr>
          <w:rFonts w:ascii="Times New Roman Italique" w:hAnsi="Times New Roman Italique" w:hint="eastAsia"/>
          <w:i/>
          <w:spacing w:val="2"/>
        </w:rPr>
        <w:t> </w:t>
      </w:r>
      <w:r w:rsidRPr="009118AB">
        <w:rPr>
          <w:rFonts w:ascii="Times New Roman Italique" w:hAnsi="Times New Roman Italique"/>
          <w:i/>
          <w:spacing w:val="2"/>
        </w:rPr>
        <w:t>2017) - </w:t>
      </w:r>
      <w:r w:rsidRPr="009118AB">
        <w:rPr>
          <w:i/>
          <w:iCs/>
        </w:rPr>
        <w:t xml:space="preserve">in Kraft am 1. Januar 2019 und anwendbar ab dem Steuerjahr 2020, das sich auf einen Besteuerungszeitraum bezieht, der frühestens am </w:t>
      </w:r>
      <w:r w:rsidRPr="009118AB">
        <w:rPr>
          <w:i/>
          <w:iCs/>
        </w:rPr>
        <w:lastRenderedPageBreak/>
        <w:t>1. Januar 2019 beginnt -, selbst eingefügt durch Art. 37</w:t>
      </w:r>
      <w:r w:rsidRPr="009118AB">
        <w:rPr>
          <w:i/>
        </w:rPr>
        <w:t xml:space="preserve"> des G. vom 30. Juli 2018 (I) (B.S. vom 10. August 2018)</w:t>
      </w:r>
      <w:r>
        <w:rPr>
          <w:i/>
        </w:rPr>
        <w:t>, und ersetzt durch Art. 31 Nr. 2</w:t>
      </w:r>
      <w:r w:rsidRPr="00D60836">
        <w:rPr>
          <w:i/>
          <w:iCs/>
        </w:rPr>
        <w:t xml:space="preserve"> des G. vom 22. Dezember 2023 (II) (B.S. vom 29. Dezember 2023) - anwendbar ab dem Steuerjahr 2024 -</w:t>
      </w:r>
      <w:r w:rsidRPr="009118AB">
        <w:rPr>
          <w:i/>
        </w:rPr>
        <w:t>;</w:t>
      </w:r>
      <w:r w:rsidRPr="009118AB">
        <w:rPr>
          <w:i/>
          <w:spacing w:val="2"/>
        </w:rPr>
        <w:t xml:space="preserve"> </w:t>
      </w:r>
      <w:r w:rsidRPr="009118AB">
        <w:rPr>
          <w:rFonts w:ascii="Times New Roman Italique" w:hAnsi="Times New Roman Italique"/>
          <w:i/>
          <w:spacing w:val="2"/>
        </w:rPr>
        <w:t xml:space="preserve">§ 1/2 </w:t>
      </w:r>
      <w:r>
        <w:rPr>
          <w:rFonts w:ascii="Times New Roman Italique" w:hAnsi="Times New Roman Italique"/>
          <w:i/>
          <w:spacing w:val="2"/>
        </w:rPr>
        <w:t>Abs.</w:t>
      </w:r>
      <w:r w:rsidRPr="009118AB">
        <w:rPr>
          <w:rFonts w:ascii="Times New Roman Italique" w:hAnsi="Times New Roman Italique"/>
          <w:i/>
          <w:spacing w:val="2"/>
        </w:rPr>
        <w:t xml:space="preserve"> 7 eingefügt durch Art. 73/1 des G. vom 25.</w:t>
      </w:r>
      <w:r w:rsidRPr="009118AB">
        <w:rPr>
          <w:rFonts w:ascii="Times New Roman Italique" w:hAnsi="Times New Roman Italique" w:hint="eastAsia"/>
          <w:i/>
          <w:spacing w:val="2"/>
        </w:rPr>
        <w:t> </w:t>
      </w:r>
      <w:r w:rsidRPr="009118AB">
        <w:rPr>
          <w:rFonts w:ascii="Times New Roman Italique" w:hAnsi="Times New Roman Italique"/>
          <w:i/>
          <w:spacing w:val="2"/>
        </w:rPr>
        <w:t>Dezember</w:t>
      </w:r>
      <w:r w:rsidRPr="009118AB">
        <w:rPr>
          <w:rFonts w:ascii="Times New Roman Italique" w:hAnsi="Times New Roman Italique" w:hint="eastAsia"/>
          <w:i/>
          <w:spacing w:val="2"/>
        </w:rPr>
        <w:t> </w:t>
      </w:r>
      <w:r w:rsidRPr="009118AB">
        <w:rPr>
          <w:rFonts w:ascii="Times New Roman Italique" w:hAnsi="Times New Roman Italique"/>
          <w:i/>
          <w:spacing w:val="2"/>
        </w:rPr>
        <w:t>2017</w:t>
      </w:r>
      <w:r w:rsidRPr="009118AB">
        <w:rPr>
          <w:rFonts w:ascii="Times New Roman Italique" w:hAnsi="Times New Roman Italique" w:hint="eastAsia"/>
          <w:i/>
          <w:spacing w:val="2"/>
        </w:rPr>
        <w:t> </w:t>
      </w:r>
      <w:r w:rsidRPr="009118AB">
        <w:rPr>
          <w:rFonts w:ascii="Times New Roman Italique" w:hAnsi="Times New Roman Italique"/>
          <w:i/>
          <w:spacing w:val="2"/>
        </w:rPr>
        <w:t>(III) (B.S. vom 29.</w:t>
      </w:r>
      <w:r w:rsidRPr="009118AB">
        <w:rPr>
          <w:rFonts w:ascii="Times New Roman Italique" w:hAnsi="Times New Roman Italique" w:hint="eastAsia"/>
          <w:i/>
          <w:spacing w:val="2"/>
        </w:rPr>
        <w:t> </w:t>
      </w:r>
      <w:r w:rsidRPr="009118AB">
        <w:rPr>
          <w:rFonts w:ascii="Times New Roman Italique" w:hAnsi="Times New Roman Italique"/>
          <w:i/>
          <w:spacing w:val="2"/>
        </w:rPr>
        <w:t>Dezember</w:t>
      </w:r>
      <w:r w:rsidRPr="009118AB">
        <w:rPr>
          <w:rFonts w:ascii="Times New Roman Italique" w:hAnsi="Times New Roman Italique" w:hint="eastAsia"/>
          <w:i/>
          <w:spacing w:val="2"/>
        </w:rPr>
        <w:t> </w:t>
      </w:r>
      <w:r w:rsidRPr="009118AB">
        <w:rPr>
          <w:rFonts w:ascii="Times New Roman Italique" w:hAnsi="Times New Roman Italique"/>
          <w:i/>
          <w:spacing w:val="2"/>
        </w:rPr>
        <w:t>2017) - </w:t>
      </w:r>
      <w:r w:rsidRPr="009118AB">
        <w:rPr>
          <w:i/>
          <w:iCs/>
        </w:rPr>
        <w:t>in Kraft am 1. Januar 2019 und anwendbar ab dem Steuerjahr 2020, das sich auf einen Besteuerungszeitraum bezieht, der frühestens am 1. Januar 2019 beginnt -, selbst eingefügt durch Art. 37</w:t>
      </w:r>
      <w:r w:rsidRPr="009118AB">
        <w:rPr>
          <w:i/>
        </w:rPr>
        <w:t xml:space="preserve"> des G. vom 30. Juli 2018 (I) (B.S. vom 10. August 2018)</w:t>
      </w:r>
      <w:r>
        <w:rPr>
          <w:i/>
        </w:rPr>
        <w:t>, und aufgehoben durch Art. 31 Nr. 3</w:t>
      </w:r>
      <w:r w:rsidRPr="00D60836">
        <w:rPr>
          <w:i/>
          <w:iCs/>
        </w:rPr>
        <w:t xml:space="preserve"> des G. vom 22. Dezember 2023 (II) (B.S. vom 29. Dezember 2023) - anwendbar ab dem Steuerjahr 2024 -</w:t>
      </w:r>
      <w:r w:rsidRPr="009118AB">
        <w:rPr>
          <w:i/>
        </w:rPr>
        <w:t>;</w:t>
      </w:r>
      <w:r w:rsidRPr="009118AB">
        <w:rPr>
          <w:i/>
          <w:spacing w:val="2"/>
        </w:rPr>
        <w:t xml:space="preserve"> </w:t>
      </w:r>
      <w:r w:rsidRPr="009118AB">
        <w:rPr>
          <w:rFonts w:ascii="Times New Roman Italique" w:hAnsi="Times New Roman Italique"/>
          <w:i/>
          <w:iCs/>
          <w:spacing w:val="2"/>
        </w:rPr>
        <w:t>§ 1/3 eingefügt durch Art. 94 des G. vom 25. Dezember 2017 (IV) (B.S. vom 29. Dezember 2017) - in Kraft am 1. Januar 2018 -;</w:t>
      </w:r>
      <w:r w:rsidRPr="009118AB">
        <w:rPr>
          <w:i/>
          <w:spacing w:val="2"/>
        </w:rPr>
        <w:t xml:space="preserve"> </w:t>
      </w:r>
      <w:r w:rsidRPr="009118AB">
        <w:rPr>
          <w:rFonts w:ascii="Times New Roman Italique" w:hAnsi="Times New Roman Italique"/>
          <w:i/>
          <w:iCs/>
          <w:spacing w:val="2"/>
        </w:rPr>
        <w:t>§</w:t>
      </w:r>
      <w:r>
        <w:rPr>
          <w:rFonts w:ascii="Times New Roman Italique" w:hAnsi="Times New Roman Italique" w:hint="eastAsia"/>
          <w:i/>
          <w:iCs/>
          <w:spacing w:val="2"/>
        </w:rPr>
        <w:t> </w:t>
      </w:r>
      <w:r w:rsidRPr="009118AB">
        <w:rPr>
          <w:rFonts w:ascii="Times New Roman Italique" w:hAnsi="Times New Roman Italique"/>
          <w:i/>
          <w:iCs/>
          <w:spacing w:val="2"/>
        </w:rPr>
        <w:t>1/4 eingefügt durch Art. 94 des G. vom 25. Dezember 2017 (IV) (B.S. vom 29. Dezember 2017) - in Kraft am 1. Januar 2018 -</w:t>
      </w:r>
      <w:r>
        <w:rPr>
          <w:rFonts w:ascii="Times New Roman Italique" w:hAnsi="Times New Roman Italique"/>
          <w:i/>
          <w:iCs/>
          <w:spacing w:val="2"/>
        </w:rPr>
        <w:t xml:space="preserve"> und ersetzt durch Art. 38</w:t>
      </w:r>
      <w:r w:rsidRPr="00186364">
        <w:rPr>
          <w:rFonts w:ascii="Times New Roman Italique" w:hAnsi="Times New Roman Italique"/>
          <w:i/>
          <w:iCs/>
          <w:spacing w:val="2"/>
        </w:rPr>
        <w:t xml:space="preserve"> des G. vom 22. Dezember 2023 (II) (B.S. vom 29. Dezember 2023) - anwendbar ab dem Steuerjahr 2024 -</w:t>
      </w:r>
      <w:r w:rsidRPr="009118AB">
        <w:rPr>
          <w:rFonts w:ascii="Times New Roman Italique" w:hAnsi="Times New Roman Italique"/>
          <w:i/>
          <w:iCs/>
          <w:spacing w:val="2"/>
        </w:rPr>
        <w:t>;</w:t>
      </w:r>
      <w:r w:rsidRPr="009118AB">
        <w:rPr>
          <w:i/>
          <w:spacing w:val="2"/>
        </w:rPr>
        <w:t xml:space="preserve"> </w:t>
      </w:r>
      <w:r>
        <w:rPr>
          <w:i/>
          <w:spacing w:val="2"/>
        </w:rPr>
        <w:t>§ </w:t>
      </w:r>
      <w:r w:rsidRPr="009118AB">
        <w:rPr>
          <w:i/>
          <w:spacing w:val="2"/>
        </w:rPr>
        <w:t>1/5 eingefügt durch Art. 113 Nr. 2</w:t>
      </w:r>
      <w:r w:rsidRPr="009118AB">
        <w:rPr>
          <w:rFonts w:ascii="Times New Roman Italique" w:hAnsi="Times New Roman Italique"/>
          <w:i/>
          <w:iCs/>
          <w:spacing w:val="2"/>
        </w:rPr>
        <w:t xml:space="preserve"> </w:t>
      </w:r>
      <w:r w:rsidRPr="009118AB">
        <w:rPr>
          <w:i/>
          <w:iCs/>
          <w:spacing w:val="2"/>
        </w:rPr>
        <w:t>des G. vom 25. Dezember 2017 (IV)</w:t>
      </w:r>
      <w:r w:rsidRPr="009118AB">
        <w:rPr>
          <w:i/>
          <w:iCs/>
        </w:rPr>
        <w:t xml:space="preserve"> (B.S. vom 29. Dezember 2017) - </w:t>
      </w:r>
      <w:r w:rsidRPr="009118AB">
        <w:rPr>
          <w:i/>
        </w:rPr>
        <w:t xml:space="preserve">anwendbar auf die ab dem </w:t>
      </w:r>
      <w:r w:rsidRPr="009118AB">
        <w:rPr>
          <w:rFonts w:ascii="Times New Roman Italique" w:hAnsi="Times New Roman Italique"/>
          <w:i/>
          <w:spacing w:val="2"/>
        </w:rPr>
        <w:t xml:space="preserve">1. Januar 2018 gezahlten oder zuerkannten Einkünfte -; </w:t>
      </w:r>
      <w:r>
        <w:rPr>
          <w:rFonts w:ascii="Times New Roman Italique" w:hAnsi="Times New Roman Italique"/>
          <w:i/>
          <w:spacing w:val="2"/>
        </w:rPr>
        <w:t xml:space="preserve">früherer </w:t>
      </w:r>
      <w:r w:rsidRPr="009118AB">
        <w:rPr>
          <w:rFonts w:ascii="Times New Roman Italique" w:hAnsi="Times New Roman Italique"/>
          <w:i/>
          <w:spacing w:val="2"/>
        </w:rPr>
        <w:t>zweiter Paragraph 1/5 eingefügt durch Art. 16 Nr. </w:t>
      </w:r>
      <w:r w:rsidRPr="009118AB">
        <w:rPr>
          <w:rFonts w:ascii="Times New Roman Italique" w:hAnsi="Times New Roman Italique" w:hint="eastAsia"/>
          <w:i/>
          <w:spacing w:val="2"/>
        </w:rPr>
        <w:t>2</w:t>
      </w:r>
      <w:r w:rsidRPr="009118AB">
        <w:rPr>
          <w:i/>
        </w:rPr>
        <w:t xml:space="preserve"> des G. vom 7. Februar 2018 (B.S. vom 9. März 2018) - in Kraft am 10. März 2018 -</w:t>
      </w:r>
      <w:r w:rsidRPr="000510A2">
        <w:rPr>
          <w:i/>
          <w:iCs/>
        </w:rPr>
        <w:t>, selbst bedingt für nichtig erklärt durch Entscheid Nr. 138/2019 des Verfassungsgerichtshofes vom 17. Oktober 2019 (B.S. vom 5. November 2019)</w:t>
      </w:r>
      <w:r w:rsidRPr="009118AB">
        <w:rPr>
          <w:i/>
        </w:rPr>
        <w:t>;</w:t>
      </w:r>
      <w:r w:rsidRPr="009118AB">
        <w:rPr>
          <w:rFonts w:ascii="Times New Roman Italique" w:hAnsi="Times New Roman Italique"/>
          <w:i/>
          <w:spacing w:val="2"/>
        </w:rPr>
        <w:t xml:space="preserve"> </w:t>
      </w:r>
      <w:r w:rsidRPr="009118AB">
        <w:rPr>
          <w:rFonts w:ascii="Times New Roman Italique" w:hAnsi="Times New Roman Italique"/>
          <w:i/>
          <w:iCs/>
          <w:spacing w:val="2"/>
        </w:rPr>
        <w:t>§ 2 ersetzt durch Art. 17 Nr. 2</w:t>
      </w:r>
      <w:r w:rsidRPr="009118AB">
        <w:rPr>
          <w:i/>
        </w:rPr>
        <w:t xml:space="preserve"> des G. vom 2. Mai 2019 (III) (B.S. vom 15. Mai 2019) - in Kraft am 1. Mai 2019 und anwendbar auf die Einreichung der Erklärungen zur Steuer der natürlichen Personen, die sich frühestens auf das Steuerjahr 2019 beziehen -;</w:t>
      </w:r>
      <w:r w:rsidRPr="009118AB">
        <w:rPr>
          <w:rFonts w:ascii="Times New Roman Italique" w:hAnsi="Times New Roman Italique"/>
          <w:i/>
          <w:iCs/>
          <w:spacing w:val="2"/>
        </w:rPr>
        <w:t xml:space="preserve"> § 2/1 eingefügt durch Art. 69</w:t>
      </w:r>
      <w:r w:rsidRPr="009118AB">
        <w:rPr>
          <w:i/>
          <w:iCs/>
          <w:spacing w:val="-2"/>
        </w:rPr>
        <w:t xml:space="preserve"> des G. vom 17. März 2019 (III) (B.S. vom 10. Mai 2019) - in Kraft am 1. Mai 2019 -;</w:t>
      </w:r>
      <w:r>
        <w:rPr>
          <w:i/>
          <w:iCs/>
          <w:spacing w:val="-2"/>
        </w:rPr>
        <w:t xml:space="preserve"> </w:t>
      </w:r>
      <w:bookmarkStart w:id="26" w:name="_Hlk192859583"/>
      <w:r>
        <w:rPr>
          <w:i/>
          <w:iCs/>
          <w:spacing w:val="-2"/>
        </w:rPr>
        <w:t xml:space="preserve">§ 2/2 eingefügt </w:t>
      </w:r>
      <w:r w:rsidRPr="003E131B">
        <w:rPr>
          <w:i/>
          <w:iCs/>
          <w:spacing w:val="-2"/>
        </w:rPr>
        <w:t>durch Art. </w:t>
      </w:r>
      <w:r>
        <w:rPr>
          <w:i/>
          <w:iCs/>
          <w:spacing w:val="-2"/>
        </w:rPr>
        <w:t>84</w:t>
      </w:r>
      <w:r w:rsidRPr="003E131B">
        <w:rPr>
          <w:i/>
          <w:iCs/>
          <w:spacing w:val="-2"/>
        </w:rPr>
        <w:t xml:space="preserve"> des G. vom 28. Dezember 2023 (B.S. vom 29. Dezember 2023</w:t>
      </w:r>
      <w:r w:rsidRPr="00CF486B">
        <w:rPr>
          <w:i/>
          <w:iCs/>
          <w:spacing w:val="-2"/>
        </w:rPr>
        <w:t>) - </w:t>
      </w:r>
      <w:bookmarkStart w:id="27" w:name="_Hlk192858983"/>
      <w:r w:rsidRPr="00CF486B">
        <w:rPr>
          <w:i/>
          <w:iCs/>
        </w:rPr>
        <w:t>in Kraft ab dem Steuerjahr 2024</w:t>
      </w:r>
      <w:bookmarkEnd w:id="27"/>
      <w:r w:rsidRPr="00CF486B">
        <w:rPr>
          <w:i/>
          <w:iCs/>
        </w:rPr>
        <w:t> -;</w:t>
      </w:r>
      <w:bookmarkEnd w:id="26"/>
      <w:r w:rsidR="00F64B81">
        <w:rPr>
          <w:i/>
          <w:iCs/>
        </w:rPr>
        <w:t xml:space="preserve"> </w:t>
      </w:r>
      <w:r w:rsidR="00DC0889">
        <w:rPr>
          <w:i/>
          <w:iCs/>
        </w:rPr>
        <w:t>§ 2/2 Abs. 1 einleitende Bestimmung abgeändert durch Art. 18</w:t>
      </w:r>
      <w:r w:rsidR="00DC0889" w:rsidRPr="00DC0889">
        <w:rPr>
          <w:i/>
          <w:iCs/>
        </w:rPr>
        <w:t xml:space="preserve"> des G. vom 12. Mai 2024 (B.S. vom 29. Mai 2024) - anwendbar ab dem </w:t>
      </w:r>
      <w:r w:rsidR="00DC0889">
        <w:rPr>
          <w:i/>
          <w:iCs/>
        </w:rPr>
        <w:t>Steuerjah</w:t>
      </w:r>
      <w:r w:rsidR="00DC0889" w:rsidRPr="00DC0889">
        <w:rPr>
          <w:i/>
          <w:iCs/>
        </w:rPr>
        <w:t>r 202</w:t>
      </w:r>
      <w:r w:rsidR="00DC0889">
        <w:rPr>
          <w:i/>
          <w:iCs/>
        </w:rPr>
        <w:t>4</w:t>
      </w:r>
      <w:r w:rsidR="00DC0889" w:rsidRPr="00DC0889">
        <w:rPr>
          <w:i/>
          <w:iCs/>
        </w:rPr>
        <w:t> -</w:t>
      </w:r>
      <w:r w:rsidR="00DC0889">
        <w:rPr>
          <w:i/>
          <w:iCs/>
        </w:rPr>
        <w:t>;</w:t>
      </w:r>
      <w:r w:rsidRPr="009118AB">
        <w:rPr>
          <w:i/>
          <w:iCs/>
          <w:spacing w:val="-2"/>
        </w:rPr>
        <w:t xml:space="preserve"> </w:t>
      </w:r>
      <w:r w:rsidRPr="009118AB">
        <w:rPr>
          <w:rFonts w:ascii="Times New Roman Italique" w:hAnsi="Times New Roman Italique"/>
          <w:i/>
          <w:iCs/>
          <w:spacing w:val="2"/>
        </w:rPr>
        <w:t>§ 3</w:t>
      </w:r>
      <w:r w:rsidRPr="009118AB">
        <w:rPr>
          <w:i/>
          <w:iCs/>
        </w:rPr>
        <w:t xml:space="preserve"> Abs. 3 ersetzt durch Art. 15 des G. vom 22. Juli 1993 (B.S. vom 26. Juli 1993) - anwendbar ab dem Steuerjahr 1994 -; § 4 ersetzt durch Art. 3 des G. vom 8. Juni 2009 (B.S. vom 18. Juni 2009) - wirksam mit dem Steuerjahr 2009 -; § 5 eingefügt durch Art. 8 des G. vom 15. März 1999 (B.S. vom 27. März 1999)</w:t>
      </w:r>
      <w:r w:rsidRPr="009118AB">
        <w:rPr>
          <w:i/>
        </w:rPr>
        <w:t>;</w:t>
      </w:r>
      <w:r w:rsidRPr="009118AB">
        <w:rPr>
          <w:i/>
          <w:iCs/>
        </w:rPr>
        <w:t xml:space="preserve"> siehe auch Entscheid Nr. 138/2019 des Verfassungsgerichtshofes vom 17. Oktober 2019 (B.S. vom 5. November 2019)]</w:t>
      </w:r>
    </w:p>
    <w:p w14:paraId="2629C327" w14:textId="77777777" w:rsidR="000510A2" w:rsidRPr="009118AB" w:rsidRDefault="000510A2" w:rsidP="000510A2">
      <w:pPr>
        <w:autoSpaceDE w:val="0"/>
        <w:autoSpaceDN w:val="0"/>
        <w:adjustRightInd w:val="0"/>
        <w:jc w:val="both"/>
      </w:pPr>
    </w:p>
    <w:p w14:paraId="2B306A96" w14:textId="77777777" w:rsidR="000510A2" w:rsidRPr="009118AB" w:rsidRDefault="000510A2" w:rsidP="000510A2">
      <w:pPr>
        <w:autoSpaceDE w:val="0"/>
        <w:autoSpaceDN w:val="0"/>
        <w:adjustRightInd w:val="0"/>
        <w:jc w:val="both"/>
      </w:pPr>
    </w:p>
    <w:p w14:paraId="7B75D7E7" w14:textId="7278C08E" w:rsidR="000510A2" w:rsidRPr="009118AB" w:rsidRDefault="00907C03" w:rsidP="000510A2">
      <w:pPr>
        <w:autoSpaceDE w:val="0"/>
        <w:autoSpaceDN w:val="0"/>
        <w:adjustRightInd w:val="0"/>
        <w:jc w:val="both"/>
        <w:rPr>
          <w:iCs/>
          <w:sz w:val="20"/>
          <w:szCs w:val="20"/>
        </w:rPr>
      </w:pPr>
      <w:r w:rsidRPr="00907C03">
        <w:rPr>
          <w:iCs/>
          <w:sz w:val="20"/>
          <w:szCs w:val="20"/>
        </w:rPr>
        <w:t>Ab einem gemäß Art. 222 des G. vom 12. Mai 2024 (B.S. vom 30. Mai 2024) vom König festzulegenden Datum und spätestens am 1. Januar 2028 lautet Art. </w:t>
      </w:r>
      <w:r w:rsidR="000510A2" w:rsidRPr="009118AB">
        <w:rPr>
          <w:iCs/>
          <w:sz w:val="20"/>
          <w:szCs w:val="20"/>
        </w:rPr>
        <w:t>307 wie folgt:</w:t>
      </w:r>
    </w:p>
    <w:p w14:paraId="72E8A9D5" w14:textId="77777777" w:rsidR="000510A2" w:rsidRPr="009118AB" w:rsidRDefault="000510A2" w:rsidP="000510A2">
      <w:pPr>
        <w:autoSpaceDE w:val="0"/>
        <w:autoSpaceDN w:val="0"/>
        <w:adjustRightInd w:val="0"/>
        <w:jc w:val="both"/>
        <w:rPr>
          <w:iCs/>
          <w:sz w:val="20"/>
          <w:szCs w:val="20"/>
        </w:rPr>
      </w:pPr>
    </w:p>
    <w:p w14:paraId="21248FFD" w14:textId="77777777" w:rsidR="00907C03" w:rsidRPr="00907C03" w:rsidRDefault="000510A2" w:rsidP="00907C03">
      <w:pPr>
        <w:autoSpaceDE w:val="0"/>
        <w:autoSpaceDN w:val="0"/>
        <w:adjustRightInd w:val="0"/>
        <w:jc w:val="both"/>
        <w:rPr>
          <w:iCs/>
          <w:sz w:val="20"/>
          <w:szCs w:val="20"/>
        </w:rPr>
      </w:pPr>
      <w:r w:rsidRPr="009118AB">
        <w:rPr>
          <w:iCs/>
          <w:sz w:val="20"/>
          <w:szCs w:val="20"/>
        </w:rPr>
        <w:t>"</w:t>
      </w:r>
      <w:r w:rsidRPr="009118AB">
        <w:rPr>
          <w:bCs/>
          <w:iCs/>
          <w:sz w:val="20"/>
          <w:szCs w:val="20"/>
        </w:rPr>
        <w:t>Art. 307</w:t>
      </w:r>
      <w:r w:rsidRPr="009118AB">
        <w:rPr>
          <w:iCs/>
          <w:sz w:val="20"/>
          <w:szCs w:val="20"/>
        </w:rPr>
        <w:t> - </w:t>
      </w:r>
      <w:r w:rsidR="00907C03" w:rsidRPr="00907C03">
        <w:rPr>
          <w:iCs/>
          <w:sz w:val="20"/>
          <w:szCs w:val="20"/>
        </w:rPr>
        <w:t>§ 1 - [Die Erklärung erfolgt auf einem Formular, dessen Muster vom König festgelegt wird und das von dem vom König bestimmten Dienst bereitgestellt wird.]</w:t>
      </w:r>
    </w:p>
    <w:p w14:paraId="12B4AB97" w14:textId="77777777" w:rsidR="00907C03" w:rsidRPr="00907C03" w:rsidRDefault="00907C03" w:rsidP="00907C03">
      <w:pPr>
        <w:autoSpaceDE w:val="0"/>
        <w:autoSpaceDN w:val="0"/>
        <w:adjustRightInd w:val="0"/>
        <w:jc w:val="both"/>
        <w:rPr>
          <w:iCs/>
          <w:sz w:val="20"/>
          <w:szCs w:val="20"/>
        </w:rPr>
      </w:pPr>
    </w:p>
    <w:p w14:paraId="382768B1" w14:textId="0918B501" w:rsidR="00907C03" w:rsidRPr="00907C03" w:rsidRDefault="00907C03" w:rsidP="00907C03">
      <w:pPr>
        <w:autoSpaceDE w:val="0"/>
        <w:autoSpaceDN w:val="0"/>
        <w:adjustRightInd w:val="0"/>
        <w:jc w:val="both"/>
        <w:rPr>
          <w:iCs/>
          <w:sz w:val="20"/>
          <w:szCs w:val="20"/>
        </w:rPr>
      </w:pPr>
      <w:r w:rsidRPr="00907C03">
        <w:rPr>
          <w:iCs/>
          <w:sz w:val="20"/>
          <w:szCs w:val="20"/>
        </w:rPr>
        <w:t>[§ 1/1 - In der jährlichen Erklärung zur Steuer der natürlichen Personen muss Folgen</w:t>
      </w:r>
      <w:r w:rsidRPr="00907C03">
        <w:rPr>
          <w:iCs/>
          <w:sz w:val="20"/>
          <w:szCs w:val="20"/>
        </w:rPr>
        <w:softHyphen/>
        <w:t>des vermerkt werden:</w:t>
      </w:r>
    </w:p>
    <w:p w14:paraId="5AE827EA" w14:textId="77777777" w:rsidR="00907C03" w:rsidRPr="00907C03" w:rsidRDefault="00907C03" w:rsidP="00907C03">
      <w:pPr>
        <w:autoSpaceDE w:val="0"/>
        <w:autoSpaceDN w:val="0"/>
        <w:adjustRightInd w:val="0"/>
        <w:jc w:val="both"/>
        <w:rPr>
          <w:iCs/>
          <w:sz w:val="20"/>
          <w:szCs w:val="20"/>
        </w:rPr>
      </w:pPr>
    </w:p>
    <w:p w14:paraId="17501F24" w14:textId="13E4942C" w:rsidR="00907C03" w:rsidRPr="00907C03" w:rsidRDefault="00907C03" w:rsidP="00907C03">
      <w:pPr>
        <w:autoSpaceDE w:val="0"/>
        <w:autoSpaceDN w:val="0"/>
        <w:adjustRightInd w:val="0"/>
        <w:jc w:val="both"/>
        <w:rPr>
          <w:iCs/>
          <w:sz w:val="20"/>
          <w:szCs w:val="20"/>
        </w:rPr>
      </w:pPr>
      <w:r w:rsidRPr="00907C03">
        <w:rPr>
          <w:i/>
          <w:iCs/>
          <w:sz w:val="20"/>
          <w:szCs w:val="20"/>
        </w:rPr>
        <w:t>a)</w:t>
      </w:r>
      <w:r w:rsidRPr="00907C03">
        <w:rPr>
          <w:iCs/>
          <w:sz w:val="20"/>
          <w:szCs w:val="20"/>
        </w:rPr>
        <w:t> das Bestehen von Konten jeglicher Art, deren Inhaber der Steuerpflichtige, sein Ehepartner und die Kinder, deren Einkünfte gemäß Artikel 126 § 4 mit denen ihrer Eltern zusammengelegt werden, zu gleich welchem Zeitpunkt während des Besteuerungszeitraums bei einem im Ausland ansässigen Bank-, Wechsel-, Kredit- oder Sparinstitut waren, und von Konten, zu deren Verwaltung sie zu gleich welchem Zeitpunkt während des Besteuerungs</w:t>
      </w:r>
      <w:r w:rsidRPr="00907C03">
        <w:rPr>
          <w:iCs/>
          <w:sz w:val="20"/>
          <w:szCs w:val="20"/>
        </w:rPr>
        <w:softHyphen/>
        <w:t>zeitraums ermächtigt waren und deren Inhaber eine oder mehrere in Artikel 5/2 erwähnte Vereinigungen bei einem im Ausland ansässigen Bank-, Wechsel-, Kredit- oder Sparinstitut waren, sowie das Land oder die Länder, in dem beziehungsweise denen diese Konten eröffnet worden sind,</w:t>
      </w:r>
    </w:p>
    <w:p w14:paraId="77C76777" w14:textId="77777777" w:rsidR="00907C03" w:rsidRPr="00907C03" w:rsidRDefault="00907C03" w:rsidP="00907C03">
      <w:pPr>
        <w:autoSpaceDE w:val="0"/>
        <w:autoSpaceDN w:val="0"/>
        <w:adjustRightInd w:val="0"/>
        <w:jc w:val="both"/>
        <w:rPr>
          <w:iCs/>
          <w:sz w:val="20"/>
          <w:szCs w:val="20"/>
        </w:rPr>
      </w:pPr>
    </w:p>
    <w:p w14:paraId="37D933B2" w14:textId="4315274A" w:rsidR="00907C03" w:rsidRPr="00907C03" w:rsidRDefault="00907C03" w:rsidP="00907C03">
      <w:pPr>
        <w:autoSpaceDE w:val="0"/>
        <w:autoSpaceDN w:val="0"/>
        <w:adjustRightInd w:val="0"/>
        <w:jc w:val="both"/>
        <w:rPr>
          <w:iCs/>
          <w:sz w:val="20"/>
          <w:szCs w:val="20"/>
        </w:rPr>
      </w:pPr>
      <w:r w:rsidRPr="00907C03">
        <w:rPr>
          <w:i/>
          <w:iCs/>
          <w:sz w:val="20"/>
          <w:szCs w:val="20"/>
        </w:rPr>
        <w:t>b)</w:t>
      </w:r>
      <w:r w:rsidRPr="00907C03">
        <w:rPr>
          <w:iCs/>
          <w:sz w:val="20"/>
          <w:szCs w:val="20"/>
        </w:rPr>
        <w:t> das Bestehen von individuellen Lebensversicherungsverträgen, die der Steuer</w:t>
      </w:r>
      <w:r w:rsidRPr="00907C03">
        <w:rPr>
          <w:iCs/>
          <w:sz w:val="20"/>
          <w:szCs w:val="20"/>
        </w:rPr>
        <w:softHyphen/>
        <w:t>pflichtige oder sein Ehepartner und die Kinder, über die er gemäß Artikel 376 des Zivilgesetz</w:t>
      </w:r>
      <w:r w:rsidRPr="00907C03">
        <w:rPr>
          <w:iCs/>
          <w:sz w:val="20"/>
          <w:szCs w:val="20"/>
        </w:rPr>
        <w:softHyphen/>
        <w:t>buches die elterliche Autorität ausübt, bei einem im Ausland ansässigen Versicherungs</w:t>
      </w:r>
      <w:r w:rsidRPr="00907C03">
        <w:rPr>
          <w:iCs/>
          <w:sz w:val="20"/>
          <w:szCs w:val="20"/>
        </w:rPr>
        <w:softHyphen/>
        <w:t>unternehmen abgeschlossen haben, sowie das Land oder die Länder, in dem beziehungsweise denen diese Verträge abgeschlossen worden sind,</w:t>
      </w:r>
    </w:p>
    <w:p w14:paraId="22A10A0F" w14:textId="77777777" w:rsidR="00907C03" w:rsidRPr="00907C03" w:rsidRDefault="00907C03" w:rsidP="00907C03">
      <w:pPr>
        <w:autoSpaceDE w:val="0"/>
        <w:autoSpaceDN w:val="0"/>
        <w:adjustRightInd w:val="0"/>
        <w:jc w:val="both"/>
        <w:rPr>
          <w:iCs/>
          <w:sz w:val="20"/>
          <w:szCs w:val="20"/>
        </w:rPr>
      </w:pPr>
    </w:p>
    <w:p w14:paraId="170BA57D" w14:textId="1D910A6A" w:rsidR="00907C03" w:rsidRPr="00907C03" w:rsidRDefault="00907C03" w:rsidP="00907C03">
      <w:pPr>
        <w:autoSpaceDE w:val="0"/>
        <w:autoSpaceDN w:val="0"/>
        <w:adjustRightInd w:val="0"/>
        <w:jc w:val="both"/>
        <w:rPr>
          <w:iCs/>
          <w:sz w:val="20"/>
          <w:szCs w:val="20"/>
        </w:rPr>
      </w:pPr>
      <w:r w:rsidRPr="00907C03">
        <w:rPr>
          <w:i/>
          <w:iCs/>
          <w:sz w:val="20"/>
          <w:szCs w:val="20"/>
        </w:rPr>
        <w:lastRenderedPageBreak/>
        <w:t>c)</w:t>
      </w:r>
      <w:r w:rsidRPr="00907C03">
        <w:rPr>
          <w:iCs/>
          <w:sz w:val="20"/>
          <w:szCs w:val="20"/>
        </w:rPr>
        <w:t> das Bestehen einer Rechtsvereinbarung, wenn der Steuerpflichtige, sein Ehepartner beziehungsweise die Kinder, über die er gemäß Artikel 376 des Zivilgesetzbuches die elterliche Autorität ausübt, entweder Gründer der Rechtsvereinbarung sind oder während des Besteuerungszeitraums eine Dividende erzielt oder in irgendeiner Weise andere Vorteile von einer Rechtsvereinbarung erhalten haben,</w:t>
      </w:r>
    </w:p>
    <w:p w14:paraId="34D85D31" w14:textId="77777777" w:rsidR="00907C03" w:rsidRPr="00907C03" w:rsidRDefault="00907C03" w:rsidP="00907C03">
      <w:pPr>
        <w:autoSpaceDE w:val="0"/>
        <w:autoSpaceDN w:val="0"/>
        <w:adjustRightInd w:val="0"/>
        <w:jc w:val="both"/>
        <w:rPr>
          <w:iCs/>
          <w:sz w:val="20"/>
          <w:szCs w:val="20"/>
        </w:rPr>
      </w:pPr>
    </w:p>
    <w:p w14:paraId="6B7BDDCA" w14:textId="604957C0" w:rsidR="00907C03" w:rsidRPr="00907C03" w:rsidRDefault="00907C03" w:rsidP="00907C03">
      <w:pPr>
        <w:autoSpaceDE w:val="0"/>
        <w:autoSpaceDN w:val="0"/>
        <w:adjustRightInd w:val="0"/>
        <w:jc w:val="both"/>
        <w:rPr>
          <w:iCs/>
          <w:sz w:val="20"/>
          <w:szCs w:val="20"/>
        </w:rPr>
      </w:pPr>
      <w:r w:rsidRPr="00907C03">
        <w:rPr>
          <w:i/>
          <w:iCs/>
          <w:sz w:val="20"/>
          <w:szCs w:val="20"/>
        </w:rPr>
        <w:t>d)</w:t>
      </w:r>
      <w:r w:rsidRPr="00907C03">
        <w:rPr>
          <w:iCs/>
          <w:sz w:val="20"/>
          <w:szCs w:val="20"/>
        </w:rPr>
        <w:t> die Anzahl in Artikel 21 Absatz 1 Nr. 13 erwähnte Darlehen, die die Steuer</w:t>
      </w:r>
      <w:r w:rsidRPr="00907C03">
        <w:rPr>
          <w:iCs/>
          <w:sz w:val="20"/>
          <w:szCs w:val="20"/>
        </w:rPr>
        <w:softHyphen/>
        <w:t>pflichtigen, die der Steuer der natürlichen Personen unterliegen, in ihrer Eigenschaft als Darlehensgeber abgeschlossen haben,</w:t>
      </w:r>
    </w:p>
    <w:p w14:paraId="09F8890B" w14:textId="77777777" w:rsidR="00907C03" w:rsidRPr="00907C03" w:rsidRDefault="00907C03" w:rsidP="00907C03">
      <w:pPr>
        <w:autoSpaceDE w:val="0"/>
        <w:autoSpaceDN w:val="0"/>
        <w:adjustRightInd w:val="0"/>
        <w:jc w:val="both"/>
        <w:rPr>
          <w:iCs/>
          <w:sz w:val="20"/>
          <w:szCs w:val="20"/>
        </w:rPr>
      </w:pPr>
    </w:p>
    <w:p w14:paraId="1EAE2BD0" w14:textId="78B85962" w:rsidR="00907C03" w:rsidRPr="00907C03" w:rsidRDefault="00907C03" w:rsidP="00907C03">
      <w:pPr>
        <w:autoSpaceDE w:val="0"/>
        <w:autoSpaceDN w:val="0"/>
        <w:adjustRightInd w:val="0"/>
        <w:jc w:val="both"/>
        <w:rPr>
          <w:iCs/>
          <w:sz w:val="20"/>
          <w:szCs w:val="20"/>
        </w:rPr>
      </w:pPr>
      <w:r w:rsidRPr="00907C03">
        <w:rPr>
          <w:iCs/>
          <w:sz w:val="20"/>
          <w:szCs w:val="20"/>
        </w:rPr>
        <w:t>[...]</w:t>
      </w:r>
    </w:p>
    <w:p w14:paraId="1AD3829D" w14:textId="77777777" w:rsidR="00907C03" w:rsidRPr="00907C03" w:rsidRDefault="00907C03" w:rsidP="00907C03">
      <w:pPr>
        <w:autoSpaceDE w:val="0"/>
        <w:autoSpaceDN w:val="0"/>
        <w:adjustRightInd w:val="0"/>
        <w:jc w:val="both"/>
        <w:rPr>
          <w:iCs/>
          <w:sz w:val="20"/>
          <w:szCs w:val="20"/>
        </w:rPr>
      </w:pPr>
    </w:p>
    <w:p w14:paraId="3F466F6B" w14:textId="5349EF60" w:rsidR="00907C03" w:rsidRPr="00907C03" w:rsidRDefault="00907C03" w:rsidP="00907C03">
      <w:pPr>
        <w:autoSpaceDE w:val="0"/>
        <w:autoSpaceDN w:val="0"/>
        <w:adjustRightInd w:val="0"/>
        <w:jc w:val="both"/>
        <w:rPr>
          <w:iCs/>
          <w:sz w:val="20"/>
          <w:szCs w:val="20"/>
        </w:rPr>
      </w:pPr>
      <w:r w:rsidRPr="00907C03">
        <w:rPr>
          <w:iCs/>
          <w:sz w:val="20"/>
          <w:szCs w:val="20"/>
        </w:rPr>
        <w:t>Spätestens gleichzeitig mit der Einreichung der Erklärung, in der das Bestehen von ausländischen Konten wie in Absatz 1 Buchstabe </w:t>
      </w:r>
      <w:r w:rsidRPr="00907C03">
        <w:rPr>
          <w:i/>
          <w:iCs/>
          <w:sz w:val="20"/>
          <w:szCs w:val="20"/>
        </w:rPr>
        <w:t>a)</w:t>
      </w:r>
      <w:r w:rsidRPr="00907C03">
        <w:rPr>
          <w:iCs/>
          <w:sz w:val="20"/>
          <w:szCs w:val="20"/>
        </w:rPr>
        <w:t xml:space="preserve"> erwähnt vermerkt ist, müssen die Nummern dieser Konten, der Name des Bank-, Wechsel-, Kredit- oder Sparinstituts und das Land oder die Länder, in dem beziehungsweise denen diese Konten eröffnet worden sind, der in Artikel 322 § 3 erwähnten zentralen Kontaktstelle mitgeteilt werden, außer wenn diese Mitteilung bereits in einem vorhergehenden Steuerjahr erfolgt ist. Der König bestimmt die Modalitäten dieser Mitteilung und die Frist für die Aufbewahrung der betreffenden Angaben. Das Formular der Erklärung zur Steuer der natürlichen Personen enthält die Rubriken, die für die Angabe des Bestehens ausländischer Konten und für die Bestätigung, dass die Nummern dieser Konten der vorerwähnten Kontaktstelle mitgeteilt wurden, notwendig sind.]</w:t>
      </w:r>
    </w:p>
    <w:p w14:paraId="0C2D200F" w14:textId="77777777" w:rsidR="00907C03" w:rsidRPr="00907C03" w:rsidRDefault="00907C03" w:rsidP="00907C03">
      <w:pPr>
        <w:autoSpaceDE w:val="0"/>
        <w:autoSpaceDN w:val="0"/>
        <w:adjustRightInd w:val="0"/>
        <w:jc w:val="both"/>
        <w:rPr>
          <w:iCs/>
          <w:sz w:val="20"/>
          <w:szCs w:val="20"/>
        </w:rPr>
      </w:pPr>
    </w:p>
    <w:p w14:paraId="3A339E2A" w14:textId="56710992" w:rsidR="00907C03" w:rsidRPr="00907C03" w:rsidRDefault="00907C03" w:rsidP="00907C03">
      <w:pPr>
        <w:autoSpaceDE w:val="0"/>
        <w:autoSpaceDN w:val="0"/>
        <w:adjustRightInd w:val="0"/>
        <w:jc w:val="both"/>
        <w:rPr>
          <w:iCs/>
          <w:sz w:val="20"/>
          <w:szCs w:val="20"/>
        </w:rPr>
      </w:pPr>
      <w:r w:rsidRPr="00907C03">
        <w:rPr>
          <w:iCs/>
          <w:sz w:val="20"/>
          <w:szCs w:val="20"/>
        </w:rPr>
        <w:t>[Wünscht ein Einwohner des Königreichs die Anwendung von Artikel 21 Absatz 1 Nr. 14 für Dividenden, für die in Anwendung von Artikel 261 ein Mobiliensteuervorabzug einbehalten wurde, beantragt er in seiner Erklärung zur Steuer der natürlichen Personen für den Besteuerungszeitraum, in dem diese Dividenden zuerkannt oder ausgeschüttet wurden, die Anrechnung und gegebenenfalls die Erstattung dieses Mobilien</w:t>
      </w:r>
      <w:r w:rsidRPr="00907C03">
        <w:rPr>
          <w:iCs/>
          <w:sz w:val="20"/>
          <w:szCs w:val="20"/>
        </w:rPr>
        <w:softHyphen/>
        <w:t>steuer</w:t>
      </w:r>
      <w:r w:rsidRPr="00907C03">
        <w:rPr>
          <w:iCs/>
          <w:sz w:val="20"/>
          <w:szCs w:val="20"/>
        </w:rPr>
        <w:softHyphen/>
        <w:t>vorabzugs. Dieser Antrag wird mit Belegen untermauert, die zur Verfügung der Verwaltung gehalten werden.]</w:t>
      </w:r>
    </w:p>
    <w:p w14:paraId="69478C5E" w14:textId="77777777" w:rsidR="00907C03" w:rsidRPr="00907C03" w:rsidRDefault="00907C03" w:rsidP="00907C03">
      <w:pPr>
        <w:autoSpaceDE w:val="0"/>
        <w:autoSpaceDN w:val="0"/>
        <w:adjustRightInd w:val="0"/>
        <w:jc w:val="both"/>
        <w:rPr>
          <w:iCs/>
          <w:sz w:val="20"/>
          <w:szCs w:val="20"/>
        </w:rPr>
      </w:pPr>
    </w:p>
    <w:p w14:paraId="78E0ED8D" w14:textId="4988FBC2" w:rsidR="00907C03" w:rsidRPr="00907C03" w:rsidRDefault="00907C03" w:rsidP="00907C03">
      <w:pPr>
        <w:autoSpaceDE w:val="0"/>
        <w:autoSpaceDN w:val="0"/>
        <w:adjustRightInd w:val="0"/>
        <w:jc w:val="both"/>
        <w:rPr>
          <w:iCs/>
          <w:sz w:val="20"/>
          <w:szCs w:val="20"/>
        </w:rPr>
      </w:pPr>
      <w:r w:rsidRPr="00907C03">
        <w:rPr>
          <w:iCs/>
          <w:sz w:val="20"/>
          <w:szCs w:val="20"/>
        </w:rPr>
        <w:t>[Der König bestimmt, wie der in [Absatz 3] erwähnte Nachweis zu erbringen ist.]</w:t>
      </w:r>
    </w:p>
    <w:p w14:paraId="680640A4" w14:textId="77777777" w:rsidR="00907C03" w:rsidRPr="00907C03" w:rsidRDefault="00907C03" w:rsidP="00907C03">
      <w:pPr>
        <w:autoSpaceDE w:val="0"/>
        <w:autoSpaceDN w:val="0"/>
        <w:adjustRightInd w:val="0"/>
        <w:jc w:val="both"/>
        <w:rPr>
          <w:iCs/>
          <w:sz w:val="20"/>
          <w:szCs w:val="20"/>
        </w:rPr>
      </w:pPr>
    </w:p>
    <w:p w14:paraId="52EACEAF" w14:textId="272F1386" w:rsidR="00907C03" w:rsidRPr="00907C03" w:rsidRDefault="00907C03" w:rsidP="00907C03">
      <w:pPr>
        <w:autoSpaceDE w:val="0"/>
        <w:autoSpaceDN w:val="0"/>
        <w:adjustRightInd w:val="0"/>
        <w:jc w:val="both"/>
        <w:rPr>
          <w:iCs/>
          <w:sz w:val="20"/>
          <w:szCs w:val="20"/>
        </w:rPr>
      </w:pPr>
      <w:r w:rsidRPr="00907C03">
        <w:rPr>
          <w:iCs/>
          <w:sz w:val="20"/>
          <w:szCs w:val="20"/>
        </w:rPr>
        <w:t>[§ 1/2 - Steuerpflichtige, die der Gesellschaftssteuer oder gemäß Artikel 227 Nr. 2 der Steuer der Gebietsfremden unterliegen, sind verpflichtet, alle Zahlungen anzugeben, die sie direkt oder indirekt an Personen oder Betriebsstätten machen, die in einem Staat ansässig sind, auf Bankkonten machen, die von einer dieser Personen oder Betriebsstätten verwaltet oder gehalten werden, oder auf Bankkonten machen, die bei Kreditinstituten verwaltet oder gehalten werden, die in einem Staat ansässig sind oder eine Betriebsstätte in einem Staat besitzen, [wenn dieser Staat zu dem Zeitpunkt, zu dem die Zahlung getätigt wurde:]</w:t>
      </w:r>
    </w:p>
    <w:p w14:paraId="1507FA20" w14:textId="77777777" w:rsidR="00907C03" w:rsidRPr="00907C03" w:rsidRDefault="00907C03" w:rsidP="00907C03">
      <w:pPr>
        <w:autoSpaceDE w:val="0"/>
        <w:autoSpaceDN w:val="0"/>
        <w:adjustRightInd w:val="0"/>
        <w:jc w:val="both"/>
        <w:rPr>
          <w:iCs/>
          <w:sz w:val="20"/>
          <w:szCs w:val="20"/>
        </w:rPr>
      </w:pPr>
    </w:p>
    <w:p w14:paraId="6E135C56" w14:textId="540CD18C" w:rsidR="00907C03" w:rsidRPr="00907C03" w:rsidRDefault="00907C03" w:rsidP="00907C03">
      <w:pPr>
        <w:autoSpaceDE w:val="0"/>
        <w:autoSpaceDN w:val="0"/>
        <w:adjustRightInd w:val="0"/>
        <w:jc w:val="both"/>
        <w:rPr>
          <w:iCs/>
          <w:sz w:val="20"/>
          <w:szCs w:val="20"/>
        </w:rPr>
      </w:pPr>
      <w:r w:rsidRPr="00907C03">
        <w:rPr>
          <w:i/>
          <w:iCs/>
          <w:sz w:val="20"/>
          <w:szCs w:val="20"/>
        </w:rPr>
        <w:t>a)</w:t>
      </w:r>
      <w:r w:rsidRPr="00907C03">
        <w:rPr>
          <w:iCs/>
          <w:sz w:val="20"/>
          <w:szCs w:val="20"/>
        </w:rPr>
        <w:t> entweder [...] durch das Globale Forum für Transparenz und Informationsaustausch zu Steuerzwecken als Staat betrachtet wird, der den Standard für den Austausch von Informationen auf Ersuchen tatsächlich oder im Wesentlichen nicht umsetzt,</w:t>
      </w:r>
    </w:p>
    <w:p w14:paraId="77CA50B7" w14:textId="77777777" w:rsidR="00907C03" w:rsidRPr="00907C03" w:rsidRDefault="00907C03" w:rsidP="00907C03">
      <w:pPr>
        <w:autoSpaceDE w:val="0"/>
        <w:autoSpaceDN w:val="0"/>
        <w:adjustRightInd w:val="0"/>
        <w:jc w:val="both"/>
        <w:rPr>
          <w:iCs/>
          <w:sz w:val="20"/>
          <w:szCs w:val="20"/>
        </w:rPr>
      </w:pPr>
    </w:p>
    <w:p w14:paraId="278777E4" w14:textId="0ACFC7D9" w:rsidR="00907C03" w:rsidRPr="00907C03" w:rsidRDefault="00907C03" w:rsidP="00907C03">
      <w:pPr>
        <w:autoSpaceDE w:val="0"/>
        <w:autoSpaceDN w:val="0"/>
        <w:adjustRightInd w:val="0"/>
        <w:jc w:val="both"/>
        <w:rPr>
          <w:iCs/>
          <w:sz w:val="20"/>
          <w:szCs w:val="20"/>
        </w:rPr>
      </w:pPr>
      <w:r w:rsidRPr="00907C03">
        <w:rPr>
          <w:i/>
          <w:iCs/>
          <w:sz w:val="20"/>
          <w:szCs w:val="20"/>
        </w:rPr>
        <w:t>b)</w:t>
      </w:r>
      <w:r w:rsidRPr="00907C03">
        <w:rPr>
          <w:iCs/>
          <w:sz w:val="20"/>
          <w:szCs w:val="20"/>
        </w:rPr>
        <w:t> oder auf der Liste der Staaten ohne oder mit niedriger Besteuerung steht,</w:t>
      </w:r>
    </w:p>
    <w:p w14:paraId="130F1F9A" w14:textId="77777777" w:rsidR="00907C03" w:rsidRPr="00907C03" w:rsidRDefault="00907C03" w:rsidP="00907C03">
      <w:pPr>
        <w:autoSpaceDE w:val="0"/>
        <w:autoSpaceDN w:val="0"/>
        <w:adjustRightInd w:val="0"/>
        <w:jc w:val="both"/>
        <w:rPr>
          <w:iCs/>
          <w:sz w:val="20"/>
          <w:szCs w:val="20"/>
        </w:rPr>
      </w:pPr>
    </w:p>
    <w:p w14:paraId="463C0C25" w14:textId="60327718" w:rsidR="00907C03" w:rsidRPr="00907C03" w:rsidRDefault="00907C03" w:rsidP="00907C03">
      <w:pPr>
        <w:autoSpaceDE w:val="0"/>
        <w:autoSpaceDN w:val="0"/>
        <w:adjustRightInd w:val="0"/>
        <w:jc w:val="both"/>
        <w:rPr>
          <w:iCs/>
          <w:sz w:val="20"/>
          <w:szCs w:val="20"/>
        </w:rPr>
      </w:pPr>
      <w:r w:rsidRPr="00907C03">
        <w:rPr>
          <w:iCs/>
          <w:sz w:val="20"/>
          <w:szCs w:val="20"/>
        </w:rPr>
        <w:t>[</w:t>
      </w:r>
      <w:r w:rsidRPr="00907C03">
        <w:rPr>
          <w:i/>
          <w:iCs/>
          <w:sz w:val="20"/>
          <w:szCs w:val="20"/>
        </w:rPr>
        <w:t>c)</w:t>
      </w:r>
      <w:r w:rsidRPr="00907C03">
        <w:rPr>
          <w:iCs/>
          <w:sz w:val="20"/>
          <w:szCs w:val="20"/>
        </w:rPr>
        <w:t> oder in der EU-Liste nicht kooperativer Steuergebiete aufgenommen ist.]</w:t>
      </w:r>
    </w:p>
    <w:p w14:paraId="08AABFEF" w14:textId="77777777" w:rsidR="00907C03" w:rsidRPr="00907C03" w:rsidRDefault="00907C03" w:rsidP="00907C03">
      <w:pPr>
        <w:autoSpaceDE w:val="0"/>
        <w:autoSpaceDN w:val="0"/>
        <w:adjustRightInd w:val="0"/>
        <w:jc w:val="both"/>
        <w:rPr>
          <w:iCs/>
          <w:sz w:val="20"/>
          <w:szCs w:val="20"/>
        </w:rPr>
      </w:pPr>
    </w:p>
    <w:p w14:paraId="1991FB29" w14:textId="0B0FB474" w:rsidR="00907C03" w:rsidRPr="00907C03" w:rsidRDefault="00907C03" w:rsidP="00907C03">
      <w:pPr>
        <w:autoSpaceDE w:val="0"/>
        <w:autoSpaceDN w:val="0"/>
        <w:adjustRightInd w:val="0"/>
        <w:jc w:val="both"/>
        <w:rPr>
          <w:iCs/>
          <w:sz w:val="20"/>
          <w:szCs w:val="20"/>
        </w:rPr>
      </w:pPr>
      <w:r w:rsidRPr="00907C03">
        <w:rPr>
          <w:iCs/>
          <w:sz w:val="20"/>
          <w:szCs w:val="20"/>
        </w:rPr>
        <w:t>Für die Anwendung von Absatz 1 gilt als Staat ein von der Mehrheit der Mitglieder der Vereinten Nationen anerkannter unabhängiger Staat oder ein Teil eines solchen Staates, der autonom dafür zuständig ist, Grundlage oder Satz der Gesellschaftssteuer ganz oder teilweise zu bestimmen, und gilt als Staat ohne oder mit niedriger Besteuerung ein Staat, der nicht Teil des Europäischen Wirtschaftsraums ist und:</w:t>
      </w:r>
    </w:p>
    <w:p w14:paraId="105D0460" w14:textId="77777777" w:rsidR="00907C03" w:rsidRPr="00907C03" w:rsidRDefault="00907C03" w:rsidP="00907C03">
      <w:pPr>
        <w:autoSpaceDE w:val="0"/>
        <w:autoSpaceDN w:val="0"/>
        <w:adjustRightInd w:val="0"/>
        <w:jc w:val="both"/>
        <w:rPr>
          <w:iCs/>
          <w:sz w:val="20"/>
          <w:szCs w:val="20"/>
        </w:rPr>
      </w:pPr>
    </w:p>
    <w:p w14:paraId="5B7D9E5B" w14:textId="748A8CB8" w:rsidR="00907C03" w:rsidRPr="00907C03" w:rsidRDefault="00907C03" w:rsidP="00907C03">
      <w:pPr>
        <w:autoSpaceDE w:val="0"/>
        <w:autoSpaceDN w:val="0"/>
        <w:adjustRightInd w:val="0"/>
        <w:jc w:val="both"/>
        <w:rPr>
          <w:iCs/>
          <w:sz w:val="20"/>
          <w:szCs w:val="20"/>
        </w:rPr>
      </w:pPr>
      <w:r w:rsidRPr="00907C03">
        <w:rPr>
          <w:iCs/>
          <w:sz w:val="20"/>
          <w:szCs w:val="20"/>
        </w:rPr>
        <w:t>- in dem Gesellschaften keiner Gesellschaftssteuer auf Einkünfte inländischer oder ausländischer Herkunft unterliegen oder</w:t>
      </w:r>
    </w:p>
    <w:p w14:paraId="7D30EDD5" w14:textId="77777777" w:rsidR="00907C03" w:rsidRPr="00907C03" w:rsidRDefault="00907C03" w:rsidP="00907C03">
      <w:pPr>
        <w:autoSpaceDE w:val="0"/>
        <w:autoSpaceDN w:val="0"/>
        <w:adjustRightInd w:val="0"/>
        <w:jc w:val="both"/>
        <w:rPr>
          <w:iCs/>
          <w:sz w:val="20"/>
          <w:szCs w:val="20"/>
        </w:rPr>
      </w:pPr>
    </w:p>
    <w:p w14:paraId="59211058" w14:textId="02457319" w:rsidR="00907C03" w:rsidRPr="00907C03" w:rsidRDefault="00907C03" w:rsidP="00907C03">
      <w:pPr>
        <w:autoSpaceDE w:val="0"/>
        <w:autoSpaceDN w:val="0"/>
        <w:adjustRightInd w:val="0"/>
        <w:jc w:val="both"/>
        <w:rPr>
          <w:iCs/>
          <w:sz w:val="20"/>
          <w:szCs w:val="20"/>
        </w:rPr>
      </w:pPr>
      <w:r w:rsidRPr="00907C03">
        <w:rPr>
          <w:iCs/>
          <w:sz w:val="20"/>
          <w:szCs w:val="20"/>
        </w:rPr>
        <w:t>- dessen nominaler Satz der Gesellschaftssteuer unter 10 Prozent liegt oder</w:t>
      </w:r>
    </w:p>
    <w:p w14:paraId="647CE57F" w14:textId="77777777" w:rsidR="00907C03" w:rsidRPr="00907C03" w:rsidRDefault="00907C03" w:rsidP="00907C03">
      <w:pPr>
        <w:autoSpaceDE w:val="0"/>
        <w:autoSpaceDN w:val="0"/>
        <w:adjustRightInd w:val="0"/>
        <w:jc w:val="both"/>
        <w:rPr>
          <w:iCs/>
          <w:sz w:val="20"/>
          <w:szCs w:val="20"/>
        </w:rPr>
      </w:pPr>
    </w:p>
    <w:p w14:paraId="267D17B3" w14:textId="3D5D2A1F" w:rsidR="00907C03" w:rsidRPr="00907C03" w:rsidRDefault="00907C03" w:rsidP="00907C03">
      <w:pPr>
        <w:autoSpaceDE w:val="0"/>
        <w:autoSpaceDN w:val="0"/>
        <w:adjustRightInd w:val="0"/>
        <w:jc w:val="both"/>
        <w:rPr>
          <w:iCs/>
          <w:sz w:val="20"/>
          <w:szCs w:val="20"/>
        </w:rPr>
      </w:pPr>
      <w:r w:rsidRPr="00907C03">
        <w:rPr>
          <w:iCs/>
          <w:sz w:val="20"/>
          <w:szCs w:val="20"/>
        </w:rPr>
        <w:t>- dessen Gesellschaftssteuersatz, der der tatsächlichen Steuerlast auf Einkünfte auslän</w:t>
      </w:r>
      <w:r w:rsidRPr="00907C03">
        <w:rPr>
          <w:iCs/>
          <w:sz w:val="20"/>
          <w:szCs w:val="20"/>
        </w:rPr>
        <w:softHyphen/>
        <w:t>discher Herkunft entspricht, unter 15 Prozent liegt.</w:t>
      </w:r>
    </w:p>
    <w:p w14:paraId="2802EA59" w14:textId="77777777" w:rsidR="00907C03" w:rsidRPr="00907C03" w:rsidRDefault="00907C03" w:rsidP="00907C03">
      <w:pPr>
        <w:autoSpaceDE w:val="0"/>
        <w:autoSpaceDN w:val="0"/>
        <w:adjustRightInd w:val="0"/>
        <w:jc w:val="both"/>
        <w:rPr>
          <w:iCs/>
          <w:sz w:val="20"/>
          <w:szCs w:val="20"/>
        </w:rPr>
      </w:pPr>
    </w:p>
    <w:p w14:paraId="12E51447" w14:textId="3A25CF44" w:rsidR="00907C03" w:rsidRPr="00907C03" w:rsidRDefault="00907C03" w:rsidP="00907C03">
      <w:pPr>
        <w:autoSpaceDE w:val="0"/>
        <w:autoSpaceDN w:val="0"/>
        <w:adjustRightInd w:val="0"/>
        <w:jc w:val="both"/>
        <w:rPr>
          <w:iCs/>
          <w:sz w:val="20"/>
          <w:szCs w:val="20"/>
        </w:rPr>
      </w:pPr>
      <w:r w:rsidRPr="00907C03">
        <w:rPr>
          <w:iCs/>
          <w:sz w:val="20"/>
          <w:szCs w:val="20"/>
        </w:rPr>
        <w:t>Die Liste der Staaten ohne oder mit niedriger Besteuerung wird durch einen im Ministerrat beratenen Königlichen Erlass festgelegt. Diese Liste wird durch einen im Ministerrat beratenen Königlichen Erlass aktualisiert.</w:t>
      </w:r>
    </w:p>
    <w:p w14:paraId="7947A741" w14:textId="77777777" w:rsidR="00907C03" w:rsidRPr="00907C03" w:rsidRDefault="00907C03" w:rsidP="00907C03">
      <w:pPr>
        <w:autoSpaceDE w:val="0"/>
        <w:autoSpaceDN w:val="0"/>
        <w:adjustRightInd w:val="0"/>
        <w:jc w:val="both"/>
        <w:rPr>
          <w:iCs/>
          <w:sz w:val="20"/>
          <w:szCs w:val="20"/>
        </w:rPr>
      </w:pPr>
    </w:p>
    <w:p w14:paraId="4CE8630C" w14:textId="578D32AD" w:rsidR="00907C03" w:rsidRPr="00907C03" w:rsidRDefault="00907C03" w:rsidP="00907C03">
      <w:pPr>
        <w:autoSpaceDE w:val="0"/>
        <w:autoSpaceDN w:val="0"/>
        <w:adjustRightInd w:val="0"/>
        <w:jc w:val="both"/>
        <w:rPr>
          <w:iCs/>
          <w:sz w:val="20"/>
          <w:szCs w:val="20"/>
        </w:rPr>
      </w:pPr>
      <w:r w:rsidRPr="00907C03">
        <w:rPr>
          <w:iCs/>
          <w:sz w:val="20"/>
          <w:szCs w:val="20"/>
        </w:rPr>
        <w:t xml:space="preserve">Die in Absatz 1 erwähnte Erklärung muss nur erfolgen, [wenn die Gesamtheit der während des Besteuerungszeitraums getätigten Zahlungen, erhöht um den während des Besteuerungszeitraums festgestellten </w:t>
      </w:r>
      <w:r w:rsidRPr="00907C03">
        <w:rPr>
          <w:iCs/>
          <w:sz w:val="20"/>
          <w:szCs w:val="20"/>
        </w:rPr>
        <w:lastRenderedPageBreak/>
        <w:t>Anstieg der Schulden gegenüber den in Absatz 1 erwähnten Personen oder Betriebsstätten,] einen Mindestbetrag von 100.000 EUR erreicht. Die Erklärung erfolgt auf einem Formular, dessen Muster vom König festgelegt wird, und wird der in Artikel 305 Absatz 1 erwähnten Erklärung beigefügt.</w:t>
      </w:r>
    </w:p>
    <w:p w14:paraId="0A2C95B6" w14:textId="77777777" w:rsidR="00907C03" w:rsidRPr="00907C03" w:rsidRDefault="00907C03" w:rsidP="00907C03">
      <w:pPr>
        <w:autoSpaceDE w:val="0"/>
        <w:autoSpaceDN w:val="0"/>
        <w:adjustRightInd w:val="0"/>
        <w:jc w:val="both"/>
        <w:rPr>
          <w:iCs/>
          <w:sz w:val="20"/>
          <w:szCs w:val="20"/>
        </w:rPr>
      </w:pPr>
    </w:p>
    <w:p w14:paraId="6B780C21" w14:textId="5EDE01EB" w:rsidR="00907C03" w:rsidRPr="00907C03" w:rsidRDefault="00907C03" w:rsidP="00907C03">
      <w:pPr>
        <w:autoSpaceDE w:val="0"/>
        <w:autoSpaceDN w:val="0"/>
        <w:adjustRightInd w:val="0"/>
        <w:jc w:val="both"/>
        <w:rPr>
          <w:iCs/>
          <w:sz w:val="20"/>
          <w:szCs w:val="20"/>
        </w:rPr>
      </w:pPr>
      <w:r w:rsidRPr="00907C03">
        <w:rPr>
          <w:iCs/>
          <w:sz w:val="20"/>
          <w:szCs w:val="20"/>
        </w:rPr>
        <w:t>[Steuerpflichtige, die der Gesellschaftssteuer unterliegen, sind ebenfalls verpflichtet, in der Erklärung das Bestehen jeder ausländischen Gesellschaft oder ausländischen Niederlassung, die in Anwendung von Artikel 185/2 § 3 als CFC gilt, zu vermerken.]</w:t>
      </w:r>
    </w:p>
    <w:p w14:paraId="777643D9" w14:textId="77777777" w:rsidR="00907C03" w:rsidRPr="00907C03" w:rsidRDefault="00907C03" w:rsidP="00907C03">
      <w:pPr>
        <w:autoSpaceDE w:val="0"/>
        <w:autoSpaceDN w:val="0"/>
        <w:adjustRightInd w:val="0"/>
        <w:jc w:val="both"/>
        <w:rPr>
          <w:iCs/>
          <w:sz w:val="20"/>
          <w:szCs w:val="20"/>
        </w:rPr>
      </w:pPr>
    </w:p>
    <w:p w14:paraId="0F15D166" w14:textId="77777777" w:rsidR="00907C03" w:rsidRPr="00907C03" w:rsidRDefault="00907C03" w:rsidP="00907C03">
      <w:pPr>
        <w:autoSpaceDE w:val="0"/>
        <w:autoSpaceDN w:val="0"/>
        <w:adjustRightInd w:val="0"/>
        <w:jc w:val="both"/>
        <w:rPr>
          <w:iCs/>
          <w:sz w:val="20"/>
          <w:szCs w:val="20"/>
        </w:rPr>
      </w:pPr>
      <w:r w:rsidRPr="00907C03">
        <w:rPr>
          <w:iCs/>
          <w:sz w:val="20"/>
          <w:szCs w:val="20"/>
        </w:rPr>
        <w:t>[Wird in der Erklärung das Bestehen einer in Artikel 185/2 § 3 erwähnten ausländischen Gesellschaft oder ausländischen Niederlassung einer ausländischen Gesellschaft, die gemäß Artikel 185/2 § 3 als CFC gilt, vermerkt, wird ebenfalls Nachstehendes vermerkt:</w:t>
      </w:r>
    </w:p>
    <w:p w14:paraId="530EE961" w14:textId="77777777" w:rsidR="00907C03" w:rsidRPr="00907C03" w:rsidRDefault="00907C03" w:rsidP="00907C03">
      <w:pPr>
        <w:autoSpaceDE w:val="0"/>
        <w:autoSpaceDN w:val="0"/>
        <w:adjustRightInd w:val="0"/>
        <w:jc w:val="both"/>
        <w:rPr>
          <w:iCs/>
          <w:sz w:val="20"/>
          <w:szCs w:val="20"/>
        </w:rPr>
      </w:pPr>
    </w:p>
    <w:p w14:paraId="7E1C1855" w14:textId="77777777" w:rsidR="00907C03" w:rsidRPr="00907C03" w:rsidRDefault="00907C03" w:rsidP="00907C03">
      <w:pPr>
        <w:autoSpaceDE w:val="0"/>
        <w:autoSpaceDN w:val="0"/>
        <w:adjustRightInd w:val="0"/>
        <w:jc w:val="both"/>
        <w:rPr>
          <w:iCs/>
          <w:sz w:val="20"/>
          <w:szCs w:val="20"/>
        </w:rPr>
      </w:pPr>
      <w:r w:rsidRPr="00907C03">
        <w:rPr>
          <w:iCs/>
          <w:sz w:val="20"/>
          <w:szCs w:val="20"/>
        </w:rPr>
        <w:t>- Name der Gesellschaft,</w:t>
      </w:r>
    </w:p>
    <w:p w14:paraId="16DE7CE0" w14:textId="77777777" w:rsidR="00907C03" w:rsidRPr="00907C03" w:rsidRDefault="00907C03" w:rsidP="00907C03">
      <w:pPr>
        <w:autoSpaceDE w:val="0"/>
        <w:autoSpaceDN w:val="0"/>
        <w:adjustRightInd w:val="0"/>
        <w:jc w:val="both"/>
        <w:rPr>
          <w:iCs/>
          <w:sz w:val="20"/>
          <w:szCs w:val="20"/>
        </w:rPr>
      </w:pPr>
    </w:p>
    <w:p w14:paraId="70696AEC" w14:textId="77777777" w:rsidR="00907C03" w:rsidRPr="00907C03" w:rsidRDefault="00907C03" w:rsidP="00907C03">
      <w:pPr>
        <w:autoSpaceDE w:val="0"/>
        <w:autoSpaceDN w:val="0"/>
        <w:adjustRightInd w:val="0"/>
        <w:jc w:val="both"/>
        <w:rPr>
          <w:iCs/>
          <w:sz w:val="20"/>
          <w:szCs w:val="20"/>
        </w:rPr>
      </w:pPr>
      <w:r w:rsidRPr="00907C03">
        <w:rPr>
          <w:iCs/>
          <w:sz w:val="20"/>
          <w:szCs w:val="20"/>
        </w:rPr>
        <w:t>- Adresse des Geschäftsführungs- oder Verwaltungssitzes der Gesellschaft,</w:t>
      </w:r>
    </w:p>
    <w:p w14:paraId="1737DFDD" w14:textId="77777777" w:rsidR="00907C03" w:rsidRPr="00907C03" w:rsidRDefault="00907C03" w:rsidP="00907C03">
      <w:pPr>
        <w:autoSpaceDE w:val="0"/>
        <w:autoSpaceDN w:val="0"/>
        <w:adjustRightInd w:val="0"/>
        <w:jc w:val="both"/>
        <w:rPr>
          <w:iCs/>
          <w:sz w:val="20"/>
          <w:szCs w:val="20"/>
        </w:rPr>
      </w:pPr>
    </w:p>
    <w:p w14:paraId="5593EC23" w14:textId="77777777" w:rsidR="00907C03" w:rsidRPr="00907C03" w:rsidRDefault="00907C03" w:rsidP="00907C03">
      <w:pPr>
        <w:autoSpaceDE w:val="0"/>
        <w:autoSpaceDN w:val="0"/>
        <w:adjustRightInd w:val="0"/>
        <w:jc w:val="both"/>
        <w:rPr>
          <w:iCs/>
          <w:sz w:val="20"/>
          <w:szCs w:val="20"/>
        </w:rPr>
      </w:pPr>
      <w:r w:rsidRPr="00907C03">
        <w:rPr>
          <w:iCs/>
          <w:sz w:val="20"/>
          <w:szCs w:val="20"/>
        </w:rPr>
        <w:t>- gegebenenfalls Identifikationsnummer dieser Gesellschaft,</w:t>
      </w:r>
    </w:p>
    <w:p w14:paraId="26D6E62A" w14:textId="77777777" w:rsidR="00907C03" w:rsidRPr="00907C03" w:rsidRDefault="00907C03" w:rsidP="00907C03">
      <w:pPr>
        <w:autoSpaceDE w:val="0"/>
        <w:autoSpaceDN w:val="0"/>
        <w:adjustRightInd w:val="0"/>
        <w:jc w:val="both"/>
        <w:rPr>
          <w:iCs/>
          <w:sz w:val="20"/>
          <w:szCs w:val="20"/>
        </w:rPr>
      </w:pPr>
    </w:p>
    <w:p w14:paraId="1D489EDE" w14:textId="77777777" w:rsidR="00907C03" w:rsidRPr="00907C03" w:rsidRDefault="00907C03" w:rsidP="00907C03">
      <w:pPr>
        <w:autoSpaceDE w:val="0"/>
        <w:autoSpaceDN w:val="0"/>
        <w:adjustRightInd w:val="0"/>
        <w:jc w:val="both"/>
        <w:rPr>
          <w:iCs/>
          <w:sz w:val="20"/>
          <w:szCs w:val="20"/>
        </w:rPr>
      </w:pPr>
      <w:r w:rsidRPr="00907C03">
        <w:rPr>
          <w:iCs/>
          <w:sz w:val="20"/>
          <w:szCs w:val="20"/>
        </w:rPr>
        <w:t>- gegebenenfalls Land, in dem die ausländische Niederlassung gelegen ist,</w:t>
      </w:r>
    </w:p>
    <w:p w14:paraId="06037AAD" w14:textId="77777777" w:rsidR="00907C03" w:rsidRPr="00907C03" w:rsidRDefault="00907C03" w:rsidP="00907C03">
      <w:pPr>
        <w:autoSpaceDE w:val="0"/>
        <w:autoSpaceDN w:val="0"/>
        <w:adjustRightInd w:val="0"/>
        <w:jc w:val="both"/>
        <w:rPr>
          <w:iCs/>
          <w:sz w:val="20"/>
          <w:szCs w:val="20"/>
        </w:rPr>
      </w:pPr>
    </w:p>
    <w:p w14:paraId="4E85F206" w14:textId="77777777" w:rsidR="00907C03" w:rsidRPr="00907C03" w:rsidRDefault="00907C03" w:rsidP="00907C03">
      <w:pPr>
        <w:autoSpaceDE w:val="0"/>
        <w:autoSpaceDN w:val="0"/>
        <w:adjustRightInd w:val="0"/>
        <w:jc w:val="both"/>
        <w:rPr>
          <w:iCs/>
          <w:sz w:val="20"/>
          <w:szCs w:val="20"/>
        </w:rPr>
      </w:pPr>
      <w:r w:rsidRPr="00907C03">
        <w:rPr>
          <w:iCs/>
          <w:sz w:val="20"/>
          <w:szCs w:val="20"/>
        </w:rPr>
        <w:t>- Prozentsatz erwähnt in Artikel 185/2 § 2 Absatz 5,</w:t>
      </w:r>
    </w:p>
    <w:p w14:paraId="03A2AC58" w14:textId="77777777" w:rsidR="00907C03" w:rsidRPr="00907C03" w:rsidRDefault="00907C03" w:rsidP="00907C03">
      <w:pPr>
        <w:autoSpaceDE w:val="0"/>
        <w:autoSpaceDN w:val="0"/>
        <w:adjustRightInd w:val="0"/>
        <w:jc w:val="both"/>
        <w:rPr>
          <w:iCs/>
          <w:sz w:val="20"/>
          <w:szCs w:val="20"/>
        </w:rPr>
      </w:pPr>
    </w:p>
    <w:p w14:paraId="12BA6F7B" w14:textId="77777777" w:rsidR="00907C03" w:rsidRPr="00907C03" w:rsidRDefault="00907C03" w:rsidP="00907C03">
      <w:pPr>
        <w:autoSpaceDE w:val="0"/>
        <w:autoSpaceDN w:val="0"/>
        <w:adjustRightInd w:val="0"/>
        <w:jc w:val="both"/>
        <w:rPr>
          <w:iCs/>
          <w:sz w:val="20"/>
          <w:szCs w:val="20"/>
        </w:rPr>
      </w:pPr>
      <w:r w:rsidRPr="00907C03">
        <w:rPr>
          <w:iCs/>
          <w:sz w:val="20"/>
          <w:szCs w:val="20"/>
        </w:rPr>
        <w:t>- ob die Befreiung erwähnt in Artikel 185/2 § 4 erster Gedankenstrich, zweiter Gedankenstrich beziehungsweise dritter Gedankenstrich geltend gemacht wird.]</w:t>
      </w:r>
    </w:p>
    <w:p w14:paraId="15538E6A" w14:textId="77777777" w:rsidR="00907C03" w:rsidRPr="00907C03" w:rsidRDefault="00907C03" w:rsidP="00907C03">
      <w:pPr>
        <w:autoSpaceDE w:val="0"/>
        <w:autoSpaceDN w:val="0"/>
        <w:adjustRightInd w:val="0"/>
        <w:jc w:val="both"/>
        <w:rPr>
          <w:iCs/>
          <w:sz w:val="20"/>
          <w:szCs w:val="20"/>
        </w:rPr>
      </w:pPr>
    </w:p>
    <w:p w14:paraId="418B2BFC" w14:textId="77777777" w:rsidR="00907C03" w:rsidRPr="00907C03" w:rsidRDefault="00907C03" w:rsidP="00907C03">
      <w:pPr>
        <w:autoSpaceDE w:val="0"/>
        <w:autoSpaceDN w:val="0"/>
        <w:adjustRightInd w:val="0"/>
        <w:jc w:val="both"/>
        <w:rPr>
          <w:iCs/>
          <w:sz w:val="20"/>
          <w:szCs w:val="20"/>
        </w:rPr>
      </w:pPr>
      <w:r w:rsidRPr="00907C03">
        <w:rPr>
          <w:iCs/>
          <w:sz w:val="20"/>
          <w:szCs w:val="20"/>
        </w:rPr>
        <w:t>[...]</w:t>
      </w:r>
    </w:p>
    <w:p w14:paraId="13233439" w14:textId="77777777" w:rsidR="00907C03" w:rsidRPr="00907C03" w:rsidRDefault="00907C03" w:rsidP="00907C03">
      <w:pPr>
        <w:autoSpaceDE w:val="0"/>
        <w:autoSpaceDN w:val="0"/>
        <w:adjustRightInd w:val="0"/>
        <w:jc w:val="both"/>
        <w:rPr>
          <w:iCs/>
          <w:sz w:val="20"/>
          <w:szCs w:val="20"/>
        </w:rPr>
      </w:pPr>
    </w:p>
    <w:p w14:paraId="489721BC" w14:textId="05FC83DE" w:rsidR="00907C03" w:rsidRPr="00907C03" w:rsidRDefault="00907C03" w:rsidP="00907C03">
      <w:pPr>
        <w:autoSpaceDE w:val="0"/>
        <w:autoSpaceDN w:val="0"/>
        <w:adjustRightInd w:val="0"/>
        <w:jc w:val="both"/>
        <w:rPr>
          <w:iCs/>
          <w:sz w:val="20"/>
          <w:szCs w:val="20"/>
        </w:rPr>
      </w:pPr>
      <w:r w:rsidRPr="00907C03">
        <w:rPr>
          <w:iCs/>
          <w:sz w:val="20"/>
          <w:szCs w:val="20"/>
        </w:rPr>
        <w:t>[§ 1/3 - In der jährlichen Erklärung zur Steuer der juristischen Personen wird das Bestehen einer Rechtsvereinbarung vermerkt, wenn der Steuerpflichtige entweder Gründer dieser Rechtsvereinbarung ist oder während des Besteuerungszeitraums eine Dividende erzielt oder in irgendeiner Weise andere Vorteile erhalten hat.]</w:t>
      </w:r>
    </w:p>
    <w:p w14:paraId="68F5F785" w14:textId="77777777" w:rsidR="00907C03" w:rsidRPr="00907C03" w:rsidRDefault="00907C03" w:rsidP="00907C03">
      <w:pPr>
        <w:autoSpaceDE w:val="0"/>
        <w:autoSpaceDN w:val="0"/>
        <w:adjustRightInd w:val="0"/>
        <w:jc w:val="both"/>
        <w:rPr>
          <w:iCs/>
          <w:sz w:val="20"/>
          <w:szCs w:val="20"/>
        </w:rPr>
      </w:pPr>
    </w:p>
    <w:p w14:paraId="3F259B6F" w14:textId="77777777" w:rsidR="00907C03" w:rsidRPr="00907C03" w:rsidRDefault="00907C03" w:rsidP="00907C03">
      <w:pPr>
        <w:autoSpaceDE w:val="0"/>
        <w:autoSpaceDN w:val="0"/>
        <w:adjustRightInd w:val="0"/>
        <w:jc w:val="both"/>
        <w:rPr>
          <w:iCs/>
          <w:sz w:val="20"/>
          <w:szCs w:val="20"/>
        </w:rPr>
      </w:pPr>
      <w:r w:rsidRPr="00907C03">
        <w:rPr>
          <w:iCs/>
          <w:sz w:val="20"/>
          <w:szCs w:val="20"/>
        </w:rPr>
        <w:t>[§ 1/4 - [Wird in der Erklärung zur Steuer der natürlichen Personen oder zur Steuer der juristischen Personen das Bestehen einer Rechtsvereinbarung vermerkt, wird in einer Anlage zur Erklärung zur Steuer der natürlichen Personen oder zur Steuer der juristischen Personen, deren Muster vom König festgelegt wird, Folgendes vermerkt:</w:t>
      </w:r>
    </w:p>
    <w:p w14:paraId="20C8BD4E" w14:textId="77777777" w:rsidR="00907C03" w:rsidRPr="00907C03" w:rsidRDefault="00907C03" w:rsidP="00907C03">
      <w:pPr>
        <w:autoSpaceDE w:val="0"/>
        <w:autoSpaceDN w:val="0"/>
        <w:adjustRightInd w:val="0"/>
        <w:jc w:val="both"/>
        <w:rPr>
          <w:iCs/>
          <w:sz w:val="20"/>
          <w:szCs w:val="20"/>
        </w:rPr>
      </w:pPr>
    </w:p>
    <w:p w14:paraId="501313DB" w14:textId="77777777" w:rsidR="00907C03" w:rsidRPr="00907C03" w:rsidRDefault="00907C03" w:rsidP="00907C03">
      <w:pPr>
        <w:autoSpaceDE w:val="0"/>
        <w:autoSpaceDN w:val="0"/>
        <w:adjustRightInd w:val="0"/>
        <w:jc w:val="both"/>
        <w:rPr>
          <w:iCs/>
          <w:sz w:val="20"/>
          <w:szCs w:val="20"/>
        </w:rPr>
      </w:pPr>
      <w:r w:rsidRPr="00907C03">
        <w:rPr>
          <w:iCs/>
          <w:sz w:val="20"/>
          <w:szCs w:val="20"/>
        </w:rPr>
        <w:t>- vollständiger Name, Rechtsform, Adresse und gegebenenfalls Identifikationsnummer der Rechtsvereinbarung,</w:t>
      </w:r>
    </w:p>
    <w:p w14:paraId="06ED8D15" w14:textId="77777777" w:rsidR="00907C03" w:rsidRPr="00907C03" w:rsidRDefault="00907C03" w:rsidP="00907C03">
      <w:pPr>
        <w:autoSpaceDE w:val="0"/>
        <w:autoSpaceDN w:val="0"/>
        <w:adjustRightInd w:val="0"/>
        <w:jc w:val="both"/>
        <w:rPr>
          <w:iCs/>
          <w:sz w:val="20"/>
          <w:szCs w:val="20"/>
        </w:rPr>
      </w:pPr>
    </w:p>
    <w:p w14:paraId="624A0DE8" w14:textId="77777777" w:rsidR="00907C03" w:rsidRPr="00907C03" w:rsidRDefault="00907C03" w:rsidP="00907C03">
      <w:pPr>
        <w:autoSpaceDE w:val="0"/>
        <w:autoSpaceDN w:val="0"/>
        <w:adjustRightInd w:val="0"/>
        <w:jc w:val="both"/>
        <w:rPr>
          <w:iCs/>
          <w:sz w:val="20"/>
          <w:szCs w:val="20"/>
        </w:rPr>
      </w:pPr>
      <w:r w:rsidRPr="00907C03">
        <w:rPr>
          <w:iCs/>
          <w:sz w:val="20"/>
          <w:szCs w:val="20"/>
        </w:rPr>
        <w:t>- Name und Adresse des Verwalters dieser Rechtsvereinbarung, wenn es sich um eine in Artikel 2 § 1 Nr. 13 Buchstabe </w:t>
      </w:r>
      <w:r w:rsidRPr="00907C03">
        <w:rPr>
          <w:i/>
          <w:iCs/>
          <w:sz w:val="20"/>
          <w:szCs w:val="20"/>
        </w:rPr>
        <w:t>a)</w:t>
      </w:r>
      <w:r w:rsidRPr="00907C03">
        <w:rPr>
          <w:iCs/>
          <w:sz w:val="20"/>
          <w:szCs w:val="20"/>
        </w:rPr>
        <w:t xml:space="preserve"> erwähnte Rechtsvereinbarung handelt,</w:t>
      </w:r>
    </w:p>
    <w:p w14:paraId="4E046EB9" w14:textId="77777777" w:rsidR="00907C03" w:rsidRPr="00907C03" w:rsidRDefault="00907C03" w:rsidP="00907C03">
      <w:pPr>
        <w:autoSpaceDE w:val="0"/>
        <w:autoSpaceDN w:val="0"/>
        <w:adjustRightInd w:val="0"/>
        <w:jc w:val="both"/>
        <w:rPr>
          <w:iCs/>
          <w:sz w:val="20"/>
          <w:szCs w:val="20"/>
        </w:rPr>
      </w:pPr>
    </w:p>
    <w:p w14:paraId="1B188933" w14:textId="77777777" w:rsidR="00907C03" w:rsidRPr="00907C03" w:rsidRDefault="00907C03" w:rsidP="00907C03">
      <w:pPr>
        <w:autoSpaceDE w:val="0"/>
        <w:autoSpaceDN w:val="0"/>
        <w:adjustRightInd w:val="0"/>
        <w:jc w:val="both"/>
        <w:rPr>
          <w:iCs/>
          <w:sz w:val="20"/>
          <w:szCs w:val="20"/>
        </w:rPr>
      </w:pPr>
      <w:r w:rsidRPr="00907C03">
        <w:rPr>
          <w:iCs/>
          <w:sz w:val="20"/>
          <w:szCs w:val="20"/>
        </w:rPr>
        <w:t>- die in der Erklärung angegebenen Einkünfte, die von jeder Rechtsvereinbarung getrennt bezogen wurden, sowie der Betrag des Vermögens der Rechtsvereinbarung am Ende des Besteuerungszeitraums, der Teil des Vermögens, der vom Gründer eingebracht wurde, die in Artikel 18 Absatz 1 Nr. 3 und 3/1 erwähnten Dividenden, die in der Erklärung angegeben waren, sowie diejenigen, die in Anwendung von Artikel 21 Absatz 1 Nr. 12 steuerfrei waren, und diejenigen, die nicht in der Erklärung angegeben werden müssen, weil ein Mobiliensteuervorabzug auf diese Dividenden einbehalten wurde.]]</w:t>
      </w:r>
    </w:p>
    <w:p w14:paraId="175422C6" w14:textId="77777777" w:rsidR="00907C03" w:rsidRPr="00907C03" w:rsidRDefault="00907C03" w:rsidP="00907C03">
      <w:pPr>
        <w:autoSpaceDE w:val="0"/>
        <w:autoSpaceDN w:val="0"/>
        <w:adjustRightInd w:val="0"/>
        <w:jc w:val="both"/>
        <w:rPr>
          <w:iCs/>
          <w:sz w:val="20"/>
          <w:szCs w:val="20"/>
        </w:rPr>
      </w:pPr>
    </w:p>
    <w:p w14:paraId="11C6D715" w14:textId="435B99EA" w:rsidR="00907C03" w:rsidRPr="00907C03" w:rsidRDefault="00907C03" w:rsidP="00907C03">
      <w:pPr>
        <w:autoSpaceDE w:val="0"/>
        <w:autoSpaceDN w:val="0"/>
        <w:adjustRightInd w:val="0"/>
        <w:jc w:val="both"/>
        <w:rPr>
          <w:iCs/>
          <w:sz w:val="20"/>
          <w:szCs w:val="20"/>
        </w:rPr>
      </w:pPr>
      <w:r w:rsidRPr="00907C03">
        <w:rPr>
          <w:iCs/>
          <w:sz w:val="20"/>
          <w:szCs w:val="20"/>
        </w:rPr>
        <w:t>[§ 1/5 - Wünscht ein in Artikel 227 Nr. 1 erwähnter Gebietsfremder die Anwendung von Artikel 21 Absatz 1 Nr. 14 für Dividenden, für die in Anwendung von Artikel 261 ein Mobiliensteuervorabzug einbehalten wurde und die während eines Besteuerungszeitraums zuerkannt oder ausgeschüttet wurden, auf den sich ebenfalls Einkünfte beziehen, die er gemäß den Artikeln 232 und 248 §§ 2 und 3 in einer Erklärung zur Steuer der Gebietsfremden regularisiert, beantragt er in seiner Erklärung zur Steuer der Gebietsfremden für den betreffenden Besteuerungszeitraum die Anrechnung und gegebenenfalls die Erstattung dieses Mobiliensteuervorabzugs. Dieser Antrag wird mit Belegen untermauert, die zur Verfügung der Verwaltung gehalten werden.</w:t>
      </w:r>
    </w:p>
    <w:p w14:paraId="1435E93E" w14:textId="77777777" w:rsidR="00907C03" w:rsidRPr="00907C03" w:rsidRDefault="00907C03" w:rsidP="00907C03">
      <w:pPr>
        <w:autoSpaceDE w:val="0"/>
        <w:autoSpaceDN w:val="0"/>
        <w:adjustRightInd w:val="0"/>
        <w:jc w:val="both"/>
        <w:rPr>
          <w:iCs/>
          <w:sz w:val="20"/>
          <w:szCs w:val="20"/>
        </w:rPr>
      </w:pPr>
    </w:p>
    <w:p w14:paraId="7341B43B" w14:textId="2C2C7DAD" w:rsidR="00907C03" w:rsidRPr="00907C03" w:rsidRDefault="00907C03" w:rsidP="00907C03">
      <w:pPr>
        <w:autoSpaceDE w:val="0"/>
        <w:autoSpaceDN w:val="0"/>
        <w:adjustRightInd w:val="0"/>
        <w:jc w:val="both"/>
        <w:rPr>
          <w:iCs/>
          <w:sz w:val="20"/>
          <w:szCs w:val="20"/>
        </w:rPr>
      </w:pPr>
      <w:r w:rsidRPr="00907C03">
        <w:rPr>
          <w:iCs/>
          <w:sz w:val="20"/>
          <w:szCs w:val="20"/>
        </w:rPr>
        <w:t>Der König bestimmt, wie der in Absatz 1 erwähnte Nachweis zu erbringen ist.]</w:t>
      </w:r>
    </w:p>
    <w:p w14:paraId="3AAC2AED" w14:textId="77777777" w:rsidR="00907C03" w:rsidRPr="00907C03" w:rsidRDefault="00907C03" w:rsidP="00907C03">
      <w:pPr>
        <w:autoSpaceDE w:val="0"/>
        <w:autoSpaceDN w:val="0"/>
        <w:adjustRightInd w:val="0"/>
        <w:jc w:val="both"/>
        <w:rPr>
          <w:iCs/>
          <w:sz w:val="20"/>
          <w:szCs w:val="20"/>
        </w:rPr>
      </w:pPr>
    </w:p>
    <w:p w14:paraId="79F7AAB9" w14:textId="41DE1D41" w:rsidR="00907C03" w:rsidRPr="00907C03" w:rsidRDefault="00907C03" w:rsidP="00907C03">
      <w:pPr>
        <w:autoSpaceDE w:val="0"/>
        <w:autoSpaceDN w:val="0"/>
        <w:adjustRightInd w:val="0"/>
        <w:jc w:val="both"/>
        <w:rPr>
          <w:iCs/>
          <w:sz w:val="20"/>
          <w:szCs w:val="20"/>
        </w:rPr>
      </w:pPr>
      <w:r w:rsidRPr="00907C03">
        <w:rPr>
          <w:iCs/>
          <w:sz w:val="20"/>
          <w:szCs w:val="20"/>
        </w:rPr>
        <w:t>[...]</w:t>
      </w:r>
    </w:p>
    <w:p w14:paraId="2D5D793D" w14:textId="77777777" w:rsidR="00907C03" w:rsidRPr="00907C03" w:rsidRDefault="00907C03" w:rsidP="00907C03">
      <w:pPr>
        <w:autoSpaceDE w:val="0"/>
        <w:autoSpaceDN w:val="0"/>
        <w:adjustRightInd w:val="0"/>
        <w:jc w:val="both"/>
        <w:rPr>
          <w:iCs/>
          <w:sz w:val="20"/>
          <w:szCs w:val="20"/>
        </w:rPr>
      </w:pPr>
    </w:p>
    <w:p w14:paraId="7600E0B7" w14:textId="38BBFCDD" w:rsidR="00907C03" w:rsidRPr="00907C03" w:rsidRDefault="00907C03" w:rsidP="00907C03">
      <w:pPr>
        <w:autoSpaceDE w:val="0"/>
        <w:autoSpaceDN w:val="0"/>
        <w:adjustRightInd w:val="0"/>
        <w:jc w:val="both"/>
        <w:rPr>
          <w:iCs/>
          <w:sz w:val="20"/>
          <w:szCs w:val="20"/>
        </w:rPr>
      </w:pPr>
      <w:r w:rsidRPr="00907C03">
        <w:rPr>
          <w:iCs/>
          <w:sz w:val="20"/>
          <w:szCs w:val="20"/>
        </w:rPr>
        <w:lastRenderedPageBreak/>
        <w:t>§ 2 - [</w:t>
      </w:r>
      <w:r>
        <w:rPr>
          <w:iCs/>
          <w:sz w:val="20"/>
          <w:szCs w:val="20"/>
        </w:rPr>
        <w:t>[</w:t>
      </w:r>
      <w:r w:rsidRPr="00907C03">
        <w:rPr>
          <w:iCs/>
          <w:sz w:val="20"/>
          <w:szCs w:val="20"/>
        </w:rPr>
        <w:t>Das Formular wird gemäß den darin befindlichen Angaben ausgefüllt. Es gilt als eine für richtig bescheinigte, datierte und unterzeichnete Erklärung. Wird das Formular auf Papier ausgefüllt, wird es für richtig bescheinigt, datiert und unterzeichnet.</w:t>
      </w:r>
      <w:r>
        <w:rPr>
          <w:iCs/>
          <w:sz w:val="20"/>
          <w:szCs w:val="20"/>
        </w:rPr>
        <w:t>]</w:t>
      </w:r>
    </w:p>
    <w:p w14:paraId="1AB9B83B" w14:textId="77777777" w:rsidR="00907C03" w:rsidRDefault="00907C03" w:rsidP="00907C03">
      <w:pPr>
        <w:autoSpaceDE w:val="0"/>
        <w:autoSpaceDN w:val="0"/>
        <w:adjustRightInd w:val="0"/>
        <w:jc w:val="both"/>
        <w:rPr>
          <w:iCs/>
          <w:sz w:val="20"/>
          <w:szCs w:val="20"/>
        </w:rPr>
      </w:pPr>
    </w:p>
    <w:p w14:paraId="0D885C2A" w14:textId="0977011F" w:rsidR="00773ECE" w:rsidRDefault="00773ECE" w:rsidP="00907C03">
      <w:pPr>
        <w:autoSpaceDE w:val="0"/>
        <w:autoSpaceDN w:val="0"/>
        <w:adjustRightInd w:val="0"/>
        <w:jc w:val="both"/>
        <w:rPr>
          <w:iCs/>
          <w:sz w:val="20"/>
          <w:szCs w:val="20"/>
        </w:rPr>
      </w:pPr>
      <w:r>
        <w:rPr>
          <w:iCs/>
          <w:sz w:val="20"/>
          <w:szCs w:val="20"/>
        </w:rPr>
        <w:t>[…]</w:t>
      </w:r>
    </w:p>
    <w:p w14:paraId="0C9A766F" w14:textId="77777777" w:rsidR="00773ECE" w:rsidRPr="00907C03" w:rsidRDefault="00773ECE" w:rsidP="00907C03">
      <w:pPr>
        <w:autoSpaceDE w:val="0"/>
        <w:autoSpaceDN w:val="0"/>
        <w:adjustRightInd w:val="0"/>
        <w:jc w:val="both"/>
        <w:rPr>
          <w:iCs/>
          <w:sz w:val="20"/>
          <w:szCs w:val="20"/>
        </w:rPr>
      </w:pPr>
    </w:p>
    <w:p w14:paraId="61DD6AB3" w14:textId="77777777" w:rsidR="00907C03" w:rsidRPr="00907C03" w:rsidRDefault="00907C03" w:rsidP="00907C03">
      <w:pPr>
        <w:autoSpaceDE w:val="0"/>
        <w:autoSpaceDN w:val="0"/>
        <w:adjustRightInd w:val="0"/>
        <w:jc w:val="both"/>
        <w:rPr>
          <w:iCs/>
          <w:sz w:val="20"/>
          <w:szCs w:val="20"/>
        </w:rPr>
      </w:pPr>
      <w:r w:rsidRPr="00907C03">
        <w:rPr>
          <w:iCs/>
          <w:sz w:val="20"/>
          <w:szCs w:val="20"/>
        </w:rPr>
        <w:t>Das Erklärungsformular, das ein Steuerpflichtiger bei einem Besuch im Amt oder an einem zu diesem Zweck von der zuständigen Verwaltung des Föderalen Öffentlichen Dienstes Finanzen bestimmten Ort mit Unterstützung eines Beamten dieser Verwaltung einreicht, muss vom Steuerpflichtigen anhand einer digitalen Signatur für richtig bescheinigt, datiert und unterzeichnet werden, nachdem der Beamte die vom Steuerpflichtigen angegebenen Einkünfte und anderen Daten über Tax-on-Web in die elektronischen Dateien der Verwaltung eingegeben hat.</w:t>
      </w:r>
    </w:p>
    <w:p w14:paraId="065348DF" w14:textId="77777777" w:rsidR="00907C03" w:rsidRPr="00907C03" w:rsidRDefault="00907C03" w:rsidP="00907C03">
      <w:pPr>
        <w:autoSpaceDE w:val="0"/>
        <w:autoSpaceDN w:val="0"/>
        <w:adjustRightInd w:val="0"/>
        <w:jc w:val="both"/>
        <w:rPr>
          <w:iCs/>
          <w:sz w:val="20"/>
          <w:szCs w:val="20"/>
        </w:rPr>
      </w:pPr>
    </w:p>
    <w:p w14:paraId="441F3F72" w14:textId="5B8E80A4" w:rsidR="00907C03" w:rsidRPr="00907C03" w:rsidRDefault="00907C03" w:rsidP="00907C03">
      <w:pPr>
        <w:autoSpaceDE w:val="0"/>
        <w:autoSpaceDN w:val="0"/>
        <w:adjustRightInd w:val="0"/>
        <w:jc w:val="both"/>
        <w:rPr>
          <w:iCs/>
          <w:sz w:val="20"/>
          <w:szCs w:val="20"/>
        </w:rPr>
      </w:pPr>
      <w:r>
        <w:rPr>
          <w:iCs/>
          <w:sz w:val="20"/>
          <w:szCs w:val="20"/>
        </w:rPr>
        <w:t>[...]</w:t>
      </w:r>
    </w:p>
    <w:p w14:paraId="7DD1C73C" w14:textId="77777777" w:rsidR="00907C03" w:rsidRPr="00907C03" w:rsidRDefault="00907C03" w:rsidP="00907C03">
      <w:pPr>
        <w:autoSpaceDE w:val="0"/>
        <w:autoSpaceDN w:val="0"/>
        <w:adjustRightInd w:val="0"/>
        <w:jc w:val="both"/>
        <w:rPr>
          <w:iCs/>
          <w:sz w:val="20"/>
          <w:szCs w:val="20"/>
        </w:rPr>
      </w:pPr>
    </w:p>
    <w:p w14:paraId="73D54C4B" w14:textId="77777777" w:rsidR="00907C03" w:rsidRDefault="00907C03" w:rsidP="00907C03">
      <w:pPr>
        <w:autoSpaceDE w:val="0"/>
        <w:autoSpaceDN w:val="0"/>
        <w:adjustRightInd w:val="0"/>
        <w:jc w:val="both"/>
        <w:rPr>
          <w:iCs/>
          <w:sz w:val="20"/>
          <w:szCs w:val="20"/>
        </w:rPr>
      </w:pPr>
      <w:r w:rsidRPr="00907C03">
        <w:rPr>
          <w:iCs/>
          <w:sz w:val="20"/>
          <w:szCs w:val="20"/>
        </w:rPr>
        <w:t>Ist jedoch die Benutzung des Mittels, mit dem die in Absatz 2 erwähnte digitale Signatur angebracht wird, aufgrund einer Fehlfunktion dieses Dienstes nicht möglich, führt der Steuerpflichtige das Für-richtig-Bescheinigen, Datieren und Unterzeichnen wie in Absatz 1 erwähnt auf einem Zustimmungsformular auf Papier durch, nachdem der Beamte die vom Steuerpflichtigen angegebenen Einkünfte und anderen Daten über Tax-on-Web in die elektronischen Dateien der Verwaltung eingegeben hat.]</w:t>
      </w:r>
    </w:p>
    <w:p w14:paraId="754FB4F7" w14:textId="77777777" w:rsidR="004F3870" w:rsidRDefault="004F3870" w:rsidP="00907C03">
      <w:pPr>
        <w:autoSpaceDE w:val="0"/>
        <w:autoSpaceDN w:val="0"/>
        <w:adjustRightInd w:val="0"/>
        <w:jc w:val="both"/>
        <w:rPr>
          <w:iCs/>
          <w:sz w:val="20"/>
          <w:szCs w:val="20"/>
        </w:rPr>
      </w:pPr>
    </w:p>
    <w:p w14:paraId="28B90866" w14:textId="389945C9" w:rsidR="004F3870" w:rsidRPr="00907C03" w:rsidRDefault="004F3870" w:rsidP="00907C03">
      <w:pPr>
        <w:autoSpaceDE w:val="0"/>
        <w:autoSpaceDN w:val="0"/>
        <w:adjustRightInd w:val="0"/>
        <w:jc w:val="both"/>
        <w:rPr>
          <w:iCs/>
          <w:sz w:val="20"/>
          <w:szCs w:val="20"/>
        </w:rPr>
      </w:pPr>
      <w:r>
        <w:rPr>
          <w:iCs/>
          <w:sz w:val="20"/>
          <w:szCs w:val="20"/>
        </w:rPr>
        <w:t>[</w:t>
      </w:r>
      <w:r w:rsidRPr="004F3870">
        <w:rPr>
          <w:iCs/>
          <w:sz w:val="20"/>
          <w:szCs w:val="20"/>
        </w:rPr>
        <w:t>Das Für-richtig-Bescheinigen, Datieren und Unterzeichnen durch den Steuerpflichtigen wie in Absatz 3 erwähnt wird mit dem Für-richtig-Bescheinigen, Datieren und Unterzeichnen auf elektronischem Wege gleichgesetzt.</w:t>
      </w:r>
      <w:r>
        <w:rPr>
          <w:iCs/>
          <w:sz w:val="20"/>
          <w:szCs w:val="20"/>
        </w:rPr>
        <w:t>]</w:t>
      </w:r>
    </w:p>
    <w:p w14:paraId="58DCD10E" w14:textId="77777777" w:rsidR="00907C03" w:rsidRPr="00907C03" w:rsidRDefault="00907C03" w:rsidP="00907C03">
      <w:pPr>
        <w:autoSpaceDE w:val="0"/>
        <w:autoSpaceDN w:val="0"/>
        <w:adjustRightInd w:val="0"/>
        <w:jc w:val="both"/>
        <w:rPr>
          <w:iCs/>
          <w:sz w:val="20"/>
          <w:szCs w:val="20"/>
        </w:rPr>
      </w:pPr>
    </w:p>
    <w:p w14:paraId="2A4CF103" w14:textId="6B17152C" w:rsidR="00907C03" w:rsidRPr="00907C03" w:rsidRDefault="00907C03" w:rsidP="00907C03">
      <w:pPr>
        <w:autoSpaceDE w:val="0"/>
        <w:autoSpaceDN w:val="0"/>
        <w:adjustRightInd w:val="0"/>
        <w:jc w:val="both"/>
        <w:rPr>
          <w:iCs/>
          <w:sz w:val="20"/>
          <w:szCs w:val="20"/>
        </w:rPr>
      </w:pPr>
      <w:r w:rsidRPr="00907C03">
        <w:rPr>
          <w:iCs/>
          <w:sz w:val="20"/>
          <w:szCs w:val="20"/>
        </w:rPr>
        <w:t>[§ 2/1 - Der Gesellschaftssteuererklärung und - für die in Artikel 227 Nr. 2 erwähnten Steuerpflichtigen - der Erklärung zur Steuer der Gebietsfremden muss der Jahresabschluss wie in Artikel 320/1 erwähnt als Anlage beigefügt werden. Ist die Gesellschaft zur Offenlegung eines solchen Jahresabschlusses verpflichtet, muss der offengelegte Jahresabschluss der Erklärung nicht beigefügt werden. Er gilt jedoch als Bestandteil der Erklärung.]</w:t>
      </w:r>
    </w:p>
    <w:p w14:paraId="64C6BB48" w14:textId="77777777" w:rsidR="00907C03" w:rsidRPr="00907C03" w:rsidRDefault="00907C03" w:rsidP="00907C03">
      <w:pPr>
        <w:autoSpaceDE w:val="0"/>
        <w:autoSpaceDN w:val="0"/>
        <w:adjustRightInd w:val="0"/>
        <w:jc w:val="both"/>
        <w:rPr>
          <w:iCs/>
          <w:sz w:val="20"/>
          <w:szCs w:val="20"/>
        </w:rPr>
      </w:pPr>
    </w:p>
    <w:p w14:paraId="370BA607" w14:textId="6F941B10" w:rsidR="00907C03" w:rsidRPr="00907C03" w:rsidRDefault="00907C03" w:rsidP="00907C03">
      <w:pPr>
        <w:autoSpaceDE w:val="0"/>
        <w:autoSpaceDN w:val="0"/>
        <w:adjustRightInd w:val="0"/>
        <w:jc w:val="both"/>
        <w:rPr>
          <w:iCs/>
          <w:sz w:val="20"/>
          <w:szCs w:val="20"/>
        </w:rPr>
      </w:pPr>
      <w:r w:rsidRPr="00907C03">
        <w:rPr>
          <w:iCs/>
          <w:sz w:val="20"/>
          <w:szCs w:val="20"/>
        </w:rPr>
        <w:t>[§ 2/2 - Ist der Steuerpflichtige Mieter eines unbeweglichen Gutes oder Inhaber eines Erbbaurechts, eines Erbpachtrechts oder eines anderen dinglichen Gebrauchsrechts an einem unbeweglichen Gut [- mit Ausnahme des unbeweglichen Gutes, das gemäß den Rechtsvorschriften über den Landpachtvertrag oder einem entsprechenden ausländischen Recht, das die Pachtpreise beschränkt, vermietet ist und zu landwirtschaftlichen oder gartenbaulichen Zwecken genutzt wird -] und ist der Steuerpflichtige eine juristische Person, die verpflichtet ist, eine Einkommensteuererklärung einzureichen, oder eine natürliche Person, die die Mietvergütungen für dieses unbewegliche Gut oder die Vergütungen für die Begründung oder Abtretung dieses Rechts ganz oder teilweise als tatsächliche Werbungskosten abzieht, muss die Erklärung eine Anlage mit folgenden Informationen enthalten:</w:t>
      </w:r>
    </w:p>
    <w:p w14:paraId="54ED3175" w14:textId="77777777" w:rsidR="00907C03" w:rsidRPr="00907C03" w:rsidRDefault="00907C03" w:rsidP="00907C03">
      <w:pPr>
        <w:autoSpaceDE w:val="0"/>
        <w:autoSpaceDN w:val="0"/>
        <w:adjustRightInd w:val="0"/>
        <w:jc w:val="both"/>
        <w:rPr>
          <w:iCs/>
          <w:sz w:val="20"/>
          <w:szCs w:val="20"/>
        </w:rPr>
      </w:pPr>
    </w:p>
    <w:p w14:paraId="2A8F4A52" w14:textId="77777777" w:rsidR="00907C03" w:rsidRPr="00907C03" w:rsidRDefault="00907C03" w:rsidP="00907C03">
      <w:pPr>
        <w:autoSpaceDE w:val="0"/>
        <w:autoSpaceDN w:val="0"/>
        <w:adjustRightInd w:val="0"/>
        <w:jc w:val="both"/>
        <w:rPr>
          <w:iCs/>
          <w:sz w:val="20"/>
          <w:szCs w:val="20"/>
        </w:rPr>
      </w:pPr>
      <w:r w:rsidRPr="00907C03">
        <w:rPr>
          <w:i/>
          <w:iCs/>
          <w:sz w:val="20"/>
          <w:szCs w:val="20"/>
        </w:rPr>
        <w:t>a)</w:t>
      </w:r>
      <w:r w:rsidRPr="00907C03">
        <w:rPr>
          <w:iCs/>
          <w:sz w:val="20"/>
          <w:szCs w:val="20"/>
        </w:rPr>
        <w:t> Identifizierungsdaten des/der Vermieter(s) oder der Person(en), die ein Erbbaurecht, ein Erbpachtrecht oder ein anderes dingliches Gebrauchsrecht einräumt/einräumen, pro Gut,</w:t>
      </w:r>
    </w:p>
    <w:p w14:paraId="5622E615" w14:textId="77777777" w:rsidR="00907C03" w:rsidRPr="00907C03" w:rsidRDefault="00907C03" w:rsidP="00907C03">
      <w:pPr>
        <w:autoSpaceDE w:val="0"/>
        <w:autoSpaceDN w:val="0"/>
        <w:adjustRightInd w:val="0"/>
        <w:jc w:val="both"/>
        <w:rPr>
          <w:iCs/>
          <w:sz w:val="20"/>
          <w:szCs w:val="20"/>
        </w:rPr>
      </w:pPr>
    </w:p>
    <w:p w14:paraId="13E1999C" w14:textId="77777777" w:rsidR="00907C03" w:rsidRPr="00907C03" w:rsidRDefault="00907C03" w:rsidP="00907C03">
      <w:pPr>
        <w:autoSpaceDE w:val="0"/>
        <w:autoSpaceDN w:val="0"/>
        <w:adjustRightInd w:val="0"/>
        <w:jc w:val="both"/>
        <w:rPr>
          <w:iCs/>
          <w:sz w:val="20"/>
          <w:szCs w:val="20"/>
        </w:rPr>
      </w:pPr>
      <w:r w:rsidRPr="00907C03">
        <w:rPr>
          <w:i/>
          <w:iCs/>
          <w:sz w:val="20"/>
          <w:szCs w:val="20"/>
        </w:rPr>
        <w:t>b)</w:t>
      </w:r>
      <w:r w:rsidRPr="00907C03">
        <w:rPr>
          <w:iCs/>
          <w:sz w:val="20"/>
          <w:szCs w:val="20"/>
        </w:rPr>
        <w:t> Adresse des unbeweglichen Gutes oder der unbeweglichen Güter,</w:t>
      </w:r>
    </w:p>
    <w:p w14:paraId="50CEB150" w14:textId="77777777" w:rsidR="00907C03" w:rsidRPr="00907C03" w:rsidRDefault="00907C03" w:rsidP="00907C03">
      <w:pPr>
        <w:autoSpaceDE w:val="0"/>
        <w:autoSpaceDN w:val="0"/>
        <w:adjustRightInd w:val="0"/>
        <w:jc w:val="both"/>
        <w:rPr>
          <w:iCs/>
          <w:sz w:val="20"/>
          <w:szCs w:val="20"/>
        </w:rPr>
      </w:pPr>
    </w:p>
    <w:p w14:paraId="24753A62" w14:textId="77777777" w:rsidR="00907C03" w:rsidRPr="00907C03" w:rsidRDefault="00907C03" w:rsidP="00907C03">
      <w:pPr>
        <w:autoSpaceDE w:val="0"/>
        <w:autoSpaceDN w:val="0"/>
        <w:adjustRightInd w:val="0"/>
        <w:jc w:val="both"/>
        <w:rPr>
          <w:iCs/>
          <w:sz w:val="20"/>
          <w:szCs w:val="20"/>
        </w:rPr>
      </w:pPr>
      <w:r w:rsidRPr="00907C03">
        <w:rPr>
          <w:i/>
          <w:iCs/>
          <w:sz w:val="20"/>
          <w:szCs w:val="20"/>
        </w:rPr>
        <w:t>c)</w:t>
      </w:r>
      <w:r w:rsidRPr="00907C03">
        <w:rPr>
          <w:iCs/>
          <w:sz w:val="20"/>
          <w:szCs w:val="20"/>
        </w:rPr>
        <w:t> Betrag der Mietvergütungen und der Vergütungen für ein Erbbaurecht, ein Erbpachtrecht oder ein anderes dingliches Gebrauchsrecht an einem unbeweglichen Gut, die im betreffenden Besteuerungszeitraum gezahlt oder zuerkannt wurden, pro Gut,</w:t>
      </w:r>
    </w:p>
    <w:p w14:paraId="404D7FCB" w14:textId="77777777" w:rsidR="00907C03" w:rsidRPr="00907C03" w:rsidRDefault="00907C03" w:rsidP="00907C03">
      <w:pPr>
        <w:autoSpaceDE w:val="0"/>
        <w:autoSpaceDN w:val="0"/>
        <w:adjustRightInd w:val="0"/>
        <w:jc w:val="both"/>
        <w:rPr>
          <w:iCs/>
          <w:sz w:val="20"/>
          <w:szCs w:val="20"/>
        </w:rPr>
      </w:pPr>
    </w:p>
    <w:p w14:paraId="782C5F71" w14:textId="77777777" w:rsidR="00907C03" w:rsidRPr="00907C03" w:rsidRDefault="00907C03" w:rsidP="00907C03">
      <w:pPr>
        <w:autoSpaceDE w:val="0"/>
        <w:autoSpaceDN w:val="0"/>
        <w:adjustRightInd w:val="0"/>
        <w:jc w:val="both"/>
        <w:rPr>
          <w:iCs/>
          <w:sz w:val="20"/>
          <w:szCs w:val="20"/>
        </w:rPr>
      </w:pPr>
      <w:r w:rsidRPr="00907C03">
        <w:rPr>
          <w:i/>
          <w:iCs/>
          <w:sz w:val="20"/>
          <w:szCs w:val="20"/>
        </w:rPr>
        <w:t>d)</w:t>
      </w:r>
      <w:r w:rsidRPr="00907C03">
        <w:rPr>
          <w:iCs/>
          <w:sz w:val="20"/>
          <w:szCs w:val="20"/>
        </w:rPr>
        <w:t> wenn der Steuerpflichtige eine natürliche Person ist, Teil der in Buchstabe </w:t>
      </w:r>
      <w:r w:rsidRPr="00907C03">
        <w:rPr>
          <w:i/>
          <w:iCs/>
          <w:sz w:val="20"/>
          <w:szCs w:val="20"/>
        </w:rPr>
        <w:t>c)</w:t>
      </w:r>
      <w:r w:rsidRPr="00907C03">
        <w:rPr>
          <w:iCs/>
          <w:sz w:val="20"/>
          <w:szCs w:val="20"/>
        </w:rPr>
        <w:t xml:space="preserve"> erwähnten Beträge, die als tatsächliche Werbungskosten abgezogen wurden,</w:t>
      </w:r>
    </w:p>
    <w:p w14:paraId="595663F1" w14:textId="77777777" w:rsidR="00907C03" w:rsidRPr="00907C03" w:rsidRDefault="00907C03" w:rsidP="00907C03">
      <w:pPr>
        <w:autoSpaceDE w:val="0"/>
        <w:autoSpaceDN w:val="0"/>
        <w:adjustRightInd w:val="0"/>
        <w:jc w:val="both"/>
        <w:rPr>
          <w:iCs/>
          <w:sz w:val="20"/>
          <w:szCs w:val="20"/>
        </w:rPr>
      </w:pPr>
    </w:p>
    <w:p w14:paraId="6244F1FC" w14:textId="77777777" w:rsidR="00907C03" w:rsidRPr="00907C03" w:rsidRDefault="00907C03" w:rsidP="00907C03">
      <w:pPr>
        <w:autoSpaceDE w:val="0"/>
        <w:autoSpaceDN w:val="0"/>
        <w:adjustRightInd w:val="0"/>
        <w:jc w:val="both"/>
        <w:rPr>
          <w:iCs/>
          <w:sz w:val="20"/>
          <w:szCs w:val="20"/>
        </w:rPr>
      </w:pPr>
      <w:r w:rsidRPr="00907C03">
        <w:rPr>
          <w:i/>
          <w:iCs/>
          <w:sz w:val="20"/>
          <w:szCs w:val="20"/>
        </w:rPr>
        <w:t>e)</w:t>
      </w:r>
      <w:r w:rsidRPr="00907C03">
        <w:rPr>
          <w:iCs/>
          <w:sz w:val="20"/>
          <w:szCs w:val="20"/>
        </w:rPr>
        <w:t> wenn der Steuerpflichtige der Gesellschaftssteuer unterliegt oder ein in Artikel 227 Nr. 2 erwähnter Steuerpflichtiger ist, Betrag der Mietvergütungen und der Vergütungen für ein Erbbaurecht, ein Erbpachtrecht oder ein anderes dingliches Gebrauchsrechts an einem unbeweglichen Gut, die im betreffenden Besteuerungszeitraum als Werbungskosten abgezogen wurden.</w:t>
      </w:r>
    </w:p>
    <w:p w14:paraId="0A043DCC" w14:textId="77777777" w:rsidR="00907C03" w:rsidRPr="00907C03" w:rsidRDefault="00907C03" w:rsidP="00907C03">
      <w:pPr>
        <w:autoSpaceDE w:val="0"/>
        <w:autoSpaceDN w:val="0"/>
        <w:adjustRightInd w:val="0"/>
        <w:jc w:val="both"/>
        <w:rPr>
          <w:iCs/>
          <w:sz w:val="20"/>
          <w:szCs w:val="20"/>
        </w:rPr>
      </w:pPr>
    </w:p>
    <w:p w14:paraId="667F0D49" w14:textId="77777777" w:rsidR="00907C03" w:rsidRPr="00907C03" w:rsidRDefault="00907C03" w:rsidP="00907C03">
      <w:pPr>
        <w:autoSpaceDE w:val="0"/>
        <w:autoSpaceDN w:val="0"/>
        <w:adjustRightInd w:val="0"/>
        <w:jc w:val="both"/>
        <w:rPr>
          <w:iCs/>
          <w:sz w:val="20"/>
          <w:szCs w:val="20"/>
        </w:rPr>
      </w:pPr>
      <w:r w:rsidRPr="00907C03">
        <w:rPr>
          <w:iCs/>
          <w:sz w:val="20"/>
          <w:szCs w:val="20"/>
        </w:rPr>
        <w:t>Die in Absatz 1 Buchstabe </w:t>
      </w:r>
      <w:r w:rsidRPr="00907C03">
        <w:rPr>
          <w:i/>
          <w:iCs/>
          <w:sz w:val="20"/>
          <w:szCs w:val="20"/>
        </w:rPr>
        <w:t>a)</w:t>
      </w:r>
      <w:r w:rsidRPr="00907C03">
        <w:rPr>
          <w:iCs/>
          <w:sz w:val="20"/>
          <w:szCs w:val="20"/>
        </w:rPr>
        <w:t xml:space="preserve"> erwähnten Identifizierungsdaten sind:</w:t>
      </w:r>
    </w:p>
    <w:p w14:paraId="332D8C0D" w14:textId="77777777" w:rsidR="00907C03" w:rsidRPr="00907C03" w:rsidRDefault="00907C03" w:rsidP="00907C03">
      <w:pPr>
        <w:autoSpaceDE w:val="0"/>
        <w:autoSpaceDN w:val="0"/>
        <w:adjustRightInd w:val="0"/>
        <w:jc w:val="both"/>
        <w:rPr>
          <w:iCs/>
          <w:sz w:val="20"/>
          <w:szCs w:val="20"/>
        </w:rPr>
      </w:pPr>
    </w:p>
    <w:p w14:paraId="7562A317" w14:textId="77777777" w:rsidR="00907C03" w:rsidRPr="00907C03" w:rsidRDefault="00907C03" w:rsidP="00907C03">
      <w:pPr>
        <w:autoSpaceDE w:val="0"/>
        <w:autoSpaceDN w:val="0"/>
        <w:adjustRightInd w:val="0"/>
        <w:jc w:val="both"/>
        <w:rPr>
          <w:iCs/>
          <w:sz w:val="20"/>
          <w:szCs w:val="20"/>
        </w:rPr>
      </w:pPr>
      <w:r w:rsidRPr="00907C03">
        <w:rPr>
          <w:i/>
          <w:iCs/>
          <w:sz w:val="20"/>
          <w:szCs w:val="20"/>
        </w:rPr>
        <w:t>a)</w:t>
      </w:r>
      <w:r w:rsidRPr="00907C03">
        <w:rPr>
          <w:iCs/>
          <w:sz w:val="20"/>
          <w:szCs w:val="20"/>
        </w:rPr>
        <w:t> wenn eine natürliche Person betroffen ist:</w:t>
      </w:r>
    </w:p>
    <w:p w14:paraId="6417976C" w14:textId="77777777" w:rsidR="00907C03" w:rsidRPr="00907C03" w:rsidRDefault="00907C03" w:rsidP="00907C03">
      <w:pPr>
        <w:autoSpaceDE w:val="0"/>
        <w:autoSpaceDN w:val="0"/>
        <w:adjustRightInd w:val="0"/>
        <w:jc w:val="both"/>
        <w:rPr>
          <w:iCs/>
          <w:sz w:val="20"/>
          <w:szCs w:val="20"/>
        </w:rPr>
      </w:pPr>
    </w:p>
    <w:p w14:paraId="781903FD" w14:textId="77777777" w:rsidR="00907C03" w:rsidRPr="00907C03" w:rsidRDefault="00907C03" w:rsidP="00907C03">
      <w:pPr>
        <w:autoSpaceDE w:val="0"/>
        <w:autoSpaceDN w:val="0"/>
        <w:adjustRightInd w:val="0"/>
        <w:jc w:val="both"/>
        <w:rPr>
          <w:iCs/>
          <w:sz w:val="20"/>
          <w:szCs w:val="20"/>
        </w:rPr>
      </w:pPr>
      <w:r w:rsidRPr="00907C03">
        <w:rPr>
          <w:iCs/>
          <w:sz w:val="20"/>
          <w:szCs w:val="20"/>
        </w:rPr>
        <w:t>- Name, Vorname und vollständige Adresse,</w:t>
      </w:r>
    </w:p>
    <w:p w14:paraId="72BB077B" w14:textId="77777777" w:rsidR="00907C03" w:rsidRPr="00907C03" w:rsidRDefault="00907C03" w:rsidP="00907C03">
      <w:pPr>
        <w:autoSpaceDE w:val="0"/>
        <w:autoSpaceDN w:val="0"/>
        <w:adjustRightInd w:val="0"/>
        <w:jc w:val="both"/>
        <w:rPr>
          <w:iCs/>
          <w:sz w:val="20"/>
          <w:szCs w:val="20"/>
        </w:rPr>
      </w:pPr>
    </w:p>
    <w:p w14:paraId="0C1ADC38" w14:textId="77777777" w:rsidR="00907C03" w:rsidRPr="00907C03" w:rsidRDefault="00907C03" w:rsidP="00907C03">
      <w:pPr>
        <w:autoSpaceDE w:val="0"/>
        <w:autoSpaceDN w:val="0"/>
        <w:adjustRightInd w:val="0"/>
        <w:jc w:val="both"/>
        <w:rPr>
          <w:iCs/>
          <w:sz w:val="20"/>
          <w:szCs w:val="20"/>
        </w:rPr>
      </w:pPr>
      <w:r w:rsidRPr="00907C03">
        <w:rPr>
          <w:iCs/>
          <w:sz w:val="20"/>
          <w:szCs w:val="20"/>
        </w:rPr>
        <w:lastRenderedPageBreak/>
        <w:t>- gegebenenfalls Erkennungsnummer des Nationalregisters oder des Warteregisters,</w:t>
      </w:r>
    </w:p>
    <w:p w14:paraId="7D7EFE6C" w14:textId="77777777" w:rsidR="00907C03" w:rsidRPr="00907C03" w:rsidRDefault="00907C03" w:rsidP="00907C03">
      <w:pPr>
        <w:autoSpaceDE w:val="0"/>
        <w:autoSpaceDN w:val="0"/>
        <w:adjustRightInd w:val="0"/>
        <w:jc w:val="both"/>
        <w:rPr>
          <w:iCs/>
          <w:sz w:val="20"/>
          <w:szCs w:val="20"/>
        </w:rPr>
      </w:pPr>
    </w:p>
    <w:p w14:paraId="0BF36A47" w14:textId="77777777" w:rsidR="00907C03" w:rsidRPr="00907C03" w:rsidRDefault="00907C03" w:rsidP="00907C03">
      <w:pPr>
        <w:autoSpaceDE w:val="0"/>
        <w:autoSpaceDN w:val="0"/>
        <w:adjustRightInd w:val="0"/>
        <w:jc w:val="both"/>
        <w:rPr>
          <w:iCs/>
          <w:sz w:val="20"/>
          <w:szCs w:val="20"/>
        </w:rPr>
      </w:pPr>
      <w:r w:rsidRPr="00907C03">
        <w:rPr>
          <w:iCs/>
          <w:sz w:val="20"/>
          <w:szCs w:val="20"/>
        </w:rPr>
        <w:t>- gegebenenfalls Erkennungsnummer der Zentralen Datenbank der Unternehmen,</w:t>
      </w:r>
    </w:p>
    <w:p w14:paraId="1440CEC8" w14:textId="77777777" w:rsidR="00907C03" w:rsidRPr="00907C03" w:rsidRDefault="00907C03" w:rsidP="00907C03">
      <w:pPr>
        <w:autoSpaceDE w:val="0"/>
        <w:autoSpaceDN w:val="0"/>
        <w:adjustRightInd w:val="0"/>
        <w:jc w:val="both"/>
        <w:rPr>
          <w:iCs/>
          <w:sz w:val="20"/>
          <w:szCs w:val="20"/>
        </w:rPr>
      </w:pPr>
    </w:p>
    <w:p w14:paraId="15498FD9" w14:textId="77777777" w:rsidR="00907C03" w:rsidRPr="00907C03" w:rsidRDefault="00907C03" w:rsidP="00907C03">
      <w:pPr>
        <w:autoSpaceDE w:val="0"/>
        <w:autoSpaceDN w:val="0"/>
        <w:adjustRightInd w:val="0"/>
        <w:jc w:val="both"/>
        <w:rPr>
          <w:iCs/>
          <w:sz w:val="20"/>
          <w:szCs w:val="20"/>
        </w:rPr>
      </w:pPr>
      <w:r w:rsidRPr="00907C03">
        <w:rPr>
          <w:i/>
          <w:iCs/>
          <w:sz w:val="20"/>
          <w:szCs w:val="20"/>
        </w:rPr>
        <w:t>b)</w:t>
      </w:r>
      <w:r w:rsidRPr="00907C03">
        <w:rPr>
          <w:iCs/>
          <w:sz w:val="20"/>
          <w:szCs w:val="20"/>
        </w:rPr>
        <w:t> wenn eine juristische Person betroffen ist:</w:t>
      </w:r>
    </w:p>
    <w:p w14:paraId="42202C5B" w14:textId="77777777" w:rsidR="00907C03" w:rsidRPr="00907C03" w:rsidRDefault="00907C03" w:rsidP="00907C03">
      <w:pPr>
        <w:autoSpaceDE w:val="0"/>
        <w:autoSpaceDN w:val="0"/>
        <w:adjustRightInd w:val="0"/>
        <w:jc w:val="both"/>
        <w:rPr>
          <w:iCs/>
          <w:sz w:val="20"/>
          <w:szCs w:val="20"/>
        </w:rPr>
      </w:pPr>
    </w:p>
    <w:p w14:paraId="6752858F" w14:textId="77777777" w:rsidR="00907C03" w:rsidRPr="00907C03" w:rsidRDefault="00907C03" w:rsidP="00907C03">
      <w:pPr>
        <w:autoSpaceDE w:val="0"/>
        <w:autoSpaceDN w:val="0"/>
        <w:adjustRightInd w:val="0"/>
        <w:jc w:val="both"/>
        <w:rPr>
          <w:iCs/>
          <w:sz w:val="20"/>
          <w:szCs w:val="20"/>
        </w:rPr>
      </w:pPr>
      <w:r w:rsidRPr="00907C03">
        <w:rPr>
          <w:iCs/>
          <w:sz w:val="20"/>
          <w:szCs w:val="20"/>
        </w:rPr>
        <w:t>- Bezeichnung, vollständige Adresse des Gesellschaftssitzes,</w:t>
      </w:r>
    </w:p>
    <w:p w14:paraId="63DAAB5E" w14:textId="77777777" w:rsidR="00907C03" w:rsidRPr="00907C03" w:rsidRDefault="00907C03" w:rsidP="00907C03">
      <w:pPr>
        <w:autoSpaceDE w:val="0"/>
        <w:autoSpaceDN w:val="0"/>
        <w:adjustRightInd w:val="0"/>
        <w:jc w:val="both"/>
        <w:rPr>
          <w:iCs/>
          <w:sz w:val="20"/>
          <w:szCs w:val="20"/>
        </w:rPr>
      </w:pPr>
    </w:p>
    <w:p w14:paraId="56ED2EFB" w14:textId="77777777" w:rsidR="00907C03" w:rsidRPr="00907C03" w:rsidRDefault="00907C03" w:rsidP="00907C03">
      <w:pPr>
        <w:autoSpaceDE w:val="0"/>
        <w:autoSpaceDN w:val="0"/>
        <w:adjustRightInd w:val="0"/>
        <w:jc w:val="both"/>
        <w:rPr>
          <w:iCs/>
          <w:sz w:val="20"/>
          <w:szCs w:val="20"/>
        </w:rPr>
      </w:pPr>
      <w:r w:rsidRPr="00907C03">
        <w:rPr>
          <w:iCs/>
          <w:sz w:val="20"/>
          <w:szCs w:val="20"/>
        </w:rPr>
        <w:t>- gegebenenfalls Erkennungsnummer der Zentralen Datenbank der Unternehmen.</w:t>
      </w:r>
    </w:p>
    <w:p w14:paraId="64303A5C" w14:textId="77777777" w:rsidR="00907C03" w:rsidRPr="00907C03" w:rsidRDefault="00907C03" w:rsidP="00907C03">
      <w:pPr>
        <w:autoSpaceDE w:val="0"/>
        <w:autoSpaceDN w:val="0"/>
        <w:adjustRightInd w:val="0"/>
        <w:jc w:val="both"/>
        <w:rPr>
          <w:iCs/>
          <w:sz w:val="20"/>
          <w:szCs w:val="20"/>
        </w:rPr>
      </w:pPr>
    </w:p>
    <w:p w14:paraId="293BB9D5" w14:textId="77777777" w:rsidR="00907C03" w:rsidRPr="00907C03" w:rsidRDefault="00907C03" w:rsidP="00907C03">
      <w:pPr>
        <w:autoSpaceDE w:val="0"/>
        <w:autoSpaceDN w:val="0"/>
        <w:adjustRightInd w:val="0"/>
        <w:jc w:val="both"/>
        <w:rPr>
          <w:iCs/>
          <w:sz w:val="20"/>
          <w:szCs w:val="20"/>
        </w:rPr>
      </w:pPr>
      <w:r w:rsidRPr="00907C03">
        <w:rPr>
          <w:iCs/>
          <w:sz w:val="20"/>
          <w:szCs w:val="20"/>
        </w:rPr>
        <w:t>Für die Anwendung des vorliegenden Paragraphen versteht man unter:</w:t>
      </w:r>
    </w:p>
    <w:p w14:paraId="7354F51F" w14:textId="77777777" w:rsidR="00907C03" w:rsidRPr="00907C03" w:rsidRDefault="00907C03" w:rsidP="00907C03">
      <w:pPr>
        <w:autoSpaceDE w:val="0"/>
        <w:autoSpaceDN w:val="0"/>
        <w:adjustRightInd w:val="0"/>
        <w:jc w:val="both"/>
        <w:rPr>
          <w:iCs/>
          <w:sz w:val="20"/>
          <w:szCs w:val="20"/>
        </w:rPr>
      </w:pPr>
    </w:p>
    <w:p w14:paraId="1D4C90D0" w14:textId="77777777" w:rsidR="00907C03" w:rsidRPr="00907C03" w:rsidRDefault="00907C03" w:rsidP="00907C03">
      <w:pPr>
        <w:autoSpaceDE w:val="0"/>
        <w:autoSpaceDN w:val="0"/>
        <w:adjustRightInd w:val="0"/>
        <w:jc w:val="both"/>
        <w:rPr>
          <w:iCs/>
          <w:sz w:val="20"/>
          <w:szCs w:val="20"/>
        </w:rPr>
      </w:pPr>
      <w:r w:rsidRPr="00907C03">
        <w:rPr>
          <w:iCs/>
          <w:sz w:val="20"/>
          <w:szCs w:val="20"/>
        </w:rPr>
        <w:t>- Vermieter: die Person, der die in Artikel 1719 des Zivilgesetzbuches erwähnten Verpflichtungen obliegen,</w:t>
      </w:r>
    </w:p>
    <w:p w14:paraId="1D5C3A6E" w14:textId="77777777" w:rsidR="00907C03" w:rsidRPr="00907C03" w:rsidRDefault="00907C03" w:rsidP="00907C03">
      <w:pPr>
        <w:autoSpaceDE w:val="0"/>
        <w:autoSpaceDN w:val="0"/>
        <w:adjustRightInd w:val="0"/>
        <w:jc w:val="both"/>
        <w:rPr>
          <w:iCs/>
          <w:sz w:val="20"/>
          <w:szCs w:val="20"/>
        </w:rPr>
      </w:pPr>
    </w:p>
    <w:p w14:paraId="763A50A5" w14:textId="77777777" w:rsidR="00907C03" w:rsidRPr="00907C03" w:rsidRDefault="00907C03" w:rsidP="00907C03">
      <w:pPr>
        <w:autoSpaceDE w:val="0"/>
        <w:autoSpaceDN w:val="0"/>
        <w:adjustRightInd w:val="0"/>
        <w:jc w:val="both"/>
        <w:rPr>
          <w:iCs/>
          <w:sz w:val="20"/>
          <w:szCs w:val="20"/>
        </w:rPr>
      </w:pPr>
      <w:r w:rsidRPr="00907C03">
        <w:rPr>
          <w:iCs/>
          <w:sz w:val="20"/>
          <w:szCs w:val="20"/>
        </w:rPr>
        <w:t>- Mietvergütungen: den Mietpreis und die Mietvorteile, die dem Vermieter gewährt werden,</w:t>
      </w:r>
    </w:p>
    <w:p w14:paraId="3634BD1B" w14:textId="77777777" w:rsidR="00907C03" w:rsidRPr="00907C03" w:rsidRDefault="00907C03" w:rsidP="00907C03">
      <w:pPr>
        <w:autoSpaceDE w:val="0"/>
        <w:autoSpaceDN w:val="0"/>
        <w:adjustRightInd w:val="0"/>
        <w:jc w:val="both"/>
        <w:rPr>
          <w:iCs/>
          <w:sz w:val="20"/>
          <w:szCs w:val="20"/>
        </w:rPr>
      </w:pPr>
    </w:p>
    <w:p w14:paraId="204795B1" w14:textId="77777777" w:rsidR="00907C03" w:rsidRPr="00907C03" w:rsidRDefault="00907C03" w:rsidP="00907C03">
      <w:pPr>
        <w:autoSpaceDE w:val="0"/>
        <w:autoSpaceDN w:val="0"/>
        <w:adjustRightInd w:val="0"/>
        <w:jc w:val="both"/>
        <w:rPr>
          <w:iCs/>
          <w:sz w:val="20"/>
          <w:szCs w:val="20"/>
        </w:rPr>
      </w:pPr>
      <w:r w:rsidRPr="00907C03">
        <w:rPr>
          <w:iCs/>
          <w:sz w:val="20"/>
          <w:szCs w:val="20"/>
        </w:rPr>
        <w:t>- Vergütungen für ein Erbbaurecht, ein Erbpachtrecht oder ein anderes dingliches Gebrauchsrecht an einem unbeweglichen Gut: die eigentlichen Vergütungen für dieses Erbbaurecht, dieses Erbpachtrecht oder dieses andere dingliche Gebrauchsrecht sowie alle anderen Vorteile, die dem Zedenten des dinglichen Gebrauchsrechts aufgrund dieses Rechts gewährt werden.</w:t>
      </w:r>
    </w:p>
    <w:p w14:paraId="75467BD1" w14:textId="77777777" w:rsidR="00907C03" w:rsidRPr="00907C03" w:rsidRDefault="00907C03" w:rsidP="00907C03">
      <w:pPr>
        <w:autoSpaceDE w:val="0"/>
        <w:autoSpaceDN w:val="0"/>
        <w:adjustRightInd w:val="0"/>
        <w:jc w:val="both"/>
        <w:rPr>
          <w:iCs/>
          <w:sz w:val="20"/>
          <w:szCs w:val="20"/>
        </w:rPr>
      </w:pPr>
    </w:p>
    <w:p w14:paraId="2C08FCEF" w14:textId="77777777" w:rsidR="00907C03" w:rsidRPr="00907C03" w:rsidRDefault="00907C03" w:rsidP="00907C03">
      <w:pPr>
        <w:autoSpaceDE w:val="0"/>
        <w:autoSpaceDN w:val="0"/>
        <w:adjustRightInd w:val="0"/>
        <w:jc w:val="both"/>
        <w:rPr>
          <w:iCs/>
          <w:sz w:val="20"/>
          <w:szCs w:val="20"/>
        </w:rPr>
      </w:pPr>
      <w:r w:rsidRPr="00907C03">
        <w:rPr>
          <w:iCs/>
          <w:sz w:val="20"/>
          <w:szCs w:val="20"/>
        </w:rPr>
        <w:t>Vorliegender Paragraph ist nicht auf Mietvergütungen und Vergütungen für ein Erbbaurecht, ein Erbpachtrecht oder ein anderes dingliches Gebrauchsrecht an einem unbeweglichen Gut anwendbar, die im Zusammenhang mit Lieferungen von Gütern oder Dienstleistungen stehen, die von einem Steuerpflichtigen bewirkt werden, der im Gebiet der Gemeinschaft im Sinne von Artikel 1 § 2 Nr. 2 des Mehrwertsteuergesetzbuches oder in Norwegen, Island oder Liechtenstein ansässig ist, und für die gemäß dem Mehrwertsteuergesetzbuch, der Richtlinie 2006/112/EG des Rates vom 28. November 2006 über das gemeinsame Mehrwertsteuersystem oder jeder anderen auf den Steuerpflichtigen anwendbaren Gesetzes- oder Verordnungsbestimmung eine Rechnung oder ein gleichwertiges Dokument ausgestellt worden ist.</w:t>
      </w:r>
    </w:p>
    <w:p w14:paraId="6FDC27FA" w14:textId="77777777" w:rsidR="00907C03" w:rsidRPr="00907C03" w:rsidRDefault="00907C03" w:rsidP="00907C03">
      <w:pPr>
        <w:autoSpaceDE w:val="0"/>
        <w:autoSpaceDN w:val="0"/>
        <w:adjustRightInd w:val="0"/>
        <w:jc w:val="both"/>
        <w:rPr>
          <w:iCs/>
          <w:sz w:val="20"/>
          <w:szCs w:val="20"/>
        </w:rPr>
      </w:pPr>
    </w:p>
    <w:p w14:paraId="6BF682C6" w14:textId="77777777" w:rsidR="00907C03" w:rsidRPr="00907C03" w:rsidRDefault="00907C03" w:rsidP="00907C03">
      <w:pPr>
        <w:autoSpaceDE w:val="0"/>
        <w:autoSpaceDN w:val="0"/>
        <w:adjustRightInd w:val="0"/>
        <w:jc w:val="both"/>
        <w:rPr>
          <w:iCs/>
          <w:sz w:val="20"/>
          <w:szCs w:val="20"/>
        </w:rPr>
      </w:pPr>
      <w:r w:rsidRPr="00907C03">
        <w:rPr>
          <w:iCs/>
          <w:sz w:val="20"/>
          <w:szCs w:val="20"/>
        </w:rPr>
        <w:t>Das Muster der in Absatz 1 erwähnten Anlage wird vom Minister der Finanzen oder von seinem Beauftragten festgelegt.</w:t>
      </w:r>
    </w:p>
    <w:p w14:paraId="6B03E7EE" w14:textId="77777777" w:rsidR="00907C03" w:rsidRPr="00907C03" w:rsidRDefault="00907C03" w:rsidP="00907C03">
      <w:pPr>
        <w:autoSpaceDE w:val="0"/>
        <w:autoSpaceDN w:val="0"/>
        <w:adjustRightInd w:val="0"/>
        <w:jc w:val="both"/>
        <w:rPr>
          <w:iCs/>
          <w:sz w:val="20"/>
          <w:szCs w:val="20"/>
        </w:rPr>
      </w:pPr>
    </w:p>
    <w:p w14:paraId="0FE574FF" w14:textId="77777777" w:rsidR="00907C03" w:rsidRPr="00907C03" w:rsidRDefault="00907C03" w:rsidP="00907C03">
      <w:pPr>
        <w:autoSpaceDE w:val="0"/>
        <w:autoSpaceDN w:val="0"/>
        <w:adjustRightInd w:val="0"/>
        <w:jc w:val="both"/>
        <w:rPr>
          <w:iCs/>
          <w:sz w:val="20"/>
          <w:szCs w:val="20"/>
        </w:rPr>
      </w:pPr>
      <w:r w:rsidRPr="00907C03">
        <w:rPr>
          <w:iCs/>
          <w:sz w:val="20"/>
          <w:szCs w:val="20"/>
        </w:rPr>
        <w:t>Die betreffenden Steuerpflichtigen sind ausschließlich zum Zwecke der Einhaltung der Verpflichtungen des vorliegenden Paragraphen ermächtigt, die Erkennungsnummer des Nationalregisters der natürlichen Personen oder des Warteregisters zu benutzen, um Vermieter oder Personen, die ein Erbbaurecht, ein Erbpachtrecht oder ein anderes dingliches Gebrauchsrecht einräumen, zu identifizieren. Diese Nummer wird nicht länger als für die in den Artikeln 315 und 315</w:t>
      </w:r>
      <w:r w:rsidRPr="00907C03">
        <w:rPr>
          <w:i/>
          <w:iCs/>
          <w:sz w:val="20"/>
          <w:szCs w:val="20"/>
        </w:rPr>
        <w:t>bis</w:t>
      </w:r>
      <w:r w:rsidRPr="00907C03">
        <w:rPr>
          <w:iCs/>
          <w:sz w:val="20"/>
          <w:szCs w:val="20"/>
        </w:rPr>
        <w:t xml:space="preserve"> vorgesehene Dauer aufbewahrt.]</w:t>
      </w:r>
    </w:p>
    <w:p w14:paraId="70C624E3" w14:textId="77777777" w:rsidR="00907C03" w:rsidRPr="00907C03" w:rsidRDefault="00907C03" w:rsidP="00907C03">
      <w:pPr>
        <w:autoSpaceDE w:val="0"/>
        <w:autoSpaceDN w:val="0"/>
        <w:adjustRightInd w:val="0"/>
        <w:jc w:val="both"/>
        <w:rPr>
          <w:iCs/>
          <w:sz w:val="20"/>
          <w:szCs w:val="20"/>
        </w:rPr>
      </w:pPr>
    </w:p>
    <w:p w14:paraId="7C8218E3" w14:textId="4FAE7B76" w:rsidR="00907C03" w:rsidRPr="00907C03" w:rsidRDefault="00907C03" w:rsidP="00907C03">
      <w:pPr>
        <w:autoSpaceDE w:val="0"/>
        <w:autoSpaceDN w:val="0"/>
        <w:adjustRightInd w:val="0"/>
        <w:jc w:val="both"/>
        <w:rPr>
          <w:iCs/>
          <w:sz w:val="20"/>
          <w:szCs w:val="20"/>
        </w:rPr>
      </w:pPr>
      <w:r w:rsidRPr="00907C03">
        <w:rPr>
          <w:iCs/>
          <w:sz w:val="20"/>
          <w:szCs w:val="20"/>
        </w:rPr>
        <w:t>§ 3 - Abschriften müssen für gleich lautend erklärt werden mit den Originalen; andere Anlagen der Erklärung müssen für richtig bescheinigt, datiert und unterzeichnet werden, außer wenn sie von Dritten ausgehen.</w:t>
      </w:r>
    </w:p>
    <w:p w14:paraId="2601C98F" w14:textId="77777777" w:rsidR="00907C03" w:rsidRPr="00907C03" w:rsidRDefault="00907C03" w:rsidP="00907C03">
      <w:pPr>
        <w:autoSpaceDE w:val="0"/>
        <w:autoSpaceDN w:val="0"/>
        <w:adjustRightInd w:val="0"/>
        <w:jc w:val="both"/>
        <w:rPr>
          <w:iCs/>
          <w:sz w:val="20"/>
          <w:szCs w:val="20"/>
        </w:rPr>
      </w:pPr>
    </w:p>
    <w:p w14:paraId="2D9E27A0" w14:textId="73C331C9" w:rsidR="00907C03" w:rsidRPr="00907C03" w:rsidRDefault="00907C03" w:rsidP="00907C03">
      <w:pPr>
        <w:autoSpaceDE w:val="0"/>
        <w:autoSpaceDN w:val="0"/>
        <w:adjustRightInd w:val="0"/>
        <w:jc w:val="both"/>
        <w:rPr>
          <w:iCs/>
          <w:sz w:val="20"/>
          <w:szCs w:val="20"/>
        </w:rPr>
      </w:pPr>
      <w:r w:rsidRPr="00907C03">
        <w:rPr>
          <w:iCs/>
          <w:sz w:val="20"/>
          <w:szCs w:val="20"/>
        </w:rPr>
        <w:t>[Nomenklatur und Muster der in Absatz 1 erwähnten Unterlagen, Aufstellungen und Auskünfte werden nach Absprache mit den repräsentativsten Organisationen von Industrie, Landwirtschaft, Handel und Handwerk und den repräsentativsten Arbeitnehmerorganisationen festgelegt.]</w:t>
      </w:r>
    </w:p>
    <w:p w14:paraId="2762F334" w14:textId="77777777" w:rsidR="00907C03" w:rsidRPr="00907C03" w:rsidRDefault="00907C03" w:rsidP="00907C03">
      <w:pPr>
        <w:autoSpaceDE w:val="0"/>
        <w:autoSpaceDN w:val="0"/>
        <w:adjustRightInd w:val="0"/>
        <w:jc w:val="both"/>
        <w:rPr>
          <w:iCs/>
          <w:sz w:val="20"/>
          <w:szCs w:val="20"/>
        </w:rPr>
      </w:pPr>
    </w:p>
    <w:p w14:paraId="1A18CFB6" w14:textId="62C472D2" w:rsidR="00907C03" w:rsidRPr="00907C03" w:rsidRDefault="00907C03" w:rsidP="00907C03">
      <w:pPr>
        <w:autoSpaceDE w:val="0"/>
        <w:autoSpaceDN w:val="0"/>
        <w:adjustRightInd w:val="0"/>
        <w:jc w:val="both"/>
        <w:rPr>
          <w:iCs/>
          <w:sz w:val="20"/>
          <w:szCs w:val="20"/>
        </w:rPr>
      </w:pPr>
      <w:r w:rsidRPr="00907C03">
        <w:rPr>
          <w:iCs/>
          <w:sz w:val="20"/>
          <w:szCs w:val="20"/>
        </w:rPr>
        <w:t xml:space="preserve">§ 4 - [Die Erklärung muss </w:t>
      </w:r>
      <w:r w:rsidR="004F3870">
        <w:rPr>
          <w:iCs/>
          <w:sz w:val="20"/>
          <w:szCs w:val="20"/>
        </w:rPr>
        <w:t>[</w:t>
      </w:r>
      <w:r w:rsidR="004F3870" w:rsidRPr="004F3870">
        <w:rPr>
          <w:iCs/>
          <w:sz w:val="20"/>
          <w:szCs w:val="20"/>
        </w:rPr>
        <w:t>dem auf dem Formular angegebenen Dienst übermittelt werden</w:t>
      </w:r>
      <w:r w:rsidR="004F3870">
        <w:rPr>
          <w:iCs/>
          <w:sz w:val="20"/>
          <w:szCs w:val="20"/>
        </w:rPr>
        <w:t>]</w:t>
      </w:r>
      <w:r w:rsidRPr="00907C03">
        <w:rPr>
          <w:iCs/>
          <w:sz w:val="20"/>
          <w:szCs w:val="20"/>
        </w:rPr>
        <w:t xml:space="preserve">. Die Erklärung zur Steuer der natürlichen Personen muss </w:t>
      </w:r>
      <w:r w:rsidR="004F3870">
        <w:rPr>
          <w:iCs/>
          <w:sz w:val="20"/>
          <w:szCs w:val="20"/>
        </w:rPr>
        <w:t>[</w:t>
      </w:r>
      <w:r w:rsidR="004F3870" w:rsidRPr="004F3870">
        <w:rPr>
          <w:iCs/>
          <w:sz w:val="20"/>
          <w:szCs w:val="20"/>
        </w:rPr>
        <w:t>dem auf dem Formular angegebenen Dienst übermittelt werden</w:t>
      </w:r>
      <w:r w:rsidR="004F3870">
        <w:rPr>
          <w:iCs/>
          <w:sz w:val="20"/>
          <w:szCs w:val="20"/>
        </w:rPr>
        <w:t>]</w:t>
      </w:r>
      <w:r w:rsidRPr="00907C03">
        <w:rPr>
          <w:iCs/>
          <w:sz w:val="20"/>
          <w:szCs w:val="20"/>
        </w:rPr>
        <w:t>.]</w:t>
      </w:r>
    </w:p>
    <w:p w14:paraId="44E526F9" w14:textId="77777777" w:rsidR="00907C03" w:rsidRPr="00907C03" w:rsidRDefault="00907C03" w:rsidP="00907C03">
      <w:pPr>
        <w:autoSpaceDE w:val="0"/>
        <w:autoSpaceDN w:val="0"/>
        <w:adjustRightInd w:val="0"/>
        <w:jc w:val="both"/>
        <w:rPr>
          <w:iCs/>
          <w:sz w:val="20"/>
          <w:szCs w:val="20"/>
        </w:rPr>
      </w:pPr>
    </w:p>
    <w:p w14:paraId="2614FE98" w14:textId="7816F875" w:rsidR="00907C03" w:rsidRPr="00907C03" w:rsidRDefault="00907C03" w:rsidP="00907C03">
      <w:pPr>
        <w:autoSpaceDE w:val="0"/>
        <w:autoSpaceDN w:val="0"/>
        <w:adjustRightInd w:val="0"/>
        <w:jc w:val="both"/>
        <w:rPr>
          <w:iCs/>
          <w:sz w:val="20"/>
          <w:szCs w:val="20"/>
        </w:rPr>
      </w:pPr>
      <w:r w:rsidRPr="00907C03">
        <w:rPr>
          <w:iCs/>
          <w:sz w:val="20"/>
          <w:szCs w:val="20"/>
        </w:rPr>
        <w:t>[§ 5 - </w:t>
      </w:r>
      <w:r w:rsidR="004F3870">
        <w:rPr>
          <w:iCs/>
          <w:sz w:val="20"/>
          <w:szCs w:val="20"/>
        </w:rPr>
        <w:t>[...]</w:t>
      </w:r>
      <w:r w:rsidRPr="00907C03">
        <w:rPr>
          <w:iCs/>
          <w:sz w:val="20"/>
          <w:szCs w:val="20"/>
        </w:rPr>
        <w:t>]</w:t>
      </w:r>
    </w:p>
    <w:p w14:paraId="0E77C26C" w14:textId="77777777" w:rsidR="00907C03" w:rsidRPr="00907C03" w:rsidRDefault="00907C03" w:rsidP="00907C03">
      <w:pPr>
        <w:autoSpaceDE w:val="0"/>
        <w:autoSpaceDN w:val="0"/>
        <w:adjustRightInd w:val="0"/>
        <w:jc w:val="both"/>
        <w:rPr>
          <w:iCs/>
          <w:sz w:val="20"/>
          <w:szCs w:val="20"/>
        </w:rPr>
      </w:pPr>
    </w:p>
    <w:p w14:paraId="1D47499A" w14:textId="2B1B5888" w:rsidR="000510A2" w:rsidRPr="009118AB" w:rsidRDefault="00907C03" w:rsidP="000510A2">
      <w:pPr>
        <w:autoSpaceDE w:val="0"/>
        <w:autoSpaceDN w:val="0"/>
        <w:adjustRightInd w:val="0"/>
        <w:jc w:val="both"/>
      </w:pPr>
      <w:r w:rsidRPr="00907C03">
        <w:rPr>
          <w:i/>
          <w:iCs/>
          <w:sz w:val="20"/>
          <w:szCs w:val="20"/>
        </w:rPr>
        <w:t>[Art. 307 § 1 ersetzt durch Art. 94 des G. vom 25. Dezember 2017 (IV) (B.S. vom 29. Dezember 2017) - in Kraft am 1. Januar 2018 -; § 1/1 eingefügt durch Art. 94 des G. vom 25. Dezember 2017 (IV) (B.S. vom 29. Dezember 2017) - in Kraft am 1. Januar 2018 -; § 1/1 Abs. </w:t>
      </w:r>
      <w:r w:rsidRPr="00907C03">
        <w:rPr>
          <w:rFonts w:hint="eastAsia"/>
          <w:i/>
          <w:iCs/>
          <w:sz w:val="20"/>
          <w:szCs w:val="20"/>
        </w:rPr>
        <w:t>1</w:t>
      </w:r>
      <w:r w:rsidRPr="00907C03">
        <w:rPr>
          <w:i/>
          <w:iCs/>
          <w:sz w:val="20"/>
          <w:szCs w:val="20"/>
        </w:rPr>
        <w:t xml:space="preserve"> Buchstabe e) eingefügt durch Art. 16 Nr. 1 des G. vom 7. Februar 2018 (B.S. vom 9. März 2018) - in Kraft am 10. März 2018 -, selbst bedingt für nichtig erklärt durch Entscheid Nr. 138/2019 des Verfassungsgerichtshofes vom 17. Oktober 2019 (B.S. vom 5. November 2019); § 1/1 Abs. 3 eingefügt durch Art. 113 Nr. </w:t>
      </w:r>
      <w:r w:rsidRPr="00907C03">
        <w:rPr>
          <w:rFonts w:hint="eastAsia"/>
          <w:i/>
          <w:iCs/>
          <w:sz w:val="20"/>
          <w:szCs w:val="20"/>
        </w:rPr>
        <w:t>1</w:t>
      </w:r>
      <w:r w:rsidRPr="00907C03">
        <w:rPr>
          <w:i/>
          <w:iCs/>
          <w:sz w:val="20"/>
          <w:szCs w:val="20"/>
        </w:rPr>
        <w:t xml:space="preserve"> des G. vom 25. Dezember 2017 (IV) (B.S. vom 29. Dezember 2017) - anwendbar auf die ab dem 1. Januar 2018 gezahlten oder zuerkannten Einkünfte -; § 1/1 Abs. 4 eingefügt durch Art. 113 Nr. </w:t>
      </w:r>
      <w:r w:rsidRPr="00907C03">
        <w:rPr>
          <w:rFonts w:hint="eastAsia"/>
          <w:i/>
          <w:iCs/>
          <w:sz w:val="20"/>
          <w:szCs w:val="20"/>
        </w:rPr>
        <w:t>1</w:t>
      </w:r>
      <w:r w:rsidRPr="00907C03">
        <w:rPr>
          <w:i/>
          <w:iCs/>
          <w:sz w:val="20"/>
          <w:szCs w:val="20"/>
        </w:rPr>
        <w:t xml:space="preserve"> des G. vom 25. Dezember 2017 (IV) (B.S. vom 29. Dezember 2017) - anwendbar auf die ab dem 1. Januar 2018 gezahlten oder zuerkannten Einkünfte - und </w:t>
      </w:r>
      <w:r w:rsidRPr="00907C03">
        <w:rPr>
          <w:i/>
          <w:iCs/>
          <w:sz w:val="20"/>
          <w:szCs w:val="20"/>
        </w:rPr>
        <w:lastRenderedPageBreak/>
        <w:t>abgeändert durch Art. 17 Nr. 1 des G. vom 2. Mai 2019 (III) (B.S. vom 15. Mai 2019) - anwendbar auf die ab dem 1. Januar 2018 erzielten oder bezogenen Einkünfte -; § 1/2 eingefügt durch Art. 94 des G. vom 25. Dezember 2017 (IV) (B.S. vom 29. Dezember 2017) - in Kraft am 1. Januar 2018 -; § 1/2 Abs. 1 einleitende Bestimmung abgeändert durch Art. 10 Nr. 1 des G. vom 20. Dezember 2020 (II) (B.S. vom 30. Dezember 2020) - in Kraft am 31. Dezember 2020 und anwendbar auf die ab dem 1. Januar 2021 getätigten Zahlungen -; § 1/2 Abs. 1 Buchstabe</w:t>
      </w:r>
      <w:r w:rsidRPr="00907C03">
        <w:rPr>
          <w:rFonts w:hint="eastAsia"/>
          <w:i/>
          <w:iCs/>
          <w:sz w:val="20"/>
          <w:szCs w:val="20"/>
        </w:rPr>
        <w:t> </w:t>
      </w:r>
      <w:r w:rsidRPr="00907C03">
        <w:rPr>
          <w:i/>
          <w:iCs/>
          <w:sz w:val="20"/>
          <w:szCs w:val="20"/>
        </w:rPr>
        <w:t>a) abgeändert durch Art. 10 Nr. 2 des G. vom 20. Dezember 2020 (II) (B.S. vom 30. Dezember 2020) - in Kraft am 31. Dezember 2020 und anwendbar auf die ab dem 1. Januar 2021 getätigten Zahlungen -; § 1/2 Abs. 1 Buchstabe</w:t>
      </w:r>
      <w:r w:rsidRPr="00907C03">
        <w:rPr>
          <w:rFonts w:hint="eastAsia"/>
          <w:i/>
          <w:iCs/>
          <w:sz w:val="20"/>
          <w:szCs w:val="20"/>
        </w:rPr>
        <w:t> </w:t>
      </w:r>
      <w:r w:rsidRPr="00907C03">
        <w:rPr>
          <w:i/>
          <w:iCs/>
          <w:sz w:val="20"/>
          <w:szCs w:val="20"/>
        </w:rPr>
        <w:t>c) eingefügt durch Art. 10 Nr. 3 des G. vom 20. Dezember 2020 (II) (B.S. vom 30. Dezember 2020) - in Kraft am 31. Dezember 2020 und anwendbar auf die ab dem 1. Januar 2021 getätigten Zahlungen -; §</w:t>
      </w:r>
      <w:r w:rsidRPr="00907C03">
        <w:rPr>
          <w:rFonts w:hint="eastAsia"/>
          <w:i/>
          <w:iCs/>
          <w:sz w:val="20"/>
          <w:szCs w:val="20"/>
        </w:rPr>
        <w:t> </w:t>
      </w:r>
      <w:r w:rsidRPr="00907C03">
        <w:rPr>
          <w:i/>
          <w:iCs/>
          <w:sz w:val="20"/>
          <w:szCs w:val="20"/>
        </w:rPr>
        <w:t>1/2 Abs.</w:t>
      </w:r>
      <w:r w:rsidRPr="00907C03">
        <w:rPr>
          <w:rFonts w:hint="eastAsia"/>
          <w:i/>
          <w:iCs/>
          <w:sz w:val="20"/>
          <w:szCs w:val="20"/>
        </w:rPr>
        <w:t> </w:t>
      </w:r>
      <w:r w:rsidRPr="00907C03">
        <w:rPr>
          <w:i/>
          <w:iCs/>
          <w:sz w:val="20"/>
          <w:szCs w:val="20"/>
        </w:rPr>
        <w:t>4 abgeändert durch Art. 57 des G. vom 28. Dezember 2023 (B.S. vom 29. Dezember 2023) - anwendbar ab dem Steuerjahr 2024 -;</w:t>
      </w:r>
      <w:r w:rsidRPr="00907C03">
        <w:rPr>
          <w:iCs/>
          <w:sz w:val="20"/>
          <w:szCs w:val="20"/>
        </w:rPr>
        <w:t xml:space="preserve"> </w:t>
      </w:r>
      <w:r w:rsidRPr="00907C03">
        <w:rPr>
          <w:i/>
          <w:iCs/>
          <w:sz w:val="20"/>
          <w:szCs w:val="20"/>
        </w:rPr>
        <w:t>§ 1/2 Abs. 5 eingefügt durch Art. 73/1 des G. vom 25.</w:t>
      </w:r>
      <w:r w:rsidRPr="00907C03">
        <w:rPr>
          <w:rFonts w:hint="eastAsia"/>
          <w:i/>
          <w:iCs/>
          <w:sz w:val="20"/>
          <w:szCs w:val="20"/>
        </w:rPr>
        <w:t> </w:t>
      </w:r>
      <w:r w:rsidRPr="00907C03">
        <w:rPr>
          <w:i/>
          <w:iCs/>
          <w:sz w:val="20"/>
          <w:szCs w:val="20"/>
        </w:rPr>
        <w:t>Dezember</w:t>
      </w:r>
      <w:r w:rsidRPr="00907C03">
        <w:rPr>
          <w:rFonts w:hint="eastAsia"/>
          <w:i/>
          <w:iCs/>
          <w:sz w:val="20"/>
          <w:szCs w:val="20"/>
        </w:rPr>
        <w:t> </w:t>
      </w:r>
      <w:r w:rsidRPr="00907C03">
        <w:rPr>
          <w:i/>
          <w:iCs/>
          <w:sz w:val="20"/>
          <w:szCs w:val="20"/>
        </w:rPr>
        <w:t>2017</w:t>
      </w:r>
      <w:r w:rsidRPr="00907C03">
        <w:rPr>
          <w:rFonts w:hint="eastAsia"/>
          <w:i/>
          <w:iCs/>
          <w:sz w:val="20"/>
          <w:szCs w:val="20"/>
        </w:rPr>
        <w:t> </w:t>
      </w:r>
      <w:r w:rsidRPr="00907C03">
        <w:rPr>
          <w:i/>
          <w:iCs/>
          <w:sz w:val="20"/>
          <w:szCs w:val="20"/>
        </w:rPr>
        <w:t>(III) (B.S. vom 29.</w:t>
      </w:r>
      <w:r w:rsidRPr="00907C03">
        <w:rPr>
          <w:rFonts w:hint="eastAsia"/>
          <w:i/>
          <w:iCs/>
          <w:sz w:val="20"/>
          <w:szCs w:val="20"/>
        </w:rPr>
        <w:t> </w:t>
      </w:r>
      <w:r w:rsidRPr="00907C03">
        <w:rPr>
          <w:i/>
          <w:iCs/>
          <w:sz w:val="20"/>
          <w:szCs w:val="20"/>
        </w:rPr>
        <w:t>Dezember</w:t>
      </w:r>
      <w:r w:rsidRPr="00907C03">
        <w:rPr>
          <w:rFonts w:hint="eastAsia"/>
          <w:i/>
          <w:iCs/>
          <w:sz w:val="20"/>
          <w:szCs w:val="20"/>
        </w:rPr>
        <w:t> </w:t>
      </w:r>
      <w:r w:rsidRPr="00907C03">
        <w:rPr>
          <w:i/>
          <w:iCs/>
          <w:sz w:val="20"/>
          <w:szCs w:val="20"/>
        </w:rPr>
        <w:t>2017) - in Kraft am 1. Januar 2019 und anwendbar ab dem Steuerjahr 2020, das sich auf einen Besteuerungszeitraum bezieht, der frühestens am 1. Januar 2019 beginnt -, selbst eingefügt durch Art. 37 des G. vom 30. Juli 2018 (I) (B.S. vom 10. August 2018), und ersetzt durch Art. 31 Nr. 1 des G. vom 22. Dezember 2023 (II) (B.S. vom 29. Dezember 2023) - anwendbar ab dem Steuerjahr 2024 -; § 1/2 Abs. 6 eingefügt durch Art. 73/1 des G. vom 25.</w:t>
      </w:r>
      <w:r w:rsidRPr="00907C03">
        <w:rPr>
          <w:rFonts w:hint="eastAsia"/>
          <w:i/>
          <w:iCs/>
          <w:sz w:val="20"/>
          <w:szCs w:val="20"/>
        </w:rPr>
        <w:t> </w:t>
      </w:r>
      <w:r w:rsidRPr="00907C03">
        <w:rPr>
          <w:i/>
          <w:iCs/>
          <w:sz w:val="20"/>
          <w:szCs w:val="20"/>
        </w:rPr>
        <w:t>Dezember</w:t>
      </w:r>
      <w:r w:rsidRPr="00907C03">
        <w:rPr>
          <w:rFonts w:hint="eastAsia"/>
          <w:i/>
          <w:iCs/>
          <w:sz w:val="20"/>
          <w:szCs w:val="20"/>
        </w:rPr>
        <w:t> </w:t>
      </w:r>
      <w:r w:rsidRPr="00907C03">
        <w:rPr>
          <w:i/>
          <w:iCs/>
          <w:sz w:val="20"/>
          <w:szCs w:val="20"/>
        </w:rPr>
        <w:t>2017</w:t>
      </w:r>
      <w:r w:rsidRPr="00907C03">
        <w:rPr>
          <w:rFonts w:hint="eastAsia"/>
          <w:i/>
          <w:iCs/>
          <w:sz w:val="20"/>
          <w:szCs w:val="20"/>
        </w:rPr>
        <w:t> </w:t>
      </w:r>
      <w:r w:rsidRPr="00907C03">
        <w:rPr>
          <w:i/>
          <w:iCs/>
          <w:sz w:val="20"/>
          <w:szCs w:val="20"/>
        </w:rPr>
        <w:t>(III) (B.S. vom 29.</w:t>
      </w:r>
      <w:r w:rsidRPr="00907C03">
        <w:rPr>
          <w:rFonts w:hint="eastAsia"/>
          <w:i/>
          <w:iCs/>
          <w:sz w:val="20"/>
          <w:szCs w:val="20"/>
        </w:rPr>
        <w:t> </w:t>
      </w:r>
      <w:r w:rsidRPr="00907C03">
        <w:rPr>
          <w:i/>
          <w:iCs/>
          <w:sz w:val="20"/>
          <w:szCs w:val="20"/>
        </w:rPr>
        <w:t>Dezember</w:t>
      </w:r>
      <w:r w:rsidRPr="00907C03">
        <w:rPr>
          <w:rFonts w:hint="eastAsia"/>
          <w:i/>
          <w:iCs/>
          <w:sz w:val="20"/>
          <w:szCs w:val="20"/>
        </w:rPr>
        <w:t> </w:t>
      </w:r>
      <w:r w:rsidRPr="00907C03">
        <w:rPr>
          <w:i/>
          <w:iCs/>
          <w:sz w:val="20"/>
          <w:szCs w:val="20"/>
        </w:rPr>
        <w:t>2017) - in Kraft am 1. Januar 2019 und anwendbar ab dem Steuerjahr 2020, das sich auf einen Besteuerungszeitraum bezieht, der frühestens am 1. Januar 2019 beginnt -, selbst eingefügt durch Art. 37 des G. vom 30. Juli 2018 (I) (B.S. vom 10. August 2018), und ersetzt durch Art. 31 Nr. 2 des G. vom 22. Dezember 2023 (II) (B.S. vom 29. Dezember 2023) - anwendbar ab dem Steuerjahr 2024 -; § 1/2 Abs. 7 eingefügt durch Art. 73/1 des G. vom 25.</w:t>
      </w:r>
      <w:r w:rsidRPr="00907C03">
        <w:rPr>
          <w:rFonts w:hint="eastAsia"/>
          <w:i/>
          <w:iCs/>
          <w:sz w:val="20"/>
          <w:szCs w:val="20"/>
        </w:rPr>
        <w:t> </w:t>
      </w:r>
      <w:r w:rsidRPr="00907C03">
        <w:rPr>
          <w:i/>
          <w:iCs/>
          <w:sz w:val="20"/>
          <w:szCs w:val="20"/>
        </w:rPr>
        <w:t>Dezember</w:t>
      </w:r>
      <w:r w:rsidRPr="00907C03">
        <w:rPr>
          <w:rFonts w:hint="eastAsia"/>
          <w:i/>
          <w:iCs/>
          <w:sz w:val="20"/>
          <w:szCs w:val="20"/>
        </w:rPr>
        <w:t> </w:t>
      </w:r>
      <w:r w:rsidRPr="00907C03">
        <w:rPr>
          <w:i/>
          <w:iCs/>
          <w:sz w:val="20"/>
          <w:szCs w:val="20"/>
        </w:rPr>
        <w:t>2017</w:t>
      </w:r>
      <w:r w:rsidRPr="00907C03">
        <w:rPr>
          <w:rFonts w:hint="eastAsia"/>
          <w:i/>
          <w:iCs/>
          <w:sz w:val="20"/>
          <w:szCs w:val="20"/>
        </w:rPr>
        <w:t> </w:t>
      </w:r>
      <w:r w:rsidRPr="00907C03">
        <w:rPr>
          <w:i/>
          <w:iCs/>
          <w:sz w:val="20"/>
          <w:szCs w:val="20"/>
        </w:rPr>
        <w:t>(III) (B.S. vom 29.</w:t>
      </w:r>
      <w:r w:rsidRPr="00907C03">
        <w:rPr>
          <w:rFonts w:hint="eastAsia"/>
          <w:i/>
          <w:iCs/>
          <w:sz w:val="20"/>
          <w:szCs w:val="20"/>
        </w:rPr>
        <w:t> </w:t>
      </w:r>
      <w:r w:rsidRPr="00907C03">
        <w:rPr>
          <w:i/>
          <w:iCs/>
          <w:sz w:val="20"/>
          <w:szCs w:val="20"/>
        </w:rPr>
        <w:t>Dezember</w:t>
      </w:r>
      <w:r w:rsidRPr="00907C03">
        <w:rPr>
          <w:rFonts w:hint="eastAsia"/>
          <w:i/>
          <w:iCs/>
          <w:sz w:val="20"/>
          <w:szCs w:val="20"/>
        </w:rPr>
        <w:t> </w:t>
      </w:r>
      <w:r w:rsidRPr="00907C03">
        <w:rPr>
          <w:i/>
          <w:iCs/>
          <w:sz w:val="20"/>
          <w:szCs w:val="20"/>
        </w:rPr>
        <w:t>2017) - in Kraft am 1. Januar 2019 und anwendbar ab dem Steuerjahr 2020, das sich auf einen Besteuerungszeitraum bezieht, der frühestens am 1. Januar 2019 beginnt -, selbst eingefügt durch Art. 37 des G. vom 30. Juli 2018 (I) (B.S. vom 10. August 2018), und aufgehoben durch Art. 31 Nr. 3 des G. vom 22. Dezember 2023 (II) (B.S. vom 29. Dezember 2023) - anwendbar ab dem Steuerjahr 2024 -; § 1/3 eingefügt durch Art. 94 des G. vom 25. Dezember 2017 (IV) (B.S. vom 29. Dezember 2017) - in Kraft am 1. Januar 2018 -; §</w:t>
      </w:r>
      <w:r w:rsidRPr="00907C03">
        <w:rPr>
          <w:rFonts w:hint="eastAsia"/>
          <w:i/>
          <w:iCs/>
          <w:sz w:val="20"/>
          <w:szCs w:val="20"/>
        </w:rPr>
        <w:t> </w:t>
      </w:r>
      <w:r w:rsidRPr="00907C03">
        <w:rPr>
          <w:i/>
          <w:iCs/>
          <w:sz w:val="20"/>
          <w:szCs w:val="20"/>
        </w:rPr>
        <w:t>1/4 eingefügt durch Art. 94 des G. vom 25. Dezember 2017 (IV) (B.S. vom 29. Dezember 2017) - in Kraft am 1. Januar 2018 - und ersetzt durch Art. 38 des G. vom 22. Dezember 2023 (II) (B.S. vom 29. Dezember 2023) - anwendbar ab dem Steuerjahr 2024 -; § 1/5 eingefügt durch Art. 113 Nr. 2 des G. vom 25. Dezember 2017 (IV) (B.S. vom 29. Dezember 2017) - anwendbar auf die ab dem 1. Januar 2018 gezahlten oder zuerkannten Einkünfte -; früherer zweiter Paragraph 1/5 eingefügt durch Art. 16 Nr. </w:t>
      </w:r>
      <w:r w:rsidRPr="00907C03">
        <w:rPr>
          <w:rFonts w:hint="eastAsia"/>
          <w:i/>
          <w:iCs/>
          <w:sz w:val="20"/>
          <w:szCs w:val="20"/>
        </w:rPr>
        <w:t>2</w:t>
      </w:r>
      <w:r w:rsidRPr="00907C03">
        <w:rPr>
          <w:i/>
          <w:iCs/>
          <w:sz w:val="20"/>
          <w:szCs w:val="20"/>
        </w:rPr>
        <w:t xml:space="preserve"> des G. vom 7. Februar 2018 (B.S. vom 9. März 2018) - in Kraft am 10. März 2018 -, selbst bedingt für nichtig erklärt durch Entscheid Nr. 138/2019 des Verfassungsgerichtshofes vom 17. Oktober 2019 (B.S. vom 5. November 2019); § 2 ersetzt durch Art. 17 Nr. 2 des G. vom 2. Mai 2019 (III) (B.S. vom 15. Mai 2019) - in Kraft am 1. Mai 2019 und anwendbar auf die Einreichung </w:t>
      </w:r>
      <w:r w:rsidRPr="00907C03">
        <w:rPr>
          <w:rFonts w:ascii="Times New Roman Italique" w:hAnsi="Times New Roman Italique"/>
          <w:i/>
          <w:iCs/>
          <w:spacing w:val="-2"/>
          <w:sz w:val="20"/>
          <w:szCs w:val="20"/>
        </w:rPr>
        <w:t>der Erklärungen zur Steuer der natürlichen Personen, die sich frühestens auf das Steuerjahr 2019 beziehen -;</w:t>
      </w:r>
      <w:r w:rsidR="004F3870" w:rsidRPr="004F3870">
        <w:rPr>
          <w:rFonts w:ascii="Times New Roman Italique" w:hAnsi="Times New Roman Italique"/>
          <w:i/>
          <w:iCs/>
          <w:spacing w:val="-2"/>
          <w:sz w:val="20"/>
          <w:szCs w:val="20"/>
        </w:rPr>
        <w:t xml:space="preserve"> § 2 Abs. 1 ersetzt </w:t>
      </w:r>
      <w:r w:rsidR="00FA3167" w:rsidRPr="00FA3167">
        <w:rPr>
          <w:rFonts w:ascii="Times New Roman Italique" w:hAnsi="Times New Roman Italique"/>
          <w:i/>
          <w:iCs/>
          <w:spacing w:val="-2"/>
          <w:sz w:val="20"/>
          <w:szCs w:val="20"/>
        </w:rPr>
        <w:t>durch Art. 16 Nr. 1 des G. vom 26. Januar 2021 (B.S. vom 10. Februar 2021) - in Kraft am 1. Januar 2025 -, selbst aufgehoben durch Art. 213 des G. vom 12. Mai 2024 (B.S. vom 30. Mai 2024)</w:t>
      </w:r>
      <w:r w:rsidR="00FA3167">
        <w:rPr>
          <w:rFonts w:ascii="Times New Roman Italique" w:hAnsi="Times New Roman Italique"/>
          <w:i/>
          <w:iCs/>
          <w:spacing w:val="-2"/>
          <w:sz w:val="20"/>
          <w:szCs w:val="20"/>
        </w:rPr>
        <w:t xml:space="preserve">, und erneut ersetzt </w:t>
      </w:r>
      <w:r w:rsidR="004F3870" w:rsidRPr="004F3870">
        <w:rPr>
          <w:rFonts w:ascii="Times New Roman Italique" w:hAnsi="Times New Roman Italique"/>
          <w:i/>
          <w:iCs/>
          <w:spacing w:val="-2"/>
          <w:sz w:val="20"/>
          <w:szCs w:val="20"/>
        </w:rPr>
        <w:t>durch Art. 19 Nr. 1 des G. vom 12. Mai 2024 (B.S. vom 30. Mai 2024) - </w:t>
      </w:r>
      <w:r w:rsidR="00A54224">
        <w:rPr>
          <w:rFonts w:ascii="Times New Roman Italique" w:hAnsi="Times New Roman Italique"/>
          <w:i/>
          <w:iCs/>
          <w:spacing w:val="-2"/>
          <w:sz w:val="20"/>
          <w:szCs w:val="20"/>
        </w:rPr>
        <w:t xml:space="preserve">in Kraft für alle oder bestimmte Kategorien von Inhabern einer Unternehmensnummer sowie für natürliche Personen an dem jeweils vom König festzulegenden Datum und spätestens am </w:t>
      </w:r>
      <w:r w:rsidR="00CC23FF">
        <w:rPr>
          <w:rFonts w:ascii="Times New Roman Italique" w:hAnsi="Times New Roman Italique"/>
          <w:i/>
          <w:iCs/>
          <w:spacing w:val="-2"/>
          <w:sz w:val="20"/>
          <w:szCs w:val="20"/>
        </w:rPr>
        <w:t>1. Januar 2028 </w:t>
      </w:r>
      <w:r w:rsidR="004F3870" w:rsidRPr="004F3870">
        <w:rPr>
          <w:rFonts w:ascii="Times New Roman Italique" w:hAnsi="Times New Roman Italique"/>
          <w:i/>
          <w:iCs/>
          <w:spacing w:val="-2"/>
          <w:sz w:val="20"/>
          <w:szCs w:val="20"/>
        </w:rPr>
        <w:t>-;</w:t>
      </w:r>
      <w:r w:rsidR="004F3870">
        <w:rPr>
          <w:rFonts w:ascii="Times New Roman Italique" w:hAnsi="Times New Roman Italique"/>
          <w:i/>
          <w:iCs/>
          <w:spacing w:val="-2"/>
          <w:sz w:val="20"/>
          <w:szCs w:val="20"/>
        </w:rPr>
        <w:t xml:space="preserve"> </w:t>
      </w:r>
      <w:r w:rsidR="00FA3167" w:rsidRPr="00FA3167">
        <w:rPr>
          <w:rFonts w:ascii="Times New Roman Italique" w:hAnsi="Times New Roman Italique"/>
          <w:i/>
          <w:iCs/>
          <w:spacing w:val="-2"/>
          <w:sz w:val="20"/>
          <w:szCs w:val="20"/>
        </w:rPr>
        <w:t>§ 2 neuer Absatz 2 eingefügt durch Art. 16 Nr. 2 des G. vom 26. Januar 2021 (B.S. vom 10. Februar 2021) - in Kraft am 1. Januar 2025 -, selbst aufgehoben durch Art. 213 des G. vom 12. Mai 2024 (B.S. vom 30. Mai 2024);</w:t>
      </w:r>
      <w:r w:rsidR="00FA3167">
        <w:rPr>
          <w:rFonts w:ascii="Times New Roman Italique" w:hAnsi="Times New Roman Italique"/>
          <w:i/>
          <w:iCs/>
          <w:spacing w:val="-2"/>
          <w:sz w:val="20"/>
          <w:szCs w:val="20"/>
        </w:rPr>
        <w:t xml:space="preserve"> </w:t>
      </w:r>
      <w:r w:rsidR="004F3870">
        <w:rPr>
          <w:rFonts w:ascii="Times New Roman Italique" w:hAnsi="Times New Roman Italique"/>
          <w:i/>
          <w:iCs/>
          <w:spacing w:val="-2"/>
          <w:sz w:val="20"/>
          <w:szCs w:val="20"/>
        </w:rPr>
        <w:t>§</w:t>
      </w:r>
      <w:r w:rsidR="004F3870">
        <w:rPr>
          <w:rFonts w:ascii="Times New Roman Italique" w:hAnsi="Times New Roman Italique" w:hint="eastAsia"/>
          <w:i/>
          <w:iCs/>
          <w:spacing w:val="-2"/>
          <w:sz w:val="20"/>
          <w:szCs w:val="20"/>
        </w:rPr>
        <w:t> </w:t>
      </w:r>
      <w:r w:rsidR="004F3870">
        <w:rPr>
          <w:rFonts w:ascii="Times New Roman Italique" w:hAnsi="Times New Roman Italique"/>
          <w:i/>
          <w:iCs/>
          <w:spacing w:val="-2"/>
          <w:sz w:val="20"/>
          <w:szCs w:val="20"/>
        </w:rPr>
        <w:t>2 früherer Absatz</w:t>
      </w:r>
      <w:r w:rsidR="004F3870">
        <w:rPr>
          <w:rFonts w:ascii="Times New Roman Italique" w:hAnsi="Times New Roman Italique" w:hint="eastAsia"/>
          <w:i/>
          <w:iCs/>
          <w:spacing w:val="-2"/>
          <w:sz w:val="20"/>
          <w:szCs w:val="20"/>
        </w:rPr>
        <w:t> </w:t>
      </w:r>
      <w:r w:rsidR="004F3870">
        <w:rPr>
          <w:rFonts w:ascii="Times New Roman Italique" w:hAnsi="Times New Roman Italique"/>
          <w:i/>
          <w:iCs/>
          <w:spacing w:val="-2"/>
          <w:sz w:val="20"/>
          <w:szCs w:val="20"/>
        </w:rPr>
        <w:t xml:space="preserve">3 aufgehoben </w:t>
      </w:r>
      <w:r w:rsidR="00FA3167" w:rsidRPr="00FA3167">
        <w:rPr>
          <w:rFonts w:ascii="Times New Roman Italique" w:hAnsi="Times New Roman Italique"/>
          <w:i/>
          <w:iCs/>
          <w:spacing w:val="-2"/>
          <w:sz w:val="20"/>
          <w:szCs w:val="20"/>
        </w:rPr>
        <w:t xml:space="preserve">durch Art. 16 Nr. 3 des G. vom 26. Januar 2021 (B.S. vom 10. Februar 2021) - in Kraft am 1. Januar 2025 -, selbst aufgehoben durch Art. 213 des </w:t>
      </w:r>
      <w:r w:rsidR="00FA3167" w:rsidRPr="00916AEA">
        <w:rPr>
          <w:rFonts w:ascii="Times New Roman Italique" w:hAnsi="Times New Roman Italique"/>
          <w:i/>
          <w:iCs/>
          <w:sz w:val="20"/>
          <w:szCs w:val="20"/>
        </w:rPr>
        <w:t xml:space="preserve">G. vom 12. Mai 2024 (B.S. vom 30. Mai 2024), und erneut aufgehoben </w:t>
      </w:r>
      <w:r w:rsidR="004F3870" w:rsidRPr="00916AEA">
        <w:rPr>
          <w:rFonts w:ascii="Times New Roman Italique" w:hAnsi="Times New Roman Italique"/>
          <w:i/>
          <w:iCs/>
          <w:sz w:val="20"/>
          <w:szCs w:val="20"/>
        </w:rPr>
        <w:t>durch Art. 19 Nr.</w:t>
      </w:r>
      <w:r w:rsidR="004F3870" w:rsidRPr="00916AEA">
        <w:rPr>
          <w:rFonts w:ascii="Times New Roman Italique" w:hAnsi="Times New Roman Italique" w:hint="eastAsia"/>
          <w:i/>
          <w:iCs/>
          <w:sz w:val="20"/>
          <w:szCs w:val="20"/>
        </w:rPr>
        <w:t> </w:t>
      </w:r>
      <w:r w:rsidR="004F3870" w:rsidRPr="00916AEA">
        <w:rPr>
          <w:rFonts w:ascii="Times New Roman Italique" w:hAnsi="Times New Roman Italique"/>
          <w:i/>
          <w:iCs/>
          <w:sz w:val="20"/>
          <w:szCs w:val="20"/>
        </w:rPr>
        <w:t>3 des G. vom 12. Mai 2024 (B.S. vom 30. Mai 2024) - </w:t>
      </w:r>
      <w:r w:rsidR="00A54224" w:rsidRPr="00916AEA">
        <w:rPr>
          <w:rFonts w:ascii="Times New Roman Italique" w:hAnsi="Times New Roman Italique"/>
          <w:i/>
          <w:iCs/>
          <w:sz w:val="20"/>
          <w:szCs w:val="20"/>
        </w:rPr>
        <w:t xml:space="preserve">in Kraft für alle oder bestimmte Kategorien von Inhabern einer Unternehmensnummer sowie für natürliche Personen an dem jeweils vom König festzulegenden Datum und spätestens am </w:t>
      </w:r>
      <w:r w:rsidR="00CC23FF" w:rsidRPr="00916AEA">
        <w:rPr>
          <w:rFonts w:ascii="Times New Roman Italique" w:hAnsi="Times New Roman Italique"/>
          <w:i/>
          <w:iCs/>
          <w:sz w:val="20"/>
          <w:szCs w:val="20"/>
        </w:rPr>
        <w:t>1. Januar 2028 </w:t>
      </w:r>
      <w:r w:rsidR="004F3870" w:rsidRPr="00916AEA">
        <w:rPr>
          <w:rFonts w:ascii="Times New Roman Italique" w:hAnsi="Times New Roman Italique"/>
          <w:i/>
          <w:iCs/>
          <w:sz w:val="20"/>
          <w:szCs w:val="20"/>
        </w:rPr>
        <w:t xml:space="preserve">-; </w:t>
      </w:r>
      <w:r w:rsidR="006C3042" w:rsidRPr="00916AEA">
        <w:rPr>
          <w:rFonts w:ascii="Times New Roman Italique" w:hAnsi="Times New Roman Italique"/>
          <w:i/>
          <w:iCs/>
          <w:sz w:val="20"/>
          <w:szCs w:val="20"/>
        </w:rPr>
        <w:t>§</w:t>
      </w:r>
      <w:r w:rsidR="006C3042" w:rsidRPr="00916AEA">
        <w:rPr>
          <w:rFonts w:ascii="Times New Roman Italique" w:hAnsi="Times New Roman Italique" w:hint="eastAsia"/>
          <w:i/>
          <w:iCs/>
          <w:sz w:val="20"/>
          <w:szCs w:val="20"/>
        </w:rPr>
        <w:t> </w:t>
      </w:r>
      <w:r w:rsidR="006C3042" w:rsidRPr="00916AEA">
        <w:rPr>
          <w:rFonts w:ascii="Times New Roman Italique" w:hAnsi="Times New Roman Italique"/>
          <w:i/>
          <w:iCs/>
          <w:sz w:val="20"/>
          <w:szCs w:val="20"/>
        </w:rPr>
        <w:t>2 Abs.</w:t>
      </w:r>
      <w:r w:rsidR="006C3042" w:rsidRPr="00916AEA">
        <w:rPr>
          <w:rFonts w:ascii="Times New Roman Italique" w:hAnsi="Times New Roman Italique" w:hint="eastAsia"/>
          <w:i/>
          <w:iCs/>
          <w:sz w:val="20"/>
          <w:szCs w:val="20"/>
        </w:rPr>
        <w:t> </w:t>
      </w:r>
      <w:r w:rsidR="006C3042" w:rsidRPr="00916AEA">
        <w:rPr>
          <w:rFonts w:ascii="Times New Roman Italique" w:hAnsi="Times New Roman Italique"/>
          <w:i/>
          <w:iCs/>
          <w:sz w:val="20"/>
          <w:szCs w:val="20"/>
        </w:rPr>
        <w:t>3 abgeändert durch Art. 16 Nr. 4 des G. vom 26. Januar 2021 (B.S. vom 10. Februar 2021) - in Kraft am</w:t>
      </w:r>
      <w:r w:rsidR="006C3042" w:rsidRPr="006C3042">
        <w:rPr>
          <w:rFonts w:ascii="Times New Roman Italique" w:hAnsi="Times New Roman Italique"/>
          <w:i/>
          <w:iCs/>
          <w:spacing w:val="-2"/>
          <w:sz w:val="20"/>
          <w:szCs w:val="20"/>
        </w:rPr>
        <w:t xml:space="preserve"> 1. Januar 2025 -, selbst aufgehoben durch Art. 213 des G. vom 12. Mai 2024 (B.S. vom 30. Mai 2024)</w:t>
      </w:r>
      <w:r w:rsidR="006C3042">
        <w:rPr>
          <w:rFonts w:ascii="Times New Roman Italique" w:hAnsi="Times New Roman Italique"/>
          <w:i/>
          <w:iCs/>
          <w:spacing w:val="-2"/>
          <w:sz w:val="20"/>
          <w:szCs w:val="20"/>
        </w:rPr>
        <w:t xml:space="preserve">; </w:t>
      </w:r>
      <w:r w:rsidR="004F3870">
        <w:rPr>
          <w:rFonts w:ascii="Times New Roman Italique" w:hAnsi="Times New Roman Italique"/>
          <w:i/>
          <w:iCs/>
          <w:spacing w:val="-2"/>
          <w:sz w:val="20"/>
          <w:szCs w:val="20"/>
        </w:rPr>
        <w:t>§</w:t>
      </w:r>
      <w:r w:rsidR="004F3870">
        <w:rPr>
          <w:rFonts w:ascii="Times New Roman Italique" w:hAnsi="Times New Roman Italique" w:hint="eastAsia"/>
          <w:i/>
          <w:iCs/>
          <w:spacing w:val="-2"/>
          <w:sz w:val="20"/>
          <w:szCs w:val="20"/>
        </w:rPr>
        <w:t> </w:t>
      </w:r>
      <w:r w:rsidR="004F3870">
        <w:rPr>
          <w:rFonts w:ascii="Times New Roman Italique" w:hAnsi="Times New Roman Italique"/>
          <w:i/>
          <w:iCs/>
          <w:spacing w:val="-2"/>
          <w:sz w:val="20"/>
          <w:szCs w:val="20"/>
        </w:rPr>
        <w:t>2 Abs.</w:t>
      </w:r>
      <w:r w:rsidR="004F3870">
        <w:rPr>
          <w:rFonts w:ascii="Times New Roman Italique" w:hAnsi="Times New Roman Italique" w:hint="eastAsia"/>
          <w:i/>
          <w:iCs/>
          <w:spacing w:val="-2"/>
          <w:sz w:val="20"/>
          <w:szCs w:val="20"/>
        </w:rPr>
        <w:t> </w:t>
      </w:r>
      <w:r w:rsidR="004F3870">
        <w:rPr>
          <w:rFonts w:ascii="Times New Roman Italique" w:hAnsi="Times New Roman Italique"/>
          <w:i/>
          <w:iCs/>
          <w:spacing w:val="-2"/>
          <w:sz w:val="20"/>
          <w:szCs w:val="20"/>
        </w:rPr>
        <w:t xml:space="preserve">4 eingefügt </w:t>
      </w:r>
      <w:r w:rsidR="00773ECE">
        <w:rPr>
          <w:rFonts w:ascii="Times New Roman Italique" w:hAnsi="Times New Roman Italique"/>
          <w:i/>
          <w:iCs/>
          <w:spacing w:val="-2"/>
          <w:sz w:val="20"/>
          <w:szCs w:val="20"/>
        </w:rPr>
        <w:t>durch Art. </w:t>
      </w:r>
      <w:r w:rsidR="00773ECE" w:rsidRPr="006C3042">
        <w:rPr>
          <w:rFonts w:ascii="Times New Roman Italique" w:hAnsi="Times New Roman Italique"/>
          <w:i/>
          <w:iCs/>
          <w:spacing w:val="-2"/>
          <w:sz w:val="20"/>
          <w:szCs w:val="20"/>
        </w:rPr>
        <w:t>16 Nr. </w:t>
      </w:r>
      <w:r w:rsidR="00773ECE">
        <w:rPr>
          <w:rFonts w:ascii="Times New Roman Italique" w:hAnsi="Times New Roman Italique"/>
          <w:i/>
          <w:iCs/>
          <w:spacing w:val="-2"/>
          <w:sz w:val="20"/>
          <w:szCs w:val="20"/>
        </w:rPr>
        <w:t>5</w:t>
      </w:r>
      <w:r w:rsidR="00773ECE" w:rsidRPr="006C3042">
        <w:rPr>
          <w:rFonts w:ascii="Times New Roman Italique" w:hAnsi="Times New Roman Italique"/>
          <w:i/>
          <w:iCs/>
          <w:spacing w:val="-2"/>
          <w:sz w:val="20"/>
          <w:szCs w:val="20"/>
        </w:rPr>
        <w:t xml:space="preserve"> des G. vom 26. Januar 2021 (B.S. vom 10. Februar 2021) - in Kraft am 1. Januar 2025 -, selbst aufgehoben durch Art. 213 des G. vom 12. Mai 2024 (B.S. vom 30. Mai 2024)</w:t>
      </w:r>
      <w:r w:rsidR="00773ECE">
        <w:rPr>
          <w:rFonts w:ascii="Times New Roman Italique" w:hAnsi="Times New Roman Italique"/>
          <w:i/>
          <w:iCs/>
          <w:spacing w:val="-2"/>
          <w:sz w:val="20"/>
          <w:szCs w:val="20"/>
        </w:rPr>
        <w:t xml:space="preserve">, und erneut eingefügt </w:t>
      </w:r>
      <w:r w:rsidR="004F3870">
        <w:rPr>
          <w:rFonts w:ascii="Times New Roman Italique" w:hAnsi="Times New Roman Italique"/>
          <w:i/>
          <w:iCs/>
          <w:spacing w:val="-2"/>
          <w:sz w:val="20"/>
          <w:szCs w:val="20"/>
        </w:rPr>
        <w:t>durch Art. 19 Nr.</w:t>
      </w:r>
      <w:r w:rsidR="004F3870">
        <w:rPr>
          <w:rFonts w:ascii="Times New Roman Italique" w:hAnsi="Times New Roman Italique" w:hint="eastAsia"/>
          <w:i/>
          <w:iCs/>
          <w:spacing w:val="-2"/>
          <w:sz w:val="20"/>
          <w:szCs w:val="20"/>
        </w:rPr>
        <w:t> </w:t>
      </w:r>
      <w:r w:rsidR="004F3870">
        <w:rPr>
          <w:rFonts w:ascii="Times New Roman Italique" w:hAnsi="Times New Roman Italique"/>
          <w:i/>
          <w:iCs/>
          <w:spacing w:val="-2"/>
          <w:sz w:val="20"/>
          <w:szCs w:val="20"/>
        </w:rPr>
        <w:t>5</w:t>
      </w:r>
      <w:r w:rsidR="004F3870" w:rsidRPr="004F3870">
        <w:rPr>
          <w:rFonts w:ascii="Times New Roman Italique" w:hAnsi="Times New Roman Italique"/>
          <w:i/>
          <w:iCs/>
          <w:spacing w:val="-2"/>
          <w:sz w:val="20"/>
          <w:szCs w:val="20"/>
        </w:rPr>
        <w:t xml:space="preserve"> des G. vom 12. Mai 2024 (B.S. vom 30. Mai 2024) - </w:t>
      </w:r>
      <w:r w:rsidR="00A54224">
        <w:rPr>
          <w:rFonts w:ascii="Times New Roman Italique" w:hAnsi="Times New Roman Italique"/>
          <w:i/>
          <w:iCs/>
          <w:spacing w:val="-2"/>
          <w:sz w:val="20"/>
          <w:szCs w:val="20"/>
        </w:rPr>
        <w:t xml:space="preserve">in Kraft für alle oder bestimmte Kategorien von Inhabern einer Unternehmensnummer sowie für natürliche Personen an dem jeweils vom König festzulegenden Datum und spätestens am </w:t>
      </w:r>
      <w:r w:rsidR="00CC23FF">
        <w:rPr>
          <w:rFonts w:ascii="Times New Roman Italique" w:hAnsi="Times New Roman Italique"/>
          <w:i/>
          <w:iCs/>
          <w:spacing w:val="-2"/>
          <w:sz w:val="20"/>
          <w:szCs w:val="20"/>
        </w:rPr>
        <w:t>1. Januar 2028 </w:t>
      </w:r>
      <w:r w:rsidR="004F3870" w:rsidRPr="004F3870">
        <w:rPr>
          <w:rFonts w:ascii="Times New Roman Italique" w:hAnsi="Times New Roman Italique"/>
          <w:i/>
          <w:iCs/>
          <w:spacing w:val="-2"/>
          <w:sz w:val="20"/>
          <w:szCs w:val="20"/>
        </w:rPr>
        <w:t>-</w:t>
      </w:r>
      <w:r w:rsidR="004F3870">
        <w:rPr>
          <w:rFonts w:ascii="Times New Roman Italique" w:hAnsi="Times New Roman Italique"/>
          <w:i/>
          <w:iCs/>
          <w:spacing w:val="-2"/>
          <w:sz w:val="20"/>
          <w:szCs w:val="20"/>
        </w:rPr>
        <w:t xml:space="preserve">; </w:t>
      </w:r>
      <w:r w:rsidRPr="00907C03">
        <w:rPr>
          <w:i/>
          <w:iCs/>
          <w:sz w:val="20"/>
          <w:szCs w:val="20"/>
        </w:rPr>
        <w:t xml:space="preserve">§ 2/1 eingefügt durch Art. 69 des G. vom 17. März 2019 (III) (B.S. vom 10. Mai 2019) - in Kraft am 1. Mai 2019 -; § 2/2 eingefügt durch Art. 84 des G. vom 28. Dezember 2023 (B.S. vom 29. Dezember 2023) - in Kraft ab dem Steuerjahr 2024 -; § 2/2 Abs. 1 einleitende Bestimmung abgeändert durch Art. 18 des G. vom 12. Mai 2024 (B.S. vom 29. Mai 2024) - anwendbar ab dem Steuerjahr 2024 -; § 3 Abs. 3 ersetzt durch Art. 15 des G. vom 22. Juli 1993 (B.S. vom 26. Juli 1993) - anwendbar ab dem Steuerjahr 1994 -; </w:t>
      </w:r>
      <w:r w:rsidRPr="00907C03">
        <w:rPr>
          <w:i/>
          <w:iCs/>
          <w:spacing w:val="-2"/>
          <w:sz w:val="20"/>
          <w:szCs w:val="20"/>
        </w:rPr>
        <w:t>§ 4 ersetzt durch Art. 3 des G. vom 8. Juni 2009 (B.S. vom 18. Juni 2009) - wirksam mit dem Steuerjahr 2009 -</w:t>
      </w:r>
      <w:r w:rsidR="006C3042">
        <w:rPr>
          <w:i/>
          <w:iCs/>
          <w:spacing w:val="-2"/>
          <w:sz w:val="20"/>
          <w:szCs w:val="20"/>
        </w:rPr>
        <w:t xml:space="preserve"> und A</w:t>
      </w:r>
      <w:r w:rsidR="006C3042" w:rsidRPr="006C3042">
        <w:rPr>
          <w:i/>
          <w:iCs/>
          <w:spacing w:val="-2"/>
          <w:sz w:val="20"/>
          <w:szCs w:val="20"/>
        </w:rPr>
        <w:t xml:space="preserve">rt. 16 Nr. 6 des G. vom 26. Januar 2021 (B.S. vom 10. Februar 2021) - in Kraft am 1. Januar 2025 -, selbst aufgehoben durch Art. 213 des G. vom 12. Mai 2024 (B.S. </w:t>
      </w:r>
      <w:r w:rsidR="006C3042" w:rsidRPr="006C3042">
        <w:rPr>
          <w:i/>
          <w:iCs/>
          <w:spacing w:val="-2"/>
          <w:sz w:val="20"/>
          <w:szCs w:val="20"/>
        </w:rPr>
        <w:lastRenderedPageBreak/>
        <w:t>vom 30. Mai 2024)</w:t>
      </w:r>
      <w:r w:rsidR="006C3042">
        <w:rPr>
          <w:i/>
          <w:iCs/>
          <w:spacing w:val="-2"/>
          <w:sz w:val="20"/>
          <w:szCs w:val="20"/>
        </w:rPr>
        <w:t>,</w:t>
      </w:r>
      <w:r w:rsidR="004F3870" w:rsidRPr="004F3870">
        <w:rPr>
          <w:i/>
          <w:iCs/>
          <w:spacing w:val="-2"/>
          <w:sz w:val="20"/>
          <w:szCs w:val="20"/>
        </w:rPr>
        <w:t xml:space="preserve"> und </w:t>
      </w:r>
      <w:r w:rsidR="004F3870" w:rsidRPr="004F3870">
        <w:rPr>
          <w:rFonts w:ascii="Times New Roman Italique" w:hAnsi="Times New Roman Italique"/>
          <w:i/>
          <w:iCs/>
          <w:spacing w:val="-2"/>
          <w:sz w:val="20"/>
          <w:szCs w:val="20"/>
        </w:rPr>
        <w:t>abgeändert durch Art. 19 Nr.</w:t>
      </w:r>
      <w:r w:rsidR="004F3870" w:rsidRPr="004F3870">
        <w:rPr>
          <w:rFonts w:ascii="Times New Roman Italique" w:hAnsi="Times New Roman Italique" w:hint="eastAsia"/>
          <w:i/>
          <w:iCs/>
          <w:spacing w:val="-2"/>
          <w:sz w:val="20"/>
          <w:szCs w:val="20"/>
        </w:rPr>
        <w:t> </w:t>
      </w:r>
      <w:r w:rsidR="004F3870" w:rsidRPr="004F3870">
        <w:rPr>
          <w:rFonts w:ascii="Times New Roman Italique" w:hAnsi="Times New Roman Italique"/>
          <w:i/>
          <w:iCs/>
          <w:spacing w:val="-2"/>
          <w:sz w:val="20"/>
          <w:szCs w:val="20"/>
        </w:rPr>
        <w:t>6 des G. vom 12. Mai 2024 (B.S. vom 30. Mai 2024) - </w:t>
      </w:r>
      <w:r w:rsidR="00023CA3">
        <w:rPr>
          <w:rFonts w:ascii="Times New Roman Italique" w:hAnsi="Times New Roman Italique"/>
          <w:i/>
          <w:iCs/>
          <w:spacing w:val="-2"/>
          <w:sz w:val="20"/>
          <w:szCs w:val="20"/>
        </w:rPr>
        <w:t xml:space="preserve">in Kraft für alle oder bestimmte Kategorien von Inhabern einer Unternehmensnummer sowie für natürliche Personen an dem jeweils vom König festzulegenden Datum und spätestens am </w:t>
      </w:r>
      <w:r w:rsidR="00CC23FF">
        <w:rPr>
          <w:rFonts w:ascii="Times New Roman Italique" w:hAnsi="Times New Roman Italique"/>
          <w:i/>
          <w:iCs/>
          <w:spacing w:val="-2"/>
          <w:sz w:val="20"/>
          <w:szCs w:val="20"/>
        </w:rPr>
        <w:t>1. Januar 2028 </w:t>
      </w:r>
      <w:r w:rsidR="004F3870" w:rsidRPr="004F3870">
        <w:rPr>
          <w:rFonts w:ascii="Times New Roman Italique" w:hAnsi="Times New Roman Italique"/>
          <w:i/>
          <w:iCs/>
          <w:spacing w:val="-2"/>
          <w:sz w:val="20"/>
          <w:szCs w:val="20"/>
        </w:rPr>
        <w:t>-</w:t>
      </w:r>
      <w:r w:rsidRPr="00907C03">
        <w:rPr>
          <w:i/>
          <w:iCs/>
          <w:sz w:val="20"/>
          <w:szCs w:val="20"/>
        </w:rPr>
        <w:t>; § 5 eingefügt durch Art. 8 des G. vom 15. März 1999 (B.S. vom 27. März 1999)</w:t>
      </w:r>
      <w:r w:rsidR="004F3870">
        <w:rPr>
          <w:i/>
          <w:iCs/>
          <w:sz w:val="20"/>
          <w:szCs w:val="20"/>
        </w:rPr>
        <w:t xml:space="preserve"> </w:t>
      </w:r>
      <w:r w:rsidR="006059FC">
        <w:rPr>
          <w:i/>
          <w:iCs/>
          <w:sz w:val="20"/>
          <w:szCs w:val="20"/>
        </w:rPr>
        <w:t xml:space="preserve">und aufgehoben </w:t>
      </w:r>
      <w:r w:rsidR="006059FC" w:rsidRPr="006059FC">
        <w:rPr>
          <w:i/>
          <w:iCs/>
          <w:sz w:val="20"/>
          <w:szCs w:val="20"/>
        </w:rPr>
        <w:t>durch Art. 16 Nr. 7 des G. vom 26. Januar 2021 (B.S. vom 10. Februar 2021) - in Kraft am 1. Januar 2025 -, selbst aufgehoben durch Art. 213 des G. vom 12. Mai 2024 (B.S. vom 30. Mai 2024)</w:t>
      </w:r>
      <w:r w:rsidR="006059FC">
        <w:rPr>
          <w:i/>
          <w:iCs/>
          <w:sz w:val="20"/>
          <w:szCs w:val="20"/>
        </w:rPr>
        <w:t xml:space="preserve">, </w:t>
      </w:r>
      <w:r w:rsidR="004F3870">
        <w:rPr>
          <w:i/>
          <w:iCs/>
          <w:sz w:val="20"/>
          <w:szCs w:val="20"/>
        </w:rPr>
        <w:t>und</w:t>
      </w:r>
      <w:r w:rsidR="006059FC">
        <w:rPr>
          <w:i/>
          <w:iCs/>
          <w:sz w:val="20"/>
          <w:szCs w:val="20"/>
        </w:rPr>
        <w:t xml:space="preserve"> erneut</w:t>
      </w:r>
      <w:r w:rsidR="004F3870">
        <w:rPr>
          <w:i/>
          <w:iCs/>
          <w:sz w:val="20"/>
          <w:szCs w:val="20"/>
        </w:rPr>
        <w:t xml:space="preserve"> aufgehoben durch Art. 19 Nr. 7</w:t>
      </w:r>
      <w:r w:rsidR="004F3870" w:rsidRPr="004F3870">
        <w:rPr>
          <w:i/>
          <w:iCs/>
          <w:sz w:val="20"/>
          <w:szCs w:val="20"/>
        </w:rPr>
        <w:t xml:space="preserve"> des G. vom 12. Mai 2024 (B.S. vom 30. Mai 2024) - </w:t>
      </w:r>
      <w:r w:rsidR="00023CA3">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004F3870" w:rsidRPr="004F3870">
        <w:rPr>
          <w:i/>
          <w:iCs/>
          <w:sz w:val="20"/>
          <w:szCs w:val="20"/>
        </w:rPr>
        <w:t>-</w:t>
      </w:r>
      <w:r w:rsidRPr="00907C03">
        <w:rPr>
          <w:i/>
          <w:iCs/>
          <w:sz w:val="20"/>
          <w:szCs w:val="20"/>
        </w:rPr>
        <w:t>; siehe auch Entscheid Nr. 138/2019 des Verfassungsgerichtshofes vom 17. Oktober 2019 (B.S. vom 5. November 2019)</w:t>
      </w:r>
      <w:r>
        <w:rPr>
          <w:i/>
          <w:iCs/>
          <w:sz w:val="20"/>
          <w:szCs w:val="20"/>
        </w:rPr>
        <w:t>]</w:t>
      </w:r>
      <w:r w:rsidR="000510A2" w:rsidRPr="009118AB">
        <w:rPr>
          <w:iCs/>
          <w:sz w:val="20"/>
          <w:szCs w:val="20"/>
        </w:rPr>
        <w:t>"</w:t>
      </w:r>
    </w:p>
    <w:p w14:paraId="52DF4C1F" w14:textId="77777777" w:rsidR="000510A2" w:rsidRPr="009118AB" w:rsidRDefault="000510A2" w:rsidP="000510A2">
      <w:pPr>
        <w:autoSpaceDE w:val="0"/>
        <w:autoSpaceDN w:val="0"/>
        <w:adjustRightInd w:val="0"/>
        <w:jc w:val="both"/>
      </w:pPr>
    </w:p>
    <w:p w14:paraId="5B781D6C" w14:textId="77777777" w:rsidR="000510A2" w:rsidRPr="009118AB" w:rsidRDefault="000510A2" w:rsidP="000510A2">
      <w:pPr>
        <w:autoSpaceDE w:val="0"/>
        <w:autoSpaceDN w:val="0"/>
        <w:adjustRightInd w:val="0"/>
        <w:jc w:val="both"/>
      </w:pPr>
    </w:p>
    <w:p w14:paraId="0BD26216" w14:textId="77777777" w:rsidR="000510A2" w:rsidRPr="009118AB" w:rsidRDefault="000510A2" w:rsidP="000510A2">
      <w:pPr>
        <w:autoSpaceDE w:val="0"/>
        <w:autoSpaceDN w:val="0"/>
        <w:adjustRightInd w:val="0"/>
        <w:jc w:val="both"/>
      </w:pPr>
      <w:r w:rsidRPr="009118AB">
        <w:tab/>
        <w:t>[</w:t>
      </w:r>
      <w:r w:rsidRPr="009118AB">
        <w:rPr>
          <w:b/>
          <w:bCs/>
        </w:rPr>
        <w:t>Art. 307</w:t>
      </w:r>
      <w:r w:rsidRPr="009118AB">
        <w:rPr>
          <w:b/>
          <w:bCs/>
          <w:i/>
          <w:iCs/>
        </w:rPr>
        <w:t>bis</w:t>
      </w:r>
      <w:r w:rsidRPr="009118AB">
        <w:t> - § 1 - Die vom Föderalen Öffentlichen Dienst Finanzen zur Verfügung gestellte elektronische Steuererklärung, die gemäß den darin befindlichen Angaben ausgefüllt und übermittelt wird, wird mit einer in Artikel 307 § 2 erwähnten für richtig bescheinigten, datierten und unterzeichneten Erklärung gleichgesetzt.</w:t>
      </w:r>
    </w:p>
    <w:p w14:paraId="21099C2B" w14:textId="77777777" w:rsidR="000510A2" w:rsidRPr="009118AB" w:rsidRDefault="000510A2" w:rsidP="000510A2">
      <w:pPr>
        <w:autoSpaceDE w:val="0"/>
        <w:autoSpaceDN w:val="0"/>
        <w:adjustRightInd w:val="0"/>
        <w:jc w:val="both"/>
      </w:pPr>
    </w:p>
    <w:p w14:paraId="08B8DD9D" w14:textId="77777777" w:rsidR="000510A2" w:rsidRPr="009118AB" w:rsidRDefault="000510A2" w:rsidP="000510A2">
      <w:pPr>
        <w:autoSpaceDE w:val="0"/>
        <w:autoSpaceDN w:val="0"/>
        <w:adjustRightInd w:val="0"/>
        <w:jc w:val="both"/>
      </w:pPr>
      <w:r w:rsidRPr="009118AB">
        <w:tab/>
        <w:t>§ 2 - Die Bestimmungen des Einkommensteuergesetzbuches 1992 in Bezug auf die Erklärung sind auf die elektronische Steuererklärung anwendbar, sofern diese Bestimmungen aufgrund ihrer Art oder ihrer Modalitäten nicht unvereinbar mit ihr sind.]</w:t>
      </w:r>
    </w:p>
    <w:p w14:paraId="371A8828" w14:textId="77777777" w:rsidR="000510A2" w:rsidRPr="009118AB" w:rsidRDefault="000510A2" w:rsidP="000510A2">
      <w:pPr>
        <w:autoSpaceDE w:val="0"/>
        <w:autoSpaceDN w:val="0"/>
        <w:adjustRightInd w:val="0"/>
        <w:jc w:val="both"/>
      </w:pPr>
    </w:p>
    <w:p w14:paraId="0FE6423F" w14:textId="77777777" w:rsidR="000510A2" w:rsidRPr="009118AB" w:rsidRDefault="000510A2" w:rsidP="000510A2">
      <w:pPr>
        <w:jc w:val="both"/>
      </w:pPr>
      <w:r w:rsidRPr="009118AB">
        <w:tab/>
        <w:t>[§ 3 - Steuerpflichtige, die der Gesellschaftssteuer oder der Steuer der juristischen Personen unterliegen, und Steuerpflichtige, die gemäß Artikel 227 Nr. 2 und 3 der Steuer der Gebietsfremden unterliegen, müssen ihre Erklärung elektronisch einreichen.</w:t>
      </w:r>
    </w:p>
    <w:p w14:paraId="0F882AF4" w14:textId="77777777" w:rsidR="000510A2" w:rsidRPr="009118AB" w:rsidRDefault="000510A2" w:rsidP="000510A2">
      <w:pPr>
        <w:jc w:val="both"/>
      </w:pPr>
    </w:p>
    <w:p w14:paraId="75E491BA" w14:textId="77777777" w:rsidR="000510A2" w:rsidRPr="009118AB" w:rsidRDefault="000510A2" w:rsidP="000510A2">
      <w:pPr>
        <w:jc w:val="both"/>
      </w:pPr>
      <w:r w:rsidRPr="009118AB">
        <w:tab/>
        <w:t>In Absatz 1 erwähnte Steuerpflichtige werden von der Pflicht zur elektronischen Einreichung befreit, solange sie selbst oder gegebenenfalls die Person, die sie zur Einreichung der erwähnten Erklärung bevollmächtigt haben, nicht über die zur Erfüllung dieser Pflicht erforderlichen Informatikmittel verfügen. In diesem Fall wird die Erklärung auf Papier eingereicht.</w:t>
      </w:r>
    </w:p>
    <w:p w14:paraId="5CB78A86" w14:textId="77777777" w:rsidR="000510A2" w:rsidRPr="009118AB" w:rsidRDefault="000510A2" w:rsidP="000510A2">
      <w:pPr>
        <w:jc w:val="both"/>
      </w:pPr>
    </w:p>
    <w:p w14:paraId="084A1D8F" w14:textId="77777777" w:rsidR="000510A2" w:rsidRPr="009118AB" w:rsidRDefault="000510A2" w:rsidP="000510A2">
      <w:pPr>
        <w:autoSpaceDE w:val="0"/>
        <w:autoSpaceDN w:val="0"/>
        <w:adjustRightInd w:val="0"/>
        <w:jc w:val="both"/>
      </w:pPr>
      <w:r w:rsidRPr="009118AB">
        <w:tab/>
        <w:t>Der König bestimmt die Modalitäten in Bezug auf ihre Einreichung.]</w:t>
      </w:r>
    </w:p>
    <w:p w14:paraId="1E5CB97D" w14:textId="77777777" w:rsidR="000510A2" w:rsidRPr="009118AB" w:rsidRDefault="000510A2" w:rsidP="000510A2">
      <w:pPr>
        <w:autoSpaceDE w:val="0"/>
        <w:autoSpaceDN w:val="0"/>
        <w:adjustRightInd w:val="0"/>
        <w:jc w:val="both"/>
      </w:pPr>
    </w:p>
    <w:p w14:paraId="6644AF46" w14:textId="77777777" w:rsidR="000510A2" w:rsidRPr="009118AB" w:rsidRDefault="000510A2" w:rsidP="000510A2">
      <w:pPr>
        <w:autoSpaceDE w:val="0"/>
        <w:autoSpaceDN w:val="0"/>
        <w:adjustRightInd w:val="0"/>
        <w:jc w:val="both"/>
      </w:pPr>
      <w:r w:rsidRPr="009118AB">
        <w:rPr>
          <w:i/>
          <w:iCs/>
        </w:rPr>
        <w:t>[Art. 307bis eingefügt durch Art. 1 des K.E. vom 27. März 2003 (B.S. vom 4. April 2003) - in Kraft ab dem 22. Mai 2003 -; § 3 eingefügt durch Art. 27 des G. vom 17. Juni 2013 (B.S. vom 28. Juni 2013) - anwendbar ab dem Steuerjahr 2015 und anwendbar ab dem Steuerjahr 2014 für Steuerpflichtige, die der Gesellschaftssteuer unterliegen -]</w:t>
      </w:r>
    </w:p>
    <w:p w14:paraId="7404F97A" w14:textId="77777777" w:rsidR="000510A2" w:rsidRPr="009118AB" w:rsidRDefault="000510A2" w:rsidP="000510A2">
      <w:pPr>
        <w:autoSpaceDE w:val="0"/>
        <w:autoSpaceDN w:val="0"/>
        <w:adjustRightInd w:val="0"/>
        <w:jc w:val="both"/>
      </w:pPr>
    </w:p>
    <w:p w14:paraId="6D6197F9" w14:textId="7EDA55B2" w:rsidR="00F64B81" w:rsidRDefault="00F64B81">
      <w:pPr>
        <w:rPr>
          <w:iCs/>
          <w:sz w:val="20"/>
          <w:szCs w:val="20"/>
        </w:rPr>
      </w:pPr>
    </w:p>
    <w:p w14:paraId="14DE80C1" w14:textId="7D3BBB7D" w:rsidR="004F3870" w:rsidRPr="004F3870" w:rsidRDefault="004F3870" w:rsidP="004F3870">
      <w:pPr>
        <w:autoSpaceDE w:val="0"/>
        <w:autoSpaceDN w:val="0"/>
        <w:adjustRightInd w:val="0"/>
        <w:jc w:val="both"/>
        <w:rPr>
          <w:iCs/>
          <w:sz w:val="20"/>
          <w:szCs w:val="20"/>
        </w:rPr>
      </w:pPr>
      <w:r w:rsidRPr="004F3870">
        <w:rPr>
          <w:iCs/>
          <w:sz w:val="20"/>
          <w:szCs w:val="20"/>
        </w:rPr>
        <w:t>Ab einem gemäß Art. 222 des G. vom 12. Mai 2024 (B.S. vom 30. Mai 2024) vom König festzulegenden Datum und spätestens am 1. Januar 2028 lautet Art. </w:t>
      </w:r>
      <w:r>
        <w:rPr>
          <w:iCs/>
          <w:sz w:val="20"/>
          <w:szCs w:val="20"/>
        </w:rPr>
        <w:t>307</w:t>
      </w:r>
      <w:r w:rsidRPr="004F3870">
        <w:rPr>
          <w:i/>
          <w:sz w:val="20"/>
          <w:szCs w:val="20"/>
        </w:rPr>
        <w:t>bis</w:t>
      </w:r>
      <w:r w:rsidRPr="004F3870">
        <w:rPr>
          <w:iCs/>
          <w:sz w:val="20"/>
          <w:szCs w:val="20"/>
        </w:rPr>
        <w:t xml:space="preserve"> wie folgt:</w:t>
      </w:r>
    </w:p>
    <w:p w14:paraId="61B1300E" w14:textId="77777777" w:rsidR="000510A2" w:rsidRPr="009118AB" w:rsidRDefault="000510A2" w:rsidP="000510A2">
      <w:pPr>
        <w:autoSpaceDE w:val="0"/>
        <w:autoSpaceDN w:val="0"/>
        <w:adjustRightInd w:val="0"/>
        <w:jc w:val="both"/>
        <w:rPr>
          <w:iCs/>
          <w:sz w:val="20"/>
          <w:szCs w:val="20"/>
        </w:rPr>
      </w:pPr>
    </w:p>
    <w:p w14:paraId="658D65B2" w14:textId="77777777" w:rsidR="000510A2" w:rsidRPr="009118AB" w:rsidRDefault="000510A2" w:rsidP="000510A2">
      <w:pPr>
        <w:autoSpaceDE w:val="0"/>
        <w:autoSpaceDN w:val="0"/>
        <w:adjustRightInd w:val="0"/>
        <w:jc w:val="both"/>
        <w:rPr>
          <w:iCs/>
          <w:sz w:val="20"/>
          <w:szCs w:val="20"/>
        </w:rPr>
      </w:pPr>
      <w:r w:rsidRPr="009118AB">
        <w:rPr>
          <w:iCs/>
          <w:sz w:val="20"/>
          <w:szCs w:val="20"/>
        </w:rPr>
        <w:t>"[</w:t>
      </w:r>
      <w:r w:rsidRPr="009118AB">
        <w:rPr>
          <w:bCs/>
          <w:iCs/>
          <w:sz w:val="20"/>
          <w:szCs w:val="20"/>
        </w:rPr>
        <w:t>Art. 307</w:t>
      </w:r>
      <w:r w:rsidRPr="009118AB">
        <w:rPr>
          <w:bCs/>
          <w:i/>
          <w:iCs/>
          <w:sz w:val="20"/>
          <w:szCs w:val="20"/>
        </w:rPr>
        <w:t>bis</w:t>
      </w:r>
      <w:r w:rsidRPr="009118AB">
        <w:rPr>
          <w:iCs/>
          <w:sz w:val="20"/>
          <w:szCs w:val="20"/>
        </w:rPr>
        <w:t> - [...]]</w:t>
      </w:r>
    </w:p>
    <w:p w14:paraId="7C834AFB" w14:textId="77777777" w:rsidR="000510A2" w:rsidRPr="009118AB" w:rsidRDefault="000510A2" w:rsidP="000510A2">
      <w:pPr>
        <w:autoSpaceDE w:val="0"/>
        <w:autoSpaceDN w:val="0"/>
        <w:adjustRightInd w:val="0"/>
        <w:jc w:val="both"/>
        <w:rPr>
          <w:iCs/>
          <w:sz w:val="20"/>
          <w:szCs w:val="20"/>
        </w:rPr>
      </w:pPr>
    </w:p>
    <w:p w14:paraId="53E07FE9" w14:textId="112A99CD" w:rsidR="000510A2" w:rsidRPr="009118AB" w:rsidRDefault="000510A2" w:rsidP="000510A2">
      <w:pPr>
        <w:autoSpaceDE w:val="0"/>
        <w:autoSpaceDN w:val="0"/>
        <w:adjustRightInd w:val="0"/>
        <w:jc w:val="both"/>
        <w:rPr>
          <w:iCs/>
          <w:sz w:val="20"/>
          <w:szCs w:val="20"/>
        </w:rPr>
      </w:pPr>
      <w:r w:rsidRPr="009118AB">
        <w:rPr>
          <w:i/>
          <w:iCs/>
          <w:sz w:val="20"/>
          <w:szCs w:val="20"/>
        </w:rPr>
        <w:t>[Art. 307bis eingefügt durch Art. 1 des K.E. vom 27. März 2003 (B.S. vom 4. April 2003) - in Kraft ab dem 22. Mai 2003 -</w:t>
      </w:r>
      <w:r w:rsidR="008414C3">
        <w:rPr>
          <w:i/>
          <w:iCs/>
          <w:sz w:val="20"/>
          <w:szCs w:val="20"/>
        </w:rPr>
        <w:t xml:space="preserve">, </w:t>
      </w:r>
      <w:r w:rsidR="008414C3" w:rsidRPr="008414C3">
        <w:rPr>
          <w:i/>
          <w:iCs/>
          <w:sz w:val="20"/>
          <w:szCs w:val="20"/>
        </w:rPr>
        <w:t>aufgehoben durch Art. 17 des G. vom 26. Januar 2021 (B.S. vom 10. Februar 2021) - in Kraft am 1. Januar 2025 -, selbst aufgehoben durch Art. 213 des G. vom 12. Mai 2024 (B.S. vom 30. Mai 2024)</w:t>
      </w:r>
      <w:r w:rsidR="008414C3">
        <w:rPr>
          <w:i/>
          <w:iCs/>
          <w:sz w:val="20"/>
          <w:szCs w:val="20"/>
        </w:rPr>
        <w:t xml:space="preserve">, </w:t>
      </w:r>
      <w:r w:rsidRPr="009118AB">
        <w:rPr>
          <w:i/>
          <w:iCs/>
          <w:sz w:val="20"/>
          <w:szCs w:val="20"/>
        </w:rPr>
        <w:t xml:space="preserve">und </w:t>
      </w:r>
      <w:r w:rsidR="008414C3">
        <w:rPr>
          <w:i/>
          <w:iCs/>
          <w:sz w:val="20"/>
          <w:szCs w:val="20"/>
        </w:rPr>
        <w:t xml:space="preserve">erneut </w:t>
      </w:r>
      <w:r w:rsidRPr="009118AB">
        <w:rPr>
          <w:i/>
          <w:iCs/>
          <w:sz w:val="20"/>
          <w:szCs w:val="20"/>
        </w:rPr>
        <w:t>aufgehoben durch Art. </w:t>
      </w:r>
      <w:r w:rsidR="004F3870">
        <w:rPr>
          <w:i/>
          <w:iCs/>
          <w:sz w:val="20"/>
          <w:szCs w:val="20"/>
        </w:rPr>
        <w:t>20</w:t>
      </w:r>
      <w:r w:rsidR="004F3870" w:rsidRPr="004F3870">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004F3870" w:rsidRPr="004F3870">
        <w:rPr>
          <w:i/>
          <w:iCs/>
          <w:sz w:val="20"/>
          <w:szCs w:val="20"/>
        </w:rPr>
        <w:t>-</w:t>
      </w:r>
      <w:r w:rsidRPr="009118AB">
        <w:rPr>
          <w:i/>
          <w:iCs/>
          <w:sz w:val="20"/>
          <w:szCs w:val="20"/>
        </w:rPr>
        <w:t>]</w:t>
      </w:r>
      <w:r w:rsidRPr="009118AB">
        <w:rPr>
          <w:iCs/>
          <w:sz w:val="20"/>
          <w:szCs w:val="20"/>
        </w:rPr>
        <w:t>"</w:t>
      </w:r>
    </w:p>
    <w:p w14:paraId="6697E9E1" w14:textId="77777777" w:rsidR="000510A2" w:rsidRPr="009118AB" w:rsidRDefault="000510A2" w:rsidP="000510A2">
      <w:pPr>
        <w:autoSpaceDE w:val="0"/>
        <w:autoSpaceDN w:val="0"/>
        <w:adjustRightInd w:val="0"/>
        <w:jc w:val="both"/>
      </w:pPr>
    </w:p>
    <w:p w14:paraId="6CF44D94" w14:textId="77777777" w:rsidR="000510A2" w:rsidRPr="009118AB" w:rsidRDefault="000510A2" w:rsidP="000510A2">
      <w:pPr>
        <w:autoSpaceDE w:val="0"/>
        <w:autoSpaceDN w:val="0"/>
        <w:adjustRightInd w:val="0"/>
        <w:jc w:val="both"/>
      </w:pPr>
      <w:r w:rsidRPr="009118AB">
        <w:t xml:space="preserve"> </w:t>
      </w:r>
    </w:p>
    <w:p w14:paraId="735115BB" w14:textId="77777777" w:rsidR="000510A2" w:rsidRPr="009541B3" w:rsidRDefault="000510A2" w:rsidP="000510A2">
      <w:pPr>
        <w:ind w:firstLine="708"/>
        <w:jc w:val="both"/>
      </w:pPr>
      <w:r w:rsidRPr="009118AB">
        <w:tab/>
      </w:r>
      <w:r w:rsidRPr="009118AB">
        <w:rPr>
          <w:b/>
          <w:bCs/>
        </w:rPr>
        <w:t>Art. 308</w:t>
      </w:r>
      <w:r w:rsidRPr="009118AB">
        <w:t> - </w:t>
      </w:r>
      <w:bookmarkStart w:id="28" w:name="_Hlk203140980"/>
      <w:r w:rsidRPr="009118AB">
        <w:t>§ 1 - [</w:t>
      </w:r>
      <w:r w:rsidRPr="009541B3">
        <w:t xml:space="preserve">In Artikel 305 erwähnte Steuerpflichtige, die am 1. Januar des Jahres, dessen Jahreszahl das Steuerjahr bestimmt, die Bedingungen der Steuerpflichtigkeit nach Artikel 360 in Bezug auf die Steuer der natürlichen Personen erfüllen, müssen ihre Erklärung </w:t>
      </w:r>
      <w:r w:rsidRPr="009541B3">
        <w:lastRenderedPageBreak/>
        <w:t>spätestens am 30. Juni des Jahres, dessen Jahreszahl das Steuerjahr bestimmt, dem auf dem Formular angegebenen Dienst zukommen lassen, wobei diese Frist nicht kürzer als ein Monat ab der Versendung des Erklärungsformulars sein darf. Optiert ein Steuerpflichtiger für die in Artikel 307</w:t>
      </w:r>
      <w:r w:rsidRPr="009541B3">
        <w:rPr>
          <w:i/>
          <w:iCs/>
        </w:rPr>
        <w:t>bis</w:t>
      </w:r>
      <w:r w:rsidRPr="009541B3">
        <w:t xml:space="preserve"> erwähnte elektronische Steuererklärung, muss er diese spätestens am 15. Juli des Jahres, dessen Jahreszahl das Steuerjahr bestimmt, einreichen, wobei diese Frist nicht kürzer als ein Monat ab der Zurverfügungstellung der elektronischen Steuererklärung auf der elektronischen Plattform des Föderalen Öffentlichen Dienstes Finanzen sein darf.</w:t>
      </w:r>
    </w:p>
    <w:p w14:paraId="08BBA797" w14:textId="77777777" w:rsidR="000510A2" w:rsidRPr="009541B3" w:rsidRDefault="000510A2" w:rsidP="000510A2">
      <w:pPr>
        <w:jc w:val="both"/>
      </w:pPr>
    </w:p>
    <w:p w14:paraId="2218FAB0" w14:textId="77777777" w:rsidR="000510A2" w:rsidRPr="009541B3" w:rsidRDefault="000510A2" w:rsidP="000510A2">
      <w:pPr>
        <w:ind w:firstLine="708"/>
        <w:jc w:val="both"/>
      </w:pPr>
      <w:r w:rsidRPr="009541B3">
        <w:t>In Artikel 305 erwähnte Steuerpflichtige, die am 1. Januar des Jahres, dessen Jahreszahl das Steuerjahr bestimmt, die Bedingungen der Steuerpflichtigkeit nach Artikel 360 als Nicht-Einwohner des Königreichs in Bezug auf die Steuer der Gebietsfremden erfüllen, müssen ihre Erklärung in der auf dem Formular angegebenen Frist, die nicht kürzer als ein Monat ab entweder seiner Versendung oder ab der Zurverfügungstellung der elektronischen Steuererklärung auf der elektronischen Plattform des Föderalen Öffentlichen Dienstes Finanzen sein darf, dem auf dem Formular angegebenen Dienst zukommen lassen.</w:t>
      </w:r>
    </w:p>
    <w:p w14:paraId="3355F992" w14:textId="77777777" w:rsidR="000510A2" w:rsidRPr="009541B3" w:rsidRDefault="000510A2" w:rsidP="000510A2">
      <w:pPr>
        <w:jc w:val="both"/>
      </w:pPr>
    </w:p>
    <w:p w14:paraId="04542265" w14:textId="77777777" w:rsidR="000510A2" w:rsidRPr="009118AB" w:rsidRDefault="000510A2" w:rsidP="000510A2">
      <w:pPr>
        <w:autoSpaceDE w:val="0"/>
        <w:autoSpaceDN w:val="0"/>
        <w:adjustRightInd w:val="0"/>
        <w:ind w:firstLine="708"/>
        <w:jc w:val="both"/>
      </w:pPr>
      <w:r w:rsidRPr="009541B3">
        <w:t xml:space="preserve">Die Pflicht zur Einreichung in den in Absatz 1 und Absatz 2 erwähnten Fristen gilt, was die Erklärung für das Sterbejahr eines Steuerpflichtigen betrifft, auch für die in Artikel 305 Absatz 2 erwähnten Erben oder Gesamtvermächtnisnehmer oder </w:t>
      </w:r>
      <w:r w:rsidRPr="009541B3">
        <w:noBreakHyphen/>
        <w:t>beschenkten.</w:t>
      </w:r>
      <w:r>
        <w:t>]</w:t>
      </w:r>
    </w:p>
    <w:p w14:paraId="2AB833B1" w14:textId="77777777" w:rsidR="000510A2" w:rsidRPr="009118AB" w:rsidRDefault="000510A2" w:rsidP="000510A2">
      <w:pPr>
        <w:autoSpaceDE w:val="0"/>
        <w:autoSpaceDN w:val="0"/>
        <w:adjustRightInd w:val="0"/>
        <w:jc w:val="both"/>
      </w:pPr>
    </w:p>
    <w:p w14:paraId="77A3CD36" w14:textId="77777777" w:rsidR="000510A2" w:rsidRPr="009118AB" w:rsidRDefault="000510A2" w:rsidP="000510A2">
      <w:pPr>
        <w:autoSpaceDE w:val="0"/>
        <w:autoSpaceDN w:val="0"/>
        <w:adjustRightInd w:val="0"/>
        <w:jc w:val="both"/>
      </w:pPr>
      <w:r w:rsidRPr="009118AB">
        <w:tab/>
        <w:t>§ 2 - </w:t>
      </w:r>
      <w:r>
        <w:t>[</w:t>
      </w:r>
      <w:r w:rsidRPr="009541B3">
        <w:t xml:space="preserve">Was die Erklärung für einen Besteuerungszeitraum betrifft, der vor dem Sterbejahr eines Steuerpflichtigen liegt: Sind die in § 1 und in Artikel 308/1 vorgesehenen Fristen am Sterbedatum eines Steuerpflichtigen, der zur Einreichung einer Erklärung verpflichtet ist, nicht abgelaufen, beträgt die Frist für die Erben oder Gesamtvermächtnisnehmer oder </w:t>
      </w:r>
      <w:r w:rsidRPr="009541B3">
        <w:noBreakHyphen/>
        <w:t>beschenkten fünf Monate ab diesem Datum, es sei denn, die in § 1 und in Artikel 308/1 vorgesehenen Fristen enden zu einem späteren Zeitpunkt.</w:t>
      </w:r>
      <w:r>
        <w:t>]</w:t>
      </w:r>
    </w:p>
    <w:p w14:paraId="62048E7F" w14:textId="77777777" w:rsidR="000510A2" w:rsidRPr="009118AB" w:rsidRDefault="000510A2" w:rsidP="000510A2">
      <w:pPr>
        <w:ind w:firstLine="720"/>
        <w:jc w:val="both"/>
      </w:pPr>
    </w:p>
    <w:p w14:paraId="63DB7DF8" w14:textId="77777777" w:rsidR="000510A2" w:rsidRPr="009118AB" w:rsidRDefault="000510A2" w:rsidP="000510A2">
      <w:pPr>
        <w:ind w:firstLine="720"/>
        <w:jc w:val="both"/>
      </w:pPr>
      <w:r w:rsidRPr="009118AB">
        <w:t>§ 3 - </w:t>
      </w:r>
      <w:r>
        <w:t>[</w:t>
      </w:r>
      <w:r w:rsidRPr="009118AB">
        <w:t>[</w:t>
      </w:r>
      <w:r w:rsidRPr="009541B3">
        <w:t>In § 1 Absatz 1 erwähnte Steuerpflichtige, die kein Erklärungsformular erhalten haben, müssen spätestens am 15. Juni des Jahres, dessen Jahreszahl das Steuerjahr bestimmt, bei dem für sie zuständigen Besteuerungsdienst ein Erklärungsformular beantragen.</w:t>
      </w:r>
      <w:r>
        <w:t>]</w:t>
      </w:r>
    </w:p>
    <w:p w14:paraId="767C7925" w14:textId="77777777" w:rsidR="000510A2" w:rsidRPr="009118AB" w:rsidRDefault="000510A2" w:rsidP="000510A2">
      <w:pPr>
        <w:jc w:val="both"/>
      </w:pPr>
    </w:p>
    <w:p w14:paraId="2040696B" w14:textId="77777777" w:rsidR="000510A2" w:rsidRPr="009118AB" w:rsidRDefault="000510A2" w:rsidP="000510A2">
      <w:pPr>
        <w:ind w:firstLine="720"/>
        <w:jc w:val="both"/>
      </w:pPr>
      <w:r w:rsidRPr="009118AB">
        <w:t>Diese Verpflichtung gilt nicht für:</w:t>
      </w:r>
    </w:p>
    <w:p w14:paraId="6218F3C7" w14:textId="77777777" w:rsidR="000510A2" w:rsidRPr="009118AB" w:rsidRDefault="000510A2" w:rsidP="000510A2">
      <w:pPr>
        <w:jc w:val="both"/>
      </w:pPr>
    </w:p>
    <w:p w14:paraId="724D0530" w14:textId="77777777" w:rsidR="000510A2" w:rsidRPr="009118AB" w:rsidRDefault="000510A2" w:rsidP="000510A2">
      <w:pPr>
        <w:ind w:firstLine="720"/>
        <w:jc w:val="both"/>
      </w:pPr>
      <w:r w:rsidRPr="009118AB">
        <w:t>- Steuerpflichtige, die gemäß Artikel 306 von der Erklärungspflicht befreit sind,</w:t>
      </w:r>
    </w:p>
    <w:p w14:paraId="0FCCF1DC" w14:textId="77777777" w:rsidR="000510A2" w:rsidRPr="009118AB" w:rsidRDefault="000510A2" w:rsidP="000510A2">
      <w:pPr>
        <w:jc w:val="both"/>
      </w:pPr>
    </w:p>
    <w:p w14:paraId="44673C4B" w14:textId="77777777" w:rsidR="000510A2" w:rsidRPr="009118AB" w:rsidRDefault="000510A2" w:rsidP="000510A2">
      <w:pPr>
        <w:autoSpaceDE w:val="0"/>
        <w:autoSpaceDN w:val="0"/>
        <w:adjustRightInd w:val="0"/>
        <w:ind w:firstLine="708"/>
        <w:jc w:val="both"/>
      </w:pPr>
      <w:r w:rsidRPr="009118AB">
        <w:t>- [Steuerpflichtige, die in der in Artikel 307</w:t>
      </w:r>
      <w:r w:rsidRPr="009118AB">
        <w:rPr>
          <w:i/>
        </w:rPr>
        <w:t>bis</w:t>
      </w:r>
      <w:r w:rsidRPr="009118AB">
        <w:t xml:space="preserve"> erwähnten elektronischen Steuer</w:t>
      </w:r>
      <w:r w:rsidRPr="009118AB">
        <w:softHyphen/>
        <w:t>erklärung für das vorhergehende Steuerjahr nicht dafür optiert haben, ihre Erklärung im darauf folgenden Steuerjahr auf dem in Artikel 307 erwähnten Formular einzureichen,]]</w:t>
      </w:r>
    </w:p>
    <w:p w14:paraId="4780EC00" w14:textId="77777777" w:rsidR="000510A2" w:rsidRPr="009118AB" w:rsidRDefault="000510A2" w:rsidP="000510A2">
      <w:pPr>
        <w:autoSpaceDE w:val="0"/>
        <w:autoSpaceDN w:val="0"/>
        <w:adjustRightInd w:val="0"/>
        <w:ind w:firstLine="708"/>
        <w:jc w:val="both"/>
      </w:pPr>
    </w:p>
    <w:p w14:paraId="37EAA546" w14:textId="77777777" w:rsidR="000510A2" w:rsidRPr="009118AB" w:rsidRDefault="000510A2" w:rsidP="000510A2">
      <w:pPr>
        <w:autoSpaceDE w:val="0"/>
        <w:autoSpaceDN w:val="0"/>
        <w:adjustRightInd w:val="0"/>
        <w:ind w:firstLine="708"/>
        <w:jc w:val="both"/>
      </w:pPr>
      <w:r w:rsidRPr="009118AB">
        <w:t>[- Steuerpflichtige, die für das vorhergehende Steuerjahr eine in Artikel 307</w:t>
      </w:r>
      <w:r w:rsidRPr="009118AB">
        <w:rPr>
          <w:i/>
          <w:iCs/>
        </w:rPr>
        <w:t>bis</w:t>
      </w:r>
      <w:r w:rsidRPr="009118AB">
        <w:t xml:space="preserve"> erwähnte elektronische Steuererklärung über einen Beauftragten eingereicht haben und diese Vollmacht für das laufende Steuerjahr nicht widerrufen haben.]</w:t>
      </w:r>
    </w:p>
    <w:p w14:paraId="3FD35023" w14:textId="77777777" w:rsidR="000510A2" w:rsidRPr="009118AB" w:rsidRDefault="000510A2" w:rsidP="000510A2">
      <w:pPr>
        <w:autoSpaceDE w:val="0"/>
        <w:autoSpaceDN w:val="0"/>
        <w:adjustRightInd w:val="0"/>
        <w:jc w:val="both"/>
      </w:pPr>
    </w:p>
    <w:p w14:paraId="28B62329" w14:textId="77777777" w:rsidR="000510A2" w:rsidRPr="009541B3" w:rsidRDefault="000510A2" w:rsidP="000510A2">
      <w:pPr>
        <w:ind w:firstLine="708"/>
        <w:jc w:val="both"/>
      </w:pPr>
      <w:r w:rsidRPr="009118AB">
        <w:tab/>
        <w:t>§ 4 - [</w:t>
      </w:r>
      <w:r w:rsidRPr="009541B3">
        <w:t xml:space="preserve">Für die in Artikel 305 Absatz 2 erwähnten Erben oder Gesamtvermächtnisnehmer oder </w:t>
      </w:r>
      <w:r w:rsidRPr="009541B3">
        <w:noBreakHyphen/>
        <w:t>beschenkten, die dafür optieren, die Erklärung für das Sterbejahr auf Papier einzureichen, gilt die in § 3 Absatz 1 vorgesehene Verpflichtung ebenfalls.</w:t>
      </w:r>
    </w:p>
    <w:p w14:paraId="6E6FAA91" w14:textId="77777777" w:rsidR="000510A2" w:rsidRPr="009541B3" w:rsidRDefault="000510A2" w:rsidP="000510A2">
      <w:pPr>
        <w:jc w:val="both"/>
      </w:pPr>
    </w:p>
    <w:p w14:paraId="6A6D9011" w14:textId="77777777" w:rsidR="00F75F24" w:rsidRDefault="00F75F24">
      <w:r>
        <w:br w:type="page"/>
      </w:r>
    </w:p>
    <w:p w14:paraId="4CEF723D" w14:textId="7C79DF04" w:rsidR="000510A2" w:rsidRPr="009118AB" w:rsidRDefault="000510A2" w:rsidP="000510A2">
      <w:pPr>
        <w:autoSpaceDE w:val="0"/>
        <w:autoSpaceDN w:val="0"/>
        <w:adjustRightInd w:val="0"/>
        <w:ind w:firstLine="708"/>
        <w:jc w:val="both"/>
      </w:pPr>
      <w:r w:rsidRPr="009541B3">
        <w:lastRenderedPageBreak/>
        <w:t xml:space="preserve">In Artikel 305 Absatz 2 erwähnte Erben oder Gesamtvermächtnisnehmer oder </w:t>
      </w:r>
      <w:r w:rsidRPr="009541B3">
        <w:noBreakHyphen/>
        <w:t>beschenkte, die dafür optieren, die Erklärung für ein Jahr, das vor dem Sterbejahr liegt, auf Papier einzureichen, müssen das Erklärungsformular in einer Frist von vier Monaten ab dem Tod des Steuerpflichtigen beantragen. In diesem Fall muss gegebenenfalls die Frist angegeben werden, auf die sie eventuell in Anwendung von § 2 Anspruch erheben können.</w:t>
      </w:r>
      <w:r w:rsidRPr="009118AB">
        <w:t>]</w:t>
      </w:r>
    </w:p>
    <w:p w14:paraId="18FE67DA" w14:textId="77777777" w:rsidR="000510A2" w:rsidRPr="009118AB" w:rsidRDefault="000510A2" w:rsidP="000510A2">
      <w:pPr>
        <w:autoSpaceDE w:val="0"/>
        <w:autoSpaceDN w:val="0"/>
        <w:adjustRightInd w:val="0"/>
        <w:jc w:val="both"/>
      </w:pPr>
    </w:p>
    <w:p w14:paraId="72E2D9ED" w14:textId="77777777" w:rsidR="000510A2" w:rsidRPr="009118AB" w:rsidRDefault="000510A2" w:rsidP="000510A2">
      <w:pPr>
        <w:jc w:val="both"/>
      </w:pPr>
      <w:r w:rsidRPr="009118AB">
        <w:rPr>
          <w:i/>
          <w:iCs/>
        </w:rPr>
        <w:t xml:space="preserve">[Art. 308 § 1 </w:t>
      </w:r>
      <w:r>
        <w:rPr>
          <w:i/>
          <w:iCs/>
        </w:rPr>
        <w:t xml:space="preserve">ersetzt </w:t>
      </w:r>
      <w:bookmarkStart w:id="29" w:name="_Hlk192856191"/>
      <w:r>
        <w:rPr>
          <w:i/>
          <w:iCs/>
        </w:rPr>
        <w:t xml:space="preserve">durch Art. 70 Nr. 1 </w:t>
      </w:r>
      <w:r w:rsidRPr="003E131B">
        <w:rPr>
          <w:i/>
          <w:iCs/>
          <w:spacing w:val="-2"/>
        </w:rPr>
        <w:t xml:space="preserve">des G. vom 28. Dezember 2023 (B.S. vom 29. Dezember 2023) </w:t>
      </w:r>
      <w:r>
        <w:rPr>
          <w:i/>
          <w:iCs/>
        </w:rPr>
        <w:t>- </w:t>
      </w:r>
      <w:r w:rsidRPr="00896904">
        <w:rPr>
          <w:i/>
          <w:iCs/>
        </w:rPr>
        <w:t>anwendbar für die an die Steuerjahre 2024 und folgende gebundenen Besteuerungszeiträume -;</w:t>
      </w:r>
      <w:bookmarkEnd w:id="29"/>
      <w:r>
        <w:rPr>
          <w:i/>
          <w:iCs/>
        </w:rPr>
        <w:t xml:space="preserve"> § 2 ersetzt durch Art. 70 Nr. 2 </w:t>
      </w:r>
      <w:r w:rsidRPr="003E131B">
        <w:rPr>
          <w:i/>
          <w:iCs/>
          <w:spacing w:val="-2"/>
        </w:rPr>
        <w:t xml:space="preserve">des G. vom 28. Dezember 2023 (B.S. vom 29. Dezember 2023) </w:t>
      </w:r>
      <w:r>
        <w:rPr>
          <w:i/>
          <w:iCs/>
        </w:rPr>
        <w:t>- </w:t>
      </w:r>
      <w:r w:rsidRPr="00896904">
        <w:rPr>
          <w:i/>
          <w:iCs/>
        </w:rPr>
        <w:t>anwendbar für die an die Steuerjahre 2024 und folgende gebundenen Besteuerungszeiträume -;</w:t>
      </w:r>
      <w:r w:rsidRPr="009118AB">
        <w:rPr>
          <w:i/>
          <w:iCs/>
          <w:spacing w:val="-2"/>
        </w:rPr>
        <w:t xml:space="preserve"> </w:t>
      </w:r>
      <w:r w:rsidRPr="009118AB">
        <w:rPr>
          <w:i/>
          <w:iCs/>
        </w:rPr>
        <w:t xml:space="preserve">§ 3 ersetzt durch </w:t>
      </w:r>
      <w:r w:rsidRPr="009118AB">
        <w:rPr>
          <w:i/>
        </w:rPr>
        <w:t>Art. 94 des G. vom 27. April 2007 (I) (B.S. vom 8. Mai 2007)</w:t>
      </w:r>
      <w:r w:rsidRPr="009118AB">
        <w:rPr>
          <w:i/>
          <w:iCs/>
        </w:rPr>
        <w:t xml:space="preserve"> - anwendbar </w:t>
      </w:r>
      <w:r w:rsidRPr="009118AB">
        <w:rPr>
          <w:i/>
        </w:rPr>
        <w:t>ab dem Steuerjahr 2008 -;</w:t>
      </w:r>
      <w:r w:rsidRPr="009118AB">
        <w:rPr>
          <w:i/>
          <w:iCs/>
        </w:rPr>
        <w:t xml:space="preserve"> </w:t>
      </w:r>
      <w:r>
        <w:rPr>
          <w:i/>
          <w:iCs/>
        </w:rPr>
        <w:t xml:space="preserve">§ 3 Abs. 1 ersetzt durch Art. 70 Nr. 3 </w:t>
      </w:r>
      <w:r w:rsidRPr="003E131B">
        <w:rPr>
          <w:i/>
          <w:iCs/>
          <w:spacing w:val="-2"/>
        </w:rPr>
        <w:t xml:space="preserve">des G. vom 28. Dezember 2023 (B.S. vom 29. Dezember 2023) </w:t>
      </w:r>
      <w:r>
        <w:rPr>
          <w:i/>
          <w:iCs/>
        </w:rPr>
        <w:t>- </w:t>
      </w:r>
      <w:r w:rsidRPr="00896904">
        <w:rPr>
          <w:i/>
          <w:iCs/>
        </w:rPr>
        <w:t>anwendbar für die an die Steuerjahre 2024 und folgende gebundenen Besteuerungszeiträume -;</w:t>
      </w:r>
      <w:r>
        <w:rPr>
          <w:i/>
          <w:iCs/>
        </w:rPr>
        <w:t xml:space="preserve"> </w:t>
      </w:r>
      <w:r w:rsidRPr="009118AB">
        <w:rPr>
          <w:i/>
          <w:iCs/>
        </w:rPr>
        <w:t>§ 3 Abs. 2 zweiter Gedankenstrich ersetzt durch Art. 53 des G. vom 14. April 2011 (B.S. vom 6. Mai 2011) - anwendbar ab dem Steuerjahr 2012 -; § 3 Abs. 2 dritter Gedankenstrich eingefügt durch Art. 2 des G. vom 4. Mai 2010 (B.S. vom 11. Mai 2010) - anwendbar ab dem Steuerjahr 2010 -; § 4 aufgehoben durch Art. 2 Nr. 2 des G. vom 5. Juli 1994 (B.S. vom 16. Juli 1994) - anwendbar ab dem Steuerjahr 1994 -</w:t>
      </w:r>
      <w:r>
        <w:rPr>
          <w:i/>
          <w:iCs/>
        </w:rPr>
        <w:t xml:space="preserve"> und wieder aufgenommen durch Art. 70 Nr. 4 </w:t>
      </w:r>
      <w:r w:rsidRPr="003E131B">
        <w:rPr>
          <w:i/>
          <w:iCs/>
          <w:spacing w:val="-2"/>
        </w:rPr>
        <w:t xml:space="preserve">des G. vom 28. Dezember 2023 (B.S. vom 29. Dezember 2023) </w:t>
      </w:r>
      <w:r w:rsidRPr="00152BE9">
        <w:rPr>
          <w:i/>
          <w:iCs/>
        </w:rPr>
        <w:t>- </w:t>
      </w:r>
      <w:r w:rsidRPr="00896904">
        <w:rPr>
          <w:i/>
          <w:iCs/>
        </w:rPr>
        <w:t>anwendbar</w:t>
      </w:r>
      <w:r w:rsidRPr="00152BE9">
        <w:rPr>
          <w:i/>
          <w:iCs/>
        </w:rPr>
        <w:t xml:space="preserve"> </w:t>
      </w:r>
      <w:r w:rsidRPr="00896904">
        <w:rPr>
          <w:i/>
          <w:iCs/>
        </w:rPr>
        <w:t>für die an die Steuerjahre 2024 und folgende gebundenen Besteuerungszeiträume</w:t>
      </w:r>
      <w:r w:rsidRPr="00152BE9">
        <w:rPr>
          <w:i/>
          <w:iCs/>
        </w:rPr>
        <w:t> -</w:t>
      </w:r>
      <w:r w:rsidRPr="009118AB">
        <w:rPr>
          <w:i/>
          <w:iCs/>
        </w:rPr>
        <w:t>]</w:t>
      </w:r>
    </w:p>
    <w:bookmarkEnd w:id="28"/>
    <w:p w14:paraId="03CF6119" w14:textId="77777777" w:rsidR="000510A2" w:rsidRPr="009118AB" w:rsidRDefault="000510A2" w:rsidP="000510A2">
      <w:pPr>
        <w:autoSpaceDE w:val="0"/>
        <w:autoSpaceDN w:val="0"/>
        <w:adjustRightInd w:val="0"/>
        <w:jc w:val="both"/>
      </w:pPr>
    </w:p>
    <w:p w14:paraId="45CCA345" w14:textId="77777777" w:rsidR="000510A2" w:rsidRPr="009118AB" w:rsidRDefault="000510A2" w:rsidP="000510A2">
      <w:pPr>
        <w:autoSpaceDE w:val="0"/>
        <w:autoSpaceDN w:val="0"/>
        <w:adjustRightInd w:val="0"/>
        <w:jc w:val="both"/>
      </w:pPr>
    </w:p>
    <w:p w14:paraId="56A067D4" w14:textId="296030D4" w:rsidR="000510A2" w:rsidRPr="009118AB" w:rsidRDefault="006E6BD4" w:rsidP="000510A2">
      <w:pPr>
        <w:autoSpaceDE w:val="0"/>
        <w:autoSpaceDN w:val="0"/>
        <w:adjustRightInd w:val="0"/>
        <w:jc w:val="both"/>
        <w:rPr>
          <w:iCs/>
          <w:sz w:val="20"/>
          <w:szCs w:val="20"/>
        </w:rPr>
      </w:pPr>
      <w:r w:rsidRPr="006E6BD4">
        <w:rPr>
          <w:iCs/>
          <w:sz w:val="20"/>
          <w:szCs w:val="20"/>
        </w:rPr>
        <w:t>Ab einem gemäß Art. 222 des G. vom 12. Mai 2024 (B.S. vom 30. Mai 2024) vom König festzulegenden Datum und spätestens am 1. Januar 2028 lautet Art. </w:t>
      </w:r>
      <w:r w:rsidR="000510A2" w:rsidRPr="009118AB">
        <w:rPr>
          <w:iCs/>
          <w:sz w:val="20"/>
          <w:szCs w:val="20"/>
        </w:rPr>
        <w:t>308 wie folgt:</w:t>
      </w:r>
    </w:p>
    <w:p w14:paraId="62BC2115" w14:textId="77777777" w:rsidR="000510A2" w:rsidRPr="009118AB" w:rsidRDefault="000510A2" w:rsidP="000510A2">
      <w:pPr>
        <w:autoSpaceDE w:val="0"/>
        <w:autoSpaceDN w:val="0"/>
        <w:adjustRightInd w:val="0"/>
        <w:jc w:val="both"/>
        <w:rPr>
          <w:iCs/>
          <w:sz w:val="20"/>
          <w:szCs w:val="20"/>
        </w:rPr>
      </w:pPr>
    </w:p>
    <w:p w14:paraId="2F383853" w14:textId="77777777" w:rsidR="0041376C" w:rsidRPr="0041376C" w:rsidRDefault="000510A2" w:rsidP="0041376C">
      <w:pPr>
        <w:jc w:val="both"/>
        <w:rPr>
          <w:iCs/>
          <w:sz w:val="20"/>
          <w:szCs w:val="20"/>
        </w:rPr>
      </w:pPr>
      <w:r w:rsidRPr="009118AB">
        <w:rPr>
          <w:iCs/>
          <w:sz w:val="20"/>
          <w:szCs w:val="20"/>
        </w:rPr>
        <w:t>"</w:t>
      </w:r>
      <w:r w:rsidRPr="009118AB">
        <w:rPr>
          <w:bCs/>
          <w:iCs/>
          <w:sz w:val="20"/>
          <w:szCs w:val="20"/>
        </w:rPr>
        <w:t>Art. 308</w:t>
      </w:r>
      <w:r w:rsidRPr="009118AB">
        <w:rPr>
          <w:iCs/>
          <w:sz w:val="20"/>
          <w:szCs w:val="20"/>
        </w:rPr>
        <w:t> - </w:t>
      </w:r>
      <w:r w:rsidR="0041376C" w:rsidRPr="0041376C">
        <w:rPr>
          <w:iCs/>
          <w:sz w:val="20"/>
          <w:szCs w:val="20"/>
        </w:rPr>
        <w:t>§ 1 - [</w:t>
      </w:r>
      <w:r w:rsidR="0041376C">
        <w:rPr>
          <w:iCs/>
          <w:sz w:val="20"/>
          <w:szCs w:val="20"/>
        </w:rPr>
        <w:t>[</w:t>
      </w:r>
      <w:r w:rsidR="0041376C" w:rsidRPr="0041376C">
        <w:rPr>
          <w:iCs/>
          <w:sz w:val="20"/>
          <w:szCs w:val="20"/>
        </w:rPr>
        <w:t>In Artikel 305 erwähnte Steuerpflichtige, die am 1. Januar des Jahres, dessen Jahreszahl das Steuerjahr bestimmt, die Bedingungen der Steuerpflichtigkeit nach Artikel 360 in Bezug auf die Steuer der natürlichen Personen erfüllen, müssen ihre Erklärung spätestens am 30. Juni des Jahres, dessen Jahreszahl das Steuerjahr bestimmt, dem auf dem Formular angegebenen Dienst übermitteln, wobei diese Frist nicht kürzer als ein Monat ab der Übermittlung des Erklärungsformulars sein darf. Optiert ein Steuerpflichtiger für die elektronische Steuererklärung, muss er diese spätestens am 15. Juli des Jahres, dessen Jahreszahl das Steuerjahr bestimmt, übermitteln, wobei diese Frist nicht kürzer als ein Monat ab der Zurverfügungstellung der elektronischen Steuererklärung auf der elektronischen Plattform des Föderalen Öffentlichen Dienstes Finanzen sein darf.</w:t>
      </w:r>
    </w:p>
    <w:p w14:paraId="1AD5A212" w14:textId="77777777" w:rsidR="0041376C" w:rsidRPr="0041376C" w:rsidRDefault="0041376C" w:rsidP="0041376C">
      <w:pPr>
        <w:jc w:val="both"/>
        <w:rPr>
          <w:iCs/>
          <w:sz w:val="20"/>
          <w:szCs w:val="20"/>
        </w:rPr>
      </w:pPr>
    </w:p>
    <w:p w14:paraId="036F5DC2" w14:textId="21635D35" w:rsidR="0041376C" w:rsidRPr="0041376C" w:rsidRDefault="0041376C" w:rsidP="0041376C">
      <w:pPr>
        <w:jc w:val="both"/>
        <w:rPr>
          <w:iCs/>
          <w:sz w:val="20"/>
          <w:szCs w:val="20"/>
        </w:rPr>
      </w:pPr>
      <w:r w:rsidRPr="0041376C">
        <w:rPr>
          <w:iCs/>
          <w:sz w:val="20"/>
          <w:szCs w:val="20"/>
        </w:rPr>
        <w:t>In Artikel 305 erwähnte Steuerpflichtige, die am 1. Januar des Jahres, dessen Jahreszahl das Steuerjahr bestimmt, die Bedingungen der Steuerpflichtigkeit nach Artikel 360 als Nicht-Einwohner des Königreichs in Bezug auf die Steuer der Gebietsfremden erfüllen, müssen ihre Erklärung in der auf dem Formular angegebenen Frist, die nicht kürzer als ein Monat ab entweder seiner Übermittlung oder ab der Zurverfügungstellung der elektronischen Steuererklärung auf der elektronischen Plattform des Föderalen Öffentlichen Dienstes Finanzen sein darf, dem auf dem Formular angegebenen Dienst übermitteln.</w:t>
      </w:r>
      <w:r>
        <w:rPr>
          <w:iCs/>
          <w:sz w:val="20"/>
          <w:szCs w:val="20"/>
        </w:rPr>
        <w:t>]</w:t>
      </w:r>
    </w:p>
    <w:p w14:paraId="626C7F97" w14:textId="77777777" w:rsidR="0041376C" w:rsidRPr="0041376C" w:rsidRDefault="0041376C" w:rsidP="0041376C">
      <w:pPr>
        <w:jc w:val="both"/>
        <w:rPr>
          <w:iCs/>
          <w:sz w:val="20"/>
          <w:szCs w:val="20"/>
        </w:rPr>
      </w:pPr>
    </w:p>
    <w:p w14:paraId="7767B2D2" w14:textId="77777777" w:rsidR="0041376C" w:rsidRPr="0041376C" w:rsidRDefault="0041376C" w:rsidP="0041376C">
      <w:pPr>
        <w:jc w:val="both"/>
        <w:rPr>
          <w:iCs/>
          <w:sz w:val="20"/>
          <w:szCs w:val="20"/>
        </w:rPr>
      </w:pPr>
      <w:r w:rsidRPr="0041376C">
        <w:rPr>
          <w:iCs/>
          <w:sz w:val="20"/>
          <w:szCs w:val="20"/>
        </w:rPr>
        <w:t xml:space="preserve">Die Pflicht zur Einreichung in den in Absatz 1 und Absatz 2 erwähnten Fristen gilt, was die Erklärung für das Sterbejahr eines Steuerpflichtigen betrifft, auch für die in Artikel 305 Absatz 2 erwähnten Erben oder Gesamtvermächtnisnehmer oder </w:t>
      </w:r>
      <w:r w:rsidRPr="0041376C">
        <w:rPr>
          <w:iCs/>
          <w:sz w:val="20"/>
          <w:szCs w:val="20"/>
        </w:rPr>
        <w:noBreakHyphen/>
        <w:t>beschenkten.]</w:t>
      </w:r>
    </w:p>
    <w:p w14:paraId="604422DD" w14:textId="77777777" w:rsidR="0041376C" w:rsidRPr="0041376C" w:rsidRDefault="0041376C" w:rsidP="0041376C">
      <w:pPr>
        <w:jc w:val="both"/>
        <w:rPr>
          <w:iCs/>
          <w:sz w:val="20"/>
          <w:szCs w:val="20"/>
        </w:rPr>
      </w:pPr>
    </w:p>
    <w:p w14:paraId="30FA6CCD" w14:textId="19AC7C1A" w:rsidR="0041376C" w:rsidRPr="0041376C" w:rsidRDefault="0041376C" w:rsidP="0041376C">
      <w:pPr>
        <w:jc w:val="both"/>
        <w:rPr>
          <w:iCs/>
          <w:sz w:val="20"/>
          <w:szCs w:val="20"/>
        </w:rPr>
      </w:pPr>
      <w:r w:rsidRPr="0041376C">
        <w:rPr>
          <w:iCs/>
          <w:sz w:val="20"/>
          <w:szCs w:val="20"/>
        </w:rPr>
        <w:t xml:space="preserve">§ 2 - [Was die Erklärung für einen Besteuerungszeitraum betrifft, der vor dem Sterbejahr eines Steuerpflichtigen liegt: Sind die in § 1 und in Artikel 308/1 vorgesehenen Fristen am Sterbedatum eines Steuerpflichtigen, der zur </w:t>
      </w:r>
      <w:r>
        <w:rPr>
          <w:iCs/>
          <w:sz w:val="20"/>
          <w:szCs w:val="20"/>
        </w:rPr>
        <w:t>[</w:t>
      </w:r>
      <w:r w:rsidRPr="0041376C">
        <w:rPr>
          <w:iCs/>
          <w:sz w:val="20"/>
          <w:szCs w:val="20"/>
        </w:rPr>
        <w:t>Übermittlung</w:t>
      </w:r>
      <w:r>
        <w:rPr>
          <w:iCs/>
          <w:sz w:val="20"/>
          <w:szCs w:val="20"/>
        </w:rPr>
        <w:t>]</w:t>
      </w:r>
      <w:r w:rsidRPr="0041376C">
        <w:rPr>
          <w:iCs/>
          <w:sz w:val="20"/>
          <w:szCs w:val="20"/>
        </w:rPr>
        <w:t xml:space="preserve"> einer Erklärung verpflichtet ist, nicht abgelaufen, beträgt die Frist für die Erben oder Gesamtvermächtnisnehmer oder </w:t>
      </w:r>
      <w:r w:rsidRPr="0041376C">
        <w:rPr>
          <w:iCs/>
          <w:sz w:val="20"/>
          <w:szCs w:val="20"/>
        </w:rPr>
        <w:noBreakHyphen/>
        <w:t>beschenkten fünf Monate ab diesem Datum, es sei denn, die in § 1 und in Artikel 308/1 vorgesehenen Fristen enden zu einem späteren Zeitpunkt.]</w:t>
      </w:r>
    </w:p>
    <w:p w14:paraId="122CB943" w14:textId="77777777" w:rsidR="0041376C" w:rsidRPr="0041376C" w:rsidRDefault="0041376C" w:rsidP="0041376C">
      <w:pPr>
        <w:jc w:val="both"/>
        <w:rPr>
          <w:iCs/>
          <w:sz w:val="20"/>
          <w:szCs w:val="20"/>
        </w:rPr>
      </w:pPr>
    </w:p>
    <w:p w14:paraId="1A977004" w14:textId="77777777" w:rsidR="0041376C" w:rsidRPr="0041376C" w:rsidRDefault="0041376C" w:rsidP="0041376C">
      <w:pPr>
        <w:jc w:val="both"/>
        <w:rPr>
          <w:iCs/>
          <w:sz w:val="20"/>
          <w:szCs w:val="20"/>
        </w:rPr>
      </w:pPr>
      <w:r w:rsidRPr="0041376C">
        <w:rPr>
          <w:iCs/>
          <w:sz w:val="20"/>
          <w:szCs w:val="20"/>
        </w:rPr>
        <w:t>§ 3 - [In § 1 Absatz 1 erwähnte Steuerpflichtige, die sich gemäß Artikel 304</w:t>
      </w:r>
      <w:r w:rsidRPr="0041376C">
        <w:rPr>
          <w:i/>
          <w:iCs/>
          <w:sz w:val="20"/>
          <w:szCs w:val="20"/>
        </w:rPr>
        <w:t>ter</w:t>
      </w:r>
      <w:r w:rsidRPr="0041376C">
        <w:rPr>
          <w:iCs/>
          <w:sz w:val="20"/>
          <w:szCs w:val="20"/>
        </w:rPr>
        <w:t xml:space="preserve"> nicht ausdrücklich dafür entschieden haben, auf elektronischem Wege zu kommunizieren, und die kein Erklärungsformular auf Papier erhalten haben, müssen spätestens am 15. Juni des Jahres, dessen Jahreszahl das Steuerjahr bestimmt, bei dem für </w:t>
      </w:r>
      <w:r w:rsidRPr="0041376C">
        <w:rPr>
          <w:iCs/>
          <w:sz w:val="20"/>
          <w:szCs w:val="20"/>
        </w:rPr>
        <w:lastRenderedPageBreak/>
        <w:t>sie zuständigen Besteuerungsdienst ein Erklärungsformular auf Papier beantragen und gegebenenfalls die Frist angeben, auf die sie eventuell in Anwendung von § 2 Anspruch erheben können.</w:t>
      </w:r>
    </w:p>
    <w:p w14:paraId="3EB10000" w14:textId="77777777" w:rsidR="0041376C" w:rsidRPr="0041376C" w:rsidRDefault="0041376C" w:rsidP="0041376C">
      <w:pPr>
        <w:jc w:val="both"/>
        <w:rPr>
          <w:iCs/>
          <w:sz w:val="20"/>
          <w:szCs w:val="20"/>
        </w:rPr>
      </w:pPr>
    </w:p>
    <w:p w14:paraId="35AB2026" w14:textId="73937952" w:rsidR="0041376C" w:rsidRPr="0041376C" w:rsidRDefault="0041376C" w:rsidP="0041376C">
      <w:pPr>
        <w:jc w:val="both"/>
        <w:rPr>
          <w:iCs/>
          <w:sz w:val="20"/>
          <w:szCs w:val="20"/>
        </w:rPr>
      </w:pPr>
      <w:r w:rsidRPr="0041376C">
        <w:rPr>
          <w:iCs/>
          <w:sz w:val="20"/>
          <w:szCs w:val="20"/>
        </w:rPr>
        <w:t>Diese Verpflichtung gilt nicht für Steuerpflichtige, die gemäß Artikel 306 von der Erklärungspflicht befreit sind.]</w:t>
      </w:r>
    </w:p>
    <w:p w14:paraId="00FD26ED" w14:textId="77777777" w:rsidR="0041376C" w:rsidRPr="0041376C" w:rsidRDefault="0041376C" w:rsidP="0041376C">
      <w:pPr>
        <w:jc w:val="both"/>
        <w:rPr>
          <w:iCs/>
          <w:sz w:val="20"/>
          <w:szCs w:val="20"/>
        </w:rPr>
      </w:pPr>
    </w:p>
    <w:p w14:paraId="0ACB12C4" w14:textId="107A483F" w:rsidR="0041376C" w:rsidRPr="0041376C" w:rsidRDefault="0041376C" w:rsidP="0041376C">
      <w:pPr>
        <w:jc w:val="both"/>
        <w:rPr>
          <w:iCs/>
          <w:sz w:val="20"/>
          <w:szCs w:val="20"/>
        </w:rPr>
      </w:pPr>
      <w:r w:rsidRPr="0041376C">
        <w:rPr>
          <w:iCs/>
          <w:sz w:val="20"/>
          <w:szCs w:val="20"/>
        </w:rPr>
        <w:t xml:space="preserve">§ 4 - [Für die in Artikel 305 Absatz 2 erwähnten Erben oder Gesamtvermächtnisnehmer oder </w:t>
      </w:r>
      <w:r w:rsidRPr="0041376C">
        <w:rPr>
          <w:iCs/>
          <w:sz w:val="20"/>
          <w:szCs w:val="20"/>
        </w:rPr>
        <w:noBreakHyphen/>
        <w:t xml:space="preserve">beschenkten, die dafür optieren, die Erklärung für das Sterbejahr auf Papier </w:t>
      </w:r>
      <w:r>
        <w:rPr>
          <w:iCs/>
          <w:sz w:val="20"/>
          <w:szCs w:val="20"/>
        </w:rPr>
        <w:t>[zu übermitteln]</w:t>
      </w:r>
      <w:r w:rsidRPr="0041376C">
        <w:rPr>
          <w:iCs/>
          <w:sz w:val="20"/>
          <w:szCs w:val="20"/>
        </w:rPr>
        <w:t>, gilt die in § 3 Absatz 1 vorgesehene Verpflichtung ebenfalls.</w:t>
      </w:r>
    </w:p>
    <w:p w14:paraId="2B9B9351" w14:textId="77777777" w:rsidR="0041376C" w:rsidRPr="0041376C" w:rsidRDefault="0041376C" w:rsidP="0041376C">
      <w:pPr>
        <w:jc w:val="both"/>
        <w:rPr>
          <w:iCs/>
          <w:sz w:val="20"/>
          <w:szCs w:val="20"/>
        </w:rPr>
      </w:pPr>
    </w:p>
    <w:p w14:paraId="0A6F4C8E" w14:textId="4CC678CB" w:rsidR="0041376C" w:rsidRPr="0041376C" w:rsidRDefault="0041376C" w:rsidP="0041376C">
      <w:pPr>
        <w:jc w:val="both"/>
        <w:rPr>
          <w:iCs/>
          <w:sz w:val="20"/>
          <w:szCs w:val="20"/>
        </w:rPr>
      </w:pPr>
      <w:r w:rsidRPr="0041376C">
        <w:rPr>
          <w:iCs/>
          <w:sz w:val="20"/>
          <w:szCs w:val="20"/>
        </w:rPr>
        <w:t xml:space="preserve">In Artikel 305 Absatz 2 erwähnte Erben oder Gesamtvermächtnisnehmer oder </w:t>
      </w:r>
      <w:r w:rsidRPr="0041376C">
        <w:rPr>
          <w:iCs/>
          <w:sz w:val="20"/>
          <w:szCs w:val="20"/>
        </w:rPr>
        <w:noBreakHyphen/>
        <w:t xml:space="preserve">beschenkte, die dafür optieren, die Erklärung für ein Jahr, das vor dem Sterbejahr liegt, auf Papier </w:t>
      </w:r>
      <w:r>
        <w:rPr>
          <w:iCs/>
          <w:sz w:val="20"/>
          <w:szCs w:val="20"/>
        </w:rPr>
        <w:t>[zu übermitteln]</w:t>
      </w:r>
      <w:r w:rsidRPr="0041376C">
        <w:rPr>
          <w:iCs/>
          <w:sz w:val="20"/>
          <w:szCs w:val="20"/>
        </w:rPr>
        <w:t>, müssen das Erklärungsformular in einer Frist von vier Monaten ab dem Tod des Steuerpflichtigen beantragen. In diesem Fall muss gegebenenfalls die Frist angegeben werden, auf die sie eventuell in Anwendung von § 2 Anspruch erheben können.]</w:t>
      </w:r>
    </w:p>
    <w:p w14:paraId="6AD88F4E" w14:textId="77777777" w:rsidR="0041376C" w:rsidRPr="0041376C" w:rsidRDefault="0041376C" w:rsidP="0041376C">
      <w:pPr>
        <w:jc w:val="both"/>
        <w:rPr>
          <w:iCs/>
          <w:sz w:val="20"/>
          <w:szCs w:val="20"/>
        </w:rPr>
      </w:pPr>
    </w:p>
    <w:p w14:paraId="226F25CF" w14:textId="10D5F099" w:rsidR="000510A2" w:rsidRPr="008414C3" w:rsidRDefault="0041376C" w:rsidP="002D6BCB">
      <w:pPr>
        <w:jc w:val="both"/>
        <w:rPr>
          <w:i/>
          <w:iCs/>
          <w:sz w:val="20"/>
          <w:szCs w:val="20"/>
        </w:rPr>
      </w:pPr>
      <w:r w:rsidRPr="0041376C">
        <w:rPr>
          <w:i/>
          <w:iCs/>
          <w:sz w:val="20"/>
          <w:szCs w:val="20"/>
        </w:rPr>
        <w:t xml:space="preserve">[Art. 308 § 1 ersetzt durch Art. 70 Nr. 1 des G. vom 28. Dezember 2023 (B.S. vom 29. Dezember 2023) - anwendbar für die an die Steuerjahre 2024 und folgende gebundenen Besteuerungszeiträume -; </w:t>
      </w:r>
      <w:r w:rsidR="002D6BCB">
        <w:rPr>
          <w:i/>
          <w:iCs/>
          <w:sz w:val="20"/>
          <w:szCs w:val="20"/>
        </w:rPr>
        <w:t>§ 1 Abs. 1 und 2 ersetzt durch Art. 21 Nr. 1</w:t>
      </w:r>
      <w:r w:rsidR="002D6BCB" w:rsidRPr="002D6BCB">
        <w:rPr>
          <w:i/>
          <w:iCs/>
          <w:sz w:val="20"/>
          <w:szCs w:val="20"/>
        </w:rPr>
        <w:t xml:space="preserve"> des G. vom 12. Mai 2024 (B.S. vom 30. Mai 2024) - </w:t>
      </w:r>
      <w:r w:rsidR="00F75F24" w:rsidRPr="00F75F24">
        <w:rPr>
          <w:i/>
          <w:iCs/>
          <w:sz w:val="20"/>
          <w:szCs w:val="20"/>
        </w:rPr>
        <w:t>in Kraft für alle oder bestimmte Kategorien von Inhabern einer Unternehmensnummer sowie für natürliche Personen an dem jeweils vom König festzulegenden Datum und spätestens am 1. Januar 2028 </w:t>
      </w:r>
      <w:r w:rsidR="002D6BCB" w:rsidRPr="002D6BCB">
        <w:rPr>
          <w:i/>
          <w:iCs/>
          <w:sz w:val="20"/>
          <w:szCs w:val="20"/>
        </w:rPr>
        <w:t>-</w:t>
      </w:r>
      <w:r w:rsidR="002D6BCB">
        <w:rPr>
          <w:i/>
          <w:iCs/>
          <w:sz w:val="20"/>
          <w:szCs w:val="20"/>
        </w:rPr>
        <w:t xml:space="preserve">; </w:t>
      </w:r>
      <w:r w:rsidRPr="0041376C">
        <w:rPr>
          <w:i/>
          <w:iCs/>
          <w:sz w:val="20"/>
          <w:szCs w:val="20"/>
        </w:rPr>
        <w:t>§ 2 ersetzt durch Art. 70 Nr. 2 des G. vom 28. Dezember 2023 (B.S. vom 29. Dezember 2023) - anwendbar für die an die Steuerjahre 2024 und folgende gebundenen Besteuerungszeiträume -</w:t>
      </w:r>
      <w:r w:rsidR="002D6BCB">
        <w:rPr>
          <w:i/>
          <w:iCs/>
          <w:sz w:val="20"/>
          <w:szCs w:val="20"/>
        </w:rPr>
        <w:t xml:space="preserve"> und abgeändert durch Art. 21 Nr. 2</w:t>
      </w:r>
      <w:r w:rsidR="002D6BCB" w:rsidRPr="002D6BCB">
        <w:rPr>
          <w:i/>
          <w:iCs/>
          <w:sz w:val="20"/>
          <w:szCs w:val="20"/>
        </w:rPr>
        <w:t xml:space="preserve"> des G. vom 12. Mai 2024 (B.S. vom 30. Mai 2024) - </w:t>
      </w:r>
      <w:r w:rsidR="00F75F24" w:rsidRPr="00F75F24">
        <w:rPr>
          <w:i/>
          <w:iCs/>
          <w:sz w:val="20"/>
          <w:szCs w:val="20"/>
        </w:rPr>
        <w:t>in Kraft für alle oder bestimmte Kategorien von Inhabern einer Unternehmensnummer sowie für natürliche Personen an dem jeweils vom König festzulegenden Datum und spätestens am 1. Januar 2028 </w:t>
      </w:r>
      <w:r w:rsidR="002D6BCB" w:rsidRPr="002D6BCB">
        <w:rPr>
          <w:i/>
          <w:iCs/>
          <w:sz w:val="20"/>
          <w:szCs w:val="20"/>
        </w:rPr>
        <w:t>-</w:t>
      </w:r>
      <w:r w:rsidRPr="0041376C">
        <w:rPr>
          <w:i/>
          <w:iCs/>
          <w:sz w:val="20"/>
          <w:szCs w:val="20"/>
        </w:rPr>
        <w:t>; § 3</w:t>
      </w:r>
      <w:r w:rsidR="008414C3">
        <w:rPr>
          <w:i/>
          <w:iCs/>
          <w:sz w:val="20"/>
          <w:szCs w:val="20"/>
        </w:rPr>
        <w:t xml:space="preserve"> </w:t>
      </w:r>
      <w:r w:rsidR="008414C3" w:rsidRPr="008414C3">
        <w:rPr>
          <w:i/>
          <w:iCs/>
          <w:sz w:val="20"/>
          <w:szCs w:val="20"/>
        </w:rPr>
        <w:t>ersetzt durch Art. 18 Nr. 3 des G. vom 26. Januar 2021 (B.S. vom 10. Februar 2021) - in Kraft am 1. Januar 2025 -</w:t>
      </w:r>
      <w:r w:rsidR="008414C3">
        <w:rPr>
          <w:i/>
          <w:iCs/>
          <w:sz w:val="20"/>
          <w:szCs w:val="20"/>
        </w:rPr>
        <w:t>,</w:t>
      </w:r>
      <w:r w:rsidR="008414C3" w:rsidRPr="008414C3">
        <w:rPr>
          <w:i/>
          <w:iCs/>
          <w:sz w:val="20"/>
        </w:rPr>
        <w:t xml:space="preserve"> </w:t>
      </w:r>
      <w:r w:rsidR="008414C3" w:rsidRPr="008414C3">
        <w:rPr>
          <w:i/>
          <w:iCs/>
          <w:sz w:val="20"/>
          <w:szCs w:val="20"/>
        </w:rPr>
        <w:t>selbst aufgehoben durch Art. 213 des G. vom 12. Mai 2024 (B.S. vom 30. Mai 2024)</w:t>
      </w:r>
      <w:r w:rsidR="008414C3">
        <w:rPr>
          <w:i/>
          <w:iCs/>
          <w:sz w:val="20"/>
          <w:szCs w:val="20"/>
        </w:rPr>
        <w:t>, und erneut</w:t>
      </w:r>
      <w:r w:rsidRPr="0041376C">
        <w:rPr>
          <w:i/>
          <w:iCs/>
          <w:sz w:val="20"/>
          <w:szCs w:val="20"/>
        </w:rPr>
        <w:t xml:space="preserve"> ersetzt durch Art</w:t>
      </w:r>
      <w:r w:rsidR="008414C3">
        <w:rPr>
          <w:i/>
          <w:iCs/>
          <w:sz w:val="20"/>
          <w:szCs w:val="20"/>
        </w:rPr>
        <w:t>. </w:t>
      </w:r>
      <w:r w:rsidR="002D6BCB">
        <w:rPr>
          <w:i/>
          <w:iCs/>
          <w:sz w:val="20"/>
          <w:szCs w:val="20"/>
        </w:rPr>
        <w:t>21 Nr. 3</w:t>
      </w:r>
      <w:r w:rsidR="002D6BCB" w:rsidRPr="002D6BCB">
        <w:rPr>
          <w:i/>
          <w:iCs/>
          <w:sz w:val="20"/>
          <w:szCs w:val="20"/>
        </w:rPr>
        <w:t xml:space="preserve"> des G. vom 12. Mai 2024 (B.S. vom 30. Mai 2024) - </w:t>
      </w:r>
      <w:r w:rsidR="00F75F24" w:rsidRPr="00F75F24">
        <w:rPr>
          <w:i/>
          <w:iCs/>
          <w:sz w:val="20"/>
          <w:szCs w:val="20"/>
        </w:rPr>
        <w:t>in Kraft für alle oder bestimmte Kategorien von Inhabern einer Unternehmensnummer sowie für natürliche Personen an dem jeweils vom König festzulegenden Datum und spätestens am 1. Januar 2028 </w:t>
      </w:r>
      <w:r w:rsidR="002D6BCB" w:rsidRPr="002D6BCB">
        <w:rPr>
          <w:i/>
          <w:iCs/>
          <w:sz w:val="20"/>
          <w:szCs w:val="20"/>
        </w:rPr>
        <w:t>-</w:t>
      </w:r>
      <w:r w:rsidRPr="0041376C">
        <w:rPr>
          <w:i/>
          <w:iCs/>
          <w:sz w:val="20"/>
          <w:szCs w:val="20"/>
        </w:rPr>
        <w:t>; § 4 aufgehoben durch Art. 2 Nr. 2 des G. vom 5. Juli 1994 (B.S. vom 16. Juli 1994) - anwendbar ab dem Steuerjahr 1994 - und wieder aufgenommen durch Art. 70 Nr. 4 des G. vom 28. Dezember 2023 (B.S. vom 29. Dezember 2023) - anwendbar für die an die Steuerjahre 2024 und folgende gebundenen Besteuerungszeiträume -</w:t>
      </w:r>
      <w:r w:rsidR="002D6BCB">
        <w:rPr>
          <w:i/>
          <w:iCs/>
          <w:sz w:val="20"/>
          <w:szCs w:val="20"/>
        </w:rPr>
        <w:t>; § 4 Abs. 1 und 2 abgeändert durch Art. 21 Nr. 4</w:t>
      </w:r>
      <w:r w:rsidR="002D6BCB" w:rsidRPr="002D6BCB">
        <w:rPr>
          <w:i/>
          <w:iCs/>
          <w:sz w:val="20"/>
          <w:szCs w:val="20"/>
        </w:rPr>
        <w:t xml:space="preserve"> des G. vom 12. Mai 2024 (B.S. vom 30. Mai 2024) - </w:t>
      </w:r>
      <w:r w:rsidR="00F75F24" w:rsidRPr="00F75F24">
        <w:rPr>
          <w:i/>
          <w:iCs/>
          <w:sz w:val="20"/>
          <w:szCs w:val="20"/>
        </w:rPr>
        <w:t>in Kraft für alle oder bestimmte Kategorien von Inhabern einer Unternehmensnummer sowie für natürliche Personen an dem jeweils vom König festzulegenden Datum und spätestens am 1. Januar 2028 </w:t>
      </w:r>
      <w:r w:rsidR="002D6BCB" w:rsidRPr="002D6BCB">
        <w:rPr>
          <w:i/>
          <w:iCs/>
          <w:sz w:val="20"/>
          <w:szCs w:val="20"/>
        </w:rPr>
        <w:t>-</w:t>
      </w:r>
      <w:r w:rsidR="002D6BCB">
        <w:rPr>
          <w:i/>
          <w:iCs/>
          <w:sz w:val="20"/>
          <w:szCs w:val="20"/>
        </w:rPr>
        <w:t>]</w:t>
      </w:r>
      <w:r w:rsidR="000510A2" w:rsidRPr="00A01044">
        <w:rPr>
          <w:iCs/>
          <w:sz w:val="20"/>
          <w:szCs w:val="20"/>
        </w:rPr>
        <w:t>"</w:t>
      </w:r>
    </w:p>
    <w:p w14:paraId="1D0A36CA" w14:textId="77777777" w:rsidR="000510A2" w:rsidRPr="009118AB" w:rsidRDefault="000510A2" w:rsidP="000510A2">
      <w:pPr>
        <w:autoSpaceDE w:val="0"/>
        <w:autoSpaceDN w:val="0"/>
        <w:adjustRightInd w:val="0"/>
        <w:jc w:val="both"/>
      </w:pPr>
    </w:p>
    <w:p w14:paraId="2BE4ACE4" w14:textId="77777777" w:rsidR="000510A2" w:rsidRDefault="000510A2" w:rsidP="000510A2">
      <w:pPr>
        <w:autoSpaceDE w:val="0"/>
        <w:autoSpaceDN w:val="0"/>
        <w:adjustRightInd w:val="0"/>
        <w:jc w:val="both"/>
      </w:pPr>
    </w:p>
    <w:p w14:paraId="775E4AB1" w14:textId="679D28B2" w:rsidR="00174F2C" w:rsidRPr="009541B3" w:rsidRDefault="00174F2C" w:rsidP="00174F2C">
      <w:pPr>
        <w:ind w:firstLine="708"/>
        <w:jc w:val="both"/>
      </w:pPr>
      <w:r>
        <w:t>[</w:t>
      </w:r>
      <w:r w:rsidRPr="00174F2C">
        <w:rPr>
          <w:b/>
          <w:bCs/>
        </w:rPr>
        <w:t>Art. 308/1 </w:t>
      </w:r>
      <w:r w:rsidRPr="009541B3">
        <w:t xml:space="preserve">- In Abweichung von Artikel 308 § 1 haben Steuerpflichtige, die der Steuer der natürlichen Personen unterliegen, und gegebenenfalls in Artikel 305 Absatz 2 erwähnte Erben oder Gesamtvermächtnisnehmer oder </w:t>
      </w:r>
      <w:r w:rsidRPr="009541B3">
        <w:noBreakHyphen/>
        <w:t>beschenkte, die für die in Artikel 307</w:t>
      </w:r>
      <w:r w:rsidRPr="009541B3">
        <w:rPr>
          <w:i/>
          <w:iCs/>
        </w:rPr>
        <w:t>bis</w:t>
      </w:r>
      <w:r w:rsidRPr="009541B3">
        <w:t xml:space="preserve"> erwähnte elektronische Steuererklärung optieren und im Einkommensjahr, auf das sich das Steuerjahr bezieht:</w:t>
      </w:r>
    </w:p>
    <w:p w14:paraId="776466DA" w14:textId="77777777" w:rsidR="00174F2C" w:rsidRPr="009541B3" w:rsidRDefault="00174F2C" w:rsidP="00174F2C">
      <w:pPr>
        <w:jc w:val="both"/>
      </w:pPr>
    </w:p>
    <w:p w14:paraId="61CAB174" w14:textId="77777777" w:rsidR="00174F2C" w:rsidRPr="009541B3" w:rsidRDefault="00174F2C" w:rsidP="00174F2C">
      <w:pPr>
        <w:ind w:firstLine="708"/>
        <w:jc w:val="both"/>
      </w:pPr>
      <w:r w:rsidRPr="009541B3">
        <w:t>- ausländische Berufseinkünfte bezogen haben oder</w:t>
      </w:r>
    </w:p>
    <w:p w14:paraId="38069D83" w14:textId="77777777" w:rsidR="00174F2C" w:rsidRPr="009541B3" w:rsidRDefault="00174F2C" w:rsidP="00174F2C">
      <w:pPr>
        <w:jc w:val="both"/>
      </w:pPr>
    </w:p>
    <w:p w14:paraId="70D5736B" w14:textId="77777777" w:rsidR="00174F2C" w:rsidRPr="009541B3" w:rsidRDefault="00174F2C" w:rsidP="00174F2C">
      <w:pPr>
        <w:ind w:firstLine="708"/>
        <w:jc w:val="both"/>
      </w:pPr>
      <w:r w:rsidRPr="009541B3">
        <w:t>- in Artikel 23 § 1 Nr. 1 und 2 erwähnte Einkünfte bezogen haben und die pauschalen Veranlagungsgrundlagen wie in Artikel 342 § 1 Absatz 2 erwähnt nicht in Anspruch genommen haben oder</w:t>
      </w:r>
    </w:p>
    <w:p w14:paraId="47B9BEFD" w14:textId="77777777" w:rsidR="00174F2C" w:rsidRPr="009541B3" w:rsidRDefault="00174F2C" w:rsidP="00174F2C">
      <w:pPr>
        <w:jc w:val="both"/>
      </w:pPr>
    </w:p>
    <w:p w14:paraId="3BE0D823" w14:textId="77777777" w:rsidR="00174F2C" w:rsidRPr="009541B3" w:rsidRDefault="00174F2C" w:rsidP="00174F2C">
      <w:pPr>
        <w:ind w:firstLine="708"/>
        <w:jc w:val="both"/>
      </w:pPr>
      <w:r w:rsidRPr="009541B3">
        <w:t>- in den in Artikel 126 § 2 erwähnten Fällen in Artikel 30 Nr. 3 erwähnte Einkünfte von dem anderen Ehepartner bezogen haben, der auf die in Artikel 23 § 1 Nr. 1 und 2 erwähnten Einkünfte besteuert wird, ohne die pauschalen Veranlagungsgrundlagen wie in Artikel 342 § 1 Absatz 2 erwähnt in Anspruch genommen zu haben, oder</w:t>
      </w:r>
    </w:p>
    <w:p w14:paraId="3BD08398" w14:textId="77777777" w:rsidR="00174F2C" w:rsidRPr="009541B3" w:rsidRDefault="00174F2C" w:rsidP="00174F2C">
      <w:pPr>
        <w:jc w:val="both"/>
      </w:pPr>
    </w:p>
    <w:p w14:paraId="49551FA2" w14:textId="77777777" w:rsidR="00174F2C" w:rsidRPr="009541B3" w:rsidRDefault="00174F2C" w:rsidP="00174F2C">
      <w:pPr>
        <w:ind w:firstLine="708"/>
        <w:jc w:val="both"/>
      </w:pPr>
      <w:r w:rsidRPr="009541B3">
        <w:t>- in Artikel 30 Nr. 2 erwähnte Einkünfte bezogen haben,</w:t>
      </w:r>
    </w:p>
    <w:p w14:paraId="61AB5348" w14:textId="77777777" w:rsidR="00174F2C" w:rsidRPr="009541B3" w:rsidRDefault="00174F2C" w:rsidP="00174F2C">
      <w:pPr>
        <w:jc w:val="both"/>
      </w:pPr>
    </w:p>
    <w:p w14:paraId="04A6CB4D" w14:textId="77777777" w:rsidR="00174F2C" w:rsidRPr="009541B3" w:rsidRDefault="00174F2C" w:rsidP="00174F2C">
      <w:pPr>
        <w:ind w:firstLine="708"/>
        <w:jc w:val="both"/>
      </w:pPr>
      <w:r w:rsidRPr="009541B3">
        <w:lastRenderedPageBreak/>
        <w:t>bis einschließlich zum 16. Oktober des Jahres, dessen Jahreszahl das Steuerjahr bestimmt, Zeit, um ihre Steuererklärung fristgerecht einzureichen.</w:t>
      </w:r>
    </w:p>
    <w:p w14:paraId="0DD1E9CB" w14:textId="77777777" w:rsidR="00174F2C" w:rsidRPr="009541B3" w:rsidRDefault="00174F2C" w:rsidP="00174F2C">
      <w:pPr>
        <w:jc w:val="both"/>
      </w:pPr>
    </w:p>
    <w:p w14:paraId="4902D9A7" w14:textId="77777777" w:rsidR="00174F2C" w:rsidRPr="009541B3" w:rsidRDefault="00174F2C" w:rsidP="00174F2C">
      <w:pPr>
        <w:ind w:firstLine="708"/>
        <w:jc w:val="both"/>
      </w:pPr>
      <w:r w:rsidRPr="009541B3">
        <w:t>In Abweichung von Absatz 1 wird die Erklärungsfrist verlängert, sodass sie mindestens fünf Monate ab der Zurverfügungstellung der elektronischen Steuererklärung des Steuerjahres auf der elektronischen Plattform des Föderalen Öffentlichen Dienstes Finanzen beträgt.</w:t>
      </w:r>
    </w:p>
    <w:p w14:paraId="0D64AB65" w14:textId="77777777" w:rsidR="00174F2C" w:rsidRPr="009541B3" w:rsidRDefault="00174F2C" w:rsidP="00174F2C">
      <w:pPr>
        <w:jc w:val="both"/>
      </w:pPr>
    </w:p>
    <w:p w14:paraId="6A0FFF5B" w14:textId="77777777" w:rsidR="00174F2C" w:rsidRPr="009541B3" w:rsidRDefault="00174F2C" w:rsidP="00174F2C">
      <w:pPr>
        <w:ind w:firstLine="708"/>
        <w:jc w:val="both"/>
      </w:pPr>
      <w:r w:rsidRPr="009541B3">
        <w:t xml:space="preserve">In Abweichung von Artikel 308 § 1 Absatz 1 haben Steuerpflichtige, die der Steuer der natürlichen Personen unterliegen und in Artikel 23 § 1 Nr. 1 erwähnte Einkünfte beziehen und die pauschalen Veranlagungsgrundlagen wie in Artikel 342 § 1 Absatz 2 erwähnt in Anspruch nehmen, und gegebenenfalls ihre Erben oder Gesamtvermächtnisnehmer oder </w:t>
      </w:r>
      <w:r w:rsidRPr="009541B3">
        <w:noBreakHyphen/>
        <w:t>beschenkten bis einschließlich zum 15. Januar des Jahres nach dem Jahr, dessen Jahreszahl das Steuerjahr bestimmt, Zeit, um ihre Steuererklärung einzureichen.</w:t>
      </w:r>
    </w:p>
    <w:p w14:paraId="02C432B5" w14:textId="77777777" w:rsidR="00174F2C" w:rsidRPr="009541B3" w:rsidRDefault="00174F2C" w:rsidP="00174F2C">
      <w:pPr>
        <w:jc w:val="both"/>
      </w:pPr>
    </w:p>
    <w:p w14:paraId="4930E8BC" w14:textId="132F2236" w:rsidR="00174F2C" w:rsidRDefault="00174F2C" w:rsidP="00757EE3">
      <w:pPr>
        <w:autoSpaceDE w:val="0"/>
        <w:autoSpaceDN w:val="0"/>
        <w:adjustRightInd w:val="0"/>
        <w:ind w:firstLine="708"/>
        <w:jc w:val="both"/>
      </w:pPr>
      <w:r w:rsidRPr="009541B3">
        <w:t xml:space="preserve">In Abweichung von Artikel 308 § 1 Absatz 1 haben Steuerpflichtige, die der Steuer der natürlichen Personen unterliegen und in den in Artikel 126 § 2 erwähnten Fällen in Artikel 30 Nr. 3 erwähnte Einkünfte von ihrem Ehepartner beziehen, der die pauschalen Veranlagungsgrundlagen wie in Artikel 342 § 1 Absatz 2 erwähnt in Anspruch nimmt, und gegebenenfalls in Artikel 305 Absatz 2 erwähnte Erben oder Gesamtvermächtnisnehmer oder </w:t>
      </w:r>
      <w:r w:rsidRPr="009541B3">
        <w:noBreakHyphen/>
        <w:t>beschenkte bis einschließlich zum 15. Januar des Jahres nach dem Jahr, dessen Jahreszahl das Steuerjahr bestimmt, Zeit, um ihre Steuererklärung einzureichen.</w:t>
      </w:r>
      <w:r>
        <w:t>]</w:t>
      </w:r>
    </w:p>
    <w:p w14:paraId="4511F667" w14:textId="77777777" w:rsidR="00174F2C" w:rsidRDefault="00174F2C" w:rsidP="00174F2C">
      <w:pPr>
        <w:autoSpaceDE w:val="0"/>
        <w:autoSpaceDN w:val="0"/>
        <w:adjustRightInd w:val="0"/>
        <w:jc w:val="both"/>
      </w:pPr>
    </w:p>
    <w:p w14:paraId="735D770C" w14:textId="72C86A58" w:rsidR="00174F2C" w:rsidRPr="00152BE9" w:rsidRDefault="00174F2C" w:rsidP="00174F2C">
      <w:pPr>
        <w:jc w:val="both"/>
      </w:pPr>
      <w:r w:rsidRPr="00174F2C">
        <w:rPr>
          <w:i/>
          <w:iCs/>
        </w:rPr>
        <w:t xml:space="preserve">[Art. 308/1 eingefügt durch Art. 71 </w:t>
      </w:r>
      <w:bookmarkStart w:id="30" w:name="_Hlk192856457"/>
      <w:r w:rsidRPr="00174F2C">
        <w:rPr>
          <w:i/>
          <w:iCs/>
          <w:spacing w:val="-2"/>
        </w:rPr>
        <w:t>des G. vom 28. Dezember 2023 (B.S. vom</w:t>
      </w:r>
      <w:r w:rsidRPr="003E131B">
        <w:rPr>
          <w:i/>
          <w:iCs/>
          <w:spacing w:val="-2"/>
        </w:rPr>
        <w:t xml:space="preserve"> 29. Dezember 2023) </w:t>
      </w:r>
      <w:r w:rsidRPr="00152BE9">
        <w:rPr>
          <w:i/>
          <w:iCs/>
        </w:rPr>
        <w:t>- </w:t>
      </w:r>
      <w:r w:rsidRPr="00896904">
        <w:rPr>
          <w:i/>
          <w:iCs/>
        </w:rPr>
        <w:t>anwendbar</w:t>
      </w:r>
      <w:r w:rsidRPr="00152BE9">
        <w:rPr>
          <w:i/>
          <w:iCs/>
        </w:rPr>
        <w:t xml:space="preserve"> </w:t>
      </w:r>
      <w:r w:rsidRPr="00896904">
        <w:rPr>
          <w:i/>
          <w:iCs/>
        </w:rPr>
        <w:t>für die an die Steuerjahre 2024 und folgende gebundenen Besteuerungszeiträume</w:t>
      </w:r>
      <w:r w:rsidRPr="00152BE9">
        <w:rPr>
          <w:i/>
          <w:iCs/>
        </w:rPr>
        <w:t> -</w:t>
      </w:r>
      <w:bookmarkEnd w:id="30"/>
      <w:r w:rsidR="007237B0">
        <w:rPr>
          <w:i/>
          <w:iCs/>
        </w:rPr>
        <w:t>]</w:t>
      </w:r>
    </w:p>
    <w:p w14:paraId="30724F10" w14:textId="63ACFAAC" w:rsidR="00174F2C" w:rsidRDefault="00174F2C" w:rsidP="00174F2C">
      <w:pPr>
        <w:autoSpaceDE w:val="0"/>
        <w:autoSpaceDN w:val="0"/>
        <w:adjustRightInd w:val="0"/>
        <w:jc w:val="both"/>
      </w:pPr>
    </w:p>
    <w:p w14:paraId="60389713" w14:textId="77777777" w:rsidR="00174F2C" w:rsidRPr="009118AB" w:rsidRDefault="00174F2C" w:rsidP="00477B8F">
      <w:pPr>
        <w:autoSpaceDE w:val="0"/>
        <w:autoSpaceDN w:val="0"/>
        <w:adjustRightInd w:val="0"/>
        <w:jc w:val="both"/>
      </w:pPr>
    </w:p>
    <w:p w14:paraId="59C54902" w14:textId="152E2348" w:rsidR="00477B8F" w:rsidRPr="0049170D" w:rsidRDefault="00477B8F" w:rsidP="00477B8F">
      <w:pPr>
        <w:autoSpaceDE w:val="0"/>
        <w:autoSpaceDN w:val="0"/>
        <w:adjustRightInd w:val="0"/>
        <w:jc w:val="both"/>
        <w:rPr>
          <w:spacing w:val="-2"/>
        </w:rPr>
      </w:pPr>
      <w:r w:rsidRPr="0049170D">
        <w:rPr>
          <w:spacing w:val="-2"/>
        </w:rPr>
        <w:tab/>
      </w:r>
      <w:r w:rsidR="00D67EB8" w:rsidRPr="0049170D">
        <w:rPr>
          <w:b/>
          <w:bCs/>
          <w:spacing w:val="-2"/>
        </w:rPr>
        <w:t>Art. </w:t>
      </w:r>
      <w:r w:rsidRPr="0049170D">
        <w:rPr>
          <w:b/>
          <w:bCs/>
          <w:spacing w:val="-2"/>
        </w:rPr>
        <w:t>309</w:t>
      </w:r>
      <w:r w:rsidR="00D67EB8" w:rsidRPr="0049170D">
        <w:rPr>
          <w:spacing w:val="-2"/>
        </w:rPr>
        <w:t> - </w:t>
      </w:r>
      <w:r w:rsidR="00575654" w:rsidRPr="0049170D">
        <w:rPr>
          <w:spacing w:val="-2"/>
        </w:rPr>
        <w:t>[In Artikel 305 erwähnte Steuerpflichtige, die die Bedingungen der Steuer</w:t>
      </w:r>
      <w:r w:rsidR="0049170D" w:rsidRPr="0049170D">
        <w:rPr>
          <w:spacing w:val="-2"/>
        </w:rPr>
        <w:softHyphen/>
      </w:r>
      <w:r w:rsidR="00575654" w:rsidRPr="0049170D">
        <w:rPr>
          <w:spacing w:val="-2"/>
        </w:rPr>
        <w:t>pflichtigkeit nach Artikel 360 in Bezug auf die Steuer der natürlichen Personen oder</w:t>
      </w:r>
      <w:r w:rsidR="00D67EB8" w:rsidRPr="0049170D">
        <w:rPr>
          <w:spacing w:val="-2"/>
        </w:rPr>
        <w:t> - </w:t>
      </w:r>
      <w:r w:rsidR="00575654" w:rsidRPr="0049170D">
        <w:rPr>
          <w:spacing w:val="-2"/>
        </w:rPr>
        <w:t>als Nicht-Einwohner des Königreichs</w:t>
      </w:r>
      <w:r w:rsidR="00D67EB8" w:rsidRPr="0049170D">
        <w:rPr>
          <w:spacing w:val="-2"/>
        </w:rPr>
        <w:t> - </w:t>
      </w:r>
      <w:r w:rsidR="00575654" w:rsidRPr="0049170D">
        <w:rPr>
          <w:spacing w:val="-2"/>
        </w:rPr>
        <w:t>auf die Steuer der Gebietsfremden vor dem 31. Dezember nicht mehr erfüllen]</w:t>
      </w:r>
      <w:r w:rsidRPr="0049170D">
        <w:rPr>
          <w:spacing w:val="-2"/>
        </w:rPr>
        <w:t>, müssen ebenfalls bei dem für sie zuständigen Besteuerungsdienst ein Erklärungs</w:t>
      </w:r>
      <w:r w:rsidR="0049170D" w:rsidRPr="0049170D">
        <w:rPr>
          <w:spacing w:val="-2"/>
        </w:rPr>
        <w:softHyphen/>
      </w:r>
      <w:r w:rsidRPr="0049170D">
        <w:rPr>
          <w:spacing w:val="-2"/>
        </w:rPr>
        <w:t>formular beantragen für den Teil des Jahres, in dem diese Bedingungen erfüllt waren.</w:t>
      </w:r>
    </w:p>
    <w:p w14:paraId="008EAE6B" w14:textId="77777777" w:rsidR="00477B8F" w:rsidRPr="009118AB" w:rsidRDefault="00477B8F" w:rsidP="00477B8F">
      <w:pPr>
        <w:autoSpaceDE w:val="0"/>
        <w:autoSpaceDN w:val="0"/>
        <w:adjustRightInd w:val="0"/>
        <w:jc w:val="both"/>
      </w:pPr>
    </w:p>
    <w:p w14:paraId="7CC5E66E" w14:textId="0D4D9961" w:rsidR="00477B8F" w:rsidRPr="009118AB" w:rsidRDefault="00477B8F" w:rsidP="00477B8F">
      <w:pPr>
        <w:autoSpaceDE w:val="0"/>
        <w:autoSpaceDN w:val="0"/>
        <w:adjustRightInd w:val="0"/>
        <w:jc w:val="both"/>
      </w:pPr>
      <w:r w:rsidRPr="009118AB">
        <w:tab/>
      </w:r>
      <w:r w:rsidR="004914A9">
        <w:t>[…]</w:t>
      </w:r>
    </w:p>
    <w:p w14:paraId="4F260691" w14:textId="77777777" w:rsidR="00477B8F" w:rsidRPr="009118AB" w:rsidRDefault="00477B8F" w:rsidP="00477B8F">
      <w:pPr>
        <w:autoSpaceDE w:val="0"/>
        <w:autoSpaceDN w:val="0"/>
        <w:adjustRightInd w:val="0"/>
        <w:jc w:val="both"/>
      </w:pPr>
    </w:p>
    <w:p w14:paraId="00D6D0C1" w14:textId="74732F7F" w:rsidR="00477B8F" w:rsidRPr="009118AB" w:rsidRDefault="00477B8F" w:rsidP="00477B8F">
      <w:pPr>
        <w:autoSpaceDE w:val="0"/>
        <w:autoSpaceDN w:val="0"/>
        <w:adjustRightInd w:val="0"/>
        <w:jc w:val="both"/>
      </w:pPr>
      <w:r w:rsidRPr="009118AB">
        <w:tab/>
        <w:t>In den in Absatz 1 erwähnten Fällen muss die Erklärung dem in der Erklärung erwähnten Dienst innerhalb dreier Monate ab dem Datum, ab dem die Bedingungen der Steuerpflichtigkeit nicht mehr erfüllt werden, zukommen</w:t>
      </w:r>
      <w:r w:rsidR="00B40755">
        <w:t xml:space="preserve"> […].</w:t>
      </w:r>
    </w:p>
    <w:p w14:paraId="4C133B0D" w14:textId="77777777" w:rsidR="00093D04" w:rsidRPr="009118AB" w:rsidRDefault="00093D04" w:rsidP="00477B8F">
      <w:pPr>
        <w:autoSpaceDE w:val="0"/>
        <w:autoSpaceDN w:val="0"/>
        <w:adjustRightInd w:val="0"/>
        <w:jc w:val="both"/>
      </w:pPr>
    </w:p>
    <w:p w14:paraId="18CD51BF" w14:textId="310833FA" w:rsidR="00093D04" w:rsidRPr="009118AB" w:rsidRDefault="00093D04" w:rsidP="00477B8F">
      <w:pPr>
        <w:autoSpaceDE w:val="0"/>
        <w:autoSpaceDN w:val="0"/>
        <w:adjustRightInd w:val="0"/>
        <w:jc w:val="both"/>
        <w:rPr>
          <w:i/>
        </w:rPr>
      </w:pPr>
      <w:r w:rsidRPr="009118AB">
        <w:rPr>
          <w:i/>
        </w:rPr>
        <w:t>[</w:t>
      </w:r>
      <w:r w:rsidR="00D67EB8" w:rsidRPr="009118AB">
        <w:rPr>
          <w:i/>
        </w:rPr>
        <w:t>Art. </w:t>
      </w:r>
      <w:r w:rsidRPr="009118AB">
        <w:rPr>
          <w:i/>
        </w:rPr>
        <w:t xml:space="preserve">309 </w:t>
      </w:r>
      <w:r w:rsidR="00D67EB8" w:rsidRPr="009118AB">
        <w:rPr>
          <w:i/>
        </w:rPr>
        <w:t>Abs. </w:t>
      </w:r>
      <w:r w:rsidRPr="009118AB">
        <w:rPr>
          <w:i/>
        </w:rPr>
        <w:t xml:space="preserve">1 abgeändert durch </w:t>
      </w:r>
      <w:r w:rsidR="00D67EB8" w:rsidRPr="009118AB">
        <w:rPr>
          <w:i/>
        </w:rPr>
        <w:t>Art. </w:t>
      </w:r>
      <w:r w:rsidRPr="009118AB">
        <w:rPr>
          <w:i/>
        </w:rPr>
        <w:t xml:space="preserve">174 </w:t>
      </w:r>
      <w:r w:rsidRPr="009118AB">
        <w:rPr>
          <w:i/>
          <w:iCs/>
        </w:rPr>
        <w:t>des G. (I) vom 22. Dezember 2008 (II) (B.S. vom 29. Dezember 2008)</w:t>
      </w:r>
      <w:r w:rsidR="00D67EB8" w:rsidRPr="009118AB">
        <w:rPr>
          <w:i/>
          <w:iCs/>
        </w:rPr>
        <w:t> - </w:t>
      </w:r>
      <w:r w:rsidRPr="009118AB">
        <w:rPr>
          <w:i/>
          <w:iCs/>
        </w:rPr>
        <w:t>anwendbar ab dem Steuerjahr 2009</w:t>
      </w:r>
      <w:r w:rsidR="00D67EB8" w:rsidRPr="009118AB">
        <w:rPr>
          <w:i/>
          <w:iCs/>
        </w:rPr>
        <w:t> - </w:t>
      </w:r>
      <w:r w:rsidR="00051C31" w:rsidRPr="009118AB">
        <w:rPr>
          <w:i/>
          <w:iCs/>
        </w:rPr>
        <w:t xml:space="preserve">und </w:t>
      </w:r>
      <w:r w:rsidR="00D67EB8" w:rsidRPr="009118AB">
        <w:rPr>
          <w:i/>
          <w:iCs/>
        </w:rPr>
        <w:t>Art. </w:t>
      </w:r>
      <w:r w:rsidR="00051C31" w:rsidRPr="009118AB">
        <w:rPr>
          <w:i/>
          <w:iCs/>
        </w:rPr>
        <w:t>29 des G. vom 17. Juni 2013 (B.S. vom 28. Juni 2013)</w:t>
      </w:r>
      <w:r w:rsidR="00D67EB8" w:rsidRPr="009118AB">
        <w:rPr>
          <w:i/>
          <w:iCs/>
        </w:rPr>
        <w:t> - </w:t>
      </w:r>
      <w:r w:rsidR="00051C31" w:rsidRPr="009118AB">
        <w:rPr>
          <w:i/>
          <w:iCs/>
        </w:rPr>
        <w:t>anwendbar ab dem Steuerjahr 2014</w:t>
      </w:r>
      <w:r w:rsidR="00FD68E8" w:rsidRPr="009118AB">
        <w:rPr>
          <w:i/>
          <w:iCs/>
        </w:rPr>
        <w:t> -</w:t>
      </w:r>
      <w:r w:rsidR="00B40755">
        <w:rPr>
          <w:i/>
          <w:iCs/>
        </w:rPr>
        <w:t xml:space="preserve">; Abs. 2 aufgehoben </w:t>
      </w:r>
      <w:r w:rsidR="00B40755" w:rsidRPr="00152BE9">
        <w:rPr>
          <w:i/>
          <w:iCs/>
        </w:rPr>
        <w:t>durch Art. 7</w:t>
      </w:r>
      <w:r w:rsidR="00B40755">
        <w:rPr>
          <w:i/>
          <w:iCs/>
        </w:rPr>
        <w:t>2</w:t>
      </w:r>
      <w:r w:rsidR="00B40755" w:rsidRPr="00152BE9">
        <w:rPr>
          <w:i/>
          <w:iCs/>
        </w:rPr>
        <w:t xml:space="preserve"> </w:t>
      </w:r>
      <w:r w:rsidR="00B40755">
        <w:rPr>
          <w:i/>
          <w:iCs/>
        </w:rPr>
        <w:t xml:space="preserve">Nr. 1 </w:t>
      </w:r>
      <w:r w:rsidR="00B40755" w:rsidRPr="003E131B">
        <w:rPr>
          <w:i/>
          <w:iCs/>
          <w:spacing w:val="-2"/>
        </w:rPr>
        <w:t xml:space="preserve">des G. vom 28. Dezember 2023 (B.S. vom 29. Dezember 2023) </w:t>
      </w:r>
      <w:r w:rsidR="00B40755" w:rsidRPr="00152BE9">
        <w:rPr>
          <w:i/>
          <w:iCs/>
        </w:rPr>
        <w:t>- </w:t>
      </w:r>
      <w:r w:rsidR="00B40755" w:rsidRPr="00896904">
        <w:rPr>
          <w:i/>
          <w:iCs/>
        </w:rPr>
        <w:t>anwendbar</w:t>
      </w:r>
      <w:r w:rsidR="00B40755" w:rsidRPr="00152BE9">
        <w:rPr>
          <w:i/>
          <w:iCs/>
        </w:rPr>
        <w:t xml:space="preserve"> </w:t>
      </w:r>
      <w:r w:rsidR="00B40755" w:rsidRPr="00896904">
        <w:rPr>
          <w:i/>
          <w:iCs/>
        </w:rPr>
        <w:t>für die an die Steuerjahre 2024 und folgende gebundenen Besteuerungszeiträume</w:t>
      </w:r>
      <w:r w:rsidR="00B40755" w:rsidRPr="00152BE9">
        <w:rPr>
          <w:i/>
          <w:iCs/>
        </w:rPr>
        <w:t> -</w:t>
      </w:r>
      <w:r w:rsidR="00B40755">
        <w:rPr>
          <w:i/>
          <w:iCs/>
        </w:rPr>
        <w:t xml:space="preserve">; Abs. 3 abgeändert </w:t>
      </w:r>
      <w:r w:rsidR="00B40755" w:rsidRPr="00152BE9">
        <w:rPr>
          <w:i/>
          <w:iCs/>
        </w:rPr>
        <w:t>durch Art. 7</w:t>
      </w:r>
      <w:r w:rsidR="00B40755">
        <w:rPr>
          <w:i/>
          <w:iCs/>
        </w:rPr>
        <w:t>2</w:t>
      </w:r>
      <w:r w:rsidR="00B40755" w:rsidRPr="00152BE9">
        <w:rPr>
          <w:i/>
          <w:iCs/>
        </w:rPr>
        <w:t xml:space="preserve"> Nr. </w:t>
      </w:r>
      <w:r w:rsidR="00B40755">
        <w:rPr>
          <w:i/>
          <w:iCs/>
        </w:rPr>
        <w:t>2</w:t>
      </w:r>
      <w:r w:rsidR="00B40755" w:rsidRPr="00152BE9">
        <w:rPr>
          <w:i/>
          <w:iCs/>
        </w:rPr>
        <w:t xml:space="preserve"> </w:t>
      </w:r>
      <w:r w:rsidR="00B40755" w:rsidRPr="003E131B">
        <w:rPr>
          <w:i/>
          <w:iCs/>
          <w:spacing w:val="-2"/>
        </w:rPr>
        <w:t xml:space="preserve">des G. vom 28. Dezember 2023 (B.S. vom 29. Dezember 2023) </w:t>
      </w:r>
      <w:r w:rsidR="00B40755" w:rsidRPr="00152BE9">
        <w:rPr>
          <w:i/>
          <w:iCs/>
        </w:rPr>
        <w:t>- </w:t>
      </w:r>
      <w:r w:rsidR="00B40755" w:rsidRPr="00896904">
        <w:rPr>
          <w:i/>
          <w:iCs/>
        </w:rPr>
        <w:t>anwendbar</w:t>
      </w:r>
      <w:r w:rsidR="00B40755" w:rsidRPr="00152BE9">
        <w:rPr>
          <w:i/>
          <w:iCs/>
        </w:rPr>
        <w:t xml:space="preserve"> </w:t>
      </w:r>
      <w:r w:rsidR="00B40755" w:rsidRPr="00896904">
        <w:rPr>
          <w:i/>
          <w:iCs/>
        </w:rPr>
        <w:t>für die an die Steuerjahre 2024 und folgende gebundenen Besteuerungszeiträume</w:t>
      </w:r>
      <w:r w:rsidR="00B40755" w:rsidRPr="00152BE9">
        <w:rPr>
          <w:i/>
          <w:iCs/>
        </w:rPr>
        <w:t> -</w:t>
      </w:r>
      <w:r w:rsidR="00FD68E8" w:rsidRPr="009118AB">
        <w:rPr>
          <w:i/>
          <w:iCs/>
        </w:rPr>
        <w:t>]</w:t>
      </w:r>
    </w:p>
    <w:p w14:paraId="17C5BA2C" w14:textId="77777777" w:rsidR="00477B8F" w:rsidRPr="009118AB" w:rsidRDefault="00477B8F" w:rsidP="00477B8F">
      <w:pPr>
        <w:autoSpaceDE w:val="0"/>
        <w:autoSpaceDN w:val="0"/>
        <w:adjustRightInd w:val="0"/>
        <w:jc w:val="both"/>
      </w:pPr>
    </w:p>
    <w:p w14:paraId="1783DCCA" w14:textId="77777777" w:rsidR="00477B8F" w:rsidRPr="009118AB" w:rsidRDefault="00477B8F" w:rsidP="00477B8F">
      <w:pPr>
        <w:autoSpaceDE w:val="0"/>
        <w:autoSpaceDN w:val="0"/>
        <w:adjustRightInd w:val="0"/>
        <w:jc w:val="both"/>
      </w:pPr>
    </w:p>
    <w:p w14:paraId="2F87F65D" w14:textId="55AB55FF" w:rsidR="00601B77" w:rsidRPr="009118AB" w:rsidRDefault="00477B8F" w:rsidP="00601B77">
      <w:pPr>
        <w:ind w:firstLine="708"/>
        <w:jc w:val="both"/>
      </w:pPr>
      <w:r w:rsidRPr="009118AB">
        <w:lastRenderedPageBreak/>
        <w:tab/>
      </w:r>
      <w:r w:rsidR="00D67EB8" w:rsidRPr="009118AB">
        <w:rPr>
          <w:b/>
          <w:bCs/>
        </w:rPr>
        <w:t>Art. </w:t>
      </w:r>
      <w:r w:rsidRPr="009118AB">
        <w:rPr>
          <w:b/>
          <w:bCs/>
        </w:rPr>
        <w:t>310</w:t>
      </w:r>
      <w:r w:rsidR="00D67EB8" w:rsidRPr="009118AB">
        <w:t> - </w:t>
      </w:r>
      <w:r w:rsidR="00601B77" w:rsidRPr="009118AB">
        <w:t>[In Bezug auf inländische Gesellschaften oder juristische Personen, die der Steuer der juristischen Personen unterliegen, und in Bezug auf Steuerpflichtige, die gemäß den Artikeln 246 und 247 der Steuer der Gebietsfremden unterliegen, wird das äußerste Datum für die Einreichung der Erklärung auf den letzten Tag des siebten Monats nach dem Monat des Abschlusses des Geschäftsjahres festgelegt. Die Erklärung muss auf der Grundlage des gebilligten Jahresabschlusses erfolgen.</w:t>
      </w:r>
    </w:p>
    <w:p w14:paraId="0E030E74" w14:textId="77777777" w:rsidR="00601B77" w:rsidRPr="009118AB" w:rsidRDefault="00601B77" w:rsidP="00601B77">
      <w:pPr>
        <w:jc w:val="both"/>
      </w:pPr>
    </w:p>
    <w:p w14:paraId="264E2241" w14:textId="118DEAB6" w:rsidR="00601B77" w:rsidRPr="009118AB" w:rsidRDefault="00601B77" w:rsidP="00601B77">
      <w:pPr>
        <w:ind w:firstLine="708"/>
        <w:jc w:val="both"/>
      </w:pPr>
      <w:r w:rsidRPr="009118AB">
        <w:t>Für Gesellschaften, die ohne Liquidation aufgelöst werden infolge einer Fusion, eines mit einer Fusion gleichgesetzten Vorgangs oder einer Aufspaltung oder einer anderen Auflösung ohne Gesamtverteilung des Gesellschaftsvermögens, wird das äußerste Datum für die Einreichung der Erklärung</w:t>
      </w:r>
      <w:r w:rsidR="00D67EB8" w:rsidRPr="009118AB">
        <w:t> - </w:t>
      </w:r>
      <w:r w:rsidRPr="009118AB">
        <w:t>nach der Billigung dieses Vorgangs durch die Generalversammlungen aller Gesellschaften, die den Vorgang beschlossen haben</w:t>
      </w:r>
      <w:r w:rsidR="00D67EB8" w:rsidRPr="009118AB">
        <w:t> - </w:t>
      </w:r>
      <w:r w:rsidRPr="009118AB">
        <w:t>auf den letzten Tag des siebten Monats nach dem Monat, in dem der Vorgang stattgefunden hat, festgelegt.</w:t>
      </w:r>
    </w:p>
    <w:p w14:paraId="1E84CE3D" w14:textId="77777777" w:rsidR="00601B77" w:rsidRPr="009118AB" w:rsidRDefault="00601B77" w:rsidP="00601B77">
      <w:pPr>
        <w:jc w:val="both"/>
      </w:pPr>
    </w:p>
    <w:p w14:paraId="69AE4916" w14:textId="041AECAB" w:rsidR="00477B8F" w:rsidRPr="009118AB" w:rsidRDefault="00601B77" w:rsidP="00601B77">
      <w:pPr>
        <w:autoSpaceDE w:val="0"/>
        <w:autoSpaceDN w:val="0"/>
        <w:adjustRightInd w:val="0"/>
        <w:jc w:val="both"/>
      </w:pPr>
      <w:r w:rsidRPr="009118AB">
        <w:tab/>
        <w:t>Für andere aufgelöste Gesellschaften wird das äußerste Datum für die Einreichung der Erklärung</w:t>
      </w:r>
      <w:r w:rsidR="00D67EB8" w:rsidRPr="009118AB">
        <w:t> - </w:t>
      </w:r>
      <w:r w:rsidRPr="009118AB">
        <w:t>nach der Billigung des Jahresabschlusses des Geschäftsjahres, das mit der Auslösung endet, oder nach der Billigung der Liquidationsrechnungen</w:t>
      </w:r>
      <w:r w:rsidR="00D67EB8" w:rsidRPr="009118AB">
        <w:t> - </w:t>
      </w:r>
      <w:r w:rsidRPr="009118AB">
        <w:t>auf den letzten Tag des siebten Monats nach dem letzten Tag des Zeitraums, auf den der Jahresabschluss beziehungsweise die Liquidationsrechnungen sich beziehen, festgelegt.</w:t>
      </w:r>
      <w:r w:rsidR="00721FC7" w:rsidRPr="009118AB">
        <w:t>]</w:t>
      </w:r>
    </w:p>
    <w:p w14:paraId="5E36C761" w14:textId="77777777" w:rsidR="00721FC7" w:rsidRDefault="00721FC7" w:rsidP="00721F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41211C" w14:textId="594292BB" w:rsidR="004603CA" w:rsidRDefault="004603CA" w:rsidP="00721F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t>[</w:t>
      </w:r>
      <w:r w:rsidRPr="009541B3">
        <w:t>In Abweichung von den ersten drei Absätzen wird das äußerste Datum für die Einreichung der Erklärung auf den 30. September des Jahres, dessen Jahreszahl das Steuerjahr bestimmt, festgelegt, wenn der Besteuerungszeitraum der betreffenden Gesellschaft oder juristischen Person im Zeitraum vom 31. Dezember des Jahres vor dem betreffenden Steuerjahr bis einschließlich zum letzten Tag des Monats Februar des betreffenden Steuerjahres endet.</w:t>
      </w:r>
      <w:r>
        <w:t>]</w:t>
      </w:r>
    </w:p>
    <w:p w14:paraId="48169A51" w14:textId="77777777" w:rsidR="004603CA" w:rsidRPr="009118AB" w:rsidRDefault="004603CA" w:rsidP="00721F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68BADC6" w14:textId="03B8FEE3" w:rsidR="00721FC7" w:rsidRPr="009118AB" w:rsidRDefault="00721FC7" w:rsidP="00721F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310 ersetzt durch </w:t>
      </w:r>
      <w:r w:rsidR="00D67EB8" w:rsidRPr="009118AB">
        <w:rPr>
          <w:i/>
        </w:rPr>
        <w:t>Art. </w:t>
      </w:r>
      <w:r w:rsidR="00601B77" w:rsidRPr="009118AB">
        <w:rPr>
          <w:i/>
        </w:rPr>
        <w:t>19</w:t>
      </w:r>
      <w:r w:rsidR="00601B77" w:rsidRPr="009118AB">
        <w:rPr>
          <w:i/>
          <w:iCs/>
        </w:rPr>
        <w:t xml:space="preserve"> des G. vom 26. Januar 2021 (B.S. vom 10. Februar 2021)</w:t>
      </w:r>
      <w:r w:rsidR="00D67EB8" w:rsidRPr="009118AB">
        <w:rPr>
          <w:i/>
          <w:iCs/>
        </w:rPr>
        <w:t> - </w:t>
      </w:r>
      <w:r w:rsidR="00601B77" w:rsidRPr="009118AB">
        <w:rPr>
          <w:i/>
          <w:iCs/>
        </w:rPr>
        <w:t>anwendbar ab dem Steuerjahr 2021</w:t>
      </w:r>
      <w:r w:rsidR="00FD68E8" w:rsidRPr="009118AB">
        <w:rPr>
          <w:i/>
          <w:iCs/>
        </w:rPr>
        <w:t> -</w:t>
      </w:r>
      <w:r w:rsidR="005B2071">
        <w:rPr>
          <w:i/>
          <w:iCs/>
        </w:rPr>
        <w:t xml:space="preserve">; Abs. 4 eingefügt </w:t>
      </w:r>
      <w:bookmarkStart w:id="31" w:name="_Hlk192858228"/>
      <w:r w:rsidR="005B2071" w:rsidRPr="00152BE9">
        <w:rPr>
          <w:i/>
          <w:iCs/>
        </w:rPr>
        <w:t>durch Art. 7</w:t>
      </w:r>
      <w:r w:rsidR="005B2071">
        <w:rPr>
          <w:i/>
          <w:iCs/>
        </w:rPr>
        <w:t>3</w:t>
      </w:r>
      <w:r w:rsidR="005B2071" w:rsidRPr="00152BE9">
        <w:rPr>
          <w:i/>
          <w:iCs/>
        </w:rPr>
        <w:t xml:space="preserve"> </w:t>
      </w:r>
      <w:r w:rsidR="005B2071" w:rsidRPr="003E131B">
        <w:rPr>
          <w:i/>
          <w:iCs/>
          <w:spacing w:val="-2"/>
        </w:rPr>
        <w:t xml:space="preserve">des G. vom 28. Dezember 2023 (B.S. vom 29. Dezember 2023) </w:t>
      </w:r>
      <w:r w:rsidR="005B2071" w:rsidRPr="00152BE9">
        <w:rPr>
          <w:i/>
          <w:iCs/>
        </w:rPr>
        <w:t>- </w:t>
      </w:r>
      <w:r w:rsidR="005B2071" w:rsidRPr="00896904">
        <w:rPr>
          <w:i/>
          <w:iCs/>
        </w:rPr>
        <w:t>anwendbar</w:t>
      </w:r>
      <w:r w:rsidR="005B2071" w:rsidRPr="00152BE9">
        <w:rPr>
          <w:i/>
          <w:iCs/>
        </w:rPr>
        <w:t xml:space="preserve"> </w:t>
      </w:r>
      <w:r w:rsidR="005B2071" w:rsidRPr="00896904">
        <w:rPr>
          <w:i/>
          <w:iCs/>
        </w:rPr>
        <w:t>für die an die Steuerjahre 2024 und folgende gebundenen Besteuerungszeiträume</w:t>
      </w:r>
      <w:r w:rsidR="005B2071" w:rsidRPr="00152BE9">
        <w:rPr>
          <w:i/>
          <w:iCs/>
        </w:rPr>
        <w:t> -</w:t>
      </w:r>
      <w:bookmarkEnd w:id="31"/>
      <w:r w:rsidR="00FD68E8" w:rsidRPr="009118AB">
        <w:rPr>
          <w:i/>
          <w:iCs/>
        </w:rPr>
        <w:t>]</w:t>
      </w:r>
    </w:p>
    <w:p w14:paraId="6796877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D7572B" w14:textId="77777777" w:rsidR="007964FC" w:rsidRPr="009118AB" w:rsidRDefault="007964F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37C0EC" w14:textId="4E8CF76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311</w:t>
      </w:r>
      <w:r w:rsidR="00D67EB8" w:rsidRPr="009118AB">
        <w:t> - </w:t>
      </w:r>
      <w:r w:rsidRPr="009118AB">
        <w:t xml:space="preserve">Der </w:t>
      </w:r>
      <w:r w:rsidR="00F62A04" w:rsidRPr="009118AB">
        <w:t xml:space="preserve">[Generalverwalter der mit der Festlegung der Einkommensteuern beauftragten Verwaltung] </w:t>
      </w:r>
      <w:r w:rsidRPr="009118AB">
        <w:t>oder sein Beauftragter können Abweichungen von den [in den Artikeln 306 und 308 bis 310] vorgesehenen Fristen bewilligen.</w:t>
      </w:r>
    </w:p>
    <w:p w14:paraId="09F0EF56"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CAC0EE0" w14:textId="77777777" w:rsidR="00F8167F" w:rsidRPr="009541B3" w:rsidRDefault="00F8167F" w:rsidP="00F8167F">
      <w:pPr>
        <w:ind w:firstLine="708"/>
        <w:jc w:val="both"/>
      </w:pPr>
      <w:r>
        <w:tab/>
        <w:t>[</w:t>
      </w:r>
      <w:r w:rsidRPr="009541B3">
        <w:t>Der Generalverwalter der mit der Festlegung der Einkommensteuern beauftragten Verwaltung oder sein Beauftragter können bei Vorliegen eines schwerwiegenden Grundes oder im Falle höherer Gewalt eine Verlängerung der in den Artikeln 306 und 308 bis 310 festgelegten Fristen gewähren.</w:t>
      </w:r>
    </w:p>
    <w:p w14:paraId="5FC38063" w14:textId="77777777" w:rsidR="00F8167F" w:rsidRPr="009541B3" w:rsidRDefault="00F8167F" w:rsidP="00F8167F">
      <w:pPr>
        <w:jc w:val="both"/>
      </w:pPr>
    </w:p>
    <w:p w14:paraId="0060F12A" w14:textId="206981A8" w:rsidR="00F8167F" w:rsidRDefault="00F8167F" w:rsidP="00F816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r>
      <w:r w:rsidRPr="009541B3">
        <w:t>Der König kann zusätzliche Anwendungsregeln festlegen, um zu bestimmen, unter welchen Umständen ein schwerwiegender Grund geltend gemacht werden kann und wie eine Verlängerung beantragt werden muss.</w:t>
      </w:r>
      <w:r>
        <w:t>]</w:t>
      </w:r>
    </w:p>
    <w:p w14:paraId="6F3243F4" w14:textId="77777777" w:rsidR="00F8167F" w:rsidRDefault="00F8167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0AB733E" w14:textId="32A48685" w:rsidR="006B6084" w:rsidRPr="009118AB" w:rsidRDefault="00477B8F" w:rsidP="006B60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311 </w:t>
      </w:r>
      <w:r w:rsidR="00C8373F">
        <w:rPr>
          <w:i/>
          <w:iCs/>
        </w:rPr>
        <w:t xml:space="preserve">Abs. 1 </w:t>
      </w:r>
      <w:r w:rsidRPr="009118AB">
        <w:rPr>
          <w:i/>
          <w:iCs/>
        </w:rPr>
        <w:t xml:space="preserve">abgeändert durch </w:t>
      </w:r>
      <w:r w:rsidR="00D67EB8" w:rsidRPr="009118AB">
        <w:rPr>
          <w:i/>
          <w:iCs/>
        </w:rPr>
        <w:t>Art. </w:t>
      </w:r>
      <w:r w:rsidRPr="009118AB">
        <w:rPr>
          <w:i/>
          <w:iCs/>
        </w:rPr>
        <w:t>3 des G. vom 5. Juli 1994 (B.</w:t>
      </w:r>
      <w:r w:rsidR="004F7F42" w:rsidRPr="009118AB">
        <w:rPr>
          <w:i/>
          <w:iCs/>
        </w:rPr>
        <w:t>S. vom 16. Juli 1994)</w:t>
      </w:r>
      <w:r w:rsidR="00D67EB8" w:rsidRPr="009118AB">
        <w:rPr>
          <w:i/>
          <w:iCs/>
        </w:rPr>
        <w:t> - </w:t>
      </w:r>
      <w:r w:rsidRPr="009118AB">
        <w:rPr>
          <w:i/>
          <w:iCs/>
        </w:rPr>
        <w:t>anwendbar ab dem Steuerjahr 1994</w:t>
      </w:r>
      <w:r w:rsidR="00D67EB8" w:rsidRPr="009118AB">
        <w:rPr>
          <w:i/>
          <w:iCs/>
        </w:rPr>
        <w:t> - </w:t>
      </w:r>
      <w:r w:rsidR="00F62A04" w:rsidRPr="009118AB">
        <w:rPr>
          <w:i/>
          <w:iCs/>
        </w:rPr>
        <w:t xml:space="preserve">und </w:t>
      </w:r>
      <w:r w:rsidR="00D67EB8" w:rsidRPr="009118AB">
        <w:rPr>
          <w:i/>
          <w:iCs/>
        </w:rPr>
        <w:t>Art. </w:t>
      </w:r>
      <w:r w:rsidR="00F62A04" w:rsidRPr="009118AB">
        <w:rPr>
          <w:i/>
          <w:iCs/>
        </w:rPr>
        <w:t>9 des G. vom 25. April 2014 (I) (B.S. vom 16. Mai 2014)</w:t>
      </w:r>
      <w:r w:rsidR="00D67EB8" w:rsidRPr="009118AB">
        <w:rPr>
          <w:i/>
          <w:iCs/>
        </w:rPr>
        <w:t> - </w:t>
      </w:r>
      <w:r w:rsidR="00F62A04" w:rsidRPr="009118AB">
        <w:rPr>
          <w:i/>
          <w:iCs/>
        </w:rPr>
        <w:t>in Kraft am 16. Mai 2014</w:t>
      </w:r>
      <w:r w:rsidR="00FD68E8" w:rsidRPr="009118AB">
        <w:rPr>
          <w:i/>
          <w:iCs/>
        </w:rPr>
        <w:t> -</w:t>
      </w:r>
      <w:r w:rsidR="00F8167F">
        <w:rPr>
          <w:i/>
          <w:iCs/>
        </w:rPr>
        <w:t>; Abs. 2 und 3 eingefügt</w:t>
      </w:r>
      <w:r w:rsidR="00CC4A11">
        <w:rPr>
          <w:i/>
          <w:iCs/>
        </w:rPr>
        <w:t xml:space="preserve"> </w:t>
      </w:r>
      <w:r w:rsidR="00CC4A11" w:rsidRPr="00152BE9">
        <w:rPr>
          <w:i/>
          <w:iCs/>
        </w:rPr>
        <w:t>durch Art. </w:t>
      </w:r>
      <w:r w:rsidR="00CC4A11">
        <w:rPr>
          <w:i/>
          <w:iCs/>
        </w:rPr>
        <w:t>74</w:t>
      </w:r>
      <w:r w:rsidR="00CC4A11" w:rsidRPr="00152BE9">
        <w:rPr>
          <w:i/>
          <w:iCs/>
        </w:rPr>
        <w:t xml:space="preserve"> </w:t>
      </w:r>
      <w:r w:rsidR="00CC4A11" w:rsidRPr="003E131B">
        <w:rPr>
          <w:i/>
          <w:iCs/>
          <w:spacing w:val="-2"/>
        </w:rPr>
        <w:t xml:space="preserve">des </w:t>
      </w:r>
      <w:r w:rsidR="00CC4A11" w:rsidRPr="003E131B">
        <w:rPr>
          <w:i/>
          <w:iCs/>
          <w:spacing w:val="-2"/>
        </w:rPr>
        <w:lastRenderedPageBreak/>
        <w:t xml:space="preserve">G. vom 28. Dezember 2023 (B.S. vom 29. Dezember 2023) </w:t>
      </w:r>
      <w:r w:rsidR="00CC4A11" w:rsidRPr="00152BE9">
        <w:rPr>
          <w:i/>
          <w:iCs/>
        </w:rPr>
        <w:t>- </w:t>
      </w:r>
      <w:r w:rsidR="00CC4A11" w:rsidRPr="00896904">
        <w:rPr>
          <w:i/>
          <w:iCs/>
        </w:rPr>
        <w:t>anwendbar</w:t>
      </w:r>
      <w:r w:rsidR="00CC4A11" w:rsidRPr="00152BE9">
        <w:rPr>
          <w:i/>
          <w:iCs/>
        </w:rPr>
        <w:t xml:space="preserve"> </w:t>
      </w:r>
      <w:r w:rsidR="00CC4A11" w:rsidRPr="00896904">
        <w:rPr>
          <w:i/>
          <w:iCs/>
        </w:rPr>
        <w:t>für die an die Steuerjahre 2024 und folgende gebundenen Besteuerungszeiträume</w:t>
      </w:r>
      <w:r w:rsidR="00CC4A11" w:rsidRPr="00152BE9">
        <w:rPr>
          <w:i/>
          <w:iCs/>
        </w:rPr>
        <w:t> -</w:t>
      </w:r>
      <w:r w:rsidR="00FD68E8" w:rsidRPr="009118AB">
        <w:rPr>
          <w:i/>
          <w:iCs/>
        </w:rPr>
        <w:t>]</w:t>
      </w:r>
    </w:p>
    <w:p w14:paraId="5C70E7FD" w14:textId="77777777" w:rsidR="006B6084" w:rsidRPr="009118AB" w:rsidRDefault="006B6084">
      <w:pPr>
        <w:rPr>
          <w:i/>
          <w:iCs/>
        </w:rPr>
      </w:pPr>
      <w:r w:rsidRPr="009118AB">
        <w:rPr>
          <w:i/>
          <w:iCs/>
        </w:rPr>
        <w:br w:type="page"/>
      </w:r>
    </w:p>
    <w:p w14:paraId="7280C646" w14:textId="2EFF3CF1" w:rsidR="00477B8F" w:rsidRPr="009118AB" w:rsidRDefault="00477B8F" w:rsidP="006B60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rPr>
          <w:i/>
          <w:iCs/>
        </w:rPr>
        <w:lastRenderedPageBreak/>
        <w:t>Abschnitt </w:t>
      </w:r>
      <w:r w:rsidR="00D74862" w:rsidRPr="009118AB">
        <w:rPr>
          <w:i/>
          <w:iCs/>
        </w:rPr>
        <w:t>2</w:t>
      </w:r>
      <w:r w:rsidR="00D67EB8" w:rsidRPr="009118AB">
        <w:t> - </w:t>
      </w:r>
      <w:r w:rsidR="00EA3129" w:rsidRPr="009118AB">
        <w:t>[Erklärung in Bezug auf den Mobiliensteuervorabzug, den Berufssteuervorabzug und die Befreiung von der Zahlung des Berufssteuervorabzugs]</w:t>
      </w:r>
    </w:p>
    <w:p w14:paraId="41157403" w14:textId="77777777" w:rsidR="00EA3129" w:rsidRPr="009118AB" w:rsidRDefault="00EA3129" w:rsidP="006B60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70AF223" w14:textId="0483AB9B" w:rsidR="00EA3129" w:rsidRPr="009118AB" w:rsidRDefault="00EA3129" w:rsidP="00EA3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 xml:space="preserve">[Überschrift von Abschnitt 2 ersetzt durch </w:t>
      </w:r>
      <w:r w:rsidR="00D67EB8" w:rsidRPr="009118AB">
        <w:rPr>
          <w:i/>
          <w:iCs/>
        </w:rPr>
        <w:t>Art. </w:t>
      </w:r>
      <w:r w:rsidRPr="009118AB">
        <w:rPr>
          <w:i/>
          <w:iCs/>
        </w:rPr>
        <w:t>20</w:t>
      </w:r>
      <w:r w:rsidRPr="009118AB">
        <w:rPr>
          <w:rFonts w:ascii="Times New Roman Italique" w:hAnsi="Times New Roman Italique"/>
          <w:i/>
        </w:rPr>
        <w:t xml:space="preserve"> des G. vom 28. März 2022 (B.S. vom 31. März 2022)]</w:t>
      </w:r>
    </w:p>
    <w:p w14:paraId="514364D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17F634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F110505" w14:textId="5919925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312</w:t>
      </w:r>
      <w:r w:rsidR="00D67EB8" w:rsidRPr="009118AB">
        <w:t> - </w:t>
      </w:r>
      <w:r w:rsidRPr="009118AB">
        <w:t>Der König bestimmt die Weise, wie Schuldner des Mobiliensteuervorabzugs und des Berufssteuervorabzugs die Erklärung machen müssen.</w:t>
      </w:r>
    </w:p>
    <w:p w14:paraId="3F4A337E" w14:textId="77777777" w:rsidR="00EA3129" w:rsidRPr="009118AB" w:rsidRDefault="00EA312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59DDB76" w14:textId="77777777" w:rsidR="00EA3129" w:rsidRPr="009118AB" w:rsidRDefault="00EA3129" w:rsidP="00EA3129">
      <w:pPr>
        <w:ind w:firstLine="708"/>
        <w:jc w:val="both"/>
      </w:pPr>
      <w:r w:rsidRPr="009118AB">
        <w:tab/>
        <w:t>[Der König bestimmt auch, in welcher Weise und Häufigkeit Begünstigte der Befreiung von der Zahlung des Berufssteuervorabzugs die Erklärung machen müssen und unter welchen Bedingungen Erstattungen im Zusammenhang mit dieser Zahlungsbefreiung erfolgen.</w:t>
      </w:r>
    </w:p>
    <w:p w14:paraId="13F8F4DE" w14:textId="77777777" w:rsidR="00EA3129" w:rsidRPr="009118AB" w:rsidRDefault="00EA3129" w:rsidP="00EA3129">
      <w:pPr>
        <w:jc w:val="both"/>
      </w:pPr>
    </w:p>
    <w:p w14:paraId="50D6A890" w14:textId="77777777" w:rsidR="00EA3129" w:rsidRPr="009118AB" w:rsidRDefault="00EA3129" w:rsidP="00EA3129">
      <w:pPr>
        <w:ind w:firstLine="708"/>
        <w:jc w:val="both"/>
      </w:pPr>
      <w:r w:rsidRPr="009118AB">
        <w:t>Der König kann bestimmen, dass in der in Absatz 2 erwähnten Erklärung für jeden der Arbeitnehmer oder einige dieser Arbeitnehmer, für die der Berufssteuervorabzug, der in dem Besteuerungszeitraum geschuldet wird, auf den die Erklärung sich bezieht, der Staatskasse nicht oder nicht vollständig zugeführt wurde, Folgendes angeben sein muss:</w:t>
      </w:r>
    </w:p>
    <w:p w14:paraId="560D73D4" w14:textId="77777777" w:rsidR="00EA3129" w:rsidRPr="009118AB" w:rsidRDefault="00EA3129" w:rsidP="00EA3129">
      <w:pPr>
        <w:jc w:val="both"/>
      </w:pPr>
    </w:p>
    <w:p w14:paraId="5D216BD9" w14:textId="77777777" w:rsidR="00EA3129" w:rsidRPr="009118AB" w:rsidRDefault="00EA3129" w:rsidP="00EA3129">
      <w:pPr>
        <w:ind w:firstLine="708"/>
        <w:jc w:val="both"/>
      </w:pPr>
      <w:r w:rsidRPr="009118AB">
        <w:rPr>
          <w:i/>
          <w:iCs/>
        </w:rPr>
        <w:t>a)</w:t>
      </w:r>
      <w:r w:rsidRPr="009118AB">
        <w:t> Identifizierungsdaten jedes dieser Arbeitnehmer so wie vom König bestimmt, einschließlich seiner nationalen Nummer,</w:t>
      </w:r>
    </w:p>
    <w:p w14:paraId="663349E2" w14:textId="77777777" w:rsidR="00EA3129" w:rsidRPr="009118AB" w:rsidRDefault="00EA3129" w:rsidP="00EA3129">
      <w:pPr>
        <w:jc w:val="both"/>
      </w:pPr>
    </w:p>
    <w:p w14:paraId="58A64C13" w14:textId="77777777" w:rsidR="00EA3129" w:rsidRPr="009118AB" w:rsidRDefault="00EA3129" w:rsidP="00EA3129">
      <w:pPr>
        <w:ind w:firstLine="708"/>
        <w:jc w:val="both"/>
      </w:pPr>
      <w:r w:rsidRPr="009118AB">
        <w:rPr>
          <w:i/>
          <w:iCs/>
        </w:rPr>
        <w:t>b)</w:t>
      </w:r>
      <w:r w:rsidRPr="009118AB">
        <w:t> Betrag oder Beträge der im Besteuerungszeitraum periodisch gezahlten oder zuerkannten Entlohnungen, die als Grundlage für die Festlegung des Berufssteuervorabzugs gedient haben,</w:t>
      </w:r>
    </w:p>
    <w:p w14:paraId="7EC16118" w14:textId="77777777" w:rsidR="00EA3129" w:rsidRPr="009118AB" w:rsidRDefault="00EA3129" w:rsidP="00EA3129">
      <w:pPr>
        <w:jc w:val="both"/>
      </w:pPr>
    </w:p>
    <w:p w14:paraId="5BB6E102" w14:textId="77777777" w:rsidR="00EA3129" w:rsidRPr="009118AB" w:rsidRDefault="00EA3129" w:rsidP="00EA3129">
      <w:pPr>
        <w:ind w:firstLine="708"/>
        <w:jc w:val="both"/>
      </w:pPr>
      <w:r w:rsidRPr="009118AB">
        <w:rPr>
          <w:i/>
          <w:iCs/>
        </w:rPr>
        <w:t>c)</w:t>
      </w:r>
      <w:r w:rsidRPr="009118AB">
        <w:t> Betrag oder Beträge des auf diese Entlohnungen einbehaltenen Berufssteuervorabzugs,</w:t>
      </w:r>
    </w:p>
    <w:p w14:paraId="11E2FD58" w14:textId="77777777" w:rsidR="00EA3129" w:rsidRPr="009118AB" w:rsidRDefault="00EA3129" w:rsidP="00EA3129">
      <w:pPr>
        <w:jc w:val="both"/>
      </w:pPr>
    </w:p>
    <w:p w14:paraId="4C1DD6DC" w14:textId="77777777" w:rsidR="00EA3129" w:rsidRPr="009118AB" w:rsidRDefault="00EA3129" w:rsidP="00EA3129">
      <w:pPr>
        <w:ind w:firstLine="708"/>
        <w:jc w:val="both"/>
      </w:pPr>
      <w:r w:rsidRPr="009118AB">
        <w:rPr>
          <w:i/>
          <w:iCs/>
        </w:rPr>
        <w:t>d)</w:t>
      </w:r>
      <w:r w:rsidRPr="009118AB">
        <w:t> pro Befreiung von der Zahlung des Berufssteuervorabzugs, die entsprechend ihrer Art getrennt festgelegt wird:</w:t>
      </w:r>
    </w:p>
    <w:p w14:paraId="2FC8911C" w14:textId="77777777" w:rsidR="00EA3129" w:rsidRPr="009118AB" w:rsidRDefault="00EA3129" w:rsidP="00EA3129">
      <w:pPr>
        <w:jc w:val="both"/>
      </w:pPr>
    </w:p>
    <w:p w14:paraId="3C73BB2F" w14:textId="77777777" w:rsidR="00EA3129" w:rsidRPr="009118AB" w:rsidRDefault="00EA3129" w:rsidP="00EA3129">
      <w:pPr>
        <w:ind w:firstLine="708"/>
        <w:jc w:val="both"/>
      </w:pPr>
      <w:r w:rsidRPr="009118AB">
        <w:t>- Code in Bezug auf die Art der Befreiung von der Zahlung des Berufssteuervorabzugs, der vom König festgelegt wird,</w:t>
      </w:r>
    </w:p>
    <w:p w14:paraId="3EE0D603" w14:textId="77777777" w:rsidR="00EA3129" w:rsidRPr="009118AB" w:rsidRDefault="00EA3129" w:rsidP="00EA3129">
      <w:pPr>
        <w:jc w:val="both"/>
      </w:pPr>
    </w:p>
    <w:p w14:paraId="527F060F" w14:textId="77777777" w:rsidR="00EA3129" w:rsidRPr="009118AB" w:rsidRDefault="00EA3129" w:rsidP="00EA3129">
      <w:pPr>
        <w:ind w:firstLine="708"/>
        <w:jc w:val="both"/>
      </w:pPr>
      <w:r w:rsidRPr="009118AB">
        <w:t>- Betrag oder Beträge, die vom König bestimmt werden und die entweder die Grundlage für die Befreiung von der Zahlung des Berufssteuervorabzugs umfassen oder die gezahlten oder zuerkannten steuerpflichtigen Entlohnungen, auf die der Berufssteuervorabzug einbehalten wurde, der der Staatskasse ganz oder teilweise nicht zugeführt werden muss,</w:t>
      </w:r>
    </w:p>
    <w:p w14:paraId="6E184689" w14:textId="77777777" w:rsidR="00EA3129" w:rsidRPr="009118AB" w:rsidRDefault="00EA3129" w:rsidP="00EA3129">
      <w:pPr>
        <w:jc w:val="both"/>
      </w:pPr>
    </w:p>
    <w:p w14:paraId="2E8A92E9" w14:textId="577E15FE" w:rsidR="00EA3129" w:rsidRPr="009118AB" w:rsidRDefault="00EA3129" w:rsidP="00EA3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Betrag oder Beträge des Berufssteuervorabzugs, die der Staatskasse nicht zugeführt werden müssen.]</w:t>
      </w:r>
    </w:p>
    <w:p w14:paraId="7D6FAD58" w14:textId="77777777" w:rsidR="00EA3129" w:rsidRPr="009118AB" w:rsidRDefault="00EA3129" w:rsidP="00EA3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5D194C0" w14:textId="1E0DC966" w:rsidR="00EA3129" w:rsidRPr="009118AB" w:rsidRDefault="00EA3129" w:rsidP="00EA3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312 </w:t>
      </w:r>
      <w:r w:rsidR="00D67EB8" w:rsidRPr="009118AB">
        <w:rPr>
          <w:i/>
          <w:iCs/>
        </w:rPr>
        <w:t>Abs. </w:t>
      </w:r>
      <w:r w:rsidRPr="009118AB">
        <w:rPr>
          <w:i/>
          <w:iCs/>
        </w:rPr>
        <w:t xml:space="preserve">2 und 3 eingefügt durch </w:t>
      </w:r>
      <w:r w:rsidR="00D67EB8" w:rsidRPr="009118AB">
        <w:rPr>
          <w:i/>
          <w:iCs/>
        </w:rPr>
        <w:t>Art. </w:t>
      </w:r>
      <w:r w:rsidRPr="009118AB">
        <w:rPr>
          <w:i/>
          <w:iCs/>
        </w:rPr>
        <w:t>21</w:t>
      </w:r>
      <w:r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Pr="009118AB">
        <w:rPr>
          <w:rFonts w:ascii="Times New Roman Italique" w:hAnsi="Times New Roman Italique"/>
          <w:i/>
        </w:rPr>
        <w:t>in Kraft am 1. April 2022</w:t>
      </w:r>
      <w:r w:rsidR="00F51DE4" w:rsidRPr="009118AB">
        <w:rPr>
          <w:rFonts w:ascii="Times New Roman Italique" w:hAnsi="Times New Roman Italique"/>
          <w:i/>
          <w:iCs/>
        </w:rPr>
        <w:t xml:space="preserve"> </w:t>
      </w:r>
      <w:r w:rsidR="00F51DE4" w:rsidRPr="009118AB">
        <w:rPr>
          <w:i/>
          <w:iCs/>
        </w:rPr>
        <w:t>und anwendbar auf die ab dem 1. Januar 2023 gezahlten oder zuerkannten Entlohnungen</w:t>
      </w:r>
      <w:r w:rsidR="00FD68E8" w:rsidRPr="009118AB">
        <w:rPr>
          <w:i/>
          <w:iCs/>
        </w:rPr>
        <w:t> -]</w:t>
      </w:r>
    </w:p>
    <w:p w14:paraId="3AFA6350" w14:textId="0BDE5D3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Pr="009118AB">
        <w:rPr>
          <w:i/>
          <w:iCs/>
        </w:rPr>
        <w:lastRenderedPageBreak/>
        <w:t>Abschnitt </w:t>
      </w:r>
      <w:r w:rsidR="00D74862" w:rsidRPr="009118AB">
        <w:rPr>
          <w:i/>
          <w:iCs/>
        </w:rPr>
        <w:t>3</w:t>
      </w:r>
      <w:r w:rsidR="00D67EB8" w:rsidRPr="009118AB">
        <w:t> - </w:t>
      </w:r>
      <w:r w:rsidRPr="009118AB">
        <w:t>Befreiung von der Pflicht zur Erklärung bestimmter Einkünfte aus Kapitalvermögen und bestimmter verschiedener Einkünfte</w:t>
      </w:r>
    </w:p>
    <w:p w14:paraId="32C0CD6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993C97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5A5DD03" w14:textId="79227D87" w:rsidR="00E055A0" w:rsidRPr="009118AB" w:rsidRDefault="00D67EB8" w:rsidP="00E055A0">
      <w:pPr>
        <w:ind w:firstLine="708"/>
        <w:jc w:val="both"/>
        <w:rPr>
          <w:bCs/>
        </w:rPr>
      </w:pPr>
      <w:r w:rsidRPr="009118AB">
        <w:rPr>
          <w:b/>
          <w:bCs/>
        </w:rPr>
        <w:t>Art. </w:t>
      </w:r>
      <w:r w:rsidR="00477B8F" w:rsidRPr="009118AB">
        <w:rPr>
          <w:b/>
          <w:bCs/>
        </w:rPr>
        <w:t>313</w:t>
      </w:r>
      <w:r w:rsidRPr="009118AB">
        <w:t> - </w:t>
      </w:r>
      <w:r w:rsidR="00E055A0" w:rsidRPr="009118AB">
        <w:rPr>
          <w:bCs/>
        </w:rPr>
        <w:t xml:space="preserve">[Steuerpflichtige, die der Steuer der natürlichen Personen unterliegen, sind nicht verpflichtet, in ihrer jährlichen Erklärung zu vorerwähnter Steuer Einkünfte aus Kapitalvermögen und beweglichen Gütern, in </w:t>
      </w:r>
      <w:r w:rsidR="0066001F" w:rsidRPr="009118AB">
        <w:rPr>
          <w:bCs/>
        </w:rPr>
        <w:t>[</w:t>
      </w:r>
      <w:r w:rsidR="00E055A0" w:rsidRPr="009118AB">
        <w:rPr>
          <w:bCs/>
        </w:rPr>
        <w:t xml:space="preserve">Artikel 90 </w:t>
      </w:r>
      <w:r w:rsidR="0066001F" w:rsidRPr="009118AB">
        <w:t xml:space="preserve">Absatz 1 </w:t>
      </w:r>
      <w:r w:rsidRPr="009118AB">
        <w:rPr>
          <w:bCs/>
        </w:rPr>
        <w:t>Nr. </w:t>
      </w:r>
      <w:r w:rsidR="0066001F" w:rsidRPr="009118AB">
        <w:t>6 und 1</w:t>
      </w:r>
      <w:r w:rsidR="000F3808" w:rsidRPr="009118AB">
        <w:t>1</w:t>
      </w:r>
      <w:r w:rsidR="0066001F" w:rsidRPr="009118AB">
        <w:rPr>
          <w:bCs/>
        </w:rPr>
        <w:t>]</w:t>
      </w:r>
      <w:r w:rsidR="00E055A0" w:rsidRPr="009118AB">
        <w:rPr>
          <w:bCs/>
        </w:rPr>
        <w:t xml:space="preserve"> erwähnte verschiedene Einkünfte, für die tatsächlich ein Mobiliensteuervorabzug einbehalten wurde oder für die aufgrund von Gesetzes- oder Verordnungsbestimmungen ein fiktiver Mobiliensteuervorabzug anrechenbar ist, oder Einkünfte, die aufgrund von Gesetzes- oder Verordnungsbestimmungen vom Mobiliensteuervorabzug befreit sind, anzugeben, außer wenn es sich handelt um:</w:t>
      </w:r>
    </w:p>
    <w:p w14:paraId="671C87B1" w14:textId="77777777" w:rsidR="00E055A0" w:rsidRPr="009118AB" w:rsidRDefault="00E055A0" w:rsidP="00E055A0">
      <w:pPr>
        <w:ind w:firstLine="708"/>
        <w:jc w:val="both"/>
        <w:rPr>
          <w:bCs/>
        </w:rPr>
      </w:pPr>
    </w:p>
    <w:p w14:paraId="4C8E75B4" w14:textId="77777777" w:rsidR="00E055A0" w:rsidRPr="009118AB" w:rsidRDefault="00E055A0" w:rsidP="00E055A0">
      <w:pPr>
        <w:ind w:firstLine="708"/>
        <w:jc w:val="both"/>
        <w:rPr>
          <w:bCs/>
        </w:rPr>
      </w:pPr>
      <w:r w:rsidRPr="009118AB">
        <w:rPr>
          <w:bCs/>
        </w:rPr>
        <w:t xml:space="preserve">1. Einkünfte aus Hypothekenforderungen auf in Belgien gelegene unbewegliche Güter oder auf </w:t>
      </w:r>
      <w:r w:rsidR="0046443B" w:rsidRPr="009118AB">
        <w:rPr>
          <w:bCs/>
        </w:rPr>
        <w:t>[</w:t>
      </w:r>
      <w:r w:rsidR="0046443B" w:rsidRPr="009118AB">
        <w:rPr>
          <w:rFonts w:eastAsia="Calibri"/>
        </w:rPr>
        <w:t>Schiffe, die im Belgischen Schiffsregister registriert sind,</w:t>
      </w:r>
      <w:r w:rsidR="0046443B" w:rsidRPr="009118AB">
        <w:rPr>
          <w:bCs/>
        </w:rPr>
        <w:t>]</w:t>
      </w:r>
      <w:r w:rsidRPr="009118AB">
        <w:rPr>
          <w:bCs/>
        </w:rPr>
        <w:t xml:space="preserve"> ausschließlich der Einkünfte aus Hypothekenschuldverschreibungen,</w:t>
      </w:r>
    </w:p>
    <w:p w14:paraId="10466385" w14:textId="77777777" w:rsidR="00E055A0" w:rsidRPr="009118AB" w:rsidRDefault="00E055A0" w:rsidP="00E055A0">
      <w:pPr>
        <w:ind w:firstLine="708"/>
        <w:jc w:val="both"/>
        <w:rPr>
          <w:bCs/>
        </w:rPr>
      </w:pPr>
    </w:p>
    <w:p w14:paraId="776492B8" w14:textId="46C450D7" w:rsidR="00E055A0" w:rsidRPr="009118AB" w:rsidRDefault="00E055A0" w:rsidP="00E055A0">
      <w:pPr>
        <w:ind w:firstLine="708"/>
        <w:jc w:val="both"/>
        <w:rPr>
          <w:bCs/>
        </w:rPr>
      </w:pPr>
      <w:r w:rsidRPr="009118AB">
        <w:rPr>
          <w:bCs/>
        </w:rPr>
        <w:t xml:space="preserve">2. in Artikel 17 </w:t>
      </w:r>
      <w:r w:rsidR="00D67EB8" w:rsidRPr="009118AB">
        <w:rPr>
          <w:bCs/>
        </w:rPr>
        <w:t>§ </w:t>
      </w:r>
      <w:r w:rsidRPr="009118AB">
        <w:rPr>
          <w:bCs/>
        </w:rPr>
        <w:t xml:space="preserve">1 </w:t>
      </w:r>
      <w:r w:rsidR="00D67EB8" w:rsidRPr="009118AB">
        <w:rPr>
          <w:bCs/>
        </w:rPr>
        <w:t>Nr. </w:t>
      </w:r>
      <w:r w:rsidRPr="009118AB">
        <w:rPr>
          <w:bCs/>
        </w:rPr>
        <w:t xml:space="preserve">3 erwähnte Einkünfte aus Vermietung, Verpachtung, Nutzung und Überlassung von beweglichen Gütern, </w:t>
      </w:r>
    </w:p>
    <w:p w14:paraId="685D9FE4" w14:textId="77777777" w:rsidR="00E055A0" w:rsidRPr="009118AB" w:rsidRDefault="00E055A0" w:rsidP="00E055A0">
      <w:pPr>
        <w:ind w:firstLine="708"/>
        <w:jc w:val="both"/>
        <w:rPr>
          <w:bCs/>
        </w:rPr>
      </w:pPr>
    </w:p>
    <w:p w14:paraId="6ACBE231" w14:textId="5A3D931A" w:rsidR="00E055A0" w:rsidRPr="009118AB" w:rsidRDefault="00E055A0" w:rsidP="00E055A0">
      <w:pPr>
        <w:ind w:firstLine="708"/>
        <w:jc w:val="both"/>
        <w:rPr>
          <w:bCs/>
        </w:rPr>
      </w:pPr>
      <w:r w:rsidRPr="009118AB">
        <w:rPr>
          <w:bCs/>
        </w:rPr>
        <w:t xml:space="preserve">3. in Artikel 17 </w:t>
      </w:r>
      <w:r w:rsidR="00D67EB8" w:rsidRPr="009118AB">
        <w:rPr>
          <w:bCs/>
        </w:rPr>
        <w:t>§ </w:t>
      </w:r>
      <w:r w:rsidRPr="009118AB">
        <w:rPr>
          <w:bCs/>
        </w:rPr>
        <w:t xml:space="preserve">1 </w:t>
      </w:r>
      <w:r w:rsidR="00D67EB8" w:rsidRPr="009118AB">
        <w:rPr>
          <w:bCs/>
        </w:rPr>
        <w:t>Nr. </w:t>
      </w:r>
      <w:r w:rsidRPr="009118AB">
        <w:rPr>
          <w:bCs/>
        </w:rPr>
        <w:t>4 erwähnte Einkünfte, die in Leib- oder Zeitrenten enthalten sind,</w:t>
      </w:r>
    </w:p>
    <w:p w14:paraId="2AB14F03" w14:textId="77777777" w:rsidR="00E055A0" w:rsidRPr="009118AB" w:rsidRDefault="00E055A0" w:rsidP="00E055A0">
      <w:pPr>
        <w:ind w:firstLine="708"/>
        <w:jc w:val="both"/>
        <w:rPr>
          <w:bCs/>
        </w:rPr>
      </w:pPr>
    </w:p>
    <w:p w14:paraId="6F30FE6E" w14:textId="36F212A4" w:rsidR="00E055A0" w:rsidRPr="009118AB" w:rsidRDefault="00E055A0" w:rsidP="00E055A0">
      <w:pPr>
        <w:ind w:firstLine="708"/>
        <w:jc w:val="both"/>
        <w:rPr>
          <w:bCs/>
        </w:rPr>
      </w:pPr>
      <w:r w:rsidRPr="009118AB">
        <w:rPr>
          <w:bCs/>
        </w:rPr>
        <w:t>4. </w:t>
      </w:r>
      <w:r w:rsidR="00690995" w:rsidRPr="009118AB">
        <w:rPr>
          <w:bCs/>
        </w:rPr>
        <w:t>[in Artikel 17 § 1 Nr. 5 erwähnte Einkünfte aus der Abtretung von oder der Vergabe einer Lizenz für Urheberrechte und verwandte Schutzrechte und aus den durch das Gesetz geregelten gesetzlichen Lizenzen und Zwangslizenzen,]</w:t>
      </w:r>
    </w:p>
    <w:p w14:paraId="459DA1B8" w14:textId="77777777" w:rsidR="00E055A0" w:rsidRPr="009118AB" w:rsidRDefault="00E055A0" w:rsidP="00E055A0">
      <w:pPr>
        <w:ind w:firstLine="708"/>
        <w:jc w:val="both"/>
        <w:rPr>
          <w:bCs/>
        </w:rPr>
      </w:pPr>
    </w:p>
    <w:p w14:paraId="4B51EF14" w14:textId="22EAAEE7" w:rsidR="00E055A0" w:rsidRPr="009118AB" w:rsidRDefault="00E055A0" w:rsidP="00E055A0">
      <w:pPr>
        <w:ind w:firstLine="708"/>
        <w:jc w:val="both"/>
        <w:rPr>
          <w:bCs/>
        </w:rPr>
      </w:pPr>
      <w:r w:rsidRPr="009118AB">
        <w:rPr>
          <w:bCs/>
        </w:rPr>
        <w:t xml:space="preserve">5. in Artikel 19 </w:t>
      </w:r>
      <w:r w:rsidR="00D67EB8" w:rsidRPr="009118AB">
        <w:rPr>
          <w:bCs/>
        </w:rPr>
        <w:t>§ </w:t>
      </w:r>
      <w:r w:rsidRPr="009118AB">
        <w:rPr>
          <w:bCs/>
        </w:rPr>
        <w:t xml:space="preserve">1 Absatz 1 </w:t>
      </w:r>
      <w:r w:rsidR="00D67EB8" w:rsidRPr="009118AB">
        <w:rPr>
          <w:bCs/>
        </w:rPr>
        <w:t>Nr. </w:t>
      </w:r>
      <w:r w:rsidRPr="009118AB">
        <w:rPr>
          <w:bCs/>
        </w:rPr>
        <w:t>2 erwähnte Gebühren, die in Verträgen in Bezug auf die Überlassung von Nutzungsrechten an bebauten unbeweglichen Gütern festgelegt sind,</w:t>
      </w:r>
    </w:p>
    <w:p w14:paraId="214DA6F0" w14:textId="77777777" w:rsidR="00E055A0" w:rsidRPr="009118AB" w:rsidRDefault="00E055A0" w:rsidP="00E055A0">
      <w:pPr>
        <w:ind w:firstLine="708"/>
        <w:jc w:val="both"/>
        <w:rPr>
          <w:bCs/>
        </w:rPr>
      </w:pPr>
    </w:p>
    <w:p w14:paraId="3B0A0268" w14:textId="50C652DB" w:rsidR="00E055A0" w:rsidRPr="009118AB" w:rsidRDefault="00E055A0" w:rsidP="00E055A0">
      <w:pPr>
        <w:ind w:firstLine="708"/>
        <w:jc w:val="both"/>
        <w:rPr>
          <w:bCs/>
        </w:rPr>
      </w:pPr>
      <w:r w:rsidRPr="009118AB">
        <w:rPr>
          <w:bCs/>
        </w:rPr>
        <w:t>6. </w:t>
      </w:r>
      <w:r w:rsidR="00B1179A" w:rsidRPr="009118AB">
        <w:rPr>
          <w:bCs/>
        </w:rPr>
        <w:t>[</w:t>
      </w:r>
      <w:r w:rsidR="00B1179A" w:rsidRPr="009118AB">
        <w:t xml:space="preserve">in Artikel 21 Absatz 1 </w:t>
      </w:r>
      <w:r w:rsidR="00D67EB8" w:rsidRPr="009118AB">
        <w:t>Nr. </w:t>
      </w:r>
      <w:r w:rsidR="00B1179A" w:rsidRPr="009118AB">
        <w:t>5, 10 und 13</w:t>
      </w:r>
      <w:r w:rsidR="00805597" w:rsidRPr="009118AB">
        <w:rPr>
          <w:bCs/>
        </w:rPr>
        <w:t>]</w:t>
      </w:r>
      <w:r w:rsidRPr="009118AB">
        <w:rPr>
          <w:bCs/>
        </w:rPr>
        <w:t xml:space="preserve"> erwähnte Einkünfte in dem Maße, wie sie </w:t>
      </w:r>
      <w:r w:rsidR="00B1179A" w:rsidRPr="009118AB">
        <w:rPr>
          <w:bCs/>
        </w:rPr>
        <w:t>[</w:t>
      </w:r>
      <w:r w:rsidR="00B1179A" w:rsidRPr="009118AB">
        <w:t>die dort festgelegten Grenzen</w:t>
      </w:r>
      <w:r w:rsidR="00B1179A" w:rsidRPr="009118AB">
        <w:rPr>
          <w:bCs/>
        </w:rPr>
        <w:t>]</w:t>
      </w:r>
      <w:r w:rsidRPr="009118AB">
        <w:rPr>
          <w:bCs/>
        </w:rPr>
        <w:t xml:space="preserve"> überschreiten und wie der Mobiliensteuervorabzug nicht auf diesen Überschuss einbehalten wurde.</w:t>
      </w:r>
    </w:p>
    <w:p w14:paraId="0A0B129F" w14:textId="77777777" w:rsidR="00E055A0" w:rsidRPr="009118AB" w:rsidRDefault="00E055A0" w:rsidP="00E055A0">
      <w:pPr>
        <w:ind w:firstLine="708"/>
        <w:jc w:val="both"/>
        <w:rPr>
          <w:bCs/>
        </w:rPr>
      </w:pPr>
    </w:p>
    <w:p w14:paraId="65D61222" w14:textId="77777777" w:rsidR="00E055A0" w:rsidRPr="009118AB" w:rsidRDefault="00E055A0" w:rsidP="00E055A0">
      <w:pPr>
        <w:ind w:firstLine="708"/>
        <w:jc w:val="both"/>
        <w:rPr>
          <w:bCs/>
        </w:rPr>
      </w:pPr>
      <w:r w:rsidRPr="009118AB">
        <w:rPr>
          <w:bCs/>
        </w:rPr>
        <w:t>Der Mobiliensteuervorabzug auf solche nicht angegebenen Einkünfte kann weder auf die Steuer der natürlichen Personen angerechnet noch erstattet werden.]</w:t>
      </w:r>
    </w:p>
    <w:p w14:paraId="6082A147" w14:textId="77777777" w:rsidR="00546B08" w:rsidRPr="009118AB" w:rsidRDefault="00546B08" w:rsidP="00E055A0">
      <w:pPr>
        <w:ind w:firstLine="708"/>
        <w:jc w:val="both"/>
        <w:rPr>
          <w:bCs/>
        </w:rPr>
      </w:pPr>
    </w:p>
    <w:p w14:paraId="0E721576" w14:textId="7FF6E044" w:rsidR="00546B08" w:rsidRPr="009118AB" w:rsidRDefault="00546B08" w:rsidP="00E055A0">
      <w:pPr>
        <w:ind w:firstLine="708"/>
        <w:jc w:val="both"/>
        <w:rPr>
          <w:bCs/>
        </w:rPr>
      </w:pPr>
      <w:r w:rsidRPr="009118AB">
        <w:rPr>
          <w:bCs/>
        </w:rPr>
        <w:t>[</w:t>
      </w:r>
      <w:r w:rsidR="00B1179A" w:rsidRPr="009118AB">
        <w:rPr>
          <w:bCs/>
        </w:rPr>
        <w:t>[</w:t>
      </w:r>
      <w:r w:rsidR="00B1179A" w:rsidRPr="009118AB">
        <w:t xml:space="preserve">Vorbehaltlich der Anwendung von Artikel 307 </w:t>
      </w:r>
      <w:r w:rsidR="00D67EB8" w:rsidRPr="009118AB">
        <w:t>§ </w:t>
      </w:r>
      <w:r w:rsidR="00B1179A" w:rsidRPr="009118AB">
        <w:t>1/1 Absatz 3 kann der einbehaltene Mobiliensteuervorabzug]</w:t>
      </w:r>
      <w:r w:rsidR="00B11FBF" w:rsidRPr="009118AB">
        <w:t xml:space="preserve"> weder auf die Steuer der natürlichen Personen angerechnet noch erstattet werden, wenn Steuerpflichtige Berufseinkünfte beziehen, die aufgrund eines Abkommens steuerfrei sind und nicht für die Berechnung der Steuer auf ihre anderen Einkünfte berücksichtigt werden.]</w:t>
      </w:r>
    </w:p>
    <w:p w14:paraId="49ADFC39" w14:textId="77777777" w:rsidR="00E055A0" w:rsidRPr="009118AB" w:rsidRDefault="00E055A0" w:rsidP="00E055A0">
      <w:pPr>
        <w:ind w:firstLine="708"/>
        <w:jc w:val="both"/>
        <w:rPr>
          <w:bCs/>
        </w:rPr>
      </w:pPr>
    </w:p>
    <w:p w14:paraId="32B204ED" w14:textId="73DF6C07" w:rsidR="00E055A0" w:rsidRPr="009118AB" w:rsidRDefault="00E055A0" w:rsidP="00B11FBF">
      <w:pPr>
        <w:autoSpaceDE w:val="0"/>
        <w:autoSpaceDN w:val="0"/>
        <w:adjustRightInd w:val="0"/>
        <w:jc w:val="both"/>
        <w:rPr>
          <w:i/>
          <w:iCs/>
        </w:rPr>
      </w:pPr>
      <w:r w:rsidRPr="009118AB">
        <w:rPr>
          <w:bCs/>
          <w:i/>
        </w:rPr>
        <w:t>[</w:t>
      </w:r>
      <w:r w:rsidR="00D67EB8" w:rsidRPr="009118AB">
        <w:rPr>
          <w:bCs/>
          <w:i/>
        </w:rPr>
        <w:t>Art. </w:t>
      </w:r>
      <w:r w:rsidRPr="009118AB">
        <w:rPr>
          <w:bCs/>
          <w:i/>
        </w:rPr>
        <w:t>313 ersetzt</w:t>
      </w:r>
      <w:r w:rsidRPr="009118AB">
        <w:rPr>
          <w:i/>
          <w:iCs/>
        </w:rPr>
        <w:t xml:space="preserve"> durch </w:t>
      </w:r>
      <w:r w:rsidR="00D67EB8" w:rsidRPr="009118AB">
        <w:rPr>
          <w:i/>
          <w:iCs/>
        </w:rPr>
        <w:t>Art. </w:t>
      </w:r>
      <w:r w:rsidRPr="009118AB">
        <w:rPr>
          <w:i/>
          <w:iCs/>
        </w:rPr>
        <w:t>89 des G. vom 27. Dezember 2012</w:t>
      </w:r>
      <w:r w:rsidR="004F7F42" w:rsidRPr="009118AB">
        <w:rPr>
          <w:i/>
          <w:iCs/>
        </w:rPr>
        <w:t xml:space="preserve"> (B.S. vom 31. Dezember 2012)</w:t>
      </w:r>
      <w:r w:rsidR="00D67EB8" w:rsidRPr="009118AB">
        <w:rPr>
          <w:i/>
          <w:iCs/>
        </w:rPr>
        <w:t> - </w:t>
      </w:r>
      <w:r w:rsidRPr="009118AB">
        <w:rPr>
          <w:i/>
          <w:iCs/>
        </w:rPr>
        <w:t>anwendbar auf die ab dem 1. Januar 2013 zuerkannten oder ausgeschütteten Einkünfte</w:t>
      </w:r>
      <w:r w:rsidR="003366D9" w:rsidRPr="009118AB">
        <w:rPr>
          <w:i/>
          <w:iCs/>
        </w:rPr>
        <w:t> -;</w:t>
      </w:r>
      <w:r w:rsidR="00805597" w:rsidRPr="009118AB">
        <w:rPr>
          <w:i/>
          <w:iCs/>
        </w:rPr>
        <w:t xml:space="preserve"> </w:t>
      </w:r>
      <w:r w:rsidR="00D67EB8" w:rsidRPr="009118AB">
        <w:rPr>
          <w:i/>
          <w:iCs/>
        </w:rPr>
        <w:t>Abs. </w:t>
      </w:r>
      <w:r w:rsidR="0066001F" w:rsidRPr="009118AB">
        <w:rPr>
          <w:i/>
          <w:iCs/>
        </w:rPr>
        <w:t xml:space="preserve">1 einleitende Bestimmung abgeändert durch </w:t>
      </w:r>
      <w:r w:rsidR="00D67EB8" w:rsidRPr="009118AB">
        <w:rPr>
          <w:i/>
          <w:iCs/>
        </w:rPr>
        <w:t>Art. </w:t>
      </w:r>
      <w:r w:rsidR="0066001F" w:rsidRPr="009118AB">
        <w:rPr>
          <w:i/>
          <w:iCs/>
        </w:rPr>
        <w:t>83</w:t>
      </w:r>
      <w:r w:rsidR="0066001F" w:rsidRPr="009118AB">
        <w:rPr>
          <w:i/>
        </w:rPr>
        <w:t xml:space="preserve"> des G. vom 26. Dezember 2015 (II) (B.S. vom 30. Dezember 2015)</w:t>
      </w:r>
      <w:r w:rsidR="00D67EB8" w:rsidRPr="009118AB">
        <w:t> - </w:t>
      </w:r>
      <w:r w:rsidR="0066001F"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118AB">
        <w:rPr>
          <w:i/>
        </w:rPr>
        <w:t> -,</w:t>
      </w:r>
      <w:r w:rsidR="00FF6A65" w:rsidRPr="009118AB">
        <w:rPr>
          <w:i/>
        </w:rPr>
        <w:t xml:space="preserve"> </w:t>
      </w:r>
      <w:r w:rsidR="00D67EB8" w:rsidRPr="009118AB">
        <w:rPr>
          <w:i/>
        </w:rPr>
        <w:lastRenderedPageBreak/>
        <w:t>Art. </w:t>
      </w:r>
      <w:r w:rsidR="00977C94" w:rsidRPr="009118AB">
        <w:rPr>
          <w:i/>
        </w:rPr>
        <w:t>90 des G. vom 25. Dezember 2016</w:t>
      </w:r>
      <w:r w:rsidR="001022BB" w:rsidRPr="009118AB">
        <w:rPr>
          <w:i/>
        </w:rPr>
        <w:t> (I)</w:t>
      </w:r>
      <w:r w:rsidR="00977C94" w:rsidRPr="009118AB">
        <w:rPr>
          <w:i/>
        </w:rPr>
        <w:t xml:space="preserve"> (B.S. vom 29. Dezember 2016)</w:t>
      </w:r>
      <w:r w:rsidR="00D67EB8" w:rsidRPr="009118AB">
        <w:rPr>
          <w:i/>
        </w:rPr>
        <w:t> - </w:t>
      </w:r>
      <w:r w:rsidR="00977C94" w:rsidRPr="009118AB">
        <w:rPr>
          <w:i/>
        </w:rPr>
        <w:t>in Kraft am 1. Januar 2017 und anwendbar auf die ab dem 1. Januar 2017 verwirklichten Mehrwerte</w:t>
      </w:r>
      <w:r w:rsidR="00D67EB8" w:rsidRPr="009118AB">
        <w:rPr>
          <w:i/>
        </w:rPr>
        <w:t> - </w:t>
      </w:r>
      <w:r w:rsidR="00FF6A65" w:rsidRPr="009118AB">
        <w:rPr>
          <w:i/>
        </w:rPr>
        <w:t xml:space="preserve">und </w:t>
      </w:r>
      <w:r w:rsidR="00D67EB8" w:rsidRPr="009118AB">
        <w:rPr>
          <w:i/>
        </w:rPr>
        <w:t>Art. </w:t>
      </w:r>
      <w:r w:rsidR="00FF6A65" w:rsidRPr="009118AB">
        <w:rPr>
          <w:i/>
        </w:rPr>
        <w:t>14</w:t>
      </w:r>
      <w:r w:rsidR="00FF6A65" w:rsidRPr="009118AB">
        <w:rPr>
          <w:i/>
          <w:iCs/>
        </w:rPr>
        <w:t xml:space="preserve"> des G. vom 25. Dezember 2017 (II) (B.S. vom 29. Dezember 2017)</w:t>
      </w:r>
      <w:r w:rsidR="0066001F" w:rsidRPr="009118AB">
        <w:rPr>
          <w:i/>
        </w:rPr>
        <w:t xml:space="preserve">; </w:t>
      </w:r>
      <w:r w:rsidR="00D67EB8" w:rsidRPr="009118AB">
        <w:rPr>
          <w:i/>
        </w:rPr>
        <w:t>Abs. </w:t>
      </w:r>
      <w:r w:rsidR="0046443B" w:rsidRPr="009118AB">
        <w:rPr>
          <w:i/>
        </w:rPr>
        <w:t xml:space="preserve">1 </w:t>
      </w:r>
      <w:r w:rsidR="00D67EB8" w:rsidRPr="009118AB">
        <w:rPr>
          <w:i/>
        </w:rPr>
        <w:t>Nr. </w:t>
      </w:r>
      <w:r w:rsidR="0046443B" w:rsidRPr="009118AB">
        <w:rPr>
          <w:i/>
        </w:rPr>
        <w:t xml:space="preserve">1 abgeändert durch </w:t>
      </w:r>
      <w:r w:rsidR="00D67EB8" w:rsidRPr="009118AB">
        <w:rPr>
          <w:i/>
        </w:rPr>
        <w:t>Art. </w:t>
      </w:r>
      <w:r w:rsidR="0046443B" w:rsidRPr="009118AB">
        <w:rPr>
          <w:i/>
        </w:rPr>
        <w:t xml:space="preserve">75 des G. vom 11. Juli 2018 (III) (B.S. vom 20. Juli 2018); </w:t>
      </w:r>
      <w:r w:rsidR="00690995" w:rsidRPr="009118AB">
        <w:rPr>
          <w:i/>
        </w:rPr>
        <w:t>Abs. 1 Nr. 4 ersetzt durch Art. 106</w:t>
      </w:r>
      <w:r w:rsidR="00690995" w:rsidRPr="009118AB">
        <w:rPr>
          <w:bCs/>
          <w:i/>
          <w:iCs/>
        </w:rPr>
        <w:t xml:space="preserve"> des G. vom 26. Dezember 2022</w:t>
      </w:r>
      <w:r w:rsidR="00236038" w:rsidRPr="009118AB">
        <w:rPr>
          <w:bCs/>
          <w:i/>
          <w:iCs/>
        </w:rPr>
        <w:t> (I)</w:t>
      </w:r>
      <w:r w:rsidR="00690995" w:rsidRPr="009118AB">
        <w:rPr>
          <w:bCs/>
          <w:i/>
          <w:iCs/>
        </w:rPr>
        <w:t xml:space="preserve"> (B.S. vom 30. Dezember 2022) - in Kraft am 1. Januar 2023 und anwendbar auf die ab dem 1. Januar 2023 gezahlten oder zuerkannten Einkünfte -; </w:t>
      </w:r>
      <w:r w:rsidR="00D67EB8" w:rsidRPr="009118AB">
        <w:rPr>
          <w:i/>
          <w:iCs/>
        </w:rPr>
        <w:t>Abs. </w:t>
      </w:r>
      <w:r w:rsidR="00805597" w:rsidRPr="009118AB">
        <w:rPr>
          <w:i/>
          <w:iCs/>
        </w:rPr>
        <w:t xml:space="preserve">1 </w:t>
      </w:r>
      <w:r w:rsidR="00D67EB8" w:rsidRPr="009118AB">
        <w:rPr>
          <w:i/>
          <w:iCs/>
        </w:rPr>
        <w:t>Nr. </w:t>
      </w:r>
      <w:r w:rsidR="00805597" w:rsidRPr="009118AB">
        <w:rPr>
          <w:i/>
          <w:iCs/>
        </w:rPr>
        <w:t xml:space="preserve">6 abgeändert durch </w:t>
      </w:r>
      <w:r w:rsidR="00D67EB8" w:rsidRPr="009118AB">
        <w:rPr>
          <w:i/>
          <w:iCs/>
        </w:rPr>
        <w:t>Art. </w:t>
      </w:r>
      <w:r w:rsidR="00805597" w:rsidRPr="009118AB">
        <w:rPr>
          <w:i/>
          <w:iCs/>
        </w:rPr>
        <w:t>64 des G. vom 10. August 2015 (B.S. vom 18. August 2015)</w:t>
      </w:r>
      <w:r w:rsidR="00D67EB8" w:rsidRPr="009118AB">
        <w:rPr>
          <w:i/>
          <w:iCs/>
        </w:rPr>
        <w:t> - </w:t>
      </w:r>
      <w:r w:rsidR="00805597" w:rsidRPr="009118AB">
        <w:rPr>
          <w:i/>
        </w:rPr>
        <w:t>anwendbar auf die ab dem 1. August 2015 abgeschlossenen Darlehen</w:t>
      </w:r>
      <w:r w:rsidR="00FD68E8" w:rsidRPr="009118AB">
        <w:rPr>
          <w:i/>
        </w:rPr>
        <w:t> -,</w:t>
      </w:r>
      <w:r w:rsidR="00B1179A" w:rsidRPr="009118AB">
        <w:rPr>
          <w:i/>
        </w:rPr>
        <w:t xml:space="preserve"> </w:t>
      </w:r>
      <w:r w:rsidR="00D67EB8" w:rsidRPr="009118AB">
        <w:rPr>
          <w:i/>
        </w:rPr>
        <w:t>Art. </w:t>
      </w:r>
      <w:r w:rsidR="00B1179A" w:rsidRPr="009118AB">
        <w:rPr>
          <w:i/>
        </w:rPr>
        <w:t xml:space="preserve">114 </w:t>
      </w:r>
      <w:r w:rsidR="00D67EB8" w:rsidRPr="009118AB">
        <w:rPr>
          <w:i/>
        </w:rPr>
        <w:t>Nr. </w:t>
      </w:r>
      <w:r w:rsidR="00B1179A" w:rsidRPr="009118AB">
        <w:rPr>
          <w:i/>
        </w:rPr>
        <w:t>1</w:t>
      </w:r>
      <w:r w:rsidR="00B1179A" w:rsidRPr="009118AB">
        <w:rPr>
          <w:i/>
          <w:iCs/>
        </w:rPr>
        <w:t xml:space="preserve"> des G. vom 25. Dezember 2017 (IV) (B.S. vom 29. Dezember 2017)</w:t>
      </w:r>
      <w:r w:rsidR="00D67EB8" w:rsidRPr="009118AB">
        <w:rPr>
          <w:i/>
        </w:rPr>
        <w:t> - </w:t>
      </w:r>
      <w:r w:rsidR="00B1179A" w:rsidRPr="009118AB">
        <w:rPr>
          <w:i/>
        </w:rPr>
        <w:t>anwendbar ab dem 30. Dezember 2016</w:t>
      </w:r>
      <w:r w:rsidR="00D67EB8" w:rsidRPr="009118AB">
        <w:rPr>
          <w:i/>
        </w:rPr>
        <w:t> - </w:t>
      </w:r>
      <w:r w:rsidR="00B1179A" w:rsidRPr="009118AB">
        <w:rPr>
          <w:i/>
        </w:rPr>
        <w:t xml:space="preserve">und </w:t>
      </w:r>
      <w:r w:rsidR="00D67EB8" w:rsidRPr="009118AB">
        <w:rPr>
          <w:i/>
        </w:rPr>
        <w:t>Art. </w:t>
      </w:r>
      <w:r w:rsidR="00B1179A" w:rsidRPr="009118AB">
        <w:rPr>
          <w:i/>
        </w:rPr>
        <w:t xml:space="preserve">114 </w:t>
      </w:r>
      <w:r w:rsidR="00D67EB8" w:rsidRPr="009118AB">
        <w:rPr>
          <w:i/>
        </w:rPr>
        <w:t>Nr. </w:t>
      </w:r>
      <w:r w:rsidR="00B1179A" w:rsidRPr="009118AB">
        <w:rPr>
          <w:i/>
        </w:rPr>
        <w:t>2</w:t>
      </w:r>
      <w:r w:rsidR="00B1179A" w:rsidRPr="009118AB">
        <w:rPr>
          <w:rFonts w:ascii="Times New Roman Italique" w:hAnsi="Times New Roman Italique"/>
          <w:i/>
          <w:iCs/>
          <w:spacing w:val="-2"/>
        </w:rPr>
        <w:t xml:space="preserve"> </w:t>
      </w:r>
      <w:r w:rsidR="00B1179A" w:rsidRPr="009118AB">
        <w:rPr>
          <w:i/>
          <w:iCs/>
        </w:rPr>
        <w:t>des G. vom 25. Dezember 2017 (IV) (B.S. vom 29. Dezember 2017)</w:t>
      </w:r>
      <w:r w:rsidR="00D67EB8" w:rsidRPr="009118AB">
        <w:rPr>
          <w:i/>
          <w:iCs/>
        </w:rPr>
        <w:t> - </w:t>
      </w:r>
      <w:r w:rsidR="00B1179A" w:rsidRPr="009118AB">
        <w:rPr>
          <w:i/>
        </w:rPr>
        <w:t>anwendbar auf die ab dem 1. Januar 2018 gezahlten oder zuerkannten Einkünfte</w:t>
      </w:r>
      <w:r w:rsidR="003366D9" w:rsidRPr="009118AB">
        <w:rPr>
          <w:i/>
        </w:rPr>
        <w:t> -;</w:t>
      </w:r>
      <w:r w:rsidR="00B11FBF" w:rsidRPr="009118AB">
        <w:rPr>
          <w:i/>
          <w:iCs/>
        </w:rPr>
        <w:t xml:space="preserve"> </w:t>
      </w:r>
      <w:r w:rsidR="00D67EB8" w:rsidRPr="009118AB">
        <w:rPr>
          <w:i/>
          <w:iCs/>
        </w:rPr>
        <w:t>Abs. </w:t>
      </w:r>
      <w:r w:rsidR="00B11FBF" w:rsidRPr="009118AB">
        <w:rPr>
          <w:i/>
          <w:iCs/>
        </w:rPr>
        <w:t xml:space="preserve">3 eingefügt durch </w:t>
      </w:r>
      <w:r w:rsidR="00D67EB8" w:rsidRPr="009118AB">
        <w:rPr>
          <w:i/>
          <w:iCs/>
        </w:rPr>
        <w:t>Art. </w:t>
      </w:r>
      <w:r w:rsidR="00B11FBF" w:rsidRPr="009118AB">
        <w:rPr>
          <w:i/>
          <w:iCs/>
        </w:rPr>
        <w:t>22 des G. vom 17. Juni 2013 (B.S. vom 28. Juni 2013)</w:t>
      </w:r>
      <w:r w:rsidR="00D67EB8" w:rsidRPr="009118AB">
        <w:rPr>
          <w:i/>
          <w:iCs/>
        </w:rPr>
        <w:t> - </w:t>
      </w:r>
      <w:r w:rsidR="009249E1" w:rsidRPr="009118AB">
        <w:rPr>
          <w:i/>
          <w:iCs/>
        </w:rPr>
        <w:t>anwendbar auf die ab dem 1. Januar 2013 gezahlten oder zuerkannten Einkünfte</w:t>
      </w:r>
      <w:r w:rsidR="00D67EB8" w:rsidRPr="009118AB">
        <w:rPr>
          <w:i/>
          <w:iCs/>
        </w:rPr>
        <w:t> - </w:t>
      </w:r>
      <w:r w:rsidR="00B1179A" w:rsidRPr="009118AB">
        <w:rPr>
          <w:i/>
          <w:iCs/>
        </w:rPr>
        <w:t xml:space="preserve">und abgeändert durch </w:t>
      </w:r>
      <w:r w:rsidR="00D67EB8" w:rsidRPr="009118AB">
        <w:rPr>
          <w:i/>
          <w:iCs/>
        </w:rPr>
        <w:t>Art. </w:t>
      </w:r>
      <w:r w:rsidR="00B1179A" w:rsidRPr="009118AB">
        <w:rPr>
          <w:i/>
          <w:iCs/>
        </w:rPr>
        <w:t xml:space="preserve">114 </w:t>
      </w:r>
      <w:r w:rsidR="00D67EB8" w:rsidRPr="009118AB">
        <w:rPr>
          <w:i/>
          <w:iCs/>
        </w:rPr>
        <w:t>Nr. </w:t>
      </w:r>
      <w:r w:rsidR="00B1179A" w:rsidRPr="009118AB">
        <w:rPr>
          <w:i/>
          <w:iCs/>
        </w:rPr>
        <w:t>3</w:t>
      </w:r>
      <w:r w:rsidR="00B1179A" w:rsidRPr="009118AB">
        <w:rPr>
          <w:rFonts w:ascii="Times New Roman Italique" w:hAnsi="Times New Roman Italique"/>
          <w:i/>
          <w:iCs/>
          <w:spacing w:val="-2"/>
        </w:rPr>
        <w:t xml:space="preserve"> </w:t>
      </w:r>
      <w:r w:rsidR="00B1179A" w:rsidRPr="009118AB">
        <w:rPr>
          <w:i/>
          <w:iCs/>
        </w:rPr>
        <w:t>des G. vom 25. Dezember 2017 (IV) (B.S. vom 29. Dezember 2017)</w:t>
      </w:r>
      <w:r w:rsidR="00D67EB8" w:rsidRPr="009118AB">
        <w:rPr>
          <w:i/>
          <w:iCs/>
        </w:rPr>
        <w:t> - </w:t>
      </w:r>
      <w:r w:rsidR="00B1179A" w:rsidRPr="009118AB">
        <w:rPr>
          <w:i/>
        </w:rPr>
        <w:t>anwendbar auf die ab dem 1. Januar 2018 gezahlten oder zuerkannten Einkünfte</w:t>
      </w:r>
      <w:r w:rsidR="00FD68E8" w:rsidRPr="009118AB">
        <w:rPr>
          <w:i/>
        </w:rPr>
        <w:t> -]</w:t>
      </w:r>
      <w:r w:rsidR="00B1179A" w:rsidRPr="009118AB">
        <w:rPr>
          <w:i/>
          <w:iCs/>
        </w:rPr>
        <w:t xml:space="preserve"> </w:t>
      </w:r>
    </w:p>
    <w:p w14:paraId="7273D95A" w14:textId="71F350A5" w:rsidR="00477B8F" w:rsidRPr="009118AB" w:rsidRDefault="00A37BF4" w:rsidP="00A37BF4">
      <w:pPr>
        <w:jc w:val="center"/>
        <w:rPr>
          <w:iCs/>
        </w:rPr>
      </w:pPr>
      <w:r w:rsidRPr="009118AB">
        <w:br w:type="page"/>
      </w:r>
      <w:r w:rsidR="00477B8F" w:rsidRPr="009118AB">
        <w:rPr>
          <w:i/>
          <w:iCs/>
        </w:rPr>
        <w:lastRenderedPageBreak/>
        <w:t>Abschnitt </w:t>
      </w:r>
      <w:r w:rsidR="00D74862" w:rsidRPr="009118AB">
        <w:rPr>
          <w:i/>
          <w:iCs/>
        </w:rPr>
        <w:t>4</w:t>
      </w:r>
      <w:r w:rsidR="00D67EB8" w:rsidRPr="009118AB">
        <w:t> - </w:t>
      </w:r>
      <w:r w:rsidR="00477B8F" w:rsidRPr="009118AB">
        <w:t>Identifizierung der Steuerpflichtigen</w:t>
      </w:r>
    </w:p>
    <w:p w14:paraId="6166490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C0D859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DC9B93C" w14:textId="212552FD" w:rsidR="00ED7721" w:rsidRPr="009118AB" w:rsidRDefault="00477B8F" w:rsidP="00ED77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tab/>
      </w:r>
      <w:r w:rsidR="00D67EB8" w:rsidRPr="009118AB">
        <w:rPr>
          <w:b/>
          <w:bCs/>
        </w:rPr>
        <w:t>Art. </w:t>
      </w:r>
      <w:r w:rsidRPr="009118AB">
        <w:rPr>
          <w:b/>
          <w:bCs/>
        </w:rPr>
        <w:t>314</w:t>
      </w:r>
      <w:r w:rsidR="00D67EB8" w:rsidRPr="009118AB">
        <w:t> - </w:t>
      </w:r>
      <w:r w:rsidR="00D67EB8" w:rsidRPr="009118AB">
        <w:rPr>
          <w:iCs/>
        </w:rPr>
        <w:t>§ </w:t>
      </w:r>
      <w:r w:rsidR="00ED7721" w:rsidRPr="009118AB">
        <w:rPr>
          <w:iCs/>
        </w:rPr>
        <w:t>1</w:t>
      </w:r>
      <w:r w:rsidR="00D67EB8" w:rsidRPr="009118AB">
        <w:rPr>
          <w:iCs/>
        </w:rPr>
        <w:t> - </w:t>
      </w:r>
      <w:r w:rsidR="00ED7721" w:rsidRPr="009118AB">
        <w:rPr>
          <w:iCs/>
        </w:rPr>
        <w:t xml:space="preserve">[Die </w:t>
      </w:r>
      <w:r w:rsidR="002D5C49" w:rsidRPr="009118AB">
        <w:t xml:space="preserve">[mit der Festlegung der Einkommensteuern beauftragte Verwaltung] </w:t>
      </w:r>
      <w:r w:rsidR="00ED7721" w:rsidRPr="009118AB">
        <w:rPr>
          <w:iCs/>
        </w:rPr>
        <w:t>teilt Steuerpflichtigen, die den in Artikel 1 erwähnten Steuern unterliegen, eine Steueridentifikationsnummer zu.</w:t>
      </w:r>
    </w:p>
    <w:p w14:paraId="5ED3F70E" w14:textId="77777777" w:rsidR="00ED7721" w:rsidRPr="009118AB" w:rsidRDefault="00ED7721" w:rsidP="00ED77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4B9C023"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Für natürliche Personen entspricht diese Steuernummer ihrer Erkennungsnummer im Nationalregister der natürlichen Personen.</w:t>
      </w:r>
    </w:p>
    <w:p w14:paraId="650CAF57"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32AF9863"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Wenn natürliche Personen über eine Unternehmensnummer verfügen, die von der Zentralen Datenbank der Unternehmen zugeteilt wurde, wird diese Nummer für alles, was ihre Unternehmenstätigkeit betrifft, auch als Steueridentifikationsnummer benutzt.</w:t>
      </w:r>
    </w:p>
    <w:p w14:paraId="1575EA81"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67B216DA"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Die Steueridentifikationsnummer von juristischen Personen entspricht ihrer Unternehmensnummer, die von der Zentralen Datenbank der Unternehmen zugeteilt wurde.</w:t>
      </w:r>
    </w:p>
    <w:p w14:paraId="362387AE"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0C18F9ED"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Die Steueridentifikationsnummer von natürlichen Personen und von juristischen Personen, die keine Unternehmensnummer haben, wird gemäß den vom König festgelegten Regeln zugeteilt und benutzt.]</w:t>
      </w:r>
    </w:p>
    <w:p w14:paraId="3538B92A"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C243F59" w14:textId="43B7DAB6" w:rsidR="00ED7721" w:rsidRPr="009118AB"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w:t>
      </w:r>
      <w:r w:rsidR="00ED7721" w:rsidRPr="009118AB">
        <w:rPr>
          <w:iCs/>
        </w:rPr>
        <w:t>2</w:t>
      </w:r>
      <w:r w:rsidRPr="009118AB">
        <w:rPr>
          <w:iCs/>
        </w:rPr>
        <w:t> - </w:t>
      </w:r>
      <w:r w:rsidR="00ED7721" w:rsidRPr="009118AB">
        <w:rPr>
          <w:iCs/>
        </w:rPr>
        <w:t xml:space="preserve">[Die in </w:t>
      </w:r>
      <w:r w:rsidRPr="009118AB">
        <w:rPr>
          <w:iCs/>
        </w:rPr>
        <w:t>§ </w:t>
      </w:r>
      <w:r w:rsidR="00ED7721" w:rsidRPr="009118AB">
        <w:rPr>
          <w:iCs/>
        </w:rPr>
        <w:t xml:space="preserve">1 Absatz 2 erwähnte Steueridentifikationsnummer von natürlichen Personen] darf benutzt werden unter Bedingungen und zu Zwecken, die im Königlichen Erlass vom 25. April 1986 zur Ermächtigung bestimmter Behörden des </w:t>
      </w:r>
      <w:r w:rsidR="00965E59" w:rsidRPr="009118AB">
        <w:t>Ministeriums der</w:t>
      </w:r>
      <w:r w:rsidR="00A063AE" w:rsidRPr="009118AB">
        <w:t xml:space="preserve"> Finanzen </w:t>
      </w:r>
      <w:r w:rsidR="00ED7721" w:rsidRPr="009118AB">
        <w:rPr>
          <w:iCs/>
        </w:rPr>
        <w:t>die Erkennungsnummer des Nationalregisters der natürlichen Personen zu benutzen und im Ministeriellen Erlass vom 27. März 1987 zur Ermächtigung bestimmter Beamter der Verwaltung der direkten Steuern die Erkennungsnummer des Nationalregisters der natürlichen Personen zu benutzen bestimmt sind.</w:t>
      </w:r>
    </w:p>
    <w:p w14:paraId="759F10EC"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2591489"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[Die Unternehmensnummer von natürlichen und juristischen Personen darf benutzt werden unter Bedingungen und zu Zwecken, die im Gesetz vom 16. Januar 2003 zur Schaffung einer Zentralen Datenbank der Unternehmen, zur Modernisierung des Handelsregisters, zur Schaffung von zugelassenen Unternehmensschaltern und zur Festlegung verschiedener Bestimmungen bestimmt sind.]</w:t>
      </w:r>
    </w:p>
    <w:p w14:paraId="5E75ADB3"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63959573" w14:textId="7B548E0B" w:rsidR="00ED7721" w:rsidRPr="009118AB"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w:t>
      </w:r>
      <w:r w:rsidR="00ED7721" w:rsidRPr="009118AB">
        <w:rPr>
          <w:iCs/>
        </w:rPr>
        <w:t>3</w:t>
      </w:r>
      <w:r w:rsidRPr="009118AB">
        <w:rPr>
          <w:iCs/>
        </w:rPr>
        <w:t> - </w:t>
      </w:r>
      <w:r w:rsidR="00ED7721" w:rsidRPr="009118AB">
        <w:rPr>
          <w:iCs/>
        </w:rPr>
        <w:t xml:space="preserve">[Abgesehen von der in </w:t>
      </w:r>
      <w:r w:rsidRPr="009118AB">
        <w:rPr>
          <w:iCs/>
        </w:rPr>
        <w:t>§ </w:t>
      </w:r>
      <w:r w:rsidR="00ED7721" w:rsidRPr="009118AB">
        <w:rPr>
          <w:iCs/>
        </w:rPr>
        <w:t xml:space="preserve">2 Absatz 1 vorgesehenen Benutzung darf die in </w:t>
      </w:r>
      <w:r w:rsidRPr="009118AB">
        <w:rPr>
          <w:iCs/>
        </w:rPr>
        <w:t>§ </w:t>
      </w:r>
      <w:r w:rsidR="00ED7721" w:rsidRPr="009118AB">
        <w:rPr>
          <w:iCs/>
        </w:rPr>
        <w:t xml:space="preserve">1 Absatz 2 erwähnte Steueridentifikationsnummer von natürlichen Personen] ausschließlich als Identifikationsmittel in den nachstehend aufgeführten Außenbeziehungen benutzt werden, die für die Ausführung der Gesetzes- und Verordnungsbestimmungen notwendig sind, mit der </w:t>
      </w:r>
      <w:r w:rsidR="00957789" w:rsidRPr="009118AB">
        <w:t>[</w:t>
      </w:r>
      <w:r w:rsidR="00CD0800" w:rsidRPr="009118AB">
        <w:t xml:space="preserve">die </w:t>
      </w:r>
      <w:r w:rsidR="00957789" w:rsidRPr="009118AB">
        <w:t xml:space="preserve">mit der Festlegung der Einkommensteuern beauftragte Verwaltung] </w:t>
      </w:r>
      <w:r w:rsidR="00ED7721" w:rsidRPr="009118AB">
        <w:rPr>
          <w:iCs/>
        </w:rPr>
        <w:t>beauftragt ist:</w:t>
      </w:r>
    </w:p>
    <w:p w14:paraId="7C934C6B"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39E79770"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1. mit dem Inhaber dieser Nummer oder seinen gesetzlichen Vertretern,</w:t>
      </w:r>
    </w:p>
    <w:p w14:paraId="04A97331"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3B4C78F"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[2. mit Erben oder Gesamtvermächtnisnehmern oder -beschenkten, wenn der Inhaber dieser Nummer verstorben ist,</w:t>
      </w:r>
    </w:p>
    <w:p w14:paraId="7958B1F5"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AAFEB54"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xml:space="preserve">3. mit Beauftragten, denen der Inhaber dieser Nummer eine Generalvollmacht in Bezug auf die Einkommensteuern ausgestellt hat, unter der Bedingung, dass der Inhaber dieser Nummer dem Beauftragten seine Einwilligung schriftlich erteilt. </w:t>
      </w:r>
    </w:p>
    <w:p w14:paraId="29E3E1F0"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265F87A9"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lastRenderedPageBreak/>
        <w:t>Diese Einwilligung kann jederzeit zurückgenommen werden; die Rücknahme der Einwilligung ist nur für die Zukunft wirksam,]</w:t>
      </w:r>
    </w:p>
    <w:p w14:paraId="39E41F35"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F8E12A9"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[4.] mit öffentlichen Behörden oder Einrichtungen, die aufgrund von Artikel 8 des Gesetzes vom 8. August 1983 zur Organisation eines Nationalregisters der natürlichen Personen ermächtigt sind,</w:t>
      </w:r>
    </w:p>
    <w:p w14:paraId="086ED881"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1F749120"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[5.] mit natürlichen oder juristischen Personen und nichtrechtsfähigen Vereinigungen, die dazu verpflichtet sind, Auskünfte über den Inhaber dieser Identifikationsnummer zu erteilen im Rahmen der Verpflichtungen, die ihnen durch eine Gesetzes- oder Verordnungsbestimmung in Bezug auf die Einkommensteuern auferlegt sind,</w:t>
      </w:r>
    </w:p>
    <w:p w14:paraId="55F03E4F"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C9333B0"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[6. mit Diensten, Verwaltungen, Gesellschaften, Vereinigungen oder Einrichtungen erwähnt in Artikel 328, die im Hinblick auf die Gewährung bestimmter Vorteile Einkommensnachweise in Bezug auf die steuerliche Lage des Inhabers dieser Nummer beantragen.]</w:t>
      </w:r>
    </w:p>
    <w:p w14:paraId="3632E2B8"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9308961"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Vorerwähnte Personen, Einrichtungen und Vereinigungen dürfen über diese Nummer nur verfügen, um diesen Verpflichtungen nachzukommen.</w:t>
      </w:r>
    </w:p>
    <w:p w14:paraId="36133497"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19D56358" w14:textId="4E44994B" w:rsidR="00ED7721" w:rsidRPr="009118AB"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w:t>
      </w:r>
      <w:r w:rsidR="00ED7721" w:rsidRPr="009118AB">
        <w:rPr>
          <w:iCs/>
        </w:rPr>
        <w:t>4</w:t>
      </w:r>
      <w:r w:rsidRPr="009118AB">
        <w:rPr>
          <w:iCs/>
        </w:rPr>
        <w:t> - </w:t>
      </w:r>
      <w:r w:rsidR="00ED7721" w:rsidRPr="009118AB">
        <w:rPr>
          <w:iCs/>
        </w:rPr>
        <w:t xml:space="preserve">Überträgt die </w:t>
      </w:r>
      <w:r w:rsidR="00A063AE" w:rsidRPr="009118AB">
        <w:t xml:space="preserve">[mit der Festlegung der Einkommensteuern beauftragte Verwaltung] </w:t>
      </w:r>
      <w:r w:rsidR="00ED7721" w:rsidRPr="009118AB">
        <w:rPr>
          <w:iCs/>
        </w:rPr>
        <w:t>einem Dritten die Ausführung von Arbeiten, die für die Erfüllung von Aufgaben notwendig sind, mit denen sie beauftragt ist, ist vorerwähnte Verwaltung ausschließlich zur Ausführung dieser Arbeiten dazu ermächtigt:</w:t>
      </w:r>
    </w:p>
    <w:p w14:paraId="2A50DC52"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B20F5D9"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xml:space="preserve">1. diesem Dritten Informationen mitzuteilen, die in Anwendung des Königlichen Erlasses vom 27. September 1984 zur Ermächtigung bestimmter Behörden des </w:t>
      </w:r>
      <w:r w:rsidR="00965E59" w:rsidRPr="009118AB">
        <w:t>Ministeriums der</w:t>
      </w:r>
      <w:r w:rsidR="00A063AE" w:rsidRPr="009118AB">
        <w:t xml:space="preserve"> Finanzen </w:t>
      </w:r>
      <w:r w:rsidRPr="009118AB">
        <w:rPr>
          <w:iCs/>
        </w:rPr>
        <w:t>auf das Nationalregister der natürlichen Personen zuzugreifen erhalten wurden und die zur Ausführung dieser Arbeiten notwendig sind,</w:t>
      </w:r>
    </w:p>
    <w:p w14:paraId="3A8491A6"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0AD4650D"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2. die Steueridentifikationsnummer ausschließlich als Identifikationsmittel zu benutzen.</w:t>
      </w:r>
    </w:p>
    <w:p w14:paraId="11354BBD"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44A744FC"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Unter "Dritten" sind belgische Unternehmen zu verstehen, die eine Aufgabe allgemeinen Interesses erfüllen und vom König namentlich bestimmt wurden, um ausschließlich zur Ausführung dieser Arbeiten Mitteilung der notwendigen Auskünfte zu erhalten.</w:t>
      </w:r>
    </w:p>
    <w:p w14:paraId="600E61A5"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22C4D893"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Diese Dritten sind nur während der zur Ausführung dieser Arbeiten notwendigen Zeit und ausschließlich zu diesem Zweck dazu ermächtigt, über die betreffenden Informationen und die Steueridentifikationsnummer zu verfügen.</w:t>
      </w:r>
    </w:p>
    <w:p w14:paraId="74B54CE0"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6A532688" w14:textId="47BAC644" w:rsidR="00ED7721" w:rsidRPr="009118AB"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w:t>
      </w:r>
      <w:r w:rsidR="00ED7721" w:rsidRPr="009118AB">
        <w:rPr>
          <w:iCs/>
        </w:rPr>
        <w:t>5</w:t>
      </w:r>
      <w:r w:rsidRPr="009118AB">
        <w:rPr>
          <w:iCs/>
        </w:rPr>
        <w:t> - </w:t>
      </w:r>
      <w:r w:rsidR="00ED7721" w:rsidRPr="009118AB">
        <w:rPr>
          <w:iCs/>
        </w:rPr>
        <w:t xml:space="preserve">Verstöße gegen </w:t>
      </w:r>
      <w:r w:rsidR="008C3B17" w:rsidRPr="009118AB">
        <w:rPr>
          <w:iCs/>
        </w:rPr>
        <w:t xml:space="preserve">[die Bestimmungen von </w:t>
      </w:r>
      <w:r w:rsidRPr="009118AB">
        <w:rPr>
          <w:iCs/>
        </w:rPr>
        <w:t>§ </w:t>
      </w:r>
      <w:r w:rsidR="008C3B17" w:rsidRPr="009118AB">
        <w:rPr>
          <w:iCs/>
        </w:rPr>
        <w:t xml:space="preserve">2 Absatz 1 und den Paragraphen 3 und 4] </w:t>
      </w:r>
      <w:r w:rsidR="00ED7721" w:rsidRPr="009118AB">
        <w:rPr>
          <w:iCs/>
        </w:rPr>
        <w:t>stellen eine Verletzung von Artikel 9 des Gesetzes vom 8. August 1983 zur Organisation eines Nationalregisters der natürlichen Personen dar und sind gemäß Artikel 13 dieses Gesetzes strafbar.</w:t>
      </w:r>
    </w:p>
    <w:p w14:paraId="12FA24AC"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215D983A" w14:textId="4D17C672" w:rsidR="00ED7721" w:rsidRPr="009118AB" w:rsidRDefault="00A063AE"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br w:type="page"/>
      </w:r>
      <w:r w:rsidR="00D67EB8" w:rsidRPr="009118AB">
        <w:rPr>
          <w:iCs/>
        </w:rPr>
        <w:lastRenderedPageBreak/>
        <w:t>§ </w:t>
      </w:r>
      <w:r w:rsidR="00ED7721" w:rsidRPr="009118AB">
        <w:rPr>
          <w:iCs/>
        </w:rPr>
        <w:t>6</w:t>
      </w:r>
      <w:r w:rsidR="00D67EB8" w:rsidRPr="009118AB">
        <w:rPr>
          <w:iCs/>
        </w:rPr>
        <w:t> - </w:t>
      </w:r>
      <w:r w:rsidR="008C3B17" w:rsidRPr="009118AB">
        <w:rPr>
          <w:iCs/>
        </w:rPr>
        <w:t>[Unbeschadet der Regeln über die vorgeschriebene Benutzung der Unternehmensnummer unterliegen der Verpflichtung, die Steueridentifikationsnummer der natürlichen Personen anzugeben:]</w:t>
      </w:r>
    </w:p>
    <w:p w14:paraId="1EA5B653"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6504C0B" w14:textId="4F4DE950"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xml:space="preserve">1. [in </w:t>
      </w:r>
      <w:r w:rsidR="00D67EB8" w:rsidRPr="009118AB">
        <w:rPr>
          <w:iCs/>
        </w:rPr>
        <w:t>§ </w:t>
      </w:r>
      <w:r w:rsidRPr="009118AB">
        <w:rPr>
          <w:iCs/>
        </w:rPr>
        <w:t xml:space="preserve">3 Absatz 1 </w:t>
      </w:r>
      <w:r w:rsidR="00D67EB8" w:rsidRPr="009118AB">
        <w:rPr>
          <w:iCs/>
        </w:rPr>
        <w:t>Nr. </w:t>
      </w:r>
      <w:r w:rsidRPr="009118AB">
        <w:rPr>
          <w:iCs/>
        </w:rPr>
        <w:t xml:space="preserve">4] erwähnte öffentliche Behörden und Einrichtungen in ihren Beziehungen mit der </w:t>
      </w:r>
      <w:r w:rsidR="00A063AE" w:rsidRPr="009118AB">
        <w:t>[mit der Festlegung der Einkommensteuern beauftragten Verwaltung]</w:t>
      </w:r>
      <w:r w:rsidRPr="009118AB">
        <w:rPr>
          <w:iCs/>
        </w:rPr>
        <w:t>, und zwar jedes Mal, wenn sie dazu verpflichtet sind, Auskünfte über den Inhaber dieser Identifikationsnummer zu erteilen,</w:t>
      </w:r>
    </w:p>
    <w:p w14:paraId="61821D2F"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7A67016" w14:textId="46773891"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xml:space="preserve">2. natürliche oder juristische Personen und nichtrechtsfähige Vereinigungen, die sich in der [in </w:t>
      </w:r>
      <w:r w:rsidR="00D67EB8" w:rsidRPr="009118AB">
        <w:rPr>
          <w:iCs/>
        </w:rPr>
        <w:t>§ </w:t>
      </w:r>
      <w:r w:rsidRPr="009118AB">
        <w:rPr>
          <w:iCs/>
        </w:rPr>
        <w:t xml:space="preserve">3 Absatz 1 </w:t>
      </w:r>
      <w:r w:rsidR="00D67EB8" w:rsidRPr="009118AB">
        <w:rPr>
          <w:iCs/>
        </w:rPr>
        <w:t>Nr. </w:t>
      </w:r>
      <w:r w:rsidRPr="009118AB">
        <w:rPr>
          <w:iCs/>
        </w:rPr>
        <w:t>5] erwähnten Situation befinden und aufgrund der Königlichen Erlasse vom 5. Dezember 1986 zur Regelung der Benutzung der Erkennungsnummer des Nationalregisters der natürlichen Personen im sozialen Sektor verpflichtet sind, die Identifikationsnummer der natürlichen Personen zu benutzen.</w:t>
      </w:r>
    </w:p>
    <w:p w14:paraId="2726D7EE"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18369A6F" w14:textId="3AF13ABA"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xml:space="preserve">[Der König kann in den von Ihm bestimmten Fällen durch einen im Ministerrat beratenen Erlass die Pflicht zur Angabe der Steueridentifikationsnummer der natürlichen Personen auf natürliche und juristische Personen und nichtrechtsfähige Vereinigungen, die sich in der [in </w:t>
      </w:r>
      <w:r w:rsidR="00D67EB8" w:rsidRPr="009118AB">
        <w:rPr>
          <w:iCs/>
        </w:rPr>
        <w:t>§ </w:t>
      </w:r>
      <w:r w:rsidRPr="009118AB">
        <w:rPr>
          <w:iCs/>
        </w:rPr>
        <w:t xml:space="preserve">3 Absatz 1 </w:t>
      </w:r>
      <w:r w:rsidR="00D67EB8" w:rsidRPr="009118AB">
        <w:rPr>
          <w:iCs/>
        </w:rPr>
        <w:t>Nr. </w:t>
      </w:r>
      <w:r w:rsidRPr="009118AB">
        <w:rPr>
          <w:iCs/>
        </w:rPr>
        <w:t>5] erwähnten Situation befinden, ausdehnen.]</w:t>
      </w:r>
    </w:p>
    <w:p w14:paraId="01CF470E" w14:textId="77777777" w:rsidR="00ED7721" w:rsidRPr="009118AB"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07E59671" w14:textId="347FA157" w:rsidR="00ED7721" w:rsidRPr="009118AB"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118AB">
        <w:rPr>
          <w:iCs/>
        </w:rPr>
        <w:t>§ </w:t>
      </w:r>
      <w:r w:rsidR="00ED7721" w:rsidRPr="009118AB">
        <w:rPr>
          <w:iCs/>
        </w:rPr>
        <w:t>7</w:t>
      </w:r>
      <w:r w:rsidRPr="009118AB">
        <w:rPr>
          <w:iCs/>
        </w:rPr>
        <w:t> - </w:t>
      </w:r>
      <w:r w:rsidR="00ED7721" w:rsidRPr="009118AB">
        <w:rPr>
          <w:iCs/>
        </w:rPr>
        <w:t xml:space="preserve">Die Nichteinhaltung der Bestimmungen von </w:t>
      </w:r>
      <w:r w:rsidRPr="009118AB">
        <w:rPr>
          <w:iCs/>
        </w:rPr>
        <w:t>§ </w:t>
      </w:r>
      <w:r w:rsidR="00ED7721" w:rsidRPr="009118AB">
        <w:rPr>
          <w:iCs/>
        </w:rPr>
        <w:t>6 wird gemäß Artikel 445 bestraft.</w:t>
      </w:r>
    </w:p>
    <w:p w14:paraId="0DC922EE" w14:textId="77777777" w:rsidR="00ED7721" w:rsidRPr="009118AB" w:rsidRDefault="00ED7721" w:rsidP="00ED77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784DBF91" w14:textId="12391A9F" w:rsidR="00ED7721" w:rsidRPr="009118AB" w:rsidRDefault="00ED7721" w:rsidP="00ED77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iCs/>
          <w:spacing w:val="-2"/>
        </w:rPr>
      </w:pPr>
      <w:r w:rsidRPr="009118AB">
        <w:rPr>
          <w:i/>
          <w:iCs/>
        </w:rPr>
        <w:t>[</w:t>
      </w:r>
      <w:r w:rsidR="00D67EB8" w:rsidRPr="009118AB">
        <w:rPr>
          <w:i/>
          <w:iCs/>
        </w:rPr>
        <w:t>Art. </w:t>
      </w:r>
      <w:r w:rsidRPr="009118AB">
        <w:rPr>
          <w:i/>
          <w:iCs/>
        </w:rPr>
        <w:t xml:space="preserve">314 </w:t>
      </w:r>
      <w:r w:rsidR="00D67EB8" w:rsidRPr="009118AB">
        <w:rPr>
          <w:i/>
          <w:iCs/>
        </w:rPr>
        <w:t>§ </w:t>
      </w:r>
      <w:r w:rsidR="008C3B17" w:rsidRPr="009118AB">
        <w:rPr>
          <w:i/>
          <w:iCs/>
        </w:rPr>
        <w:t xml:space="preserve">1 ersetzt durch </w:t>
      </w:r>
      <w:r w:rsidR="00D67EB8" w:rsidRPr="009118AB">
        <w:rPr>
          <w:i/>
          <w:iCs/>
        </w:rPr>
        <w:t>Art. </w:t>
      </w:r>
      <w:r w:rsidR="008C3B17" w:rsidRPr="009118AB">
        <w:rPr>
          <w:i/>
          <w:iCs/>
        </w:rPr>
        <w:t xml:space="preserve">81 </w:t>
      </w:r>
      <w:r w:rsidR="00D67EB8" w:rsidRPr="009118AB">
        <w:rPr>
          <w:i/>
          <w:iCs/>
        </w:rPr>
        <w:t>Nr. </w:t>
      </w:r>
      <w:r w:rsidR="008C3B17" w:rsidRPr="009118AB">
        <w:rPr>
          <w:i/>
          <w:iCs/>
        </w:rPr>
        <w:t>1 des G. vom 14. April 2011 (B.S. vom 6. Mai 2011)</w:t>
      </w:r>
      <w:r w:rsidR="00D67EB8" w:rsidRPr="009118AB">
        <w:rPr>
          <w:i/>
          <w:iCs/>
        </w:rPr>
        <w:t> - </w:t>
      </w:r>
      <w:r w:rsidR="008C3B17" w:rsidRPr="009118AB">
        <w:rPr>
          <w:i/>
          <w:iCs/>
        </w:rPr>
        <w:t>in Kraft am 1. Januar 2012</w:t>
      </w:r>
      <w:r w:rsidR="003366D9" w:rsidRPr="009118AB">
        <w:rPr>
          <w:i/>
          <w:iCs/>
        </w:rPr>
        <w:t> -;</w:t>
      </w:r>
      <w:r w:rsidR="008C3B17" w:rsidRPr="009118AB">
        <w:rPr>
          <w:i/>
          <w:iCs/>
        </w:rPr>
        <w:t xml:space="preserve"> </w:t>
      </w:r>
      <w:r w:rsidR="00D67EB8" w:rsidRPr="009118AB">
        <w:rPr>
          <w:i/>
          <w:iCs/>
        </w:rPr>
        <w:t>§ </w:t>
      </w:r>
      <w:r w:rsidR="00A063AE" w:rsidRPr="009118AB">
        <w:rPr>
          <w:i/>
          <w:iCs/>
        </w:rPr>
        <w:t xml:space="preserve">1 </w:t>
      </w:r>
      <w:r w:rsidR="00D67EB8" w:rsidRPr="009118AB">
        <w:rPr>
          <w:i/>
          <w:iCs/>
        </w:rPr>
        <w:t>Abs. </w:t>
      </w:r>
      <w:r w:rsidR="00A063AE" w:rsidRPr="009118AB">
        <w:rPr>
          <w:i/>
          <w:iCs/>
        </w:rPr>
        <w:t xml:space="preserve">1 abgeändert durch </w:t>
      </w:r>
      <w:r w:rsidR="00D67EB8" w:rsidRPr="009118AB">
        <w:rPr>
          <w:i/>
          <w:iCs/>
        </w:rPr>
        <w:t>Art. </w:t>
      </w:r>
      <w:r w:rsidR="00A063AE" w:rsidRPr="009118AB">
        <w:rPr>
          <w:i/>
          <w:iCs/>
        </w:rPr>
        <w:t>10</w:t>
      </w:r>
      <w:r w:rsidR="008941FC" w:rsidRPr="009118AB">
        <w:rPr>
          <w:i/>
          <w:iCs/>
        </w:rPr>
        <w:t xml:space="preserve"> des G. vom 25. April 2014 (I) (B.S. vom 16. Mai 2014)</w:t>
      </w:r>
      <w:r w:rsidR="00D67EB8" w:rsidRPr="009118AB">
        <w:rPr>
          <w:i/>
          <w:iCs/>
        </w:rPr>
        <w:t> - </w:t>
      </w:r>
      <w:r w:rsidR="008941FC" w:rsidRPr="009118AB">
        <w:rPr>
          <w:i/>
          <w:iCs/>
        </w:rPr>
        <w:t>in Kraft am 16. Mai 2014</w:t>
      </w:r>
      <w:r w:rsidR="003366D9" w:rsidRPr="009118AB">
        <w:rPr>
          <w:i/>
          <w:iCs/>
        </w:rPr>
        <w:t> -;</w:t>
      </w:r>
      <w:r w:rsidR="008941FC" w:rsidRPr="009118AB">
        <w:rPr>
          <w:i/>
          <w:iCs/>
        </w:rPr>
        <w:t xml:space="preserve"> </w:t>
      </w:r>
      <w:r w:rsidR="00D67EB8" w:rsidRPr="009118AB">
        <w:rPr>
          <w:i/>
          <w:iCs/>
        </w:rPr>
        <w:t>§ </w:t>
      </w:r>
      <w:r w:rsidR="008C3B17" w:rsidRPr="009118AB">
        <w:rPr>
          <w:i/>
          <w:iCs/>
        </w:rPr>
        <w:t xml:space="preserve">2 </w:t>
      </w:r>
      <w:r w:rsidR="00D67EB8" w:rsidRPr="009118AB">
        <w:rPr>
          <w:i/>
          <w:iCs/>
        </w:rPr>
        <w:t>Abs. </w:t>
      </w:r>
      <w:r w:rsidR="008C3B17" w:rsidRPr="009118AB">
        <w:rPr>
          <w:i/>
          <w:iCs/>
        </w:rPr>
        <w:t xml:space="preserve">1 abgeändert durch </w:t>
      </w:r>
      <w:r w:rsidR="00D67EB8" w:rsidRPr="009118AB">
        <w:rPr>
          <w:i/>
          <w:iCs/>
        </w:rPr>
        <w:t>Art. </w:t>
      </w:r>
      <w:r w:rsidR="008C3B17" w:rsidRPr="009118AB">
        <w:rPr>
          <w:i/>
          <w:iCs/>
        </w:rPr>
        <w:t xml:space="preserve">81 </w:t>
      </w:r>
      <w:r w:rsidR="00D67EB8" w:rsidRPr="009118AB">
        <w:rPr>
          <w:i/>
          <w:iCs/>
        </w:rPr>
        <w:t>Nr. </w:t>
      </w:r>
      <w:r w:rsidR="008C3B17" w:rsidRPr="009118AB">
        <w:rPr>
          <w:i/>
          <w:iCs/>
        </w:rPr>
        <w:t xml:space="preserve">2 </w:t>
      </w:r>
      <w:r w:rsidR="000E4045" w:rsidRPr="009118AB">
        <w:rPr>
          <w:i/>
          <w:iCs/>
        </w:rPr>
        <w:t xml:space="preserve">Buchstabe a) </w:t>
      </w:r>
      <w:r w:rsidR="008C3B17" w:rsidRPr="009118AB">
        <w:rPr>
          <w:i/>
          <w:iCs/>
        </w:rPr>
        <w:t>des G. vom 14. April 2011 (B.S. vom 6. Mai 2011)</w:t>
      </w:r>
      <w:r w:rsidR="00D67EB8" w:rsidRPr="009118AB">
        <w:rPr>
          <w:i/>
          <w:iCs/>
        </w:rPr>
        <w:t> - </w:t>
      </w:r>
      <w:r w:rsidR="008C3B17" w:rsidRPr="009118AB">
        <w:rPr>
          <w:i/>
          <w:iCs/>
        </w:rPr>
        <w:t>in Kraft am 1. Januar 2012</w:t>
      </w:r>
      <w:r w:rsidR="003366D9" w:rsidRPr="009118AB">
        <w:rPr>
          <w:i/>
          <w:iCs/>
        </w:rPr>
        <w:t> -;</w:t>
      </w:r>
      <w:r w:rsidR="008C3B17"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8C3B17"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8C3B17"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008C3B17" w:rsidRPr="009118AB">
        <w:rPr>
          <w:rFonts w:ascii="Times New Roman Italique" w:hAnsi="Times New Roman Italique"/>
          <w:i/>
          <w:iCs/>
          <w:spacing w:val="2"/>
        </w:rPr>
        <w:t xml:space="preserve">81 </w:t>
      </w:r>
      <w:r w:rsidR="00D67EB8" w:rsidRPr="009118AB">
        <w:rPr>
          <w:rFonts w:ascii="Times New Roman Italique" w:hAnsi="Times New Roman Italique"/>
          <w:i/>
          <w:iCs/>
          <w:spacing w:val="2"/>
        </w:rPr>
        <w:t>Nr. </w:t>
      </w:r>
      <w:r w:rsidR="000E4045" w:rsidRPr="009118AB">
        <w:rPr>
          <w:rFonts w:ascii="Times New Roman Italique" w:hAnsi="Times New Roman Italique"/>
          <w:i/>
          <w:iCs/>
          <w:spacing w:val="2"/>
        </w:rPr>
        <w:t>2 Buchstabe b)</w:t>
      </w:r>
      <w:r w:rsidR="008C3B17" w:rsidRPr="009118AB">
        <w:rPr>
          <w:rFonts w:ascii="Times New Roman Italique" w:hAnsi="Times New Roman Italique"/>
          <w:i/>
          <w:iCs/>
          <w:spacing w:val="2"/>
        </w:rPr>
        <w:t xml:space="preserve"> des G. vom 14. April 2011 (B.S. vom 6. Mai 2011)</w:t>
      </w:r>
      <w:r w:rsidR="00D67EB8" w:rsidRPr="009118AB">
        <w:rPr>
          <w:rFonts w:ascii="Times New Roman Italique" w:hAnsi="Times New Roman Italique"/>
          <w:i/>
          <w:iCs/>
          <w:spacing w:val="2"/>
        </w:rPr>
        <w:t> - </w:t>
      </w:r>
      <w:r w:rsidR="008C3B17" w:rsidRPr="009118AB">
        <w:rPr>
          <w:rFonts w:ascii="Times New Roman Italique" w:hAnsi="Times New Roman Italique"/>
          <w:i/>
          <w:iCs/>
          <w:spacing w:val="2"/>
        </w:rPr>
        <w:t>in Kraft am 1. Januar 2012</w:t>
      </w:r>
      <w:r w:rsidR="003366D9" w:rsidRPr="009118AB">
        <w:rPr>
          <w:rFonts w:ascii="Times New Roman Italique" w:hAnsi="Times New Roman Italique"/>
          <w:i/>
          <w:iCs/>
          <w:spacing w:val="2"/>
        </w:rPr>
        <w:t> -;</w:t>
      </w:r>
      <w:r w:rsidR="008C3B17"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0E4045" w:rsidRPr="009118AB">
        <w:rPr>
          <w:rFonts w:ascii="Times New Roman Italique" w:hAnsi="Times New Roman Italique"/>
          <w:i/>
          <w:iCs/>
          <w:spacing w:val="2"/>
        </w:rPr>
        <w:t>3</w:t>
      </w:r>
      <w:r w:rsidR="000E4045" w:rsidRPr="009118AB">
        <w:rPr>
          <w:i/>
          <w:iCs/>
        </w:rPr>
        <w:t xml:space="preserve"> </w:t>
      </w:r>
      <w:r w:rsidR="00D67EB8" w:rsidRPr="009118AB">
        <w:rPr>
          <w:i/>
          <w:iCs/>
        </w:rPr>
        <w:t>Abs. </w:t>
      </w:r>
      <w:r w:rsidR="000E4045" w:rsidRPr="009118AB">
        <w:rPr>
          <w:i/>
          <w:iCs/>
        </w:rPr>
        <w:t xml:space="preserve">1 einleitende Bestimmung </w:t>
      </w:r>
      <w:r w:rsidR="000E4045" w:rsidRPr="009118AB">
        <w:rPr>
          <w:rFonts w:ascii="Times New Roman Italique" w:hAnsi="Times New Roman Italique"/>
          <w:i/>
          <w:iCs/>
          <w:spacing w:val="-2"/>
        </w:rPr>
        <w:t xml:space="preserve">abgeändert durch </w:t>
      </w:r>
      <w:r w:rsidR="00D67EB8" w:rsidRPr="009118AB">
        <w:rPr>
          <w:rFonts w:ascii="Times New Roman Italique" w:hAnsi="Times New Roman Italique"/>
          <w:i/>
          <w:iCs/>
          <w:spacing w:val="-2"/>
        </w:rPr>
        <w:t>Art. </w:t>
      </w:r>
      <w:r w:rsidR="000E4045" w:rsidRPr="009118AB">
        <w:rPr>
          <w:rFonts w:ascii="Times New Roman Italique" w:hAnsi="Times New Roman Italique"/>
          <w:i/>
          <w:iCs/>
          <w:spacing w:val="-2"/>
        </w:rPr>
        <w:t xml:space="preserve">81 </w:t>
      </w:r>
      <w:r w:rsidR="00D67EB8" w:rsidRPr="009118AB">
        <w:rPr>
          <w:rFonts w:ascii="Times New Roman Italique" w:hAnsi="Times New Roman Italique"/>
          <w:i/>
          <w:iCs/>
          <w:spacing w:val="-2"/>
        </w:rPr>
        <w:t>Nr. </w:t>
      </w:r>
      <w:r w:rsidR="000E4045" w:rsidRPr="009118AB">
        <w:rPr>
          <w:rFonts w:ascii="Times New Roman Italique" w:hAnsi="Times New Roman Italique"/>
          <w:i/>
          <w:iCs/>
          <w:spacing w:val="-2"/>
        </w:rPr>
        <w:t>3 des G. vom 14. Apri</w:t>
      </w:r>
      <w:r w:rsidR="004F7F42" w:rsidRPr="009118AB">
        <w:rPr>
          <w:rFonts w:ascii="Times New Roman Italique" w:hAnsi="Times New Roman Italique"/>
          <w:i/>
          <w:iCs/>
          <w:spacing w:val="-2"/>
        </w:rPr>
        <w:t>l 2011 (B.S. vom 6. Mai 2011)</w:t>
      </w:r>
      <w:r w:rsidR="00D67EB8" w:rsidRPr="009118AB">
        <w:rPr>
          <w:rFonts w:ascii="Times New Roman Italique" w:hAnsi="Times New Roman Italique"/>
          <w:i/>
          <w:iCs/>
          <w:spacing w:val="-2"/>
        </w:rPr>
        <w:t> - </w:t>
      </w:r>
      <w:r w:rsidR="000E4045" w:rsidRPr="009118AB">
        <w:rPr>
          <w:rFonts w:ascii="Times New Roman Italique" w:hAnsi="Times New Roman Italique"/>
          <w:i/>
          <w:iCs/>
          <w:spacing w:val="-2"/>
        </w:rPr>
        <w:t>in Kraft am 1. Januar 2011</w:t>
      </w:r>
      <w:r w:rsidR="00D67EB8" w:rsidRPr="009118AB">
        <w:rPr>
          <w:rFonts w:ascii="Times New Roman Italique" w:hAnsi="Times New Roman Italique"/>
          <w:i/>
          <w:iCs/>
          <w:spacing w:val="-2"/>
        </w:rPr>
        <w:t> - </w:t>
      </w:r>
      <w:r w:rsidR="008941FC" w:rsidRPr="009118AB">
        <w:rPr>
          <w:rFonts w:ascii="Times New Roman Italique" w:hAnsi="Times New Roman Italique"/>
          <w:i/>
          <w:iCs/>
          <w:spacing w:val="-2"/>
        </w:rPr>
        <w:t xml:space="preserve">und </w:t>
      </w:r>
      <w:r w:rsidR="00D67EB8" w:rsidRPr="009118AB">
        <w:rPr>
          <w:i/>
          <w:iCs/>
        </w:rPr>
        <w:t>Art. </w:t>
      </w:r>
      <w:r w:rsidR="008941FC" w:rsidRPr="009118AB">
        <w:rPr>
          <w:i/>
          <w:iCs/>
        </w:rPr>
        <w:t>10 des G. vom 25. April 2014 (I) (B.S. vom 16. Mai 2014)</w:t>
      </w:r>
      <w:r w:rsidR="00D67EB8" w:rsidRPr="009118AB">
        <w:rPr>
          <w:i/>
          <w:iCs/>
        </w:rPr>
        <w:t> - </w:t>
      </w:r>
      <w:r w:rsidR="008941FC" w:rsidRPr="009118AB">
        <w:rPr>
          <w:i/>
          <w:iCs/>
        </w:rPr>
        <w:t>in Kraft am 16. Mai 2014</w:t>
      </w:r>
      <w:r w:rsidR="003366D9" w:rsidRPr="009118AB">
        <w:rPr>
          <w:i/>
          <w:iCs/>
        </w:rPr>
        <w:t> -;</w:t>
      </w:r>
      <w:r w:rsidR="000E4045" w:rsidRPr="009118AB">
        <w:rPr>
          <w:i/>
          <w:iCs/>
        </w:rPr>
        <w:t xml:space="preserve"> </w:t>
      </w:r>
      <w:r w:rsidR="00D67EB8" w:rsidRPr="009118AB">
        <w:rPr>
          <w:i/>
          <w:iCs/>
        </w:rPr>
        <w:t>§ </w:t>
      </w:r>
      <w:r w:rsidR="00983107" w:rsidRPr="009118AB">
        <w:rPr>
          <w:i/>
          <w:iCs/>
        </w:rPr>
        <w:t xml:space="preserve">3 </w:t>
      </w:r>
      <w:r w:rsidR="00D67EB8" w:rsidRPr="009118AB">
        <w:rPr>
          <w:i/>
          <w:iCs/>
        </w:rPr>
        <w:t>Abs. </w:t>
      </w:r>
      <w:r w:rsidR="00983107" w:rsidRPr="009118AB">
        <w:rPr>
          <w:i/>
          <w:iCs/>
        </w:rPr>
        <w:t xml:space="preserve">1 neue Nummern 2 und </w:t>
      </w:r>
      <w:r w:rsidRPr="009118AB">
        <w:rPr>
          <w:i/>
          <w:iCs/>
        </w:rPr>
        <w:t xml:space="preserve">3 eingefügt durch </w:t>
      </w:r>
      <w:r w:rsidR="00D67EB8" w:rsidRPr="009118AB">
        <w:rPr>
          <w:i/>
          <w:iCs/>
        </w:rPr>
        <w:t>Art. </w:t>
      </w:r>
      <w:r w:rsidRPr="009118AB">
        <w:rPr>
          <w:i/>
          <w:iCs/>
        </w:rPr>
        <w:t xml:space="preserve">52 </w:t>
      </w:r>
      <w:r w:rsidR="00D67EB8" w:rsidRPr="009118AB">
        <w:rPr>
          <w:i/>
          <w:iCs/>
        </w:rPr>
        <w:t>Nr. </w:t>
      </w:r>
      <w:r w:rsidRPr="009118AB">
        <w:rPr>
          <w:i/>
          <w:iCs/>
        </w:rPr>
        <w:t xml:space="preserve">1 </w:t>
      </w:r>
      <w:r w:rsidRPr="009118AB">
        <w:rPr>
          <w:rFonts w:ascii="Times New Roman Italique" w:hAnsi="Times New Roman Italique"/>
          <w:i/>
          <w:iCs/>
          <w:spacing w:val="-2"/>
        </w:rPr>
        <w:t>Buchstabe b) des G. vom 6. Juli 1994 (B.S. vom 16. Juli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16. Juli 1994</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frühere Nummern 2 </w:t>
      </w:r>
      <w:r w:rsidR="00983107" w:rsidRPr="009118AB">
        <w:rPr>
          <w:rFonts w:ascii="Times New Roman Italique" w:hAnsi="Times New Roman Italique"/>
          <w:i/>
          <w:iCs/>
          <w:spacing w:val="-2"/>
        </w:rPr>
        <w:t xml:space="preserve">und 3 umnummeriert zu </w:t>
      </w:r>
      <w:r w:rsidR="00D67EB8" w:rsidRPr="009118AB">
        <w:rPr>
          <w:rFonts w:ascii="Times New Roman Italique" w:hAnsi="Times New Roman Italique"/>
          <w:i/>
          <w:iCs/>
          <w:spacing w:val="-2"/>
        </w:rPr>
        <w:t>Nr. </w:t>
      </w:r>
      <w:r w:rsidR="00983107" w:rsidRPr="009118AB">
        <w:rPr>
          <w:rFonts w:ascii="Times New Roman Italique" w:hAnsi="Times New Roman Italique"/>
          <w:i/>
          <w:iCs/>
          <w:spacing w:val="-2"/>
        </w:rPr>
        <w:t xml:space="preserve">4 und </w:t>
      </w:r>
      <w:r w:rsidRPr="009118AB">
        <w:rPr>
          <w:rFonts w:ascii="Times New Roman Italique" w:hAnsi="Times New Roman Italique"/>
          <w:i/>
          <w:iCs/>
          <w:spacing w:val="-2"/>
        </w:rPr>
        <w:t xml:space="preserve">5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52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Buchstabe a) des G. vom 6. Juli 1994 (B.S. vom 16. Juli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16. Juli 1994</w:t>
      </w:r>
      <w:r w:rsidR="003366D9" w:rsidRPr="009118AB">
        <w:rPr>
          <w:rFonts w:ascii="Times New Roman Italique" w:hAnsi="Times New Roman Italique"/>
          <w:i/>
          <w:iCs/>
          <w:spacing w:val="-2"/>
        </w:rPr>
        <w:t> -;</w:t>
      </w:r>
      <w:r w:rsidRPr="009118AB">
        <w:rPr>
          <w:i/>
          <w:iCs/>
          <w:spacing w:val="-1"/>
        </w:rPr>
        <w:t xml:space="preserve"> </w:t>
      </w:r>
      <w:r w:rsidR="00D67EB8" w:rsidRPr="009118AB">
        <w:rPr>
          <w:i/>
          <w:iCs/>
          <w:spacing w:val="-1"/>
        </w:rPr>
        <w:t>§ </w:t>
      </w:r>
      <w:r w:rsidRPr="009118AB">
        <w:rPr>
          <w:i/>
          <w:iCs/>
          <w:spacing w:val="-1"/>
        </w:rPr>
        <w:t xml:space="preserve">3 </w:t>
      </w:r>
      <w:r w:rsidR="00D67EB8" w:rsidRPr="009118AB">
        <w:rPr>
          <w:i/>
          <w:iCs/>
          <w:spacing w:val="-1"/>
        </w:rPr>
        <w:t>Abs. </w:t>
      </w:r>
      <w:r w:rsidRPr="009118AB">
        <w:rPr>
          <w:i/>
          <w:iCs/>
          <w:spacing w:val="-1"/>
        </w:rPr>
        <w:t xml:space="preserve">1 </w:t>
      </w:r>
      <w:r w:rsidR="00D67EB8" w:rsidRPr="009118AB">
        <w:rPr>
          <w:i/>
          <w:iCs/>
          <w:spacing w:val="-1"/>
        </w:rPr>
        <w:t>Nr. </w:t>
      </w:r>
      <w:r w:rsidRPr="009118AB">
        <w:rPr>
          <w:i/>
          <w:iCs/>
          <w:spacing w:val="-1"/>
        </w:rPr>
        <w:t xml:space="preserve">6 eingefügt durch </w:t>
      </w:r>
      <w:r w:rsidR="00D67EB8" w:rsidRPr="009118AB">
        <w:rPr>
          <w:i/>
          <w:iCs/>
          <w:spacing w:val="-1"/>
        </w:rPr>
        <w:t>Art. </w:t>
      </w:r>
      <w:r w:rsidRPr="009118AB">
        <w:rPr>
          <w:i/>
          <w:iCs/>
          <w:spacing w:val="-1"/>
        </w:rPr>
        <w:t xml:space="preserve">52 </w:t>
      </w:r>
      <w:r w:rsidR="00D67EB8" w:rsidRPr="009118AB">
        <w:rPr>
          <w:i/>
          <w:iCs/>
          <w:spacing w:val="-1"/>
        </w:rPr>
        <w:t>Nr. </w:t>
      </w:r>
      <w:r w:rsidRPr="009118AB">
        <w:rPr>
          <w:i/>
          <w:iCs/>
          <w:spacing w:val="-1"/>
        </w:rPr>
        <w:t>1 Buchstabe c) des G. vom 6. Juli 1994 (B.S. vom 16. Juli 1994)</w:t>
      </w:r>
      <w:r w:rsidR="00D67EB8" w:rsidRPr="009118AB">
        <w:rPr>
          <w:i/>
          <w:iCs/>
          <w:spacing w:val="-1"/>
        </w:rPr>
        <w:t> - </w:t>
      </w:r>
      <w:r w:rsidRPr="009118AB">
        <w:rPr>
          <w:i/>
          <w:iCs/>
          <w:spacing w:val="-1"/>
        </w:rPr>
        <w:t>in Kraft ab dem 16. Juli 1994</w:t>
      </w:r>
      <w:r w:rsidR="003366D9" w:rsidRPr="009118AB">
        <w:rPr>
          <w:i/>
          <w:iCs/>
          <w:spacing w:val="-1"/>
        </w:rPr>
        <w:t> -;</w:t>
      </w:r>
      <w:r w:rsidRPr="009118AB">
        <w:rPr>
          <w:i/>
          <w:iCs/>
          <w:spacing w:val="-1"/>
        </w:rPr>
        <w:t xml:space="preserve"> </w:t>
      </w:r>
      <w:r w:rsidR="00D67EB8" w:rsidRPr="009118AB">
        <w:rPr>
          <w:i/>
          <w:iCs/>
          <w:spacing w:val="-1"/>
        </w:rPr>
        <w:t>§ </w:t>
      </w:r>
      <w:r w:rsidR="008941FC" w:rsidRPr="009118AB">
        <w:rPr>
          <w:i/>
          <w:iCs/>
          <w:spacing w:val="-1"/>
        </w:rPr>
        <w:t xml:space="preserve">4 </w:t>
      </w:r>
      <w:r w:rsidR="00D67EB8" w:rsidRPr="009118AB">
        <w:rPr>
          <w:i/>
          <w:iCs/>
          <w:spacing w:val="-1"/>
        </w:rPr>
        <w:t>Abs. </w:t>
      </w:r>
      <w:r w:rsidR="008941FC" w:rsidRPr="009118AB">
        <w:rPr>
          <w:i/>
          <w:iCs/>
          <w:spacing w:val="-1"/>
        </w:rPr>
        <w:t>1 einleitende Bestimmung</w:t>
      </w:r>
      <w:r w:rsidR="008941FC" w:rsidRPr="009118AB">
        <w:rPr>
          <w:i/>
          <w:iCs/>
        </w:rPr>
        <w:t xml:space="preserve"> abgeändert durch </w:t>
      </w:r>
      <w:r w:rsidR="00D67EB8" w:rsidRPr="009118AB">
        <w:rPr>
          <w:i/>
          <w:iCs/>
        </w:rPr>
        <w:t>Art. </w:t>
      </w:r>
      <w:r w:rsidR="008941FC" w:rsidRPr="009118AB">
        <w:rPr>
          <w:i/>
          <w:iCs/>
        </w:rPr>
        <w:t xml:space="preserve">10 des G. vom </w:t>
      </w:r>
      <w:r w:rsidR="008941FC" w:rsidRPr="009118AB">
        <w:rPr>
          <w:rFonts w:ascii="Times New Roman Italique" w:hAnsi="Times New Roman Italique"/>
          <w:i/>
          <w:iCs/>
          <w:spacing w:val="2"/>
        </w:rPr>
        <w:t>25. April 2014 (I) (B.S. vom 16. Mai 2014)</w:t>
      </w:r>
      <w:r w:rsidR="00D67EB8" w:rsidRPr="009118AB">
        <w:rPr>
          <w:rFonts w:ascii="Times New Roman Italique" w:hAnsi="Times New Roman Italique"/>
          <w:i/>
          <w:iCs/>
          <w:spacing w:val="2"/>
        </w:rPr>
        <w:t> - </w:t>
      </w:r>
      <w:r w:rsidR="008941FC" w:rsidRPr="009118AB">
        <w:rPr>
          <w:rFonts w:ascii="Times New Roman Italique" w:hAnsi="Times New Roman Italique"/>
          <w:i/>
          <w:iCs/>
          <w:spacing w:val="2"/>
        </w:rPr>
        <w:t>in Kraft am 16. Mai 2014</w:t>
      </w:r>
      <w:r w:rsidR="003366D9" w:rsidRPr="009118AB">
        <w:rPr>
          <w:rFonts w:ascii="Times New Roman Italique" w:hAnsi="Times New Roman Italique"/>
          <w:i/>
          <w:iCs/>
          <w:spacing w:val="2"/>
        </w:rPr>
        <w:t> -;</w:t>
      </w:r>
      <w:r w:rsidR="008941FC"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8C3B17" w:rsidRPr="009118AB">
        <w:rPr>
          <w:rFonts w:ascii="Times New Roman Italique" w:hAnsi="Times New Roman Italique"/>
          <w:i/>
          <w:iCs/>
          <w:spacing w:val="2"/>
        </w:rPr>
        <w:t xml:space="preserve">5 abgeändert durch </w:t>
      </w:r>
      <w:r w:rsidR="00D67EB8" w:rsidRPr="009118AB">
        <w:rPr>
          <w:rFonts w:ascii="Times New Roman Italique" w:hAnsi="Times New Roman Italique"/>
          <w:i/>
          <w:iCs/>
          <w:spacing w:val="2"/>
        </w:rPr>
        <w:t>Art. </w:t>
      </w:r>
      <w:r w:rsidR="008C3B17" w:rsidRPr="009118AB">
        <w:rPr>
          <w:rFonts w:ascii="Times New Roman Italique" w:hAnsi="Times New Roman Italique"/>
          <w:i/>
          <w:iCs/>
          <w:spacing w:val="2"/>
        </w:rPr>
        <w:t xml:space="preserve">81 </w:t>
      </w:r>
      <w:r w:rsidR="00D67EB8" w:rsidRPr="009118AB">
        <w:rPr>
          <w:rFonts w:ascii="Times New Roman Italique" w:hAnsi="Times New Roman Italique"/>
          <w:i/>
          <w:iCs/>
          <w:spacing w:val="2"/>
        </w:rPr>
        <w:t>Nr. </w:t>
      </w:r>
      <w:r w:rsidR="008C3B17" w:rsidRPr="009118AB">
        <w:rPr>
          <w:rFonts w:ascii="Times New Roman Italique" w:hAnsi="Times New Roman Italique"/>
          <w:i/>
          <w:iCs/>
          <w:spacing w:val="2"/>
        </w:rPr>
        <w:t>4 des G. vom 14. April 2011 (B.S. vom 6. Mai 2011)</w:t>
      </w:r>
      <w:r w:rsidR="00D67EB8" w:rsidRPr="009118AB">
        <w:rPr>
          <w:rFonts w:ascii="Times New Roman Italique" w:hAnsi="Times New Roman Italique"/>
          <w:i/>
          <w:iCs/>
          <w:spacing w:val="2"/>
        </w:rPr>
        <w:t> - </w:t>
      </w:r>
      <w:r w:rsidR="008C3B17" w:rsidRPr="009118AB">
        <w:rPr>
          <w:rFonts w:ascii="Times New Roman Italique" w:hAnsi="Times New Roman Italique"/>
          <w:i/>
          <w:iCs/>
          <w:spacing w:val="2"/>
        </w:rPr>
        <w:t>in Kraft am 1. Januar 2012</w:t>
      </w:r>
      <w:r w:rsidR="003366D9" w:rsidRPr="009118AB">
        <w:rPr>
          <w:rFonts w:ascii="Times New Roman Italique" w:hAnsi="Times New Roman Italique"/>
          <w:i/>
          <w:iCs/>
          <w:spacing w:val="2"/>
        </w:rPr>
        <w:t> -;</w:t>
      </w:r>
      <w:r w:rsidR="008C3B17" w:rsidRPr="009118AB">
        <w:rPr>
          <w:rFonts w:ascii="Times New Roman Italique" w:hAnsi="Times New Roman Italique"/>
          <w:i/>
          <w:iCs/>
          <w:spacing w:val="-2"/>
        </w:rPr>
        <w:t> </w:t>
      </w:r>
      <w:r w:rsidR="00D67EB8" w:rsidRPr="009118AB">
        <w:rPr>
          <w:rFonts w:ascii="Times New Roman Italique" w:hAnsi="Times New Roman Italique"/>
          <w:i/>
          <w:iCs/>
          <w:spacing w:val="-2"/>
        </w:rPr>
        <w:t>§ </w:t>
      </w:r>
      <w:r w:rsidR="008C3B17" w:rsidRPr="009118AB">
        <w:rPr>
          <w:rFonts w:ascii="Times New Roman Italique" w:hAnsi="Times New Roman Italique"/>
          <w:i/>
          <w:iCs/>
          <w:spacing w:val="-2"/>
        </w:rPr>
        <w:t xml:space="preserve">6 </w:t>
      </w:r>
      <w:r w:rsidR="00D67EB8" w:rsidRPr="009118AB">
        <w:rPr>
          <w:rFonts w:ascii="Times New Roman Italique" w:hAnsi="Times New Roman Italique"/>
          <w:i/>
          <w:iCs/>
          <w:spacing w:val="-2"/>
        </w:rPr>
        <w:t>Abs. </w:t>
      </w:r>
      <w:r w:rsidR="008C3B17" w:rsidRPr="009118AB">
        <w:rPr>
          <w:rFonts w:ascii="Times New Roman Italique" w:hAnsi="Times New Roman Italique"/>
          <w:i/>
          <w:iCs/>
          <w:spacing w:val="-2"/>
        </w:rPr>
        <w:t xml:space="preserve">1 einleitende Bestimmung ersetzt durch </w:t>
      </w:r>
      <w:r w:rsidR="00D67EB8" w:rsidRPr="009118AB">
        <w:rPr>
          <w:rFonts w:ascii="Times New Roman Italique" w:hAnsi="Times New Roman Italique"/>
          <w:i/>
          <w:iCs/>
          <w:spacing w:val="-2"/>
        </w:rPr>
        <w:t>Art. </w:t>
      </w:r>
      <w:r w:rsidR="008C3B17" w:rsidRPr="009118AB">
        <w:rPr>
          <w:rFonts w:ascii="Times New Roman Italique" w:hAnsi="Times New Roman Italique"/>
          <w:i/>
          <w:iCs/>
          <w:spacing w:val="-2"/>
        </w:rPr>
        <w:t xml:space="preserve">81 </w:t>
      </w:r>
      <w:r w:rsidR="00D67EB8" w:rsidRPr="009118AB">
        <w:rPr>
          <w:rFonts w:ascii="Times New Roman Italique" w:hAnsi="Times New Roman Italique"/>
          <w:i/>
          <w:iCs/>
          <w:spacing w:val="-2"/>
        </w:rPr>
        <w:t>Nr. </w:t>
      </w:r>
      <w:r w:rsidR="008C3B17" w:rsidRPr="009118AB">
        <w:rPr>
          <w:rFonts w:ascii="Times New Roman Italique" w:hAnsi="Times New Roman Italique"/>
          <w:i/>
          <w:iCs/>
          <w:spacing w:val="-2"/>
        </w:rPr>
        <w:t>5 des G. vom 14. April 2011 (B.S. vom 6. Mai 2011)</w:t>
      </w:r>
      <w:r w:rsidR="00D67EB8" w:rsidRPr="009118AB">
        <w:rPr>
          <w:rFonts w:ascii="Times New Roman Italique" w:hAnsi="Times New Roman Italique"/>
          <w:i/>
          <w:iCs/>
          <w:spacing w:val="-2"/>
        </w:rPr>
        <w:t> - </w:t>
      </w:r>
      <w:r w:rsidR="008C3B17" w:rsidRPr="009118AB">
        <w:rPr>
          <w:rFonts w:ascii="Times New Roman Italique" w:hAnsi="Times New Roman Italique"/>
          <w:i/>
          <w:iCs/>
          <w:spacing w:val="-2"/>
        </w:rPr>
        <w:t>in Kraft am 1. Januar 2012</w:t>
      </w:r>
      <w:r w:rsidR="003366D9" w:rsidRPr="009118AB">
        <w:rPr>
          <w:rFonts w:ascii="Times New Roman Italique" w:hAnsi="Times New Roman Italique"/>
          <w:i/>
          <w:iCs/>
          <w:spacing w:val="-2"/>
        </w:rPr>
        <w:t> -;</w:t>
      </w:r>
      <w:r w:rsidR="008C3B17"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6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1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52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Buchstabe a) des G. vom 6. Juli 1994 (B.S.</w:t>
      </w:r>
      <w:r w:rsidR="00983107" w:rsidRPr="009118AB">
        <w:rPr>
          <w:rFonts w:ascii="Times New Roman Italique" w:hAnsi="Times New Roman Italique"/>
          <w:i/>
          <w:iCs/>
          <w:spacing w:val="-2"/>
        </w:rPr>
        <w:t xml:space="preserve"> </w:t>
      </w:r>
      <w:r w:rsidRPr="009118AB">
        <w:rPr>
          <w:rFonts w:ascii="Times New Roman Italique" w:hAnsi="Times New Roman Italique"/>
          <w:i/>
          <w:iCs/>
          <w:spacing w:val="-2"/>
        </w:rPr>
        <w:t>vom 16. Juli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16. Juli 1994</w:t>
      </w:r>
      <w:r w:rsidR="00D67EB8" w:rsidRPr="009118AB">
        <w:rPr>
          <w:rFonts w:ascii="Times New Roman Italique" w:hAnsi="Times New Roman Italique"/>
          <w:i/>
          <w:iCs/>
          <w:spacing w:val="-2"/>
        </w:rPr>
        <w:t> - </w:t>
      </w:r>
      <w:r w:rsidR="008941FC"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8941FC" w:rsidRPr="009118AB">
        <w:rPr>
          <w:rFonts w:ascii="Times New Roman Italique" w:hAnsi="Times New Roman Italique"/>
          <w:i/>
          <w:iCs/>
          <w:spacing w:val="-2"/>
        </w:rPr>
        <w:t>10 des G. vom 25. April 2014 (I) (B.S. vom 16. Mai 2014)</w:t>
      </w:r>
      <w:r w:rsidR="00D67EB8" w:rsidRPr="009118AB">
        <w:rPr>
          <w:rFonts w:ascii="Times New Roman Italique" w:hAnsi="Times New Roman Italique"/>
          <w:i/>
          <w:iCs/>
          <w:spacing w:val="-2"/>
        </w:rPr>
        <w:t> - </w:t>
      </w:r>
      <w:r w:rsidR="008941FC" w:rsidRPr="009118AB">
        <w:rPr>
          <w:rFonts w:ascii="Times New Roman Italique" w:hAnsi="Times New Roman Italique"/>
          <w:i/>
          <w:iCs/>
          <w:spacing w:val="-2"/>
        </w:rPr>
        <w:t>in Kraft am 16. Mai 2014</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6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52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Buchstabe b) des G. vom 6. Juli </w:t>
      </w:r>
      <w:r w:rsidR="004F7F42" w:rsidRPr="009118AB">
        <w:rPr>
          <w:rFonts w:ascii="Times New Roman Italique" w:hAnsi="Times New Roman Italique"/>
          <w:i/>
          <w:iCs/>
          <w:spacing w:val="-2"/>
        </w:rPr>
        <w:t>1994 (B.S. vom 16. Juli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16. Juli 1994</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6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18 des G. vom 28. Dezember 1992 (B.S. vom 31. Dezember 1992) und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52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Buchstabe c) des G. vom 6. Juli 1994 (B.S. vom 16. Juli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16. Juli 1994</w:t>
      </w:r>
      <w:r w:rsidR="00FD68E8" w:rsidRPr="009118AB">
        <w:rPr>
          <w:rFonts w:ascii="Times New Roman Italique" w:hAnsi="Times New Roman Italique"/>
          <w:i/>
          <w:iCs/>
          <w:spacing w:val="-2"/>
        </w:rPr>
        <w:t> -]</w:t>
      </w:r>
    </w:p>
    <w:p w14:paraId="59BB1AB1" w14:textId="7DB13BEB" w:rsidR="00477B8F" w:rsidRPr="009118AB" w:rsidRDefault="005E7B4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00477B8F" w:rsidRPr="009118AB">
        <w:lastRenderedPageBreak/>
        <w:t>[</w:t>
      </w:r>
      <w:r w:rsidR="00477B8F" w:rsidRPr="009118AB">
        <w:rPr>
          <w:i/>
          <w:iCs/>
        </w:rPr>
        <w:t>Abschnitt </w:t>
      </w:r>
      <w:r w:rsidR="00D74862" w:rsidRPr="009118AB">
        <w:rPr>
          <w:i/>
          <w:iCs/>
        </w:rPr>
        <w:t>5</w:t>
      </w:r>
      <w:r w:rsidR="00D67EB8" w:rsidRPr="009118AB">
        <w:t> - </w:t>
      </w:r>
      <w:r w:rsidR="00477B8F" w:rsidRPr="009118AB">
        <w:t>Beweiskraft der Erklärungen</w:t>
      </w:r>
    </w:p>
    <w:p w14:paraId="79FBE80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000DAFC" w14:textId="43074CD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 xml:space="preserve">[Abschnitt </w:t>
      </w:r>
      <w:r w:rsidR="00D74862" w:rsidRPr="009118AB">
        <w:rPr>
          <w:i/>
          <w:iCs/>
        </w:rPr>
        <w:t>5</w:t>
      </w:r>
      <w:r w:rsidRPr="009118AB">
        <w:rPr>
          <w:i/>
          <w:iCs/>
        </w:rPr>
        <w:t xml:space="preserve"> mit </w:t>
      </w:r>
      <w:r w:rsidR="00D67EB8" w:rsidRPr="009118AB">
        <w:rPr>
          <w:i/>
          <w:iCs/>
        </w:rPr>
        <w:t>Art. </w:t>
      </w:r>
      <w:r w:rsidRPr="009118AB">
        <w:rPr>
          <w:i/>
          <w:iCs/>
        </w:rPr>
        <w:t xml:space="preserve">314bis eingefügt durch </w:t>
      </w:r>
      <w:r w:rsidR="00D67EB8" w:rsidRPr="009118AB">
        <w:rPr>
          <w:i/>
          <w:iCs/>
        </w:rPr>
        <w:t>Art. </w:t>
      </w:r>
      <w:r w:rsidRPr="009118AB">
        <w:rPr>
          <w:i/>
          <w:iCs/>
        </w:rPr>
        <w:t>2 des G. vom 10. August 2005 (I) (B.S. vom 2. September 2005)</w:t>
      </w:r>
      <w:r w:rsidR="00D67EB8" w:rsidRPr="009118AB">
        <w:rPr>
          <w:i/>
          <w:iCs/>
        </w:rPr>
        <w:t> - </w:t>
      </w:r>
      <w:r w:rsidRPr="009118AB">
        <w:rPr>
          <w:i/>
          <w:iCs/>
        </w:rPr>
        <w:t>in Kraft ab dem 2. September 2005</w:t>
      </w:r>
      <w:r w:rsidR="00FD68E8" w:rsidRPr="009118AB">
        <w:rPr>
          <w:i/>
          <w:iCs/>
        </w:rPr>
        <w:t> -]</w:t>
      </w:r>
    </w:p>
    <w:p w14:paraId="4BDDE75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B01B14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AF9D59E" w14:textId="7FD6AFB9" w:rsidR="00477B8F" w:rsidRPr="009118AB" w:rsidRDefault="00477B8F" w:rsidP="00627645">
      <w:pPr>
        <w:jc w:val="both"/>
      </w:pPr>
      <w:r w:rsidRPr="009118AB">
        <w:tab/>
      </w:r>
      <w:r w:rsidR="00D67EB8" w:rsidRPr="009118AB">
        <w:rPr>
          <w:b/>
          <w:bCs/>
        </w:rPr>
        <w:t>Art. </w:t>
      </w:r>
      <w:r w:rsidRPr="009118AB">
        <w:rPr>
          <w:b/>
          <w:bCs/>
        </w:rPr>
        <w:t>314</w:t>
      </w:r>
      <w:r w:rsidRPr="009118AB">
        <w:rPr>
          <w:b/>
          <w:bCs/>
          <w:i/>
          <w:iCs/>
        </w:rPr>
        <w:t>bis</w:t>
      </w:r>
      <w:r w:rsidR="00D67EB8" w:rsidRPr="009118AB">
        <w:t> - </w:t>
      </w:r>
      <w:r w:rsidR="00627645" w:rsidRPr="009118AB">
        <w:t>[In den Abschnitten </w:t>
      </w:r>
      <w:r w:rsidR="009E593F" w:rsidRPr="009118AB">
        <w:t>1</w:t>
      </w:r>
      <w:r w:rsidR="00627645" w:rsidRPr="009118AB">
        <w:t xml:space="preserve"> und </w:t>
      </w:r>
      <w:r w:rsidR="009E593F" w:rsidRPr="009118AB">
        <w:t>2</w:t>
      </w:r>
      <w:r w:rsidR="00627645" w:rsidRPr="009118AB">
        <w:t xml:space="preserve"> des vorliegenden Kapitels erwähnte Erklärungen und Unterlagen und Belege, die von Steuerpflichtigen eingereicht werden und von der für die Festlegung der Einkommensteuer zuständigen V</w:t>
      </w:r>
      <w:r w:rsidR="00ED2DBB" w:rsidRPr="009118AB">
        <w:t>erwaltung anhand eines fotograf</w:t>
      </w:r>
      <w:r w:rsidR="00627645" w:rsidRPr="009118AB">
        <w:t>ischen, optischen oder elektronischen Verfahrens oder durch andere Informatik- oder Telematiktechniken registriert, aufbewahrt oder vervielfältigt werden, und ihre Darstellung auf einem lesbaren Träger haben für die Anwendung der Bestimmungen des Einkommensteuergesetzbuches 1992 Beweiskraft.]</w:t>
      </w:r>
      <w:r w:rsidRPr="009118AB">
        <w:t>]</w:t>
      </w:r>
    </w:p>
    <w:p w14:paraId="4D84E16B" w14:textId="77777777" w:rsidR="00627645" w:rsidRPr="009118AB" w:rsidRDefault="00627645" w:rsidP="00627645">
      <w:pPr>
        <w:jc w:val="both"/>
      </w:pPr>
    </w:p>
    <w:p w14:paraId="7DC8A999" w14:textId="44DF93F8" w:rsidR="00627645" w:rsidRPr="009118AB" w:rsidRDefault="00627645" w:rsidP="00627645">
      <w:pPr>
        <w:jc w:val="both"/>
        <w:rPr>
          <w:iCs/>
        </w:rPr>
      </w:pPr>
      <w:r w:rsidRPr="009118AB">
        <w:rPr>
          <w:i/>
        </w:rPr>
        <w:t>[</w:t>
      </w:r>
      <w:r w:rsidR="00D67EB8" w:rsidRPr="009118AB">
        <w:rPr>
          <w:i/>
        </w:rPr>
        <w:t>Art. </w:t>
      </w:r>
      <w:r w:rsidRPr="009118AB">
        <w:rPr>
          <w:i/>
        </w:rPr>
        <w:t xml:space="preserve">314bis ersetzt durch </w:t>
      </w:r>
      <w:r w:rsidR="00D67EB8" w:rsidRPr="009118AB">
        <w:rPr>
          <w:i/>
        </w:rPr>
        <w:t>Art. </w:t>
      </w:r>
      <w:r w:rsidRPr="009118AB">
        <w:rPr>
          <w:i/>
        </w:rPr>
        <w:t>5</w:t>
      </w:r>
      <w:r w:rsidRPr="009118AB">
        <w:rPr>
          <w:i/>
          <w:iCs/>
        </w:rPr>
        <w:t xml:space="preserve"> des G. vom 8. Juni 2009 (B.S. vom 18. Juni 2009)</w:t>
      </w:r>
      <w:r w:rsidR="00D67EB8" w:rsidRPr="009118AB">
        <w:rPr>
          <w:i/>
          <w:iCs/>
        </w:rPr>
        <w:t> - </w:t>
      </w:r>
      <w:r w:rsidRPr="009118AB">
        <w:rPr>
          <w:i/>
          <w:iCs/>
        </w:rPr>
        <w:t>wirksam mit dem Steuerjahr 2009</w:t>
      </w:r>
      <w:r w:rsidR="00FD68E8" w:rsidRPr="009118AB">
        <w:rPr>
          <w:i/>
          <w:iCs/>
        </w:rPr>
        <w:t> -</w:t>
      </w:r>
      <w:r w:rsidR="00B17558">
        <w:rPr>
          <w:i/>
          <w:iCs/>
        </w:rPr>
        <w:t xml:space="preserve"> </w:t>
      </w:r>
      <w:r w:rsidR="00B17558" w:rsidRPr="006B3414">
        <w:rPr>
          <w:i/>
          <w:iCs/>
        </w:rPr>
        <w:t>und aufgehoben durch Art. 20 des G. vom 26. Januar 2021 (B.S. vom 10. Februar 2021) - in Kraft am 1. Januar 2025 -, selbst aufgehoben durch Art. 213 des G. vom 12. Mai 2024 (B.S. vom 30. Mai 2024)</w:t>
      </w:r>
      <w:r w:rsidR="00FD68E8" w:rsidRPr="006B3414">
        <w:rPr>
          <w:i/>
          <w:iCs/>
        </w:rPr>
        <w:t>]</w:t>
      </w:r>
    </w:p>
    <w:p w14:paraId="04DC594E" w14:textId="145AC8B3" w:rsidR="00E3157B" w:rsidRPr="009118AB" w:rsidRDefault="00E3157B" w:rsidP="00627645">
      <w:pPr>
        <w:jc w:val="both"/>
        <w:rPr>
          <w:iCs/>
        </w:rPr>
      </w:pPr>
    </w:p>
    <w:p w14:paraId="79D239D0" w14:textId="1100E903" w:rsidR="00E3157B" w:rsidRPr="009118AB" w:rsidRDefault="00E3157B" w:rsidP="00627645">
      <w:pPr>
        <w:jc w:val="both"/>
        <w:rPr>
          <w:iCs/>
        </w:rPr>
      </w:pPr>
    </w:p>
    <w:p w14:paraId="161F49B9" w14:textId="686E98A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00D666D6" w:rsidRPr="009118AB">
        <w:rPr>
          <w:b/>
          <w:bCs/>
        </w:rPr>
        <w:lastRenderedPageBreak/>
        <w:t>KAPITEL </w:t>
      </w:r>
      <w:r w:rsidR="007828ED" w:rsidRPr="009118AB">
        <w:rPr>
          <w:b/>
          <w:bCs/>
        </w:rPr>
        <w:t>3</w:t>
      </w:r>
      <w:r w:rsidR="00D67EB8" w:rsidRPr="009118AB">
        <w:t> - </w:t>
      </w:r>
      <w:r w:rsidRPr="009118AB">
        <w:rPr>
          <w:i/>
          <w:iCs/>
        </w:rPr>
        <w:t>Untersuchung und Kontrolle</w:t>
      </w:r>
    </w:p>
    <w:p w14:paraId="495BEA7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63FA4A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29CCCC6" w14:textId="4A15706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rPr>
          <w:i/>
          <w:iCs/>
        </w:rPr>
        <w:t>Abschnitt </w:t>
      </w:r>
      <w:r w:rsidR="00D74862" w:rsidRPr="009118AB">
        <w:rPr>
          <w:i/>
          <w:iCs/>
        </w:rPr>
        <w:t>1</w:t>
      </w:r>
      <w:r w:rsidR="00D67EB8" w:rsidRPr="009118AB">
        <w:t> - </w:t>
      </w:r>
      <w:r w:rsidRPr="009118AB">
        <w:t>Pflichten der Steuerpflichtigen</w:t>
      </w:r>
    </w:p>
    <w:p w14:paraId="4468988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BB1442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9020FF" w14:textId="5500825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315</w:t>
      </w:r>
      <w:r w:rsidR="00D67EB8" w:rsidRPr="009118AB">
        <w:t> - </w:t>
      </w:r>
      <w:r w:rsidRPr="009118AB">
        <w:t>Wer der Steuer der natürlichen Personen, der Gesellschaftssteuer, der Steuer der juristischen Personen oder der Steuer der Gebietsfremden unterliegt, ist verpflichtet, der Verwaltung auf deren Ersuchen vor Ort alle für die Festlegung des Betrags seiner steuerpflichtigen Einkünfte notwendigen Bücher und Unterlagen im Hinblick auf deren Überprüfung vorzulegen.</w:t>
      </w:r>
    </w:p>
    <w:p w14:paraId="664EC3A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6B4E8E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 Vorlagepflicht:</w:t>
      </w:r>
    </w:p>
    <w:p w14:paraId="155712A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87431F7" w14:textId="75580FB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1. umfasst für Einwohner des Königreichs Bücher und Unterlagen </w:t>
      </w:r>
      <w:r w:rsidR="00375E5A" w:rsidRPr="009118AB">
        <w:t xml:space="preserve">[in Bezug auf die </w:t>
      </w:r>
      <w:r w:rsidR="0012377F" w:rsidRPr="009118AB">
        <w:t xml:space="preserve">[in Artikel 307 </w:t>
      </w:r>
      <w:r w:rsidR="00D67EB8" w:rsidRPr="009118AB">
        <w:t>§ </w:t>
      </w:r>
      <w:r w:rsidR="0012377F" w:rsidRPr="009118AB">
        <w:t>1/1 Absatz 1]</w:t>
      </w:r>
      <w:r w:rsidR="00375E5A" w:rsidRPr="009118AB">
        <w:t xml:space="preserve"> erwähnten Konten, Lebensversicherungsverträge und Rechtsvereinbarungen</w:t>
      </w:r>
      <w:r w:rsidR="006450E7" w:rsidRPr="009118AB">
        <w:t>],</w:t>
      </w:r>
    </w:p>
    <w:p w14:paraId="2CADB6A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F443FE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2. erstreckt sich für Gesellschaften auf die Register der Namensaktien und Namensschuldverschreibungen und die Anwesenheits</w:t>
      </w:r>
      <w:r w:rsidR="00375E5A" w:rsidRPr="009118AB">
        <w:t>listen der Generalversammlungen,</w:t>
      </w:r>
      <w:r w:rsidRPr="009118AB">
        <w:t>]</w:t>
      </w:r>
    </w:p>
    <w:p w14:paraId="1853DBE8" w14:textId="77777777" w:rsidR="00375E5A" w:rsidRPr="009118AB" w:rsidRDefault="00375E5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281118" w14:textId="43B81133" w:rsidR="00375E5A" w:rsidRPr="009118AB" w:rsidRDefault="00375E5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[3. umfasst für juristische Personen Bücher und Unterlagen in Bezug auf die </w:t>
      </w:r>
      <w:r w:rsidR="0012377F" w:rsidRPr="009118AB">
        <w:t xml:space="preserve">[in Artikel 307 </w:t>
      </w:r>
      <w:r w:rsidR="00D67EB8" w:rsidRPr="009118AB">
        <w:t>§ </w:t>
      </w:r>
      <w:r w:rsidR="0012377F" w:rsidRPr="009118AB">
        <w:t>1/3]</w:t>
      </w:r>
      <w:r w:rsidR="00877576" w:rsidRPr="009118AB">
        <w:t xml:space="preserve"> erwähnten Rechtsvereinbarungen,</w:t>
      </w:r>
      <w:r w:rsidRPr="009118AB">
        <w:t>]</w:t>
      </w:r>
    </w:p>
    <w:p w14:paraId="7024C04C" w14:textId="77777777" w:rsidR="00877576" w:rsidRPr="009118AB" w:rsidRDefault="0087757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F22A1B" w14:textId="3AA3AEB6" w:rsidR="00877576" w:rsidRPr="009118AB" w:rsidRDefault="0087757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[4. umfasst für Steuerpflichtige </w:t>
      </w:r>
      <w:r w:rsidR="00176752" w:rsidRPr="009118AB">
        <w:t xml:space="preserve">[erwähnt in Artikel 307 </w:t>
      </w:r>
      <w:r w:rsidR="00D67EB8" w:rsidRPr="009118AB">
        <w:t>§ </w:t>
      </w:r>
      <w:r w:rsidR="00176752" w:rsidRPr="009118AB">
        <w:t>1/1 Buchstabe </w:t>
      </w:r>
      <w:r w:rsidR="00176752" w:rsidRPr="009118AB">
        <w:rPr>
          <w:i/>
          <w:iCs/>
        </w:rPr>
        <w:t>d)</w:t>
      </w:r>
      <w:r w:rsidR="0012377F" w:rsidRPr="009118AB">
        <w:t>]</w:t>
      </w:r>
      <w:r w:rsidRPr="009118AB">
        <w:t xml:space="preserve"> Bücher und Unterlagen in Bezug auf die </w:t>
      </w:r>
      <w:r w:rsidR="0012377F" w:rsidRPr="009118AB">
        <w:t>[</w:t>
      </w:r>
      <w:r w:rsidRPr="009118AB">
        <w:t xml:space="preserve">in Artikel 21 </w:t>
      </w:r>
      <w:r w:rsidR="0012377F" w:rsidRPr="009118AB">
        <w:t xml:space="preserve">Absatz 1 </w:t>
      </w:r>
      <w:r w:rsidR="00D67EB8" w:rsidRPr="009118AB">
        <w:t>Nr. </w:t>
      </w:r>
      <w:r w:rsidRPr="009118AB">
        <w:t>13</w:t>
      </w:r>
      <w:r w:rsidR="0012377F" w:rsidRPr="009118AB">
        <w:t>]</w:t>
      </w:r>
      <w:r w:rsidRPr="009118AB">
        <w:t xml:space="preserve"> erwähnten Darlehen.]</w:t>
      </w:r>
    </w:p>
    <w:p w14:paraId="0146297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B0D9DF" w14:textId="3990668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Bücher und Unterlagen, anhand deren der Betrag der steuerpflichtigen Einkünfte festgelegt werden kann, müssen</w:t>
      </w:r>
      <w:r w:rsidR="00D67EB8" w:rsidRPr="009118AB">
        <w:t> - </w:t>
      </w:r>
      <w:r w:rsidRPr="009118AB">
        <w:t>außer wenn das Gericht sie beschlagnahmt oder die Verwaltung eine Abweichung bewilligt hat</w:t>
      </w:r>
      <w:r w:rsidR="00D67EB8" w:rsidRPr="009118AB">
        <w:t> - </w:t>
      </w:r>
      <w:r w:rsidRPr="009118AB">
        <w:t xml:space="preserve">zur Verfügung der Verwaltung aufbewahrt werden in dem Büro, der Agentur, der Zweigniederlassung oder anderen beruflich oder privat genutzten Räumen des Steuerpflichtigen, in denen diese Bücher und Unterlagen geführt, erstellt oder zugesandt wurden, bis zum Ablauf </w:t>
      </w:r>
      <w:r w:rsidR="00372B14" w:rsidRPr="009118AB">
        <w:t>[des zehnten Jahres oder des zehnten Geschäftsjahres, das auf den Besteuerungszeitraum folgt]</w:t>
      </w:r>
      <w:r w:rsidRPr="009118AB">
        <w:t>.</w:t>
      </w:r>
    </w:p>
    <w:p w14:paraId="4AA3299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07F4252" w14:textId="3C1EBA3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315 </w:t>
      </w:r>
      <w:r w:rsidR="00D67EB8" w:rsidRPr="009118AB">
        <w:rPr>
          <w:i/>
          <w:iCs/>
        </w:rPr>
        <w:t>Abs. </w:t>
      </w:r>
      <w:r w:rsidRPr="009118AB">
        <w:rPr>
          <w:i/>
          <w:iCs/>
        </w:rPr>
        <w:t xml:space="preserve">2 ersetzt durch </w:t>
      </w:r>
      <w:r w:rsidR="00D67EB8" w:rsidRPr="009118AB">
        <w:rPr>
          <w:i/>
          <w:iCs/>
        </w:rPr>
        <w:t>Art. </w:t>
      </w:r>
      <w:r w:rsidRPr="009118AB">
        <w:rPr>
          <w:i/>
          <w:iCs/>
        </w:rPr>
        <w:t>40 des K.E. vom 20. Dezember 1996 (B.S. vom 31. Dezember 1996)</w:t>
      </w:r>
      <w:r w:rsidR="00D67EB8" w:rsidRPr="009118AB">
        <w:rPr>
          <w:i/>
          <w:iCs/>
        </w:rPr>
        <w:t> - </w:t>
      </w:r>
      <w:r w:rsidRPr="009118AB">
        <w:rPr>
          <w:i/>
          <w:iCs/>
        </w:rPr>
        <w:t>anwendbar auf Verfahrenshandlungen, die sich auf das Steuerjahr</w:t>
      </w:r>
      <w:r w:rsidR="00A1425D" w:rsidRPr="009118AB">
        <w:rPr>
          <w:i/>
          <w:iCs/>
        </w:rPr>
        <w:t> </w:t>
      </w:r>
      <w:r w:rsidRPr="009118AB">
        <w:rPr>
          <w:i/>
          <w:iCs/>
        </w:rPr>
        <w:t>1997 und folgende beziehen</w:t>
      </w:r>
      <w:r w:rsidR="003366D9" w:rsidRPr="009118AB">
        <w:rPr>
          <w:i/>
          <w:iCs/>
        </w:rPr>
        <w:t> -;</w:t>
      </w:r>
      <w:r w:rsidR="007538B8" w:rsidRPr="009118AB">
        <w:rPr>
          <w:i/>
          <w:iCs/>
        </w:rPr>
        <w:t xml:space="preserve"> </w:t>
      </w:r>
      <w:r w:rsidR="00D67EB8" w:rsidRPr="009118AB">
        <w:rPr>
          <w:i/>
          <w:iCs/>
        </w:rPr>
        <w:t>Abs. </w:t>
      </w:r>
      <w:r w:rsidR="006450E7" w:rsidRPr="009118AB">
        <w:rPr>
          <w:i/>
          <w:iCs/>
        </w:rPr>
        <w:t xml:space="preserve">2 </w:t>
      </w:r>
      <w:r w:rsidR="00D67EB8" w:rsidRPr="009118AB">
        <w:rPr>
          <w:i/>
          <w:iCs/>
        </w:rPr>
        <w:t>Nr. </w:t>
      </w:r>
      <w:r w:rsidR="006450E7" w:rsidRPr="009118AB">
        <w:rPr>
          <w:i/>
          <w:iCs/>
        </w:rPr>
        <w:t xml:space="preserve">1 abgeändert durch </w:t>
      </w:r>
      <w:r w:rsidR="00D67EB8" w:rsidRPr="009118AB">
        <w:rPr>
          <w:i/>
          <w:iCs/>
        </w:rPr>
        <w:t>Art. </w:t>
      </w:r>
      <w:r w:rsidR="006450E7" w:rsidRPr="009118AB">
        <w:rPr>
          <w:i/>
          <w:iCs/>
        </w:rPr>
        <w:t xml:space="preserve">23 des G. vom 21. Dezember 2013 (II) (B.S. vom </w:t>
      </w:r>
      <w:r w:rsidR="004665BC" w:rsidRPr="009118AB">
        <w:rPr>
          <w:i/>
          <w:iCs/>
        </w:rPr>
        <w:t>31. Dezember 2013</w:t>
      </w:r>
      <w:r w:rsidR="006450E7" w:rsidRPr="009118AB">
        <w:rPr>
          <w:i/>
          <w:iCs/>
        </w:rPr>
        <w:t>)</w:t>
      </w:r>
      <w:r w:rsidR="00D67EB8" w:rsidRPr="009118AB">
        <w:rPr>
          <w:i/>
          <w:iCs/>
        </w:rPr>
        <w:t> - </w:t>
      </w:r>
      <w:r w:rsidR="006450E7" w:rsidRPr="009118AB">
        <w:rPr>
          <w:i/>
          <w:iCs/>
        </w:rPr>
        <w:t>in Kraft am 31. Dezember 2013</w:t>
      </w:r>
      <w:r w:rsidR="00FD68E8" w:rsidRPr="009118AB">
        <w:rPr>
          <w:i/>
          <w:iCs/>
        </w:rPr>
        <w:t> -,</w:t>
      </w:r>
      <w:r w:rsidR="00375E5A" w:rsidRPr="009118AB">
        <w:rPr>
          <w:i/>
          <w:iCs/>
        </w:rPr>
        <w:t xml:space="preserve"> </w:t>
      </w:r>
      <w:r w:rsidR="00D67EB8" w:rsidRPr="009118AB">
        <w:rPr>
          <w:i/>
          <w:iCs/>
        </w:rPr>
        <w:t>Art. </w:t>
      </w:r>
      <w:r w:rsidR="00375E5A" w:rsidRPr="009118AB">
        <w:rPr>
          <w:i/>
          <w:iCs/>
        </w:rPr>
        <w:t>45 Buchstabe a)</w:t>
      </w:r>
      <w:r w:rsidR="00375E5A" w:rsidRPr="009118AB">
        <w:rPr>
          <w:i/>
        </w:rPr>
        <w:t xml:space="preserve"> des G. vom 10. August 2015 (B.S. vom 18. August 2015)</w:t>
      </w:r>
      <w:r w:rsidR="00D67EB8" w:rsidRPr="009118AB">
        <w:rPr>
          <w:i/>
        </w:rPr>
        <w:t> - </w:t>
      </w:r>
      <w:r w:rsidR="00375E5A" w:rsidRPr="009118AB">
        <w:rPr>
          <w:i/>
          <w:lang w:bidi="de-DE"/>
        </w:rPr>
        <w:t>anwendbar auf Einkünfte, die ab dem 1. Janu</w:t>
      </w:r>
      <w:r w:rsidR="00375E5A" w:rsidRPr="009118AB">
        <w:rPr>
          <w:i/>
          <w:lang w:bidi="de-DE"/>
        </w:rPr>
        <w:softHyphen/>
        <w:t>ar 2015 von einer Rechtsvereinbarung bezogen, zuerkannt oder ausgeschüttet werden, und</w:t>
      </w:r>
      <w:r w:rsidR="00D67EB8" w:rsidRPr="009118AB">
        <w:rPr>
          <w:i/>
          <w:lang w:bidi="de-DE"/>
        </w:rPr>
        <w:t> - </w:t>
      </w:r>
      <w:r w:rsidR="00375E5A" w:rsidRPr="009118AB">
        <w:rPr>
          <w:i/>
          <w:lang w:bidi="de-DE"/>
        </w:rPr>
        <w:t>in Bezug auf die Anwendung des Mobiliensteuervorabzugs oder des Berufssteuervorabzugs</w:t>
      </w:r>
      <w:r w:rsidR="00D67EB8" w:rsidRPr="009118AB">
        <w:rPr>
          <w:i/>
          <w:lang w:bidi="de-DE"/>
        </w:rPr>
        <w:t> - </w:t>
      </w:r>
      <w:r w:rsidR="00375E5A" w:rsidRPr="009118AB">
        <w:rPr>
          <w:i/>
          <w:lang w:bidi="de-DE"/>
        </w:rPr>
        <w:t>auf Einkünfte, die ab dem 1. September 2015 zuerkannt oder ausgeschüttet werden</w:t>
      </w:r>
      <w:r w:rsidR="00D67EB8" w:rsidRPr="009118AB">
        <w:rPr>
          <w:i/>
        </w:rPr>
        <w:t> - </w:t>
      </w:r>
      <w:r w:rsidR="0012377F" w:rsidRPr="009118AB">
        <w:rPr>
          <w:i/>
        </w:rPr>
        <w:t xml:space="preserve">und </w:t>
      </w:r>
      <w:r w:rsidR="00D67EB8" w:rsidRPr="009118AB">
        <w:rPr>
          <w:i/>
        </w:rPr>
        <w:t>Art. </w:t>
      </w:r>
      <w:r w:rsidR="0012377F" w:rsidRPr="009118AB">
        <w:rPr>
          <w:i/>
        </w:rPr>
        <w:t xml:space="preserve">95 </w:t>
      </w:r>
      <w:r w:rsidR="00D67EB8" w:rsidRPr="009118AB">
        <w:rPr>
          <w:i/>
        </w:rPr>
        <w:t>Nr. </w:t>
      </w:r>
      <w:r w:rsidR="0012377F" w:rsidRPr="009118AB">
        <w:rPr>
          <w:i/>
        </w:rPr>
        <w:t>1</w:t>
      </w:r>
      <w:r w:rsidR="0012377F" w:rsidRPr="009118AB">
        <w:rPr>
          <w:i/>
          <w:iCs/>
        </w:rPr>
        <w:t xml:space="preserve"> des G. vom 25. Dezember 2017 (IV) (B.S. vom 29. Dezember 2017)</w:t>
      </w:r>
      <w:r w:rsidR="00D67EB8" w:rsidRPr="009118AB">
        <w:rPr>
          <w:i/>
          <w:iCs/>
        </w:rPr>
        <w:t> - </w:t>
      </w:r>
      <w:r w:rsidR="0012377F" w:rsidRPr="009118AB">
        <w:rPr>
          <w:i/>
          <w:iCs/>
        </w:rPr>
        <w:t>in Kraft am 1. Januar 2018</w:t>
      </w:r>
      <w:r w:rsidR="003366D9" w:rsidRPr="009118AB">
        <w:rPr>
          <w:i/>
          <w:iCs/>
        </w:rPr>
        <w:t> -;</w:t>
      </w:r>
      <w:r w:rsidR="00375E5A" w:rsidRPr="009118AB">
        <w:rPr>
          <w:i/>
        </w:rPr>
        <w:t xml:space="preserve"> </w:t>
      </w:r>
      <w:r w:rsidR="00D67EB8" w:rsidRPr="009118AB">
        <w:rPr>
          <w:i/>
        </w:rPr>
        <w:t>Abs. </w:t>
      </w:r>
      <w:r w:rsidR="00375E5A" w:rsidRPr="009118AB">
        <w:rPr>
          <w:i/>
        </w:rPr>
        <w:t xml:space="preserve">2 </w:t>
      </w:r>
      <w:r w:rsidR="00D67EB8" w:rsidRPr="009118AB">
        <w:rPr>
          <w:i/>
        </w:rPr>
        <w:t>Nr. </w:t>
      </w:r>
      <w:r w:rsidR="00375E5A" w:rsidRPr="009118AB">
        <w:rPr>
          <w:i/>
        </w:rPr>
        <w:t xml:space="preserve">3 eingefügt durch </w:t>
      </w:r>
      <w:r w:rsidR="00D67EB8" w:rsidRPr="009118AB">
        <w:rPr>
          <w:i/>
        </w:rPr>
        <w:t>Art. </w:t>
      </w:r>
      <w:r w:rsidR="00375E5A" w:rsidRPr="009118AB">
        <w:rPr>
          <w:i/>
        </w:rPr>
        <w:t>45 Buchstabe b) des G. vom 10. August 2015 (B.S. vom 18. August 2015)</w:t>
      </w:r>
      <w:r w:rsidR="00D67EB8" w:rsidRPr="009118AB">
        <w:rPr>
          <w:i/>
        </w:rPr>
        <w:t> - </w:t>
      </w:r>
      <w:r w:rsidR="00375E5A" w:rsidRPr="009118AB">
        <w:rPr>
          <w:i/>
          <w:lang w:bidi="de-DE"/>
        </w:rPr>
        <w:t>anwendbar auf Einkünfte, die ab dem 1. Janu</w:t>
      </w:r>
      <w:r w:rsidR="00375E5A" w:rsidRPr="009118AB">
        <w:rPr>
          <w:i/>
          <w:lang w:bidi="de-DE"/>
        </w:rPr>
        <w:softHyphen/>
        <w:t>ar 2015 von einer Rechtsvereinbarung bezogen, zuerkannt oder ausgeschüttet werden, und</w:t>
      </w:r>
      <w:r w:rsidR="00D67EB8" w:rsidRPr="009118AB">
        <w:rPr>
          <w:i/>
          <w:lang w:bidi="de-DE"/>
        </w:rPr>
        <w:t> - </w:t>
      </w:r>
      <w:r w:rsidR="00375E5A" w:rsidRPr="009118AB">
        <w:rPr>
          <w:i/>
          <w:lang w:bidi="de-DE"/>
        </w:rPr>
        <w:t>in Bezug auf die Anwendung des Mobiliensteuervorabzugs oder des Berufssteuervorabzugs</w:t>
      </w:r>
      <w:r w:rsidR="00D67EB8" w:rsidRPr="009118AB">
        <w:rPr>
          <w:i/>
          <w:lang w:bidi="de-DE"/>
        </w:rPr>
        <w:t> - </w:t>
      </w:r>
      <w:r w:rsidR="00375E5A" w:rsidRPr="009118AB">
        <w:rPr>
          <w:i/>
          <w:lang w:bidi="de-DE"/>
        </w:rPr>
        <w:t>auf Einkünfte, die ab dem 1. September 2015 zuerkannt oder ausgeschüttet werden</w:t>
      </w:r>
      <w:r w:rsidR="00D67EB8" w:rsidRPr="009118AB">
        <w:rPr>
          <w:i/>
        </w:rPr>
        <w:t> - </w:t>
      </w:r>
      <w:r w:rsidR="0012377F" w:rsidRPr="009118AB">
        <w:rPr>
          <w:i/>
        </w:rPr>
        <w:t xml:space="preserve">und abgeändert durch </w:t>
      </w:r>
      <w:r w:rsidR="00D67EB8" w:rsidRPr="009118AB">
        <w:rPr>
          <w:i/>
        </w:rPr>
        <w:t>Art. </w:t>
      </w:r>
      <w:r w:rsidR="0012377F" w:rsidRPr="009118AB">
        <w:rPr>
          <w:i/>
        </w:rPr>
        <w:t xml:space="preserve">95 </w:t>
      </w:r>
      <w:r w:rsidR="00D67EB8" w:rsidRPr="009118AB">
        <w:rPr>
          <w:i/>
        </w:rPr>
        <w:t>Nr. </w:t>
      </w:r>
      <w:r w:rsidR="0012377F" w:rsidRPr="009118AB">
        <w:rPr>
          <w:i/>
        </w:rPr>
        <w:t>2</w:t>
      </w:r>
      <w:r w:rsidR="0012377F" w:rsidRPr="009118AB">
        <w:rPr>
          <w:i/>
          <w:iCs/>
        </w:rPr>
        <w:t xml:space="preserve"> des G. vom 25. Dezember 2017 (IV) (B.S. vom 29. Dezember 2017)</w:t>
      </w:r>
      <w:r w:rsidR="00D67EB8" w:rsidRPr="009118AB">
        <w:rPr>
          <w:i/>
          <w:iCs/>
        </w:rPr>
        <w:t> - </w:t>
      </w:r>
      <w:r w:rsidR="0012377F" w:rsidRPr="009118AB">
        <w:rPr>
          <w:i/>
          <w:iCs/>
        </w:rPr>
        <w:t>in Kraft am 1. Januar 2018</w:t>
      </w:r>
      <w:r w:rsidR="003366D9" w:rsidRPr="009118AB">
        <w:rPr>
          <w:i/>
          <w:iCs/>
        </w:rPr>
        <w:t> -;</w:t>
      </w:r>
      <w:r w:rsidR="00375E5A" w:rsidRPr="009118AB">
        <w:rPr>
          <w:i/>
        </w:rPr>
        <w:t xml:space="preserve"> </w:t>
      </w:r>
      <w:r w:rsidR="00D67EB8" w:rsidRPr="009118AB">
        <w:rPr>
          <w:i/>
        </w:rPr>
        <w:t>Abs. </w:t>
      </w:r>
      <w:r w:rsidR="00877576" w:rsidRPr="009118AB">
        <w:rPr>
          <w:i/>
        </w:rPr>
        <w:t xml:space="preserve">2 </w:t>
      </w:r>
      <w:r w:rsidR="00D67EB8" w:rsidRPr="009118AB">
        <w:rPr>
          <w:i/>
        </w:rPr>
        <w:t>Nr. </w:t>
      </w:r>
      <w:r w:rsidR="00877576" w:rsidRPr="009118AB">
        <w:rPr>
          <w:i/>
        </w:rPr>
        <w:t xml:space="preserve">4 eingefügt durch </w:t>
      </w:r>
      <w:r w:rsidR="00D67EB8" w:rsidRPr="009118AB">
        <w:rPr>
          <w:i/>
        </w:rPr>
        <w:t>Art. </w:t>
      </w:r>
      <w:r w:rsidR="00877576" w:rsidRPr="009118AB">
        <w:rPr>
          <w:i/>
        </w:rPr>
        <w:t>65</w:t>
      </w:r>
      <w:r w:rsidR="00877576" w:rsidRPr="009118AB">
        <w:rPr>
          <w:i/>
          <w:iCs/>
        </w:rPr>
        <w:t xml:space="preserve"> des G. vom 10. August 2015 (B.S. vom 18. August 2015)</w:t>
      </w:r>
      <w:r w:rsidR="00521B3D" w:rsidRPr="009118AB">
        <w:rPr>
          <w:i/>
          <w:iCs/>
        </w:rPr>
        <w:t xml:space="preserve"> und abgeändert durch </w:t>
      </w:r>
      <w:r w:rsidR="00D67EB8" w:rsidRPr="009118AB">
        <w:rPr>
          <w:i/>
          <w:iCs/>
        </w:rPr>
        <w:t>Art. </w:t>
      </w:r>
      <w:r w:rsidR="00521B3D" w:rsidRPr="009118AB">
        <w:rPr>
          <w:i/>
          <w:iCs/>
        </w:rPr>
        <w:t xml:space="preserve">95 </w:t>
      </w:r>
      <w:r w:rsidR="00D67EB8" w:rsidRPr="009118AB">
        <w:rPr>
          <w:i/>
          <w:iCs/>
        </w:rPr>
        <w:t>Nr. </w:t>
      </w:r>
      <w:r w:rsidR="00521B3D" w:rsidRPr="009118AB">
        <w:rPr>
          <w:i/>
          <w:iCs/>
        </w:rPr>
        <w:t>3 des G. vom 25. Dezember 2017 (IV) (B.S. vom 29. Dezember 2017)</w:t>
      </w:r>
      <w:r w:rsidR="00D67EB8" w:rsidRPr="009118AB">
        <w:rPr>
          <w:i/>
          <w:iCs/>
        </w:rPr>
        <w:t> - </w:t>
      </w:r>
      <w:r w:rsidR="00521B3D" w:rsidRPr="009118AB">
        <w:rPr>
          <w:i/>
          <w:iCs/>
        </w:rPr>
        <w:t>in Kraft am 1. Januar 2018</w:t>
      </w:r>
      <w:r w:rsidR="00D67EB8" w:rsidRPr="009118AB">
        <w:rPr>
          <w:i/>
          <w:iCs/>
        </w:rPr>
        <w:t> - </w:t>
      </w:r>
      <w:r w:rsidR="00176752" w:rsidRPr="009118AB">
        <w:rPr>
          <w:i/>
          <w:iCs/>
        </w:rPr>
        <w:t xml:space="preserve">und </w:t>
      </w:r>
      <w:r w:rsidR="00D67EB8" w:rsidRPr="009118AB">
        <w:rPr>
          <w:i/>
          <w:iCs/>
        </w:rPr>
        <w:t>Art. </w:t>
      </w:r>
      <w:r w:rsidR="00176752" w:rsidRPr="009118AB">
        <w:rPr>
          <w:i/>
          <w:iCs/>
        </w:rPr>
        <w:t>18</w:t>
      </w:r>
      <w:r w:rsidR="00176752" w:rsidRPr="009118AB">
        <w:rPr>
          <w:i/>
        </w:rPr>
        <w:t xml:space="preserve"> des G. vom 2. Mai 2019 (III) (B.S. vom 1</w:t>
      </w:r>
      <w:r w:rsidR="00A00E05" w:rsidRPr="009118AB">
        <w:rPr>
          <w:i/>
        </w:rPr>
        <w:t>5</w:t>
      </w:r>
      <w:r w:rsidR="00176752" w:rsidRPr="009118AB">
        <w:rPr>
          <w:i/>
        </w:rPr>
        <w:t>. Mai 2019)</w:t>
      </w:r>
      <w:r w:rsidR="00877576" w:rsidRPr="009118AB">
        <w:rPr>
          <w:i/>
          <w:iCs/>
        </w:rPr>
        <w:t xml:space="preserve">; </w:t>
      </w:r>
      <w:r w:rsidR="00D67EB8" w:rsidRPr="009118AB">
        <w:rPr>
          <w:i/>
          <w:iCs/>
        </w:rPr>
        <w:t>Abs. </w:t>
      </w:r>
      <w:r w:rsidR="007538B8" w:rsidRPr="009118AB">
        <w:rPr>
          <w:i/>
          <w:iCs/>
        </w:rPr>
        <w:t xml:space="preserve">3 abgeändert durch </w:t>
      </w:r>
      <w:r w:rsidR="00D67EB8" w:rsidRPr="009118AB">
        <w:rPr>
          <w:i/>
          <w:iCs/>
        </w:rPr>
        <w:t>Art. </w:t>
      </w:r>
      <w:r w:rsidR="007538B8" w:rsidRPr="009118AB">
        <w:rPr>
          <w:i/>
          <w:iCs/>
        </w:rPr>
        <w:t>186 des G.</w:t>
      </w:r>
      <w:r w:rsidR="00372B14" w:rsidRPr="009118AB">
        <w:rPr>
          <w:i/>
          <w:iCs/>
        </w:rPr>
        <w:t xml:space="preserve"> </w:t>
      </w:r>
      <w:r w:rsidR="007538B8" w:rsidRPr="009118AB">
        <w:rPr>
          <w:i/>
          <w:iCs/>
        </w:rPr>
        <w:t>vom 22. Dezember 2008</w:t>
      </w:r>
      <w:r w:rsidR="00372B14" w:rsidRPr="009118AB">
        <w:rPr>
          <w:i/>
          <w:iCs/>
        </w:rPr>
        <w:t> </w:t>
      </w:r>
      <w:r w:rsidR="007538B8" w:rsidRPr="009118AB">
        <w:rPr>
          <w:i/>
          <w:iCs/>
        </w:rPr>
        <w:t>(I) (B.S. vom 29. Dezember 200</w:t>
      </w:r>
      <w:r w:rsidR="004E3138" w:rsidRPr="009118AB">
        <w:rPr>
          <w:i/>
          <w:iCs/>
        </w:rPr>
        <w:t>8</w:t>
      </w:r>
      <w:r w:rsidR="007538B8" w:rsidRPr="009118AB">
        <w:rPr>
          <w:i/>
          <w:iCs/>
        </w:rPr>
        <w:t>)</w:t>
      </w:r>
      <w:r w:rsidR="00D67EB8" w:rsidRPr="009118AB">
        <w:rPr>
          <w:i/>
          <w:iCs/>
        </w:rPr>
        <w:t> - </w:t>
      </w:r>
      <w:r w:rsidR="00093D18" w:rsidRPr="009118AB">
        <w:rPr>
          <w:i/>
          <w:iCs/>
        </w:rPr>
        <w:t>in Kraft am</w:t>
      </w:r>
      <w:r w:rsidR="007538B8" w:rsidRPr="009118AB">
        <w:rPr>
          <w:i/>
          <w:iCs/>
        </w:rPr>
        <w:t xml:space="preserve"> 29. Dezember 200</w:t>
      </w:r>
      <w:r w:rsidR="004E3138" w:rsidRPr="009118AB">
        <w:rPr>
          <w:i/>
          <w:iCs/>
        </w:rPr>
        <w:t>8</w:t>
      </w:r>
      <w:r w:rsidR="00FD68E8" w:rsidRPr="009118AB">
        <w:rPr>
          <w:i/>
          <w:iCs/>
        </w:rPr>
        <w:t> -</w:t>
      </w:r>
      <w:r w:rsidR="00372B14" w:rsidRPr="009118AB">
        <w:rPr>
          <w:i/>
          <w:iCs/>
        </w:rPr>
        <w:t xml:space="preserve"> und Art. 92 des G. vom 20. November 2022 (B.S. vom 30. November 2022) - anwendbar ab dem Steuerjahr 2023 -</w:t>
      </w:r>
      <w:r w:rsidR="00FD68E8" w:rsidRPr="009118AB">
        <w:rPr>
          <w:i/>
          <w:iCs/>
        </w:rPr>
        <w:t>]</w:t>
      </w:r>
    </w:p>
    <w:p w14:paraId="5D20340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78F4A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64E1A56" w14:textId="3EFBB6B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315</w:t>
      </w:r>
      <w:r w:rsidRPr="009118AB">
        <w:rPr>
          <w:b/>
          <w:bCs/>
          <w:i/>
          <w:iCs/>
        </w:rPr>
        <w:t>bis</w:t>
      </w:r>
      <w:r w:rsidR="00D67EB8" w:rsidRPr="009118AB">
        <w:t> - </w:t>
      </w:r>
      <w:r w:rsidRPr="009118AB">
        <w:t xml:space="preserve">Natürliche und juristische Personen, die </w:t>
      </w:r>
      <w:r w:rsidR="00956E02" w:rsidRPr="009118AB">
        <w:t>[auf ein Datenverarbeitungssystem oder ein anderes elektronisches Gerät]</w:t>
      </w:r>
      <w:r w:rsidRPr="009118AB">
        <w:t xml:space="preserve"> zurückgreifen, um Bücher und Unterlagen, deren Vorlage durch Artikel 315 vorgeschrieben ist, ganz oder teilweise zu führen, zu erstellen, zuzusenden oder aufzubewahren, sind ebenfalls verpflichtet, auf Ersuchen der Verwaltung vor Ort Akten in Bezug auf Analyse, Programmierung und Betrieb des benutzten Systems sowie Datenträger und alle Daten, die sie enthalten, zur Einsicht vorzulegen.</w:t>
      </w:r>
    </w:p>
    <w:p w14:paraId="6D55182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48C71D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Auf Datenträgern gespeicherte Daten müssen in einer lesbaren und verständlichen Form zur Einsicht vorgelegt werden.</w:t>
      </w:r>
    </w:p>
    <w:p w14:paraId="4AF972D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B6B10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Auf Ersuchen der Verwaltung sind in Absatz 1 erwähnte Personen dazu verpflichtet, auf ihrer Ausrüstung und in Anwesenheit der Bediensteten der Verwaltung in der von den Bediensteten gewünschten Form Kopien der gesamten beziehungsweise eines Teils der vorerwähnten Daten zu erstellen und computergestützte Verarbeitungen, die zur Festlegung des Betrags ihrer steuerpflichtigen Einkünfte für notwendig erachtet werden, vorzunehmen.</w:t>
      </w:r>
    </w:p>
    <w:p w14:paraId="21B2A2CD" w14:textId="77777777" w:rsidR="004652C9" w:rsidRPr="009118AB" w:rsidRDefault="004652C9" w:rsidP="0023217A">
      <w:pPr>
        <w:autoSpaceDE w:val="0"/>
        <w:autoSpaceDN w:val="0"/>
        <w:adjustRightInd w:val="0"/>
        <w:jc w:val="both"/>
      </w:pPr>
    </w:p>
    <w:p w14:paraId="03552901" w14:textId="37898F0C" w:rsidR="00CE2FDC" w:rsidRPr="009118AB" w:rsidRDefault="00CE2FDC" w:rsidP="0023217A">
      <w:pPr>
        <w:autoSpaceDE w:val="0"/>
        <w:autoSpaceDN w:val="0"/>
        <w:adjustRightInd w:val="0"/>
        <w:jc w:val="both"/>
      </w:pPr>
      <w:r w:rsidRPr="009118AB">
        <w:tab/>
        <w:t>[Unbeschadet des Rechts der Steuerpflichtigen, mündliche Auskünfte anzufragen oder zu erteilen, bezieht sich die Vorlage der in Artikel 315 Absatz 1 erwähnten Bücher und Unterlagen für die in Absatz 1 erwähnten natürlichen und juristischen Personen auch auf die Zurverfügungstellung dieser Bücher und Unterlagen über eine gesicherte elektronische Plattform des FÖD Finanzen.]</w:t>
      </w:r>
    </w:p>
    <w:p w14:paraId="2B785C33" w14:textId="77777777" w:rsidR="00CE2FDC" w:rsidRPr="009118AB" w:rsidRDefault="00CE2FDC" w:rsidP="0023217A">
      <w:pPr>
        <w:autoSpaceDE w:val="0"/>
        <w:autoSpaceDN w:val="0"/>
        <w:adjustRightInd w:val="0"/>
        <w:jc w:val="both"/>
      </w:pPr>
    </w:p>
    <w:p w14:paraId="5D1C67F7" w14:textId="0AEA6864" w:rsidR="00477B8F" w:rsidRPr="009118AB" w:rsidRDefault="00477B8F" w:rsidP="0023217A">
      <w:pPr>
        <w:autoSpaceDE w:val="0"/>
        <w:autoSpaceDN w:val="0"/>
        <w:adjustRightInd w:val="0"/>
        <w:jc w:val="both"/>
      </w:pPr>
      <w:r w:rsidRPr="009118AB">
        <w:tab/>
        <w:t xml:space="preserve">Die Bestimmungen von Artikel 315 Absatz 3 sind anwendbar auf die Aufbewahrung der Akten in Bezug auf Analyse, Programmierung und Betrieb des benutzten Systems sowie der Datenträger und aller Daten, die sie enthalten. In Abweichung von diesen Bestimmungen endet die Frist zur Aufbewahrung der Daten in Bezug auf Analyse, Programmierung und Betrieb </w:t>
      </w:r>
      <w:r w:rsidR="00956E02" w:rsidRPr="009118AB">
        <w:t>[von Datenverarbeitungssystemen oder einem anderen elektronischen Gerät]</w:t>
      </w:r>
      <w:r w:rsidRPr="009118AB">
        <w:t xml:space="preserve"> </w:t>
      </w:r>
      <w:r w:rsidR="00372B14" w:rsidRPr="009118AB">
        <w:t>[am Ende des zehnten Jahres oder des zehnten Geschäftsjahres, das auf den Besteuerungszeitraum folgt]</w:t>
      </w:r>
      <w:r w:rsidRPr="009118AB">
        <w:t>, in dem das in diesen Daten beschriebene System verwendet worden ist.]</w:t>
      </w:r>
    </w:p>
    <w:p w14:paraId="25CD523D" w14:textId="77777777" w:rsidR="00956E02" w:rsidRPr="009118AB" w:rsidRDefault="00956E02" w:rsidP="0023217A">
      <w:pPr>
        <w:autoSpaceDE w:val="0"/>
        <w:autoSpaceDN w:val="0"/>
        <w:adjustRightInd w:val="0"/>
        <w:jc w:val="both"/>
      </w:pPr>
    </w:p>
    <w:p w14:paraId="50D8AA07" w14:textId="77777777" w:rsidR="00956E02" w:rsidRPr="009118AB" w:rsidRDefault="00956E02" w:rsidP="0023217A">
      <w:pPr>
        <w:autoSpaceDE w:val="0"/>
        <w:autoSpaceDN w:val="0"/>
        <w:adjustRightInd w:val="0"/>
        <w:jc w:val="both"/>
      </w:pPr>
      <w:r w:rsidRPr="009118AB">
        <w:tab/>
        <w:t>[In vorliegendem Artikel erwähnte Verpflichtungen gelten ebenfalls, wenn sich die von der Verwaltung geforderten Daten digital in Belgien oder im Ausland befinden.]</w:t>
      </w:r>
    </w:p>
    <w:p w14:paraId="22FFAD6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6BD27E" w14:textId="181C874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315bis eingefügt durch </w:t>
      </w:r>
      <w:r w:rsidR="00D67EB8" w:rsidRPr="009118AB">
        <w:rPr>
          <w:i/>
          <w:iCs/>
        </w:rPr>
        <w:t>Art. </w:t>
      </w:r>
      <w:r w:rsidRPr="009118AB">
        <w:rPr>
          <w:i/>
          <w:iCs/>
        </w:rPr>
        <w:t>53 des G. vom 6. Juli 1994 (B.S. vom 16. Juli 1994)</w:t>
      </w:r>
      <w:r w:rsidR="00D67EB8" w:rsidRPr="009118AB">
        <w:rPr>
          <w:i/>
          <w:iCs/>
        </w:rPr>
        <w:t> - </w:t>
      </w:r>
      <w:r w:rsidRPr="009118AB">
        <w:rPr>
          <w:i/>
          <w:iCs/>
        </w:rPr>
        <w:t>in Kraft ab dem 16. Juli 1994</w:t>
      </w:r>
      <w:r w:rsidR="003366D9" w:rsidRPr="009118AB">
        <w:rPr>
          <w:i/>
          <w:iCs/>
        </w:rPr>
        <w:t> -;</w:t>
      </w:r>
      <w:r w:rsidR="007538B8" w:rsidRPr="009118AB">
        <w:rPr>
          <w:i/>
          <w:iCs/>
        </w:rPr>
        <w:t xml:space="preserve"> </w:t>
      </w:r>
      <w:r w:rsidR="00D67EB8" w:rsidRPr="009118AB">
        <w:rPr>
          <w:i/>
          <w:iCs/>
        </w:rPr>
        <w:t>Abs. </w:t>
      </w:r>
      <w:r w:rsidR="00956E02" w:rsidRPr="009118AB">
        <w:rPr>
          <w:i/>
          <w:iCs/>
        </w:rPr>
        <w:t xml:space="preserve">1 abgeändert durch </w:t>
      </w:r>
      <w:r w:rsidR="00D67EB8" w:rsidRPr="009118AB">
        <w:rPr>
          <w:i/>
          <w:iCs/>
        </w:rPr>
        <w:t>Art. </w:t>
      </w:r>
      <w:r w:rsidR="00956E02" w:rsidRPr="009118AB">
        <w:rPr>
          <w:i/>
          <w:iCs/>
        </w:rPr>
        <w:t xml:space="preserve">45 </w:t>
      </w:r>
      <w:r w:rsidR="00D67EB8" w:rsidRPr="009118AB">
        <w:rPr>
          <w:i/>
          <w:iCs/>
        </w:rPr>
        <w:t>Nr. </w:t>
      </w:r>
      <w:r w:rsidR="00956E02" w:rsidRPr="009118AB">
        <w:rPr>
          <w:i/>
          <w:iCs/>
        </w:rPr>
        <w:t xml:space="preserve">1 des G. vom 1. Juli 2016 (B.S. vom 4. Juli 2016); </w:t>
      </w:r>
      <w:r w:rsidR="00CE2FDC" w:rsidRPr="009118AB">
        <w:rPr>
          <w:i/>
          <w:iCs/>
        </w:rPr>
        <w:t xml:space="preserve">neuer Absatz 4 eingefügt durch </w:t>
      </w:r>
      <w:r w:rsidR="00D67EB8" w:rsidRPr="009118AB">
        <w:rPr>
          <w:i/>
          <w:iCs/>
        </w:rPr>
        <w:t>Art. </w:t>
      </w:r>
      <w:r w:rsidR="00CE2FDC" w:rsidRPr="009118AB">
        <w:rPr>
          <w:i/>
          <w:iCs/>
        </w:rPr>
        <w:t xml:space="preserve">105 des G. vom 27. Juni 2021 (B.S. vom 30. Juni 2021); </w:t>
      </w:r>
      <w:r w:rsidR="00D67EB8" w:rsidRPr="009118AB">
        <w:rPr>
          <w:i/>
          <w:iCs/>
        </w:rPr>
        <w:t>Abs. </w:t>
      </w:r>
      <w:r w:rsidR="00CE2FDC" w:rsidRPr="009118AB">
        <w:rPr>
          <w:i/>
          <w:iCs/>
        </w:rPr>
        <w:t xml:space="preserve">5 (früherer Absatz 4) abgeändert durch </w:t>
      </w:r>
      <w:r w:rsidR="00D67EB8" w:rsidRPr="009118AB">
        <w:rPr>
          <w:i/>
          <w:iCs/>
        </w:rPr>
        <w:t>Art. </w:t>
      </w:r>
      <w:r w:rsidR="00CE2FDC" w:rsidRPr="009118AB">
        <w:rPr>
          <w:i/>
          <w:iCs/>
        </w:rPr>
        <w:t>187 des G</w:t>
      </w:r>
      <w:r w:rsidR="00372B14" w:rsidRPr="009118AB">
        <w:rPr>
          <w:i/>
          <w:iCs/>
        </w:rPr>
        <w:t>.</w:t>
      </w:r>
      <w:r w:rsidR="00CE2FDC" w:rsidRPr="009118AB">
        <w:rPr>
          <w:i/>
          <w:iCs/>
        </w:rPr>
        <w:t xml:space="preserve"> vom 22. Dezember 2008 (I) (B.S. vom 29. Dezember 2008)</w:t>
      </w:r>
      <w:r w:rsidR="00D67EB8" w:rsidRPr="009118AB">
        <w:rPr>
          <w:i/>
          <w:iCs/>
        </w:rPr>
        <w:t> - </w:t>
      </w:r>
      <w:r w:rsidR="00CE2FDC" w:rsidRPr="009118AB">
        <w:rPr>
          <w:i/>
          <w:iCs/>
        </w:rPr>
        <w:t>in Kraft am 29. Dezember 2008</w:t>
      </w:r>
      <w:r w:rsidR="00D67EB8" w:rsidRPr="009118AB">
        <w:rPr>
          <w:i/>
          <w:iCs/>
        </w:rPr>
        <w:t> -</w:t>
      </w:r>
      <w:r w:rsidR="00372B14" w:rsidRPr="009118AB">
        <w:rPr>
          <w:i/>
          <w:iCs/>
        </w:rPr>
        <w:t>,</w:t>
      </w:r>
      <w:r w:rsidR="00CE2FDC" w:rsidRPr="009118AB">
        <w:rPr>
          <w:i/>
          <w:iCs/>
        </w:rPr>
        <w:t xml:space="preserve"> </w:t>
      </w:r>
      <w:r w:rsidR="00372B14" w:rsidRPr="009118AB">
        <w:rPr>
          <w:i/>
          <w:iCs/>
        </w:rPr>
        <w:t>Art. 45 Nr. 2 des G. vom 1. Juli 2016 (B.S. vom 4. Juli 2016) und Art. 93 des G. vom 20. November 2022 (B.S. vom 30. November 2022) - anwendbar ab dem Steuerjahr 2023 -;</w:t>
      </w:r>
      <w:r w:rsidR="00CE2FDC" w:rsidRPr="009118AB">
        <w:rPr>
          <w:i/>
          <w:iCs/>
        </w:rPr>
        <w:t xml:space="preserve"> </w:t>
      </w:r>
      <w:r w:rsidR="00D67EB8" w:rsidRPr="009118AB">
        <w:rPr>
          <w:i/>
          <w:iCs/>
        </w:rPr>
        <w:t>Abs. </w:t>
      </w:r>
      <w:r w:rsidR="00CE2FDC" w:rsidRPr="009118AB">
        <w:rPr>
          <w:i/>
          <w:iCs/>
        </w:rPr>
        <w:t xml:space="preserve">6 eingefügt durch </w:t>
      </w:r>
      <w:r w:rsidR="00D67EB8" w:rsidRPr="009118AB">
        <w:rPr>
          <w:i/>
          <w:iCs/>
        </w:rPr>
        <w:t>Art. </w:t>
      </w:r>
      <w:r w:rsidR="00CE2FDC" w:rsidRPr="009118AB">
        <w:rPr>
          <w:i/>
          <w:iCs/>
        </w:rPr>
        <w:t xml:space="preserve">45 </w:t>
      </w:r>
      <w:r w:rsidR="00D67EB8" w:rsidRPr="009118AB">
        <w:rPr>
          <w:i/>
          <w:iCs/>
        </w:rPr>
        <w:t>Nr. </w:t>
      </w:r>
      <w:r w:rsidR="00CE2FDC" w:rsidRPr="009118AB">
        <w:rPr>
          <w:i/>
          <w:iCs/>
        </w:rPr>
        <w:t>3 des G. vom 1. Juli 2016 (B.S. vom 4. Juli 2016)]</w:t>
      </w:r>
    </w:p>
    <w:p w14:paraId="7E771319" w14:textId="77777777" w:rsidR="004652C9" w:rsidRDefault="004652C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1B4EB4A" w14:textId="77777777" w:rsidR="006A2F73" w:rsidRDefault="006A2F7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AD5997" w14:textId="11487214"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6A2F73">
        <w:rPr>
          <w:sz w:val="20"/>
          <w:szCs w:val="20"/>
        </w:rPr>
        <w:t>Ab einem gemäß Art. 222 des G. vom 12. Mai 2024 (B.S. vom 30. Mai 2024) vom König festzulegenden Datum und spätestens am 1. Januar 2028 lautet Art. 315</w:t>
      </w:r>
      <w:r w:rsidRPr="006A2F73">
        <w:rPr>
          <w:i/>
          <w:iCs/>
          <w:sz w:val="20"/>
          <w:szCs w:val="20"/>
        </w:rPr>
        <w:t>bis</w:t>
      </w:r>
      <w:r w:rsidRPr="006A2F73">
        <w:rPr>
          <w:sz w:val="20"/>
          <w:szCs w:val="20"/>
        </w:rPr>
        <w:t xml:space="preserve"> wie folgt:</w:t>
      </w:r>
    </w:p>
    <w:p w14:paraId="6A52CCFF" w14:textId="77777777"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DC08D02" w14:textId="7FFC7709"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6A2F73">
        <w:rPr>
          <w:iCs/>
          <w:sz w:val="20"/>
          <w:szCs w:val="20"/>
        </w:rPr>
        <w:t>"</w:t>
      </w:r>
      <w:r>
        <w:rPr>
          <w:iCs/>
          <w:sz w:val="20"/>
          <w:szCs w:val="20"/>
        </w:rPr>
        <w:t>[</w:t>
      </w:r>
      <w:r w:rsidRPr="006A2F73">
        <w:rPr>
          <w:iCs/>
          <w:sz w:val="20"/>
          <w:szCs w:val="20"/>
        </w:rPr>
        <w:t>Art. 315</w:t>
      </w:r>
      <w:r w:rsidRPr="006A2F73">
        <w:rPr>
          <w:i/>
          <w:iCs/>
          <w:sz w:val="20"/>
          <w:szCs w:val="20"/>
        </w:rPr>
        <w:t>bis</w:t>
      </w:r>
      <w:r w:rsidRPr="006A2F73">
        <w:rPr>
          <w:iCs/>
          <w:sz w:val="20"/>
          <w:szCs w:val="20"/>
        </w:rPr>
        <w:t> - Natürliche und juristische Personen, die [auf ein Datenverarbeitungssystem oder ein anderes elektronisches Gerät] zurückgreifen, um Bücher und Unterlagen, deren Vorlage durch Artikel 315 vorgeschrieben ist, ganz oder teilweise zu führen, zu erstellen, zuzusenden oder aufzubewahren, sind ebenfalls verpflichtet, auf Ersuchen der Verwaltung vor Ort Akten in Bezug auf Analyse, Programmierung und Betrieb des benutzten Systems sowie Datenträger und alle Daten, die sie enthalten, zur Einsicht vorzulegen.</w:t>
      </w:r>
    </w:p>
    <w:p w14:paraId="4EEE5659" w14:textId="77777777"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737F42" w14:textId="7A58F6AB"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6A2F73">
        <w:rPr>
          <w:iCs/>
          <w:sz w:val="20"/>
          <w:szCs w:val="20"/>
        </w:rPr>
        <w:t>Auf Datenträgern gespeicherte Daten müssen in einer lesbaren und verständlichen Form zur Einsicht vorgelegt werden.</w:t>
      </w:r>
    </w:p>
    <w:p w14:paraId="71E5C22B" w14:textId="77777777"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656D87F" w14:textId="41FBE8AB"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6A2F73">
        <w:rPr>
          <w:iCs/>
          <w:sz w:val="20"/>
          <w:szCs w:val="20"/>
        </w:rPr>
        <w:t>Auf Ersuchen der Verwaltung sind in Absatz 1 erwähnte Personen dazu verpflichtet, auf ihrer Ausrüstung und in Anwesenheit der Bediensteten der Verwaltung in der von den Bediensteten gewünschten Form Kopien der gesamten beziehungsweise eines Teils der vorerwähnten Daten zu erstellen und computergestützte Verarbeitungen, die zur Festlegung des Betrags ihrer steuerpflichtigen Einkünfte für notwendig erachtet werden, vorzunehmen.</w:t>
      </w:r>
    </w:p>
    <w:p w14:paraId="1CBC30C5" w14:textId="77777777"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AA7A49E" w14:textId="20B3AF82"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6A2F73">
        <w:rPr>
          <w:iCs/>
          <w:sz w:val="20"/>
          <w:szCs w:val="20"/>
        </w:rPr>
        <w:t xml:space="preserve">[Unbeschadet des Rechts der Steuerpflichtigen, mündliche Auskünfte anzufragen oder zu erteilen, bezieht sich die Vorlage der in Artikel 315 Absatz 1 erwähnten Bücher und Unterlagen für die in Absatz 1 erwähnten natürlichen und juristischen Personen auch auf die Zurverfügungstellung dieser Bücher und Unterlagen </w:t>
      </w:r>
      <w:r>
        <w:rPr>
          <w:iCs/>
          <w:sz w:val="20"/>
          <w:szCs w:val="20"/>
        </w:rPr>
        <w:t>[</w:t>
      </w:r>
      <w:r w:rsidRPr="006A2F73">
        <w:rPr>
          <w:iCs/>
          <w:sz w:val="20"/>
          <w:szCs w:val="20"/>
        </w:rPr>
        <w:t>über die gesicherte elektronische Plattform des Föderalen Öffentlichen Dienstes Finanzen</w:t>
      </w:r>
      <w:r>
        <w:rPr>
          <w:iCs/>
          <w:sz w:val="20"/>
          <w:szCs w:val="20"/>
        </w:rPr>
        <w:t>]</w:t>
      </w:r>
      <w:r w:rsidRPr="006A2F73">
        <w:rPr>
          <w:iCs/>
          <w:sz w:val="20"/>
          <w:szCs w:val="20"/>
        </w:rPr>
        <w:t>.]</w:t>
      </w:r>
    </w:p>
    <w:p w14:paraId="0C63444D" w14:textId="77777777"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73FFE09" w14:textId="10E7B862"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6A2F73">
        <w:rPr>
          <w:iCs/>
          <w:sz w:val="20"/>
          <w:szCs w:val="20"/>
        </w:rPr>
        <w:t>Die Bestimmungen von Artikel 315 Absatz 3 sind anwendbar auf die Aufbewahrung der Akten in Bezug auf Analyse, Programmierung und Betrieb des benutzten Systems sowie der Datenträger und aller Daten, die sie enthalten. In Abweichung von diesen Bestimmungen endet die Frist zur Aufbewahrung der Daten in Bezug auf Analyse, Programmierung und Betrieb [von Datenverarbeitungssystemen oder einem anderen elektronischen Gerät] [am Ende des zehnten Jahres oder des zehnten Geschäftsjahres, das auf den Besteuerungszeitraum folgt], in dem das in diesen Daten beschriebene System verwendet worden ist.]</w:t>
      </w:r>
    </w:p>
    <w:p w14:paraId="4D0184B9" w14:textId="77777777"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E4D84CC" w14:textId="2499548E"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6A2F73">
        <w:rPr>
          <w:iCs/>
          <w:sz w:val="20"/>
          <w:szCs w:val="20"/>
        </w:rPr>
        <w:t>[In vorliegendem Artikel erwähnte Verpflichtungen gelten ebenfalls, wenn sich die von der Verwaltung geforderten Daten digital in Belgien oder im Ausland befinden.]</w:t>
      </w:r>
    </w:p>
    <w:p w14:paraId="0EEC6CEA" w14:textId="77777777"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F1B0894" w14:textId="4EA02E3A"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6A2F73">
        <w:rPr>
          <w:i/>
          <w:iCs/>
          <w:sz w:val="20"/>
          <w:szCs w:val="20"/>
        </w:rPr>
        <w:t>[Art. 315bis eingefügt durch Art. 53 des G. vom 6. Juli 1994 (B.S. vom 16. Juli 1994) - in Kraft ab dem 16. Juli 1994 -; Abs. 1 abgeändert durch Art. 45 Nr. 1 des G. vom 1. Juli 2016 (B.S. vom 4. Juli 2016); neuer Absatz 4 eingefügt durch Art. 105 des G. vom 27. Juni 2021 (B.S. vom 30. Juni 2021</w:t>
      </w:r>
      <w:r>
        <w:rPr>
          <w:i/>
          <w:iCs/>
          <w:sz w:val="20"/>
          <w:szCs w:val="20"/>
        </w:rPr>
        <w:t>) und abgeändert durch Art. 22</w:t>
      </w:r>
      <w:r w:rsidRPr="006A2F73">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6A2F73">
        <w:rPr>
          <w:i/>
          <w:iCs/>
          <w:sz w:val="20"/>
          <w:szCs w:val="20"/>
        </w:rPr>
        <w:t>-; Abs. 5 (früherer Absatz 4) abgeändert durch Art. 187 des G. vom 22. Dezember 2008</w:t>
      </w:r>
      <w:r>
        <w:rPr>
          <w:i/>
          <w:iCs/>
          <w:sz w:val="20"/>
          <w:szCs w:val="20"/>
        </w:rPr>
        <w:t> </w:t>
      </w:r>
      <w:r w:rsidRPr="006A2F73">
        <w:rPr>
          <w:i/>
          <w:iCs/>
          <w:sz w:val="20"/>
          <w:szCs w:val="20"/>
        </w:rPr>
        <w:t>(I) (B.S. vom 29. Dezember 2008) - in Kraft am 29. Dezember 2008 -, Art. 45 Nr. 2 des G. vom 1. Juli 2016 (B.S. vom 4. Juli 2016) und Art. 93 des G. vom 20. November 2022 (B.S. vom 30. November 2022) - anwendbar ab dem Steuerjahr 2023 -; Abs. 6 eingefügt durch Art. 45 Nr. 3 des G. vom 1. Juli 2016 (B.S. vom 4. Juli 2016)]</w:t>
      </w:r>
      <w:r>
        <w:rPr>
          <w:sz w:val="20"/>
          <w:szCs w:val="20"/>
        </w:rPr>
        <w:t>"</w:t>
      </w:r>
    </w:p>
    <w:p w14:paraId="058F35FF" w14:textId="6B24D8C0" w:rsidR="006A2F73" w:rsidRPr="006A2F73"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3308264" w14:textId="77777777" w:rsidR="006A2F73" w:rsidRPr="009118AB" w:rsidRDefault="006A2F7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249281" w14:textId="55B27D1A" w:rsidR="004652C9" w:rsidRPr="009118AB" w:rsidRDefault="004652C9" w:rsidP="004652C9">
      <w:pPr>
        <w:ind w:firstLine="708"/>
        <w:jc w:val="both"/>
      </w:pPr>
      <w:r w:rsidRPr="009118AB">
        <w:t>[</w:t>
      </w:r>
      <w:r w:rsidR="00D67EB8" w:rsidRPr="009118AB">
        <w:rPr>
          <w:b/>
        </w:rPr>
        <w:t>Art. </w:t>
      </w:r>
      <w:r w:rsidRPr="009118AB">
        <w:rPr>
          <w:b/>
        </w:rPr>
        <w:t>315</w:t>
      </w:r>
      <w:r w:rsidRPr="009118AB">
        <w:rPr>
          <w:b/>
          <w:i/>
        </w:rPr>
        <w:t>ter</w:t>
      </w:r>
      <w:r w:rsidR="00D67EB8" w:rsidRPr="009118AB">
        <w:t> - </w:t>
      </w:r>
      <w:r w:rsidRPr="009118AB">
        <w:t>Bedienstete der für die Einkommensteuern zuständigen Verwaltung sind berechtigt, Bücher und Unterlagen, die gemäß Artikel 315 vorgelegt werden müssen, einzubehalten, wenn sie der Ansicht sind, dass diese Bücher und Unterlagen für die Festlegung des Betrags der steuerpflichtigen Einkünfte des Steuerpflichtigen oder Dritter notwendig sind.</w:t>
      </w:r>
    </w:p>
    <w:p w14:paraId="4B153268" w14:textId="77777777" w:rsidR="004652C9" w:rsidRPr="009118AB" w:rsidRDefault="004652C9" w:rsidP="004652C9">
      <w:pPr>
        <w:jc w:val="both"/>
      </w:pPr>
    </w:p>
    <w:p w14:paraId="073BADEE" w14:textId="77777777" w:rsidR="004652C9" w:rsidRPr="009118AB" w:rsidRDefault="004652C9" w:rsidP="004652C9">
      <w:pPr>
        <w:ind w:firstLine="708"/>
        <w:jc w:val="both"/>
      </w:pPr>
      <w:r w:rsidRPr="009118AB">
        <w:t>Dieses Recht gilt nicht für Bücher, die nicht abgeschlossen sind.</w:t>
      </w:r>
    </w:p>
    <w:p w14:paraId="178C3764" w14:textId="77777777" w:rsidR="004652C9" w:rsidRPr="009118AB" w:rsidRDefault="004652C9" w:rsidP="004652C9">
      <w:pPr>
        <w:jc w:val="both"/>
      </w:pPr>
    </w:p>
    <w:p w14:paraId="5E3A78D0" w14:textId="77777777" w:rsidR="006A2F73" w:rsidRDefault="006A2F73">
      <w:r>
        <w:br w:type="page"/>
      </w:r>
    </w:p>
    <w:p w14:paraId="7935A615" w14:textId="3884EB0F" w:rsidR="004652C9" w:rsidRDefault="004652C9"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Über die in Absatz 1 erwähnte Einbehaltung wird ein Einbehaltungsprotokoll erstellt, das bis zum Gegenbeweis Beweiskraft hat. Eine Abschrift dieses Protokolls wird der in Absatz 1 erwähnten Person binnen fünf Werktagen ab der Einbehaltung ausgehändigt.]</w:t>
      </w:r>
    </w:p>
    <w:p w14:paraId="644A8A6E" w14:textId="77777777" w:rsidR="006B3414" w:rsidRDefault="006B3414"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E498916" w14:textId="3DD2DEF0" w:rsidR="006B3414" w:rsidRPr="009118AB" w:rsidRDefault="006B3414"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t>[…]</w:t>
      </w:r>
    </w:p>
    <w:p w14:paraId="1A315AA8" w14:textId="77777777" w:rsidR="004652C9" w:rsidRPr="009118AB" w:rsidRDefault="004652C9"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26FAF94" w14:textId="1649AF5E" w:rsidR="004652C9" w:rsidRPr="009118AB" w:rsidRDefault="004652C9"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w:t>
      </w:r>
      <w:r w:rsidR="00D67EB8" w:rsidRPr="009118AB">
        <w:rPr>
          <w:i/>
        </w:rPr>
        <w:t>Art. </w:t>
      </w:r>
      <w:r w:rsidRPr="009118AB">
        <w:rPr>
          <w:i/>
        </w:rPr>
        <w:t xml:space="preserve">315ter eingefügt durch </w:t>
      </w:r>
      <w:r w:rsidR="00D67EB8" w:rsidRPr="009118AB">
        <w:rPr>
          <w:i/>
        </w:rPr>
        <w:t>Art. </w:t>
      </w:r>
      <w:r w:rsidRPr="009118AB">
        <w:rPr>
          <w:i/>
        </w:rPr>
        <w:t>24</w:t>
      </w:r>
      <w:r w:rsidRPr="009118AB">
        <w:rPr>
          <w:i/>
          <w:iCs/>
        </w:rPr>
        <w:t xml:space="preserve"> des G. vom 21. Dezember 2013 (II) (B.S. vom </w:t>
      </w:r>
      <w:r w:rsidR="004665BC" w:rsidRPr="009118AB">
        <w:rPr>
          <w:i/>
          <w:iCs/>
        </w:rPr>
        <w:t>31. Dezember 2013</w:t>
      </w:r>
      <w:r w:rsidRPr="00F62621">
        <w:rPr>
          <w:i/>
          <w:iCs/>
        </w:rPr>
        <w:t>)</w:t>
      </w:r>
      <w:r w:rsidR="006A2F73" w:rsidRPr="00F62621">
        <w:rPr>
          <w:i/>
          <w:iCs/>
        </w:rPr>
        <w:t xml:space="preserve">; Abs. 3 abgeändert durch Art. 21 Nr. 1 und 2 des G. vom 26. Januar 2021 (B.S. vom 10. Februar 2021) - in Kraft am 1. Januar 2025 -, selbst aufgehoben durch Art. 213 </w:t>
      </w:r>
      <w:r w:rsidR="006A2F73" w:rsidRPr="00F62621">
        <w:rPr>
          <w:rFonts w:ascii="Times New Roman Italique" w:hAnsi="Times New Roman Italique"/>
          <w:i/>
          <w:iCs/>
          <w:spacing w:val="-2"/>
        </w:rPr>
        <w:t xml:space="preserve">des G. vom 12. Mai 2024 (B.S. vom 30. Mai 2024); </w:t>
      </w:r>
      <w:r w:rsidR="00A71ECF" w:rsidRPr="00F62621">
        <w:rPr>
          <w:rFonts w:ascii="Times New Roman Italique" w:hAnsi="Times New Roman Italique"/>
          <w:i/>
          <w:iCs/>
          <w:spacing w:val="-2"/>
        </w:rPr>
        <w:t xml:space="preserve">früherer </w:t>
      </w:r>
      <w:r w:rsidR="006A2F73" w:rsidRPr="00F62621">
        <w:rPr>
          <w:rFonts w:ascii="Times New Roman Italique" w:hAnsi="Times New Roman Italique"/>
          <w:i/>
          <w:iCs/>
          <w:spacing w:val="-2"/>
        </w:rPr>
        <w:t>Abs</w:t>
      </w:r>
      <w:r w:rsidR="00A71ECF" w:rsidRPr="00F62621">
        <w:rPr>
          <w:rFonts w:ascii="Times New Roman Italique" w:hAnsi="Times New Roman Italique"/>
          <w:i/>
          <w:iCs/>
          <w:spacing w:val="-2"/>
        </w:rPr>
        <w:t>atz</w:t>
      </w:r>
      <w:r w:rsidR="006A2F73" w:rsidRPr="00F62621">
        <w:rPr>
          <w:rFonts w:ascii="Times New Roman Italique" w:hAnsi="Times New Roman Italique"/>
          <w:i/>
          <w:iCs/>
          <w:spacing w:val="-2"/>
        </w:rPr>
        <w:t> 4 eingefügt durch Art. 21 Nr. 3 des G. vom 26. Januar 2021 (B.S. vom 10. Februar 2021) - in Kraft am 1. Januar 2025 -,</w:t>
      </w:r>
      <w:r w:rsidR="006A2F73" w:rsidRPr="00F62621">
        <w:rPr>
          <w:i/>
          <w:iCs/>
        </w:rPr>
        <w:t xml:space="preserve"> selbst aufgehoben durch Art. 213 des G. vom 12. Mai 2024 (B.S. vom 30. Mai 2024)</w:t>
      </w:r>
      <w:r w:rsidRPr="00F62621">
        <w:rPr>
          <w:i/>
          <w:iCs/>
        </w:rPr>
        <w:t>]</w:t>
      </w:r>
    </w:p>
    <w:p w14:paraId="41AFA4B8" w14:textId="5D17B421" w:rsidR="004652C9" w:rsidRPr="009118AB" w:rsidRDefault="004652C9"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1663DE9" w14:textId="7A62115F" w:rsidR="00E3157B" w:rsidRPr="009118AB" w:rsidRDefault="00E3157B"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CC2C60" w14:textId="0E51E619" w:rsidR="0058318B" w:rsidRPr="009118AB" w:rsidRDefault="0058318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rPr>
        <w:t>Art. </w:t>
      </w:r>
      <w:r w:rsidRPr="009118AB">
        <w:rPr>
          <w:b/>
        </w:rPr>
        <w:t>315</w:t>
      </w:r>
      <w:r w:rsidRPr="009118AB">
        <w:rPr>
          <w:b/>
          <w:i/>
          <w:iCs/>
        </w:rPr>
        <w:t>quater</w:t>
      </w:r>
      <w:r w:rsidR="00D67EB8" w:rsidRPr="009118AB">
        <w:t> - </w:t>
      </w:r>
      <w:r w:rsidRPr="009118AB">
        <w:t xml:space="preserve">Relevante Steuerpflichtige wie in Artikel 326/1 </w:t>
      </w:r>
      <w:r w:rsidR="00D67EB8" w:rsidRPr="009118AB">
        <w:t>Nr. </w:t>
      </w:r>
      <w:r w:rsidRPr="009118AB">
        <w:t>5 erwähnt sind verpflichtet, alle Informationen, die sie selbst oder über ihren Intermediär in Anwendung der Artikel 326/1 bis einschließlich 326/9 der Verwaltung gemeldet haben oder melden mussten, auf Ersuchen der Verwaltung vor Ort im Hinblick auf deren Überprüfung vorzulegen, einschließlich der zugrunde liegenden Unterlagen, die sie vor oder nach der Meldung von ihrem Intermediär erhalten haben oder die sie selbst in Bezug auf die meldepflichtige Gestaltung zusammengestellt haben.]</w:t>
      </w:r>
    </w:p>
    <w:p w14:paraId="7DF28EBE" w14:textId="5D5AFC7E" w:rsidR="0058318B" w:rsidRPr="009118AB" w:rsidRDefault="0058318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EFF542" w14:textId="687CABA9" w:rsidR="0058318B" w:rsidRPr="009118AB" w:rsidRDefault="0058318B" w:rsidP="0058318B">
      <w:pPr>
        <w:jc w:val="both"/>
        <w:rPr>
          <w:i/>
        </w:rPr>
      </w:pPr>
      <w:r w:rsidRPr="009118AB">
        <w:rPr>
          <w:i/>
        </w:rPr>
        <w:t>[</w:t>
      </w:r>
      <w:r w:rsidR="00D67EB8" w:rsidRPr="009118AB">
        <w:rPr>
          <w:i/>
        </w:rPr>
        <w:t>Art. </w:t>
      </w:r>
      <w:r w:rsidRPr="009118AB">
        <w:rPr>
          <w:i/>
        </w:rPr>
        <w:t xml:space="preserve">315quater eingefügt durch </w:t>
      </w:r>
      <w:r w:rsidR="00D67EB8" w:rsidRPr="009118AB">
        <w:rPr>
          <w:i/>
        </w:rPr>
        <w:t>Art. </w:t>
      </w:r>
      <w:r w:rsidRPr="009118AB">
        <w:rPr>
          <w:i/>
        </w:rPr>
        <w:t>14 des G. vom 20. Dezember 2019 (B.S. vom 30. Dezember 2019)</w:t>
      </w:r>
      <w:r w:rsidR="00D67EB8" w:rsidRPr="009118AB">
        <w:rPr>
          <w:i/>
        </w:rPr>
        <w:t> - </w:t>
      </w:r>
      <w:r w:rsidRPr="009118AB">
        <w:rPr>
          <w:i/>
        </w:rPr>
        <w:t>in Kraft am 1. Juli 2020</w:t>
      </w:r>
      <w:r w:rsidR="00FD68E8" w:rsidRPr="009118AB">
        <w:rPr>
          <w:i/>
        </w:rPr>
        <w:t> -]</w:t>
      </w:r>
    </w:p>
    <w:p w14:paraId="024CCC71" w14:textId="77777777" w:rsidR="0058318B" w:rsidRPr="009118AB" w:rsidRDefault="0058318B" w:rsidP="0058318B">
      <w:pPr>
        <w:jc w:val="both"/>
        <w:rPr>
          <w:i/>
        </w:rPr>
      </w:pPr>
    </w:p>
    <w:p w14:paraId="06955627" w14:textId="77777777" w:rsidR="0058318B" w:rsidRDefault="0058318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D9ACDF" w14:textId="77777777" w:rsidR="00351BC4" w:rsidRPr="004A76D6" w:rsidRDefault="00AB4DE0" w:rsidP="00351BC4">
      <w:pPr>
        <w:ind w:firstLine="708"/>
        <w:jc w:val="both"/>
      </w:pPr>
      <w:r>
        <w:tab/>
        <w:t>[</w:t>
      </w:r>
      <w:r w:rsidR="00351BC4" w:rsidRPr="00351BC4">
        <w:rPr>
          <w:b/>
          <w:bCs/>
        </w:rPr>
        <w:t>Art. 315</w:t>
      </w:r>
      <w:r w:rsidR="00351BC4" w:rsidRPr="00351BC4">
        <w:rPr>
          <w:b/>
          <w:bCs/>
          <w:i/>
          <w:iCs/>
        </w:rPr>
        <w:t>quinquies</w:t>
      </w:r>
      <w:r w:rsidR="00351BC4" w:rsidRPr="004A76D6">
        <w:t> - Plattformbetreiber wie in Artikel 321</w:t>
      </w:r>
      <w:r w:rsidR="00351BC4" w:rsidRPr="004A76D6">
        <w:rPr>
          <w:i/>
          <w:iCs/>
        </w:rPr>
        <w:t>quater</w:t>
      </w:r>
      <w:r w:rsidR="00351BC4" w:rsidRPr="004A76D6">
        <w:t xml:space="preserve"> Nr. 4 oder 5 erwähnt müssen der Verwaltung auf deren Ersuchen und auf elektronische Weise alle Informationen und Unterlagen übermitteln, die notwendig sind, um die Einhaltung der Verpflichtungen, die ihnen aufgrund der Artikel 321</w:t>
      </w:r>
      <w:r w:rsidR="00351BC4" w:rsidRPr="004A76D6">
        <w:rPr>
          <w:i/>
          <w:iCs/>
        </w:rPr>
        <w:t>quinquies</w:t>
      </w:r>
      <w:r w:rsidR="00351BC4" w:rsidRPr="004A76D6">
        <w:t xml:space="preserve"> bis 321</w:t>
      </w:r>
      <w:r w:rsidR="00351BC4" w:rsidRPr="004A76D6">
        <w:rPr>
          <w:i/>
          <w:iCs/>
        </w:rPr>
        <w:t>octies</w:t>
      </w:r>
      <w:r w:rsidR="00351BC4" w:rsidRPr="004A76D6">
        <w:t xml:space="preserve"> obliegen, zu überprüfen.</w:t>
      </w:r>
    </w:p>
    <w:p w14:paraId="6EC9BC5A" w14:textId="77777777" w:rsidR="00351BC4" w:rsidRPr="004A76D6" w:rsidRDefault="00351BC4" w:rsidP="00351BC4">
      <w:pPr>
        <w:jc w:val="both"/>
      </w:pPr>
    </w:p>
    <w:p w14:paraId="103A45C5" w14:textId="700EA552" w:rsidR="00AB4DE0" w:rsidRDefault="00351BC4" w:rsidP="00351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r>
      <w:r w:rsidRPr="004A76D6">
        <w:t>Der Plattformbetreiber, der erklärt, ein freigestellter Plattformbetreiber im Sinne von Artikel 321</w:t>
      </w:r>
      <w:r w:rsidRPr="004A76D6">
        <w:rPr>
          <w:i/>
          <w:iCs/>
        </w:rPr>
        <w:t>quater</w:t>
      </w:r>
      <w:r w:rsidRPr="004A76D6">
        <w:t xml:space="preserve"> Nr. 3 zu sein, übermittelt der Verwaltung auf deren Ersuchen und auf elektronische Weise alle Informationen und Unterlagen, die notwendig sind, um zu überprüfen, ob er ein freigestellter Plattformbetreiber im Sinne von Artikel 321</w:t>
      </w:r>
      <w:r w:rsidRPr="004A76D6">
        <w:rPr>
          <w:i/>
          <w:iCs/>
        </w:rPr>
        <w:t>quater</w:t>
      </w:r>
      <w:r w:rsidRPr="004A76D6">
        <w:t xml:space="preserve"> Nr. 3 ist.</w:t>
      </w:r>
      <w:r w:rsidR="00AB4DE0">
        <w:t>]</w:t>
      </w:r>
    </w:p>
    <w:p w14:paraId="166A1A7D" w14:textId="77777777" w:rsidR="00351BC4" w:rsidRDefault="00351BC4" w:rsidP="00351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67F1E56" w14:textId="4E112145" w:rsidR="00351BC4" w:rsidRPr="00351BC4" w:rsidRDefault="00351BC4" w:rsidP="00351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Pr>
          <w:i/>
          <w:iCs/>
        </w:rPr>
        <w:t>[Art. 315quinquies eingefügt durch Art. 36</w:t>
      </w:r>
      <w:r w:rsidRPr="00351BC4">
        <w:rPr>
          <w:i/>
          <w:iCs/>
        </w:rPr>
        <w:t xml:space="preserve"> des G. vom 22. Dezember 2023</w:t>
      </w:r>
      <w:r w:rsidR="00552005" w:rsidRPr="00552005">
        <w:rPr>
          <w:i/>
          <w:iCs/>
        </w:rPr>
        <w:t> (I)</w:t>
      </w:r>
      <w:r w:rsidRPr="00351BC4">
        <w:rPr>
          <w:i/>
          <w:iCs/>
        </w:rPr>
        <w:t xml:space="preserve"> (B.S. vom 29. Dezember 2023)</w:t>
      </w:r>
      <w:r>
        <w:rPr>
          <w:i/>
          <w:iCs/>
        </w:rPr>
        <w:t>]</w:t>
      </w:r>
    </w:p>
    <w:p w14:paraId="4785FADA" w14:textId="77777777" w:rsidR="00AB4DE0" w:rsidRDefault="00AB4DE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301BED" w14:textId="77777777" w:rsidR="00AB4DE0" w:rsidRPr="009118AB" w:rsidRDefault="00AB4DE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A5F68F" w14:textId="043BFB3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316</w:t>
      </w:r>
      <w:r w:rsidR="00D67EB8" w:rsidRPr="009118AB">
        <w:t> - </w:t>
      </w:r>
      <w:r w:rsidRPr="009118AB">
        <w:t xml:space="preserve">Unbeschadet des Rechts der Verwaltung, mündliche Auskünfte anzufragen, ist jede Person, die der Steuer der natürlichen Personen, der Gesellschaftssteuer, der Steuer der juristischen Personen oder der Steuer der Gebietsfremden unterliegt, verpflichtet, auf Ersuchen der Verwaltung innerhalb eines Monats </w:t>
      </w:r>
      <w:r w:rsidR="000E17D1" w:rsidRPr="009118AB">
        <w:t xml:space="preserve">[ab dem dritten Werktag nach Versendung des Antrags] </w:t>
      </w:r>
      <w:r w:rsidRPr="009118AB">
        <w:t>schriftlich alle Auskünfte zu erteilen, die im Hinblick auf die Überprüfung ihrer steuerlichen Lage von ihr verlangt werden; diese Frist kann aus rechtmäßigen Gründen verlängert werden.</w:t>
      </w:r>
    </w:p>
    <w:p w14:paraId="1AF077C9" w14:textId="77777777" w:rsidR="000E17D1" w:rsidRPr="009118AB" w:rsidRDefault="000E17D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6301777" w14:textId="223B1E77" w:rsidR="000E17D1" w:rsidRPr="009118AB" w:rsidRDefault="000E17D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rPr>
        <w:t>[</w:t>
      </w:r>
      <w:r w:rsidR="00D67EB8" w:rsidRPr="009118AB">
        <w:rPr>
          <w:i/>
        </w:rPr>
        <w:t>Art. </w:t>
      </w:r>
      <w:r w:rsidRPr="009118AB">
        <w:rPr>
          <w:i/>
        </w:rPr>
        <w:t xml:space="preserve">316 abgeändert durch </w:t>
      </w:r>
      <w:r w:rsidR="00D67EB8" w:rsidRPr="009118AB">
        <w:rPr>
          <w:i/>
        </w:rPr>
        <w:t>Art. </w:t>
      </w:r>
      <w:r w:rsidRPr="009118AB">
        <w:rPr>
          <w:i/>
        </w:rPr>
        <w:t>6 des G. vom 19. Mai 2010 (B.S. vom 28. Mai 2010)]</w:t>
      </w:r>
    </w:p>
    <w:p w14:paraId="31038149" w14:textId="6E839539" w:rsidR="00E3157B" w:rsidRPr="009118AB" w:rsidRDefault="00E3157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00A564" w14:textId="38D5C692" w:rsidR="00E3157B" w:rsidRPr="009118AB" w:rsidRDefault="00E3157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39D48C9" w14:textId="7FCE35C2" w:rsidR="006A2F73" w:rsidRPr="006A2F73" w:rsidRDefault="006A2F73" w:rsidP="006A2F73">
      <w:pPr>
        <w:autoSpaceDE w:val="0"/>
        <w:autoSpaceDN w:val="0"/>
        <w:adjustRightInd w:val="0"/>
        <w:jc w:val="both"/>
        <w:rPr>
          <w:iCs/>
          <w:sz w:val="20"/>
          <w:szCs w:val="20"/>
        </w:rPr>
      </w:pPr>
      <w:r w:rsidRPr="006A2F73">
        <w:rPr>
          <w:iCs/>
          <w:sz w:val="20"/>
          <w:szCs w:val="20"/>
        </w:rPr>
        <w:t xml:space="preserve">Ab einem gemäß Art. 222 des G. vom 12. Mai 2024 (B.S. vom 30. Mai 2024) vom König festzulegenden Datum und spätestens am 1. Januar 2028 </w:t>
      </w:r>
      <w:r>
        <w:rPr>
          <w:iCs/>
          <w:sz w:val="20"/>
          <w:szCs w:val="20"/>
        </w:rPr>
        <w:t>lautet</w:t>
      </w:r>
      <w:r w:rsidRPr="006A2F73">
        <w:rPr>
          <w:iCs/>
          <w:sz w:val="20"/>
          <w:szCs w:val="20"/>
        </w:rPr>
        <w:t xml:space="preserve"> Art</w:t>
      </w:r>
      <w:r>
        <w:rPr>
          <w:iCs/>
          <w:sz w:val="20"/>
          <w:szCs w:val="20"/>
        </w:rPr>
        <w:t>.</w:t>
      </w:r>
      <w:r w:rsidRPr="006A2F73">
        <w:rPr>
          <w:iCs/>
          <w:sz w:val="20"/>
          <w:szCs w:val="20"/>
        </w:rPr>
        <w:t> 3</w:t>
      </w:r>
      <w:r>
        <w:rPr>
          <w:iCs/>
          <w:sz w:val="20"/>
          <w:szCs w:val="20"/>
        </w:rPr>
        <w:t>16 wie folgt</w:t>
      </w:r>
      <w:r w:rsidRPr="006A2F73">
        <w:rPr>
          <w:iCs/>
          <w:sz w:val="20"/>
          <w:szCs w:val="20"/>
        </w:rPr>
        <w:t>:</w:t>
      </w:r>
    </w:p>
    <w:p w14:paraId="63FE049C" w14:textId="77777777" w:rsidR="006A2F73" w:rsidRPr="006A2F73" w:rsidRDefault="006A2F73" w:rsidP="006A2F73">
      <w:pPr>
        <w:autoSpaceDE w:val="0"/>
        <w:autoSpaceDN w:val="0"/>
        <w:adjustRightInd w:val="0"/>
        <w:jc w:val="both"/>
        <w:rPr>
          <w:iCs/>
          <w:sz w:val="20"/>
          <w:szCs w:val="20"/>
        </w:rPr>
      </w:pPr>
    </w:p>
    <w:p w14:paraId="19528B84" w14:textId="0CA6B59C" w:rsidR="006A2F73" w:rsidRPr="006A2F73" w:rsidRDefault="006A2F73" w:rsidP="006A2F73">
      <w:pPr>
        <w:autoSpaceDE w:val="0"/>
        <w:autoSpaceDN w:val="0"/>
        <w:adjustRightInd w:val="0"/>
        <w:jc w:val="both"/>
        <w:rPr>
          <w:iCs/>
          <w:sz w:val="20"/>
          <w:szCs w:val="20"/>
        </w:rPr>
      </w:pPr>
      <w:r w:rsidRPr="006A2F73">
        <w:rPr>
          <w:iCs/>
          <w:sz w:val="20"/>
          <w:szCs w:val="20"/>
        </w:rPr>
        <w:t xml:space="preserve">"Art. 316 - Unbeschadet des Rechts der Verwaltung, mündliche Auskünfte anzufragen, ist jede Person, die der Steuer der natürlichen Personen, der Gesellschaftssteuer, der Steuer der juristischen Personen oder der Steuer der Gebietsfremden unterliegt, verpflichtet, auf Ersuchen der Verwaltung innerhalb eines Monats [ab dem dritten Werktag </w:t>
      </w:r>
      <w:r>
        <w:rPr>
          <w:iCs/>
          <w:sz w:val="20"/>
          <w:szCs w:val="20"/>
        </w:rPr>
        <w:t>[</w:t>
      </w:r>
      <w:r w:rsidRPr="006A2F73">
        <w:rPr>
          <w:iCs/>
          <w:sz w:val="20"/>
          <w:szCs w:val="20"/>
        </w:rPr>
        <w:t xml:space="preserve">nach </w:t>
      </w:r>
      <w:r>
        <w:rPr>
          <w:iCs/>
          <w:sz w:val="20"/>
          <w:szCs w:val="20"/>
        </w:rPr>
        <w:t>Übermittlung</w:t>
      </w:r>
      <w:r w:rsidRPr="006A2F73">
        <w:rPr>
          <w:iCs/>
          <w:sz w:val="20"/>
          <w:szCs w:val="20"/>
        </w:rPr>
        <w:t xml:space="preserve"> des Antrags</w:t>
      </w:r>
      <w:r>
        <w:rPr>
          <w:iCs/>
          <w:sz w:val="20"/>
          <w:szCs w:val="20"/>
        </w:rPr>
        <w:t>]</w:t>
      </w:r>
      <w:r w:rsidRPr="006A2F73">
        <w:rPr>
          <w:iCs/>
          <w:sz w:val="20"/>
          <w:szCs w:val="20"/>
        </w:rPr>
        <w:t>] schriftlich alle Auskünfte zu erteilen, die im Hinblick auf die Überprüfung ihrer steuerlichen Lage von ihr verlangt werden; diese Frist kann aus rechtmäßigen Gründen verlängert werden.</w:t>
      </w:r>
    </w:p>
    <w:p w14:paraId="0EBF0E4A" w14:textId="77777777" w:rsidR="006A2F73" w:rsidRDefault="006A2F73" w:rsidP="006A2F73">
      <w:pPr>
        <w:autoSpaceDE w:val="0"/>
        <w:autoSpaceDN w:val="0"/>
        <w:adjustRightInd w:val="0"/>
        <w:jc w:val="both"/>
        <w:rPr>
          <w:iCs/>
          <w:sz w:val="20"/>
          <w:szCs w:val="20"/>
        </w:rPr>
      </w:pPr>
    </w:p>
    <w:p w14:paraId="08156A0C" w14:textId="6E05B02F" w:rsidR="006B3414" w:rsidRDefault="006B3414" w:rsidP="006A2F73">
      <w:pPr>
        <w:autoSpaceDE w:val="0"/>
        <w:autoSpaceDN w:val="0"/>
        <w:adjustRightInd w:val="0"/>
        <w:jc w:val="both"/>
        <w:rPr>
          <w:iCs/>
          <w:sz w:val="20"/>
          <w:szCs w:val="20"/>
        </w:rPr>
      </w:pPr>
      <w:r>
        <w:rPr>
          <w:iCs/>
          <w:sz w:val="20"/>
          <w:szCs w:val="20"/>
        </w:rPr>
        <w:t>[…]</w:t>
      </w:r>
    </w:p>
    <w:p w14:paraId="4EB3B832" w14:textId="77777777" w:rsidR="006B3414" w:rsidRPr="006A2F73" w:rsidRDefault="006B3414" w:rsidP="006A2F73">
      <w:pPr>
        <w:autoSpaceDE w:val="0"/>
        <w:autoSpaceDN w:val="0"/>
        <w:adjustRightInd w:val="0"/>
        <w:jc w:val="both"/>
        <w:rPr>
          <w:iCs/>
          <w:sz w:val="20"/>
          <w:szCs w:val="20"/>
        </w:rPr>
      </w:pPr>
    </w:p>
    <w:p w14:paraId="5293DD5C" w14:textId="75C5AA77" w:rsidR="006A2F73" w:rsidRPr="006A2F73" w:rsidRDefault="006A2F73" w:rsidP="006A2F73">
      <w:pPr>
        <w:autoSpaceDE w:val="0"/>
        <w:autoSpaceDN w:val="0"/>
        <w:adjustRightInd w:val="0"/>
        <w:jc w:val="both"/>
        <w:rPr>
          <w:sz w:val="20"/>
          <w:szCs w:val="20"/>
        </w:rPr>
      </w:pPr>
      <w:r w:rsidRPr="00F62621">
        <w:rPr>
          <w:i/>
          <w:iCs/>
          <w:sz w:val="20"/>
          <w:szCs w:val="20"/>
        </w:rPr>
        <w:t>[Art. 316 abgeändert durch Art. 6 des G. vom 19. Mai 2010 (B.S. vom 28. Mai 2010), Art. 22 Nr. 1 des G. vom 26. Januar 2021 (B.S. vom 10. Februar 2021) - in Kraft am 1. Januar 2025 -, selbst aufgehoben durch Art. 213 des G. vom 12. Mai 2024 (B.S. vom 30. Mai 2024), und durch Art. 23 des G. vom 12. Mai 2024 (B.S. vom 30. Mai 2024) - </w:t>
      </w:r>
      <w:r w:rsidR="00421C66" w:rsidRPr="00F62621">
        <w:rPr>
          <w:i/>
          <w:iCs/>
          <w:sz w:val="20"/>
          <w:szCs w:val="20"/>
        </w:rPr>
        <w:t xml:space="preserve">in Kraft für alle oder bestimmte Kategorien von Inhabern einer Unternehmensnummer sowie für natürliche Personen an dem jeweils vom König festzulegenden Datum und spätestens am </w:t>
      </w:r>
      <w:r w:rsidR="00CC23FF" w:rsidRPr="00F62621">
        <w:rPr>
          <w:i/>
          <w:iCs/>
          <w:sz w:val="20"/>
          <w:szCs w:val="20"/>
        </w:rPr>
        <w:t>1. Januar 2028 </w:t>
      </w:r>
      <w:r w:rsidRPr="00F62621">
        <w:rPr>
          <w:i/>
          <w:iCs/>
          <w:sz w:val="20"/>
          <w:szCs w:val="20"/>
        </w:rPr>
        <w:t xml:space="preserve">-; </w:t>
      </w:r>
      <w:r w:rsidR="006B3414" w:rsidRPr="00F62621">
        <w:rPr>
          <w:i/>
          <w:iCs/>
          <w:sz w:val="20"/>
          <w:szCs w:val="20"/>
        </w:rPr>
        <w:t xml:space="preserve">früherer </w:t>
      </w:r>
      <w:r w:rsidRPr="00F62621">
        <w:rPr>
          <w:i/>
          <w:iCs/>
          <w:sz w:val="20"/>
          <w:szCs w:val="20"/>
        </w:rPr>
        <w:t>Abs</w:t>
      </w:r>
      <w:r w:rsidR="006B3414" w:rsidRPr="00F62621">
        <w:rPr>
          <w:i/>
          <w:iCs/>
          <w:sz w:val="20"/>
          <w:szCs w:val="20"/>
        </w:rPr>
        <w:t>atz</w:t>
      </w:r>
      <w:r w:rsidRPr="00F62621">
        <w:rPr>
          <w:i/>
          <w:iCs/>
          <w:sz w:val="20"/>
          <w:szCs w:val="20"/>
        </w:rPr>
        <w:t> 2 eingefügt durch Art. 22 Nr. 2 des G. vom 26. Januar 2021 (B.S. vom 10. Februar 2021) - in Kraft am 1. Januar 2025 -, selbst aufgehoben durch Art. 213 des G. vom 12. Mai 2024 (B.S. vom 30. Mai 2024)]</w:t>
      </w:r>
      <w:r w:rsidRPr="00F62621">
        <w:rPr>
          <w:sz w:val="20"/>
          <w:szCs w:val="20"/>
        </w:rPr>
        <w:t>"</w:t>
      </w:r>
    </w:p>
    <w:p w14:paraId="2303BA5A" w14:textId="0DA00045" w:rsidR="006A2F73" w:rsidRPr="006A2F73" w:rsidRDefault="006A2F73" w:rsidP="006A2F73">
      <w:pPr>
        <w:autoSpaceDE w:val="0"/>
        <w:autoSpaceDN w:val="0"/>
        <w:adjustRightInd w:val="0"/>
        <w:jc w:val="both"/>
        <w:rPr>
          <w:iCs/>
          <w:sz w:val="20"/>
          <w:szCs w:val="20"/>
        </w:rPr>
      </w:pPr>
    </w:p>
    <w:p w14:paraId="13D1295A" w14:textId="170B2B37" w:rsidR="00351BC4" w:rsidRDefault="00351BC4"/>
    <w:p w14:paraId="19FB620D" w14:textId="7FF9236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317</w:t>
      </w:r>
      <w:r w:rsidR="00D67EB8" w:rsidRPr="009118AB">
        <w:t> - </w:t>
      </w:r>
      <w:r w:rsidRPr="009118AB">
        <w:t>In den Artikeln 315 Absatz 1 und 2[, 315</w:t>
      </w:r>
      <w:r w:rsidRPr="009118AB">
        <w:rPr>
          <w:i/>
          <w:iCs/>
        </w:rPr>
        <w:t>bis</w:t>
      </w:r>
      <w:r w:rsidRPr="009118AB">
        <w:t xml:space="preserve"> Absatz 1 bis 3]</w:t>
      </w:r>
      <w:r w:rsidR="004652C9" w:rsidRPr="009118AB">
        <w:t>[, 315</w:t>
      </w:r>
      <w:r w:rsidR="004652C9" w:rsidRPr="009118AB">
        <w:rPr>
          <w:i/>
        </w:rPr>
        <w:t>ter</w:t>
      </w:r>
      <w:r w:rsidR="004652C9" w:rsidRPr="009118AB">
        <w:t>]</w:t>
      </w:r>
      <w:r w:rsidRPr="009118AB">
        <w:t xml:space="preserve"> und 316 erwähnte Überprüfungen und Auskunftsersuchen dürfen alle Verrichtungen betreffen, an denen der Steuerpflichtige beteiligt war, und derart eingeholte Auskünfte können ebenfalls im Hinblick auf die Veranlagung Dritter geltend gemacht werden.</w:t>
      </w:r>
    </w:p>
    <w:p w14:paraId="5BED507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347A23" w14:textId="6E6E3C0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317 abgeändert durch </w:t>
      </w:r>
      <w:r w:rsidR="00D67EB8" w:rsidRPr="009118AB">
        <w:rPr>
          <w:i/>
          <w:iCs/>
        </w:rPr>
        <w:t>Art. </w:t>
      </w:r>
      <w:r w:rsidRPr="009118AB">
        <w:rPr>
          <w:i/>
          <w:iCs/>
        </w:rPr>
        <w:t>54 des G. vom 6. Juli 1994 (B.S. vom 16. Juli 1994)</w:t>
      </w:r>
      <w:r w:rsidR="00D67EB8" w:rsidRPr="009118AB">
        <w:rPr>
          <w:i/>
          <w:iCs/>
        </w:rPr>
        <w:t> - </w:t>
      </w:r>
      <w:r w:rsidRPr="009118AB">
        <w:rPr>
          <w:i/>
          <w:iCs/>
        </w:rPr>
        <w:t>in Kraft ab dem 16. Juli 1994</w:t>
      </w:r>
      <w:r w:rsidR="00D67EB8" w:rsidRPr="009118AB">
        <w:rPr>
          <w:i/>
          <w:iCs/>
        </w:rPr>
        <w:t> - </w:t>
      </w:r>
      <w:r w:rsidR="004652C9" w:rsidRPr="009118AB">
        <w:rPr>
          <w:i/>
          <w:iCs/>
        </w:rPr>
        <w:t xml:space="preserve">und </w:t>
      </w:r>
      <w:r w:rsidR="00D67EB8" w:rsidRPr="009118AB">
        <w:rPr>
          <w:i/>
          <w:iCs/>
        </w:rPr>
        <w:t>Art. </w:t>
      </w:r>
      <w:r w:rsidR="004652C9" w:rsidRPr="009118AB">
        <w:rPr>
          <w:i/>
          <w:iCs/>
        </w:rPr>
        <w:t xml:space="preserve">25 des G. vom 21. Dezember 2013 (II) (B.S. vom </w:t>
      </w:r>
      <w:r w:rsidR="004665BC" w:rsidRPr="009118AB">
        <w:rPr>
          <w:i/>
          <w:iCs/>
        </w:rPr>
        <w:t>31. Dezember 2013</w:t>
      </w:r>
      <w:r w:rsidR="004652C9" w:rsidRPr="009118AB">
        <w:rPr>
          <w:i/>
          <w:iCs/>
        </w:rPr>
        <w:t>)</w:t>
      </w:r>
      <w:r w:rsidRPr="009118AB">
        <w:rPr>
          <w:i/>
          <w:iCs/>
        </w:rPr>
        <w:t>]</w:t>
      </w:r>
    </w:p>
    <w:p w14:paraId="0A3E5E3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B0509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10CC69" w14:textId="42293F9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318</w:t>
      </w:r>
      <w:r w:rsidR="00D67EB8" w:rsidRPr="009118AB">
        <w:t> - </w:t>
      </w:r>
      <w:r w:rsidRPr="009118AB">
        <w:t xml:space="preserve">[In Abweichung von den Bestimmungen von Artikel 317 und unbeschadet der Anwendung </w:t>
      </w:r>
      <w:r w:rsidR="00516A33" w:rsidRPr="009118AB">
        <w:t>[</w:t>
      </w:r>
      <w:r w:rsidRPr="009118AB">
        <w:t>der Artikel 315, 315</w:t>
      </w:r>
      <w:r w:rsidRPr="009118AB">
        <w:rPr>
          <w:i/>
          <w:iCs/>
        </w:rPr>
        <w:t>bis</w:t>
      </w:r>
      <w:r w:rsidR="00516A33" w:rsidRPr="009118AB">
        <w:t>, 315</w:t>
      </w:r>
      <w:r w:rsidR="00516A33" w:rsidRPr="009118AB">
        <w:rPr>
          <w:i/>
        </w:rPr>
        <w:t>ter</w:t>
      </w:r>
      <w:r w:rsidR="00516A33" w:rsidRPr="009118AB">
        <w:t xml:space="preserve"> </w:t>
      </w:r>
      <w:r w:rsidRPr="009118AB">
        <w:t>und 316</w:t>
      </w:r>
      <w:r w:rsidR="00516A33" w:rsidRPr="009118AB">
        <w:t>]</w:t>
      </w:r>
      <w:r w:rsidRPr="009118AB">
        <w:t xml:space="preserve"> ist die Verwaltung nicht ermächtigt, in den Konten, Büchern und Unterlagen von Bank-, Wechsel-, Kredit- und Sparinstituten Auskünfte im Hinblick auf die Veranlagung deren Kunden einzuholen.</w:t>
      </w:r>
    </w:p>
    <w:p w14:paraId="277E8EE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3D9EB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Hat jedoch eine auf der Grundlage </w:t>
      </w:r>
      <w:r w:rsidR="00633F01" w:rsidRPr="009118AB">
        <w:t>[</w:t>
      </w:r>
      <w:r w:rsidRPr="009118AB">
        <w:t>der Artikel 315, 315</w:t>
      </w:r>
      <w:r w:rsidRPr="009118AB">
        <w:rPr>
          <w:i/>
          <w:iCs/>
        </w:rPr>
        <w:t>bis</w:t>
      </w:r>
      <w:r w:rsidR="00516A33" w:rsidRPr="009118AB">
        <w:t>, 315</w:t>
      </w:r>
      <w:r w:rsidR="00516A33" w:rsidRPr="009118AB">
        <w:rPr>
          <w:i/>
        </w:rPr>
        <w:t>ter</w:t>
      </w:r>
      <w:r w:rsidR="00516A33" w:rsidRPr="009118AB">
        <w:t xml:space="preserve"> </w:t>
      </w:r>
      <w:r w:rsidRPr="009118AB">
        <w:t>und 316</w:t>
      </w:r>
      <w:r w:rsidR="00633F01" w:rsidRPr="009118AB">
        <w:t>]</w:t>
      </w:r>
      <w:r w:rsidRPr="009118AB">
        <w:t xml:space="preserve"> durchgeführte Untersuchung konkrete Elemente ans Licht gebracht, die das Bestehen oder die Vorbereitung eines Steuerhinterziehungsmechanismus vermuten lassen können, kann [der zu diesem Zweck vom Minister der Finanzen bestimmte Beamte] einen Beamten </w:t>
      </w:r>
      <w:r w:rsidR="00595B4C" w:rsidRPr="009118AB">
        <w:t>[mit mindestens dem Titel eines Attachés]</w:t>
      </w:r>
      <w:r w:rsidRPr="009118AB">
        <w:t xml:space="preserve"> damit beauftragen, in den Konten, Büchern und Unterlagen des Instituts Auskünfte zu sammeln, die es ermöglichen, die Untersuchung zu vervollständigen und die von diesem Kunden geschuldeten Steuern festzulegen.]</w:t>
      </w:r>
    </w:p>
    <w:p w14:paraId="7FFFC2E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1E4F6A1" w14:textId="683754A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318 ersetzt durch </w:t>
      </w:r>
      <w:r w:rsidR="00D67EB8" w:rsidRPr="009118AB">
        <w:rPr>
          <w:i/>
          <w:iCs/>
        </w:rPr>
        <w:t>Art. </w:t>
      </w:r>
      <w:r w:rsidRPr="009118AB">
        <w:rPr>
          <w:i/>
          <w:iCs/>
        </w:rPr>
        <w:t>41 des K.E. vom 20. Dezember 1996 (B.S. vom 31. Dezember 1996)</w:t>
      </w:r>
      <w:r w:rsidR="00D67EB8" w:rsidRPr="009118AB">
        <w:rPr>
          <w:i/>
          <w:iCs/>
        </w:rPr>
        <w:t> - </w:t>
      </w:r>
      <w:r w:rsidRPr="009118AB">
        <w:rPr>
          <w:i/>
          <w:iCs/>
        </w:rPr>
        <w:t>anwendbar auf Verfahrenshandlung</w:t>
      </w:r>
      <w:r w:rsidR="0023217A" w:rsidRPr="009118AB">
        <w:rPr>
          <w:i/>
          <w:iCs/>
        </w:rPr>
        <w:t>en, die sich auf das Steuerjahr 1</w:t>
      </w:r>
      <w:r w:rsidRPr="009118AB">
        <w:rPr>
          <w:i/>
          <w:iCs/>
        </w:rPr>
        <w:t>997 und folgende beziehen</w:t>
      </w:r>
      <w:r w:rsidR="003366D9" w:rsidRPr="009118AB">
        <w:rPr>
          <w:i/>
          <w:iCs/>
        </w:rPr>
        <w:t> -;</w:t>
      </w:r>
      <w:r w:rsidRPr="009118AB">
        <w:rPr>
          <w:i/>
          <w:iCs/>
        </w:rPr>
        <w:t xml:space="preserve"> </w:t>
      </w:r>
      <w:r w:rsidR="00D67EB8" w:rsidRPr="009118AB">
        <w:rPr>
          <w:i/>
          <w:iCs/>
        </w:rPr>
        <w:t>Abs. </w:t>
      </w:r>
      <w:r w:rsidR="00516A33" w:rsidRPr="009118AB">
        <w:rPr>
          <w:i/>
          <w:iCs/>
        </w:rPr>
        <w:t xml:space="preserve">1 abgeändert durch </w:t>
      </w:r>
      <w:r w:rsidR="00D67EB8" w:rsidRPr="009118AB">
        <w:rPr>
          <w:i/>
          <w:iCs/>
        </w:rPr>
        <w:t>Art. </w:t>
      </w:r>
      <w:r w:rsidR="00516A33" w:rsidRPr="009118AB">
        <w:rPr>
          <w:i/>
          <w:iCs/>
        </w:rPr>
        <w:t xml:space="preserve">26 des G. vom 21. Dezember 2013 (II) (B.S. vom </w:t>
      </w:r>
      <w:r w:rsidR="000C37FA" w:rsidRPr="009118AB">
        <w:rPr>
          <w:i/>
          <w:iCs/>
        </w:rPr>
        <w:t>31. Dezember 2013</w:t>
      </w:r>
      <w:r w:rsidR="00516A33" w:rsidRPr="009118AB">
        <w:rPr>
          <w:i/>
          <w:iCs/>
        </w:rPr>
        <w:t>)</w:t>
      </w:r>
      <w:r w:rsidR="00651F3A"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2 des G. vom 20. Juli 2006 (I) (B.S. vom 28. Juli 2006)</w:t>
      </w:r>
      <w:r w:rsidR="00595B4C" w:rsidRPr="009118AB">
        <w:rPr>
          <w:i/>
          <w:iCs/>
        </w:rPr>
        <w:t>,</w:t>
      </w:r>
      <w:r w:rsidR="00516A33" w:rsidRPr="009118AB">
        <w:rPr>
          <w:i/>
          <w:iCs/>
        </w:rPr>
        <w:t xml:space="preserve"> </w:t>
      </w:r>
      <w:r w:rsidR="00D67EB8" w:rsidRPr="009118AB">
        <w:rPr>
          <w:i/>
          <w:iCs/>
        </w:rPr>
        <w:t>Art. </w:t>
      </w:r>
      <w:r w:rsidR="00516A33" w:rsidRPr="009118AB">
        <w:rPr>
          <w:i/>
          <w:iCs/>
        </w:rPr>
        <w:t xml:space="preserve">26 des G. vom 21. Dezember 2013 (II) (B.S. vom </w:t>
      </w:r>
      <w:r w:rsidR="000C37FA" w:rsidRPr="009118AB">
        <w:rPr>
          <w:i/>
          <w:iCs/>
        </w:rPr>
        <w:t>31. Dezember 2013</w:t>
      </w:r>
      <w:r w:rsidR="00516A33" w:rsidRPr="009118AB">
        <w:rPr>
          <w:i/>
          <w:iCs/>
        </w:rPr>
        <w:t>)</w:t>
      </w:r>
      <w:r w:rsidR="00595B4C" w:rsidRPr="009118AB">
        <w:rPr>
          <w:i/>
          <w:iCs/>
        </w:rPr>
        <w:t xml:space="preserve"> und </w:t>
      </w:r>
      <w:r w:rsidR="00D67EB8" w:rsidRPr="009118AB">
        <w:rPr>
          <w:i/>
          <w:iCs/>
        </w:rPr>
        <w:t>Art. </w:t>
      </w:r>
      <w:r w:rsidR="00595B4C" w:rsidRPr="009118AB">
        <w:rPr>
          <w:i/>
          <w:iCs/>
        </w:rPr>
        <w:t>2 des G. vom 27. April 2016 (B.S. vom 6. Mai 2016)</w:t>
      </w:r>
      <w:r w:rsidRPr="009118AB">
        <w:rPr>
          <w:i/>
          <w:iCs/>
        </w:rPr>
        <w:t>]</w:t>
      </w:r>
    </w:p>
    <w:p w14:paraId="17D648BF" w14:textId="77777777" w:rsidR="00516A33" w:rsidRPr="009118AB" w:rsidRDefault="00516A3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B17B17" w14:textId="77777777" w:rsidR="00516A33" w:rsidRPr="009118AB" w:rsidRDefault="00516A3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CBE192" w14:textId="0DECA8F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319</w:t>
      </w:r>
      <w:r w:rsidR="00D67EB8" w:rsidRPr="009118AB">
        <w:t> - </w:t>
      </w:r>
      <w:r w:rsidR="00942F31" w:rsidRPr="009118AB">
        <w:t xml:space="preserve">[Natürliche oder juristische Personen müssen Bediensteten der </w:t>
      </w:r>
      <w:r w:rsidR="008412A6" w:rsidRPr="009118AB">
        <w:t>[mit der Festlegung der Einkommensteuern beauftragten Verwaltung]</w:t>
      </w:r>
      <w:r w:rsidR="00942F31" w:rsidRPr="009118AB">
        <w:t>, die im Besitz ihrer Legitimation sind und damit beauftragt sind, eine Kontrolle oder Untersuchung in Bezug auf die Anwendung der Einkommensteuern durchzuführen, freien Zugang zu den beruflich genutzten Räumen beziehungsweise zu den Räumen, wo juristische Personen ihre Tätigkeiten ausüben, wie Büros, Fabriken, Betriebe, Werkstätten, Lagerräume, Depots und Garagen, oder zu ihren als Betriebe, Werkstätten oder Warenlager dienenden Grundstücken zu allen Uhrzeiten, zu denen dort eine Tätigkeit aus</w:t>
      </w:r>
      <w:r w:rsidR="00942F31" w:rsidRPr="009118AB">
        <w:softHyphen/>
        <w:t>geübt wird, gewähren, damit diese Bediensteten einerseits Art und Umfang der betreffenden Tätigkeit feststellen können und Vorhandensein, Art und Menge von Waren und Gegen</w:t>
      </w:r>
      <w:r w:rsidR="00942F31" w:rsidRPr="009118AB">
        <w:softHyphen/>
        <w:t>ständen jeglicher Art überprüfen können, die diese Personen dort besitzen oder aus gleich welchem Grund halten, einschließlich der Betriebs</w:t>
      </w:r>
      <w:r w:rsidR="00942F31" w:rsidRPr="009118AB">
        <w:noBreakHyphen/>
        <w:t xml:space="preserve"> und Beförderungsmittel, und damit sie andererseits alle in vorerwähnten Räumen befindlichen Bücher und Unterlagen prüfen können.]</w:t>
      </w:r>
    </w:p>
    <w:p w14:paraId="51996B11" w14:textId="77777777" w:rsidR="00942F31" w:rsidRPr="009118AB" w:rsidRDefault="00942F3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5AD3A8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Die Bediensteten der </w:t>
      </w:r>
      <w:r w:rsidR="008412A6" w:rsidRPr="009118AB">
        <w:t>[mit der Festlegung der Einkommensteuern beauftragten Verwaltung]</w:t>
      </w:r>
      <w:r w:rsidRPr="009118AB">
        <w:t>, die im Besitz ihrer Legitimation sind, dürfen, wenn sie denselben Auftrag haben, freien Zugang zu allen anderen Räumlichkeiten, Gebäuden, Werkstätten oder Grundstücken verlangen, die nicht in Absatz 1 erwähnt sind und wo Tätigkeiten ausgeübt oder vermutlich ausgeübt werden. Sie dürfen bewohnte Gebäude oder Räumlichkeiten jedoch nur zwischen fünf Uhr morgens und neun Uhr abends und ausschließlich mit Ermächtigung des Polizeirichters betreten.</w:t>
      </w:r>
    </w:p>
    <w:p w14:paraId="61AB0E3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A4DC852" w14:textId="78687BA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[Vorerwähnte Bedienstete, die im Besitz ihrer Legitimation sind, dürfen anhand der benutzten Ausrüstung und mit Hilfe der in Artikel 315</w:t>
      </w:r>
      <w:r w:rsidRPr="009118AB">
        <w:rPr>
          <w:i/>
          <w:iCs/>
        </w:rPr>
        <w:t>bis</w:t>
      </w:r>
      <w:r w:rsidRPr="009118AB">
        <w:t xml:space="preserve"> Absatz 3 erwähnten Personen die Zu</w:t>
      </w:r>
      <w:r w:rsidR="007B11CE" w:rsidRPr="009118AB">
        <w:softHyphen/>
      </w:r>
      <w:r w:rsidRPr="009118AB">
        <w:t>verlässigkeit der computergestützten Informationen, Daten und Verarbeitungen prüfen, wobei sie insbesondere die Bereitstellung von Unterlagen verlangen können, die eigens erstellt werden, um die auf Datenträger gespeicherten Daten in lesbare und verständliche Form umzusetzen.]</w:t>
      </w:r>
    </w:p>
    <w:p w14:paraId="150AD84B"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A247B7" w14:textId="7B56B260" w:rsidR="00A71ECF" w:rsidRDefault="00A71EC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t>[…]</w:t>
      </w:r>
    </w:p>
    <w:p w14:paraId="2C9D99AA" w14:textId="77777777" w:rsidR="00A71ECF" w:rsidRPr="009118AB" w:rsidRDefault="00A71EC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187B4D" w14:textId="7F8FDDF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319</w:t>
      </w:r>
      <w:r w:rsidR="00942F31" w:rsidRPr="009118AB">
        <w:rPr>
          <w:i/>
          <w:iCs/>
        </w:rPr>
        <w:t xml:space="preserve"> </w:t>
      </w:r>
      <w:r w:rsidR="00D67EB8" w:rsidRPr="009118AB">
        <w:rPr>
          <w:i/>
          <w:iCs/>
        </w:rPr>
        <w:t>Abs. </w:t>
      </w:r>
      <w:r w:rsidR="00942F31" w:rsidRPr="009118AB">
        <w:rPr>
          <w:i/>
          <w:iCs/>
        </w:rPr>
        <w:t xml:space="preserve">1 ersetzt durch </w:t>
      </w:r>
      <w:r w:rsidR="00D67EB8" w:rsidRPr="009118AB">
        <w:rPr>
          <w:i/>
          <w:iCs/>
        </w:rPr>
        <w:t>Art. </w:t>
      </w:r>
      <w:r w:rsidR="00942F31" w:rsidRPr="009118AB">
        <w:rPr>
          <w:i/>
          <w:iCs/>
        </w:rPr>
        <w:t>11</w:t>
      </w:r>
      <w:r w:rsidR="00942F31" w:rsidRPr="009118AB">
        <w:rPr>
          <w:i/>
        </w:rPr>
        <w:t xml:space="preserve"> des G. vom 19. Mai 2010 (B.S. vom 28. Mai 2010)</w:t>
      </w:r>
      <w:r w:rsidR="00D05826" w:rsidRPr="009118AB">
        <w:rPr>
          <w:i/>
        </w:rPr>
        <w:t xml:space="preserve"> und</w:t>
      </w:r>
      <w:r w:rsidR="00D05826" w:rsidRPr="009118AB">
        <w:rPr>
          <w:i/>
          <w:iCs/>
        </w:rPr>
        <w:t xml:space="preserve"> abgeändert durch </w:t>
      </w:r>
      <w:r w:rsidR="00D67EB8" w:rsidRPr="009118AB">
        <w:rPr>
          <w:i/>
          <w:iCs/>
        </w:rPr>
        <w:t>Art. </w:t>
      </w:r>
      <w:r w:rsidR="00D05826" w:rsidRPr="009118AB">
        <w:rPr>
          <w:i/>
          <w:iCs/>
        </w:rPr>
        <w:t>11 des G. vom 25. April 2014 (I) (B.S. vom 16. Mai 2014)</w:t>
      </w:r>
      <w:r w:rsidR="00D67EB8" w:rsidRPr="009118AB">
        <w:rPr>
          <w:i/>
          <w:iCs/>
        </w:rPr>
        <w:t> - </w:t>
      </w:r>
      <w:r w:rsidR="00D05826" w:rsidRPr="009118AB">
        <w:rPr>
          <w:i/>
          <w:iCs/>
        </w:rPr>
        <w:t>in Kraft am 16. Mai 2014</w:t>
      </w:r>
      <w:r w:rsidR="003366D9" w:rsidRPr="009118AB">
        <w:rPr>
          <w:i/>
          <w:iCs/>
        </w:rPr>
        <w:t> -;</w:t>
      </w:r>
      <w:r w:rsidRPr="009118AB">
        <w:rPr>
          <w:i/>
          <w:iCs/>
        </w:rPr>
        <w:t xml:space="preserve"> </w:t>
      </w:r>
      <w:r w:rsidR="00D67EB8" w:rsidRPr="009118AB">
        <w:rPr>
          <w:i/>
          <w:iCs/>
        </w:rPr>
        <w:t>Abs. </w:t>
      </w:r>
      <w:r w:rsidR="00D05826" w:rsidRPr="009118AB">
        <w:rPr>
          <w:i/>
          <w:iCs/>
        </w:rPr>
        <w:t xml:space="preserve">2 abgeändert durch </w:t>
      </w:r>
      <w:r w:rsidR="00D67EB8" w:rsidRPr="009118AB">
        <w:rPr>
          <w:i/>
          <w:iCs/>
        </w:rPr>
        <w:t>Art. </w:t>
      </w:r>
      <w:r w:rsidR="00D05826" w:rsidRPr="009118AB">
        <w:rPr>
          <w:i/>
          <w:iCs/>
        </w:rPr>
        <w:t>11 des G. vom 25. April 2014 (I) (B.S. vom 16. Mai 2014)</w:t>
      </w:r>
      <w:r w:rsidR="00D67EB8" w:rsidRPr="009118AB">
        <w:rPr>
          <w:i/>
          <w:iCs/>
        </w:rPr>
        <w:t> - </w:t>
      </w:r>
      <w:r w:rsidR="00D05826" w:rsidRPr="009118AB">
        <w:rPr>
          <w:i/>
          <w:iCs/>
        </w:rPr>
        <w:t>in Kraft am 16. Mai 2014</w:t>
      </w:r>
      <w:r w:rsidR="003366D9" w:rsidRPr="009118AB">
        <w:rPr>
          <w:i/>
          <w:iCs/>
        </w:rPr>
        <w:t> -;</w:t>
      </w:r>
      <w:r w:rsidR="00D05826" w:rsidRPr="009118AB">
        <w:rPr>
          <w:i/>
          <w:iCs/>
        </w:rPr>
        <w:t xml:space="preserve"> </w:t>
      </w:r>
      <w:r w:rsidR="00D67EB8" w:rsidRPr="009118AB">
        <w:rPr>
          <w:i/>
          <w:iCs/>
        </w:rPr>
        <w:t>Abs. </w:t>
      </w:r>
      <w:r w:rsidRPr="009118AB">
        <w:rPr>
          <w:i/>
          <w:iCs/>
        </w:rPr>
        <w:t xml:space="preserve">3 eingefügt durch </w:t>
      </w:r>
      <w:r w:rsidR="00D67EB8" w:rsidRPr="009118AB">
        <w:rPr>
          <w:i/>
          <w:iCs/>
        </w:rPr>
        <w:t>Art. </w:t>
      </w:r>
      <w:r w:rsidRPr="009118AB">
        <w:rPr>
          <w:i/>
          <w:iCs/>
        </w:rPr>
        <w:t xml:space="preserve">56 des G. vom </w:t>
      </w:r>
      <w:r w:rsidRPr="00F62621">
        <w:rPr>
          <w:i/>
          <w:iCs/>
        </w:rPr>
        <w:t>6. Juli 1994 (B.S. vom 16. Juli 1994)</w:t>
      </w:r>
      <w:r w:rsidR="00D67EB8" w:rsidRPr="00F62621">
        <w:rPr>
          <w:i/>
          <w:iCs/>
        </w:rPr>
        <w:t> - </w:t>
      </w:r>
      <w:r w:rsidRPr="00F62621">
        <w:rPr>
          <w:i/>
          <w:iCs/>
        </w:rPr>
        <w:t>in Kraft ab dem 16. Juli 1994</w:t>
      </w:r>
      <w:r w:rsidR="00FD68E8" w:rsidRPr="00F62621">
        <w:rPr>
          <w:i/>
          <w:iCs/>
        </w:rPr>
        <w:t> -</w:t>
      </w:r>
      <w:r w:rsidR="00326880" w:rsidRPr="00F62621">
        <w:rPr>
          <w:i/>
          <w:iCs/>
        </w:rPr>
        <w:t xml:space="preserve">; </w:t>
      </w:r>
      <w:r w:rsidR="00A71ECF" w:rsidRPr="00F62621">
        <w:rPr>
          <w:i/>
          <w:iCs/>
        </w:rPr>
        <w:t xml:space="preserve">früherer </w:t>
      </w:r>
      <w:r w:rsidR="00326880" w:rsidRPr="00F62621">
        <w:rPr>
          <w:i/>
          <w:iCs/>
        </w:rPr>
        <w:t>Abs</w:t>
      </w:r>
      <w:r w:rsidR="00A71ECF" w:rsidRPr="00F62621">
        <w:rPr>
          <w:i/>
          <w:iCs/>
        </w:rPr>
        <w:t>atz</w:t>
      </w:r>
      <w:r w:rsidR="00326880" w:rsidRPr="00F62621">
        <w:rPr>
          <w:i/>
          <w:iCs/>
        </w:rPr>
        <w:t> 4 eingefügt durch Art. 23 des G. vom 26. Januar 2021 (B.S. vom 10. Februar 2021) - in Kraft am 1. Januar 2025 -, selbst aufgehoben durch Art. 213 des G. vom 12. Mai 2024 (B.S. vom 30. Mai 2024)</w:t>
      </w:r>
      <w:r w:rsidR="00FD68E8" w:rsidRPr="00F62621">
        <w:rPr>
          <w:i/>
          <w:iCs/>
        </w:rPr>
        <w:t>]</w:t>
      </w:r>
    </w:p>
    <w:p w14:paraId="323F32C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8CF00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6AB9512" w14:textId="3521CF86" w:rsidR="00477B8F" w:rsidRPr="009118AB" w:rsidRDefault="00477B8F" w:rsidP="008B69F7">
      <w:r w:rsidRPr="009118AB">
        <w:tab/>
        <w:t>[</w:t>
      </w:r>
      <w:r w:rsidR="00D67EB8" w:rsidRPr="009118AB">
        <w:rPr>
          <w:b/>
          <w:bCs/>
        </w:rPr>
        <w:t>Art. </w:t>
      </w:r>
      <w:r w:rsidRPr="009118AB">
        <w:rPr>
          <w:b/>
          <w:bCs/>
        </w:rPr>
        <w:t>319</w:t>
      </w:r>
      <w:r w:rsidRPr="009118AB">
        <w:rPr>
          <w:b/>
          <w:bCs/>
          <w:i/>
          <w:iCs/>
        </w:rPr>
        <w:t>bis</w:t>
      </w:r>
      <w:r w:rsidR="00D67EB8" w:rsidRPr="009118AB">
        <w:t> - </w:t>
      </w:r>
      <w:r w:rsidR="007B11CE" w:rsidRPr="009118AB">
        <w:t>[...</w:t>
      </w:r>
      <w:r w:rsidR="000E467D" w:rsidRPr="009118AB">
        <w:t>]</w:t>
      </w:r>
      <w:r w:rsidRPr="009118AB">
        <w:t>]</w:t>
      </w:r>
    </w:p>
    <w:p w14:paraId="0F82B89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F16083" w14:textId="4CB2BD7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319bis eingefügt durch </w:t>
      </w:r>
      <w:r w:rsidR="00D67EB8" w:rsidRPr="009118AB">
        <w:rPr>
          <w:i/>
          <w:iCs/>
        </w:rPr>
        <w:t>Art. </w:t>
      </w:r>
      <w:r w:rsidRPr="009118AB">
        <w:rPr>
          <w:i/>
          <w:iCs/>
        </w:rPr>
        <w:t>2 des K.E. vom 12. Dezember 19</w:t>
      </w:r>
      <w:r w:rsidR="007B11CE" w:rsidRPr="009118AB">
        <w:rPr>
          <w:i/>
          <w:iCs/>
        </w:rPr>
        <w:t xml:space="preserve">96 (B.S. vom 31. Dezember 1996) und aufgehoben durch </w:t>
      </w:r>
      <w:r w:rsidR="00D67EB8" w:rsidRPr="009118AB">
        <w:rPr>
          <w:i/>
          <w:iCs/>
        </w:rPr>
        <w:t>Art. </w:t>
      </w:r>
      <w:r w:rsidR="007B11CE" w:rsidRPr="009118AB">
        <w:rPr>
          <w:i/>
          <w:iCs/>
        </w:rPr>
        <w:t>32 des G. vom 13. April 2019 (II) (B.S. vom 30. April 2019)</w:t>
      </w:r>
      <w:r w:rsidR="00D67EB8" w:rsidRPr="009118AB">
        <w:rPr>
          <w:i/>
          <w:iCs/>
        </w:rPr>
        <w:t> - </w:t>
      </w:r>
      <w:r w:rsidR="007B11CE" w:rsidRPr="009118AB">
        <w:rPr>
          <w:i/>
          <w:iCs/>
        </w:rPr>
        <w:t>in Kraft am 1. Januar 2020</w:t>
      </w:r>
      <w:r w:rsidR="00FD68E8" w:rsidRPr="009118AB">
        <w:rPr>
          <w:i/>
          <w:iCs/>
        </w:rPr>
        <w:t> -]</w:t>
      </w:r>
    </w:p>
    <w:p w14:paraId="5B1056A2" w14:textId="77777777" w:rsidR="00AC6226" w:rsidRPr="009118AB" w:rsidRDefault="00AC622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D864E9" w14:textId="77777777" w:rsidR="00AC6226" w:rsidRPr="009118AB" w:rsidRDefault="00AC622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9A404E" w14:textId="77777777" w:rsidR="00326880" w:rsidRDefault="00326880">
      <w:r>
        <w:br w:type="page"/>
      </w:r>
    </w:p>
    <w:p w14:paraId="34A4133D" w14:textId="537B41D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320</w:t>
      </w:r>
      <w:r w:rsidR="00D67EB8" w:rsidRPr="009118AB">
        <w:t> - § </w:t>
      </w:r>
      <w:r w:rsidRPr="009118AB">
        <w:t>1</w:t>
      </w:r>
      <w:r w:rsidR="00D67EB8" w:rsidRPr="009118AB">
        <w:t> - </w:t>
      </w:r>
      <w:r w:rsidRPr="009118AB">
        <w:t>Personen, die einen freien Beruf, ein Amt oder einen Posten wahrnehmen, sind verpflichtet, für alle in bar, per Scheck oder auf andere Weise eingenommenen Honorare, Provisionen, Entlohnungen, Kostenerstattungen oder andere Berufseinnahmen eine datierte und unterzeichnete Quittung auszustellen, die gleichzeitig in Original und Duplikat erstellt wird und einem Block entnommen wird, wobei Muster und Weise, wie vorerwähnte Steuerpflichtige damit ausgestattet werden, vom Minister der Finanzen festgelegt werden; dieser kann:</w:t>
      </w:r>
    </w:p>
    <w:p w14:paraId="1582E7C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025DE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1. unter den von ihm festgelegten Bedingungen die Verpflichtung aufheben, entweder für gewisse Einnahmen eine Quittung auszustellen oder auf der Quittung den Namen des Schuldners der eingenommenen Summen anzugeben,</w:t>
      </w:r>
    </w:p>
    <w:p w14:paraId="27D8A7D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AB4C1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2. für bestimmte Kategorien von vorerwähnten Personen den Vermerk sämtlicher Angaben auf der Quittung oder die Einfügung sämtlicher Formeln vorschreiben, die für die Kontrolle der Einnahmen und Ausgaben dieser Steuerpflichtigen für zweckmäßig erachtet werden.</w:t>
      </w:r>
    </w:p>
    <w:p w14:paraId="6F93645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47DA18C" w14:textId="329F4D8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[Unbeschadet der Bestimmungen und der Befugnisse des Ministers, die in Absatz 1 vorgesehen sind, dürfen Quittung und Pflegebescheinigung, die Personen, die im Königlichen Erlass </w:t>
      </w:r>
      <w:r w:rsidR="00D67EB8" w:rsidRPr="009118AB">
        <w:t>Nr. </w:t>
      </w:r>
      <w:r w:rsidRPr="009118AB">
        <w:t>78 vom 10. November 1967 über die Ausübung der Heilkunst, der Krankenpflege, der Heilhilfsberufe und über die medizinischen Kommissionen erwähnte medizinische Berufe und Heilhilfsberufe ausüben, den Berechtigten ausstellen müssen, um es ihnen zu ermöglichen, die in den Vorschriften über die Kranken</w:t>
      </w:r>
      <w:r w:rsidRPr="009118AB">
        <w:noBreakHyphen/>
        <w:t xml:space="preserve"> und Invalidenversicherung vorgesehene Beteiligung zu erhalten, nicht voneinander getrennt werden.]</w:t>
      </w:r>
    </w:p>
    <w:p w14:paraId="62AB2B0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9ED46E" w14:textId="39BDA22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2</w:t>
      </w:r>
      <w:r w:rsidR="00D67EB8" w:rsidRPr="009118AB">
        <w:t> - </w:t>
      </w:r>
      <w:r w:rsidRPr="009118AB">
        <w:t xml:space="preserve">In </w:t>
      </w:r>
      <w:r w:rsidR="00D67EB8" w:rsidRPr="009118AB">
        <w:t>§ </w:t>
      </w:r>
      <w:r w:rsidRPr="009118AB">
        <w:t>1 erwähnte Personen führen außerdem ein Journal, in dem sie Tag für Tag den Betrag einerseits ihrer aus dem Quittungsblock übertragenen Einnahmen und andererseits aller anderen Einnahmen oder Vorteile, für die sie keine Quittung ausstellen müssen, und die detaillierte Aufstellung ihrer ordnungsgemäß nachgewiesenen Werbungsausgaben angeben.</w:t>
      </w:r>
    </w:p>
    <w:p w14:paraId="774869D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11037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Das Muster des Journals wird vom Minister der Finanzen festgelegt, der die in einigen Fällen für zweckmäßig erachteten zusätzlichen Einträge beschließt und bestimmte vorerwähnte Personenkategorien von der täglichen Eintragung ihrer Einnahmen und Ausgaben ins Journal befreien und einen anderen Zeitpunkt für diese Eintragung bestimmen kann.</w:t>
      </w:r>
    </w:p>
    <w:p w14:paraId="17BEEC7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813000" w14:textId="2AD909B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016024" w:rsidRPr="009118AB">
        <w:t>[</w:t>
      </w:r>
      <w:r w:rsidR="00A4441F" w:rsidRPr="009118AB">
        <w:t>Das Journal muss von einem zuständigen Bediensteten, der mit der Festlegung der Einkommensteuern beauftragt ist, nummeriert und paraphiert werden, bevor es benutzt wird, mit Ausnahme eines Journals, das anhand von gebundenen oder genähten Seiten mit vorgedruckter Seitennummerierung geführt wird.</w:t>
      </w:r>
      <w:r w:rsidR="00016024" w:rsidRPr="009118AB">
        <w:t>]</w:t>
      </w:r>
    </w:p>
    <w:p w14:paraId="011B230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1B91C6" w14:textId="5D60A04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320 </w:t>
      </w:r>
      <w:r w:rsidR="00D67EB8" w:rsidRPr="009118AB">
        <w:rPr>
          <w:i/>
          <w:iCs/>
        </w:rPr>
        <w:t>§ </w:t>
      </w:r>
      <w:r w:rsidRPr="009118AB">
        <w:rPr>
          <w:i/>
          <w:iCs/>
        </w:rPr>
        <w:t xml:space="preserve">1 </w:t>
      </w:r>
      <w:r w:rsidR="00D67EB8" w:rsidRPr="009118AB">
        <w:rPr>
          <w:i/>
          <w:iCs/>
        </w:rPr>
        <w:t>Abs. </w:t>
      </w:r>
      <w:r w:rsidRPr="009118AB">
        <w:rPr>
          <w:i/>
          <w:iCs/>
        </w:rPr>
        <w:t xml:space="preserve">2 eingefügt durch </w:t>
      </w:r>
      <w:r w:rsidR="00D67EB8" w:rsidRPr="009118AB">
        <w:rPr>
          <w:i/>
          <w:iCs/>
        </w:rPr>
        <w:t>Art. </w:t>
      </w:r>
      <w:r w:rsidRPr="009118AB">
        <w:rPr>
          <w:i/>
          <w:iCs/>
        </w:rPr>
        <w:t>2 des G. vom 9. Dezember 1997 (B.S. vom 23. Januar 1998)</w:t>
      </w:r>
      <w:r w:rsidR="00D268C1" w:rsidRPr="009118AB">
        <w:rPr>
          <w:i/>
          <w:iCs/>
        </w:rPr>
        <w:t xml:space="preserve">; </w:t>
      </w:r>
      <w:r w:rsidR="00D67EB8" w:rsidRPr="009118AB">
        <w:rPr>
          <w:i/>
          <w:iCs/>
        </w:rPr>
        <w:t>§ </w:t>
      </w:r>
      <w:r w:rsidR="00D268C1" w:rsidRPr="009118AB">
        <w:rPr>
          <w:i/>
          <w:iCs/>
        </w:rPr>
        <w:t xml:space="preserve">2 </w:t>
      </w:r>
      <w:r w:rsidR="00D67EB8" w:rsidRPr="009118AB">
        <w:rPr>
          <w:i/>
          <w:iCs/>
        </w:rPr>
        <w:t>Abs. </w:t>
      </w:r>
      <w:r w:rsidR="00D268C1" w:rsidRPr="009118AB">
        <w:rPr>
          <w:i/>
          <w:iCs/>
        </w:rPr>
        <w:t>3</w:t>
      </w:r>
      <w:r w:rsidR="00A4441F" w:rsidRPr="009118AB">
        <w:rPr>
          <w:i/>
          <w:iCs/>
        </w:rPr>
        <w:t xml:space="preserve"> ersetzt durch </w:t>
      </w:r>
      <w:r w:rsidR="00D67EB8" w:rsidRPr="009118AB">
        <w:rPr>
          <w:i/>
          <w:iCs/>
        </w:rPr>
        <w:t>Art. </w:t>
      </w:r>
      <w:r w:rsidR="00A4441F" w:rsidRPr="009118AB">
        <w:rPr>
          <w:i/>
          <w:iCs/>
        </w:rPr>
        <w:t>34</w:t>
      </w:r>
      <w:r w:rsidR="00A4441F" w:rsidRPr="009118AB">
        <w:rPr>
          <w:i/>
        </w:rPr>
        <w:t xml:space="preserve"> des G. vom 2. Mai 2019 (III) (B.S. vom 1</w:t>
      </w:r>
      <w:r w:rsidR="009B37FC" w:rsidRPr="009118AB">
        <w:rPr>
          <w:i/>
        </w:rPr>
        <w:t>5</w:t>
      </w:r>
      <w:r w:rsidR="00A4441F" w:rsidRPr="009118AB">
        <w:rPr>
          <w:i/>
        </w:rPr>
        <w:t>. Mai 2019)</w:t>
      </w:r>
      <w:r w:rsidR="00D67EB8" w:rsidRPr="009118AB">
        <w:rPr>
          <w:i/>
        </w:rPr>
        <w:t> - </w:t>
      </w:r>
      <w:r w:rsidR="00A4441F" w:rsidRPr="009118AB">
        <w:rPr>
          <w:i/>
        </w:rPr>
        <w:t>anwendbar auf Berichtszeiträume, die am 31. Dezember 2019 oder später enden</w:t>
      </w:r>
      <w:r w:rsidR="00FD68E8" w:rsidRPr="009118AB">
        <w:rPr>
          <w:i/>
        </w:rPr>
        <w:t> -]</w:t>
      </w:r>
    </w:p>
    <w:p w14:paraId="01B3FE5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00E892" w14:textId="77777777" w:rsidR="008349CC" w:rsidRPr="009118AB" w:rsidRDefault="008349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228D4AF" w14:textId="099733F9" w:rsidR="008349CC" w:rsidRPr="009118AB" w:rsidRDefault="008349CC" w:rsidP="008349CC">
      <w:pPr>
        <w:jc w:val="both"/>
      </w:pPr>
      <w:r w:rsidRPr="009118AB">
        <w:tab/>
        <w:t>[</w:t>
      </w:r>
      <w:r w:rsidR="00D67EB8" w:rsidRPr="009118AB">
        <w:rPr>
          <w:b/>
        </w:rPr>
        <w:t>Art. </w:t>
      </w:r>
      <w:r w:rsidRPr="009118AB">
        <w:rPr>
          <w:b/>
        </w:rPr>
        <w:t>320/1</w:t>
      </w:r>
      <w:r w:rsidR="00D67EB8" w:rsidRPr="009118AB">
        <w:t> - </w:t>
      </w:r>
      <w:r w:rsidRPr="009118AB">
        <w:t xml:space="preserve">Inländische Gesellschaften und in Artikel 227 </w:t>
      </w:r>
      <w:r w:rsidR="00D67EB8" w:rsidRPr="009118AB">
        <w:t>Nr. </w:t>
      </w:r>
      <w:r w:rsidRPr="009118AB">
        <w:t xml:space="preserve">2 erwähnte Steuerpflichtige, die über eine in Artikel 229 erwähnte belgische Niederlassung Gewinne im Sinne von Artikel 228 </w:t>
      </w:r>
      <w:r w:rsidR="00D67EB8" w:rsidRPr="009118AB">
        <w:t>§ </w:t>
      </w:r>
      <w:r w:rsidRPr="009118AB">
        <w:t xml:space="preserve">2 </w:t>
      </w:r>
      <w:r w:rsidR="00D67EB8" w:rsidRPr="009118AB">
        <w:t>Nr. </w:t>
      </w:r>
      <w:r w:rsidRPr="009118AB">
        <w:t>3 erzielen, sind im Hinblick auf die Bestimmung und Überprüfung ihrer steuerlichen Lage verpflichtet, eine Buchhaltung zu führen und ein Inventar und einen Jahresabschluss zu erstellen gemäß dem belgischen Buchhaltungsrecht, das auf Unternehmen anwendbar ist, die diesem Recht unterliegen, eine ähnliche Rechtsform haben und die gleiche Tätigkeit ausüben. Wenn ein Steuerpflichtiger der Steuer der Gebietsfremden unterliegt, sind diese Verpflichtungen auf Geschäfte, Vermögenswerte, Forderungen, Schulden, Verbindlichkeiten und Verpflichtungen aller Art begrenzt, die mit der vorerwähnten belgischen Niederlassung verbunden sind. Für die Anwendung dieser Bestimmungen wird eine inländische Gesellschaft, die einem ausländischen Recht unterliegt, mit einer Kommanditgesellschaft gleichgesetzt, wenn mindestens einer der Gesellschafter in mindestens demselben Maße wie ein Komplementär für die Schulden der Gesellschaft haftet.</w:t>
      </w:r>
    </w:p>
    <w:p w14:paraId="237438E9" w14:textId="77777777" w:rsidR="008349CC" w:rsidRPr="009118AB" w:rsidRDefault="008349CC" w:rsidP="008349CC">
      <w:pPr>
        <w:jc w:val="both"/>
      </w:pPr>
    </w:p>
    <w:p w14:paraId="69E6E415" w14:textId="3CB7F585" w:rsidR="008349CC" w:rsidRPr="009118AB" w:rsidRDefault="008349CC" w:rsidP="00834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Der König kann eine vollständige Befreiung beziehungsweise Teilbefreiungen von den in Absatz 1 erwähnten Buchhaltungspflichten vorsehen in dem Maße, wie diese Verpflichtungen für die Kontrolle und Festlegung der Besteuerungsgrundlage nicht notwendig sind.]</w:t>
      </w:r>
    </w:p>
    <w:p w14:paraId="7852D5F7" w14:textId="77777777" w:rsidR="008349CC" w:rsidRPr="009118AB" w:rsidRDefault="008349CC" w:rsidP="00834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E75F17" w14:textId="0B5AFC86" w:rsidR="008349CC" w:rsidRPr="009118AB" w:rsidRDefault="008349CC" w:rsidP="00834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118AB">
        <w:rPr>
          <w:i/>
        </w:rPr>
        <w:t>[</w:t>
      </w:r>
      <w:r w:rsidR="00D67EB8" w:rsidRPr="009118AB">
        <w:rPr>
          <w:i/>
        </w:rPr>
        <w:t>Art. </w:t>
      </w:r>
      <w:r w:rsidRPr="009118AB">
        <w:rPr>
          <w:i/>
        </w:rPr>
        <w:t xml:space="preserve">320/1 eingefügt durch </w:t>
      </w:r>
      <w:r w:rsidR="00D67EB8" w:rsidRPr="009118AB">
        <w:rPr>
          <w:i/>
        </w:rPr>
        <w:t>Art. </w:t>
      </w:r>
      <w:r w:rsidRPr="009118AB">
        <w:rPr>
          <w:i/>
        </w:rPr>
        <w:t>71</w:t>
      </w:r>
      <w:r w:rsidRPr="009118AB">
        <w:rPr>
          <w:i/>
          <w:iCs/>
          <w:spacing w:val="-2"/>
        </w:rPr>
        <w:t xml:space="preserve"> des G. vom 17. März 2019 (III) (B.S. vom 10. Mai 2019)</w:t>
      </w:r>
      <w:r w:rsidR="00D67EB8" w:rsidRPr="009118AB">
        <w:rPr>
          <w:i/>
          <w:iCs/>
          <w:spacing w:val="-2"/>
        </w:rPr>
        <w:t> - </w:t>
      </w:r>
      <w:r w:rsidRPr="009118AB">
        <w:rPr>
          <w:i/>
          <w:iCs/>
          <w:spacing w:val="-2"/>
        </w:rPr>
        <w:t>in Kraft am 1. Mai 2019</w:t>
      </w:r>
      <w:r w:rsidR="00FD68E8" w:rsidRPr="009118AB">
        <w:rPr>
          <w:i/>
          <w:iCs/>
          <w:spacing w:val="-2"/>
        </w:rPr>
        <w:t> -]</w:t>
      </w:r>
    </w:p>
    <w:p w14:paraId="29080054" w14:textId="77777777" w:rsidR="008349CC" w:rsidRPr="009118AB" w:rsidRDefault="008349CC" w:rsidP="00834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71306744" w14:textId="77777777" w:rsidR="00666F7B" w:rsidRPr="009118AB" w:rsidRDefault="00666F7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rPr>
      </w:pPr>
    </w:p>
    <w:p w14:paraId="68F68B3C" w14:textId="5B4370C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321</w:t>
      </w:r>
      <w:r w:rsidR="00D67EB8" w:rsidRPr="009118AB">
        <w:t> - </w:t>
      </w:r>
      <w:r w:rsidRPr="009118AB">
        <w:t>Unbeschadet der Bestimmungen von Artikel 320 kann der Minister der Finanzen jeden, der der Steuer der natürlichen Personen, der Gesellschaftssteuer, der Steuer der juristischen Personen oder der Steuer der Gebietsfremden unterliegt, und Vereinigungen, Einrichtungen und Gruppierungen ohne Rechtspersönlichkeit verpflichten, Bücher zu führen oder Unterlagen und Formulare zu benutzen, deren Muster und Verwendung er festlegt und die er entweder für die Kontrolle ihrer Einnahmen oder Ausgaben oder für die Kontrolle der Einnahmen oder Ausgaben von Dritten für notwendig erachtet.</w:t>
      </w:r>
    </w:p>
    <w:p w14:paraId="39496922" w14:textId="77777777" w:rsidR="008B69F7" w:rsidRPr="009118AB" w:rsidRDefault="008B69F7" w:rsidP="00A14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54868C4" w14:textId="4D8A1AE1" w:rsidR="000953D2" w:rsidRPr="009118AB" w:rsidRDefault="008B69F7" w:rsidP="008B69F7">
      <w:pPr>
        <w:jc w:val="center"/>
      </w:pPr>
      <w:r w:rsidRPr="009118AB">
        <w:br w:type="page"/>
      </w:r>
      <w:r w:rsidR="000953D2" w:rsidRPr="009118AB">
        <w:t>[</w:t>
      </w:r>
      <w:r w:rsidR="000953D2" w:rsidRPr="009118AB">
        <w:rPr>
          <w:i/>
        </w:rPr>
        <w:t>Abschnitt 1/1</w:t>
      </w:r>
      <w:r w:rsidR="00D67EB8" w:rsidRPr="009118AB">
        <w:t> - </w:t>
      </w:r>
      <w:r w:rsidR="000953D2" w:rsidRPr="009118AB">
        <w:t>Zusätzliche Erklärungspflichten in Bezug auf den Verrechnungspreis]</w:t>
      </w:r>
    </w:p>
    <w:p w14:paraId="55E81D97" w14:textId="77777777" w:rsidR="000953D2" w:rsidRPr="009118AB" w:rsidRDefault="000953D2" w:rsidP="00A14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4C40365" w14:textId="6C66E860" w:rsidR="000953D2" w:rsidRPr="009118AB"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rPr>
        <w:t xml:space="preserve">[Unterteilung Abschnitt 1/1 eingefügt durch </w:t>
      </w:r>
      <w:r w:rsidR="00D67EB8" w:rsidRPr="009118AB">
        <w:rPr>
          <w:i/>
        </w:rPr>
        <w:t>Art. </w:t>
      </w:r>
      <w:r w:rsidRPr="009118AB">
        <w:rPr>
          <w:i/>
        </w:rPr>
        <w:t>53 des G. vom 1. Juli 2016 (B.S. vom 4. Juli 2016)</w:t>
      </w:r>
      <w:r w:rsidR="00D67EB8" w:rsidRPr="009118AB">
        <w:rPr>
          <w:i/>
        </w:rPr>
        <w:t> - </w:t>
      </w:r>
      <w:r w:rsidR="00A57DFE" w:rsidRPr="009118AB">
        <w:rPr>
          <w:i/>
        </w:rPr>
        <w:t>wirksam für Berichtszeiträume von multinationalen Gruppen oder Rechnungsjahre, die ab dem 1. Januar 2016 beginnen</w:t>
      </w:r>
      <w:r w:rsidR="00FD68E8" w:rsidRPr="009118AB">
        <w:rPr>
          <w:i/>
        </w:rPr>
        <w:t> -]</w:t>
      </w:r>
    </w:p>
    <w:p w14:paraId="2EC315DB" w14:textId="77777777" w:rsidR="000953D2" w:rsidRPr="009118AB"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2A3613" w14:textId="77777777" w:rsidR="000953D2" w:rsidRPr="009118AB"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691D44" w14:textId="461FBC25" w:rsidR="000953D2" w:rsidRPr="009118AB" w:rsidRDefault="000953D2" w:rsidP="000953D2">
      <w:pPr>
        <w:jc w:val="both"/>
      </w:pPr>
      <w:r w:rsidRPr="009118AB">
        <w:tab/>
        <w:t>[</w:t>
      </w:r>
      <w:r w:rsidR="00D67EB8" w:rsidRPr="009118AB">
        <w:rPr>
          <w:b/>
        </w:rPr>
        <w:t>Art. </w:t>
      </w:r>
      <w:r w:rsidRPr="009118AB">
        <w:rPr>
          <w:b/>
        </w:rPr>
        <w:t>321/1</w:t>
      </w:r>
      <w:r w:rsidR="00D67EB8" w:rsidRPr="009118AB">
        <w:t> - </w:t>
      </w:r>
      <w:r w:rsidRPr="009118AB">
        <w:t>Für die Anwendung des vorliegenden Abschnitts bezeichnet:</w:t>
      </w:r>
    </w:p>
    <w:p w14:paraId="0694938C" w14:textId="77777777" w:rsidR="000953D2" w:rsidRPr="009118AB" w:rsidRDefault="000953D2" w:rsidP="000953D2">
      <w:pPr>
        <w:jc w:val="both"/>
      </w:pPr>
    </w:p>
    <w:p w14:paraId="0CED0D2C" w14:textId="77777777" w:rsidR="000953D2" w:rsidRPr="009118AB" w:rsidRDefault="000953D2" w:rsidP="000953D2">
      <w:pPr>
        <w:jc w:val="both"/>
      </w:pPr>
      <w:r w:rsidRPr="009118AB">
        <w:tab/>
        <w:t>1. der Ausdruck "Gruppe": eine Gruppe von Unternehmen, die durch Eigentum oder Beherrschung verbunden sind, so dass sie entweder nach den geltenden Rechnungslegungs</w:t>
      </w:r>
      <w:r w:rsidRPr="009118AB">
        <w:softHyphen/>
        <w:t>grundsätzen zur Aufstellung eines konsolidierten Jahresabschlusses für Rechnungslegungs</w:t>
      </w:r>
      <w:r w:rsidRPr="009118AB">
        <w:softHyphen/>
        <w:t>zwecke verpflichtet ist oder dazu verpflichtet wäre, wenn Eigenkapitalbeteiligungen an einem der Unternehmen an einem geregelten Markt gehandelt würden,</w:t>
      </w:r>
    </w:p>
    <w:p w14:paraId="7D1F0402" w14:textId="77777777" w:rsidR="000953D2" w:rsidRPr="009118AB" w:rsidRDefault="000953D2" w:rsidP="000953D2">
      <w:pPr>
        <w:jc w:val="both"/>
      </w:pPr>
    </w:p>
    <w:p w14:paraId="29E9B551" w14:textId="2154CAF5" w:rsidR="000953D2" w:rsidRPr="009118AB" w:rsidRDefault="000953D2" w:rsidP="000953D2">
      <w:pPr>
        <w:jc w:val="both"/>
      </w:pPr>
      <w:r w:rsidRPr="009118AB">
        <w:tab/>
        <w:t xml:space="preserve">2. der Ausdruck "Unternehmen": jede Form von Geschäftstätigkeit, die von einer in Artikel 338 </w:t>
      </w:r>
      <w:r w:rsidR="00D67EB8" w:rsidRPr="009118AB">
        <w:t>§ </w:t>
      </w:r>
      <w:r w:rsidRPr="009118AB">
        <w:t xml:space="preserve">2 </w:t>
      </w:r>
      <w:r w:rsidR="00D67EB8" w:rsidRPr="009118AB">
        <w:t>Nr. </w:t>
      </w:r>
      <w:r w:rsidRPr="009118AB">
        <w:t>13 Buchstabe </w:t>
      </w:r>
      <w:r w:rsidRPr="009118AB">
        <w:rPr>
          <w:i/>
        </w:rPr>
        <w:t>b)</w:t>
      </w:r>
      <w:r w:rsidRPr="009118AB">
        <w:t xml:space="preserve">, </w:t>
      </w:r>
      <w:r w:rsidRPr="009118AB">
        <w:rPr>
          <w:i/>
        </w:rPr>
        <w:t>c)</w:t>
      </w:r>
      <w:r w:rsidRPr="009118AB">
        <w:t xml:space="preserve"> und </w:t>
      </w:r>
      <w:r w:rsidRPr="009118AB">
        <w:rPr>
          <w:i/>
        </w:rPr>
        <w:t>d)</w:t>
      </w:r>
      <w:r w:rsidRPr="009118AB">
        <w:t xml:space="preserve"> erwähnten Person ausgeübt wird,</w:t>
      </w:r>
    </w:p>
    <w:p w14:paraId="05DDB02F" w14:textId="77777777" w:rsidR="000953D2" w:rsidRPr="009118AB" w:rsidRDefault="000953D2" w:rsidP="000953D2">
      <w:pPr>
        <w:jc w:val="both"/>
      </w:pPr>
    </w:p>
    <w:p w14:paraId="24BCA0B1" w14:textId="477A2722" w:rsidR="000953D2" w:rsidRPr="009118AB" w:rsidRDefault="000953D2" w:rsidP="000953D2">
      <w:pPr>
        <w:jc w:val="both"/>
      </w:pPr>
      <w:r w:rsidRPr="009118AB">
        <w:tab/>
        <w:t>3. der Ausdruck "multinationale Gruppe": eine Gruppe, die zwei oder mehr Unternehmen umfasst, deren steuerliche Ansässigkeit in unterschiedlichen Staaten beziehungsweise Steuerhoheitsgebieten</w:t>
      </w:r>
      <w:r w:rsidR="00D67EB8" w:rsidRPr="009118AB">
        <w:t> - </w:t>
      </w:r>
      <w:r w:rsidRPr="009118AB">
        <w:t>nachfolgend "Staat(en)" genannt</w:t>
      </w:r>
      <w:r w:rsidR="00D67EB8" w:rsidRPr="009118AB">
        <w:t> - </w:t>
      </w:r>
      <w:r w:rsidRPr="009118AB">
        <w:t>liegt, oder die ein Unternehmen umfasst, das in einem Staat steuerlich ansässig ist und in einem anderen Staat mit der durch eine Betriebsstätte ausgeübten Geschäftstätigkeit steuerpflichtig ist,</w:t>
      </w:r>
    </w:p>
    <w:p w14:paraId="736D60D1" w14:textId="77777777" w:rsidR="000953D2" w:rsidRPr="009118AB" w:rsidRDefault="000953D2" w:rsidP="000953D2">
      <w:pPr>
        <w:jc w:val="both"/>
      </w:pPr>
    </w:p>
    <w:p w14:paraId="46282CCF" w14:textId="77777777" w:rsidR="000953D2" w:rsidRPr="009118AB" w:rsidRDefault="000953D2" w:rsidP="000953D2">
      <w:pPr>
        <w:jc w:val="both"/>
      </w:pPr>
      <w:r w:rsidRPr="009118AB">
        <w:tab/>
        <w:t>4. der Ausdruck "Geschäftseinheit":</w:t>
      </w:r>
    </w:p>
    <w:p w14:paraId="0E4BD6D8" w14:textId="77777777" w:rsidR="000953D2" w:rsidRPr="009118AB" w:rsidRDefault="000953D2" w:rsidP="000953D2">
      <w:pPr>
        <w:jc w:val="both"/>
      </w:pPr>
    </w:p>
    <w:p w14:paraId="0E7DE78D" w14:textId="77777777" w:rsidR="000953D2" w:rsidRPr="009118AB" w:rsidRDefault="000953D2" w:rsidP="000953D2">
      <w:pPr>
        <w:jc w:val="both"/>
      </w:pPr>
      <w:r w:rsidRPr="009118AB">
        <w:tab/>
      </w:r>
      <w:r w:rsidRPr="009118AB">
        <w:rPr>
          <w:i/>
        </w:rPr>
        <w:t>a)</w:t>
      </w:r>
      <w:r w:rsidRPr="009118AB">
        <w:t> eine eigenständige Einheit einer multinationalen Gruppe, die für Rechnungs</w:t>
      </w:r>
      <w:r w:rsidRPr="009118AB">
        <w:softHyphen/>
        <w:t>legungszwecke in den konsolidierten Jahresabschluss der multinationalen Gruppe einbezogen wird oder darin einbezogen würde, wenn Eigenkapitalbeteiligungen an dieser Einheit einer multinationalen Gruppe an einem geregelten Markt gehandelt würden,</w:t>
      </w:r>
    </w:p>
    <w:p w14:paraId="0F28BFDA" w14:textId="77777777" w:rsidR="000953D2" w:rsidRPr="009118AB" w:rsidRDefault="000953D2" w:rsidP="000953D2">
      <w:pPr>
        <w:jc w:val="both"/>
      </w:pPr>
    </w:p>
    <w:p w14:paraId="2954C771" w14:textId="77777777" w:rsidR="000953D2" w:rsidRPr="009118AB" w:rsidRDefault="000953D2" w:rsidP="000953D2">
      <w:pPr>
        <w:jc w:val="both"/>
      </w:pPr>
      <w:r w:rsidRPr="009118AB">
        <w:tab/>
      </w:r>
      <w:r w:rsidRPr="009118AB">
        <w:rPr>
          <w:i/>
        </w:rPr>
        <w:t>b)</w:t>
      </w:r>
      <w:r w:rsidRPr="009118AB">
        <w:t> eine eigenständige Einheit einer multinationalen Gruppe, die nur aufgrund ihrer Größe oder aus Wesentlichkeitsgründen nicht in den konsolidierten Jahresabschluss der multinationalen Gruppe einbezogen wird, oder</w:t>
      </w:r>
    </w:p>
    <w:p w14:paraId="34740B33" w14:textId="77777777" w:rsidR="000953D2" w:rsidRPr="009118AB" w:rsidRDefault="000953D2" w:rsidP="000953D2">
      <w:pPr>
        <w:jc w:val="both"/>
      </w:pPr>
    </w:p>
    <w:p w14:paraId="62DE7280" w14:textId="77777777" w:rsidR="000953D2" w:rsidRPr="009118AB" w:rsidRDefault="000953D2" w:rsidP="000953D2">
      <w:pPr>
        <w:jc w:val="both"/>
      </w:pPr>
      <w:r w:rsidRPr="009118AB">
        <w:tab/>
      </w:r>
      <w:r w:rsidRPr="009118AB">
        <w:rPr>
          <w:i/>
        </w:rPr>
        <w:t>c)</w:t>
      </w:r>
      <w:r w:rsidRPr="009118AB">
        <w:t> eine Betriebsstätte einer weiter oben in den Buchstaben </w:t>
      </w:r>
      <w:r w:rsidRPr="009118AB">
        <w:rPr>
          <w:i/>
        </w:rPr>
        <w:t>a)</w:t>
      </w:r>
      <w:r w:rsidRPr="009118AB">
        <w:t xml:space="preserve"> oder </w:t>
      </w:r>
      <w:r w:rsidRPr="009118AB">
        <w:rPr>
          <w:i/>
        </w:rPr>
        <w:t>b)</w:t>
      </w:r>
      <w:r w:rsidRPr="009118AB">
        <w:t xml:space="preserve"> erwähnten eigenständigen Einheit einer multinationalen Gruppe, sofern die Einheit für Rechnungslegungs-, Aufsichts-, Steuer- oder interne Steuerungszwecke einen Einzeljahresabschluss für diese Betriebsstätte aufstellt,</w:t>
      </w:r>
    </w:p>
    <w:p w14:paraId="0ADB8393" w14:textId="77777777" w:rsidR="000953D2" w:rsidRPr="009118AB" w:rsidRDefault="000953D2" w:rsidP="000953D2">
      <w:pPr>
        <w:jc w:val="both"/>
      </w:pPr>
    </w:p>
    <w:p w14:paraId="22536789" w14:textId="205965CA" w:rsidR="000953D2" w:rsidRPr="009118AB" w:rsidRDefault="000953D2" w:rsidP="000953D2">
      <w:pPr>
        <w:jc w:val="both"/>
      </w:pPr>
      <w:r w:rsidRPr="009118AB">
        <w:tab/>
        <w:t xml:space="preserve">5. der Ausdruck "geregelter Markt": einen Markt im Sinne von Artikel 2 </w:t>
      </w:r>
      <w:r w:rsidR="00D67EB8" w:rsidRPr="009118AB">
        <w:t>Nr. </w:t>
      </w:r>
      <w:r w:rsidRPr="009118AB">
        <w:t>3 des Gesetzes vom 2. August 2002 über die Aufsicht über den Finanzsektor und die Finanzdienstleistungen, zuletzt abgeändert durch das Gesetz vom 25. April 2014,</w:t>
      </w:r>
    </w:p>
    <w:p w14:paraId="74B7B108" w14:textId="77777777" w:rsidR="000953D2" w:rsidRPr="009118AB" w:rsidRDefault="000953D2" w:rsidP="000953D2">
      <w:pPr>
        <w:jc w:val="both"/>
      </w:pPr>
    </w:p>
    <w:p w14:paraId="460F7DF0" w14:textId="77777777" w:rsidR="000953D2" w:rsidRPr="009118AB" w:rsidRDefault="000953D2" w:rsidP="000953D2">
      <w:pPr>
        <w:jc w:val="both"/>
      </w:pPr>
      <w:r w:rsidRPr="009118AB">
        <w:tab/>
        <w:t>6. der Ausdruck "belgische Geschäftseinheit": eine Geschäftseinheit, die in Belgien steuerlich ansässig ist,</w:t>
      </w:r>
    </w:p>
    <w:p w14:paraId="5B5F27BE" w14:textId="77777777" w:rsidR="000953D2" w:rsidRPr="009118AB" w:rsidRDefault="000953D2" w:rsidP="000953D2">
      <w:pPr>
        <w:jc w:val="both"/>
      </w:pPr>
    </w:p>
    <w:p w14:paraId="6C848FC5" w14:textId="4FF5D4A7" w:rsidR="000953D2" w:rsidRPr="009118AB" w:rsidRDefault="000953D2" w:rsidP="000953D2">
      <w:pPr>
        <w:jc w:val="both"/>
      </w:pPr>
      <w:r w:rsidRPr="009118AB">
        <w:tab/>
        <w:t xml:space="preserve">7. der Ausdruck "berichtender Rechtsträger": die Geschäftseinheit, die verpflichtet ist, einen länderbezogenen Bericht im Staat ihrer steuerlichen Ansässigkeit im Namen der multinationalen Gruppe vorzulegen. Der berichtende Rechtsträger kann die oberste Muttergesellschaft, die vertretende Muttergesellschaft oder ein anderer in Artikel 321/2 </w:t>
      </w:r>
      <w:r w:rsidR="00D67EB8" w:rsidRPr="009118AB">
        <w:t>§ </w:t>
      </w:r>
      <w:r w:rsidRPr="009118AB">
        <w:t>2 erwähnter Rechtsträger sein,</w:t>
      </w:r>
    </w:p>
    <w:p w14:paraId="348C5A0D" w14:textId="77777777" w:rsidR="000953D2" w:rsidRPr="009118AB" w:rsidRDefault="000953D2" w:rsidP="000953D2">
      <w:pPr>
        <w:jc w:val="both"/>
      </w:pPr>
    </w:p>
    <w:p w14:paraId="07676457" w14:textId="77777777" w:rsidR="000953D2" w:rsidRPr="009118AB" w:rsidRDefault="000953D2" w:rsidP="000953D2">
      <w:pPr>
        <w:jc w:val="both"/>
      </w:pPr>
      <w:r w:rsidRPr="009118AB">
        <w:tab/>
        <w:t>8. der Ausdruck "oberste Muttergesellschaft": eine Geschäftseinheit einer multinationalen Gruppe, die folgende Bedingungen erfüllt:</w:t>
      </w:r>
    </w:p>
    <w:p w14:paraId="24811940" w14:textId="77777777" w:rsidR="000953D2" w:rsidRPr="009118AB" w:rsidRDefault="000953D2" w:rsidP="000953D2">
      <w:pPr>
        <w:jc w:val="both"/>
      </w:pPr>
    </w:p>
    <w:p w14:paraId="07B27635" w14:textId="77777777" w:rsidR="000953D2" w:rsidRPr="009118AB" w:rsidRDefault="000953D2" w:rsidP="000953D2">
      <w:pPr>
        <w:jc w:val="both"/>
      </w:pPr>
      <w:r w:rsidRPr="009118AB">
        <w:tab/>
      </w:r>
      <w:r w:rsidRPr="009118AB">
        <w:rPr>
          <w:i/>
        </w:rPr>
        <w:t>a)</w:t>
      </w:r>
      <w:r w:rsidRPr="009118AB">
        <w:t> Sie besitzt direkt oder indirekt ausreichende Anteile an einer oder mehreren Geschäftseinheiten dieser multinationalen Gruppe, so dass sie zur Aufstellung von konsolidierten Jahresabschlüssen nach den im Staat ihrer steuerlichen Ansässigkeit allgemein geltenden Rechnungslegungsgrundsätzen verpflichtet ist oder dazu verpflichtet wäre, wenn ihre Eigenkapitalbeteiligungen an einem geregelten Markt im Staat ihres Steuerwohnsitzes gehandelt würden, und</w:t>
      </w:r>
    </w:p>
    <w:p w14:paraId="646D8D71" w14:textId="77777777" w:rsidR="000953D2" w:rsidRPr="009118AB" w:rsidRDefault="000953D2" w:rsidP="000953D2">
      <w:pPr>
        <w:jc w:val="both"/>
      </w:pPr>
    </w:p>
    <w:p w14:paraId="59D81F1C" w14:textId="77777777" w:rsidR="000953D2" w:rsidRPr="009118AB" w:rsidRDefault="000953D2" w:rsidP="000953D2">
      <w:pPr>
        <w:jc w:val="both"/>
      </w:pPr>
      <w:r w:rsidRPr="009118AB">
        <w:tab/>
      </w:r>
      <w:r w:rsidRPr="009118AB">
        <w:rPr>
          <w:i/>
        </w:rPr>
        <w:t>b)</w:t>
      </w:r>
      <w:r w:rsidRPr="009118AB">
        <w:t> innerhalb der multinationalen Gruppe existiert keine andere Geschäftseinheit, die direkt oder indirekt Anteile im Sinne von Buchstabe </w:t>
      </w:r>
      <w:r w:rsidRPr="009118AB">
        <w:rPr>
          <w:i/>
        </w:rPr>
        <w:t>a)</w:t>
      </w:r>
      <w:r w:rsidRPr="009118AB">
        <w:t xml:space="preserve"> an der vorerwähnten Geschäftseinheit besitzt,</w:t>
      </w:r>
    </w:p>
    <w:p w14:paraId="532E6710" w14:textId="77777777" w:rsidR="000953D2" w:rsidRPr="009118AB" w:rsidRDefault="000953D2" w:rsidP="000953D2">
      <w:pPr>
        <w:jc w:val="both"/>
      </w:pPr>
    </w:p>
    <w:p w14:paraId="3634AE40" w14:textId="08B88041" w:rsidR="000953D2" w:rsidRPr="009118AB" w:rsidRDefault="000953D2" w:rsidP="000953D2">
      <w:pPr>
        <w:jc w:val="both"/>
      </w:pPr>
      <w:r w:rsidRPr="009118AB">
        <w:tab/>
        <w:t xml:space="preserve">9. der Ausdruck "vertretende Muttergesellschaft": eine Geschäftseinheit einer multinationalen Gruppe, die von dieser als alleinige Vertreterin der obersten Muttergesellschaft benannt wurde, um den länderbezogenen Bericht im Namen der multinationalen Gruppe vorzulegen, sofern eine oder mehrere der in Artikel 321/2 </w:t>
      </w:r>
      <w:r w:rsidR="00D67EB8" w:rsidRPr="009118AB">
        <w:t>§ </w:t>
      </w:r>
      <w:r w:rsidRPr="009118AB">
        <w:t>2 Absatz 1 festgelegten Voraussetzungen zutreffen,</w:t>
      </w:r>
    </w:p>
    <w:p w14:paraId="1E0D9422" w14:textId="77777777" w:rsidR="000953D2" w:rsidRPr="009118AB" w:rsidRDefault="000953D2" w:rsidP="000953D2">
      <w:pPr>
        <w:jc w:val="both"/>
      </w:pPr>
    </w:p>
    <w:p w14:paraId="09F8AFC0" w14:textId="77777777" w:rsidR="000953D2" w:rsidRPr="009118AB" w:rsidRDefault="000953D2" w:rsidP="000953D2">
      <w:pPr>
        <w:jc w:val="both"/>
      </w:pPr>
      <w:r w:rsidRPr="009118AB">
        <w:tab/>
        <w:t>10. der Ausdruck "Berichtszeitraum" in Bezug auf eine multinationale Gruppe: den Zeitraum, für den die oberste Muttergesellschaft der multinationalen Gruppe ihren konsolidierten Jahresabschluss erstellt,</w:t>
      </w:r>
    </w:p>
    <w:p w14:paraId="247B1299" w14:textId="77777777" w:rsidR="000953D2" w:rsidRPr="009118AB" w:rsidRDefault="000953D2" w:rsidP="000953D2">
      <w:pPr>
        <w:jc w:val="both"/>
      </w:pPr>
    </w:p>
    <w:p w14:paraId="208533C0" w14:textId="77777777" w:rsidR="000953D2" w:rsidRPr="009118AB" w:rsidRDefault="000953D2" w:rsidP="000953D2">
      <w:pPr>
        <w:jc w:val="both"/>
      </w:pPr>
      <w:r w:rsidRPr="009118AB">
        <w:tab/>
        <w:t>11. der Ausdruck "internationales Übereinkommen": das Multilaterale Übereinkommen vom 25. Januar 1988 über die gegenseitige Amtshilfe in Steuersachen, jedes bilaterale oder multilaterale Steuerübereinkommen oder jedes Abkommen über den Informationsaustausch in Steuersachen, dessen Vertragspartei Belgien ist und das den Austausch von Informationen, einschließlich des automatischen Austauschs von Informationen, vorsieht,</w:t>
      </w:r>
    </w:p>
    <w:p w14:paraId="311F211F" w14:textId="77777777" w:rsidR="000953D2" w:rsidRPr="009118AB" w:rsidRDefault="000953D2" w:rsidP="000953D2">
      <w:pPr>
        <w:jc w:val="both"/>
      </w:pPr>
    </w:p>
    <w:p w14:paraId="124669F9" w14:textId="77777777" w:rsidR="000953D2" w:rsidRPr="009118AB" w:rsidRDefault="000953D2" w:rsidP="000953D2">
      <w:pPr>
        <w:jc w:val="both"/>
      </w:pPr>
      <w:r w:rsidRPr="009118AB">
        <w:tab/>
        <w:t>12. der Ausdruck "qualifizierte Vereinbarung zwischen den zuständigen Behörden": eine Vereinbarung:</w:t>
      </w:r>
    </w:p>
    <w:p w14:paraId="325C226A" w14:textId="77777777" w:rsidR="000953D2" w:rsidRPr="009118AB" w:rsidRDefault="000953D2" w:rsidP="000953D2">
      <w:pPr>
        <w:jc w:val="both"/>
      </w:pPr>
    </w:p>
    <w:p w14:paraId="13A115C0" w14:textId="77777777" w:rsidR="000953D2" w:rsidRPr="009118AB" w:rsidRDefault="000953D2" w:rsidP="000953D2">
      <w:pPr>
        <w:jc w:val="both"/>
      </w:pPr>
      <w:r w:rsidRPr="009118AB">
        <w:tab/>
      </w:r>
      <w:r w:rsidRPr="009118AB">
        <w:rPr>
          <w:i/>
        </w:rPr>
        <w:t>a)</w:t>
      </w:r>
      <w:r w:rsidRPr="009118AB">
        <w:t> zwischen den bevollmächtigten Vertretern Belgiens und von Staaten außerhalb der Europäischen Union, die Vertragsparteien eines internationalen Übereinkommens sind,</w:t>
      </w:r>
    </w:p>
    <w:p w14:paraId="25CC270A" w14:textId="77777777" w:rsidR="000953D2" w:rsidRPr="009118AB" w:rsidRDefault="000953D2" w:rsidP="000953D2">
      <w:pPr>
        <w:jc w:val="both"/>
      </w:pPr>
    </w:p>
    <w:p w14:paraId="24027EA1" w14:textId="77777777" w:rsidR="000953D2" w:rsidRPr="009118AB" w:rsidRDefault="000953D2" w:rsidP="000953D2">
      <w:pPr>
        <w:jc w:val="both"/>
      </w:pPr>
      <w:r w:rsidRPr="009118AB">
        <w:tab/>
      </w:r>
      <w:r w:rsidRPr="009118AB">
        <w:rPr>
          <w:i/>
        </w:rPr>
        <w:t>b)</w:t>
      </w:r>
      <w:r w:rsidRPr="009118AB">
        <w:t> über den automatischen Austausch länderbezogener Berichte zwischen den beteiligten Staaten,</w:t>
      </w:r>
    </w:p>
    <w:p w14:paraId="0EC0B1B8" w14:textId="77777777" w:rsidR="000953D2" w:rsidRPr="009118AB" w:rsidRDefault="000953D2" w:rsidP="000953D2">
      <w:pPr>
        <w:jc w:val="both"/>
      </w:pPr>
    </w:p>
    <w:p w14:paraId="116EA169" w14:textId="77777777" w:rsidR="000953D2" w:rsidRPr="009118AB" w:rsidRDefault="000953D2" w:rsidP="000953D2">
      <w:pPr>
        <w:jc w:val="both"/>
      </w:pPr>
      <w:r w:rsidRPr="009118AB">
        <w:tab/>
        <w:t>13. der Ausdruck "konsolidierter Jahresabschluss": den Jahresabschluss einer multinationalen Gruppe, in dem Aktiva, Passiva, Erträge, Aufwendungen und gegebenenfalls Cashflows der obersten Muttergesellschaft und der Geschäftseinheiten so dargestellt werden, als gehörten sie zu einer einzigen wirtschaftlichen Einheit,</w:t>
      </w:r>
    </w:p>
    <w:p w14:paraId="5C32EA25" w14:textId="77777777" w:rsidR="000953D2" w:rsidRPr="009118AB" w:rsidRDefault="000953D2" w:rsidP="000953D2">
      <w:pPr>
        <w:jc w:val="both"/>
      </w:pPr>
    </w:p>
    <w:p w14:paraId="284D85B4" w14:textId="77777777" w:rsidR="000953D2" w:rsidRPr="009118AB" w:rsidRDefault="000953D2" w:rsidP="000953D2">
      <w:pPr>
        <w:jc w:val="both"/>
      </w:pPr>
      <w:r w:rsidRPr="009118AB">
        <w:tab/>
        <w:t>14. der Ausdruck "systematisches Versagen" in Bezug auf einen Staat: den Umstand, dass ein Staat zwar über eine geltende qualifizierte Vereinbarung zwischen den zuständigen Behörden mit Belgien verfügt, den automatischen Informationsaustausch aus anderen als den in den Bestimmungen dieser Vereinbarung vorgesehenen Gründen jedoch ausgesetzt hat, oder dass ein Staat systematisch versäumt hat, Belgien die in seinem Besitz befindlichen länderbezogenen Berichte über multinationale Gruppen mit Geschäftseinheiten in Belgien automatisch zu übermitteln,</w:t>
      </w:r>
    </w:p>
    <w:p w14:paraId="410F1252" w14:textId="77777777" w:rsidR="000953D2" w:rsidRPr="009118AB" w:rsidRDefault="000953D2" w:rsidP="000953D2">
      <w:pPr>
        <w:jc w:val="both"/>
      </w:pPr>
    </w:p>
    <w:p w14:paraId="7A3EBC03" w14:textId="77777777" w:rsidR="000953D2" w:rsidRPr="009118AB" w:rsidRDefault="000953D2" w:rsidP="000953D2">
      <w:pPr>
        <w:jc w:val="both"/>
      </w:pPr>
      <w:r w:rsidRPr="009118AB">
        <w:tab/>
        <w:t>15. der Ausdruck "länderbezogener Bericht": einen Bericht, der folgende Informationen enthält:</w:t>
      </w:r>
    </w:p>
    <w:p w14:paraId="53BFB254" w14:textId="77777777" w:rsidR="000953D2" w:rsidRPr="009118AB" w:rsidRDefault="000953D2" w:rsidP="000953D2">
      <w:pPr>
        <w:jc w:val="both"/>
      </w:pPr>
    </w:p>
    <w:p w14:paraId="7C292870" w14:textId="77777777" w:rsidR="000953D2" w:rsidRPr="009118AB" w:rsidRDefault="000953D2" w:rsidP="000953D2">
      <w:pPr>
        <w:jc w:val="both"/>
      </w:pPr>
      <w:r w:rsidRPr="009118AB">
        <w:tab/>
      </w:r>
      <w:r w:rsidRPr="009118AB">
        <w:rPr>
          <w:i/>
        </w:rPr>
        <w:t>a)</w:t>
      </w:r>
      <w:r w:rsidRPr="009118AB">
        <w:t> aggregierte Angaben zur Höhe der Erträge und der Gewinne oder Verluste vor Abzug der Einkommensteuer, der bereits gezahlten Einkommensteuer, der im einfachen Jahresabschluss aufgenommenen noch zu zahlenden Einkommensteuer, des eingezahlten Kapitals, der Gewinnrücklagen, zur Anzahl Personalmitglieder in Vollzeitgleichwerten und zu den Aktiva ohne flüssige Mittel, Geldanlagen mit einem Fälligkeitstermin von weniger als drei Monaten und ohne wesentliche Wertschwankungen, immaterielle Anlagen und innerhalb der Finanzanlagen verbuchte Aktien für alle Staaten, in denen die multinationale Gruppe tätig ist,</w:t>
      </w:r>
    </w:p>
    <w:p w14:paraId="52014E6B" w14:textId="77777777" w:rsidR="000953D2" w:rsidRPr="009118AB" w:rsidRDefault="000953D2" w:rsidP="000953D2">
      <w:pPr>
        <w:jc w:val="both"/>
      </w:pPr>
    </w:p>
    <w:p w14:paraId="172A30EC" w14:textId="69B429C7" w:rsidR="000953D2" w:rsidRPr="009118AB" w:rsidRDefault="000953D2" w:rsidP="000953D2">
      <w:pPr>
        <w:jc w:val="both"/>
      </w:pPr>
      <w:r w:rsidRPr="009118AB">
        <w:tab/>
      </w:r>
      <w:r w:rsidRPr="009118AB">
        <w:rPr>
          <w:i/>
        </w:rPr>
        <w:t>b)</w:t>
      </w:r>
      <w:r w:rsidRPr="009118AB">
        <w:t> Angaben zu allen Geschäftseinheiten der multinationalen Gruppe, wobei der Staat, in dem diese Geschäftseinheit ansässig ist, aufzuführen ist und</w:t>
      </w:r>
      <w:r w:rsidR="00D67EB8" w:rsidRPr="009118AB">
        <w:t> - </w:t>
      </w:r>
      <w:r w:rsidRPr="009118AB">
        <w:t>sofern abweichend</w:t>
      </w:r>
      <w:r w:rsidR="00D67EB8" w:rsidRPr="009118AB">
        <w:t> - </w:t>
      </w:r>
      <w:r w:rsidRPr="009118AB">
        <w:t>der Staat, nach dessen Rechtsvorschriften diese Geschäftseinheit gegründet wurde, und die Art der wichtigsten Geschäftstätigkeit oder Geschäftstätigkeiten dieser Geschäftseinheit,</w:t>
      </w:r>
    </w:p>
    <w:p w14:paraId="48A37D3D" w14:textId="77777777" w:rsidR="000953D2" w:rsidRPr="009118AB" w:rsidRDefault="000953D2" w:rsidP="000953D2">
      <w:pPr>
        <w:jc w:val="both"/>
      </w:pPr>
    </w:p>
    <w:p w14:paraId="43086D25" w14:textId="77777777" w:rsidR="000953D2" w:rsidRPr="009118AB"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16. der Ausdruck "Betriebseinheit": einen Teilbereich, eine Abteilung oder eine Sektion einer belgischen Geschäftseinheit in Zusammenhang mit einer bestimmten Tätigkeit, einer bestimmten Erzeugnisgruppe oder einer bestimmten Technologie.]</w:t>
      </w:r>
    </w:p>
    <w:p w14:paraId="354FF211" w14:textId="77777777" w:rsidR="007F54BB" w:rsidRPr="009118AB"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70656E8" w14:textId="315340D3" w:rsidR="007F54BB" w:rsidRPr="009118AB"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rPr>
        <w:t>[</w:t>
      </w:r>
      <w:r w:rsidR="00D67EB8" w:rsidRPr="009118AB">
        <w:rPr>
          <w:i/>
        </w:rPr>
        <w:t>Art. </w:t>
      </w:r>
      <w:r w:rsidRPr="009118AB">
        <w:rPr>
          <w:i/>
        </w:rPr>
        <w:t xml:space="preserve">321/1 eingefügt durch </w:t>
      </w:r>
      <w:r w:rsidR="00D67EB8" w:rsidRPr="009118AB">
        <w:rPr>
          <w:i/>
        </w:rPr>
        <w:t>Art. </w:t>
      </w:r>
      <w:r w:rsidRPr="009118AB">
        <w:rPr>
          <w:i/>
        </w:rPr>
        <w:t>54 des G. vom 1. Juli 2016 (B.S. vom 4. Juli 2016)</w:t>
      </w:r>
      <w:r w:rsidR="00D67EB8" w:rsidRPr="009118AB">
        <w:rPr>
          <w:i/>
        </w:rPr>
        <w:t> - </w:t>
      </w:r>
      <w:r w:rsidR="00A57DFE" w:rsidRPr="009118AB">
        <w:rPr>
          <w:i/>
        </w:rPr>
        <w:t>wirksam für Berichtszeiträume von multinationalen Gruppen oder Rechnungsjahre, die ab dem 1. Januar 2016 beginnen</w:t>
      </w:r>
      <w:r w:rsidR="00FD68E8" w:rsidRPr="009118AB">
        <w:rPr>
          <w:i/>
        </w:rPr>
        <w:t> -]</w:t>
      </w:r>
    </w:p>
    <w:p w14:paraId="2940EF3B" w14:textId="77777777" w:rsidR="007F54BB" w:rsidRPr="009118AB"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2661F5" w14:textId="77777777" w:rsidR="007F54BB" w:rsidRPr="009118AB"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A88BE55" w14:textId="076E8375" w:rsidR="007F54BB" w:rsidRPr="009118AB" w:rsidRDefault="007F54BB" w:rsidP="007F54BB">
      <w:pPr>
        <w:jc w:val="both"/>
        <w:rPr>
          <w:spacing w:val="-4"/>
        </w:rPr>
      </w:pPr>
      <w:r w:rsidRPr="009118AB">
        <w:rPr>
          <w:spacing w:val="-4"/>
        </w:rPr>
        <w:tab/>
        <w:t>[</w:t>
      </w:r>
      <w:r w:rsidR="00D67EB8" w:rsidRPr="009118AB">
        <w:rPr>
          <w:b/>
          <w:spacing w:val="-4"/>
        </w:rPr>
        <w:t>Art. </w:t>
      </w:r>
      <w:r w:rsidRPr="009118AB">
        <w:rPr>
          <w:b/>
          <w:spacing w:val="-4"/>
        </w:rPr>
        <w:t>321/2</w:t>
      </w:r>
      <w:r w:rsidR="00D67EB8" w:rsidRPr="009118AB">
        <w:rPr>
          <w:spacing w:val="-4"/>
        </w:rPr>
        <w:t> - § </w:t>
      </w:r>
      <w:r w:rsidRPr="009118AB">
        <w:rPr>
          <w:spacing w:val="-4"/>
        </w:rPr>
        <w:t>1</w:t>
      </w:r>
      <w:r w:rsidR="00D67EB8" w:rsidRPr="009118AB">
        <w:rPr>
          <w:spacing w:val="-4"/>
        </w:rPr>
        <w:t> - </w:t>
      </w:r>
      <w:r w:rsidRPr="009118AB">
        <w:rPr>
          <w:spacing w:val="-4"/>
        </w:rPr>
        <w:t>Jede belgische Geschäftseinheit, bei der es sich um die oberste Mutter</w:t>
      </w:r>
      <w:r w:rsidR="00663EC7" w:rsidRPr="009118AB">
        <w:rPr>
          <w:spacing w:val="-4"/>
        </w:rPr>
        <w:softHyphen/>
      </w:r>
      <w:r w:rsidRPr="009118AB">
        <w:rPr>
          <w:spacing w:val="-4"/>
        </w:rPr>
        <w:t>gesellschaft einer multinationalen Gruppe handelt, muss der für die Festlegung der Ein</w:t>
      </w:r>
      <w:r w:rsidR="00663EC7" w:rsidRPr="009118AB">
        <w:rPr>
          <w:spacing w:val="-4"/>
        </w:rPr>
        <w:softHyphen/>
      </w:r>
      <w:r w:rsidRPr="009118AB">
        <w:rPr>
          <w:spacing w:val="-4"/>
        </w:rPr>
        <w:t>kommen</w:t>
      </w:r>
      <w:r w:rsidR="00663EC7" w:rsidRPr="009118AB">
        <w:rPr>
          <w:spacing w:val="-4"/>
        </w:rPr>
        <w:softHyphen/>
      </w:r>
      <w:r w:rsidRPr="009118AB">
        <w:rPr>
          <w:spacing w:val="-4"/>
        </w:rPr>
        <w:t>steuern zuständigen belgischen Verwaltung innerhalb zwölf Monaten nach dem letzten Tag des Berichtszeitraums einen länderbezogenen Bericht für diesen Berichtszeitraum übermitteln.</w:t>
      </w:r>
    </w:p>
    <w:p w14:paraId="7AFAA3E8" w14:textId="77777777" w:rsidR="007F54BB" w:rsidRPr="009118AB" w:rsidRDefault="007F54BB" w:rsidP="007F54BB">
      <w:pPr>
        <w:jc w:val="both"/>
      </w:pPr>
    </w:p>
    <w:p w14:paraId="7C6F0419" w14:textId="1957F0C9" w:rsidR="007F54BB" w:rsidRPr="009118AB" w:rsidRDefault="007F54BB" w:rsidP="007F54BB">
      <w:pPr>
        <w:jc w:val="both"/>
      </w:pPr>
      <w:r w:rsidRPr="009118AB">
        <w:tab/>
      </w:r>
      <w:r w:rsidR="00D67EB8" w:rsidRPr="009118AB">
        <w:t>§ </w:t>
      </w:r>
      <w:r w:rsidRPr="009118AB">
        <w:t>2</w:t>
      </w:r>
      <w:r w:rsidR="00D67EB8" w:rsidRPr="009118AB">
        <w:t> - </w:t>
      </w:r>
      <w:r w:rsidRPr="009118AB">
        <w:t>Eine belgische Geschäftseinheit, bei der es sich nicht um die oberste Muttergesellschaft einer multinationalen Gruppe handelt, muss der für die Festlegung der Einkommensteuern zuständigen belgischen Verwaltung innerhalb zwölf Monaten nach dem letzten Tag des Berichtszeitraums einen länderbezogenen Bericht für den letzten abgeschlossenen Berichtszeitraum der multinationalen Gruppe, deren Geschäftseinheit sie ist, übermitteln, wenn eine der folgenden Voraussetzungen zutrifft:</w:t>
      </w:r>
    </w:p>
    <w:p w14:paraId="49FD26FF" w14:textId="77777777" w:rsidR="007F54BB" w:rsidRPr="009118AB" w:rsidRDefault="007F54BB" w:rsidP="007F54BB">
      <w:pPr>
        <w:jc w:val="both"/>
      </w:pPr>
    </w:p>
    <w:p w14:paraId="0FCDDE7B" w14:textId="77777777" w:rsidR="007F54BB" w:rsidRPr="009118AB" w:rsidRDefault="007F54BB" w:rsidP="007F54BB">
      <w:pPr>
        <w:jc w:val="both"/>
      </w:pPr>
      <w:r w:rsidRPr="009118AB">
        <w:tab/>
        <w:t>- Die oberste Muttergesellschaft der multinationalen Gruppe ist nicht dazu verpflichtet, einen länderbezogenen Bericht im Staat ihrer steuerlichen Ansässigkeit vorzulegen, oder</w:t>
      </w:r>
    </w:p>
    <w:p w14:paraId="67DCBFFD" w14:textId="77777777" w:rsidR="007F54BB" w:rsidRPr="009118AB" w:rsidRDefault="007F54BB" w:rsidP="007F54BB">
      <w:pPr>
        <w:jc w:val="both"/>
      </w:pPr>
    </w:p>
    <w:p w14:paraId="1ABE4CAA" w14:textId="77777777" w:rsidR="007F54BB" w:rsidRPr="009118AB" w:rsidRDefault="007F54BB" w:rsidP="007F54BB">
      <w:pPr>
        <w:jc w:val="both"/>
      </w:pPr>
      <w:r w:rsidRPr="009118AB">
        <w:tab/>
        <w:t>- der Staat, in dem die oberste Muttergesellschaft steuerlich ansässig ist, verfügt spätestens zwölf Monate nach dem letzten Tag des Berichtszeitraums über keine geltende qualifizierte Vereinbarung zwischen den zuständigen Behörden, deren Vertragspartei Belgien ist, oder</w:t>
      </w:r>
    </w:p>
    <w:p w14:paraId="118FE3FC" w14:textId="77777777" w:rsidR="007F54BB" w:rsidRPr="009118AB" w:rsidRDefault="007F54BB" w:rsidP="007F54BB">
      <w:pPr>
        <w:jc w:val="both"/>
      </w:pPr>
    </w:p>
    <w:p w14:paraId="582A064C" w14:textId="77777777" w:rsidR="007F54BB" w:rsidRPr="009118AB" w:rsidRDefault="007F54BB" w:rsidP="007F54BB">
      <w:pPr>
        <w:jc w:val="both"/>
      </w:pPr>
      <w:r w:rsidRPr="009118AB">
        <w:tab/>
        <w:t>- die für die Festlegung der Einkommensteuern zuständige belgische Verwaltung hat die belgische Geschäftseinheit über ein systematisches Versagen des Staates der steuerlichen Ansässigkeit der obersten Muttergesellschaft informiert.</w:t>
      </w:r>
    </w:p>
    <w:p w14:paraId="5F4083F3" w14:textId="77777777" w:rsidR="007F54BB" w:rsidRPr="009118AB" w:rsidRDefault="007F54BB" w:rsidP="007F54BB">
      <w:pPr>
        <w:jc w:val="both"/>
      </w:pPr>
    </w:p>
    <w:p w14:paraId="4912E229" w14:textId="77777777" w:rsidR="007F54BB" w:rsidRPr="009118AB" w:rsidRDefault="007F54BB" w:rsidP="007F54BB">
      <w:pPr>
        <w:jc w:val="both"/>
        <w:rPr>
          <w:spacing w:val="-2"/>
        </w:rPr>
      </w:pPr>
      <w:r w:rsidRPr="009118AB">
        <w:rPr>
          <w:spacing w:val="-2"/>
        </w:rPr>
        <w:tab/>
        <w:t>Die belgische Geschäftseinheit fordert ihre oberste Muttergesellschaft auf, ihr alle Infor</w:t>
      </w:r>
      <w:r w:rsidR="00663EC7" w:rsidRPr="009118AB">
        <w:rPr>
          <w:spacing w:val="-2"/>
        </w:rPr>
        <w:softHyphen/>
      </w:r>
      <w:r w:rsidRPr="009118AB">
        <w:rPr>
          <w:spacing w:val="-2"/>
        </w:rPr>
        <w:t>mationen zur Verfügung zu stellen, die sie benötigt, um ihren Verpflichtungen zur Vorlage eines länderbezogenen Berichts nachzukommen. Hat diese belgische Geschäfts</w:t>
      </w:r>
      <w:r w:rsidRPr="009118AB">
        <w:rPr>
          <w:spacing w:val="-2"/>
        </w:rPr>
        <w:softHyphen/>
        <w:t>einheit dennoch nicht alle erforderlichen Informationen zur Berichterstattung für die multinationale Gruppe erhalten oder eingeholt, so legt sie einen länderbezogenen Bericht mit allen Informationen, über die sie verfügt beziehungsweise die sie erhalten oder eingeholt hat, vor und unterrichtet die für die Festlegung der Einkommensteuern zuständige belgische Verwaltung darüber, dass die oberste Muttergesellschaft sich geweigert hat, die erforderlichen Informationen bereitzustellen. Die für die Festlegung der Einkommensteuern zuständige belgische Verwaltung unterrichtet alle anderen Mitgliedstaaten der Europäischen Union über diese Weigerung.</w:t>
      </w:r>
    </w:p>
    <w:p w14:paraId="747B1369" w14:textId="77777777" w:rsidR="007F54BB" w:rsidRPr="009118AB" w:rsidRDefault="007F54BB" w:rsidP="007F54BB">
      <w:pPr>
        <w:jc w:val="both"/>
      </w:pPr>
    </w:p>
    <w:p w14:paraId="30A49F27" w14:textId="77777777" w:rsidR="007F54BB" w:rsidRPr="009118AB" w:rsidRDefault="007F54BB" w:rsidP="007F54BB">
      <w:pPr>
        <w:jc w:val="both"/>
      </w:pPr>
      <w:r w:rsidRPr="009118AB">
        <w:tab/>
        <w:t>Bei mehr als einer in der Europäischen Union steuerlich ansässigen Geschäftseinheit derselben multinationalen Gruppe und bei Erfüllung einer oder mehrerer Voraussetzungen gemäß Absatz 1 kann die multinationale Gruppe eine dieser Geschäftseinheiten benennen:</w:t>
      </w:r>
    </w:p>
    <w:p w14:paraId="367A6652" w14:textId="77777777" w:rsidR="007F54BB" w:rsidRPr="009118AB" w:rsidRDefault="007F54BB" w:rsidP="007F54BB">
      <w:pPr>
        <w:jc w:val="both"/>
      </w:pPr>
    </w:p>
    <w:p w14:paraId="10B438C0" w14:textId="77777777" w:rsidR="007F54BB" w:rsidRPr="009118AB" w:rsidRDefault="007F54BB" w:rsidP="007F54BB">
      <w:pPr>
        <w:jc w:val="both"/>
      </w:pPr>
      <w:r w:rsidRPr="009118AB">
        <w:tab/>
        <w:t>- die der für die Festlegung der Einkommensteuern zuständigen Verwaltung spätestens zwölf Monate nach dem letzten Tag des Berichtszeitraums den länderbezogenen Bericht für den letzten abgeschlossenen Berichtszeitraum vorlegt und</w:t>
      </w:r>
    </w:p>
    <w:p w14:paraId="6CF1D2DF" w14:textId="77777777" w:rsidR="007F54BB" w:rsidRPr="009118AB" w:rsidRDefault="007F54BB" w:rsidP="007F54BB">
      <w:pPr>
        <w:jc w:val="both"/>
      </w:pPr>
    </w:p>
    <w:p w14:paraId="1433ACE6" w14:textId="77777777" w:rsidR="007F54BB" w:rsidRPr="009118AB" w:rsidRDefault="007F54BB" w:rsidP="007F54BB">
      <w:pPr>
        <w:jc w:val="both"/>
      </w:pPr>
      <w:r w:rsidRPr="009118AB">
        <w:tab/>
        <w:t>- die die Steuerverwaltung, der der länderbezogene Bericht vorgelegt wird, darüber informiert, dass mit dieser Vorlage der für alle in der Europäischen Union steuerlich ansässigen Geschäftseinheiten dieser multinationalen Gruppe bestehenden Berichtspflicht nachgekommen wird.</w:t>
      </w:r>
    </w:p>
    <w:p w14:paraId="1D7CBF03" w14:textId="77777777" w:rsidR="007F54BB" w:rsidRPr="009118AB" w:rsidRDefault="007F54BB" w:rsidP="007F54BB">
      <w:pPr>
        <w:jc w:val="both"/>
      </w:pPr>
    </w:p>
    <w:p w14:paraId="55B88631" w14:textId="77777777" w:rsidR="007F54BB" w:rsidRPr="009118AB" w:rsidRDefault="007F54BB" w:rsidP="007F54BB">
      <w:pPr>
        <w:jc w:val="both"/>
      </w:pPr>
      <w:r w:rsidRPr="009118AB">
        <w:tab/>
        <w:t>Kann eine Geschäftseinheit nicht alle Informationen, die für die Vorlage eines länderbezogenen Berichts erforderlich sind, erhalten oder einholen, so kann sie nicht als berichtender Rechtsträger der multinationalen Gruppe gemäß vorhergehendem Absatz benannt werden. Diese Vorschrift gilt unbeschadet der Verpflichtung der Geschäftseinheit, dem Mitgliedstaat ihres Steuerwohnsitzes zu melden, dass die oberste Muttergesellschaft sich geweigert hat, die erforderlichen Informationen zur Verfügung zu stellen.</w:t>
      </w:r>
    </w:p>
    <w:p w14:paraId="2300F72B" w14:textId="77777777" w:rsidR="007F54BB" w:rsidRPr="009118AB" w:rsidRDefault="007F54BB" w:rsidP="007F54BB">
      <w:pPr>
        <w:jc w:val="both"/>
      </w:pPr>
    </w:p>
    <w:p w14:paraId="7716FFA3" w14:textId="36497CFE" w:rsidR="007F54BB" w:rsidRPr="009118AB" w:rsidRDefault="007F54BB" w:rsidP="007F54BB">
      <w:pPr>
        <w:jc w:val="both"/>
      </w:pPr>
      <w:r w:rsidRPr="009118AB">
        <w:tab/>
      </w:r>
      <w:r w:rsidR="00D67EB8" w:rsidRPr="009118AB">
        <w:t>§ </w:t>
      </w:r>
      <w:r w:rsidRPr="009118AB">
        <w:t>3</w:t>
      </w:r>
      <w:r w:rsidR="00D67EB8" w:rsidRPr="009118AB">
        <w:t> - </w:t>
      </w:r>
      <w:r w:rsidRPr="009118AB">
        <w:t xml:space="preserve">Ungeachtet der Bestimmungen von </w:t>
      </w:r>
      <w:r w:rsidR="00D67EB8" w:rsidRPr="009118AB">
        <w:t>§ </w:t>
      </w:r>
      <w:r w:rsidRPr="009118AB">
        <w:t>2 ist eine belgische Geschäftseinheit nicht verpflichtet, der für die Festlegung der Einkommensteuern zuständigen belgischen Verwaltung einen länderbezogenen Bericht für irgendeinen Berichtszeitraum vorzulegen, sofern die multinationale Gruppe, deren Geschäftseinheit sie ist, spätestens zwölf Monate nach dem letzten Tag des Berichtszeitraums für diesen Berichtszeitraum einen länderbezogenen Bericht über eine vertretende Muttergesellschaft bereitstellt, die diesen länderbezogenen Bericht den Steuerbehörden des Staates, in dem sie ansässig ist, vorlegt. Dazu müssen sämtliche folgende Voraussetzungen erfüllt sein:</w:t>
      </w:r>
    </w:p>
    <w:p w14:paraId="485A1A4F" w14:textId="77777777" w:rsidR="007F54BB" w:rsidRPr="009118AB" w:rsidRDefault="007F54BB" w:rsidP="007F54BB">
      <w:pPr>
        <w:jc w:val="both"/>
      </w:pPr>
    </w:p>
    <w:p w14:paraId="43B0198C" w14:textId="77777777" w:rsidR="007F54BB" w:rsidRPr="009118AB" w:rsidRDefault="007F54BB" w:rsidP="007F54BB">
      <w:pPr>
        <w:jc w:val="both"/>
      </w:pPr>
      <w:r w:rsidRPr="009118AB">
        <w:tab/>
        <w:t>1. Der Staat der steuerlichen Ansässigkeit der vertretenden Muttergesellschaft verlangt die Vorlage eines länderbezogenen Berichts.</w:t>
      </w:r>
    </w:p>
    <w:p w14:paraId="55D0E953" w14:textId="77777777" w:rsidR="007F54BB" w:rsidRPr="009118AB" w:rsidRDefault="007F54BB" w:rsidP="007F54BB">
      <w:pPr>
        <w:jc w:val="both"/>
      </w:pPr>
    </w:p>
    <w:p w14:paraId="4A93EA58" w14:textId="77777777" w:rsidR="007F54BB" w:rsidRPr="009118AB" w:rsidRDefault="007F54BB" w:rsidP="007F54BB">
      <w:pPr>
        <w:jc w:val="both"/>
      </w:pPr>
      <w:r w:rsidRPr="009118AB">
        <w:tab/>
        <w:t>2. Der Staat der steuerlichen Ansässigkeit der vertretenden Muttergesellschaft verfügt spätestens zwölf Monate nach dem letzten Tag des Berichtszeitraums, für den ein länderbezogener Bericht vorgelegt werden muss, über eine geltende qualifizierte Vereinbarung zwischen den zuständigen Behörden, deren Vertragspartei Belgien ist.</w:t>
      </w:r>
    </w:p>
    <w:p w14:paraId="27921FF7" w14:textId="77777777" w:rsidR="007F54BB" w:rsidRPr="009118AB" w:rsidRDefault="007F54BB" w:rsidP="007F54BB">
      <w:pPr>
        <w:jc w:val="both"/>
      </w:pPr>
    </w:p>
    <w:p w14:paraId="2BE11315" w14:textId="77777777" w:rsidR="007F54BB" w:rsidRPr="009118AB" w:rsidRDefault="007F54BB" w:rsidP="007F54BB">
      <w:pPr>
        <w:jc w:val="both"/>
      </w:pPr>
      <w:r w:rsidRPr="009118AB">
        <w:tab/>
        <w:t>3. Der Staat der steuerlichen Ansässigkeit der vertretenden Muttergesellschaft hat die für die Festlegung der Einkommensteuern zuständige belgische Verwaltung nicht über ein systematisches Versagen informiert.</w:t>
      </w:r>
    </w:p>
    <w:p w14:paraId="74A5E9FD" w14:textId="77777777" w:rsidR="007F54BB" w:rsidRPr="009118AB" w:rsidRDefault="007F54BB" w:rsidP="007F54BB">
      <w:pPr>
        <w:jc w:val="both"/>
      </w:pPr>
    </w:p>
    <w:p w14:paraId="1C0E7531" w14:textId="17F836BB" w:rsidR="007F54BB" w:rsidRPr="009118AB" w:rsidRDefault="007F54BB" w:rsidP="007F54BB">
      <w:pPr>
        <w:jc w:val="both"/>
      </w:pPr>
      <w:r w:rsidRPr="009118AB">
        <w:tab/>
        <w:t xml:space="preserve">4. Dem Staat der steuerlichen Ansässigkeit der vertretenden Muttergesellschaft wurde gemäß Artikel 321/3 </w:t>
      </w:r>
      <w:r w:rsidR="00D67EB8" w:rsidRPr="009118AB">
        <w:t>§ </w:t>
      </w:r>
      <w:r w:rsidRPr="009118AB">
        <w:t>1 von der in seinem Steuerhoheitsgebiet ansässigen Geschäftseinheit mitgeteilt, dass sie die vertretende Muttergesellschaft ist.</w:t>
      </w:r>
    </w:p>
    <w:p w14:paraId="71B28A07" w14:textId="77777777" w:rsidR="007F54BB" w:rsidRPr="009118AB" w:rsidRDefault="007F54BB" w:rsidP="007F54BB">
      <w:pPr>
        <w:jc w:val="both"/>
      </w:pPr>
    </w:p>
    <w:p w14:paraId="69661558" w14:textId="5F6910F6" w:rsidR="007F54BB" w:rsidRPr="009118AB" w:rsidRDefault="007F54BB" w:rsidP="007F54BB">
      <w:pPr>
        <w:jc w:val="both"/>
      </w:pPr>
      <w:r w:rsidRPr="009118AB">
        <w:tab/>
        <w:t xml:space="preserve">5. Die für die Festlegung der Einkommensteuern zuständige belgische Verwaltung hat eine Mitteilung gemäß Artikel 321/3 </w:t>
      </w:r>
      <w:r w:rsidR="00D67EB8" w:rsidRPr="009118AB">
        <w:t>§ </w:t>
      </w:r>
      <w:r w:rsidRPr="009118AB">
        <w:t>2 erhalten.</w:t>
      </w:r>
    </w:p>
    <w:p w14:paraId="0C4DB2E7" w14:textId="77777777" w:rsidR="007F54BB" w:rsidRPr="009118AB" w:rsidRDefault="007F54BB" w:rsidP="007F54BB">
      <w:pPr>
        <w:jc w:val="both"/>
      </w:pPr>
    </w:p>
    <w:p w14:paraId="1BD50AE8" w14:textId="6D5441AF" w:rsidR="007F54BB" w:rsidRPr="009118AB" w:rsidRDefault="007F54BB" w:rsidP="007F54BB">
      <w:pPr>
        <w:jc w:val="both"/>
      </w:pPr>
      <w:r w:rsidRPr="009118AB">
        <w:tab/>
      </w:r>
      <w:r w:rsidR="00D67EB8" w:rsidRPr="009118AB">
        <w:t>§ </w:t>
      </w:r>
      <w:r w:rsidRPr="009118AB">
        <w:t>4</w:t>
      </w:r>
      <w:r w:rsidR="00D67EB8" w:rsidRPr="009118AB">
        <w:t> - </w:t>
      </w:r>
      <w:r w:rsidRPr="009118AB">
        <w:t>In den vorhergehenden Paragraphen vorgesehene Verpflichtungen sind anwendbar auf multinationale Gruppen, die für den Berichtszeitraum unmittelbar vor dem letzten abgeschlossenen Berichtszeitraum konsolidierte Erträge, wie im konsolidierten Jahresabschluss der Gruppe für diesen vorhergehenden Berichtszeitraum ausgewiesen, in Höhe von mindestens 750 Millionen EUR erzielt haben.</w:t>
      </w:r>
    </w:p>
    <w:p w14:paraId="57102897" w14:textId="77777777" w:rsidR="007F54BB" w:rsidRPr="009118AB" w:rsidRDefault="007F54BB" w:rsidP="007F54BB">
      <w:pPr>
        <w:jc w:val="both"/>
      </w:pPr>
    </w:p>
    <w:p w14:paraId="21F21F8B" w14:textId="5021FA39" w:rsidR="007F54BB" w:rsidRPr="009118AB" w:rsidRDefault="007F54BB" w:rsidP="007F54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5</w:t>
      </w:r>
      <w:r w:rsidR="00D67EB8" w:rsidRPr="009118AB">
        <w:t> - </w:t>
      </w:r>
      <w:r w:rsidRPr="009118AB">
        <w:t>Der länderbezogene Bericht wird anhand eines Formulars eingereicht; der König legt Muster und Modalitäten für die Einreichung dieses Formulars fest.]</w:t>
      </w:r>
    </w:p>
    <w:p w14:paraId="60B0E68B" w14:textId="77777777" w:rsidR="000953D2" w:rsidRPr="009118AB"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D895489" w14:textId="057AE287" w:rsidR="00243FDA" w:rsidRPr="009118AB"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rPr>
        <w:t>[</w:t>
      </w:r>
      <w:r w:rsidR="00D67EB8" w:rsidRPr="009118AB">
        <w:rPr>
          <w:i/>
        </w:rPr>
        <w:t>Art. </w:t>
      </w:r>
      <w:r w:rsidRPr="009118AB">
        <w:rPr>
          <w:i/>
        </w:rPr>
        <w:t xml:space="preserve">321/2 eingefügt durch </w:t>
      </w:r>
      <w:r w:rsidR="00D67EB8" w:rsidRPr="009118AB">
        <w:rPr>
          <w:i/>
        </w:rPr>
        <w:t>Art. </w:t>
      </w:r>
      <w:r w:rsidRPr="009118AB">
        <w:rPr>
          <w:i/>
        </w:rPr>
        <w:t>55 des G. vom 1. Juli 2016 (B.S. vom 4. Juli 2016)</w:t>
      </w:r>
      <w:r w:rsidR="00D67EB8" w:rsidRPr="009118AB">
        <w:rPr>
          <w:i/>
        </w:rPr>
        <w:t> - </w:t>
      </w:r>
      <w:r w:rsidR="00663EC7" w:rsidRPr="009118AB">
        <w:rPr>
          <w:i/>
        </w:rPr>
        <w:t>wirksam für Berichtszeiträume von multinationalen Gruppen oder Rechnungsjahre, die ab dem 1. Januar 2016 beginnen</w:t>
      </w:r>
      <w:r w:rsidR="00FD68E8" w:rsidRPr="009118AB">
        <w:rPr>
          <w:i/>
        </w:rPr>
        <w:t> -]</w:t>
      </w:r>
    </w:p>
    <w:p w14:paraId="187CF725" w14:textId="77777777"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220529" w14:textId="77777777"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D2CAAA4" w14:textId="57AE5F54" w:rsidR="00243FDA" w:rsidRPr="009118AB" w:rsidRDefault="00243FDA" w:rsidP="00243FDA">
      <w:pPr>
        <w:jc w:val="both"/>
      </w:pPr>
      <w:r w:rsidRPr="009118AB">
        <w:tab/>
        <w:t>[</w:t>
      </w:r>
      <w:r w:rsidR="00D67EB8" w:rsidRPr="009118AB">
        <w:rPr>
          <w:b/>
        </w:rPr>
        <w:t>Art. </w:t>
      </w:r>
      <w:r w:rsidRPr="009118AB">
        <w:rPr>
          <w:b/>
        </w:rPr>
        <w:t>321/3</w:t>
      </w:r>
      <w:r w:rsidR="00D67EB8" w:rsidRPr="009118AB">
        <w:t> - § </w:t>
      </w:r>
      <w:r w:rsidRPr="009118AB">
        <w:t>1</w:t>
      </w:r>
      <w:r w:rsidR="00D67EB8" w:rsidRPr="009118AB">
        <w:t> - </w:t>
      </w:r>
      <w:r w:rsidRPr="009118AB">
        <w:t xml:space="preserve">Jede belgische Geschäftseinheit einer multinationalen Gruppe, die gemäß Artikel 321/2 </w:t>
      </w:r>
      <w:r w:rsidR="00D67EB8" w:rsidRPr="009118AB">
        <w:t>§ </w:t>
      </w:r>
      <w:r w:rsidRPr="009118AB">
        <w:t xml:space="preserve">4 einen länderbezogenen Bericht einreichen muss, teilt der für die Festlegung der Einkommensteuern zuständigen belgischen Verwaltung spätestens am letzten Tag des Berichtszeitraums dieser multinationalen Gruppe mit, ob sie die oberste Muttergesellschaft, die vertretende Muttergesellschaft oder eine Geschäftseinheit gemäß Artikel 321/2 </w:t>
      </w:r>
      <w:r w:rsidR="00D67EB8" w:rsidRPr="009118AB">
        <w:t>§ </w:t>
      </w:r>
      <w:r w:rsidRPr="009118AB">
        <w:t>2 ist.</w:t>
      </w:r>
    </w:p>
    <w:p w14:paraId="659B50FC" w14:textId="77777777" w:rsidR="00243FDA" w:rsidRPr="009118AB" w:rsidRDefault="00243FDA" w:rsidP="00243FDA">
      <w:pPr>
        <w:jc w:val="both"/>
      </w:pPr>
    </w:p>
    <w:p w14:paraId="127EB3AF" w14:textId="31B2BCD3" w:rsidR="00243FDA" w:rsidRPr="009118AB" w:rsidRDefault="00243FDA"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2</w:t>
      </w:r>
      <w:r w:rsidR="00D67EB8" w:rsidRPr="009118AB">
        <w:t> - </w:t>
      </w:r>
      <w:r w:rsidRPr="009118AB">
        <w:t xml:space="preserve">Ist eine belgische Geschäftseinheit einer multinationalen Gruppe, die gemäß Artikel 321/2 </w:t>
      </w:r>
      <w:r w:rsidR="00D67EB8" w:rsidRPr="009118AB">
        <w:t>§ </w:t>
      </w:r>
      <w:r w:rsidRPr="009118AB">
        <w:t xml:space="preserve">4 einen länderbezogenen Bericht einreichen muss, weder die oberste Muttergesellschaft noch die vertretende Muttergesellschaft noch eine Geschäftseinheit gemäß Artikel 321/2 </w:t>
      </w:r>
      <w:r w:rsidR="00D67EB8" w:rsidRPr="009118AB">
        <w:t>§ </w:t>
      </w:r>
      <w:r w:rsidRPr="009118AB">
        <w:t>2, informiert sie die für die Festlegung der Einkommensteuern zuständige belgische Verwaltung spätestens am letzten Tag des Berichtszeitraums dieser multinationalen Gruppe über Identität und Wohnsitz des berichtenden Rechtsträgers.]</w:t>
      </w:r>
    </w:p>
    <w:p w14:paraId="26E12833" w14:textId="26CFFB6E" w:rsidR="00A4441F" w:rsidRPr="009118AB" w:rsidRDefault="00A4441F"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ED68B4" w14:textId="4E47F4D7" w:rsidR="00A4441F" w:rsidRPr="009118AB" w:rsidRDefault="00A4441F"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118AB">
        <w:rPr>
          <w:spacing w:val="-2"/>
        </w:rPr>
        <w:tab/>
        <w:t>[</w:t>
      </w:r>
      <w:r w:rsidR="00D67EB8" w:rsidRPr="009118AB">
        <w:rPr>
          <w:spacing w:val="-2"/>
        </w:rPr>
        <w:t>§ </w:t>
      </w:r>
      <w:r w:rsidRPr="009118AB">
        <w:rPr>
          <w:spacing w:val="-2"/>
        </w:rPr>
        <w:t>3</w:t>
      </w:r>
      <w:r w:rsidR="00D67EB8" w:rsidRPr="009118AB">
        <w:rPr>
          <w:spacing w:val="-2"/>
        </w:rPr>
        <w:t> - </w:t>
      </w:r>
      <w:r w:rsidRPr="009118AB">
        <w:rPr>
          <w:spacing w:val="-2"/>
        </w:rPr>
        <w:t>In den Paragraphen 1 und 2 erwähnte Informationen, die von einer belgischen Geschäfts</w:t>
      </w:r>
      <w:r w:rsidRPr="009118AB">
        <w:rPr>
          <w:spacing w:val="-2"/>
        </w:rPr>
        <w:softHyphen/>
      </w:r>
      <w:r w:rsidR="008B69F7" w:rsidRPr="009118AB">
        <w:rPr>
          <w:spacing w:val="-2"/>
        </w:rPr>
        <w:softHyphen/>
      </w:r>
      <w:r w:rsidRPr="009118AB">
        <w:rPr>
          <w:spacing w:val="-2"/>
        </w:rPr>
        <w:t xml:space="preserve">einheit einer multinationalen Gruppe, die gemäß Artikel 321/2 </w:t>
      </w:r>
      <w:r w:rsidR="00D67EB8" w:rsidRPr="009118AB">
        <w:rPr>
          <w:spacing w:val="-2"/>
        </w:rPr>
        <w:t>§ </w:t>
      </w:r>
      <w:r w:rsidRPr="009118AB">
        <w:rPr>
          <w:spacing w:val="-2"/>
        </w:rPr>
        <w:t>4 einen länder</w:t>
      </w:r>
      <w:r w:rsidR="008B69F7" w:rsidRPr="009118AB">
        <w:rPr>
          <w:spacing w:val="-2"/>
        </w:rPr>
        <w:softHyphen/>
      </w:r>
      <w:r w:rsidRPr="009118AB">
        <w:rPr>
          <w:spacing w:val="-2"/>
        </w:rPr>
        <w:t>bezo</w:t>
      </w:r>
      <w:r w:rsidR="008B69F7" w:rsidRPr="009118AB">
        <w:rPr>
          <w:spacing w:val="-2"/>
        </w:rPr>
        <w:softHyphen/>
      </w:r>
      <w:r w:rsidRPr="009118AB">
        <w:rPr>
          <w:spacing w:val="-2"/>
        </w:rPr>
        <w:t>genen Bericht einreichen muss, erteilt werden müssen, müssen innerhalb der in den Paragraphen 1 und 2 vorgesehenen Frist mitgeteilt werden, sofern diese Informationen von den Informationen abweichen, die für den vorhergehenden Berichtszeitraum mitgeteilt worden sind.]</w:t>
      </w:r>
    </w:p>
    <w:p w14:paraId="21BFF5C7" w14:textId="77777777"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44856B" w14:textId="7B50E40C"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321/3 eingefügt durch </w:t>
      </w:r>
      <w:r w:rsidR="00D67EB8" w:rsidRPr="009118AB">
        <w:rPr>
          <w:i/>
        </w:rPr>
        <w:t>Art. </w:t>
      </w:r>
      <w:r w:rsidRPr="009118AB">
        <w:rPr>
          <w:i/>
        </w:rPr>
        <w:t>56 des G. vom 1. Juli 2016 (B.S. vom 4. Juli 2016)</w:t>
      </w:r>
      <w:r w:rsidR="00D67EB8" w:rsidRPr="009118AB">
        <w:rPr>
          <w:i/>
        </w:rPr>
        <w:t> - </w:t>
      </w:r>
      <w:r w:rsidR="00663EC7" w:rsidRPr="009118AB">
        <w:rPr>
          <w:i/>
        </w:rPr>
        <w:t>wirksam für Berichtszeiträume von multinationalen Gruppen oder Rechnungsjahre, die ab dem 1. Januar 2016 beginnen</w:t>
      </w:r>
      <w:r w:rsidR="00FD68E8" w:rsidRPr="009118AB">
        <w:rPr>
          <w:i/>
        </w:rPr>
        <w:t> -,</w:t>
      </w:r>
      <w:r w:rsidR="00A4441F" w:rsidRPr="009118AB">
        <w:rPr>
          <w:i/>
        </w:rPr>
        <w:t xml:space="preserve"> </w:t>
      </w:r>
      <w:r w:rsidR="00D67EB8" w:rsidRPr="009118AB">
        <w:rPr>
          <w:i/>
        </w:rPr>
        <w:t>§ </w:t>
      </w:r>
      <w:r w:rsidR="00A4441F" w:rsidRPr="009118AB">
        <w:rPr>
          <w:i/>
        </w:rPr>
        <w:t xml:space="preserve">3 eingefügt durch </w:t>
      </w:r>
      <w:r w:rsidR="00D67EB8" w:rsidRPr="009118AB">
        <w:rPr>
          <w:i/>
        </w:rPr>
        <w:t>Art. </w:t>
      </w:r>
      <w:r w:rsidR="00A4441F" w:rsidRPr="009118AB">
        <w:rPr>
          <w:i/>
        </w:rPr>
        <w:t>35 des G. vom 2. Mai 2019 (III) (B.S. vom 1</w:t>
      </w:r>
      <w:r w:rsidR="009B37FC" w:rsidRPr="009118AB">
        <w:rPr>
          <w:i/>
        </w:rPr>
        <w:t>5</w:t>
      </w:r>
      <w:r w:rsidR="00A4441F" w:rsidRPr="009118AB">
        <w:rPr>
          <w:i/>
        </w:rPr>
        <w:t>. Mai 2019)</w:t>
      </w:r>
      <w:r w:rsidR="00D67EB8" w:rsidRPr="009118AB">
        <w:rPr>
          <w:i/>
        </w:rPr>
        <w:t> - </w:t>
      </w:r>
      <w:r w:rsidR="00A4441F" w:rsidRPr="009118AB">
        <w:rPr>
          <w:i/>
        </w:rPr>
        <w:t>anwendbar auf Berichtszeiträume, die am 31. Dezember 2019 oder später enden</w:t>
      </w:r>
      <w:r w:rsidR="00FD68E8" w:rsidRPr="009118AB">
        <w:rPr>
          <w:i/>
        </w:rPr>
        <w:t> -]</w:t>
      </w:r>
    </w:p>
    <w:p w14:paraId="4BBF4791" w14:textId="77777777"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04295C86" w14:textId="77777777"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41CF21CC" w14:textId="74B29B33" w:rsidR="00243FDA" w:rsidRPr="009118AB" w:rsidRDefault="00243FDA" w:rsidP="00243FDA">
      <w:pPr>
        <w:jc w:val="both"/>
      </w:pPr>
      <w:r w:rsidRPr="009118AB">
        <w:tab/>
        <w:t>[</w:t>
      </w:r>
      <w:r w:rsidR="00D67EB8" w:rsidRPr="009118AB">
        <w:rPr>
          <w:b/>
        </w:rPr>
        <w:t>Art. </w:t>
      </w:r>
      <w:r w:rsidRPr="009118AB">
        <w:rPr>
          <w:b/>
        </w:rPr>
        <w:t>321/4</w:t>
      </w:r>
      <w:r w:rsidR="00D67EB8" w:rsidRPr="009118AB">
        <w:t> - § </w:t>
      </w:r>
      <w:r w:rsidRPr="009118AB">
        <w:t>1</w:t>
      </w:r>
      <w:r w:rsidR="00D67EB8" w:rsidRPr="009118AB">
        <w:t> - </w:t>
      </w:r>
      <w:r w:rsidRPr="009118AB">
        <w:t>Eine belgische Geschäftseinheit muss innerhalb zwölf Monaten nach dem letzten Tag des Berichtszeitraums der multinationalen Gruppe der für die Festlegung der Einkommensteuern zuständigen belgischen Verwaltung eine Stamm</w:t>
      </w:r>
      <w:r w:rsidRPr="009118AB">
        <w:softHyphen/>
        <w:t>dokumentation, auch "Master File" genannt, für diesen letzten abgeschlossenen Berichtszeitraum vorlegen.</w:t>
      </w:r>
    </w:p>
    <w:p w14:paraId="425073E3" w14:textId="77777777" w:rsidR="00243FDA" w:rsidRPr="009118AB" w:rsidRDefault="00243FDA" w:rsidP="00243FDA">
      <w:pPr>
        <w:jc w:val="both"/>
      </w:pPr>
    </w:p>
    <w:p w14:paraId="237AB112" w14:textId="204CC57B" w:rsidR="00243FDA" w:rsidRPr="009118AB" w:rsidRDefault="00243FDA" w:rsidP="00243FDA">
      <w:pPr>
        <w:jc w:val="both"/>
      </w:pPr>
      <w:r w:rsidRPr="009118AB">
        <w:tab/>
      </w:r>
      <w:r w:rsidR="00D67EB8" w:rsidRPr="009118AB">
        <w:t>§ </w:t>
      </w:r>
      <w:r w:rsidRPr="009118AB">
        <w:t>2</w:t>
      </w:r>
      <w:r w:rsidR="00D67EB8" w:rsidRPr="009118AB">
        <w:t> - </w:t>
      </w:r>
      <w:r w:rsidRPr="009118AB">
        <w:t>Die Stammdokumentation gibt einen Überblick über die multinationale Gruppe, einschließlich der Art ihrer Tätigkeiten, der immateriellen Anlagen, der finanziellen Transaktionen innerhalb der Gruppe und der konsolidierten finanziellen und steuerlichen Lage der multinationalen Gruppe, ihrer allgemeinen Verrechnungspreispolitik und der globalen Verteilung ihrer Einkünfte und Wirtschaftstätigkeiten, um den Steuerverwaltungen bei der Evaluierung des Vorliegens eines bedeutenden Verrechnungspreisrisikos zu helfen.</w:t>
      </w:r>
    </w:p>
    <w:p w14:paraId="34E7BEB4" w14:textId="77777777" w:rsidR="00243FDA" w:rsidRPr="009118AB" w:rsidRDefault="00243FDA" w:rsidP="00243FDA">
      <w:pPr>
        <w:jc w:val="both"/>
      </w:pPr>
    </w:p>
    <w:p w14:paraId="398BDDF3" w14:textId="1B6D9A52" w:rsidR="00243FDA" w:rsidRPr="009118AB" w:rsidRDefault="00243FDA" w:rsidP="00243FDA">
      <w:pPr>
        <w:jc w:val="both"/>
      </w:pPr>
      <w:r w:rsidRPr="009118AB">
        <w:tab/>
      </w:r>
      <w:r w:rsidR="00D67EB8" w:rsidRPr="009118AB">
        <w:t>§ </w:t>
      </w:r>
      <w:r w:rsidRPr="009118AB">
        <w:t>3</w:t>
      </w:r>
      <w:r w:rsidR="00D67EB8" w:rsidRPr="009118AB">
        <w:t> - </w:t>
      </w:r>
      <w:r w:rsidRPr="009118AB">
        <w:t xml:space="preserve">Die in </w:t>
      </w:r>
      <w:r w:rsidR="00D67EB8" w:rsidRPr="009118AB">
        <w:t>§ </w:t>
      </w:r>
      <w:r w:rsidRPr="009118AB">
        <w:t>1 vorgesehene Verpflichtung ist anwendbar auf jede belgische Geschäftseinheit einer multinationalen Gruppe, aus deren einfachem Jahresabschluss hervorgeht, dass für das Rechnungsjahr unmittelbar vor dem letzten abgeschlossenen Rechnungsjahr eines der folgenden Kriterien überschritten wurde:</w:t>
      </w:r>
    </w:p>
    <w:p w14:paraId="45CE95F5" w14:textId="77777777" w:rsidR="00243FDA" w:rsidRPr="009118AB" w:rsidRDefault="00243FDA" w:rsidP="00243FDA">
      <w:pPr>
        <w:jc w:val="both"/>
      </w:pPr>
    </w:p>
    <w:p w14:paraId="215BBA50" w14:textId="77777777" w:rsidR="00243FDA" w:rsidRPr="009118AB" w:rsidRDefault="00243FDA" w:rsidP="00243FDA">
      <w:pPr>
        <w:jc w:val="both"/>
      </w:pPr>
      <w:r w:rsidRPr="009118AB">
        <w:tab/>
        <w:t>- insgesamt 50 Millionen EUR betriebliche und finanzielle Erträge unter Ausschluss einmaliger Erträge,</w:t>
      </w:r>
    </w:p>
    <w:p w14:paraId="57074E87" w14:textId="77777777" w:rsidR="00243FDA" w:rsidRPr="009118AB" w:rsidRDefault="00243FDA" w:rsidP="00243FDA">
      <w:pPr>
        <w:jc w:val="both"/>
      </w:pPr>
    </w:p>
    <w:p w14:paraId="4E5C651D" w14:textId="77777777" w:rsidR="00243FDA" w:rsidRPr="009118AB" w:rsidRDefault="00243FDA" w:rsidP="00243FDA">
      <w:pPr>
        <w:jc w:val="both"/>
      </w:pPr>
      <w:r w:rsidRPr="009118AB">
        <w:tab/>
        <w:t>- Bilanzsumme von 1 Milliarde EUR,</w:t>
      </w:r>
    </w:p>
    <w:p w14:paraId="499FDBBB" w14:textId="77777777" w:rsidR="00243FDA" w:rsidRPr="009118AB" w:rsidRDefault="00243FDA" w:rsidP="00243FDA">
      <w:pPr>
        <w:jc w:val="both"/>
      </w:pPr>
    </w:p>
    <w:p w14:paraId="14BD78BE" w14:textId="77777777" w:rsidR="00243FDA" w:rsidRPr="009118AB" w:rsidRDefault="00243FDA" w:rsidP="00243FDA">
      <w:pPr>
        <w:jc w:val="both"/>
      </w:pPr>
      <w:r w:rsidRPr="009118AB">
        <w:tab/>
        <w:t>- jahresdurchschnittliche Beschäftigtenzahl von 100 Personen in Vollzeitgleichwerten.</w:t>
      </w:r>
    </w:p>
    <w:p w14:paraId="43CDC267" w14:textId="77777777" w:rsidR="00243FDA" w:rsidRPr="009118AB" w:rsidRDefault="00243FDA" w:rsidP="00243FDA">
      <w:pPr>
        <w:jc w:val="both"/>
      </w:pPr>
    </w:p>
    <w:p w14:paraId="47A7B7CB" w14:textId="02285900" w:rsidR="00243FDA" w:rsidRPr="009118AB" w:rsidRDefault="00243FDA"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4</w:t>
      </w:r>
      <w:r w:rsidR="00D67EB8" w:rsidRPr="009118AB">
        <w:t> - </w:t>
      </w:r>
      <w:r w:rsidRPr="009118AB">
        <w:t>Die Stammdokumentation wird anhand eines Formulars eingereicht; der König legt Muster und Modalitäten für die Einreichung dieses Formulars fest.]</w:t>
      </w:r>
    </w:p>
    <w:p w14:paraId="0842C070" w14:textId="77777777"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3DD4C6D" w14:textId="4A595232"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321/4 eingefügt durch </w:t>
      </w:r>
      <w:r w:rsidR="00D67EB8" w:rsidRPr="009118AB">
        <w:rPr>
          <w:i/>
        </w:rPr>
        <w:t>Art. </w:t>
      </w:r>
      <w:r w:rsidRPr="009118AB">
        <w:rPr>
          <w:i/>
        </w:rPr>
        <w:t>57 des G. vom 1. Juli 2016 (B.S. vom 4. Juli 2016)</w:t>
      </w:r>
      <w:r w:rsidR="00D67EB8" w:rsidRPr="009118AB">
        <w:rPr>
          <w:i/>
        </w:rPr>
        <w:t> - </w:t>
      </w:r>
      <w:r w:rsidR="00663EC7" w:rsidRPr="009118AB">
        <w:rPr>
          <w:i/>
        </w:rPr>
        <w:t>wirksam für Berichtszeiträume von multinationalen Gruppen oder Rechnungsjahre, die ab dem 1. Januar 2016 beginnen</w:t>
      </w:r>
      <w:r w:rsidR="00FD68E8" w:rsidRPr="009118AB">
        <w:rPr>
          <w:i/>
        </w:rPr>
        <w:t> -]</w:t>
      </w:r>
    </w:p>
    <w:p w14:paraId="5BC9ACDD" w14:textId="77777777"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2F98E1F" w14:textId="77777777"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CE346C" w14:textId="51D00E63" w:rsidR="00243FDA" w:rsidRPr="009118AB" w:rsidRDefault="00243FDA" w:rsidP="00243FDA">
      <w:pPr>
        <w:jc w:val="both"/>
      </w:pPr>
      <w:r w:rsidRPr="009118AB">
        <w:tab/>
        <w:t>[</w:t>
      </w:r>
      <w:r w:rsidR="00D67EB8" w:rsidRPr="009118AB">
        <w:rPr>
          <w:b/>
        </w:rPr>
        <w:t>Art. </w:t>
      </w:r>
      <w:r w:rsidRPr="009118AB">
        <w:rPr>
          <w:b/>
        </w:rPr>
        <w:t>321/5</w:t>
      </w:r>
      <w:r w:rsidR="00D67EB8" w:rsidRPr="009118AB">
        <w:t> - § </w:t>
      </w:r>
      <w:r w:rsidRPr="009118AB">
        <w:t>1</w:t>
      </w:r>
      <w:r w:rsidR="00D67EB8" w:rsidRPr="009118AB">
        <w:t> - </w:t>
      </w:r>
      <w:r w:rsidRPr="009118AB">
        <w:t>Eine belgische Geschäftseinheit muss ihrer Erklärung eine Einzeldokumentation, auch "Local File" genannt, für das Rechnungsjahr, auf das sich die Erklärung bezieht, beifügen.</w:t>
      </w:r>
    </w:p>
    <w:p w14:paraId="73BDE20E" w14:textId="77777777" w:rsidR="00243FDA" w:rsidRPr="009118AB" w:rsidRDefault="00243FDA" w:rsidP="00243FDA">
      <w:pPr>
        <w:jc w:val="both"/>
      </w:pPr>
    </w:p>
    <w:p w14:paraId="56963696" w14:textId="585867D8" w:rsidR="00243FDA" w:rsidRPr="009118AB" w:rsidRDefault="00243FDA" w:rsidP="00243FDA">
      <w:pPr>
        <w:jc w:val="both"/>
      </w:pPr>
      <w:r w:rsidRPr="009118AB">
        <w:tab/>
      </w:r>
      <w:r w:rsidR="00D67EB8" w:rsidRPr="009118AB">
        <w:t>§ </w:t>
      </w:r>
      <w:r w:rsidRPr="009118AB">
        <w:t>2</w:t>
      </w:r>
      <w:r w:rsidR="00D67EB8" w:rsidRPr="009118AB">
        <w:t> - </w:t>
      </w:r>
      <w:r w:rsidRPr="009118AB">
        <w:t>Die Einzeldokumentation besteht aus einem Formular mit Informationen über die lokale Einheit und einem ausführlichen Informationsblatt über die Verrechnungspreisanalyse im Zusammenhang mit Geschäftsvorgängen zwischen der lokalen Einheit und ausländischen Einheiten der multinationalen Gruppe, insbesondere sachdienliche finanzielle Informationen in Bezug auf diese Geschäftsvorgänge, eine Vergleichbarkeitsanalyse und die Auswahl und Anwendung der geeignetsten Verrechnungspreismethode.</w:t>
      </w:r>
    </w:p>
    <w:p w14:paraId="5BB8E9F0" w14:textId="77777777" w:rsidR="000C5F98" w:rsidRPr="009118AB" w:rsidRDefault="000C5F98" w:rsidP="00243FDA">
      <w:pPr>
        <w:jc w:val="both"/>
      </w:pPr>
    </w:p>
    <w:p w14:paraId="5FF38709" w14:textId="2CBCAEB1" w:rsidR="00243FDA" w:rsidRPr="009118AB" w:rsidRDefault="00243FDA" w:rsidP="00243FDA">
      <w:pPr>
        <w:jc w:val="both"/>
      </w:pPr>
      <w:r w:rsidRPr="009118AB">
        <w:tab/>
      </w:r>
      <w:r w:rsidR="00D67EB8" w:rsidRPr="009118AB">
        <w:t>§ </w:t>
      </w:r>
      <w:r w:rsidRPr="009118AB">
        <w:t>3</w:t>
      </w:r>
      <w:r w:rsidR="00D67EB8" w:rsidRPr="009118AB">
        <w:t> - </w:t>
      </w:r>
      <w:r w:rsidRPr="009118AB">
        <w:t xml:space="preserve">Die in </w:t>
      </w:r>
      <w:r w:rsidR="00D67EB8" w:rsidRPr="009118AB">
        <w:t>§ </w:t>
      </w:r>
      <w:r w:rsidRPr="009118AB">
        <w:t>1 vorgesehene Verpflichtung ist anwendbar auf jede belgische Geschäftseinheit einer multinationalen Gruppe, aus deren einfachem Jahresabschluss hervorgeht, dass für das Rechnungsjahr unmittelbar vor dem letzten abgeschlossenen Rechnungsjahr eines der folgenden Kriterien überschritten wurde:</w:t>
      </w:r>
    </w:p>
    <w:p w14:paraId="1C903EDC" w14:textId="77777777" w:rsidR="00243FDA" w:rsidRPr="009118AB" w:rsidRDefault="00243FDA" w:rsidP="00243FDA">
      <w:pPr>
        <w:jc w:val="both"/>
      </w:pPr>
    </w:p>
    <w:p w14:paraId="64C8488C" w14:textId="77777777" w:rsidR="00243FDA" w:rsidRPr="009118AB" w:rsidRDefault="00243FDA" w:rsidP="00243FDA">
      <w:pPr>
        <w:jc w:val="both"/>
      </w:pPr>
      <w:r w:rsidRPr="009118AB">
        <w:tab/>
        <w:t>- insgesamt 50 Millionen EUR betriebliche und finanzielle Erträge unter Ausschluss einmaliger Erträge,</w:t>
      </w:r>
    </w:p>
    <w:p w14:paraId="72941FC3" w14:textId="77777777" w:rsidR="00243FDA" w:rsidRPr="009118AB" w:rsidRDefault="00243FDA" w:rsidP="00243FDA">
      <w:pPr>
        <w:jc w:val="both"/>
      </w:pPr>
    </w:p>
    <w:p w14:paraId="3793742D" w14:textId="77777777" w:rsidR="00243FDA" w:rsidRPr="009118AB" w:rsidRDefault="00243FDA" w:rsidP="00243FDA">
      <w:pPr>
        <w:jc w:val="both"/>
      </w:pPr>
      <w:r w:rsidRPr="009118AB">
        <w:tab/>
        <w:t>- Bilanzsumme von 1 Milliarde EUR,</w:t>
      </w:r>
    </w:p>
    <w:p w14:paraId="2EDCB166" w14:textId="77777777" w:rsidR="00243FDA" w:rsidRPr="009118AB" w:rsidRDefault="00243FDA" w:rsidP="00243FDA">
      <w:pPr>
        <w:jc w:val="both"/>
      </w:pPr>
    </w:p>
    <w:p w14:paraId="638E61BB" w14:textId="77777777" w:rsidR="00243FDA" w:rsidRPr="009118AB" w:rsidRDefault="00243FDA" w:rsidP="00243FDA">
      <w:pPr>
        <w:jc w:val="both"/>
      </w:pPr>
      <w:r w:rsidRPr="009118AB">
        <w:tab/>
        <w:t>- jahresdurchschnittliche Beschäftigtenzahl von 100 Personen in Vollzeitgleichwerten.</w:t>
      </w:r>
    </w:p>
    <w:p w14:paraId="68482E4E" w14:textId="77777777" w:rsidR="00243FDA" w:rsidRPr="009118AB" w:rsidRDefault="00243FDA" w:rsidP="00243FDA">
      <w:pPr>
        <w:jc w:val="both"/>
      </w:pPr>
    </w:p>
    <w:p w14:paraId="34254B57" w14:textId="77777777" w:rsidR="00243FDA" w:rsidRPr="009118AB" w:rsidRDefault="00243FDA" w:rsidP="00243FDA">
      <w:pPr>
        <w:jc w:val="both"/>
      </w:pPr>
      <w:r w:rsidRPr="009118AB">
        <w:tab/>
        <w:t>Das der Einzeldokumentation beizufügende Informationsblatt muss nur ausgefüllt werden, wenn im letzten abgeschlossenen Rechnungsjahr für mindestens eine der Betriebseinheiten innerhalb der belgischen Geschäftseinheit der Grenzbetrag von insgesamt 1 Million EUR für grenzüberschreitende Geschäftsvorgänge mit Geschäftseinheiten überschritten wurde. In diesem Fall muss das Informationsblatt für jede Betriebseinheit ausgefüllt werden, die diesen Grenzbetrag überschreitet.</w:t>
      </w:r>
    </w:p>
    <w:p w14:paraId="15C81CC1" w14:textId="77777777" w:rsidR="00243FDA" w:rsidRPr="009118AB" w:rsidRDefault="00243FDA" w:rsidP="00243FDA">
      <w:pPr>
        <w:jc w:val="both"/>
      </w:pPr>
    </w:p>
    <w:p w14:paraId="3903CAEA" w14:textId="0A3B8E4E" w:rsidR="00243FDA" w:rsidRPr="009118AB" w:rsidRDefault="00243FDA"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4</w:t>
      </w:r>
      <w:r w:rsidR="00D67EB8" w:rsidRPr="009118AB">
        <w:t> - </w:t>
      </w:r>
      <w:r w:rsidRPr="009118AB">
        <w:t>Die Einzeldokumentation wird anhand eines Formulars eingereicht, dessen Muster vom König festgelegt wird.]</w:t>
      </w:r>
    </w:p>
    <w:p w14:paraId="618C52B1" w14:textId="77777777" w:rsidR="00243FDA"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4D286A" w14:textId="7959CD6F" w:rsidR="004A1C98" w:rsidRPr="009118AB"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321/5 eingefügt durch </w:t>
      </w:r>
      <w:r w:rsidR="00D67EB8" w:rsidRPr="009118AB">
        <w:rPr>
          <w:i/>
        </w:rPr>
        <w:t>Art. </w:t>
      </w:r>
      <w:r w:rsidRPr="009118AB">
        <w:rPr>
          <w:i/>
        </w:rPr>
        <w:t>5</w:t>
      </w:r>
      <w:r w:rsidR="004A1C98" w:rsidRPr="009118AB">
        <w:rPr>
          <w:i/>
        </w:rPr>
        <w:t>8</w:t>
      </w:r>
      <w:r w:rsidRPr="009118AB">
        <w:rPr>
          <w:i/>
        </w:rPr>
        <w:t xml:space="preserve"> des G. vom 1. Juli 2016 (B.S. vom 4. Juli 2016)</w:t>
      </w:r>
      <w:r w:rsidR="00D67EB8" w:rsidRPr="009118AB">
        <w:rPr>
          <w:i/>
        </w:rPr>
        <w:t> - </w:t>
      </w:r>
      <w:r w:rsidR="00663EC7" w:rsidRPr="009118AB">
        <w:rPr>
          <w:i/>
        </w:rPr>
        <w:t>wirksam für Berichtszeiträume von multinationalen Gruppen oder Rechnungsjahre, die ab dem 1. Januar 2016 beginnen</w:t>
      </w:r>
      <w:r w:rsidR="00FD68E8" w:rsidRPr="009118AB">
        <w:rPr>
          <w:i/>
        </w:rPr>
        <w:t> -]</w:t>
      </w:r>
    </w:p>
    <w:p w14:paraId="2E145BBA" w14:textId="77777777" w:rsidR="004A1C98" w:rsidRPr="009118AB"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0FB3A7" w14:textId="77777777" w:rsidR="004A1C98" w:rsidRPr="009118AB"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B6BF9A4" w14:textId="1FED16F9" w:rsidR="004A1C98" w:rsidRPr="009118AB"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rPr>
        <w:t>Art. </w:t>
      </w:r>
      <w:r w:rsidRPr="009118AB">
        <w:rPr>
          <w:b/>
        </w:rPr>
        <w:t>321/6</w:t>
      </w:r>
      <w:r w:rsidR="00D67EB8" w:rsidRPr="009118AB">
        <w:t> - </w:t>
      </w:r>
      <w:r w:rsidRPr="009118AB">
        <w:t>Der länderbezogene Bericht wird für die Beurteilung großer Risiken der Verrechnungspreisgestaltung und anderer Risiken im Zusammenhang mit Gewinnverkürzung und Gewinnverlagerung, einschließlich des Risikos der Nichteinhaltung geltender Verrechnungspreisregelungen durch Mitglieder der multinationalen Gruppe, verwendet. Gegebenenfalls wird der länderbezogene Bericht auch für wirtschaftliche und statistische Analysen verwendet. Verrechnungspreisanpassungen dürfen nicht ausschließlich auf den länderbezogenen Bericht gestützt sein. Ungeachtet dessen ist es nicht untersagt, den länderbezogenen Bericht als Grundlage für weitere Untersuchungen in Bezug auf Verrechnungspreisvereinbarungen oder andere Steuersachen im Zusammenhang mit der multinationalen Gruppe oder einer Geschäftseinheit im Zuge einer Prüfung zu nutzen, und entsprechende Anpassungen des steuerpflichtigen Einkommens einer Geschäftseinheit können auf dieser Grundlage vorgenommen werden.]</w:t>
      </w:r>
    </w:p>
    <w:p w14:paraId="1854D89B" w14:textId="77777777" w:rsidR="004A1C98" w:rsidRPr="009118AB"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A06657D" w14:textId="5F6D5700" w:rsidR="004A1C98" w:rsidRPr="009118AB"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321/6 eingefügt durch </w:t>
      </w:r>
      <w:r w:rsidR="00D67EB8" w:rsidRPr="009118AB">
        <w:rPr>
          <w:i/>
        </w:rPr>
        <w:t>Art. </w:t>
      </w:r>
      <w:r w:rsidRPr="009118AB">
        <w:rPr>
          <w:i/>
        </w:rPr>
        <w:t>59 des G. vom 1. Juli 2016 (B.S. vom 4. Juli 2016)</w:t>
      </w:r>
      <w:r w:rsidR="00D67EB8" w:rsidRPr="009118AB">
        <w:rPr>
          <w:i/>
        </w:rPr>
        <w:t> - </w:t>
      </w:r>
      <w:r w:rsidR="00663EC7" w:rsidRPr="009118AB">
        <w:rPr>
          <w:i/>
        </w:rPr>
        <w:t>wirksam für Berichtszeiträume von multinationalen Gruppen oder Rechnungsjahre, die ab dem 1. Januar 2016 beginnen</w:t>
      </w:r>
      <w:r w:rsidR="00FD68E8" w:rsidRPr="009118AB">
        <w:rPr>
          <w:i/>
        </w:rPr>
        <w:t> -]</w:t>
      </w:r>
    </w:p>
    <w:p w14:paraId="32702236" w14:textId="77777777" w:rsidR="004A1C98" w:rsidRPr="009118AB"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DD3521" w14:textId="77777777" w:rsidR="004A1C98" w:rsidRPr="009118AB"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B4BFFB7" w14:textId="73F8C305" w:rsidR="004A1C98" w:rsidRPr="009118AB" w:rsidRDefault="004A1C98" w:rsidP="004A1C98">
      <w:pPr>
        <w:jc w:val="both"/>
      </w:pPr>
      <w:r w:rsidRPr="009118AB">
        <w:tab/>
        <w:t>[</w:t>
      </w:r>
      <w:r w:rsidR="00D67EB8" w:rsidRPr="009118AB">
        <w:rPr>
          <w:b/>
        </w:rPr>
        <w:t>Art. </w:t>
      </w:r>
      <w:r w:rsidRPr="009118AB">
        <w:rPr>
          <w:b/>
        </w:rPr>
        <w:t>321/7</w:t>
      </w:r>
      <w:r w:rsidR="00D67EB8" w:rsidRPr="009118AB">
        <w:t> - </w:t>
      </w:r>
      <w:r w:rsidRPr="009118AB">
        <w:t>Für die Anwendung des vorliegenden Abschnitts und der daraus hervorgehenden Ausführungserlasse kann die Berichterstattung anhand der erwähnten Formulare neben den Amtssprachen Belgiens auch in Englisch erfolgen.</w:t>
      </w:r>
    </w:p>
    <w:p w14:paraId="3D9DE952" w14:textId="77777777" w:rsidR="004A1C98" w:rsidRPr="009118AB" w:rsidRDefault="004A1C98" w:rsidP="004A1C98">
      <w:pPr>
        <w:jc w:val="both"/>
      </w:pPr>
    </w:p>
    <w:p w14:paraId="6E0CC075" w14:textId="77777777" w:rsidR="004A1C98" w:rsidRPr="009118AB" w:rsidRDefault="004A1C98" w:rsidP="004A1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Werden die Formulare anderweitig als für die in vorliegendem Abschnitt vorgesehene Berichterstattung oder eine daraus hervorgehende Prüfung verwendet, muss der Steuerpflichtige falls erforderlich eine von einem vereidigten oder nicht vereidigten Übersetzer erstellte Übersetzung in eine der Amtssprachen Belgiens vorlegen.]</w:t>
      </w:r>
    </w:p>
    <w:p w14:paraId="7A404841" w14:textId="77777777" w:rsidR="004A1C98" w:rsidRPr="009118AB" w:rsidRDefault="004A1C98" w:rsidP="004A1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20DA48" w14:textId="69E52273" w:rsidR="004A1C98" w:rsidRPr="009118AB" w:rsidRDefault="004A1C98" w:rsidP="004A1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321/7 eingefügt durch </w:t>
      </w:r>
      <w:r w:rsidR="00D67EB8" w:rsidRPr="009118AB">
        <w:rPr>
          <w:i/>
        </w:rPr>
        <w:t>Art. </w:t>
      </w:r>
      <w:r w:rsidRPr="009118AB">
        <w:rPr>
          <w:i/>
        </w:rPr>
        <w:t>60 des G. vom 1. Juli 2016 (B.S. vom 4. Juli 2016)</w:t>
      </w:r>
      <w:r w:rsidR="00D67EB8" w:rsidRPr="009118AB">
        <w:rPr>
          <w:i/>
        </w:rPr>
        <w:t> - </w:t>
      </w:r>
      <w:r w:rsidR="00663EC7" w:rsidRPr="009118AB">
        <w:rPr>
          <w:i/>
        </w:rPr>
        <w:t>wirksam für Berichtszeiträume von multinationalen Gruppen oder Rechnungsjahre, die ab dem 1. Januar 2016 beginnen</w:t>
      </w:r>
      <w:r w:rsidR="00FD68E8" w:rsidRPr="009118AB">
        <w:rPr>
          <w:i/>
        </w:rPr>
        <w:t> -]</w:t>
      </w:r>
    </w:p>
    <w:p w14:paraId="7A62A896" w14:textId="77777777" w:rsidR="004A1C98" w:rsidRPr="009118AB"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EA77AE" w14:textId="43C3D83A" w:rsidR="00477B8F" w:rsidRPr="009118AB" w:rsidRDefault="00477B8F" w:rsidP="004A1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t>[</w:t>
      </w:r>
      <w:r w:rsidRPr="009118AB">
        <w:rPr>
          <w:i/>
        </w:rPr>
        <w:t>Abschnitt </w:t>
      </w:r>
      <w:r w:rsidR="00D74862" w:rsidRPr="009118AB">
        <w:rPr>
          <w:i/>
        </w:rPr>
        <w:t>1</w:t>
      </w:r>
      <w:r w:rsidRPr="009118AB">
        <w:rPr>
          <w:i/>
          <w:iCs/>
        </w:rPr>
        <w:t>bis</w:t>
      </w:r>
      <w:r w:rsidR="00D67EB8" w:rsidRPr="009118AB">
        <w:t> - </w:t>
      </w:r>
      <w:r w:rsidRPr="009118AB">
        <w:t>Besondere Pflichten der Organismen für gemeinsame Anlagen</w:t>
      </w:r>
    </w:p>
    <w:p w14:paraId="7EFE2B5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D1C6B3" w14:textId="1EF47B3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spacing w:val="-2"/>
        </w:rPr>
        <w:t xml:space="preserve">[Abschnitt </w:t>
      </w:r>
      <w:r w:rsidR="00D74862" w:rsidRPr="009118AB">
        <w:rPr>
          <w:i/>
          <w:iCs/>
          <w:spacing w:val="-2"/>
        </w:rPr>
        <w:t>1</w:t>
      </w:r>
      <w:r w:rsidRPr="009118AB">
        <w:rPr>
          <w:i/>
          <w:iCs/>
          <w:spacing w:val="-2"/>
        </w:rPr>
        <w:t xml:space="preserve">bis mit </w:t>
      </w:r>
      <w:r w:rsidR="00D67EB8" w:rsidRPr="009118AB">
        <w:rPr>
          <w:i/>
          <w:iCs/>
          <w:spacing w:val="-2"/>
        </w:rPr>
        <w:t>Art. </w:t>
      </w:r>
      <w:r w:rsidRPr="009118AB">
        <w:rPr>
          <w:i/>
          <w:iCs/>
          <w:spacing w:val="-2"/>
        </w:rPr>
        <w:t xml:space="preserve">321bis eingefügt durch </w:t>
      </w:r>
      <w:r w:rsidR="00D67EB8" w:rsidRPr="009118AB">
        <w:rPr>
          <w:i/>
          <w:iCs/>
          <w:spacing w:val="-2"/>
        </w:rPr>
        <w:t>Art. </w:t>
      </w:r>
      <w:r w:rsidRPr="009118AB">
        <w:rPr>
          <w:i/>
          <w:iCs/>
          <w:spacing w:val="-2"/>
        </w:rPr>
        <w:t xml:space="preserve">327 des G. </w:t>
      </w:r>
      <w:r w:rsidR="00A1425D" w:rsidRPr="009118AB">
        <w:rPr>
          <w:i/>
          <w:iCs/>
          <w:spacing w:val="-2"/>
        </w:rPr>
        <w:t xml:space="preserve">(I) </w:t>
      </w:r>
      <w:r w:rsidRPr="009118AB">
        <w:rPr>
          <w:i/>
          <w:iCs/>
          <w:spacing w:val="-2"/>
        </w:rPr>
        <w:t>vom 27. Dezember 2006</w:t>
      </w:r>
      <w:r w:rsidR="00A1425D" w:rsidRPr="009118AB">
        <w:rPr>
          <w:i/>
          <w:iCs/>
          <w:spacing w:val="-2"/>
        </w:rPr>
        <w:t> </w:t>
      </w:r>
      <w:r w:rsidRPr="009118AB">
        <w:rPr>
          <w:i/>
          <w:iCs/>
          <w:spacing w:val="-2"/>
        </w:rPr>
        <w:t>(</w:t>
      </w:r>
      <w:r w:rsidR="00A1425D" w:rsidRPr="009118AB">
        <w:rPr>
          <w:i/>
          <w:iCs/>
          <w:spacing w:val="-2"/>
        </w:rPr>
        <w:t>I</w:t>
      </w:r>
      <w:r w:rsidRPr="009118AB">
        <w:rPr>
          <w:i/>
          <w:iCs/>
          <w:spacing w:val="-2"/>
        </w:rPr>
        <w:t>I)</w:t>
      </w:r>
      <w:r w:rsidRPr="009118AB">
        <w:rPr>
          <w:i/>
          <w:iCs/>
        </w:rPr>
        <w:t xml:space="preserve"> (B.S. vom 28. Dezember 2006)</w:t>
      </w:r>
      <w:r w:rsidR="00D67EB8" w:rsidRPr="009118AB">
        <w:rPr>
          <w:i/>
          <w:iCs/>
        </w:rPr>
        <w:t> - </w:t>
      </w:r>
      <w:r w:rsidRPr="009118AB">
        <w:rPr>
          <w:i/>
          <w:iCs/>
        </w:rPr>
        <w:t>in Kraft ab dem 1. Januar 2007</w:t>
      </w:r>
      <w:r w:rsidR="00FD68E8" w:rsidRPr="009118AB">
        <w:rPr>
          <w:i/>
          <w:iCs/>
        </w:rPr>
        <w:t> -]</w:t>
      </w:r>
    </w:p>
    <w:p w14:paraId="45C0CB6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48B498" w14:textId="77777777" w:rsidR="00A1425D" w:rsidRPr="009118AB" w:rsidRDefault="00A1425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044F433" w14:textId="461AB293" w:rsidR="00477B8F" w:rsidRPr="009118AB" w:rsidRDefault="0023217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rPr>
        <w:t>Art. </w:t>
      </w:r>
      <w:r w:rsidR="00477B8F" w:rsidRPr="009118AB">
        <w:rPr>
          <w:b/>
        </w:rPr>
        <w:t>321</w:t>
      </w:r>
      <w:r w:rsidR="00477B8F" w:rsidRPr="009118AB">
        <w:rPr>
          <w:b/>
          <w:i/>
          <w:iCs/>
        </w:rPr>
        <w:t>bis</w:t>
      </w:r>
      <w:r w:rsidR="00D67EB8" w:rsidRPr="009118AB">
        <w:t> - </w:t>
      </w:r>
      <w:r w:rsidR="00A06093" w:rsidRPr="009118AB">
        <w:t xml:space="preserve">[Verwaltungsgesellschaften von Organismen für gemeinsame Anlagen, die in Artikel 3 </w:t>
      </w:r>
      <w:r w:rsidR="00D67EB8" w:rsidRPr="009118AB">
        <w:t>Nr. </w:t>
      </w:r>
      <w:r w:rsidR="00A06093" w:rsidRPr="009118AB">
        <w:t xml:space="preserve">24 des Gesetzes vom 3. August 2012 über Organismen für gemeinsame Anlagen, die die Bedingungen der Richtlinie 2009/65/EG erfüllen, und Organismen für Anlagen in Forderungen oder in entsprechenden Bestimmungen ausländischen Rechts erwähnt sind, und Verwaltungsgesellschaften von alternativen Organismen für gemeinsame Anlagen, die in Artikel 3 </w:t>
      </w:r>
      <w:r w:rsidR="00D67EB8" w:rsidRPr="009118AB">
        <w:t>Nr. </w:t>
      </w:r>
      <w:r w:rsidR="00A06093" w:rsidRPr="009118AB">
        <w:t>12 des Gesetzes vom 19. April 2014 über alternative Organismen für gemeinsame Anlagen und ihre Verwalter oder in entsprechenden Bestimmungen ausländischen Rechts erwähnt sind,]</w:t>
      </w:r>
      <w:r w:rsidR="00477B8F" w:rsidRPr="009118AB">
        <w:t xml:space="preserve"> sind insbesondere verpflichtet, gemäß den vom König festgelegten Regeln pro Kategorie den Betrag der zuerkannten oder ausgeschütteten Einkünfte mitzuteilen.]</w:t>
      </w:r>
    </w:p>
    <w:p w14:paraId="00591F39" w14:textId="77777777" w:rsidR="00A06093" w:rsidRPr="009118AB" w:rsidRDefault="00A0609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60F8740" w14:textId="41106BE3" w:rsidR="00A06093" w:rsidRPr="009118AB" w:rsidRDefault="00A06093" w:rsidP="00A060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w:t>
      </w:r>
      <w:r w:rsidR="00D67EB8" w:rsidRPr="009118AB">
        <w:rPr>
          <w:i/>
        </w:rPr>
        <w:t>Art. </w:t>
      </w:r>
      <w:r w:rsidRPr="009118AB">
        <w:rPr>
          <w:i/>
        </w:rPr>
        <w:t xml:space="preserve">321bis abgeändert durch </w:t>
      </w:r>
      <w:r w:rsidR="00D67EB8" w:rsidRPr="009118AB">
        <w:rPr>
          <w:i/>
        </w:rPr>
        <w:t>Art. </w:t>
      </w:r>
      <w:r w:rsidRPr="009118AB">
        <w:rPr>
          <w:i/>
        </w:rPr>
        <w:t>27</w:t>
      </w:r>
      <w:r w:rsidRPr="009118AB">
        <w:rPr>
          <w:i/>
          <w:iCs/>
        </w:rPr>
        <w:t xml:space="preserve"> des G. vom 18. Dezember 2015 (II) (B.S. vom 28. Dezember 2015)]</w:t>
      </w:r>
    </w:p>
    <w:p w14:paraId="4CC48F46" w14:textId="77777777" w:rsidR="00A06093" w:rsidRPr="009118AB" w:rsidRDefault="00A0609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rPr>
          <w:i/>
          <w:iCs/>
        </w:rPr>
      </w:pPr>
    </w:p>
    <w:p w14:paraId="2BB93D62" w14:textId="33ACCE01" w:rsidR="001022BB" w:rsidRPr="009118AB" w:rsidRDefault="001022B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t>[</w:t>
      </w:r>
      <w:r w:rsidRPr="009118AB">
        <w:rPr>
          <w:i/>
        </w:rPr>
        <w:t>Abschnitt 1ter</w:t>
      </w:r>
      <w:r w:rsidR="00D67EB8" w:rsidRPr="009118AB">
        <w:t> - </w:t>
      </w:r>
      <w:r w:rsidRPr="009118AB">
        <w:t>Pflichten der Pensions- beziehungsweise Altersversorgungs</w:t>
      </w:r>
      <w:r w:rsidRPr="009118AB">
        <w:softHyphen/>
        <w:t>einrichtungen]</w:t>
      </w:r>
    </w:p>
    <w:p w14:paraId="7C74A0FB" w14:textId="77777777" w:rsidR="001022BB" w:rsidRPr="009118AB" w:rsidRDefault="001022B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150A8DC" w14:textId="00A1DAFB" w:rsidR="001022BB" w:rsidRPr="009118AB"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 xml:space="preserve">[Unterteilung Abschnitt 1ter eingefügt durch </w:t>
      </w:r>
      <w:r w:rsidR="00D67EB8" w:rsidRPr="009118AB">
        <w:rPr>
          <w:i/>
        </w:rPr>
        <w:t>Art. </w:t>
      </w:r>
      <w:r w:rsidRPr="009118AB">
        <w:rPr>
          <w:i/>
        </w:rPr>
        <w:t>3 des G. vom 25. Dezember 2016 (II) (B.S. vom 30. Dezember 2016)</w:t>
      </w:r>
      <w:r w:rsidR="00D67EB8" w:rsidRPr="009118AB">
        <w:rPr>
          <w:i/>
        </w:rPr>
        <w:t> - </w:t>
      </w:r>
      <w:r w:rsidR="006F3616" w:rsidRPr="009118AB">
        <w:rPr>
          <w:i/>
        </w:rPr>
        <w:t>in Kraft am 1. Januar 2017 und anwendbar auf die ab diesem Datum gezahlten oder zuerkannten Pensionen</w:t>
      </w:r>
      <w:r w:rsidR="00FD68E8" w:rsidRPr="009118AB">
        <w:rPr>
          <w:i/>
        </w:rPr>
        <w:t> -]</w:t>
      </w:r>
    </w:p>
    <w:p w14:paraId="2E6AB426" w14:textId="77777777" w:rsidR="001022BB" w:rsidRPr="009118AB"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4E8DE06F" w14:textId="77777777" w:rsidR="001022BB" w:rsidRPr="009118AB"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E7D8DE" w14:textId="4C2E0DDC" w:rsidR="001022BB" w:rsidRPr="009118AB" w:rsidRDefault="001022BB" w:rsidP="001022BB">
      <w:pPr>
        <w:jc w:val="both"/>
      </w:pPr>
      <w:bookmarkStart w:id="32" w:name="_Hlk203381690"/>
      <w:r w:rsidRPr="009118AB">
        <w:tab/>
        <w:t>[</w:t>
      </w:r>
      <w:r w:rsidR="00D67EB8" w:rsidRPr="009118AB">
        <w:rPr>
          <w:b/>
        </w:rPr>
        <w:t>Art. </w:t>
      </w:r>
      <w:r w:rsidRPr="009118AB">
        <w:rPr>
          <w:b/>
        </w:rPr>
        <w:t>321</w:t>
      </w:r>
      <w:r w:rsidRPr="009118AB">
        <w:rPr>
          <w:b/>
          <w:i/>
        </w:rPr>
        <w:t>ter</w:t>
      </w:r>
      <w:r w:rsidR="00D67EB8" w:rsidRPr="009118AB">
        <w:t> - </w:t>
      </w:r>
      <w:r w:rsidRPr="009118AB">
        <w:t xml:space="preserve">Einrichtungen, die in den Büchern II und III des Gesetzes vom 13. März 2016 über den Status und die Kontrolle der Versicherungs- oder Rückversicherungsunternehmen oder in Artikel 2 </w:t>
      </w:r>
      <w:r w:rsidR="00D67EB8" w:rsidRPr="009118AB">
        <w:t>Nr. </w:t>
      </w:r>
      <w:r w:rsidRPr="009118AB">
        <w:t xml:space="preserve">1 des Gesetzes vom 27. Oktober 2006 über die Kontrolle der Einrichtungen der betrieblichen Altersversorgung erwähnt sind, übermitteln der mit der Festlegung der Steuer beauftragten Verwaltung für jeden der in Artikel 227 </w:t>
      </w:r>
      <w:r w:rsidR="00D67EB8" w:rsidRPr="009118AB">
        <w:t>Nr. </w:t>
      </w:r>
      <w:r w:rsidRPr="009118AB">
        <w:t xml:space="preserve">1 erwähnten Steuerpflichtigen, dem sie Pensionen zahlen oder zuerkennen, die in Anwendung von Artikel 230 Absatz 1 </w:t>
      </w:r>
      <w:r w:rsidR="00D67EB8" w:rsidRPr="009118AB">
        <w:t>Nr. </w:t>
      </w:r>
      <w:r w:rsidRPr="009118AB">
        <w:t>4</w:t>
      </w:r>
      <w:r w:rsidRPr="009118AB">
        <w:rPr>
          <w:i/>
        </w:rPr>
        <w:t>bis</w:t>
      </w:r>
      <w:r w:rsidRPr="009118AB">
        <w:t xml:space="preserve"> vollständig oder teilweise von der Steuer befreit sind, jedes Jahr spätestens am Ende des dritten Monats des Jahres nach dem Jahr, in dem diese Pensionen gezahlt oder zuerkannt wurden, auf elektronischem Wege eine Individualkarte, deren Inhalt vom König bestimmt wird.</w:t>
      </w:r>
    </w:p>
    <w:p w14:paraId="60778E9E" w14:textId="77777777" w:rsidR="001022BB" w:rsidRPr="009118AB" w:rsidRDefault="001022BB" w:rsidP="001022BB">
      <w:pPr>
        <w:jc w:val="both"/>
      </w:pPr>
    </w:p>
    <w:p w14:paraId="65A738A9" w14:textId="77777777" w:rsidR="001022BB" w:rsidRPr="009118AB" w:rsidRDefault="001022BB" w:rsidP="001022BB">
      <w:pPr>
        <w:jc w:val="both"/>
      </w:pPr>
      <w:r w:rsidRPr="009118AB">
        <w:tab/>
        <w:t>Die Individualkarte enthält mindestens folgende Angaben:</w:t>
      </w:r>
    </w:p>
    <w:p w14:paraId="5B358F7F" w14:textId="77777777" w:rsidR="001022BB" w:rsidRPr="009118AB" w:rsidRDefault="001022BB" w:rsidP="001022BB">
      <w:pPr>
        <w:jc w:val="both"/>
      </w:pPr>
    </w:p>
    <w:p w14:paraId="30CEEEC1" w14:textId="77777777" w:rsidR="001022BB" w:rsidRPr="009118AB" w:rsidRDefault="001022BB" w:rsidP="001022BB">
      <w:pPr>
        <w:jc w:val="both"/>
      </w:pPr>
      <w:r w:rsidRPr="009118AB">
        <w:tab/>
        <w:t>1. Angaben zur Identifizierung der Person, der die Pension gezahlt oder zuerkannt wurde, und ihren Wohnsitz,</w:t>
      </w:r>
    </w:p>
    <w:p w14:paraId="0DAA2002" w14:textId="77777777" w:rsidR="001022BB" w:rsidRPr="009118AB" w:rsidRDefault="001022BB" w:rsidP="001022BB">
      <w:pPr>
        <w:jc w:val="both"/>
      </w:pPr>
    </w:p>
    <w:p w14:paraId="529AA18D" w14:textId="77777777" w:rsidR="001022BB" w:rsidRPr="009118AB" w:rsidRDefault="001022BB" w:rsidP="001022BB">
      <w:pPr>
        <w:jc w:val="both"/>
      </w:pPr>
      <w:r w:rsidRPr="009118AB">
        <w:tab/>
        <w:t>2. Identität der Arbeitgeber oder Gesellschaften, die Prämien oder Beiträge für die Bildung der Pension gezahlt haben,</w:t>
      </w:r>
    </w:p>
    <w:p w14:paraId="11347A3D" w14:textId="77777777" w:rsidR="001022BB" w:rsidRPr="009118AB" w:rsidRDefault="001022BB" w:rsidP="001022BB">
      <w:pPr>
        <w:jc w:val="both"/>
      </w:pPr>
    </w:p>
    <w:p w14:paraId="25422BBC" w14:textId="1E28D84B" w:rsidR="001022BB" w:rsidRPr="009118AB"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3. Betrag der Pension, der in Anwendung von Artikel 230 Absatz 1 </w:t>
      </w:r>
      <w:r w:rsidR="00D67EB8" w:rsidRPr="009118AB">
        <w:t>Nr. </w:t>
      </w:r>
      <w:r w:rsidRPr="009118AB">
        <w:t>4</w:t>
      </w:r>
      <w:r w:rsidRPr="009118AB">
        <w:rPr>
          <w:i/>
        </w:rPr>
        <w:t>bis</w:t>
      </w:r>
      <w:r w:rsidRPr="009118AB">
        <w:t xml:space="preserve"> steuerfrei ist.]</w:t>
      </w:r>
    </w:p>
    <w:p w14:paraId="7694A043" w14:textId="77777777" w:rsidR="001022BB" w:rsidRPr="009118AB"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D529CB" w14:textId="17871CBE" w:rsidR="006F3616" w:rsidRPr="009118AB" w:rsidRDefault="006F3616"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321ter eingefügt durch </w:t>
      </w:r>
      <w:r w:rsidR="00D67EB8" w:rsidRPr="009118AB">
        <w:rPr>
          <w:i/>
        </w:rPr>
        <w:t>Art. </w:t>
      </w:r>
      <w:r w:rsidRPr="009118AB">
        <w:rPr>
          <w:i/>
        </w:rPr>
        <w:t>4 des G. vom 25. Dezember 2016 (II) (B.S. vom 30. Dezember 2016)</w:t>
      </w:r>
      <w:r w:rsidR="00D67EB8" w:rsidRPr="009118AB">
        <w:rPr>
          <w:i/>
        </w:rPr>
        <w:t> - </w:t>
      </w:r>
      <w:r w:rsidRPr="009118AB">
        <w:rPr>
          <w:i/>
        </w:rPr>
        <w:t>in Kraft am 1. Januar 2017 und anwendbar auf die ab diesem Datum gezahlten oder zuerkannten Pensionen</w:t>
      </w:r>
      <w:r w:rsidR="00FD68E8" w:rsidRPr="009118AB">
        <w:rPr>
          <w:i/>
        </w:rPr>
        <w:t> -]</w:t>
      </w:r>
    </w:p>
    <w:bookmarkEnd w:id="32"/>
    <w:p w14:paraId="765ED952" w14:textId="2FC40392" w:rsidR="00F45614" w:rsidRPr="009118AB" w:rsidRDefault="00F45614"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C9B75B" w14:textId="0E8BE432" w:rsidR="00F45614" w:rsidRDefault="00F45614"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4BC7F9" w14:textId="767D1F02" w:rsidR="00326880" w:rsidRDefault="00326880" w:rsidP="00326880">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321</w:t>
      </w:r>
      <w:r w:rsidRPr="00326880">
        <w:rPr>
          <w:i/>
          <w:sz w:val="20"/>
          <w:szCs w:val="20"/>
        </w:rPr>
        <w:t>ter</w:t>
      </w:r>
      <w:r>
        <w:rPr>
          <w:iCs/>
          <w:sz w:val="20"/>
          <w:szCs w:val="20"/>
        </w:rPr>
        <w:t xml:space="preserve"> wie folgt:</w:t>
      </w:r>
    </w:p>
    <w:p w14:paraId="714371B2" w14:textId="77777777" w:rsidR="00326880" w:rsidRDefault="00326880" w:rsidP="00326880">
      <w:pPr>
        <w:autoSpaceDE w:val="0"/>
        <w:autoSpaceDN w:val="0"/>
        <w:adjustRightInd w:val="0"/>
        <w:jc w:val="both"/>
        <w:rPr>
          <w:iCs/>
          <w:sz w:val="20"/>
          <w:szCs w:val="20"/>
        </w:rPr>
      </w:pPr>
    </w:p>
    <w:p w14:paraId="70973300" w14:textId="638508F6"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326880">
        <w:rPr>
          <w:iCs/>
          <w:sz w:val="20"/>
          <w:szCs w:val="20"/>
        </w:rPr>
        <w:t>[</w:t>
      </w:r>
      <w:r w:rsidRPr="00326880">
        <w:rPr>
          <w:bCs/>
          <w:iCs/>
          <w:sz w:val="20"/>
          <w:szCs w:val="20"/>
        </w:rPr>
        <w:t>Art. 321</w:t>
      </w:r>
      <w:r w:rsidRPr="00326880">
        <w:rPr>
          <w:bCs/>
          <w:i/>
          <w:iCs/>
          <w:sz w:val="20"/>
          <w:szCs w:val="20"/>
        </w:rPr>
        <w:t>ter</w:t>
      </w:r>
      <w:r w:rsidRPr="00326880">
        <w:rPr>
          <w:iCs/>
          <w:sz w:val="20"/>
          <w:szCs w:val="20"/>
        </w:rPr>
        <w:t> - Einrichtungen, die in den Büchern II und III des Gesetzes vom 13. März 2016 über den Status und die Kontrolle der Versicherungs- oder Rückversicherungsunternehmen oder in Artikel 2 Nr. 1 des Gesetzes vom 27. Oktober 2006 über die Kontrolle der Einrichtungen der betrieblichen Altersversorgung erwähnt sind, übermitteln der mit der Festlegung der Steuer beauftragten Verwaltung für jeden der in Artikel 227 Nr. 1 erwähnten Steuerpflichtigen, dem sie Pensionen zahlen oder zuerkennen, die in Anwendung von Artikel 230 Absatz 1 Nr. 4</w:t>
      </w:r>
      <w:r w:rsidRPr="00326880">
        <w:rPr>
          <w:i/>
          <w:iCs/>
          <w:sz w:val="20"/>
          <w:szCs w:val="20"/>
        </w:rPr>
        <w:t>bis</w:t>
      </w:r>
      <w:r w:rsidRPr="00326880">
        <w:rPr>
          <w:iCs/>
          <w:sz w:val="20"/>
          <w:szCs w:val="20"/>
        </w:rPr>
        <w:t xml:space="preserve"> vollständig oder teilweise von der Steuer befreit sind, jedes Jahr spätestens am Ende des dritten Monats des Jahres nach dem Jahr, in dem diese Pensionen gezahlt oder zuerkannt wurden, </w:t>
      </w:r>
      <w:r>
        <w:rPr>
          <w:iCs/>
          <w:sz w:val="20"/>
          <w:szCs w:val="20"/>
        </w:rPr>
        <w:t>[...]</w:t>
      </w:r>
      <w:r w:rsidRPr="00326880">
        <w:rPr>
          <w:iCs/>
          <w:sz w:val="20"/>
          <w:szCs w:val="20"/>
        </w:rPr>
        <w:t xml:space="preserve"> eine Individualkarte, deren Inhalt vom König bestimmt wird.</w:t>
      </w:r>
    </w:p>
    <w:p w14:paraId="738C73A5" w14:textId="77777777"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E3D6977" w14:textId="2BAE6A22"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326880">
        <w:rPr>
          <w:iCs/>
          <w:sz w:val="20"/>
          <w:szCs w:val="20"/>
        </w:rPr>
        <w:t>Die Individualkarte enthält mindestens folgende Angaben:</w:t>
      </w:r>
    </w:p>
    <w:p w14:paraId="4503E30E" w14:textId="77777777"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12A6E6C" w14:textId="5D2A63DB"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326880">
        <w:rPr>
          <w:iCs/>
          <w:sz w:val="20"/>
          <w:szCs w:val="20"/>
        </w:rPr>
        <w:t>1. Angaben zur Identifizierung der Person, der die Pension gezahlt oder zuerkannt wurde, und ihren Wohnsitz,</w:t>
      </w:r>
    </w:p>
    <w:p w14:paraId="13DAF303" w14:textId="77777777"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A98265" w14:textId="3E45A9AB"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326880">
        <w:rPr>
          <w:iCs/>
          <w:sz w:val="20"/>
          <w:szCs w:val="20"/>
        </w:rPr>
        <w:t>2. Identität der Arbeitgeber oder Gesellschaften, die Prämien oder Beiträge für die Bildung der Pension gezahlt haben,</w:t>
      </w:r>
    </w:p>
    <w:p w14:paraId="6EFC4164" w14:textId="77777777"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15E7245" w14:textId="77777777" w:rsidR="00326880" w:rsidRDefault="00326880">
      <w:pPr>
        <w:rPr>
          <w:iCs/>
          <w:sz w:val="20"/>
          <w:szCs w:val="20"/>
        </w:rPr>
      </w:pPr>
      <w:r>
        <w:rPr>
          <w:iCs/>
          <w:sz w:val="20"/>
          <w:szCs w:val="20"/>
        </w:rPr>
        <w:br w:type="page"/>
      </w:r>
    </w:p>
    <w:p w14:paraId="5E659E53" w14:textId="01B5AA99"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326880">
        <w:rPr>
          <w:iCs/>
          <w:sz w:val="20"/>
          <w:szCs w:val="20"/>
        </w:rPr>
        <w:t>3. Betrag der Pension, der in Anwendung von Artikel 230 Absatz 1 Nr. 4</w:t>
      </w:r>
      <w:r w:rsidRPr="00326880">
        <w:rPr>
          <w:i/>
          <w:iCs/>
          <w:sz w:val="20"/>
          <w:szCs w:val="20"/>
        </w:rPr>
        <w:t>bis</w:t>
      </w:r>
      <w:r w:rsidRPr="00326880">
        <w:rPr>
          <w:iCs/>
          <w:sz w:val="20"/>
          <w:szCs w:val="20"/>
        </w:rPr>
        <w:t xml:space="preserve"> steuerfrei ist.]</w:t>
      </w:r>
    </w:p>
    <w:p w14:paraId="7B77BFDF" w14:textId="77777777"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08D987" w14:textId="4694C435"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326880">
        <w:rPr>
          <w:i/>
          <w:iCs/>
          <w:sz w:val="20"/>
          <w:szCs w:val="20"/>
        </w:rPr>
        <w:t>[Art. 321ter eingefügt durch Art. 4 des G. vom 25. Dezember 2016 (II) (B.S. vom 30. Dezember 2016) - in Kraft am 1. Januar 2017 und anwendbar auf die ab diesem Datum gezahlten oder zuerkannten Pensionen -</w:t>
      </w:r>
      <w:r>
        <w:rPr>
          <w:i/>
          <w:iCs/>
          <w:sz w:val="20"/>
          <w:szCs w:val="20"/>
        </w:rPr>
        <w:t>; Abs. 1 abgeändert durch Art. 24</w:t>
      </w:r>
      <w:r w:rsidRPr="00326880">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326880">
        <w:rPr>
          <w:i/>
          <w:iCs/>
          <w:sz w:val="20"/>
          <w:szCs w:val="20"/>
        </w:rPr>
        <w:t>-]</w:t>
      </w:r>
      <w:r>
        <w:rPr>
          <w:sz w:val="20"/>
          <w:szCs w:val="20"/>
        </w:rPr>
        <w:t>"</w:t>
      </w:r>
    </w:p>
    <w:p w14:paraId="3CD006C5" w14:textId="3A8DF246" w:rsidR="00326880" w:rsidRPr="009118AB"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BE063E" w14:textId="40023537" w:rsidR="00F45614" w:rsidRPr="009118AB" w:rsidRDefault="00F45614">
      <w:r w:rsidRPr="009118AB">
        <w:br w:type="page"/>
      </w:r>
    </w:p>
    <w:p w14:paraId="2FC05DC4" w14:textId="5DE15834" w:rsidR="00F45614" w:rsidRPr="009118AB"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t>[</w:t>
      </w:r>
      <w:r w:rsidRPr="009118AB">
        <w:rPr>
          <w:i/>
        </w:rPr>
        <w:t>Abschnitt 1quater</w:t>
      </w:r>
      <w:r w:rsidR="00D67EB8" w:rsidRPr="009118AB">
        <w:t> - </w:t>
      </w:r>
      <w:r w:rsidR="00350DB9" w:rsidRPr="009118AB">
        <w:t>[Pflichten der meldenden Plattformbetreiber]</w:t>
      </w:r>
      <w:r w:rsidRPr="009118AB">
        <w:t>]</w:t>
      </w:r>
    </w:p>
    <w:p w14:paraId="79AF07CE" w14:textId="4ACB556F" w:rsidR="00F45614" w:rsidRPr="009118AB"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59956DE" w14:textId="6E54079B" w:rsidR="00F45614" w:rsidRPr="009118AB"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
        </w:rPr>
        <w:t xml:space="preserve">[Unterteilung Abschnitt 1quater eingefügt durch </w:t>
      </w:r>
      <w:r w:rsidR="00D67EB8" w:rsidRPr="009118AB">
        <w:rPr>
          <w:i/>
        </w:rPr>
        <w:t>Art. </w:t>
      </w:r>
      <w:r w:rsidRPr="009118AB">
        <w:rPr>
          <w:i/>
        </w:rPr>
        <w:t>15</w:t>
      </w:r>
      <w:r w:rsidRPr="009118AB">
        <w:rPr>
          <w:i/>
          <w:iCs/>
        </w:rPr>
        <w:t xml:space="preserve"> des G. vom 20. Dezember 2020 (II) (B.S. vom 30. Dezember 2020)</w:t>
      </w:r>
      <w:r w:rsidR="00D67EB8" w:rsidRPr="009118AB">
        <w:rPr>
          <w:i/>
          <w:iCs/>
        </w:rPr>
        <w:t> - </w:t>
      </w:r>
      <w:r w:rsidRPr="009118AB">
        <w:rPr>
          <w:i/>
          <w:iCs/>
        </w:rPr>
        <w:t xml:space="preserve">außer Kraft an dem Tag, an dem die Umsetzung der Richtlinie über die Zusammenarbeit der Verwaltungsbehörden im Bereich der Besteuerung in unser innerstaatliches Recht in Kraft </w:t>
      </w:r>
      <w:r w:rsidR="00D74DCD" w:rsidRPr="009118AB">
        <w:rPr>
          <w:i/>
          <w:iCs/>
        </w:rPr>
        <w:t>tritt</w:t>
      </w:r>
      <w:r w:rsidR="00FD68E8" w:rsidRPr="009118AB">
        <w:rPr>
          <w:i/>
          <w:iCs/>
        </w:rPr>
        <w:t> -</w:t>
      </w:r>
      <w:r w:rsidR="00350DB9" w:rsidRPr="009118AB">
        <w:rPr>
          <w:i/>
          <w:iCs/>
        </w:rPr>
        <w:t xml:space="preserve">; Überschrift von Abschnitt 1quater ersetzt durch Art. 3 des G. vom </w:t>
      </w:r>
      <w:r w:rsidR="003365DD" w:rsidRPr="009118AB">
        <w:rPr>
          <w:i/>
          <w:iCs/>
        </w:rPr>
        <w:t>21. Dezember 2022 (I)</w:t>
      </w:r>
      <w:r w:rsidR="00350DB9" w:rsidRPr="009118AB">
        <w:rPr>
          <w:i/>
          <w:iCs/>
        </w:rPr>
        <w:t xml:space="preserve"> (B.S. vom 30. Dezember 2022) - in Kraft am 1. Januar 2023 -</w:t>
      </w:r>
      <w:r w:rsidR="00FD68E8" w:rsidRPr="009118AB">
        <w:rPr>
          <w:i/>
          <w:iCs/>
        </w:rPr>
        <w:t>]</w:t>
      </w:r>
    </w:p>
    <w:p w14:paraId="4DC7725C" w14:textId="777B0670" w:rsidR="00F45614" w:rsidRPr="009118AB"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5B300C8" w14:textId="7F31C980" w:rsidR="00F45614" w:rsidRPr="009118AB"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0CA9C19" w14:textId="403C15FF" w:rsidR="00350DB9" w:rsidRPr="009118AB" w:rsidRDefault="00F45614" w:rsidP="00350DB9">
      <w:pPr>
        <w:jc w:val="both"/>
      </w:pPr>
      <w:r w:rsidRPr="009118AB">
        <w:rPr>
          <w:iCs/>
        </w:rPr>
        <w:tab/>
        <w:t>[</w:t>
      </w:r>
      <w:r w:rsidR="00D67EB8" w:rsidRPr="009118AB">
        <w:rPr>
          <w:b/>
        </w:rPr>
        <w:t>Art. </w:t>
      </w:r>
      <w:r w:rsidRPr="009118AB">
        <w:rPr>
          <w:b/>
        </w:rPr>
        <w:t>321</w:t>
      </w:r>
      <w:r w:rsidRPr="009118AB">
        <w:rPr>
          <w:b/>
          <w:i/>
        </w:rPr>
        <w:t>quater</w:t>
      </w:r>
      <w:r w:rsidR="00D67EB8" w:rsidRPr="009118AB">
        <w:t> - </w:t>
      </w:r>
      <w:r w:rsidR="00350DB9" w:rsidRPr="009118AB">
        <w:t>[Für die Anwendung des vorliegenden Abschnitts versteht man unter:</w:t>
      </w:r>
    </w:p>
    <w:p w14:paraId="17D32754" w14:textId="77777777" w:rsidR="00350DB9" w:rsidRPr="009118AB" w:rsidRDefault="00350DB9" w:rsidP="00350DB9">
      <w:pPr>
        <w:jc w:val="both"/>
      </w:pPr>
    </w:p>
    <w:p w14:paraId="1A98767E" w14:textId="77777777" w:rsidR="00350DB9" w:rsidRPr="009118AB" w:rsidRDefault="00350DB9" w:rsidP="00350DB9">
      <w:pPr>
        <w:jc w:val="both"/>
      </w:pPr>
      <w:r w:rsidRPr="009118AB">
        <w:tab/>
        <w:t>1. "Plattform": jegliche Software, einschließlich einer Website oder eines Teils davon und Anwendungen, einschließlich mobiler Anwendungen, die Nutzern zugänglich ist und die es Verkäufern ermöglicht, mit anderen Nutzern in Verbindung zu stehen, um direkt oder indirekt eine relevante Tätigkeit für diese Nutzer auszuüben. Dazu gehören auch alle Vereinbarungen über die Erhebung und Zahlung einer mit einer relevanten Tätigkeit zusammenhängenden Vergütung.</w:t>
      </w:r>
    </w:p>
    <w:p w14:paraId="6606835B" w14:textId="77777777" w:rsidR="00350DB9" w:rsidRPr="009118AB" w:rsidRDefault="00350DB9" w:rsidP="00350DB9">
      <w:pPr>
        <w:jc w:val="both"/>
      </w:pPr>
    </w:p>
    <w:p w14:paraId="22EA341E" w14:textId="77777777" w:rsidR="00350DB9" w:rsidRPr="009118AB" w:rsidRDefault="00350DB9" w:rsidP="00350DB9">
      <w:pPr>
        <w:jc w:val="both"/>
      </w:pPr>
      <w:r w:rsidRPr="009118AB">
        <w:tab/>
        <w:t>Der Begriff "Plattform" schließt keine Software ein, die - ohne weiteres Eingreifen in die Ausübung einer relevanten Tätigkeit - ausschließlich Folgendes erlaubt:</w:t>
      </w:r>
    </w:p>
    <w:p w14:paraId="0DDE389F" w14:textId="77777777" w:rsidR="00350DB9" w:rsidRPr="009118AB" w:rsidRDefault="00350DB9" w:rsidP="00350DB9">
      <w:pPr>
        <w:jc w:val="both"/>
      </w:pPr>
    </w:p>
    <w:p w14:paraId="212ED772" w14:textId="77777777" w:rsidR="00350DB9" w:rsidRPr="009118AB" w:rsidRDefault="00350DB9" w:rsidP="00350DB9">
      <w:pPr>
        <w:jc w:val="both"/>
      </w:pPr>
      <w:r w:rsidRPr="009118AB">
        <w:tab/>
      </w:r>
      <w:r w:rsidRPr="009118AB">
        <w:rPr>
          <w:i/>
          <w:iCs/>
        </w:rPr>
        <w:t>a)</w:t>
      </w:r>
      <w:r w:rsidRPr="009118AB">
        <w:t> die Verarbeitung von Zahlungen im Zusammenhang mit einer relevanten Tätigkeit,</w:t>
      </w:r>
    </w:p>
    <w:p w14:paraId="1D0C0649" w14:textId="77777777" w:rsidR="00350DB9" w:rsidRPr="009118AB" w:rsidRDefault="00350DB9" w:rsidP="00350DB9">
      <w:pPr>
        <w:jc w:val="both"/>
      </w:pPr>
    </w:p>
    <w:p w14:paraId="7159D823" w14:textId="77777777" w:rsidR="00350DB9" w:rsidRPr="009118AB" w:rsidRDefault="00350DB9" w:rsidP="00350DB9">
      <w:pPr>
        <w:jc w:val="both"/>
      </w:pPr>
      <w:r w:rsidRPr="009118AB">
        <w:rPr>
          <w:i/>
          <w:iCs/>
        </w:rPr>
        <w:tab/>
        <w:t>b)</w:t>
      </w:r>
      <w:r w:rsidRPr="009118AB">
        <w:t> das Anbieten einer relevanten Tätigkeit oder Werbung für eine relevante Tätigkeit durch Nutzer,</w:t>
      </w:r>
    </w:p>
    <w:p w14:paraId="1EC5AAB5" w14:textId="77777777" w:rsidR="00350DB9" w:rsidRPr="009118AB" w:rsidRDefault="00350DB9" w:rsidP="00350DB9">
      <w:pPr>
        <w:jc w:val="both"/>
      </w:pPr>
    </w:p>
    <w:p w14:paraId="20329C20" w14:textId="77777777" w:rsidR="00350DB9" w:rsidRPr="009118AB" w:rsidRDefault="00350DB9" w:rsidP="00350DB9">
      <w:pPr>
        <w:jc w:val="both"/>
      </w:pPr>
      <w:r w:rsidRPr="009118AB">
        <w:tab/>
      </w:r>
      <w:r w:rsidRPr="009118AB">
        <w:rPr>
          <w:i/>
          <w:iCs/>
        </w:rPr>
        <w:t>c)</w:t>
      </w:r>
      <w:r w:rsidRPr="009118AB">
        <w:t> die Umleitung oder Weiterleitung von Nutzern auf eine Plattform,</w:t>
      </w:r>
    </w:p>
    <w:p w14:paraId="509C3E35" w14:textId="77777777" w:rsidR="00350DB9" w:rsidRPr="009118AB" w:rsidRDefault="00350DB9" w:rsidP="00350DB9">
      <w:pPr>
        <w:jc w:val="both"/>
      </w:pPr>
    </w:p>
    <w:p w14:paraId="150B5524" w14:textId="77777777" w:rsidR="00350DB9" w:rsidRPr="009118AB" w:rsidRDefault="00350DB9" w:rsidP="00350DB9">
      <w:pPr>
        <w:jc w:val="both"/>
      </w:pPr>
      <w:r w:rsidRPr="009118AB">
        <w:tab/>
        <w:t>2. "Plattformbetreiber": einen Rechtsträger, der mit Verkäufern vereinbart, diesen Verkäufern eine Plattform ganz oder teilweise zur Verfügung zu stellen,</w:t>
      </w:r>
    </w:p>
    <w:p w14:paraId="6ECE1068" w14:textId="77777777" w:rsidR="00350DB9" w:rsidRPr="009118AB" w:rsidRDefault="00350DB9" w:rsidP="00350DB9">
      <w:pPr>
        <w:jc w:val="both"/>
      </w:pPr>
    </w:p>
    <w:p w14:paraId="725846D0" w14:textId="77777777" w:rsidR="00350DB9" w:rsidRPr="009118AB" w:rsidRDefault="00350DB9" w:rsidP="00350DB9">
      <w:pPr>
        <w:jc w:val="both"/>
      </w:pPr>
      <w:r w:rsidRPr="009118AB">
        <w:tab/>
        <w:t>3. "freigestelltem Plattformbetreiber": einen Plattformbetreiber, der vorab und jährlich der zuständigen Behörde, der gegenüber er gemäß den in Artikel 321</w:t>
      </w:r>
      <w:r w:rsidRPr="009118AB">
        <w:rPr>
          <w:i/>
          <w:iCs/>
        </w:rPr>
        <w:t>sexies</w:t>
      </w:r>
      <w:r w:rsidRPr="009118AB">
        <w:t xml:space="preserve"> festgelegten Vorschriften normalerweise meldepflichtig wäre, hinreichend nachweist, dass das gesamte Geschäftsmodell der Plattform so konzipiert ist, dass sie nicht über meldepflichtige Verkäufer verfügt,</w:t>
      </w:r>
    </w:p>
    <w:p w14:paraId="3FA17C18" w14:textId="77777777" w:rsidR="00350DB9" w:rsidRPr="009118AB" w:rsidRDefault="00350DB9" w:rsidP="00350DB9">
      <w:pPr>
        <w:jc w:val="both"/>
      </w:pPr>
    </w:p>
    <w:p w14:paraId="3122792A" w14:textId="77777777" w:rsidR="00350DB9" w:rsidRPr="009118AB" w:rsidRDefault="00350DB9" w:rsidP="00350DB9">
      <w:pPr>
        <w:jc w:val="both"/>
      </w:pPr>
      <w:r w:rsidRPr="009118AB">
        <w:tab/>
        <w:t>4. "meldendem Plattformbetreiber": einen Plattformbetreiber, der kein freigestellter Plattformbetreiber ist und sich in einer der folgenden Situationen befindet:</w:t>
      </w:r>
    </w:p>
    <w:p w14:paraId="128F0EF0" w14:textId="77777777" w:rsidR="00350DB9" w:rsidRPr="009118AB" w:rsidRDefault="00350DB9" w:rsidP="00350DB9">
      <w:pPr>
        <w:jc w:val="both"/>
      </w:pPr>
    </w:p>
    <w:p w14:paraId="153CB607" w14:textId="77777777" w:rsidR="00350DB9" w:rsidRPr="009118AB" w:rsidRDefault="00350DB9" w:rsidP="00350DB9">
      <w:pPr>
        <w:jc w:val="both"/>
      </w:pPr>
      <w:r w:rsidRPr="009118AB">
        <w:tab/>
      </w:r>
      <w:r w:rsidRPr="009118AB">
        <w:rPr>
          <w:i/>
          <w:iCs/>
        </w:rPr>
        <w:t>a)</w:t>
      </w:r>
      <w:r w:rsidRPr="009118AB">
        <w:t> Er ist steuerlich in Belgien ansässig oder - wenn der Plattformbetreiber nicht steuerlich in Belgien ansässig ist - er erfüllt eine der folgenden Bedingungen:</w:t>
      </w:r>
    </w:p>
    <w:p w14:paraId="551FDDCB" w14:textId="77777777" w:rsidR="00350DB9" w:rsidRPr="009118AB" w:rsidRDefault="00350DB9" w:rsidP="00350DB9">
      <w:pPr>
        <w:jc w:val="both"/>
      </w:pPr>
    </w:p>
    <w:p w14:paraId="428C97E0" w14:textId="77777777" w:rsidR="00350DB9" w:rsidRPr="009118AB" w:rsidRDefault="00350DB9" w:rsidP="00350DB9">
      <w:pPr>
        <w:jc w:val="both"/>
      </w:pPr>
      <w:r w:rsidRPr="009118AB">
        <w:tab/>
        <w:t>i) Er ist nach belgischem Recht eingetragen.</w:t>
      </w:r>
    </w:p>
    <w:p w14:paraId="26AB5221" w14:textId="77777777" w:rsidR="00350DB9" w:rsidRPr="009118AB" w:rsidRDefault="00350DB9" w:rsidP="00350DB9">
      <w:pPr>
        <w:jc w:val="both"/>
      </w:pPr>
    </w:p>
    <w:p w14:paraId="157A8918" w14:textId="77777777" w:rsidR="00350DB9" w:rsidRPr="009118AB" w:rsidRDefault="00350DB9" w:rsidP="00350DB9">
      <w:pPr>
        <w:jc w:val="both"/>
      </w:pPr>
      <w:r w:rsidRPr="009118AB">
        <w:tab/>
        <w:t>ii) Er hat den Ort seiner Geschäftsleitung (einschließlich der tatsächlichen Geschäftsleitung) in Belgien.</w:t>
      </w:r>
    </w:p>
    <w:p w14:paraId="18EA0DAD" w14:textId="77777777" w:rsidR="00350DB9" w:rsidRPr="009118AB" w:rsidRDefault="00350DB9" w:rsidP="00350DB9">
      <w:pPr>
        <w:jc w:val="both"/>
      </w:pPr>
    </w:p>
    <w:p w14:paraId="661B62EA" w14:textId="77777777" w:rsidR="00350DB9" w:rsidRPr="009118AB" w:rsidRDefault="00350DB9" w:rsidP="00350DB9">
      <w:pPr>
        <w:jc w:val="both"/>
      </w:pPr>
      <w:r w:rsidRPr="009118AB">
        <w:tab/>
        <w:t>iii) Er hat eine Betriebsstätte in Belgien und ist kein qualifizierter Plattformbetreiber eines Drittlandes.</w:t>
      </w:r>
    </w:p>
    <w:p w14:paraId="43AE8645" w14:textId="77777777" w:rsidR="00350DB9" w:rsidRPr="009118AB" w:rsidRDefault="00350DB9" w:rsidP="00350DB9">
      <w:pPr>
        <w:jc w:val="both"/>
      </w:pPr>
    </w:p>
    <w:p w14:paraId="1961E80D" w14:textId="77777777" w:rsidR="00350DB9" w:rsidRPr="009118AB" w:rsidRDefault="00350DB9" w:rsidP="00350DB9">
      <w:pPr>
        <w:jc w:val="both"/>
      </w:pPr>
      <w:r w:rsidRPr="009118AB">
        <w:tab/>
      </w:r>
      <w:r w:rsidRPr="009118AB">
        <w:rPr>
          <w:i/>
          <w:iCs/>
        </w:rPr>
        <w:t>b)</w:t>
      </w:r>
      <w:r w:rsidRPr="009118AB">
        <w:t> Er ist weder in einem Mitgliedstaat steuerlich ansässig noch in einem Mitgliedstaat eingetragen, noch wird er in einem Mitgliedstaat verwaltet, noch hat er eine Betriebsstätte in einem Mitgliedstaat, sondern er ermöglicht die Ausübung einer relevanten Tätigkeit durch einen meldepflichtigen Verkäufer oder einer relevanten Tätigkeit im Zusammenhang mit der Vermietung von in einem Mitgliedstaat belegenen unbeweglichen Gütern und ist kein qualifizierter Plattformbetreiber eines Drittlandes,</w:t>
      </w:r>
    </w:p>
    <w:p w14:paraId="5C0FEC2D" w14:textId="77777777" w:rsidR="00350DB9" w:rsidRPr="009118AB" w:rsidRDefault="00350DB9" w:rsidP="00350DB9">
      <w:pPr>
        <w:jc w:val="both"/>
      </w:pPr>
    </w:p>
    <w:p w14:paraId="69E44FB0" w14:textId="77777777" w:rsidR="00350DB9" w:rsidRPr="009118AB" w:rsidRDefault="00350DB9" w:rsidP="00350DB9">
      <w:pPr>
        <w:jc w:val="both"/>
      </w:pPr>
      <w:r w:rsidRPr="009118AB">
        <w:tab/>
        <w:t>5. "qualifiziertem Plattformbetreiber eines Drittlandes": einen Plattformbetreiber, bei dem alle relevanten Tätigkeiten, die er ermöglicht, auch qualifizierte relevante Tätigkeiten sind und der steuerlich in einem qualifizierten Drittland ansässig ist oder, wenn ein Plattformbetreiber nicht in einem qualifizierten Drittland steuerlich ansässig ist, der eine der folgenden Voraussetzungen erfüllt:</w:t>
      </w:r>
    </w:p>
    <w:p w14:paraId="76D20EDE" w14:textId="77777777" w:rsidR="00350DB9" w:rsidRPr="009118AB" w:rsidRDefault="00350DB9" w:rsidP="00350DB9">
      <w:pPr>
        <w:jc w:val="both"/>
      </w:pPr>
    </w:p>
    <w:p w14:paraId="7391451E" w14:textId="77777777" w:rsidR="00350DB9" w:rsidRPr="009118AB" w:rsidRDefault="00350DB9" w:rsidP="00350DB9">
      <w:pPr>
        <w:jc w:val="both"/>
      </w:pPr>
      <w:r w:rsidRPr="009118AB">
        <w:tab/>
      </w:r>
      <w:r w:rsidRPr="009118AB">
        <w:rPr>
          <w:i/>
          <w:iCs/>
        </w:rPr>
        <w:t>a)</w:t>
      </w:r>
      <w:r w:rsidRPr="009118AB">
        <w:t> Er ist nach dem Recht eines qualifizierten Drittlandes eingetragen.</w:t>
      </w:r>
    </w:p>
    <w:p w14:paraId="27159473" w14:textId="77777777" w:rsidR="00350DB9" w:rsidRPr="009118AB" w:rsidRDefault="00350DB9" w:rsidP="00350DB9">
      <w:pPr>
        <w:jc w:val="both"/>
      </w:pPr>
    </w:p>
    <w:p w14:paraId="01ECBFB2" w14:textId="77777777" w:rsidR="00350DB9" w:rsidRPr="009118AB" w:rsidRDefault="00350DB9" w:rsidP="00350DB9">
      <w:pPr>
        <w:jc w:val="both"/>
      </w:pPr>
      <w:r w:rsidRPr="009118AB">
        <w:tab/>
      </w:r>
      <w:r w:rsidRPr="009118AB">
        <w:rPr>
          <w:i/>
          <w:iCs/>
        </w:rPr>
        <w:t>b)</w:t>
      </w:r>
      <w:r w:rsidRPr="009118AB">
        <w:t> Er hat den Ort seiner Geschäftsleitung (einschließlich der tatsächlichen Geschäftsleitung) in einem qualifizierten Drittland,</w:t>
      </w:r>
    </w:p>
    <w:p w14:paraId="7282C0D0" w14:textId="77777777" w:rsidR="00350DB9" w:rsidRPr="009118AB" w:rsidRDefault="00350DB9" w:rsidP="00350DB9">
      <w:pPr>
        <w:jc w:val="both"/>
      </w:pPr>
    </w:p>
    <w:p w14:paraId="1D2BF1C4" w14:textId="77777777" w:rsidR="00350DB9" w:rsidRPr="009118AB" w:rsidRDefault="00350DB9" w:rsidP="00350DB9">
      <w:pPr>
        <w:jc w:val="both"/>
      </w:pPr>
      <w:r w:rsidRPr="009118AB">
        <w:tab/>
        <w:t>6. "qualifiziertem Drittland": ein Drittland, das über eine geltende wirksame qualifizierende Vereinbarung zwischen zuständigen Behörden mit den zuständigen Behörden aller Mitgliedstaaten verfügt, die in einer von dem Drittland veröffentlichten Liste als meldepflichtige Länder genannt sind,</w:t>
      </w:r>
    </w:p>
    <w:p w14:paraId="39E69C88" w14:textId="77777777" w:rsidR="00350DB9" w:rsidRPr="009118AB" w:rsidRDefault="00350DB9" w:rsidP="00350DB9">
      <w:pPr>
        <w:jc w:val="both"/>
      </w:pPr>
    </w:p>
    <w:p w14:paraId="5F0FED50" w14:textId="77777777" w:rsidR="00350DB9" w:rsidRPr="009118AB" w:rsidRDefault="00350DB9" w:rsidP="00350DB9">
      <w:pPr>
        <w:jc w:val="both"/>
      </w:pPr>
      <w:r w:rsidRPr="009118AB">
        <w:tab/>
        <w:t>7. "wirksamer qualifizierender Vereinbarung zwischen zuständigen Behörden": eine Vereinbarung zwischen den zuständigen Behörden eines Mitgliedstaates und eines Drittlandes, die den automatischen Austausch von Informationen vorschreibt, die den in Artikel 321</w:t>
      </w:r>
      <w:r w:rsidRPr="009118AB">
        <w:rPr>
          <w:i/>
          <w:iCs/>
        </w:rPr>
        <w:t>sexies</w:t>
      </w:r>
      <w:r w:rsidRPr="009118AB">
        <w:t xml:space="preserve"> § 5 angegebenen Informationen gleichwertig sind, wie bestätigt in einem Durchführungsrechtsakt gemäß Artikel 8ac Absatz 7 der Richtlinie 2011/16, so wie sie durch die Richtlinie 2021/514 abgeändert worden ist,</w:t>
      </w:r>
    </w:p>
    <w:p w14:paraId="01100316" w14:textId="77777777" w:rsidR="00350DB9" w:rsidRPr="009118AB" w:rsidRDefault="00350DB9" w:rsidP="00350DB9">
      <w:pPr>
        <w:jc w:val="both"/>
      </w:pPr>
    </w:p>
    <w:p w14:paraId="5E53217B" w14:textId="77777777" w:rsidR="00350DB9" w:rsidRPr="009118AB" w:rsidRDefault="00350DB9" w:rsidP="00350DB9">
      <w:pPr>
        <w:jc w:val="both"/>
      </w:pPr>
      <w:r w:rsidRPr="009118AB">
        <w:tab/>
        <w:t>8. "relevanter Tätigkeit": eine gegen Vergütung ausgeführte Tätigkeit, bei der es sich um eine der folgenden Tätigkeiten handelt:</w:t>
      </w:r>
    </w:p>
    <w:p w14:paraId="36385842" w14:textId="77777777" w:rsidR="00350DB9" w:rsidRPr="009118AB" w:rsidRDefault="00350DB9" w:rsidP="00350DB9">
      <w:pPr>
        <w:jc w:val="both"/>
      </w:pPr>
    </w:p>
    <w:p w14:paraId="2A9EA27C" w14:textId="77777777" w:rsidR="00350DB9" w:rsidRPr="009118AB" w:rsidRDefault="00350DB9" w:rsidP="00350DB9">
      <w:pPr>
        <w:jc w:val="both"/>
      </w:pPr>
      <w:r w:rsidRPr="009118AB">
        <w:tab/>
      </w:r>
      <w:r w:rsidRPr="009118AB">
        <w:rPr>
          <w:i/>
          <w:iCs/>
        </w:rPr>
        <w:t>a)</w:t>
      </w:r>
      <w:r w:rsidRPr="009118AB">
        <w:t> die Vermietung von unbeweglichen Gütern, einschließlich von Wohn- und Gewerbeimmobilien, sowie von jeglicher sonstigen Immobilie und von Parkplätzen,</w:t>
      </w:r>
    </w:p>
    <w:p w14:paraId="22CC45F7" w14:textId="77777777" w:rsidR="00350DB9" w:rsidRPr="009118AB" w:rsidRDefault="00350DB9" w:rsidP="00350DB9">
      <w:pPr>
        <w:jc w:val="both"/>
      </w:pPr>
    </w:p>
    <w:p w14:paraId="11A4E32F" w14:textId="77777777" w:rsidR="00350DB9" w:rsidRPr="009118AB" w:rsidRDefault="00350DB9" w:rsidP="00350DB9">
      <w:pPr>
        <w:jc w:val="both"/>
      </w:pPr>
      <w:r w:rsidRPr="009118AB">
        <w:tab/>
      </w:r>
      <w:r w:rsidRPr="009118AB">
        <w:rPr>
          <w:i/>
          <w:iCs/>
        </w:rPr>
        <w:t>b)</w:t>
      </w:r>
      <w:r w:rsidRPr="009118AB">
        <w:t> eine persönliche Dienstleistung,</w:t>
      </w:r>
    </w:p>
    <w:p w14:paraId="7DAC3C5D" w14:textId="77777777" w:rsidR="00350DB9" w:rsidRPr="009118AB" w:rsidRDefault="00350DB9" w:rsidP="00350DB9">
      <w:pPr>
        <w:jc w:val="both"/>
      </w:pPr>
    </w:p>
    <w:p w14:paraId="5394C820" w14:textId="77777777" w:rsidR="00350DB9" w:rsidRPr="009118AB" w:rsidRDefault="00350DB9" w:rsidP="00350DB9">
      <w:pPr>
        <w:jc w:val="both"/>
      </w:pPr>
      <w:r w:rsidRPr="009118AB">
        <w:tab/>
      </w:r>
      <w:r w:rsidRPr="009118AB">
        <w:rPr>
          <w:i/>
          <w:iCs/>
        </w:rPr>
        <w:t>c)</w:t>
      </w:r>
      <w:r w:rsidRPr="009118AB">
        <w:t> den Verkauf von Waren,</w:t>
      </w:r>
    </w:p>
    <w:p w14:paraId="0DCE55B6" w14:textId="77777777" w:rsidR="00350DB9" w:rsidRPr="009118AB" w:rsidRDefault="00350DB9" w:rsidP="00350DB9">
      <w:pPr>
        <w:jc w:val="both"/>
      </w:pPr>
    </w:p>
    <w:p w14:paraId="3FBAD1AD" w14:textId="77777777" w:rsidR="00350DB9" w:rsidRPr="009118AB" w:rsidRDefault="00350DB9" w:rsidP="00350DB9">
      <w:pPr>
        <w:jc w:val="both"/>
      </w:pPr>
      <w:r w:rsidRPr="009118AB">
        <w:tab/>
      </w:r>
      <w:r w:rsidRPr="009118AB">
        <w:rPr>
          <w:i/>
          <w:iCs/>
        </w:rPr>
        <w:t>d)</w:t>
      </w:r>
      <w:r w:rsidRPr="009118AB">
        <w:t> die Vermietung jeglicher Verkehrsmittel.</w:t>
      </w:r>
    </w:p>
    <w:p w14:paraId="7D0ABA47" w14:textId="77777777" w:rsidR="00350DB9" w:rsidRPr="009118AB" w:rsidRDefault="00350DB9" w:rsidP="00350DB9">
      <w:pPr>
        <w:jc w:val="both"/>
      </w:pPr>
    </w:p>
    <w:p w14:paraId="1F992D3B" w14:textId="77777777" w:rsidR="00350DB9" w:rsidRPr="009118AB" w:rsidRDefault="00350DB9" w:rsidP="00350DB9">
      <w:pPr>
        <w:jc w:val="both"/>
      </w:pPr>
      <w:r w:rsidRPr="009118AB">
        <w:tab/>
        <w:t>Der Begriff "relevante Tätigkeit" umfasst nicht die Tätigkeit eines Verkäufers, der als Angestellter des meldenden Plattformbetreibers oder eines verbundenen Rechtsträgers des Plattformbetreibers handelt,</w:t>
      </w:r>
    </w:p>
    <w:p w14:paraId="5268F897" w14:textId="77777777" w:rsidR="00350DB9" w:rsidRPr="009118AB" w:rsidRDefault="00350DB9" w:rsidP="00350DB9">
      <w:pPr>
        <w:jc w:val="both"/>
      </w:pPr>
    </w:p>
    <w:p w14:paraId="20158FA0" w14:textId="77777777" w:rsidR="00350DB9" w:rsidRPr="009118AB" w:rsidRDefault="00350DB9" w:rsidP="00350DB9">
      <w:pPr>
        <w:jc w:val="both"/>
      </w:pPr>
      <w:r w:rsidRPr="009118AB">
        <w:tab/>
        <w:t>9. "qualifizierten relevanten Tätigkeiten": alle relevanten Tätigkeiten, die gemäß einer wirksamen qualifizierenden Vereinbarung zwischen zuständigen Behörden unter den automatischen Austausch fallen,</w:t>
      </w:r>
    </w:p>
    <w:p w14:paraId="7633ADA3" w14:textId="77777777" w:rsidR="00350DB9" w:rsidRPr="009118AB" w:rsidRDefault="00350DB9" w:rsidP="00350DB9">
      <w:pPr>
        <w:jc w:val="both"/>
      </w:pPr>
    </w:p>
    <w:p w14:paraId="37992F1E" w14:textId="77777777" w:rsidR="00350DB9" w:rsidRPr="009118AB" w:rsidRDefault="00350DB9" w:rsidP="00350DB9">
      <w:pPr>
        <w:jc w:val="both"/>
      </w:pPr>
      <w:r w:rsidRPr="009118AB">
        <w:tab/>
        <w:t>10. "Vergütung": jegliche Form von Entgelt, abzüglich aller vom meldenden Plattformbetreiber einbehaltenen oder erhobenen Gebühren, Provisionen oder Steuern, das einem Verkäufer im Zusammenhang mit der relevanten Tätigkeit gezahlt oder gutgeschrieben wird und dessen Höhe dem Plattformbetreiber bekannt ist oder vernünftigerweise bekannt sein sollte,</w:t>
      </w:r>
    </w:p>
    <w:p w14:paraId="0AB150C4" w14:textId="77777777" w:rsidR="00350DB9" w:rsidRPr="009118AB" w:rsidRDefault="00350DB9" w:rsidP="00350DB9">
      <w:pPr>
        <w:jc w:val="both"/>
      </w:pPr>
    </w:p>
    <w:p w14:paraId="4F7431E4" w14:textId="77777777" w:rsidR="00350DB9" w:rsidRPr="009118AB" w:rsidRDefault="00350DB9" w:rsidP="00350DB9">
      <w:pPr>
        <w:jc w:val="both"/>
      </w:pPr>
      <w:r w:rsidRPr="009118AB">
        <w:tab/>
        <w:t>11. "persönlicher Dienstleistung": eine Leistung, die zeitlich begrenzte oder aufgabenbezogene Arbeiten umfasst, die von einer oder mehreren natürlichen Personen ausgeführt werden, die entweder selbstständig oder im Namen eines Rechtsträgers handeln; diese Dienstleistung wird auf Wunsch eines Nutzers entweder online oder - nach Ermöglichung über eine Plattform - physisch und offline durchgeführt,</w:t>
      </w:r>
    </w:p>
    <w:p w14:paraId="37AAC4A1" w14:textId="77777777" w:rsidR="00350DB9" w:rsidRPr="009118AB" w:rsidRDefault="00350DB9" w:rsidP="00350DB9">
      <w:pPr>
        <w:jc w:val="both"/>
      </w:pPr>
    </w:p>
    <w:p w14:paraId="2D46354C" w14:textId="77777777" w:rsidR="00350DB9" w:rsidRPr="009118AB" w:rsidRDefault="00350DB9" w:rsidP="00350DB9">
      <w:pPr>
        <w:jc w:val="both"/>
      </w:pPr>
      <w:r w:rsidRPr="009118AB">
        <w:tab/>
        <w:t>12. "Verkäufer": einen Nutzer einer Plattform, der entweder eine natürliche Person oder ein Rechtsträger ist und jederzeit während des Meldezeitraums auf der Plattform registriert ist und die relevante Tätigkeit ausübt,</w:t>
      </w:r>
    </w:p>
    <w:p w14:paraId="79777228" w14:textId="77777777" w:rsidR="00350DB9" w:rsidRPr="009118AB" w:rsidRDefault="00350DB9" w:rsidP="00350DB9">
      <w:pPr>
        <w:jc w:val="both"/>
      </w:pPr>
    </w:p>
    <w:p w14:paraId="766368A8" w14:textId="77777777" w:rsidR="00350DB9" w:rsidRPr="009118AB" w:rsidRDefault="00350DB9" w:rsidP="00350DB9">
      <w:pPr>
        <w:jc w:val="both"/>
      </w:pPr>
      <w:r w:rsidRPr="009118AB">
        <w:tab/>
        <w:t>13. "aktivem Verkäufer": jeden Verkäufer, der entweder während des Meldezeitraums eine relevante Tätigkeit leistet oder dem im Zusammenhang mit einer relevanten Tätigkeit während des Meldezeitraums eine Vergütung gezahlt oder gutgeschrieben wird,</w:t>
      </w:r>
    </w:p>
    <w:p w14:paraId="5EB2E63F" w14:textId="77777777" w:rsidR="00350DB9" w:rsidRPr="009118AB" w:rsidRDefault="00350DB9" w:rsidP="00350DB9">
      <w:pPr>
        <w:jc w:val="both"/>
      </w:pPr>
    </w:p>
    <w:p w14:paraId="1037EA69" w14:textId="77777777" w:rsidR="00350DB9" w:rsidRPr="009118AB" w:rsidRDefault="00350DB9" w:rsidP="00350DB9">
      <w:pPr>
        <w:jc w:val="both"/>
      </w:pPr>
      <w:r w:rsidRPr="009118AB">
        <w:tab/>
        <w:t>14. "meldepflichtigem Verkäufer": jeden aktiven Verkäufer, bei dem es sich nicht um einen freigestellten Verkäufer handelt, der in einem Staat, für den Meldepflicht besteht, ansässig ist oder der ein unbewegliches Gut vermietet hat, das in einem Staat, für den Meldepflicht besteht, belegen ist,</w:t>
      </w:r>
    </w:p>
    <w:p w14:paraId="4C288AB9" w14:textId="77777777" w:rsidR="00350DB9" w:rsidRPr="009118AB" w:rsidRDefault="00350DB9" w:rsidP="00350DB9">
      <w:pPr>
        <w:jc w:val="both"/>
      </w:pPr>
    </w:p>
    <w:p w14:paraId="4A5EA71C" w14:textId="77777777" w:rsidR="00350DB9" w:rsidRPr="009118AB" w:rsidRDefault="00350DB9" w:rsidP="00350DB9">
      <w:pPr>
        <w:jc w:val="both"/>
      </w:pPr>
      <w:r w:rsidRPr="009118AB">
        <w:tab/>
        <w:t>15. "freigestelltem Verkäufer": jeden Verkäufer:</w:t>
      </w:r>
    </w:p>
    <w:p w14:paraId="2C3DB716" w14:textId="77777777" w:rsidR="00350DB9" w:rsidRPr="009118AB" w:rsidRDefault="00350DB9" w:rsidP="00350DB9">
      <w:pPr>
        <w:jc w:val="both"/>
      </w:pPr>
    </w:p>
    <w:p w14:paraId="56A59FA2" w14:textId="77777777" w:rsidR="00350DB9" w:rsidRPr="009118AB" w:rsidRDefault="00350DB9" w:rsidP="00350DB9">
      <w:pPr>
        <w:jc w:val="both"/>
      </w:pPr>
      <w:r w:rsidRPr="009118AB">
        <w:tab/>
      </w:r>
      <w:r w:rsidRPr="009118AB">
        <w:rPr>
          <w:i/>
          <w:iCs/>
        </w:rPr>
        <w:t>a)</w:t>
      </w:r>
      <w:r w:rsidRPr="009118AB">
        <w:t> bei dem es sich um einen staatlichen Rechtsträger handelt,</w:t>
      </w:r>
    </w:p>
    <w:p w14:paraId="2AE9DF1F" w14:textId="77777777" w:rsidR="00350DB9" w:rsidRPr="009118AB" w:rsidRDefault="00350DB9" w:rsidP="00350DB9">
      <w:pPr>
        <w:jc w:val="both"/>
      </w:pPr>
    </w:p>
    <w:p w14:paraId="692176DC" w14:textId="77777777" w:rsidR="00350DB9" w:rsidRPr="009118AB" w:rsidRDefault="00350DB9" w:rsidP="00350DB9">
      <w:pPr>
        <w:jc w:val="both"/>
      </w:pPr>
      <w:r w:rsidRPr="009118AB">
        <w:tab/>
      </w:r>
      <w:r w:rsidRPr="009118AB">
        <w:rPr>
          <w:i/>
          <w:iCs/>
        </w:rPr>
        <w:t>b)</w:t>
      </w:r>
      <w:r w:rsidRPr="009118AB">
        <w:t> bei dem es sich um einen Rechtsträger handelt, dessen Aktien regelmäßig an einer anerkannten Wertpapierbörse gehandelt werden, oder bei dem es sich um einen verbundenen Rechtsträger eines Rechtsträgers handelt, dessen Aktien regelmäßig an einer anerkannten Wertpapierbörse gehandelt werden,</w:t>
      </w:r>
    </w:p>
    <w:p w14:paraId="43D9C484" w14:textId="77777777" w:rsidR="00350DB9" w:rsidRPr="009118AB" w:rsidRDefault="00350DB9" w:rsidP="00350DB9">
      <w:pPr>
        <w:jc w:val="both"/>
      </w:pPr>
    </w:p>
    <w:p w14:paraId="1454D9B1" w14:textId="77777777" w:rsidR="00350DB9" w:rsidRPr="009118AB" w:rsidRDefault="00350DB9" w:rsidP="00350DB9">
      <w:pPr>
        <w:jc w:val="both"/>
      </w:pPr>
      <w:r w:rsidRPr="009118AB">
        <w:tab/>
      </w:r>
      <w:r w:rsidRPr="009118AB">
        <w:rPr>
          <w:i/>
          <w:iCs/>
        </w:rPr>
        <w:t>c)</w:t>
      </w:r>
      <w:r w:rsidRPr="009118AB">
        <w:t> bei dem es sich um einen Rechtsträger handelt, für den der Plattformbetreiber mehr als 2.000 relevante Tätigkeiten durch Vermietung von unbeweglichen Gütern im Zusammenhang mit einer inserierten Immobilieneinheit während des Meldezeitraums ermöglicht hat, oder</w:t>
      </w:r>
    </w:p>
    <w:p w14:paraId="163017B2" w14:textId="77777777" w:rsidR="00350DB9" w:rsidRPr="009118AB" w:rsidRDefault="00350DB9" w:rsidP="00350DB9">
      <w:pPr>
        <w:jc w:val="both"/>
      </w:pPr>
    </w:p>
    <w:p w14:paraId="4E09CA93" w14:textId="77777777" w:rsidR="00350DB9" w:rsidRPr="009118AB" w:rsidRDefault="00350DB9" w:rsidP="00350DB9">
      <w:pPr>
        <w:jc w:val="both"/>
      </w:pPr>
      <w:r w:rsidRPr="009118AB">
        <w:tab/>
      </w:r>
      <w:r w:rsidRPr="009118AB">
        <w:rPr>
          <w:i/>
          <w:iCs/>
        </w:rPr>
        <w:t>d)</w:t>
      </w:r>
      <w:r w:rsidRPr="009118AB">
        <w:t> für den der Plattformbetreiber weniger als 30 relevante Tätigkeiten durch den Verkauf von Waren ermöglicht hat und für den der Gesamtbetrag der gezahlten oder gutgeschriebenen Vergütung während des Meldezeitraums 2.000 EUR nicht überstieg.</w:t>
      </w:r>
    </w:p>
    <w:p w14:paraId="68AD4B1B" w14:textId="77777777" w:rsidR="00350DB9" w:rsidRPr="009118AB" w:rsidRDefault="00350DB9" w:rsidP="00350DB9">
      <w:pPr>
        <w:jc w:val="both"/>
      </w:pPr>
    </w:p>
    <w:p w14:paraId="5B27459D" w14:textId="77777777" w:rsidR="00350DB9" w:rsidRPr="009118AB" w:rsidRDefault="00350DB9" w:rsidP="00350DB9">
      <w:pPr>
        <w:jc w:val="both"/>
      </w:pPr>
      <w:r w:rsidRPr="009118AB">
        <w:tab/>
        <w:t>Ob ein in Buchstabe </w:t>
      </w:r>
      <w:r w:rsidRPr="009118AB">
        <w:rPr>
          <w:i/>
          <w:iCs/>
        </w:rPr>
        <w:t>d)</w:t>
      </w:r>
      <w:r w:rsidRPr="009118AB">
        <w:t xml:space="preserve"> erwähnter Verkäufer freigestellt ist, wird am Ende des Zeitraums beurteilt, für den die Meldung an die belgische zuständige Behörde erfolgen muss,</w:t>
      </w:r>
    </w:p>
    <w:p w14:paraId="0CA68D14" w14:textId="77777777" w:rsidR="00350DB9" w:rsidRPr="009118AB" w:rsidRDefault="00350DB9" w:rsidP="00350DB9">
      <w:pPr>
        <w:jc w:val="both"/>
      </w:pPr>
    </w:p>
    <w:p w14:paraId="6C7EE119" w14:textId="77777777" w:rsidR="00350DB9" w:rsidRPr="009118AB" w:rsidRDefault="00350DB9" w:rsidP="00350DB9">
      <w:pPr>
        <w:jc w:val="both"/>
      </w:pPr>
      <w:r w:rsidRPr="009118AB">
        <w:tab/>
        <w:t>16. "Rechtsträger": eine juristische Person oder ein Rechtsgebilde wie zum Beispiel eine Kapitalgesellschaft, eine Personengesellschaft, ein Trust oder eine Stiftung. Ein Rechtsträger ist ein verbundener Rechtsträger eines anderen Rechtsträgers, wenn einer der beiden Rechtsträger den anderen beherrscht oder die beiden Rechtsträger der gleichen Beherrschung unterliegen. Für diesen Zweck umfasst Beherrschung unmittelbares oder mittelbares Eigentum an mehr als 50 Prozent der Stimmrechte und des Wertes eines Rechtsträgers. Bei einer mittelbaren Beteiligung wird die Erfüllung der Anforderung, dass mehr als 50 Prozent des Eigentumsrechts am Kapital des anderen Rechtsträgers gehalten werden, durch Multiplikation der Beteiligungsquoten an den nachgeordneten Unternehmen ermittelt. Eine Person mit einer Stimmrechtsbeteiligung von mehr als 50 Prozent gilt als Halter von 100 Prozent der Stimmrechte,</w:t>
      </w:r>
    </w:p>
    <w:p w14:paraId="5A8E7C0F" w14:textId="77777777" w:rsidR="00350DB9" w:rsidRPr="009118AB" w:rsidRDefault="00350DB9" w:rsidP="00350DB9">
      <w:pPr>
        <w:jc w:val="both"/>
      </w:pPr>
    </w:p>
    <w:p w14:paraId="273A2E95" w14:textId="77777777" w:rsidR="00350DB9" w:rsidRPr="009118AB" w:rsidRDefault="00350DB9" w:rsidP="00350DB9">
      <w:pPr>
        <w:jc w:val="both"/>
      </w:pPr>
      <w:r w:rsidRPr="009118AB">
        <w:tab/>
        <w:t>17. "staatlichem Rechtsträger": die Regierung eines Mitgliedstaates oder anderen Staates, eine Gebietskörperschaft eines Mitgliedstaates oder anderen Staates (wobei es sich unter anderem um einen Gliedstaat, eine Gemeinschaft, eine Region, eine Provinz oder eine Gemeinde handeln kann) oder eine Behörde oder Einrichtung, die sich im Alleineigentum eines solchen staatlichen Rechtsträgers befindet,</w:t>
      </w:r>
    </w:p>
    <w:p w14:paraId="7E19C984" w14:textId="77777777" w:rsidR="00350DB9" w:rsidRPr="009118AB" w:rsidRDefault="00350DB9" w:rsidP="00350DB9">
      <w:pPr>
        <w:jc w:val="both"/>
      </w:pPr>
    </w:p>
    <w:p w14:paraId="3E54C06B" w14:textId="77777777" w:rsidR="00350DB9" w:rsidRPr="009118AB" w:rsidRDefault="00350DB9" w:rsidP="00350DB9">
      <w:pPr>
        <w:jc w:val="both"/>
      </w:pPr>
      <w:r w:rsidRPr="009118AB">
        <w:tab/>
        <w:t>18. "Steueridentifikationsnummer": die von einem Mitgliedstaat oder Ansässigkeitsstaat des Verkäufers ausgestellte Identifikationsnummer eines Steuerpflichtigen oder die funktionale Entsprechung, wenn keine Steueridentifikationsnummer vorhanden ist,</w:t>
      </w:r>
    </w:p>
    <w:p w14:paraId="54669F43" w14:textId="77777777" w:rsidR="00350DB9" w:rsidRPr="009118AB" w:rsidRDefault="00350DB9" w:rsidP="00350DB9">
      <w:pPr>
        <w:jc w:val="both"/>
      </w:pPr>
    </w:p>
    <w:p w14:paraId="7FF8B7BC" w14:textId="77777777" w:rsidR="00350DB9" w:rsidRPr="009118AB" w:rsidRDefault="00350DB9" w:rsidP="00350DB9">
      <w:pPr>
        <w:jc w:val="both"/>
      </w:pPr>
      <w:r w:rsidRPr="009118AB">
        <w:tab/>
        <w:t>19. "Mehrwertsteueridentifikationsnummer": die eindeutige Nummer zur Identifizierung eines Steuerpflichtigen oder einer nichtsteuerpflichtigen juristischen Person, der/die zu Mehrwertsteuerzwecken registriert ist,</w:t>
      </w:r>
    </w:p>
    <w:p w14:paraId="03ADA4CE" w14:textId="77777777" w:rsidR="00350DB9" w:rsidRPr="009118AB" w:rsidRDefault="00350DB9" w:rsidP="00350DB9">
      <w:pPr>
        <w:jc w:val="both"/>
      </w:pPr>
    </w:p>
    <w:p w14:paraId="37982FE7" w14:textId="77777777" w:rsidR="00350DB9" w:rsidRPr="009118AB" w:rsidRDefault="00350DB9" w:rsidP="00350DB9">
      <w:pPr>
        <w:jc w:val="both"/>
      </w:pPr>
      <w:r w:rsidRPr="009118AB">
        <w:tab/>
        <w:t>20. "Hauptanschrift": die Anschrift des Hauptwohnortes eines Verkäufers, wenn dieser eine natürliche Person ist, sowie die Anschrift des Hauptsitzes eines Verkäufers, wenn dieser ein Rechtsträger ist,</w:t>
      </w:r>
    </w:p>
    <w:p w14:paraId="64728C2E" w14:textId="77777777" w:rsidR="00350DB9" w:rsidRPr="009118AB" w:rsidRDefault="00350DB9" w:rsidP="00350DB9">
      <w:pPr>
        <w:jc w:val="both"/>
      </w:pPr>
    </w:p>
    <w:p w14:paraId="1978A3B2" w14:textId="77777777" w:rsidR="00350DB9" w:rsidRPr="009118AB" w:rsidRDefault="00350DB9" w:rsidP="00350DB9">
      <w:pPr>
        <w:jc w:val="both"/>
      </w:pPr>
      <w:r w:rsidRPr="009118AB">
        <w:tab/>
        <w:t>21. "Meldezeitraum": das Kalenderjahr, für das die Meldung gemäß Artikel 321</w:t>
      </w:r>
      <w:r w:rsidRPr="009118AB">
        <w:rPr>
          <w:i/>
          <w:iCs/>
        </w:rPr>
        <w:t>sexies</w:t>
      </w:r>
      <w:r w:rsidRPr="009118AB">
        <w:t xml:space="preserve"> vorgenommen wird,</w:t>
      </w:r>
    </w:p>
    <w:p w14:paraId="442C951E" w14:textId="77777777" w:rsidR="00350DB9" w:rsidRPr="009118AB" w:rsidRDefault="00350DB9" w:rsidP="00350DB9">
      <w:pPr>
        <w:jc w:val="both"/>
      </w:pPr>
    </w:p>
    <w:p w14:paraId="7D61753D" w14:textId="77777777" w:rsidR="00350DB9" w:rsidRPr="009118AB" w:rsidRDefault="00350DB9" w:rsidP="00350DB9">
      <w:pPr>
        <w:jc w:val="both"/>
      </w:pPr>
      <w:r w:rsidRPr="009118AB">
        <w:tab/>
        <w:t>22. "inserierter Immobilieneinheit": alle unbeweglichen Güter, die sich an derselben Anschrift befinden, im Eigentum desselben Eigentümers stehen und von demselben Verkäufer auf einer Plattform zur Miete angeboten werden,</w:t>
      </w:r>
    </w:p>
    <w:p w14:paraId="1EDBA118" w14:textId="77777777" w:rsidR="00350DB9" w:rsidRPr="009118AB" w:rsidRDefault="00350DB9" w:rsidP="00350DB9">
      <w:pPr>
        <w:jc w:val="both"/>
      </w:pPr>
    </w:p>
    <w:p w14:paraId="6ABFD9FA" w14:textId="77777777" w:rsidR="00350DB9" w:rsidRPr="009118AB" w:rsidRDefault="00350DB9" w:rsidP="00350DB9">
      <w:pPr>
        <w:jc w:val="both"/>
      </w:pPr>
      <w:r w:rsidRPr="009118AB">
        <w:tab/>
        <w:t>23. "Kennung des Finanzkontos": die eindeutige, dem Plattformbetreiber zur Verfügung stehende Kennnummer oder Referenz des Bankkontos oder eines ähnlichen Zahlungsdienstkontos, auf das die Vergütung gezahlt oder gutgeschrieben wird,</w:t>
      </w:r>
    </w:p>
    <w:p w14:paraId="5D1A37DE" w14:textId="77777777" w:rsidR="00350DB9" w:rsidRPr="009118AB" w:rsidRDefault="00350DB9" w:rsidP="00350DB9">
      <w:pPr>
        <w:jc w:val="both"/>
      </w:pPr>
    </w:p>
    <w:p w14:paraId="51DE16A4" w14:textId="77777777" w:rsidR="00350DB9" w:rsidRPr="009118AB" w:rsidRDefault="00350DB9" w:rsidP="00350DB9">
      <w:pPr>
        <w:jc w:val="both"/>
      </w:pPr>
      <w:r w:rsidRPr="009118AB">
        <w:tab/>
        <w:t>24. "Waren": jegliches körperliche Gut,</w:t>
      </w:r>
    </w:p>
    <w:p w14:paraId="501766FF" w14:textId="77777777" w:rsidR="00350DB9" w:rsidRPr="009118AB" w:rsidRDefault="00350DB9" w:rsidP="00350DB9">
      <w:pPr>
        <w:jc w:val="both"/>
      </w:pPr>
    </w:p>
    <w:p w14:paraId="340C3354" w14:textId="2CD7212D" w:rsidR="00F45614" w:rsidRPr="009118AB" w:rsidRDefault="00350DB9" w:rsidP="00350DB9">
      <w:pPr>
        <w:jc w:val="both"/>
        <w:rPr>
          <w:iCs/>
        </w:rPr>
      </w:pPr>
      <w:r w:rsidRPr="009118AB">
        <w:tab/>
        <w:t>25. "Staat, für den Meldepflicht besteht": jeden Mitgliedstaat und jedes Drittland, das als solches in einer von Belgien veröffentlichten Liste genannt ist.]</w:t>
      </w:r>
      <w:r w:rsidR="00F45614" w:rsidRPr="009118AB">
        <w:rPr>
          <w:iCs/>
        </w:rPr>
        <w:t>]</w:t>
      </w:r>
    </w:p>
    <w:p w14:paraId="6305D8F1" w14:textId="726086EA" w:rsidR="00F45614" w:rsidRPr="009118AB"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7C24B863" w14:textId="385AD7BC" w:rsidR="00F45614" w:rsidRPr="009118AB"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321quater eingefügt durch </w:t>
      </w:r>
      <w:r w:rsidR="00D67EB8" w:rsidRPr="009118AB">
        <w:rPr>
          <w:i/>
          <w:iCs/>
        </w:rPr>
        <w:t>Art. </w:t>
      </w:r>
      <w:r w:rsidRPr="009118AB">
        <w:rPr>
          <w:i/>
          <w:iCs/>
        </w:rPr>
        <w:t>16 des G. vom 20. Dezember 2020 (II) (B.S. vom 30. Dezember 2020)</w:t>
      </w:r>
      <w:r w:rsidR="00D67EB8" w:rsidRPr="009118AB">
        <w:rPr>
          <w:i/>
          <w:iCs/>
        </w:rPr>
        <w:t> - </w:t>
      </w:r>
      <w:r w:rsidRPr="009118AB">
        <w:rPr>
          <w:i/>
          <w:iCs/>
        </w:rPr>
        <w:t xml:space="preserve">außer Kraft an dem Tag, an dem die Umsetzung der Richtlinie über die Zusammenarbeit der Verwaltungsbehörden im Bereich der Besteuerung in unser innerstaatliches Recht in Kraft </w:t>
      </w:r>
      <w:r w:rsidR="00D74DCD" w:rsidRPr="009118AB">
        <w:rPr>
          <w:i/>
          <w:iCs/>
        </w:rPr>
        <w:t>tritt</w:t>
      </w:r>
      <w:r w:rsidR="00FD68E8" w:rsidRPr="009118AB">
        <w:rPr>
          <w:i/>
          <w:iCs/>
        </w:rPr>
        <w:t> -</w:t>
      </w:r>
      <w:r w:rsidR="0091729E" w:rsidRPr="009118AB">
        <w:rPr>
          <w:i/>
          <w:iCs/>
        </w:rPr>
        <w:t xml:space="preserve"> und ersetzt durch Art. 4 des G. vom </w:t>
      </w:r>
      <w:r w:rsidR="003365DD" w:rsidRPr="009118AB">
        <w:rPr>
          <w:i/>
          <w:iCs/>
        </w:rPr>
        <w:t>21. Dezember 2022 (I)</w:t>
      </w:r>
      <w:r w:rsidR="0091729E" w:rsidRPr="009118AB">
        <w:rPr>
          <w:i/>
          <w:iCs/>
        </w:rPr>
        <w:t xml:space="preserve"> (B.S. vom 30. Dezember 2022) - in Kraft am 1. Januar 2023 -</w:t>
      </w:r>
      <w:r w:rsidR="00FD68E8" w:rsidRPr="009118AB">
        <w:rPr>
          <w:i/>
          <w:iCs/>
        </w:rPr>
        <w:t>]</w:t>
      </w:r>
    </w:p>
    <w:p w14:paraId="56EBF4EA" w14:textId="77777777" w:rsidR="0091729E" w:rsidRPr="009118AB" w:rsidRDefault="0091729E"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1730A713" w14:textId="77777777" w:rsidR="0091729E" w:rsidRPr="009118AB" w:rsidRDefault="0091729E"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5CC29D92" w14:textId="1D426A57" w:rsidR="0091729E" w:rsidRPr="009118AB" w:rsidRDefault="0091729E" w:rsidP="0091729E">
      <w:pPr>
        <w:jc w:val="both"/>
      </w:pPr>
      <w:r w:rsidRPr="009118AB">
        <w:rPr>
          <w:iCs/>
        </w:rPr>
        <w:tab/>
        <w:t>[</w:t>
      </w:r>
      <w:r w:rsidRPr="009118AB">
        <w:rPr>
          <w:b/>
          <w:bCs/>
        </w:rPr>
        <w:t>Art. 321</w:t>
      </w:r>
      <w:r w:rsidRPr="009118AB">
        <w:rPr>
          <w:b/>
          <w:bCs/>
          <w:i/>
          <w:iCs/>
        </w:rPr>
        <w:t>quinquies</w:t>
      </w:r>
      <w:r w:rsidRPr="009118AB">
        <w:t xml:space="preserve"> - § 1 ­ Der meldende Plattformbetreiber </w:t>
      </w:r>
      <w:r w:rsidR="00984637" w:rsidRPr="009118AB">
        <w:t>wie in Artikel 321</w:t>
      </w:r>
      <w:r w:rsidR="00984637" w:rsidRPr="009118AB">
        <w:rPr>
          <w:i/>
          <w:iCs/>
        </w:rPr>
        <w:t>quater</w:t>
      </w:r>
      <w:r w:rsidR="00984637" w:rsidRPr="009118AB">
        <w:t xml:space="preserve"> Nr. 4 bestimmt</w:t>
      </w:r>
      <w:r w:rsidR="00984637">
        <w:t xml:space="preserve"> </w:t>
      </w:r>
      <w:r w:rsidR="0082730F">
        <w:t>[</w:t>
      </w:r>
      <w:r w:rsidR="0082730F" w:rsidRPr="0082730F">
        <w:t>setzt jede betroffene natürliche Person davon in Kenntnis, dass Informationen in Bezug auf ihre Person gemäß vorliegendem Abschnitt und Artikel 338 § 6/5 erhoben und weitergeleitet werden, und</w:t>
      </w:r>
      <w:r w:rsidR="0082730F">
        <w:t>]</w:t>
      </w:r>
      <w:r w:rsidRPr="009118AB">
        <w:t xml:space="preserve"> erhebt für jeden Verkäufer, der eine natürliche Person ist, alle folgenden Informationen:</w:t>
      </w:r>
    </w:p>
    <w:p w14:paraId="3123DC02" w14:textId="77777777" w:rsidR="0091729E" w:rsidRPr="009118AB" w:rsidRDefault="0091729E" w:rsidP="0091729E">
      <w:pPr>
        <w:jc w:val="both"/>
      </w:pPr>
    </w:p>
    <w:p w14:paraId="47BBF6C4" w14:textId="77777777" w:rsidR="0091729E" w:rsidRPr="009118AB" w:rsidRDefault="0091729E" w:rsidP="0091729E">
      <w:pPr>
        <w:jc w:val="both"/>
      </w:pPr>
      <w:r w:rsidRPr="009118AB">
        <w:tab/>
      </w:r>
      <w:r w:rsidRPr="009118AB">
        <w:rPr>
          <w:i/>
          <w:iCs/>
        </w:rPr>
        <w:t>a)</w:t>
      </w:r>
      <w:r w:rsidRPr="009118AB">
        <w:t> Namen und Vornamen,</w:t>
      </w:r>
    </w:p>
    <w:p w14:paraId="10F6A655" w14:textId="77777777" w:rsidR="0091729E" w:rsidRPr="009118AB" w:rsidRDefault="0091729E" w:rsidP="0091729E">
      <w:pPr>
        <w:jc w:val="both"/>
      </w:pPr>
    </w:p>
    <w:p w14:paraId="6157B849" w14:textId="77777777" w:rsidR="0091729E" w:rsidRPr="009118AB" w:rsidRDefault="0091729E" w:rsidP="0091729E">
      <w:pPr>
        <w:jc w:val="both"/>
      </w:pPr>
      <w:r w:rsidRPr="009118AB">
        <w:tab/>
      </w:r>
      <w:r w:rsidRPr="009118AB">
        <w:rPr>
          <w:i/>
          <w:iCs/>
        </w:rPr>
        <w:t>b)</w:t>
      </w:r>
      <w:r w:rsidRPr="009118AB">
        <w:t> Hauptanschrift,</w:t>
      </w:r>
    </w:p>
    <w:p w14:paraId="7D45A534" w14:textId="77777777" w:rsidR="0091729E" w:rsidRPr="009118AB" w:rsidRDefault="0091729E" w:rsidP="0091729E">
      <w:pPr>
        <w:jc w:val="both"/>
      </w:pPr>
    </w:p>
    <w:p w14:paraId="73DFB02D" w14:textId="77777777" w:rsidR="0091729E" w:rsidRPr="009118AB" w:rsidRDefault="0091729E" w:rsidP="0091729E">
      <w:pPr>
        <w:jc w:val="both"/>
      </w:pPr>
      <w:r w:rsidRPr="009118AB">
        <w:tab/>
      </w:r>
      <w:r w:rsidRPr="009118AB">
        <w:rPr>
          <w:i/>
          <w:iCs/>
        </w:rPr>
        <w:t>c)</w:t>
      </w:r>
      <w:r w:rsidRPr="009118AB">
        <w:t> jede Steueridentifikationsnummer, die diesem Verkäufer ausgestellt wurde, unter Angabe des jeweiligen Staates, der diese ausgestellt hat, oder, falls keine Steueridentifikationsnummer vorhanden ist, Geburtsort dieses Verkäufers,</w:t>
      </w:r>
    </w:p>
    <w:p w14:paraId="6776AAF4" w14:textId="77777777" w:rsidR="0091729E" w:rsidRPr="009118AB" w:rsidRDefault="0091729E" w:rsidP="0091729E">
      <w:pPr>
        <w:jc w:val="both"/>
      </w:pPr>
    </w:p>
    <w:p w14:paraId="4E892F2D" w14:textId="77777777" w:rsidR="0091729E" w:rsidRPr="009118AB" w:rsidRDefault="0091729E" w:rsidP="0091729E">
      <w:pPr>
        <w:jc w:val="both"/>
      </w:pPr>
      <w:r w:rsidRPr="009118AB">
        <w:tab/>
      </w:r>
      <w:r w:rsidRPr="009118AB">
        <w:rPr>
          <w:i/>
          <w:iCs/>
        </w:rPr>
        <w:t>d)</w:t>
      </w:r>
      <w:r w:rsidRPr="009118AB">
        <w:t> Mehrwertsteueridentifikationsnummer dieses Verkäufers, falls vorhanden,</w:t>
      </w:r>
    </w:p>
    <w:p w14:paraId="7FE3B7B2" w14:textId="77777777" w:rsidR="0091729E" w:rsidRPr="009118AB" w:rsidRDefault="0091729E" w:rsidP="0091729E">
      <w:pPr>
        <w:jc w:val="both"/>
      </w:pPr>
    </w:p>
    <w:p w14:paraId="5E0B2C83" w14:textId="77777777" w:rsidR="0091729E" w:rsidRPr="009118AB" w:rsidRDefault="0091729E" w:rsidP="0091729E">
      <w:pPr>
        <w:jc w:val="both"/>
      </w:pPr>
      <w:r w:rsidRPr="009118AB">
        <w:tab/>
      </w:r>
      <w:r w:rsidRPr="009118AB">
        <w:rPr>
          <w:i/>
          <w:iCs/>
        </w:rPr>
        <w:t>e)</w:t>
      </w:r>
      <w:r w:rsidRPr="009118AB">
        <w:t> Geburtsdatum.</w:t>
      </w:r>
    </w:p>
    <w:p w14:paraId="6DB77960" w14:textId="77777777" w:rsidR="0091729E" w:rsidRPr="009118AB" w:rsidRDefault="0091729E" w:rsidP="0091729E">
      <w:pPr>
        <w:jc w:val="both"/>
      </w:pPr>
    </w:p>
    <w:p w14:paraId="32B84545" w14:textId="77777777" w:rsidR="0091729E" w:rsidRPr="009118AB" w:rsidRDefault="0091729E" w:rsidP="0091729E">
      <w:pPr>
        <w:jc w:val="both"/>
      </w:pPr>
      <w:r w:rsidRPr="009118AB">
        <w:tab/>
        <w:t>Der meldende Plattformbetreiber erhebt für jeden Verkäufer, der ein Rechtsträger, aber kein freigestellter Verkäufer wie in Artikel 321</w:t>
      </w:r>
      <w:r w:rsidRPr="009118AB">
        <w:rPr>
          <w:i/>
          <w:iCs/>
        </w:rPr>
        <w:t>quater</w:t>
      </w:r>
      <w:r w:rsidRPr="009118AB">
        <w:t xml:space="preserve"> Nr. 15 Buchstabe </w:t>
      </w:r>
      <w:r w:rsidRPr="009118AB">
        <w:rPr>
          <w:i/>
          <w:iCs/>
        </w:rPr>
        <w:t>a)</w:t>
      </w:r>
      <w:r w:rsidRPr="009118AB">
        <w:t xml:space="preserve"> bis </w:t>
      </w:r>
      <w:r w:rsidRPr="009118AB">
        <w:rPr>
          <w:i/>
          <w:iCs/>
        </w:rPr>
        <w:t>c)</w:t>
      </w:r>
      <w:r w:rsidRPr="009118AB">
        <w:t xml:space="preserve"> bestimmt ist, alle folgenden Informationen:</w:t>
      </w:r>
    </w:p>
    <w:p w14:paraId="62464966" w14:textId="77777777" w:rsidR="0091729E" w:rsidRPr="009118AB" w:rsidRDefault="0091729E" w:rsidP="0091729E">
      <w:pPr>
        <w:jc w:val="both"/>
      </w:pPr>
    </w:p>
    <w:p w14:paraId="3D7AA605" w14:textId="77777777" w:rsidR="0091729E" w:rsidRPr="009118AB" w:rsidRDefault="0091729E" w:rsidP="0091729E">
      <w:pPr>
        <w:jc w:val="both"/>
      </w:pPr>
      <w:r w:rsidRPr="009118AB">
        <w:tab/>
      </w:r>
      <w:r w:rsidRPr="009118AB">
        <w:rPr>
          <w:i/>
          <w:iCs/>
        </w:rPr>
        <w:t>a)</w:t>
      </w:r>
      <w:r w:rsidRPr="009118AB">
        <w:t xml:space="preserve"> Gesellschaftsnamen,</w:t>
      </w:r>
    </w:p>
    <w:p w14:paraId="253FF119" w14:textId="77777777" w:rsidR="0091729E" w:rsidRPr="009118AB" w:rsidRDefault="0091729E" w:rsidP="0091729E">
      <w:pPr>
        <w:jc w:val="both"/>
      </w:pPr>
    </w:p>
    <w:p w14:paraId="21111969" w14:textId="77777777" w:rsidR="0091729E" w:rsidRPr="009118AB" w:rsidRDefault="0091729E" w:rsidP="0091729E">
      <w:pPr>
        <w:jc w:val="both"/>
      </w:pPr>
      <w:r w:rsidRPr="009118AB">
        <w:tab/>
      </w:r>
      <w:r w:rsidRPr="009118AB">
        <w:rPr>
          <w:i/>
          <w:iCs/>
        </w:rPr>
        <w:t>b)</w:t>
      </w:r>
      <w:r w:rsidRPr="009118AB">
        <w:t> Hauptanschrift,</w:t>
      </w:r>
    </w:p>
    <w:p w14:paraId="28089601" w14:textId="77777777" w:rsidR="0091729E" w:rsidRPr="009118AB" w:rsidRDefault="0091729E" w:rsidP="0091729E">
      <w:pPr>
        <w:jc w:val="both"/>
      </w:pPr>
    </w:p>
    <w:p w14:paraId="6C6F7B6D" w14:textId="77777777" w:rsidR="0091729E" w:rsidRPr="009118AB" w:rsidRDefault="0091729E" w:rsidP="0091729E">
      <w:pPr>
        <w:jc w:val="both"/>
      </w:pPr>
      <w:r w:rsidRPr="009118AB">
        <w:tab/>
      </w:r>
      <w:r w:rsidRPr="009118AB">
        <w:rPr>
          <w:i/>
          <w:iCs/>
        </w:rPr>
        <w:t>c)</w:t>
      </w:r>
      <w:r w:rsidRPr="009118AB">
        <w:t> jede Steueridentifikationsnummer, die diesem Verkäufer ausgestellt wurde, unter Angabe des jeweiligen Staates, der diese ausgestellt hat,</w:t>
      </w:r>
    </w:p>
    <w:p w14:paraId="0BDF075A" w14:textId="77777777" w:rsidR="0091729E" w:rsidRPr="009118AB" w:rsidRDefault="0091729E" w:rsidP="0091729E">
      <w:pPr>
        <w:jc w:val="both"/>
      </w:pPr>
    </w:p>
    <w:p w14:paraId="0629B9D4" w14:textId="77777777" w:rsidR="0091729E" w:rsidRPr="009118AB" w:rsidRDefault="0091729E" w:rsidP="0091729E">
      <w:pPr>
        <w:jc w:val="both"/>
      </w:pPr>
      <w:r w:rsidRPr="009118AB">
        <w:tab/>
      </w:r>
      <w:r w:rsidRPr="009118AB">
        <w:rPr>
          <w:i/>
          <w:iCs/>
        </w:rPr>
        <w:t>d)</w:t>
      </w:r>
      <w:r w:rsidRPr="009118AB">
        <w:t> Mehrwertsteueridentifikationsnummer dieses Verkäufers, falls vorhanden,</w:t>
      </w:r>
    </w:p>
    <w:p w14:paraId="09CA9AFD" w14:textId="77777777" w:rsidR="0091729E" w:rsidRPr="009118AB" w:rsidRDefault="0091729E" w:rsidP="0091729E">
      <w:pPr>
        <w:jc w:val="both"/>
      </w:pPr>
    </w:p>
    <w:p w14:paraId="3CA88C64" w14:textId="77777777" w:rsidR="0091729E" w:rsidRPr="009118AB" w:rsidRDefault="0091729E" w:rsidP="0091729E">
      <w:pPr>
        <w:jc w:val="both"/>
      </w:pPr>
      <w:r w:rsidRPr="009118AB">
        <w:tab/>
      </w:r>
      <w:r w:rsidRPr="009118AB">
        <w:rPr>
          <w:i/>
          <w:iCs/>
        </w:rPr>
        <w:t>e)</w:t>
      </w:r>
      <w:r w:rsidRPr="009118AB">
        <w:t> Handelsregisternummer,</w:t>
      </w:r>
    </w:p>
    <w:p w14:paraId="291E9FD0" w14:textId="77777777" w:rsidR="0091729E" w:rsidRPr="009118AB" w:rsidRDefault="0091729E" w:rsidP="0091729E">
      <w:pPr>
        <w:jc w:val="both"/>
      </w:pPr>
    </w:p>
    <w:p w14:paraId="16E5ACFB" w14:textId="77777777" w:rsidR="0091729E" w:rsidRPr="009118AB" w:rsidRDefault="0091729E" w:rsidP="0091729E">
      <w:pPr>
        <w:jc w:val="both"/>
      </w:pPr>
      <w:r w:rsidRPr="009118AB">
        <w:tab/>
      </w:r>
      <w:r w:rsidRPr="009118AB">
        <w:rPr>
          <w:i/>
          <w:iCs/>
        </w:rPr>
        <w:t>f)</w:t>
      </w:r>
      <w:r w:rsidRPr="009118AB">
        <w:t> Bestehen einer Betriebsstätte in der Union, über die relevante Tätigkeiten ausgeübt werden, falls vorhanden, unter Angabe des jeweiligen Mitgliedstaates, in dem sich diese Betriebsstätte befindet.</w:t>
      </w:r>
    </w:p>
    <w:p w14:paraId="0429D86D" w14:textId="77777777" w:rsidR="0091729E" w:rsidRPr="009118AB" w:rsidRDefault="0091729E" w:rsidP="0091729E">
      <w:pPr>
        <w:jc w:val="both"/>
      </w:pPr>
    </w:p>
    <w:p w14:paraId="54608CC3" w14:textId="77777777" w:rsidR="0091729E" w:rsidRPr="009118AB" w:rsidRDefault="0091729E" w:rsidP="0091729E">
      <w:pPr>
        <w:jc w:val="both"/>
      </w:pPr>
      <w:r w:rsidRPr="009118AB">
        <w:tab/>
        <w:t>In Abweichung von den Absätzen 1 und 2 ist der meldende Plattformbetreiber nicht verpflichtet, die in Absatz 1 Buchstabe </w:t>
      </w:r>
      <w:r w:rsidRPr="009118AB">
        <w:rPr>
          <w:i/>
          <w:iCs/>
        </w:rPr>
        <w:t>b)</w:t>
      </w:r>
      <w:r w:rsidRPr="009118AB">
        <w:t xml:space="preserve"> bis </w:t>
      </w:r>
      <w:r w:rsidRPr="009118AB">
        <w:rPr>
          <w:i/>
          <w:iCs/>
        </w:rPr>
        <w:t>e)</w:t>
      </w:r>
      <w:r w:rsidRPr="009118AB">
        <w:t xml:space="preserve"> und Absatz 2 Buchstabe </w:t>
      </w:r>
      <w:r w:rsidRPr="009118AB">
        <w:rPr>
          <w:i/>
          <w:iCs/>
        </w:rPr>
        <w:t>b)</w:t>
      </w:r>
      <w:r w:rsidRPr="009118AB">
        <w:t xml:space="preserve"> bis </w:t>
      </w:r>
      <w:r w:rsidRPr="009118AB">
        <w:rPr>
          <w:i/>
          <w:iCs/>
        </w:rPr>
        <w:t>f)</w:t>
      </w:r>
      <w:r w:rsidRPr="009118AB">
        <w:t xml:space="preserve"> erwähnten Informationen zu erheben, sofern dieser sich zur Feststellung der Identität und der steuerlichen Ansässigkeit des Verkäufers auf eine direkte Bestätigung der Identität und der Ansässigkeit des Verkäufers durch einen Identifizierungsdienst stützt, der von einem Staat, für den Meldepflicht besteht, oder der Europäischen Union bereitgestellt wird.</w:t>
      </w:r>
    </w:p>
    <w:p w14:paraId="3B2D755D" w14:textId="77777777" w:rsidR="0091729E" w:rsidRPr="009118AB" w:rsidRDefault="0091729E" w:rsidP="0091729E">
      <w:pPr>
        <w:jc w:val="both"/>
      </w:pPr>
    </w:p>
    <w:p w14:paraId="2F6D0CB6" w14:textId="77777777" w:rsidR="003365DD" w:rsidRPr="009118AB" w:rsidRDefault="003365DD">
      <w:r w:rsidRPr="009118AB">
        <w:br w:type="page"/>
      </w:r>
    </w:p>
    <w:p w14:paraId="33FA72BC" w14:textId="34F17D9F" w:rsidR="0091729E" w:rsidRPr="009118AB" w:rsidRDefault="0091729E" w:rsidP="0091729E">
      <w:pPr>
        <w:ind w:firstLine="709"/>
        <w:jc w:val="both"/>
      </w:pPr>
      <w:r w:rsidRPr="009118AB">
        <w:t>In Abweichung von Absatz 1 Buchstabe </w:t>
      </w:r>
      <w:r w:rsidRPr="009118AB">
        <w:rPr>
          <w:i/>
          <w:iCs/>
        </w:rPr>
        <w:t>c)</w:t>
      </w:r>
      <w:r w:rsidRPr="009118AB">
        <w:t xml:space="preserve"> und Absatz 2 Buchstabe </w:t>
      </w:r>
      <w:r w:rsidRPr="009118AB">
        <w:rPr>
          <w:i/>
          <w:iCs/>
        </w:rPr>
        <w:t>c)</w:t>
      </w:r>
      <w:r w:rsidRPr="009118AB">
        <w:t xml:space="preserve"> und </w:t>
      </w:r>
      <w:r w:rsidRPr="009118AB">
        <w:rPr>
          <w:i/>
          <w:iCs/>
        </w:rPr>
        <w:t>e)</w:t>
      </w:r>
      <w:r w:rsidRPr="009118AB">
        <w:t xml:space="preserve"> ist der meldende Plattformbetreiber in folgenden Fällen nicht verpflichtet, die Steueridentifikationsnummer beziehungsweise die Handelsregisternummer zu erheben:</w:t>
      </w:r>
    </w:p>
    <w:p w14:paraId="2A10789B" w14:textId="77777777" w:rsidR="0091729E" w:rsidRPr="009118AB" w:rsidRDefault="0091729E" w:rsidP="0091729E">
      <w:pPr>
        <w:jc w:val="both"/>
      </w:pPr>
    </w:p>
    <w:p w14:paraId="54EF91C6" w14:textId="77777777" w:rsidR="0091729E" w:rsidRPr="009118AB" w:rsidRDefault="0091729E" w:rsidP="0091729E">
      <w:pPr>
        <w:jc w:val="both"/>
      </w:pPr>
      <w:r w:rsidRPr="009118AB">
        <w:tab/>
      </w:r>
      <w:r w:rsidRPr="009118AB">
        <w:rPr>
          <w:i/>
          <w:iCs/>
        </w:rPr>
        <w:t>a)</w:t>
      </w:r>
      <w:r w:rsidRPr="009118AB">
        <w:t> Der Ansässigkeitsstaat des Verkäufers stellt dem Verkäufer keine Steueridentifikationsnummer oder Handelsregisternummer aus.</w:t>
      </w:r>
    </w:p>
    <w:p w14:paraId="05B82D01" w14:textId="77777777" w:rsidR="0091729E" w:rsidRPr="009118AB" w:rsidRDefault="0091729E" w:rsidP="0091729E">
      <w:pPr>
        <w:jc w:val="both"/>
      </w:pPr>
    </w:p>
    <w:p w14:paraId="05A32B33" w14:textId="77777777" w:rsidR="0091729E" w:rsidRPr="009118AB" w:rsidRDefault="0091729E" w:rsidP="0091729E">
      <w:pPr>
        <w:jc w:val="both"/>
      </w:pPr>
      <w:r w:rsidRPr="009118AB">
        <w:tab/>
      </w:r>
      <w:r w:rsidRPr="009118AB">
        <w:rPr>
          <w:i/>
          <w:iCs/>
        </w:rPr>
        <w:t>b)</w:t>
      </w:r>
      <w:r w:rsidRPr="009118AB">
        <w:t> Der Ansässigkeitsstaat des Verkäufers verlangt keine Erhebung der Steueridentifikationsnummer, die dem Verkäufer ausgestellt wurde.</w:t>
      </w:r>
    </w:p>
    <w:p w14:paraId="5FBD00F8" w14:textId="77777777" w:rsidR="0091729E" w:rsidRPr="009118AB" w:rsidRDefault="0091729E" w:rsidP="0091729E">
      <w:pPr>
        <w:jc w:val="both"/>
      </w:pPr>
    </w:p>
    <w:p w14:paraId="70DB01D5" w14:textId="77777777" w:rsidR="0091729E" w:rsidRPr="009118AB" w:rsidRDefault="0091729E" w:rsidP="0091729E">
      <w:pPr>
        <w:jc w:val="both"/>
      </w:pPr>
      <w:r w:rsidRPr="009118AB">
        <w:tab/>
        <w:t>§ 2 - Um festzustellen, ob ein Verkäufer im Sinne von Artikel 321</w:t>
      </w:r>
      <w:r w:rsidRPr="009118AB">
        <w:rPr>
          <w:i/>
          <w:iCs/>
        </w:rPr>
        <w:t>quater</w:t>
      </w:r>
      <w:r w:rsidRPr="009118AB">
        <w:t xml:space="preserve"> Nr. 15 Buchstabe </w:t>
      </w:r>
      <w:r w:rsidRPr="009118AB">
        <w:rPr>
          <w:i/>
          <w:iCs/>
        </w:rPr>
        <w:t>a)</w:t>
      </w:r>
      <w:r w:rsidRPr="009118AB">
        <w:t xml:space="preserve"> und </w:t>
      </w:r>
      <w:r w:rsidRPr="009118AB">
        <w:rPr>
          <w:i/>
          <w:iCs/>
        </w:rPr>
        <w:t>b)</w:t>
      </w:r>
      <w:r w:rsidRPr="009118AB">
        <w:t xml:space="preserve"> als freigestellter Verkäufer einzustufen ist, kann sich ein meldender Plattformbetreiber auf öffentlich zugängliche Informationen oder eine Bestätigung des Verkäufers, der ein Rechtsträger ist, stützen.</w:t>
      </w:r>
    </w:p>
    <w:p w14:paraId="1CE23D1F" w14:textId="77777777" w:rsidR="0091729E" w:rsidRPr="009118AB" w:rsidRDefault="0091729E" w:rsidP="0091729E">
      <w:pPr>
        <w:jc w:val="both"/>
      </w:pPr>
    </w:p>
    <w:p w14:paraId="2E4F81BD" w14:textId="77777777" w:rsidR="0091729E" w:rsidRPr="009118AB" w:rsidRDefault="0091729E" w:rsidP="0091729E">
      <w:pPr>
        <w:jc w:val="both"/>
      </w:pPr>
      <w:r w:rsidRPr="009118AB">
        <w:tab/>
        <w:t>Um festzustellen, ob ein Verkäufer im Sinne von Artikel 321</w:t>
      </w:r>
      <w:r w:rsidRPr="009118AB">
        <w:rPr>
          <w:i/>
          <w:iCs/>
        </w:rPr>
        <w:t>quater</w:t>
      </w:r>
      <w:r w:rsidRPr="009118AB">
        <w:t xml:space="preserve"> Nr. 15 Buchstabe </w:t>
      </w:r>
      <w:r w:rsidRPr="009118AB">
        <w:rPr>
          <w:i/>
          <w:iCs/>
        </w:rPr>
        <w:t>c)</w:t>
      </w:r>
      <w:r w:rsidRPr="009118AB">
        <w:t xml:space="preserve"> und </w:t>
      </w:r>
      <w:r w:rsidRPr="009118AB">
        <w:rPr>
          <w:i/>
          <w:iCs/>
        </w:rPr>
        <w:t>d)</w:t>
      </w:r>
      <w:r w:rsidRPr="009118AB">
        <w:t xml:space="preserve"> als freigestellter Verkäufer einzustufen ist, kann sich ein meldender Plattformbetreiber auf seine verfügbaren Aufzeichnungen stützen.</w:t>
      </w:r>
    </w:p>
    <w:p w14:paraId="3B310155" w14:textId="77777777" w:rsidR="0091729E" w:rsidRPr="009118AB" w:rsidRDefault="0091729E" w:rsidP="0091729E">
      <w:pPr>
        <w:jc w:val="both"/>
      </w:pPr>
    </w:p>
    <w:p w14:paraId="620CF344" w14:textId="77777777" w:rsidR="0091729E" w:rsidRPr="009118AB" w:rsidRDefault="0091729E" w:rsidP="0091729E">
      <w:pPr>
        <w:jc w:val="both"/>
      </w:pPr>
      <w:r w:rsidRPr="009118AB">
        <w:tab/>
        <w:t>§ 3 - Der meldende Plattformbetreiber stellt anhand aller ihm in seinen Aufzeichnungen zur Verfügung stehenden Informationen und Unterlagen sowie einer von einem Staat, für den Meldepflicht besteht, oder der Europäischen Union zur Überprüfung der Gültigkeit der Steueridentifikationsnummer und/oder der Mehrwertsteueridentifikationsnummer kostenlos zur Verfügung gestellten elektronischen Schnittstelle fest, ob die gemäß § 1 Absatz 1 und 2 Buchstabe </w:t>
      </w:r>
      <w:r w:rsidRPr="009118AB">
        <w:rPr>
          <w:i/>
          <w:iCs/>
        </w:rPr>
        <w:t>a)</w:t>
      </w:r>
      <w:r w:rsidRPr="009118AB">
        <w:t xml:space="preserve"> bis </w:t>
      </w:r>
      <w:r w:rsidRPr="009118AB">
        <w:rPr>
          <w:i/>
          <w:iCs/>
        </w:rPr>
        <w:t>e)</w:t>
      </w:r>
      <w:r w:rsidRPr="009118AB">
        <w:t>, § 2 und § 5 erhobenen Informationen verlässlich sind.</w:t>
      </w:r>
    </w:p>
    <w:p w14:paraId="25DD6C4B" w14:textId="77777777" w:rsidR="0091729E" w:rsidRPr="009118AB" w:rsidRDefault="0091729E" w:rsidP="0091729E">
      <w:pPr>
        <w:jc w:val="both"/>
      </w:pPr>
    </w:p>
    <w:p w14:paraId="3A904500" w14:textId="77777777" w:rsidR="0091729E" w:rsidRPr="009118AB" w:rsidRDefault="0091729E" w:rsidP="0091729E">
      <w:pPr>
        <w:jc w:val="both"/>
      </w:pPr>
      <w:r w:rsidRPr="009118AB">
        <w:tab/>
        <w:t>Ungeachtet des vorhergehenden Absatzes kann der meldende Plattformbetreiber für den Abschluss der Verfahren zur Erfüllung der Sorgfaltspflichten nach § 6 Absatz 2 anhand von Informationen und Unterlagen, die dem meldenden Plattformbetreiber in seinen elektronisch durchsuchbaren Aufzeichnungen zur Verfügung stehen, feststellen, ob die gemäß § 1 Absatz 1 und 2 Buchstabe </w:t>
      </w:r>
      <w:r w:rsidRPr="009118AB">
        <w:rPr>
          <w:i/>
          <w:iCs/>
        </w:rPr>
        <w:t>a)</w:t>
      </w:r>
      <w:r w:rsidRPr="009118AB">
        <w:t xml:space="preserve"> bis </w:t>
      </w:r>
      <w:r w:rsidRPr="009118AB">
        <w:rPr>
          <w:i/>
          <w:iCs/>
        </w:rPr>
        <w:t>e)</w:t>
      </w:r>
      <w:r w:rsidRPr="009118AB">
        <w:t>, § 2 und § 5 erhobenen Informationen verlässlich sind.</w:t>
      </w:r>
    </w:p>
    <w:p w14:paraId="4BB3DCFA" w14:textId="77777777" w:rsidR="0091729E" w:rsidRPr="009118AB" w:rsidRDefault="0091729E" w:rsidP="0091729E">
      <w:pPr>
        <w:jc w:val="both"/>
      </w:pPr>
    </w:p>
    <w:p w14:paraId="4E3143B4" w14:textId="77777777" w:rsidR="0091729E" w:rsidRPr="009118AB" w:rsidRDefault="0091729E" w:rsidP="0091729E">
      <w:pPr>
        <w:jc w:val="both"/>
      </w:pPr>
      <w:r w:rsidRPr="009118AB">
        <w:tab/>
        <w:t>In Anwendung von § 6 Absatz 3 Buchstabe </w:t>
      </w:r>
      <w:r w:rsidRPr="009118AB">
        <w:rPr>
          <w:i/>
          <w:iCs/>
        </w:rPr>
        <w:t>b)</w:t>
      </w:r>
      <w:r w:rsidRPr="009118AB">
        <w:t xml:space="preserve"> und ungeachtet der Absätze 1 und 2 des vorliegenden Paragraphen fordert der meldende Plattformbetreiber in Fällen, in denen er Grund zu der Annahme hat, dass in § 1 oder in § 5 erwähnte Informationselemente aufgrund von Informationen, die die zuständige Behörde eines Staates, für den Meldepflicht besteht, in einem Ersuchen über einen bestimmten Verkäufer übermittelt hat‚ möglicherweise fehlerhaft sind, den Verkäufer auf, die als fehlerhaft erachteten Informationselemente zu berichtigen und verlässliche, aus einer unabhängigen Quelle stammende Belege, Daten oder Informationen vorzulegen, wie etwa:</w:t>
      </w:r>
    </w:p>
    <w:p w14:paraId="52FF24E9" w14:textId="77777777" w:rsidR="0091729E" w:rsidRPr="009118AB" w:rsidRDefault="0091729E" w:rsidP="0091729E">
      <w:pPr>
        <w:jc w:val="both"/>
      </w:pPr>
    </w:p>
    <w:p w14:paraId="2137D44A" w14:textId="77777777" w:rsidR="0091729E" w:rsidRPr="009118AB" w:rsidRDefault="0091729E" w:rsidP="0091729E">
      <w:pPr>
        <w:jc w:val="both"/>
      </w:pPr>
      <w:r w:rsidRPr="009118AB">
        <w:tab/>
      </w:r>
      <w:r w:rsidRPr="009118AB">
        <w:rPr>
          <w:i/>
          <w:iCs/>
        </w:rPr>
        <w:t>a)</w:t>
      </w:r>
      <w:r w:rsidRPr="009118AB">
        <w:t> ein gültiges, von den nationalen Behörden ausgestelltes Identifikationsdokument,</w:t>
      </w:r>
    </w:p>
    <w:p w14:paraId="75D7E5F5" w14:textId="77777777" w:rsidR="0091729E" w:rsidRPr="009118AB" w:rsidRDefault="0091729E" w:rsidP="0091729E">
      <w:pPr>
        <w:jc w:val="both"/>
      </w:pPr>
    </w:p>
    <w:p w14:paraId="769DE85A" w14:textId="77777777" w:rsidR="0091729E" w:rsidRPr="009118AB" w:rsidRDefault="0091729E" w:rsidP="0091729E">
      <w:pPr>
        <w:jc w:val="both"/>
      </w:pPr>
      <w:r w:rsidRPr="009118AB">
        <w:tab/>
      </w:r>
      <w:r w:rsidRPr="009118AB">
        <w:rPr>
          <w:i/>
          <w:iCs/>
        </w:rPr>
        <w:t>b)</w:t>
      </w:r>
      <w:r w:rsidRPr="009118AB">
        <w:t> eine Bescheinigung neueren Datums der steuerlichen Ansässigkeit.</w:t>
      </w:r>
    </w:p>
    <w:p w14:paraId="22E7CABE" w14:textId="77777777" w:rsidR="0091729E" w:rsidRPr="009118AB" w:rsidRDefault="0091729E" w:rsidP="0091729E">
      <w:pPr>
        <w:jc w:val="both"/>
      </w:pPr>
    </w:p>
    <w:p w14:paraId="3159B337" w14:textId="77777777" w:rsidR="0091729E" w:rsidRPr="009118AB" w:rsidRDefault="0091729E" w:rsidP="0091729E">
      <w:pPr>
        <w:jc w:val="both"/>
      </w:pPr>
      <w:r w:rsidRPr="009118AB">
        <w:tab/>
        <w:t>§ 4 - Ein meldender Plattformbetreiber betrachtet einen Verkäufer als in dem Staat ansässig, in dem dieser seine Hauptanschrift hat. Ist der Staat der Hauptanschrift des Verkäufers nicht der Ansässigkeitsstaat, so betrachtet der meldende Plattformbetreiber den Verkäufer als auch in dem Staat ansässig, in dem dessen Steueridentifikationsnummer ausgestellt wurde, wenn dieser Staat auch ein Mitgliedstaat ist. Hat der Verkäufer Informationen über eine bestehende Betriebsstätte gemäß § 1 Absatz 2 Buchstabe </w:t>
      </w:r>
      <w:r w:rsidRPr="009118AB">
        <w:rPr>
          <w:i/>
          <w:iCs/>
        </w:rPr>
        <w:t>f)</w:t>
      </w:r>
      <w:r w:rsidRPr="009118AB">
        <w:t xml:space="preserve"> übermittelt, so betrachtet der meldende Plattformbetreiber diesen Verkäufer auch als in dem entsprechenden vom Verkäufer genannten Mitgliedstaat ansässig.</w:t>
      </w:r>
    </w:p>
    <w:p w14:paraId="593D16CD" w14:textId="77777777" w:rsidR="0091729E" w:rsidRPr="009118AB" w:rsidRDefault="0091729E" w:rsidP="0091729E">
      <w:pPr>
        <w:jc w:val="both"/>
      </w:pPr>
    </w:p>
    <w:p w14:paraId="17A09DCD" w14:textId="77777777" w:rsidR="0091729E" w:rsidRPr="009118AB" w:rsidRDefault="0091729E" w:rsidP="0091729E">
      <w:pPr>
        <w:jc w:val="both"/>
      </w:pPr>
      <w:r w:rsidRPr="009118AB">
        <w:tab/>
        <w:t>Ungeachtet des Absatzes 1 betrachtet ein meldender Plattformbetreiber einen Verkäufer als in jedem Staat, für den Meldepflicht besteht, ansässig, der durch einen von einem Staat, für den Meldepflicht besteht, oder der Union bereitgestellten elektronischen Identifizierungsdienst gemäß § 1 Absatz 3 bestätigt wurde.</w:t>
      </w:r>
    </w:p>
    <w:p w14:paraId="07D28776" w14:textId="77777777" w:rsidR="0091729E" w:rsidRPr="009118AB" w:rsidRDefault="0091729E" w:rsidP="0091729E">
      <w:pPr>
        <w:jc w:val="both"/>
      </w:pPr>
    </w:p>
    <w:p w14:paraId="32A36002" w14:textId="77777777" w:rsidR="0091729E" w:rsidRPr="009118AB" w:rsidRDefault="0091729E" w:rsidP="0091729E">
      <w:pPr>
        <w:jc w:val="both"/>
      </w:pPr>
      <w:r w:rsidRPr="009118AB">
        <w:tab/>
        <w:t>§ 5 - Übt ein Verkäufer eine relevante Tätigkeit im Zusammenhang mit der Vermietung von unbeweglichen Gütern aus, so erhebt der meldende Plattformbetreiber die Anschrift jeder inserierten Immobilieneinheit und - sofern vorhanden - die jeweilige Katasternummer oder eine gleichwertige Angabe nach dem nationalen Recht des Staates, in dem sie belegen ist. Hat ein meldender Plattformbetreiber mehr als 2.000 relevante Tätigkeiten durch eine inserierte Immobilieneinheit für denselben Verkäufer, bei dem es sich um einen Rechtsträger handelt, ermöglicht, so erhebt der meldende Plattformbetreiber Belege, Daten oder Informationen darüber, dass die inserierte Immobilieneinheit im Eigentum desselben Eigentümers steht.</w:t>
      </w:r>
    </w:p>
    <w:p w14:paraId="40A6F1A9" w14:textId="77777777" w:rsidR="0091729E" w:rsidRPr="009118AB" w:rsidRDefault="0091729E" w:rsidP="0091729E">
      <w:pPr>
        <w:jc w:val="both"/>
      </w:pPr>
    </w:p>
    <w:p w14:paraId="5F91BE6E" w14:textId="77777777" w:rsidR="0091729E" w:rsidRPr="009118AB" w:rsidRDefault="0091729E" w:rsidP="0091729E">
      <w:pPr>
        <w:jc w:val="both"/>
      </w:pPr>
      <w:r w:rsidRPr="009118AB">
        <w:tab/>
        <w:t>§ 6 - Ein meldender Plattformbetreiber hat die in den Paragraphen 1 bis 5 festgelegten Verfahren zur Erfüllung der Sorgfaltspflichten bis zum 31. Dezember des Meldezeitraums abzuschließen.</w:t>
      </w:r>
    </w:p>
    <w:p w14:paraId="75435A39" w14:textId="77777777" w:rsidR="0091729E" w:rsidRPr="009118AB" w:rsidRDefault="0091729E" w:rsidP="0091729E">
      <w:pPr>
        <w:jc w:val="both"/>
      </w:pPr>
    </w:p>
    <w:p w14:paraId="33E93BDD" w14:textId="77777777" w:rsidR="0091729E" w:rsidRPr="009118AB" w:rsidRDefault="0091729E" w:rsidP="0091729E">
      <w:pPr>
        <w:jc w:val="both"/>
      </w:pPr>
      <w:r w:rsidRPr="009118AB">
        <w:tab/>
        <w:t>In Abweichung von Absatz 1 müssen für Verkäufer, die am 1. Januar 2023 oder zu dem Zeitpunkt, zu dem ein Rechtsträger zum meldenden Plattformbetreiber wird, bereits auf der Plattform registriert waren, die in den Paragraphen 1 bis 5 festgelegten Verfahren zur Erfüllung der Sorgfaltspflichten bis zum 31. Dezember des zweiten Meldezeitraums für den meldenden Plattformbetreiber abgeschlossen sein.</w:t>
      </w:r>
    </w:p>
    <w:p w14:paraId="15AA4A34" w14:textId="77777777" w:rsidR="0091729E" w:rsidRPr="009118AB" w:rsidRDefault="0091729E" w:rsidP="0091729E">
      <w:pPr>
        <w:jc w:val="both"/>
      </w:pPr>
    </w:p>
    <w:p w14:paraId="40ED7A38" w14:textId="77777777" w:rsidR="0091729E" w:rsidRPr="009118AB" w:rsidRDefault="0091729E" w:rsidP="0091729E">
      <w:pPr>
        <w:jc w:val="both"/>
      </w:pPr>
      <w:r w:rsidRPr="009118AB">
        <w:tab/>
        <w:t>Ungeachtet des Absatzes 1 kann sich ein meldender Plattformbetreiber auf die im Zusammenhang mit früheren Meldezeiträumen durchgeführten Verfahren zur Erfüllung der Sorgfaltspflichten stützen, sofern:</w:t>
      </w:r>
    </w:p>
    <w:p w14:paraId="71767B33" w14:textId="77777777" w:rsidR="0091729E" w:rsidRPr="009118AB" w:rsidRDefault="0091729E" w:rsidP="0091729E">
      <w:pPr>
        <w:jc w:val="both"/>
      </w:pPr>
    </w:p>
    <w:p w14:paraId="696150F5" w14:textId="77777777" w:rsidR="0091729E" w:rsidRPr="009118AB" w:rsidRDefault="0091729E" w:rsidP="0091729E">
      <w:pPr>
        <w:jc w:val="both"/>
      </w:pPr>
      <w:r w:rsidRPr="009118AB">
        <w:tab/>
      </w:r>
      <w:r w:rsidRPr="009118AB">
        <w:rPr>
          <w:i/>
          <w:iCs/>
        </w:rPr>
        <w:t>a)</w:t>
      </w:r>
      <w:r w:rsidRPr="009118AB">
        <w:t> die nach § 1 Absatz 1 und 2 erforderlichen Informationen über den Verkäufer in den letzten sechsunddreißig Monaten entweder erhoben und überprüft oder bestätigt wurden und</w:t>
      </w:r>
    </w:p>
    <w:p w14:paraId="556BA38A" w14:textId="77777777" w:rsidR="0091729E" w:rsidRPr="009118AB" w:rsidRDefault="0091729E" w:rsidP="0091729E">
      <w:pPr>
        <w:jc w:val="both"/>
      </w:pPr>
    </w:p>
    <w:p w14:paraId="1D6DCB7D" w14:textId="77777777" w:rsidR="0091729E" w:rsidRPr="009118AB" w:rsidRDefault="0091729E" w:rsidP="0091729E">
      <w:pPr>
        <w:jc w:val="both"/>
      </w:pPr>
      <w:r w:rsidRPr="009118AB">
        <w:tab/>
      </w:r>
      <w:r w:rsidRPr="009118AB">
        <w:rPr>
          <w:i/>
          <w:iCs/>
        </w:rPr>
        <w:t>b)</w:t>
      </w:r>
      <w:r w:rsidRPr="009118AB">
        <w:t> der meldende Plattformbetreiber keinen Grund zu der Annahme hat, dass die gemäß den Paragraphen 1 und 5 erhobenen Informationen unglaubwürdig oder unzutreffend sind beziehungsweise geworden sind.</w:t>
      </w:r>
    </w:p>
    <w:p w14:paraId="18243289" w14:textId="77777777" w:rsidR="0091729E" w:rsidRPr="009118AB" w:rsidRDefault="0091729E" w:rsidP="0091729E">
      <w:pPr>
        <w:jc w:val="both"/>
      </w:pPr>
    </w:p>
    <w:p w14:paraId="3FB3671E" w14:textId="77777777" w:rsidR="0091729E" w:rsidRPr="009118AB" w:rsidRDefault="0091729E" w:rsidP="0091729E">
      <w:pPr>
        <w:jc w:val="both"/>
      </w:pPr>
      <w:r w:rsidRPr="009118AB">
        <w:tab/>
        <w:t>§ 7 - Ein meldender Plattformbetreiber kann sich dafür entscheiden, die in den Paragraphen 1 bis 6 bestimmten Verfahren zur Erfüllung der Sorgfaltspflichten nur in Bezug auf aktive Verkäufer im Sinne von Artikel 321</w:t>
      </w:r>
      <w:r w:rsidRPr="009118AB">
        <w:rPr>
          <w:i/>
          <w:iCs/>
        </w:rPr>
        <w:t>quater</w:t>
      </w:r>
      <w:r w:rsidRPr="009118AB">
        <w:t xml:space="preserve"> Nr. 13 durchzuführen.</w:t>
      </w:r>
    </w:p>
    <w:p w14:paraId="6087D053" w14:textId="77777777" w:rsidR="0091729E" w:rsidRPr="009118AB" w:rsidRDefault="0091729E" w:rsidP="0091729E">
      <w:pPr>
        <w:jc w:val="both"/>
      </w:pPr>
    </w:p>
    <w:p w14:paraId="554FE59B" w14:textId="77777777" w:rsidR="0091729E" w:rsidRPr="009118AB" w:rsidRDefault="0091729E" w:rsidP="0091729E">
      <w:pPr>
        <w:jc w:val="both"/>
      </w:pPr>
      <w:r w:rsidRPr="009118AB">
        <w:tab/>
        <w:t>§ 8 - Ein meldender Plattformbetreiber kann sich bei der Erfüllung der in vorliegendem Artikel festgelegten Sorgfaltspflichten auf einen dritten Dienstleister stützen; die Pflichten verbleiben jedoch in der Verantwortung des meldenden Plattformbetreibers.</w:t>
      </w:r>
    </w:p>
    <w:p w14:paraId="752842E6" w14:textId="77777777" w:rsidR="0091729E" w:rsidRPr="009118AB" w:rsidRDefault="0091729E" w:rsidP="0091729E">
      <w:pPr>
        <w:jc w:val="both"/>
      </w:pPr>
    </w:p>
    <w:p w14:paraId="249B585C" w14:textId="77777777" w:rsidR="0091729E" w:rsidRPr="009118AB" w:rsidRDefault="0091729E" w:rsidP="0091729E">
      <w:pPr>
        <w:jc w:val="both"/>
      </w:pPr>
      <w:r w:rsidRPr="009118AB">
        <w:tab/>
        <w:t>Erfüllt ein Plattformbetreiber die Sorgfaltspflichten für einen meldenden Plattformbetreiber in Bezug auf dieselbe Plattform gemäß Absatz 1, so führt dieser Plattformbetreiber die Verfahren zur Erfüllung der Sorgfaltspflichten gemäß den in vorliegendem Artikel festgelegten Bestimmungen durch. Die Sorgfaltspflichten verbleiben jedoch in der Verantwortung des meldenden Plattformbetreibers.</w:t>
      </w:r>
    </w:p>
    <w:p w14:paraId="76997CFD" w14:textId="77777777" w:rsidR="0091729E" w:rsidRPr="009118AB" w:rsidRDefault="0091729E" w:rsidP="0091729E">
      <w:pPr>
        <w:jc w:val="both"/>
      </w:pPr>
    </w:p>
    <w:p w14:paraId="795CDF42" w14:textId="3E20F54C" w:rsidR="0091729E" w:rsidRPr="009118AB" w:rsidRDefault="0091729E" w:rsidP="0091729E">
      <w:pPr>
        <w:jc w:val="both"/>
      </w:pPr>
      <w:r w:rsidRPr="009118AB">
        <w:tab/>
        <w:t>§ 9 - Der Plattformbetreiber führt ein Verzeichnis über die Schritte und Informationen, die er unternommen beziehungsweise herangezogen hat, um den Verfahren zur Erfüllung der Sorgfaltspflichten und seinen Meldepflichten gegenüber der belgischen zuständigen Behörde nachzukommen.]</w:t>
      </w:r>
    </w:p>
    <w:p w14:paraId="74FD84F6" w14:textId="77777777" w:rsidR="0091729E" w:rsidRPr="009118AB" w:rsidRDefault="0091729E" w:rsidP="0091729E">
      <w:pPr>
        <w:jc w:val="both"/>
      </w:pPr>
    </w:p>
    <w:p w14:paraId="644F62A1" w14:textId="73F701A6" w:rsidR="0091729E" w:rsidRPr="0082730F" w:rsidRDefault="0091729E" w:rsidP="0091729E">
      <w:pPr>
        <w:jc w:val="both"/>
        <w:rPr>
          <w:rFonts w:ascii="Times New Roman Italique" w:hAnsi="Times New Roman Italique"/>
          <w:i/>
          <w:iCs/>
        </w:rPr>
      </w:pPr>
      <w:r w:rsidRPr="009118AB">
        <w:rPr>
          <w:i/>
          <w:iCs/>
        </w:rPr>
        <w:t xml:space="preserve">[Art. 321quinquies eingefügt durch Art. 5 des G. vom </w:t>
      </w:r>
      <w:r w:rsidR="003365DD" w:rsidRPr="009118AB">
        <w:rPr>
          <w:i/>
          <w:iCs/>
        </w:rPr>
        <w:t>21. Dezember 2022 (I)</w:t>
      </w:r>
      <w:r w:rsidRPr="009118AB">
        <w:rPr>
          <w:i/>
          <w:iCs/>
        </w:rPr>
        <w:t xml:space="preserve"> (B.S. vom 30. Dezember 2022) - in Kraft am 1. Januar 2023 -</w:t>
      </w:r>
      <w:r w:rsidR="0082730F">
        <w:rPr>
          <w:i/>
          <w:iCs/>
        </w:rPr>
        <w:t xml:space="preserve">; Abs. 1 </w:t>
      </w:r>
      <w:r w:rsidR="0082730F" w:rsidRPr="00AB355F">
        <w:rPr>
          <w:rFonts w:ascii="Times New Roman Italique" w:hAnsi="Times New Roman Italique"/>
          <w:i/>
          <w:iCs/>
        </w:rPr>
        <w:t xml:space="preserve">abgeändert </w:t>
      </w:r>
      <w:bookmarkStart w:id="33" w:name="_Hlk202529116"/>
      <w:r w:rsidR="0082730F" w:rsidRPr="00AB355F">
        <w:rPr>
          <w:rFonts w:ascii="Times New Roman Italique" w:hAnsi="Times New Roman Italique"/>
          <w:i/>
          <w:iCs/>
        </w:rPr>
        <w:t xml:space="preserve">durch </w:t>
      </w:r>
      <w:bookmarkStart w:id="34" w:name="_Hlk202528582"/>
      <w:r w:rsidR="0082730F" w:rsidRPr="00AB355F">
        <w:rPr>
          <w:rFonts w:ascii="Times New Roman Italique" w:hAnsi="Times New Roman Italique"/>
          <w:i/>
          <w:iCs/>
        </w:rPr>
        <w:t>Art. </w:t>
      </w:r>
      <w:r w:rsidR="0082730F">
        <w:rPr>
          <w:rFonts w:ascii="Times New Roman Italique" w:hAnsi="Times New Roman Italique"/>
          <w:i/>
          <w:iCs/>
        </w:rPr>
        <w:t>7</w:t>
      </w:r>
      <w:r w:rsidR="0082730F" w:rsidRPr="00AB355F">
        <w:rPr>
          <w:rFonts w:ascii="Times New Roman Italique" w:hAnsi="Times New Roman Italique"/>
          <w:i/>
          <w:iCs/>
        </w:rPr>
        <w:t xml:space="preserve"> des G. vom 20. Dezember 2024 (B.S. vom 31. Dezember 2024) </w:t>
      </w:r>
      <w:bookmarkEnd w:id="33"/>
      <w:r w:rsidR="0082730F" w:rsidRPr="00AB355F">
        <w:rPr>
          <w:rFonts w:ascii="Times New Roman Italique" w:hAnsi="Times New Roman Italique"/>
          <w:i/>
          <w:iCs/>
        </w:rPr>
        <w:t xml:space="preserve">- in Kraft </w:t>
      </w:r>
      <w:bookmarkEnd w:id="34"/>
      <w:r w:rsidR="0082730F" w:rsidRPr="00AB355F">
        <w:rPr>
          <w:rFonts w:ascii="Times New Roman Italique" w:hAnsi="Times New Roman Italique"/>
          <w:i/>
          <w:iCs/>
        </w:rPr>
        <w:t>am 31. Dezember 2024 -</w:t>
      </w:r>
      <w:r w:rsidRPr="009118AB">
        <w:rPr>
          <w:i/>
          <w:iCs/>
        </w:rPr>
        <w:t>]</w:t>
      </w:r>
    </w:p>
    <w:p w14:paraId="7AEDCFCC" w14:textId="77777777" w:rsidR="0091729E" w:rsidRPr="009118AB" w:rsidRDefault="0091729E" w:rsidP="0091729E">
      <w:pPr>
        <w:jc w:val="both"/>
      </w:pPr>
    </w:p>
    <w:p w14:paraId="1049C9D0" w14:textId="77777777" w:rsidR="0091729E" w:rsidRPr="009118AB" w:rsidRDefault="0091729E" w:rsidP="0091729E">
      <w:pPr>
        <w:jc w:val="both"/>
      </w:pPr>
    </w:p>
    <w:p w14:paraId="5EDDCC5E" w14:textId="5DAD3727" w:rsidR="0091729E" w:rsidRPr="009118AB" w:rsidRDefault="0091729E" w:rsidP="0091729E">
      <w:pPr>
        <w:jc w:val="both"/>
      </w:pPr>
      <w:r w:rsidRPr="009118AB">
        <w:tab/>
        <w:t>[</w:t>
      </w:r>
      <w:r w:rsidRPr="009118AB">
        <w:rPr>
          <w:b/>
          <w:bCs/>
        </w:rPr>
        <w:t>Art. 321</w:t>
      </w:r>
      <w:r w:rsidRPr="009118AB">
        <w:rPr>
          <w:b/>
          <w:bCs/>
          <w:i/>
          <w:iCs/>
        </w:rPr>
        <w:t>sexies</w:t>
      </w:r>
      <w:r w:rsidRPr="009118AB">
        <w:t> - § 1 ­ Ein meldender Plattformbetreiber im Sinne von Artikel 321</w:t>
      </w:r>
      <w:r w:rsidRPr="009118AB">
        <w:rPr>
          <w:i/>
          <w:iCs/>
        </w:rPr>
        <w:t>quater</w:t>
      </w:r>
      <w:r w:rsidRPr="009118AB">
        <w:t xml:space="preserve"> Nr. 4 Buchstabe </w:t>
      </w:r>
      <w:r w:rsidRPr="009118AB">
        <w:rPr>
          <w:i/>
          <w:iCs/>
        </w:rPr>
        <w:t>a)</w:t>
      </w:r>
      <w:r w:rsidRPr="009118AB">
        <w:t xml:space="preserve"> meldet dem zuständigen Dienst des FÖD Finanzen die in § 5 aufgeführten Informationen in Bezug auf den Meldezeitraum spätestens am 31. Januar des Jahres, das auf das Kalenderjahr folgt, in dem der Verkäufer als meldepflichtiger Verkäufer identifiziert wird. Existiert mehr als ein meldender Plattformbetreiber, so ist jeder dieser meldenden Plattformbetreiber von der Meldung der Informationen befreit, wenn er im Einklang mit dem nationalen Recht nachweisen kann, dass dieselben Informationen von einem anderen meldenden Plattformbetreiber gemeldet wurden.</w:t>
      </w:r>
    </w:p>
    <w:p w14:paraId="7DF61F17" w14:textId="77777777" w:rsidR="0091729E" w:rsidRPr="009118AB" w:rsidRDefault="0091729E" w:rsidP="0091729E">
      <w:pPr>
        <w:jc w:val="both"/>
      </w:pPr>
    </w:p>
    <w:p w14:paraId="6613B99A" w14:textId="77777777" w:rsidR="0091729E" w:rsidRPr="009118AB" w:rsidRDefault="0091729E" w:rsidP="0091729E">
      <w:pPr>
        <w:jc w:val="both"/>
      </w:pPr>
      <w:r w:rsidRPr="009118AB">
        <w:tab/>
        <w:t>Erfüllt ein meldender Plattformbetreiber im Sinne von Artikel 321</w:t>
      </w:r>
      <w:r w:rsidRPr="009118AB">
        <w:rPr>
          <w:i/>
          <w:iCs/>
        </w:rPr>
        <w:t>quater</w:t>
      </w:r>
      <w:r w:rsidRPr="009118AB">
        <w:t xml:space="preserve"> Nr. 4 Buchstabe </w:t>
      </w:r>
      <w:r w:rsidRPr="009118AB">
        <w:rPr>
          <w:i/>
          <w:iCs/>
        </w:rPr>
        <w:t>a)</w:t>
      </w:r>
      <w:r w:rsidRPr="009118AB">
        <w:t xml:space="preserve"> eine der dort aufgeführten Bedingungen in mehr als einem Mitgliedstaat, so wählt er einen dieser Mitgliedstaaten, in dem er die in vorliegendem Artikel festgelegten Meldepflichten erfüllen wird. Beschließt ein meldender Plattformbetreiber, diese Meldepflichten in Belgien zu erfüllen, setzt er alle zuständigen Behörden der anderen betroffenen Mitgliedstaaten von seiner Wahl in Kenntnis und meldet er der zuständigen Behörde die in § 5 aufgeführten Informationen in Bezug auf den Meldezeitraum spätestens am 31. Januar des Jahres, das auf das Kalenderjahr folgt, in dem der Verkäufer als meldepflichtiger Verkäufer identifiziert wird.</w:t>
      </w:r>
    </w:p>
    <w:p w14:paraId="1DC439B7" w14:textId="77777777" w:rsidR="0091729E" w:rsidRPr="009118AB" w:rsidRDefault="0091729E" w:rsidP="0091729E">
      <w:pPr>
        <w:jc w:val="both"/>
      </w:pPr>
    </w:p>
    <w:p w14:paraId="0BE6E31F" w14:textId="77777777" w:rsidR="0091729E" w:rsidRPr="009118AB" w:rsidRDefault="0091729E" w:rsidP="0091729E">
      <w:pPr>
        <w:jc w:val="both"/>
      </w:pPr>
      <w:r w:rsidRPr="009118AB">
        <w:tab/>
        <w:t>Existiert mehr als ein meldender Plattformbetreiber, so ist jeder dieser meldenden Plattformbetreiber von der Meldung der Informationen befreit, wenn er im Einklang mit dem nationalen Recht nachweisen kann, dass dieselben Informationen von einem anderen meldenden Plattformbetreiber in einem anderen Mitgliedstaat oder in einem qualifizierten Drittland gemeldet wurden.</w:t>
      </w:r>
    </w:p>
    <w:p w14:paraId="33A3D43C" w14:textId="77777777" w:rsidR="0091729E" w:rsidRPr="009118AB" w:rsidRDefault="0091729E" w:rsidP="0091729E">
      <w:pPr>
        <w:jc w:val="both"/>
      </w:pPr>
    </w:p>
    <w:p w14:paraId="2F11CF93" w14:textId="77777777" w:rsidR="0091729E" w:rsidRPr="009118AB" w:rsidRDefault="0091729E" w:rsidP="0091729E">
      <w:pPr>
        <w:jc w:val="both"/>
      </w:pPr>
      <w:r w:rsidRPr="009118AB">
        <w:tab/>
        <w:t>§ 2 - Ein meldender Plattformbetreiber im Sinne von Artikel 321</w:t>
      </w:r>
      <w:r w:rsidRPr="009118AB">
        <w:rPr>
          <w:i/>
          <w:iCs/>
        </w:rPr>
        <w:t>quater</w:t>
      </w:r>
      <w:r w:rsidRPr="009118AB">
        <w:t xml:space="preserve"> Nr. 4 Buchstabe </w:t>
      </w:r>
      <w:r w:rsidRPr="009118AB">
        <w:rPr>
          <w:i/>
          <w:iCs/>
        </w:rPr>
        <w:t>b)</w:t>
      </w:r>
      <w:r w:rsidRPr="009118AB">
        <w:t>, der gemäß Artikel 321</w:t>
      </w:r>
      <w:r w:rsidRPr="009118AB">
        <w:rPr>
          <w:i/>
          <w:iCs/>
        </w:rPr>
        <w:t>septies</w:t>
      </w:r>
      <w:r w:rsidRPr="009118AB">
        <w:t xml:space="preserve"> in Belgien registriert ist, meldet der belgischen zuständigen Behörde die in § 5 aufgeführten Informationen in Bezug auf den Meldezeitraum spätestens am 31. Januar des Jahres, das auf das Kalenderjahr folgt, in dem der Verkäufer als meldepflichtiger Verkäufer identifiziert wird.</w:t>
      </w:r>
    </w:p>
    <w:p w14:paraId="595502B5" w14:textId="77777777" w:rsidR="0091729E" w:rsidRPr="009118AB" w:rsidRDefault="0091729E" w:rsidP="0091729E">
      <w:pPr>
        <w:jc w:val="both"/>
      </w:pPr>
    </w:p>
    <w:p w14:paraId="2D55BE76" w14:textId="77777777" w:rsidR="0091729E" w:rsidRPr="009118AB" w:rsidRDefault="0091729E" w:rsidP="0091729E">
      <w:pPr>
        <w:jc w:val="both"/>
      </w:pPr>
      <w:r w:rsidRPr="009118AB">
        <w:tab/>
        <w:t>Ungeachtet des vorhergehenden Absatzes ist ein meldender Plattformbetreiber im Sinne von Artikel 321</w:t>
      </w:r>
      <w:r w:rsidRPr="009118AB">
        <w:rPr>
          <w:i/>
          <w:iCs/>
        </w:rPr>
        <w:t>quater</w:t>
      </w:r>
      <w:r w:rsidRPr="009118AB">
        <w:t xml:space="preserve"> Nr. 4 Buchstabe </w:t>
      </w:r>
      <w:r w:rsidRPr="009118AB">
        <w:rPr>
          <w:i/>
          <w:iCs/>
        </w:rPr>
        <w:t>b)</w:t>
      </w:r>
      <w:r w:rsidRPr="009118AB">
        <w:t xml:space="preserve"> nicht verpflichtet, die in § 5 aufgeführten Informationen in Bezug auf qualifizierte relevante Tätigkeiten zu übermitteln, die unter eine wirksame qualifizierende Vereinbarung zwischen zuständigen Behörden fallen, die bereits den automatischen Austausch gleichwertiger Informationen mit einem Mitgliedstaat über in jenem Mitgliedstaat ansässige meldepflichtige Verkäufer vorsieht.</w:t>
      </w:r>
    </w:p>
    <w:p w14:paraId="4D786D23" w14:textId="77777777" w:rsidR="0091729E" w:rsidRPr="009118AB" w:rsidRDefault="0091729E" w:rsidP="0091729E">
      <w:pPr>
        <w:jc w:val="both"/>
      </w:pPr>
    </w:p>
    <w:p w14:paraId="1FFFC15E" w14:textId="2D7185C5" w:rsidR="0091729E" w:rsidRPr="009118AB" w:rsidRDefault="0091729E" w:rsidP="0091729E">
      <w:pPr>
        <w:jc w:val="both"/>
      </w:pPr>
      <w:r w:rsidRPr="009118AB">
        <w:tab/>
        <w:t xml:space="preserve">§ 3 - Ein meldender Plattformbetreiber übermittelt auch dem betreffenden meldepflichtigen Verkäufer die in § 5 Nr. 2 und 3 aufgeführten Informationen </w:t>
      </w:r>
      <w:r w:rsidR="00710086">
        <w:t>[</w:t>
      </w:r>
      <w:r w:rsidR="00710086" w:rsidRPr="00710086">
        <w:t>spätestens am 10. Januar</w:t>
      </w:r>
      <w:r w:rsidR="00710086">
        <w:t>]</w:t>
      </w:r>
      <w:r w:rsidRPr="009118AB">
        <w:t xml:space="preserve"> des Jahres, das auf das Kalenderjahr folgt, in dem der Verkäufer als meldepflichtiger Verkäufer identifiziert wird.</w:t>
      </w:r>
    </w:p>
    <w:p w14:paraId="31A9EAF9" w14:textId="77777777" w:rsidR="0091729E" w:rsidRPr="009118AB" w:rsidRDefault="0091729E" w:rsidP="0091729E">
      <w:pPr>
        <w:jc w:val="both"/>
      </w:pPr>
    </w:p>
    <w:p w14:paraId="5EA8124B" w14:textId="77777777" w:rsidR="0091729E" w:rsidRPr="009118AB" w:rsidRDefault="0091729E" w:rsidP="0091729E">
      <w:pPr>
        <w:jc w:val="both"/>
      </w:pPr>
      <w:r w:rsidRPr="009118AB">
        <w:tab/>
        <w:t>§ 4 - Die Informationen über die in einer Fiat-Währung gezahlte oder gutgeschriebene Vergütung sind in der Währung zu melden, in der diese gezahlt oder gutgeschrieben wurde. Wurde die Vergütung in einer anderen Form als der Fiat-Währung gezahlt oder gutgeschrieben, so ist sie in der Landeswährung zu melden und in einer Weise umzurechnen oder zu bewerten, die vom meldenden Plattformbetreiber einheitlich festgelegt wird.</w:t>
      </w:r>
    </w:p>
    <w:p w14:paraId="70D2BE28" w14:textId="77777777" w:rsidR="0091729E" w:rsidRPr="009118AB" w:rsidRDefault="0091729E" w:rsidP="0091729E">
      <w:pPr>
        <w:jc w:val="both"/>
      </w:pPr>
    </w:p>
    <w:p w14:paraId="5FD5E87C" w14:textId="77777777" w:rsidR="0091729E" w:rsidRPr="009118AB" w:rsidRDefault="0091729E" w:rsidP="0091729E">
      <w:pPr>
        <w:jc w:val="both"/>
      </w:pPr>
      <w:r w:rsidRPr="009118AB">
        <w:tab/>
        <w:t>Die Informationen über die Vergütung und andere Beträge sind für das Quartal des Meldezeitraums zu melden, in dem die Vergütung gezahlt oder gutgeschrieben wurde.</w:t>
      </w:r>
    </w:p>
    <w:p w14:paraId="2C44C2E0" w14:textId="77777777" w:rsidR="0091729E" w:rsidRPr="009118AB" w:rsidRDefault="0091729E" w:rsidP="0091729E">
      <w:pPr>
        <w:jc w:val="both"/>
      </w:pPr>
    </w:p>
    <w:p w14:paraId="64F4DF71" w14:textId="77777777" w:rsidR="0091729E" w:rsidRPr="009118AB" w:rsidRDefault="0091729E" w:rsidP="0091729E">
      <w:pPr>
        <w:jc w:val="both"/>
      </w:pPr>
      <w:r w:rsidRPr="009118AB">
        <w:tab/>
        <w:t>§ 5 - Jeder meldende Plattformbetreiber hat folgende Informationen zu melden:</w:t>
      </w:r>
    </w:p>
    <w:p w14:paraId="212CEA9D" w14:textId="77777777" w:rsidR="0091729E" w:rsidRPr="009118AB" w:rsidRDefault="0091729E" w:rsidP="0091729E">
      <w:pPr>
        <w:jc w:val="both"/>
      </w:pPr>
    </w:p>
    <w:p w14:paraId="5331467A" w14:textId="77777777" w:rsidR="0091729E" w:rsidRPr="009118AB" w:rsidRDefault="0091729E" w:rsidP="0091729E">
      <w:pPr>
        <w:jc w:val="both"/>
      </w:pPr>
      <w:r w:rsidRPr="009118AB">
        <w:tab/>
        <w:t>1. Namen, Anschrift des Hauptsitzes, Steueridentifikationsnummer und gegebenenfalls gemäß Artikel 321</w:t>
      </w:r>
      <w:r w:rsidRPr="009118AB">
        <w:rPr>
          <w:i/>
          <w:iCs/>
        </w:rPr>
        <w:t>septies</w:t>
      </w:r>
      <w:r w:rsidRPr="009118AB">
        <w:t xml:space="preserve"> von der belgischen zuständigen Behörde erteilte individuelle Identifikationsnummer des meldenden Plattformbetreibers sowie Gesellschaftsnamen der Plattform(en), über die der meldende Plattformbetreiber Meldung erstattet,</w:t>
      </w:r>
    </w:p>
    <w:p w14:paraId="24698E10" w14:textId="77777777" w:rsidR="0091729E" w:rsidRPr="009118AB" w:rsidRDefault="0091729E" w:rsidP="0091729E">
      <w:pPr>
        <w:jc w:val="both"/>
      </w:pPr>
    </w:p>
    <w:p w14:paraId="007BCA31" w14:textId="77777777" w:rsidR="0091729E" w:rsidRPr="009118AB" w:rsidRDefault="0091729E" w:rsidP="0091729E">
      <w:pPr>
        <w:jc w:val="both"/>
      </w:pPr>
      <w:r w:rsidRPr="009118AB">
        <w:tab/>
        <w:t>2. für jeden meldepflichtigen Verkäufer, der eine relevante Tätigkeit ausgeübt hat, ausgenommen die Vermietung von unbeweglichen Gütern:</w:t>
      </w:r>
    </w:p>
    <w:p w14:paraId="28086D21" w14:textId="77777777" w:rsidR="0091729E" w:rsidRPr="009118AB" w:rsidRDefault="0091729E" w:rsidP="0091729E">
      <w:pPr>
        <w:jc w:val="both"/>
      </w:pPr>
    </w:p>
    <w:p w14:paraId="664F4EB9" w14:textId="77777777" w:rsidR="0091729E" w:rsidRPr="009118AB" w:rsidRDefault="0091729E" w:rsidP="0091729E">
      <w:pPr>
        <w:jc w:val="both"/>
      </w:pPr>
      <w:r w:rsidRPr="009118AB">
        <w:tab/>
      </w:r>
      <w:r w:rsidRPr="009118AB">
        <w:rPr>
          <w:i/>
          <w:iCs/>
        </w:rPr>
        <w:t>a)</w:t>
      </w:r>
      <w:r w:rsidRPr="009118AB">
        <w:t> Informationselemente, die gemäß Artikel 321</w:t>
      </w:r>
      <w:r w:rsidRPr="009118AB">
        <w:rPr>
          <w:i/>
          <w:iCs/>
        </w:rPr>
        <w:t>quinquies</w:t>
      </w:r>
      <w:r w:rsidRPr="009118AB">
        <w:t xml:space="preserve"> zu erheben sind,</w:t>
      </w:r>
    </w:p>
    <w:p w14:paraId="0B8BFC58" w14:textId="77777777" w:rsidR="0091729E" w:rsidRPr="009118AB" w:rsidRDefault="0091729E" w:rsidP="0091729E">
      <w:pPr>
        <w:jc w:val="both"/>
      </w:pPr>
    </w:p>
    <w:p w14:paraId="145C71C5" w14:textId="77777777" w:rsidR="0091729E" w:rsidRPr="009118AB" w:rsidRDefault="0091729E" w:rsidP="0091729E">
      <w:pPr>
        <w:jc w:val="both"/>
      </w:pPr>
      <w:r w:rsidRPr="009118AB">
        <w:tab/>
      </w:r>
      <w:r w:rsidRPr="009118AB">
        <w:rPr>
          <w:i/>
          <w:iCs/>
        </w:rPr>
        <w:t>b)</w:t>
      </w:r>
      <w:r w:rsidRPr="009118AB">
        <w:t> Kennung des Finanzkontos, sofern der meldende Plattformbetreiber über diese Information verfügt und die zuständige Behörde des Staates, für den Meldepflicht besteht und in dem der meldepflichtige Verkäufer im Sinne von Artikel 321</w:t>
      </w:r>
      <w:r w:rsidRPr="009118AB">
        <w:rPr>
          <w:i/>
          <w:iCs/>
        </w:rPr>
        <w:t>quinquies</w:t>
      </w:r>
      <w:r w:rsidRPr="009118AB">
        <w:t xml:space="preserve"> § 4 ansässig ist, nicht öffentlich bekannt gegeben hat, dass sie die Kennung des Finanzkontos nicht für diesen Zweck zu verwenden beabsichtigt,</w:t>
      </w:r>
    </w:p>
    <w:p w14:paraId="39855614" w14:textId="77777777" w:rsidR="0091729E" w:rsidRPr="009118AB" w:rsidRDefault="0091729E" w:rsidP="0091729E">
      <w:pPr>
        <w:jc w:val="both"/>
      </w:pPr>
    </w:p>
    <w:p w14:paraId="4B4409FE" w14:textId="77777777" w:rsidR="0091729E" w:rsidRPr="009118AB" w:rsidRDefault="0091729E" w:rsidP="0091729E">
      <w:pPr>
        <w:jc w:val="both"/>
      </w:pPr>
      <w:r w:rsidRPr="009118AB">
        <w:tab/>
      </w:r>
      <w:r w:rsidRPr="009118AB">
        <w:rPr>
          <w:i/>
          <w:iCs/>
        </w:rPr>
        <w:t>c)</w:t>
      </w:r>
      <w:r w:rsidRPr="009118AB">
        <w:t> falls von der Bezeichnung des meldepflichtigen Verkäufers abweichend - zusätzlich zur Kennung des Finanzkontos Namen des Inhabers des Finanzkontos, auf das die Vergütung eingezahlt oder auf dem sie gutgeschrieben wird, sofern der meldende Plattformbetreiber über diese Information verfügt, sowie alle sonstigen der Identifizierung dienenden finanziellen Informationen, über die der meldende Plattformbetreiber in Bezug auf diesen Kontoinhaber verfügt,</w:t>
      </w:r>
    </w:p>
    <w:p w14:paraId="0C402F1E" w14:textId="77777777" w:rsidR="0091729E" w:rsidRPr="009118AB" w:rsidRDefault="0091729E" w:rsidP="0091729E">
      <w:pPr>
        <w:jc w:val="both"/>
      </w:pPr>
    </w:p>
    <w:p w14:paraId="155C3D36" w14:textId="77777777" w:rsidR="0091729E" w:rsidRPr="009118AB" w:rsidRDefault="0091729E" w:rsidP="0091729E">
      <w:pPr>
        <w:jc w:val="both"/>
      </w:pPr>
      <w:r w:rsidRPr="009118AB">
        <w:tab/>
      </w:r>
      <w:r w:rsidRPr="009118AB">
        <w:rPr>
          <w:i/>
          <w:iCs/>
        </w:rPr>
        <w:t>d)</w:t>
      </w:r>
      <w:r w:rsidRPr="009118AB">
        <w:t> jeden Staat, in dem der meldepflichtige Verkäufer im Sinne von Artikel 321</w:t>
      </w:r>
      <w:r w:rsidRPr="009118AB">
        <w:rPr>
          <w:i/>
          <w:iCs/>
        </w:rPr>
        <w:t>quinquies</w:t>
      </w:r>
      <w:r w:rsidRPr="009118AB">
        <w:t xml:space="preserve"> § 4 ansässig ist,</w:t>
      </w:r>
    </w:p>
    <w:p w14:paraId="0EA4F3A6" w14:textId="77777777" w:rsidR="0091729E" w:rsidRPr="009118AB" w:rsidRDefault="0091729E" w:rsidP="0091729E">
      <w:pPr>
        <w:jc w:val="both"/>
      </w:pPr>
    </w:p>
    <w:p w14:paraId="6923CF2A" w14:textId="77777777" w:rsidR="0091729E" w:rsidRPr="009118AB" w:rsidRDefault="0091729E" w:rsidP="0091729E">
      <w:pPr>
        <w:jc w:val="both"/>
      </w:pPr>
      <w:r w:rsidRPr="009118AB">
        <w:tab/>
      </w:r>
      <w:r w:rsidRPr="009118AB">
        <w:rPr>
          <w:i/>
          <w:iCs/>
        </w:rPr>
        <w:t>e)</w:t>
      </w:r>
      <w:r w:rsidRPr="009118AB">
        <w:t> in jedem Quartal des Meldezeitraums insgesamt gezahlte oder gutgeschriebene Vergütung und Zahl der relevanten Tätigkeiten, für die sie gezahlt oder gutgeschrieben wurde,</w:t>
      </w:r>
    </w:p>
    <w:p w14:paraId="1DCF7060" w14:textId="77777777" w:rsidR="0091729E" w:rsidRPr="009118AB" w:rsidRDefault="0091729E" w:rsidP="0091729E">
      <w:pPr>
        <w:jc w:val="both"/>
      </w:pPr>
    </w:p>
    <w:p w14:paraId="3A16DEDA" w14:textId="77777777" w:rsidR="0091729E" w:rsidRPr="009118AB" w:rsidRDefault="0091729E" w:rsidP="0091729E">
      <w:pPr>
        <w:jc w:val="both"/>
      </w:pPr>
      <w:r w:rsidRPr="009118AB">
        <w:tab/>
      </w:r>
      <w:r w:rsidRPr="009118AB">
        <w:rPr>
          <w:i/>
          <w:iCs/>
        </w:rPr>
        <w:t>f)</w:t>
      </w:r>
      <w:r w:rsidRPr="009118AB">
        <w:t> jegliche Gebühren, Provisionen oder Steuern, die in jedem Quartal des Meldezeitraums vom meldenden Plattformbetreiber einbehalten oder berechnet werden,</w:t>
      </w:r>
    </w:p>
    <w:p w14:paraId="01A726BD" w14:textId="77777777" w:rsidR="0091729E" w:rsidRPr="009118AB" w:rsidRDefault="0091729E" w:rsidP="0091729E">
      <w:pPr>
        <w:jc w:val="both"/>
      </w:pPr>
    </w:p>
    <w:p w14:paraId="5FCC345F" w14:textId="77777777" w:rsidR="003365DD" w:rsidRPr="009118AB" w:rsidRDefault="003365DD">
      <w:r w:rsidRPr="009118AB">
        <w:br w:type="page"/>
      </w:r>
    </w:p>
    <w:p w14:paraId="5D3DFDC9" w14:textId="4B99A142" w:rsidR="0091729E" w:rsidRPr="009118AB" w:rsidRDefault="0091729E" w:rsidP="0091729E">
      <w:pPr>
        <w:ind w:firstLine="709"/>
        <w:jc w:val="both"/>
      </w:pPr>
      <w:r w:rsidRPr="009118AB">
        <w:t>3. für jeden meldepflichtigen Verkäufer, der eine relevante Tätigkeit ausgeübt hat, welche die Vermietung von unbeweglichen Gütern beinhaltet:</w:t>
      </w:r>
    </w:p>
    <w:p w14:paraId="2E3DDDAA" w14:textId="77777777" w:rsidR="0091729E" w:rsidRPr="009118AB" w:rsidRDefault="0091729E" w:rsidP="0091729E">
      <w:pPr>
        <w:jc w:val="both"/>
      </w:pPr>
    </w:p>
    <w:p w14:paraId="166D8DD7" w14:textId="77777777" w:rsidR="0091729E" w:rsidRPr="009118AB" w:rsidRDefault="0091729E" w:rsidP="0091729E">
      <w:pPr>
        <w:jc w:val="both"/>
      </w:pPr>
      <w:r w:rsidRPr="009118AB">
        <w:tab/>
      </w:r>
      <w:r w:rsidRPr="009118AB">
        <w:rPr>
          <w:i/>
          <w:iCs/>
        </w:rPr>
        <w:t>a)</w:t>
      </w:r>
      <w:r w:rsidRPr="009118AB">
        <w:t> Informationselemente, die gemäß Artikel 321</w:t>
      </w:r>
      <w:r w:rsidRPr="009118AB">
        <w:rPr>
          <w:i/>
          <w:iCs/>
        </w:rPr>
        <w:t>quinquies</w:t>
      </w:r>
      <w:r w:rsidRPr="009118AB">
        <w:t xml:space="preserve"> zu erheben sind,</w:t>
      </w:r>
    </w:p>
    <w:p w14:paraId="03E724BC" w14:textId="77777777" w:rsidR="0091729E" w:rsidRPr="009118AB" w:rsidRDefault="0091729E" w:rsidP="0091729E">
      <w:pPr>
        <w:jc w:val="both"/>
      </w:pPr>
    </w:p>
    <w:p w14:paraId="5578F98B" w14:textId="77777777" w:rsidR="0091729E" w:rsidRPr="009118AB" w:rsidRDefault="0091729E" w:rsidP="0091729E">
      <w:pPr>
        <w:jc w:val="both"/>
      </w:pPr>
      <w:r w:rsidRPr="009118AB">
        <w:tab/>
      </w:r>
      <w:r w:rsidRPr="009118AB">
        <w:rPr>
          <w:i/>
          <w:iCs/>
        </w:rPr>
        <w:t>b)</w:t>
      </w:r>
      <w:r w:rsidRPr="009118AB">
        <w:t> Kennung des Finanzkontos, sofern der meldende Plattformbetreiber über diese Information verfügt und die zuständige Behörde des Staates, für den Meldepflicht besteht und in dem der meldepflichtige Verkäufer im Sinne von Artikel 321</w:t>
      </w:r>
      <w:r w:rsidRPr="009118AB">
        <w:rPr>
          <w:i/>
          <w:iCs/>
        </w:rPr>
        <w:t>quinquies</w:t>
      </w:r>
      <w:r w:rsidRPr="009118AB">
        <w:t xml:space="preserve"> § 4 ansässig ist, nicht öffentlich bekannt gegeben hat, dass sie die Kennung des Finanzkontos nicht für diesen Zweck zu verwenden beabsichtigt,</w:t>
      </w:r>
    </w:p>
    <w:p w14:paraId="1D0A1AA5" w14:textId="77777777" w:rsidR="0091729E" w:rsidRPr="009118AB" w:rsidRDefault="0091729E" w:rsidP="0091729E">
      <w:pPr>
        <w:jc w:val="both"/>
      </w:pPr>
    </w:p>
    <w:p w14:paraId="27ACFAEB" w14:textId="77777777" w:rsidR="0091729E" w:rsidRPr="009118AB" w:rsidRDefault="0091729E" w:rsidP="0091729E">
      <w:pPr>
        <w:jc w:val="both"/>
      </w:pPr>
      <w:r w:rsidRPr="009118AB">
        <w:tab/>
      </w:r>
      <w:r w:rsidRPr="009118AB">
        <w:rPr>
          <w:i/>
          <w:iCs/>
        </w:rPr>
        <w:t>c)</w:t>
      </w:r>
      <w:r w:rsidRPr="009118AB">
        <w:t> falls von der Bezeichnung des meldepflichtigen Verkäufers abweichend - zusätzlich zur Kennung des Finanzkontos Namen des Inhabers des Finanzkontos, auf das die Vergütung eingezahlt oder auf dem sie gutgeschrieben wird, sofern der meldende Plattformbetreiber über diese Information verfügt, sowie alle sonstigen der Identifizierung dienenden finanziellen Informationen, über die der meldende Plattformbetreiber in Bezug auf diesen Kontoinhaber verfügt,</w:t>
      </w:r>
    </w:p>
    <w:p w14:paraId="3222CE15" w14:textId="77777777" w:rsidR="0091729E" w:rsidRPr="009118AB" w:rsidRDefault="0091729E" w:rsidP="0091729E">
      <w:pPr>
        <w:jc w:val="both"/>
      </w:pPr>
    </w:p>
    <w:p w14:paraId="7C48C4C1" w14:textId="77777777" w:rsidR="0091729E" w:rsidRPr="009118AB" w:rsidRDefault="0091729E" w:rsidP="0091729E">
      <w:pPr>
        <w:jc w:val="both"/>
      </w:pPr>
      <w:r w:rsidRPr="009118AB">
        <w:tab/>
      </w:r>
      <w:r w:rsidRPr="009118AB">
        <w:rPr>
          <w:i/>
          <w:iCs/>
        </w:rPr>
        <w:t>d)</w:t>
      </w:r>
      <w:r w:rsidRPr="009118AB">
        <w:t> jeden Staat, in dem der meldepflichtige Verkäufer im Sinne von Artikel 321</w:t>
      </w:r>
      <w:r w:rsidRPr="009118AB">
        <w:rPr>
          <w:i/>
          <w:iCs/>
        </w:rPr>
        <w:t>quinquies</w:t>
      </w:r>
      <w:r w:rsidRPr="009118AB">
        <w:t xml:space="preserve"> § 4 ansässig ist,</w:t>
      </w:r>
    </w:p>
    <w:p w14:paraId="0EB12B1C" w14:textId="77777777" w:rsidR="0091729E" w:rsidRPr="009118AB" w:rsidRDefault="0091729E" w:rsidP="0091729E">
      <w:pPr>
        <w:jc w:val="both"/>
      </w:pPr>
    </w:p>
    <w:p w14:paraId="3DCF828D" w14:textId="77777777" w:rsidR="0091729E" w:rsidRPr="009118AB" w:rsidRDefault="0091729E" w:rsidP="0091729E">
      <w:pPr>
        <w:jc w:val="both"/>
      </w:pPr>
      <w:r w:rsidRPr="009118AB">
        <w:tab/>
      </w:r>
      <w:r w:rsidRPr="009118AB">
        <w:rPr>
          <w:i/>
          <w:iCs/>
        </w:rPr>
        <w:t>e)</w:t>
      </w:r>
      <w:r w:rsidRPr="009118AB">
        <w:t> Anschrift für jede inserierte Immobilieneinheit, die gemäß den in Artikel 321</w:t>
      </w:r>
      <w:r w:rsidRPr="009118AB">
        <w:rPr>
          <w:i/>
          <w:iCs/>
        </w:rPr>
        <w:t>quinquies</w:t>
      </w:r>
      <w:r w:rsidRPr="009118AB">
        <w:t xml:space="preserve"> § 5 beschriebenen Verfahren bestimmt wird, und - sofern vorhanden - jeweilige Katasternummer oder gleichwertige Angabe nach dem nationalen Recht des Staates, in dem sie belegen ist,</w:t>
      </w:r>
    </w:p>
    <w:p w14:paraId="5CD02999" w14:textId="77777777" w:rsidR="0091729E" w:rsidRPr="009118AB" w:rsidRDefault="0091729E" w:rsidP="0091729E">
      <w:pPr>
        <w:jc w:val="both"/>
      </w:pPr>
    </w:p>
    <w:p w14:paraId="38D8AC46" w14:textId="77777777" w:rsidR="0091729E" w:rsidRPr="009118AB" w:rsidRDefault="0091729E" w:rsidP="0091729E">
      <w:pPr>
        <w:jc w:val="both"/>
      </w:pPr>
      <w:r w:rsidRPr="009118AB">
        <w:tab/>
      </w:r>
      <w:r w:rsidRPr="009118AB">
        <w:rPr>
          <w:i/>
          <w:iCs/>
        </w:rPr>
        <w:t>f)</w:t>
      </w:r>
      <w:r w:rsidRPr="009118AB">
        <w:t> in jedem Quartal des Meldezeitraums insgesamt gezahlte oder gutgeschriebene Vergütung und Zahl der relevanten Tätigkeiten, die in Bezug auf jede inserierte Immobilieneinheit erbracht wurden,</w:t>
      </w:r>
    </w:p>
    <w:p w14:paraId="6B55BD2A" w14:textId="77777777" w:rsidR="0091729E" w:rsidRPr="009118AB" w:rsidRDefault="0091729E" w:rsidP="0091729E">
      <w:pPr>
        <w:jc w:val="both"/>
      </w:pPr>
    </w:p>
    <w:p w14:paraId="5346D5E3" w14:textId="77777777" w:rsidR="0091729E" w:rsidRPr="009118AB" w:rsidRDefault="0091729E" w:rsidP="0091729E">
      <w:pPr>
        <w:jc w:val="both"/>
      </w:pPr>
      <w:r w:rsidRPr="009118AB">
        <w:tab/>
      </w:r>
      <w:r w:rsidRPr="009118AB">
        <w:rPr>
          <w:i/>
          <w:iCs/>
        </w:rPr>
        <w:t>g)</w:t>
      </w:r>
      <w:r w:rsidRPr="009118AB">
        <w:t> jegliche Gebühren, Provisionen oder Steuern, die in jedem Quartal des Meldezeitraums vom meldenden Plattformbetreiber einbehalten oder berechnet werden,</w:t>
      </w:r>
    </w:p>
    <w:p w14:paraId="5F885961" w14:textId="77777777" w:rsidR="0091729E" w:rsidRPr="009118AB" w:rsidRDefault="0091729E" w:rsidP="0091729E">
      <w:pPr>
        <w:jc w:val="both"/>
      </w:pPr>
    </w:p>
    <w:p w14:paraId="0CD9B801" w14:textId="77777777" w:rsidR="0091729E" w:rsidRPr="009118AB" w:rsidRDefault="0091729E" w:rsidP="0091729E">
      <w:pPr>
        <w:jc w:val="both"/>
      </w:pPr>
      <w:r w:rsidRPr="009118AB">
        <w:tab/>
      </w:r>
      <w:r w:rsidRPr="009118AB">
        <w:rPr>
          <w:i/>
          <w:iCs/>
        </w:rPr>
        <w:t>h)</w:t>
      </w:r>
      <w:r w:rsidRPr="009118AB">
        <w:t> falls verfügbar, Zahl der Tage, an denen jede inserierte Immobilieneinheit während des Meldezeitraums vermietet war, sowie Art jeder inserierten Immobilieneinheit.</w:t>
      </w:r>
    </w:p>
    <w:p w14:paraId="1774C912" w14:textId="77777777" w:rsidR="0091729E" w:rsidRPr="009118AB" w:rsidRDefault="0091729E" w:rsidP="0091729E">
      <w:pPr>
        <w:jc w:val="both"/>
      </w:pPr>
    </w:p>
    <w:p w14:paraId="76526EAF" w14:textId="77777777" w:rsidR="0091729E" w:rsidRPr="009118AB" w:rsidRDefault="0091729E" w:rsidP="0091729E">
      <w:pPr>
        <w:jc w:val="both"/>
      </w:pPr>
      <w:r w:rsidRPr="009118AB">
        <w:tab/>
        <w:t xml:space="preserve">§ 6 - Ist der meldende Plattformbetreiber gemäß § 1 Absatz 1 </w:t>
      </w:r>
      <w:r w:rsidRPr="009118AB">
        <w:rPr>
          <w:i/>
          <w:iCs/>
        </w:rPr>
        <w:t>in fine</w:t>
      </w:r>
      <w:r w:rsidRPr="009118AB">
        <w:t xml:space="preserve"> und Absatz 3 von der Meldung der in § 5 erwähnten Informationen befreit, teilt er der Verwaltung die Identität des Plattformbetreibers mit, der bereits die Meldung vorgenommen hat, die diese Befreiung rechtfertigt.</w:t>
      </w:r>
    </w:p>
    <w:p w14:paraId="536D23CA" w14:textId="77777777" w:rsidR="0091729E" w:rsidRPr="009118AB" w:rsidRDefault="0091729E" w:rsidP="0091729E">
      <w:pPr>
        <w:jc w:val="both"/>
      </w:pPr>
    </w:p>
    <w:p w14:paraId="1D02CBBC" w14:textId="1A341667" w:rsidR="0091729E" w:rsidRPr="009118AB" w:rsidRDefault="0091729E" w:rsidP="0091729E">
      <w:pPr>
        <w:jc w:val="both"/>
      </w:pPr>
      <w:r w:rsidRPr="009118AB">
        <w:tab/>
        <w:t>§ 7 - Hat der Plattformbetreiber für einen bestimmten Zeitraum keine Informationen über aktive Verkäufer oder meldepflichtige Verkäufer zu melden, füllt er das Meldeformular entsprechend aus.]</w:t>
      </w:r>
    </w:p>
    <w:p w14:paraId="15B1611F" w14:textId="77777777" w:rsidR="0091729E" w:rsidRPr="009118AB" w:rsidRDefault="0091729E" w:rsidP="0091729E">
      <w:pPr>
        <w:jc w:val="both"/>
      </w:pPr>
    </w:p>
    <w:p w14:paraId="3BA21CA6" w14:textId="1FF73A01" w:rsidR="0091729E" w:rsidRPr="009118AB" w:rsidRDefault="0091729E" w:rsidP="0091729E">
      <w:pPr>
        <w:jc w:val="both"/>
        <w:rPr>
          <w:i/>
          <w:iCs/>
        </w:rPr>
      </w:pPr>
      <w:r w:rsidRPr="009118AB">
        <w:rPr>
          <w:i/>
          <w:iCs/>
        </w:rPr>
        <w:t xml:space="preserve">[Art. 321sexies eingefügt durch Art. 6 des G. vom </w:t>
      </w:r>
      <w:r w:rsidR="003365DD" w:rsidRPr="009118AB">
        <w:rPr>
          <w:i/>
          <w:iCs/>
        </w:rPr>
        <w:t>21. Dezember 2022 (I)</w:t>
      </w:r>
      <w:r w:rsidRPr="009118AB">
        <w:rPr>
          <w:i/>
          <w:iCs/>
        </w:rPr>
        <w:t xml:space="preserve"> (B.S. vom 30. Dezember 2022) - in Kraft am 1. Januar 2023 -</w:t>
      </w:r>
      <w:r w:rsidR="00C5028A">
        <w:rPr>
          <w:i/>
          <w:iCs/>
        </w:rPr>
        <w:t xml:space="preserve">; § 3 </w:t>
      </w:r>
      <w:bookmarkStart w:id="35" w:name="_Hlk202529562"/>
      <w:r w:rsidR="00C5028A" w:rsidRPr="00AB355F">
        <w:rPr>
          <w:rFonts w:ascii="Times New Roman Italique" w:hAnsi="Times New Roman Italique"/>
          <w:i/>
          <w:iCs/>
        </w:rPr>
        <w:t>abgeändert durch Art. </w:t>
      </w:r>
      <w:r w:rsidR="00C5028A">
        <w:rPr>
          <w:rFonts w:ascii="Times New Roman Italique" w:hAnsi="Times New Roman Italique"/>
          <w:i/>
          <w:iCs/>
        </w:rPr>
        <w:t>8</w:t>
      </w:r>
      <w:r w:rsidR="00C5028A" w:rsidRPr="00AB355F">
        <w:rPr>
          <w:rFonts w:ascii="Times New Roman Italique" w:hAnsi="Times New Roman Italique"/>
          <w:i/>
          <w:iCs/>
        </w:rPr>
        <w:t xml:space="preserve"> des G. vom 20. Dezember 2024 (B.S. vom 31. Dezember 2024) - in Kraft am 31. Dezember 2024 -</w:t>
      </w:r>
      <w:bookmarkEnd w:id="35"/>
      <w:r w:rsidRPr="009118AB">
        <w:rPr>
          <w:i/>
          <w:iCs/>
        </w:rPr>
        <w:t>]</w:t>
      </w:r>
    </w:p>
    <w:p w14:paraId="5FB8C1B6" w14:textId="77777777" w:rsidR="0091729E" w:rsidRPr="009118AB" w:rsidRDefault="0091729E" w:rsidP="0091729E">
      <w:pPr>
        <w:jc w:val="both"/>
      </w:pPr>
    </w:p>
    <w:p w14:paraId="0DD71654" w14:textId="77777777" w:rsidR="0091729E" w:rsidRPr="009118AB" w:rsidRDefault="0091729E" w:rsidP="0091729E">
      <w:pPr>
        <w:jc w:val="both"/>
      </w:pPr>
    </w:p>
    <w:p w14:paraId="0F805A94" w14:textId="64F3D85C" w:rsidR="0091729E" w:rsidRPr="009118AB" w:rsidRDefault="0091729E" w:rsidP="0091729E">
      <w:pPr>
        <w:jc w:val="both"/>
      </w:pPr>
      <w:r w:rsidRPr="009118AB">
        <w:tab/>
        <w:t>[</w:t>
      </w:r>
      <w:r w:rsidRPr="009118AB">
        <w:rPr>
          <w:b/>
          <w:bCs/>
        </w:rPr>
        <w:t>Art. 321</w:t>
      </w:r>
      <w:r w:rsidRPr="009118AB">
        <w:rPr>
          <w:b/>
          <w:bCs/>
          <w:i/>
          <w:iCs/>
        </w:rPr>
        <w:t>septies</w:t>
      </w:r>
      <w:r w:rsidRPr="009118AB">
        <w:t> - § 1 ­ Ein meldender Plattformbetreiber im Sinne von Artikel 321</w:t>
      </w:r>
      <w:r w:rsidRPr="009118AB">
        <w:rPr>
          <w:i/>
          <w:iCs/>
        </w:rPr>
        <w:t>quater</w:t>
      </w:r>
      <w:r w:rsidRPr="009118AB">
        <w:t xml:space="preserve"> Nr. 4 Buchstabe </w:t>
      </w:r>
      <w:r w:rsidRPr="009118AB">
        <w:rPr>
          <w:i/>
          <w:iCs/>
        </w:rPr>
        <w:t>b)</w:t>
      </w:r>
      <w:r w:rsidRPr="009118AB">
        <w:t>, der nicht beschlossen hat, sich in einem anderen Mitgliedstaat zu registrieren, hat sich bei der Aufnahme seiner Tätigkeit als Plattformbetreiber oder spätestens am 31. März 2023, wenn er diese Tätigkeit bereits vor Inkrafttreten der vorliegenden Bestimmung ausgeübt hat, bei der belgischen zuständigen Behörde zu registrieren.</w:t>
      </w:r>
    </w:p>
    <w:p w14:paraId="4A1F8CDF" w14:textId="77777777" w:rsidR="0091729E" w:rsidRPr="009118AB" w:rsidRDefault="0091729E" w:rsidP="0091729E">
      <w:pPr>
        <w:jc w:val="both"/>
      </w:pPr>
    </w:p>
    <w:p w14:paraId="376C2E30" w14:textId="77777777" w:rsidR="0091729E" w:rsidRPr="009118AB" w:rsidRDefault="0091729E" w:rsidP="0091729E">
      <w:pPr>
        <w:jc w:val="both"/>
      </w:pPr>
      <w:r w:rsidRPr="009118AB">
        <w:tab/>
        <w:t>§ 2 - Der Plattformbetreiber teilt der belgischen zuständigen Behörde im Hinblick auf seine einmalige Registrierung folgende Informationen mit:</w:t>
      </w:r>
    </w:p>
    <w:p w14:paraId="4C34C5D9" w14:textId="77777777" w:rsidR="0091729E" w:rsidRPr="009118AB" w:rsidRDefault="0091729E" w:rsidP="0091729E">
      <w:pPr>
        <w:jc w:val="both"/>
      </w:pPr>
    </w:p>
    <w:p w14:paraId="1F96EA94" w14:textId="77777777" w:rsidR="0091729E" w:rsidRPr="009118AB" w:rsidRDefault="0091729E" w:rsidP="0091729E">
      <w:pPr>
        <w:jc w:val="both"/>
      </w:pPr>
      <w:r w:rsidRPr="009118AB">
        <w:tab/>
      </w:r>
      <w:r w:rsidRPr="009118AB">
        <w:rPr>
          <w:i/>
          <w:iCs/>
        </w:rPr>
        <w:t>a)</w:t>
      </w:r>
      <w:r w:rsidRPr="009118AB">
        <w:t> Namen,</w:t>
      </w:r>
    </w:p>
    <w:p w14:paraId="7BB1F3F2" w14:textId="77777777" w:rsidR="0091729E" w:rsidRPr="009118AB" w:rsidRDefault="0091729E" w:rsidP="0091729E">
      <w:pPr>
        <w:jc w:val="both"/>
      </w:pPr>
    </w:p>
    <w:p w14:paraId="74E8965A" w14:textId="77777777" w:rsidR="0091729E" w:rsidRPr="009118AB" w:rsidRDefault="0091729E" w:rsidP="0091729E">
      <w:pPr>
        <w:jc w:val="both"/>
      </w:pPr>
      <w:r w:rsidRPr="009118AB">
        <w:tab/>
      </w:r>
      <w:r w:rsidRPr="009118AB">
        <w:rPr>
          <w:i/>
          <w:iCs/>
        </w:rPr>
        <w:t>b)</w:t>
      </w:r>
      <w:r w:rsidRPr="009118AB">
        <w:t> Postanschrift,</w:t>
      </w:r>
    </w:p>
    <w:p w14:paraId="19DCFC40" w14:textId="77777777" w:rsidR="0091729E" w:rsidRPr="009118AB" w:rsidRDefault="0091729E" w:rsidP="0091729E">
      <w:pPr>
        <w:jc w:val="both"/>
      </w:pPr>
    </w:p>
    <w:p w14:paraId="4DC5D8F9" w14:textId="77777777" w:rsidR="0091729E" w:rsidRPr="009118AB" w:rsidRDefault="0091729E" w:rsidP="0091729E">
      <w:pPr>
        <w:jc w:val="both"/>
      </w:pPr>
      <w:r w:rsidRPr="009118AB">
        <w:tab/>
      </w:r>
      <w:r w:rsidRPr="009118AB">
        <w:rPr>
          <w:i/>
          <w:iCs/>
        </w:rPr>
        <w:t>c)</w:t>
      </w:r>
      <w:r w:rsidRPr="009118AB">
        <w:t> elektronische Adressen einschließlich Websites,</w:t>
      </w:r>
    </w:p>
    <w:p w14:paraId="3A21AB5D" w14:textId="77777777" w:rsidR="0091729E" w:rsidRPr="009118AB" w:rsidRDefault="0091729E" w:rsidP="0091729E">
      <w:pPr>
        <w:jc w:val="both"/>
      </w:pPr>
    </w:p>
    <w:p w14:paraId="38B7DFA2" w14:textId="77777777" w:rsidR="0091729E" w:rsidRPr="009118AB" w:rsidRDefault="0091729E" w:rsidP="0091729E">
      <w:pPr>
        <w:jc w:val="both"/>
      </w:pPr>
      <w:r w:rsidRPr="009118AB">
        <w:tab/>
      </w:r>
      <w:r w:rsidRPr="009118AB">
        <w:rPr>
          <w:i/>
          <w:iCs/>
        </w:rPr>
        <w:t>d)</w:t>
      </w:r>
      <w:r w:rsidRPr="009118AB">
        <w:t> jede Steueridentifikationsnummer, die ihm ausgestellt wurde,</w:t>
      </w:r>
    </w:p>
    <w:p w14:paraId="010B2352" w14:textId="77777777" w:rsidR="0091729E" w:rsidRPr="009118AB" w:rsidRDefault="0091729E" w:rsidP="0091729E">
      <w:pPr>
        <w:jc w:val="both"/>
      </w:pPr>
    </w:p>
    <w:p w14:paraId="2356AF9F" w14:textId="77777777" w:rsidR="0091729E" w:rsidRPr="009118AB" w:rsidRDefault="0091729E" w:rsidP="0091729E">
      <w:pPr>
        <w:jc w:val="both"/>
      </w:pPr>
      <w:r w:rsidRPr="009118AB">
        <w:tab/>
      </w:r>
      <w:r w:rsidRPr="009118AB">
        <w:rPr>
          <w:i/>
          <w:iCs/>
        </w:rPr>
        <w:t>e)</w:t>
      </w:r>
      <w:r w:rsidRPr="009118AB">
        <w:t> Erklärung mit Informationen über die Identifizierung dieses meldenden Plattformbetreibers für Mehrwertsteuerzwecke in der Union gemäß Titel XII Kapitel 6 Abschnitt 2 und 3 der Richtlinie 2006/112/EG des Rates,</w:t>
      </w:r>
    </w:p>
    <w:p w14:paraId="4F9C2E65" w14:textId="77777777" w:rsidR="0091729E" w:rsidRPr="009118AB" w:rsidRDefault="0091729E" w:rsidP="0091729E">
      <w:pPr>
        <w:jc w:val="both"/>
      </w:pPr>
    </w:p>
    <w:p w14:paraId="35ACB08C" w14:textId="77777777" w:rsidR="0091729E" w:rsidRPr="009118AB" w:rsidRDefault="0091729E" w:rsidP="0091729E">
      <w:pPr>
        <w:jc w:val="both"/>
      </w:pPr>
      <w:r w:rsidRPr="009118AB">
        <w:tab/>
      </w:r>
      <w:r w:rsidRPr="009118AB">
        <w:rPr>
          <w:i/>
          <w:iCs/>
        </w:rPr>
        <w:t>f)</w:t>
      </w:r>
      <w:r w:rsidRPr="009118AB">
        <w:t> Mitgliedstaaten, in denen meldepflichtige Verkäufer im Sinne von Artikel 321</w:t>
      </w:r>
      <w:r w:rsidRPr="009118AB">
        <w:rPr>
          <w:i/>
          <w:iCs/>
        </w:rPr>
        <w:t>quinquies</w:t>
      </w:r>
      <w:r w:rsidRPr="009118AB">
        <w:t xml:space="preserve"> § 4 ansässig sind.</w:t>
      </w:r>
    </w:p>
    <w:p w14:paraId="3CFDB08B" w14:textId="77777777" w:rsidR="0091729E" w:rsidRPr="009118AB" w:rsidRDefault="0091729E" w:rsidP="0091729E">
      <w:pPr>
        <w:jc w:val="both"/>
      </w:pPr>
    </w:p>
    <w:p w14:paraId="6B6A9B7C" w14:textId="77777777" w:rsidR="0091729E" w:rsidRPr="009118AB" w:rsidRDefault="0091729E" w:rsidP="0091729E">
      <w:pPr>
        <w:jc w:val="both"/>
      </w:pPr>
      <w:r w:rsidRPr="009118AB">
        <w:tab/>
        <w:t>§ 3 - Der meldende Plattformbetreiber teilt der belgischen zuständigen Behörde jegliche Änderung der nach § 2 übermittelten Informationen mit.</w:t>
      </w:r>
    </w:p>
    <w:p w14:paraId="73DBDFD3" w14:textId="77777777" w:rsidR="0091729E" w:rsidRPr="009118AB" w:rsidRDefault="0091729E" w:rsidP="0091729E">
      <w:pPr>
        <w:jc w:val="both"/>
      </w:pPr>
    </w:p>
    <w:p w14:paraId="5526A48D" w14:textId="77777777" w:rsidR="0091729E" w:rsidRPr="009118AB" w:rsidRDefault="0091729E" w:rsidP="0091729E">
      <w:pPr>
        <w:jc w:val="both"/>
      </w:pPr>
      <w:r w:rsidRPr="009118AB">
        <w:tab/>
        <w:t>§ 4 - Die zuständige Behörde weist dem meldenden Plattformbetreiber eine individuelle Identifikationsnummer zu und teilt diese den zuständigen Behörden aller Mitgliedstaaten elektronisch mit.</w:t>
      </w:r>
    </w:p>
    <w:p w14:paraId="46839BA6" w14:textId="77777777" w:rsidR="0091729E" w:rsidRPr="009118AB" w:rsidRDefault="0091729E" w:rsidP="0091729E">
      <w:pPr>
        <w:jc w:val="both"/>
      </w:pPr>
    </w:p>
    <w:p w14:paraId="41F714C2" w14:textId="31408817" w:rsidR="0091729E" w:rsidRPr="009118AB" w:rsidRDefault="0091729E" w:rsidP="0091729E">
      <w:pPr>
        <w:jc w:val="both"/>
      </w:pPr>
      <w:r w:rsidRPr="009118AB">
        <w:tab/>
        <w:t>§ 5 - Kommt ein meldender Plattformbetreiber seinen Meldepflichten wie in Artikel 321</w:t>
      </w:r>
      <w:r w:rsidRPr="009118AB">
        <w:rPr>
          <w:i/>
          <w:iCs/>
        </w:rPr>
        <w:t>sexies</w:t>
      </w:r>
      <w:r w:rsidRPr="009118AB">
        <w:t xml:space="preserve"> vorgesehen nicht nach, widerruft die belgische zuständige Behörde nach zwei Mahnungen und Ablauf einer Frist von mindestens dreißig Tagen und vor Ablauf einer Frist von neunzig Tagen ab dem Datum der zweiten Mahnung die Registrierung des meldenden Plattformbetreibers.</w:t>
      </w:r>
    </w:p>
    <w:p w14:paraId="3EE42E11" w14:textId="77777777" w:rsidR="0091729E" w:rsidRPr="009118AB" w:rsidRDefault="0091729E" w:rsidP="0091729E">
      <w:pPr>
        <w:jc w:val="both"/>
      </w:pPr>
    </w:p>
    <w:p w14:paraId="52C828FA" w14:textId="19321446" w:rsidR="0091729E" w:rsidRDefault="0091729E" w:rsidP="0091729E">
      <w:pPr>
        <w:jc w:val="both"/>
      </w:pPr>
      <w:r w:rsidRPr="009118AB">
        <w:tab/>
        <w:t xml:space="preserve">§ 6 - </w:t>
      </w:r>
      <w:r w:rsidR="00C5028A">
        <w:t>[</w:t>
      </w:r>
      <w:r w:rsidR="00C5028A" w:rsidRPr="00C5028A">
        <w:t>Einem meldenden Plattformbetreiber, dessen Registrierung gemäß § 5 oder durch einen anderen Mitgliedstaat widerrufen wurde, ist die erneute Registrierung nur unter der Bedingung gestattet, dass er der belgischen zuständigen Behörde angemessene Garantien bietet in Bezug auf seine Verpflichtung, den Meldepflichten - einschließlich jeglicher Meldepflichten, die in Belgien oder in dem Mitgliedstaat, in dem er vorher registriert war, noch ausstehen und nicht erfüllt sind - nachzukommen.</w:t>
      </w:r>
      <w:r w:rsidR="00C5028A">
        <w:t>]]</w:t>
      </w:r>
    </w:p>
    <w:p w14:paraId="1F41830B" w14:textId="77777777" w:rsidR="00C5028A" w:rsidRDefault="00C5028A" w:rsidP="0091729E">
      <w:pPr>
        <w:jc w:val="both"/>
      </w:pPr>
    </w:p>
    <w:p w14:paraId="6DFE118E" w14:textId="5CE55F13" w:rsidR="00C5028A" w:rsidRPr="00C5028A" w:rsidRDefault="00C5028A" w:rsidP="00C5028A">
      <w:pPr>
        <w:ind w:firstLine="708"/>
        <w:jc w:val="both"/>
      </w:pPr>
      <w:r>
        <w:t>[</w:t>
      </w:r>
      <w:r w:rsidRPr="00C5028A">
        <w:t>§ 7 -</w:t>
      </w:r>
      <w:r>
        <w:t> </w:t>
      </w:r>
      <w:r w:rsidRPr="00C5028A">
        <w:t xml:space="preserve">In folgenden Fällen ersucht die belgische zuständige Behörde die Kommission, einen meldenden Plattformbetreiber aus dem zentralen Register zu löschen: </w:t>
      </w:r>
    </w:p>
    <w:p w14:paraId="46F4716B" w14:textId="77777777" w:rsidR="00C5028A" w:rsidRPr="00C5028A" w:rsidRDefault="00C5028A" w:rsidP="00C5028A">
      <w:pPr>
        <w:jc w:val="both"/>
      </w:pPr>
    </w:p>
    <w:p w14:paraId="2AAFE107" w14:textId="77777777" w:rsidR="00C5028A" w:rsidRPr="00C5028A" w:rsidRDefault="00C5028A" w:rsidP="00C5028A">
      <w:pPr>
        <w:ind w:firstLine="708"/>
        <w:jc w:val="both"/>
      </w:pPr>
      <w:r w:rsidRPr="00C5028A">
        <w:rPr>
          <w:i/>
          <w:iCs/>
        </w:rPr>
        <w:t>a)</w:t>
      </w:r>
      <w:r w:rsidRPr="00C5028A">
        <w:t> Der Plattformbetreiber teilt der belgischen zuständigen Behörde mit, dass er seine Tätigkeit als Plattformbetreiber nicht länger ausübt.</w:t>
      </w:r>
    </w:p>
    <w:p w14:paraId="38588423" w14:textId="77777777" w:rsidR="00C5028A" w:rsidRPr="00C5028A" w:rsidRDefault="00C5028A" w:rsidP="00C5028A">
      <w:pPr>
        <w:jc w:val="both"/>
      </w:pPr>
    </w:p>
    <w:p w14:paraId="36D20E34" w14:textId="77777777" w:rsidR="00C5028A" w:rsidRPr="00C5028A" w:rsidRDefault="00C5028A" w:rsidP="00C5028A">
      <w:pPr>
        <w:ind w:firstLine="708"/>
        <w:jc w:val="both"/>
      </w:pPr>
      <w:r w:rsidRPr="00C5028A">
        <w:rPr>
          <w:i/>
          <w:iCs/>
        </w:rPr>
        <w:t>b)</w:t>
      </w:r>
      <w:r w:rsidRPr="00C5028A">
        <w:t> Es liegt keine Mitteilung wie in Buchstabe </w:t>
      </w:r>
      <w:r w:rsidRPr="00C5028A">
        <w:rPr>
          <w:i/>
          <w:iCs/>
        </w:rPr>
        <w:t>a)</w:t>
      </w:r>
      <w:r w:rsidRPr="00C5028A">
        <w:t xml:space="preserve"> erwähnt vor, aber es besteht Grund zu der Annahme, dass die Tätigkeit eines Plattformbetreibers eingestellt wurde.</w:t>
      </w:r>
    </w:p>
    <w:p w14:paraId="3377B26A" w14:textId="77777777" w:rsidR="00C5028A" w:rsidRPr="00C5028A" w:rsidRDefault="00C5028A" w:rsidP="00C5028A">
      <w:pPr>
        <w:jc w:val="both"/>
      </w:pPr>
    </w:p>
    <w:p w14:paraId="120457F7" w14:textId="77777777" w:rsidR="00C5028A" w:rsidRPr="00C5028A" w:rsidRDefault="00C5028A" w:rsidP="00C5028A">
      <w:pPr>
        <w:ind w:firstLine="708"/>
        <w:jc w:val="both"/>
      </w:pPr>
      <w:r w:rsidRPr="00C5028A">
        <w:rPr>
          <w:i/>
          <w:iCs/>
        </w:rPr>
        <w:t>c)</w:t>
      </w:r>
      <w:r w:rsidRPr="00C5028A">
        <w:t> Der Plattformbetreiber erfüllt nicht länger die in Artikel 321</w:t>
      </w:r>
      <w:r w:rsidRPr="00C5028A">
        <w:rPr>
          <w:i/>
          <w:iCs/>
        </w:rPr>
        <w:t>quater</w:t>
      </w:r>
      <w:r w:rsidRPr="00C5028A">
        <w:t xml:space="preserve"> Absatz 1 Nr. 4 erwähnten Bedingungen.</w:t>
      </w:r>
    </w:p>
    <w:p w14:paraId="4BAF4ED6" w14:textId="77777777" w:rsidR="00C5028A" w:rsidRPr="00C5028A" w:rsidRDefault="00C5028A" w:rsidP="00C5028A">
      <w:pPr>
        <w:jc w:val="both"/>
      </w:pPr>
    </w:p>
    <w:p w14:paraId="36D47691" w14:textId="667D5223" w:rsidR="00C5028A" w:rsidRPr="009118AB" w:rsidRDefault="00C5028A" w:rsidP="00C5028A">
      <w:pPr>
        <w:ind w:firstLine="708"/>
        <w:jc w:val="both"/>
      </w:pPr>
      <w:r w:rsidRPr="00C5028A">
        <w:rPr>
          <w:i/>
          <w:iCs/>
        </w:rPr>
        <w:t>d)</w:t>
      </w:r>
      <w:r w:rsidRPr="00C5028A">
        <w:t> Die belgische zuständige Behörde hat die Registrierung des Plattformbetreibers gemäß § 5 widerrufen.</w:t>
      </w:r>
      <w:r>
        <w:t>]</w:t>
      </w:r>
    </w:p>
    <w:p w14:paraId="5FD17AFC" w14:textId="77777777" w:rsidR="0091729E" w:rsidRPr="009118AB" w:rsidRDefault="0091729E" w:rsidP="0091729E">
      <w:pPr>
        <w:jc w:val="both"/>
      </w:pPr>
    </w:p>
    <w:p w14:paraId="4ACE3296" w14:textId="46F260E3" w:rsidR="0091729E" w:rsidRPr="00C5028A" w:rsidRDefault="0091729E" w:rsidP="0091729E">
      <w:pPr>
        <w:jc w:val="both"/>
        <w:rPr>
          <w:rFonts w:ascii="Times New Roman Italique" w:hAnsi="Times New Roman Italique"/>
          <w:i/>
          <w:iCs/>
        </w:rPr>
      </w:pPr>
      <w:r w:rsidRPr="009118AB">
        <w:rPr>
          <w:i/>
          <w:iCs/>
        </w:rPr>
        <w:t xml:space="preserve">[Art. 321septies eingefügt durch Art. 7 des G. vom </w:t>
      </w:r>
      <w:r w:rsidR="003365DD" w:rsidRPr="009118AB">
        <w:rPr>
          <w:i/>
          <w:iCs/>
        </w:rPr>
        <w:t>21. Dezember 2022 (I)</w:t>
      </w:r>
      <w:r w:rsidRPr="009118AB">
        <w:rPr>
          <w:i/>
          <w:iCs/>
        </w:rPr>
        <w:t xml:space="preserve"> (B.S. vom 30. Dezember 2022) - in Kraft am 1. Januar 2023 -</w:t>
      </w:r>
      <w:r w:rsidR="00C5028A">
        <w:rPr>
          <w:i/>
          <w:iCs/>
        </w:rPr>
        <w:t xml:space="preserve">; § 6 </w:t>
      </w:r>
      <w:r w:rsidR="00FE2A32">
        <w:rPr>
          <w:i/>
          <w:iCs/>
        </w:rPr>
        <w:t>ersetz</w:t>
      </w:r>
      <w:r w:rsidR="00C5028A">
        <w:rPr>
          <w:i/>
          <w:iCs/>
        </w:rPr>
        <w:t xml:space="preserve">t durch </w:t>
      </w:r>
      <w:r w:rsidR="00C5028A" w:rsidRPr="00AB355F">
        <w:rPr>
          <w:rFonts w:ascii="Times New Roman Italique" w:hAnsi="Times New Roman Italique"/>
          <w:i/>
          <w:iCs/>
        </w:rPr>
        <w:t>Art. </w:t>
      </w:r>
      <w:r w:rsidR="00C5028A">
        <w:rPr>
          <w:rFonts w:ascii="Times New Roman Italique" w:hAnsi="Times New Roman Italique"/>
          <w:i/>
          <w:iCs/>
        </w:rPr>
        <w:t>9 Nr.</w:t>
      </w:r>
      <w:r w:rsidR="00C5028A">
        <w:rPr>
          <w:rFonts w:ascii="Times New Roman Italique" w:hAnsi="Times New Roman Italique" w:hint="eastAsia"/>
          <w:i/>
          <w:iCs/>
        </w:rPr>
        <w:t> </w:t>
      </w:r>
      <w:r w:rsidR="00C5028A">
        <w:rPr>
          <w:rFonts w:ascii="Times New Roman Italique" w:hAnsi="Times New Roman Italique"/>
          <w:i/>
          <w:iCs/>
        </w:rPr>
        <w:t>1</w:t>
      </w:r>
      <w:r w:rsidR="00C5028A" w:rsidRPr="00AB355F">
        <w:rPr>
          <w:rFonts w:ascii="Times New Roman Italique" w:hAnsi="Times New Roman Italique"/>
          <w:i/>
          <w:iCs/>
        </w:rPr>
        <w:t xml:space="preserve"> des G. vom 20. Dezember 2024 (B.S. vom 31. Dezember 2024) - in Kraft am 31. Dezember 2024 -</w:t>
      </w:r>
      <w:r w:rsidR="00C5028A">
        <w:rPr>
          <w:rFonts w:ascii="Times New Roman Italique" w:hAnsi="Times New Roman Italique"/>
          <w:i/>
          <w:iCs/>
        </w:rPr>
        <w:t xml:space="preserve">; </w:t>
      </w:r>
      <w:r w:rsidR="00C5028A">
        <w:rPr>
          <w:i/>
          <w:iCs/>
        </w:rPr>
        <w:t xml:space="preserve">§ 7 eingefügt durch </w:t>
      </w:r>
      <w:r w:rsidR="00C5028A" w:rsidRPr="00AB355F">
        <w:rPr>
          <w:rFonts w:ascii="Times New Roman Italique" w:hAnsi="Times New Roman Italique"/>
          <w:i/>
          <w:iCs/>
        </w:rPr>
        <w:t>Art. </w:t>
      </w:r>
      <w:r w:rsidR="00C5028A">
        <w:rPr>
          <w:rFonts w:ascii="Times New Roman Italique" w:hAnsi="Times New Roman Italique"/>
          <w:i/>
          <w:iCs/>
        </w:rPr>
        <w:t>9 Nr.</w:t>
      </w:r>
      <w:r w:rsidR="00C5028A">
        <w:rPr>
          <w:rFonts w:ascii="Times New Roman Italique" w:hAnsi="Times New Roman Italique" w:hint="eastAsia"/>
          <w:i/>
          <w:iCs/>
        </w:rPr>
        <w:t> </w:t>
      </w:r>
      <w:r w:rsidR="00C5028A">
        <w:rPr>
          <w:rFonts w:ascii="Times New Roman Italique" w:hAnsi="Times New Roman Italique"/>
          <w:i/>
          <w:iCs/>
        </w:rPr>
        <w:t>2</w:t>
      </w:r>
      <w:r w:rsidR="00C5028A" w:rsidRPr="00AB355F">
        <w:rPr>
          <w:rFonts w:ascii="Times New Roman Italique" w:hAnsi="Times New Roman Italique"/>
          <w:i/>
          <w:iCs/>
        </w:rPr>
        <w:t xml:space="preserve"> des G. vom 20. Dezember 2024 (B.S. vom 31. Dezember 2024) - in Kraft am 31. Dezember 2024 -</w:t>
      </w:r>
      <w:r w:rsidRPr="009118AB">
        <w:rPr>
          <w:i/>
          <w:iCs/>
        </w:rPr>
        <w:t>]</w:t>
      </w:r>
    </w:p>
    <w:p w14:paraId="6C065037" w14:textId="77777777" w:rsidR="0091729E" w:rsidRPr="009118AB" w:rsidRDefault="0091729E" w:rsidP="0091729E">
      <w:pPr>
        <w:jc w:val="both"/>
      </w:pPr>
    </w:p>
    <w:p w14:paraId="63D8E0C0" w14:textId="7CCF32E6" w:rsidR="0091729E" w:rsidRPr="009118AB" w:rsidRDefault="0091729E" w:rsidP="0091729E">
      <w:pPr>
        <w:jc w:val="both"/>
      </w:pPr>
    </w:p>
    <w:p w14:paraId="162A54CD" w14:textId="48197537" w:rsidR="0091729E" w:rsidRPr="009118AB" w:rsidRDefault="0091729E" w:rsidP="0091729E">
      <w:pPr>
        <w:jc w:val="both"/>
      </w:pPr>
      <w:r w:rsidRPr="009118AB">
        <w:tab/>
        <w:t>[</w:t>
      </w:r>
      <w:r w:rsidRPr="009118AB">
        <w:rPr>
          <w:b/>
          <w:bCs/>
        </w:rPr>
        <w:t>Art. 321</w:t>
      </w:r>
      <w:r w:rsidRPr="009118AB">
        <w:rPr>
          <w:b/>
          <w:bCs/>
          <w:i/>
          <w:iCs/>
        </w:rPr>
        <w:t>octies</w:t>
      </w:r>
      <w:r w:rsidRPr="009118AB">
        <w:t> - Legt ein Verkäufer nach zwei auf das ursprüngliche Ersuchen des meldenden Plattformbetreibers folgenden Mahnungen die nach Artikel 321</w:t>
      </w:r>
      <w:r w:rsidRPr="009118AB">
        <w:rPr>
          <w:i/>
          <w:iCs/>
        </w:rPr>
        <w:t>quinquies</w:t>
      </w:r>
      <w:r w:rsidRPr="009118AB">
        <w:t xml:space="preserve"> § 1 erforderlichen Informationen dem meldenden Plattformbetreiber nicht vor, schließt der meldende Plattformbetreiber - jedoch nicht vor Ablauf von sechzig Tagen - das Konto des Verkäufers und hindert er den Verkäufer daran, sich erneut bei der Plattform zu registrieren, oder behält er die Zahlung der Vergütung an den Verkäufer ein, solange der Verkäufer die verlangten Informationen nicht vorlegt.]</w:t>
      </w:r>
    </w:p>
    <w:p w14:paraId="34162852" w14:textId="77777777" w:rsidR="0091729E" w:rsidRPr="009118AB" w:rsidRDefault="0091729E" w:rsidP="0091729E">
      <w:pPr>
        <w:jc w:val="both"/>
      </w:pPr>
    </w:p>
    <w:p w14:paraId="6235AD00" w14:textId="4668F454" w:rsidR="0091729E" w:rsidRPr="009118AB" w:rsidRDefault="0091729E" w:rsidP="0091729E">
      <w:pPr>
        <w:jc w:val="both"/>
        <w:rPr>
          <w:i/>
          <w:iCs/>
        </w:rPr>
      </w:pPr>
      <w:r w:rsidRPr="009118AB">
        <w:rPr>
          <w:i/>
          <w:iCs/>
        </w:rPr>
        <w:t xml:space="preserve">[Art. 321octies eingefügt durch Art. 8 des G. vom </w:t>
      </w:r>
      <w:r w:rsidR="003365DD" w:rsidRPr="009118AB">
        <w:rPr>
          <w:i/>
          <w:iCs/>
        </w:rPr>
        <w:t>21. Dezember 2022 (I)</w:t>
      </w:r>
      <w:r w:rsidRPr="009118AB">
        <w:rPr>
          <w:i/>
          <w:iCs/>
        </w:rPr>
        <w:t xml:space="preserve"> (B.S. vom 30. Dezember 2022) - in Kraft am 1. Januar 2023 -]</w:t>
      </w:r>
    </w:p>
    <w:p w14:paraId="45524916" w14:textId="77777777" w:rsidR="0091729E" w:rsidRPr="009118AB" w:rsidRDefault="0091729E" w:rsidP="0091729E">
      <w:pPr>
        <w:jc w:val="both"/>
      </w:pPr>
    </w:p>
    <w:p w14:paraId="71040B85" w14:textId="77777777" w:rsidR="0091729E" w:rsidRPr="009118AB" w:rsidRDefault="0091729E" w:rsidP="0091729E">
      <w:pPr>
        <w:jc w:val="both"/>
      </w:pPr>
    </w:p>
    <w:p w14:paraId="1DB864A9" w14:textId="0F49A099" w:rsidR="0091729E" w:rsidRPr="009118AB" w:rsidRDefault="0091729E" w:rsidP="0091729E">
      <w:pPr>
        <w:jc w:val="both"/>
      </w:pPr>
      <w:r w:rsidRPr="009118AB">
        <w:tab/>
        <w:t>[</w:t>
      </w:r>
      <w:r w:rsidRPr="009118AB">
        <w:rPr>
          <w:b/>
          <w:bCs/>
        </w:rPr>
        <w:t>Art. 321</w:t>
      </w:r>
      <w:r w:rsidRPr="009118AB">
        <w:rPr>
          <w:b/>
          <w:bCs/>
          <w:i/>
          <w:iCs/>
        </w:rPr>
        <w:t>nonies</w:t>
      </w:r>
      <w:r w:rsidRPr="009118AB">
        <w:t> - Der König bestimmt die Musterformulare, die Modalitäten für den Versand der Meldung der in Artikel 321</w:t>
      </w:r>
      <w:r w:rsidRPr="009118AB">
        <w:rPr>
          <w:i/>
          <w:iCs/>
        </w:rPr>
        <w:t>sexies</w:t>
      </w:r>
      <w:r w:rsidRPr="009118AB">
        <w:t xml:space="preserve"> § 5 erwähnten Informationen an den FÖD Finanzen, die einzuhaltenden Modalitäten, damit der Plattformbetreiber im Sinne von Artikel 321</w:t>
      </w:r>
      <w:r w:rsidRPr="009118AB">
        <w:rPr>
          <w:i/>
          <w:iCs/>
        </w:rPr>
        <w:t>quater</w:t>
      </w:r>
      <w:r w:rsidRPr="009118AB">
        <w:t xml:space="preserve"> Nr. 3 als freigestellt betrachtet werden kann, die einzuhaltenden Modalitäten, damit der Plattformbetreiber Belgien bestimmen kann, um seinen Meldepflichten gemäß Artikel 321</w:t>
      </w:r>
      <w:r w:rsidRPr="009118AB">
        <w:rPr>
          <w:i/>
          <w:iCs/>
        </w:rPr>
        <w:t>sexies</w:t>
      </w:r>
      <w:r w:rsidRPr="009118AB">
        <w:t xml:space="preserve"> § 1 Absatz 2 nachzukommen, sowie die einzuhaltenden Modalitäten, damit der Plattformbetreiber die Meldungen gemäß Artikel 321</w:t>
      </w:r>
      <w:r w:rsidRPr="009118AB">
        <w:rPr>
          <w:i/>
          <w:iCs/>
        </w:rPr>
        <w:t>sexies</w:t>
      </w:r>
      <w:r w:rsidRPr="009118AB">
        <w:t xml:space="preserve"> §§ 6 und 7 vornehmen kann.]</w:t>
      </w:r>
    </w:p>
    <w:p w14:paraId="7B961C79" w14:textId="77777777" w:rsidR="0091729E" w:rsidRPr="009118AB" w:rsidRDefault="0091729E" w:rsidP="0091729E">
      <w:pPr>
        <w:jc w:val="both"/>
      </w:pPr>
    </w:p>
    <w:p w14:paraId="35F8588A" w14:textId="0CC85E9C" w:rsidR="0091729E" w:rsidRPr="009118AB" w:rsidRDefault="0091729E" w:rsidP="0091729E">
      <w:pPr>
        <w:jc w:val="both"/>
        <w:rPr>
          <w:i/>
          <w:iCs/>
        </w:rPr>
      </w:pPr>
      <w:r w:rsidRPr="009118AB">
        <w:rPr>
          <w:i/>
          <w:iCs/>
        </w:rPr>
        <w:t>[Art. 321nonies eingefügt durch Art. </w:t>
      </w:r>
      <w:r w:rsidR="00760638" w:rsidRPr="009118AB">
        <w:rPr>
          <w:i/>
          <w:iCs/>
        </w:rPr>
        <w:t>9</w:t>
      </w:r>
      <w:r w:rsidRPr="009118AB">
        <w:rPr>
          <w:i/>
          <w:iCs/>
        </w:rPr>
        <w:t xml:space="preserve"> des G. vom </w:t>
      </w:r>
      <w:r w:rsidR="003365DD" w:rsidRPr="009118AB">
        <w:rPr>
          <w:i/>
          <w:iCs/>
        </w:rPr>
        <w:t>21. Dezember 2022 (I)</w:t>
      </w:r>
      <w:r w:rsidRPr="009118AB">
        <w:rPr>
          <w:i/>
          <w:iCs/>
        </w:rPr>
        <w:t xml:space="preserve"> (B.S. vom 30. Dezember 2022) - in Kraft am 1. Januar 2023 -]</w:t>
      </w:r>
    </w:p>
    <w:p w14:paraId="5374F289" w14:textId="77777777" w:rsidR="0091729E" w:rsidRPr="009118AB" w:rsidRDefault="0091729E" w:rsidP="0091729E">
      <w:pPr>
        <w:jc w:val="both"/>
      </w:pPr>
    </w:p>
    <w:p w14:paraId="28288A29" w14:textId="77777777" w:rsidR="0091729E" w:rsidRPr="009118AB" w:rsidRDefault="0091729E" w:rsidP="0091729E">
      <w:pPr>
        <w:jc w:val="both"/>
      </w:pPr>
    </w:p>
    <w:p w14:paraId="36490F20" w14:textId="30CD1EE0" w:rsidR="0091729E" w:rsidRPr="009118AB" w:rsidRDefault="0091729E" w:rsidP="0091729E">
      <w:pPr>
        <w:jc w:val="both"/>
      </w:pPr>
      <w:r w:rsidRPr="009118AB">
        <w:tab/>
        <w:t>[</w:t>
      </w:r>
      <w:r w:rsidRPr="009118AB">
        <w:rPr>
          <w:b/>
          <w:bCs/>
        </w:rPr>
        <w:t>Art. 321</w:t>
      </w:r>
      <w:r w:rsidRPr="009118AB">
        <w:rPr>
          <w:b/>
          <w:bCs/>
          <w:i/>
          <w:iCs/>
        </w:rPr>
        <w:t>decies</w:t>
      </w:r>
      <w:r w:rsidRPr="009118AB">
        <w:t> - Die meldenden Plattformbetreiber bewahren die in Artikel 321</w:t>
      </w:r>
      <w:r w:rsidRPr="009118AB">
        <w:rPr>
          <w:i/>
          <w:iCs/>
        </w:rPr>
        <w:t>quinquies</w:t>
      </w:r>
      <w:r w:rsidRPr="009118AB">
        <w:t xml:space="preserve"> § 9 erwähnten Verzeichnisse und die gemäß den Artikeln 321</w:t>
      </w:r>
      <w:r w:rsidRPr="009118AB">
        <w:rPr>
          <w:i/>
          <w:iCs/>
        </w:rPr>
        <w:t>quinquies</w:t>
      </w:r>
      <w:r w:rsidRPr="009118AB">
        <w:t xml:space="preserve"> und 321</w:t>
      </w:r>
      <w:r w:rsidRPr="009118AB">
        <w:rPr>
          <w:i/>
          <w:iCs/>
        </w:rPr>
        <w:t>sexies</w:t>
      </w:r>
      <w:r w:rsidRPr="009118AB">
        <w:t xml:space="preserve"> erhobenen und gemeldeten personenbezogenen Daten während der in den Artikeln 315 und 315</w:t>
      </w:r>
      <w:r w:rsidRPr="009118AB">
        <w:rPr>
          <w:i/>
          <w:iCs/>
        </w:rPr>
        <w:t>bis</w:t>
      </w:r>
      <w:r w:rsidRPr="009118AB">
        <w:t xml:space="preserve"> festgelegten Aufbewahrungsfrist für Bücher und Unterlagen auf. Gegebenenfalls werden diese Daten über diesen Zeitraum hinaus aufbewahrt, wenn dies für die Behandlung einer Streitsache erforderlich ist.</w:t>
      </w:r>
    </w:p>
    <w:p w14:paraId="2BD61C5D" w14:textId="77777777" w:rsidR="0091729E" w:rsidRPr="009118AB" w:rsidRDefault="0091729E" w:rsidP="0091729E">
      <w:pPr>
        <w:jc w:val="both"/>
      </w:pPr>
    </w:p>
    <w:p w14:paraId="500AD82D" w14:textId="77777777" w:rsidR="0091729E" w:rsidRPr="009118AB" w:rsidRDefault="0091729E" w:rsidP="0091729E">
      <w:pPr>
        <w:jc w:val="both"/>
      </w:pPr>
      <w:r w:rsidRPr="009118AB">
        <w:tab/>
        <w:t>Die Steuerverwaltung bewahrt die ihr gemäß Artikel 321</w:t>
      </w:r>
      <w:r w:rsidRPr="009118AB">
        <w:rPr>
          <w:i/>
          <w:iCs/>
        </w:rPr>
        <w:t>sexies</w:t>
      </w:r>
      <w:r w:rsidRPr="009118AB">
        <w:t xml:space="preserve"> gemeldeten personenbezogenen Daten für den Zeitraum auf, in dem sie aufgrund der Artikel 333 und 354 die Steuer festlegen und Untersuchungen durchführen kann. Gegebenenfalls werden diese Daten über diesen Zeitraum hinaus aufbewahrt, wenn dies für die Behandlung einer Streitsache erforderlich ist.</w:t>
      </w:r>
    </w:p>
    <w:p w14:paraId="4B141F9F" w14:textId="77777777" w:rsidR="0091729E" w:rsidRPr="009118AB" w:rsidRDefault="0091729E" w:rsidP="0091729E">
      <w:pPr>
        <w:jc w:val="both"/>
      </w:pPr>
    </w:p>
    <w:p w14:paraId="7AC4B65A" w14:textId="4DB2C6CB" w:rsidR="0091729E" w:rsidRPr="009118AB" w:rsidRDefault="0091729E" w:rsidP="00917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1641F8">
        <w:t>[…]</w:t>
      </w:r>
      <w:r w:rsidRPr="009118AB">
        <w:t>]</w:t>
      </w:r>
    </w:p>
    <w:p w14:paraId="6AF605A6" w14:textId="77777777" w:rsidR="0091729E" w:rsidRPr="009118AB" w:rsidRDefault="0091729E" w:rsidP="00917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062798" w14:textId="70C0FBA3" w:rsidR="0091729E" w:rsidRPr="001641F8" w:rsidRDefault="0091729E" w:rsidP="0091729E">
      <w:pPr>
        <w:jc w:val="both"/>
        <w:rPr>
          <w:rFonts w:ascii="Times New Roman Italique" w:eastAsia="Aptos" w:hAnsi="Times New Roman Italique"/>
          <w:i/>
          <w:iCs/>
          <w:lang w:eastAsia="en-US"/>
        </w:rPr>
      </w:pPr>
      <w:r w:rsidRPr="009118AB">
        <w:rPr>
          <w:i/>
          <w:iCs/>
        </w:rPr>
        <w:t>[Art. 321decies eingefügt durch Art. </w:t>
      </w:r>
      <w:r w:rsidR="00760638" w:rsidRPr="009118AB">
        <w:rPr>
          <w:i/>
          <w:iCs/>
        </w:rPr>
        <w:t>10</w:t>
      </w:r>
      <w:r w:rsidRPr="009118AB">
        <w:rPr>
          <w:i/>
          <w:iCs/>
        </w:rPr>
        <w:t xml:space="preserve"> des G. vom </w:t>
      </w:r>
      <w:r w:rsidR="003365DD" w:rsidRPr="009118AB">
        <w:rPr>
          <w:i/>
          <w:iCs/>
        </w:rPr>
        <w:t>21. Dezember 2022 (I)</w:t>
      </w:r>
      <w:r w:rsidRPr="009118AB">
        <w:rPr>
          <w:i/>
          <w:iCs/>
        </w:rPr>
        <w:t xml:space="preserve"> (B.S. vom 30. Dezember 2022) - in Kraft am 1. Januar 2023 -</w:t>
      </w:r>
      <w:r w:rsidR="001641F8">
        <w:rPr>
          <w:i/>
          <w:iCs/>
        </w:rPr>
        <w:t xml:space="preserve">; Abs. 3 aufgehoben </w:t>
      </w:r>
      <w:r w:rsidR="001641F8" w:rsidRPr="001641F8">
        <w:rPr>
          <w:rFonts w:ascii="Times New Roman Italique" w:eastAsia="Aptos" w:hAnsi="Times New Roman Italique"/>
          <w:i/>
          <w:iCs/>
          <w:lang w:eastAsia="en-US"/>
        </w:rPr>
        <w:t xml:space="preserve">durch </w:t>
      </w:r>
      <w:bookmarkStart w:id="36" w:name="_Hlk202529879"/>
      <w:r w:rsidR="001641F8" w:rsidRPr="001641F8">
        <w:rPr>
          <w:rFonts w:ascii="Times New Roman Italique" w:eastAsia="Aptos" w:hAnsi="Times New Roman Italique"/>
          <w:i/>
          <w:iCs/>
          <w:lang w:eastAsia="en-US"/>
        </w:rPr>
        <w:t>Art. </w:t>
      </w:r>
      <w:r w:rsidR="001641F8">
        <w:rPr>
          <w:rFonts w:ascii="Times New Roman Italique" w:eastAsia="Aptos" w:hAnsi="Times New Roman Italique"/>
          <w:i/>
          <w:iCs/>
          <w:lang w:eastAsia="en-US"/>
        </w:rPr>
        <w:t>10</w:t>
      </w:r>
      <w:r w:rsidR="001641F8" w:rsidRPr="001641F8">
        <w:rPr>
          <w:rFonts w:ascii="Times New Roman Italique" w:eastAsia="Aptos" w:hAnsi="Times New Roman Italique"/>
          <w:i/>
          <w:iCs/>
          <w:lang w:eastAsia="en-US"/>
        </w:rPr>
        <w:t xml:space="preserve"> des G. vom 20. Dezember 2024 (B.S. vom 31. Dezember 2024) - in Kraft am 31. Dezember 2024 -</w:t>
      </w:r>
      <w:bookmarkEnd w:id="36"/>
      <w:r w:rsidRPr="009118AB">
        <w:rPr>
          <w:i/>
          <w:iCs/>
        </w:rPr>
        <w:t>]</w:t>
      </w:r>
    </w:p>
    <w:p w14:paraId="6E7C4B41" w14:textId="77777777" w:rsidR="0091729E" w:rsidRPr="009118AB" w:rsidRDefault="0091729E" w:rsidP="00917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2B1298A" w14:textId="479C04ED" w:rsidR="00477B8F" w:rsidRPr="009118AB" w:rsidRDefault="00477B8F" w:rsidP="006F3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Pr="009118AB">
        <w:rPr>
          <w:i/>
          <w:iCs/>
        </w:rPr>
        <w:t>Abschnitt </w:t>
      </w:r>
      <w:r w:rsidR="00D74862" w:rsidRPr="009118AB">
        <w:rPr>
          <w:i/>
          <w:iCs/>
        </w:rPr>
        <w:t>2</w:t>
      </w:r>
      <w:r w:rsidR="00D67EB8" w:rsidRPr="009118AB">
        <w:t> - </w:t>
      </w:r>
      <w:r w:rsidRPr="009118AB">
        <w:t>Pflichten von Dritten</w:t>
      </w:r>
    </w:p>
    <w:p w14:paraId="31934FF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B6FF02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5DDDB2" w14:textId="453E113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322</w:t>
      </w:r>
      <w:r w:rsidR="00D67EB8" w:rsidRPr="009118AB">
        <w:t> - </w:t>
      </w:r>
      <w:r w:rsidR="003C54CA" w:rsidRPr="009118AB">
        <w:t>[</w:t>
      </w:r>
      <w:r w:rsidR="00D67EB8" w:rsidRPr="009118AB">
        <w:t>§ </w:t>
      </w:r>
      <w:r w:rsidR="003C54CA" w:rsidRPr="009118AB">
        <w:t>1]</w:t>
      </w:r>
      <w:r w:rsidR="00D67EB8" w:rsidRPr="009118AB">
        <w:t> - </w:t>
      </w:r>
      <w:r w:rsidRPr="009118AB">
        <w:t>Die Verwaltung darf in Bezug auf einen bestimmten Steuerpflichtigen schriftliche Bescheinigungen einholen, Dritte anhören, Untersuchungen durchführen und in der von ihr festgelegten Frist, die aus rechtmäßigen Gründen verlängert werden kann, von natürlichen oder juristischen Personen und von Vereinigungen ohne Rechtspersönlichkeit alle Auskünfte verlangen, die sie zur Gewährleistung der richtigen Steuererhebung für notwendig erachtet.</w:t>
      </w:r>
    </w:p>
    <w:p w14:paraId="7C0EA624" w14:textId="77777777" w:rsidR="00D722E8" w:rsidRPr="009118AB" w:rsidRDefault="00D722E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08A0EC" w14:textId="77777777" w:rsidR="00471AB2" w:rsidRPr="009118AB" w:rsidRDefault="00471AB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[Das Recht Dritte anzuhören und Untersuchungen durchzuführen darf nur von Bediensteten ausgeübt werden, die mindestens den Dienstgrad eines Finanzsachverständigen innehaben, im Besitz ihrer Legitimation sind und damit beauftragt sind, eine Kontrolle oder Untersuchung in Bezug auf die Anwendung der Einkommensteuern durchzuführen.]</w:t>
      </w:r>
    </w:p>
    <w:p w14:paraId="3B1262AA" w14:textId="77777777" w:rsidR="00471AB2" w:rsidRPr="009118AB" w:rsidRDefault="00471AB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B5FE0EF" w14:textId="0D06B454" w:rsidR="00D722E8" w:rsidRPr="009118AB" w:rsidRDefault="00D722E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Pr="009118AB">
        <w:rPr>
          <w:rFonts w:eastAsia="Calibri"/>
        </w:rPr>
        <w:t>Die Verwaltung darf zur Gewährleistung der richtigen Steuererhebung in Bezug auf einen bestimmten Steuerpflichtigen das bei der Generalverwaltung Schatzamt geführte Register der wirtschaftlichen Eigentümer, UBO-Register genannt, einsehen, das durch Artikel 73 des Gesetzes vom 18. September 2017 zur Verhinderung von Geldwäsche und Terrorismus</w:t>
      </w:r>
      <w:r w:rsidRPr="009118AB">
        <w:rPr>
          <w:rFonts w:eastAsia="Calibri"/>
        </w:rPr>
        <w:softHyphen/>
        <w:t>finanzierung und zur Beschränkung der Nutzung von Bargeld geschaffen worden ist. Der König legt die Bedingungen und Modalitäten dieser Einsichtnahme fest.</w:t>
      </w:r>
      <w:r w:rsidRPr="009118AB">
        <w:t>]</w:t>
      </w:r>
      <w:r w:rsidR="00471AB2" w:rsidRPr="009118AB">
        <w:t xml:space="preserve"> [</w:t>
      </w:r>
      <w:r w:rsidR="00FE6F38" w:rsidRPr="009118AB">
        <w:t>..</w:t>
      </w:r>
      <w:r w:rsidR="00471AB2" w:rsidRPr="009118AB">
        <w:t>.]</w:t>
      </w:r>
    </w:p>
    <w:p w14:paraId="38450E1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3B277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722E8" w:rsidRPr="009118AB">
        <w:t>[</w:t>
      </w:r>
      <w:r w:rsidR="00471AB2" w:rsidRPr="009118AB">
        <w:rPr>
          <w:rFonts w:eastAsia="Calibri"/>
        </w:rPr>
        <w:t>…]</w:t>
      </w:r>
    </w:p>
    <w:p w14:paraId="14667553" w14:textId="77777777" w:rsidR="003C54CA" w:rsidRPr="009118AB" w:rsidRDefault="003C54C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AFAA40" w14:textId="55A10AD8" w:rsidR="003C54CA" w:rsidRPr="009118AB" w:rsidRDefault="003C54CA" w:rsidP="003C54CA">
      <w:pPr>
        <w:jc w:val="both"/>
      </w:pPr>
      <w:r w:rsidRPr="009118AB">
        <w:tab/>
        <w:t>[</w:t>
      </w:r>
      <w:r w:rsidR="00D67EB8" w:rsidRPr="009118AB">
        <w:t>§ </w:t>
      </w:r>
      <w:r w:rsidRPr="009118AB">
        <w:t>2</w:t>
      </w:r>
      <w:r w:rsidR="00D67EB8" w:rsidRPr="009118AB">
        <w:t> - </w:t>
      </w:r>
      <w:r w:rsidRPr="009118AB">
        <w:t xml:space="preserve">Verfügt die Verwaltung bei einer Untersuchung über ein oder mehrere Indizien der Steuerhinterziehung </w:t>
      </w:r>
      <w:r w:rsidR="0074278D" w:rsidRPr="009118AB">
        <w:t xml:space="preserve">[oder verfügt die Verwaltung über ein oder mehrere Indizien dafür, dass die Bestimmungen der Artikel 326/1 bis 326/9 nicht korrekt eingehalten wurden,] </w:t>
      </w:r>
      <w:r w:rsidRPr="009118AB">
        <w:t>oder beabsichtigt die Verwaltung, die steuerpflichtige Grundlage gemäß Artikel 341 festzulegen, gelten Bank</w:t>
      </w:r>
      <w:r w:rsidRPr="009118AB">
        <w:noBreakHyphen/>
        <w:t>, Wechsel</w:t>
      </w:r>
      <w:r w:rsidRPr="009118AB">
        <w:noBreakHyphen/>
        <w:t>, Kredit</w:t>
      </w:r>
      <w:r w:rsidRPr="009118AB">
        <w:noBreakHyphen/>
        <w:t xml:space="preserve"> oder Sparinstitute als Dritte, auf die die Bestimmungen von </w:t>
      </w:r>
      <w:r w:rsidR="00D67EB8" w:rsidRPr="009118AB">
        <w:t>§ </w:t>
      </w:r>
      <w:r w:rsidRPr="009118AB">
        <w:t>1 ohne Einschränkung anwendbar sind.</w:t>
      </w:r>
    </w:p>
    <w:p w14:paraId="23231C76" w14:textId="77777777" w:rsidR="003C54CA" w:rsidRPr="009118AB" w:rsidRDefault="003C54CA" w:rsidP="003C54CA">
      <w:pPr>
        <w:jc w:val="both"/>
      </w:pPr>
    </w:p>
    <w:p w14:paraId="1507B216" w14:textId="77777777" w:rsidR="003C54CA" w:rsidRPr="009118AB" w:rsidRDefault="003C54CA" w:rsidP="003C54CA">
      <w:pPr>
        <w:jc w:val="both"/>
      </w:pPr>
      <w:r w:rsidRPr="009118AB">
        <w:tab/>
        <w:t xml:space="preserve">Gegebenenfalls kann ein Beamter </w:t>
      </w:r>
      <w:r w:rsidR="005B2499" w:rsidRPr="009118AB">
        <w:t>[mit mindestens dem Titel eines Beraters]</w:t>
      </w:r>
      <w:r w:rsidRPr="009118AB">
        <w:t xml:space="preserve">, der zu diesem Zweck vom Minister der Finanzen bestimmt wird, einen Beamten </w:t>
      </w:r>
      <w:r w:rsidR="005B2499" w:rsidRPr="009118AB">
        <w:t>[mit mindestens dem Titel eines Attachés]</w:t>
      </w:r>
      <w:r w:rsidRPr="009118AB">
        <w:t xml:space="preserve"> damit beauftragen, bei Bank</w:t>
      </w:r>
      <w:r w:rsidRPr="009118AB">
        <w:noBreakHyphen/>
        <w:t>, Wechsel</w:t>
      </w:r>
      <w:r w:rsidRPr="009118AB">
        <w:noBreakHyphen/>
        <w:t>, Kredit</w:t>
      </w:r>
      <w:r w:rsidRPr="009118AB">
        <w:noBreakHyphen/>
        <w:t xml:space="preserve"> und Sparinstituten Auskünfte anzufragen, die für die Festlegung des Betrags der steuerpflichtigen Einkünfte des Steuerpflichtigen zweckdienlich sein können.</w:t>
      </w:r>
    </w:p>
    <w:p w14:paraId="6347B9F3" w14:textId="77777777" w:rsidR="003C54CA" w:rsidRPr="009118AB" w:rsidRDefault="003C54CA" w:rsidP="003C54CA">
      <w:pPr>
        <w:jc w:val="both"/>
      </w:pPr>
    </w:p>
    <w:p w14:paraId="51B595D0" w14:textId="77777777" w:rsidR="003C54CA" w:rsidRPr="009118AB" w:rsidRDefault="003C54CA" w:rsidP="003C54CA">
      <w:pPr>
        <w:jc w:val="both"/>
      </w:pPr>
      <w:r w:rsidRPr="009118AB">
        <w:tab/>
        <w:t>Der vom Minister bestimmte Bedienstete darf die Ermächtigung nur erteilen:</w:t>
      </w:r>
    </w:p>
    <w:p w14:paraId="3E41340A" w14:textId="77777777" w:rsidR="003C54CA" w:rsidRPr="009118AB" w:rsidRDefault="003C54CA" w:rsidP="003C54CA">
      <w:pPr>
        <w:jc w:val="both"/>
      </w:pPr>
    </w:p>
    <w:p w14:paraId="6676378D" w14:textId="6048EA1D" w:rsidR="003C54CA" w:rsidRPr="009118AB" w:rsidRDefault="003C54CA" w:rsidP="003C54CA">
      <w:pPr>
        <w:jc w:val="both"/>
      </w:pPr>
      <w:r w:rsidRPr="009118AB">
        <w:tab/>
        <w:t xml:space="preserve">1. nachdem der Bedienstete, der die Untersuchung durchführt, während der Untersuchung durch ein Auskunftsersuchen wie in Artikel 316 erwähnt Informationen und Angaben in Bezug auf Konten angefragt hat und bei diesem Ersuchen deutlich angegeben hat, dass er die Anwendung von Artikel 322 </w:t>
      </w:r>
      <w:r w:rsidR="00D67EB8" w:rsidRPr="009118AB">
        <w:t>§ </w:t>
      </w:r>
      <w:r w:rsidRPr="009118AB">
        <w:t>2 beantragen kann, wenn der Steuerpflichtige angefragte Informationen verheimlicht oder ihre Mitteilung verweigert. Der in Absatz 2 erwähnte Auftrag kann erst nach Ablauf der in Artikel 316 erwähnten Frist beginnen,</w:t>
      </w:r>
    </w:p>
    <w:p w14:paraId="603E06D8" w14:textId="77777777" w:rsidR="00471AB2" w:rsidRPr="009118AB" w:rsidRDefault="00471AB2" w:rsidP="003C54CA">
      <w:pPr>
        <w:jc w:val="both"/>
      </w:pPr>
    </w:p>
    <w:p w14:paraId="46997884" w14:textId="5540C07F" w:rsidR="003C54CA" w:rsidRPr="009118AB" w:rsidRDefault="003C54CA" w:rsidP="003C54CA">
      <w:pPr>
        <w:jc w:val="both"/>
      </w:pPr>
      <w:r w:rsidRPr="009118AB">
        <w:tab/>
        <w:t>2. nachdem er festgestellt hat, dass die durchgeführte Untersuchung Anleitung zu einer möglichen Anwendung von Artikel 341 gibt oder ein oder mehrere Indizien der Steuerhinter</w:t>
      </w:r>
      <w:r w:rsidRPr="009118AB">
        <w:softHyphen/>
        <w:t xml:space="preserve">ziehung ausgewiesen hat </w:t>
      </w:r>
      <w:r w:rsidR="0074278D" w:rsidRPr="009118AB">
        <w:t xml:space="preserve">[oder dass es Indizien dafür gibt, dass die Bestimmungen der Artikel 326/1 bis 326/9 nicht korrekt eingehalten wurden,] </w:t>
      </w:r>
      <w:r w:rsidRPr="009118AB">
        <w:t>und dass es Vermutungen gibt, dass der Steuerpflichtige diesbezügliche Angaben bei einem in Absatz 2 erwähnten Institut verschleiert oder dass er sich weigert, sie selbst mitzuteilen.</w:t>
      </w:r>
      <w:r w:rsidR="00DE5934" w:rsidRPr="009118AB">
        <w:t>]</w:t>
      </w:r>
    </w:p>
    <w:p w14:paraId="08B136F3" w14:textId="77777777" w:rsidR="003C54CA" w:rsidRPr="009118AB" w:rsidRDefault="003C54CA" w:rsidP="003C54CA">
      <w:pPr>
        <w:jc w:val="both"/>
      </w:pPr>
    </w:p>
    <w:p w14:paraId="15F00130" w14:textId="497D39C8" w:rsidR="008876EE" w:rsidRPr="009118AB" w:rsidRDefault="003C54CA" w:rsidP="008876EE">
      <w:pPr>
        <w:ind w:firstLine="708"/>
        <w:jc w:val="both"/>
      </w:pPr>
      <w:r w:rsidRPr="009118AB">
        <w:tab/>
      </w:r>
      <w:r w:rsidR="00DE5934" w:rsidRPr="009118AB">
        <w:t>[</w:t>
      </w:r>
      <w:r w:rsidR="00D67EB8" w:rsidRPr="009118AB">
        <w:t>§ </w:t>
      </w:r>
      <w:r w:rsidRPr="009118AB">
        <w:t>3</w:t>
      </w:r>
      <w:r w:rsidR="00D67EB8" w:rsidRPr="009118AB">
        <w:t> - </w:t>
      </w:r>
      <w:r w:rsidR="00AC4A04" w:rsidRPr="009118AB">
        <w:t>[</w:t>
      </w:r>
      <w:r w:rsidR="008876EE" w:rsidRPr="009118AB">
        <w:t xml:space="preserve">Bank-, Wechsel-, Kredit- und Sparinstitute sind verpflichtet, der gemäß dem Gesetz vom 8. Juli 2018 zur Organisation einer zentralen Kontaktstelle Konten und Finanzverträge und zur Ausweitung des Zugriffs auf die zentrale Datei der Pfändungs-, Einzugsermächtigungs-, Abtretungs- und Protestmeldungen und der Meldungen einer kollektiven Schuldenregelung von der Belgischen Nationalbank verwalteten Zentralen Kontaktstelle die in Artikel 4 des vorerwähnten Gesetzes erwähnten Angaben mitzuteilen, die sich auf Bank- und Zahlungskonten im Sinne von Artikel 2 </w:t>
      </w:r>
      <w:r w:rsidR="00D67EB8" w:rsidRPr="009118AB">
        <w:t>Nr. </w:t>
      </w:r>
      <w:r w:rsidR="008876EE" w:rsidRPr="009118AB">
        <w:t xml:space="preserve">7 desselben Gesetzes und auf Finanzverträge im Sinne von Artikel 2 </w:t>
      </w:r>
      <w:r w:rsidR="00D67EB8" w:rsidRPr="009118AB">
        <w:t>Nr. </w:t>
      </w:r>
      <w:r w:rsidR="008876EE" w:rsidRPr="009118AB">
        <w:t>10 desselben Gesetzes beziehen.]</w:t>
      </w:r>
    </w:p>
    <w:p w14:paraId="336A5240" w14:textId="77777777" w:rsidR="008876EE" w:rsidRPr="009118AB" w:rsidRDefault="008876EE" w:rsidP="008876EE">
      <w:pPr>
        <w:jc w:val="both"/>
      </w:pPr>
    </w:p>
    <w:p w14:paraId="10E2237D" w14:textId="21D0AB2E" w:rsidR="008876EE" w:rsidRPr="009118AB" w:rsidRDefault="008876EE" w:rsidP="008876EE">
      <w:pPr>
        <w:ind w:firstLine="708"/>
        <w:jc w:val="both"/>
      </w:pPr>
      <w:r w:rsidRPr="009118AB">
        <w:t>[Artikel 5 des vorerwähnten Gesetzes vom 8. Juli 2018 ist auf diese Angaben anwendbar.</w:t>
      </w:r>
    </w:p>
    <w:p w14:paraId="4E783BC4" w14:textId="77777777" w:rsidR="008876EE" w:rsidRPr="009118AB" w:rsidRDefault="008876EE" w:rsidP="008876EE">
      <w:pPr>
        <w:jc w:val="both"/>
      </w:pPr>
    </w:p>
    <w:p w14:paraId="1195B756" w14:textId="7599A15F" w:rsidR="003C54CA" w:rsidRPr="009118AB" w:rsidRDefault="008876EE" w:rsidP="008876EE">
      <w:pPr>
        <w:ind w:firstLine="708"/>
        <w:jc w:val="both"/>
      </w:pPr>
      <w:r w:rsidRPr="009118AB">
        <w:t>Diese Verpflichtung gilt nur, sofern die Mitteilung derselben Angaben nicht bereits durch das vorerwähnte Gesetz vom 8. Juli 2018 auferlegt wird.</w:t>
      </w:r>
      <w:r w:rsidR="005D137B" w:rsidRPr="009118AB">
        <w:t>]</w:t>
      </w:r>
    </w:p>
    <w:p w14:paraId="37A7146B" w14:textId="77777777" w:rsidR="003C54CA" w:rsidRPr="009118AB" w:rsidRDefault="003C54CA" w:rsidP="003C54CA">
      <w:pPr>
        <w:jc w:val="both"/>
      </w:pPr>
    </w:p>
    <w:p w14:paraId="1FC70CDD" w14:textId="633CB70D" w:rsidR="003C54CA" w:rsidRPr="009118AB" w:rsidRDefault="003C54CA" w:rsidP="003C54CA">
      <w:pPr>
        <w:jc w:val="both"/>
      </w:pPr>
      <w:r w:rsidRPr="009118AB">
        <w:tab/>
        <w:t xml:space="preserve">Hat der in </w:t>
      </w:r>
      <w:r w:rsidR="00D67EB8" w:rsidRPr="009118AB">
        <w:t>§ </w:t>
      </w:r>
      <w:r w:rsidRPr="009118AB">
        <w:t xml:space="preserve">2 Absatz 3 erwähnte vom Minister bestimmte Bedienstete festgestellt, dass die in </w:t>
      </w:r>
      <w:r w:rsidR="00D67EB8" w:rsidRPr="009118AB">
        <w:t>§ </w:t>
      </w:r>
      <w:r w:rsidRPr="009118AB">
        <w:t>2 erwähnte durchgeführte Untersuchung ein oder mehrere Indizien der Steuerhinterziehung ausgewiesen hat, kann er die verfügbaren Angaben über diesen Steuerpflichtigen bei der zentralen Kontaktstelle abfragen.</w:t>
      </w:r>
      <w:r w:rsidR="00A87522" w:rsidRPr="009118AB">
        <w:t xml:space="preserve"> [Gegebenenfalls können bei der zentralen Kontaktstelle Identifikationsdaten in Bezug auf Nummern von Konten abgefragt werden, die bei vorerwähnter Untersuchung entdeckt worden sind und deren Inhaber der Steuerpflichtige nicht identifiziert.]</w:t>
      </w:r>
    </w:p>
    <w:p w14:paraId="32453268" w14:textId="77777777" w:rsidR="003C54CA" w:rsidRPr="009118AB" w:rsidRDefault="003C54CA" w:rsidP="003C54CA">
      <w:pPr>
        <w:jc w:val="both"/>
      </w:pPr>
    </w:p>
    <w:p w14:paraId="23AB9B7F" w14:textId="77777777" w:rsidR="003C54CA" w:rsidRPr="009118AB" w:rsidRDefault="00FE654E" w:rsidP="00AC4A04">
      <w:pPr>
        <w:ind w:firstLine="708"/>
        <w:jc w:val="both"/>
      </w:pPr>
      <w:r w:rsidRPr="009118AB">
        <w:t>[</w:t>
      </w:r>
      <w:r w:rsidR="00AC4A04" w:rsidRPr="009118AB">
        <w:t>..</w:t>
      </w:r>
      <w:r w:rsidRPr="009118AB">
        <w:t>.]</w:t>
      </w:r>
    </w:p>
    <w:p w14:paraId="09791734" w14:textId="77777777" w:rsidR="004C5E96" w:rsidRPr="009118AB" w:rsidRDefault="004C5E96" w:rsidP="003C54CA">
      <w:pPr>
        <w:jc w:val="both"/>
      </w:pPr>
    </w:p>
    <w:p w14:paraId="057BE4FC" w14:textId="77777777" w:rsidR="004C5E96" w:rsidRPr="009118AB" w:rsidRDefault="004C5E96" w:rsidP="003C54CA">
      <w:pPr>
        <w:jc w:val="both"/>
        <w:rPr>
          <w:lang w:eastAsia="de-DE"/>
        </w:rPr>
      </w:pPr>
      <w:r w:rsidRPr="009118AB">
        <w:tab/>
        <w:t>[</w:t>
      </w:r>
      <w:r w:rsidRPr="009118AB">
        <w:rPr>
          <w:lang w:eastAsia="de-DE"/>
        </w:rPr>
        <w:t>Bank-, Wechsel-, Kredit- und Sparinstitute und die Belgische Nationalbank sind ausschließlich zum Zwecke der Einhaltung der Verpflichtungen des vorliegenden Para</w:t>
      </w:r>
      <w:r w:rsidRPr="009118AB">
        <w:rPr>
          <w:lang w:eastAsia="de-DE"/>
        </w:rPr>
        <w:softHyphen/>
        <w:t>graphen ermächtigt, die Erkennungsnummer des Nationalregisters der natürlichen Personen zu benutzen, um Kunden zu identifizieren.]</w:t>
      </w:r>
    </w:p>
    <w:p w14:paraId="7D0C48C5" w14:textId="77777777" w:rsidR="005D137B" w:rsidRPr="009118AB" w:rsidRDefault="005D137B" w:rsidP="003C54CA">
      <w:pPr>
        <w:jc w:val="both"/>
        <w:rPr>
          <w:lang w:eastAsia="de-DE"/>
        </w:rPr>
      </w:pPr>
    </w:p>
    <w:p w14:paraId="5B50BABB" w14:textId="77777777" w:rsidR="005D137B" w:rsidRPr="009118AB" w:rsidRDefault="005D137B" w:rsidP="003C54CA">
      <w:pPr>
        <w:jc w:val="both"/>
      </w:pPr>
      <w:r w:rsidRPr="009118AB">
        <w:rPr>
          <w:lang w:eastAsia="de-DE"/>
        </w:rPr>
        <w:tab/>
        <w:t>[</w:t>
      </w:r>
      <w:r w:rsidR="00AC4A04" w:rsidRPr="009118AB">
        <w:t>..</w:t>
      </w:r>
      <w:r w:rsidRPr="009118AB">
        <w:t>.]</w:t>
      </w:r>
    </w:p>
    <w:p w14:paraId="431879DD" w14:textId="77777777" w:rsidR="003C54CA" w:rsidRPr="009118AB" w:rsidRDefault="003C54CA" w:rsidP="003C54CA">
      <w:pPr>
        <w:jc w:val="both"/>
      </w:pPr>
    </w:p>
    <w:p w14:paraId="1D07FCA3" w14:textId="01C82A3F" w:rsidR="003C54CA" w:rsidRPr="009118AB" w:rsidRDefault="003C54CA" w:rsidP="003C54CA">
      <w:pPr>
        <w:jc w:val="both"/>
      </w:pPr>
      <w:r w:rsidRPr="009118AB">
        <w:tab/>
      </w:r>
      <w:r w:rsidR="00DE5934" w:rsidRPr="009118AB">
        <w:t>[</w:t>
      </w:r>
      <w:r w:rsidR="00D67EB8" w:rsidRPr="009118AB">
        <w:t>§ </w:t>
      </w:r>
      <w:r w:rsidRPr="009118AB">
        <w:t>4</w:t>
      </w:r>
      <w:r w:rsidR="00D67EB8" w:rsidRPr="009118AB">
        <w:t> - </w:t>
      </w:r>
      <w:r w:rsidRPr="009118AB">
        <w:t>Die Paragraphen 2 und 3 sind ebenfalls anwendbar, wenn ein ausländischer Staat um Auskünfte ersucht:</w:t>
      </w:r>
    </w:p>
    <w:p w14:paraId="5673BB86" w14:textId="77777777" w:rsidR="003C54CA" w:rsidRPr="009118AB" w:rsidRDefault="003C54CA" w:rsidP="003C54CA">
      <w:pPr>
        <w:jc w:val="both"/>
      </w:pPr>
    </w:p>
    <w:p w14:paraId="30EDFA5E" w14:textId="3F11CB8D" w:rsidR="003C54CA" w:rsidRPr="009118AB" w:rsidRDefault="003C54CA" w:rsidP="003C54CA">
      <w:pPr>
        <w:jc w:val="both"/>
      </w:pPr>
      <w:r w:rsidRPr="009118AB">
        <w:tab/>
        <w:t xml:space="preserve">1. entweder in dem in Artikel 338 </w:t>
      </w:r>
      <w:r w:rsidR="00D67EB8" w:rsidRPr="009118AB">
        <w:t>§ </w:t>
      </w:r>
      <w:r w:rsidRPr="009118AB">
        <w:t>5 erwähnten Fall</w:t>
      </w:r>
    </w:p>
    <w:p w14:paraId="34AAB733" w14:textId="77777777" w:rsidR="003C54CA" w:rsidRPr="009118AB" w:rsidRDefault="003C54CA" w:rsidP="003C54CA">
      <w:pPr>
        <w:jc w:val="both"/>
      </w:pPr>
    </w:p>
    <w:p w14:paraId="1442EB35" w14:textId="77777777" w:rsidR="003C54CA" w:rsidRPr="009118AB" w:rsidRDefault="003C54CA" w:rsidP="003C54CA">
      <w:pPr>
        <w:jc w:val="both"/>
      </w:pPr>
      <w:r w:rsidRPr="009118AB">
        <w:tab/>
        <w:t>2. oder gemäß Bestimmungen über den Auskunftsaustausch in einem anwendbaren Abkommen zur Vermeidung der Doppelbesteuerung oder einem anderen internationalen Abkommen, durch das die Gegenseitigkeit gewährleistet wird.</w:t>
      </w:r>
    </w:p>
    <w:p w14:paraId="66461543" w14:textId="77777777" w:rsidR="003C54CA" w:rsidRPr="009118AB" w:rsidRDefault="003C54CA" w:rsidP="003C54CA">
      <w:pPr>
        <w:jc w:val="both"/>
      </w:pPr>
    </w:p>
    <w:p w14:paraId="29AA9058" w14:textId="66EE425F" w:rsidR="003C54CA" w:rsidRPr="009118AB"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Das Ersuchen des ausländischen Staates wird mit einem in </w:t>
      </w:r>
      <w:r w:rsidR="00D67EB8" w:rsidRPr="009118AB">
        <w:t>§ </w:t>
      </w:r>
      <w:r w:rsidRPr="009118AB">
        <w:t xml:space="preserve">2 erwähnten Indiz gleichgesetzt. In diesem Fall erteilt der vom Minister bestimmte Bedienstete die Ermächtigung in Abweichung von </w:t>
      </w:r>
      <w:r w:rsidR="00D67EB8" w:rsidRPr="009118AB">
        <w:t>§ </w:t>
      </w:r>
      <w:r w:rsidRPr="009118AB">
        <w:t>2 auf der Grundlage des Ersuchens des ausländischen Staates.]</w:t>
      </w:r>
    </w:p>
    <w:p w14:paraId="0F70541E" w14:textId="77777777" w:rsidR="008B4DE4" w:rsidRPr="009118AB" w:rsidRDefault="008B4DE4"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357B5B3" w14:textId="3BC8F091" w:rsidR="008B4DE4" w:rsidRPr="009118AB" w:rsidRDefault="008B4DE4" w:rsidP="008B4DE4">
      <w:pPr>
        <w:jc w:val="both"/>
      </w:pPr>
      <w:r w:rsidRPr="009118AB">
        <w:tab/>
        <w:t>[</w:t>
      </w:r>
      <w:r w:rsidR="00D67EB8" w:rsidRPr="009118AB">
        <w:t>§ </w:t>
      </w:r>
      <w:r w:rsidRPr="009118AB">
        <w:t>5</w:t>
      </w:r>
      <w:r w:rsidR="00D67EB8" w:rsidRPr="009118AB">
        <w:t> - </w:t>
      </w:r>
      <w:r w:rsidRPr="009118AB">
        <w:t xml:space="preserve">Hat der in </w:t>
      </w:r>
      <w:r w:rsidR="00D67EB8" w:rsidRPr="009118AB">
        <w:t>§ </w:t>
      </w:r>
      <w:r w:rsidRPr="009118AB">
        <w:t xml:space="preserve">2 Absatz 3 erwähnte vom Minister bestimmte Bedienstete festgestellt, dass die in </w:t>
      </w:r>
      <w:r w:rsidR="00D67EB8" w:rsidRPr="009118AB">
        <w:t>§ </w:t>
      </w:r>
      <w:r w:rsidRPr="009118AB">
        <w:t>2 erwähnte Untersuchung ein oder mehrere Indizien der Steuer</w:t>
      </w:r>
      <w:r w:rsidRPr="009118AB">
        <w:softHyphen/>
        <w:t xml:space="preserve">hinterziehung ausgewiesen hat oder dass die durchgeführte Untersuchung Anleitung zu einer möglichen Anwendung von Artikel 341 gibt, kann er die verfügbaren </w:t>
      </w:r>
      <w:r w:rsidR="000C5F98" w:rsidRPr="009118AB">
        <w:t xml:space="preserve">[Angaben über die in Artikel 307 </w:t>
      </w:r>
      <w:r w:rsidR="00D67EB8" w:rsidRPr="009118AB">
        <w:t>§ </w:t>
      </w:r>
      <w:r w:rsidR="000C5F98" w:rsidRPr="009118AB">
        <w:t>1/1 Absatz 1 Buchstabe </w:t>
      </w:r>
      <w:r w:rsidR="000C5F98" w:rsidRPr="009118AB">
        <w:rPr>
          <w:i/>
        </w:rPr>
        <w:t>a)</w:t>
      </w:r>
      <w:r w:rsidR="000C5F98" w:rsidRPr="009118AB">
        <w:t>]</w:t>
      </w:r>
      <w:r w:rsidRPr="009118AB">
        <w:t xml:space="preserve"> erwähnten ausländischen Bankkonten dieses Steuerpflichtigen bei der zentralen Kontaktstelle abfragen.</w:t>
      </w:r>
    </w:p>
    <w:p w14:paraId="36E273B6" w14:textId="77777777" w:rsidR="00272588" w:rsidRPr="009118AB" w:rsidRDefault="00272588"/>
    <w:p w14:paraId="287DE53C" w14:textId="1B4C61C8" w:rsidR="008B4DE4" w:rsidRPr="009118AB" w:rsidRDefault="008B4DE4" w:rsidP="008B4D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Der König bestimmt die Modalitäten der Einsichtnahme in die </w:t>
      </w:r>
      <w:r w:rsidR="000C5F98" w:rsidRPr="009118AB">
        <w:t xml:space="preserve">[Angaben über die in Artikel 307 </w:t>
      </w:r>
      <w:r w:rsidR="00D67EB8" w:rsidRPr="009118AB">
        <w:t>§ </w:t>
      </w:r>
      <w:r w:rsidR="000C5F98" w:rsidRPr="009118AB">
        <w:t>1/1 Absatz 1 Buchstabe </w:t>
      </w:r>
      <w:r w:rsidR="000C5F98" w:rsidRPr="009118AB">
        <w:rPr>
          <w:i/>
        </w:rPr>
        <w:t>a)</w:t>
      </w:r>
      <w:r w:rsidR="000C5F98" w:rsidRPr="009118AB">
        <w:t>]</w:t>
      </w:r>
      <w:r w:rsidRPr="009118AB">
        <w:t xml:space="preserve"> erwähnten ausländischen Bankkonten durch den in </w:t>
      </w:r>
      <w:r w:rsidR="00D67EB8" w:rsidRPr="009118AB">
        <w:t>§ </w:t>
      </w:r>
      <w:r w:rsidRPr="009118AB">
        <w:t>2 Absatz 3 erwähnten vom Minister bestimmten Bediensteten.]</w:t>
      </w:r>
    </w:p>
    <w:p w14:paraId="00CFF9A8" w14:textId="77777777" w:rsidR="00BC3138" w:rsidRPr="009118AB" w:rsidRDefault="00BC3138" w:rsidP="005D137B">
      <w:pPr>
        <w:autoSpaceDE w:val="0"/>
        <w:autoSpaceDN w:val="0"/>
        <w:adjustRightInd w:val="0"/>
        <w:jc w:val="both"/>
      </w:pPr>
    </w:p>
    <w:p w14:paraId="45A940C0" w14:textId="4D673192" w:rsidR="003C54CA" w:rsidRPr="009118AB" w:rsidRDefault="003C54CA" w:rsidP="005D137B">
      <w:pPr>
        <w:autoSpaceDE w:val="0"/>
        <w:autoSpaceDN w:val="0"/>
        <w:adjustRightInd w:val="0"/>
        <w:jc w:val="both"/>
        <w:rPr>
          <w:i/>
          <w:iCs/>
        </w:rPr>
      </w:pPr>
      <w:r w:rsidRPr="009118AB">
        <w:rPr>
          <w:i/>
        </w:rPr>
        <w:t>[</w:t>
      </w:r>
      <w:r w:rsidR="00D67EB8" w:rsidRPr="009118AB">
        <w:rPr>
          <w:i/>
        </w:rPr>
        <w:t>Art. </w:t>
      </w:r>
      <w:r w:rsidRPr="009118AB">
        <w:rPr>
          <w:i/>
        </w:rPr>
        <w:t xml:space="preserve">322 </w:t>
      </w:r>
      <w:r w:rsidR="00D67EB8" w:rsidRPr="009118AB">
        <w:rPr>
          <w:i/>
        </w:rPr>
        <w:t>§ </w:t>
      </w:r>
      <w:r w:rsidRPr="009118AB">
        <w:rPr>
          <w:i/>
        </w:rPr>
        <w:t xml:space="preserve">1 (frühere Absätze 1 und 2) nummeriert durch </w:t>
      </w:r>
      <w:r w:rsidR="00D67EB8" w:rsidRPr="009118AB">
        <w:rPr>
          <w:i/>
        </w:rPr>
        <w:t>Art. </w:t>
      </w:r>
      <w:r w:rsidRPr="009118AB">
        <w:rPr>
          <w:i/>
        </w:rPr>
        <w:t xml:space="preserve">55 </w:t>
      </w:r>
      <w:r w:rsidRPr="009118AB">
        <w:rPr>
          <w:i/>
          <w:iCs/>
        </w:rPr>
        <w:t>des G. vom 14. April 2011 (B.S. vom 6. Mai 2011)</w:t>
      </w:r>
      <w:r w:rsidR="00D67EB8" w:rsidRPr="009118AB">
        <w:rPr>
          <w:i/>
          <w:iCs/>
        </w:rPr>
        <w:t> - </w:t>
      </w:r>
      <w:r w:rsidR="004C5E96" w:rsidRPr="009118AB">
        <w:rPr>
          <w:i/>
          <w:iCs/>
        </w:rPr>
        <w:t>in Kraft am 1. Juli 2011</w:t>
      </w:r>
      <w:r w:rsidR="003366D9" w:rsidRPr="009118AB">
        <w:rPr>
          <w:i/>
          <w:iCs/>
        </w:rPr>
        <w:t> -;</w:t>
      </w:r>
      <w:r w:rsidR="004C5E96" w:rsidRPr="009118AB">
        <w:rPr>
          <w:i/>
          <w:iCs/>
        </w:rPr>
        <w:t xml:space="preserve"> </w:t>
      </w:r>
      <w:r w:rsidR="00D67EB8" w:rsidRPr="009118AB">
        <w:rPr>
          <w:i/>
          <w:iCs/>
        </w:rPr>
        <w:t>§ </w:t>
      </w:r>
      <w:r w:rsidR="00471AB2" w:rsidRPr="009118AB">
        <w:rPr>
          <w:i/>
          <w:iCs/>
        </w:rPr>
        <w:t xml:space="preserve">1 neuer Absatz 2 eingefügt durch </w:t>
      </w:r>
      <w:r w:rsidR="00D67EB8" w:rsidRPr="009118AB">
        <w:rPr>
          <w:i/>
          <w:iCs/>
        </w:rPr>
        <w:t>Art. </w:t>
      </w:r>
      <w:r w:rsidR="00471AB2" w:rsidRPr="009118AB">
        <w:rPr>
          <w:i/>
          <w:iCs/>
        </w:rPr>
        <w:t xml:space="preserve">30 </w:t>
      </w:r>
      <w:r w:rsidR="00D67EB8" w:rsidRPr="009118AB">
        <w:rPr>
          <w:i/>
          <w:iCs/>
        </w:rPr>
        <w:t>Nr. </w:t>
      </w:r>
      <w:r w:rsidR="00471AB2" w:rsidRPr="009118AB">
        <w:rPr>
          <w:i/>
          <w:iCs/>
        </w:rPr>
        <w:t>1</w:t>
      </w:r>
      <w:r w:rsidR="00471AB2" w:rsidRPr="009118AB">
        <w:rPr>
          <w:i/>
          <w:iCs/>
          <w:spacing w:val="-2"/>
        </w:rPr>
        <w:t xml:space="preserve"> des G. vom 11. Februar 2019 (B.S. vom 22. März 2020); </w:t>
      </w:r>
      <w:r w:rsidR="00D67EB8" w:rsidRPr="009118AB">
        <w:rPr>
          <w:i/>
          <w:iCs/>
        </w:rPr>
        <w:t>§ </w:t>
      </w:r>
      <w:r w:rsidR="00D722E8" w:rsidRPr="009118AB">
        <w:rPr>
          <w:i/>
          <w:iCs/>
        </w:rPr>
        <w:t>1 neuer Absatz </w:t>
      </w:r>
      <w:r w:rsidR="00471AB2" w:rsidRPr="009118AB">
        <w:rPr>
          <w:i/>
          <w:iCs/>
        </w:rPr>
        <w:t>3</w:t>
      </w:r>
      <w:r w:rsidR="00D722E8" w:rsidRPr="009118AB">
        <w:rPr>
          <w:i/>
          <w:iCs/>
        </w:rPr>
        <w:t xml:space="preserve"> eingefügt durch </w:t>
      </w:r>
      <w:r w:rsidR="00D67EB8" w:rsidRPr="009118AB">
        <w:rPr>
          <w:i/>
          <w:iCs/>
        </w:rPr>
        <w:t>Art. </w:t>
      </w:r>
      <w:r w:rsidR="00D722E8" w:rsidRPr="009118AB">
        <w:rPr>
          <w:i/>
          <w:iCs/>
        </w:rPr>
        <w:t xml:space="preserve">83 </w:t>
      </w:r>
      <w:r w:rsidR="00D67EB8" w:rsidRPr="009118AB">
        <w:rPr>
          <w:i/>
          <w:iCs/>
        </w:rPr>
        <w:t>Nr. </w:t>
      </w:r>
      <w:r w:rsidR="00D722E8" w:rsidRPr="009118AB">
        <w:rPr>
          <w:i/>
          <w:iCs/>
        </w:rPr>
        <w:t>1 des G. vom 26. März 2018 (B.S. vom 30. März 2018)</w:t>
      </w:r>
      <w:r w:rsidR="00471AB2" w:rsidRPr="009118AB">
        <w:rPr>
          <w:i/>
          <w:iCs/>
        </w:rPr>
        <w:t xml:space="preserve"> und abgeändert durch </w:t>
      </w:r>
      <w:r w:rsidR="00D67EB8" w:rsidRPr="009118AB">
        <w:rPr>
          <w:i/>
          <w:iCs/>
        </w:rPr>
        <w:t>Art. </w:t>
      </w:r>
      <w:r w:rsidR="00471AB2" w:rsidRPr="009118AB">
        <w:rPr>
          <w:i/>
          <w:iCs/>
        </w:rPr>
        <w:t xml:space="preserve">30 </w:t>
      </w:r>
      <w:r w:rsidR="00D67EB8" w:rsidRPr="009118AB">
        <w:rPr>
          <w:i/>
          <w:iCs/>
        </w:rPr>
        <w:t>Nr. </w:t>
      </w:r>
      <w:r w:rsidR="00471AB2" w:rsidRPr="009118AB">
        <w:rPr>
          <w:i/>
          <w:iCs/>
        </w:rPr>
        <w:t>2</w:t>
      </w:r>
      <w:r w:rsidR="00471AB2" w:rsidRPr="009118AB">
        <w:rPr>
          <w:i/>
          <w:iCs/>
          <w:spacing w:val="-2"/>
        </w:rPr>
        <w:t xml:space="preserve"> des G. vom 11. Februar 2019 (B.S. vom 22. März 2020)</w:t>
      </w:r>
      <w:r w:rsidR="007D670E" w:rsidRPr="009118AB">
        <w:rPr>
          <w:i/>
          <w:iCs/>
          <w:spacing w:val="-2"/>
        </w:rPr>
        <w:t xml:space="preserve"> und </w:t>
      </w:r>
      <w:r w:rsidR="00D67EB8" w:rsidRPr="009118AB">
        <w:rPr>
          <w:i/>
          <w:iCs/>
          <w:spacing w:val="-2"/>
        </w:rPr>
        <w:t>Art. </w:t>
      </w:r>
      <w:r w:rsidR="007D670E" w:rsidRPr="009118AB">
        <w:rPr>
          <w:i/>
          <w:iCs/>
          <w:spacing w:val="-2"/>
        </w:rPr>
        <w:t>119</w:t>
      </w:r>
      <w:r w:rsidR="007D670E" w:rsidRPr="009118AB">
        <w:rPr>
          <w:bCs/>
          <w:i/>
          <w:iCs/>
          <w:sz w:val="20"/>
          <w:szCs w:val="20"/>
        </w:rPr>
        <w:t xml:space="preserve"> </w:t>
      </w:r>
      <w:r w:rsidR="007D670E" w:rsidRPr="009118AB">
        <w:rPr>
          <w:bCs/>
          <w:i/>
          <w:iCs/>
        </w:rPr>
        <w:t>des G. vom 21. Januar 2022 (B.S. vom 28. Januar 2022)</w:t>
      </w:r>
      <w:r w:rsidR="00D722E8" w:rsidRPr="009118AB">
        <w:rPr>
          <w:i/>
          <w:iCs/>
          <w:spacing w:val="-1"/>
        </w:rPr>
        <w:t xml:space="preserve">; </w:t>
      </w:r>
      <w:r w:rsidR="00D67EB8" w:rsidRPr="009118AB">
        <w:rPr>
          <w:i/>
          <w:iCs/>
        </w:rPr>
        <w:t>§ </w:t>
      </w:r>
      <w:r w:rsidR="005B2499" w:rsidRPr="009118AB">
        <w:rPr>
          <w:i/>
          <w:iCs/>
        </w:rPr>
        <w:t xml:space="preserve">1 </w:t>
      </w:r>
      <w:r w:rsidR="00471AB2" w:rsidRPr="009118AB">
        <w:rPr>
          <w:i/>
          <w:iCs/>
        </w:rPr>
        <w:t xml:space="preserve">früherer </w:t>
      </w:r>
      <w:r w:rsidR="005B2499" w:rsidRPr="009118AB">
        <w:rPr>
          <w:i/>
          <w:iCs/>
        </w:rPr>
        <w:t>Abs</w:t>
      </w:r>
      <w:r w:rsidR="00471AB2" w:rsidRPr="009118AB">
        <w:rPr>
          <w:i/>
          <w:iCs/>
        </w:rPr>
        <w:t>atz</w:t>
      </w:r>
      <w:r w:rsidR="00D722E8" w:rsidRPr="009118AB">
        <w:rPr>
          <w:i/>
          <w:iCs/>
        </w:rPr>
        <w:t> </w:t>
      </w:r>
      <w:r w:rsidR="00471AB2" w:rsidRPr="009118AB">
        <w:rPr>
          <w:i/>
          <w:iCs/>
        </w:rPr>
        <w:t>4</w:t>
      </w:r>
      <w:r w:rsidR="00D722E8" w:rsidRPr="009118AB">
        <w:rPr>
          <w:i/>
          <w:iCs/>
        </w:rPr>
        <w:t xml:space="preserve"> </w:t>
      </w:r>
      <w:r w:rsidR="00471AB2" w:rsidRPr="009118AB">
        <w:rPr>
          <w:i/>
          <w:iCs/>
        </w:rPr>
        <w:t xml:space="preserve">aufgehoben durch </w:t>
      </w:r>
      <w:r w:rsidR="00D67EB8" w:rsidRPr="009118AB">
        <w:rPr>
          <w:i/>
          <w:iCs/>
        </w:rPr>
        <w:t>Art. </w:t>
      </w:r>
      <w:r w:rsidR="00471AB2" w:rsidRPr="009118AB">
        <w:rPr>
          <w:i/>
          <w:iCs/>
        </w:rPr>
        <w:t xml:space="preserve">30 </w:t>
      </w:r>
      <w:r w:rsidR="00D67EB8" w:rsidRPr="009118AB">
        <w:rPr>
          <w:i/>
          <w:iCs/>
        </w:rPr>
        <w:t>Nr. </w:t>
      </w:r>
      <w:r w:rsidR="00471AB2" w:rsidRPr="009118AB">
        <w:rPr>
          <w:i/>
          <w:iCs/>
        </w:rPr>
        <w:t>3</w:t>
      </w:r>
      <w:r w:rsidR="00471AB2" w:rsidRPr="009118AB">
        <w:rPr>
          <w:i/>
          <w:iCs/>
          <w:spacing w:val="-2"/>
        </w:rPr>
        <w:t xml:space="preserve"> des G. vom 11. Februar 2019 (B.S. vom 22. März 2020)</w:t>
      </w:r>
      <w:r w:rsidR="005B2499" w:rsidRPr="009118AB">
        <w:rPr>
          <w:i/>
          <w:iCs/>
        </w:rPr>
        <w:t xml:space="preserve">; </w:t>
      </w:r>
      <w:r w:rsidR="00D67EB8" w:rsidRPr="009118AB">
        <w:rPr>
          <w:i/>
          <w:iCs/>
        </w:rPr>
        <w:t>§ </w:t>
      </w:r>
      <w:r w:rsidRPr="009118AB">
        <w:rPr>
          <w:i/>
          <w:iCs/>
        </w:rPr>
        <w:t xml:space="preserve">2 </w:t>
      </w:r>
      <w:r w:rsidRPr="009118AB">
        <w:rPr>
          <w:rFonts w:ascii="Times New Roman Italique" w:hAnsi="Times New Roman Italique"/>
          <w:i/>
          <w:iCs/>
          <w:spacing w:val="2"/>
        </w:rPr>
        <w:t xml:space="preserve">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55</w:t>
      </w:r>
      <w:r w:rsidRPr="009118AB">
        <w:rPr>
          <w:rFonts w:ascii="Times New Roman Italique" w:hAnsi="Times New Roman Italique"/>
          <w:i/>
          <w:spacing w:val="2"/>
        </w:rPr>
        <w:t xml:space="preserve"> </w:t>
      </w:r>
      <w:r w:rsidRPr="009118AB">
        <w:rPr>
          <w:rFonts w:ascii="Times New Roman Italique" w:hAnsi="Times New Roman Italique"/>
          <w:i/>
          <w:iCs/>
          <w:spacing w:val="2"/>
        </w:rPr>
        <w:t>des G. vom 14. April 2011 (B.S. vom 6. Mai 2011)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 Juli 2011</w:t>
      </w:r>
      <w:r w:rsidR="003366D9" w:rsidRPr="009118AB">
        <w:rPr>
          <w:rFonts w:ascii="Times New Roman Italique" w:hAnsi="Times New Roman Italique"/>
          <w:i/>
          <w:iCs/>
          <w:spacing w:val="2"/>
        </w:rPr>
        <w:t> -;</w:t>
      </w:r>
      <w:r w:rsidR="004C5E96"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74278D"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74278D" w:rsidRPr="009118AB">
        <w:rPr>
          <w:rFonts w:ascii="Times New Roman Italique" w:hAnsi="Times New Roman Italique"/>
          <w:i/>
          <w:iCs/>
          <w:spacing w:val="2"/>
        </w:rPr>
        <w:t xml:space="preserve">1 abgeändert durch </w:t>
      </w:r>
      <w:r w:rsidR="00D67EB8" w:rsidRPr="009118AB">
        <w:rPr>
          <w:rFonts w:ascii="Times New Roman Italique" w:hAnsi="Times New Roman Italique"/>
          <w:i/>
          <w:iCs/>
          <w:spacing w:val="2"/>
        </w:rPr>
        <w:t>Art. </w:t>
      </w:r>
      <w:r w:rsidR="0074278D" w:rsidRPr="009118AB">
        <w:rPr>
          <w:rFonts w:ascii="Times New Roman Italique" w:hAnsi="Times New Roman Italique"/>
          <w:i/>
          <w:iCs/>
          <w:spacing w:val="2"/>
        </w:rPr>
        <w:t xml:space="preserve">15 </w:t>
      </w:r>
      <w:r w:rsidR="00D67EB8" w:rsidRPr="009118AB">
        <w:rPr>
          <w:rFonts w:ascii="Times New Roman Italique" w:hAnsi="Times New Roman Italique"/>
          <w:i/>
          <w:iCs/>
          <w:spacing w:val="2"/>
        </w:rPr>
        <w:t>Nr. </w:t>
      </w:r>
      <w:r w:rsidR="0074278D" w:rsidRPr="009118AB">
        <w:rPr>
          <w:rFonts w:ascii="Times New Roman Italique" w:hAnsi="Times New Roman Italique"/>
          <w:i/>
          <w:iCs/>
          <w:spacing w:val="2"/>
        </w:rPr>
        <w:t>1</w:t>
      </w:r>
      <w:r w:rsidR="0074278D" w:rsidRPr="009118AB">
        <w:rPr>
          <w:i/>
        </w:rPr>
        <w:t xml:space="preserve"> des G. vom 20. Dezember 2019 (B.S. vom 30. Dezember 2019)</w:t>
      </w:r>
      <w:r w:rsidR="00D67EB8" w:rsidRPr="009118AB">
        <w:rPr>
          <w:i/>
        </w:rPr>
        <w:t> - </w:t>
      </w:r>
      <w:r w:rsidR="0074278D" w:rsidRPr="009118AB">
        <w:rPr>
          <w:i/>
        </w:rPr>
        <w:t>in Kraft am 1. Juli 2020</w:t>
      </w:r>
      <w:r w:rsidR="003366D9" w:rsidRPr="009118AB">
        <w:rPr>
          <w:i/>
        </w:rPr>
        <w:t> -;</w:t>
      </w:r>
      <w:r w:rsidR="0074278D" w:rsidRPr="009118AB">
        <w:rPr>
          <w:i/>
        </w:rPr>
        <w:t xml:space="preserve"> </w:t>
      </w:r>
      <w:r w:rsidR="00D67EB8" w:rsidRPr="009118AB">
        <w:rPr>
          <w:rFonts w:ascii="Times New Roman Italique" w:hAnsi="Times New Roman Italique"/>
          <w:i/>
          <w:iCs/>
          <w:spacing w:val="2"/>
        </w:rPr>
        <w:t>§ </w:t>
      </w:r>
      <w:r w:rsidR="005B2499"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5B2499"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5B2499" w:rsidRPr="009118AB">
        <w:rPr>
          <w:rFonts w:ascii="Times New Roman Italique" w:hAnsi="Times New Roman Italique"/>
          <w:i/>
          <w:iCs/>
          <w:spacing w:val="2"/>
        </w:rPr>
        <w:t xml:space="preserve">4 </w:t>
      </w:r>
      <w:r w:rsidR="00D67EB8" w:rsidRPr="009118AB">
        <w:rPr>
          <w:rFonts w:ascii="Times New Roman Italique" w:hAnsi="Times New Roman Italique"/>
          <w:i/>
          <w:iCs/>
          <w:spacing w:val="2"/>
        </w:rPr>
        <w:t>Nr. </w:t>
      </w:r>
      <w:r w:rsidR="005B2499" w:rsidRPr="009118AB">
        <w:rPr>
          <w:rFonts w:ascii="Times New Roman Italique" w:hAnsi="Times New Roman Italique"/>
          <w:i/>
          <w:iCs/>
          <w:spacing w:val="2"/>
        </w:rPr>
        <w:t xml:space="preserve">2 des </w:t>
      </w:r>
      <w:r w:rsidR="005B2499" w:rsidRPr="009118AB">
        <w:rPr>
          <w:rFonts w:ascii="Times New Roman Italique" w:hAnsi="Times New Roman Italique"/>
          <w:i/>
          <w:iCs/>
          <w:spacing w:val="-2"/>
        </w:rPr>
        <w:t xml:space="preserve">G. vom 27. April 2016 (B.S. vom 6. Mai 2016); </w:t>
      </w:r>
      <w:r w:rsidR="00D67EB8" w:rsidRPr="009118AB">
        <w:rPr>
          <w:rFonts w:ascii="Times New Roman Italique" w:hAnsi="Times New Roman Italique"/>
          <w:i/>
          <w:iCs/>
          <w:spacing w:val="-2"/>
        </w:rPr>
        <w:t>§ </w:t>
      </w:r>
      <w:r w:rsidR="0074278D"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74278D"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Nr. </w:t>
      </w:r>
      <w:r w:rsidR="0074278D"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74278D" w:rsidRPr="009118AB">
        <w:rPr>
          <w:rFonts w:ascii="Times New Roman Italique" w:hAnsi="Times New Roman Italique"/>
          <w:i/>
          <w:iCs/>
          <w:spacing w:val="-2"/>
        </w:rPr>
        <w:t xml:space="preserve">15 </w:t>
      </w:r>
      <w:r w:rsidR="00D67EB8" w:rsidRPr="009118AB">
        <w:rPr>
          <w:rFonts w:ascii="Times New Roman Italique" w:hAnsi="Times New Roman Italique"/>
          <w:i/>
          <w:iCs/>
          <w:spacing w:val="-2"/>
        </w:rPr>
        <w:t>Nr. </w:t>
      </w:r>
      <w:r w:rsidR="0074278D" w:rsidRPr="009118AB">
        <w:rPr>
          <w:rFonts w:ascii="Times New Roman Italique" w:hAnsi="Times New Roman Italique"/>
          <w:i/>
          <w:iCs/>
          <w:spacing w:val="-2"/>
        </w:rPr>
        <w:t>2</w:t>
      </w:r>
      <w:r w:rsidR="0074278D" w:rsidRPr="009118AB">
        <w:rPr>
          <w:i/>
          <w:spacing w:val="-2"/>
        </w:rPr>
        <w:t xml:space="preserve"> des G. vom 20. Dezember 2019 (B.S. vom 30. Dezember 2019)</w:t>
      </w:r>
      <w:r w:rsidR="00D67EB8" w:rsidRPr="009118AB">
        <w:rPr>
          <w:i/>
          <w:spacing w:val="-2"/>
        </w:rPr>
        <w:t> - </w:t>
      </w:r>
      <w:r w:rsidR="0074278D" w:rsidRPr="009118AB">
        <w:rPr>
          <w:i/>
          <w:spacing w:val="-2"/>
        </w:rPr>
        <w:t>in Kraft am 1. Juli 2020</w:t>
      </w:r>
      <w:r w:rsidR="003366D9" w:rsidRPr="009118AB">
        <w:rPr>
          <w:i/>
          <w:spacing w:val="-2"/>
        </w:rPr>
        <w:t> -;</w:t>
      </w:r>
      <w:r w:rsidR="0074278D" w:rsidRPr="009118AB">
        <w:rPr>
          <w:i/>
          <w:spacing w:val="-2"/>
        </w:rPr>
        <w:t xml:space="preserve"> </w:t>
      </w:r>
      <w:r w:rsidR="00D67EB8" w:rsidRPr="009118AB">
        <w:rPr>
          <w:rFonts w:ascii="Times New Roman Italique" w:hAnsi="Times New Roman Italique"/>
          <w:i/>
          <w:iCs/>
          <w:spacing w:val="-2"/>
        </w:rPr>
        <w:t>§ </w:t>
      </w:r>
      <w:r w:rsidR="004C5E96" w:rsidRPr="009118AB">
        <w:rPr>
          <w:rFonts w:ascii="Times New Roman Italique" w:hAnsi="Times New Roman Italique"/>
          <w:i/>
          <w:iCs/>
          <w:spacing w:val="-2"/>
        </w:rPr>
        <w:t xml:space="preserve">3 eingefügt durch </w:t>
      </w:r>
      <w:r w:rsidR="00D67EB8" w:rsidRPr="009118AB">
        <w:rPr>
          <w:rFonts w:ascii="Times New Roman Italique" w:hAnsi="Times New Roman Italique"/>
          <w:i/>
          <w:iCs/>
          <w:spacing w:val="-2"/>
        </w:rPr>
        <w:t>Art. </w:t>
      </w:r>
      <w:r w:rsidR="004C5E96" w:rsidRPr="009118AB">
        <w:rPr>
          <w:rFonts w:ascii="Times New Roman Italique" w:hAnsi="Times New Roman Italique"/>
          <w:i/>
          <w:iCs/>
          <w:spacing w:val="-2"/>
        </w:rPr>
        <w:t>55</w:t>
      </w:r>
      <w:r w:rsidR="004C5E96" w:rsidRPr="009118AB">
        <w:rPr>
          <w:rFonts w:ascii="Times New Roman Italique" w:hAnsi="Times New Roman Italique"/>
          <w:i/>
          <w:spacing w:val="-2"/>
        </w:rPr>
        <w:t xml:space="preserve"> </w:t>
      </w:r>
      <w:r w:rsidR="004C5E96" w:rsidRPr="009118AB">
        <w:rPr>
          <w:rFonts w:ascii="Times New Roman Italique" w:hAnsi="Times New Roman Italique"/>
          <w:i/>
          <w:iCs/>
          <w:spacing w:val="-2"/>
        </w:rPr>
        <w:t>des G. vom 14. April 2011 (B.S. vom 6. Mai 2011)</w:t>
      </w:r>
      <w:r w:rsidR="00D67EB8" w:rsidRPr="009118AB">
        <w:rPr>
          <w:rFonts w:ascii="Times New Roman Italique" w:hAnsi="Times New Roman Italique"/>
          <w:i/>
          <w:iCs/>
          <w:spacing w:val="-2"/>
        </w:rPr>
        <w:t> - </w:t>
      </w:r>
      <w:r w:rsidR="004C5E96" w:rsidRPr="009118AB">
        <w:rPr>
          <w:rFonts w:ascii="Times New Roman Italique" w:hAnsi="Times New Roman Italique"/>
          <w:i/>
          <w:iCs/>
          <w:spacing w:val="-2"/>
        </w:rPr>
        <w:t>in Kraft am</w:t>
      </w:r>
      <w:r w:rsidR="004C5E96" w:rsidRPr="009118AB">
        <w:rPr>
          <w:rFonts w:ascii="Times New Roman Italique" w:hAnsi="Times New Roman Italique"/>
          <w:i/>
          <w:iCs/>
          <w:spacing w:val="2"/>
        </w:rPr>
        <w:t xml:space="preserve"> 1. Juli 2011</w:t>
      </w:r>
      <w:r w:rsidR="003366D9" w:rsidRPr="009118AB">
        <w:rPr>
          <w:rFonts w:ascii="Times New Roman Italique" w:hAnsi="Times New Roman Italique"/>
          <w:i/>
          <w:iCs/>
          <w:spacing w:val="2"/>
        </w:rPr>
        <w:t> -;</w:t>
      </w:r>
      <w:r w:rsidR="004C5E96"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5D137B"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Abs. </w:t>
      </w:r>
      <w:r w:rsidR="005D137B" w:rsidRPr="009118AB">
        <w:rPr>
          <w:rFonts w:ascii="Times New Roman Italique" w:hAnsi="Times New Roman Italique"/>
          <w:i/>
          <w:iCs/>
          <w:spacing w:val="2"/>
        </w:rPr>
        <w:t>1 er</w:t>
      </w:r>
      <w:r w:rsidR="00272588" w:rsidRPr="009118AB">
        <w:rPr>
          <w:rFonts w:ascii="Times New Roman Italique" w:hAnsi="Times New Roman Italique"/>
          <w:i/>
          <w:iCs/>
          <w:spacing w:val="2"/>
        </w:rPr>
        <w:t>set</w:t>
      </w:r>
      <w:r w:rsidR="005D137B" w:rsidRPr="009118AB">
        <w:rPr>
          <w:rFonts w:ascii="Times New Roman Italique" w:hAnsi="Times New Roman Italique"/>
          <w:i/>
          <w:iCs/>
          <w:spacing w:val="2"/>
        </w:rPr>
        <w:t xml:space="preserve">zt durch </w:t>
      </w:r>
      <w:r w:rsidR="00D67EB8" w:rsidRPr="009118AB">
        <w:rPr>
          <w:rFonts w:ascii="Times New Roman Italique" w:hAnsi="Times New Roman Italique"/>
          <w:i/>
          <w:iCs/>
          <w:spacing w:val="2"/>
        </w:rPr>
        <w:t>Art. </w:t>
      </w:r>
      <w:r w:rsidR="008876EE" w:rsidRPr="009118AB">
        <w:rPr>
          <w:rFonts w:ascii="Times New Roman Italique" w:hAnsi="Times New Roman Italique"/>
          <w:i/>
          <w:iCs/>
          <w:spacing w:val="2"/>
        </w:rPr>
        <w:t>18</w:t>
      </w:r>
      <w:r w:rsidR="008876EE" w:rsidRPr="009118AB">
        <w:rPr>
          <w:rFonts w:ascii="Times New Roman Italique" w:hAnsi="Times New Roman Italique"/>
          <w:i/>
        </w:rPr>
        <w:t xml:space="preserve"> des G. vom 20. Dezember 2020</w:t>
      </w:r>
      <w:r w:rsidR="00B43C02" w:rsidRPr="009118AB">
        <w:rPr>
          <w:rFonts w:ascii="Times New Roman Italique" w:hAnsi="Times New Roman Italique"/>
          <w:i/>
        </w:rPr>
        <w:t> (I)</w:t>
      </w:r>
      <w:r w:rsidR="008876EE" w:rsidRPr="009118AB">
        <w:rPr>
          <w:rFonts w:ascii="Times New Roman Italique" w:hAnsi="Times New Roman Italique"/>
          <w:i/>
        </w:rPr>
        <w:t xml:space="preserve"> (B.S. vom 30. Dezember 2020)</w:t>
      </w:r>
      <w:r w:rsidR="00D67EB8" w:rsidRPr="009118AB">
        <w:rPr>
          <w:rFonts w:ascii="Times New Roman Italique" w:hAnsi="Times New Roman Italique"/>
          <w:i/>
        </w:rPr>
        <w:t> - </w:t>
      </w:r>
      <w:r w:rsidR="008876EE" w:rsidRPr="009118AB">
        <w:rPr>
          <w:rFonts w:ascii="Times New Roman Italique" w:hAnsi="Times New Roman Italique"/>
          <w:i/>
        </w:rPr>
        <w:t>in Kraft am 31. Dezember 2020</w:t>
      </w:r>
      <w:r w:rsidR="003366D9" w:rsidRPr="009118AB">
        <w:rPr>
          <w:rFonts w:ascii="Times New Roman Italique" w:hAnsi="Times New Roman Italique"/>
          <w:i/>
        </w:rPr>
        <w:t> -;</w:t>
      </w:r>
      <w:r w:rsidR="008876EE" w:rsidRPr="009118AB">
        <w:rPr>
          <w:i/>
          <w:iCs/>
        </w:rPr>
        <w:t xml:space="preserve"> </w:t>
      </w:r>
      <w:r w:rsidR="00D67EB8" w:rsidRPr="009118AB">
        <w:rPr>
          <w:i/>
          <w:iCs/>
        </w:rPr>
        <w:t>§ </w:t>
      </w:r>
      <w:r w:rsidR="008876EE" w:rsidRPr="009118AB">
        <w:rPr>
          <w:i/>
          <w:iCs/>
        </w:rPr>
        <w:t xml:space="preserve">3 neue Absätze 2 und 3 eingefügt durch </w:t>
      </w:r>
      <w:r w:rsidR="00D67EB8" w:rsidRPr="009118AB">
        <w:rPr>
          <w:i/>
          <w:iCs/>
        </w:rPr>
        <w:t>Art. </w:t>
      </w:r>
      <w:r w:rsidR="008876EE" w:rsidRPr="009118AB">
        <w:rPr>
          <w:rFonts w:ascii="Times New Roman Italique" w:hAnsi="Times New Roman Italique"/>
          <w:i/>
          <w:iCs/>
          <w:spacing w:val="2"/>
        </w:rPr>
        <w:t>18</w:t>
      </w:r>
      <w:r w:rsidR="008876EE" w:rsidRPr="009118AB">
        <w:rPr>
          <w:rFonts w:ascii="Times New Roman Italique" w:hAnsi="Times New Roman Italique"/>
          <w:i/>
        </w:rPr>
        <w:t xml:space="preserve"> des G. vom 20. Dezember 2020</w:t>
      </w:r>
      <w:r w:rsidR="00B43C02" w:rsidRPr="009118AB">
        <w:rPr>
          <w:rFonts w:ascii="Times New Roman Italique" w:hAnsi="Times New Roman Italique"/>
          <w:i/>
        </w:rPr>
        <w:t> (I)</w:t>
      </w:r>
      <w:r w:rsidR="008876EE" w:rsidRPr="009118AB">
        <w:rPr>
          <w:rFonts w:ascii="Times New Roman Italique" w:hAnsi="Times New Roman Italique"/>
          <w:i/>
        </w:rPr>
        <w:t xml:space="preserve"> (B.S. vom 30. Dezember 2020)</w:t>
      </w:r>
      <w:r w:rsidR="00D67EB8" w:rsidRPr="009118AB">
        <w:rPr>
          <w:rFonts w:ascii="Times New Roman Italique" w:hAnsi="Times New Roman Italique"/>
          <w:i/>
        </w:rPr>
        <w:t> - </w:t>
      </w:r>
      <w:r w:rsidR="008876EE" w:rsidRPr="009118AB">
        <w:rPr>
          <w:rFonts w:ascii="Times New Roman Italique" w:hAnsi="Times New Roman Italique"/>
          <w:i/>
        </w:rPr>
        <w:t>in Kraft am 31. Dezember 2020</w:t>
      </w:r>
      <w:r w:rsidR="003366D9" w:rsidRPr="009118AB">
        <w:rPr>
          <w:rFonts w:ascii="Times New Roman Italique" w:hAnsi="Times New Roman Italique"/>
          <w:i/>
        </w:rPr>
        <w:t> -;</w:t>
      </w:r>
      <w:r w:rsidR="005D137B" w:rsidRPr="009118AB">
        <w:rPr>
          <w:i/>
          <w:iCs/>
        </w:rPr>
        <w:t xml:space="preserve"> </w:t>
      </w:r>
      <w:r w:rsidR="00D67EB8" w:rsidRPr="009118AB">
        <w:rPr>
          <w:i/>
          <w:iCs/>
        </w:rPr>
        <w:t>§ </w:t>
      </w:r>
      <w:r w:rsidR="00A87522" w:rsidRPr="009118AB">
        <w:rPr>
          <w:i/>
          <w:iCs/>
        </w:rPr>
        <w:t xml:space="preserve">3 </w:t>
      </w:r>
      <w:r w:rsidR="00D67EB8" w:rsidRPr="009118AB">
        <w:rPr>
          <w:i/>
          <w:iCs/>
        </w:rPr>
        <w:t>Abs. </w:t>
      </w:r>
      <w:r w:rsidR="008876EE" w:rsidRPr="009118AB">
        <w:rPr>
          <w:i/>
          <w:iCs/>
        </w:rPr>
        <w:t xml:space="preserve">4 (früherer </w:t>
      </w:r>
      <w:r w:rsidR="00A87522" w:rsidRPr="009118AB">
        <w:rPr>
          <w:i/>
          <w:iCs/>
        </w:rPr>
        <w:t>Abs</w:t>
      </w:r>
      <w:r w:rsidR="008876EE" w:rsidRPr="009118AB">
        <w:rPr>
          <w:i/>
          <w:iCs/>
        </w:rPr>
        <w:t>atz</w:t>
      </w:r>
      <w:r w:rsidR="00A87522" w:rsidRPr="009118AB">
        <w:rPr>
          <w:i/>
          <w:iCs/>
        </w:rPr>
        <w:t> 2</w:t>
      </w:r>
      <w:r w:rsidR="008876EE" w:rsidRPr="009118AB">
        <w:rPr>
          <w:i/>
          <w:iCs/>
        </w:rPr>
        <w:t>)</w:t>
      </w:r>
      <w:r w:rsidR="00A87522" w:rsidRPr="009118AB">
        <w:rPr>
          <w:i/>
          <w:iCs/>
        </w:rPr>
        <w:t xml:space="preserve"> ergänzt durch </w:t>
      </w:r>
      <w:r w:rsidR="00D67EB8" w:rsidRPr="009118AB">
        <w:rPr>
          <w:i/>
          <w:iCs/>
        </w:rPr>
        <w:t>Art. </w:t>
      </w:r>
      <w:r w:rsidR="00A87522" w:rsidRPr="009118AB">
        <w:rPr>
          <w:i/>
          <w:iCs/>
        </w:rPr>
        <w:t xml:space="preserve">2 des G. vom 30. Juni 2017 (III) (B.S. vom 7. Juli 2017); </w:t>
      </w:r>
      <w:r w:rsidR="00D67EB8" w:rsidRPr="009118AB">
        <w:rPr>
          <w:i/>
          <w:iCs/>
        </w:rPr>
        <w:t>§ </w:t>
      </w:r>
      <w:r w:rsidR="00FE654E" w:rsidRPr="009118AB">
        <w:rPr>
          <w:i/>
          <w:iCs/>
        </w:rPr>
        <w:t xml:space="preserve">3 </w:t>
      </w:r>
      <w:r w:rsidR="00272588" w:rsidRPr="009118AB">
        <w:rPr>
          <w:i/>
          <w:iCs/>
        </w:rPr>
        <w:t xml:space="preserve">früherer </w:t>
      </w:r>
      <w:r w:rsidR="00FE654E" w:rsidRPr="009118AB">
        <w:rPr>
          <w:i/>
          <w:iCs/>
        </w:rPr>
        <w:t>Abs</w:t>
      </w:r>
      <w:r w:rsidR="00272588" w:rsidRPr="009118AB">
        <w:rPr>
          <w:i/>
          <w:iCs/>
        </w:rPr>
        <w:t>atz</w:t>
      </w:r>
      <w:r w:rsidR="00FE654E" w:rsidRPr="009118AB">
        <w:rPr>
          <w:i/>
          <w:iCs/>
        </w:rPr>
        <w:t> </w:t>
      </w:r>
      <w:r w:rsidR="008876EE" w:rsidRPr="009118AB">
        <w:rPr>
          <w:i/>
          <w:iCs/>
        </w:rPr>
        <w:t>5</w:t>
      </w:r>
      <w:r w:rsidR="00FE654E" w:rsidRPr="009118AB">
        <w:rPr>
          <w:i/>
          <w:iCs/>
        </w:rPr>
        <w:t xml:space="preserve"> </w:t>
      </w:r>
      <w:r w:rsidR="00272588" w:rsidRPr="009118AB">
        <w:rPr>
          <w:i/>
          <w:iCs/>
        </w:rPr>
        <w:t>aufgehoben</w:t>
      </w:r>
      <w:r w:rsidR="00FE654E" w:rsidRPr="009118AB">
        <w:rPr>
          <w:i/>
          <w:iCs/>
        </w:rPr>
        <w:t xml:space="preserve"> durch </w:t>
      </w:r>
      <w:r w:rsidR="00D67EB8" w:rsidRPr="009118AB">
        <w:rPr>
          <w:i/>
          <w:iCs/>
        </w:rPr>
        <w:t>Art. </w:t>
      </w:r>
      <w:r w:rsidR="00272588" w:rsidRPr="009118AB">
        <w:rPr>
          <w:i/>
          <w:iCs/>
        </w:rPr>
        <w:t xml:space="preserve">14 </w:t>
      </w:r>
      <w:r w:rsidR="00D67EB8" w:rsidRPr="009118AB">
        <w:rPr>
          <w:i/>
          <w:iCs/>
        </w:rPr>
        <w:t>Nr. </w:t>
      </w:r>
      <w:r w:rsidR="00272588" w:rsidRPr="009118AB">
        <w:rPr>
          <w:i/>
          <w:iCs/>
        </w:rPr>
        <w:t>2 des G. vom 8. Juli 2018 (B.S. vom 16. Juli 2018)</w:t>
      </w:r>
      <w:r w:rsidR="00FE654E" w:rsidRPr="009118AB">
        <w:rPr>
          <w:i/>
          <w:iCs/>
        </w:rPr>
        <w:t xml:space="preserve">; </w:t>
      </w:r>
      <w:r w:rsidR="00D67EB8" w:rsidRPr="009118AB">
        <w:rPr>
          <w:i/>
          <w:iCs/>
        </w:rPr>
        <w:t>§ </w:t>
      </w:r>
      <w:r w:rsidR="004C5E96" w:rsidRPr="009118AB">
        <w:rPr>
          <w:i/>
          <w:iCs/>
        </w:rPr>
        <w:t>3</w:t>
      </w:r>
      <w:r w:rsidR="00C1774D" w:rsidRPr="009118AB">
        <w:rPr>
          <w:i/>
          <w:iCs/>
        </w:rPr>
        <w:t xml:space="preserve"> </w:t>
      </w:r>
      <w:r w:rsidR="00D67EB8" w:rsidRPr="009118AB">
        <w:rPr>
          <w:i/>
          <w:iCs/>
        </w:rPr>
        <w:t>Abs. </w:t>
      </w:r>
      <w:r w:rsidR="008876EE" w:rsidRPr="009118AB">
        <w:rPr>
          <w:i/>
          <w:iCs/>
        </w:rPr>
        <w:t>5</w:t>
      </w:r>
      <w:r w:rsidR="00C1774D" w:rsidRPr="009118AB">
        <w:rPr>
          <w:i/>
          <w:iCs/>
        </w:rPr>
        <w:t xml:space="preserve"> (früherer</w:t>
      </w:r>
      <w:r w:rsidR="004C5E96" w:rsidRPr="009118AB">
        <w:rPr>
          <w:i/>
          <w:iCs/>
        </w:rPr>
        <w:t xml:space="preserve"> Abs</w:t>
      </w:r>
      <w:r w:rsidR="00C1774D" w:rsidRPr="009118AB">
        <w:rPr>
          <w:i/>
          <w:iCs/>
        </w:rPr>
        <w:t>atz</w:t>
      </w:r>
      <w:r w:rsidR="004C5E96" w:rsidRPr="009118AB">
        <w:rPr>
          <w:i/>
          <w:iCs/>
        </w:rPr>
        <w:t> </w:t>
      </w:r>
      <w:r w:rsidR="008876EE" w:rsidRPr="009118AB">
        <w:rPr>
          <w:i/>
          <w:iCs/>
        </w:rPr>
        <w:t>6</w:t>
      </w:r>
      <w:r w:rsidR="00C1774D" w:rsidRPr="009118AB">
        <w:rPr>
          <w:i/>
          <w:iCs/>
        </w:rPr>
        <w:t>)</w:t>
      </w:r>
      <w:r w:rsidR="004C5E96" w:rsidRPr="009118AB">
        <w:rPr>
          <w:i/>
          <w:iCs/>
        </w:rPr>
        <w:t xml:space="preserve"> eingefügt durch </w:t>
      </w:r>
      <w:r w:rsidR="00D67EB8" w:rsidRPr="009118AB">
        <w:rPr>
          <w:i/>
          <w:iCs/>
        </w:rPr>
        <w:t>Art. </w:t>
      </w:r>
      <w:r w:rsidR="004C5E96" w:rsidRPr="009118AB">
        <w:rPr>
          <w:i/>
          <w:iCs/>
        </w:rPr>
        <w:t>17 des G. vom 28. Dezember 2011 (B.S. vom 30. Dezember 2011);</w:t>
      </w:r>
      <w:r w:rsidR="005D137B" w:rsidRPr="009118AB">
        <w:rPr>
          <w:i/>
          <w:iCs/>
        </w:rPr>
        <w:t xml:space="preserve"> </w:t>
      </w:r>
      <w:r w:rsidR="00D67EB8" w:rsidRPr="009118AB">
        <w:rPr>
          <w:i/>
          <w:iCs/>
        </w:rPr>
        <w:t>§ </w:t>
      </w:r>
      <w:r w:rsidR="005D137B" w:rsidRPr="009118AB">
        <w:rPr>
          <w:i/>
          <w:iCs/>
        </w:rPr>
        <w:t xml:space="preserve">3 </w:t>
      </w:r>
      <w:r w:rsidR="00D67EB8" w:rsidRPr="009118AB">
        <w:rPr>
          <w:i/>
          <w:iCs/>
        </w:rPr>
        <w:t>Abs. </w:t>
      </w:r>
      <w:r w:rsidR="008876EE" w:rsidRPr="009118AB">
        <w:rPr>
          <w:i/>
          <w:iCs/>
        </w:rPr>
        <w:t>6</w:t>
      </w:r>
      <w:r w:rsidR="00C1774D" w:rsidRPr="009118AB">
        <w:rPr>
          <w:i/>
          <w:iCs/>
        </w:rPr>
        <w:t xml:space="preserve"> (früherer Absatz </w:t>
      </w:r>
      <w:r w:rsidR="008876EE" w:rsidRPr="009118AB">
        <w:rPr>
          <w:i/>
          <w:iCs/>
        </w:rPr>
        <w:t>7</w:t>
      </w:r>
      <w:r w:rsidR="00C1774D" w:rsidRPr="009118AB">
        <w:rPr>
          <w:i/>
          <w:iCs/>
        </w:rPr>
        <w:t>)</w:t>
      </w:r>
      <w:r w:rsidR="005D137B" w:rsidRPr="009118AB">
        <w:rPr>
          <w:i/>
          <w:iCs/>
        </w:rPr>
        <w:t xml:space="preserve"> eingefügt durch </w:t>
      </w:r>
      <w:r w:rsidR="00D67EB8" w:rsidRPr="009118AB">
        <w:rPr>
          <w:i/>
          <w:iCs/>
        </w:rPr>
        <w:t>Art. </w:t>
      </w:r>
      <w:r w:rsidR="005D137B" w:rsidRPr="009118AB">
        <w:rPr>
          <w:i/>
          <w:iCs/>
        </w:rPr>
        <w:t xml:space="preserve">30 </w:t>
      </w:r>
      <w:r w:rsidR="00D67EB8" w:rsidRPr="009118AB">
        <w:rPr>
          <w:i/>
          <w:iCs/>
        </w:rPr>
        <w:t>Nr. </w:t>
      </w:r>
      <w:r w:rsidR="005D137B" w:rsidRPr="009118AB">
        <w:rPr>
          <w:i/>
          <w:iCs/>
        </w:rPr>
        <w:t>2 des G. vom 17. Juni 2013 (B.S. vom 28. Juni 2013)</w:t>
      </w:r>
      <w:r w:rsidR="00272588" w:rsidRPr="009118AB">
        <w:rPr>
          <w:i/>
          <w:iCs/>
        </w:rPr>
        <w:t xml:space="preserve"> und aufgehoben durch </w:t>
      </w:r>
      <w:r w:rsidR="00D67EB8" w:rsidRPr="009118AB">
        <w:rPr>
          <w:i/>
          <w:iCs/>
        </w:rPr>
        <w:t>Art. </w:t>
      </w:r>
      <w:r w:rsidR="00272588" w:rsidRPr="009118AB">
        <w:rPr>
          <w:i/>
          <w:iCs/>
        </w:rPr>
        <w:t xml:space="preserve">14 </w:t>
      </w:r>
      <w:r w:rsidR="00D67EB8" w:rsidRPr="009118AB">
        <w:rPr>
          <w:i/>
          <w:iCs/>
        </w:rPr>
        <w:t>Nr. </w:t>
      </w:r>
      <w:r w:rsidR="00272588" w:rsidRPr="009118AB">
        <w:rPr>
          <w:i/>
          <w:iCs/>
        </w:rPr>
        <w:t xml:space="preserve">3 des G. vom 8. Juli 2018 (B.S. vom </w:t>
      </w:r>
      <w:r w:rsidR="00272588" w:rsidRPr="009118AB">
        <w:rPr>
          <w:rFonts w:ascii="Times New Roman Italique" w:hAnsi="Times New Roman Italique"/>
          <w:i/>
          <w:iCs/>
          <w:spacing w:val="-2"/>
        </w:rPr>
        <w:t>16. Juli 2018)</w:t>
      </w:r>
      <w:r w:rsidR="005D137B" w:rsidRPr="009118AB">
        <w:rPr>
          <w:rFonts w:ascii="Times New Roman Italique" w:hAnsi="Times New Roman Italique"/>
          <w:i/>
          <w:iCs/>
          <w:spacing w:val="-2"/>
        </w:rPr>
        <w:t>;</w:t>
      </w:r>
      <w:r w:rsidR="00C83EA3"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4C5E96"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004C5E96" w:rsidRPr="009118AB">
        <w:rPr>
          <w:rFonts w:ascii="Times New Roman Italique" w:hAnsi="Times New Roman Italique"/>
          <w:i/>
          <w:iCs/>
          <w:spacing w:val="-2"/>
        </w:rPr>
        <w:t>55</w:t>
      </w:r>
      <w:r w:rsidR="004C5E96" w:rsidRPr="009118AB">
        <w:rPr>
          <w:rFonts w:ascii="Times New Roman Italique" w:hAnsi="Times New Roman Italique"/>
          <w:i/>
          <w:spacing w:val="-2"/>
        </w:rPr>
        <w:t xml:space="preserve"> </w:t>
      </w:r>
      <w:r w:rsidR="004C5E96" w:rsidRPr="009118AB">
        <w:rPr>
          <w:rFonts w:ascii="Times New Roman Italique" w:hAnsi="Times New Roman Italique"/>
          <w:i/>
          <w:iCs/>
          <w:spacing w:val="-2"/>
        </w:rPr>
        <w:t>des G. vom 14. April 2011 (B.S. vom 6. Mai 2011)</w:t>
      </w:r>
      <w:r w:rsidR="00D67EB8" w:rsidRPr="009118AB">
        <w:rPr>
          <w:rFonts w:ascii="Times New Roman Italique" w:hAnsi="Times New Roman Italique"/>
          <w:i/>
          <w:iCs/>
          <w:spacing w:val="-2"/>
        </w:rPr>
        <w:t> - </w:t>
      </w:r>
      <w:r w:rsidR="004C5E96" w:rsidRPr="009118AB">
        <w:rPr>
          <w:rFonts w:ascii="Times New Roman Italique" w:hAnsi="Times New Roman Italique"/>
          <w:i/>
          <w:iCs/>
          <w:spacing w:val="-2"/>
        </w:rPr>
        <w:t>in Kraft am 1. Juli 2011</w:t>
      </w:r>
      <w:r w:rsidR="003366D9" w:rsidRPr="009118AB">
        <w:rPr>
          <w:rFonts w:ascii="Times New Roman Italique" w:hAnsi="Times New Roman Italique"/>
          <w:i/>
          <w:iCs/>
          <w:spacing w:val="-2"/>
        </w:rPr>
        <w:t> -;</w:t>
      </w:r>
      <w:r w:rsidR="008B4DE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8B4DE4" w:rsidRPr="009118AB">
        <w:rPr>
          <w:rFonts w:ascii="Times New Roman Italique" w:hAnsi="Times New Roman Italique"/>
          <w:i/>
          <w:iCs/>
          <w:spacing w:val="-2"/>
        </w:rPr>
        <w:t xml:space="preserve">5 eingefügt durch </w:t>
      </w:r>
      <w:r w:rsidR="00D67EB8" w:rsidRPr="009118AB">
        <w:rPr>
          <w:rFonts w:ascii="Times New Roman Italique" w:hAnsi="Times New Roman Italique"/>
          <w:i/>
          <w:iCs/>
          <w:spacing w:val="-2"/>
        </w:rPr>
        <w:t>Art. </w:t>
      </w:r>
      <w:r w:rsidR="008B4DE4" w:rsidRPr="009118AB">
        <w:rPr>
          <w:rFonts w:ascii="Times New Roman Italique" w:hAnsi="Times New Roman Italique"/>
          <w:i/>
          <w:iCs/>
          <w:spacing w:val="-2"/>
        </w:rPr>
        <w:t>176 des G. vom 25. April 2014 (B.S. vom 7. Mai 2014)</w:t>
      </w:r>
      <w:r w:rsidR="00D67EB8" w:rsidRPr="009118AB">
        <w:rPr>
          <w:rFonts w:ascii="Times New Roman Italique" w:hAnsi="Times New Roman Italique"/>
          <w:i/>
          <w:iCs/>
          <w:spacing w:val="-2"/>
        </w:rPr>
        <w:t> - </w:t>
      </w:r>
      <w:r w:rsidR="008B4DE4" w:rsidRPr="009118AB">
        <w:rPr>
          <w:rFonts w:ascii="Times New Roman Italique" w:hAnsi="Times New Roman Italique"/>
          <w:i/>
          <w:iCs/>
          <w:spacing w:val="-2"/>
        </w:rPr>
        <w:t>in Kraft ab dem 7. Mai 2014</w:t>
      </w:r>
      <w:r w:rsidR="003366D9" w:rsidRPr="009118AB">
        <w:rPr>
          <w:rFonts w:ascii="Times New Roman Italique" w:hAnsi="Times New Roman Italique"/>
          <w:i/>
          <w:iCs/>
          <w:spacing w:val="-2"/>
        </w:rPr>
        <w:t> -;</w:t>
      </w:r>
      <w:r w:rsidR="000C5F98"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0C5F98" w:rsidRPr="009118AB">
        <w:rPr>
          <w:rFonts w:ascii="Times New Roman Italique" w:hAnsi="Times New Roman Italique"/>
          <w:i/>
          <w:iCs/>
          <w:spacing w:val="-2"/>
        </w:rPr>
        <w:t xml:space="preserve">5 </w:t>
      </w:r>
      <w:r w:rsidR="00D67EB8" w:rsidRPr="009118AB">
        <w:rPr>
          <w:rFonts w:ascii="Times New Roman Italique" w:hAnsi="Times New Roman Italique"/>
          <w:i/>
          <w:iCs/>
          <w:spacing w:val="-2"/>
        </w:rPr>
        <w:t>Abs. </w:t>
      </w:r>
      <w:r w:rsidR="000C5F98" w:rsidRPr="009118AB">
        <w:rPr>
          <w:rFonts w:ascii="Times New Roman Italique" w:hAnsi="Times New Roman Italique"/>
          <w:i/>
          <w:iCs/>
          <w:spacing w:val="-2"/>
        </w:rPr>
        <w:t xml:space="preserve">1 und 2 abgeändert durch </w:t>
      </w:r>
      <w:r w:rsidR="00D67EB8" w:rsidRPr="009118AB">
        <w:rPr>
          <w:rFonts w:ascii="Times New Roman Italique" w:hAnsi="Times New Roman Italique"/>
          <w:i/>
          <w:iCs/>
          <w:spacing w:val="-2"/>
        </w:rPr>
        <w:t>Art. </w:t>
      </w:r>
      <w:r w:rsidR="000C5F98" w:rsidRPr="009118AB">
        <w:rPr>
          <w:rFonts w:ascii="Times New Roman Italique" w:hAnsi="Times New Roman Italique"/>
          <w:i/>
          <w:iCs/>
          <w:spacing w:val="-2"/>
        </w:rPr>
        <w:t>96 des G. vom 25. Dezember 2017 (IV) (B.S. vom 29. Dezember 2017)</w:t>
      </w:r>
      <w:r w:rsidR="00D67EB8" w:rsidRPr="009118AB">
        <w:rPr>
          <w:rFonts w:ascii="Times New Roman Italique" w:hAnsi="Times New Roman Italique"/>
          <w:i/>
          <w:iCs/>
          <w:spacing w:val="-2"/>
        </w:rPr>
        <w:t> - </w:t>
      </w:r>
      <w:r w:rsidR="000C5F98" w:rsidRPr="009118AB">
        <w:rPr>
          <w:rFonts w:ascii="Times New Roman Italique" w:hAnsi="Times New Roman Italique"/>
          <w:i/>
          <w:iCs/>
          <w:spacing w:val="-2"/>
        </w:rPr>
        <w:t>in Kraft am 1. Januar 2018</w:t>
      </w:r>
      <w:r w:rsidR="00FD68E8" w:rsidRPr="009118AB">
        <w:rPr>
          <w:rFonts w:ascii="Times New Roman Italique" w:hAnsi="Times New Roman Italique"/>
          <w:i/>
          <w:iCs/>
          <w:spacing w:val="-2"/>
        </w:rPr>
        <w:t> -]</w:t>
      </w:r>
    </w:p>
    <w:p w14:paraId="0925F1B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B721B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F947B2F" w14:textId="447B8C2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bookmarkStart w:id="37" w:name="_Hlk203381824"/>
      <w:r w:rsidRPr="009118AB">
        <w:tab/>
      </w:r>
      <w:r w:rsidR="00D67EB8" w:rsidRPr="009118AB">
        <w:rPr>
          <w:b/>
          <w:bCs/>
        </w:rPr>
        <w:t>Art. </w:t>
      </w:r>
      <w:r w:rsidRPr="009118AB">
        <w:rPr>
          <w:b/>
          <w:bCs/>
        </w:rPr>
        <w:t>323</w:t>
      </w:r>
      <w:r w:rsidR="00D67EB8" w:rsidRPr="009118AB">
        <w:t> - </w:t>
      </w:r>
      <w:r w:rsidRPr="009118AB">
        <w:t>Die Verwaltung darf ebenfalls in der von ihr festgelegten Frist, die aus rechtmäßigen Gründen verlängert werden kann, von natürlichen oder juristischen Personen und von Vereinigungen ohne Rechtspersönlichkeit für alle beziehungsweise einen Teil deren Geschäfte oder Tätigkeiten Auskünfte verlangen, die sich auf selbst nicht namentlich bestimmte Personen oder Personengruppen beziehen, mit denen sie aufgrund dieser Geschäfte oder Tätigkeiten direkt oder indirekt in Verbindung waren.</w:t>
      </w:r>
    </w:p>
    <w:bookmarkEnd w:id="37"/>
    <w:p w14:paraId="7E46ABE3"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1412158" w14:textId="77777777" w:rsidR="00326880" w:rsidRDefault="0032688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E1B8A4" w14:textId="564421B8" w:rsidR="00326880" w:rsidRDefault="00326880" w:rsidP="00326880">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323 wie folgt:</w:t>
      </w:r>
    </w:p>
    <w:p w14:paraId="64756808" w14:textId="77777777" w:rsidR="00326880" w:rsidRDefault="00326880" w:rsidP="00326880">
      <w:pPr>
        <w:autoSpaceDE w:val="0"/>
        <w:autoSpaceDN w:val="0"/>
        <w:adjustRightInd w:val="0"/>
        <w:jc w:val="both"/>
        <w:rPr>
          <w:iCs/>
          <w:sz w:val="20"/>
          <w:szCs w:val="20"/>
        </w:rPr>
      </w:pPr>
    </w:p>
    <w:p w14:paraId="11E327B8" w14:textId="5CB768D7"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326880">
        <w:rPr>
          <w:iCs/>
          <w:sz w:val="20"/>
          <w:szCs w:val="20"/>
        </w:rPr>
        <w:t xml:space="preserve">Art. 323 - Die Verwaltung darf ebenfalls in der von ihr festgelegten Frist, die aus rechtmäßigen Gründen verlängert werden kann, von natürlichen oder juristischen Personen und von Vereinigungen ohne Rechtspersönlichkeit für alle beziehungsweise einen Teil deren Geschäfte oder Tätigkeiten </w:t>
      </w:r>
      <w:r w:rsidR="00A71ECF">
        <w:rPr>
          <w:iCs/>
          <w:sz w:val="20"/>
          <w:szCs w:val="20"/>
        </w:rPr>
        <w:t xml:space="preserve">[die Übermittlung von </w:t>
      </w:r>
      <w:r w:rsidRPr="00326880">
        <w:rPr>
          <w:iCs/>
          <w:sz w:val="20"/>
          <w:szCs w:val="20"/>
        </w:rPr>
        <w:t>Auskünfte</w:t>
      </w:r>
      <w:r w:rsidR="00A71ECF">
        <w:rPr>
          <w:iCs/>
          <w:sz w:val="20"/>
          <w:szCs w:val="20"/>
        </w:rPr>
        <w:t>n</w:t>
      </w:r>
      <w:r w:rsidRPr="00326880">
        <w:rPr>
          <w:iCs/>
          <w:sz w:val="20"/>
          <w:szCs w:val="20"/>
        </w:rPr>
        <w:t xml:space="preserve"> verlangen</w:t>
      </w:r>
      <w:r w:rsidR="00A71ECF">
        <w:rPr>
          <w:iCs/>
          <w:sz w:val="20"/>
          <w:szCs w:val="20"/>
        </w:rPr>
        <w:t>]</w:t>
      </w:r>
      <w:r w:rsidRPr="00326880">
        <w:rPr>
          <w:iCs/>
          <w:sz w:val="20"/>
          <w:szCs w:val="20"/>
        </w:rPr>
        <w:t>, die sich auf selbst nicht namentlich bestimmte Personen oder Personengruppen beziehen, mit denen sie aufgrund dieser Geschäfte oder Tätigkeiten direkt oder indirekt in Verbindung waren.</w:t>
      </w:r>
    </w:p>
    <w:p w14:paraId="319C6331" w14:textId="52776EC5" w:rsid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p>
    <w:p w14:paraId="7688AE76" w14:textId="39572B55" w:rsidR="00A71ECF" w:rsidRDefault="00A71ECF"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Pr>
          <w:sz w:val="20"/>
          <w:szCs w:val="20"/>
        </w:rPr>
        <w:t>[…]</w:t>
      </w:r>
    </w:p>
    <w:p w14:paraId="336F1675" w14:textId="77777777" w:rsidR="00A71ECF" w:rsidRPr="00326880" w:rsidRDefault="00A71ECF"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p>
    <w:p w14:paraId="71F85169" w14:textId="0419A3B2" w:rsidR="00326880" w:rsidRPr="00326880"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F62621">
        <w:rPr>
          <w:i/>
          <w:iCs/>
          <w:sz w:val="20"/>
          <w:szCs w:val="20"/>
        </w:rPr>
        <w:t>[Art. 323 abgeändert durch Art. 24 Nr. 1 des G. vom 26. Januar 2021 (B.S. vom 10. Februar 2021) - in Kraft am 1. Januar 2025 -, selbst aufgehoben durch Art. 213 des G. vom 12. Mai 2024 (B.S. vom 30. Mai 2024), und durch Art. 25 des G. vom 12. Mai 2024 (B.S. vom 30. Mai 2024) - </w:t>
      </w:r>
      <w:r w:rsidR="00421C66" w:rsidRPr="00F62621">
        <w:rPr>
          <w:i/>
          <w:iCs/>
          <w:sz w:val="20"/>
          <w:szCs w:val="20"/>
        </w:rPr>
        <w:t xml:space="preserve">in Kraft für alle oder bestimmte Kategorien von Inhabern einer Unternehmensnummer sowie für natürliche Personen an dem jeweils vom König festzulegenden Datum und spätestens am </w:t>
      </w:r>
      <w:r w:rsidR="00CC23FF" w:rsidRPr="00F62621">
        <w:rPr>
          <w:i/>
          <w:iCs/>
          <w:sz w:val="20"/>
          <w:szCs w:val="20"/>
        </w:rPr>
        <w:t>1. Januar 2028 </w:t>
      </w:r>
      <w:r w:rsidRPr="00F62621">
        <w:rPr>
          <w:i/>
          <w:iCs/>
          <w:sz w:val="20"/>
          <w:szCs w:val="20"/>
        </w:rPr>
        <w:t xml:space="preserve">-; </w:t>
      </w:r>
      <w:r w:rsidR="00A71ECF" w:rsidRPr="00F62621">
        <w:rPr>
          <w:i/>
          <w:iCs/>
          <w:sz w:val="20"/>
          <w:szCs w:val="20"/>
        </w:rPr>
        <w:t xml:space="preserve">früherer </w:t>
      </w:r>
      <w:r w:rsidRPr="00F62621">
        <w:rPr>
          <w:i/>
          <w:iCs/>
          <w:sz w:val="20"/>
          <w:szCs w:val="20"/>
        </w:rPr>
        <w:t>Abs</w:t>
      </w:r>
      <w:r w:rsidR="00A71ECF" w:rsidRPr="00F62621">
        <w:rPr>
          <w:i/>
          <w:iCs/>
          <w:sz w:val="20"/>
          <w:szCs w:val="20"/>
        </w:rPr>
        <w:t>atz</w:t>
      </w:r>
      <w:r w:rsidRPr="00F62621">
        <w:rPr>
          <w:i/>
          <w:iCs/>
          <w:sz w:val="20"/>
          <w:szCs w:val="20"/>
        </w:rPr>
        <w:t> 2 eingefügt durch Art. 24 Nr. 2 des G. vom 26. Januar 2021 (B.S. vom 10. Februar 2021) - in Kraft am 1. Januar 2025 -, selbst aufgehoben durch Art. 213 des G. vom 12. Mai 2024 (B.S. vom 30. Mai 2024)]</w:t>
      </w:r>
      <w:r w:rsidRPr="00F62621">
        <w:rPr>
          <w:sz w:val="20"/>
          <w:szCs w:val="20"/>
        </w:rPr>
        <w:t>"</w:t>
      </w:r>
    </w:p>
    <w:p w14:paraId="783D205E" w14:textId="68EA55B2" w:rsidR="002D3800" w:rsidRPr="00326880" w:rsidRDefault="002D380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10B0E4C" w14:textId="77777777" w:rsidR="008B69F7" w:rsidRPr="009118AB" w:rsidRDefault="008B69F7" w:rsidP="008B69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0FAE8F" w14:textId="29764864" w:rsidR="002D3800" w:rsidRPr="009118AB" w:rsidRDefault="002D3800" w:rsidP="002D3800">
      <w:pPr>
        <w:jc w:val="both"/>
      </w:pPr>
      <w:r w:rsidRPr="009118AB">
        <w:tab/>
        <w:t>[</w:t>
      </w:r>
      <w:r w:rsidR="00D67EB8" w:rsidRPr="009118AB">
        <w:rPr>
          <w:b/>
        </w:rPr>
        <w:t>Art. </w:t>
      </w:r>
      <w:r w:rsidRPr="009118AB">
        <w:rPr>
          <w:b/>
        </w:rPr>
        <w:t>323/1</w:t>
      </w:r>
      <w:r w:rsidR="00D67EB8" w:rsidRPr="009118AB">
        <w:t> - § </w:t>
      </w:r>
      <w:r w:rsidRPr="009118AB">
        <w:t>1</w:t>
      </w:r>
      <w:r w:rsidR="00D67EB8" w:rsidRPr="009118AB">
        <w:t> - </w:t>
      </w:r>
      <w:r w:rsidRPr="009118AB">
        <w:t>Stellen Kreditinstitute oder -einrichtungen oder Versicherungs</w:t>
      </w:r>
      <w:r w:rsidRPr="009118AB">
        <w:softHyphen/>
        <w:t>unternehmen im Hinblick auf den Erhalt eines Steuervorteils wie in den Artikeln 145</w:t>
      </w:r>
      <w:r w:rsidRPr="009118AB">
        <w:rPr>
          <w:vertAlign w:val="superscript"/>
        </w:rPr>
        <w:t>1</w:t>
      </w:r>
      <w:r w:rsidRPr="009118AB">
        <w:t xml:space="preserve"> </w:t>
      </w:r>
      <w:r w:rsidR="00D67EB8" w:rsidRPr="009118AB">
        <w:t>Nr. </w:t>
      </w:r>
      <w:r w:rsidRPr="009118AB">
        <w:t>2 und 3, 145</w:t>
      </w:r>
      <w:r w:rsidRPr="009118AB">
        <w:rPr>
          <w:vertAlign w:val="superscript"/>
        </w:rPr>
        <w:t>24</w:t>
      </w:r>
      <w:r w:rsidRPr="009118AB">
        <w:t xml:space="preserve"> </w:t>
      </w:r>
      <w:r w:rsidR="00D67EB8" w:rsidRPr="009118AB">
        <w:t>§ </w:t>
      </w:r>
      <w:r w:rsidRPr="009118AB">
        <w:t>3, 145</w:t>
      </w:r>
      <w:r w:rsidRPr="009118AB">
        <w:rPr>
          <w:vertAlign w:val="superscript"/>
        </w:rPr>
        <w:t>37</w:t>
      </w:r>
      <w:r w:rsidRPr="009118AB">
        <w:t xml:space="preserve"> bis 145</w:t>
      </w:r>
      <w:r w:rsidRPr="009118AB">
        <w:rPr>
          <w:vertAlign w:val="superscript"/>
        </w:rPr>
        <w:t>42</w:t>
      </w:r>
      <w:r w:rsidRPr="009118AB">
        <w:t>, 145</w:t>
      </w:r>
      <w:r w:rsidRPr="009118AB">
        <w:rPr>
          <w:vertAlign w:val="superscript"/>
        </w:rPr>
        <w:t>46</w:t>
      </w:r>
      <w:r w:rsidRPr="009118AB">
        <w:rPr>
          <w:i/>
        </w:rPr>
        <w:t>ter</w:t>
      </w:r>
      <w:r w:rsidRPr="009118AB">
        <w:t xml:space="preserve"> bis 145</w:t>
      </w:r>
      <w:r w:rsidRPr="009118AB">
        <w:rPr>
          <w:vertAlign w:val="superscript"/>
        </w:rPr>
        <w:t>46</w:t>
      </w:r>
      <w:r w:rsidRPr="009118AB">
        <w:rPr>
          <w:i/>
        </w:rPr>
        <w:t>quinquies</w:t>
      </w:r>
      <w:r w:rsidRPr="009118AB">
        <w:t xml:space="preserve">, 526 </w:t>
      </w:r>
      <w:r w:rsidR="00D67EB8" w:rsidRPr="009118AB">
        <w:t>§ </w:t>
      </w:r>
      <w:r w:rsidRPr="009118AB">
        <w:t>2 und 539 erwähnt eine Bescheinigung aus, müssen sie der Verwaltung jährlich Daten in Bezug auf individuell abgeschlossene Lebensversicherungsverträge, Hypothekenanleiheverträge und in Artikel 2 des Gesetzes vom 27. März 2009 zur Belebung der Wirtschaft erwähnte Darlehensverträge mitteilen.</w:t>
      </w:r>
    </w:p>
    <w:p w14:paraId="60A879E4" w14:textId="77777777" w:rsidR="002D3800" w:rsidRPr="009118AB" w:rsidRDefault="002D3800" w:rsidP="002D3800">
      <w:pPr>
        <w:jc w:val="both"/>
      </w:pPr>
    </w:p>
    <w:p w14:paraId="3A5906C8" w14:textId="6E68D112" w:rsidR="002D3800" w:rsidRPr="009118AB" w:rsidRDefault="002D3800" w:rsidP="002D3800">
      <w:pPr>
        <w:jc w:val="both"/>
      </w:pPr>
      <w:r w:rsidRPr="009118AB">
        <w:tab/>
        <w:t>Bei Steuerbescheinigungen, die im Hinblick auf den Erhalt einer in Artikel 145</w:t>
      </w:r>
      <w:r w:rsidRPr="009118AB">
        <w:rPr>
          <w:vertAlign w:val="superscript"/>
        </w:rPr>
        <w:t>24</w:t>
      </w:r>
      <w:r w:rsidRPr="009118AB">
        <w:t xml:space="preserve"> </w:t>
      </w:r>
      <w:r w:rsidR="00D67EB8" w:rsidRPr="009118AB">
        <w:t>§ </w:t>
      </w:r>
      <w:r w:rsidRPr="009118AB">
        <w:t>3 erwähnten Steuerermäßigung ausgestellt werden, gilt Absatz 1 nur für Hypothekenan</w:t>
      </w:r>
      <w:r w:rsidRPr="009118AB">
        <w:softHyphen/>
        <w:t>leiheverträge mit einer Laufzeit von mindestens zehn Jahren.</w:t>
      </w:r>
    </w:p>
    <w:p w14:paraId="0A1B07B0" w14:textId="4A0297D2" w:rsidR="00FC588F" w:rsidRPr="009118AB" w:rsidRDefault="00FC588F" w:rsidP="002D3800">
      <w:pPr>
        <w:jc w:val="both"/>
      </w:pPr>
    </w:p>
    <w:p w14:paraId="6087258F" w14:textId="1CA670DF" w:rsidR="00FC588F" w:rsidRPr="009118AB" w:rsidRDefault="00FC588F" w:rsidP="002D3800">
      <w:pPr>
        <w:jc w:val="both"/>
      </w:pPr>
      <w:r w:rsidRPr="009118AB">
        <w:tab/>
        <w:t>[Stellen Versicherungsunternehmen im Hinblick auf den Erhalt der in Artikel 145</w:t>
      </w:r>
      <w:r w:rsidRPr="009118AB">
        <w:rPr>
          <w:vertAlign w:val="superscript"/>
        </w:rPr>
        <w:t>49</w:t>
      </w:r>
      <w:r w:rsidRPr="009118AB">
        <w:t xml:space="preserve"> erwähnten Steuerermäßigung eine Bescheinigung aus, müssen sie der Verwaltung jährlich Daten in Bezug auf die Rechtsschutzversicherungsverträge mitteilen.]</w:t>
      </w:r>
    </w:p>
    <w:p w14:paraId="0465F02A" w14:textId="77777777" w:rsidR="002D3800" w:rsidRPr="009118AB" w:rsidRDefault="002D3800" w:rsidP="002D3800">
      <w:pPr>
        <w:jc w:val="both"/>
      </w:pPr>
    </w:p>
    <w:p w14:paraId="55BB3600" w14:textId="2DD8365B" w:rsidR="002D3800" w:rsidRPr="009118AB" w:rsidRDefault="002D3800" w:rsidP="002D3800">
      <w:pPr>
        <w:jc w:val="both"/>
      </w:pPr>
      <w:r w:rsidRPr="009118AB">
        <w:tab/>
      </w:r>
      <w:r w:rsidR="00D67EB8" w:rsidRPr="009118AB">
        <w:t>§ </w:t>
      </w:r>
      <w:r w:rsidRPr="009118AB">
        <w:t>2</w:t>
      </w:r>
      <w:r w:rsidR="00D67EB8" w:rsidRPr="009118AB">
        <w:t> - </w:t>
      </w:r>
      <w:r w:rsidRPr="009118AB">
        <w:t xml:space="preserve">Die in </w:t>
      </w:r>
      <w:r w:rsidR="00D67EB8" w:rsidRPr="009118AB">
        <w:t>§ </w:t>
      </w:r>
      <w:r w:rsidRPr="009118AB">
        <w:t>1 erwähnte Mitteilung erfolgt in den vom König festgelegten Fristen und Formen. Der König bestimmt ebenfalls die Daten, die mitgeteilt werden müssen.</w:t>
      </w:r>
    </w:p>
    <w:p w14:paraId="0A13876D" w14:textId="77777777" w:rsidR="002D3800" w:rsidRPr="009118AB" w:rsidRDefault="002D3800" w:rsidP="002D3800">
      <w:pPr>
        <w:jc w:val="both"/>
      </w:pPr>
    </w:p>
    <w:p w14:paraId="2A3F29E1" w14:textId="49E825F6" w:rsidR="002D3800" w:rsidRPr="009118AB" w:rsidRDefault="002D3800" w:rsidP="002D3800">
      <w:pPr>
        <w:jc w:val="both"/>
      </w:pPr>
      <w:r w:rsidRPr="009118AB">
        <w:tab/>
      </w:r>
      <w:r w:rsidR="00D67EB8" w:rsidRPr="009118AB">
        <w:t>§ </w:t>
      </w:r>
      <w:r w:rsidRPr="009118AB">
        <w:t>3</w:t>
      </w:r>
      <w:r w:rsidR="00D67EB8" w:rsidRPr="009118AB">
        <w:t> - </w:t>
      </w:r>
      <w:r w:rsidRPr="009118AB">
        <w:t xml:space="preserve">In </w:t>
      </w:r>
      <w:r w:rsidR="00D67EB8" w:rsidRPr="009118AB">
        <w:t>§ </w:t>
      </w:r>
      <w:r w:rsidRPr="009118AB">
        <w:t>1 erwähnte Kreditinstitute und -einrichtungen und Versicherungs</w:t>
      </w:r>
      <w:r w:rsidRPr="009118AB">
        <w:softHyphen/>
        <w:t xml:space="preserve">unternehmen sind ausschließlich zum Zwecke der Einhaltung der Verpflichtungen von </w:t>
      </w:r>
      <w:r w:rsidR="00D67EB8" w:rsidRPr="009118AB">
        <w:t>§ </w:t>
      </w:r>
      <w:r w:rsidRPr="009118AB">
        <w:t>1 ermächtigt, die Erkennungsnummer des Nationalregisters der natürlichen Personen und die von der Zentralen Datenbank der sozialen Sicherheit zugeteilte Erkennungsnummer wie in Artikel 4 des Gesetzes vom 15. Januar 1990 über die Errichtung und Organisation einer Zentralen Datenbank der sozialen Sicherheit erwähnt zu sammeln, zu verarbeiten und mitzuteilen, um Kunden zu identifizieren.</w:t>
      </w:r>
    </w:p>
    <w:p w14:paraId="543668F0" w14:textId="77777777" w:rsidR="002D3800" w:rsidRPr="009118AB" w:rsidRDefault="002D3800" w:rsidP="002D3800">
      <w:pPr>
        <w:jc w:val="both"/>
      </w:pPr>
    </w:p>
    <w:p w14:paraId="4664B4FA" w14:textId="6B16D89A" w:rsidR="002D3800" w:rsidRPr="009118AB" w:rsidRDefault="002D3800" w:rsidP="002D3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Verfügen in </w:t>
      </w:r>
      <w:r w:rsidR="00D67EB8" w:rsidRPr="009118AB">
        <w:t>§ </w:t>
      </w:r>
      <w:r w:rsidRPr="009118AB">
        <w:t>1 erwähnte Kreditinstitute und -einrichtungen und Versicherungs</w:t>
      </w:r>
      <w:r w:rsidRPr="009118AB">
        <w:softHyphen/>
        <w:t xml:space="preserve">unternehmen bereits zu anderen Zwecken über die vorerwähnte Erkennungsnummer eines Kunden, darf diese Erkennungsnummer benutzt werden, um der in </w:t>
      </w:r>
      <w:r w:rsidR="00D67EB8" w:rsidRPr="009118AB">
        <w:t>§ </w:t>
      </w:r>
      <w:r w:rsidRPr="009118AB">
        <w:t>1 erwähnten Verpflichtung nachzukommen.]</w:t>
      </w:r>
    </w:p>
    <w:p w14:paraId="207FA2FA" w14:textId="77777777" w:rsidR="002D3800" w:rsidRPr="009118AB" w:rsidRDefault="002D3800" w:rsidP="002D3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9C2796" w14:textId="0D8B1D3A" w:rsidR="002D3800" w:rsidRPr="009118AB" w:rsidRDefault="002D3800" w:rsidP="00581E8A">
      <w:pPr>
        <w:jc w:val="both"/>
        <w:rPr>
          <w:i/>
        </w:rPr>
      </w:pPr>
      <w:r w:rsidRPr="009118AB">
        <w:rPr>
          <w:i/>
        </w:rPr>
        <w:t>[</w:t>
      </w:r>
      <w:r w:rsidR="00D67EB8" w:rsidRPr="009118AB">
        <w:rPr>
          <w:i/>
        </w:rPr>
        <w:t>Art. </w:t>
      </w:r>
      <w:r w:rsidRPr="009118AB">
        <w:rPr>
          <w:i/>
        </w:rPr>
        <w:t xml:space="preserve">323/1 eingefügt durch </w:t>
      </w:r>
      <w:r w:rsidR="00D67EB8" w:rsidRPr="009118AB">
        <w:rPr>
          <w:i/>
        </w:rPr>
        <w:t>Art. </w:t>
      </w:r>
      <w:r w:rsidRPr="009118AB">
        <w:rPr>
          <w:i/>
        </w:rPr>
        <w:t>92 des G. vom 18. Dezember 2016</w:t>
      </w:r>
      <w:r w:rsidR="004E359B" w:rsidRPr="009118AB">
        <w:rPr>
          <w:i/>
        </w:rPr>
        <w:t> (I)</w:t>
      </w:r>
      <w:r w:rsidRPr="009118AB">
        <w:rPr>
          <w:i/>
        </w:rPr>
        <w:t xml:space="preserve"> (B.S. vom 20. Dezember 2016)</w:t>
      </w:r>
      <w:r w:rsidR="00D67EB8" w:rsidRPr="009118AB">
        <w:rPr>
          <w:i/>
        </w:rPr>
        <w:t> - </w:t>
      </w:r>
      <w:r w:rsidRPr="009118AB">
        <w:rPr>
          <w:i/>
        </w:rPr>
        <w:t>anwendbar auf Bescheinigungen, die im Hinblick auf den Erhalt eines Steuervorteils wie in den Artikeln 145</w:t>
      </w:r>
      <w:r w:rsidRPr="009118AB">
        <w:rPr>
          <w:i/>
          <w:vertAlign w:val="superscript"/>
        </w:rPr>
        <w:t>1</w:t>
      </w:r>
      <w:r w:rsidRPr="009118AB">
        <w:rPr>
          <w:i/>
        </w:rPr>
        <w:t xml:space="preserve"> </w:t>
      </w:r>
      <w:r w:rsidR="00D67EB8" w:rsidRPr="009118AB">
        <w:rPr>
          <w:i/>
        </w:rPr>
        <w:t>Nr. </w:t>
      </w:r>
      <w:r w:rsidRPr="009118AB">
        <w:rPr>
          <w:i/>
        </w:rPr>
        <w:t>2 und 3, 145</w:t>
      </w:r>
      <w:r w:rsidRPr="009118AB">
        <w:rPr>
          <w:i/>
          <w:vertAlign w:val="superscript"/>
        </w:rPr>
        <w:t>24</w:t>
      </w:r>
      <w:r w:rsidRPr="009118AB">
        <w:rPr>
          <w:i/>
        </w:rPr>
        <w:t xml:space="preserve"> </w:t>
      </w:r>
      <w:r w:rsidR="00D67EB8" w:rsidRPr="009118AB">
        <w:rPr>
          <w:i/>
        </w:rPr>
        <w:t>§ </w:t>
      </w:r>
      <w:r w:rsidRPr="009118AB">
        <w:rPr>
          <w:i/>
        </w:rPr>
        <w:t>3, 145</w:t>
      </w:r>
      <w:r w:rsidRPr="009118AB">
        <w:rPr>
          <w:i/>
          <w:vertAlign w:val="superscript"/>
        </w:rPr>
        <w:t>37</w:t>
      </w:r>
      <w:r w:rsidRPr="009118AB">
        <w:rPr>
          <w:i/>
        </w:rPr>
        <w:t xml:space="preserve"> bis 145</w:t>
      </w:r>
      <w:r w:rsidRPr="009118AB">
        <w:rPr>
          <w:i/>
          <w:vertAlign w:val="superscript"/>
        </w:rPr>
        <w:t>42</w:t>
      </w:r>
      <w:r w:rsidRPr="009118AB">
        <w:rPr>
          <w:i/>
        </w:rPr>
        <w:t>, 145</w:t>
      </w:r>
      <w:r w:rsidRPr="009118AB">
        <w:rPr>
          <w:i/>
          <w:vertAlign w:val="superscript"/>
        </w:rPr>
        <w:t>46</w:t>
      </w:r>
      <w:r w:rsidRPr="009118AB">
        <w:rPr>
          <w:i/>
        </w:rPr>
        <w:t>ter bis 145</w:t>
      </w:r>
      <w:r w:rsidRPr="009118AB">
        <w:rPr>
          <w:i/>
          <w:vertAlign w:val="superscript"/>
        </w:rPr>
        <w:t>46</w:t>
      </w:r>
      <w:r w:rsidRPr="009118AB">
        <w:rPr>
          <w:i/>
        </w:rPr>
        <w:t xml:space="preserve">quinquies, 526 </w:t>
      </w:r>
      <w:r w:rsidR="00D67EB8" w:rsidRPr="009118AB">
        <w:rPr>
          <w:i/>
        </w:rPr>
        <w:t>§ </w:t>
      </w:r>
      <w:r w:rsidRPr="009118AB">
        <w:rPr>
          <w:i/>
        </w:rPr>
        <w:t>2 und 539 des Einkommensteuergesetzbuches 1992 erwähnt in Bezug auf Zahlungen ab dem Steuerjahr 2017 ausgestellt werden müssen</w:t>
      </w:r>
      <w:r w:rsidR="003366D9" w:rsidRPr="009118AB">
        <w:rPr>
          <w:i/>
        </w:rPr>
        <w:t> -;</w:t>
      </w:r>
      <w:r w:rsidR="00FC588F" w:rsidRPr="009118AB">
        <w:rPr>
          <w:i/>
        </w:rPr>
        <w:t xml:space="preserve"> </w:t>
      </w:r>
      <w:r w:rsidR="00D67EB8" w:rsidRPr="009118AB">
        <w:rPr>
          <w:i/>
        </w:rPr>
        <w:t>§ </w:t>
      </w:r>
      <w:r w:rsidR="00FC588F" w:rsidRPr="009118AB">
        <w:rPr>
          <w:i/>
        </w:rPr>
        <w:t xml:space="preserve">1 </w:t>
      </w:r>
      <w:r w:rsidR="00D67EB8" w:rsidRPr="009118AB">
        <w:rPr>
          <w:i/>
        </w:rPr>
        <w:t>Abs. </w:t>
      </w:r>
      <w:r w:rsidR="00FC588F" w:rsidRPr="009118AB">
        <w:rPr>
          <w:i/>
        </w:rPr>
        <w:t xml:space="preserve">3 eingefügt durch </w:t>
      </w:r>
      <w:r w:rsidR="00D67EB8" w:rsidRPr="009118AB">
        <w:rPr>
          <w:i/>
        </w:rPr>
        <w:t>Art. </w:t>
      </w:r>
      <w:r w:rsidR="00FC588F" w:rsidRPr="009118AB">
        <w:rPr>
          <w:i/>
        </w:rPr>
        <w:t>19</w:t>
      </w:r>
      <w:r w:rsidR="00FC588F" w:rsidRPr="009118AB">
        <w:rPr>
          <w:rFonts w:ascii="Times New Roman Italique" w:hAnsi="Times New Roman Italique"/>
          <w:i/>
        </w:rPr>
        <w:t xml:space="preserve"> des G. vom 22. April 2019</w:t>
      </w:r>
      <w:r w:rsidR="00E9160D" w:rsidRPr="009118AB">
        <w:rPr>
          <w:rFonts w:ascii="Times New Roman Italique" w:hAnsi="Times New Roman Italique"/>
          <w:i/>
        </w:rPr>
        <w:t> (I)</w:t>
      </w:r>
      <w:r w:rsidR="00FC588F" w:rsidRPr="009118AB">
        <w:rPr>
          <w:rFonts w:ascii="Times New Roman Italique" w:hAnsi="Times New Roman Italique"/>
          <w:i/>
        </w:rPr>
        <w:t xml:space="preserve"> (B.S. vom 8. </w:t>
      </w:r>
      <w:r w:rsidR="00581E8A" w:rsidRPr="009118AB">
        <w:rPr>
          <w:rFonts w:ascii="Times New Roman Italique" w:hAnsi="Times New Roman Italique"/>
          <w:i/>
        </w:rPr>
        <w:t>Mai 2019)</w:t>
      </w:r>
      <w:r w:rsidR="00D67EB8" w:rsidRPr="009118AB">
        <w:rPr>
          <w:rFonts w:ascii="Times New Roman Italique" w:hAnsi="Times New Roman Italique"/>
          <w:i/>
        </w:rPr>
        <w:t> - </w:t>
      </w:r>
      <w:r w:rsidR="00581E8A" w:rsidRPr="009118AB">
        <w:rPr>
          <w:rFonts w:ascii="Times New Roman Italique" w:hAnsi="Times New Roman Italique"/>
          <w:i/>
        </w:rPr>
        <w:t xml:space="preserve">anwendbar </w:t>
      </w:r>
      <w:r w:rsidR="00581E8A" w:rsidRPr="009118AB">
        <w:rPr>
          <w:i/>
        </w:rPr>
        <w:t>auf Bescheinigungen, die in Bezug auf die Zahlungen ab dem Steuerjahr 2020 im Hinblick auf den Erhalt der in Artikel 145</w:t>
      </w:r>
      <w:r w:rsidR="00581E8A" w:rsidRPr="009118AB">
        <w:rPr>
          <w:i/>
          <w:vertAlign w:val="superscript"/>
        </w:rPr>
        <w:t>49</w:t>
      </w:r>
      <w:r w:rsidR="00581E8A" w:rsidRPr="009118AB">
        <w:rPr>
          <w:i/>
        </w:rPr>
        <w:t xml:space="preserve"> des Einkommensteuer</w:t>
      </w:r>
      <w:r w:rsidR="00581E8A" w:rsidRPr="009118AB">
        <w:rPr>
          <w:i/>
        </w:rPr>
        <w:softHyphen/>
        <w:t>gesetzbuches 1992 erwähnten Steuerermäßigung ausgestellt werden</w:t>
      </w:r>
      <w:r w:rsidR="00FD68E8" w:rsidRPr="009118AB">
        <w:rPr>
          <w:i/>
        </w:rPr>
        <w:t> -]</w:t>
      </w:r>
    </w:p>
    <w:p w14:paraId="10A78C5F" w14:textId="79CB2688" w:rsidR="002D3800" w:rsidRPr="009118AB" w:rsidRDefault="002D3800" w:rsidP="002D3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192195C" w14:textId="5CE38BE7" w:rsidR="00AA45C3" w:rsidRPr="009118AB" w:rsidRDefault="00AA45C3" w:rsidP="002D3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68B4A01" w14:textId="39D18F4E" w:rsidR="00AA45C3" w:rsidRPr="009118AB" w:rsidRDefault="00AA45C3" w:rsidP="00AA45C3">
      <w:pPr>
        <w:ind w:firstLine="708"/>
        <w:jc w:val="both"/>
      </w:pPr>
      <w:r w:rsidRPr="009118AB">
        <w:tab/>
        <w:t>[</w:t>
      </w:r>
      <w:r w:rsidR="00D67EB8" w:rsidRPr="009118AB">
        <w:rPr>
          <w:b/>
        </w:rPr>
        <w:t>Art. </w:t>
      </w:r>
      <w:r w:rsidRPr="009118AB">
        <w:rPr>
          <w:b/>
        </w:rPr>
        <w:t>323/2</w:t>
      </w:r>
      <w:r w:rsidR="00D67EB8" w:rsidRPr="009118AB">
        <w:t> - § </w:t>
      </w:r>
      <w:r w:rsidRPr="009118AB">
        <w:t>1</w:t>
      </w:r>
      <w:r w:rsidR="00D67EB8" w:rsidRPr="009118AB">
        <w:t> - </w:t>
      </w:r>
      <w:r w:rsidRPr="009118AB">
        <w:t>Stellen in Artikel 145</w:t>
      </w:r>
      <w:r w:rsidRPr="009118AB">
        <w:rPr>
          <w:vertAlign w:val="superscript"/>
        </w:rPr>
        <w:t>35</w:t>
      </w:r>
      <w:r w:rsidRPr="009118AB">
        <w:t xml:space="preserve"> Absatz 2 </w:t>
      </w:r>
      <w:r w:rsidR="00D67EB8" w:rsidRPr="009118AB">
        <w:t>Nr. </w:t>
      </w:r>
      <w:r w:rsidRPr="009118AB">
        <w:t>3 erwähnte Stellen im Hinblick auf den Erhalt einer Steuerermäßigung für Kinderbetreuung eine Bescheinigung aus, teilen sie der Verwaltung jährlich auf elektronischem Wege die diesbezüglichen Daten mit.</w:t>
      </w:r>
    </w:p>
    <w:p w14:paraId="68A2D803" w14:textId="77777777" w:rsidR="00AA45C3" w:rsidRPr="009118AB" w:rsidRDefault="00AA45C3" w:rsidP="00AA45C3">
      <w:pPr>
        <w:jc w:val="both"/>
      </w:pPr>
    </w:p>
    <w:p w14:paraId="4A45C827" w14:textId="61B8F9FF" w:rsidR="00AA45C3" w:rsidRPr="009118AB" w:rsidRDefault="00D67EB8" w:rsidP="00AA45C3">
      <w:pPr>
        <w:ind w:firstLine="708"/>
        <w:jc w:val="both"/>
      </w:pPr>
      <w:r w:rsidRPr="009118AB">
        <w:t>§ </w:t>
      </w:r>
      <w:r w:rsidR="00AA45C3" w:rsidRPr="009118AB">
        <w:t>2</w:t>
      </w:r>
      <w:r w:rsidRPr="009118AB">
        <w:t> - </w:t>
      </w:r>
      <w:r w:rsidR="00AA45C3" w:rsidRPr="009118AB">
        <w:t>In Artikel 145</w:t>
      </w:r>
      <w:r w:rsidR="00AA45C3" w:rsidRPr="009118AB">
        <w:rPr>
          <w:vertAlign w:val="superscript"/>
        </w:rPr>
        <w:t>35</w:t>
      </w:r>
      <w:r w:rsidR="00AA45C3" w:rsidRPr="009118AB">
        <w:t xml:space="preserve"> Absatz 2 </w:t>
      </w:r>
      <w:r w:rsidRPr="009118AB">
        <w:t>Nr. </w:t>
      </w:r>
      <w:r w:rsidR="00AA45C3" w:rsidRPr="009118AB">
        <w:t xml:space="preserve">3 erwähnte Stellen sind davon befreit, die jährliche Verpflichtung zu der in </w:t>
      </w:r>
      <w:r w:rsidRPr="009118AB">
        <w:t>§ </w:t>
      </w:r>
      <w:r w:rsidR="00AA45C3" w:rsidRPr="009118AB">
        <w:t>1 erwähnten elektronischen Mitteilung zu erfüllen, solange sie nicht über die zur Erfüllung dieser Verpflichtung erforderlichen Informatikmittel verfügen.</w:t>
      </w:r>
    </w:p>
    <w:p w14:paraId="721C4A92" w14:textId="77777777" w:rsidR="00AA45C3" w:rsidRPr="009118AB" w:rsidRDefault="00AA45C3" w:rsidP="00AA45C3">
      <w:pPr>
        <w:jc w:val="both"/>
      </w:pPr>
    </w:p>
    <w:p w14:paraId="4265AB0A" w14:textId="244CF1C7" w:rsidR="00AA45C3" w:rsidRPr="009118AB" w:rsidRDefault="00D67EB8" w:rsidP="00AA45C3">
      <w:pPr>
        <w:ind w:firstLine="708"/>
        <w:jc w:val="both"/>
      </w:pPr>
      <w:r w:rsidRPr="009118AB">
        <w:t>§ </w:t>
      </w:r>
      <w:r w:rsidR="00AA45C3" w:rsidRPr="009118AB">
        <w:t>3</w:t>
      </w:r>
      <w:r w:rsidRPr="009118AB">
        <w:t> - </w:t>
      </w:r>
      <w:r w:rsidR="00AA45C3" w:rsidRPr="009118AB">
        <w:t xml:space="preserve">Die in </w:t>
      </w:r>
      <w:r w:rsidRPr="009118AB">
        <w:t>§ </w:t>
      </w:r>
      <w:r w:rsidR="00AA45C3" w:rsidRPr="009118AB">
        <w:t>1 erwähnte Mitteilung erfolgt in den vom König festgelegten Fristen und Formen.</w:t>
      </w:r>
    </w:p>
    <w:p w14:paraId="515F7CF8" w14:textId="77777777" w:rsidR="00AA45C3" w:rsidRPr="009118AB" w:rsidRDefault="00AA45C3" w:rsidP="00AA45C3">
      <w:pPr>
        <w:jc w:val="both"/>
      </w:pPr>
    </w:p>
    <w:p w14:paraId="574A03DE" w14:textId="77777777" w:rsidR="00AA45C3" w:rsidRPr="009118AB" w:rsidRDefault="00AA45C3" w:rsidP="00AA45C3">
      <w:pPr>
        <w:ind w:firstLine="708"/>
        <w:jc w:val="both"/>
      </w:pPr>
      <w:r w:rsidRPr="009118AB">
        <w:t>Der König bestimmt ebenfalls die Daten, die mitgeteilt werden müssen.</w:t>
      </w:r>
    </w:p>
    <w:p w14:paraId="4D834A51" w14:textId="77777777" w:rsidR="00AA45C3" w:rsidRPr="009118AB" w:rsidRDefault="00AA45C3" w:rsidP="00AA45C3">
      <w:pPr>
        <w:jc w:val="both"/>
      </w:pPr>
    </w:p>
    <w:p w14:paraId="40C6EA21" w14:textId="66ED3E85" w:rsidR="00AA45C3" w:rsidRPr="009118AB" w:rsidRDefault="00D67EB8" w:rsidP="00AA45C3">
      <w:pPr>
        <w:ind w:firstLine="708"/>
        <w:jc w:val="both"/>
      </w:pPr>
      <w:r w:rsidRPr="009118AB">
        <w:t>§ </w:t>
      </w:r>
      <w:r w:rsidR="00AA45C3" w:rsidRPr="009118AB">
        <w:t>4</w:t>
      </w:r>
      <w:r w:rsidRPr="009118AB">
        <w:t> - </w:t>
      </w:r>
      <w:r w:rsidR="00AA45C3" w:rsidRPr="009118AB">
        <w:t xml:space="preserve">Die betreffenden Stellen sind ausschließlich zum Zwecke der Anwendung von </w:t>
      </w:r>
      <w:r w:rsidRPr="009118AB">
        <w:t>§ </w:t>
      </w:r>
      <w:r w:rsidR="00AA45C3" w:rsidRPr="009118AB">
        <w:t>1 ermächtigt, die Erkennungsnummer des Nationalregisters der natürlichen Personen zu sammeln, zu verarbeiten und mitzuteilen.</w:t>
      </w:r>
    </w:p>
    <w:p w14:paraId="2A10D2A0" w14:textId="77777777" w:rsidR="00AA45C3" w:rsidRPr="009118AB" w:rsidRDefault="00AA45C3" w:rsidP="00AA45C3">
      <w:pPr>
        <w:jc w:val="both"/>
      </w:pPr>
    </w:p>
    <w:p w14:paraId="207B0093" w14:textId="79FBCCA4" w:rsidR="00AA45C3" w:rsidRPr="009118AB" w:rsidRDefault="00AA45C3"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Verfügen die betreffenden Stellen bereits zu anderen Zwecken über die vorerwähnte Erkennungsnummer, darf diese Erkennungsnummer für die Anwendung von </w:t>
      </w:r>
      <w:r w:rsidR="00D67EB8" w:rsidRPr="009118AB">
        <w:t>§ </w:t>
      </w:r>
      <w:r w:rsidRPr="009118AB">
        <w:t>1 benutzt werden.]</w:t>
      </w:r>
    </w:p>
    <w:p w14:paraId="79BAEC47" w14:textId="13076BD6" w:rsidR="00AA45C3" w:rsidRPr="009118AB" w:rsidRDefault="00AA45C3"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EC0B6F4" w14:textId="1BF6DC47" w:rsidR="00AA45C3" w:rsidRPr="009118AB" w:rsidRDefault="00AA45C3"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rPr>
      </w:pPr>
      <w:r w:rsidRPr="009118AB">
        <w:rPr>
          <w:i/>
        </w:rPr>
        <w:t>[</w:t>
      </w:r>
      <w:r w:rsidR="00D67EB8" w:rsidRPr="009118AB">
        <w:rPr>
          <w:i/>
        </w:rPr>
        <w:t>Art. </w:t>
      </w:r>
      <w:r w:rsidRPr="009118AB">
        <w:rPr>
          <w:i/>
        </w:rPr>
        <w:t xml:space="preserve">323/2 eingefügt durch </w:t>
      </w:r>
      <w:r w:rsidR="00D67EB8" w:rsidRPr="009118AB">
        <w:rPr>
          <w:i/>
        </w:rPr>
        <w:t>Art. </w:t>
      </w:r>
      <w:r w:rsidRPr="009118AB">
        <w:rPr>
          <w:i/>
        </w:rPr>
        <w:t>10</w:t>
      </w:r>
      <w:r w:rsidR="006203C9" w:rsidRPr="009118AB">
        <w:rPr>
          <w:rFonts w:ascii="Times New Roman Italique" w:hAnsi="Times New Roman Italique"/>
          <w:i/>
        </w:rPr>
        <w:t xml:space="preserve"> des G. vom 20. Dezember 2020</w:t>
      </w:r>
      <w:r w:rsidR="00B43C02" w:rsidRPr="009118AB">
        <w:rPr>
          <w:rFonts w:ascii="Times New Roman Italique" w:hAnsi="Times New Roman Italique"/>
          <w:i/>
        </w:rPr>
        <w:t> (I)</w:t>
      </w:r>
      <w:r w:rsidR="006203C9" w:rsidRPr="009118AB">
        <w:rPr>
          <w:rFonts w:ascii="Times New Roman Italique" w:hAnsi="Times New Roman Italique"/>
          <w:i/>
        </w:rPr>
        <w:t xml:space="preserve"> (B.S. vom 30. Dezember 2020)</w:t>
      </w:r>
      <w:r w:rsidR="00D67EB8" w:rsidRPr="009118AB">
        <w:rPr>
          <w:rFonts w:ascii="Times New Roman Italique" w:hAnsi="Times New Roman Italique"/>
          <w:i/>
        </w:rPr>
        <w:t> - </w:t>
      </w:r>
      <w:r w:rsidR="006203C9" w:rsidRPr="009118AB">
        <w:rPr>
          <w:rFonts w:ascii="Times New Roman Italique" w:hAnsi="Times New Roman Italique"/>
          <w:i/>
        </w:rPr>
        <w:t>in Kraft am 30. Dezember 2020 und anwendbar auf die ab dem 1. Januar 2021 getätigten Ausgaben für Kinderbetreuung</w:t>
      </w:r>
      <w:r w:rsidR="00FD68E8" w:rsidRPr="009118AB">
        <w:rPr>
          <w:rFonts w:ascii="Times New Roman Italique" w:hAnsi="Times New Roman Italique"/>
          <w:i/>
        </w:rPr>
        <w:t> -]</w:t>
      </w:r>
    </w:p>
    <w:p w14:paraId="0F5082EF" w14:textId="77777777" w:rsidR="006203C9" w:rsidRDefault="006203C9"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9E44305" w14:textId="77777777" w:rsidR="00326880" w:rsidRDefault="00326880"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C9CA356" w14:textId="4118BED3" w:rsidR="00326880" w:rsidRDefault="00326880" w:rsidP="00326880">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323/2 wie folgt:</w:t>
      </w:r>
    </w:p>
    <w:p w14:paraId="4032D2AA" w14:textId="77777777" w:rsidR="00326880" w:rsidRDefault="00326880" w:rsidP="00326880">
      <w:pPr>
        <w:autoSpaceDE w:val="0"/>
        <w:autoSpaceDN w:val="0"/>
        <w:adjustRightInd w:val="0"/>
        <w:jc w:val="both"/>
        <w:rPr>
          <w:iCs/>
          <w:sz w:val="20"/>
          <w:szCs w:val="20"/>
        </w:rPr>
      </w:pPr>
    </w:p>
    <w:p w14:paraId="6B0A411D" w14:textId="3377AAC0" w:rsidR="00E211BB" w:rsidRPr="00E211BB" w:rsidRDefault="00326880"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00E211BB" w:rsidRPr="00E211BB">
        <w:rPr>
          <w:iCs/>
          <w:sz w:val="20"/>
          <w:szCs w:val="20"/>
        </w:rPr>
        <w:t>[</w:t>
      </w:r>
      <w:r w:rsidR="00E211BB" w:rsidRPr="00E211BB">
        <w:rPr>
          <w:bCs/>
          <w:iCs/>
          <w:sz w:val="20"/>
          <w:szCs w:val="20"/>
        </w:rPr>
        <w:t>Art. 323/2</w:t>
      </w:r>
      <w:r w:rsidR="00E211BB" w:rsidRPr="00E211BB">
        <w:rPr>
          <w:iCs/>
          <w:sz w:val="20"/>
          <w:szCs w:val="20"/>
        </w:rPr>
        <w:t> - § 1 - Stellen in Artikel 145</w:t>
      </w:r>
      <w:r w:rsidR="00E211BB" w:rsidRPr="00E211BB">
        <w:rPr>
          <w:iCs/>
          <w:sz w:val="20"/>
          <w:szCs w:val="20"/>
          <w:vertAlign w:val="superscript"/>
        </w:rPr>
        <w:t>35</w:t>
      </w:r>
      <w:r w:rsidR="00E211BB" w:rsidRPr="00E211BB">
        <w:rPr>
          <w:iCs/>
          <w:sz w:val="20"/>
          <w:szCs w:val="20"/>
        </w:rPr>
        <w:t xml:space="preserve"> Absatz 2 Nr. 3 erwähnte Stellen im Hinblick auf den Erhalt einer Steuerermäßigung für Kinderbetreuung eine Bescheinigung aus, teilen sie der Verwaltung jährlich </w:t>
      </w:r>
      <w:r w:rsidR="00E211BB">
        <w:rPr>
          <w:iCs/>
          <w:sz w:val="20"/>
          <w:szCs w:val="20"/>
        </w:rPr>
        <w:t>[...]</w:t>
      </w:r>
      <w:r w:rsidR="00E211BB" w:rsidRPr="00E211BB">
        <w:rPr>
          <w:iCs/>
          <w:sz w:val="20"/>
          <w:szCs w:val="20"/>
        </w:rPr>
        <w:t xml:space="preserve"> die diesbezüglichen Daten mit.</w:t>
      </w:r>
    </w:p>
    <w:p w14:paraId="0370E93A"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DB01AEF" w14:textId="175A883A"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211BB">
        <w:rPr>
          <w:iCs/>
          <w:sz w:val="20"/>
          <w:szCs w:val="20"/>
        </w:rPr>
        <w:t>§ 2 - In Artikel 145</w:t>
      </w:r>
      <w:r w:rsidRPr="00E211BB">
        <w:rPr>
          <w:iCs/>
          <w:sz w:val="20"/>
          <w:szCs w:val="20"/>
          <w:vertAlign w:val="superscript"/>
        </w:rPr>
        <w:t>35</w:t>
      </w:r>
      <w:r w:rsidRPr="00E211BB">
        <w:rPr>
          <w:iCs/>
          <w:sz w:val="20"/>
          <w:szCs w:val="20"/>
        </w:rPr>
        <w:t xml:space="preserve"> Absatz 2 Nr. 3 erwähnte Stellen sind davon befreit, die jährliche Verpflichtung </w:t>
      </w:r>
      <w:r>
        <w:rPr>
          <w:iCs/>
          <w:sz w:val="20"/>
          <w:szCs w:val="20"/>
        </w:rPr>
        <w:t>[</w:t>
      </w:r>
      <w:r w:rsidRPr="00E211BB">
        <w:rPr>
          <w:iCs/>
          <w:sz w:val="20"/>
          <w:szCs w:val="20"/>
        </w:rPr>
        <w:t>zu der in § 1 erwähnten Mitteilung</w:t>
      </w:r>
      <w:r>
        <w:rPr>
          <w:iCs/>
          <w:sz w:val="20"/>
          <w:szCs w:val="20"/>
        </w:rPr>
        <w:t>]</w:t>
      </w:r>
      <w:r w:rsidRPr="00E211BB">
        <w:rPr>
          <w:iCs/>
          <w:sz w:val="20"/>
          <w:szCs w:val="20"/>
        </w:rPr>
        <w:t xml:space="preserve"> zu erfüllen, solange sie nicht über die zur Erfüllung dieser Verpflichtung erforderlichen Informatikmittel verfügen.</w:t>
      </w:r>
    </w:p>
    <w:p w14:paraId="0805F388"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75C5E6D"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211BB">
        <w:rPr>
          <w:iCs/>
          <w:sz w:val="20"/>
          <w:szCs w:val="20"/>
        </w:rPr>
        <w:t>§ 3 - Die in § 1 erwähnte Mitteilung erfolgt in den vom König festgelegten Fristen und Formen.</w:t>
      </w:r>
    </w:p>
    <w:p w14:paraId="5D9F7A60"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A269B9A"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211BB">
        <w:rPr>
          <w:iCs/>
          <w:sz w:val="20"/>
          <w:szCs w:val="20"/>
        </w:rPr>
        <w:t>Der König bestimmt ebenfalls die Daten, die mitgeteilt werden müssen.</w:t>
      </w:r>
    </w:p>
    <w:p w14:paraId="462C3DE9"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A4FDAC1"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211BB">
        <w:rPr>
          <w:iCs/>
          <w:sz w:val="20"/>
          <w:szCs w:val="20"/>
        </w:rPr>
        <w:t>§ 4 - Die betreffenden Stellen sind ausschließlich zum Zwecke der Anwendung von § 1 ermächtigt, die Erkennungsnummer des Nationalregisters der natürlichen Personen zu sammeln, zu verarbeiten und mitzuteilen.</w:t>
      </w:r>
    </w:p>
    <w:p w14:paraId="5487E00D"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BAB2690" w14:textId="191CF040"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211BB">
        <w:rPr>
          <w:iCs/>
          <w:sz w:val="20"/>
          <w:szCs w:val="20"/>
        </w:rPr>
        <w:t>Verfügen die betreffenden Stellen bereits zu anderen Zwecken über die vorerwähnte Erkennungsnummer, darf diese Erkennungsnummer für die Anwendung von § 1 benutzt werden.]</w:t>
      </w:r>
    </w:p>
    <w:p w14:paraId="6FF36C54"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D0011BD" w14:textId="24CE5835" w:rsidR="00326880"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E211BB">
        <w:rPr>
          <w:i/>
          <w:iCs/>
          <w:sz w:val="20"/>
          <w:szCs w:val="20"/>
        </w:rPr>
        <w:t>[</w:t>
      </w:r>
      <w:r w:rsidRPr="00E211BB">
        <w:rPr>
          <w:rFonts w:ascii="Times New Roman Italique" w:hAnsi="Times New Roman Italique"/>
          <w:i/>
          <w:iCs/>
          <w:spacing w:val="-2"/>
          <w:sz w:val="20"/>
          <w:szCs w:val="20"/>
        </w:rPr>
        <w:t xml:space="preserve">Art. 323/2 eingefügt durch Art. 10 des G. vom 20. Dezember 2020 (I) (B.S. vom 30. Dezember 2020) - in Kraft am 30. Dezember 2020 und anwendbar auf die ab dem 1. Januar 2021 getätigten Ausgaben für Kinderbetreuung -; </w:t>
      </w:r>
      <w:r>
        <w:rPr>
          <w:i/>
          <w:iCs/>
          <w:sz w:val="20"/>
          <w:szCs w:val="20"/>
        </w:rPr>
        <w:t>§ 1 abgeändert durch Art. 26 Nr. 1</w:t>
      </w:r>
      <w:r w:rsidRPr="00E211BB">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E211BB">
        <w:rPr>
          <w:i/>
          <w:iCs/>
          <w:sz w:val="20"/>
          <w:szCs w:val="20"/>
        </w:rPr>
        <w:t>-</w:t>
      </w:r>
      <w:r>
        <w:rPr>
          <w:i/>
          <w:iCs/>
          <w:sz w:val="20"/>
          <w:szCs w:val="20"/>
        </w:rPr>
        <w:t>; § 2 abgeändert durch Art. 26 Nr. 2</w:t>
      </w:r>
      <w:r w:rsidRPr="00E211BB">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E211BB">
        <w:rPr>
          <w:i/>
          <w:iCs/>
          <w:sz w:val="20"/>
          <w:szCs w:val="20"/>
        </w:rPr>
        <w:t>-]</w:t>
      </w:r>
      <w:r>
        <w:rPr>
          <w:sz w:val="20"/>
          <w:szCs w:val="20"/>
        </w:rPr>
        <w:t>"</w:t>
      </w:r>
    </w:p>
    <w:p w14:paraId="4B0F61F6" w14:textId="2CFB230D" w:rsidR="008B69F7" w:rsidRDefault="008B69F7"/>
    <w:p w14:paraId="4C871C98" w14:textId="77777777" w:rsidR="00E211BB" w:rsidRDefault="00E211BB"/>
    <w:p w14:paraId="6C9A04EC" w14:textId="77777777" w:rsidR="002F52A4" w:rsidRPr="009541B3" w:rsidRDefault="002F52A4" w:rsidP="002F52A4">
      <w:pPr>
        <w:ind w:firstLine="708"/>
        <w:jc w:val="both"/>
      </w:pPr>
      <w:r>
        <w:tab/>
        <w:t>[</w:t>
      </w:r>
      <w:r w:rsidRPr="002F52A4">
        <w:rPr>
          <w:b/>
          <w:bCs/>
        </w:rPr>
        <w:t>Art. 323/3</w:t>
      </w:r>
      <w:r w:rsidRPr="009541B3">
        <w:t> - § 1 ­ Stellen in Artikel 145</w:t>
      </w:r>
      <w:r w:rsidRPr="009541B3">
        <w:rPr>
          <w:vertAlign w:val="superscript"/>
        </w:rPr>
        <w:t>33</w:t>
      </w:r>
      <w:r w:rsidRPr="009541B3">
        <w:t xml:space="preserve"> § 1 Absatz 1 Nr. 1 bis 4 erwähnte Stellen im Hinblick auf den Erhalt einer Steuerermäßigung für eine unentgeltliche Zuwendung eine Bescheinigung aus, teilen sie der Verwaltung jährlich auf elektronischem Wege die diesbezüglichen Angaben mit.</w:t>
      </w:r>
    </w:p>
    <w:p w14:paraId="6BBBBA8F" w14:textId="77777777" w:rsidR="002F52A4" w:rsidRPr="009541B3" w:rsidRDefault="002F52A4" w:rsidP="002F52A4">
      <w:pPr>
        <w:jc w:val="both"/>
      </w:pPr>
    </w:p>
    <w:p w14:paraId="1BF0DE49" w14:textId="77777777" w:rsidR="002F52A4" w:rsidRPr="009541B3" w:rsidRDefault="002F52A4" w:rsidP="002F52A4">
      <w:pPr>
        <w:ind w:firstLine="708"/>
        <w:jc w:val="both"/>
      </w:pPr>
      <w:r w:rsidRPr="009541B3">
        <w:t>Die in Absatz 1 erwähnte elektronische Übermittlung muss vor dem 1. März des Jahres nach dem Kalenderjahr, auf das die Bescheinigung sich bezieht, und zum ersten Mal vor dem 1. März 2025 erfolgen.</w:t>
      </w:r>
    </w:p>
    <w:p w14:paraId="028C6460" w14:textId="77777777" w:rsidR="002F52A4" w:rsidRPr="009541B3" w:rsidRDefault="002F52A4" w:rsidP="002F52A4">
      <w:pPr>
        <w:jc w:val="both"/>
      </w:pPr>
    </w:p>
    <w:p w14:paraId="5EF35FC9" w14:textId="77777777" w:rsidR="002F52A4" w:rsidRPr="009541B3" w:rsidRDefault="002F52A4" w:rsidP="002F52A4">
      <w:pPr>
        <w:ind w:firstLine="708"/>
        <w:jc w:val="both"/>
      </w:pPr>
      <w:r w:rsidRPr="009541B3">
        <w:t>§ 2 ­ In Artikel 145</w:t>
      </w:r>
      <w:r w:rsidRPr="009541B3">
        <w:rPr>
          <w:vertAlign w:val="superscript"/>
        </w:rPr>
        <w:t>33</w:t>
      </w:r>
      <w:r w:rsidRPr="009541B3">
        <w:t xml:space="preserve"> § 1 Absatz 1 Nr. 1 bis 4 erwähnte Stellen sind von der jährlichen Verpflichtung zu der in § 1 erwähnten elektronischen Mitteilung befreit, solange sie nicht über die zur Erfüllung dieser Verpflichtung erforderlichen Informatikmittel verfügen.</w:t>
      </w:r>
    </w:p>
    <w:p w14:paraId="39AE829B" w14:textId="77777777" w:rsidR="002F52A4" w:rsidRPr="009541B3" w:rsidRDefault="002F52A4" w:rsidP="002F52A4">
      <w:pPr>
        <w:jc w:val="both"/>
      </w:pPr>
    </w:p>
    <w:p w14:paraId="76D543F4" w14:textId="77777777" w:rsidR="002F52A4" w:rsidRPr="009541B3" w:rsidRDefault="002F52A4" w:rsidP="002F52A4">
      <w:pPr>
        <w:ind w:firstLine="708"/>
        <w:jc w:val="both"/>
      </w:pPr>
      <w:r w:rsidRPr="009541B3">
        <w:t>§ 3 ­ Folgende Angaben werden von den in Artikel 145</w:t>
      </w:r>
      <w:r w:rsidRPr="009541B3">
        <w:rPr>
          <w:vertAlign w:val="superscript"/>
        </w:rPr>
        <w:t>33</w:t>
      </w:r>
      <w:r w:rsidRPr="009541B3">
        <w:t xml:space="preserve"> § 1 Absatz 1 Nr. 1 bis 4 erwähnten Stellen mitgeteilt:</w:t>
      </w:r>
    </w:p>
    <w:p w14:paraId="6E9CEB10" w14:textId="77777777" w:rsidR="002F52A4" w:rsidRPr="009541B3" w:rsidRDefault="002F52A4" w:rsidP="002F52A4">
      <w:pPr>
        <w:jc w:val="both"/>
      </w:pPr>
    </w:p>
    <w:p w14:paraId="14F2B5BB" w14:textId="77777777" w:rsidR="002F52A4" w:rsidRPr="009541B3" w:rsidRDefault="002F52A4" w:rsidP="002F52A4">
      <w:pPr>
        <w:ind w:firstLine="708"/>
        <w:jc w:val="both"/>
      </w:pPr>
      <w:r w:rsidRPr="009541B3">
        <w:t>1. Kalenderjahr, für das die Bescheinigung ausgestellt wurde,</w:t>
      </w:r>
    </w:p>
    <w:p w14:paraId="3E329695" w14:textId="77777777" w:rsidR="002F52A4" w:rsidRPr="009541B3" w:rsidRDefault="002F52A4" w:rsidP="002F52A4">
      <w:pPr>
        <w:jc w:val="both"/>
      </w:pPr>
    </w:p>
    <w:p w14:paraId="35C7AF31" w14:textId="77777777" w:rsidR="002F52A4" w:rsidRPr="009541B3" w:rsidRDefault="002F52A4" w:rsidP="002F52A4">
      <w:pPr>
        <w:ind w:firstLine="708"/>
        <w:jc w:val="both"/>
      </w:pPr>
      <w:r w:rsidRPr="009541B3">
        <w:t>2. laufende Nummer der Bescheinigung,</w:t>
      </w:r>
    </w:p>
    <w:p w14:paraId="4898B534" w14:textId="77777777" w:rsidR="002F52A4" w:rsidRPr="009541B3" w:rsidRDefault="002F52A4" w:rsidP="002F52A4">
      <w:pPr>
        <w:jc w:val="both"/>
      </w:pPr>
    </w:p>
    <w:p w14:paraId="256C73E5" w14:textId="77777777" w:rsidR="002F52A4" w:rsidRPr="009541B3" w:rsidRDefault="002F52A4" w:rsidP="002F52A4">
      <w:pPr>
        <w:ind w:firstLine="708"/>
        <w:jc w:val="both"/>
      </w:pPr>
      <w:r w:rsidRPr="009541B3">
        <w:t>3. satzungsmäßiger Name, Adresse des Gesellschaftssitzes sowie Unternehmensnummer der beschenkten Stelle,</w:t>
      </w:r>
    </w:p>
    <w:p w14:paraId="4CA6D02A" w14:textId="77777777" w:rsidR="002F52A4" w:rsidRPr="009541B3" w:rsidRDefault="002F52A4" w:rsidP="002F52A4">
      <w:pPr>
        <w:jc w:val="both"/>
      </w:pPr>
    </w:p>
    <w:p w14:paraId="368CA909" w14:textId="77777777" w:rsidR="002F52A4" w:rsidRPr="009541B3" w:rsidRDefault="002F52A4" w:rsidP="002F52A4">
      <w:pPr>
        <w:ind w:firstLine="708"/>
        <w:jc w:val="both"/>
      </w:pPr>
      <w:r w:rsidRPr="009541B3">
        <w:t>4. Name, Vorname, Erkennungsnummer des Nationalregisters der natürlichen Personen oder gegebenenfalls Erkennungsnummer der Zentralen Datenbank der sozialen Sicherheit oder Unternehmensnummer in der Zentralen Datenbank der Unternehmen, für juristische Personen und Gesellschaften, und Adresse des Schenkers,</w:t>
      </w:r>
    </w:p>
    <w:p w14:paraId="4D3D8693" w14:textId="77777777" w:rsidR="002F52A4" w:rsidRPr="009541B3" w:rsidRDefault="002F52A4" w:rsidP="002F52A4">
      <w:pPr>
        <w:jc w:val="both"/>
      </w:pPr>
    </w:p>
    <w:p w14:paraId="4C609A1B" w14:textId="77777777" w:rsidR="002F52A4" w:rsidRPr="009541B3" w:rsidRDefault="002F52A4" w:rsidP="002F52A4">
      <w:pPr>
        <w:ind w:firstLine="708"/>
        <w:jc w:val="both"/>
      </w:pPr>
      <w:r w:rsidRPr="009541B3">
        <w:t>5. Betrag der unentgeltlichen Zuwendung und Bestätigung, dass sie endgültig und unwiderruflich erfolgt ist.</w:t>
      </w:r>
    </w:p>
    <w:p w14:paraId="3104DC72" w14:textId="77777777" w:rsidR="002F52A4" w:rsidRPr="009541B3" w:rsidRDefault="002F52A4" w:rsidP="002F52A4">
      <w:pPr>
        <w:jc w:val="both"/>
      </w:pPr>
    </w:p>
    <w:p w14:paraId="2289C4B4" w14:textId="77777777" w:rsidR="002F52A4" w:rsidRPr="009541B3" w:rsidRDefault="002F52A4" w:rsidP="002F52A4">
      <w:pPr>
        <w:ind w:firstLine="708"/>
        <w:jc w:val="both"/>
      </w:pPr>
      <w:r w:rsidRPr="009541B3">
        <w:t>§ 4 ­ Die betreffenden Stellen sind ausschließlich zum Zwecke der Anwendung von § 1 ermächtigt, die Erkennungsnummer des Nationalregisters der natürlichen Personen zu sammeln, zu verarbeiten und mitzuteilen.</w:t>
      </w:r>
    </w:p>
    <w:p w14:paraId="1A4BE537" w14:textId="77777777" w:rsidR="002F52A4" w:rsidRPr="009541B3" w:rsidRDefault="002F52A4" w:rsidP="002F52A4">
      <w:pPr>
        <w:jc w:val="both"/>
      </w:pPr>
    </w:p>
    <w:p w14:paraId="6CA52ED1" w14:textId="77777777" w:rsidR="002F52A4" w:rsidRPr="009541B3" w:rsidRDefault="002F52A4" w:rsidP="002F52A4">
      <w:pPr>
        <w:ind w:firstLine="708"/>
        <w:jc w:val="both"/>
      </w:pPr>
      <w:r w:rsidRPr="009541B3">
        <w:t>Verfügen die betreffenden Stellen bereits zu anderen Zwecken über die vorerwähnte Erkennungsnummer, darf diese Erkennungsnummer für die Anwendung von § 1 benutzt werden.</w:t>
      </w:r>
    </w:p>
    <w:p w14:paraId="1801FED7" w14:textId="77777777" w:rsidR="002F52A4" w:rsidRPr="009541B3" w:rsidRDefault="002F52A4" w:rsidP="002F52A4">
      <w:pPr>
        <w:jc w:val="both"/>
      </w:pPr>
    </w:p>
    <w:p w14:paraId="7B502930" w14:textId="4D99E9A0" w:rsidR="002F52A4" w:rsidRDefault="002F52A4" w:rsidP="006450D5">
      <w:pPr>
        <w:ind w:firstLine="708"/>
        <w:jc w:val="both"/>
      </w:pPr>
      <w:r w:rsidRPr="009541B3">
        <w:t>§ 5 ­ Unbeschadet der Aufbewahrung, die erforderlich ist für die weitere, in Artikel 89 der Verordnung (EU) 2016/679 des Europäischen Parlaments und des Rates vom 27. April 2016 zum Schutz natürlicher Personen bei der Verarbeitung personenbezogener Daten, zum freien Datenverkehr und zur Aufhebung der Richtlinie 95/46/EG erwähnte Verarbeitung zu im öffentlichen Interesse liegenden Archivzwecken, zu wissenschaftlichen oder historischen Forschungszwecken oder zu statistischen Zwecken, werden die vom Föderalen Öffentlichen Dienst Finanzen in Anwendung von § 3 erhaltenen Angaben nicht länger aufbewahrt, als es für die Zwecke, für die sie gesammelt werden, erforderlich ist, wobei die maximale Aufbewahrungsfrist zehn Jahre ab Erhalt dieser Angaben - mit Ausnahme der Fälle, in denen bei Ablauf dieser Frist noch eine Beschwerde oder ein Gerichtsverfahren anhängig ist - nicht überschreiten darf.</w:t>
      </w:r>
      <w:r w:rsidR="006450D5">
        <w:t>]</w:t>
      </w:r>
    </w:p>
    <w:p w14:paraId="7F6EDA36" w14:textId="77777777" w:rsidR="006450D5" w:rsidRDefault="006450D5" w:rsidP="006450D5">
      <w:pPr>
        <w:jc w:val="both"/>
      </w:pPr>
    </w:p>
    <w:p w14:paraId="61DD5C05" w14:textId="6545F5E7" w:rsidR="006450D5" w:rsidRPr="00D651AD" w:rsidRDefault="006450D5" w:rsidP="006450D5">
      <w:pPr>
        <w:jc w:val="both"/>
        <w:rPr>
          <w:i/>
          <w:iCs/>
        </w:rPr>
      </w:pPr>
      <w:r w:rsidRPr="006450D5">
        <w:rPr>
          <w:i/>
          <w:iCs/>
        </w:rPr>
        <w:t>[Art. 323/3 eingefüg</w:t>
      </w:r>
      <w:r w:rsidRPr="006450D5">
        <w:rPr>
          <w:i/>
          <w:iCs/>
          <w:spacing w:val="-2"/>
        </w:rPr>
        <w:t>t durch Art. 68 des G. vom 28. Dezember 2023 (B.S. vom</w:t>
      </w:r>
      <w:r w:rsidRPr="003E131B">
        <w:rPr>
          <w:i/>
          <w:iCs/>
          <w:spacing w:val="-2"/>
        </w:rPr>
        <w:t xml:space="preserve"> 29. Dezember 2023)</w:t>
      </w:r>
      <w:r w:rsidRPr="00D651AD">
        <w:rPr>
          <w:i/>
          <w:iCs/>
          <w:spacing w:val="-2"/>
        </w:rPr>
        <w:t xml:space="preserve"> - in Kraft </w:t>
      </w:r>
      <w:r w:rsidRPr="00364B1B">
        <w:rPr>
          <w:i/>
          <w:iCs/>
        </w:rPr>
        <w:t xml:space="preserve">am </w:t>
      </w:r>
      <w:r w:rsidR="00617F8A">
        <w:rPr>
          <w:i/>
          <w:iCs/>
        </w:rPr>
        <w:t>29. Dezember 2023</w:t>
      </w:r>
      <w:r w:rsidRPr="00364B1B">
        <w:rPr>
          <w:i/>
          <w:iCs/>
        </w:rPr>
        <w:t xml:space="preserve"> und anwendbar</w:t>
      </w:r>
      <w:r w:rsidRPr="00D651AD">
        <w:rPr>
          <w:i/>
          <w:iCs/>
        </w:rPr>
        <w:t xml:space="preserve"> </w:t>
      </w:r>
      <w:r w:rsidRPr="00364B1B">
        <w:rPr>
          <w:i/>
          <w:iCs/>
        </w:rPr>
        <w:t>auf die ab dem 1. Januar 2024 gemachten unentgeltlichen Zuwendungen </w:t>
      </w:r>
      <w:r>
        <w:rPr>
          <w:i/>
          <w:iCs/>
        </w:rPr>
        <w:t>-]</w:t>
      </w:r>
    </w:p>
    <w:p w14:paraId="3740C1C9" w14:textId="77777777" w:rsidR="002F52A4" w:rsidRDefault="002F52A4"/>
    <w:p w14:paraId="07248CD8" w14:textId="77777777" w:rsidR="002F52A4" w:rsidRPr="009118AB" w:rsidRDefault="002F52A4"/>
    <w:p w14:paraId="2FA04097" w14:textId="63937E6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323</w:t>
      </w:r>
      <w:r w:rsidRPr="009118AB">
        <w:rPr>
          <w:b/>
          <w:bCs/>
          <w:i/>
          <w:iCs/>
        </w:rPr>
        <w:t>bis</w:t>
      </w:r>
      <w:r w:rsidR="00D67EB8" w:rsidRPr="009118AB">
        <w:t> - </w:t>
      </w:r>
      <w:r w:rsidRPr="009118AB">
        <w:t>Die Bestimmungen von Artikel 315</w:t>
      </w:r>
      <w:r w:rsidRPr="009118AB">
        <w:rPr>
          <w:i/>
          <w:iCs/>
        </w:rPr>
        <w:t>bis</w:t>
      </w:r>
      <w:r w:rsidRPr="009118AB">
        <w:t xml:space="preserve"> sind auf Vereinigungen ohne Rechtspersönlichkeit und auf Dritte anwendbar, die herangezogen werden, um Bücher und Unterlagen, deren Vorlage in Artikel 315 vorgeschrieben ist, ganz oder teilweise </w:t>
      </w:r>
      <w:r w:rsidR="008D7720" w:rsidRPr="009118AB">
        <w:t>[durch Datenverarbeitungssysteme oder ein anderes elektronisches Gerät]</w:t>
      </w:r>
      <w:r w:rsidRPr="009118AB">
        <w:t xml:space="preserve"> zu führen, zu erstellen, zuzusenden oder aufzubewahren.]</w:t>
      </w:r>
    </w:p>
    <w:p w14:paraId="31DAA38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C0D84D" w14:textId="1A2B8D0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323bis eingefügt durch </w:t>
      </w:r>
      <w:r w:rsidR="00D67EB8" w:rsidRPr="009118AB">
        <w:rPr>
          <w:i/>
          <w:iCs/>
        </w:rPr>
        <w:t>Art. </w:t>
      </w:r>
      <w:r w:rsidRPr="009118AB">
        <w:rPr>
          <w:i/>
          <w:iCs/>
        </w:rPr>
        <w:t>57 des G. vom 6. Juli 1994 (B.S. vom 16. Juli 1994)</w:t>
      </w:r>
      <w:r w:rsidR="00D67EB8" w:rsidRPr="009118AB">
        <w:rPr>
          <w:i/>
          <w:iCs/>
        </w:rPr>
        <w:t> - </w:t>
      </w:r>
      <w:r w:rsidRPr="009118AB">
        <w:rPr>
          <w:i/>
          <w:iCs/>
        </w:rPr>
        <w:t>in Kraft ab dem 16. Juli 1994</w:t>
      </w:r>
      <w:r w:rsidR="00D67EB8" w:rsidRPr="009118AB">
        <w:rPr>
          <w:i/>
          <w:iCs/>
        </w:rPr>
        <w:t> - </w:t>
      </w:r>
      <w:r w:rsidR="008D7720" w:rsidRPr="009118AB">
        <w:rPr>
          <w:i/>
          <w:iCs/>
        </w:rPr>
        <w:t xml:space="preserve">und abgeändert durch </w:t>
      </w:r>
      <w:r w:rsidR="00D67EB8" w:rsidRPr="009118AB">
        <w:rPr>
          <w:i/>
          <w:iCs/>
        </w:rPr>
        <w:t>Art. </w:t>
      </w:r>
      <w:r w:rsidR="008D7720" w:rsidRPr="009118AB">
        <w:rPr>
          <w:i/>
          <w:iCs/>
        </w:rPr>
        <w:t>46 des G. vom 1. Juli 2016 (B.S. vom 4. Juli 2016)</w:t>
      </w:r>
      <w:r w:rsidRPr="009118AB">
        <w:rPr>
          <w:i/>
          <w:iCs/>
        </w:rPr>
        <w:t>]</w:t>
      </w:r>
    </w:p>
    <w:p w14:paraId="2036BC6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964068" w14:textId="7660D512" w:rsidR="007D670E" w:rsidRPr="009118AB" w:rsidRDefault="007D670E"/>
    <w:p w14:paraId="3F712317" w14:textId="0C370765" w:rsidR="0074278D" w:rsidRPr="009118AB" w:rsidRDefault="0074278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rPr>
        <w:t>Art. </w:t>
      </w:r>
      <w:r w:rsidRPr="009118AB">
        <w:rPr>
          <w:b/>
        </w:rPr>
        <w:t>323</w:t>
      </w:r>
      <w:r w:rsidRPr="009118AB">
        <w:rPr>
          <w:b/>
          <w:i/>
          <w:iCs/>
        </w:rPr>
        <w:t>ter</w:t>
      </w:r>
      <w:r w:rsidR="00D67EB8" w:rsidRPr="009118AB">
        <w:t> - </w:t>
      </w:r>
      <w:r w:rsidRPr="009118AB">
        <w:t>Die Steuerverwaltung darf von dem/den beteiligten Intermediär(en) Informationen verlangen, die in Anwendung der Artikel 326/1 bis 326/9 der belgischen zu</w:t>
      </w:r>
      <w:r w:rsidRPr="009118AB">
        <w:softHyphen/>
        <w:t>ständigen Behörde gemeldet werden mussten und die nach Anwendung von Artikel 315</w:t>
      </w:r>
      <w:r w:rsidRPr="009118AB">
        <w:rPr>
          <w:i/>
          <w:iCs/>
        </w:rPr>
        <w:t>quater</w:t>
      </w:r>
      <w:r w:rsidRPr="009118AB">
        <w:t xml:space="preserve"> nicht vorgelegt wurden, und zwar in der von ihr festgelegten Frist, die aus rechtmäßigen Gründen verlängert werden kann, sofern sie diese Informationen als erforderlich erachtet, um die korrekte Einhaltung der Artikel 326/1 bis einschließlich 326/9 zu gewährleisten.]</w:t>
      </w:r>
    </w:p>
    <w:p w14:paraId="4AF89865" w14:textId="3DFB42D8" w:rsidR="0074278D" w:rsidRPr="009118AB" w:rsidRDefault="0074278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8F617D" w14:textId="46DF3004" w:rsidR="0074278D" w:rsidRPr="009118AB" w:rsidRDefault="0074278D" w:rsidP="0074278D">
      <w:pPr>
        <w:jc w:val="both"/>
        <w:rPr>
          <w:i/>
        </w:rPr>
      </w:pPr>
      <w:r w:rsidRPr="009118AB">
        <w:rPr>
          <w:i/>
        </w:rPr>
        <w:t>[</w:t>
      </w:r>
      <w:r w:rsidR="00D67EB8" w:rsidRPr="009118AB">
        <w:rPr>
          <w:i/>
        </w:rPr>
        <w:t>Art. </w:t>
      </w:r>
      <w:r w:rsidRPr="009118AB">
        <w:rPr>
          <w:i/>
        </w:rPr>
        <w:t xml:space="preserve">323ter eingefügt durch </w:t>
      </w:r>
      <w:r w:rsidR="00D67EB8" w:rsidRPr="009118AB">
        <w:rPr>
          <w:i/>
        </w:rPr>
        <w:t>Art. </w:t>
      </w:r>
      <w:r w:rsidRPr="009118AB">
        <w:rPr>
          <w:i/>
        </w:rPr>
        <w:t>16 des G. vom 20. Dezember 2019 (B.S. vom 30. Dezember 2019)</w:t>
      </w:r>
      <w:r w:rsidR="00D67EB8" w:rsidRPr="009118AB">
        <w:rPr>
          <w:i/>
        </w:rPr>
        <w:t> - </w:t>
      </w:r>
      <w:r w:rsidRPr="009118AB">
        <w:rPr>
          <w:i/>
        </w:rPr>
        <w:t>in Kraft am 1. Juli 2020</w:t>
      </w:r>
      <w:r w:rsidR="00FD68E8" w:rsidRPr="009118AB">
        <w:rPr>
          <w:i/>
        </w:rPr>
        <w:t> -]</w:t>
      </w:r>
    </w:p>
    <w:p w14:paraId="6B401E60" w14:textId="6CE670FF" w:rsidR="0074278D" w:rsidRPr="009118AB" w:rsidRDefault="0074278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89D587" w14:textId="77777777" w:rsidR="0074278D" w:rsidRPr="009118AB" w:rsidRDefault="0074278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206300" w14:textId="26FA08E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324</w:t>
      </w:r>
      <w:r w:rsidR="00D67EB8" w:rsidRPr="009118AB">
        <w:t> - </w:t>
      </w:r>
      <w:r w:rsidRPr="009118AB">
        <w:t>Die Verwaltung darf die Richtigkeit der in [den Artikeln 322, 323 und 323</w:t>
      </w:r>
      <w:r w:rsidRPr="009118AB">
        <w:rPr>
          <w:i/>
          <w:iCs/>
        </w:rPr>
        <w:t>bis</w:t>
      </w:r>
      <w:r w:rsidRPr="009118AB">
        <w:t>] erwähnten Auskünfte überprüfen.</w:t>
      </w:r>
    </w:p>
    <w:p w14:paraId="5982C1D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53B3A5" w14:textId="2BBC0EC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324 abgeändert durch </w:t>
      </w:r>
      <w:r w:rsidR="00D67EB8" w:rsidRPr="009118AB">
        <w:rPr>
          <w:i/>
          <w:iCs/>
        </w:rPr>
        <w:t>Art. </w:t>
      </w:r>
      <w:r w:rsidRPr="009118AB">
        <w:rPr>
          <w:i/>
          <w:iCs/>
        </w:rPr>
        <w:t>58 des G. vom 6. Juli 1994 (B.S. vom 16. Juli 1994)</w:t>
      </w:r>
      <w:r w:rsidR="00D67EB8" w:rsidRPr="009118AB">
        <w:rPr>
          <w:i/>
          <w:iCs/>
        </w:rPr>
        <w:t> - </w:t>
      </w:r>
      <w:r w:rsidRPr="009118AB">
        <w:rPr>
          <w:i/>
          <w:iCs/>
        </w:rPr>
        <w:t>in Kraft ab dem 16. Juli 1994</w:t>
      </w:r>
      <w:r w:rsidR="00FD68E8" w:rsidRPr="009118AB">
        <w:rPr>
          <w:i/>
          <w:iCs/>
        </w:rPr>
        <w:t> -]</w:t>
      </w:r>
    </w:p>
    <w:p w14:paraId="0E1F868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799F3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6DF0D6D" w14:textId="4AA77AF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325</w:t>
      </w:r>
      <w:r w:rsidR="00D67EB8" w:rsidRPr="009118AB">
        <w:t> - </w:t>
      </w:r>
      <w:r w:rsidRPr="009118AB">
        <w:t>Steuerpflichtige werden durch Einschreibebrief vorgeladen, um Zeugenvernehmungen beizuwohnen.</w:t>
      </w:r>
    </w:p>
    <w:p w14:paraId="4612EAC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C4FE5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Zeugen sind verpflichtet, über alle ihnen bekannten Handlungen und Taten auszusagen, deren Feststellung für die Anwendung der Steuergesetze auf die der Streitsache zugrunde liegenden Taten zweckmäßig sein kann.</w:t>
      </w:r>
    </w:p>
    <w:p w14:paraId="465E8F6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B0FC1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Vor ihrer Aussage leisten sie den in Artikel 934 des Gerichtsgesetzbuches vorgesehenen Eid.</w:t>
      </w:r>
    </w:p>
    <w:p w14:paraId="04C33694" w14:textId="77777777" w:rsidR="00A1425D" w:rsidRPr="009118AB" w:rsidRDefault="00A1425D" w:rsidP="00477B8F">
      <w:pPr>
        <w:autoSpaceDE w:val="0"/>
        <w:autoSpaceDN w:val="0"/>
        <w:adjustRightInd w:val="0"/>
      </w:pPr>
    </w:p>
    <w:p w14:paraId="50117ECB" w14:textId="77777777" w:rsidR="00477B8F" w:rsidRPr="009118AB" w:rsidRDefault="00477B8F" w:rsidP="00477B8F">
      <w:pPr>
        <w:autoSpaceDE w:val="0"/>
        <w:autoSpaceDN w:val="0"/>
        <w:adjustRightInd w:val="0"/>
      </w:pPr>
      <w:r w:rsidRPr="009118AB">
        <w:tab/>
        <w:t>Der Gegenbeweis ist rechtlich zugelassen.</w:t>
      </w:r>
    </w:p>
    <w:p w14:paraId="4A39FFF9" w14:textId="282E01C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06AF86" w14:textId="038849B3" w:rsidR="008B69F7" w:rsidRDefault="008B69F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A79D2C" w14:textId="39406578" w:rsidR="00E211BB" w:rsidRDefault="00E211BB" w:rsidP="00E211BB">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325 wie folgt:</w:t>
      </w:r>
    </w:p>
    <w:p w14:paraId="1145683F" w14:textId="77777777" w:rsidR="00E211BB" w:rsidRDefault="00E211BB" w:rsidP="00E211BB">
      <w:pPr>
        <w:autoSpaceDE w:val="0"/>
        <w:autoSpaceDN w:val="0"/>
        <w:adjustRightInd w:val="0"/>
        <w:jc w:val="both"/>
        <w:rPr>
          <w:iCs/>
          <w:sz w:val="20"/>
          <w:szCs w:val="20"/>
        </w:rPr>
      </w:pPr>
    </w:p>
    <w:p w14:paraId="3611E32C" w14:textId="5F98AC04"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E211BB">
        <w:rPr>
          <w:iCs/>
          <w:sz w:val="20"/>
          <w:szCs w:val="20"/>
        </w:rPr>
        <w:t xml:space="preserve">Art. 325 - Steuerpflichtige werden </w:t>
      </w:r>
      <w:r>
        <w:rPr>
          <w:iCs/>
          <w:sz w:val="20"/>
          <w:szCs w:val="20"/>
        </w:rPr>
        <w:t>[per</w:t>
      </w:r>
      <w:r w:rsidRPr="00E211BB">
        <w:rPr>
          <w:iCs/>
          <w:sz w:val="20"/>
          <w:szCs w:val="20"/>
        </w:rPr>
        <w:t xml:space="preserve"> Einschreibe</w:t>
      </w:r>
      <w:r>
        <w:rPr>
          <w:iCs/>
          <w:sz w:val="20"/>
          <w:szCs w:val="20"/>
        </w:rPr>
        <w:t>sendung]</w:t>
      </w:r>
      <w:r w:rsidRPr="00E211BB">
        <w:rPr>
          <w:iCs/>
          <w:sz w:val="20"/>
          <w:szCs w:val="20"/>
        </w:rPr>
        <w:t xml:space="preserve"> vorgeladen, um Zeugenvernehmungen beizuwohnen.</w:t>
      </w:r>
    </w:p>
    <w:p w14:paraId="6744E00E"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8546774" w14:textId="20193190"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211BB">
        <w:rPr>
          <w:iCs/>
          <w:sz w:val="20"/>
          <w:szCs w:val="20"/>
        </w:rPr>
        <w:t>Zeugen sind verpflichtet, über alle ihnen bekannten Handlungen und Taten auszusagen, deren Feststellung für die Anwendung der Steuergesetze auf die der Streitsache zugrunde liegenden Taten zweckmäßig sein kann.</w:t>
      </w:r>
    </w:p>
    <w:p w14:paraId="3911BC56"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872F7FF" w14:textId="018F1ADD"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211BB">
        <w:rPr>
          <w:iCs/>
          <w:sz w:val="20"/>
          <w:szCs w:val="20"/>
        </w:rPr>
        <w:t>Vor ihrer Aussage leisten sie den in Artikel 934 des Gerichtsgesetzbuches vorgesehenen Eid.</w:t>
      </w:r>
    </w:p>
    <w:p w14:paraId="6DA0D9C9" w14:textId="77777777" w:rsidR="00E211BB" w:rsidRP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ECFE071" w14:textId="6A063094" w:rsid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211BB">
        <w:rPr>
          <w:iCs/>
          <w:sz w:val="20"/>
          <w:szCs w:val="20"/>
        </w:rPr>
        <w:t>Der Gegenbeweis ist rechtlich zugelassen.</w:t>
      </w:r>
    </w:p>
    <w:p w14:paraId="477EFDA2" w14:textId="77777777" w:rsidR="00A71ECF" w:rsidRDefault="00A71ECF"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EA939B" w14:textId="659C2E8D" w:rsidR="00A71ECF" w:rsidRPr="00E211BB" w:rsidRDefault="00A71ECF"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p>
    <w:p w14:paraId="1FD8E308" w14:textId="17E22299" w:rsidR="00E211BB" w:rsidRPr="00A71ECF"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p>
    <w:p w14:paraId="6DC53AA1" w14:textId="6BD82B9B" w:rsidR="00E211BB" w:rsidRPr="009118A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sz w:val="20"/>
          <w:szCs w:val="20"/>
        </w:rPr>
        <w:t>[Art. 325 Abs. 1 abgeändert durch Art. 25 Nr. 1 des G. vom 26. Januar 2021 (B.S. vom 10. Februar 2021) - in Kraft am 1. Januar 2025 -</w:t>
      </w:r>
      <w:r w:rsidRPr="00E211BB">
        <w:rPr>
          <w:i/>
          <w:iCs/>
          <w:sz w:val="20"/>
          <w:szCs w:val="20"/>
        </w:rPr>
        <w:t>, selbst aufgehoben durch Art. 213 des G. vom 12. Mai 2024 (B.S. vom 30. Mai 2024)</w:t>
      </w:r>
      <w:r>
        <w:rPr>
          <w:i/>
          <w:iCs/>
          <w:sz w:val="20"/>
          <w:szCs w:val="20"/>
        </w:rPr>
        <w:t xml:space="preserve">, </w:t>
      </w:r>
      <w:r w:rsidRPr="00C15B15">
        <w:rPr>
          <w:i/>
          <w:iCs/>
          <w:sz w:val="20"/>
          <w:szCs w:val="20"/>
        </w:rPr>
        <w:t>und durch Art. 27 des G. vom 12. Mai 2024 (B.S. vom 30. Mai 2024) - </w:t>
      </w:r>
      <w:r w:rsidR="00421C66" w:rsidRPr="00C15B15">
        <w:rPr>
          <w:i/>
          <w:iCs/>
          <w:sz w:val="20"/>
          <w:szCs w:val="20"/>
        </w:rPr>
        <w:t xml:space="preserve">in Kraft für alle oder bestimmte Kategorien von Inhabern einer Unternehmensnummer sowie für natürliche Personen an dem jeweils vom König festzulegenden Datum und spätestens am </w:t>
      </w:r>
      <w:r w:rsidR="00CC23FF" w:rsidRPr="00C15B15">
        <w:rPr>
          <w:i/>
          <w:iCs/>
          <w:sz w:val="20"/>
          <w:szCs w:val="20"/>
        </w:rPr>
        <w:t>1. Januar 2028 </w:t>
      </w:r>
      <w:r w:rsidRPr="00C15B15">
        <w:rPr>
          <w:i/>
          <w:iCs/>
          <w:sz w:val="20"/>
          <w:szCs w:val="20"/>
        </w:rPr>
        <w:t xml:space="preserve">-; </w:t>
      </w:r>
      <w:r w:rsidR="00A71ECF" w:rsidRPr="00C15B15">
        <w:rPr>
          <w:i/>
          <w:iCs/>
          <w:sz w:val="20"/>
          <w:szCs w:val="20"/>
        </w:rPr>
        <w:t xml:space="preserve">früherer </w:t>
      </w:r>
      <w:r w:rsidRPr="00C15B15">
        <w:rPr>
          <w:i/>
          <w:iCs/>
          <w:sz w:val="20"/>
          <w:szCs w:val="20"/>
        </w:rPr>
        <w:t>Abs</w:t>
      </w:r>
      <w:r w:rsidR="00A71ECF" w:rsidRPr="00C15B15">
        <w:rPr>
          <w:i/>
          <w:iCs/>
          <w:sz w:val="20"/>
          <w:szCs w:val="20"/>
        </w:rPr>
        <w:t>atz</w:t>
      </w:r>
      <w:r w:rsidRPr="00C15B15">
        <w:rPr>
          <w:i/>
          <w:iCs/>
          <w:sz w:val="20"/>
          <w:szCs w:val="20"/>
        </w:rPr>
        <w:t> 5 eingefügt durch Art. 25 Nr. 2 des G. vom 26. Januar 2021 (B.S. vom 10. Februar 2021) - in Kraft am 1. Januar 2025 -, selbst aufgehoben durch Art. 213 des G. vom 12. Mai 2024 (B.S. vom 30. Mai 2024)]</w:t>
      </w:r>
      <w:r w:rsidRPr="00C15B15">
        <w:rPr>
          <w:iCs/>
          <w:sz w:val="20"/>
          <w:szCs w:val="20"/>
        </w:rPr>
        <w:t>"</w:t>
      </w:r>
    </w:p>
    <w:p w14:paraId="4B99FE7F" w14:textId="77777777" w:rsidR="00E211B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AE9D0F" w14:textId="77777777" w:rsidR="008B69F7" w:rsidRPr="009118AB" w:rsidRDefault="008B69F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63D4698" w14:textId="7F27074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326</w:t>
      </w:r>
      <w:r w:rsidR="00D67EB8" w:rsidRPr="009118AB">
        <w:t> - </w:t>
      </w:r>
      <w:r w:rsidRPr="009118AB">
        <w:t>Von den Erklärungen der Zeugen und auf Wunsch des Steuerpflichtigen von seinen eigenen Erklärungen wird ein Protokoll aufgenommen.</w:t>
      </w:r>
    </w:p>
    <w:p w14:paraId="37CA161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BEB7F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Das Protokoll wird nach Verlesung von den Zeugen und dem Steuerpflichtigen unterzeichnet. Der Unterschrift gehen die handgeschriebenen Wörter </w:t>
      </w:r>
      <w:r w:rsidR="00117C1A" w:rsidRPr="009118AB">
        <w:t>"</w:t>
      </w:r>
      <w:r w:rsidRPr="009118AB">
        <w:t>Gelesen und genehmigt</w:t>
      </w:r>
      <w:r w:rsidR="00117C1A" w:rsidRPr="009118AB">
        <w:t>"</w:t>
      </w:r>
      <w:r w:rsidRPr="009118AB">
        <w:t xml:space="preserve"> voran. Weigert eine der betreffenden Personen sich zu unterzeichnen, wird dies im Protokoll vermerkt, wobei die Gründe der Weigerung angegeben werden.</w:t>
      </w:r>
    </w:p>
    <w:p w14:paraId="55A4545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45B1F5" w14:textId="77777777" w:rsidR="00272588" w:rsidRPr="009118AB" w:rsidRDefault="00477B8F" w:rsidP="002725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Eine beglaubigte Abschrift des Protokolls wird dem Steuerpflichtigen innerhalb acht Tagen nach dessen Datum notifiziert.</w:t>
      </w:r>
    </w:p>
    <w:p w14:paraId="38C8B7A1" w14:textId="77777777" w:rsidR="00272588" w:rsidRDefault="00272588" w:rsidP="002725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5E4030" w14:textId="77777777" w:rsidR="00E211BB" w:rsidRDefault="00E211BB" w:rsidP="002725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03D3316" w14:textId="73C31D0B" w:rsidR="00E211BB" w:rsidRDefault="00E211BB" w:rsidP="00E211BB">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326 wie folgt:</w:t>
      </w:r>
    </w:p>
    <w:p w14:paraId="75713CCA" w14:textId="77777777" w:rsidR="00E211BB" w:rsidRPr="00E211BB" w:rsidRDefault="00E211BB" w:rsidP="00E211BB">
      <w:pPr>
        <w:jc w:val="both"/>
        <w:rPr>
          <w:rFonts w:eastAsia="Calibri"/>
          <w:iCs/>
          <w:kern w:val="2"/>
          <w:sz w:val="20"/>
          <w:szCs w:val="20"/>
          <w:lang w:eastAsia="en-US"/>
          <w14:ligatures w14:val="standardContextual"/>
        </w:rPr>
      </w:pPr>
    </w:p>
    <w:p w14:paraId="327A7E5C" w14:textId="387A8329" w:rsidR="00E211BB" w:rsidRPr="00E211BB" w:rsidRDefault="00E211BB" w:rsidP="00E211BB">
      <w:pPr>
        <w:jc w:val="both"/>
        <w:rPr>
          <w:rFonts w:eastAsia="Calibri"/>
          <w:iCs/>
          <w:kern w:val="2"/>
          <w:sz w:val="20"/>
          <w:szCs w:val="20"/>
          <w:lang w:eastAsia="en-US"/>
          <w14:ligatures w14:val="standardContextual"/>
        </w:rPr>
      </w:pPr>
      <w:r w:rsidRPr="00E211BB">
        <w:rPr>
          <w:rFonts w:eastAsia="Calibri"/>
          <w:iCs/>
          <w:kern w:val="2"/>
          <w:sz w:val="20"/>
          <w:szCs w:val="20"/>
          <w:lang w:eastAsia="en-US"/>
          <w14:ligatures w14:val="standardContextual"/>
        </w:rPr>
        <w:t>"Art. 326 - Von den Erklärungen der Zeugen und auf Wunsch des Steuerpflichtigen von seinen eigenen Erklärungen wird ein Protokoll aufgenommen.</w:t>
      </w:r>
    </w:p>
    <w:p w14:paraId="204E5CE6" w14:textId="77777777" w:rsidR="00E211BB" w:rsidRPr="00E211BB" w:rsidRDefault="00E211BB" w:rsidP="00E211BB">
      <w:pPr>
        <w:jc w:val="both"/>
        <w:rPr>
          <w:rFonts w:eastAsia="Calibri"/>
          <w:iCs/>
          <w:kern w:val="2"/>
          <w:sz w:val="20"/>
          <w:szCs w:val="20"/>
          <w:lang w:eastAsia="en-US"/>
          <w14:ligatures w14:val="standardContextual"/>
        </w:rPr>
      </w:pPr>
    </w:p>
    <w:p w14:paraId="794EB659" w14:textId="24695464" w:rsidR="00E211BB" w:rsidRPr="00E211BB" w:rsidRDefault="00E211BB" w:rsidP="00E211BB">
      <w:pPr>
        <w:jc w:val="both"/>
        <w:rPr>
          <w:rFonts w:eastAsia="Calibri"/>
          <w:iCs/>
          <w:kern w:val="2"/>
          <w:sz w:val="20"/>
          <w:szCs w:val="20"/>
          <w:lang w:eastAsia="en-US"/>
          <w14:ligatures w14:val="standardContextual"/>
        </w:rPr>
      </w:pPr>
      <w:r w:rsidRPr="00E211BB">
        <w:rPr>
          <w:rFonts w:eastAsia="Calibri"/>
          <w:iCs/>
          <w:kern w:val="2"/>
          <w:sz w:val="20"/>
          <w:szCs w:val="20"/>
          <w:lang w:eastAsia="en-US"/>
          <w14:ligatures w14:val="standardContextual"/>
        </w:rPr>
        <w:t xml:space="preserve">Das Protokoll wird </w:t>
      </w:r>
      <w:r>
        <w:rPr>
          <w:rFonts w:eastAsia="Calibri"/>
          <w:iCs/>
          <w:kern w:val="2"/>
          <w:sz w:val="20"/>
          <w:szCs w:val="20"/>
          <w:lang w:eastAsia="en-US"/>
          <w14:ligatures w14:val="standardContextual"/>
        </w:rPr>
        <w:t>[</w:t>
      </w:r>
      <w:r w:rsidRPr="00E211BB">
        <w:rPr>
          <w:rFonts w:eastAsia="Calibri"/>
          <w:iCs/>
          <w:kern w:val="2"/>
          <w:sz w:val="20"/>
          <w:szCs w:val="20"/>
          <w:lang w:eastAsia="en-US"/>
          <w14:ligatures w14:val="standardContextual"/>
        </w:rPr>
        <w:t>von den Zeugen und dem Steuerpflichtigen unterzeichnet, nachdem sie es gelesen haben</w:t>
      </w:r>
      <w:r>
        <w:rPr>
          <w:rFonts w:eastAsia="Calibri"/>
          <w:iCs/>
          <w:kern w:val="2"/>
          <w:sz w:val="20"/>
          <w:szCs w:val="20"/>
          <w:lang w:eastAsia="en-US"/>
          <w14:ligatures w14:val="standardContextual"/>
        </w:rPr>
        <w:t>]</w:t>
      </w:r>
      <w:r w:rsidRPr="00E211BB">
        <w:rPr>
          <w:rFonts w:eastAsia="Calibri"/>
          <w:iCs/>
          <w:kern w:val="2"/>
          <w:sz w:val="20"/>
          <w:szCs w:val="20"/>
          <w:lang w:eastAsia="en-US"/>
          <w14:ligatures w14:val="standardContextual"/>
        </w:rPr>
        <w:t>. Der Unterschrift gehen die handgeschriebenen Wörter "Gelesen und genehmigt" voran. Weigert eine der betreffenden Personen sich zu unterzeichnen, wird dies im Protokoll vermerkt, wobei die Gründe der Weigerung angegeben werden.</w:t>
      </w:r>
    </w:p>
    <w:p w14:paraId="5BB66985" w14:textId="77777777" w:rsidR="00E211BB" w:rsidRPr="00E211BB" w:rsidRDefault="00E211BB" w:rsidP="00E211BB">
      <w:pPr>
        <w:jc w:val="both"/>
        <w:rPr>
          <w:rFonts w:eastAsia="Calibri"/>
          <w:iCs/>
          <w:kern w:val="2"/>
          <w:sz w:val="20"/>
          <w:szCs w:val="20"/>
          <w:lang w:eastAsia="en-US"/>
          <w14:ligatures w14:val="standardContextual"/>
        </w:rPr>
      </w:pPr>
    </w:p>
    <w:p w14:paraId="7FFAF073" w14:textId="46D9CAF0" w:rsidR="00E211BB" w:rsidRPr="00E211BB" w:rsidRDefault="00E211BB" w:rsidP="00E211BB">
      <w:pPr>
        <w:jc w:val="both"/>
        <w:rPr>
          <w:rFonts w:eastAsia="Calibri"/>
          <w:iCs/>
          <w:kern w:val="2"/>
          <w:sz w:val="20"/>
          <w:szCs w:val="20"/>
          <w:lang w:eastAsia="en-US"/>
          <w14:ligatures w14:val="standardContextual"/>
        </w:rPr>
      </w:pPr>
      <w:r w:rsidRPr="00E211BB">
        <w:rPr>
          <w:rFonts w:eastAsia="Calibri"/>
          <w:iCs/>
          <w:kern w:val="2"/>
          <w:sz w:val="20"/>
          <w:szCs w:val="20"/>
          <w:lang w:eastAsia="en-US"/>
          <w14:ligatures w14:val="standardContextual"/>
        </w:rPr>
        <w:t>Eine beglaubigte Abschrift des Protokolls wird dem Steuerpflichtigen innerhalb acht Tagen nach dessen Datum notifiziert.</w:t>
      </w:r>
    </w:p>
    <w:p w14:paraId="14360141" w14:textId="58E76383" w:rsidR="00E211BB" w:rsidRDefault="00E211BB" w:rsidP="00E211BB">
      <w:pPr>
        <w:jc w:val="both"/>
        <w:rPr>
          <w:rFonts w:eastAsia="Calibri"/>
          <w:iCs/>
          <w:kern w:val="2"/>
          <w:sz w:val="20"/>
          <w:szCs w:val="20"/>
          <w:lang w:eastAsia="en-US"/>
          <w14:ligatures w14:val="standardContextual"/>
        </w:rPr>
      </w:pPr>
    </w:p>
    <w:p w14:paraId="1893E9FD" w14:textId="17237C59" w:rsidR="00A71ECF" w:rsidRDefault="00A71ECF" w:rsidP="00E211BB">
      <w:pPr>
        <w:jc w:val="both"/>
        <w:rPr>
          <w:rFonts w:eastAsia="Calibri"/>
          <w:iCs/>
          <w:kern w:val="2"/>
          <w:sz w:val="20"/>
          <w:szCs w:val="20"/>
          <w:lang w:eastAsia="en-US"/>
          <w14:ligatures w14:val="standardContextual"/>
        </w:rPr>
      </w:pPr>
      <w:r>
        <w:rPr>
          <w:rFonts w:eastAsia="Calibri"/>
          <w:iCs/>
          <w:kern w:val="2"/>
          <w:sz w:val="20"/>
          <w:szCs w:val="20"/>
          <w:lang w:eastAsia="en-US"/>
          <w14:ligatures w14:val="standardContextual"/>
        </w:rPr>
        <w:t>[…]</w:t>
      </w:r>
    </w:p>
    <w:p w14:paraId="3298F549" w14:textId="77777777" w:rsidR="00A71ECF" w:rsidRPr="00E211BB" w:rsidRDefault="00A71ECF" w:rsidP="00E211BB">
      <w:pPr>
        <w:jc w:val="both"/>
        <w:rPr>
          <w:rFonts w:eastAsia="Calibri"/>
          <w:iCs/>
          <w:kern w:val="2"/>
          <w:sz w:val="20"/>
          <w:szCs w:val="20"/>
          <w:lang w:eastAsia="en-US"/>
          <w14:ligatures w14:val="standardContextual"/>
        </w:rPr>
      </w:pPr>
    </w:p>
    <w:p w14:paraId="2FC807B9" w14:textId="2E590B34" w:rsidR="00E211BB" w:rsidRPr="009118AB"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sz w:val="20"/>
          <w:szCs w:val="20"/>
        </w:rPr>
        <w:t xml:space="preserve">[Art. 326 </w:t>
      </w:r>
      <w:r>
        <w:rPr>
          <w:i/>
          <w:iCs/>
          <w:sz w:val="20"/>
          <w:szCs w:val="20"/>
        </w:rPr>
        <w:t>Abs. 2 abgeändert durch Art. 28</w:t>
      </w:r>
      <w:r w:rsidRPr="00E211BB">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w:t>
      </w:r>
      <w:r w:rsidR="00421C66" w:rsidRPr="00C15B15">
        <w:rPr>
          <w:i/>
          <w:iCs/>
          <w:sz w:val="20"/>
          <w:szCs w:val="20"/>
        </w:rPr>
        <w:t xml:space="preserve">jeweils vom König festzulegenden Datum und spätestens am </w:t>
      </w:r>
      <w:r w:rsidR="00CC23FF" w:rsidRPr="00C15B15">
        <w:rPr>
          <w:i/>
          <w:iCs/>
          <w:sz w:val="20"/>
          <w:szCs w:val="20"/>
        </w:rPr>
        <w:t>1. Januar 2028 </w:t>
      </w:r>
      <w:r w:rsidRPr="00C15B15">
        <w:rPr>
          <w:i/>
          <w:iCs/>
          <w:sz w:val="20"/>
          <w:szCs w:val="20"/>
        </w:rPr>
        <w:t>-; Abs. 3 ersetzt durch Art. 26 Nr. 2 des G. vom 26. Januar 2021 (B.S. vom 10. Februar 2021) - in Kraft am 1. Januar 2025 -, selbst aufgehoben durch Art. 213 des G. vom 12. Mai 2024 (B.S. vom 30. Mai 2024); Abs. 4 eingefügt durch Art. 26 Nr. 3 des G. vom 26. Januar 2021 (B.S. vom 10. Februar 2021) - in Kraft am 1. Januar 2025 -, selbst aufgehoben durch Art. 213 des G. vom 12. Mai 2024 (B.S. vom 30. Mai 2024)]</w:t>
      </w:r>
      <w:r w:rsidRPr="00C15B15">
        <w:rPr>
          <w:iCs/>
          <w:sz w:val="20"/>
          <w:szCs w:val="20"/>
        </w:rPr>
        <w:t>"</w:t>
      </w:r>
    </w:p>
    <w:p w14:paraId="6BC8A4B2" w14:textId="77777777" w:rsidR="00A71ECF" w:rsidRDefault="00A71ECF" w:rsidP="00394C50">
      <w:pPr>
        <w:jc w:val="center"/>
      </w:pPr>
    </w:p>
    <w:p w14:paraId="789163D8" w14:textId="77777777" w:rsidR="00A71ECF" w:rsidRDefault="00A71ECF">
      <w:r>
        <w:br w:type="page"/>
      </w:r>
    </w:p>
    <w:p w14:paraId="4C6CA780" w14:textId="0B633914" w:rsidR="00394C50" w:rsidRPr="009118AB" w:rsidRDefault="00394C50" w:rsidP="00394C50">
      <w:pPr>
        <w:jc w:val="center"/>
      </w:pPr>
      <w:r w:rsidRPr="009118AB">
        <w:t>[</w:t>
      </w:r>
      <w:r w:rsidRPr="009118AB">
        <w:rPr>
          <w:i/>
        </w:rPr>
        <w:t>Abschnitt 2/1</w:t>
      </w:r>
      <w:r w:rsidR="00D67EB8" w:rsidRPr="009118AB">
        <w:t> - </w:t>
      </w:r>
      <w:r w:rsidRPr="009118AB">
        <w:t>Zusätzliche Meldepflichten für Int</w:t>
      </w:r>
      <w:r w:rsidR="0058318B" w:rsidRPr="009118AB">
        <w:t>ermediäre oder relevante Steuer</w:t>
      </w:r>
      <w:r w:rsidRPr="009118AB">
        <w:t>pflichtige in Bezug auf grenzüberschreitende Gestaltungen]</w:t>
      </w:r>
    </w:p>
    <w:p w14:paraId="073F3106" w14:textId="77777777" w:rsidR="00394C50" w:rsidRPr="009118AB" w:rsidRDefault="00394C50" w:rsidP="00394C50">
      <w:pPr>
        <w:jc w:val="center"/>
      </w:pPr>
    </w:p>
    <w:p w14:paraId="3DA2D181" w14:textId="385DE371" w:rsidR="00394C50" w:rsidRPr="009118AB" w:rsidRDefault="00394C50" w:rsidP="00394C50">
      <w:pPr>
        <w:jc w:val="both"/>
      </w:pPr>
      <w:r w:rsidRPr="009118AB">
        <w:rPr>
          <w:i/>
        </w:rPr>
        <w:t xml:space="preserve">[Unterteilung Abschnitt 2/1 eingefügt durch </w:t>
      </w:r>
      <w:r w:rsidR="00D67EB8" w:rsidRPr="009118AB">
        <w:rPr>
          <w:i/>
        </w:rPr>
        <w:t>Art. </w:t>
      </w:r>
      <w:r w:rsidRPr="009118AB">
        <w:rPr>
          <w:i/>
        </w:rPr>
        <w:t>2 des G. vom 20. Dezember 2019 (B.S. vom 30. Dezember 2019)</w:t>
      </w:r>
      <w:r w:rsidR="00D67EB8" w:rsidRPr="009118AB">
        <w:rPr>
          <w:i/>
        </w:rPr>
        <w:t> - </w:t>
      </w:r>
      <w:r w:rsidR="0058318B" w:rsidRPr="009118AB">
        <w:rPr>
          <w:i/>
        </w:rPr>
        <w:t>in Kraft am 1. Juli 2020</w:t>
      </w:r>
      <w:r w:rsidR="00FD68E8" w:rsidRPr="009118AB">
        <w:rPr>
          <w:i/>
        </w:rPr>
        <w:t> -]</w:t>
      </w:r>
    </w:p>
    <w:p w14:paraId="45D24E6C" w14:textId="77777777" w:rsidR="00394C50" w:rsidRPr="009118AB" w:rsidRDefault="00394C50" w:rsidP="00394C50">
      <w:pPr>
        <w:jc w:val="both"/>
      </w:pPr>
    </w:p>
    <w:p w14:paraId="0D7E985E" w14:textId="4D8F56F6" w:rsidR="00394C50" w:rsidRPr="009118AB" w:rsidRDefault="00394C50" w:rsidP="00394C50">
      <w:pPr>
        <w:jc w:val="both"/>
      </w:pPr>
    </w:p>
    <w:p w14:paraId="6477D34E" w14:textId="3219B7C7" w:rsidR="00394C50" w:rsidRPr="009118AB" w:rsidRDefault="00394C50" w:rsidP="00394C50">
      <w:pPr>
        <w:ind w:firstLine="708"/>
        <w:jc w:val="both"/>
      </w:pPr>
      <w:r w:rsidRPr="009118AB">
        <w:tab/>
        <w:t>[</w:t>
      </w:r>
      <w:r w:rsidR="00D67EB8" w:rsidRPr="009118AB">
        <w:rPr>
          <w:b/>
        </w:rPr>
        <w:t>Art. </w:t>
      </w:r>
      <w:r w:rsidRPr="009118AB">
        <w:rPr>
          <w:b/>
        </w:rPr>
        <w:t>326/1</w:t>
      </w:r>
      <w:r w:rsidR="00D67EB8" w:rsidRPr="009118AB">
        <w:t> - </w:t>
      </w:r>
      <w:r w:rsidRPr="009118AB">
        <w:t xml:space="preserve">Für die Anwendung des vorliegenden Abschnitts und des Artikels 338 </w:t>
      </w:r>
      <w:r w:rsidR="00D67EB8" w:rsidRPr="009118AB">
        <w:t>§ </w:t>
      </w:r>
      <w:r w:rsidRPr="009118AB">
        <w:t>6/4 versteht man unter:</w:t>
      </w:r>
    </w:p>
    <w:p w14:paraId="63F23DB0" w14:textId="77777777" w:rsidR="00394C50" w:rsidRPr="009118AB" w:rsidRDefault="00394C50" w:rsidP="00394C50">
      <w:pPr>
        <w:jc w:val="both"/>
      </w:pPr>
    </w:p>
    <w:p w14:paraId="5F35676C" w14:textId="77777777" w:rsidR="00394C50" w:rsidRPr="009118AB" w:rsidRDefault="00394C50" w:rsidP="00394C50">
      <w:pPr>
        <w:ind w:firstLine="708"/>
        <w:jc w:val="both"/>
      </w:pPr>
      <w:r w:rsidRPr="009118AB">
        <w:t>1. "grenzüberschreitender Gestaltung": Gestaltung, die entweder mehr als einen Mitgliedstaat oder einen Mitgliedstaat und ein Drittland betrifft, wobei mindestens eine der folgenden Bedingungen erfüllt ist:</w:t>
      </w:r>
    </w:p>
    <w:p w14:paraId="1ECD75F3" w14:textId="77777777" w:rsidR="00394C50" w:rsidRPr="009118AB" w:rsidRDefault="00394C50" w:rsidP="00394C50">
      <w:pPr>
        <w:jc w:val="both"/>
      </w:pPr>
    </w:p>
    <w:p w14:paraId="4B32AB57" w14:textId="77777777" w:rsidR="00394C50" w:rsidRPr="009118AB" w:rsidRDefault="00394C50" w:rsidP="00394C50">
      <w:pPr>
        <w:ind w:firstLine="708"/>
        <w:jc w:val="both"/>
      </w:pPr>
      <w:r w:rsidRPr="009118AB">
        <w:rPr>
          <w:i/>
          <w:iCs/>
        </w:rPr>
        <w:t>a)</w:t>
      </w:r>
      <w:r w:rsidRPr="009118AB">
        <w:t> Nicht alle an der Gestaltung Beteiligten sind im selben Hoheitsgebiet steuerlich ansässig.</w:t>
      </w:r>
    </w:p>
    <w:p w14:paraId="71E40E0E" w14:textId="77777777" w:rsidR="00394C50" w:rsidRPr="009118AB" w:rsidRDefault="00394C50" w:rsidP="00394C50">
      <w:pPr>
        <w:jc w:val="both"/>
      </w:pPr>
    </w:p>
    <w:p w14:paraId="54FC2D0A" w14:textId="77777777" w:rsidR="00394C50" w:rsidRPr="009118AB" w:rsidRDefault="00394C50" w:rsidP="00394C50">
      <w:pPr>
        <w:ind w:firstLine="708"/>
        <w:jc w:val="both"/>
      </w:pPr>
      <w:r w:rsidRPr="009118AB">
        <w:rPr>
          <w:i/>
          <w:iCs/>
        </w:rPr>
        <w:t>b)</w:t>
      </w:r>
      <w:r w:rsidRPr="009118AB">
        <w:t> Einer oder mehrere der an der Gestaltung Beteiligten ist/sind gleichzeitig in mehreren Hoheitsgebieten steuerlich ansässig.</w:t>
      </w:r>
    </w:p>
    <w:p w14:paraId="6958BF82" w14:textId="77777777" w:rsidR="00394C50" w:rsidRPr="009118AB" w:rsidRDefault="00394C50" w:rsidP="00394C50">
      <w:pPr>
        <w:jc w:val="both"/>
      </w:pPr>
    </w:p>
    <w:p w14:paraId="0CB7C721" w14:textId="77777777" w:rsidR="00394C50" w:rsidRPr="009118AB" w:rsidRDefault="00394C50" w:rsidP="00394C50">
      <w:pPr>
        <w:ind w:firstLine="708"/>
        <w:jc w:val="both"/>
      </w:pPr>
      <w:r w:rsidRPr="009118AB">
        <w:rPr>
          <w:i/>
          <w:iCs/>
        </w:rPr>
        <w:t>c)</w:t>
      </w:r>
      <w:r w:rsidRPr="009118AB">
        <w:t> Einer oder mehrere der an der Gestaltung Beteiligten übt/üben in einem anderen Hoheitsgebiet über eine dort gelegene Betriebsstätte eine Geschäftstätigkeit aus und die Gestaltung stellt teilweise oder ganz die durch die Betriebsstätte ausgeübte Geschäftstätigkeit dar.</w:t>
      </w:r>
    </w:p>
    <w:p w14:paraId="015EFBDB" w14:textId="77777777" w:rsidR="00394C50" w:rsidRPr="009118AB" w:rsidRDefault="00394C50" w:rsidP="00394C50">
      <w:pPr>
        <w:jc w:val="both"/>
      </w:pPr>
    </w:p>
    <w:p w14:paraId="33F0C33F" w14:textId="77777777" w:rsidR="00394C50" w:rsidRPr="009118AB" w:rsidRDefault="00394C50" w:rsidP="00394C50">
      <w:pPr>
        <w:ind w:firstLine="708"/>
        <w:jc w:val="both"/>
      </w:pPr>
      <w:r w:rsidRPr="009118AB">
        <w:rPr>
          <w:i/>
          <w:iCs/>
        </w:rPr>
        <w:t>d)</w:t>
      </w:r>
      <w:r w:rsidRPr="009118AB">
        <w:t> Einer oder mehrere der an der Gestaltung Beteiligten übt/üben in einem anderen Hoheitsgebiet eine Tätigkeit aus, ohne dort steuerlich ansässig zu sein oder eine Betriebsstätte zu begründen.</w:t>
      </w:r>
    </w:p>
    <w:p w14:paraId="367F14B1" w14:textId="77777777" w:rsidR="00394C50" w:rsidRPr="009118AB" w:rsidRDefault="00394C50" w:rsidP="00394C50">
      <w:pPr>
        <w:jc w:val="both"/>
      </w:pPr>
    </w:p>
    <w:p w14:paraId="4449903F" w14:textId="77777777" w:rsidR="00394C50" w:rsidRPr="009118AB" w:rsidRDefault="00394C50" w:rsidP="00394C50">
      <w:pPr>
        <w:ind w:firstLine="708"/>
        <w:jc w:val="both"/>
      </w:pPr>
      <w:r w:rsidRPr="009118AB">
        <w:rPr>
          <w:i/>
          <w:iCs/>
        </w:rPr>
        <w:t>e)</w:t>
      </w:r>
      <w:r w:rsidRPr="009118AB">
        <w:t> Eine solche Gestaltung hat möglicherweise Auswirkungen auf den automatischen Informationsaustausch oder die Identifizierung der wirtschaftlichen Eigentümer.</w:t>
      </w:r>
    </w:p>
    <w:p w14:paraId="552F9D0C" w14:textId="77777777" w:rsidR="00394C50" w:rsidRPr="009118AB" w:rsidRDefault="00394C50" w:rsidP="00394C50">
      <w:pPr>
        <w:jc w:val="both"/>
      </w:pPr>
    </w:p>
    <w:p w14:paraId="1EA8BF3C" w14:textId="77777777" w:rsidR="00394C50" w:rsidRPr="009118AB" w:rsidRDefault="00394C50" w:rsidP="00394C50">
      <w:pPr>
        <w:ind w:firstLine="708"/>
        <w:jc w:val="both"/>
      </w:pPr>
      <w:r w:rsidRPr="009118AB">
        <w:t>Bei einer Gestaltung kann es sich auch um eine Reihe von Gestaltungen handeln. Eine Gestaltung kann mehr als einen Schritt oder Teil umfassen,</w:t>
      </w:r>
    </w:p>
    <w:p w14:paraId="4ABD2D86" w14:textId="77777777" w:rsidR="00394C50" w:rsidRPr="009118AB" w:rsidRDefault="00394C50" w:rsidP="00394C50">
      <w:pPr>
        <w:jc w:val="both"/>
      </w:pPr>
    </w:p>
    <w:p w14:paraId="56884785" w14:textId="77777777" w:rsidR="00394C50" w:rsidRPr="009118AB" w:rsidRDefault="00394C50" w:rsidP="00394C50">
      <w:pPr>
        <w:ind w:firstLine="708"/>
        <w:jc w:val="both"/>
      </w:pPr>
      <w:r w:rsidRPr="009118AB">
        <w:t>2. "meldepflichtiger grenzüberschreitender Gestaltung": grenzüberschreitende Gestal</w:t>
      </w:r>
      <w:r w:rsidRPr="009118AB">
        <w:softHyphen/>
        <w:t>tung, die mindestens eines der in Artikel 326/2 erwähnten Kennzeichen aufweist,</w:t>
      </w:r>
    </w:p>
    <w:p w14:paraId="452C8AFD" w14:textId="77777777" w:rsidR="00394C50" w:rsidRPr="009118AB" w:rsidRDefault="00394C50" w:rsidP="00394C50">
      <w:pPr>
        <w:jc w:val="both"/>
      </w:pPr>
    </w:p>
    <w:p w14:paraId="58DCE54C" w14:textId="77777777" w:rsidR="00394C50" w:rsidRPr="009118AB" w:rsidRDefault="00394C50" w:rsidP="00394C50">
      <w:pPr>
        <w:ind w:firstLine="708"/>
        <w:jc w:val="both"/>
      </w:pPr>
      <w:r w:rsidRPr="009118AB">
        <w:t>3. "Kennzeichen": Merkmal oder Eigenschaft einer grenzüberschreitenden Gestaltung wie in Artikel 326/2 erwähnt, das beziehungsweise die auf ein potenzielles Risiko der Steuervermeidung hindeutet,</w:t>
      </w:r>
    </w:p>
    <w:p w14:paraId="2D558933" w14:textId="77777777" w:rsidR="00394C50" w:rsidRPr="009118AB" w:rsidRDefault="00394C50" w:rsidP="00394C50">
      <w:pPr>
        <w:jc w:val="both"/>
      </w:pPr>
    </w:p>
    <w:p w14:paraId="457D3548" w14:textId="77777777" w:rsidR="00394C50" w:rsidRPr="009118AB" w:rsidRDefault="00394C50" w:rsidP="00394C50">
      <w:pPr>
        <w:ind w:firstLine="708"/>
        <w:jc w:val="both"/>
      </w:pPr>
      <w:r w:rsidRPr="009118AB">
        <w:t>4. "Intermediär": Person, die eine meldepflichtige grenzüberschreitende Gestaltung konzipiert, vermarktet, organisiert oder zur Umsetzung bereitstellt oder die die Umsetzung einer solchen Gestaltung verwaltet.</w:t>
      </w:r>
    </w:p>
    <w:p w14:paraId="6F71D722" w14:textId="77777777" w:rsidR="00394C50" w:rsidRPr="009118AB" w:rsidRDefault="00394C50" w:rsidP="00394C50">
      <w:pPr>
        <w:jc w:val="both"/>
      </w:pPr>
    </w:p>
    <w:p w14:paraId="7D57143B" w14:textId="0BC32C5B" w:rsidR="00394C50" w:rsidRPr="009118AB" w:rsidRDefault="00394C50" w:rsidP="00394C50">
      <w:pPr>
        <w:ind w:firstLine="708"/>
        <w:jc w:val="both"/>
      </w:pPr>
      <w:r w:rsidRPr="009118AB">
        <w:t>Als Intermediär wird auch eine Person bezeichnet, die</w:t>
      </w:r>
      <w:r w:rsidR="00D67EB8" w:rsidRPr="009118AB">
        <w:t> - </w:t>
      </w:r>
      <w:r w:rsidRPr="009118AB">
        <w:t>unter Berücksichtigung der relevanten Fakten und Umstände und auf der Grundlage der verfügbaren Informationen sowie des einschlägigen Fachwissens und Verständnisses, die für die Erbringung solcher Dienstleistungen erforderlich sind,</w:t>
      </w:r>
      <w:r w:rsidR="00D67EB8" w:rsidRPr="009118AB">
        <w:t> - </w:t>
      </w:r>
      <w:r w:rsidRPr="009118AB">
        <w:t>weiß oder vernünftigerweise wissen müsste, dass sie unmittelbar oder über andere Personen Hilfe, Unterstützung oder Beratung im Hinblick auf Konzeption, Vermarktung, Organisation, Bereitstellung zur Umsetzung oder Verwaltung der Umsetzung einer meldepflichtigen grenzüberschreitenden Gestaltung geleistet hat. Jede Person hat das Recht, Beweise zu erbringen, wonach sie nicht wusste oder vernünftigerweise nicht wissen konnte, dass sie an einer meldepflichtigen grenzüberschreitenden Gestaltung beteiligt war. Die betreffende Person kann zu diesem Zweck alle relevanten Fakten und Umstände sowie verfügbaren Informationen und ihr einschlägiges Fachwissen und Verständnis geltend machen.</w:t>
      </w:r>
    </w:p>
    <w:p w14:paraId="10B01665" w14:textId="77777777" w:rsidR="00394C50" w:rsidRPr="009118AB" w:rsidRDefault="00394C50" w:rsidP="00394C50">
      <w:pPr>
        <w:jc w:val="both"/>
      </w:pPr>
    </w:p>
    <w:p w14:paraId="4E57D704" w14:textId="77777777" w:rsidR="00394C50" w:rsidRPr="009118AB" w:rsidRDefault="00394C50" w:rsidP="00394C50">
      <w:pPr>
        <w:ind w:firstLine="708"/>
        <w:jc w:val="both"/>
      </w:pPr>
      <w:r w:rsidRPr="009118AB">
        <w:t>Damit eine Person als Intermediär fungieren kann, muss sie mindestens eine der folgenden zusätzlichen Bedingungen erfüllen:</w:t>
      </w:r>
    </w:p>
    <w:p w14:paraId="1AE08262" w14:textId="77777777" w:rsidR="00394C50" w:rsidRPr="009118AB" w:rsidRDefault="00394C50" w:rsidP="00394C50">
      <w:pPr>
        <w:jc w:val="both"/>
      </w:pPr>
    </w:p>
    <w:p w14:paraId="31F6997B" w14:textId="77777777" w:rsidR="00394C50" w:rsidRPr="009118AB" w:rsidRDefault="00394C50" w:rsidP="00394C50">
      <w:pPr>
        <w:ind w:firstLine="708"/>
        <w:jc w:val="both"/>
      </w:pPr>
      <w:r w:rsidRPr="009118AB">
        <w:rPr>
          <w:i/>
          <w:iCs/>
        </w:rPr>
        <w:t>a)</w:t>
      </w:r>
      <w:r w:rsidRPr="009118AB">
        <w:t> Sie ist in einem Mitgliedstaat steuerlich ansässig.</w:t>
      </w:r>
    </w:p>
    <w:p w14:paraId="5C6AE025" w14:textId="77777777" w:rsidR="00394C50" w:rsidRPr="009118AB" w:rsidRDefault="00394C50" w:rsidP="00394C50">
      <w:pPr>
        <w:jc w:val="both"/>
      </w:pPr>
    </w:p>
    <w:p w14:paraId="0B25CAD4" w14:textId="77777777" w:rsidR="00394C50" w:rsidRPr="009118AB" w:rsidRDefault="00394C50" w:rsidP="00394C50">
      <w:pPr>
        <w:ind w:firstLine="708"/>
        <w:jc w:val="both"/>
      </w:pPr>
      <w:r w:rsidRPr="009118AB">
        <w:rPr>
          <w:i/>
          <w:iCs/>
        </w:rPr>
        <w:t>b)</w:t>
      </w:r>
      <w:r w:rsidRPr="009118AB">
        <w:t> Sie hat eine Betriebsstätte in einem Mitgliedstaat, durch die die Dienstleistungen im Zusammenhang mit der Gestaltung erbracht werden.</w:t>
      </w:r>
    </w:p>
    <w:p w14:paraId="43E2E342" w14:textId="77777777" w:rsidR="00394C50" w:rsidRPr="009118AB" w:rsidRDefault="00394C50" w:rsidP="00394C50">
      <w:pPr>
        <w:jc w:val="both"/>
      </w:pPr>
    </w:p>
    <w:p w14:paraId="72353650" w14:textId="77777777" w:rsidR="00394C50" w:rsidRPr="009118AB" w:rsidRDefault="00394C50" w:rsidP="00394C50">
      <w:pPr>
        <w:ind w:firstLine="708"/>
        <w:jc w:val="both"/>
      </w:pPr>
      <w:r w:rsidRPr="009118AB">
        <w:rPr>
          <w:i/>
          <w:iCs/>
        </w:rPr>
        <w:t>c)</w:t>
      </w:r>
      <w:r w:rsidRPr="009118AB">
        <w:t> Sie ist nach dem Recht eines Mitgliedstaates eingetragen oder unterliegt dem Recht eines Mitgliedstaates.</w:t>
      </w:r>
    </w:p>
    <w:p w14:paraId="7E718502" w14:textId="77777777" w:rsidR="00394C50" w:rsidRPr="009118AB" w:rsidRDefault="00394C50" w:rsidP="00394C50">
      <w:pPr>
        <w:jc w:val="both"/>
      </w:pPr>
    </w:p>
    <w:p w14:paraId="640897EF" w14:textId="77777777" w:rsidR="00394C50" w:rsidRPr="009118AB" w:rsidRDefault="00394C50" w:rsidP="00394C50">
      <w:pPr>
        <w:ind w:firstLine="708"/>
        <w:jc w:val="both"/>
      </w:pPr>
      <w:r w:rsidRPr="009118AB">
        <w:rPr>
          <w:i/>
          <w:iCs/>
        </w:rPr>
        <w:t>d)</w:t>
      </w:r>
      <w:r w:rsidRPr="009118AB">
        <w:t> Sie ist in einem Mitgliedstaat Mitglied eines Berufsverbands für juristische, steuerliche oder beratende Dienstleistungen,</w:t>
      </w:r>
    </w:p>
    <w:p w14:paraId="38B98F8E" w14:textId="77777777" w:rsidR="00394C50" w:rsidRPr="009118AB" w:rsidRDefault="00394C50" w:rsidP="00394C50">
      <w:pPr>
        <w:jc w:val="both"/>
      </w:pPr>
    </w:p>
    <w:p w14:paraId="41C50B5C" w14:textId="77777777" w:rsidR="00394C50" w:rsidRPr="009118AB" w:rsidRDefault="00394C50" w:rsidP="00394C50">
      <w:pPr>
        <w:ind w:firstLine="708"/>
        <w:jc w:val="both"/>
      </w:pPr>
      <w:r w:rsidRPr="009118AB">
        <w:t>5. "relevantem Steuerpflichtigen": Person, der eine meldepflichtige grenzüberschrei</w:t>
      </w:r>
      <w:r w:rsidRPr="009118AB">
        <w:softHyphen/>
        <w:t>tende Gestaltung zur Umsetzung bereitgestellt wird oder die bereit ist, eine meldepflichtige grenzüberschreitende Gestaltung umzusetzen, oder die den ersten Schritt einer solchen Gestaltung umgesetzt hat,</w:t>
      </w:r>
    </w:p>
    <w:p w14:paraId="3F519AEB" w14:textId="77777777" w:rsidR="00394C50" w:rsidRPr="009118AB" w:rsidRDefault="00394C50" w:rsidP="00394C50">
      <w:pPr>
        <w:jc w:val="both"/>
      </w:pPr>
    </w:p>
    <w:p w14:paraId="38B102B0" w14:textId="77777777" w:rsidR="00394C50" w:rsidRPr="009118AB" w:rsidRDefault="00394C50" w:rsidP="00394C50">
      <w:pPr>
        <w:ind w:firstLine="708"/>
        <w:jc w:val="both"/>
      </w:pPr>
      <w:r w:rsidRPr="009118AB">
        <w:t>6. "marktfähiger Gestaltung": grenzüberschreitende Gestaltung, die konzipiert wird, vermarktet wird, umsetzungsbereit ist oder zur Umsetzung bereitgestellt wird, ohne dass sie wesentlich individuell angepasst werden muss,</w:t>
      </w:r>
    </w:p>
    <w:p w14:paraId="79C0E131" w14:textId="77777777" w:rsidR="00394C50" w:rsidRPr="009118AB" w:rsidRDefault="00394C50" w:rsidP="00394C50">
      <w:pPr>
        <w:jc w:val="both"/>
      </w:pPr>
    </w:p>
    <w:p w14:paraId="778C0B09" w14:textId="2287D76C" w:rsidR="00394C50" w:rsidRPr="009118AB" w:rsidRDefault="00394C50" w:rsidP="00394C50">
      <w:pPr>
        <w:ind w:firstLine="708"/>
        <w:jc w:val="both"/>
      </w:pPr>
      <w:r w:rsidRPr="009118AB">
        <w:t>7. "maßgeschneiderter Gestaltung": grenzüberschreitende Gestaltung, bei der es sich nicht um eine marktfähige Gestaltung handelt.]</w:t>
      </w:r>
    </w:p>
    <w:p w14:paraId="52904A62" w14:textId="3D9542CC" w:rsidR="00394C50" w:rsidRPr="009118AB" w:rsidRDefault="00394C50" w:rsidP="00394C50">
      <w:pPr>
        <w:jc w:val="both"/>
      </w:pPr>
    </w:p>
    <w:p w14:paraId="223058EA" w14:textId="50101EB9" w:rsidR="00394C50" w:rsidRPr="009118AB" w:rsidRDefault="00394C50" w:rsidP="00394C50">
      <w:pPr>
        <w:jc w:val="both"/>
        <w:rPr>
          <w:i/>
        </w:rPr>
      </w:pPr>
      <w:r w:rsidRPr="009118AB">
        <w:rPr>
          <w:i/>
        </w:rPr>
        <w:t>[</w:t>
      </w:r>
      <w:r w:rsidR="00D67EB8" w:rsidRPr="009118AB">
        <w:rPr>
          <w:i/>
        </w:rPr>
        <w:t>Art. </w:t>
      </w:r>
      <w:r w:rsidRPr="009118AB">
        <w:rPr>
          <w:i/>
        </w:rPr>
        <w:t xml:space="preserve">326/1 eingefügt durch </w:t>
      </w:r>
      <w:r w:rsidR="00D67EB8" w:rsidRPr="009118AB">
        <w:rPr>
          <w:i/>
        </w:rPr>
        <w:t>Art. </w:t>
      </w:r>
      <w:r w:rsidRPr="009118AB">
        <w:rPr>
          <w:i/>
        </w:rPr>
        <w:t>3 des G. vom 20. Dezember 2019 (B.S. vom 30. Dezember 2019)</w:t>
      </w:r>
      <w:r w:rsidR="00D67EB8" w:rsidRPr="009118AB">
        <w:rPr>
          <w:i/>
        </w:rPr>
        <w:t> - </w:t>
      </w:r>
      <w:r w:rsidR="0058318B" w:rsidRPr="009118AB">
        <w:rPr>
          <w:i/>
        </w:rPr>
        <w:t>in Kraft am 1. Juli 2020</w:t>
      </w:r>
      <w:r w:rsidR="00FD68E8" w:rsidRPr="009118AB">
        <w:rPr>
          <w:i/>
        </w:rPr>
        <w:t> -]</w:t>
      </w:r>
    </w:p>
    <w:p w14:paraId="04828405" w14:textId="77777777" w:rsidR="00394C50" w:rsidRPr="009118AB" w:rsidRDefault="00394C50" w:rsidP="00394C50">
      <w:pPr>
        <w:jc w:val="both"/>
      </w:pPr>
    </w:p>
    <w:p w14:paraId="521401BC" w14:textId="77777777" w:rsidR="00394C50" w:rsidRPr="009118AB" w:rsidRDefault="00394C50" w:rsidP="00394C50">
      <w:pPr>
        <w:jc w:val="both"/>
      </w:pPr>
    </w:p>
    <w:p w14:paraId="64935F50" w14:textId="049513D2" w:rsidR="00394C50" w:rsidRPr="009118AB" w:rsidRDefault="00394C50" w:rsidP="00394C50">
      <w:pPr>
        <w:ind w:firstLine="708"/>
        <w:jc w:val="both"/>
      </w:pPr>
      <w:r w:rsidRPr="009118AB">
        <w:t>[</w:t>
      </w:r>
      <w:r w:rsidR="00D67EB8" w:rsidRPr="009118AB">
        <w:rPr>
          <w:b/>
        </w:rPr>
        <w:t>Art. </w:t>
      </w:r>
      <w:r w:rsidRPr="009118AB">
        <w:rPr>
          <w:b/>
        </w:rPr>
        <w:t>326/2</w:t>
      </w:r>
      <w:r w:rsidR="00D67EB8" w:rsidRPr="009118AB">
        <w:t> - </w:t>
      </w:r>
      <w:r w:rsidRPr="009118AB">
        <w:t xml:space="preserve">Die in Artikel 326/1 </w:t>
      </w:r>
      <w:r w:rsidR="00D67EB8" w:rsidRPr="009118AB">
        <w:t>Nr. </w:t>
      </w:r>
      <w:r w:rsidRPr="009118AB">
        <w:t>3 erwähnten Kennzeichen einer grenzüberschrei</w:t>
      </w:r>
      <w:r w:rsidRPr="009118AB">
        <w:softHyphen/>
        <w:t>tenden Gestaltung können in fünf Kategorien unterteilt werden: Kategorie A der allgemeinen Kennzeichen in Verbindung mit dem in Absatz 2 erwähnten "Main benefit"-Test, Kategorie B der spezifischen Kennzeichen in Verbindung mit dem vorerwähnten "Main benefit"-Test, Kategorie C der spezifischen Kennzeichen im Zusammenhang mit grenzüberschreitenden Transaktionen, Kategorie D der spezifischen Kennzeichen hinsichtlich des automatischen Informationsaustauschs und der wirtschaftlichen Eigentümer und schließlich Kategorie E der spezifischen Kennzeichen hinsichtlich der Verrechnungspreisgestaltung.</w:t>
      </w:r>
    </w:p>
    <w:p w14:paraId="04BC6DFC" w14:textId="77777777" w:rsidR="00394C50" w:rsidRPr="009118AB" w:rsidRDefault="00394C50" w:rsidP="00394C50">
      <w:pPr>
        <w:jc w:val="both"/>
      </w:pPr>
    </w:p>
    <w:p w14:paraId="4BD421EE" w14:textId="1E5B3E44" w:rsidR="00394C50" w:rsidRPr="009118AB" w:rsidRDefault="00394C50" w:rsidP="00394C50">
      <w:pPr>
        <w:ind w:firstLine="708"/>
        <w:jc w:val="both"/>
      </w:pPr>
      <w:r w:rsidRPr="009118AB">
        <w:t xml:space="preserve">In Absatz 4 erwähnte allgemeine Kennzeichen gemäß Kategorie A, in Absatz 5 erwähnte spezifische Kennzeichen gemäß Kategorie B und in Absatz 6 </w:t>
      </w:r>
      <w:r w:rsidR="00D67EB8" w:rsidRPr="009118AB">
        <w:t>Nr. </w:t>
      </w:r>
      <w:r w:rsidRPr="009118AB">
        <w:t>1 Buchstabe </w:t>
      </w:r>
      <w:r w:rsidRPr="009118AB">
        <w:rPr>
          <w:i/>
          <w:iCs/>
        </w:rPr>
        <w:t>b)</w:t>
      </w:r>
      <w:r w:rsidRPr="009118AB">
        <w:t xml:space="preserve"> erster Gedankenstrich, Buchstabe </w:t>
      </w:r>
      <w:r w:rsidRPr="009118AB">
        <w:rPr>
          <w:i/>
          <w:iCs/>
        </w:rPr>
        <w:t>c)</w:t>
      </w:r>
      <w:r w:rsidRPr="009118AB">
        <w:t xml:space="preserve"> und Buchstabe </w:t>
      </w:r>
      <w:r w:rsidRPr="009118AB">
        <w:rPr>
          <w:i/>
          <w:iCs/>
        </w:rPr>
        <w:t>d)</w:t>
      </w:r>
      <w:r w:rsidRPr="009118AB">
        <w:t xml:space="preserve"> erwähnte spezifische Kennzeichen gemäß Kategorie C können nur berücksichtigt werden, wenn festgestellt werden kann, dass der Hauptvorteil oder einer der Hauptvorteile, den eine Person unter Berücksichtigung aller relevanten Fakten und Umstände vernünftigerweise von einer Gestaltung erwarten kann, die Erlangung eines Steuervorteils ist. Dies ist das so genannte Kriterium des "Main benefit"-Tests.</w:t>
      </w:r>
    </w:p>
    <w:p w14:paraId="242688F2" w14:textId="77777777" w:rsidR="00394C50" w:rsidRPr="009118AB" w:rsidRDefault="00394C50" w:rsidP="00394C50">
      <w:pPr>
        <w:jc w:val="both"/>
      </w:pPr>
    </w:p>
    <w:p w14:paraId="75606B73" w14:textId="45B845E4" w:rsidR="00394C50" w:rsidRPr="009118AB" w:rsidRDefault="00394C50" w:rsidP="00394C50">
      <w:pPr>
        <w:ind w:firstLine="708"/>
        <w:jc w:val="both"/>
      </w:pPr>
      <w:r w:rsidRPr="009118AB">
        <w:t xml:space="preserve">Bezüglich des in Absatz 6 </w:t>
      </w:r>
      <w:r w:rsidR="00D67EB8" w:rsidRPr="009118AB">
        <w:t>Nr. </w:t>
      </w:r>
      <w:r w:rsidRPr="009118AB">
        <w:t xml:space="preserve">1 erwähnten spezifischen Kennzeichens gemäß Kategorie C reicht die Erfüllung einer der in demselben Absatz 6 </w:t>
      </w:r>
      <w:r w:rsidR="00D67EB8" w:rsidRPr="009118AB">
        <w:t>Nr. </w:t>
      </w:r>
      <w:r w:rsidRPr="009118AB">
        <w:t>1 Buchstabe </w:t>
      </w:r>
      <w:r w:rsidRPr="009118AB">
        <w:rPr>
          <w:i/>
          <w:iCs/>
        </w:rPr>
        <w:t>b)</w:t>
      </w:r>
      <w:r w:rsidRPr="009118AB">
        <w:t xml:space="preserve"> erster Gedankenstrich, Buchstabe </w:t>
      </w:r>
      <w:r w:rsidRPr="009118AB">
        <w:rPr>
          <w:i/>
          <w:iCs/>
        </w:rPr>
        <w:t>c)</w:t>
      </w:r>
      <w:r w:rsidRPr="009118AB">
        <w:t xml:space="preserve"> und Buchstabe </w:t>
      </w:r>
      <w:r w:rsidRPr="009118AB">
        <w:rPr>
          <w:i/>
          <w:iCs/>
        </w:rPr>
        <w:t>d)</w:t>
      </w:r>
      <w:r w:rsidRPr="009118AB">
        <w:t xml:space="preserve"> erwähnten Bedingungen nicht aus für die Feststellung, dass eine Gestaltung das in Absatz 2 erwähnte Kriterium des "Main benefit"-Tests erfüllt.</w:t>
      </w:r>
    </w:p>
    <w:p w14:paraId="0F071C2F" w14:textId="77777777" w:rsidR="00394C50" w:rsidRPr="009118AB" w:rsidRDefault="00394C50" w:rsidP="00394C50">
      <w:pPr>
        <w:jc w:val="both"/>
      </w:pPr>
    </w:p>
    <w:p w14:paraId="1ED0DEDD" w14:textId="77777777" w:rsidR="00394C50" w:rsidRPr="009118AB" w:rsidRDefault="00394C50" w:rsidP="00394C50">
      <w:pPr>
        <w:ind w:firstLine="708"/>
        <w:jc w:val="both"/>
      </w:pPr>
      <w:r w:rsidRPr="009118AB">
        <w:t>Als allgemeines Kennzeichen der Kategorie A gilt:</w:t>
      </w:r>
    </w:p>
    <w:p w14:paraId="4E028912" w14:textId="77777777" w:rsidR="00394C50" w:rsidRPr="009118AB" w:rsidRDefault="00394C50" w:rsidP="00394C50">
      <w:pPr>
        <w:jc w:val="both"/>
      </w:pPr>
    </w:p>
    <w:p w14:paraId="525147A3" w14:textId="77777777" w:rsidR="00394C50" w:rsidRPr="009118AB" w:rsidRDefault="00394C50" w:rsidP="00394C50">
      <w:pPr>
        <w:ind w:firstLine="708"/>
        <w:jc w:val="both"/>
      </w:pPr>
      <w:r w:rsidRPr="009118AB">
        <w:t>1. Es liegt eine Gestaltung vor, bei der der relevante Steuerpflichtige oder ein an der Gestaltung Beteiligter sich verpflichtet, eine Vertraulichkeitsklausel einzuhalten, der zufolge sie gegenüber anderen Intermediären oder den Steuerbehörden nicht offenlegen dürfen, auf welche Weise aufgrund der Gestaltung ein Steuervorteil erlangt wird.</w:t>
      </w:r>
    </w:p>
    <w:p w14:paraId="133618BA" w14:textId="77777777" w:rsidR="00394C50" w:rsidRPr="009118AB" w:rsidRDefault="00394C50" w:rsidP="00394C50">
      <w:pPr>
        <w:jc w:val="both"/>
      </w:pPr>
    </w:p>
    <w:p w14:paraId="1D5F4940" w14:textId="77777777" w:rsidR="00394C50" w:rsidRPr="009118AB" w:rsidRDefault="00394C50" w:rsidP="00394C50">
      <w:pPr>
        <w:ind w:firstLine="708"/>
        <w:jc w:val="both"/>
      </w:pPr>
      <w:r w:rsidRPr="009118AB">
        <w:t>2. Es liegt eine Gestaltung vor, bei der der Intermediär Anspruch auf eine Vergütung (beziehungsweise Zinsen, Vergütung der Finanzkosten und sonstiger Kosten) für die Gestaltung hat und diese Vergütung in Bezug auf Folgendes festgesetzt wird:</w:t>
      </w:r>
    </w:p>
    <w:p w14:paraId="6B89E022" w14:textId="77777777" w:rsidR="00394C50" w:rsidRPr="009118AB" w:rsidRDefault="00394C50" w:rsidP="00394C50">
      <w:pPr>
        <w:jc w:val="both"/>
      </w:pPr>
    </w:p>
    <w:p w14:paraId="236867EC" w14:textId="77777777" w:rsidR="00394C50" w:rsidRPr="009118AB" w:rsidRDefault="00394C50" w:rsidP="00394C50">
      <w:pPr>
        <w:ind w:firstLine="708"/>
        <w:jc w:val="both"/>
      </w:pPr>
      <w:r w:rsidRPr="009118AB">
        <w:rPr>
          <w:i/>
          <w:iCs/>
        </w:rPr>
        <w:t>a)</w:t>
      </w:r>
      <w:r w:rsidRPr="009118AB">
        <w:t> Betrag des aufgrund der Gestaltung erlangten Steuervorteils oder</w:t>
      </w:r>
    </w:p>
    <w:p w14:paraId="77678E0A" w14:textId="77777777" w:rsidR="00394C50" w:rsidRPr="009118AB" w:rsidRDefault="00394C50" w:rsidP="00394C50">
      <w:pPr>
        <w:jc w:val="both"/>
      </w:pPr>
    </w:p>
    <w:p w14:paraId="5AC11682" w14:textId="77777777" w:rsidR="00394C50" w:rsidRPr="009118AB" w:rsidRDefault="00394C50" w:rsidP="00394C50">
      <w:pPr>
        <w:ind w:firstLine="708"/>
        <w:jc w:val="both"/>
      </w:pPr>
      <w:r w:rsidRPr="009118AB">
        <w:rPr>
          <w:i/>
          <w:iCs/>
        </w:rPr>
        <w:t>b)</w:t>
      </w:r>
      <w:r w:rsidRPr="009118AB">
        <w:t> ob durch die Gestaltung tatsächlich ein Steuervorteil erlangt wird. Dies wäre mit der Verpflichtung des Intermediärs verbunden, die Vergütungen ganz oder teilweise zurück</w:t>
      </w:r>
      <w:r w:rsidRPr="009118AB">
        <w:softHyphen/>
        <w:t>zuerstatten, falls der mit der Gestaltung beabsichtigte Steuervorteil nicht ganz oder teilweise erzielt wird.</w:t>
      </w:r>
    </w:p>
    <w:p w14:paraId="3C896340" w14:textId="77777777" w:rsidR="00394C50" w:rsidRPr="009118AB" w:rsidRDefault="00394C50" w:rsidP="00394C50">
      <w:pPr>
        <w:jc w:val="both"/>
      </w:pPr>
    </w:p>
    <w:p w14:paraId="7DB168E9" w14:textId="77777777" w:rsidR="00394C50" w:rsidRPr="009118AB" w:rsidRDefault="00394C50" w:rsidP="00394C50">
      <w:pPr>
        <w:ind w:firstLine="708"/>
        <w:jc w:val="both"/>
      </w:pPr>
      <w:r w:rsidRPr="009118AB">
        <w:t>3. Es liegt eine Gestaltung vor, deren Dokumentation und/oder Struktur im Wesent</w:t>
      </w:r>
      <w:r w:rsidRPr="009118AB">
        <w:softHyphen/>
        <w:t>lichen standardisiert ist und für mehr als einen relevanten Steuerpflichtigen verfügbar ist, ohne dass sie für die Umsetzung wesentlich individuell angepasst werden muss.</w:t>
      </w:r>
    </w:p>
    <w:p w14:paraId="1A12AA9B" w14:textId="77777777" w:rsidR="00394C50" w:rsidRPr="009118AB" w:rsidRDefault="00394C50" w:rsidP="00394C50">
      <w:pPr>
        <w:jc w:val="both"/>
      </w:pPr>
    </w:p>
    <w:p w14:paraId="5927CECE" w14:textId="77777777" w:rsidR="00394C50" w:rsidRPr="009118AB" w:rsidRDefault="00394C50" w:rsidP="00394C50">
      <w:pPr>
        <w:ind w:firstLine="708"/>
        <w:jc w:val="both"/>
      </w:pPr>
      <w:r w:rsidRPr="009118AB">
        <w:t>Als spezifisches Kennzeichen der Kategorie B gilt:</w:t>
      </w:r>
    </w:p>
    <w:p w14:paraId="67358E26" w14:textId="77777777" w:rsidR="00394C50" w:rsidRPr="009118AB" w:rsidRDefault="00394C50" w:rsidP="00394C50">
      <w:pPr>
        <w:jc w:val="both"/>
      </w:pPr>
    </w:p>
    <w:p w14:paraId="0C9B356E" w14:textId="77777777" w:rsidR="00394C50" w:rsidRPr="009118AB" w:rsidRDefault="00394C50" w:rsidP="00394C50">
      <w:pPr>
        <w:ind w:firstLine="708"/>
        <w:jc w:val="both"/>
      </w:pPr>
      <w:r w:rsidRPr="009118AB">
        <w:t>1. Es liegt eine Gestaltung vor, bei der ein an der Gestaltung Beteiligter künstlich Schritte unternimmt, um ein verlustbringendes Unternehmen zu erwerben, die Haupttätigkeit dieses Unternehmens zu beenden und dessen Verluste dafür zu nutzen, seine Steuerbelastung zu verringern, einschließlich der Übertragung dieser Verluste in ein anderes Hoheitsgebiet oder der rascheren Nutzung dieser Verluste.</w:t>
      </w:r>
    </w:p>
    <w:p w14:paraId="395D6679" w14:textId="77777777" w:rsidR="00394C50" w:rsidRPr="009118AB" w:rsidRDefault="00394C50" w:rsidP="00394C50">
      <w:pPr>
        <w:jc w:val="both"/>
      </w:pPr>
    </w:p>
    <w:p w14:paraId="4F30FB8F" w14:textId="77777777" w:rsidR="00394C50" w:rsidRPr="009118AB" w:rsidRDefault="00394C50" w:rsidP="00394C50">
      <w:pPr>
        <w:ind w:firstLine="708"/>
        <w:jc w:val="both"/>
      </w:pPr>
      <w:r w:rsidRPr="009118AB">
        <w:t>2. Es liegt eine Gestaltung vor, die sich so auswirkt, dass Einkünfte in Vermögen, Schenkungen oder andere niedriger besteuerte oder steuerbefreite Arten von Einkünften umgewandelt werden.</w:t>
      </w:r>
    </w:p>
    <w:p w14:paraId="252F815B" w14:textId="77777777" w:rsidR="00394C50" w:rsidRPr="009118AB" w:rsidRDefault="00394C50" w:rsidP="00394C50">
      <w:pPr>
        <w:jc w:val="both"/>
      </w:pPr>
    </w:p>
    <w:p w14:paraId="2A8242D2" w14:textId="77777777" w:rsidR="00394C50" w:rsidRPr="009118AB" w:rsidRDefault="00394C50" w:rsidP="00394C50">
      <w:pPr>
        <w:ind w:firstLine="708"/>
        <w:jc w:val="both"/>
      </w:pPr>
      <w:r w:rsidRPr="009118AB">
        <w:t>3. Es liegt eine Gestaltung vor, die zirkuläre Transaktionen nutzt, die zu einem Round tripping von Vermögen führen, und zwar durch die Einbeziehung zwischengeschalteter Unternehmen ohne primäre wirtschaftliche Funktion oder von Transaktionen, die sich gegenseitig aufheben oder ausgleichen oder die ähnliche Merkmale aufweisen.</w:t>
      </w:r>
    </w:p>
    <w:p w14:paraId="624A460F" w14:textId="77777777" w:rsidR="00394C50" w:rsidRPr="009118AB" w:rsidRDefault="00394C50" w:rsidP="00394C50">
      <w:pPr>
        <w:jc w:val="both"/>
      </w:pPr>
    </w:p>
    <w:p w14:paraId="566E8A22" w14:textId="77777777" w:rsidR="00394C50" w:rsidRPr="009118AB" w:rsidRDefault="00394C50" w:rsidP="00394C50">
      <w:pPr>
        <w:ind w:firstLine="708"/>
        <w:jc w:val="both"/>
      </w:pPr>
      <w:r w:rsidRPr="009118AB">
        <w:t>Als spezifisches Kennzeichen der Kategorie C gilt:</w:t>
      </w:r>
    </w:p>
    <w:p w14:paraId="69B62EA3" w14:textId="77777777" w:rsidR="00394C50" w:rsidRPr="009118AB" w:rsidRDefault="00394C50" w:rsidP="00394C50">
      <w:pPr>
        <w:jc w:val="both"/>
      </w:pPr>
    </w:p>
    <w:p w14:paraId="0D281FD3" w14:textId="77777777" w:rsidR="00394C50" w:rsidRPr="009118AB" w:rsidRDefault="00394C50" w:rsidP="00394C50">
      <w:pPr>
        <w:ind w:firstLine="708"/>
        <w:jc w:val="both"/>
      </w:pPr>
      <w:r w:rsidRPr="009118AB">
        <w:t>1. Es liegt eine Gestaltung vor, die abzugsfähige grenzüberschreitende Zahlungen zwischen zwei oder mehr verbundenen Unternehmen umfasst und bei der mindestens eine der folgenden Bedingungen erfüllt ist:</w:t>
      </w:r>
    </w:p>
    <w:p w14:paraId="575997C0" w14:textId="77777777" w:rsidR="00394C50" w:rsidRPr="009118AB" w:rsidRDefault="00394C50" w:rsidP="00394C50">
      <w:pPr>
        <w:jc w:val="both"/>
      </w:pPr>
    </w:p>
    <w:p w14:paraId="231F8023" w14:textId="77777777" w:rsidR="00394C50" w:rsidRPr="009118AB" w:rsidRDefault="00394C50" w:rsidP="00394C50">
      <w:pPr>
        <w:ind w:firstLine="708"/>
        <w:jc w:val="both"/>
      </w:pPr>
      <w:r w:rsidRPr="009118AB">
        <w:rPr>
          <w:i/>
          <w:iCs/>
        </w:rPr>
        <w:t>a)</w:t>
      </w:r>
      <w:r w:rsidRPr="009118AB">
        <w:t> Der Empfänger ist steuerlich in keinem Hoheitsgebiet ansässig.</w:t>
      </w:r>
    </w:p>
    <w:p w14:paraId="0A837AF6" w14:textId="77777777" w:rsidR="00394C50" w:rsidRPr="009118AB" w:rsidRDefault="00394C50" w:rsidP="00394C50">
      <w:pPr>
        <w:jc w:val="both"/>
      </w:pPr>
    </w:p>
    <w:p w14:paraId="7110E457" w14:textId="77777777" w:rsidR="00394C50" w:rsidRPr="009118AB" w:rsidRDefault="00394C50" w:rsidP="00394C50">
      <w:pPr>
        <w:ind w:firstLine="708"/>
        <w:jc w:val="both"/>
      </w:pPr>
      <w:r w:rsidRPr="009118AB">
        <w:rPr>
          <w:i/>
          <w:iCs/>
        </w:rPr>
        <w:t>b)</w:t>
      </w:r>
      <w:r w:rsidRPr="009118AB">
        <w:t> Der Empfänger ist zwar steuerlich in einem Hoheitsgebiet ansässig, dieses Hoheitsgebiet:</w:t>
      </w:r>
    </w:p>
    <w:p w14:paraId="3014C78E" w14:textId="77777777" w:rsidR="00394C50" w:rsidRPr="009118AB" w:rsidRDefault="00394C50" w:rsidP="00394C50">
      <w:pPr>
        <w:jc w:val="both"/>
      </w:pPr>
    </w:p>
    <w:p w14:paraId="2838666F" w14:textId="77777777" w:rsidR="00394C50" w:rsidRPr="009118AB" w:rsidRDefault="00394C50" w:rsidP="00394C50">
      <w:pPr>
        <w:ind w:firstLine="708"/>
        <w:jc w:val="both"/>
      </w:pPr>
      <w:r w:rsidRPr="009118AB">
        <w:t>- erhebt aber keine Gesellschaftssteuer oder hat einen Gesellschaftssteuersatz von null oder nahe null oder</w:t>
      </w:r>
    </w:p>
    <w:p w14:paraId="16BE6D9E" w14:textId="77777777" w:rsidR="00394C50" w:rsidRPr="009118AB" w:rsidRDefault="00394C50" w:rsidP="00394C50">
      <w:pPr>
        <w:jc w:val="both"/>
      </w:pPr>
    </w:p>
    <w:p w14:paraId="22801034" w14:textId="77777777" w:rsidR="00394C50" w:rsidRPr="009118AB" w:rsidRDefault="00394C50" w:rsidP="00394C50">
      <w:pPr>
        <w:ind w:firstLine="708"/>
        <w:jc w:val="both"/>
      </w:pPr>
      <w:r w:rsidRPr="009118AB">
        <w:t>- wird in der Liste der Drittländer geführt, die von den Mitgliedstaaten gemeinsam oder im Rahmen der OECD als nicht-kooperierende Länder eingestuft wurden.</w:t>
      </w:r>
    </w:p>
    <w:p w14:paraId="25FA7182" w14:textId="77777777" w:rsidR="00394C50" w:rsidRPr="009118AB" w:rsidRDefault="00394C50" w:rsidP="00394C50">
      <w:pPr>
        <w:jc w:val="both"/>
      </w:pPr>
    </w:p>
    <w:p w14:paraId="13E1612B" w14:textId="77777777" w:rsidR="00394C50" w:rsidRPr="009118AB" w:rsidRDefault="00394C50" w:rsidP="00394C50">
      <w:pPr>
        <w:ind w:firstLine="708"/>
        <w:jc w:val="both"/>
      </w:pPr>
      <w:r w:rsidRPr="009118AB">
        <w:rPr>
          <w:i/>
          <w:iCs/>
        </w:rPr>
        <w:t>c)</w:t>
      </w:r>
      <w:r w:rsidRPr="009118AB">
        <w:t> Die Zahlung ist im Hoheitsgebiet, in dem der Empfänger steuerlich ansässig ist, vollständig von der Steuer befreit.</w:t>
      </w:r>
    </w:p>
    <w:p w14:paraId="48597966" w14:textId="77777777" w:rsidR="00394C50" w:rsidRPr="009118AB" w:rsidRDefault="00394C50" w:rsidP="00394C50">
      <w:pPr>
        <w:jc w:val="both"/>
      </w:pPr>
    </w:p>
    <w:p w14:paraId="2B932289" w14:textId="77777777" w:rsidR="00394C50" w:rsidRPr="009118AB" w:rsidRDefault="00394C50" w:rsidP="00394C50">
      <w:pPr>
        <w:ind w:firstLine="708"/>
        <w:jc w:val="both"/>
      </w:pPr>
      <w:r w:rsidRPr="009118AB">
        <w:rPr>
          <w:i/>
          <w:iCs/>
        </w:rPr>
        <w:t>d)</w:t>
      </w:r>
      <w:r w:rsidRPr="009118AB">
        <w:t> Die Zahlung kommt im Hoheitsgebiet, in dem der Empfänger steuerlich ansässig ist, in den Genuss von einem präferentiellen Steuerregime.</w:t>
      </w:r>
    </w:p>
    <w:p w14:paraId="46A0AB80" w14:textId="77777777" w:rsidR="00394C50" w:rsidRPr="009118AB" w:rsidRDefault="00394C50" w:rsidP="00394C50">
      <w:pPr>
        <w:jc w:val="both"/>
      </w:pPr>
    </w:p>
    <w:p w14:paraId="1CE01D27" w14:textId="77777777" w:rsidR="00394C50" w:rsidRPr="009118AB" w:rsidRDefault="00394C50" w:rsidP="00394C50">
      <w:pPr>
        <w:ind w:firstLine="708"/>
        <w:jc w:val="both"/>
      </w:pPr>
      <w:r w:rsidRPr="009118AB">
        <w:t>2. In mehr als einem Hoheitsgebiet werden Abzüge für die Abschreibung desselben Vermögenswertes beantragt.</w:t>
      </w:r>
    </w:p>
    <w:p w14:paraId="5CCB17DD" w14:textId="77777777" w:rsidR="00394C50" w:rsidRPr="009118AB" w:rsidRDefault="00394C50" w:rsidP="00394C50">
      <w:pPr>
        <w:jc w:val="both"/>
      </w:pPr>
    </w:p>
    <w:p w14:paraId="765F6A0D" w14:textId="77777777" w:rsidR="00394C50" w:rsidRPr="009118AB" w:rsidRDefault="00394C50" w:rsidP="00394C50">
      <w:pPr>
        <w:ind w:firstLine="708"/>
        <w:jc w:val="both"/>
      </w:pPr>
      <w:r w:rsidRPr="009118AB">
        <w:t>3. In mehr als einem Hoheitsgebiet wird eine Befreiung von der Doppelbesteuerung für dieselben Einkünfte oder dasselbe Vermögen beantragt.</w:t>
      </w:r>
    </w:p>
    <w:p w14:paraId="45745CB9" w14:textId="77777777" w:rsidR="00394C50" w:rsidRPr="009118AB" w:rsidRDefault="00394C50" w:rsidP="00394C50">
      <w:pPr>
        <w:jc w:val="both"/>
      </w:pPr>
    </w:p>
    <w:p w14:paraId="1C16038B" w14:textId="77777777" w:rsidR="00394C50" w:rsidRPr="009118AB" w:rsidRDefault="00394C50" w:rsidP="00394C50">
      <w:pPr>
        <w:ind w:firstLine="708"/>
        <w:jc w:val="both"/>
      </w:pPr>
      <w:r w:rsidRPr="009118AB">
        <w:t>4. Es liegt eine Gestaltung vor, die die Übertragung von Vermögenswerten vorsieht und bei der es einen wesentlichen Unterschied hinsichtlich des in diesen beteiligten Hoheitsgebieten für den Vermögenswert anzusetzenden Wertes gibt.</w:t>
      </w:r>
    </w:p>
    <w:p w14:paraId="1392B946" w14:textId="77777777" w:rsidR="00394C50" w:rsidRPr="009118AB" w:rsidRDefault="00394C50" w:rsidP="00394C50">
      <w:pPr>
        <w:jc w:val="both"/>
      </w:pPr>
    </w:p>
    <w:p w14:paraId="1EA36301" w14:textId="77777777" w:rsidR="00394C50" w:rsidRPr="009118AB" w:rsidRDefault="00394C50" w:rsidP="00394C50">
      <w:pPr>
        <w:ind w:firstLine="708"/>
        <w:jc w:val="both"/>
      </w:pPr>
      <w:r w:rsidRPr="009118AB">
        <w:t>Als spezifisches Kennzeichen der Kategorie D gilt:</w:t>
      </w:r>
    </w:p>
    <w:p w14:paraId="7D19D5A2" w14:textId="77777777" w:rsidR="00394C50" w:rsidRPr="009118AB" w:rsidRDefault="00394C50" w:rsidP="00394C50">
      <w:pPr>
        <w:jc w:val="both"/>
      </w:pPr>
    </w:p>
    <w:p w14:paraId="63259180" w14:textId="77777777" w:rsidR="00394C50" w:rsidRPr="009118AB" w:rsidRDefault="00394C50" w:rsidP="00394C50">
      <w:pPr>
        <w:ind w:firstLine="708"/>
        <w:jc w:val="both"/>
      </w:pPr>
      <w:r w:rsidRPr="009118AB">
        <w:t>1. Es liegt eine Gestaltung vor, die zu einer Aushöhlung der Meldepflicht gemäß den Rechtsvorschriften zur Umsetzung des Unionsrechts oder gemäß gleichwertigen Abkommen über den automatischen Informationsaustausch über Finanzkonten, einschließlich Abkommen mit Drittländern, führen kann oder sich das Fehlen derartiger Rechtsvorschriften oder Abkommen zunutze macht. Derartige Gestaltungen umfassen zumindest Folgendes:</w:t>
      </w:r>
    </w:p>
    <w:p w14:paraId="334BB9D6" w14:textId="77777777" w:rsidR="00394C50" w:rsidRPr="009118AB" w:rsidRDefault="00394C50" w:rsidP="00394C50">
      <w:pPr>
        <w:jc w:val="both"/>
      </w:pPr>
    </w:p>
    <w:p w14:paraId="7B251484" w14:textId="77777777" w:rsidR="00394C50" w:rsidRPr="009118AB" w:rsidRDefault="00394C50" w:rsidP="00394C50">
      <w:pPr>
        <w:ind w:firstLine="708"/>
        <w:jc w:val="both"/>
      </w:pPr>
      <w:r w:rsidRPr="009118AB">
        <w:rPr>
          <w:i/>
          <w:iCs/>
        </w:rPr>
        <w:t>a)</w:t>
      </w:r>
      <w:r w:rsidRPr="009118AB">
        <w:t> Nutzung eines Kontos, Produkts oder einer Anlage, das/die kein Finanzkonto ist oder vorgeblich kein Finanzkonto ist, jedoch Merkmale aufweist, die im Wesentlichen denen eines Finanzkontos entsprechen,</w:t>
      </w:r>
    </w:p>
    <w:p w14:paraId="5890FA9F" w14:textId="77777777" w:rsidR="00394C50" w:rsidRPr="009118AB" w:rsidRDefault="00394C50" w:rsidP="00394C50">
      <w:pPr>
        <w:jc w:val="both"/>
      </w:pPr>
    </w:p>
    <w:p w14:paraId="4CEB8A8A" w14:textId="77777777" w:rsidR="00394C50" w:rsidRPr="009118AB" w:rsidRDefault="00394C50" w:rsidP="00394C50">
      <w:pPr>
        <w:ind w:firstLine="708"/>
        <w:jc w:val="both"/>
      </w:pPr>
      <w:r w:rsidRPr="009118AB">
        <w:rPr>
          <w:i/>
          <w:iCs/>
        </w:rPr>
        <w:t>b)</w:t>
      </w:r>
      <w:r w:rsidRPr="009118AB">
        <w:t> Übertragung eines Finanzkontos oder von Vermögenswerten in ein Hoheitsgebiet oder die Einbeziehung von Hoheitsgebieten, die nicht an den automatischen Informationsaustausch über Finanzkonten mit dem Staat, in dem der relevante Steuerpflichtige ansässig ist, gebunden sind,</w:t>
      </w:r>
    </w:p>
    <w:p w14:paraId="032EB5BD" w14:textId="77777777" w:rsidR="00394C50" w:rsidRPr="009118AB" w:rsidRDefault="00394C50" w:rsidP="00394C50">
      <w:pPr>
        <w:jc w:val="both"/>
      </w:pPr>
    </w:p>
    <w:p w14:paraId="31FED2D3" w14:textId="77777777" w:rsidR="00394C50" w:rsidRPr="009118AB" w:rsidRDefault="00394C50" w:rsidP="00394C50">
      <w:pPr>
        <w:ind w:firstLine="708"/>
        <w:jc w:val="both"/>
      </w:pPr>
      <w:r w:rsidRPr="009118AB">
        <w:rPr>
          <w:i/>
          <w:iCs/>
        </w:rPr>
        <w:t>c)</w:t>
      </w:r>
      <w:r w:rsidRPr="009118AB">
        <w:t> Neueinstufung von Einkünften und Vermögen als Produkte oder Zahlungen, die nicht dem automatischen Informationsaustausch über Finanzkonten unterliegen,</w:t>
      </w:r>
    </w:p>
    <w:p w14:paraId="17EAC738" w14:textId="77777777" w:rsidR="00394C50" w:rsidRPr="009118AB" w:rsidRDefault="00394C50" w:rsidP="00394C50">
      <w:pPr>
        <w:jc w:val="both"/>
      </w:pPr>
    </w:p>
    <w:p w14:paraId="24E95C4D" w14:textId="77777777" w:rsidR="00394C50" w:rsidRPr="009118AB" w:rsidRDefault="00394C50" w:rsidP="00394C50">
      <w:pPr>
        <w:ind w:firstLine="708"/>
        <w:jc w:val="both"/>
      </w:pPr>
      <w:r w:rsidRPr="009118AB">
        <w:rPr>
          <w:i/>
          <w:iCs/>
        </w:rPr>
        <w:t>d)</w:t>
      </w:r>
      <w:r w:rsidRPr="009118AB">
        <w:t> Übertragung oder Umwandlung eines Finanzinstituts oder eines Finanzkontos oder der darin enthaltenen Vermögenswerte in ein Finanzinstitut oder ein Finanzkonto oder in Vermögenswerte, die nicht der Meldepflicht im Rahmen des automatischen Informa</w:t>
      </w:r>
      <w:r w:rsidRPr="009118AB">
        <w:softHyphen/>
        <w:t>tionsaustauschs über Finanzkonten unterliegen,</w:t>
      </w:r>
    </w:p>
    <w:p w14:paraId="2786CF37" w14:textId="77777777" w:rsidR="00394C50" w:rsidRPr="009118AB" w:rsidRDefault="00394C50" w:rsidP="00394C50">
      <w:pPr>
        <w:jc w:val="both"/>
      </w:pPr>
    </w:p>
    <w:p w14:paraId="79C83144" w14:textId="77777777" w:rsidR="00394C50" w:rsidRPr="009118AB" w:rsidRDefault="00394C50" w:rsidP="00394C50">
      <w:pPr>
        <w:ind w:firstLine="708"/>
        <w:jc w:val="both"/>
      </w:pPr>
      <w:r w:rsidRPr="009118AB">
        <w:rPr>
          <w:i/>
          <w:iCs/>
        </w:rPr>
        <w:t>e)</w:t>
      </w:r>
      <w:r w:rsidRPr="009118AB">
        <w:t> Einbeziehung von juristischen Einheiten, Rechtsvereinbarungen oder Strukturen, die die Meldung eines oder mehrerer Kontoinhaber oder einer oder mehrerer beherrschenden Personen im Rahmen des automatischen Informationsaustauschs über Finanzkonten ausschließen oder vorgeben auszuschließen,</w:t>
      </w:r>
    </w:p>
    <w:p w14:paraId="1016F810" w14:textId="77777777" w:rsidR="00394C50" w:rsidRPr="009118AB" w:rsidRDefault="00394C50" w:rsidP="00394C50">
      <w:pPr>
        <w:jc w:val="both"/>
      </w:pPr>
    </w:p>
    <w:p w14:paraId="5C37491D" w14:textId="77777777" w:rsidR="00394C50" w:rsidRPr="009118AB" w:rsidRDefault="00394C50" w:rsidP="00394C50">
      <w:pPr>
        <w:ind w:firstLine="708"/>
        <w:jc w:val="both"/>
      </w:pPr>
      <w:r w:rsidRPr="009118AB">
        <w:rPr>
          <w:i/>
          <w:iCs/>
        </w:rPr>
        <w:t>f)</w:t>
      </w:r>
      <w:r w:rsidRPr="009118AB">
        <w:t> Gestaltungen, die die Verfahren zur Erfüllung der Sorgfaltspflichten aushöhlen oder Schwächen in diesen Verfahren ausnutzen, die Finanzinstitute zur Erfüllung ihrer Meldepflichten bezüglich Informationen über Finanzkonten anwenden, einschließlich der Einbeziehung von Hoheitsgebieten mit ungeeigneten oder schwachen Regelungen für die Durchsetzung von Vorschriften gegen Geldwäsche oder mit schwachen Transparenz</w:t>
      </w:r>
      <w:r w:rsidRPr="009118AB">
        <w:softHyphen/>
        <w:t>anforderungen für juristische Personen oder Rechtsvereinbarungen.</w:t>
      </w:r>
    </w:p>
    <w:p w14:paraId="4FFCCC6E" w14:textId="77777777" w:rsidR="00394C50" w:rsidRPr="009118AB" w:rsidRDefault="00394C50" w:rsidP="00394C50">
      <w:pPr>
        <w:jc w:val="both"/>
      </w:pPr>
    </w:p>
    <w:p w14:paraId="303B6B35" w14:textId="77777777" w:rsidR="00394C50" w:rsidRPr="009118AB" w:rsidRDefault="00394C50" w:rsidP="00394C50">
      <w:pPr>
        <w:ind w:firstLine="708"/>
        <w:jc w:val="both"/>
      </w:pPr>
      <w:r w:rsidRPr="009118AB">
        <w:t>2. Es liegt eine Gestaltung vor mit einer intransparenten Kette an rechtlichen oder wirtschaftlichen Eigentümern durch die Einbeziehung von Personen, Rechtsvereinbarungen oder Strukturen,</w:t>
      </w:r>
    </w:p>
    <w:p w14:paraId="728CA286" w14:textId="77777777" w:rsidR="00394C50" w:rsidRPr="009118AB" w:rsidRDefault="00394C50" w:rsidP="00394C50">
      <w:pPr>
        <w:jc w:val="both"/>
      </w:pPr>
    </w:p>
    <w:p w14:paraId="1843D975" w14:textId="77777777" w:rsidR="00394C50" w:rsidRPr="009118AB" w:rsidRDefault="00394C50" w:rsidP="00394C50">
      <w:pPr>
        <w:ind w:firstLine="708"/>
        <w:jc w:val="both"/>
      </w:pPr>
      <w:r w:rsidRPr="009118AB">
        <w:rPr>
          <w:i/>
          <w:iCs/>
        </w:rPr>
        <w:t>a)</w:t>
      </w:r>
      <w:r w:rsidRPr="009118AB">
        <w:t> die keine wesentliche wirtschaftliche Tätigkeit ausüben, die mit angemessener Aus</w:t>
      </w:r>
      <w:r w:rsidRPr="009118AB">
        <w:softHyphen/>
        <w:t>stattung sowie angemessenen personellen Ressourcen, Vermögenswerten und Räumlichkeiten einhergeht, und</w:t>
      </w:r>
    </w:p>
    <w:p w14:paraId="7DFA0AD5" w14:textId="77777777" w:rsidR="00394C50" w:rsidRPr="009118AB" w:rsidRDefault="00394C50" w:rsidP="00394C50">
      <w:pPr>
        <w:jc w:val="both"/>
      </w:pPr>
    </w:p>
    <w:p w14:paraId="7C7E8975" w14:textId="77777777" w:rsidR="00394C50" w:rsidRPr="009118AB" w:rsidRDefault="00394C50" w:rsidP="00394C50">
      <w:pPr>
        <w:ind w:firstLine="708"/>
        <w:jc w:val="both"/>
      </w:pPr>
      <w:r w:rsidRPr="009118AB">
        <w:rPr>
          <w:i/>
          <w:iCs/>
        </w:rPr>
        <w:t>b)</w:t>
      </w:r>
      <w:r w:rsidRPr="009118AB">
        <w:t> die in anderen Hoheitsgebieten eingetragen, ansässig oder niedergelassen sind beziehungsweise verwaltet oder kontrolliert werden als dem Hoheitsgebiet, in dem ein oder mehrere der wirtschaftlichen Eigentümer der von diesen Personen, Rechtsvereinbarungen oder Strukturen gehaltenen Vermögenswerte ansässig ist/sind, und</w:t>
      </w:r>
    </w:p>
    <w:p w14:paraId="1D6C45EB" w14:textId="77777777" w:rsidR="00394C50" w:rsidRPr="009118AB" w:rsidRDefault="00394C50" w:rsidP="00394C50">
      <w:pPr>
        <w:jc w:val="both"/>
      </w:pPr>
    </w:p>
    <w:p w14:paraId="5DC2F7F3" w14:textId="39D6AE44" w:rsidR="00394C50" w:rsidRPr="009118AB" w:rsidRDefault="00394C50" w:rsidP="00394C50">
      <w:pPr>
        <w:ind w:firstLine="708"/>
        <w:jc w:val="both"/>
      </w:pPr>
      <w:r w:rsidRPr="009118AB">
        <w:rPr>
          <w:i/>
          <w:iCs/>
        </w:rPr>
        <w:t>c)</w:t>
      </w:r>
      <w:r w:rsidRPr="009118AB">
        <w:t xml:space="preserve"> sofern die wirtschaftlichen Eigentümer dieser Personen, Rechtsvereinbarungen oder Strukturen wie in Artikel 4 </w:t>
      </w:r>
      <w:r w:rsidR="00D67EB8" w:rsidRPr="009118AB">
        <w:t>Nr. </w:t>
      </w:r>
      <w:r w:rsidRPr="009118AB">
        <w:t>27 des Gesetzes vom 18. September 2017 zur Verhinderung von Geldwäsche und Terrorismusfinanzierung und zur Beschränkung der Nutzung von Bargeld erwähnt nicht identifizierbar gemacht werden.</w:t>
      </w:r>
    </w:p>
    <w:p w14:paraId="1BAF0C3B" w14:textId="77777777" w:rsidR="00394C50" w:rsidRPr="009118AB" w:rsidRDefault="00394C50" w:rsidP="00394C50">
      <w:pPr>
        <w:jc w:val="both"/>
      </w:pPr>
    </w:p>
    <w:p w14:paraId="2574FCF1" w14:textId="77777777" w:rsidR="00394C50" w:rsidRPr="009118AB" w:rsidRDefault="00394C50" w:rsidP="00394C50">
      <w:pPr>
        <w:ind w:firstLine="708"/>
        <w:jc w:val="both"/>
      </w:pPr>
      <w:r w:rsidRPr="009118AB">
        <w:t>Als spezifisches Kennzeichen der Kategorie E gilt:</w:t>
      </w:r>
    </w:p>
    <w:p w14:paraId="1418644C" w14:textId="77777777" w:rsidR="00394C50" w:rsidRPr="009118AB" w:rsidRDefault="00394C50" w:rsidP="00394C50">
      <w:pPr>
        <w:jc w:val="both"/>
      </w:pPr>
    </w:p>
    <w:p w14:paraId="06CC7AAD" w14:textId="77777777" w:rsidR="00394C50" w:rsidRPr="009118AB" w:rsidRDefault="00394C50" w:rsidP="00394C50">
      <w:pPr>
        <w:ind w:firstLine="708"/>
        <w:jc w:val="both"/>
      </w:pPr>
      <w:r w:rsidRPr="009118AB">
        <w:t>1. Es liegt eine Gestaltung vor, die unilaterale Safe-Harbor-Regeln nutzt.</w:t>
      </w:r>
    </w:p>
    <w:p w14:paraId="6D8AE1C3" w14:textId="77777777" w:rsidR="00394C50" w:rsidRPr="009118AB" w:rsidRDefault="00394C50" w:rsidP="00394C50">
      <w:pPr>
        <w:jc w:val="both"/>
      </w:pPr>
    </w:p>
    <w:p w14:paraId="0403E869" w14:textId="77777777" w:rsidR="00394C50" w:rsidRPr="009118AB" w:rsidRDefault="00394C50" w:rsidP="00394C50">
      <w:pPr>
        <w:ind w:firstLine="708"/>
        <w:jc w:val="both"/>
      </w:pPr>
      <w:r w:rsidRPr="009118AB">
        <w:t>2. Es liegt eine Gestaltung vor mit Übertragung von schwer zu bewertenden immate</w:t>
      </w:r>
      <w:r w:rsidRPr="009118AB">
        <w:softHyphen/>
        <w:t>riellen Werten. Der Begriff "schwer zu bewertende immaterielle Werte" umfasst immaterielle Werte oder Rechte an immateriellen Werten, für die zum Zeitpunkt ihrer Übertragung zwischen verbundenen Unternehmen</w:t>
      </w:r>
    </w:p>
    <w:p w14:paraId="24F7AD48" w14:textId="77777777" w:rsidR="00394C50" w:rsidRPr="009118AB" w:rsidRDefault="00394C50" w:rsidP="00394C50">
      <w:pPr>
        <w:jc w:val="both"/>
      </w:pPr>
    </w:p>
    <w:p w14:paraId="4CBF7248" w14:textId="77777777" w:rsidR="00394C50" w:rsidRPr="009118AB" w:rsidRDefault="00394C50" w:rsidP="00394C50">
      <w:pPr>
        <w:ind w:firstLine="708"/>
        <w:jc w:val="both"/>
      </w:pPr>
      <w:r w:rsidRPr="009118AB">
        <w:rPr>
          <w:i/>
          <w:iCs/>
        </w:rPr>
        <w:t>a)</w:t>
      </w:r>
      <w:r w:rsidRPr="009118AB">
        <w:t> keine ausreichend verlässlichen Vergleichswerte vorliegen und</w:t>
      </w:r>
    </w:p>
    <w:p w14:paraId="679006CD" w14:textId="77777777" w:rsidR="00394C50" w:rsidRPr="009118AB" w:rsidRDefault="00394C50" w:rsidP="00394C50">
      <w:pPr>
        <w:jc w:val="both"/>
      </w:pPr>
    </w:p>
    <w:p w14:paraId="1B61CDBA" w14:textId="77777777" w:rsidR="00394C50" w:rsidRPr="009118AB" w:rsidRDefault="00394C50" w:rsidP="00394C50">
      <w:pPr>
        <w:ind w:firstLine="708"/>
        <w:jc w:val="both"/>
      </w:pPr>
      <w:r w:rsidRPr="009118AB">
        <w:rPr>
          <w:i/>
          <w:iCs/>
        </w:rPr>
        <w:t>b)</w:t>
      </w:r>
      <w:r w:rsidRPr="009118AB">
        <w:t> zum Zeitpunkt der Transaktion die Prognosen voraussichtlicher Cashflows oder die vom übertragenen immateriellen Wert erwarteten abzuleitenden Einkünfte oder die der Bewertung des immateriellen Werts zugrunde gelegten Annahmen höchst unsicher sind, weshalb der letztendliche Erfolg des immateriellen Werts zum Zeitpunkt der Übertragung nur schwer absehbar ist.</w:t>
      </w:r>
    </w:p>
    <w:p w14:paraId="121E1797" w14:textId="77777777" w:rsidR="00394C50" w:rsidRPr="009118AB" w:rsidRDefault="00394C50" w:rsidP="00394C50">
      <w:pPr>
        <w:jc w:val="both"/>
      </w:pPr>
    </w:p>
    <w:p w14:paraId="277BA61E" w14:textId="3886ADD0" w:rsidR="00394C50" w:rsidRPr="009118AB" w:rsidRDefault="00394C50" w:rsidP="00394C50">
      <w:pPr>
        <w:ind w:firstLine="708"/>
        <w:jc w:val="both"/>
      </w:pPr>
      <w:r w:rsidRPr="009118AB">
        <w:t>3. Es liegt eine Gestaltung vor, bei der eine gruppeninterne grenzüberschreitende Übertragung von Funktionen und/oder Risiken und/oder Vermögenswerten stattfindet, wenn der erwartete jährliche Gewinn vor Zinsen und Steuern (EBIT) des/der Übertragenden über einen Zeitraum von drei Jahren nach der Übertragung weniger als 50 Prozent des jährlichen EBIT des/der Übertragenden beträgt, der erwartet worden wäre, wenn die Übertragung nicht stattgefunden hätte.]</w:t>
      </w:r>
    </w:p>
    <w:p w14:paraId="4DA09175" w14:textId="21C6C753" w:rsidR="00394C50" w:rsidRPr="009118AB" w:rsidRDefault="00394C50" w:rsidP="00394C50">
      <w:pPr>
        <w:jc w:val="both"/>
      </w:pPr>
    </w:p>
    <w:p w14:paraId="6186288A" w14:textId="25657C46" w:rsidR="00394C50" w:rsidRPr="009118AB" w:rsidRDefault="00394C50" w:rsidP="00394C50">
      <w:pPr>
        <w:jc w:val="both"/>
        <w:rPr>
          <w:i/>
        </w:rPr>
      </w:pPr>
      <w:r w:rsidRPr="009118AB">
        <w:rPr>
          <w:i/>
        </w:rPr>
        <w:t>[</w:t>
      </w:r>
      <w:r w:rsidR="00D67EB8" w:rsidRPr="009118AB">
        <w:rPr>
          <w:i/>
        </w:rPr>
        <w:t>Art. </w:t>
      </w:r>
      <w:r w:rsidRPr="009118AB">
        <w:rPr>
          <w:i/>
        </w:rPr>
        <w:t xml:space="preserve">326/2 eingefügt durch </w:t>
      </w:r>
      <w:r w:rsidR="00D67EB8" w:rsidRPr="009118AB">
        <w:rPr>
          <w:i/>
        </w:rPr>
        <w:t>Art. </w:t>
      </w:r>
      <w:r w:rsidRPr="009118AB">
        <w:rPr>
          <w:i/>
        </w:rPr>
        <w:t>4 des G. vom 20. Dezember 2019 (B.S. vom 30. Dezember 2019)</w:t>
      </w:r>
      <w:r w:rsidR="00D67EB8" w:rsidRPr="009118AB">
        <w:rPr>
          <w:i/>
        </w:rPr>
        <w:t> - </w:t>
      </w:r>
      <w:r w:rsidR="0058318B" w:rsidRPr="009118AB">
        <w:rPr>
          <w:i/>
        </w:rPr>
        <w:t>in Kraft am 1. Juli 2020</w:t>
      </w:r>
      <w:r w:rsidR="00FD68E8" w:rsidRPr="009118AB">
        <w:rPr>
          <w:i/>
        </w:rPr>
        <w:t> -]</w:t>
      </w:r>
    </w:p>
    <w:p w14:paraId="61D98EEC" w14:textId="77777777" w:rsidR="00394C50" w:rsidRPr="009118AB" w:rsidRDefault="00394C50" w:rsidP="00394C50">
      <w:pPr>
        <w:jc w:val="both"/>
      </w:pPr>
    </w:p>
    <w:p w14:paraId="23F91710" w14:textId="77777777" w:rsidR="00394C50" w:rsidRPr="009118AB" w:rsidRDefault="00394C50" w:rsidP="00394C50">
      <w:pPr>
        <w:jc w:val="both"/>
      </w:pPr>
    </w:p>
    <w:p w14:paraId="37438D34" w14:textId="00CBF8DA" w:rsidR="00394C50" w:rsidRPr="009118AB" w:rsidRDefault="00394C50" w:rsidP="00394C50">
      <w:pPr>
        <w:ind w:firstLine="708"/>
        <w:jc w:val="both"/>
      </w:pPr>
      <w:r w:rsidRPr="009118AB">
        <w:t>[</w:t>
      </w:r>
      <w:r w:rsidR="00D67EB8" w:rsidRPr="009118AB">
        <w:rPr>
          <w:b/>
        </w:rPr>
        <w:t>Art. </w:t>
      </w:r>
      <w:r w:rsidRPr="009118AB">
        <w:rPr>
          <w:b/>
        </w:rPr>
        <w:t>326/3</w:t>
      </w:r>
      <w:r w:rsidR="00D67EB8" w:rsidRPr="009118AB">
        <w:t> - § </w:t>
      </w:r>
      <w:r w:rsidRPr="009118AB">
        <w:t>1</w:t>
      </w:r>
      <w:r w:rsidR="00D67EB8" w:rsidRPr="009118AB">
        <w:t> - </w:t>
      </w:r>
      <w:r w:rsidRPr="009118AB">
        <w:t xml:space="preserve">Jeder Intermediär ist verpflichtet, die in Artikel 338 </w:t>
      </w:r>
      <w:r w:rsidR="00D67EB8" w:rsidRPr="009118AB">
        <w:t>§ </w:t>
      </w:r>
      <w:r w:rsidRPr="009118AB">
        <w:t xml:space="preserve">6/4 erwähnten Informationen über meldepflichtige grenzüberschreitende Gestaltungen, die ihm bekannt sind, die sich in seinem Besitz oder unter seiner Kontrolle befinden, bei der in Artikel 338 </w:t>
      </w:r>
      <w:r w:rsidR="00D67EB8" w:rsidRPr="009118AB">
        <w:t>§ </w:t>
      </w:r>
      <w:r w:rsidRPr="009118AB">
        <w:t xml:space="preserve">2 </w:t>
      </w:r>
      <w:r w:rsidR="00D67EB8" w:rsidRPr="009118AB">
        <w:t>Nr. </w:t>
      </w:r>
      <w:r w:rsidRPr="009118AB">
        <w:t>6 erwähnten belgischen zuständigen Behörde vorzulegen, und zwar innerhalb von dreißig Tagen ab dem nachstehend erwähnten Fall, der zuerst eintritt:</w:t>
      </w:r>
    </w:p>
    <w:p w14:paraId="358CE4A0" w14:textId="77777777" w:rsidR="00394C50" w:rsidRPr="009118AB" w:rsidRDefault="00394C50" w:rsidP="00394C50">
      <w:pPr>
        <w:jc w:val="both"/>
      </w:pPr>
    </w:p>
    <w:p w14:paraId="792B94B4" w14:textId="77777777" w:rsidR="00394C50" w:rsidRPr="009118AB" w:rsidRDefault="00394C50" w:rsidP="00394C50">
      <w:pPr>
        <w:ind w:firstLine="708"/>
        <w:jc w:val="both"/>
      </w:pPr>
      <w:r w:rsidRPr="009118AB">
        <w:rPr>
          <w:i/>
          <w:iCs/>
        </w:rPr>
        <w:t>a)</w:t>
      </w:r>
      <w:r w:rsidRPr="009118AB">
        <w:t> Tag, nach dem die meldepflichtige grenzüberschreitende Gestaltung zur Umsetzung bereitgestellt wird, oder</w:t>
      </w:r>
    </w:p>
    <w:p w14:paraId="17F4C1A4" w14:textId="77777777" w:rsidR="00394C50" w:rsidRPr="009118AB" w:rsidRDefault="00394C50" w:rsidP="00394C50">
      <w:pPr>
        <w:jc w:val="both"/>
      </w:pPr>
    </w:p>
    <w:p w14:paraId="23B57AFC" w14:textId="77777777" w:rsidR="00394C50" w:rsidRPr="009118AB" w:rsidRDefault="00394C50" w:rsidP="00394C50">
      <w:pPr>
        <w:ind w:firstLine="708"/>
        <w:jc w:val="both"/>
      </w:pPr>
      <w:r w:rsidRPr="009118AB">
        <w:rPr>
          <w:i/>
          <w:iCs/>
        </w:rPr>
        <w:t>b)</w:t>
      </w:r>
      <w:r w:rsidRPr="009118AB">
        <w:t> Tag, nach dem die meldepflichtige grenzüberschreitende Gestaltung umsetzungs</w:t>
      </w:r>
      <w:r w:rsidRPr="009118AB">
        <w:softHyphen/>
        <w:t>bereit ist, oder</w:t>
      </w:r>
    </w:p>
    <w:p w14:paraId="043BD730" w14:textId="77777777" w:rsidR="00394C50" w:rsidRPr="009118AB" w:rsidRDefault="00394C50" w:rsidP="00394C50">
      <w:pPr>
        <w:jc w:val="both"/>
      </w:pPr>
    </w:p>
    <w:p w14:paraId="06BB046A" w14:textId="77777777" w:rsidR="00394C50" w:rsidRPr="009118AB" w:rsidRDefault="00394C50" w:rsidP="00394C50">
      <w:pPr>
        <w:ind w:firstLine="708"/>
        <w:jc w:val="both"/>
      </w:pPr>
      <w:r w:rsidRPr="009118AB">
        <w:rPr>
          <w:i/>
          <w:iCs/>
        </w:rPr>
        <w:t>c)</w:t>
      </w:r>
      <w:r w:rsidRPr="009118AB">
        <w:t> wenn der erste Schritt der Umsetzung der meldepflichtigen grenzüberschreitenden Gestaltung gemacht wurde.</w:t>
      </w:r>
    </w:p>
    <w:p w14:paraId="4FA4FDEB" w14:textId="77777777" w:rsidR="00394C50" w:rsidRPr="009118AB" w:rsidRDefault="00394C50" w:rsidP="00394C50">
      <w:pPr>
        <w:jc w:val="both"/>
      </w:pPr>
    </w:p>
    <w:p w14:paraId="07AE0F0B" w14:textId="6C979DE8" w:rsidR="00394C50" w:rsidRPr="009118AB" w:rsidRDefault="00394C50" w:rsidP="00394C50">
      <w:pPr>
        <w:ind w:firstLine="708"/>
        <w:jc w:val="both"/>
      </w:pPr>
      <w:r w:rsidRPr="009118AB">
        <w:t xml:space="preserve">Ungeachtet des Absatzes 1 sind auch die in Artikel 326/1 </w:t>
      </w:r>
      <w:r w:rsidR="00D67EB8" w:rsidRPr="009118AB">
        <w:t>Nr. </w:t>
      </w:r>
      <w:r w:rsidRPr="009118AB">
        <w:t>4 Absatz 2 genannten Intermediäre zur Vorlage der Informationen über eine meldepflichtige grenzüberschreitende Gestaltung innerhalb von dreißig Tagen, beginnend an dem Tag, nach dem sie unmittelbar oder über andere Personen Hilfe, Unterstützung oder Beratung geleistet haben, verpflichtet.</w:t>
      </w:r>
    </w:p>
    <w:p w14:paraId="3B83D756" w14:textId="77777777" w:rsidR="00394C50" w:rsidRPr="009118AB" w:rsidRDefault="00394C50" w:rsidP="00394C50">
      <w:pPr>
        <w:jc w:val="both"/>
      </w:pPr>
    </w:p>
    <w:p w14:paraId="4BE8DCE0" w14:textId="763AC5FD" w:rsidR="00394C50" w:rsidRPr="009118AB" w:rsidRDefault="00D67EB8" w:rsidP="00394C50">
      <w:pPr>
        <w:ind w:firstLine="708"/>
        <w:jc w:val="both"/>
      </w:pPr>
      <w:r w:rsidRPr="009118AB">
        <w:t>§ </w:t>
      </w:r>
      <w:r w:rsidR="00394C50" w:rsidRPr="009118AB">
        <w:t>2</w:t>
      </w:r>
      <w:r w:rsidRPr="009118AB">
        <w:t> - </w:t>
      </w:r>
      <w:r w:rsidR="00394C50" w:rsidRPr="009118AB">
        <w:t>Muss der Intermediär den zuständigen Behörden von mehr als einem Mitgliedstaat Informationen über meldepflichtige grenzüberschreitende Gestaltungen vorlegen, so legt er die betreffenden Informationen der belgischen zuständigen Behörde nur vor, wenn Belgien in der nachstehenden Liste zuerst erscheint:</w:t>
      </w:r>
    </w:p>
    <w:p w14:paraId="3F6E6706" w14:textId="77777777" w:rsidR="00394C50" w:rsidRPr="009118AB" w:rsidRDefault="00394C50" w:rsidP="00394C50">
      <w:pPr>
        <w:jc w:val="both"/>
      </w:pPr>
    </w:p>
    <w:p w14:paraId="09732F5E" w14:textId="77777777" w:rsidR="00394C50" w:rsidRPr="009118AB" w:rsidRDefault="00394C50" w:rsidP="00394C50">
      <w:pPr>
        <w:ind w:firstLine="708"/>
        <w:jc w:val="both"/>
      </w:pPr>
      <w:r w:rsidRPr="009118AB">
        <w:t>1. Mitgliedstaat, in dem der Intermediär steuerlich ansässig ist,</w:t>
      </w:r>
    </w:p>
    <w:p w14:paraId="22ECE8FD" w14:textId="77777777" w:rsidR="00394C50" w:rsidRPr="009118AB" w:rsidRDefault="00394C50" w:rsidP="00394C50">
      <w:pPr>
        <w:jc w:val="both"/>
      </w:pPr>
    </w:p>
    <w:p w14:paraId="75B30275" w14:textId="77777777" w:rsidR="00394C50" w:rsidRPr="009118AB" w:rsidRDefault="00394C50" w:rsidP="00394C50">
      <w:pPr>
        <w:ind w:firstLine="708"/>
        <w:jc w:val="both"/>
      </w:pPr>
      <w:r w:rsidRPr="009118AB">
        <w:t>2. Mitgliedstaat, in dem der Intermediär eine Betriebsstätte hat, durch die die Dienst</w:t>
      </w:r>
      <w:r w:rsidRPr="009118AB">
        <w:softHyphen/>
        <w:t>leistungen im Zusammenhang mit der Gestaltung erbracht werden,</w:t>
      </w:r>
    </w:p>
    <w:p w14:paraId="6F722675" w14:textId="77777777" w:rsidR="00394C50" w:rsidRPr="009118AB" w:rsidRDefault="00394C50" w:rsidP="00394C50">
      <w:pPr>
        <w:jc w:val="both"/>
      </w:pPr>
    </w:p>
    <w:p w14:paraId="093A3C56" w14:textId="77777777" w:rsidR="00394C50" w:rsidRPr="009118AB" w:rsidRDefault="00394C50" w:rsidP="00394C50">
      <w:pPr>
        <w:ind w:firstLine="708"/>
        <w:jc w:val="both"/>
      </w:pPr>
      <w:r w:rsidRPr="009118AB">
        <w:t>3. Mitgliedstaat, nach dessen Recht der Intermediär eingetragen ist oder dessen Recht er unterliegt,</w:t>
      </w:r>
    </w:p>
    <w:p w14:paraId="1A295D07" w14:textId="77777777" w:rsidR="00394C50" w:rsidRPr="009118AB" w:rsidRDefault="00394C50" w:rsidP="00394C50">
      <w:pPr>
        <w:jc w:val="both"/>
      </w:pPr>
    </w:p>
    <w:p w14:paraId="3FE28858" w14:textId="77777777" w:rsidR="00394C50" w:rsidRPr="009118AB" w:rsidRDefault="00394C50" w:rsidP="00394C50">
      <w:pPr>
        <w:ind w:firstLine="708"/>
        <w:jc w:val="both"/>
      </w:pPr>
      <w:r w:rsidRPr="009118AB">
        <w:t>4. Mitgliedstaat, in dem der Intermediär Mitglied eines Berufsverbands für juristische, steuerliche oder beratende Dienstleistungen ist.</w:t>
      </w:r>
    </w:p>
    <w:p w14:paraId="709577A6" w14:textId="77777777" w:rsidR="00394C50" w:rsidRPr="009118AB" w:rsidRDefault="00394C50" w:rsidP="00394C50">
      <w:pPr>
        <w:jc w:val="both"/>
      </w:pPr>
    </w:p>
    <w:p w14:paraId="311C19C9" w14:textId="500D97DB" w:rsidR="00394C50" w:rsidRPr="009118AB" w:rsidRDefault="00394C50" w:rsidP="00394C50">
      <w:pPr>
        <w:ind w:firstLine="708"/>
        <w:jc w:val="both"/>
      </w:pPr>
      <w:r w:rsidRPr="009118AB">
        <w:t>Besteht gemäß Absatz 1 eine Verpflichtung zur Mehrfachmeldung, ist der Intermediär von der Vorlage der Informationen befreit, wenn er einen schriftlichen Nachweis erbringt, dass dieselben Informationen bereits in einem anderen Mitgliedstaat vorgelegt wurden.]</w:t>
      </w:r>
    </w:p>
    <w:p w14:paraId="34877C83" w14:textId="4CC070CD" w:rsidR="00394C50" w:rsidRPr="009118AB" w:rsidRDefault="00394C50" w:rsidP="00394C50">
      <w:pPr>
        <w:ind w:firstLine="708"/>
        <w:jc w:val="both"/>
      </w:pPr>
    </w:p>
    <w:p w14:paraId="58083CA7" w14:textId="3695E458" w:rsidR="00394C50" w:rsidRPr="009118AB" w:rsidRDefault="00394C50" w:rsidP="00394C50">
      <w:pPr>
        <w:jc w:val="both"/>
        <w:rPr>
          <w:i/>
        </w:rPr>
      </w:pPr>
      <w:r w:rsidRPr="009118AB">
        <w:rPr>
          <w:i/>
        </w:rPr>
        <w:t>[</w:t>
      </w:r>
      <w:r w:rsidR="00D67EB8" w:rsidRPr="009118AB">
        <w:rPr>
          <w:i/>
        </w:rPr>
        <w:t>Art. </w:t>
      </w:r>
      <w:r w:rsidRPr="009118AB">
        <w:rPr>
          <w:i/>
        </w:rPr>
        <w:t xml:space="preserve">326/3 eingefügt durch </w:t>
      </w:r>
      <w:r w:rsidR="00D67EB8" w:rsidRPr="009118AB">
        <w:rPr>
          <w:i/>
        </w:rPr>
        <w:t>Art. </w:t>
      </w:r>
      <w:r w:rsidRPr="009118AB">
        <w:rPr>
          <w:i/>
        </w:rPr>
        <w:t xml:space="preserve">5 des G. vom 20. Dezember 2019 (B.S. vom </w:t>
      </w:r>
      <w:r w:rsidRPr="00C15B15">
        <w:rPr>
          <w:i/>
        </w:rPr>
        <w:t>30. Dezember 2019)</w:t>
      </w:r>
      <w:r w:rsidR="00D67EB8" w:rsidRPr="00C15B15">
        <w:rPr>
          <w:i/>
        </w:rPr>
        <w:t> - </w:t>
      </w:r>
      <w:r w:rsidR="0058318B" w:rsidRPr="00C15B15">
        <w:rPr>
          <w:i/>
        </w:rPr>
        <w:t>in Kraft am 1. Juli 2020</w:t>
      </w:r>
      <w:r w:rsidR="00FD68E8" w:rsidRPr="00C15B15">
        <w:rPr>
          <w:i/>
        </w:rPr>
        <w:t> -</w:t>
      </w:r>
      <w:r w:rsidR="00E211BB" w:rsidRPr="00C15B15">
        <w:rPr>
          <w:i/>
        </w:rPr>
        <w:t xml:space="preserve">; </w:t>
      </w:r>
      <w:r w:rsidR="00E211BB" w:rsidRPr="00C15B15">
        <w:rPr>
          <w:i/>
          <w:iCs/>
        </w:rPr>
        <w:t>§ 1 Abs. 1 einleitende Bestimmung abgeändert durch Art. 27 des G. vom 26. Januar 2021 (B.S. vom 10. Februar 2021) - in Kraft am 1. Januar 2025 -, selbst aufgehoben durch Art. 213 des G. vom 12. Mai 2024 (B.S. vom 30. Mai 2024)</w:t>
      </w:r>
      <w:r w:rsidR="00FD68E8" w:rsidRPr="00C15B15">
        <w:rPr>
          <w:i/>
        </w:rPr>
        <w:t>]</w:t>
      </w:r>
    </w:p>
    <w:p w14:paraId="2CB64756" w14:textId="481020EA" w:rsidR="00F66654" w:rsidRPr="00E211BB" w:rsidRDefault="00F66654" w:rsidP="00F66654">
      <w:pPr>
        <w:jc w:val="both"/>
        <w:rPr>
          <w:iCs/>
        </w:rPr>
      </w:pPr>
    </w:p>
    <w:p w14:paraId="6820ABEB" w14:textId="77777777" w:rsidR="00F66654" w:rsidRPr="00E211BB" w:rsidRDefault="00F66654" w:rsidP="00F66654">
      <w:pPr>
        <w:jc w:val="both"/>
        <w:rPr>
          <w:iCs/>
        </w:rPr>
      </w:pPr>
    </w:p>
    <w:p w14:paraId="2BC0E182" w14:textId="7016D6C1" w:rsidR="00394C50" w:rsidRPr="009118AB" w:rsidRDefault="00F66654" w:rsidP="00F66654">
      <w:pPr>
        <w:jc w:val="both"/>
      </w:pPr>
      <w:r w:rsidRPr="009118AB">
        <w:rPr>
          <w:iCs/>
          <w:sz w:val="20"/>
          <w:szCs w:val="20"/>
        </w:rPr>
        <w:tab/>
      </w:r>
      <w:r w:rsidR="00394C50" w:rsidRPr="009118AB">
        <w:t>[</w:t>
      </w:r>
      <w:r w:rsidR="00D67EB8" w:rsidRPr="009118AB">
        <w:rPr>
          <w:b/>
        </w:rPr>
        <w:t>Art. </w:t>
      </w:r>
      <w:r w:rsidR="00394C50" w:rsidRPr="009118AB">
        <w:rPr>
          <w:b/>
        </w:rPr>
        <w:t>326/4</w:t>
      </w:r>
      <w:r w:rsidR="00D67EB8" w:rsidRPr="009118AB">
        <w:t> - </w:t>
      </w:r>
      <w:r w:rsidR="00394C50" w:rsidRPr="009118AB">
        <w:t xml:space="preserve">Im Falle einer marktfähigen Gestaltung muss der Intermediär alle drei Monate einen regelmäßigen Bericht mit einer Aktualisierung vorlegen, der neue meldepflichtige Informationen gemäß Artikel 338 </w:t>
      </w:r>
      <w:r w:rsidR="00D67EB8" w:rsidRPr="009118AB">
        <w:t>§ </w:t>
      </w:r>
      <w:r w:rsidR="00394C50" w:rsidRPr="009118AB">
        <w:t xml:space="preserve">6/4 </w:t>
      </w:r>
      <w:r w:rsidR="00D67EB8" w:rsidRPr="009118AB">
        <w:t>Nr. </w:t>
      </w:r>
      <w:r w:rsidR="00394C50" w:rsidRPr="009118AB">
        <w:t>1, 4, 7 und 8 enthält, die seit der Vorlage des letzten Berichts verfügbar geworden sind.]</w:t>
      </w:r>
    </w:p>
    <w:p w14:paraId="66BD3BEC" w14:textId="04B0B616" w:rsidR="00394C50" w:rsidRPr="009118AB" w:rsidRDefault="00394C50" w:rsidP="00394C50">
      <w:pPr>
        <w:ind w:firstLine="708"/>
        <w:jc w:val="both"/>
      </w:pPr>
    </w:p>
    <w:p w14:paraId="4602078C" w14:textId="3838FA28" w:rsidR="00394C50" w:rsidRPr="009118AB" w:rsidRDefault="00394C50" w:rsidP="00394C50">
      <w:pPr>
        <w:jc w:val="both"/>
      </w:pPr>
      <w:r w:rsidRPr="009118AB">
        <w:rPr>
          <w:i/>
        </w:rPr>
        <w:t>[</w:t>
      </w:r>
      <w:r w:rsidR="00D67EB8" w:rsidRPr="009118AB">
        <w:rPr>
          <w:i/>
        </w:rPr>
        <w:t>Art. </w:t>
      </w:r>
      <w:r w:rsidRPr="009118AB">
        <w:rPr>
          <w:i/>
        </w:rPr>
        <w:t xml:space="preserve">326/4 eingefügt durch </w:t>
      </w:r>
      <w:r w:rsidR="00D67EB8" w:rsidRPr="009118AB">
        <w:rPr>
          <w:i/>
        </w:rPr>
        <w:t>Art. </w:t>
      </w:r>
      <w:r w:rsidR="00F829AE" w:rsidRPr="009118AB">
        <w:rPr>
          <w:i/>
        </w:rPr>
        <w:t>6</w:t>
      </w:r>
      <w:r w:rsidRPr="009118AB">
        <w:rPr>
          <w:i/>
        </w:rPr>
        <w:t xml:space="preserve"> des G. vom 20. Dezember 2019 (B.S. vom </w:t>
      </w:r>
      <w:r w:rsidRPr="00C15B15">
        <w:rPr>
          <w:i/>
        </w:rPr>
        <w:t>30. Dezember 2019)</w:t>
      </w:r>
      <w:r w:rsidR="00D67EB8" w:rsidRPr="00C15B15">
        <w:rPr>
          <w:i/>
        </w:rPr>
        <w:t> - </w:t>
      </w:r>
      <w:r w:rsidR="0058318B" w:rsidRPr="00C15B15">
        <w:rPr>
          <w:i/>
        </w:rPr>
        <w:t>in Kraft am 1. Juli 2020</w:t>
      </w:r>
      <w:r w:rsidR="00FD68E8" w:rsidRPr="00C15B15">
        <w:rPr>
          <w:i/>
        </w:rPr>
        <w:t> -</w:t>
      </w:r>
      <w:r w:rsidR="00E211BB" w:rsidRPr="00C15B15">
        <w:rPr>
          <w:i/>
          <w:iCs/>
          <w:sz w:val="20"/>
          <w:szCs w:val="20"/>
        </w:rPr>
        <w:t xml:space="preserve"> </w:t>
      </w:r>
      <w:r w:rsidR="00E211BB" w:rsidRPr="00C15B15">
        <w:rPr>
          <w:i/>
          <w:iCs/>
        </w:rPr>
        <w:t>und abgeändert durch Art. 28 des G. vom 26. Januar 2021 (B.S. vom 10. Februar 2021) - in Kraft am 1. Januar 2025 -, selbst aufgehoben durch Art. 213 des G. vom 12. Mai 2024 (B.S. vom 30. Mai 2024)</w:t>
      </w:r>
      <w:r w:rsidR="00FD68E8" w:rsidRPr="00C15B15">
        <w:rPr>
          <w:i/>
        </w:rPr>
        <w:t>]</w:t>
      </w:r>
    </w:p>
    <w:p w14:paraId="1C4089C1" w14:textId="72F1736C" w:rsidR="00F66654" w:rsidRPr="009118AB" w:rsidRDefault="00F66654" w:rsidP="00394C50">
      <w:pPr>
        <w:jc w:val="both"/>
      </w:pPr>
    </w:p>
    <w:p w14:paraId="21981464" w14:textId="6AE45D52" w:rsidR="00394C50" w:rsidRPr="009118AB" w:rsidRDefault="00394C50" w:rsidP="00394C50">
      <w:pPr>
        <w:jc w:val="both"/>
      </w:pPr>
    </w:p>
    <w:p w14:paraId="6CD9FA03" w14:textId="3A1BBF34" w:rsidR="00394C50" w:rsidRPr="009118AB" w:rsidRDefault="00394C50" w:rsidP="00394C50">
      <w:pPr>
        <w:ind w:firstLine="708"/>
        <w:jc w:val="both"/>
      </w:pPr>
      <w:r w:rsidRPr="009118AB">
        <w:t>[</w:t>
      </w:r>
      <w:r w:rsidR="00D67EB8" w:rsidRPr="009118AB">
        <w:rPr>
          <w:b/>
        </w:rPr>
        <w:t>Art. </w:t>
      </w:r>
      <w:r w:rsidRPr="009118AB">
        <w:rPr>
          <w:b/>
        </w:rPr>
        <w:t>326/5</w:t>
      </w:r>
      <w:r w:rsidR="00D67EB8" w:rsidRPr="009118AB">
        <w:rPr>
          <w:b/>
        </w:rPr>
        <w:t> - </w:t>
      </w:r>
      <w:r w:rsidRPr="009118AB">
        <w:t>Nach der Meldung einer grenzüberschreitenden Gestaltung, die mindestens eines der in Artikel 326/2 erwähnten Kennzeichen aufweist, wird eine einmalige Referenznummer zugeteilt, die bei jeder späteren Meldung in Bezug auf dieselbe grenzüberschreitende Gestaltung mitgeteilt werden muss, und zwar sowohl für Meldungen durch jeden beteiligten Intermediär als auch für Meldungen durch den relevanten Steuerpflichtigen.</w:t>
      </w:r>
    </w:p>
    <w:p w14:paraId="015944D9" w14:textId="77777777" w:rsidR="00394C50" w:rsidRPr="009118AB" w:rsidRDefault="00394C50" w:rsidP="00394C50">
      <w:pPr>
        <w:jc w:val="both"/>
      </w:pPr>
    </w:p>
    <w:p w14:paraId="58B2E0C5" w14:textId="0333C0C5" w:rsidR="00394C50" w:rsidRPr="009118AB" w:rsidRDefault="00394C50" w:rsidP="00394C50">
      <w:pPr>
        <w:ind w:firstLine="708"/>
        <w:jc w:val="both"/>
      </w:pPr>
      <w:r w:rsidRPr="009118AB">
        <w:t>Ein Intermediär, der die einmalige Referenznummer von den zuständigen Behörden erhält, muss sie zusammen mit der Zusammenfassung in Bezug auf die gemeldete Gestaltung unverzüglich den anderen beteiligten Intermediären und dem relevanten Steuerpflichtigen übermitteln.]</w:t>
      </w:r>
    </w:p>
    <w:p w14:paraId="7376E4A9" w14:textId="332F0FD9" w:rsidR="00394C50" w:rsidRPr="009118AB" w:rsidRDefault="00394C50" w:rsidP="00394C50">
      <w:pPr>
        <w:ind w:firstLine="708"/>
        <w:jc w:val="both"/>
      </w:pPr>
    </w:p>
    <w:p w14:paraId="0A14B2E9" w14:textId="4AD65DED" w:rsidR="00394C50" w:rsidRPr="009118AB" w:rsidRDefault="00394C50" w:rsidP="00394C50">
      <w:pPr>
        <w:jc w:val="both"/>
        <w:rPr>
          <w:i/>
        </w:rPr>
      </w:pPr>
      <w:r w:rsidRPr="009118AB">
        <w:rPr>
          <w:i/>
        </w:rPr>
        <w:t>[</w:t>
      </w:r>
      <w:r w:rsidR="00D67EB8" w:rsidRPr="009118AB">
        <w:rPr>
          <w:i/>
        </w:rPr>
        <w:t>Art. </w:t>
      </w:r>
      <w:r w:rsidRPr="009118AB">
        <w:rPr>
          <w:i/>
        </w:rPr>
        <w:t xml:space="preserve">326/5 eingefügt durch </w:t>
      </w:r>
      <w:r w:rsidR="00D67EB8" w:rsidRPr="009118AB">
        <w:rPr>
          <w:i/>
        </w:rPr>
        <w:t>Art. </w:t>
      </w:r>
      <w:r w:rsidRPr="009118AB">
        <w:rPr>
          <w:i/>
        </w:rPr>
        <w:t>7 des G. vom 20. Dezember 2019 (B.S. vom 30. Dezember 2019)</w:t>
      </w:r>
      <w:r w:rsidR="00D67EB8" w:rsidRPr="009118AB">
        <w:rPr>
          <w:i/>
        </w:rPr>
        <w:t> - </w:t>
      </w:r>
      <w:r w:rsidR="0058318B" w:rsidRPr="009118AB">
        <w:rPr>
          <w:i/>
        </w:rPr>
        <w:t>in Kraft am 1. Juli 2020</w:t>
      </w:r>
      <w:r w:rsidR="00FD68E8" w:rsidRPr="009118AB">
        <w:rPr>
          <w:i/>
        </w:rPr>
        <w:t> -]</w:t>
      </w:r>
    </w:p>
    <w:p w14:paraId="2F7FCA54" w14:textId="77777777" w:rsidR="00394C50" w:rsidRPr="009118AB" w:rsidRDefault="00394C50" w:rsidP="00394C50">
      <w:pPr>
        <w:ind w:firstLine="708"/>
        <w:jc w:val="both"/>
      </w:pPr>
    </w:p>
    <w:p w14:paraId="0C2EBEA5" w14:textId="77777777" w:rsidR="00394C50" w:rsidRPr="009118AB" w:rsidRDefault="00394C50" w:rsidP="00394C50">
      <w:pPr>
        <w:jc w:val="both"/>
      </w:pPr>
    </w:p>
    <w:p w14:paraId="78546D92" w14:textId="788D8A65" w:rsidR="00394C50" w:rsidRPr="009118AB" w:rsidRDefault="00394C50" w:rsidP="00394C50">
      <w:pPr>
        <w:ind w:firstLine="708"/>
        <w:jc w:val="both"/>
      </w:pPr>
      <w:r w:rsidRPr="009118AB">
        <w:t>[</w:t>
      </w:r>
      <w:r w:rsidR="00D67EB8" w:rsidRPr="009118AB">
        <w:rPr>
          <w:b/>
        </w:rPr>
        <w:t>Art. </w:t>
      </w:r>
      <w:r w:rsidRPr="009118AB">
        <w:rPr>
          <w:b/>
        </w:rPr>
        <w:t>326/6</w:t>
      </w:r>
      <w:r w:rsidR="00D67EB8" w:rsidRPr="009118AB">
        <w:t> - </w:t>
      </w:r>
      <w:r w:rsidRPr="009118AB">
        <w:t>Sind mehrere Intermediäre an derselben meldepflichtigen grenzüber</w:t>
      </w:r>
      <w:r w:rsidRPr="009118AB">
        <w:softHyphen/>
        <w:t>schreitenden Gestaltung beteiligt, müssen alle beteiligten Intermediäre Informationen über die meldepflichtige grenzüberschreitende Gestaltung vorlegen.</w:t>
      </w:r>
    </w:p>
    <w:p w14:paraId="59FC6BA1" w14:textId="77777777" w:rsidR="00394C50" w:rsidRPr="009118AB" w:rsidRDefault="00394C50" w:rsidP="00394C50">
      <w:pPr>
        <w:jc w:val="both"/>
      </w:pPr>
    </w:p>
    <w:p w14:paraId="0CDEE221" w14:textId="77777777" w:rsidR="00FF5606" w:rsidRDefault="00FF5606">
      <w:r>
        <w:br w:type="page"/>
      </w:r>
    </w:p>
    <w:p w14:paraId="43B9E76A" w14:textId="63674C16" w:rsidR="00394C50" w:rsidRPr="009118AB" w:rsidRDefault="00394C50" w:rsidP="00394C50">
      <w:pPr>
        <w:ind w:firstLine="708"/>
        <w:jc w:val="both"/>
      </w:pPr>
      <w:r w:rsidRPr="009118AB">
        <w:t xml:space="preserve">Ein Intermediär ist von der Verpflichtung zur Vorlage von Informationen befreit, wenn er einen schriftlichen Nachweis erbringen kann, dass ein anderer Intermediär die in Artikel 338 </w:t>
      </w:r>
      <w:r w:rsidR="00D67EB8" w:rsidRPr="009118AB">
        <w:t>§ </w:t>
      </w:r>
      <w:r w:rsidRPr="009118AB">
        <w:t>6/4 Absatz 2 erwähnten Informationen bereits vorgelegt hat.]</w:t>
      </w:r>
    </w:p>
    <w:p w14:paraId="517F230E" w14:textId="1570A223" w:rsidR="00394C50" w:rsidRPr="009118AB" w:rsidRDefault="00394C50" w:rsidP="00394C50">
      <w:pPr>
        <w:ind w:firstLine="708"/>
        <w:jc w:val="both"/>
      </w:pPr>
    </w:p>
    <w:p w14:paraId="4DC000D8" w14:textId="0F553036" w:rsidR="00394C50" w:rsidRPr="009118AB" w:rsidRDefault="00394C50" w:rsidP="00394C50">
      <w:pPr>
        <w:jc w:val="both"/>
        <w:rPr>
          <w:i/>
        </w:rPr>
      </w:pPr>
      <w:r w:rsidRPr="009118AB">
        <w:rPr>
          <w:i/>
        </w:rPr>
        <w:t>[</w:t>
      </w:r>
      <w:r w:rsidR="00D67EB8" w:rsidRPr="009118AB">
        <w:rPr>
          <w:i/>
        </w:rPr>
        <w:t>Art. </w:t>
      </w:r>
      <w:r w:rsidRPr="009118AB">
        <w:rPr>
          <w:i/>
        </w:rPr>
        <w:t xml:space="preserve">326/6 eingefügt durch </w:t>
      </w:r>
      <w:r w:rsidR="00D67EB8" w:rsidRPr="009118AB">
        <w:rPr>
          <w:i/>
        </w:rPr>
        <w:t>Art. </w:t>
      </w:r>
      <w:r w:rsidRPr="009118AB">
        <w:rPr>
          <w:i/>
        </w:rPr>
        <w:t>8 des G. vom 20. Dezember 2019 (B.S. vom 30. Dezember 2019)</w:t>
      </w:r>
      <w:r w:rsidR="00D67EB8" w:rsidRPr="009118AB">
        <w:rPr>
          <w:i/>
        </w:rPr>
        <w:t> - </w:t>
      </w:r>
      <w:r w:rsidR="0058318B" w:rsidRPr="009118AB">
        <w:rPr>
          <w:i/>
        </w:rPr>
        <w:t>in Kraft am 1. Juli 2020</w:t>
      </w:r>
      <w:r w:rsidR="00FD68E8" w:rsidRPr="009118AB">
        <w:rPr>
          <w:i/>
        </w:rPr>
        <w:t> -]</w:t>
      </w:r>
    </w:p>
    <w:p w14:paraId="1D08C839" w14:textId="77777777" w:rsidR="00394C50" w:rsidRPr="009118AB" w:rsidRDefault="00394C50" w:rsidP="00394C50">
      <w:pPr>
        <w:ind w:firstLine="708"/>
        <w:jc w:val="both"/>
      </w:pPr>
    </w:p>
    <w:p w14:paraId="441DB1A6" w14:textId="77777777" w:rsidR="00394C50" w:rsidRPr="009118AB" w:rsidRDefault="00394C50" w:rsidP="00394C50">
      <w:pPr>
        <w:jc w:val="both"/>
      </w:pPr>
    </w:p>
    <w:p w14:paraId="4234FA2E" w14:textId="77F97A27" w:rsidR="00394C50" w:rsidRPr="009118AB" w:rsidRDefault="00394C50" w:rsidP="00394C50">
      <w:pPr>
        <w:ind w:firstLine="708"/>
        <w:jc w:val="both"/>
      </w:pPr>
      <w:bookmarkStart w:id="38" w:name="_Hlk201657550"/>
      <w:r w:rsidRPr="009118AB">
        <w:t>[</w:t>
      </w:r>
      <w:r w:rsidR="00D67EB8" w:rsidRPr="009118AB">
        <w:rPr>
          <w:b/>
        </w:rPr>
        <w:t>Art. </w:t>
      </w:r>
      <w:r w:rsidRPr="009118AB">
        <w:rPr>
          <w:b/>
        </w:rPr>
        <w:t>326/7</w:t>
      </w:r>
      <w:r w:rsidR="00D67EB8" w:rsidRPr="009118AB">
        <w:t> - § </w:t>
      </w:r>
      <w:r w:rsidRPr="009118AB">
        <w:t>1</w:t>
      </w:r>
      <w:r w:rsidR="00D67EB8" w:rsidRPr="009118AB">
        <w:t> - </w:t>
      </w:r>
      <w:r w:rsidRPr="009118AB">
        <w:t>Wenn ein Intermediär an das Berufsgeheimnis gebunden ist, muss er:</w:t>
      </w:r>
    </w:p>
    <w:p w14:paraId="056E9E7E" w14:textId="77777777" w:rsidR="00394C50" w:rsidRPr="009118AB" w:rsidRDefault="00394C50" w:rsidP="00394C50">
      <w:pPr>
        <w:jc w:val="both"/>
      </w:pPr>
    </w:p>
    <w:p w14:paraId="7FC2EAD6" w14:textId="77777777" w:rsidR="00394C50" w:rsidRPr="009118AB" w:rsidRDefault="00394C50" w:rsidP="00394C50">
      <w:pPr>
        <w:ind w:firstLine="708"/>
        <w:jc w:val="both"/>
      </w:pPr>
      <w:r w:rsidRPr="009118AB">
        <w:t>1. den/die beteiligten Intermediär(e) schriftlich und unter Angabe von Gründen darüber unterrichten, dass er der Meldepflicht nicht nachkommen kann, wodurch diese Meldepflicht automatisch dem/den anderen Intermediär(en) obliegt,</w:t>
      </w:r>
    </w:p>
    <w:p w14:paraId="73B8143E" w14:textId="77777777" w:rsidR="00394C50" w:rsidRPr="009118AB" w:rsidRDefault="00394C50" w:rsidP="00394C50">
      <w:pPr>
        <w:jc w:val="both"/>
      </w:pPr>
    </w:p>
    <w:p w14:paraId="77ED7C24" w14:textId="77777777" w:rsidR="00394C50" w:rsidRPr="009118AB" w:rsidRDefault="00394C50" w:rsidP="00394C50">
      <w:pPr>
        <w:ind w:firstLine="708"/>
        <w:jc w:val="both"/>
      </w:pPr>
      <w:r w:rsidRPr="009118AB">
        <w:t>2. falls es keinen anderen Intermediär gibt, den/die relevanten Steuerpflichtigen schriftlich und unter Angabe von Gründen über dessen/deren Meldepflicht unterrichten.</w:t>
      </w:r>
    </w:p>
    <w:p w14:paraId="6CC06763" w14:textId="77777777" w:rsidR="00394C50" w:rsidRPr="009118AB" w:rsidRDefault="00394C50" w:rsidP="00394C50">
      <w:pPr>
        <w:jc w:val="both"/>
      </w:pPr>
    </w:p>
    <w:p w14:paraId="2C4B39FA" w14:textId="77777777" w:rsidR="00394C50" w:rsidRPr="009118AB" w:rsidRDefault="00394C50" w:rsidP="00394C50">
      <w:pPr>
        <w:ind w:firstLine="708"/>
        <w:jc w:val="both"/>
      </w:pPr>
      <w:r w:rsidRPr="009118AB">
        <w:t>Die Befreiung von der Meldepflicht wird erst wirksam ab dem Zeitpunkt, zu dem ein Intermediär der in Absatz 1 erwähnten Verpflichtung nachgekommen ist.</w:t>
      </w:r>
    </w:p>
    <w:p w14:paraId="5CFBECC8" w14:textId="77777777" w:rsidR="00394C50" w:rsidRPr="009118AB" w:rsidRDefault="00394C50" w:rsidP="00394C50">
      <w:pPr>
        <w:jc w:val="both"/>
      </w:pPr>
    </w:p>
    <w:p w14:paraId="47B7A101" w14:textId="255AEBCF" w:rsidR="00394C50" w:rsidRPr="009118AB" w:rsidRDefault="00D67EB8" w:rsidP="00394C50">
      <w:pPr>
        <w:ind w:firstLine="708"/>
        <w:jc w:val="both"/>
      </w:pPr>
      <w:r w:rsidRPr="009118AB">
        <w:t>§ </w:t>
      </w:r>
      <w:r w:rsidR="00394C50" w:rsidRPr="009118AB">
        <w:t>2</w:t>
      </w:r>
      <w:r w:rsidRPr="009118AB">
        <w:t> - </w:t>
      </w:r>
      <w:r w:rsidR="00394C50" w:rsidRPr="009118AB">
        <w:t>Der relevante Steuerpflichtige kann dem Intermediär durch eine schriftliche Erlaubnis gestatten, der in Artikel 326/3 erwähnten Meldepflicht doch nachzukommen.</w:t>
      </w:r>
    </w:p>
    <w:p w14:paraId="6AA86FDD" w14:textId="77777777" w:rsidR="00394C50" w:rsidRPr="009118AB" w:rsidRDefault="00394C50" w:rsidP="00394C50">
      <w:pPr>
        <w:jc w:val="both"/>
      </w:pPr>
    </w:p>
    <w:p w14:paraId="5AD85C95" w14:textId="77777777" w:rsidR="00394C50" w:rsidRPr="009118AB" w:rsidRDefault="00394C50" w:rsidP="00394C50">
      <w:pPr>
        <w:ind w:firstLine="708"/>
        <w:jc w:val="both"/>
      </w:pPr>
      <w:r w:rsidRPr="009118AB">
        <w:t>Erteilt der relevante Steuerpflichtige keine Erlaubnis, obliegt die Meldepflicht weiterhin dem Steuerpflichtigen und erteilt der Intermediär dem relevanten Steuerpflichtigen die Informationen, die für die Erfüllung der in Artikel 326/3 erwähnten Meldepflicht erforderlich sind.</w:t>
      </w:r>
    </w:p>
    <w:p w14:paraId="39649E2A" w14:textId="77777777" w:rsidR="00394C50" w:rsidRPr="009118AB" w:rsidRDefault="00394C50" w:rsidP="00394C50">
      <w:pPr>
        <w:jc w:val="both"/>
      </w:pPr>
    </w:p>
    <w:p w14:paraId="64148985" w14:textId="43A11255" w:rsidR="00394C50" w:rsidRPr="009118AB" w:rsidRDefault="00D67EB8" w:rsidP="00394C50">
      <w:pPr>
        <w:ind w:firstLine="708"/>
        <w:jc w:val="both"/>
      </w:pPr>
      <w:r w:rsidRPr="009118AB">
        <w:t>§ </w:t>
      </w:r>
      <w:r w:rsidR="00394C50" w:rsidRPr="009118AB">
        <w:t>3</w:t>
      </w:r>
      <w:r w:rsidRPr="009118AB">
        <w:t> - </w:t>
      </w:r>
      <w:r w:rsidR="00394C50" w:rsidRPr="009118AB">
        <w:t xml:space="preserve">Weder ein Berufsgeheimnis gemäß </w:t>
      </w:r>
      <w:r w:rsidRPr="009118AB">
        <w:t>§ </w:t>
      </w:r>
      <w:r w:rsidR="00394C50" w:rsidRPr="009118AB">
        <w:t>1 noch eine Befreiung von Rechts wegen kann in Bezug auf die Verpflichtung zur Meldung marktfähiger Gestaltungen, für die ein regelmäßiger Bericht gemäß Artikel 326/4 vorgelegt wird, geltend gemacht werden.]</w:t>
      </w:r>
    </w:p>
    <w:p w14:paraId="63934CD1" w14:textId="24F6D69A" w:rsidR="00394C50" w:rsidRPr="009118AB" w:rsidRDefault="00394C50" w:rsidP="00394C50">
      <w:pPr>
        <w:ind w:firstLine="708"/>
        <w:jc w:val="both"/>
      </w:pPr>
    </w:p>
    <w:p w14:paraId="5DF3CB42" w14:textId="0D7FEB9F" w:rsidR="00394C50" w:rsidRPr="00DB693B" w:rsidRDefault="00394C50" w:rsidP="00394C50">
      <w:pPr>
        <w:jc w:val="both"/>
        <w:rPr>
          <w:i/>
        </w:rPr>
      </w:pPr>
      <w:r w:rsidRPr="009118AB">
        <w:rPr>
          <w:i/>
        </w:rPr>
        <w:t>[</w:t>
      </w:r>
      <w:r w:rsidR="00D67EB8" w:rsidRPr="009118AB">
        <w:rPr>
          <w:i/>
        </w:rPr>
        <w:t>Art. </w:t>
      </w:r>
      <w:r w:rsidRPr="009118AB">
        <w:rPr>
          <w:i/>
        </w:rPr>
        <w:t xml:space="preserve">326/7 eingefügt durch </w:t>
      </w:r>
      <w:r w:rsidR="00D67EB8" w:rsidRPr="009118AB">
        <w:rPr>
          <w:i/>
        </w:rPr>
        <w:t>Art. </w:t>
      </w:r>
      <w:r w:rsidRPr="009118AB">
        <w:rPr>
          <w:i/>
        </w:rPr>
        <w:t>9 des G. vom 20. Dezember 2019 (B.S. vom 30. Dezember 2019)</w:t>
      </w:r>
      <w:r w:rsidR="00D67EB8" w:rsidRPr="009118AB">
        <w:rPr>
          <w:i/>
        </w:rPr>
        <w:t> - </w:t>
      </w:r>
      <w:r w:rsidR="0058318B" w:rsidRPr="009118AB">
        <w:rPr>
          <w:i/>
        </w:rPr>
        <w:t>in Kraft am 1. Juli 2020</w:t>
      </w:r>
      <w:r w:rsidR="00FD68E8" w:rsidRPr="009118AB">
        <w:rPr>
          <w:i/>
        </w:rPr>
        <w:t> -</w:t>
      </w:r>
      <w:r w:rsidR="000D1A52" w:rsidRPr="009118AB">
        <w:rPr>
          <w:i/>
        </w:rPr>
        <w:t>;</w:t>
      </w:r>
      <w:r w:rsidR="00DB3777">
        <w:rPr>
          <w:i/>
        </w:rPr>
        <w:t xml:space="preserve"> § 1 Abs. 1 Nr. 1 für nichtig erklärt dur</w:t>
      </w:r>
      <w:r w:rsidR="000D1A52" w:rsidRPr="00DB3777">
        <w:rPr>
          <w:i/>
        </w:rPr>
        <w:t xml:space="preserve">ch </w:t>
      </w:r>
      <w:r w:rsidR="00851B15" w:rsidRPr="00DB3777">
        <w:rPr>
          <w:i/>
        </w:rPr>
        <w:t>Entscheid Nr. 1/2024 des Verfassungsgerichtshofes vom 11. Januar 2024 (B.S. vom 5. </w:t>
      </w:r>
      <w:r w:rsidR="00851B15" w:rsidRPr="00DB693B">
        <w:rPr>
          <w:i/>
        </w:rPr>
        <w:t>Februar 2024),</w:t>
      </w:r>
      <w:r w:rsidR="00851B15" w:rsidRPr="00851B15">
        <w:rPr>
          <w:rFonts w:ascii="Roboto" w:hAnsi="Roboto"/>
          <w:color w:val="000000"/>
          <w:shd w:val="clear" w:color="auto" w:fill="FFFFFF"/>
        </w:rPr>
        <w:t xml:space="preserve"> </w:t>
      </w:r>
      <w:r w:rsidR="00851B15" w:rsidRPr="00851B15">
        <w:rPr>
          <w:i/>
        </w:rPr>
        <w:t>insofern ein Rechtsanwalt, der als Intermediär tätig wird, verpflichte</w:t>
      </w:r>
      <w:r w:rsidR="00C210B3">
        <w:rPr>
          <w:i/>
        </w:rPr>
        <w:t>t wird</w:t>
      </w:r>
      <w:r w:rsidR="00851B15" w:rsidRPr="00851B15">
        <w:rPr>
          <w:i/>
        </w:rPr>
        <w:t>, einen anderen Intermediär, der nicht sein Mandant ist, zu informieren</w:t>
      </w:r>
      <w:r w:rsidR="00DB3777">
        <w:rPr>
          <w:i/>
        </w:rPr>
        <w:t>;</w:t>
      </w:r>
      <w:r w:rsidR="0039649F" w:rsidRPr="00DB3777">
        <w:rPr>
          <w:i/>
        </w:rPr>
        <w:t xml:space="preserve"> </w:t>
      </w:r>
      <w:r w:rsidR="00DB3777">
        <w:rPr>
          <w:i/>
        </w:rPr>
        <w:t xml:space="preserve">§ 3 für nichtig erklärt durch </w:t>
      </w:r>
      <w:r w:rsidR="00851B15" w:rsidRPr="00DB3777">
        <w:rPr>
          <w:i/>
        </w:rPr>
        <w:t>Entscheid Nr. 103/2022 des Verfassungsgerichtshofes vom 15. September 2022 (B.S. vom 13. Januar 2023)</w:t>
      </w:r>
      <w:r w:rsidR="00DB3777" w:rsidRPr="00DB3777">
        <w:rPr>
          <w:i/>
        </w:rPr>
        <w:t>, insofern vorsehen wird, dass ein Intermediär, der dem strafbewehrten Berufsgeheimnis unterliegt, sich bezüglich der regelmäßigen Meldepflicht für marktfähige Gestaltungen Einkommensteuergesetzbuches 1992, Hypotheken- und im Sinne von Artikel</w:t>
      </w:r>
      <w:r w:rsidR="00851B15">
        <w:rPr>
          <w:i/>
        </w:rPr>
        <w:t> </w:t>
      </w:r>
      <w:r w:rsidR="00DB3777" w:rsidRPr="00DB3777">
        <w:rPr>
          <w:i/>
        </w:rPr>
        <w:t>289bis/4 Kanzleigebührengesetzbuches, von Artikel 326/4 des Registrierungs-, Artikel</w:t>
      </w:r>
      <w:r w:rsidR="00851B15">
        <w:rPr>
          <w:i/>
        </w:rPr>
        <w:t> </w:t>
      </w:r>
      <w:r w:rsidR="00DB3777" w:rsidRPr="00DB3777">
        <w:rPr>
          <w:i/>
        </w:rPr>
        <w:t>146nonies des Erbschaftssteuergesetzbuches und von Artikel 211bis/4 des Gesetzbuches der verschiedenen Gebühren und Steuern nicht auf sein Berufsgeheimnis berufen kann</w:t>
      </w:r>
      <w:r w:rsidR="00FD68E8" w:rsidRPr="00DB693B">
        <w:rPr>
          <w:i/>
        </w:rPr>
        <w:t>]</w:t>
      </w:r>
    </w:p>
    <w:bookmarkEnd w:id="38"/>
    <w:p w14:paraId="2C93A245" w14:textId="77777777" w:rsidR="00394C50" w:rsidRPr="00DB693B" w:rsidRDefault="00394C50" w:rsidP="00394C50">
      <w:pPr>
        <w:ind w:firstLine="708"/>
        <w:jc w:val="both"/>
      </w:pPr>
    </w:p>
    <w:p w14:paraId="5EA58D40" w14:textId="77777777" w:rsidR="000A4E24" w:rsidRDefault="000A4E24" w:rsidP="000A4E24">
      <w:pPr>
        <w:jc w:val="both"/>
      </w:pPr>
    </w:p>
    <w:p w14:paraId="69FF7426" w14:textId="77777777" w:rsidR="00FF5606" w:rsidRDefault="00FF5606">
      <w:r>
        <w:br w:type="page"/>
      </w:r>
    </w:p>
    <w:p w14:paraId="1194126A" w14:textId="554C44FD" w:rsidR="00394C50" w:rsidRPr="009118AB" w:rsidRDefault="00394C50" w:rsidP="00394C50">
      <w:pPr>
        <w:ind w:firstLine="708"/>
        <w:jc w:val="both"/>
      </w:pPr>
      <w:r w:rsidRPr="009118AB">
        <w:t>[</w:t>
      </w:r>
      <w:r w:rsidR="00D67EB8" w:rsidRPr="009118AB">
        <w:rPr>
          <w:b/>
        </w:rPr>
        <w:t>Art. </w:t>
      </w:r>
      <w:r w:rsidRPr="009118AB">
        <w:rPr>
          <w:b/>
        </w:rPr>
        <w:t>326/8</w:t>
      </w:r>
      <w:r w:rsidR="00D67EB8" w:rsidRPr="009118AB">
        <w:t> - § </w:t>
      </w:r>
      <w:r w:rsidRPr="009118AB">
        <w:t>1</w:t>
      </w:r>
      <w:r w:rsidR="00D67EB8" w:rsidRPr="009118AB">
        <w:t> - </w:t>
      </w:r>
      <w:r w:rsidRPr="009118AB">
        <w:t>In folgenden Fällen obliegt die Meldepflicht dem relevanten Steuerpflichtigen:</w:t>
      </w:r>
    </w:p>
    <w:p w14:paraId="789326E0" w14:textId="77777777" w:rsidR="00394C50" w:rsidRPr="009118AB" w:rsidRDefault="00394C50" w:rsidP="00394C50">
      <w:pPr>
        <w:jc w:val="both"/>
      </w:pPr>
    </w:p>
    <w:p w14:paraId="40474C52" w14:textId="77777777" w:rsidR="00394C50" w:rsidRPr="009118AB" w:rsidRDefault="00394C50" w:rsidP="00394C50">
      <w:pPr>
        <w:ind w:firstLine="708"/>
        <w:jc w:val="both"/>
      </w:pPr>
      <w:r w:rsidRPr="009118AB">
        <w:t>1. wenn kein Intermediär an der Konzeption, Vermarktung, Organisation, Bereitstellung zur Umsetzung oder Verwaltung der Umsetzung der meldepflichtigen grenzüberschreitenden Gestaltung beteiligt ist oder</w:t>
      </w:r>
    </w:p>
    <w:p w14:paraId="0A47C3D4" w14:textId="77777777" w:rsidR="00394C50" w:rsidRPr="009118AB" w:rsidRDefault="00394C50" w:rsidP="00394C50">
      <w:pPr>
        <w:jc w:val="both"/>
      </w:pPr>
    </w:p>
    <w:p w14:paraId="7E304DEA" w14:textId="72262D70" w:rsidR="00394C50" w:rsidRPr="009118AB" w:rsidRDefault="00394C50" w:rsidP="00394C50">
      <w:pPr>
        <w:ind w:firstLine="708"/>
        <w:jc w:val="both"/>
      </w:pPr>
      <w:r w:rsidRPr="009118AB">
        <w:t xml:space="preserve">2. wenn der Intermediär gemäß Artikel 326/7 </w:t>
      </w:r>
      <w:r w:rsidR="00D67EB8" w:rsidRPr="009118AB">
        <w:t>§ </w:t>
      </w:r>
      <w:r w:rsidRPr="009118AB">
        <w:t xml:space="preserve">1 von der Verpflichtung zur Vorlage von Informationen befreit ist und er den/die relevanten Steuerpflichtigen gemäß Artikel 326/7 </w:t>
      </w:r>
      <w:r w:rsidR="00D67EB8" w:rsidRPr="009118AB">
        <w:t>§ </w:t>
      </w:r>
      <w:r w:rsidRPr="009118AB">
        <w:t xml:space="preserve">1 </w:t>
      </w:r>
      <w:r w:rsidR="00D67EB8" w:rsidRPr="009118AB">
        <w:t>Nr. </w:t>
      </w:r>
      <w:r w:rsidRPr="009118AB">
        <w:t>2 über dessen/deren Meldepflicht unterrichtet hat,</w:t>
      </w:r>
    </w:p>
    <w:p w14:paraId="1E2A092A" w14:textId="77777777" w:rsidR="00394C50" w:rsidRPr="009118AB" w:rsidRDefault="00394C50" w:rsidP="00394C50">
      <w:pPr>
        <w:jc w:val="both"/>
      </w:pPr>
    </w:p>
    <w:p w14:paraId="4DAE4D2D" w14:textId="3E794C7A" w:rsidR="00394C50" w:rsidRPr="009118AB" w:rsidRDefault="00394C50" w:rsidP="00394C50">
      <w:pPr>
        <w:ind w:firstLine="708"/>
        <w:jc w:val="both"/>
      </w:pPr>
      <w:r w:rsidRPr="009118AB">
        <w:t xml:space="preserve">3. wenn Letzterer die in Artikel 326/7 </w:t>
      </w:r>
      <w:r w:rsidR="00D67EB8" w:rsidRPr="009118AB">
        <w:t>§ </w:t>
      </w:r>
      <w:r w:rsidRPr="009118AB">
        <w:t>2 Absatz 1 erwähnte Erlaubnis nicht erteilt hat.</w:t>
      </w:r>
    </w:p>
    <w:p w14:paraId="32D384AD" w14:textId="77777777" w:rsidR="00394C50" w:rsidRPr="009118AB" w:rsidRDefault="00394C50" w:rsidP="00394C50">
      <w:pPr>
        <w:jc w:val="both"/>
      </w:pPr>
    </w:p>
    <w:p w14:paraId="7795A5B4" w14:textId="7A1BF066" w:rsidR="00394C50" w:rsidRPr="009118AB" w:rsidRDefault="00D67EB8" w:rsidP="00394C50">
      <w:pPr>
        <w:ind w:firstLine="708"/>
        <w:jc w:val="both"/>
      </w:pPr>
      <w:r w:rsidRPr="009118AB">
        <w:t>§ </w:t>
      </w:r>
      <w:r w:rsidR="00394C50" w:rsidRPr="009118AB">
        <w:t>2</w:t>
      </w:r>
      <w:r w:rsidRPr="009118AB">
        <w:t> - </w:t>
      </w:r>
      <w:r w:rsidR="00394C50" w:rsidRPr="009118AB">
        <w:t xml:space="preserve">Obliegt die Meldepflicht gemäß </w:t>
      </w:r>
      <w:r w:rsidRPr="009118AB">
        <w:t>§ </w:t>
      </w:r>
      <w:r w:rsidR="00394C50" w:rsidRPr="009118AB">
        <w:t>1 dem relevanten Steuerpflichtigen, legt er die Informationen innerhalb von dreißig Tagen ab dem nachstehend erwähnten Fall, der zuerst eintritt, vor:</w:t>
      </w:r>
    </w:p>
    <w:p w14:paraId="4302E7D2" w14:textId="77777777" w:rsidR="00394C50" w:rsidRPr="009118AB" w:rsidRDefault="00394C50" w:rsidP="00394C50">
      <w:pPr>
        <w:jc w:val="both"/>
      </w:pPr>
    </w:p>
    <w:p w14:paraId="61843FD3" w14:textId="77777777" w:rsidR="00394C50" w:rsidRPr="009118AB" w:rsidRDefault="00394C50" w:rsidP="00394C50">
      <w:pPr>
        <w:ind w:firstLine="708"/>
        <w:jc w:val="both"/>
      </w:pPr>
      <w:r w:rsidRPr="009118AB">
        <w:t>- Tag, nach dem ihm die meldepflichtige grenzüberschreitende Gestaltung zur Umsetzung bereitgestellt wird, oder</w:t>
      </w:r>
    </w:p>
    <w:p w14:paraId="29916802" w14:textId="77777777" w:rsidR="00394C50" w:rsidRPr="009118AB" w:rsidRDefault="00394C50" w:rsidP="00394C50">
      <w:pPr>
        <w:jc w:val="both"/>
      </w:pPr>
    </w:p>
    <w:p w14:paraId="4A4FCCD9" w14:textId="77777777" w:rsidR="00394C50" w:rsidRPr="009118AB" w:rsidRDefault="00394C50" w:rsidP="00394C50">
      <w:pPr>
        <w:ind w:firstLine="708"/>
        <w:jc w:val="both"/>
      </w:pPr>
      <w:r w:rsidRPr="009118AB">
        <w:t>- Tag, nach dem die meldepflichtige grenzüberschreitende Gestaltung zur Umsetzung durch den relevanten Steuerpflichtigen bereit ist, oder</w:t>
      </w:r>
    </w:p>
    <w:p w14:paraId="72727C8B" w14:textId="77777777" w:rsidR="00394C50" w:rsidRPr="009118AB" w:rsidRDefault="00394C50" w:rsidP="00394C50">
      <w:pPr>
        <w:jc w:val="both"/>
      </w:pPr>
    </w:p>
    <w:p w14:paraId="2D20C6ED" w14:textId="77777777" w:rsidR="00394C50" w:rsidRPr="009118AB" w:rsidRDefault="00394C50" w:rsidP="00394C50">
      <w:pPr>
        <w:ind w:firstLine="708"/>
        <w:jc w:val="both"/>
      </w:pPr>
      <w:r w:rsidRPr="009118AB">
        <w:t>- Zeitpunkt, zu dem der erste Schritt der Umsetzung dieser Gestaltung im Zusammen</w:t>
      </w:r>
      <w:r w:rsidRPr="009118AB">
        <w:softHyphen/>
        <w:t>hang mit dem relevanten Steuerpflichtigen gemacht wurde.</w:t>
      </w:r>
    </w:p>
    <w:p w14:paraId="5D7C3143" w14:textId="77777777" w:rsidR="00394C50" w:rsidRPr="009118AB" w:rsidRDefault="00394C50" w:rsidP="00394C50">
      <w:pPr>
        <w:jc w:val="both"/>
      </w:pPr>
    </w:p>
    <w:p w14:paraId="007AB5E7" w14:textId="34BD8878" w:rsidR="00394C50" w:rsidRPr="009118AB" w:rsidRDefault="00D67EB8" w:rsidP="00394C50">
      <w:pPr>
        <w:ind w:firstLine="708"/>
        <w:jc w:val="both"/>
      </w:pPr>
      <w:r w:rsidRPr="009118AB">
        <w:t>§ </w:t>
      </w:r>
      <w:r w:rsidR="00394C50" w:rsidRPr="009118AB">
        <w:t>3</w:t>
      </w:r>
      <w:r w:rsidRPr="009118AB">
        <w:t> - </w:t>
      </w:r>
      <w:r w:rsidR="00394C50" w:rsidRPr="009118AB">
        <w:t>Muss der relevante Steuerpflichtige den zuständigen Behörden von mehr als einem Mitgliedstaat Informationen über meldepflichtige grenzüberschreitende Gestaltungen vorlegen, so muss er die betreffenden Informationen der belgischen zuständigen Behörde nur vorlegen, wenn Belgien in der nachstehenden Liste zuerst erscheint:</w:t>
      </w:r>
    </w:p>
    <w:p w14:paraId="7EA11B3B" w14:textId="77777777" w:rsidR="00394C50" w:rsidRPr="009118AB" w:rsidRDefault="00394C50" w:rsidP="00394C50">
      <w:pPr>
        <w:jc w:val="both"/>
      </w:pPr>
    </w:p>
    <w:p w14:paraId="059EAF1C" w14:textId="77777777" w:rsidR="00394C50" w:rsidRPr="009118AB" w:rsidRDefault="00394C50" w:rsidP="00394C50">
      <w:pPr>
        <w:ind w:firstLine="708"/>
        <w:jc w:val="both"/>
      </w:pPr>
      <w:r w:rsidRPr="009118AB">
        <w:t>1. Mitgliedstaat, in dem der relevante Steuerpflichtige steuerlich ansässig ist,</w:t>
      </w:r>
    </w:p>
    <w:p w14:paraId="33B069D0" w14:textId="77777777" w:rsidR="00394C50" w:rsidRPr="009118AB" w:rsidRDefault="00394C50" w:rsidP="00394C50">
      <w:pPr>
        <w:jc w:val="both"/>
      </w:pPr>
    </w:p>
    <w:p w14:paraId="11D82396" w14:textId="77777777" w:rsidR="00394C50" w:rsidRPr="009118AB" w:rsidRDefault="00394C50" w:rsidP="00394C50">
      <w:pPr>
        <w:ind w:firstLine="708"/>
        <w:jc w:val="both"/>
      </w:pPr>
      <w:r w:rsidRPr="009118AB">
        <w:t>2. Mitgliedstaat, in dem der relevante Steuerpflichtige eine Betriebsstätte hat, der durch die Gestaltung ein Vorteil entsteht,</w:t>
      </w:r>
    </w:p>
    <w:p w14:paraId="2BD9EEDC" w14:textId="77777777" w:rsidR="00394C50" w:rsidRPr="009118AB" w:rsidRDefault="00394C50" w:rsidP="00394C50">
      <w:pPr>
        <w:jc w:val="both"/>
      </w:pPr>
    </w:p>
    <w:p w14:paraId="62AD3EB1" w14:textId="77777777" w:rsidR="00394C50" w:rsidRPr="009118AB" w:rsidRDefault="00394C50" w:rsidP="00394C50">
      <w:pPr>
        <w:ind w:firstLine="708"/>
        <w:jc w:val="both"/>
      </w:pPr>
      <w:r w:rsidRPr="009118AB">
        <w:t>3. Mitgliedstaat, in dem der relevante Steuerpflichtige Einkünfte oder Gewinne erzielt, obwohl er in keinem Mitgliedstaat steuerlich ansässig ist oder eine Betriebsstätte hat,</w:t>
      </w:r>
    </w:p>
    <w:p w14:paraId="2B4B0529" w14:textId="77777777" w:rsidR="00394C50" w:rsidRPr="009118AB" w:rsidRDefault="00394C50" w:rsidP="00394C50">
      <w:pPr>
        <w:jc w:val="both"/>
      </w:pPr>
    </w:p>
    <w:p w14:paraId="7811CF35" w14:textId="77777777" w:rsidR="00394C50" w:rsidRPr="009118AB" w:rsidRDefault="00394C50" w:rsidP="00394C50">
      <w:pPr>
        <w:ind w:firstLine="708"/>
        <w:jc w:val="both"/>
      </w:pPr>
      <w:r w:rsidRPr="009118AB">
        <w:t>4. Mitgliedstaat, in dem der relevante Steuerpflichtige eine Tätigkeit ausübt, obwohl er in keinem Mitgliedstaat steuerlich ansässig ist oder eine Betriebsstätte hat.</w:t>
      </w:r>
    </w:p>
    <w:p w14:paraId="5E4711DF" w14:textId="77777777" w:rsidR="00394C50" w:rsidRPr="009118AB" w:rsidRDefault="00394C50" w:rsidP="00394C50">
      <w:pPr>
        <w:jc w:val="both"/>
      </w:pPr>
    </w:p>
    <w:p w14:paraId="67858E52" w14:textId="3C269E9B" w:rsidR="00394C50" w:rsidRPr="009118AB" w:rsidRDefault="00394C50" w:rsidP="00394C50">
      <w:pPr>
        <w:ind w:firstLine="708"/>
        <w:jc w:val="both"/>
      </w:pPr>
      <w:r w:rsidRPr="009118AB">
        <w:t>Besteht gemäß Absatz 1 eine Verpflichtung zur Mehrfachmeldung, ist der relevante Steuerpflichtige von der Vorlage der Informationen befreit, wenn er einen schriftlichen Nachweis erbringt, dass dieselben Informationen bereits in einem anderen Mitgliedstaat vorgelegt wurden.]</w:t>
      </w:r>
    </w:p>
    <w:p w14:paraId="309F7BA6" w14:textId="715752E3" w:rsidR="00394C50" w:rsidRPr="009118AB" w:rsidRDefault="00394C50" w:rsidP="00394C50">
      <w:pPr>
        <w:ind w:firstLine="708"/>
        <w:jc w:val="both"/>
      </w:pPr>
    </w:p>
    <w:p w14:paraId="5244DD2F" w14:textId="34730788" w:rsidR="00394C50" w:rsidRPr="009118AB" w:rsidRDefault="00394C50" w:rsidP="00394C50">
      <w:pPr>
        <w:jc w:val="both"/>
        <w:rPr>
          <w:i/>
        </w:rPr>
      </w:pPr>
      <w:r w:rsidRPr="009118AB">
        <w:rPr>
          <w:i/>
        </w:rPr>
        <w:t>[</w:t>
      </w:r>
      <w:r w:rsidR="00D67EB8" w:rsidRPr="009118AB">
        <w:rPr>
          <w:i/>
        </w:rPr>
        <w:t>Art. </w:t>
      </w:r>
      <w:r w:rsidRPr="009118AB">
        <w:rPr>
          <w:i/>
        </w:rPr>
        <w:t xml:space="preserve">326/8 eingefügt durch </w:t>
      </w:r>
      <w:r w:rsidR="00D67EB8" w:rsidRPr="009118AB">
        <w:rPr>
          <w:i/>
        </w:rPr>
        <w:t>Art. </w:t>
      </w:r>
      <w:r w:rsidRPr="009118AB">
        <w:rPr>
          <w:i/>
        </w:rPr>
        <w:t>10 des G. vom 20. Dezember 2019 (B.S. vom 30. Dezember 2019)</w:t>
      </w:r>
      <w:r w:rsidR="00D67EB8" w:rsidRPr="009118AB">
        <w:rPr>
          <w:i/>
        </w:rPr>
        <w:t> - </w:t>
      </w:r>
      <w:r w:rsidR="0058318B" w:rsidRPr="009118AB">
        <w:rPr>
          <w:i/>
        </w:rPr>
        <w:t>in Kraft am 1. Juli 2020</w:t>
      </w:r>
      <w:r w:rsidR="00FD68E8" w:rsidRPr="009118AB">
        <w:rPr>
          <w:i/>
        </w:rPr>
        <w:t> -]</w:t>
      </w:r>
    </w:p>
    <w:p w14:paraId="3E13C886" w14:textId="77777777" w:rsidR="00394C50" w:rsidRPr="009118AB" w:rsidRDefault="00394C50" w:rsidP="00394C50">
      <w:pPr>
        <w:ind w:firstLine="708"/>
        <w:jc w:val="both"/>
      </w:pPr>
    </w:p>
    <w:p w14:paraId="09B1D8BA" w14:textId="77777777" w:rsidR="00394C50" w:rsidRPr="009118AB" w:rsidRDefault="00394C50" w:rsidP="00394C50">
      <w:pPr>
        <w:jc w:val="both"/>
      </w:pPr>
    </w:p>
    <w:p w14:paraId="456B813A" w14:textId="13AF69FF" w:rsidR="00394C50" w:rsidRPr="009118AB" w:rsidRDefault="00394C50" w:rsidP="00394C50">
      <w:pPr>
        <w:ind w:firstLine="708"/>
        <w:jc w:val="both"/>
      </w:pPr>
      <w:r w:rsidRPr="009118AB">
        <w:t>[</w:t>
      </w:r>
      <w:r w:rsidR="00D67EB8" w:rsidRPr="009118AB">
        <w:rPr>
          <w:b/>
        </w:rPr>
        <w:t>Art. </w:t>
      </w:r>
      <w:r w:rsidRPr="009118AB">
        <w:rPr>
          <w:b/>
        </w:rPr>
        <w:t>326/9</w:t>
      </w:r>
      <w:r w:rsidR="00D67EB8" w:rsidRPr="009118AB">
        <w:t> - </w:t>
      </w:r>
      <w:r w:rsidRPr="009118AB">
        <w:t>Für den Fall, dass die Meldepflicht dem relevanten Steuerpflichtigen obliegt und es mehr als einen relevanten Steuerpflichtigen gibt, ist der relevante Steuerpflichtige, der die Informationen gemäß Artikel 326/8 vorzulegen hat, derjenige, der in der nachstehenden Liste zuerst erscheint:</w:t>
      </w:r>
    </w:p>
    <w:p w14:paraId="48497911" w14:textId="77777777" w:rsidR="00394C50" w:rsidRPr="009118AB" w:rsidRDefault="00394C50" w:rsidP="00394C50">
      <w:pPr>
        <w:jc w:val="both"/>
      </w:pPr>
    </w:p>
    <w:p w14:paraId="45B669B3" w14:textId="77777777" w:rsidR="00394C50" w:rsidRPr="009118AB" w:rsidRDefault="00394C50" w:rsidP="00394C50">
      <w:pPr>
        <w:ind w:firstLine="708"/>
        <w:jc w:val="both"/>
      </w:pPr>
      <w:r w:rsidRPr="009118AB">
        <w:t>1. relevanter Steuerpflichtiger, der die meldepflichtige Gestaltung mit dem Intermediär vereinbart hat,</w:t>
      </w:r>
    </w:p>
    <w:p w14:paraId="0201E0C8" w14:textId="77777777" w:rsidR="00394C50" w:rsidRPr="009118AB" w:rsidRDefault="00394C50" w:rsidP="00394C50">
      <w:pPr>
        <w:jc w:val="both"/>
      </w:pPr>
    </w:p>
    <w:p w14:paraId="1D190996" w14:textId="77777777" w:rsidR="00394C50" w:rsidRPr="009118AB" w:rsidRDefault="00394C50" w:rsidP="00394C50">
      <w:pPr>
        <w:ind w:firstLine="708"/>
        <w:jc w:val="both"/>
      </w:pPr>
      <w:r w:rsidRPr="009118AB">
        <w:t>2. relevanter Steuerpflichtiger, der die Umsetzung der Gestaltung verwaltet.</w:t>
      </w:r>
    </w:p>
    <w:p w14:paraId="64918A6C" w14:textId="77777777" w:rsidR="00394C50" w:rsidRPr="009118AB" w:rsidRDefault="00394C50" w:rsidP="00394C50">
      <w:pPr>
        <w:jc w:val="both"/>
      </w:pPr>
    </w:p>
    <w:p w14:paraId="3E78344A" w14:textId="166925C4" w:rsidR="00394C50" w:rsidRPr="009118AB" w:rsidRDefault="00394C50" w:rsidP="00394C50">
      <w:pPr>
        <w:ind w:firstLine="708"/>
        <w:jc w:val="both"/>
      </w:pPr>
      <w:r w:rsidRPr="009118AB">
        <w:t xml:space="preserve">Ein relevanter Steuerpflichtiger ist nur soweit von der Verpflichtung zur Vorlage der Informationen befreit, als er einen schriftlichen Nachweis erbringt, dass dieselben Informationen gemäß Artikel 338 </w:t>
      </w:r>
      <w:r w:rsidR="00D67EB8" w:rsidRPr="009118AB">
        <w:t>§ </w:t>
      </w:r>
      <w:r w:rsidRPr="009118AB">
        <w:t>6/4 bereits durch einen anderen relevanten Steu</w:t>
      </w:r>
      <w:r w:rsidR="00F829AE" w:rsidRPr="009118AB">
        <w:t>erpflichtigen vorgelegt wurden.]</w:t>
      </w:r>
    </w:p>
    <w:p w14:paraId="247AD9AB" w14:textId="0D363968" w:rsidR="00394C50" w:rsidRPr="009118AB" w:rsidRDefault="00394C50" w:rsidP="00394C50">
      <w:pPr>
        <w:jc w:val="both"/>
      </w:pPr>
    </w:p>
    <w:p w14:paraId="190E36CB" w14:textId="362D0A2A" w:rsidR="0058318B" w:rsidRPr="009118AB" w:rsidRDefault="0058318B" w:rsidP="0058318B">
      <w:pPr>
        <w:jc w:val="both"/>
        <w:rPr>
          <w:i/>
        </w:rPr>
      </w:pPr>
      <w:r w:rsidRPr="009118AB">
        <w:rPr>
          <w:i/>
        </w:rPr>
        <w:t>[</w:t>
      </w:r>
      <w:r w:rsidR="00D67EB8" w:rsidRPr="009118AB">
        <w:rPr>
          <w:i/>
        </w:rPr>
        <w:t>Art. </w:t>
      </w:r>
      <w:r w:rsidRPr="009118AB">
        <w:rPr>
          <w:i/>
        </w:rPr>
        <w:t xml:space="preserve">326/9 eingefügt durch </w:t>
      </w:r>
      <w:r w:rsidR="00D67EB8" w:rsidRPr="009118AB">
        <w:rPr>
          <w:i/>
        </w:rPr>
        <w:t>Art. </w:t>
      </w:r>
      <w:r w:rsidRPr="009118AB">
        <w:rPr>
          <w:i/>
        </w:rPr>
        <w:t>11 des G. vom 20. Dezember 2019 (B.S. vom 30. Dezember 2019)</w:t>
      </w:r>
      <w:r w:rsidR="00D67EB8" w:rsidRPr="009118AB">
        <w:rPr>
          <w:i/>
        </w:rPr>
        <w:t> - </w:t>
      </w:r>
      <w:r w:rsidRPr="009118AB">
        <w:rPr>
          <w:i/>
        </w:rPr>
        <w:t>in Kraft am 1. Juli 2020</w:t>
      </w:r>
      <w:r w:rsidR="00FD68E8" w:rsidRPr="009118AB">
        <w:rPr>
          <w:i/>
        </w:rPr>
        <w:t> -]</w:t>
      </w:r>
    </w:p>
    <w:p w14:paraId="7445139C" w14:textId="77777777" w:rsidR="0058318B" w:rsidRPr="009118AB" w:rsidRDefault="0058318B" w:rsidP="00394C50">
      <w:pPr>
        <w:jc w:val="both"/>
      </w:pPr>
    </w:p>
    <w:p w14:paraId="5CEB9898" w14:textId="77777777" w:rsidR="00394C50" w:rsidRPr="009118AB" w:rsidRDefault="00394C50" w:rsidP="00394C50">
      <w:pPr>
        <w:jc w:val="both"/>
      </w:pPr>
    </w:p>
    <w:p w14:paraId="5549EF16" w14:textId="7AEBEA5A" w:rsidR="00394C50" w:rsidRPr="009118AB" w:rsidRDefault="0058318B" w:rsidP="00394C50">
      <w:pPr>
        <w:ind w:firstLine="708"/>
        <w:jc w:val="both"/>
      </w:pPr>
      <w:r w:rsidRPr="009118AB">
        <w:t>[</w:t>
      </w:r>
      <w:r w:rsidR="00D67EB8" w:rsidRPr="009118AB">
        <w:rPr>
          <w:b/>
        </w:rPr>
        <w:t>Art. </w:t>
      </w:r>
      <w:r w:rsidR="00394C50" w:rsidRPr="009118AB">
        <w:rPr>
          <w:b/>
        </w:rPr>
        <w:t>326/10</w:t>
      </w:r>
      <w:r w:rsidR="00D67EB8" w:rsidRPr="009118AB">
        <w:t> - </w:t>
      </w:r>
      <w:r w:rsidR="00394C50" w:rsidRPr="009118AB">
        <w:t xml:space="preserve">Für die Anwendung des vorliegenden Abschnitts, des Artikels 338 </w:t>
      </w:r>
      <w:r w:rsidR="00D67EB8" w:rsidRPr="009118AB">
        <w:t>§ </w:t>
      </w:r>
      <w:r w:rsidR="00394C50" w:rsidRPr="009118AB">
        <w:t>6/4 und der daraus hervorgehenden Ausführungserlasse muss die Meldung von Informationen für Teile, die der König genauer bestimmt, neben der Verwendung einer der Amtssprachen Belg</w:t>
      </w:r>
      <w:r w:rsidRPr="009118AB">
        <w:t>iens auch in Englisch erfolgen.]</w:t>
      </w:r>
    </w:p>
    <w:p w14:paraId="7503A356" w14:textId="279E1E45" w:rsidR="0058318B" w:rsidRPr="009118AB" w:rsidRDefault="0058318B" w:rsidP="00394C50">
      <w:pPr>
        <w:ind w:firstLine="708"/>
        <w:jc w:val="both"/>
      </w:pPr>
    </w:p>
    <w:p w14:paraId="569C28E2" w14:textId="09BD4AB0" w:rsidR="0058318B" w:rsidRPr="009118AB" w:rsidRDefault="0058318B" w:rsidP="0058318B">
      <w:pPr>
        <w:jc w:val="both"/>
        <w:rPr>
          <w:i/>
        </w:rPr>
      </w:pPr>
      <w:r w:rsidRPr="009118AB">
        <w:rPr>
          <w:i/>
        </w:rPr>
        <w:t>[</w:t>
      </w:r>
      <w:r w:rsidR="00D67EB8" w:rsidRPr="009118AB">
        <w:rPr>
          <w:i/>
        </w:rPr>
        <w:t>Art. </w:t>
      </w:r>
      <w:r w:rsidRPr="009118AB">
        <w:rPr>
          <w:i/>
        </w:rPr>
        <w:t xml:space="preserve">326/10 eingefügt durch </w:t>
      </w:r>
      <w:r w:rsidR="00D67EB8" w:rsidRPr="009118AB">
        <w:rPr>
          <w:i/>
        </w:rPr>
        <w:t>Art. </w:t>
      </w:r>
      <w:r w:rsidRPr="009118AB">
        <w:rPr>
          <w:i/>
        </w:rPr>
        <w:t>12 des G. vom 20. Dezember 2019 (B.S. vom 30. Dezember 2019)</w:t>
      </w:r>
      <w:r w:rsidR="00D67EB8" w:rsidRPr="009118AB">
        <w:rPr>
          <w:i/>
        </w:rPr>
        <w:t> - </w:t>
      </w:r>
      <w:r w:rsidRPr="009118AB">
        <w:rPr>
          <w:i/>
        </w:rPr>
        <w:t>in Kraft am 1. Juli 2020</w:t>
      </w:r>
      <w:r w:rsidR="00FD68E8" w:rsidRPr="009118AB">
        <w:rPr>
          <w:i/>
        </w:rPr>
        <w:t> -]</w:t>
      </w:r>
    </w:p>
    <w:p w14:paraId="77FBF2A3" w14:textId="77777777" w:rsidR="0058318B" w:rsidRPr="009118AB" w:rsidRDefault="0058318B" w:rsidP="00394C50">
      <w:pPr>
        <w:ind w:firstLine="708"/>
        <w:jc w:val="both"/>
      </w:pPr>
    </w:p>
    <w:p w14:paraId="05F880B8" w14:textId="77777777" w:rsidR="0058318B" w:rsidRPr="009118AB" w:rsidRDefault="0058318B" w:rsidP="0058318B">
      <w:pPr>
        <w:ind w:firstLine="709"/>
        <w:jc w:val="both"/>
      </w:pPr>
    </w:p>
    <w:p w14:paraId="48A328B6" w14:textId="55D03E68" w:rsidR="0058318B" w:rsidRPr="009118AB" w:rsidRDefault="0058318B" w:rsidP="0058318B">
      <w:pPr>
        <w:ind w:firstLine="709"/>
        <w:jc w:val="both"/>
      </w:pPr>
      <w:r w:rsidRPr="009118AB">
        <w:t>[</w:t>
      </w:r>
      <w:r w:rsidR="00D67EB8" w:rsidRPr="009118AB">
        <w:rPr>
          <w:b/>
        </w:rPr>
        <w:t>Art. </w:t>
      </w:r>
      <w:r w:rsidR="00394C50" w:rsidRPr="009118AB">
        <w:rPr>
          <w:b/>
        </w:rPr>
        <w:t>326/11</w:t>
      </w:r>
      <w:r w:rsidR="00D67EB8" w:rsidRPr="009118AB">
        <w:t> - </w:t>
      </w:r>
      <w:r w:rsidR="00394C50" w:rsidRPr="009118AB">
        <w:t>Der König bestimmt das Formular, anhand dessen Intermediäre oder relevante Steuerpflichtige den in vorliegendem Abschnitt aufgeführten Verpflichtungen nachkommen müssen.]</w:t>
      </w:r>
    </w:p>
    <w:p w14:paraId="44D59316" w14:textId="77777777" w:rsidR="0058318B" w:rsidRPr="009118AB" w:rsidRDefault="0058318B" w:rsidP="0058318B">
      <w:pPr>
        <w:ind w:firstLine="709"/>
        <w:jc w:val="both"/>
      </w:pPr>
    </w:p>
    <w:p w14:paraId="5161C820" w14:textId="5F4DC198" w:rsidR="0058318B" w:rsidRPr="009118AB" w:rsidRDefault="0058318B" w:rsidP="0058318B">
      <w:pPr>
        <w:jc w:val="both"/>
        <w:rPr>
          <w:i/>
        </w:rPr>
      </w:pPr>
      <w:r w:rsidRPr="009118AB">
        <w:rPr>
          <w:i/>
        </w:rPr>
        <w:t>[</w:t>
      </w:r>
      <w:r w:rsidR="00D67EB8" w:rsidRPr="009118AB">
        <w:rPr>
          <w:i/>
        </w:rPr>
        <w:t>Art. </w:t>
      </w:r>
      <w:r w:rsidRPr="009118AB">
        <w:rPr>
          <w:i/>
        </w:rPr>
        <w:t xml:space="preserve">326/11 eingefügt durch </w:t>
      </w:r>
      <w:r w:rsidR="00D67EB8" w:rsidRPr="009118AB">
        <w:rPr>
          <w:i/>
        </w:rPr>
        <w:t>Art. </w:t>
      </w:r>
      <w:r w:rsidRPr="009118AB">
        <w:rPr>
          <w:i/>
        </w:rPr>
        <w:t>13 des G. vom 20. Dezember 2019 (B.S. vom 30. Dezember 2019)</w:t>
      </w:r>
      <w:r w:rsidR="00D67EB8" w:rsidRPr="009118AB">
        <w:rPr>
          <w:i/>
        </w:rPr>
        <w:t> - </w:t>
      </w:r>
      <w:r w:rsidRPr="009118AB">
        <w:rPr>
          <w:i/>
        </w:rPr>
        <w:t>in Kraft am 1. Juli 2020</w:t>
      </w:r>
      <w:r w:rsidR="00FD68E8" w:rsidRPr="009118AB">
        <w:rPr>
          <w:i/>
        </w:rPr>
        <w:t> -]</w:t>
      </w:r>
    </w:p>
    <w:p w14:paraId="43343F3B" w14:textId="365DBAD7" w:rsidR="00272588" w:rsidRPr="009118AB" w:rsidRDefault="00272588" w:rsidP="0058318B">
      <w:pPr>
        <w:ind w:firstLine="709"/>
        <w:jc w:val="both"/>
      </w:pPr>
      <w:r w:rsidRPr="009118AB">
        <w:br w:type="page"/>
      </w:r>
    </w:p>
    <w:p w14:paraId="466A8968" w14:textId="43F8421F" w:rsidR="00477B8F" w:rsidRPr="009118AB" w:rsidRDefault="00477B8F" w:rsidP="002725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rPr>
          <w:i/>
          <w:iCs/>
        </w:rPr>
        <w:t>Abschnitt </w:t>
      </w:r>
      <w:r w:rsidR="00D74862" w:rsidRPr="009118AB">
        <w:rPr>
          <w:i/>
          <w:iCs/>
        </w:rPr>
        <w:t>3</w:t>
      </w:r>
      <w:r w:rsidR="00D67EB8" w:rsidRPr="009118AB">
        <w:t> - </w:t>
      </w:r>
      <w:r w:rsidRPr="009118AB">
        <w:t>Pflichten der öffentlichen Dienste und Einrichtungen</w:t>
      </w:r>
    </w:p>
    <w:p w14:paraId="002645D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752ABB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9916392" w14:textId="356422C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327</w:t>
      </w:r>
      <w:r w:rsidR="00D67EB8" w:rsidRPr="009118AB">
        <w:t> - § </w:t>
      </w:r>
      <w:r w:rsidRPr="009118AB">
        <w:t>1</w:t>
      </w:r>
      <w:r w:rsidR="00D67EB8" w:rsidRPr="009118AB">
        <w:t> - </w:t>
      </w:r>
      <w:r w:rsidRPr="009118AB">
        <w:t xml:space="preserve">Verwaltungsdienste des Staates einschließlich der Staatsanwaltschaften und Kanzleien der Gerichtshöfe und aller Rechtsprechungsorgane, die Verwaltungen der Gemeinschaften, Regionen, Provinzen, Agglomerationen, Gemeindeföderationen und Gemeinden und öffentliche Einrichtungen sind auf Ersuchen eines mit der Festlegung </w:t>
      </w:r>
      <w:r w:rsidR="007B11CE" w:rsidRPr="009118AB">
        <w:t>[...]</w:t>
      </w:r>
      <w:r w:rsidRPr="009118AB">
        <w:t xml:space="preserve"> der Steuern beauftragten Beamten dazu verpflichtet, ihm alle in ihrem Besitz befindlichen Auskünfte zu erteilen, ihm vor Ort Einsicht in alle in ihrem Besitz befindlichen Urkunden, Schriftstücke, Register und Unterlagen zu gewähren und ihn alle Auskünfte einholen und alle Abschriften oder Auszüge nehmen zu lassen, die vorerwähnter Beamter für notwendig erachtet, um die Festlegung </w:t>
      </w:r>
      <w:r w:rsidR="007B11CE" w:rsidRPr="009118AB">
        <w:t>[...]</w:t>
      </w:r>
      <w:r w:rsidRPr="009118AB">
        <w:t xml:space="preserve"> der vom Staat festgelegten Steuern zu gewährleisten.</w:t>
      </w:r>
    </w:p>
    <w:p w14:paraId="79A597B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0BAA38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4E391F" w:rsidRPr="009118AB">
        <w:t>[Nur mit der ausdrücklichen Erlaubnis der Staatsanwaltschaft dürfen Urkunden, Schriftstücke, Register und Unterlagen oder Auskünfte über Gerichtsverfahren zur Einsichtnahme vorgelegt oder darf davon eine Abschrift angefertigt werden.]</w:t>
      </w:r>
    </w:p>
    <w:p w14:paraId="7320F7C4" w14:textId="77777777" w:rsidR="004E391F" w:rsidRPr="009118AB" w:rsidRDefault="004E391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CE0619" w14:textId="446EF8A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Originale von Quittungen-Pflegebescheinigungen, die von Ärzten, Fachkräften der Zahnheilkunde und heilhilfsberuflichen Mitarbeitern ausgestellt werden, dürfen erst übermittelt werden, nachdem der Nationale Rat der Ärztekammer beziehungsweise die provinzialen medizinischen Kommissionen die Gelegenheit hatten sich davon zu überzeugen, dass die </w:t>
      </w:r>
      <w:r w:rsidR="00276B57" w:rsidRPr="009118AB">
        <w:t xml:space="preserve">[mit der Festlegung </w:t>
      </w:r>
      <w:r w:rsidR="007B11CE" w:rsidRPr="009118AB">
        <w:t>[...]</w:t>
      </w:r>
      <w:r w:rsidR="00276B57" w:rsidRPr="009118AB">
        <w:t xml:space="preserve"> der Einkommensteuern beauftragte Verwaltung] </w:t>
      </w:r>
      <w:r w:rsidRPr="009118AB">
        <w:t>auf diese Weise keine Informationen über die Identität der Kranken und Versicherten erhält.</w:t>
      </w:r>
    </w:p>
    <w:p w14:paraId="44CCDC8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233F82A" w14:textId="5EA5FB3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2</w:t>
      </w:r>
      <w:r w:rsidR="00D67EB8" w:rsidRPr="009118AB">
        <w:t> - </w:t>
      </w:r>
      <w:r w:rsidRPr="009118AB">
        <w:t>Paragraph 1 ist nicht auf das Landesamt für Statistiken und das Wirtschaftliche und soziale Institut für den Mittelstand anwendbar, was individuell erhaltene Auskünfte betrifft.</w:t>
      </w:r>
    </w:p>
    <w:p w14:paraId="1EC418A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3F3B89B" w14:textId="59DFD6D0" w:rsidR="000E467D" w:rsidRPr="009118AB" w:rsidRDefault="00D67EB8" w:rsidP="000E467D">
      <w:pPr>
        <w:ind w:firstLine="708"/>
        <w:jc w:val="both"/>
      </w:pPr>
      <w:r w:rsidRPr="009118AB">
        <w:t>§ </w:t>
      </w:r>
      <w:r w:rsidR="00477B8F" w:rsidRPr="009118AB">
        <w:t>3</w:t>
      </w:r>
      <w:r w:rsidRPr="009118AB">
        <w:t> - </w:t>
      </w:r>
      <w:r w:rsidR="000E467D" w:rsidRPr="009118AB">
        <w:t>[Paragraph 1 ist nicht auf die öffentlich-rechtliche Aktiengesellschaft bpost anwendbar.</w:t>
      </w:r>
    </w:p>
    <w:p w14:paraId="17FE0AA5" w14:textId="77777777" w:rsidR="000E467D" w:rsidRPr="009118AB" w:rsidRDefault="000E467D" w:rsidP="000E467D">
      <w:pPr>
        <w:jc w:val="both"/>
      </w:pPr>
    </w:p>
    <w:p w14:paraId="07EB2AD8" w14:textId="6145154B" w:rsidR="00477B8F" w:rsidRPr="009118AB" w:rsidRDefault="000E467D" w:rsidP="000E46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Paragraph 1 bleibt jedoch anwendbar in Fällen und unter Bedingungen, die in den Artikeln 318 Absatz 2 und 322 §</w:t>
      </w:r>
      <w:r w:rsidR="00D67EB8" w:rsidRPr="009118AB">
        <w:t>§ </w:t>
      </w:r>
      <w:r w:rsidRPr="009118AB">
        <w:t>2 bis 4 erwähnt sind.]</w:t>
      </w:r>
    </w:p>
    <w:p w14:paraId="63D75E3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460ADE" w14:textId="7E13BDE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4</w:t>
      </w:r>
      <w:r w:rsidR="00D67EB8" w:rsidRPr="009118AB">
        <w:t> - </w:t>
      </w:r>
      <w:r w:rsidRPr="009118AB">
        <w:t>[...]</w:t>
      </w:r>
    </w:p>
    <w:p w14:paraId="121BCAE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F43DB1B" w14:textId="24974B6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5</w:t>
      </w:r>
      <w:r w:rsidR="00D67EB8" w:rsidRPr="009118AB">
        <w:t> - </w:t>
      </w:r>
      <w:r w:rsidRPr="009118AB">
        <w:t>[...]</w:t>
      </w:r>
    </w:p>
    <w:p w14:paraId="793976D1" w14:textId="77777777" w:rsidR="00D1282F" w:rsidRPr="009118AB" w:rsidRDefault="00D1282F" w:rsidP="00477B8F">
      <w:pPr>
        <w:autoSpaceDE w:val="0"/>
        <w:autoSpaceDN w:val="0"/>
        <w:adjustRightInd w:val="0"/>
      </w:pPr>
    </w:p>
    <w:p w14:paraId="2C90323A" w14:textId="366B76AA" w:rsidR="00477B8F" w:rsidRPr="009118AB" w:rsidRDefault="00477B8F" w:rsidP="00A1425D">
      <w:pPr>
        <w:autoSpaceDE w:val="0"/>
        <w:autoSpaceDN w:val="0"/>
        <w:adjustRightInd w:val="0"/>
        <w:jc w:val="both"/>
      </w:pPr>
      <w:r w:rsidRPr="009118AB">
        <w:tab/>
        <w:t>[</w:t>
      </w:r>
      <w:r w:rsidR="00D67EB8" w:rsidRPr="009118AB">
        <w:t>§ </w:t>
      </w:r>
      <w:r w:rsidRPr="009118AB">
        <w:t>6</w:t>
      </w:r>
      <w:r w:rsidR="00D67EB8" w:rsidRPr="009118AB">
        <w:t> - </w:t>
      </w:r>
      <w:r w:rsidRPr="009118AB">
        <w:t xml:space="preserve">Die in Artikel 9 </w:t>
      </w:r>
      <w:r w:rsidR="00F36AB8" w:rsidRPr="009118AB">
        <w:t>[</w:t>
      </w:r>
      <w:r w:rsidRPr="009118AB">
        <w:t xml:space="preserve">des Gesetzes vom 7. Mai 1999 über die Glücksspiele, </w:t>
      </w:r>
      <w:r w:rsidR="00F36AB8" w:rsidRPr="009118AB">
        <w:t xml:space="preserve">die Wetten, </w:t>
      </w:r>
      <w:r w:rsidRPr="009118AB">
        <w:t>die Glücksspieleinrichtungen und den Schutz der Spieler</w:t>
      </w:r>
      <w:r w:rsidR="00F36AB8" w:rsidRPr="009118AB">
        <w:t>]</w:t>
      </w:r>
      <w:r w:rsidRPr="009118AB">
        <w:t xml:space="preserve"> erwähnte Kommission für Glücksspiele muss den Minister der Finanzen unverzüglich in Kenntnis setzen, wenn sie bei einer Einrichtung, die sie kontrolliert, konkrete Elemente feststellt, die das Bestehen oder die Vorbereitung eines Steuerhinterziehungsmechanismus vermuten lassen können.]</w:t>
      </w:r>
    </w:p>
    <w:p w14:paraId="32E3B01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3E82897" w14:textId="7D2AC33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iCs/>
          <w:spacing w:val="-2"/>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327 </w:t>
      </w:r>
      <w:r w:rsidR="00D67EB8" w:rsidRPr="009118AB">
        <w:rPr>
          <w:rFonts w:ascii="Times New Roman Italique" w:hAnsi="Times New Roman Italique"/>
          <w:i/>
          <w:iCs/>
          <w:spacing w:val="-2"/>
        </w:rPr>
        <w:t>§ </w:t>
      </w:r>
      <w:r w:rsidR="007B11CE"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7B11CE" w:rsidRPr="009118AB">
        <w:rPr>
          <w:rFonts w:ascii="Times New Roman Italique" w:hAnsi="Times New Roman Italique"/>
          <w:i/>
          <w:iCs/>
          <w:spacing w:val="-2"/>
        </w:rPr>
        <w:t xml:space="preserve">1 abgeändert durch </w:t>
      </w:r>
      <w:r w:rsidR="00D67EB8" w:rsidRPr="009118AB">
        <w:rPr>
          <w:rFonts w:ascii="Times New Roman Italique" w:hAnsi="Times New Roman Italique"/>
          <w:i/>
          <w:iCs/>
          <w:spacing w:val="-2"/>
        </w:rPr>
        <w:t>Art. </w:t>
      </w:r>
      <w:r w:rsidR="007B11CE" w:rsidRPr="009118AB">
        <w:rPr>
          <w:rFonts w:ascii="Times New Roman Italique" w:hAnsi="Times New Roman Italique"/>
          <w:i/>
          <w:iCs/>
          <w:spacing w:val="-2"/>
        </w:rPr>
        <w:t xml:space="preserve">33 </w:t>
      </w:r>
      <w:r w:rsidR="00D67EB8" w:rsidRPr="009118AB">
        <w:rPr>
          <w:rFonts w:ascii="Times New Roman Italique" w:hAnsi="Times New Roman Italique"/>
          <w:i/>
          <w:iCs/>
          <w:spacing w:val="-2"/>
        </w:rPr>
        <w:t>Nr. </w:t>
      </w:r>
      <w:r w:rsidR="007B11CE" w:rsidRPr="009118AB">
        <w:rPr>
          <w:rFonts w:ascii="Times New Roman Italique" w:hAnsi="Times New Roman Italique"/>
          <w:i/>
          <w:iCs/>
          <w:spacing w:val="-2"/>
        </w:rPr>
        <w:t>1</w:t>
      </w:r>
      <w:r w:rsidR="007B11CE" w:rsidRPr="009118AB">
        <w:rPr>
          <w:i/>
          <w:iCs/>
        </w:rPr>
        <w:t xml:space="preserve"> des G. vom 13. April 2019 (II) (B.S. vom 30. April 2019)</w:t>
      </w:r>
      <w:r w:rsidR="00D67EB8" w:rsidRPr="009118AB">
        <w:rPr>
          <w:i/>
          <w:iCs/>
        </w:rPr>
        <w:t> - </w:t>
      </w:r>
      <w:r w:rsidR="007B11CE" w:rsidRPr="009118AB">
        <w:rPr>
          <w:i/>
          <w:iCs/>
        </w:rPr>
        <w:t>in Kraft am 1. Januar 2020</w:t>
      </w:r>
      <w:r w:rsidR="003366D9" w:rsidRPr="009118AB">
        <w:rPr>
          <w:i/>
          <w:iCs/>
        </w:rPr>
        <w:t> -;</w:t>
      </w:r>
      <w:r w:rsidR="007B11CE" w:rsidRPr="009118AB">
        <w:rPr>
          <w:i/>
          <w:iCs/>
        </w:rPr>
        <w:t xml:space="preserve"> </w:t>
      </w:r>
      <w:r w:rsidR="00D67EB8" w:rsidRPr="009118AB">
        <w:rPr>
          <w:rFonts w:ascii="Times New Roman Italique" w:hAnsi="Times New Roman Italique"/>
          <w:i/>
          <w:iCs/>
          <w:spacing w:val="-2"/>
        </w:rPr>
        <w:t>§ </w:t>
      </w:r>
      <w:r w:rsidR="007B11CE"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2 </w:t>
      </w:r>
      <w:r w:rsidR="004E391F" w:rsidRPr="009118AB">
        <w:rPr>
          <w:rFonts w:ascii="Times New Roman Italique" w:hAnsi="Times New Roman Italique"/>
          <w:i/>
          <w:iCs/>
          <w:spacing w:val="-2"/>
        </w:rPr>
        <w:t xml:space="preserve">ersetzt durch </w:t>
      </w:r>
      <w:r w:rsidR="00D67EB8" w:rsidRPr="009118AB">
        <w:rPr>
          <w:rFonts w:ascii="Times New Roman Italique" w:hAnsi="Times New Roman Italique"/>
          <w:i/>
          <w:iCs/>
          <w:spacing w:val="-2"/>
        </w:rPr>
        <w:t>Art. </w:t>
      </w:r>
      <w:r w:rsidR="004E391F" w:rsidRPr="009118AB">
        <w:rPr>
          <w:rFonts w:ascii="Times New Roman Italique" w:hAnsi="Times New Roman Italique" w:hint="eastAsia"/>
          <w:i/>
          <w:iCs/>
          <w:spacing w:val="-2"/>
        </w:rPr>
        <w:t>6</w:t>
      </w:r>
      <w:r w:rsidR="004E391F" w:rsidRPr="009118AB">
        <w:rPr>
          <w:i/>
          <w:iCs/>
        </w:rPr>
        <w:t xml:space="preserve"> des G. vom 14. Januar 2013 (B.S. vom 31. Januar 2013)</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276B57"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276B57" w:rsidRPr="009118AB">
        <w:rPr>
          <w:rFonts w:ascii="Times New Roman Italique" w:hAnsi="Times New Roman Italique"/>
          <w:i/>
          <w:iCs/>
          <w:spacing w:val="-2"/>
        </w:rPr>
        <w:t>3</w:t>
      </w:r>
      <w:r w:rsidR="00276B57" w:rsidRPr="009118AB">
        <w:rPr>
          <w:i/>
          <w:iCs/>
        </w:rPr>
        <w:t xml:space="preserve"> abgeändert durch </w:t>
      </w:r>
      <w:r w:rsidR="00D67EB8" w:rsidRPr="009118AB">
        <w:rPr>
          <w:i/>
          <w:iCs/>
        </w:rPr>
        <w:t>Art. </w:t>
      </w:r>
      <w:r w:rsidR="00276B57" w:rsidRPr="009118AB">
        <w:rPr>
          <w:i/>
          <w:iCs/>
        </w:rPr>
        <w:t>12 des G. vom 25. April 2014 (I) (B.S. vom 16. Mai 2014)</w:t>
      </w:r>
      <w:r w:rsidR="00D67EB8" w:rsidRPr="009118AB">
        <w:rPr>
          <w:i/>
          <w:iCs/>
        </w:rPr>
        <w:t> - </w:t>
      </w:r>
      <w:r w:rsidR="00276B57" w:rsidRPr="009118AB">
        <w:rPr>
          <w:i/>
          <w:iCs/>
        </w:rPr>
        <w:t>in Kraft am 16. Mai 2014</w:t>
      </w:r>
      <w:r w:rsidR="00D67EB8" w:rsidRPr="009118AB">
        <w:rPr>
          <w:i/>
          <w:iCs/>
        </w:rPr>
        <w:t> - </w:t>
      </w:r>
      <w:r w:rsidR="007B11CE" w:rsidRPr="009118AB">
        <w:rPr>
          <w:i/>
          <w:iCs/>
        </w:rPr>
        <w:t xml:space="preserve">und </w:t>
      </w:r>
      <w:r w:rsidR="00D67EB8" w:rsidRPr="009118AB">
        <w:rPr>
          <w:i/>
          <w:iCs/>
        </w:rPr>
        <w:t>Art. </w:t>
      </w:r>
      <w:r w:rsidR="007B11CE" w:rsidRPr="009118AB">
        <w:rPr>
          <w:i/>
          <w:iCs/>
        </w:rPr>
        <w:t xml:space="preserve">33 </w:t>
      </w:r>
      <w:r w:rsidR="00D67EB8" w:rsidRPr="009118AB">
        <w:rPr>
          <w:i/>
          <w:iCs/>
        </w:rPr>
        <w:t>Nr. </w:t>
      </w:r>
      <w:r w:rsidR="007B11CE" w:rsidRPr="009118AB">
        <w:rPr>
          <w:i/>
          <w:iCs/>
        </w:rPr>
        <w:t>2 des G. vom 13. April 2019 (II) (B.S. vom 30. April 2019)</w:t>
      </w:r>
      <w:r w:rsidR="00D67EB8" w:rsidRPr="009118AB">
        <w:rPr>
          <w:i/>
          <w:iCs/>
        </w:rPr>
        <w:t> - </w:t>
      </w:r>
      <w:r w:rsidR="007B11CE" w:rsidRPr="009118AB">
        <w:rPr>
          <w:i/>
          <w:iCs/>
        </w:rPr>
        <w:t>in Kraft am 1. Januar 2020</w:t>
      </w:r>
      <w:r w:rsidR="003366D9" w:rsidRPr="009118AB">
        <w:rPr>
          <w:i/>
          <w:iCs/>
        </w:rPr>
        <w:t> -;</w:t>
      </w:r>
      <w:r w:rsidR="00276B57" w:rsidRPr="009118AB">
        <w:rPr>
          <w:i/>
          <w:iCs/>
        </w:rPr>
        <w:t xml:space="preserve"> </w:t>
      </w:r>
      <w:r w:rsidR="00D67EB8" w:rsidRPr="009118AB">
        <w:rPr>
          <w:rFonts w:ascii="Times New Roman Italique" w:hAnsi="Times New Roman Italique"/>
          <w:i/>
          <w:iCs/>
          <w:spacing w:val="-2"/>
        </w:rPr>
        <w:t>§ </w:t>
      </w:r>
      <w:r w:rsidR="000E467D" w:rsidRPr="009118AB">
        <w:rPr>
          <w:rFonts w:ascii="Times New Roman Italique" w:hAnsi="Times New Roman Italique"/>
          <w:i/>
          <w:iCs/>
          <w:spacing w:val="-2"/>
        </w:rPr>
        <w:t xml:space="preserve">3 ersetzt durch </w:t>
      </w:r>
      <w:r w:rsidR="00D67EB8" w:rsidRPr="009118AB">
        <w:rPr>
          <w:rFonts w:ascii="Times New Roman Italique" w:hAnsi="Times New Roman Italique"/>
          <w:i/>
          <w:iCs/>
          <w:spacing w:val="-2"/>
        </w:rPr>
        <w:t>Art. </w:t>
      </w:r>
      <w:r w:rsidR="000E467D" w:rsidRPr="009118AB">
        <w:rPr>
          <w:rFonts w:ascii="Times New Roman Italique" w:hAnsi="Times New Roman Italique"/>
          <w:i/>
          <w:iCs/>
          <w:spacing w:val="-2"/>
        </w:rPr>
        <w:t xml:space="preserve">8 des G. vom 7. November 2011 </w:t>
      </w:r>
      <w:r w:rsidR="007B6928" w:rsidRPr="009118AB">
        <w:rPr>
          <w:rFonts w:ascii="Times New Roman Italique" w:hAnsi="Times New Roman Italique"/>
          <w:i/>
          <w:iCs/>
          <w:spacing w:val="-2"/>
        </w:rPr>
        <w:t xml:space="preserve">(I) </w:t>
      </w:r>
      <w:r w:rsidR="000E467D" w:rsidRPr="009118AB">
        <w:rPr>
          <w:rFonts w:ascii="Times New Roman Italique" w:hAnsi="Times New Roman Italique"/>
          <w:i/>
          <w:iCs/>
          <w:spacing w:val="-2"/>
        </w:rPr>
        <w:t>(B.S. vom 10. November 2011)</w:t>
      </w:r>
      <w:r w:rsidR="00D67EB8" w:rsidRPr="009118AB">
        <w:rPr>
          <w:rFonts w:ascii="Times New Roman Italique" w:hAnsi="Times New Roman Italique"/>
          <w:i/>
          <w:iCs/>
          <w:spacing w:val="-2"/>
        </w:rPr>
        <w:t> - </w:t>
      </w:r>
      <w:r w:rsidR="000E467D" w:rsidRPr="009118AB">
        <w:rPr>
          <w:rFonts w:ascii="Times New Roman Italique" w:hAnsi="Times New Roman Italique"/>
          <w:i/>
          <w:iCs/>
          <w:spacing w:val="-2"/>
        </w:rPr>
        <w:t>wirksam mit 1. Juli 2011</w:t>
      </w:r>
      <w:r w:rsidR="003366D9" w:rsidRPr="009118AB">
        <w:rPr>
          <w:rFonts w:ascii="Times New Roman Italique" w:hAnsi="Times New Roman Italique"/>
          <w:i/>
          <w:iCs/>
          <w:spacing w:val="-2"/>
        </w:rPr>
        <w:t> -;</w:t>
      </w:r>
      <w:r w:rsidR="000E467D"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4 aufgehoben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 des G. vom 28. April 1999 (B.S. vom 25. Juni 1999);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5 aufgehoben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9 des G. vom 15. März 1999 (B.S. vom 27. März 1999);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6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18 des G. vom 7. Mai 1999 (B.S. vom 30. Dezember 1999)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30. Dezember 1999</w:t>
      </w:r>
      <w:r w:rsidR="00D67EB8" w:rsidRPr="009118AB">
        <w:rPr>
          <w:rFonts w:ascii="Times New Roman Italique" w:hAnsi="Times New Roman Italique"/>
          <w:i/>
          <w:iCs/>
          <w:spacing w:val="-2"/>
        </w:rPr>
        <w:t> - </w:t>
      </w:r>
      <w:r w:rsidR="00F36AB8" w:rsidRPr="009118AB">
        <w:rPr>
          <w:rFonts w:ascii="Times New Roman Italique" w:hAnsi="Times New Roman Italique"/>
          <w:i/>
          <w:iCs/>
          <w:spacing w:val="-2"/>
        </w:rPr>
        <w:t xml:space="preserve">und abgeändert durch </w:t>
      </w:r>
      <w:r w:rsidR="00D67EB8" w:rsidRPr="009118AB">
        <w:rPr>
          <w:rFonts w:ascii="Times New Roman Italique" w:hAnsi="Times New Roman Italique"/>
          <w:i/>
          <w:iCs/>
          <w:spacing w:val="-2"/>
        </w:rPr>
        <w:t>Art. </w:t>
      </w:r>
      <w:r w:rsidR="00F36AB8" w:rsidRPr="009118AB">
        <w:rPr>
          <w:rFonts w:ascii="Times New Roman Italique" w:hAnsi="Times New Roman Italique"/>
          <w:i/>
          <w:iCs/>
          <w:spacing w:val="-2"/>
        </w:rPr>
        <w:t>51</w:t>
      </w:r>
      <w:r w:rsidR="00F36AB8" w:rsidRPr="009118AB">
        <w:rPr>
          <w:rFonts w:ascii="Times New Roman Italique" w:hAnsi="Times New Roman Italique"/>
          <w:i/>
          <w:spacing w:val="-2"/>
        </w:rPr>
        <w:t xml:space="preserve"> des G. vom 10. Januar 2010 (B.S. vom 1. Februar 2010)</w:t>
      </w:r>
      <w:r w:rsidR="00D67EB8" w:rsidRPr="009118AB">
        <w:rPr>
          <w:rFonts w:ascii="Times New Roman Italique" w:hAnsi="Times New Roman Italique"/>
          <w:i/>
          <w:spacing w:val="-2"/>
        </w:rPr>
        <w:t> - </w:t>
      </w:r>
      <w:r w:rsidR="00F36AB8" w:rsidRPr="009118AB">
        <w:rPr>
          <w:rFonts w:ascii="Times New Roman Italique" w:hAnsi="Times New Roman Italique"/>
          <w:i/>
          <w:spacing w:val="-2"/>
        </w:rPr>
        <w:t>in Kraft am 1. Januar 2011</w:t>
      </w:r>
      <w:r w:rsidR="00FD68E8" w:rsidRPr="009118AB">
        <w:rPr>
          <w:rFonts w:ascii="Times New Roman Italique" w:hAnsi="Times New Roman Italique"/>
          <w:i/>
          <w:spacing w:val="-2"/>
        </w:rPr>
        <w:t> -]</w:t>
      </w:r>
    </w:p>
    <w:p w14:paraId="5C6A23D0" w14:textId="77777777" w:rsidR="00F36AB8" w:rsidRPr="009118AB" w:rsidRDefault="00F36AB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6EECBF2C" w14:textId="77777777" w:rsidR="00F36AB8" w:rsidRPr="009118AB" w:rsidRDefault="00F36AB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6EE84F" w14:textId="60CF9E5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328</w:t>
      </w:r>
      <w:r w:rsidR="00D67EB8" w:rsidRPr="009118AB">
        <w:t> - </w:t>
      </w:r>
      <w:r w:rsidRPr="009118AB">
        <w:t>Verwaltungsdienste des Staates, die Verwaltungen der Gemeinschaften, Regionen, Provinzen, Agglomerationen, Gemeindeföderationen und Gemeinden und öffentlich-rechtliche Gesellschaften, Vereinigungen oder Einrichtungen dürfen Kredite, Darlehen, Prämien, Zuschüsse oder sonstige Vorteile, die direkt oder indirekt auf dem Betrag der Einkünfte oder auf Bestandteilen basieren, die bei der Festlegung dieser Einkünfte berücksichtigt werden, nur bewilligen, nachdem sie von der neueren steuerlichen Lage des Antragstellers Kenntnis genommen haben.</w:t>
      </w:r>
    </w:p>
    <w:p w14:paraId="38D2D2C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AECD8F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Diese Lage kann dem Antragsteller entgegengehalten werden für die Bewilligung vorerwähnter Kredite, Darlehen, Prämien, Zuschüsse oder sonstiger Vorteile.</w:t>
      </w:r>
    </w:p>
    <w:p w14:paraId="3B4D1A5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7F8001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 Bestimmungen der Absätze 1 und 2 sind ebenfalls auf privatrechtliche Gesellschaften, Vereinigungen, Niederlassungen oder Einrichtungen anwendbar, jedoch lediglich in Bezug auf Geschäfte, mit denen direkt oder indirekt ein vom Staat[, von einer Gemeinschaft oder von einer Region] bewilligter Vorteil verbunden ist.</w:t>
      </w:r>
    </w:p>
    <w:p w14:paraId="2028BB6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5A9ABEA" w14:textId="5A19E93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328 </w:t>
      </w:r>
      <w:r w:rsidR="00D67EB8" w:rsidRPr="009118AB">
        <w:rPr>
          <w:i/>
          <w:iCs/>
        </w:rPr>
        <w:t>Abs. </w:t>
      </w:r>
      <w:r w:rsidRPr="009118AB">
        <w:rPr>
          <w:i/>
          <w:iCs/>
        </w:rPr>
        <w:t xml:space="preserve">3 abgeändert durch </w:t>
      </w:r>
      <w:r w:rsidR="00D67EB8" w:rsidRPr="009118AB">
        <w:rPr>
          <w:i/>
          <w:iCs/>
        </w:rPr>
        <w:t>Art. </w:t>
      </w:r>
      <w:r w:rsidRPr="009118AB">
        <w:rPr>
          <w:i/>
          <w:iCs/>
        </w:rPr>
        <w:t>59 des G. vom 6. Juli 1994 (B.S. vom 16. Juli 1994)</w:t>
      </w:r>
      <w:r w:rsidR="00D67EB8" w:rsidRPr="009118AB">
        <w:rPr>
          <w:i/>
          <w:iCs/>
        </w:rPr>
        <w:t> - </w:t>
      </w:r>
      <w:r w:rsidRPr="009118AB">
        <w:rPr>
          <w:i/>
          <w:iCs/>
        </w:rPr>
        <w:t>in Kraft ab dem 16. Juli 1994</w:t>
      </w:r>
      <w:r w:rsidR="00FD68E8" w:rsidRPr="009118AB">
        <w:rPr>
          <w:i/>
          <w:iCs/>
        </w:rPr>
        <w:t> -]</w:t>
      </w:r>
    </w:p>
    <w:p w14:paraId="69351FE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614B57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383191B" w14:textId="6D3EA13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329</w:t>
      </w:r>
      <w:r w:rsidR="00D67EB8" w:rsidRPr="009118AB">
        <w:t> - </w:t>
      </w:r>
      <w:r w:rsidRPr="009118AB">
        <w:t>[Unter öffentlichen Einrichtungen sind im Sinne der Artikel 327 und 328 Einrichtungen, Gesellschaften, Vereinigungen und Dienste zu verstehen, an deren Verwaltung der Staat, eine Gemeinschaft oder eine Region beteiligt ist, für die der Staat, eine Gemeinschaft oder eine Region eine Garantie leistet, über deren Tätigkeit der Staat, eine Gemeinschaft oder eine Region die Aufsicht ausübt oder deren leitendes Personal von der Föderalregierung oder einer Gemeinschafts- oder Regionalregierung auf deren Vorschlag hin oder mit deren Billigung bestimmt wird.]</w:t>
      </w:r>
    </w:p>
    <w:p w14:paraId="6767107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EEFE57" w14:textId="2B06763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329 ersetzt durch </w:t>
      </w:r>
      <w:r w:rsidR="00D67EB8" w:rsidRPr="009118AB">
        <w:rPr>
          <w:i/>
          <w:iCs/>
        </w:rPr>
        <w:t>Art. </w:t>
      </w:r>
      <w:r w:rsidRPr="009118AB">
        <w:rPr>
          <w:i/>
          <w:iCs/>
        </w:rPr>
        <w:t>60 des G. vom 6. Juli 1994 (B.S. vom 16. Juli 1994)</w:t>
      </w:r>
      <w:r w:rsidR="00D67EB8" w:rsidRPr="009118AB">
        <w:rPr>
          <w:i/>
          <w:iCs/>
        </w:rPr>
        <w:t> - </w:t>
      </w:r>
      <w:r w:rsidRPr="009118AB">
        <w:rPr>
          <w:i/>
          <w:iCs/>
        </w:rPr>
        <w:t>in Kraft ab dem 16. Juli 1994</w:t>
      </w:r>
      <w:r w:rsidR="00FD68E8" w:rsidRPr="009118AB">
        <w:rPr>
          <w:i/>
          <w:iCs/>
        </w:rPr>
        <w:t> -]</w:t>
      </w:r>
    </w:p>
    <w:p w14:paraId="26A04565" w14:textId="77777777" w:rsidR="00D1282F" w:rsidRPr="009118AB" w:rsidRDefault="00D1282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D92FBD8" w14:textId="77777777" w:rsidR="00D1282F" w:rsidRPr="009118AB" w:rsidRDefault="00D1282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D48A9A" w14:textId="345197F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330</w:t>
      </w:r>
      <w:r w:rsidR="00D67EB8" w:rsidRPr="009118AB">
        <w:t> - </w:t>
      </w:r>
      <w:r w:rsidRPr="009118AB">
        <w:t>Sollten in den Artikeln 327 und 328 erwähnte Dienste, Verwaltungen, Gesellschaften, Vereinigungen oder Einrichtungen Verpflichtungen, die ihnen aufgrund dieser Artikel obliegen, nicht erfüllen, kann der Minister der Finanzen je nach Fall das Eingreifen des Finanzinspektors oder eines Regierungsvertreters verlangen, einen Kommissar benennen, um die für notwendig erachteten Auskünfte einzuholen, oder hinsichtlich der vom Staat bewilligten Vorteile die Zulassung entziehen.</w:t>
      </w:r>
    </w:p>
    <w:p w14:paraId="06D5F69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628F2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1A5B6E" w14:textId="07A55AE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331</w:t>
      </w:r>
      <w:r w:rsidR="00D67EB8" w:rsidRPr="009118AB">
        <w:t> - </w:t>
      </w:r>
      <w:r w:rsidRPr="009118AB">
        <w:t>Erklärungen von Steuerpflichtigen in Bezug auf die Steuer der natürlichen Personen, die Gesellschaftssteuer oder die Steuer der Gebietsfremden können ihnen entgegengehalten werden für die Festlegung von Entschädigungen beziehungsweise Schadenersatz, die sie vor gleich welchem Rechtsprechungsorgan vom Staat, von den Gemeinschaften, Regionen, Provinzen, Agglomerationen, Gemeindeföderationen, Gemeinden und anderen belgischen öffentlichen Einrichtungen einfordern, wenn der Betrag dieser Entschädigungen oder dieses Schadenersatzes direkt oder indirekt vom Betrag ihrer Gewinne oder Einkünfte abhängt.</w:t>
      </w:r>
    </w:p>
    <w:p w14:paraId="4F324E6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7F664D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Für die Anwendung des vorliegenden Artikels ist die </w:t>
      </w:r>
      <w:r w:rsidR="00276B57" w:rsidRPr="009118AB">
        <w:t xml:space="preserve">[mit der Festlegung der Einkommensteuern beauftragte Verwaltung] </w:t>
      </w:r>
      <w:r w:rsidRPr="009118AB">
        <w:t>vom Berufsgeheimnis entbunden und dazu verpflichtet, bei dem mit einer Streitsache befassten Rechtsprechungsorgan Steuerbescheide oder eine Bescheinigung über die Nichtbesteuerung einzureichen für die drei letzten Jahre vor dem Schaden, für den Wiedergutmachung gefordert wird.</w:t>
      </w:r>
    </w:p>
    <w:p w14:paraId="22865D8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7BEAEF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Für die Anwendung des vorliegenden Artikels werden Einkommensberichtigungen, die vom Steuerpflichtigen spontan nach dem schädigenden Ereignis gemacht wurden, nicht berücksichtigt.</w:t>
      </w:r>
    </w:p>
    <w:p w14:paraId="094B89B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1EFADC4" w14:textId="5629935D" w:rsidR="00276B57" w:rsidRPr="009118AB" w:rsidRDefault="00276B5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331 </w:t>
      </w:r>
      <w:r w:rsidR="00D67EB8" w:rsidRPr="009118AB">
        <w:rPr>
          <w:i/>
        </w:rPr>
        <w:t>Abs. </w:t>
      </w:r>
      <w:r w:rsidRPr="009118AB">
        <w:rPr>
          <w:i/>
        </w:rPr>
        <w:t>2</w:t>
      </w:r>
      <w:r w:rsidRPr="009118AB">
        <w:rPr>
          <w:i/>
          <w:iCs/>
        </w:rPr>
        <w:t xml:space="preserve"> abgeändert durch </w:t>
      </w:r>
      <w:r w:rsidR="00D67EB8" w:rsidRPr="009118AB">
        <w:rPr>
          <w:i/>
          <w:iCs/>
        </w:rPr>
        <w:t>Art. </w:t>
      </w:r>
      <w:r w:rsidRPr="009118AB">
        <w:rPr>
          <w:i/>
          <w:iCs/>
        </w:rPr>
        <w:t>13 des G. vom 25. April 2014 (I) (B.S. vom 16. Mai 2014)</w:t>
      </w:r>
      <w:r w:rsidR="00D67EB8" w:rsidRPr="009118AB">
        <w:rPr>
          <w:i/>
          <w:iCs/>
        </w:rPr>
        <w:t> - </w:t>
      </w:r>
      <w:r w:rsidRPr="009118AB">
        <w:rPr>
          <w:i/>
          <w:iCs/>
        </w:rPr>
        <w:t>in Kraft am 16. Mai 2014</w:t>
      </w:r>
      <w:r w:rsidR="00FD68E8" w:rsidRPr="009118AB">
        <w:rPr>
          <w:i/>
          <w:iCs/>
        </w:rPr>
        <w:t> -]</w:t>
      </w:r>
    </w:p>
    <w:p w14:paraId="52EA021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65EBD36" w14:textId="77777777" w:rsidR="00276B57" w:rsidRPr="009118AB" w:rsidRDefault="00276B5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8DBBCD" w14:textId="79ACD33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332</w:t>
      </w:r>
      <w:r w:rsidR="00D67EB8" w:rsidRPr="009118AB">
        <w:t> - </w:t>
      </w:r>
      <w:r w:rsidRPr="009118AB">
        <w:t>[...]</w:t>
      </w:r>
    </w:p>
    <w:p w14:paraId="776A729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BC4515" w14:textId="4D345CA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332 aufgehoben durch </w:t>
      </w:r>
      <w:r w:rsidR="00D67EB8" w:rsidRPr="009118AB">
        <w:rPr>
          <w:i/>
          <w:iCs/>
        </w:rPr>
        <w:t>Art. </w:t>
      </w:r>
      <w:r w:rsidRPr="009118AB">
        <w:rPr>
          <w:i/>
          <w:iCs/>
        </w:rPr>
        <w:t>10 des G. vom 15. März 1999 (B.S. vom 27. März 1999)]</w:t>
      </w:r>
    </w:p>
    <w:p w14:paraId="56B31244" w14:textId="107BCB0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Pr="009118AB">
        <w:rPr>
          <w:i/>
          <w:iCs/>
        </w:rPr>
        <w:t>Abschnitt </w:t>
      </w:r>
      <w:r w:rsidR="00D74862" w:rsidRPr="009118AB">
        <w:rPr>
          <w:i/>
          <w:iCs/>
        </w:rPr>
        <w:t>4</w:t>
      </w:r>
      <w:r w:rsidR="00D67EB8" w:rsidRPr="009118AB">
        <w:t> - </w:t>
      </w:r>
      <w:r w:rsidRPr="009118AB">
        <w:t>Gemeinsame Bestimmungen für Untersuchungen in Bezug auf den Steuerpflichtigen und Dritte</w:t>
      </w:r>
    </w:p>
    <w:p w14:paraId="2ED09A2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B7007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99D2CF" w14:textId="5E824A4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333</w:t>
      </w:r>
      <w:r w:rsidR="00D67EB8" w:rsidRPr="009118AB">
        <w:t> - </w:t>
      </w:r>
      <w:r w:rsidRPr="009118AB">
        <w:t>Unbeschadet der Befugnisse, die der Verwaltung in den Artikeln 351 bis 354 zuerkannt werden, kann sie in vorliegendem Kapitel erwähnte Untersuchungen durchführen und eventuell Steuern oder Steuernachforderungen festlegen, selbst wenn die Erklärung des Steuerpflichtigen bereits angenommen wurde und die diesbezüglichen Steuern bereits gezahlt wurden.</w:t>
      </w:r>
    </w:p>
    <w:p w14:paraId="1E39398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6099EE" w14:textId="3FDF38A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372B14" w:rsidRPr="009118AB">
        <w:t>[Vorerwähnte Untersuchungen dürfen ohne Vorankündigung durchgeführt werden im Laufe des Besteuerungszeitraums und in den in Artikel 354 erwähnten Fristen.]</w:t>
      </w:r>
    </w:p>
    <w:p w14:paraId="00DBA08F" w14:textId="77777777" w:rsidR="00372B14" w:rsidRPr="009118AB" w:rsidRDefault="00372B1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9ABD07" w14:textId="29F4FB13" w:rsidR="00372B14" w:rsidRPr="009118AB" w:rsidRDefault="00372B1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[Sie dürfen jedoch nur in der in Artikel 354 § 2 erwähnten Zusatzfrist durchgeführt werden, wenn die Verwaltung vorher auf der Grundlage von Indizien für Betrug in derselben Frist die Betrugsvermutung und ihre Absicht, diese verlängerte Frist infolge dieser Betrugsvermutung für ein oder mehrere Steuerjahre anzuwenden, notifiziert. Diese vorherige Notifizierung ist Pflicht, ansonsten ist die Veranlagung nichtig.]</w:t>
      </w:r>
    </w:p>
    <w:p w14:paraId="58FE078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742F4C" w14:textId="248CF5E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372B14" w:rsidRPr="009118AB">
        <w:t>[Werden Untersuchungen auf Ersuchen eines Staates durchgeführt, mit dem Belgien ein Abkommen zur Vermeidung der Doppelbesteuerung abgeschlossen hat oder mit dem Belgien eine Vereinbarung im Hinblick auf den Informationsaustausch in Steuerangelegenheiten abgeschlossen hat oder der zusammen mit Belgien zu den Parteien eines anderen bilateralen oder multilateralen Rechtsinstruments gehört, und ermöglicht dieses Abkommen, diese Vereinbarung oder dieses Rechtsinstrument den Informationsaustausch in Steuerangelegenheiten zwischen den Vertragsstaaten, ist die in Artikel 354 § 2 erwähnte Untersuchungsfrist anwendbar, und zwar zu dem Zweck, vorerwähntem Ersuchen nachzukommen, und ohne vorherige Notifizierung oder Vorliegen einer Betrugsvermutung.</w:t>
      </w:r>
      <w:r w:rsidR="0062087B" w:rsidRPr="009118AB">
        <w:t>]</w:t>
      </w:r>
    </w:p>
    <w:p w14:paraId="18473B3F" w14:textId="77777777" w:rsidR="006C1ECF" w:rsidRPr="009118AB" w:rsidRDefault="006C1EC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FB8A20B" w14:textId="72A00819" w:rsidR="006C1ECF" w:rsidRPr="009118AB" w:rsidRDefault="006C1EC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[Wird die in den Artikeln 275</w:t>
      </w:r>
      <w:r w:rsidRPr="009118AB">
        <w:rPr>
          <w:vertAlign w:val="superscript"/>
        </w:rPr>
        <w:t>8</w:t>
      </w:r>
      <w:r w:rsidRPr="009118AB">
        <w:t xml:space="preserve"> </w:t>
      </w:r>
      <w:r w:rsidR="00D67EB8" w:rsidRPr="009118AB">
        <w:t>§ </w:t>
      </w:r>
      <w:r w:rsidRPr="009118AB">
        <w:t>1 Absatz 4 und 275</w:t>
      </w:r>
      <w:r w:rsidRPr="009118AB">
        <w:rPr>
          <w:vertAlign w:val="superscript"/>
        </w:rPr>
        <w:t>9</w:t>
      </w:r>
      <w:r w:rsidRPr="009118AB">
        <w:t xml:space="preserve"> </w:t>
      </w:r>
      <w:r w:rsidR="00D67EB8" w:rsidRPr="009118AB">
        <w:t>§ </w:t>
      </w:r>
      <w:r w:rsidRPr="009118AB">
        <w:t>1 Absatz 4 erwähnte Anlage zur Einkommensteuererklärung während der in Absatz 2 erwähnten Frist untersucht, dürfen diese Untersuchungen sich auf die Besteuerungszeiträume beziehen, in denen der Arbeitsplatz wie in den Artikeln 275</w:t>
      </w:r>
      <w:r w:rsidRPr="009118AB">
        <w:rPr>
          <w:vertAlign w:val="superscript"/>
        </w:rPr>
        <w:t>8</w:t>
      </w:r>
      <w:r w:rsidRPr="009118AB">
        <w:t xml:space="preserve"> </w:t>
      </w:r>
      <w:r w:rsidR="00D67EB8" w:rsidRPr="009118AB">
        <w:t>§ </w:t>
      </w:r>
      <w:r w:rsidRPr="009118AB">
        <w:t>1 Absatz 4 und 275</w:t>
      </w:r>
      <w:r w:rsidRPr="009118AB">
        <w:rPr>
          <w:vertAlign w:val="superscript"/>
        </w:rPr>
        <w:t>9</w:t>
      </w:r>
      <w:r w:rsidRPr="009118AB">
        <w:t xml:space="preserve"> </w:t>
      </w:r>
      <w:r w:rsidR="00D67EB8" w:rsidRPr="009118AB">
        <w:t>§ </w:t>
      </w:r>
      <w:r w:rsidRPr="009118AB">
        <w:t>1 Absatz 4 erwähnt als erhalten geblieben gilt, ohne dass eine Vorankündigung erforderlich ist.]</w:t>
      </w:r>
    </w:p>
    <w:p w14:paraId="692D8F1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D7FC9E" w14:textId="35B3859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spacing w:val="-2"/>
        </w:rPr>
      </w:pPr>
      <w:r w:rsidRPr="009118AB">
        <w:rPr>
          <w:i/>
          <w:iCs/>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333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2 </w:t>
      </w:r>
      <w:r w:rsidR="00372B14" w:rsidRPr="009118AB">
        <w:rPr>
          <w:rFonts w:ascii="Times New Roman Italique" w:hAnsi="Times New Roman Italique"/>
          <w:i/>
          <w:iCs/>
          <w:spacing w:val="-2"/>
        </w:rPr>
        <w:t>ersetzt durch Art. 94 Nr.</w:t>
      </w:r>
      <w:r w:rsidR="00372B14" w:rsidRPr="009118AB">
        <w:rPr>
          <w:rFonts w:ascii="Times New Roman Italique" w:hAnsi="Times New Roman Italique" w:hint="eastAsia"/>
          <w:i/>
          <w:iCs/>
          <w:spacing w:val="-2"/>
        </w:rPr>
        <w:t> </w:t>
      </w:r>
      <w:r w:rsidR="00372B14" w:rsidRPr="009118AB">
        <w:rPr>
          <w:rFonts w:ascii="Times New Roman Italique" w:hAnsi="Times New Roman Italique"/>
          <w:i/>
          <w:iCs/>
          <w:spacing w:val="-2"/>
        </w:rPr>
        <w:t>1</w:t>
      </w:r>
      <w:r w:rsidR="00372B14" w:rsidRPr="009118AB">
        <w:rPr>
          <w:i/>
          <w:iCs/>
        </w:rPr>
        <w:t xml:space="preserve"> des G. vom 20. November 2022 (B.S. vom 30. November 2022) - anwendbar ab dem Steuerjahr 2023 -</w:t>
      </w:r>
      <w:r w:rsidR="003366D9" w:rsidRPr="009118AB">
        <w:rPr>
          <w:rFonts w:ascii="Times New Roman Italique" w:hAnsi="Times New Roman Italique"/>
          <w:i/>
        </w:rPr>
        <w:t>;</w:t>
      </w:r>
      <w:r w:rsidR="00372B14" w:rsidRPr="009118AB">
        <w:rPr>
          <w:rFonts w:ascii="Times New Roman Italique" w:hAnsi="Times New Roman Italique"/>
          <w:i/>
        </w:rPr>
        <w:t xml:space="preserve"> neuer Absatz</w:t>
      </w:r>
      <w:r w:rsidR="00372B14" w:rsidRPr="009118AB">
        <w:rPr>
          <w:rFonts w:ascii="Times New Roman Italique" w:hAnsi="Times New Roman Italique" w:hint="eastAsia"/>
          <w:i/>
        </w:rPr>
        <w:t> </w:t>
      </w:r>
      <w:r w:rsidR="00372B14" w:rsidRPr="009118AB">
        <w:rPr>
          <w:rFonts w:ascii="Times New Roman Italique" w:hAnsi="Times New Roman Italique"/>
          <w:i/>
        </w:rPr>
        <w:t>3 eingefügt durch Art. 94 Nr.</w:t>
      </w:r>
      <w:r w:rsidR="00372B14" w:rsidRPr="009118AB">
        <w:rPr>
          <w:rFonts w:ascii="Times New Roman Italique" w:hAnsi="Times New Roman Italique" w:hint="eastAsia"/>
          <w:i/>
        </w:rPr>
        <w:t> </w:t>
      </w:r>
      <w:r w:rsidR="00372B14" w:rsidRPr="009118AB">
        <w:rPr>
          <w:rFonts w:ascii="Times New Roman Italique" w:hAnsi="Times New Roman Italique"/>
          <w:i/>
        </w:rPr>
        <w:t>2</w:t>
      </w:r>
      <w:r w:rsidR="00372B14" w:rsidRPr="009118AB">
        <w:rPr>
          <w:i/>
          <w:iCs/>
        </w:rPr>
        <w:t xml:space="preserve"> des G. vom 20. November 2022 (B.S. vom 30. November 2022) - anwendbar ab dem Steuerjahr 2023 -;</w:t>
      </w:r>
      <w:r w:rsidR="004E3138"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372B14" w:rsidRPr="009118AB">
        <w:rPr>
          <w:rFonts w:ascii="Times New Roman Italique" w:hAnsi="Times New Roman Italique"/>
          <w:i/>
          <w:iCs/>
          <w:spacing w:val="-2"/>
        </w:rPr>
        <w:t>4 ersetzt durch Art. 94 Nr.</w:t>
      </w:r>
      <w:r w:rsidR="00372B14" w:rsidRPr="009118AB">
        <w:rPr>
          <w:rFonts w:ascii="Times New Roman Italique" w:hAnsi="Times New Roman Italique" w:hint="eastAsia"/>
          <w:i/>
          <w:iCs/>
          <w:spacing w:val="-2"/>
        </w:rPr>
        <w:t> </w:t>
      </w:r>
      <w:r w:rsidR="00372B14" w:rsidRPr="009118AB">
        <w:rPr>
          <w:rFonts w:ascii="Times New Roman Italique" w:hAnsi="Times New Roman Italique"/>
          <w:i/>
          <w:iCs/>
          <w:spacing w:val="-2"/>
        </w:rPr>
        <w:t>3</w:t>
      </w:r>
      <w:r w:rsidR="00372B14" w:rsidRPr="009118AB">
        <w:rPr>
          <w:i/>
          <w:iCs/>
        </w:rPr>
        <w:t xml:space="preserve"> des G. vom 20. November 2022 (B.S. vom 30. November 2022) - anwendbar ab dem Steuerjahr 2023 -</w:t>
      </w:r>
      <w:r w:rsidR="006C1ECF"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372B14" w:rsidRPr="009118AB">
        <w:rPr>
          <w:rFonts w:ascii="Times New Roman Italique" w:hAnsi="Times New Roman Italique"/>
          <w:i/>
          <w:iCs/>
          <w:spacing w:val="-2"/>
        </w:rPr>
        <w:t>5</w:t>
      </w:r>
      <w:r w:rsidR="006C1ECF" w:rsidRPr="009118AB">
        <w:rPr>
          <w:rFonts w:ascii="Times New Roman Italique" w:hAnsi="Times New Roman Italique"/>
          <w:i/>
          <w:iCs/>
          <w:spacing w:val="-2"/>
        </w:rPr>
        <w:t xml:space="preserve"> eingefügt durch </w:t>
      </w:r>
      <w:r w:rsidR="00D67EB8" w:rsidRPr="009118AB">
        <w:rPr>
          <w:rFonts w:ascii="Times New Roman Italique" w:hAnsi="Times New Roman Italique"/>
          <w:i/>
          <w:iCs/>
          <w:spacing w:val="-2"/>
        </w:rPr>
        <w:t>Art. </w:t>
      </w:r>
      <w:r w:rsidR="006C1ECF" w:rsidRPr="009118AB">
        <w:rPr>
          <w:rFonts w:ascii="Times New Roman Italique" w:hAnsi="Times New Roman Italique"/>
          <w:i/>
          <w:iCs/>
          <w:spacing w:val="-2"/>
        </w:rPr>
        <w:t>12 des G. vom 24. März 2015 (B.S. vom 2. April 2015)</w:t>
      </w:r>
      <w:r w:rsidR="00D67EB8" w:rsidRPr="009118AB">
        <w:rPr>
          <w:rFonts w:ascii="Times New Roman Italique" w:hAnsi="Times New Roman Italique"/>
          <w:i/>
          <w:iCs/>
          <w:spacing w:val="-2"/>
        </w:rPr>
        <w:t> - </w:t>
      </w:r>
      <w:r w:rsidR="006C1ECF" w:rsidRPr="009118AB">
        <w:rPr>
          <w:rFonts w:ascii="Times New Roman Italique" w:hAnsi="Times New Roman Italique"/>
          <w:i/>
          <w:iCs/>
          <w:spacing w:val="-2"/>
        </w:rPr>
        <w:t>in Kraft am 2. April 2015</w:t>
      </w:r>
      <w:r w:rsidR="00FD68E8" w:rsidRPr="009118AB">
        <w:rPr>
          <w:rFonts w:ascii="Times New Roman Italique" w:hAnsi="Times New Roman Italique"/>
          <w:i/>
          <w:iCs/>
          <w:spacing w:val="-2"/>
        </w:rPr>
        <w:t> -]</w:t>
      </w:r>
    </w:p>
    <w:p w14:paraId="6002EBE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B20C0BA" w14:textId="77777777" w:rsidR="003C54CA" w:rsidRPr="009118AB" w:rsidRDefault="003C54C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28E882B" w14:textId="52B7A31F" w:rsidR="003C54CA" w:rsidRPr="009118AB" w:rsidRDefault="003C54CA" w:rsidP="003C54CA">
      <w:pPr>
        <w:jc w:val="both"/>
      </w:pPr>
      <w:r w:rsidRPr="009118AB">
        <w:tab/>
        <w:t>[</w:t>
      </w:r>
      <w:r w:rsidR="00D67EB8" w:rsidRPr="009118AB">
        <w:rPr>
          <w:b/>
        </w:rPr>
        <w:t>Art. </w:t>
      </w:r>
      <w:r w:rsidRPr="009118AB">
        <w:rPr>
          <w:b/>
        </w:rPr>
        <w:t>333/1</w:t>
      </w:r>
      <w:r w:rsidR="00D67EB8" w:rsidRPr="009118AB">
        <w:t> - § </w:t>
      </w:r>
      <w:r w:rsidRPr="009118AB">
        <w:t>1</w:t>
      </w:r>
      <w:r w:rsidR="00D67EB8" w:rsidRPr="009118AB">
        <w:t> - </w:t>
      </w:r>
      <w:r w:rsidR="000E467D" w:rsidRPr="009118AB">
        <w:t xml:space="preserve">[In den in den Artikeln 322 </w:t>
      </w:r>
      <w:r w:rsidR="00D67EB8" w:rsidRPr="009118AB">
        <w:t>§ </w:t>
      </w:r>
      <w:r w:rsidR="000E467D" w:rsidRPr="009118AB">
        <w:t xml:space="preserve">2 und 327 </w:t>
      </w:r>
      <w:r w:rsidR="00D67EB8" w:rsidRPr="009118AB">
        <w:t>§ </w:t>
      </w:r>
      <w:r w:rsidR="000E467D" w:rsidRPr="009118AB">
        <w:t>3 Absatz 2 erwähnten Fällen teilt die Verwaltung dem Steuerpflichtigen das oder die Indizien der Steuerhinterziehung oder die Elemente mit, aufgrund deren sie der Ansicht ist, dass die durchgeführten Untersuchungen zu einer Anwendung von Artikel 341 führen können, und die ein Auskunftsersuchen bei einem Finanzinstitut rechtfertigen. Diese Notifizierung erfolgt per Einschreibebrief zeitgleich mit der Versendung des vorerwähnten Auskunftsersuchens.]</w:t>
      </w:r>
    </w:p>
    <w:p w14:paraId="110AC958" w14:textId="77777777" w:rsidR="003C54CA" w:rsidRPr="009118AB" w:rsidRDefault="003C54CA" w:rsidP="003C54CA">
      <w:pPr>
        <w:jc w:val="both"/>
      </w:pPr>
    </w:p>
    <w:p w14:paraId="65DAE1C6" w14:textId="77777777" w:rsidR="003C54CA" w:rsidRPr="009118AB" w:rsidRDefault="003C54CA" w:rsidP="003C54CA">
      <w:pPr>
        <w:jc w:val="both"/>
      </w:pPr>
      <w:r w:rsidRPr="009118AB">
        <w:tab/>
        <w:t>Absatz 1 ist nicht anwendbar, wenn die Rechte der Staatskasse gefährdet sind. Die Notifizierung erfolgt gegebenenfalls nachträglich per Einschreibebrief, und zwar spätestens dreißig Tage nach Versendung des in Absatz 1 erwähnten Auskunftsersuchens.</w:t>
      </w:r>
    </w:p>
    <w:p w14:paraId="19145A99" w14:textId="77777777" w:rsidR="000E467D" w:rsidRPr="009118AB" w:rsidRDefault="000E467D" w:rsidP="003C54CA">
      <w:pPr>
        <w:jc w:val="both"/>
      </w:pPr>
    </w:p>
    <w:p w14:paraId="3CE4681D" w14:textId="6843D9AF" w:rsidR="005C36A5" w:rsidRPr="009118AB" w:rsidRDefault="000E467D" w:rsidP="005C36A5">
      <w:pPr>
        <w:ind w:firstLine="708"/>
        <w:jc w:val="both"/>
      </w:pPr>
      <w:r w:rsidRPr="009118AB">
        <w:tab/>
        <w:t>[</w:t>
      </w:r>
      <w:r w:rsidR="005C36A5" w:rsidRPr="009118AB">
        <w:t xml:space="preserve">Absatz 1 ist nicht auf Auskunftsersuchen eines ausländischen Staates wie in Artikel 322 </w:t>
      </w:r>
      <w:r w:rsidR="00D67EB8" w:rsidRPr="009118AB">
        <w:t>§ </w:t>
      </w:r>
      <w:r w:rsidR="005C36A5" w:rsidRPr="009118AB">
        <w:t>4 erwähnt anwendbar. In diesen Fällen erfolgt die Notifizierung an die Person, gegen die der ausländische Staat eine Untersuchung durchführt, nachträglich per Einschreibesendung, und zwar spätestens neunzig Tage nach Versendung der Informationen an den ausländischen Staat.]</w:t>
      </w:r>
    </w:p>
    <w:p w14:paraId="217AF3C8" w14:textId="77777777" w:rsidR="005C36A5" w:rsidRPr="009118AB" w:rsidRDefault="005C36A5" w:rsidP="005C36A5">
      <w:pPr>
        <w:jc w:val="both"/>
      </w:pPr>
    </w:p>
    <w:p w14:paraId="04E711EE" w14:textId="77777777" w:rsidR="005C36A5" w:rsidRPr="009118AB" w:rsidRDefault="005C36A5" w:rsidP="005C36A5">
      <w:pPr>
        <w:ind w:firstLine="708"/>
        <w:jc w:val="both"/>
      </w:pPr>
      <w:r w:rsidRPr="009118AB">
        <w:t>[In Abweichung von Absatz 3 erfolgt keine nachträgliche Notifizierung:</w:t>
      </w:r>
    </w:p>
    <w:p w14:paraId="2FA79BDF" w14:textId="77777777" w:rsidR="005C36A5" w:rsidRPr="009118AB" w:rsidRDefault="005C36A5" w:rsidP="005C36A5">
      <w:pPr>
        <w:jc w:val="both"/>
      </w:pPr>
    </w:p>
    <w:p w14:paraId="4C138DA2" w14:textId="77777777" w:rsidR="005C36A5" w:rsidRPr="009118AB" w:rsidRDefault="005C36A5" w:rsidP="005C36A5">
      <w:pPr>
        <w:ind w:firstLine="708"/>
        <w:jc w:val="both"/>
      </w:pPr>
      <w:r w:rsidRPr="009118AB">
        <w:t>1. wenn dieser ausländische Staat nachweist, dass er selbst der Person, gegen die eine Untersuchung durchgeführt wird, bereits eine Notifizierung zugesandt hat,</w:t>
      </w:r>
    </w:p>
    <w:p w14:paraId="252D4E9A" w14:textId="77777777" w:rsidR="005C36A5" w:rsidRPr="009118AB" w:rsidRDefault="005C36A5" w:rsidP="005C36A5">
      <w:pPr>
        <w:jc w:val="both"/>
      </w:pPr>
    </w:p>
    <w:p w14:paraId="562D401D" w14:textId="77777777" w:rsidR="00516A33" w:rsidRPr="009118AB" w:rsidRDefault="005C36A5" w:rsidP="005C36A5">
      <w:pPr>
        <w:jc w:val="both"/>
      </w:pPr>
      <w:r w:rsidRPr="009118AB">
        <w:tab/>
        <w:t>2. wenn aus dem Auskunftsersuchen dieses ausländischen Staates hervorgeht, dass schwerwiegende Indizien der Steuerhinterziehung vorliegen, und wenn dieser ausländische Staat ausdrücklich darum bittet, die Person, gegen die eine Untersuchung durchgeführt wird, nicht von diesem Ersuchen in Kenntnis zu setzen.</w:t>
      </w:r>
      <w:r w:rsidR="00516A33" w:rsidRPr="009118AB">
        <w:t>]</w:t>
      </w:r>
    </w:p>
    <w:p w14:paraId="21016E08" w14:textId="77777777" w:rsidR="00516A33" w:rsidRPr="009118AB" w:rsidRDefault="000E467D" w:rsidP="003C54CA">
      <w:pPr>
        <w:jc w:val="both"/>
      </w:pPr>
      <w:r w:rsidRPr="009118AB">
        <w:tab/>
      </w:r>
    </w:p>
    <w:p w14:paraId="4EE6E60C" w14:textId="2B9DD730" w:rsidR="003C54CA" w:rsidRPr="009118AB" w:rsidRDefault="00516A33" w:rsidP="003C54CA">
      <w:pPr>
        <w:jc w:val="both"/>
      </w:pPr>
      <w:r w:rsidRPr="009118AB">
        <w:tab/>
      </w:r>
      <w:r w:rsidR="00D67EB8" w:rsidRPr="009118AB">
        <w:t>§ </w:t>
      </w:r>
      <w:r w:rsidR="003C54CA" w:rsidRPr="009118AB">
        <w:t>2</w:t>
      </w:r>
      <w:r w:rsidR="00D67EB8" w:rsidRPr="009118AB">
        <w:t> - </w:t>
      </w:r>
      <w:r w:rsidR="003C54CA" w:rsidRPr="009118AB">
        <w:t>Die Steuerverwaltung gibt dem Minister einmal pro Jahr einen Bericht ab, der unter anderem folgende Informationen enthält:</w:t>
      </w:r>
    </w:p>
    <w:p w14:paraId="0B143C98" w14:textId="77777777" w:rsidR="003C54CA" w:rsidRPr="009118AB" w:rsidRDefault="003C54CA" w:rsidP="003C54CA">
      <w:pPr>
        <w:jc w:val="both"/>
      </w:pPr>
    </w:p>
    <w:p w14:paraId="22654BB8" w14:textId="77777777" w:rsidR="003C54CA" w:rsidRPr="009118AB" w:rsidRDefault="003C54CA" w:rsidP="003C54CA">
      <w:pPr>
        <w:jc w:val="both"/>
      </w:pPr>
      <w:r w:rsidRPr="009118AB">
        <w:tab/>
        <w:t>1. wie oft gemäß Artikel 318 Absatz 2 eine Untersuchung bei Finanzinstituten durchgeführt wurde und Angaben im Hinblick auf die Besteuerung ihrer Kunden verwendet wurden,</w:t>
      </w:r>
    </w:p>
    <w:p w14:paraId="231683AC" w14:textId="77777777" w:rsidR="003C54CA" w:rsidRPr="009118AB" w:rsidRDefault="003C54CA" w:rsidP="003C54CA">
      <w:pPr>
        <w:jc w:val="both"/>
      </w:pPr>
    </w:p>
    <w:p w14:paraId="31C62F4F" w14:textId="6DC724B5" w:rsidR="003C54CA" w:rsidRPr="009118AB" w:rsidRDefault="003C54CA" w:rsidP="003C54CA">
      <w:pPr>
        <w:jc w:val="both"/>
      </w:pPr>
      <w:r w:rsidRPr="009118AB">
        <w:tab/>
        <w:t xml:space="preserve">2. wie oft </w:t>
      </w:r>
      <w:r w:rsidR="000E467D" w:rsidRPr="009118AB">
        <w:t xml:space="preserve">[gemäß den Artikeln 322 </w:t>
      </w:r>
      <w:r w:rsidR="00D67EB8" w:rsidRPr="009118AB">
        <w:t>§ </w:t>
      </w:r>
      <w:r w:rsidR="000E467D" w:rsidRPr="009118AB">
        <w:t xml:space="preserve">2 und 327 </w:t>
      </w:r>
      <w:r w:rsidR="00D67EB8" w:rsidRPr="009118AB">
        <w:t>§ </w:t>
      </w:r>
      <w:r w:rsidR="000E467D" w:rsidRPr="009118AB">
        <w:t xml:space="preserve">3 Absatz 2] </w:t>
      </w:r>
      <w:r w:rsidRPr="009118AB">
        <w:t>eine Untersuchung durchgeführt wurde und Angaben bei Finanzinstituten angefragt wurden,</w:t>
      </w:r>
    </w:p>
    <w:p w14:paraId="1B11AAAA" w14:textId="77777777" w:rsidR="003C54CA" w:rsidRPr="009118AB" w:rsidRDefault="003C54CA" w:rsidP="003C54CA">
      <w:pPr>
        <w:jc w:val="both"/>
      </w:pPr>
    </w:p>
    <w:p w14:paraId="0FCD01BE" w14:textId="7B74479E" w:rsidR="003C54CA" w:rsidRPr="009118AB" w:rsidRDefault="003C54CA" w:rsidP="003C54CA">
      <w:pPr>
        <w:jc w:val="both"/>
      </w:pPr>
      <w:r w:rsidRPr="009118AB">
        <w:tab/>
        <w:t xml:space="preserve">3. konkrete Indizien, aufgeteilt in Kategorien, durch die in Artikel 322 </w:t>
      </w:r>
      <w:r w:rsidR="00D67EB8" w:rsidRPr="009118AB">
        <w:t>§ </w:t>
      </w:r>
      <w:r w:rsidRPr="009118AB">
        <w:t>2 Absatz 2 erwähnte Personen sich bei ihrer Entscheidung, eine Ermächtigung zu erteilen, haben leiten lassen,</w:t>
      </w:r>
    </w:p>
    <w:p w14:paraId="46C8A286" w14:textId="77777777" w:rsidR="003C54CA" w:rsidRPr="009118AB" w:rsidRDefault="003C54CA" w:rsidP="003C54CA">
      <w:pPr>
        <w:jc w:val="both"/>
      </w:pPr>
    </w:p>
    <w:p w14:paraId="1A0FD9FB" w14:textId="77777777" w:rsidR="003C54CA" w:rsidRPr="009118AB" w:rsidRDefault="003C54CA" w:rsidP="003C54CA">
      <w:pPr>
        <w:jc w:val="both"/>
      </w:pPr>
      <w:r w:rsidRPr="009118AB">
        <w:tab/>
        <w:t>4. Anzahl positiver und negativer Entscheidungen der Direktoren,</w:t>
      </w:r>
    </w:p>
    <w:p w14:paraId="6D2A29DA" w14:textId="77777777" w:rsidR="003C54CA" w:rsidRPr="009118AB" w:rsidRDefault="003C54CA" w:rsidP="003C54CA">
      <w:pPr>
        <w:jc w:val="both"/>
      </w:pPr>
    </w:p>
    <w:p w14:paraId="05948ED4" w14:textId="56CEBE63" w:rsidR="003C54CA" w:rsidRPr="009118AB" w:rsidRDefault="003C54CA" w:rsidP="003C54CA">
      <w:pPr>
        <w:jc w:val="both"/>
      </w:pPr>
      <w:r w:rsidRPr="009118AB">
        <w:tab/>
        <w:t xml:space="preserve">5. Gesamtbewertung sowohl auf technischer als auch auf rechtlicher Ebene der Art und Weise, wie das Verfahren </w:t>
      </w:r>
      <w:r w:rsidR="000E467D" w:rsidRPr="009118AB">
        <w:t>[gemäß den Artikeln 322 §</w:t>
      </w:r>
      <w:r w:rsidR="00D67EB8" w:rsidRPr="009118AB">
        <w:t>§ </w:t>
      </w:r>
      <w:r w:rsidR="000E467D" w:rsidRPr="009118AB">
        <w:t xml:space="preserve">2 bis 4 und 327 </w:t>
      </w:r>
      <w:r w:rsidR="00D67EB8" w:rsidRPr="009118AB">
        <w:t>§ </w:t>
      </w:r>
      <w:r w:rsidR="000E467D" w:rsidRPr="009118AB">
        <w:t xml:space="preserve">3 Absatz 2] </w:t>
      </w:r>
      <w:r w:rsidRPr="009118AB">
        <w:t>geführt wurde.</w:t>
      </w:r>
    </w:p>
    <w:p w14:paraId="2F380D98" w14:textId="77777777" w:rsidR="003C54CA" w:rsidRPr="009118AB" w:rsidRDefault="003C54CA" w:rsidP="003C54CA">
      <w:pPr>
        <w:jc w:val="both"/>
      </w:pPr>
    </w:p>
    <w:p w14:paraId="146E4B00" w14:textId="77777777" w:rsidR="003C54CA" w:rsidRPr="009118AB"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Dieser Bericht wird vom Minister der Finanzen veröffentlicht und der Abgeordnetenkammer übermittelt.]</w:t>
      </w:r>
    </w:p>
    <w:p w14:paraId="663FFD1D" w14:textId="77777777" w:rsidR="003C54CA" w:rsidRPr="009118AB"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DE31A1" w14:textId="751C762C" w:rsidR="003C54CA" w:rsidRPr="009118AB"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w:t>
      </w:r>
      <w:r w:rsidR="00D67EB8" w:rsidRPr="009118AB">
        <w:rPr>
          <w:i/>
        </w:rPr>
        <w:t>Art. </w:t>
      </w:r>
      <w:r w:rsidRPr="009118AB">
        <w:rPr>
          <w:i/>
        </w:rPr>
        <w:t xml:space="preserve">333/1 eingefügt durch </w:t>
      </w:r>
      <w:r w:rsidR="00D67EB8" w:rsidRPr="009118AB">
        <w:rPr>
          <w:i/>
        </w:rPr>
        <w:t>Art. </w:t>
      </w:r>
      <w:r w:rsidRPr="009118AB">
        <w:rPr>
          <w:i/>
        </w:rPr>
        <w:t xml:space="preserve">56 </w:t>
      </w:r>
      <w:r w:rsidRPr="009118AB">
        <w:rPr>
          <w:i/>
          <w:iCs/>
        </w:rPr>
        <w:t>des G. vom 14. April 2011 (B.S. vom 6. Mai 2011)</w:t>
      </w:r>
      <w:r w:rsidR="00D67EB8" w:rsidRPr="009118AB">
        <w:rPr>
          <w:i/>
          <w:iCs/>
        </w:rPr>
        <w:t> - </w:t>
      </w:r>
      <w:r w:rsidRPr="009118AB">
        <w:rPr>
          <w:i/>
          <w:iCs/>
        </w:rPr>
        <w:t>in Kraft am 1. Juli 2011</w:t>
      </w:r>
      <w:r w:rsidR="003366D9" w:rsidRPr="009118AB">
        <w:rPr>
          <w:i/>
          <w:iCs/>
        </w:rPr>
        <w:t> -;</w:t>
      </w:r>
      <w:r w:rsidR="000E467D" w:rsidRPr="009118AB">
        <w:rPr>
          <w:i/>
          <w:iCs/>
        </w:rPr>
        <w:t xml:space="preserve"> </w:t>
      </w:r>
      <w:r w:rsidR="00D67EB8" w:rsidRPr="009118AB">
        <w:rPr>
          <w:i/>
          <w:iCs/>
        </w:rPr>
        <w:t>§ </w:t>
      </w:r>
      <w:r w:rsidR="000E467D" w:rsidRPr="009118AB">
        <w:rPr>
          <w:i/>
          <w:iCs/>
        </w:rPr>
        <w:t xml:space="preserve">1 </w:t>
      </w:r>
      <w:r w:rsidR="00D67EB8" w:rsidRPr="009118AB">
        <w:rPr>
          <w:i/>
          <w:iCs/>
        </w:rPr>
        <w:t>Abs. </w:t>
      </w:r>
      <w:r w:rsidR="000E467D" w:rsidRPr="009118AB">
        <w:rPr>
          <w:i/>
          <w:iCs/>
        </w:rPr>
        <w:t xml:space="preserve">1 ersetzt durch </w:t>
      </w:r>
      <w:r w:rsidR="00D67EB8" w:rsidRPr="009118AB">
        <w:rPr>
          <w:i/>
          <w:iCs/>
        </w:rPr>
        <w:t>Art. </w:t>
      </w:r>
      <w:r w:rsidR="000E467D" w:rsidRPr="009118AB">
        <w:rPr>
          <w:i/>
          <w:iCs/>
        </w:rPr>
        <w:t xml:space="preserve">9 </w:t>
      </w:r>
      <w:r w:rsidR="00D67EB8" w:rsidRPr="009118AB">
        <w:rPr>
          <w:i/>
          <w:iCs/>
        </w:rPr>
        <w:t>Nr. </w:t>
      </w:r>
      <w:r w:rsidR="000E467D" w:rsidRPr="009118AB">
        <w:rPr>
          <w:i/>
          <w:iCs/>
        </w:rPr>
        <w:t>1 des G. vom 7. November 2011</w:t>
      </w:r>
      <w:r w:rsidR="007B6928" w:rsidRPr="009118AB">
        <w:rPr>
          <w:i/>
          <w:iCs/>
        </w:rPr>
        <w:t xml:space="preserve"> (I)</w:t>
      </w:r>
      <w:r w:rsidR="000E467D" w:rsidRPr="009118AB">
        <w:rPr>
          <w:i/>
          <w:iCs/>
        </w:rPr>
        <w:t xml:space="preserve"> (B.S. vom 10. November 2011)</w:t>
      </w:r>
      <w:r w:rsidR="00D67EB8" w:rsidRPr="009118AB">
        <w:rPr>
          <w:i/>
        </w:rPr>
        <w:t> - </w:t>
      </w:r>
      <w:r w:rsidR="000E467D" w:rsidRPr="009118AB">
        <w:rPr>
          <w:i/>
        </w:rPr>
        <w:t xml:space="preserve">in Kraft am </w:t>
      </w:r>
      <w:r w:rsidR="004C79E7" w:rsidRPr="009118AB">
        <w:rPr>
          <w:i/>
        </w:rPr>
        <w:t>1. Dezember 2011</w:t>
      </w:r>
      <w:r w:rsidR="003366D9" w:rsidRPr="009118AB">
        <w:rPr>
          <w:i/>
        </w:rPr>
        <w:t> -;</w:t>
      </w:r>
      <w:r w:rsidR="000E467D" w:rsidRPr="009118AB">
        <w:rPr>
          <w:i/>
        </w:rPr>
        <w:t xml:space="preserve"> </w:t>
      </w:r>
      <w:r w:rsidR="00D67EB8" w:rsidRPr="009118AB">
        <w:rPr>
          <w:i/>
        </w:rPr>
        <w:t>§ </w:t>
      </w:r>
      <w:r w:rsidR="000E467D" w:rsidRPr="009118AB">
        <w:rPr>
          <w:i/>
        </w:rPr>
        <w:t xml:space="preserve">1 </w:t>
      </w:r>
      <w:r w:rsidR="00D67EB8" w:rsidRPr="009118AB">
        <w:rPr>
          <w:i/>
        </w:rPr>
        <w:t>Abs. </w:t>
      </w:r>
      <w:r w:rsidR="000E467D" w:rsidRPr="009118AB">
        <w:rPr>
          <w:i/>
        </w:rPr>
        <w:t xml:space="preserve">3 eingefügt durch </w:t>
      </w:r>
      <w:r w:rsidR="00D67EB8" w:rsidRPr="009118AB">
        <w:rPr>
          <w:i/>
        </w:rPr>
        <w:t>Art. </w:t>
      </w:r>
      <w:r w:rsidR="000E467D" w:rsidRPr="009118AB">
        <w:rPr>
          <w:i/>
        </w:rPr>
        <w:t xml:space="preserve">9 </w:t>
      </w:r>
      <w:r w:rsidR="00D67EB8" w:rsidRPr="009118AB">
        <w:rPr>
          <w:i/>
        </w:rPr>
        <w:t>Nr. </w:t>
      </w:r>
      <w:r w:rsidR="000E467D" w:rsidRPr="009118AB">
        <w:rPr>
          <w:i/>
        </w:rPr>
        <w:t>2</w:t>
      </w:r>
      <w:r w:rsidR="000E467D" w:rsidRPr="009118AB">
        <w:rPr>
          <w:i/>
          <w:iCs/>
        </w:rPr>
        <w:t xml:space="preserve"> des G. vom 7. November 2011</w:t>
      </w:r>
      <w:r w:rsidR="007B6928" w:rsidRPr="009118AB">
        <w:rPr>
          <w:i/>
          <w:iCs/>
        </w:rPr>
        <w:t xml:space="preserve"> (I)</w:t>
      </w:r>
      <w:r w:rsidR="000E467D" w:rsidRPr="009118AB">
        <w:rPr>
          <w:i/>
          <w:iCs/>
        </w:rPr>
        <w:t xml:space="preserve"> (B.S. vom 10. November 2</w:t>
      </w:r>
      <w:r w:rsidR="00030154" w:rsidRPr="009118AB">
        <w:rPr>
          <w:i/>
          <w:iCs/>
        </w:rPr>
        <w:t>011)</w:t>
      </w:r>
      <w:r w:rsidR="00D67EB8" w:rsidRPr="009118AB">
        <w:rPr>
          <w:i/>
          <w:iCs/>
        </w:rPr>
        <w:t> - </w:t>
      </w:r>
      <w:r w:rsidR="00030154" w:rsidRPr="009118AB">
        <w:rPr>
          <w:i/>
          <w:iCs/>
        </w:rPr>
        <w:t>wirksam mit 1. Juli 2011</w:t>
      </w:r>
      <w:r w:rsidR="00FD68E8" w:rsidRPr="009118AB">
        <w:rPr>
          <w:i/>
          <w:iCs/>
        </w:rPr>
        <w:t> -,</w:t>
      </w:r>
      <w:r w:rsidR="00DF2028" w:rsidRPr="009118AB">
        <w:rPr>
          <w:i/>
          <w:iCs/>
        </w:rPr>
        <w:t xml:space="preserve"> selbst für nichtig erklärt durch Entscheid </w:t>
      </w:r>
      <w:r w:rsidR="00D67EB8" w:rsidRPr="009118AB">
        <w:rPr>
          <w:i/>
          <w:iCs/>
        </w:rPr>
        <w:t>Nr. </w:t>
      </w:r>
      <w:r w:rsidR="00DF2028" w:rsidRPr="009118AB">
        <w:rPr>
          <w:i/>
          <w:iCs/>
        </w:rPr>
        <w:t xml:space="preserve">66/2013 </w:t>
      </w:r>
      <w:r w:rsidR="00BA0F56" w:rsidRPr="009118AB">
        <w:rPr>
          <w:i/>
          <w:iCs/>
        </w:rPr>
        <w:t>des Verfassungsgerichts</w:t>
      </w:r>
      <w:r w:rsidR="00030154" w:rsidRPr="009118AB">
        <w:rPr>
          <w:i/>
          <w:iCs/>
        </w:rPr>
        <w:softHyphen/>
      </w:r>
      <w:r w:rsidR="00BA0F56" w:rsidRPr="009118AB">
        <w:rPr>
          <w:i/>
          <w:iCs/>
        </w:rPr>
        <w:t xml:space="preserve">hofes </w:t>
      </w:r>
      <w:r w:rsidR="00DF2028" w:rsidRPr="009118AB">
        <w:rPr>
          <w:i/>
          <w:iCs/>
        </w:rPr>
        <w:t xml:space="preserve">vom 16. Mai 2013 (B.S. vom 31. Juli 2013), erneut eingefügt durch </w:t>
      </w:r>
      <w:r w:rsidR="00D67EB8" w:rsidRPr="009118AB">
        <w:rPr>
          <w:i/>
          <w:iCs/>
        </w:rPr>
        <w:t>Art. </w:t>
      </w:r>
      <w:r w:rsidR="00DF2028" w:rsidRPr="009118AB">
        <w:rPr>
          <w:i/>
          <w:iCs/>
        </w:rPr>
        <w:t xml:space="preserve">27 </w:t>
      </w:r>
      <w:r w:rsidR="00D67EB8" w:rsidRPr="009118AB">
        <w:rPr>
          <w:i/>
          <w:iCs/>
        </w:rPr>
        <w:t>Nr. </w:t>
      </w:r>
      <w:r w:rsidR="00DF2028" w:rsidRPr="009118AB">
        <w:rPr>
          <w:i/>
          <w:iCs/>
        </w:rPr>
        <w:t xml:space="preserve">1 des G. vom 21. Dezember 2013 (II) (B.S. vom </w:t>
      </w:r>
      <w:r w:rsidR="000C37FA" w:rsidRPr="009118AB">
        <w:rPr>
          <w:i/>
          <w:iCs/>
        </w:rPr>
        <w:t>31. Dezember 2013</w:t>
      </w:r>
      <w:r w:rsidR="00DF2028" w:rsidRPr="009118AB">
        <w:rPr>
          <w:i/>
          <w:iCs/>
        </w:rPr>
        <w:t>)</w:t>
      </w:r>
      <w:r w:rsidR="00C24A5C" w:rsidRPr="009118AB">
        <w:rPr>
          <w:i/>
          <w:iCs/>
        </w:rPr>
        <w:t xml:space="preserve"> und ersetzt durch </w:t>
      </w:r>
      <w:r w:rsidR="00D67EB8" w:rsidRPr="009118AB">
        <w:rPr>
          <w:i/>
          <w:iCs/>
        </w:rPr>
        <w:t>Art. </w:t>
      </w:r>
      <w:r w:rsidR="005C36A5" w:rsidRPr="009118AB">
        <w:rPr>
          <w:i/>
          <w:iCs/>
        </w:rPr>
        <w:t>4 des G. vom 30. Juni 2017 (III) (B.S. vom 7. Juli 2017)</w:t>
      </w:r>
      <w:r w:rsidR="00DF2028" w:rsidRPr="009118AB">
        <w:rPr>
          <w:i/>
          <w:iCs/>
        </w:rPr>
        <w:t xml:space="preserve">; </w:t>
      </w:r>
      <w:r w:rsidR="00D67EB8" w:rsidRPr="009118AB">
        <w:rPr>
          <w:i/>
          <w:iCs/>
        </w:rPr>
        <w:t>§ </w:t>
      </w:r>
      <w:r w:rsidR="00DF2028" w:rsidRPr="009118AB">
        <w:rPr>
          <w:i/>
          <w:iCs/>
        </w:rPr>
        <w:t xml:space="preserve">1 </w:t>
      </w:r>
      <w:r w:rsidR="00D67EB8" w:rsidRPr="009118AB">
        <w:rPr>
          <w:i/>
          <w:iCs/>
        </w:rPr>
        <w:t>Abs. </w:t>
      </w:r>
      <w:r w:rsidR="00DF2028" w:rsidRPr="009118AB">
        <w:rPr>
          <w:i/>
          <w:iCs/>
        </w:rPr>
        <w:t xml:space="preserve">4 eingefügt durch </w:t>
      </w:r>
      <w:r w:rsidR="00D67EB8" w:rsidRPr="009118AB">
        <w:rPr>
          <w:i/>
          <w:iCs/>
        </w:rPr>
        <w:t>Art. </w:t>
      </w:r>
      <w:r w:rsidR="00DF2028" w:rsidRPr="009118AB">
        <w:rPr>
          <w:i/>
          <w:iCs/>
        </w:rPr>
        <w:t xml:space="preserve">27 </w:t>
      </w:r>
      <w:r w:rsidR="00D67EB8" w:rsidRPr="009118AB">
        <w:rPr>
          <w:i/>
          <w:iCs/>
        </w:rPr>
        <w:t>Nr. </w:t>
      </w:r>
      <w:r w:rsidR="00DF2028" w:rsidRPr="009118AB">
        <w:rPr>
          <w:i/>
          <w:iCs/>
        </w:rPr>
        <w:t xml:space="preserve">2 des G. vom 21. Dezember 2013 (II) (B.S. vom </w:t>
      </w:r>
      <w:r w:rsidR="000C37FA" w:rsidRPr="009118AB">
        <w:rPr>
          <w:i/>
          <w:iCs/>
        </w:rPr>
        <w:t>31. Dezember 2013</w:t>
      </w:r>
      <w:r w:rsidR="00DF2028" w:rsidRPr="009118AB">
        <w:rPr>
          <w:i/>
          <w:iCs/>
        </w:rPr>
        <w:t>)</w:t>
      </w:r>
      <w:r w:rsidR="005C36A5" w:rsidRPr="009118AB">
        <w:rPr>
          <w:i/>
          <w:iCs/>
        </w:rPr>
        <w:t xml:space="preserve"> und ersetzt durch </w:t>
      </w:r>
      <w:r w:rsidR="00D67EB8" w:rsidRPr="009118AB">
        <w:rPr>
          <w:i/>
          <w:iCs/>
        </w:rPr>
        <w:t>Art. </w:t>
      </w:r>
      <w:r w:rsidR="005C36A5" w:rsidRPr="009118AB">
        <w:rPr>
          <w:i/>
          <w:iCs/>
        </w:rPr>
        <w:t>4 des G. vom 30. Juni 2017 (III) (B.S. vom 7. Juli 2017)</w:t>
      </w:r>
      <w:r w:rsidR="000E467D" w:rsidRPr="009118AB">
        <w:rPr>
          <w:i/>
          <w:iCs/>
        </w:rPr>
        <w:t xml:space="preserve">; </w:t>
      </w:r>
      <w:r w:rsidR="00D67EB8" w:rsidRPr="009118AB">
        <w:rPr>
          <w:i/>
          <w:iCs/>
        </w:rPr>
        <w:t>§ </w:t>
      </w:r>
      <w:r w:rsidR="000E467D" w:rsidRPr="009118AB">
        <w:rPr>
          <w:i/>
          <w:iCs/>
        </w:rPr>
        <w:t xml:space="preserve">2 </w:t>
      </w:r>
      <w:r w:rsidR="00D67EB8" w:rsidRPr="009118AB">
        <w:rPr>
          <w:i/>
          <w:iCs/>
        </w:rPr>
        <w:t>Abs. </w:t>
      </w:r>
      <w:r w:rsidR="000E467D" w:rsidRPr="009118AB">
        <w:rPr>
          <w:i/>
          <w:iCs/>
        </w:rPr>
        <w:t xml:space="preserve">1 </w:t>
      </w:r>
      <w:r w:rsidR="00D67EB8" w:rsidRPr="009118AB">
        <w:rPr>
          <w:i/>
          <w:iCs/>
        </w:rPr>
        <w:t>Nr. </w:t>
      </w:r>
      <w:r w:rsidR="000E467D" w:rsidRPr="009118AB">
        <w:rPr>
          <w:i/>
          <w:iCs/>
        </w:rPr>
        <w:t xml:space="preserve">2 abgeändert durch </w:t>
      </w:r>
      <w:r w:rsidR="00D67EB8" w:rsidRPr="009118AB">
        <w:rPr>
          <w:i/>
          <w:iCs/>
        </w:rPr>
        <w:t>Art. </w:t>
      </w:r>
      <w:r w:rsidR="000E467D" w:rsidRPr="009118AB">
        <w:rPr>
          <w:i/>
          <w:iCs/>
        </w:rPr>
        <w:t xml:space="preserve">9 </w:t>
      </w:r>
      <w:r w:rsidR="00D67EB8" w:rsidRPr="009118AB">
        <w:rPr>
          <w:i/>
          <w:iCs/>
        </w:rPr>
        <w:t>Nr. </w:t>
      </w:r>
      <w:r w:rsidR="000E467D" w:rsidRPr="009118AB">
        <w:rPr>
          <w:i/>
          <w:iCs/>
        </w:rPr>
        <w:t>3</w:t>
      </w:r>
      <w:r w:rsidR="001A1E91" w:rsidRPr="009118AB">
        <w:rPr>
          <w:i/>
          <w:iCs/>
        </w:rPr>
        <w:t xml:space="preserve"> des G. vom 7. November 2011</w:t>
      </w:r>
      <w:r w:rsidR="007B6928" w:rsidRPr="009118AB">
        <w:rPr>
          <w:i/>
          <w:iCs/>
        </w:rPr>
        <w:t xml:space="preserve"> (I)</w:t>
      </w:r>
      <w:r w:rsidR="001A1E91" w:rsidRPr="009118AB">
        <w:rPr>
          <w:i/>
          <w:iCs/>
        </w:rPr>
        <w:t xml:space="preserve"> (B.S. vom 10. November 2011)</w:t>
      </w:r>
      <w:r w:rsidR="00D67EB8" w:rsidRPr="009118AB">
        <w:rPr>
          <w:i/>
          <w:iCs/>
        </w:rPr>
        <w:t> - </w:t>
      </w:r>
      <w:r w:rsidR="000E467D" w:rsidRPr="009118AB">
        <w:rPr>
          <w:i/>
          <w:iCs/>
        </w:rPr>
        <w:t>wirksam mit 1. Juli 2011</w:t>
      </w:r>
      <w:r w:rsidR="003366D9" w:rsidRPr="009118AB">
        <w:rPr>
          <w:i/>
          <w:iCs/>
        </w:rPr>
        <w:t> -;</w:t>
      </w:r>
      <w:r w:rsidR="000E467D" w:rsidRPr="009118AB">
        <w:rPr>
          <w:i/>
          <w:iCs/>
        </w:rPr>
        <w:t xml:space="preserve"> </w:t>
      </w:r>
      <w:r w:rsidR="00D67EB8" w:rsidRPr="009118AB">
        <w:rPr>
          <w:i/>
          <w:iCs/>
        </w:rPr>
        <w:t>§ </w:t>
      </w:r>
      <w:r w:rsidR="000E467D" w:rsidRPr="009118AB">
        <w:rPr>
          <w:i/>
          <w:iCs/>
        </w:rPr>
        <w:t xml:space="preserve">2 </w:t>
      </w:r>
      <w:r w:rsidR="00D67EB8" w:rsidRPr="009118AB">
        <w:rPr>
          <w:i/>
          <w:iCs/>
        </w:rPr>
        <w:t>Abs. </w:t>
      </w:r>
      <w:r w:rsidR="000E467D" w:rsidRPr="009118AB">
        <w:rPr>
          <w:i/>
          <w:iCs/>
        </w:rPr>
        <w:t xml:space="preserve">1 </w:t>
      </w:r>
      <w:r w:rsidR="00D67EB8" w:rsidRPr="009118AB">
        <w:rPr>
          <w:i/>
          <w:iCs/>
        </w:rPr>
        <w:t>Nr. </w:t>
      </w:r>
      <w:r w:rsidR="000E467D" w:rsidRPr="009118AB">
        <w:rPr>
          <w:i/>
          <w:iCs/>
        </w:rPr>
        <w:t xml:space="preserve">5 abgeändert durch </w:t>
      </w:r>
      <w:r w:rsidR="00D67EB8" w:rsidRPr="009118AB">
        <w:rPr>
          <w:i/>
          <w:iCs/>
        </w:rPr>
        <w:t>Art. </w:t>
      </w:r>
      <w:r w:rsidR="000E467D" w:rsidRPr="009118AB">
        <w:rPr>
          <w:i/>
          <w:iCs/>
        </w:rPr>
        <w:t xml:space="preserve">9 </w:t>
      </w:r>
      <w:r w:rsidR="00D67EB8" w:rsidRPr="009118AB">
        <w:rPr>
          <w:i/>
          <w:iCs/>
        </w:rPr>
        <w:t>Nr. </w:t>
      </w:r>
      <w:r w:rsidR="000E467D" w:rsidRPr="009118AB">
        <w:rPr>
          <w:i/>
          <w:iCs/>
        </w:rPr>
        <w:t>4 des G. vom 7. November 2011</w:t>
      </w:r>
      <w:r w:rsidR="00DF2028" w:rsidRPr="009118AB">
        <w:rPr>
          <w:i/>
          <w:iCs/>
        </w:rPr>
        <w:t> </w:t>
      </w:r>
      <w:r w:rsidR="007B6928" w:rsidRPr="009118AB">
        <w:rPr>
          <w:i/>
          <w:iCs/>
        </w:rPr>
        <w:t>(I)</w:t>
      </w:r>
      <w:r w:rsidR="000E467D" w:rsidRPr="009118AB">
        <w:rPr>
          <w:i/>
          <w:iCs/>
        </w:rPr>
        <w:t xml:space="preserve"> (B.S. vom 10. November 2011)</w:t>
      </w:r>
      <w:r w:rsidR="00D67EB8" w:rsidRPr="009118AB">
        <w:rPr>
          <w:i/>
          <w:iCs/>
        </w:rPr>
        <w:t> - </w:t>
      </w:r>
      <w:r w:rsidR="000E467D" w:rsidRPr="009118AB">
        <w:rPr>
          <w:i/>
          <w:iCs/>
        </w:rPr>
        <w:t>wirksam mit 1. Juli 2011</w:t>
      </w:r>
      <w:r w:rsidR="00FD68E8" w:rsidRPr="009118AB">
        <w:rPr>
          <w:i/>
          <w:iCs/>
        </w:rPr>
        <w:t> -]</w:t>
      </w:r>
    </w:p>
    <w:p w14:paraId="4A22BD23" w14:textId="1228368C" w:rsidR="003C54CA" w:rsidRPr="009118AB"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C15BB2" w14:textId="33E79667" w:rsidR="00F66654" w:rsidRDefault="00F66654"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C17BC7" w14:textId="225B8E97" w:rsidR="00FF5606" w:rsidRDefault="00FF5606" w:rsidP="00FF5606">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333/1 wie folgt:</w:t>
      </w:r>
    </w:p>
    <w:p w14:paraId="48B66E9D" w14:textId="77777777" w:rsidR="00FF5606" w:rsidRDefault="00FF5606" w:rsidP="00FF5606">
      <w:pPr>
        <w:autoSpaceDE w:val="0"/>
        <w:autoSpaceDN w:val="0"/>
        <w:adjustRightInd w:val="0"/>
        <w:jc w:val="both"/>
        <w:rPr>
          <w:iCs/>
          <w:sz w:val="20"/>
          <w:szCs w:val="20"/>
        </w:rPr>
      </w:pPr>
    </w:p>
    <w:p w14:paraId="1C3B4F88" w14:textId="284925FE"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FF5606">
        <w:rPr>
          <w:iCs/>
          <w:sz w:val="20"/>
          <w:szCs w:val="20"/>
        </w:rPr>
        <w:t>[</w:t>
      </w:r>
      <w:r w:rsidRPr="00FF5606">
        <w:rPr>
          <w:bCs/>
          <w:iCs/>
          <w:sz w:val="20"/>
          <w:szCs w:val="20"/>
        </w:rPr>
        <w:t>Art. 333/1</w:t>
      </w:r>
      <w:r w:rsidRPr="00FF5606">
        <w:rPr>
          <w:iCs/>
          <w:sz w:val="20"/>
          <w:szCs w:val="20"/>
        </w:rPr>
        <w:t xml:space="preserve"> - § 1 - [In den in den Artikeln 322 § 2 und 327 § 3 Absatz 2 erwähnten Fällen teilt die Verwaltung dem Steuerpflichtigen das oder die Indizien der Steuerhinterziehung oder die Elemente mit, aufgrund deren sie der Ansicht ist, dass die durchgeführten Untersuchungen zu einer Anwendung von Artikel 341 führen können, und die ein Auskunftsersuchen bei einem Finanzinstitut rechtfertigen. Diese Notifizierung erfolgt </w:t>
      </w:r>
      <w:r w:rsidR="005F1B0A">
        <w:rPr>
          <w:iCs/>
          <w:sz w:val="20"/>
          <w:szCs w:val="20"/>
        </w:rPr>
        <w:t>[</w:t>
      </w:r>
      <w:r w:rsidRPr="00FF5606">
        <w:rPr>
          <w:iCs/>
          <w:sz w:val="20"/>
          <w:szCs w:val="20"/>
        </w:rPr>
        <w:t>per Einschreibe</w:t>
      </w:r>
      <w:r w:rsidR="005F1B0A">
        <w:rPr>
          <w:iCs/>
          <w:sz w:val="20"/>
          <w:szCs w:val="20"/>
        </w:rPr>
        <w:t>sendung]</w:t>
      </w:r>
      <w:r w:rsidRPr="00FF5606">
        <w:rPr>
          <w:iCs/>
          <w:sz w:val="20"/>
          <w:szCs w:val="20"/>
        </w:rPr>
        <w:t xml:space="preserve"> zeitgleich mit der Versendung des vorerwähnten Auskunftsersuchens.]</w:t>
      </w:r>
    </w:p>
    <w:p w14:paraId="2A66CA95"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476761E" w14:textId="4E015646"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 xml:space="preserve">Absatz 1 ist nicht anwendbar, wenn die Rechte der Staatskasse gefährdet sind. Die Notifizierung erfolgt gegebenenfalls nachträglich </w:t>
      </w:r>
      <w:r w:rsidR="005F1B0A" w:rsidRPr="005F1B0A">
        <w:rPr>
          <w:iCs/>
          <w:sz w:val="20"/>
          <w:szCs w:val="20"/>
        </w:rPr>
        <w:t>[per Einschreibesendung]</w:t>
      </w:r>
      <w:r w:rsidRPr="00FF5606">
        <w:rPr>
          <w:iCs/>
          <w:sz w:val="20"/>
          <w:szCs w:val="20"/>
        </w:rPr>
        <w:t>, und zwar spätestens dreißig Tage nach Versendung des in Absatz 1 erwähnten Auskunftsersuchens.</w:t>
      </w:r>
    </w:p>
    <w:p w14:paraId="0F9E3B63"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458FA50" w14:textId="73AD8FF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[Absatz 1 ist nicht auf Auskunftsersuchen eines ausländischen Staates wie in Artikel 322 § 4 erwähnt anwendbar. In diesen Fällen erfolgt die Notifizierung an die Person, gegen die der ausländische Staat eine Untersuchung durchführt, nachträglich per Einschreibesendung, und zwar spätestens neunzig Tage nach Versendung der Informationen an den ausländischen Staat.]</w:t>
      </w:r>
    </w:p>
    <w:p w14:paraId="2487B57E"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4A61DE"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[In Abweichung von Absatz 3 erfolgt keine nachträgliche Notifizierung:</w:t>
      </w:r>
    </w:p>
    <w:p w14:paraId="119932E1"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D41A22D"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1. wenn dieser ausländische Staat nachweist, dass er selbst der Person, gegen die eine Untersuchung durchgeführt wird, bereits eine Notifizierung zugesandt hat,</w:t>
      </w:r>
    </w:p>
    <w:p w14:paraId="19F77A48"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61ADF24" w14:textId="6478D9A2"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2. wenn aus dem Auskunftsersuchen dieses ausländischen Staates hervorgeht, dass schwerwiegende Indizien der Steuerhinterziehung vorliegen, und wenn dieser ausländische Staat ausdrücklich darum bittet, die Person, gegen die eine Untersuchung durchgeführt wird, nicht von diesem Ersuchen in Kenntnis zu setzen.]</w:t>
      </w:r>
    </w:p>
    <w:p w14:paraId="0FEF50C2"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ab/>
      </w:r>
    </w:p>
    <w:p w14:paraId="6AF9CC6F" w14:textId="0B421311"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 2 - Die Steuerverwaltung gibt dem Minister einmal pro Jahr einen Bericht ab, der unter anderem folgende Informationen enthält:</w:t>
      </w:r>
    </w:p>
    <w:p w14:paraId="0C24B3BE"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7102569" w14:textId="00E22648"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1. wie oft gemäß Artikel 318 Absatz 2 eine Untersuchung bei Finanzinstituten durchgeführt wurde und Angaben im Hinblick auf die Besteuerung ihrer Kunden verwendet wurden,</w:t>
      </w:r>
    </w:p>
    <w:p w14:paraId="41781F7C"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85CB914" w14:textId="7EE346FC"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2. wie oft [gemäß den Artikeln 322 § 2 und 327 § 3 Absatz 2] eine Untersuchung durchgeführt wurde und Angaben bei Finanzinstituten angefragt wurden,</w:t>
      </w:r>
    </w:p>
    <w:p w14:paraId="583516B8"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7B5849D" w14:textId="70271F8A"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3. konkrete Indizien, aufgeteilt in Kategorien, durch die in Artikel 322 § 2 Absatz 2 erwähnte Personen sich bei ihrer Entscheidung, eine Ermächtigung zu erteilen, haben leiten lassen,</w:t>
      </w:r>
    </w:p>
    <w:p w14:paraId="59AD2080"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1C4A172" w14:textId="27F1EF64"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4. Anzahl positiver und negativer Entscheidungen der Direktoren,</w:t>
      </w:r>
    </w:p>
    <w:p w14:paraId="4F726F2D"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41FE63D" w14:textId="0779855B"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5. Gesamtbewertung sowohl auf technischer als auch auf rechtlicher Ebene der Art und Weise, wie das Verfahren [gemäß den Artikeln 322 §§ 2 bis 4 und 327 § 3 Absatz 2] geführt wurde.</w:t>
      </w:r>
    </w:p>
    <w:p w14:paraId="06D0AAA6"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E2F58C8" w14:textId="5BFDA61C"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F5606">
        <w:rPr>
          <w:iCs/>
          <w:sz w:val="20"/>
          <w:szCs w:val="20"/>
        </w:rPr>
        <w:t>Dieser Bericht wird vom Minister der Finanzen veröffentlicht und der Abgeordnetenkammer übermittelt.]</w:t>
      </w:r>
    </w:p>
    <w:p w14:paraId="496DA628" w14:textId="77777777"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E8C1A89" w14:textId="1CC1E831" w:rsidR="00FF5606" w:rsidRPr="00FF5606"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z w:val="20"/>
          <w:szCs w:val="20"/>
        </w:rPr>
      </w:pPr>
      <w:r w:rsidRPr="00C15B15">
        <w:rPr>
          <w:rFonts w:ascii="Times New Roman Italique" w:hAnsi="Times New Roman Italique"/>
          <w:i/>
          <w:iCs/>
          <w:spacing w:val="-2"/>
          <w:sz w:val="20"/>
          <w:szCs w:val="20"/>
        </w:rPr>
        <w:t>[Art. 333/1 eingefügt durch Art. 56 des G. vom 14. April 2011 (B.S. vom 6. Mai 2011) - in Kraft am 1. Juli 2011 -;</w:t>
      </w:r>
      <w:r w:rsidRPr="00C15B15">
        <w:rPr>
          <w:i/>
          <w:iCs/>
          <w:sz w:val="20"/>
          <w:szCs w:val="20"/>
        </w:rPr>
        <w:t xml:space="preserve"> § 1 Abs. 1 ersetzt durch Art. 9 Nr. 1 des G. vom 7. November 2011 (I) (B.S. vom 10. November 2011) - in Kraft am 1. Dezember 2011 - und abgeändert durch Art. 29 Nr. 1 des G. vom 26. Januar 2021 (B.S. vom 10. Februar 2021) - in Kraft am 1. Januar 2025 -, selbst aufgehoben durch Art. 213 des G. vom 12. Mai 2024 (B.S. vom 30. Mai 2024), und durch Art. 29 Nr. 1 des G. vom 12. Mai 2024 (B.S. vom 30. Mai 2024) - </w:t>
      </w:r>
      <w:r w:rsidR="00421C66" w:rsidRPr="00C15B15">
        <w:rPr>
          <w:i/>
          <w:iCs/>
          <w:sz w:val="20"/>
          <w:szCs w:val="20"/>
        </w:rPr>
        <w:t xml:space="preserve">in Kraft für alle oder bestimmte Kategorien von Inhabern einer Unternehmensnummer sowie für natürliche Personen an dem jeweils vom König festzulegenden Datum und spätestens am </w:t>
      </w:r>
      <w:r w:rsidR="00CC23FF" w:rsidRPr="00C15B15">
        <w:rPr>
          <w:i/>
          <w:iCs/>
          <w:sz w:val="20"/>
          <w:szCs w:val="20"/>
        </w:rPr>
        <w:t>1. Januar 2028 </w:t>
      </w:r>
      <w:r w:rsidRPr="00C15B15">
        <w:rPr>
          <w:i/>
          <w:iCs/>
          <w:sz w:val="20"/>
          <w:szCs w:val="20"/>
        </w:rPr>
        <w:t>-; § 1 Abs. 2 abgeändert durch Art. 29 Nr. 2 und 3 des G. vom 26. Januar 2021 (B.S. vom 10. Februar 2021) - in Kraft am 1. Januar 2025 -, selbst aufgehoben durch Art. 213 des G. vom 12. Mai 2024 (B.S. vom 30. Mai 2024)</w:t>
      </w:r>
      <w:r w:rsidR="005F1B0A" w:rsidRPr="00C15B15">
        <w:rPr>
          <w:i/>
          <w:iCs/>
          <w:sz w:val="20"/>
          <w:szCs w:val="20"/>
        </w:rPr>
        <w:t>, und durch Art. 29 Nr. 2 des G. vom 12. Mai 2024 (B.S. vom 30. Mai 2024) - </w:t>
      </w:r>
      <w:r w:rsidR="00421C66" w:rsidRPr="00C15B15">
        <w:rPr>
          <w:i/>
          <w:iCs/>
          <w:sz w:val="20"/>
          <w:szCs w:val="20"/>
        </w:rPr>
        <w:t>in Kraft für alle oder bestimmte Kategorien von Inhabern einer Unternehmensnummer sowie für natürliche Personen an dem jeweils vom König festzulegenden Datum und</w:t>
      </w:r>
      <w:r w:rsidR="00421C66">
        <w:rPr>
          <w:i/>
          <w:iCs/>
          <w:sz w:val="20"/>
          <w:szCs w:val="20"/>
        </w:rPr>
        <w:t xml:space="preserve"> spätestens am </w:t>
      </w:r>
      <w:r w:rsidR="00CC23FF">
        <w:rPr>
          <w:i/>
          <w:iCs/>
          <w:sz w:val="20"/>
          <w:szCs w:val="20"/>
        </w:rPr>
        <w:t>1. Januar 2028 </w:t>
      </w:r>
      <w:r w:rsidR="005F1B0A" w:rsidRPr="005F1B0A">
        <w:rPr>
          <w:i/>
          <w:iCs/>
          <w:sz w:val="20"/>
          <w:szCs w:val="20"/>
        </w:rPr>
        <w:t>-</w:t>
      </w:r>
      <w:r>
        <w:rPr>
          <w:i/>
          <w:iCs/>
          <w:sz w:val="20"/>
          <w:szCs w:val="20"/>
        </w:rPr>
        <w:t xml:space="preserve">; </w:t>
      </w:r>
      <w:r w:rsidRPr="00FF5606">
        <w:rPr>
          <w:i/>
          <w:iCs/>
          <w:sz w:val="20"/>
          <w:szCs w:val="20"/>
        </w:rPr>
        <w:t xml:space="preserve">§ 1 Abs. 3 eingefügt durch Art. 9 Nr. 2 des G. vom 7. November 2011 (I) (B.S. vom 10. November 2011) - wirksam mit 1. Juli 2011 -, selbst für nichtig erklärt durch Entscheid Nr. 66/2013 des </w:t>
      </w:r>
      <w:r w:rsidRPr="00C15B15">
        <w:rPr>
          <w:i/>
          <w:iCs/>
          <w:sz w:val="20"/>
          <w:szCs w:val="20"/>
        </w:rPr>
        <w:t>Verfassungsgerichts</w:t>
      </w:r>
      <w:r w:rsidRPr="00C15B15">
        <w:rPr>
          <w:i/>
          <w:iCs/>
          <w:sz w:val="20"/>
          <w:szCs w:val="20"/>
        </w:rPr>
        <w:softHyphen/>
        <w:t>hofes vom 16. Mai 2013 (B.S. vom 31. Juli 2013), erneut eingefügt durch Art. 27 Nr. 1 des G. vom 21. Dezember 2013 (II) (B.S. vom 31. Dezember 2013)</w:t>
      </w:r>
      <w:r w:rsidR="005F1B0A" w:rsidRPr="00C15B15">
        <w:rPr>
          <w:i/>
          <w:iCs/>
          <w:sz w:val="20"/>
          <w:szCs w:val="20"/>
        </w:rPr>
        <w:t>,</w:t>
      </w:r>
      <w:r w:rsidRPr="00C15B15">
        <w:rPr>
          <w:i/>
          <w:iCs/>
          <w:sz w:val="20"/>
          <w:szCs w:val="20"/>
        </w:rPr>
        <w:t xml:space="preserve"> ersetzt durch Art. 4 des G. vom 30. Juni 2017 (III) (B.S. vom 7. Juli 2017)</w:t>
      </w:r>
      <w:r w:rsidR="005F1B0A" w:rsidRPr="00C15B15">
        <w:rPr>
          <w:i/>
          <w:iCs/>
          <w:sz w:val="20"/>
          <w:szCs w:val="20"/>
        </w:rPr>
        <w:t xml:space="preserve"> und abgeändert durch Art. 29 Nr. 4 und 5 des G. vom 26. Januar 2021 (B.S. vom 10. Februar 2021) - in Kraft am 1. Januar 2025 -, selbst aufgehoben durch Art. 213 des G. vom 12. Mai 2024 (B.S. vom 30. Mai 2024)</w:t>
      </w:r>
      <w:r w:rsidRPr="00C15B15">
        <w:rPr>
          <w:i/>
          <w:iCs/>
          <w:sz w:val="20"/>
          <w:szCs w:val="20"/>
        </w:rPr>
        <w:t>; § 1 Abs. 4 eingefügt durch Art. 27 Nr. 2 des G. vom 21. Dezember 2013 (II) (B.S. vom 31. Dezember 2013) und ersetzt durch Art. 4 des G. vom 30. Juni 2017 (III) (B.S. vom 7. Juli 2017); § 2 Abs. 1 Nr. 2 abgeändert durch Art. 9 Nr. 3 des G. vom 7. November 2011 (I) (B.S. vom 10. November 2011) - wirksam mit 1. Juli 2011 -; § 2 Abs. 1 Nr. 5 abgeändert durch Art. 9 Nr. 4 des G. vom 7. November 2011 (I) (B.S. vom 10. November 2011) - wirksam mit 1. Juli 2011 -]</w:t>
      </w:r>
    </w:p>
    <w:p w14:paraId="15DE77E0" w14:textId="2FE2B09E" w:rsidR="00FF5606" w:rsidRPr="009118AB"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75A129" w14:textId="77777777" w:rsidR="00FF5606" w:rsidRDefault="00FF5606" w:rsidP="00F66654">
      <w:pPr>
        <w:autoSpaceDE w:val="0"/>
        <w:autoSpaceDN w:val="0"/>
        <w:adjustRightInd w:val="0"/>
        <w:jc w:val="both"/>
        <w:rPr>
          <w:iCs/>
          <w:sz w:val="20"/>
          <w:szCs w:val="20"/>
        </w:rPr>
      </w:pPr>
    </w:p>
    <w:p w14:paraId="7E8FD0B1" w14:textId="4785325D" w:rsidR="008D7720" w:rsidRPr="009118AB" w:rsidRDefault="008D772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rPr>
        <w:t>Art. </w:t>
      </w:r>
      <w:r w:rsidRPr="009118AB">
        <w:rPr>
          <w:b/>
        </w:rPr>
        <w:t>333/2</w:t>
      </w:r>
      <w:r w:rsidR="00D67EB8" w:rsidRPr="009118AB">
        <w:t> - </w:t>
      </w:r>
      <w:r w:rsidRPr="009118AB">
        <w:t xml:space="preserve">Unbeschadet der Anwendung von Artikel 333 kann die Verwaltung innerhalb der in Artikel 358 </w:t>
      </w:r>
      <w:r w:rsidR="00D67EB8" w:rsidRPr="009118AB">
        <w:t>§ </w:t>
      </w:r>
      <w:r w:rsidRPr="009118AB">
        <w:t xml:space="preserve">3 erwähnten Veranlagungsfrist in vorliegendem Kapitel erwähnte Untersuchungen für die in Artikel 358 </w:t>
      </w:r>
      <w:r w:rsidR="00D67EB8" w:rsidRPr="009118AB">
        <w:t>§ </w:t>
      </w:r>
      <w:r w:rsidRPr="009118AB">
        <w:t xml:space="preserve">1 </w:t>
      </w:r>
      <w:r w:rsidR="00D67EB8" w:rsidRPr="009118AB">
        <w:t>Nr. </w:t>
      </w:r>
      <w:r w:rsidRPr="009118AB">
        <w:t>2 erwähnten Jahre durchführen.]</w:t>
      </w:r>
    </w:p>
    <w:p w14:paraId="6E4624A9" w14:textId="77777777" w:rsidR="008D7720" w:rsidRPr="009118AB" w:rsidRDefault="008D772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F96C18" w14:textId="78B64C77" w:rsidR="008D7720" w:rsidRPr="009118AB" w:rsidRDefault="008D772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w:t>
      </w:r>
      <w:r w:rsidR="00D67EB8" w:rsidRPr="009118AB">
        <w:rPr>
          <w:i/>
        </w:rPr>
        <w:t>Art. </w:t>
      </w:r>
      <w:r w:rsidRPr="009118AB">
        <w:rPr>
          <w:i/>
        </w:rPr>
        <w:t xml:space="preserve">333/2 eingefügt durch </w:t>
      </w:r>
      <w:r w:rsidR="00D67EB8" w:rsidRPr="009118AB">
        <w:rPr>
          <w:i/>
        </w:rPr>
        <w:t>Art. </w:t>
      </w:r>
      <w:r w:rsidRPr="009118AB">
        <w:rPr>
          <w:i/>
        </w:rPr>
        <w:t>47</w:t>
      </w:r>
      <w:r w:rsidRPr="009118AB">
        <w:rPr>
          <w:i/>
          <w:iCs/>
        </w:rPr>
        <w:t xml:space="preserve"> des G. vom 1. Juli 2016 (B.S. vom 4. Juli 2016)]</w:t>
      </w:r>
    </w:p>
    <w:p w14:paraId="62B4A291" w14:textId="77777777" w:rsidR="008D7720" w:rsidRPr="009118AB" w:rsidRDefault="008D772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6CD8A50" w14:textId="77777777" w:rsidR="00030154" w:rsidRPr="009118AB" w:rsidRDefault="000301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63FFFA5" w14:textId="3C223FB4" w:rsidR="000E129A" w:rsidRPr="009118AB"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rPr>
        <w:t>Art. </w:t>
      </w:r>
      <w:r w:rsidRPr="009118AB">
        <w:rPr>
          <w:b/>
        </w:rPr>
        <w:t>333/3</w:t>
      </w:r>
      <w:r w:rsidR="00D67EB8" w:rsidRPr="009118AB">
        <w:t> - </w:t>
      </w:r>
      <w:r w:rsidRPr="009118AB">
        <w:t>Unbeschadet der Anwendung von Artikel 333 kann die Verwaltung in Bezug auf den Mobiliensteuervorabzug</w:t>
      </w:r>
      <w:r w:rsidR="00BB0B2D">
        <w:t xml:space="preserve"> [</w:t>
      </w:r>
      <w:r w:rsidR="00E11F8A" w:rsidRPr="009541B3">
        <w:t>oder den Berufssteuervorabzug</w:t>
      </w:r>
      <w:r w:rsidR="00BB0B2D">
        <w:t>]</w:t>
      </w:r>
      <w:r w:rsidRPr="009118AB">
        <w:t xml:space="preserve"> innerhalb der in Artikel 358 </w:t>
      </w:r>
      <w:r w:rsidR="00D67EB8" w:rsidRPr="009118AB">
        <w:t>§ </w:t>
      </w:r>
      <w:r w:rsidRPr="009118AB">
        <w:t xml:space="preserve">2 erwähnten Veranlagungsfrist in vorliegendem Kapitel erwähnte Untersuchungen für die in Artikel 358 </w:t>
      </w:r>
      <w:r w:rsidR="00D67EB8" w:rsidRPr="009118AB">
        <w:t>§ </w:t>
      </w:r>
      <w:r w:rsidRPr="009118AB">
        <w:t xml:space="preserve">1 </w:t>
      </w:r>
      <w:r w:rsidR="00D67EB8" w:rsidRPr="009118AB">
        <w:t>Nr. </w:t>
      </w:r>
      <w:r w:rsidRPr="009118AB">
        <w:t>1 erwähnten Jahre durchführen.]</w:t>
      </w:r>
    </w:p>
    <w:p w14:paraId="703F3BF3" w14:textId="77777777" w:rsidR="000E129A" w:rsidRPr="009118AB"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4EBBF68" w14:textId="767546C6" w:rsidR="000E129A" w:rsidRPr="009118AB"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w:t>
      </w:r>
      <w:r w:rsidR="00D67EB8" w:rsidRPr="009118AB">
        <w:rPr>
          <w:i/>
        </w:rPr>
        <w:t>Art. </w:t>
      </w:r>
      <w:r w:rsidRPr="009118AB">
        <w:rPr>
          <w:i/>
        </w:rPr>
        <w:t xml:space="preserve">333/3 eingefügt durch </w:t>
      </w:r>
      <w:r w:rsidR="00D67EB8" w:rsidRPr="009118AB">
        <w:rPr>
          <w:i/>
        </w:rPr>
        <w:t>Art. </w:t>
      </w:r>
      <w:r w:rsidRPr="009118AB">
        <w:rPr>
          <w:i/>
        </w:rPr>
        <w:t>147</w:t>
      </w:r>
      <w:r w:rsidRPr="009118AB">
        <w:rPr>
          <w:i/>
          <w:iCs/>
        </w:rPr>
        <w:t xml:space="preserve"> des G. vom 25. Dezember 2017 (IV) (B.S. vom 29. Dezember 2017)</w:t>
      </w:r>
      <w:r w:rsidR="00BB0B2D">
        <w:rPr>
          <w:i/>
          <w:iCs/>
        </w:rPr>
        <w:t xml:space="preserve"> und abgeändert </w:t>
      </w:r>
      <w:r w:rsidR="00BB0B2D" w:rsidRPr="00152BE9">
        <w:rPr>
          <w:i/>
          <w:iCs/>
        </w:rPr>
        <w:t>durch Art. </w:t>
      </w:r>
      <w:r w:rsidR="00BB0B2D">
        <w:rPr>
          <w:i/>
          <w:iCs/>
        </w:rPr>
        <w:t>76</w:t>
      </w:r>
      <w:r w:rsidR="00BB0B2D" w:rsidRPr="00152BE9">
        <w:rPr>
          <w:i/>
          <w:iCs/>
        </w:rPr>
        <w:t xml:space="preserve"> </w:t>
      </w:r>
      <w:r w:rsidR="00BB0B2D" w:rsidRPr="003E131B">
        <w:rPr>
          <w:i/>
          <w:iCs/>
          <w:spacing w:val="-2"/>
        </w:rPr>
        <w:t>des G. vom 28. Dezember 2023 (B.S. vom 29. Dezember 2023)</w:t>
      </w:r>
      <w:r w:rsidRPr="009118AB">
        <w:rPr>
          <w:i/>
          <w:iCs/>
        </w:rPr>
        <w:t>]</w:t>
      </w:r>
    </w:p>
    <w:p w14:paraId="231AC270" w14:textId="77777777" w:rsidR="000E129A" w:rsidRPr="009118AB"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54A20B5E" w14:textId="77777777" w:rsidR="000E129A" w:rsidRPr="009118AB"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79AF654" w14:textId="28D7F41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334</w:t>
      </w:r>
      <w:r w:rsidR="00D67EB8" w:rsidRPr="009118AB">
        <w:t> - </w:t>
      </w:r>
      <w:r w:rsidRPr="009118AB">
        <w:t>Macht eine aufgrund der [Artikel 315 Absatz 1 und 2, 315</w:t>
      </w:r>
      <w:r w:rsidRPr="009118AB">
        <w:rPr>
          <w:i/>
          <w:iCs/>
        </w:rPr>
        <w:t>bis</w:t>
      </w:r>
      <w:r w:rsidRPr="009118AB">
        <w:t xml:space="preserve"> Absatz 1 bis 3, 316 und 322 bis 324] aufgeforderte Person das Berufsgeheimnis geltend, beantragt die Verwaltung das Eingreifen der territorial zuständigen Disziplinarbehörde, damit diese entscheidet, ob und eventuell in welchem Maße der Antrag auf Auskunft oder auf Vorlage von Büchern und Unterlagen mit der Einhaltung des Berufsgeheimnisses vereinbar ist.</w:t>
      </w:r>
    </w:p>
    <w:p w14:paraId="3EE8E4E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7A283CF" w14:textId="62B726D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334 abgeändert durch </w:t>
      </w:r>
      <w:r w:rsidR="00D67EB8" w:rsidRPr="009118AB">
        <w:rPr>
          <w:i/>
          <w:iCs/>
        </w:rPr>
        <w:t>Art. </w:t>
      </w:r>
      <w:r w:rsidRPr="009118AB">
        <w:rPr>
          <w:i/>
          <w:iCs/>
        </w:rPr>
        <w:t>62 des G. vom 6. Juli 1994 (B.S. vom 16. Juli 1994)</w:t>
      </w:r>
      <w:r w:rsidR="00D67EB8" w:rsidRPr="009118AB">
        <w:rPr>
          <w:i/>
          <w:iCs/>
        </w:rPr>
        <w:t> - </w:t>
      </w:r>
      <w:r w:rsidRPr="009118AB">
        <w:rPr>
          <w:i/>
          <w:iCs/>
        </w:rPr>
        <w:t>in Kraft ab dem 16. Juli 1994</w:t>
      </w:r>
      <w:r w:rsidR="00FD68E8" w:rsidRPr="009118AB">
        <w:rPr>
          <w:i/>
          <w:iCs/>
        </w:rPr>
        <w:t> -]</w:t>
      </w:r>
    </w:p>
    <w:p w14:paraId="00A7426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ABA86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3689E0F" w14:textId="4319254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334</w:t>
      </w:r>
      <w:r w:rsidRPr="009118AB">
        <w:rPr>
          <w:b/>
          <w:bCs/>
          <w:i/>
          <w:iCs/>
        </w:rPr>
        <w:t>bis</w:t>
      </w:r>
      <w:r w:rsidR="00D67EB8" w:rsidRPr="009118AB">
        <w:t> - </w:t>
      </w:r>
      <w:r w:rsidRPr="009118AB">
        <w:t>In vorliegendem Kapitel erwähnte Untersuchungen dürfen von Bediensteten anderer Steuerverwaltungen durchgeführt werden. Der König bestimmt die Verwaltungen und, wenn Er es für notwendig erachtet, die Bediensteten.]</w:t>
      </w:r>
    </w:p>
    <w:p w14:paraId="0F84899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0D54F9" w14:textId="07061176" w:rsidR="00012B24" w:rsidRPr="009118AB" w:rsidRDefault="00477B8F" w:rsidP="00C15B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334bis eingefügt durch </w:t>
      </w:r>
      <w:r w:rsidR="00D67EB8" w:rsidRPr="009118AB">
        <w:rPr>
          <w:i/>
          <w:iCs/>
        </w:rPr>
        <w:t>Art. </w:t>
      </w:r>
      <w:r w:rsidRPr="009118AB">
        <w:rPr>
          <w:i/>
          <w:iCs/>
        </w:rPr>
        <w:t>63 des G. vom 6. Juli 1994 (B.S. vom 16. Juli 1994)</w:t>
      </w:r>
      <w:r w:rsidR="00D67EB8" w:rsidRPr="009118AB">
        <w:rPr>
          <w:i/>
          <w:iCs/>
        </w:rPr>
        <w:t> - </w:t>
      </w:r>
      <w:r w:rsidRPr="009118AB">
        <w:rPr>
          <w:i/>
          <w:iCs/>
        </w:rPr>
        <w:t>in Kraft ab dem 1. Januar 1993</w:t>
      </w:r>
      <w:r w:rsidR="00FD68E8" w:rsidRPr="009118AB">
        <w:rPr>
          <w:i/>
          <w:iCs/>
        </w:rPr>
        <w:t> -]</w:t>
      </w:r>
    </w:p>
    <w:p w14:paraId="6D5E24DE" w14:textId="77777777" w:rsidR="00012B24" w:rsidRPr="009118AB" w:rsidRDefault="00012B24">
      <w:r w:rsidRPr="009118AB">
        <w:br w:type="page"/>
      </w:r>
    </w:p>
    <w:p w14:paraId="46925AC8" w14:textId="74269050" w:rsidR="00477B8F" w:rsidRPr="009118AB" w:rsidRDefault="006C1ECF" w:rsidP="00030154">
      <w:pPr>
        <w:tabs>
          <w:tab w:val="left" w:pos="0"/>
          <w:tab w:val="left" w:pos="720"/>
          <w:tab w:val="left" w:pos="118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rsidRPr="009118AB">
        <w:tab/>
      </w:r>
      <w:r w:rsidRPr="009118AB">
        <w:tab/>
      </w:r>
      <w:r w:rsidR="00030154" w:rsidRPr="009118AB">
        <w:rPr>
          <w:i/>
        </w:rPr>
        <w:t>A</w:t>
      </w:r>
      <w:r w:rsidR="00477B8F" w:rsidRPr="009118AB">
        <w:rPr>
          <w:i/>
          <w:iCs/>
        </w:rPr>
        <w:t>bschnitt </w:t>
      </w:r>
      <w:r w:rsidR="00D74862" w:rsidRPr="009118AB">
        <w:rPr>
          <w:i/>
          <w:iCs/>
        </w:rPr>
        <w:t>5</w:t>
      </w:r>
      <w:r w:rsidR="00D67EB8" w:rsidRPr="009118AB">
        <w:t> - </w:t>
      </w:r>
      <w:r w:rsidR="00477B8F" w:rsidRPr="009118AB">
        <w:t>Gemeinsame Bestimmungen in Bezug auf alle Steuern</w:t>
      </w:r>
    </w:p>
    <w:p w14:paraId="77B17F66" w14:textId="77777777" w:rsidR="00477B8F" w:rsidRPr="009118AB" w:rsidRDefault="00477B8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F71569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A14372C" w14:textId="436CBA28" w:rsidR="0022512F" w:rsidRPr="009118AB" w:rsidRDefault="00477B8F" w:rsidP="0022512F">
      <w:pPr>
        <w:jc w:val="both"/>
      </w:pPr>
      <w:r w:rsidRPr="009118AB">
        <w:tab/>
      </w:r>
      <w:r w:rsidR="00D67EB8" w:rsidRPr="009118AB">
        <w:rPr>
          <w:b/>
          <w:bCs/>
        </w:rPr>
        <w:t>Art. </w:t>
      </w:r>
      <w:r w:rsidRPr="009118AB">
        <w:rPr>
          <w:b/>
          <w:bCs/>
        </w:rPr>
        <w:t>335</w:t>
      </w:r>
      <w:r w:rsidR="00D67EB8" w:rsidRPr="009118AB">
        <w:t> - </w:t>
      </w:r>
      <w:r w:rsidR="00546F45" w:rsidRPr="009118AB">
        <w:t>[</w:t>
      </w:r>
      <w:r w:rsidR="0022512F" w:rsidRPr="009118AB">
        <w:t>Verwaltungen, die dem Föderalen Öffentlichen Dienst Finanzen unterstehen, sind verpflichtet, Bediensteten dieses öffentlichen Dienstes, die vorschriftsmäßig mit der Festlegung oder Eintreibung der Steuern beauftragt sind, alle in ihrem Besitz befindlichen angemessenen, sachdienlichen und nicht übertriebenen Auskünfte zur Verfügung zu stellen, die zur Ausführung des Auftrags dieser Bediensteten im Hinblick auf Festlegung oder Eintreibung gleich welcher vom Staat festgelegten Steuer beitragen.</w:t>
      </w:r>
    </w:p>
    <w:p w14:paraId="24957C1C" w14:textId="77777777" w:rsidR="0022512F" w:rsidRPr="009118AB" w:rsidRDefault="0022512F" w:rsidP="0022512F">
      <w:pPr>
        <w:jc w:val="both"/>
      </w:pPr>
    </w:p>
    <w:p w14:paraId="15C711F2" w14:textId="77777777" w:rsidR="00477B8F" w:rsidRPr="009118AB"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Bedienstete des Föderalen Öffentlichen Dienstes Finanzen, die vorschriftsmäßig beauftragt sind, eine Kontrolle oder Untersuchung vorzunehmen, sind von Rechts wegen ermächtigt, angemessene, sachdienliche und nicht übertriebene Auskünfte einzuholen, zu ermitteln oder zusammenzutragen, die zur Festlegung oder Eintreibung gleich welcher anderer vom Staat festgelegten Steuer beitragen.]</w:t>
      </w:r>
    </w:p>
    <w:p w14:paraId="1108273E" w14:textId="77777777" w:rsidR="0022512F" w:rsidRPr="009118AB"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D61D17" w14:textId="706AD97F" w:rsidR="0022512F" w:rsidRPr="009118AB"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335 ersetzt durch </w:t>
      </w:r>
      <w:r w:rsidR="00D67EB8" w:rsidRPr="009118AB">
        <w:rPr>
          <w:i/>
        </w:rPr>
        <w:t>Art. </w:t>
      </w:r>
      <w:r w:rsidRPr="009118AB">
        <w:rPr>
          <w:i/>
        </w:rPr>
        <w:t>153 des G. vom 23. Dezember 2009 (B.S. vom 30. Dezember 2009)]</w:t>
      </w:r>
    </w:p>
    <w:p w14:paraId="3126AB3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83F943" w14:textId="77777777" w:rsidR="0022512F" w:rsidRPr="009118AB" w:rsidRDefault="0022512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8FE43DC" w14:textId="394069D9" w:rsidR="0022512F" w:rsidRPr="009118AB" w:rsidRDefault="00477B8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336</w:t>
      </w:r>
      <w:r w:rsidR="00D67EB8" w:rsidRPr="009118AB">
        <w:t> - </w:t>
      </w:r>
      <w:r w:rsidRPr="009118AB">
        <w:t xml:space="preserve">Auskünfte, Schriftstücke, Protokolle oder Urkunden, die ein Bediensteter </w:t>
      </w:r>
      <w:r w:rsidR="0022512F" w:rsidRPr="009118AB">
        <w:t xml:space="preserve">[des Föderalen Öffentlichen Dienstes Finanzen] </w:t>
      </w:r>
      <w:r w:rsidRPr="009118AB">
        <w:t>in der Ausübung seines Amtes entweder unmittelbar oder durch Vermittlung eines Dienstes beziehungsweise einer Verwaltung, Gesellschaft, Vereinigung oder Einrichtung wie in den Artikeln 327 und 328 bestimmt entdeckt oder erhält, können vom Staat bei der Ermittlung aller Geldsummen geltend gemacht werden, die aufgrund der Steuergesetze geschuldet werden.</w:t>
      </w:r>
    </w:p>
    <w:p w14:paraId="7D7E402C" w14:textId="77777777" w:rsidR="0022512F" w:rsidRPr="009118AB"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F70DA0F" w14:textId="43215A53" w:rsidR="0022512F" w:rsidRPr="009118AB"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336 abgeändert durch </w:t>
      </w:r>
      <w:r w:rsidR="00D67EB8" w:rsidRPr="009118AB">
        <w:rPr>
          <w:i/>
        </w:rPr>
        <w:t>Art. </w:t>
      </w:r>
      <w:r w:rsidRPr="009118AB">
        <w:rPr>
          <w:i/>
        </w:rPr>
        <w:t>154 des G. vom 23. Dezember 2009 (B.S. vom 30. Dezember 2009)]</w:t>
      </w:r>
    </w:p>
    <w:p w14:paraId="576A57E0" w14:textId="77777777" w:rsidR="0022512F" w:rsidRPr="009118AB"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5BA11E8" w14:textId="77777777" w:rsidR="0022512F" w:rsidRPr="009118AB"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4DA97A" w14:textId="0D17E165" w:rsidR="00477B8F" w:rsidRPr="009118AB"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rPr>
          <w:i/>
          <w:iCs/>
        </w:rPr>
        <w:br w:type="page"/>
      </w:r>
      <w:r w:rsidR="00477B8F" w:rsidRPr="009118AB">
        <w:rPr>
          <w:i/>
          <w:iCs/>
        </w:rPr>
        <w:t>Abschnitt </w:t>
      </w:r>
      <w:r w:rsidR="00D74862" w:rsidRPr="009118AB">
        <w:rPr>
          <w:i/>
          <w:iCs/>
        </w:rPr>
        <w:t>6</w:t>
      </w:r>
      <w:r w:rsidR="00D67EB8" w:rsidRPr="009118AB">
        <w:t> - </w:t>
      </w:r>
      <w:r w:rsidR="00477B8F" w:rsidRPr="009118AB">
        <w:t>Berufsgeheimnis</w:t>
      </w:r>
    </w:p>
    <w:p w14:paraId="346B900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D80326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A19A008" w14:textId="5E99E13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337</w:t>
      </w:r>
      <w:r w:rsidR="00D67EB8" w:rsidRPr="009118AB">
        <w:t> - </w:t>
      </w:r>
      <w:r w:rsidRPr="009118AB">
        <w:t xml:space="preserve">Wer in gleich welcher Eigenschaft bei der Anwendung der Steuergesetze tätig wird oder Zugang zu den Büros der </w:t>
      </w:r>
      <w:r w:rsidR="00F21C08" w:rsidRPr="009118AB">
        <w:t xml:space="preserve">[mit der Festlegung beziehungsweise mit der Einnahme und Beitreibung der Einkommensteuern beauftragten Verwaltung] </w:t>
      </w:r>
      <w:r w:rsidRPr="009118AB">
        <w:t>hat, unterliegt außerhalb der Ausübung seines Amtes der absoluten Schweigepflicht in Bezug auf alle Angelegenheiten, von denen er infolge der Ausführung seines Auftrags Kenntnis hat.</w:t>
      </w:r>
    </w:p>
    <w:p w14:paraId="241D493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8EBBEB" w14:textId="0CC445B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Beamte der </w:t>
      </w:r>
      <w:r w:rsidR="00F21C08" w:rsidRPr="009118AB">
        <w:t xml:space="preserve">[mit der Festlegung beziehungsweise mit der Einnahme und Beitreibung der Einkommensteuern beauftragten Verwaltung] </w:t>
      </w:r>
      <w:r w:rsidRPr="009118AB">
        <w:t xml:space="preserve">und der </w:t>
      </w:r>
      <w:r w:rsidR="00F21C08" w:rsidRPr="009118AB">
        <w:t xml:space="preserve">[Generalverwaltung Vermögensdokumentation] </w:t>
      </w:r>
      <w:r w:rsidRPr="009118AB">
        <w:t>handeln im Rahmen der Ausübung ihres Amtes, wenn sie anderen Verwaltungsdiensten des Staates</w:t>
      </w:r>
      <w:r w:rsidR="00B35A05" w:rsidRPr="009118AB">
        <w:t>[, den Staatsanwaltschaften und Kanzleien der Gerichtshöfe und aller Rechtsprechungsorgane, den Verwaltungen der Gemeinschaften, Regionen, Provinzen, Agglomerationen, Gemeindeföderationen und Gemeinden sowie]</w:t>
      </w:r>
      <w:r w:rsidRPr="009118AB">
        <w:t xml:space="preserve"> den in Artikel 329 erwähnten öffentlichen Einrichtungen Auskünfte erteilen, die für diese Dienste oder Einrichtungen notwendig sind, um die Ausführung der Gesetzes- oder Verordnungsbestimmungen zu gewährleisten, mit der sie beauftragt sind.</w:t>
      </w:r>
    </w:p>
    <w:p w14:paraId="08CBE04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686063" w14:textId="77777777" w:rsidR="000E129A" w:rsidRPr="009118AB"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[Beamte der mit der Festlegung der Einkommensteuern beauftragten Verwaltung handeln im Rahmen der Ausübung ihres Amtes, wenn sie bei einer Steuerprüfung zur Gewährleistung der korrekten Festlegung der Steuer auf die spezifischen Kenntnisse und die Erfahrung der Personalmitglieder der durch das Gesetz vom 25. Oktober 2016 zur Schaffung der Föderalen Schuldenagentur und zur Abschaffung des Rentenfonds geschaffenen Födera</w:t>
      </w:r>
      <w:r w:rsidRPr="009118AB">
        <w:softHyphen/>
        <w:t>len Schuldenagentur zurückgreifen.]</w:t>
      </w:r>
    </w:p>
    <w:p w14:paraId="0F465FDA" w14:textId="77777777" w:rsidR="000E129A" w:rsidRPr="009118AB"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9D7F647" w14:textId="4B10E91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[Beamte der </w:t>
      </w:r>
      <w:r w:rsidR="00EB40C6" w:rsidRPr="009118AB">
        <w:t xml:space="preserve">[mit der Festlegung beziehungsweise mit der Einnahme und Beitreibung der Einkommensteuern beauftragten Verwaltung] </w:t>
      </w:r>
      <w:r w:rsidRPr="009118AB">
        <w:t xml:space="preserve">handeln ebenfalls im Rahmen der Ausübung ihres Amtes, wenn sie einem Antrag auf Konsultierung, Erläuterung oder Mitteilung in Bezug auf die steuerliche Lage eines Steuerpflichtigen stattgeben, </w:t>
      </w:r>
      <w:r w:rsidR="007B11CE" w:rsidRPr="009118AB">
        <w:t>[</w:t>
      </w:r>
      <w:r w:rsidR="007B11CE" w:rsidRPr="009118AB">
        <w:rPr>
          <w:rFonts w:eastAsia="Calibri"/>
          <w:lang w:eastAsia="en-US"/>
        </w:rPr>
        <w:t>der von seinem Ehepartner ausgeht, auf dessen Güter die Steuer beigetrieben wird, oder von einem Mitschuldner wie in Artikel 2 des Gesetzbuches über die gütliche Beitreibung und die Zwangsbeitreibung von Steuerforderungen und nichtsteuerlichen Forderungen erwähnt</w:t>
      </w:r>
      <w:r w:rsidR="007B11CE" w:rsidRPr="009118AB">
        <w:t>]</w:t>
      </w:r>
      <w:r w:rsidRPr="009118AB">
        <w:t>.]</w:t>
      </w:r>
    </w:p>
    <w:p w14:paraId="0D0FD19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2E878D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Personen, die Diensten angehören, denen die </w:t>
      </w:r>
      <w:r w:rsidR="00EB40C6" w:rsidRPr="009118AB">
        <w:t xml:space="preserve">[mit der Festlegung beziehungsweise mit der Einnahme und Beitreibung der Einkommensteuern beauftragte Verwaltung] </w:t>
      </w:r>
      <w:r w:rsidRPr="009118AB">
        <w:t xml:space="preserve">oder die </w:t>
      </w:r>
      <w:r w:rsidR="00EB40C6" w:rsidRPr="009118AB">
        <w:t xml:space="preserve">[Generalverwaltung Vermögensdokumentation] </w:t>
      </w:r>
      <w:r w:rsidR="000E129A" w:rsidRPr="009118AB">
        <w:t>[in Anwendung der Absätze 2 und 3</w:t>
      </w:r>
      <w:r w:rsidRPr="009118AB">
        <w:t>] Auskünfte steuerlicher Art erteilt haben, unterliegen ebenfalls derselben Schweigepflicht; sie dürfen erhaltene Auskünfte nicht außerhalb des Rahmens der Gesetzesbestimmungen verwenden, für deren Ausführung sie erteilt worden sind.</w:t>
      </w:r>
    </w:p>
    <w:p w14:paraId="1B712BB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A71A9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 Bestimmungen von [Absatz </w:t>
      </w:r>
      <w:r w:rsidR="000E129A" w:rsidRPr="009118AB">
        <w:t>5</w:t>
      </w:r>
      <w:r w:rsidRPr="009118AB">
        <w:t>] sind ebenfalls auf Personen anwendbar, die Diensten angehören, denen aufgrund der in Ausführung der Artikel 320 und 321 organisierten Kontrolle Auskünfte steuerlicher Art erteilt würden.</w:t>
      </w:r>
    </w:p>
    <w:p w14:paraId="28B4108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773CB14" w14:textId="77777777" w:rsidR="00012B24" w:rsidRPr="009118AB" w:rsidRDefault="00012B24">
      <w:r w:rsidRPr="009118AB">
        <w:br w:type="page"/>
      </w:r>
    </w:p>
    <w:p w14:paraId="3AD097C7" w14:textId="77777777" w:rsidR="00A7106B" w:rsidRPr="009541B3" w:rsidRDefault="00477B8F" w:rsidP="00A7106B">
      <w:pPr>
        <w:ind w:firstLine="708"/>
        <w:jc w:val="both"/>
      </w:pPr>
      <w:r w:rsidRPr="009118AB">
        <w:tab/>
      </w:r>
      <w:r w:rsidR="00A7106B">
        <w:t>[</w:t>
      </w:r>
      <w:r w:rsidR="00A7106B" w:rsidRPr="009541B3">
        <w:t>Beamte der Generalverwaltung Vermögensdokumentation handeln ebenfalls im Rahmen der Ausübung ihres Amtes, wenn sie Auskünfte über, Auszüge aus oder Abschriften von Katasterunterlagen übermitteln:</w:t>
      </w:r>
    </w:p>
    <w:p w14:paraId="6F5B7D77" w14:textId="77777777" w:rsidR="00A7106B" w:rsidRPr="009541B3" w:rsidRDefault="00A7106B" w:rsidP="00A7106B">
      <w:pPr>
        <w:jc w:val="both"/>
      </w:pPr>
    </w:p>
    <w:p w14:paraId="23E925B5" w14:textId="77777777" w:rsidR="00A7106B" w:rsidRPr="009541B3" w:rsidRDefault="00A7106B" w:rsidP="00A7106B">
      <w:pPr>
        <w:ind w:firstLine="708"/>
        <w:jc w:val="both"/>
      </w:pPr>
      <w:r w:rsidRPr="009541B3">
        <w:t>1. in Ausführung der Bestimmungen von Artikel 504 Absatz 2 und 3,</w:t>
      </w:r>
    </w:p>
    <w:p w14:paraId="425864C0" w14:textId="77777777" w:rsidR="00A7106B" w:rsidRPr="009541B3" w:rsidRDefault="00A7106B" w:rsidP="00A7106B">
      <w:pPr>
        <w:jc w:val="both"/>
      </w:pPr>
    </w:p>
    <w:p w14:paraId="1EEA3C85" w14:textId="6AC8BDE0" w:rsidR="00477B8F" w:rsidRPr="009118AB" w:rsidRDefault="00312681" w:rsidP="00A71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r>
      <w:r w:rsidR="00A7106B" w:rsidRPr="009541B3">
        <w:t>2. nach der Notifizierung des Katastereinkommens, entweder innerhalb der in den Artikeln 499 Nr. 1 und 500 vorgesehenen Fristen oder im Rahmen des Widerspruchsverfahrens gemäß den Artikeln 497 bis 503.</w:t>
      </w:r>
      <w:r w:rsidR="00A7106B">
        <w:t>]</w:t>
      </w:r>
    </w:p>
    <w:p w14:paraId="1B20865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CFAC00" w14:textId="1AFA1DE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337 </w:t>
      </w:r>
      <w:r w:rsidR="00D67EB8" w:rsidRPr="009118AB">
        <w:rPr>
          <w:i/>
          <w:iCs/>
        </w:rPr>
        <w:t>Abs. </w:t>
      </w:r>
      <w:r w:rsidR="00EB40C6" w:rsidRPr="009118AB">
        <w:rPr>
          <w:i/>
          <w:iCs/>
        </w:rPr>
        <w:t xml:space="preserve">1 abgeändert durch </w:t>
      </w:r>
      <w:r w:rsidR="00D67EB8" w:rsidRPr="009118AB">
        <w:rPr>
          <w:i/>
          <w:iCs/>
        </w:rPr>
        <w:t>Art. </w:t>
      </w:r>
      <w:r w:rsidR="00EB40C6" w:rsidRPr="009118AB">
        <w:rPr>
          <w:i/>
          <w:iCs/>
        </w:rPr>
        <w:t>14 des G. vom 25. April 2014 (I) (B.S. vom 16. Mai 2014)</w:t>
      </w:r>
      <w:r w:rsidR="00D67EB8" w:rsidRPr="009118AB">
        <w:rPr>
          <w:i/>
          <w:iCs/>
        </w:rPr>
        <w:t> - </w:t>
      </w:r>
      <w:r w:rsidR="00EB40C6" w:rsidRPr="009118AB">
        <w:rPr>
          <w:i/>
          <w:iCs/>
        </w:rPr>
        <w:t>in Kraft am 16. Mai 2014</w:t>
      </w:r>
      <w:r w:rsidR="003366D9" w:rsidRPr="009118AB">
        <w:rPr>
          <w:i/>
          <w:iCs/>
        </w:rPr>
        <w:t> -;</w:t>
      </w:r>
      <w:r w:rsidR="00EB40C6"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64 des G. vom 6. Juli 1994 (B.S. vom 16. Juli 1994)</w:t>
      </w:r>
      <w:r w:rsidR="00D67EB8" w:rsidRPr="009118AB">
        <w:rPr>
          <w:i/>
          <w:iCs/>
        </w:rPr>
        <w:t> - </w:t>
      </w:r>
      <w:r w:rsidRPr="009118AB">
        <w:rPr>
          <w:i/>
          <w:iCs/>
        </w:rPr>
        <w:t>in Kraft ab dem 16. Juli 1994</w:t>
      </w:r>
      <w:r w:rsidR="00FD68E8" w:rsidRPr="009118AB">
        <w:rPr>
          <w:i/>
          <w:iCs/>
        </w:rPr>
        <w:t> -,</w:t>
      </w:r>
      <w:r w:rsidR="00EB40C6" w:rsidRPr="009118AB">
        <w:rPr>
          <w:i/>
          <w:iCs/>
        </w:rPr>
        <w:t xml:space="preserve"> </w:t>
      </w:r>
      <w:r w:rsidR="00D67EB8" w:rsidRPr="009118AB">
        <w:rPr>
          <w:i/>
          <w:iCs/>
        </w:rPr>
        <w:t>Art. </w:t>
      </w:r>
      <w:r w:rsidR="00EB40C6" w:rsidRPr="009118AB">
        <w:rPr>
          <w:i/>
          <w:iCs/>
        </w:rPr>
        <w:t>14 des G. vom 25. April 2014 (I) (B.S. vom 16. Mai 2014)</w:t>
      </w:r>
      <w:r w:rsidR="00D67EB8" w:rsidRPr="009118AB">
        <w:rPr>
          <w:i/>
          <w:iCs/>
        </w:rPr>
        <w:t> - </w:t>
      </w:r>
      <w:r w:rsidR="00EB40C6" w:rsidRPr="009118AB">
        <w:rPr>
          <w:i/>
          <w:iCs/>
        </w:rPr>
        <w:t>in Kraft am 16. Mai 2014</w:t>
      </w:r>
      <w:r w:rsidR="00D67EB8" w:rsidRPr="009118AB">
        <w:rPr>
          <w:i/>
          <w:iCs/>
        </w:rPr>
        <w:t> - </w:t>
      </w:r>
      <w:r w:rsidR="008872E8" w:rsidRPr="009118AB">
        <w:rPr>
          <w:i/>
          <w:iCs/>
        </w:rPr>
        <w:t xml:space="preserve">und </w:t>
      </w:r>
      <w:r w:rsidR="00D67EB8" w:rsidRPr="009118AB">
        <w:rPr>
          <w:i/>
          <w:iCs/>
        </w:rPr>
        <w:t>Art. </w:t>
      </w:r>
      <w:r w:rsidR="008872E8" w:rsidRPr="009118AB">
        <w:rPr>
          <w:i/>
          <w:iCs/>
        </w:rPr>
        <w:t>107 des G. vom 27. Juni 2021 (B.S. vom 30. Juni 2021)</w:t>
      </w:r>
      <w:r w:rsidRPr="009118AB">
        <w:rPr>
          <w:i/>
          <w:iCs/>
        </w:rPr>
        <w:t xml:space="preserve">; </w:t>
      </w:r>
      <w:r w:rsidR="000E129A" w:rsidRPr="009118AB">
        <w:rPr>
          <w:i/>
          <w:iCs/>
        </w:rPr>
        <w:t xml:space="preserve">neuer Absatz 3 eingefügt durch </w:t>
      </w:r>
      <w:r w:rsidR="00D67EB8" w:rsidRPr="009118AB">
        <w:rPr>
          <w:i/>
          <w:iCs/>
        </w:rPr>
        <w:t>Art. </w:t>
      </w:r>
      <w:r w:rsidR="000E129A" w:rsidRPr="009118AB">
        <w:rPr>
          <w:i/>
          <w:iCs/>
        </w:rPr>
        <w:t xml:space="preserve">148 </w:t>
      </w:r>
      <w:r w:rsidR="00D67EB8" w:rsidRPr="009118AB">
        <w:rPr>
          <w:i/>
          <w:iCs/>
        </w:rPr>
        <w:t>Nr. </w:t>
      </w:r>
      <w:r w:rsidR="000E129A" w:rsidRPr="009118AB">
        <w:rPr>
          <w:i/>
          <w:iCs/>
        </w:rPr>
        <w:t>1 des G. vom 25. Dezember 2017 (IV) (B.S. vom 29. Dezember 2017); neuer Absatz 4</w:t>
      </w:r>
      <w:r w:rsidRPr="009118AB">
        <w:rPr>
          <w:i/>
          <w:iCs/>
        </w:rPr>
        <w:t xml:space="preserve"> eingefügt durch </w:t>
      </w:r>
      <w:r w:rsidR="00D67EB8" w:rsidRPr="009118AB">
        <w:rPr>
          <w:i/>
          <w:iCs/>
        </w:rPr>
        <w:t>Art. </w:t>
      </w:r>
      <w:r w:rsidRPr="009118AB">
        <w:rPr>
          <w:i/>
          <w:iCs/>
        </w:rPr>
        <w:t xml:space="preserve">12 </w:t>
      </w:r>
      <w:r w:rsidR="00D67EB8" w:rsidRPr="009118AB">
        <w:rPr>
          <w:i/>
          <w:iCs/>
        </w:rPr>
        <w:t>Nr. </w:t>
      </w:r>
      <w:r w:rsidRPr="009118AB">
        <w:rPr>
          <w:i/>
          <w:iCs/>
        </w:rPr>
        <w:t>1 des G. vom 15. März 1999 (B.S. vom 27. März 1999)</w:t>
      </w:r>
      <w:r w:rsidR="00EB40C6" w:rsidRPr="009118AB">
        <w:rPr>
          <w:i/>
          <w:iCs/>
        </w:rPr>
        <w:t xml:space="preserve"> und </w:t>
      </w:r>
      <w:r w:rsidR="00BF0119" w:rsidRPr="009118AB">
        <w:rPr>
          <w:i/>
          <w:iCs/>
        </w:rPr>
        <w:t xml:space="preserve">abgeändert durch </w:t>
      </w:r>
      <w:r w:rsidR="00D67EB8" w:rsidRPr="009118AB">
        <w:rPr>
          <w:i/>
          <w:iCs/>
        </w:rPr>
        <w:t>Art. </w:t>
      </w:r>
      <w:r w:rsidR="00EB40C6" w:rsidRPr="009118AB">
        <w:rPr>
          <w:i/>
          <w:iCs/>
        </w:rPr>
        <w:t>14 des G. vom 25. April 2014 (I) (B.S. vom 16. Mai 2014)</w:t>
      </w:r>
      <w:r w:rsidR="00D67EB8" w:rsidRPr="009118AB">
        <w:rPr>
          <w:i/>
          <w:iCs/>
        </w:rPr>
        <w:t> - </w:t>
      </w:r>
      <w:r w:rsidR="00EB40C6" w:rsidRPr="009118AB">
        <w:rPr>
          <w:i/>
          <w:iCs/>
        </w:rPr>
        <w:t>in Kraft am 16. Mai 2014</w:t>
      </w:r>
      <w:r w:rsidR="00D67EB8" w:rsidRPr="009118AB">
        <w:rPr>
          <w:i/>
          <w:iCs/>
        </w:rPr>
        <w:t> - </w:t>
      </w:r>
      <w:r w:rsidR="007B11CE" w:rsidRPr="009118AB">
        <w:rPr>
          <w:i/>
          <w:iCs/>
        </w:rPr>
        <w:t xml:space="preserve">und </w:t>
      </w:r>
      <w:r w:rsidR="00D67EB8" w:rsidRPr="009118AB">
        <w:rPr>
          <w:i/>
          <w:iCs/>
        </w:rPr>
        <w:t>Art. </w:t>
      </w:r>
      <w:r w:rsidR="007B11CE" w:rsidRPr="009118AB">
        <w:rPr>
          <w:i/>
          <w:iCs/>
        </w:rPr>
        <w:t>34 des G. vom 13. April 2019 (II) (B.S. vom 30. April 2019)</w:t>
      </w:r>
      <w:r w:rsidR="00D67EB8" w:rsidRPr="009118AB">
        <w:rPr>
          <w:i/>
          <w:iCs/>
        </w:rPr>
        <w:t> - </w:t>
      </w:r>
      <w:r w:rsidR="007B11CE" w:rsidRPr="009118AB">
        <w:rPr>
          <w:i/>
          <w:iCs/>
        </w:rPr>
        <w:t>in Kraft am 1. Januar 2020</w:t>
      </w:r>
      <w:r w:rsidR="003366D9" w:rsidRPr="009118AB">
        <w:rPr>
          <w:i/>
          <w:iCs/>
        </w:rPr>
        <w:t> -;</w:t>
      </w:r>
      <w:r w:rsidRPr="009118AB">
        <w:rPr>
          <w:i/>
          <w:iCs/>
        </w:rPr>
        <w:t xml:space="preserve"> </w:t>
      </w:r>
      <w:r w:rsidR="00D67EB8" w:rsidRPr="009118AB">
        <w:rPr>
          <w:i/>
          <w:iCs/>
        </w:rPr>
        <w:t>Abs. </w:t>
      </w:r>
      <w:r w:rsidR="000E129A" w:rsidRPr="009118AB">
        <w:rPr>
          <w:i/>
          <w:iCs/>
        </w:rPr>
        <w:t>5</w:t>
      </w:r>
      <w:r w:rsidRPr="009118AB">
        <w:rPr>
          <w:i/>
          <w:iCs/>
        </w:rPr>
        <w:t xml:space="preserve"> (früherer Absatz 3) abgeändert durch </w:t>
      </w:r>
      <w:r w:rsidR="00D67EB8" w:rsidRPr="009118AB">
        <w:rPr>
          <w:i/>
          <w:iCs/>
        </w:rPr>
        <w:t>Art. </w:t>
      </w:r>
      <w:r w:rsidRPr="009118AB">
        <w:rPr>
          <w:i/>
          <w:iCs/>
        </w:rPr>
        <w:t xml:space="preserve">12 </w:t>
      </w:r>
      <w:r w:rsidR="00D67EB8" w:rsidRPr="009118AB">
        <w:rPr>
          <w:i/>
          <w:iCs/>
        </w:rPr>
        <w:t>Nr. </w:t>
      </w:r>
      <w:r w:rsidRPr="009118AB">
        <w:rPr>
          <w:i/>
          <w:iCs/>
        </w:rPr>
        <w:t>2 des G. vom 15. März 1999 (B.S. vom 27. März 1999)</w:t>
      </w:r>
      <w:r w:rsidR="000E129A" w:rsidRPr="009118AB">
        <w:rPr>
          <w:i/>
          <w:iCs/>
        </w:rPr>
        <w:t>,</w:t>
      </w:r>
      <w:r w:rsidR="00EB40C6" w:rsidRPr="009118AB">
        <w:rPr>
          <w:i/>
          <w:iCs/>
        </w:rPr>
        <w:t xml:space="preserve"> </w:t>
      </w:r>
      <w:r w:rsidR="00D67EB8" w:rsidRPr="009118AB">
        <w:rPr>
          <w:i/>
          <w:iCs/>
        </w:rPr>
        <w:t>Art. </w:t>
      </w:r>
      <w:r w:rsidR="00EB40C6" w:rsidRPr="009118AB">
        <w:rPr>
          <w:i/>
          <w:iCs/>
        </w:rPr>
        <w:t>14 des G. vom 25. April 2014 (I) (B.S. vom 16. Mai 2014)</w:t>
      </w:r>
      <w:r w:rsidR="00D67EB8" w:rsidRPr="009118AB">
        <w:rPr>
          <w:i/>
          <w:iCs/>
        </w:rPr>
        <w:t> - </w:t>
      </w:r>
      <w:r w:rsidR="00EB40C6" w:rsidRPr="009118AB">
        <w:rPr>
          <w:i/>
          <w:iCs/>
        </w:rPr>
        <w:t>in Kraft am 16. Mai 2014</w:t>
      </w:r>
      <w:r w:rsidR="00D67EB8" w:rsidRPr="009118AB">
        <w:rPr>
          <w:i/>
          <w:iCs/>
        </w:rPr>
        <w:t> - </w:t>
      </w:r>
      <w:r w:rsidR="000E129A" w:rsidRPr="009118AB">
        <w:rPr>
          <w:i/>
          <w:iCs/>
        </w:rPr>
        <w:t xml:space="preserve">und </w:t>
      </w:r>
      <w:r w:rsidR="00D67EB8" w:rsidRPr="009118AB">
        <w:rPr>
          <w:i/>
          <w:iCs/>
        </w:rPr>
        <w:t>Art. </w:t>
      </w:r>
      <w:r w:rsidR="000E129A" w:rsidRPr="009118AB">
        <w:rPr>
          <w:i/>
          <w:iCs/>
        </w:rPr>
        <w:t xml:space="preserve">148 </w:t>
      </w:r>
      <w:r w:rsidR="00D67EB8" w:rsidRPr="009118AB">
        <w:rPr>
          <w:i/>
          <w:iCs/>
        </w:rPr>
        <w:t>Nr. </w:t>
      </w:r>
      <w:r w:rsidR="000E129A" w:rsidRPr="009118AB">
        <w:rPr>
          <w:i/>
          <w:iCs/>
        </w:rPr>
        <w:t>2 des G. vom 25. Dezember 2017 (IV) (B.S. vom 29. Dezember 2017)</w:t>
      </w:r>
      <w:r w:rsidRPr="009118AB">
        <w:rPr>
          <w:i/>
          <w:iCs/>
        </w:rPr>
        <w:t xml:space="preserve">; </w:t>
      </w:r>
      <w:r w:rsidR="00D67EB8" w:rsidRPr="009118AB">
        <w:rPr>
          <w:i/>
          <w:iCs/>
        </w:rPr>
        <w:t>Abs. </w:t>
      </w:r>
      <w:r w:rsidR="000E129A" w:rsidRPr="009118AB">
        <w:rPr>
          <w:i/>
          <w:iCs/>
        </w:rPr>
        <w:t>6</w:t>
      </w:r>
      <w:r w:rsidRPr="009118AB">
        <w:rPr>
          <w:i/>
          <w:iCs/>
        </w:rPr>
        <w:t xml:space="preserve"> abgeändert durch </w:t>
      </w:r>
      <w:r w:rsidR="00D67EB8" w:rsidRPr="009118AB">
        <w:rPr>
          <w:i/>
          <w:iCs/>
        </w:rPr>
        <w:t>Art. </w:t>
      </w:r>
      <w:r w:rsidRPr="009118AB">
        <w:rPr>
          <w:i/>
          <w:iCs/>
        </w:rPr>
        <w:t xml:space="preserve">12 </w:t>
      </w:r>
      <w:r w:rsidR="00D67EB8" w:rsidRPr="009118AB">
        <w:rPr>
          <w:i/>
          <w:iCs/>
        </w:rPr>
        <w:t>Nr. </w:t>
      </w:r>
      <w:r w:rsidRPr="009118AB">
        <w:rPr>
          <w:i/>
          <w:iCs/>
        </w:rPr>
        <w:t>3 des G. vom 15. März 1999 (B.S. vom 27. März 1999)</w:t>
      </w:r>
      <w:r w:rsidR="000E129A" w:rsidRPr="009118AB">
        <w:rPr>
          <w:i/>
          <w:iCs/>
        </w:rPr>
        <w:t xml:space="preserve"> und </w:t>
      </w:r>
      <w:r w:rsidR="00D67EB8" w:rsidRPr="009118AB">
        <w:rPr>
          <w:i/>
          <w:iCs/>
        </w:rPr>
        <w:t>Art. </w:t>
      </w:r>
      <w:r w:rsidR="000E129A" w:rsidRPr="009118AB">
        <w:rPr>
          <w:i/>
          <w:iCs/>
        </w:rPr>
        <w:t xml:space="preserve">148 </w:t>
      </w:r>
      <w:r w:rsidR="00D67EB8" w:rsidRPr="009118AB">
        <w:rPr>
          <w:i/>
          <w:iCs/>
        </w:rPr>
        <w:t>Nr. </w:t>
      </w:r>
      <w:r w:rsidR="000E129A" w:rsidRPr="009118AB">
        <w:rPr>
          <w:i/>
          <w:iCs/>
        </w:rPr>
        <w:t>3 des G. vom 25. Dezember 2017 (IV) (B.S. vom 29. Dezember 2017)</w:t>
      </w:r>
      <w:r w:rsidR="00EB40C6" w:rsidRPr="009118AB">
        <w:rPr>
          <w:i/>
          <w:iCs/>
        </w:rPr>
        <w:t xml:space="preserve">; </w:t>
      </w:r>
      <w:r w:rsidR="00D67EB8" w:rsidRPr="002B37C8">
        <w:rPr>
          <w:i/>
          <w:iCs/>
        </w:rPr>
        <w:t>Abs. </w:t>
      </w:r>
      <w:r w:rsidR="000E129A" w:rsidRPr="002B37C8">
        <w:rPr>
          <w:i/>
          <w:iCs/>
        </w:rPr>
        <w:t>7</w:t>
      </w:r>
      <w:r w:rsidR="00EB40C6" w:rsidRPr="002B37C8">
        <w:rPr>
          <w:i/>
          <w:iCs/>
        </w:rPr>
        <w:t xml:space="preserve"> </w:t>
      </w:r>
      <w:r w:rsidR="00E11F8A" w:rsidRPr="002B37C8">
        <w:rPr>
          <w:i/>
          <w:iCs/>
        </w:rPr>
        <w:t>ersetzt</w:t>
      </w:r>
      <w:r w:rsidR="00E11F8A">
        <w:rPr>
          <w:i/>
          <w:iCs/>
        </w:rPr>
        <w:t xml:space="preserve"> </w:t>
      </w:r>
      <w:r w:rsidR="002B37C8" w:rsidRPr="00152BE9">
        <w:rPr>
          <w:i/>
          <w:iCs/>
        </w:rPr>
        <w:t>durch Art. </w:t>
      </w:r>
      <w:r w:rsidR="00C739D2">
        <w:rPr>
          <w:i/>
          <w:iCs/>
        </w:rPr>
        <w:t>77</w:t>
      </w:r>
      <w:r w:rsidR="002B37C8" w:rsidRPr="00152BE9">
        <w:rPr>
          <w:i/>
          <w:iCs/>
        </w:rPr>
        <w:t xml:space="preserve"> </w:t>
      </w:r>
      <w:r w:rsidR="002B37C8" w:rsidRPr="003E131B">
        <w:rPr>
          <w:i/>
          <w:iCs/>
          <w:spacing w:val="-2"/>
        </w:rPr>
        <w:t>des G. vom 28. Dezember 2023 (B.S. vom 29. Dezember 2023)</w:t>
      </w:r>
      <w:r w:rsidR="00FD68E8" w:rsidRPr="009118AB">
        <w:rPr>
          <w:i/>
          <w:iCs/>
        </w:rPr>
        <w:t>]</w:t>
      </w:r>
    </w:p>
    <w:p w14:paraId="3F064C66" w14:textId="77777777" w:rsidR="00030154" w:rsidRPr="009118AB" w:rsidRDefault="000301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FADBB12" w14:textId="77777777" w:rsidR="00030154" w:rsidRPr="009118AB" w:rsidRDefault="000301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6EE8F75" w14:textId="0CE4540F" w:rsidR="00030154" w:rsidRPr="009118AB" w:rsidRDefault="00030154" w:rsidP="00030154">
      <w:pPr>
        <w:ind w:firstLine="708"/>
        <w:jc w:val="both"/>
      </w:pPr>
      <w:r w:rsidRPr="009118AB">
        <w:tab/>
        <w:t>[</w:t>
      </w:r>
      <w:r w:rsidR="00D67EB8" w:rsidRPr="009118AB">
        <w:rPr>
          <w:b/>
        </w:rPr>
        <w:t>Art. </w:t>
      </w:r>
      <w:r w:rsidRPr="009118AB">
        <w:rPr>
          <w:b/>
        </w:rPr>
        <w:t>337/1</w:t>
      </w:r>
      <w:r w:rsidR="00D67EB8" w:rsidRPr="009118AB">
        <w:t> - </w:t>
      </w:r>
      <w:r w:rsidRPr="009118AB">
        <w:t>In Abweichung von Artikel 4 des Gesetzes vom 11. April 1994 über die Öffentlichkeit der Verwaltung dürfen Auskunftsersuchen von ausländischen Behörden und diesen Behörden erteilte Antworten und jeder andere Briefverkehr zwischen den zuständigen Behörden nicht bekannt gemacht werden, solange die Untersuchung der ausländischen Behörde nicht abgeschlossen ist und sofern die Bekanntmachung den Zwecken der vorerwähnten Untersuchung schaden würde, außer wenn die ausländische Behörde dieser Bekanntmachung ausdrücklich zugestimmt hat.</w:t>
      </w:r>
    </w:p>
    <w:p w14:paraId="39026754" w14:textId="77777777" w:rsidR="00030154" w:rsidRPr="009118AB" w:rsidRDefault="00030154" w:rsidP="00030154">
      <w:pPr>
        <w:jc w:val="both"/>
      </w:pPr>
    </w:p>
    <w:p w14:paraId="2C42C3AE" w14:textId="77777777" w:rsidR="00030154" w:rsidRPr="009118AB" w:rsidRDefault="00030154" w:rsidP="000301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 in Absatz 1 erwähnte Zustimmung gilt als erteilt, wenn die ausländische Behörde nicht innerhalb einer Frist von neunzig Tagen ab Versendung des Antrags auf Bekanntmachung durch den Belgischen Staat reagiert und nicht mitteilt, dass die Vertraulichkeit der ausgetauschten Daten und des erfolgten Briefverkehrs entsprechend den Bedingungen des vorliegenden Artikels gewährt bleiben muss, wenn die Person, gegen die der ausländische Staat eine Untersuchung durchführt, diesen Zugriff ausdrücklich beim Belgischen Staat beantragt hat.]</w:t>
      </w:r>
    </w:p>
    <w:p w14:paraId="1859AC9A" w14:textId="77777777" w:rsidR="00030154" w:rsidRPr="009118AB" w:rsidRDefault="00030154" w:rsidP="000301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33F40E0" w14:textId="5C788189" w:rsidR="00030154" w:rsidRPr="009118AB" w:rsidRDefault="00030154" w:rsidP="000301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w:t>
      </w:r>
      <w:r w:rsidR="00D67EB8" w:rsidRPr="009118AB">
        <w:rPr>
          <w:i/>
        </w:rPr>
        <w:t>Art. </w:t>
      </w:r>
      <w:r w:rsidRPr="009118AB">
        <w:rPr>
          <w:i/>
        </w:rPr>
        <w:t xml:space="preserve">337/1 eingefügt durch </w:t>
      </w:r>
      <w:r w:rsidR="00D67EB8" w:rsidRPr="009118AB">
        <w:rPr>
          <w:i/>
        </w:rPr>
        <w:t>Art. </w:t>
      </w:r>
      <w:r w:rsidRPr="009118AB">
        <w:rPr>
          <w:i/>
        </w:rPr>
        <w:t>5</w:t>
      </w:r>
      <w:r w:rsidRPr="009118AB">
        <w:rPr>
          <w:i/>
          <w:iCs/>
        </w:rPr>
        <w:t xml:space="preserve"> des G. vom 30. Juni 2017 (III) (B.S. vom 7. Juli 2017)]</w:t>
      </w:r>
    </w:p>
    <w:p w14:paraId="6CA89C4D" w14:textId="06E23C1B" w:rsidR="00477B8F" w:rsidRPr="009118AB" w:rsidRDefault="00477B8F" w:rsidP="00B205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Pr="009118AB">
        <w:rPr>
          <w:i/>
          <w:iCs/>
        </w:rPr>
        <w:t>Abschnitt </w:t>
      </w:r>
      <w:r w:rsidR="00D74862" w:rsidRPr="009118AB">
        <w:rPr>
          <w:i/>
          <w:iCs/>
        </w:rPr>
        <w:t>7</w:t>
      </w:r>
      <w:r w:rsidR="00D67EB8" w:rsidRPr="009118AB">
        <w:t> - </w:t>
      </w:r>
      <w:r w:rsidRPr="009118AB">
        <w:t>Amtshilfe</w:t>
      </w:r>
    </w:p>
    <w:p w14:paraId="1B81286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4F745E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D411331" w14:textId="5A54EE4B" w:rsidR="00377828" w:rsidRPr="009118AB" w:rsidRDefault="00D67EB8" w:rsidP="00377828">
      <w:pPr>
        <w:ind w:firstLine="708"/>
        <w:jc w:val="both"/>
      </w:pPr>
      <w:bookmarkStart w:id="39" w:name="_Hlk170370847"/>
      <w:r w:rsidRPr="009118AB">
        <w:rPr>
          <w:b/>
          <w:bCs/>
        </w:rPr>
        <w:t>Art. </w:t>
      </w:r>
      <w:r w:rsidR="00477B8F" w:rsidRPr="009118AB">
        <w:rPr>
          <w:b/>
          <w:bCs/>
        </w:rPr>
        <w:t>338</w:t>
      </w:r>
      <w:r w:rsidRPr="009118AB">
        <w:t> - </w:t>
      </w:r>
      <w:r w:rsidR="00477B8F" w:rsidRPr="009118AB">
        <w:t>[</w:t>
      </w:r>
      <w:r w:rsidRPr="009118AB">
        <w:t>§ </w:t>
      </w:r>
      <w:r w:rsidR="00377828" w:rsidRPr="009118AB">
        <w:t>1</w:t>
      </w:r>
      <w:r w:rsidRPr="009118AB">
        <w:t> - </w:t>
      </w:r>
      <w:r w:rsidR="00377828" w:rsidRPr="009118AB">
        <w:t>Vorliegender Artikel legt die Regeln und Verfahren fest, nach denen Belgien und die anderen Mitgliedstaaten der Europäischen Union untereinander im Hinblick auf den Austausch von Informationen zusammenarbeiten, die für die Anwendung und Durchsetzung des innerstaatlichen Rechts aller Mitgliedstaaten über Einkommensteuern voraussichtlich erheblich sind.</w:t>
      </w:r>
    </w:p>
    <w:p w14:paraId="248A3710" w14:textId="77777777" w:rsidR="00377828" w:rsidRPr="009118AB" w:rsidRDefault="00377828" w:rsidP="00377828">
      <w:pPr>
        <w:jc w:val="both"/>
      </w:pPr>
    </w:p>
    <w:p w14:paraId="656F28BE" w14:textId="77777777" w:rsidR="00377828" w:rsidRPr="009118AB" w:rsidRDefault="00377828" w:rsidP="00377828">
      <w:pPr>
        <w:ind w:firstLine="708"/>
        <w:jc w:val="both"/>
      </w:pPr>
      <w:r w:rsidRPr="009118AB">
        <w:t>Vorliegender Artikel legt ferner Bestimmungen für den Austausch der Informationen nach Absatz 1 auf elektronischem Wege fest.</w:t>
      </w:r>
    </w:p>
    <w:p w14:paraId="747AE93F" w14:textId="77777777" w:rsidR="00377828" w:rsidRPr="009118AB" w:rsidRDefault="00377828" w:rsidP="00377828">
      <w:pPr>
        <w:jc w:val="both"/>
      </w:pPr>
    </w:p>
    <w:p w14:paraId="2A530921" w14:textId="77777777" w:rsidR="00377828" w:rsidRPr="009118AB" w:rsidRDefault="00377828" w:rsidP="00377828">
      <w:pPr>
        <w:ind w:firstLine="708"/>
        <w:jc w:val="both"/>
      </w:pPr>
      <w:r w:rsidRPr="009118AB">
        <w:t>Vorliegender Artikel berührt nicht die Anwendung der Vorschriften über die Rechtshilfe in Strafsachen. Er berührt auch nicht die Verpflichtungen, die den Mitgliedstaaten in Bezug auf eine umfassendere Zusammenarbeit der Verwaltungen aus anderen Rechtsinstrumenten, einschließlich bi- oder multilateraler Abkommen, erwachsen.</w:t>
      </w:r>
    </w:p>
    <w:p w14:paraId="4E91F88D" w14:textId="77777777" w:rsidR="00377828" w:rsidRPr="009118AB" w:rsidRDefault="00377828" w:rsidP="00377828">
      <w:pPr>
        <w:jc w:val="both"/>
      </w:pPr>
    </w:p>
    <w:p w14:paraId="50F91097" w14:textId="394EAEC7" w:rsidR="00377828" w:rsidRPr="009118AB" w:rsidRDefault="00D67EB8" w:rsidP="00377828">
      <w:pPr>
        <w:ind w:firstLine="708"/>
        <w:jc w:val="both"/>
      </w:pPr>
      <w:r w:rsidRPr="009118AB">
        <w:t>§ </w:t>
      </w:r>
      <w:r w:rsidR="00377828" w:rsidRPr="009118AB">
        <w:t>2</w:t>
      </w:r>
      <w:r w:rsidRPr="009118AB">
        <w:t> - </w:t>
      </w:r>
      <w:r w:rsidR="00377828" w:rsidRPr="009118AB">
        <w:t>Für die Anwendung des vorliegenden Artikels versteht man unter:</w:t>
      </w:r>
    </w:p>
    <w:p w14:paraId="7DFE42C0" w14:textId="77777777" w:rsidR="00377828" w:rsidRPr="009118AB" w:rsidRDefault="00377828" w:rsidP="00377828">
      <w:pPr>
        <w:jc w:val="both"/>
      </w:pPr>
    </w:p>
    <w:p w14:paraId="1E53AE0C" w14:textId="77777777" w:rsidR="00377828" w:rsidRPr="009118AB" w:rsidRDefault="00377828" w:rsidP="00377828">
      <w:pPr>
        <w:ind w:firstLine="708"/>
        <w:jc w:val="both"/>
      </w:pPr>
      <w:r w:rsidRPr="009118AB">
        <w:t>1. "Richtlinie": die Richtlinie 2011/16/EU des Rates vom 15. Februar 2011 über die Zusammenarbeit der Verwaltungsbehörden im Bereich der Besteuerung und zur Aufhebung der Richtlinie 77/799/EWG,</w:t>
      </w:r>
    </w:p>
    <w:p w14:paraId="0B48C43A" w14:textId="77777777" w:rsidR="00377828" w:rsidRPr="009118AB" w:rsidRDefault="00377828" w:rsidP="00377828">
      <w:pPr>
        <w:jc w:val="both"/>
      </w:pPr>
    </w:p>
    <w:p w14:paraId="019C8B96" w14:textId="77777777" w:rsidR="00377828" w:rsidRPr="009118AB" w:rsidRDefault="00377828" w:rsidP="00377828">
      <w:pPr>
        <w:ind w:left="708"/>
        <w:jc w:val="both"/>
      </w:pPr>
      <w:r w:rsidRPr="009118AB">
        <w:t>2. "Mitgliedstaat": einen Mitgliedstaat der Europäischen Union,</w:t>
      </w:r>
    </w:p>
    <w:p w14:paraId="6DA3BAE7" w14:textId="77777777" w:rsidR="00377828" w:rsidRPr="009118AB" w:rsidRDefault="00377828" w:rsidP="00377828">
      <w:pPr>
        <w:jc w:val="both"/>
      </w:pPr>
    </w:p>
    <w:p w14:paraId="3D461FB6" w14:textId="77777777" w:rsidR="00377828" w:rsidRPr="009118AB" w:rsidRDefault="00377828" w:rsidP="00377828">
      <w:pPr>
        <w:ind w:firstLine="708"/>
        <w:jc w:val="both"/>
      </w:pPr>
      <w:r w:rsidRPr="009118AB">
        <w:t>3. "zentralem Verbindungsbüro": die als solche von der zuständigen Behörde benannte Stelle, die für die Verbindungen zu den anderen Mitgliedstaaten auf dem Gebiet der Zusammenarbeit der Verwaltungsbehörden hauptverantwortlich zuständig ist,</w:t>
      </w:r>
    </w:p>
    <w:p w14:paraId="463B6ECB" w14:textId="77777777" w:rsidR="00377828" w:rsidRPr="009118AB" w:rsidRDefault="00377828" w:rsidP="00377828">
      <w:pPr>
        <w:jc w:val="both"/>
      </w:pPr>
    </w:p>
    <w:p w14:paraId="71164E3D" w14:textId="77777777" w:rsidR="00377828" w:rsidRPr="009118AB" w:rsidRDefault="00377828" w:rsidP="00377828">
      <w:pPr>
        <w:ind w:firstLine="708"/>
        <w:jc w:val="both"/>
      </w:pPr>
      <w:r w:rsidRPr="009118AB">
        <w:t>4. "Verbindungsstelle": jede andere Stelle als das zentrale Verbindungsbüro, die als solche von der zuständigen Behörde benannt worden ist, um nach Maßgabe des vorliegenden Artikels Informationen direkt auszutauschen,</w:t>
      </w:r>
    </w:p>
    <w:p w14:paraId="7FC47AF5" w14:textId="77777777" w:rsidR="00377828" w:rsidRPr="009118AB" w:rsidRDefault="00377828" w:rsidP="00377828">
      <w:pPr>
        <w:jc w:val="both"/>
      </w:pPr>
    </w:p>
    <w:p w14:paraId="2FAE1280" w14:textId="77777777" w:rsidR="00377828" w:rsidRPr="009118AB" w:rsidRDefault="00377828" w:rsidP="00377828">
      <w:pPr>
        <w:ind w:firstLine="708"/>
        <w:jc w:val="both"/>
      </w:pPr>
      <w:r w:rsidRPr="009118AB">
        <w:t>5. "zuständigem Bediensteten": jeden Bediensteten, der von der zuständigen Behörde zum direkten Informationsaustausch nach Maßgabe des vorliegenden Artikels ermächtigt worden ist,</w:t>
      </w:r>
    </w:p>
    <w:p w14:paraId="440877F7" w14:textId="77777777" w:rsidR="00377828" w:rsidRPr="009118AB" w:rsidRDefault="00377828" w:rsidP="00377828">
      <w:pPr>
        <w:jc w:val="both"/>
      </w:pPr>
    </w:p>
    <w:p w14:paraId="13EF12CE" w14:textId="77777777" w:rsidR="00377828" w:rsidRPr="009118AB" w:rsidRDefault="00377828" w:rsidP="00377828">
      <w:pPr>
        <w:ind w:firstLine="708"/>
        <w:jc w:val="both"/>
      </w:pPr>
      <w:r w:rsidRPr="009118AB">
        <w:t>6. "belgischer zuständiger Behörde": die Behörde, die als solche von Belgien benannt worden ist. Das belgische zentrale Verbindungsbüro, die belgischen Verbindungsstellen und die belgischen zuständigen Bediensteten gelten bei Bevollmächtigung ebenfalls als belgische zuständige Behörde,</w:t>
      </w:r>
    </w:p>
    <w:p w14:paraId="55B114AB" w14:textId="77777777" w:rsidR="00377828" w:rsidRPr="009118AB" w:rsidRDefault="00377828" w:rsidP="00377828">
      <w:pPr>
        <w:jc w:val="both"/>
      </w:pPr>
    </w:p>
    <w:p w14:paraId="0572C7EE" w14:textId="77777777" w:rsidR="00377828" w:rsidRPr="009118AB" w:rsidRDefault="00377828" w:rsidP="00377828">
      <w:pPr>
        <w:ind w:firstLine="708"/>
        <w:jc w:val="both"/>
      </w:pPr>
      <w:r w:rsidRPr="009118AB">
        <w:t>7. "ausländischer zuständiger Behörde": die Behörde, die als solche von einem anderen Mitgliedstaat als Belgien benannt worden ist. Das zentrale Verbindungsbüro, die Verbindungsstellen und die zuständigen Bediensteten dieses Mitgliedstaates gelten bei Bevollmächtigung ebenfalls als ausländische zuständige Behörde,</w:t>
      </w:r>
    </w:p>
    <w:p w14:paraId="1F6CA6D7" w14:textId="77777777" w:rsidR="00377828" w:rsidRPr="009118AB" w:rsidRDefault="00377828" w:rsidP="00377828">
      <w:pPr>
        <w:jc w:val="both"/>
      </w:pPr>
    </w:p>
    <w:p w14:paraId="2649547B" w14:textId="77777777" w:rsidR="00377828" w:rsidRPr="009118AB" w:rsidRDefault="00377828" w:rsidP="00377828">
      <w:pPr>
        <w:ind w:firstLine="708"/>
        <w:jc w:val="both"/>
      </w:pPr>
      <w:r w:rsidRPr="009118AB">
        <w:t>8. "ersuchender Behörde": das zentrale Verbindungsbüro, eine Verbindungsstelle oder jeden zuständigen Bediensteten eines Mitgliedstaates, der im Namen der belgischen zuständigen Behörde oder einer ausländischen zuständigen Behörde ein Amtshilfeersuchen stellt,</w:t>
      </w:r>
    </w:p>
    <w:p w14:paraId="663ACC5F" w14:textId="77777777" w:rsidR="00377828" w:rsidRPr="009118AB" w:rsidRDefault="00377828" w:rsidP="00377828">
      <w:pPr>
        <w:jc w:val="both"/>
      </w:pPr>
    </w:p>
    <w:p w14:paraId="78BF429B" w14:textId="77777777" w:rsidR="00377828" w:rsidRPr="009118AB" w:rsidRDefault="00377828" w:rsidP="00377828">
      <w:pPr>
        <w:ind w:firstLine="708"/>
        <w:jc w:val="both"/>
      </w:pPr>
      <w:r w:rsidRPr="009118AB">
        <w:t>9. "ersuchter Behörde": das zentrale Verbindungsbüro, eine Verbindungsstelle oder jeden zuständigen Bediensteten eines Mitgliedstaates, der im Namen der belgischen zuständigen Behörde oder einer ausländischen zuständigen Behörde ein Amtshilfeersuchen entgegennimmt,</w:t>
      </w:r>
    </w:p>
    <w:p w14:paraId="5C6B3C4D" w14:textId="77777777" w:rsidR="00377828" w:rsidRPr="009118AB" w:rsidRDefault="00377828" w:rsidP="00377828">
      <w:pPr>
        <w:jc w:val="both"/>
      </w:pPr>
    </w:p>
    <w:p w14:paraId="18F549E4" w14:textId="77777777" w:rsidR="00377828" w:rsidRPr="009118AB" w:rsidRDefault="00377828" w:rsidP="00377828">
      <w:pPr>
        <w:ind w:firstLine="708"/>
        <w:jc w:val="both"/>
      </w:pPr>
      <w:r w:rsidRPr="009118AB">
        <w:t>10. "behördlichen Ermittlungen": alle von den Mitgliedstaaten in Ausübung ihrer Aufgaben vorgenommenen Kontrollen, Nachprüfungen und anderen Handlungen mit dem Ziel, die ordnungsgemäße Anwendung der Steuervorschriften sicherzustellen,</w:t>
      </w:r>
    </w:p>
    <w:p w14:paraId="1520633B" w14:textId="77777777" w:rsidR="00377828" w:rsidRPr="009118AB" w:rsidRDefault="00377828" w:rsidP="00377828">
      <w:pPr>
        <w:jc w:val="both"/>
      </w:pPr>
    </w:p>
    <w:p w14:paraId="168B9924" w14:textId="77777777" w:rsidR="00B20510" w:rsidRPr="009118AB" w:rsidRDefault="00377828" w:rsidP="00B20510">
      <w:pPr>
        <w:ind w:firstLine="708"/>
        <w:jc w:val="both"/>
      </w:pPr>
      <w:r w:rsidRPr="009118AB">
        <w:t>11. </w:t>
      </w:r>
      <w:r w:rsidR="00B20510" w:rsidRPr="009118AB">
        <w:t>["automatischem Austausch":</w:t>
      </w:r>
    </w:p>
    <w:p w14:paraId="047EB13B" w14:textId="77777777" w:rsidR="00B20510" w:rsidRPr="009118AB" w:rsidRDefault="00B20510" w:rsidP="00B20510">
      <w:pPr>
        <w:jc w:val="both"/>
      </w:pPr>
    </w:p>
    <w:p w14:paraId="0B61CBED" w14:textId="6B5B25B3" w:rsidR="00B20510" w:rsidRPr="009118AB" w:rsidRDefault="00B20510" w:rsidP="00B20510">
      <w:pPr>
        <w:ind w:firstLine="708"/>
        <w:jc w:val="both"/>
      </w:pPr>
      <w:r w:rsidRPr="009118AB">
        <w:rPr>
          <w:i/>
        </w:rPr>
        <w:t>a)</w:t>
      </w:r>
      <w:r w:rsidRPr="009118AB">
        <w:t> </w:t>
      </w:r>
      <w:r w:rsidR="0091729E" w:rsidRPr="009118AB">
        <w:t>[für die Anwendung der Paragraphen 6 Absatz 1, 6/1, 6/3, 6/4 und 6/5 die systematische Übermittlung zuvor festgelegter Informationen an einen anderen Mitgliedstaat ohne dessen vorheriges Ersuchen in regelmäßigen, im Voraus bestimmten Abständen,</w:t>
      </w:r>
      <w:r w:rsidR="0074278D" w:rsidRPr="009118AB">
        <w:t>]</w:t>
      </w:r>
    </w:p>
    <w:p w14:paraId="41D8EC02" w14:textId="77777777" w:rsidR="00B20510" w:rsidRPr="009118AB" w:rsidRDefault="00B20510" w:rsidP="00B20510">
      <w:pPr>
        <w:jc w:val="both"/>
      </w:pPr>
    </w:p>
    <w:p w14:paraId="39E2E94F" w14:textId="77777777" w:rsidR="00B20510" w:rsidRPr="009118AB" w:rsidRDefault="00B20510" w:rsidP="00B20510">
      <w:pPr>
        <w:ind w:firstLine="708"/>
        <w:jc w:val="both"/>
      </w:pPr>
      <w:r w:rsidRPr="009118AB">
        <w:rPr>
          <w:i/>
        </w:rPr>
        <w:t>b)</w:t>
      </w:r>
      <w:r w:rsidRPr="009118AB">
        <w:t> für die Zwecke des Gesetzes vom 16. Dezember 2015 zur Regelung der Übermittlung von Informationen über Finanzkonten durch die belgischen Finanzinstitute und den FÖD Finanzen im Rahmen eines automatischen Informationsaustauschs auf internationaler Ebene in Steuersachen die systematische Übermittlung der in vorerwähntem Gesetz festgelegten Informationen über in anderen Mitgliedstaaten ansässige Personen an den jeweiligen Mitgliedstaat ohne dessen vorheriges Ersuchen spätestens innerhalb von neun Monaten nach Ablauf des Kalenderjahres, auf das sich die Information bezieht,</w:t>
      </w:r>
    </w:p>
    <w:p w14:paraId="511D5AB5" w14:textId="77777777" w:rsidR="00B20510" w:rsidRPr="009118AB" w:rsidRDefault="00B20510" w:rsidP="00B20510">
      <w:pPr>
        <w:jc w:val="both"/>
      </w:pPr>
    </w:p>
    <w:p w14:paraId="6E2DB7E1" w14:textId="027E814C" w:rsidR="00377828" w:rsidRPr="009118AB" w:rsidRDefault="00B20510" w:rsidP="00B20510">
      <w:pPr>
        <w:ind w:firstLine="708"/>
        <w:jc w:val="both"/>
      </w:pPr>
      <w:r w:rsidRPr="009118AB">
        <w:rPr>
          <w:i/>
        </w:rPr>
        <w:t>c)</w:t>
      </w:r>
      <w:r w:rsidRPr="009118AB">
        <w:t> </w:t>
      </w:r>
      <w:r w:rsidR="0074278D" w:rsidRPr="009118AB">
        <w:t>[</w:t>
      </w:r>
      <w:r w:rsidR="0091729E" w:rsidRPr="009118AB">
        <w:t>für die Anwendung aller Bestimmungen des vorliegenden Artikels mit Ausnahme der Bestimmungen der vorerwähnten Paragraphen 6 Absatz 1, 6/1, 6/3, 6/4 und 6/5 die systematische Übermittlung zuvor festgelegter Informationen gemäß den Buchstaben </w:t>
      </w:r>
      <w:r w:rsidR="0091729E" w:rsidRPr="009118AB">
        <w:rPr>
          <w:i/>
          <w:iCs/>
        </w:rPr>
        <w:t>a)</w:t>
      </w:r>
      <w:r w:rsidR="0091729E" w:rsidRPr="009118AB">
        <w:t xml:space="preserve"> und </w:t>
      </w:r>
      <w:r w:rsidR="0091729E" w:rsidRPr="009118AB">
        <w:rPr>
          <w:i/>
          <w:iCs/>
        </w:rPr>
        <w:t>b)</w:t>
      </w:r>
      <w:r w:rsidR="0091729E" w:rsidRPr="009118AB">
        <w:t>,</w:t>
      </w:r>
      <w:r w:rsidR="0074278D" w:rsidRPr="009118AB">
        <w:t>]</w:t>
      </w:r>
      <w:r w:rsidRPr="009118AB">
        <w:t>]</w:t>
      </w:r>
    </w:p>
    <w:p w14:paraId="6AF422AE" w14:textId="77777777" w:rsidR="00377828" w:rsidRPr="009118AB" w:rsidRDefault="00377828" w:rsidP="00377828">
      <w:pPr>
        <w:jc w:val="both"/>
      </w:pPr>
    </w:p>
    <w:p w14:paraId="32E35570" w14:textId="77777777" w:rsidR="00377828" w:rsidRPr="009118AB" w:rsidRDefault="00377828" w:rsidP="00377828">
      <w:pPr>
        <w:ind w:firstLine="708"/>
        <w:jc w:val="both"/>
      </w:pPr>
      <w:r w:rsidRPr="009118AB">
        <w:t>12. "spontanem Austausch": die nicht systematische Übermittlung von Informationen zu jeder Zeit an einen anderen Mitgliedstaat ohne dessen vorheriges Ersuchen,</w:t>
      </w:r>
    </w:p>
    <w:p w14:paraId="565176A3" w14:textId="77777777" w:rsidR="00377828" w:rsidRPr="009118AB" w:rsidRDefault="00377828" w:rsidP="00377828">
      <w:pPr>
        <w:jc w:val="both"/>
      </w:pPr>
    </w:p>
    <w:p w14:paraId="0E4139F6" w14:textId="77777777" w:rsidR="00377828" w:rsidRPr="009118AB" w:rsidRDefault="00377828" w:rsidP="00377828">
      <w:pPr>
        <w:ind w:firstLine="708"/>
        <w:jc w:val="both"/>
      </w:pPr>
      <w:r w:rsidRPr="009118AB">
        <w:t>13. "Person":</w:t>
      </w:r>
    </w:p>
    <w:p w14:paraId="775957AC" w14:textId="77777777" w:rsidR="00377828" w:rsidRPr="009118AB" w:rsidRDefault="00377828" w:rsidP="00377828">
      <w:pPr>
        <w:jc w:val="both"/>
      </w:pPr>
    </w:p>
    <w:p w14:paraId="3985625D" w14:textId="77777777" w:rsidR="00377828" w:rsidRPr="009118AB" w:rsidRDefault="00377828" w:rsidP="00377828">
      <w:pPr>
        <w:ind w:firstLine="708"/>
        <w:jc w:val="both"/>
      </w:pPr>
      <w:r w:rsidRPr="009118AB">
        <w:rPr>
          <w:i/>
        </w:rPr>
        <w:t>a)</w:t>
      </w:r>
      <w:r w:rsidRPr="009118AB">
        <w:t> eine natürliche Person,</w:t>
      </w:r>
    </w:p>
    <w:p w14:paraId="4D1B4D72" w14:textId="77777777" w:rsidR="00377828" w:rsidRPr="009118AB" w:rsidRDefault="00377828" w:rsidP="00377828">
      <w:pPr>
        <w:jc w:val="both"/>
      </w:pPr>
    </w:p>
    <w:p w14:paraId="2B76E914" w14:textId="77777777" w:rsidR="00377828" w:rsidRPr="009118AB" w:rsidRDefault="00377828" w:rsidP="00377828">
      <w:pPr>
        <w:ind w:firstLine="708"/>
        <w:jc w:val="both"/>
      </w:pPr>
      <w:r w:rsidRPr="009118AB">
        <w:rPr>
          <w:i/>
        </w:rPr>
        <w:t>b)</w:t>
      </w:r>
      <w:r w:rsidRPr="009118AB">
        <w:t xml:space="preserve"> eine juristische Person, </w:t>
      </w:r>
    </w:p>
    <w:p w14:paraId="0BD875DE" w14:textId="77777777" w:rsidR="00377828" w:rsidRPr="009118AB" w:rsidRDefault="00377828" w:rsidP="00377828">
      <w:pPr>
        <w:jc w:val="both"/>
      </w:pPr>
    </w:p>
    <w:p w14:paraId="0A2E71B6" w14:textId="77777777" w:rsidR="00377828" w:rsidRPr="009118AB" w:rsidRDefault="00377828" w:rsidP="00377828">
      <w:pPr>
        <w:ind w:firstLine="708"/>
        <w:jc w:val="both"/>
      </w:pPr>
      <w:r w:rsidRPr="009118AB">
        <w:rPr>
          <w:i/>
        </w:rPr>
        <w:t>c)</w:t>
      </w:r>
      <w:r w:rsidRPr="009118AB">
        <w:t> sofern diese Möglichkeit nach den geltenden Rechtsvorschriften besteht, eine Personenvereinigung, der die Rechtsfähigkeit zuerkannt wurde, die aber nicht über die Rechtsstellung einer juristischen Person verfügt, oder</w:t>
      </w:r>
    </w:p>
    <w:p w14:paraId="32CCFF1A" w14:textId="77777777" w:rsidR="00377828" w:rsidRPr="009118AB" w:rsidRDefault="00377828" w:rsidP="00377828">
      <w:pPr>
        <w:jc w:val="both"/>
      </w:pPr>
    </w:p>
    <w:p w14:paraId="7D6353D2" w14:textId="4F67E6A0" w:rsidR="00377828" w:rsidRPr="009118AB" w:rsidRDefault="00377828" w:rsidP="00377828">
      <w:pPr>
        <w:ind w:firstLine="708"/>
        <w:jc w:val="both"/>
      </w:pPr>
      <w:r w:rsidRPr="009118AB">
        <w:rPr>
          <w:i/>
        </w:rPr>
        <w:t>d)</w:t>
      </w:r>
      <w:r w:rsidRPr="009118AB">
        <w:t> alle anderen Rechtsvereinbarungen gleich welcher Art und Form</w:t>
      </w:r>
      <w:r w:rsidR="00D67EB8" w:rsidRPr="009118AB">
        <w:t> - </w:t>
      </w:r>
      <w:r w:rsidRPr="009118AB">
        <w:t>mit oder ohne Rechtspersönlichkeit</w:t>
      </w:r>
      <w:r w:rsidR="00FD68E8" w:rsidRPr="009118AB">
        <w:t> -,</w:t>
      </w:r>
      <w:r w:rsidRPr="009118AB">
        <w:t xml:space="preserve"> die Vermögensgegenstände besitzen oder verwalten, die einschließlich der daraus erzielten Einkünfte einer der von der Richtlinie erfassten Steuern unterliegen,</w:t>
      </w:r>
    </w:p>
    <w:p w14:paraId="66939526" w14:textId="77777777" w:rsidR="00377828" w:rsidRPr="009118AB" w:rsidRDefault="00377828" w:rsidP="00377828">
      <w:pPr>
        <w:jc w:val="both"/>
      </w:pPr>
    </w:p>
    <w:p w14:paraId="46CDC85E" w14:textId="77777777" w:rsidR="00377828" w:rsidRPr="009118AB" w:rsidRDefault="00377828" w:rsidP="00377828">
      <w:pPr>
        <w:ind w:firstLine="708"/>
        <w:jc w:val="both"/>
      </w:pPr>
      <w:r w:rsidRPr="009118AB">
        <w:t>14. "auf elektronischem Wege": die Verwendung elektronischer Anlagen zur Verarbeitung, einschließlich der Datenkomprimierung, und zum Speichern von Daten und unter Einsatz von Draht, Funk, optischer Technologien oder anderer elektromagnetischer Verfahren,</w:t>
      </w:r>
    </w:p>
    <w:p w14:paraId="5F8C97C3" w14:textId="77777777" w:rsidR="00377828" w:rsidRPr="009118AB" w:rsidRDefault="00377828" w:rsidP="00377828">
      <w:pPr>
        <w:jc w:val="both"/>
      </w:pPr>
    </w:p>
    <w:p w14:paraId="2FA6F6F9" w14:textId="77777777" w:rsidR="00377828" w:rsidRPr="009118AB" w:rsidRDefault="00377828" w:rsidP="00377828">
      <w:pPr>
        <w:ind w:firstLine="708"/>
        <w:jc w:val="both"/>
      </w:pPr>
      <w:r w:rsidRPr="009118AB">
        <w:t>15. "CCN-Netz": die gemeinsame Plattform auf der Grundlage des Gemeinsamen Kommunikationsnetzes, die von der Europäischen Union für jegliche elektronische Datenübertragung zwischen den zuständigen Behörden im Bereich Zo</w:t>
      </w:r>
      <w:r w:rsidR="00B20510" w:rsidRPr="009118AB">
        <w:t>ll und Steuern entwickelt wurde,</w:t>
      </w:r>
    </w:p>
    <w:p w14:paraId="335D6DD9" w14:textId="77777777" w:rsidR="00B20510" w:rsidRPr="009118AB" w:rsidRDefault="00B20510" w:rsidP="00377828">
      <w:pPr>
        <w:ind w:firstLine="708"/>
        <w:jc w:val="both"/>
      </w:pPr>
    </w:p>
    <w:p w14:paraId="224BEAEF" w14:textId="77777777" w:rsidR="00B20510" w:rsidRPr="009118AB" w:rsidRDefault="00B20510" w:rsidP="00B20510">
      <w:pPr>
        <w:ind w:firstLine="708"/>
        <w:jc w:val="both"/>
      </w:pPr>
      <w:r w:rsidRPr="009118AB">
        <w:t>[16. "grenzüberschreitendem Vorbescheid": eine Vereinbarung, eine Mitteilung oder ein anderes Instrument oder eine andere Maßnahme mit ähnlicher Wirkung, auch wenn sie beziehungsweise es im Zuge einer Steuerprüfung erteilt beziehungsweise getroffen, geändert oder erneuert wird, sofern sie beziehungsweise es die folgenden kumulativen Voraussetzungen erfüllt:</w:t>
      </w:r>
    </w:p>
    <w:p w14:paraId="5580A924" w14:textId="77777777" w:rsidR="00B20510" w:rsidRPr="009118AB" w:rsidRDefault="00B20510" w:rsidP="00B20510">
      <w:pPr>
        <w:jc w:val="both"/>
      </w:pPr>
    </w:p>
    <w:p w14:paraId="43E5AD82" w14:textId="77777777" w:rsidR="00B20510" w:rsidRPr="009118AB" w:rsidRDefault="00B20510" w:rsidP="00B20510">
      <w:pPr>
        <w:ind w:firstLine="708"/>
        <w:jc w:val="both"/>
      </w:pPr>
      <w:r w:rsidRPr="009118AB">
        <w:rPr>
          <w:i/>
        </w:rPr>
        <w:t>a)</w:t>
      </w:r>
      <w:r w:rsidRPr="009118AB">
        <w:t> Sie beziehungsweise es wird vom FÖD Finanzen erteilt beziehungsweise getroffen, geändert oder erneuert, unabhängig davon, ob dieser Bescheid tatsächlich verwendet wird.</w:t>
      </w:r>
    </w:p>
    <w:p w14:paraId="5D3E2F7D" w14:textId="77777777" w:rsidR="00B20510" w:rsidRPr="009118AB" w:rsidRDefault="00B20510" w:rsidP="00B20510">
      <w:pPr>
        <w:jc w:val="both"/>
      </w:pPr>
    </w:p>
    <w:p w14:paraId="35B0B164" w14:textId="77777777" w:rsidR="00B20510" w:rsidRPr="009118AB" w:rsidRDefault="00B20510" w:rsidP="00B20510">
      <w:pPr>
        <w:ind w:firstLine="708"/>
        <w:jc w:val="both"/>
      </w:pPr>
      <w:r w:rsidRPr="009118AB">
        <w:rPr>
          <w:i/>
        </w:rPr>
        <w:t>b)</w:t>
      </w:r>
      <w:r w:rsidRPr="009118AB">
        <w:t> Sie beziehungsweise es wird für eine bestimmte Person oder eine Gruppe von Personen erteilt beziehungsweise getroffen, geändert oder erneuert und diese Person oder Gruppe von Personen kann sich darauf berufen.</w:t>
      </w:r>
    </w:p>
    <w:p w14:paraId="56922125" w14:textId="77777777" w:rsidR="00B20510" w:rsidRPr="009118AB" w:rsidRDefault="00B20510" w:rsidP="00B20510">
      <w:pPr>
        <w:jc w:val="both"/>
      </w:pPr>
    </w:p>
    <w:p w14:paraId="3F0E5DC9" w14:textId="77777777" w:rsidR="00B20510" w:rsidRPr="009118AB" w:rsidRDefault="00B20510" w:rsidP="00B20510">
      <w:pPr>
        <w:ind w:firstLine="708"/>
        <w:jc w:val="both"/>
      </w:pPr>
      <w:r w:rsidRPr="009118AB">
        <w:rPr>
          <w:i/>
        </w:rPr>
        <w:t>c)</w:t>
      </w:r>
      <w:r w:rsidRPr="009118AB">
        <w:t> Sie beziehungsweise es betrifft die Auslegung oder Anwendung einer Gesetzes- oder Verwaltungsbestimmung zur Handhabung oder Durchsetzung des vorliegenden Gesetzbuches und der autonomen Bestimmungen in Bezug auf die Einkommensteuern.</w:t>
      </w:r>
    </w:p>
    <w:p w14:paraId="2530BD97" w14:textId="77777777" w:rsidR="00B20510" w:rsidRPr="009118AB" w:rsidRDefault="00B20510" w:rsidP="00B20510">
      <w:pPr>
        <w:jc w:val="both"/>
      </w:pPr>
    </w:p>
    <w:p w14:paraId="59E60DF7" w14:textId="77777777" w:rsidR="00B20510" w:rsidRPr="009118AB" w:rsidRDefault="00B20510" w:rsidP="00B20510">
      <w:pPr>
        <w:ind w:firstLine="708"/>
        <w:jc w:val="both"/>
      </w:pPr>
      <w:r w:rsidRPr="009118AB">
        <w:rPr>
          <w:i/>
        </w:rPr>
        <w:t>d)</w:t>
      </w:r>
      <w:r w:rsidRPr="009118AB">
        <w:t> Sie beziehungsweise es bezieht sich auf eine grenzüberschreitende Transaktion oder auf die Frage, ob durch die Tätigkeiten, denen eine Person in einem Mitgliedstaat nachgeht, eine Betriebsstätte gegründet wird oder nicht.</w:t>
      </w:r>
    </w:p>
    <w:p w14:paraId="69B29AD7" w14:textId="77777777" w:rsidR="00B20510" w:rsidRPr="009118AB" w:rsidRDefault="00B20510" w:rsidP="00B20510">
      <w:pPr>
        <w:jc w:val="both"/>
      </w:pPr>
    </w:p>
    <w:p w14:paraId="03EB0958" w14:textId="77777777" w:rsidR="00B20510" w:rsidRPr="009118AB" w:rsidRDefault="00B20510" w:rsidP="00B20510">
      <w:pPr>
        <w:ind w:firstLine="708"/>
        <w:jc w:val="both"/>
      </w:pPr>
      <w:r w:rsidRPr="009118AB">
        <w:rPr>
          <w:i/>
        </w:rPr>
        <w:t>e)</w:t>
      </w:r>
      <w:r w:rsidRPr="009118AB">
        <w:t> Sie beziehungsweise es wird vor den Transaktionen oder den Tätigkeiten in dem Mitgliedstaat, die möglicherweise als Gründung einer Betriebsstätte zu betrachten sind, oder vor Abgabe der Steuererklärung für den Zeitraum, in dem die Transaktion beziehungsweise die Transaktionen oder Tätigkeiten erfolgten, erteilt beziehungsweise getroffen,</w:t>
      </w:r>
    </w:p>
    <w:p w14:paraId="6AD22346" w14:textId="77777777" w:rsidR="00B20510" w:rsidRPr="009118AB" w:rsidRDefault="00B20510" w:rsidP="00B20510">
      <w:pPr>
        <w:jc w:val="both"/>
      </w:pPr>
    </w:p>
    <w:p w14:paraId="1AA01803" w14:textId="77777777" w:rsidR="00B20510" w:rsidRPr="009118AB" w:rsidRDefault="00B20510" w:rsidP="00B20510">
      <w:pPr>
        <w:ind w:firstLine="708"/>
        <w:jc w:val="both"/>
      </w:pPr>
      <w:r w:rsidRPr="009118AB">
        <w:t>17. "Vorabverständigung über die Verrechnungspreisgestaltung": eine Vereinbarung, eine Mitteilung oder ein anderes Instrument oder eine andere Maßnahme mit ähnlicher Wirkung, auch wenn sie beziehungsweise es im Zuge einer Steuerprüfung erteilt beziehungsweise getroffen, geändert oder erneuert wird, sofern sie beziehungsweise es die folgenden kumulativen Voraussetzungen erfüllt:</w:t>
      </w:r>
    </w:p>
    <w:p w14:paraId="0AC5EE01" w14:textId="77777777" w:rsidR="00B20510" w:rsidRPr="009118AB" w:rsidRDefault="00B20510" w:rsidP="00B20510">
      <w:pPr>
        <w:jc w:val="both"/>
      </w:pPr>
    </w:p>
    <w:p w14:paraId="664857B4" w14:textId="77777777" w:rsidR="00B20510" w:rsidRPr="009118AB" w:rsidRDefault="00B20510" w:rsidP="00B20510">
      <w:pPr>
        <w:ind w:firstLine="708"/>
        <w:jc w:val="both"/>
      </w:pPr>
      <w:r w:rsidRPr="009118AB">
        <w:rPr>
          <w:i/>
        </w:rPr>
        <w:t>a)</w:t>
      </w:r>
      <w:r w:rsidRPr="009118AB">
        <w:t> Sie beziehungsweise es wird vom FÖD Finanzen beziehungsweise im Namen des FÖD Finanzen erteilt beziehungsweise getroffen, geändert oder erneuert, unabhängig davon, ob sie tatsächlich verwendet wird.</w:t>
      </w:r>
    </w:p>
    <w:p w14:paraId="00598F34" w14:textId="77777777" w:rsidR="00B20510" w:rsidRPr="009118AB" w:rsidRDefault="00B20510" w:rsidP="00B20510">
      <w:pPr>
        <w:jc w:val="both"/>
      </w:pPr>
    </w:p>
    <w:p w14:paraId="06D76635" w14:textId="77777777" w:rsidR="00B20510" w:rsidRPr="009118AB" w:rsidRDefault="00B20510" w:rsidP="00B20510">
      <w:pPr>
        <w:ind w:firstLine="708"/>
        <w:jc w:val="both"/>
      </w:pPr>
      <w:r w:rsidRPr="009118AB">
        <w:rPr>
          <w:i/>
        </w:rPr>
        <w:t>b)</w:t>
      </w:r>
      <w:r w:rsidRPr="009118AB">
        <w:t> Sie beziehungsweise es wird für eine bestimmte Person oder eine Gruppe von Personen erteilt beziehungsweise getroffen, geändert oder erneuert und diese Person oder Gruppe von Personen kann sich darauf berufen.</w:t>
      </w:r>
    </w:p>
    <w:p w14:paraId="1078A818" w14:textId="77777777" w:rsidR="00B20510" w:rsidRPr="009118AB" w:rsidRDefault="00B20510" w:rsidP="00B20510">
      <w:pPr>
        <w:jc w:val="both"/>
      </w:pPr>
    </w:p>
    <w:p w14:paraId="7FD56258" w14:textId="77777777" w:rsidR="00B20510" w:rsidRPr="009118AB" w:rsidRDefault="00B20510" w:rsidP="00B20510">
      <w:pPr>
        <w:ind w:firstLine="708"/>
        <w:jc w:val="both"/>
      </w:pPr>
      <w:r w:rsidRPr="009118AB">
        <w:rPr>
          <w:i/>
        </w:rPr>
        <w:t>c)</w:t>
      </w:r>
      <w:r w:rsidRPr="009118AB">
        <w:t> Sie beziehungsweise es legt vor Abgabe der Steuererklärung für den Zeitraum, in dem die grenzüberschreitenden Transaktionen zwischen verbundenen Unternehmen erfolgten, geeignete Kriterien zur Bestimmung der Verrechnungspreise für die betreffenden Transaktionen fest oder regelt die Zuweisung von Gewinnen an eine Betriebsstätte.</w:t>
      </w:r>
    </w:p>
    <w:p w14:paraId="382ABF6B" w14:textId="77777777" w:rsidR="00B20510" w:rsidRPr="009118AB" w:rsidRDefault="00B20510" w:rsidP="00B20510">
      <w:pPr>
        <w:jc w:val="both"/>
      </w:pPr>
    </w:p>
    <w:p w14:paraId="5AFE4E40" w14:textId="77777777" w:rsidR="00B20510" w:rsidRPr="009118AB" w:rsidRDefault="00B20510" w:rsidP="00B20510">
      <w:pPr>
        <w:ind w:firstLine="708"/>
        <w:jc w:val="both"/>
      </w:pPr>
      <w:r w:rsidRPr="009118AB">
        <w:t>Für die Anwendung der vorliegenden Nummer handelt es sich um verbundene Unternehmen, wenn ein Unternehmen unmittelbar oder mittelbar am Kapital, an der Geschäftsleitung oder an der Kontrolle eines anderen Unternehmens beteiligt ist oder wenn dieselben Personen unmittelbar oder mittelbar am Kapital, an der Geschäftsleitung oder an der Kontrolle beider Unternehmen beteiligt sind.</w:t>
      </w:r>
    </w:p>
    <w:p w14:paraId="690CDA0B" w14:textId="77777777" w:rsidR="00B20510" w:rsidRPr="009118AB" w:rsidRDefault="00B20510" w:rsidP="00B20510">
      <w:pPr>
        <w:jc w:val="both"/>
      </w:pPr>
    </w:p>
    <w:p w14:paraId="2D15CE4F" w14:textId="77777777" w:rsidR="00B20510" w:rsidRPr="009118AB" w:rsidRDefault="00B20510" w:rsidP="00B20510">
      <w:pPr>
        <w:ind w:firstLine="708"/>
        <w:jc w:val="both"/>
      </w:pPr>
      <w:r w:rsidRPr="009118AB">
        <w:t>Verrechnungspreise sind Preise, zu denen ein Unternehmen materielle oder immaterielle Güter auf verbundene Unternehmen überträgt oder Dienstleistungen für ein verbundenes Unternehmen erbringt. Die "Bestimmung der Verrechnungspreise" ist für die Anwendung der vorliegenden Nummer in diesem Sinne zu verstehen,</w:t>
      </w:r>
    </w:p>
    <w:p w14:paraId="38987F45" w14:textId="77777777" w:rsidR="00B20510" w:rsidRPr="009118AB" w:rsidRDefault="00B20510" w:rsidP="00B20510">
      <w:pPr>
        <w:jc w:val="both"/>
      </w:pPr>
    </w:p>
    <w:p w14:paraId="4D575A59" w14:textId="2D2B67E7" w:rsidR="00B20510" w:rsidRPr="009118AB" w:rsidRDefault="00B20510" w:rsidP="00B20510">
      <w:pPr>
        <w:ind w:firstLine="708"/>
        <w:jc w:val="both"/>
      </w:pPr>
      <w:r w:rsidRPr="009118AB">
        <w:t xml:space="preserve">18. "grenzüberschreitender Transaktion" wie in </w:t>
      </w:r>
      <w:r w:rsidR="00D67EB8" w:rsidRPr="009118AB">
        <w:t>Nr. </w:t>
      </w:r>
      <w:r w:rsidRPr="009118AB">
        <w:t>16 erwähnt: eine Transaktion oder Reihe von Transaktionen, sofern sie eine oder mehrere der folgenden Voraussetzungen erfüllt:</w:t>
      </w:r>
    </w:p>
    <w:p w14:paraId="2B31F1D5" w14:textId="77777777" w:rsidR="00B20510" w:rsidRPr="009118AB" w:rsidRDefault="00B20510" w:rsidP="00B20510">
      <w:pPr>
        <w:jc w:val="both"/>
      </w:pPr>
    </w:p>
    <w:p w14:paraId="361748A1" w14:textId="77777777" w:rsidR="00B20510" w:rsidRPr="009118AB" w:rsidRDefault="00B20510" w:rsidP="00B20510">
      <w:pPr>
        <w:ind w:firstLine="708"/>
        <w:jc w:val="both"/>
      </w:pPr>
      <w:r w:rsidRPr="009118AB">
        <w:rPr>
          <w:i/>
        </w:rPr>
        <w:t>a)</w:t>
      </w:r>
      <w:r w:rsidRPr="009118AB">
        <w:t> Nicht alle an der Transaktion oder Reihe von Transaktionen beteiligten Parteien sind in Belgien steuerlich ansässig.</w:t>
      </w:r>
    </w:p>
    <w:p w14:paraId="364A1092" w14:textId="77777777" w:rsidR="00B20510" w:rsidRPr="009118AB" w:rsidRDefault="00B20510" w:rsidP="00B20510">
      <w:pPr>
        <w:jc w:val="both"/>
      </w:pPr>
    </w:p>
    <w:p w14:paraId="526A80D6" w14:textId="77777777" w:rsidR="00B20510" w:rsidRPr="009118AB" w:rsidRDefault="00B20510" w:rsidP="00B20510">
      <w:pPr>
        <w:ind w:firstLine="708"/>
        <w:jc w:val="both"/>
      </w:pPr>
      <w:r w:rsidRPr="009118AB">
        <w:rPr>
          <w:i/>
        </w:rPr>
        <w:t>b)</w:t>
      </w:r>
      <w:r w:rsidRPr="009118AB">
        <w:t> Eine der an der Transaktion oder Reihe von Transaktionen beteiligten Parteien ist gleichzeitig in mehreren Rechtsräumen steuerlich ansässig.</w:t>
      </w:r>
    </w:p>
    <w:p w14:paraId="5ADD7CBD" w14:textId="77777777" w:rsidR="00B20510" w:rsidRPr="009118AB" w:rsidRDefault="00B20510" w:rsidP="00B20510">
      <w:pPr>
        <w:jc w:val="both"/>
      </w:pPr>
    </w:p>
    <w:p w14:paraId="7E07472F" w14:textId="77777777" w:rsidR="00B20510" w:rsidRPr="009118AB" w:rsidRDefault="00B20510" w:rsidP="00B20510">
      <w:pPr>
        <w:ind w:firstLine="708"/>
        <w:jc w:val="both"/>
      </w:pPr>
      <w:r w:rsidRPr="009118AB">
        <w:rPr>
          <w:i/>
        </w:rPr>
        <w:t>c)</w:t>
      </w:r>
      <w:r w:rsidRPr="009118AB">
        <w:t> Eine der an der Transaktion oder Reihe von Transaktionen beteiligten Parteien geht über eine Betriebsstätte Geschäftstätigkeiten in einem anderen Rechtsraum nach und die Transaktion oder Reihe von Transaktionen ist Teil der Geschäftstätigkeiten der Betriebsstätte oder macht deren gesamte Geschäftstätigkeiten aus. Bei einer grenzüberschreitenden Transaktion oder Reihe von grenzüberschreitenden Transaktionen kann es sich auch um Vorkehrungen handeln, die von einer Person in Bezug auf Geschäftstätigkeiten in einem anderen Rechtsraum getroffen werden, denen sie über eine Betriebsstätte nachgeht.</w:t>
      </w:r>
    </w:p>
    <w:p w14:paraId="7842BED2" w14:textId="77777777" w:rsidR="00B20510" w:rsidRPr="009118AB" w:rsidRDefault="00B20510" w:rsidP="00B20510">
      <w:pPr>
        <w:jc w:val="both"/>
      </w:pPr>
    </w:p>
    <w:p w14:paraId="339F7C18" w14:textId="77777777" w:rsidR="00B20510" w:rsidRPr="009118AB" w:rsidRDefault="00B20510" w:rsidP="00B20510">
      <w:pPr>
        <w:ind w:firstLine="708"/>
        <w:jc w:val="both"/>
      </w:pPr>
      <w:r w:rsidRPr="009118AB">
        <w:rPr>
          <w:i/>
        </w:rPr>
        <w:t>d)</w:t>
      </w:r>
      <w:r w:rsidRPr="009118AB">
        <w:t> Es handelt sich um eine Transaktion oder Reihe von Transaktionen, die grenzübergreifende Auswirkungen haben,</w:t>
      </w:r>
    </w:p>
    <w:p w14:paraId="08687DAA" w14:textId="77777777" w:rsidR="00B20510" w:rsidRPr="009118AB" w:rsidRDefault="00B20510" w:rsidP="00B20510">
      <w:pPr>
        <w:jc w:val="both"/>
      </w:pPr>
    </w:p>
    <w:p w14:paraId="2BA9872D" w14:textId="61A1449D" w:rsidR="00B20510" w:rsidRPr="009118AB" w:rsidRDefault="00B20510" w:rsidP="00B20510">
      <w:pPr>
        <w:ind w:firstLine="708"/>
        <w:jc w:val="both"/>
      </w:pPr>
      <w:r w:rsidRPr="009118AB">
        <w:t xml:space="preserve">19. "grenzüberschreitender Transaktion" wie in </w:t>
      </w:r>
      <w:r w:rsidR="00D67EB8" w:rsidRPr="009118AB">
        <w:t>Nr. </w:t>
      </w:r>
      <w:r w:rsidRPr="009118AB">
        <w:t>17 erwähnt: eine Transaktion oder Reihe von Transaktionen, an denen verbundene Unternehmen beteiligt sind, die nicht alle im Gebiet ein und desselben Rechtsraums steuerlich ansässig sind, oder eine Transaktion oder Reihe von Transaktionen, die grenzübergreifende Auswirkungen haben,</w:t>
      </w:r>
    </w:p>
    <w:p w14:paraId="21B38777" w14:textId="77777777" w:rsidR="00B20510" w:rsidRPr="009118AB" w:rsidRDefault="00B20510" w:rsidP="00B20510">
      <w:pPr>
        <w:jc w:val="both"/>
      </w:pPr>
    </w:p>
    <w:p w14:paraId="7F60A9F5" w14:textId="42DCB696" w:rsidR="00B20510" w:rsidRPr="009118AB" w:rsidRDefault="00B20510" w:rsidP="00B20510">
      <w:pPr>
        <w:ind w:firstLine="708"/>
        <w:jc w:val="both"/>
      </w:pPr>
      <w:r w:rsidRPr="009118AB">
        <w:t>20. "Unternehmen" wie in den Nummern 17 und 19 erwähnt: jede Form von Geschäft</w:t>
      </w:r>
      <w:r w:rsidR="0074278D" w:rsidRPr="009118AB">
        <w:t>stätigkeit in Form einer Person,</w:t>
      </w:r>
      <w:r w:rsidRPr="009118AB">
        <w:t>]</w:t>
      </w:r>
    </w:p>
    <w:p w14:paraId="28557149" w14:textId="70E7BA5C" w:rsidR="0074278D" w:rsidRPr="009118AB" w:rsidRDefault="0074278D" w:rsidP="00B20510">
      <w:pPr>
        <w:ind w:firstLine="708"/>
        <w:jc w:val="both"/>
      </w:pPr>
    </w:p>
    <w:p w14:paraId="5F7DE165" w14:textId="5A5E5641" w:rsidR="0074278D" w:rsidRPr="009118AB" w:rsidRDefault="0074278D" w:rsidP="0074278D">
      <w:pPr>
        <w:ind w:firstLine="708"/>
        <w:jc w:val="both"/>
      </w:pPr>
      <w:r w:rsidRPr="009118AB">
        <w:t xml:space="preserve">[21. "verbundenem Unternehmen" für die Anwendung von </w:t>
      </w:r>
      <w:r w:rsidR="00D67EB8" w:rsidRPr="009118AB">
        <w:t>§ </w:t>
      </w:r>
      <w:r w:rsidRPr="009118AB">
        <w:t>6/4 und der Artikel 326/1 bis 326/9: eine Person, die mit einer anderen Person auf mindestens eine der folgenden Arten verbunden ist:</w:t>
      </w:r>
    </w:p>
    <w:p w14:paraId="7B3CD6C0" w14:textId="77777777" w:rsidR="0074278D" w:rsidRPr="009118AB" w:rsidRDefault="0074278D" w:rsidP="0074278D">
      <w:pPr>
        <w:jc w:val="both"/>
      </w:pPr>
    </w:p>
    <w:p w14:paraId="680775A4" w14:textId="77777777" w:rsidR="0074278D" w:rsidRPr="009118AB" w:rsidRDefault="0074278D" w:rsidP="0074278D">
      <w:pPr>
        <w:ind w:firstLine="708"/>
        <w:jc w:val="both"/>
      </w:pPr>
      <w:r w:rsidRPr="009118AB">
        <w:rPr>
          <w:i/>
          <w:iCs/>
        </w:rPr>
        <w:t>a)</w:t>
      </w:r>
      <w:r w:rsidRPr="009118AB">
        <w:t> Eine Person ist an der Geschäftsleitung einer anderen Person insofern beteiligt, als sie erheblichen Einfluss auf diese ausüben kann.</w:t>
      </w:r>
    </w:p>
    <w:p w14:paraId="0138F205" w14:textId="77777777" w:rsidR="0074278D" w:rsidRPr="009118AB" w:rsidRDefault="0074278D" w:rsidP="0074278D">
      <w:pPr>
        <w:jc w:val="both"/>
      </w:pPr>
    </w:p>
    <w:p w14:paraId="00A94A57" w14:textId="77777777" w:rsidR="0074278D" w:rsidRPr="009118AB" w:rsidRDefault="0074278D" w:rsidP="0074278D">
      <w:pPr>
        <w:ind w:firstLine="708"/>
        <w:jc w:val="both"/>
      </w:pPr>
      <w:r w:rsidRPr="009118AB">
        <w:rPr>
          <w:i/>
          <w:iCs/>
        </w:rPr>
        <w:t>b)</w:t>
      </w:r>
      <w:r w:rsidRPr="009118AB">
        <w:t> Eine Person ist über einer Beteiligung von mehr als 25 Prozent der Stimmrechte an der Kontrolle einer anderen Person beteiligt.</w:t>
      </w:r>
    </w:p>
    <w:p w14:paraId="799598A3" w14:textId="77777777" w:rsidR="0074278D" w:rsidRPr="009118AB" w:rsidRDefault="0074278D" w:rsidP="0074278D">
      <w:pPr>
        <w:jc w:val="both"/>
      </w:pPr>
    </w:p>
    <w:p w14:paraId="7B0D90EB" w14:textId="77777777" w:rsidR="0074278D" w:rsidRPr="009118AB" w:rsidRDefault="0074278D" w:rsidP="0074278D">
      <w:pPr>
        <w:ind w:firstLine="708"/>
        <w:jc w:val="both"/>
      </w:pPr>
      <w:r w:rsidRPr="009118AB">
        <w:rPr>
          <w:i/>
          <w:iCs/>
        </w:rPr>
        <w:t>c)</w:t>
      </w:r>
      <w:r w:rsidRPr="009118AB">
        <w:t> Eine Person ist über ein Eigentumsrecht, das unmittelbar oder mittelbar mehr als 25 Prozent des Kapitals beträgt, am Kapital einer anderen Person beteiligt.</w:t>
      </w:r>
    </w:p>
    <w:p w14:paraId="527D8806" w14:textId="77777777" w:rsidR="0074278D" w:rsidRPr="009118AB" w:rsidRDefault="0074278D" w:rsidP="0074278D">
      <w:pPr>
        <w:jc w:val="both"/>
      </w:pPr>
    </w:p>
    <w:p w14:paraId="34D82360" w14:textId="0BC6E559" w:rsidR="0074278D" w:rsidRPr="009118AB" w:rsidRDefault="0074278D" w:rsidP="0074278D">
      <w:pPr>
        <w:ind w:firstLine="708"/>
        <w:jc w:val="both"/>
      </w:pPr>
      <w:r w:rsidRPr="009118AB">
        <w:rPr>
          <w:i/>
          <w:iCs/>
        </w:rPr>
        <w:t>d)</w:t>
      </w:r>
      <w:r w:rsidRPr="009118AB">
        <w:t> Eine Person hat Anspruch auf mindestens 25 Prozent der Gewinne einer anderen Person</w:t>
      </w:r>
      <w:r w:rsidR="0091729E" w:rsidRPr="009118AB">
        <w:t>,</w:t>
      </w:r>
    </w:p>
    <w:p w14:paraId="4525E6DC" w14:textId="77777777" w:rsidR="0091729E" w:rsidRPr="009118AB" w:rsidRDefault="0091729E" w:rsidP="0074278D">
      <w:pPr>
        <w:ind w:firstLine="708"/>
        <w:jc w:val="both"/>
      </w:pPr>
    </w:p>
    <w:p w14:paraId="28C50495" w14:textId="77777777" w:rsidR="0074278D" w:rsidRPr="009118AB" w:rsidRDefault="0074278D" w:rsidP="0074278D">
      <w:pPr>
        <w:ind w:firstLine="708"/>
        <w:jc w:val="both"/>
      </w:pPr>
      <w:r w:rsidRPr="009118AB">
        <w:t>Falls mehr als eine Person gemäß den Buchstaben </w:t>
      </w:r>
      <w:r w:rsidRPr="009118AB">
        <w:rPr>
          <w:i/>
          <w:iCs/>
        </w:rPr>
        <w:t>a)</w:t>
      </w:r>
      <w:r w:rsidRPr="009118AB">
        <w:t xml:space="preserve"> bis </w:t>
      </w:r>
      <w:r w:rsidRPr="009118AB">
        <w:rPr>
          <w:i/>
          <w:iCs/>
        </w:rPr>
        <w:t>d)</w:t>
      </w:r>
      <w:r w:rsidRPr="009118AB">
        <w:t xml:space="preserve"> an der Geschäftsleitung, der Kontrolle, dem Kapital oder den Gewinnen derselben Person beteiligt ist, gelten alle betroffenen Personen als verbundene Unternehmen.</w:t>
      </w:r>
    </w:p>
    <w:p w14:paraId="294D7F21" w14:textId="77777777" w:rsidR="0074278D" w:rsidRPr="009118AB" w:rsidRDefault="0074278D" w:rsidP="0074278D">
      <w:pPr>
        <w:jc w:val="both"/>
      </w:pPr>
    </w:p>
    <w:p w14:paraId="1D12D4E8" w14:textId="77777777" w:rsidR="0074278D" w:rsidRPr="009118AB" w:rsidRDefault="0074278D" w:rsidP="0074278D">
      <w:pPr>
        <w:ind w:firstLine="708"/>
        <w:jc w:val="both"/>
      </w:pPr>
      <w:r w:rsidRPr="009118AB">
        <w:t>Falls dieselben Personen gemäß den Buchstaben </w:t>
      </w:r>
      <w:r w:rsidRPr="009118AB">
        <w:rPr>
          <w:i/>
          <w:iCs/>
        </w:rPr>
        <w:t>a)</w:t>
      </w:r>
      <w:r w:rsidRPr="009118AB">
        <w:t xml:space="preserve"> bis </w:t>
      </w:r>
      <w:r w:rsidRPr="009118AB">
        <w:rPr>
          <w:i/>
          <w:iCs/>
        </w:rPr>
        <w:t>d)</w:t>
      </w:r>
      <w:r w:rsidRPr="009118AB">
        <w:t xml:space="preserve"> an der Geschäftsleitung, der Kontrolle, dem Kapital oder den Gewinnen von mehr als einer Person beteiligt sind, gelten alle betroffenen Personen als verbundene Unternehmen.</w:t>
      </w:r>
    </w:p>
    <w:p w14:paraId="767E796E" w14:textId="77777777" w:rsidR="0074278D" w:rsidRPr="009118AB" w:rsidRDefault="0074278D" w:rsidP="0074278D">
      <w:pPr>
        <w:jc w:val="both"/>
      </w:pPr>
    </w:p>
    <w:p w14:paraId="6D057728" w14:textId="77777777" w:rsidR="0074278D" w:rsidRPr="009118AB" w:rsidRDefault="0074278D" w:rsidP="0074278D">
      <w:pPr>
        <w:ind w:firstLine="708"/>
        <w:jc w:val="both"/>
      </w:pPr>
      <w:r w:rsidRPr="009118AB">
        <w:t>Für die Zwecke der vorliegenden Nummer wird eine Person, die in Bezug auf die Stimmrechte oder die Kapitalbeteiligung an einem Unternehmen gemeinsam mit einer anderen Person handelt, so behandelt, als würde sie eine Beteiligung an allen Stimmrechten oder dem gesamten Kapital dieses Unternehmens halten, die beziehungsweise das von der anderen Person gehalten werden/wird.</w:t>
      </w:r>
    </w:p>
    <w:p w14:paraId="05B91FAA" w14:textId="77777777" w:rsidR="0074278D" w:rsidRPr="009118AB" w:rsidRDefault="0074278D" w:rsidP="0074278D">
      <w:pPr>
        <w:jc w:val="both"/>
      </w:pPr>
    </w:p>
    <w:p w14:paraId="2A00600D" w14:textId="77777777" w:rsidR="0074278D" w:rsidRPr="009118AB" w:rsidRDefault="0074278D" w:rsidP="0074278D">
      <w:pPr>
        <w:ind w:firstLine="708"/>
        <w:jc w:val="both"/>
      </w:pPr>
      <w:r w:rsidRPr="009118AB">
        <w:t>Bei mittelbaren Beteiligungen wird die Erfüllung der Anforderungen gemäß Buch</w:t>
      </w:r>
      <w:r w:rsidRPr="009118AB">
        <w:softHyphen/>
        <w:t>stabe </w:t>
      </w:r>
      <w:r w:rsidRPr="009118AB">
        <w:rPr>
          <w:i/>
          <w:iCs/>
        </w:rPr>
        <w:t>c)</w:t>
      </w:r>
      <w:r w:rsidRPr="009118AB">
        <w:t xml:space="preserve"> durch Multiplikation der Beteiligungsquoten an den nachgeordneten Unternehmen ermittelt.</w:t>
      </w:r>
      <w:r w:rsidRPr="009118AB">
        <w:rPr>
          <w:i/>
          <w:iCs/>
        </w:rPr>
        <w:t xml:space="preserve"> </w:t>
      </w:r>
      <w:r w:rsidRPr="009118AB">
        <w:t>Eine Person mit einer Stimmrechtsbeteiligung von mehr als 50 Prozent gilt als Halter von 100 Prozent der Stimmrechte.</w:t>
      </w:r>
    </w:p>
    <w:p w14:paraId="6B719B67" w14:textId="77777777" w:rsidR="0074278D" w:rsidRPr="009118AB" w:rsidRDefault="0074278D" w:rsidP="0074278D">
      <w:pPr>
        <w:jc w:val="both"/>
      </w:pPr>
    </w:p>
    <w:p w14:paraId="04E54826" w14:textId="656FAA52" w:rsidR="0074278D" w:rsidRPr="009118AB" w:rsidRDefault="0074278D" w:rsidP="0074278D">
      <w:pPr>
        <w:ind w:firstLine="708"/>
        <w:jc w:val="both"/>
      </w:pPr>
      <w:r w:rsidRPr="009118AB">
        <w:t>Eine natürliche Person, ihr Ehepartner und ihre Verwandten in gerader aufsteigender oder gerader absteigender Linie werden als eine einzige Person behandelt</w:t>
      </w:r>
      <w:r w:rsidR="007F08D3" w:rsidRPr="009118AB">
        <w:t>,</w:t>
      </w:r>
      <w:r w:rsidRPr="009118AB">
        <w:t>]</w:t>
      </w:r>
    </w:p>
    <w:p w14:paraId="60CEE994" w14:textId="77777777" w:rsidR="007F08D3" w:rsidRPr="009118AB" w:rsidRDefault="007F08D3" w:rsidP="0074278D">
      <w:pPr>
        <w:ind w:firstLine="708"/>
        <w:jc w:val="both"/>
      </w:pPr>
    </w:p>
    <w:p w14:paraId="360A077A" w14:textId="77777777" w:rsidR="007F08D3" w:rsidRPr="009118AB" w:rsidRDefault="007F08D3" w:rsidP="007F08D3">
      <w:pPr>
        <w:ind w:firstLine="708"/>
        <w:jc w:val="both"/>
      </w:pPr>
      <w:r w:rsidRPr="009118AB">
        <w:t>[22. "gemeinsamer Prüfung": behördliche Ermittlungen, die gemeinsam von den zuständigen Behörden von zwei oder mehr Mitgliedstaaten und in Bezug auf eine oder mehrere Personen von gemeinsamem oder ergänzendem Interesse für die zuständigen Behörden dieser Mitgliedstaaten durchgeführt werden,</w:t>
      </w:r>
    </w:p>
    <w:p w14:paraId="39CD9B67" w14:textId="77777777" w:rsidR="007F08D3" w:rsidRPr="009118AB" w:rsidRDefault="007F08D3" w:rsidP="007F08D3">
      <w:pPr>
        <w:jc w:val="both"/>
      </w:pPr>
    </w:p>
    <w:p w14:paraId="44FCEC82" w14:textId="6B73F1AD" w:rsidR="007F08D3" w:rsidRPr="009118AB" w:rsidRDefault="007F08D3" w:rsidP="007F08D3">
      <w:pPr>
        <w:ind w:firstLine="708"/>
        <w:jc w:val="both"/>
      </w:pPr>
      <w:r w:rsidRPr="009118AB">
        <w:tab/>
        <w:t>23. "Verletzung des Datenschutzes": eine Sicherheitsverletzung, die infolge vorsätzlicher rechtswidriger Handlungen, einer Fahrlässigkeit oder eines Unfalls zur Vernichtung, zum Verlust oder zur Veränderung von Informationen oder zu einem Vorfall des unangemessenen oder unbefugten Zugangs zu beziehungsweise der unangemessenen oder unbefugten Offenlegung oder Nutzung von Informationen, unter anderem von übermittelten, gespeicherten oder auf sonstige Weise verarbeiteten personenbezogenen Daten, führt. Eine Verletzung des Datenschutzes kann die Vertraulichkeit, Verfügbarkeit und Integrität der Daten betreffen.]</w:t>
      </w:r>
    </w:p>
    <w:p w14:paraId="3A651204" w14:textId="77777777" w:rsidR="00377828" w:rsidRPr="009118AB" w:rsidRDefault="00377828" w:rsidP="00377828">
      <w:pPr>
        <w:jc w:val="both"/>
      </w:pPr>
    </w:p>
    <w:p w14:paraId="52710097" w14:textId="249AABAB" w:rsidR="00377828" w:rsidRPr="009118AB" w:rsidRDefault="00D67EB8" w:rsidP="00377828">
      <w:pPr>
        <w:ind w:firstLine="708"/>
        <w:jc w:val="both"/>
      </w:pPr>
      <w:r w:rsidRPr="009118AB">
        <w:t>§ </w:t>
      </w:r>
      <w:r w:rsidR="00377828" w:rsidRPr="009118AB">
        <w:t>3</w:t>
      </w:r>
      <w:r w:rsidRPr="009118AB">
        <w:t> - </w:t>
      </w:r>
      <w:r w:rsidR="00377828" w:rsidRPr="009118AB">
        <w:t>Die belgische zuständige Behörde tauscht mit den ausländischen zuständigen Behörden Informationen aus.</w:t>
      </w:r>
    </w:p>
    <w:p w14:paraId="5430723A" w14:textId="77777777" w:rsidR="00377828" w:rsidRPr="009118AB" w:rsidRDefault="00377828" w:rsidP="00377828">
      <w:pPr>
        <w:jc w:val="both"/>
      </w:pPr>
    </w:p>
    <w:p w14:paraId="619AFEF3" w14:textId="2BFFBE85" w:rsidR="00377828" w:rsidRPr="009118AB" w:rsidRDefault="00D67EB8" w:rsidP="00377828">
      <w:pPr>
        <w:ind w:firstLine="708"/>
        <w:jc w:val="both"/>
      </w:pPr>
      <w:r w:rsidRPr="009118AB">
        <w:t>§ </w:t>
      </w:r>
      <w:r w:rsidR="00377828" w:rsidRPr="009118AB">
        <w:t>4</w:t>
      </w:r>
      <w:r w:rsidRPr="009118AB">
        <w:t> - </w:t>
      </w:r>
      <w:r w:rsidR="00377828" w:rsidRPr="009118AB">
        <w:t xml:space="preserve">Die belgische zuständige Behörde kann in einem bestimmten Fall eine ausländische zuständige Behörde um Übermittlung aller in </w:t>
      </w:r>
      <w:r w:rsidRPr="009118AB">
        <w:t>§ </w:t>
      </w:r>
      <w:r w:rsidR="00377828" w:rsidRPr="009118AB">
        <w:t>1 genannten Informationen ersuchen, die diese Behörde besitzt oder die sie im Anschluss an behördliche Ermittlungen erhalten hat. Das Ersuchen kann ein begründetes Ersuchen um eine bestimmte behördliche Ermittlung enthalten.</w:t>
      </w:r>
    </w:p>
    <w:p w14:paraId="12338EFD" w14:textId="77777777" w:rsidR="00377828" w:rsidRPr="009118AB" w:rsidRDefault="00377828" w:rsidP="00377828">
      <w:pPr>
        <w:jc w:val="both"/>
      </w:pPr>
    </w:p>
    <w:p w14:paraId="5F014A2A" w14:textId="77777777" w:rsidR="00377828" w:rsidRPr="009118AB" w:rsidRDefault="00377828" w:rsidP="00377828">
      <w:pPr>
        <w:ind w:firstLine="708"/>
        <w:jc w:val="both"/>
      </w:pPr>
      <w:r w:rsidRPr="009118AB">
        <w:t>Die belgische zuständige Behörde kann die ersuchte Behörde darum bitten, ihr Urschriften zu übermitteln.</w:t>
      </w:r>
    </w:p>
    <w:p w14:paraId="4F870752" w14:textId="77777777" w:rsidR="00377828" w:rsidRPr="009118AB" w:rsidRDefault="00377828" w:rsidP="00377828">
      <w:pPr>
        <w:jc w:val="both"/>
      </w:pPr>
    </w:p>
    <w:p w14:paraId="0A30BB5F" w14:textId="7128016A" w:rsidR="00377828" w:rsidRPr="009118AB" w:rsidRDefault="00D67EB8" w:rsidP="00377828">
      <w:pPr>
        <w:ind w:firstLine="708"/>
        <w:jc w:val="both"/>
      </w:pPr>
      <w:r w:rsidRPr="009118AB">
        <w:t>§ </w:t>
      </w:r>
      <w:r w:rsidR="00377828" w:rsidRPr="009118AB">
        <w:t>5</w:t>
      </w:r>
      <w:r w:rsidRPr="009118AB">
        <w:t> - </w:t>
      </w:r>
      <w:r w:rsidR="00377828" w:rsidRPr="009118AB">
        <w:t xml:space="preserve">Die belgische zuständige Behörde übermittelt einer ausländischen zuständigen Behörde, die in einem bestimmten Fall darum ersucht, alle in </w:t>
      </w:r>
      <w:r w:rsidRPr="009118AB">
        <w:t>§ </w:t>
      </w:r>
      <w:r w:rsidR="00377828" w:rsidRPr="009118AB">
        <w:t>1 genannten Informationen, die sie besitzt oder die sie im Anschluss an die Durchführung behördlicher Ermittlungen erhalten hat, die zur Beschaffung dieser Informationen notwendig waren.</w:t>
      </w:r>
    </w:p>
    <w:p w14:paraId="0A90D22E" w14:textId="77777777" w:rsidR="00377828" w:rsidRPr="009118AB" w:rsidRDefault="00377828" w:rsidP="00377828">
      <w:pPr>
        <w:jc w:val="both"/>
      </w:pPr>
    </w:p>
    <w:p w14:paraId="70DBD7B2" w14:textId="77777777" w:rsidR="00377828" w:rsidRPr="009118AB" w:rsidRDefault="00377828" w:rsidP="00377828">
      <w:pPr>
        <w:ind w:firstLine="708"/>
        <w:jc w:val="both"/>
      </w:pPr>
      <w:r w:rsidRPr="009118AB">
        <w:t>Ist die belgische zuständige Behörde der Auffassung, dass keine behördlichen Ermittlungen erforderlich sind, so teilt sie der ersuchenden Behörde die Gründe hierfür mit.</w:t>
      </w:r>
    </w:p>
    <w:p w14:paraId="3CEEAF37" w14:textId="77777777" w:rsidR="00377828" w:rsidRPr="009118AB" w:rsidRDefault="00377828" w:rsidP="00377828">
      <w:pPr>
        <w:jc w:val="both"/>
      </w:pPr>
    </w:p>
    <w:p w14:paraId="2BC4AC05" w14:textId="77777777" w:rsidR="00377828" w:rsidRPr="009118AB" w:rsidRDefault="00377828" w:rsidP="00377828">
      <w:pPr>
        <w:ind w:firstLine="708"/>
        <w:jc w:val="both"/>
      </w:pPr>
      <w:r w:rsidRPr="009118AB">
        <w:t>Zur Beschaffung der erbetenen Informationen oder zur Durchführung der erbetenen behördlichen Ermittlungen geht die belgische zuständige Behörde nach denselben Verfahren vor, die sie anwenden würde, wenn sie von sich aus oder auf Ersuchen einer anderen belgischen Behörde handeln würde.</w:t>
      </w:r>
    </w:p>
    <w:p w14:paraId="330809E5" w14:textId="77777777" w:rsidR="00377828" w:rsidRPr="009118AB" w:rsidRDefault="00377828" w:rsidP="00377828">
      <w:pPr>
        <w:jc w:val="both"/>
      </w:pPr>
    </w:p>
    <w:p w14:paraId="56705402" w14:textId="77777777" w:rsidR="00377828" w:rsidRPr="009118AB" w:rsidRDefault="00377828" w:rsidP="00377828">
      <w:pPr>
        <w:ind w:firstLine="708"/>
        <w:jc w:val="both"/>
      </w:pPr>
      <w:r w:rsidRPr="009118AB">
        <w:t>Die belgische zuständige Behörde übermittelt Urschriften, sofern die ersuchende Behörde eigens darum bittet und die belgischen Rechtsvorschriften dem nicht entgegenstehen.</w:t>
      </w:r>
    </w:p>
    <w:p w14:paraId="2E53A4F3" w14:textId="77777777" w:rsidR="00377828" w:rsidRPr="009118AB" w:rsidRDefault="00377828" w:rsidP="00377828">
      <w:pPr>
        <w:jc w:val="both"/>
      </w:pPr>
    </w:p>
    <w:p w14:paraId="59EBB80C" w14:textId="6CB8A062" w:rsidR="00377828" w:rsidRPr="009118AB" w:rsidRDefault="00377828" w:rsidP="00377828">
      <w:pPr>
        <w:ind w:firstLine="708"/>
        <w:jc w:val="both"/>
      </w:pPr>
      <w:r w:rsidRPr="009118AB">
        <w:t xml:space="preserve">Die belgische zuständige Behörde stellt die Informationen möglichst rasch, </w:t>
      </w:r>
      <w:r w:rsidR="0091729E" w:rsidRPr="009118AB">
        <w:t xml:space="preserve">[spätestens jedoch drei Monate] </w:t>
      </w:r>
      <w:r w:rsidRPr="009118AB">
        <w:t>nach dem Datum des Eingangs des Ersuchens zur Verfügung. Ist die belgische zuständige Behörde jedoch bereits im Besitz dieser Informationen, so werden sie innerhalb von zwei Monaten ab jenem Datum zur Verfügung gestellt. In bestimmten besonders gelagerten Fällen können zwischen der belgischen zuständigen Behörde und der ersuchenden Behörde andere Fristen vereinbart werden.</w:t>
      </w:r>
    </w:p>
    <w:p w14:paraId="43007FEC" w14:textId="77777777" w:rsidR="00377828" w:rsidRPr="009118AB" w:rsidRDefault="00377828" w:rsidP="00377828">
      <w:pPr>
        <w:jc w:val="both"/>
      </w:pPr>
    </w:p>
    <w:p w14:paraId="0538593B" w14:textId="77777777" w:rsidR="00377828" w:rsidRPr="009118AB" w:rsidRDefault="00377828" w:rsidP="00377828">
      <w:pPr>
        <w:ind w:firstLine="708"/>
        <w:jc w:val="both"/>
      </w:pPr>
      <w:r w:rsidRPr="009118AB">
        <w:t>Die belgische zuständige Behörde bestätigt der ersuchenden Behörde unverzüglich, spätestens jedoch sieben Werktage nach Erhalt des Ersuchens, möglichst auf elektronischem Wege den Erhalt dieses Ersuchens.</w:t>
      </w:r>
    </w:p>
    <w:p w14:paraId="5DC3CD67" w14:textId="77777777" w:rsidR="00377828" w:rsidRPr="009118AB" w:rsidRDefault="00377828" w:rsidP="00377828">
      <w:pPr>
        <w:jc w:val="both"/>
      </w:pPr>
    </w:p>
    <w:p w14:paraId="3BABBF43" w14:textId="77777777" w:rsidR="00377828" w:rsidRPr="009118AB" w:rsidRDefault="00377828" w:rsidP="00377828">
      <w:pPr>
        <w:ind w:firstLine="708"/>
        <w:jc w:val="both"/>
      </w:pPr>
      <w:r w:rsidRPr="009118AB">
        <w:t>Die belgische zuständige Behörde unterrichtet die ersuchende Behörde innerhalb eines Monats nach Erhalt des Ersuchens über eventuell bestehende Mängel in dem Ersuchen und gegebenenfalls erforderliche zusätzliche Hintergrundinformationen. In diesem Fall beginnt die Frist gemäß Absatz 5 am Tag des Eingangs der zusätzlichen Informationen bei der belgischen zuständigen Behörde.</w:t>
      </w:r>
    </w:p>
    <w:p w14:paraId="46D534D2" w14:textId="77777777" w:rsidR="00377828" w:rsidRPr="009118AB" w:rsidRDefault="00377828" w:rsidP="00377828">
      <w:pPr>
        <w:jc w:val="both"/>
      </w:pPr>
    </w:p>
    <w:p w14:paraId="7C584110" w14:textId="0852A46D" w:rsidR="00377828" w:rsidRPr="009118AB" w:rsidRDefault="00377828" w:rsidP="00377828">
      <w:pPr>
        <w:ind w:firstLine="708"/>
        <w:jc w:val="both"/>
      </w:pPr>
      <w:r w:rsidRPr="009118AB">
        <w:t>Ist die belgische zuständige Behörde nicht in der Lage, auf ein Ersuchen fristgerecht zu antworten, so unterrichtet sie die ersuchende Behörde unverzüglich, spätestens jedoch innerhalb von drei Monaten nach Erhalt des Ersuchens, über die Gründe, die einer fristgerechten Antwort entgegenstehen, sowie über den Zeitpunkt, an dem sie dem Ersuchen voraussichtlich nachkommen kann.</w:t>
      </w:r>
      <w:r w:rsidR="0091729E" w:rsidRPr="009118AB">
        <w:t xml:space="preserve"> [Die diesbezügliche Frist beträgt höchstens sechs Monate ab dem Tag des Eingangs des Ersuchens.]</w:t>
      </w:r>
    </w:p>
    <w:p w14:paraId="60C50EC7" w14:textId="77777777" w:rsidR="00377828" w:rsidRPr="009118AB" w:rsidRDefault="00377828" w:rsidP="00377828">
      <w:pPr>
        <w:jc w:val="both"/>
      </w:pPr>
    </w:p>
    <w:p w14:paraId="02D4CDD3" w14:textId="278A3F10" w:rsidR="00377828" w:rsidRPr="009118AB" w:rsidRDefault="00377828" w:rsidP="00377828">
      <w:pPr>
        <w:ind w:firstLine="708"/>
        <w:jc w:val="both"/>
      </w:pPr>
      <w:r w:rsidRPr="009118AB">
        <w:t xml:space="preserve">Ist die belgische zuständige Behörde nicht im Besitz der erbetenen Informationen und nicht in der Lage, dem Informationsersuchen nachzukommen, oder lehnt sie es aus den in </w:t>
      </w:r>
      <w:r w:rsidR="00D67EB8" w:rsidRPr="009118AB">
        <w:t>§ </w:t>
      </w:r>
      <w:r w:rsidRPr="009118AB">
        <w:t>20 genannten Gründen ab, ihm nachzukommen, so teilt sie der ersuchenden Behörde unverzüglich, spätestens jedoch innerhalb eines Monats nach Erhalt des Ersuchens, die Gründe mit.</w:t>
      </w:r>
    </w:p>
    <w:p w14:paraId="38E8CFD9" w14:textId="77777777" w:rsidR="00377828" w:rsidRPr="009118AB" w:rsidRDefault="00377828" w:rsidP="00377828">
      <w:pPr>
        <w:jc w:val="both"/>
      </w:pPr>
    </w:p>
    <w:p w14:paraId="0376F195" w14:textId="2D72B40A" w:rsidR="0091729E" w:rsidRPr="009118AB" w:rsidRDefault="0091729E" w:rsidP="0091729E">
      <w:pPr>
        <w:jc w:val="both"/>
      </w:pPr>
      <w:r w:rsidRPr="009118AB">
        <w:tab/>
        <w:t>[§ 5/1 - Für die Zwecke eines Ersuchens wie in den Paragraphen 4 und 5 erwähnt gelten die erbetenen Informationen voraussichtlich als erheblich, wenn die ersuchende Behörde zum Zeitpunkt des Ersuchens der Ansicht ist, dass ihrem nationalen Recht zufolge die realistische Möglichkeit besteht, dass die erbetenen Informationen für die Steuerangelegenheiten eines oder mehrerer anhand des Namens oder anderer Kriterien identifizierter Steuerpflichtiger erheblich und für die Zwecke der Ermittlung gerechtfertigt sein werden.</w:t>
      </w:r>
    </w:p>
    <w:p w14:paraId="051E83D3" w14:textId="77777777" w:rsidR="0091729E" w:rsidRPr="009118AB" w:rsidRDefault="0091729E" w:rsidP="0091729E">
      <w:pPr>
        <w:jc w:val="both"/>
      </w:pPr>
    </w:p>
    <w:p w14:paraId="7EB3ECF2" w14:textId="77777777" w:rsidR="0091729E" w:rsidRPr="009118AB" w:rsidRDefault="0091729E" w:rsidP="0091729E">
      <w:pPr>
        <w:jc w:val="both"/>
      </w:pPr>
      <w:r w:rsidRPr="009118AB">
        <w:tab/>
        <w:t>Zum Nachweis der voraussichtlichen Erheblichkeit der erbetenen Informationen übermittelt die ersuchende Behörde der ersuchten Behörde mindestens die folgenden Informationen:</w:t>
      </w:r>
    </w:p>
    <w:p w14:paraId="57960210" w14:textId="77777777" w:rsidR="0091729E" w:rsidRPr="009118AB" w:rsidRDefault="0091729E" w:rsidP="0091729E">
      <w:pPr>
        <w:jc w:val="both"/>
      </w:pPr>
    </w:p>
    <w:p w14:paraId="30DA0D49" w14:textId="77777777" w:rsidR="0091729E" w:rsidRPr="009118AB" w:rsidRDefault="0091729E" w:rsidP="0091729E">
      <w:pPr>
        <w:jc w:val="both"/>
      </w:pPr>
      <w:r w:rsidRPr="009118AB">
        <w:tab/>
      </w:r>
      <w:r w:rsidRPr="009118AB">
        <w:rPr>
          <w:i/>
          <w:iCs/>
        </w:rPr>
        <w:t>a)</w:t>
      </w:r>
      <w:r w:rsidRPr="009118AB">
        <w:t> den steuerlichen Zweck, zu dem die Informationen beantragt werden,</w:t>
      </w:r>
    </w:p>
    <w:p w14:paraId="383C6B75" w14:textId="77777777" w:rsidR="0091729E" w:rsidRPr="009118AB" w:rsidRDefault="0091729E" w:rsidP="0091729E">
      <w:pPr>
        <w:jc w:val="both"/>
      </w:pPr>
    </w:p>
    <w:p w14:paraId="0C4E02E9" w14:textId="37E97A60" w:rsidR="0091729E" w:rsidRPr="009118AB" w:rsidRDefault="0091729E" w:rsidP="0091729E">
      <w:pPr>
        <w:jc w:val="both"/>
      </w:pPr>
      <w:r w:rsidRPr="009118AB">
        <w:tab/>
      </w:r>
      <w:r w:rsidRPr="009118AB">
        <w:rPr>
          <w:i/>
          <w:iCs/>
        </w:rPr>
        <w:t>b)</w:t>
      </w:r>
      <w:r w:rsidRPr="009118AB">
        <w:t> eine Spezifizierung der für Verwaltungszwecke oder die Durchsetzung des nationalen Rechts erforderlichen Informationen.]</w:t>
      </w:r>
    </w:p>
    <w:p w14:paraId="172B1D8C" w14:textId="77777777" w:rsidR="0091729E" w:rsidRPr="009118AB" w:rsidRDefault="0091729E" w:rsidP="0091729E">
      <w:pPr>
        <w:jc w:val="both"/>
      </w:pPr>
    </w:p>
    <w:p w14:paraId="4CAE678B" w14:textId="47C849E1" w:rsidR="0091729E" w:rsidRPr="009118AB" w:rsidRDefault="0091729E" w:rsidP="0091729E">
      <w:pPr>
        <w:jc w:val="both"/>
      </w:pPr>
      <w:r w:rsidRPr="009118AB">
        <w:tab/>
        <w:t>[§ 5/2 - Ein Ersuchen wie in den Paragraphen 4 und 5 erwähnt kann sich auf eine Gruppe von Steuerpflichtigen beziehen, die nicht einzeln identifiziert werden können, sondern nur aufgrund einer Reihe gemeinsamer Merkmale bestimmt werden können.</w:t>
      </w:r>
    </w:p>
    <w:p w14:paraId="59C7148A" w14:textId="77777777" w:rsidR="0091729E" w:rsidRPr="009118AB" w:rsidRDefault="0091729E" w:rsidP="0091729E">
      <w:pPr>
        <w:jc w:val="both"/>
      </w:pPr>
    </w:p>
    <w:p w14:paraId="456BD231" w14:textId="77777777" w:rsidR="0091729E" w:rsidRPr="009118AB" w:rsidRDefault="0091729E" w:rsidP="0091729E">
      <w:pPr>
        <w:jc w:val="both"/>
      </w:pPr>
      <w:r w:rsidRPr="009118AB">
        <w:tab/>
        <w:t>In solchen Fällen übermittelt die zuständige ersuchende Behörde der ersuchten Behörde die folgenden Informationen:</w:t>
      </w:r>
    </w:p>
    <w:p w14:paraId="546B7665" w14:textId="77777777" w:rsidR="0091729E" w:rsidRPr="009118AB" w:rsidRDefault="0091729E" w:rsidP="0091729E">
      <w:pPr>
        <w:jc w:val="both"/>
      </w:pPr>
    </w:p>
    <w:p w14:paraId="39A9DD4E" w14:textId="77777777" w:rsidR="0091729E" w:rsidRPr="009118AB" w:rsidRDefault="0091729E" w:rsidP="0091729E">
      <w:pPr>
        <w:jc w:val="both"/>
      </w:pPr>
      <w:r w:rsidRPr="009118AB">
        <w:tab/>
      </w:r>
      <w:r w:rsidRPr="009118AB">
        <w:rPr>
          <w:i/>
          <w:iCs/>
        </w:rPr>
        <w:t>a)</w:t>
      </w:r>
      <w:r w:rsidRPr="009118AB">
        <w:t> eine ausführliche Beschreibung der Gruppe,</w:t>
      </w:r>
    </w:p>
    <w:p w14:paraId="449BC04B" w14:textId="77777777" w:rsidR="0091729E" w:rsidRPr="009118AB" w:rsidRDefault="0091729E" w:rsidP="0091729E">
      <w:pPr>
        <w:jc w:val="both"/>
      </w:pPr>
    </w:p>
    <w:p w14:paraId="262CD79D" w14:textId="77777777" w:rsidR="0091729E" w:rsidRPr="009118AB" w:rsidRDefault="0091729E" w:rsidP="0091729E">
      <w:pPr>
        <w:jc w:val="both"/>
      </w:pPr>
      <w:r w:rsidRPr="009118AB">
        <w:tab/>
      </w:r>
      <w:r w:rsidRPr="009118AB">
        <w:rPr>
          <w:i/>
          <w:iCs/>
        </w:rPr>
        <w:t>b)</w:t>
      </w:r>
      <w:r w:rsidRPr="009118AB">
        <w:t> eine Erläuterung des anwendbaren Rechts und des Sachverhalts, der Anlass zu der Vermutung gibt, dass die Steuerpflichtigen dieser Gruppe das anwendbare Recht nicht eingehalten haben,</w:t>
      </w:r>
    </w:p>
    <w:p w14:paraId="215857C3" w14:textId="77777777" w:rsidR="0091729E" w:rsidRPr="009118AB" w:rsidRDefault="0091729E" w:rsidP="0091729E">
      <w:pPr>
        <w:jc w:val="both"/>
      </w:pPr>
    </w:p>
    <w:p w14:paraId="552B9062" w14:textId="77777777" w:rsidR="0091729E" w:rsidRPr="009118AB" w:rsidRDefault="0091729E" w:rsidP="0091729E">
      <w:pPr>
        <w:jc w:val="both"/>
      </w:pPr>
      <w:r w:rsidRPr="009118AB">
        <w:tab/>
      </w:r>
      <w:r w:rsidRPr="009118AB">
        <w:rPr>
          <w:i/>
          <w:iCs/>
        </w:rPr>
        <w:t>c)</w:t>
      </w:r>
      <w:r w:rsidRPr="009118AB">
        <w:t> eine Erläuterung, wie die erbetenen Informationen dazu beitragen würden, die Einhaltung des anwendbaren Rechts durch die Steuerpflichtigen der Gruppe festzustellen,</w:t>
      </w:r>
    </w:p>
    <w:p w14:paraId="034ED074" w14:textId="77777777" w:rsidR="0091729E" w:rsidRPr="009118AB" w:rsidRDefault="0091729E" w:rsidP="0091729E">
      <w:pPr>
        <w:jc w:val="both"/>
      </w:pPr>
    </w:p>
    <w:p w14:paraId="1E27B305" w14:textId="69C72111" w:rsidR="0091729E" w:rsidRPr="009118AB" w:rsidRDefault="0091729E" w:rsidP="0091729E">
      <w:pPr>
        <w:jc w:val="both"/>
      </w:pPr>
      <w:r w:rsidRPr="009118AB">
        <w:tab/>
      </w:r>
      <w:r w:rsidRPr="009118AB">
        <w:rPr>
          <w:i/>
          <w:iCs/>
        </w:rPr>
        <w:t>d)</w:t>
      </w:r>
      <w:r w:rsidRPr="009118AB">
        <w:t> sofern relevant, Sachverhalt und Umstände in Bezug auf die Beteiligung eines Dritten, der aktiv zur potenziellen Nichteinhaltung des anwendbaren Rechts durch die Steuerpflichtigen der Gruppe beigetragen hat.]</w:t>
      </w:r>
    </w:p>
    <w:p w14:paraId="48976854" w14:textId="77777777" w:rsidR="0091729E" w:rsidRPr="009118AB" w:rsidRDefault="0091729E" w:rsidP="0091729E">
      <w:pPr>
        <w:jc w:val="both"/>
      </w:pPr>
    </w:p>
    <w:p w14:paraId="7DFB6206" w14:textId="77777777" w:rsidR="0091729E" w:rsidRPr="009118AB" w:rsidRDefault="00D67EB8" w:rsidP="0091729E">
      <w:pPr>
        <w:ind w:firstLine="709"/>
        <w:jc w:val="both"/>
      </w:pPr>
      <w:r w:rsidRPr="009118AB">
        <w:t>§ </w:t>
      </w:r>
      <w:r w:rsidR="00377828" w:rsidRPr="009118AB">
        <w:t>6</w:t>
      </w:r>
      <w:r w:rsidRPr="009118AB">
        <w:t> - </w:t>
      </w:r>
      <w:r w:rsidR="0091729E" w:rsidRPr="009118AB">
        <w:t>[Die belgische zuständige Behörde übermittelt im Wege des automatischen Austauschs der ausländischen zuständigen Behörde alle Informationen, die über ansässige Personen des anderen Mitgliedstaates in Bezug auf die folgenden bestimmten Arten von Einkünften und Vermögen, wie sie im Sinne des belgischen Rechts zu verstehen sind, verfügbar sind:</w:t>
      </w:r>
    </w:p>
    <w:p w14:paraId="2FEC845B" w14:textId="77777777" w:rsidR="0091729E" w:rsidRPr="009118AB" w:rsidRDefault="0091729E" w:rsidP="0091729E">
      <w:pPr>
        <w:jc w:val="both"/>
      </w:pPr>
    </w:p>
    <w:p w14:paraId="1F9E5A6C" w14:textId="77777777" w:rsidR="0091729E" w:rsidRPr="009118AB" w:rsidRDefault="0091729E" w:rsidP="0091729E">
      <w:pPr>
        <w:jc w:val="both"/>
      </w:pPr>
      <w:r w:rsidRPr="009118AB">
        <w:tab/>
      </w:r>
      <w:r w:rsidRPr="009118AB">
        <w:rPr>
          <w:i/>
          <w:iCs/>
        </w:rPr>
        <w:t>a)</w:t>
      </w:r>
      <w:r w:rsidRPr="009118AB">
        <w:t> Einkünfte aus einem Beschäftigungsverhältnis,</w:t>
      </w:r>
    </w:p>
    <w:p w14:paraId="18FFA007" w14:textId="77777777" w:rsidR="0091729E" w:rsidRPr="009118AB" w:rsidRDefault="0091729E" w:rsidP="0091729E">
      <w:pPr>
        <w:jc w:val="both"/>
      </w:pPr>
    </w:p>
    <w:p w14:paraId="21AAE843" w14:textId="77777777" w:rsidR="0091729E" w:rsidRPr="009118AB" w:rsidRDefault="0091729E" w:rsidP="0091729E">
      <w:pPr>
        <w:jc w:val="both"/>
      </w:pPr>
      <w:r w:rsidRPr="009118AB">
        <w:tab/>
      </w:r>
      <w:r w:rsidRPr="009118AB">
        <w:rPr>
          <w:i/>
          <w:iCs/>
        </w:rPr>
        <w:t>b)</w:t>
      </w:r>
      <w:r w:rsidRPr="009118AB">
        <w:t> Tantiemen und Anwesenheitsgelder,</w:t>
      </w:r>
    </w:p>
    <w:p w14:paraId="349D2343" w14:textId="77777777" w:rsidR="0091729E" w:rsidRPr="009118AB" w:rsidRDefault="0091729E" w:rsidP="0091729E">
      <w:pPr>
        <w:jc w:val="both"/>
      </w:pPr>
    </w:p>
    <w:p w14:paraId="0B5EA1C7" w14:textId="77777777" w:rsidR="0091729E" w:rsidRPr="009118AB" w:rsidRDefault="0091729E" w:rsidP="0091729E">
      <w:pPr>
        <w:jc w:val="both"/>
      </w:pPr>
      <w:r w:rsidRPr="009118AB">
        <w:tab/>
      </w:r>
      <w:r w:rsidRPr="009118AB">
        <w:rPr>
          <w:i/>
          <w:iCs/>
        </w:rPr>
        <w:t>c)</w:t>
      </w:r>
      <w:r w:rsidRPr="009118AB">
        <w:t> Lebensversicherungsprodukte, die nicht von anderen Rechtsakten der Union über den Austausch von Informationen oder vergleichbaren Maßnahmen erfasst sind,</w:t>
      </w:r>
    </w:p>
    <w:p w14:paraId="4870FA00" w14:textId="77777777" w:rsidR="0091729E" w:rsidRPr="009118AB" w:rsidRDefault="0091729E" w:rsidP="0091729E">
      <w:pPr>
        <w:jc w:val="both"/>
      </w:pPr>
    </w:p>
    <w:p w14:paraId="3133C05F" w14:textId="77777777" w:rsidR="0091729E" w:rsidRPr="009118AB" w:rsidRDefault="0091729E" w:rsidP="0091729E">
      <w:pPr>
        <w:jc w:val="both"/>
      </w:pPr>
      <w:r w:rsidRPr="009118AB">
        <w:tab/>
      </w:r>
      <w:r w:rsidRPr="009118AB">
        <w:rPr>
          <w:i/>
          <w:iCs/>
        </w:rPr>
        <w:t>d)</w:t>
      </w:r>
      <w:r w:rsidRPr="009118AB">
        <w:t> Pensionen,</w:t>
      </w:r>
    </w:p>
    <w:p w14:paraId="2967C558" w14:textId="77777777" w:rsidR="0091729E" w:rsidRPr="009118AB" w:rsidRDefault="0091729E" w:rsidP="0091729E">
      <w:pPr>
        <w:jc w:val="both"/>
      </w:pPr>
    </w:p>
    <w:p w14:paraId="0D0A89BA" w14:textId="77777777" w:rsidR="0091729E" w:rsidRPr="009118AB" w:rsidRDefault="0091729E" w:rsidP="0091729E">
      <w:pPr>
        <w:jc w:val="both"/>
      </w:pPr>
      <w:r w:rsidRPr="009118AB">
        <w:tab/>
      </w:r>
      <w:r w:rsidRPr="009118AB">
        <w:rPr>
          <w:i/>
          <w:iCs/>
        </w:rPr>
        <w:t>e)</w:t>
      </w:r>
      <w:r w:rsidRPr="009118AB">
        <w:t> Eigentum an unbeweglichen Gütern und Einkünfte daraus,</w:t>
      </w:r>
    </w:p>
    <w:p w14:paraId="6852665B" w14:textId="77777777" w:rsidR="0091729E" w:rsidRPr="009118AB" w:rsidRDefault="0091729E" w:rsidP="0091729E">
      <w:pPr>
        <w:jc w:val="both"/>
      </w:pPr>
    </w:p>
    <w:p w14:paraId="3C2D9D55" w14:textId="40512CB8" w:rsidR="0091729E" w:rsidRPr="009118AB" w:rsidRDefault="0091729E" w:rsidP="0091729E">
      <w:pPr>
        <w:jc w:val="both"/>
      </w:pPr>
      <w:r w:rsidRPr="009118AB">
        <w:tab/>
      </w:r>
      <w:r w:rsidRPr="009118AB">
        <w:rPr>
          <w:i/>
          <w:iCs/>
        </w:rPr>
        <w:t>f)</w:t>
      </w:r>
      <w:r w:rsidRPr="009118AB">
        <w:t> Lizenzgebühren.]</w:t>
      </w:r>
    </w:p>
    <w:p w14:paraId="3CF98B6A" w14:textId="77777777" w:rsidR="0091729E" w:rsidRPr="009118AB" w:rsidRDefault="0091729E" w:rsidP="0091729E">
      <w:pPr>
        <w:jc w:val="both"/>
      </w:pPr>
    </w:p>
    <w:p w14:paraId="4C662A90" w14:textId="052D5E6C" w:rsidR="0091729E" w:rsidRPr="009118AB" w:rsidRDefault="0091729E" w:rsidP="0091729E">
      <w:pPr>
        <w:jc w:val="both"/>
      </w:pPr>
      <w:r w:rsidRPr="009118AB">
        <w:tab/>
        <w:t>[Für am oder nach dem 1. Januar 2024 beginnende Besteuerungszeiträume enthält die Übermittlung der in Absatz 1 erwähnten Informationen die durch den Ansässigkeitsmitgliedstaat für ansässige Personen ausgestellte Steueridentifikationsnummer.</w:t>
      </w:r>
    </w:p>
    <w:p w14:paraId="067BB3FA" w14:textId="77777777" w:rsidR="0091729E" w:rsidRPr="009118AB" w:rsidRDefault="0091729E" w:rsidP="0091729E">
      <w:pPr>
        <w:jc w:val="both"/>
      </w:pPr>
    </w:p>
    <w:p w14:paraId="39E0F7D4" w14:textId="52B4333E" w:rsidR="00377828" w:rsidRPr="009118AB" w:rsidRDefault="0091729E" w:rsidP="0091729E">
      <w:pPr>
        <w:ind w:firstLine="708"/>
        <w:jc w:val="both"/>
      </w:pPr>
      <w:r w:rsidRPr="009118AB">
        <w:tab/>
        <w:t>Belgien unterrichtet die Kommission jährlich über mindestens zwei der in Absatz 1 aufgeführten Arten von Einkünften und Vermögen, zu denen es Informationen über in einem anderen Mitgliedstaat ansässige Personen übermittelt.</w:t>
      </w:r>
    </w:p>
    <w:p w14:paraId="0690554A" w14:textId="77777777" w:rsidR="00377828" w:rsidRPr="009118AB" w:rsidRDefault="00377828" w:rsidP="00377828">
      <w:pPr>
        <w:jc w:val="both"/>
      </w:pPr>
    </w:p>
    <w:p w14:paraId="6A24A01E" w14:textId="68E5CA0B" w:rsidR="00377828" w:rsidRPr="009118AB" w:rsidRDefault="00377828" w:rsidP="00377828">
      <w:pPr>
        <w:ind w:firstLine="708"/>
        <w:jc w:val="both"/>
      </w:pPr>
      <w:r w:rsidRPr="009118AB">
        <w:t>Die Übermittlung der Informationen erfolgt mindestens einmal jährlich, innerhalb von sechs Monaten nach Ablauf des Kalenderjahres, in dem die Information verfügbar wurde.</w:t>
      </w:r>
      <w:r w:rsidR="007F08D3" w:rsidRPr="009118AB">
        <w:t>]</w:t>
      </w:r>
    </w:p>
    <w:p w14:paraId="1A1F8D7F" w14:textId="77777777" w:rsidR="00377828" w:rsidRPr="009118AB" w:rsidRDefault="00377828" w:rsidP="00377828">
      <w:pPr>
        <w:jc w:val="both"/>
      </w:pPr>
    </w:p>
    <w:p w14:paraId="4783F882" w14:textId="77777777" w:rsidR="00377828" w:rsidRPr="009118AB" w:rsidRDefault="00377828" w:rsidP="00377828">
      <w:pPr>
        <w:ind w:firstLine="708"/>
        <w:jc w:val="both"/>
      </w:pPr>
      <w:r w:rsidRPr="009118AB">
        <w:t>"Verfügbare Informationen" sind solche, die in den Steuerakten des die Informationen übermittelnden Mitgliedstaates enthalten sind und die im Einklang mit den Verfahren für die Erhebung und Verarbeitung von Informationen des betreffenden Mitgliedstaates abgerufen werden können.</w:t>
      </w:r>
    </w:p>
    <w:p w14:paraId="2CE175FC" w14:textId="77777777" w:rsidR="00377828" w:rsidRPr="009118AB" w:rsidRDefault="00377828" w:rsidP="00377828">
      <w:pPr>
        <w:jc w:val="both"/>
      </w:pPr>
    </w:p>
    <w:p w14:paraId="60780775" w14:textId="6090AF5B" w:rsidR="00B20510" w:rsidRPr="009118AB" w:rsidRDefault="00B20510" w:rsidP="00B20510">
      <w:pPr>
        <w:ind w:firstLine="708"/>
        <w:jc w:val="both"/>
      </w:pPr>
      <w:r w:rsidRPr="009118AB">
        <w:tab/>
        <w:t>[</w:t>
      </w:r>
      <w:r w:rsidR="00D67EB8" w:rsidRPr="009118AB">
        <w:t>§ </w:t>
      </w:r>
      <w:r w:rsidRPr="009118AB">
        <w:t>6/1</w:t>
      </w:r>
      <w:r w:rsidR="00D67EB8" w:rsidRPr="009118AB">
        <w:t> - </w:t>
      </w:r>
      <w:r w:rsidRPr="009118AB">
        <w:t>Im Rahmen des verpflichtenden automatischen Informationsaustauschs über grenzüberschreitende Vorbescheide und Vorabverständigungen über die Verrechnungspreis</w:t>
      </w:r>
      <w:r w:rsidRPr="009118AB">
        <w:softHyphen/>
        <w:t>gestaltung gelten folgende Voraussetzungen:</w:t>
      </w:r>
    </w:p>
    <w:p w14:paraId="77C2F535" w14:textId="77777777" w:rsidR="00B20510" w:rsidRPr="009118AB" w:rsidRDefault="00B20510" w:rsidP="00B20510">
      <w:pPr>
        <w:jc w:val="both"/>
      </w:pPr>
    </w:p>
    <w:p w14:paraId="0D45ED11" w14:textId="6CC6F600" w:rsidR="00B20510" w:rsidRPr="009118AB" w:rsidRDefault="00B20510" w:rsidP="00B20510">
      <w:pPr>
        <w:ind w:firstLine="708"/>
        <w:jc w:val="both"/>
      </w:pPr>
      <w:r w:rsidRPr="009118AB">
        <w:t xml:space="preserve">1. Die belgische zuständige Behörde übermittelt im Wege des automatischen Austauschs den zuständigen Behörden aller anderen Mitgliedstaaten sowie der Europäischen Kommission Informationen, wenn nach dem 31. Dezember 2016 ein grenzüberschreitender Vorbescheid oder eine Vorabverständigung über die Verrechnungspreisgestaltung erteilt beziehungsweise getroffen, geändert oder erneuert wurde, mit der Einschränkung, die für die Fälle nach </w:t>
      </w:r>
      <w:r w:rsidR="00D67EB8" w:rsidRPr="009118AB">
        <w:t>Nr. </w:t>
      </w:r>
      <w:r w:rsidRPr="009118AB">
        <w:t xml:space="preserve">7 des vorliegenden Paragraphen gilt, und gemäß den geltenden nach </w:t>
      </w:r>
      <w:r w:rsidR="00D67EB8" w:rsidRPr="009118AB">
        <w:t>§ </w:t>
      </w:r>
      <w:r w:rsidRPr="009118AB">
        <w:t>24 angenommenen praktischen Regelungen.</w:t>
      </w:r>
    </w:p>
    <w:p w14:paraId="4EA44D90" w14:textId="77777777" w:rsidR="00B20510" w:rsidRPr="009118AB" w:rsidRDefault="00B20510" w:rsidP="00B20510">
      <w:pPr>
        <w:jc w:val="both"/>
      </w:pPr>
    </w:p>
    <w:p w14:paraId="1040637C" w14:textId="2E4D348F" w:rsidR="00B20510" w:rsidRPr="009118AB" w:rsidRDefault="00B20510" w:rsidP="00B20510">
      <w:pPr>
        <w:ind w:firstLine="708"/>
        <w:jc w:val="both"/>
      </w:pPr>
      <w:r w:rsidRPr="009118AB">
        <w:t xml:space="preserve">2. Ferner übermittelt die belgische zuständige Behörde den zuständigen Behörden aller anderen Mitgliedstaaten sowie der Europäischen Kommission, unter Berücksichtigung der Einschränkung nach </w:t>
      </w:r>
      <w:r w:rsidR="00D67EB8" w:rsidRPr="009118AB">
        <w:t>Nr. </w:t>
      </w:r>
      <w:r w:rsidRPr="009118AB">
        <w:t xml:space="preserve">7 des vorliegenden Paragraphen, gemäß den geltenden nach </w:t>
      </w:r>
      <w:r w:rsidR="00D67EB8" w:rsidRPr="009118AB">
        <w:t>§ </w:t>
      </w:r>
      <w:r w:rsidRPr="009118AB">
        <w:t>24 angenommenen praktischen Regelungen Informationen über grenzüberschreitende Vorbescheide und Vorabverständigungen über die Verrechnungspreisgestaltung, die innerhalb eines Zeitraums von fünf Jahren vor dem 1. Januar 2017 erteilt beziehungsweise getroffen, geändert oder erneuert wurden.</w:t>
      </w:r>
    </w:p>
    <w:p w14:paraId="11353B2E" w14:textId="77777777" w:rsidR="00B20510" w:rsidRPr="009118AB" w:rsidRDefault="00B20510" w:rsidP="00B20510">
      <w:pPr>
        <w:jc w:val="both"/>
      </w:pPr>
    </w:p>
    <w:p w14:paraId="422C10DA" w14:textId="77777777" w:rsidR="00B20510" w:rsidRPr="009118AB" w:rsidRDefault="00B20510" w:rsidP="00B20510">
      <w:pPr>
        <w:ind w:firstLine="708"/>
        <w:jc w:val="both"/>
      </w:pPr>
      <w:r w:rsidRPr="009118AB">
        <w:t>Falls diese grenzüberschreitenden Vorbescheide und Vorabverständigungen über die Verrechnungspreisgestaltung in der Zeit zwischen dem 1. Januar 2012 und dem 31. Dezember 2013 erteilt beziehungsweise getroffen, geändert oder erneuert wurden, erfolgt diese Informationsübermittlung unter der Voraussetzung, dass sie am 1. Januar 2014 noch gültig waren.</w:t>
      </w:r>
    </w:p>
    <w:p w14:paraId="2F8F5D6D" w14:textId="77777777" w:rsidR="00B20510" w:rsidRPr="009118AB" w:rsidRDefault="00B20510" w:rsidP="00B20510">
      <w:pPr>
        <w:jc w:val="both"/>
      </w:pPr>
    </w:p>
    <w:p w14:paraId="29FFFD75" w14:textId="77777777" w:rsidR="00B20510" w:rsidRPr="009118AB" w:rsidRDefault="00B20510" w:rsidP="00B20510">
      <w:pPr>
        <w:ind w:firstLine="708"/>
        <w:jc w:val="both"/>
      </w:pPr>
      <w:r w:rsidRPr="009118AB">
        <w:t>Falls diese grenzüberschreitenden Vorbescheide und Vorabverständigungen über die Verrechnungspreisgestaltung in der Zeit zwischen dem 1. Januar 2014 und dem 31. Dezember 2016 erteilt beziehungsweise getroffen, geändert oder erneuert wurden, erfolgt diese Informationsübermittlung unabhängig davon, ob sie noch gültig sind oder nicht.</w:t>
      </w:r>
    </w:p>
    <w:p w14:paraId="5CAB49B1" w14:textId="77777777" w:rsidR="00B20510" w:rsidRPr="009118AB" w:rsidRDefault="00B20510" w:rsidP="00B20510">
      <w:pPr>
        <w:jc w:val="both"/>
      </w:pPr>
    </w:p>
    <w:p w14:paraId="3237037D" w14:textId="31112E3D" w:rsidR="00B20510" w:rsidRPr="009118AB" w:rsidRDefault="00B20510" w:rsidP="00B20510">
      <w:pPr>
        <w:ind w:firstLine="708"/>
        <w:jc w:val="both"/>
      </w:pPr>
      <w:r w:rsidRPr="009118AB">
        <w:t>3. Bilaterale oder multilaterale Vorabverständigungen über die Verrechnungspreis</w:t>
      </w:r>
      <w:r w:rsidRPr="009118AB">
        <w:softHyphen/>
        <w:t>gestaltung mit Drittländern werden vom Geltungsbereich des automatischen Informationsaus</w:t>
      </w:r>
      <w:r w:rsidRPr="009118AB">
        <w:softHyphen/>
        <w:t>tauschs gemäß vorliegendem Paragraphen ausgenommen, sofern das internationale Steuerab</w:t>
      </w:r>
      <w:r w:rsidRPr="009118AB">
        <w:softHyphen/>
        <w:t xml:space="preserve">kommen, in dessen Rahmen die Vorabverständigung über die Verrechnungspreisgestaltung ausgehandelt wurde, eine Weitergabe an Dritte nicht erlaubt. Solche bilateralen oder multilateralen Vorabverständigungen über die Verrechnungspreisgestaltung werden gemäß </w:t>
      </w:r>
      <w:r w:rsidR="00D67EB8" w:rsidRPr="009118AB">
        <w:t>§ </w:t>
      </w:r>
      <w:r w:rsidRPr="009118AB">
        <w:t>7 ausgetauscht, sofern das internationale Steuerabkommen, in dessen Rahmen die Vorab</w:t>
      </w:r>
      <w:r w:rsidRPr="009118AB">
        <w:softHyphen/>
        <w:t>verständigung über die Verrechnungspreisgestaltung ausgehandelt wurde, eine Weitergabe erlaubt und die zuständige Behörde des Drittlandes die Weitergabe der Informationen genehmigt.</w:t>
      </w:r>
    </w:p>
    <w:p w14:paraId="038D9361" w14:textId="77777777" w:rsidR="00B20510" w:rsidRPr="009118AB" w:rsidRDefault="00B20510" w:rsidP="00B20510">
      <w:pPr>
        <w:jc w:val="both"/>
      </w:pPr>
    </w:p>
    <w:p w14:paraId="695B8FDB" w14:textId="195EDB9A" w:rsidR="00B20510" w:rsidRPr="009118AB" w:rsidRDefault="00B20510" w:rsidP="00B20510">
      <w:pPr>
        <w:ind w:firstLine="708"/>
        <w:jc w:val="both"/>
      </w:pPr>
      <w:r w:rsidRPr="009118AB">
        <w:t xml:space="preserve">Sollten die bilateralen oder multilateralen Vorabverständigungen über die Verrechnungspreisgestaltung jedoch vom automatischen Informationsaustausch gemäß dem ersten Satz von Absatz 1 der vorliegenden Nummer ausgenommen sein, so werden stattdessen die Informationen nach </w:t>
      </w:r>
      <w:r w:rsidR="00D67EB8" w:rsidRPr="009118AB">
        <w:t>Nr. </w:t>
      </w:r>
      <w:r w:rsidRPr="009118AB">
        <w:t>6 des vorliegenden Paragraphen, die in dem Ersuchen, das zum Treffen einer solchen bilateralen oder multilateralen Vorabverständigung über die Verrechnungspreisgestaltung geführt hat, aufgeführt sind, gemäß den Nummern 1 und 2 des vorliegenden Paragraphen ausgetauscht.</w:t>
      </w:r>
    </w:p>
    <w:p w14:paraId="78AAB76C" w14:textId="77777777" w:rsidR="00B20510" w:rsidRPr="009118AB" w:rsidRDefault="00B20510" w:rsidP="00B20510">
      <w:pPr>
        <w:jc w:val="both"/>
      </w:pPr>
    </w:p>
    <w:p w14:paraId="484B9588" w14:textId="77777777" w:rsidR="00B20510" w:rsidRPr="009118AB" w:rsidRDefault="00B20510" w:rsidP="00B20510">
      <w:pPr>
        <w:ind w:firstLine="708"/>
        <w:jc w:val="both"/>
      </w:pPr>
      <w:r w:rsidRPr="009118AB">
        <w:t>4. Die Nummern 1 und 2 gelten nicht in Fällen, in denen ein grenzüberschreitender Vorbescheid oder eine Vorabverständigung über die Verrechnungspreisgestaltung ausschließ</w:t>
      </w:r>
      <w:r w:rsidRPr="009118AB">
        <w:softHyphen/>
        <w:t>lich die Steuerangelegenheiten einer oder mehrerer natürlicher Personen betrifft.</w:t>
      </w:r>
    </w:p>
    <w:p w14:paraId="16B46072" w14:textId="77777777" w:rsidR="00B20510" w:rsidRPr="009118AB" w:rsidRDefault="00B20510" w:rsidP="00B20510">
      <w:pPr>
        <w:jc w:val="both"/>
      </w:pPr>
    </w:p>
    <w:p w14:paraId="20E4A752" w14:textId="77777777" w:rsidR="00B20510" w:rsidRPr="009118AB" w:rsidRDefault="00B20510" w:rsidP="00B20510">
      <w:pPr>
        <w:ind w:firstLine="708"/>
        <w:jc w:val="both"/>
      </w:pPr>
      <w:r w:rsidRPr="009118AB">
        <w:t>5. Der Informationsaustausch erfolgt:</w:t>
      </w:r>
    </w:p>
    <w:p w14:paraId="7EF3A736" w14:textId="77777777" w:rsidR="00B20510" w:rsidRPr="009118AB" w:rsidRDefault="00B20510" w:rsidP="00B20510">
      <w:pPr>
        <w:jc w:val="both"/>
      </w:pPr>
    </w:p>
    <w:p w14:paraId="6462CC2F" w14:textId="4F15051C" w:rsidR="00B20510" w:rsidRPr="009118AB" w:rsidRDefault="00B20510" w:rsidP="00B20510">
      <w:pPr>
        <w:ind w:firstLine="708"/>
        <w:jc w:val="both"/>
      </w:pPr>
      <w:r w:rsidRPr="009118AB">
        <w:rPr>
          <w:i/>
        </w:rPr>
        <w:t>a)</w:t>
      </w:r>
      <w:r w:rsidRPr="009118AB">
        <w:t> </w:t>
      </w:r>
      <w:r w:rsidR="008E3F3C" w:rsidRPr="009118AB">
        <w:t>[in Bezug auf die gemäß Nr. 1 ausgetauschten Informationen: unverzüglich nach Erteilen beziehungsweise Treffen, Änderung oder Erneuerung der grenzüberschreitenden Vorbescheide oder Vorabverständigungen über die Verrechnungspreisgestaltung und spätestens drei Monate nach Ablauf des Kalenderhalbjahres, in dem die grenzüberschreitenden Vorbescheide oder Vorabverständigungen über die Verrechnungspreisgestaltung erteilt beziehungsweise getroffen, geändert oder erneuert wurden,]</w:t>
      </w:r>
    </w:p>
    <w:p w14:paraId="3D4013CC" w14:textId="77777777" w:rsidR="00B20510" w:rsidRPr="009118AB" w:rsidRDefault="00B20510" w:rsidP="00B20510">
      <w:pPr>
        <w:jc w:val="both"/>
      </w:pPr>
    </w:p>
    <w:p w14:paraId="02406D7B" w14:textId="77777777" w:rsidR="00747569" w:rsidRPr="009118AB" w:rsidRDefault="00B20510" w:rsidP="00747569">
      <w:pPr>
        <w:ind w:firstLine="708"/>
        <w:jc w:val="both"/>
        <w:rPr>
          <w:iCs/>
        </w:rPr>
      </w:pPr>
      <w:r w:rsidRPr="009118AB">
        <w:rPr>
          <w:i/>
        </w:rPr>
        <w:t>b)</w:t>
      </w:r>
      <w:r w:rsidRPr="009118AB">
        <w:t> </w:t>
      </w:r>
      <w:r w:rsidR="00747569" w:rsidRPr="009118AB">
        <w:rPr>
          <w:iCs/>
        </w:rPr>
        <w:t>Ferner übermittelt die belgische zuständige Behörde den zuständigen Behörden aller anderen Mitgliedstaaten sowie der Europäischen Kommission, unter Berücksichtigung der Einschränkung nach Nr. 7 des vorliegenden Paragraphen, gemäß den geltenden nach § 24 angenommenen praktischen Regelungen Informationen über grenzüberschreitende Vorbescheide und Vorabverständigungen über die Verrechnungspreisgestaltung, die innerhalb eines Zeitraums von fünf Jahren vor dem 1. Januar 2017 erteilt beziehungsweise getroffen, geändert oder erneuert wurden.</w:t>
      </w:r>
    </w:p>
    <w:p w14:paraId="533C9ECC" w14:textId="77777777" w:rsidR="00747569" w:rsidRPr="009118AB" w:rsidRDefault="00747569" w:rsidP="00747569">
      <w:pPr>
        <w:ind w:firstLine="708"/>
        <w:jc w:val="both"/>
        <w:rPr>
          <w:iCs/>
        </w:rPr>
      </w:pPr>
    </w:p>
    <w:p w14:paraId="5D62FF2B" w14:textId="77777777" w:rsidR="00747569" w:rsidRPr="009118AB" w:rsidRDefault="00747569">
      <w:r w:rsidRPr="009118AB">
        <w:br w:type="page"/>
      </w:r>
    </w:p>
    <w:p w14:paraId="01210346" w14:textId="190484AF" w:rsidR="00B20510" w:rsidRPr="009118AB" w:rsidRDefault="00B20510" w:rsidP="00B20510">
      <w:pPr>
        <w:ind w:firstLine="708"/>
        <w:jc w:val="both"/>
      </w:pPr>
      <w:r w:rsidRPr="009118AB">
        <w:t>6. Die von der belgischen zuständigen Behörde gemäß den Nummern 1 und 2 zu übermittelnden Informationen müssen Folgendes enthalten:</w:t>
      </w:r>
    </w:p>
    <w:p w14:paraId="6A8734B9" w14:textId="77777777" w:rsidR="00B20510" w:rsidRPr="009118AB" w:rsidRDefault="00B20510" w:rsidP="00B20510">
      <w:pPr>
        <w:jc w:val="both"/>
      </w:pPr>
    </w:p>
    <w:p w14:paraId="5FFE820F" w14:textId="77777777" w:rsidR="00B20510" w:rsidRPr="009118AB" w:rsidRDefault="00B20510" w:rsidP="00B20510">
      <w:pPr>
        <w:ind w:firstLine="708"/>
        <w:jc w:val="both"/>
      </w:pPr>
      <w:r w:rsidRPr="009118AB">
        <w:rPr>
          <w:i/>
        </w:rPr>
        <w:t>a)</w:t>
      </w:r>
      <w:r w:rsidRPr="009118AB">
        <w:t> Angaben zu der juristischen Person und gegebenenfalls zu der Gruppe von Personen, der sie angehört,</w:t>
      </w:r>
    </w:p>
    <w:p w14:paraId="41D0717C" w14:textId="77777777" w:rsidR="00B20510" w:rsidRPr="009118AB" w:rsidRDefault="00B20510" w:rsidP="00B20510">
      <w:pPr>
        <w:jc w:val="both"/>
      </w:pPr>
    </w:p>
    <w:p w14:paraId="7CE32120" w14:textId="77777777" w:rsidR="00747569" w:rsidRPr="009118AB" w:rsidRDefault="00B20510" w:rsidP="00747569">
      <w:pPr>
        <w:ind w:firstLine="708"/>
        <w:jc w:val="both"/>
      </w:pPr>
      <w:r w:rsidRPr="009118AB">
        <w:rPr>
          <w:i/>
        </w:rPr>
        <w:t>b)</w:t>
      </w:r>
      <w:r w:rsidRPr="009118AB">
        <w:t> </w:t>
      </w:r>
      <w:r w:rsidR="00747569" w:rsidRPr="009118AB">
        <w:t>[eine Zusammenfassung des Inhalts des grenzüberschreitenden Vorbescheids oder der Vorabverständigung über die Verrechnungspreisgestaltung, einschließlich einer Beschreibung der relevanten Geschäftstätigkeiten oder Transaktionen oder Reihen von Transaktionen und aller anderen Informationen, die der zuständigen Behörde bei der Bewertung eines potenziellen Steuerrisikos behilflich sein könnten, ohne zur Preisgabe eines Handels-, Gewerbe- oder Berufsgeheimnisses oder eines Geschäftsverfahrens oder zur Preisgabe von Informationen zu führen, die die öffentliche Ordnung verletzen würde,]</w:t>
      </w:r>
    </w:p>
    <w:p w14:paraId="7EF245E9" w14:textId="307ABA5E" w:rsidR="00B20510" w:rsidRPr="009118AB" w:rsidRDefault="00B20510" w:rsidP="00747569">
      <w:pPr>
        <w:ind w:firstLine="708"/>
        <w:jc w:val="both"/>
      </w:pPr>
    </w:p>
    <w:p w14:paraId="2F70EDC3" w14:textId="77777777" w:rsidR="00B20510" w:rsidRPr="009118AB" w:rsidRDefault="00B20510" w:rsidP="00B20510">
      <w:pPr>
        <w:ind w:firstLine="708"/>
        <w:jc w:val="both"/>
      </w:pPr>
      <w:r w:rsidRPr="009118AB">
        <w:rPr>
          <w:i/>
        </w:rPr>
        <w:t>c)</w:t>
      </w:r>
      <w:r w:rsidRPr="009118AB">
        <w:t> das jeweilige Datum der Erteilung beziehungsweise des Treffens, der Änderung oder der Erneuerung des grenzüberschreitenden Vorbescheids beziehungsweise der Vorabverständigung über die Verrechnungspreisgestaltung,</w:t>
      </w:r>
    </w:p>
    <w:p w14:paraId="1A5E1DE5" w14:textId="77777777" w:rsidR="00B20510" w:rsidRPr="009118AB" w:rsidRDefault="00B20510" w:rsidP="00B20510">
      <w:pPr>
        <w:jc w:val="both"/>
      </w:pPr>
    </w:p>
    <w:p w14:paraId="27AD9BAE" w14:textId="77777777" w:rsidR="00B20510" w:rsidRPr="009118AB" w:rsidRDefault="00B20510" w:rsidP="00B20510">
      <w:pPr>
        <w:ind w:firstLine="708"/>
        <w:jc w:val="both"/>
      </w:pPr>
      <w:r w:rsidRPr="009118AB">
        <w:rPr>
          <w:i/>
        </w:rPr>
        <w:t>d)</w:t>
      </w:r>
      <w:r w:rsidRPr="009118AB">
        <w:t> den Tag des Beginns der Geltungsdauer des grenzüberschreitenden Vorbescheids beziehungsweise der Vorabverständigung über die Verrechnungspreisgestaltung, falls angegeben,</w:t>
      </w:r>
    </w:p>
    <w:p w14:paraId="4A3A329C" w14:textId="77777777" w:rsidR="00B20510" w:rsidRPr="009118AB" w:rsidRDefault="00B20510" w:rsidP="00B20510">
      <w:pPr>
        <w:jc w:val="both"/>
      </w:pPr>
    </w:p>
    <w:p w14:paraId="35B460B1" w14:textId="77777777" w:rsidR="00B20510" w:rsidRPr="009118AB" w:rsidRDefault="00B20510" w:rsidP="00B20510">
      <w:pPr>
        <w:ind w:firstLine="708"/>
        <w:jc w:val="both"/>
      </w:pPr>
      <w:r w:rsidRPr="009118AB">
        <w:rPr>
          <w:i/>
        </w:rPr>
        <w:t>e)</w:t>
      </w:r>
      <w:r w:rsidRPr="009118AB">
        <w:t> den Tag des Ablaufs der Geltungsdauer des grenzüberschreitenden Vorbescheids beziehungsweise der Vorabverständigung über die Verrechnungspreisgestaltung, falls angegeben,</w:t>
      </w:r>
    </w:p>
    <w:p w14:paraId="63EE2DDB" w14:textId="77777777" w:rsidR="00B20510" w:rsidRPr="009118AB" w:rsidRDefault="00B20510" w:rsidP="00B20510">
      <w:pPr>
        <w:jc w:val="both"/>
      </w:pPr>
    </w:p>
    <w:p w14:paraId="4362164E" w14:textId="77777777" w:rsidR="00B20510" w:rsidRPr="009118AB" w:rsidRDefault="00B20510" w:rsidP="00B20510">
      <w:pPr>
        <w:ind w:firstLine="708"/>
        <w:jc w:val="both"/>
      </w:pPr>
      <w:r w:rsidRPr="009118AB">
        <w:rPr>
          <w:i/>
        </w:rPr>
        <w:t>f)</w:t>
      </w:r>
      <w:r w:rsidRPr="009118AB">
        <w:t> die Art des grenzüberschreitenden Vorbescheids beziehungsweise der Vorabver</w:t>
      </w:r>
      <w:r w:rsidRPr="009118AB">
        <w:softHyphen/>
        <w:t>ständigung über die Verrechnungspreisgestaltung,</w:t>
      </w:r>
    </w:p>
    <w:p w14:paraId="24FE8FD2" w14:textId="77777777" w:rsidR="00B20510" w:rsidRPr="009118AB" w:rsidRDefault="00B20510" w:rsidP="00B20510">
      <w:pPr>
        <w:jc w:val="both"/>
      </w:pPr>
    </w:p>
    <w:p w14:paraId="54E02AD4" w14:textId="77777777" w:rsidR="00B20510" w:rsidRPr="009118AB" w:rsidRDefault="00B20510" w:rsidP="00B20510">
      <w:pPr>
        <w:ind w:firstLine="708"/>
        <w:jc w:val="both"/>
      </w:pPr>
      <w:r w:rsidRPr="009118AB">
        <w:rPr>
          <w:i/>
        </w:rPr>
        <w:t>g)</w:t>
      </w:r>
      <w:r w:rsidRPr="009118AB">
        <w:t> den Betrag der Transaktion oder Reihe von Transaktionen des grenzüberschreiten</w:t>
      </w:r>
      <w:r w:rsidRPr="009118AB">
        <w:softHyphen/>
        <w:t>den Vorbescheids beziehungsweise der Vorabverständigung über die Verrechnungspreisge</w:t>
      </w:r>
      <w:r w:rsidRPr="009118AB">
        <w:softHyphen/>
        <w:t>staltung, sofern dieser Betrag im grenzüberschreitenden Vorbescheid beziehungsweise in der Vorabverständigung über die Verrechnungspreisgestaltung angegeben ist,</w:t>
      </w:r>
    </w:p>
    <w:p w14:paraId="36D7E20E" w14:textId="77777777" w:rsidR="00B20510" w:rsidRPr="009118AB" w:rsidRDefault="00B20510" w:rsidP="00B20510">
      <w:pPr>
        <w:jc w:val="both"/>
      </w:pPr>
    </w:p>
    <w:p w14:paraId="1308012A" w14:textId="77777777" w:rsidR="00B20510" w:rsidRPr="009118AB" w:rsidRDefault="00B20510" w:rsidP="00B20510">
      <w:pPr>
        <w:ind w:firstLine="708"/>
        <w:jc w:val="both"/>
      </w:pPr>
      <w:r w:rsidRPr="009118AB">
        <w:rPr>
          <w:i/>
        </w:rPr>
        <w:t>h)</w:t>
      </w:r>
      <w:r w:rsidRPr="009118AB">
        <w:t> im Falle einer Vorabverständigung über die Verrechnungspreisgestaltung die bei der Festlegung der Verrechnungspreise zugrunde gelegten Kriterien oder den Verrech</w:t>
      </w:r>
      <w:r w:rsidRPr="009118AB">
        <w:softHyphen/>
        <w:t>nungspreis,</w:t>
      </w:r>
    </w:p>
    <w:p w14:paraId="35216613" w14:textId="77777777" w:rsidR="00B20510" w:rsidRPr="009118AB" w:rsidRDefault="00B20510" w:rsidP="00B20510">
      <w:pPr>
        <w:jc w:val="both"/>
      </w:pPr>
    </w:p>
    <w:p w14:paraId="5D55BB1F" w14:textId="77777777" w:rsidR="00B20510" w:rsidRPr="009118AB" w:rsidRDefault="00B20510" w:rsidP="00B20510">
      <w:pPr>
        <w:ind w:firstLine="708"/>
        <w:jc w:val="both"/>
      </w:pPr>
      <w:r w:rsidRPr="009118AB">
        <w:rPr>
          <w:i/>
        </w:rPr>
        <w:t>i)</w:t>
      </w:r>
      <w:r w:rsidRPr="009118AB">
        <w:t> im Falle einer Vorabverständigung über die Verrechnungspreisgestaltung das der Festlegung der Verrechnungspreise zugrunde gelegte Verfahren oder den Verrechnungspreis,</w:t>
      </w:r>
    </w:p>
    <w:p w14:paraId="3CF87465" w14:textId="77777777" w:rsidR="00B20510" w:rsidRPr="009118AB" w:rsidRDefault="00B20510" w:rsidP="00B20510">
      <w:pPr>
        <w:jc w:val="both"/>
      </w:pPr>
    </w:p>
    <w:p w14:paraId="22962242" w14:textId="77777777" w:rsidR="00B20510" w:rsidRPr="009118AB" w:rsidRDefault="00B20510" w:rsidP="00B20510">
      <w:pPr>
        <w:ind w:firstLine="708"/>
        <w:jc w:val="both"/>
      </w:pPr>
      <w:r w:rsidRPr="009118AB">
        <w:rPr>
          <w:i/>
        </w:rPr>
        <w:t>j)</w:t>
      </w:r>
      <w:r w:rsidRPr="009118AB">
        <w:t> gegebenenfalls Angaben zu den anderen Mitgliedstaaten, die wahrscheinlich von dem grenzüberschreitenden Vorbescheid oder der Vorabverständigung über die Verrech</w:t>
      </w:r>
      <w:r w:rsidRPr="009118AB">
        <w:softHyphen/>
        <w:t>nungspreisgestaltung betroffen sind,</w:t>
      </w:r>
    </w:p>
    <w:p w14:paraId="74ACF01A" w14:textId="77777777" w:rsidR="00B20510" w:rsidRPr="009118AB" w:rsidRDefault="00B20510" w:rsidP="00B20510">
      <w:pPr>
        <w:jc w:val="both"/>
      </w:pPr>
    </w:p>
    <w:p w14:paraId="29840324" w14:textId="77777777" w:rsidR="00B20510" w:rsidRPr="009118AB" w:rsidRDefault="00B20510" w:rsidP="00B20510">
      <w:pPr>
        <w:ind w:firstLine="708"/>
        <w:jc w:val="both"/>
      </w:pPr>
      <w:r w:rsidRPr="009118AB">
        <w:rPr>
          <w:i/>
        </w:rPr>
        <w:t>k)</w:t>
      </w:r>
      <w:r w:rsidRPr="009118AB">
        <w:t> gegebenenfalls Identifizierungsangaben zu allen Personen in den anderen Mitgliedstaaten, die wahrscheinlich von dem grenzüberschreitenden Vorbescheid oder der Vorabverständigung über die Verrechnungspreisgestaltung betroffen sind, sowie Angaben dazu, zu welchen Mitgliedstaaten die betreffenden Personen in Beziehung stehen, und</w:t>
      </w:r>
    </w:p>
    <w:p w14:paraId="487952EB" w14:textId="77777777" w:rsidR="00B20510" w:rsidRPr="009118AB" w:rsidRDefault="00B20510" w:rsidP="00B20510">
      <w:pPr>
        <w:jc w:val="both"/>
      </w:pPr>
    </w:p>
    <w:p w14:paraId="716EEF37" w14:textId="187E7E0A" w:rsidR="00B20510" w:rsidRPr="009118AB" w:rsidRDefault="00B20510" w:rsidP="00B20510">
      <w:pPr>
        <w:ind w:firstLine="708"/>
        <w:jc w:val="both"/>
      </w:pPr>
      <w:r w:rsidRPr="009118AB">
        <w:rPr>
          <w:i/>
        </w:rPr>
        <w:t>l)</w:t>
      </w:r>
      <w:r w:rsidRPr="009118AB">
        <w:t xml:space="preserve"> Angaben dazu, ob die übermittelten Informationen auf dem grenzüberschreitenden Vorbescheid beziehungsweise der Vorabverständigung über die Verrechnungspreisgestaltung selbst beruhen oder auf einem Ersuchen gemäß </w:t>
      </w:r>
      <w:r w:rsidR="00D67EB8" w:rsidRPr="009118AB">
        <w:t>Nr. </w:t>
      </w:r>
      <w:r w:rsidRPr="009118AB">
        <w:t>3 Absatz 2 des vorliegenden Paragraphen.</w:t>
      </w:r>
    </w:p>
    <w:p w14:paraId="47DBF5C2" w14:textId="77777777" w:rsidR="00B20510" w:rsidRPr="009118AB" w:rsidRDefault="00B20510" w:rsidP="00B20510">
      <w:pPr>
        <w:jc w:val="both"/>
      </w:pPr>
    </w:p>
    <w:p w14:paraId="5C6FF927" w14:textId="2D0E02BB" w:rsidR="00B20510" w:rsidRPr="009118AB" w:rsidRDefault="00B20510" w:rsidP="00B20510">
      <w:pPr>
        <w:ind w:firstLine="708"/>
        <w:jc w:val="both"/>
      </w:pPr>
      <w:r w:rsidRPr="009118AB">
        <w:t xml:space="preserve">7. Die Informationen nach </w:t>
      </w:r>
      <w:r w:rsidR="00D67EB8" w:rsidRPr="009118AB">
        <w:t>Nr. </w:t>
      </w:r>
      <w:r w:rsidRPr="009118AB">
        <w:t>6 Buchstabe </w:t>
      </w:r>
      <w:r w:rsidRPr="009118AB">
        <w:rPr>
          <w:i/>
        </w:rPr>
        <w:t>a)</w:t>
      </w:r>
      <w:r w:rsidRPr="009118AB">
        <w:t xml:space="preserve">, </w:t>
      </w:r>
      <w:r w:rsidRPr="009118AB">
        <w:rPr>
          <w:i/>
        </w:rPr>
        <w:t>b)</w:t>
      </w:r>
      <w:r w:rsidRPr="009118AB">
        <w:t xml:space="preserve">, </w:t>
      </w:r>
      <w:r w:rsidRPr="009118AB">
        <w:rPr>
          <w:i/>
        </w:rPr>
        <w:t>h)</w:t>
      </w:r>
      <w:r w:rsidRPr="009118AB">
        <w:t xml:space="preserve"> und </w:t>
      </w:r>
      <w:r w:rsidRPr="009118AB">
        <w:rPr>
          <w:i/>
        </w:rPr>
        <w:t>k)</w:t>
      </w:r>
      <w:r w:rsidRPr="009118AB">
        <w:t xml:space="preserve"> des vorliegenden Paragraphen werden der Europäischen Kommission nicht übermittelt.</w:t>
      </w:r>
    </w:p>
    <w:p w14:paraId="4EB639AA" w14:textId="77777777" w:rsidR="00B20510" w:rsidRPr="009118AB" w:rsidRDefault="00B20510" w:rsidP="00B20510">
      <w:pPr>
        <w:jc w:val="both"/>
      </w:pPr>
    </w:p>
    <w:p w14:paraId="3FCF0932" w14:textId="49291C4F" w:rsidR="00B20510" w:rsidRPr="009118AB" w:rsidRDefault="00B20510" w:rsidP="00B20510">
      <w:pPr>
        <w:ind w:firstLine="708"/>
        <w:jc w:val="both"/>
      </w:pPr>
      <w:r w:rsidRPr="009118AB">
        <w:t>8. Die belgische zuständige Behörde bestätigt der zuständigen Behörde, die die Informationen übermittelt hat, unverzüglich</w:t>
      </w:r>
      <w:r w:rsidR="00D67EB8" w:rsidRPr="009118AB">
        <w:t> - </w:t>
      </w:r>
      <w:r w:rsidRPr="009118AB">
        <w:t>spätestens jedoch innerhalb von sieben Werktagen nach Erhalt</w:t>
      </w:r>
      <w:r w:rsidR="00D67EB8" w:rsidRPr="009118AB">
        <w:t> - </w:t>
      </w:r>
      <w:r w:rsidRPr="009118AB">
        <w:t xml:space="preserve">und möglichst auf elektronischem Wege den Erhalt der Informationen. Diese Maßnahme gilt, bis das in </w:t>
      </w:r>
      <w:r w:rsidR="00D67EB8" w:rsidRPr="009118AB">
        <w:t>§ </w:t>
      </w:r>
      <w:r w:rsidRPr="009118AB">
        <w:t>24 Absatz 3 und 4 genannte Verzeichnis einsatzbereit ist.</w:t>
      </w:r>
    </w:p>
    <w:p w14:paraId="04A0A639" w14:textId="77777777" w:rsidR="00B20510" w:rsidRPr="009118AB" w:rsidRDefault="00B20510" w:rsidP="00B20510">
      <w:pPr>
        <w:jc w:val="both"/>
      </w:pPr>
    </w:p>
    <w:p w14:paraId="22159121" w14:textId="619FFFE4" w:rsidR="00B20510" w:rsidRPr="009118AB" w:rsidRDefault="00B20510" w:rsidP="00B20510">
      <w:pPr>
        <w:ind w:firstLine="708"/>
        <w:jc w:val="both"/>
      </w:pPr>
      <w:r w:rsidRPr="009118AB">
        <w:t xml:space="preserve">9. Die belgische zuständige Behörde kann gemäß </w:t>
      </w:r>
      <w:r w:rsidR="00D67EB8" w:rsidRPr="009118AB">
        <w:t>§ </w:t>
      </w:r>
      <w:r w:rsidRPr="009118AB">
        <w:t>4 und unter Berücksichtigung des Paragraphen 24 Absatz 2 um Übermittlung zusätzlicher Informationen, einschließlich des vollständigen Wortlauts des grenzüberschreitenden Vorbescheids oder der Vorabver</w:t>
      </w:r>
      <w:r w:rsidRPr="009118AB">
        <w:softHyphen/>
        <w:t>ständigung über die Verrechnungspreisgestaltung, ersuchen.</w:t>
      </w:r>
      <w:r w:rsidR="00747569" w:rsidRPr="009118AB">
        <w:t>[</w:t>
      </w:r>
    </w:p>
    <w:p w14:paraId="306D7036" w14:textId="77777777" w:rsidR="00B20510" w:rsidRPr="009118AB" w:rsidRDefault="00B20510" w:rsidP="00B20510">
      <w:pPr>
        <w:jc w:val="both"/>
      </w:pPr>
    </w:p>
    <w:p w14:paraId="71769D8F" w14:textId="000236C6" w:rsidR="00B20510" w:rsidRPr="009118AB" w:rsidRDefault="00747569" w:rsidP="00B20510">
      <w:pPr>
        <w:ind w:firstLine="708"/>
        <w:jc w:val="both"/>
      </w:pPr>
      <w:r w:rsidRPr="009118AB">
        <w:t>[</w:t>
      </w:r>
      <w:r w:rsidR="00D67EB8" w:rsidRPr="009118AB">
        <w:t>§ </w:t>
      </w:r>
      <w:r w:rsidR="00B20510" w:rsidRPr="009118AB">
        <w:t>6/2</w:t>
      </w:r>
      <w:r w:rsidR="00D67EB8" w:rsidRPr="009118AB">
        <w:t> - </w:t>
      </w:r>
      <w:r w:rsidR="008E3F3C" w:rsidRPr="009118AB">
        <w:t>[Die belgische zuständige Behörde unterbreitet der Kommission jährlich Statistiken zum Umfang des automatischen Informationsaustauschs gemäß den Paragraphen 6 Absatz 1, 6/1 und 6/5 und Angaben zu den administrativen und anderen einschlägigen Kosten und Nutzen des erfolgten Austauschs und zu allen möglichen Änderungen, sowohl für die Steuerverwaltungen als auch für Dritte.]</w:t>
      </w:r>
      <w:r w:rsidRPr="009118AB">
        <w:t>]</w:t>
      </w:r>
    </w:p>
    <w:p w14:paraId="6E875DE6" w14:textId="77777777" w:rsidR="00B20510" w:rsidRPr="009118AB" w:rsidRDefault="00B20510" w:rsidP="00B20510">
      <w:pPr>
        <w:jc w:val="both"/>
      </w:pPr>
    </w:p>
    <w:p w14:paraId="5A2A3092" w14:textId="6FFC0CFD" w:rsidR="00B20510" w:rsidRPr="009118AB" w:rsidRDefault="00747569" w:rsidP="00B20510">
      <w:pPr>
        <w:ind w:firstLine="708"/>
        <w:jc w:val="both"/>
      </w:pPr>
      <w:r w:rsidRPr="009118AB">
        <w:t>[</w:t>
      </w:r>
      <w:r w:rsidR="00D67EB8" w:rsidRPr="009118AB">
        <w:t>§ </w:t>
      </w:r>
      <w:r w:rsidR="00B20510" w:rsidRPr="009118AB">
        <w:t>6/3</w:t>
      </w:r>
      <w:r w:rsidR="00D67EB8" w:rsidRPr="009118AB">
        <w:t> - </w:t>
      </w:r>
      <w:r w:rsidR="00B20510" w:rsidRPr="009118AB">
        <w:t>Die für die Festlegung der Einkommensteuern zuständige belgische Verwaltung übermittelt den in Artikel 321/2 erwähnten länderbezogenen Bericht mittels automatischem Austausch und innerhalb der in folgendem Absatz festgelegten Frist an jeden Mitgliedstaat, in dem gemäß den im Bericht enthaltenen Informationen eine oder mehrere Geschäftseinheiten der multinationalen Gruppe des berichtenden Rechtsträgers entweder steuerlich ansässig oder in Bezug auf die Geschäftstätigkeiten, denen sie über eine Betriebsstätte nachgehen, steuerpflichtig sind.</w:t>
      </w:r>
    </w:p>
    <w:p w14:paraId="1F964029" w14:textId="77777777" w:rsidR="00B20510" w:rsidRPr="009118AB" w:rsidRDefault="00B20510" w:rsidP="00B20510">
      <w:pPr>
        <w:jc w:val="both"/>
      </w:pPr>
    </w:p>
    <w:p w14:paraId="622826AE" w14:textId="6EF5F106" w:rsidR="00B20510" w:rsidRPr="009118AB" w:rsidRDefault="00B20510" w:rsidP="007E517A">
      <w:pPr>
        <w:ind w:firstLine="708"/>
        <w:jc w:val="both"/>
      </w:pPr>
      <w:r w:rsidRPr="009118AB">
        <w:t>Die Übermittlung erfolgt innerhalb von fünfzehn Monaten nach dem letzten Tag des Geschäftsjahres der multinationalen Gruppe, auf das sich der länderbezogene Bericht bezieht. Der erste länderbezogene Bericht wird für den Berichtszeitraum der multinationalen Gruppe übermittelt, der am oder nach dem 1. Januar 2016 beginnt; die Übermittlung erfolgt innerhalb von achtzehn Monaten nach dem letzten Tag des b</w:t>
      </w:r>
      <w:r w:rsidR="0074278D" w:rsidRPr="009118AB">
        <w:t>etreffenden Berichtszeitraums.]</w:t>
      </w:r>
    </w:p>
    <w:p w14:paraId="6C2C781A" w14:textId="01086048" w:rsidR="0074278D" w:rsidRPr="009118AB" w:rsidRDefault="0074278D" w:rsidP="007E517A">
      <w:pPr>
        <w:ind w:firstLine="708"/>
        <w:jc w:val="both"/>
      </w:pPr>
    </w:p>
    <w:p w14:paraId="1FEFA7AF" w14:textId="153932A7" w:rsidR="0074278D" w:rsidRPr="009118AB" w:rsidRDefault="0074278D" w:rsidP="0074278D">
      <w:pPr>
        <w:ind w:firstLine="708"/>
        <w:jc w:val="both"/>
      </w:pPr>
      <w:r w:rsidRPr="009118AB">
        <w:t>[</w:t>
      </w:r>
      <w:r w:rsidR="00D67EB8" w:rsidRPr="009118AB">
        <w:t>§ </w:t>
      </w:r>
      <w:r w:rsidRPr="009118AB">
        <w:t>6/4</w:t>
      </w:r>
      <w:r w:rsidR="00D67EB8" w:rsidRPr="009118AB">
        <w:t> - </w:t>
      </w:r>
      <w:r w:rsidRPr="009118AB">
        <w:t>Die belgische zuständige Behörde übermittelt die in Absatz 2 erwähnten Angaben über grenzüberschreitende Gestaltungen, die ihr vom Intermediär oder vom relevanten Steuerpflichtigen gemäß den Artikeln 326/1 bis 326/8 mitgeteilt worden sind, in der in Absatz 3 erwähnten Frist den zuständigen Behörden aller anderen Mitgliedstaaten im Wege eines automatischen Austauschs.</w:t>
      </w:r>
    </w:p>
    <w:p w14:paraId="4800B559" w14:textId="77777777" w:rsidR="0074278D" w:rsidRPr="009118AB" w:rsidRDefault="0074278D" w:rsidP="0074278D">
      <w:pPr>
        <w:jc w:val="both"/>
      </w:pPr>
    </w:p>
    <w:p w14:paraId="5E39E9D4" w14:textId="77777777" w:rsidR="0074278D" w:rsidRPr="009118AB" w:rsidRDefault="0074278D" w:rsidP="0074278D">
      <w:pPr>
        <w:ind w:firstLine="708"/>
        <w:jc w:val="both"/>
      </w:pPr>
      <w:r w:rsidRPr="009118AB">
        <w:t>Die von der belgischen zuständigen Behörde gemäß Absatz 1 zu übermittelnden Informationen umfassen soweit anwendbar Folgendes:</w:t>
      </w:r>
    </w:p>
    <w:p w14:paraId="6ECC4354" w14:textId="77777777" w:rsidR="0074278D" w:rsidRPr="009118AB" w:rsidRDefault="0074278D" w:rsidP="0074278D">
      <w:pPr>
        <w:jc w:val="both"/>
      </w:pPr>
    </w:p>
    <w:p w14:paraId="2D3FDB23" w14:textId="3B919E92" w:rsidR="0074278D" w:rsidRPr="009118AB" w:rsidRDefault="0074278D" w:rsidP="0074278D">
      <w:pPr>
        <w:ind w:firstLine="708"/>
        <w:jc w:val="both"/>
      </w:pPr>
      <w:r w:rsidRPr="009118AB">
        <w:t xml:space="preserve">1. Angaben zu den in Artikel 326/1 </w:t>
      </w:r>
      <w:r w:rsidR="00D67EB8" w:rsidRPr="009118AB">
        <w:t>Nr. </w:t>
      </w:r>
      <w:r w:rsidRPr="009118AB">
        <w:t xml:space="preserve">4 und 5 erwähnten Intermediären und relevanten Steuerpflichtigen, einschließlich des Namens, des Geburtsdatums und -orts (bei natürlichen Personen), des Steuerwohnsitzes und der Steueridentifikationsnummer sowie gegebenenfalls der Personen, die gemäß </w:t>
      </w:r>
      <w:r w:rsidR="00D67EB8" w:rsidRPr="009118AB">
        <w:t>§ </w:t>
      </w:r>
      <w:r w:rsidRPr="009118AB">
        <w:t xml:space="preserve">2 </w:t>
      </w:r>
      <w:r w:rsidR="00D67EB8" w:rsidRPr="009118AB">
        <w:t>Nr. </w:t>
      </w:r>
      <w:r w:rsidRPr="009118AB">
        <w:t>21 als verbundene Unternehmen des relevanten Steuerpflich</w:t>
      </w:r>
      <w:r w:rsidRPr="009118AB">
        <w:softHyphen/>
        <w:t>tigen gelten,</w:t>
      </w:r>
    </w:p>
    <w:p w14:paraId="05C69DAB" w14:textId="77777777" w:rsidR="0074278D" w:rsidRPr="009118AB" w:rsidRDefault="0074278D" w:rsidP="0074278D">
      <w:pPr>
        <w:jc w:val="both"/>
      </w:pPr>
    </w:p>
    <w:p w14:paraId="2F9B5555" w14:textId="77777777" w:rsidR="0074278D" w:rsidRPr="009118AB" w:rsidRDefault="0074278D" w:rsidP="0074278D">
      <w:pPr>
        <w:ind w:firstLine="708"/>
        <w:jc w:val="both"/>
      </w:pPr>
      <w:r w:rsidRPr="009118AB">
        <w:t>2. Einzelheiten zu den in Artikel 326/2 erwähnten Kennzeichen, die bewirken, dass die grenzüberschreitende Gestaltung meldepflichtig ist,</w:t>
      </w:r>
    </w:p>
    <w:p w14:paraId="752557CC" w14:textId="77777777" w:rsidR="0074278D" w:rsidRPr="009118AB" w:rsidRDefault="0074278D" w:rsidP="0074278D">
      <w:pPr>
        <w:jc w:val="both"/>
      </w:pPr>
    </w:p>
    <w:p w14:paraId="34A6169C" w14:textId="77777777" w:rsidR="0074278D" w:rsidRPr="009118AB" w:rsidRDefault="0074278D" w:rsidP="0074278D">
      <w:pPr>
        <w:ind w:firstLine="708"/>
        <w:jc w:val="both"/>
      </w:pPr>
      <w:r w:rsidRPr="009118AB">
        <w:t>3. Zusammenfassung des Inhalts der meldepflichtigen grenzüberschreitenden Gestal</w:t>
      </w:r>
      <w:r w:rsidRPr="009118AB">
        <w:softHyphen/>
        <w:t>tung, soweit vorhanden einschließlich eines Verweises auf die Bezeichnung, unter der sie allgemein bekannt ist, und einer abstrakt gehaltenen Beschreibung der relevanten Geschäftstätigkeiten oder Gestaltungen, die nicht zur Preisgabe eines Handels-, Gewerbe- oder Berufsgeheimnisses oder eines Geschäftsverfahrens oder von Informationen führt, deren Preisgabe die öffentliche Ordnung verletzen würde,</w:t>
      </w:r>
    </w:p>
    <w:p w14:paraId="62BE2EEB" w14:textId="77777777" w:rsidR="0074278D" w:rsidRPr="009118AB" w:rsidRDefault="0074278D" w:rsidP="0074278D">
      <w:pPr>
        <w:jc w:val="both"/>
      </w:pPr>
    </w:p>
    <w:p w14:paraId="351ADBD1" w14:textId="77777777" w:rsidR="0074278D" w:rsidRPr="009118AB" w:rsidRDefault="0074278D" w:rsidP="0074278D">
      <w:pPr>
        <w:ind w:firstLine="708"/>
        <w:jc w:val="both"/>
      </w:pPr>
      <w:r w:rsidRPr="009118AB">
        <w:t>4. Datum, an dem der erste Schritt der Umsetzung der meldepflichtigen grenzüber</w:t>
      </w:r>
      <w:r w:rsidRPr="009118AB">
        <w:softHyphen/>
        <w:t>schreitenden Gestaltung gemacht wurde oder gemacht werden wird,</w:t>
      </w:r>
    </w:p>
    <w:p w14:paraId="626FB0B9" w14:textId="77777777" w:rsidR="0074278D" w:rsidRPr="009118AB" w:rsidRDefault="0074278D" w:rsidP="0074278D">
      <w:pPr>
        <w:jc w:val="both"/>
      </w:pPr>
    </w:p>
    <w:p w14:paraId="71DB9434" w14:textId="77777777" w:rsidR="0074278D" w:rsidRPr="009118AB" w:rsidRDefault="0074278D" w:rsidP="0074278D">
      <w:pPr>
        <w:ind w:firstLine="708"/>
        <w:jc w:val="both"/>
      </w:pPr>
      <w:r w:rsidRPr="009118AB">
        <w:t>5. Einzelheiten zu den nationalen Vorschriften, die die Grundlage der meldepflichtigen grenzüberschreitenden Gestaltung bilden,</w:t>
      </w:r>
    </w:p>
    <w:p w14:paraId="0FD1776B" w14:textId="77777777" w:rsidR="0074278D" w:rsidRPr="009118AB" w:rsidRDefault="0074278D" w:rsidP="0074278D">
      <w:pPr>
        <w:jc w:val="both"/>
      </w:pPr>
    </w:p>
    <w:p w14:paraId="71DF0654" w14:textId="77777777" w:rsidR="0074278D" w:rsidRPr="009118AB" w:rsidRDefault="0074278D" w:rsidP="0074278D">
      <w:pPr>
        <w:ind w:firstLine="708"/>
        <w:jc w:val="both"/>
      </w:pPr>
      <w:r w:rsidRPr="009118AB">
        <w:t>6. Wert der meldepflichtigen grenzüberschreitenden Gestaltung,</w:t>
      </w:r>
    </w:p>
    <w:p w14:paraId="1402C924" w14:textId="77777777" w:rsidR="0074278D" w:rsidRPr="009118AB" w:rsidRDefault="0074278D" w:rsidP="0074278D">
      <w:pPr>
        <w:jc w:val="both"/>
      </w:pPr>
    </w:p>
    <w:p w14:paraId="49EB3109" w14:textId="77777777" w:rsidR="0074278D" w:rsidRPr="009118AB" w:rsidRDefault="0074278D" w:rsidP="0074278D">
      <w:pPr>
        <w:ind w:firstLine="708"/>
        <w:jc w:val="both"/>
      </w:pPr>
      <w:r w:rsidRPr="009118AB">
        <w:t>7. Angabe des Mitgliedstaates des/der relevanten Steuerpflichtigen und aller anderen Mitgliedstaaten, die wahrscheinlich von der meldepflichtigen grenzüberschreitenden Gestal</w:t>
      </w:r>
      <w:r w:rsidRPr="009118AB">
        <w:softHyphen/>
        <w:t>tung betroffen sind,</w:t>
      </w:r>
    </w:p>
    <w:p w14:paraId="5EC500A2" w14:textId="77777777" w:rsidR="0074278D" w:rsidRPr="009118AB" w:rsidRDefault="0074278D" w:rsidP="0074278D">
      <w:pPr>
        <w:jc w:val="both"/>
      </w:pPr>
    </w:p>
    <w:p w14:paraId="46B622F0" w14:textId="77777777" w:rsidR="0074278D" w:rsidRPr="009118AB" w:rsidRDefault="0074278D" w:rsidP="0074278D">
      <w:pPr>
        <w:ind w:firstLine="708"/>
        <w:jc w:val="both"/>
      </w:pPr>
      <w:r w:rsidRPr="009118AB">
        <w:t>8. Angaben zu allen anderen Personen in einem Mitgliedstaat, die wahrscheinlich von der meldepflichtigen grenzüberschreitenden Gestaltung betroffen sind, einschließlich Angaben darüber, zu welchen Mitgliedstaaten sie in Beziehung stehen.</w:t>
      </w:r>
    </w:p>
    <w:p w14:paraId="54673418" w14:textId="77777777" w:rsidR="0074278D" w:rsidRPr="009118AB" w:rsidRDefault="0074278D" w:rsidP="0074278D">
      <w:pPr>
        <w:jc w:val="both"/>
      </w:pPr>
    </w:p>
    <w:p w14:paraId="16464D92" w14:textId="77777777" w:rsidR="0074278D" w:rsidRPr="009118AB" w:rsidRDefault="0074278D" w:rsidP="0074278D">
      <w:pPr>
        <w:ind w:firstLine="708"/>
        <w:jc w:val="both"/>
      </w:pPr>
      <w:r w:rsidRPr="009118AB">
        <w:t>Der automatische Austausch erfolgt innerhalb eines Monats nach Ablauf des Quartals, in dem die Informationen vorgelegt wurden. Die ersten Informationen werden bis zum 31. Oktober 2020 übermittelt.</w:t>
      </w:r>
    </w:p>
    <w:p w14:paraId="221A8D24" w14:textId="77777777" w:rsidR="0074278D" w:rsidRPr="009118AB" w:rsidRDefault="0074278D" w:rsidP="0074278D">
      <w:pPr>
        <w:jc w:val="both"/>
      </w:pPr>
    </w:p>
    <w:p w14:paraId="39624DBF" w14:textId="1135C28E" w:rsidR="0074278D" w:rsidRPr="009118AB" w:rsidRDefault="0074278D" w:rsidP="0074278D">
      <w:pPr>
        <w:ind w:firstLine="708"/>
        <w:jc w:val="both"/>
      </w:pPr>
      <w:r w:rsidRPr="009118AB">
        <w:t xml:space="preserve">In Absatz 2 </w:t>
      </w:r>
      <w:r w:rsidR="00D67EB8" w:rsidRPr="009118AB">
        <w:t>Nr. </w:t>
      </w:r>
      <w:r w:rsidRPr="009118AB">
        <w:t>1, 3 und 8 des vorliegenden Paragraphen erwähnte Informationen werden der Europäischen Kommission nicht übermittelt.]</w:t>
      </w:r>
    </w:p>
    <w:p w14:paraId="02E87E5D" w14:textId="77777777" w:rsidR="008E3F3C" w:rsidRPr="009118AB" w:rsidRDefault="008E3F3C" w:rsidP="0074278D">
      <w:pPr>
        <w:ind w:firstLine="708"/>
        <w:jc w:val="both"/>
      </w:pPr>
    </w:p>
    <w:p w14:paraId="5932034A" w14:textId="7307B381" w:rsidR="008E3F3C" w:rsidRPr="009118AB" w:rsidRDefault="008E3F3C" w:rsidP="008E3F3C">
      <w:pPr>
        <w:ind w:firstLine="708"/>
        <w:jc w:val="both"/>
      </w:pPr>
      <w:r w:rsidRPr="009118AB">
        <w:t>[§ 6/5 - Der zuständige Dienst des FÖD Finanzen, der die in Artikel 321</w:t>
      </w:r>
      <w:r w:rsidRPr="009118AB">
        <w:rPr>
          <w:i/>
          <w:iCs/>
        </w:rPr>
        <w:t>sexies</w:t>
      </w:r>
      <w:r w:rsidRPr="009118AB">
        <w:t xml:space="preserve"> erwähnte Meldung erhalten hat, tauscht im Wege des automatischen Austauschs und in den Formen und innerhalb der Fristen gemäß Absatz 3 in Bezug auf jeden meldepflichtigen Verkäufer mit der zuständigen Behörde des Staates, für den Meldepflicht besteht und in dem der meldepflichtige Verkäufer im Sinne von Artikel 321</w:t>
      </w:r>
      <w:r w:rsidRPr="009118AB">
        <w:rPr>
          <w:i/>
          <w:iCs/>
        </w:rPr>
        <w:t>quinquies</w:t>
      </w:r>
      <w:r w:rsidRPr="009118AB">
        <w:t xml:space="preserve"> § 4 ansässig ist, und sofern der meldepflichtige Verkäufer Vermietungsdienstleistungen für unbewegliche Güter erbringt, in jedem Fall mit der zuständigen Behörde des Staates, für den Meldepflicht besteht und in dem das unbewegliche Gut belegen ist, die folgenden Informationen aus:</w:t>
      </w:r>
    </w:p>
    <w:p w14:paraId="6EB52132" w14:textId="77777777" w:rsidR="008E3F3C" w:rsidRPr="009118AB" w:rsidRDefault="008E3F3C" w:rsidP="008E3F3C">
      <w:pPr>
        <w:jc w:val="both"/>
      </w:pPr>
    </w:p>
    <w:p w14:paraId="35C769E9" w14:textId="77777777" w:rsidR="008E3F3C" w:rsidRPr="009118AB" w:rsidRDefault="008E3F3C" w:rsidP="008E3F3C">
      <w:pPr>
        <w:jc w:val="both"/>
      </w:pPr>
      <w:r w:rsidRPr="009118AB">
        <w:tab/>
        <w:t>1. Namen, Anschrift des Hauptsitzes, Steueridentifikationsnummer und gegebenenfalls von der belgischen zuständigen Behörde erteilte individuelle Identifikationsnummer des meldenden Plattformbetreibers sowie Gesellschaftsnamen der Plattform(en), über die der meldende Plattformbetreiber Meldung erstattet,</w:t>
      </w:r>
    </w:p>
    <w:p w14:paraId="3E36D51A" w14:textId="77777777" w:rsidR="008E3F3C" w:rsidRPr="009118AB" w:rsidRDefault="008E3F3C" w:rsidP="008E3F3C">
      <w:pPr>
        <w:jc w:val="both"/>
      </w:pPr>
    </w:p>
    <w:p w14:paraId="589A2EE5" w14:textId="77777777" w:rsidR="008E3F3C" w:rsidRPr="009118AB" w:rsidRDefault="008E3F3C" w:rsidP="008E3F3C">
      <w:pPr>
        <w:jc w:val="both"/>
      </w:pPr>
      <w:r w:rsidRPr="009118AB">
        <w:tab/>
        <w:t>2. Vornamen und Namen des meldepflichtigen Verkäufers, wenn dieser eine natürliche Person ist, und Gesellschaftsnamen des meldepflichtigen Verkäufers, wenn dieser ein Rechtsträger ist,</w:t>
      </w:r>
    </w:p>
    <w:p w14:paraId="2E05E8F9" w14:textId="77777777" w:rsidR="008E3F3C" w:rsidRPr="009118AB" w:rsidRDefault="008E3F3C" w:rsidP="008E3F3C">
      <w:pPr>
        <w:jc w:val="both"/>
      </w:pPr>
    </w:p>
    <w:p w14:paraId="33C773DF" w14:textId="77777777" w:rsidR="008E3F3C" w:rsidRPr="009118AB" w:rsidRDefault="008E3F3C" w:rsidP="008E3F3C">
      <w:pPr>
        <w:jc w:val="both"/>
      </w:pPr>
      <w:r w:rsidRPr="009118AB">
        <w:tab/>
        <w:t>3. Hauptanschrift,</w:t>
      </w:r>
    </w:p>
    <w:p w14:paraId="05B4FC92" w14:textId="77777777" w:rsidR="008E3F3C" w:rsidRPr="009118AB" w:rsidRDefault="008E3F3C" w:rsidP="008E3F3C">
      <w:pPr>
        <w:jc w:val="both"/>
      </w:pPr>
    </w:p>
    <w:p w14:paraId="0B4A1641" w14:textId="77777777" w:rsidR="008E3F3C" w:rsidRPr="009118AB" w:rsidRDefault="008E3F3C" w:rsidP="008E3F3C">
      <w:pPr>
        <w:jc w:val="both"/>
      </w:pPr>
      <w:r w:rsidRPr="009118AB">
        <w:tab/>
        <w:t>4. jede Steueridentifikationsnummer des meldepflichtigen Verkäufers unter Angabe des jeweiligen Staates, der diese ausgestellt hat, oder, falls keine Steueridentifikationsnummer vorhanden ist, Geburtsort des meldepflichtigen Verkäufers, wenn dieser eine natürliche Person ist,</w:t>
      </w:r>
    </w:p>
    <w:p w14:paraId="34446B58" w14:textId="77777777" w:rsidR="008E3F3C" w:rsidRPr="009118AB" w:rsidRDefault="008E3F3C" w:rsidP="008E3F3C">
      <w:pPr>
        <w:jc w:val="both"/>
      </w:pPr>
    </w:p>
    <w:p w14:paraId="3FD6DD7E" w14:textId="77777777" w:rsidR="008E3F3C" w:rsidRPr="009118AB" w:rsidRDefault="008E3F3C" w:rsidP="008E3F3C">
      <w:pPr>
        <w:jc w:val="both"/>
      </w:pPr>
      <w:r w:rsidRPr="009118AB">
        <w:tab/>
        <w:t>5. Handelsregisternummer des meldepflichtigen Verkäufers, wenn dieser ein Rechtsträger ist,</w:t>
      </w:r>
    </w:p>
    <w:p w14:paraId="30FC1267" w14:textId="77777777" w:rsidR="008E3F3C" w:rsidRPr="009118AB" w:rsidRDefault="008E3F3C" w:rsidP="008E3F3C">
      <w:pPr>
        <w:jc w:val="both"/>
      </w:pPr>
    </w:p>
    <w:p w14:paraId="515AB4E9" w14:textId="77777777" w:rsidR="008E3F3C" w:rsidRPr="009118AB" w:rsidRDefault="008E3F3C" w:rsidP="008E3F3C">
      <w:pPr>
        <w:jc w:val="both"/>
      </w:pPr>
      <w:r w:rsidRPr="009118AB">
        <w:tab/>
        <w:t>6. Mehrwertsteueridentifikationsnummer des meldepflichtigen Verkäufers, falls vorhanden,</w:t>
      </w:r>
    </w:p>
    <w:p w14:paraId="1FDB3107" w14:textId="77777777" w:rsidR="008E3F3C" w:rsidRPr="009118AB" w:rsidRDefault="008E3F3C" w:rsidP="008E3F3C">
      <w:pPr>
        <w:jc w:val="both"/>
      </w:pPr>
    </w:p>
    <w:p w14:paraId="36F49FFA" w14:textId="77777777" w:rsidR="008E3F3C" w:rsidRPr="009118AB" w:rsidRDefault="008E3F3C" w:rsidP="008E3F3C">
      <w:pPr>
        <w:jc w:val="both"/>
      </w:pPr>
      <w:r w:rsidRPr="009118AB">
        <w:tab/>
        <w:t>7. Geburtsdatum des Verkäufers, wenn dieser eine natürliche Person ist,</w:t>
      </w:r>
    </w:p>
    <w:p w14:paraId="61AA09C4" w14:textId="77777777" w:rsidR="008E3F3C" w:rsidRPr="009118AB" w:rsidRDefault="008E3F3C" w:rsidP="008E3F3C">
      <w:pPr>
        <w:jc w:val="both"/>
      </w:pPr>
    </w:p>
    <w:p w14:paraId="53459D23" w14:textId="77777777" w:rsidR="008E3F3C" w:rsidRPr="009118AB" w:rsidRDefault="008E3F3C" w:rsidP="008E3F3C">
      <w:pPr>
        <w:jc w:val="both"/>
      </w:pPr>
      <w:r w:rsidRPr="009118AB">
        <w:tab/>
        <w:t>8. Kennung des Finanzkontos, auf dem die Einzahlung oder Gutschrift der Vergütung erfolgt, sofern der meldende Plattformbetreiber über diese Information verfügt und die zuständige Behörde des Staates, für den Meldepflicht besteht und in dem der meldepflichtige Verkäufer im Sinne von Artikel 321</w:t>
      </w:r>
      <w:r w:rsidRPr="009118AB">
        <w:rPr>
          <w:i/>
          <w:iCs/>
        </w:rPr>
        <w:t>quinquies</w:t>
      </w:r>
      <w:r w:rsidRPr="009118AB">
        <w:t xml:space="preserve"> § 4 ansässig ist, nicht mitgeteilt hat, dass sie die Kennung des Finanzkontos nicht für diesen Zweck zu verwenden beabsichtigt,</w:t>
      </w:r>
    </w:p>
    <w:p w14:paraId="30AA2800" w14:textId="77777777" w:rsidR="008E3F3C" w:rsidRPr="009118AB" w:rsidRDefault="008E3F3C" w:rsidP="008E3F3C">
      <w:pPr>
        <w:jc w:val="both"/>
      </w:pPr>
    </w:p>
    <w:p w14:paraId="0ACD4B24" w14:textId="77777777" w:rsidR="008E3F3C" w:rsidRPr="009118AB" w:rsidRDefault="008E3F3C" w:rsidP="008E3F3C">
      <w:pPr>
        <w:jc w:val="both"/>
      </w:pPr>
      <w:r w:rsidRPr="009118AB">
        <w:tab/>
        <w:t>9. falls von der Bezeichnung des meldepflichtigen Verkäufers abweichend - zusätzlich zur Kennung des Finanzkontos Namen des Inhabers des Finanzkontos, auf das die Vergütung eingezahlt oder auf dem sie gutgeschrieben wird, sofern der meldende Plattformbetreiber über diese Information verfügt, sowie alle sonstigen der Identifizierung dienenden finanziellen Informationen, über die der meldende Plattformbetreiber in Bezug auf diesen Kontoinhaber verfügt,</w:t>
      </w:r>
    </w:p>
    <w:p w14:paraId="00C84DF8" w14:textId="77777777" w:rsidR="008E3F3C" w:rsidRPr="009118AB" w:rsidRDefault="008E3F3C" w:rsidP="008E3F3C">
      <w:pPr>
        <w:jc w:val="both"/>
      </w:pPr>
    </w:p>
    <w:p w14:paraId="1F63C4D0" w14:textId="77777777" w:rsidR="008E3F3C" w:rsidRPr="009118AB" w:rsidRDefault="008E3F3C" w:rsidP="008E3F3C">
      <w:pPr>
        <w:jc w:val="both"/>
      </w:pPr>
      <w:r w:rsidRPr="009118AB">
        <w:tab/>
        <w:t>10. jeden Mitgliedstaat, in dem der meldepflichtige Verkäufer im Sinne von Artikel 321</w:t>
      </w:r>
      <w:r w:rsidRPr="009118AB">
        <w:rPr>
          <w:i/>
          <w:iCs/>
        </w:rPr>
        <w:t>quinquies</w:t>
      </w:r>
      <w:r w:rsidRPr="009118AB">
        <w:t xml:space="preserve"> § 4 ansässig ist,</w:t>
      </w:r>
    </w:p>
    <w:p w14:paraId="51822F5D" w14:textId="77777777" w:rsidR="008E3F3C" w:rsidRPr="009118AB" w:rsidRDefault="008E3F3C" w:rsidP="008E3F3C">
      <w:pPr>
        <w:jc w:val="both"/>
      </w:pPr>
    </w:p>
    <w:p w14:paraId="0A5FD2ED" w14:textId="77777777" w:rsidR="008E3F3C" w:rsidRPr="009118AB" w:rsidRDefault="008E3F3C" w:rsidP="008E3F3C">
      <w:pPr>
        <w:jc w:val="both"/>
      </w:pPr>
      <w:r w:rsidRPr="009118AB">
        <w:tab/>
        <w:t>11. in jedem Quartal des Meldezeitraums insgesamt gezahlte oder gutgeschriebene Vergütung und Zahl der relevanten Tätigkeiten, für die sie gezahlt oder gutgeschrieben wurde,</w:t>
      </w:r>
    </w:p>
    <w:p w14:paraId="192B7883" w14:textId="77777777" w:rsidR="008E3F3C" w:rsidRPr="009118AB" w:rsidRDefault="008E3F3C" w:rsidP="008E3F3C">
      <w:pPr>
        <w:jc w:val="both"/>
      </w:pPr>
    </w:p>
    <w:p w14:paraId="33BAE5B9" w14:textId="77777777" w:rsidR="008E3F3C" w:rsidRPr="009118AB" w:rsidRDefault="008E3F3C" w:rsidP="008E3F3C">
      <w:pPr>
        <w:jc w:val="both"/>
      </w:pPr>
      <w:r w:rsidRPr="009118AB">
        <w:tab/>
        <w:t>12. jegliche Gebühren, Provisionen oder Steuern, die in jedem Quartal des Meldezeitraums vom meldenden Plattformbetreiber einbehalten oder berechnet werden.</w:t>
      </w:r>
    </w:p>
    <w:p w14:paraId="240BC386" w14:textId="77777777" w:rsidR="008E3F3C" w:rsidRPr="009118AB" w:rsidRDefault="008E3F3C" w:rsidP="008E3F3C">
      <w:pPr>
        <w:jc w:val="both"/>
      </w:pPr>
    </w:p>
    <w:p w14:paraId="7258B2EF" w14:textId="77777777" w:rsidR="008E3F3C" w:rsidRPr="009118AB" w:rsidRDefault="008E3F3C" w:rsidP="008E3F3C">
      <w:pPr>
        <w:jc w:val="both"/>
      </w:pPr>
      <w:r w:rsidRPr="009118AB">
        <w:tab/>
        <w:t>Erbringt der meldepflichtige Verkäufer Vermietungsdienstleistungen für unbewegliche Güter, werden die folgenden zusätzlichen Informationen übermittelt:</w:t>
      </w:r>
    </w:p>
    <w:p w14:paraId="4FD5710F" w14:textId="77777777" w:rsidR="008E3F3C" w:rsidRPr="009118AB" w:rsidRDefault="008E3F3C" w:rsidP="008E3F3C">
      <w:pPr>
        <w:jc w:val="both"/>
      </w:pPr>
    </w:p>
    <w:p w14:paraId="4A5F3E91" w14:textId="77777777" w:rsidR="008E3F3C" w:rsidRPr="009118AB" w:rsidRDefault="008E3F3C" w:rsidP="008E3F3C">
      <w:pPr>
        <w:jc w:val="both"/>
      </w:pPr>
      <w:r w:rsidRPr="009118AB">
        <w:tab/>
        <w:t>1. Anschrift für jede inserierte Immobilieneinheit, die gemäß den in Artikel 321</w:t>
      </w:r>
      <w:r w:rsidRPr="009118AB">
        <w:rPr>
          <w:i/>
          <w:iCs/>
        </w:rPr>
        <w:t>quinquies</w:t>
      </w:r>
      <w:r w:rsidRPr="009118AB">
        <w:t xml:space="preserve"> § 5 beschriebenen Verfahren bestimmt wird, und - sofern verfügbar - jeweilige Katasternummer oder gleichwertige Angabe nach dem nationalen Recht des Staates, in dem sie belegen ist,</w:t>
      </w:r>
    </w:p>
    <w:p w14:paraId="42F00CA7" w14:textId="77777777" w:rsidR="008E3F3C" w:rsidRPr="009118AB" w:rsidRDefault="008E3F3C" w:rsidP="008E3F3C">
      <w:pPr>
        <w:jc w:val="both"/>
      </w:pPr>
    </w:p>
    <w:p w14:paraId="0E22438E" w14:textId="77777777" w:rsidR="008E3F3C" w:rsidRPr="009118AB" w:rsidRDefault="008E3F3C" w:rsidP="008E3F3C">
      <w:pPr>
        <w:jc w:val="both"/>
      </w:pPr>
      <w:r w:rsidRPr="009118AB">
        <w:tab/>
        <w:t>2. in jedem Quartal des Meldezeitraums insgesamt gezahlte oder gutgeschriebene Vergütung und Zahl der relevanten Tätigkeiten, die in Bezug auf jede inserierte Immobilieneinheit erbracht wurden,</w:t>
      </w:r>
    </w:p>
    <w:p w14:paraId="53864CBE" w14:textId="77777777" w:rsidR="008E3F3C" w:rsidRPr="009118AB" w:rsidRDefault="008E3F3C" w:rsidP="008E3F3C">
      <w:pPr>
        <w:jc w:val="both"/>
      </w:pPr>
    </w:p>
    <w:p w14:paraId="623AEAAA" w14:textId="77777777" w:rsidR="008E3F3C" w:rsidRPr="009118AB" w:rsidRDefault="008E3F3C" w:rsidP="008E3F3C">
      <w:pPr>
        <w:jc w:val="both"/>
      </w:pPr>
      <w:r w:rsidRPr="009118AB">
        <w:tab/>
        <w:t>3. falls verfügbar, Zahl der Tage, an denen jede inserierte Immobilieneinheit während des Meldezeitraums vermietet war, sowie Art jeder inserierten Immobilieneinheit.</w:t>
      </w:r>
    </w:p>
    <w:p w14:paraId="09496D34" w14:textId="77777777" w:rsidR="008E3F3C" w:rsidRPr="009118AB" w:rsidRDefault="008E3F3C" w:rsidP="008E3F3C">
      <w:pPr>
        <w:jc w:val="both"/>
      </w:pPr>
    </w:p>
    <w:p w14:paraId="60EF1784" w14:textId="77777777" w:rsidR="008E3F3C" w:rsidRPr="009118AB" w:rsidRDefault="008E3F3C" w:rsidP="008E3F3C">
      <w:pPr>
        <w:jc w:val="both"/>
      </w:pPr>
      <w:r w:rsidRPr="009118AB">
        <w:tab/>
        <w:t>Die Übermittlung der Informationen gemäß Absatz 1 des vorliegenden Paragraphen erfolgt unter Verwendung des von der Europäischen Kommission angenommenen elektronischen Standardformats, mit dem ein solcher automatischer Austausch erleichtert werden soll, binnen zwei Monaten nach dem Ende des Meldezeitraums, auf den sich die Meldepflichten des meldenden Plattformbetreibers beziehen. Die Informationen werden erstmals für Meldezeiträume ab dem 1. Januar 2023 übermittelt.</w:t>
      </w:r>
    </w:p>
    <w:p w14:paraId="4F660290" w14:textId="77777777" w:rsidR="008E3F3C" w:rsidRPr="009118AB" w:rsidRDefault="008E3F3C" w:rsidP="008E3F3C">
      <w:pPr>
        <w:jc w:val="both"/>
      </w:pPr>
    </w:p>
    <w:p w14:paraId="54C100F5" w14:textId="097E6044" w:rsidR="008E3F3C" w:rsidRPr="009118AB" w:rsidRDefault="008E3F3C" w:rsidP="008E3F3C">
      <w:pPr>
        <w:ind w:firstLine="708"/>
        <w:jc w:val="both"/>
      </w:pPr>
      <w:r w:rsidRPr="009118AB">
        <w:tab/>
        <w:t>Gilt ein Plattformbetreiber für die belgische zuständige Behörde als freigestellter Plattformbetreiber, so unterrichtet diese Behörde die zuständigen Behörden aller anderen Mitgliedstaaten entsprechend, auch über sämtliche späteren Änderungen.]</w:t>
      </w:r>
    </w:p>
    <w:p w14:paraId="3960CD7C" w14:textId="77777777" w:rsidR="00B20510" w:rsidRPr="009118AB" w:rsidRDefault="00B20510" w:rsidP="00377828">
      <w:pPr>
        <w:jc w:val="both"/>
      </w:pPr>
    </w:p>
    <w:p w14:paraId="51B7D394" w14:textId="446023AA" w:rsidR="00377828" w:rsidRPr="009118AB" w:rsidRDefault="00D67EB8" w:rsidP="00377828">
      <w:pPr>
        <w:ind w:firstLine="708"/>
        <w:jc w:val="both"/>
      </w:pPr>
      <w:r w:rsidRPr="009118AB">
        <w:t>§ </w:t>
      </w:r>
      <w:r w:rsidR="00377828" w:rsidRPr="009118AB">
        <w:t>7</w:t>
      </w:r>
      <w:r w:rsidRPr="009118AB">
        <w:t> - </w:t>
      </w:r>
      <w:r w:rsidR="00377828" w:rsidRPr="009118AB">
        <w:t xml:space="preserve">Die belgische zuständige Behörde übermittelt der ausländischen zuständigen Behörde die in </w:t>
      </w:r>
      <w:r w:rsidRPr="009118AB">
        <w:t>§ </w:t>
      </w:r>
      <w:r w:rsidR="00377828" w:rsidRPr="009118AB">
        <w:t>1 genannten Informationen in folgenden Fällen im Wege des spontanen Informationsaustauschs:</w:t>
      </w:r>
    </w:p>
    <w:p w14:paraId="143CC430" w14:textId="77777777" w:rsidR="00377828" w:rsidRPr="009118AB" w:rsidRDefault="00377828" w:rsidP="00377828">
      <w:pPr>
        <w:jc w:val="both"/>
      </w:pPr>
    </w:p>
    <w:p w14:paraId="7A3F1CBB" w14:textId="77777777" w:rsidR="00377828" w:rsidRPr="009118AB" w:rsidRDefault="00377828" w:rsidP="00377828">
      <w:pPr>
        <w:ind w:firstLine="708"/>
        <w:jc w:val="both"/>
      </w:pPr>
      <w:r w:rsidRPr="009118AB">
        <w:t>1. Die belgische zuständige Behörde hat Gründe für die Vermutung einer Steuerverkürzung in dem anderen Mitgliedstaat.</w:t>
      </w:r>
    </w:p>
    <w:p w14:paraId="623E3415" w14:textId="77777777" w:rsidR="00377828" w:rsidRPr="009118AB" w:rsidRDefault="00377828" w:rsidP="00377828">
      <w:pPr>
        <w:jc w:val="both"/>
      </w:pPr>
    </w:p>
    <w:p w14:paraId="0760F71A" w14:textId="77777777" w:rsidR="00377828" w:rsidRPr="009118AB" w:rsidRDefault="00377828" w:rsidP="00377828">
      <w:pPr>
        <w:ind w:firstLine="708"/>
        <w:jc w:val="both"/>
      </w:pPr>
      <w:r w:rsidRPr="009118AB">
        <w:t>2. Ein Steuerpflichtiger erhält eine Steuerermäßigung oder Steuerbefreiung in Belgien, die eine Steuererhöhung oder eine Besteuerung in dem anderen Mitgliedstaat zur Folge haben würde.</w:t>
      </w:r>
    </w:p>
    <w:p w14:paraId="2DF46262" w14:textId="77777777" w:rsidR="00377828" w:rsidRPr="009118AB" w:rsidRDefault="00377828" w:rsidP="00377828">
      <w:pPr>
        <w:jc w:val="both"/>
      </w:pPr>
    </w:p>
    <w:p w14:paraId="136F1D73" w14:textId="77777777" w:rsidR="00377828" w:rsidRPr="009118AB" w:rsidRDefault="00377828" w:rsidP="00377828">
      <w:pPr>
        <w:ind w:firstLine="708"/>
        <w:jc w:val="both"/>
      </w:pPr>
      <w:r w:rsidRPr="009118AB">
        <w:t>3. Geschäftsbeziehungen zwischen einem Steuerpflichtigen in Belgien und einem Steuerpflichtigen eines anderen Mitgliedstaates werden über ein oder mehrere weitere Länder in einer Weise geleitet, die in einem der beiden oder in beiden Mitgliedstaaten zur Steuerersparnis führen kann.</w:t>
      </w:r>
    </w:p>
    <w:p w14:paraId="28C98212" w14:textId="77777777" w:rsidR="00377828" w:rsidRPr="009118AB" w:rsidRDefault="00377828" w:rsidP="00377828">
      <w:pPr>
        <w:jc w:val="both"/>
      </w:pPr>
    </w:p>
    <w:p w14:paraId="558FB658" w14:textId="77777777" w:rsidR="00377828" w:rsidRPr="009118AB" w:rsidRDefault="00377828" w:rsidP="00377828">
      <w:pPr>
        <w:ind w:firstLine="708"/>
        <w:jc w:val="both"/>
      </w:pPr>
      <w:r w:rsidRPr="009118AB">
        <w:t>4. Die belgische zuständige Behörde hat Gründe für die Vermutung einer Steuerersparnis durch künstliche Gewinnverlagerungen innerhalb eines Konzerns.</w:t>
      </w:r>
    </w:p>
    <w:p w14:paraId="05532497" w14:textId="77777777" w:rsidR="00377828" w:rsidRPr="009118AB" w:rsidRDefault="00377828" w:rsidP="00377828">
      <w:pPr>
        <w:jc w:val="both"/>
      </w:pPr>
    </w:p>
    <w:p w14:paraId="61AF676E" w14:textId="77777777" w:rsidR="00377828" w:rsidRPr="009118AB" w:rsidRDefault="00377828" w:rsidP="00377828">
      <w:pPr>
        <w:ind w:firstLine="708"/>
        <w:jc w:val="both"/>
      </w:pPr>
      <w:r w:rsidRPr="009118AB">
        <w:t>5. Die belgische zuständige Behörde hat im Zusammenhang mit Informationen, die ihr von einer ausländischen zuständigen Behörde übermittelt worden sind, einen Sachverhalt ermittelt, der für die Steuerfestlegung in dem anderen Mitgliedstaat angemessen, sachdienlich und nicht übertrieben ist.</w:t>
      </w:r>
    </w:p>
    <w:p w14:paraId="211FD81B" w14:textId="77777777" w:rsidR="00377828" w:rsidRPr="009118AB" w:rsidRDefault="00377828" w:rsidP="00377828">
      <w:pPr>
        <w:jc w:val="both"/>
      </w:pPr>
    </w:p>
    <w:p w14:paraId="5DB241EC" w14:textId="77777777" w:rsidR="00377828" w:rsidRPr="009118AB" w:rsidRDefault="00377828" w:rsidP="00377828">
      <w:pPr>
        <w:ind w:firstLine="708"/>
        <w:jc w:val="both"/>
      </w:pPr>
      <w:r w:rsidRPr="009118AB">
        <w:t>Die belgische zuständige Behörde kann einer ausländischen zuständigen Behörde im Wege des spontanen Informationsaustauschs alle Informationen, von denen sie Kenntnis hat und die für diese ausländische zuständige Behörde angemessen, sachdienlich und nicht übertrieben sind, übermitteln.</w:t>
      </w:r>
    </w:p>
    <w:p w14:paraId="1A97EAD4" w14:textId="77777777" w:rsidR="00377828" w:rsidRPr="009118AB" w:rsidRDefault="00377828" w:rsidP="00377828">
      <w:pPr>
        <w:jc w:val="both"/>
      </w:pPr>
    </w:p>
    <w:p w14:paraId="511896AA" w14:textId="77777777" w:rsidR="00377828" w:rsidRPr="009118AB" w:rsidRDefault="00377828" w:rsidP="00377828">
      <w:pPr>
        <w:ind w:firstLine="708"/>
        <w:jc w:val="both"/>
      </w:pPr>
      <w:r w:rsidRPr="009118AB">
        <w:t>Die belgische zuständige Behörde, für die die in Absatz 1 genannten Informationen verfügbar werden, übermittelt diese Informationen so schnell wie möglich an die ausländische zuständige Behörde jedes betroffenen Mitgliedstaates, spätestens jedoch einen Monat, nachdem sie verfügbar geworden sind.</w:t>
      </w:r>
    </w:p>
    <w:p w14:paraId="3758D4D2" w14:textId="77777777" w:rsidR="00377828" w:rsidRPr="009118AB" w:rsidRDefault="00377828" w:rsidP="00377828">
      <w:pPr>
        <w:jc w:val="both"/>
      </w:pPr>
    </w:p>
    <w:p w14:paraId="65E946B1" w14:textId="6DA62D68" w:rsidR="00377828" w:rsidRPr="009118AB" w:rsidRDefault="00D67EB8" w:rsidP="00377828">
      <w:pPr>
        <w:ind w:firstLine="708"/>
        <w:jc w:val="both"/>
      </w:pPr>
      <w:r w:rsidRPr="009118AB">
        <w:t>§ </w:t>
      </w:r>
      <w:r w:rsidR="00377828" w:rsidRPr="009118AB">
        <w:t>8</w:t>
      </w:r>
      <w:r w:rsidRPr="009118AB">
        <w:t> - </w:t>
      </w:r>
      <w:r w:rsidR="00377828" w:rsidRPr="009118AB">
        <w:t>Die belgische zuständige Behörde, der Informationen nach Maßgabe des Paragraphen 7 übermittelt werden, bestätigt der ausländischen zuständigen Behörde, die die Informationen übermittelt hat, unverzüglich, spätestens jedoch sieben Werktage nach Eingang der Informationen, möglichst auf elektronischem Wege den Erhalt der Informationen.</w:t>
      </w:r>
    </w:p>
    <w:p w14:paraId="4149DC4D" w14:textId="77777777" w:rsidR="00377828" w:rsidRPr="009118AB" w:rsidRDefault="00377828" w:rsidP="00377828">
      <w:pPr>
        <w:jc w:val="both"/>
      </w:pPr>
    </w:p>
    <w:p w14:paraId="6B84080C" w14:textId="56C76B0B" w:rsidR="008E3F3C" w:rsidRPr="009118AB" w:rsidRDefault="00D67EB8" w:rsidP="008E3F3C">
      <w:pPr>
        <w:ind w:firstLine="708"/>
        <w:jc w:val="both"/>
      </w:pPr>
      <w:r w:rsidRPr="009118AB">
        <w:t>§ </w:t>
      </w:r>
      <w:r w:rsidR="00377828" w:rsidRPr="009118AB">
        <w:t>9</w:t>
      </w:r>
      <w:r w:rsidRPr="009118AB">
        <w:t> - </w:t>
      </w:r>
      <w:r w:rsidR="008E3F3C" w:rsidRPr="009118AB">
        <w:t>[Zum Zweck des Informationsaustauschs gemäß § 1 kann die belgische zuständige Behörde eine ausländische zuständige Behörde darum ersuchen, dass von ersterer ermächtigte Bedienstete unter den von der ausländischen zuständigen Behörde festgelegten Bedingungen:</w:t>
      </w:r>
    </w:p>
    <w:p w14:paraId="4335B144" w14:textId="77777777" w:rsidR="008E3F3C" w:rsidRPr="009118AB" w:rsidRDefault="008E3F3C" w:rsidP="008E3F3C">
      <w:pPr>
        <w:jc w:val="both"/>
      </w:pPr>
    </w:p>
    <w:p w14:paraId="7DDE4FBF" w14:textId="77777777" w:rsidR="008E3F3C" w:rsidRPr="009118AB" w:rsidRDefault="008E3F3C" w:rsidP="008E3F3C">
      <w:pPr>
        <w:jc w:val="both"/>
      </w:pPr>
      <w:r w:rsidRPr="009118AB">
        <w:tab/>
        <w:t>1. im Hoheitsgebiet des Mitgliedstaates in den Amtsräumen zugegen sein dürfen, in denen die Verwaltungsbehörden des Mitgliedstaates ihre Tätigkeit ausüben,</w:t>
      </w:r>
    </w:p>
    <w:p w14:paraId="54A64E9E" w14:textId="77777777" w:rsidR="008E3F3C" w:rsidRPr="009118AB" w:rsidRDefault="008E3F3C" w:rsidP="008E3F3C">
      <w:pPr>
        <w:jc w:val="both"/>
      </w:pPr>
    </w:p>
    <w:p w14:paraId="0B22E389" w14:textId="77777777" w:rsidR="008E3F3C" w:rsidRPr="009118AB" w:rsidRDefault="008E3F3C" w:rsidP="008E3F3C">
      <w:pPr>
        <w:jc w:val="both"/>
      </w:pPr>
      <w:r w:rsidRPr="009118AB">
        <w:tab/>
        <w:t>2. bei den behördlichen Ermittlungen zugegen sein dürfen, die im Hoheitsgebiet der ausländischen zuständigen Behörde durchgeführt werden,</w:t>
      </w:r>
    </w:p>
    <w:p w14:paraId="547FB3F8" w14:textId="77777777" w:rsidR="008E3F3C" w:rsidRPr="009118AB" w:rsidRDefault="008E3F3C" w:rsidP="008E3F3C">
      <w:pPr>
        <w:jc w:val="both"/>
      </w:pPr>
    </w:p>
    <w:p w14:paraId="42280996" w14:textId="77777777" w:rsidR="008E3F3C" w:rsidRPr="009118AB" w:rsidRDefault="008E3F3C" w:rsidP="008E3F3C">
      <w:pPr>
        <w:jc w:val="both"/>
      </w:pPr>
      <w:r w:rsidRPr="009118AB">
        <w:tab/>
        <w:t>3. sofern angezeigt mittels elektronischer Kommunikationsmittel an den im Hoheitsgebiet des anderen Mitgliedstaates durchgeführten behördlichen Ermittlungen teilnehmen dürfen.</w:t>
      </w:r>
    </w:p>
    <w:p w14:paraId="150486D4" w14:textId="77777777" w:rsidR="008E3F3C" w:rsidRPr="009118AB" w:rsidRDefault="008E3F3C" w:rsidP="008E3F3C">
      <w:pPr>
        <w:jc w:val="both"/>
      </w:pPr>
    </w:p>
    <w:p w14:paraId="3609AD1D" w14:textId="3B6278FC" w:rsidR="00377828" w:rsidRPr="009118AB" w:rsidRDefault="008E3F3C" w:rsidP="008E3F3C">
      <w:pPr>
        <w:ind w:firstLine="708"/>
        <w:jc w:val="both"/>
      </w:pPr>
      <w:r w:rsidRPr="009118AB">
        <w:tab/>
        <w:t>Sind von Belgien ermächtigte Bedienstete bei behördlichen Ermittlungen zugegen oder nehmen sie über elektronische Kommunikationsmittel an den behördlichen Ermittlungen teil, so dürfen sie unter Einhaltung der von der ausländischen zuständigen Behörde festgelegten Verfahrensregelungen Einzelpersonen befragen und Aufzeichnungen prüfen.]</w:t>
      </w:r>
    </w:p>
    <w:p w14:paraId="2C43132B" w14:textId="77777777" w:rsidR="00377828" w:rsidRPr="009118AB" w:rsidRDefault="00377828" w:rsidP="00377828">
      <w:pPr>
        <w:jc w:val="both"/>
      </w:pPr>
    </w:p>
    <w:p w14:paraId="6494AA08" w14:textId="77777777" w:rsidR="008E3F3C" w:rsidRPr="009118AB" w:rsidRDefault="00D67EB8" w:rsidP="008E3F3C">
      <w:pPr>
        <w:ind w:firstLine="708"/>
        <w:jc w:val="both"/>
      </w:pPr>
      <w:r w:rsidRPr="009118AB">
        <w:t>§ </w:t>
      </w:r>
      <w:r w:rsidR="00377828" w:rsidRPr="009118AB">
        <w:t>10</w:t>
      </w:r>
      <w:r w:rsidRPr="009118AB">
        <w:t> - </w:t>
      </w:r>
      <w:r w:rsidR="008E3F3C" w:rsidRPr="009118AB">
        <w:t>[Zum Zweck des Informationsaustauschs gemäß § 1 kann die zuständige Behörde eines Mitgliedstaates die belgische zuständige Behörde darum ersuchen, dass von ersterer ermächtigte Bedienstete unter den von der belgischen zuständigen Behörde festgelegten Bedingungen:</w:t>
      </w:r>
    </w:p>
    <w:p w14:paraId="364BD87D" w14:textId="77777777" w:rsidR="008E3F3C" w:rsidRPr="009118AB" w:rsidRDefault="008E3F3C" w:rsidP="008E3F3C">
      <w:pPr>
        <w:jc w:val="both"/>
      </w:pPr>
    </w:p>
    <w:p w14:paraId="16BCF640" w14:textId="77777777" w:rsidR="008E3F3C" w:rsidRPr="009118AB" w:rsidRDefault="008E3F3C" w:rsidP="008E3F3C">
      <w:pPr>
        <w:jc w:val="both"/>
      </w:pPr>
      <w:r w:rsidRPr="009118AB">
        <w:tab/>
        <w:t>1. in Belgien in den Amtsräumen zugegen sein dürfen, in denen der FÖD Finanzen seine Tätigkeit ausübt,</w:t>
      </w:r>
    </w:p>
    <w:p w14:paraId="6A3FA99F" w14:textId="77777777" w:rsidR="008E3F3C" w:rsidRPr="009118AB" w:rsidRDefault="008E3F3C" w:rsidP="008E3F3C">
      <w:pPr>
        <w:jc w:val="both"/>
      </w:pPr>
    </w:p>
    <w:p w14:paraId="275B37B1" w14:textId="77777777" w:rsidR="008E3F3C" w:rsidRPr="009118AB" w:rsidRDefault="008E3F3C" w:rsidP="008E3F3C">
      <w:pPr>
        <w:jc w:val="both"/>
      </w:pPr>
      <w:r w:rsidRPr="009118AB">
        <w:tab/>
        <w:t>2. bei den behördlichen Ermittlungen zugegen sein dürfen, die im belgischen Hoheitsgebiet durchgeführt werden,</w:t>
      </w:r>
    </w:p>
    <w:p w14:paraId="71744F99" w14:textId="77777777" w:rsidR="008E3F3C" w:rsidRPr="009118AB" w:rsidRDefault="008E3F3C" w:rsidP="008E3F3C">
      <w:pPr>
        <w:jc w:val="both"/>
      </w:pPr>
    </w:p>
    <w:p w14:paraId="161E99AB" w14:textId="77777777" w:rsidR="008E3F3C" w:rsidRPr="009118AB" w:rsidRDefault="008E3F3C" w:rsidP="008E3F3C">
      <w:pPr>
        <w:jc w:val="both"/>
      </w:pPr>
      <w:r w:rsidRPr="009118AB">
        <w:tab/>
        <w:t>3. sofern angezeigt mittels elektronischer Kommunikationsmittel an den im belgischen Hoheitsgebiet durchgeführten behördlichen Ermittlungen teilnehmen dürfen.</w:t>
      </w:r>
    </w:p>
    <w:p w14:paraId="2EF9FCFB" w14:textId="77777777" w:rsidR="008E3F3C" w:rsidRPr="009118AB" w:rsidRDefault="008E3F3C" w:rsidP="008E3F3C">
      <w:pPr>
        <w:jc w:val="both"/>
      </w:pPr>
    </w:p>
    <w:p w14:paraId="476AE414" w14:textId="77777777" w:rsidR="008E3F3C" w:rsidRPr="009118AB" w:rsidRDefault="008E3F3C" w:rsidP="008E3F3C">
      <w:pPr>
        <w:jc w:val="both"/>
      </w:pPr>
      <w:r w:rsidRPr="009118AB">
        <w:tab/>
        <w:t>Die belgische zuständige Behörde beantwortet ein Ersuchen gemäß Absatz 1 binnen sechzig Tagen nach Erhalt des Ersuchens, um entweder ihr Einverständnis zu bestätigen oder der ausländischen zuständigen Behörde ihre begründete Ablehnung mitzuteilen.</w:t>
      </w:r>
    </w:p>
    <w:p w14:paraId="6ABCA443" w14:textId="77777777" w:rsidR="008E3F3C" w:rsidRPr="009118AB" w:rsidRDefault="008E3F3C" w:rsidP="008E3F3C">
      <w:pPr>
        <w:jc w:val="both"/>
      </w:pPr>
    </w:p>
    <w:p w14:paraId="61F685BD" w14:textId="77777777" w:rsidR="008E3F3C" w:rsidRPr="009118AB" w:rsidRDefault="008E3F3C" w:rsidP="008E3F3C">
      <w:pPr>
        <w:jc w:val="both"/>
      </w:pPr>
      <w:r w:rsidRPr="009118AB">
        <w:tab/>
        <w:t>Sind die erbetenen Informationen in Unterlagen enthalten, zu denen die Bediensteten der belgischen zuständigen Behörde Zugang haben, so werden den Bediensteten der ersuchenden Behörde Kopien dieser Unterlagen ausgehändigt.</w:t>
      </w:r>
    </w:p>
    <w:p w14:paraId="497596F9" w14:textId="77777777" w:rsidR="008E3F3C" w:rsidRPr="009118AB" w:rsidRDefault="008E3F3C" w:rsidP="008E3F3C">
      <w:pPr>
        <w:jc w:val="both"/>
      </w:pPr>
    </w:p>
    <w:p w14:paraId="3F2DBD34" w14:textId="77777777" w:rsidR="008E3F3C" w:rsidRPr="009118AB" w:rsidRDefault="008E3F3C" w:rsidP="008E3F3C">
      <w:pPr>
        <w:jc w:val="both"/>
      </w:pPr>
      <w:r w:rsidRPr="009118AB">
        <w:tab/>
        <w:t>Sind Bedienstete der ersuchenden Behörde bei behördlichen Ermittlungen zugegen oder nehmen sie über elektronische Kommunikationsmittel an den behördlichen Ermittlungen teil, so dürfen sie unter Einhaltung der von der belgischen zuständigen Behörde festgelegten Verfahrensregelungen Einzelpersonen befragen und Aufzeichnungen prüfen.</w:t>
      </w:r>
    </w:p>
    <w:p w14:paraId="58C03933" w14:textId="77777777" w:rsidR="008E3F3C" w:rsidRPr="009118AB" w:rsidRDefault="008E3F3C" w:rsidP="008E3F3C">
      <w:pPr>
        <w:jc w:val="both"/>
      </w:pPr>
    </w:p>
    <w:p w14:paraId="615F340A" w14:textId="77777777" w:rsidR="008E3F3C" w:rsidRPr="009118AB" w:rsidRDefault="008E3F3C" w:rsidP="008E3F3C">
      <w:pPr>
        <w:jc w:val="both"/>
      </w:pPr>
      <w:r w:rsidRPr="009118AB">
        <w:tab/>
        <w:t>Jede Weigerung der Person, gegen die ermittelt wird, den Überprüfungsmaßnahmen der Bediensteten der ersuchenden Behörde zu entsprechen, wird von der belgischen zuständigen Behörde wie eine Weigerung gegenüber Bediensteten der eigenen Behörde behandelt.</w:t>
      </w:r>
    </w:p>
    <w:p w14:paraId="1C5C4DA9" w14:textId="77777777" w:rsidR="008E3F3C" w:rsidRPr="009118AB" w:rsidRDefault="008E3F3C" w:rsidP="008E3F3C">
      <w:pPr>
        <w:jc w:val="both"/>
      </w:pPr>
    </w:p>
    <w:p w14:paraId="1110A13A" w14:textId="57326B2B" w:rsidR="00377828" w:rsidRPr="009118AB" w:rsidRDefault="008E3F3C" w:rsidP="008E3F3C">
      <w:pPr>
        <w:ind w:firstLine="708"/>
        <w:jc w:val="both"/>
      </w:pPr>
      <w:r w:rsidRPr="009118AB">
        <w:tab/>
        <w:t>Von dem ersuchenden Mitgliedstaat ermächtigte Bedienstete, die sich gemäß Absatz 1 in Belgien aufhalten, müssen jederzeit eine schriftliche Vollmacht vorlegen können, aus der ihre Identität und dienstliche Stellung hervorgehen.]</w:t>
      </w:r>
    </w:p>
    <w:p w14:paraId="4605D70E" w14:textId="77777777" w:rsidR="00377828" w:rsidRPr="009118AB" w:rsidRDefault="00377828" w:rsidP="00377828">
      <w:pPr>
        <w:jc w:val="both"/>
      </w:pPr>
    </w:p>
    <w:p w14:paraId="69181BA2" w14:textId="753E9B8D" w:rsidR="00377828" w:rsidRPr="009118AB" w:rsidRDefault="00D67EB8" w:rsidP="00377828">
      <w:pPr>
        <w:ind w:firstLine="708"/>
        <w:jc w:val="both"/>
      </w:pPr>
      <w:r w:rsidRPr="009118AB">
        <w:t>§ </w:t>
      </w:r>
      <w:r w:rsidR="00377828" w:rsidRPr="009118AB">
        <w:t>11</w:t>
      </w:r>
      <w:r w:rsidRPr="009118AB">
        <w:t> - </w:t>
      </w:r>
      <w:r w:rsidR="00377828" w:rsidRPr="009118AB">
        <w:t>Vereinbart Belgien mit einem oder mehreren Mitgliedstaaten, jeweils in seinem/ihrem Hoheitsgebiet gleichzeitige Prüfungen einer oder mehrerer Personen von gemeinsamem oder ergänzendem Interesse durchzuführen, um die dabei erlangten Informationen auszutauschen, so findet vorliegender Paragraph Anwendung.</w:t>
      </w:r>
    </w:p>
    <w:p w14:paraId="5CE9171A" w14:textId="77777777" w:rsidR="00377828" w:rsidRPr="009118AB" w:rsidRDefault="00377828" w:rsidP="00377828">
      <w:pPr>
        <w:jc w:val="both"/>
      </w:pPr>
    </w:p>
    <w:p w14:paraId="752826F2" w14:textId="77777777" w:rsidR="00377828" w:rsidRPr="009118AB" w:rsidRDefault="00377828" w:rsidP="00377828">
      <w:pPr>
        <w:ind w:firstLine="708"/>
        <w:jc w:val="both"/>
      </w:pPr>
      <w:r w:rsidRPr="009118AB">
        <w:t>Die belgische zuständige Behörde bestimmt selbst, welche Personen sie für eine gleichzeitige Prüfung vorschlagen will. Sie unterrichtet die ausländische zuständige Behörde der betroffenen Mitgliedstaaten über die Fälle, für die sie eine gleichzeitige Prüfung vorschlägt, und begründet ihre Wahl. Sie gibt an, in welchem Zeitraum die Prüfung durchgeführt werden soll.</w:t>
      </w:r>
    </w:p>
    <w:p w14:paraId="206AFE56" w14:textId="77777777" w:rsidR="00377828" w:rsidRPr="009118AB" w:rsidRDefault="00377828" w:rsidP="00377828">
      <w:pPr>
        <w:jc w:val="both"/>
      </w:pPr>
    </w:p>
    <w:p w14:paraId="43ABFCCA" w14:textId="1E8A8BE3" w:rsidR="00377828" w:rsidRPr="009118AB" w:rsidRDefault="00377828" w:rsidP="00377828">
      <w:pPr>
        <w:ind w:firstLine="708"/>
        <w:jc w:val="both"/>
      </w:pPr>
      <w:r w:rsidRPr="009118AB">
        <w:t xml:space="preserve">Wird der belgischen zuständigen Behörde eine gleichzeitige Prüfung vorgeschlagen, entscheidet sie, ob sie an der gleichzeitigen Prüfung teilnehmen will. </w:t>
      </w:r>
      <w:r w:rsidR="008E3F3C" w:rsidRPr="009118AB">
        <w:t xml:space="preserve">[Binnen sechzig Tagen nach Erhalt des Vorschlags bestätigt sie] </w:t>
      </w:r>
      <w:r w:rsidRPr="009118AB">
        <w:t xml:space="preserve">der ausländischen zuständigen Behörde, die die Prüfung vorgeschlagen hat, ihr Einverständnis oder </w:t>
      </w:r>
      <w:r w:rsidR="008E3F3C" w:rsidRPr="009118AB">
        <w:t>[teilt sie ihr ihre begründete Ablehnung mit]</w:t>
      </w:r>
      <w:r w:rsidRPr="009118AB">
        <w:t>.</w:t>
      </w:r>
    </w:p>
    <w:p w14:paraId="380D992A" w14:textId="77777777" w:rsidR="00377828" w:rsidRPr="009118AB" w:rsidRDefault="00377828" w:rsidP="00377828">
      <w:pPr>
        <w:jc w:val="both"/>
      </w:pPr>
    </w:p>
    <w:p w14:paraId="7CB9BA8B" w14:textId="77777777" w:rsidR="00377828" w:rsidRPr="009118AB" w:rsidRDefault="00377828" w:rsidP="00377828">
      <w:pPr>
        <w:ind w:firstLine="708"/>
        <w:jc w:val="both"/>
      </w:pPr>
      <w:r w:rsidRPr="009118AB">
        <w:t>Die belgische zuständige Behörde benennt einen für die Beaufsichtigung und die Koordinierung der Prüfung verantwortlichen Vertreter.</w:t>
      </w:r>
    </w:p>
    <w:p w14:paraId="7C3661F9" w14:textId="77777777" w:rsidR="00377828" w:rsidRPr="009118AB" w:rsidRDefault="00377828" w:rsidP="00377828">
      <w:pPr>
        <w:jc w:val="both"/>
      </w:pPr>
    </w:p>
    <w:p w14:paraId="0226214C" w14:textId="627E10A2" w:rsidR="008E3F3C" w:rsidRPr="009118AB" w:rsidRDefault="008E3F3C" w:rsidP="008E3F3C">
      <w:pPr>
        <w:jc w:val="both"/>
      </w:pPr>
      <w:r w:rsidRPr="009118AB">
        <w:tab/>
        <w:t>[§ 11/1 - Die zuständige Behörde eines oder mehrerer Mitgliedstaaten kann die belgische zuständige Behörde ersuchen, eine gemeinsame Prüfung durchzuführen. Die belgische zuständige Behörde nimmt das Ersuchen um eine gemeinsame Prüfung innerhalb von sechzig Tagen nach dessen Erhalt an oder lehnt es innerhalb dieser Frist ab und begründet ihre Entscheidung im Fall einer Ablehnung.</w:t>
      </w:r>
    </w:p>
    <w:p w14:paraId="0BD81BBB" w14:textId="77777777" w:rsidR="008E3F3C" w:rsidRPr="009118AB" w:rsidRDefault="008E3F3C" w:rsidP="008E3F3C">
      <w:pPr>
        <w:jc w:val="both"/>
      </w:pPr>
    </w:p>
    <w:p w14:paraId="7CAC9479" w14:textId="77777777" w:rsidR="008E3F3C" w:rsidRPr="009118AB" w:rsidRDefault="008E3F3C" w:rsidP="008E3F3C">
      <w:pPr>
        <w:jc w:val="both"/>
      </w:pPr>
      <w:r w:rsidRPr="009118AB">
        <w:tab/>
        <w:t>Gemeinsame Prüfungen werden von der zuständigen Behörde des ersuchenden Mitgliedstaates, der belgischen zuständigen Behörde und gegebenenfalls den zuständigen Behörden der anderen ersuchten Mitgliedstaaten in zuvor vereinbarter und koordinierter Weise, einschließlich der Sprachenregelung, und im Einklang mit den belgischen Rechts- und Verfahrensvorschriften durchgeführt. Die belgische zuständige Behörde benennt einen Vertreter, der für die Beaufsichtigung und Koordinierung der gemeinsamen Prüfung auf belgischem Hoheitsgebiet zuständig ist.</w:t>
      </w:r>
    </w:p>
    <w:p w14:paraId="03C8D7FE" w14:textId="77777777" w:rsidR="008E3F3C" w:rsidRPr="009118AB" w:rsidRDefault="008E3F3C" w:rsidP="008E3F3C">
      <w:pPr>
        <w:jc w:val="both"/>
      </w:pPr>
    </w:p>
    <w:p w14:paraId="4B12E126" w14:textId="77777777" w:rsidR="008E3F3C" w:rsidRPr="009118AB" w:rsidRDefault="008E3F3C" w:rsidP="008E3F3C">
      <w:pPr>
        <w:jc w:val="both"/>
      </w:pPr>
      <w:r w:rsidRPr="009118AB">
        <w:tab/>
        <w:t>Die Rechte und Pflichten der an der gemeinsamen Prüfung auf belgischem Hoheitsgebiet teilnehmenden Bediensteten der Mitgliedstaaten werden nach belgischem Recht festgelegt. Die Bediensteten eines anderen Mitgliedstaates befolgen diese Rechtsvorschriften, sie üben dabei jedoch keine Befugnisse aus, die über die Befugnisse hinausgehen würden, die ihnen nach dem Recht ihres Mitgliedstaates zustehen.</w:t>
      </w:r>
    </w:p>
    <w:p w14:paraId="2E543949" w14:textId="77777777" w:rsidR="008E3F3C" w:rsidRPr="009118AB" w:rsidRDefault="008E3F3C" w:rsidP="008E3F3C">
      <w:pPr>
        <w:jc w:val="both"/>
      </w:pPr>
    </w:p>
    <w:p w14:paraId="70266E1F" w14:textId="77777777" w:rsidR="008E3F3C" w:rsidRPr="009118AB" w:rsidRDefault="008E3F3C" w:rsidP="008E3F3C">
      <w:pPr>
        <w:jc w:val="both"/>
      </w:pPr>
      <w:r w:rsidRPr="009118AB">
        <w:tab/>
        <w:t>Unbeschadet der Absätze 2 und 3 und für die Zwecke der in Absatz 1 erwähnten gemeinsamen Prüfungen, die auf belgischem Hoheitsgebiet stattfinden, ist es Bediensteten aus anderen Mitgliedstaaten, die an den gemeinsamen Prüfungstätigkeiten teilnehmen, erlaubt, zusammen mit den Bediensteten der belgischen zuständigen Behörde und unter Einhaltung der in Belgien festgelegten Verfahrensregelungen Einzelpersonen zu befragen und Aufzeichnungen zu prüfen.</w:t>
      </w:r>
    </w:p>
    <w:p w14:paraId="0D5B9BD8" w14:textId="77777777" w:rsidR="008E3F3C" w:rsidRPr="009118AB" w:rsidRDefault="008E3F3C" w:rsidP="008E3F3C">
      <w:pPr>
        <w:jc w:val="both"/>
      </w:pPr>
    </w:p>
    <w:p w14:paraId="0E765542" w14:textId="77777777" w:rsidR="008E3F3C" w:rsidRPr="009118AB" w:rsidRDefault="008E3F3C" w:rsidP="008E3F3C">
      <w:pPr>
        <w:jc w:val="both"/>
      </w:pPr>
      <w:r w:rsidRPr="009118AB">
        <w:tab/>
        <w:t>Unbeschadet der Absätze 2 und 3 und für die Zwecke der in Absatz 1 erwähnten gemeinsamen Prüfungen, die auf belgischem Hoheitsgebiet stattfinden, werden die bei diesen gemeinsamen Prüfungstätigkeiten gesammelten Beweise, auch hinsichtlich ihrer Zulässigkeit, unter den gleichen rechtlichen Bedingungen bewertet wie im Fall einer klassischen Prüfung, die in Belgien von belgischen Bediensteten durchgeführt wird; dies gilt auch während jeglichen Beschwerde-, Revisions- oder Einspruchsverfahren.</w:t>
      </w:r>
    </w:p>
    <w:p w14:paraId="6CB189C2" w14:textId="77777777" w:rsidR="008E3F3C" w:rsidRPr="009118AB" w:rsidRDefault="008E3F3C" w:rsidP="008E3F3C">
      <w:pPr>
        <w:jc w:val="both"/>
      </w:pPr>
    </w:p>
    <w:p w14:paraId="71FECDEF" w14:textId="77777777" w:rsidR="008E3F3C" w:rsidRPr="009118AB" w:rsidRDefault="008E3F3C" w:rsidP="008E3F3C">
      <w:pPr>
        <w:jc w:val="both"/>
      </w:pPr>
      <w:r w:rsidRPr="009118AB">
        <w:tab/>
        <w:t>Unbeschadet der Absätze 2 und 3 und für die Zwecke der in Absatz 1 erwähnten gemeinsamen Prüfungen, die auf belgischem Hoheitsgebiet stattfinden, verfügen Personen, die einer gemeinsamen Prüfung unterzogen werden oder davon betroffen sind, über dieselben Rechte und haben sie dieselben Pflichten wie im Fall einer klassischen Prüfung, an der nur belgische Bedienstete teilnehmen; dies gilt auch während jeglichen Beschwerde-, Revisions- oder Einspruchsverfahren.</w:t>
      </w:r>
    </w:p>
    <w:p w14:paraId="572F50C5" w14:textId="77777777" w:rsidR="008E3F3C" w:rsidRPr="009118AB" w:rsidRDefault="008E3F3C" w:rsidP="008E3F3C">
      <w:pPr>
        <w:jc w:val="both"/>
      </w:pPr>
    </w:p>
    <w:p w14:paraId="4D3A74A6" w14:textId="77777777" w:rsidR="008E3F3C" w:rsidRPr="009118AB" w:rsidRDefault="008E3F3C" w:rsidP="008E3F3C">
      <w:pPr>
        <w:jc w:val="both"/>
      </w:pPr>
      <w:r w:rsidRPr="009118AB">
        <w:tab/>
        <w:t>Führen die belgische zuständige Behörde und die zuständige Behörde eines oder mehrerer anderer Mitgliedstaaten eine gemeinsame Prüfung durch, so bemühen sie sich, sich auf den Sachverhalt und die Umstände, die für die gemeinsame Prüfung relevant sind, zu einigen und auf der Grundlage der Ergebnisse der gemeinsamen Prüfung zu einer Einigung über den steuerlichen Status der geprüften Person(en) zu gelangen. Die Feststellungen der gemeinsamen Prüfung sind in einem Prüfungsbericht darzulegen. Fragen, in denen sich die zuständigen Behörden einig sind, sind im Prüfungsbericht wiedergegeben und werden in den einschlägigen Instrumenten berücksichtigt, die von den zuständigen Behörden der teilnehmenden Mitgliedstaaten im Anschluss an diese gemeinsame Prüfung ausgestellt werden.</w:t>
      </w:r>
    </w:p>
    <w:p w14:paraId="5699F166" w14:textId="77777777" w:rsidR="008E3F3C" w:rsidRPr="009118AB" w:rsidRDefault="008E3F3C" w:rsidP="008E3F3C">
      <w:pPr>
        <w:jc w:val="both"/>
      </w:pPr>
    </w:p>
    <w:p w14:paraId="6ACEC1E0" w14:textId="5151066C" w:rsidR="008E3F3C" w:rsidRPr="009118AB" w:rsidRDefault="008E3F3C" w:rsidP="008E3F3C">
      <w:pPr>
        <w:jc w:val="both"/>
      </w:pPr>
      <w:r w:rsidRPr="009118AB">
        <w:tab/>
        <w:t>Die geprüfte Person oder geprüften Personen wird/werden über das Ergebnis der gemeinsamen Prüfung unterrichtet, wozu auch eine Kopie des Prüfungsberichts gehört, die innerhalb von sechzig Tagen nach seiner Erstellung übermittelt wird.]</w:t>
      </w:r>
    </w:p>
    <w:p w14:paraId="32F1837B" w14:textId="77777777" w:rsidR="008E3F3C" w:rsidRPr="009118AB" w:rsidRDefault="008E3F3C" w:rsidP="008E3F3C">
      <w:pPr>
        <w:jc w:val="both"/>
      </w:pPr>
    </w:p>
    <w:p w14:paraId="764DC7FE" w14:textId="2C25E7BF" w:rsidR="008E3F3C" w:rsidRPr="009118AB" w:rsidRDefault="008E3F3C" w:rsidP="008E3F3C">
      <w:pPr>
        <w:jc w:val="both"/>
      </w:pPr>
      <w:r w:rsidRPr="009118AB">
        <w:tab/>
        <w:t>[§ 11/2 - Die belgische zuständige Behörde kann die zuständige Behörde eines oder mehrerer anderer Mitgliedstaaten ersuchen, eine gemeinsame Prüfung durchzuführen.</w:t>
      </w:r>
    </w:p>
    <w:p w14:paraId="20FE51F6" w14:textId="77777777" w:rsidR="008E3F3C" w:rsidRPr="009118AB" w:rsidRDefault="008E3F3C" w:rsidP="008E3F3C">
      <w:pPr>
        <w:jc w:val="both"/>
      </w:pPr>
    </w:p>
    <w:p w14:paraId="579B196A" w14:textId="77777777" w:rsidR="008E3F3C" w:rsidRPr="009118AB" w:rsidRDefault="008E3F3C" w:rsidP="008E3F3C">
      <w:pPr>
        <w:jc w:val="both"/>
      </w:pPr>
      <w:r w:rsidRPr="009118AB">
        <w:tab/>
        <w:t>Gemeinsame Prüfungen werden von den betreffenden zuständigen Behörden in zuvor vereinbarter und koordinierter Weise, einschließlich der Sprachenregelung, und im Einklang mit den Rechts- und Verfahrensvorschriften des Mitgliedstaates, in dem die gemeinsamen Prüfungstätigkeiten stattfinden, durchgeführt.</w:t>
      </w:r>
    </w:p>
    <w:p w14:paraId="742AE98C" w14:textId="77777777" w:rsidR="008E3F3C" w:rsidRPr="009118AB" w:rsidRDefault="008E3F3C" w:rsidP="008E3F3C">
      <w:pPr>
        <w:jc w:val="both"/>
      </w:pPr>
    </w:p>
    <w:p w14:paraId="2D4E8B3C" w14:textId="77777777" w:rsidR="008E3F3C" w:rsidRPr="009118AB" w:rsidRDefault="008E3F3C" w:rsidP="008E3F3C">
      <w:pPr>
        <w:jc w:val="both"/>
      </w:pPr>
      <w:r w:rsidRPr="009118AB">
        <w:tab/>
        <w:t>Die Rechte und Pflichten der an der gemeinsamen Prüfung auf dem Hoheitsgebiet eines anderen Mitgliedstaates teilnehmenden belgischen Bediensteten werden nach dem Recht dieses Mitgliedstaates festgelegt. Die belgischen Bediensteten befolgen diese Rechtsvorschriften, sie üben dabei jedoch keine Befugnisse aus, die über die Befugnisse hinausgehen würden, die ihnen nach belgischem Recht zustehen.</w:t>
      </w:r>
    </w:p>
    <w:p w14:paraId="39403B83" w14:textId="77777777" w:rsidR="008E3F3C" w:rsidRPr="009118AB" w:rsidRDefault="008E3F3C" w:rsidP="008E3F3C">
      <w:pPr>
        <w:jc w:val="both"/>
      </w:pPr>
    </w:p>
    <w:p w14:paraId="7037EBB3" w14:textId="77777777" w:rsidR="008E3F3C" w:rsidRPr="009118AB" w:rsidRDefault="008E3F3C" w:rsidP="008E3F3C">
      <w:pPr>
        <w:jc w:val="both"/>
      </w:pPr>
      <w:r w:rsidRPr="009118AB">
        <w:tab/>
        <w:t>Unbeschadet der Absätze 2 und 3 und für die Zwecke der in Absatz 1 erwähnten gemeinsamen Prüfungen, die auf dem Hoheitsgebiet eines anderen Mitgliedstaates stattfinden, werden die bei diesen gemeinsamen Prüfungstätigkeiten gesammelten Beweise, auch hinsichtlich ihrer Zulässigkeit, unter den gleichen rechtlichen Bedingungen bewertet wie im Fall einer klassischen Prüfung, die in Belgien von belgischen Bediensteten durchgeführt wird.</w:t>
      </w:r>
    </w:p>
    <w:p w14:paraId="2C5A2D70" w14:textId="77777777" w:rsidR="008E3F3C" w:rsidRPr="009118AB" w:rsidRDefault="008E3F3C" w:rsidP="008E3F3C">
      <w:pPr>
        <w:jc w:val="both"/>
      </w:pPr>
    </w:p>
    <w:p w14:paraId="1A8DDB76" w14:textId="77777777" w:rsidR="008E3F3C" w:rsidRPr="009118AB" w:rsidRDefault="008E3F3C" w:rsidP="008E3F3C">
      <w:pPr>
        <w:jc w:val="both"/>
      </w:pPr>
      <w:r w:rsidRPr="009118AB">
        <w:tab/>
        <w:t>Führen die belgische zuständige Behörde und die zuständige Behörde eines oder mehrerer anderer Mitgliedstaaten eine gemeinsame Prüfung durch, so bemühen sie sich, sich auf den Sachverhalt und die Umstände, die für die gemeinsame Prüfung relevant sind, zu einigen und auf der Grundlage der Ergebnisse der gemeinsamen Prüfung zu einer Einigung über den steuerlichen Status der geprüften Person(en) zu gelangen. Die Feststellungen der gemeinsamen Prüfung sind in einem Prüfungsbericht darzulegen. Fragen, in denen sich die zuständigen Behörden einig sind, sind im Prüfungsbericht wiedergegeben und werden in den einschlägigen Instrumenten berücksichtigt, die von den zuständigen Behörden der teilnehmenden Mitgliedstaaten im Anschluss an diese gemeinsame Prüfung ausgestellt werden.</w:t>
      </w:r>
    </w:p>
    <w:p w14:paraId="4F28F311" w14:textId="77777777" w:rsidR="008E3F3C" w:rsidRPr="009118AB" w:rsidRDefault="008E3F3C" w:rsidP="008E3F3C">
      <w:pPr>
        <w:jc w:val="both"/>
      </w:pPr>
    </w:p>
    <w:p w14:paraId="64E73422" w14:textId="45385B62" w:rsidR="008E3F3C" w:rsidRPr="009118AB" w:rsidRDefault="008E3F3C" w:rsidP="008E3F3C">
      <w:pPr>
        <w:jc w:val="both"/>
      </w:pPr>
      <w:r w:rsidRPr="009118AB">
        <w:tab/>
        <w:t>Die geprüfte Person oder geprüften Personen wird/werden über das Ergebnis der gemeinsamen Prüfung unterrichtet, wozu auch eine Kopie des Prüfungsberichts gehört, die innerhalb von sechzig Tagen nach seiner Erstellung übermittelt wird.]</w:t>
      </w:r>
    </w:p>
    <w:p w14:paraId="524B5DA5" w14:textId="77777777" w:rsidR="008E3F3C" w:rsidRPr="009118AB" w:rsidRDefault="008E3F3C" w:rsidP="00377828">
      <w:pPr>
        <w:jc w:val="both"/>
      </w:pPr>
    </w:p>
    <w:p w14:paraId="4D599AD9" w14:textId="71D204FF" w:rsidR="00377828" w:rsidRPr="009118AB" w:rsidRDefault="00D67EB8" w:rsidP="00377828">
      <w:pPr>
        <w:ind w:firstLine="708"/>
        <w:jc w:val="both"/>
      </w:pPr>
      <w:r w:rsidRPr="009118AB">
        <w:t>§ </w:t>
      </w:r>
      <w:r w:rsidR="00377828" w:rsidRPr="009118AB">
        <w:t>12</w:t>
      </w:r>
      <w:r w:rsidRPr="009118AB">
        <w:t> - </w:t>
      </w:r>
      <w:r w:rsidR="00377828" w:rsidRPr="009118AB">
        <w:t>Die belgische zuständige Behörde kann eine ausländische zuständige Behörde ersuchen, nach Maßgabe der Rechtsvorschriften für die Zustellung entsprechender Akte im ersuchten Mitgliedstaat dem Adressaten alle Akte und Entscheidungen von belgischen Verwaltungsbehörden zuzustellen, die mit der Anwendung der Rechtsvorschriften über Einkommensteuern in Belgien zusammenhängen.</w:t>
      </w:r>
    </w:p>
    <w:p w14:paraId="01964762" w14:textId="77777777" w:rsidR="00377828" w:rsidRPr="009118AB" w:rsidRDefault="00377828" w:rsidP="00377828">
      <w:pPr>
        <w:jc w:val="both"/>
      </w:pPr>
    </w:p>
    <w:p w14:paraId="7D3D3830" w14:textId="77777777" w:rsidR="00377828" w:rsidRPr="009118AB" w:rsidRDefault="00377828" w:rsidP="00377828">
      <w:pPr>
        <w:ind w:firstLine="708"/>
        <w:jc w:val="both"/>
      </w:pPr>
      <w:r w:rsidRPr="009118AB">
        <w:t>Das Zustellungsersuchen enthält Angaben über den Gegenstand des zuzustellenden Akts oder der zuzustellenden Entscheidung sowie Namen und Anschrift des Adressaten und alle weiteren Informationen, die die Identifizierung des Adressaten erleichtern können.</w:t>
      </w:r>
    </w:p>
    <w:p w14:paraId="30A1957B" w14:textId="77777777" w:rsidR="00377828" w:rsidRPr="009118AB" w:rsidRDefault="00377828" w:rsidP="00377828">
      <w:pPr>
        <w:jc w:val="both"/>
      </w:pPr>
    </w:p>
    <w:p w14:paraId="7CE32220" w14:textId="08BB5693" w:rsidR="00B73E57" w:rsidRPr="009118AB" w:rsidRDefault="00B73E57" w:rsidP="00B73E57">
      <w:pPr>
        <w:ind w:firstLine="708"/>
        <w:jc w:val="both"/>
        <w:rPr>
          <w:iCs/>
        </w:rPr>
      </w:pPr>
      <w:r w:rsidRPr="009118AB">
        <w:rPr>
          <w:iCs/>
        </w:rPr>
        <w:t xml:space="preserve">Die belgische zuständige Behörde stellt nur dann ein Zustellungsersuchen, wenn sie nicht in der Lage ist, die Zustellung nach Maßgabe der belgischen Rechtsvorschriften vorzunehmen, oder wenn die Zustellung unverhältnismäßige Schwierigkeiten aufwerfen würde. Die belgische zuständige Behörde kann einer Person im Hoheitsgebiet eines anderen Mitgliedstaates ein Dokument </w:t>
      </w:r>
      <w:r w:rsidR="00991299" w:rsidRPr="009118AB">
        <w:rPr>
          <w:iCs/>
        </w:rPr>
        <w:t xml:space="preserve">per Einschreiben oder auf elektronischem Wege </w:t>
      </w:r>
      <w:r w:rsidRPr="009118AB">
        <w:rPr>
          <w:iCs/>
        </w:rPr>
        <w:t>direkt zustellen.</w:t>
      </w:r>
    </w:p>
    <w:p w14:paraId="3DD69952" w14:textId="77777777" w:rsidR="00377828" w:rsidRPr="009118AB" w:rsidRDefault="00377828" w:rsidP="00377828">
      <w:pPr>
        <w:jc w:val="both"/>
      </w:pPr>
    </w:p>
    <w:p w14:paraId="6CC4A8E4" w14:textId="7B88642A" w:rsidR="00377828" w:rsidRPr="009118AB" w:rsidRDefault="00D67EB8" w:rsidP="00377828">
      <w:pPr>
        <w:ind w:firstLine="708"/>
        <w:jc w:val="both"/>
      </w:pPr>
      <w:r w:rsidRPr="009118AB">
        <w:t>§ </w:t>
      </w:r>
      <w:r w:rsidR="00377828" w:rsidRPr="009118AB">
        <w:t>13</w:t>
      </w:r>
      <w:r w:rsidRPr="009118AB">
        <w:t> - </w:t>
      </w:r>
      <w:r w:rsidR="00377828" w:rsidRPr="009118AB">
        <w:t>Auf Antrag einer ausländischen zuständigen Behörde stellt die belgische zuständige Behörde nach Maßgabe der belgischen Rechtsvorschriften für die Zustellung entsprechender Akte dem Adressaten alle Akte und Entscheidungen von Verwaltungs</w:t>
      </w:r>
      <w:r w:rsidR="00377828" w:rsidRPr="009118AB">
        <w:softHyphen/>
        <w:t>behörden des ersuchenden Mitgliedstaates zu, die mit der Anwendung der Rechtsvorschriften über Einkommensteuern in dessen Gebiet zusammenhängen.</w:t>
      </w:r>
    </w:p>
    <w:p w14:paraId="4F902551" w14:textId="77777777" w:rsidR="00377828" w:rsidRPr="009118AB" w:rsidRDefault="00377828" w:rsidP="00377828">
      <w:pPr>
        <w:jc w:val="both"/>
      </w:pPr>
    </w:p>
    <w:p w14:paraId="67F4833E" w14:textId="77777777" w:rsidR="00377828" w:rsidRPr="009118AB" w:rsidRDefault="00377828" w:rsidP="00377828">
      <w:pPr>
        <w:ind w:firstLine="708"/>
        <w:jc w:val="both"/>
      </w:pPr>
      <w:r w:rsidRPr="009118AB">
        <w:t>Die belgische zuständige Behörde teilt der ersuchenden Behörde unverzüglich mit, was aufgrund des Zustellungsersuchens veranlasst wurde, und insbesondere, an welchem Tag der Akt oder die Entscheidung dem Adressaten zugestellt wurde.</w:t>
      </w:r>
    </w:p>
    <w:p w14:paraId="2A5BD42A" w14:textId="77777777" w:rsidR="00377828" w:rsidRPr="009118AB" w:rsidRDefault="00377828" w:rsidP="00377828">
      <w:pPr>
        <w:jc w:val="both"/>
      </w:pPr>
    </w:p>
    <w:p w14:paraId="1FE725A7" w14:textId="16870DB9" w:rsidR="00377828" w:rsidRPr="009118AB" w:rsidRDefault="00D67EB8" w:rsidP="00377828">
      <w:pPr>
        <w:ind w:firstLine="708"/>
        <w:jc w:val="both"/>
      </w:pPr>
      <w:r w:rsidRPr="009118AB">
        <w:t>§ </w:t>
      </w:r>
      <w:r w:rsidR="00377828" w:rsidRPr="009118AB">
        <w:t>14</w:t>
      </w:r>
      <w:r w:rsidRPr="009118AB">
        <w:t> - </w:t>
      </w:r>
      <w:r w:rsidR="00377828" w:rsidRPr="009118AB">
        <w:t>Hat eine ausländische zuständige Behörde Informationen gemäß den Paragraphen 4 oder 8 übermittelt und um eine Rückmeldung dazu gebeten, so übermittelt die belgische zuständige Behörde, die die Informationen erhalten hat, unbeschadet der in Belgien geltenden Vorschriften zum Schutz des Berufsgeheimnisses und zum Datenschutz der ausländischen zuständigen Behörde, die die Informationen übermittelt hat, die Rückmeldung sobald wie möglich und spätestens drei Monate nach Bekanntwerden des Ergebnisses der Verwendung der erbetenen Informationen.</w:t>
      </w:r>
    </w:p>
    <w:p w14:paraId="019C3BB5" w14:textId="77777777" w:rsidR="00377828" w:rsidRPr="009118AB" w:rsidRDefault="00377828" w:rsidP="00377828">
      <w:pPr>
        <w:jc w:val="both"/>
      </w:pPr>
    </w:p>
    <w:p w14:paraId="61AB3F88" w14:textId="77777777" w:rsidR="00377828" w:rsidRPr="009118AB" w:rsidRDefault="00377828" w:rsidP="00377828">
      <w:pPr>
        <w:ind w:firstLine="708"/>
        <w:jc w:val="both"/>
      </w:pPr>
      <w:r w:rsidRPr="009118AB">
        <w:t>Die belgische zuständige Behörde übermittelt den betroffenen Mitgliedstaaten einmal jährlich nach bilateral vereinbarten praktischen Regelungen eine Rückmeldung zum automa</w:t>
      </w:r>
      <w:r w:rsidRPr="009118AB">
        <w:softHyphen/>
        <w:t>tischen Informationsaustausch.</w:t>
      </w:r>
    </w:p>
    <w:p w14:paraId="01B127C4" w14:textId="77777777" w:rsidR="00377828" w:rsidRPr="009118AB" w:rsidRDefault="00377828" w:rsidP="00377828">
      <w:pPr>
        <w:jc w:val="both"/>
      </w:pPr>
    </w:p>
    <w:p w14:paraId="044F439A" w14:textId="12048ACA" w:rsidR="00377828" w:rsidRPr="009118AB" w:rsidRDefault="00D67EB8" w:rsidP="00377828">
      <w:pPr>
        <w:ind w:firstLine="708"/>
        <w:jc w:val="both"/>
      </w:pPr>
      <w:r w:rsidRPr="009118AB">
        <w:t>§ </w:t>
      </w:r>
      <w:r w:rsidR="00377828" w:rsidRPr="009118AB">
        <w:t>15</w:t>
      </w:r>
      <w:r w:rsidRPr="009118AB">
        <w:t> - </w:t>
      </w:r>
      <w:r w:rsidR="00377828" w:rsidRPr="009118AB">
        <w:t>Die belgische zuständige Behörde, die Informationen gemäß den Paragraphen 5 oder 7 übermittelt hat, kann die ausländische zuständige Behörde, die die Informationen erhält, um eine Rückmeldung dazu bitten.</w:t>
      </w:r>
    </w:p>
    <w:p w14:paraId="6FE123AA" w14:textId="77777777" w:rsidR="00377828" w:rsidRPr="009118AB" w:rsidRDefault="00377828" w:rsidP="00377828">
      <w:pPr>
        <w:jc w:val="both"/>
      </w:pPr>
    </w:p>
    <w:p w14:paraId="2B2234D9" w14:textId="52D7FB64" w:rsidR="00377828" w:rsidRPr="009118AB" w:rsidRDefault="00D67EB8" w:rsidP="00377828">
      <w:pPr>
        <w:ind w:firstLine="708"/>
        <w:jc w:val="both"/>
      </w:pPr>
      <w:r w:rsidRPr="009118AB">
        <w:t>§ </w:t>
      </w:r>
      <w:r w:rsidR="00377828" w:rsidRPr="009118AB">
        <w:t>16</w:t>
      </w:r>
      <w:r w:rsidRPr="009118AB">
        <w:t> - </w:t>
      </w:r>
      <w:r w:rsidR="00377828" w:rsidRPr="009118AB">
        <w:t xml:space="preserve">Erhält eine belgische Verbindungsstelle oder ein belgischer zuständiger Bediensteter ein Ersuchen um Zusammenarbeit, das eine Tätigkeit außerhalb des ihr/ihm zugewiesenen Zuständigkeitsbereichs, der ihr/ihm nach den belgischen Rechtsvorschriften oder innenpolitischen Grundsätzen zugewiesen ist, erfordert, so übermittelt sie/er dieses Ersuchen unverzüglich dem belgischen zentralen Verbindungsbüro und teilt dies der ersuchenden ausländischen zuständigen Behörde mit. In einem solchen Fall beginnt die Frist nach </w:t>
      </w:r>
      <w:r w:rsidRPr="009118AB">
        <w:t>§ </w:t>
      </w:r>
      <w:r w:rsidR="00377828" w:rsidRPr="009118AB">
        <w:t>5 am Tag nach der Weiterleitung des Ersuchens an das belgische zentrale Verbin</w:t>
      </w:r>
      <w:r w:rsidR="00377828" w:rsidRPr="009118AB">
        <w:softHyphen/>
        <w:t>dungsbüro.</w:t>
      </w:r>
    </w:p>
    <w:p w14:paraId="5A523C60" w14:textId="77777777" w:rsidR="00377828" w:rsidRPr="009118AB" w:rsidRDefault="00377828" w:rsidP="00377828">
      <w:pPr>
        <w:jc w:val="both"/>
      </w:pPr>
    </w:p>
    <w:p w14:paraId="1FE31D06" w14:textId="5C38A462" w:rsidR="00377828" w:rsidRPr="009118AB" w:rsidRDefault="00D67EB8" w:rsidP="00377828">
      <w:pPr>
        <w:ind w:firstLine="708"/>
        <w:jc w:val="both"/>
      </w:pPr>
      <w:r w:rsidRPr="009118AB">
        <w:t>§ </w:t>
      </w:r>
      <w:r w:rsidR="00377828" w:rsidRPr="009118AB">
        <w:t>17</w:t>
      </w:r>
      <w:r w:rsidRPr="009118AB">
        <w:t> - </w:t>
      </w:r>
      <w:r w:rsidR="00377828" w:rsidRPr="009118AB">
        <w:t>Informationen, über die der Belgische Staat aufgrund des vorliegenden Artikels verfügt, unterliegen der Geheimhaltungspflicht nach Artikel 337 und genießen den Schutz des Gesetzes vom 8. Dezember 1992 über den Schutz des Privatlebens hinsichtlich der Verarbeitung personenbezogener Daten und des Gesetzes vom 3. August 2012 zur Festlegung von Bestimmungen in Bezug auf die Verarbeitung personenbezogener Daten durch den Föderalen Öffentlichen Dienst Finanzen im Rahmen seiner Aufträge.</w:t>
      </w:r>
    </w:p>
    <w:p w14:paraId="66DD231A" w14:textId="77777777" w:rsidR="00377828" w:rsidRPr="009118AB" w:rsidRDefault="00377828" w:rsidP="00377828">
      <w:pPr>
        <w:jc w:val="both"/>
      </w:pPr>
    </w:p>
    <w:p w14:paraId="4C9897ED" w14:textId="77777777" w:rsidR="00377828" w:rsidRPr="009118AB" w:rsidRDefault="00377828" w:rsidP="00377828">
      <w:pPr>
        <w:ind w:firstLine="708"/>
        <w:jc w:val="both"/>
      </w:pPr>
      <w:r w:rsidRPr="009118AB">
        <w:t>Diese Informationen können verwendet werden:</w:t>
      </w:r>
    </w:p>
    <w:p w14:paraId="15094621" w14:textId="77777777" w:rsidR="00377828" w:rsidRPr="009118AB" w:rsidRDefault="00377828" w:rsidP="00377828">
      <w:pPr>
        <w:jc w:val="both"/>
      </w:pPr>
    </w:p>
    <w:p w14:paraId="1FD40A1A" w14:textId="2F09ADDD" w:rsidR="00377828" w:rsidRPr="009118AB" w:rsidRDefault="00377828" w:rsidP="00377828">
      <w:pPr>
        <w:ind w:firstLine="708"/>
        <w:jc w:val="both"/>
      </w:pPr>
      <w:r w:rsidRPr="009118AB">
        <w:t>1. </w:t>
      </w:r>
      <w:r w:rsidR="008E3F3C" w:rsidRPr="009118AB">
        <w:t>[zur Festlegung, Anwendung und Kontrolle der in Artikel 2 der Richtlinie genannten Steuern sowie der Mehrwertsteuer und anderer indirekter Steuern und zur Anwendung des belgischen Rechts,]</w:t>
      </w:r>
    </w:p>
    <w:p w14:paraId="24943E12" w14:textId="4E246A44" w:rsidR="00377828" w:rsidRPr="009118AB" w:rsidRDefault="00377828" w:rsidP="00377828">
      <w:pPr>
        <w:jc w:val="both"/>
      </w:pPr>
    </w:p>
    <w:p w14:paraId="661DFBF9" w14:textId="77777777" w:rsidR="00377828" w:rsidRPr="009118AB" w:rsidRDefault="00377828" w:rsidP="00377828">
      <w:pPr>
        <w:ind w:firstLine="708"/>
        <w:jc w:val="both"/>
      </w:pPr>
      <w:r w:rsidRPr="009118AB">
        <w:t>2. zur Festlegung und Beitreibung anderer Steuern und Abgaben gemäß Artikel 3 des Gesetzes vom 9. Januar 2012 zur Umsetzung der Richtlinie 2010/24/EU des Rates vom 16. März 2010 über die Amtshilfe bei der Beitreibung von Forderungen in Bezug auf bestimmte Steuern, Abgaben und sonstige Maßnahmen und zur Festlegung und Einziehung von Pflichtbeiträgen zu Sozialversicherungen,</w:t>
      </w:r>
    </w:p>
    <w:p w14:paraId="27586B95" w14:textId="77777777" w:rsidR="00377828" w:rsidRPr="009118AB" w:rsidRDefault="00377828" w:rsidP="00377828">
      <w:pPr>
        <w:jc w:val="both"/>
      </w:pPr>
    </w:p>
    <w:p w14:paraId="0623EABB" w14:textId="77777777" w:rsidR="00377828" w:rsidRPr="009118AB" w:rsidRDefault="00377828" w:rsidP="00377828">
      <w:pPr>
        <w:ind w:firstLine="708"/>
        <w:jc w:val="both"/>
      </w:pPr>
      <w:r w:rsidRPr="009118AB">
        <w:t>3. im Zusammenhang mit Gerichts- und Verwaltungsverfahren, die Sanktionen wegen Nichtbeachtung des Steuerrechts zur Folge haben können, und zwar unbeschadet der allgemeinen Regelungen und Vorschriften über die Rechte der Beklagten und Zeugen in solchen Verfahren.</w:t>
      </w:r>
    </w:p>
    <w:p w14:paraId="2AF0B2DE" w14:textId="77777777" w:rsidR="00377828" w:rsidRPr="009118AB" w:rsidRDefault="00377828" w:rsidP="00377828">
      <w:pPr>
        <w:jc w:val="both"/>
      </w:pPr>
    </w:p>
    <w:p w14:paraId="6F0ACB8F" w14:textId="77777777" w:rsidR="00377828" w:rsidRPr="009118AB" w:rsidRDefault="00377828" w:rsidP="00377828">
      <w:pPr>
        <w:ind w:firstLine="708"/>
        <w:jc w:val="both"/>
      </w:pPr>
      <w:r w:rsidRPr="009118AB">
        <w:t>Mit Zustimmung der ausländischen zuständigen Behörde, die im Rahmen der Richtlinie Informationen übermittelt hat, und nur insoweit, als dies gemäß den belgischen Rechtsvorschriften zulässig ist, können die von dieser Behörde erhaltenen Informationen und Schriftstücke für andere als in Absatz 2 genannte Zwecke verwendet werden.</w:t>
      </w:r>
    </w:p>
    <w:p w14:paraId="0C300FC8" w14:textId="77777777" w:rsidR="00377828" w:rsidRPr="009118AB" w:rsidRDefault="00377828" w:rsidP="00377828">
      <w:pPr>
        <w:jc w:val="both"/>
      </w:pPr>
    </w:p>
    <w:p w14:paraId="2ADA359D" w14:textId="77777777" w:rsidR="00377828" w:rsidRPr="009118AB" w:rsidRDefault="00377828" w:rsidP="00377828">
      <w:pPr>
        <w:ind w:firstLine="708"/>
        <w:jc w:val="both"/>
      </w:pPr>
      <w:r w:rsidRPr="009118AB">
        <w:t>Ist die belgische zuständige Behörde der Ansicht, dass Informationen, die sie von einer ausländischen zuständigen Behörde erhalten hat, für die ausländische zuständige Behörde eines dritten Mitgliedstaates für die in Absatz 2 genannten Zwecke von Nutzen sein könnten, so teilt sie der zuständigen Behörde des Mitgliedstaates, von dem die Informationen stammen, ihre Absicht mit, die Informationen einem dritten Mitgliedstaat weiterzugeben. Lehnt die zuständige Behörde des Mitgliedstaates, von dem die Informationen stammen, innerhalb von zehn Werktagen nach Eingang der Mitteilung diesen Informationsaustausch nicht ab, so kann die belgische zuständige Behörde diese Informationen der ausländischen zuständigen Behörde des dritten Mitgliedstaates unter der Voraussetzung weitergeben, dass diese Weitergabe im Einklang mit den in vorliegendem Artikel festgelegten Regeln und Verfahren erfolgt.</w:t>
      </w:r>
    </w:p>
    <w:p w14:paraId="1047863B" w14:textId="77777777" w:rsidR="00377828" w:rsidRPr="009118AB" w:rsidRDefault="00377828" w:rsidP="00377828">
      <w:pPr>
        <w:jc w:val="both"/>
      </w:pPr>
    </w:p>
    <w:p w14:paraId="22F52FC5" w14:textId="55F746F1" w:rsidR="00377828" w:rsidRPr="009118AB" w:rsidRDefault="008E3F3C" w:rsidP="00377828">
      <w:pPr>
        <w:ind w:firstLine="708"/>
        <w:jc w:val="both"/>
      </w:pPr>
      <w:r w:rsidRPr="009118AB">
        <w:t>[Ist die belgische zuständige Behörde der Ansicht, dass die von einer ausländischen zuständigen Behörde weitergegebenen Informationen für die in Absatz 3 genannten Zwecke verwendet werden können und dass diese Zwecke nicht in einer Mitteilung der zuständigen Behörde des Mitgliedstaates, von dem die Informationen stammen, angegeben worden sind, in der automatisch die Verwendung dieser Informationen für die von der belgischen zuständigen Behörde beabsichtigten Zwecke erlaubt wird, holt sie für diese Verwendung die Zustimmung der zuständigen Behörde des Mitgliedstaates ein, von dem die Informationen stammen.]</w:t>
      </w:r>
    </w:p>
    <w:p w14:paraId="33366418" w14:textId="77777777" w:rsidR="00377828" w:rsidRPr="009118AB" w:rsidRDefault="00377828" w:rsidP="00377828">
      <w:pPr>
        <w:jc w:val="both"/>
      </w:pPr>
    </w:p>
    <w:p w14:paraId="48AACA27" w14:textId="77777777" w:rsidR="00377828" w:rsidRPr="009118AB" w:rsidRDefault="00377828" w:rsidP="00377828">
      <w:pPr>
        <w:ind w:firstLine="708"/>
        <w:jc w:val="both"/>
      </w:pPr>
      <w:r w:rsidRPr="009118AB">
        <w:t>Informationen, Berichte, Bescheinigungen und andere Schriftstücke oder beglaubigte Kopien von Schriftstücken oder Auszüge daraus, die die ersuchte Behörde erhalten und der ersuchenden belgischen zuständigen Behörde im Einklang mit vorliegendem Artikel übermittelt hat, werden von den belgischen zuständigen Behörden in gleicher Weise als Beweismittel verwendet wie entsprechende Informationen, Berichte, Bescheinigungen und andere Schriftstücke einer anderen belgischen Behörde.</w:t>
      </w:r>
    </w:p>
    <w:p w14:paraId="5B1A2769" w14:textId="77777777" w:rsidR="00377828" w:rsidRPr="009118AB" w:rsidRDefault="00377828" w:rsidP="00377828">
      <w:pPr>
        <w:jc w:val="both"/>
      </w:pPr>
    </w:p>
    <w:p w14:paraId="1566E0E8" w14:textId="24767662" w:rsidR="00377828" w:rsidRPr="009118AB" w:rsidRDefault="00D67EB8" w:rsidP="00377828">
      <w:pPr>
        <w:ind w:firstLine="708"/>
        <w:jc w:val="both"/>
      </w:pPr>
      <w:r w:rsidRPr="009118AB">
        <w:t>§ </w:t>
      </w:r>
      <w:r w:rsidR="00377828" w:rsidRPr="009118AB">
        <w:t>18</w:t>
      </w:r>
      <w:r w:rsidRPr="009118AB">
        <w:t> - </w:t>
      </w:r>
      <w:r w:rsidR="00377828" w:rsidRPr="009118AB">
        <w:t xml:space="preserve">Die belgische zuständige Behörde kann der Verwendung der gemäß vorliegendem Artikel übermittelten Informationen und Schriftstücke in dem Mitgliedstaat, der sie erhält, für andere als in </w:t>
      </w:r>
      <w:r w:rsidRPr="009118AB">
        <w:t>§ </w:t>
      </w:r>
      <w:r w:rsidR="00377828" w:rsidRPr="009118AB">
        <w:t>17 Absatz 2 genannte Zwecke zustimmen. Die belgische zuständige Behörde erteilt die Zustimmung, wenn die Informationen in Belgien für ähnliche Zwecke verwendet werden können.</w:t>
      </w:r>
    </w:p>
    <w:p w14:paraId="26CEDE21" w14:textId="77777777" w:rsidR="00377828" w:rsidRPr="009118AB" w:rsidRDefault="00377828" w:rsidP="00377828">
      <w:pPr>
        <w:jc w:val="both"/>
      </w:pPr>
    </w:p>
    <w:p w14:paraId="692C5427" w14:textId="3A9C60BE" w:rsidR="00377828" w:rsidRPr="009118AB" w:rsidRDefault="008E3F3C" w:rsidP="00377828">
      <w:pPr>
        <w:ind w:firstLine="708"/>
        <w:jc w:val="both"/>
      </w:pPr>
      <w:r w:rsidRPr="009118AB">
        <w:t>[Die belgische zuständige Behörde übermittelt den zuständigen Behörden aller anderen Mitgliedstaaten gegebenenfalls eine Liste der anderen als in § 1 genannten Zwecke, für die Informationen und Schriftstücke gemäß ihrem nationalen Recht verwendet werden dürfen. Die zuständige Behörde, die Informationen und Schriftstücke erhält, darf die erhaltenen Informationen und Schriftstücke für die von der belgischen zuständigen Behörde aufgelisteten Zwecke ohne die in Absatz 1 genannte Zustimmung verwenden.]</w:t>
      </w:r>
    </w:p>
    <w:p w14:paraId="64A556E6" w14:textId="77777777" w:rsidR="00377828" w:rsidRPr="009118AB" w:rsidRDefault="00377828" w:rsidP="00377828">
      <w:pPr>
        <w:jc w:val="both"/>
      </w:pPr>
    </w:p>
    <w:p w14:paraId="3603A3A0" w14:textId="0BA7808E" w:rsidR="00377828" w:rsidRPr="009118AB" w:rsidRDefault="00377828" w:rsidP="00377828">
      <w:pPr>
        <w:ind w:firstLine="708"/>
        <w:jc w:val="both"/>
      </w:pPr>
      <w:r w:rsidRPr="009118AB">
        <w:t xml:space="preserve">Die belgische zuständige Behörde kann der Verwendung von Informationen, die aus Belgien stammen und die eine ausländische zuständige Behörde einer ausländischen zuständigen Behörde eines dritten Mitgliedstaates weitergegeben hat, in diesem dritten Mitgliedstaat für die in </w:t>
      </w:r>
      <w:r w:rsidR="00D67EB8" w:rsidRPr="009118AB">
        <w:t>§ </w:t>
      </w:r>
      <w:r w:rsidRPr="009118AB">
        <w:t>17 Absatz 3 genannten Zwecke zustimmen.</w:t>
      </w:r>
    </w:p>
    <w:p w14:paraId="44A90472" w14:textId="77777777" w:rsidR="00377828" w:rsidRPr="009118AB" w:rsidRDefault="00377828" w:rsidP="00377828">
      <w:pPr>
        <w:jc w:val="both"/>
      </w:pPr>
    </w:p>
    <w:p w14:paraId="231C62A8" w14:textId="26CC774F" w:rsidR="00377828" w:rsidRPr="009118AB" w:rsidRDefault="00D67EB8" w:rsidP="00377828">
      <w:pPr>
        <w:ind w:firstLine="708"/>
        <w:jc w:val="both"/>
      </w:pPr>
      <w:r w:rsidRPr="009118AB">
        <w:t>§ </w:t>
      </w:r>
      <w:r w:rsidR="00377828" w:rsidRPr="009118AB">
        <w:t>19</w:t>
      </w:r>
      <w:r w:rsidRPr="009118AB">
        <w:t> - </w:t>
      </w:r>
      <w:r w:rsidR="00377828" w:rsidRPr="009118AB">
        <w:t xml:space="preserve">Vor dem in </w:t>
      </w:r>
      <w:r w:rsidRPr="009118AB">
        <w:t>§ </w:t>
      </w:r>
      <w:r w:rsidR="00377828" w:rsidRPr="009118AB">
        <w:t>4 genannten Informationsersuchen muss die belgische zuständige Behörde die üblichen Informationsquellen ausgeschöpft haben, die sie unter den gegebenen Umständen zur Erlangung der erbetenen Informationen genutzt haben könnte, ohne die Erreichung ihres Ziels zu gefährden.</w:t>
      </w:r>
    </w:p>
    <w:p w14:paraId="13018753" w14:textId="77777777" w:rsidR="00377828" w:rsidRPr="009118AB" w:rsidRDefault="00377828" w:rsidP="00377828">
      <w:pPr>
        <w:jc w:val="both"/>
      </w:pPr>
    </w:p>
    <w:p w14:paraId="3CB128C9" w14:textId="1FE26A97" w:rsidR="00377828" w:rsidRPr="009118AB" w:rsidRDefault="00377828" w:rsidP="00377828">
      <w:pPr>
        <w:ind w:firstLine="708"/>
        <w:jc w:val="both"/>
      </w:pPr>
      <w:r w:rsidRPr="009118AB">
        <w:t xml:space="preserve">Die belgische zuständige Behörde erteilt einer ausländischen zuständigen Behörde die Informationen gemäß </w:t>
      </w:r>
      <w:r w:rsidR="00D67EB8" w:rsidRPr="009118AB">
        <w:t>§ </w:t>
      </w:r>
      <w:r w:rsidRPr="009118AB">
        <w:t>5 unter der Voraussetzung, dass die ausländische zuständige Behörde die üblichen Informationsquellen ausgeschöpft hat, die sie unter den gegebenen Umständen zur Erlangung der erbetenen Informationen genutzt haben könnte, ohne die Erreichung ihres Ziels zu gefährden.</w:t>
      </w:r>
    </w:p>
    <w:p w14:paraId="7376723F" w14:textId="77777777" w:rsidR="00377828" w:rsidRPr="009118AB" w:rsidRDefault="00377828" w:rsidP="00377828">
      <w:pPr>
        <w:jc w:val="both"/>
      </w:pPr>
    </w:p>
    <w:p w14:paraId="2209C2D0" w14:textId="4BF7D458" w:rsidR="00377828" w:rsidRPr="009118AB" w:rsidRDefault="00D67EB8" w:rsidP="00377828">
      <w:pPr>
        <w:ind w:firstLine="708"/>
        <w:jc w:val="both"/>
      </w:pPr>
      <w:r w:rsidRPr="009118AB">
        <w:t>§ </w:t>
      </w:r>
      <w:r w:rsidR="00377828" w:rsidRPr="009118AB">
        <w:t>20</w:t>
      </w:r>
      <w:r w:rsidRPr="009118AB">
        <w:t> - </w:t>
      </w:r>
      <w:r w:rsidR="00377828" w:rsidRPr="009118AB">
        <w:t>Die belgische zuständige Behörde ist nicht zu Ermittlungen oder zur Übermittlung von Informationen befugt, wenn die Durchführung solcher Ermittlungen beziehungsweise die Beschaffung der betreffenden Informationen durch Belgien für seine eigenen Zwecke mit seinen Rechtsvorschriften unvereinbar wäre.</w:t>
      </w:r>
    </w:p>
    <w:p w14:paraId="6B837D00" w14:textId="77777777" w:rsidR="00377828" w:rsidRPr="009118AB" w:rsidRDefault="00377828" w:rsidP="00377828">
      <w:pPr>
        <w:jc w:val="both"/>
      </w:pPr>
    </w:p>
    <w:p w14:paraId="2E5F683B" w14:textId="77777777" w:rsidR="00377828" w:rsidRPr="009118AB" w:rsidRDefault="00377828" w:rsidP="00377828">
      <w:pPr>
        <w:ind w:firstLine="708"/>
        <w:jc w:val="both"/>
      </w:pPr>
      <w:r w:rsidRPr="009118AB">
        <w:t>Die belgische zuständige Behörde kann die Übermittlung von Informationen ablehnen, wenn:</w:t>
      </w:r>
    </w:p>
    <w:p w14:paraId="1D2E6365" w14:textId="77777777" w:rsidR="00377828" w:rsidRPr="009118AB" w:rsidRDefault="00377828" w:rsidP="00377828">
      <w:pPr>
        <w:jc w:val="both"/>
      </w:pPr>
    </w:p>
    <w:p w14:paraId="17A7E9DE" w14:textId="77777777" w:rsidR="00377828" w:rsidRPr="009118AB" w:rsidRDefault="00377828" w:rsidP="00377828">
      <w:pPr>
        <w:ind w:firstLine="708"/>
        <w:jc w:val="both"/>
      </w:pPr>
      <w:r w:rsidRPr="009118AB">
        <w:t>1. der ersuchende Mitgliedstaat seinerseits aus rechtlichen Gründen nicht zur Übermittlung entsprechender Informationen in der Lage ist,</w:t>
      </w:r>
    </w:p>
    <w:p w14:paraId="1FC3AAC3" w14:textId="77777777" w:rsidR="00377828" w:rsidRPr="009118AB" w:rsidRDefault="00377828" w:rsidP="00377828">
      <w:pPr>
        <w:jc w:val="both"/>
      </w:pPr>
    </w:p>
    <w:p w14:paraId="307ACEC3" w14:textId="77777777" w:rsidR="00377828" w:rsidRPr="009118AB" w:rsidRDefault="00377828" w:rsidP="00377828">
      <w:pPr>
        <w:ind w:firstLine="708"/>
        <w:jc w:val="both"/>
      </w:pPr>
      <w:r w:rsidRPr="009118AB">
        <w:t>2. die Übermittlung zur Preisgabe eines Handels-, Gewerbe- oder Berufsgeheimnisses oder eines Geschäftsverfahrens führen würde oder wenn die Preisgabe der betreffenden Information die öffentliche Ordnung verletzen würde.</w:t>
      </w:r>
    </w:p>
    <w:p w14:paraId="725AD319" w14:textId="77777777" w:rsidR="00377828" w:rsidRPr="009118AB" w:rsidRDefault="00377828" w:rsidP="00377828">
      <w:pPr>
        <w:jc w:val="both"/>
      </w:pPr>
    </w:p>
    <w:p w14:paraId="21615221" w14:textId="77777777" w:rsidR="00377828" w:rsidRPr="009118AB" w:rsidRDefault="00377828" w:rsidP="00377828">
      <w:pPr>
        <w:ind w:firstLine="708"/>
        <w:jc w:val="both"/>
      </w:pPr>
      <w:r w:rsidRPr="009118AB">
        <w:t>Die belgische zuständige Behörde teilt der ersuchenden Behörde die Gründe mit, aus denen ein Auskunftsersuchen abgelehnt wurde.</w:t>
      </w:r>
    </w:p>
    <w:p w14:paraId="2D989322" w14:textId="77777777" w:rsidR="00377828" w:rsidRPr="009118AB" w:rsidRDefault="00377828" w:rsidP="00377828">
      <w:pPr>
        <w:jc w:val="both"/>
      </w:pPr>
    </w:p>
    <w:p w14:paraId="51513C58" w14:textId="1CB6F15A" w:rsidR="00377828" w:rsidRPr="009118AB" w:rsidRDefault="00D67EB8" w:rsidP="00377828">
      <w:pPr>
        <w:ind w:firstLine="708"/>
        <w:jc w:val="both"/>
      </w:pPr>
      <w:r w:rsidRPr="009118AB">
        <w:t>§ </w:t>
      </w:r>
      <w:r w:rsidR="00377828" w:rsidRPr="009118AB">
        <w:t>21</w:t>
      </w:r>
      <w:r w:rsidRPr="009118AB">
        <w:t> - </w:t>
      </w:r>
      <w:r w:rsidR="00377828" w:rsidRPr="009118AB">
        <w:t>Die belgische zuständige Behörde trifft die ihr zur Beschaffung von Informationen zur Verfügung stehenden Maßnahmen, um sich die erbetenen Informationen zu verschaffen, auch wenn sie solche Informationen möglicherweise nicht für eigene Steuerzwecke benötigt. Diese Verpflichtung gilt unbeschadet des Paragraphen 20 Absatz 1 und 2, der jedoch nicht so ausgelegt werden kann, dass sich Belgien darauf berufen kann, um die Bereitstellung der Informationen allein deshalb abzulehnen, weil es kein eigenes Interesse daran hat.</w:t>
      </w:r>
    </w:p>
    <w:p w14:paraId="3484D044" w14:textId="77777777" w:rsidR="00377828" w:rsidRPr="009118AB" w:rsidRDefault="00377828" w:rsidP="00377828">
      <w:pPr>
        <w:jc w:val="both"/>
      </w:pPr>
    </w:p>
    <w:p w14:paraId="66368170" w14:textId="76EA0C83" w:rsidR="00377828" w:rsidRPr="009118AB" w:rsidRDefault="00377828" w:rsidP="00377828">
      <w:pPr>
        <w:ind w:firstLine="708"/>
        <w:jc w:val="both"/>
      </w:pPr>
      <w:r w:rsidRPr="009118AB">
        <w:t xml:space="preserve">Paragraph 20 Absatz 1 und 2 </w:t>
      </w:r>
      <w:r w:rsidR="00D67EB8" w:rsidRPr="009118AB">
        <w:t>Nr. </w:t>
      </w:r>
      <w:r w:rsidRPr="009118AB">
        <w:t>2 ist in keinem Fall so auszulegen, dass die belgische zuständige Behörde die Erteilung von Informationen nur deshalb ablehnen kann, weil die Informationen sich bei einer Bank, einem sonstigen Finanzinstitut, einem Bevollmächtigten, Vertreter oder Treuhänder befinden oder sich auf Eigentumsanteile an einer Person beziehen.</w:t>
      </w:r>
    </w:p>
    <w:p w14:paraId="5410A37E" w14:textId="77777777" w:rsidR="00377828" w:rsidRPr="009118AB" w:rsidRDefault="00377828" w:rsidP="00377828">
      <w:pPr>
        <w:jc w:val="both"/>
      </w:pPr>
    </w:p>
    <w:p w14:paraId="1D5CF1A4" w14:textId="77777777" w:rsidR="00377828" w:rsidRPr="009118AB" w:rsidRDefault="00377828" w:rsidP="00377828">
      <w:pPr>
        <w:ind w:firstLine="708"/>
        <w:jc w:val="both"/>
      </w:pPr>
      <w:r w:rsidRPr="009118AB">
        <w:t>Ungeachtet des Absatzes 2 kann die belgische zuständige Behörde die Übermittlung der erbetenen Informationen verweigern, wenn diese Informationen vor dem 1. Januar 2011 liegende Besteuerungszeiträume betreffen und wenn die Übermittlung dieser Informationen auf der Grundlage des Artikels 8 Absatz 1 der Richtlinie 77/799/EWG hätte verweigert werden können, falls vor dem 11. März 2011 um sie ersucht worden wäre.</w:t>
      </w:r>
    </w:p>
    <w:p w14:paraId="11AEE464" w14:textId="77777777" w:rsidR="00377828" w:rsidRPr="009118AB" w:rsidRDefault="00377828" w:rsidP="00377828">
      <w:pPr>
        <w:jc w:val="both"/>
      </w:pPr>
    </w:p>
    <w:p w14:paraId="7D7C9290" w14:textId="44F5E83D" w:rsidR="00377828" w:rsidRPr="009118AB" w:rsidRDefault="00D67EB8" w:rsidP="00377828">
      <w:pPr>
        <w:ind w:firstLine="708"/>
        <w:jc w:val="both"/>
      </w:pPr>
      <w:r w:rsidRPr="009118AB">
        <w:t>§ </w:t>
      </w:r>
      <w:r w:rsidR="00377828" w:rsidRPr="009118AB">
        <w:t>22</w:t>
      </w:r>
      <w:r w:rsidRPr="009118AB">
        <w:t> - </w:t>
      </w:r>
      <w:r w:rsidR="00377828" w:rsidRPr="009118AB">
        <w:t>Geht die belgische Behörde mit einem Drittland eine umfassendere Zusammenarbeit als in der Richtlinie vorgesehen ein, so kann sie es nicht ablehnen, mit anderen Mitgliedstaaten, die dies wünschen, eine solche umfassendere gegenseitige Zusammenarbeit einzugehen.</w:t>
      </w:r>
    </w:p>
    <w:p w14:paraId="2F0F8E08" w14:textId="77777777" w:rsidR="00377828" w:rsidRPr="009118AB" w:rsidRDefault="00377828" w:rsidP="00377828">
      <w:pPr>
        <w:jc w:val="both"/>
      </w:pPr>
    </w:p>
    <w:p w14:paraId="02C13B4F" w14:textId="77777777" w:rsidR="008E3F3C" w:rsidRPr="009118AB" w:rsidRDefault="00D67EB8" w:rsidP="008E3F3C">
      <w:pPr>
        <w:ind w:firstLine="708"/>
        <w:jc w:val="both"/>
      </w:pPr>
      <w:r w:rsidRPr="009118AB">
        <w:t>§ </w:t>
      </w:r>
      <w:r w:rsidR="00377828" w:rsidRPr="009118AB">
        <w:t>23</w:t>
      </w:r>
      <w:r w:rsidRPr="009118AB">
        <w:t> - </w:t>
      </w:r>
      <w:r w:rsidR="008E3F3C" w:rsidRPr="009118AB">
        <w:t>[Ersuchen um Informationen und behördliche Ermittlungen gemäß § 4 sowie Antworten gemäß § 5, Empfangsbestätigungen, Ersuchen um zusätzliche Hintergrundinformationen und Mitteilungen über das Unvermögen zur oder die Ablehnung der Erfüllung des Ersuchens gemäß § 5 werden soweit möglich mit Hilfe eines von der Kommission angenommenen Standardformblatts übermittelt. Dem Standardformblatt können Berichte, Bescheinigungen und andere Schriftstücke oder beglaubigte Kopien von Schriftstücken oder Auszüge daraus beigefügt werden.</w:t>
      </w:r>
    </w:p>
    <w:p w14:paraId="4A0CFB59" w14:textId="77777777" w:rsidR="008E3F3C" w:rsidRPr="009118AB" w:rsidRDefault="008E3F3C" w:rsidP="008E3F3C">
      <w:pPr>
        <w:jc w:val="both"/>
      </w:pPr>
    </w:p>
    <w:p w14:paraId="6F136145" w14:textId="77777777" w:rsidR="008E3F3C" w:rsidRPr="009118AB" w:rsidRDefault="008E3F3C" w:rsidP="008E3F3C">
      <w:pPr>
        <w:jc w:val="both"/>
      </w:pPr>
      <w:r w:rsidRPr="009118AB">
        <w:tab/>
        <w:t>Das Standardformblatt nach Absatz 1 beinhaltet zumindest die folgenden Informationen, die von der ersuchenden Behörde zu übermitteln sind:</w:t>
      </w:r>
    </w:p>
    <w:p w14:paraId="55878009" w14:textId="77777777" w:rsidR="008E3F3C" w:rsidRPr="009118AB" w:rsidRDefault="008E3F3C" w:rsidP="008E3F3C">
      <w:pPr>
        <w:jc w:val="both"/>
      </w:pPr>
    </w:p>
    <w:p w14:paraId="4A47CFBB" w14:textId="77777777" w:rsidR="008E3F3C" w:rsidRPr="009118AB" w:rsidRDefault="008E3F3C" w:rsidP="008E3F3C">
      <w:pPr>
        <w:jc w:val="both"/>
      </w:pPr>
      <w:r w:rsidRPr="009118AB">
        <w:tab/>
      </w:r>
      <w:r w:rsidRPr="009118AB">
        <w:rPr>
          <w:i/>
          <w:iCs/>
        </w:rPr>
        <w:t>a)</w:t>
      </w:r>
      <w:r w:rsidRPr="009118AB">
        <w:t> die Bezeichnung der Person, der die Untersuchung oder Ermittlung gilt, und im Falle von Gruppenersuchen gemäß § 5/2 eine ausführliche Beschreibung der Gruppe,</w:t>
      </w:r>
    </w:p>
    <w:p w14:paraId="3FF91971" w14:textId="77777777" w:rsidR="008E3F3C" w:rsidRPr="009118AB" w:rsidRDefault="008E3F3C" w:rsidP="008E3F3C">
      <w:pPr>
        <w:jc w:val="both"/>
      </w:pPr>
    </w:p>
    <w:p w14:paraId="5251DC17" w14:textId="77777777" w:rsidR="008E3F3C" w:rsidRPr="009118AB" w:rsidRDefault="008E3F3C" w:rsidP="008E3F3C">
      <w:pPr>
        <w:jc w:val="both"/>
      </w:pPr>
      <w:r w:rsidRPr="009118AB">
        <w:tab/>
      </w:r>
      <w:r w:rsidRPr="009118AB">
        <w:rPr>
          <w:i/>
          <w:iCs/>
        </w:rPr>
        <w:t>b)</w:t>
      </w:r>
      <w:r w:rsidRPr="009118AB">
        <w:t> den steuerlichen Zweck, zu dem die Informationen beantragt werden.</w:t>
      </w:r>
    </w:p>
    <w:p w14:paraId="2975489B" w14:textId="77777777" w:rsidR="008E3F3C" w:rsidRPr="009118AB" w:rsidRDefault="008E3F3C" w:rsidP="008E3F3C">
      <w:pPr>
        <w:jc w:val="both"/>
      </w:pPr>
    </w:p>
    <w:p w14:paraId="136F2B84" w14:textId="77777777" w:rsidR="008E3F3C" w:rsidRPr="009118AB" w:rsidRDefault="008E3F3C" w:rsidP="008E3F3C">
      <w:pPr>
        <w:jc w:val="both"/>
      </w:pPr>
      <w:r w:rsidRPr="009118AB">
        <w:tab/>
        <w:t>Die belgische zuständige Behörde kann - soweit bekannt und im Einklang mit den Entwicklungen auf internationaler Ebene - Namen und Anschrift jeder Person, von der angenommen wird, dass sie über die gewünschten Informationen verfügt, wie auch jede Angabe übermitteln, die die Beschaffung von Informationen durch die ersuchte Behörde erleichtern könnte.</w:t>
      </w:r>
    </w:p>
    <w:p w14:paraId="2AE52C30" w14:textId="77777777" w:rsidR="008E3F3C" w:rsidRPr="009118AB" w:rsidRDefault="008E3F3C" w:rsidP="008E3F3C">
      <w:pPr>
        <w:jc w:val="both"/>
      </w:pPr>
    </w:p>
    <w:p w14:paraId="34DD00FC" w14:textId="77777777" w:rsidR="008E3F3C" w:rsidRPr="009118AB" w:rsidRDefault="008E3F3C" w:rsidP="008E3F3C">
      <w:pPr>
        <w:jc w:val="both"/>
      </w:pPr>
      <w:r w:rsidRPr="009118AB">
        <w:tab/>
        <w:t>Der spontane Informationsaustausch und seine Bestätigung gemäß den Paragraphen 7 und 8, Zustellungsersuchen gemäß den Paragraphen 12 und 13, Rückmeldungen gemäß den Paragraphen 14 und 15 und Übermittlungen gemäß den Paragraphen 17 Absatz 2, 18 und 25 Absatz 2 erfolgen mit Hilfe des von der Kommission angenommenen Standardformblatts.</w:t>
      </w:r>
    </w:p>
    <w:p w14:paraId="1D7B8B55" w14:textId="77777777" w:rsidR="008E3F3C" w:rsidRPr="009118AB" w:rsidRDefault="008E3F3C" w:rsidP="008E3F3C">
      <w:pPr>
        <w:jc w:val="both"/>
      </w:pPr>
    </w:p>
    <w:p w14:paraId="702E10B3" w14:textId="54F33858" w:rsidR="00377828" w:rsidRPr="009118AB" w:rsidRDefault="008E3F3C" w:rsidP="008E3F3C">
      <w:pPr>
        <w:ind w:firstLine="708"/>
        <w:jc w:val="both"/>
      </w:pPr>
      <w:r w:rsidRPr="009118AB">
        <w:tab/>
        <w:t>Der automatische Informationsaustausch gemäß den Paragraphen 6 und 6/1 erfolgt über ein von der Kommission angenommenes elektronisches Standardformat, mit dem ein solcher automatischer Austausch erleichtert werden soll.]</w:t>
      </w:r>
    </w:p>
    <w:p w14:paraId="32438F60" w14:textId="77777777" w:rsidR="00377828" w:rsidRPr="009118AB" w:rsidRDefault="00377828" w:rsidP="00377828">
      <w:pPr>
        <w:jc w:val="both"/>
      </w:pPr>
    </w:p>
    <w:p w14:paraId="64E02286" w14:textId="7370A676" w:rsidR="00377828" w:rsidRPr="009118AB" w:rsidRDefault="00D67EB8" w:rsidP="00377828">
      <w:pPr>
        <w:ind w:firstLine="708"/>
        <w:jc w:val="both"/>
      </w:pPr>
      <w:r w:rsidRPr="009118AB">
        <w:t>§ </w:t>
      </w:r>
      <w:r w:rsidR="00377828" w:rsidRPr="009118AB">
        <w:t>24</w:t>
      </w:r>
      <w:r w:rsidRPr="009118AB">
        <w:t> - </w:t>
      </w:r>
      <w:r w:rsidR="00377828" w:rsidRPr="009118AB">
        <w:t>Die Informationsübermittlung im Rahmen des vorliegenden Artikels erfolgt soweit möglich auf elektronischem Wege mit Hilfe des CCN-Netzes.</w:t>
      </w:r>
    </w:p>
    <w:p w14:paraId="059967EB" w14:textId="77777777" w:rsidR="00377828" w:rsidRPr="009118AB" w:rsidRDefault="00377828" w:rsidP="00377828">
      <w:pPr>
        <w:jc w:val="both"/>
      </w:pPr>
    </w:p>
    <w:p w14:paraId="693451CC" w14:textId="77777777" w:rsidR="00377828" w:rsidRPr="009118AB" w:rsidRDefault="00377828" w:rsidP="00377828">
      <w:pPr>
        <w:ind w:firstLine="708"/>
        <w:jc w:val="both"/>
      </w:pPr>
      <w:r w:rsidRPr="009118AB">
        <w:t>Ersuchen um Zusammenarbeit, einschließlich Zustellungsersuchen, und beigefügte Schriftstücke können in den Sprachen abgefasst werden, die zwischen der ersuchten und der ersuchenden Behörde vereinbart wurden. Solchen Ersuchen wird eine Übersetzung in eine der Amtssprachen Belgiens nur in besonderen Fällen beigefügt, sofern die belgische zuständige Behörde die Anforderung einer solchen Übersetzung begründet.</w:t>
      </w:r>
    </w:p>
    <w:p w14:paraId="1732FE7E" w14:textId="77777777" w:rsidR="00297C18" w:rsidRPr="009118AB" w:rsidRDefault="00297C18" w:rsidP="00377828">
      <w:pPr>
        <w:ind w:firstLine="708"/>
        <w:jc w:val="both"/>
      </w:pPr>
    </w:p>
    <w:p w14:paraId="1A59D329" w14:textId="05AC5489" w:rsidR="00297C18" w:rsidRPr="009118AB" w:rsidRDefault="00297C18" w:rsidP="00297C18">
      <w:pPr>
        <w:ind w:firstLine="708"/>
        <w:jc w:val="both"/>
      </w:pPr>
      <w:r w:rsidRPr="009118AB">
        <w:t xml:space="preserve">[Damit das Erfordernis des automatischen Austauschs gemäß </w:t>
      </w:r>
      <w:r w:rsidR="00D67EB8" w:rsidRPr="009118AB">
        <w:t>§ </w:t>
      </w:r>
      <w:r w:rsidRPr="009118AB">
        <w:t xml:space="preserve">6/1 </w:t>
      </w:r>
      <w:r w:rsidR="00D67EB8" w:rsidRPr="009118AB">
        <w:t>Nr. </w:t>
      </w:r>
      <w:r w:rsidRPr="009118AB">
        <w:t>1 und 2 erfüllt wird, werden die zu übermittelnden Informationen in einem sicheren Zentralverzeichnis der Mitgliedstaaten über die Zusammenarbeit der Verwaltungsbehörden im Bereich der Besteuerung erfasst, das bis zum 31. Dezember 2017 von der Kommission eingerichtet wird. Die belgischen zuständigen Behörden haben Zugang zu den in diesem Verzeichnis erfassten Informationen.</w:t>
      </w:r>
    </w:p>
    <w:p w14:paraId="030685E5" w14:textId="77777777" w:rsidR="00297C18" w:rsidRPr="009118AB" w:rsidRDefault="00297C18" w:rsidP="00297C18">
      <w:pPr>
        <w:jc w:val="both"/>
      </w:pPr>
    </w:p>
    <w:p w14:paraId="2C4B45EF" w14:textId="3F7792E8" w:rsidR="00297C18" w:rsidRPr="009118AB" w:rsidRDefault="00297C18" w:rsidP="00297C18">
      <w:pPr>
        <w:ind w:firstLine="708"/>
        <w:jc w:val="both"/>
      </w:pPr>
      <w:r w:rsidRPr="009118AB">
        <w:t xml:space="preserve">Bis dieses sichere Zentralverzeichnis funktionsfähig ist, erfolgt der in </w:t>
      </w:r>
      <w:r w:rsidR="00D67EB8" w:rsidRPr="009118AB">
        <w:t>§ </w:t>
      </w:r>
      <w:r w:rsidRPr="009118AB">
        <w:t xml:space="preserve">6/1 </w:t>
      </w:r>
      <w:r w:rsidR="00D67EB8" w:rsidRPr="009118AB">
        <w:t>Nr. </w:t>
      </w:r>
      <w:r w:rsidRPr="009118AB">
        <w:t>1 und 2 genannte automatische Informationsaustausch gemäß Absatz 1 des vorliegenden Paragraphen und gemäß den einschlägigen praktischen Regelungen.]</w:t>
      </w:r>
    </w:p>
    <w:p w14:paraId="5EC6ADF4" w14:textId="77777777" w:rsidR="00F423B5" w:rsidRPr="009118AB" w:rsidRDefault="00F423B5" w:rsidP="00297C18">
      <w:pPr>
        <w:ind w:firstLine="708"/>
        <w:jc w:val="both"/>
      </w:pPr>
    </w:p>
    <w:p w14:paraId="070C491A" w14:textId="2436282C" w:rsidR="00F423B5" w:rsidRPr="009118AB" w:rsidRDefault="00F423B5" w:rsidP="00297C18">
      <w:pPr>
        <w:ind w:firstLine="708"/>
        <w:jc w:val="both"/>
      </w:pPr>
      <w:r w:rsidRPr="009118AB">
        <w:tab/>
        <w:t>[</w:t>
      </w:r>
      <w:r w:rsidR="00D67EB8" w:rsidRPr="009118AB">
        <w:t>§ </w:t>
      </w:r>
      <w:r w:rsidRPr="009118AB">
        <w:t>24/1</w:t>
      </w:r>
      <w:r w:rsidR="00D67EB8" w:rsidRPr="009118AB">
        <w:t> - </w:t>
      </w:r>
      <w:r w:rsidRPr="009118AB">
        <w:t xml:space="preserve">Die zuständige belgische Behörde erteilt auf Antrag ausländischen Steuerbehörden die Angaben aus dem bei der Generalverwaltung Schatzamt geführten Register der wirtschaftlichen Eigentümer, UBO-Register genannt, das durch Artikel 73 des Gesetzes vom 18. September 2017 zur Verhinderung von Geldwäsche und Terrorismusfinanzierung und zur Beschränkung der Nutzung von Bargeld geschaffen worden ist, und Zugang zu den Mechanismen, Verfahren, Dokumenten und Informationen gemäß den Artikeln 13, 30, </w:t>
      </w:r>
      <w:r w:rsidR="008E3F3C" w:rsidRPr="009118AB">
        <w:t xml:space="preserve">[31, 32a und 40] </w:t>
      </w:r>
      <w:r w:rsidRPr="009118AB">
        <w:t xml:space="preserve">der Richtlinie (EU) 2015/849 des Europäischen Parlaments und des Rates vom 20. Mai 2015 zur Verhinderung der Nutzung des Finanzsystems zum Zwecke der Geldwäsche und der Terrorismusfinanzierung, zur Änderung der Verordnung (EU) </w:t>
      </w:r>
      <w:r w:rsidR="00D67EB8" w:rsidRPr="009118AB">
        <w:t>Nr. </w:t>
      </w:r>
      <w:r w:rsidRPr="009118AB">
        <w:t>648/2012 des Europäischen Parlaments und des Rates und zur Aufhebung der Richtlinie 2005/60/EG des Europäischen Parlaments und des Rates und der Richtlinie 2006/70/EG der Kommission.]</w:t>
      </w:r>
    </w:p>
    <w:p w14:paraId="7D5D2DA7" w14:textId="77777777" w:rsidR="00377828" w:rsidRPr="009118AB" w:rsidRDefault="00377828" w:rsidP="00377828">
      <w:pPr>
        <w:jc w:val="both"/>
      </w:pPr>
    </w:p>
    <w:p w14:paraId="7AAD5D3F" w14:textId="1D2973E1" w:rsidR="00377828" w:rsidRPr="009118AB" w:rsidRDefault="00D67EB8" w:rsidP="00377828">
      <w:pPr>
        <w:ind w:firstLine="708"/>
        <w:jc w:val="both"/>
      </w:pPr>
      <w:r w:rsidRPr="009118AB">
        <w:t>§ </w:t>
      </w:r>
      <w:r w:rsidR="00377828" w:rsidRPr="009118AB">
        <w:t>25</w:t>
      </w:r>
      <w:r w:rsidRPr="009118AB">
        <w:t> - </w:t>
      </w:r>
      <w:r w:rsidR="00377828" w:rsidRPr="009118AB">
        <w:t>Erhält die belgische zuständige Behörde von einem Drittland Informationen, die für die Anwendung und Durchsetzung des belgischen Rechts über Einkommensteuern voraussichtlich erheblich sind, so kann diese Behörde diese Informationen</w:t>
      </w:r>
      <w:r w:rsidRPr="009118AB">
        <w:t> - </w:t>
      </w:r>
      <w:r w:rsidR="00377828" w:rsidRPr="009118AB">
        <w:t>sofern dies aufgrund einer Vereinbarung mit dem betreffenden Drittland zulässig ist</w:t>
      </w:r>
      <w:r w:rsidRPr="009118AB">
        <w:t> - </w:t>
      </w:r>
      <w:r w:rsidR="00377828" w:rsidRPr="009118AB">
        <w:t>den ausländischen zuständigen Behörden der Mitgliedstaaten, für die diese Informationen von Nutzen sein könnten, und allen ausländischen zuständigen Behörden, die darum ersuchen, zur Verfügung stellen.</w:t>
      </w:r>
    </w:p>
    <w:p w14:paraId="67DF2435" w14:textId="77777777" w:rsidR="00377828" w:rsidRPr="009118AB" w:rsidRDefault="00377828" w:rsidP="00377828">
      <w:pPr>
        <w:jc w:val="both"/>
      </w:pPr>
    </w:p>
    <w:p w14:paraId="767CFBDD" w14:textId="77777777" w:rsidR="00377828" w:rsidRPr="009118AB" w:rsidRDefault="00377828" w:rsidP="00377828">
      <w:pPr>
        <w:ind w:firstLine="708"/>
        <w:jc w:val="both"/>
      </w:pPr>
      <w:r w:rsidRPr="009118AB">
        <w:t>Die belgische zuständige Behörde kann, im Einklang mit dem Gesetz vom 8. Dezember 1992 über den Schutz des Privatlebens hinsichtlich der Verarbeitung personenbezogener Daten und dem Gesetz vom 3. August 2012 zur Festlegung von Bestimmungen in Bezug auf die Verarbeitung personenbezogener Daten durch den Föderalen Öffentlichen Dienst Finanzen im Rahmen seiner Aufträge, die im Einklang mit vorliegendem Artikel erhaltenen Informationen an ein Drittland weitergeben, sofern alle folgenden Bedingungen erfüllt sind:</w:t>
      </w:r>
    </w:p>
    <w:p w14:paraId="33D73BBB" w14:textId="77777777" w:rsidR="00377828" w:rsidRPr="009118AB" w:rsidRDefault="00377828" w:rsidP="00377828">
      <w:pPr>
        <w:jc w:val="both"/>
      </w:pPr>
    </w:p>
    <w:p w14:paraId="631B44E1" w14:textId="77777777" w:rsidR="00377828" w:rsidRPr="009118AB" w:rsidRDefault="00377828" w:rsidP="00377828">
      <w:pPr>
        <w:ind w:firstLine="708"/>
        <w:jc w:val="both"/>
      </w:pPr>
      <w:r w:rsidRPr="009118AB">
        <w:rPr>
          <w:i/>
        </w:rPr>
        <w:t>a)</w:t>
      </w:r>
      <w:r w:rsidRPr="009118AB">
        <w:t> Die ausländische zuständige Behörde des Mitgliedstaates, von dem die Informationen stammen, ist mit der Übermittlung einverstanden.</w:t>
      </w:r>
    </w:p>
    <w:p w14:paraId="282E64AD" w14:textId="77777777" w:rsidR="00377828" w:rsidRPr="009118AB" w:rsidRDefault="00377828" w:rsidP="00377828">
      <w:pPr>
        <w:jc w:val="both"/>
      </w:pPr>
    </w:p>
    <w:p w14:paraId="16D8FAC5" w14:textId="77777777" w:rsidR="00477B8F" w:rsidRDefault="00D12F01" w:rsidP="00377828">
      <w:pPr>
        <w:jc w:val="both"/>
      </w:pPr>
      <w:r w:rsidRPr="009118AB">
        <w:rPr>
          <w:i/>
        </w:rPr>
        <w:tab/>
      </w:r>
      <w:r w:rsidR="00377828" w:rsidRPr="009118AB">
        <w:rPr>
          <w:i/>
        </w:rPr>
        <w:t>b)</w:t>
      </w:r>
      <w:r w:rsidR="00377828" w:rsidRPr="009118AB">
        <w:t> Das betroffene Drittland hat sich zu der Zusammenarbeit verpflichtet, die für den Nachweis der Unregelmäßigkeit oder der Rechtswidrigkeit von mutmaßlich gegen die Steuervorschriften verstoßenden oder ihnen zuwiderlaufenden Transaktionen erforderlich ist.</w:t>
      </w:r>
      <w:r w:rsidR="00477B8F" w:rsidRPr="009118AB">
        <w:t>]</w:t>
      </w:r>
    </w:p>
    <w:p w14:paraId="392FD148" w14:textId="77777777" w:rsidR="009107C3" w:rsidRDefault="009107C3" w:rsidP="00377828">
      <w:pPr>
        <w:jc w:val="both"/>
      </w:pPr>
    </w:p>
    <w:p w14:paraId="08EA9AB5" w14:textId="0D5AEADE" w:rsidR="00304257" w:rsidRPr="00304257" w:rsidRDefault="009107C3" w:rsidP="00304257">
      <w:pPr>
        <w:ind w:firstLine="708"/>
        <w:jc w:val="both"/>
      </w:pPr>
      <w:r>
        <w:tab/>
        <w:t>[</w:t>
      </w:r>
      <w:r w:rsidR="00304257" w:rsidRPr="00304257">
        <w:t>§ 26 - Meldende Finanzinstitute, Intermediäre, meldende Plattformbetreiber und die belgische zuständige Behörde gelten als für die Verarbeitung Verantwortliche, wenn sie allein oder gemeinsam über die Zwecke und Mittel der Verarbeitung personenbezogener Daten im Sinne der Verordnung (EU) 2016/679 des Europäischen Parlaments und des Rates vom 27. April 2016 zum Schutz natürlicher Personen bei der Verarbeitung personenbezogener Daten, zum freien Datenverkehr und zur Aufhebung der Richtlinie 95/46/EG entscheiden.</w:t>
      </w:r>
    </w:p>
    <w:p w14:paraId="2B3DB951" w14:textId="77777777" w:rsidR="00304257" w:rsidRPr="00304257" w:rsidRDefault="00304257" w:rsidP="00304257">
      <w:pPr>
        <w:jc w:val="both"/>
      </w:pPr>
    </w:p>
    <w:p w14:paraId="79FB2EAA" w14:textId="77777777" w:rsidR="00304257" w:rsidRPr="00304257" w:rsidRDefault="00304257" w:rsidP="00304257">
      <w:pPr>
        <w:ind w:firstLine="708"/>
        <w:jc w:val="both"/>
      </w:pPr>
      <w:r w:rsidRPr="00304257">
        <w:t>Die belgische zuständige Behörde meldet der Kommission unverzüglich jede Verletzung des Datenschutzes und alle nachfolgenden Abhilfemaßnahmen.</w:t>
      </w:r>
    </w:p>
    <w:p w14:paraId="343A3295" w14:textId="77777777" w:rsidR="00304257" w:rsidRPr="00304257" w:rsidRDefault="00304257" w:rsidP="00304257">
      <w:pPr>
        <w:jc w:val="both"/>
      </w:pPr>
    </w:p>
    <w:p w14:paraId="37B35DAA" w14:textId="77777777" w:rsidR="00304257" w:rsidRPr="00304257" w:rsidRDefault="00304257" w:rsidP="00304257">
      <w:pPr>
        <w:ind w:firstLine="708"/>
        <w:jc w:val="both"/>
      </w:pPr>
      <w:r w:rsidRPr="00304257">
        <w:t>Die belgische zuständige Behörde kann den Informationsaustausch mit dem Mitgliedstaat beziehungsweise den Mitgliedstaaten, in dem beziehungsweise denen die Verletzung des Datenschutzes stattgefunden hat, aussetzen, indem sie dies der Kommission und jedem betroffenen Mitgliedstaat schriftlich mitteilt. Diese Aussetzung ist unmittelbar wirksam.</w:t>
      </w:r>
    </w:p>
    <w:p w14:paraId="771D0CEF" w14:textId="77777777" w:rsidR="00304257" w:rsidRPr="00304257" w:rsidRDefault="00304257" w:rsidP="00304257">
      <w:pPr>
        <w:jc w:val="both"/>
      </w:pPr>
    </w:p>
    <w:p w14:paraId="30862649" w14:textId="77777777" w:rsidR="00304257" w:rsidRPr="00304257" w:rsidRDefault="00304257" w:rsidP="00304257">
      <w:pPr>
        <w:ind w:firstLine="708"/>
        <w:jc w:val="both"/>
      </w:pPr>
      <w:r w:rsidRPr="00304257">
        <w:t>Im Falle einer Verletzung des Datenschutzes untersucht die belgische zuständige Behörde diese Verletzung, dämmt sie sie ein und schafft sie Abhilfe und beantragt sie durch schriftliche Nachricht an die Kommission die Aussetzung des Zugangs zum CCN-Netz für die Zwecke dieser Richtlinie, sofern die Datenschutzverletzung nicht umgehend und angemessen eingedämmt werden kann. Auf diesen Antrag hin setzt die Kommission den Zugang dieses Mitgliedstaates beziehungsweise dieser Mitgliedstaaten zum CCN-Netz für die Zwecke der Richtlinie aus.</w:t>
      </w:r>
    </w:p>
    <w:p w14:paraId="257782EE" w14:textId="77777777" w:rsidR="00304257" w:rsidRPr="00304257" w:rsidRDefault="00304257" w:rsidP="00304257">
      <w:pPr>
        <w:jc w:val="both"/>
      </w:pPr>
    </w:p>
    <w:p w14:paraId="74E6B814" w14:textId="77777777" w:rsidR="00304257" w:rsidRPr="00304257" w:rsidRDefault="00304257" w:rsidP="00304257">
      <w:pPr>
        <w:ind w:firstLine="708"/>
        <w:jc w:val="both"/>
      </w:pPr>
      <w:r w:rsidRPr="00304257">
        <w:t>Die belgische zuständige Behörde meldet der Kommission im Falle einer Verletzung des Datenschutzes die Behebung dieser Verletzung. Wenn ein oder mehrere Mitgliedstaaten die Kommission ersuchen, gemeinsam zu überprüfen, ob die Behebung der Verletzung des Datenschutzes erfolgreich war, gewährt die Kommission dem betroffenen Mitgliedstaat beziehungsweise den betroffenen Mitgliedstaaten nach Abschluss der Überprüfung erneut Zugang zum CCN-Netz für die Zwecke der Richtlinie.</w:t>
      </w:r>
    </w:p>
    <w:p w14:paraId="5230CC61" w14:textId="77777777" w:rsidR="00304257" w:rsidRPr="00304257" w:rsidRDefault="00304257" w:rsidP="00304257">
      <w:pPr>
        <w:jc w:val="both"/>
      </w:pPr>
    </w:p>
    <w:p w14:paraId="1549B58A" w14:textId="73F0EF7B" w:rsidR="009107C3" w:rsidRPr="009118AB" w:rsidRDefault="00304257" w:rsidP="004818EB">
      <w:pPr>
        <w:ind w:firstLine="708"/>
        <w:jc w:val="both"/>
      </w:pPr>
      <w:r w:rsidRPr="00304257">
        <w:t>Betrifft eine Verletzung des Datenschutzes das Zentralverzeichnis oder das CCN-Netz für die Zwecke dieser Richtlinie und könnte dies zu einer potenziellen Beeinträchtigung der Austauschvorgänge zwischen den Mitgliedstaaten über das CCN-Netz führen, so unterrichtet die Kommission die Mitgliedstaaten unverzüglich über die Verletzung des Datenschutzes sowie über alle ergriffenen Abhilfemaßnahmen. Diese Abhilfemaßnahmen können unter anderem die Aussetzung des Zugangs zum Zentralverzeichnis oder zum CCN-Netz für die Zwecke der Richtlinie umfassen, bis die Verletzung des Datenschutzes behoben ist.</w:t>
      </w:r>
      <w:r>
        <w:t>]</w:t>
      </w:r>
    </w:p>
    <w:p w14:paraId="1D191AB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7223BA3" w14:textId="37FA707D" w:rsidR="00477B8F" w:rsidRPr="009118AB" w:rsidRDefault="00477B8F" w:rsidP="00304257">
      <w:pPr>
        <w:jc w:val="both"/>
      </w:pPr>
      <w:r w:rsidRPr="009118AB">
        <w:rPr>
          <w:i/>
          <w:iCs/>
        </w:rPr>
        <w:t>[</w:t>
      </w:r>
      <w:r w:rsidR="00D67EB8" w:rsidRPr="009118AB">
        <w:rPr>
          <w:i/>
          <w:iCs/>
        </w:rPr>
        <w:t>Art. </w:t>
      </w:r>
      <w:r w:rsidRPr="009118AB">
        <w:rPr>
          <w:i/>
          <w:iCs/>
        </w:rPr>
        <w:t xml:space="preserve">338 ersetzt durch </w:t>
      </w:r>
      <w:r w:rsidR="00D67EB8" w:rsidRPr="009118AB">
        <w:rPr>
          <w:i/>
          <w:iCs/>
        </w:rPr>
        <w:t>Art. </w:t>
      </w:r>
      <w:r w:rsidR="00D12F01" w:rsidRPr="009118AB">
        <w:rPr>
          <w:i/>
          <w:iCs/>
        </w:rPr>
        <w:t>3</w:t>
      </w:r>
      <w:r w:rsidR="00942F31" w:rsidRPr="009118AB">
        <w:rPr>
          <w:i/>
        </w:rPr>
        <w:t xml:space="preserve"> des G. vom </w:t>
      </w:r>
      <w:r w:rsidR="00D12F01" w:rsidRPr="009118AB">
        <w:rPr>
          <w:i/>
        </w:rPr>
        <w:t>17. August 2013 (B.S. vom 5. September 2013)</w:t>
      </w:r>
      <w:r w:rsidR="00D67EB8" w:rsidRPr="009118AB">
        <w:rPr>
          <w:i/>
        </w:rPr>
        <w:t> - </w:t>
      </w:r>
      <w:r w:rsidR="002E5E20" w:rsidRPr="009118AB">
        <w:rPr>
          <w:i/>
        </w:rPr>
        <w:t>wirksam mit 1. Januar 2013</w:t>
      </w:r>
      <w:r w:rsidR="003366D9" w:rsidRPr="009118AB">
        <w:rPr>
          <w:i/>
        </w:rPr>
        <w:t> -;</w:t>
      </w:r>
      <w:r w:rsidR="00297C18" w:rsidRPr="009118AB">
        <w:rPr>
          <w:i/>
        </w:rPr>
        <w:t xml:space="preserve"> </w:t>
      </w:r>
      <w:r w:rsidR="00D67EB8" w:rsidRPr="009118AB">
        <w:rPr>
          <w:i/>
        </w:rPr>
        <w:t>§ </w:t>
      </w:r>
      <w:r w:rsidR="00297C18" w:rsidRPr="009118AB">
        <w:rPr>
          <w:i/>
        </w:rPr>
        <w:t xml:space="preserve">2 einziger Absatz </w:t>
      </w:r>
      <w:r w:rsidR="00D67EB8" w:rsidRPr="009118AB">
        <w:rPr>
          <w:i/>
        </w:rPr>
        <w:t>Nr. </w:t>
      </w:r>
      <w:r w:rsidR="00297C18" w:rsidRPr="009118AB">
        <w:rPr>
          <w:i/>
        </w:rPr>
        <w:t xml:space="preserve">11 ersetzt durch </w:t>
      </w:r>
      <w:r w:rsidR="00D67EB8" w:rsidRPr="009118AB">
        <w:rPr>
          <w:i/>
        </w:rPr>
        <w:t>Art. </w:t>
      </w:r>
      <w:r w:rsidR="00297C18" w:rsidRPr="009118AB">
        <w:rPr>
          <w:i/>
        </w:rPr>
        <w:t xml:space="preserve">3 </w:t>
      </w:r>
      <w:r w:rsidR="00D67EB8" w:rsidRPr="009118AB">
        <w:rPr>
          <w:i/>
        </w:rPr>
        <w:t>Nr. </w:t>
      </w:r>
      <w:r w:rsidR="00297C18" w:rsidRPr="009118AB">
        <w:rPr>
          <w:i/>
        </w:rPr>
        <w:t>1 des G. vom 31. Juli 2017</w:t>
      </w:r>
      <w:r w:rsidR="00D352A1" w:rsidRPr="009118AB">
        <w:rPr>
          <w:i/>
        </w:rPr>
        <w:t> (I)</w:t>
      </w:r>
      <w:r w:rsidR="00297C18" w:rsidRPr="009118AB">
        <w:rPr>
          <w:i/>
        </w:rPr>
        <w:t xml:space="preserve"> (B.S. vom 11. August 2017);</w:t>
      </w:r>
      <w:r w:rsidR="00F44B09" w:rsidRPr="009118AB">
        <w:rPr>
          <w:i/>
        </w:rPr>
        <w:t xml:space="preserve"> </w:t>
      </w:r>
      <w:r w:rsidR="00D67EB8" w:rsidRPr="009118AB">
        <w:rPr>
          <w:i/>
        </w:rPr>
        <w:t>§ </w:t>
      </w:r>
      <w:r w:rsidR="00F44B09" w:rsidRPr="009118AB">
        <w:rPr>
          <w:i/>
        </w:rPr>
        <w:t xml:space="preserve">2 einziger Absatz </w:t>
      </w:r>
      <w:r w:rsidR="00D67EB8" w:rsidRPr="009118AB">
        <w:rPr>
          <w:i/>
        </w:rPr>
        <w:t>Nr. </w:t>
      </w:r>
      <w:r w:rsidR="00F44B09" w:rsidRPr="009118AB">
        <w:rPr>
          <w:i/>
        </w:rPr>
        <w:t xml:space="preserve">11 einziger Absatz Buchstabe a) und c) ersetzt durch </w:t>
      </w:r>
      <w:r w:rsidR="00D67EB8" w:rsidRPr="009118AB">
        <w:rPr>
          <w:i/>
        </w:rPr>
        <w:t>Art. </w:t>
      </w:r>
      <w:r w:rsidR="00F44B09" w:rsidRPr="009118AB">
        <w:rPr>
          <w:i/>
        </w:rPr>
        <w:t>1</w:t>
      </w:r>
      <w:r w:rsidR="008E3F3C" w:rsidRPr="009118AB">
        <w:rPr>
          <w:i/>
        </w:rPr>
        <w:t>1</w:t>
      </w:r>
      <w:r w:rsidR="00F44B09" w:rsidRPr="009118AB">
        <w:rPr>
          <w:i/>
        </w:rPr>
        <w:t xml:space="preserve"> </w:t>
      </w:r>
      <w:r w:rsidR="00D67EB8" w:rsidRPr="009118AB">
        <w:rPr>
          <w:i/>
        </w:rPr>
        <w:t>Nr. </w:t>
      </w:r>
      <w:r w:rsidR="00F44B09" w:rsidRPr="009118AB">
        <w:rPr>
          <w:i/>
        </w:rPr>
        <w:t>1</w:t>
      </w:r>
      <w:r w:rsidR="008E3F3C" w:rsidRPr="009118AB">
        <w:rPr>
          <w:i/>
          <w:iCs/>
        </w:rPr>
        <w:t xml:space="preserve"> des G. vom </w:t>
      </w:r>
      <w:r w:rsidR="003365DD" w:rsidRPr="009118AB">
        <w:rPr>
          <w:i/>
          <w:iCs/>
        </w:rPr>
        <w:t>21. Dezember 2022 (I)</w:t>
      </w:r>
      <w:r w:rsidR="008E3F3C" w:rsidRPr="009118AB">
        <w:rPr>
          <w:i/>
          <w:iCs/>
        </w:rPr>
        <w:t xml:space="preserve"> (B.S. vom 30. Dezember 2022) - in Kraft am 1. Januar 2023 -</w:t>
      </w:r>
      <w:r w:rsidR="003366D9" w:rsidRPr="009118AB">
        <w:rPr>
          <w:i/>
        </w:rPr>
        <w:t>;</w:t>
      </w:r>
      <w:r w:rsidR="00297C18" w:rsidRPr="009118AB">
        <w:rPr>
          <w:i/>
        </w:rPr>
        <w:t xml:space="preserve"> </w:t>
      </w:r>
      <w:r w:rsidR="00D67EB8" w:rsidRPr="009118AB">
        <w:rPr>
          <w:i/>
        </w:rPr>
        <w:t>§ </w:t>
      </w:r>
      <w:r w:rsidR="00297C18" w:rsidRPr="009118AB">
        <w:rPr>
          <w:i/>
        </w:rPr>
        <w:t xml:space="preserve">2 einziger Absatz </w:t>
      </w:r>
      <w:r w:rsidR="00D67EB8" w:rsidRPr="009118AB">
        <w:rPr>
          <w:i/>
        </w:rPr>
        <w:t>Nr. </w:t>
      </w:r>
      <w:r w:rsidR="00297C18" w:rsidRPr="009118AB">
        <w:rPr>
          <w:i/>
        </w:rPr>
        <w:t xml:space="preserve">16 bis 20 eingefügt durch </w:t>
      </w:r>
      <w:r w:rsidR="00D67EB8" w:rsidRPr="009118AB">
        <w:rPr>
          <w:i/>
        </w:rPr>
        <w:t>Art. </w:t>
      </w:r>
      <w:r w:rsidR="00297C18" w:rsidRPr="009118AB">
        <w:rPr>
          <w:i/>
        </w:rPr>
        <w:t xml:space="preserve">3 </w:t>
      </w:r>
      <w:r w:rsidR="00D67EB8" w:rsidRPr="009118AB">
        <w:rPr>
          <w:i/>
        </w:rPr>
        <w:t>Nr. </w:t>
      </w:r>
      <w:r w:rsidR="00297C18" w:rsidRPr="009118AB">
        <w:rPr>
          <w:i/>
        </w:rPr>
        <w:t>2 des G. vom 31. Juli 2017</w:t>
      </w:r>
      <w:r w:rsidR="00D352A1" w:rsidRPr="009118AB">
        <w:rPr>
          <w:i/>
        </w:rPr>
        <w:t> (I)</w:t>
      </w:r>
      <w:r w:rsidR="00297C18" w:rsidRPr="009118AB">
        <w:rPr>
          <w:i/>
        </w:rPr>
        <w:t xml:space="preserve"> (B.S. vom 11. August 2017); </w:t>
      </w:r>
      <w:r w:rsidR="00D67EB8" w:rsidRPr="009118AB">
        <w:rPr>
          <w:i/>
        </w:rPr>
        <w:t>§ </w:t>
      </w:r>
      <w:r w:rsidR="00F44B09" w:rsidRPr="009118AB">
        <w:rPr>
          <w:i/>
        </w:rPr>
        <w:t xml:space="preserve">2 einziger Absatz </w:t>
      </w:r>
      <w:r w:rsidR="00D67EB8" w:rsidRPr="009118AB">
        <w:rPr>
          <w:i/>
        </w:rPr>
        <w:t>Nr. </w:t>
      </w:r>
      <w:r w:rsidR="00F44B09" w:rsidRPr="009118AB">
        <w:rPr>
          <w:i/>
        </w:rPr>
        <w:t xml:space="preserve">21 eingefügt durch </w:t>
      </w:r>
      <w:r w:rsidR="00D67EB8" w:rsidRPr="009118AB">
        <w:rPr>
          <w:i/>
        </w:rPr>
        <w:t>Art. </w:t>
      </w:r>
      <w:r w:rsidR="00F44B09" w:rsidRPr="009118AB">
        <w:rPr>
          <w:i/>
        </w:rPr>
        <w:t xml:space="preserve">17 </w:t>
      </w:r>
      <w:r w:rsidR="00D67EB8" w:rsidRPr="009118AB">
        <w:rPr>
          <w:i/>
        </w:rPr>
        <w:t>Nr. </w:t>
      </w:r>
      <w:r w:rsidR="00F44B09" w:rsidRPr="009118AB">
        <w:rPr>
          <w:i/>
        </w:rPr>
        <w:t>2 des G. vom 20. Dezember 2019 (B.S. vom 30. Dezember 2019)</w:t>
      </w:r>
      <w:r w:rsidR="00D67EB8" w:rsidRPr="009118AB">
        <w:rPr>
          <w:i/>
        </w:rPr>
        <w:t> - </w:t>
      </w:r>
      <w:r w:rsidR="00F44B09" w:rsidRPr="009118AB">
        <w:rPr>
          <w:i/>
        </w:rPr>
        <w:t>in Kraft am 1. Juli 2020</w:t>
      </w:r>
      <w:r w:rsidR="003366D9" w:rsidRPr="009118AB">
        <w:rPr>
          <w:i/>
        </w:rPr>
        <w:t> -;</w:t>
      </w:r>
      <w:r w:rsidR="00F44B09" w:rsidRPr="009118AB">
        <w:rPr>
          <w:i/>
        </w:rPr>
        <w:t xml:space="preserve"> </w:t>
      </w:r>
      <w:r w:rsidR="008E3F3C" w:rsidRPr="009118AB">
        <w:rPr>
          <w:i/>
        </w:rPr>
        <w:t>§ 2</w:t>
      </w:r>
      <w:r w:rsidR="00237385" w:rsidRPr="009118AB">
        <w:rPr>
          <w:i/>
        </w:rPr>
        <w:t xml:space="preserve"> einziger Absatz</w:t>
      </w:r>
      <w:r w:rsidR="008E3F3C" w:rsidRPr="009118AB">
        <w:rPr>
          <w:i/>
        </w:rPr>
        <w:t xml:space="preserve"> Nr. 22 und 23 eingefügt durch Art. 11 Nr. 2</w:t>
      </w:r>
      <w:r w:rsidR="008E3F3C" w:rsidRPr="009118AB">
        <w:rPr>
          <w:i/>
          <w:iCs/>
        </w:rPr>
        <w:t xml:space="preserve"> des G. vom </w:t>
      </w:r>
      <w:r w:rsidR="003365DD" w:rsidRPr="009118AB">
        <w:rPr>
          <w:i/>
          <w:iCs/>
        </w:rPr>
        <w:t>21. Dezember 2022 (I)</w:t>
      </w:r>
      <w:r w:rsidR="008E3F3C" w:rsidRPr="009118AB">
        <w:rPr>
          <w:i/>
          <w:iCs/>
        </w:rPr>
        <w:t xml:space="preserve"> (B.S. vom 30. Dezember 2022) - in Kraft am 1. Januar 2023 -; § 5 Abs. 5 abgeändert durch Art. 11 Nr. 5 des G. vom </w:t>
      </w:r>
      <w:r w:rsidR="003365DD" w:rsidRPr="009118AB">
        <w:rPr>
          <w:i/>
          <w:iCs/>
        </w:rPr>
        <w:t>21. Dezember 2022 (I)</w:t>
      </w:r>
      <w:r w:rsidR="008E3F3C" w:rsidRPr="009118AB">
        <w:rPr>
          <w:i/>
          <w:iCs/>
        </w:rPr>
        <w:t xml:space="preserve"> (B.S. vom 30. Dezember 2022) - in Kraft am 1. Januar 2023 -; § 5 Abs. 8 abgeändert durch Art. 11 Nr. 6 des G. vom </w:t>
      </w:r>
      <w:r w:rsidR="003365DD" w:rsidRPr="009118AB">
        <w:rPr>
          <w:i/>
          <w:iCs/>
        </w:rPr>
        <w:t>21. Dezember 2022 (I)</w:t>
      </w:r>
      <w:r w:rsidR="008E3F3C" w:rsidRPr="009118AB">
        <w:rPr>
          <w:i/>
          <w:iCs/>
        </w:rPr>
        <w:t xml:space="preserve"> (B.S. vom 30. Dezember 2022) - in Kraft am 1. Januar 2023 -; § 5/1 eingefügt durch Art. 11 Nr. 3 des G. vom </w:t>
      </w:r>
      <w:r w:rsidR="003365DD" w:rsidRPr="009118AB">
        <w:rPr>
          <w:i/>
          <w:iCs/>
        </w:rPr>
        <w:t>21. Dezember 2022 (I)</w:t>
      </w:r>
      <w:r w:rsidR="008E3F3C" w:rsidRPr="009118AB">
        <w:rPr>
          <w:i/>
          <w:iCs/>
        </w:rPr>
        <w:t xml:space="preserve"> (B.S. vom 30. Dezember 2022) - in Kraft am 1. Januar 2023 -; § 5/2 eingefügt durch Art. 11 Nr. 4 des G. vom </w:t>
      </w:r>
      <w:r w:rsidR="003365DD" w:rsidRPr="009118AB">
        <w:rPr>
          <w:i/>
          <w:iCs/>
        </w:rPr>
        <w:t>21. Dezember 2022 (I)</w:t>
      </w:r>
      <w:r w:rsidR="008E3F3C" w:rsidRPr="009118AB">
        <w:rPr>
          <w:i/>
          <w:iCs/>
        </w:rPr>
        <w:t xml:space="preserve"> (B.S. vom 30. Dezember 2022) - in Kraft am 1. Januar 2023 -; § 6 Abs. 1 ersetzt durch Art. 11 Nr. 7 des G. vom </w:t>
      </w:r>
      <w:r w:rsidR="003365DD" w:rsidRPr="009118AB">
        <w:rPr>
          <w:i/>
          <w:iCs/>
        </w:rPr>
        <w:t>21. Dezember 2022 (I)</w:t>
      </w:r>
      <w:r w:rsidR="008E3F3C" w:rsidRPr="009118AB">
        <w:rPr>
          <w:i/>
          <w:iCs/>
        </w:rPr>
        <w:t xml:space="preserve"> (B.S. vom 30. Dezember 2022) - in Kraft am 1. Januar 2023 -; § 6 neue Absätze 2 und 3 </w:t>
      </w:r>
      <w:r w:rsidR="00747569" w:rsidRPr="009118AB">
        <w:rPr>
          <w:i/>
          <w:iCs/>
        </w:rPr>
        <w:t xml:space="preserve">eingefügt durch Art. 11 Nr. 7 des G. vom </w:t>
      </w:r>
      <w:r w:rsidR="003365DD" w:rsidRPr="009118AB">
        <w:rPr>
          <w:i/>
          <w:iCs/>
        </w:rPr>
        <w:t>21. Dezember 2022 (I)</w:t>
      </w:r>
      <w:r w:rsidR="00747569" w:rsidRPr="009118AB">
        <w:rPr>
          <w:i/>
          <w:iCs/>
        </w:rPr>
        <w:t xml:space="preserve"> (B.S. vom 30. Dezember 2022) - in Kraft am 1. Januar 2023 -; </w:t>
      </w:r>
      <w:r w:rsidR="00D67EB8" w:rsidRPr="009118AB">
        <w:rPr>
          <w:i/>
        </w:rPr>
        <w:t>§ </w:t>
      </w:r>
      <w:r w:rsidR="00297C18" w:rsidRPr="009118AB">
        <w:rPr>
          <w:i/>
        </w:rPr>
        <w:t xml:space="preserve">6/1 eingefügt durch </w:t>
      </w:r>
      <w:r w:rsidR="00D67EB8" w:rsidRPr="009118AB">
        <w:rPr>
          <w:i/>
        </w:rPr>
        <w:t>Art. </w:t>
      </w:r>
      <w:r w:rsidR="00297C18" w:rsidRPr="009118AB">
        <w:rPr>
          <w:i/>
        </w:rPr>
        <w:t xml:space="preserve">3 </w:t>
      </w:r>
      <w:r w:rsidR="00D67EB8" w:rsidRPr="009118AB">
        <w:rPr>
          <w:i/>
        </w:rPr>
        <w:t>Nr. </w:t>
      </w:r>
      <w:r w:rsidR="00297C18" w:rsidRPr="009118AB">
        <w:rPr>
          <w:i/>
        </w:rPr>
        <w:t>3 des G. vom 31. Juli 2017</w:t>
      </w:r>
      <w:r w:rsidR="00D352A1" w:rsidRPr="009118AB">
        <w:rPr>
          <w:i/>
        </w:rPr>
        <w:t> (I)</w:t>
      </w:r>
      <w:r w:rsidR="00297C18" w:rsidRPr="009118AB">
        <w:rPr>
          <w:i/>
        </w:rPr>
        <w:t xml:space="preserve"> (B.S. vom 11. August 2017); </w:t>
      </w:r>
      <w:r w:rsidR="00747569" w:rsidRPr="009118AB">
        <w:rPr>
          <w:i/>
        </w:rPr>
        <w:t>§ 6/1 einziger Absatz Nr. 5 einziger Absatz Buchstabe a) ersetzt durch Art. 11 Nr. 8</w:t>
      </w:r>
      <w:r w:rsidR="00747569" w:rsidRPr="009118AB">
        <w:rPr>
          <w:i/>
          <w:iCs/>
        </w:rPr>
        <w:t xml:space="preserve"> des G. vom </w:t>
      </w:r>
      <w:r w:rsidR="003365DD" w:rsidRPr="009118AB">
        <w:rPr>
          <w:i/>
          <w:iCs/>
        </w:rPr>
        <w:t>21. Dezember 2022 (I)</w:t>
      </w:r>
      <w:r w:rsidR="00747569" w:rsidRPr="009118AB">
        <w:rPr>
          <w:i/>
          <w:iCs/>
        </w:rPr>
        <w:t xml:space="preserve"> (B.S. vom 30. Dezember 2022) - in Kraft am 1. Januar 2023 -; § 6/1 einziger Absatz Nr. 6 einziger Absatz Buchstabe b) ersetzt durch Art. 11 Nr. 9 des G. vom </w:t>
      </w:r>
      <w:r w:rsidR="003365DD" w:rsidRPr="009118AB">
        <w:rPr>
          <w:i/>
          <w:iCs/>
        </w:rPr>
        <w:t>21. Dezember 2022 (I)</w:t>
      </w:r>
      <w:r w:rsidR="00747569" w:rsidRPr="009118AB">
        <w:rPr>
          <w:i/>
          <w:iCs/>
        </w:rPr>
        <w:t xml:space="preserve"> (B.S. vom 30. Dezember 2022) - in Kraft am 1. Januar 2023 -;</w:t>
      </w:r>
      <w:r w:rsidR="00747569" w:rsidRPr="009118AB">
        <w:rPr>
          <w:i/>
        </w:rPr>
        <w:t xml:space="preserve"> § 6/2 eingefügt durch Art. 3 Nr. 3 des G. vom 31. Juli 2017 (I) (B.S. vom 11. August 2017) und ersetzt durch Art. 11 Nr. 10</w:t>
      </w:r>
      <w:r w:rsidR="00747569" w:rsidRPr="009118AB">
        <w:rPr>
          <w:i/>
          <w:iCs/>
        </w:rPr>
        <w:t xml:space="preserve"> des G. vom </w:t>
      </w:r>
      <w:r w:rsidR="003365DD" w:rsidRPr="009118AB">
        <w:rPr>
          <w:i/>
          <w:iCs/>
        </w:rPr>
        <w:t>21. Dezember 2022 (I)</w:t>
      </w:r>
      <w:r w:rsidR="00747569" w:rsidRPr="009118AB">
        <w:rPr>
          <w:i/>
          <w:iCs/>
        </w:rPr>
        <w:t xml:space="preserve"> (B.S. vom 30. Dezember 2022) - in Kraft am 1. Januar 2023 -</w:t>
      </w:r>
      <w:r w:rsidR="00747569" w:rsidRPr="009118AB">
        <w:rPr>
          <w:i/>
        </w:rPr>
        <w:t xml:space="preserve">; § 6/3 eingefügt durch Art. 3 Nr. 3 des G. vom 31. Juli 2017 (I) (B.S. vom 11. August 2017); </w:t>
      </w:r>
      <w:r w:rsidR="00D67EB8" w:rsidRPr="009118AB">
        <w:rPr>
          <w:i/>
        </w:rPr>
        <w:t>§ </w:t>
      </w:r>
      <w:r w:rsidR="00F44B09" w:rsidRPr="009118AB">
        <w:rPr>
          <w:i/>
        </w:rPr>
        <w:t xml:space="preserve">6/4 eingefügt durch </w:t>
      </w:r>
      <w:r w:rsidR="00D67EB8" w:rsidRPr="009118AB">
        <w:rPr>
          <w:i/>
        </w:rPr>
        <w:t>Art. </w:t>
      </w:r>
      <w:r w:rsidR="00F44B09" w:rsidRPr="009118AB">
        <w:rPr>
          <w:i/>
        </w:rPr>
        <w:t xml:space="preserve">17 </w:t>
      </w:r>
      <w:r w:rsidR="00D67EB8" w:rsidRPr="009118AB">
        <w:rPr>
          <w:i/>
        </w:rPr>
        <w:t>Nr. </w:t>
      </w:r>
      <w:r w:rsidR="00F44B09" w:rsidRPr="009118AB">
        <w:rPr>
          <w:i/>
        </w:rPr>
        <w:t>3 des G. vom 20. Dezember 2019 (B.S. vom 30. Dezember 2019)</w:t>
      </w:r>
      <w:r w:rsidR="00D67EB8" w:rsidRPr="009118AB">
        <w:rPr>
          <w:i/>
        </w:rPr>
        <w:t> - </w:t>
      </w:r>
      <w:r w:rsidR="00F44B09" w:rsidRPr="009118AB">
        <w:rPr>
          <w:i/>
        </w:rPr>
        <w:t>in Kraft am 1. Juli 2020</w:t>
      </w:r>
      <w:r w:rsidR="003366D9" w:rsidRPr="009118AB">
        <w:rPr>
          <w:i/>
        </w:rPr>
        <w:t> -;</w:t>
      </w:r>
      <w:r w:rsidR="00F44B09" w:rsidRPr="009118AB">
        <w:rPr>
          <w:i/>
        </w:rPr>
        <w:t xml:space="preserve"> </w:t>
      </w:r>
      <w:r w:rsidR="00747569" w:rsidRPr="009118AB">
        <w:rPr>
          <w:i/>
        </w:rPr>
        <w:t>§ 6/5 eingefügt durch Art. 11 Nr. 11</w:t>
      </w:r>
      <w:r w:rsidR="00747569" w:rsidRPr="009118AB">
        <w:rPr>
          <w:i/>
          <w:iCs/>
        </w:rPr>
        <w:t xml:space="preserve"> des G. vom </w:t>
      </w:r>
      <w:r w:rsidR="003365DD" w:rsidRPr="009118AB">
        <w:rPr>
          <w:i/>
          <w:iCs/>
        </w:rPr>
        <w:t>21. Dezember 2022 (I)</w:t>
      </w:r>
      <w:r w:rsidR="00747569" w:rsidRPr="009118AB">
        <w:rPr>
          <w:i/>
          <w:iCs/>
        </w:rPr>
        <w:t xml:space="preserve"> (B.S. vom 30. Dezember 2022) - in Kraft am 1. Januar 2023 -; § 9 ersetzt durch Art. 11 Nr. 12 des G. vom </w:t>
      </w:r>
      <w:r w:rsidR="003365DD" w:rsidRPr="009118AB">
        <w:rPr>
          <w:i/>
          <w:iCs/>
        </w:rPr>
        <w:t>21. Dezember 2022 (I)</w:t>
      </w:r>
      <w:r w:rsidR="00747569" w:rsidRPr="009118AB">
        <w:rPr>
          <w:i/>
          <w:iCs/>
        </w:rPr>
        <w:t xml:space="preserve"> (B.S. vom 30. Dezember 2022) - in Kraft am 1. Januar 2023 -; § 10 ersetzt durch Art. 11 Nr. 13 des G. vom </w:t>
      </w:r>
      <w:r w:rsidR="003365DD" w:rsidRPr="009118AB">
        <w:rPr>
          <w:i/>
          <w:iCs/>
        </w:rPr>
        <w:t>21. Dezember 2022 (I)</w:t>
      </w:r>
      <w:r w:rsidR="00747569" w:rsidRPr="009118AB">
        <w:rPr>
          <w:i/>
          <w:iCs/>
        </w:rPr>
        <w:t xml:space="preserve"> (B.S. vom 30. Dezember 2022) - in Kraft am 1. Januar 2023 -; § 11 Abs. 3 abgeändert durch Art. 11 Nr. 14 des G. vom </w:t>
      </w:r>
      <w:r w:rsidR="003365DD" w:rsidRPr="009118AB">
        <w:rPr>
          <w:i/>
          <w:iCs/>
        </w:rPr>
        <w:t>21. Dezember 2022 (I)</w:t>
      </w:r>
      <w:r w:rsidR="00747569" w:rsidRPr="009118AB">
        <w:rPr>
          <w:i/>
          <w:iCs/>
        </w:rPr>
        <w:t xml:space="preserve"> (B.S. vom 30. Dezember 2022) - in Kraft am 1. Januar 2023 -; § 11/1 eingefügt durch Art. 11 Nr. 15 des G. vom </w:t>
      </w:r>
      <w:r w:rsidR="003365DD" w:rsidRPr="009118AB">
        <w:rPr>
          <w:i/>
          <w:iCs/>
        </w:rPr>
        <w:t>21. Dezember 2022 (I)</w:t>
      </w:r>
      <w:r w:rsidR="00747569" w:rsidRPr="009118AB">
        <w:rPr>
          <w:i/>
          <w:iCs/>
        </w:rPr>
        <w:t xml:space="preserve"> (B.S. vom 30. Dezember 2022) - in Kraft am 1. Januar 2023 -; § 11/2 eingefügt durch Art. 11 Nr. 16 des G. vom </w:t>
      </w:r>
      <w:r w:rsidR="003365DD" w:rsidRPr="009118AB">
        <w:rPr>
          <w:i/>
          <w:iCs/>
        </w:rPr>
        <w:t>21. Dezember 2022 (I)</w:t>
      </w:r>
      <w:r w:rsidR="00747569" w:rsidRPr="009118AB">
        <w:rPr>
          <w:i/>
          <w:iCs/>
        </w:rPr>
        <w:t xml:space="preserve"> (B.S. vom 30. Dezember 2022) - in Kraft am 1. Januar 2023 -; § 17 Abs. 2 Nr. 1 ersetzt durch Art. 11 Nr. 17 des G. vom </w:t>
      </w:r>
      <w:r w:rsidR="003365DD" w:rsidRPr="009118AB">
        <w:rPr>
          <w:i/>
          <w:iCs/>
        </w:rPr>
        <w:t>21. Dezember 2022 (I)</w:t>
      </w:r>
      <w:r w:rsidR="00747569" w:rsidRPr="009118AB">
        <w:rPr>
          <w:i/>
          <w:iCs/>
        </w:rPr>
        <w:t xml:space="preserve"> (B.S. vom 30. Dezember 2022) - in Kraft am 1. Januar 2023 -; § 17 Abs. 5 ersetzt durch Art. 11 Nr. 18 des G. vom </w:t>
      </w:r>
      <w:r w:rsidR="003365DD" w:rsidRPr="009118AB">
        <w:rPr>
          <w:i/>
          <w:iCs/>
        </w:rPr>
        <w:t>21. Dezember 2022 (I)</w:t>
      </w:r>
      <w:r w:rsidR="00747569" w:rsidRPr="009118AB">
        <w:rPr>
          <w:i/>
          <w:iCs/>
        </w:rPr>
        <w:t xml:space="preserve"> (B.S. vom 30. Dezember 2022) - in Kraft am 1. Januar 2023 -; § 18 Abs. 2 ersetzt durch Art. 11 Nr. 19 des G. vom </w:t>
      </w:r>
      <w:r w:rsidR="003365DD" w:rsidRPr="009118AB">
        <w:rPr>
          <w:i/>
          <w:iCs/>
        </w:rPr>
        <w:t>21. Dezember 2022 (I)</w:t>
      </w:r>
      <w:r w:rsidR="00747569" w:rsidRPr="009118AB">
        <w:rPr>
          <w:i/>
          <w:iCs/>
        </w:rPr>
        <w:t xml:space="preserve"> (B.S. vom 30. Dezember 2022) - in Kraft am 1. Januar 2023 -; § 23 ersetzt durch Art. 11 Nr. 20 des G. vom </w:t>
      </w:r>
      <w:r w:rsidR="003365DD" w:rsidRPr="009118AB">
        <w:rPr>
          <w:i/>
          <w:iCs/>
        </w:rPr>
        <w:t>21. Dezember 2022 (I)</w:t>
      </w:r>
      <w:r w:rsidR="00747569" w:rsidRPr="009118AB">
        <w:rPr>
          <w:i/>
          <w:iCs/>
        </w:rPr>
        <w:t xml:space="preserve"> (B.S. vom 30. Dezember 2022) - in Kraft am 1. Januar 2023 -; </w:t>
      </w:r>
      <w:r w:rsidR="00D67EB8" w:rsidRPr="009118AB">
        <w:rPr>
          <w:i/>
        </w:rPr>
        <w:t>§ </w:t>
      </w:r>
      <w:r w:rsidR="00297C18" w:rsidRPr="009118AB">
        <w:rPr>
          <w:i/>
        </w:rPr>
        <w:t xml:space="preserve">24 </w:t>
      </w:r>
      <w:r w:rsidR="00D67EB8" w:rsidRPr="009118AB">
        <w:rPr>
          <w:i/>
        </w:rPr>
        <w:t>Abs. </w:t>
      </w:r>
      <w:r w:rsidR="00297C18" w:rsidRPr="009118AB">
        <w:rPr>
          <w:i/>
        </w:rPr>
        <w:t xml:space="preserve">3 und 4 eingefügt durch </w:t>
      </w:r>
      <w:r w:rsidR="00D67EB8" w:rsidRPr="009118AB">
        <w:rPr>
          <w:i/>
        </w:rPr>
        <w:t>Art. </w:t>
      </w:r>
      <w:r w:rsidR="00297C18" w:rsidRPr="009118AB">
        <w:rPr>
          <w:i/>
        </w:rPr>
        <w:t xml:space="preserve">3 </w:t>
      </w:r>
      <w:r w:rsidR="00D67EB8" w:rsidRPr="009118AB">
        <w:rPr>
          <w:i/>
        </w:rPr>
        <w:t>Nr. </w:t>
      </w:r>
      <w:r w:rsidR="00297C18" w:rsidRPr="009118AB">
        <w:rPr>
          <w:i/>
        </w:rPr>
        <w:t>4 des G. vom 31. Juli 2017</w:t>
      </w:r>
      <w:r w:rsidR="00D352A1" w:rsidRPr="009118AB">
        <w:rPr>
          <w:i/>
        </w:rPr>
        <w:t> (I)</w:t>
      </w:r>
      <w:r w:rsidR="00297C18" w:rsidRPr="009118AB">
        <w:rPr>
          <w:i/>
        </w:rPr>
        <w:t xml:space="preserve"> (B.S. vom 11. August 2017)</w:t>
      </w:r>
      <w:r w:rsidR="00F423B5" w:rsidRPr="009118AB">
        <w:rPr>
          <w:i/>
        </w:rPr>
        <w:t xml:space="preserve">; </w:t>
      </w:r>
      <w:r w:rsidR="00D67EB8" w:rsidRPr="009118AB">
        <w:rPr>
          <w:i/>
        </w:rPr>
        <w:t>§ </w:t>
      </w:r>
      <w:r w:rsidR="00F423B5" w:rsidRPr="009118AB">
        <w:rPr>
          <w:i/>
        </w:rPr>
        <w:t xml:space="preserve">24/1 eingefügt durch </w:t>
      </w:r>
      <w:r w:rsidR="00D67EB8" w:rsidRPr="009118AB">
        <w:rPr>
          <w:i/>
          <w:iCs/>
        </w:rPr>
        <w:t>Art. </w:t>
      </w:r>
      <w:r w:rsidR="00F423B5" w:rsidRPr="009118AB">
        <w:rPr>
          <w:i/>
          <w:iCs/>
        </w:rPr>
        <w:t>84 des G. vom 26. März 2018 (B.S. vom 30. März 2018</w:t>
      </w:r>
      <w:r w:rsidR="00237385" w:rsidRPr="009118AB">
        <w:rPr>
          <w:i/>
          <w:iCs/>
        </w:rPr>
        <w:t>) und</w:t>
      </w:r>
      <w:r w:rsidR="00747569" w:rsidRPr="009118AB">
        <w:rPr>
          <w:i/>
          <w:iCs/>
        </w:rPr>
        <w:t xml:space="preserve"> abgeändert durch Art. 11 Nr. 21 des G. vom </w:t>
      </w:r>
      <w:r w:rsidR="003365DD" w:rsidRPr="009118AB">
        <w:rPr>
          <w:i/>
          <w:iCs/>
        </w:rPr>
        <w:t>21. Dezember 2022 (I)</w:t>
      </w:r>
      <w:r w:rsidR="00747569" w:rsidRPr="009118AB">
        <w:rPr>
          <w:i/>
          <w:iCs/>
        </w:rPr>
        <w:t xml:space="preserve"> (B.S. vom 30. Dezember 2022) - in Kraft am 1. Januar 2023 -</w:t>
      </w:r>
      <w:r w:rsidR="00304257">
        <w:rPr>
          <w:i/>
          <w:iCs/>
        </w:rPr>
        <w:t>; § 26 eingefügt</w:t>
      </w:r>
      <w:r w:rsidR="00304257" w:rsidRPr="00AB355F">
        <w:rPr>
          <w:rFonts w:ascii="Times New Roman Italique" w:hAnsi="Times New Roman Italique"/>
          <w:i/>
          <w:iCs/>
        </w:rPr>
        <w:t xml:space="preserve"> durch Art. </w:t>
      </w:r>
      <w:r w:rsidR="00304257">
        <w:rPr>
          <w:rFonts w:ascii="Times New Roman Italique" w:hAnsi="Times New Roman Italique"/>
          <w:i/>
          <w:iCs/>
        </w:rPr>
        <w:t>11</w:t>
      </w:r>
      <w:r w:rsidR="00304257" w:rsidRPr="00AB355F">
        <w:rPr>
          <w:rFonts w:ascii="Times New Roman Italique" w:hAnsi="Times New Roman Italique"/>
          <w:i/>
          <w:iCs/>
        </w:rPr>
        <w:t xml:space="preserve"> des G. vom 20. Dezember 2024 (B.S. vom 31. Dezember 2024) - in Kraft am 31. Dezember 2024 -</w:t>
      </w:r>
      <w:r w:rsidRPr="009118AB">
        <w:rPr>
          <w:i/>
          <w:iCs/>
        </w:rPr>
        <w:t>]</w:t>
      </w:r>
    </w:p>
    <w:bookmarkEnd w:id="39"/>
    <w:p w14:paraId="2756CAA9" w14:textId="1042945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5425BF2" w14:textId="3DCE3A8A" w:rsidR="00012B24" w:rsidRDefault="00012B2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2965F3D" w14:textId="77777777" w:rsidR="005F1B0A" w:rsidRPr="009118AB" w:rsidRDefault="005F1B0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8AF5AB5" w14:textId="7499DE60" w:rsidR="003D0E8A" w:rsidRPr="003D0E8A" w:rsidRDefault="003D0E8A" w:rsidP="003D0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3D0E8A">
        <w:rPr>
          <w:iCs/>
          <w:sz w:val="20"/>
          <w:szCs w:val="20"/>
        </w:rPr>
        <w:t>Ab einem gemäß Art. 222 des G. vom 12. Mai 2024 (B.S. vom 30. Mai 2024) vom König festzulegenden Datum und spätestens am 1. Januar 2028 lautet Art. 3</w:t>
      </w:r>
      <w:r>
        <w:rPr>
          <w:iCs/>
          <w:sz w:val="20"/>
          <w:szCs w:val="20"/>
        </w:rPr>
        <w:t>38</w:t>
      </w:r>
      <w:r w:rsidRPr="003D0E8A">
        <w:rPr>
          <w:iCs/>
          <w:sz w:val="20"/>
          <w:szCs w:val="20"/>
        </w:rPr>
        <w:t xml:space="preserve"> wie folgt:</w:t>
      </w:r>
    </w:p>
    <w:p w14:paraId="0A379F02" w14:textId="77777777" w:rsidR="003D0E8A" w:rsidRPr="003D0E8A" w:rsidRDefault="003D0E8A" w:rsidP="003D0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F888892" w14:textId="12DBCD9F" w:rsidR="00237385" w:rsidRPr="009118AB" w:rsidRDefault="003D0E8A" w:rsidP="003D0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3D0E8A">
        <w:rPr>
          <w:iCs/>
          <w:sz w:val="20"/>
          <w:szCs w:val="20"/>
        </w:rPr>
        <w:t>"</w:t>
      </w:r>
      <w:r w:rsidR="00237385" w:rsidRPr="009118AB">
        <w:rPr>
          <w:iCs/>
          <w:sz w:val="20"/>
          <w:szCs w:val="20"/>
        </w:rPr>
        <w:t>Art. 338 - [§ 1 - Vorliegender Artikel legt die Regeln und Verfahren fest, nach denen Belgien und die anderen Mitgliedstaaten der Europäischen Union untereinander im Hinblick auf den Austausch von Informationen zusammenarbeiten, die für die Anwendung und Durchsetzung des innerstaatlichen Rechts aller Mitgliedstaaten über Einkommensteuern voraussichtlich erheblich sind.</w:t>
      </w:r>
    </w:p>
    <w:p w14:paraId="73EC1A6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3BE120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Vorliegender Artikel legt ferner Bestimmungen für den Austausch der Informationen nach Absatz 1 auf elektronischem Wege fest.</w:t>
      </w:r>
    </w:p>
    <w:p w14:paraId="6DC64EF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BD02AF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Vorliegender Artikel berührt nicht die Anwendung der Vorschriften über die Rechtshilfe in Strafsachen. Er berührt auch nicht die Verpflichtungen, die den Mitgliedstaaten in Bezug auf eine umfassendere Zusammenarbeit der Verwaltungen aus anderen Rechtsinstrumenten, einschließlich bi- oder multilateraler Abkommen, erwachsen.</w:t>
      </w:r>
    </w:p>
    <w:p w14:paraId="2C0CA89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CAC432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2 - Für die Anwendung des vorliegenden Artikels versteht man unter:</w:t>
      </w:r>
    </w:p>
    <w:p w14:paraId="7799260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953D18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"Richtlinie": die Richtlinie 2011/16/EU des Rates vom 15. Februar 2011 über die Zusammenarbeit der Verwaltungsbehörden im Bereich der Besteuerung und zur Aufhebung der Richtlinie 77/799/EWG,</w:t>
      </w:r>
    </w:p>
    <w:p w14:paraId="2F98ECF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8C6EAC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"Mitgliedstaat": einen Mitgliedstaat der Europäischen Union,</w:t>
      </w:r>
    </w:p>
    <w:p w14:paraId="2229156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D27E79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3. "zentralem Verbindungsbüro": die als solche von der zuständigen Behörde benannte Stelle, die für die Verbindungen zu den anderen Mitgliedstaaten auf dem Gebiet der Zusammenarbeit der Verwaltungsbehörden hauptverantwortlich zuständig ist,</w:t>
      </w:r>
    </w:p>
    <w:p w14:paraId="1EEC626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87B50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4. "Verbindungsstelle": jede andere Stelle als das zentrale Verbindungsbüro, die als solche von der zuständigen Behörde benannt worden ist, um nach Maßgabe des vorliegenden Artikels Informationen direkt auszutauschen,</w:t>
      </w:r>
    </w:p>
    <w:p w14:paraId="0A389C7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8D67F3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5. "zuständigem Bediensteten": jeden Bediensteten, der von der zuständigen Behörde zum direkten Informationsaustausch nach Maßgabe des vorliegenden Artikels ermächtigt worden ist,</w:t>
      </w:r>
    </w:p>
    <w:p w14:paraId="17DBCEA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693BCC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6. "belgischer zuständiger Behörde": die Behörde, die als solche von Belgien benannt worden ist. Das belgische zentrale Verbindungsbüro, die belgischen Verbindungsstellen und die belgischen zuständigen Bediensteten gelten bei Bevollmächtigung ebenfalls als belgische zuständige Behörde,</w:t>
      </w:r>
    </w:p>
    <w:p w14:paraId="4CBEE00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A591C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7. "ausländischer zuständiger Behörde": die Behörde, die als solche von einem anderen Mitgliedstaat als Belgien benannt worden ist. Das zentrale Verbindungsbüro, die Verbindungsstellen und die zuständigen Bediensteten dieses Mitgliedstaates gelten bei Bevollmächtigung ebenfalls als ausländische zuständige Behörde,</w:t>
      </w:r>
    </w:p>
    <w:p w14:paraId="57D5AD2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B6147D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8. "ersuchender Behörde": das zentrale Verbindungsbüro, eine Verbindungsstelle oder jeden zuständigen Bediensteten eines Mitgliedstaates, der im Namen der belgischen zuständigen Behörde oder einer ausländischen zuständigen Behörde ein Amtshilfeersuchen stellt,</w:t>
      </w:r>
    </w:p>
    <w:p w14:paraId="1E0D578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E287E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9. "ersuchter Behörde": das zentrale Verbindungsbüro, eine Verbindungsstelle oder jeden zuständigen Bediensteten eines Mitgliedstaates, der im Namen der belgischen zuständigen Behörde oder einer ausländischen zuständigen Behörde ein Amtshilfeersuchen entgegennimmt,</w:t>
      </w:r>
    </w:p>
    <w:p w14:paraId="0D85019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9BA33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10. "behördlichen Ermittlungen": alle von den Mitgliedstaaten in Ausübung ihrer Aufgaben vorgenommenen Kontrollen, Nachprüfungen und anderen Handlungen mit dem Ziel, die ordnungsgemäße Anwendung der Steuervorschriften sicherzustellen,</w:t>
      </w:r>
    </w:p>
    <w:p w14:paraId="67D0C59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F38FCC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11. ["automatischem Austausch":</w:t>
      </w:r>
    </w:p>
    <w:p w14:paraId="5846771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52D56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[für die Anwendung der Paragraphen 6 Absatz 1, 6/1, 6/3, 6/4 und 6/5 die systematische Übermittlung zuvor festgelegter Informationen an einen anderen Mitgliedstaat ohne dessen vorheriges Ersuchen in regelmäßigen, im Voraus bestimmten Abständen,]</w:t>
      </w:r>
    </w:p>
    <w:p w14:paraId="5ED12DB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9D40E9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für die Zwecke des Gesetzes vom 16. Dezember 2015 zur Regelung der Übermittlung von Informationen über Finanzkonten durch die belgischen Finanzinstitute und den FÖD Finanzen im Rahmen eines automatischen Informationsaustauschs auf internationaler Ebene in Steuersachen die systematische Übermittlung der in vorerwähntem Gesetz festgelegten Informationen über in anderen Mitgliedstaaten ansässige Personen an den jeweiligen Mitgliedstaat ohne dessen vorheriges Ersuchen spätestens innerhalb von neun Monaten nach Ablauf des Kalenderjahres, auf das sich die Information bezieht,</w:t>
      </w:r>
    </w:p>
    <w:p w14:paraId="77407E6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3E6DE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c)</w:t>
      </w:r>
      <w:r w:rsidRPr="009118AB">
        <w:rPr>
          <w:iCs/>
          <w:sz w:val="20"/>
          <w:szCs w:val="20"/>
        </w:rPr>
        <w:t> [für die Anwendung aller Bestimmungen des vorliegenden Artikels mit Ausnahme der Bestimmungen der vorerwähnten Paragraphen 6 Absatz 1, 6/1, 6/3, 6/4 und 6/5 die systematische Übermittlung zuvor festgelegter Informationen gemäß den Buchstaben </w:t>
      </w:r>
      <w:r w:rsidRPr="009118AB">
        <w:rPr>
          <w:i/>
          <w:iCs/>
          <w:sz w:val="20"/>
          <w:szCs w:val="20"/>
        </w:rPr>
        <w:t>a)</w:t>
      </w:r>
      <w:r w:rsidRPr="009118AB">
        <w:rPr>
          <w:iCs/>
          <w:sz w:val="20"/>
          <w:szCs w:val="20"/>
        </w:rPr>
        <w:t xml:space="preserve"> und </w:t>
      </w:r>
      <w:r w:rsidRPr="009118AB">
        <w:rPr>
          <w:i/>
          <w:iCs/>
          <w:sz w:val="20"/>
          <w:szCs w:val="20"/>
        </w:rPr>
        <w:t>b)</w:t>
      </w:r>
      <w:r w:rsidRPr="009118AB">
        <w:rPr>
          <w:iCs/>
          <w:sz w:val="20"/>
          <w:szCs w:val="20"/>
        </w:rPr>
        <w:t>,]]</w:t>
      </w:r>
    </w:p>
    <w:p w14:paraId="760AA57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17A6D5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12. "spontanem Austausch": die nicht systematische Übermittlung von Informationen zu jeder Zeit an einen anderen Mitgliedstaat ohne dessen vorheriges Ersuchen,</w:t>
      </w:r>
    </w:p>
    <w:p w14:paraId="20C1AA2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A9643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13. "Person":</w:t>
      </w:r>
    </w:p>
    <w:p w14:paraId="3D75BDB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FAD58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eine natürliche Person,</w:t>
      </w:r>
    </w:p>
    <w:p w14:paraId="79DDF4D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3074F7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xml:space="preserve"> eine juristische Person, </w:t>
      </w:r>
    </w:p>
    <w:p w14:paraId="5A80AD9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5909BD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c)</w:t>
      </w:r>
      <w:r w:rsidRPr="009118AB">
        <w:rPr>
          <w:iCs/>
          <w:sz w:val="20"/>
          <w:szCs w:val="20"/>
        </w:rPr>
        <w:t> sofern diese Möglichkeit nach den geltenden Rechtsvorschriften besteht, eine Personenvereinigung, der die Rechtsfähigkeit zuerkannt wurde, die aber nicht über die Rechtsstellung einer juristischen Person verfügt, oder</w:t>
      </w:r>
    </w:p>
    <w:p w14:paraId="67B7C8C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9F025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d)</w:t>
      </w:r>
      <w:r w:rsidRPr="009118AB">
        <w:rPr>
          <w:iCs/>
          <w:sz w:val="20"/>
          <w:szCs w:val="20"/>
        </w:rPr>
        <w:t> alle anderen Rechtsvereinbarungen gleich welcher Art und Form - mit oder ohne Rechtspersönlichkeit -, die Vermögensgegenstände besitzen oder verwalten, die einschließlich der daraus erzielten Einkünfte einer der von der Richtlinie erfassten Steuern unterliegen,</w:t>
      </w:r>
    </w:p>
    <w:p w14:paraId="3F29A15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B1F695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14. "auf elektronischem Wege": die Verwendung elektronischer Anlagen zur Verarbeitung, einschließlich der Datenkomprimierung, und zum Speichern von Daten und unter Einsatz von Draht, Funk, optischer Technologien oder anderer elektromagnetischer Verfahren,</w:t>
      </w:r>
    </w:p>
    <w:p w14:paraId="3F19D7B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D74A95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15. "CCN-Netz": die gemeinsame Plattform auf der Grundlage des Gemeinsamen Kommunikationsnetzes, die von der Europäischen Union für jegliche elektronische Datenübertragung zwischen den zuständigen Behörden im Bereich Zoll und Steuern entwickelt wurde,</w:t>
      </w:r>
    </w:p>
    <w:p w14:paraId="5F9275F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C406A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[16. "grenzüberschreitendem Vorbescheid": eine Vereinbarung, eine Mitteilung oder ein anderes Instrument oder eine andere Maßnahme mit ähnlicher Wirkung, auch wenn sie beziehungsweise es im Zuge einer Steuerprüfung erteilt beziehungsweise getroffen, geändert oder erneuert wird, sofern sie beziehungsweise es die folgenden kumulativen Voraussetzungen erfüllt:</w:t>
      </w:r>
    </w:p>
    <w:p w14:paraId="4B41106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A1F65C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Sie beziehungsweise es wird vom FÖD Finanzen erteilt beziehungsweise getroffen, geändert oder erneuert, unabhängig davon, ob dieser Bescheid tatsächlich verwendet wird.</w:t>
      </w:r>
    </w:p>
    <w:p w14:paraId="418FA69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EF76E1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Sie beziehungsweise es wird für eine bestimmte Person oder eine Gruppe von Personen erteilt beziehungsweise getroffen, geändert oder erneuert und diese Person oder Gruppe von Personen kann sich darauf berufen.</w:t>
      </w:r>
    </w:p>
    <w:p w14:paraId="354628E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F9C6F5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c)</w:t>
      </w:r>
      <w:r w:rsidRPr="009118AB">
        <w:rPr>
          <w:iCs/>
          <w:sz w:val="20"/>
          <w:szCs w:val="20"/>
        </w:rPr>
        <w:t> Sie beziehungsweise es betrifft die Auslegung oder Anwendung einer Gesetzes- oder Verwaltungsbestimmung zur Handhabung oder Durchsetzung des vorliegenden Gesetzbuches und der autonomen Bestimmungen in Bezug auf die Einkommensteuern.</w:t>
      </w:r>
    </w:p>
    <w:p w14:paraId="0F67A69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66E7D6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d)</w:t>
      </w:r>
      <w:r w:rsidRPr="009118AB">
        <w:rPr>
          <w:iCs/>
          <w:sz w:val="20"/>
          <w:szCs w:val="20"/>
        </w:rPr>
        <w:t> Sie beziehungsweise es bezieht sich auf eine grenzüberschreitende Transaktion oder auf die Frage, ob durch die Tätigkeiten, denen eine Person in einem Mitgliedstaat nachgeht, eine Betriebsstätte gegründet wird oder nicht.</w:t>
      </w:r>
    </w:p>
    <w:p w14:paraId="27CD484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95BD68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e)</w:t>
      </w:r>
      <w:r w:rsidRPr="009118AB">
        <w:rPr>
          <w:iCs/>
          <w:sz w:val="20"/>
          <w:szCs w:val="20"/>
        </w:rPr>
        <w:t> Sie beziehungsweise es wird vor den Transaktionen oder den Tätigkeiten in dem Mitgliedstaat, die möglicherweise als Gründung einer Betriebsstätte zu betrachten sind, oder vor Abgabe der Steuererklärung für den Zeitraum, in dem die Transaktion beziehungsweise die Transaktionen oder Tätigkeiten erfolgten, erteilt beziehungsweise getroffen,</w:t>
      </w:r>
    </w:p>
    <w:p w14:paraId="23415B4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D58482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17. "Vorabverständigung über die Verrechnungspreisgestaltung": eine Vereinbarung, eine Mitteilung oder ein anderes Instrument oder eine andere Maßnahme mit ähnlicher Wirkung, auch wenn sie beziehungsweise es im Zuge einer Steuerprüfung erteilt beziehungsweise getroffen, geändert oder erneuert wird, sofern sie beziehungsweise es die folgenden kumulativen Voraussetzungen erfüllt:</w:t>
      </w:r>
    </w:p>
    <w:p w14:paraId="5ED5D0D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BB8E66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Sie beziehungsweise es wird vom FÖD Finanzen beziehungsweise im Namen des FÖD Finanzen erteilt beziehungsweise getroffen, geändert oder erneuert, unabhängig davon, ob sie tatsächlich verwendet wird.</w:t>
      </w:r>
    </w:p>
    <w:p w14:paraId="0F6BB64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23D098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Sie beziehungsweise es wird für eine bestimmte Person oder eine Gruppe von Personen erteilt beziehungsweise getroffen, geändert oder erneuert und diese Person oder Gruppe von Personen kann sich darauf berufen.</w:t>
      </w:r>
    </w:p>
    <w:p w14:paraId="6AA449C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BB026A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c)</w:t>
      </w:r>
      <w:r w:rsidRPr="009118AB">
        <w:rPr>
          <w:iCs/>
          <w:sz w:val="20"/>
          <w:szCs w:val="20"/>
        </w:rPr>
        <w:t> Sie beziehungsweise es legt vor Abgabe der Steuererklärung für den Zeitraum, in dem die grenzüberschreitenden Transaktionen zwischen verbundenen Unternehmen erfolgten, geeignete Kriterien zur Bestimmung der Verrechnungspreise für die betreffenden Transaktionen fest oder regelt die Zuweisung von Gewinnen an eine Betriebsstätte.</w:t>
      </w:r>
    </w:p>
    <w:p w14:paraId="6FC86F3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75FB64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Für die Anwendung der vorliegenden Nummer handelt es sich um verbundene Unternehmen, wenn ein Unternehmen unmittelbar oder mittelbar am Kapital, an der Geschäftsleitung oder an der Kontrolle eines anderen Unternehmens beteiligt ist oder wenn dieselben Personen unmittelbar oder mittelbar am Kapital, an der Geschäftsleitung oder an der Kontrolle beider Unternehmen beteiligt sind.</w:t>
      </w:r>
    </w:p>
    <w:p w14:paraId="2DE069E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54ABD7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Verrechnungspreise sind Preise, zu denen ein Unternehmen materielle oder immaterielle Güter auf verbundene Unternehmen überträgt oder Dienstleistungen für ein verbundenes Unternehmen erbringt. Die "Bestimmung der Verrechnungspreise" ist für die Anwendung der vorliegenden Nummer in diesem Sinne zu verstehen,</w:t>
      </w:r>
    </w:p>
    <w:p w14:paraId="6F53918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403390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18. "grenzüberschreitender Transaktion" wie in Nr. 16 erwähnt: eine Transaktion oder Reihe von Transaktionen, sofern sie eine oder mehrere der folgenden Voraussetzungen erfüllt:</w:t>
      </w:r>
    </w:p>
    <w:p w14:paraId="3AAF3F3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0192F6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Nicht alle an der Transaktion oder Reihe von Transaktionen beteiligten Parteien sind in Belgien steuerlich ansässig.</w:t>
      </w:r>
    </w:p>
    <w:p w14:paraId="113D012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C62E50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Eine der an der Transaktion oder Reihe von Transaktionen beteiligten Parteien ist gleichzeitig in mehreren Rechtsräumen steuerlich ansässig.</w:t>
      </w:r>
    </w:p>
    <w:p w14:paraId="28F8200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F2275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c)</w:t>
      </w:r>
      <w:r w:rsidRPr="009118AB">
        <w:rPr>
          <w:iCs/>
          <w:sz w:val="20"/>
          <w:szCs w:val="20"/>
        </w:rPr>
        <w:t> Eine der an der Transaktion oder Reihe von Transaktionen beteiligten Parteien geht über eine Betriebsstätte Geschäftstätigkeiten in einem anderen Rechtsraum nach und die Transaktion oder Reihe von Transaktionen ist Teil der Geschäftstätigkeiten der Betriebsstätte oder macht deren gesamte Geschäftstätigkeiten aus. Bei einer grenzüberschreitenden Transaktion oder Reihe von grenzüberschreitenden Transaktionen kann es sich auch um Vorkehrungen handeln, die von einer Person in Bezug auf Geschäftstätigkeiten in einem anderen Rechtsraum getroffen werden, denen sie über eine Betriebsstätte nachgeht.</w:t>
      </w:r>
    </w:p>
    <w:p w14:paraId="51DB997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09BE6F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d)</w:t>
      </w:r>
      <w:r w:rsidRPr="009118AB">
        <w:rPr>
          <w:iCs/>
          <w:sz w:val="20"/>
          <w:szCs w:val="20"/>
        </w:rPr>
        <w:t> Es handelt sich um eine Transaktion oder Reihe von Transaktionen, die grenzübergreifende Auswirkungen haben,</w:t>
      </w:r>
    </w:p>
    <w:p w14:paraId="27F85F0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E63874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19. "grenzüberschreitender Transaktion" wie in Nr. 17 erwähnt: eine Transaktion oder Reihe von Transaktionen, an denen verbundene Unternehmen beteiligt sind, die nicht alle im Gebiet ein und desselben Rechtsraums steuerlich ansässig sind, oder eine Transaktion oder Reihe von Transaktionen, die grenzübergreifende Auswirkungen haben,</w:t>
      </w:r>
    </w:p>
    <w:p w14:paraId="4B4AB8C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C9F13B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20. "Unternehmen" wie in den Nummern 17 und 19 erwähnt: jede Form von Geschäftstätigkeit in Form einer Person,]</w:t>
      </w:r>
    </w:p>
    <w:p w14:paraId="4DC5200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69F19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[21. "verbundenem Unternehmen" für die Anwendung von § 6/4 und der Artikel 326/1 bis 326/9: eine Person, die mit einer anderen Person auf mindestens eine der folgenden Arten verbunden ist:</w:t>
      </w:r>
    </w:p>
    <w:p w14:paraId="6165701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B8AEEF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Eine Person ist an der Geschäftsleitung einer anderen Person insofern beteiligt, als sie erheblichen Einfluss auf diese ausüben kann.</w:t>
      </w:r>
    </w:p>
    <w:p w14:paraId="6BFE38D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2D6A7E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Eine Person ist über einer Beteiligung von mehr als 25 Prozent der Stimmrechte an der Kontrolle einer anderen Person beteiligt.</w:t>
      </w:r>
    </w:p>
    <w:p w14:paraId="4FF3499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35BF4E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c)</w:t>
      </w:r>
      <w:r w:rsidRPr="009118AB">
        <w:rPr>
          <w:iCs/>
          <w:sz w:val="20"/>
          <w:szCs w:val="20"/>
        </w:rPr>
        <w:t> Eine Person ist über ein Eigentumsrecht, das unmittelbar oder mittelbar mehr als 25 Prozent des Kapitals beträgt, am Kapital einer anderen Person beteiligt.</w:t>
      </w:r>
    </w:p>
    <w:p w14:paraId="39D05A0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91B8DC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d)</w:t>
      </w:r>
      <w:r w:rsidRPr="009118AB">
        <w:rPr>
          <w:iCs/>
          <w:sz w:val="20"/>
          <w:szCs w:val="20"/>
        </w:rPr>
        <w:t> Eine Person hat Anspruch auf mindestens 25 Prozent der Gewinne einer anderen Person,</w:t>
      </w:r>
    </w:p>
    <w:p w14:paraId="011AB1B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82133B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Falls mehr als eine Person gemäß den Buchstaben </w:t>
      </w:r>
      <w:r w:rsidRPr="009118AB">
        <w:rPr>
          <w:i/>
          <w:iCs/>
          <w:sz w:val="20"/>
          <w:szCs w:val="20"/>
        </w:rPr>
        <w:t>a)</w:t>
      </w:r>
      <w:r w:rsidRPr="009118AB">
        <w:rPr>
          <w:iCs/>
          <w:sz w:val="20"/>
          <w:szCs w:val="20"/>
        </w:rPr>
        <w:t xml:space="preserve"> bis </w:t>
      </w:r>
      <w:r w:rsidRPr="009118AB">
        <w:rPr>
          <w:i/>
          <w:iCs/>
          <w:sz w:val="20"/>
          <w:szCs w:val="20"/>
        </w:rPr>
        <w:t>d)</w:t>
      </w:r>
      <w:r w:rsidRPr="009118AB">
        <w:rPr>
          <w:iCs/>
          <w:sz w:val="20"/>
          <w:szCs w:val="20"/>
        </w:rPr>
        <w:t xml:space="preserve"> an der Geschäftsleitung, der Kontrolle, dem Kapital oder den Gewinnen derselben Person beteiligt ist, gelten alle betroffenen Personen als verbundene Unternehmen.</w:t>
      </w:r>
    </w:p>
    <w:p w14:paraId="2CCACD9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B3D65C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Falls dieselben Personen gemäß den Buchstaben </w:t>
      </w:r>
      <w:r w:rsidRPr="009118AB">
        <w:rPr>
          <w:i/>
          <w:iCs/>
          <w:sz w:val="20"/>
          <w:szCs w:val="20"/>
        </w:rPr>
        <w:t>a)</w:t>
      </w:r>
      <w:r w:rsidRPr="009118AB">
        <w:rPr>
          <w:iCs/>
          <w:sz w:val="20"/>
          <w:szCs w:val="20"/>
        </w:rPr>
        <w:t xml:space="preserve"> bis </w:t>
      </w:r>
      <w:r w:rsidRPr="009118AB">
        <w:rPr>
          <w:i/>
          <w:iCs/>
          <w:sz w:val="20"/>
          <w:szCs w:val="20"/>
        </w:rPr>
        <w:t>d)</w:t>
      </w:r>
      <w:r w:rsidRPr="009118AB">
        <w:rPr>
          <w:iCs/>
          <w:sz w:val="20"/>
          <w:szCs w:val="20"/>
        </w:rPr>
        <w:t xml:space="preserve"> an der Geschäftsleitung, der Kontrolle, dem Kapital oder den Gewinnen von mehr als einer Person beteiligt sind, gelten alle betroffenen Personen als verbundene Unternehmen.</w:t>
      </w:r>
    </w:p>
    <w:p w14:paraId="7D767A4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53DE0B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Für die Zwecke der vorliegenden Nummer wird eine Person, die in Bezug auf die Stimmrechte oder die Kapitalbeteiligung an einem Unternehmen gemeinsam mit einer anderen Person handelt, so behandelt, als würde sie eine Beteiligung an allen Stimmrechten oder dem gesamten Kapital dieses Unternehmens halten, die beziehungsweise das von der anderen Person gehalten werden/wird.</w:t>
      </w:r>
    </w:p>
    <w:p w14:paraId="71E2AE1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03E5C0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Bei mittelbaren Beteiligungen wird die Erfüllung der Anforderungen gemäß Buch</w:t>
      </w:r>
      <w:r w:rsidRPr="009118AB">
        <w:rPr>
          <w:iCs/>
          <w:sz w:val="20"/>
          <w:szCs w:val="20"/>
        </w:rPr>
        <w:softHyphen/>
        <w:t>stabe </w:t>
      </w:r>
      <w:r w:rsidRPr="009118AB">
        <w:rPr>
          <w:i/>
          <w:iCs/>
          <w:sz w:val="20"/>
          <w:szCs w:val="20"/>
        </w:rPr>
        <w:t>c)</w:t>
      </w:r>
      <w:r w:rsidRPr="009118AB">
        <w:rPr>
          <w:iCs/>
          <w:sz w:val="20"/>
          <w:szCs w:val="20"/>
        </w:rPr>
        <w:t xml:space="preserve"> durch Multiplikation der Beteiligungsquoten an den nachgeordneten Unternehmen ermittelt.</w:t>
      </w:r>
      <w:r w:rsidRPr="009118AB">
        <w:rPr>
          <w:i/>
          <w:iCs/>
          <w:sz w:val="20"/>
          <w:szCs w:val="20"/>
        </w:rPr>
        <w:t xml:space="preserve"> </w:t>
      </w:r>
      <w:r w:rsidRPr="009118AB">
        <w:rPr>
          <w:iCs/>
          <w:sz w:val="20"/>
          <w:szCs w:val="20"/>
        </w:rPr>
        <w:t>Eine Person mit einer Stimmrechtsbeteiligung von mehr als 50 Prozent gilt als Halter von 100 Prozent der Stimmrechte.</w:t>
      </w:r>
    </w:p>
    <w:p w14:paraId="135CB20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626E00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Eine natürliche Person, ihr Ehepartner und ihre Verwandten in gerader aufsteigender oder gerader absteigender Linie werden als eine einzige Person behandelt,]</w:t>
      </w:r>
    </w:p>
    <w:p w14:paraId="7C6D67C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C33F59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[22. "gemeinsamer Prüfung": behördliche Ermittlungen, die gemeinsam von den zuständigen Behörden von zwei oder mehr Mitgliedstaaten und in Bezug auf eine oder mehrere Personen von gemeinsamem oder ergänzendem Interesse für die zuständigen Behörden dieser Mitgliedstaaten durchgeführt werden,</w:t>
      </w:r>
    </w:p>
    <w:p w14:paraId="4061A50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05E5F2" w14:textId="5C4B714C"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23. "Verletzung des Datenschutzes": eine Sicherheitsverletzung, die infolge vorsätzlicher rechtswidriger Handlungen, einer Fahrlässigkeit oder eines Unfalls zur Vernichtung, zum Verlust oder zur Veränderung von Informationen oder zu einem Vorfall des unangemessenen oder unbefugten Zugangs zu beziehungsweise der unangemessenen oder unbefugten Offenlegung oder Nutzung von Informationen, unter anderem von übermittelten, gespeicherten oder auf sonstige Weise verarbeiteten personenbezogenen Daten, führt. Eine Verletzung des Datenschutzes kann die Vertraulichkeit, Verfügbarkeit und Integrität der Daten betreffen.]</w:t>
      </w:r>
    </w:p>
    <w:p w14:paraId="6653694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FAA61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3 - Die belgische zuständige Behörde tauscht mit den ausländischen zuständigen Behörden Informationen aus.</w:t>
      </w:r>
    </w:p>
    <w:p w14:paraId="32C22C9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E34DF0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4 - Die belgische zuständige Behörde kann in einem bestimmten Fall eine ausländische zuständige Behörde um Übermittlung aller in § 1 genannten Informationen ersuchen, die diese Behörde besitzt oder die sie im Anschluss an behördliche Ermittlungen erhalten hat. Das Ersuchen kann ein begründetes Ersuchen um eine bestimmte behördliche Ermittlung enthalten.</w:t>
      </w:r>
    </w:p>
    <w:p w14:paraId="2D5D621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288F5E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kann die ersuchte Behörde darum bitten, ihr Urschriften zu übermitteln.</w:t>
      </w:r>
    </w:p>
    <w:p w14:paraId="0B4F82A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455112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5 - Die belgische zuständige Behörde übermittelt einer ausländischen zuständigen Behörde, die in einem bestimmten Fall darum ersucht, alle in § 1 genannten Informationen, die sie besitzt oder die sie im Anschluss an die Durchführung behördlicher Ermittlungen erhalten hat, die zur Beschaffung dieser Informationen notwendig waren.</w:t>
      </w:r>
    </w:p>
    <w:p w14:paraId="4E80952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5E7070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Ist die belgische zuständige Behörde der Auffassung, dass keine behördlichen Ermittlungen erforderlich sind, so teilt sie der ersuchenden Behörde die Gründe hierfür mit.</w:t>
      </w:r>
    </w:p>
    <w:p w14:paraId="7B04ABA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39C39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Zur Beschaffung der erbetenen Informationen oder zur Durchführung der erbetenen behördlichen Ermittlungen geht die belgische zuständige Behörde nach denselben Verfahren vor, die sie anwenden würde, wenn sie von sich aus oder auf Ersuchen einer anderen belgischen Behörde handeln würde.</w:t>
      </w:r>
    </w:p>
    <w:p w14:paraId="2C10577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9F71B5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übermittelt Urschriften, sofern die ersuchende Behörde eigens darum bittet und die belgischen Rechtsvorschriften dem nicht entgegenstehen.</w:t>
      </w:r>
    </w:p>
    <w:p w14:paraId="67E170A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EACE8B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stellt die Informationen möglichst rasch, [spätestens jedoch drei Monate] nach dem Datum des Eingangs des Ersuchens zur Verfügung. Ist die belgische zuständige Behörde jedoch bereits im Besitz dieser Informationen, so werden sie innerhalb von zwei Monaten ab jenem Datum zur Verfügung gestellt. In bestimmten besonders gelagerten Fällen können zwischen der belgischen zuständigen Behörde und der ersuchenden Behörde andere Fristen vereinbart werden.</w:t>
      </w:r>
    </w:p>
    <w:p w14:paraId="5A690AC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ACF3AA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bestätigt der ersuchenden Behörde unverzüglich, spätestens jedoch sieben Werktage nach Erhalt des Ersuchens, möglichst auf elektronischem Wege den Erhalt dieses Ersuchens.</w:t>
      </w:r>
    </w:p>
    <w:p w14:paraId="4B09E1A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52273F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unterrichtet die ersuchende Behörde innerhalb eines Monats nach Erhalt des Ersuchens über eventuell bestehende Mängel in dem Ersuchen und gegebenenfalls erforderliche zusätzliche Hintergrundinformationen. In diesem Fall beginnt die Frist gemäß Absatz 5 am Tag des Eingangs der zusätzlichen Informationen bei der belgischen zuständigen Behörde.</w:t>
      </w:r>
    </w:p>
    <w:p w14:paraId="25C8DD8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5E80A8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Ist die belgische zuständige Behörde nicht in der Lage, auf ein Ersuchen fristgerecht zu antworten, so unterrichtet sie die ersuchende Behörde unverzüglich, spätestens jedoch innerhalb von drei Monaten nach Erhalt des Ersuchens, über die Gründe, die einer fristgerechten Antwort entgegenstehen, sowie über den Zeitpunkt, an dem sie dem Ersuchen voraussichtlich nachkommen kann. [Die diesbezügliche Frist beträgt höchstens sechs Monate ab dem Tag des Eingangs des Ersuchens.]</w:t>
      </w:r>
    </w:p>
    <w:p w14:paraId="51E84EC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824216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Ist die belgische zuständige Behörde nicht im Besitz der erbetenen Informationen und nicht in der Lage, dem Informationsersuchen nachzukommen, oder lehnt sie es aus den in § 20 genannten Gründen ab, ihm nachzukommen, so teilt sie der ersuchenden Behörde unverzüglich, spätestens jedoch innerhalb eines Monats nach Erhalt des Ersuchens, die Gründe mit.</w:t>
      </w:r>
    </w:p>
    <w:p w14:paraId="7D22742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DD03460" w14:textId="5546650C"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5/1 - Für die Zwecke eines Ersuchens wie in den Paragraphen 4 und 5 erwähnt gelten die erbetenen Informationen voraussichtlich als erheblich, wenn die ersuchende Behörde zum Zeitpunkt des Ersuchens der Ansicht ist, dass ihrem nationalen Recht zufolge die realistische Möglichkeit besteht, dass die erbetenen Informationen für die Steuerangelegenheiten eines oder mehrerer anhand des Namens oder anderer Kriterien identifizierter Steuerpflichtiger erheblich und für die Zwecke der Ermittlung gerechtfertigt sein werden.</w:t>
      </w:r>
    </w:p>
    <w:p w14:paraId="2775FFB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4E1170E" w14:textId="089F618B"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Zum Nachweis der voraussichtlichen Erheblichkeit der erbetenen Informationen übermittelt die ersuchende Behörde der ersuchten Behörde mindestens die folgenden Informationen:</w:t>
      </w:r>
    </w:p>
    <w:p w14:paraId="7A3E57A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4B5FE08" w14:textId="656DBF5A"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den steuerlichen Zweck, zu dem die Informationen beantragt werden,</w:t>
      </w:r>
    </w:p>
    <w:p w14:paraId="14DF5AB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7A6ED59" w14:textId="3E52BFD4"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eine Spezifizierung der für Verwaltungszwecke oder die Durchsetzung des nationalen Rechts erforderlichen Informationen.]</w:t>
      </w:r>
    </w:p>
    <w:p w14:paraId="39EC604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3546D3" w14:textId="07960395"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5/2 - Ein Ersuchen wie in den Paragraphen 4 und 5 erwähnt kann sich auf eine Gruppe von Steuerpflichtigen beziehen, die nicht einzeln identifiziert werden können, sondern nur aufgrund einer Reihe gemeinsamer Merkmale bestimmt werden können.</w:t>
      </w:r>
    </w:p>
    <w:p w14:paraId="62EAE2B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0987E9" w14:textId="21141D42"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In solchen Fällen übermittelt die zuständige ersuchende Behörde der ersuchten Behörde die folgenden Informationen:</w:t>
      </w:r>
    </w:p>
    <w:p w14:paraId="50AFDD4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C881ED" w14:textId="1BB33450"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eine ausführliche Beschreibung der Gruppe,</w:t>
      </w:r>
    </w:p>
    <w:p w14:paraId="782D1D1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5C2CE54" w14:textId="44EA918B"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eine Erläuterung des anwendbaren Rechts und des Sachverhalts, der Anlass zu der Vermutung gibt, dass die Steuerpflichtigen dieser Gruppe das anwendbare Recht nicht eingehalten haben,</w:t>
      </w:r>
    </w:p>
    <w:p w14:paraId="4D7262D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84631AA" w14:textId="75DE48FA"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c)</w:t>
      </w:r>
      <w:r w:rsidRPr="009118AB">
        <w:rPr>
          <w:iCs/>
          <w:sz w:val="20"/>
          <w:szCs w:val="20"/>
        </w:rPr>
        <w:t> eine Erläuterung, wie die erbetenen Informationen dazu beitragen würden, die Einhaltung des anwendbaren Rechts durch die Steuerpflichtigen der Gruppe festzustellen,</w:t>
      </w:r>
    </w:p>
    <w:p w14:paraId="77EC07A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4EE2A52" w14:textId="6BA28399"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d)</w:t>
      </w:r>
      <w:r w:rsidRPr="009118AB">
        <w:rPr>
          <w:iCs/>
          <w:sz w:val="20"/>
          <w:szCs w:val="20"/>
        </w:rPr>
        <w:t> sofern relevant, Sachverhalt und Umstände in Bezug auf die Beteiligung eines Dritten, der aktiv zur potenziellen Nichteinhaltung des anwendbaren Rechts durch die Steuerpflichtigen der Gruppe beigetragen hat.]</w:t>
      </w:r>
    </w:p>
    <w:p w14:paraId="2FDA5C7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71AF2F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6 - [Die belgische zuständige Behörde übermittelt im Wege des automatischen Austauschs der ausländischen zuständigen Behörde alle Informationen, die über ansässige Personen des anderen Mitgliedstaates in Bezug auf die folgenden bestimmten Arten von Einkünften und Vermögen, wie sie im Sinne des belgischen Rechts zu verstehen sind, verfügbar sind:</w:t>
      </w:r>
    </w:p>
    <w:p w14:paraId="0FE6BEA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2BC702" w14:textId="549F6A42"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Einkünfte aus einem Beschäftigungsverhältnis,</w:t>
      </w:r>
    </w:p>
    <w:p w14:paraId="047E6B2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E06479" w14:textId="02BC528D"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Tantiemen und Anwesenheitsgelder,</w:t>
      </w:r>
    </w:p>
    <w:p w14:paraId="3B7B322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3ECA00" w14:textId="0DB7A645"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c)</w:t>
      </w:r>
      <w:r w:rsidRPr="009118AB">
        <w:rPr>
          <w:iCs/>
          <w:sz w:val="20"/>
          <w:szCs w:val="20"/>
        </w:rPr>
        <w:t> Lebensversicherungsprodukte, die nicht von anderen Rechtsakten der Union über den Austausch von Informationen oder vergleichbaren Maßnahmen erfasst sind,</w:t>
      </w:r>
    </w:p>
    <w:p w14:paraId="03D80ED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2BCE682" w14:textId="59725DA3"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d)</w:t>
      </w:r>
      <w:r w:rsidRPr="009118AB">
        <w:rPr>
          <w:iCs/>
          <w:sz w:val="20"/>
          <w:szCs w:val="20"/>
        </w:rPr>
        <w:t> Pensionen,</w:t>
      </w:r>
    </w:p>
    <w:p w14:paraId="73E3B9C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25A7221" w14:textId="137F2C61"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e)</w:t>
      </w:r>
      <w:r w:rsidRPr="009118AB">
        <w:rPr>
          <w:iCs/>
          <w:sz w:val="20"/>
          <w:szCs w:val="20"/>
        </w:rPr>
        <w:t> Eigentum an unbeweglichen Gütern und Einkünfte daraus,</w:t>
      </w:r>
    </w:p>
    <w:p w14:paraId="62D916A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D470D7D" w14:textId="10D649E0"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f)</w:t>
      </w:r>
      <w:r w:rsidRPr="009118AB">
        <w:rPr>
          <w:iCs/>
          <w:sz w:val="20"/>
          <w:szCs w:val="20"/>
        </w:rPr>
        <w:t> Lizenzgebühren.]</w:t>
      </w:r>
    </w:p>
    <w:p w14:paraId="69DD58D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BA50CAF" w14:textId="07DCD88A"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[Für am oder nach dem 1. Januar 2024 beginnende Besteuerungszeiträume enthält die Übermittlung der in Absatz 1 erwähnten Informationen die durch den Ansässigkeitsmitgliedstaat für ansässige Personen ausgestellte Steueridentifikationsnummer.</w:t>
      </w:r>
    </w:p>
    <w:p w14:paraId="35E48FB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C69EF98" w14:textId="51548724"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Belgien unterrichtet die Kommission jährlich über mindestens zwei der in Absatz 1 aufgeführten Arten von Einkünften und Vermögen, zu denen es Informationen über in einem anderen Mitgliedstaat ansässige Personen übermittelt.</w:t>
      </w:r>
      <w:r w:rsidR="00DE54C2" w:rsidRPr="009118AB">
        <w:rPr>
          <w:iCs/>
          <w:sz w:val="20"/>
          <w:szCs w:val="20"/>
        </w:rPr>
        <w:t>]</w:t>
      </w:r>
    </w:p>
    <w:p w14:paraId="27194FB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11413D9" w14:textId="32D14CEA"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Übermittlung der Informationen erfolgt mindestens einmal jährlich, innerhalb von sechs Monaten nach Ablauf des Kalenderjahres, in dem die Information verfügbar wurde.</w:t>
      </w:r>
    </w:p>
    <w:p w14:paraId="4A4A22A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921458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"Verfügbare Informationen" sind solche, die in den Steuerakten des die Informationen übermittelnden Mitgliedstaates enthalten sind und die im Einklang mit den Verfahren für die Erhebung und Verarbeitung von Informationen des betreffenden Mitgliedstaates abgerufen werden können.</w:t>
      </w:r>
    </w:p>
    <w:p w14:paraId="2C7611F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89CA944" w14:textId="4CC40D9B"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6/1 - Im Rahmen des verpflichtenden automatischen Informationsaustauschs über grenzüberschreitende Vorbescheide und Vorabverständigungen über die Verrechnungspreis</w:t>
      </w:r>
      <w:r w:rsidRPr="009118AB">
        <w:rPr>
          <w:iCs/>
          <w:sz w:val="20"/>
          <w:szCs w:val="20"/>
        </w:rPr>
        <w:softHyphen/>
        <w:t>gestaltung gelten folgende Voraussetzungen:</w:t>
      </w:r>
    </w:p>
    <w:p w14:paraId="3D1682C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3A4B7E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Die belgische zuständige Behörde übermittelt im Wege des automatischen Austauschs den zuständigen Behörden aller anderen Mitgliedstaaten sowie der Europäischen Kommission Informationen, wenn nach dem 31. Dezember 2016 ein grenzüberschreitender Vorbescheid oder eine Vorabverständigung über die Verrechnungspreisgestaltung erteilt beziehungsweise getroffen, geändert oder erneuert wurde, mit der Einschränkung, die für die Fälle nach Nr. 7 des vorliegenden Paragraphen gilt, und gemäß den geltenden nach § 24 angenommenen praktischen Regelungen.</w:t>
      </w:r>
    </w:p>
    <w:p w14:paraId="01310DE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EF856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Ferner übermittelt die belgische zuständige Behörde den zuständigen Behörden aller anderen Mitgliedstaaten sowie der Europäischen Kommission, unter Berücksichtigung der Einschränkung nach Nr. 7 des vorliegenden Paragraphen, gemäß den geltenden nach § 24 angenommenen praktischen Regelungen Informationen über grenzüberschreitende Vorbescheide und Vorabverständigungen über die Verrechnungspreisgestaltung, die innerhalb eines Zeitraums von fünf Jahren vor dem 1. Januar 2017 erteilt beziehungsweise getroffen, geändert oder erneuert wurden.</w:t>
      </w:r>
    </w:p>
    <w:p w14:paraId="6CDE820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F2E831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Falls diese grenzüberschreitenden Vorbescheide und Vorabverständigungen über die Verrechnungspreisgestaltung in der Zeit zwischen dem 1. Januar 2012 und dem 31. Dezember 2013 erteilt beziehungsweise getroffen, geändert oder erneuert wurden, erfolgt diese Informationsübermittlung unter der Voraussetzung, dass sie am 1. Januar 2014 noch gültig waren.</w:t>
      </w:r>
    </w:p>
    <w:p w14:paraId="266890B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4851B5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Falls diese grenzüberschreitenden Vorbescheide und Vorabverständigungen über die Verrechnungspreisgestaltung in der Zeit zwischen dem 1. Januar 2014 und dem 31. Dezember 2016 erteilt beziehungsweise getroffen, geändert oder erneuert wurden, erfolgt diese Informationsübermittlung unabhängig davon, ob sie noch gültig sind oder nicht.</w:t>
      </w:r>
    </w:p>
    <w:p w14:paraId="5175D3E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04F512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3. Bilaterale oder multilaterale Vorabverständigungen über die Verrechnungspreis</w:t>
      </w:r>
      <w:r w:rsidRPr="009118AB">
        <w:rPr>
          <w:iCs/>
          <w:sz w:val="20"/>
          <w:szCs w:val="20"/>
        </w:rPr>
        <w:softHyphen/>
        <w:t>gestaltung mit Drittländern werden vom Geltungsbereich des automatischen Informationsaus</w:t>
      </w:r>
      <w:r w:rsidRPr="009118AB">
        <w:rPr>
          <w:iCs/>
          <w:sz w:val="20"/>
          <w:szCs w:val="20"/>
        </w:rPr>
        <w:softHyphen/>
        <w:t>tauschs gemäß vorliegendem Paragraphen ausgenommen, sofern das internationale Steuerab</w:t>
      </w:r>
      <w:r w:rsidRPr="009118AB">
        <w:rPr>
          <w:iCs/>
          <w:sz w:val="20"/>
          <w:szCs w:val="20"/>
        </w:rPr>
        <w:softHyphen/>
        <w:t>kommen, in dessen Rahmen die Vorabverständigung über die Verrechnungspreisgestaltung ausgehandelt wurde, eine Weitergabe an Dritte nicht erlaubt. Solche bilateralen oder multilateralen Vorabverständigungen über die Verrechnungspreisgestaltung werden gemäß § 7 ausgetauscht, sofern das internationale Steuerabkommen, in dessen Rahmen die Vorab</w:t>
      </w:r>
      <w:r w:rsidRPr="009118AB">
        <w:rPr>
          <w:iCs/>
          <w:sz w:val="20"/>
          <w:szCs w:val="20"/>
        </w:rPr>
        <w:softHyphen/>
        <w:t>verständigung über die Verrechnungspreisgestaltung ausgehandelt wurde, eine Weitergabe erlaubt und die zuständige Behörde des Drittlandes die Weitergabe der Informationen genehmigt.</w:t>
      </w:r>
    </w:p>
    <w:p w14:paraId="6DEA531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834D9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Sollten die bilateralen oder multilateralen Vorabverständigungen über die Verrechnungspreisgestaltung jedoch vom automatischen Informationsaustausch gemäß dem ersten Satz von Absatz 1 der vorliegenden Nummer ausgenommen sein, so werden stattdessen die Informationen nach Nr. 6 des vorliegenden Paragraphen, die in dem Ersuchen, das zum Treffen einer solchen bilateralen oder multilateralen Vorabverständigung über die Verrechnungspreisgestaltung geführt hat, aufgeführt sind, gemäß den Nummern 1 und 2 des vorliegenden Paragraphen ausgetauscht.</w:t>
      </w:r>
    </w:p>
    <w:p w14:paraId="35453E0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68682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4. Die Nummern 1 und 2 gelten nicht in Fällen, in denen ein grenzüberschreitender Vorbescheid oder eine Vorabverständigung über die Verrechnungspreisgestaltung ausschließ</w:t>
      </w:r>
      <w:r w:rsidRPr="009118AB">
        <w:rPr>
          <w:iCs/>
          <w:sz w:val="20"/>
          <w:szCs w:val="20"/>
        </w:rPr>
        <w:softHyphen/>
        <w:t>lich die Steuerangelegenheiten einer oder mehrerer natürlicher Personen betrifft.</w:t>
      </w:r>
    </w:p>
    <w:p w14:paraId="0C709E6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77A718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5. Der Informationsaustausch erfolgt:</w:t>
      </w:r>
    </w:p>
    <w:p w14:paraId="0F62D94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E37702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[in Bezug auf die gemäß Nr. 1 ausgetauschten Informationen: unverzüglich nach Erteilen beziehungsweise Treffen, Änderung oder Erneuerung der grenzüberschreitenden Vorbescheide oder Vorabverständigungen über die Verrechnungspreisgestaltung und spätestens drei Monate nach Ablauf des Kalenderhalbjahres, in dem die grenzüberschreitenden Vorbescheide oder Vorabverständigungen über die Verrechnungspreisgestaltung erteilt beziehungsweise getroffen, geändert oder erneuert wurden,]</w:t>
      </w:r>
    </w:p>
    <w:p w14:paraId="0FD795A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C95656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Ferner übermittelt die belgische zuständige Behörde den zuständigen Behörden aller anderen Mitgliedstaaten sowie der Europäischen Kommission, unter Berücksichtigung der Einschränkung nach Nr. 7 des vorliegenden Paragraphen, gemäß den geltenden nach § 24 angenommenen praktischen Regelungen Informationen über grenzüberschreitende Vorbescheide und Vorabverständigungen über die Verrechnungspreisgestaltung, die innerhalb eines Zeitraums von fünf Jahren vor dem 1. Januar 2017 erteilt beziehungsweise getroffen, geändert oder erneuert wurden.</w:t>
      </w:r>
    </w:p>
    <w:p w14:paraId="6A5F5D8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C7716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6. Die von der belgischen zuständigen Behörde gemäß den Nummern 1 und 2 zu übermittelnden Informationen müssen Folgendes enthalten:</w:t>
      </w:r>
    </w:p>
    <w:p w14:paraId="4E5746B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4034A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Angaben zu der juristischen Person und gegebenenfalls zu der Gruppe von Personen, der sie angehört,</w:t>
      </w:r>
    </w:p>
    <w:p w14:paraId="0B305BD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93FD59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[eine Zusammenfassung des Inhalts des grenzüberschreitenden Vorbescheids oder der Vorabverständigung über die Verrechnungspreisgestaltung, einschließlich einer Beschreibung der relevanten Geschäftstätigkeiten oder Transaktionen oder Reihen von Transaktionen und aller anderen Informationen, die der zuständigen Behörde bei der Bewertung eines potenziellen Steuerrisikos behilflich sein könnten, ohne zur Preisgabe eines Handels-, Gewerbe- oder Berufsgeheimnisses oder eines Geschäftsverfahrens oder zur Preisgabe von Informationen zu führen, die die öffentliche Ordnung verletzen würde,]</w:t>
      </w:r>
    </w:p>
    <w:p w14:paraId="00F0F7B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75AF6E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c)</w:t>
      </w:r>
      <w:r w:rsidRPr="009118AB">
        <w:rPr>
          <w:iCs/>
          <w:sz w:val="20"/>
          <w:szCs w:val="20"/>
        </w:rPr>
        <w:t> das jeweilige Datum der Erteilung beziehungsweise des Treffens, der Änderung oder der Erneuerung des grenzüberschreitenden Vorbescheids beziehungsweise der Vorabverständigung über die Verrechnungspreisgestaltung,</w:t>
      </w:r>
    </w:p>
    <w:p w14:paraId="37BDC45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622488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d)</w:t>
      </w:r>
      <w:r w:rsidRPr="009118AB">
        <w:rPr>
          <w:iCs/>
          <w:sz w:val="20"/>
          <w:szCs w:val="20"/>
        </w:rPr>
        <w:t> den Tag des Beginns der Geltungsdauer des grenzüberschreitenden Vorbescheids beziehungsweise der Vorabverständigung über die Verrechnungspreisgestaltung, falls angegeben,</w:t>
      </w:r>
    </w:p>
    <w:p w14:paraId="6C450D6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01F0DC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e)</w:t>
      </w:r>
      <w:r w:rsidRPr="009118AB">
        <w:rPr>
          <w:iCs/>
          <w:sz w:val="20"/>
          <w:szCs w:val="20"/>
        </w:rPr>
        <w:t> den Tag des Ablaufs der Geltungsdauer des grenzüberschreitenden Vorbescheids beziehungsweise der Vorabverständigung über die Verrechnungspreisgestaltung, falls angegeben,</w:t>
      </w:r>
    </w:p>
    <w:p w14:paraId="325FF5A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65F5B7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f)</w:t>
      </w:r>
      <w:r w:rsidRPr="009118AB">
        <w:rPr>
          <w:iCs/>
          <w:sz w:val="20"/>
          <w:szCs w:val="20"/>
        </w:rPr>
        <w:t> die Art des grenzüberschreitenden Vorbescheids beziehungsweise der Vorabver</w:t>
      </w:r>
      <w:r w:rsidRPr="009118AB">
        <w:rPr>
          <w:iCs/>
          <w:sz w:val="20"/>
          <w:szCs w:val="20"/>
        </w:rPr>
        <w:softHyphen/>
        <w:t>ständigung über die Verrechnungspreisgestaltung,</w:t>
      </w:r>
    </w:p>
    <w:p w14:paraId="3344914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85978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g)</w:t>
      </w:r>
      <w:r w:rsidRPr="009118AB">
        <w:rPr>
          <w:iCs/>
          <w:sz w:val="20"/>
          <w:szCs w:val="20"/>
        </w:rPr>
        <w:t> den Betrag der Transaktion oder Reihe von Transaktionen des grenzüberschreiten</w:t>
      </w:r>
      <w:r w:rsidRPr="009118AB">
        <w:rPr>
          <w:iCs/>
          <w:sz w:val="20"/>
          <w:szCs w:val="20"/>
        </w:rPr>
        <w:softHyphen/>
        <w:t>den Vorbescheids beziehungsweise der Vorabverständigung über die Verrechnungspreisge</w:t>
      </w:r>
      <w:r w:rsidRPr="009118AB">
        <w:rPr>
          <w:iCs/>
          <w:sz w:val="20"/>
          <w:szCs w:val="20"/>
        </w:rPr>
        <w:softHyphen/>
        <w:t>staltung, sofern dieser Betrag im grenzüberschreitenden Vorbescheid beziehungsweise in der Vorabverständigung über die Verrechnungspreisgestaltung angegeben ist,</w:t>
      </w:r>
    </w:p>
    <w:p w14:paraId="6813B86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795A8B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h)</w:t>
      </w:r>
      <w:r w:rsidRPr="009118AB">
        <w:rPr>
          <w:iCs/>
          <w:sz w:val="20"/>
          <w:szCs w:val="20"/>
        </w:rPr>
        <w:t> im Falle einer Vorabverständigung über die Verrechnungspreisgestaltung die bei der Festlegung der Verrechnungspreise zugrunde gelegten Kriterien oder den Verrech</w:t>
      </w:r>
      <w:r w:rsidRPr="009118AB">
        <w:rPr>
          <w:iCs/>
          <w:sz w:val="20"/>
          <w:szCs w:val="20"/>
        </w:rPr>
        <w:softHyphen/>
        <w:t>nungspreis,</w:t>
      </w:r>
    </w:p>
    <w:p w14:paraId="2375A2B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2F0D99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i)</w:t>
      </w:r>
      <w:r w:rsidRPr="009118AB">
        <w:rPr>
          <w:iCs/>
          <w:sz w:val="20"/>
          <w:szCs w:val="20"/>
        </w:rPr>
        <w:t> im Falle einer Vorabverständigung über die Verrechnungspreisgestaltung das der Festlegung der Verrechnungspreise zugrunde gelegte Verfahren oder den Verrechnungspreis,</w:t>
      </w:r>
    </w:p>
    <w:p w14:paraId="1CD95BA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99D62F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j)</w:t>
      </w:r>
      <w:r w:rsidRPr="009118AB">
        <w:rPr>
          <w:iCs/>
          <w:sz w:val="20"/>
          <w:szCs w:val="20"/>
        </w:rPr>
        <w:t> gegebenenfalls Angaben zu den anderen Mitgliedstaaten, die wahrscheinlich von dem grenzüberschreitenden Vorbescheid oder der Vorabverständigung über die Verrech</w:t>
      </w:r>
      <w:r w:rsidRPr="009118AB">
        <w:rPr>
          <w:iCs/>
          <w:sz w:val="20"/>
          <w:szCs w:val="20"/>
        </w:rPr>
        <w:softHyphen/>
        <w:t>nungspreisgestaltung betroffen sind,</w:t>
      </w:r>
    </w:p>
    <w:p w14:paraId="05E9928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CA6990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k)</w:t>
      </w:r>
      <w:r w:rsidRPr="009118AB">
        <w:rPr>
          <w:iCs/>
          <w:sz w:val="20"/>
          <w:szCs w:val="20"/>
        </w:rPr>
        <w:t> gegebenenfalls Identifizierungsangaben zu allen Personen in den anderen Mitgliedstaaten, die wahrscheinlich von dem grenzüberschreitenden Vorbescheid oder der Vorabverständigung über die Verrechnungspreisgestaltung betroffen sind, sowie Angaben dazu, zu welchen Mitgliedstaaten die betreffenden Personen in Beziehung stehen, und</w:t>
      </w:r>
    </w:p>
    <w:p w14:paraId="4E4ABCC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437E59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l)</w:t>
      </w:r>
      <w:r w:rsidRPr="009118AB">
        <w:rPr>
          <w:iCs/>
          <w:sz w:val="20"/>
          <w:szCs w:val="20"/>
        </w:rPr>
        <w:t> Angaben dazu, ob die übermittelten Informationen auf dem grenzüberschreitenden Vorbescheid beziehungsweise der Vorabverständigung über die Verrechnungspreisgestaltung selbst beruhen oder auf einem Ersuchen gemäß Nr. 3 Absatz 2 des vorliegenden Paragraphen.</w:t>
      </w:r>
    </w:p>
    <w:p w14:paraId="0F6FDBE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52EA2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7. Die Informationen nach Nr. 6 Buchstabe </w:t>
      </w:r>
      <w:r w:rsidRPr="009118AB">
        <w:rPr>
          <w:i/>
          <w:iCs/>
          <w:sz w:val="20"/>
          <w:szCs w:val="20"/>
        </w:rPr>
        <w:t>a)</w:t>
      </w:r>
      <w:r w:rsidRPr="009118AB">
        <w:rPr>
          <w:iCs/>
          <w:sz w:val="20"/>
          <w:szCs w:val="20"/>
        </w:rPr>
        <w:t xml:space="preserve">, </w:t>
      </w:r>
      <w:r w:rsidRPr="009118AB">
        <w:rPr>
          <w:i/>
          <w:iCs/>
          <w:sz w:val="20"/>
          <w:szCs w:val="20"/>
        </w:rPr>
        <w:t>b)</w:t>
      </w:r>
      <w:r w:rsidRPr="009118AB">
        <w:rPr>
          <w:iCs/>
          <w:sz w:val="20"/>
          <w:szCs w:val="20"/>
        </w:rPr>
        <w:t xml:space="preserve">, </w:t>
      </w:r>
      <w:r w:rsidRPr="009118AB">
        <w:rPr>
          <w:i/>
          <w:iCs/>
          <w:sz w:val="20"/>
          <w:szCs w:val="20"/>
        </w:rPr>
        <w:t>h)</w:t>
      </w:r>
      <w:r w:rsidRPr="009118AB">
        <w:rPr>
          <w:iCs/>
          <w:sz w:val="20"/>
          <w:szCs w:val="20"/>
        </w:rPr>
        <w:t xml:space="preserve"> und </w:t>
      </w:r>
      <w:r w:rsidRPr="009118AB">
        <w:rPr>
          <w:i/>
          <w:iCs/>
          <w:sz w:val="20"/>
          <w:szCs w:val="20"/>
        </w:rPr>
        <w:t>k)</w:t>
      </w:r>
      <w:r w:rsidRPr="009118AB">
        <w:rPr>
          <w:iCs/>
          <w:sz w:val="20"/>
          <w:szCs w:val="20"/>
        </w:rPr>
        <w:t xml:space="preserve"> des vorliegenden Paragraphen werden der Europäischen Kommission nicht übermittelt.</w:t>
      </w:r>
    </w:p>
    <w:p w14:paraId="74EEBD5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E2187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8. Die belgische zuständige Behörde bestätigt der zuständigen Behörde, die die Informationen übermittelt hat, unverzüglich - spätestens jedoch innerhalb von sieben Werktagen nach Erhalt - und möglichst auf elektronischem Wege den Erhalt der Informationen. Diese Maßnahme gilt, bis das in § 24 Absatz 3 und 4 genannte Verzeichnis einsatzbereit ist.</w:t>
      </w:r>
    </w:p>
    <w:p w14:paraId="4DD10B5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7AD8D8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9. Die belgische zuständige Behörde kann gemäß § 4 und unter Berücksichtigung des Paragraphen 24 Absatz 2 um Übermittlung zusätzlicher Informationen, einschließlich des vollständigen Wortlauts des grenzüberschreitenden Vorbescheids oder der Vorabver</w:t>
      </w:r>
      <w:r w:rsidRPr="009118AB">
        <w:rPr>
          <w:iCs/>
          <w:sz w:val="20"/>
          <w:szCs w:val="20"/>
        </w:rPr>
        <w:softHyphen/>
        <w:t>ständigung über die Verrechnungspreisgestaltung, ersuchen.[</w:t>
      </w:r>
    </w:p>
    <w:p w14:paraId="081A79D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AC0D6C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6/2 - [Die belgische zuständige Behörde unterbreitet der Kommission jährlich Statistiken zum Umfang des automatischen Informationsaustauschs gemäß den Paragraphen 6 Absatz 1, 6/1 und 6/5 und Angaben zu den administrativen und anderen einschlägigen Kosten und Nutzen des erfolgten Austauschs und zu allen möglichen Änderungen, sowohl für die Steuerverwaltungen als auch für Dritte.]]</w:t>
      </w:r>
    </w:p>
    <w:p w14:paraId="52FBF6B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735B34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6/3 - Die für die Festlegung der Einkommensteuern zuständige belgische Verwaltung übermittelt den in Artikel 321/2 erwähnten länderbezogenen Bericht mittels automatischem Austausch und innerhalb der in folgendem Absatz festgelegten Frist an jeden Mitgliedstaat, in dem gemäß den im Bericht enthaltenen Informationen eine oder mehrere Geschäftseinheiten der multinationalen Gruppe des berichtenden Rechtsträgers entweder steuerlich ansässig oder in Bezug auf die Geschäftstätigkeiten, denen sie über eine Betriebsstätte nachgehen, steuerpflichtig sind.</w:t>
      </w:r>
    </w:p>
    <w:p w14:paraId="522ADBD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3FCFE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Übermittlung erfolgt innerhalb von fünfzehn Monaten nach dem letzten Tag des Geschäftsjahres der multinationalen Gruppe, auf das sich der länderbezogene Bericht bezieht. Der erste länderbezogene Bericht wird für den Berichtszeitraum der multinationalen Gruppe übermittelt, der am oder nach dem 1. Januar 2016 beginnt; die Übermittlung erfolgt innerhalb von achtzehn Monaten nach dem letzten Tag des betreffenden Berichtszeitraums.]</w:t>
      </w:r>
    </w:p>
    <w:p w14:paraId="18175E6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38D89E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6/4 - Die belgische zuständige Behörde übermittelt die in Absatz 2 erwähnten Angaben über grenzüberschreitende Gestaltungen, die ihr vom Intermediär oder vom relevanten Steuerpflichtigen gemäß den Artikeln 326/1 bis 326/8 mitgeteilt worden sind, in der in Absatz 3 erwähnten Frist den zuständigen Behörden aller anderen Mitgliedstaaten im Wege eines automatischen Austauschs.</w:t>
      </w:r>
    </w:p>
    <w:p w14:paraId="77F15A9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12DE2C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von der belgischen zuständigen Behörde gemäß Absatz 1 zu übermittelnden Informationen umfassen soweit anwendbar Folgendes:</w:t>
      </w:r>
    </w:p>
    <w:p w14:paraId="5861802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F7E10D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Angaben zu den in Artikel 326/1 Nr. 4 und 5 erwähnten Intermediären und relevanten Steuerpflichtigen, einschließlich des Namens, des Geburtsdatums und -orts (bei natürlichen Personen), des Steuerwohnsitzes und der Steueridentifikationsnummer sowie gegebenenfalls der Personen, die gemäß § 2 Nr. 21 als verbundene Unternehmen des relevanten Steuerpflich</w:t>
      </w:r>
      <w:r w:rsidRPr="009118AB">
        <w:rPr>
          <w:iCs/>
          <w:sz w:val="20"/>
          <w:szCs w:val="20"/>
        </w:rPr>
        <w:softHyphen/>
        <w:t>tigen gelten,</w:t>
      </w:r>
    </w:p>
    <w:p w14:paraId="1257ED2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231D91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Einzelheiten zu den in Artikel 326/2 erwähnten Kennzeichen, die bewirken, dass die grenzüberschreitende Gestaltung meldepflichtig ist,</w:t>
      </w:r>
    </w:p>
    <w:p w14:paraId="5D62451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012EE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3. Zusammenfassung des Inhalts der meldepflichtigen grenzüberschreitenden Gestal</w:t>
      </w:r>
      <w:r w:rsidRPr="009118AB">
        <w:rPr>
          <w:iCs/>
          <w:sz w:val="20"/>
          <w:szCs w:val="20"/>
        </w:rPr>
        <w:softHyphen/>
        <w:t>tung, soweit vorhanden einschließlich eines Verweises auf die Bezeichnung, unter der sie allgemein bekannt ist, und einer abstrakt gehaltenen Beschreibung der relevanten Geschäftstätigkeiten oder Gestaltungen, die nicht zur Preisgabe eines Handels-, Gewerbe- oder Berufsgeheimnisses oder eines Geschäftsverfahrens oder von Informationen führt, deren Preisgabe die öffentliche Ordnung verletzen würde,</w:t>
      </w:r>
    </w:p>
    <w:p w14:paraId="2E70A8C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30702B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4. Datum, an dem der erste Schritt der Umsetzung der meldepflichtigen grenzüber</w:t>
      </w:r>
      <w:r w:rsidRPr="009118AB">
        <w:rPr>
          <w:iCs/>
          <w:sz w:val="20"/>
          <w:szCs w:val="20"/>
        </w:rPr>
        <w:softHyphen/>
        <w:t>schreitenden Gestaltung gemacht wurde oder gemacht werden wird,</w:t>
      </w:r>
    </w:p>
    <w:p w14:paraId="2EFF804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AE8987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5. Einzelheiten zu den nationalen Vorschriften, die die Grundlage der meldepflichtigen grenzüberschreitenden Gestaltung bilden,</w:t>
      </w:r>
    </w:p>
    <w:p w14:paraId="682E701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88FE2A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6. Wert der meldepflichtigen grenzüberschreitenden Gestaltung,</w:t>
      </w:r>
    </w:p>
    <w:p w14:paraId="22F7CE0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7A7D1D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7. Angabe des Mitgliedstaates des/der relevanten Steuerpflichtigen und aller anderen Mitgliedstaaten, die wahrscheinlich von der meldepflichtigen grenzüberschreitenden Gestal</w:t>
      </w:r>
      <w:r w:rsidRPr="009118AB">
        <w:rPr>
          <w:iCs/>
          <w:sz w:val="20"/>
          <w:szCs w:val="20"/>
        </w:rPr>
        <w:softHyphen/>
        <w:t>tung betroffen sind,</w:t>
      </w:r>
    </w:p>
    <w:p w14:paraId="1C28E84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641C8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8. Angaben zu allen anderen Personen in einem Mitgliedstaat, die wahrscheinlich von der meldepflichtigen grenzüberschreitenden Gestaltung betroffen sind, einschließlich Angaben darüber, zu welchen Mitgliedstaaten sie in Beziehung stehen.</w:t>
      </w:r>
    </w:p>
    <w:p w14:paraId="63A8138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01243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Der automatische Austausch erfolgt innerhalb eines Monats nach Ablauf des Quartals, in dem die Informationen vorgelegt wurden. Die ersten Informationen werden bis zum 31. Oktober 2020 übermittelt.</w:t>
      </w:r>
    </w:p>
    <w:p w14:paraId="40D812F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5CB9F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In Absatz 2 Nr. 1, 3 und 8 des vorliegenden Paragraphen erwähnte Informationen werden der Europäischen Kommission nicht übermittelt.]</w:t>
      </w:r>
    </w:p>
    <w:p w14:paraId="4C580F7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955A83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6/5 - Der zuständige Dienst des FÖD Finanzen, der die in Artikel 321</w:t>
      </w:r>
      <w:r w:rsidRPr="009118AB">
        <w:rPr>
          <w:i/>
          <w:iCs/>
          <w:sz w:val="20"/>
          <w:szCs w:val="20"/>
        </w:rPr>
        <w:t>sexies</w:t>
      </w:r>
      <w:r w:rsidRPr="009118AB">
        <w:rPr>
          <w:iCs/>
          <w:sz w:val="20"/>
          <w:szCs w:val="20"/>
        </w:rPr>
        <w:t xml:space="preserve"> erwähnte Meldung erhalten hat, tauscht im Wege des automatischen Austauschs und in den Formen und innerhalb der Fristen gemäß Absatz 3 in Bezug auf jeden meldepflichtigen Verkäufer mit der zuständigen Behörde des Staates, für den Meldepflicht besteht und in dem der meldepflichtige Verkäufer im Sinne von Artikel 321</w:t>
      </w:r>
      <w:r w:rsidRPr="009118AB">
        <w:rPr>
          <w:i/>
          <w:iCs/>
          <w:sz w:val="20"/>
          <w:szCs w:val="20"/>
        </w:rPr>
        <w:t>quinquies</w:t>
      </w:r>
      <w:r w:rsidRPr="009118AB">
        <w:rPr>
          <w:iCs/>
          <w:sz w:val="20"/>
          <w:szCs w:val="20"/>
        </w:rPr>
        <w:t xml:space="preserve"> § 4 ansässig ist, und sofern der meldepflichtige Verkäufer Vermietungsdienstleistungen für unbewegliche Güter erbringt, in jedem Fall mit der zuständigen Behörde des Staates, für den Meldepflicht besteht und in dem das unbewegliche Gut belegen ist, die folgenden Informationen aus:</w:t>
      </w:r>
    </w:p>
    <w:p w14:paraId="1623F07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BCE04C9" w14:textId="0C30B400"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Namen, Anschrift des Hauptsitzes, Steueridentifikationsnummer und gegebenenfalls von der belgischen zuständigen Behörde erteilte individuelle Identifikationsnummer des meldenden Plattformbetreibers sowie Gesellschaftsnamen der Plattform(en), über die der meldende Plattformbetreiber Meldung erstattet,</w:t>
      </w:r>
    </w:p>
    <w:p w14:paraId="299A8C4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9036F8F" w14:textId="4376257D"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Vornamen und Namen des meldepflichtigen Verkäufers, wenn dieser eine natürliche Person ist, und Gesellschaftsnamen des meldepflichtigen Verkäufers, wenn dieser ein Rechtsträger ist,</w:t>
      </w:r>
    </w:p>
    <w:p w14:paraId="03DB818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70554A4" w14:textId="2688FCCF"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3. Hauptanschrift,</w:t>
      </w:r>
    </w:p>
    <w:p w14:paraId="428CD25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F6D7D37" w14:textId="7057673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4. jede Steueridentifikationsnummer des meldepflichtigen Verkäufers unter Angabe des jeweiligen Staates, der diese ausgestellt hat, oder, falls keine Steueridentifikationsnummer vorhanden ist, Geburtsort des meldepflichtigen Verkäufers, wenn dieser eine natürliche Person ist,</w:t>
      </w:r>
    </w:p>
    <w:p w14:paraId="1669704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604868A" w14:textId="641F96E6"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5. Handelsregisternummer des meldepflichtigen Verkäufers, wenn dieser ein Rechtsträger ist,</w:t>
      </w:r>
    </w:p>
    <w:p w14:paraId="56AA51E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F1592E4" w14:textId="2AECE161"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6. Mehrwertsteueridentifikationsnummer des meldepflichtigen Verkäufers, falls vorhanden,</w:t>
      </w:r>
    </w:p>
    <w:p w14:paraId="59B10B9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816AD18" w14:textId="5C8F0853"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7. Geburtsdatum des Verkäufers, wenn dieser eine natürliche Person ist,</w:t>
      </w:r>
    </w:p>
    <w:p w14:paraId="18FB5A9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D044A0" w14:textId="763F39EE"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8. Kennung des Finanzkontos, auf dem die Einzahlung oder Gutschrift der Vergütung erfolgt, sofern der meldende Plattformbetreiber über diese Information verfügt und die zuständige Behörde des Staates, für den Meldepflicht besteht und in dem der meldepflichtige Verkäufer im Sinne von Artikel 321</w:t>
      </w:r>
      <w:r w:rsidRPr="009118AB">
        <w:rPr>
          <w:i/>
          <w:iCs/>
          <w:sz w:val="20"/>
          <w:szCs w:val="20"/>
        </w:rPr>
        <w:t>quinquies</w:t>
      </w:r>
      <w:r w:rsidRPr="009118AB">
        <w:rPr>
          <w:iCs/>
          <w:sz w:val="20"/>
          <w:szCs w:val="20"/>
        </w:rPr>
        <w:t xml:space="preserve"> § 4 ansässig ist, nicht mitgeteilt hat, dass sie die Kennung des Finanzkontos nicht für diesen Zweck zu verwenden beabsichtigt,</w:t>
      </w:r>
    </w:p>
    <w:p w14:paraId="39E5972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7E5664D" w14:textId="729E613C"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9. falls von der Bezeichnung des meldepflichtigen Verkäufers abweichend - zusätzlich zur Kennung des Finanzkontos Namen des Inhabers des Finanzkontos, auf das die Vergütung eingezahlt oder auf dem sie gutgeschrieben wird, sofern der meldende Plattformbetreiber über diese Information verfügt, sowie alle sonstigen der Identifizierung dienenden finanziellen Informationen, über die der meldende Plattformbetreiber in Bezug auf diesen Kontoinhaber verfügt,</w:t>
      </w:r>
    </w:p>
    <w:p w14:paraId="7692605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87485D" w14:textId="41052BB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10. jeden Mitgliedstaat, in dem der meldepflichtige Verkäufer im Sinne von Artikel 321</w:t>
      </w:r>
      <w:r w:rsidRPr="009118AB">
        <w:rPr>
          <w:i/>
          <w:iCs/>
          <w:sz w:val="20"/>
          <w:szCs w:val="20"/>
        </w:rPr>
        <w:t>quinquies</w:t>
      </w:r>
      <w:r w:rsidRPr="009118AB">
        <w:rPr>
          <w:iCs/>
          <w:sz w:val="20"/>
          <w:szCs w:val="20"/>
        </w:rPr>
        <w:t xml:space="preserve"> § 4 ansässig ist,</w:t>
      </w:r>
    </w:p>
    <w:p w14:paraId="28F018B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DF1D54B" w14:textId="7E6ADB20"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11. in jedem Quartal des Meldezeitraums insgesamt gezahlte oder gutgeschriebene Vergütung und Zahl der relevanten Tätigkeiten, für die sie gezahlt oder gutgeschrieben wurde,</w:t>
      </w:r>
    </w:p>
    <w:p w14:paraId="61904E6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81D7D91" w14:textId="64655E0C"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12. jegliche Gebühren, Provisionen oder Steuern, die in jedem Quartal des Meldezeitraums vom meldenden Plattformbetreiber einbehalten oder berechnet werden.</w:t>
      </w:r>
    </w:p>
    <w:p w14:paraId="1E6718F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434935D" w14:textId="1FD5E34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Erbringt der meldepflichtige Verkäufer Vermietungsdienstleistungen für unbewegliche Güter, werden die folgenden zusätzlichen Informationen übermittelt:</w:t>
      </w:r>
    </w:p>
    <w:p w14:paraId="2006515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D6C6348" w14:textId="6B7CEA5D"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Anschrift für jede inserierte Immobilieneinheit, die gemäß den in Artikel 321</w:t>
      </w:r>
      <w:r w:rsidRPr="009118AB">
        <w:rPr>
          <w:i/>
          <w:iCs/>
          <w:sz w:val="20"/>
          <w:szCs w:val="20"/>
        </w:rPr>
        <w:t>quinquies</w:t>
      </w:r>
      <w:r w:rsidRPr="009118AB">
        <w:rPr>
          <w:iCs/>
          <w:sz w:val="20"/>
          <w:szCs w:val="20"/>
        </w:rPr>
        <w:t xml:space="preserve"> § 5 beschriebenen Verfahren bestimmt wird, und - sofern verfügbar - jeweilige Katasternummer oder gleichwertige Angabe nach dem nationalen Recht des Staates, in dem sie belegen ist,</w:t>
      </w:r>
    </w:p>
    <w:p w14:paraId="32299CB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16E1757" w14:textId="3237EE3E"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in jedem Quartal des Meldezeitraums insgesamt gezahlte oder gutgeschriebene Vergütung und Zahl der relevanten Tätigkeiten, die in Bezug auf jede inserierte Immobilieneinheit erbracht wurden,</w:t>
      </w:r>
    </w:p>
    <w:p w14:paraId="7782059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21CAF3F" w14:textId="26BB8F20"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3. falls verfügbar, Zahl der Tage, an denen jede inserierte Immobilieneinheit während des Meldezeitraums vermietet war, sowie Art jeder inserierten Immobilieneinheit.</w:t>
      </w:r>
    </w:p>
    <w:p w14:paraId="317BD6F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6F345E1" w14:textId="046E86DC"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Übermittlung der Informationen gemäß Absatz 1 des vorliegenden Paragraphen erfolgt unter Verwendung des von der Europäischen Kommission angenommenen elektronischen Standardformats, mit dem ein solcher automatischer Austausch erleichtert werden soll, binnen zwei Monaten nach dem Ende des Meldezeitraums, auf den sich die Meldepflichten des meldenden Plattformbetreibers beziehen. Die Informationen werden erstmals für Meldezeiträume ab dem 1. Januar 2023 übermittelt.</w:t>
      </w:r>
    </w:p>
    <w:p w14:paraId="6DCCBBC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24BAE0F" w14:textId="1F385D4C"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Gilt ein Plattformbetreiber für die belgische zuständige Behörde als freigestellter Plattformbetreiber, so unterrichtet diese Behörde die zuständigen Behörden aller anderen Mitgliedstaaten entsprechend, auch über sämtliche späteren Änderungen.]</w:t>
      </w:r>
    </w:p>
    <w:p w14:paraId="0C61524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C9E966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7 - Die belgische zuständige Behörde übermittelt der ausländischen zuständigen Behörde die in § 1 genannten Informationen in folgenden Fällen im Wege des spontanen Informationsaustauschs:</w:t>
      </w:r>
    </w:p>
    <w:p w14:paraId="3AFBFB9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FF0202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Die belgische zuständige Behörde hat Gründe für die Vermutung einer Steuerverkürzung in dem anderen Mitgliedstaat.</w:t>
      </w:r>
    </w:p>
    <w:p w14:paraId="6A0E76D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7F328D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Ein Steuerpflichtiger erhält eine Steuerermäßigung oder Steuerbefreiung in Belgien, die eine Steuererhöhung oder eine Besteuerung in dem anderen Mitgliedstaat zur Folge haben würde.</w:t>
      </w:r>
    </w:p>
    <w:p w14:paraId="5672CC8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D1CF34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3. Geschäftsbeziehungen zwischen einem Steuerpflichtigen in Belgien und einem Steuerpflichtigen eines anderen Mitgliedstaates werden über ein oder mehrere weitere Länder in einer Weise geleitet, die in einem der beiden oder in beiden Mitgliedstaaten zur Steuerersparnis führen kann.</w:t>
      </w:r>
    </w:p>
    <w:p w14:paraId="2AAE4A1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B5CC63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4. Die belgische zuständige Behörde hat Gründe für die Vermutung einer Steuerersparnis durch künstliche Gewinnverlagerungen innerhalb eines Konzerns.</w:t>
      </w:r>
    </w:p>
    <w:p w14:paraId="312C395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8A09C0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5. Die belgische zuständige Behörde hat im Zusammenhang mit Informationen, die ihr von einer ausländischen zuständigen Behörde übermittelt worden sind, einen Sachverhalt ermittelt, der für die Steuerfestlegung in dem anderen Mitgliedstaat angemessen, sachdienlich und nicht übertrieben ist.</w:t>
      </w:r>
    </w:p>
    <w:p w14:paraId="148F18E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0BA432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kann einer ausländischen zuständigen Behörde im Wege des spontanen Informationsaustauschs alle Informationen, von denen sie Kenntnis hat und die für diese ausländische zuständige Behörde angemessen, sachdienlich und nicht übertrieben sind, übermitteln.</w:t>
      </w:r>
    </w:p>
    <w:p w14:paraId="14AE4F9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E2F037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für die die in Absatz 1 genannten Informationen verfügbar werden, übermittelt diese Informationen so schnell wie möglich an die ausländische zuständige Behörde jedes betroffenen Mitgliedstaates, spätestens jedoch einen Monat, nachdem sie verfügbar geworden sind.</w:t>
      </w:r>
    </w:p>
    <w:p w14:paraId="6CA55A0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7C92F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8 - Die belgische zuständige Behörde, der Informationen nach Maßgabe des Paragraphen 7 übermittelt werden, bestätigt der ausländischen zuständigen Behörde, die die Informationen übermittelt hat, unverzüglich, spätestens jedoch sieben Werktage nach Eingang der Informationen, möglichst auf elektronischem Wege den Erhalt der Informationen.</w:t>
      </w:r>
    </w:p>
    <w:p w14:paraId="2C1E08E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7479E1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9 - [Zum Zweck des Informationsaustauschs gemäß § 1 kann die belgische zuständige Behörde eine ausländische zuständige Behörde darum ersuchen, dass von ersterer ermächtigte Bedienstete unter den von der ausländischen zuständigen Behörde festgelegten Bedingungen:</w:t>
      </w:r>
    </w:p>
    <w:p w14:paraId="3187D57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314B6D4" w14:textId="505FE900"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im Hoheitsgebiet des Mitgliedstaates in den Amtsräumen zugegen sein dürfen, in denen die Verwaltungsbehörden des Mitgliedstaates ihre Tätigkeit ausüben,</w:t>
      </w:r>
    </w:p>
    <w:p w14:paraId="0CB6CE3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C12D13A" w14:textId="0A7A8E4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bei den behördlichen Ermittlungen zugegen sein dürfen, die im Hoheitsgebiet der ausländischen zuständigen Behörde durchgeführt werden,</w:t>
      </w:r>
    </w:p>
    <w:p w14:paraId="58F17A7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F3B2EB" w14:textId="1AB0F524"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3. sofern angezeigt mittels elektronischer Kommunikationsmittel an den im Hoheitsgebiet des anderen Mitgliedstaates durchgeführten behördlichen Ermittlungen teilnehmen dürfen.</w:t>
      </w:r>
    </w:p>
    <w:p w14:paraId="1A23C81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9C0420B" w14:textId="11B9142A"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Sind von Belgien ermächtigte Bedienstete bei behördlichen Ermittlungen zugegen oder nehmen sie über elektronische Kommunikationsmittel an den behördlichen Ermittlungen teil, so dürfen sie unter Einhaltung der von der ausländischen zuständigen Behörde festgelegten Verfahrensregelungen Einzelpersonen befragen und Aufzeichnungen prüfen.]</w:t>
      </w:r>
    </w:p>
    <w:p w14:paraId="0FB28D7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FE9F68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10 - [Zum Zweck des Informationsaustauschs gemäß § 1 kann die zuständige Behörde eines Mitgliedstaates die belgische zuständige Behörde darum ersuchen, dass von ersterer ermächtigte Bedienstete unter den von der belgischen zuständigen Behörde festgelegten Bedingungen:</w:t>
      </w:r>
    </w:p>
    <w:p w14:paraId="5DA3934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754E1E7" w14:textId="04473793"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in Belgien in den Amtsräumen zugegen sein dürfen, in denen der FÖD Finanzen seine Tätigkeit ausübt,</w:t>
      </w:r>
    </w:p>
    <w:p w14:paraId="3E6B4B1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52C619C" w14:textId="3B2BAB3D"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bei den behördlichen Ermittlungen zugegen sein dürfen, die im belgischen Hoheitsgebiet durchgeführt werden,</w:t>
      </w:r>
    </w:p>
    <w:p w14:paraId="02A9769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A382FD0" w14:textId="15551CC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3. sofern angezeigt mittels elektronischer Kommunikationsmittel an den im belgischen Hoheitsgebiet durchgeführten behördlichen Ermittlungen teilnehmen dürfen.</w:t>
      </w:r>
    </w:p>
    <w:p w14:paraId="188F230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6403DBA" w14:textId="7D3DBB0E"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beantwortet ein Ersuchen gemäß Absatz 1 binnen sechzig Tagen nach Erhalt des Ersuchens, um entweder ihr Einverständnis zu bestätigen oder der ausländischen zuständigen Behörde ihre begründete Ablehnung mitzuteilen.</w:t>
      </w:r>
    </w:p>
    <w:p w14:paraId="298CF58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FB3A6D7" w14:textId="443E1434"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Sind die erbetenen Informationen in Unterlagen enthalten, zu denen die Bediensteten der belgischen zuständigen Behörde Zugang haben, so werden den Bediensteten der ersuchenden Behörde Kopien dieser Unterlagen ausgehändigt.</w:t>
      </w:r>
    </w:p>
    <w:p w14:paraId="4A14506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85E935C" w14:textId="1C99DC25"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Sind Bedienstete der ersuchenden Behörde bei behördlichen Ermittlungen zugegen oder nehmen sie über elektronische Kommunikationsmittel an den behördlichen Ermittlungen teil, so dürfen sie unter Einhaltung der von der belgischen zuständigen Behörde festgelegten Verfahrensregelungen Einzelpersonen befragen und Aufzeichnungen prüfen.</w:t>
      </w:r>
    </w:p>
    <w:p w14:paraId="2F47EC8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549515A" w14:textId="559F3555"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Jede Weigerung der Person, gegen die ermittelt wird, den Überprüfungsmaßnahmen der Bediensteten der ersuchenden Behörde zu entsprechen, wird von der belgischen zuständigen Behörde wie eine Weigerung gegenüber Bediensteten der eigenen Behörde behandelt.</w:t>
      </w:r>
    </w:p>
    <w:p w14:paraId="18C2DBE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67A666A" w14:textId="57CDD911"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Von dem ersuchenden Mitgliedstaat ermächtigte Bedienstete, die sich gemäß Absatz 1 in Belgien aufhalten, müssen jederzeit eine schriftliche Vollmacht vorlegen können, aus der ihre Identität und dienstliche Stellung hervorgehen.]</w:t>
      </w:r>
    </w:p>
    <w:p w14:paraId="20B7A6E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8AE72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11 - Vereinbart Belgien mit einem oder mehreren Mitgliedstaaten, jeweils in seinem/ihrem Hoheitsgebiet gleichzeitige Prüfungen einer oder mehrerer Personen von gemeinsamem oder ergänzendem Interesse durchzuführen, um die dabei erlangten Informationen auszutauschen, so findet vorliegender Paragraph Anwendung.</w:t>
      </w:r>
    </w:p>
    <w:p w14:paraId="2BD37B7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B34876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bestimmt selbst, welche Personen sie für eine gleichzeitige Prüfung vorschlagen will. Sie unterrichtet die ausländische zuständige Behörde der betroffenen Mitgliedstaaten über die Fälle, für die sie eine gleichzeitige Prüfung vorschlägt, und begründet ihre Wahl. Sie gibt an, in welchem Zeitraum die Prüfung durchgeführt werden soll.</w:t>
      </w:r>
    </w:p>
    <w:p w14:paraId="593C62D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CA806C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Wird der belgischen zuständigen Behörde eine gleichzeitige Prüfung vorgeschlagen, entscheidet sie, ob sie an der gleichzeitigen Prüfung teilnehmen will. [Binnen sechzig Tagen nach Erhalt des Vorschlags bestätigt sie] der ausländischen zuständigen Behörde, die die Prüfung vorgeschlagen hat, ihr Einverständnis oder [teilt sie ihr ihre begründete Ablehnung mit].</w:t>
      </w:r>
    </w:p>
    <w:p w14:paraId="5519D19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A8B910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benennt einen für die Beaufsichtigung und die Koordinierung der Prüfung verantwortlichen Vertreter.</w:t>
      </w:r>
    </w:p>
    <w:p w14:paraId="3746E82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645AFC9" w14:textId="0F0D3D31"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11/1 - Die zuständige Behörde eines oder mehrerer Mitgliedstaaten kann die belgische zuständige Behörde ersuchen, eine gemeinsame Prüfung durchzuführen. Die belgische zuständige Behörde nimmt das Ersuchen um eine gemeinsame Prüfung innerhalb von sechzig Tagen nach dessen Erhalt an oder lehnt es innerhalb dieser Frist ab und begründet ihre Entscheidung im Fall einer Ablehnung.</w:t>
      </w:r>
    </w:p>
    <w:p w14:paraId="2A7576A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755CD31" w14:textId="09F13661"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Gemeinsame Prüfungen werden von der zuständigen Behörde des ersuchenden Mitgliedstaates, der belgischen zuständigen Behörde und gegebenenfalls den zuständigen Behörden der anderen ersuchten Mitgliedstaaten in zuvor vereinbarter und koordinierter Weise, einschließlich der Sprachenregelung, und im Einklang mit den belgischen Rechts- und Verfahrensvorschriften durchgeführt. Die belgische zuständige Behörde benennt einen Vertreter, der für die Beaufsichtigung und Koordinierung der gemeinsamen Prüfung auf belgischem Hoheitsgebiet zuständig ist.</w:t>
      </w:r>
    </w:p>
    <w:p w14:paraId="31ADB98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0B42DA9" w14:textId="05BFD5D9"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Rechte und Pflichten der an der gemeinsamen Prüfung auf belgischem Hoheitsgebiet teilnehmenden Bediensteten der Mitgliedstaaten werden nach belgischem Recht festgelegt. Die Bediensteten eines anderen Mitgliedstaates befolgen diese Rechtsvorschriften, sie üben dabei jedoch keine Befugnisse aus, die über die Befugnisse hinausgehen würden, die ihnen nach dem Recht ihres Mitgliedstaates zustehen.</w:t>
      </w:r>
    </w:p>
    <w:p w14:paraId="4B48AB9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DECDD16" w14:textId="2B7B988F"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Unbeschadet der Absätze 2 und 3 und für die Zwecke der in Absatz 1 erwähnten gemeinsamen Prüfungen, die auf belgischem Hoheitsgebiet stattfinden, ist es Bediensteten aus anderen Mitgliedstaaten, die an den gemeinsamen Prüfungstätigkeiten teilnehmen, erlaubt, zusammen mit den Bediensteten der belgischen zuständigen Behörde und unter Einhaltung der in Belgien festgelegten Verfahrensregelungen Einzelpersonen zu befragen und Aufzeichnungen zu prüfen.</w:t>
      </w:r>
    </w:p>
    <w:p w14:paraId="42EA652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537E3BC" w14:textId="3F987EAA"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Unbeschadet der Absätze 2 und 3 und für die Zwecke der in Absatz 1 erwähnten gemeinsamen Prüfungen, die auf belgischem Hoheitsgebiet stattfinden, werden die bei diesen gemeinsamen Prüfungstätigkeiten gesammelten Beweise, auch hinsichtlich ihrer Zulässigkeit, unter den gleichen rechtlichen Bedingungen bewertet wie im Fall einer klassischen Prüfung, die in Belgien von belgischen Bediensteten durchgeführt wird; dies gilt auch während jeglichen Beschwerde-, Revisions- oder Einspruchsverfahren.</w:t>
      </w:r>
    </w:p>
    <w:p w14:paraId="3C28773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772639A" w14:textId="58401BFE"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Unbeschadet der Absätze 2 und 3 und für die Zwecke der in Absatz 1 erwähnten gemeinsamen Prüfungen, die auf belgischem Hoheitsgebiet stattfinden, verfügen Personen, die einer gemeinsamen Prüfung unterzogen werden oder davon betroffen sind, über dieselben Rechte und haben sie dieselben Pflichten wie im Fall einer klassischen Prüfung, an der nur belgische Bedienstete teilnehmen; dies gilt auch während jeglichen Beschwerde-, Revisions- oder Einspruchsverfahren.</w:t>
      </w:r>
    </w:p>
    <w:p w14:paraId="7A63F6F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07456A" w14:textId="2E7ED01E"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Führen die belgische zuständige Behörde und die zuständige Behörde eines oder mehrerer anderer Mitgliedstaaten eine gemeinsame Prüfung durch, so bemühen sie sich, sich auf den Sachverhalt und die Umstände, die für die gemeinsame Prüfung relevant sind, zu einigen und auf der Grundlage der Ergebnisse der gemeinsamen Prüfung zu einer Einigung über den steuerlichen Status der geprüften Person(en) zu gelangen. Die Feststellungen der gemeinsamen Prüfung sind in einem Prüfungsbericht darzulegen. Fragen, in denen sich die zuständigen Behörden einig sind, sind im Prüfungsbericht wiedergegeben und werden in den einschlägigen Instrumenten berücksichtigt, die von den zuständigen Behörden der teilnehmenden Mitgliedstaaten im Anschluss an diese gemeinsame Prüfung ausgestellt werden.</w:t>
      </w:r>
    </w:p>
    <w:p w14:paraId="79FED6E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889073" w14:textId="5202D781"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geprüfte Person oder geprüften Personen wird/werden über das Ergebnis der gemeinsamen Prüfung unterrichtet, wozu auch eine Kopie des Prüfungsberichts gehört, die innerhalb von sechzig Tagen nach seiner Erstellung übermittelt wird.]</w:t>
      </w:r>
    </w:p>
    <w:p w14:paraId="521A6EE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B1DA008" w14:textId="52124A13"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11/2 - Die belgische zuständige Behörde kann die zuständige Behörde eines oder mehrerer anderer Mitgliedstaaten ersuchen, eine gemeinsame Prüfung durchzuführen.</w:t>
      </w:r>
    </w:p>
    <w:p w14:paraId="1A91466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24580D4" w14:textId="22B0AF6B"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Gemeinsame Prüfungen werden von den betreffenden zuständigen Behörden in zuvor vereinbarter und koordinierter Weise, einschließlich der Sprachenregelung, und im Einklang mit den Rechts- und Verfahrensvorschriften des Mitgliedstaates, in dem die gemeinsamen Prüfungstätigkeiten stattfinden, durchgeführt.</w:t>
      </w:r>
    </w:p>
    <w:p w14:paraId="4F6C287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35878AE" w14:textId="6F4660A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Rechte und Pflichten der an der gemeinsamen Prüfung auf dem Hoheitsgebiet eines anderen Mitgliedstaates teilnehmenden belgischen Bediensteten werden nach dem Recht dieses Mitgliedstaates festgelegt. Die belgischen Bediensteten befolgen diese Rechtsvorschriften, sie üben dabei jedoch keine Befugnisse aus, die über die Befugnisse hinausgehen würden, die ihnen nach belgischem Recht zustehen.</w:t>
      </w:r>
    </w:p>
    <w:p w14:paraId="741A67D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40E07D5" w14:textId="79F6DD20"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Unbeschadet der Absätze 2 und 3 und für die Zwecke der in Absatz 1 erwähnten gemeinsamen Prüfungen, die auf dem Hoheitsgebiet eines anderen Mitgliedstaates stattfinden, werden die bei diesen gemeinsamen Prüfungstätigkeiten gesammelten Beweise, auch hinsichtlich ihrer Zulässigkeit, unter den gleichen rechtlichen Bedingungen bewertet wie im Fall einer klassischen Prüfung, die in Belgien von belgischen Bediensteten durchgeführt wird.</w:t>
      </w:r>
    </w:p>
    <w:p w14:paraId="194F4BB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218CDC7" w14:textId="0E8E1B93"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Führen die belgische zuständige Behörde und die zuständige Behörde eines oder mehrerer anderer Mitgliedstaaten eine gemeinsame Prüfung durch, so bemühen sie sich, sich auf den Sachverhalt und die Umstände, die für die gemeinsame Prüfung relevant sind, zu einigen und auf der Grundlage der Ergebnisse der gemeinsamen Prüfung zu einer Einigung über den steuerlichen Status der geprüften Person(en) zu gelangen. Die Feststellungen der gemeinsamen Prüfung sind in einem Prüfungsbericht darzulegen. Fragen, in denen sich die zuständigen Behörden einig sind, sind im Prüfungsbericht wiedergegeben und werden in den einschlägigen Instrumenten berücksichtigt, die von den zuständigen Behörden der teilnehmenden Mitgliedstaaten im Anschluss an diese gemeinsame Prüfung ausgestellt werden.</w:t>
      </w:r>
    </w:p>
    <w:p w14:paraId="5C9B0F6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3AAC087" w14:textId="7CC48F1F"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geprüfte Person oder geprüften Personen wird/werden über das Ergebnis der gemeinsamen Prüfung unterrichtet, wozu auch eine Kopie des Prüfungsberichts gehört, die innerhalb von sechzig Tagen nach seiner Erstellung übermittelt wird.]</w:t>
      </w:r>
    </w:p>
    <w:p w14:paraId="08A8DA4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0CAAA7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12 - Die belgische zuständige Behörde kann eine ausländische zuständige Behörde ersuchen, nach Maßgabe der Rechtsvorschriften für die Zustellung entsprechender Akte im ersuchten Mitgliedstaat dem Adressaten alle Akte und Entscheidungen von belgischen Verwaltungsbehörden zuzustellen, die mit der Anwendung der Rechtsvorschriften über Einkommensteuern in Belgien zusammenhängen.</w:t>
      </w:r>
    </w:p>
    <w:p w14:paraId="09FA547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386829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Das Zustellungsersuchen enthält Angaben über den Gegenstand des zuzustellenden Akts oder der zuzustellenden Entscheidung sowie Namen und Anschrift des Adressaten und alle weiteren Informationen, die die Identifizierung des Adressaten erleichtern können.</w:t>
      </w:r>
    </w:p>
    <w:p w14:paraId="3A4D9BC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E5DD37F" w14:textId="03E22E5D"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xml:space="preserve">Die belgische zuständige Behörde stellt nur dann ein Zustellungsersuchen, wenn sie nicht in der Lage ist, die Zustellung nach Maßgabe der belgischen Rechtsvorschriften vorzunehmen, oder wenn die Zustellung unverhältnismäßige Schwierigkeiten aufwerfen würde. Die belgische zuständige Behörde kann einer Person im Hoheitsgebiet eines anderen Mitgliedstaates ein Dokument </w:t>
      </w:r>
      <w:r w:rsidR="00991299" w:rsidRPr="009118AB">
        <w:rPr>
          <w:iCs/>
          <w:sz w:val="20"/>
          <w:szCs w:val="20"/>
        </w:rPr>
        <w:t xml:space="preserve">[per Einschreibesendung oder über </w:t>
      </w:r>
      <w:r w:rsidR="003D0E8A">
        <w:rPr>
          <w:iCs/>
          <w:sz w:val="20"/>
          <w:szCs w:val="20"/>
        </w:rPr>
        <w:t>eine gesicherte elektronische Plattform</w:t>
      </w:r>
      <w:r w:rsidR="00991299" w:rsidRPr="009118AB">
        <w:rPr>
          <w:iCs/>
          <w:sz w:val="20"/>
          <w:szCs w:val="20"/>
        </w:rPr>
        <w:t xml:space="preserve">] </w:t>
      </w:r>
      <w:r w:rsidRPr="009118AB">
        <w:rPr>
          <w:iCs/>
          <w:sz w:val="20"/>
          <w:szCs w:val="20"/>
        </w:rPr>
        <w:t>direkt zustellen.</w:t>
      </w:r>
    </w:p>
    <w:p w14:paraId="00877D7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E4046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13 - Auf Antrag einer ausländischen zuständigen Behörde stellt die belgische zuständige Behörde nach Maßgabe der belgischen Rechtsvorschriften für die Zustellung entsprechender Akte dem Adressaten alle Akte und Entscheidungen von Verwaltungs</w:t>
      </w:r>
      <w:r w:rsidRPr="009118AB">
        <w:rPr>
          <w:iCs/>
          <w:sz w:val="20"/>
          <w:szCs w:val="20"/>
        </w:rPr>
        <w:softHyphen/>
        <w:t>behörden des ersuchenden Mitgliedstaates zu, die mit der Anwendung der Rechtsvorschriften über Einkommensteuern in dessen Gebiet zusammenhängen.</w:t>
      </w:r>
    </w:p>
    <w:p w14:paraId="0E89F80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DFC04B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teilt der ersuchenden Behörde unverzüglich mit, was aufgrund des Zustellungsersuchens veranlasst wurde, und insbesondere, an welchem Tag der Akt oder die Entscheidung dem Adressaten zugestellt wurde.</w:t>
      </w:r>
    </w:p>
    <w:p w14:paraId="284DF63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EA662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14 - Hat eine ausländische zuständige Behörde Informationen gemäß den Paragraphen 4 oder 8 übermittelt und um eine Rückmeldung dazu gebeten, so übermittelt die belgische zuständige Behörde, die die Informationen erhalten hat, unbeschadet der in Belgien geltenden Vorschriften zum Schutz des Berufsgeheimnisses und zum Datenschutz der ausländischen zuständigen Behörde, die die Informationen übermittelt hat, die Rückmeldung sobald wie möglich und spätestens drei Monate nach Bekanntwerden des Ergebnisses der Verwendung der erbetenen Informationen.</w:t>
      </w:r>
    </w:p>
    <w:p w14:paraId="285CDFE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E06413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übermittelt den betroffenen Mitgliedstaaten einmal jährlich nach bilateral vereinbarten praktischen Regelungen eine Rückmeldung zum automa</w:t>
      </w:r>
      <w:r w:rsidRPr="009118AB">
        <w:rPr>
          <w:iCs/>
          <w:sz w:val="20"/>
          <w:szCs w:val="20"/>
        </w:rPr>
        <w:softHyphen/>
        <w:t>tischen Informationsaustausch.</w:t>
      </w:r>
    </w:p>
    <w:p w14:paraId="2100997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F0C7D2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15 - Die belgische zuständige Behörde, die Informationen gemäß den Paragraphen 5 oder 7 übermittelt hat, kann die ausländische zuständige Behörde, die die Informationen erhält, um eine Rückmeldung dazu bitten.</w:t>
      </w:r>
    </w:p>
    <w:p w14:paraId="0D2A95A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5BC79B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16 - Erhält eine belgische Verbindungsstelle oder ein belgischer zuständiger Bediensteter ein Ersuchen um Zusammenarbeit, das eine Tätigkeit außerhalb des ihr/ihm zugewiesenen Zuständigkeitsbereichs, der ihr/ihm nach den belgischen Rechtsvorschriften oder innenpolitischen Grundsätzen zugewiesen ist, erfordert, so übermittelt sie/er dieses Ersuchen unverzüglich dem belgischen zentralen Verbindungsbüro und teilt dies der ersuchenden ausländischen zuständigen Behörde mit. In einem solchen Fall beginnt die Frist nach § 5 am Tag nach der Weiterleitung des Ersuchens an das belgische zentrale Verbin</w:t>
      </w:r>
      <w:r w:rsidRPr="009118AB">
        <w:rPr>
          <w:iCs/>
          <w:sz w:val="20"/>
          <w:szCs w:val="20"/>
        </w:rPr>
        <w:softHyphen/>
        <w:t>dungsbüro.</w:t>
      </w:r>
    </w:p>
    <w:p w14:paraId="1A955A7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EBC2E9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17 - Informationen, über die der Belgische Staat aufgrund des vorliegenden Artikels verfügt, unterliegen der Geheimhaltungspflicht nach Artikel 337 und genießen den Schutz des Gesetzes vom 8. Dezember 1992 über den Schutz des Privatlebens hinsichtlich der Verarbeitung personenbezogener Daten und des Gesetzes vom 3. August 2012 zur Festlegung von Bestimmungen in Bezug auf die Verarbeitung personenbezogener Daten durch den Föderalen Öffentlichen Dienst Finanzen im Rahmen seiner Aufträge.</w:t>
      </w:r>
    </w:p>
    <w:p w14:paraId="4453586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C7243B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Diese Informationen können verwendet werden:</w:t>
      </w:r>
    </w:p>
    <w:p w14:paraId="569C084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AF6C5B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[zur Festlegung, Anwendung und Kontrolle der in Artikel 2 der Richtlinie genannten Steuern sowie der Mehrwertsteuer und anderer indirekter Steuern und zur Anwendung des belgischen Rechts,]</w:t>
      </w:r>
    </w:p>
    <w:p w14:paraId="280AE3B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4CF3AE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zur Festlegung und Beitreibung anderer Steuern und Abgaben gemäß Artikel 3 des Gesetzes vom 9. Januar 2012 zur Umsetzung der Richtlinie 2010/24/EU des Rates vom 16. März 2010 über die Amtshilfe bei der Beitreibung von Forderungen in Bezug auf bestimmte Steuern, Abgaben und sonstige Maßnahmen und zur Festlegung und Einziehung von Pflichtbeiträgen zu Sozialversicherungen,</w:t>
      </w:r>
    </w:p>
    <w:p w14:paraId="5D136BB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D17FD0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3. im Zusammenhang mit Gerichts- und Verwaltungsverfahren, die Sanktionen wegen Nichtbeachtung des Steuerrechts zur Folge haben können, und zwar unbeschadet der allgemeinen Regelungen und Vorschriften über die Rechte der Beklagten und Zeugen in solchen Verfahren.</w:t>
      </w:r>
    </w:p>
    <w:p w14:paraId="2C52120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38ADB1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Mit Zustimmung der ausländischen zuständigen Behörde, die im Rahmen der Richtlinie Informationen übermittelt hat, und nur insoweit, als dies gemäß den belgischen Rechtsvorschriften zulässig ist, können die von dieser Behörde erhaltenen Informationen und Schriftstücke für andere als in Absatz 2 genannte Zwecke verwendet werden.</w:t>
      </w:r>
    </w:p>
    <w:p w14:paraId="6103791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D4A281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Ist die belgische zuständige Behörde der Ansicht, dass Informationen, die sie von einer ausländischen zuständigen Behörde erhalten hat, für die ausländische zuständige Behörde eines dritten Mitgliedstaates für die in Absatz 2 genannten Zwecke von Nutzen sein könnten, so teilt sie der zuständigen Behörde des Mitgliedstaates, von dem die Informationen stammen, ihre Absicht mit, die Informationen einem dritten Mitgliedstaat weiterzugeben. Lehnt die zuständige Behörde des Mitgliedstaates, von dem die Informationen stammen, innerhalb von zehn Werktagen nach Eingang der Mitteilung diesen Informationsaustausch nicht ab, so kann die belgische zuständige Behörde diese Informationen der ausländischen zuständigen Behörde des dritten Mitgliedstaates unter der Voraussetzung weitergeben, dass diese Weitergabe im Einklang mit den in vorliegendem Artikel festgelegten Regeln und Verfahren erfolgt.</w:t>
      </w:r>
    </w:p>
    <w:p w14:paraId="00F21E4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37F7A2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[Ist die belgische zuständige Behörde der Ansicht, dass die von einer ausländischen zuständigen Behörde weitergegebenen Informationen für die in Absatz 3 genannten Zwecke verwendet werden können und dass diese Zwecke nicht in einer Mitteilung der zuständigen Behörde des Mitgliedstaates, von dem die Informationen stammen, angegeben worden sind, in der automatisch die Verwendung dieser Informationen für die von der belgischen zuständigen Behörde beabsichtigten Zwecke erlaubt wird, holt sie für diese Verwendung die Zustimmung der zuständigen Behörde des Mitgliedstaates ein, von dem die Informationen stammen.]</w:t>
      </w:r>
    </w:p>
    <w:p w14:paraId="2C7E228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FE893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Informationen, Berichte, Bescheinigungen und andere Schriftstücke oder beglaubigte Kopien von Schriftstücken oder Auszüge daraus, die die ersuchte Behörde erhalten und der ersuchenden belgischen zuständigen Behörde im Einklang mit vorliegendem Artikel übermittelt hat, werden von den belgischen zuständigen Behörden in gleicher Weise als Beweismittel verwendet wie entsprechende Informationen, Berichte, Bescheinigungen und andere Schriftstücke einer anderen belgischen Behörde.</w:t>
      </w:r>
    </w:p>
    <w:p w14:paraId="28E3522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3D3AB8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18 - Die belgische zuständige Behörde kann der Verwendung der gemäß vorliegendem Artikel übermittelten Informationen und Schriftstücke in dem Mitgliedstaat, der sie erhält, für andere als in § 17 Absatz 2 genannte Zwecke zustimmen. Die belgische zuständige Behörde erteilt die Zustimmung, wenn die Informationen in Belgien für ähnliche Zwecke verwendet werden können.</w:t>
      </w:r>
    </w:p>
    <w:p w14:paraId="5A67986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34EA32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übermittelt den zuständigen Behörden aller anderen Mitgliedstaaten gegebenenfalls eine Liste der anderen als in § 1 genannten Zwecke, für die Informationen und Schriftstücke gemäß ihrem nationalen Recht verwendet werden dürfen. Die zuständige Behörde, die Informationen und Schriftstücke erhält, darf die erhaltenen Informationen und Schriftstücke für die von der belgischen zuständigen Behörde aufgelisteten Zwecke ohne die in Absatz 1 genannte Zustimmung verwenden.]</w:t>
      </w:r>
    </w:p>
    <w:p w14:paraId="0AD4D83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76BA4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kann der Verwendung von Informationen, die aus Belgien stammen und die eine ausländische zuständige Behörde einer ausländischen zuständigen Behörde eines dritten Mitgliedstaates weitergegeben hat, in diesem dritten Mitgliedstaat für die in § 17 Absatz 3 genannten Zwecke zustimmen.</w:t>
      </w:r>
    </w:p>
    <w:p w14:paraId="3FD4ED8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6A9A65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19 - Vor dem in § 4 genannten Informationsersuchen muss die belgische zuständige Behörde die üblichen Informationsquellen ausgeschöpft haben, die sie unter den gegebenen Umständen zur Erlangung der erbetenen Informationen genutzt haben könnte, ohne die Erreichung ihres Ziels zu gefährden.</w:t>
      </w:r>
    </w:p>
    <w:p w14:paraId="156038D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7708D8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erteilt einer ausländischen zuständigen Behörde die Informationen gemäß § 5 unter der Voraussetzung, dass die ausländische zuständige Behörde die üblichen Informationsquellen ausgeschöpft hat, die sie unter den gegebenen Umständen zur Erlangung der erbetenen Informationen genutzt haben könnte, ohne die Erreichung ihres Ziels zu gefährden.</w:t>
      </w:r>
    </w:p>
    <w:p w14:paraId="23F1771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1717B8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20 - Die belgische zuständige Behörde ist nicht zu Ermittlungen oder zur Übermittlung von Informationen befugt, wenn die Durchführung solcher Ermittlungen beziehungsweise die Beschaffung der betreffenden Informationen durch Belgien für seine eigenen Zwecke mit seinen Rechtsvorschriften unvereinbar wäre.</w:t>
      </w:r>
    </w:p>
    <w:p w14:paraId="799DA8C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0611BA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kann die Übermittlung von Informationen ablehnen, wenn:</w:t>
      </w:r>
    </w:p>
    <w:p w14:paraId="186FE6E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7FA466C"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1. der ersuchende Mitgliedstaat seinerseits aus rechtlichen Gründen nicht zur Übermittlung entsprechender Informationen in der Lage ist,</w:t>
      </w:r>
    </w:p>
    <w:p w14:paraId="776C658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48043D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2. die Übermittlung zur Preisgabe eines Handels-, Gewerbe- oder Berufsgeheimnisses oder eines Geschäftsverfahrens führen würde oder wenn die Preisgabe der betreffenden Information die öffentliche Ordnung verletzen würde.</w:t>
      </w:r>
    </w:p>
    <w:p w14:paraId="17B7476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3A178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teilt der ersuchenden Behörde die Gründe mit, aus denen ein Auskunftsersuchen abgelehnt wurde.</w:t>
      </w:r>
    </w:p>
    <w:p w14:paraId="68A54DD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A8FD9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21 - Die belgische zuständige Behörde trifft die ihr zur Beschaffung von Informationen zur Verfügung stehenden Maßnahmen, um sich die erbetenen Informationen zu verschaffen, auch wenn sie solche Informationen möglicherweise nicht für eigene Steuerzwecke benötigt. Diese Verpflichtung gilt unbeschadet des Paragraphen 20 Absatz 1 und 2, der jedoch nicht so ausgelegt werden kann, dass sich Belgien darauf berufen kann, um die Bereitstellung der Informationen allein deshalb abzulehnen, weil es kein eigenes Interesse daran hat.</w:t>
      </w:r>
    </w:p>
    <w:p w14:paraId="761454D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0728D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Paragraph 20 Absatz 1 und 2 Nr. 2 ist in keinem Fall so auszulegen, dass die belgische zuständige Behörde die Erteilung von Informationen nur deshalb ablehnen kann, weil die Informationen sich bei einer Bank, einem sonstigen Finanzinstitut, einem Bevollmächtigten, Vertreter oder Treuhänder befinden oder sich auf Eigentumsanteile an einer Person beziehen.</w:t>
      </w:r>
    </w:p>
    <w:p w14:paraId="7EB6F2F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B9390F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Ungeachtet des Absatzes 2 kann die belgische zuständige Behörde die Übermittlung der erbetenen Informationen verweigern, wenn diese Informationen vor dem 1. Januar 2011 liegende Besteuerungszeiträume betreffen und wenn die Übermittlung dieser Informationen auf der Grundlage des Artikels 8 Absatz 1 der Richtlinie 77/799/EWG hätte verweigert werden können, falls vor dem 11. März 2011 um sie ersucht worden wäre.</w:t>
      </w:r>
    </w:p>
    <w:p w14:paraId="772C7C23"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A33DF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22 - Geht die belgische Behörde mit einem Drittland eine umfassendere Zusammenarbeit als in der Richtlinie vorgesehen ein, so kann sie es nicht ablehnen, mit anderen Mitgliedstaaten, die dies wünschen, eine solche umfassendere gegenseitige Zusammenarbeit einzugehen.</w:t>
      </w:r>
    </w:p>
    <w:p w14:paraId="118CA19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B1F0F0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23 - [Ersuchen um Informationen und behördliche Ermittlungen gemäß § 4 sowie Antworten gemäß § 5, Empfangsbestätigungen, Ersuchen um zusätzliche Hintergrundinformationen und Mitteilungen über das Unvermögen zur oder die Ablehnung der Erfüllung des Ersuchens gemäß § 5 werden soweit möglich mit Hilfe eines von der Kommission angenommenen Standardformblatts übermittelt. Dem Standardformblatt können Berichte, Bescheinigungen und andere Schriftstücke oder beglaubigte Kopien von Schriftstücken oder Auszüge daraus beigefügt werden.</w:t>
      </w:r>
    </w:p>
    <w:p w14:paraId="5190F66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149574F" w14:textId="1BB3855C"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Das Standardformblatt nach Absatz 1 beinhaltet zumindest die folgenden Informationen, die von der ersuchenden Behörde zu übermitteln sind:</w:t>
      </w:r>
    </w:p>
    <w:p w14:paraId="35A74AA4"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E7405B" w14:textId="510FDFE1"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die Bezeichnung der Person, der die Untersuchung oder Ermittlung gilt, und im Falle von Gruppenersuchen gemäß § 5/2 eine ausführliche Beschreibung der Gruppe,</w:t>
      </w:r>
    </w:p>
    <w:p w14:paraId="5B9CC789"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9FC2F0" w14:textId="690CA330"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den steuerlichen Zweck, zu dem die Informationen beantragt werden.</w:t>
      </w:r>
    </w:p>
    <w:p w14:paraId="140647CF"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FFD82C6" w14:textId="24DD4A39"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kann - soweit bekannt und im Einklang mit den Entwicklungen auf internationaler Ebene - Namen und Anschrift jeder Person, von der angenommen wird, dass sie über die gewünschten Informationen verfügt, wie auch jede Angabe übermitteln, die die Beschaffung von Informationen durch die ersuchte Behörde erleichtern könnte.</w:t>
      </w:r>
    </w:p>
    <w:p w14:paraId="4B8ED71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1DDB205" w14:textId="587521C1"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Der spontane Informationsaustausch und seine Bestätigung gemäß den Paragraphen 7 und 8, Zustellungsersuchen gemäß den Paragraphen 12 und 13, Rückmeldungen gemäß den Paragraphen 14 und 15 und Übermittlungen gemäß den Paragraphen 17 Absatz 2, 18 und 25 Absatz 2 erfolgen mit Hilfe des von der Kommission angenommenen Standardformblatts.</w:t>
      </w:r>
    </w:p>
    <w:p w14:paraId="7103338B"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DD5183" w14:textId="209CDA08"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Der automatische Informationsaustausch gemäß den Paragraphen 6 und 6/1 erfolgt über ein von der Kommission angenommenes elektronisches Standardformat, mit dem ein solcher automatischer Austausch erleichtert werden soll.]</w:t>
      </w:r>
    </w:p>
    <w:p w14:paraId="1F8CC55D"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67C5227"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24 - Die Informationsübermittlung im Rahmen des vorliegenden Artikels erfolgt soweit möglich auf elektronischem Wege mit Hilfe des CCN-Netzes.</w:t>
      </w:r>
    </w:p>
    <w:p w14:paraId="1A68AC6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AB16EE"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Ersuchen um Zusammenarbeit, einschließlich Zustellungsersuchen, und beigefügte Schriftstücke können in den Sprachen abgefasst werden, die zwischen der ersuchten und der ersuchenden Behörde vereinbart wurden. Solchen Ersuchen wird eine Übersetzung in eine der Amtssprachen Belgiens nur in besonderen Fällen beigefügt, sofern die belgische zuständige Behörde die Anforderung einer solchen Übersetzung begründet.</w:t>
      </w:r>
    </w:p>
    <w:p w14:paraId="0A9B79B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9980485"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[Damit das Erfordernis des automatischen Austauschs gemäß § 6/1 Nr. 1 und 2 erfüllt wird, werden die zu übermittelnden Informationen in einem sicheren Zentralverzeichnis der Mitgliedstaaten über die Zusammenarbeit der Verwaltungsbehörden im Bereich der Besteuerung erfasst, das bis zum 31. Dezember 2017 von der Kommission eingerichtet wird. Die belgischen zuständigen Behörden haben Zugang zu den in diesem Verzeichnis erfassten Informationen.</w:t>
      </w:r>
    </w:p>
    <w:p w14:paraId="27F222E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F31E7CA"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Bis dieses sichere Zentralverzeichnis funktionsfähig ist, erfolgt der in § 6/1 Nr. 1 und 2 genannte automatische Informationsaustausch gemäß Absatz 1 des vorliegenden Paragraphen und gemäß den einschlägigen praktischen Regelungen.]</w:t>
      </w:r>
    </w:p>
    <w:p w14:paraId="0895EB21"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A6A140C" w14:textId="3C65347B"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24/1 - Die zuständige belgische Behörde erteilt auf Antrag ausländischen Steuerbehörden die Angaben aus dem bei der Generalverwaltung Schatzamt geführten Register der wirtschaftlichen Eigentümer, UBO-Register genannt, das durch Artikel 73 des Gesetzes vom 18. September 2017 zur Verhinderung von Geldwäsche und Terrorismusfinanzierung und zur Beschränkung der Nutzung von Bargeld geschaffen worden ist, und Zugang zu den Mechanismen, Verfahren, Dokumenten und Informationen gemäß den Artikeln 13, 30, [31, 32a und 40] der Richtlinie (EU) 2015/849 des Europäischen Parlaments und des Rates vom 20. Mai 2015 zur Verhinderung der Nutzung des Finanzsystems zum Zwecke der Geldwäsche und der Terrorismusfinanzierung, zur Änderung der Verordnung (EU) Nr. 648/2012 des Europäischen Parlaments und des Rates und zur Aufhebung der Richtlinie 2005/60/EG des Europäischen Parlaments und des Rates und der Richtlinie 2006/70/EG der Kommission.]</w:t>
      </w:r>
    </w:p>
    <w:p w14:paraId="5290000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95CF2B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 25 - Erhält die belgische zuständige Behörde von einem Drittland Informationen, die für die Anwendung und Durchsetzung des belgischen Rechts über Einkommensteuern voraussichtlich erheblich sind, so kann diese Behörde diese Informationen - sofern dies aufgrund einer Vereinbarung mit dem betreffenden Drittland zulässig ist - den ausländischen zuständigen Behörden der Mitgliedstaaten, für die diese Informationen von Nutzen sein könnten, und allen ausländischen zuständigen Behörden, die darum ersuchen, zur Verfügung stellen.</w:t>
      </w:r>
    </w:p>
    <w:p w14:paraId="7DD833D6"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A49A58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Cs/>
          <w:sz w:val="20"/>
          <w:szCs w:val="20"/>
        </w:rPr>
        <w:t>Die belgische zuständige Behörde kann, im Einklang mit dem Gesetz vom 8. Dezember 1992 über den Schutz des Privatlebens hinsichtlich der Verarbeitung personenbezogener Daten und dem Gesetz vom 3. August 2012 zur Festlegung von Bestimmungen in Bezug auf die Verarbeitung personenbezogener Daten durch den Föderalen Öffentlichen Dienst Finanzen im Rahmen seiner Aufträge, die im Einklang mit vorliegendem Artikel erhaltenen Informationen an ein Drittland weitergeben, sofern alle folgenden Bedingungen erfüllt sind:</w:t>
      </w:r>
    </w:p>
    <w:p w14:paraId="266037F0"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44EAA6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a)</w:t>
      </w:r>
      <w:r w:rsidRPr="009118AB">
        <w:rPr>
          <w:iCs/>
          <w:sz w:val="20"/>
          <w:szCs w:val="20"/>
        </w:rPr>
        <w:t> Die ausländische zuständige Behörde des Mitgliedstaates, von dem die Informationen stammen, ist mit der Übermittlung einverstanden.</w:t>
      </w:r>
    </w:p>
    <w:p w14:paraId="68EB5448"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70D3077" w14:textId="119B28C8" w:rsidR="00237385"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118AB">
        <w:rPr>
          <w:i/>
          <w:iCs/>
          <w:sz w:val="20"/>
          <w:szCs w:val="20"/>
        </w:rPr>
        <w:t>b)</w:t>
      </w:r>
      <w:r w:rsidRPr="009118AB">
        <w:rPr>
          <w:iCs/>
          <w:sz w:val="20"/>
          <w:szCs w:val="20"/>
        </w:rPr>
        <w:t> Das betroffene Drittland hat sich zu der Zusammenarbeit verpflichtet, die für den Nachweis der Unregelmäßigkeit oder der Rechtswidrigkeit von mutmaßlich gegen die Steuervorschriften verstoßenden oder ihnen zuwiderlaufenden Transaktionen erforderlich ist.]</w:t>
      </w:r>
    </w:p>
    <w:p w14:paraId="44B7A982" w14:textId="77777777" w:rsidR="00F02BCD" w:rsidRDefault="00F02BCD"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3FAB438" w14:textId="1978BDEF" w:rsidR="00F02BCD" w:rsidRPr="00F02BCD" w:rsidRDefault="00F02BCD" w:rsidP="00F02BCD">
      <w:pPr>
        <w:jc w:val="both"/>
        <w:rPr>
          <w:sz w:val="20"/>
          <w:szCs w:val="20"/>
        </w:rPr>
      </w:pPr>
      <w:r w:rsidRPr="00F02BCD">
        <w:rPr>
          <w:iCs/>
          <w:sz w:val="20"/>
          <w:szCs w:val="20"/>
        </w:rPr>
        <w:t>[</w:t>
      </w:r>
      <w:r w:rsidRPr="00F02BCD">
        <w:rPr>
          <w:sz w:val="20"/>
          <w:szCs w:val="20"/>
        </w:rPr>
        <w:t>§ 26 - Meldende Finanzinstitute, Intermediäre, meldende Plattformbetreiber und die belgische zuständige Behörde gelten als für die Verarbeitung Verantwortliche, wenn sie allein oder gemeinsam über die Zwecke und Mittel der Verarbeitung personenbezogener Daten im Sinne der Verordnung (EU) 2016/679 des Europäischen Parlaments und des Rates vom 27. April 2016 zum Schutz natürlicher Personen bei der Verarbeitung personenbezogener Daten, zum freien Datenverkehr und zur Aufhebung der Richtlinie 95/46/EG entscheiden.</w:t>
      </w:r>
    </w:p>
    <w:p w14:paraId="13E08AE2" w14:textId="77777777" w:rsidR="00F02BCD" w:rsidRPr="00F02BCD" w:rsidRDefault="00F02BCD" w:rsidP="00F02BCD">
      <w:pPr>
        <w:jc w:val="both"/>
        <w:rPr>
          <w:sz w:val="20"/>
          <w:szCs w:val="20"/>
        </w:rPr>
      </w:pPr>
    </w:p>
    <w:p w14:paraId="283CBEF8" w14:textId="77777777" w:rsidR="00F02BCD" w:rsidRPr="00F02BCD" w:rsidRDefault="00F02BCD" w:rsidP="00F02BCD">
      <w:pPr>
        <w:jc w:val="both"/>
        <w:rPr>
          <w:sz w:val="20"/>
          <w:szCs w:val="20"/>
        </w:rPr>
      </w:pPr>
      <w:r w:rsidRPr="00F02BCD">
        <w:rPr>
          <w:sz w:val="20"/>
          <w:szCs w:val="20"/>
        </w:rPr>
        <w:t>Die belgische zuständige Behörde meldet der Kommission unverzüglich jede Verletzung des Datenschutzes und alle nachfolgenden Abhilfemaßnahmen.</w:t>
      </w:r>
    </w:p>
    <w:p w14:paraId="3D76F2C8" w14:textId="77777777" w:rsidR="00F02BCD" w:rsidRPr="00F02BCD" w:rsidRDefault="00F02BCD" w:rsidP="00F02BCD">
      <w:pPr>
        <w:jc w:val="both"/>
        <w:rPr>
          <w:sz w:val="20"/>
          <w:szCs w:val="20"/>
        </w:rPr>
      </w:pPr>
    </w:p>
    <w:p w14:paraId="174CAF76" w14:textId="77777777" w:rsidR="00F02BCD" w:rsidRPr="00F02BCD" w:rsidRDefault="00F02BCD" w:rsidP="00F02BCD">
      <w:pPr>
        <w:jc w:val="both"/>
        <w:rPr>
          <w:sz w:val="20"/>
          <w:szCs w:val="20"/>
        </w:rPr>
      </w:pPr>
      <w:r w:rsidRPr="00F02BCD">
        <w:rPr>
          <w:sz w:val="20"/>
          <w:szCs w:val="20"/>
        </w:rPr>
        <w:t>Die belgische zuständige Behörde kann den Informationsaustausch mit dem Mitgliedstaat beziehungsweise den Mitgliedstaaten, in dem beziehungsweise denen die Verletzung des Datenschutzes stattgefunden hat, aussetzen, indem sie dies der Kommission und jedem betroffenen Mitgliedstaat schriftlich mitteilt. Diese Aussetzung ist unmittelbar wirksam.</w:t>
      </w:r>
    </w:p>
    <w:p w14:paraId="73F3FC4F" w14:textId="77777777" w:rsidR="00F02BCD" w:rsidRPr="00F02BCD" w:rsidRDefault="00F02BCD" w:rsidP="00F02BCD">
      <w:pPr>
        <w:jc w:val="both"/>
        <w:rPr>
          <w:sz w:val="20"/>
          <w:szCs w:val="20"/>
        </w:rPr>
      </w:pPr>
    </w:p>
    <w:p w14:paraId="7223569C" w14:textId="77777777" w:rsidR="00F02BCD" w:rsidRPr="00F02BCD" w:rsidRDefault="00F02BCD" w:rsidP="00F02BCD">
      <w:pPr>
        <w:jc w:val="both"/>
        <w:rPr>
          <w:sz w:val="20"/>
          <w:szCs w:val="20"/>
        </w:rPr>
      </w:pPr>
      <w:r w:rsidRPr="00F02BCD">
        <w:rPr>
          <w:sz w:val="20"/>
          <w:szCs w:val="20"/>
        </w:rPr>
        <w:t>Im Falle einer Verletzung des Datenschutzes untersucht die belgische zuständige Behörde diese Verletzung, dämmt sie sie ein und schafft sie Abhilfe und beantragt sie durch schriftliche Nachricht an die Kommission die Aussetzung des Zugangs zum CCN-Netz für die Zwecke dieser Richtlinie, sofern die Datenschutzverletzung nicht umgehend und angemessen eingedämmt werden kann. Auf diesen Antrag hin setzt die Kommission den Zugang dieses Mitgliedstaates beziehungsweise dieser Mitgliedstaaten zum CCN-Netz für die Zwecke der Richtlinie aus.</w:t>
      </w:r>
    </w:p>
    <w:p w14:paraId="50BE9EE0" w14:textId="77777777" w:rsidR="00F02BCD" w:rsidRPr="00F02BCD" w:rsidRDefault="00F02BCD" w:rsidP="00F02BCD">
      <w:pPr>
        <w:jc w:val="both"/>
        <w:rPr>
          <w:sz w:val="20"/>
          <w:szCs w:val="20"/>
        </w:rPr>
      </w:pPr>
    </w:p>
    <w:p w14:paraId="3BE1C91F" w14:textId="77777777" w:rsidR="00F02BCD" w:rsidRPr="00F02BCD" w:rsidRDefault="00F02BCD" w:rsidP="00F02BCD">
      <w:pPr>
        <w:jc w:val="both"/>
        <w:rPr>
          <w:sz w:val="20"/>
          <w:szCs w:val="20"/>
        </w:rPr>
      </w:pPr>
      <w:r w:rsidRPr="00F02BCD">
        <w:rPr>
          <w:sz w:val="20"/>
          <w:szCs w:val="20"/>
        </w:rPr>
        <w:t>Die belgische zuständige Behörde meldet der Kommission im Falle einer Verletzung des Datenschutzes die Behebung dieser Verletzung. Wenn ein oder mehrere Mitgliedstaaten die Kommission ersuchen, gemeinsam zu überprüfen, ob die Behebung der Verletzung des Datenschutzes erfolgreich war, gewährt die Kommission dem betroffenen Mitgliedstaat beziehungsweise den betroffenen Mitgliedstaaten nach Abschluss der Überprüfung erneut Zugang zum CCN-Netz für die Zwecke der Richtlinie.</w:t>
      </w:r>
    </w:p>
    <w:p w14:paraId="5FED8A9E" w14:textId="77777777" w:rsidR="00F02BCD" w:rsidRPr="00F02BCD" w:rsidRDefault="00F02BCD" w:rsidP="00F02BCD">
      <w:pPr>
        <w:jc w:val="both"/>
        <w:rPr>
          <w:sz w:val="20"/>
          <w:szCs w:val="20"/>
        </w:rPr>
      </w:pPr>
    </w:p>
    <w:p w14:paraId="362F4FD9" w14:textId="36EBBFDE" w:rsidR="00F02BCD" w:rsidRPr="00F02BCD" w:rsidRDefault="00F02BCD" w:rsidP="00F02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F02BCD">
        <w:rPr>
          <w:sz w:val="20"/>
          <w:szCs w:val="20"/>
        </w:rPr>
        <w:t>Betrifft eine Verletzung des Datenschutzes das Zentralverzeichnis oder das CCN-Netz für die Zwecke dieser Richtlinie und könnte dies zu einer potenziellen Beeinträchtigung der Austauschvorgänge zwischen den Mitgliedstaaten über das CCN-Netz führen, so unterrichtet die Kommission die Mitgliedstaaten unverzüglich über die Verletzung des Datenschutzes sowie über alle ergriffenen Abhilfemaßnahmen. Diese Abhilfemaßnahmen können unter anderem die Aussetzung des Zugangs zum Zentralverzeichnis oder zum CCN-Netz für die Zwecke der Richtlinie umfassen, bis die Verletzung des Datenschutzes behoben ist.</w:t>
      </w:r>
      <w:r w:rsidRPr="00F02BCD">
        <w:rPr>
          <w:iCs/>
          <w:sz w:val="20"/>
          <w:szCs w:val="20"/>
        </w:rPr>
        <w:t>]</w:t>
      </w:r>
    </w:p>
    <w:p w14:paraId="400904B2" w14:textId="77777777" w:rsidR="00237385" w:rsidRPr="009118AB"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46AF8E" w14:textId="3F633E25" w:rsidR="00012B24" w:rsidRPr="009118AB" w:rsidRDefault="00237385" w:rsidP="0096528F">
      <w:pPr>
        <w:jc w:val="both"/>
        <w:rPr>
          <w:sz w:val="20"/>
          <w:szCs w:val="20"/>
        </w:rPr>
      </w:pPr>
      <w:r w:rsidRPr="009118AB">
        <w:rPr>
          <w:i/>
          <w:iCs/>
          <w:sz w:val="20"/>
          <w:szCs w:val="20"/>
        </w:rPr>
        <w:t xml:space="preserve">[Art. 338 ersetzt durch Art. 3 des G. vom 17. August 2013 (B.S. vom 5. September 2013) - wirksam mit 1. Januar 2013 -; § 2 einziger Absatz Nr. 11 ersetzt durch Art. 3 Nr. 1 des G. vom 31. Juli 2017 (I) (B.S. vom 11. August 2017); § 2 einziger Absatz Nr. 11 einziger Absatz Buchstabe a) und c) ersetzt durch Art. 11 Nr. 1 des G. vom </w:t>
      </w:r>
      <w:r w:rsidR="003365DD" w:rsidRPr="009118AB">
        <w:rPr>
          <w:i/>
          <w:iCs/>
          <w:sz w:val="20"/>
          <w:szCs w:val="20"/>
        </w:rPr>
        <w:t>21. Dezember 2022 (I)</w:t>
      </w:r>
      <w:r w:rsidRPr="009118AB">
        <w:rPr>
          <w:i/>
          <w:iCs/>
          <w:sz w:val="20"/>
          <w:szCs w:val="20"/>
        </w:rPr>
        <w:t xml:space="preserve"> (B.S. vom 30. Dezember 2022) - in Kraft am 1. Januar 2023 -; § 2 einziger Absatz Nr. 16 bis 20 eingefügt durch Art. 3 Nr. 2 des G. vom 31. Juli 2017 (I) (B.S. vom 11. August 2017); § 2 einziger Absatz Nr. 21 eingefügt durch Art. 17 Nr. 2 des G. vom 20. Dezember 2019 (B.S. vom 30. Dezember 2019) - in Kraft am 1. Juli 2020 -; § 2 einziger Absatz Nr. 22 und 23 eingefügt durch Art. 11 Nr. 2 des G. vom </w:t>
      </w:r>
      <w:r w:rsidR="003365DD" w:rsidRPr="009118AB">
        <w:rPr>
          <w:i/>
          <w:iCs/>
          <w:sz w:val="20"/>
          <w:szCs w:val="20"/>
        </w:rPr>
        <w:t>21. Dezember 2022 (I)</w:t>
      </w:r>
      <w:r w:rsidRPr="009118AB">
        <w:rPr>
          <w:i/>
          <w:iCs/>
          <w:sz w:val="20"/>
          <w:szCs w:val="20"/>
        </w:rPr>
        <w:t xml:space="preserve"> (B.S. vom 30. Dezember 2022) - in Kraft am 1. Januar 2023 -; § 5 Abs. 5 abgeändert durch Art. 11 Nr. 5 des G. vom </w:t>
      </w:r>
      <w:r w:rsidR="003365DD" w:rsidRPr="009118AB">
        <w:rPr>
          <w:i/>
          <w:iCs/>
          <w:sz w:val="20"/>
          <w:szCs w:val="20"/>
        </w:rPr>
        <w:t>21. Dezember 2022 (I)</w:t>
      </w:r>
      <w:r w:rsidRPr="009118AB">
        <w:rPr>
          <w:i/>
          <w:iCs/>
          <w:sz w:val="20"/>
          <w:szCs w:val="20"/>
        </w:rPr>
        <w:t xml:space="preserve"> (B.S. vom 30. Dezember 2022) - in Kraft am 1. Januar 2023 -; § 5 Abs. 8 abgeändert durch Art. 11 Nr. 6 des G. vom </w:t>
      </w:r>
      <w:r w:rsidR="003365DD" w:rsidRPr="009118AB">
        <w:rPr>
          <w:i/>
          <w:iCs/>
          <w:sz w:val="20"/>
          <w:szCs w:val="20"/>
        </w:rPr>
        <w:t>21. Dezember 2022 (I)</w:t>
      </w:r>
      <w:r w:rsidRPr="009118AB">
        <w:rPr>
          <w:i/>
          <w:iCs/>
          <w:sz w:val="20"/>
          <w:szCs w:val="20"/>
        </w:rPr>
        <w:t xml:space="preserve"> (B.S. vom 30. Dezember 2022) - in Kraft am 1. Januar 2023 -; § 5/1 eingefügt durch Art. 11 Nr. 3 des G. vom </w:t>
      </w:r>
      <w:r w:rsidR="003365DD" w:rsidRPr="009118AB">
        <w:rPr>
          <w:i/>
          <w:iCs/>
          <w:sz w:val="20"/>
          <w:szCs w:val="20"/>
        </w:rPr>
        <w:t>21. Dezember 2022 (I)</w:t>
      </w:r>
      <w:r w:rsidRPr="009118AB">
        <w:rPr>
          <w:i/>
          <w:iCs/>
          <w:sz w:val="20"/>
          <w:szCs w:val="20"/>
        </w:rPr>
        <w:t xml:space="preserve"> (B.S. vom 30. Dezember 2022) - in Kraft am 1. Januar 2023 -; § 5/2 eingefügt durch Art. 11 Nr. 4 des G. vom </w:t>
      </w:r>
      <w:r w:rsidR="003365DD" w:rsidRPr="009118AB">
        <w:rPr>
          <w:i/>
          <w:iCs/>
          <w:sz w:val="20"/>
          <w:szCs w:val="20"/>
        </w:rPr>
        <w:t>21. Dezember 2022 (I)</w:t>
      </w:r>
      <w:r w:rsidRPr="009118AB">
        <w:rPr>
          <w:i/>
          <w:iCs/>
          <w:sz w:val="20"/>
          <w:szCs w:val="20"/>
        </w:rPr>
        <w:t xml:space="preserve"> (B.S. vom 30. Dezember 2022) - in Kraft am 1. Januar 2023 -; § 6 Abs. 1 ersetzt durch Art. 11 Nr. 7 des G. vom </w:t>
      </w:r>
      <w:r w:rsidR="003365DD" w:rsidRPr="009118AB">
        <w:rPr>
          <w:i/>
          <w:iCs/>
          <w:sz w:val="20"/>
          <w:szCs w:val="20"/>
        </w:rPr>
        <w:t>21. Dezember 2022 (I)</w:t>
      </w:r>
      <w:r w:rsidRPr="009118AB">
        <w:rPr>
          <w:i/>
          <w:iCs/>
          <w:sz w:val="20"/>
          <w:szCs w:val="20"/>
        </w:rPr>
        <w:t xml:space="preserve"> (B.S. vom 30. Dezember 2022) - in Kraft am 1. Januar 2023 -; § 6 neue Absätze 2 und 3 eingefügt durch Art. 11 Nr. 7 des G. vom </w:t>
      </w:r>
      <w:r w:rsidR="003365DD" w:rsidRPr="009118AB">
        <w:rPr>
          <w:i/>
          <w:iCs/>
          <w:sz w:val="20"/>
          <w:szCs w:val="20"/>
        </w:rPr>
        <w:t>21. Dezember 2022 (I)</w:t>
      </w:r>
      <w:r w:rsidRPr="009118AB">
        <w:rPr>
          <w:i/>
          <w:iCs/>
          <w:sz w:val="20"/>
          <w:szCs w:val="20"/>
        </w:rPr>
        <w:t xml:space="preserve"> (B.S. vom 30. Dezember 2022) - in Kraft am 1. Januar 2023 -; § 6/1 eingefügt durch Art. 3 Nr. 3 des G. vom 31. Juli 2017 (I) (B.S. vom 11. August 2017); § 6/1 einziger Absatz Nr. 5 einziger Absatz Buchstabe a) ersetzt durch Art. 11 Nr. 8 des G. vom </w:t>
      </w:r>
      <w:r w:rsidR="003365DD" w:rsidRPr="009118AB">
        <w:rPr>
          <w:i/>
          <w:iCs/>
          <w:sz w:val="20"/>
          <w:szCs w:val="20"/>
        </w:rPr>
        <w:t>21. Dezember 2022 (I)</w:t>
      </w:r>
      <w:r w:rsidRPr="009118AB">
        <w:rPr>
          <w:i/>
          <w:iCs/>
          <w:sz w:val="20"/>
          <w:szCs w:val="20"/>
        </w:rPr>
        <w:t xml:space="preserve"> (B.S. vom 30. Dezember 2022) - in Kraft am 1. Januar 2023 -; § 6/1 einziger Absatz Nr. 6 einziger Absatz Buchstabe b) ersetzt durch Art. 11 Nr. 9 des G. vom </w:t>
      </w:r>
      <w:r w:rsidR="003365DD" w:rsidRPr="009118AB">
        <w:rPr>
          <w:i/>
          <w:iCs/>
          <w:sz w:val="20"/>
          <w:szCs w:val="20"/>
        </w:rPr>
        <w:t>21. Dezember 2022 (I)</w:t>
      </w:r>
      <w:r w:rsidRPr="009118AB">
        <w:rPr>
          <w:i/>
          <w:iCs/>
          <w:sz w:val="20"/>
          <w:szCs w:val="20"/>
        </w:rPr>
        <w:t xml:space="preserve"> (B.S. vom 30. Dezember 2022) - in Kraft am 1. Januar 2023 -; § 6/2 eingefügt durch Art. 3 Nr. 3 des G. vom 31. Juli 2017 (I) (B.S. vom 11. August 2017) und ersetzt durch Art. 11 Nr. 10 des G. vom </w:t>
      </w:r>
      <w:r w:rsidR="003365DD" w:rsidRPr="009118AB">
        <w:rPr>
          <w:i/>
          <w:iCs/>
          <w:sz w:val="20"/>
          <w:szCs w:val="20"/>
        </w:rPr>
        <w:t>21. Dezember 2022 (I)</w:t>
      </w:r>
      <w:r w:rsidRPr="009118AB">
        <w:rPr>
          <w:i/>
          <w:iCs/>
          <w:sz w:val="20"/>
          <w:szCs w:val="20"/>
        </w:rPr>
        <w:t xml:space="preserve"> (B.S. vom 30. Dezember 2022) - in Kraft am 1. Januar 2023 -; § 6/3 eingefügt durch Art. 3 Nr. 3 des G. vom 31. Juli 2017 (I) (B.S. vom 11. August 2017); § 6/4 eingefügt durch Art. 17 Nr. 3 des G. vom 20. Dezember 2019 (B.S. vom 30. Dezember 2019) - in Kraft am 1. Juli 2020 -; § 6/5 eingefügt durch Art. 11 Nr. 11 des G. vom </w:t>
      </w:r>
      <w:r w:rsidR="003365DD" w:rsidRPr="009118AB">
        <w:rPr>
          <w:i/>
          <w:iCs/>
          <w:sz w:val="20"/>
          <w:szCs w:val="20"/>
        </w:rPr>
        <w:t>21. Dezember 2022 (I)</w:t>
      </w:r>
      <w:r w:rsidRPr="009118AB">
        <w:rPr>
          <w:i/>
          <w:iCs/>
          <w:sz w:val="20"/>
          <w:szCs w:val="20"/>
        </w:rPr>
        <w:t xml:space="preserve"> (B.S. vom 30. Dezember 2022) - in Kraft am 1. Januar 2023 -; § 9 ersetzt durch Art. 11 Nr. 12 des G. vom </w:t>
      </w:r>
      <w:r w:rsidR="003365DD" w:rsidRPr="009118AB">
        <w:rPr>
          <w:i/>
          <w:iCs/>
          <w:sz w:val="20"/>
          <w:szCs w:val="20"/>
        </w:rPr>
        <w:t>21. Dezember 2022 (I)</w:t>
      </w:r>
      <w:r w:rsidRPr="009118AB">
        <w:rPr>
          <w:i/>
          <w:iCs/>
          <w:sz w:val="20"/>
          <w:szCs w:val="20"/>
        </w:rPr>
        <w:t xml:space="preserve"> (B.S. vom 30. Dezember 2022) - in Kraft am 1. Januar 2023 -; § 10 ersetzt durch Art. 11 Nr. 13 des G. vom </w:t>
      </w:r>
      <w:r w:rsidR="003365DD" w:rsidRPr="009118AB">
        <w:rPr>
          <w:i/>
          <w:iCs/>
          <w:sz w:val="20"/>
          <w:szCs w:val="20"/>
        </w:rPr>
        <w:t>21. Dezember 2022 (I)</w:t>
      </w:r>
      <w:r w:rsidRPr="009118AB">
        <w:rPr>
          <w:i/>
          <w:iCs/>
          <w:sz w:val="20"/>
          <w:szCs w:val="20"/>
        </w:rPr>
        <w:t xml:space="preserve"> (B.S. vom 30. Dezember 2022) - in Kraft am 1. Januar 2023 -; § 11 Abs. 3 abgeändert durch Art. 11 Nr. 14 des G. vom </w:t>
      </w:r>
      <w:r w:rsidR="003365DD" w:rsidRPr="009118AB">
        <w:rPr>
          <w:i/>
          <w:iCs/>
          <w:sz w:val="20"/>
          <w:szCs w:val="20"/>
        </w:rPr>
        <w:t>21. Dezember 2022 (I)</w:t>
      </w:r>
      <w:r w:rsidRPr="009118AB">
        <w:rPr>
          <w:i/>
          <w:iCs/>
          <w:sz w:val="20"/>
          <w:szCs w:val="20"/>
        </w:rPr>
        <w:t xml:space="preserve"> (B.S. vom 30. Dezember 2022) - in Kraft am 1. Januar 2023 -; § 11/1 eingefügt durch Art. 11 Nr. 15 des G. vom </w:t>
      </w:r>
      <w:r w:rsidR="003365DD" w:rsidRPr="009118AB">
        <w:rPr>
          <w:i/>
          <w:iCs/>
          <w:sz w:val="20"/>
          <w:szCs w:val="20"/>
        </w:rPr>
        <w:t>21. Dezember 2022 (I)</w:t>
      </w:r>
      <w:r w:rsidRPr="009118AB">
        <w:rPr>
          <w:i/>
          <w:iCs/>
          <w:sz w:val="20"/>
          <w:szCs w:val="20"/>
        </w:rPr>
        <w:t xml:space="preserve"> (B.S. vom 30. Dezember 2022) - in Kraft am 1. Januar 2023 -; § 11/2 eingefügt durch Art. 11 Nr. 16 des G. vom </w:t>
      </w:r>
      <w:r w:rsidR="003365DD" w:rsidRPr="009118AB">
        <w:rPr>
          <w:i/>
          <w:iCs/>
          <w:sz w:val="20"/>
          <w:szCs w:val="20"/>
        </w:rPr>
        <w:t>21. Dezember 2022 (I)</w:t>
      </w:r>
      <w:r w:rsidRPr="009118AB">
        <w:rPr>
          <w:i/>
          <w:iCs/>
          <w:sz w:val="20"/>
          <w:szCs w:val="20"/>
        </w:rPr>
        <w:t xml:space="preserve"> (B.S. vom 30. Dezember 2022) - in Kraft am 1. Januar 2023 -; </w:t>
      </w:r>
      <w:r w:rsidR="00B73E57" w:rsidRPr="009118AB">
        <w:rPr>
          <w:i/>
          <w:iCs/>
          <w:sz w:val="20"/>
          <w:szCs w:val="20"/>
        </w:rPr>
        <w:t>§ 12 Abs. 3 abgeändert durch Art. 30 des G. vom 26. Januar 2021 (B.S. vom 10. Februar 2021) - in Kraft am 1. Januar 2025 -</w:t>
      </w:r>
      <w:r w:rsidR="003D0E8A" w:rsidRPr="003D0E8A">
        <w:rPr>
          <w:i/>
          <w:iCs/>
          <w:sz w:val="20"/>
          <w:szCs w:val="20"/>
        </w:rPr>
        <w:t>, selbst aufgehoben durch Art. 213 des G. vom 12. Mai 2024 (B.S. vom 30. Mai 2024)</w:t>
      </w:r>
      <w:r w:rsidR="003D0E8A">
        <w:rPr>
          <w:i/>
          <w:iCs/>
          <w:sz w:val="20"/>
          <w:szCs w:val="20"/>
        </w:rPr>
        <w:t>, und durch Art. 30 Nr. 1</w:t>
      </w:r>
      <w:r w:rsidR="003D0E8A" w:rsidRPr="003D0E8A">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003D0E8A" w:rsidRPr="003D0E8A">
        <w:rPr>
          <w:i/>
          <w:iCs/>
          <w:sz w:val="20"/>
          <w:szCs w:val="20"/>
        </w:rPr>
        <w:t>-</w:t>
      </w:r>
      <w:r w:rsidR="00B73E57" w:rsidRPr="009118AB">
        <w:rPr>
          <w:i/>
          <w:iCs/>
          <w:sz w:val="20"/>
          <w:szCs w:val="20"/>
        </w:rPr>
        <w:t xml:space="preserve">; </w:t>
      </w:r>
      <w:r w:rsidRPr="009118AB">
        <w:rPr>
          <w:i/>
          <w:iCs/>
          <w:sz w:val="20"/>
          <w:szCs w:val="20"/>
        </w:rPr>
        <w:t xml:space="preserve">§ 17 Abs. 2 Nr. 1 ersetzt durch Art. 11 Nr. 17 des G. vom </w:t>
      </w:r>
      <w:r w:rsidR="003365DD" w:rsidRPr="009118AB">
        <w:rPr>
          <w:i/>
          <w:iCs/>
          <w:sz w:val="20"/>
          <w:szCs w:val="20"/>
        </w:rPr>
        <w:t>21. Dezember 2022 (I)</w:t>
      </w:r>
      <w:r w:rsidRPr="009118AB">
        <w:rPr>
          <w:i/>
          <w:iCs/>
          <w:sz w:val="20"/>
          <w:szCs w:val="20"/>
        </w:rPr>
        <w:t xml:space="preserve"> (B.S. vom 30. Dezember 2022) - in Kraft am 1. Januar 2023 -; § 17 Abs. 5 ersetzt durch Art. 11 Nr. 18 des G. vom </w:t>
      </w:r>
      <w:r w:rsidR="003365DD" w:rsidRPr="009118AB">
        <w:rPr>
          <w:i/>
          <w:iCs/>
          <w:sz w:val="20"/>
          <w:szCs w:val="20"/>
        </w:rPr>
        <w:t>21. Dezember 2022 (I)</w:t>
      </w:r>
      <w:r w:rsidRPr="009118AB">
        <w:rPr>
          <w:i/>
          <w:iCs/>
          <w:sz w:val="20"/>
          <w:szCs w:val="20"/>
        </w:rPr>
        <w:t xml:space="preserve"> (B.S. vom 30. Dezember 2022) - in Kraft am 1. Januar 2023 -; § 18 Abs. 2 ersetzt durch Art. 11 Nr. 19 des G. vom </w:t>
      </w:r>
      <w:r w:rsidR="003365DD" w:rsidRPr="009118AB">
        <w:rPr>
          <w:i/>
          <w:iCs/>
          <w:sz w:val="20"/>
          <w:szCs w:val="20"/>
        </w:rPr>
        <w:t>21. Dezember 2022 (I)</w:t>
      </w:r>
      <w:r w:rsidRPr="009118AB">
        <w:rPr>
          <w:i/>
          <w:iCs/>
          <w:sz w:val="20"/>
          <w:szCs w:val="20"/>
        </w:rPr>
        <w:t xml:space="preserve"> (B.S. vom 30. Dezember 2022) - in Kraft am 1. Januar 2023 -; § 23 ersetzt durch Art. 11 Nr. 20 des G. vom </w:t>
      </w:r>
      <w:r w:rsidR="003365DD" w:rsidRPr="009118AB">
        <w:rPr>
          <w:i/>
          <w:iCs/>
          <w:sz w:val="20"/>
          <w:szCs w:val="20"/>
        </w:rPr>
        <w:t>21. Dezember 2022 (I)</w:t>
      </w:r>
      <w:r w:rsidRPr="009118AB">
        <w:rPr>
          <w:i/>
          <w:iCs/>
          <w:sz w:val="20"/>
          <w:szCs w:val="20"/>
        </w:rPr>
        <w:t xml:space="preserve"> (B.S. vom 30. Dezember 2022) - in Kraft am 1. Januar 2023 -; § 24 Abs. 3 und 4 eingefügt durch Art. 3 Nr. 4 des G. vom 31. Juli 2017 (I) (B.S. vom 11. August 2017); § 24/1 eingefügt durch Art. 84 des G. vom 26. März 2018 (B.S. vom 30. März 2018) und abgeändert durch Art. 11 Nr. 21 des G. vom </w:t>
      </w:r>
      <w:r w:rsidR="003365DD" w:rsidRPr="009118AB">
        <w:rPr>
          <w:i/>
          <w:iCs/>
          <w:sz w:val="20"/>
          <w:szCs w:val="20"/>
        </w:rPr>
        <w:t>21. Dezember 2022 (I)</w:t>
      </w:r>
      <w:r w:rsidRPr="009118AB">
        <w:rPr>
          <w:i/>
          <w:iCs/>
          <w:sz w:val="20"/>
          <w:szCs w:val="20"/>
        </w:rPr>
        <w:t xml:space="preserve"> (B.S. vom 30. Dezember 2022) - in Kraft am 1. Januar 2023 -</w:t>
      </w:r>
      <w:r w:rsidR="0096528F">
        <w:rPr>
          <w:i/>
          <w:iCs/>
          <w:sz w:val="20"/>
          <w:szCs w:val="20"/>
        </w:rPr>
        <w:t xml:space="preserve">; </w:t>
      </w:r>
      <w:r w:rsidR="0096528F" w:rsidRPr="0096528F">
        <w:rPr>
          <w:i/>
          <w:iCs/>
          <w:sz w:val="20"/>
          <w:szCs w:val="20"/>
        </w:rPr>
        <w:t>§ 26 eingefügt</w:t>
      </w:r>
      <w:r w:rsidR="0096528F" w:rsidRPr="0096528F">
        <w:rPr>
          <w:rFonts w:ascii="Times New Roman Italique" w:eastAsia="Aptos" w:hAnsi="Times New Roman Italique"/>
          <w:i/>
          <w:iCs/>
          <w:sz w:val="20"/>
          <w:szCs w:val="20"/>
          <w:lang w:eastAsia="en-US"/>
        </w:rPr>
        <w:t xml:space="preserve"> durch Art. </w:t>
      </w:r>
      <w:r w:rsidR="00D833EB">
        <w:rPr>
          <w:rFonts w:ascii="Times New Roman Italique" w:eastAsia="Aptos" w:hAnsi="Times New Roman Italique"/>
          <w:i/>
          <w:iCs/>
          <w:sz w:val="20"/>
          <w:szCs w:val="20"/>
          <w:lang w:eastAsia="en-US"/>
        </w:rPr>
        <w:t>11</w:t>
      </w:r>
      <w:r w:rsidR="0096528F" w:rsidRPr="0096528F">
        <w:rPr>
          <w:rFonts w:ascii="Times New Roman Italique" w:eastAsia="Aptos" w:hAnsi="Times New Roman Italique"/>
          <w:i/>
          <w:iCs/>
          <w:sz w:val="20"/>
          <w:szCs w:val="20"/>
          <w:lang w:eastAsia="en-US"/>
        </w:rPr>
        <w:t xml:space="preserve"> des G. vom 20. Dezember 2024 (B.S. vom 31. Dezember 2024) - in Kraft am 31. Dezember 2024 -</w:t>
      </w:r>
      <w:r w:rsidR="00012B24" w:rsidRPr="009118AB">
        <w:rPr>
          <w:i/>
          <w:iCs/>
          <w:sz w:val="20"/>
          <w:szCs w:val="20"/>
        </w:rPr>
        <w:t>]</w:t>
      </w:r>
      <w:r w:rsidR="00012B24" w:rsidRPr="009118AB">
        <w:rPr>
          <w:iCs/>
          <w:sz w:val="20"/>
          <w:szCs w:val="20"/>
        </w:rPr>
        <w:t>"</w:t>
      </w:r>
    </w:p>
    <w:p w14:paraId="2BA8A1FE" w14:textId="3A40EF19" w:rsidR="00012B24" w:rsidRPr="009118AB" w:rsidRDefault="00012B24" w:rsidP="00012B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A9853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D6793CC" w14:textId="015D1F1B" w:rsidR="00477B8F" w:rsidRPr="009118AB"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477B8F" w:rsidRPr="009118AB">
        <w:t>[</w:t>
      </w:r>
      <w:r w:rsidR="00D67EB8" w:rsidRPr="009118AB">
        <w:rPr>
          <w:b/>
        </w:rPr>
        <w:t>Art. </w:t>
      </w:r>
      <w:r w:rsidR="00477B8F" w:rsidRPr="009118AB">
        <w:rPr>
          <w:b/>
        </w:rPr>
        <w:t>338</w:t>
      </w:r>
      <w:r w:rsidR="00477B8F" w:rsidRPr="009118AB">
        <w:rPr>
          <w:b/>
          <w:i/>
          <w:iCs/>
        </w:rPr>
        <w:t>bis</w:t>
      </w:r>
      <w:r w:rsidR="00D67EB8" w:rsidRPr="009118AB">
        <w:t> - </w:t>
      </w:r>
      <w:r w:rsidR="00477B8F" w:rsidRPr="009118AB">
        <w:t>[</w:t>
      </w:r>
      <w:r w:rsidR="00D67EB8" w:rsidRPr="009118AB">
        <w:t>§ </w:t>
      </w:r>
      <w:r w:rsidR="00477B8F" w:rsidRPr="009118AB">
        <w:t>1</w:t>
      </w:r>
      <w:r w:rsidR="00D67EB8" w:rsidRPr="009118AB">
        <w:t> - </w:t>
      </w:r>
      <w:r w:rsidR="00477B8F" w:rsidRPr="009118AB">
        <w:t xml:space="preserve">Vorliegender Artikel regelt die Auskunftserteilung im Rahmen </w:t>
      </w:r>
      <w:r w:rsidR="00FB4FAC" w:rsidRPr="009118AB">
        <w:t>[…]</w:t>
      </w:r>
      <w:r w:rsidR="00477B8F" w:rsidRPr="009118AB">
        <w:t xml:space="preserve"> der Richtlinie 2003/48/EG des Rates der Europäischen Union vom 3. Juni 2003 im Bereich der Besteuerung von Zinserträgen </w:t>
      </w:r>
      <w:r w:rsidR="00FB4FAC" w:rsidRPr="009118AB">
        <w:t>[…]</w:t>
      </w:r>
      <w:r w:rsidR="00477B8F" w:rsidRPr="009118AB">
        <w:t>.]</w:t>
      </w:r>
    </w:p>
    <w:p w14:paraId="199DE1A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E5EC9A" w14:textId="5C48C191" w:rsidR="00477B8F" w:rsidRPr="009118AB"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477B8F" w:rsidRPr="009118AB">
        <w:t>[</w:t>
      </w:r>
      <w:r w:rsidR="00D67EB8" w:rsidRPr="009118AB">
        <w:t>§ </w:t>
      </w:r>
      <w:r w:rsidR="00477B8F" w:rsidRPr="009118AB">
        <w:t>2]</w:t>
      </w:r>
      <w:r w:rsidR="00D67EB8" w:rsidRPr="009118AB">
        <w:t> - </w:t>
      </w:r>
      <w:r w:rsidR="00477B8F" w:rsidRPr="009118AB">
        <w:t xml:space="preserve">Wenn der wirtschaftliche Eigentümer von Zinsen seinen Wohnsitz in einem anderen Mitgliedstaat </w:t>
      </w:r>
      <w:r w:rsidR="00FB4FAC" w:rsidRPr="009118AB">
        <w:t xml:space="preserve">[oder in einem der abhängigen oder assoziierten Gebiete, mit denen eine Gegenseitigkeitsverpflichtung besteht,] </w:t>
      </w:r>
      <w:r w:rsidR="00477B8F" w:rsidRPr="009118AB">
        <w:t>hat, erteilt die Zahlstelle der für die Festlegung der Einkommensteuern zuständigen Verwaltung die vom König bestimmten Auskünfte.</w:t>
      </w:r>
    </w:p>
    <w:p w14:paraId="07B2A73E" w14:textId="77777777" w:rsidR="003712D8" w:rsidRPr="009118AB" w:rsidRDefault="003712D8" w:rsidP="00477B8F">
      <w:pPr>
        <w:autoSpaceDE w:val="0"/>
        <w:autoSpaceDN w:val="0"/>
        <w:adjustRightInd w:val="0"/>
      </w:pPr>
    </w:p>
    <w:p w14:paraId="6BC69A16" w14:textId="77777777" w:rsidR="00477B8F" w:rsidRPr="009118AB" w:rsidRDefault="002B0239" w:rsidP="00E35D52">
      <w:pPr>
        <w:autoSpaceDE w:val="0"/>
        <w:autoSpaceDN w:val="0"/>
        <w:adjustRightInd w:val="0"/>
        <w:jc w:val="both"/>
      </w:pPr>
      <w:r w:rsidRPr="009118AB">
        <w:tab/>
      </w:r>
      <w:r w:rsidR="00477B8F" w:rsidRPr="009118AB">
        <w:t>Die für die Festlegung der Einkommensteuern zuständige Verwaltung erteilt der zuständigen Behörde des Wohnsitzstaates des wirtschaftlichen Eigentümers die in Absatz 1 erwähnten Auskünfte.</w:t>
      </w:r>
    </w:p>
    <w:p w14:paraId="3D12306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DD7EDB4" w14:textId="77777777" w:rsidR="00477B8F" w:rsidRPr="009118AB"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477B8F" w:rsidRPr="009118AB">
        <w:t>Die Auskünfte werden mindestens einmal jährlich automatisch erteilt, und zwar binnen sechs Monaten nach Ablauf jedes Kalenderjahres für sämtliche während dieses Jahres erfolgten Zinszahlungen. Der König bestimmt die Modalitäten dieser Auskunftserteilung.</w:t>
      </w:r>
    </w:p>
    <w:p w14:paraId="5FC7101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2C2474E" w14:textId="77777777" w:rsidR="00477B8F" w:rsidRPr="009118AB"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477B8F" w:rsidRPr="009118AB">
        <w:t>Für die Anwendung des vorliegenden Artikels bestimmt der König:</w:t>
      </w:r>
    </w:p>
    <w:p w14:paraId="2236779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E95D5D0" w14:textId="77777777" w:rsidR="00477B8F" w:rsidRPr="009118AB"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477B8F" w:rsidRPr="009118AB">
        <w:t>- was unter wirtschaftlichem Eigentümer, Zinsen und Zahlstelle zu verstehen ist,</w:t>
      </w:r>
    </w:p>
    <w:p w14:paraId="753841C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A3FAE55" w14:textId="77777777" w:rsidR="00477B8F" w:rsidRPr="009118AB"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477B8F" w:rsidRPr="009118AB">
        <w:t>- die Modalitäten zur Festlegung von Identität und Wohnsitz des wirtschaftlichen Eigentümers.</w:t>
      </w:r>
    </w:p>
    <w:p w14:paraId="480FBA4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E6A6055" w14:textId="45335062" w:rsidR="00477B8F" w:rsidRPr="009118AB"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477B8F" w:rsidRPr="009118AB">
        <w:t>[</w:t>
      </w:r>
      <w:r w:rsidR="00D67EB8" w:rsidRPr="009118AB">
        <w:t>§ </w:t>
      </w:r>
      <w:r w:rsidR="00477B8F" w:rsidRPr="009118AB">
        <w:t>3]</w:t>
      </w:r>
      <w:r w:rsidR="00D67EB8" w:rsidRPr="009118AB">
        <w:t> - </w:t>
      </w:r>
      <w:r w:rsidR="00FB4FAC" w:rsidRPr="009118AB">
        <w:t>[…]</w:t>
      </w:r>
    </w:p>
    <w:p w14:paraId="71FE603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6BEE950" w14:textId="6F0575CB" w:rsidR="00477B8F" w:rsidRPr="009118AB"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477B8F" w:rsidRPr="009118AB">
        <w:t>[</w:t>
      </w:r>
      <w:r w:rsidR="00D67EB8" w:rsidRPr="009118AB">
        <w:t>§ </w:t>
      </w:r>
      <w:r w:rsidR="00477B8F" w:rsidRPr="009118AB">
        <w:t>4]</w:t>
      </w:r>
      <w:r w:rsidR="00D67EB8" w:rsidRPr="009118AB">
        <w:t> - </w:t>
      </w:r>
      <w:r w:rsidR="00FB4FAC" w:rsidRPr="009118AB">
        <w:t>[..</w:t>
      </w:r>
      <w:r w:rsidR="00477B8F" w:rsidRPr="009118AB">
        <w:t>.</w:t>
      </w:r>
      <w:r w:rsidR="00FB4FAC" w:rsidRPr="009118AB">
        <w:t>]</w:t>
      </w:r>
      <w:r w:rsidR="00477B8F" w:rsidRPr="009118AB">
        <w:t>]</w:t>
      </w:r>
    </w:p>
    <w:p w14:paraId="2509844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925101A" w14:textId="14401FC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118AB">
        <w:rPr>
          <w:i/>
          <w:iCs/>
        </w:rPr>
        <w:t>[</w:t>
      </w:r>
      <w:r w:rsidR="00D67EB8" w:rsidRPr="009118AB">
        <w:rPr>
          <w:i/>
          <w:iCs/>
        </w:rPr>
        <w:t>Art. </w:t>
      </w:r>
      <w:r w:rsidRPr="009118AB">
        <w:rPr>
          <w:i/>
          <w:iCs/>
        </w:rPr>
        <w:t xml:space="preserve">338bis eingefügt durch </w:t>
      </w:r>
      <w:r w:rsidR="00D67EB8" w:rsidRPr="009118AB">
        <w:rPr>
          <w:i/>
          <w:iCs/>
        </w:rPr>
        <w:t>Art. </w:t>
      </w:r>
      <w:r w:rsidRPr="009118AB">
        <w:rPr>
          <w:i/>
          <w:iCs/>
        </w:rPr>
        <w:t>1</w:t>
      </w:r>
      <w:r w:rsidR="002B0239" w:rsidRPr="009118AB">
        <w:rPr>
          <w:i/>
          <w:iCs/>
        </w:rPr>
        <w:t>3</w:t>
      </w:r>
      <w:r w:rsidRPr="009118AB">
        <w:rPr>
          <w:i/>
          <w:iCs/>
        </w:rPr>
        <w:t xml:space="preserve"> des G. vom 17. Mai 2004 (III) (B.S. vom 27. Mai 2004)</w:t>
      </w:r>
      <w:r w:rsidR="00D67EB8" w:rsidRPr="009118AB">
        <w:rPr>
          <w:i/>
          <w:iCs/>
        </w:rPr>
        <w:t> - § </w:t>
      </w:r>
      <w:r w:rsidR="00863305" w:rsidRPr="009118AB">
        <w:rPr>
          <w:i/>
          <w:iCs/>
        </w:rPr>
        <w:t xml:space="preserve">2 Absatz 1 bis 3 </w:t>
      </w:r>
      <w:r w:rsidR="00C81473" w:rsidRPr="009118AB">
        <w:rPr>
          <w:i/>
          <w:iCs/>
        </w:rPr>
        <w:t>anwendbar</w:t>
      </w:r>
      <w:r w:rsidR="00863305" w:rsidRPr="009118AB">
        <w:rPr>
          <w:i/>
          <w:iCs/>
        </w:rPr>
        <w:t xml:space="preserve"> auf die ab dem 1. Januar 2010 </w:t>
      </w:r>
      <w:r w:rsidR="00C81473" w:rsidRPr="009118AB">
        <w:rPr>
          <w:i/>
          <w:iCs/>
        </w:rPr>
        <w:t>geleiste</w:t>
      </w:r>
      <w:r w:rsidR="00863305" w:rsidRPr="009118AB">
        <w:rPr>
          <w:i/>
          <w:iCs/>
        </w:rPr>
        <w:t xml:space="preserve">ten oder </w:t>
      </w:r>
      <w:r w:rsidR="00C81473" w:rsidRPr="009118AB">
        <w:rPr>
          <w:i/>
          <w:iCs/>
        </w:rPr>
        <w:t>eingezogen</w:t>
      </w:r>
      <w:r w:rsidR="00863305" w:rsidRPr="009118AB">
        <w:rPr>
          <w:i/>
          <w:iCs/>
        </w:rPr>
        <w:t>en Zinszahlungen</w:t>
      </w:r>
      <w:r w:rsidR="003366D9" w:rsidRPr="009118AB">
        <w:rPr>
          <w:i/>
          <w:iCs/>
        </w:rPr>
        <w:t> -;</w:t>
      </w:r>
      <w:r w:rsidRPr="009118AB">
        <w:rPr>
          <w:i/>
          <w:iCs/>
        </w:rPr>
        <w:t xml:space="preserve"> neuer Paragraph 1 eingefügt durch </w:t>
      </w:r>
      <w:r w:rsidR="00D67EB8" w:rsidRPr="009118AB">
        <w:rPr>
          <w:i/>
          <w:iCs/>
        </w:rPr>
        <w:t>Art. </w:t>
      </w:r>
      <w:r w:rsidRPr="009118AB">
        <w:rPr>
          <w:i/>
          <w:iCs/>
        </w:rPr>
        <w:t xml:space="preserve">3 </w:t>
      </w:r>
      <w:r w:rsidR="00D67EB8" w:rsidRPr="009118AB">
        <w:rPr>
          <w:i/>
          <w:iCs/>
        </w:rPr>
        <w:t>Nr. </w:t>
      </w:r>
      <w:r w:rsidRPr="009118AB">
        <w:rPr>
          <w:i/>
          <w:iCs/>
        </w:rPr>
        <w:t>1 des G. vom 20. Juni 2005 (B.S. vom 24. Juni 2005)</w:t>
      </w:r>
      <w:r w:rsidR="00FB4FAC" w:rsidRPr="009118AB">
        <w:rPr>
          <w:i/>
          <w:iCs/>
        </w:rPr>
        <w:t xml:space="preserve"> und abgeändert durch </w:t>
      </w:r>
      <w:r w:rsidR="00D67EB8" w:rsidRPr="009118AB">
        <w:rPr>
          <w:i/>
          <w:iCs/>
        </w:rPr>
        <w:t>Art. </w:t>
      </w:r>
      <w:r w:rsidR="00FB4FAC" w:rsidRPr="009118AB">
        <w:rPr>
          <w:i/>
          <w:iCs/>
        </w:rPr>
        <w:t xml:space="preserve">17 </w:t>
      </w:r>
      <w:r w:rsidR="00D67EB8" w:rsidRPr="009118AB">
        <w:rPr>
          <w:i/>
          <w:iCs/>
        </w:rPr>
        <w:t>Nr. </w:t>
      </w:r>
      <w:r w:rsidR="00FB4FAC" w:rsidRPr="009118AB">
        <w:rPr>
          <w:i/>
          <w:iCs/>
        </w:rPr>
        <w:t>1 des G. vom 21. Dezember 2009 (B.S. vom 31. Dezember 2009)</w:t>
      </w:r>
      <w:r w:rsidR="00D67EB8" w:rsidRPr="009118AB">
        <w:rPr>
          <w:i/>
          <w:iCs/>
        </w:rPr>
        <w:t> - </w:t>
      </w:r>
      <w:r w:rsidR="00FB4FAC" w:rsidRPr="009118AB">
        <w:rPr>
          <w:i/>
          <w:iCs/>
        </w:rPr>
        <w:t>in Kraft am 1. Januar 2010</w:t>
      </w:r>
      <w:r w:rsidR="003366D9" w:rsidRPr="009118AB">
        <w:rPr>
          <w:i/>
          <w:iCs/>
        </w:rPr>
        <w:t> -;</w:t>
      </w:r>
      <w:r w:rsidRPr="009118AB">
        <w:rPr>
          <w:i/>
          <w:iCs/>
        </w:rPr>
        <w:t xml:space="preserve"> früherer Paragraph 1 umnummeriert zu </w:t>
      </w:r>
      <w:r w:rsidR="00D67EB8" w:rsidRPr="009118AB">
        <w:rPr>
          <w:i/>
          <w:iCs/>
        </w:rPr>
        <w:t>§ </w:t>
      </w:r>
      <w:r w:rsidRPr="009118AB">
        <w:rPr>
          <w:i/>
          <w:iCs/>
        </w:rPr>
        <w:t xml:space="preserve">2 durch </w:t>
      </w:r>
      <w:r w:rsidR="00D67EB8" w:rsidRPr="009118AB">
        <w:rPr>
          <w:i/>
          <w:iCs/>
        </w:rPr>
        <w:t>Art. </w:t>
      </w:r>
      <w:r w:rsidRPr="009118AB">
        <w:rPr>
          <w:i/>
          <w:iCs/>
        </w:rPr>
        <w:t xml:space="preserve">3 </w:t>
      </w:r>
      <w:r w:rsidR="00D67EB8" w:rsidRPr="009118AB">
        <w:rPr>
          <w:i/>
          <w:iCs/>
        </w:rPr>
        <w:t>Nr. </w:t>
      </w:r>
      <w:r w:rsidRPr="009118AB">
        <w:rPr>
          <w:i/>
          <w:iCs/>
        </w:rPr>
        <w:t>2 des G. vom 20. Juni 2005 (B.S. vom 24. Juni 2005);</w:t>
      </w:r>
      <w:r w:rsidR="00FB4FAC" w:rsidRPr="009118AB">
        <w:rPr>
          <w:i/>
          <w:iCs/>
        </w:rPr>
        <w:t xml:space="preserve"> </w:t>
      </w:r>
      <w:r w:rsidR="00D67EB8" w:rsidRPr="009118AB">
        <w:rPr>
          <w:i/>
          <w:iCs/>
        </w:rPr>
        <w:t>§ </w:t>
      </w:r>
      <w:r w:rsidR="00FB4FAC" w:rsidRPr="009118AB">
        <w:rPr>
          <w:i/>
          <w:iCs/>
        </w:rPr>
        <w:t xml:space="preserve">2 </w:t>
      </w:r>
      <w:r w:rsidR="00D67EB8" w:rsidRPr="009118AB">
        <w:rPr>
          <w:i/>
          <w:iCs/>
        </w:rPr>
        <w:t>Abs. </w:t>
      </w:r>
      <w:r w:rsidR="00FB4FAC" w:rsidRPr="009118AB">
        <w:rPr>
          <w:i/>
          <w:iCs/>
        </w:rPr>
        <w:t xml:space="preserve">1 abgeändert durch </w:t>
      </w:r>
      <w:r w:rsidR="00D67EB8" w:rsidRPr="009118AB">
        <w:rPr>
          <w:i/>
          <w:iCs/>
        </w:rPr>
        <w:t>Art. </w:t>
      </w:r>
      <w:r w:rsidR="00FB4FAC" w:rsidRPr="009118AB">
        <w:rPr>
          <w:i/>
          <w:iCs/>
        </w:rPr>
        <w:t xml:space="preserve">17 </w:t>
      </w:r>
      <w:r w:rsidR="00D67EB8" w:rsidRPr="009118AB">
        <w:rPr>
          <w:i/>
          <w:iCs/>
        </w:rPr>
        <w:t>Nr. </w:t>
      </w:r>
      <w:r w:rsidR="00FB4FAC" w:rsidRPr="009118AB">
        <w:rPr>
          <w:i/>
          <w:iCs/>
        </w:rPr>
        <w:t>2 des G. vom 21. Dezember 2009 (B.S. vom 31. Dezember 2009)</w:t>
      </w:r>
      <w:r w:rsidR="00D67EB8" w:rsidRPr="009118AB">
        <w:rPr>
          <w:i/>
          <w:iCs/>
        </w:rPr>
        <w:t> - </w:t>
      </w:r>
      <w:r w:rsidR="00FB4FAC" w:rsidRPr="009118AB">
        <w:rPr>
          <w:i/>
          <w:iCs/>
        </w:rPr>
        <w:t>in Kraft am 1. Januar 2010</w:t>
      </w:r>
      <w:r w:rsidR="003366D9" w:rsidRPr="009118AB">
        <w:rPr>
          <w:i/>
          <w:iCs/>
        </w:rPr>
        <w:t> -;</w:t>
      </w:r>
      <w:r w:rsidRPr="009118AB">
        <w:rPr>
          <w:i/>
          <w:iCs/>
        </w:rPr>
        <w:t xml:space="preserve"> früherer Paragraph 2 umnummeriert zu </w:t>
      </w:r>
      <w:r w:rsidR="00D67EB8" w:rsidRPr="009118AB">
        <w:rPr>
          <w:i/>
          <w:iCs/>
        </w:rPr>
        <w:t>§ </w:t>
      </w:r>
      <w:r w:rsidRPr="009118AB">
        <w:rPr>
          <w:i/>
          <w:iCs/>
        </w:rPr>
        <w:t xml:space="preserve">3 durch </w:t>
      </w:r>
      <w:r w:rsidR="00D67EB8" w:rsidRPr="009118AB">
        <w:rPr>
          <w:i/>
          <w:iCs/>
        </w:rPr>
        <w:t>Art. </w:t>
      </w:r>
      <w:r w:rsidRPr="009118AB">
        <w:rPr>
          <w:i/>
          <w:iCs/>
        </w:rPr>
        <w:t xml:space="preserve">3 </w:t>
      </w:r>
      <w:r w:rsidR="00D67EB8" w:rsidRPr="009118AB">
        <w:rPr>
          <w:i/>
          <w:iCs/>
        </w:rPr>
        <w:t>Nr. </w:t>
      </w:r>
      <w:r w:rsidRPr="009118AB">
        <w:rPr>
          <w:i/>
          <w:iCs/>
        </w:rPr>
        <w:t>2 des G. vom 20. Juni 2005 (B.S. vom 24. Juni 2005)</w:t>
      </w:r>
      <w:r w:rsidR="00FB4FAC" w:rsidRPr="009118AB">
        <w:rPr>
          <w:i/>
          <w:iCs/>
        </w:rPr>
        <w:t xml:space="preserve"> und aufgehoben durch </w:t>
      </w:r>
      <w:r w:rsidR="00D67EB8" w:rsidRPr="009118AB">
        <w:rPr>
          <w:i/>
          <w:iCs/>
        </w:rPr>
        <w:t>Art. </w:t>
      </w:r>
      <w:r w:rsidR="00FB4FAC" w:rsidRPr="009118AB">
        <w:rPr>
          <w:i/>
          <w:iCs/>
        </w:rPr>
        <w:t xml:space="preserve">17 </w:t>
      </w:r>
      <w:r w:rsidR="00D67EB8" w:rsidRPr="009118AB">
        <w:rPr>
          <w:i/>
          <w:iCs/>
        </w:rPr>
        <w:t>Nr. </w:t>
      </w:r>
      <w:r w:rsidR="00FB4FAC" w:rsidRPr="009118AB">
        <w:rPr>
          <w:i/>
          <w:iCs/>
        </w:rPr>
        <w:t>3 des G.</w:t>
      </w:r>
      <w:r w:rsidR="002B0239" w:rsidRPr="009118AB">
        <w:rPr>
          <w:i/>
          <w:iCs/>
        </w:rPr>
        <w:t> </w:t>
      </w:r>
      <w:r w:rsidR="00FB4FAC" w:rsidRPr="009118AB">
        <w:rPr>
          <w:i/>
          <w:iCs/>
        </w:rPr>
        <w:t xml:space="preserve">vom 21. Dezember 2009 (B.S. vom </w:t>
      </w:r>
      <w:r w:rsidR="00FB4FAC" w:rsidRPr="009118AB">
        <w:rPr>
          <w:i/>
          <w:iCs/>
          <w:spacing w:val="-2"/>
        </w:rPr>
        <w:t>31. Dezember 2009)</w:t>
      </w:r>
      <w:r w:rsidR="00D67EB8" w:rsidRPr="009118AB">
        <w:rPr>
          <w:i/>
          <w:iCs/>
          <w:spacing w:val="-2"/>
        </w:rPr>
        <w:t> - </w:t>
      </w:r>
      <w:r w:rsidR="00FB4FAC" w:rsidRPr="009118AB">
        <w:rPr>
          <w:i/>
          <w:iCs/>
          <w:spacing w:val="-2"/>
        </w:rPr>
        <w:t>in Kraft am 1. Januar 2010</w:t>
      </w:r>
      <w:r w:rsidR="003366D9" w:rsidRPr="009118AB">
        <w:rPr>
          <w:i/>
          <w:iCs/>
          <w:spacing w:val="-2"/>
        </w:rPr>
        <w:t> -;</w:t>
      </w:r>
      <w:r w:rsidRPr="009118AB">
        <w:rPr>
          <w:i/>
          <w:iCs/>
          <w:spacing w:val="-2"/>
        </w:rPr>
        <w:t xml:space="preserve"> früherer Paragraph 3 umnummeriert zu </w:t>
      </w:r>
      <w:r w:rsidR="00D67EB8" w:rsidRPr="009118AB">
        <w:rPr>
          <w:i/>
          <w:iCs/>
          <w:spacing w:val="-2"/>
        </w:rPr>
        <w:t>§ </w:t>
      </w:r>
      <w:r w:rsidRPr="009118AB">
        <w:rPr>
          <w:i/>
          <w:iCs/>
          <w:spacing w:val="-2"/>
        </w:rPr>
        <w:t xml:space="preserve">4 durch </w:t>
      </w:r>
      <w:r w:rsidR="00D67EB8" w:rsidRPr="009118AB">
        <w:rPr>
          <w:i/>
          <w:iCs/>
          <w:spacing w:val="-2"/>
        </w:rPr>
        <w:t>Art. </w:t>
      </w:r>
      <w:r w:rsidRPr="009118AB">
        <w:rPr>
          <w:i/>
          <w:iCs/>
          <w:spacing w:val="-2"/>
        </w:rPr>
        <w:t xml:space="preserve">3 </w:t>
      </w:r>
      <w:r w:rsidR="00D67EB8" w:rsidRPr="009118AB">
        <w:rPr>
          <w:i/>
          <w:iCs/>
          <w:spacing w:val="-2"/>
        </w:rPr>
        <w:t>Nr. </w:t>
      </w:r>
      <w:r w:rsidRPr="009118AB">
        <w:rPr>
          <w:i/>
          <w:iCs/>
          <w:spacing w:val="-2"/>
        </w:rPr>
        <w:t>2 des G. vom 20. Juni 2005 (B.S.</w:t>
      </w:r>
      <w:r w:rsidR="002B0239" w:rsidRPr="009118AB">
        <w:rPr>
          <w:i/>
          <w:iCs/>
          <w:spacing w:val="-2"/>
        </w:rPr>
        <w:t> </w:t>
      </w:r>
      <w:r w:rsidRPr="009118AB">
        <w:rPr>
          <w:i/>
          <w:iCs/>
          <w:spacing w:val="-2"/>
        </w:rPr>
        <w:t>vom 24. Juni 2005)</w:t>
      </w:r>
      <w:r w:rsidR="00D67EB8" w:rsidRPr="009118AB">
        <w:rPr>
          <w:i/>
          <w:iCs/>
          <w:spacing w:val="-2"/>
        </w:rPr>
        <w:t> - </w:t>
      </w:r>
      <w:r w:rsidRPr="009118AB">
        <w:rPr>
          <w:i/>
          <w:iCs/>
          <w:spacing w:val="-2"/>
        </w:rPr>
        <w:t>in Kraft ab dem 24. Juni 2005</w:t>
      </w:r>
      <w:r w:rsidR="00D67EB8" w:rsidRPr="009118AB">
        <w:rPr>
          <w:i/>
          <w:iCs/>
          <w:spacing w:val="-2"/>
        </w:rPr>
        <w:t> - </w:t>
      </w:r>
      <w:r w:rsidR="00FB4FAC" w:rsidRPr="009118AB">
        <w:rPr>
          <w:i/>
          <w:iCs/>
          <w:spacing w:val="-2"/>
        </w:rPr>
        <w:t xml:space="preserve">und aufgehoben durch </w:t>
      </w:r>
      <w:r w:rsidR="00D67EB8" w:rsidRPr="009118AB">
        <w:rPr>
          <w:i/>
          <w:iCs/>
          <w:spacing w:val="-2"/>
        </w:rPr>
        <w:t>Art. </w:t>
      </w:r>
      <w:r w:rsidR="00FB4FAC" w:rsidRPr="009118AB">
        <w:rPr>
          <w:i/>
          <w:iCs/>
          <w:spacing w:val="-2"/>
        </w:rPr>
        <w:t xml:space="preserve">17 </w:t>
      </w:r>
      <w:r w:rsidR="00D67EB8" w:rsidRPr="009118AB">
        <w:rPr>
          <w:i/>
          <w:iCs/>
          <w:spacing w:val="-2"/>
        </w:rPr>
        <w:t>Nr. </w:t>
      </w:r>
      <w:r w:rsidR="00FB4FAC" w:rsidRPr="009118AB">
        <w:rPr>
          <w:i/>
          <w:iCs/>
          <w:spacing w:val="-2"/>
        </w:rPr>
        <w:t>3 des G. vom 21. Dezember 2009 (B.S. vom 31. Dezember 2009)</w:t>
      </w:r>
      <w:r w:rsidR="00D67EB8" w:rsidRPr="009118AB">
        <w:rPr>
          <w:i/>
          <w:iCs/>
          <w:spacing w:val="-2"/>
        </w:rPr>
        <w:t> - </w:t>
      </w:r>
      <w:r w:rsidR="00FB4FAC" w:rsidRPr="009118AB">
        <w:rPr>
          <w:i/>
          <w:iCs/>
          <w:spacing w:val="-2"/>
        </w:rPr>
        <w:t>in Kraft am 1. Januar 2010</w:t>
      </w:r>
      <w:r w:rsidR="00FD68E8" w:rsidRPr="009118AB">
        <w:rPr>
          <w:i/>
          <w:iCs/>
          <w:spacing w:val="-2"/>
        </w:rPr>
        <w:t> -]</w:t>
      </w:r>
    </w:p>
    <w:p w14:paraId="1DE7B400" w14:textId="77777777" w:rsidR="006512AC" w:rsidRPr="009118AB"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5CF135E5" w14:textId="77777777" w:rsidR="006512AC" w:rsidRPr="009118AB"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2CAD807D" w14:textId="6810B2B1" w:rsidR="006512AC" w:rsidRPr="009118AB"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118AB">
        <w:rPr>
          <w:spacing w:val="-2"/>
        </w:rPr>
        <w:tab/>
        <w:t>[</w:t>
      </w:r>
      <w:r w:rsidR="00D67EB8" w:rsidRPr="009118AB">
        <w:rPr>
          <w:b/>
          <w:bCs/>
        </w:rPr>
        <w:t>Art. </w:t>
      </w:r>
      <w:r w:rsidRPr="009118AB">
        <w:rPr>
          <w:b/>
          <w:bCs/>
        </w:rPr>
        <w:t>338</w:t>
      </w:r>
      <w:r w:rsidRPr="009118AB">
        <w:rPr>
          <w:b/>
          <w:bCs/>
          <w:i/>
        </w:rPr>
        <w:t>ter</w:t>
      </w:r>
      <w:r w:rsidR="00D67EB8" w:rsidRPr="009118AB">
        <w:rPr>
          <w:i/>
        </w:rPr>
        <w:t> - </w:t>
      </w:r>
      <w:r w:rsidRPr="009118AB">
        <w:t xml:space="preserve">Um die in Artikel 338 </w:t>
      </w:r>
      <w:r w:rsidR="00D67EB8" w:rsidRPr="009118AB">
        <w:t>§ </w:t>
      </w:r>
      <w:r w:rsidRPr="009118AB">
        <w:t>24/1 erwähnten Angaben an die zuständigen ausländischen Behörden und die zuständigen Behörden von Drittländern entsprechend der Rechtsgrundlage übermitteln zu können, durch die der Austausch von Informationen zwischen Belgien und Drittländern auf der Grundlage der Gegenseitigkeit geregelt wird, können die vorerwähnten Angaben von der belgischen zuständigen Behörde gemäß den Artikeln 30 Absatz 2 und 31 Absatz 7 der Richtlinie (EU) 2015/849 ohne Einschränkung bei den gemäß vorerwähnter Richtlinie meldepflichtigen Körperschaften angefordert werden, die diese Anga</w:t>
      </w:r>
      <w:r w:rsidRPr="009118AB">
        <w:softHyphen/>
        <w:t>ben binnen einer Frist von einem Monat ab dem Ersuchen an die belgische zuständige Behörde übermitteln müssen.</w:t>
      </w:r>
      <w:r w:rsidRPr="009118AB">
        <w:rPr>
          <w:spacing w:val="-2"/>
        </w:rPr>
        <w:t>]</w:t>
      </w:r>
    </w:p>
    <w:p w14:paraId="1726FD46" w14:textId="77777777" w:rsidR="006512AC" w:rsidRPr="009118AB"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4DCF334E" w14:textId="32C149B7" w:rsidR="006512AC" w:rsidRPr="009118AB"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118AB">
        <w:rPr>
          <w:i/>
          <w:iCs/>
          <w:spacing w:val="-2"/>
        </w:rPr>
        <w:t>[</w:t>
      </w:r>
      <w:r w:rsidR="00D67EB8" w:rsidRPr="009118AB">
        <w:rPr>
          <w:i/>
          <w:iCs/>
          <w:spacing w:val="-2"/>
        </w:rPr>
        <w:t>Art. </w:t>
      </w:r>
      <w:r w:rsidRPr="009118AB">
        <w:rPr>
          <w:i/>
          <w:iCs/>
          <w:spacing w:val="-2"/>
        </w:rPr>
        <w:t xml:space="preserve">338ter eingefügt durch </w:t>
      </w:r>
      <w:r w:rsidR="00D67EB8" w:rsidRPr="009118AB">
        <w:rPr>
          <w:i/>
          <w:iCs/>
          <w:spacing w:val="-2"/>
        </w:rPr>
        <w:t>Art. </w:t>
      </w:r>
      <w:r w:rsidRPr="009118AB">
        <w:rPr>
          <w:i/>
          <w:iCs/>
          <w:spacing w:val="-2"/>
        </w:rPr>
        <w:t>27 des G. vom 11. Februar 2019 (B.S. vom 22. März 2020)]</w:t>
      </w:r>
    </w:p>
    <w:p w14:paraId="5A52CDEA" w14:textId="77777777" w:rsidR="0041690E" w:rsidRPr="009118AB" w:rsidRDefault="0041690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6632A7F2" w14:textId="4061DE08" w:rsidR="0041690E" w:rsidRPr="009118AB" w:rsidRDefault="0041690E">
      <w:pPr>
        <w:rPr>
          <w:spacing w:val="-2"/>
        </w:rPr>
      </w:pPr>
      <w:r w:rsidRPr="009118AB">
        <w:rPr>
          <w:spacing w:val="-2"/>
        </w:rPr>
        <w:br w:type="page"/>
      </w:r>
    </w:p>
    <w:p w14:paraId="058FC10F" w14:textId="278D5419" w:rsidR="0041690E" w:rsidRPr="009118AB" w:rsidRDefault="0041690E"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t>[</w:t>
      </w:r>
      <w:r w:rsidRPr="009118AB">
        <w:rPr>
          <w:rFonts w:eastAsia="Calibri"/>
          <w:i/>
          <w:iCs/>
          <w:kern w:val="2"/>
          <w:szCs w:val="22"/>
          <w:lang w:eastAsia="en-US"/>
          <w14:ligatures w14:val="standardContextual"/>
        </w:rPr>
        <w:t>Abschnitt 8</w:t>
      </w:r>
      <w:r w:rsidR="00D67EB8" w:rsidRPr="009118AB">
        <w:rPr>
          <w:rFonts w:eastAsia="Calibri"/>
          <w:kern w:val="2"/>
          <w:szCs w:val="22"/>
          <w:lang w:eastAsia="en-US"/>
          <w14:ligatures w14:val="standardContextual"/>
        </w:rPr>
        <w:t> - </w:t>
      </w:r>
      <w:r w:rsidRPr="009118AB">
        <w:rPr>
          <w:rFonts w:eastAsia="Calibri"/>
          <w:kern w:val="2"/>
          <w:szCs w:val="22"/>
          <w:lang w:eastAsia="en-US"/>
          <w14:ligatures w14:val="standardContextual"/>
        </w:rPr>
        <w:t>Zuerkennung der Eigenschaft eines Gerichtspolizeioffiziers, Hilfsbeamter des Prokurators des Königs</w:t>
      </w:r>
      <w:r w:rsidRPr="009118AB">
        <w:t>]</w:t>
      </w:r>
    </w:p>
    <w:p w14:paraId="48A31E11" w14:textId="77777777" w:rsidR="0041690E" w:rsidRPr="009118AB" w:rsidRDefault="0041690E"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F1C1179" w14:textId="4010654F" w:rsidR="0041690E" w:rsidRPr="009118AB" w:rsidRDefault="0041690E"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 xml:space="preserve">[Unterteilung Abschnitt 8 eingefügt durch </w:t>
      </w:r>
      <w:r w:rsidR="00D67EB8" w:rsidRPr="009118AB">
        <w:rPr>
          <w:i/>
          <w:iCs/>
        </w:rPr>
        <w:t>Art. </w:t>
      </w:r>
      <w:r w:rsidR="0006720F" w:rsidRPr="009118AB">
        <w:rPr>
          <w:i/>
          <w:iCs/>
        </w:rPr>
        <w:t>10 des G. vom 17. März 2022 (B.S. vom 25. März 2022)</w:t>
      </w:r>
      <w:r w:rsidR="00D67EB8" w:rsidRPr="009118AB">
        <w:rPr>
          <w:i/>
          <w:iCs/>
        </w:rPr>
        <w:t> - </w:t>
      </w:r>
      <w:r w:rsidR="0006720F" w:rsidRPr="009118AB">
        <w:rPr>
          <w:i/>
          <w:iCs/>
        </w:rPr>
        <w:t>in Kraft am 1. Juli 2022</w:t>
      </w:r>
      <w:r w:rsidR="00FD68E8" w:rsidRPr="009118AB">
        <w:rPr>
          <w:i/>
          <w:iCs/>
        </w:rPr>
        <w:t> -]</w:t>
      </w:r>
    </w:p>
    <w:p w14:paraId="4E0C7069" w14:textId="77777777" w:rsidR="0006720F" w:rsidRPr="009118AB" w:rsidRDefault="0006720F"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3C3A42C9" w14:textId="77777777" w:rsidR="0006720F" w:rsidRPr="009118AB" w:rsidRDefault="0006720F"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13627298" w14:textId="4A85310A" w:rsidR="0006720F" w:rsidRPr="009118AB" w:rsidRDefault="0006720F" w:rsidP="0006720F">
      <w:pPr>
        <w:ind w:firstLine="708"/>
        <w:jc w:val="both"/>
        <w:rPr>
          <w:rFonts w:eastAsia="Calibri"/>
          <w:kern w:val="2"/>
          <w:lang w:eastAsia="en-US"/>
          <w14:ligatures w14:val="standardContextual"/>
        </w:rPr>
      </w:pPr>
      <w:r w:rsidRPr="009118AB">
        <w:tab/>
        <w:t>[</w:t>
      </w:r>
      <w:r w:rsidR="00D67EB8" w:rsidRPr="009118AB">
        <w:rPr>
          <w:rFonts w:eastAsia="Calibri"/>
          <w:b/>
          <w:bCs/>
          <w:kern w:val="2"/>
          <w:szCs w:val="22"/>
          <w:lang w:eastAsia="en-US"/>
          <w14:ligatures w14:val="standardContextual"/>
        </w:rPr>
        <w:t>Art. </w:t>
      </w:r>
      <w:r w:rsidRPr="009118AB">
        <w:rPr>
          <w:rFonts w:eastAsia="Calibri"/>
          <w:b/>
          <w:bCs/>
          <w:kern w:val="2"/>
          <w:szCs w:val="22"/>
          <w:lang w:eastAsia="en-US"/>
          <w14:ligatures w14:val="standardContextual"/>
        </w:rPr>
        <w:t>338</w:t>
      </w:r>
      <w:r w:rsidRPr="009118AB">
        <w:rPr>
          <w:rFonts w:eastAsia="Calibri"/>
          <w:b/>
          <w:bCs/>
          <w:i/>
          <w:iCs/>
          <w:kern w:val="2"/>
          <w:szCs w:val="22"/>
          <w:lang w:eastAsia="en-US"/>
          <w14:ligatures w14:val="standardContextual"/>
        </w:rPr>
        <w:t>quater</w:t>
      </w:r>
      <w:r w:rsidR="00D67EB8" w:rsidRPr="009118AB">
        <w:rPr>
          <w:rFonts w:eastAsia="Calibri"/>
          <w:kern w:val="2"/>
          <w:szCs w:val="22"/>
          <w:lang w:eastAsia="en-US"/>
          <w14:ligatures w14:val="standardContextual"/>
        </w:rPr>
        <w:t> - § </w:t>
      </w:r>
      <w:r w:rsidRPr="009118AB">
        <w:rPr>
          <w:rFonts w:eastAsia="Calibri"/>
          <w:kern w:val="2"/>
          <w:szCs w:val="22"/>
          <w:lang w:eastAsia="en-US"/>
          <w14:ligatures w14:val="standardContextual"/>
        </w:rPr>
        <w:t>1 ­ Die Eigenschaft eines Gerichtspolizeioffiziers, Hilfsbeamter des Prokurators des Königs, wird fünfundzwanzig Steuerbeamten mit mindestens dem Dienstgrad eines Attachés verliehen.</w:t>
      </w:r>
    </w:p>
    <w:p w14:paraId="42D2ED29" w14:textId="77777777" w:rsidR="0006720F" w:rsidRPr="009118AB" w:rsidRDefault="0006720F" w:rsidP="0006720F">
      <w:pPr>
        <w:jc w:val="both"/>
        <w:rPr>
          <w:rFonts w:eastAsia="Calibri"/>
          <w:kern w:val="2"/>
          <w:lang w:eastAsia="en-US"/>
          <w14:ligatures w14:val="standardContextual"/>
        </w:rPr>
      </w:pPr>
    </w:p>
    <w:p w14:paraId="30E123B9" w14:textId="77777777" w:rsidR="0006720F" w:rsidRPr="009118AB" w:rsidRDefault="0006720F" w:rsidP="0006720F">
      <w:pPr>
        <w:ind w:firstLine="708"/>
        <w:jc w:val="both"/>
        <w:rPr>
          <w:rFonts w:eastAsia="Calibri"/>
          <w:kern w:val="2"/>
          <w:lang w:eastAsia="en-US"/>
          <w14:ligatures w14:val="standardContextual"/>
        </w:rPr>
      </w:pPr>
      <w:r w:rsidRPr="009118AB">
        <w:rPr>
          <w:rFonts w:eastAsia="Calibri"/>
          <w:kern w:val="2"/>
          <w:szCs w:val="22"/>
          <w:lang w:eastAsia="en-US"/>
          <w14:ligatures w14:val="standardContextual"/>
        </w:rPr>
        <w:t>Die Anzahl von fünfundzwanzig Steuerbeamten kann vom König nach Stellungnahme des Kollegiums der Generalprokuratoren erhöht werden.</w:t>
      </w:r>
    </w:p>
    <w:p w14:paraId="48244447" w14:textId="77777777" w:rsidR="0006720F" w:rsidRPr="009118AB" w:rsidRDefault="0006720F" w:rsidP="0006720F">
      <w:pPr>
        <w:jc w:val="both"/>
        <w:rPr>
          <w:rFonts w:eastAsia="Calibri"/>
          <w:kern w:val="2"/>
          <w:lang w:eastAsia="en-US"/>
          <w14:ligatures w14:val="standardContextual"/>
        </w:rPr>
      </w:pPr>
    </w:p>
    <w:p w14:paraId="325C29FE" w14:textId="77777777" w:rsidR="0006720F" w:rsidRPr="009118AB" w:rsidRDefault="0006720F" w:rsidP="0006720F">
      <w:pPr>
        <w:ind w:firstLine="708"/>
        <w:jc w:val="both"/>
        <w:rPr>
          <w:rFonts w:eastAsia="Calibri"/>
          <w:kern w:val="2"/>
          <w:lang w:eastAsia="en-US"/>
          <w14:ligatures w14:val="standardContextual"/>
        </w:rPr>
      </w:pPr>
      <w:r w:rsidRPr="009118AB">
        <w:rPr>
          <w:rFonts w:eastAsia="Calibri"/>
          <w:kern w:val="2"/>
          <w:szCs w:val="22"/>
          <w:lang w:eastAsia="en-US"/>
          <w14:ligatures w14:val="standardContextual"/>
        </w:rPr>
        <w:t>Der König kann die Bedingungen in Bezug auf Erfahrung und Ausbildung dieser Steuerbeamten bestimmen.</w:t>
      </w:r>
    </w:p>
    <w:p w14:paraId="14C3B2B8" w14:textId="77777777" w:rsidR="0006720F" w:rsidRPr="009118AB" w:rsidRDefault="0006720F" w:rsidP="0006720F">
      <w:pPr>
        <w:jc w:val="both"/>
        <w:rPr>
          <w:rFonts w:eastAsia="Calibri"/>
          <w:kern w:val="2"/>
          <w:lang w:eastAsia="en-US"/>
          <w14:ligatures w14:val="standardContextual"/>
        </w:rPr>
      </w:pPr>
    </w:p>
    <w:p w14:paraId="32ABEE39" w14:textId="7800D97A" w:rsidR="0006720F" w:rsidRPr="009118AB" w:rsidRDefault="00D67EB8" w:rsidP="0006720F">
      <w:pPr>
        <w:ind w:firstLine="708"/>
        <w:jc w:val="both"/>
        <w:rPr>
          <w:rFonts w:eastAsia="Calibri"/>
          <w:kern w:val="2"/>
          <w:lang w:eastAsia="en-US"/>
          <w14:ligatures w14:val="standardContextual"/>
        </w:rPr>
      </w:pPr>
      <w:r w:rsidRPr="009118AB">
        <w:rPr>
          <w:rFonts w:eastAsia="Calibri"/>
          <w:kern w:val="2"/>
          <w:szCs w:val="22"/>
          <w:lang w:eastAsia="en-US"/>
          <w14:ligatures w14:val="standardContextual"/>
        </w:rPr>
        <w:t>§ </w:t>
      </w:r>
      <w:r w:rsidR="0006720F" w:rsidRPr="009118AB">
        <w:rPr>
          <w:rFonts w:eastAsia="Calibri"/>
          <w:kern w:val="2"/>
          <w:szCs w:val="22"/>
          <w:lang w:eastAsia="en-US"/>
          <w14:ligatures w14:val="standardContextual"/>
        </w:rPr>
        <w:t>2</w:t>
      </w:r>
      <w:r w:rsidRPr="009118AB">
        <w:rPr>
          <w:rFonts w:eastAsia="Calibri"/>
          <w:kern w:val="2"/>
          <w:szCs w:val="22"/>
          <w:lang w:eastAsia="en-US"/>
          <w14:ligatures w14:val="standardContextual"/>
        </w:rPr>
        <w:t> - </w:t>
      </w:r>
      <w:r w:rsidR="0006720F" w:rsidRPr="009118AB">
        <w:rPr>
          <w:rFonts w:eastAsia="Calibri"/>
          <w:kern w:val="2"/>
          <w:szCs w:val="22"/>
          <w:lang w:eastAsia="en-US"/>
          <w14:ligatures w14:val="standardContextual"/>
        </w:rPr>
        <w:t xml:space="preserve">Die Befugnisse eines Gerichtspolizeioffiziers, Hilfsbeamter des Prokurators des Königs, die den in </w:t>
      </w:r>
      <w:r w:rsidRPr="009118AB">
        <w:rPr>
          <w:rFonts w:eastAsia="Calibri"/>
          <w:kern w:val="2"/>
          <w:szCs w:val="22"/>
          <w:lang w:eastAsia="en-US"/>
          <w14:ligatures w14:val="standardContextual"/>
        </w:rPr>
        <w:t>§ </w:t>
      </w:r>
      <w:r w:rsidR="0006720F" w:rsidRPr="009118AB">
        <w:rPr>
          <w:rFonts w:eastAsia="Calibri"/>
          <w:kern w:val="2"/>
          <w:szCs w:val="22"/>
          <w:lang w:eastAsia="en-US"/>
          <w14:ligatures w14:val="standardContextual"/>
        </w:rPr>
        <w:t xml:space="preserve">1 erwähnten Steuerbeamten erteilt werden, können nur im Hinblick auf die Ermittlung und die Feststellung der in vorliegendem Gesetzbuch oder in seinen Ausführungserlassen oder in Artikel 505 des Strafgesetzbuches erwähnten Verstöße ausgeübt werden, die vorrangig, aber nicht ausschließlich auf die Bekämpfung der organisierten Kriminalität ausgerichtet sind, und insofern diese Beamten gemischte multidisziplinäre Ermittlungsteams unterstützen, die auf der Grundlage von Artikel 105 </w:t>
      </w:r>
      <w:r w:rsidRPr="009118AB">
        <w:rPr>
          <w:rFonts w:eastAsia="Calibri"/>
          <w:kern w:val="2"/>
          <w:szCs w:val="22"/>
          <w:lang w:eastAsia="en-US"/>
          <w14:ligatures w14:val="standardContextual"/>
        </w:rPr>
        <w:t>§ </w:t>
      </w:r>
      <w:r w:rsidR="0006720F" w:rsidRPr="009118AB">
        <w:rPr>
          <w:rFonts w:eastAsia="Calibri"/>
          <w:kern w:val="2"/>
          <w:szCs w:val="22"/>
          <w:lang w:eastAsia="en-US"/>
          <w14:ligatures w14:val="standardContextual"/>
        </w:rPr>
        <w:t>11 des Gesetzes vom 7. Dezember 1998 zur Organisation eines auf zwei Ebenen strukturierten integrierten Polizeidienstes gebildet werden.</w:t>
      </w:r>
    </w:p>
    <w:p w14:paraId="08DECF16" w14:textId="77777777" w:rsidR="0006720F" w:rsidRPr="009118AB" w:rsidRDefault="0006720F" w:rsidP="0006720F">
      <w:pPr>
        <w:jc w:val="both"/>
        <w:rPr>
          <w:rFonts w:eastAsia="Calibri"/>
          <w:kern w:val="2"/>
          <w:lang w:eastAsia="en-US"/>
          <w14:ligatures w14:val="standardContextual"/>
        </w:rPr>
      </w:pPr>
    </w:p>
    <w:p w14:paraId="66BB3251" w14:textId="5B5520AF" w:rsidR="0006720F" w:rsidRPr="009118AB" w:rsidRDefault="00D67EB8" w:rsidP="0006720F">
      <w:pPr>
        <w:ind w:firstLine="708"/>
        <w:jc w:val="both"/>
        <w:rPr>
          <w:rFonts w:eastAsia="Calibri"/>
          <w:kern w:val="2"/>
          <w:lang w:eastAsia="en-US"/>
          <w14:ligatures w14:val="standardContextual"/>
        </w:rPr>
      </w:pPr>
      <w:r w:rsidRPr="009118AB">
        <w:rPr>
          <w:rFonts w:eastAsia="Calibri"/>
          <w:kern w:val="2"/>
          <w:szCs w:val="22"/>
          <w:lang w:eastAsia="en-US"/>
          <w14:ligatures w14:val="standardContextual"/>
        </w:rPr>
        <w:t>§ </w:t>
      </w:r>
      <w:r w:rsidR="0006720F" w:rsidRPr="009118AB">
        <w:rPr>
          <w:rFonts w:eastAsia="Calibri"/>
          <w:kern w:val="2"/>
          <w:szCs w:val="22"/>
          <w:lang w:eastAsia="en-US"/>
          <w14:ligatures w14:val="standardContextual"/>
        </w:rPr>
        <w:t>3</w:t>
      </w:r>
      <w:r w:rsidRPr="009118AB">
        <w:rPr>
          <w:rFonts w:eastAsia="Calibri"/>
          <w:kern w:val="2"/>
          <w:szCs w:val="22"/>
          <w:lang w:eastAsia="en-US"/>
          <w14:ligatures w14:val="standardContextual"/>
        </w:rPr>
        <w:t> - </w:t>
      </w:r>
      <w:r w:rsidR="0006720F" w:rsidRPr="009118AB">
        <w:rPr>
          <w:rFonts w:eastAsia="Calibri"/>
          <w:kern w:val="2"/>
          <w:szCs w:val="22"/>
          <w:lang w:eastAsia="en-US"/>
          <w14:ligatures w14:val="standardContextual"/>
        </w:rPr>
        <w:t xml:space="preserve">Die in </w:t>
      </w:r>
      <w:r w:rsidRPr="009118AB">
        <w:rPr>
          <w:rFonts w:eastAsia="Calibri"/>
          <w:kern w:val="2"/>
          <w:szCs w:val="22"/>
          <w:lang w:eastAsia="en-US"/>
          <w14:ligatures w14:val="standardContextual"/>
        </w:rPr>
        <w:t>§ </w:t>
      </w:r>
      <w:r w:rsidR="0006720F" w:rsidRPr="009118AB">
        <w:rPr>
          <w:rFonts w:eastAsia="Calibri"/>
          <w:kern w:val="2"/>
          <w:szCs w:val="22"/>
          <w:lang w:eastAsia="en-US"/>
          <w14:ligatures w14:val="standardContextual"/>
        </w:rPr>
        <w:t xml:space="preserve">1 erwähnten Beamten dürfen ein gemischtes multidisziplinäres Ermittlungsteam jedoch nicht unterstützen, falls sie an einer laufenden administrativen Untersuchung beteiligt sind, auf die sich die in </w:t>
      </w:r>
      <w:r w:rsidRPr="009118AB">
        <w:rPr>
          <w:rFonts w:eastAsia="Calibri"/>
          <w:kern w:val="2"/>
          <w:szCs w:val="22"/>
          <w:lang w:eastAsia="en-US"/>
          <w14:ligatures w14:val="standardContextual"/>
        </w:rPr>
        <w:t>§ </w:t>
      </w:r>
      <w:r w:rsidR="0006720F" w:rsidRPr="009118AB">
        <w:rPr>
          <w:rFonts w:eastAsia="Calibri"/>
          <w:kern w:val="2"/>
          <w:szCs w:val="22"/>
          <w:lang w:eastAsia="en-US"/>
          <w14:ligatures w14:val="standardContextual"/>
        </w:rPr>
        <w:t>2 erwähnte Untersuchung bezieht.</w:t>
      </w:r>
    </w:p>
    <w:p w14:paraId="36863786" w14:textId="77777777" w:rsidR="0006720F" w:rsidRPr="009118AB" w:rsidRDefault="0006720F" w:rsidP="0006720F">
      <w:pPr>
        <w:jc w:val="both"/>
        <w:rPr>
          <w:rFonts w:eastAsia="Calibri"/>
          <w:kern w:val="2"/>
          <w:lang w:eastAsia="en-US"/>
          <w14:ligatures w14:val="standardContextual"/>
        </w:rPr>
      </w:pPr>
    </w:p>
    <w:p w14:paraId="560CF14F" w14:textId="3326A039" w:rsidR="0006720F" w:rsidRPr="009118AB" w:rsidRDefault="00D67EB8" w:rsidP="0006720F">
      <w:pPr>
        <w:ind w:firstLine="708"/>
        <w:jc w:val="both"/>
        <w:rPr>
          <w:rFonts w:eastAsia="Calibri"/>
          <w:kern w:val="2"/>
          <w:lang w:eastAsia="en-US"/>
          <w14:ligatures w14:val="standardContextual"/>
        </w:rPr>
      </w:pPr>
      <w:r w:rsidRPr="009118AB">
        <w:rPr>
          <w:rFonts w:eastAsia="Calibri"/>
          <w:kern w:val="2"/>
          <w:szCs w:val="22"/>
          <w:lang w:eastAsia="en-US"/>
          <w14:ligatures w14:val="standardContextual"/>
        </w:rPr>
        <w:t>§ </w:t>
      </w:r>
      <w:r w:rsidR="0006720F" w:rsidRPr="009118AB">
        <w:rPr>
          <w:rFonts w:eastAsia="Calibri"/>
          <w:kern w:val="2"/>
          <w:szCs w:val="22"/>
          <w:lang w:eastAsia="en-US"/>
          <w14:ligatures w14:val="standardContextual"/>
        </w:rPr>
        <w:t>4</w:t>
      </w:r>
      <w:r w:rsidRPr="009118AB">
        <w:rPr>
          <w:rFonts w:eastAsia="Calibri"/>
          <w:kern w:val="2"/>
          <w:szCs w:val="22"/>
          <w:lang w:eastAsia="en-US"/>
          <w14:ligatures w14:val="standardContextual"/>
        </w:rPr>
        <w:t> - </w:t>
      </w:r>
      <w:r w:rsidR="0006720F" w:rsidRPr="009118AB">
        <w:rPr>
          <w:rFonts w:eastAsia="Calibri"/>
          <w:kern w:val="2"/>
          <w:szCs w:val="22"/>
          <w:lang w:eastAsia="en-US"/>
          <w14:ligatures w14:val="standardContextual"/>
        </w:rPr>
        <w:t xml:space="preserve">Damit die in </w:t>
      </w:r>
      <w:r w:rsidRPr="009118AB">
        <w:rPr>
          <w:rFonts w:eastAsia="Calibri"/>
          <w:kern w:val="2"/>
          <w:szCs w:val="22"/>
          <w:lang w:eastAsia="en-US"/>
          <w14:ligatures w14:val="standardContextual"/>
        </w:rPr>
        <w:t>§ </w:t>
      </w:r>
      <w:r w:rsidR="0006720F" w:rsidRPr="009118AB">
        <w:rPr>
          <w:rFonts w:eastAsia="Calibri"/>
          <w:kern w:val="2"/>
          <w:szCs w:val="22"/>
          <w:lang w:eastAsia="en-US"/>
          <w14:ligatures w14:val="standardContextual"/>
        </w:rPr>
        <w:t>1 erwähnten Steuerbeamten ihre Befugnisse eines Gerichtspolizeioffiziers, Hilfsbeamter des Prokurators des Königs, ausüben können, legen sie vor dem Generalprokurator des Bereichs ihres Wohnsitzes einen Eid mit folgendem Wortlaut ab:</w:t>
      </w:r>
    </w:p>
    <w:p w14:paraId="4992578A" w14:textId="77777777" w:rsidR="0006720F" w:rsidRPr="009118AB" w:rsidRDefault="0006720F" w:rsidP="0006720F">
      <w:pPr>
        <w:jc w:val="both"/>
        <w:rPr>
          <w:rFonts w:eastAsia="Calibri"/>
          <w:kern w:val="2"/>
          <w:lang w:eastAsia="en-US"/>
          <w14:ligatures w14:val="standardContextual"/>
        </w:rPr>
      </w:pPr>
    </w:p>
    <w:p w14:paraId="0E351BEF" w14:textId="77777777" w:rsidR="0006720F" w:rsidRPr="009118AB" w:rsidRDefault="0006720F" w:rsidP="0006720F">
      <w:pPr>
        <w:ind w:firstLine="708"/>
        <w:jc w:val="both"/>
        <w:rPr>
          <w:rFonts w:eastAsia="Calibri"/>
          <w:kern w:val="2"/>
          <w:lang w:eastAsia="en-US"/>
          <w14:ligatures w14:val="standardContextual"/>
        </w:rPr>
      </w:pPr>
      <w:r w:rsidRPr="009118AB">
        <w:rPr>
          <w:rFonts w:eastAsia="Calibri"/>
          <w:kern w:val="2"/>
          <w:szCs w:val="22"/>
          <w:lang w:eastAsia="en-US"/>
          <w14:ligatures w14:val="standardContextual"/>
        </w:rPr>
        <w:t>"Ich schwöre Treue dem König, Gehorsam der Verfassung und den Gesetzen des belgischen Volkes sowie das mir aufgetragene Amt treu wahrzunehmen."</w:t>
      </w:r>
    </w:p>
    <w:p w14:paraId="267D484A" w14:textId="77777777" w:rsidR="0006720F" w:rsidRPr="009118AB" w:rsidRDefault="0006720F" w:rsidP="0006720F">
      <w:pPr>
        <w:jc w:val="both"/>
        <w:rPr>
          <w:rFonts w:eastAsia="Calibri"/>
          <w:kern w:val="2"/>
          <w:lang w:eastAsia="en-US"/>
          <w14:ligatures w14:val="standardContextual"/>
        </w:rPr>
      </w:pPr>
    </w:p>
    <w:p w14:paraId="62825114" w14:textId="682FFFEB" w:rsidR="0006720F" w:rsidRPr="009118AB" w:rsidRDefault="0006720F"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rFonts w:eastAsia="Calibri"/>
          <w:kern w:val="2"/>
          <w:szCs w:val="22"/>
          <w:lang w:eastAsia="en-US"/>
          <w14:ligatures w14:val="standardContextual"/>
        </w:rPr>
        <w:tab/>
        <w:t>Sie können ihre Befugnisse außerhalb des Bereichs ihres Wohnsitzes ausüben.</w:t>
      </w:r>
      <w:r w:rsidRPr="009118AB">
        <w:t>]</w:t>
      </w:r>
    </w:p>
    <w:p w14:paraId="3CA8BFC6" w14:textId="77777777" w:rsidR="0006720F" w:rsidRPr="009118AB" w:rsidRDefault="0006720F"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D8B8557" w14:textId="12D096B7" w:rsidR="0006720F" w:rsidRDefault="0006720F"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338quater eingefügt durch </w:t>
      </w:r>
      <w:r w:rsidR="00D67EB8" w:rsidRPr="009118AB">
        <w:rPr>
          <w:i/>
          <w:iCs/>
        </w:rPr>
        <w:t>Art. </w:t>
      </w:r>
      <w:r w:rsidRPr="009118AB">
        <w:rPr>
          <w:i/>
          <w:iCs/>
        </w:rPr>
        <w:t>11 des G. vom 17.</w:t>
      </w:r>
      <w:r w:rsidR="00EB4B18">
        <w:rPr>
          <w:i/>
          <w:iCs/>
        </w:rPr>
        <w:t> </w:t>
      </w:r>
      <w:r w:rsidRPr="009118AB">
        <w:rPr>
          <w:i/>
          <w:iCs/>
        </w:rPr>
        <w:t>März</w:t>
      </w:r>
      <w:r w:rsidR="00EB4B18">
        <w:rPr>
          <w:i/>
          <w:iCs/>
        </w:rPr>
        <w:t> </w:t>
      </w:r>
      <w:r w:rsidRPr="009118AB">
        <w:rPr>
          <w:i/>
          <w:iCs/>
        </w:rPr>
        <w:t>2022 (B.S. vom 25.</w:t>
      </w:r>
      <w:r w:rsidR="00EB4B18">
        <w:rPr>
          <w:i/>
          <w:iCs/>
        </w:rPr>
        <w:t> </w:t>
      </w:r>
      <w:r w:rsidRPr="009118AB">
        <w:rPr>
          <w:i/>
          <w:iCs/>
        </w:rPr>
        <w:t>März</w:t>
      </w:r>
      <w:r w:rsidR="00EB4B18">
        <w:rPr>
          <w:i/>
          <w:iCs/>
        </w:rPr>
        <w:t> </w:t>
      </w:r>
      <w:r w:rsidRPr="009118AB">
        <w:rPr>
          <w:i/>
          <w:iCs/>
        </w:rPr>
        <w:t>2022)</w:t>
      </w:r>
      <w:r w:rsidR="00D67EB8" w:rsidRPr="009118AB">
        <w:rPr>
          <w:i/>
          <w:iCs/>
        </w:rPr>
        <w:t> - </w:t>
      </w:r>
      <w:r w:rsidRPr="009118AB">
        <w:rPr>
          <w:i/>
          <w:iCs/>
        </w:rPr>
        <w:t>in Kraft am 1.</w:t>
      </w:r>
      <w:r w:rsidR="00EB4B18">
        <w:rPr>
          <w:i/>
          <w:iCs/>
        </w:rPr>
        <w:t> </w:t>
      </w:r>
      <w:r w:rsidRPr="009118AB">
        <w:rPr>
          <w:i/>
          <w:iCs/>
        </w:rPr>
        <w:t>Juli 2022</w:t>
      </w:r>
      <w:r w:rsidR="00FD68E8" w:rsidRPr="009118AB">
        <w:rPr>
          <w:i/>
          <w:iCs/>
        </w:rPr>
        <w:t> -]</w:t>
      </w:r>
    </w:p>
    <w:p w14:paraId="01ACD793" w14:textId="77777777" w:rsidR="00043552" w:rsidRDefault="00043552"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70FD9FC0" w14:textId="77777777" w:rsidR="00043552" w:rsidRPr="00043552" w:rsidRDefault="00043552"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2F7ECF" w14:textId="53D95236" w:rsidR="00043552" w:rsidRPr="002A7A72" w:rsidRDefault="00043552" w:rsidP="00043552">
      <w:pPr>
        <w:spacing w:line="288" w:lineRule="auto"/>
        <w:jc w:val="both"/>
        <w:rPr>
          <w:sz w:val="20"/>
          <w:szCs w:val="20"/>
        </w:rPr>
      </w:pPr>
      <w:r w:rsidRPr="00043552">
        <w:rPr>
          <w:sz w:val="20"/>
          <w:szCs w:val="20"/>
        </w:rPr>
        <w:t>Ab dem 8. April 2026 (gemäß Art. 24 des G. vom 16. Mai 2024 (B.S. vom 21. Juni 2024)</w:t>
      </w:r>
      <w:r w:rsidRPr="002A7A72">
        <w:rPr>
          <w:sz w:val="20"/>
          <w:szCs w:val="20"/>
        </w:rPr>
        <w:t>) lautet Art. 338</w:t>
      </w:r>
      <w:r w:rsidRPr="002A7A72">
        <w:rPr>
          <w:i/>
          <w:iCs/>
          <w:sz w:val="20"/>
          <w:szCs w:val="20"/>
        </w:rPr>
        <w:t>quater</w:t>
      </w:r>
      <w:r w:rsidRPr="002A7A72">
        <w:rPr>
          <w:sz w:val="20"/>
          <w:szCs w:val="20"/>
        </w:rPr>
        <w:t xml:space="preserve"> wie folgt:</w:t>
      </w:r>
    </w:p>
    <w:p w14:paraId="2B58B276" w14:textId="77777777" w:rsidR="00043552" w:rsidRPr="002A7A72" w:rsidRDefault="00043552" w:rsidP="00043552">
      <w:pPr>
        <w:spacing w:line="288" w:lineRule="auto"/>
        <w:jc w:val="both"/>
        <w:rPr>
          <w:sz w:val="20"/>
          <w:szCs w:val="20"/>
        </w:rPr>
      </w:pPr>
    </w:p>
    <w:p w14:paraId="246D954B" w14:textId="0FCF5144" w:rsidR="00043552" w:rsidRPr="00043552" w:rsidRDefault="00043552" w:rsidP="00043552">
      <w:pPr>
        <w:jc w:val="both"/>
        <w:rPr>
          <w:rFonts w:eastAsia="Calibri"/>
          <w:kern w:val="2"/>
          <w:sz w:val="20"/>
          <w:szCs w:val="20"/>
          <w:lang w:eastAsia="en-US"/>
          <w14:ligatures w14:val="standardContextual"/>
        </w:rPr>
      </w:pPr>
      <w:r w:rsidRPr="00043552">
        <w:rPr>
          <w:sz w:val="20"/>
          <w:szCs w:val="20"/>
        </w:rPr>
        <w:t>"[</w:t>
      </w:r>
      <w:r w:rsidRPr="00770194">
        <w:rPr>
          <w:rFonts w:eastAsia="Calibri"/>
          <w:kern w:val="2"/>
          <w:sz w:val="20"/>
          <w:szCs w:val="20"/>
          <w:lang w:eastAsia="en-US"/>
          <w14:ligatures w14:val="standardContextual"/>
        </w:rPr>
        <w:t>Art. 338</w:t>
      </w:r>
      <w:r w:rsidRPr="00770194">
        <w:rPr>
          <w:rFonts w:eastAsia="Calibri"/>
          <w:i/>
          <w:iCs/>
          <w:kern w:val="2"/>
          <w:sz w:val="20"/>
          <w:szCs w:val="20"/>
          <w:lang w:eastAsia="en-US"/>
          <w14:ligatures w14:val="standardContextual"/>
        </w:rPr>
        <w:t>quater</w:t>
      </w:r>
      <w:r w:rsidRPr="00043552">
        <w:rPr>
          <w:rFonts w:eastAsia="Calibri"/>
          <w:kern w:val="2"/>
          <w:sz w:val="20"/>
          <w:szCs w:val="20"/>
          <w:lang w:eastAsia="en-US"/>
          <w14:ligatures w14:val="standardContextual"/>
        </w:rPr>
        <w:t> - § 1 ­ Die Eigenschaft eines Gerichtspolizeioffiziers, Hilfsbeamter des Prokurators des Königs, wird fünfundzwanzig Steuerbeamten mit mindestens dem Dienstgrad eines Attachés verliehen.</w:t>
      </w:r>
    </w:p>
    <w:p w14:paraId="1B0527C1" w14:textId="77777777" w:rsidR="00043552" w:rsidRPr="00043552" w:rsidRDefault="00043552" w:rsidP="00043552">
      <w:pPr>
        <w:jc w:val="both"/>
        <w:rPr>
          <w:rFonts w:eastAsia="Calibri"/>
          <w:kern w:val="2"/>
          <w:sz w:val="20"/>
          <w:szCs w:val="20"/>
          <w:lang w:eastAsia="en-US"/>
          <w14:ligatures w14:val="standardContextual"/>
        </w:rPr>
      </w:pPr>
    </w:p>
    <w:p w14:paraId="2FD2D1DC" w14:textId="77777777" w:rsidR="00043552" w:rsidRPr="00043552" w:rsidRDefault="00043552" w:rsidP="00043552">
      <w:pPr>
        <w:jc w:val="both"/>
        <w:rPr>
          <w:rFonts w:eastAsia="Calibri"/>
          <w:kern w:val="2"/>
          <w:sz w:val="20"/>
          <w:szCs w:val="20"/>
          <w:lang w:eastAsia="en-US"/>
          <w14:ligatures w14:val="standardContextual"/>
        </w:rPr>
      </w:pPr>
      <w:r w:rsidRPr="00043552">
        <w:rPr>
          <w:rFonts w:eastAsia="Calibri"/>
          <w:kern w:val="2"/>
          <w:sz w:val="20"/>
          <w:szCs w:val="20"/>
          <w:lang w:eastAsia="en-US"/>
          <w14:ligatures w14:val="standardContextual"/>
        </w:rPr>
        <w:t>Die Anzahl von fünfundzwanzig Steuerbeamten kann vom König nach Stellungnahme des Kollegiums der Generalprokuratoren erhöht werden.</w:t>
      </w:r>
    </w:p>
    <w:p w14:paraId="45C9A7FC" w14:textId="77777777" w:rsidR="00043552" w:rsidRPr="00043552" w:rsidRDefault="00043552" w:rsidP="00043552">
      <w:pPr>
        <w:jc w:val="both"/>
        <w:rPr>
          <w:rFonts w:eastAsia="Calibri"/>
          <w:kern w:val="2"/>
          <w:sz w:val="20"/>
          <w:szCs w:val="20"/>
          <w:lang w:eastAsia="en-US"/>
          <w14:ligatures w14:val="standardContextual"/>
        </w:rPr>
      </w:pPr>
    </w:p>
    <w:p w14:paraId="643E37D3" w14:textId="77777777" w:rsidR="00043552" w:rsidRPr="00043552" w:rsidRDefault="00043552" w:rsidP="00043552">
      <w:pPr>
        <w:jc w:val="both"/>
        <w:rPr>
          <w:rFonts w:eastAsia="Calibri"/>
          <w:kern w:val="2"/>
          <w:sz w:val="20"/>
          <w:szCs w:val="20"/>
          <w:lang w:eastAsia="en-US"/>
          <w14:ligatures w14:val="standardContextual"/>
        </w:rPr>
      </w:pPr>
      <w:r w:rsidRPr="00043552">
        <w:rPr>
          <w:rFonts w:eastAsia="Calibri"/>
          <w:kern w:val="2"/>
          <w:sz w:val="20"/>
          <w:szCs w:val="20"/>
          <w:lang w:eastAsia="en-US"/>
          <w14:ligatures w14:val="standardContextual"/>
        </w:rPr>
        <w:t>Der König kann die Bedingungen in Bezug auf Erfahrung und Ausbildung dieser Steuerbeamten bestimmen.</w:t>
      </w:r>
    </w:p>
    <w:p w14:paraId="41F08C38" w14:textId="77777777" w:rsidR="00043552" w:rsidRPr="00043552" w:rsidRDefault="00043552" w:rsidP="00043552">
      <w:pPr>
        <w:jc w:val="both"/>
        <w:rPr>
          <w:rFonts w:eastAsia="Calibri"/>
          <w:kern w:val="2"/>
          <w:sz w:val="20"/>
          <w:szCs w:val="20"/>
          <w:lang w:eastAsia="en-US"/>
          <w14:ligatures w14:val="standardContextual"/>
        </w:rPr>
      </w:pPr>
    </w:p>
    <w:p w14:paraId="44400FC5" w14:textId="330A1C4D" w:rsidR="00043552" w:rsidRPr="00043552" w:rsidRDefault="00043552" w:rsidP="00043552">
      <w:pPr>
        <w:jc w:val="both"/>
        <w:rPr>
          <w:rFonts w:eastAsia="Calibri"/>
          <w:kern w:val="2"/>
          <w:sz w:val="20"/>
          <w:szCs w:val="20"/>
          <w:lang w:eastAsia="en-US"/>
          <w14:ligatures w14:val="standardContextual"/>
        </w:rPr>
      </w:pPr>
      <w:r w:rsidRPr="00043552">
        <w:rPr>
          <w:rFonts w:eastAsia="Calibri"/>
          <w:kern w:val="2"/>
          <w:sz w:val="20"/>
          <w:szCs w:val="20"/>
          <w:lang w:eastAsia="en-US"/>
          <w14:ligatures w14:val="standardContextual"/>
        </w:rPr>
        <w:t xml:space="preserve">§ 2 - Die Befugnisse eines Gerichtspolizeioffiziers, Hilfsbeamter des Prokurators des Königs, die den in § 1 erwähnten Steuerbeamten erteilt werden, können nur im Hinblick auf die Ermittlung und die Feststellung der in vorliegendem Gesetzbuch oder in seinen Ausführungserlassen oder </w:t>
      </w:r>
      <w:r w:rsidR="00940569">
        <w:rPr>
          <w:rFonts w:eastAsia="Calibri"/>
          <w:kern w:val="2"/>
          <w:sz w:val="20"/>
          <w:szCs w:val="20"/>
          <w:lang w:eastAsia="en-US"/>
          <w14:ligatures w14:val="standardContextual"/>
        </w:rPr>
        <w:t>[</w:t>
      </w:r>
      <w:r w:rsidR="00940569" w:rsidRPr="00940569">
        <w:rPr>
          <w:sz w:val="20"/>
          <w:szCs w:val="20"/>
        </w:rPr>
        <w:t>in den Artikeln 501 und 503 des Strafgesetzbuches</w:t>
      </w:r>
      <w:r w:rsidR="00940569">
        <w:rPr>
          <w:rFonts w:eastAsia="Calibri"/>
          <w:kern w:val="2"/>
          <w:sz w:val="20"/>
          <w:szCs w:val="20"/>
          <w:lang w:eastAsia="en-US"/>
          <w14:ligatures w14:val="standardContextual"/>
        </w:rPr>
        <w:t>]</w:t>
      </w:r>
      <w:r w:rsidRPr="00043552">
        <w:rPr>
          <w:rFonts w:eastAsia="Calibri"/>
          <w:kern w:val="2"/>
          <w:sz w:val="20"/>
          <w:szCs w:val="20"/>
          <w:lang w:eastAsia="en-US"/>
          <w14:ligatures w14:val="standardContextual"/>
        </w:rPr>
        <w:t xml:space="preserve"> erwähnten Verstöße ausgeübt werden, die vorrangig, aber nicht ausschließlich auf die Bekämpfung der organisierten Kriminalität ausgerichtet sind, und insofern diese Beamten gemischte multidisziplinäre Ermittlungsteams unterstützen, die auf der Grundlage von Artikel 105 § 11 des Gesetzes vom 7. Dezember 1998 zur Organisation eines auf zwei Ebenen strukturierten integrierten Polizeidienstes gebildet werden.</w:t>
      </w:r>
    </w:p>
    <w:p w14:paraId="68A9C0B8" w14:textId="77777777" w:rsidR="00043552" w:rsidRPr="00043552" w:rsidRDefault="00043552" w:rsidP="00043552">
      <w:pPr>
        <w:jc w:val="both"/>
        <w:rPr>
          <w:rFonts w:eastAsia="Calibri"/>
          <w:kern w:val="2"/>
          <w:sz w:val="20"/>
          <w:szCs w:val="20"/>
          <w:lang w:eastAsia="en-US"/>
          <w14:ligatures w14:val="standardContextual"/>
        </w:rPr>
      </w:pPr>
    </w:p>
    <w:p w14:paraId="53534FF9" w14:textId="77777777" w:rsidR="00043552" w:rsidRPr="00043552" w:rsidRDefault="00043552" w:rsidP="00043552">
      <w:pPr>
        <w:jc w:val="both"/>
        <w:rPr>
          <w:rFonts w:eastAsia="Calibri"/>
          <w:kern w:val="2"/>
          <w:sz w:val="20"/>
          <w:szCs w:val="20"/>
          <w:lang w:eastAsia="en-US"/>
          <w14:ligatures w14:val="standardContextual"/>
        </w:rPr>
      </w:pPr>
      <w:r w:rsidRPr="00043552">
        <w:rPr>
          <w:rFonts w:eastAsia="Calibri"/>
          <w:kern w:val="2"/>
          <w:sz w:val="20"/>
          <w:szCs w:val="20"/>
          <w:lang w:eastAsia="en-US"/>
          <w14:ligatures w14:val="standardContextual"/>
        </w:rPr>
        <w:t>§ 3 - Die in § 1 erwähnten Beamten dürfen ein gemischtes multidisziplinäres Ermittlungsteam jedoch nicht unterstützen, falls sie an einer laufenden administrativen Untersuchung beteiligt sind, auf die sich die in § 2 erwähnte Untersuchung bezieht.</w:t>
      </w:r>
    </w:p>
    <w:p w14:paraId="3E2FEA56" w14:textId="77777777" w:rsidR="00043552" w:rsidRPr="00043552" w:rsidRDefault="00043552" w:rsidP="00043552">
      <w:pPr>
        <w:jc w:val="both"/>
        <w:rPr>
          <w:rFonts w:eastAsia="Calibri"/>
          <w:kern w:val="2"/>
          <w:sz w:val="20"/>
          <w:szCs w:val="20"/>
          <w:lang w:eastAsia="en-US"/>
          <w14:ligatures w14:val="standardContextual"/>
        </w:rPr>
      </w:pPr>
    </w:p>
    <w:p w14:paraId="4F3DA7C7" w14:textId="77777777" w:rsidR="00043552" w:rsidRPr="00043552" w:rsidRDefault="00043552" w:rsidP="00043552">
      <w:pPr>
        <w:jc w:val="both"/>
        <w:rPr>
          <w:rFonts w:eastAsia="Calibri"/>
          <w:kern w:val="2"/>
          <w:sz w:val="20"/>
          <w:szCs w:val="20"/>
          <w:lang w:eastAsia="en-US"/>
          <w14:ligatures w14:val="standardContextual"/>
        </w:rPr>
      </w:pPr>
      <w:r w:rsidRPr="00043552">
        <w:rPr>
          <w:rFonts w:eastAsia="Calibri"/>
          <w:kern w:val="2"/>
          <w:sz w:val="20"/>
          <w:szCs w:val="20"/>
          <w:lang w:eastAsia="en-US"/>
          <w14:ligatures w14:val="standardContextual"/>
        </w:rPr>
        <w:t>§ 4 - Damit die in § 1 erwähnten Steuerbeamten ihre Befugnisse eines Gerichtspolizeioffiziers, Hilfsbeamter des Prokurators des Königs, ausüben können, legen sie vor dem Generalprokurator des Bereichs ihres Wohnsitzes einen Eid mit folgendem Wortlaut ab:</w:t>
      </w:r>
    </w:p>
    <w:p w14:paraId="0B5A6286" w14:textId="77777777" w:rsidR="00043552" w:rsidRPr="00043552" w:rsidRDefault="00043552" w:rsidP="00043552">
      <w:pPr>
        <w:jc w:val="both"/>
        <w:rPr>
          <w:rFonts w:eastAsia="Calibri"/>
          <w:kern w:val="2"/>
          <w:sz w:val="20"/>
          <w:szCs w:val="20"/>
          <w:lang w:eastAsia="en-US"/>
          <w14:ligatures w14:val="standardContextual"/>
        </w:rPr>
      </w:pPr>
    </w:p>
    <w:p w14:paraId="2582715E" w14:textId="77777777" w:rsidR="00043552" w:rsidRPr="00043552" w:rsidRDefault="00043552" w:rsidP="00043552">
      <w:pPr>
        <w:jc w:val="both"/>
        <w:rPr>
          <w:rFonts w:eastAsia="Calibri"/>
          <w:kern w:val="2"/>
          <w:sz w:val="20"/>
          <w:szCs w:val="20"/>
          <w:lang w:eastAsia="en-US"/>
          <w14:ligatures w14:val="standardContextual"/>
        </w:rPr>
      </w:pPr>
      <w:r w:rsidRPr="00043552">
        <w:rPr>
          <w:rFonts w:eastAsia="Calibri"/>
          <w:kern w:val="2"/>
          <w:sz w:val="20"/>
          <w:szCs w:val="20"/>
          <w:lang w:eastAsia="en-US"/>
          <w14:ligatures w14:val="standardContextual"/>
        </w:rPr>
        <w:t>"Ich schwöre Treue dem König, Gehorsam der Verfassung und den Gesetzen des belgischen Volkes sowie das mir aufgetragene Amt treu wahrzunehmen."</w:t>
      </w:r>
    </w:p>
    <w:p w14:paraId="1843EFF4" w14:textId="77777777" w:rsidR="00043552" w:rsidRPr="00043552" w:rsidRDefault="00043552" w:rsidP="00043552">
      <w:pPr>
        <w:jc w:val="both"/>
        <w:rPr>
          <w:rFonts w:eastAsia="Calibri"/>
          <w:kern w:val="2"/>
          <w:sz w:val="20"/>
          <w:szCs w:val="20"/>
          <w:lang w:eastAsia="en-US"/>
          <w14:ligatures w14:val="standardContextual"/>
        </w:rPr>
      </w:pPr>
    </w:p>
    <w:p w14:paraId="01591E17" w14:textId="5333BAC8" w:rsidR="00043552" w:rsidRPr="00043552" w:rsidRDefault="00043552" w:rsidP="000435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043552">
        <w:rPr>
          <w:rFonts w:eastAsia="Calibri"/>
          <w:kern w:val="2"/>
          <w:sz w:val="20"/>
          <w:szCs w:val="20"/>
          <w:lang w:eastAsia="en-US"/>
          <w14:ligatures w14:val="standardContextual"/>
        </w:rPr>
        <w:t>Sie können ihre Befugnisse außerhalb des Bereichs ihres Wohnsitzes ausüben.</w:t>
      </w:r>
      <w:r w:rsidRPr="00043552">
        <w:rPr>
          <w:sz w:val="20"/>
          <w:szCs w:val="20"/>
        </w:rPr>
        <w:t>]</w:t>
      </w:r>
    </w:p>
    <w:p w14:paraId="4D4C94A5" w14:textId="52E3FF8B" w:rsidR="00043552" w:rsidRPr="00043552" w:rsidRDefault="00043552" w:rsidP="00043552">
      <w:pPr>
        <w:spacing w:line="288" w:lineRule="auto"/>
        <w:jc w:val="both"/>
        <w:rPr>
          <w:sz w:val="20"/>
          <w:szCs w:val="20"/>
        </w:rPr>
      </w:pPr>
    </w:p>
    <w:p w14:paraId="3F2CF7E9" w14:textId="2B2BC191" w:rsidR="00043552" w:rsidRPr="00043552" w:rsidRDefault="00043552"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8E193D">
        <w:rPr>
          <w:i/>
          <w:iCs/>
          <w:sz w:val="20"/>
          <w:szCs w:val="20"/>
        </w:rPr>
        <w:t>[</w:t>
      </w:r>
      <w:r w:rsidRPr="00043552">
        <w:rPr>
          <w:i/>
          <w:iCs/>
          <w:sz w:val="20"/>
          <w:szCs w:val="20"/>
        </w:rPr>
        <w:t>Art. 338quater eingefügt durch Art. 11 des G. vom 17.</w:t>
      </w:r>
      <w:r w:rsidR="00762019">
        <w:rPr>
          <w:i/>
          <w:iCs/>
          <w:sz w:val="20"/>
          <w:szCs w:val="20"/>
        </w:rPr>
        <w:t> </w:t>
      </w:r>
      <w:r w:rsidRPr="00043552">
        <w:rPr>
          <w:i/>
          <w:iCs/>
          <w:sz w:val="20"/>
          <w:szCs w:val="20"/>
        </w:rPr>
        <w:t>März</w:t>
      </w:r>
      <w:r w:rsidR="00762019">
        <w:rPr>
          <w:i/>
          <w:iCs/>
          <w:sz w:val="20"/>
          <w:szCs w:val="20"/>
        </w:rPr>
        <w:t> </w:t>
      </w:r>
      <w:r w:rsidRPr="00043552">
        <w:rPr>
          <w:i/>
          <w:iCs/>
          <w:sz w:val="20"/>
          <w:szCs w:val="20"/>
        </w:rPr>
        <w:t>2022 (B.S. vom 25.</w:t>
      </w:r>
      <w:r w:rsidR="00762019">
        <w:rPr>
          <w:i/>
          <w:iCs/>
          <w:sz w:val="20"/>
          <w:szCs w:val="20"/>
        </w:rPr>
        <w:t> </w:t>
      </w:r>
      <w:r w:rsidRPr="00043552">
        <w:rPr>
          <w:i/>
          <w:iCs/>
          <w:sz w:val="20"/>
          <w:szCs w:val="20"/>
        </w:rPr>
        <w:t>März</w:t>
      </w:r>
      <w:r w:rsidR="00762019">
        <w:rPr>
          <w:i/>
          <w:iCs/>
          <w:sz w:val="20"/>
          <w:szCs w:val="20"/>
        </w:rPr>
        <w:t> </w:t>
      </w:r>
      <w:r w:rsidRPr="00043552">
        <w:rPr>
          <w:i/>
          <w:iCs/>
          <w:sz w:val="20"/>
          <w:szCs w:val="20"/>
        </w:rPr>
        <w:t>2022) - in Kraft am 1.</w:t>
      </w:r>
      <w:r w:rsidR="00762019">
        <w:rPr>
          <w:i/>
          <w:iCs/>
          <w:sz w:val="20"/>
          <w:szCs w:val="20"/>
        </w:rPr>
        <w:t> </w:t>
      </w:r>
      <w:r w:rsidRPr="00043552">
        <w:rPr>
          <w:i/>
          <w:iCs/>
          <w:sz w:val="20"/>
          <w:szCs w:val="20"/>
        </w:rPr>
        <w:t>Juli</w:t>
      </w:r>
      <w:r w:rsidR="00762019">
        <w:rPr>
          <w:i/>
          <w:iCs/>
          <w:sz w:val="20"/>
          <w:szCs w:val="20"/>
        </w:rPr>
        <w:t> </w:t>
      </w:r>
      <w:r w:rsidRPr="00043552">
        <w:rPr>
          <w:i/>
          <w:iCs/>
          <w:sz w:val="20"/>
          <w:szCs w:val="20"/>
        </w:rPr>
        <w:t>2022 -</w:t>
      </w:r>
      <w:r>
        <w:rPr>
          <w:i/>
          <w:iCs/>
          <w:sz w:val="20"/>
          <w:szCs w:val="20"/>
        </w:rPr>
        <w:t xml:space="preserve">; § 2 </w:t>
      </w:r>
      <w:bookmarkStart w:id="40" w:name="_Hlk202515126"/>
      <w:r>
        <w:rPr>
          <w:i/>
          <w:iCs/>
          <w:sz w:val="20"/>
          <w:szCs w:val="20"/>
        </w:rPr>
        <w:t>abgeändert durch Art. 2 des G. vom 16. Mai 2024 (B.S. vom 21. Juni 2024) - in Kraft am 8. April 2026 -</w:t>
      </w:r>
      <w:bookmarkEnd w:id="40"/>
      <w:r w:rsidR="008E193D">
        <w:rPr>
          <w:i/>
          <w:iCs/>
          <w:sz w:val="20"/>
          <w:szCs w:val="20"/>
        </w:rPr>
        <w:t>]</w:t>
      </w:r>
      <w:r w:rsidR="008E193D" w:rsidRPr="005F0BB9">
        <w:rPr>
          <w:sz w:val="20"/>
          <w:szCs w:val="20"/>
        </w:rPr>
        <w:t>"</w:t>
      </w:r>
    </w:p>
    <w:p w14:paraId="20F01F1D" w14:textId="7FE4C4BA" w:rsidR="00477B8F" w:rsidRPr="009118AB" w:rsidRDefault="00477B8F" w:rsidP="003712D8">
      <w:pPr>
        <w:autoSpaceDE w:val="0"/>
        <w:autoSpaceDN w:val="0"/>
        <w:adjustRightInd w:val="0"/>
        <w:jc w:val="center"/>
      </w:pPr>
      <w:r w:rsidRPr="00043552">
        <w:br w:type="page"/>
      </w:r>
      <w:r w:rsidR="00D666D6" w:rsidRPr="009118AB">
        <w:rPr>
          <w:b/>
          <w:bCs/>
        </w:rPr>
        <w:t>KAPITEL </w:t>
      </w:r>
      <w:r w:rsidR="007828ED" w:rsidRPr="009118AB">
        <w:rPr>
          <w:b/>
          <w:bCs/>
        </w:rPr>
        <w:t>4</w:t>
      </w:r>
      <w:r w:rsidR="00D67EB8" w:rsidRPr="009118AB">
        <w:t> - </w:t>
      </w:r>
      <w:r w:rsidRPr="009118AB">
        <w:rPr>
          <w:i/>
          <w:iCs/>
        </w:rPr>
        <w:t>Beweismittel der Verwaltung</w:t>
      </w:r>
    </w:p>
    <w:p w14:paraId="36E664F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BC31D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1D1FF32" w14:textId="1547267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339</w:t>
      </w:r>
      <w:r w:rsidR="00D67EB8" w:rsidRPr="009118AB">
        <w:t> - </w:t>
      </w:r>
      <w:r w:rsidRPr="009118AB">
        <w:t xml:space="preserve">Die Erklärung wird überprüft und die Steuer festgelegt von der </w:t>
      </w:r>
      <w:r w:rsidR="008E76FD" w:rsidRPr="009118AB">
        <w:t>[mit der Festlegung der Einkommensteuern beauftragten Verwaltung]</w:t>
      </w:r>
      <w:r w:rsidRPr="009118AB">
        <w:t>. Diese nimmt als Steuerbemessungsgrundlage die angegebenen Einkünfte und anderen Angaben, außer wenn sie sie als unrichtig erachtet.</w:t>
      </w:r>
    </w:p>
    <w:p w14:paraId="6037EA1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1B844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[Wenn ein Steuerpflichtiger aufgrund von Artikel 306 von der Erklärungspflicht befreit ist, wird die Steuer auf der Grundlage der im </w:t>
      </w:r>
      <w:r w:rsidR="004A6FA9" w:rsidRPr="009118AB">
        <w:t xml:space="preserve">[Vorschlag der vereinfachten Erklärung] </w:t>
      </w:r>
      <w:r w:rsidRPr="009118AB">
        <w:t>vermerkten Angaben festgelegt, wobei dieser gegebenenfalls entsprechend den Anmerkungen des Steuerpflichtigen verbessert wird.]</w:t>
      </w:r>
    </w:p>
    <w:p w14:paraId="26ADE25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D21CCB" w14:textId="6AB9DFD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339 </w:t>
      </w:r>
      <w:r w:rsidR="00D67EB8" w:rsidRPr="009118AB">
        <w:rPr>
          <w:i/>
          <w:iCs/>
        </w:rPr>
        <w:t>Abs. </w:t>
      </w:r>
      <w:r w:rsidR="008E76FD" w:rsidRPr="009118AB">
        <w:rPr>
          <w:i/>
          <w:iCs/>
        </w:rPr>
        <w:t xml:space="preserve">1 abgeändert durch </w:t>
      </w:r>
      <w:r w:rsidR="00D67EB8" w:rsidRPr="009118AB">
        <w:rPr>
          <w:i/>
          <w:iCs/>
        </w:rPr>
        <w:t>Art. </w:t>
      </w:r>
      <w:r w:rsidR="008E76FD" w:rsidRPr="009118AB">
        <w:rPr>
          <w:i/>
          <w:iCs/>
        </w:rPr>
        <w:t>15 des G. vom 25. April 2014 (I) (B.S. vom 16. Mai 2014)</w:t>
      </w:r>
      <w:r w:rsidR="00D67EB8" w:rsidRPr="009118AB">
        <w:rPr>
          <w:i/>
          <w:iCs/>
        </w:rPr>
        <w:t> - </w:t>
      </w:r>
      <w:r w:rsidR="008E76FD" w:rsidRPr="009118AB">
        <w:rPr>
          <w:i/>
          <w:iCs/>
        </w:rPr>
        <w:t>in Kraft am 16. Mai 2014</w:t>
      </w:r>
      <w:r w:rsidR="003366D9" w:rsidRPr="009118AB">
        <w:rPr>
          <w:i/>
          <w:iCs/>
        </w:rPr>
        <w:t> -;</w:t>
      </w:r>
      <w:r w:rsidR="008E76FD" w:rsidRPr="009118AB">
        <w:rPr>
          <w:i/>
          <w:iCs/>
        </w:rPr>
        <w:t xml:space="preserve"> </w:t>
      </w:r>
      <w:r w:rsidR="00D67EB8" w:rsidRPr="009118AB">
        <w:rPr>
          <w:i/>
          <w:iCs/>
        </w:rPr>
        <w:t>Abs. </w:t>
      </w:r>
      <w:r w:rsidRPr="009118AB">
        <w:rPr>
          <w:i/>
          <w:iCs/>
        </w:rPr>
        <w:t xml:space="preserve">2 ersetzt durch </w:t>
      </w:r>
      <w:r w:rsidR="00D67EB8" w:rsidRPr="009118AB">
        <w:rPr>
          <w:i/>
          <w:iCs/>
        </w:rPr>
        <w:t>Art. </w:t>
      </w:r>
      <w:r w:rsidRPr="009118AB">
        <w:rPr>
          <w:i/>
          <w:iCs/>
        </w:rPr>
        <w:t>4 des G. vom 5. Juli 1994 (B.S. vom 16. Juli 1994)</w:t>
      </w:r>
      <w:r w:rsidR="00D67EB8" w:rsidRPr="009118AB">
        <w:rPr>
          <w:i/>
          <w:iCs/>
        </w:rPr>
        <w:t> - </w:t>
      </w:r>
      <w:r w:rsidRPr="009118AB">
        <w:rPr>
          <w:i/>
          <w:iCs/>
        </w:rPr>
        <w:t>anwendbar ab dem Steuerjahr 1994</w:t>
      </w:r>
      <w:r w:rsidR="00D67EB8" w:rsidRPr="009118AB">
        <w:rPr>
          <w:i/>
          <w:iCs/>
        </w:rPr>
        <w:t> - </w:t>
      </w:r>
      <w:r w:rsidR="004A6FA9" w:rsidRPr="009118AB">
        <w:rPr>
          <w:i/>
          <w:iCs/>
        </w:rPr>
        <w:t xml:space="preserve">und abgeändert durch </w:t>
      </w:r>
      <w:r w:rsidR="00D67EB8" w:rsidRPr="009118AB">
        <w:rPr>
          <w:i/>
          <w:iCs/>
        </w:rPr>
        <w:t>Art. </w:t>
      </w:r>
      <w:r w:rsidR="004A6FA9" w:rsidRPr="009118AB">
        <w:rPr>
          <w:i/>
          <w:iCs/>
        </w:rPr>
        <w:t>28 des G. (I) vom 29. Dezember 2010 (B.S. vom 31. Dezember 2010)</w:t>
      </w:r>
      <w:r w:rsidR="00D67EB8" w:rsidRPr="009118AB">
        <w:rPr>
          <w:i/>
          <w:iCs/>
        </w:rPr>
        <w:t> - </w:t>
      </w:r>
      <w:r w:rsidR="004A6FA9" w:rsidRPr="009118AB">
        <w:rPr>
          <w:i/>
          <w:iCs/>
        </w:rPr>
        <w:t>in Kraft ab dem Steuerjahr</w:t>
      </w:r>
      <w:r w:rsidR="001E1ED5" w:rsidRPr="009118AB">
        <w:rPr>
          <w:i/>
          <w:iCs/>
        </w:rPr>
        <w:t> </w:t>
      </w:r>
      <w:r w:rsidR="004A6FA9" w:rsidRPr="009118AB">
        <w:rPr>
          <w:i/>
          <w:iCs/>
        </w:rPr>
        <w:t>2011</w:t>
      </w:r>
      <w:r w:rsidR="00FD68E8" w:rsidRPr="009118AB">
        <w:rPr>
          <w:i/>
          <w:iCs/>
        </w:rPr>
        <w:t> -]</w:t>
      </w:r>
    </w:p>
    <w:p w14:paraId="52A7801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EB002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81813B" w14:textId="6AC9AB01" w:rsidR="0017773B" w:rsidRPr="009118AB" w:rsidRDefault="004C5E96" w:rsidP="003D0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r w:rsidRPr="009118AB">
        <w:tab/>
        <w:t>[</w:t>
      </w:r>
      <w:r w:rsidR="00D67EB8" w:rsidRPr="009118AB">
        <w:rPr>
          <w:b/>
          <w:lang w:eastAsia="de-DE"/>
        </w:rPr>
        <w:t>Art. </w:t>
      </w:r>
      <w:r w:rsidRPr="009118AB">
        <w:rPr>
          <w:b/>
          <w:lang w:eastAsia="de-DE"/>
        </w:rPr>
        <w:t>339/1</w:t>
      </w:r>
      <w:r w:rsidR="00D67EB8" w:rsidRPr="009118AB">
        <w:rPr>
          <w:lang w:eastAsia="de-DE"/>
        </w:rPr>
        <w:t> - </w:t>
      </w:r>
      <w:r w:rsidR="0017773B" w:rsidRPr="009118AB">
        <w:rPr>
          <w:iCs/>
          <w:lang w:eastAsia="de-DE"/>
        </w:rPr>
        <w:t>[</w:t>
      </w:r>
      <w:r w:rsidR="00D67EB8" w:rsidRPr="009118AB">
        <w:rPr>
          <w:iCs/>
          <w:lang w:eastAsia="de-DE"/>
        </w:rPr>
        <w:t>§ </w:t>
      </w:r>
      <w:r w:rsidR="0017773B" w:rsidRPr="009118AB">
        <w:rPr>
          <w:iCs/>
          <w:lang w:eastAsia="de-DE"/>
        </w:rPr>
        <w:t>1</w:t>
      </w:r>
      <w:r w:rsidR="00D67EB8" w:rsidRPr="009118AB">
        <w:rPr>
          <w:iCs/>
          <w:lang w:eastAsia="de-DE"/>
        </w:rPr>
        <w:t> - </w:t>
      </w:r>
      <w:r w:rsidR="003D0E8A">
        <w:rPr>
          <w:iCs/>
          <w:lang w:eastAsia="de-DE"/>
        </w:rPr>
        <w:t>[...]</w:t>
      </w:r>
    </w:p>
    <w:p w14:paraId="2F476C08" w14:textId="77777777" w:rsidR="0017773B" w:rsidRPr="009118AB" w:rsidRDefault="0017773B" w:rsidP="0017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p>
    <w:p w14:paraId="5230864D" w14:textId="10C1A3CC" w:rsidR="0017773B" w:rsidRPr="00C15B15" w:rsidRDefault="0017773B" w:rsidP="0017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r w:rsidRPr="009118AB">
        <w:rPr>
          <w:iCs/>
          <w:lang w:eastAsia="de-DE"/>
        </w:rPr>
        <w:tab/>
      </w:r>
      <w:r w:rsidR="00D67EB8" w:rsidRPr="00C15B15">
        <w:rPr>
          <w:iCs/>
          <w:lang w:eastAsia="de-DE"/>
        </w:rPr>
        <w:t>§ </w:t>
      </w:r>
      <w:r w:rsidR="00C965F2" w:rsidRPr="00C15B15">
        <w:rPr>
          <w:iCs/>
          <w:lang w:eastAsia="de-DE"/>
        </w:rPr>
        <w:t>2</w:t>
      </w:r>
      <w:r w:rsidR="00D67EB8" w:rsidRPr="00C15B15">
        <w:rPr>
          <w:iCs/>
          <w:lang w:eastAsia="de-DE"/>
        </w:rPr>
        <w:t> - </w:t>
      </w:r>
      <w:r w:rsidR="00EA1D34">
        <w:rPr>
          <w:iCs/>
          <w:lang w:eastAsia="de-DE"/>
        </w:rPr>
        <w:t>[</w:t>
      </w:r>
      <w:r w:rsidRPr="00C15B15">
        <w:rPr>
          <w:iCs/>
          <w:lang w:eastAsia="de-DE"/>
        </w:rPr>
        <w:t>...</w:t>
      </w:r>
      <w:r w:rsidR="00EA1D34">
        <w:rPr>
          <w:iCs/>
          <w:lang w:eastAsia="de-DE"/>
        </w:rPr>
        <w:t>]</w:t>
      </w:r>
      <w:r w:rsidRPr="00C15B15">
        <w:rPr>
          <w:iCs/>
          <w:lang w:eastAsia="de-DE"/>
        </w:rPr>
        <w:t>]]</w:t>
      </w:r>
    </w:p>
    <w:p w14:paraId="2A9D284B" w14:textId="77777777" w:rsidR="0017773B" w:rsidRPr="00C15B15" w:rsidRDefault="0017773B" w:rsidP="0017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p>
    <w:p w14:paraId="6A1F836F" w14:textId="6BEBBEAD" w:rsidR="0017773B" w:rsidRPr="009118AB" w:rsidRDefault="0017773B" w:rsidP="0017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r w:rsidRPr="00C15B15">
        <w:rPr>
          <w:i/>
          <w:iCs/>
          <w:lang w:eastAsia="de-DE"/>
        </w:rPr>
        <w:t>[</w:t>
      </w:r>
      <w:r w:rsidR="00D67EB8" w:rsidRPr="00C15B15">
        <w:rPr>
          <w:i/>
          <w:iCs/>
          <w:lang w:eastAsia="de-DE"/>
        </w:rPr>
        <w:t>Art. </w:t>
      </w:r>
      <w:r w:rsidRPr="00C15B15">
        <w:rPr>
          <w:i/>
          <w:iCs/>
          <w:lang w:eastAsia="de-DE"/>
        </w:rPr>
        <w:t xml:space="preserve">339/1 eingefügt durch </w:t>
      </w:r>
      <w:r w:rsidR="00D67EB8" w:rsidRPr="00C15B15">
        <w:rPr>
          <w:i/>
          <w:iCs/>
          <w:lang w:eastAsia="de-DE"/>
        </w:rPr>
        <w:t>Art. </w:t>
      </w:r>
      <w:r w:rsidRPr="00C15B15">
        <w:rPr>
          <w:i/>
          <w:iCs/>
          <w:lang w:eastAsia="de-DE"/>
        </w:rPr>
        <w:t xml:space="preserve">18 des G. vom 28. Dezember 2011 (B.S. vom 30. Dezember 2011) und ersetzt durch </w:t>
      </w:r>
      <w:r w:rsidR="00D67EB8" w:rsidRPr="00C15B15">
        <w:rPr>
          <w:i/>
          <w:iCs/>
          <w:lang w:eastAsia="de-DE"/>
        </w:rPr>
        <w:t>Art. </w:t>
      </w:r>
      <w:r w:rsidRPr="00C15B15">
        <w:rPr>
          <w:i/>
          <w:iCs/>
          <w:lang w:eastAsia="de-DE"/>
        </w:rPr>
        <w:t>31 des G. vom 26. Januar 2021 (B.S. vom 10. Februar 2021)</w:t>
      </w:r>
      <w:r w:rsidR="00D67EB8" w:rsidRPr="00C15B15">
        <w:rPr>
          <w:i/>
          <w:iCs/>
          <w:lang w:eastAsia="de-DE"/>
        </w:rPr>
        <w:t> - </w:t>
      </w:r>
      <w:r w:rsidRPr="00C15B15">
        <w:rPr>
          <w:i/>
          <w:iCs/>
          <w:lang w:eastAsia="de-DE"/>
        </w:rPr>
        <w:t>in Kraft am 1. April 2021</w:t>
      </w:r>
      <w:r w:rsidR="00FD68E8" w:rsidRPr="00C15B15">
        <w:rPr>
          <w:i/>
          <w:iCs/>
          <w:lang w:eastAsia="de-DE"/>
        </w:rPr>
        <w:t> -,</w:t>
      </w:r>
      <w:r w:rsidRPr="00C15B15">
        <w:rPr>
          <w:i/>
          <w:iCs/>
          <w:lang w:eastAsia="de-DE"/>
        </w:rPr>
        <w:t xml:space="preserve"> </w:t>
      </w:r>
      <w:r w:rsidR="003D0E8A" w:rsidRPr="00C15B15">
        <w:rPr>
          <w:i/>
          <w:iCs/>
          <w:lang w:eastAsia="de-DE"/>
        </w:rPr>
        <w:t>selbst aufgehoben durch Art. 213 des G. vom 12. Mai 2024 (B.S. vom 30. Mai 2024)</w:t>
      </w:r>
      <w:r w:rsidR="003366D9" w:rsidRPr="00C15B15">
        <w:rPr>
          <w:i/>
          <w:iCs/>
          <w:lang w:eastAsia="de-DE"/>
        </w:rPr>
        <w:t>;</w:t>
      </w:r>
      <w:r w:rsidR="00FE6F38" w:rsidRPr="00C15B15">
        <w:rPr>
          <w:i/>
          <w:iCs/>
          <w:lang w:eastAsia="de-DE"/>
        </w:rPr>
        <w:t xml:space="preserve"> </w:t>
      </w:r>
      <w:r w:rsidR="00D67EB8" w:rsidRPr="00C15B15">
        <w:rPr>
          <w:i/>
          <w:iCs/>
          <w:lang w:eastAsia="de-DE"/>
        </w:rPr>
        <w:t>§ </w:t>
      </w:r>
      <w:r w:rsidR="00FE6F38" w:rsidRPr="00C15B15">
        <w:rPr>
          <w:i/>
          <w:iCs/>
          <w:lang w:eastAsia="de-DE"/>
        </w:rPr>
        <w:t xml:space="preserve">1 </w:t>
      </w:r>
      <w:r w:rsidR="003D0E8A" w:rsidRPr="00C15B15">
        <w:rPr>
          <w:i/>
          <w:iCs/>
          <w:lang w:eastAsia="de-DE"/>
        </w:rPr>
        <w:t>aufgehoben durch Art. 214 des G. vom 12. Mai 2024 (B.S. vom 30. Mai 2024)</w:t>
      </w:r>
      <w:r w:rsidRPr="00C15B15">
        <w:rPr>
          <w:i/>
          <w:iCs/>
          <w:lang w:eastAsia="de-DE"/>
        </w:rPr>
        <w:t>]</w:t>
      </w:r>
    </w:p>
    <w:p w14:paraId="1B7C864E" w14:textId="35B91AE5" w:rsidR="00012B24" w:rsidRPr="009118AB" w:rsidRDefault="00012B24" w:rsidP="00012B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A1A1049" w14:textId="77777777" w:rsidR="00012B24" w:rsidRPr="009118AB" w:rsidRDefault="00012B24" w:rsidP="000D3D10">
      <w:pPr>
        <w:jc w:val="both"/>
      </w:pPr>
    </w:p>
    <w:p w14:paraId="7BAF93F2" w14:textId="0B87C667" w:rsidR="000D3D10" w:rsidRPr="009118AB" w:rsidRDefault="00477B8F" w:rsidP="000D3D10">
      <w:pPr>
        <w:jc w:val="both"/>
      </w:pPr>
      <w:r w:rsidRPr="009118AB">
        <w:tab/>
      </w:r>
      <w:r w:rsidR="00D67EB8" w:rsidRPr="009118AB">
        <w:rPr>
          <w:b/>
          <w:bCs/>
        </w:rPr>
        <w:t>Art. </w:t>
      </w:r>
      <w:r w:rsidRPr="009118AB">
        <w:rPr>
          <w:b/>
          <w:bCs/>
        </w:rPr>
        <w:t>340</w:t>
      </w:r>
      <w:r w:rsidR="00D67EB8" w:rsidRPr="009118AB">
        <w:t> - </w:t>
      </w:r>
      <w:r w:rsidR="000D3D10" w:rsidRPr="009118AB">
        <w:t xml:space="preserve">[Zur Festlegung des Bestehens und des Betrags der Steuerschuld </w:t>
      </w:r>
      <w:r w:rsidR="004C5E96" w:rsidRPr="009118AB">
        <w:t>[</w:t>
      </w:r>
      <w:r w:rsidR="004C5E96" w:rsidRPr="009118AB">
        <w:rPr>
          <w:lang w:eastAsia="de-DE"/>
        </w:rPr>
        <w:t>und zur Feststellung eines Verstoßes gegen die Bestimmungen des vorliegenden Gesetzbuches oder seiner Ausführungserlasse]</w:t>
      </w:r>
      <w:r w:rsidR="004C5E96" w:rsidRPr="009118AB">
        <w:t xml:space="preserve"> </w:t>
      </w:r>
      <w:r w:rsidR="000D3D10" w:rsidRPr="009118AB">
        <w:t>kann die Verwaltung auf alle vom allgemeinen Recht zugelassenen Beweismittel einschließlich der Protokolle der Bediensteten des Föderalen Öffentlichen Dienstes Finanzen zurückgreifen außer de</w:t>
      </w:r>
      <w:r w:rsidR="004B26A6" w:rsidRPr="009118AB">
        <w:t>n</w:t>
      </w:r>
      <w:r w:rsidR="000D3D10" w:rsidRPr="009118AB">
        <w:t xml:space="preserve"> Eid.</w:t>
      </w:r>
    </w:p>
    <w:p w14:paraId="19CB9577" w14:textId="77777777" w:rsidR="000D3D10" w:rsidRPr="009118AB" w:rsidRDefault="000D3D10" w:rsidP="000D3D10">
      <w:pPr>
        <w:jc w:val="both"/>
      </w:pPr>
    </w:p>
    <w:p w14:paraId="3231B519" w14:textId="77777777" w:rsidR="00477B8F" w:rsidRPr="009118AB" w:rsidRDefault="000D3D10"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 Protokolle haben bis zum Beweis des Gegenteils Beweiskraft.]</w:t>
      </w:r>
    </w:p>
    <w:p w14:paraId="08DC67CA" w14:textId="77777777" w:rsidR="0006720F" w:rsidRPr="009118AB" w:rsidRDefault="0006720F"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18956E4" w14:textId="5F19A742" w:rsidR="0006720F" w:rsidRPr="009118AB" w:rsidRDefault="0006720F"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Pr="009118AB">
        <w:rPr>
          <w:rFonts w:eastAsia="Calibri"/>
          <w:kern w:val="2"/>
          <w:szCs w:val="22"/>
          <w:lang w:eastAsia="en-US"/>
          <w14:ligatures w14:val="standardContextual"/>
        </w:rPr>
        <w:t xml:space="preserve">Unbeschadet der Anwendung von Artikel 327 </w:t>
      </w:r>
      <w:r w:rsidR="00D67EB8" w:rsidRPr="009118AB">
        <w:rPr>
          <w:rFonts w:eastAsia="Calibri"/>
          <w:kern w:val="2"/>
          <w:szCs w:val="22"/>
          <w:lang w:eastAsia="en-US"/>
          <w14:ligatures w14:val="standardContextual"/>
        </w:rPr>
        <w:t>§ </w:t>
      </w:r>
      <w:r w:rsidRPr="009118AB">
        <w:rPr>
          <w:rFonts w:eastAsia="Calibri"/>
          <w:kern w:val="2"/>
          <w:szCs w:val="22"/>
          <w:lang w:eastAsia="en-US"/>
          <w14:ligatures w14:val="standardContextual"/>
        </w:rPr>
        <w:t>1 Absatz 2 können die Beweiselemente, die die in Artikel 338</w:t>
      </w:r>
      <w:r w:rsidRPr="009118AB">
        <w:rPr>
          <w:rFonts w:eastAsia="Calibri"/>
          <w:i/>
          <w:iCs/>
          <w:kern w:val="2"/>
          <w:szCs w:val="22"/>
          <w:lang w:eastAsia="en-US"/>
          <w14:ligatures w14:val="standardContextual"/>
        </w:rPr>
        <w:t>quater</w:t>
      </w:r>
      <w:r w:rsidRPr="009118AB">
        <w:rPr>
          <w:rFonts w:eastAsia="Calibri"/>
          <w:kern w:val="2"/>
          <w:szCs w:val="22"/>
          <w:lang w:eastAsia="en-US"/>
          <w14:ligatures w14:val="standardContextual"/>
        </w:rPr>
        <w:t xml:space="preserve"> </w:t>
      </w:r>
      <w:r w:rsidR="00D67EB8" w:rsidRPr="009118AB">
        <w:rPr>
          <w:rFonts w:eastAsia="Calibri"/>
          <w:kern w:val="2"/>
          <w:szCs w:val="22"/>
          <w:lang w:eastAsia="en-US"/>
          <w14:ligatures w14:val="standardContextual"/>
        </w:rPr>
        <w:t>§ </w:t>
      </w:r>
      <w:r w:rsidRPr="009118AB">
        <w:rPr>
          <w:rFonts w:eastAsia="Calibri"/>
          <w:kern w:val="2"/>
          <w:szCs w:val="22"/>
          <w:lang w:eastAsia="en-US"/>
          <w14:ligatures w14:val="standardContextual"/>
        </w:rPr>
        <w:t>1 erwähnten Steuerbeamten des Föderalen Öffentlichen Dienstes Finanzen bei ihrer Mitarbeit in einem in Artikel 338</w:t>
      </w:r>
      <w:r w:rsidRPr="009118AB">
        <w:rPr>
          <w:rFonts w:eastAsia="Calibri"/>
          <w:i/>
          <w:iCs/>
          <w:kern w:val="2"/>
          <w:szCs w:val="22"/>
          <w:lang w:eastAsia="en-US"/>
          <w14:ligatures w14:val="standardContextual"/>
        </w:rPr>
        <w:t>quater</w:t>
      </w:r>
      <w:r w:rsidRPr="009118AB">
        <w:rPr>
          <w:rFonts w:eastAsia="Calibri"/>
          <w:kern w:val="2"/>
          <w:szCs w:val="22"/>
          <w:lang w:eastAsia="en-US"/>
          <w14:ligatures w14:val="standardContextual"/>
        </w:rPr>
        <w:t xml:space="preserve"> </w:t>
      </w:r>
      <w:r w:rsidR="00D67EB8" w:rsidRPr="009118AB">
        <w:rPr>
          <w:rFonts w:eastAsia="Calibri"/>
          <w:kern w:val="2"/>
          <w:szCs w:val="22"/>
          <w:lang w:eastAsia="en-US"/>
          <w14:ligatures w14:val="standardContextual"/>
        </w:rPr>
        <w:t>§ </w:t>
      </w:r>
      <w:r w:rsidRPr="009118AB">
        <w:rPr>
          <w:rFonts w:eastAsia="Calibri"/>
          <w:kern w:val="2"/>
          <w:szCs w:val="22"/>
          <w:lang w:eastAsia="en-US"/>
          <w14:ligatures w14:val="standardContextual"/>
        </w:rPr>
        <w:t>2 erwähnten gemischten multidisziplinären Ermittlungsteam sammeln, zur Festlegung des Bestehens und des Betrags der Steuerschuld und zur Feststellung eines Verstoßes gegen die Bestimmungen des vorliegenden Gesetzbuches oder seiner Ausführungserlasse verwendet werden.</w:t>
      </w:r>
      <w:r w:rsidRPr="009118AB">
        <w:t>]</w:t>
      </w:r>
    </w:p>
    <w:p w14:paraId="37FD42C5" w14:textId="77777777" w:rsidR="000D3D10" w:rsidRPr="009118AB" w:rsidRDefault="000D3D10"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F74C5F" w14:textId="02F982C0" w:rsidR="000D3D10" w:rsidRPr="009118AB" w:rsidRDefault="000D3D10"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340 ersetzt durch </w:t>
      </w:r>
      <w:r w:rsidR="00D67EB8" w:rsidRPr="009118AB">
        <w:rPr>
          <w:i/>
        </w:rPr>
        <w:t>Art. </w:t>
      </w:r>
      <w:r w:rsidRPr="009118AB">
        <w:rPr>
          <w:i/>
        </w:rPr>
        <w:t>135</w:t>
      </w:r>
      <w:r w:rsidRPr="009118AB">
        <w:rPr>
          <w:i/>
          <w:iCs/>
        </w:rPr>
        <w:t xml:space="preserve"> </w:t>
      </w:r>
      <w:r w:rsidRPr="009118AB">
        <w:rPr>
          <w:i/>
        </w:rPr>
        <w:t>des G. vom 23. Dezember 2009 (B.S. vom 30. Dezember 2009)</w:t>
      </w:r>
      <w:r w:rsidR="004C5E96" w:rsidRPr="009118AB">
        <w:rPr>
          <w:i/>
        </w:rPr>
        <w:t xml:space="preserve">; </w:t>
      </w:r>
      <w:r w:rsidR="00D67EB8" w:rsidRPr="009118AB">
        <w:rPr>
          <w:i/>
        </w:rPr>
        <w:t>Abs. </w:t>
      </w:r>
      <w:r w:rsidR="004C5E96" w:rsidRPr="009118AB">
        <w:rPr>
          <w:i/>
        </w:rPr>
        <w:t xml:space="preserve">1 abgeändert durch </w:t>
      </w:r>
      <w:r w:rsidR="00D67EB8" w:rsidRPr="009118AB">
        <w:rPr>
          <w:i/>
        </w:rPr>
        <w:t>Art. </w:t>
      </w:r>
      <w:r w:rsidR="004C5E96" w:rsidRPr="009118AB">
        <w:rPr>
          <w:i/>
        </w:rPr>
        <w:t>19</w:t>
      </w:r>
      <w:r w:rsidR="004C5E96" w:rsidRPr="009118AB">
        <w:rPr>
          <w:i/>
          <w:iCs/>
        </w:rPr>
        <w:t xml:space="preserve"> des G. vom 28. Dezember 2011 (B.S. vom 30. Dezember 2011)</w:t>
      </w:r>
      <w:r w:rsidR="0006720F" w:rsidRPr="009118AB">
        <w:rPr>
          <w:i/>
          <w:iCs/>
        </w:rPr>
        <w:t xml:space="preserve">; </w:t>
      </w:r>
      <w:r w:rsidR="00D67EB8" w:rsidRPr="009118AB">
        <w:rPr>
          <w:i/>
          <w:iCs/>
        </w:rPr>
        <w:t>Abs. </w:t>
      </w:r>
      <w:r w:rsidR="0006720F" w:rsidRPr="009118AB">
        <w:rPr>
          <w:i/>
          <w:iCs/>
        </w:rPr>
        <w:t xml:space="preserve">3 eingefügt durch </w:t>
      </w:r>
      <w:r w:rsidR="00D67EB8" w:rsidRPr="009118AB">
        <w:rPr>
          <w:i/>
          <w:iCs/>
        </w:rPr>
        <w:t>Art. </w:t>
      </w:r>
      <w:r w:rsidR="0006720F" w:rsidRPr="009118AB">
        <w:rPr>
          <w:i/>
          <w:iCs/>
        </w:rPr>
        <w:t>12 des G. vom 17. März 2022 (B.S. vom 25.</w:t>
      </w:r>
      <w:r w:rsidR="001761B1" w:rsidRPr="009118AB">
        <w:rPr>
          <w:i/>
          <w:iCs/>
        </w:rPr>
        <w:t> </w:t>
      </w:r>
      <w:r w:rsidR="0006720F" w:rsidRPr="009118AB">
        <w:rPr>
          <w:i/>
          <w:iCs/>
        </w:rPr>
        <w:t>März</w:t>
      </w:r>
      <w:r w:rsidR="001761B1" w:rsidRPr="009118AB">
        <w:rPr>
          <w:i/>
          <w:iCs/>
        </w:rPr>
        <w:t> </w:t>
      </w:r>
      <w:r w:rsidR="0006720F" w:rsidRPr="009118AB">
        <w:rPr>
          <w:i/>
          <w:iCs/>
        </w:rPr>
        <w:t>2022)</w:t>
      </w:r>
      <w:r w:rsidR="00D67EB8" w:rsidRPr="009118AB">
        <w:rPr>
          <w:i/>
          <w:iCs/>
        </w:rPr>
        <w:t> - </w:t>
      </w:r>
      <w:r w:rsidR="0006720F" w:rsidRPr="009118AB">
        <w:rPr>
          <w:i/>
          <w:iCs/>
        </w:rPr>
        <w:t>in Kraft am 1.</w:t>
      </w:r>
      <w:r w:rsidR="001761B1" w:rsidRPr="009118AB">
        <w:rPr>
          <w:i/>
          <w:iCs/>
        </w:rPr>
        <w:t> </w:t>
      </w:r>
      <w:r w:rsidR="0006720F" w:rsidRPr="009118AB">
        <w:rPr>
          <w:i/>
          <w:iCs/>
        </w:rPr>
        <w:t>Juli</w:t>
      </w:r>
      <w:r w:rsidR="001761B1" w:rsidRPr="009118AB">
        <w:rPr>
          <w:i/>
          <w:iCs/>
        </w:rPr>
        <w:t> </w:t>
      </w:r>
      <w:r w:rsidR="0006720F" w:rsidRPr="009118AB">
        <w:rPr>
          <w:i/>
          <w:iCs/>
        </w:rPr>
        <w:t>2022</w:t>
      </w:r>
      <w:r w:rsidR="00FD68E8" w:rsidRPr="009118AB">
        <w:rPr>
          <w:i/>
          <w:iCs/>
        </w:rPr>
        <w:t> -]</w:t>
      </w:r>
    </w:p>
    <w:p w14:paraId="6F3992F4" w14:textId="77777777" w:rsidR="000D3D10" w:rsidRPr="009118AB" w:rsidRDefault="000D3D10"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0EC78E8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8B4B76D" w14:textId="5180121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341</w:t>
      </w:r>
      <w:r w:rsidR="00D67EB8" w:rsidRPr="009118AB">
        <w:t> - </w:t>
      </w:r>
      <w:r w:rsidRPr="009118AB">
        <w:t>Außer bei Beweis des Gegenteils kann die Veranschlagung der steuerpflichtigen Grundlage für juristische und natürliche Personen gemäß Zeichen und Indizien durchgeführt werden, aus denen ein größerer Wohlstand hervorgeht als aus den angegebenen Einkünften.</w:t>
      </w:r>
    </w:p>
    <w:p w14:paraId="67EDA24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2770A7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118AB">
        <w:rPr>
          <w:spacing w:val="2"/>
        </w:rPr>
        <w:tab/>
        <w:t xml:space="preserve">Wenn der von einem Steuerpflichtigen gelieferte Gegenbeweis sich auf den Verkauf von Wertpapieren oder anderen Finanzinstrumenten bezieht, die er als Anlage erworben hat, haben geltend gemachte Schlussnoten über Kauf oder Verkauf von Wertpapieren oder geltend gemachte Kauf- oder Verkaufsunterlagen gegenüber der </w:t>
      </w:r>
      <w:r w:rsidR="00D52799" w:rsidRPr="009118AB">
        <w:t xml:space="preserve">[mit der Festlegung der Einkommensteuern beauftragten Verwaltung] </w:t>
      </w:r>
      <w:r w:rsidRPr="009118AB">
        <w:rPr>
          <w:spacing w:val="2"/>
        </w:rPr>
        <w:t xml:space="preserve">nur Beweiskraft, wenn sie den Vermerk </w:t>
      </w:r>
      <w:r w:rsidR="00117C1A" w:rsidRPr="009118AB">
        <w:rPr>
          <w:spacing w:val="2"/>
        </w:rPr>
        <w:t>"</w:t>
      </w:r>
      <w:r w:rsidRPr="009118AB">
        <w:rPr>
          <w:spacing w:val="2"/>
        </w:rPr>
        <w:t>auf Namen lautend</w:t>
      </w:r>
      <w:r w:rsidR="00117C1A" w:rsidRPr="009118AB">
        <w:rPr>
          <w:spacing w:val="2"/>
        </w:rPr>
        <w:t>"</w:t>
      </w:r>
      <w:r w:rsidRPr="009118AB">
        <w:rPr>
          <w:spacing w:val="2"/>
        </w:rPr>
        <w:t xml:space="preserve"> aufweisen und auf den Namen des Steuerpflichtigen oder der Personen, deren Rechtsnachfolger er ist, ausgestellt wurden.</w:t>
      </w:r>
    </w:p>
    <w:p w14:paraId="4BD8F8B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DCAE9AF" w14:textId="271DAADB" w:rsidR="00D52799" w:rsidRPr="009118AB" w:rsidRDefault="00D5279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w:t>
      </w:r>
      <w:r w:rsidR="00D67EB8" w:rsidRPr="009118AB">
        <w:rPr>
          <w:i/>
        </w:rPr>
        <w:t>Art. </w:t>
      </w:r>
      <w:r w:rsidR="00153AB0" w:rsidRPr="009118AB">
        <w:rPr>
          <w:i/>
        </w:rPr>
        <w:t xml:space="preserve">341 </w:t>
      </w:r>
      <w:r w:rsidR="00D67EB8" w:rsidRPr="009118AB">
        <w:rPr>
          <w:i/>
        </w:rPr>
        <w:t>Abs. </w:t>
      </w:r>
      <w:r w:rsidRPr="009118AB">
        <w:rPr>
          <w:i/>
        </w:rPr>
        <w:t xml:space="preserve">2 abgeändert durch </w:t>
      </w:r>
      <w:r w:rsidR="00D67EB8" w:rsidRPr="009118AB">
        <w:rPr>
          <w:i/>
        </w:rPr>
        <w:t>Art. </w:t>
      </w:r>
      <w:r w:rsidRPr="009118AB">
        <w:rPr>
          <w:i/>
        </w:rPr>
        <w:t>1</w:t>
      </w:r>
      <w:r w:rsidR="000B49EE" w:rsidRPr="009118AB">
        <w:rPr>
          <w:i/>
        </w:rPr>
        <w:t>6</w:t>
      </w:r>
      <w:r w:rsidRPr="009118AB">
        <w:rPr>
          <w:i/>
          <w:iCs/>
        </w:rPr>
        <w:t xml:space="preserve"> des G. vom 25. April 2014 (I) (B.S. vom 16. Mai 2014)</w:t>
      </w:r>
      <w:r w:rsidR="00D67EB8" w:rsidRPr="009118AB">
        <w:rPr>
          <w:i/>
          <w:iCs/>
        </w:rPr>
        <w:t> - </w:t>
      </w:r>
      <w:r w:rsidRPr="009118AB">
        <w:rPr>
          <w:i/>
          <w:iCs/>
        </w:rPr>
        <w:t>in Kraft am 16. Mai 2014</w:t>
      </w:r>
      <w:r w:rsidR="00FD68E8" w:rsidRPr="009118AB">
        <w:rPr>
          <w:i/>
          <w:iCs/>
        </w:rPr>
        <w:t> -]</w:t>
      </w:r>
    </w:p>
    <w:p w14:paraId="4C73D0EA" w14:textId="77777777" w:rsidR="00D52799" w:rsidRPr="009118AB" w:rsidRDefault="00D5279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122281E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812797" w14:textId="035AFC77" w:rsidR="007B1DB9" w:rsidRPr="009118AB" w:rsidRDefault="00477B8F"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tab/>
      </w:r>
      <w:r w:rsidR="00D67EB8" w:rsidRPr="009118AB">
        <w:rPr>
          <w:b/>
          <w:bCs/>
        </w:rPr>
        <w:t>Art. </w:t>
      </w:r>
      <w:r w:rsidRPr="009118AB">
        <w:rPr>
          <w:b/>
          <w:bCs/>
        </w:rPr>
        <w:t>342</w:t>
      </w:r>
      <w:r w:rsidR="00D67EB8" w:rsidRPr="009118AB">
        <w:t> - </w:t>
      </w:r>
      <w:r w:rsidR="00D67EB8" w:rsidRPr="009118AB">
        <w:rPr>
          <w:iCs/>
          <w:szCs w:val="20"/>
        </w:rPr>
        <w:t>§ </w:t>
      </w:r>
      <w:r w:rsidR="007B1DB9" w:rsidRPr="009118AB">
        <w:rPr>
          <w:iCs/>
          <w:szCs w:val="20"/>
        </w:rPr>
        <w:t>1</w:t>
      </w:r>
      <w:r w:rsidR="00D67EB8" w:rsidRPr="009118AB">
        <w:rPr>
          <w:iCs/>
          <w:szCs w:val="20"/>
        </w:rPr>
        <w:t> - </w:t>
      </w:r>
      <w:r w:rsidR="007B1DB9" w:rsidRPr="009118AB">
        <w:rPr>
          <w:iCs/>
          <w:szCs w:val="20"/>
        </w:rPr>
        <w:t xml:space="preserve">In Ermangelung beweiskräftiger Angaben, die entweder von den Betreffenden oder der Verwaltung beigebracht werden, werden in Artikel 23 </w:t>
      </w:r>
      <w:r w:rsidR="00D67EB8" w:rsidRPr="009118AB">
        <w:rPr>
          <w:iCs/>
          <w:szCs w:val="20"/>
        </w:rPr>
        <w:t>§ </w:t>
      </w:r>
      <w:r w:rsidR="007B1DB9" w:rsidRPr="009118AB">
        <w:rPr>
          <w:iCs/>
          <w:szCs w:val="20"/>
        </w:rPr>
        <w:t xml:space="preserve">1 </w:t>
      </w:r>
      <w:r w:rsidR="00D67EB8" w:rsidRPr="009118AB">
        <w:rPr>
          <w:iCs/>
          <w:szCs w:val="20"/>
        </w:rPr>
        <w:t>Nr. </w:t>
      </w:r>
      <w:r w:rsidR="007B1DB9" w:rsidRPr="009118AB">
        <w:rPr>
          <w:iCs/>
          <w:szCs w:val="20"/>
        </w:rPr>
        <w:t>1 und 2 erwähnte Gewinne oder Profite für jeden Steuerpflichtigen bestimmt unter Berücksichtigung der normalen Gewinne oder Profite von mindestens drei ähnlichen Steuerpflichtigen und unter Berücksichtigung je nach Fall des investierten Kapitals, des Umsatzes, der Anzahl Arbeiter, der verwendeten Antriebskraft, des Mietwertes der bewirtschafteten Ländereien und aller anderen zweckdienlichen Auskünfte.</w:t>
      </w:r>
    </w:p>
    <w:p w14:paraId="16D87D76" w14:textId="77777777"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0A51D4CA" w14:textId="04047B96" w:rsidR="007B1DB9"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rPr>
          <w:iCs/>
          <w:szCs w:val="20"/>
        </w:rPr>
        <w:tab/>
      </w:r>
      <w:r w:rsidR="007B1DB9" w:rsidRPr="009118AB">
        <w:rPr>
          <w:iCs/>
          <w:szCs w:val="20"/>
        </w:rPr>
        <w:t>Die Verwaltung kann zu diesem Zweck im Einvernehmen mit den betreffenden Berufsvereinigungen pauschale Veranlagungsgrundlagen festlegen.</w:t>
      </w:r>
    </w:p>
    <w:p w14:paraId="005CF05A" w14:textId="77777777"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087D4B32" w14:textId="3B05DA92" w:rsidR="007B1DB9"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rPr>
          <w:iCs/>
          <w:szCs w:val="20"/>
        </w:rPr>
        <w:tab/>
      </w:r>
      <w:r w:rsidR="007B1DB9" w:rsidRPr="009118AB">
        <w:rPr>
          <w:iCs/>
          <w:szCs w:val="20"/>
        </w:rPr>
        <w:t>In vorhergehendem Absatz erwähnte pauschale Veranlagungsgrundlagen dürfen für drei aufeinander folgende Steuerjahre festgelegt werden.</w:t>
      </w:r>
    </w:p>
    <w:p w14:paraId="49BA6DDE" w14:textId="77777777"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1015C86A" w14:textId="6A9EEBE7" w:rsidR="007B1DB9"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rPr>
          <w:iCs/>
          <w:szCs w:val="20"/>
        </w:rPr>
        <w:tab/>
      </w:r>
      <w:r w:rsidR="007B1DB9" w:rsidRPr="009118AB">
        <w:rPr>
          <w:iCs/>
          <w:szCs w:val="20"/>
        </w:rPr>
        <w:t>Die Verwaltung kann ebenfalls im Einvernehmen mit den betreffenden Berufsvereinigungen Pauschalbeträge für die Veranschlagung von Werbungskosten, die gewöhnlich nicht mit Belegen nachgewiesen werden können, festlegen.</w:t>
      </w:r>
    </w:p>
    <w:p w14:paraId="2EB64ED8" w14:textId="77777777"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22FB811F" w14:textId="4DF14C30" w:rsidR="007B1DB9"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rPr>
          <w:iCs/>
          <w:szCs w:val="20"/>
        </w:rPr>
        <w:tab/>
      </w:r>
      <w:r w:rsidR="00D67EB8" w:rsidRPr="009118AB">
        <w:rPr>
          <w:iCs/>
          <w:szCs w:val="20"/>
        </w:rPr>
        <w:t>§ </w:t>
      </w:r>
      <w:r w:rsidR="007B1DB9" w:rsidRPr="009118AB">
        <w:rPr>
          <w:iCs/>
          <w:szCs w:val="20"/>
        </w:rPr>
        <w:t>2</w:t>
      </w:r>
      <w:r w:rsidR="00D67EB8" w:rsidRPr="009118AB">
        <w:rPr>
          <w:iCs/>
          <w:szCs w:val="20"/>
        </w:rPr>
        <w:t> - </w:t>
      </w:r>
      <w:r w:rsidR="007B1DB9" w:rsidRPr="009118AB">
        <w:rPr>
          <w:iCs/>
          <w:szCs w:val="20"/>
        </w:rPr>
        <w:t xml:space="preserve">Der König bestimmt unter Berücksichtigung der in </w:t>
      </w:r>
      <w:r w:rsidR="00D67EB8" w:rsidRPr="009118AB">
        <w:rPr>
          <w:iCs/>
          <w:szCs w:val="20"/>
        </w:rPr>
        <w:t>§ </w:t>
      </w:r>
      <w:r w:rsidR="007B1DB9" w:rsidRPr="009118AB">
        <w:rPr>
          <w:iCs/>
          <w:szCs w:val="20"/>
        </w:rPr>
        <w:t>1 Absatz 1 erwähnten Angaben den Mindestbetrag der Gewinne, die für die in Belgien tätigen ausländischen Betriebe steuerpflichtig sind.</w:t>
      </w:r>
    </w:p>
    <w:p w14:paraId="25955522" w14:textId="77777777"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6CEFCF24" w14:textId="75F6E772" w:rsidR="007B1DB9"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rPr>
          <w:iCs/>
          <w:szCs w:val="20"/>
        </w:rPr>
        <w:tab/>
      </w:r>
      <w:r w:rsidR="007B1DB9" w:rsidRPr="009118AB">
        <w:rPr>
          <w:iCs/>
          <w:szCs w:val="20"/>
        </w:rPr>
        <w:t>[</w:t>
      </w:r>
      <w:r w:rsidR="00D67EB8" w:rsidRPr="009118AB">
        <w:rPr>
          <w:iCs/>
          <w:szCs w:val="20"/>
        </w:rPr>
        <w:t>§ </w:t>
      </w:r>
      <w:r w:rsidR="007B1DB9" w:rsidRPr="009118AB">
        <w:rPr>
          <w:iCs/>
          <w:szCs w:val="20"/>
        </w:rPr>
        <w:t>3</w:t>
      </w:r>
      <w:r w:rsidR="00D67EB8" w:rsidRPr="009118AB">
        <w:rPr>
          <w:iCs/>
          <w:szCs w:val="20"/>
        </w:rPr>
        <w:t> - </w:t>
      </w:r>
      <w:r w:rsidR="007B1DB9" w:rsidRPr="009118AB">
        <w:rPr>
          <w:iCs/>
          <w:szCs w:val="20"/>
        </w:rPr>
        <w:t xml:space="preserve">Bei Nichtabgabe oder verspäteter Einreichung einer Erklärung sind die vom König in Ausführung von </w:t>
      </w:r>
      <w:r w:rsidR="00D67EB8" w:rsidRPr="009118AB">
        <w:rPr>
          <w:iCs/>
          <w:szCs w:val="20"/>
        </w:rPr>
        <w:t>§ </w:t>
      </w:r>
      <w:r w:rsidR="007B1DB9" w:rsidRPr="009118AB">
        <w:rPr>
          <w:iCs/>
          <w:szCs w:val="20"/>
        </w:rPr>
        <w:t>2 festgelegten Mindestbeträge ebenfalls auf Unternehmen und Inhaber eines freien Berufs anwendbar.]</w:t>
      </w:r>
    </w:p>
    <w:p w14:paraId="46EA9775" w14:textId="77777777"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30C13540" w14:textId="2B600D1D" w:rsidR="007B1DB9"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rPr>
          <w:iCs/>
          <w:szCs w:val="20"/>
        </w:rPr>
        <w:tab/>
      </w:r>
      <w:r w:rsidR="007B1DB9" w:rsidRPr="009118AB">
        <w:rPr>
          <w:iCs/>
          <w:szCs w:val="20"/>
        </w:rPr>
        <w:t>[</w:t>
      </w:r>
      <w:r w:rsidR="00D67EB8" w:rsidRPr="009118AB">
        <w:rPr>
          <w:iCs/>
          <w:szCs w:val="20"/>
        </w:rPr>
        <w:t>§ </w:t>
      </w:r>
      <w:r w:rsidR="007B1DB9" w:rsidRPr="009118AB">
        <w:rPr>
          <w:iCs/>
          <w:szCs w:val="20"/>
        </w:rPr>
        <w:t>4</w:t>
      </w:r>
      <w:r w:rsidR="00D67EB8" w:rsidRPr="009118AB">
        <w:rPr>
          <w:iCs/>
          <w:szCs w:val="20"/>
        </w:rPr>
        <w:t> - </w:t>
      </w:r>
      <w:r w:rsidR="007B1DB9" w:rsidRPr="009118AB">
        <w:rPr>
          <w:iCs/>
          <w:szCs w:val="20"/>
        </w:rPr>
        <w:t xml:space="preserve">Bei Nichtabgabe oder verspäteter Einreichung einer Erklärung durch ein Unternehmen, das gemäß Artikel 227 </w:t>
      </w:r>
      <w:r w:rsidR="00D67EB8" w:rsidRPr="009118AB">
        <w:rPr>
          <w:iCs/>
          <w:szCs w:val="20"/>
        </w:rPr>
        <w:t>Nr. </w:t>
      </w:r>
      <w:r w:rsidR="007B1DB9" w:rsidRPr="009118AB">
        <w:rPr>
          <w:iCs/>
          <w:szCs w:val="20"/>
        </w:rPr>
        <w:t>2 der Gesellschaftssteuer oder der Steuer der Gebietsfremden unterliegt, wird der Mindestbetrag der steuerpflichtigen Gewinne auf [40.000 EUR] festgelegt.</w:t>
      </w:r>
    </w:p>
    <w:p w14:paraId="7F24B89B" w14:textId="77777777"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3ECB02C7" w14:textId="6BD74997" w:rsidR="007B1DB9"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rPr>
          <w:iCs/>
          <w:szCs w:val="20"/>
        </w:rPr>
        <w:tab/>
      </w:r>
      <w:r w:rsidR="007B1DB9" w:rsidRPr="009118AB">
        <w:rPr>
          <w:iCs/>
          <w:szCs w:val="20"/>
        </w:rPr>
        <w:t>Bei wiederholten Verstößen wird dieser Betrag gemäß einer Tabelle erhöht, deren Staffelung vom König bestimmt wird und zwischen mindestens 25 Prozent und höchstens 200 Prozent liegt.]</w:t>
      </w:r>
    </w:p>
    <w:p w14:paraId="0D365880" w14:textId="77777777"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78EDCF8F" w14:textId="72CA2560" w:rsidR="007B1DB9"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rPr>
          <w:iCs/>
          <w:szCs w:val="20"/>
        </w:rPr>
        <w:tab/>
      </w:r>
      <w:r w:rsidR="007B1DB9" w:rsidRPr="009118AB">
        <w:rPr>
          <w:iCs/>
          <w:szCs w:val="20"/>
        </w:rPr>
        <w:t xml:space="preserve">[Der Mindestbetrag der steuerpflichtigen Gewinne wird jährlich gemäß den Regeln von Artikel 178 </w:t>
      </w:r>
      <w:r w:rsidR="00D67EB8" w:rsidRPr="009118AB">
        <w:rPr>
          <w:iCs/>
          <w:szCs w:val="20"/>
        </w:rPr>
        <w:t>§ </w:t>
      </w:r>
      <w:r w:rsidR="007B1DB9" w:rsidRPr="009118AB">
        <w:rPr>
          <w:iCs/>
          <w:szCs w:val="20"/>
        </w:rPr>
        <w:t>2 indexiert, wobei der Betrag von 40.000 EUR zunächst durch den Indexie</w:t>
      </w:r>
      <w:r w:rsidR="007B1DB9" w:rsidRPr="009118AB">
        <w:rPr>
          <w:iCs/>
          <w:szCs w:val="20"/>
        </w:rPr>
        <w:softHyphen/>
        <w:t>rungskoeffizienten, der für das Steuerjahr 2020 anwendbar ist, geteilt wird und das Ergebnis dann auf das größere oder kleinere Vielfache von 100 EUR abgerundet wird, je nachdem ob die Ziffern der Einer und der Zehner 50 erreichen oder nicht.]</w:t>
      </w:r>
    </w:p>
    <w:p w14:paraId="56408F78" w14:textId="77777777"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05CCC571" w14:textId="2FA3501F" w:rsidR="007B1DB9" w:rsidRPr="009118AB"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118AB">
        <w:rPr>
          <w:i/>
          <w:iCs/>
          <w:szCs w:val="20"/>
        </w:rPr>
        <w:t>[</w:t>
      </w:r>
      <w:r w:rsidR="00D67EB8" w:rsidRPr="009118AB">
        <w:rPr>
          <w:i/>
          <w:iCs/>
          <w:szCs w:val="20"/>
        </w:rPr>
        <w:t>Art. </w:t>
      </w:r>
      <w:r w:rsidRPr="009118AB">
        <w:rPr>
          <w:i/>
          <w:iCs/>
          <w:szCs w:val="20"/>
        </w:rPr>
        <w:t xml:space="preserve">342 </w:t>
      </w:r>
      <w:r w:rsidR="00D67EB8" w:rsidRPr="009118AB">
        <w:rPr>
          <w:i/>
          <w:iCs/>
          <w:szCs w:val="20"/>
        </w:rPr>
        <w:t>§ </w:t>
      </w:r>
      <w:r w:rsidRPr="009118AB">
        <w:rPr>
          <w:i/>
          <w:iCs/>
          <w:szCs w:val="20"/>
        </w:rPr>
        <w:t xml:space="preserve">3 eingefügt durch </w:t>
      </w:r>
      <w:r w:rsidR="00D67EB8" w:rsidRPr="009118AB">
        <w:rPr>
          <w:i/>
          <w:iCs/>
          <w:szCs w:val="20"/>
        </w:rPr>
        <w:t>Art. </w:t>
      </w:r>
      <w:r w:rsidRPr="009118AB">
        <w:rPr>
          <w:i/>
          <w:iCs/>
          <w:szCs w:val="20"/>
        </w:rPr>
        <w:t>41 des G. vom 11. Juli 2005 (B.S. vom 12. Juli 2005)</w:t>
      </w:r>
      <w:r w:rsidR="00D67EB8" w:rsidRPr="009118AB">
        <w:rPr>
          <w:i/>
          <w:iCs/>
          <w:szCs w:val="20"/>
        </w:rPr>
        <w:t> - </w:t>
      </w:r>
      <w:r w:rsidRPr="009118AB">
        <w:rPr>
          <w:i/>
          <w:iCs/>
          <w:szCs w:val="20"/>
        </w:rPr>
        <w:t>anwendbar ab dem Steuerjahr 2005 bei Nichtabgabe einer Erklärung und bei verspäteter Einreichung einer Erklärung nach dem 22. Juli 2005</w:t>
      </w:r>
      <w:r w:rsidR="003366D9" w:rsidRPr="009118AB">
        <w:rPr>
          <w:i/>
          <w:iCs/>
          <w:szCs w:val="20"/>
        </w:rPr>
        <w:t> -;</w:t>
      </w:r>
      <w:r w:rsidRPr="009118AB">
        <w:rPr>
          <w:i/>
          <w:iCs/>
          <w:szCs w:val="20"/>
        </w:rPr>
        <w:t xml:space="preserve"> </w:t>
      </w:r>
      <w:r w:rsidR="00D67EB8" w:rsidRPr="009118AB">
        <w:rPr>
          <w:i/>
          <w:iCs/>
          <w:szCs w:val="20"/>
        </w:rPr>
        <w:t>§ </w:t>
      </w:r>
      <w:r w:rsidRPr="009118AB">
        <w:rPr>
          <w:i/>
          <w:iCs/>
          <w:szCs w:val="20"/>
        </w:rPr>
        <w:t xml:space="preserve">4 eingefügt durch </w:t>
      </w:r>
      <w:r w:rsidR="00D67EB8" w:rsidRPr="009118AB">
        <w:rPr>
          <w:i/>
          <w:iCs/>
          <w:szCs w:val="20"/>
        </w:rPr>
        <w:t>Art. </w:t>
      </w:r>
      <w:r w:rsidRPr="009118AB">
        <w:rPr>
          <w:i/>
          <w:iCs/>
          <w:szCs w:val="20"/>
        </w:rPr>
        <w:t>74 des G. vom 25. Dezember 2017 (III) (B.S. vom 29. Dezember 2017)</w:t>
      </w:r>
      <w:r w:rsidR="00D67EB8" w:rsidRPr="009118AB">
        <w:rPr>
          <w:i/>
          <w:iCs/>
          <w:szCs w:val="20"/>
        </w:rPr>
        <w:t> - </w:t>
      </w:r>
      <w:r w:rsidRPr="009118AB">
        <w:rPr>
          <w:i/>
          <w:iCs/>
          <w:szCs w:val="20"/>
        </w:rPr>
        <w:t>in Kraft am 1. Januar 2018 und anwendbar ab dem Steuerjahr 2019, das sich auf einen Besteuerungszeitraum bezieht, der frühestens am 1. Januar 2018 beginnt</w:t>
      </w:r>
      <w:r w:rsidR="003366D9" w:rsidRPr="009118AB">
        <w:rPr>
          <w:i/>
          <w:iCs/>
          <w:szCs w:val="20"/>
        </w:rPr>
        <w:t> -;</w:t>
      </w:r>
      <w:r w:rsidRPr="009118AB">
        <w:rPr>
          <w:i/>
          <w:iCs/>
          <w:szCs w:val="20"/>
        </w:rPr>
        <w:t xml:space="preserve"> </w:t>
      </w:r>
      <w:r w:rsidR="00D67EB8" w:rsidRPr="009118AB">
        <w:rPr>
          <w:i/>
          <w:iCs/>
          <w:szCs w:val="20"/>
        </w:rPr>
        <w:t>§ </w:t>
      </w:r>
      <w:r w:rsidRPr="009118AB">
        <w:rPr>
          <w:i/>
          <w:iCs/>
          <w:szCs w:val="20"/>
        </w:rPr>
        <w:t xml:space="preserve">4 </w:t>
      </w:r>
      <w:r w:rsidR="00D67EB8" w:rsidRPr="009118AB">
        <w:rPr>
          <w:i/>
          <w:iCs/>
          <w:szCs w:val="20"/>
        </w:rPr>
        <w:t>Abs. </w:t>
      </w:r>
      <w:r w:rsidRPr="009118AB">
        <w:rPr>
          <w:i/>
          <w:iCs/>
          <w:szCs w:val="20"/>
        </w:rPr>
        <w:t xml:space="preserve">1 abgeändert durch </w:t>
      </w:r>
      <w:r w:rsidR="00D67EB8" w:rsidRPr="009118AB">
        <w:rPr>
          <w:i/>
          <w:iCs/>
          <w:szCs w:val="20"/>
        </w:rPr>
        <w:t>Art. </w:t>
      </w:r>
      <w:r w:rsidRPr="009118AB">
        <w:rPr>
          <w:i/>
          <w:iCs/>
          <w:szCs w:val="20"/>
        </w:rPr>
        <w:t xml:space="preserve">75 </w:t>
      </w:r>
      <w:r w:rsidR="00D67EB8" w:rsidRPr="009118AB">
        <w:rPr>
          <w:i/>
          <w:iCs/>
          <w:szCs w:val="20"/>
        </w:rPr>
        <w:t>Nr. </w:t>
      </w:r>
      <w:r w:rsidRPr="009118AB">
        <w:rPr>
          <w:i/>
          <w:iCs/>
          <w:szCs w:val="20"/>
        </w:rPr>
        <w:t>1 des G. vom 25. Dezember 2017 (III) (B.S. vom 29. Dezember 2017)</w:t>
      </w:r>
      <w:r w:rsidR="00D67EB8" w:rsidRPr="009118AB">
        <w:rPr>
          <w:i/>
          <w:iCs/>
          <w:szCs w:val="20"/>
        </w:rPr>
        <w:t> - </w:t>
      </w:r>
      <w:r w:rsidRPr="009118AB">
        <w:rPr>
          <w:i/>
          <w:iCs/>
          <w:szCs w:val="20"/>
        </w:rPr>
        <w:t>in Kraft am 1. Januar 2020 und anwendbar ab dem Steuerjahr 2021, das sich auf einen Besteuerungszeitraum bezieht, der frühestens am 1. Januar 2020 beginnt</w:t>
      </w:r>
      <w:r w:rsidR="003366D9" w:rsidRPr="009118AB">
        <w:rPr>
          <w:i/>
          <w:iCs/>
          <w:szCs w:val="20"/>
        </w:rPr>
        <w:t> -;</w:t>
      </w:r>
      <w:r w:rsidRPr="009118AB">
        <w:rPr>
          <w:i/>
          <w:iCs/>
          <w:szCs w:val="20"/>
        </w:rPr>
        <w:t xml:space="preserve"> </w:t>
      </w:r>
      <w:r w:rsidR="00D67EB8" w:rsidRPr="009118AB">
        <w:rPr>
          <w:i/>
          <w:iCs/>
          <w:szCs w:val="20"/>
        </w:rPr>
        <w:t>§ </w:t>
      </w:r>
      <w:r w:rsidRPr="009118AB">
        <w:rPr>
          <w:i/>
          <w:iCs/>
          <w:szCs w:val="20"/>
        </w:rPr>
        <w:t xml:space="preserve">4 </w:t>
      </w:r>
      <w:r w:rsidR="00D67EB8" w:rsidRPr="009118AB">
        <w:rPr>
          <w:i/>
          <w:iCs/>
          <w:szCs w:val="20"/>
        </w:rPr>
        <w:t>Abs. </w:t>
      </w:r>
      <w:r w:rsidRPr="009118AB">
        <w:rPr>
          <w:i/>
          <w:iCs/>
          <w:szCs w:val="20"/>
        </w:rPr>
        <w:t xml:space="preserve">3 eingefügt durch </w:t>
      </w:r>
      <w:r w:rsidR="00D67EB8" w:rsidRPr="009118AB">
        <w:rPr>
          <w:i/>
          <w:iCs/>
          <w:szCs w:val="20"/>
        </w:rPr>
        <w:t>Art. </w:t>
      </w:r>
      <w:r w:rsidRPr="009118AB">
        <w:rPr>
          <w:i/>
          <w:iCs/>
          <w:szCs w:val="20"/>
        </w:rPr>
        <w:t xml:space="preserve">75 </w:t>
      </w:r>
      <w:r w:rsidR="00D67EB8" w:rsidRPr="009118AB">
        <w:rPr>
          <w:i/>
          <w:iCs/>
          <w:szCs w:val="20"/>
        </w:rPr>
        <w:t>Nr. </w:t>
      </w:r>
      <w:r w:rsidRPr="009118AB">
        <w:rPr>
          <w:i/>
          <w:iCs/>
          <w:szCs w:val="20"/>
        </w:rPr>
        <w:t>2 des G. vom 25. Dezember 2017 (III) (B.S. vom 29. Dezember 2017)</w:t>
      </w:r>
      <w:r w:rsidR="00D67EB8" w:rsidRPr="009118AB">
        <w:rPr>
          <w:i/>
          <w:iCs/>
          <w:szCs w:val="20"/>
        </w:rPr>
        <w:t> - </w:t>
      </w:r>
      <w:r w:rsidRPr="009118AB">
        <w:rPr>
          <w:i/>
          <w:iCs/>
          <w:szCs w:val="20"/>
        </w:rPr>
        <w:t>in Kraft ab dem Steuerjahr 2022</w:t>
      </w:r>
      <w:r w:rsidR="00FD68E8" w:rsidRPr="009118AB">
        <w:rPr>
          <w:i/>
          <w:iCs/>
          <w:szCs w:val="20"/>
        </w:rPr>
        <w:t> -]</w:t>
      </w:r>
    </w:p>
    <w:p w14:paraId="3AEB8490" w14:textId="78495868" w:rsidR="00C23567"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30D194A7" w14:textId="7340A2B5" w:rsidR="00C23567" w:rsidRPr="009118AB"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6566F38F" w14:textId="07DBE93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343</w:t>
      </w:r>
      <w:r w:rsidR="00D67EB8" w:rsidRPr="009118AB">
        <w:t> - </w:t>
      </w:r>
      <w:r w:rsidRPr="009118AB">
        <w:t>[...]</w:t>
      </w:r>
    </w:p>
    <w:p w14:paraId="399A938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A19C4E7" w14:textId="3372BFE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343 aufgehoben durch </w:t>
      </w:r>
      <w:r w:rsidR="00D67EB8" w:rsidRPr="009118AB">
        <w:rPr>
          <w:i/>
          <w:iCs/>
        </w:rPr>
        <w:t>Art. </w:t>
      </w:r>
      <w:r w:rsidRPr="009118AB">
        <w:rPr>
          <w:i/>
          <w:iCs/>
        </w:rPr>
        <w:t>13 des G. vom 15. März 1999 (B.S. vom 27. März 1999</w:t>
      </w:r>
      <w:r w:rsidR="00B64F05" w:rsidRPr="009118AB">
        <w:rPr>
          <w:i/>
          <w:iCs/>
        </w:rPr>
        <w:t>)</w:t>
      </w:r>
      <w:r w:rsidR="00D67EB8" w:rsidRPr="009118AB">
        <w:rPr>
          <w:i/>
          <w:iCs/>
        </w:rPr>
        <w:t> - </w:t>
      </w:r>
      <w:r w:rsidRPr="009118AB">
        <w:rPr>
          <w:i/>
          <w:iCs/>
        </w:rPr>
        <w:t>anwendbar ab dem Steuerjahr 1999</w:t>
      </w:r>
      <w:r w:rsidR="00FD68E8" w:rsidRPr="009118AB">
        <w:rPr>
          <w:i/>
          <w:iCs/>
        </w:rPr>
        <w:t> -]</w:t>
      </w:r>
    </w:p>
    <w:p w14:paraId="49A3DA9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05925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6CB27DC" w14:textId="25BA6B19" w:rsidR="00FE654E" w:rsidRPr="009118AB" w:rsidRDefault="00D67EB8" w:rsidP="00FE654E">
      <w:pPr>
        <w:ind w:firstLine="708"/>
        <w:jc w:val="both"/>
      </w:pPr>
      <w:r w:rsidRPr="009118AB">
        <w:rPr>
          <w:b/>
          <w:bCs/>
        </w:rPr>
        <w:t>Art. </w:t>
      </w:r>
      <w:r w:rsidR="00477B8F" w:rsidRPr="009118AB">
        <w:rPr>
          <w:b/>
          <w:bCs/>
        </w:rPr>
        <w:t>344</w:t>
      </w:r>
      <w:r w:rsidRPr="009118AB">
        <w:t> - </w:t>
      </w:r>
      <w:r w:rsidR="00477B8F" w:rsidRPr="009118AB">
        <w:t>[</w:t>
      </w:r>
      <w:r w:rsidRPr="009118AB">
        <w:t>§ </w:t>
      </w:r>
      <w:r w:rsidR="00477B8F" w:rsidRPr="009118AB">
        <w:t>1</w:t>
      </w:r>
      <w:r w:rsidRPr="009118AB">
        <w:t> - </w:t>
      </w:r>
      <w:r w:rsidR="00FE654E" w:rsidRPr="009118AB">
        <w:t>[Der Verwaltung kann weder die Rechtshandlung noch eine ein selbes Geschäft bewirkende Gesamtheit von Rechtshandlungen entgegengehalten werden, wenn die Verwal</w:t>
      </w:r>
      <w:r w:rsidR="00FE654E" w:rsidRPr="009118AB">
        <w:softHyphen/>
        <w:t>tung aufgrund von Vermutungen oder anderen in Artikel 340 erwähnten Beweismitteln und anhand objektiver Umstände nachweist, dass Steuermissbrauch vorliegt.</w:t>
      </w:r>
    </w:p>
    <w:p w14:paraId="5AC4F51E" w14:textId="77777777" w:rsidR="00FE654E" w:rsidRPr="009118AB" w:rsidRDefault="00FE654E" w:rsidP="00FE654E">
      <w:pPr>
        <w:jc w:val="both"/>
      </w:pPr>
    </w:p>
    <w:p w14:paraId="50FC63B4" w14:textId="77777777" w:rsidR="00FE654E" w:rsidRPr="009118AB" w:rsidRDefault="00FE654E" w:rsidP="00FE654E">
      <w:pPr>
        <w:ind w:firstLine="708"/>
        <w:jc w:val="both"/>
      </w:pPr>
      <w:r w:rsidRPr="009118AB">
        <w:t>Steuermissbrauch liegt vor, wenn ein Steuerpflichtiger durch die Rechtshandlung oder die Gesamtheit von Rechtshandlungen, die er vornimmt, eines der folgenden Geschäfte bewirkt:</w:t>
      </w:r>
    </w:p>
    <w:p w14:paraId="7D89C821" w14:textId="77777777" w:rsidR="00FE654E" w:rsidRPr="009118AB" w:rsidRDefault="00FE654E" w:rsidP="00FE654E">
      <w:pPr>
        <w:jc w:val="both"/>
      </w:pPr>
    </w:p>
    <w:p w14:paraId="29CF8EBA" w14:textId="77777777" w:rsidR="00FE654E" w:rsidRPr="009118AB" w:rsidRDefault="00FE654E" w:rsidP="00FE654E">
      <w:pPr>
        <w:ind w:firstLine="708"/>
        <w:jc w:val="both"/>
      </w:pPr>
      <w:r w:rsidRPr="009118AB">
        <w:t>1. ein Geschäft, durch das er gegen die Zielsetzungen einer Bestimmung des vorliegenden Gesetzbuches oder seiner Ausführungserlasse außerhalb des Geltungsbereichs dieser Bestimmung verstößt, oder</w:t>
      </w:r>
    </w:p>
    <w:p w14:paraId="1AA34F69" w14:textId="77777777" w:rsidR="00FE654E" w:rsidRPr="009118AB" w:rsidRDefault="00FE654E" w:rsidP="00FE654E">
      <w:pPr>
        <w:jc w:val="both"/>
      </w:pPr>
    </w:p>
    <w:p w14:paraId="062A40D2" w14:textId="77777777" w:rsidR="00FE654E" w:rsidRPr="009118AB" w:rsidRDefault="00FE654E" w:rsidP="00FE654E">
      <w:pPr>
        <w:ind w:firstLine="708"/>
        <w:jc w:val="both"/>
      </w:pPr>
      <w:r w:rsidRPr="009118AB">
        <w:t>2. ein Geschäft, durch das er auf einen Steuervorteil Anspruch erhebt, der in einer Bestimmung des vorliegenden Gesetzbuches oder seiner Ausführungserlasse vorgesehen ist und dessen Bewilligung im Widerspruch zu den Zielsetzungen dieser Bestimmung stehen würde, und das im Wesentlichen auf den Erhalt dieses Vorteils abzielt.</w:t>
      </w:r>
    </w:p>
    <w:p w14:paraId="1E056B51" w14:textId="77777777" w:rsidR="00FE654E" w:rsidRPr="009118AB" w:rsidRDefault="00FE654E" w:rsidP="00FE654E">
      <w:pPr>
        <w:jc w:val="both"/>
      </w:pPr>
    </w:p>
    <w:p w14:paraId="50F2D0A6" w14:textId="77777777" w:rsidR="00FE654E" w:rsidRPr="009118AB" w:rsidRDefault="00FE654E" w:rsidP="00FE654E">
      <w:pPr>
        <w:ind w:firstLine="708"/>
        <w:jc w:val="both"/>
      </w:pPr>
      <w:r w:rsidRPr="009118AB">
        <w:t>Es obliegt dem Steuerpflichtigen nachzuweisen, dass die Wahl dieser Rechtshandlung oder dieser Gesamtheit von Rechtshandlungen durch andere Gründe gerechtfertigt ist als dem Willen, Einkommensteuern zu umgehen.</w:t>
      </w:r>
    </w:p>
    <w:p w14:paraId="0E3B626D" w14:textId="77777777" w:rsidR="00FE654E" w:rsidRPr="009118AB" w:rsidRDefault="00FE654E" w:rsidP="00FE654E">
      <w:pPr>
        <w:jc w:val="both"/>
      </w:pPr>
    </w:p>
    <w:p w14:paraId="173B9537" w14:textId="77777777" w:rsidR="00477B8F" w:rsidRPr="009118AB" w:rsidRDefault="00FE654E" w:rsidP="00FE6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Liefert der Steuerpflichtige keinen Gegenbeweis, werden Besteuerungsgrundlage und Steuerberechnung derart wiederhergestellt, dass das Geschäft Gegenstand einer Steuererhebung gemäß der Zielsetzung des Gesetzes wird, als ob der Missbrauch nicht stattgefunden hätte.</w:t>
      </w:r>
      <w:r w:rsidR="00477B8F" w:rsidRPr="009118AB">
        <w:t>]</w:t>
      </w:r>
      <w:r w:rsidRPr="009118AB">
        <w:t>]</w:t>
      </w:r>
    </w:p>
    <w:p w14:paraId="63D8197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446B655E" w14:textId="77777777" w:rsidR="0027186E" w:rsidRPr="00FF1F87" w:rsidRDefault="00477B8F" w:rsidP="0027186E">
      <w:pPr>
        <w:ind w:firstLine="708"/>
        <w:jc w:val="both"/>
      </w:pPr>
      <w:r w:rsidRPr="009118AB">
        <w:tab/>
        <w:t>[</w:t>
      </w:r>
      <w:r w:rsidR="00D67EB8" w:rsidRPr="009118AB">
        <w:t>§ </w:t>
      </w:r>
      <w:r w:rsidRPr="009118AB">
        <w:t>2]</w:t>
      </w:r>
      <w:r w:rsidR="00D67EB8" w:rsidRPr="009118AB">
        <w:t> - </w:t>
      </w:r>
      <w:r w:rsidRPr="009118AB">
        <w:t>[</w:t>
      </w:r>
      <w:r w:rsidR="0027186E" w:rsidRPr="00FF1F87">
        <w:t>Der mit der Festlegung der Einkommensteuern beauftragten Verwaltung kann ebenfalls nicht entgegengehalten werden der Verkauf, die Übertragung oder die Einbringung von Aktien, Schuldverschreibungen, Forderungen oder anderen Wertpapieren, die Anleihen darstellen, von Urheberrechten und verwandten Schutzrechten, Erfindungspatenten, Herstellungsverfahren, Herstellerzeichen oder Handelsmarken oder anderen ähnlichen Rechten oder von Geldsummen, sei es direkt oder indirekt, zugunsten eines in Artikel 227 erwähnten Steuerpflichtigen oder einer ausländischen Niederlassung, denen gegenüber der in Belgien ansässige Steuerpflichtige sich direkt oder indirekt in einem Verhältnis gegenseitiger Abhängigkeit befindet und die aufgrund der Rechtsvorschriften des Landes, in dem sie ansässig sind, dort keiner Einkommensteuer oder für Einkünfte aus veräußerten Gütern und Rechten einem erheblich vorteilhafteren Besteuerungssystem unterliegen als dem, dem ähnliche Einkünfte in Belgien unterliegen.</w:t>
      </w:r>
    </w:p>
    <w:p w14:paraId="671C90F3" w14:textId="77777777" w:rsidR="0027186E" w:rsidRPr="00FF1F87" w:rsidRDefault="0027186E" w:rsidP="0027186E">
      <w:pPr>
        <w:jc w:val="both"/>
      </w:pPr>
    </w:p>
    <w:p w14:paraId="4DF1B742" w14:textId="77777777" w:rsidR="0027186E" w:rsidRPr="00FF1F87" w:rsidRDefault="0027186E" w:rsidP="0027186E">
      <w:pPr>
        <w:ind w:firstLine="708"/>
        <w:jc w:val="both"/>
      </w:pPr>
      <w:r w:rsidRPr="00FF1F87">
        <w:t>Absatz 1 ist nicht anwendbar, wenn der Steuerpflichtige nachweist, dass das Geschäft mit einem Unternehmen getätigt wird, das einer tatsächlichen Einkommensteuer unterliegt, die mindestens der Hälfte der Einkommensteuer entspricht, die geschuldet würde, wenn dieses Unternehmen in Belgien ansässig wäre.</w:t>
      </w:r>
    </w:p>
    <w:p w14:paraId="4D1037EA" w14:textId="77777777" w:rsidR="0027186E" w:rsidRPr="00FF1F87" w:rsidRDefault="0027186E" w:rsidP="0027186E">
      <w:pPr>
        <w:jc w:val="both"/>
      </w:pPr>
    </w:p>
    <w:p w14:paraId="74571804" w14:textId="6B05929D" w:rsidR="00477B8F" w:rsidRPr="009118AB" w:rsidRDefault="0027186E" w:rsidP="00271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r>
      <w:r w:rsidRPr="00FF1F87">
        <w:t>Absatz 1 ist nicht anwendbar, wenn der Steuerpflichtige durch jegliches Beweismittel außer dem Eid nachweist, dass das Geschäft Teil eines authentischen Geschäfts ist in dem Sinne, dass es aus triftigen wirtschaftlichen Gründen getätigt wurde, die die wirtschaftliche Realität widerspiegeln.</w:t>
      </w:r>
      <w:r>
        <w:t>]</w:t>
      </w:r>
    </w:p>
    <w:p w14:paraId="4C414D7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457306" w14:textId="582A9FA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344 </w:t>
      </w:r>
      <w:r w:rsidR="00D67EB8" w:rsidRPr="009118AB">
        <w:rPr>
          <w:i/>
          <w:iCs/>
        </w:rPr>
        <w:t>§ </w:t>
      </w:r>
      <w:r w:rsidRPr="009118AB">
        <w:rPr>
          <w:i/>
          <w:iCs/>
        </w:rPr>
        <w:t xml:space="preserve">1 eingefügt durch </w:t>
      </w:r>
      <w:r w:rsidR="00D67EB8" w:rsidRPr="009118AB">
        <w:rPr>
          <w:i/>
          <w:iCs/>
        </w:rPr>
        <w:t>Art. </w:t>
      </w:r>
      <w:r w:rsidRPr="009118AB">
        <w:rPr>
          <w:i/>
          <w:iCs/>
        </w:rPr>
        <w:t xml:space="preserve">16 </w:t>
      </w:r>
      <w:r w:rsidR="00D67EB8" w:rsidRPr="009118AB">
        <w:rPr>
          <w:i/>
          <w:iCs/>
        </w:rPr>
        <w:t>Nr. </w:t>
      </w:r>
      <w:r w:rsidRPr="009118AB">
        <w:rPr>
          <w:i/>
          <w:iCs/>
        </w:rPr>
        <w:t>2 des G. vom 22. Juli 1993 (B.S. vom 26. </w:t>
      </w:r>
      <w:r w:rsidR="00B64F05" w:rsidRPr="009118AB">
        <w:rPr>
          <w:i/>
          <w:iCs/>
        </w:rPr>
        <w:t>Juli 1993)</w:t>
      </w:r>
      <w:r w:rsidR="00D67EB8" w:rsidRPr="009118AB">
        <w:rPr>
          <w:i/>
          <w:iCs/>
        </w:rPr>
        <w:t> - </w:t>
      </w:r>
      <w:r w:rsidRPr="009118AB">
        <w:rPr>
          <w:i/>
          <w:iCs/>
        </w:rPr>
        <w:t>anwendbar auf die ab dem 31. März 1993 getätigten Handlungen</w:t>
      </w:r>
      <w:r w:rsidR="00D67EB8" w:rsidRPr="009118AB">
        <w:rPr>
          <w:i/>
          <w:iCs/>
        </w:rPr>
        <w:t> - </w:t>
      </w:r>
      <w:r w:rsidR="00FE654E" w:rsidRPr="009118AB">
        <w:rPr>
          <w:i/>
          <w:iCs/>
        </w:rPr>
        <w:t xml:space="preserve">und ersetzt durch </w:t>
      </w:r>
      <w:r w:rsidR="00D67EB8" w:rsidRPr="009118AB">
        <w:rPr>
          <w:i/>
          <w:iCs/>
        </w:rPr>
        <w:t>Art. </w:t>
      </w:r>
      <w:r w:rsidR="00FE654E" w:rsidRPr="009118AB">
        <w:rPr>
          <w:i/>
          <w:iCs/>
        </w:rPr>
        <w:t>167 des G. (I) vom 29. März 2012 (B.S. vom 6. April 2012)</w:t>
      </w:r>
      <w:r w:rsidR="00D67EB8" w:rsidRPr="009118AB">
        <w:rPr>
          <w:i/>
          <w:iCs/>
        </w:rPr>
        <w:t> - </w:t>
      </w:r>
      <w:r w:rsidR="00FD36EA" w:rsidRPr="009118AB">
        <w:rPr>
          <w:i/>
          <w:iCs/>
        </w:rPr>
        <w:t xml:space="preserve">anwendbar </w:t>
      </w:r>
      <w:r w:rsidR="00FE654E" w:rsidRPr="009118AB">
        <w:rPr>
          <w:i/>
          <w:iCs/>
        </w:rPr>
        <w:t>ab dem Steuerjahr 2013 wie auch auf Rechtshandlungen oder eine Gesamtheit von Rechtshandlungen, die in einem Besteuerungs</w:t>
      </w:r>
      <w:r w:rsidR="00FE654E" w:rsidRPr="009118AB">
        <w:rPr>
          <w:i/>
          <w:iCs/>
        </w:rPr>
        <w:softHyphen/>
        <w:t xml:space="preserve">zeitraum vorgenommen werden, der frühestens am </w:t>
      </w:r>
      <w:r w:rsidR="00FD36EA" w:rsidRPr="009118AB">
        <w:rPr>
          <w:i/>
          <w:iCs/>
        </w:rPr>
        <w:t>6. April 2012</w:t>
      </w:r>
      <w:r w:rsidR="00FE654E" w:rsidRPr="009118AB">
        <w:rPr>
          <w:i/>
          <w:iCs/>
        </w:rPr>
        <w:t xml:space="preserve"> endet und an da</w:t>
      </w:r>
      <w:r w:rsidR="00FD36EA" w:rsidRPr="009118AB">
        <w:rPr>
          <w:i/>
          <w:iCs/>
        </w:rPr>
        <w:t>s Steuerjahr 2012 gebunden ist</w:t>
      </w:r>
      <w:r w:rsidR="003366D9" w:rsidRPr="009118AB">
        <w:rPr>
          <w:i/>
          <w:iCs/>
        </w:rPr>
        <w:t> -;</w:t>
      </w:r>
      <w:r w:rsidRPr="009118AB">
        <w:rPr>
          <w:i/>
          <w:iCs/>
        </w:rPr>
        <w:t xml:space="preserve"> </w:t>
      </w:r>
      <w:r w:rsidR="00D67EB8" w:rsidRPr="009118AB">
        <w:rPr>
          <w:i/>
          <w:iCs/>
        </w:rPr>
        <w:t>§ </w:t>
      </w:r>
      <w:r w:rsidRPr="009118AB">
        <w:rPr>
          <w:i/>
          <w:iCs/>
        </w:rPr>
        <w:t xml:space="preserve">2 nummeriert durch </w:t>
      </w:r>
      <w:r w:rsidR="00D67EB8" w:rsidRPr="009118AB">
        <w:rPr>
          <w:i/>
          <w:iCs/>
        </w:rPr>
        <w:t>Art. </w:t>
      </w:r>
      <w:r w:rsidRPr="009118AB">
        <w:rPr>
          <w:i/>
          <w:iCs/>
        </w:rPr>
        <w:t xml:space="preserve">16 </w:t>
      </w:r>
      <w:r w:rsidR="00D67EB8" w:rsidRPr="009118AB">
        <w:rPr>
          <w:i/>
          <w:iCs/>
        </w:rPr>
        <w:t>Nr. </w:t>
      </w:r>
      <w:r w:rsidRPr="009118AB">
        <w:rPr>
          <w:i/>
          <w:iCs/>
        </w:rPr>
        <w:t>1 des G. vom 22. Juli 1993 (B.S. vom 26. Juli 1993)</w:t>
      </w:r>
      <w:r w:rsidR="00D67EB8" w:rsidRPr="009118AB">
        <w:rPr>
          <w:i/>
          <w:iCs/>
        </w:rPr>
        <w:t> - </w:t>
      </w:r>
      <w:r w:rsidRPr="009118AB">
        <w:rPr>
          <w:i/>
          <w:iCs/>
        </w:rPr>
        <w:t>anwendbar auf die ab dem 31. März 1993 getätigten Handlungen</w:t>
      </w:r>
      <w:r w:rsidR="003366D9" w:rsidRPr="009118AB">
        <w:rPr>
          <w:i/>
          <w:iCs/>
        </w:rPr>
        <w:t> -</w:t>
      </w:r>
      <w:r w:rsidR="0027186E">
        <w:rPr>
          <w:i/>
          <w:iCs/>
        </w:rPr>
        <w:t xml:space="preserve"> und ersetzt durch Art. 13</w:t>
      </w:r>
      <w:r w:rsidR="0027186E" w:rsidRPr="0027186E">
        <w:rPr>
          <w:i/>
          <w:iCs/>
        </w:rPr>
        <w:t xml:space="preserve"> des G. vom 22. Dezember 2023 (II) (B.S. vom 29. Dezember 2023)</w:t>
      </w:r>
      <w:r w:rsidR="0027186E">
        <w:rPr>
          <w:i/>
          <w:iCs/>
        </w:rPr>
        <w:t> - </w:t>
      </w:r>
      <w:r w:rsidR="0027186E" w:rsidRPr="0027186E">
        <w:rPr>
          <w:i/>
          <w:iCs/>
        </w:rPr>
        <w:t>in Kraft am 1. Januar 2024 und anwendbar auf Geschäfte, die ab dem 1. Januar 2024 durchgeführt werden</w:t>
      </w:r>
      <w:r w:rsidR="0027186E">
        <w:rPr>
          <w:i/>
          <w:iCs/>
        </w:rPr>
        <w:t> -</w:t>
      </w:r>
      <w:r w:rsidR="00FD68E8" w:rsidRPr="009118AB">
        <w:rPr>
          <w:i/>
          <w:iCs/>
        </w:rPr>
        <w:t>]</w:t>
      </w:r>
    </w:p>
    <w:p w14:paraId="3E4BF26B" w14:textId="6F973D19" w:rsidR="00695C1C" w:rsidRDefault="00695C1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B0B8FF" w14:textId="77777777" w:rsidR="00E1725F" w:rsidRPr="009118AB" w:rsidRDefault="00E1725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29FD2C5" w14:textId="06FDF157" w:rsidR="000C5F98" w:rsidRPr="009118AB" w:rsidRDefault="00695C1C" w:rsidP="000C5F98">
      <w:pPr>
        <w:jc w:val="both"/>
      </w:pPr>
      <w:r w:rsidRPr="009118AB">
        <w:tab/>
        <w:t>[</w:t>
      </w:r>
      <w:r w:rsidR="00D67EB8" w:rsidRPr="009118AB">
        <w:rPr>
          <w:b/>
        </w:rPr>
        <w:t>Art. </w:t>
      </w:r>
      <w:r w:rsidRPr="009118AB">
        <w:rPr>
          <w:b/>
        </w:rPr>
        <w:t>344/1</w:t>
      </w:r>
      <w:r w:rsidR="00D67EB8" w:rsidRPr="009118AB">
        <w:t> - </w:t>
      </w:r>
      <w:r w:rsidR="000C5F98" w:rsidRPr="009118AB">
        <w:t>[Wenn aufgrund von Vermutungen oder anderen in Artikel 340 erwähnten Beweismitteln und anhand objektiver Umstände nachgewiesen wird, dass eine Rechtsverein</w:t>
      </w:r>
      <w:r w:rsidR="000C5F98" w:rsidRPr="009118AB">
        <w:softHyphen/>
        <w:t xml:space="preserve">barung eines der in Artikel 344 </w:t>
      </w:r>
      <w:r w:rsidR="00D67EB8" w:rsidRPr="009118AB">
        <w:t>§ </w:t>
      </w:r>
      <w:r w:rsidR="000C5F98" w:rsidRPr="009118AB">
        <w:t>1 Absatz 2 erwähnten Geschäfte bewirkt hat, kann der Verwaltung ebenfalls weder die Rechtshandlung noch eine ein selbes Geschäft bewirkende Gesamtheit von Rechtshandlungen entgegengehalten werden.</w:t>
      </w:r>
    </w:p>
    <w:p w14:paraId="48657F5F" w14:textId="77777777" w:rsidR="000C5F98" w:rsidRPr="009118AB" w:rsidRDefault="000C5F98" w:rsidP="000C5F98">
      <w:pPr>
        <w:jc w:val="both"/>
      </w:pPr>
    </w:p>
    <w:p w14:paraId="78D43501" w14:textId="5809F527" w:rsidR="000C5F98" w:rsidRPr="009118AB" w:rsidRDefault="000C5F98" w:rsidP="000C5F98">
      <w:pPr>
        <w:jc w:val="both"/>
      </w:pPr>
      <w:r w:rsidRPr="009118AB">
        <w:tab/>
        <w:t xml:space="preserve">Gegebenenfalls kann der in Artikel 344 </w:t>
      </w:r>
      <w:r w:rsidR="00D67EB8" w:rsidRPr="009118AB">
        <w:t>§ </w:t>
      </w:r>
      <w:r w:rsidRPr="009118AB">
        <w:t>1 Absatz 3 erwähnte Gegenbeweis vom Gründer dieser Rechtsvereinbarung oder vom Steuerpflichtigen, der während des Besteu</w:t>
      </w:r>
      <w:r w:rsidRPr="009118AB">
        <w:softHyphen/>
        <w:t>erungszeitraums eine Dividende von dieser Rechtsvereinbarung erzielt hat, geliefert werden.</w:t>
      </w:r>
    </w:p>
    <w:p w14:paraId="000261E0" w14:textId="77777777" w:rsidR="000C5F98" w:rsidRPr="009118AB" w:rsidRDefault="000C5F98" w:rsidP="000C5F98">
      <w:pPr>
        <w:jc w:val="both"/>
      </w:pPr>
    </w:p>
    <w:p w14:paraId="76718140" w14:textId="7C1E6396" w:rsidR="00695C1C" w:rsidRPr="009118AB" w:rsidRDefault="000C5F98" w:rsidP="000C5F98">
      <w:pPr>
        <w:ind w:firstLine="708"/>
        <w:jc w:val="both"/>
      </w:pPr>
      <w:r w:rsidRPr="009118AB">
        <w:tab/>
        <w:t xml:space="preserve">Liefert dieser Gründer oder dieser Steuerpflichtige keinen Gegenbeweis, werden Besteuerungsgrundlage und Steuerberechnung gemäß Artikel 344 </w:t>
      </w:r>
      <w:r w:rsidR="00D67EB8" w:rsidRPr="009118AB">
        <w:t>§ </w:t>
      </w:r>
      <w:r w:rsidRPr="009118AB">
        <w:t>1 Absatz 4 wieder</w:t>
      </w:r>
      <w:r w:rsidRPr="009118AB">
        <w:softHyphen/>
        <w:t>hergestellt.]</w:t>
      </w:r>
      <w:r w:rsidR="00695C1C" w:rsidRPr="009118AB">
        <w:t>]</w:t>
      </w:r>
    </w:p>
    <w:p w14:paraId="7B785AE6" w14:textId="77777777" w:rsidR="00695C1C" w:rsidRPr="009118AB" w:rsidRDefault="00695C1C" w:rsidP="00695C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34431D9" w14:textId="03132DB0" w:rsidR="00695C1C" w:rsidRPr="009118AB" w:rsidRDefault="00695C1C" w:rsidP="00695C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344/1 eingefügt durch </w:t>
      </w:r>
      <w:r w:rsidR="00D67EB8" w:rsidRPr="009118AB">
        <w:rPr>
          <w:i/>
        </w:rPr>
        <w:t>Art. </w:t>
      </w:r>
      <w:r w:rsidRPr="009118AB">
        <w:rPr>
          <w:i/>
        </w:rPr>
        <w:t>46 des G. vom 10. August 2015 (B.S. vom 18. August 2015)</w:t>
      </w:r>
      <w:r w:rsidR="00D67EB8" w:rsidRPr="009118AB">
        <w:rPr>
          <w:i/>
        </w:rPr>
        <w:t> - </w:t>
      </w:r>
      <w:r w:rsidRPr="009118AB">
        <w:rPr>
          <w:i/>
          <w:lang w:bidi="de-DE"/>
        </w:rPr>
        <w:t>anwendbar auf Einkünfte, die ab dem 1. Januar 2015 von einer Rechtsvereinbarung bezogen, zuerkannt oder ausgeschüttet werden, und</w:t>
      </w:r>
      <w:r w:rsidR="00D67EB8" w:rsidRPr="009118AB">
        <w:rPr>
          <w:i/>
          <w:lang w:bidi="de-DE"/>
        </w:rPr>
        <w:t> - </w:t>
      </w:r>
      <w:r w:rsidRPr="009118AB">
        <w:rPr>
          <w:i/>
          <w:lang w:bidi="de-DE"/>
        </w:rPr>
        <w:t>in Bezug auf die Anwendung des Mobiliensteuer</w:t>
      </w:r>
      <w:r w:rsidRPr="009118AB">
        <w:rPr>
          <w:i/>
          <w:lang w:bidi="de-DE"/>
        </w:rPr>
        <w:softHyphen/>
        <w:t>vorabzugs oder des Berufssteuervorabzugs</w:t>
      </w:r>
      <w:r w:rsidR="00D67EB8" w:rsidRPr="009118AB">
        <w:rPr>
          <w:i/>
          <w:lang w:bidi="de-DE"/>
        </w:rPr>
        <w:t> - </w:t>
      </w:r>
      <w:r w:rsidRPr="009118AB">
        <w:rPr>
          <w:i/>
          <w:lang w:bidi="de-DE"/>
        </w:rPr>
        <w:t>auf Einkünfte, die ab dem 1. September 2015 zuerkannt oder ausgeschüttet werden</w:t>
      </w:r>
      <w:r w:rsidR="00D67EB8" w:rsidRPr="009118AB">
        <w:rPr>
          <w:i/>
        </w:rPr>
        <w:t> - </w:t>
      </w:r>
      <w:r w:rsidR="000C5F98" w:rsidRPr="009118AB">
        <w:rPr>
          <w:i/>
        </w:rPr>
        <w:t xml:space="preserve">und ersetzt durch </w:t>
      </w:r>
      <w:r w:rsidR="00D67EB8" w:rsidRPr="009118AB">
        <w:rPr>
          <w:i/>
        </w:rPr>
        <w:t>Art. </w:t>
      </w:r>
      <w:r w:rsidR="000C5F98" w:rsidRPr="009118AB">
        <w:rPr>
          <w:i/>
        </w:rPr>
        <w:t>97</w:t>
      </w:r>
      <w:r w:rsidR="000C5F98" w:rsidRPr="009118AB">
        <w:rPr>
          <w:i/>
          <w:iCs/>
        </w:rPr>
        <w:t xml:space="preserve"> des G. vom 25. Dezember 2017 (IV) (B.S. vom 29. Dezember 2017)</w:t>
      </w:r>
      <w:r w:rsidR="00D67EB8" w:rsidRPr="009118AB">
        <w:rPr>
          <w:i/>
          <w:iCs/>
        </w:rPr>
        <w:t> - </w:t>
      </w:r>
      <w:r w:rsidR="000C5F98" w:rsidRPr="009118AB">
        <w:rPr>
          <w:i/>
          <w:iCs/>
        </w:rPr>
        <w:t>anwendbar auf Einkünfte, die ab dem 17. September 2017 von einer Rechtsvereinbarung bezogen, zuerkannt oder ausge</w:t>
      </w:r>
      <w:r w:rsidR="000C5F98" w:rsidRPr="009118AB">
        <w:rPr>
          <w:i/>
          <w:iCs/>
        </w:rPr>
        <w:softHyphen/>
        <w:t>schüttet werden, und</w:t>
      </w:r>
      <w:r w:rsidR="00D67EB8" w:rsidRPr="009118AB">
        <w:rPr>
          <w:i/>
          <w:iCs/>
        </w:rPr>
        <w:t> - </w:t>
      </w:r>
      <w:r w:rsidR="000C5F98" w:rsidRPr="009118AB">
        <w:rPr>
          <w:i/>
          <w:iCs/>
        </w:rPr>
        <w:t>in Bezug auf die Anwendung des Mobiliensteuervorabzugs</w:t>
      </w:r>
      <w:r w:rsidR="00D67EB8" w:rsidRPr="009118AB">
        <w:rPr>
          <w:i/>
          <w:iCs/>
        </w:rPr>
        <w:t> - </w:t>
      </w:r>
      <w:r w:rsidR="000C5F98" w:rsidRPr="009118AB">
        <w:rPr>
          <w:i/>
          <w:iCs/>
        </w:rPr>
        <w:t>auf Einkünfte, die ab dem 1. Januar 2018 zuerkannt oder ausgeschüttet werden</w:t>
      </w:r>
      <w:r w:rsidR="00FD68E8" w:rsidRPr="009118AB">
        <w:rPr>
          <w:i/>
          <w:iCs/>
        </w:rPr>
        <w:t> -]</w:t>
      </w:r>
    </w:p>
    <w:p w14:paraId="7A393B41" w14:textId="77777777" w:rsidR="00695C1C" w:rsidRPr="009118AB" w:rsidRDefault="00695C1C" w:rsidP="00695C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00A31C4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C7FDC55" w14:textId="0EC7C05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345</w:t>
      </w:r>
      <w:r w:rsidR="00D67EB8" w:rsidRPr="009118AB">
        <w:t> - </w:t>
      </w:r>
      <w:r w:rsidRPr="009118AB">
        <w:t>[...]</w:t>
      </w:r>
    </w:p>
    <w:p w14:paraId="20345FE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4F0628" w14:textId="6AA44D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345 aufgehoben durch </w:t>
      </w:r>
      <w:r w:rsidR="00D67EB8" w:rsidRPr="009118AB">
        <w:rPr>
          <w:i/>
          <w:iCs/>
        </w:rPr>
        <w:t>Art. </w:t>
      </w:r>
      <w:r w:rsidRPr="009118AB">
        <w:rPr>
          <w:i/>
          <w:iCs/>
        </w:rPr>
        <w:t xml:space="preserve">27 des G. vom 24. Dezember 2002 </w:t>
      </w:r>
      <w:r w:rsidR="00D86BCC" w:rsidRPr="009118AB">
        <w:rPr>
          <w:i/>
          <w:iCs/>
        </w:rPr>
        <w:t xml:space="preserve">(II) </w:t>
      </w:r>
      <w:r w:rsidRPr="009118AB">
        <w:rPr>
          <w:i/>
          <w:iCs/>
        </w:rPr>
        <w:t>(B.S. vom 31. Dezember 2002)</w:t>
      </w:r>
      <w:r w:rsidR="00D67EB8" w:rsidRPr="009118AB">
        <w:rPr>
          <w:i/>
          <w:iCs/>
        </w:rPr>
        <w:t> - </w:t>
      </w:r>
      <w:r w:rsidRPr="009118AB">
        <w:rPr>
          <w:i/>
          <w:iCs/>
        </w:rPr>
        <w:t>in Kraft ab dem 1. Januar 2003</w:t>
      </w:r>
      <w:r w:rsidR="00FD68E8" w:rsidRPr="009118AB">
        <w:rPr>
          <w:i/>
          <w:iCs/>
        </w:rPr>
        <w:t> -]</w:t>
      </w:r>
    </w:p>
    <w:p w14:paraId="36ABEC55" w14:textId="3862FF8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00D666D6" w:rsidRPr="009118AB">
        <w:rPr>
          <w:b/>
          <w:bCs/>
        </w:rPr>
        <w:t>KAPITEL </w:t>
      </w:r>
      <w:r w:rsidR="007828ED" w:rsidRPr="009118AB">
        <w:rPr>
          <w:b/>
          <w:bCs/>
        </w:rPr>
        <w:t>5</w:t>
      </w:r>
      <w:r w:rsidR="00D67EB8" w:rsidRPr="009118AB">
        <w:t> - </w:t>
      </w:r>
      <w:r w:rsidRPr="009118AB">
        <w:rPr>
          <w:i/>
          <w:iCs/>
        </w:rPr>
        <w:t>Veranlagungsverfahren</w:t>
      </w:r>
    </w:p>
    <w:p w14:paraId="7C96591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EE5F37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6BB2514" w14:textId="5562895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rPr>
          <w:i/>
          <w:iCs/>
        </w:rPr>
        <w:t>Abschnitt </w:t>
      </w:r>
      <w:r w:rsidR="00D74862" w:rsidRPr="009118AB">
        <w:rPr>
          <w:i/>
          <w:iCs/>
        </w:rPr>
        <w:t>1</w:t>
      </w:r>
      <w:r w:rsidR="00D67EB8" w:rsidRPr="009118AB">
        <w:t> - </w:t>
      </w:r>
      <w:r w:rsidRPr="009118AB">
        <w:t>Berichtigung der Erklärung</w:t>
      </w:r>
    </w:p>
    <w:p w14:paraId="148A573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A40C8D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2660DF0" w14:textId="457E96D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346</w:t>
      </w:r>
      <w:r w:rsidR="00D67EB8" w:rsidRPr="009118AB">
        <w:t> - </w:t>
      </w:r>
      <w:r w:rsidRPr="009118AB">
        <w:t>Ist die Verwaltung der Ansicht, dass sie Einkünfte und andere Angaben berichtigen muss, die der Steuerpflichtige entweder in einer Erklärung angegeben hat, die die Bedingungen in Bezug auf Form und Fristen erfüllt, die in den Artikeln 307 bis 311 oder in den Bestimmungen zur Ausführung von Artikel 312 vorgesehen sind, oder die er schriftlich bestätigt hat, teilt sie ihm per Einschreibebrief die Einkünfte und anderen Angaben mit, durch die sie die angegebenen oder schriftlich bestätigten Einkünfte beziehungsweise Angaben zu ersetzen beabsichtigt, wobei sie die Gründe angibt, die ihrer Ansicht nach die Berichtigung rechtfertigen.</w:t>
      </w:r>
    </w:p>
    <w:p w14:paraId="6031999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9DEE550" w14:textId="7822AD8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Greift die Verwaltung auf das in Artikel 342 </w:t>
      </w:r>
      <w:r w:rsidR="00D67EB8" w:rsidRPr="009118AB">
        <w:t>§ </w:t>
      </w:r>
      <w:r w:rsidRPr="009118AB">
        <w:t>1 Absatz 1 erwähnte Beweismittel zurück, teilt sie auf dieselbe Weise den Betrag der Gewinne oder Profite von drei ähnlichen Steuerpflichtigen mit und die Angaben, die notwendig sind, um den Betrag der Gewinne oder Profite des betreffenden Steuerpflichtigen proportional festzulegen.</w:t>
      </w:r>
    </w:p>
    <w:p w14:paraId="271020A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C08FE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Der Steuerpflichtige kann innerhalb einer Frist von einem Monat </w:t>
      </w:r>
      <w:r w:rsidR="000E17D1" w:rsidRPr="009118AB">
        <w:t xml:space="preserve">[ab dem dritten Werktag nach Versendung dieser Mitteilung] </w:t>
      </w:r>
      <w:r w:rsidRPr="009118AB">
        <w:t>seine Bemerkungen schriftlich einreichen; diese Frist kann aus rechtmäßigen Gründen verlängert werden; die Steuer darf nicht vor Ablauf dieser eventuell verlängerten Frist festgelegt werden, außer wenn der Steuerpflichtige der Berichtigung seiner Erklärung schriftlich zugestimmt hat oder wenn die Rechte der Staatskasse aufgrund einer anderen Ursache als dem Ablauf der Veranlagungsfrist gefährdet sind.</w:t>
      </w:r>
    </w:p>
    <w:p w14:paraId="665DCC2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6E3E07" w14:textId="1A6B9AA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[Vorhergehende Absätze sind ebenfalls auf Einkünfte und andere Angaben anwendbar, die in dem in Artikel 306 erwähnten </w:t>
      </w:r>
      <w:r w:rsidR="004A6FA9" w:rsidRPr="009118AB">
        <w:t xml:space="preserve">[Vorschlag der vereinfachten Erklärung] </w:t>
      </w:r>
      <w:r w:rsidRPr="009118AB">
        <w:t xml:space="preserve">angegeben sind, wenn entweder dieser </w:t>
      </w:r>
      <w:r w:rsidR="004A6FA9" w:rsidRPr="009118AB">
        <w:t>[Vorschlag der vereinfachten Erklärung]</w:t>
      </w:r>
      <w:r w:rsidRPr="009118AB">
        <w:t xml:space="preserve">, ergänzt um die Angaben, die der Steuerpflichtige innerhalb der in Artikel 306 </w:t>
      </w:r>
      <w:r w:rsidR="00D67EB8" w:rsidRPr="009118AB">
        <w:t>§ </w:t>
      </w:r>
      <w:r w:rsidRPr="009118AB">
        <w:t xml:space="preserve">3 erwähnten Frist übermittelt hat, unrichtig oder unvollständig ist oder wenn die Verwaltung mit den Bemerkungen, die der Steuerpflichtige ihr innerhalb der in Artikel 306 </w:t>
      </w:r>
      <w:r w:rsidR="00D67EB8" w:rsidRPr="009118AB">
        <w:t>§ </w:t>
      </w:r>
      <w:r w:rsidRPr="009118AB">
        <w:t>3 erwähnten Frist mitgeteilt hat, nicht einverstanden ist.]</w:t>
      </w:r>
    </w:p>
    <w:p w14:paraId="1B4E530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6D528F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[Spätestens an dem Tag, an dem die Steuer festgelegt wird, teilt die Verwaltung dem Steuerpflichtigen </w:t>
      </w:r>
      <w:r w:rsidR="00E13196" w:rsidRPr="009118AB">
        <w:t>[schriftlich]</w:t>
      </w:r>
      <w:r w:rsidRPr="009118AB">
        <w:t xml:space="preserve"> die Bemerkungen mit, die er gemäß Absatz 3 des vorliegenden Artikels gemacht hat und die sie nicht berücksichtigt hat, wobei sie die Gründe angibt, die ihren Beschluss rechtfertigen.]</w:t>
      </w:r>
    </w:p>
    <w:p w14:paraId="5A9230C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6604FB" w14:textId="1832E7C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346 </w:t>
      </w:r>
      <w:r w:rsidR="00D67EB8" w:rsidRPr="009118AB">
        <w:rPr>
          <w:i/>
          <w:iCs/>
        </w:rPr>
        <w:t>Abs. </w:t>
      </w:r>
      <w:r w:rsidR="000E17D1" w:rsidRPr="009118AB">
        <w:rPr>
          <w:i/>
          <w:iCs/>
        </w:rPr>
        <w:t xml:space="preserve">3 abgeändert durch </w:t>
      </w:r>
      <w:r w:rsidR="00D67EB8" w:rsidRPr="009118AB">
        <w:rPr>
          <w:i/>
          <w:iCs/>
        </w:rPr>
        <w:t>Art. </w:t>
      </w:r>
      <w:r w:rsidR="000E17D1" w:rsidRPr="009118AB">
        <w:rPr>
          <w:i/>
          <w:iCs/>
        </w:rPr>
        <w:t>7</w:t>
      </w:r>
      <w:r w:rsidR="000E17D1" w:rsidRPr="009118AB">
        <w:rPr>
          <w:i/>
        </w:rPr>
        <w:t xml:space="preserve"> des G. vom 19. Mai 2010 (B.S. vom 28. Mai 2010); </w:t>
      </w:r>
      <w:r w:rsidR="00D67EB8" w:rsidRPr="009118AB">
        <w:rPr>
          <w:i/>
          <w:iCs/>
        </w:rPr>
        <w:t>Abs. </w:t>
      </w:r>
      <w:r w:rsidRPr="009118AB">
        <w:rPr>
          <w:i/>
          <w:iCs/>
        </w:rPr>
        <w:t xml:space="preserve">4 eingefügt durch </w:t>
      </w:r>
      <w:r w:rsidR="00D67EB8" w:rsidRPr="009118AB">
        <w:rPr>
          <w:i/>
          <w:iCs/>
        </w:rPr>
        <w:t>Art. </w:t>
      </w:r>
      <w:r w:rsidRPr="009118AB">
        <w:rPr>
          <w:i/>
          <w:iCs/>
        </w:rPr>
        <w:t>5 des G. vom 5. Juli 1994 (B.S. vom 16. Juli 1994)</w:t>
      </w:r>
      <w:r w:rsidR="00D67EB8" w:rsidRPr="009118AB">
        <w:rPr>
          <w:i/>
          <w:iCs/>
        </w:rPr>
        <w:t> - </w:t>
      </w:r>
      <w:r w:rsidRPr="009118AB">
        <w:rPr>
          <w:i/>
          <w:iCs/>
        </w:rPr>
        <w:t>anwendbar ab dem Steuerjahr 1994</w:t>
      </w:r>
      <w:r w:rsidR="00D67EB8" w:rsidRPr="009118AB">
        <w:rPr>
          <w:i/>
          <w:iCs/>
        </w:rPr>
        <w:t> - </w:t>
      </w:r>
      <w:r w:rsidR="004A6FA9" w:rsidRPr="009118AB">
        <w:rPr>
          <w:i/>
          <w:iCs/>
        </w:rPr>
        <w:t xml:space="preserve">und abgeändert durch </w:t>
      </w:r>
      <w:r w:rsidR="00D67EB8" w:rsidRPr="009118AB">
        <w:rPr>
          <w:i/>
          <w:iCs/>
        </w:rPr>
        <w:t>Art. </w:t>
      </w:r>
      <w:r w:rsidR="004A6FA9" w:rsidRPr="009118AB">
        <w:rPr>
          <w:i/>
          <w:iCs/>
        </w:rPr>
        <w:t>29 des G. (I) vom 29. Dezember 2010 (B.S. vom 31. Dezember 2010)</w:t>
      </w:r>
      <w:r w:rsidR="00D67EB8" w:rsidRPr="009118AB">
        <w:rPr>
          <w:i/>
          <w:iCs/>
        </w:rPr>
        <w:t> - </w:t>
      </w:r>
      <w:r w:rsidR="004A6FA9" w:rsidRPr="009118AB">
        <w:rPr>
          <w:i/>
          <w:iCs/>
        </w:rPr>
        <w:t>in Kraft ab dem Steuerjahr 2011</w:t>
      </w:r>
      <w:r w:rsidR="003366D9" w:rsidRPr="009118AB">
        <w:rPr>
          <w:i/>
          <w:iCs/>
        </w:rPr>
        <w:t> -;</w:t>
      </w:r>
      <w:r w:rsidRPr="009118AB">
        <w:rPr>
          <w:i/>
          <w:iCs/>
        </w:rPr>
        <w:t xml:space="preserve"> </w:t>
      </w:r>
      <w:r w:rsidR="00D67EB8" w:rsidRPr="009118AB">
        <w:rPr>
          <w:i/>
          <w:iCs/>
        </w:rPr>
        <w:t>Abs. </w:t>
      </w:r>
      <w:r w:rsidRPr="009118AB">
        <w:rPr>
          <w:i/>
          <w:iCs/>
        </w:rPr>
        <w:t xml:space="preserve">5 eingefügt durch </w:t>
      </w:r>
      <w:r w:rsidR="00D67EB8" w:rsidRPr="009118AB">
        <w:rPr>
          <w:i/>
          <w:iCs/>
        </w:rPr>
        <w:t>Art. </w:t>
      </w:r>
      <w:r w:rsidRPr="009118AB">
        <w:rPr>
          <w:i/>
          <w:iCs/>
        </w:rPr>
        <w:t>5 des G. vom 30. Juni 2000 (B.S. vom 12. August 2000)</w:t>
      </w:r>
      <w:r w:rsidR="00D67EB8" w:rsidRPr="009118AB">
        <w:rPr>
          <w:i/>
          <w:iCs/>
        </w:rPr>
        <w:t> - </w:t>
      </w:r>
      <w:r w:rsidRPr="009118AB">
        <w:rPr>
          <w:i/>
          <w:iCs/>
        </w:rPr>
        <w:t>in Kraft ab dem 1. Oktober 2000</w:t>
      </w:r>
      <w:r w:rsidR="00D67EB8" w:rsidRPr="009118AB">
        <w:rPr>
          <w:i/>
          <w:iCs/>
        </w:rPr>
        <w:t> - </w:t>
      </w:r>
      <w:r w:rsidR="00E13196" w:rsidRPr="009118AB">
        <w:rPr>
          <w:i/>
          <w:iCs/>
        </w:rPr>
        <w:t xml:space="preserve">und abgeändert durch </w:t>
      </w:r>
      <w:r w:rsidR="00D67EB8" w:rsidRPr="009118AB">
        <w:rPr>
          <w:i/>
          <w:iCs/>
        </w:rPr>
        <w:t>Art. </w:t>
      </w:r>
      <w:r w:rsidR="00E13196" w:rsidRPr="009118AB">
        <w:rPr>
          <w:i/>
          <w:iCs/>
        </w:rPr>
        <w:t>81</w:t>
      </w:r>
      <w:r w:rsidR="00E13196" w:rsidRPr="009118AB">
        <w:rPr>
          <w:i/>
        </w:rPr>
        <w:t xml:space="preserve"> des G. vom 18. Dezember 2016</w:t>
      </w:r>
      <w:r w:rsidR="004E359B" w:rsidRPr="009118AB">
        <w:rPr>
          <w:i/>
        </w:rPr>
        <w:t> (I)</w:t>
      </w:r>
      <w:r w:rsidR="00E13196" w:rsidRPr="009118AB">
        <w:rPr>
          <w:i/>
        </w:rPr>
        <w:t xml:space="preserve"> (B.S. vom 20. Dezember 2016)</w:t>
      </w:r>
      <w:r w:rsidRPr="009118AB">
        <w:rPr>
          <w:i/>
          <w:iCs/>
        </w:rPr>
        <w:t>]</w:t>
      </w:r>
    </w:p>
    <w:p w14:paraId="25D9DDFD" w14:textId="77777777" w:rsidR="00FE52CA" w:rsidRPr="009118AB" w:rsidRDefault="00FE52C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225ED5B" w14:textId="76FA3D03" w:rsidR="00FE52CA" w:rsidRPr="009118AB" w:rsidRDefault="00FE52CA" w:rsidP="00E172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45E102A" w14:textId="77777777" w:rsidR="00E1725F" w:rsidRDefault="00E1725F">
      <w:pPr>
        <w:rPr>
          <w:iCs/>
          <w:sz w:val="20"/>
          <w:szCs w:val="20"/>
        </w:rPr>
      </w:pPr>
      <w:r>
        <w:rPr>
          <w:iCs/>
          <w:sz w:val="20"/>
          <w:szCs w:val="20"/>
        </w:rPr>
        <w:br w:type="page"/>
      </w:r>
    </w:p>
    <w:p w14:paraId="77686748" w14:textId="676E0FB9" w:rsidR="00E1725F" w:rsidRDefault="00E1725F" w:rsidP="00E1725F">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346 wie folgt:</w:t>
      </w:r>
    </w:p>
    <w:p w14:paraId="7B4F37D4" w14:textId="77777777" w:rsidR="00E1725F" w:rsidRDefault="00E1725F" w:rsidP="00E1725F">
      <w:pPr>
        <w:autoSpaceDE w:val="0"/>
        <w:autoSpaceDN w:val="0"/>
        <w:adjustRightInd w:val="0"/>
        <w:jc w:val="both"/>
        <w:rPr>
          <w:iCs/>
          <w:sz w:val="20"/>
          <w:szCs w:val="20"/>
        </w:rPr>
      </w:pPr>
    </w:p>
    <w:p w14:paraId="050799FD" w14:textId="764CBF00" w:rsidR="00E1725F" w:rsidRPr="00E1725F" w:rsidRDefault="00E1725F" w:rsidP="00E1725F">
      <w:pPr>
        <w:jc w:val="both"/>
        <w:rPr>
          <w:iCs/>
          <w:sz w:val="20"/>
          <w:szCs w:val="20"/>
        </w:rPr>
      </w:pPr>
      <w:r>
        <w:rPr>
          <w:iCs/>
          <w:sz w:val="20"/>
          <w:szCs w:val="20"/>
        </w:rPr>
        <w:t>"</w:t>
      </w:r>
      <w:r w:rsidRPr="00E1725F">
        <w:rPr>
          <w:iCs/>
          <w:sz w:val="20"/>
          <w:szCs w:val="20"/>
        </w:rPr>
        <w:t>Art. 346 - Ist die Verwaltung der Ansicht, dass sie Einkünfte und andere Angaben berichtigen muss, die der Steuerpflichtige entweder in einer Erklärung angegeben hat, die die Bedingungen in Bezug auf Form und Fristen erfüllt, die in den Artikeln 307 bis 311 oder in den Bestimmungen zur Ausführung von Artikel 312 vorgesehen sind, oder die er schriftlich bestätigt hat, teilt sie ihm [per Einschreibesendung] die Einkünfte und anderen Angaben mit, durch die sie die angegebenen oder schriftlich bestätigten Einkünfte beziehungsweise Angaben zu ersetzen beabsichtigt, wobei sie die Gründe angibt, die ihrer Ansicht nach die Berichtigung rechtfertigen.</w:t>
      </w:r>
    </w:p>
    <w:p w14:paraId="0FAB21D4" w14:textId="77777777" w:rsidR="00E1725F" w:rsidRPr="00E1725F" w:rsidRDefault="00E1725F" w:rsidP="00E1725F">
      <w:pPr>
        <w:jc w:val="both"/>
        <w:rPr>
          <w:iCs/>
          <w:sz w:val="20"/>
          <w:szCs w:val="20"/>
        </w:rPr>
      </w:pPr>
    </w:p>
    <w:p w14:paraId="333D8E38" w14:textId="2BB4EAE5" w:rsidR="00E1725F" w:rsidRPr="00E1725F" w:rsidRDefault="00E1725F" w:rsidP="00E1725F">
      <w:pPr>
        <w:jc w:val="both"/>
        <w:rPr>
          <w:iCs/>
          <w:sz w:val="20"/>
          <w:szCs w:val="20"/>
        </w:rPr>
      </w:pPr>
      <w:r w:rsidRPr="00E1725F">
        <w:rPr>
          <w:iCs/>
          <w:sz w:val="20"/>
          <w:szCs w:val="20"/>
        </w:rPr>
        <w:t>Greift die Verwaltung auf das in Artikel 342 § 1 Absatz 1 erwähnte Beweismittel zurück, teilt sie auf dieselbe Weise den Betrag der Gewinne oder Profite von drei ähnlichen Steuerpflichtigen mit und die Angaben, die notwendig sind, um den Betrag der Gewinne oder Profite des betreffenden Steuerpflichtigen proportional festzulegen.</w:t>
      </w:r>
    </w:p>
    <w:p w14:paraId="5B85C9C4" w14:textId="77777777" w:rsidR="00E1725F" w:rsidRPr="00E1725F" w:rsidRDefault="00E1725F" w:rsidP="00E1725F">
      <w:pPr>
        <w:jc w:val="both"/>
        <w:rPr>
          <w:iCs/>
          <w:sz w:val="20"/>
          <w:szCs w:val="20"/>
        </w:rPr>
      </w:pPr>
    </w:p>
    <w:p w14:paraId="369A52B9" w14:textId="376FA42B" w:rsidR="00E1725F" w:rsidRPr="00E1725F" w:rsidRDefault="00E1725F" w:rsidP="00E1725F">
      <w:pPr>
        <w:jc w:val="both"/>
        <w:rPr>
          <w:iCs/>
          <w:sz w:val="20"/>
          <w:szCs w:val="20"/>
        </w:rPr>
      </w:pPr>
      <w:r w:rsidRPr="00E1725F">
        <w:rPr>
          <w:iCs/>
          <w:sz w:val="20"/>
          <w:szCs w:val="20"/>
        </w:rPr>
        <w:t xml:space="preserve">Der Steuerpflichtige kann innerhalb einer Frist von einem Monat [ab dem dritten Werktag </w:t>
      </w:r>
      <w:r>
        <w:rPr>
          <w:iCs/>
          <w:sz w:val="20"/>
          <w:szCs w:val="20"/>
        </w:rPr>
        <w:t>[</w:t>
      </w:r>
      <w:r w:rsidRPr="00E1725F">
        <w:rPr>
          <w:iCs/>
          <w:sz w:val="20"/>
          <w:szCs w:val="20"/>
        </w:rPr>
        <w:t xml:space="preserve">nach </w:t>
      </w:r>
      <w:r>
        <w:rPr>
          <w:iCs/>
          <w:sz w:val="20"/>
          <w:szCs w:val="20"/>
        </w:rPr>
        <w:t>Übermittlung</w:t>
      </w:r>
      <w:r w:rsidRPr="00E1725F">
        <w:rPr>
          <w:iCs/>
          <w:sz w:val="20"/>
          <w:szCs w:val="20"/>
        </w:rPr>
        <w:t xml:space="preserve"> dieser Mitteilung</w:t>
      </w:r>
      <w:r>
        <w:rPr>
          <w:iCs/>
          <w:sz w:val="20"/>
          <w:szCs w:val="20"/>
        </w:rPr>
        <w:t>]</w:t>
      </w:r>
      <w:r w:rsidRPr="00E1725F">
        <w:rPr>
          <w:iCs/>
          <w:sz w:val="20"/>
          <w:szCs w:val="20"/>
        </w:rPr>
        <w:t>] seine Bemerkungen schriftlich einreichen; diese Frist kann aus rechtmäßigen Gründen verlängert werden; die Steuer darf nicht vor Ablauf dieser eventuell verlängerten Frist festgelegt werden, außer wenn der Steuerpflichtige der Berichtigung seiner Erklärung schriftlich zugestimmt hat oder wenn die Rechte der Staatskasse aufgrund einer anderen Ursache als dem Ablauf der Veranlagungsfrist gefährdet sind.</w:t>
      </w:r>
    </w:p>
    <w:p w14:paraId="596459F9" w14:textId="77777777" w:rsidR="00E1725F" w:rsidRPr="00E1725F" w:rsidRDefault="00E1725F" w:rsidP="00E1725F">
      <w:pPr>
        <w:jc w:val="both"/>
        <w:rPr>
          <w:iCs/>
          <w:sz w:val="20"/>
          <w:szCs w:val="20"/>
        </w:rPr>
      </w:pPr>
    </w:p>
    <w:p w14:paraId="79DC8C55" w14:textId="6FFF2481" w:rsidR="00E1725F" w:rsidRPr="00E1725F" w:rsidRDefault="00E1725F" w:rsidP="00E1725F">
      <w:pPr>
        <w:jc w:val="both"/>
        <w:rPr>
          <w:iCs/>
          <w:sz w:val="20"/>
          <w:szCs w:val="20"/>
        </w:rPr>
      </w:pPr>
      <w:r w:rsidRPr="00E1725F">
        <w:rPr>
          <w:iCs/>
          <w:sz w:val="20"/>
          <w:szCs w:val="20"/>
        </w:rPr>
        <w:t>[Vorhergehende Absätze sind ebenfalls auf Einkünfte und andere Angaben anwendbar, die in dem in Artikel 306 erwähnten [Vorschlag der vereinfachten Erklärung] angegeben sind, wenn entweder dieser [Vorschlag der vereinfachten Erklärung], ergänzt um die Angaben, die der Steuerpflichtige innerhalb der in Artikel 306 § 3 erwähnten Frist übermittelt hat, unrichtig oder unvollständig ist oder wenn die Verwaltung mit den Bemerkungen, die der Steuerpflichtige ihr innerhalb der in Artikel 306 § 3 erwähnten Frist mitgeteilt hat, nicht einverstanden ist.]</w:t>
      </w:r>
    </w:p>
    <w:p w14:paraId="1D0081C8" w14:textId="77777777" w:rsidR="00E1725F" w:rsidRPr="00E1725F" w:rsidRDefault="00E1725F" w:rsidP="00E1725F">
      <w:pPr>
        <w:jc w:val="both"/>
        <w:rPr>
          <w:iCs/>
          <w:sz w:val="20"/>
          <w:szCs w:val="20"/>
        </w:rPr>
      </w:pPr>
    </w:p>
    <w:p w14:paraId="377F9486" w14:textId="496D26FC" w:rsidR="00E1725F" w:rsidRPr="00E1725F" w:rsidRDefault="00E1725F" w:rsidP="00E1725F">
      <w:pPr>
        <w:jc w:val="both"/>
        <w:rPr>
          <w:iCs/>
          <w:sz w:val="20"/>
          <w:szCs w:val="20"/>
        </w:rPr>
      </w:pPr>
      <w:r w:rsidRPr="00E1725F">
        <w:rPr>
          <w:iCs/>
          <w:sz w:val="20"/>
          <w:szCs w:val="20"/>
        </w:rPr>
        <w:t>[Spätestens an dem Tag, an dem die Steuer festgelegt wird, teilt die Verwaltung dem Steuerpflichtigen schriftlich per Einschreibesendung die Bemerkungen mit, die er gemäß Absatz 3 des vorliegenden Artikels gemacht hat und die sie nicht berücksichtigt hat, wobei sie die Gründe angibt, die ihren Beschluss rechtfertigen.]</w:t>
      </w:r>
    </w:p>
    <w:p w14:paraId="34719B5E" w14:textId="77777777" w:rsidR="00E1725F" w:rsidRPr="00E1725F" w:rsidRDefault="00E1725F" w:rsidP="00E1725F">
      <w:pPr>
        <w:jc w:val="both"/>
        <w:rPr>
          <w:iCs/>
          <w:sz w:val="20"/>
          <w:szCs w:val="20"/>
        </w:rPr>
      </w:pPr>
    </w:p>
    <w:p w14:paraId="056231F4" w14:textId="3E5A8ACE" w:rsidR="00E1725F" w:rsidRPr="00E1725F" w:rsidRDefault="00E1725F" w:rsidP="00E1725F">
      <w:pPr>
        <w:jc w:val="both"/>
        <w:rPr>
          <w:sz w:val="20"/>
          <w:szCs w:val="20"/>
        </w:rPr>
      </w:pPr>
      <w:r w:rsidRPr="00E1725F">
        <w:rPr>
          <w:i/>
          <w:iCs/>
          <w:sz w:val="20"/>
          <w:szCs w:val="20"/>
        </w:rPr>
        <w:t>[Art. 346 Abs. 1 abgeändert durch Art. 32 Nr. 1 und 2 des G. vom 26. Januar 2021 (B.S. vom 10. Februar 2021) - in Kraft am 1. Januar 2025 -, selbst aufgehoben durch Art. 213 des G. vom 12. Mai 2024 (B.S. vom 30. Mai 2024)</w:t>
      </w:r>
      <w:r>
        <w:rPr>
          <w:i/>
          <w:iCs/>
          <w:sz w:val="20"/>
          <w:szCs w:val="20"/>
        </w:rPr>
        <w:t>, und durch Art. 31 Nr. 1</w:t>
      </w:r>
      <w:r w:rsidRPr="00E1725F">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E1725F">
        <w:rPr>
          <w:i/>
          <w:iCs/>
          <w:sz w:val="20"/>
          <w:szCs w:val="20"/>
        </w:rPr>
        <w:t>-; Abs. 3 abgeändert durch Art. 7 des G. vom 19. Mai 2010 (B.S. vom 28. Mai 2010)</w:t>
      </w:r>
      <w:r>
        <w:rPr>
          <w:i/>
          <w:iCs/>
          <w:sz w:val="20"/>
          <w:szCs w:val="20"/>
        </w:rPr>
        <w:t xml:space="preserve">, </w:t>
      </w:r>
      <w:r w:rsidRPr="00E1725F">
        <w:rPr>
          <w:i/>
          <w:iCs/>
          <w:sz w:val="20"/>
          <w:szCs w:val="20"/>
        </w:rPr>
        <w:t>ersetzt durch Art. 32 Nr. 3 des G. vom 26. Januar 2021 (B.S. vom 10. Februar 2021) - in Kraft am 1. Januar 2025 -, selbst aufgehoben durch Art. 213 des G. vom 12. Mai 2024 (B.S. vom 30. Mai 2024)</w:t>
      </w:r>
      <w:r>
        <w:rPr>
          <w:i/>
          <w:iCs/>
          <w:sz w:val="20"/>
          <w:szCs w:val="20"/>
        </w:rPr>
        <w:t>, und abgeändert durch Art. 31 Nr. 2</w:t>
      </w:r>
      <w:r w:rsidRPr="00E1725F">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E1725F">
        <w:rPr>
          <w:i/>
          <w:iCs/>
          <w:sz w:val="20"/>
          <w:szCs w:val="20"/>
        </w:rPr>
        <w:t xml:space="preserve">-; </w:t>
      </w:r>
      <w:r>
        <w:rPr>
          <w:i/>
          <w:iCs/>
          <w:sz w:val="20"/>
          <w:szCs w:val="20"/>
        </w:rPr>
        <w:t>früher</w:t>
      </w:r>
      <w:r w:rsidRPr="00E1725F">
        <w:rPr>
          <w:i/>
          <w:iCs/>
          <w:sz w:val="20"/>
          <w:szCs w:val="20"/>
        </w:rPr>
        <w:t>er Absatz 4 eingefügt durch Art. 32 Nr. 4 des G. vom 26. Januar 2021 (B.S. vom 10. Februar 2021) - in Kraft am 1. Januar 2025 -, selbst aufgehoben durch Art. 213 des G. vom 12. Mai 2024 (B.S. vom 30. Mai 2024)</w:t>
      </w:r>
      <w:r>
        <w:rPr>
          <w:i/>
          <w:iCs/>
          <w:sz w:val="20"/>
          <w:szCs w:val="20"/>
        </w:rPr>
        <w:t xml:space="preserve">; </w:t>
      </w:r>
      <w:r w:rsidRPr="00E1725F">
        <w:rPr>
          <w:i/>
          <w:iCs/>
          <w:sz w:val="20"/>
          <w:szCs w:val="20"/>
        </w:rPr>
        <w:t>Abs. 4 eingefügt durch Art. 5 des G. vom 5. Juli 1994 (B.S. vom 16. Juli 1994) - anwendbar ab dem Steuerjahr</w:t>
      </w:r>
      <w:r w:rsidR="00C15B15">
        <w:rPr>
          <w:i/>
          <w:iCs/>
          <w:sz w:val="20"/>
          <w:szCs w:val="20"/>
        </w:rPr>
        <w:t> 1</w:t>
      </w:r>
      <w:r w:rsidRPr="00E1725F">
        <w:rPr>
          <w:i/>
          <w:iCs/>
          <w:sz w:val="20"/>
          <w:szCs w:val="20"/>
        </w:rPr>
        <w:t xml:space="preserve">994 - und abgeändert durch Art. 29 des G. (I) vom 29. Dezember 2010 (B.S. vom 31. Dezember 2010) - in Kraft ab dem Steuerjahr 2011 -; Abs. 5 eingefügt durch Art. 5 des G. vom 30. Juni 2000 (B.S. vom 12. August 2000) - in Kraft ab dem 1. Oktober 2000 - und </w:t>
      </w:r>
      <w:r>
        <w:rPr>
          <w:i/>
          <w:iCs/>
          <w:sz w:val="20"/>
          <w:szCs w:val="20"/>
        </w:rPr>
        <w:t>ersetzt durch Art. 31 Nr. 3</w:t>
      </w:r>
      <w:r w:rsidRPr="00E1725F">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E1725F">
        <w:rPr>
          <w:i/>
          <w:iCs/>
          <w:sz w:val="20"/>
          <w:szCs w:val="20"/>
        </w:rPr>
        <w:t>-]</w:t>
      </w:r>
      <w:r>
        <w:rPr>
          <w:sz w:val="20"/>
          <w:szCs w:val="20"/>
        </w:rPr>
        <w:t>"</w:t>
      </w:r>
    </w:p>
    <w:p w14:paraId="79038DE7" w14:textId="0F0452A7" w:rsidR="00C23567" w:rsidRPr="00E1725F" w:rsidRDefault="00C23567" w:rsidP="00E1725F">
      <w:pPr>
        <w:rPr>
          <w:iCs/>
          <w:sz w:val="20"/>
          <w:szCs w:val="20"/>
        </w:rPr>
      </w:pPr>
    </w:p>
    <w:p w14:paraId="4B155D11" w14:textId="77777777" w:rsidR="00C23567" w:rsidRPr="009118AB" w:rsidRDefault="00C2356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40F899B" w14:textId="2086573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347</w:t>
      </w:r>
      <w:r w:rsidR="00D67EB8" w:rsidRPr="009118AB">
        <w:t> - </w:t>
      </w:r>
      <w:r w:rsidRPr="009118AB">
        <w:t>[...]</w:t>
      </w:r>
    </w:p>
    <w:p w14:paraId="131EFF7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3A368B" w14:textId="762DD67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347 aufgehoben durch </w:t>
      </w:r>
      <w:r w:rsidR="00D67EB8" w:rsidRPr="009118AB">
        <w:rPr>
          <w:i/>
          <w:iCs/>
        </w:rPr>
        <w:t>Art. </w:t>
      </w:r>
      <w:r w:rsidRPr="009118AB">
        <w:rPr>
          <w:i/>
          <w:iCs/>
        </w:rPr>
        <w:t>14 des G. vom 15. März </w:t>
      </w:r>
      <w:r w:rsidR="00B64F05" w:rsidRPr="009118AB">
        <w:rPr>
          <w:i/>
          <w:iCs/>
        </w:rPr>
        <w:t>1999 (B.S. vom 27. März 1999)</w:t>
      </w:r>
      <w:r w:rsidR="00D67EB8" w:rsidRPr="009118AB">
        <w:rPr>
          <w:i/>
          <w:iCs/>
        </w:rPr>
        <w:t> - </w:t>
      </w:r>
      <w:r w:rsidRPr="009118AB">
        <w:rPr>
          <w:i/>
          <w:iCs/>
        </w:rPr>
        <w:t>anwendbar ab dem Steuerjahr 1992</w:t>
      </w:r>
      <w:r w:rsidR="00FD68E8" w:rsidRPr="009118AB">
        <w:rPr>
          <w:i/>
          <w:iCs/>
        </w:rPr>
        <w:t> -]</w:t>
      </w:r>
    </w:p>
    <w:p w14:paraId="7F4B379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3A014BE" w14:textId="77777777" w:rsidR="00CF63CE" w:rsidRPr="009118AB" w:rsidRDefault="00CF63C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C3C969" w14:textId="77777777" w:rsidR="00E1725F" w:rsidRDefault="00E1725F">
      <w:r>
        <w:br w:type="page"/>
      </w:r>
    </w:p>
    <w:p w14:paraId="2F4866C3" w14:textId="33E39B2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348</w:t>
      </w:r>
      <w:r w:rsidR="00D67EB8" w:rsidRPr="009118AB">
        <w:t> - </w:t>
      </w:r>
      <w:r w:rsidRPr="009118AB">
        <w:t>[...]</w:t>
      </w:r>
    </w:p>
    <w:p w14:paraId="079B00F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0819B96" w14:textId="69AC3E3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348 aufgehoben durch </w:t>
      </w:r>
      <w:r w:rsidR="00D67EB8" w:rsidRPr="009118AB">
        <w:rPr>
          <w:i/>
          <w:iCs/>
        </w:rPr>
        <w:t>Art. </w:t>
      </w:r>
      <w:r w:rsidRPr="009118AB">
        <w:rPr>
          <w:i/>
          <w:iCs/>
        </w:rPr>
        <w:t>15 des G. vom 15. März 1999 (B.S. vom 27. März 1999)]</w:t>
      </w:r>
    </w:p>
    <w:p w14:paraId="673AB3B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0E493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1C21AC" w14:textId="41A1088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349</w:t>
      </w:r>
      <w:r w:rsidR="00D67EB8" w:rsidRPr="009118AB">
        <w:t> - </w:t>
      </w:r>
      <w:r w:rsidRPr="009118AB">
        <w:t>[...]</w:t>
      </w:r>
    </w:p>
    <w:p w14:paraId="174470A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A317E7" w14:textId="687AEB4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349 aufgehoben durch </w:t>
      </w:r>
      <w:r w:rsidR="00D67EB8" w:rsidRPr="009118AB">
        <w:rPr>
          <w:i/>
          <w:iCs/>
        </w:rPr>
        <w:t>Art. </w:t>
      </w:r>
      <w:r w:rsidRPr="009118AB">
        <w:rPr>
          <w:i/>
          <w:iCs/>
        </w:rPr>
        <w:t>16 des G. vom 15. März 1999 (B.S. vom 27. März 1999)]</w:t>
      </w:r>
    </w:p>
    <w:p w14:paraId="06D8D33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2B6D5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80FBC89" w14:textId="56C966B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350</w:t>
      </w:r>
      <w:r w:rsidR="00D67EB8" w:rsidRPr="009118AB">
        <w:t> - </w:t>
      </w:r>
      <w:r w:rsidRPr="009118AB">
        <w:t>[...]</w:t>
      </w:r>
    </w:p>
    <w:p w14:paraId="3EC0CA9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529794C" w14:textId="48524A5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350 aufgehoben durch </w:t>
      </w:r>
      <w:r w:rsidR="00D67EB8" w:rsidRPr="009118AB">
        <w:rPr>
          <w:i/>
          <w:iCs/>
        </w:rPr>
        <w:t>Art. </w:t>
      </w:r>
      <w:r w:rsidRPr="009118AB">
        <w:rPr>
          <w:i/>
          <w:iCs/>
        </w:rPr>
        <w:t>17 des G. vom 15. März 1999 (B.S. vom 27. März 1999)]</w:t>
      </w:r>
    </w:p>
    <w:p w14:paraId="231F1C0C" w14:textId="4CFE6C4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Pr="009118AB">
        <w:rPr>
          <w:i/>
          <w:iCs/>
        </w:rPr>
        <w:t>Abschnitt </w:t>
      </w:r>
      <w:r w:rsidR="00D74862" w:rsidRPr="009118AB">
        <w:rPr>
          <w:i/>
          <w:iCs/>
        </w:rPr>
        <w:t>2</w:t>
      </w:r>
      <w:r w:rsidR="00D67EB8" w:rsidRPr="009118AB">
        <w:rPr>
          <w:i/>
          <w:iCs/>
        </w:rPr>
        <w:t> - </w:t>
      </w:r>
      <w:r w:rsidRPr="009118AB">
        <w:t>Veranlagung von Amts wegen</w:t>
      </w:r>
    </w:p>
    <w:p w14:paraId="7B83BE1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82162D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3DA635F" w14:textId="2E214DF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351</w:t>
      </w:r>
      <w:r w:rsidR="00D67EB8" w:rsidRPr="009118AB">
        <w:t> - </w:t>
      </w:r>
      <w:r w:rsidRPr="009118AB">
        <w:t>Die Verwaltung kann die Veranlagung von Amts wegen durchführen aufgrund des Betrags der steuerpflichtigen Einkünfte, die sie unter Berücksichtigung der ihr verfügbaren Angaben vermuten kann, in Fällen, in denen der Steuerpflichtige es unterlassen hat:</w:t>
      </w:r>
    </w:p>
    <w:p w14:paraId="6C22F7F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90CC3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innerhalb der in den Artikeln 307 bis 311 oder in den Bestimmungen zur Ausführung von Artikel 312 erwähnten Fristen eine Erklärung einzureichen,</w:t>
      </w:r>
    </w:p>
    <w:p w14:paraId="11F797C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286647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in der zu diesem Zweck bewilligten Frist den oder die Formfehler in seiner Erklärung zu beheben,</w:t>
      </w:r>
    </w:p>
    <w:p w14:paraId="58C810E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E3D3D3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die in Artikel 315 erwähnten Bücher, Unterlagen oder Register [oder die in Artikel 315</w:t>
      </w:r>
      <w:r w:rsidRPr="009118AB">
        <w:rPr>
          <w:i/>
          <w:iCs/>
        </w:rPr>
        <w:t>bis</w:t>
      </w:r>
      <w:r w:rsidRPr="009118AB">
        <w:t xml:space="preserve"> erwähnten Akten, Träger oder Daten] vorzulegen,</w:t>
      </w:r>
    </w:p>
    <w:p w14:paraId="5E61616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E1CB9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die aufgrund von Artikel 316 angefragten Auskünfte fristgerecht zu erteilen</w:t>
      </w:r>
    </w:p>
    <w:p w14:paraId="694D05C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AE4530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oder innerhalb der in Artikel 346 erwähnten Frist auf die dort erwähnte Mitteilung zu antworten.</w:t>
      </w:r>
    </w:p>
    <w:p w14:paraId="345301C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F78D46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Vor der Durchführung der Veranlagung von Amts wegen notifiziert die Verwaltung dem Steuerpflichtigen per Einschreibebrief die Gründe für die Anwendung dieses Verfahrens, den Betrag der Einkünfte und die anderen Angaben, auf denen die Veranlagung basieren wird, und die Weise, wie diese Einkünfte und Angaben bestimmt wurden.</w:t>
      </w:r>
    </w:p>
    <w:p w14:paraId="0979B02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68040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Außer im letzten in Absatz 1 erwähnten Fall, außer wenn die Rechte der Staatskasse aufgrund einer anderen Ursache als dem Ablauf der Veranlagungsfristen gefährdet sind oder außer wenn es sich um Mobiliensteuervorabzug oder Berufssteuervorabzug handelt, erhält der Steuerpflichtige eine einmonatige Frist </w:t>
      </w:r>
      <w:r w:rsidR="00CF63CE" w:rsidRPr="009118AB">
        <w:t>[ab dem dritten Werktag nach Versendung dieser Notifizierung]</w:t>
      </w:r>
      <w:r w:rsidRPr="009118AB">
        <w:t>, um seine Bemerkungen schriftlich geltend zu machen, und darf die Steuer nicht vor Ablauf dieser Frist festgelegt werden.</w:t>
      </w:r>
    </w:p>
    <w:p w14:paraId="5D6ECF3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F11436E" w14:textId="129AEB2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351 </w:t>
      </w:r>
      <w:r w:rsidR="00D67EB8" w:rsidRPr="009118AB">
        <w:rPr>
          <w:i/>
          <w:iCs/>
        </w:rPr>
        <w:t>Abs. </w:t>
      </w:r>
      <w:r w:rsidRPr="009118AB">
        <w:rPr>
          <w:i/>
          <w:iCs/>
        </w:rPr>
        <w:t xml:space="preserve">1 dritter Gedankenstrich abgeändert durch </w:t>
      </w:r>
      <w:r w:rsidR="00D67EB8" w:rsidRPr="009118AB">
        <w:rPr>
          <w:i/>
          <w:iCs/>
        </w:rPr>
        <w:t>Art. </w:t>
      </w:r>
      <w:r w:rsidRPr="009118AB">
        <w:rPr>
          <w:i/>
          <w:iCs/>
        </w:rPr>
        <w:t>67 des G. vom 6. Juli 1994 (B.S. vom 16. Juli 1994)</w:t>
      </w:r>
      <w:r w:rsidR="00D67EB8" w:rsidRPr="009118AB">
        <w:rPr>
          <w:i/>
          <w:iCs/>
        </w:rPr>
        <w:t> - </w:t>
      </w:r>
      <w:r w:rsidRPr="009118AB">
        <w:rPr>
          <w:i/>
          <w:iCs/>
        </w:rPr>
        <w:t>in Kraft ab dem 16. Juli 1994</w:t>
      </w:r>
      <w:r w:rsidR="003366D9" w:rsidRPr="009118AB">
        <w:rPr>
          <w:i/>
          <w:iCs/>
        </w:rPr>
        <w:t> -;</w:t>
      </w:r>
      <w:r w:rsidR="00CF63CE" w:rsidRPr="009118AB">
        <w:rPr>
          <w:i/>
          <w:iCs/>
        </w:rPr>
        <w:t xml:space="preserve"> </w:t>
      </w:r>
      <w:r w:rsidR="00D67EB8" w:rsidRPr="009118AB">
        <w:rPr>
          <w:i/>
          <w:iCs/>
        </w:rPr>
        <w:t>Abs. </w:t>
      </w:r>
      <w:r w:rsidR="00CF63CE" w:rsidRPr="009118AB">
        <w:rPr>
          <w:i/>
          <w:iCs/>
        </w:rPr>
        <w:t xml:space="preserve">3 abgeändert durch </w:t>
      </w:r>
      <w:r w:rsidR="00D67EB8" w:rsidRPr="009118AB">
        <w:rPr>
          <w:i/>
          <w:iCs/>
        </w:rPr>
        <w:t>Art. </w:t>
      </w:r>
      <w:r w:rsidR="00CF63CE" w:rsidRPr="009118AB">
        <w:rPr>
          <w:i/>
          <w:iCs/>
        </w:rPr>
        <w:t>8</w:t>
      </w:r>
      <w:r w:rsidR="00CF63CE" w:rsidRPr="009118AB">
        <w:rPr>
          <w:i/>
        </w:rPr>
        <w:t xml:space="preserve"> des G. vom 19. Mai 2010 (B.S. vom 28. Mai 2010)</w:t>
      </w:r>
      <w:r w:rsidRPr="009118AB">
        <w:rPr>
          <w:i/>
          <w:iCs/>
        </w:rPr>
        <w:t>]</w:t>
      </w:r>
    </w:p>
    <w:p w14:paraId="5454BEDB" w14:textId="0DA02C0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4C5834C" w14:textId="384ADF64" w:rsidR="00C23567" w:rsidRPr="009118AB" w:rsidRDefault="00C2356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048CBF0" w14:textId="34B63A06" w:rsidR="00580E02" w:rsidRPr="00580E02" w:rsidRDefault="00580E02" w:rsidP="00580E02">
      <w:pPr>
        <w:autoSpaceDE w:val="0"/>
        <w:autoSpaceDN w:val="0"/>
        <w:adjustRightInd w:val="0"/>
        <w:jc w:val="both"/>
        <w:rPr>
          <w:iCs/>
          <w:sz w:val="20"/>
          <w:szCs w:val="20"/>
        </w:rPr>
      </w:pPr>
      <w:r w:rsidRPr="00580E02">
        <w:rPr>
          <w:iCs/>
          <w:sz w:val="20"/>
          <w:szCs w:val="20"/>
        </w:rPr>
        <w:t>Ab einem gemäß Art. 222 des G. vom 12. Mai 2024 (B.S. vom 30. Mai 2024) vom König festzulegenden Datum und spätestens am 1. Januar 2028 lautet Art. 3</w:t>
      </w:r>
      <w:r>
        <w:rPr>
          <w:iCs/>
          <w:sz w:val="20"/>
          <w:szCs w:val="20"/>
        </w:rPr>
        <w:t>51</w:t>
      </w:r>
      <w:r w:rsidRPr="00580E02">
        <w:rPr>
          <w:iCs/>
          <w:sz w:val="20"/>
          <w:szCs w:val="20"/>
        </w:rPr>
        <w:t xml:space="preserve"> wie folgt:</w:t>
      </w:r>
    </w:p>
    <w:p w14:paraId="23C466AB" w14:textId="77777777" w:rsidR="00580E02" w:rsidRPr="00580E02" w:rsidRDefault="00580E02" w:rsidP="00580E02">
      <w:pPr>
        <w:autoSpaceDE w:val="0"/>
        <w:autoSpaceDN w:val="0"/>
        <w:adjustRightInd w:val="0"/>
        <w:jc w:val="both"/>
        <w:rPr>
          <w:iCs/>
          <w:sz w:val="20"/>
          <w:szCs w:val="20"/>
        </w:rPr>
      </w:pPr>
    </w:p>
    <w:p w14:paraId="0B117981" w14:textId="7E5CB8C1" w:rsidR="00580E02" w:rsidRPr="00580E02" w:rsidRDefault="00580E02" w:rsidP="00580E02">
      <w:pPr>
        <w:autoSpaceDE w:val="0"/>
        <w:autoSpaceDN w:val="0"/>
        <w:adjustRightInd w:val="0"/>
        <w:jc w:val="both"/>
        <w:rPr>
          <w:iCs/>
          <w:sz w:val="20"/>
          <w:szCs w:val="20"/>
        </w:rPr>
      </w:pPr>
      <w:r w:rsidRPr="00580E02">
        <w:rPr>
          <w:iCs/>
          <w:sz w:val="20"/>
          <w:szCs w:val="20"/>
        </w:rPr>
        <w:t>"Art. 351 - Die Verwaltung kann die Veranlagung von Amts wegen durchführen aufgrund des Betrags der steuerpflichtigen Einkünfte, die sie unter Berücksichtigung der ihr verfügbaren Angaben vermuten kann, in Fällen, in denen der Steuerpflichtige es unterlassen hat:</w:t>
      </w:r>
    </w:p>
    <w:p w14:paraId="386F0CDA" w14:textId="77777777" w:rsidR="00580E02" w:rsidRPr="00580E02" w:rsidRDefault="00580E02" w:rsidP="00580E02">
      <w:pPr>
        <w:autoSpaceDE w:val="0"/>
        <w:autoSpaceDN w:val="0"/>
        <w:adjustRightInd w:val="0"/>
        <w:jc w:val="both"/>
        <w:rPr>
          <w:iCs/>
          <w:sz w:val="20"/>
          <w:szCs w:val="20"/>
        </w:rPr>
      </w:pPr>
    </w:p>
    <w:p w14:paraId="174CC982" w14:textId="4628B0C2" w:rsidR="00580E02" w:rsidRPr="00580E02" w:rsidRDefault="00580E02" w:rsidP="00580E02">
      <w:pPr>
        <w:autoSpaceDE w:val="0"/>
        <w:autoSpaceDN w:val="0"/>
        <w:adjustRightInd w:val="0"/>
        <w:jc w:val="both"/>
        <w:rPr>
          <w:iCs/>
          <w:sz w:val="20"/>
          <w:szCs w:val="20"/>
        </w:rPr>
      </w:pPr>
      <w:r w:rsidRPr="00580E02">
        <w:rPr>
          <w:iCs/>
          <w:sz w:val="20"/>
          <w:szCs w:val="20"/>
        </w:rPr>
        <w:t>- innerhalb der in den Artikeln 307 bis 311 oder in den Bestimmungen zur Ausführung von Artikel 312 erwähnten Fristen eine Erklärung einzureichen,</w:t>
      </w:r>
    </w:p>
    <w:p w14:paraId="77DB508C" w14:textId="77777777" w:rsidR="00580E02" w:rsidRPr="00580E02" w:rsidRDefault="00580E02" w:rsidP="00580E02">
      <w:pPr>
        <w:autoSpaceDE w:val="0"/>
        <w:autoSpaceDN w:val="0"/>
        <w:adjustRightInd w:val="0"/>
        <w:jc w:val="both"/>
        <w:rPr>
          <w:iCs/>
          <w:sz w:val="20"/>
          <w:szCs w:val="20"/>
        </w:rPr>
      </w:pPr>
    </w:p>
    <w:p w14:paraId="33AE0046" w14:textId="2211EB01" w:rsidR="00580E02" w:rsidRPr="00580E02" w:rsidRDefault="00580E02" w:rsidP="00580E02">
      <w:pPr>
        <w:autoSpaceDE w:val="0"/>
        <w:autoSpaceDN w:val="0"/>
        <w:adjustRightInd w:val="0"/>
        <w:jc w:val="both"/>
        <w:rPr>
          <w:iCs/>
          <w:sz w:val="20"/>
          <w:szCs w:val="20"/>
        </w:rPr>
      </w:pPr>
      <w:r w:rsidRPr="00580E02">
        <w:rPr>
          <w:iCs/>
          <w:sz w:val="20"/>
          <w:szCs w:val="20"/>
        </w:rPr>
        <w:t>- in der zu diesem Zweck bewilligten Frist den oder die Formfehler in seiner Erklärung zu beheben,</w:t>
      </w:r>
    </w:p>
    <w:p w14:paraId="28DA680B" w14:textId="77777777" w:rsidR="00580E02" w:rsidRDefault="00580E02" w:rsidP="00580E02">
      <w:pPr>
        <w:autoSpaceDE w:val="0"/>
        <w:autoSpaceDN w:val="0"/>
        <w:adjustRightInd w:val="0"/>
        <w:jc w:val="both"/>
        <w:rPr>
          <w:iCs/>
          <w:sz w:val="20"/>
          <w:szCs w:val="20"/>
        </w:rPr>
      </w:pPr>
    </w:p>
    <w:p w14:paraId="70FD5C0D" w14:textId="5DD638EC" w:rsidR="00580E02" w:rsidRPr="00580E02" w:rsidRDefault="00580E02" w:rsidP="00580E02">
      <w:pPr>
        <w:autoSpaceDE w:val="0"/>
        <w:autoSpaceDN w:val="0"/>
        <w:adjustRightInd w:val="0"/>
        <w:jc w:val="both"/>
        <w:rPr>
          <w:iCs/>
          <w:sz w:val="20"/>
          <w:szCs w:val="20"/>
        </w:rPr>
      </w:pPr>
      <w:r w:rsidRPr="00580E02">
        <w:rPr>
          <w:iCs/>
          <w:sz w:val="20"/>
          <w:szCs w:val="20"/>
        </w:rPr>
        <w:t>- die in Artikel 315 erwähnten Bücher, Unterlagen oder Register [oder die in Artikel 315</w:t>
      </w:r>
      <w:r w:rsidRPr="00580E02">
        <w:rPr>
          <w:i/>
          <w:iCs/>
          <w:sz w:val="20"/>
          <w:szCs w:val="20"/>
        </w:rPr>
        <w:t>bis</w:t>
      </w:r>
      <w:r w:rsidRPr="00580E02">
        <w:rPr>
          <w:iCs/>
          <w:sz w:val="20"/>
          <w:szCs w:val="20"/>
        </w:rPr>
        <w:t xml:space="preserve"> erwähnten Akten, Träger oder Daten] vorzulegen,</w:t>
      </w:r>
    </w:p>
    <w:p w14:paraId="42C13F9B" w14:textId="77777777" w:rsidR="00580E02" w:rsidRPr="00580E02" w:rsidRDefault="00580E02" w:rsidP="00580E02">
      <w:pPr>
        <w:autoSpaceDE w:val="0"/>
        <w:autoSpaceDN w:val="0"/>
        <w:adjustRightInd w:val="0"/>
        <w:jc w:val="both"/>
        <w:rPr>
          <w:iCs/>
          <w:sz w:val="20"/>
          <w:szCs w:val="20"/>
        </w:rPr>
      </w:pPr>
    </w:p>
    <w:p w14:paraId="0AB1F1E8" w14:textId="7E52A825" w:rsidR="00580E02" w:rsidRPr="00580E02" w:rsidRDefault="00580E02" w:rsidP="00580E02">
      <w:pPr>
        <w:autoSpaceDE w:val="0"/>
        <w:autoSpaceDN w:val="0"/>
        <w:adjustRightInd w:val="0"/>
        <w:jc w:val="both"/>
        <w:rPr>
          <w:iCs/>
          <w:sz w:val="20"/>
          <w:szCs w:val="20"/>
        </w:rPr>
      </w:pPr>
      <w:r w:rsidRPr="00580E02">
        <w:rPr>
          <w:iCs/>
          <w:sz w:val="20"/>
          <w:szCs w:val="20"/>
        </w:rPr>
        <w:t>- die aufgrund von Artikel 316 angefragten Auskünfte fristgerecht zu erteilen</w:t>
      </w:r>
    </w:p>
    <w:p w14:paraId="679A0787" w14:textId="77777777" w:rsidR="00580E02" w:rsidRPr="00580E02" w:rsidRDefault="00580E02" w:rsidP="00580E02">
      <w:pPr>
        <w:autoSpaceDE w:val="0"/>
        <w:autoSpaceDN w:val="0"/>
        <w:adjustRightInd w:val="0"/>
        <w:jc w:val="both"/>
        <w:rPr>
          <w:iCs/>
          <w:sz w:val="20"/>
          <w:szCs w:val="20"/>
        </w:rPr>
      </w:pPr>
    </w:p>
    <w:p w14:paraId="1B1FB35E" w14:textId="4409A1A8" w:rsidR="00580E02" w:rsidRPr="00580E02" w:rsidRDefault="00580E02" w:rsidP="00580E02">
      <w:pPr>
        <w:autoSpaceDE w:val="0"/>
        <w:autoSpaceDN w:val="0"/>
        <w:adjustRightInd w:val="0"/>
        <w:jc w:val="both"/>
        <w:rPr>
          <w:iCs/>
          <w:sz w:val="20"/>
          <w:szCs w:val="20"/>
        </w:rPr>
      </w:pPr>
      <w:r w:rsidRPr="00580E02">
        <w:rPr>
          <w:iCs/>
          <w:sz w:val="20"/>
          <w:szCs w:val="20"/>
        </w:rPr>
        <w:t>- oder innerhalb der in Artikel 346 erwähnten Frist auf die dort erwähnte Mitteilung zu antworten.</w:t>
      </w:r>
    </w:p>
    <w:p w14:paraId="2A30D126" w14:textId="77777777" w:rsidR="00580E02" w:rsidRPr="00580E02" w:rsidRDefault="00580E02" w:rsidP="00580E02">
      <w:pPr>
        <w:autoSpaceDE w:val="0"/>
        <w:autoSpaceDN w:val="0"/>
        <w:adjustRightInd w:val="0"/>
        <w:jc w:val="both"/>
        <w:rPr>
          <w:iCs/>
          <w:sz w:val="20"/>
          <w:szCs w:val="20"/>
        </w:rPr>
      </w:pPr>
    </w:p>
    <w:p w14:paraId="2DD47AE5" w14:textId="24B855E9" w:rsidR="00580E02" w:rsidRPr="00580E02" w:rsidRDefault="00580E02" w:rsidP="00580E02">
      <w:pPr>
        <w:autoSpaceDE w:val="0"/>
        <w:autoSpaceDN w:val="0"/>
        <w:adjustRightInd w:val="0"/>
        <w:jc w:val="both"/>
        <w:rPr>
          <w:iCs/>
          <w:sz w:val="20"/>
          <w:szCs w:val="20"/>
        </w:rPr>
      </w:pPr>
      <w:r w:rsidRPr="00580E02">
        <w:rPr>
          <w:iCs/>
          <w:sz w:val="20"/>
          <w:szCs w:val="20"/>
        </w:rPr>
        <w:t>Vor der Durchführung der Veranlagung von Amts wegen notifiziert die Verwaltung dem Steuerpflichtigen [per Einschreibesendung] die Gründe für die Anwendung dieses Verfahrens, den Betrag der Einkünfte und die anderen Angaben, auf denen die Veranlagung basieren wird, und die Weise, wie diese Einkünfte und Angaben bestimmt wurden.</w:t>
      </w:r>
    </w:p>
    <w:p w14:paraId="4B7B5FBC" w14:textId="77777777" w:rsidR="00580E02" w:rsidRPr="00580E02" w:rsidRDefault="00580E02" w:rsidP="00580E02">
      <w:pPr>
        <w:autoSpaceDE w:val="0"/>
        <w:autoSpaceDN w:val="0"/>
        <w:adjustRightInd w:val="0"/>
        <w:jc w:val="both"/>
        <w:rPr>
          <w:iCs/>
          <w:sz w:val="20"/>
          <w:szCs w:val="20"/>
        </w:rPr>
      </w:pPr>
    </w:p>
    <w:p w14:paraId="57148025" w14:textId="5256189E" w:rsidR="00580E02" w:rsidRPr="00580E02" w:rsidRDefault="00580E02" w:rsidP="00580E02">
      <w:pPr>
        <w:autoSpaceDE w:val="0"/>
        <w:autoSpaceDN w:val="0"/>
        <w:adjustRightInd w:val="0"/>
        <w:jc w:val="both"/>
        <w:rPr>
          <w:iCs/>
          <w:sz w:val="20"/>
          <w:szCs w:val="20"/>
        </w:rPr>
      </w:pPr>
      <w:r w:rsidRPr="00580E02">
        <w:rPr>
          <w:iCs/>
          <w:sz w:val="20"/>
          <w:szCs w:val="20"/>
        </w:rPr>
        <w:t xml:space="preserve">Außer im letzten in Absatz 1 erwähnten Fall, außer wenn die Rechte der Staatskasse aufgrund einer anderen Ursache als dem Ablauf der Veranlagungsfristen gefährdet sind oder außer wenn es sich um Mobiliensteuervorabzug oder Berufssteuervorabzug handelt, erhält der Steuerpflichtige eine einmonatige Frist [ab dem dritten Werktag </w:t>
      </w:r>
      <w:r>
        <w:rPr>
          <w:iCs/>
          <w:sz w:val="20"/>
          <w:szCs w:val="20"/>
        </w:rPr>
        <w:t>[</w:t>
      </w:r>
      <w:r w:rsidRPr="00580E02">
        <w:rPr>
          <w:iCs/>
          <w:sz w:val="20"/>
          <w:szCs w:val="20"/>
        </w:rPr>
        <w:t xml:space="preserve">nach </w:t>
      </w:r>
      <w:r>
        <w:rPr>
          <w:iCs/>
          <w:sz w:val="20"/>
          <w:szCs w:val="20"/>
        </w:rPr>
        <w:t>Übermittlung</w:t>
      </w:r>
      <w:r w:rsidRPr="00580E02">
        <w:rPr>
          <w:iCs/>
          <w:sz w:val="20"/>
          <w:szCs w:val="20"/>
        </w:rPr>
        <w:t xml:space="preserve"> dieser Notifizierung</w:t>
      </w:r>
      <w:r>
        <w:rPr>
          <w:iCs/>
          <w:sz w:val="20"/>
          <w:szCs w:val="20"/>
        </w:rPr>
        <w:t>]</w:t>
      </w:r>
      <w:r w:rsidRPr="00580E02">
        <w:rPr>
          <w:iCs/>
          <w:sz w:val="20"/>
          <w:szCs w:val="20"/>
        </w:rPr>
        <w:t>], um seine Bemerkungen schriftlich geltend zu machen, und darf die Steuer nicht vor Ablauf dieser Frist festgelegt werden.</w:t>
      </w:r>
    </w:p>
    <w:p w14:paraId="4884E4E8" w14:textId="77777777" w:rsidR="00580E02" w:rsidRDefault="00580E02" w:rsidP="00580E02">
      <w:pPr>
        <w:autoSpaceDE w:val="0"/>
        <w:autoSpaceDN w:val="0"/>
        <w:adjustRightInd w:val="0"/>
        <w:jc w:val="both"/>
        <w:rPr>
          <w:iCs/>
          <w:sz w:val="20"/>
          <w:szCs w:val="20"/>
        </w:rPr>
      </w:pPr>
    </w:p>
    <w:p w14:paraId="47CEB798" w14:textId="317864B9" w:rsidR="00750E23" w:rsidRDefault="00750E23" w:rsidP="00580E02">
      <w:pPr>
        <w:autoSpaceDE w:val="0"/>
        <w:autoSpaceDN w:val="0"/>
        <w:adjustRightInd w:val="0"/>
        <w:jc w:val="both"/>
        <w:rPr>
          <w:iCs/>
          <w:sz w:val="20"/>
          <w:szCs w:val="20"/>
        </w:rPr>
      </w:pPr>
      <w:r>
        <w:rPr>
          <w:iCs/>
          <w:sz w:val="20"/>
          <w:szCs w:val="20"/>
        </w:rPr>
        <w:t>[…]</w:t>
      </w:r>
    </w:p>
    <w:p w14:paraId="51F3204F" w14:textId="77777777" w:rsidR="00750E23" w:rsidRPr="00580E02" w:rsidRDefault="00750E23" w:rsidP="00580E02">
      <w:pPr>
        <w:autoSpaceDE w:val="0"/>
        <w:autoSpaceDN w:val="0"/>
        <w:adjustRightInd w:val="0"/>
        <w:jc w:val="both"/>
        <w:rPr>
          <w:iCs/>
          <w:sz w:val="20"/>
          <w:szCs w:val="20"/>
        </w:rPr>
      </w:pPr>
    </w:p>
    <w:p w14:paraId="2D4E6D7A" w14:textId="3F7D2100" w:rsidR="00580E02" w:rsidRPr="00580E02" w:rsidRDefault="00580E02" w:rsidP="00580E02">
      <w:pPr>
        <w:autoSpaceDE w:val="0"/>
        <w:autoSpaceDN w:val="0"/>
        <w:adjustRightInd w:val="0"/>
        <w:jc w:val="both"/>
        <w:rPr>
          <w:sz w:val="20"/>
          <w:szCs w:val="20"/>
        </w:rPr>
      </w:pPr>
      <w:r w:rsidRPr="00580E02">
        <w:rPr>
          <w:i/>
          <w:iCs/>
          <w:sz w:val="20"/>
          <w:szCs w:val="20"/>
        </w:rPr>
        <w:t xml:space="preserve">[Art. 351 Abs. 1 dritter Gedankenstrich abgeändert durch Art. 67 des G. vom 6. Juli 1994 (B.S. vom 16. Juli 1994) - in Kraft ab dem 16. Juli 1994 -; </w:t>
      </w:r>
      <w:r w:rsidRPr="009118AB">
        <w:rPr>
          <w:i/>
          <w:iCs/>
          <w:sz w:val="20"/>
          <w:szCs w:val="20"/>
        </w:rPr>
        <w:t>Abs. 2 abgeändert durch Art. 33 Nr. 1 des G. vom 26. Januar 2021 (B.S. vom 10. Februar 2021) - in Kraft am 1. Januar 2025 -</w:t>
      </w:r>
      <w:r w:rsidRPr="00580E02">
        <w:rPr>
          <w:i/>
          <w:iCs/>
          <w:sz w:val="20"/>
          <w:szCs w:val="20"/>
        </w:rPr>
        <w:t>, selbst aufgehoben durch Art. 213 des G. vom 12. Mai 2024 (B.S. vom 30. Mai 2024)</w:t>
      </w:r>
      <w:r>
        <w:rPr>
          <w:i/>
          <w:iCs/>
          <w:sz w:val="20"/>
          <w:szCs w:val="20"/>
        </w:rPr>
        <w:t>, und durch Art. 32 Nr. 1</w:t>
      </w:r>
      <w:r w:rsidRPr="00580E02">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580E02">
        <w:rPr>
          <w:i/>
          <w:iCs/>
          <w:sz w:val="20"/>
          <w:szCs w:val="20"/>
        </w:rPr>
        <w:t>-</w:t>
      </w:r>
      <w:r w:rsidRPr="009118AB">
        <w:rPr>
          <w:i/>
          <w:iCs/>
          <w:sz w:val="20"/>
          <w:szCs w:val="20"/>
        </w:rPr>
        <w:t xml:space="preserve">; </w:t>
      </w:r>
      <w:r w:rsidRPr="00580E02">
        <w:rPr>
          <w:i/>
          <w:iCs/>
          <w:sz w:val="20"/>
          <w:szCs w:val="20"/>
        </w:rPr>
        <w:t>Abs. 3 abgeändert durch Art. 8 des G. vom 19. Mai 2010 (B.S. vom 28. Mai 2010) und Art. 33 Nr. 2 des G. vom 26. Januar 2021 (B.S. vom 10. Februar 2021) - in Kraft am 1. Januar 2025 -, selbst aufgehoben durch Art. 213 des G. vom 12. Mai 2024 (B.S. vom 30. Mai 2024)</w:t>
      </w:r>
      <w:r>
        <w:rPr>
          <w:i/>
          <w:iCs/>
          <w:sz w:val="20"/>
          <w:szCs w:val="20"/>
        </w:rPr>
        <w:t>, und durch Art. 32 Nr. 2</w:t>
      </w:r>
      <w:r w:rsidRPr="00580E02">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580E02">
        <w:rPr>
          <w:i/>
          <w:iCs/>
          <w:sz w:val="20"/>
          <w:szCs w:val="20"/>
        </w:rPr>
        <w:t xml:space="preserve">-; </w:t>
      </w:r>
      <w:r w:rsidR="00750E23">
        <w:rPr>
          <w:i/>
          <w:iCs/>
          <w:sz w:val="20"/>
          <w:szCs w:val="20"/>
        </w:rPr>
        <w:t xml:space="preserve">früherer </w:t>
      </w:r>
      <w:r w:rsidRPr="00580E02">
        <w:rPr>
          <w:i/>
          <w:iCs/>
          <w:sz w:val="20"/>
          <w:szCs w:val="20"/>
        </w:rPr>
        <w:t>Abs</w:t>
      </w:r>
      <w:r w:rsidR="00750E23">
        <w:rPr>
          <w:i/>
          <w:iCs/>
          <w:sz w:val="20"/>
          <w:szCs w:val="20"/>
        </w:rPr>
        <w:t>atz</w:t>
      </w:r>
      <w:r w:rsidRPr="00580E02">
        <w:rPr>
          <w:i/>
          <w:iCs/>
          <w:sz w:val="20"/>
          <w:szCs w:val="20"/>
        </w:rPr>
        <w:t> 4 eingefügt durch Art. 33 Nr. 3 des G. vom 26. Januar 2021 (B.S. vom 10. Februar 2021) - in Kraft am 1. Januar 2025 -, selbst aufgehoben durch Art. 213 des G. vom 12. Mai 2024 (B.S. vom 30. Mai 2024)]</w:t>
      </w:r>
      <w:r>
        <w:rPr>
          <w:sz w:val="20"/>
          <w:szCs w:val="20"/>
        </w:rPr>
        <w:t>"</w:t>
      </w:r>
    </w:p>
    <w:p w14:paraId="2BF6158A" w14:textId="34CAA8F4" w:rsidR="00580E02" w:rsidRPr="00580E02" w:rsidRDefault="00580E02" w:rsidP="00580E02">
      <w:pPr>
        <w:autoSpaceDE w:val="0"/>
        <w:autoSpaceDN w:val="0"/>
        <w:adjustRightInd w:val="0"/>
        <w:jc w:val="both"/>
        <w:rPr>
          <w:iCs/>
        </w:rPr>
      </w:pPr>
    </w:p>
    <w:p w14:paraId="4D66A706" w14:textId="77777777" w:rsidR="00580E02" w:rsidRPr="00580E02" w:rsidRDefault="00580E02" w:rsidP="00580E02">
      <w:pPr>
        <w:autoSpaceDE w:val="0"/>
        <w:autoSpaceDN w:val="0"/>
        <w:adjustRightInd w:val="0"/>
        <w:jc w:val="both"/>
        <w:rPr>
          <w:iCs/>
        </w:rPr>
      </w:pPr>
    </w:p>
    <w:p w14:paraId="4E20427B" w14:textId="02AFDF3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352</w:t>
      </w:r>
      <w:r w:rsidR="00D67EB8" w:rsidRPr="009118AB">
        <w:t> - </w:t>
      </w:r>
      <w:r w:rsidRPr="009118AB">
        <w:t>Wird ein Steuerpflichtiger von Amts wegen veranlagt, obliegt es ihm, den Nachweis des richtigen Betrags seiner steuerpflichtigen Einkünfte und der anderen für ihn zu berücksichtigenden Angaben zu erbringen.</w:t>
      </w:r>
    </w:p>
    <w:p w14:paraId="46A34478" w14:textId="77777777" w:rsidR="003712D8" w:rsidRPr="009118AB" w:rsidRDefault="003712D8" w:rsidP="00477B8F">
      <w:pPr>
        <w:autoSpaceDE w:val="0"/>
        <w:autoSpaceDN w:val="0"/>
        <w:adjustRightInd w:val="0"/>
      </w:pPr>
    </w:p>
    <w:p w14:paraId="00869CFE" w14:textId="77777777" w:rsidR="00477B8F" w:rsidRPr="009118AB" w:rsidRDefault="00477B8F" w:rsidP="00477B8F">
      <w:pPr>
        <w:autoSpaceDE w:val="0"/>
        <w:autoSpaceDN w:val="0"/>
        <w:adjustRightInd w:val="0"/>
      </w:pPr>
      <w:r w:rsidRPr="009118AB">
        <w:tab/>
        <w:t>Dieser Nachweis ist jedoch von der Verwaltung zu erbringen, wenn:</w:t>
      </w:r>
    </w:p>
    <w:p w14:paraId="4741773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885D7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der Steuerpflichtige nachweist, dass er aus rechtmäßigen Gründen entweder die in Artikel 315 Absatz 1 und 2 erwähnten Bücher, Unterlagen oder Register [oder die in Artikel 315</w:t>
      </w:r>
      <w:r w:rsidRPr="009118AB">
        <w:rPr>
          <w:i/>
          <w:iCs/>
        </w:rPr>
        <w:t>bis</w:t>
      </w:r>
      <w:r w:rsidRPr="009118AB">
        <w:t xml:space="preserve"> Absatz 1 bis 3 erwähnten Akten, Träger oder Daten] nicht vorlegen konnte oder die aufgrund von Artikel 316 angefragten Auskünfte nicht fristgerecht erteilen konnte oder innerhalb der in Artikel 346 erwähnten Frist nicht auf die dort erwähnte Mitteilung antworten konnte,</w:t>
      </w:r>
    </w:p>
    <w:p w14:paraId="4B777327" w14:textId="77777777" w:rsidR="00CF63CE" w:rsidRPr="009118AB" w:rsidRDefault="00CF63C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0898AD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die Veranlagung auf der Grundlage, die in der in Artikel 346 erwähnten Mitteilung angegeben ist, vor Ablauf der in diesem Artikel erwähnten Frist festgelegt wurde, weil die Rechte der Staatskasse gefährdet waren.</w:t>
      </w:r>
    </w:p>
    <w:p w14:paraId="77A0349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0F7B6C" w14:textId="295E051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352 </w:t>
      </w:r>
      <w:r w:rsidR="00D67EB8" w:rsidRPr="009118AB">
        <w:rPr>
          <w:i/>
          <w:iCs/>
        </w:rPr>
        <w:t>Abs. </w:t>
      </w:r>
      <w:r w:rsidRPr="009118AB">
        <w:rPr>
          <w:i/>
          <w:iCs/>
        </w:rPr>
        <w:t xml:space="preserve">2 erster Gedankenstrich abgeändert durch </w:t>
      </w:r>
      <w:r w:rsidR="00D67EB8" w:rsidRPr="009118AB">
        <w:rPr>
          <w:i/>
          <w:iCs/>
        </w:rPr>
        <w:t>Art. </w:t>
      </w:r>
      <w:r w:rsidRPr="009118AB">
        <w:rPr>
          <w:i/>
          <w:iCs/>
        </w:rPr>
        <w:t xml:space="preserve">68 </w:t>
      </w:r>
      <w:r w:rsidR="00D67EB8" w:rsidRPr="009118AB">
        <w:rPr>
          <w:i/>
          <w:iCs/>
        </w:rPr>
        <w:t>Nr. </w:t>
      </w:r>
      <w:r w:rsidRPr="009118AB">
        <w:rPr>
          <w:i/>
          <w:iCs/>
        </w:rPr>
        <w:t>1 des G. vom 6. Juli 1994 (B.S. vom 16. Juli 1994)</w:t>
      </w:r>
      <w:r w:rsidR="00D67EB8" w:rsidRPr="009118AB">
        <w:rPr>
          <w:i/>
          <w:iCs/>
        </w:rPr>
        <w:t> - </w:t>
      </w:r>
      <w:r w:rsidRPr="009118AB">
        <w:rPr>
          <w:i/>
          <w:iCs/>
        </w:rPr>
        <w:t>in Kraft ab dem 16. Juli 1994</w:t>
      </w:r>
      <w:r w:rsidR="00FD68E8" w:rsidRPr="009118AB">
        <w:rPr>
          <w:i/>
          <w:iCs/>
        </w:rPr>
        <w:t> -]</w:t>
      </w:r>
    </w:p>
    <w:p w14:paraId="64FEB8F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B0B010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BB50E9" w14:textId="77777777" w:rsidR="00580E02" w:rsidRDefault="00580E02">
      <w:r>
        <w:br w:type="page"/>
      </w:r>
    </w:p>
    <w:p w14:paraId="1033117C" w14:textId="6A5407C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352</w:t>
      </w:r>
      <w:r w:rsidRPr="009118AB">
        <w:rPr>
          <w:b/>
          <w:bCs/>
          <w:i/>
          <w:iCs/>
        </w:rPr>
        <w:t>bis</w:t>
      </w:r>
      <w:r w:rsidR="00D67EB8" w:rsidRPr="009118AB">
        <w:t> - </w:t>
      </w:r>
      <w:r w:rsidRPr="009118AB">
        <w:t xml:space="preserve">Spätestens an dem Tag, an dem die Steuer festgelegt wird, teilt die Verwaltung dem Steuerpflichtigen </w:t>
      </w:r>
      <w:r w:rsidR="008C4423" w:rsidRPr="009118AB">
        <w:t>[schriftlich]</w:t>
      </w:r>
      <w:r w:rsidRPr="009118AB">
        <w:t xml:space="preserve"> die Bemerkungen mit, die er gemäß Artikel 351 Absatz 3 gemacht hat und die sie nicht berücksichtigt hat, wobei sie die Gründe angibt, die ihren Beschluss rechtfertigen.]</w:t>
      </w:r>
    </w:p>
    <w:p w14:paraId="12326E6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C253A3" w14:textId="13DA9FF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
          <w:iCs/>
        </w:rPr>
        <w:t>[</w:t>
      </w:r>
      <w:r w:rsidR="00D67EB8" w:rsidRPr="009118AB">
        <w:rPr>
          <w:i/>
          <w:iCs/>
        </w:rPr>
        <w:t>Art. </w:t>
      </w:r>
      <w:r w:rsidRPr="009118AB">
        <w:rPr>
          <w:i/>
          <w:iCs/>
        </w:rPr>
        <w:t xml:space="preserve">352bis eingefügt durch </w:t>
      </w:r>
      <w:r w:rsidR="00D67EB8" w:rsidRPr="009118AB">
        <w:rPr>
          <w:i/>
          <w:iCs/>
        </w:rPr>
        <w:t>Art. </w:t>
      </w:r>
      <w:r w:rsidRPr="009118AB">
        <w:rPr>
          <w:i/>
          <w:iCs/>
        </w:rPr>
        <w:t>6 des G. vom 30. Juni 2000 (B.S. vom 12. August 2000)</w:t>
      </w:r>
      <w:r w:rsidR="00D67EB8" w:rsidRPr="009118AB">
        <w:rPr>
          <w:i/>
          <w:iCs/>
        </w:rPr>
        <w:t> - </w:t>
      </w:r>
      <w:r w:rsidRPr="009118AB">
        <w:rPr>
          <w:i/>
          <w:iCs/>
        </w:rPr>
        <w:t>in Kraft ab dem 1. Oktober 2000</w:t>
      </w:r>
      <w:r w:rsidR="00D67EB8" w:rsidRPr="009118AB">
        <w:rPr>
          <w:i/>
          <w:iCs/>
        </w:rPr>
        <w:t> - </w:t>
      </w:r>
      <w:r w:rsidR="008C4423" w:rsidRPr="009118AB">
        <w:rPr>
          <w:i/>
          <w:iCs/>
        </w:rPr>
        <w:t xml:space="preserve">und abgeändert durch </w:t>
      </w:r>
      <w:r w:rsidR="00D67EB8" w:rsidRPr="009118AB">
        <w:rPr>
          <w:i/>
          <w:iCs/>
        </w:rPr>
        <w:t>Art. </w:t>
      </w:r>
      <w:r w:rsidR="008C4423" w:rsidRPr="009118AB">
        <w:rPr>
          <w:i/>
          <w:iCs/>
        </w:rPr>
        <w:t>82</w:t>
      </w:r>
      <w:r w:rsidR="008C4423" w:rsidRPr="009118AB">
        <w:rPr>
          <w:i/>
        </w:rPr>
        <w:t xml:space="preserve"> des G. vom 18. Dezember 2016</w:t>
      </w:r>
      <w:r w:rsidR="004E359B" w:rsidRPr="009118AB">
        <w:rPr>
          <w:i/>
        </w:rPr>
        <w:t> (I)</w:t>
      </w:r>
      <w:r w:rsidR="008C4423" w:rsidRPr="009118AB">
        <w:rPr>
          <w:i/>
        </w:rPr>
        <w:t xml:space="preserve"> (B.S. vom 20. Dezember 2016)</w:t>
      </w:r>
      <w:r w:rsidRPr="009118AB">
        <w:rPr>
          <w:i/>
          <w:iCs/>
        </w:rPr>
        <w:t>]</w:t>
      </w:r>
    </w:p>
    <w:p w14:paraId="08BD5C6D" w14:textId="638F888E" w:rsidR="00B3231B" w:rsidRPr="009118AB" w:rsidRDefault="00B3231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47689F4" w14:textId="22970B5E" w:rsidR="00B3231B" w:rsidRDefault="00B3231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FEAFEBE" w14:textId="5C3EDD5E" w:rsidR="00580E02" w:rsidRDefault="00580E02" w:rsidP="00580E02">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352</w:t>
      </w:r>
      <w:r w:rsidRPr="00580E02">
        <w:rPr>
          <w:i/>
          <w:sz w:val="20"/>
          <w:szCs w:val="20"/>
        </w:rPr>
        <w:t>bis</w:t>
      </w:r>
      <w:r>
        <w:rPr>
          <w:iCs/>
          <w:sz w:val="20"/>
          <w:szCs w:val="20"/>
        </w:rPr>
        <w:t xml:space="preserve"> wie folgt:</w:t>
      </w:r>
    </w:p>
    <w:p w14:paraId="053B9A37" w14:textId="77777777" w:rsidR="00580E02" w:rsidRDefault="00580E02" w:rsidP="00580E02">
      <w:pPr>
        <w:autoSpaceDE w:val="0"/>
        <w:autoSpaceDN w:val="0"/>
        <w:adjustRightInd w:val="0"/>
        <w:jc w:val="both"/>
        <w:rPr>
          <w:iCs/>
          <w:sz w:val="20"/>
          <w:szCs w:val="20"/>
        </w:rPr>
      </w:pPr>
    </w:p>
    <w:p w14:paraId="0C7C7153" w14:textId="68862490" w:rsidR="00580E02" w:rsidRPr="00580E02" w:rsidRDefault="00580E02"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580E02">
        <w:rPr>
          <w:iCs/>
          <w:sz w:val="20"/>
          <w:szCs w:val="20"/>
        </w:rPr>
        <w:t>[Art. 352</w:t>
      </w:r>
      <w:r w:rsidRPr="00580E02">
        <w:rPr>
          <w:i/>
          <w:iCs/>
          <w:sz w:val="20"/>
          <w:szCs w:val="20"/>
        </w:rPr>
        <w:t>bis</w:t>
      </w:r>
      <w:r w:rsidRPr="00580E02">
        <w:rPr>
          <w:iCs/>
          <w:sz w:val="20"/>
          <w:szCs w:val="20"/>
        </w:rPr>
        <w:t xml:space="preserve"> - Spätestens an dem Tag, an dem die Steuer festgelegt wird, </w:t>
      </w:r>
      <w:r>
        <w:rPr>
          <w:iCs/>
          <w:sz w:val="20"/>
          <w:szCs w:val="20"/>
        </w:rPr>
        <w:t>[</w:t>
      </w:r>
      <w:r w:rsidRPr="00580E02">
        <w:rPr>
          <w:iCs/>
          <w:sz w:val="20"/>
          <w:szCs w:val="20"/>
        </w:rPr>
        <w:t>teilt die Verwaltung dem Steuerpflichtigen schriftlich per Einschreibesendung die Bemerkungen mit</w:t>
      </w:r>
      <w:r>
        <w:rPr>
          <w:iCs/>
          <w:sz w:val="20"/>
          <w:szCs w:val="20"/>
        </w:rPr>
        <w:t>]</w:t>
      </w:r>
      <w:r w:rsidRPr="00580E02">
        <w:rPr>
          <w:iCs/>
          <w:sz w:val="20"/>
          <w:szCs w:val="20"/>
        </w:rPr>
        <w:t>, die er gemäß Artikel 351 Absatz 3 gemacht hat und die sie nicht berücksichtigt hat, wobei sie die Gründe angibt, die ihren Beschluss rechtfertigen.]</w:t>
      </w:r>
    </w:p>
    <w:p w14:paraId="1D14325B" w14:textId="77777777" w:rsidR="00580E02" w:rsidRDefault="00580E02"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F3A38A3" w14:textId="0F325801" w:rsidR="00750E23" w:rsidRDefault="00750E23"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p>
    <w:p w14:paraId="178482AE" w14:textId="77777777" w:rsidR="00750E23" w:rsidRPr="00580E02" w:rsidRDefault="00750E23"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ADC7F30" w14:textId="21E7A84D" w:rsidR="00580E02" w:rsidRPr="00580E02" w:rsidRDefault="00580E02"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580E02">
        <w:rPr>
          <w:i/>
          <w:iCs/>
          <w:sz w:val="20"/>
          <w:szCs w:val="20"/>
        </w:rPr>
        <w:t>[Art. 352bis eingefügt durch Art. 6 des G. vom 30. Juni 2000 (B.S. vom 12. August 2000) - in Kraft ab dem 1. Oktober 2000 - und abgeändert durch Art. 82 des G. vom 18. Dezember 2016 (I) (B.S. vom 20. Dezember 2016)</w:t>
      </w:r>
      <w:r w:rsidR="00EA1D34">
        <w:rPr>
          <w:i/>
          <w:iCs/>
          <w:sz w:val="20"/>
          <w:szCs w:val="20"/>
        </w:rPr>
        <w:t>,</w:t>
      </w:r>
      <w:r w:rsidRPr="00580E02">
        <w:rPr>
          <w:i/>
          <w:iCs/>
          <w:sz w:val="20"/>
          <w:szCs w:val="20"/>
        </w:rPr>
        <w:t xml:space="preserve"> Art. 34 Nr. 1 des G. vom 26. Januar 2021 (B.S. vom 10. Februar 2021) - in Kraft am 1. Januar 2025 -, selbst aufgehoben durch Art. 213 des G. vom 12. Mai 2024 (B.S. vom 30. Mai 2024)</w:t>
      </w:r>
      <w:r>
        <w:rPr>
          <w:i/>
          <w:iCs/>
          <w:sz w:val="20"/>
          <w:szCs w:val="20"/>
        </w:rPr>
        <w:t>, und durch Art. 33</w:t>
      </w:r>
      <w:r w:rsidRPr="00580E02">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580E02">
        <w:rPr>
          <w:i/>
          <w:iCs/>
          <w:sz w:val="20"/>
          <w:szCs w:val="20"/>
        </w:rPr>
        <w:t xml:space="preserve">-; </w:t>
      </w:r>
      <w:r w:rsidR="00750E23">
        <w:rPr>
          <w:i/>
          <w:iCs/>
          <w:sz w:val="20"/>
          <w:szCs w:val="20"/>
        </w:rPr>
        <w:t xml:space="preserve">früherer </w:t>
      </w:r>
      <w:r w:rsidRPr="00580E02">
        <w:rPr>
          <w:i/>
          <w:iCs/>
          <w:sz w:val="20"/>
          <w:szCs w:val="20"/>
        </w:rPr>
        <w:t>Abs</w:t>
      </w:r>
      <w:r w:rsidR="00750E23">
        <w:rPr>
          <w:i/>
          <w:iCs/>
          <w:sz w:val="20"/>
          <w:szCs w:val="20"/>
        </w:rPr>
        <w:t>atz</w:t>
      </w:r>
      <w:r w:rsidRPr="00580E02">
        <w:rPr>
          <w:i/>
          <w:iCs/>
          <w:sz w:val="20"/>
          <w:szCs w:val="20"/>
        </w:rPr>
        <w:t> 2 eingefügt durch Art. 34 Nr. 2 des G. vom 26. Januar 2021 (B.S. vom 10. Februar 2021) - in Kraft am 1. Januar 2025 -, selbst aufgehoben durch Art. 213 des G. vom 12. Mai 2024 (B.S. vom 30. Mai 2024)]</w:t>
      </w:r>
      <w:r>
        <w:rPr>
          <w:sz w:val="20"/>
          <w:szCs w:val="20"/>
        </w:rPr>
        <w:t>"</w:t>
      </w:r>
    </w:p>
    <w:p w14:paraId="6F833AF4" w14:textId="68081BC4" w:rsidR="00580E02" w:rsidRPr="009118AB" w:rsidRDefault="00580E02"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5B9A72C" w14:textId="77777777" w:rsidR="00580E02" w:rsidRDefault="00580E02">
      <w:pPr>
        <w:rPr>
          <w:b/>
          <w:bCs/>
        </w:rPr>
      </w:pPr>
      <w:r>
        <w:rPr>
          <w:b/>
          <w:bCs/>
        </w:rPr>
        <w:br w:type="page"/>
      </w:r>
    </w:p>
    <w:p w14:paraId="410F7579" w14:textId="7FDC691E" w:rsidR="00477B8F" w:rsidRPr="009118AB" w:rsidRDefault="00D666D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rPr>
          <w:b/>
          <w:bCs/>
        </w:rPr>
        <w:t>KAPITEL </w:t>
      </w:r>
      <w:r w:rsidR="007828ED" w:rsidRPr="009118AB">
        <w:rPr>
          <w:b/>
          <w:bCs/>
        </w:rPr>
        <w:t>6</w:t>
      </w:r>
      <w:r w:rsidR="00D67EB8" w:rsidRPr="009118AB">
        <w:t> - </w:t>
      </w:r>
      <w:r w:rsidR="00477B8F" w:rsidRPr="009118AB">
        <w:rPr>
          <w:i/>
          <w:iCs/>
        </w:rPr>
        <w:t>Veranlagung</w:t>
      </w:r>
    </w:p>
    <w:p w14:paraId="091A73F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6DF3F0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D8255F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rPr>
          <w:i/>
          <w:iCs/>
        </w:rPr>
        <w:t>Abschnitt </w:t>
      </w:r>
      <w:r w:rsidR="00D74862" w:rsidRPr="009118AB">
        <w:rPr>
          <w:i/>
          <w:iCs/>
        </w:rPr>
        <w:t>1</w:t>
      </w:r>
      <w:r w:rsidRPr="009118AB">
        <w:t>- Veranlagungsfristen</w:t>
      </w:r>
    </w:p>
    <w:p w14:paraId="1C2813A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886FFB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E0C76E7" w14:textId="1CC9755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353</w:t>
      </w:r>
      <w:r w:rsidR="00D67EB8" w:rsidRPr="009118AB">
        <w:t> - </w:t>
      </w:r>
      <w:r w:rsidRPr="009118AB">
        <w:t xml:space="preserve">Die Steuer in Bezug auf die Einkünfte und die anderen Angaben, die in den dazu bestimmten Rubriken eines Erklärungsformulars angegeben sind, das die in den Artikeln 307 bis 311 [...] erwähnten Bedingungen in Bezug auf Form und Fristen erfüllt, wird innerhalb der in Artikel 359 bestimmten Frist festgelegt, wobei diese Frist nicht kürzer sein darf als sechs Monate ab dem Datum, an dem </w:t>
      </w:r>
      <w:r w:rsidR="00627645" w:rsidRPr="009118AB">
        <w:t xml:space="preserve">[der auf dem Formular angegebene Dienst] </w:t>
      </w:r>
      <w:r w:rsidRPr="009118AB">
        <w:t>die Erklärung erhalten hat.</w:t>
      </w:r>
    </w:p>
    <w:p w14:paraId="3F3A65F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65A94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[In Abweichung von Absatz 1 darf die in Artikel 359 festgelegte Frist ebenfalls nicht kürzer sein als sechs Monate ab dem Datum, an dem der in Artikel 306 erwähnte </w:t>
      </w:r>
      <w:r w:rsidR="004A6FA9" w:rsidRPr="009118AB">
        <w:t xml:space="preserve">[Vorschlag der vereinfachten Erklärung] </w:t>
      </w:r>
      <w:r w:rsidRPr="009118AB">
        <w:t>dem Steuerpflichtigen zugesandt wurde.]</w:t>
      </w:r>
    </w:p>
    <w:p w14:paraId="5D1C547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2E08E14" w14:textId="39A5E8B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353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18 des G. vom 15. März 1999 (B.S. vom 27. März 1999)</w:t>
      </w:r>
      <w:r w:rsidR="00627645" w:rsidRPr="009118AB">
        <w:rPr>
          <w:rFonts w:ascii="Times New Roman Italique" w:hAnsi="Times New Roman Italique"/>
          <w:i/>
          <w:iCs/>
          <w:spacing w:val="2"/>
        </w:rPr>
        <w:t xml:space="preserve"> und </w:t>
      </w:r>
      <w:r w:rsidR="00D67EB8" w:rsidRPr="009118AB">
        <w:rPr>
          <w:rFonts w:ascii="Times New Roman Italique" w:hAnsi="Times New Roman Italique"/>
          <w:i/>
          <w:iCs/>
          <w:spacing w:val="2"/>
        </w:rPr>
        <w:t>Art. </w:t>
      </w:r>
      <w:r w:rsidR="00627645" w:rsidRPr="009118AB">
        <w:rPr>
          <w:rFonts w:ascii="Times New Roman Italique" w:hAnsi="Times New Roman Italique"/>
          <w:i/>
          <w:iCs/>
          <w:spacing w:val="2"/>
        </w:rPr>
        <w:t>6 des G. vom 8. Juni 2009 (B.S. vom 18. Juni 2009)</w:t>
      </w:r>
      <w:r w:rsidR="00D67EB8" w:rsidRPr="009118AB">
        <w:rPr>
          <w:rFonts w:ascii="Times New Roman Italique" w:hAnsi="Times New Roman Italique"/>
          <w:i/>
          <w:iCs/>
          <w:spacing w:val="2"/>
        </w:rPr>
        <w:t> - </w:t>
      </w:r>
      <w:r w:rsidR="00627645" w:rsidRPr="009118AB">
        <w:rPr>
          <w:rFonts w:ascii="Times New Roman Italique" w:hAnsi="Times New Roman Italique"/>
          <w:i/>
          <w:iCs/>
          <w:spacing w:val="2"/>
        </w:rPr>
        <w:t>wirksam mit dem Steuerjahr 2009</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6 des G. vom 5. Juli 1994 (B.S. vom 16. Juli 1994)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w:t>
      </w:r>
      <w:r w:rsidRPr="009118AB">
        <w:rPr>
          <w:i/>
          <w:iCs/>
        </w:rPr>
        <w:t xml:space="preserve"> dem Steuerjahr 1994</w:t>
      </w:r>
      <w:r w:rsidR="00D67EB8" w:rsidRPr="009118AB">
        <w:rPr>
          <w:i/>
          <w:iCs/>
        </w:rPr>
        <w:t> - </w:t>
      </w:r>
      <w:r w:rsidR="004A6FA9" w:rsidRPr="009118AB">
        <w:rPr>
          <w:i/>
          <w:iCs/>
        </w:rPr>
        <w:t xml:space="preserve">und abgeändert durch </w:t>
      </w:r>
      <w:r w:rsidR="00D67EB8" w:rsidRPr="009118AB">
        <w:rPr>
          <w:i/>
          <w:iCs/>
        </w:rPr>
        <w:t>Art. </w:t>
      </w:r>
      <w:r w:rsidR="004A6FA9" w:rsidRPr="009118AB">
        <w:rPr>
          <w:i/>
          <w:iCs/>
        </w:rPr>
        <w:t>30 des G. (I) vom 29. Dezember 2010 (B.S. vom 31. Dezember 2010)</w:t>
      </w:r>
      <w:r w:rsidR="00D67EB8" w:rsidRPr="009118AB">
        <w:rPr>
          <w:i/>
          <w:iCs/>
        </w:rPr>
        <w:t> - </w:t>
      </w:r>
      <w:r w:rsidR="004A6FA9" w:rsidRPr="009118AB">
        <w:rPr>
          <w:i/>
          <w:iCs/>
        </w:rPr>
        <w:t>in Kraft ab dem Steuerjahr 2011</w:t>
      </w:r>
      <w:r w:rsidR="00FD68E8" w:rsidRPr="009118AB">
        <w:rPr>
          <w:i/>
          <w:iCs/>
        </w:rPr>
        <w:t> -]</w:t>
      </w:r>
    </w:p>
    <w:p w14:paraId="1BB767FD"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8A2DDF" w14:textId="77777777" w:rsidR="002E0F54" w:rsidRDefault="002E0F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B9A8D8" w14:textId="7C60562E" w:rsidR="002E0F54" w:rsidRDefault="002E0F54" w:rsidP="002E0F54">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353 wie folgt:</w:t>
      </w:r>
    </w:p>
    <w:p w14:paraId="458F342B" w14:textId="77777777" w:rsidR="002E0F54" w:rsidRDefault="002E0F54" w:rsidP="002E0F54">
      <w:pPr>
        <w:autoSpaceDE w:val="0"/>
        <w:autoSpaceDN w:val="0"/>
        <w:adjustRightInd w:val="0"/>
        <w:jc w:val="both"/>
        <w:rPr>
          <w:iCs/>
          <w:sz w:val="20"/>
          <w:szCs w:val="20"/>
        </w:rPr>
      </w:pPr>
    </w:p>
    <w:p w14:paraId="65949FE6" w14:textId="556735E0"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2E0F54">
        <w:rPr>
          <w:iCs/>
          <w:sz w:val="20"/>
          <w:szCs w:val="20"/>
        </w:rPr>
        <w:t>Art. 353 - Die Steuer in Bezug auf die Einkünfte und die anderen Angaben, die in den dazu bestimmten Rubriken eines Erklärungsformulars angegeben sind, das die in den Artikeln 307 bis 311 [...] erwähnten Bedingungen in Bezug auf Form und Fristen erfüllt, wird innerhalb der in Artikel 359 bestimmten Frist festgelegt, wobei diese Frist nicht kürzer sein darf als sechs Monate ab dem Datum, an dem [der auf dem Formular angegebene Dienst] die Erklärung erhalten hat.</w:t>
      </w:r>
    </w:p>
    <w:p w14:paraId="11C73092" w14:textId="77777777"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19F07BD" w14:textId="0EA263B2"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2E0F54">
        <w:rPr>
          <w:iCs/>
          <w:sz w:val="20"/>
          <w:szCs w:val="20"/>
        </w:rPr>
        <w:t xml:space="preserve">[In Abweichung von Absatz 1 darf die in Artikel 359 festgelegte Frist ebenfalls nicht kürzer sein als sechs Monate ab dem Datum, an dem der in Artikel 306 erwähnte [Vorschlag der vereinfachten Erklärung] </w:t>
      </w:r>
      <w:r>
        <w:rPr>
          <w:iCs/>
          <w:sz w:val="20"/>
          <w:szCs w:val="20"/>
        </w:rPr>
        <w:t>[</w:t>
      </w:r>
      <w:r w:rsidRPr="002E0F54">
        <w:rPr>
          <w:iCs/>
          <w:sz w:val="20"/>
          <w:szCs w:val="20"/>
        </w:rPr>
        <w:t>dem Steuerpflichtigen übermittelt wurde</w:t>
      </w:r>
      <w:r>
        <w:rPr>
          <w:iCs/>
          <w:sz w:val="20"/>
          <w:szCs w:val="20"/>
        </w:rPr>
        <w:t>]</w:t>
      </w:r>
      <w:r w:rsidRPr="002E0F54">
        <w:rPr>
          <w:iCs/>
          <w:sz w:val="20"/>
          <w:szCs w:val="20"/>
        </w:rPr>
        <w:t>.]</w:t>
      </w:r>
    </w:p>
    <w:p w14:paraId="6CF8A810" w14:textId="77777777"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A5455D1" w14:textId="23287ADA"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2E0F54">
        <w:rPr>
          <w:i/>
          <w:iCs/>
          <w:sz w:val="20"/>
          <w:szCs w:val="20"/>
        </w:rPr>
        <w:t>[Art. 353 Abs. 1 abgeändert durch Art. 18 des G. vom 15. März 1999 (B.S. vom 27. März 1999)</w:t>
      </w:r>
      <w:r w:rsidR="00D45DA5">
        <w:rPr>
          <w:i/>
          <w:iCs/>
          <w:sz w:val="20"/>
          <w:szCs w:val="20"/>
        </w:rPr>
        <w:t xml:space="preserve"> und</w:t>
      </w:r>
      <w:r w:rsidRPr="002E0F54">
        <w:rPr>
          <w:i/>
          <w:iCs/>
          <w:sz w:val="20"/>
          <w:szCs w:val="20"/>
        </w:rPr>
        <w:t xml:space="preserve"> Art. 6 des G. vom 8. Juni 2009 (B.S. vom 18. Juni 2009) - wirksam mit dem Steuerjahr 2009 -; Abs. 2 eingefügt durch Art. 6 des G. vom 5. Juli 1994 (B.S. vom 16. Juli 1994) - anwendbar ab dem Steuerjahr 1994 - und abgeändert durch Art. 30 des G. (I) vom 29. Dezember 2010 (B.S. vom 31. Dezember 2010) - in Kraft ab dem Steuerjahr 2011 -</w:t>
      </w:r>
      <w:r w:rsidR="00D45DA5" w:rsidRPr="00D45DA5">
        <w:rPr>
          <w:i/>
          <w:iCs/>
          <w:sz w:val="20"/>
          <w:szCs w:val="20"/>
        </w:rPr>
        <w:t xml:space="preserve"> </w:t>
      </w:r>
      <w:r w:rsidR="00D45DA5">
        <w:rPr>
          <w:i/>
          <w:iCs/>
          <w:sz w:val="20"/>
          <w:szCs w:val="20"/>
        </w:rPr>
        <w:t>und Art. 34</w:t>
      </w:r>
      <w:r w:rsidR="00D45DA5" w:rsidRPr="002E0F54">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00D45DA5" w:rsidRPr="002E0F54">
        <w:rPr>
          <w:i/>
          <w:iCs/>
          <w:sz w:val="20"/>
          <w:szCs w:val="20"/>
        </w:rPr>
        <w:t>-</w:t>
      </w:r>
      <w:r w:rsidRPr="002E0F54">
        <w:rPr>
          <w:i/>
          <w:iCs/>
          <w:sz w:val="20"/>
          <w:szCs w:val="20"/>
        </w:rPr>
        <w:t>]</w:t>
      </w:r>
      <w:r>
        <w:rPr>
          <w:sz w:val="20"/>
          <w:szCs w:val="20"/>
        </w:rPr>
        <w:t>"</w:t>
      </w:r>
    </w:p>
    <w:p w14:paraId="43E1DBDA" w14:textId="306CEAE6" w:rsidR="002E0F54" w:rsidRPr="009118AB"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61D1CC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FBFE60" w14:textId="77777777" w:rsidR="00372B14" w:rsidRPr="009118AB" w:rsidRDefault="00477B8F" w:rsidP="00372B14">
      <w:pPr>
        <w:ind w:firstLine="708"/>
        <w:jc w:val="both"/>
      </w:pPr>
      <w:r w:rsidRPr="009118AB">
        <w:rPr>
          <w:spacing w:val="4"/>
        </w:rPr>
        <w:tab/>
      </w:r>
      <w:r w:rsidR="00D67EB8" w:rsidRPr="009118AB">
        <w:rPr>
          <w:b/>
          <w:bCs/>
          <w:spacing w:val="4"/>
        </w:rPr>
        <w:t>Art. </w:t>
      </w:r>
      <w:r w:rsidRPr="009118AB">
        <w:rPr>
          <w:b/>
          <w:bCs/>
          <w:spacing w:val="4"/>
        </w:rPr>
        <w:t>354</w:t>
      </w:r>
      <w:r w:rsidR="00D67EB8" w:rsidRPr="009118AB">
        <w:rPr>
          <w:spacing w:val="4"/>
        </w:rPr>
        <w:t> - </w:t>
      </w:r>
      <w:r w:rsidR="00372B14" w:rsidRPr="009118AB">
        <w:rPr>
          <w:spacing w:val="4"/>
        </w:rPr>
        <w:t>[</w:t>
      </w:r>
      <w:r w:rsidR="00372B14" w:rsidRPr="009118AB">
        <w:t>§ 1 - Wenn die geschuldete Steuer höher ist als die Steuer in Bezug auf die steuerpflichtigen Einkünfte und die anderen Angaben, die in den dazu bestimmten Rubriken eines Erklärungsformulars angegeben sind, das die in den Artikeln 307 bis 311 vorgesehenen Bedingungen in Bezug auf Form und Fristen erfüllt, kann die Steuer oder die Steuernachforderung in Abweichung von Artikel 359 innerhalb von drei Jahren ab dem 1. Januar des Jahres, das das Steuerjahr bestimmt, für das die Steuer geschuldet wird, festgelegt werden.</w:t>
      </w:r>
    </w:p>
    <w:p w14:paraId="095A8112" w14:textId="77777777" w:rsidR="00372B14" w:rsidRPr="009118AB" w:rsidRDefault="00372B14" w:rsidP="00372B14">
      <w:pPr>
        <w:jc w:val="both"/>
      </w:pPr>
    </w:p>
    <w:p w14:paraId="70163AFF" w14:textId="77777777" w:rsidR="00372B14" w:rsidRPr="009118AB" w:rsidRDefault="00372B14" w:rsidP="00372B14">
      <w:pPr>
        <w:ind w:firstLine="708"/>
        <w:jc w:val="both"/>
      </w:pPr>
      <w:r w:rsidRPr="009118AB">
        <w:t>Bei Nichtabgabe oder verspäteter Einreichung einer Erklärung kann die Steuer oder die Steuernachforderung in Abweichung von Artikel 359 innerhalb von vier Jahren ab dem 1. Januar des Jahres, das das Steuerjahr bestimmt, für das die Steuer geschuldet wird, festgelegt werden.</w:t>
      </w:r>
    </w:p>
    <w:p w14:paraId="1FE22FF7" w14:textId="77777777" w:rsidR="00372B14" w:rsidRPr="009118AB" w:rsidRDefault="00372B14" w:rsidP="00372B14">
      <w:pPr>
        <w:jc w:val="both"/>
      </w:pPr>
    </w:p>
    <w:p w14:paraId="4356DCCA" w14:textId="77777777" w:rsidR="00372B14" w:rsidRPr="009118AB" w:rsidRDefault="00372B14" w:rsidP="00372B14">
      <w:pPr>
        <w:ind w:firstLine="708"/>
        <w:jc w:val="both"/>
      </w:pPr>
      <w:r w:rsidRPr="009118AB">
        <w:t>In Abweichung von den Absätzen 1 und 2 kann die Steuer oder die Steuernachforderung bei Nichtabgabe oder verspäteter Einreichung einer Erklärung oder wenn die geschuldete Steuer höher ist als die Steuer in Bezug auf die steuerpflichtigen Einkünfte und die anderen Angaben, die in den dazu bestimmten Rubriken eines Erklärungsformulars angegeben sind, das die in den Artikeln 307 bis 311 vorgesehenen Bedingungen in Bezug auf Form und Fristen erfüllt, in Abweichung von Artikel 359 innerhalb von sechs Jahren ab dem 1. Januar des Jahres, das das Steuerjahr bestimmt, für das die Steuer geschuldet wird, festgelegt werden in folgenden Fällen:</w:t>
      </w:r>
    </w:p>
    <w:p w14:paraId="766104DA" w14:textId="77777777" w:rsidR="00372B14" w:rsidRPr="009118AB" w:rsidRDefault="00372B14" w:rsidP="00372B14">
      <w:pPr>
        <w:jc w:val="both"/>
      </w:pPr>
    </w:p>
    <w:p w14:paraId="03040660" w14:textId="77777777" w:rsidR="00372B14" w:rsidRPr="009118AB" w:rsidRDefault="00372B14" w:rsidP="00372B14">
      <w:pPr>
        <w:ind w:firstLine="708"/>
        <w:jc w:val="both"/>
      </w:pPr>
      <w:r w:rsidRPr="009118AB">
        <w:t>- wenn die Erklärung ein Unternehmen betrifft, das gemäß Artikel 321/5 eine Einzeldokumentation einreichen muss,</w:t>
      </w:r>
    </w:p>
    <w:p w14:paraId="4C7548FF" w14:textId="77777777" w:rsidR="00372B14" w:rsidRPr="009118AB" w:rsidRDefault="00372B14" w:rsidP="00372B14">
      <w:pPr>
        <w:jc w:val="both"/>
      </w:pPr>
    </w:p>
    <w:p w14:paraId="4A7E3A5A" w14:textId="77777777" w:rsidR="00372B14" w:rsidRPr="009118AB" w:rsidRDefault="00372B14" w:rsidP="00372B14">
      <w:pPr>
        <w:ind w:firstLine="708"/>
        <w:jc w:val="both"/>
      </w:pPr>
      <w:r w:rsidRPr="009118AB">
        <w:t>- wenn die Erklärung ein Unternehmen betrifft, das gemäß Artikel 321/2 verpflichtet ist, einen länderbezogenen Bericht vorzulegen,</w:t>
      </w:r>
    </w:p>
    <w:p w14:paraId="679165C3" w14:textId="77777777" w:rsidR="00372B14" w:rsidRPr="009118AB" w:rsidRDefault="00372B14" w:rsidP="00372B14">
      <w:pPr>
        <w:jc w:val="both"/>
      </w:pPr>
    </w:p>
    <w:p w14:paraId="4FF9C63A" w14:textId="77777777" w:rsidR="00372B14" w:rsidRPr="009118AB" w:rsidRDefault="00372B14" w:rsidP="00372B14">
      <w:pPr>
        <w:ind w:firstLine="708"/>
        <w:jc w:val="both"/>
      </w:pPr>
      <w:r w:rsidRPr="009118AB">
        <w:t>- wenn gemäß Artikel 307 § 1/2 der Erklärung ein Formular beigefügt werden muss, in dem die Zahlungen vermerkt sind, die während des Besteuerungszeitraums direkt oder indirekt an Personen oder Betriebsstätten getätigt worden sind, die in bestimmten Staaten ansässig sind, die durch das Globale Forum für Transparenz und Informationsaustausch zu Steuerzwecken als Staaten betrachtet werden, die den Standard für den Austausch von Informationen auf Ersuchen tatsächlich oder im Wesentlichen nicht umsetzen, die auf der Liste der Staaten ohne oder mit niedriger Besteuerung stehen oder die in der EU-Liste nicht kooperativer Steuergebiete aufgenommen sind,</w:t>
      </w:r>
    </w:p>
    <w:p w14:paraId="3C36777C" w14:textId="77777777" w:rsidR="00372B14" w:rsidRPr="009118AB" w:rsidRDefault="00372B14" w:rsidP="00372B14">
      <w:pPr>
        <w:jc w:val="both"/>
      </w:pPr>
    </w:p>
    <w:p w14:paraId="1092B6C7" w14:textId="77777777" w:rsidR="00372B14" w:rsidRPr="009118AB" w:rsidRDefault="00372B14" w:rsidP="00372B14">
      <w:pPr>
        <w:ind w:firstLine="708"/>
        <w:jc w:val="both"/>
      </w:pPr>
      <w:r w:rsidRPr="009118AB">
        <w:t>- wenn die Erklärung zum Mobiliensteuervorabzug Befreiungen, Verzichte oder Ermäßigungen enthält, die auf der Grundlage eines Abkommens zur Vermeidung der Doppelbesteuerung gewährt werden, oder einen der Vorteile der Richtlinie 2011/96/EU oder der Richtlinie 2003/49/EG im Bereich des Mobiliensteuervorabzugs zugunsten eines Einwohners eines anderen Mitgliedstaates der Europäischen Union,</w:t>
      </w:r>
    </w:p>
    <w:p w14:paraId="677AA4E4" w14:textId="77777777" w:rsidR="00372B14" w:rsidRPr="009118AB" w:rsidRDefault="00372B14" w:rsidP="00372B14">
      <w:pPr>
        <w:jc w:val="both"/>
      </w:pPr>
    </w:p>
    <w:p w14:paraId="6714AC4C" w14:textId="77777777" w:rsidR="00372B14" w:rsidRPr="009118AB" w:rsidRDefault="00372B14" w:rsidP="00372B14">
      <w:pPr>
        <w:ind w:firstLine="708"/>
        <w:jc w:val="both"/>
      </w:pPr>
      <w:r w:rsidRPr="009118AB">
        <w:t>- wenn die Erklärung eine Anrechnung des in Artikel 285 erwähnten Pauschalanteils ausländischer Steuer enthält,</w:t>
      </w:r>
    </w:p>
    <w:p w14:paraId="1F22C7E9" w14:textId="77777777" w:rsidR="00372B14" w:rsidRPr="009118AB" w:rsidRDefault="00372B14" w:rsidP="00372B14">
      <w:pPr>
        <w:jc w:val="both"/>
      </w:pPr>
    </w:p>
    <w:p w14:paraId="145C097E" w14:textId="77777777" w:rsidR="00372B14" w:rsidRPr="009118AB" w:rsidRDefault="00372B14" w:rsidP="00372B14">
      <w:pPr>
        <w:ind w:firstLine="708"/>
        <w:jc w:val="both"/>
      </w:pPr>
      <w:r w:rsidRPr="009118AB">
        <w:t>- wenn in Zusammenhang mit der Erklärung Informationen aus dem Ausland erhalten wurden, für die es eine Rechtsgrundlage gibt, die den Informationsaustausch in Bezug auf eine Steuer regelt, auf die diese Rechtsgrundlage anwendbar ist, und wenn die Informationen Folgendes betreffen:</w:t>
      </w:r>
    </w:p>
    <w:p w14:paraId="29E4E411" w14:textId="77777777" w:rsidR="00372B14" w:rsidRPr="009118AB" w:rsidRDefault="00372B14" w:rsidP="00372B14">
      <w:pPr>
        <w:jc w:val="both"/>
      </w:pPr>
    </w:p>
    <w:p w14:paraId="4D0E29FB" w14:textId="77777777" w:rsidR="00372B14" w:rsidRPr="009118AB" w:rsidRDefault="00372B14" w:rsidP="00372B14">
      <w:pPr>
        <w:ind w:firstLine="708"/>
        <w:jc w:val="both"/>
      </w:pPr>
      <w:r w:rsidRPr="009118AB">
        <w:rPr>
          <w:i/>
          <w:iCs/>
        </w:rPr>
        <w:t>a)</w:t>
      </w:r>
      <w:r w:rsidRPr="009118AB">
        <w:t> meldepflichtige grenzüberschreitende Gestaltungen wie in Artikel 326/1 erwähnt,</w:t>
      </w:r>
    </w:p>
    <w:p w14:paraId="336D58CD" w14:textId="77777777" w:rsidR="00372B14" w:rsidRPr="009118AB" w:rsidRDefault="00372B14" w:rsidP="00372B14">
      <w:pPr>
        <w:jc w:val="both"/>
      </w:pPr>
    </w:p>
    <w:p w14:paraId="04F4896B" w14:textId="77777777" w:rsidR="00372B14" w:rsidRPr="009118AB" w:rsidRDefault="00372B14" w:rsidP="00372B14">
      <w:pPr>
        <w:ind w:firstLine="708"/>
        <w:jc w:val="both"/>
      </w:pPr>
      <w:r w:rsidRPr="009118AB">
        <w:rPr>
          <w:i/>
          <w:iCs/>
        </w:rPr>
        <w:t>b)</w:t>
      </w:r>
      <w:r w:rsidRPr="009118AB">
        <w:t> Informationen von Plattformbetreibern, sofern der betreffende Betrag sich für einen bestimmten Steuerpflichtigen auf mindestens 25.000 EUR beläuft.</w:t>
      </w:r>
    </w:p>
    <w:p w14:paraId="3448724A" w14:textId="77777777" w:rsidR="00372B14" w:rsidRPr="009118AB" w:rsidRDefault="00372B14" w:rsidP="00372B14">
      <w:pPr>
        <w:jc w:val="both"/>
      </w:pPr>
    </w:p>
    <w:p w14:paraId="5A553EFF" w14:textId="77777777" w:rsidR="00372B14" w:rsidRPr="009118AB" w:rsidRDefault="00372B14" w:rsidP="00372B14">
      <w:pPr>
        <w:ind w:firstLine="708"/>
        <w:jc w:val="both"/>
      </w:pPr>
      <w:r w:rsidRPr="009118AB">
        <w:t>In Abweichung von den Absätzen 1 und 2 kann die Steuer oder die Steuernachforderung bei Nichtabgabe oder verspäteter Einreichung einer Erklärung oder wenn die geschuldete Steuer höher ist als die Steuer in Bezug auf die steuerpflichtigen Einkünfte und die anderen Angaben, die in den dazu bestimmten Rubriken eines Erklärungsformulars angegeben sind, das die in den Artikeln 307 bis 311 vorgesehenen Bedingungen in Bezug auf Form und Fristen erfüllt, in Abweichung von Artikel 359 innerhalb von zehn Jahren ab dem 1. Januar des Jahres, das das Steuerjahr bestimmt, für das die Steuer geschuldet wird, festgelegt werden, wenn es sich um eine komplexe Erklärung handelt.</w:t>
      </w:r>
    </w:p>
    <w:p w14:paraId="135EACBC" w14:textId="77777777" w:rsidR="00372B14" w:rsidRPr="009118AB" w:rsidRDefault="00372B14" w:rsidP="00372B14">
      <w:pPr>
        <w:jc w:val="both"/>
      </w:pPr>
    </w:p>
    <w:p w14:paraId="32155195" w14:textId="77777777" w:rsidR="00372B14" w:rsidRPr="009118AB" w:rsidRDefault="00372B14" w:rsidP="00372B14">
      <w:pPr>
        <w:ind w:firstLine="708"/>
        <w:jc w:val="both"/>
      </w:pPr>
      <w:r w:rsidRPr="009118AB">
        <w:t>Eine Erklärung ist in folgenden Fällen komplex:</w:t>
      </w:r>
    </w:p>
    <w:p w14:paraId="76E79E30" w14:textId="77777777" w:rsidR="00372B14" w:rsidRPr="009118AB" w:rsidRDefault="00372B14" w:rsidP="00372B14">
      <w:pPr>
        <w:jc w:val="both"/>
      </w:pPr>
    </w:p>
    <w:p w14:paraId="2EAC8835" w14:textId="77777777" w:rsidR="00372B14" w:rsidRPr="009118AB" w:rsidRDefault="00372B14" w:rsidP="00372B14">
      <w:pPr>
        <w:ind w:firstLine="708"/>
        <w:jc w:val="both"/>
      </w:pPr>
      <w:r w:rsidRPr="009118AB">
        <w:t>- sie betrifft eine hybride Gestaltung wie in Artikel 2 § 1 Nr. 16 erwähnt,</w:t>
      </w:r>
    </w:p>
    <w:p w14:paraId="2BF21AF8" w14:textId="77777777" w:rsidR="00372B14" w:rsidRPr="009118AB" w:rsidRDefault="00372B14" w:rsidP="00372B14">
      <w:pPr>
        <w:jc w:val="both"/>
      </w:pPr>
    </w:p>
    <w:p w14:paraId="02015B0A" w14:textId="77777777" w:rsidR="00372B14" w:rsidRPr="009118AB" w:rsidRDefault="00372B14" w:rsidP="00372B14">
      <w:pPr>
        <w:ind w:firstLine="708"/>
        <w:jc w:val="both"/>
      </w:pPr>
      <w:r w:rsidRPr="009118AB">
        <w:t>- sie betrifft einen nicht ausgeschütteten Gewinn aus einer unangemessenen Gestaltung oder einer unangemessenen Abfolge von Gestaltungen, deren wesentlicher Zweck darin besteht, einen steuerlichen Vorteil zu erlangen, wie in Artikel 185/2 erwähnt,</w:t>
      </w:r>
    </w:p>
    <w:p w14:paraId="090E31ED" w14:textId="77777777" w:rsidR="00372B14" w:rsidRPr="009118AB" w:rsidRDefault="00372B14" w:rsidP="00372B14">
      <w:pPr>
        <w:jc w:val="both"/>
      </w:pPr>
    </w:p>
    <w:p w14:paraId="009E19C9" w14:textId="42A57152" w:rsidR="00372B14" w:rsidRPr="009118AB" w:rsidRDefault="00372B14" w:rsidP="00372B14">
      <w:pPr>
        <w:ind w:firstLine="708"/>
        <w:jc w:val="both"/>
      </w:pPr>
      <w:r w:rsidRPr="009118AB">
        <w:t>- </w:t>
      </w:r>
      <w:r w:rsidR="006A066D">
        <w:t>[</w:t>
      </w:r>
      <w:r w:rsidR="006A066D" w:rsidRPr="00FF1F87">
        <w:t>wenn gemäß Artikel 307 § 1/1 oder § 1/3 in der Erklärung das Bestehen einer Rechtsvereinbarung vermerkt werden muss</w:t>
      </w:r>
      <w:r w:rsidR="006A066D">
        <w:t>.]</w:t>
      </w:r>
    </w:p>
    <w:p w14:paraId="4C4FDF78" w14:textId="77777777" w:rsidR="00372B14" w:rsidRPr="009118AB" w:rsidRDefault="00372B14" w:rsidP="00372B14">
      <w:pPr>
        <w:jc w:val="both"/>
      </w:pPr>
    </w:p>
    <w:p w14:paraId="2F3CD6AA" w14:textId="77777777" w:rsidR="00372B14" w:rsidRPr="009118AB" w:rsidRDefault="00372B14" w:rsidP="00372B14">
      <w:pPr>
        <w:ind w:firstLine="708"/>
        <w:jc w:val="both"/>
      </w:pPr>
      <w:r w:rsidRPr="009118AB">
        <w:t>§ 2 - In Abweichung von den in § 1 Absatz 1, 2 oder 3 erwähnten Fristen kann die Steuer oder die Steuernachforderung in Abweichung von Artikel 359 innerhalb von zehn Jahren ab dem 1. Januar des Jahres, das das Steuerjahr bestimmt, für das die Steuer geschuldet wird, festgelegt werden im Falle eines Verstoßes gegen die Bestimmungen des vorliegenden Gesetzbuches oder seiner Ausführungserlasse, der in betrügerischer Absicht oder mit der Absicht zu schaden begangen wurde.</w:t>
      </w:r>
    </w:p>
    <w:p w14:paraId="4C040E86" w14:textId="77777777" w:rsidR="00372B14" w:rsidRPr="009118AB" w:rsidRDefault="00372B14" w:rsidP="00372B14">
      <w:pPr>
        <w:jc w:val="both"/>
      </w:pPr>
    </w:p>
    <w:p w14:paraId="52AE118E" w14:textId="77777777" w:rsidR="00372B14" w:rsidRPr="009118AB" w:rsidRDefault="00372B14" w:rsidP="00372B14">
      <w:pPr>
        <w:ind w:firstLine="708"/>
        <w:jc w:val="both"/>
      </w:pPr>
      <w:r w:rsidRPr="009118AB">
        <w:t>§ 3 - Der Immobiliensteuervorabzug, die administrative Geldbuße und der Mobiliensteuer- und der Berufssteuervorabzug - sofern letztere nicht innerhalb der in Artikel 412 festgelegten Frist gezahlt werden - können ebenfalls innerhalb der in den Paragraphen 1 und 2 bestimmten Frist festgelegt werden.</w:t>
      </w:r>
    </w:p>
    <w:p w14:paraId="7AE45D7B" w14:textId="77777777" w:rsidR="00372B14" w:rsidRPr="009118AB" w:rsidRDefault="00372B14" w:rsidP="00372B14">
      <w:pPr>
        <w:jc w:val="both"/>
      </w:pPr>
    </w:p>
    <w:p w14:paraId="25E34347" w14:textId="77777777" w:rsidR="00372B14" w:rsidRPr="009118AB" w:rsidRDefault="00372B14" w:rsidP="00372B14">
      <w:pPr>
        <w:ind w:firstLine="708"/>
        <w:jc w:val="both"/>
      </w:pPr>
      <w:r w:rsidRPr="009118AB">
        <w:t>§ 4 - Führt der Steuerpflichtige eine andere Buchhaltung als pro Kalenderjahr, wird für die Anwendung der Gesellschaftssteuer, der Steuer der Gebietsfremden, die gemäß den Artikeln 233 und 248 festgelegt wird, des Mobiliensteuervorabzugs oder des Berufssteuervorabzugs die in den Paragraphen 1 und 2 erwähnte Frist um einen Zeitraum verlängert, der dem Zeitraum zwischen dem 1. Januar des Jahres, dessen Jahreszahl das Steuerjahr bestimmt, und dem Datum des Abschlusses des Geschäftsjahres im Laufe desselben Jahres entspricht.</w:t>
      </w:r>
    </w:p>
    <w:p w14:paraId="1A98BD8F" w14:textId="77777777" w:rsidR="00372B14" w:rsidRPr="009118AB" w:rsidRDefault="00372B14" w:rsidP="00372B14">
      <w:pPr>
        <w:jc w:val="both"/>
      </w:pPr>
    </w:p>
    <w:p w14:paraId="70ACC45A" w14:textId="77777777" w:rsidR="00372B14" w:rsidRPr="009118AB" w:rsidRDefault="00372B14" w:rsidP="00372B14">
      <w:pPr>
        <w:ind w:firstLine="708"/>
        <w:jc w:val="both"/>
      </w:pPr>
      <w:r w:rsidRPr="009118AB">
        <w:t>§ 5 - Hat der Steuerpflichtige, sein Ehepartner, auf dessen Güter die Steuer beigetrieben wird, oder der Mitschuldner wie in Artikel 2 des Gesetzbuches über die gütliche Beitreibung und die Zwangsbeitreibung von Steuerforderungen und nichtsteuerlichen Forderungen erwähnt innerhalb der in § 1 erwähnten Frist gemäß den Artikeln 366 bis 371 einen Widerspruch eingelegt oder gemäß Artikel 376 einen Antrag auf Nachlass von Amts wegen eingereicht, wird diese Frist um einen Zeitraum verlängert, der dem Zeitraum zwischen dem Datum der Einlegung des Widerspruchs und dem Datum des Beschlusses des Generalberaters oder des beauftragten Beamten entspricht, ohne dass diese Verlängerung mehr als sechs Monate betragen darf.</w:t>
      </w:r>
    </w:p>
    <w:p w14:paraId="2EF5B3BF" w14:textId="77777777" w:rsidR="00372B14" w:rsidRPr="009118AB" w:rsidRDefault="00372B14" w:rsidP="00372B14">
      <w:pPr>
        <w:jc w:val="both"/>
      </w:pPr>
    </w:p>
    <w:p w14:paraId="16F097DF" w14:textId="38A62DCF" w:rsidR="00F51DE4" w:rsidRPr="009118AB" w:rsidRDefault="00372B14" w:rsidP="00372B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Reicht der Steuerpflichtige innerhalb der Frist von drei Jahren auf der Grundlage von Artikel 368/1 einen Antrag auf Erstattung des Vorabzugs ein, wird diese Frist um einen Zeitraum verlängert, der dem Zeitraum zwischen dem Datum der Einreichung des Erstattungsantrags und dem Datum des Beschlusses des Generalberaters oder des beauftragten Beamten entspricht, ohne dass diese Verlängerung mehr als sechs Monate betragen darf.</w:t>
      </w:r>
      <w:r w:rsidR="00F51DE4" w:rsidRPr="009118AB">
        <w:t>]</w:t>
      </w:r>
    </w:p>
    <w:p w14:paraId="145BE373" w14:textId="77777777" w:rsidR="00F51DE4" w:rsidRPr="009118AB"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1AA5033" w14:textId="29F95A1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354 </w:t>
      </w:r>
      <w:r w:rsidR="00E53E78" w:rsidRPr="009118AB">
        <w:rPr>
          <w:i/>
          <w:iCs/>
        </w:rPr>
        <w:t>ersetzt durch Art. 95 des G. vom 20. November 2022 (B.S. vom 30. November 2022) - anwendbar ab dem Steuerjahr 2023 -</w:t>
      </w:r>
      <w:r w:rsidR="006A066D">
        <w:rPr>
          <w:i/>
          <w:iCs/>
        </w:rPr>
        <w:t>; § 1 Abs. 5 dritter Gedankenstrich ersetzt durch Art. 39</w:t>
      </w:r>
      <w:r w:rsidR="006A066D" w:rsidRPr="006A066D">
        <w:rPr>
          <w:i/>
          <w:iCs/>
        </w:rPr>
        <w:t xml:space="preserve"> des G. vom 22. Dezember 2023 (II) (B.S. vom 29. Dezember 2023) - anwendbar auf Einkünfte, die ab dem 1. Januar 2024 von einer Rechtsvereinbarung bezogen, zuerkannt oder ausgeschüttet werden -</w:t>
      </w:r>
      <w:r w:rsidR="00FD68E8" w:rsidRPr="009118AB">
        <w:rPr>
          <w:rFonts w:ascii="Times New Roman Italique" w:hAnsi="Times New Roman Italique"/>
          <w:i/>
          <w:spacing w:val="2"/>
        </w:rPr>
        <w:t>]</w:t>
      </w:r>
    </w:p>
    <w:p w14:paraId="4DD3799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3071BEB" w14:textId="77777777" w:rsidR="00E53E78" w:rsidRPr="009118AB" w:rsidRDefault="00E53E7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6EBF62" w14:textId="77777777" w:rsidR="00E53E78" w:rsidRPr="009118AB" w:rsidRDefault="00E53E78" w:rsidP="00E53E78">
      <w:pPr>
        <w:ind w:firstLine="708"/>
        <w:jc w:val="both"/>
      </w:pPr>
      <w:r w:rsidRPr="009118AB">
        <w:tab/>
        <w:t>[</w:t>
      </w:r>
      <w:r w:rsidRPr="009118AB">
        <w:rPr>
          <w:b/>
          <w:bCs/>
        </w:rPr>
        <w:t>Art. 354/1</w:t>
      </w:r>
      <w:r w:rsidRPr="009118AB">
        <w:t> - Die in Artikel 354 § 1 Absatz 3 oder 4 erwähnte Zusatzfrist kann nicht angewandt werden auf die Festlegung einer Steuer in Zusammenhang mit der unrichtigen oder unvollständigen Erklärung in Bezug auf:</w:t>
      </w:r>
    </w:p>
    <w:p w14:paraId="35B104DE" w14:textId="77777777" w:rsidR="00E53E78" w:rsidRPr="009118AB" w:rsidRDefault="00E53E78" w:rsidP="00E53E78">
      <w:pPr>
        <w:jc w:val="both"/>
      </w:pPr>
    </w:p>
    <w:p w14:paraId="63149290" w14:textId="77777777" w:rsidR="00E53E78" w:rsidRPr="009118AB" w:rsidRDefault="00E53E78" w:rsidP="00E53E78">
      <w:pPr>
        <w:ind w:firstLine="708"/>
        <w:jc w:val="both"/>
      </w:pPr>
      <w:r w:rsidRPr="009118AB">
        <w:rPr>
          <w:i/>
          <w:iCs/>
        </w:rPr>
        <w:t>a)</w:t>
      </w:r>
      <w:r w:rsidRPr="009118AB">
        <w:t> Regionalsteuern, -abgaben und -gebühren wie in Artikel 198 § 1 Nr. 5 erwähnt,</w:t>
      </w:r>
    </w:p>
    <w:p w14:paraId="274776F4" w14:textId="77777777" w:rsidR="00E53E78" w:rsidRPr="009118AB" w:rsidRDefault="00E53E78" w:rsidP="00E53E78">
      <w:pPr>
        <w:jc w:val="both"/>
      </w:pPr>
    </w:p>
    <w:p w14:paraId="7BAB43E8" w14:textId="77777777" w:rsidR="00E53E78" w:rsidRPr="009118AB" w:rsidRDefault="00E53E78" w:rsidP="00E53E78">
      <w:pPr>
        <w:ind w:firstLine="708"/>
        <w:jc w:val="both"/>
      </w:pPr>
      <w:r w:rsidRPr="009118AB">
        <w:rPr>
          <w:i/>
          <w:iCs/>
        </w:rPr>
        <w:t>b)</w:t>
      </w:r>
      <w:r w:rsidRPr="009118AB">
        <w:t> Geldbußen, Einziehungen und Vertragsstrafen jeglicher Art wie in Artikel 53 Nr. 6 erwähnt,</w:t>
      </w:r>
    </w:p>
    <w:p w14:paraId="7459103E" w14:textId="77777777" w:rsidR="00E53E78" w:rsidRPr="009118AB" w:rsidRDefault="00E53E78" w:rsidP="00E53E78">
      <w:pPr>
        <w:jc w:val="both"/>
      </w:pPr>
    </w:p>
    <w:p w14:paraId="17D10932" w14:textId="77777777" w:rsidR="00E53E78" w:rsidRPr="009118AB" w:rsidRDefault="00E53E78" w:rsidP="00E53E78">
      <w:pPr>
        <w:ind w:firstLine="708"/>
        <w:jc w:val="both"/>
      </w:pPr>
      <w:r w:rsidRPr="009118AB">
        <w:rPr>
          <w:i/>
          <w:iCs/>
        </w:rPr>
        <w:t>c)</w:t>
      </w:r>
      <w:r w:rsidRPr="009118AB">
        <w:t> nicht abzugsfähige Fahrzeugkosten wie in Artikel 66 § 1 oder 198</w:t>
      </w:r>
      <w:r w:rsidRPr="009118AB">
        <w:rPr>
          <w:i/>
          <w:iCs/>
        </w:rPr>
        <w:t>bis</w:t>
      </w:r>
      <w:r w:rsidRPr="009118AB">
        <w:t xml:space="preserve"> erwähnt,</w:t>
      </w:r>
    </w:p>
    <w:p w14:paraId="495A8194" w14:textId="77777777" w:rsidR="00E53E78" w:rsidRPr="009118AB" w:rsidRDefault="00E53E78" w:rsidP="00E53E78">
      <w:pPr>
        <w:jc w:val="both"/>
      </w:pPr>
    </w:p>
    <w:p w14:paraId="3029F05F" w14:textId="77777777" w:rsidR="00E53E78" w:rsidRPr="009118AB" w:rsidRDefault="00E53E78" w:rsidP="00E53E78">
      <w:pPr>
        <w:ind w:firstLine="708"/>
        <w:jc w:val="both"/>
      </w:pPr>
      <w:r w:rsidRPr="009118AB">
        <w:rPr>
          <w:i/>
          <w:iCs/>
        </w:rPr>
        <w:t>d)</w:t>
      </w:r>
      <w:r w:rsidRPr="009118AB">
        <w:t> nicht abzugsfähige Empfangskosten und Kosten für Werbegeschenke wie in Artikel 53 Nr. 8 oder 11 erwähnt,</w:t>
      </w:r>
    </w:p>
    <w:p w14:paraId="53F72BAD" w14:textId="77777777" w:rsidR="00E53E78" w:rsidRPr="009118AB" w:rsidRDefault="00E53E78" w:rsidP="00E53E78">
      <w:pPr>
        <w:jc w:val="both"/>
      </w:pPr>
    </w:p>
    <w:p w14:paraId="4C536A68" w14:textId="77777777" w:rsidR="00E53E78" w:rsidRPr="009118AB" w:rsidRDefault="00E53E78" w:rsidP="00E53E78">
      <w:pPr>
        <w:ind w:firstLine="708"/>
        <w:jc w:val="both"/>
      </w:pPr>
      <w:r w:rsidRPr="009118AB">
        <w:rPr>
          <w:i/>
          <w:iCs/>
        </w:rPr>
        <w:t>e)</w:t>
      </w:r>
      <w:r w:rsidRPr="009118AB">
        <w:t> nicht abzugsfähige Restaurantkosten wie in Artikel 53 Nr. 8</w:t>
      </w:r>
      <w:r w:rsidRPr="009118AB">
        <w:rPr>
          <w:i/>
          <w:iCs/>
        </w:rPr>
        <w:t>bis</w:t>
      </w:r>
      <w:r w:rsidRPr="009118AB">
        <w:t xml:space="preserve"> oder 11 erwähnt,</w:t>
      </w:r>
    </w:p>
    <w:p w14:paraId="3725FA76" w14:textId="77777777" w:rsidR="00E53E78" w:rsidRPr="009118AB" w:rsidRDefault="00E53E78" w:rsidP="00E53E78">
      <w:pPr>
        <w:jc w:val="both"/>
      </w:pPr>
    </w:p>
    <w:p w14:paraId="4706632C" w14:textId="77777777" w:rsidR="00E53E78" w:rsidRPr="009118AB" w:rsidRDefault="00E53E78" w:rsidP="00E53E78">
      <w:pPr>
        <w:ind w:firstLine="708"/>
        <w:jc w:val="both"/>
      </w:pPr>
      <w:r w:rsidRPr="009118AB">
        <w:rPr>
          <w:i/>
          <w:iCs/>
        </w:rPr>
        <w:t>f)</w:t>
      </w:r>
      <w:r w:rsidRPr="009118AB">
        <w:t> Kosten für nicht spezifische Berufskleidung wie in Artikel 53 Nr. 7 oder 11 erwähnt,</w:t>
      </w:r>
    </w:p>
    <w:p w14:paraId="5B1774D0" w14:textId="77777777" w:rsidR="00E53E78" w:rsidRPr="009118AB" w:rsidRDefault="00E53E78" w:rsidP="00E53E78">
      <w:pPr>
        <w:jc w:val="both"/>
      </w:pPr>
    </w:p>
    <w:p w14:paraId="431E4315" w14:textId="3769123E" w:rsidR="00E53E78" w:rsidRPr="009118AB" w:rsidRDefault="00E53E78" w:rsidP="00E53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ab/>
        <w:t>g)</w:t>
      </w:r>
      <w:r w:rsidRPr="009118AB">
        <w:t> Sozialvorteile einschließlich Vorteilen in Bezug auf Mahlzeitschecks, Sport- oder Kulturschecks oder Öko-Schecks wie in Artikel 38 § 1 erwähnt.]</w:t>
      </w:r>
    </w:p>
    <w:p w14:paraId="3DA5D331" w14:textId="77777777" w:rsidR="00E53E78" w:rsidRPr="009118AB" w:rsidRDefault="00E53E78" w:rsidP="00E53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87A21C" w14:textId="32600BB8" w:rsidR="00E53E78" w:rsidRPr="009118AB" w:rsidRDefault="00E53E78" w:rsidP="00E53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[Art. 354/1 eingefügt durch Art. 96 des G. vom 20. November 2022 (B.S. vom 30. November 2022) - anwendbar ab dem Steuerjahr 2023 -]</w:t>
      </w:r>
    </w:p>
    <w:p w14:paraId="23042EA5" w14:textId="77777777" w:rsidR="00E53E78" w:rsidRPr="009118AB" w:rsidRDefault="00E53E78" w:rsidP="00E53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44ED41A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FC26F7" w14:textId="20E29DA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355</w:t>
      </w:r>
      <w:r w:rsidR="00D67EB8" w:rsidRPr="009118AB">
        <w:t> - </w:t>
      </w:r>
      <w:r w:rsidRPr="009118AB">
        <w:t xml:space="preserve">[Wurde eine Veranlagung für ungültig erklärt, weil sie nicht gemäß einer gesetzlichen Regel festgelegt wurde, eine Verjährungsregel ausgenommen, kann die Verwaltung, selbst wenn die zur Festlegung der Steuer bestimmte Frist bereits abgelaufen ist, zu Lasten desselben Steuerschuldners aufgrund aller oder eines Teils derselben Veranlagungsbestandteile eine neue Steuer festlegen, und zwar innerhalb dreier Monate ab dem Datum, an dem gegen den Beschluss des </w:t>
      </w:r>
      <w:r w:rsidR="00E542E5" w:rsidRPr="009118AB">
        <w:t>[Generalberaters der mit der Festlegung der Einkommensteuern beauftragten Verwaltung]</w:t>
      </w:r>
      <w:r w:rsidRPr="009118AB">
        <w:t xml:space="preserve"> oder des von ihm beauftragten Beamten keine Beschwerde vor Gericht mehr eingereicht werden kann.</w:t>
      </w:r>
    </w:p>
    <w:p w14:paraId="506FAB4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D21E0B2" w14:textId="77777777" w:rsidR="002E0F54" w:rsidRDefault="002E0F54">
      <w:r>
        <w:br w:type="page"/>
      </w:r>
    </w:p>
    <w:p w14:paraId="670A523A" w14:textId="1EAFE64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Wenn die für ungültig erklärte Veranlagung zur Erstattung [einer Steuergutschrift,] eines Vorabzugs oder einer Vorauszahlung geführt hat, wird diese Erstattung bei der Festlegung der neuen Steuer berücksichtigt.]</w:t>
      </w:r>
    </w:p>
    <w:p w14:paraId="120164F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8A64A4" w14:textId="6DF41B0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355 ersetzt durch </w:t>
      </w:r>
      <w:r w:rsidR="00D67EB8" w:rsidRPr="009118AB">
        <w:rPr>
          <w:i/>
          <w:iCs/>
        </w:rPr>
        <w:t>Art. </w:t>
      </w:r>
      <w:r w:rsidRPr="009118AB">
        <w:rPr>
          <w:i/>
          <w:iCs/>
        </w:rPr>
        <w:t>20 des G. vom 15. März </w:t>
      </w:r>
      <w:r w:rsidR="00B64F05" w:rsidRPr="009118AB">
        <w:rPr>
          <w:i/>
          <w:iCs/>
        </w:rPr>
        <w:t>1999 (B.S. vom 27. März 1999)</w:t>
      </w:r>
      <w:r w:rsidR="00D67EB8" w:rsidRPr="009118AB">
        <w:rPr>
          <w:i/>
          <w:iCs/>
        </w:rPr>
        <w:t> - </w:t>
      </w:r>
      <w:r w:rsidRPr="009118AB">
        <w:rPr>
          <w:i/>
          <w:iCs/>
        </w:rPr>
        <w:t>anwendbar ab dem Steuerjahr 1999</w:t>
      </w:r>
      <w:r w:rsidR="003366D9" w:rsidRPr="009118AB">
        <w:rPr>
          <w:i/>
          <w:iCs/>
        </w:rPr>
        <w:t> -;</w:t>
      </w:r>
      <w:r w:rsidRPr="009118AB">
        <w:rPr>
          <w:i/>
          <w:iCs/>
        </w:rPr>
        <w:t xml:space="preserve"> </w:t>
      </w:r>
      <w:r w:rsidR="00D67EB8" w:rsidRPr="009118AB">
        <w:rPr>
          <w:i/>
          <w:iCs/>
        </w:rPr>
        <w:t>Abs. </w:t>
      </w:r>
      <w:r w:rsidR="00E542E5" w:rsidRPr="009118AB">
        <w:rPr>
          <w:i/>
          <w:iCs/>
        </w:rPr>
        <w:t xml:space="preserve">1 abgeändert durch </w:t>
      </w:r>
      <w:r w:rsidR="00D67EB8" w:rsidRPr="009118AB">
        <w:rPr>
          <w:i/>
          <w:iCs/>
        </w:rPr>
        <w:t>Art. </w:t>
      </w:r>
      <w:r w:rsidR="00E542E5" w:rsidRPr="009118AB">
        <w:rPr>
          <w:i/>
          <w:iCs/>
        </w:rPr>
        <w:t xml:space="preserve">6 des G. vom 27. April 2016 (B.S. vom 6. Mai 2016); </w:t>
      </w:r>
      <w:r w:rsidR="00D67EB8" w:rsidRPr="009118AB">
        <w:rPr>
          <w:i/>
          <w:iCs/>
        </w:rPr>
        <w:t>Abs. </w:t>
      </w:r>
      <w:r w:rsidRPr="009118AB">
        <w:rPr>
          <w:i/>
          <w:iCs/>
        </w:rPr>
        <w:t xml:space="preserve">2 abgeändert durch </w:t>
      </w:r>
      <w:r w:rsidR="00D67EB8" w:rsidRPr="009118AB">
        <w:rPr>
          <w:i/>
          <w:iCs/>
        </w:rPr>
        <w:t>Art. </w:t>
      </w:r>
      <w:r w:rsidRPr="009118AB">
        <w:rPr>
          <w:i/>
          <w:iCs/>
        </w:rPr>
        <w:t>54 des G. vom 10. August 2001 (B.S. vom 20. September 2001)</w:t>
      </w:r>
      <w:r w:rsidR="00D67EB8" w:rsidRPr="009118AB">
        <w:rPr>
          <w:i/>
          <w:iCs/>
        </w:rPr>
        <w:t> - </w:t>
      </w:r>
      <w:r w:rsidRPr="009118AB">
        <w:rPr>
          <w:i/>
          <w:iCs/>
        </w:rPr>
        <w:t>in Kraft ab dem Steuerjahr 2003</w:t>
      </w:r>
      <w:r w:rsidR="00FD68E8" w:rsidRPr="009118AB">
        <w:rPr>
          <w:i/>
          <w:iCs/>
        </w:rPr>
        <w:t> -]</w:t>
      </w:r>
    </w:p>
    <w:p w14:paraId="0A43C16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5FF78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0A868E3" w14:textId="15FF9AAD" w:rsidR="007E6FAF" w:rsidRPr="009118AB" w:rsidRDefault="00477B8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356</w:t>
      </w:r>
      <w:r w:rsidR="00D67EB8" w:rsidRPr="009118AB">
        <w:t> - </w:t>
      </w:r>
      <w:r w:rsidRPr="009118AB">
        <w:t>[</w:t>
      </w:r>
      <w:r w:rsidR="007E6FAF" w:rsidRPr="009118AB">
        <w:t xml:space="preserve">Wird gegen einen Beschluss des </w:t>
      </w:r>
      <w:r w:rsidR="007E669C" w:rsidRPr="009118AB">
        <w:t>[Generalberaters der mit der Festlegung der Einkommensteuern beauftragten Verwaltung]</w:t>
      </w:r>
      <w:r w:rsidR="007E6FAF" w:rsidRPr="009118AB">
        <w:t xml:space="preserve"> oder des von ihm beauftragten Beamten vor Gericht Beschwerde eingereicht und erklärt der Richter die Veranlagung aus einem anderen Grund als der Verjährung ganz oder teilweise für ungültig, bleibt die Sache während sechs Monaten ab der gerichtlichen Entscheidung in der </w:t>
      </w:r>
      <w:r w:rsidR="00377960" w:rsidRPr="009118AB">
        <w:t>Liste</w:t>
      </w:r>
      <w:r w:rsidR="00377960" w:rsidRPr="009118AB">
        <w:rPr>
          <w:i/>
        </w:rPr>
        <w:t xml:space="preserve"> </w:t>
      </w:r>
      <w:r w:rsidR="007E6FAF" w:rsidRPr="009118AB">
        <w:t>eingetragen. Während dieser sechsmonatigen Frist, die die Einspruchs</w:t>
      </w:r>
      <w:r w:rsidR="007E6FAF" w:rsidRPr="009118AB">
        <w:noBreakHyphen/>
        <w:t>, Berufungs</w:t>
      </w:r>
      <w:r w:rsidR="007E6FAF" w:rsidRPr="009118AB">
        <w:noBreakHyphen/>
        <w:t xml:space="preserve"> und Kassationsfristen aussetzt, kann die Verwaltung dem Richter zu Lasten desselben Steuer</w:t>
      </w:r>
      <w:r w:rsidR="007E6FAF" w:rsidRPr="009118AB">
        <w:softHyphen/>
        <w:t>schuldners und aufgrund aller oder eines Teils derselben Veranlagungsbestandteile wie die der ursprünglichen Steuer anhand eines Schriftsatzes eine Ersatzsteuer zur Beurteilung vorlegen.</w:t>
      </w:r>
    </w:p>
    <w:p w14:paraId="67CC9AB0" w14:textId="77777777" w:rsidR="007E6FAF" w:rsidRPr="009118AB"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F57440E" w14:textId="77777777" w:rsidR="007E6FAF" w:rsidRPr="009118AB"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Legt die Verwaltung dem Richter innerhalb der vorerwähnten Frist von sechs Monaten eine Ersatzsteuer vor, laufen die Einspruchs</w:t>
      </w:r>
      <w:r w:rsidRPr="009118AB">
        <w:noBreakHyphen/>
        <w:t>, Berufungs</w:t>
      </w:r>
      <w:r w:rsidRPr="009118AB">
        <w:noBreakHyphen/>
        <w:t xml:space="preserve"> und Kassationsfristen in Abweichung von Absatz 1 ab Zustellung der gerichtlichen Entscheidung über die Ersatz</w:t>
      </w:r>
      <w:r w:rsidRPr="009118AB">
        <w:softHyphen/>
        <w:t>steuer.</w:t>
      </w:r>
    </w:p>
    <w:p w14:paraId="41DA9910" w14:textId="77777777" w:rsidR="007E6FAF" w:rsidRPr="009118AB"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A2EDBB1" w14:textId="77777777" w:rsidR="007E6FAF" w:rsidRPr="009118AB"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Hat die vom Richter für ungültig erklärte Veranlagung zur Erstattung eines Vorabzugs oder einer Vorauszahlung geführt, wird diese Erstattung bei der Berechnung der Ersatzsteuer, die dem Richter zur Beurteilung vorgelegt wird, berücksichtigt.</w:t>
      </w:r>
    </w:p>
    <w:p w14:paraId="72AF102E" w14:textId="77777777" w:rsidR="007E6FAF" w:rsidRPr="009118AB"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10CB0B8" w14:textId="77777777" w:rsidR="007E6FAF" w:rsidRPr="009118AB"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 Ersatzsteuer ist ausschließlich in Ausführung der Entscheidung des Richters eintreibbar oder erstattungsfähig.</w:t>
      </w:r>
    </w:p>
    <w:p w14:paraId="1EE44E00" w14:textId="77777777" w:rsidR="007E6FAF" w:rsidRPr="009118AB" w:rsidRDefault="007E6FAF" w:rsidP="007E6FAF">
      <w:pPr>
        <w:autoSpaceDE w:val="0"/>
        <w:autoSpaceDN w:val="0"/>
        <w:adjustRightInd w:val="0"/>
        <w:jc w:val="both"/>
      </w:pPr>
    </w:p>
    <w:p w14:paraId="37911098" w14:textId="77777777" w:rsidR="00477B8F" w:rsidRPr="009118AB" w:rsidRDefault="007E6FAF" w:rsidP="007E6FAF">
      <w:pPr>
        <w:autoSpaceDE w:val="0"/>
        <w:autoSpaceDN w:val="0"/>
        <w:adjustRightInd w:val="0"/>
        <w:jc w:val="both"/>
      </w:pPr>
      <w:r w:rsidRPr="009118AB">
        <w:tab/>
        <w:t>Wird die Ersatzsteuer zu Lasten eines gemäß Artikel 357 gleichgestellten Steuer</w:t>
      </w:r>
      <w:r w:rsidRPr="009118AB">
        <w:softHyphen/>
        <w:t>schuldners festgelegt, wird diese Steuer dem Richter durch einen Antrag vorgelegt, der dem gleichgestellten Steuerschuldner zusammen mit einer Ladung zugestellt wird.</w:t>
      </w:r>
      <w:r w:rsidR="00477B8F" w:rsidRPr="009118AB">
        <w:t>]</w:t>
      </w:r>
    </w:p>
    <w:p w14:paraId="533672B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DB5B46" w14:textId="230B638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356 ersetzt durch </w:t>
      </w:r>
      <w:r w:rsidR="00D67EB8" w:rsidRPr="009118AB">
        <w:rPr>
          <w:i/>
          <w:iCs/>
        </w:rPr>
        <w:t>Art. </w:t>
      </w:r>
      <w:r w:rsidRPr="009118AB">
        <w:rPr>
          <w:i/>
          <w:iCs/>
        </w:rPr>
        <w:t>2 des G. vom</w:t>
      </w:r>
      <w:r w:rsidR="007E6FAF" w:rsidRPr="009118AB">
        <w:rPr>
          <w:i/>
          <w:iCs/>
        </w:rPr>
        <w:t xml:space="preserve"> 22. Dezember 2009 (II) (B.S. vom 31. Dezember 2009)</w:t>
      </w:r>
      <w:r w:rsidR="00D67EB8" w:rsidRPr="009118AB">
        <w:rPr>
          <w:i/>
          <w:iCs/>
        </w:rPr>
        <w:t> - </w:t>
      </w:r>
      <w:r w:rsidR="000744BA" w:rsidRPr="009118AB">
        <w:rPr>
          <w:i/>
          <w:iCs/>
        </w:rPr>
        <w:t>unverzüglich anwendbar ungeachtet des Steuerjahres</w:t>
      </w:r>
      <w:r w:rsidR="003366D9" w:rsidRPr="009118AB">
        <w:rPr>
          <w:i/>
          <w:iCs/>
        </w:rPr>
        <w:t> -;</w:t>
      </w:r>
      <w:r w:rsidR="007E669C" w:rsidRPr="009118AB">
        <w:rPr>
          <w:i/>
          <w:iCs/>
        </w:rPr>
        <w:t xml:space="preserve"> </w:t>
      </w:r>
      <w:r w:rsidR="00D67EB8" w:rsidRPr="009118AB">
        <w:rPr>
          <w:i/>
          <w:iCs/>
        </w:rPr>
        <w:t>Abs. </w:t>
      </w:r>
      <w:r w:rsidR="007E669C" w:rsidRPr="009118AB">
        <w:rPr>
          <w:i/>
          <w:iCs/>
        </w:rPr>
        <w:t xml:space="preserve">1 abgeändert durch </w:t>
      </w:r>
      <w:r w:rsidR="00D67EB8" w:rsidRPr="009118AB">
        <w:rPr>
          <w:i/>
          <w:iCs/>
        </w:rPr>
        <w:t>Art. </w:t>
      </w:r>
      <w:r w:rsidR="007E669C" w:rsidRPr="009118AB">
        <w:rPr>
          <w:i/>
          <w:iCs/>
        </w:rPr>
        <w:t>7 des G. vom 27. April 2016 (B.S. vom 6. Mai 2016)</w:t>
      </w:r>
      <w:r w:rsidRPr="009118AB">
        <w:rPr>
          <w:i/>
          <w:iCs/>
        </w:rPr>
        <w:t>]</w:t>
      </w:r>
    </w:p>
    <w:p w14:paraId="7C497E3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A7D0D6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790703" w14:textId="249C7694" w:rsidR="00EE3CA2" w:rsidRPr="009118AB" w:rsidRDefault="00477B8F"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tab/>
      </w:r>
      <w:r w:rsidR="00D67EB8" w:rsidRPr="009118AB">
        <w:rPr>
          <w:b/>
          <w:bCs/>
        </w:rPr>
        <w:t>Art. </w:t>
      </w:r>
      <w:r w:rsidRPr="009118AB">
        <w:rPr>
          <w:b/>
          <w:bCs/>
        </w:rPr>
        <w:t>357</w:t>
      </w:r>
      <w:r w:rsidR="00D67EB8" w:rsidRPr="009118AB">
        <w:t> - </w:t>
      </w:r>
      <w:r w:rsidR="00EE3CA2" w:rsidRPr="009118AB">
        <w:rPr>
          <w:iCs/>
        </w:rPr>
        <w:t>Für die Anwendung der Artikel 355 und 356 werden mit demselben Steuerschuldner gleichgestellt:</w:t>
      </w:r>
    </w:p>
    <w:p w14:paraId="300EAD98" w14:textId="77777777" w:rsidR="00EE3CA2" w:rsidRPr="009118AB"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E268034" w14:textId="77777777" w:rsidR="00EE3CA2" w:rsidRPr="009118AB"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EE3CA2" w:rsidRPr="009118AB">
        <w:rPr>
          <w:iCs/>
        </w:rPr>
        <w:t>1. die Erben des Steuerschuldners,</w:t>
      </w:r>
    </w:p>
    <w:p w14:paraId="66111884" w14:textId="77777777" w:rsidR="00EE3CA2" w:rsidRPr="009118AB"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8E660B0" w14:textId="77777777" w:rsidR="00EE3CA2" w:rsidRPr="009118AB"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EE3CA2" w:rsidRPr="009118AB">
        <w:rPr>
          <w:iCs/>
        </w:rPr>
        <w:t>2. sein Ehepartner,</w:t>
      </w:r>
    </w:p>
    <w:p w14:paraId="79180684" w14:textId="77777777" w:rsidR="00EE3CA2" w:rsidRPr="009118AB"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9BEFA34" w14:textId="2135A9C0" w:rsidR="00EE3CA2" w:rsidRPr="009118AB"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EE3CA2" w:rsidRPr="009118AB">
        <w:rPr>
          <w:iCs/>
        </w:rPr>
        <w:t>3. [</w:t>
      </w:r>
      <w:r w:rsidR="0032082C" w:rsidRPr="009118AB">
        <w:t>je nach Fall die Gesellschaft, die eine Fusion, eine Aufspaltung, einen mit einer Fusion gleichgesetzten Vorgang oder eine andere Auflösung ohne Gesamtverteilung des Gesellschaftsvermögens vorgenommen hat, und die übernehmende oder begünstigte Gesellschaft oder die begünstigten Gesellschaften,</w:t>
      </w:r>
      <w:r w:rsidR="00EE3CA2" w:rsidRPr="009118AB">
        <w:rPr>
          <w:iCs/>
        </w:rPr>
        <w:t>]</w:t>
      </w:r>
    </w:p>
    <w:p w14:paraId="1E91674C" w14:textId="77777777" w:rsidR="00EE3CA2" w:rsidRPr="009118AB"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B34903F" w14:textId="61CE17E3" w:rsidR="00EE3CA2" w:rsidRPr="009118AB"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EE3CA2" w:rsidRPr="009118AB">
        <w:rPr>
          <w:iCs/>
        </w:rPr>
        <w:t xml:space="preserve">4. die Mitglieder der Familie, [der Gesellschaft], der Vereinigung oder der Gemeinschaft, </w:t>
      </w:r>
      <w:r w:rsidR="0032082C" w:rsidRPr="009118AB">
        <w:rPr>
          <w:iCs/>
        </w:rPr>
        <w:t>[</w:t>
      </w:r>
      <w:r w:rsidR="0032082C" w:rsidRPr="009118AB">
        <w:t>deren Oberhaupt, Direktor, Aktionäre beziehungsweise Gesellschafter ursprünglich veranlagt wurden</w:t>
      </w:r>
      <w:r w:rsidR="0032082C" w:rsidRPr="009118AB">
        <w:rPr>
          <w:iCs/>
        </w:rPr>
        <w:t>]</w:t>
      </w:r>
      <w:r w:rsidR="00176752" w:rsidRPr="009118AB">
        <w:rPr>
          <w:iCs/>
        </w:rPr>
        <w:t xml:space="preserve"> und umgekehrt,</w:t>
      </w:r>
    </w:p>
    <w:p w14:paraId="3A773B67" w14:textId="0B2EB364" w:rsidR="00176752" w:rsidRPr="009118AB" w:rsidRDefault="0017675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9A4B60F" w14:textId="0E2EEA40" w:rsidR="00176752" w:rsidRPr="009118AB" w:rsidRDefault="0017675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t>[</w:t>
      </w:r>
      <w:r w:rsidRPr="009118AB">
        <w:t>5. der Liquidator der juristischen Person, deren Liquidation abgeschlossen ist, in dieser Eigenschaft oder mangels eines Liquidators die Personen, die aufgrund von Teil 1 Buch 2 Titel 8 des Gesetzbuches der Gesellschaften und Vereinigungen als Liquidatoren gelten, während des in Artikel 2:143 desselben Gesetzbuches vorgesehenen Zeitraums.</w:t>
      </w:r>
      <w:r w:rsidRPr="009118AB">
        <w:rPr>
          <w:iCs/>
        </w:rPr>
        <w:t>]</w:t>
      </w:r>
    </w:p>
    <w:p w14:paraId="3A8E9F39" w14:textId="77777777" w:rsidR="00EE3CA2" w:rsidRPr="009118AB"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C7F1B7C" w14:textId="70FBC125" w:rsidR="00477B8F" w:rsidRPr="009118AB" w:rsidRDefault="00EE3C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
          <w:iCs/>
        </w:rPr>
        <w:t>[</w:t>
      </w:r>
      <w:r w:rsidR="00D67EB8" w:rsidRPr="009118AB">
        <w:rPr>
          <w:i/>
          <w:iCs/>
        </w:rPr>
        <w:t>Art. </w:t>
      </w:r>
      <w:r w:rsidRPr="009118AB">
        <w:rPr>
          <w:i/>
          <w:iCs/>
        </w:rPr>
        <w:t xml:space="preserve">357 einziger Absatz </w:t>
      </w:r>
      <w:r w:rsidR="00D67EB8" w:rsidRPr="009118AB">
        <w:rPr>
          <w:i/>
          <w:iCs/>
        </w:rPr>
        <w:t>Nr. </w:t>
      </w:r>
      <w:r w:rsidRPr="009118AB">
        <w:rPr>
          <w:i/>
          <w:iCs/>
        </w:rPr>
        <w:t xml:space="preserve">3 aufgehoben durch </w:t>
      </w:r>
      <w:r w:rsidR="00D67EB8" w:rsidRPr="009118AB">
        <w:rPr>
          <w:i/>
          <w:iCs/>
        </w:rPr>
        <w:t>Art. </w:t>
      </w:r>
      <w:r w:rsidRPr="009118AB">
        <w:rPr>
          <w:i/>
          <w:iCs/>
        </w:rPr>
        <w:t>44 des K.E. vom 20. Dezember 1996 (B.S. vom 31. Dezember 1996)</w:t>
      </w:r>
      <w:r w:rsidR="00D67EB8" w:rsidRPr="009118AB">
        <w:rPr>
          <w:i/>
          <w:iCs/>
        </w:rPr>
        <w:t> - </w:t>
      </w:r>
      <w:r w:rsidRPr="009118AB">
        <w:rPr>
          <w:i/>
          <w:iCs/>
        </w:rPr>
        <w:t>in Kraft ab dem Steuerjahr 1998</w:t>
      </w:r>
      <w:r w:rsidR="00FD68E8" w:rsidRPr="009118AB">
        <w:rPr>
          <w:i/>
          <w:iCs/>
        </w:rPr>
        <w:t> -,</w:t>
      </w:r>
      <w:r w:rsidRPr="009118AB">
        <w:rPr>
          <w:i/>
          <w:iCs/>
        </w:rPr>
        <w:t xml:space="preserve"> wieder aufgenommen durch </w:t>
      </w:r>
      <w:r w:rsidR="00D67EB8" w:rsidRPr="009118AB">
        <w:rPr>
          <w:i/>
          <w:iCs/>
        </w:rPr>
        <w:t>Art. </w:t>
      </w:r>
      <w:r w:rsidRPr="009118AB">
        <w:rPr>
          <w:i/>
          <w:iCs/>
        </w:rPr>
        <w:t>32</w:t>
      </w:r>
      <w:r w:rsidRPr="009118AB">
        <w:rPr>
          <w:i/>
          <w:iCs/>
          <w:spacing w:val="-5"/>
        </w:rPr>
        <w:t xml:space="preserve"> des G. vom 11. Dezember 2008 (B.S. vom 12. Januar 2009)</w:t>
      </w:r>
      <w:r w:rsidR="00D67EB8" w:rsidRPr="009118AB">
        <w:rPr>
          <w:i/>
          <w:iCs/>
          <w:spacing w:val="-5"/>
        </w:rPr>
        <w:t> - </w:t>
      </w:r>
      <w:r w:rsidRPr="009118AB">
        <w:rPr>
          <w:i/>
          <w:iCs/>
        </w:rPr>
        <w:t>anwendbar auf Vorgänge oder Verlegungen, die ab dem 12. Januar 2009 statt</w:t>
      </w:r>
      <w:r w:rsidRPr="009118AB">
        <w:rPr>
          <w:i/>
          <w:iCs/>
        </w:rPr>
        <w:softHyphen/>
        <w:t>finden</w:t>
      </w:r>
      <w:r w:rsidR="00D67EB8" w:rsidRPr="009118AB">
        <w:rPr>
          <w:i/>
          <w:iCs/>
        </w:rPr>
        <w:t> - </w:t>
      </w:r>
      <w:r w:rsidR="0032082C" w:rsidRPr="009118AB">
        <w:rPr>
          <w:i/>
          <w:iCs/>
        </w:rPr>
        <w:t xml:space="preserve">und ersetzt durch </w:t>
      </w:r>
      <w:r w:rsidR="00D67EB8" w:rsidRPr="009118AB">
        <w:rPr>
          <w:i/>
          <w:iCs/>
        </w:rPr>
        <w:t>Art. </w:t>
      </w:r>
      <w:r w:rsidR="0032082C" w:rsidRPr="009118AB">
        <w:rPr>
          <w:i/>
          <w:iCs/>
        </w:rPr>
        <w:t xml:space="preserve">72 </w:t>
      </w:r>
      <w:r w:rsidR="00D67EB8" w:rsidRPr="009118AB">
        <w:rPr>
          <w:i/>
          <w:iCs/>
        </w:rPr>
        <w:t>Nr. </w:t>
      </w:r>
      <w:r w:rsidR="0032082C" w:rsidRPr="009118AB">
        <w:rPr>
          <w:i/>
          <w:iCs/>
        </w:rPr>
        <w:t>1</w:t>
      </w:r>
      <w:r w:rsidR="0032082C" w:rsidRPr="009118AB">
        <w:rPr>
          <w:i/>
          <w:iCs/>
          <w:spacing w:val="-2"/>
        </w:rPr>
        <w:t xml:space="preserve"> des G. vom 17. März 2019 (III) (B.S. vom 10. Mai 2019)</w:t>
      </w:r>
      <w:r w:rsidR="00D67EB8" w:rsidRPr="009118AB">
        <w:rPr>
          <w:i/>
          <w:iCs/>
          <w:spacing w:val="-2"/>
        </w:rPr>
        <w:t> - </w:t>
      </w:r>
      <w:r w:rsidR="0032082C" w:rsidRPr="009118AB">
        <w:rPr>
          <w:i/>
          <w:iCs/>
          <w:spacing w:val="-2"/>
        </w:rPr>
        <w:t>in Kraft am 1. Mai 2019</w:t>
      </w:r>
      <w:r w:rsidR="003366D9" w:rsidRPr="009118AB">
        <w:rPr>
          <w:i/>
          <w:iCs/>
          <w:spacing w:val="-2"/>
        </w:rPr>
        <w:t> -;</w:t>
      </w:r>
      <w:r w:rsidRPr="009118AB">
        <w:rPr>
          <w:i/>
          <w:iCs/>
        </w:rPr>
        <w:t xml:space="preserve"> einziger Absatz </w:t>
      </w:r>
      <w:r w:rsidR="00D67EB8" w:rsidRPr="009118AB">
        <w:rPr>
          <w:i/>
          <w:iCs/>
        </w:rPr>
        <w:t>Nr. </w:t>
      </w:r>
      <w:r w:rsidRPr="009118AB">
        <w:rPr>
          <w:i/>
          <w:iCs/>
        </w:rPr>
        <w:t xml:space="preserve">4 abgeändert durch </w:t>
      </w:r>
      <w:r w:rsidR="00D67EB8" w:rsidRPr="009118AB">
        <w:rPr>
          <w:i/>
          <w:iCs/>
        </w:rPr>
        <w:t>Art. </w:t>
      </w:r>
      <w:r w:rsidRPr="009118AB">
        <w:rPr>
          <w:i/>
          <w:iCs/>
        </w:rPr>
        <w:t xml:space="preserve">71 </w:t>
      </w:r>
      <w:r w:rsidR="00D67EB8" w:rsidRPr="009118AB">
        <w:rPr>
          <w:i/>
          <w:iCs/>
        </w:rPr>
        <w:t>Nr. </w:t>
      </w:r>
      <w:r w:rsidRPr="009118AB">
        <w:rPr>
          <w:i/>
          <w:iCs/>
        </w:rPr>
        <w:t>2 des G. vom 6. Juli 1994 (B.S. vom 16. Juli 1994)</w:t>
      </w:r>
      <w:r w:rsidR="00D67EB8" w:rsidRPr="009118AB">
        <w:rPr>
          <w:i/>
          <w:iCs/>
        </w:rPr>
        <w:t> - </w:t>
      </w:r>
      <w:r w:rsidRPr="009118AB">
        <w:rPr>
          <w:i/>
          <w:iCs/>
        </w:rPr>
        <w:t>anwendbar ab dem Steuerjahr 1992</w:t>
      </w:r>
      <w:r w:rsidR="00D67EB8" w:rsidRPr="009118AB">
        <w:rPr>
          <w:i/>
          <w:iCs/>
        </w:rPr>
        <w:t> - </w:t>
      </w:r>
      <w:r w:rsidR="0032082C" w:rsidRPr="009118AB">
        <w:rPr>
          <w:i/>
          <w:iCs/>
        </w:rPr>
        <w:t xml:space="preserve">und </w:t>
      </w:r>
      <w:r w:rsidR="00D67EB8" w:rsidRPr="009118AB">
        <w:rPr>
          <w:i/>
          <w:iCs/>
        </w:rPr>
        <w:t>Art. </w:t>
      </w:r>
      <w:r w:rsidR="0032082C" w:rsidRPr="009118AB">
        <w:rPr>
          <w:i/>
          <w:iCs/>
        </w:rPr>
        <w:t xml:space="preserve">72 </w:t>
      </w:r>
      <w:r w:rsidR="00D67EB8" w:rsidRPr="009118AB">
        <w:rPr>
          <w:i/>
          <w:iCs/>
        </w:rPr>
        <w:t>Nr. </w:t>
      </w:r>
      <w:r w:rsidR="0032082C" w:rsidRPr="009118AB">
        <w:rPr>
          <w:i/>
          <w:iCs/>
        </w:rPr>
        <w:t>2</w:t>
      </w:r>
      <w:r w:rsidR="0032082C" w:rsidRPr="009118AB">
        <w:rPr>
          <w:i/>
          <w:iCs/>
          <w:spacing w:val="-2"/>
        </w:rPr>
        <w:t xml:space="preserve"> des G. vom 17. März 2019 (III) (B.S. vom 10. Mai 2019)</w:t>
      </w:r>
      <w:r w:rsidR="00D67EB8" w:rsidRPr="009118AB">
        <w:rPr>
          <w:i/>
          <w:iCs/>
          <w:spacing w:val="-2"/>
        </w:rPr>
        <w:t> - </w:t>
      </w:r>
      <w:r w:rsidR="0032082C" w:rsidRPr="009118AB">
        <w:rPr>
          <w:i/>
          <w:iCs/>
          <w:spacing w:val="-2"/>
        </w:rPr>
        <w:t>in Kraft am 1. Mai 2019</w:t>
      </w:r>
      <w:r w:rsidR="003366D9" w:rsidRPr="009118AB">
        <w:rPr>
          <w:i/>
          <w:iCs/>
          <w:spacing w:val="-2"/>
        </w:rPr>
        <w:t> -;</w:t>
      </w:r>
      <w:r w:rsidR="00176752" w:rsidRPr="009118AB">
        <w:rPr>
          <w:i/>
          <w:iCs/>
          <w:spacing w:val="-2"/>
        </w:rPr>
        <w:t xml:space="preserve"> einziger Absatz </w:t>
      </w:r>
      <w:r w:rsidR="00D67EB8" w:rsidRPr="009118AB">
        <w:rPr>
          <w:i/>
          <w:iCs/>
          <w:spacing w:val="-2"/>
        </w:rPr>
        <w:t>Nr. </w:t>
      </w:r>
      <w:r w:rsidR="00176752" w:rsidRPr="009118AB">
        <w:rPr>
          <w:i/>
          <w:iCs/>
          <w:spacing w:val="-2"/>
        </w:rPr>
        <w:t xml:space="preserve">5 eingefügt durch </w:t>
      </w:r>
      <w:r w:rsidR="00D67EB8" w:rsidRPr="009118AB">
        <w:rPr>
          <w:i/>
          <w:iCs/>
          <w:spacing w:val="-2"/>
        </w:rPr>
        <w:t>Art. </w:t>
      </w:r>
      <w:r w:rsidR="00176752" w:rsidRPr="009118AB">
        <w:rPr>
          <w:i/>
          <w:iCs/>
          <w:spacing w:val="-2"/>
        </w:rPr>
        <w:t>19</w:t>
      </w:r>
      <w:r w:rsidR="00176752" w:rsidRPr="009118AB">
        <w:rPr>
          <w:i/>
        </w:rPr>
        <w:t xml:space="preserve"> des G. vom 2. Mai 2019 (III) (B.S. vom 1</w:t>
      </w:r>
      <w:r w:rsidR="00A00E05" w:rsidRPr="009118AB">
        <w:rPr>
          <w:i/>
        </w:rPr>
        <w:t>5</w:t>
      </w:r>
      <w:r w:rsidR="00176752" w:rsidRPr="009118AB">
        <w:rPr>
          <w:i/>
        </w:rPr>
        <w:t>. Mai 2019)</w:t>
      </w:r>
      <w:r w:rsidRPr="009118AB">
        <w:rPr>
          <w:i/>
          <w:iCs/>
        </w:rPr>
        <w:t>]</w:t>
      </w:r>
    </w:p>
    <w:p w14:paraId="6FD0671F" w14:textId="60B00D13" w:rsidR="00E53E78" w:rsidRDefault="00E53E78"/>
    <w:p w14:paraId="5B3328A9" w14:textId="77777777" w:rsidR="006A066D" w:rsidRPr="009118AB" w:rsidRDefault="006A066D"/>
    <w:p w14:paraId="29659097" w14:textId="727E3BF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358</w:t>
      </w:r>
      <w:r w:rsidR="00D67EB8" w:rsidRPr="009118AB">
        <w:t> - § </w:t>
      </w:r>
      <w:r w:rsidRPr="009118AB">
        <w:t>1- Die Steuer oder die Steuernachforderung kann selbst nach Ablauf der in Artikel 354 erwähnten Frist festgelegt werden, wenn:</w:t>
      </w:r>
    </w:p>
    <w:p w14:paraId="3868C5F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67FD3FD" w14:textId="473A062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1. </w:t>
      </w:r>
      <w:r w:rsidR="00E53E78" w:rsidRPr="009118AB">
        <w:t>[durch eine Kontrolle oder Untersuchung in Zusammenhang mit der Anwendung der Einkommensteuern zu Lasten eines bestimmten Steuerpflichtigen erwiesen wird, dass der geschuldete Mobiliensteuervorabzug oder Berufssteuervorabzug im Laufe eines der fünf Jahre vor dem Jahr der Feststellung nicht oder verspätet oder auf unvollständige oder unrichtige Weise angegeben worden ist,]</w:t>
      </w:r>
    </w:p>
    <w:p w14:paraId="10F449B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6BC7275" w14:textId="2FEA2640" w:rsidR="008D7720" w:rsidRPr="009118AB" w:rsidRDefault="00477B8F" w:rsidP="008D7720">
      <w:pPr>
        <w:jc w:val="both"/>
      </w:pPr>
      <w:r w:rsidRPr="009118AB">
        <w:tab/>
        <w:t xml:space="preserve">2. </w:t>
      </w:r>
      <w:r w:rsidR="008D7720" w:rsidRPr="009118AB">
        <w:t xml:space="preserve">[entweder durch den Erhalt von Informationen aus dem Ausland aufgrund einer Rechtsgrundlage, durch die der Austausch von Informationen in Zusammenhang mit einer Steuer geregelt wird, auf die diese Rechtsgrundlage anwendbar ist, oder durch die in Artikel 333/2 erwähnte Untersuchung infolge des Erhalts solcher Informationen erwiesen wird, dass steuerpflichtige Einkünfte </w:t>
      </w:r>
      <w:r w:rsidR="00E53E78" w:rsidRPr="009118AB">
        <w:t xml:space="preserve">[oder der geschuldete Mobiliensteuervorabzug oder Berufssteuervorabzug] </w:t>
      </w:r>
      <w:r w:rsidR="008D7720" w:rsidRPr="009118AB">
        <w:t>in Belgien nicht angegeben worden sind:</w:t>
      </w:r>
    </w:p>
    <w:p w14:paraId="067FB3D8" w14:textId="77777777" w:rsidR="008D7720" w:rsidRPr="009118AB" w:rsidRDefault="008D7720" w:rsidP="008D7720">
      <w:pPr>
        <w:jc w:val="both"/>
      </w:pPr>
    </w:p>
    <w:p w14:paraId="6C2327EE" w14:textId="77777777" w:rsidR="008D7720" w:rsidRPr="009118AB" w:rsidRDefault="008D7720" w:rsidP="008D7720">
      <w:pPr>
        <w:jc w:val="both"/>
      </w:pPr>
      <w:r w:rsidRPr="009118AB">
        <w:tab/>
      </w:r>
      <w:r w:rsidRPr="009118AB">
        <w:rPr>
          <w:i/>
        </w:rPr>
        <w:t>a)</w:t>
      </w:r>
      <w:r w:rsidRPr="009118AB">
        <w:t> im Laufe eines der fünf Jahre vor dem Jahr, in dem die belgische Verwaltung von den Informationen Kenntnis genommen hat,</w:t>
      </w:r>
    </w:p>
    <w:p w14:paraId="1BBFB3B9" w14:textId="77777777" w:rsidR="008D7720" w:rsidRPr="009118AB" w:rsidRDefault="008D7720" w:rsidP="008D7720">
      <w:pPr>
        <w:jc w:val="both"/>
      </w:pPr>
    </w:p>
    <w:p w14:paraId="245E872B" w14:textId="77777777" w:rsidR="00477B8F" w:rsidRPr="009118AB" w:rsidRDefault="008D7720" w:rsidP="008D77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Pr="009118AB">
        <w:rPr>
          <w:i/>
        </w:rPr>
        <w:t>b)</w:t>
      </w:r>
      <w:r w:rsidRPr="009118AB">
        <w:t> im Laufe eines der sieben Jahre vor dem Jahr, in dem die belgische Verwaltung von den Informationen Kenntnis genommen hat, wenn in betrügerischer Absicht oder mit der Absicht zu schaden gehandelt wurde,]</w:t>
      </w:r>
    </w:p>
    <w:p w14:paraId="5974309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7A1FD9" w14:textId="72C451D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3. in einem Gerichtsverfahren erwiesen wird, dass steuerpflichtige Einkünfte</w:t>
      </w:r>
      <w:r w:rsidR="00E53E78" w:rsidRPr="009118AB">
        <w:t xml:space="preserve"> [oder der geschuldete Mobiliensteuervorabzug oder Berufssteuervorabzug]</w:t>
      </w:r>
      <w:r w:rsidRPr="009118AB">
        <w:t xml:space="preserve"> im Laufe eines der fünf Jahre vor dem Jahr, in dem das Gerichtsverfahren eingeleitet wurde, nicht angegeben worden sind,</w:t>
      </w:r>
    </w:p>
    <w:p w14:paraId="3D24AABD" w14:textId="77777777" w:rsidR="00EE3CA2" w:rsidRPr="009118AB" w:rsidRDefault="00EE3CA2" w:rsidP="003712D8">
      <w:pPr>
        <w:autoSpaceDE w:val="0"/>
        <w:autoSpaceDN w:val="0"/>
        <w:adjustRightInd w:val="0"/>
        <w:jc w:val="both"/>
      </w:pPr>
    </w:p>
    <w:p w14:paraId="42B6E582" w14:textId="0C536E3F" w:rsidR="00477B8F" w:rsidRPr="009118AB" w:rsidRDefault="00477B8F" w:rsidP="003712D8">
      <w:pPr>
        <w:autoSpaceDE w:val="0"/>
        <w:autoSpaceDN w:val="0"/>
        <w:adjustRightInd w:val="0"/>
        <w:jc w:val="both"/>
      </w:pPr>
      <w:r w:rsidRPr="009118AB">
        <w:tab/>
        <w:t xml:space="preserve">4. durch beweiskräftige Angaben erwiesen wird, dass steuerpflichtige Einkünfte </w:t>
      </w:r>
      <w:r w:rsidR="00E53E78" w:rsidRPr="009118AB">
        <w:t xml:space="preserve">[oder der geschuldete Mobiliensteuervorabzug oder Berufssteuervorabzug] </w:t>
      </w:r>
      <w:r w:rsidRPr="009118AB">
        <w:t>im Laufe eines der fünf Jahre vor dem Jahr, in dem die Verwaltung von diesen beweiskräftigen Angaben Kenntnis genommen h</w:t>
      </w:r>
      <w:r w:rsidR="004A1C98" w:rsidRPr="009118AB">
        <w:t>at, nicht angegeben worden sind,</w:t>
      </w:r>
    </w:p>
    <w:p w14:paraId="7D8F85B0" w14:textId="77777777" w:rsidR="004A1C98" w:rsidRPr="009118AB" w:rsidRDefault="004A1C98" w:rsidP="003712D8">
      <w:pPr>
        <w:autoSpaceDE w:val="0"/>
        <w:autoSpaceDN w:val="0"/>
        <w:adjustRightInd w:val="0"/>
        <w:jc w:val="both"/>
      </w:pPr>
    </w:p>
    <w:p w14:paraId="0608AC80" w14:textId="4C39E592" w:rsidR="004A1C98" w:rsidRPr="009118AB" w:rsidRDefault="004A1C98" w:rsidP="003712D8">
      <w:pPr>
        <w:autoSpaceDE w:val="0"/>
        <w:autoSpaceDN w:val="0"/>
        <w:adjustRightInd w:val="0"/>
        <w:jc w:val="both"/>
      </w:pPr>
      <w:r w:rsidRPr="009118AB">
        <w:tab/>
        <w:t>[5. </w:t>
      </w:r>
      <w:r w:rsidR="000205C1" w:rsidRPr="009118AB">
        <w:t>[infolge eines Verständigungsverfahrens in Anwendung eines internationalen Abkommens zur Vermeidung der Doppelbesteuerung, eines Verfahrens in Anwendung des Übereinkommens vom 23. Juli 1990 über die Beseitigung der Doppelbesteuerung im Falle von Gewinnberichtigungen zwischen verbundenen Unternehmen (90/436/EWG) oder eines Streitbeilegungsverfahrens wie in den Artikeln 3, 4, 6, 10 beziehungsweise 15 des Gesetzes vom 2. Mai 2019 zur Umsetzung der Richtlinie (EU) 2017/1852 des Rates vom 10. Oktober 2017 über Verfahren zur Beilegung von Besteuerungsstreitigkeiten in der Europäischen Union erwähnt noch Steuern geschuldet werden.]</w:t>
      </w:r>
      <w:r w:rsidRPr="009118AB">
        <w:t>]</w:t>
      </w:r>
    </w:p>
    <w:p w14:paraId="15CE4BD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64070CA" w14:textId="2277D4C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2</w:t>
      </w:r>
      <w:r w:rsidR="00D67EB8" w:rsidRPr="009118AB">
        <w:t> - </w:t>
      </w:r>
      <w:r w:rsidRPr="009118AB">
        <w:t xml:space="preserve">[In den in </w:t>
      </w:r>
      <w:r w:rsidR="00D67EB8" w:rsidRPr="009118AB">
        <w:t>§ </w:t>
      </w:r>
      <w:r w:rsidRPr="009118AB">
        <w:t xml:space="preserve">1 </w:t>
      </w:r>
      <w:r w:rsidR="00D67EB8" w:rsidRPr="009118AB">
        <w:t>Nr. </w:t>
      </w:r>
      <w:r w:rsidRPr="009118AB">
        <w:t xml:space="preserve">1, </w:t>
      </w:r>
      <w:r w:rsidR="00497E1B" w:rsidRPr="009118AB">
        <w:t>[3, 4 und 5]</w:t>
      </w:r>
      <w:r w:rsidRPr="009118AB">
        <w:t xml:space="preserve"> erwähnten Fällen muss die Steuer oder die Steuernachforderung festgelegt werden innerhalb zwölf Monaten ab dem Datum, an dem:</w:t>
      </w:r>
    </w:p>
    <w:p w14:paraId="1133CEA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8A906B" w14:textId="3587A27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1. </w:t>
      </w:r>
      <w:r w:rsidR="00E53E78" w:rsidRPr="009118AB">
        <w:t>[die in § 1 Nr. 1 erwähnte Feststellung erfolgt ist,]</w:t>
      </w:r>
    </w:p>
    <w:p w14:paraId="5DD3068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3AD4E18" w14:textId="3C9FC63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2. gegen die Entscheidung in dem in </w:t>
      </w:r>
      <w:r w:rsidR="00D67EB8" w:rsidRPr="009118AB">
        <w:t>§ </w:t>
      </w:r>
      <w:r w:rsidRPr="009118AB">
        <w:t xml:space="preserve">1 </w:t>
      </w:r>
      <w:r w:rsidR="00D67EB8" w:rsidRPr="009118AB">
        <w:t>Nr. </w:t>
      </w:r>
      <w:r w:rsidRPr="009118AB">
        <w:t>3 erwähnten Gerichtsverfahren kein Einspruch beziehungsweise keine Beschwerde mehr möglich ist,</w:t>
      </w:r>
    </w:p>
    <w:p w14:paraId="2A99B04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50C9185" w14:textId="01BA070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3. die Verwaltung von den in </w:t>
      </w:r>
      <w:r w:rsidR="00D67EB8" w:rsidRPr="009118AB">
        <w:t>§ </w:t>
      </w:r>
      <w:r w:rsidRPr="009118AB">
        <w:t xml:space="preserve">1 </w:t>
      </w:r>
      <w:r w:rsidR="00D67EB8" w:rsidRPr="009118AB">
        <w:t>Nr. </w:t>
      </w:r>
      <w:r w:rsidRPr="009118AB">
        <w:t>4 erwähnten beweiskräftige</w:t>
      </w:r>
      <w:r w:rsidR="00497E1B" w:rsidRPr="009118AB">
        <w:t>n Angaben Kenntnis genommen hat,</w:t>
      </w:r>
      <w:r w:rsidRPr="009118AB">
        <w:t>]</w:t>
      </w:r>
    </w:p>
    <w:p w14:paraId="2E379394" w14:textId="77777777" w:rsidR="00497E1B" w:rsidRPr="009118AB" w:rsidRDefault="00497E1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5255CB3" w14:textId="4747843B" w:rsidR="00497E1B" w:rsidRPr="009118AB" w:rsidRDefault="00497E1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[4. das in </w:t>
      </w:r>
      <w:r w:rsidR="00D67EB8" w:rsidRPr="009118AB">
        <w:t>§ </w:t>
      </w:r>
      <w:r w:rsidRPr="009118AB">
        <w:t xml:space="preserve">1 </w:t>
      </w:r>
      <w:r w:rsidR="00D67EB8" w:rsidRPr="009118AB">
        <w:t>Nr. </w:t>
      </w:r>
      <w:r w:rsidRPr="009118AB">
        <w:t>5 erwähnte Verfahren beendet ist.]</w:t>
      </w:r>
    </w:p>
    <w:p w14:paraId="256200E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C8F7B5" w14:textId="0F7DE6B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t>§ </w:t>
      </w:r>
      <w:r w:rsidRPr="009118AB">
        <w:t>3</w:t>
      </w:r>
      <w:r w:rsidR="00D67EB8" w:rsidRPr="009118AB">
        <w:t> - </w:t>
      </w:r>
      <w:r w:rsidRPr="009118AB">
        <w:t xml:space="preserve">In dem in </w:t>
      </w:r>
      <w:r w:rsidR="00D67EB8" w:rsidRPr="009118AB">
        <w:t>§ </w:t>
      </w:r>
      <w:r w:rsidRPr="009118AB">
        <w:t xml:space="preserve">1 </w:t>
      </w:r>
      <w:r w:rsidR="00D67EB8" w:rsidRPr="009118AB">
        <w:t>Nr. </w:t>
      </w:r>
      <w:r w:rsidRPr="009118AB">
        <w:t xml:space="preserve">2 erwähnten Fall muss die Steuer oder die Steuernachforderung innerhalb vierundzwanzig Monaten ab dem Datum, an dem die belgische Verwaltung </w:t>
      </w:r>
      <w:r w:rsidR="008D7720" w:rsidRPr="009118AB">
        <w:t xml:space="preserve">[von den in </w:t>
      </w:r>
      <w:r w:rsidR="00D67EB8" w:rsidRPr="009118AB">
        <w:t>§ </w:t>
      </w:r>
      <w:r w:rsidR="008D7720" w:rsidRPr="009118AB">
        <w:t xml:space="preserve">1 </w:t>
      </w:r>
      <w:r w:rsidR="00D67EB8" w:rsidRPr="009118AB">
        <w:t>Nr. </w:t>
      </w:r>
      <w:r w:rsidR="008D7720" w:rsidRPr="009118AB">
        <w:t>2 erwähnten Informationen]</w:t>
      </w:r>
      <w:r w:rsidRPr="009118AB">
        <w:t xml:space="preserve"> Kenntnis genommen hat, festgelegt werden.]</w:t>
      </w:r>
    </w:p>
    <w:p w14:paraId="27D39C2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C1AE70C" w14:textId="7E32007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358 </w:t>
      </w:r>
      <w:r w:rsidR="00E53E78" w:rsidRPr="009118AB">
        <w:rPr>
          <w:i/>
          <w:iCs/>
        </w:rPr>
        <w:t xml:space="preserve">§ 1 einziger Absatz Nr. 1 ersetzt durch Art. 97 Buchstabe a) des G. vom 20. November 2022 (B.S. vom 30. November 2022) - anwendbar ab dem Steuerjahr 2023 -; </w:t>
      </w:r>
      <w:r w:rsidR="00D67EB8" w:rsidRPr="009118AB">
        <w:rPr>
          <w:i/>
          <w:iCs/>
        </w:rPr>
        <w:t>§ </w:t>
      </w:r>
      <w:r w:rsidR="001461C0" w:rsidRPr="009118AB">
        <w:rPr>
          <w:i/>
          <w:iCs/>
        </w:rPr>
        <w:t xml:space="preserve">1 einziger Absatz </w:t>
      </w:r>
      <w:r w:rsidR="00D67EB8" w:rsidRPr="009118AB">
        <w:rPr>
          <w:i/>
          <w:iCs/>
        </w:rPr>
        <w:t>Nr. </w:t>
      </w:r>
      <w:r w:rsidR="001461C0" w:rsidRPr="009118AB">
        <w:rPr>
          <w:i/>
          <w:iCs/>
        </w:rPr>
        <w:t xml:space="preserve">2 </w:t>
      </w:r>
      <w:r w:rsidR="00E53E78" w:rsidRPr="009118AB">
        <w:rPr>
          <w:i/>
          <w:iCs/>
        </w:rPr>
        <w:t>abgeändert</w:t>
      </w:r>
      <w:r w:rsidR="001461C0" w:rsidRPr="009118AB">
        <w:rPr>
          <w:i/>
          <w:iCs/>
        </w:rPr>
        <w:t xml:space="preserve"> durch </w:t>
      </w:r>
      <w:r w:rsidR="00D67EB8" w:rsidRPr="009118AB">
        <w:rPr>
          <w:i/>
          <w:iCs/>
        </w:rPr>
        <w:t>Art. </w:t>
      </w:r>
      <w:r w:rsidR="001461C0" w:rsidRPr="009118AB">
        <w:rPr>
          <w:i/>
          <w:iCs/>
        </w:rPr>
        <w:t xml:space="preserve">48 </w:t>
      </w:r>
      <w:r w:rsidR="00D67EB8" w:rsidRPr="009118AB">
        <w:rPr>
          <w:i/>
          <w:iCs/>
        </w:rPr>
        <w:t>Nr. </w:t>
      </w:r>
      <w:r w:rsidR="001461C0" w:rsidRPr="009118AB">
        <w:rPr>
          <w:i/>
          <w:iCs/>
        </w:rPr>
        <w:t xml:space="preserve">1 des G. vom 1. Juli 2016 (B.S. vom 4. Juli 2016); </w:t>
      </w:r>
      <w:r w:rsidR="00E53E78" w:rsidRPr="009118AB">
        <w:rPr>
          <w:i/>
          <w:iCs/>
        </w:rPr>
        <w:t xml:space="preserve">§ 1 einziger Absatz Nr. 2 einziger Absatz einleitende Bestimmung abgeändert durch Art. 97 Buchstabe b) des G. vom 20. November 2022 (B.S. vom 30. November 2022) - anwendbar ab dem Steuerjahr 2023 -; § 1 einziger Absatz Nr. 3 abgeändert durch Art. 97 Buchstabe c) des G. vom 20. November 2022 (B.S. vom 30. November 2022) - anwendbar ab dem Steuerjahr 2023 -; § 1 einziger Absatz Nr. 4 abgeändert durch Art. 97 Buchstabe d) des G. vom 20. November 2022 (B.S. vom 30. November 2022) - anwendbar ab dem Steuerjahr 2023 -; </w:t>
      </w:r>
      <w:r w:rsidR="00D67EB8" w:rsidRPr="009118AB">
        <w:rPr>
          <w:i/>
          <w:iCs/>
        </w:rPr>
        <w:t>§ </w:t>
      </w:r>
      <w:r w:rsidR="00497E1B" w:rsidRPr="009118AB">
        <w:rPr>
          <w:i/>
          <w:iCs/>
        </w:rPr>
        <w:t xml:space="preserve">1 einziger Absatz </w:t>
      </w:r>
      <w:r w:rsidR="00D67EB8" w:rsidRPr="009118AB">
        <w:rPr>
          <w:i/>
          <w:iCs/>
        </w:rPr>
        <w:t>Nr. </w:t>
      </w:r>
      <w:r w:rsidR="00497E1B" w:rsidRPr="009118AB">
        <w:rPr>
          <w:i/>
          <w:iCs/>
        </w:rPr>
        <w:t xml:space="preserve">5 eingefügt durch </w:t>
      </w:r>
      <w:r w:rsidR="00D67EB8" w:rsidRPr="009118AB">
        <w:rPr>
          <w:i/>
          <w:iCs/>
        </w:rPr>
        <w:t>Art. </w:t>
      </w:r>
      <w:r w:rsidR="00497E1B" w:rsidRPr="009118AB">
        <w:rPr>
          <w:i/>
          <w:iCs/>
        </w:rPr>
        <w:t xml:space="preserve">61 </w:t>
      </w:r>
      <w:r w:rsidR="00D67EB8" w:rsidRPr="009118AB">
        <w:rPr>
          <w:i/>
          <w:iCs/>
        </w:rPr>
        <w:t>Nr. </w:t>
      </w:r>
      <w:r w:rsidR="00497E1B" w:rsidRPr="009118AB">
        <w:rPr>
          <w:i/>
          <w:iCs/>
        </w:rPr>
        <w:t>1</w:t>
      </w:r>
      <w:r w:rsidR="00497E1B" w:rsidRPr="009118AB">
        <w:rPr>
          <w:i/>
        </w:rPr>
        <w:t xml:space="preserve"> des G. vom 1. Juli 2016 (B.S. vom 4. Juli 2016)</w:t>
      </w:r>
      <w:r w:rsidR="00D67EB8" w:rsidRPr="009118AB">
        <w:rPr>
          <w:i/>
        </w:rPr>
        <w:t> - </w:t>
      </w:r>
      <w:r w:rsidR="00C02E28" w:rsidRPr="009118AB">
        <w:rPr>
          <w:i/>
        </w:rPr>
        <w:t>wirksam mit dem Steuerjahr 2017</w:t>
      </w:r>
      <w:r w:rsidR="00D67EB8" w:rsidRPr="009118AB">
        <w:rPr>
          <w:i/>
        </w:rPr>
        <w:t> - </w:t>
      </w:r>
      <w:r w:rsidR="000205C1" w:rsidRPr="009118AB">
        <w:rPr>
          <w:i/>
        </w:rPr>
        <w:t xml:space="preserve">und ersetzt durch </w:t>
      </w:r>
      <w:r w:rsidR="00D67EB8" w:rsidRPr="009118AB">
        <w:rPr>
          <w:i/>
        </w:rPr>
        <w:t>Art. </w:t>
      </w:r>
      <w:r w:rsidR="000205C1" w:rsidRPr="009118AB">
        <w:rPr>
          <w:i/>
        </w:rPr>
        <w:t>21 des G. vom 2. Mai 2019 (I) (B.S. vom 17. Mai 2019)</w:t>
      </w:r>
      <w:r w:rsidR="00D67EB8" w:rsidRPr="009118AB">
        <w:rPr>
          <w:i/>
        </w:rPr>
        <w:t> - </w:t>
      </w:r>
      <w:r w:rsidR="000205C1" w:rsidRPr="009118AB">
        <w:rPr>
          <w:i/>
        </w:rPr>
        <w:t>anwen</w:t>
      </w:r>
      <w:r w:rsidR="008E6B41" w:rsidRPr="009118AB">
        <w:rPr>
          <w:i/>
        </w:rPr>
        <w:t>d</w:t>
      </w:r>
      <w:r w:rsidR="000205C1" w:rsidRPr="009118AB">
        <w:rPr>
          <w:i/>
        </w:rPr>
        <w:t>bar auf alle ab dem 1. Juli 2019 eingereichten Beschwerden in Bezug auf Streitigkeiten hinsichtlich der Einkünfte oder Kapitalvermögen, die im Laufe eines Besteuerungszeitraums bezogen wurden, der am oder nach dem 1. Januar 2018 beginnt</w:t>
      </w:r>
      <w:r w:rsidR="003366D9" w:rsidRPr="009118AB">
        <w:rPr>
          <w:i/>
        </w:rPr>
        <w:t> -;</w:t>
      </w:r>
      <w:r w:rsidR="00497E1B" w:rsidRPr="009118AB">
        <w:rPr>
          <w:i/>
        </w:rPr>
        <w:t xml:space="preserve"> </w:t>
      </w:r>
      <w:r w:rsidR="00D67EB8" w:rsidRPr="009118AB">
        <w:rPr>
          <w:i/>
          <w:iCs/>
        </w:rPr>
        <w:t>§ </w:t>
      </w:r>
      <w:r w:rsidRPr="009118AB">
        <w:rPr>
          <w:i/>
          <w:iCs/>
        </w:rPr>
        <w:t xml:space="preserve">2 ersetzt durch </w:t>
      </w:r>
      <w:r w:rsidR="00D67EB8" w:rsidRPr="009118AB">
        <w:rPr>
          <w:i/>
          <w:iCs/>
        </w:rPr>
        <w:t>Art. </w:t>
      </w:r>
      <w:r w:rsidRPr="009118AB">
        <w:rPr>
          <w:i/>
          <w:iCs/>
        </w:rPr>
        <w:t xml:space="preserve">4 </w:t>
      </w:r>
      <w:r w:rsidR="00D67EB8" w:rsidRPr="009118AB">
        <w:rPr>
          <w:i/>
          <w:iCs/>
        </w:rPr>
        <w:t>Nr. </w:t>
      </w:r>
      <w:r w:rsidRPr="009118AB">
        <w:rPr>
          <w:i/>
          <w:iCs/>
        </w:rPr>
        <w:t>1 des G. vom 20. Juli 2006</w:t>
      </w:r>
      <w:r w:rsidR="000205C1" w:rsidRPr="009118AB">
        <w:rPr>
          <w:i/>
          <w:iCs/>
        </w:rPr>
        <w:t> </w:t>
      </w:r>
      <w:r w:rsidRPr="009118AB">
        <w:rPr>
          <w:i/>
          <w:iCs/>
        </w:rPr>
        <w:t>(I) (B.S. vom 28. Juli 2006)</w:t>
      </w:r>
      <w:r w:rsidR="00D67EB8" w:rsidRPr="009118AB">
        <w:rPr>
          <w:i/>
          <w:iCs/>
        </w:rPr>
        <w:t> - </w:t>
      </w:r>
      <w:r w:rsidRPr="009118AB">
        <w:rPr>
          <w:i/>
          <w:iCs/>
        </w:rPr>
        <w:t xml:space="preserve">in Kraft ab dem 1. August 2006 (Ist die Veranlagungsfrist, erwähnt in Artikel 358 </w:t>
      </w:r>
      <w:r w:rsidR="00D67EB8" w:rsidRPr="009118AB">
        <w:rPr>
          <w:i/>
          <w:iCs/>
        </w:rPr>
        <w:t>§ </w:t>
      </w:r>
      <w:r w:rsidRPr="009118AB">
        <w:rPr>
          <w:i/>
          <w:iCs/>
        </w:rPr>
        <w:t xml:space="preserve">2 </w:t>
      </w:r>
      <w:r w:rsidR="00D67EB8" w:rsidRPr="009118AB">
        <w:rPr>
          <w:i/>
          <w:iCs/>
        </w:rPr>
        <w:t>Nr. </w:t>
      </w:r>
      <w:r w:rsidRPr="009118AB">
        <w:rPr>
          <w:i/>
          <w:iCs/>
        </w:rPr>
        <w:t xml:space="preserve">2, so wie er vor seiner Abänderung durch Artikel 4 des Gesetzes vom 20. Juli 2006 bestand, am 1. August 2006 nicht abgelaufen, kann die Steuer oder die Steuernachforderung innerhalb vierundzwanzig Monaten ab dem Datum, an dem die belgische Verwaltung von den in Artikel 358 </w:t>
      </w:r>
      <w:r w:rsidR="00D67EB8" w:rsidRPr="009118AB">
        <w:rPr>
          <w:i/>
          <w:iCs/>
        </w:rPr>
        <w:t>§ </w:t>
      </w:r>
      <w:r w:rsidRPr="009118AB">
        <w:rPr>
          <w:i/>
          <w:iCs/>
        </w:rPr>
        <w:t xml:space="preserve">1 </w:t>
      </w:r>
      <w:r w:rsidR="00D67EB8" w:rsidRPr="009118AB">
        <w:rPr>
          <w:i/>
          <w:iCs/>
        </w:rPr>
        <w:t>Nr. </w:t>
      </w:r>
      <w:r w:rsidRPr="009118AB">
        <w:rPr>
          <w:i/>
          <w:iCs/>
        </w:rPr>
        <w:t>2 desselben Gesetzbuches erwähnten Ergebnissen der Kontrolle oder Untersuchung Kenntnis genommen hat, festgelegt werden.)</w:t>
      </w:r>
      <w:r w:rsidR="003366D9" w:rsidRPr="009118AB">
        <w:rPr>
          <w:i/>
          <w:iCs/>
        </w:rPr>
        <w:t> -;</w:t>
      </w:r>
      <w:r w:rsidR="00C02E28" w:rsidRPr="009118AB">
        <w:rPr>
          <w:i/>
          <w:iCs/>
        </w:rPr>
        <w:t xml:space="preserve"> </w:t>
      </w:r>
      <w:r w:rsidR="00D67EB8" w:rsidRPr="009118AB">
        <w:rPr>
          <w:i/>
          <w:iCs/>
        </w:rPr>
        <w:t>§ </w:t>
      </w:r>
      <w:r w:rsidR="00C02E28" w:rsidRPr="009118AB">
        <w:rPr>
          <w:i/>
          <w:iCs/>
        </w:rPr>
        <w:t xml:space="preserve">2 einziger Absatz einleitende Bestimmung abgeändert durch </w:t>
      </w:r>
      <w:r w:rsidR="00D67EB8" w:rsidRPr="009118AB">
        <w:rPr>
          <w:i/>
          <w:iCs/>
        </w:rPr>
        <w:t>Art. </w:t>
      </w:r>
      <w:r w:rsidR="00C02E28" w:rsidRPr="009118AB">
        <w:rPr>
          <w:i/>
          <w:iCs/>
        </w:rPr>
        <w:t xml:space="preserve">61 </w:t>
      </w:r>
      <w:r w:rsidR="00D67EB8" w:rsidRPr="009118AB">
        <w:rPr>
          <w:i/>
          <w:iCs/>
        </w:rPr>
        <w:t>Nr. </w:t>
      </w:r>
      <w:r w:rsidR="00C02E28" w:rsidRPr="009118AB">
        <w:rPr>
          <w:i/>
          <w:iCs/>
        </w:rPr>
        <w:t>2</w:t>
      </w:r>
      <w:r w:rsidR="00C02E28" w:rsidRPr="009118AB">
        <w:rPr>
          <w:i/>
        </w:rPr>
        <w:t xml:space="preserve"> Buchstabe a) des G. vom 1. Juli 2016 (B.S. vom 4. Juli 2016)</w:t>
      </w:r>
      <w:r w:rsidR="00D67EB8" w:rsidRPr="009118AB">
        <w:rPr>
          <w:i/>
        </w:rPr>
        <w:t> - </w:t>
      </w:r>
      <w:r w:rsidR="00C02E28" w:rsidRPr="009118AB">
        <w:rPr>
          <w:i/>
        </w:rPr>
        <w:t>wirksam mit dem Steuerjahr 2017</w:t>
      </w:r>
      <w:r w:rsidR="003366D9" w:rsidRPr="009118AB">
        <w:rPr>
          <w:i/>
        </w:rPr>
        <w:t> -;</w:t>
      </w:r>
      <w:r w:rsidR="00E53E78" w:rsidRPr="009118AB">
        <w:rPr>
          <w:i/>
        </w:rPr>
        <w:t xml:space="preserve"> § 2 einziger Absatz Nr. 1 ersetzt durch Art. 97 Buchstabe e)</w:t>
      </w:r>
      <w:r w:rsidR="00E53E78" w:rsidRPr="009118AB">
        <w:rPr>
          <w:i/>
          <w:iCs/>
        </w:rPr>
        <w:t xml:space="preserve"> des G. vom 20. November 2022 (B.S. vom 30. November 2022) - anwendbar ab dem Steuerjahr 2023 -;</w:t>
      </w:r>
      <w:r w:rsidR="00C02E28" w:rsidRPr="009118AB">
        <w:rPr>
          <w:i/>
        </w:rPr>
        <w:t xml:space="preserve"> </w:t>
      </w:r>
      <w:r w:rsidR="00D67EB8" w:rsidRPr="009118AB">
        <w:rPr>
          <w:i/>
        </w:rPr>
        <w:t>§ </w:t>
      </w:r>
      <w:r w:rsidR="00C02E28" w:rsidRPr="009118AB">
        <w:rPr>
          <w:i/>
        </w:rPr>
        <w:t xml:space="preserve">2 einziger Absatz </w:t>
      </w:r>
      <w:r w:rsidR="00D67EB8" w:rsidRPr="009118AB">
        <w:rPr>
          <w:i/>
        </w:rPr>
        <w:t>Nr. </w:t>
      </w:r>
      <w:r w:rsidR="00C02E28" w:rsidRPr="009118AB">
        <w:rPr>
          <w:i/>
        </w:rPr>
        <w:t xml:space="preserve">4 eingefügt durch </w:t>
      </w:r>
      <w:r w:rsidR="00D67EB8" w:rsidRPr="009118AB">
        <w:rPr>
          <w:i/>
        </w:rPr>
        <w:t>Art. </w:t>
      </w:r>
      <w:r w:rsidR="00C02E28" w:rsidRPr="009118AB">
        <w:rPr>
          <w:i/>
        </w:rPr>
        <w:t xml:space="preserve">61 </w:t>
      </w:r>
      <w:r w:rsidR="00D67EB8" w:rsidRPr="009118AB">
        <w:rPr>
          <w:i/>
        </w:rPr>
        <w:t>Nr. </w:t>
      </w:r>
      <w:r w:rsidR="00C02E28" w:rsidRPr="009118AB">
        <w:rPr>
          <w:i/>
        </w:rPr>
        <w:t>2 Buchstabe b) des G. vom 1. Juli 2016 (B.S. vom 4. Juli 2016)</w:t>
      </w:r>
      <w:r w:rsidR="00D67EB8" w:rsidRPr="009118AB">
        <w:rPr>
          <w:i/>
        </w:rPr>
        <w:t> - </w:t>
      </w:r>
      <w:r w:rsidR="00C02E28" w:rsidRPr="009118AB">
        <w:rPr>
          <w:i/>
        </w:rPr>
        <w:t>wirksam mit dem Steuerjahr 2017</w:t>
      </w:r>
      <w:r w:rsidR="003366D9" w:rsidRPr="009118AB">
        <w:rPr>
          <w:i/>
        </w:rPr>
        <w:t> -;</w:t>
      </w:r>
      <w:r w:rsidR="00AE2D7B" w:rsidRPr="009118AB">
        <w:rPr>
          <w:i/>
          <w:iCs/>
        </w:rPr>
        <w:t xml:space="preserve"> </w:t>
      </w:r>
      <w:r w:rsidR="00D67EB8" w:rsidRPr="009118AB">
        <w:rPr>
          <w:i/>
          <w:iCs/>
        </w:rPr>
        <w:t>§ </w:t>
      </w:r>
      <w:r w:rsidR="00AE2D7B" w:rsidRPr="009118AB">
        <w:rPr>
          <w:i/>
          <w:iCs/>
        </w:rPr>
        <w:t xml:space="preserve">3 eingefügt durch </w:t>
      </w:r>
      <w:r w:rsidR="00D67EB8" w:rsidRPr="009118AB">
        <w:rPr>
          <w:i/>
          <w:iCs/>
        </w:rPr>
        <w:t>Art. </w:t>
      </w:r>
      <w:r w:rsidR="00AE2D7B" w:rsidRPr="009118AB">
        <w:rPr>
          <w:i/>
          <w:iCs/>
        </w:rPr>
        <w:t xml:space="preserve">4 </w:t>
      </w:r>
      <w:r w:rsidR="00D67EB8" w:rsidRPr="009118AB">
        <w:rPr>
          <w:i/>
          <w:iCs/>
        </w:rPr>
        <w:t>Nr. </w:t>
      </w:r>
      <w:r w:rsidR="00AE2D7B" w:rsidRPr="009118AB">
        <w:rPr>
          <w:i/>
          <w:iCs/>
        </w:rPr>
        <w:t>2 des G. vom 20. Juli 2006 (I) (B.S. vom 28. Juli 2006)</w:t>
      </w:r>
      <w:r w:rsidR="00D67EB8" w:rsidRPr="009118AB">
        <w:rPr>
          <w:i/>
          <w:iCs/>
        </w:rPr>
        <w:t> - </w:t>
      </w:r>
      <w:r w:rsidR="00AE2D7B" w:rsidRPr="009118AB">
        <w:rPr>
          <w:i/>
          <w:iCs/>
        </w:rPr>
        <w:t>in Kraft ab dem 1. August 2006</w:t>
      </w:r>
      <w:r w:rsidR="00D67EB8" w:rsidRPr="009118AB">
        <w:rPr>
          <w:i/>
          <w:iCs/>
        </w:rPr>
        <w:t> - </w:t>
      </w:r>
      <w:r w:rsidR="00AE2D7B" w:rsidRPr="009118AB">
        <w:rPr>
          <w:i/>
          <w:iCs/>
        </w:rPr>
        <w:t xml:space="preserve">und abgeändert durch </w:t>
      </w:r>
      <w:r w:rsidR="00D67EB8" w:rsidRPr="009118AB">
        <w:rPr>
          <w:i/>
          <w:iCs/>
        </w:rPr>
        <w:t>Art. </w:t>
      </w:r>
      <w:r w:rsidR="00AE2D7B" w:rsidRPr="009118AB">
        <w:rPr>
          <w:i/>
          <w:iCs/>
        </w:rPr>
        <w:t xml:space="preserve">48 </w:t>
      </w:r>
      <w:r w:rsidR="00D67EB8" w:rsidRPr="009118AB">
        <w:rPr>
          <w:i/>
          <w:iCs/>
        </w:rPr>
        <w:t>Nr. </w:t>
      </w:r>
      <w:r w:rsidR="00AE2D7B" w:rsidRPr="009118AB">
        <w:rPr>
          <w:i/>
          <w:iCs/>
        </w:rPr>
        <w:t xml:space="preserve">2 des G. vom 1. Juli 2016 (B.S. vom 4. Juli 2016); </w:t>
      </w:r>
      <w:r w:rsidRPr="009118AB">
        <w:rPr>
          <w:i/>
          <w:iCs/>
        </w:rPr>
        <w:t>siehe Einkommensteuergesetzbuch Fassung 2006]</w:t>
      </w:r>
    </w:p>
    <w:p w14:paraId="2F1EB7DD" w14:textId="77777777" w:rsidR="000E76CC" w:rsidRPr="009118AB"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4880608B" w14:textId="77777777" w:rsidR="000E76CC" w:rsidRPr="009118AB"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00048460" w14:textId="5F47BC9A" w:rsidR="000E76CC" w:rsidRPr="009118AB"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358/1</w:t>
      </w:r>
      <w:r w:rsidR="00D67EB8" w:rsidRPr="009118AB">
        <w:t> - </w:t>
      </w:r>
      <w:r w:rsidRPr="009118AB">
        <w:t>Wenn festgestellt wird, dass berufliche Verluste eines Besteuerungszeit</w:t>
      </w:r>
      <w:r w:rsidRPr="009118AB">
        <w:softHyphen/>
        <w:t xml:space="preserve">raums ganz oder teilweise zu Unrecht in Anwendung von Artikel 78 </w:t>
      </w:r>
      <w:r w:rsidR="00D67EB8" w:rsidRPr="009118AB">
        <w:t>§ </w:t>
      </w:r>
      <w:r w:rsidRPr="009118AB">
        <w:t xml:space="preserve">2 oder Artikel 206 </w:t>
      </w:r>
      <w:r w:rsidR="00D67EB8" w:rsidRPr="009118AB">
        <w:t>§ </w:t>
      </w:r>
      <w:r w:rsidRPr="009118AB">
        <w:t>4 von den Berufseinkünften von vorherigen Besteuerungszeiträumen abgezogen worden sind und die Steuer für diese Zeiträume ganz oder teilweise zu Unrecht in Anwendung von Artikel 375/1 nachgelassen worden ist, kann dieser zu Unrecht gewährte Abzug während der Veranlagungs</w:t>
      </w:r>
      <w:r w:rsidRPr="009118AB">
        <w:softHyphen/>
        <w:t>frist berichtigt werden, die auf den Besteuerungszeitraum anwendbar ist, in dem diese beruflichen Verluste entstanden sind.]</w:t>
      </w:r>
    </w:p>
    <w:p w14:paraId="4856FC1D" w14:textId="77777777" w:rsidR="000E76CC" w:rsidRPr="009118AB"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12C8F1" w14:textId="42431A5B" w:rsidR="000E76CC" w:rsidRPr="009118AB"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118AB">
        <w:rPr>
          <w:i/>
          <w:iCs/>
        </w:rPr>
        <w:t>[</w:t>
      </w:r>
      <w:r w:rsidR="00D67EB8" w:rsidRPr="009118AB">
        <w:rPr>
          <w:i/>
          <w:iCs/>
        </w:rPr>
        <w:t>Art. </w:t>
      </w:r>
      <w:r w:rsidRPr="009118AB">
        <w:rPr>
          <w:i/>
          <w:iCs/>
        </w:rPr>
        <w:t xml:space="preserve">358/1 eingefügt durch </w:t>
      </w:r>
      <w:r w:rsidR="00D67EB8" w:rsidRPr="009118AB">
        <w:rPr>
          <w:i/>
          <w:iCs/>
        </w:rPr>
        <w:t>Art. </w:t>
      </w:r>
      <w:r w:rsidRPr="009118AB">
        <w:rPr>
          <w:i/>
          <w:iCs/>
        </w:rPr>
        <w:t>100</w:t>
      </w:r>
      <w:r w:rsidRPr="009118AB">
        <w:rPr>
          <w:i/>
          <w:iCs/>
          <w:spacing w:val="-2"/>
        </w:rPr>
        <w:t xml:space="preserve"> des G. vom 11. Februar </w:t>
      </w:r>
      <w:r w:rsidR="00B64F05" w:rsidRPr="009118AB">
        <w:rPr>
          <w:i/>
          <w:iCs/>
          <w:spacing w:val="-2"/>
        </w:rPr>
        <w:t>2019 (B.S. vom 22. März 2020)</w:t>
      </w:r>
      <w:r w:rsidR="00D67EB8" w:rsidRPr="009118AB">
        <w:rPr>
          <w:i/>
          <w:iCs/>
          <w:spacing w:val="-2"/>
        </w:rPr>
        <w:t> - </w:t>
      </w:r>
      <w:r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p>
    <w:p w14:paraId="07B3962D" w14:textId="77777777" w:rsidR="000E76CC" w:rsidRPr="009118AB"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9500E9" w14:textId="41A3C54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Pr="009118AB">
        <w:rPr>
          <w:i/>
          <w:iCs/>
        </w:rPr>
        <w:t>Abschnitt </w:t>
      </w:r>
      <w:r w:rsidR="00D74862" w:rsidRPr="009118AB">
        <w:rPr>
          <w:i/>
          <w:iCs/>
        </w:rPr>
        <w:t>2</w:t>
      </w:r>
      <w:r w:rsidR="00D67EB8" w:rsidRPr="009118AB">
        <w:t> - </w:t>
      </w:r>
      <w:r w:rsidRPr="009118AB">
        <w:t>Steuerjahr und Besteuerungszeitraum</w:t>
      </w:r>
    </w:p>
    <w:p w14:paraId="6250A5D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AF6EF9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E5330F3" w14:textId="69E6B16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359</w:t>
      </w:r>
      <w:r w:rsidR="00D67EB8" w:rsidRPr="009118AB">
        <w:t> - </w:t>
      </w:r>
      <w:r w:rsidRPr="009118AB">
        <w:t>Das Steuerjahr beginnt am 1. Januar und endet am darauf folgenden 31. Dezember.</w:t>
      </w:r>
    </w:p>
    <w:p w14:paraId="5889CF1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DA861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 für ein Steuerjahr geschuldete Steuer kann jedoch gültig festgelegt werden bis zum 30. Juni des Jahres nach dem Jahr, dessen Jahreszahl das Steuerjahr bestimmt.</w:t>
      </w:r>
    </w:p>
    <w:p w14:paraId="0F56E6F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E6631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739A3C" w14:textId="1E76BB2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360</w:t>
      </w:r>
      <w:r w:rsidR="00D67EB8" w:rsidRPr="009118AB">
        <w:t> - </w:t>
      </w:r>
      <w:r w:rsidRPr="009118AB">
        <w:t>Die für ein Steuerjahr geschuldete Steuer wird auf die Einkünfte festgelegt, die der Steuerpflichtige im Besteuerungszeitraum bezogen hat.</w:t>
      </w:r>
    </w:p>
    <w:p w14:paraId="55F0AA7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CC879B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Der König bestimmt den Besteuerungszeitraum und die diesbezüglichen Einkünfte.</w:t>
      </w:r>
    </w:p>
    <w:p w14:paraId="01F1225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BF2F6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8B8846" w14:textId="27E0044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361</w:t>
      </w:r>
      <w:r w:rsidR="00D67EB8" w:rsidRPr="009118AB">
        <w:t> - </w:t>
      </w:r>
      <w:r w:rsidRPr="009118AB">
        <w:t xml:space="preserve">Werden bei der Prüfung der Buchhaltung eines bestimmten Besteuerungszeitraums in Artikel 24 Absatz 1 </w:t>
      </w:r>
      <w:r w:rsidR="00D67EB8" w:rsidRPr="009118AB">
        <w:t>Nr. </w:t>
      </w:r>
      <w:r w:rsidRPr="009118AB">
        <w:t>4 erwähnte Unterbewertungen von Aktiva oder Überbewertungen von Passiva festgestellt, gelten sie als Gewinne dieses Besteuerungszeitraums, selbst wenn sie aus der Buchhaltung in Bezug auf vorherige Besteuerungszeiträume hervorgehen, es sei denn, der Steuerpflichtige erbringt den Nachweis, dass sie bei der Festlegung der zu versteuernden Ergebnisse dieser letzten Zeiträume berücksichtigt wurden.</w:t>
      </w:r>
    </w:p>
    <w:p w14:paraId="0AF7B2D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94613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6620133" w14:textId="483F144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362</w:t>
      </w:r>
      <w:r w:rsidR="00D67EB8" w:rsidRPr="009118AB">
        <w:t> - </w:t>
      </w:r>
      <w:r w:rsidRPr="009118AB">
        <w:t xml:space="preserve">Kapitalzuschüsse, die von öffentlichen Behörden zuerkannt werden, um immaterielle Anlagen oder Sachanlagen zu erwerben oder zu bilden, gelten als Gewinne </w:t>
      </w:r>
      <w:r w:rsidR="00906DC9" w:rsidRPr="009118AB">
        <w:t>[</w:t>
      </w:r>
      <w:r w:rsidR="00906DC9" w:rsidRPr="009118AB">
        <w:rPr>
          <w:lang w:eastAsia="fr-BE"/>
        </w:rPr>
        <w:t>oder Profite</w:t>
      </w:r>
      <w:r w:rsidR="00906DC9" w:rsidRPr="009118AB">
        <w:t xml:space="preserve">] </w:t>
      </w:r>
      <w:r w:rsidRPr="009118AB">
        <w:t xml:space="preserve">des Besteuerungszeitraums, in dem </w:t>
      </w:r>
      <w:r w:rsidR="00906DC9" w:rsidRPr="009118AB">
        <w:t>[</w:t>
      </w:r>
      <w:r w:rsidR="00906DC9" w:rsidRPr="009118AB">
        <w:rPr>
          <w:lang w:eastAsia="fr-BE"/>
        </w:rPr>
        <w:t>sie bewilligt beziehungsweise erhalten wurden</w:t>
      </w:r>
      <w:r w:rsidR="00906DC9" w:rsidRPr="009118AB">
        <w:t>]</w:t>
      </w:r>
      <w:r w:rsidRPr="009118AB">
        <w:t>, und jedes folgenden Besteuerungszeitraums, und zwar proportional zu den Abschreibungen und Wertminderungen in Bezug auf diese Anlagen, die jeweils am Ende dieses Besteuerungszeitraums und jedes folgenden Besteuerungszeitraums als Werbungskosten berücksichtigt wurden, und gegebenenfalls bis zum Restbetrag bei Veräußerung oder Außerbetriebsetzung vorerwähnter Anlagen.</w:t>
      </w:r>
    </w:p>
    <w:p w14:paraId="58D4DE4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96091C6" w14:textId="674C148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[Sind in Bezug auf die in Artikel 46 </w:t>
      </w:r>
      <w:r w:rsidR="00D67EB8" w:rsidRPr="009118AB">
        <w:t>§ </w:t>
      </w:r>
      <w:r w:rsidRPr="009118AB">
        <w:t xml:space="preserve">1 Absatz 1 </w:t>
      </w:r>
      <w:r w:rsidR="00D67EB8" w:rsidRPr="009118AB">
        <w:t>Nr. </w:t>
      </w:r>
      <w:r w:rsidRPr="009118AB">
        <w:t>2 erwähnten Verrichtungen bezuschusste Anlagen Teil der Einbringung, wird der Teil des Kapitalzuschusses, der zum Zeitpunkt der Verrichtung noch nicht als Gewinn</w:t>
      </w:r>
      <w:r w:rsidR="00906DC9" w:rsidRPr="009118AB">
        <w:t xml:space="preserve"> [</w:t>
      </w:r>
      <w:r w:rsidR="00906DC9" w:rsidRPr="009118AB">
        <w:rPr>
          <w:lang w:eastAsia="fr-BE"/>
        </w:rPr>
        <w:t>oder Profit</w:t>
      </w:r>
      <w:r w:rsidR="00906DC9" w:rsidRPr="009118AB">
        <w:t>]</w:t>
      </w:r>
      <w:r w:rsidRPr="009118AB">
        <w:t xml:space="preserve"> galt, für den ehemaligen Steuerpflichtigen vollständig von der Steuer befreit unbeschadet der Anwendung von Absatz 1 auf die Gesellschaft, zu deren Gunsten die Einbringung erfolgt. Die buchhalterische Darstellung dieses Kapitalzuschusses bei der Gesellschaft, zu deren Gunsten die Einbringung erfolgt, hat keine Auswirkung auf die Festlegung des Ergebnisses des Besteuerungszeitraums.]</w:t>
      </w:r>
    </w:p>
    <w:p w14:paraId="08C5516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D12C59" w14:textId="5A11D3F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362 </w:t>
      </w:r>
      <w:r w:rsidR="00D67EB8" w:rsidRPr="009118AB">
        <w:rPr>
          <w:i/>
          <w:iCs/>
        </w:rPr>
        <w:t>Abs. </w:t>
      </w:r>
      <w:r w:rsidR="00906DC9" w:rsidRPr="009118AB">
        <w:rPr>
          <w:i/>
          <w:iCs/>
        </w:rPr>
        <w:t xml:space="preserve">1 abgeändert durch </w:t>
      </w:r>
      <w:r w:rsidR="00D67EB8" w:rsidRPr="009118AB">
        <w:rPr>
          <w:i/>
          <w:iCs/>
        </w:rPr>
        <w:t>Art. </w:t>
      </w:r>
      <w:r w:rsidR="00906DC9" w:rsidRPr="009118AB">
        <w:rPr>
          <w:i/>
          <w:iCs/>
        </w:rPr>
        <w:t xml:space="preserve">57 </w:t>
      </w:r>
      <w:r w:rsidR="00D67EB8" w:rsidRPr="009118AB">
        <w:rPr>
          <w:i/>
          <w:iCs/>
        </w:rPr>
        <w:t>Nr. </w:t>
      </w:r>
      <w:r w:rsidR="00906DC9" w:rsidRPr="009118AB">
        <w:rPr>
          <w:i/>
          <w:iCs/>
        </w:rPr>
        <w:t>1</w:t>
      </w:r>
      <w:r w:rsidR="00906DC9" w:rsidRPr="009118AB">
        <w:rPr>
          <w:bCs/>
          <w:i/>
          <w:iCs/>
          <w:sz w:val="20"/>
          <w:szCs w:val="20"/>
        </w:rPr>
        <w:t xml:space="preserve"> </w:t>
      </w:r>
      <w:r w:rsidR="00906DC9" w:rsidRPr="009118AB">
        <w:rPr>
          <w:bCs/>
          <w:i/>
          <w:iCs/>
        </w:rPr>
        <w:t>des G. vom 21. Januar 2022 (B.S. vom 28. Januar 2022)</w:t>
      </w:r>
      <w:r w:rsidR="00D67EB8" w:rsidRPr="009118AB">
        <w:rPr>
          <w:i/>
          <w:iCs/>
        </w:rPr>
        <w:t> - </w:t>
      </w:r>
      <w:r w:rsidR="00906DC9" w:rsidRPr="009118AB">
        <w:rPr>
          <w:i/>
          <w:iCs/>
          <w:lang w:eastAsia="fr-BE"/>
        </w:rPr>
        <w:t>anwendbar</w:t>
      </w:r>
      <w:r w:rsidR="00906DC9" w:rsidRPr="009118AB">
        <w:rPr>
          <w:i/>
          <w:iCs/>
        </w:rPr>
        <w:t xml:space="preserve"> </w:t>
      </w:r>
      <w:r w:rsidR="00906DC9" w:rsidRPr="009118AB">
        <w:rPr>
          <w:i/>
          <w:iCs/>
          <w:lang w:eastAsia="fr-BE"/>
        </w:rPr>
        <w:t>auf die ab dem 1. Januar 2021 erhaltenen Kapitalzuschüsse</w:t>
      </w:r>
      <w:r w:rsidR="003366D9" w:rsidRPr="009118AB">
        <w:rPr>
          <w:i/>
          <w:iCs/>
          <w:lang w:eastAsia="fr-BE"/>
        </w:rPr>
        <w:t> -;</w:t>
      </w:r>
      <w:r w:rsidR="00906DC9" w:rsidRPr="009118AB">
        <w:rPr>
          <w:i/>
          <w:iCs/>
          <w:lang w:eastAsia="fr-BE"/>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46 des G. vom 22. Dezember 1998 (B.S. vom 15. Januar 1999)</w:t>
      </w:r>
      <w:r w:rsidR="00D67EB8" w:rsidRPr="009118AB">
        <w:rPr>
          <w:i/>
          <w:iCs/>
        </w:rPr>
        <w:t> - </w:t>
      </w:r>
      <w:r w:rsidRPr="009118AB">
        <w:rPr>
          <w:i/>
          <w:iCs/>
        </w:rPr>
        <w:t>anwendbar auf steuerfreie Einbringungen, die nach dem 15. Januar 1999 verwirklicht werden</w:t>
      </w:r>
      <w:r w:rsidR="00D67EB8" w:rsidRPr="009118AB">
        <w:rPr>
          <w:i/>
          <w:iCs/>
        </w:rPr>
        <w:t> - </w:t>
      </w:r>
      <w:r w:rsidR="00906DC9" w:rsidRPr="009118AB">
        <w:rPr>
          <w:i/>
          <w:iCs/>
        </w:rPr>
        <w:t xml:space="preserve">und abgeändert durch </w:t>
      </w:r>
      <w:r w:rsidR="00D67EB8" w:rsidRPr="009118AB">
        <w:rPr>
          <w:i/>
          <w:iCs/>
        </w:rPr>
        <w:t>Art. </w:t>
      </w:r>
      <w:r w:rsidR="00906DC9" w:rsidRPr="009118AB">
        <w:rPr>
          <w:i/>
          <w:iCs/>
        </w:rPr>
        <w:t xml:space="preserve">57 </w:t>
      </w:r>
      <w:r w:rsidR="00D67EB8" w:rsidRPr="009118AB">
        <w:rPr>
          <w:i/>
          <w:iCs/>
        </w:rPr>
        <w:t>Nr. </w:t>
      </w:r>
      <w:r w:rsidR="00906DC9" w:rsidRPr="009118AB">
        <w:rPr>
          <w:i/>
          <w:iCs/>
        </w:rPr>
        <w:t>2</w:t>
      </w:r>
      <w:r w:rsidR="00906DC9" w:rsidRPr="009118AB">
        <w:rPr>
          <w:bCs/>
          <w:i/>
          <w:iCs/>
          <w:sz w:val="20"/>
          <w:szCs w:val="20"/>
        </w:rPr>
        <w:t xml:space="preserve"> </w:t>
      </w:r>
      <w:r w:rsidR="00906DC9" w:rsidRPr="009118AB">
        <w:rPr>
          <w:bCs/>
          <w:i/>
          <w:iCs/>
        </w:rPr>
        <w:t>des G. vom 21. Januar 2022 (B.S. vom 28. Januar 2022)</w:t>
      </w:r>
      <w:r w:rsidR="00D67EB8" w:rsidRPr="009118AB">
        <w:rPr>
          <w:i/>
          <w:iCs/>
        </w:rPr>
        <w:t> - </w:t>
      </w:r>
      <w:r w:rsidR="00906DC9" w:rsidRPr="009118AB">
        <w:rPr>
          <w:i/>
          <w:iCs/>
          <w:lang w:eastAsia="fr-BE"/>
        </w:rPr>
        <w:t>anwendbar</w:t>
      </w:r>
      <w:r w:rsidR="00906DC9" w:rsidRPr="009118AB">
        <w:rPr>
          <w:i/>
          <w:iCs/>
        </w:rPr>
        <w:t xml:space="preserve"> </w:t>
      </w:r>
      <w:r w:rsidR="00906DC9" w:rsidRPr="009118AB">
        <w:rPr>
          <w:i/>
          <w:iCs/>
          <w:lang w:eastAsia="fr-BE"/>
        </w:rPr>
        <w:t>auf die ab dem 1. Januar 2021 erhaltenen Kapitalzuschüsse</w:t>
      </w:r>
      <w:r w:rsidR="00FD68E8" w:rsidRPr="009118AB">
        <w:rPr>
          <w:i/>
          <w:iCs/>
          <w:lang w:eastAsia="fr-BE"/>
        </w:rPr>
        <w:t> -]</w:t>
      </w:r>
    </w:p>
    <w:p w14:paraId="379F07D5" w14:textId="77777777" w:rsidR="00AE022E" w:rsidRPr="009118AB" w:rsidRDefault="00AE022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FC4461" w14:textId="77777777" w:rsidR="00AE022E" w:rsidRPr="009118AB" w:rsidRDefault="00AE022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EC76E0" w14:textId="7115036C" w:rsidR="008230E6" w:rsidRPr="009541B3" w:rsidRDefault="00477B8F" w:rsidP="008230E6">
      <w:pPr>
        <w:ind w:firstLine="708"/>
        <w:jc w:val="both"/>
      </w:pPr>
      <w:r w:rsidRPr="009118AB">
        <w:tab/>
        <w:t>[</w:t>
      </w:r>
      <w:r w:rsidR="00D67EB8" w:rsidRPr="009118AB">
        <w:rPr>
          <w:b/>
          <w:bCs/>
        </w:rPr>
        <w:t>Art. </w:t>
      </w:r>
      <w:r w:rsidRPr="009118AB">
        <w:rPr>
          <w:b/>
          <w:bCs/>
        </w:rPr>
        <w:t>362</w:t>
      </w:r>
      <w:r w:rsidRPr="009118AB">
        <w:rPr>
          <w:b/>
          <w:bCs/>
          <w:i/>
          <w:iCs/>
        </w:rPr>
        <w:t>bis</w:t>
      </w:r>
      <w:r w:rsidR="00D67EB8" w:rsidRPr="009118AB">
        <w:t> - </w:t>
      </w:r>
      <w:r w:rsidRPr="009118AB">
        <w:t>[</w:t>
      </w:r>
      <w:r w:rsidR="008230E6" w:rsidRPr="009541B3">
        <w:t>§ 1 ­ Für Steuerpflichtige, die Kapitalien, die keine Aktien oder Anteile darstellen, zur Ausübung ihrer Berufstätigkeit nutzen, gilt der sich auf einen bestimmten Besteuerungszeitraum beziehende Teil der aufgelaufenen Zinsen dieser Kapitalien oder Teil der Entschädigungen für fehlende Kupons, der sich aufgrund einer Vereinbarung über die Leistung von dinglichen Sicherheiten oder eines Verleihs auf aufgelaufene Zinsen solcher Kapitalien bezieht, als Einkommen dieses Zeitraums, selbst wenn die Zinsen oder Entschädigungen im Laufe eines späteren Zeitraums eingenommen oder erzielt werden.</w:t>
      </w:r>
    </w:p>
    <w:p w14:paraId="43991810" w14:textId="77777777" w:rsidR="008230E6" w:rsidRPr="009541B3" w:rsidRDefault="008230E6" w:rsidP="008230E6">
      <w:pPr>
        <w:jc w:val="both"/>
      </w:pPr>
    </w:p>
    <w:p w14:paraId="633CE97D" w14:textId="77777777" w:rsidR="008230E6" w:rsidRPr="009541B3" w:rsidRDefault="008230E6" w:rsidP="008230E6">
      <w:pPr>
        <w:ind w:firstLine="708"/>
        <w:jc w:val="both"/>
      </w:pPr>
      <w:r w:rsidRPr="009541B3">
        <w:t>In Abweichung von vorhergehendem Absatz gilt für die in Artikel 19 § 2 Absatz 3 erwähnten Zessionare, Pfandgläubiger oder Entleiher der Gesamtbetrag der Zinsen, die im Laufe eines bestimmten Besteuerungszeitraums im Rahmen ihrer Berufstätigkeit eingenommen oder erzielt werden, als Einkommen dieses Besteuerungszeitraums.</w:t>
      </w:r>
    </w:p>
    <w:p w14:paraId="32D64BC9" w14:textId="77777777" w:rsidR="008230E6" w:rsidRPr="009541B3" w:rsidRDefault="008230E6" w:rsidP="008230E6">
      <w:pPr>
        <w:jc w:val="both"/>
      </w:pPr>
    </w:p>
    <w:p w14:paraId="62261CA8" w14:textId="77777777" w:rsidR="008230E6" w:rsidRPr="009541B3" w:rsidRDefault="008230E6" w:rsidP="008230E6">
      <w:pPr>
        <w:ind w:firstLine="708"/>
        <w:jc w:val="both"/>
      </w:pPr>
      <w:r w:rsidRPr="009541B3">
        <w:t>§ 2 ­ Der Teil der in § 1 erwähnten aufgelaufenen Zinsen, der sich auf einen Kapitalansammlungsvertrag bezieht, entspricht der Plusdifferenz zwischen einerseits dem Wert der Forderung, die diesen Kapitalansammlungsvertrag darstellt und die die Gesellschaft am Ende des Besteuerungszeitraums gegenüber einem Versicherungsunternehmen hat, und andererseits den Beträgen, die in Ausführung dieses Vertrags als Prämien gezahlt wurden.</w:t>
      </w:r>
    </w:p>
    <w:p w14:paraId="6B265389" w14:textId="77777777" w:rsidR="008230E6" w:rsidRPr="009541B3" w:rsidRDefault="008230E6" w:rsidP="008230E6">
      <w:pPr>
        <w:jc w:val="both"/>
      </w:pPr>
    </w:p>
    <w:p w14:paraId="385FAE4C" w14:textId="77777777" w:rsidR="008230E6" w:rsidRPr="009541B3" w:rsidRDefault="008230E6" w:rsidP="008230E6">
      <w:pPr>
        <w:ind w:firstLine="708"/>
        <w:jc w:val="both"/>
      </w:pPr>
      <w:r w:rsidRPr="009541B3">
        <w:t>Von der gemäß Absatz 1 bestimmten Differenz wird jedoch der besteuerte Teil der aufgelaufenen Zinsen abgezogen, so wie er gemäß Absatz 1 auf der Grundlage des Werts der Forderung am Ende des vorhergehenden Besteuerungszeitraums für diesen Vertrag bestimmt wird.</w:t>
      </w:r>
    </w:p>
    <w:p w14:paraId="49AE7971" w14:textId="77777777" w:rsidR="008230E6" w:rsidRPr="009541B3" w:rsidRDefault="008230E6" w:rsidP="008230E6">
      <w:pPr>
        <w:jc w:val="both"/>
      </w:pPr>
    </w:p>
    <w:p w14:paraId="40D50CBB" w14:textId="2B817B49" w:rsidR="00477B8F" w:rsidRPr="009118AB" w:rsidRDefault="0085640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r>
      <w:r w:rsidR="008230E6" w:rsidRPr="009541B3">
        <w:t>Für die Anwendung von Absatz 1 wird der Betrag der Prämie im Falle eines teilweisen Rückkaufs des Vertrags proportional verringert.</w:t>
      </w:r>
      <w:r w:rsidR="00477B8F" w:rsidRPr="009118AB">
        <w:t>]]</w:t>
      </w:r>
    </w:p>
    <w:p w14:paraId="4856481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1175765" w14:textId="1E8D489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362bis eingefügt durch </w:t>
      </w:r>
      <w:r w:rsidR="00D67EB8" w:rsidRPr="009118AB">
        <w:rPr>
          <w:i/>
          <w:iCs/>
        </w:rPr>
        <w:t>Art. </w:t>
      </w:r>
      <w:r w:rsidRPr="009118AB">
        <w:rPr>
          <w:i/>
          <w:iCs/>
        </w:rPr>
        <w:t>73 des G. vom 6. Juli </w:t>
      </w:r>
      <w:r w:rsidR="00B64F05" w:rsidRPr="009118AB">
        <w:rPr>
          <w:i/>
          <w:iCs/>
        </w:rPr>
        <w:t>1994 (B.S. vom 16. Juli 1994)</w:t>
      </w:r>
      <w:r w:rsidR="00D67EB8" w:rsidRPr="009118AB">
        <w:rPr>
          <w:i/>
          <w:iCs/>
        </w:rPr>
        <w:t> - </w:t>
      </w:r>
      <w:r w:rsidRPr="009118AB">
        <w:rPr>
          <w:i/>
          <w:iCs/>
        </w:rPr>
        <w:t>anwendbar ab dem Steuerjahr 1995</w:t>
      </w:r>
      <w:r w:rsidR="00D67EB8" w:rsidRPr="009118AB">
        <w:rPr>
          <w:i/>
          <w:iCs/>
        </w:rPr>
        <w:t> - </w:t>
      </w:r>
      <w:r w:rsidRPr="009118AB">
        <w:rPr>
          <w:i/>
          <w:iCs/>
        </w:rPr>
        <w:t>und ersetzt durch</w:t>
      </w:r>
      <w:r w:rsidR="00C871A6">
        <w:rPr>
          <w:i/>
          <w:iCs/>
        </w:rPr>
        <w:t xml:space="preserve"> </w:t>
      </w:r>
      <w:r w:rsidR="00C871A6" w:rsidRPr="003E131B">
        <w:rPr>
          <w:i/>
          <w:iCs/>
          <w:spacing w:val="-2"/>
        </w:rPr>
        <w:t>Art. </w:t>
      </w:r>
      <w:r w:rsidR="00C871A6">
        <w:rPr>
          <w:i/>
          <w:iCs/>
          <w:spacing w:val="-2"/>
        </w:rPr>
        <w:t>58</w:t>
      </w:r>
      <w:r w:rsidR="00C871A6" w:rsidRPr="003E131B">
        <w:rPr>
          <w:i/>
          <w:iCs/>
          <w:spacing w:val="-2"/>
        </w:rPr>
        <w:t xml:space="preserve"> des G. vom 28. Dezember 2023 (B.S. vom 29. Dezember 2023)</w:t>
      </w:r>
      <w:r w:rsidR="00FD68E8" w:rsidRPr="009118AB">
        <w:rPr>
          <w:i/>
          <w:iCs/>
        </w:rPr>
        <w:t>]</w:t>
      </w:r>
    </w:p>
    <w:p w14:paraId="67807F6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A477B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91BDDD" w14:textId="3E078F1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363</w:t>
      </w:r>
      <w:r w:rsidR="00D67EB8" w:rsidRPr="009118AB">
        <w:t> - </w:t>
      </w:r>
      <w:r w:rsidRPr="009118AB">
        <w:t>[Nicht verzinsliche Forderungen, die nach einer Frist von mindestens einem Jahr fällig sind, werden bei ihrer Entstehung nur berücksichtigt unter Abzug des gebuchten Diskonts, sofern dieser Diskont zu einem Satz berechnet wird, der den Basisdiskontsatz am Datum der Entstehung der Forderung nicht überschreitet.</w:t>
      </w:r>
    </w:p>
    <w:p w14:paraId="712D8FF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F8D7E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Für Forderungen, die nach einer Frist von mindestens einem Jahr fällig sind und die mit einem Zins versehen sind, der zu einem Zinssatz unter dem Basisdiskontsatz am Datum der Entstehung der Forderung berechnet wird, darf der Abzug der gebuchten Differenz zwischen Diskontsatz und Zinssatz nicht über dem Betrag liegen, der erhalten wird, indem auf diese Forderungen ein Zinssatz angewandt wird, der der Differenz zwischen dem Basisdiskontsatz und dem festgelegten Zinssatz entspricht.</w:t>
      </w:r>
    </w:p>
    <w:p w14:paraId="147FF61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C1182B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Der Diskont oder die Differenz zwischen Diskont und Zinssatz ist proportional zur bereits abgelaufenen Frist der Forderungen steuerpflichtig.</w:t>
      </w:r>
    </w:p>
    <w:p w14:paraId="16D15C1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41B6802" w14:textId="77777777" w:rsidR="00FC459F" w:rsidRDefault="00FC459F">
      <w:r>
        <w:br w:type="page"/>
      </w:r>
    </w:p>
    <w:p w14:paraId="78C68025" w14:textId="14E22E6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Für die Anwendung des vorliegenden Artikels gilt als Basisdiskontsatz der Zinssatz der Einlagefazilität der Europäischen Zentralbank erhöht um 0,75 Punkte.]</w:t>
      </w:r>
    </w:p>
    <w:p w14:paraId="722F089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168B012" w14:textId="4D5FA4A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363 ersetzt durch </w:t>
      </w:r>
      <w:r w:rsidR="00D67EB8" w:rsidRPr="009118AB">
        <w:rPr>
          <w:i/>
          <w:iCs/>
        </w:rPr>
        <w:t>Art. </w:t>
      </w:r>
      <w:r w:rsidRPr="009118AB">
        <w:rPr>
          <w:i/>
          <w:iCs/>
        </w:rPr>
        <w:t xml:space="preserve">1 </w:t>
      </w:r>
      <w:r w:rsidR="00D67EB8" w:rsidRPr="009118AB">
        <w:rPr>
          <w:i/>
          <w:iCs/>
        </w:rPr>
        <w:t>Nr. </w:t>
      </w:r>
      <w:r w:rsidRPr="009118AB">
        <w:rPr>
          <w:i/>
          <w:iCs/>
        </w:rPr>
        <w:t>2 des K.E. vom 20. Juli 2000 (I) (B.S. vom 30. August 2000)</w:t>
      </w:r>
      <w:r w:rsidR="00D67EB8" w:rsidRPr="009118AB">
        <w:rPr>
          <w:i/>
          <w:iCs/>
        </w:rPr>
        <w:t> - </w:t>
      </w:r>
      <w:r w:rsidRPr="009118AB">
        <w:rPr>
          <w:i/>
          <w:iCs/>
        </w:rPr>
        <w:t>in Kraft ab dem 1. Januar 2002</w:t>
      </w:r>
      <w:r w:rsidR="00FD68E8" w:rsidRPr="009118AB">
        <w:rPr>
          <w:i/>
          <w:iCs/>
        </w:rPr>
        <w:t> -]</w:t>
      </w:r>
    </w:p>
    <w:p w14:paraId="78374CB8" w14:textId="77777777" w:rsidR="00362E71" w:rsidRPr="009118AB" w:rsidRDefault="00362E7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C873928" w14:textId="77777777" w:rsidR="00362E71" w:rsidRPr="009118AB" w:rsidRDefault="00362E7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A8BFB8" w14:textId="0F1EAF0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364</w:t>
      </w:r>
      <w:r w:rsidR="00D67EB8" w:rsidRPr="009118AB">
        <w:t> - </w:t>
      </w:r>
      <w:r w:rsidRPr="009118AB">
        <w:t xml:space="preserve">In </w:t>
      </w:r>
      <w:r w:rsidR="0032082C" w:rsidRPr="009118AB">
        <w:t>[</w:t>
      </w:r>
      <w:r w:rsidRPr="009118AB">
        <w:t>Gesellschaften</w:t>
      </w:r>
      <w:r w:rsidR="0032082C" w:rsidRPr="009118AB">
        <w:t>]</w:t>
      </w:r>
      <w:r w:rsidRPr="009118AB">
        <w:t xml:space="preserve"> und Vereinigungen ohne Rechtspersönlichkeit </w:t>
      </w:r>
      <w:r w:rsidR="0032082C" w:rsidRPr="009118AB">
        <w:t xml:space="preserve">[wie in Artikel 29 erwähnt] </w:t>
      </w:r>
      <w:r w:rsidRPr="009118AB">
        <w:t>gilt die Gesamtheit der Gewinne oder Profite als den Gesellschaftern oder Mitgliedern zuerkannt am Datum des Jahresabschlusses, auf den diese Gesamtheit sich bezieht, oder am 31. Dezember des Jahres in Ermangelung einer Buchhaltung; der Teil der nicht ausgeschütteten Gewinne oder Profite, der als an jedes Mitglied zuerkannt gilt, wird gemäß den Bestimmungen des Gründungsvertrags oder -abkommens oder in Ermangelung dessen nach Kopfquote festgelegt.</w:t>
      </w:r>
    </w:p>
    <w:p w14:paraId="1EBF1D04" w14:textId="77777777" w:rsidR="0032082C" w:rsidRPr="009118AB" w:rsidRDefault="0032082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C8E5AA" w14:textId="626AD4C9" w:rsidR="0032082C" w:rsidRPr="009118AB" w:rsidRDefault="0032082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364 abgeändert durch </w:t>
      </w:r>
      <w:r w:rsidR="00D67EB8" w:rsidRPr="009118AB">
        <w:rPr>
          <w:i/>
        </w:rPr>
        <w:t>Art. </w:t>
      </w:r>
      <w:r w:rsidRPr="009118AB">
        <w:rPr>
          <w:i/>
        </w:rPr>
        <w:t>73</w:t>
      </w:r>
      <w:r w:rsidRPr="009118AB">
        <w:rPr>
          <w:i/>
          <w:iCs/>
          <w:spacing w:val="-2"/>
        </w:rPr>
        <w:t xml:space="preserve"> des G. vom 17. März 2019 (III) (B.S. vom 10. Mai 2019)</w:t>
      </w:r>
      <w:r w:rsidR="00D67EB8" w:rsidRPr="009118AB">
        <w:rPr>
          <w:i/>
          <w:iCs/>
          <w:spacing w:val="-2"/>
        </w:rPr>
        <w:t> - </w:t>
      </w:r>
      <w:r w:rsidRPr="009118AB">
        <w:rPr>
          <w:i/>
          <w:iCs/>
          <w:spacing w:val="-2"/>
        </w:rPr>
        <w:t>in Kraft am 1. Mai 2019</w:t>
      </w:r>
      <w:r w:rsidR="00FD68E8" w:rsidRPr="009118AB">
        <w:rPr>
          <w:i/>
          <w:iCs/>
          <w:spacing w:val="-2"/>
        </w:rPr>
        <w:t> -]</w:t>
      </w:r>
    </w:p>
    <w:p w14:paraId="66CFF059" w14:textId="77777777" w:rsidR="00AE022E" w:rsidRPr="009118AB" w:rsidRDefault="00AE022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4485DC" w14:textId="77777777" w:rsidR="00AE022E" w:rsidRPr="009118AB" w:rsidRDefault="00AE022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9D0289B" w14:textId="53A3BD8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364</w:t>
      </w:r>
      <w:r w:rsidRPr="009118AB">
        <w:rPr>
          <w:b/>
          <w:bCs/>
          <w:i/>
          <w:iCs/>
        </w:rPr>
        <w:t>bis</w:t>
      </w:r>
      <w:r w:rsidR="00D67EB8" w:rsidRPr="009118AB">
        <w:t> - </w:t>
      </w:r>
      <w:r w:rsidRPr="009118AB">
        <w:t>Werden in Artikel 34 erwähnte Kapitalien, Rückkaufswerte und Sparguthaben einem Steuerpflichtigen gezahlt oder zuerkannt, der seinen Wohn- oder Vermögenssitz vorher [in einen außerhalb des Europäischen Wirtschaftsraums gelegenen Staat] verlegt hat, gilt die Zahlung oder Zuerkennung als am Tag vor dieser Verlegung erfolgt.</w:t>
      </w:r>
    </w:p>
    <w:p w14:paraId="31B29A6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DB1274" w14:textId="7916619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Für die Anwendung von Absatz 1 wird eine in Artikel 34 </w:t>
      </w:r>
      <w:r w:rsidR="00D67EB8" w:rsidRPr="009118AB">
        <w:t>§ </w:t>
      </w:r>
      <w:r w:rsidRPr="009118AB">
        <w:t xml:space="preserve">2 </w:t>
      </w:r>
      <w:r w:rsidR="00D67EB8" w:rsidRPr="009118AB">
        <w:t>Nr. </w:t>
      </w:r>
      <w:r w:rsidRPr="009118AB">
        <w:t>3 erwähnte Übertragung einer Zuerkennung gleichgesetzt.]</w:t>
      </w:r>
    </w:p>
    <w:p w14:paraId="0E5FB13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1EC3AF" w14:textId="2BE44B4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364bis eingefügt durch </w:t>
      </w:r>
      <w:r w:rsidR="00D67EB8" w:rsidRPr="009118AB">
        <w:rPr>
          <w:i/>
          <w:iCs/>
        </w:rPr>
        <w:t>Art. </w:t>
      </w:r>
      <w:r w:rsidRPr="009118AB">
        <w:rPr>
          <w:i/>
          <w:iCs/>
        </w:rPr>
        <w:t>93 des G. vom 28. Dezember 1992 (B.S. vom 31. Dezember 1992)</w:t>
      </w:r>
      <w:r w:rsidR="00D67EB8" w:rsidRPr="009118AB">
        <w:rPr>
          <w:i/>
          <w:iCs/>
        </w:rPr>
        <w:t> - </w:t>
      </w:r>
      <w:r w:rsidRPr="009118AB">
        <w:rPr>
          <w:i/>
          <w:iCs/>
        </w:rPr>
        <w:t>in Kraft ab dem 1. Januar 1993</w:t>
      </w:r>
      <w:r w:rsidR="003366D9" w:rsidRPr="009118AB">
        <w:rPr>
          <w:i/>
          <w:iCs/>
        </w:rPr>
        <w:t> -;</w:t>
      </w:r>
      <w:r w:rsidRPr="009118AB">
        <w:rPr>
          <w:i/>
          <w:iCs/>
        </w:rPr>
        <w:t xml:space="preserve"> </w:t>
      </w:r>
      <w:r w:rsidR="00D67EB8" w:rsidRPr="009118AB">
        <w:rPr>
          <w:i/>
          <w:iCs/>
        </w:rPr>
        <w:t>Abs. </w:t>
      </w:r>
      <w:r w:rsidRPr="009118AB">
        <w:rPr>
          <w:i/>
          <w:iCs/>
        </w:rPr>
        <w:t xml:space="preserve">1 abgeändert durch </w:t>
      </w:r>
      <w:r w:rsidR="00D67EB8" w:rsidRPr="009118AB">
        <w:rPr>
          <w:i/>
          <w:iCs/>
        </w:rPr>
        <w:t>Art. </w:t>
      </w:r>
      <w:r w:rsidRPr="009118AB">
        <w:rPr>
          <w:i/>
          <w:iCs/>
        </w:rPr>
        <w:t xml:space="preserve">354 des G. </w:t>
      </w:r>
      <w:r w:rsidR="00362E71" w:rsidRPr="009118AB">
        <w:rPr>
          <w:i/>
          <w:iCs/>
        </w:rPr>
        <w:t xml:space="preserve">(I) </w:t>
      </w:r>
      <w:r w:rsidRPr="009118AB">
        <w:rPr>
          <w:i/>
          <w:iCs/>
        </w:rPr>
        <w:t>vom 27. Dezember 2006 (</w:t>
      </w:r>
      <w:r w:rsidR="00362E71" w:rsidRPr="009118AB">
        <w:rPr>
          <w:i/>
          <w:iCs/>
        </w:rPr>
        <w:t>I</w:t>
      </w:r>
      <w:r w:rsidRPr="009118AB">
        <w:rPr>
          <w:i/>
          <w:iCs/>
        </w:rPr>
        <w:t>I) (B.S. vom 28. Dezember 2006)</w:t>
      </w:r>
      <w:r w:rsidR="00D67EB8" w:rsidRPr="009118AB">
        <w:rPr>
          <w:i/>
          <w:iCs/>
        </w:rPr>
        <w:t> - </w:t>
      </w:r>
      <w:r w:rsidRPr="009118AB">
        <w:rPr>
          <w:i/>
          <w:iCs/>
        </w:rPr>
        <w:t>anwendbar ab dem Steuerjahr 2007</w:t>
      </w:r>
      <w:r w:rsidR="00FD68E8" w:rsidRPr="009118AB">
        <w:rPr>
          <w:i/>
          <w:iCs/>
        </w:rPr>
        <w:t> -]</w:t>
      </w:r>
    </w:p>
    <w:p w14:paraId="1F45BA3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106695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03E467" w14:textId="26813DD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364</w:t>
      </w:r>
      <w:r w:rsidRPr="009118AB">
        <w:rPr>
          <w:b/>
          <w:bCs/>
          <w:i/>
          <w:iCs/>
        </w:rPr>
        <w:t>ter</w:t>
      </w:r>
      <w:r w:rsidR="00D67EB8" w:rsidRPr="009118AB">
        <w:t> - </w:t>
      </w:r>
      <w:r w:rsidRPr="009118AB">
        <w:t xml:space="preserve">[Werden Kapitalien oder Rückkaufswerte, die durch die in Artikel 52 </w:t>
      </w:r>
      <w:r w:rsidR="00D67EB8" w:rsidRPr="009118AB">
        <w:t>Nr. </w:t>
      </w:r>
      <w:r w:rsidRPr="009118AB">
        <w:t>7</w:t>
      </w:r>
      <w:r w:rsidRPr="009118AB">
        <w:rPr>
          <w:i/>
          <w:iCs/>
        </w:rPr>
        <w:t>bis</w:t>
      </w:r>
      <w:r w:rsidRPr="009118AB">
        <w:t xml:space="preserve"> </w:t>
      </w:r>
      <w:r w:rsidR="00032159" w:rsidRPr="009118AB">
        <w:t>[</w:t>
      </w:r>
      <w:r w:rsidRPr="009118AB">
        <w:t>oder in Artikel 145</w:t>
      </w:r>
      <w:r w:rsidRPr="009118AB">
        <w:rPr>
          <w:vertAlign w:val="superscript"/>
        </w:rPr>
        <w:t>1</w:t>
      </w:r>
      <w:r w:rsidRPr="009118AB">
        <w:t xml:space="preserve"> </w:t>
      </w:r>
      <w:r w:rsidR="00D67EB8" w:rsidRPr="009118AB">
        <w:t>Nr. </w:t>
      </w:r>
      <w:r w:rsidRPr="009118AB">
        <w:t>1</w:t>
      </w:r>
      <w:r w:rsidR="00032159" w:rsidRPr="009118AB">
        <w:t xml:space="preserve"> oder 1</w:t>
      </w:r>
      <w:r w:rsidR="00032159" w:rsidRPr="009118AB">
        <w:rPr>
          <w:i/>
        </w:rPr>
        <w:t>bis</w:t>
      </w:r>
      <w:r w:rsidR="00032159" w:rsidRPr="009118AB">
        <w:t>]</w:t>
      </w:r>
      <w:r w:rsidRPr="009118AB">
        <w:t xml:space="preserve"> erwähnten persönlichen Beiträge, durch Arbeitgeberbeiträge oder durch Unternehmensbeiträge gebildet werden, [von dem Versicherungsunternehmen, der Vorsorgeeinrichtung oder der Einrichtung der betrieblichen Altersversorgung, bei dem beziehungsweise der] sie gebildet wurden, zugunsten des Begünstigten oder seiner Rechtsnachfolger auf eine ähnliche Pensionsvereinbarung oder ein ähnliches Pensionsabkommen übertragen, gilt diese Verrichtung nicht als Zahlung oder Zuerkennung, selbst wenn diese Übertragung auf Antrag des Begünstigten vorgenommen wird, unbeschadet des Rechts, die Steuer bei der späteren Zahlung oder Zuerkennung durch die Einrichtungen oder Unternehmen an den Begünstigten zu erheben.</w:t>
      </w:r>
    </w:p>
    <w:p w14:paraId="765E2D4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FC630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Absatz 1 ist nicht anwendbar auf die Übertragung von Kapital oder Rückkaufswerten [auf außerhalb des Europäischen Wirtschaftsraums ansässige Versicherungsunternehmen, Vorsorgeeinrichtungen oder Einrichtungen der betrieblichen Altersversorgung].]]</w:t>
      </w:r>
    </w:p>
    <w:p w14:paraId="0E70A43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59B30C" w14:textId="7EEAF2B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
          <w:iCs/>
        </w:rPr>
        <w:t>[</w:t>
      </w:r>
      <w:r w:rsidR="00D67EB8" w:rsidRPr="009118AB">
        <w:rPr>
          <w:i/>
          <w:iCs/>
        </w:rPr>
        <w:t>Art. </w:t>
      </w:r>
      <w:r w:rsidRPr="009118AB">
        <w:rPr>
          <w:i/>
          <w:iCs/>
        </w:rPr>
        <w:t xml:space="preserve">364ter eingefügt durch </w:t>
      </w:r>
      <w:r w:rsidR="00D67EB8" w:rsidRPr="009118AB">
        <w:rPr>
          <w:i/>
          <w:iCs/>
        </w:rPr>
        <w:t>Art. </w:t>
      </w:r>
      <w:r w:rsidRPr="009118AB">
        <w:rPr>
          <w:i/>
          <w:iCs/>
        </w:rPr>
        <w:t>94 des G. vom 28. Dezember 1992 (B.S. vom 31. Dezember 1992)</w:t>
      </w:r>
      <w:r w:rsidR="00D67EB8" w:rsidRPr="009118AB">
        <w:rPr>
          <w:i/>
          <w:iCs/>
        </w:rPr>
        <w:t> - </w:t>
      </w:r>
      <w:r w:rsidRPr="009118AB">
        <w:rPr>
          <w:i/>
          <w:iCs/>
        </w:rPr>
        <w:t>in Kraft ab dem 1. Januar 1993</w:t>
      </w:r>
      <w:r w:rsidR="00D67EB8" w:rsidRPr="009118AB">
        <w:rPr>
          <w:i/>
          <w:iCs/>
        </w:rPr>
        <w:t> - </w:t>
      </w:r>
      <w:r w:rsidRPr="009118AB">
        <w:rPr>
          <w:i/>
          <w:iCs/>
        </w:rPr>
        <w:t xml:space="preserve">und ersetzt durch </w:t>
      </w:r>
      <w:r w:rsidR="00D67EB8" w:rsidRPr="009118AB">
        <w:rPr>
          <w:i/>
          <w:iCs/>
        </w:rPr>
        <w:t>Art. </w:t>
      </w:r>
      <w:r w:rsidRPr="009118AB">
        <w:rPr>
          <w:i/>
          <w:iCs/>
        </w:rPr>
        <w:t>92 des G. vom 28. April 2003 (B.S. vom 15. Mai 2003)</w:t>
      </w:r>
      <w:r w:rsidR="00D67EB8" w:rsidRPr="009118AB">
        <w:rPr>
          <w:i/>
          <w:iCs/>
        </w:rPr>
        <w:t> - </w:t>
      </w:r>
      <w:r w:rsidRPr="009118AB">
        <w:rPr>
          <w:i/>
          <w:iCs/>
        </w:rPr>
        <w:t>anwendbar ab dem 1. Januar 2004</w:t>
      </w:r>
      <w:r w:rsidR="003366D9" w:rsidRPr="009118AB">
        <w:rPr>
          <w:i/>
          <w:iCs/>
        </w:rPr>
        <w:t> -;</w:t>
      </w:r>
      <w:r w:rsidRPr="009118AB">
        <w:rPr>
          <w:i/>
          <w:iCs/>
        </w:rPr>
        <w:t xml:space="preserve"> </w:t>
      </w:r>
      <w:r w:rsidR="00D67EB8" w:rsidRPr="009118AB">
        <w:rPr>
          <w:i/>
          <w:iCs/>
        </w:rPr>
        <w:t>Abs. </w:t>
      </w:r>
      <w:r w:rsidRPr="009118AB">
        <w:rPr>
          <w:i/>
          <w:iCs/>
        </w:rPr>
        <w:t>1</w:t>
      </w:r>
      <w:r w:rsidRPr="009118AB">
        <w:t xml:space="preserve"> </w:t>
      </w:r>
      <w:r w:rsidRPr="009118AB">
        <w:rPr>
          <w:i/>
          <w:iCs/>
        </w:rPr>
        <w:t xml:space="preserve">abgeändert durch </w:t>
      </w:r>
      <w:r w:rsidR="00D67EB8" w:rsidRPr="009118AB">
        <w:rPr>
          <w:i/>
          <w:iCs/>
        </w:rPr>
        <w:t>Art. </w:t>
      </w:r>
      <w:r w:rsidRPr="009118AB">
        <w:rPr>
          <w:i/>
          <w:iCs/>
        </w:rPr>
        <w:t xml:space="preserve">355 </w:t>
      </w:r>
      <w:r w:rsidR="00D67EB8" w:rsidRPr="009118AB">
        <w:rPr>
          <w:i/>
          <w:iCs/>
        </w:rPr>
        <w:t>Nr. </w:t>
      </w:r>
      <w:r w:rsidRPr="009118AB">
        <w:rPr>
          <w:i/>
          <w:iCs/>
        </w:rPr>
        <w:t xml:space="preserve">1 des G. </w:t>
      </w:r>
      <w:r w:rsidR="00362E71" w:rsidRPr="009118AB">
        <w:rPr>
          <w:i/>
          <w:iCs/>
        </w:rPr>
        <w:t xml:space="preserve">(I) </w:t>
      </w:r>
      <w:r w:rsidRPr="009118AB">
        <w:rPr>
          <w:i/>
          <w:iCs/>
        </w:rPr>
        <w:t>vom 27. Dezember 2006 (</w:t>
      </w:r>
      <w:r w:rsidR="00362E71" w:rsidRPr="009118AB">
        <w:rPr>
          <w:i/>
          <w:iCs/>
        </w:rPr>
        <w:t>I</w:t>
      </w:r>
      <w:r w:rsidRPr="009118AB">
        <w:rPr>
          <w:i/>
          <w:iCs/>
        </w:rPr>
        <w:t>I) (B.S. vom 28. Dezember 2006)</w:t>
      </w:r>
      <w:r w:rsidR="00D67EB8" w:rsidRPr="009118AB">
        <w:rPr>
          <w:i/>
          <w:iCs/>
        </w:rPr>
        <w:t> - </w:t>
      </w:r>
      <w:r w:rsidRPr="009118AB">
        <w:rPr>
          <w:i/>
          <w:iCs/>
        </w:rPr>
        <w:t>anwendbar ab dem Steuerjahr 2007</w:t>
      </w:r>
      <w:r w:rsidR="00D67EB8" w:rsidRPr="009118AB">
        <w:rPr>
          <w:i/>
          <w:iCs/>
        </w:rPr>
        <w:t> - </w:t>
      </w:r>
      <w:r w:rsidR="00032159" w:rsidRPr="009118AB">
        <w:rPr>
          <w:i/>
          <w:iCs/>
        </w:rPr>
        <w:t xml:space="preserve">und </w:t>
      </w:r>
      <w:r w:rsidR="00D67EB8" w:rsidRPr="009118AB">
        <w:rPr>
          <w:i/>
          <w:iCs/>
        </w:rPr>
        <w:t>Art. </w:t>
      </w:r>
      <w:r w:rsidR="00032159" w:rsidRPr="009118AB">
        <w:rPr>
          <w:i/>
          <w:iCs/>
        </w:rPr>
        <w:t>65 des G. vom 18. Februar 2018 (B.S. vom 30. März 2018)</w:t>
      </w:r>
      <w:r w:rsidR="00D67EB8" w:rsidRPr="009118AB">
        <w:rPr>
          <w:i/>
          <w:iCs/>
        </w:rPr>
        <w:t> - </w:t>
      </w:r>
      <w:r w:rsidR="00032159" w:rsidRPr="009118AB">
        <w:rPr>
          <w:i/>
          <w:iCs/>
        </w:rPr>
        <w:t>anwendbar ab dem Steuerjahr 2019</w:t>
      </w:r>
      <w:r w:rsidR="003366D9" w:rsidRPr="009118AB">
        <w:rPr>
          <w:i/>
          <w:iCs/>
        </w:rPr>
        <w:t> -;</w:t>
      </w:r>
      <w:r w:rsidRPr="009118AB">
        <w:rPr>
          <w:i/>
          <w:iCs/>
        </w:rPr>
        <w:t xml:space="preserve"> </w:t>
      </w:r>
      <w:r w:rsidR="00D67EB8" w:rsidRPr="009118AB">
        <w:rPr>
          <w:i/>
          <w:iCs/>
        </w:rPr>
        <w:t>Abs. </w:t>
      </w:r>
      <w:r w:rsidRPr="009118AB">
        <w:rPr>
          <w:i/>
          <w:iCs/>
        </w:rPr>
        <w:t>2</w:t>
      </w:r>
      <w:r w:rsidRPr="009118AB">
        <w:t xml:space="preserve"> </w:t>
      </w:r>
      <w:r w:rsidRPr="009118AB">
        <w:rPr>
          <w:i/>
          <w:iCs/>
        </w:rPr>
        <w:t xml:space="preserve">abgeändert durch </w:t>
      </w:r>
      <w:r w:rsidR="00D67EB8" w:rsidRPr="009118AB">
        <w:rPr>
          <w:i/>
          <w:iCs/>
        </w:rPr>
        <w:t>Art. </w:t>
      </w:r>
      <w:r w:rsidRPr="009118AB">
        <w:rPr>
          <w:i/>
          <w:iCs/>
        </w:rPr>
        <w:t xml:space="preserve">355 </w:t>
      </w:r>
      <w:r w:rsidR="00D67EB8" w:rsidRPr="009118AB">
        <w:rPr>
          <w:i/>
          <w:iCs/>
        </w:rPr>
        <w:t>Nr. </w:t>
      </w:r>
      <w:r w:rsidRPr="009118AB">
        <w:rPr>
          <w:i/>
          <w:iCs/>
        </w:rPr>
        <w:t xml:space="preserve">2 des G. </w:t>
      </w:r>
      <w:r w:rsidR="00362E71" w:rsidRPr="009118AB">
        <w:rPr>
          <w:i/>
          <w:iCs/>
        </w:rPr>
        <w:t xml:space="preserve">(I) </w:t>
      </w:r>
      <w:r w:rsidRPr="009118AB">
        <w:rPr>
          <w:i/>
          <w:iCs/>
        </w:rPr>
        <w:t>vom 27. Dezember 2006 (</w:t>
      </w:r>
      <w:r w:rsidR="00362E71" w:rsidRPr="009118AB">
        <w:rPr>
          <w:i/>
          <w:iCs/>
        </w:rPr>
        <w:t>I</w:t>
      </w:r>
      <w:r w:rsidRPr="009118AB">
        <w:rPr>
          <w:i/>
          <w:iCs/>
        </w:rPr>
        <w:t>I) (B.S. vom 28. Dezember 2006)</w:t>
      </w:r>
      <w:r w:rsidR="00D67EB8" w:rsidRPr="009118AB">
        <w:rPr>
          <w:i/>
          <w:iCs/>
        </w:rPr>
        <w:t> - </w:t>
      </w:r>
      <w:r w:rsidRPr="009118AB">
        <w:rPr>
          <w:i/>
          <w:iCs/>
        </w:rPr>
        <w:t>anwendbar ab dem Steuerjahr 2007</w:t>
      </w:r>
      <w:r w:rsidR="00D67EB8" w:rsidRPr="009118AB">
        <w:rPr>
          <w:i/>
          <w:iCs/>
        </w:rPr>
        <w:t> - </w:t>
      </w:r>
      <w:r w:rsidRPr="009118AB">
        <w:rPr>
          <w:i/>
          <w:iCs/>
        </w:rPr>
        <w:t>]</w:t>
      </w:r>
    </w:p>
    <w:p w14:paraId="163682A4" w14:textId="77777777" w:rsidR="002858D2" w:rsidRPr="009118AB" w:rsidRDefault="002858D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43E98A8" w14:textId="77777777" w:rsidR="002858D2" w:rsidRPr="009118AB" w:rsidRDefault="002858D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0733F05" w14:textId="58E626F9" w:rsidR="002858D2" w:rsidRPr="009118AB" w:rsidRDefault="002858D2" w:rsidP="002858D2">
      <w:pPr>
        <w:ind w:firstLine="708"/>
        <w:jc w:val="both"/>
      </w:pPr>
      <w:r w:rsidRPr="009118AB">
        <w:rPr>
          <w:iCs/>
        </w:rPr>
        <w:t>[</w:t>
      </w:r>
      <w:r w:rsidR="00D67EB8" w:rsidRPr="009118AB">
        <w:rPr>
          <w:b/>
        </w:rPr>
        <w:t>Art. </w:t>
      </w:r>
      <w:r w:rsidRPr="009118AB">
        <w:rPr>
          <w:b/>
        </w:rPr>
        <w:t>364</w:t>
      </w:r>
      <w:r w:rsidRPr="009118AB">
        <w:rPr>
          <w:b/>
          <w:i/>
        </w:rPr>
        <w:t>quater</w:t>
      </w:r>
      <w:r w:rsidR="00D67EB8" w:rsidRPr="009118AB">
        <w:t> - § </w:t>
      </w:r>
      <w:r w:rsidRPr="009118AB">
        <w:t>1</w:t>
      </w:r>
      <w:r w:rsidR="00D67EB8" w:rsidRPr="009118AB">
        <w:t> - </w:t>
      </w:r>
      <w:r w:rsidRPr="009118AB">
        <w:t xml:space="preserve">Werden in Artikel 19 </w:t>
      </w:r>
      <w:r w:rsidR="00D67EB8" w:rsidRPr="009118AB">
        <w:t>§ </w:t>
      </w:r>
      <w:r w:rsidRPr="009118AB">
        <w:t>1 Absatz 2 erwähnte Rückkaufswerte direkt auf einen Vertrag übertragen, der denselben steuerlichen Bedingungen wie der ursprüngliche Vertrag entspricht, gilt diese Verrichtung nicht als Zahlung oder Zuerkennung unbeschadet des Rechts, die Steuer bei der späteren Zahlung oder Zuerkennung an den Begünstigten zu erheben.</w:t>
      </w:r>
    </w:p>
    <w:p w14:paraId="5045826D" w14:textId="77777777" w:rsidR="002858D2" w:rsidRPr="009118AB" w:rsidRDefault="002858D2" w:rsidP="002858D2">
      <w:pPr>
        <w:jc w:val="both"/>
      </w:pPr>
    </w:p>
    <w:p w14:paraId="15A960BF" w14:textId="00E77AEC" w:rsidR="002858D2" w:rsidRPr="009118AB" w:rsidRDefault="00D67EB8" w:rsidP="002858D2">
      <w:pPr>
        <w:ind w:firstLine="708"/>
        <w:jc w:val="both"/>
      </w:pPr>
      <w:r w:rsidRPr="009118AB">
        <w:t>§ </w:t>
      </w:r>
      <w:r w:rsidR="002858D2" w:rsidRPr="009118AB">
        <w:t>2</w:t>
      </w:r>
      <w:r w:rsidRPr="009118AB">
        <w:t> - </w:t>
      </w:r>
      <w:r w:rsidR="002858D2" w:rsidRPr="009118AB">
        <w:t xml:space="preserve">Werden in Artikel 34 </w:t>
      </w:r>
      <w:r w:rsidRPr="009118AB">
        <w:t>§ </w:t>
      </w:r>
      <w:r w:rsidR="002858D2" w:rsidRPr="009118AB">
        <w:t>5 erwähnte Rückkaufswerte direkt auf einen Vertrag übertragen, der denselben steuerlichen Bedingungen wie der ursprüngliche Vertrag entspricht, gilt diese Verrichtung nicht als Zahlung oder Zuerkennung unbeschadet des Rechts, die Steuer bei der späteren Zahlung oder Zuerkennung an den Begünstigten zu erheben.</w:t>
      </w:r>
    </w:p>
    <w:p w14:paraId="1DF14E5D" w14:textId="77777777" w:rsidR="002858D2" w:rsidRPr="009118AB" w:rsidRDefault="00A34D7F" w:rsidP="00A34D7F">
      <w:pPr>
        <w:tabs>
          <w:tab w:val="left" w:pos="1609"/>
        </w:tabs>
        <w:jc w:val="both"/>
      </w:pPr>
      <w:r w:rsidRPr="009118AB">
        <w:tab/>
      </w:r>
    </w:p>
    <w:p w14:paraId="4D580A7E" w14:textId="3D5AF1E1" w:rsidR="002858D2" w:rsidRPr="009118AB" w:rsidRDefault="00D67EB8" w:rsidP="002858D2">
      <w:pPr>
        <w:ind w:firstLine="708"/>
        <w:jc w:val="both"/>
      </w:pPr>
      <w:r w:rsidRPr="009118AB">
        <w:t>§ </w:t>
      </w:r>
      <w:r w:rsidR="002858D2" w:rsidRPr="009118AB">
        <w:t>3</w:t>
      </w:r>
      <w:r w:rsidRPr="009118AB">
        <w:t> - </w:t>
      </w:r>
      <w:r w:rsidR="002858D2" w:rsidRPr="009118AB">
        <w:t>Wenn aufgrund der vorhergehenden Paragraphen die Übertragung der dort erwähnten Rückkaufswerte nicht als Zahlung oder Zuerkennung gilt:</w:t>
      </w:r>
    </w:p>
    <w:p w14:paraId="45977344" w14:textId="77777777" w:rsidR="002858D2" w:rsidRPr="009118AB" w:rsidRDefault="002858D2" w:rsidP="002858D2">
      <w:pPr>
        <w:jc w:val="both"/>
      </w:pPr>
    </w:p>
    <w:p w14:paraId="5E2DDC55" w14:textId="77777777" w:rsidR="002858D2" w:rsidRPr="009118AB" w:rsidRDefault="002858D2" w:rsidP="002858D2">
      <w:pPr>
        <w:ind w:firstLine="708"/>
        <w:jc w:val="both"/>
      </w:pPr>
      <w:r w:rsidRPr="009118AB">
        <w:t>1. werden die verstrichenen Zeiträume des ursprünglichen Vertrags einschließlich des eventuellen Zeitraums, in dem der Vertrag unabhängig vom Willen des Versicherungs</w:t>
      </w:r>
      <w:r w:rsidRPr="009118AB">
        <w:softHyphen/>
        <w:t>nehmers ausgesetzt war, und die des neuen Vertrags für die Berechnung der möglicherweise aufgrund des vorliegenden Gesetzbuches einzuhaltenden Fristen in Bezug auf Laufzeit oder Auszahlungsfrist zusammengerechnet,</w:t>
      </w:r>
    </w:p>
    <w:p w14:paraId="206A808C" w14:textId="77777777" w:rsidR="002858D2" w:rsidRPr="009118AB" w:rsidRDefault="002858D2" w:rsidP="002858D2">
      <w:pPr>
        <w:jc w:val="both"/>
      </w:pPr>
    </w:p>
    <w:p w14:paraId="30D24244" w14:textId="77777777" w:rsidR="002858D2" w:rsidRPr="009118AB" w:rsidRDefault="002858D2" w:rsidP="002858D2">
      <w:pPr>
        <w:ind w:firstLine="708"/>
        <w:jc w:val="both"/>
      </w:pPr>
      <w:r w:rsidRPr="009118AB">
        <w:t>2. ist das Alter, mit dem der ursprüngliche Vertrag abgeschlossen wurde, gegebenen</w:t>
      </w:r>
      <w:r w:rsidRPr="009118AB">
        <w:softHyphen/>
        <w:t>falls ausschlaggebend bei der Überprüfung, ob eine aufgrund des vorliegenden Gesetzbuches diesbezüglich festgelegte Bedingung eingehalten wird,</w:t>
      </w:r>
    </w:p>
    <w:p w14:paraId="0D450884" w14:textId="77777777" w:rsidR="002858D2" w:rsidRPr="009118AB" w:rsidRDefault="002858D2" w:rsidP="002858D2">
      <w:pPr>
        <w:jc w:val="both"/>
      </w:pPr>
    </w:p>
    <w:p w14:paraId="2C647351" w14:textId="116A32B3" w:rsidR="002858D2" w:rsidRPr="009118AB" w:rsidRDefault="002858D2" w:rsidP="002858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3. werden die in einem Besteuerungszeitraum in Ausführung des ursprünglichen Vertrags und des neuen Vertrags einer Sparversicherung getätigten Zahlungen für die Überprüfung, ob der in vorliegendem Gesetzbuch festgelegte Höchstbetrag nicht überschritten wird, zusammengerechnet und gelten diese Zahlungen </w:t>
      </w:r>
      <w:r w:rsidR="00A34D7F" w:rsidRPr="009118AB">
        <w:t>[</w:t>
      </w:r>
      <w:r w:rsidR="00A34D7F" w:rsidRPr="009118AB">
        <w:rPr>
          <w:rFonts w:eastAsia="Calibri"/>
        </w:rPr>
        <w:t>in Abweichung von Artikel 145</w:t>
      </w:r>
      <w:r w:rsidR="00A34D7F" w:rsidRPr="009118AB">
        <w:rPr>
          <w:rFonts w:eastAsia="Calibri"/>
          <w:vertAlign w:val="superscript"/>
        </w:rPr>
        <w:t>8</w:t>
      </w:r>
      <w:r w:rsidR="00A34D7F" w:rsidRPr="009118AB">
        <w:rPr>
          <w:rFonts w:eastAsia="Calibri"/>
        </w:rPr>
        <w:t xml:space="preserve"> </w:t>
      </w:r>
      <w:r w:rsidR="00D67EB8" w:rsidRPr="009118AB">
        <w:rPr>
          <w:rFonts w:eastAsia="Calibri"/>
        </w:rPr>
        <w:t>§ </w:t>
      </w:r>
      <w:r w:rsidR="00A34D7F" w:rsidRPr="009118AB">
        <w:rPr>
          <w:rFonts w:eastAsia="Calibri"/>
        </w:rPr>
        <w:t>1 Absatz 4</w:t>
      </w:r>
      <w:r w:rsidR="00A34D7F" w:rsidRPr="009118AB">
        <w:t>]</w:t>
      </w:r>
      <w:r w:rsidRPr="009118AB">
        <w:t xml:space="preserve"> als Zahlungen für eine einzige Sparversicherung.]</w:t>
      </w:r>
    </w:p>
    <w:p w14:paraId="24A8A938" w14:textId="77777777" w:rsidR="002858D2" w:rsidRPr="009118AB" w:rsidRDefault="002858D2" w:rsidP="002858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570850F" w14:textId="3A201C1E" w:rsidR="002858D2" w:rsidRPr="009118AB" w:rsidRDefault="002858D2" w:rsidP="002858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364quater eingefügt durch </w:t>
      </w:r>
      <w:r w:rsidR="00D67EB8" w:rsidRPr="009118AB">
        <w:rPr>
          <w:i/>
        </w:rPr>
        <w:t>Art. </w:t>
      </w:r>
      <w:r w:rsidRPr="009118AB">
        <w:rPr>
          <w:i/>
        </w:rPr>
        <w:t>9</w:t>
      </w:r>
      <w:r w:rsidRPr="009118AB">
        <w:rPr>
          <w:i/>
          <w:iCs/>
        </w:rPr>
        <w:t xml:space="preserve"> des G. vom 28. Juli 20</w:t>
      </w:r>
      <w:r w:rsidR="00B64F05" w:rsidRPr="009118AB">
        <w:rPr>
          <w:i/>
          <w:iCs/>
        </w:rPr>
        <w:t>11 (B.S. vom 11. August 2011)</w:t>
      </w:r>
      <w:r w:rsidR="00D67EB8" w:rsidRPr="009118AB">
        <w:rPr>
          <w:i/>
          <w:iCs/>
        </w:rPr>
        <w:t> - </w:t>
      </w:r>
      <w:r w:rsidRPr="009118AB">
        <w:rPr>
          <w:i/>
          <w:iCs/>
        </w:rPr>
        <w:t>wirksam mit 1. Januar 2011</w:t>
      </w:r>
      <w:r w:rsidR="003366D9" w:rsidRPr="009118AB">
        <w:rPr>
          <w:i/>
          <w:iCs/>
        </w:rPr>
        <w:t> -;</w:t>
      </w:r>
      <w:r w:rsidR="00A34D7F" w:rsidRPr="009118AB">
        <w:rPr>
          <w:i/>
          <w:iCs/>
        </w:rPr>
        <w:t xml:space="preserve"> </w:t>
      </w:r>
      <w:r w:rsidR="00D67EB8" w:rsidRPr="009118AB">
        <w:rPr>
          <w:i/>
          <w:iCs/>
        </w:rPr>
        <w:t>§ </w:t>
      </w:r>
      <w:r w:rsidR="00A34D7F" w:rsidRPr="009118AB">
        <w:rPr>
          <w:i/>
          <w:iCs/>
        </w:rPr>
        <w:t xml:space="preserve">3 einziger Absatz </w:t>
      </w:r>
      <w:r w:rsidR="00D67EB8" w:rsidRPr="009118AB">
        <w:rPr>
          <w:i/>
          <w:iCs/>
        </w:rPr>
        <w:t>Nr. </w:t>
      </w:r>
      <w:r w:rsidR="00A34D7F" w:rsidRPr="009118AB">
        <w:rPr>
          <w:i/>
          <w:iCs/>
        </w:rPr>
        <w:t xml:space="preserve">3 abgeändert durch </w:t>
      </w:r>
      <w:r w:rsidR="00D67EB8" w:rsidRPr="009118AB">
        <w:rPr>
          <w:i/>
          <w:iCs/>
        </w:rPr>
        <w:t>Art. </w:t>
      </w:r>
      <w:r w:rsidR="00A34D7F" w:rsidRPr="009118AB">
        <w:rPr>
          <w:i/>
          <w:iCs/>
        </w:rPr>
        <w:t>63 des G. vom 26. März 2018 (B.S. vom 30. März 2018)</w:t>
      </w:r>
      <w:r w:rsidR="00D67EB8" w:rsidRPr="009118AB">
        <w:rPr>
          <w:i/>
          <w:iCs/>
        </w:rPr>
        <w:t> - </w:t>
      </w:r>
      <w:r w:rsidR="00A34D7F" w:rsidRPr="009118AB">
        <w:rPr>
          <w:i/>
          <w:iCs/>
        </w:rPr>
        <w:t>wirksam ab dem Steuerjahr 2019)</w:t>
      </w:r>
      <w:r w:rsidR="00FD68E8" w:rsidRPr="009118AB">
        <w:rPr>
          <w:i/>
          <w:iCs/>
        </w:rPr>
        <w:t> -]</w:t>
      </w:r>
    </w:p>
    <w:p w14:paraId="78AD87BB" w14:textId="5DF19246" w:rsidR="00EE3CA2" w:rsidRPr="009118AB" w:rsidRDefault="00477B8F" w:rsidP="007517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rPr>
          <w:iCs/>
        </w:rPr>
      </w:pPr>
      <w:r w:rsidRPr="009118AB">
        <w:br w:type="page"/>
        <w:t>[</w:t>
      </w:r>
      <w:r w:rsidRPr="009118AB">
        <w:rPr>
          <w:i/>
          <w:iCs/>
        </w:rPr>
        <w:t>Abschnitt </w:t>
      </w:r>
      <w:r w:rsidR="00D74862" w:rsidRPr="009118AB">
        <w:rPr>
          <w:i/>
          <w:iCs/>
        </w:rPr>
        <w:t>3</w:t>
      </w:r>
      <w:r w:rsidR="00D67EB8" w:rsidRPr="009118AB">
        <w:t> - </w:t>
      </w:r>
      <w:r w:rsidR="00EE3CA2" w:rsidRPr="009118AB">
        <w:rPr>
          <w:iCs/>
        </w:rPr>
        <w:t>[Veranlagung bei der übernehmenden</w:t>
      </w:r>
      <w:r w:rsidR="00061D40" w:rsidRPr="009118AB">
        <w:rPr>
          <w:iCs/>
        </w:rPr>
        <w:t xml:space="preserve"> oder begünstigten Gesellschaft</w:t>
      </w:r>
    </w:p>
    <w:p w14:paraId="343D17BB" w14:textId="77777777" w:rsidR="00EE3CA2" w:rsidRPr="009118AB"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6C43215" w14:textId="41118531" w:rsidR="00EE3CA2" w:rsidRPr="009118AB"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pacing w:val="-3"/>
        </w:rPr>
      </w:pPr>
      <w:r w:rsidRPr="009118AB">
        <w:rPr>
          <w:i/>
          <w:iCs/>
          <w:spacing w:val="-3"/>
        </w:rPr>
        <w:t>[Abschnitt </w:t>
      </w:r>
      <w:r w:rsidR="009E593F" w:rsidRPr="009118AB">
        <w:rPr>
          <w:i/>
          <w:iCs/>
          <w:spacing w:val="-3"/>
        </w:rPr>
        <w:t>3</w:t>
      </w:r>
      <w:r w:rsidRPr="009118AB">
        <w:rPr>
          <w:i/>
          <w:iCs/>
          <w:spacing w:val="-3"/>
        </w:rPr>
        <w:t xml:space="preserve"> mit </w:t>
      </w:r>
      <w:r w:rsidR="00D67EB8" w:rsidRPr="009118AB">
        <w:rPr>
          <w:i/>
          <w:iCs/>
          <w:spacing w:val="-3"/>
        </w:rPr>
        <w:t>Art. </w:t>
      </w:r>
      <w:r w:rsidRPr="009118AB">
        <w:rPr>
          <w:i/>
          <w:iCs/>
          <w:spacing w:val="-3"/>
        </w:rPr>
        <w:t xml:space="preserve">365 aufgehoben durch </w:t>
      </w:r>
      <w:r w:rsidR="00D67EB8" w:rsidRPr="009118AB">
        <w:rPr>
          <w:i/>
          <w:iCs/>
          <w:spacing w:val="-3"/>
        </w:rPr>
        <w:t>Art. </w:t>
      </w:r>
      <w:r w:rsidRPr="009118AB">
        <w:rPr>
          <w:i/>
          <w:iCs/>
          <w:spacing w:val="-3"/>
        </w:rPr>
        <w:t>22 des G. vom 15. März 1999 (B.S. vom 27. März 1999)</w:t>
      </w:r>
      <w:r w:rsidR="00D67EB8" w:rsidRPr="009118AB">
        <w:rPr>
          <w:i/>
          <w:iCs/>
          <w:spacing w:val="-3"/>
        </w:rPr>
        <w:t> - </w:t>
      </w:r>
      <w:r w:rsidRPr="009118AB">
        <w:rPr>
          <w:i/>
          <w:iCs/>
          <w:spacing w:val="-3"/>
        </w:rPr>
        <w:t>anwendbar ab dem Steuerjahr 1999</w:t>
      </w:r>
      <w:r w:rsidR="00D67EB8" w:rsidRPr="009118AB">
        <w:rPr>
          <w:i/>
          <w:iCs/>
          <w:spacing w:val="-3"/>
        </w:rPr>
        <w:t> - </w:t>
      </w:r>
      <w:r w:rsidRPr="009118AB">
        <w:rPr>
          <w:i/>
          <w:iCs/>
          <w:spacing w:val="-3"/>
        </w:rPr>
        <w:t xml:space="preserve">und wieder aufgenommen durch </w:t>
      </w:r>
      <w:r w:rsidR="00D67EB8" w:rsidRPr="009118AB">
        <w:rPr>
          <w:i/>
          <w:iCs/>
          <w:spacing w:val="-3"/>
        </w:rPr>
        <w:t>Art. </w:t>
      </w:r>
      <w:r w:rsidRPr="009118AB">
        <w:rPr>
          <w:i/>
          <w:iCs/>
          <w:spacing w:val="-3"/>
        </w:rPr>
        <w:t>33 des G. vom 11. Dezember 2008 (B.S. vom 12. Januar 2009)</w:t>
      </w:r>
      <w:r w:rsidR="00D67EB8" w:rsidRPr="009118AB">
        <w:rPr>
          <w:i/>
          <w:iCs/>
          <w:spacing w:val="-3"/>
        </w:rPr>
        <w:t> - </w:t>
      </w:r>
      <w:r w:rsidRPr="009118AB">
        <w:rPr>
          <w:i/>
          <w:iCs/>
          <w:spacing w:val="-3"/>
        </w:rPr>
        <w:t>anwendbar auf Vorgänge oder Verlegungen, die ab dem 12. Januar 2009 statt</w:t>
      </w:r>
      <w:r w:rsidRPr="009118AB">
        <w:rPr>
          <w:i/>
          <w:iCs/>
          <w:spacing w:val="-3"/>
        </w:rPr>
        <w:softHyphen/>
        <w:t>finden</w:t>
      </w:r>
      <w:r w:rsidR="00FD68E8" w:rsidRPr="009118AB">
        <w:rPr>
          <w:i/>
          <w:iCs/>
          <w:spacing w:val="-3"/>
        </w:rPr>
        <w:t> -]</w:t>
      </w:r>
    </w:p>
    <w:p w14:paraId="4FC21E9A" w14:textId="77777777" w:rsidR="00EE3CA2" w:rsidRPr="009118AB"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51CE504" w14:textId="77777777" w:rsidR="00EE3CA2" w:rsidRPr="009118AB"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08AB9F3" w14:textId="4E629E01" w:rsidR="00EE3CA2" w:rsidRPr="009118AB"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bCs/>
          <w:iCs/>
        </w:rPr>
        <w:tab/>
      </w:r>
      <w:r w:rsidR="00D67EB8" w:rsidRPr="009118AB">
        <w:rPr>
          <w:b/>
          <w:bCs/>
          <w:iCs/>
        </w:rPr>
        <w:t>Art. </w:t>
      </w:r>
      <w:r w:rsidR="00EE3CA2" w:rsidRPr="009118AB">
        <w:rPr>
          <w:b/>
          <w:bCs/>
          <w:iCs/>
        </w:rPr>
        <w:t>365</w:t>
      </w:r>
      <w:r w:rsidR="00D67EB8" w:rsidRPr="009118AB">
        <w:rPr>
          <w:iCs/>
        </w:rPr>
        <w:t> - </w:t>
      </w:r>
      <w:r w:rsidR="00EE3CA2" w:rsidRPr="009118AB">
        <w:rPr>
          <w:iCs/>
        </w:rPr>
        <w:t xml:space="preserve">Wenn eine Gesellschaft im Rahmen einer Fusion, eines mit einer Fusion gleichgesetzten Vorgangs oder </w:t>
      </w:r>
      <w:r w:rsidR="00217DE4" w:rsidRPr="009118AB">
        <w:rPr>
          <w:iCs/>
        </w:rPr>
        <w:t>[</w:t>
      </w:r>
      <w:r w:rsidR="00217DE4" w:rsidRPr="009118AB">
        <w:t>einer Aufspaltung übertragen oder aufgespalten wird oder Gegenstand einer anderen Auflösung ohne Gesamtverteilung des Gesellschaftsvermögens war</w:t>
      </w:r>
      <w:r w:rsidR="00217DE4" w:rsidRPr="009118AB">
        <w:rPr>
          <w:iCs/>
        </w:rPr>
        <w:t>]</w:t>
      </w:r>
      <w:r w:rsidR="00EE3CA2" w:rsidRPr="009118AB">
        <w:rPr>
          <w:iCs/>
        </w:rPr>
        <w:t xml:space="preserve">, </w:t>
      </w:r>
      <w:r w:rsidR="00217DE4" w:rsidRPr="009118AB">
        <w:rPr>
          <w:iCs/>
        </w:rPr>
        <w:t>[kann</w:t>
      </w:r>
      <w:r w:rsidR="00EE3CA2" w:rsidRPr="009118AB">
        <w:rPr>
          <w:iCs/>
        </w:rPr>
        <w:t xml:space="preserve"> die Veranla</w:t>
      </w:r>
      <w:r w:rsidR="00EE3CA2" w:rsidRPr="009118AB">
        <w:rPr>
          <w:iCs/>
        </w:rPr>
        <w:softHyphen/>
        <w:t>gung</w:t>
      </w:r>
      <w:r w:rsidR="00217DE4" w:rsidRPr="009118AB">
        <w:rPr>
          <w:iCs/>
        </w:rPr>
        <w:t>]</w:t>
      </w:r>
      <w:r w:rsidR="00EE3CA2" w:rsidRPr="009118AB">
        <w:rPr>
          <w:iCs/>
        </w:rPr>
        <w:t xml:space="preserve"> in Bezug auf die steuerpflichtigen Einkünfte, die </w:t>
      </w:r>
      <w:r w:rsidR="00217DE4" w:rsidRPr="009118AB">
        <w:rPr>
          <w:iCs/>
        </w:rPr>
        <w:t>[</w:t>
      </w:r>
      <w:r w:rsidR="00217DE4" w:rsidRPr="009118AB">
        <w:t>die Gesellschaft, die Gegenstand des Vorgangs war,</w:t>
      </w:r>
      <w:r w:rsidR="00217DE4" w:rsidRPr="009118AB">
        <w:rPr>
          <w:iCs/>
        </w:rPr>
        <w:t>]</w:t>
      </w:r>
      <w:r w:rsidR="00EE3CA2" w:rsidRPr="009118AB">
        <w:rPr>
          <w:iCs/>
        </w:rPr>
        <w:t xml:space="preserve"> bis zu einschließlich dem vorerwähnten Vorgang bezogen hat, innerhalb der in vorliegendem Kapitel vorgesehenen Fristen </w:t>
      </w:r>
      <w:r w:rsidR="00217DE4" w:rsidRPr="009118AB">
        <w:rPr>
          <w:iCs/>
        </w:rPr>
        <w:t xml:space="preserve">[auch </w:t>
      </w:r>
      <w:r w:rsidR="00EE3CA2" w:rsidRPr="009118AB">
        <w:rPr>
          <w:iCs/>
        </w:rPr>
        <w:t>zu Lasten</w:t>
      </w:r>
      <w:r w:rsidR="00217DE4" w:rsidRPr="009118AB">
        <w:rPr>
          <w:iCs/>
        </w:rPr>
        <w:t>]</w:t>
      </w:r>
      <w:r w:rsidR="00EE3CA2" w:rsidRPr="009118AB">
        <w:rPr>
          <w:iCs/>
        </w:rPr>
        <w:t xml:space="preserve"> der übernehmenden </w:t>
      </w:r>
      <w:r w:rsidR="00217DE4" w:rsidRPr="009118AB">
        <w:rPr>
          <w:iCs/>
        </w:rPr>
        <w:t xml:space="preserve">[oder begünstigten] </w:t>
      </w:r>
      <w:r w:rsidR="00EE3CA2" w:rsidRPr="009118AB">
        <w:rPr>
          <w:iCs/>
        </w:rPr>
        <w:t xml:space="preserve">Gesellschaft oder der begünstigten Gesellschaften </w:t>
      </w:r>
      <w:r w:rsidR="00217DE4" w:rsidRPr="009118AB">
        <w:rPr>
          <w:iCs/>
        </w:rPr>
        <w:t>[</w:t>
      </w:r>
      <w:r w:rsidR="00EE3CA2" w:rsidRPr="009118AB">
        <w:rPr>
          <w:iCs/>
        </w:rPr>
        <w:t>festgelegt</w:t>
      </w:r>
      <w:r w:rsidR="00217DE4" w:rsidRPr="009118AB">
        <w:rPr>
          <w:iCs/>
        </w:rPr>
        <w:t xml:space="preserve"> werden] [</w:t>
      </w:r>
      <w:r w:rsidR="00217DE4" w:rsidRPr="009118AB">
        <w:t>ab dem Zeitpunkt</w:t>
      </w:r>
      <w:r w:rsidR="00217DE4" w:rsidRPr="009118AB">
        <w:rPr>
          <w:iCs/>
        </w:rPr>
        <w:t>]</w:t>
      </w:r>
      <w:r w:rsidR="00EE3CA2" w:rsidRPr="009118AB">
        <w:rPr>
          <w:iCs/>
        </w:rPr>
        <w:t xml:space="preserve">, zu dem </w:t>
      </w:r>
      <w:r w:rsidR="00217DE4" w:rsidRPr="009118AB">
        <w:rPr>
          <w:iCs/>
        </w:rPr>
        <w:t>[</w:t>
      </w:r>
      <w:r w:rsidR="00217DE4" w:rsidRPr="009118AB">
        <w:t>die Gesellschaft, die Gegenstand des Vorgangs war,]</w:t>
      </w:r>
      <w:r w:rsidR="00EE3CA2" w:rsidRPr="009118AB">
        <w:rPr>
          <w:iCs/>
        </w:rPr>
        <w:t xml:space="preserve"> als juristische Person nicht mehr besteht.]</w:t>
      </w:r>
    </w:p>
    <w:p w14:paraId="049832E6" w14:textId="77777777" w:rsidR="00CE0B48" w:rsidRPr="009118AB" w:rsidRDefault="00CE0B48"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DE54AEA" w14:textId="323D990B" w:rsidR="00CE0B48" w:rsidRPr="009118AB" w:rsidRDefault="00CE0B48"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365 abgeändert durch </w:t>
      </w:r>
      <w:r w:rsidR="00D67EB8" w:rsidRPr="009118AB">
        <w:rPr>
          <w:i/>
          <w:iCs/>
        </w:rPr>
        <w:t>Art. </w:t>
      </w:r>
      <w:r w:rsidRPr="009118AB">
        <w:rPr>
          <w:i/>
          <w:iCs/>
        </w:rPr>
        <w:t xml:space="preserve">74 </w:t>
      </w:r>
      <w:r w:rsidR="00D67EB8" w:rsidRPr="009118AB">
        <w:rPr>
          <w:i/>
          <w:iCs/>
        </w:rPr>
        <w:t>Nr. </w:t>
      </w:r>
      <w:r w:rsidRPr="009118AB">
        <w:rPr>
          <w:i/>
          <w:iCs/>
        </w:rPr>
        <w:t>1 bis 5</w:t>
      </w:r>
      <w:r w:rsidR="00A87A60" w:rsidRPr="009118AB">
        <w:rPr>
          <w:i/>
          <w:iCs/>
        </w:rPr>
        <w:t xml:space="preserve"> des G. vom 17. März </w:t>
      </w:r>
      <w:r w:rsidRPr="009118AB">
        <w:rPr>
          <w:i/>
          <w:iCs/>
        </w:rPr>
        <w:t>2019</w:t>
      </w:r>
      <w:r w:rsidR="00A87A60" w:rsidRPr="009118AB">
        <w:rPr>
          <w:i/>
          <w:iCs/>
        </w:rPr>
        <w:t> </w:t>
      </w:r>
      <w:r w:rsidRPr="009118AB">
        <w:rPr>
          <w:i/>
          <w:iCs/>
        </w:rPr>
        <w:t>(III) (B.S. vom 10.</w:t>
      </w:r>
      <w:r w:rsidR="00A87A60" w:rsidRPr="009118AB">
        <w:rPr>
          <w:i/>
          <w:iCs/>
        </w:rPr>
        <w:t> </w:t>
      </w:r>
      <w:r w:rsidRPr="009118AB">
        <w:rPr>
          <w:i/>
          <w:iCs/>
        </w:rPr>
        <w:t>Mai</w:t>
      </w:r>
      <w:r w:rsidR="00A87A60" w:rsidRPr="009118AB">
        <w:rPr>
          <w:i/>
          <w:iCs/>
        </w:rPr>
        <w:t> 2019)</w:t>
      </w:r>
      <w:r w:rsidR="00D67EB8" w:rsidRPr="009118AB">
        <w:rPr>
          <w:i/>
          <w:iCs/>
        </w:rPr>
        <w:t> - </w:t>
      </w:r>
      <w:r w:rsidR="00A87A60" w:rsidRPr="009118AB">
        <w:rPr>
          <w:i/>
          <w:iCs/>
        </w:rPr>
        <w:t>in Kraft am 1. Mai </w:t>
      </w:r>
      <w:r w:rsidRPr="009118AB">
        <w:rPr>
          <w:i/>
          <w:iCs/>
        </w:rPr>
        <w:t>2019</w:t>
      </w:r>
      <w:r w:rsidR="00FD68E8" w:rsidRPr="009118AB">
        <w:rPr>
          <w:i/>
          <w:iCs/>
        </w:rPr>
        <w:t> -]</w:t>
      </w:r>
    </w:p>
    <w:p w14:paraId="050C5D8C" w14:textId="18223A4A" w:rsidR="00477B8F" w:rsidRPr="009118AB" w:rsidRDefault="00477B8F" w:rsidP="00AC6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00121C17" w:rsidRPr="009118AB">
        <w:rPr>
          <w:b/>
          <w:bCs/>
        </w:rPr>
        <w:t>KAPITEL</w:t>
      </w:r>
      <w:r w:rsidRPr="009118AB">
        <w:rPr>
          <w:b/>
          <w:bCs/>
        </w:rPr>
        <w:t> </w:t>
      </w:r>
      <w:r w:rsidR="007828ED" w:rsidRPr="009118AB">
        <w:rPr>
          <w:b/>
          <w:bCs/>
        </w:rPr>
        <w:t>7</w:t>
      </w:r>
      <w:r w:rsidR="00D67EB8" w:rsidRPr="009118AB">
        <w:t> - </w:t>
      </w:r>
      <w:r w:rsidRPr="009118AB">
        <w:t>[</w:t>
      </w:r>
      <w:r w:rsidRPr="009118AB">
        <w:rPr>
          <w:i/>
          <w:iCs/>
        </w:rPr>
        <w:t>Rechtsbehelfe</w:t>
      </w:r>
      <w:r w:rsidRPr="009118AB">
        <w:t>]</w:t>
      </w:r>
    </w:p>
    <w:p w14:paraId="466D752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03493A9" w14:textId="28A5F28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[Überschrift von Kapitel </w:t>
      </w:r>
      <w:r w:rsidR="007828ED" w:rsidRPr="009118AB">
        <w:rPr>
          <w:i/>
          <w:iCs/>
        </w:rPr>
        <w:t>7</w:t>
      </w:r>
      <w:r w:rsidRPr="009118AB">
        <w:rPr>
          <w:i/>
          <w:iCs/>
        </w:rPr>
        <w:t xml:space="preserve"> ersetzt durch </w:t>
      </w:r>
      <w:r w:rsidR="00D67EB8" w:rsidRPr="009118AB">
        <w:rPr>
          <w:i/>
          <w:iCs/>
        </w:rPr>
        <w:t>Art. </w:t>
      </w:r>
      <w:r w:rsidRPr="009118AB">
        <w:rPr>
          <w:i/>
          <w:iCs/>
        </w:rPr>
        <w:t>23 Buchs</w:t>
      </w:r>
      <w:r w:rsidR="00362E71" w:rsidRPr="009118AB">
        <w:rPr>
          <w:i/>
          <w:iCs/>
        </w:rPr>
        <w:t>tabe A des G. vom 15. März 1999 </w:t>
      </w:r>
      <w:r w:rsidRPr="009118AB">
        <w:rPr>
          <w:i/>
          <w:iCs/>
        </w:rPr>
        <w:t>(B.S. vom 27. März 1999)</w:t>
      </w:r>
      <w:r w:rsidR="00D67EB8" w:rsidRPr="009118AB">
        <w:rPr>
          <w:i/>
          <w:iCs/>
        </w:rPr>
        <w:t> - </w:t>
      </w:r>
      <w:r w:rsidRPr="009118AB">
        <w:rPr>
          <w:i/>
          <w:iCs/>
        </w:rPr>
        <w:t>anwendbar ab dem Steuerjahr 1999</w:t>
      </w:r>
      <w:r w:rsidR="00FD68E8" w:rsidRPr="009118AB">
        <w:rPr>
          <w:i/>
          <w:iCs/>
        </w:rPr>
        <w:t> -]</w:t>
      </w:r>
    </w:p>
    <w:p w14:paraId="2C11BE9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C8AA6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3DF036" w14:textId="03A0B59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rPr>
          <w:i/>
          <w:iCs/>
        </w:rPr>
        <w:t>Abschnitt </w:t>
      </w:r>
      <w:r w:rsidR="006B602F" w:rsidRPr="009118AB">
        <w:rPr>
          <w:i/>
          <w:iCs/>
        </w:rPr>
        <w:t>1</w:t>
      </w:r>
      <w:r w:rsidR="00D67EB8" w:rsidRPr="009118AB">
        <w:rPr>
          <w:i/>
          <w:iCs/>
        </w:rPr>
        <w:t> - </w:t>
      </w:r>
      <w:r w:rsidRPr="009118AB">
        <w:t>Widerspruch</w:t>
      </w:r>
    </w:p>
    <w:p w14:paraId="3335035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CDCB2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F7EAB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t>[...]</w:t>
      </w:r>
    </w:p>
    <w:p w14:paraId="39F3596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7B87FE2" w14:textId="67ECF0B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 xml:space="preserve">[Unterteilung in Unterabschnitte aufgehoben durch </w:t>
      </w:r>
      <w:r w:rsidR="00D67EB8" w:rsidRPr="009118AB">
        <w:rPr>
          <w:i/>
          <w:iCs/>
        </w:rPr>
        <w:t>Art. </w:t>
      </w:r>
      <w:r w:rsidRPr="009118AB">
        <w:rPr>
          <w:i/>
          <w:iCs/>
        </w:rPr>
        <w:t>23 Buchstabe C des G. vom 15. März 1999 (B.S. vom 27. März 1999)</w:t>
      </w:r>
      <w:r w:rsidR="00D67EB8" w:rsidRPr="009118AB">
        <w:rPr>
          <w:i/>
          <w:iCs/>
        </w:rPr>
        <w:t> - </w:t>
      </w:r>
      <w:r w:rsidRPr="009118AB">
        <w:rPr>
          <w:i/>
          <w:iCs/>
        </w:rPr>
        <w:t>anwendbar ab dem Steuerjahr 1999</w:t>
      </w:r>
      <w:r w:rsidR="00FD68E8" w:rsidRPr="009118AB">
        <w:rPr>
          <w:i/>
          <w:iCs/>
        </w:rPr>
        <w:t> -]</w:t>
      </w:r>
    </w:p>
    <w:p w14:paraId="0C0EC9E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659E9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817BEB" w14:textId="576D49D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366</w:t>
      </w:r>
      <w:r w:rsidR="00D67EB8" w:rsidRPr="009118AB">
        <w:t> - </w:t>
      </w:r>
      <w:r w:rsidRPr="009118AB">
        <w:t xml:space="preserve">[Ein Steuerschuldner </w:t>
      </w:r>
      <w:r w:rsidR="005255B9" w:rsidRPr="009118AB">
        <w:t>[</w:t>
      </w:r>
      <w:r w:rsidR="005255B9" w:rsidRPr="009118AB">
        <w:rPr>
          <w:rFonts w:eastAsia="Calibri"/>
          <w:lang w:eastAsia="en-US"/>
        </w:rPr>
        <w:t>und sein Ehepartner, auf dessen Güter die Steuer beigetrieben wird, oder der Mitschuldner wie in Artikel 2 des Gesetzbuches über die gütliche Beitreibung und die Zwangsbeitreibung von Steuerforderungen und nichtsteuerlichen Forderungen erwähnt können</w:t>
      </w:r>
      <w:r w:rsidR="005255B9" w:rsidRPr="009118AB">
        <w:t>]</w:t>
      </w:r>
      <w:r w:rsidRPr="009118AB">
        <w:t xml:space="preserve"> gegen den Betrag der festgelegten Steuer einschließlich Zuschlaghundertsteln, Zuschlägen und Geldbußen beim </w:t>
      </w:r>
      <w:r w:rsidR="007E669C" w:rsidRPr="009118AB">
        <w:t>[Generalberater der mit der Festlegung der Einkommensteuern beauftragten Verwaltung]</w:t>
      </w:r>
      <w:r w:rsidRPr="009118AB">
        <w:t>, in dessen Amtsbereich die Steuer, der Zuschlag und die Geldbuße festgelegt wurden, schriftlich Widerspruch einlegen.]</w:t>
      </w:r>
    </w:p>
    <w:p w14:paraId="017BAC4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8D0BB2" w14:textId="77777777" w:rsidR="00F7442D" w:rsidRPr="009118AB" w:rsidRDefault="00477B8F" w:rsidP="00F7442D">
      <w:pPr>
        <w:ind w:firstLine="708"/>
        <w:jc w:val="both"/>
      </w:pPr>
      <w:r w:rsidRPr="009118AB">
        <w:tab/>
        <w:t>[</w:t>
      </w:r>
      <w:r w:rsidR="00F7442D" w:rsidRPr="009118AB">
        <w:t>Ist der Widerspruch an einen anderen als den in Absatz 1 erwähnten Beamten der mit der Festlegung der Einkommensteuern beauftragten Verwaltung, an einen Beamten der mit der Einnahme und Beitreibung der Einkommensteuern beauftragten Verwaltung oder an den in Artikel 116 des Gesetzes vom 25. April 2007 zur Festlegung verschiedener Bestimmungen (IV) erwähnten Dienst Steuerschlichtung gerichtet, ist der Widerspruch am Datum seines Empfangs durch diesen Beamten oder diesen Dienst auch gültig eingelegt.</w:t>
      </w:r>
    </w:p>
    <w:p w14:paraId="3E064E5C" w14:textId="77777777" w:rsidR="00F7442D" w:rsidRPr="009118AB" w:rsidRDefault="00F7442D" w:rsidP="00F7442D">
      <w:pPr>
        <w:jc w:val="both"/>
      </w:pPr>
    </w:p>
    <w:p w14:paraId="12F8E239" w14:textId="77777777" w:rsidR="00477B8F" w:rsidRPr="009118AB" w:rsidRDefault="00F7442D" w:rsidP="00F7442D">
      <w:pPr>
        <w:jc w:val="both"/>
      </w:pPr>
      <w:r w:rsidRPr="009118AB">
        <w:tab/>
        <w:t>Der in Absatz 2 erwähnte Beamte oder Dienst übermittelt den Widerspruch unverzüglich an den in Absatz 1 erwähnten Generalberater und teilt dies dem Widerspruchsführer mit.</w:t>
      </w:r>
      <w:r w:rsidR="00477B8F" w:rsidRPr="009118AB">
        <w:t>]</w:t>
      </w:r>
    </w:p>
    <w:p w14:paraId="710B51D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4E7FBD" w14:textId="1CE663A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366 ersetzt durch </w:t>
      </w:r>
      <w:r w:rsidR="00D67EB8" w:rsidRPr="009118AB">
        <w:rPr>
          <w:i/>
          <w:iCs/>
        </w:rPr>
        <w:t>Art. </w:t>
      </w:r>
      <w:r w:rsidRPr="009118AB">
        <w:rPr>
          <w:i/>
          <w:iCs/>
        </w:rPr>
        <w:t>24 des G. vom 15. März 1999 (B.S. vom</w:t>
      </w:r>
      <w:r w:rsidR="00B64F05" w:rsidRPr="009118AB">
        <w:rPr>
          <w:i/>
          <w:iCs/>
        </w:rPr>
        <w:t xml:space="preserve"> 27. März 1999)</w:t>
      </w:r>
      <w:r w:rsidR="00D67EB8" w:rsidRPr="009118AB">
        <w:rPr>
          <w:i/>
          <w:iCs/>
        </w:rPr>
        <w:t> - </w:t>
      </w:r>
      <w:r w:rsidRPr="009118AB">
        <w:rPr>
          <w:i/>
          <w:iCs/>
        </w:rPr>
        <w:t>anwendbar ab dem Steuerjahr 1999</w:t>
      </w:r>
      <w:r w:rsidR="003366D9" w:rsidRPr="009118AB">
        <w:rPr>
          <w:i/>
          <w:iCs/>
        </w:rPr>
        <w:t> -;</w:t>
      </w:r>
      <w:r w:rsidRPr="009118AB">
        <w:rPr>
          <w:i/>
          <w:iCs/>
        </w:rPr>
        <w:t xml:space="preserve"> </w:t>
      </w:r>
      <w:r w:rsidR="00D67EB8" w:rsidRPr="009118AB">
        <w:rPr>
          <w:i/>
          <w:iCs/>
        </w:rPr>
        <w:t>Abs. </w:t>
      </w:r>
      <w:r w:rsidR="007E669C" w:rsidRPr="009118AB">
        <w:rPr>
          <w:i/>
          <w:iCs/>
        </w:rPr>
        <w:t xml:space="preserve">1 abgeändert durch </w:t>
      </w:r>
      <w:r w:rsidR="00D67EB8" w:rsidRPr="009118AB">
        <w:rPr>
          <w:i/>
          <w:iCs/>
        </w:rPr>
        <w:t>Art. </w:t>
      </w:r>
      <w:r w:rsidR="007E669C" w:rsidRPr="009118AB">
        <w:rPr>
          <w:i/>
          <w:iCs/>
        </w:rPr>
        <w:t xml:space="preserve">8 </w:t>
      </w:r>
      <w:r w:rsidR="00D67EB8" w:rsidRPr="009118AB">
        <w:rPr>
          <w:i/>
          <w:iCs/>
        </w:rPr>
        <w:t>Nr. </w:t>
      </w:r>
      <w:r w:rsidR="007E669C" w:rsidRPr="009118AB">
        <w:rPr>
          <w:i/>
          <w:iCs/>
        </w:rPr>
        <w:t>1 des G. vom 27. April 2016 (B.S. vom 6. Mai 2016)</w:t>
      </w:r>
      <w:r w:rsidR="005255B9" w:rsidRPr="009118AB">
        <w:rPr>
          <w:i/>
          <w:iCs/>
        </w:rPr>
        <w:t xml:space="preserve"> und </w:t>
      </w:r>
      <w:r w:rsidR="00D67EB8" w:rsidRPr="009118AB">
        <w:rPr>
          <w:i/>
          <w:iCs/>
        </w:rPr>
        <w:t>Art. </w:t>
      </w:r>
      <w:r w:rsidR="005255B9" w:rsidRPr="009118AB">
        <w:rPr>
          <w:i/>
          <w:iCs/>
        </w:rPr>
        <w:t>37 des G. vom 13. April 2019 (II) (B.S. vom 30. April 2019)</w:t>
      </w:r>
      <w:r w:rsidR="00D67EB8" w:rsidRPr="009118AB">
        <w:rPr>
          <w:i/>
          <w:iCs/>
        </w:rPr>
        <w:t> - </w:t>
      </w:r>
      <w:r w:rsidR="005255B9" w:rsidRPr="009118AB">
        <w:rPr>
          <w:i/>
          <w:iCs/>
        </w:rPr>
        <w:t>in Kraft am 1. Januar 2020</w:t>
      </w:r>
      <w:r w:rsidR="003366D9" w:rsidRPr="009118AB">
        <w:rPr>
          <w:i/>
          <w:iCs/>
        </w:rPr>
        <w:t> -;</w:t>
      </w:r>
      <w:r w:rsidR="007E669C" w:rsidRPr="009118AB">
        <w:rPr>
          <w:i/>
          <w:iCs/>
        </w:rPr>
        <w:t xml:space="preserve"> </w:t>
      </w:r>
      <w:r w:rsidR="00D67EB8" w:rsidRPr="009118AB">
        <w:rPr>
          <w:i/>
          <w:iCs/>
        </w:rPr>
        <w:t>Abs. </w:t>
      </w:r>
      <w:r w:rsidRPr="009118AB">
        <w:rPr>
          <w:i/>
          <w:iCs/>
        </w:rPr>
        <w:t>2</w:t>
      </w:r>
      <w:r w:rsidR="000C502D" w:rsidRPr="009118AB">
        <w:rPr>
          <w:i/>
          <w:iCs/>
        </w:rPr>
        <w:t xml:space="preserve"> und 3</w:t>
      </w:r>
      <w:r w:rsidRPr="009118AB">
        <w:rPr>
          <w:i/>
          <w:iCs/>
        </w:rPr>
        <w:t xml:space="preserve"> eingefüg</w:t>
      </w:r>
      <w:r w:rsidR="00362E71" w:rsidRPr="009118AB">
        <w:rPr>
          <w:i/>
          <w:iCs/>
        </w:rPr>
        <w:t xml:space="preserve">t durch </w:t>
      </w:r>
      <w:r w:rsidR="00D67EB8" w:rsidRPr="009118AB">
        <w:rPr>
          <w:i/>
          <w:iCs/>
        </w:rPr>
        <w:t>Art. </w:t>
      </w:r>
      <w:r w:rsidR="00362E71" w:rsidRPr="009118AB">
        <w:rPr>
          <w:i/>
          <w:iCs/>
        </w:rPr>
        <w:t>376 des G. vom 27. </w:t>
      </w:r>
      <w:r w:rsidRPr="009118AB">
        <w:rPr>
          <w:i/>
          <w:iCs/>
        </w:rPr>
        <w:t>Dezember 2004 (B.S. vom 31. Dezember 2004)</w:t>
      </w:r>
      <w:r w:rsidR="007E669C" w:rsidRPr="009118AB">
        <w:rPr>
          <w:i/>
          <w:iCs/>
        </w:rPr>
        <w:t xml:space="preserve"> und </w:t>
      </w:r>
      <w:r w:rsidR="000C502D" w:rsidRPr="009118AB">
        <w:rPr>
          <w:i/>
          <w:iCs/>
        </w:rPr>
        <w:t xml:space="preserve">ersetzt durch </w:t>
      </w:r>
      <w:r w:rsidR="00D67EB8" w:rsidRPr="009118AB">
        <w:rPr>
          <w:i/>
          <w:iCs/>
        </w:rPr>
        <w:t>Art. </w:t>
      </w:r>
      <w:r w:rsidR="00F7442D" w:rsidRPr="009118AB">
        <w:rPr>
          <w:i/>
          <w:iCs/>
        </w:rPr>
        <w:t>6 des G. vom 10. Juli 2017 (B.S. vom 20. Juli 2017)</w:t>
      </w:r>
      <w:r w:rsidR="00D67EB8" w:rsidRPr="009118AB">
        <w:rPr>
          <w:i/>
          <w:iCs/>
        </w:rPr>
        <w:t> - </w:t>
      </w:r>
      <w:r w:rsidR="00F7442D" w:rsidRPr="009118AB">
        <w:rPr>
          <w:i/>
          <w:iCs/>
        </w:rPr>
        <w:t>in Kraft am 1. September 2017</w:t>
      </w:r>
      <w:r w:rsidR="00FD68E8" w:rsidRPr="009118AB">
        <w:rPr>
          <w:i/>
          <w:iCs/>
        </w:rPr>
        <w:t> -]</w:t>
      </w:r>
    </w:p>
    <w:p w14:paraId="10875426" w14:textId="1CBE4E4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A48195" w14:textId="77777777" w:rsidR="002E0F54" w:rsidRDefault="002E0F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D4979F" w14:textId="55E9E6E3" w:rsidR="002E0F54" w:rsidRDefault="002E0F54" w:rsidP="002E0F54">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366 wie folgt:</w:t>
      </w:r>
    </w:p>
    <w:p w14:paraId="37C96F0D" w14:textId="77777777" w:rsidR="002E0F54" w:rsidRDefault="002E0F54" w:rsidP="002E0F54">
      <w:pPr>
        <w:autoSpaceDE w:val="0"/>
        <w:autoSpaceDN w:val="0"/>
        <w:adjustRightInd w:val="0"/>
        <w:jc w:val="both"/>
        <w:rPr>
          <w:iCs/>
          <w:sz w:val="20"/>
          <w:szCs w:val="20"/>
        </w:rPr>
      </w:pPr>
    </w:p>
    <w:p w14:paraId="642A068B" w14:textId="3A25F3FD"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2E0F54">
        <w:rPr>
          <w:iCs/>
          <w:sz w:val="20"/>
          <w:szCs w:val="20"/>
        </w:rPr>
        <w:t>Art. 366 - [Ein Steuerschuldner [und sein Ehepartner, auf dessen Güter die Steuer beigetrieben wird, oder der Mitschuldner wie in Artikel 2 des Gesetzbuches über die gütliche Beitreibung und die Zwangsbeitreibung von Steuerforderungen und nichtsteuerlichen Forderungen erwähnt können] gegen den Betrag der festgelegten Steuer einschließlich Zuschlaghundertsteln, Zuschlägen und Geldbußen beim [Generalberater der mit der Festlegung der Einkommensteuern beauftragten Verwaltung], in dessen Amtsbereich die Steuer, der Zuschlag und die Geldbuße festgelegt wurden, schriftlich Widerspruch einlegen.]</w:t>
      </w:r>
    </w:p>
    <w:p w14:paraId="3B49F0CB" w14:textId="77777777"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3E40DBE" w14:textId="77777777" w:rsidR="00D45DA5" w:rsidRDefault="00D45DA5"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p>
    <w:p w14:paraId="66CAF412" w14:textId="77777777" w:rsidR="00D45DA5" w:rsidRDefault="00D45DA5"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A75D9C" w14:textId="4EEFF65C"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2E0F54">
        <w:rPr>
          <w:iCs/>
          <w:sz w:val="20"/>
          <w:szCs w:val="20"/>
        </w:rPr>
        <w:t>[</w:t>
      </w:r>
      <w:r>
        <w:rPr>
          <w:iCs/>
          <w:sz w:val="20"/>
          <w:szCs w:val="20"/>
        </w:rPr>
        <w:t>[Wird</w:t>
      </w:r>
      <w:r w:rsidRPr="002E0F54">
        <w:rPr>
          <w:iCs/>
          <w:sz w:val="20"/>
          <w:szCs w:val="20"/>
        </w:rPr>
        <w:t xml:space="preserve"> der Widerspruch</w:t>
      </w:r>
      <w:r>
        <w:rPr>
          <w:iCs/>
          <w:sz w:val="20"/>
          <w:szCs w:val="20"/>
        </w:rPr>
        <w:t>]</w:t>
      </w:r>
      <w:r w:rsidRPr="002E0F54">
        <w:rPr>
          <w:iCs/>
          <w:sz w:val="20"/>
          <w:szCs w:val="20"/>
        </w:rPr>
        <w:t xml:space="preserve"> an einen anderen als den in Absatz 1 erwähnten Beamten der mit der Festlegung der Einkommensteuern beauftragten Verwaltung, an einen Beamten der mit der Einnahme und Beitreibung der Einkommensteuern beauftragten Verwaltung oder an den in Artikel 116 des Gesetzes vom 25. April 2007 zur Festlegung verschiedener Bestimmungen (IV) erwähnten Dienst Steuerschlichtung </w:t>
      </w:r>
      <w:r>
        <w:rPr>
          <w:iCs/>
          <w:sz w:val="20"/>
          <w:szCs w:val="20"/>
        </w:rPr>
        <w:t>[übermittelt]</w:t>
      </w:r>
      <w:r w:rsidRPr="002E0F54">
        <w:rPr>
          <w:iCs/>
          <w:sz w:val="20"/>
          <w:szCs w:val="20"/>
        </w:rPr>
        <w:t>, ist der Widerspruch am Datum seines Empfangs durch diesen Beamten oder diesen Dienst auch gültig eingelegt.</w:t>
      </w:r>
      <w:r>
        <w:rPr>
          <w:iCs/>
          <w:sz w:val="20"/>
          <w:szCs w:val="20"/>
        </w:rPr>
        <w:t>]</w:t>
      </w:r>
    </w:p>
    <w:p w14:paraId="15BEF68D" w14:textId="77777777"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A0540A2" w14:textId="23E2393E"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2E0F54">
        <w:rPr>
          <w:iCs/>
          <w:sz w:val="20"/>
          <w:szCs w:val="20"/>
        </w:rPr>
        <w:t>Der in Absatz 2 erwähnte Beamte oder Dienst übermittelt den Widerspruch unverzüglich an den in Absatz 1 erwähnten Generalberater und teilt dies dem Widerspruchsführer mit.]</w:t>
      </w:r>
    </w:p>
    <w:p w14:paraId="168D76A6" w14:textId="77777777"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C0D7214" w14:textId="3CD3A11A"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2E0F54">
        <w:rPr>
          <w:i/>
          <w:iCs/>
          <w:sz w:val="20"/>
          <w:szCs w:val="20"/>
        </w:rPr>
        <w:t xml:space="preserve">[Art. 366 ersetzt durch Art. 24 des G. vom 15. März 1999 (B.S. vom 27. März 1999) - anwendbar ab dem Steuerjahr 1999 -; Abs. 1 abgeändert durch Art. 8 Nr. 1 des G. vom 27. April 2016 (B.S. vom 6. Mai 2016) und Art. 37 des G. vom 13. April 2019 (II) (B.S. vom 30. April 2019) - in Kraft am 1. Januar 2020 - </w:t>
      </w:r>
      <w:r w:rsidRPr="009118AB">
        <w:rPr>
          <w:i/>
          <w:iCs/>
          <w:sz w:val="20"/>
          <w:szCs w:val="20"/>
        </w:rPr>
        <w:t>und Art. 35 Nr. 1 des G. vom 26. Januar 2021 (B.S. vom 10. Februar 2021) - in Kraft am 1. Januar 2025 -</w:t>
      </w:r>
      <w:r w:rsidRPr="002E0F54">
        <w:rPr>
          <w:i/>
          <w:iCs/>
          <w:sz w:val="20"/>
          <w:szCs w:val="20"/>
        </w:rPr>
        <w:t>, selbst aufgehoben durch Art. 213 des G. vom 12. Mai 2024 (B.S. vom 30. Mai 2024)</w:t>
      </w:r>
      <w:r w:rsidRPr="009118AB">
        <w:rPr>
          <w:i/>
          <w:iCs/>
          <w:sz w:val="20"/>
          <w:szCs w:val="20"/>
        </w:rPr>
        <w:t xml:space="preserve">; </w:t>
      </w:r>
      <w:r w:rsidR="00D45DA5">
        <w:rPr>
          <w:i/>
          <w:iCs/>
          <w:sz w:val="20"/>
          <w:szCs w:val="20"/>
        </w:rPr>
        <w:t>früher</w:t>
      </w:r>
      <w:r w:rsidRPr="009118AB">
        <w:rPr>
          <w:i/>
          <w:iCs/>
          <w:sz w:val="20"/>
          <w:szCs w:val="20"/>
        </w:rPr>
        <w:t>er Absatz 2 eingefügt durch Art. 35 Nr. 2 des G. vom 26. Januar 2021 (B.S. vom 10. Februar 2021) - in Kraft am 1. Januar 2025 -</w:t>
      </w:r>
      <w:r>
        <w:rPr>
          <w:i/>
          <w:iCs/>
          <w:sz w:val="20"/>
        </w:rPr>
        <w:t>,</w:t>
      </w:r>
      <w:r w:rsidRPr="002E0F54">
        <w:rPr>
          <w:i/>
          <w:iCs/>
          <w:sz w:val="20"/>
          <w:szCs w:val="20"/>
        </w:rPr>
        <w:t xml:space="preserve"> selbst aufgehoben durch Art. 213 des G. vom 12. Mai 2024 (B.S. vom 30. Mai 2024); Abs. 2 eingefügt durch Art. 376 des G. vom 27. Dezember 2004 (B.S. vom 31. Dezember 2004)</w:t>
      </w:r>
      <w:r>
        <w:rPr>
          <w:i/>
          <w:iCs/>
          <w:sz w:val="20"/>
          <w:szCs w:val="20"/>
        </w:rPr>
        <w:t>,</w:t>
      </w:r>
      <w:r w:rsidRPr="002E0F54">
        <w:rPr>
          <w:i/>
          <w:iCs/>
          <w:sz w:val="20"/>
          <w:szCs w:val="20"/>
        </w:rPr>
        <w:t xml:space="preserve"> ersetzt durch Art. 6 des G. vom 10. Juli 2017 (B.S. vom 20. Juli 2017) - in Kraft am 1. September 2017 -</w:t>
      </w:r>
      <w:r>
        <w:rPr>
          <w:i/>
          <w:iCs/>
          <w:sz w:val="20"/>
          <w:szCs w:val="20"/>
        </w:rPr>
        <w:t xml:space="preserve"> und abgeändert durch Art. 35 Nr. 1</w:t>
      </w:r>
      <w:r w:rsidRPr="002E0F54">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2E0F54">
        <w:rPr>
          <w:i/>
          <w:iCs/>
          <w:sz w:val="20"/>
          <w:szCs w:val="20"/>
        </w:rPr>
        <w:t>-</w:t>
      </w:r>
      <w:r>
        <w:rPr>
          <w:i/>
          <w:iCs/>
          <w:sz w:val="20"/>
          <w:szCs w:val="20"/>
        </w:rPr>
        <w:t xml:space="preserve">; </w:t>
      </w:r>
      <w:r w:rsidRPr="002E0F54">
        <w:rPr>
          <w:i/>
          <w:iCs/>
          <w:sz w:val="20"/>
          <w:szCs w:val="20"/>
        </w:rPr>
        <w:t>Abs. 3 eingefügt durch Art. 376 des G. vom 27. Dezember 2004 (B.S. vom 31. Dezember 2004) und ersetzt durch Art. 6 des G. vom 10. Juli 2017 (B.S. vom 20. Juli 2017) - in Kraft am 1. September 2017 -]</w:t>
      </w:r>
      <w:r>
        <w:rPr>
          <w:sz w:val="20"/>
          <w:szCs w:val="20"/>
        </w:rPr>
        <w:t>"</w:t>
      </w:r>
    </w:p>
    <w:p w14:paraId="46180D99" w14:textId="7D5ED94C" w:rsidR="00742E36" w:rsidRPr="009118AB" w:rsidRDefault="00742E36" w:rsidP="00742E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2B3EB2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511D98" w14:textId="6CB5384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367</w:t>
      </w:r>
      <w:r w:rsidR="00D67EB8" w:rsidRPr="009118AB">
        <w:t> - </w:t>
      </w:r>
      <w:r w:rsidRPr="009118AB">
        <w:t xml:space="preserve">[Ein Widerspruch, der gegen eine Steuer gerichtet ist, die auf der Grundlage von beanstandeten Bestandteilen festgelegt wurde, gilt von Amts wegen für andere Steuern, die auf denselben Bestandteilen oder als Zusatz festgelegt wurden vor dem Beschluss des </w:t>
      </w:r>
      <w:r w:rsidR="00AC5678" w:rsidRPr="009118AB">
        <w:t>[Generalberaters der mit der Festlegung der Einkommensteuern beauftragten Verwaltung]</w:t>
      </w:r>
      <w:r w:rsidRPr="009118AB">
        <w:t xml:space="preserve"> oder des von ihm beauftragten Beamten, selbst wenn die Widerspruchsfristen hinsichtlich dieser anderen Steuern abgelaufen sind.]</w:t>
      </w:r>
    </w:p>
    <w:p w14:paraId="31E935A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BCDF13" w14:textId="1B9F91B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367 ersetzt durch </w:t>
      </w:r>
      <w:r w:rsidR="00D67EB8" w:rsidRPr="009118AB">
        <w:rPr>
          <w:i/>
          <w:iCs/>
        </w:rPr>
        <w:t>Art. </w:t>
      </w:r>
      <w:r w:rsidRPr="009118AB">
        <w:rPr>
          <w:i/>
          <w:iCs/>
        </w:rPr>
        <w:t>25 des G. vom 15. März </w:t>
      </w:r>
      <w:r w:rsidR="00B64F05" w:rsidRPr="009118AB">
        <w:rPr>
          <w:i/>
          <w:iCs/>
        </w:rPr>
        <w:t>1999 (B.S. vom 27. März 1999)</w:t>
      </w:r>
      <w:r w:rsidR="00D67EB8" w:rsidRPr="009118AB">
        <w:rPr>
          <w:i/>
          <w:iCs/>
        </w:rPr>
        <w:t> - </w:t>
      </w:r>
      <w:r w:rsidRPr="009118AB">
        <w:rPr>
          <w:i/>
          <w:iCs/>
        </w:rPr>
        <w:t>anwendbar ab dem Steuerjahr 1999</w:t>
      </w:r>
      <w:r w:rsidR="00D67EB8" w:rsidRPr="009118AB">
        <w:rPr>
          <w:i/>
          <w:iCs/>
        </w:rPr>
        <w:t> - </w:t>
      </w:r>
      <w:r w:rsidR="00AC5678" w:rsidRPr="009118AB">
        <w:rPr>
          <w:i/>
          <w:iCs/>
        </w:rPr>
        <w:t xml:space="preserve">und abgeändert durch </w:t>
      </w:r>
      <w:r w:rsidR="00D67EB8" w:rsidRPr="009118AB">
        <w:rPr>
          <w:i/>
          <w:iCs/>
        </w:rPr>
        <w:t>Art. </w:t>
      </w:r>
      <w:r w:rsidR="00AC5678" w:rsidRPr="009118AB">
        <w:rPr>
          <w:i/>
          <w:iCs/>
        </w:rPr>
        <w:t>9 des G. vom 27. April 2016 (B.S. vom 6. Mai 2016)</w:t>
      </w:r>
      <w:r w:rsidRPr="009118AB">
        <w:rPr>
          <w:i/>
          <w:iCs/>
        </w:rPr>
        <w:t>]</w:t>
      </w:r>
    </w:p>
    <w:p w14:paraId="1AC6C2B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628555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5E1423" w14:textId="2168B77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368</w:t>
      </w:r>
      <w:r w:rsidR="00D67EB8" w:rsidRPr="009118AB">
        <w:t> - </w:t>
      </w:r>
      <w:r w:rsidRPr="009118AB">
        <w:t>[</w:t>
      </w:r>
      <w:r w:rsidR="004C5E96" w:rsidRPr="009118AB">
        <w:rPr>
          <w:lang w:eastAsia="de-DE"/>
        </w:rPr>
        <w:t>In Ermangelung eines Bescheids über die Erhebung des Berufssteuer</w:t>
      </w:r>
      <w:r w:rsidR="004C5E96" w:rsidRPr="009118AB">
        <w:rPr>
          <w:lang w:eastAsia="de-DE"/>
        </w:rPr>
        <w:softHyphen/>
        <w:t>vorabzugs und des Mobiliensteuervorabzugs auf andere Weise als per Heberolle verjähren Anträge auf Erstattung dieser Vorabzüge, die der Staatskasse zu Unrecht zugeführt wurden, in fünf Jahren ab dem ersten Januar des Jahres, in dem diese Vorabzüge gezahlt wurden.</w:t>
      </w:r>
      <w:r w:rsidRPr="009118AB">
        <w:t>]</w:t>
      </w:r>
    </w:p>
    <w:p w14:paraId="08376B6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11FABA7" w14:textId="2A24B56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368 aufgehoben durch </w:t>
      </w:r>
      <w:r w:rsidR="00D67EB8" w:rsidRPr="009118AB">
        <w:rPr>
          <w:i/>
          <w:iCs/>
        </w:rPr>
        <w:t>Art. </w:t>
      </w:r>
      <w:r w:rsidRPr="009118AB">
        <w:rPr>
          <w:i/>
          <w:iCs/>
        </w:rPr>
        <w:t>26 des G. vom 15. März </w:t>
      </w:r>
      <w:r w:rsidR="00B64F05" w:rsidRPr="009118AB">
        <w:rPr>
          <w:i/>
          <w:iCs/>
        </w:rPr>
        <w:t>1999 (B.S. vom 27. März 1999)</w:t>
      </w:r>
      <w:r w:rsidR="00D67EB8" w:rsidRPr="009118AB">
        <w:rPr>
          <w:i/>
          <w:iCs/>
        </w:rPr>
        <w:t> - </w:t>
      </w:r>
      <w:r w:rsidRPr="009118AB">
        <w:rPr>
          <w:i/>
          <w:iCs/>
        </w:rPr>
        <w:t>anwendbar ab dem Steuerjahr 1999</w:t>
      </w:r>
      <w:r w:rsidR="00D67EB8" w:rsidRPr="009118AB">
        <w:rPr>
          <w:i/>
          <w:iCs/>
        </w:rPr>
        <w:t> - </w:t>
      </w:r>
      <w:r w:rsidR="004C5E96" w:rsidRPr="009118AB">
        <w:rPr>
          <w:i/>
          <w:iCs/>
        </w:rPr>
        <w:t xml:space="preserve">und wieder aufgenommen durch </w:t>
      </w:r>
      <w:r w:rsidR="00D67EB8" w:rsidRPr="009118AB">
        <w:rPr>
          <w:i/>
          <w:iCs/>
        </w:rPr>
        <w:t>Art. </w:t>
      </w:r>
      <w:r w:rsidR="004C5E96" w:rsidRPr="009118AB">
        <w:rPr>
          <w:i/>
          <w:iCs/>
        </w:rPr>
        <w:t>20 des G. vom 28. Dezember 2011 (B.S. vom 30. Dezember 2011)</w:t>
      </w:r>
      <w:r w:rsidR="00D67EB8" w:rsidRPr="009118AB">
        <w:rPr>
          <w:i/>
          <w:iCs/>
        </w:rPr>
        <w:t> - </w:t>
      </w:r>
      <w:r w:rsidR="004C5E96" w:rsidRPr="009118AB">
        <w:rPr>
          <w:i/>
          <w:iCs/>
        </w:rPr>
        <w:t>anwendbar auf den ab dem 1. Januar 2011 gezahlten Berufssteuervorabzug und Mobiliensteuervorabzug</w:t>
      </w:r>
      <w:r w:rsidR="00FD68E8" w:rsidRPr="009118AB">
        <w:rPr>
          <w:i/>
          <w:iCs/>
        </w:rPr>
        <w:t> -]</w:t>
      </w:r>
    </w:p>
    <w:p w14:paraId="4708F4B8" w14:textId="77777777" w:rsidR="004C5E96" w:rsidRPr="009118AB" w:rsidRDefault="004C5E9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A10286" w14:textId="77777777" w:rsidR="004C5E96" w:rsidRPr="009118AB" w:rsidRDefault="004C5E9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C8FA6F5" w14:textId="2A9FB820" w:rsidR="00F51DE4"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368/1</w:t>
      </w:r>
      <w:r w:rsidR="00D67EB8" w:rsidRPr="009118AB">
        <w:t> - </w:t>
      </w:r>
      <w:r w:rsidRPr="009118AB">
        <w:t>In Abweichung von Artikel 368 verjähren Ansprüche auf Erstattung des Vorabzugs in drei Jahren ab dem ersten Januar des Jahres nach dem Jahr, dessen Jahreszahl das Steuerjahr bestimmt, wenn die Anträge auf der Grundlage einer in Titel VI Kapitel 1 Abschnitt 4 Unterabschnitt 3 erwähnten Befreiung von der Zahlung des Berufssteuervorabzugs eingereicht werden.]</w:t>
      </w:r>
    </w:p>
    <w:p w14:paraId="7E623C21" w14:textId="77777777" w:rsidR="00B45A64" w:rsidRDefault="00B45A6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EC45D34" w14:textId="21FE4CE7" w:rsidR="00B45A64" w:rsidRPr="009118AB" w:rsidRDefault="00B45A6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t>[</w:t>
      </w:r>
      <w:r w:rsidRPr="00700308">
        <w:t>In Abweichung von Artikel 368 und von Absatz 1 verjähren Ansprüche auf Erstattung des Vorabzugs in fünf Jahren ab dem ersten Januar des Jahres nach dem Jahr, dessen Jahreszahl das Steuerjahr bestimmt, wenn die Anträge auf der Grundlage der in Artikel 275</w:t>
      </w:r>
      <w:r w:rsidRPr="00700308">
        <w:rPr>
          <w:vertAlign w:val="superscript"/>
        </w:rPr>
        <w:t>9/1</w:t>
      </w:r>
      <w:r w:rsidRPr="00700308">
        <w:t xml:space="preserve"> erwähnten Befreiung von der Zahlung des Berufssteuervorabzugs eingereicht werden.</w:t>
      </w:r>
      <w:r>
        <w:t>]</w:t>
      </w:r>
    </w:p>
    <w:p w14:paraId="514BE749" w14:textId="77777777" w:rsidR="00F51DE4" w:rsidRPr="009118AB"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5C2F39A" w14:textId="271B0A73" w:rsidR="00F51DE4" w:rsidRPr="009118AB"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rPr>
      </w:pPr>
      <w:r w:rsidRPr="009118AB">
        <w:rPr>
          <w:i/>
          <w:iCs/>
        </w:rPr>
        <w:t>[</w:t>
      </w:r>
      <w:r w:rsidR="00D67EB8" w:rsidRPr="009118AB">
        <w:rPr>
          <w:i/>
          <w:iCs/>
        </w:rPr>
        <w:t>Art. </w:t>
      </w:r>
      <w:r w:rsidRPr="009118AB">
        <w:rPr>
          <w:i/>
          <w:iCs/>
        </w:rPr>
        <w:t xml:space="preserve">368/1 eingefügt durch </w:t>
      </w:r>
      <w:r w:rsidR="00D67EB8" w:rsidRPr="009118AB">
        <w:rPr>
          <w:i/>
          <w:iCs/>
        </w:rPr>
        <w:t>Art. </w:t>
      </w:r>
      <w:r w:rsidRPr="009118AB">
        <w:rPr>
          <w:i/>
          <w:iCs/>
        </w:rPr>
        <w:t>24</w:t>
      </w:r>
      <w:r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Pr="009118AB">
        <w:rPr>
          <w:rFonts w:ascii="Times New Roman Italique" w:hAnsi="Times New Roman Italique"/>
          <w:i/>
        </w:rPr>
        <w:t>in Kraft am 1. April 2022 </w:t>
      </w:r>
      <w:r w:rsidR="00C92B4A" w:rsidRPr="009118AB">
        <w:rPr>
          <w:rFonts w:ascii="Times New Roman Italique" w:hAnsi="Times New Roman Italique"/>
          <w:i/>
        </w:rPr>
        <w:t>und anwendbar auf die ab dem 1.</w:t>
      </w:r>
      <w:r w:rsidR="00C92B4A" w:rsidRPr="009118AB">
        <w:rPr>
          <w:rFonts w:ascii="Times New Roman Italique" w:hAnsi="Times New Roman Italique" w:hint="eastAsia"/>
          <w:i/>
        </w:rPr>
        <w:t> </w:t>
      </w:r>
      <w:r w:rsidR="00C92B4A" w:rsidRPr="009118AB">
        <w:rPr>
          <w:rFonts w:ascii="Times New Roman Italique" w:hAnsi="Times New Roman Italique"/>
          <w:i/>
        </w:rPr>
        <w:t>Juli</w:t>
      </w:r>
      <w:r w:rsidR="00C92B4A" w:rsidRPr="009118AB">
        <w:rPr>
          <w:rFonts w:ascii="Times New Roman Italique" w:hAnsi="Times New Roman Italique" w:hint="eastAsia"/>
          <w:i/>
        </w:rPr>
        <w:t> </w:t>
      </w:r>
      <w:r w:rsidR="00C92B4A" w:rsidRPr="009118AB">
        <w:rPr>
          <w:rFonts w:ascii="Times New Roman Italique" w:hAnsi="Times New Roman Italique"/>
          <w:i/>
        </w:rPr>
        <w:t>2022 eingereichten Anträge auf Erstattung des Vorabzugs</w:t>
      </w:r>
      <w:r w:rsidR="00FD68E8" w:rsidRPr="009118AB">
        <w:rPr>
          <w:rFonts w:ascii="Times New Roman Italique" w:hAnsi="Times New Roman Italique"/>
          <w:i/>
        </w:rPr>
        <w:t> </w:t>
      </w:r>
      <w:r w:rsidR="00FD68E8" w:rsidRPr="009118AB">
        <w:rPr>
          <w:rFonts w:ascii="Times New Roman Italique" w:hAnsi="Times New Roman Italique" w:hint="eastAsia"/>
          <w:i/>
        </w:rPr>
        <w:t>-</w:t>
      </w:r>
      <w:r w:rsidR="00B45A64">
        <w:rPr>
          <w:rFonts w:ascii="Times New Roman Italique" w:hAnsi="Times New Roman Italique"/>
          <w:i/>
        </w:rPr>
        <w:t>; Abs.</w:t>
      </w:r>
      <w:r w:rsidR="00B45A64">
        <w:rPr>
          <w:rFonts w:ascii="Times New Roman Italique" w:hAnsi="Times New Roman Italique" w:hint="eastAsia"/>
          <w:i/>
        </w:rPr>
        <w:t> </w:t>
      </w:r>
      <w:r w:rsidR="00B45A64">
        <w:rPr>
          <w:rFonts w:ascii="Times New Roman Italique" w:hAnsi="Times New Roman Italique"/>
          <w:i/>
        </w:rPr>
        <w:t>2 eingefügt durch Art. 72</w:t>
      </w:r>
      <w:r w:rsidR="00B45A64" w:rsidRPr="00B45A64">
        <w:rPr>
          <w:rFonts w:ascii="Times New Roman Italique" w:hAnsi="Times New Roman Italique"/>
          <w:i/>
          <w:iCs/>
        </w:rPr>
        <w:t xml:space="preserve"> des G. vom 12. Mai 2024 (B.S. vom 29. Mai 2024)</w:t>
      </w:r>
      <w:r w:rsidR="00FD68E8" w:rsidRPr="009118AB">
        <w:rPr>
          <w:rFonts w:ascii="Times New Roman Italique" w:hAnsi="Times New Roman Italique" w:hint="eastAsia"/>
          <w:i/>
        </w:rPr>
        <w:t>]</w:t>
      </w:r>
    </w:p>
    <w:p w14:paraId="261F162E" w14:textId="77777777" w:rsidR="00F51DE4" w:rsidRPr="009118AB"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4B280D4F" w14:textId="77777777" w:rsidR="00F51DE4" w:rsidRPr="009118AB"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EA93B0" w14:textId="3E76503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369</w:t>
      </w:r>
      <w:r w:rsidR="00D67EB8" w:rsidRPr="009118AB">
        <w:t> - </w:t>
      </w:r>
      <w:r w:rsidRPr="009118AB">
        <w:t>Die Bestimmungen der Artikel 366, 367, 371 und 372 sind ebenfalls auf Anträge auf Erlass oder Ermäßigung des Immobiliensteuervorabzugs in den in Artikel 257 erwähnten Fällen anwendbar.</w:t>
      </w:r>
    </w:p>
    <w:p w14:paraId="1630ABF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4110B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F2A55D5" w14:textId="4204C02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370</w:t>
      </w:r>
      <w:r w:rsidR="00D67EB8" w:rsidRPr="009118AB">
        <w:t> - </w:t>
      </w:r>
      <w:r w:rsidRPr="009118AB">
        <w:t>[...]</w:t>
      </w:r>
    </w:p>
    <w:p w14:paraId="062B85B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EB4FC24" w14:textId="4332704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370 aufgehoben durch </w:t>
      </w:r>
      <w:r w:rsidR="00D67EB8" w:rsidRPr="009118AB">
        <w:rPr>
          <w:i/>
          <w:iCs/>
        </w:rPr>
        <w:t>Art. </w:t>
      </w:r>
      <w:r w:rsidRPr="009118AB">
        <w:rPr>
          <w:i/>
          <w:iCs/>
        </w:rPr>
        <w:t>377 des G. vom 27. Dezember 2004 (B.S. vom 31. Dezember 2004)]</w:t>
      </w:r>
    </w:p>
    <w:p w14:paraId="1039E24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7AB42B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02A6C4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t>[...]</w:t>
      </w:r>
    </w:p>
    <w:p w14:paraId="1688897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0E00AF" w14:textId="78BC85F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 xml:space="preserve">[Unterteilung in Unterabschnitte aufgehoben durch </w:t>
      </w:r>
      <w:r w:rsidR="00D67EB8" w:rsidRPr="009118AB">
        <w:rPr>
          <w:i/>
          <w:iCs/>
        </w:rPr>
        <w:t>Art. </w:t>
      </w:r>
      <w:r w:rsidRPr="009118AB">
        <w:rPr>
          <w:i/>
          <w:iCs/>
        </w:rPr>
        <w:t>23 Buchstabe C des G. vom 15. März 1999 (B.S. vom 27. März 1999)</w:t>
      </w:r>
      <w:r w:rsidR="00D67EB8" w:rsidRPr="009118AB">
        <w:rPr>
          <w:i/>
          <w:iCs/>
        </w:rPr>
        <w:t> - </w:t>
      </w:r>
      <w:r w:rsidRPr="009118AB">
        <w:rPr>
          <w:i/>
          <w:iCs/>
        </w:rPr>
        <w:t>anwendbar ab dem Steuerjahr 1999</w:t>
      </w:r>
      <w:r w:rsidR="00FD68E8" w:rsidRPr="009118AB">
        <w:rPr>
          <w:i/>
          <w:iCs/>
        </w:rPr>
        <w:t> -]</w:t>
      </w:r>
    </w:p>
    <w:p w14:paraId="273CEF6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7B7F96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7E717B2" w14:textId="1876777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371</w:t>
      </w:r>
      <w:r w:rsidR="00D67EB8" w:rsidRPr="009118AB">
        <w:t> - </w:t>
      </w:r>
      <w:r w:rsidRPr="009118AB">
        <w:t xml:space="preserve">[Widersprüche müssen mit Gründen versehen sein und zur Vermeidung des Verfalls [innerhalb einer Frist von </w:t>
      </w:r>
      <w:r w:rsidR="00E53E78" w:rsidRPr="009118AB">
        <w:t>einem Jahr</w:t>
      </w:r>
      <w:r w:rsidRPr="009118AB">
        <w:t xml:space="preserve">] </w:t>
      </w:r>
      <w:r w:rsidR="00CF63CE" w:rsidRPr="009118AB">
        <w:t>[ab dem dritten Werktag nach dem Datum der Versendung des Steuerbescheids, auf dem die Widerspruchsfrist vermerkt ist, so wie dieses Datum auf vorerwähntem Steuerbescheid angegeben ist, oder nach dem Datum des Veran</w:t>
      </w:r>
      <w:r w:rsidR="00CF63CE" w:rsidRPr="009118AB">
        <w:softHyphen/>
        <w:t xml:space="preserve">lagungsbescheids oder der Erhebung der Steuern auf andere Weise als per Heberolle] </w:t>
      </w:r>
      <w:r w:rsidRPr="009118AB">
        <w:t>eingereicht werden.]</w:t>
      </w:r>
    </w:p>
    <w:p w14:paraId="1784BB2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0C25C0" w14:textId="77777777" w:rsidR="00972D68" w:rsidRPr="009118AB" w:rsidRDefault="00972D6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[In dem in Artikel 302 Absatz 2 erwähnten Fall läuft die Frist ab dem Datum, an dem der Steuerbescheid dem Steuerpflichtigen anhand eines Verfahrens, bei dem Informatik</w:t>
      </w:r>
      <w:r w:rsidRPr="009118AB">
        <w:softHyphen/>
        <w:t>techniken verwendet werden, zur Verfügung gestellt worden ist.]</w:t>
      </w:r>
    </w:p>
    <w:p w14:paraId="1F111024" w14:textId="77777777" w:rsidR="00195327" w:rsidRPr="009118AB" w:rsidRDefault="0019532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CA5034D" w14:textId="77777777" w:rsidR="00195327" w:rsidRPr="009118AB" w:rsidRDefault="0019532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[Wird ein Widerspruch per Einschreiben eingelegt, gilt das Datum des Poststempels auf dem Versendungsnachweis als Datum der Einlegung.]</w:t>
      </w:r>
    </w:p>
    <w:p w14:paraId="117C9317" w14:textId="77777777" w:rsidR="00972D68" w:rsidRPr="009118AB" w:rsidRDefault="00972D6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323A568" w14:textId="108F9AE8" w:rsidR="00477B8F" w:rsidRPr="009118AB" w:rsidRDefault="00477B8F" w:rsidP="00972D68">
      <w:pPr>
        <w:autoSpaceDE w:val="0"/>
        <w:autoSpaceDN w:val="0"/>
        <w:adjustRightInd w:val="0"/>
        <w:jc w:val="both"/>
        <w:rPr>
          <w:i/>
          <w:iCs/>
        </w:rPr>
      </w:pPr>
      <w:r w:rsidRPr="009118AB">
        <w:rPr>
          <w:i/>
          <w:iCs/>
          <w:spacing w:val="-2"/>
        </w:rPr>
        <w:t>[</w:t>
      </w:r>
      <w:r w:rsidR="00D67EB8" w:rsidRPr="009118AB">
        <w:rPr>
          <w:i/>
          <w:iCs/>
          <w:spacing w:val="-2"/>
        </w:rPr>
        <w:t>Art. </w:t>
      </w:r>
      <w:r w:rsidRPr="009118AB">
        <w:rPr>
          <w:i/>
          <w:iCs/>
          <w:spacing w:val="-2"/>
        </w:rPr>
        <w:t xml:space="preserve">371 </w:t>
      </w:r>
      <w:r w:rsidR="00D67EB8" w:rsidRPr="009118AB">
        <w:rPr>
          <w:i/>
          <w:iCs/>
          <w:spacing w:val="-2"/>
        </w:rPr>
        <w:t>Abs. </w:t>
      </w:r>
      <w:r w:rsidR="00972D68" w:rsidRPr="009118AB">
        <w:rPr>
          <w:i/>
          <w:iCs/>
          <w:spacing w:val="-2"/>
        </w:rPr>
        <w:t xml:space="preserve">1 (früherer einziger Absatz) </w:t>
      </w:r>
      <w:r w:rsidRPr="009118AB">
        <w:rPr>
          <w:i/>
          <w:iCs/>
          <w:spacing w:val="-2"/>
        </w:rPr>
        <w:t xml:space="preserve">ersetzt durch </w:t>
      </w:r>
      <w:r w:rsidR="00D67EB8" w:rsidRPr="009118AB">
        <w:rPr>
          <w:i/>
          <w:iCs/>
          <w:spacing w:val="-2"/>
        </w:rPr>
        <w:t>Art. </w:t>
      </w:r>
      <w:r w:rsidRPr="009118AB">
        <w:rPr>
          <w:i/>
          <w:iCs/>
          <w:spacing w:val="-2"/>
        </w:rPr>
        <w:t>28 des G. vom 15. März 1999 (B.S. vom 27. März 1999)</w:t>
      </w:r>
      <w:r w:rsidR="00D67EB8" w:rsidRPr="009118AB">
        <w:rPr>
          <w:i/>
          <w:iCs/>
          <w:spacing w:val="-2"/>
        </w:rPr>
        <w:t> - </w:t>
      </w:r>
      <w:r w:rsidRPr="009118AB">
        <w:rPr>
          <w:i/>
          <w:iCs/>
          <w:spacing w:val="-2"/>
        </w:rPr>
        <w:t>anwendbar ab dem Steuerjahr 1999</w:t>
      </w:r>
      <w:r w:rsidR="00D67EB8" w:rsidRPr="009118AB">
        <w:rPr>
          <w:i/>
          <w:iCs/>
          <w:spacing w:val="-2"/>
        </w:rPr>
        <w:t> - </w:t>
      </w:r>
      <w:r w:rsidRPr="009118AB">
        <w:rPr>
          <w:i/>
          <w:iCs/>
          <w:spacing w:val="-2"/>
        </w:rPr>
        <w:t xml:space="preserve">und abgeändert durch </w:t>
      </w:r>
      <w:r w:rsidR="00D67EB8" w:rsidRPr="009118AB">
        <w:rPr>
          <w:i/>
          <w:iCs/>
          <w:spacing w:val="-2"/>
        </w:rPr>
        <w:t>Art. </w:t>
      </w:r>
      <w:r w:rsidRPr="009118AB">
        <w:rPr>
          <w:i/>
          <w:iCs/>
          <w:spacing w:val="-2"/>
        </w:rPr>
        <w:t>7 des G. vom 20. Juli 2006 (I)</w:t>
      </w:r>
      <w:r w:rsidRPr="009118AB">
        <w:rPr>
          <w:i/>
          <w:iCs/>
        </w:rPr>
        <w:t xml:space="preserve"> (B.S. vom 28. Juli 2006)</w:t>
      </w:r>
      <w:r w:rsidR="00D67EB8" w:rsidRPr="009118AB">
        <w:rPr>
          <w:i/>
          <w:iCs/>
        </w:rPr>
        <w:t> - </w:t>
      </w:r>
      <w:r w:rsidRPr="009118AB">
        <w:rPr>
          <w:i/>
          <w:iCs/>
        </w:rPr>
        <w:t>in Kraft ab dem 1. August 2006 (Ist die Widerspruchsfrist, erwähnt in Artikel 371, so wie er vor seiner Abänderung durch Artikel 7 des Gesetzes vom 20. Juli</w:t>
      </w:r>
      <w:r w:rsidR="00362E71" w:rsidRPr="009118AB">
        <w:rPr>
          <w:i/>
          <w:iCs/>
        </w:rPr>
        <w:t> </w:t>
      </w:r>
      <w:r w:rsidRPr="009118AB">
        <w:rPr>
          <w:i/>
          <w:iCs/>
        </w:rPr>
        <w:t>2006 bestand, am 1. August 2006 nicht abgelaufen, kann der Widerspruch innerhalb einer Frist von sechs Monaten ab dem Datum der Versendung des Steuerbescheids, auf dem die Widerspruchsfrist vermerkt ist, oder des Veranlagungsbescheids oder ab dem Datum der Erhebung der Steuern auf andere Weise als per Heberolle eingereicht werden.)</w:t>
      </w:r>
      <w:r w:rsidR="00D67EB8" w:rsidRPr="009118AB">
        <w:rPr>
          <w:i/>
          <w:iCs/>
        </w:rPr>
        <w:t> -</w:t>
      </w:r>
      <w:r w:rsidR="00E53E78" w:rsidRPr="009118AB">
        <w:rPr>
          <w:i/>
          <w:iCs/>
        </w:rPr>
        <w:t>,</w:t>
      </w:r>
      <w:r w:rsidR="00942F31" w:rsidRPr="009118AB">
        <w:rPr>
          <w:i/>
          <w:iCs/>
        </w:rPr>
        <w:t xml:space="preserve"> </w:t>
      </w:r>
      <w:r w:rsidR="00D67EB8" w:rsidRPr="009118AB">
        <w:rPr>
          <w:i/>
          <w:iCs/>
        </w:rPr>
        <w:t>Art. </w:t>
      </w:r>
      <w:r w:rsidR="00942F31" w:rsidRPr="009118AB">
        <w:rPr>
          <w:i/>
          <w:iCs/>
        </w:rPr>
        <w:t>9</w:t>
      </w:r>
      <w:r w:rsidR="00942F31" w:rsidRPr="009118AB">
        <w:rPr>
          <w:i/>
        </w:rPr>
        <w:t xml:space="preserve"> des G. vom 19. Mai 2010 (B.S. vom 28. Mai 2010)</w:t>
      </w:r>
      <w:r w:rsidR="00744567" w:rsidRPr="009118AB">
        <w:rPr>
          <w:i/>
        </w:rPr>
        <w:t xml:space="preserve"> </w:t>
      </w:r>
      <w:r w:rsidR="00E53E78" w:rsidRPr="009118AB">
        <w:rPr>
          <w:i/>
        </w:rPr>
        <w:t>und Art. 98</w:t>
      </w:r>
      <w:r w:rsidR="00744567" w:rsidRPr="009118AB">
        <w:rPr>
          <w:i/>
          <w:iCs/>
        </w:rPr>
        <w:t xml:space="preserve"> des G. vom 20. November 2022 (B.S. vom 30. November 2022) - in Kraft am 1. Januar 2023 -</w:t>
      </w:r>
      <w:r w:rsidR="00972D68" w:rsidRPr="009118AB">
        <w:rPr>
          <w:i/>
        </w:rPr>
        <w:t xml:space="preserve">; </w:t>
      </w:r>
      <w:r w:rsidR="00D67EB8" w:rsidRPr="009118AB">
        <w:rPr>
          <w:i/>
        </w:rPr>
        <w:t>Abs. </w:t>
      </w:r>
      <w:r w:rsidR="00972D68" w:rsidRPr="009118AB">
        <w:rPr>
          <w:i/>
        </w:rPr>
        <w:t xml:space="preserve">2 eingefügt durch </w:t>
      </w:r>
      <w:r w:rsidR="00D67EB8" w:rsidRPr="009118AB">
        <w:rPr>
          <w:i/>
        </w:rPr>
        <w:t>Art. </w:t>
      </w:r>
      <w:r w:rsidR="00972D68" w:rsidRPr="009118AB">
        <w:rPr>
          <w:i/>
        </w:rPr>
        <w:t>31</w:t>
      </w:r>
      <w:r w:rsidR="00972D68" w:rsidRPr="009118AB">
        <w:rPr>
          <w:i/>
          <w:iCs/>
        </w:rPr>
        <w:t xml:space="preserve"> des G. vom 17. Juni 2013 (B.S. vom 28. Juni 2013)</w:t>
      </w:r>
      <w:r w:rsidR="00D67EB8" w:rsidRPr="009118AB">
        <w:rPr>
          <w:i/>
          <w:iCs/>
        </w:rPr>
        <w:t> - </w:t>
      </w:r>
      <w:r w:rsidR="00972D68" w:rsidRPr="009118AB">
        <w:rPr>
          <w:i/>
          <w:iCs/>
        </w:rPr>
        <w:t>anwendbar auf Steuerbescheide in Bezug auf die Steuerjahre 2013 und folgende</w:t>
      </w:r>
      <w:r w:rsidR="003366D9" w:rsidRPr="009118AB">
        <w:rPr>
          <w:i/>
          <w:iCs/>
        </w:rPr>
        <w:t> -;</w:t>
      </w:r>
      <w:r w:rsidRPr="009118AB">
        <w:rPr>
          <w:i/>
          <w:iCs/>
        </w:rPr>
        <w:t xml:space="preserve"> </w:t>
      </w:r>
      <w:r w:rsidR="00D67EB8" w:rsidRPr="009118AB">
        <w:rPr>
          <w:i/>
          <w:iCs/>
        </w:rPr>
        <w:t>Abs. </w:t>
      </w:r>
      <w:r w:rsidR="00195327" w:rsidRPr="009118AB">
        <w:rPr>
          <w:i/>
          <w:iCs/>
        </w:rPr>
        <w:t xml:space="preserve">3 eingefügt durch </w:t>
      </w:r>
      <w:r w:rsidR="00D67EB8" w:rsidRPr="009118AB">
        <w:rPr>
          <w:i/>
          <w:iCs/>
        </w:rPr>
        <w:t>Art. </w:t>
      </w:r>
      <w:r w:rsidR="00195327" w:rsidRPr="009118AB">
        <w:rPr>
          <w:i/>
          <w:iCs/>
        </w:rPr>
        <w:t>16 des G. vom 25. April 2014</w:t>
      </w:r>
      <w:r w:rsidR="004D171C" w:rsidRPr="009118AB">
        <w:rPr>
          <w:i/>
          <w:iCs/>
        </w:rPr>
        <w:t> </w:t>
      </w:r>
      <w:r w:rsidR="00195327" w:rsidRPr="009118AB">
        <w:rPr>
          <w:i/>
          <w:iCs/>
        </w:rPr>
        <w:t>(II) (B.S. vom 19. August 20014)</w:t>
      </w:r>
      <w:r w:rsidRPr="009118AB">
        <w:rPr>
          <w:i/>
          <w:iCs/>
        </w:rPr>
        <w:t>]</w:t>
      </w:r>
    </w:p>
    <w:p w14:paraId="1099B6B4" w14:textId="77777777" w:rsidR="002E0F54" w:rsidRDefault="002E0F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DDC4DE7" w14:textId="77777777" w:rsidR="002E0F54" w:rsidRDefault="002E0F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1DC5F78" w14:textId="39F7B556" w:rsidR="002E0F54" w:rsidRDefault="002E0F54" w:rsidP="002E0F54">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371 wie folgt:</w:t>
      </w:r>
    </w:p>
    <w:p w14:paraId="3E4752AA" w14:textId="77777777" w:rsidR="002E0F54" w:rsidRDefault="002E0F54" w:rsidP="002E0F54">
      <w:pPr>
        <w:autoSpaceDE w:val="0"/>
        <w:autoSpaceDN w:val="0"/>
        <w:adjustRightInd w:val="0"/>
        <w:jc w:val="both"/>
        <w:rPr>
          <w:iCs/>
          <w:sz w:val="20"/>
          <w:szCs w:val="20"/>
        </w:rPr>
      </w:pPr>
    </w:p>
    <w:p w14:paraId="3E2C4C4F" w14:textId="0A3298EF"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2E0F54">
        <w:rPr>
          <w:iCs/>
          <w:sz w:val="20"/>
          <w:szCs w:val="20"/>
        </w:rPr>
        <w:t xml:space="preserve">Art. 371 - [Widersprüche müssen mit Gründen versehen sein und zur Vermeidung des Verfalls [innerhalb einer Frist von einem Jahr] [ab dem dritten Werktag </w:t>
      </w:r>
      <w:r>
        <w:rPr>
          <w:iCs/>
          <w:sz w:val="20"/>
          <w:szCs w:val="20"/>
        </w:rPr>
        <w:t>[</w:t>
      </w:r>
      <w:r w:rsidRPr="002E0F54">
        <w:rPr>
          <w:iCs/>
          <w:sz w:val="20"/>
          <w:szCs w:val="20"/>
        </w:rPr>
        <w:t>nach dem Datum der Übermittlung des Steuerbescheids</w:t>
      </w:r>
      <w:r>
        <w:rPr>
          <w:iCs/>
          <w:sz w:val="20"/>
          <w:szCs w:val="20"/>
        </w:rPr>
        <w:t>]</w:t>
      </w:r>
      <w:r w:rsidRPr="002E0F54">
        <w:rPr>
          <w:iCs/>
          <w:sz w:val="20"/>
          <w:szCs w:val="20"/>
        </w:rPr>
        <w:t>, auf dem die Widerspruchsfrist vermerkt ist, so wie dieses Datum auf vorerwähntem Steuerbescheid angegeben ist, oder nach dem Datum des Veran</w:t>
      </w:r>
      <w:r w:rsidRPr="002E0F54">
        <w:rPr>
          <w:iCs/>
          <w:sz w:val="20"/>
          <w:szCs w:val="20"/>
        </w:rPr>
        <w:softHyphen/>
        <w:t>lagungsbescheids oder der Erhebung der Steuern auf andere Weise als per Heberolle] eingereicht werden.]</w:t>
      </w:r>
    </w:p>
    <w:p w14:paraId="44784A5E" w14:textId="77777777"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5C9BF8E" w14:textId="098F6269"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2E0F54">
        <w:rPr>
          <w:iCs/>
          <w:sz w:val="20"/>
          <w:szCs w:val="20"/>
        </w:rPr>
        <w:t>[</w:t>
      </w:r>
      <w:r>
        <w:rPr>
          <w:iCs/>
          <w:sz w:val="20"/>
          <w:szCs w:val="20"/>
        </w:rPr>
        <w:t>..</w:t>
      </w:r>
      <w:r w:rsidRPr="002E0F54">
        <w:rPr>
          <w:iCs/>
          <w:sz w:val="20"/>
          <w:szCs w:val="20"/>
        </w:rPr>
        <w:t>.]</w:t>
      </w:r>
    </w:p>
    <w:p w14:paraId="37C68866" w14:textId="77777777"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66B746A" w14:textId="39A4DE55"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2E0F54">
        <w:rPr>
          <w:iCs/>
          <w:sz w:val="20"/>
          <w:szCs w:val="20"/>
        </w:rPr>
        <w:t xml:space="preserve">[Wird ein Widerspruch </w:t>
      </w:r>
      <w:r w:rsidR="00D45DA5">
        <w:rPr>
          <w:iCs/>
          <w:sz w:val="20"/>
          <w:szCs w:val="20"/>
        </w:rPr>
        <w:t>[</w:t>
      </w:r>
      <w:r w:rsidRPr="002E0F54">
        <w:rPr>
          <w:iCs/>
          <w:sz w:val="20"/>
          <w:szCs w:val="20"/>
        </w:rPr>
        <w:t>per Einschreibe</w:t>
      </w:r>
      <w:r w:rsidR="00D45DA5">
        <w:rPr>
          <w:iCs/>
          <w:sz w:val="20"/>
          <w:szCs w:val="20"/>
        </w:rPr>
        <w:t>sendung]</w:t>
      </w:r>
      <w:r w:rsidRPr="002E0F54">
        <w:rPr>
          <w:iCs/>
          <w:sz w:val="20"/>
          <w:szCs w:val="20"/>
        </w:rPr>
        <w:t xml:space="preserve"> eingelegt, gilt das Datum des Poststempels auf dem Versendungsnachweis als Datum der Einlegung.]</w:t>
      </w:r>
    </w:p>
    <w:p w14:paraId="735DEBA8" w14:textId="77777777"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5269479" w14:textId="6D5BC009" w:rsidR="002E0F54" w:rsidRPr="002E0F54"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2E0F54">
        <w:rPr>
          <w:i/>
          <w:iCs/>
          <w:sz w:val="20"/>
          <w:szCs w:val="20"/>
        </w:rPr>
        <w:t>[Art. 371 Abs. 1 (früherer einziger Absatz) ersetzt durch Art. 28 des G. vom 15. März 1999 (B.S. vom 27. März 1999) - anwendbar ab dem Steuerjahr 1999 - und abgeändert durch Art. 7 des G. vom 20. Juli 2006 (I) (B.S. vom 28. Juli 2006) - in Kraft ab dem 1. August 2006 (Ist die Widerspruchsfrist, erwähnt in Artikel 371, so wie er vor seiner Abänderung durch Artikel 7 des Gesetzes vom 20. Juli 2006 bestand, am 1. August 2006 nicht abgelaufen, kann der Widerspruch innerhalb einer Frist von sechs Monaten ab dem Datum der Versendung des Steuerbescheids, auf dem die Widerspruchsfrist vermerkt ist, oder des Veranlagungsbescheids oder ab dem Datum der Erhebung der Steuern auf andere Weise als per Heberolle eingereicht werden.) -, Art. 9 des G. vom 19. Mai 2010 (B.S. vom 28. Mai 2010)</w:t>
      </w:r>
      <w:r>
        <w:rPr>
          <w:i/>
          <w:iCs/>
          <w:sz w:val="20"/>
          <w:szCs w:val="20"/>
        </w:rPr>
        <w:t>,</w:t>
      </w:r>
      <w:r w:rsidRPr="002E0F54">
        <w:rPr>
          <w:i/>
          <w:iCs/>
          <w:sz w:val="20"/>
          <w:szCs w:val="20"/>
        </w:rPr>
        <w:t xml:space="preserve"> Art. 98 des G. vom 20. November 2022 (B.S. vom 30. November 2022) - in Kraft am 1. Januar 2023 -</w:t>
      </w:r>
      <w:r>
        <w:rPr>
          <w:i/>
          <w:iCs/>
          <w:sz w:val="20"/>
          <w:szCs w:val="20"/>
        </w:rPr>
        <w:t xml:space="preserve">, </w:t>
      </w:r>
      <w:r w:rsidRPr="002E0F54">
        <w:rPr>
          <w:i/>
          <w:iCs/>
          <w:sz w:val="20"/>
          <w:szCs w:val="20"/>
        </w:rPr>
        <w:t>Art. 36 Nr. 1 des G. vom 26. Januar 2021 (B.S. vom 10. Februar 2021) - in Kraft am 1. Januar 2025 -, selbst aufgehoben durch Art. 213 des G. vom 12. Mai 2024 (B.S. vom 30. Mai 2024)</w:t>
      </w:r>
      <w:r>
        <w:rPr>
          <w:i/>
          <w:iCs/>
          <w:sz w:val="20"/>
          <w:szCs w:val="20"/>
        </w:rPr>
        <w:t>, und durch Art. 36 Nr. 1</w:t>
      </w:r>
      <w:r w:rsidRPr="002E0F54">
        <w:rPr>
          <w:i/>
          <w:iCs/>
          <w:sz w:val="20"/>
          <w:szCs w:val="20"/>
        </w:rPr>
        <w:t xml:space="preserve"> des G. vom 12. Mai 2024 (B.S. vom 30. Mai 2024) - </w:t>
      </w:r>
      <w:r w:rsidR="00D45DA5" w:rsidRPr="00D45DA5">
        <w:rPr>
          <w:i/>
          <w:iCs/>
          <w:sz w:val="20"/>
          <w:szCs w:val="20"/>
        </w:rPr>
        <w:t>in Kraft für alle oder bestimmte Kategorien von Inhabern einer Unternehmensnummer sowie für natürliche Personen an dem jeweils vom König festzulegenden Datum und spätestens am 1. Januar 2028 </w:t>
      </w:r>
      <w:r w:rsidRPr="002E0F54">
        <w:rPr>
          <w:i/>
          <w:iCs/>
          <w:sz w:val="20"/>
          <w:szCs w:val="20"/>
        </w:rPr>
        <w:t xml:space="preserve">-; </w:t>
      </w:r>
      <w:r>
        <w:rPr>
          <w:i/>
          <w:iCs/>
          <w:sz w:val="20"/>
          <w:szCs w:val="20"/>
        </w:rPr>
        <w:t xml:space="preserve">früherer </w:t>
      </w:r>
      <w:r w:rsidRPr="002E0F54">
        <w:rPr>
          <w:i/>
          <w:iCs/>
          <w:sz w:val="20"/>
          <w:szCs w:val="20"/>
        </w:rPr>
        <w:t>Abs</w:t>
      </w:r>
      <w:r>
        <w:rPr>
          <w:i/>
          <w:iCs/>
          <w:sz w:val="20"/>
          <w:szCs w:val="20"/>
        </w:rPr>
        <w:t>atz</w:t>
      </w:r>
      <w:r w:rsidRPr="002E0F54">
        <w:rPr>
          <w:i/>
          <w:iCs/>
          <w:sz w:val="20"/>
          <w:szCs w:val="20"/>
        </w:rPr>
        <w:t> 2 eingefügt durch Art. 31 des G. vom 17. Juni 2013 (B.S. vom 28. Juni 2013) - anwendbar auf Steuerbescheide in Bezug auf die Steuerjahre 2013 und folgende -</w:t>
      </w:r>
      <w:r>
        <w:rPr>
          <w:i/>
          <w:iCs/>
          <w:sz w:val="20"/>
          <w:szCs w:val="20"/>
        </w:rPr>
        <w:t xml:space="preserve"> und aufgehoben durch Art. 36 Nr. 2</w:t>
      </w:r>
      <w:r w:rsidRPr="002E0F54">
        <w:rPr>
          <w:i/>
          <w:iCs/>
          <w:sz w:val="20"/>
          <w:szCs w:val="20"/>
        </w:rPr>
        <w:t xml:space="preserve"> des G. vom 12. Mai 2024 (B.S. vom 30. Mai 2024) - </w:t>
      </w:r>
      <w:r w:rsidR="00D45DA5" w:rsidRPr="00D45DA5">
        <w:rPr>
          <w:i/>
          <w:iCs/>
          <w:sz w:val="20"/>
          <w:szCs w:val="20"/>
        </w:rPr>
        <w:t>in Kraft für alle oder bestimmte Kategorien von Inhabern einer Unternehmensnummer sowie für natürliche Personen an dem jeweils vom König festzulegenden Datum und spätestens am 1. Januar 2028</w:t>
      </w:r>
      <w:r w:rsidR="00D45DA5">
        <w:rPr>
          <w:i/>
          <w:iCs/>
          <w:sz w:val="20"/>
          <w:szCs w:val="20"/>
        </w:rPr>
        <w:t> </w:t>
      </w:r>
      <w:r w:rsidRPr="002E0F54">
        <w:rPr>
          <w:i/>
          <w:iCs/>
          <w:sz w:val="20"/>
          <w:szCs w:val="20"/>
        </w:rPr>
        <w:t>-; Abs. </w:t>
      </w:r>
      <w:r w:rsidR="00546BE4">
        <w:rPr>
          <w:i/>
          <w:iCs/>
          <w:sz w:val="20"/>
          <w:szCs w:val="20"/>
        </w:rPr>
        <w:t>2</w:t>
      </w:r>
      <w:r w:rsidRPr="002E0F54">
        <w:rPr>
          <w:i/>
          <w:iCs/>
          <w:sz w:val="20"/>
          <w:szCs w:val="20"/>
        </w:rPr>
        <w:t xml:space="preserve"> eingefügt durch Art. 16 des G. vom 25. April 2014 (II) (B.S. vom 19. August 20014)</w:t>
      </w:r>
      <w:r w:rsidR="00D45DA5">
        <w:rPr>
          <w:i/>
          <w:iCs/>
          <w:sz w:val="20"/>
          <w:szCs w:val="20"/>
        </w:rPr>
        <w:t>,</w:t>
      </w:r>
      <w:r w:rsidR="00BD0222" w:rsidRPr="00BD0222">
        <w:rPr>
          <w:i/>
          <w:iCs/>
          <w:sz w:val="20"/>
          <w:szCs w:val="20"/>
        </w:rPr>
        <w:t xml:space="preserve"> ersetzt durch Art. 36 Nr. 3 des G. vom 26. Januar 2021 (B.S. vom 10. Februar 2021) - in Kraft am 1. Januar 2025 -, selbst aufgehoben durch Art. 213 des G. vom 12. Mai 2024 (B.S. vom 30. Mai 2024)</w:t>
      </w:r>
      <w:r w:rsidR="00D45DA5">
        <w:rPr>
          <w:i/>
          <w:iCs/>
          <w:sz w:val="20"/>
          <w:szCs w:val="20"/>
        </w:rPr>
        <w:t>, und abgeändert durch Art. 36 Nr. 3</w:t>
      </w:r>
      <w:r w:rsidR="00D45DA5" w:rsidRPr="00D45DA5">
        <w:rPr>
          <w:i/>
          <w:iCs/>
          <w:sz w:val="20"/>
          <w:szCs w:val="20"/>
        </w:rPr>
        <w:t xml:space="preserve"> </w:t>
      </w:r>
      <w:r w:rsidR="00D45DA5" w:rsidRPr="00BD0222">
        <w:rPr>
          <w:i/>
          <w:iCs/>
          <w:sz w:val="20"/>
          <w:szCs w:val="20"/>
        </w:rPr>
        <w:t>des G. vom 12. Mai 2024 (B.S. vom 30. Mai 2024)</w:t>
      </w:r>
      <w:r w:rsidR="00D45DA5">
        <w:rPr>
          <w:i/>
          <w:iCs/>
          <w:sz w:val="20"/>
          <w:szCs w:val="20"/>
        </w:rPr>
        <w:t> - </w:t>
      </w:r>
      <w:r w:rsidR="00D45DA5" w:rsidRPr="00D45DA5">
        <w:rPr>
          <w:i/>
          <w:iCs/>
          <w:sz w:val="20"/>
          <w:szCs w:val="20"/>
        </w:rPr>
        <w:t>in Kraft für alle oder bestimmte Kategorien von Inhabern einer Unternehmensnummer sowie für natürliche Personen an dem jeweils vom König festzulegenden Datum und spätestens am 1. Januar 2028</w:t>
      </w:r>
      <w:r w:rsidR="00D45DA5">
        <w:rPr>
          <w:i/>
          <w:iCs/>
          <w:sz w:val="20"/>
          <w:szCs w:val="20"/>
        </w:rPr>
        <w:t> -</w:t>
      </w:r>
      <w:r w:rsidRPr="002E0F54">
        <w:rPr>
          <w:i/>
          <w:iCs/>
          <w:sz w:val="20"/>
          <w:szCs w:val="20"/>
        </w:rPr>
        <w:t>]</w:t>
      </w:r>
      <w:r w:rsidR="00BD0222">
        <w:rPr>
          <w:sz w:val="20"/>
          <w:szCs w:val="20"/>
        </w:rPr>
        <w:t>"</w:t>
      </w:r>
    </w:p>
    <w:p w14:paraId="1F7F2430" w14:textId="641ADD51" w:rsidR="002E0F54" w:rsidRPr="009118AB"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9FDDE04" w14:textId="77777777" w:rsidR="00BD0222" w:rsidRDefault="00BD022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540E603" w14:textId="012C427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372</w:t>
      </w:r>
      <w:r w:rsidR="00D67EB8" w:rsidRPr="009118AB">
        <w:t> - </w:t>
      </w:r>
      <w:r w:rsidRPr="009118AB">
        <w:t>[Solange kein Beschluss gefasst wurde, kann der Steuerschuldner</w:t>
      </w:r>
      <w:r w:rsidR="005255B9" w:rsidRPr="009118AB">
        <w:t>[</w:t>
      </w:r>
      <w:r w:rsidR="005255B9" w:rsidRPr="009118AB">
        <w:rPr>
          <w:rFonts w:eastAsia="Calibri"/>
          <w:lang w:eastAsia="en-US"/>
        </w:rPr>
        <w:t>, sein Ehepartner, auf dessen Güter die Steuer beigetrieben wird, oder der Mitschuldner wie in Artikel 2 des Gesetzbuches über die gütliche Beitreibung und die Zwangsbeitreibung von Steuerforderungen und nichtsteuerlichen Forderungen erwähnt</w:t>
      </w:r>
      <w:r w:rsidR="005255B9" w:rsidRPr="009118AB">
        <w:t>]</w:t>
      </w:r>
      <w:r w:rsidRPr="009118AB">
        <w:t xml:space="preserve"> seinem ursprünglichen Widerspruch neue schriftlich formulierte Widerspruchsgründe hinzufügen, selbst wenn sie außerhalb der in Artikel 371 festgelegten Frist eingereicht werden.]</w:t>
      </w:r>
    </w:p>
    <w:p w14:paraId="45C4C068"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C4CB03" w14:textId="77777777" w:rsidR="00546BE4" w:rsidRDefault="00546BE4">
      <w:r>
        <w:br w:type="page"/>
      </w:r>
    </w:p>
    <w:p w14:paraId="67E544D7" w14:textId="093B15ED" w:rsidR="00546BE4" w:rsidRDefault="00546B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ab/>
        <w:t>[…]</w:t>
      </w:r>
    </w:p>
    <w:p w14:paraId="15C6DDE3" w14:textId="77777777" w:rsidR="00546BE4" w:rsidRPr="009118AB" w:rsidRDefault="00546B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2386E7" w14:textId="73231EBD" w:rsidR="00972D68"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372 ersetzt durch </w:t>
      </w:r>
      <w:r w:rsidR="00D67EB8" w:rsidRPr="009118AB">
        <w:rPr>
          <w:i/>
          <w:iCs/>
        </w:rPr>
        <w:t>Art. </w:t>
      </w:r>
      <w:r w:rsidRPr="009118AB">
        <w:rPr>
          <w:i/>
          <w:iCs/>
        </w:rPr>
        <w:t>29 des G. vom 15. März </w:t>
      </w:r>
      <w:r w:rsidR="00B64F05" w:rsidRPr="009118AB">
        <w:rPr>
          <w:i/>
          <w:iCs/>
        </w:rPr>
        <w:t xml:space="preserve">1999 (B.S. vom </w:t>
      </w:r>
      <w:r w:rsidR="00B64F05" w:rsidRPr="00C15B15">
        <w:rPr>
          <w:i/>
          <w:iCs/>
        </w:rPr>
        <w:t>27. März 1999)</w:t>
      </w:r>
      <w:r w:rsidR="00D67EB8" w:rsidRPr="00C15B15">
        <w:rPr>
          <w:i/>
          <w:iCs/>
        </w:rPr>
        <w:t> - </w:t>
      </w:r>
      <w:r w:rsidRPr="00C15B15">
        <w:rPr>
          <w:i/>
          <w:iCs/>
        </w:rPr>
        <w:t>anwendbar ab dem Steuerjahr 1999</w:t>
      </w:r>
      <w:r w:rsidR="00D67EB8" w:rsidRPr="00C15B15">
        <w:rPr>
          <w:i/>
          <w:iCs/>
        </w:rPr>
        <w:t> - </w:t>
      </w:r>
      <w:r w:rsidR="005255B9" w:rsidRPr="00C15B15">
        <w:rPr>
          <w:i/>
          <w:iCs/>
        </w:rPr>
        <w:t xml:space="preserve">und abgeändert durch </w:t>
      </w:r>
      <w:r w:rsidR="00D67EB8" w:rsidRPr="00C15B15">
        <w:rPr>
          <w:i/>
          <w:iCs/>
        </w:rPr>
        <w:t>Art. </w:t>
      </w:r>
      <w:r w:rsidR="005255B9" w:rsidRPr="00C15B15">
        <w:rPr>
          <w:i/>
          <w:iCs/>
        </w:rPr>
        <w:t xml:space="preserve">38 des G. </w:t>
      </w:r>
      <w:r w:rsidR="005255B9" w:rsidRPr="00C15B15">
        <w:rPr>
          <w:rFonts w:ascii="Times New Roman Italique" w:hAnsi="Times New Roman Italique"/>
          <w:i/>
          <w:iCs/>
          <w:spacing w:val="-2"/>
        </w:rPr>
        <w:t>vom 13. April 2019 (II) (B.S. vom 30. April 2019)</w:t>
      </w:r>
      <w:r w:rsidR="00D67EB8" w:rsidRPr="00C15B15">
        <w:rPr>
          <w:rFonts w:ascii="Times New Roman Italique" w:hAnsi="Times New Roman Italique"/>
          <w:i/>
          <w:iCs/>
          <w:spacing w:val="-2"/>
        </w:rPr>
        <w:t> - </w:t>
      </w:r>
      <w:r w:rsidR="005255B9" w:rsidRPr="00C15B15">
        <w:rPr>
          <w:rFonts w:ascii="Times New Roman Italique" w:hAnsi="Times New Roman Italique"/>
          <w:i/>
          <w:iCs/>
          <w:spacing w:val="-2"/>
        </w:rPr>
        <w:t>in Kraft am 1. Januar 2020</w:t>
      </w:r>
      <w:r w:rsidR="00FD68E8" w:rsidRPr="00C15B15">
        <w:rPr>
          <w:rFonts w:ascii="Times New Roman Italique" w:hAnsi="Times New Roman Italique"/>
          <w:i/>
          <w:iCs/>
          <w:spacing w:val="-2"/>
        </w:rPr>
        <w:t> -</w:t>
      </w:r>
      <w:r w:rsidR="00BD0222" w:rsidRPr="00C15B15">
        <w:rPr>
          <w:rFonts w:ascii="Times New Roman Italique" w:hAnsi="Times New Roman Italique"/>
          <w:i/>
          <w:iCs/>
          <w:spacing w:val="-2"/>
          <w:sz w:val="20"/>
          <w:szCs w:val="20"/>
        </w:rPr>
        <w:t xml:space="preserve"> </w:t>
      </w:r>
      <w:r w:rsidR="00BD0222" w:rsidRPr="00C15B15">
        <w:rPr>
          <w:rFonts w:ascii="Times New Roman Italique" w:hAnsi="Times New Roman Italique"/>
          <w:i/>
          <w:iCs/>
          <w:spacing w:val="-2"/>
        </w:rPr>
        <w:t>und Art. 37 Nr. 1 des G. vom 26. Januar 2021 (B.S. vom 10. Februar 2021) - in Kraft am 1. Januar 2025 -,</w:t>
      </w:r>
      <w:r w:rsidR="00BD0222" w:rsidRPr="00C15B15">
        <w:rPr>
          <w:i/>
          <w:iCs/>
        </w:rPr>
        <w:t xml:space="preserve"> selbst aufgehoben durch Art. 213 des G. vom 12. Mai 2024 (B.S. vom 30. Mai 2024); </w:t>
      </w:r>
      <w:r w:rsidR="00546BE4" w:rsidRPr="00C15B15">
        <w:rPr>
          <w:i/>
          <w:iCs/>
        </w:rPr>
        <w:t xml:space="preserve">früherer </w:t>
      </w:r>
      <w:r w:rsidR="00BD0222" w:rsidRPr="00C15B15">
        <w:rPr>
          <w:i/>
          <w:iCs/>
        </w:rPr>
        <w:t>Abs</w:t>
      </w:r>
      <w:r w:rsidR="00546BE4" w:rsidRPr="00C15B15">
        <w:rPr>
          <w:i/>
          <w:iCs/>
        </w:rPr>
        <w:t>atz</w:t>
      </w:r>
      <w:r w:rsidR="00BD0222" w:rsidRPr="00C15B15">
        <w:rPr>
          <w:i/>
          <w:iCs/>
        </w:rPr>
        <w:t> 2 eingefügt durch Art. 37 Nr. 2 des G. vom 26. Januar 2021 (B.S. vom 10. Februar 2021) - in Kraft am 1. Januar 2025 -, selbst aufgehoben durch Art. 213 des G. vom 12. Mai 2024 (B.S. vom 30. Mai 2024)</w:t>
      </w:r>
      <w:r w:rsidR="00FD68E8" w:rsidRPr="00C15B15">
        <w:rPr>
          <w:i/>
          <w:iCs/>
        </w:rPr>
        <w:t>]</w:t>
      </w:r>
    </w:p>
    <w:p w14:paraId="31AF2F11" w14:textId="77777777" w:rsidR="00744567" w:rsidRPr="009118AB" w:rsidRDefault="0074456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1EAA06ED" w14:textId="77777777" w:rsidR="00744567" w:rsidRPr="009118AB" w:rsidRDefault="0074456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38FB2AB4" w14:textId="7BDC6BA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373</w:t>
      </w:r>
      <w:r w:rsidR="00D67EB8" w:rsidRPr="009118AB">
        <w:t> - </w:t>
      </w:r>
      <w:r w:rsidRPr="009118AB">
        <w:t xml:space="preserve">[Wird gemäß Artikel 353 oder 354 eine Steuernachforderung für ein bestimmtes Steuerjahr festgelegt und entsteht durch die neue Steuer für denselben Steuerschuldner für ein oder mehrere Steuerjahre eine korrelative Überbesteuerung, können der Steuerschuldner und </w:t>
      </w:r>
      <w:r w:rsidR="005255B9" w:rsidRPr="009118AB">
        <w:t>[</w:t>
      </w:r>
      <w:r w:rsidR="005255B9" w:rsidRPr="009118AB">
        <w:rPr>
          <w:rFonts w:eastAsia="Calibri"/>
          <w:lang w:eastAsia="en-US"/>
        </w:rPr>
        <w:t xml:space="preserve">sein Ehepartner, auf dessen Güter die Steuer beigetrieben wird, oder der Mitschuldner wie in Artikel 2 des Gesetzbuches über die gütliche Beitreibung und die Zwangsbeitreibung von Steuerforderungen und nichtsteuerlichen Forderungen erwähnt </w:t>
      </w:r>
      <w:r w:rsidR="00744567" w:rsidRPr="009118AB">
        <w:rPr>
          <w:rFonts w:eastAsia="Calibri"/>
          <w:lang w:eastAsia="en-US"/>
        </w:rPr>
        <w:t>[</w:t>
      </w:r>
      <w:r w:rsidR="00744567" w:rsidRPr="009118AB">
        <w:t>innerhalb einer Frist von einem Jahr</w:t>
      </w:r>
      <w:r w:rsidR="00744567" w:rsidRPr="009118AB">
        <w:rPr>
          <w:rFonts w:eastAsia="Calibri"/>
          <w:lang w:eastAsia="en-US"/>
        </w:rPr>
        <w:t>]</w:t>
      </w:r>
      <w:r w:rsidR="005255B9" w:rsidRPr="009118AB">
        <w:t>]</w:t>
      </w:r>
      <w:r w:rsidRPr="009118AB">
        <w:t xml:space="preserve"> </w:t>
      </w:r>
      <w:r w:rsidR="00942F31" w:rsidRPr="009118AB">
        <w:t>[ab dem dritten Werktag nach dem Datum der Versendung des Steuerbescheids, in dem die Steuernachforderung enthalten ist]</w:t>
      </w:r>
      <w:r w:rsidRPr="009118AB">
        <w:t>, Widerspruch gegen vorerwähnte Überbesteuerung einlegen.]</w:t>
      </w:r>
    </w:p>
    <w:p w14:paraId="16A20C9E" w14:textId="77777777" w:rsidR="00972D68" w:rsidRPr="009118AB" w:rsidRDefault="00972D6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1CAB8FA" w14:textId="77777777" w:rsidR="00972D68" w:rsidRPr="009118AB" w:rsidRDefault="00972D6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[In dem in Artikel 302 Absatz 2 erwähnten Fall läuft die Frist ab dem Datum, an dem der Steuerbescheid, in dem die Steuernachforderung enthalten ist, dem Steuerpflichtigen anhand eines Verfahrens, bei dem Informatiktechniken verwendet werden, zur Verfügung gestellt worden ist.]</w:t>
      </w:r>
    </w:p>
    <w:p w14:paraId="392735C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46B670" w14:textId="76B71EAC" w:rsidR="00477B8F" w:rsidRPr="009118AB" w:rsidRDefault="00477B8F" w:rsidP="009B28F6">
      <w:pPr>
        <w:autoSpaceDE w:val="0"/>
        <w:autoSpaceDN w:val="0"/>
        <w:adjustRightInd w:val="0"/>
        <w:jc w:val="both"/>
        <w:rPr>
          <w:i/>
          <w:iCs/>
        </w:rPr>
      </w:pPr>
      <w:r w:rsidRPr="009118AB">
        <w:rPr>
          <w:i/>
          <w:iCs/>
        </w:rPr>
        <w:t>[</w:t>
      </w:r>
      <w:r w:rsidR="00D67EB8" w:rsidRPr="009118AB">
        <w:rPr>
          <w:i/>
          <w:iCs/>
        </w:rPr>
        <w:t>Art. </w:t>
      </w:r>
      <w:r w:rsidRPr="009118AB">
        <w:rPr>
          <w:i/>
          <w:iCs/>
        </w:rPr>
        <w:t xml:space="preserve">373 </w:t>
      </w:r>
      <w:r w:rsidR="00D67EB8" w:rsidRPr="009118AB">
        <w:rPr>
          <w:i/>
          <w:iCs/>
          <w:spacing w:val="-2"/>
        </w:rPr>
        <w:t>Abs. </w:t>
      </w:r>
      <w:r w:rsidR="009B28F6" w:rsidRPr="009118AB">
        <w:rPr>
          <w:i/>
          <w:iCs/>
          <w:spacing w:val="-2"/>
        </w:rPr>
        <w:t xml:space="preserve">1 (früherer einziger Absatz) </w:t>
      </w:r>
      <w:r w:rsidRPr="009118AB">
        <w:rPr>
          <w:i/>
          <w:iCs/>
        </w:rPr>
        <w:t xml:space="preserve">ersetzt durch </w:t>
      </w:r>
      <w:r w:rsidR="00D67EB8" w:rsidRPr="009118AB">
        <w:rPr>
          <w:i/>
          <w:iCs/>
        </w:rPr>
        <w:t>Art. </w:t>
      </w:r>
      <w:r w:rsidRPr="009118AB">
        <w:rPr>
          <w:i/>
          <w:iCs/>
        </w:rPr>
        <w:t>30 des G. vom 15. März 1999 (B.S. vom 27. März 1999)</w:t>
      </w:r>
      <w:r w:rsidR="00D67EB8" w:rsidRPr="009118AB">
        <w:rPr>
          <w:i/>
          <w:iCs/>
        </w:rPr>
        <w:t> - </w:t>
      </w:r>
      <w:r w:rsidRPr="009118AB">
        <w:rPr>
          <w:i/>
          <w:iCs/>
        </w:rPr>
        <w:t>anwendbar ab dem Steuerjahr 1999</w:t>
      </w:r>
      <w:r w:rsidR="00D67EB8" w:rsidRPr="009118AB">
        <w:rPr>
          <w:i/>
          <w:iCs/>
        </w:rPr>
        <w:t> - </w:t>
      </w:r>
      <w:r w:rsidR="00942F31" w:rsidRPr="009118AB">
        <w:rPr>
          <w:i/>
          <w:iCs/>
        </w:rPr>
        <w:t xml:space="preserve">und abgeändert durch </w:t>
      </w:r>
      <w:r w:rsidR="00D67EB8" w:rsidRPr="009118AB">
        <w:rPr>
          <w:i/>
          <w:iCs/>
        </w:rPr>
        <w:t>Art. </w:t>
      </w:r>
      <w:r w:rsidR="00942F31" w:rsidRPr="009118AB">
        <w:rPr>
          <w:i/>
          <w:iCs/>
        </w:rPr>
        <w:t>10</w:t>
      </w:r>
      <w:r w:rsidR="00942F31" w:rsidRPr="009118AB">
        <w:rPr>
          <w:i/>
        </w:rPr>
        <w:t xml:space="preserve"> des G. vom 19. Mai 2010 (B.S. vom 28. Mai 2010)</w:t>
      </w:r>
      <w:r w:rsidR="00744567" w:rsidRPr="009118AB">
        <w:rPr>
          <w:i/>
        </w:rPr>
        <w:t>,</w:t>
      </w:r>
      <w:r w:rsidR="005255B9" w:rsidRPr="009118AB">
        <w:rPr>
          <w:i/>
        </w:rPr>
        <w:t xml:space="preserve"> </w:t>
      </w:r>
      <w:r w:rsidR="00D67EB8" w:rsidRPr="009118AB">
        <w:rPr>
          <w:i/>
        </w:rPr>
        <w:t>Art. </w:t>
      </w:r>
      <w:r w:rsidR="005255B9" w:rsidRPr="009118AB">
        <w:rPr>
          <w:i/>
        </w:rPr>
        <w:t>39</w:t>
      </w:r>
      <w:r w:rsidR="005255B9" w:rsidRPr="009118AB">
        <w:rPr>
          <w:i/>
          <w:iCs/>
        </w:rPr>
        <w:t xml:space="preserve"> des G. vom 13. April 2019 (II) (B.S. vom 30. April 2019)</w:t>
      </w:r>
      <w:r w:rsidR="00D67EB8" w:rsidRPr="009118AB">
        <w:rPr>
          <w:i/>
          <w:iCs/>
        </w:rPr>
        <w:t> - </w:t>
      </w:r>
      <w:r w:rsidR="005255B9" w:rsidRPr="009118AB">
        <w:rPr>
          <w:i/>
          <w:iCs/>
        </w:rPr>
        <w:t>in Kraft am 1. Januar 2020</w:t>
      </w:r>
      <w:r w:rsidR="003366D9" w:rsidRPr="009118AB">
        <w:rPr>
          <w:i/>
          <w:iCs/>
        </w:rPr>
        <w:t> -</w:t>
      </w:r>
      <w:r w:rsidR="00744567" w:rsidRPr="009118AB">
        <w:rPr>
          <w:i/>
          <w:iCs/>
        </w:rPr>
        <w:t xml:space="preserve"> und Art. 99 des G. vom 20. November 2022 (B.S. vom 30. November 2022) - in Kraft am 1. Januar 2023 -</w:t>
      </w:r>
      <w:r w:rsidR="003366D9" w:rsidRPr="009118AB">
        <w:rPr>
          <w:i/>
          <w:iCs/>
        </w:rPr>
        <w:t>;</w:t>
      </w:r>
      <w:r w:rsidR="009B28F6" w:rsidRPr="009118AB">
        <w:rPr>
          <w:i/>
        </w:rPr>
        <w:t xml:space="preserve"> </w:t>
      </w:r>
      <w:r w:rsidR="00D67EB8" w:rsidRPr="009118AB">
        <w:rPr>
          <w:i/>
        </w:rPr>
        <w:t>Abs. </w:t>
      </w:r>
      <w:r w:rsidR="009B28F6" w:rsidRPr="009118AB">
        <w:rPr>
          <w:i/>
        </w:rPr>
        <w:t xml:space="preserve">2 eingefügt durch </w:t>
      </w:r>
      <w:r w:rsidR="00D67EB8" w:rsidRPr="009118AB">
        <w:rPr>
          <w:i/>
        </w:rPr>
        <w:t>Art. </w:t>
      </w:r>
      <w:r w:rsidR="009B28F6" w:rsidRPr="009118AB">
        <w:rPr>
          <w:i/>
        </w:rPr>
        <w:t>32</w:t>
      </w:r>
      <w:r w:rsidR="009B28F6" w:rsidRPr="009118AB">
        <w:rPr>
          <w:i/>
          <w:iCs/>
        </w:rPr>
        <w:t xml:space="preserve"> des G. vom 17. Juni 2013 (B.S. vom 28. Juni 2013)</w:t>
      </w:r>
      <w:r w:rsidR="00D67EB8" w:rsidRPr="009118AB">
        <w:rPr>
          <w:i/>
          <w:iCs/>
        </w:rPr>
        <w:t> - </w:t>
      </w:r>
      <w:r w:rsidR="009B28F6" w:rsidRPr="009118AB">
        <w:rPr>
          <w:i/>
          <w:iCs/>
        </w:rPr>
        <w:t>anwendbar auf Steuerbescheide in Bezug auf die Steuerjahre 2013 und folgende</w:t>
      </w:r>
      <w:r w:rsidR="00FD68E8" w:rsidRPr="009118AB">
        <w:rPr>
          <w:i/>
          <w:iCs/>
        </w:rPr>
        <w:t> -]</w:t>
      </w:r>
    </w:p>
    <w:p w14:paraId="23D1A16F" w14:textId="60A089D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D5ED75" w14:textId="6F0352E1" w:rsidR="00231C26" w:rsidRDefault="00231C2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0A49EEE" w14:textId="48F8DEB4" w:rsidR="00BD0222" w:rsidRDefault="00BD0222" w:rsidP="00BD0222">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373 wie folgt:</w:t>
      </w:r>
    </w:p>
    <w:p w14:paraId="76720306" w14:textId="77777777" w:rsidR="00BD0222" w:rsidRDefault="00BD0222" w:rsidP="00BD0222">
      <w:pPr>
        <w:autoSpaceDE w:val="0"/>
        <w:autoSpaceDN w:val="0"/>
        <w:adjustRightInd w:val="0"/>
        <w:jc w:val="both"/>
        <w:rPr>
          <w:iCs/>
          <w:sz w:val="20"/>
          <w:szCs w:val="20"/>
        </w:rPr>
      </w:pPr>
    </w:p>
    <w:p w14:paraId="36B2CC95" w14:textId="6C6F4D67" w:rsidR="00BD0222" w:rsidRPr="00BD0222"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BD0222">
        <w:rPr>
          <w:iCs/>
          <w:sz w:val="20"/>
          <w:szCs w:val="20"/>
        </w:rPr>
        <w:t xml:space="preserve">Art. 373 - [Wird gemäß Artikel 353 oder 354 eine Steuernachforderung für ein bestimmtes Steuerjahr festgelegt und entsteht durch die neue Steuer für denselben Steuerschuldner für ein oder mehrere Steuerjahre eine korrelative Überbesteuerung, können der Steuerschuldner und [sein Ehepartner, auf dessen Güter die Steuer beigetrieben wird, oder der Mitschuldner wie in Artikel 2 des Gesetzbuches über die gütliche Beitreibung und die Zwangsbeitreibung von Steuerforderungen und nichtsteuerlichen Forderungen erwähnt [innerhalb einer Frist von einem Jahr]] [ab dem dritten Werktag </w:t>
      </w:r>
      <w:r>
        <w:rPr>
          <w:iCs/>
          <w:sz w:val="20"/>
          <w:szCs w:val="20"/>
        </w:rPr>
        <w:t>[</w:t>
      </w:r>
      <w:r w:rsidRPr="00BD0222">
        <w:rPr>
          <w:iCs/>
          <w:sz w:val="20"/>
          <w:szCs w:val="20"/>
        </w:rPr>
        <w:t>nach dem Datum der Übermittlung des Steuerbescheids</w:t>
      </w:r>
      <w:r>
        <w:rPr>
          <w:iCs/>
          <w:sz w:val="20"/>
          <w:szCs w:val="20"/>
        </w:rPr>
        <w:t>]</w:t>
      </w:r>
      <w:r w:rsidRPr="00BD0222">
        <w:rPr>
          <w:iCs/>
          <w:sz w:val="20"/>
          <w:szCs w:val="20"/>
        </w:rPr>
        <w:t>, in dem die Steuernachforderung enthalten ist], Widerspruch gegen vorerwähnte Überbesteuerung einlegen.]</w:t>
      </w:r>
    </w:p>
    <w:p w14:paraId="045F3584" w14:textId="77777777" w:rsidR="00BD0222" w:rsidRPr="00BD0222"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394C412" w14:textId="75C95D4D" w:rsidR="00BD0222" w:rsidRPr="00BD0222"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BD0222">
        <w:rPr>
          <w:iCs/>
          <w:sz w:val="20"/>
          <w:szCs w:val="20"/>
        </w:rPr>
        <w:t>[</w:t>
      </w:r>
      <w:r>
        <w:rPr>
          <w:iCs/>
          <w:sz w:val="20"/>
          <w:szCs w:val="20"/>
        </w:rPr>
        <w:t>..</w:t>
      </w:r>
      <w:r w:rsidRPr="00BD0222">
        <w:rPr>
          <w:iCs/>
          <w:sz w:val="20"/>
          <w:szCs w:val="20"/>
        </w:rPr>
        <w:t>.]</w:t>
      </w:r>
    </w:p>
    <w:p w14:paraId="0D32CC72" w14:textId="77777777" w:rsidR="00BD0222" w:rsidRPr="00BD0222"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6F032D2" w14:textId="17FAA2C6" w:rsidR="00BD0222" w:rsidRPr="00BD0222"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BD0222">
        <w:rPr>
          <w:i/>
          <w:iCs/>
          <w:sz w:val="20"/>
          <w:szCs w:val="20"/>
        </w:rPr>
        <w:t xml:space="preserve">[Art. 373 ersetzt durch </w:t>
      </w:r>
      <w:r w:rsidR="00546BE4" w:rsidRPr="00BD0222">
        <w:rPr>
          <w:i/>
          <w:iCs/>
          <w:sz w:val="20"/>
          <w:szCs w:val="20"/>
        </w:rPr>
        <w:t>Art. 30 des G. vom 15. März 1999 (B.S. vom 27. März 1999) - anwendbar ab dem Steuerjahr 1999 - </w:t>
      </w:r>
      <w:r w:rsidR="00546BE4">
        <w:rPr>
          <w:i/>
          <w:iCs/>
          <w:sz w:val="20"/>
          <w:szCs w:val="20"/>
        </w:rPr>
        <w:t xml:space="preserve">und </w:t>
      </w:r>
      <w:r w:rsidRPr="00BD0222">
        <w:rPr>
          <w:i/>
          <w:iCs/>
          <w:sz w:val="20"/>
          <w:szCs w:val="20"/>
        </w:rPr>
        <w:t>Art. 38 des G. vom 26. Januar 2021 (B.S. vom 10. Februar 2021) - in Kraft am 1. Januar 2025 -, selbst aufgehoben durch Art. 213 des G. vom 12. Mai 2024 (B.S. vom 30. Mai 2024</w:t>
      </w:r>
      <w:r w:rsidR="00546BE4">
        <w:rPr>
          <w:i/>
          <w:iCs/>
          <w:sz w:val="20"/>
          <w:szCs w:val="20"/>
        </w:rPr>
        <w:t>),</w:t>
      </w:r>
      <w:r w:rsidRPr="00BD0222">
        <w:rPr>
          <w:i/>
          <w:iCs/>
          <w:sz w:val="20"/>
          <w:szCs w:val="20"/>
        </w:rPr>
        <w:t xml:space="preserve"> und abgeändert durch Art. 10 des G. vom 19. Mai 2010 (B.S. vom 28. Mai 2010), Art. 39 des G. vom 13. April 2019 (II) (B.S. vom 30. April 2019) - in Kraft am 1. Januar 2020 -</w:t>
      </w:r>
      <w:r>
        <w:rPr>
          <w:i/>
          <w:iCs/>
          <w:sz w:val="20"/>
          <w:szCs w:val="20"/>
        </w:rPr>
        <w:t>,</w:t>
      </w:r>
      <w:r w:rsidRPr="00BD0222">
        <w:rPr>
          <w:i/>
          <w:iCs/>
          <w:sz w:val="20"/>
          <w:szCs w:val="20"/>
        </w:rPr>
        <w:t xml:space="preserve"> Art. 99 des G. vom 20. November 2022 (B.S. vom 30. November 2022) - in Kraft am 1. Januar 2023 -</w:t>
      </w:r>
      <w:r>
        <w:rPr>
          <w:i/>
          <w:iCs/>
          <w:sz w:val="20"/>
          <w:szCs w:val="20"/>
        </w:rPr>
        <w:t xml:space="preserve"> und Art. 37 Nr.</w:t>
      </w:r>
      <w:r w:rsidR="00546BE4">
        <w:rPr>
          <w:i/>
          <w:iCs/>
          <w:sz w:val="20"/>
          <w:szCs w:val="20"/>
        </w:rPr>
        <w:t> </w:t>
      </w:r>
      <w:r>
        <w:rPr>
          <w:i/>
          <w:iCs/>
          <w:sz w:val="20"/>
          <w:szCs w:val="20"/>
        </w:rPr>
        <w:t>1</w:t>
      </w:r>
      <w:r w:rsidRPr="00BD0222">
        <w:rPr>
          <w:i/>
          <w:iCs/>
          <w:sz w:val="20"/>
          <w:szCs w:val="20"/>
        </w:rPr>
        <w:t xml:space="preserve"> des G. vom 12. Mai 2024 (B.S. vom 30. Mai 2024) - </w:t>
      </w:r>
      <w:r w:rsidR="00546BE4" w:rsidRPr="00546BE4">
        <w:rPr>
          <w:i/>
          <w:iCs/>
          <w:sz w:val="20"/>
          <w:szCs w:val="20"/>
        </w:rPr>
        <w:t>in Kraft für alle oder bestimmte Kategorien von Inhabern einer Unternehmensnummer sowie für natürliche Personen an dem jeweils vom König festzulegenden Datum und spätestens am 1. Januar 2028</w:t>
      </w:r>
      <w:r w:rsidR="00546BE4">
        <w:rPr>
          <w:i/>
          <w:iCs/>
          <w:sz w:val="20"/>
          <w:szCs w:val="20"/>
        </w:rPr>
        <w:t> </w:t>
      </w:r>
      <w:r w:rsidRPr="00BD0222">
        <w:rPr>
          <w:i/>
          <w:iCs/>
          <w:sz w:val="20"/>
          <w:szCs w:val="20"/>
        </w:rPr>
        <w:t xml:space="preserve">-; </w:t>
      </w:r>
      <w:r w:rsidR="00546BE4">
        <w:rPr>
          <w:i/>
          <w:iCs/>
          <w:sz w:val="20"/>
          <w:szCs w:val="20"/>
        </w:rPr>
        <w:t xml:space="preserve">früherer </w:t>
      </w:r>
      <w:r w:rsidRPr="00BD0222">
        <w:rPr>
          <w:i/>
          <w:iCs/>
          <w:sz w:val="20"/>
          <w:szCs w:val="20"/>
        </w:rPr>
        <w:t>Abs</w:t>
      </w:r>
      <w:r w:rsidR="00546BE4">
        <w:rPr>
          <w:i/>
          <w:iCs/>
          <w:sz w:val="20"/>
          <w:szCs w:val="20"/>
        </w:rPr>
        <w:t>atz</w:t>
      </w:r>
      <w:r w:rsidRPr="00BD0222">
        <w:rPr>
          <w:i/>
          <w:iCs/>
          <w:sz w:val="20"/>
          <w:szCs w:val="20"/>
        </w:rPr>
        <w:t> 2 eingefügt durch Art. 32 des G. vom 17. Juni 2013 (B.S. vom 28. Juni 2013) - anwendbar auf Steuerbescheide in Bezug auf die Steuerjahre 2013 und folgende -</w:t>
      </w:r>
      <w:r>
        <w:rPr>
          <w:i/>
          <w:iCs/>
          <w:sz w:val="20"/>
          <w:szCs w:val="20"/>
        </w:rPr>
        <w:t xml:space="preserve"> und aufgehoben durch Art. 37 Nr. 2</w:t>
      </w:r>
      <w:r w:rsidRPr="00BD0222">
        <w:rPr>
          <w:i/>
          <w:iCs/>
          <w:sz w:val="20"/>
          <w:szCs w:val="20"/>
        </w:rPr>
        <w:t xml:space="preserve"> des G. vom 12. Mai 2024 (B.S. vom 30. Mai 2024) - </w:t>
      </w:r>
      <w:r w:rsidR="00546BE4" w:rsidRPr="00546BE4">
        <w:rPr>
          <w:i/>
          <w:iCs/>
          <w:sz w:val="20"/>
          <w:szCs w:val="20"/>
        </w:rPr>
        <w:t>in Kraft für alle oder bestimmte Kategorien von Inhabern einer Unternehmensnummer sowie für natürliche Personen an dem jeweils vom König festzulegenden Datum und spätestens am 1. Januar 2028</w:t>
      </w:r>
      <w:r w:rsidR="00546BE4">
        <w:rPr>
          <w:i/>
          <w:iCs/>
          <w:sz w:val="20"/>
          <w:szCs w:val="20"/>
        </w:rPr>
        <w:t> </w:t>
      </w:r>
      <w:r w:rsidRPr="00BD0222">
        <w:rPr>
          <w:i/>
          <w:iCs/>
          <w:sz w:val="20"/>
          <w:szCs w:val="20"/>
        </w:rPr>
        <w:t>-]</w:t>
      </w:r>
      <w:r>
        <w:rPr>
          <w:sz w:val="20"/>
          <w:szCs w:val="20"/>
        </w:rPr>
        <w:t>"</w:t>
      </w:r>
    </w:p>
    <w:p w14:paraId="3C2AE26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093F43" w14:textId="77777777" w:rsidR="00C15B15" w:rsidRDefault="00C15B15"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43BB93E" w14:textId="328BD22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t>[...]</w:t>
      </w:r>
    </w:p>
    <w:p w14:paraId="123E721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ABABC9" w14:textId="2C29318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 xml:space="preserve">[Unterteilung in Unterabschnitte aufgehoben durch </w:t>
      </w:r>
      <w:r w:rsidR="00D67EB8" w:rsidRPr="009118AB">
        <w:rPr>
          <w:i/>
          <w:iCs/>
        </w:rPr>
        <w:t>Art. </w:t>
      </w:r>
      <w:r w:rsidRPr="009118AB">
        <w:rPr>
          <w:i/>
          <w:iCs/>
        </w:rPr>
        <w:t>23 Buchstabe C des G. vom 15. März 1999 (B.S. vom 27. März 1999)</w:t>
      </w:r>
      <w:r w:rsidR="00D67EB8" w:rsidRPr="009118AB">
        <w:rPr>
          <w:i/>
          <w:iCs/>
        </w:rPr>
        <w:t> - </w:t>
      </w:r>
      <w:r w:rsidRPr="009118AB">
        <w:rPr>
          <w:i/>
          <w:iCs/>
        </w:rPr>
        <w:t>anwendbar ab dem Steuerjahr 1999</w:t>
      </w:r>
      <w:r w:rsidR="00FD68E8" w:rsidRPr="009118AB">
        <w:rPr>
          <w:i/>
          <w:iCs/>
        </w:rPr>
        <w:t> -]</w:t>
      </w:r>
    </w:p>
    <w:p w14:paraId="54E9DFD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3C055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A559DB" w14:textId="2869E4D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374</w:t>
      </w:r>
      <w:r w:rsidR="00D67EB8" w:rsidRPr="009118AB">
        <w:t> - </w:t>
      </w:r>
      <w:r w:rsidRPr="009118AB">
        <w:t xml:space="preserve">Zur Gewährleistung der Untersuchung </w:t>
      </w:r>
      <w:r w:rsidR="00CB7474" w:rsidRPr="009118AB">
        <w:t>[des Widerspruchs oder des Berichtigungsantrags]</w:t>
      </w:r>
      <w:r w:rsidRPr="009118AB">
        <w:t xml:space="preserve"> verfügt </w:t>
      </w:r>
      <w:r w:rsidR="00744567" w:rsidRPr="009118AB">
        <w:t>[jeder zuständige Beamte der mit der Festlegung der Einkommensteuern beauftragten Verwaltung</w:t>
      </w:r>
      <w:r w:rsidR="00F42586" w:rsidRPr="009118AB">
        <w:t>]</w:t>
      </w:r>
      <w:r w:rsidRPr="009118AB">
        <w:t xml:space="preserve"> über die Beweismittel und Befugnisse, die der Verwaltung durch [die Artikel 315 bis 319, 322 bis 330, 333 bis 336, 339 bis 343 und 346] erteilt werden.</w:t>
      </w:r>
    </w:p>
    <w:p w14:paraId="3A75077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6AB4E9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Außerdem kann vorerwähnter Beamte im Rahmen dieses Widerspruchs von [Kreditinstituten, die dem </w:t>
      </w:r>
      <w:r w:rsidR="00A06093" w:rsidRPr="009118AB">
        <w:t>[Gesetz vom 25. April 2014]</w:t>
      </w:r>
      <w:r w:rsidRPr="009118AB">
        <w:t xml:space="preserve"> über den Status und die Kontrolle der Kreditinstitute unterliegen,] alle Auskünfte verlangen, die ihnen bekannt sind und zweckmäßig sein können.</w:t>
      </w:r>
    </w:p>
    <w:p w14:paraId="64F20CA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DD60A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[Ein Widerspruchsführer wird angehört, wenn er dies in seinem Widerspruch beantragt. Dazu wird er aufgefordert, innerhalb einer Frist von dreißig Tagen vorstellig zu werden.]</w:t>
      </w:r>
    </w:p>
    <w:p w14:paraId="2BD1C0A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D8CCA4" w14:textId="7C7FE67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374 </w:t>
      </w:r>
      <w:r w:rsidR="00D67EB8" w:rsidRPr="009118AB">
        <w:rPr>
          <w:i/>
          <w:iCs/>
        </w:rPr>
        <w:t>Abs. </w:t>
      </w:r>
      <w:r w:rsidRPr="009118AB">
        <w:rPr>
          <w:i/>
          <w:iCs/>
        </w:rPr>
        <w:t xml:space="preserve">1 abgeändert durch </w:t>
      </w:r>
      <w:r w:rsidR="00D67EB8" w:rsidRPr="009118AB">
        <w:rPr>
          <w:i/>
          <w:iCs/>
        </w:rPr>
        <w:t>Art. </w:t>
      </w:r>
      <w:r w:rsidRPr="009118AB">
        <w:rPr>
          <w:i/>
          <w:iCs/>
        </w:rPr>
        <w:t xml:space="preserve">31 </w:t>
      </w:r>
      <w:r w:rsidR="00D67EB8" w:rsidRPr="009118AB">
        <w:rPr>
          <w:i/>
          <w:iCs/>
        </w:rPr>
        <w:t>Nr. </w:t>
      </w:r>
      <w:r w:rsidRPr="009118AB">
        <w:rPr>
          <w:i/>
          <w:iCs/>
        </w:rPr>
        <w:t>1 des G. vom 15. März 1999 (B.S. vom 27. März 1999)</w:t>
      </w:r>
      <w:r w:rsidR="00D67EB8" w:rsidRPr="009118AB">
        <w:rPr>
          <w:i/>
          <w:iCs/>
        </w:rPr>
        <w:t> - </w:t>
      </w:r>
      <w:r w:rsidRPr="009118AB">
        <w:rPr>
          <w:i/>
          <w:iCs/>
        </w:rPr>
        <w:t>anwendbar ab dem Steuerjahr 1999</w:t>
      </w:r>
      <w:r w:rsidR="00FD68E8" w:rsidRPr="009118AB">
        <w:rPr>
          <w:i/>
          <w:iCs/>
        </w:rPr>
        <w:t> -,</w:t>
      </w:r>
      <w:r w:rsidR="00004BEA" w:rsidRPr="009118AB">
        <w:rPr>
          <w:i/>
          <w:iCs/>
        </w:rPr>
        <w:t xml:space="preserve"> </w:t>
      </w:r>
      <w:r w:rsidR="00D67EB8" w:rsidRPr="009118AB">
        <w:rPr>
          <w:i/>
          <w:iCs/>
        </w:rPr>
        <w:t>Art. </w:t>
      </w:r>
      <w:r w:rsidR="00004BEA" w:rsidRPr="009118AB">
        <w:rPr>
          <w:i/>
          <w:iCs/>
        </w:rPr>
        <w:t>18 des G. vom 25. April 2014 (I) (B.S. vom 16. Mai 2014)</w:t>
      </w:r>
      <w:r w:rsidR="00D67EB8" w:rsidRPr="009118AB">
        <w:rPr>
          <w:i/>
          <w:iCs/>
        </w:rPr>
        <w:t> - </w:t>
      </w:r>
      <w:r w:rsidR="00004BEA" w:rsidRPr="009118AB">
        <w:rPr>
          <w:i/>
          <w:iCs/>
        </w:rPr>
        <w:t>in Kraft am 16. Mai 2014</w:t>
      </w:r>
      <w:r w:rsidR="00FD68E8" w:rsidRPr="009118AB">
        <w:rPr>
          <w:i/>
          <w:iCs/>
        </w:rPr>
        <w:t> -,</w:t>
      </w:r>
      <w:r w:rsidR="00960C13" w:rsidRPr="009118AB">
        <w:rPr>
          <w:i/>
          <w:iCs/>
        </w:rPr>
        <w:t xml:space="preserve"> </w:t>
      </w:r>
      <w:r w:rsidR="00D67EB8" w:rsidRPr="009118AB">
        <w:rPr>
          <w:i/>
          <w:iCs/>
        </w:rPr>
        <w:t>Art. </w:t>
      </w:r>
      <w:r w:rsidR="00960C13" w:rsidRPr="009118AB">
        <w:rPr>
          <w:i/>
          <w:iCs/>
        </w:rPr>
        <w:t>10 des G. vom 27. April 2016 (B.S. vom 6. Mai 2016)</w:t>
      </w:r>
      <w:r w:rsidR="00744567" w:rsidRPr="009118AB">
        <w:rPr>
          <w:i/>
          <w:iCs/>
        </w:rPr>
        <w:t>,</w:t>
      </w:r>
      <w:r w:rsidR="00CB7474" w:rsidRPr="009118AB">
        <w:rPr>
          <w:i/>
          <w:iCs/>
        </w:rPr>
        <w:t xml:space="preserve"> </w:t>
      </w:r>
      <w:r w:rsidR="00D67EB8" w:rsidRPr="009118AB">
        <w:rPr>
          <w:i/>
          <w:iCs/>
        </w:rPr>
        <w:t>Art. </w:t>
      </w:r>
      <w:r w:rsidR="00CB5C41" w:rsidRPr="009118AB">
        <w:rPr>
          <w:i/>
          <w:iCs/>
        </w:rPr>
        <w:t>2</w:t>
      </w:r>
      <w:r w:rsidR="00CB7474" w:rsidRPr="009118AB">
        <w:rPr>
          <w:i/>
          <w:iCs/>
        </w:rPr>
        <w:t xml:space="preserve"> des G. vom 15. April 2018 (B.S. vom 20. April 2018)</w:t>
      </w:r>
      <w:r w:rsidR="00D67EB8" w:rsidRPr="009118AB">
        <w:rPr>
          <w:i/>
          <w:iCs/>
        </w:rPr>
        <w:t> - </w:t>
      </w:r>
      <w:r w:rsidR="00CB7474" w:rsidRPr="009118AB">
        <w:rPr>
          <w:i/>
          <w:iCs/>
        </w:rPr>
        <w:t xml:space="preserve">anwendbar ab dem 1. Mai 2018 auf die in Anwendung von Artikel 375 </w:t>
      </w:r>
      <w:r w:rsidR="00D67EB8" w:rsidRPr="009118AB">
        <w:rPr>
          <w:i/>
          <w:iCs/>
        </w:rPr>
        <w:t>§ </w:t>
      </w:r>
      <w:r w:rsidR="00CB7474" w:rsidRPr="009118AB">
        <w:rPr>
          <w:i/>
          <w:iCs/>
        </w:rPr>
        <w:t>1 gefassten Beschlüsse</w:t>
      </w:r>
      <w:r w:rsidR="003366D9" w:rsidRPr="009118AB">
        <w:rPr>
          <w:i/>
          <w:iCs/>
        </w:rPr>
        <w:t> -</w:t>
      </w:r>
      <w:r w:rsidR="00744567" w:rsidRPr="009118AB">
        <w:rPr>
          <w:i/>
          <w:iCs/>
        </w:rPr>
        <w:t xml:space="preserve"> und Art. 101 des G. vom 20. November 2022 (B.S. vom 30. November 2022) - anwendbar ab dem Steuerjahr 2023 -</w:t>
      </w:r>
      <w:r w:rsidR="003366D9" w:rsidRPr="009118AB">
        <w:rPr>
          <w:i/>
          <w:iCs/>
        </w:rPr>
        <w:t>;</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 xml:space="preserve">31 </w:t>
      </w:r>
      <w:r w:rsidR="00D67EB8" w:rsidRPr="009118AB">
        <w:rPr>
          <w:i/>
          <w:iCs/>
        </w:rPr>
        <w:t>Nr. </w:t>
      </w:r>
      <w:r w:rsidRPr="009118AB">
        <w:rPr>
          <w:i/>
          <w:iCs/>
        </w:rPr>
        <w:t>2 des G. vom 15. März </w:t>
      </w:r>
      <w:r w:rsidR="00B64F05" w:rsidRPr="009118AB">
        <w:rPr>
          <w:i/>
          <w:iCs/>
        </w:rPr>
        <w:t>1999 (B.S. vom 27. März 1999)</w:t>
      </w:r>
      <w:r w:rsidR="00D67EB8" w:rsidRPr="009118AB">
        <w:rPr>
          <w:i/>
          <w:iCs/>
        </w:rPr>
        <w:t> - </w:t>
      </w:r>
      <w:r w:rsidRPr="009118AB">
        <w:rPr>
          <w:i/>
          <w:iCs/>
        </w:rPr>
        <w:t>anwendbar ab dem Steuer</w:t>
      </w:r>
      <w:r w:rsidR="006F6B6B" w:rsidRPr="009118AB">
        <w:rPr>
          <w:i/>
          <w:iCs/>
        </w:rPr>
        <w:t>jahr </w:t>
      </w:r>
      <w:r w:rsidRPr="009118AB">
        <w:rPr>
          <w:i/>
          <w:iCs/>
        </w:rPr>
        <w:t>1999</w:t>
      </w:r>
      <w:r w:rsidR="00D67EB8" w:rsidRPr="009118AB">
        <w:rPr>
          <w:i/>
          <w:iCs/>
        </w:rPr>
        <w:t> - </w:t>
      </w:r>
      <w:r w:rsidR="00A06093" w:rsidRPr="009118AB">
        <w:rPr>
          <w:i/>
          <w:iCs/>
        </w:rPr>
        <w:t xml:space="preserve">und </w:t>
      </w:r>
      <w:r w:rsidR="00D67EB8" w:rsidRPr="009118AB">
        <w:rPr>
          <w:i/>
          <w:iCs/>
        </w:rPr>
        <w:t>Art. </w:t>
      </w:r>
      <w:r w:rsidR="00A06093" w:rsidRPr="009118AB">
        <w:rPr>
          <w:i/>
          <w:iCs/>
        </w:rPr>
        <w:t>28 des G. vom 18. Dezember 2015 (II) (B.S. vom 28. Dezember 2015)</w:t>
      </w:r>
      <w:r w:rsidRPr="009118AB">
        <w:rPr>
          <w:i/>
          <w:iCs/>
        </w:rPr>
        <w:t xml:space="preserve">; </w:t>
      </w:r>
      <w:r w:rsidR="00D67EB8" w:rsidRPr="009118AB">
        <w:rPr>
          <w:i/>
          <w:iCs/>
        </w:rPr>
        <w:t>Abs. </w:t>
      </w:r>
      <w:r w:rsidRPr="009118AB">
        <w:rPr>
          <w:i/>
          <w:iCs/>
        </w:rPr>
        <w:t xml:space="preserve">3 ersetzt durch </w:t>
      </w:r>
      <w:r w:rsidR="00D67EB8" w:rsidRPr="009118AB">
        <w:rPr>
          <w:i/>
          <w:iCs/>
        </w:rPr>
        <w:t>Art. </w:t>
      </w:r>
      <w:r w:rsidRPr="009118AB">
        <w:rPr>
          <w:i/>
          <w:iCs/>
        </w:rPr>
        <w:t xml:space="preserve">31 </w:t>
      </w:r>
      <w:r w:rsidR="00D67EB8" w:rsidRPr="009118AB">
        <w:rPr>
          <w:i/>
          <w:iCs/>
        </w:rPr>
        <w:t>Nr. </w:t>
      </w:r>
      <w:r w:rsidRPr="009118AB">
        <w:rPr>
          <w:i/>
          <w:iCs/>
        </w:rPr>
        <w:t>3 des G. vom 15. März 1999 (B.S. vom 27. März 1999)</w:t>
      </w:r>
      <w:r w:rsidR="00D67EB8" w:rsidRPr="009118AB">
        <w:rPr>
          <w:i/>
          <w:iCs/>
        </w:rPr>
        <w:t> - </w:t>
      </w:r>
      <w:r w:rsidRPr="009118AB">
        <w:rPr>
          <w:i/>
          <w:iCs/>
        </w:rPr>
        <w:t>anwendbar ab dem Steuerjahr 1999</w:t>
      </w:r>
      <w:r w:rsidR="00FD68E8" w:rsidRPr="009118AB">
        <w:rPr>
          <w:i/>
          <w:iCs/>
        </w:rPr>
        <w:t> -]</w:t>
      </w:r>
    </w:p>
    <w:p w14:paraId="202F80B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6A2E8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88759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t>[...]</w:t>
      </w:r>
    </w:p>
    <w:p w14:paraId="63132B2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16BF53F" w14:textId="69EB336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 xml:space="preserve">[Unterteilung in Unterabschnitte aufgehoben durch </w:t>
      </w:r>
      <w:r w:rsidR="00D67EB8" w:rsidRPr="009118AB">
        <w:rPr>
          <w:i/>
          <w:iCs/>
        </w:rPr>
        <w:t>Art. </w:t>
      </w:r>
      <w:r w:rsidRPr="009118AB">
        <w:rPr>
          <w:i/>
          <w:iCs/>
        </w:rPr>
        <w:t>23 Buchstabe C des G. vom 15. März 1999 (B.S. vom 27. März 1999)</w:t>
      </w:r>
      <w:r w:rsidR="00D67EB8" w:rsidRPr="009118AB">
        <w:rPr>
          <w:i/>
          <w:iCs/>
        </w:rPr>
        <w:t> - </w:t>
      </w:r>
      <w:r w:rsidRPr="009118AB">
        <w:rPr>
          <w:i/>
          <w:iCs/>
        </w:rPr>
        <w:t>anwendbar ab dem Steuerjahr 1999</w:t>
      </w:r>
      <w:r w:rsidR="00FD68E8" w:rsidRPr="009118AB">
        <w:rPr>
          <w:i/>
          <w:iCs/>
        </w:rPr>
        <w:t> -]</w:t>
      </w:r>
    </w:p>
    <w:p w14:paraId="55AC6FEA" w14:textId="77777777" w:rsidR="00B051A2" w:rsidRPr="009118AB" w:rsidRDefault="00B051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34E51ED" w14:textId="77777777" w:rsidR="00B051A2" w:rsidRPr="009118AB" w:rsidRDefault="00B051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A9DCD7" w14:textId="4E6AAA5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375</w:t>
      </w:r>
      <w:r w:rsidR="00D67EB8" w:rsidRPr="009118AB">
        <w:t> - </w:t>
      </w:r>
      <w:r w:rsidRPr="009118AB">
        <w:t>[</w:t>
      </w:r>
      <w:r w:rsidR="00D67EB8" w:rsidRPr="009118AB">
        <w:t>§ </w:t>
      </w:r>
      <w:r w:rsidRPr="009118AB">
        <w:t>1</w:t>
      </w:r>
      <w:r w:rsidR="00D67EB8" w:rsidRPr="009118AB">
        <w:t> - </w:t>
      </w:r>
      <w:r w:rsidRPr="009118AB">
        <w:t xml:space="preserve">Der </w:t>
      </w:r>
      <w:r w:rsidR="00960C13" w:rsidRPr="009118AB">
        <w:t>[Generalberater der mit der Festlegung der Einkommensteuern beauftragten Verwaltung]</w:t>
      </w:r>
      <w:r w:rsidRPr="009118AB">
        <w:t xml:space="preserve"> oder der von ihm beauftragte Beamte befindet als Verwaltungsbehörde durch einen mit Gründen versehenen Beschluss über die Widerspruchsgründe, auf die der Steuerschuldner</w:t>
      </w:r>
      <w:r w:rsidR="005255B9" w:rsidRPr="009118AB">
        <w:t>[</w:t>
      </w:r>
      <w:r w:rsidR="005255B9" w:rsidRPr="009118AB">
        <w:rPr>
          <w:rFonts w:eastAsia="Calibri"/>
          <w:lang w:eastAsia="en-US"/>
        </w:rPr>
        <w:t>, sein Ehepartner, auf dessen Güter die Steuer beigetrieben wird, oder der Mitschuldner wie in Artikel 2 des Gesetzbuches über die gütliche Beitreibung und die Zwangsbeitreibung von Steuerforderungen und nichtsteuerlichen Forderungen erwähnt</w:t>
      </w:r>
      <w:r w:rsidR="005255B9" w:rsidRPr="009118AB">
        <w:t>]</w:t>
      </w:r>
      <w:r w:rsidRPr="009118AB">
        <w:t xml:space="preserve"> sich beruft.</w:t>
      </w:r>
    </w:p>
    <w:p w14:paraId="558A2BF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C4EF42" w14:textId="34A493DC" w:rsidR="003849C5" w:rsidRPr="009118AB" w:rsidRDefault="00477B8F" w:rsidP="003849C5">
      <w:pPr>
        <w:ind w:firstLine="708"/>
        <w:jc w:val="both"/>
      </w:pPr>
      <w:r w:rsidRPr="009118AB">
        <w:tab/>
      </w:r>
      <w:r w:rsidR="003849C5" w:rsidRPr="009118AB">
        <w:t xml:space="preserve">[Er kann jedoch infolge dessen, </w:t>
      </w:r>
      <w:r w:rsidR="005255B9" w:rsidRPr="009118AB">
        <w:t>[</w:t>
      </w:r>
      <w:r w:rsidR="005255B9" w:rsidRPr="009118AB">
        <w:rPr>
          <w:rFonts w:eastAsia="Calibri"/>
          <w:lang w:eastAsia="en-US"/>
        </w:rPr>
        <w:t>dass den Widerspruchsgründen ganz oder teilweise stattgegeben wird, auf die der Steuerschuldner, sein Ehepartner, auf dessen Güter die Steuer beigetrieben wird, oder der Mitschuldner wie in Artikel 2 des Gesetzbuches über die gütliche Beitreibung und die Zwangsbeitreibung von Steuerforderungen und nichtsteuerlichen Forderungen erwähnt sich beruft,</w:t>
      </w:r>
      <w:r w:rsidR="005255B9" w:rsidRPr="009118AB">
        <w:t>]</w:t>
      </w:r>
      <w:r w:rsidR="003849C5" w:rsidRPr="009118AB">
        <w:t xml:space="preserve"> die Veranlagung für ungültig erklären oder einen Nachlass gewähren, indem der nachgelassene oder für ungültig erklärte Betrag auf den Namen des betreffenden Steuerpflichtigen in eine für vollstreckbar erklärte Heberolle eingetragen wird.]</w:t>
      </w:r>
    </w:p>
    <w:p w14:paraId="0E1B729F" w14:textId="77777777" w:rsidR="003849C5" w:rsidRPr="009118AB" w:rsidRDefault="003849C5" w:rsidP="003849C5">
      <w:pPr>
        <w:ind w:firstLine="708"/>
        <w:jc w:val="both"/>
      </w:pPr>
    </w:p>
    <w:p w14:paraId="4E0907B7" w14:textId="77777777" w:rsidR="00477B8F" w:rsidRPr="009118AB" w:rsidRDefault="003849C5" w:rsidP="00384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[In allen Fällen erfolgt die Notifizierung des Beschlusses per Einschreibebrief. Dieser Beschluss ist unwiderruflich, wenn innerhalb der in Artikel 1385</w:t>
      </w:r>
      <w:r w:rsidRPr="009118AB">
        <w:rPr>
          <w:i/>
        </w:rPr>
        <w:t>undecies</w:t>
      </w:r>
      <w:r w:rsidRPr="009118AB">
        <w:t xml:space="preserve"> des Gerichts</w:t>
      </w:r>
      <w:r w:rsidRPr="009118AB">
        <w:softHyphen/>
        <w:t>gesetzbuches festgelegten Frist keine Klage beim Gericht Erster Instanz erhoben wird.]</w:t>
      </w:r>
    </w:p>
    <w:p w14:paraId="4B79DC0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FB15F8" w14:textId="532AC0A5" w:rsidR="00CB5C41" w:rsidRPr="009118AB" w:rsidRDefault="00CB5C41" w:rsidP="00CB5C41">
      <w:pPr>
        <w:ind w:firstLine="708"/>
        <w:jc w:val="both"/>
      </w:pPr>
      <w:r w:rsidRPr="009118AB">
        <w:tab/>
        <w:t>[</w:t>
      </w:r>
      <w:r w:rsidR="00D67EB8" w:rsidRPr="009118AB">
        <w:t>§ </w:t>
      </w:r>
      <w:r w:rsidRPr="009118AB">
        <w:t>1/1</w:t>
      </w:r>
      <w:r w:rsidR="00D67EB8" w:rsidRPr="009118AB">
        <w:t> - </w:t>
      </w:r>
      <w:r w:rsidRPr="009118AB">
        <w:t xml:space="preserve">In Abweichung von </w:t>
      </w:r>
      <w:r w:rsidR="00D67EB8" w:rsidRPr="009118AB">
        <w:t>§ </w:t>
      </w:r>
      <w:r w:rsidRPr="009118AB">
        <w:t>1 kann der Steuerschuldner</w:t>
      </w:r>
      <w:r w:rsidR="005255B9" w:rsidRPr="009118AB">
        <w:t>[</w:t>
      </w:r>
      <w:r w:rsidR="005255B9" w:rsidRPr="009118AB">
        <w:rPr>
          <w:rFonts w:eastAsia="Calibri"/>
          <w:lang w:eastAsia="en-US"/>
        </w:rPr>
        <w:t>, sein Ehepartner, auf dessen Güter die Steuer beigetrieben wird, oder der Mitschuldner wie in Artikel 2 des Gesetzbuches über die gütliche Beitreibung und die Zwangsbeitreibung von Steuerforderungen und nichtsteuerlichen Forderungen erwähnt</w:t>
      </w:r>
      <w:r w:rsidR="005255B9" w:rsidRPr="009118AB">
        <w:t>]</w:t>
      </w:r>
      <w:r w:rsidRPr="009118AB">
        <w:t xml:space="preserve"> beim Generalberater der mit der Festlegung der Einkommensteuern beauftragten Verwaltung oder bei dem von ihm beauftragten Beamten einen schriftlichen und mit Gründen versehenen Antrag auf Berichtigung seines Beschlusses stellen. Der Antrag muss innerhalb einer Frist von drei Monaten ab dem dritten Werktag nach Versendung der Notifizierung des Beschlusses über den Widerspruch eingereicht werden. Der Antrag ist unzulässig, wenn der Steuerschuldner vor dem Berichtigungsantrag Klage beim Gericht Erster Instanz erhoben hat.</w:t>
      </w:r>
    </w:p>
    <w:p w14:paraId="6786969F" w14:textId="77777777" w:rsidR="00CB5C41" w:rsidRPr="009118AB" w:rsidRDefault="00CB5C41" w:rsidP="00CB5C41">
      <w:pPr>
        <w:jc w:val="both"/>
      </w:pPr>
    </w:p>
    <w:p w14:paraId="314D2F33" w14:textId="5E22A3F8" w:rsidR="00CB5C41" w:rsidRPr="009118AB" w:rsidRDefault="00CB5C41" w:rsidP="00CB5C41">
      <w:pPr>
        <w:ind w:firstLine="708"/>
        <w:jc w:val="both"/>
      </w:pPr>
      <w:r w:rsidRPr="009118AB">
        <w:t xml:space="preserve">Der Generalberater oder sein Beauftragter kann den in </w:t>
      </w:r>
      <w:r w:rsidR="00D67EB8" w:rsidRPr="009118AB">
        <w:t>§ </w:t>
      </w:r>
      <w:r w:rsidRPr="009118AB">
        <w:t xml:space="preserve">1 erwähnten Beschluss ganz oder teilweise berichtigen. Er befindet ebenfalls durch einen mit Gründen versehenen Beschluss über die gegen den in </w:t>
      </w:r>
      <w:r w:rsidR="00D67EB8" w:rsidRPr="009118AB">
        <w:t>§ </w:t>
      </w:r>
      <w:r w:rsidRPr="009118AB">
        <w:t>1 erwähnten Beschluss angeführten Einwände.</w:t>
      </w:r>
    </w:p>
    <w:p w14:paraId="79187E68" w14:textId="77777777" w:rsidR="00CB5C41" w:rsidRPr="009118AB" w:rsidRDefault="00CB5C41" w:rsidP="00CB5C41">
      <w:pPr>
        <w:jc w:val="both"/>
      </w:pPr>
    </w:p>
    <w:p w14:paraId="3BB6558A" w14:textId="77777777" w:rsidR="00CB5C41" w:rsidRPr="009118AB" w:rsidRDefault="0080201D" w:rsidP="00CB5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CB5C41" w:rsidRPr="009118AB">
        <w:t>Die Notifizierung des in Anwendung von Absatz 2 gefassten mit Gründen versehenen Beschlusses erfolgt per Einschreibebrief. Dieser Beschluss ist unwiderruflich, wenn innerhalb der in Artikel 1385</w:t>
      </w:r>
      <w:r w:rsidR="00CB5C41" w:rsidRPr="009118AB">
        <w:rPr>
          <w:i/>
        </w:rPr>
        <w:t>undecies</w:t>
      </w:r>
      <w:r w:rsidR="00CB5C41" w:rsidRPr="009118AB">
        <w:t xml:space="preserve"> Absatz 5 des Gerichtsgesetzbuches festgelegten Frist keine Klage beim Gericht Erster Instanz erhoben wird.]</w:t>
      </w:r>
    </w:p>
    <w:p w14:paraId="5CFC6F6A" w14:textId="77777777" w:rsidR="00CB5C41" w:rsidRPr="009118AB" w:rsidRDefault="00CB5C4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4B1F01" w14:textId="2ABCD14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2</w:t>
      </w:r>
      <w:r w:rsidR="00D67EB8" w:rsidRPr="009118AB">
        <w:t> - </w:t>
      </w:r>
      <w:r w:rsidRPr="009118AB">
        <w:t>Der Steuerdirektor oder der von ihm beauftragte Beamte ist nicht befugt, durch seinen Beschluss eine Steuernachforderung festzulegen oder einen Ausgleich zwischen einem für rechtmäßig befundenen Nachlass und einer möglicherweise festgestellten ungenügenden Veranlagung vorzunehmen.]</w:t>
      </w:r>
    </w:p>
    <w:p w14:paraId="6BF15FF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5FBC1E7" w14:textId="554186C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375 ersetzt durch </w:t>
      </w:r>
      <w:r w:rsidR="00D67EB8" w:rsidRPr="009118AB">
        <w:rPr>
          <w:i/>
          <w:iCs/>
        </w:rPr>
        <w:t>Art. </w:t>
      </w:r>
      <w:r w:rsidRPr="009118AB">
        <w:rPr>
          <w:i/>
          <w:iCs/>
        </w:rPr>
        <w:t>32 des G. vom 15. März </w:t>
      </w:r>
      <w:r w:rsidR="00B64F05" w:rsidRPr="009118AB">
        <w:rPr>
          <w:i/>
          <w:iCs/>
        </w:rPr>
        <w:t>1999 (B.S. vom 27. März 1999)</w:t>
      </w:r>
      <w:r w:rsidR="00D67EB8" w:rsidRPr="009118AB">
        <w:rPr>
          <w:i/>
          <w:iCs/>
        </w:rPr>
        <w:t> - </w:t>
      </w:r>
      <w:r w:rsidRPr="009118AB">
        <w:rPr>
          <w:i/>
          <w:iCs/>
        </w:rPr>
        <w:t>anwendbar ab dem Steuerjahr 1999</w:t>
      </w:r>
      <w:r w:rsidR="003366D9" w:rsidRPr="009118AB">
        <w:rPr>
          <w:i/>
          <w:iCs/>
        </w:rPr>
        <w:t> -;</w:t>
      </w:r>
      <w:r w:rsidR="00960C13" w:rsidRPr="009118AB">
        <w:rPr>
          <w:i/>
          <w:iCs/>
        </w:rPr>
        <w:t xml:space="preserve"> </w:t>
      </w:r>
      <w:r w:rsidR="00D67EB8" w:rsidRPr="009118AB">
        <w:rPr>
          <w:i/>
          <w:iCs/>
        </w:rPr>
        <w:t>§ </w:t>
      </w:r>
      <w:r w:rsidR="003849C5" w:rsidRPr="009118AB">
        <w:rPr>
          <w:i/>
          <w:iCs/>
        </w:rPr>
        <w:t xml:space="preserve">1 </w:t>
      </w:r>
      <w:r w:rsidR="00D67EB8" w:rsidRPr="009118AB">
        <w:rPr>
          <w:i/>
          <w:iCs/>
        </w:rPr>
        <w:t>Abs. </w:t>
      </w:r>
      <w:r w:rsidR="00960C13" w:rsidRPr="009118AB">
        <w:rPr>
          <w:i/>
          <w:iCs/>
        </w:rPr>
        <w:t xml:space="preserve">1 abgeändert durch </w:t>
      </w:r>
      <w:r w:rsidR="00D67EB8" w:rsidRPr="009118AB">
        <w:rPr>
          <w:i/>
          <w:iCs/>
        </w:rPr>
        <w:t>Art. </w:t>
      </w:r>
      <w:r w:rsidR="00960C13" w:rsidRPr="009118AB">
        <w:rPr>
          <w:i/>
          <w:iCs/>
        </w:rPr>
        <w:t>11 des G. vom 27. April 2016 (B.S. vom 6. Mai 2016)</w:t>
      </w:r>
      <w:r w:rsidR="00BF730D" w:rsidRPr="009118AB">
        <w:rPr>
          <w:i/>
          <w:iCs/>
        </w:rPr>
        <w:t xml:space="preserve"> und </w:t>
      </w:r>
      <w:r w:rsidR="00D67EB8" w:rsidRPr="009118AB">
        <w:rPr>
          <w:i/>
          <w:iCs/>
        </w:rPr>
        <w:t>Art. </w:t>
      </w:r>
      <w:r w:rsidR="00BF730D" w:rsidRPr="009118AB">
        <w:rPr>
          <w:i/>
          <w:iCs/>
        </w:rPr>
        <w:t xml:space="preserve">40 </w:t>
      </w:r>
      <w:r w:rsidR="00D67EB8" w:rsidRPr="009118AB">
        <w:rPr>
          <w:i/>
          <w:iCs/>
        </w:rPr>
        <w:t>Nr. </w:t>
      </w:r>
      <w:r w:rsidR="00BF730D" w:rsidRPr="009118AB">
        <w:rPr>
          <w:i/>
          <w:iCs/>
        </w:rPr>
        <w:t>1 des G. vom 13. April 2019 (II) (B.S. vom 30. April 2019)</w:t>
      </w:r>
      <w:r w:rsidR="00D67EB8" w:rsidRPr="009118AB">
        <w:rPr>
          <w:i/>
          <w:iCs/>
        </w:rPr>
        <w:t> - </w:t>
      </w:r>
      <w:r w:rsidR="00BF730D" w:rsidRPr="009118AB">
        <w:rPr>
          <w:i/>
          <w:iCs/>
        </w:rPr>
        <w:t>in Kraft am 1. Januar 2020</w:t>
      </w:r>
      <w:r w:rsidR="003366D9" w:rsidRPr="009118AB">
        <w:rPr>
          <w:i/>
          <w:iCs/>
        </w:rPr>
        <w:t> -;</w:t>
      </w:r>
      <w:r w:rsidR="003849C5" w:rsidRPr="009118AB">
        <w:rPr>
          <w:i/>
          <w:iCs/>
        </w:rPr>
        <w:t xml:space="preserve"> </w:t>
      </w:r>
      <w:r w:rsidR="00D67EB8" w:rsidRPr="009118AB">
        <w:rPr>
          <w:i/>
          <w:iCs/>
        </w:rPr>
        <w:t>§ </w:t>
      </w:r>
      <w:r w:rsidR="003849C5" w:rsidRPr="009118AB">
        <w:rPr>
          <w:i/>
          <w:iCs/>
        </w:rPr>
        <w:t xml:space="preserve">1 </w:t>
      </w:r>
      <w:r w:rsidR="00D67EB8" w:rsidRPr="009118AB">
        <w:rPr>
          <w:i/>
          <w:iCs/>
        </w:rPr>
        <w:t>Abs. </w:t>
      </w:r>
      <w:r w:rsidR="003849C5" w:rsidRPr="009118AB">
        <w:rPr>
          <w:i/>
          <w:iCs/>
        </w:rPr>
        <w:t xml:space="preserve">2 ersetzt durch </w:t>
      </w:r>
      <w:r w:rsidR="00D67EB8" w:rsidRPr="009118AB">
        <w:rPr>
          <w:i/>
          <w:iCs/>
        </w:rPr>
        <w:t>Art. </w:t>
      </w:r>
      <w:r w:rsidR="003849C5" w:rsidRPr="009118AB">
        <w:rPr>
          <w:i/>
          <w:iCs/>
        </w:rPr>
        <w:t>15 des G. vom 25. Dezember 2017 (II) (B.S. vom 29. Dezember 2017)</w:t>
      </w:r>
      <w:r w:rsidR="00BF730D" w:rsidRPr="009118AB">
        <w:rPr>
          <w:i/>
          <w:iCs/>
        </w:rPr>
        <w:t xml:space="preserve"> und abgeändert durch </w:t>
      </w:r>
      <w:r w:rsidR="00D67EB8" w:rsidRPr="009118AB">
        <w:rPr>
          <w:i/>
          <w:iCs/>
        </w:rPr>
        <w:t>Art. </w:t>
      </w:r>
      <w:r w:rsidR="00BF730D" w:rsidRPr="009118AB">
        <w:rPr>
          <w:i/>
          <w:iCs/>
        </w:rPr>
        <w:t xml:space="preserve">40 </w:t>
      </w:r>
      <w:r w:rsidR="00D67EB8" w:rsidRPr="009118AB">
        <w:rPr>
          <w:i/>
          <w:iCs/>
        </w:rPr>
        <w:t>Nr. </w:t>
      </w:r>
      <w:r w:rsidR="00BF730D" w:rsidRPr="009118AB">
        <w:rPr>
          <w:i/>
          <w:iCs/>
        </w:rPr>
        <w:t>2 des G. vom 13. April 2019 (II) (B.S. vom 30. April 2019)</w:t>
      </w:r>
      <w:r w:rsidR="00D67EB8" w:rsidRPr="009118AB">
        <w:rPr>
          <w:i/>
          <w:iCs/>
        </w:rPr>
        <w:t> - </w:t>
      </w:r>
      <w:r w:rsidR="00BF730D" w:rsidRPr="009118AB">
        <w:rPr>
          <w:i/>
          <w:iCs/>
        </w:rPr>
        <w:t>in Kraft am 1. Januar 2020</w:t>
      </w:r>
      <w:r w:rsidR="003366D9" w:rsidRPr="009118AB">
        <w:rPr>
          <w:i/>
          <w:iCs/>
        </w:rPr>
        <w:t> -;</w:t>
      </w:r>
      <w:r w:rsidR="00CB5C41" w:rsidRPr="009118AB">
        <w:rPr>
          <w:i/>
          <w:iCs/>
        </w:rPr>
        <w:t xml:space="preserve"> </w:t>
      </w:r>
      <w:r w:rsidR="00D67EB8" w:rsidRPr="009118AB">
        <w:rPr>
          <w:i/>
          <w:iCs/>
        </w:rPr>
        <w:t>§ </w:t>
      </w:r>
      <w:r w:rsidR="00BF730D" w:rsidRPr="009118AB">
        <w:rPr>
          <w:i/>
          <w:iCs/>
        </w:rPr>
        <w:t xml:space="preserve">1 </w:t>
      </w:r>
      <w:r w:rsidR="00D67EB8" w:rsidRPr="009118AB">
        <w:rPr>
          <w:i/>
          <w:iCs/>
        </w:rPr>
        <w:t>Abs. </w:t>
      </w:r>
      <w:r w:rsidR="00BF730D" w:rsidRPr="009118AB">
        <w:rPr>
          <w:i/>
          <w:iCs/>
        </w:rPr>
        <w:t xml:space="preserve">3 eingefügt durch </w:t>
      </w:r>
      <w:r w:rsidR="00D67EB8" w:rsidRPr="009118AB">
        <w:rPr>
          <w:i/>
          <w:iCs/>
        </w:rPr>
        <w:t>Art. </w:t>
      </w:r>
      <w:r w:rsidR="00BF730D" w:rsidRPr="009118AB">
        <w:rPr>
          <w:i/>
          <w:iCs/>
        </w:rPr>
        <w:t xml:space="preserve">15 des G. vom 25. Dezember 2017 (II) (B.S. vom 29. Dezember 2017); </w:t>
      </w:r>
      <w:r w:rsidR="00D67EB8" w:rsidRPr="009118AB">
        <w:rPr>
          <w:i/>
          <w:iCs/>
        </w:rPr>
        <w:t>§ </w:t>
      </w:r>
      <w:r w:rsidR="00CB5C41" w:rsidRPr="009118AB">
        <w:rPr>
          <w:i/>
          <w:iCs/>
        </w:rPr>
        <w:t xml:space="preserve">1/1 eingefügt durch </w:t>
      </w:r>
      <w:r w:rsidR="00D67EB8" w:rsidRPr="009118AB">
        <w:rPr>
          <w:i/>
          <w:iCs/>
        </w:rPr>
        <w:t>Art. </w:t>
      </w:r>
      <w:r w:rsidR="00CB5C41" w:rsidRPr="009118AB">
        <w:rPr>
          <w:i/>
          <w:iCs/>
        </w:rPr>
        <w:t>3 des G. vom 15. April 2018 (B.S. vom 20. April 2018)</w:t>
      </w:r>
      <w:r w:rsidR="00D67EB8" w:rsidRPr="009118AB">
        <w:rPr>
          <w:i/>
          <w:iCs/>
        </w:rPr>
        <w:t> - </w:t>
      </w:r>
      <w:r w:rsidR="00CB5C41" w:rsidRPr="009118AB">
        <w:rPr>
          <w:i/>
          <w:iCs/>
        </w:rPr>
        <w:t xml:space="preserve">anwendbar ab dem 1. Mai 2018 auf die in Anwendung von Artikel 375 </w:t>
      </w:r>
      <w:r w:rsidR="00D67EB8" w:rsidRPr="009118AB">
        <w:rPr>
          <w:i/>
          <w:iCs/>
        </w:rPr>
        <w:t>§ </w:t>
      </w:r>
      <w:r w:rsidR="00CB5C41" w:rsidRPr="009118AB">
        <w:rPr>
          <w:i/>
          <w:iCs/>
        </w:rPr>
        <w:t>1 gefassten Beschlüsse</w:t>
      </w:r>
      <w:r w:rsidR="00D67EB8" w:rsidRPr="009118AB">
        <w:rPr>
          <w:i/>
          <w:iCs/>
        </w:rPr>
        <w:t> -</w:t>
      </w:r>
      <w:r w:rsidR="00E508BB">
        <w:rPr>
          <w:i/>
          <w:iCs/>
        </w:rPr>
        <w:t>; § 1/1 Abs. 1</w:t>
      </w:r>
      <w:r w:rsidR="00D67EB8" w:rsidRPr="009118AB">
        <w:rPr>
          <w:i/>
          <w:iCs/>
        </w:rPr>
        <w:t> </w:t>
      </w:r>
      <w:r w:rsidR="00BF730D" w:rsidRPr="009118AB">
        <w:rPr>
          <w:i/>
          <w:iCs/>
        </w:rPr>
        <w:t xml:space="preserve">abgeändert durch </w:t>
      </w:r>
      <w:r w:rsidR="00D67EB8" w:rsidRPr="009118AB">
        <w:rPr>
          <w:i/>
          <w:iCs/>
        </w:rPr>
        <w:t>Art. </w:t>
      </w:r>
      <w:r w:rsidR="00BF730D" w:rsidRPr="009118AB">
        <w:rPr>
          <w:i/>
          <w:iCs/>
        </w:rPr>
        <w:t xml:space="preserve">40 </w:t>
      </w:r>
      <w:r w:rsidR="00D67EB8" w:rsidRPr="009118AB">
        <w:rPr>
          <w:i/>
          <w:iCs/>
        </w:rPr>
        <w:t>Nr. </w:t>
      </w:r>
      <w:r w:rsidR="00BF730D" w:rsidRPr="009118AB">
        <w:rPr>
          <w:i/>
          <w:iCs/>
        </w:rPr>
        <w:t>3 des G. vom 13. April 2019 (II) (B.S. vom 30. April 2019)</w:t>
      </w:r>
      <w:r w:rsidR="00D67EB8" w:rsidRPr="009118AB">
        <w:rPr>
          <w:i/>
          <w:iCs/>
        </w:rPr>
        <w:t> - </w:t>
      </w:r>
      <w:r w:rsidR="00BF730D" w:rsidRPr="009118AB">
        <w:rPr>
          <w:i/>
          <w:iCs/>
        </w:rPr>
        <w:t>in Kraft am 1. Januar 2020</w:t>
      </w:r>
      <w:r w:rsidR="00FD68E8" w:rsidRPr="009118AB">
        <w:rPr>
          <w:i/>
          <w:iCs/>
        </w:rPr>
        <w:t> -]</w:t>
      </w:r>
    </w:p>
    <w:p w14:paraId="464A8ADE" w14:textId="0F5E658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6A9CB4" w14:textId="1C0A6E00" w:rsidR="00231C26" w:rsidRDefault="00231C2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734EA9" w14:textId="509DB6FB" w:rsidR="00BD0222" w:rsidRDefault="00BD0222" w:rsidP="00BD0222">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375 wie folgt:</w:t>
      </w:r>
    </w:p>
    <w:p w14:paraId="279D5142" w14:textId="77777777" w:rsidR="00BD0222" w:rsidRDefault="00BD0222" w:rsidP="00BD0222">
      <w:pPr>
        <w:autoSpaceDE w:val="0"/>
        <w:autoSpaceDN w:val="0"/>
        <w:adjustRightInd w:val="0"/>
        <w:jc w:val="both"/>
        <w:rPr>
          <w:iCs/>
          <w:sz w:val="20"/>
          <w:szCs w:val="20"/>
        </w:rPr>
      </w:pPr>
    </w:p>
    <w:p w14:paraId="490E3D70" w14:textId="3113F384" w:rsidR="00D90618" w:rsidRPr="00D90618" w:rsidRDefault="00BD0222"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00D90618" w:rsidRPr="00D90618">
        <w:rPr>
          <w:iCs/>
          <w:sz w:val="20"/>
          <w:szCs w:val="20"/>
        </w:rPr>
        <w:t>Art. 375 - [§ 1 - Der [Generalberater der mit der Festlegung der Einkommensteuern beauftragten Verwaltung] oder der von ihm beauftragte Beamte befindet als Verwaltungsbehörde durch einen mit Gründen versehenen Beschluss über die Widerspruchsgründe, auf die der Steuerschuldner[, sein Ehepartner, auf dessen Güter die Steuer beigetrieben wird, oder der Mitschuldner wie in Artikel 2 des Gesetzbuches über die gütliche Beitreibung und die Zwangsbeitreibung von Steuerforderungen und nichtsteuerlichen Forderungen erwähnt] sich beruft.</w:t>
      </w:r>
    </w:p>
    <w:p w14:paraId="4257DCAF" w14:textId="77777777"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FBA0E19" w14:textId="6571E39F"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D90618">
        <w:rPr>
          <w:iCs/>
          <w:sz w:val="20"/>
          <w:szCs w:val="20"/>
        </w:rPr>
        <w:t>[Er kann jedoch infolge dessen, [dass den Widerspruchsgründen ganz oder teilweise stattgegeben wird, auf die der Steuerschuldner, sein Ehepartner, auf dessen Güter die Steuer beigetrieben wird, oder der Mitschuldner wie in Artikel 2 des Gesetzbuches über die gütliche Beitreibung und die Zwangsbeitreibung von Steuerforderungen und nichtsteuerlichen Forderungen erwähnt sich beruft,] die Veranlagung für ungültig erklären oder einen Nachlass gewähren, indem der nachgelassene oder für ungültig erklärte Betrag auf den Namen des betreffenden Steuerpflichtigen in eine für vollstreckbar erklärte Heberolle eingetragen wird.]</w:t>
      </w:r>
    </w:p>
    <w:p w14:paraId="5FBBBDD5" w14:textId="77777777"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6E6BAC" w14:textId="2767D88C"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D90618">
        <w:rPr>
          <w:iCs/>
          <w:sz w:val="20"/>
          <w:szCs w:val="20"/>
        </w:rPr>
        <w:t>[In allen Fällen erfolgt die Notifizierung des Beschlusses [per Einschreibesendung]. Dieser Beschluss ist unwiderruflich, wenn innerhalb der in Artikel 1385</w:t>
      </w:r>
      <w:r w:rsidRPr="00D90618">
        <w:rPr>
          <w:i/>
          <w:iCs/>
          <w:sz w:val="20"/>
          <w:szCs w:val="20"/>
        </w:rPr>
        <w:t>undecies</w:t>
      </w:r>
      <w:r w:rsidRPr="00D90618">
        <w:rPr>
          <w:iCs/>
          <w:sz w:val="20"/>
          <w:szCs w:val="20"/>
        </w:rPr>
        <w:t xml:space="preserve"> des Gerichts</w:t>
      </w:r>
      <w:r w:rsidRPr="00D90618">
        <w:rPr>
          <w:iCs/>
          <w:sz w:val="20"/>
          <w:szCs w:val="20"/>
        </w:rPr>
        <w:softHyphen/>
        <w:t>gesetzbuches festgelegten Frist keine Klage beim Gericht Erster Instanz erhoben wird.]</w:t>
      </w:r>
    </w:p>
    <w:p w14:paraId="67257069" w14:textId="77777777"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565E90" w14:textId="2FAF5773"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D90618">
        <w:rPr>
          <w:iCs/>
          <w:sz w:val="20"/>
          <w:szCs w:val="20"/>
        </w:rPr>
        <w:t xml:space="preserve">[§ 1/1 - In Abweichung von § 1 kann der Steuerschuldner[, sein Ehepartner, auf dessen Güter die Steuer beigetrieben wird, oder der Mitschuldner wie in Artikel 2 des Gesetzbuches über die gütliche Beitreibung und die Zwangsbeitreibung von Steuerforderungen und nichtsteuerlichen Forderungen erwähnt] beim Generalberater der mit der Festlegung der Einkommensteuern beauftragten Verwaltung oder bei dem von ihm beauftragten Beamten einen schriftlichen und mit Gründen versehenen Antrag auf Berichtigung seines Beschlusses stellen. Der Antrag muss innerhalb einer Frist von drei Monaten ab dem dritten Werktag </w:t>
      </w:r>
      <w:r>
        <w:rPr>
          <w:iCs/>
          <w:sz w:val="20"/>
          <w:szCs w:val="20"/>
        </w:rPr>
        <w:t>[</w:t>
      </w:r>
      <w:r w:rsidRPr="00D90618">
        <w:rPr>
          <w:iCs/>
          <w:sz w:val="20"/>
          <w:szCs w:val="20"/>
        </w:rPr>
        <w:t>nach Übermittlung der Notifizierung des Beschlusses</w:t>
      </w:r>
      <w:r>
        <w:rPr>
          <w:iCs/>
          <w:sz w:val="20"/>
          <w:szCs w:val="20"/>
        </w:rPr>
        <w:t>]</w:t>
      </w:r>
      <w:r w:rsidRPr="00D90618">
        <w:rPr>
          <w:iCs/>
          <w:sz w:val="20"/>
          <w:szCs w:val="20"/>
        </w:rPr>
        <w:t xml:space="preserve"> über den Widerspruch eingereicht werden. Der Antrag ist unzulässig, wenn der Steuerschuldner vor dem Berichtigungsantrag Klage beim Gericht Erster Instanz erhoben hat.</w:t>
      </w:r>
    </w:p>
    <w:p w14:paraId="66767BCC" w14:textId="77777777"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A7837DE" w14:textId="77777777"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D90618">
        <w:rPr>
          <w:iCs/>
          <w:sz w:val="20"/>
          <w:szCs w:val="20"/>
        </w:rPr>
        <w:t>Der Generalberater oder sein Beauftragter kann den in § 1 erwähnten Beschluss ganz oder teilweise berichtigen. Er befindet ebenfalls durch einen mit Gründen versehenen Beschluss über die gegen den in § 1 erwähnten Beschluss angeführten Einwände.</w:t>
      </w:r>
    </w:p>
    <w:p w14:paraId="21043C08" w14:textId="77777777"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A7FC677" w14:textId="7BE17A9B"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D90618">
        <w:rPr>
          <w:iCs/>
          <w:sz w:val="20"/>
          <w:szCs w:val="20"/>
        </w:rPr>
        <w:t>Die Notifizierung des in Anwendung von Absatz 2 gefassten mit Gründen versehenen Beschlusses erfolgt [per Einschreibesendung]. Dieser Beschluss ist unwiderruflich, wenn innerhalb der in Artikel 1385</w:t>
      </w:r>
      <w:r w:rsidRPr="00D90618">
        <w:rPr>
          <w:i/>
          <w:iCs/>
          <w:sz w:val="20"/>
          <w:szCs w:val="20"/>
        </w:rPr>
        <w:t>undecies</w:t>
      </w:r>
      <w:r w:rsidRPr="00D90618">
        <w:rPr>
          <w:iCs/>
          <w:sz w:val="20"/>
          <w:szCs w:val="20"/>
        </w:rPr>
        <w:t xml:space="preserve"> Absatz 5 des Gerichtsgesetzbuches festgelegten Frist keine Klage beim Gericht Erster Instanz erhoben wird.]</w:t>
      </w:r>
    </w:p>
    <w:p w14:paraId="52ED889D" w14:textId="77777777"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9ED083" w14:textId="0482FCF9"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D90618">
        <w:rPr>
          <w:iCs/>
          <w:sz w:val="20"/>
          <w:szCs w:val="20"/>
        </w:rPr>
        <w:t>§ 2 - Der Steuerdirektor oder der von ihm beauftragte Beamte ist nicht befugt, durch seinen Beschluss eine Steuernachforderung festzulegen oder einen Ausgleich zwischen einem für rechtmäßig befundenen Nachlass und einer möglicherweise festgestellten ungenügenden Veranlagung vorzunehmen.]</w:t>
      </w:r>
    </w:p>
    <w:p w14:paraId="50B23DDB" w14:textId="77777777"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0FBD598" w14:textId="30C2BE5E" w:rsidR="00D90618" w:rsidRPr="00D90618"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D90618">
        <w:rPr>
          <w:i/>
          <w:iCs/>
          <w:sz w:val="20"/>
          <w:szCs w:val="20"/>
        </w:rPr>
        <w:t>[Art. 375 ersetzt durch Art. 32 des G. vom 15. März 1999 (B.S. vom 27. März 1999) - anwendbar ab dem Steuerjahr 1999 -; § 1 Abs. 1 abgeändert durch Art. 11 des G. vom 27. April 2016 (B.S. vom 6. Mai 2016) und Art. 40 Nr. 1 des G. vom 13. April 2019 (II) (B.S. vom 30. April 2019) - in Kraft am 1. Januar 2020 -; § 1 Abs. 2 ersetzt durch Art. 15 des G. vom 25. Dezember 2017 (II) (B.S. vom 29. Dezember 2017) und abgeändert durch Art. 40 Nr. 2 des G. vom 13. April 2019 (II) (B.S. vom 30. April 2019) - in Kraft am 1. Januar 2020 -; § 1 Abs. 3 eingefügt durch Art. 15 des G. vom 25. Dezember 2017 (II) (B.S. vom 29. Dezember 2017)</w:t>
      </w:r>
      <w:r>
        <w:rPr>
          <w:i/>
          <w:iCs/>
          <w:sz w:val="20"/>
          <w:szCs w:val="20"/>
        </w:rPr>
        <w:t xml:space="preserve">, </w:t>
      </w:r>
      <w:r w:rsidRPr="00D90618">
        <w:rPr>
          <w:i/>
          <w:iCs/>
          <w:sz w:val="20"/>
          <w:szCs w:val="20"/>
        </w:rPr>
        <w:t>ersetzt durch Art. 39 Nr. 1 des G. vom 26. Januar 2021 (B.S. vom 10. Februar 2021) - in Kraft am 1. Januar 2025 -, selbst aufgehoben durch Art. 213 des G. vom 12. Mai 2024 (B.S. vom 30. Mai 2024)</w:t>
      </w:r>
      <w:r>
        <w:rPr>
          <w:i/>
          <w:iCs/>
          <w:sz w:val="20"/>
          <w:szCs w:val="20"/>
        </w:rPr>
        <w:t>, und abgeändert durch Art. 38 Nr. 1</w:t>
      </w:r>
      <w:r w:rsidRPr="00D90618">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w:t>
      </w:r>
      <w:r w:rsidR="00421C66" w:rsidRPr="00C15B15">
        <w:rPr>
          <w:rFonts w:ascii="Times New Roman Italique" w:hAnsi="Times New Roman Italique"/>
          <w:i/>
          <w:iCs/>
          <w:spacing w:val="-2"/>
          <w:sz w:val="20"/>
          <w:szCs w:val="20"/>
        </w:rPr>
        <w:t xml:space="preserve">spätestens am </w:t>
      </w:r>
      <w:r w:rsidR="00CC23FF" w:rsidRPr="00C15B15">
        <w:rPr>
          <w:rFonts w:ascii="Times New Roman Italique" w:hAnsi="Times New Roman Italique"/>
          <w:i/>
          <w:iCs/>
          <w:spacing w:val="-2"/>
          <w:sz w:val="20"/>
          <w:szCs w:val="20"/>
        </w:rPr>
        <w:t>1. Januar 2028 </w:t>
      </w:r>
      <w:r w:rsidRPr="00C15B15">
        <w:rPr>
          <w:rFonts w:ascii="Times New Roman Italique" w:hAnsi="Times New Roman Italique"/>
          <w:i/>
          <w:iCs/>
          <w:spacing w:val="-2"/>
          <w:sz w:val="20"/>
          <w:szCs w:val="20"/>
        </w:rPr>
        <w:t>-; § 1/1 eingefügt durch Art. 3 des G. vom 15. April 2018 (B.S. vom 20. April 2018) - anwendbar ab dem 1. Mai 2018 auf die in Anwendung von Artikel 375 § 1 gefassten Beschlüsse -</w:t>
      </w:r>
      <w:r w:rsidR="00E508BB" w:rsidRPr="00C15B15">
        <w:rPr>
          <w:rFonts w:ascii="Times New Roman Italique" w:hAnsi="Times New Roman Italique"/>
          <w:i/>
          <w:iCs/>
          <w:spacing w:val="-2"/>
          <w:sz w:val="20"/>
          <w:szCs w:val="20"/>
        </w:rPr>
        <w:t>; § 1/1 Abs. 1</w:t>
      </w:r>
      <w:r w:rsidRPr="00C15B15">
        <w:rPr>
          <w:rFonts w:ascii="Times New Roman Italique" w:hAnsi="Times New Roman Italique"/>
          <w:i/>
          <w:iCs/>
          <w:spacing w:val="-2"/>
          <w:sz w:val="20"/>
          <w:szCs w:val="20"/>
        </w:rPr>
        <w:t xml:space="preserve"> abgeändert durch Art. 40 Nr. 3 des G. vom 13. April 2019 (II) (B.S. vom 30. April 2019) - in Kraft</w:t>
      </w:r>
      <w:r w:rsidRPr="00D90618">
        <w:rPr>
          <w:i/>
          <w:iCs/>
          <w:sz w:val="20"/>
          <w:szCs w:val="20"/>
        </w:rPr>
        <w:t xml:space="preserve"> am 1. Januar 2020 -</w:t>
      </w:r>
      <w:r>
        <w:rPr>
          <w:i/>
          <w:iCs/>
          <w:sz w:val="20"/>
          <w:szCs w:val="20"/>
        </w:rPr>
        <w:t xml:space="preserve">, </w:t>
      </w:r>
      <w:r w:rsidRPr="00D90618">
        <w:rPr>
          <w:i/>
          <w:iCs/>
          <w:sz w:val="20"/>
          <w:szCs w:val="20"/>
        </w:rPr>
        <w:t>Art. 39 Nr. 2 des G. vom 26. Januar 2021 (B.S. vom 10. Februar 2021) - in Kraft am 1. Januar 2025 -, selbst aufgehoben durch Art. 213 des G. vom 12. Mai 2024 (B.S. vom 30. Mai 2024)</w:t>
      </w:r>
      <w:r>
        <w:rPr>
          <w:i/>
          <w:iCs/>
          <w:sz w:val="20"/>
          <w:szCs w:val="20"/>
        </w:rPr>
        <w:t>, und durch Art. 38 Nr. 2</w:t>
      </w:r>
      <w:r w:rsidRPr="00D90618">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D90618">
        <w:rPr>
          <w:i/>
          <w:iCs/>
          <w:sz w:val="20"/>
          <w:szCs w:val="20"/>
        </w:rPr>
        <w:t>-; § 1/1 Abs. 3 abgeändert durch Art. 39 Nr. 3 des G. vom 26. Januar 2021 (B.S. vom 10. Februar 2021) - in Kraft am 1. Januar 2025 -, selbst aufgehoben durch Art. 213 des G. vom 12. Mai 2024 (B.S. vom 30. Mai 2024)</w:t>
      </w:r>
      <w:r>
        <w:rPr>
          <w:i/>
          <w:iCs/>
          <w:sz w:val="20"/>
          <w:szCs w:val="20"/>
        </w:rPr>
        <w:t>, und durch Art. 38 Nr. 3</w:t>
      </w:r>
      <w:r w:rsidRPr="00D90618">
        <w:rPr>
          <w:i/>
          <w:iCs/>
          <w:sz w:val="20"/>
          <w:szCs w:val="20"/>
        </w:rPr>
        <w:t xml:space="preserve"> des G. vom 12. Mai 2024 (B.S. vom 30. Mai 2024) - </w:t>
      </w:r>
      <w:r w:rsidR="00421C66">
        <w:rPr>
          <w:i/>
          <w:iCs/>
          <w:sz w:val="20"/>
          <w:szCs w:val="20"/>
        </w:rPr>
        <w:t xml:space="preserve">in Kraft für alle oder bestimmte Kategorien von Inhabern einer Unternehmensnummer sowie für natürliche Personen an dem jeweils vom König festzulegenden Datum und spätestens am </w:t>
      </w:r>
      <w:r w:rsidR="00CC23FF">
        <w:rPr>
          <w:i/>
          <w:iCs/>
          <w:sz w:val="20"/>
          <w:szCs w:val="20"/>
        </w:rPr>
        <w:t>1. Januar 2028 </w:t>
      </w:r>
      <w:r w:rsidRPr="00D90618">
        <w:rPr>
          <w:i/>
          <w:iCs/>
          <w:sz w:val="20"/>
          <w:szCs w:val="20"/>
        </w:rPr>
        <w:t>-]</w:t>
      </w:r>
      <w:r>
        <w:rPr>
          <w:sz w:val="20"/>
          <w:szCs w:val="20"/>
        </w:rPr>
        <w:t>"</w:t>
      </w:r>
    </w:p>
    <w:p w14:paraId="04732207" w14:textId="383E1CA8" w:rsidR="00BD0222" w:rsidRPr="009118AB"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BE3938" w14:textId="77777777" w:rsidR="00C93D94" w:rsidRPr="009118AB"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A5F9A1" w14:textId="37B318AC" w:rsidR="00C93D94" w:rsidRPr="009118AB"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375/1</w:t>
      </w:r>
      <w:r w:rsidR="00D67EB8" w:rsidRPr="009118AB">
        <w:t> - </w:t>
      </w:r>
      <w:r w:rsidRPr="009118AB">
        <w:t xml:space="preserve">Der Generalberater der mit der Festlegung der Einkommensteuern beauftragten Verwaltung oder der von ihm beauftragte Beamte gewährt von Rechts wegen den Nachlass des Steuerüberschusses, der infolge des rückwirkenden Abzugs von beruflichen Verlusten in Anwendung von Artikel 78 </w:t>
      </w:r>
      <w:r w:rsidR="00D67EB8" w:rsidRPr="009118AB">
        <w:t>§ </w:t>
      </w:r>
      <w:r w:rsidRPr="009118AB">
        <w:t xml:space="preserve">2 oder Artikel 206 </w:t>
      </w:r>
      <w:r w:rsidR="00D67EB8" w:rsidRPr="009118AB">
        <w:t>§ </w:t>
      </w:r>
      <w:r w:rsidRPr="009118AB">
        <w:t>4 festgelegt worden ist.]</w:t>
      </w:r>
    </w:p>
    <w:p w14:paraId="7A66589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362C260" w14:textId="0B91089D" w:rsidR="00C93D94" w:rsidRPr="009118AB"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118AB">
        <w:rPr>
          <w:i/>
          <w:iCs/>
        </w:rPr>
        <w:t>[</w:t>
      </w:r>
      <w:r w:rsidR="00D67EB8" w:rsidRPr="009118AB">
        <w:rPr>
          <w:i/>
          <w:iCs/>
        </w:rPr>
        <w:t>Art. </w:t>
      </w:r>
      <w:r w:rsidRPr="009118AB">
        <w:rPr>
          <w:i/>
          <w:iCs/>
        </w:rPr>
        <w:t xml:space="preserve">375/1 eingefügt durch </w:t>
      </w:r>
      <w:r w:rsidR="00D67EB8" w:rsidRPr="009118AB">
        <w:rPr>
          <w:i/>
          <w:iCs/>
        </w:rPr>
        <w:t>Art. </w:t>
      </w:r>
      <w:r w:rsidRPr="009118AB">
        <w:rPr>
          <w:i/>
          <w:iCs/>
        </w:rPr>
        <w:t>101</w:t>
      </w:r>
      <w:r w:rsidRPr="009118AB">
        <w:rPr>
          <w:i/>
          <w:iCs/>
          <w:spacing w:val="-2"/>
        </w:rPr>
        <w:t xml:space="preserve"> des G. vom 11. Februar </w:t>
      </w:r>
      <w:r w:rsidR="00B64F05" w:rsidRPr="009118AB">
        <w:rPr>
          <w:i/>
          <w:iCs/>
          <w:spacing w:val="-2"/>
        </w:rPr>
        <w:t>2019 (B.S. vom 22. März 2020)</w:t>
      </w:r>
      <w:r w:rsidR="00D67EB8" w:rsidRPr="009118AB">
        <w:rPr>
          <w:i/>
          <w:iCs/>
          <w:spacing w:val="-2"/>
        </w:rPr>
        <w:t> - </w:t>
      </w:r>
      <w:r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p>
    <w:p w14:paraId="3EC7B092" w14:textId="77777777" w:rsidR="00C93D94" w:rsidRPr="009118AB"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0DCDA6C3" w14:textId="62AA7430" w:rsidR="001E1ED5" w:rsidRPr="009118AB" w:rsidRDefault="001E1ED5"/>
    <w:p w14:paraId="316B09D8" w14:textId="77777777" w:rsidR="00F51DE4" w:rsidRPr="009118AB" w:rsidRDefault="00F51DE4">
      <w:r w:rsidRPr="009118AB">
        <w:br w:type="page"/>
      </w:r>
    </w:p>
    <w:p w14:paraId="25833286" w14:textId="4F5956F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t>[...]</w:t>
      </w:r>
    </w:p>
    <w:p w14:paraId="3536148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6BF1ED7" w14:textId="44F0E3C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[Unterteilung früherer Abschnitt </w:t>
      </w:r>
      <w:r w:rsidR="009E593F" w:rsidRPr="009118AB">
        <w:rPr>
          <w:i/>
          <w:iCs/>
        </w:rPr>
        <w:t>2</w:t>
      </w:r>
      <w:r w:rsidRPr="009118AB">
        <w:rPr>
          <w:i/>
          <w:iCs/>
        </w:rPr>
        <w:t xml:space="preserve"> aufgehoben durch </w:t>
      </w:r>
      <w:r w:rsidR="00D67EB8" w:rsidRPr="009118AB">
        <w:rPr>
          <w:i/>
          <w:iCs/>
        </w:rPr>
        <w:t>Art. </w:t>
      </w:r>
      <w:r w:rsidRPr="009118AB">
        <w:rPr>
          <w:i/>
          <w:iCs/>
        </w:rPr>
        <w:t>23 Buchstabe D des G. vom 15. März 1999 (B.S. vom 27. März 1999)]</w:t>
      </w:r>
    </w:p>
    <w:p w14:paraId="1D0F121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6360373" w14:textId="1C4B460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12F3FB9" w14:textId="55E7360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376</w:t>
      </w:r>
      <w:r w:rsidR="00D67EB8" w:rsidRPr="009118AB">
        <w:t> - </w:t>
      </w:r>
      <w:r w:rsidRPr="009118AB">
        <w:t>[</w:t>
      </w:r>
      <w:r w:rsidR="00D67EB8" w:rsidRPr="009118AB">
        <w:t>§ </w:t>
      </w:r>
      <w:r w:rsidRPr="009118AB">
        <w:t>1</w:t>
      </w:r>
      <w:r w:rsidR="00D67EB8" w:rsidRPr="009118AB">
        <w:t> - </w:t>
      </w:r>
      <w:r w:rsidRPr="009118AB">
        <w:t xml:space="preserve">Der </w:t>
      </w:r>
      <w:r w:rsidR="00960C13" w:rsidRPr="009118AB">
        <w:t>[Generalberater der mit der Festlegung der Einkommensteuern beauftragten Verwaltung]</w:t>
      </w:r>
      <w:r w:rsidRPr="009118AB">
        <w:t xml:space="preserve"> oder der von ihm beauftragte Beamte gewährt von Amts wegen einen Nachlass für Überbesteuerungen, die aus materiellen Irrtümern oder Doppelbesteuerung hervorgehen, und für Überbesteuerungen, die aus beweiskräftigen neuen Unterlagen oder Fakten hervorgehen, deren verspätete Vorlage oder Anführung durch den Steuerschuldner auf rechtmäßigen Gründen beruht, unter der Bedingung, dass:</w:t>
      </w:r>
    </w:p>
    <w:p w14:paraId="4CAC7A1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D4B50D" w14:textId="31EC1DF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1. diese Überbesteuerungen von der Verwaltung festgestellt </w:t>
      </w:r>
      <w:r w:rsidR="00C71D7C" w:rsidRPr="009118AB">
        <w:t>wurden oder vom Steuerschuldner[</w:t>
      </w:r>
      <w:r w:rsidR="00C71D7C" w:rsidRPr="009118AB">
        <w:rPr>
          <w:rFonts w:eastAsia="Calibri"/>
          <w:lang w:eastAsia="en-US"/>
        </w:rPr>
        <w:t>, von seinem Ehepartner, auf dessen Güter die Steuer beigetrieben wird, oder vom Mitschuldner wie in Artikel 2 des Gesetzbuches über die gütliche Beitreibung und die Zwangsbeitreibung von Steuerforderungen und nichtsteuerlichen Forderungen erwähnt</w:t>
      </w:r>
      <w:r w:rsidR="00C71D7C" w:rsidRPr="009118AB">
        <w:t>]</w:t>
      </w:r>
      <w:r w:rsidRPr="009118AB">
        <w:t xml:space="preserve"> der Verwaltung mitgeteilt wurden innerhalb </w:t>
      </w:r>
      <w:r w:rsidR="00AB3ACA" w:rsidRPr="009118AB">
        <w:t>[fünf</w:t>
      </w:r>
      <w:r w:rsidRPr="009118AB">
        <w:t xml:space="preserve"> Jahre</w:t>
      </w:r>
      <w:r w:rsidR="00AB3ACA" w:rsidRPr="009118AB">
        <w:t>n]</w:t>
      </w:r>
      <w:r w:rsidRPr="009118AB">
        <w:t xml:space="preserve"> ab dem 1. Januar des Jahres, in dem die Steuer festgelegt worden ist,</w:t>
      </w:r>
    </w:p>
    <w:p w14:paraId="6E326E6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FC1D4C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2. die Steuer nicht bereits Gegenstand eines Widerspruchs war, der zu einem definitiven Beschluss zur Sache geführt hat.</w:t>
      </w:r>
    </w:p>
    <w:p w14:paraId="6A0CF09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75EACE" w14:textId="6F03F1A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2</w:t>
      </w:r>
      <w:r w:rsidR="00D67EB8" w:rsidRPr="009118AB">
        <w:t> - </w:t>
      </w:r>
      <w:r w:rsidRPr="009118AB">
        <w:t>Als neues Element gilt weder ein neues Rechtsmittel noch eine Änderung der Rechtsprechung.</w:t>
      </w:r>
    </w:p>
    <w:p w14:paraId="7FBDAB8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A6AAAA5" w14:textId="790B274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3</w:t>
      </w:r>
      <w:r w:rsidR="00D67EB8" w:rsidRPr="009118AB">
        <w:t> - </w:t>
      </w:r>
      <w:r w:rsidRPr="009118AB">
        <w:t xml:space="preserve">Der </w:t>
      </w:r>
      <w:r w:rsidR="00960C13" w:rsidRPr="009118AB">
        <w:t xml:space="preserve">[Generalberater der mit der Festlegung der Einkommensteuern beauftragten Verwaltung] </w:t>
      </w:r>
      <w:r w:rsidRPr="009118AB">
        <w:t>oder der von ihm beauftragte Beamte gewährt ebenfalls von Amts wegen einen Nachlass für:</w:t>
      </w:r>
    </w:p>
    <w:p w14:paraId="592149C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D18C005" w14:textId="49D1B9E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1. [</w:t>
      </w:r>
      <w:r w:rsidR="00C44A31" w:rsidRPr="009118AB">
        <w:t xml:space="preserve">den in Artikel 304 </w:t>
      </w:r>
      <w:r w:rsidR="00D67EB8" w:rsidRPr="009118AB">
        <w:t>§ </w:t>
      </w:r>
      <w:r w:rsidR="00C44A31" w:rsidRPr="009118AB">
        <w:t>2 erwähnten Überschuss der Steuergutschriften, Vorabzüge und Vorauszahlungen, sofern dieser Überschuss von der Verwaltung festgestellt wurde oder vom Steuerschuldner</w:t>
      </w:r>
      <w:r w:rsidR="00C71D7C" w:rsidRPr="009118AB">
        <w:t>[</w:t>
      </w:r>
      <w:r w:rsidR="00C71D7C" w:rsidRPr="009118AB">
        <w:rPr>
          <w:rFonts w:eastAsia="Calibri"/>
          <w:lang w:eastAsia="en-US"/>
        </w:rPr>
        <w:t>, von seinem Ehepartner, auf dessen Güter die Steuer beigetrieben wird, oder vom Mitschuldner wie in Artikel 2 des Gesetzbuches über die gütliche Beitreibung und die Zwangsbeitreibung von Steuerforderungen und nichtsteuerlichen Forderungen erwähnt]</w:t>
      </w:r>
      <w:r w:rsidR="00C44A31" w:rsidRPr="009118AB">
        <w:t xml:space="preserve"> der Verwaltung mitgeteilt wurde innerhalb fünf Jahren ab dem 1. Januar des Steuerjahres, zu dem die Steuer gehört, auf die diese Steuergutschriften, Vorabzüge und Vorauszahlungen anrechenbar sind,</w:t>
      </w:r>
      <w:r w:rsidRPr="009118AB">
        <w:t>]</w:t>
      </w:r>
    </w:p>
    <w:p w14:paraId="698B6066" w14:textId="77777777" w:rsidR="00B051A2" w:rsidRPr="009118AB" w:rsidRDefault="00B051A2" w:rsidP="006F6B6B">
      <w:pPr>
        <w:autoSpaceDE w:val="0"/>
        <w:autoSpaceDN w:val="0"/>
        <w:adjustRightInd w:val="0"/>
        <w:jc w:val="both"/>
      </w:pPr>
    </w:p>
    <w:p w14:paraId="22FE0824" w14:textId="4E813CB0" w:rsidR="00477B8F" w:rsidRPr="009118AB" w:rsidRDefault="00477B8F" w:rsidP="006F6B6B">
      <w:pPr>
        <w:autoSpaceDE w:val="0"/>
        <w:autoSpaceDN w:val="0"/>
        <w:adjustRightInd w:val="0"/>
        <w:jc w:val="both"/>
      </w:pPr>
      <w:r w:rsidRPr="009118AB">
        <w:tab/>
        <w:t xml:space="preserve">2. </w:t>
      </w:r>
      <w:r w:rsidR="00132F58" w:rsidRPr="009118AB">
        <w:t>[die aus der Anwendung der Artikel 88, 131 bis 135, 138, 139, 145</w:t>
      </w:r>
      <w:r w:rsidR="00132F58" w:rsidRPr="009118AB">
        <w:rPr>
          <w:vertAlign w:val="superscript"/>
        </w:rPr>
        <w:t>1</w:t>
      </w:r>
      <w:r w:rsidR="00132F58" w:rsidRPr="009118AB">
        <w:t xml:space="preserve"> bis 156, 257, 526 </w:t>
      </w:r>
      <w:r w:rsidR="00D67EB8" w:rsidRPr="009118AB">
        <w:t>§ </w:t>
      </w:r>
      <w:r w:rsidR="00132F58" w:rsidRPr="009118AB">
        <w:t>1 und 539 hervorgehenden Ermäßigungen und die regionalen Steuerermäßigungen und Steuersenkungen]</w:t>
      </w:r>
      <w:r w:rsidRPr="009118AB">
        <w:t>, sofern der zu diesen Ermäßigungen führende Umstand von der Verwaltung festgestellt wurde oder vom Steuerschuldner</w:t>
      </w:r>
      <w:r w:rsidR="00C71D7C" w:rsidRPr="009118AB">
        <w:t>[</w:t>
      </w:r>
      <w:r w:rsidR="00C71D7C" w:rsidRPr="009118AB">
        <w:rPr>
          <w:rFonts w:eastAsia="Calibri"/>
          <w:lang w:eastAsia="en-US"/>
        </w:rPr>
        <w:t>, von seinem Ehepartner, auf dessen Güter die Steuer beigetrieben wird, oder vom Mitschuldner wie in Artikel 2 des Gesetzbuches über die gütliche Beitreibung und die Zwangsbeitreibung von Steuerforderungen und nichtsteuerlichen Forderungen erwähnt</w:t>
      </w:r>
      <w:r w:rsidR="00C71D7C" w:rsidRPr="009118AB">
        <w:t>]</w:t>
      </w:r>
      <w:r w:rsidRPr="009118AB">
        <w:t xml:space="preserve"> der Verwaltung mitgeteilt wurde </w:t>
      </w:r>
      <w:r w:rsidR="00C72FE4" w:rsidRPr="009118AB">
        <w:t>[</w:t>
      </w:r>
      <w:r w:rsidRPr="009118AB">
        <w:t xml:space="preserve">innerhalb </w:t>
      </w:r>
      <w:r w:rsidR="00C72FE4" w:rsidRPr="009118AB">
        <w:t xml:space="preserve">fünf </w:t>
      </w:r>
      <w:r w:rsidRPr="009118AB">
        <w:t>Jahre</w:t>
      </w:r>
      <w:r w:rsidR="00324DBF" w:rsidRPr="009118AB">
        <w:t>n</w:t>
      </w:r>
      <w:r w:rsidR="00C72FE4" w:rsidRPr="009118AB">
        <w:t>]</w:t>
      </w:r>
      <w:r w:rsidRPr="009118AB">
        <w:t xml:space="preserve"> ab dem 1. Januar des Steuerjahres, zu dem die Steuer gehört, auf die diese Erm</w:t>
      </w:r>
      <w:r w:rsidR="00A318E0" w:rsidRPr="009118AB">
        <w:t>äßigungen gewährt werden müssen,</w:t>
      </w:r>
    </w:p>
    <w:p w14:paraId="068B13D0" w14:textId="77777777" w:rsidR="00A318E0" w:rsidRPr="009118AB" w:rsidRDefault="00A318E0" w:rsidP="006F6B6B">
      <w:pPr>
        <w:autoSpaceDE w:val="0"/>
        <w:autoSpaceDN w:val="0"/>
        <w:adjustRightInd w:val="0"/>
        <w:jc w:val="both"/>
      </w:pPr>
    </w:p>
    <w:p w14:paraId="2083D806" w14:textId="1B43CBD1" w:rsidR="00A318E0" w:rsidRPr="009118AB" w:rsidRDefault="00A318E0" w:rsidP="006F6B6B">
      <w:pPr>
        <w:autoSpaceDE w:val="0"/>
        <w:autoSpaceDN w:val="0"/>
        <w:adjustRightInd w:val="0"/>
        <w:jc w:val="both"/>
      </w:pPr>
      <w:r w:rsidRPr="009118AB">
        <w:tab/>
        <w:t>[3. </w:t>
      </w:r>
      <w:r w:rsidR="00B632E4" w:rsidRPr="009118AB">
        <w:t>[den gezahlten Überschuss der Steuer, der nach einem Verständigungsverfahren in Anwendung eines internationalen Abkommens zur Vermeidung der Doppelbesteuerung, einem Verfahren in Anwendung des Übereinkommens vom 23. Juli 1990 über die Beseitigung der Doppelbesteuerung im Falle von Gewinnberichtigungen zwischen verbundenen Unternehmen (90/436/EWG) oder einem Streitbeilegungsverfahren wie in den Artikeln 3, 4, 6, 10 beziehungsweise 15 des Gesetzes vom 2. Mai 2019 zur Umsetzung der Richt</w:t>
      </w:r>
      <w:r w:rsidR="00B632E4" w:rsidRPr="009118AB">
        <w:softHyphen/>
        <w:t>linie (EU) 2017/1852 des Rates vom 10. Oktober 2017 über Verfahren zur Beilegung von Besteuerungsstreitigkeiten in der Europäischen Union erwähnt festgestellt wird.]</w:t>
      </w:r>
      <w:r w:rsidRPr="009118AB">
        <w:t>]</w:t>
      </w:r>
    </w:p>
    <w:p w14:paraId="7D03204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F9B27B" w14:textId="3DF0370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4</w:t>
      </w:r>
      <w:r w:rsidR="00D67EB8" w:rsidRPr="009118AB">
        <w:t> - </w:t>
      </w:r>
      <w:r w:rsidRPr="009118AB">
        <w:t>Der König bestimmt Bedingungen und Weise der Erstattung von Amts wegen der in den Artikeln 157 bis 168 und 175 bis 177 erwähnten Vorauszahlungen, die noch nicht auf die tatsächlich geschuldete Steuer angerechnet wurden.]</w:t>
      </w:r>
    </w:p>
    <w:p w14:paraId="35411A8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DA3CB5E" w14:textId="77B28D0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iCs/>
        </w:rPr>
        <w:t>[</w:t>
      </w:r>
      <w:r w:rsidR="00D67EB8" w:rsidRPr="009118AB">
        <w:rPr>
          <w:i/>
          <w:iCs/>
        </w:rPr>
        <w:t>Art. </w:t>
      </w:r>
      <w:r w:rsidRPr="009118AB">
        <w:rPr>
          <w:i/>
          <w:iCs/>
        </w:rPr>
        <w:t xml:space="preserve">376 ersetzt durch </w:t>
      </w:r>
      <w:r w:rsidR="00D67EB8" w:rsidRPr="009118AB">
        <w:rPr>
          <w:i/>
          <w:iCs/>
        </w:rPr>
        <w:t>Art. </w:t>
      </w:r>
      <w:r w:rsidRPr="009118AB">
        <w:rPr>
          <w:i/>
          <w:iCs/>
        </w:rPr>
        <w:t>33 des G. vom 15. März 1999 (B.S. vom 27. März 1999);</w:t>
      </w:r>
      <w:r w:rsidR="00AB3ACA" w:rsidRPr="009118AB">
        <w:rPr>
          <w:i/>
          <w:iCs/>
        </w:rPr>
        <w:t xml:space="preserve"> </w:t>
      </w:r>
      <w:r w:rsidR="00D67EB8" w:rsidRPr="009118AB">
        <w:rPr>
          <w:i/>
          <w:iCs/>
        </w:rPr>
        <w:t>§ </w:t>
      </w:r>
      <w:r w:rsidR="00917EC3" w:rsidRPr="009118AB">
        <w:rPr>
          <w:i/>
          <w:iCs/>
        </w:rPr>
        <w:t xml:space="preserve">1 einziger Absatz einleitende Bestimmung abgeändert durch </w:t>
      </w:r>
      <w:r w:rsidR="00D67EB8" w:rsidRPr="009118AB">
        <w:rPr>
          <w:i/>
          <w:iCs/>
        </w:rPr>
        <w:t>Art. </w:t>
      </w:r>
      <w:r w:rsidR="00917EC3" w:rsidRPr="009118AB">
        <w:rPr>
          <w:i/>
          <w:iCs/>
        </w:rPr>
        <w:t xml:space="preserve">12 des G. vom 27. April 2016 (B.S. vom 6. Mai 2016); </w:t>
      </w:r>
      <w:r w:rsidR="00D67EB8" w:rsidRPr="009118AB">
        <w:rPr>
          <w:i/>
          <w:iCs/>
        </w:rPr>
        <w:t>§ </w:t>
      </w:r>
      <w:r w:rsidR="00132F58" w:rsidRPr="009118AB">
        <w:rPr>
          <w:i/>
          <w:iCs/>
        </w:rPr>
        <w:t xml:space="preserve">1 einziger Absatz </w:t>
      </w:r>
      <w:r w:rsidR="00D67EB8" w:rsidRPr="009118AB">
        <w:rPr>
          <w:i/>
          <w:iCs/>
        </w:rPr>
        <w:t>Nr. </w:t>
      </w:r>
      <w:r w:rsidR="00132F58" w:rsidRPr="009118AB">
        <w:rPr>
          <w:i/>
          <w:iCs/>
        </w:rPr>
        <w:t xml:space="preserve">1 abgeändert durch </w:t>
      </w:r>
      <w:r w:rsidR="00D67EB8" w:rsidRPr="009118AB">
        <w:rPr>
          <w:i/>
          <w:iCs/>
        </w:rPr>
        <w:t>Art. </w:t>
      </w:r>
      <w:r w:rsidR="00AB3ACA" w:rsidRPr="009118AB">
        <w:rPr>
          <w:i/>
          <w:iCs/>
        </w:rPr>
        <w:t>1</w:t>
      </w:r>
      <w:r w:rsidR="00132F58" w:rsidRPr="009118AB">
        <w:rPr>
          <w:i/>
          <w:iCs/>
        </w:rPr>
        <w:t xml:space="preserve">90 des G. vom </w:t>
      </w:r>
      <w:r w:rsidR="00132F58" w:rsidRPr="009118AB">
        <w:rPr>
          <w:rFonts w:ascii="Times New Roman Italique" w:hAnsi="Times New Roman Italique"/>
          <w:i/>
          <w:iCs/>
          <w:spacing w:val="-2"/>
        </w:rPr>
        <w:t>22. Dezember 2008 </w:t>
      </w:r>
      <w:r w:rsidR="00AB3ACA" w:rsidRPr="009118AB">
        <w:rPr>
          <w:rFonts w:ascii="Times New Roman Italique" w:hAnsi="Times New Roman Italique"/>
          <w:i/>
          <w:iCs/>
          <w:spacing w:val="-2"/>
        </w:rPr>
        <w:t>(I) (B.S. vom 29. Dezember 2008)</w:t>
      </w:r>
      <w:r w:rsidR="00D67EB8" w:rsidRPr="009118AB">
        <w:rPr>
          <w:rFonts w:ascii="Times New Roman Italique" w:hAnsi="Times New Roman Italique"/>
          <w:i/>
          <w:iCs/>
          <w:spacing w:val="-2"/>
        </w:rPr>
        <w:t> - </w:t>
      </w:r>
      <w:r w:rsidR="00093D18" w:rsidRPr="009118AB">
        <w:rPr>
          <w:rFonts w:ascii="Times New Roman Italique" w:hAnsi="Times New Roman Italique"/>
          <w:i/>
          <w:iCs/>
          <w:spacing w:val="-2"/>
        </w:rPr>
        <w:t>in Kraft am</w:t>
      </w:r>
      <w:r w:rsidR="00AB3ACA" w:rsidRPr="009118AB">
        <w:rPr>
          <w:rFonts w:ascii="Times New Roman Italique" w:hAnsi="Times New Roman Italique"/>
          <w:i/>
          <w:iCs/>
          <w:spacing w:val="-2"/>
        </w:rPr>
        <w:t xml:space="preserve"> 29. Dezember 2008</w:t>
      </w:r>
      <w:r w:rsidR="00D67EB8" w:rsidRPr="009118AB">
        <w:rPr>
          <w:rFonts w:ascii="Times New Roman Italique" w:hAnsi="Times New Roman Italique"/>
          <w:i/>
          <w:iCs/>
          <w:spacing w:val="-2"/>
        </w:rPr>
        <w:t> - </w:t>
      </w:r>
      <w:r w:rsidR="00C71D7C"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C71D7C" w:rsidRPr="009118AB">
        <w:rPr>
          <w:rFonts w:ascii="Times New Roman Italique" w:hAnsi="Times New Roman Italique"/>
          <w:i/>
          <w:iCs/>
          <w:spacing w:val="-2"/>
        </w:rPr>
        <w:t>41 des G. vom 13. April 2019 (II) (B.S. vom 30. April 2019)</w:t>
      </w:r>
      <w:r w:rsidR="00D67EB8" w:rsidRPr="009118AB">
        <w:rPr>
          <w:rFonts w:ascii="Times New Roman Italique" w:hAnsi="Times New Roman Italique"/>
          <w:i/>
          <w:iCs/>
          <w:spacing w:val="-2"/>
        </w:rPr>
        <w:t> - </w:t>
      </w:r>
      <w:r w:rsidR="00C71D7C" w:rsidRPr="009118AB">
        <w:rPr>
          <w:rFonts w:ascii="Times New Roman Italique" w:hAnsi="Times New Roman Italique"/>
          <w:i/>
          <w:iCs/>
          <w:spacing w:val="-2"/>
        </w:rPr>
        <w:t>in Kraft am 1. Januar 2020</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917EC3" w:rsidRPr="009118AB">
        <w:rPr>
          <w:rFonts w:ascii="Times New Roman Italique" w:hAnsi="Times New Roman Italique"/>
          <w:i/>
          <w:iCs/>
          <w:spacing w:val="-2"/>
        </w:rPr>
        <w:t xml:space="preserve">3 einziger Absatz einleitende Bestimmung abgeändert durch </w:t>
      </w:r>
      <w:r w:rsidR="00D67EB8" w:rsidRPr="009118AB">
        <w:rPr>
          <w:rFonts w:ascii="Times New Roman Italique" w:hAnsi="Times New Roman Italique"/>
          <w:i/>
          <w:iCs/>
          <w:spacing w:val="-2"/>
        </w:rPr>
        <w:t>Art. </w:t>
      </w:r>
      <w:r w:rsidR="00917EC3" w:rsidRPr="009118AB">
        <w:rPr>
          <w:rFonts w:ascii="Times New Roman Italique" w:hAnsi="Times New Roman Italique"/>
          <w:i/>
          <w:iCs/>
          <w:spacing w:val="-2"/>
        </w:rPr>
        <w:t>12 des G. vom</w:t>
      </w:r>
      <w:r w:rsidR="00917EC3" w:rsidRPr="009118AB">
        <w:rPr>
          <w:i/>
          <w:iCs/>
        </w:rPr>
        <w:t xml:space="preserve"> 27. April 2016 (B.S. vom 6. Mai 2016); </w:t>
      </w:r>
      <w:r w:rsidR="00D67EB8" w:rsidRPr="009118AB">
        <w:rPr>
          <w:i/>
          <w:iCs/>
        </w:rPr>
        <w:t>§ </w:t>
      </w:r>
      <w:r w:rsidRPr="009118AB">
        <w:rPr>
          <w:i/>
          <w:iCs/>
        </w:rPr>
        <w:t xml:space="preserve">3 einziger Absatz </w:t>
      </w:r>
      <w:r w:rsidR="00D67EB8" w:rsidRPr="009118AB">
        <w:rPr>
          <w:i/>
          <w:iCs/>
        </w:rPr>
        <w:t>Nr. </w:t>
      </w:r>
      <w:r w:rsidRPr="009118AB">
        <w:rPr>
          <w:i/>
          <w:iCs/>
        </w:rPr>
        <w:t xml:space="preserve">1 ersetzt durch </w:t>
      </w:r>
      <w:r w:rsidR="00D67EB8" w:rsidRPr="009118AB">
        <w:rPr>
          <w:i/>
          <w:iCs/>
        </w:rPr>
        <w:t>Art. </w:t>
      </w:r>
      <w:r w:rsidR="00C44A31" w:rsidRPr="009118AB">
        <w:rPr>
          <w:i/>
          <w:iCs/>
        </w:rPr>
        <w:t xml:space="preserve">67 des </w:t>
      </w:r>
      <w:r w:rsidR="00DC1F9F" w:rsidRPr="009118AB">
        <w:rPr>
          <w:i/>
          <w:iCs/>
        </w:rPr>
        <w:t>G. vom 22. Dezember 2009 (I)</w:t>
      </w:r>
      <w:r w:rsidR="00C44A31" w:rsidRPr="009118AB">
        <w:rPr>
          <w:i/>
          <w:iCs/>
        </w:rPr>
        <w:t xml:space="preserve"> (B.S. vom 31. Dezember 2009)</w:t>
      </w:r>
      <w:r w:rsidR="00C71D7C" w:rsidRPr="009118AB">
        <w:rPr>
          <w:i/>
          <w:iCs/>
        </w:rPr>
        <w:t xml:space="preserve"> und abgeändert durch </w:t>
      </w:r>
      <w:r w:rsidR="00D67EB8" w:rsidRPr="009118AB">
        <w:rPr>
          <w:i/>
          <w:iCs/>
        </w:rPr>
        <w:t>Art. </w:t>
      </w:r>
      <w:r w:rsidR="00C71D7C" w:rsidRPr="009118AB">
        <w:rPr>
          <w:i/>
          <w:iCs/>
        </w:rPr>
        <w:t>41 des G. vom 13. April 2019 (II) (B.S. vom 30. April 2019)</w:t>
      </w:r>
      <w:r w:rsidR="00D67EB8" w:rsidRPr="009118AB">
        <w:rPr>
          <w:i/>
          <w:iCs/>
        </w:rPr>
        <w:t> - </w:t>
      </w:r>
      <w:r w:rsidR="00C71D7C" w:rsidRPr="009118AB">
        <w:rPr>
          <w:i/>
          <w:iCs/>
        </w:rPr>
        <w:t>in Kraft am 1. Januar 2020</w:t>
      </w:r>
      <w:r w:rsidR="003366D9" w:rsidRPr="009118AB">
        <w:rPr>
          <w:i/>
          <w:iCs/>
        </w:rPr>
        <w:t> -;</w:t>
      </w:r>
      <w:r w:rsidR="00132F58" w:rsidRPr="009118AB">
        <w:rPr>
          <w:i/>
        </w:rPr>
        <w:t xml:space="preserve"> </w:t>
      </w:r>
      <w:r w:rsidR="00D67EB8" w:rsidRPr="009118AB">
        <w:rPr>
          <w:i/>
        </w:rPr>
        <w:t>§ </w:t>
      </w:r>
      <w:r w:rsidR="00132F58" w:rsidRPr="009118AB">
        <w:rPr>
          <w:i/>
        </w:rPr>
        <w:t xml:space="preserve">3 einziger Absatz </w:t>
      </w:r>
      <w:r w:rsidR="00D67EB8" w:rsidRPr="009118AB">
        <w:rPr>
          <w:i/>
        </w:rPr>
        <w:t>Nr. </w:t>
      </w:r>
      <w:r w:rsidR="00917C11" w:rsidRPr="009118AB">
        <w:rPr>
          <w:i/>
        </w:rPr>
        <w:t xml:space="preserve">2 abgeändert durch </w:t>
      </w:r>
      <w:r w:rsidR="00D67EB8" w:rsidRPr="009118AB">
        <w:rPr>
          <w:i/>
        </w:rPr>
        <w:t>Art. </w:t>
      </w:r>
      <w:r w:rsidR="00917C11" w:rsidRPr="009118AB">
        <w:rPr>
          <w:i/>
        </w:rPr>
        <w:t>48 des G. vom 6. Mai 2009 (B.S. vom 19. Mai 2009)</w:t>
      </w:r>
      <w:r w:rsidR="00132F58" w:rsidRPr="009118AB">
        <w:rPr>
          <w:i/>
        </w:rPr>
        <w:t>,</w:t>
      </w:r>
      <w:r w:rsidR="00C54BD0" w:rsidRPr="009118AB">
        <w:rPr>
          <w:i/>
        </w:rPr>
        <w:t xml:space="preserve"> </w:t>
      </w:r>
      <w:r w:rsidR="00D67EB8" w:rsidRPr="009118AB">
        <w:rPr>
          <w:i/>
        </w:rPr>
        <w:t>Art. </w:t>
      </w:r>
      <w:r w:rsidR="00C54BD0" w:rsidRPr="009118AB">
        <w:rPr>
          <w:i/>
        </w:rPr>
        <w:t>28</w:t>
      </w:r>
      <w:r w:rsidR="00C54BD0" w:rsidRPr="009118AB">
        <w:rPr>
          <w:i/>
          <w:iCs/>
        </w:rPr>
        <w:t xml:space="preserve"> des G. vom 21. Dezember 2013 (II) (B.S. vom </w:t>
      </w:r>
      <w:r w:rsidR="000C37FA" w:rsidRPr="009118AB">
        <w:rPr>
          <w:i/>
          <w:iCs/>
        </w:rPr>
        <w:t>31. Dezember 2013</w:t>
      </w:r>
      <w:r w:rsidR="00C54BD0" w:rsidRPr="009118AB">
        <w:rPr>
          <w:i/>
          <w:iCs/>
        </w:rPr>
        <w:t>)</w:t>
      </w:r>
      <w:r w:rsidR="00D67EB8" w:rsidRPr="009118AB">
        <w:rPr>
          <w:i/>
          <w:iCs/>
        </w:rPr>
        <w:t> - </w:t>
      </w:r>
      <w:r w:rsidR="00C54BD0" w:rsidRPr="009118AB">
        <w:rPr>
          <w:i/>
          <w:iCs/>
        </w:rPr>
        <w:t>anwendbar auf Nachlasse von Amts wegen in Bezug auf das Steuerjahr 2014 und folgende</w:t>
      </w:r>
      <w:r w:rsidR="00FD68E8" w:rsidRPr="009118AB">
        <w:rPr>
          <w:i/>
          <w:iCs/>
        </w:rPr>
        <w:t> -,</w:t>
      </w:r>
      <w:r w:rsidR="00132F58" w:rsidRPr="009118AB">
        <w:rPr>
          <w:i/>
          <w:iCs/>
        </w:rPr>
        <w:t xml:space="preserve"> </w:t>
      </w:r>
      <w:r w:rsidR="00D67EB8" w:rsidRPr="009118AB">
        <w:rPr>
          <w:i/>
          <w:iCs/>
        </w:rPr>
        <w:t>Art. </w:t>
      </w:r>
      <w:r w:rsidR="00132F58" w:rsidRPr="009118AB">
        <w:rPr>
          <w:i/>
          <w:iCs/>
        </w:rPr>
        <w:t>9</w:t>
      </w:r>
      <w:r w:rsidR="006607D7" w:rsidRPr="009118AB">
        <w:rPr>
          <w:i/>
          <w:iCs/>
        </w:rPr>
        <w:t>2</w:t>
      </w:r>
      <w:r w:rsidR="00132F58" w:rsidRPr="009118AB">
        <w:rPr>
          <w:i/>
        </w:rPr>
        <w:t xml:space="preserve"> des G. vom 8. Mai 2014 (B.S. vom 28. Mai 2014)</w:t>
      </w:r>
      <w:r w:rsidR="00D67EB8" w:rsidRPr="009118AB">
        <w:rPr>
          <w:i/>
        </w:rPr>
        <w:t> - </w:t>
      </w:r>
      <w:r w:rsidR="00132F58" w:rsidRPr="009118AB">
        <w:rPr>
          <w:i/>
          <w:iCs/>
        </w:rPr>
        <w:t xml:space="preserve">anwendbar </w:t>
      </w:r>
      <w:r w:rsidR="001E5878" w:rsidRPr="009118AB">
        <w:rPr>
          <w:i/>
          <w:iCs/>
        </w:rPr>
        <w:t>auf Nachlässe von Amts wegen in Bezug auf das Steuerjahr 2015 und folgende</w:t>
      </w:r>
      <w:r w:rsidR="00D67EB8" w:rsidRPr="009118AB">
        <w:rPr>
          <w:i/>
          <w:iCs/>
        </w:rPr>
        <w:t> - </w:t>
      </w:r>
      <w:r w:rsidR="00C71D7C" w:rsidRPr="009118AB">
        <w:rPr>
          <w:i/>
          <w:iCs/>
        </w:rPr>
        <w:t xml:space="preserve">und </w:t>
      </w:r>
      <w:r w:rsidR="00D67EB8" w:rsidRPr="009118AB">
        <w:rPr>
          <w:i/>
          <w:iCs/>
        </w:rPr>
        <w:t>Art. </w:t>
      </w:r>
      <w:r w:rsidR="00C71D7C" w:rsidRPr="009118AB">
        <w:rPr>
          <w:i/>
          <w:iCs/>
        </w:rPr>
        <w:t>41 des G. vom 13. April 2019 (II) (B.S. vom 30. April 2019)</w:t>
      </w:r>
      <w:r w:rsidR="00D67EB8" w:rsidRPr="009118AB">
        <w:rPr>
          <w:i/>
          <w:iCs/>
        </w:rPr>
        <w:t> - </w:t>
      </w:r>
      <w:r w:rsidR="00C71D7C" w:rsidRPr="009118AB">
        <w:rPr>
          <w:i/>
          <w:iCs/>
        </w:rPr>
        <w:t>in Kraft am 1. Januar 2020</w:t>
      </w:r>
      <w:r w:rsidR="003366D9" w:rsidRPr="009118AB">
        <w:rPr>
          <w:i/>
          <w:iCs/>
        </w:rPr>
        <w:t> -;</w:t>
      </w:r>
      <w:r w:rsidR="00A318E0" w:rsidRPr="009118AB">
        <w:rPr>
          <w:i/>
          <w:iCs/>
        </w:rPr>
        <w:t xml:space="preserve"> </w:t>
      </w:r>
      <w:r w:rsidR="00D67EB8" w:rsidRPr="009118AB">
        <w:rPr>
          <w:i/>
          <w:iCs/>
        </w:rPr>
        <w:t>§ </w:t>
      </w:r>
      <w:r w:rsidR="00A318E0" w:rsidRPr="009118AB">
        <w:rPr>
          <w:i/>
          <w:iCs/>
        </w:rPr>
        <w:t xml:space="preserve">3 einziger Absatz </w:t>
      </w:r>
      <w:r w:rsidR="00D67EB8" w:rsidRPr="009118AB">
        <w:rPr>
          <w:i/>
          <w:iCs/>
        </w:rPr>
        <w:t>Nr. </w:t>
      </w:r>
      <w:r w:rsidR="0056242A" w:rsidRPr="009118AB">
        <w:rPr>
          <w:i/>
          <w:iCs/>
        </w:rPr>
        <w:t>3</w:t>
      </w:r>
      <w:r w:rsidR="00A318E0" w:rsidRPr="009118AB">
        <w:rPr>
          <w:i/>
          <w:iCs/>
        </w:rPr>
        <w:t xml:space="preserve"> eingefügt durch </w:t>
      </w:r>
      <w:r w:rsidR="00D67EB8" w:rsidRPr="009118AB">
        <w:rPr>
          <w:i/>
          <w:iCs/>
        </w:rPr>
        <w:t>Art. </w:t>
      </w:r>
      <w:r w:rsidR="00A318E0" w:rsidRPr="009118AB">
        <w:rPr>
          <w:i/>
          <w:iCs/>
        </w:rPr>
        <w:t>62</w:t>
      </w:r>
      <w:r w:rsidR="00A318E0" w:rsidRPr="009118AB">
        <w:rPr>
          <w:i/>
        </w:rPr>
        <w:t xml:space="preserve"> des G. vom 1. Juli 2016 (B.S. vom 4. Juli 2016)</w:t>
      </w:r>
      <w:r w:rsidR="00D67EB8" w:rsidRPr="009118AB">
        <w:rPr>
          <w:i/>
        </w:rPr>
        <w:t> - </w:t>
      </w:r>
      <w:r w:rsidR="00A318E0" w:rsidRPr="009118AB">
        <w:rPr>
          <w:i/>
        </w:rPr>
        <w:t>wirksam mit dem Steuerjahr 2017</w:t>
      </w:r>
      <w:r w:rsidR="00D67EB8" w:rsidRPr="009118AB">
        <w:rPr>
          <w:i/>
        </w:rPr>
        <w:t> - </w:t>
      </w:r>
      <w:r w:rsidR="00B632E4" w:rsidRPr="009118AB">
        <w:rPr>
          <w:i/>
        </w:rPr>
        <w:t xml:space="preserve">und ersetzt durch </w:t>
      </w:r>
      <w:r w:rsidR="00D67EB8" w:rsidRPr="009118AB">
        <w:rPr>
          <w:i/>
        </w:rPr>
        <w:t>Art. </w:t>
      </w:r>
      <w:r w:rsidR="00B632E4" w:rsidRPr="009118AB">
        <w:rPr>
          <w:i/>
        </w:rPr>
        <w:t>22 des G. vom 2. Mai 2019 (I) (B.S. vom 17. Mai 2019)</w:t>
      </w:r>
      <w:r w:rsidR="00D67EB8" w:rsidRPr="009118AB">
        <w:rPr>
          <w:i/>
        </w:rPr>
        <w:t> - </w:t>
      </w:r>
      <w:r w:rsidR="00B632E4" w:rsidRPr="009118AB">
        <w:rPr>
          <w:i/>
        </w:rPr>
        <w:t>anwen</w:t>
      </w:r>
      <w:r w:rsidR="008E6B41" w:rsidRPr="009118AB">
        <w:rPr>
          <w:i/>
        </w:rPr>
        <w:t>d</w:t>
      </w:r>
      <w:r w:rsidR="00B632E4" w:rsidRPr="009118AB">
        <w:rPr>
          <w:i/>
        </w:rPr>
        <w:t>bar auf alle ab dem 1. Juli 2019 eingereichten Beschwerden in Bezug auf Streitigkeiten hinsichtlich der Einkünfte oder Kapitalvermögen, die im Laufe eines Besteuerungszeitraums bezogen wurden, der am oder nach dem 1. Januar 2018 beginnt</w:t>
      </w:r>
      <w:r w:rsidR="00FD68E8" w:rsidRPr="009118AB">
        <w:rPr>
          <w:i/>
        </w:rPr>
        <w:t> -]</w:t>
      </w:r>
    </w:p>
    <w:p w14:paraId="2FBDA79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9D25E63" w14:textId="77777777" w:rsidR="00B1179A" w:rsidRPr="009118AB" w:rsidRDefault="00B117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67BC758" w14:textId="3D5648FC" w:rsidR="00B1179A" w:rsidRPr="009118AB" w:rsidRDefault="00B1179A" w:rsidP="00B1179A">
      <w:pPr>
        <w:jc w:val="both"/>
      </w:pPr>
      <w:r w:rsidRPr="009118AB">
        <w:tab/>
        <w:t>[</w:t>
      </w:r>
      <w:r w:rsidR="00D67EB8" w:rsidRPr="009118AB">
        <w:rPr>
          <w:b/>
        </w:rPr>
        <w:t>Art. </w:t>
      </w:r>
      <w:r w:rsidRPr="009118AB">
        <w:rPr>
          <w:b/>
        </w:rPr>
        <w:t>376/1</w:t>
      </w:r>
      <w:r w:rsidR="00D67EB8" w:rsidRPr="009118AB">
        <w:t> - </w:t>
      </w:r>
      <w:r w:rsidRPr="009118AB">
        <w:t xml:space="preserve">Wünscht ein in Artikel 227 </w:t>
      </w:r>
      <w:r w:rsidR="00D67EB8" w:rsidRPr="009118AB">
        <w:t>Nr. </w:t>
      </w:r>
      <w:r w:rsidRPr="009118AB">
        <w:t>1 erwähnter Gebietsfremder die Anwen</w:t>
      </w:r>
      <w:r w:rsidRPr="009118AB">
        <w:softHyphen/>
        <w:t xml:space="preserve">dung von Artikel 21 Absatz 1 </w:t>
      </w:r>
      <w:r w:rsidR="00D67EB8" w:rsidRPr="009118AB">
        <w:t>Nr. </w:t>
      </w:r>
      <w:r w:rsidRPr="009118AB">
        <w:t>14 für Dividenden, für die in Anwendung von Artikel 261 ein Mobiliensteuervorabzug einbehalten wurde und die während eines Besteuerungszeitraums zuerkannt oder ausgeschüttet wurden, in dem er keine Einkünfte bezogen hat, die er gemäß den Artikeln 232 und 248 §</w:t>
      </w:r>
      <w:r w:rsidR="00D67EB8" w:rsidRPr="009118AB">
        <w:t>§ </w:t>
      </w:r>
      <w:r w:rsidRPr="009118AB">
        <w:t>2 und 3 in einer Erklärung zur Steuer der Gebietsfremden regularisieren muss, beantragt er bei dem vom König bestimmten Beamten die Erstattung dieses Mobiliensteuervorabzugs. Dieser Erstattungsantrag wird spätestens am 31. Dezember des Jahres nach dem Kalenderjahr, in dem die Dividenden bezogen wurden, eingereicht und mit einer Bescheinigung über die Rechtsstellung eines Gebietsfremden und Belegen untermauert.</w:t>
      </w:r>
    </w:p>
    <w:p w14:paraId="459B4A78" w14:textId="77777777" w:rsidR="00B1179A" w:rsidRPr="009118AB" w:rsidRDefault="00B1179A" w:rsidP="00B1179A">
      <w:pPr>
        <w:jc w:val="both"/>
      </w:pPr>
    </w:p>
    <w:p w14:paraId="07EF9060" w14:textId="77777777" w:rsidR="00D90618" w:rsidRDefault="00D90618">
      <w:r>
        <w:br w:type="page"/>
      </w:r>
    </w:p>
    <w:p w14:paraId="7184ACB7" w14:textId="69C36466" w:rsidR="00B1179A" w:rsidRPr="009118AB" w:rsidRDefault="00B1179A" w:rsidP="00231C26">
      <w:r w:rsidRPr="009118AB">
        <w:tab/>
        <w:t>Der König bestimmt, wie der in Absatz 1 erwähnte Nachweis zu erbringen ist. Der König bestimmt auch zusätzliche Modalitäten für Antrag und Erstattung.]</w:t>
      </w:r>
    </w:p>
    <w:p w14:paraId="09E2E17E" w14:textId="77777777" w:rsidR="00B1179A" w:rsidRPr="009118AB" w:rsidRDefault="00B1179A" w:rsidP="00B117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F15FBC" w14:textId="5BC9E0A3" w:rsidR="00B1179A" w:rsidRPr="009118AB" w:rsidRDefault="00B1179A" w:rsidP="00B117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376/1 eingefügt durch </w:t>
      </w:r>
      <w:r w:rsidR="00D67EB8" w:rsidRPr="009118AB">
        <w:rPr>
          <w:i/>
        </w:rPr>
        <w:t>Art. </w:t>
      </w:r>
      <w:r w:rsidRPr="009118AB">
        <w:rPr>
          <w:i/>
        </w:rPr>
        <w:t>115</w:t>
      </w:r>
      <w:r w:rsidRPr="009118AB">
        <w:rPr>
          <w:rFonts w:ascii="Times New Roman Italique" w:hAnsi="Times New Roman Italique"/>
          <w:i/>
          <w:iCs/>
          <w:spacing w:val="-2"/>
        </w:rPr>
        <w:t xml:space="preserve"> </w:t>
      </w:r>
      <w:r w:rsidRPr="009118AB">
        <w:rPr>
          <w:i/>
          <w:iCs/>
        </w:rPr>
        <w:t>des G. vom 25. Dezember 2017 (IV) (B.S. vom 29. Dezember 2017)</w:t>
      </w:r>
      <w:r w:rsidR="00D67EB8" w:rsidRPr="009118AB">
        <w:rPr>
          <w:i/>
          <w:iCs/>
        </w:rPr>
        <w:t> - </w:t>
      </w:r>
      <w:r w:rsidRPr="009118AB">
        <w:rPr>
          <w:i/>
        </w:rPr>
        <w:t>anwendbar auf die ab dem 1. Januar 2018 gezahlten oder zuerkannten Einkünfte</w:t>
      </w:r>
      <w:r w:rsidR="00FD68E8" w:rsidRPr="009118AB">
        <w:rPr>
          <w:i/>
        </w:rPr>
        <w:t> -]</w:t>
      </w:r>
    </w:p>
    <w:p w14:paraId="49F29BA5" w14:textId="77777777" w:rsidR="00B1179A" w:rsidRPr="009118AB" w:rsidRDefault="00B1179A" w:rsidP="00B117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7B49D57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8E3B59" w14:textId="485DFAA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376</w:t>
      </w:r>
      <w:r w:rsidRPr="009118AB">
        <w:rPr>
          <w:b/>
          <w:bCs/>
          <w:i/>
          <w:iCs/>
        </w:rPr>
        <w:t>bis</w:t>
      </w:r>
      <w:r w:rsidR="00D67EB8" w:rsidRPr="009118AB">
        <w:t> - </w:t>
      </w:r>
      <w:r w:rsidRPr="009118AB">
        <w:t xml:space="preserve">Der Minister der Finanzen oder sein Beauftragter kann mit einem einzigen mit Gründen versehenen Beschluss alle Widersprüche abweisen, die ausschließlich auf einem Widerspruchsgrund basieren, der auf die Verfassungswidrigkeit einer Bestimmung des vorliegenden Gesetzbuches gestützt ist, wenn der für denselben Grund angerufene </w:t>
      </w:r>
      <w:r w:rsidR="005F7FF8" w:rsidRPr="009118AB">
        <w:t xml:space="preserve">[Verfassungsgerichtshof] </w:t>
      </w:r>
      <w:r w:rsidRPr="009118AB">
        <w:t>eine Nichtigkeitsklage gegen die beanstandete Bestimmung abgewiesen hat oder einen Vorabentscheidungsentscheid erlassen hat, der die Rechtsgültigkeit dieser Bestimmung festgestellt hat.</w:t>
      </w:r>
    </w:p>
    <w:p w14:paraId="1D87A35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932569" w14:textId="2A17A88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Der Beschluss wird im </w:t>
      </w:r>
      <w:r w:rsidRPr="009118AB">
        <w:rPr>
          <w:i/>
          <w:iCs/>
        </w:rPr>
        <w:t>Belgischen Staatsblatt</w:t>
      </w:r>
      <w:r w:rsidRPr="009118AB">
        <w:t xml:space="preserve"> veröffentlicht. Diese Veröffentlichung gilt als Notifizierung des Beschlusses. Dieser Beschluss ist unwiderruflich außer gegenüber demjenigen, der innerhalb der in Artikel 1385</w:t>
      </w:r>
      <w:r w:rsidRPr="009118AB">
        <w:rPr>
          <w:i/>
          <w:iCs/>
        </w:rPr>
        <w:t>undecies</w:t>
      </w:r>
      <w:r w:rsidRPr="009118AB">
        <w:t xml:space="preserve"> des Gerichtsgesetzbuches festgelegten Frist Klage beim Gericht Erster Instanz erhebt.]</w:t>
      </w:r>
    </w:p>
    <w:p w14:paraId="630F2C4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2342E3" w14:textId="6CE1EBF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376bis eingefügt durch </w:t>
      </w:r>
      <w:r w:rsidR="00D67EB8" w:rsidRPr="009118AB">
        <w:rPr>
          <w:i/>
          <w:iCs/>
        </w:rPr>
        <w:t>Art. </w:t>
      </w:r>
      <w:r w:rsidRPr="009118AB">
        <w:rPr>
          <w:i/>
          <w:iCs/>
        </w:rPr>
        <w:t>114 des G. vom 8. April 2003 (B.S. vom 17. April 2003)</w:t>
      </w:r>
      <w:r w:rsidR="005F7FF8" w:rsidRPr="009118AB">
        <w:rPr>
          <w:i/>
          <w:iCs/>
        </w:rPr>
        <w:t xml:space="preserve">; </w:t>
      </w:r>
      <w:r w:rsidR="00D67EB8" w:rsidRPr="009118AB">
        <w:rPr>
          <w:i/>
          <w:iCs/>
        </w:rPr>
        <w:t>Abs. </w:t>
      </w:r>
      <w:r w:rsidR="005F7FF8" w:rsidRPr="009118AB">
        <w:rPr>
          <w:i/>
          <w:iCs/>
        </w:rPr>
        <w:t xml:space="preserve">1 abgeändert durch </w:t>
      </w:r>
      <w:r w:rsidR="00D67EB8" w:rsidRPr="009118AB">
        <w:rPr>
          <w:i/>
          <w:iCs/>
        </w:rPr>
        <w:t>Art. </w:t>
      </w:r>
      <w:r w:rsidR="005F7FF8" w:rsidRPr="009118AB">
        <w:rPr>
          <w:i/>
          <w:iCs/>
        </w:rPr>
        <w:t>12 des G. vom 21. Februar 2010 (B.S. vom 26. Februar 2010)</w:t>
      </w:r>
      <w:r w:rsidRPr="009118AB">
        <w:rPr>
          <w:i/>
          <w:iCs/>
        </w:rPr>
        <w:t>]</w:t>
      </w:r>
    </w:p>
    <w:p w14:paraId="5BC9F22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D5BAD6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117AC64" w14:textId="444F233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376</w:t>
      </w:r>
      <w:r w:rsidRPr="009118AB">
        <w:rPr>
          <w:b/>
          <w:bCs/>
          <w:i/>
          <w:iCs/>
        </w:rPr>
        <w:t>ter</w:t>
      </w:r>
      <w:r w:rsidR="00D67EB8" w:rsidRPr="009118AB">
        <w:t> - </w:t>
      </w:r>
      <w:r w:rsidRPr="009118AB">
        <w:t xml:space="preserve">Der </w:t>
      </w:r>
      <w:r w:rsidR="00917EC3" w:rsidRPr="009118AB">
        <w:t xml:space="preserve">[Generalberater der mit der Festlegung der Einkommensteuern beauftragten Verwaltung] </w:t>
      </w:r>
      <w:r w:rsidRPr="009118AB">
        <w:t>oder der von ihm bestimmte Beamte befindet durch einen mit Gründen versehenen Beschluss über den Antrag, den der Steuerschuldner</w:t>
      </w:r>
      <w:r w:rsidR="00C71D7C" w:rsidRPr="009118AB">
        <w:t>[</w:t>
      </w:r>
      <w:r w:rsidR="00C71D7C" w:rsidRPr="009118AB">
        <w:rPr>
          <w:rFonts w:eastAsia="Calibri"/>
          <w:lang w:eastAsia="en-US"/>
        </w:rPr>
        <w:t>, sein Ehepartner, auf dessen Güter die Steuer beigetrieben wird, oder der Mitschuldner wie in Artikel 2 des Gesetzbuches über die gütliche Beitreibung und die Zwangsbeitreibung von Steuerforderungen und nichtsteuerlichen Forderungen erwähnt</w:t>
      </w:r>
      <w:r w:rsidR="00C71D7C" w:rsidRPr="009118AB">
        <w:t xml:space="preserve">] </w:t>
      </w:r>
      <w:r w:rsidRPr="009118AB">
        <w:t>eingereicht hat.</w:t>
      </w:r>
    </w:p>
    <w:p w14:paraId="343D7B3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AD468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Er kann jedoch von Amts wegen Nachlass für Überbesteuerungen, Vorabzugs- oder Vorauszahlungsüberschüsse und in Artikel 376 erwähnte andere Ermäßigungen gewähren durch Eintragung auf den Namen des betreffenden Steuerpflichtigen des nachgelassenen Betrags in eine für vollstreckbar erklärte Heberolle.</w:t>
      </w:r>
    </w:p>
    <w:p w14:paraId="53765B9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A4877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In allen Fällen erfolgt die Notifizierung des Beschlusses an den Steuerschuldner per Einschreibebrief. Dieser Beschluss ist unwiderruflich, wenn innerhalb der in Artikel 1385</w:t>
      </w:r>
      <w:r w:rsidRPr="009118AB">
        <w:rPr>
          <w:i/>
          <w:iCs/>
        </w:rPr>
        <w:t>undecies</w:t>
      </w:r>
      <w:r w:rsidRPr="009118AB">
        <w:t xml:space="preserve"> des Gerichtsgesetzbuches festgelegten Frist keine Klage beim Gericht Erster Instanz erhoben wird.]</w:t>
      </w:r>
    </w:p>
    <w:p w14:paraId="08ED073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3AAAEA" w14:textId="3FA50BF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376ter eingefügt durch </w:t>
      </w:r>
      <w:r w:rsidR="00D67EB8" w:rsidRPr="009118AB">
        <w:rPr>
          <w:i/>
          <w:iCs/>
        </w:rPr>
        <w:t>Art. </w:t>
      </w:r>
      <w:r w:rsidRPr="009118AB">
        <w:rPr>
          <w:i/>
          <w:iCs/>
        </w:rPr>
        <w:t>378 des G. vom 27. Dezember 2004 (B.S. vom 31. Dezember 2004)</w:t>
      </w:r>
      <w:r w:rsidR="00917EC3" w:rsidRPr="009118AB">
        <w:rPr>
          <w:i/>
          <w:iCs/>
        </w:rPr>
        <w:t xml:space="preserve">; </w:t>
      </w:r>
      <w:r w:rsidR="00D67EB8" w:rsidRPr="009118AB">
        <w:rPr>
          <w:i/>
          <w:iCs/>
        </w:rPr>
        <w:t>Abs. </w:t>
      </w:r>
      <w:r w:rsidR="00917EC3" w:rsidRPr="009118AB">
        <w:rPr>
          <w:i/>
          <w:iCs/>
        </w:rPr>
        <w:t xml:space="preserve">1 abgeändert durch </w:t>
      </w:r>
      <w:r w:rsidR="00D67EB8" w:rsidRPr="009118AB">
        <w:rPr>
          <w:i/>
          <w:iCs/>
        </w:rPr>
        <w:t>Art. </w:t>
      </w:r>
      <w:r w:rsidR="00917EC3" w:rsidRPr="009118AB">
        <w:rPr>
          <w:i/>
          <w:iCs/>
        </w:rPr>
        <w:t>13 des G. vom 27. April 2016 (B.S. vom 6. Mai 2016)</w:t>
      </w:r>
      <w:r w:rsidR="00C71D7C" w:rsidRPr="009118AB">
        <w:rPr>
          <w:i/>
          <w:iCs/>
        </w:rPr>
        <w:t xml:space="preserve"> und </w:t>
      </w:r>
      <w:r w:rsidR="00D67EB8" w:rsidRPr="009118AB">
        <w:rPr>
          <w:i/>
          <w:iCs/>
        </w:rPr>
        <w:t>Art. </w:t>
      </w:r>
      <w:r w:rsidR="00C71D7C" w:rsidRPr="009118AB">
        <w:rPr>
          <w:i/>
          <w:iCs/>
        </w:rPr>
        <w:t>42 des G. vom 13. April 2019 (II) (B.S. vom 30. April 2019)</w:t>
      </w:r>
      <w:r w:rsidR="00D67EB8" w:rsidRPr="009118AB">
        <w:rPr>
          <w:i/>
          <w:iCs/>
        </w:rPr>
        <w:t> - </w:t>
      </w:r>
      <w:r w:rsidR="00C71D7C" w:rsidRPr="009118AB">
        <w:rPr>
          <w:i/>
          <w:iCs/>
        </w:rPr>
        <w:t>in Kraft am 1. Januar 2020</w:t>
      </w:r>
      <w:r w:rsidR="00FD68E8" w:rsidRPr="009118AB">
        <w:rPr>
          <w:i/>
          <w:iCs/>
        </w:rPr>
        <w:t> -]</w:t>
      </w:r>
    </w:p>
    <w:p w14:paraId="4DBB95FE" w14:textId="77777777" w:rsidR="009B28F6" w:rsidRDefault="009B28F6" w:rsidP="006F6B6B">
      <w:pPr>
        <w:autoSpaceDE w:val="0"/>
        <w:autoSpaceDN w:val="0"/>
        <w:adjustRightInd w:val="0"/>
        <w:jc w:val="both"/>
      </w:pPr>
    </w:p>
    <w:p w14:paraId="7EFF9A7F" w14:textId="77777777" w:rsidR="00D90618" w:rsidRDefault="00D90618" w:rsidP="006F6B6B">
      <w:pPr>
        <w:autoSpaceDE w:val="0"/>
        <w:autoSpaceDN w:val="0"/>
        <w:adjustRightInd w:val="0"/>
        <w:jc w:val="both"/>
      </w:pPr>
    </w:p>
    <w:p w14:paraId="59A8BD18" w14:textId="77777777" w:rsidR="00D90618" w:rsidRDefault="00D90618">
      <w:pPr>
        <w:rPr>
          <w:iCs/>
          <w:sz w:val="20"/>
          <w:szCs w:val="20"/>
        </w:rPr>
      </w:pPr>
      <w:r>
        <w:rPr>
          <w:iCs/>
          <w:sz w:val="20"/>
          <w:szCs w:val="20"/>
        </w:rPr>
        <w:br w:type="page"/>
      </w:r>
    </w:p>
    <w:p w14:paraId="59E507EA" w14:textId="4644D4E9" w:rsidR="00D90618" w:rsidRDefault="00D90618" w:rsidP="00D90618">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376</w:t>
      </w:r>
      <w:r w:rsidRPr="00D90618">
        <w:rPr>
          <w:i/>
          <w:sz w:val="20"/>
          <w:szCs w:val="20"/>
        </w:rPr>
        <w:t>ter</w:t>
      </w:r>
      <w:r>
        <w:rPr>
          <w:iCs/>
          <w:sz w:val="20"/>
          <w:szCs w:val="20"/>
        </w:rPr>
        <w:t xml:space="preserve"> wie folgt:</w:t>
      </w:r>
    </w:p>
    <w:p w14:paraId="426D7061" w14:textId="77777777" w:rsidR="00D90618" w:rsidRDefault="00D90618" w:rsidP="00D90618">
      <w:pPr>
        <w:autoSpaceDE w:val="0"/>
        <w:autoSpaceDN w:val="0"/>
        <w:adjustRightInd w:val="0"/>
        <w:jc w:val="both"/>
        <w:rPr>
          <w:iCs/>
          <w:sz w:val="20"/>
          <w:szCs w:val="20"/>
        </w:rPr>
      </w:pPr>
    </w:p>
    <w:p w14:paraId="786470F5" w14:textId="597480E2" w:rsidR="00D90618" w:rsidRPr="00D90618" w:rsidRDefault="00D90618" w:rsidP="00D90618">
      <w:pPr>
        <w:autoSpaceDE w:val="0"/>
        <w:autoSpaceDN w:val="0"/>
        <w:adjustRightInd w:val="0"/>
        <w:jc w:val="both"/>
        <w:rPr>
          <w:iCs/>
          <w:sz w:val="20"/>
          <w:szCs w:val="20"/>
        </w:rPr>
      </w:pPr>
      <w:r>
        <w:rPr>
          <w:iCs/>
          <w:sz w:val="20"/>
          <w:szCs w:val="20"/>
        </w:rPr>
        <w:t>"</w:t>
      </w:r>
      <w:r w:rsidRPr="00D90618">
        <w:rPr>
          <w:iCs/>
          <w:sz w:val="20"/>
          <w:szCs w:val="20"/>
        </w:rPr>
        <w:t>[Art. 376</w:t>
      </w:r>
      <w:r w:rsidRPr="00D90618">
        <w:rPr>
          <w:i/>
          <w:iCs/>
          <w:sz w:val="20"/>
          <w:szCs w:val="20"/>
        </w:rPr>
        <w:t>ter</w:t>
      </w:r>
      <w:r w:rsidRPr="00D90618">
        <w:rPr>
          <w:iCs/>
          <w:sz w:val="20"/>
          <w:szCs w:val="20"/>
        </w:rPr>
        <w:t> - Der [Generalberater der mit der Festlegung der Einkommensteuern beauftragten Verwaltung] oder der von ihm bestimmte Beamte befindet durch einen mit Gründen versehenen Beschluss über den Antrag, den der Steuerschuldner[, sein Ehepartner, auf dessen Güter die Steuer beigetrieben wird, oder der Mitschuldner wie in Artikel 2 des Gesetzbuches über die gütliche Beitreibung und die Zwangsbeitreibung von Steuerforderungen und nichtsteuerlichen Forderungen erwähnt] eingereicht hat.</w:t>
      </w:r>
    </w:p>
    <w:p w14:paraId="404E60EA" w14:textId="77777777" w:rsidR="00D90618" w:rsidRPr="00D90618" w:rsidRDefault="00D90618" w:rsidP="00D90618">
      <w:pPr>
        <w:autoSpaceDE w:val="0"/>
        <w:autoSpaceDN w:val="0"/>
        <w:adjustRightInd w:val="0"/>
        <w:jc w:val="both"/>
        <w:rPr>
          <w:iCs/>
          <w:sz w:val="20"/>
          <w:szCs w:val="20"/>
        </w:rPr>
      </w:pPr>
    </w:p>
    <w:p w14:paraId="19E8B8DE" w14:textId="658143B4" w:rsidR="00D90618" w:rsidRPr="00D90618" w:rsidRDefault="00D90618" w:rsidP="00D90618">
      <w:pPr>
        <w:autoSpaceDE w:val="0"/>
        <w:autoSpaceDN w:val="0"/>
        <w:adjustRightInd w:val="0"/>
        <w:jc w:val="both"/>
        <w:rPr>
          <w:iCs/>
          <w:sz w:val="20"/>
          <w:szCs w:val="20"/>
        </w:rPr>
      </w:pPr>
      <w:r w:rsidRPr="00D90618">
        <w:rPr>
          <w:iCs/>
          <w:sz w:val="20"/>
          <w:szCs w:val="20"/>
        </w:rPr>
        <w:t>Er kann jedoch von Amts wegen Nachlass für Überbesteuerungen, Vorabzugs- oder Vorauszahlungsüberschüsse und in Artikel 376 erwähnte andere Ermäßigungen gewähren durch Eintragung auf den Namen des betreffenden Steuerpflichtigen des nachgelassenen Betrags in eine für vollstreckbar erklärte Heberolle.</w:t>
      </w:r>
    </w:p>
    <w:p w14:paraId="1008D78C" w14:textId="77777777" w:rsidR="00D90618" w:rsidRPr="00D90618" w:rsidRDefault="00D90618" w:rsidP="00D90618">
      <w:pPr>
        <w:autoSpaceDE w:val="0"/>
        <w:autoSpaceDN w:val="0"/>
        <w:adjustRightInd w:val="0"/>
        <w:jc w:val="both"/>
        <w:rPr>
          <w:iCs/>
          <w:sz w:val="20"/>
          <w:szCs w:val="20"/>
        </w:rPr>
      </w:pPr>
    </w:p>
    <w:p w14:paraId="3E41C07E" w14:textId="552CF8C6" w:rsidR="00D90618" w:rsidRPr="00D90618" w:rsidRDefault="00D90618" w:rsidP="00D90618">
      <w:pPr>
        <w:autoSpaceDE w:val="0"/>
        <w:autoSpaceDN w:val="0"/>
        <w:adjustRightInd w:val="0"/>
        <w:jc w:val="both"/>
        <w:rPr>
          <w:iCs/>
          <w:sz w:val="20"/>
          <w:szCs w:val="20"/>
        </w:rPr>
      </w:pPr>
      <w:r w:rsidRPr="00D90618">
        <w:rPr>
          <w:iCs/>
          <w:sz w:val="20"/>
          <w:szCs w:val="20"/>
        </w:rPr>
        <w:t>In allen Fällen erfolgt die Notifizierung des Beschlusses an den Steuerschuldner [per Einschreibesendung]. Dieser Beschluss ist unwiderruflich, wenn innerhalb der in Artikel 1385</w:t>
      </w:r>
      <w:r w:rsidRPr="00D90618">
        <w:rPr>
          <w:i/>
          <w:iCs/>
          <w:sz w:val="20"/>
          <w:szCs w:val="20"/>
        </w:rPr>
        <w:t>undecies</w:t>
      </w:r>
      <w:r w:rsidRPr="00D90618">
        <w:rPr>
          <w:iCs/>
          <w:sz w:val="20"/>
          <w:szCs w:val="20"/>
        </w:rPr>
        <w:t xml:space="preserve"> des Gerichtsgesetzbuches festgelegten Frist keine Klage beim Gericht Erster Instanz erhoben wird.]</w:t>
      </w:r>
    </w:p>
    <w:p w14:paraId="7B82892C" w14:textId="77777777" w:rsidR="00D90618" w:rsidRPr="00D90618" w:rsidRDefault="00D90618" w:rsidP="00D90618">
      <w:pPr>
        <w:autoSpaceDE w:val="0"/>
        <w:autoSpaceDN w:val="0"/>
        <w:adjustRightInd w:val="0"/>
        <w:jc w:val="both"/>
        <w:rPr>
          <w:iCs/>
          <w:sz w:val="20"/>
          <w:szCs w:val="20"/>
        </w:rPr>
      </w:pPr>
    </w:p>
    <w:p w14:paraId="59D5504C" w14:textId="44D97121" w:rsidR="00D90618" w:rsidRPr="00D90618" w:rsidRDefault="00D90618" w:rsidP="00D90618">
      <w:pPr>
        <w:autoSpaceDE w:val="0"/>
        <w:autoSpaceDN w:val="0"/>
        <w:adjustRightInd w:val="0"/>
        <w:jc w:val="both"/>
        <w:rPr>
          <w:sz w:val="20"/>
          <w:szCs w:val="20"/>
        </w:rPr>
      </w:pPr>
      <w:r w:rsidRPr="00D90618">
        <w:rPr>
          <w:i/>
          <w:iCs/>
          <w:sz w:val="20"/>
          <w:szCs w:val="20"/>
        </w:rPr>
        <w:t>[Art. 376ter eingefügt durch Art. 378 des G. vom 27. Dezember 2004 (B.S. vom 31. Dezember 2004); Abs. 1 abgeändert durch Art. 13 des G. vom 27. April 2016 (B.S. vom 6. Mai 2016) und Art. 42 des G. vom 13. April 2019 (II) (B.S. vom 30. April 2019) - in Kraft am 1. Januar 2020 -</w:t>
      </w:r>
      <w:r>
        <w:rPr>
          <w:i/>
          <w:iCs/>
          <w:sz w:val="20"/>
          <w:szCs w:val="20"/>
        </w:rPr>
        <w:t>;</w:t>
      </w:r>
      <w:r w:rsidRPr="00D90618">
        <w:rPr>
          <w:i/>
          <w:iCs/>
          <w:sz w:val="20"/>
          <w:szCs w:val="20"/>
        </w:rPr>
        <w:t xml:space="preserve"> </w:t>
      </w:r>
      <w:r w:rsidRPr="009118AB">
        <w:rPr>
          <w:i/>
          <w:iCs/>
          <w:sz w:val="20"/>
          <w:szCs w:val="20"/>
        </w:rPr>
        <w:t>Abs. 3 abgeändert durch Art. 40 des G. vom 26. Januar 2021 (B.S. vom 10. Februar 2021) - in Kraft am 1. Januar 2025 -</w:t>
      </w:r>
      <w:r w:rsidRPr="00D90618">
        <w:rPr>
          <w:i/>
          <w:iCs/>
          <w:sz w:val="20"/>
          <w:szCs w:val="20"/>
        </w:rPr>
        <w:t>, selbst aufgehoben durch Art. 213 des G. vom 12. Mai 2024 (B.S. vom 30. Mai 2024)</w:t>
      </w:r>
      <w:r>
        <w:rPr>
          <w:i/>
          <w:iCs/>
          <w:sz w:val="20"/>
          <w:szCs w:val="20"/>
        </w:rPr>
        <w:t>, und durch Art. 39</w:t>
      </w:r>
      <w:r w:rsidRPr="00D90618">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D90618">
        <w:rPr>
          <w:i/>
          <w:iCs/>
          <w:sz w:val="20"/>
          <w:szCs w:val="20"/>
        </w:rPr>
        <w:t>-]</w:t>
      </w:r>
      <w:r>
        <w:rPr>
          <w:sz w:val="20"/>
          <w:szCs w:val="20"/>
        </w:rPr>
        <w:t>"</w:t>
      </w:r>
    </w:p>
    <w:p w14:paraId="08688C1E" w14:textId="6776626D" w:rsidR="00D90618" w:rsidRPr="009118AB" w:rsidRDefault="00D90618" w:rsidP="00D90618">
      <w:pPr>
        <w:autoSpaceDE w:val="0"/>
        <w:autoSpaceDN w:val="0"/>
        <w:adjustRightInd w:val="0"/>
        <w:jc w:val="both"/>
      </w:pPr>
    </w:p>
    <w:p w14:paraId="307619F3" w14:textId="3E5D82A5" w:rsidR="009B28F6" w:rsidRPr="009118AB" w:rsidRDefault="009B28F6" w:rsidP="006F6B6B">
      <w:pPr>
        <w:autoSpaceDE w:val="0"/>
        <w:autoSpaceDN w:val="0"/>
        <w:adjustRightInd w:val="0"/>
        <w:jc w:val="both"/>
      </w:pPr>
    </w:p>
    <w:p w14:paraId="3DCE4F9A" w14:textId="272514B0" w:rsidR="00477B8F" w:rsidRPr="009118AB" w:rsidRDefault="00477B8F" w:rsidP="006F6B6B">
      <w:pPr>
        <w:autoSpaceDE w:val="0"/>
        <w:autoSpaceDN w:val="0"/>
        <w:adjustRightInd w:val="0"/>
        <w:jc w:val="both"/>
      </w:pPr>
      <w:r w:rsidRPr="009118AB">
        <w:tab/>
        <w:t>[</w:t>
      </w:r>
      <w:r w:rsidR="00D67EB8" w:rsidRPr="009118AB">
        <w:rPr>
          <w:b/>
          <w:bCs/>
        </w:rPr>
        <w:t>Art. </w:t>
      </w:r>
      <w:r w:rsidRPr="009118AB">
        <w:rPr>
          <w:b/>
          <w:bCs/>
        </w:rPr>
        <w:t>376</w:t>
      </w:r>
      <w:r w:rsidRPr="009118AB">
        <w:rPr>
          <w:b/>
          <w:bCs/>
          <w:i/>
          <w:iCs/>
        </w:rPr>
        <w:t>quater</w:t>
      </w:r>
      <w:r w:rsidR="00D67EB8" w:rsidRPr="009118AB">
        <w:t> - </w:t>
      </w:r>
      <w:r w:rsidRPr="009118AB">
        <w:t>Personen, die einen Widerspruch oder einen Antrag auf Nachlass von Amts wegen einlegen, erhalten eine Empfangsbestätigung mit Angabe des Datums des Empfangs des Widerspruchs beziehungsweise Antrags.</w:t>
      </w:r>
    </w:p>
    <w:p w14:paraId="2ED095FF" w14:textId="77777777" w:rsidR="00477B8F" w:rsidRPr="009118AB" w:rsidRDefault="00477B8F" w:rsidP="006F6B6B">
      <w:pPr>
        <w:autoSpaceDE w:val="0"/>
        <w:autoSpaceDN w:val="0"/>
        <w:adjustRightInd w:val="0"/>
        <w:jc w:val="both"/>
      </w:pPr>
    </w:p>
    <w:p w14:paraId="13172351" w14:textId="77777777" w:rsidR="00477B8F" w:rsidRPr="009118AB" w:rsidRDefault="00477B8F" w:rsidP="006F6B6B">
      <w:pPr>
        <w:autoSpaceDE w:val="0"/>
        <w:autoSpaceDN w:val="0"/>
        <w:adjustRightInd w:val="0"/>
        <w:jc w:val="both"/>
      </w:pPr>
      <w:r w:rsidRPr="009118AB">
        <w:tab/>
        <w:t>Erfolgt der Nachlass von Amts wegen auf Initiative der Verwaltung, setzt sie den Steuerpflichtigen über Grund und Datum der betreffenden Feststellung in Kenntnis.]</w:t>
      </w:r>
    </w:p>
    <w:p w14:paraId="79B29F6E" w14:textId="77777777" w:rsidR="00477B8F" w:rsidRPr="009118AB" w:rsidRDefault="00477B8F" w:rsidP="006F6B6B">
      <w:pPr>
        <w:autoSpaceDE w:val="0"/>
        <w:autoSpaceDN w:val="0"/>
        <w:adjustRightInd w:val="0"/>
        <w:jc w:val="both"/>
      </w:pPr>
    </w:p>
    <w:p w14:paraId="549B4A54" w14:textId="0741C183" w:rsidR="00477B8F" w:rsidRPr="009118AB" w:rsidRDefault="001E1ED5" w:rsidP="006F6B6B">
      <w:pPr>
        <w:autoSpaceDE w:val="0"/>
        <w:autoSpaceDN w:val="0"/>
        <w:adjustRightInd w:val="0"/>
        <w:jc w:val="both"/>
        <w:rPr>
          <w:iCs/>
        </w:rPr>
      </w:pPr>
      <w:r w:rsidRPr="00C15B15">
        <w:rPr>
          <w:i/>
          <w:iCs/>
        </w:rPr>
        <w:t>[</w:t>
      </w:r>
      <w:r w:rsidR="00D67EB8" w:rsidRPr="00C15B15">
        <w:rPr>
          <w:i/>
          <w:iCs/>
        </w:rPr>
        <w:t>Art. </w:t>
      </w:r>
      <w:r w:rsidR="00477B8F" w:rsidRPr="00C15B15">
        <w:rPr>
          <w:i/>
          <w:iCs/>
        </w:rPr>
        <w:t xml:space="preserve">376quater eingefügt durch </w:t>
      </w:r>
      <w:r w:rsidR="00D67EB8" w:rsidRPr="00C15B15">
        <w:rPr>
          <w:i/>
          <w:iCs/>
        </w:rPr>
        <w:t>Art. </w:t>
      </w:r>
      <w:r w:rsidR="00477B8F" w:rsidRPr="00C15B15">
        <w:rPr>
          <w:i/>
          <w:iCs/>
        </w:rPr>
        <w:t>379 des G. vom 27. Dezember 2004 (B.S. vom 31. Dezember 2004)</w:t>
      </w:r>
      <w:r w:rsidR="00D90618" w:rsidRPr="00C15B15">
        <w:rPr>
          <w:i/>
          <w:iCs/>
        </w:rPr>
        <w:t>;</w:t>
      </w:r>
      <w:r w:rsidR="00D90618" w:rsidRPr="00C15B15">
        <w:rPr>
          <w:i/>
          <w:iCs/>
          <w:sz w:val="20"/>
          <w:szCs w:val="20"/>
        </w:rPr>
        <w:t xml:space="preserve"> </w:t>
      </w:r>
      <w:r w:rsidR="00D90618" w:rsidRPr="00C15B15">
        <w:rPr>
          <w:i/>
          <w:iCs/>
        </w:rPr>
        <w:t>Abs. 1 ergänzt durch Art. 41 des G. vom 26. Januar 2021 (B.S. vom 10. Februar 2021) - in Kraft am 1. Januar 2025 -, selbst aufgehoben durch Art. 213 des G. vom 12. Mai 2024 (B.S. vom 30. Mai 2024)</w:t>
      </w:r>
      <w:r w:rsidR="00477B8F" w:rsidRPr="00C15B15">
        <w:rPr>
          <w:i/>
          <w:iCs/>
        </w:rPr>
        <w:t>]</w:t>
      </w:r>
    </w:p>
    <w:p w14:paraId="49A623F3" w14:textId="05BDED8F" w:rsidR="00231C26" w:rsidRPr="009118AB" w:rsidRDefault="00231C26" w:rsidP="006F6B6B">
      <w:pPr>
        <w:autoSpaceDE w:val="0"/>
        <w:autoSpaceDN w:val="0"/>
        <w:adjustRightInd w:val="0"/>
        <w:jc w:val="both"/>
        <w:rPr>
          <w:iCs/>
        </w:rPr>
      </w:pPr>
    </w:p>
    <w:p w14:paraId="624F36FA" w14:textId="13FCFF39" w:rsidR="00231C26" w:rsidRPr="009118AB" w:rsidRDefault="00231C26" w:rsidP="006F6B6B">
      <w:pPr>
        <w:autoSpaceDE w:val="0"/>
        <w:autoSpaceDN w:val="0"/>
        <w:adjustRightInd w:val="0"/>
        <w:jc w:val="both"/>
        <w:rPr>
          <w:iCs/>
        </w:rPr>
      </w:pPr>
    </w:p>
    <w:p w14:paraId="3996F5A2" w14:textId="4A5F0115" w:rsidR="00477B8F" w:rsidRPr="009118AB" w:rsidRDefault="00477B8F" w:rsidP="006F6B6B">
      <w:pPr>
        <w:autoSpaceDE w:val="0"/>
        <w:autoSpaceDN w:val="0"/>
        <w:adjustRightInd w:val="0"/>
        <w:jc w:val="both"/>
      </w:pPr>
      <w:r w:rsidRPr="009118AB">
        <w:rPr>
          <w:i/>
          <w:iCs/>
        </w:rPr>
        <w:tab/>
      </w:r>
      <w:r w:rsidRPr="009118AB">
        <w:t>[</w:t>
      </w:r>
      <w:r w:rsidR="00D67EB8" w:rsidRPr="009118AB">
        <w:rPr>
          <w:b/>
          <w:bCs/>
        </w:rPr>
        <w:t>Art. </w:t>
      </w:r>
      <w:r w:rsidRPr="009118AB">
        <w:rPr>
          <w:b/>
          <w:bCs/>
        </w:rPr>
        <w:t>376</w:t>
      </w:r>
      <w:r w:rsidRPr="009118AB">
        <w:rPr>
          <w:b/>
          <w:bCs/>
          <w:i/>
          <w:iCs/>
        </w:rPr>
        <w:t>quinquies</w:t>
      </w:r>
      <w:r w:rsidR="00D67EB8" w:rsidRPr="009118AB">
        <w:t> - § </w:t>
      </w:r>
      <w:r w:rsidRPr="009118AB">
        <w:t>1</w:t>
      </w:r>
      <w:r w:rsidR="00D67EB8" w:rsidRPr="009118AB">
        <w:t> - </w:t>
      </w:r>
      <w:r w:rsidRPr="009118AB">
        <w:t xml:space="preserve">Ist beim </w:t>
      </w:r>
      <w:r w:rsidR="00604EA6" w:rsidRPr="009118AB">
        <w:t xml:space="preserve">[Generalberater der mit der Festlegung der Einkommensteuern beauftragten Verwaltung] </w:t>
      </w:r>
      <w:r w:rsidRPr="009118AB">
        <w:t>Widerspruch eingelegt worden</w:t>
      </w:r>
      <w:r w:rsidR="00202435" w:rsidRPr="009118AB">
        <w:t xml:space="preserve"> [oder ist die Anwendung von Artikel 376 beantragt worden]</w:t>
      </w:r>
      <w:r w:rsidRPr="009118AB">
        <w:t xml:space="preserve">, </w:t>
      </w:r>
      <w:r w:rsidR="00C71D7C" w:rsidRPr="009118AB">
        <w:t>[</w:t>
      </w:r>
      <w:r w:rsidR="00C71D7C" w:rsidRPr="009118AB">
        <w:rPr>
          <w:rFonts w:eastAsia="Calibri"/>
          <w:lang w:eastAsia="en-US"/>
        </w:rPr>
        <w:t>können der betreffende Steuerschuldner und sein Ehepartner, auf dessen Güter die Steuer beigetrieben wird, und der Mitschuldner wie in Artikel 2 des Gesetzbuches über die gütliche Beitreibung und die Zwangsbeitreibung von Steuerforderungen und nichtsteuerlichen Forderungen erwähnt</w:t>
      </w:r>
      <w:r w:rsidR="00C71D7C" w:rsidRPr="009118AB">
        <w:t>]</w:t>
      </w:r>
      <w:r w:rsidRPr="009118AB">
        <w:t xml:space="preserve"> bei dem in Artikel 116 des Gesetzes vom 25. April 2007 zur Festlegung verschiedener Bestimmungen (IV) erwähnten Dienst für Steuerschlichtung einen Schlichtungs</w:t>
      </w:r>
      <w:r w:rsidR="00B051A2" w:rsidRPr="009118AB">
        <w:softHyphen/>
      </w:r>
      <w:r w:rsidRPr="009118AB">
        <w:t>antrag einreichen.</w:t>
      </w:r>
    </w:p>
    <w:p w14:paraId="6F5A1FF8" w14:textId="77777777" w:rsidR="00477B8F" w:rsidRDefault="00477B8F" w:rsidP="006F6B6B">
      <w:pPr>
        <w:autoSpaceDE w:val="0"/>
        <w:autoSpaceDN w:val="0"/>
        <w:adjustRightInd w:val="0"/>
        <w:jc w:val="both"/>
      </w:pPr>
    </w:p>
    <w:p w14:paraId="3318D2A9" w14:textId="24D82C66" w:rsidR="003641CB" w:rsidRDefault="003641CB" w:rsidP="006F6B6B">
      <w:pPr>
        <w:autoSpaceDE w:val="0"/>
        <w:autoSpaceDN w:val="0"/>
        <w:adjustRightInd w:val="0"/>
        <w:jc w:val="both"/>
      </w:pPr>
      <w:r>
        <w:tab/>
        <w:t>[…]</w:t>
      </w:r>
    </w:p>
    <w:p w14:paraId="7A9EB4E3" w14:textId="77777777" w:rsidR="003641CB" w:rsidRPr="009118AB" w:rsidRDefault="003641CB" w:rsidP="006F6B6B">
      <w:pPr>
        <w:autoSpaceDE w:val="0"/>
        <w:autoSpaceDN w:val="0"/>
        <w:adjustRightInd w:val="0"/>
        <w:jc w:val="both"/>
      </w:pPr>
    </w:p>
    <w:p w14:paraId="6F894EF3" w14:textId="16512273" w:rsidR="00477B8F" w:rsidRPr="009118AB" w:rsidRDefault="00477B8F" w:rsidP="006F6B6B">
      <w:pPr>
        <w:autoSpaceDE w:val="0"/>
        <w:autoSpaceDN w:val="0"/>
        <w:adjustRightInd w:val="0"/>
        <w:jc w:val="both"/>
      </w:pPr>
      <w:r w:rsidRPr="009118AB">
        <w:tab/>
      </w:r>
      <w:r w:rsidR="00D67EB8" w:rsidRPr="009118AB">
        <w:t>§ </w:t>
      </w:r>
      <w:r w:rsidRPr="009118AB">
        <w:t>2</w:t>
      </w:r>
      <w:r w:rsidR="00D67EB8" w:rsidRPr="009118AB">
        <w:t> - </w:t>
      </w:r>
      <w:r w:rsidRPr="009118AB">
        <w:t xml:space="preserve">Der Schlichtungsantrag ist unzulässig, wenn der Steuerschuldner </w:t>
      </w:r>
      <w:r w:rsidR="00C71D7C" w:rsidRPr="009118AB">
        <w:t>[</w:t>
      </w:r>
      <w:r w:rsidR="00C71D7C" w:rsidRPr="009118AB">
        <w:rPr>
          <w:rFonts w:eastAsia="Calibri"/>
          <w:lang w:eastAsia="en-US"/>
        </w:rPr>
        <w:t>sein Ehepartner, auf dessen Güter die Steuer beigetrieben wird, oder der Mitschuldner wie in Artikel 2 des Gesetzbuches über die gütliche Beitreibung und die Zwangsbeitreibung von Steuerforderungen und nichtsteuerlichen Forderungen erwähnt</w:t>
      </w:r>
      <w:r w:rsidR="00C71D7C" w:rsidRPr="009118AB">
        <w:t xml:space="preserve">] </w:t>
      </w:r>
      <w:r w:rsidRPr="009118AB">
        <w:t xml:space="preserve">zuvor Klage beim Gericht Erster Instanz erhoben hat oder wenn über den Widerspruch </w:t>
      </w:r>
      <w:r w:rsidR="00202435" w:rsidRPr="009118AB">
        <w:t xml:space="preserve">[oder über die Anwendung von Artikel 376] </w:t>
      </w:r>
      <w:r w:rsidRPr="009118AB">
        <w:t>bereits befunden worden ist.</w:t>
      </w:r>
    </w:p>
    <w:p w14:paraId="01A6A2D0" w14:textId="77777777" w:rsidR="00477B8F" w:rsidRPr="009118AB" w:rsidRDefault="00477B8F" w:rsidP="006F6B6B">
      <w:pPr>
        <w:autoSpaceDE w:val="0"/>
        <w:autoSpaceDN w:val="0"/>
        <w:adjustRightInd w:val="0"/>
        <w:jc w:val="both"/>
      </w:pPr>
    </w:p>
    <w:p w14:paraId="70C0B3A4" w14:textId="0DC938A1" w:rsidR="00477B8F" w:rsidRPr="009118AB" w:rsidRDefault="00477B8F" w:rsidP="006F6B6B">
      <w:pPr>
        <w:autoSpaceDE w:val="0"/>
        <w:autoSpaceDN w:val="0"/>
        <w:adjustRightInd w:val="0"/>
        <w:jc w:val="both"/>
      </w:pPr>
      <w:r w:rsidRPr="009118AB">
        <w:tab/>
        <w:t xml:space="preserve">Wenn vor Notifizierung des Schlichtungsberichts der Steuerschuldner </w:t>
      </w:r>
      <w:r w:rsidR="00C71D7C" w:rsidRPr="009118AB">
        <w:t>[</w:t>
      </w:r>
      <w:r w:rsidR="00C71D7C" w:rsidRPr="009118AB">
        <w:rPr>
          <w:rFonts w:eastAsia="Calibri"/>
          <w:lang w:eastAsia="en-US"/>
        </w:rPr>
        <w:t xml:space="preserve">sein Ehepartner, auf dessen Güter die Steuer beigetrieben wird, oder der Mitschuldner wie in Artikel 2 des Gesetzbuches über die gütliche Beitreibung und die Zwangsbeitreibung von Steuerforderungen und nichtsteuerlichen Forderungen erwähnt] </w:t>
      </w:r>
      <w:r w:rsidRPr="009118AB">
        <w:t xml:space="preserve">Klage beim Gericht Erster Instanz erhoben hat oder über den Widerspruch </w:t>
      </w:r>
      <w:r w:rsidR="00202435" w:rsidRPr="009118AB">
        <w:t xml:space="preserve">[oder über die Anwendung von Artikel 376] </w:t>
      </w:r>
      <w:r w:rsidRPr="009118AB">
        <w:t>bereits befunden worden ist, ist der Dienst für Steuerschlichtung nicht mehr zuständig.]</w:t>
      </w:r>
    </w:p>
    <w:p w14:paraId="2BB88F9E" w14:textId="77777777" w:rsidR="00477B8F" w:rsidRPr="009118AB" w:rsidRDefault="00477B8F" w:rsidP="006F6B6B">
      <w:pPr>
        <w:autoSpaceDE w:val="0"/>
        <w:autoSpaceDN w:val="0"/>
        <w:adjustRightInd w:val="0"/>
        <w:jc w:val="both"/>
      </w:pPr>
    </w:p>
    <w:p w14:paraId="626A7B23" w14:textId="7A2D0B59" w:rsidR="00477B8F" w:rsidRPr="009118AB" w:rsidRDefault="001E1ED5" w:rsidP="006F6B6B">
      <w:pPr>
        <w:autoSpaceDE w:val="0"/>
        <w:autoSpaceDN w:val="0"/>
        <w:adjustRightInd w:val="0"/>
        <w:jc w:val="both"/>
        <w:rPr>
          <w:iCs/>
        </w:rPr>
      </w:pPr>
      <w:r w:rsidRPr="009118AB">
        <w:rPr>
          <w:i/>
          <w:iCs/>
        </w:rPr>
        <w:t>[</w:t>
      </w:r>
      <w:r w:rsidR="00D67EB8" w:rsidRPr="009118AB">
        <w:rPr>
          <w:i/>
          <w:iCs/>
        </w:rPr>
        <w:t>Art. </w:t>
      </w:r>
      <w:r w:rsidR="00477B8F" w:rsidRPr="009118AB">
        <w:rPr>
          <w:i/>
          <w:iCs/>
        </w:rPr>
        <w:t xml:space="preserve">376quinquies eingefügt durch </w:t>
      </w:r>
      <w:r w:rsidR="00D67EB8" w:rsidRPr="009118AB">
        <w:rPr>
          <w:i/>
          <w:iCs/>
        </w:rPr>
        <w:t>Art. </w:t>
      </w:r>
      <w:r w:rsidR="00477B8F" w:rsidRPr="009118AB">
        <w:rPr>
          <w:i/>
          <w:iCs/>
        </w:rPr>
        <w:t xml:space="preserve">119 des G. </w:t>
      </w:r>
      <w:r w:rsidR="00B051A2" w:rsidRPr="009118AB">
        <w:rPr>
          <w:i/>
          <w:iCs/>
        </w:rPr>
        <w:t xml:space="preserve">(IV) </w:t>
      </w:r>
      <w:r w:rsidR="00477B8F" w:rsidRPr="009118AB">
        <w:rPr>
          <w:i/>
          <w:iCs/>
        </w:rPr>
        <w:t>vom 25. April 2007 (I) (B.S. vom 8. Mai 2007)</w:t>
      </w:r>
      <w:r w:rsidR="00D67EB8" w:rsidRPr="009118AB">
        <w:rPr>
          <w:i/>
          <w:iCs/>
        </w:rPr>
        <w:t> - </w:t>
      </w:r>
      <w:r w:rsidR="00477B8F" w:rsidRPr="009118AB">
        <w:rPr>
          <w:i/>
          <w:iCs/>
        </w:rPr>
        <w:t>in Kraft ab dem 1. Mai 2007</w:t>
      </w:r>
      <w:r w:rsidR="003366D9" w:rsidRPr="009118AB">
        <w:rPr>
          <w:i/>
          <w:iCs/>
        </w:rPr>
        <w:t> -;</w:t>
      </w:r>
      <w:r w:rsidR="00202435" w:rsidRPr="009118AB">
        <w:rPr>
          <w:i/>
          <w:iCs/>
        </w:rPr>
        <w:t xml:space="preserve"> </w:t>
      </w:r>
      <w:r w:rsidR="00D67EB8" w:rsidRPr="009118AB">
        <w:rPr>
          <w:i/>
          <w:iCs/>
        </w:rPr>
        <w:t>§ </w:t>
      </w:r>
      <w:r w:rsidR="00202435" w:rsidRPr="009118AB">
        <w:rPr>
          <w:i/>
          <w:iCs/>
        </w:rPr>
        <w:t xml:space="preserve">1 abgeändert durch </w:t>
      </w:r>
      <w:r w:rsidR="00D67EB8" w:rsidRPr="009118AB">
        <w:rPr>
          <w:i/>
          <w:iCs/>
        </w:rPr>
        <w:t>Art. </w:t>
      </w:r>
      <w:r w:rsidR="00202435" w:rsidRPr="009118AB">
        <w:rPr>
          <w:i/>
          <w:iCs/>
        </w:rPr>
        <w:t xml:space="preserve">2 </w:t>
      </w:r>
      <w:r w:rsidR="00D67EB8" w:rsidRPr="009118AB">
        <w:rPr>
          <w:i/>
          <w:iCs/>
        </w:rPr>
        <w:t>Nr. </w:t>
      </w:r>
      <w:r w:rsidR="00202435" w:rsidRPr="009118AB">
        <w:rPr>
          <w:i/>
          <w:iCs/>
        </w:rPr>
        <w:t>1 des G. vom 29. April 2013 (B.S. vom 10. Mai 2013)</w:t>
      </w:r>
      <w:r w:rsidR="00C71D7C" w:rsidRPr="009118AB">
        <w:rPr>
          <w:i/>
          <w:iCs/>
        </w:rPr>
        <w:t>,</w:t>
      </w:r>
      <w:r w:rsidR="00604EA6" w:rsidRPr="009118AB">
        <w:rPr>
          <w:i/>
          <w:iCs/>
        </w:rPr>
        <w:t xml:space="preserve"> </w:t>
      </w:r>
      <w:r w:rsidR="00D67EB8" w:rsidRPr="009118AB">
        <w:rPr>
          <w:i/>
          <w:iCs/>
        </w:rPr>
        <w:t>Art. </w:t>
      </w:r>
      <w:r w:rsidR="00604EA6" w:rsidRPr="009118AB">
        <w:rPr>
          <w:i/>
          <w:iCs/>
        </w:rPr>
        <w:t>14 des G. vom 27. April 2016 (B.S. vom 6. Mai 2016)</w:t>
      </w:r>
      <w:r w:rsidR="00D90618">
        <w:rPr>
          <w:i/>
          <w:iCs/>
        </w:rPr>
        <w:t>,</w:t>
      </w:r>
      <w:r w:rsidR="00C71D7C" w:rsidRPr="009118AB">
        <w:rPr>
          <w:i/>
          <w:iCs/>
        </w:rPr>
        <w:t xml:space="preserve"> </w:t>
      </w:r>
      <w:r w:rsidR="00D67EB8" w:rsidRPr="009118AB">
        <w:rPr>
          <w:i/>
          <w:iCs/>
        </w:rPr>
        <w:t>Art. </w:t>
      </w:r>
      <w:r w:rsidR="00C71D7C" w:rsidRPr="009118AB">
        <w:rPr>
          <w:i/>
          <w:iCs/>
        </w:rPr>
        <w:t xml:space="preserve">43 </w:t>
      </w:r>
      <w:r w:rsidR="00D67EB8" w:rsidRPr="009118AB">
        <w:rPr>
          <w:i/>
          <w:iCs/>
        </w:rPr>
        <w:t>Nr. </w:t>
      </w:r>
      <w:r w:rsidR="00C71D7C" w:rsidRPr="009118AB">
        <w:rPr>
          <w:i/>
          <w:iCs/>
        </w:rPr>
        <w:t>1 des G. vom 13. April 2019 (II) (B.S. vom 30. April 2019)</w:t>
      </w:r>
      <w:r w:rsidR="00D67EB8" w:rsidRPr="009118AB">
        <w:rPr>
          <w:i/>
          <w:iCs/>
        </w:rPr>
        <w:t> - </w:t>
      </w:r>
      <w:r w:rsidR="00C71D7C" w:rsidRPr="009118AB">
        <w:rPr>
          <w:i/>
          <w:iCs/>
        </w:rPr>
        <w:t xml:space="preserve">in Kraft </w:t>
      </w:r>
      <w:r w:rsidR="00C71D7C" w:rsidRPr="00C15B15">
        <w:rPr>
          <w:i/>
          <w:iCs/>
        </w:rPr>
        <w:t>am 1. Januar 2020</w:t>
      </w:r>
      <w:r w:rsidR="003366D9" w:rsidRPr="00C15B15">
        <w:rPr>
          <w:i/>
          <w:iCs/>
        </w:rPr>
        <w:t> -</w:t>
      </w:r>
      <w:r w:rsidR="00D90618" w:rsidRPr="00C15B15">
        <w:rPr>
          <w:i/>
          <w:iCs/>
          <w:sz w:val="20"/>
          <w:szCs w:val="20"/>
        </w:rPr>
        <w:t xml:space="preserve"> </w:t>
      </w:r>
      <w:r w:rsidR="00D90618" w:rsidRPr="00C15B15">
        <w:rPr>
          <w:i/>
          <w:iCs/>
        </w:rPr>
        <w:t>und Art. 42 Nr. 1 des G. vom 26. Januar 2021 (B.S. vom 10. Februar 2021) - in Kraft am 1. Januar 2025 -, selbst aufgehoben durch Art. 213 des G. vom 12. Mai 2024 (B.S. vom 30. Mai 2024)</w:t>
      </w:r>
      <w:r w:rsidR="003366D9" w:rsidRPr="00C15B15">
        <w:rPr>
          <w:i/>
          <w:iCs/>
        </w:rPr>
        <w:t>;</w:t>
      </w:r>
      <w:r w:rsidR="00202435" w:rsidRPr="00C15B15">
        <w:rPr>
          <w:i/>
          <w:iCs/>
        </w:rPr>
        <w:t xml:space="preserve"> </w:t>
      </w:r>
      <w:r w:rsidR="00D90618" w:rsidRPr="00C15B15">
        <w:rPr>
          <w:rFonts w:ascii="Times New Roman Italique" w:hAnsi="Times New Roman Italique"/>
          <w:i/>
          <w:iCs/>
          <w:spacing w:val="-2"/>
        </w:rPr>
        <w:t xml:space="preserve">§ 1 </w:t>
      </w:r>
      <w:r w:rsidR="003641CB" w:rsidRPr="00C15B15">
        <w:rPr>
          <w:rFonts w:ascii="Times New Roman Italique" w:hAnsi="Times New Roman Italique"/>
          <w:i/>
          <w:iCs/>
          <w:spacing w:val="-2"/>
        </w:rPr>
        <w:t xml:space="preserve">früherer </w:t>
      </w:r>
      <w:r w:rsidR="00D90618" w:rsidRPr="00C15B15">
        <w:rPr>
          <w:rFonts w:ascii="Times New Roman Italique" w:hAnsi="Times New Roman Italique"/>
          <w:i/>
          <w:iCs/>
          <w:spacing w:val="-2"/>
        </w:rPr>
        <w:t>Abs</w:t>
      </w:r>
      <w:r w:rsidR="003641CB" w:rsidRPr="00C15B15">
        <w:rPr>
          <w:rFonts w:ascii="Times New Roman Italique" w:hAnsi="Times New Roman Italique"/>
          <w:i/>
          <w:iCs/>
          <w:spacing w:val="-2"/>
        </w:rPr>
        <w:t>atz</w:t>
      </w:r>
      <w:r w:rsidR="00D90618" w:rsidRPr="00C15B15">
        <w:rPr>
          <w:rFonts w:ascii="Times New Roman Italique" w:hAnsi="Times New Roman Italique"/>
          <w:i/>
          <w:iCs/>
          <w:spacing w:val="-2"/>
        </w:rPr>
        <w:t> 2 eingefügt durch Art. 42 Nr. 2 des G. vom 26. Januar 2021 (B.S. vom 10. Februar 2021) - in Kraft am 1. Januar 2025 -,</w:t>
      </w:r>
      <w:r w:rsidR="00D90618" w:rsidRPr="00C15B15">
        <w:rPr>
          <w:i/>
          <w:iCs/>
        </w:rPr>
        <w:t xml:space="preserve"> selbst aufgehoben durch Art. 213 des G. vom 12. Mai 2024 (B.S. vom 30. Mai 2024); </w:t>
      </w:r>
      <w:r w:rsidR="00D67EB8" w:rsidRPr="00C15B15">
        <w:rPr>
          <w:i/>
          <w:iCs/>
        </w:rPr>
        <w:t>§ </w:t>
      </w:r>
      <w:r w:rsidR="00202435" w:rsidRPr="00C15B15">
        <w:rPr>
          <w:i/>
          <w:iCs/>
        </w:rPr>
        <w:t xml:space="preserve">2 </w:t>
      </w:r>
      <w:r w:rsidR="00D67EB8" w:rsidRPr="00C15B15">
        <w:rPr>
          <w:i/>
          <w:iCs/>
        </w:rPr>
        <w:t>Abs. </w:t>
      </w:r>
      <w:r w:rsidR="00202435" w:rsidRPr="00C15B15">
        <w:rPr>
          <w:i/>
          <w:iCs/>
        </w:rPr>
        <w:t xml:space="preserve">1 und 2 abgeändert durch </w:t>
      </w:r>
      <w:r w:rsidR="00D67EB8" w:rsidRPr="00C15B15">
        <w:rPr>
          <w:i/>
          <w:iCs/>
        </w:rPr>
        <w:t>Art. </w:t>
      </w:r>
      <w:r w:rsidR="00202435" w:rsidRPr="00C15B15">
        <w:rPr>
          <w:i/>
          <w:iCs/>
        </w:rPr>
        <w:t xml:space="preserve">2 </w:t>
      </w:r>
      <w:r w:rsidR="00D67EB8" w:rsidRPr="00C15B15">
        <w:rPr>
          <w:i/>
          <w:iCs/>
        </w:rPr>
        <w:t>Nr. </w:t>
      </w:r>
      <w:r w:rsidR="00202435" w:rsidRPr="00C15B15">
        <w:rPr>
          <w:i/>
          <w:iCs/>
        </w:rPr>
        <w:t>2 des G. vom 29. April 2013 (B.S. vom 10. Mai 2013)</w:t>
      </w:r>
      <w:r w:rsidR="00C71D7C" w:rsidRPr="00C15B15">
        <w:rPr>
          <w:i/>
          <w:iCs/>
        </w:rPr>
        <w:t xml:space="preserve"> und </w:t>
      </w:r>
      <w:r w:rsidR="00D67EB8" w:rsidRPr="00C15B15">
        <w:rPr>
          <w:i/>
          <w:iCs/>
        </w:rPr>
        <w:t>Art. </w:t>
      </w:r>
      <w:r w:rsidR="00C71D7C" w:rsidRPr="00C15B15">
        <w:rPr>
          <w:i/>
          <w:iCs/>
        </w:rPr>
        <w:t xml:space="preserve">43 </w:t>
      </w:r>
      <w:r w:rsidR="00D67EB8" w:rsidRPr="00C15B15">
        <w:rPr>
          <w:i/>
          <w:iCs/>
        </w:rPr>
        <w:t>Nr. </w:t>
      </w:r>
      <w:r w:rsidR="00C71D7C" w:rsidRPr="00C15B15">
        <w:rPr>
          <w:i/>
          <w:iCs/>
        </w:rPr>
        <w:t xml:space="preserve">2 des G. vom 13. April 2019 (II) </w:t>
      </w:r>
      <w:r w:rsidR="00C71D7C" w:rsidRPr="00C15B15">
        <w:rPr>
          <w:rFonts w:ascii="Times New Roman Italique" w:hAnsi="Times New Roman Italique"/>
          <w:i/>
          <w:iCs/>
          <w:spacing w:val="-2"/>
        </w:rPr>
        <w:t>(B.S. vom 30. April 2019)</w:t>
      </w:r>
      <w:r w:rsidR="00D67EB8" w:rsidRPr="00C15B15">
        <w:rPr>
          <w:rFonts w:ascii="Times New Roman Italique" w:hAnsi="Times New Roman Italique"/>
          <w:i/>
          <w:iCs/>
          <w:spacing w:val="-2"/>
        </w:rPr>
        <w:t> - </w:t>
      </w:r>
      <w:r w:rsidR="00C71D7C" w:rsidRPr="00C15B15">
        <w:rPr>
          <w:rFonts w:ascii="Times New Roman Italique" w:hAnsi="Times New Roman Italique"/>
          <w:i/>
          <w:iCs/>
          <w:spacing w:val="-2"/>
        </w:rPr>
        <w:t>in Kraft am 1. Januar 2020</w:t>
      </w:r>
      <w:r w:rsidR="00FD68E8" w:rsidRPr="00C15B15">
        <w:rPr>
          <w:rFonts w:ascii="Times New Roman Italique" w:hAnsi="Times New Roman Italique"/>
          <w:i/>
          <w:iCs/>
          <w:spacing w:val="-2"/>
        </w:rPr>
        <w:t> -</w:t>
      </w:r>
      <w:r w:rsidR="00FD68E8" w:rsidRPr="00C15B15">
        <w:rPr>
          <w:i/>
          <w:iCs/>
        </w:rPr>
        <w:t>]</w:t>
      </w:r>
    </w:p>
    <w:p w14:paraId="3A207A61" w14:textId="0B03B90D" w:rsidR="00441931" w:rsidRPr="009118AB" w:rsidRDefault="00441931" w:rsidP="006F6B6B">
      <w:pPr>
        <w:autoSpaceDE w:val="0"/>
        <w:autoSpaceDN w:val="0"/>
        <w:adjustRightInd w:val="0"/>
        <w:jc w:val="both"/>
        <w:rPr>
          <w:iCs/>
        </w:rPr>
      </w:pPr>
    </w:p>
    <w:p w14:paraId="28DEEB16" w14:textId="0AED69C9" w:rsidR="00441931" w:rsidRPr="009118AB" w:rsidRDefault="00441931" w:rsidP="006F6B6B">
      <w:pPr>
        <w:autoSpaceDE w:val="0"/>
        <w:autoSpaceDN w:val="0"/>
        <w:adjustRightInd w:val="0"/>
        <w:jc w:val="both"/>
        <w:rPr>
          <w:iCs/>
        </w:rPr>
      </w:pPr>
    </w:p>
    <w:p w14:paraId="05F03467" w14:textId="77777777" w:rsidR="00D90618" w:rsidRDefault="00D90618">
      <w:r>
        <w:br w:type="page"/>
      </w:r>
    </w:p>
    <w:p w14:paraId="2A02C648" w14:textId="3D7D2B3A" w:rsidR="00477B8F" w:rsidRPr="009118AB" w:rsidRDefault="00D9061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t xml:space="preserve"> </w:t>
      </w:r>
      <w:r w:rsidR="00477B8F" w:rsidRPr="009118AB">
        <w:t>[</w:t>
      </w:r>
      <w:r w:rsidR="00477B8F" w:rsidRPr="009118AB">
        <w:rPr>
          <w:i/>
          <w:iCs/>
        </w:rPr>
        <w:t>Abschnitt </w:t>
      </w:r>
      <w:r w:rsidR="006B602F" w:rsidRPr="009118AB">
        <w:rPr>
          <w:i/>
          <w:iCs/>
        </w:rPr>
        <w:t>2</w:t>
      </w:r>
      <w:r w:rsidR="00477B8F" w:rsidRPr="009118AB">
        <w:t>]</w:t>
      </w:r>
      <w:r w:rsidR="00D67EB8" w:rsidRPr="009118AB">
        <w:t> - </w:t>
      </w:r>
      <w:r w:rsidR="00477B8F" w:rsidRPr="009118AB">
        <w:t>[Sonderbestimmungen in Sachen Rechtsmittel]</w:t>
      </w:r>
    </w:p>
    <w:p w14:paraId="477D867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59C093A" w14:textId="63664FA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[Früherer Abschnitt </w:t>
      </w:r>
      <w:r w:rsidR="006B602F" w:rsidRPr="009118AB">
        <w:rPr>
          <w:i/>
          <w:iCs/>
        </w:rPr>
        <w:t>3</w:t>
      </w:r>
      <w:r w:rsidRPr="009118AB">
        <w:rPr>
          <w:i/>
          <w:iCs/>
        </w:rPr>
        <w:t xml:space="preserve"> umnummeriert zu Abschnitt </w:t>
      </w:r>
      <w:r w:rsidR="006B602F" w:rsidRPr="009118AB">
        <w:rPr>
          <w:i/>
          <w:iCs/>
        </w:rPr>
        <w:t>2</w:t>
      </w:r>
      <w:r w:rsidRPr="009118AB">
        <w:rPr>
          <w:i/>
          <w:iCs/>
        </w:rPr>
        <w:t xml:space="preserve"> und Überschrift ersetzt durch </w:t>
      </w:r>
      <w:r w:rsidR="00D67EB8" w:rsidRPr="009118AB">
        <w:rPr>
          <w:i/>
          <w:iCs/>
        </w:rPr>
        <w:t>Art. </w:t>
      </w:r>
      <w:r w:rsidRPr="009118AB">
        <w:rPr>
          <w:i/>
          <w:iCs/>
        </w:rPr>
        <w:t>34 des G. vom 15. März 1999 (B.S. vom 27. März 1999)</w:t>
      </w:r>
      <w:r w:rsidR="00D67EB8" w:rsidRPr="009118AB">
        <w:rPr>
          <w:i/>
          <w:iCs/>
        </w:rPr>
        <w:t> - </w:t>
      </w:r>
      <w:r w:rsidRPr="009118AB">
        <w:rPr>
          <w:i/>
          <w:iCs/>
        </w:rPr>
        <w:t>anwendbar ab dem Steuerjahr 1999</w:t>
      </w:r>
      <w:r w:rsidR="00FD68E8" w:rsidRPr="009118AB">
        <w:rPr>
          <w:i/>
          <w:iCs/>
        </w:rPr>
        <w:t> -]</w:t>
      </w:r>
    </w:p>
    <w:p w14:paraId="3E1ABDE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2F50E5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348A0F" w14:textId="21D2F82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377</w:t>
      </w:r>
      <w:r w:rsidR="00D67EB8" w:rsidRPr="009118AB">
        <w:t> - </w:t>
      </w:r>
      <w:r w:rsidRPr="009118AB">
        <w:t>[Einspruchs-, Berufungs- und Kassationsfristen und Einspruch, Berufung und Kassationsbeschwerde setzen die Ausführung der gerichtlichen Entscheidung aus.]</w:t>
      </w:r>
    </w:p>
    <w:p w14:paraId="30A1227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B4E25D" w14:textId="7F83B98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377 ersetzt durch </w:t>
      </w:r>
      <w:r w:rsidR="00D67EB8" w:rsidRPr="009118AB">
        <w:rPr>
          <w:i/>
          <w:iCs/>
        </w:rPr>
        <w:t>Art. </w:t>
      </w:r>
      <w:r w:rsidRPr="009118AB">
        <w:rPr>
          <w:i/>
          <w:iCs/>
        </w:rPr>
        <w:t>34 des G. vom 15. März </w:t>
      </w:r>
      <w:r w:rsidR="00B64F05" w:rsidRPr="009118AB">
        <w:rPr>
          <w:i/>
          <w:iCs/>
        </w:rPr>
        <w:t>1999 (B.S. vom 27. März 1999)</w:t>
      </w:r>
      <w:r w:rsidR="00D67EB8" w:rsidRPr="009118AB">
        <w:rPr>
          <w:i/>
          <w:iCs/>
        </w:rPr>
        <w:t> - </w:t>
      </w:r>
      <w:r w:rsidRPr="009118AB">
        <w:rPr>
          <w:i/>
          <w:iCs/>
        </w:rPr>
        <w:t>anwendbar ab dem Steuerjahr 1999</w:t>
      </w:r>
      <w:r w:rsidR="00FD68E8" w:rsidRPr="009118AB">
        <w:rPr>
          <w:i/>
          <w:iCs/>
        </w:rPr>
        <w:t> -]</w:t>
      </w:r>
    </w:p>
    <w:p w14:paraId="265CD22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1F780E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F1A04FA" w14:textId="3D00EAD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378</w:t>
      </w:r>
      <w:r w:rsidR="00D67EB8" w:rsidRPr="009118AB">
        <w:t> - </w:t>
      </w:r>
      <w:r w:rsidRPr="009118AB">
        <w:t>[Der Antrag zur Einreichung der Kassationsbeschwerde und die Antwortschrift im Rahmen der Beschwerde dürfen von einem Rechtsanwalt unterzeichnet und hinterlegt werden.]</w:t>
      </w:r>
    </w:p>
    <w:p w14:paraId="443DAE7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5B7F5A" w14:textId="0F8A468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378 ersetzt durch </w:t>
      </w:r>
      <w:r w:rsidR="00D67EB8" w:rsidRPr="009118AB">
        <w:rPr>
          <w:i/>
          <w:iCs/>
        </w:rPr>
        <w:t>Art. </w:t>
      </w:r>
      <w:r w:rsidRPr="009118AB">
        <w:rPr>
          <w:i/>
          <w:iCs/>
        </w:rPr>
        <w:t>380 des G. vom 27. Dezember 2004 (B.S. vom 31. Dezember 2004)]</w:t>
      </w:r>
    </w:p>
    <w:p w14:paraId="0A314AE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0145EE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965FE0" w14:textId="77777777" w:rsidR="00E75378" w:rsidRPr="00E75378" w:rsidRDefault="00477B8F" w:rsidP="00E75378">
      <w:pPr>
        <w:ind w:firstLine="708"/>
        <w:jc w:val="both"/>
      </w:pPr>
      <w:r w:rsidRPr="009118AB">
        <w:tab/>
      </w:r>
      <w:r w:rsidR="00D67EB8" w:rsidRPr="009118AB">
        <w:rPr>
          <w:b/>
          <w:bCs/>
        </w:rPr>
        <w:t>Art. </w:t>
      </w:r>
      <w:r w:rsidRPr="009118AB">
        <w:rPr>
          <w:b/>
          <w:bCs/>
        </w:rPr>
        <w:t>379</w:t>
      </w:r>
      <w:r w:rsidR="00D67EB8" w:rsidRPr="009118AB">
        <w:t> - </w:t>
      </w:r>
      <w:r w:rsidRPr="009118AB">
        <w:t>[</w:t>
      </w:r>
      <w:r w:rsidR="00E75378" w:rsidRPr="00E75378">
        <w:t>Bei Streitfällen über die Anwendung eines Steuergesetzes können das persönliche Erscheinen im Namen des Staates sowie jede Verfahrenshandlung durch jeden Beamten einer Steuerverwaltung erfolgen beziehungsweise vorgenommen werden.</w:t>
      </w:r>
    </w:p>
    <w:p w14:paraId="22E8C30F" w14:textId="77777777" w:rsidR="00E75378" w:rsidRPr="00E75378" w:rsidRDefault="00E75378" w:rsidP="00E75378">
      <w:pPr>
        <w:jc w:val="both"/>
      </w:pPr>
    </w:p>
    <w:p w14:paraId="4888D673" w14:textId="568FD025" w:rsidR="00477B8F" w:rsidRPr="009118AB" w:rsidRDefault="00E75378" w:rsidP="00E753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E75378">
        <w:t>Tritt die Steuerverwaltung in Anwendung von Artikel 4</w:t>
      </w:r>
      <w:r w:rsidRPr="00E75378">
        <w:rPr>
          <w:i/>
          <w:iCs/>
        </w:rPr>
        <w:t>bis</w:t>
      </w:r>
      <w:r w:rsidRPr="00E75378">
        <w:t xml:space="preserve"> des einleitenden Titels des Strafprozessgesetzbuches in einer Strafsache durch die Zivilklage auf, können das persönliche Erscheinen im Namen des Belgischen Staates sowie jede Verfahrenshandlung durch jeden Beamten einer Steuerverwaltung erfolgen beziehungsweise vorgenommen werden.</w:t>
      </w:r>
      <w:r w:rsidR="00477B8F" w:rsidRPr="009118AB">
        <w:t>]</w:t>
      </w:r>
    </w:p>
    <w:p w14:paraId="4497C52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735F09" w14:textId="47AF42E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379 </w:t>
      </w:r>
      <w:r w:rsidR="00E75378">
        <w:rPr>
          <w:i/>
          <w:iCs/>
        </w:rPr>
        <w:t xml:space="preserve">ersetzt </w:t>
      </w:r>
      <w:r w:rsidR="00E75378" w:rsidRPr="00AB355F">
        <w:rPr>
          <w:rFonts w:ascii="Times New Roman Italique" w:hAnsi="Times New Roman Italique"/>
          <w:i/>
          <w:iCs/>
        </w:rPr>
        <w:t>durch Art. 2</w:t>
      </w:r>
      <w:r w:rsidR="00E75378">
        <w:rPr>
          <w:rFonts w:ascii="Times New Roman Italique" w:hAnsi="Times New Roman Italique"/>
          <w:i/>
          <w:iCs/>
        </w:rPr>
        <w:t>0</w:t>
      </w:r>
      <w:r w:rsidR="00E75378" w:rsidRPr="00AB355F">
        <w:rPr>
          <w:rFonts w:ascii="Times New Roman Italique" w:hAnsi="Times New Roman Italique"/>
          <w:i/>
          <w:iCs/>
        </w:rPr>
        <w:t xml:space="preserve"> des G. vom 20. Dezember 2024 (B.S. vom 31. Dezember 2024)</w:t>
      </w:r>
      <w:r w:rsidR="00FD68E8" w:rsidRPr="009118AB">
        <w:rPr>
          <w:i/>
          <w:iCs/>
        </w:rPr>
        <w:t>]</w:t>
      </w:r>
    </w:p>
    <w:p w14:paraId="1E11850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129568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EA4679" w14:textId="4C14354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380</w:t>
      </w:r>
      <w:r w:rsidR="00D67EB8" w:rsidRPr="009118AB">
        <w:rPr>
          <w:b/>
          <w:bCs/>
        </w:rPr>
        <w:t> - </w:t>
      </w:r>
      <w:r w:rsidRPr="009118AB">
        <w:t>[</w:t>
      </w:r>
      <w:r w:rsidR="004F634F" w:rsidRPr="009118AB">
        <w:t>Der Generalberater der mit der Festlegung der Einkommensteuern beauftragten Verwaltung oder der von ihm beauftragte Beamte kann die gerichtliche Entscheidung, durch die ein Nachlass gewährt oder eine Veranlagung für ungültig erklärt wird, durch Eintragung auf den Namen des betreffenden Steuerpflichtigen des nachgelassenen oder für ungültig erklärten Betrags in eine für vollstreckbar erklärte Heberolle vollstrecken.</w:t>
      </w:r>
      <w:r w:rsidRPr="009118AB">
        <w:t>]</w:t>
      </w:r>
    </w:p>
    <w:p w14:paraId="3B9E755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0834DD" w14:textId="1B492FB4" w:rsidR="004F634F" w:rsidRPr="009118AB" w:rsidRDefault="00477B8F"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380 aufgehoben durch </w:t>
      </w:r>
      <w:r w:rsidR="00D67EB8" w:rsidRPr="009118AB">
        <w:rPr>
          <w:i/>
          <w:iCs/>
        </w:rPr>
        <w:t>Art. </w:t>
      </w:r>
      <w:r w:rsidRPr="009118AB">
        <w:rPr>
          <w:i/>
          <w:iCs/>
        </w:rPr>
        <w:t>34 des G. vom 15. März </w:t>
      </w:r>
      <w:r w:rsidR="00B64F05" w:rsidRPr="009118AB">
        <w:rPr>
          <w:i/>
          <w:iCs/>
        </w:rPr>
        <w:t>1999 (B.S. vom 27. März 1999)</w:t>
      </w:r>
      <w:r w:rsidR="00D67EB8" w:rsidRPr="009118AB">
        <w:rPr>
          <w:i/>
          <w:iCs/>
        </w:rPr>
        <w:t> - </w:t>
      </w:r>
      <w:r w:rsidRPr="009118AB">
        <w:rPr>
          <w:i/>
          <w:iCs/>
        </w:rPr>
        <w:t>anwendbar ab dem Steuerjahr 1999</w:t>
      </w:r>
      <w:r w:rsidR="00D67EB8" w:rsidRPr="009118AB">
        <w:rPr>
          <w:i/>
          <w:iCs/>
        </w:rPr>
        <w:t> - </w:t>
      </w:r>
      <w:r w:rsidR="004F634F" w:rsidRPr="009118AB">
        <w:rPr>
          <w:i/>
          <w:iCs/>
        </w:rPr>
        <w:t xml:space="preserve">und wieder aufgenommen durch </w:t>
      </w:r>
      <w:r w:rsidR="00D67EB8" w:rsidRPr="009118AB">
        <w:rPr>
          <w:i/>
          <w:iCs/>
        </w:rPr>
        <w:t>Art. </w:t>
      </w:r>
      <w:r w:rsidR="004F634F" w:rsidRPr="009118AB">
        <w:rPr>
          <w:i/>
          <w:iCs/>
        </w:rPr>
        <w:t>16 des G. vom 25. Dezember 2017 (II) (B.S. vom 29. Dezember 2017)</w:t>
      </w:r>
      <w:r w:rsidR="00D67EB8" w:rsidRPr="009118AB">
        <w:rPr>
          <w:i/>
          <w:iCs/>
        </w:rPr>
        <w:t> - </w:t>
      </w:r>
      <w:r w:rsidR="004F634F" w:rsidRPr="009118AB">
        <w:rPr>
          <w:i/>
          <w:iCs/>
        </w:rPr>
        <w:t>in Kraft am 29. Dezember 2017</w:t>
      </w:r>
      <w:r w:rsidR="00FD68E8" w:rsidRPr="009118AB">
        <w:rPr>
          <w:i/>
          <w:iCs/>
        </w:rPr>
        <w:t> -]</w:t>
      </w:r>
    </w:p>
    <w:p w14:paraId="2074D68B" w14:textId="77777777" w:rsidR="00573B35" w:rsidRPr="009118AB"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AB218A" w14:textId="77777777" w:rsidR="00573B35" w:rsidRPr="009118AB"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57F373D" w14:textId="77777777" w:rsidR="00573B35" w:rsidRPr="009118AB" w:rsidRDefault="00573B35" w:rsidP="00573B35">
      <w:pPr>
        <w:ind w:firstLine="708"/>
        <w:jc w:val="both"/>
      </w:pPr>
      <w:r w:rsidRPr="009118AB">
        <w:tab/>
      </w:r>
      <w:r w:rsidRPr="009118AB">
        <w:rPr>
          <w:b/>
          <w:bCs/>
        </w:rPr>
        <w:t>Art. 381 </w:t>
      </w:r>
      <w:r w:rsidRPr="009118AB">
        <w:t>- [Im Falle der Nichteinhaltung durch den Steuerpflichtigen oder einen Dritten der in Titel VII Kapitel 3 Abschnitt 1 beziehungsweise Abschnitt 2 vorgesehenen Pflichten kann die Steuerverwaltung bei dem in Absatz 2 erwähnten zuständigen Gericht beantragen, dass der betreffende Steuerpflichtige oder Dritte zur Zahlung eines Zwangsgeldes gemäß den Artikeln 1385</w:t>
      </w:r>
      <w:r w:rsidRPr="009118AB">
        <w:rPr>
          <w:i/>
          <w:iCs/>
        </w:rPr>
        <w:t>bis</w:t>
      </w:r>
      <w:r w:rsidRPr="009118AB">
        <w:t xml:space="preserve"> bis 1385</w:t>
      </w:r>
      <w:r w:rsidRPr="009118AB">
        <w:rPr>
          <w:i/>
          <w:iCs/>
        </w:rPr>
        <w:t>nonies</w:t>
      </w:r>
      <w:r w:rsidRPr="009118AB">
        <w:t xml:space="preserve"> des Gerichtsgesetzbuches verurteilt wird.</w:t>
      </w:r>
    </w:p>
    <w:p w14:paraId="2C772821" w14:textId="77777777" w:rsidR="00573B35" w:rsidRPr="009118AB" w:rsidRDefault="00573B35" w:rsidP="00573B35">
      <w:pPr>
        <w:jc w:val="both"/>
      </w:pPr>
    </w:p>
    <w:p w14:paraId="724B5553" w14:textId="77777777" w:rsidR="00573B35" w:rsidRPr="009118AB" w:rsidRDefault="00573B35" w:rsidP="00573B35">
      <w:pPr>
        <w:ind w:firstLine="708"/>
        <w:jc w:val="both"/>
      </w:pPr>
      <w:r w:rsidRPr="009118AB">
        <w:t>Die Klage wird vor das Gericht gebracht, das zuständig ist, um über die Anwendung eines Steuergesetzes wie in Artikel 569 Absatz 1 Nr. 32 des Gerichtsgesetzbuches erwähnt zu befinden, und diese Klage wird wie im Eilverfahren eingereicht und behandelt.</w:t>
      </w:r>
    </w:p>
    <w:p w14:paraId="4F153B1A" w14:textId="77777777" w:rsidR="00573B35" w:rsidRPr="009118AB" w:rsidRDefault="00573B35" w:rsidP="00573B35">
      <w:pPr>
        <w:jc w:val="both"/>
      </w:pPr>
    </w:p>
    <w:p w14:paraId="12A42585" w14:textId="106B387D" w:rsidR="00573B35" w:rsidRPr="009118AB"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Das Zwangsgeld kann beantragt werden, wenn Untersuchungen auf Ersuchen eines Staates durchgeführt werden, mit dem Belgien ein Abkommen zur Vermeidung der Doppelbesteuerung abgeschlossen hat oder mit dem Belgien eine Vereinbarung im Hinblick auf den Informationsaustausch in Steuerangelegenheiten abgeschlossen hat oder der zusammen mit Belgien zu den Parteien eines anderen bilateralen oder multilateralen Rechtsinstruments gehört, und wenn dieses Abkommen, diese Vereinbarung oder dieses Rechtsinstrument den Informationsaustausch in Steuerangelegenheiten zwischen den Vertragsstaaten ermöglicht.]</w:t>
      </w:r>
    </w:p>
    <w:p w14:paraId="3E402C6B" w14:textId="77777777" w:rsidR="00573B35" w:rsidRPr="009118AB"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F4DB30" w14:textId="243EF35B" w:rsidR="00573B35" w:rsidRPr="009118AB"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[Art. 38</w:t>
      </w:r>
      <w:r w:rsidR="004D57CD" w:rsidRPr="009118AB">
        <w:rPr>
          <w:i/>
          <w:iCs/>
        </w:rPr>
        <w:t>1</w:t>
      </w:r>
      <w:r w:rsidRPr="009118AB">
        <w:rPr>
          <w:i/>
          <w:iCs/>
        </w:rPr>
        <w:t xml:space="preserve"> aufgehoben durch Art. 34 des G. vom 15. März 1999 (B.S. vom 27. März 1999) - anwendbar ab dem Steuerjahr 1999 - und wieder aufgenommen durch Art. 90 des G. vom 20. November 2022 (B.S. vom 30. November 2022)]</w:t>
      </w:r>
    </w:p>
    <w:p w14:paraId="01F8EBD1" w14:textId="77777777" w:rsidR="004F634F" w:rsidRPr="009118AB" w:rsidRDefault="004F634F"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1AC7F9C" w14:textId="77777777" w:rsidR="00573B35" w:rsidRPr="009118AB" w:rsidRDefault="00573B35"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57B5112" w14:textId="3F789198" w:rsidR="004F634F" w:rsidRPr="009118AB" w:rsidRDefault="004F634F"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00573B35" w:rsidRPr="009118AB">
        <w:rPr>
          <w:b/>
          <w:bCs/>
        </w:rPr>
        <w:t>382</w:t>
      </w:r>
      <w:r w:rsidR="00D67EB8" w:rsidRPr="009118AB">
        <w:rPr>
          <w:b/>
          <w:bCs/>
        </w:rPr>
        <w:t> - </w:t>
      </w:r>
      <w:r w:rsidRPr="009118AB">
        <w:rPr>
          <w:b/>
          <w:bCs/>
        </w:rPr>
        <w:t>392</w:t>
      </w:r>
      <w:r w:rsidR="00D67EB8" w:rsidRPr="009118AB">
        <w:t> - </w:t>
      </w:r>
      <w:r w:rsidRPr="009118AB">
        <w:t>[...]</w:t>
      </w:r>
    </w:p>
    <w:p w14:paraId="26E1F676" w14:textId="77777777" w:rsidR="004F634F" w:rsidRPr="009118AB" w:rsidRDefault="004F634F"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5B8CBF5" w14:textId="19C8B13E" w:rsidR="004F634F" w:rsidRPr="009118AB" w:rsidRDefault="004F634F"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38</w:t>
      </w:r>
      <w:r w:rsidR="004D57CD" w:rsidRPr="009118AB">
        <w:rPr>
          <w:i/>
          <w:iCs/>
        </w:rPr>
        <w:t>2</w:t>
      </w:r>
      <w:r w:rsidRPr="009118AB">
        <w:rPr>
          <w:i/>
          <w:iCs/>
        </w:rPr>
        <w:t xml:space="preserve"> bis 392 aufgehoben durch </w:t>
      </w:r>
      <w:r w:rsidR="00D67EB8" w:rsidRPr="009118AB">
        <w:rPr>
          <w:i/>
          <w:iCs/>
        </w:rPr>
        <w:t>Art. </w:t>
      </w:r>
      <w:r w:rsidRPr="009118AB">
        <w:rPr>
          <w:i/>
          <w:iCs/>
        </w:rPr>
        <w:t>34 des G. vom 15. März 1999 (B.S. vom 27. März 1999)</w:t>
      </w:r>
      <w:r w:rsidR="00D67EB8" w:rsidRPr="009118AB">
        <w:rPr>
          <w:i/>
          <w:iCs/>
        </w:rPr>
        <w:t> - </w:t>
      </w:r>
      <w:r w:rsidRPr="009118AB">
        <w:rPr>
          <w:i/>
          <w:iCs/>
        </w:rPr>
        <w:t>anwendbar ab dem Steuerjahr 1999</w:t>
      </w:r>
      <w:r w:rsidR="00FD68E8" w:rsidRPr="009118AB">
        <w:rPr>
          <w:i/>
          <w:iCs/>
        </w:rPr>
        <w:t> -]</w:t>
      </w:r>
    </w:p>
    <w:p w14:paraId="5D754D98" w14:textId="32571B8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00D666D6" w:rsidRPr="009118AB">
        <w:rPr>
          <w:b/>
          <w:bCs/>
        </w:rPr>
        <w:t>KAPITEL </w:t>
      </w:r>
      <w:r w:rsidR="007828ED" w:rsidRPr="009118AB">
        <w:rPr>
          <w:b/>
          <w:bCs/>
        </w:rPr>
        <w:t>8</w:t>
      </w:r>
      <w:r w:rsidR="00D67EB8" w:rsidRPr="009118AB">
        <w:t> - </w:t>
      </w:r>
      <w:r w:rsidR="00C71D7C" w:rsidRPr="009118AB">
        <w:t>[</w:t>
      </w:r>
      <w:r w:rsidR="00C71D7C" w:rsidRPr="009118AB">
        <w:rPr>
          <w:i/>
          <w:iCs/>
        </w:rPr>
        <w:t>Einhaltung der Einbehaltungspflicht, Zahlungsfrist und Zinsen</w:t>
      </w:r>
      <w:r w:rsidR="00C71D7C" w:rsidRPr="009118AB">
        <w:rPr>
          <w:iCs/>
        </w:rPr>
        <w:t>]</w:t>
      </w:r>
    </w:p>
    <w:p w14:paraId="782EA70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0CA4CC0" w14:textId="3F815921" w:rsidR="00477B8F" w:rsidRPr="009118AB" w:rsidRDefault="00C71D7C"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 xml:space="preserve">[Überschrift von Kapitel 8 ersetzt durch </w:t>
      </w:r>
      <w:r w:rsidR="00D67EB8" w:rsidRPr="009118AB">
        <w:rPr>
          <w:i/>
        </w:rPr>
        <w:t>Art. </w:t>
      </w:r>
      <w:r w:rsidRPr="009118AB">
        <w:rPr>
          <w:i/>
        </w:rPr>
        <w:t>44</w:t>
      </w:r>
      <w:r w:rsidRPr="009118AB">
        <w:rPr>
          <w:i/>
          <w:iCs/>
        </w:rPr>
        <w:t xml:space="preserve"> des G. vom 13. April 2019 (II) (B.S. vom 30. April 2019)</w:t>
      </w:r>
      <w:r w:rsidR="00D67EB8" w:rsidRPr="009118AB">
        <w:rPr>
          <w:i/>
          <w:iCs/>
        </w:rPr>
        <w:t> - </w:t>
      </w:r>
      <w:r w:rsidRPr="009118AB">
        <w:rPr>
          <w:i/>
          <w:iCs/>
        </w:rPr>
        <w:t>in Kraft am 1. Januar 2020</w:t>
      </w:r>
      <w:r w:rsidR="00FD68E8" w:rsidRPr="009118AB">
        <w:rPr>
          <w:i/>
          <w:iCs/>
        </w:rPr>
        <w:t> -]</w:t>
      </w:r>
    </w:p>
    <w:p w14:paraId="341E6CC5" w14:textId="0E3F7EB6" w:rsidR="00C71D7C" w:rsidRPr="009118AB" w:rsidRDefault="00C71D7C"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34ECC7FC" w14:textId="77777777" w:rsidR="00C71D7C" w:rsidRPr="009118AB" w:rsidRDefault="00C71D7C"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5BEF24CF" w14:textId="541220E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rPr>
          <w:i/>
          <w:iCs/>
        </w:rPr>
        <w:t>Abschnitt </w:t>
      </w:r>
      <w:r w:rsidR="006B602F" w:rsidRPr="009118AB">
        <w:rPr>
          <w:i/>
          <w:iCs/>
        </w:rPr>
        <w:t>1</w:t>
      </w:r>
      <w:r w:rsidR="00D67EB8" w:rsidRPr="009118AB">
        <w:t> - </w:t>
      </w:r>
      <w:r w:rsidR="00C71D7C" w:rsidRPr="009118AB">
        <w:t>[</w:t>
      </w:r>
      <w:r w:rsidR="00C71D7C" w:rsidRPr="009118AB">
        <w:rPr>
          <w:rFonts w:eastAsia="Calibri"/>
          <w:lang w:eastAsia="en-US"/>
        </w:rPr>
        <w:t>Einhaltung der Einbehaltungspflicht</w:t>
      </w:r>
      <w:r w:rsidR="00C71D7C" w:rsidRPr="009118AB">
        <w:t>]</w:t>
      </w:r>
    </w:p>
    <w:p w14:paraId="006408D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B8CA780" w14:textId="5839E8FA" w:rsidR="00C71D7C" w:rsidRPr="009118AB" w:rsidRDefault="00C71D7C"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 xml:space="preserve">[Überschrift von Abschnitt 1 ersetzt durch </w:t>
      </w:r>
      <w:r w:rsidR="00D67EB8" w:rsidRPr="009118AB">
        <w:rPr>
          <w:i/>
        </w:rPr>
        <w:t>Art. </w:t>
      </w:r>
      <w:r w:rsidRPr="009118AB">
        <w:rPr>
          <w:i/>
        </w:rPr>
        <w:t>45</w:t>
      </w:r>
      <w:r w:rsidRPr="009118AB">
        <w:rPr>
          <w:i/>
          <w:iCs/>
        </w:rPr>
        <w:t xml:space="preserve"> des G. vom 13. April 2019 (II) (B.S. vom 30. April 2019)</w:t>
      </w:r>
      <w:r w:rsidR="00D67EB8" w:rsidRPr="009118AB">
        <w:rPr>
          <w:i/>
          <w:iCs/>
        </w:rPr>
        <w:t> - </w:t>
      </w:r>
      <w:r w:rsidRPr="009118AB">
        <w:rPr>
          <w:i/>
          <w:iCs/>
        </w:rPr>
        <w:t>in Kraft am 1. Januar 2020</w:t>
      </w:r>
      <w:r w:rsidR="00FD68E8" w:rsidRPr="009118AB">
        <w:rPr>
          <w:i/>
          <w:iCs/>
        </w:rPr>
        <w:t> -]</w:t>
      </w:r>
    </w:p>
    <w:p w14:paraId="18B412AC" w14:textId="2E029D2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554088F" w14:textId="77777777" w:rsidR="00C71D7C" w:rsidRPr="009118AB" w:rsidRDefault="00C71D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2624277" w14:textId="6A1B64B3" w:rsidR="00C71D7C" w:rsidRPr="009118AB" w:rsidRDefault="00477B8F" w:rsidP="00C71D7C">
      <w:pPr>
        <w:ind w:firstLine="708"/>
        <w:jc w:val="both"/>
        <w:rPr>
          <w:rFonts w:eastAsia="Calibri"/>
          <w:lang w:eastAsia="en-US"/>
        </w:rPr>
      </w:pPr>
      <w:r w:rsidRPr="009118AB">
        <w:tab/>
      </w:r>
      <w:r w:rsidR="00D67EB8" w:rsidRPr="009118AB">
        <w:rPr>
          <w:b/>
          <w:bCs/>
        </w:rPr>
        <w:t>Art. </w:t>
      </w:r>
      <w:r w:rsidRPr="009118AB">
        <w:rPr>
          <w:b/>
          <w:bCs/>
        </w:rPr>
        <w:t>393</w:t>
      </w:r>
      <w:r w:rsidR="00D67EB8" w:rsidRPr="009118AB">
        <w:t> - </w:t>
      </w:r>
      <w:r w:rsidR="00C71D7C" w:rsidRPr="009118AB">
        <w:t>[</w:t>
      </w:r>
      <w:r w:rsidR="00D67EB8" w:rsidRPr="009118AB">
        <w:rPr>
          <w:rFonts w:eastAsia="Calibri"/>
          <w:lang w:eastAsia="en-US"/>
        </w:rPr>
        <w:t>§ </w:t>
      </w:r>
      <w:r w:rsidR="00C71D7C" w:rsidRPr="009118AB">
        <w:rPr>
          <w:rFonts w:eastAsia="Calibri"/>
          <w:lang w:eastAsia="en-US"/>
        </w:rPr>
        <w:t>1</w:t>
      </w:r>
      <w:r w:rsidR="00D67EB8" w:rsidRPr="009118AB">
        <w:rPr>
          <w:rFonts w:eastAsia="Calibri"/>
          <w:lang w:eastAsia="en-US"/>
        </w:rPr>
        <w:t> - </w:t>
      </w:r>
      <w:r w:rsidR="00C71D7C" w:rsidRPr="009118AB">
        <w:rPr>
          <w:rFonts w:eastAsia="Calibri"/>
          <w:lang w:eastAsia="en-US"/>
        </w:rPr>
        <w:t>Beamte der mit der Festlegung der Einkommensteuern beauftragten Verwaltung des Föderalen Öffentlichen Dienstes Finanzen überprüfen, ob die in Artikel 55 des Gesetzbuches über die gütliche Beitreibung und die Zwangsbeitreibung von Steuerforderungen und nichtsteuerlichen Forderungen erwähnte Einbehaltungs- und Zahlungspflicht vom Auftraggeber und Unternehmer eingehalten wird.</w:t>
      </w:r>
    </w:p>
    <w:p w14:paraId="7E9C8B78" w14:textId="77777777" w:rsidR="00C71D7C" w:rsidRPr="009118AB" w:rsidRDefault="00C71D7C" w:rsidP="00C71D7C">
      <w:pPr>
        <w:jc w:val="both"/>
        <w:rPr>
          <w:rFonts w:eastAsia="Calibri"/>
          <w:lang w:eastAsia="en-US"/>
        </w:rPr>
      </w:pPr>
    </w:p>
    <w:p w14:paraId="569F7C4B" w14:textId="0534FF9F" w:rsidR="00C71D7C" w:rsidRPr="009118AB" w:rsidRDefault="00D67EB8" w:rsidP="00C71D7C">
      <w:pPr>
        <w:ind w:firstLine="708"/>
        <w:jc w:val="both"/>
        <w:rPr>
          <w:rFonts w:eastAsia="Calibri"/>
          <w:lang w:eastAsia="en-US"/>
        </w:rPr>
      </w:pPr>
      <w:r w:rsidRPr="009118AB">
        <w:rPr>
          <w:rFonts w:eastAsia="Calibri"/>
          <w:lang w:eastAsia="en-US"/>
        </w:rPr>
        <w:t>§ </w:t>
      </w:r>
      <w:r w:rsidR="00C71D7C" w:rsidRPr="009118AB">
        <w:rPr>
          <w:rFonts w:eastAsia="Calibri"/>
          <w:lang w:eastAsia="en-US"/>
        </w:rPr>
        <w:t>2</w:t>
      </w:r>
      <w:r w:rsidRPr="009118AB">
        <w:rPr>
          <w:rFonts w:eastAsia="Calibri"/>
          <w:lang w:eastAsia="en-US"/>
        </w:rPr>
        <w:t> - </w:t>
      </w:r>
      <w:r w:rsidR="00C71D7C" w:rsidRPr="009118AB">
        <w:rPr>
          <w:rFonts w:eastAsia="Calibri"/>
          <w:lang w:eastAsia="en-US"/>
        </w:rPr>
        <w:t>Wurden die in Artikel 55 des Gesetzbuches über die gütliche Beitreibung und die Zwangsbeitreibung von Steuerforderungen und nichtsteuerlichen Forderungen erwähnten Zahlungen nicht getätigt, wird der geschuldete Betrag verdoppelt und in der in Artikel 354 erwähnten Frist zu Lasten des Zuwiderhandelnden als administrative Geldbuße in die Heberolle eingetragen.</w:t>
      </w:r>
    </w:p>
    <w:p w14:paraId="3F703345" w14:textId="77777777" w:rsidR="00C71D7C" w:rsidRPr="009118AB" w:rsidRDefault="00C71D7C" w:rsidP="00C71D7C">
      <w:pPr>
        <w:jc w:val="both"/>
        <w:rPr>
          <w:rFonts w:eastAsia="Calibri"/>
          <w:lang w:eastAsia="en-US"/>
        </w:rPr>
      </w:pPr>
    </w:p>
    <w:p w14:paraId="03D3DE66" w14:textId="2121D4F1" w:rsidR="00D3424B" w:rsidRPr="009118AB" w:rsidRDefault="00121C17"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rFonts w:eastAsia="Calibri"/>
          <w:lang w:eastAsia="en-US"/>
        </w:rPr>
        <w:tab/>
      </w:r>
      <w:r w:rsidR="00C71D7C" w:rsidRPr="009118AB">
        <w:rPr>
          <w:rFonts w:eastAsia="Calibri"/>
          <w:lang w:eastAsia="en-US"/>
        </w:rPr>
        <w:t>Der König kann bestimmen, unter welchen Bedingungen die Geldbuße verringert werden kann.</w:t>
      </w:r>
      <w:r w:rsidR="00D3424B" w:rsidRPr="009118AB">
        <w:t>]</w:t>
      </w:r>
    </w:p>
    <w:p w14:paraId="720792CB" w14:textId="77777777" w:rsidR="00D3424B" w:rsidRPr="009118AB" w:rsidRDefault="00D3424B" w:rsidP="00D3424B">
      <w:pPr>
        <w:jc w:val="both"/>
      </w:pPr>
    </w:p>
    <w:p w14:paraId="2797683D" w14:textId="1581B53D" w:rsidR="00D3424B" w:rsidRPr="009118AB" w:rsidRDefault="00D3424B" w:rsidP="00D3424B">
      <w:pPr>
        <w:jc w:val="both"/>
        <w:rPr>
          <w:i/>
        </w:rPr>
      </w:pPr>
      <w:r w:rsidRPr="009118AB">
        <w:rPr>
          <w:i/>
        </w:rPr>
        <w:t>[</w:t>
      </w:r>
      <w:r w:rsidR="00D67EB8" w:rsidRPr="009118AB">
        <w:rPr>
          <w:i/>
        </w:rPr>
        <w:t>Art. </w:t>
      </w:r>
      <w:r w:rsidRPr="009118AB">
        <w:rPr>
          <w:i/>
        </w:rPr>
        <w:t xml:space="preserve">393 </w:t>
      </w:r>
      <w:r w:rsidR="00C71D7C" w:rsidRPr="009118AB">
        <w:rPr>
          <w:i/>
        </w:rPr>
        <w:t xml:space="preserve">ersetzt durch </w:t>
      </w:r>
      <w:r w:rsidR="00D67EB8" w:rsidRPr="009118AB">
        <w:rPr>
          <w:i/>
        </w:rPr>
        <w:t>Art. </w:t>
      </w:r>
      <w:r w:rsidR="00C71D7C" w:rsidRPr="009118AB">
        <w:rPr>
          <w:i/>
        </w:rPr>
        <w:t>46</w:t>
      </w:r>
      <w:r w:rsidR="00C71D7C" w:rsidRPr="009118AB">
        <w:rPr>
          <w:i/>
          <w:iCs/>
        </w:rPr>
        <w:t xml:space="preserve"> des G. vom 13. April 2019 (II) (B.S. vom 30. April 2019)</w:t>
      </w:r>
      <w:r w:rsidR="00D67EB8" w:rsidRPr="009118AB">
        <w:rPr>
          <w:i/>
          <w:iCs/>
        </w:rPr>
        <w:t> - </w:t>
      </w:r>
      <w:r w:rsidR="00C71D7C" w:rsidRPr="009118AB">
        <w:rPr>
          <w:i/>
          <w:iCs/>
        </w:rPr>
        <w:t>in Kraft am 1. Januar 2020</w:t>
      </w:r>
      <w:r w:rsidR="00FD68E8" w:rsidRPr="009118AB">
        <w:rPr>
          <w:i/>
          <w:iCs/>
        </w:rPr>
        <w:t> -]</w:t>
      </w:r>
    </w:p>
    <w:p w14:paraId="7686B49D" w14:textId="77777777" w:rsidR="00D3424B" w:rsidRPr="009118AB" w:rsidRDefault="00D3424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CBDDA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20DA302" w14:textId="33D357F4" w:rsidR="00477B8F" w:rsidRPr="009118AB" w:rsidRDefault="00477B8F"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393</w:t>
      </w:r>
      <w:r w:rsidRPr="009118AB">
        <w:rPr>
          <w:b/>
          <w:bCs/>
          <w:i/>
          <w:iCs/>
        </w:rPr>
        <w:t>bis</w:t>
      </w:r>
      <w:r w:rsidR="00D67EB8" w:rsidRPr="009118AB">
        <w:t> - </w:t>
      </w:r>
      <w:r w:rsidR="00C71D7C" w:rsidRPr="009118AB">
        <w:t>[...]</w:t>
      </w:r>
      <w:r w:rsidRPr="009118AB">
        <w:t>]</w:t>
      </w:r>
    </w:p>
    <w:p w14:paraId="003358B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DE7DC1" w14:textId="5FE6BD5A" w:rsidR="00DE28B2"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iCs/>
          <w:spacing w:val="2"/>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393bis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6 des G. vom 4. Mai 199</w:t>
      </w:r>
      <w:r w:rsidR="00B64F05" w:rsidRPr="009118AB">
        <w:rPr>
          <w:rFonts w:ascii="Times New Roman Italique" w:hAnsi="Times New Roman Italique"/>
          <w:i/>
          <w:iCs/>
          <w:spacing w:val="2"/>
        </w:rPr>
        <w:t>9 (I) (B.S. vom 4. Juni 1999)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1999</w:t>
      </w:r>
      <w:r w:rsidR="00D67EB8" w:rsidRPr="009118AB">
        <w:rPr>
          <w:rFonts w:ascii="Times New Roman Italique" w:hAnsi="Times New Roman Italique"/>
          <w:i/>
          <w:iCs/>
          <w:spacing w:val="2"/>
        </w:rPr>
        <w:t> - </w:t>
      </w:r>
      <w:r w:rsidR="00C71D7C" w:rsidRPr="009118AB">
        <w:rPr>
          <w:rFonts w:ascii="Times New Roman Italique" w:hAnsi="Times New Roman Italique"/>
          <w:i/>
          <w:iCs/>
          <w:spacing w:val="2"/>
        </w:rPr>
        <w:t xml:space="preserve">und aufgehoben durch </w:t>
      </w:r>
      <w:r w:rsidR="00D67EB8" w:rsidRPr="009118AB">
        <w:rPr>
          <w:rFonts w:ascii="Times New Roman Italique" w:hAnsi="Times New Roman Italique"/>
          <w:i/>
          <w:iCs/>
          <w:spacing w:val="2"/>
        </w:rPr>
        <w:t>Art. </w:t>
      </w:r>
      <w:r w:rsidR="00C71D7C" w:rsidRPr="009118AB">
        <w:rPr>
          <w:rFonts w:ascii="Times New Roman Italique" w:hAnsi="Times New Roman Italique"/>
          <w:i/>
          <w:iCs/>
          <w:spacing w:val="2"/>
        </w:rPr>
        <w:t>47</w:t>
      </w:r>
      <w:r w:rsidR="00C71D7C" w:rsidRPr="009118AB">
        <w:rPr>
          <w:i/>
          <w:iCs/>
        </w:rPr>
        <w:t xml:space="preserve"> des G. vom 13. April 2019 (II) (B.S. vom 30. April 2019)</w:t>
      </w:r>
      <w:r w:rsidR="00D67EB8" w:rsidRPr="009118AB">
        <w:rPr>
          <w:i/>
          <w:iCs/>
        </w:rPr>
        <w:t> - </w:t>
      </w:r>
      <w:r w:rsidR="00C71D7C" w:rsidRPr="009118AB">
        <w:rPr>
          <w:i/>
          <w:iCs/>
        </w:rPr>
        <w:t>in Kraft am 1. Januar 2020</w:t>
      </w:r>
      <w:r w:rsidR="00FD68E8" w:rsidRPr="009118AB">
        <w:rPr>
          <w:i/>
          <w:iCs/>
        </w:rPr>
        <w:t> -]</w:t>
      </w:r>
    </w:p>
    <w:p w14:paraId="73A436E9" w14:textId="77777777" w:rsidR="00C71D7C" w:rsidRPr="009118AB" w:rsidRDefault="00C71D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988454D" w14:textId="77777777" w:rsidR="00C71D7C" w:rsidRPr="009118AB" w:rsidRDefault="00C71D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A83AF8" w14:textId="24DB137D" w:rsidR="00477B8F" w:rsidRPr="009118AB" w:rsidRDefault="00477B8F"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394</w:t>
      </w:r>
      <w:r w:rsidR="00D67EB8" w:rsidRPr="009118AB">
        <w:t> - </w:t>
      </w:r>
      <w:r w:rsidR="00C71D7C" w:rsidRPr="009118AB">
        <w:t>[..</w:t>
      </w:r>
      <w:r w:rsidRPr="009118AB">
        <w:t>.]</w:t>
      </w:r>
    </w:p>
    <w:p w14:paraId="24EB33A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2A7027" w14:textId="073AE4A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394 </w:t>
      </w:r>
      <w:r w:rsidR="00FB1BCC" w:rsidRPr="009118AB">
        <w:rPr>
          <w:i/>
          <w:iCs/>
        </w:rPr>
        <w:t xml:space="preserve">aufgehoben durch </w:t>
      </w:r>
      <w:r w:rsidR="00D67EB8" w:rsidRPr="009118AB">
        <w:rPr>
          <w:i/>
          <w:iCs/>
        </w:rPr>
        <w:t>Art. </w:t>
      </w:r>
      <w:r w:rsidR="00FB1BCC" w:rsidRPr="009118AB">
        <w:rPr>
          <w:i/>
          <w:iCs/>
        </w:rPr>
        <w:t>48 des G. vom 13. April 2019 (II) (B.S. vom 30. April 2019)</w:t>
      </w:r>
      <w:r w:rsidR="00D67EB8" w:rsidRPr="009118AB">
        <w:rPr>
          <w:i/>
          <w:iCs/>
        </w:rPr>
        <w:t> - </w:t>
      </w:r>
      <w:r w:rsidR="00FB1BCC" w:rsidRPr="009118AB">
        <w:rPr>
          <w:i/>
          <w:iCs/>
        </w:rPr>
        <w:t>in Kraft am 1. Januar 2020</w:t>
      </w:r>
      <w:r w:rsidR="00FD68E8" w:rsidRPr="009118AB">
        <w:rPr>
          <w:i/>
          <w:iCs/>
        </w:rPr>
        <w:t> -]</w:t>
      </w:r>
    </w:p>
    <w:p w14:paraId="6D1D6F1E" w14:textId="77777777" w:rsidR="00A22F80" w:rsidRPr="009118AB" w:rsidRDefault="00A22F8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1D3CC1EB" w14:textId="77777777" w:rsidR="00A22F80" w:rsidRPr="009118AB" w:rsidRDefault="00A22F8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E81D20" w14:textId="1606006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394</w:t>
      </w:r>
      <w:r w:rsidRPr="009118AB">
        <w:rPr>
          <w:b/>
          <w:bCs/>
          <w:i/>
          <w:iCs/>
        </w:rPr>
        <w:t>bis</w:t>
      </w:r>
      <w:r w:rsidR="00D67EB8" w:rsidRPr="009118AB">
        <w:t> - </w:t>
      </w:r>
      <w:r w:rsidRPr="009118AB">
        <w:t>[</w:t>
      </w:r>
      <w:r w:rsidR="00FB1BCC" w:rsidRPr="009118AB">
        <w:t>..</w:t>
      </w:r>
      <w:r w:rsidRPr="009118AB">
        <w:t>.]]</w:t>
      </w:r>
    </w:p>
    <w:p w14:paraId="69B23CC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5D26433" w14:textId="507BE69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394bis eingefügt durch </w:t>
      </w:r>
      <w:r w:rsidR="00D67EB8" w:rsidRPr="009118AB">
        <w:rPr>
          <w:i/>
          <w:iCs/>
        </w:rPr>
        <w:t>Art. </w:t>
      </w:r>
      <w:r w:rsidRPr="009118AB">
        <w:rPr>
          <w:i/>
          <w:iCs/>
        </w:rPr>
        <w:t>37 des G. vom 28. Jul</w:t>
      </w:r>
      <w:r w:rsidR="00FB1BCC" w:rsidRPr="009118AB">
        <w:rPr>
          <w:i/>
          <w:iCs/>
        </w:rPr>
        <w:t>i 1992 (B.S. vom 31. Juli 1992) und</w:t>
      </w:r>
      <w:r w:rsidRPr="009118AB">
        <w:rPr>
          <w:i/>
          <w:iCs/>
        </w:rPr>
        <w:t xml:space="preserve"> aufgehoben durch </w:t>
      </w:r>
      <w:r w:rsidR="00D67EB8" w:rsidRPr="009118AB">
        <w:rPr>
          <w:i/>
          <w:iCs/>
        </w:rPr>
        <w:t>Art. </w:t>
      </w:r>
      <w:r w:rsidR="00FB1BCC" w:rsidRPr="009118AB">
        <w:rPr>
          <w:i/>
          <w:iCs/>
        </w:rPr>
        <w:t>49 des G. vom 13. April 2019 (II) (B.S. vom 30. April 2019)</w:t>
      </w:r>
      <w:r w:rsidR="00D67EB8" w:rsidRPr="009118AB">
        <w:rPr>
          <w:i/>
          <w:iCs/>
        </w:rPr>
        <w:t> - </w:t>
      </w:r>
      <w:r w:rsidR="00FB1BCC" w:rsidRPr="009118AB">
        <w:rPr>
          <w:i/>
          <w:iCs/>
        </w:rPr>
        <w:t>in Kraft am 1. Januar 2020</w:t>
      </w:r>
      <w:r w:rsidR="00FD68E8" w:rsidRPr="009118AB">
        <w:rPr>
          <w:i/>
          <w:iCs/>
        </w:rPr>
        <w:t> -]</w:t>
      </w:r>
    </w:p>
    <w:p w14:paraId="235AE46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0F9F2A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DECE54" w14:textId="39132D9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395</w:t>
      </w:r>
      <w:r w:rsidR="00D67EB8" w:rsidRPr="009118AB">
        <w:t> - </w:t>
      </w:r>
      <w:r w:rsidR="00FB1BCC" w:rsidRPr="009118AB">
        <w:t>[...]</w:t>
      </w:r>
    </w:p>
    <w:p w14:paraId="60B14BF2" w14:textId="0CBB6F90" w:rsidR="00FB1BCC" w:rsidRPr="009118AB" w:rsidRDefault="00FB1B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B3A954" w14:textId="7801399E" w:rsidR="00FB1BCC" w:rsidRPr="009118AB" w:rsidRDefault="00FB1B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395 aufgehoben durch </w:t>
      </w:r>
      <w:r w:rsidR="00D67EB8" w:rsidRPr="009118AB">
        <w:rPr>
          <w:i/>
        </w:rPr>
        <w:t>Art. </w:t>
      </w:r>
      <w:r w:rsidRPr="009118AB">
        <w:rPr>
          <w:i/>
        </w:rPr>
        <w:t>50</w:t>
      </w:r>
      <w:r w:rsidRPr="009118AB">
        <w:rPr>
          <w:i/>
          <w:iCs/>
        </w:rPr>
        <w:t xml:space="preserve"> des G. vom 13. April 2019 (II) (B.S. vom 30. April 2019)</w:t>
      </w:r>
      <w:r w:rsidR="00D67EB8" w:rsidRPr="009118AB">
        <w:rPr>
          <w:i/>
          <w:iCs/>
        </w:rPr>
        <w:t> - </w:t>
      </w:r>
      <w:r w:rsidRPr="009118AB">
        <w:rPr>
          <w:i/>
          <w:iCs/>
        </w:rPr>
        <w:t>in Kraft am 1. Januar 2020</w:t>
      </w:r>
      <w:r w:rsidR="00FD68E8" w:rsidRPr="009118AB">
        <w:rPr>
          <w:i/>
          <w:iCs/>
        </w:rPr>
        <w:t> -]</w:t>
      </w:r>
    </w:p>
    <w:p w14:paraId="619E487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4E5F1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9A38E43" w14:textId="59F0344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396</w:t>
      </w:r>
      <w:r w:rsidR="00D67EB8" w:rsidRPr="009118AB">
        <w:t> - </w:t>
      </w:r>
      <w:r w:rsidR="00FB1BCC" w:rsidRPr="009118AB">
        <w:t>[...]</w:t>
      </w:r>
    </w:p>
    <w:p w14:paraId="0295790F" w14:textId="2C80E83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C1DBE06" w14:textId="1126B493" w:rsidR="00FB1BCC" w:rsidRPr="009118AB"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396 aufgehoben durch </w:t>
      </w:r>
      <w:r w:rsidR="00D67EB8" w:rsidRPr="009118AB">
        <w:rPr>
          <w:i/>
        </w:rPr>
        <w:t>Art. </w:t>
      </w:r>
      <w:r w:rsidRPr="009118AB">
        <w:rPr>
          <w:i/>
        </w:rPr>
        <w:t>51</w:t>
      </w:r>
      <w:r w:rsidRPr="009118AB">
        <w:rPr>
          <w:i/>
          <w:iCs/>
        </w:rPr>
        <w:t xml:space="preserve"> des G. vom 13. April 2019 (II) (B.S. vom 30. April 2019)</w:t>
      </w:r>
      <w:r w:rsidR="00D67EB8" w:rsidRPr="009118AB">
        <w:rPr>
          <w:i/>
          <w:iCs/>
        </w:rPr>
        <w:t> - </w:t>
      </w:r>
      <w:r w:rsidRPr="009118AB">
        <w:rPr>
          <w:i/>
          <w:iCs/>
        </w:rPr>
        <w:t>in Kraft am 1. Januar 2020</w:t>
      </w:r>
      <w:r w:rsidR="00FD68E8" w:rsidRPr="009118AB">
        <w:rPr>
          <w:i/>
          <w:iCs/>
        </w:rPr>
        <w:t> -]</w:t>
      </w:r>
    </w:p>
    <w:p w14:paraId="6858E0D0" w14:textId="77777777" w:rsidR="00FB1BCC" w:rsidRPr="009118AB" w:rsidRDefault="00FB1B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51EA5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E3D3FE0" w14:textId="62EC4C80" w:rsidR="00FB1BCC" w:rsidRPr="009118AB" w:rsidRDefault="00477B8F"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397</w:t>
      </w:r>
      <w:r w:rsidR="00D67EB8" w:rsidRPr="009118AB">
        <w:t> - </w:t>
      </w:r>
      <w:r w:rsidR="00FB1BCC" w:rsidRPr="009118AB">
        <w:t>[...]</w:t>
      </w:r>
    </w:p>
    <w:p w14:paraId="54FDF276" w14:textId="2E0B9AC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C07B735" w14:textId="744AD3EF" w:rsidR="00FB1BCC" w:rsidRPr="009118AB"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397 aufgehoben durch </w:t>
      </w:r>
      <w:r w:rsidR="00D67EB8" w:rsidRPr="009118AB">
        <w:rPr>
          <w:i/>
        </w:rPr>
        <w:t>Art. </w:t>
      </w:r>
      <w:r w:rsidRPr="009118AB">
        <w:rPr>
          <w:i/>
        </w:rPr>
        <w:t>52</w:t>
      </w:r>
      <w:r w:rsidRPr="009118AB">
        <w:rPr>
          <w:i/>
          <w:iCs/>
        </w:rPr>
        <w:t xml:space="preserve"> des G. vom 13. April 2019 (II) (B.S. vom 30. April 2019)</w:t>
      </w:r>
      <w:r w:rsidR="00D67EB8" w:rsidRPr="009118AB">
        <w:rPr>
          <w:i/>
          <w:iCs/>
        </w:rPr>
        <w:t> - </w:t>
      </w:r>
      <w:r w:rsidRPr="009118AB">
        <w:rPr>
          <w:i/>
          <w:iCs/>
        </w:rPr>
        <w:t>in Kraft am 1. Januar 2020</w:t>
      </w:r>
      <w:r w:rsidR="00FD68E8" w:rsidRPr="009118AB">
        <w:rPr>
          <w:i/>
          <w:iCs/>
        </w:rPr>
        <w:t> -]</w:t>
      </w:r>
    </w:p>
    <w:p w14:paraId="412EEA6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E442A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2648213" w14:textId="03448E93" w:rsidR="00FB1BCC" w:rsidRPr="009118AB" w:rsidRDefault="00477B8F"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398</w:t>
      </w:r>
      <w:r w:rsidR="00D67EB8" w:rsidRPr="009118AB">
        <w:t> - </w:t>
      </w:r>
      <w:r w:rsidR="00FB1BCC" w:rsidRPr="009118AB">
        <w:t>[...]</w:t>
      </w:r>
    </w:p>
    <w:p w14:paraId="1E5230AB" w14:textId="14DF153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86DBD9E" w14:textId="32E3A70D" w:rsidR="00FB1BCC" w:rsidRPr="009118AB"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398 aufgehoben durch </w:t>
      </w:r>
      <w:r w:rsidR="00D67EB8" w:rsidRPr="009118AB">
        <w:rPr>
          <w:i/>
        </w:rPr>
        <w:t>Art. </w:t>
      </w:r>
      <w:r w:rsidRPr="009118AB">
        <w:rPr>
          <w:i/>
        </w:rPr>
        <w:t>53</w:t>
      </w:r>
      <w:r w:rsidRPr="009118AB">
        <w:rPr>
          <w:i/>
          <w:iCs/>
        </w:rPr>
        <w:t xml:space="preserve"> des G. vom 13. April 2019 (II) (B.S. vom 30. April 2019)</w:t>
      </w:r>
      <w:r w:rsidR="00D67EB8" w:rsidRPr="009118AB">
        <w:rPr>
          <w:i/>
          <w:iCs/>
        </w:rPr>
        <w:t> - </w:t>
      </w:r>
      <w:r w:rsidRPr="009118AB">
        <w:rPr>
          <w:i/>
          <w:iCs/>
        </w:rPr>
        <w:t>in Kraft am 1. Januar 2020</w:t>
      </w:r>
      <w:r w:rsidR="00FD68E8" w:rsidRPr="009118AB">
        <w:rPr>
          <w:i/>
          <w:iCs/>
        </w:rPr>
        <w:t> -]</w:t>
      </w:r>
    </w:p>
    <w:p w14:paraId="4D3D40EF" w14:textId="77777777" w:rsidR="00FB1BCC" w:rsidRPr="009118AB" w:rsidRDefault="00FB1B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21C16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4063A00" w14:textId="366C69B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399</w:t>
      </w:r>
      <w:r w:rsidR="00D67EB8" w:rsidRPr="009118AB">
        <w:t> - </w:t>
      </w:r>
      <w:r w:rsidR="00CE0B48" w:rsidRPr="009118AB">
        <w:t>[</w:t>
      </w:r>
      <w:r w:rsidR="00FB1BCC" w:rsidRPr="009118AB">
        <w:t>..]</w:t>
      </w:r>
    </w:p>
    <w:p w14:paraId="0A0F1F85" w14:textId="77777777" w:rsidR="00CE0B48" w:rsidRPr="009118AB" w:rsidRDefault="00CE0B4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B3D00C7" w14:textId="3D4A553C" w:rsidR="00FB1BCC" w:rsidRPr="009118AB"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118AB">
        <w:rPr>
          <w:i/>
        </w:rPr>
        <w:t>[</w:t>
      </w:r>
      <w:r w:rsidR="00D67EB8" w:rsidRPr="009118AB">
        <w:rPr>
          <w:i/>
        </w:rPr>
        <w:t>Art. </w:t>
      </w:r>
      <w:r w:rsidRPr="009118AB">
        <w:rPr>
          <w:i/>
        </w:rPr>
        <w:t xml:space="preserve">399 aufgehoben durch </w:t>
      </w:r>
      <w:r w:rsidR="00D67EB8" w:rsidRPr="009118AB">
        <w:rPr>
          <w:i/>
        </w:rPr>
        <w:t>Art. </w:t>
      </w:r>
      <w:r w:rsidRPr="009118AB">
        <w:rPr>
          <w:i/>
        </w:rPr>
        <w:t>54</w:t>
      </w:r>
      <w:r w:rsidRPr="009118AB">
        <w:rPr>
          <w:i/>
          <w:iCs/>
        </w:rPr>
        <w:t xml:space="preserve"> des G. vom 13. April 2019 (II) (B.S. vom 30. April 2019)</w:t>
      </w:r>
      <w:r w:rsidR="00D67EB8" w:rsidRPr="009118AB">
        <w:rPr>
          <w:i/>
          <w:iCs/>
        </w:rPr>
        <w:t> - </w:t>
      </w:r>
      <w:r w:rsidRPr="009118AB">
        <w:rPr>
          <w:i/>
          <w:iCs/>
        </w:rPr>
        <w:t>in Kraft am 1. Januar 2020</w:t>
      </w:r>
      <w:r w:rsidR="00FD68E8" w:rsidRPr="009118AB">
        <w:rPr>
          <w:i/>
          <w:iCs/>
        </w:rPr>
        <w:t> -]</w:t>
      </w:r>
    </w:p>
    <w:p w14:paraId="2DEC162D" w14:textId="77777777" w:rsidR="00B051A2" w:rsidRPr="009118AB" w:rsidRDefault="00B051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51B7FB5" w14:textId="77777777" w:rsidR="00B051A2" w:rsidRPr="009118AB" w:rsidRDefault="00B051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FF27E9" w14:textId="15A1DA5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399</w:t>
      </w:r>
      <w:r w:rsidRPr="009118AB">
        <w:rPr>
          <w:b/>
          <w:bCs/>
          <w:i/>
          <w:iCs/>
        </w:rPr>
        <w:t>bis</w:t>
      </w:r>
      <w:r w:rsidR="00D67EB8" w:rsidRPr="009118AB">
        <w:t> - </w:t>
      </w:r>
      <w:r w:rsidR="00F7442D" w:rsidRPr="009118AB">
        <w:t>[</w:t>
      </w:r>
      <w:r w:rsidR="00FB1BCC" w:rsidRPr="009118AB">
        <w:t>..</w:t>
      </w:r>
      <w:r w:rsidR="00F7442D" w:rsidRPr="009118AB">
        <w:t>.]</w:t>
      </w:r>
      <w:r w:rsidRPr="009118AB">
        <w:t>]</w:t>
      </w:r>
    </w:p>
    <w:p w14:paraId="49AAD15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2EADB5" w14:textId="17957F7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
          <w:iCs/>
        </w:rPr>
        <w:t>[</w:t>
      </w:r>
      <w:r w:rsidR="00D67EB8" w:rsidRPr="009118AB">
        <w:rPr>
          <w:i/>
          <w:iCs/>
        </w:rPr>
        <w:t>Art. </w:t>
      </w:r>
      <w:r w:rsidRPr="009118AB">
        <w:rPr>
          <w:i/>
          <w:iCs/>
        </w:rPr>
        <w:t xml:space="preserve">399bis eingefügt durch </w:t>
      </w:r>
      <w:r w:rsidR="00D67EB8" w:rsidRPr="009118AB">
        <w:rPr>
          <w:i/>
          <w:iCs/>
        </w:rPr>
        <w:t>Art. </w:t>
      </w:r>
      <w:r w:rsidRPr="009118AB">
        <w:rPr>
          <w:i/>
          <w:iCs/>
        </w:rPr>
        <w:t xml:space="preserve">120 des G. </w:t>
      </w:r>
      <w:r w:rsidR="00B051A2" w:rsidRPr="009118AB">
        <w:rPr>
          <w:i/>
          <w:iCs/>
        </w:rPr>
        <w:t xml:space="preserve">(IV) </w:t>
      </w:r>
      <w:r w:rsidRPr="009118AB">
        <w:rPr>
          <w:i/>
          <w:iCs/>
        </w:rPr>
        <w:t>vom 25. April 2007 (I) (B.S. vom 8. Mai 2007)</w:t>
      </w:r>
      <w:r w:rsidR="00D67EB8" w:rsidRPr="009118AB">
        <w:rPr>
          <w:i/>
          <w:iCs/>
        </w:rPr>
        <w:t> - </w:t>
      </w:r>
      <w:r w:rsidRPr="009118AB">
        <w:rPr>
          <w:i/>
          <w:iCs/>
        </w:rPr>
        <w:t>in Kraft ab dem 1. Mai 2007</w:t>
      </w:r>
      <w:r w:rsidR="00D67EB8" w:rsidRPr="009118AB">
        <w:rPr>
          <w:i/>
          <w:iCs/>
        </w:rPr>
        <w:t> - </w:t>
      </w:r>
      <w:r w:rsidR="00F7442D" w:rsidRPr="009118AB">
        <w:rPr>
          <w:i/>
          <w:iCs/>
        </w:rPr>
        <w:t xml:space="preserve">und </w:t>
      </w:r>
      <w:r w:rsidR="00FB1BCC" w:rsidRPr="009118AB">
        <w:rPr>
          <w:i/>
          <w:iCs/>
        </w:rPr>
        <w:t xml:space="preserve">aufgehoben durch </w:t>
      </w:r>
      <w:r w:rsidR="00D67EB8" w:rsidRPr="009118AB">
        <w:rPr>
          <w:i/>
          <w:iCs/>
        </w:rPr>
        <w:t>Art. </w:t>
      </w:r>
      <w:r w:rsidR="00FB1BCC" w:rsidRPr="009118AB">
        <w:rPr>
          <w:i/>
          <w:iCs/>
        </w:rPr>
        <w:t>55 des G. vom 13. April 2019 (II) (B.S. vom 30. April 2019)</w:t>
      </w:r>
      <w:r w:rsidR="00D67EB8" w:rsidRPr="009118AB">
        <w:rPr>
          <w:i/>
          <w:iCs/>
        </w:rPr>
        <w:t> - </w:t>
      </w:r>
      <w:r w:rsidR="00FB1BCC" w:rsidRPr="009118AB">
        <w:rPr>
          <w:i/>
          <w:iCs/>
        </w:rPr>
        <w:t>in Kraft am 1. Januar 2020</w:t>
      </w:r>
      <w:r w:rsidR="00FD68E8" w:rsidRPr="009118AB">
        <w:rPr>
          <w:i/>
          <w:iCs/>
        </w:rPr>
        <w:t> -]</w:t>
      </w:r>
    </w:p>
    <w:p w14:paraId="4ECAD930" w14:textId="77777777" w:rsidR="00023B3A" w:rsidRPr="009118AB" w:rsidRDefault="00023B3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6FAD782" w14:textId="77777777" w:rsidR="00023B3A" w:rsidRPr="009118AB" w:rsidRDefault="00023B3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702A8498" w14:textId="1AEC667B" w:rsidR="00023B3A" w:rsidRPr="009118AB" w:rsidRDefault="00B20101"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023B3A" w:rsidRPr="009118AB">
        <w:t>[</w:t>
      </w:r>
      <w:r w:rsidR="00D67EB8" w:rsidRPr="009118AB">
        <w:rPr>
          <w:b/>
          <w:iCs/>
        </w:rPr>
        <w:t>Art. </w:t>
      </w:r>
      <w:r w:rsidR="00023B3A" w:rsidRPr="009118AB">
        <w:rPr>
          <w:b/>
          <w:iCs/>
        </w:rPr>
        <w:t>399</w:t>
      </w:r>
      <w:r w:rsidR="00023B3A" w:rsidRPr="009118AB">
        <w:rPr>
          <w:b/>
          <w:i/>
          <w:iCs/>
        </w:rPr>
        <w:t>ter</w:t>
      </w:r>
      <w:r w:rsidR="00D67EB8" w:rsidRPr="009118AB">
        <w:rPr>
          <w:iCs/>
        </w:rPr>
        <w:t> - </w:t>
      </w:r>
      <w:r w:rsidR="00CE0B48" w:rsidRPr="009118AB">
        <w:rPr>
          <w:iCs/>
        </w:rPr>
        <w:t>[</w:t>
      </w:r>
      <w:r w:rsidR="00FB1BCC" w:rsidRPr="009118AB">
        <w:t>..</w:t>
      </w:r>
      <w:r w:rsidR="00CE0B48" w:rsidRPr="009118AB">
        <w:t>.</w:t>
      </w:r>
      <w:r w:rsidR="00CE0B48" w:rsidRPr="009118AB">
        <w:rPr>
          <w:iCs/>
        </w:rPr>
        <w:t>]</w:t>
      </w:r>
      <w:r w:rsidR="00023B3A" w:rsidRPr="009118AB">
        <w:rPr>
          <w:iCs/>
        </w:rPr>
        <w:t>]</w:t>
      </w:r>
    </w:p>
    <w:p w14:paraId="2A2DAA6A" w14:textId="77777777" w:rsidR="00023B3A" w:rsidRPr="009118AB" w:rsidRDefault="00023B3A"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4EF6D44" w14:textId="53B2CF1D" w:rsidR="00023B3A" w:rsidRPr="009118AB" w:rsidRDefault="00023B3A"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
          <w:iCs/>
        </w:rPr>
        <w:t>[</w:t>
      </w:r>
      <w:r w:rsidR="00D67EB8" w:rsidRPr="009118AB">
        <w:rPr>
          <w:i/>
          <w:iCs/>
        </w:rPr>
        <w:t>Art. </w:t>
      </w:r>
      <w:r w:rsidRPr="009118AB">
        <w:rPr>
          <w:i/>
          <w:iCs/>
        </w:rPr>
        <w:t xml:space="preserve">399ter eingefügt durch </w:t>
      </w:r>
      <w:r w:rsidR="00D67EB8" w:rsidRPr="009118AB">
        <w:rPr>
          <w:i/>
          <w:iCs/>
        </w:rPr>
        <w:t>Art. </w:t>
      </w:r>
      <w:r w:rsidRPr="009118AB">
        <w:rPr>
          <w:i/>
          <w:iCs/>
        </w:rPr>
        <w:t>34</w:t>
      </w:r>
      <w:r w:rsidRPr="009118AB">
        <w:rPr>
          <w:i/>
          <w:iCs/>
          <w:spacing w:val="-5"/>
        </w:rPr>
        <w:t xml:space="preserve"> des G. vom 11. Dezember 2008 (B.S. vom 12. Januar 2009)</w:t>
      </w:r>
      <w:r w:rsidR="00D67EB8" w:rsidRPr="009118AB">
        <w:rPr>
          <w:i/>
          <w:iCs/>
          <w:spacing w:val="-5"/>
        </w:rPr>
        <w:t> - </w:t>
      </w:r>
      <w:r w:rsidRPr="009118AB">
        <w:rPr>
          <w:i/>
          <w:iCs/>
        </w:rPr>
        <w:t>anwendbar auf Vorgänge oder Verlegungen, die ab dem 12. Januar 2009 statt</w:t>
      </w:r>
      <w:r w:rsidRPr="009118AB">
        <w:rPr>
          <w:i/>
          <w:iCs/>
        </w:rPr>
        <w:softHyphen/>
        <w:t>finden</w:t>
      </w:r>
      <w:r w:rsidR="00D67EB8" w:rsidRPr="009118AB">
        <w:rPr>
          <w:i/>
          <w:iCs/>
        </w:rPr>
        <w:t> - </w:t>
      </w:r>
      <w:r w:rsidR="00CE0B48" w:rsidRPr="009118AB">
        <w:rPr>
          <w:i/>
          <w:iCs/>
        </w:rPr>
        <w:t xml:space="preserve">und </w:t>
      </w:r>
      <w:r w:rsidR="00FB1BCC" w:rsidRPr="009118AB">
        <w:rPr>
          <w:i/>
          <w:iCs/>
        </w:rPr>
        <w:t xml:space="preserve">aufgehoben durch </w:t>
      </w:r>
      <w:r w:rsidR="00D67EB8" w:rsidRPr="009118AB">
        <w:rPr>
          <w:i/>
          <w:iCs/>
        </w:rPr>
        <w:t>Art. </w:t>
      </w:r>
      <w:r w:rsidR="00FB1BCC" w:rsidRPr="009118AB">
        <w:rPr>
          <w:i/>
          <w:iCs/>
        </w:rPr>
        <w:t>56 des G. vom 13. April 2019 (II) (B.S. vom 30. April 2019)</w:t>
      </w:r>
      <w:r w:rsidR="00D67EB8" w:rsidRPr="009118AB">
        <w:rPr>
          <w:i/>
          <w:iCs/>
        </w:rPr>
        <w:t> - </w:t>
      </w:r>
      <w:r w:rsidR="00FB1BCC" w:rsidRPr="009118AB">
        <w:rPr>
          <w:i/>
          <w:iCs/>
        </w:rPr>
        <w:t>in Kraft am 1. Januar 2020</w:t>
      </w:r>
      <w:r w:rsidR="00FD68E8" w:rsidRPr="009118AB">
        <w:rPr>
          <w:i/>
          <w:iCs/>
        </w:rPr>
        <w:t> -]</w:t>
      </w:r>
    </w:p>
    <w:p w14:paraId="53F2FDC3" w14:textId="77777777" w:rsidR="00CE0B48" w:rsidRPr="009118AB"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BFE0712" w14:textId="77777777" w:rsidR="00CE0B48" w:rsidRPr="009118AB"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CDB9484" w14:textId="77777777" w:rsidR="00FB1BCC" w:rsidRPr="009118AB" w:rsidRDefault="00FB1BCC">
      <w:pPr>
        <w:rPr>
          <w:iCs/>
        </w:rPr>
      </w:pPr>
      <w:r w:rsidRPr="009118AB">
        <w:rPr>
          <w:iCs/>
        </w:rPr>
        <w:br w:type="page"/>
      </w:r>
    </w:p>
    <w:p w14:paraId="4B62003A" w14:textId="76BB4EFD" w:rsidR="00CE0B48" w:rsidRPr="009118AB"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t>[</w:t>
      </w:r>
      <w:r w:rsidR="00D67EB8" w:rsidRPr="009118AB">
        <w:rPr>
          <w:b/>
        </w:rPr>
        <w:t>Art. </w:t>
      </w:r>
      <w:r w:rsidRPr="009118AB">
        <w:rPr>
          <w:b/>
        </w:rPr>
        <w:t>399</w:t>
      </w:r>
      <w:r w:rsidRPr="009118AB">
        <w:rPr>
          <w:b/>
          <w:i/>
        </w:rPr>
        <w:t>quater</w:t>
      </w:r>
      <w:r w:rsidR="00D67EB8" w:rsidRPr="009118AB">
        <w:t> - </w:t>
      </w:r>
      <w:r w:rsidR="002F776B" w:rsidRPr="009118AB">
        <w:t>[</w:t>
      </w:r>
      <w:r w:rsidRPr="009118AB">
        <w:t>.</w:t>
      </w:r>
      <w:r w:rsidR="002F776B" w:rsidRPr="009118AB">
        <w:t>..]</w:t>
      </w:r>
      <w:r w:rsidRPr="009118AB">
        <w:rPr>
          <w:iCs/>
        </w:rPr>
        <w:t>]</w:t>
      </w:r>
    </w:p>
    <w:p w14:paraId="377CC41E" w14:textId="77777777" w:rsidR="00CE0B48" w:rsidRPr="009118AB"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87C7D3A" w14:textId="7B3CEF3C" w:rsidR="00CE0B48" w:rsidRPr="009118AB"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399quater eingefügt durch </w:t>
      </w:r>
      <w:r w:rsidR="00D67EB8" w:rsidRPr="009118AB">
        <w:rPr>
          <w:i/>
          <w:iCs/>
        </w:rPr>
        <w:t>Art. </w:t>
      </w:r>
      <w:r w:rsidRPr="009118AB">
        <w:rPr>
          <w:i/>
          <w:iCs/>
        </w:rPr>
        <w:t>77</w:t>
      </w:r>
      <w:r w:rsidRPr="009118AB">
        <w:rPr>
          <w:i/>
          <w:iCs/>
          <w:spacing w:val="-2"/>
        </w:rPr>
        <w:t xml:space="preserve"> des G. vom 17. März 2019 (III) (B.S. vom 10. Mai 2019)</w:t>
      </w:r>
      <w:r w:rsidR="00D67EB8" w:rsidRPr="009118AB">
        <w:rPr>
          <w:i/>
          <w:iCs/>
          <w:spacing w:val="-2"/>
        </w:rPr>
        <w:t> - </w:t>
      </w:r>
      <w:r w:rsidRPr="009118AB">
        <w:rPr>
          <w:i/>
          <w:iCs/>
          <w:spacing w:val="-2"/>
        </w:rPr>
        <w:t>in Kraft am 1. Mai 2019</w:t>
      </w:r>
      <w:r w:rsidR="00D67EB8" w:rsidRPr="009118AB">
        <w:rPr>
          <w:i/>
          <w:iCs/>
          <w:spacing w:val="-2"/>
        </w:rPr>
        <w:t> - </w:t>
      </w:r>
      <w:r w:rsidR="002F776B" w:rsidRPr="009118AB">
        <w:rPr>
          <w:i/>
          <w:iCs/>
          <w:spacing w:val="-2"/>
        </w:rPr>
        <w:t xml:space="preserve">und aufgehoben durch </w:t>
      </w:r>
      <w:r w:rsidR="00D67EB8" w:rsidRPr="009118AB">
        <w:rPr>
          <w:i/>
          <w:iCs/>
          <w:spacing w:val="-2"/>
        </w:rPr>
        <w:t>Art. </w:t>
      </w:r>
      <w:r w:rsidR="002F776B" w:rsidRPr="009118AB">
        <w:rPr>
          <w:i/>
          <w:iCs/>
          <w:spacing w:val="-2"/>
        </w:rPr>
        <w:t>22</w:t>
      </w:r>
      <w:r w:rsidR="002F776B" w:rsidRPr="009118AB">
        <w:rPr>
          <w:i/>
        </w:rPr>
        <w:t xml:space="preserve"> des G. vom 20. Dezember 2021 (B.S. vom 28. Dezember 2021)</w:t>
      </w:r>
      <w:r w:rsidRPr="009118AB">
        <w:rPr>
          <w:i/>
          <w:iCs/>
          <w:spacing w:val="-2"/>
        </w:rPr>
        <w:t>]</w:t>
      </w:r>
    </w:p>
    <w:p w14:paraId="603F8B7D" w14:textId="77777777" w:rsidR="00023B3A" w:rsidRPr="009118AB" w:rsidRDefault="00023B3A"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D726B0" w14:textId="43B8996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00FB1BCC" w:rsidRPr="009118AB">
        <w:t>[</w:t>
      </w:r>
      <w:r w:rsidRPr="009118AB">
        <w:rPr>
          <w:i/>
          <w:iCs/>
        </w:rPr>
        <w:t>Abschnitt </w:t>
      </w:r>
      <w:r w:rsidR="006B602F" w:rsidRPr="009118AB">
        <w:rPr>
          <w:i/>
          <w:iCs/>
        </w:rPr>
        <w:t>2</w:t>
      </w:r>
      <w:r w:rsidR="00D67EB8" w:rsidRPr="009118AB">
        <w:t> - </w:t>
      </w:r>
      <w:r w:rsidR="00EE6092" w:rsidRPr="009118AB">
        <w:t>[</w:t>
      </w:r>
      <w:r w:rsidR="00FB1BCC" w:rsidRPr="009118AB">
        <w:t>...</w:t>
      </w:r>
      <w:r w:rsidR="00EE6092" w:rsidRPr="009118AB">
        <w:t>]</w:t>
      </w:r>
    </w:p>
    <w:p w14:paraId="58F3CD1B" w14:textId="77777777" w:rsidR="00477B8F" w:rsidRPr="009118AB" w:rsidRDefault="00477B8F" w:rsidP="00EE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10743B" w14:textId="2B9E8749" w:rsidR="00EE6092" w:rsidRPr="009118AB" w:rsidRDefault="00EE6092" w:rsidP="00EE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 xml:space="preserve">[Abschnitt </w:t>
      </w:r>
      <w:r w:rsidR="006B602F" w:rsidRPr="009118AB">
        <w:rPr>
          <w:i/>
        </w:rPr>
        <w:t>2</w:t>
      </w:r>
      <w:r w:rsidRPr="009118AB">
        <w:rPr>
          <w:i/>
        </w:rPr>
        <w:t xml:space="preserve"> </w:t>
      </w:r>
      <w:r w:rsidR="00FB1BCC" w:rsidRPr="009118AB">
        <w:rPr>
          <w:i/>
        </w:rPr>
        <w:t xml:space="preserve">mit den Artikeln 400 bis 408 aufgehoben durch </w:t>
      </w:r>
      <w:r w:rsidR="00D67EB8" w:rsidRPr="009118AB">
        <w:rPr>
          <w:i/>
        </w:rPr>
        <w:t>Art. </w:t>
      </w:r>
      <w:r w:rsidR="00FB1BCC" w:rsidRPr="009118AB">
        <w:rPr>
          <w:i/>
        </w:rPr>
        <w:t>57</w:t>
      </w:r>
      <w:r w:rsidR="00FB1BCC" w:rsidRPr="009118AB">
        <w:rPr>
          <w:i/>
          <w:iCs/>
        </w:rPr>
        <w:t xml:space="preserve"> des G. vom 13. April 2019 (II) (B.S. vom 30. April 2019)</w:t>
      </w:r>
      <w:r w:rsidR="00D67EB8" w:rsidRPr="009118AB">
        <w:rPr>
          <w:i/>
          <w:iCs/>
        </w:rPr>
        <w:t> - </w:t>
      </w:r>
      <w:r w:rsidR="00FB1BCC" w:rsidRPr="009118AB">
        <w:rPr>
          <w:i/>
          <w:iCs/>
        </w:rPr>
        <w:t>in Kraft am 1. Januar 2020</w:t>
      </w:r>
      <w:r w:rsidR="00FD68E8" w:rsidRPr="009118AB">
        <w:rPr>
          <w:i/>
          <w:iCs/>
        </w:rPr>
        <w:t> -]</w:t>
      </w:r>
    </w:p>
    <w:p w14:paraId="3E47BE32" w14:textId="77777777" w:rsidR="00B67692" w:rsidRPr="009118AB" w:rsidRDefault="00B67692" w:rsidP="00EE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615857EF" w14:textId="77777777" w:rsidR="00317F09" w:rsidRPr="009118AB" w:rsidRDefault="00317F09" w:rsidP="00317F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C82D1C" w14:textId="3AF82F4F" w:rsidR="00FB1BCC"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00864AF5" w:rsidRPr="009118AB">
        <w:rPr>
          <w:b/>
          <w:bCs/>
        </w:rPr>
        <w:t>400</w:t>
      </w:r>
      <w:r w:rsidR="00D67EB8" w:rsidRPr="009118AB">
        <w:t> - </w:t>
      </w:r>
      <w:r w:rsidR="00FB1BCC" w:rsidRPr="009118AB">
        <w:rPr>
          <w:b/>
        </w:rPr>
        <w:t>408</w:t>
      </w:r>
      <w:r w:rsidR="00D67EB8" w:rsidRPr="009118AB">
        <w:t> - </w:t>
      </w:r>
      <w:r w:rsidR="00FB1BCC" w:rsidRPr="009118AB">
        <w:t>[...</w:t>
      </w:r>
      <w:r w:rsidR="00937076" w:rsidRPr="009118AB">
        <w:t>]</w:t>
      </w:r>
      <w:r w:rsidR="00FB1BCC" w:rsidRPr="009118AB">
        <w:t>]</w:t>
      </w:r>
    </w:p>
    <w:p w14:paraId="11F05360" w14:textId="34146A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00FB1BCC" w:rsidRPr="009118AB">
        <w:t>[</w:t>
      </w:r>
      <w:r w:rsidRPr="009118AB">
        <w:rPr>
          <w:i/>
          <w:iCs/>
        </w:rPr>
        <w:t>Abschnitt </w:t>
      </w:r>
      <w:r w:rsidR="006B602F" w:rsidRPr="009118AB">
        <w:rPr>
          <w:i/>
          <w:iCs/>
        </w:rPr>
        <w:t>3</w:t>
      </w:r>
      <w:r w:rsidR="00D67EB8" w:rsidRPr="009118AB">
        <w:t> - </w:t>
      </w:r>
      <w:r w:rsidR="00FB1BCC" w:rsidRPr="009118AB">
        <w:t>[...]</w:t>
      </w:r>
    </w:p>
    <w:p w14:paraId="4BBB57A6" w14:textId="59D953F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176ABA2" w14:textId="7C0385EB" w:rsidR="00FB1BCC" w:rsidRPr="009118AB"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 xml:space="preserve">[Abschnitt 3 mit den Artikeln 409 bis 411 aufgehoben durch </w:t>
      </w:r>
      <w:r w:rsidR="00D67EB8" w:rsidRPr="009118AB">
        <w:rPr>
          <w:i/>
        </w:rPr>
        <w:t>Art. </w:t>
      </w:r>
      <w:r w:rsidRPr="009118AB">
        <w:rPr>
          <w:i/>
        </w:rPr>
        <w:t>58</w:t>
      </w:r>
      <w:r w:rsidRPr="009118AB">
        <w:rPr>
          <w:i/>
          <w:iCs/>
        </w:rPr>
        <w:t xml:space="preserve"> des G. vom 13. April 2019 (II) (B.S. vom 30. April 2019)</w:t>
      </w:r>
      <w:r w:rsidR="00D67EB8" w:rsidRPr="009118AB">
        <w:rPr>
          <w:i/>
          <w:iCs/>
        </w:rPr>
        <w:t> - </w:t>
      </w:r>
      <w:r w:rsidRPr="009118AB">
        <w:rPr>
          <w:i/>
          <w:iCs/>
        </w:rPr>
        <w:t>in Kraft am 1. Januar 2020</w:t>
      </w:r>
      <w:r w:rsidR="00FD68E8" w:rsidRPr="009118AB">
        <w:rPr>
          <w:i/>
          <w:iCs/>
        </w:rPr>
        <w:t> -]</w:t>
      </w:r>
    </w:p>
    <w:p w14:paraId="096928FC" w14:textId="77777777" w:rsidR="00FB1BCC" w:rsidRPr="009118AB"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6D1E69F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F25C65C" w14:textId="735D99FB" w:rsidR="00477B8F" w:rsidRPr="009118AB" w:rsidRDefault="00477B8F"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409</w:t>
      </w:r>
      <w:r w:rsidR="00D67EB8" w:rsidRPr="009118AB">
        <w:t> - </w:t>
      </w:r>
      <w:r w:rsidR="00FB1BCC" w:rsidRPr="009118AB">
        <w:rPr>
          <w:b/>
        </w:rPr>
        <w:t>411</w:t>
      </w:r>
      <w:r w:rsidR="00FB1BCC" w:rsidRPr="009118AB">
        <w:t xml:space="preserve">- </w:t>
      </w:r>
      <w:r w:rsidRPr="009118AB">
        <w:t>[</w:t>
      </w:r>
      <w:r w:rsidR="00FB1BCC" w:rsidRPr="009118AB">
        <w:t>..</w:t>
      </w:r>
      <w:r w:rsidRPr="009118AB">
        <w:t>.</w:t>
      </w:r>
      <w:r w:rsidR="00FB1BCC" w:rsidRPr="009118AB">
        <w:t>]]</w:t>
      </w:r>
    </w:p>
    <w:p w14:paraId="2737A04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0C80A6" w14:textId="53E0217D" w:rsidR="00477B8F" w:rsidRPr="009118AB" w:rsidRDefault="00C93D94" w:rsidP="00FB1BCC">
      <w:pPr>
        <w:jc w:val="center"/>
      </w:pPr>
      <w:r w:rsidRPr="009118AB">
        <w:br w:type="page"/>
      </w:r>
      <w:r w:rsidR="00477B8F" w:rsidRPr="009118AB">
        <w:rPr>
          <w:i/>
          <w:iCs/>
        </w:rPr>
        <w:t>Abschnitt </w:t>
      </w:r>
      <w:r w:rsidR="006B602F" w:rsidRPr="009118AB">
        <w:rPr>
          <w:i/>
          <w:iCs/>
        </w:rPr>
        <w:t>4</w:t>
      </w:r>
      <w:r w:rsidR="00D67EB8" w:rsidRPr="009118AB">
        <w:t> - </w:t>
      </w:r>
      <w:r w:rsidR="00477B8F" w:rsidRPr="009118AB">
        <w:t>[Frist für die Zahlung von Vorabzügen und Steuern]</w:t>
      </w:r>
    </w:p>
    <w:p w14:paraId="5DB02D4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AC5055B" w14:textId="4B81B35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[Überschrift von Abschnitt </w:t>
      </w:r>
      <w:r w:rsidR="006B602F" w:rsidRPr="009118AB">
        <w:rPr>
          <w:i/>
          <w:iCs/>
        </w:rPr>
        <w:t>4</w:t>
      </w:r>
      <w:r w:rsidRPr="009118AB">
        <w:rPr>
          <w:i/>
          <w:iCs/>
        </w:rPr>
        <w:t xml:space="preserve"> ersetzt durch </w:t>
      </w:r>
      <w:r w:rsidR="00D67EB8" w:rsidRPr="009118AB">
        <w:rPr>
          <w:i/>
          <w:iCs/>
        </w:rPr>
        <w:t>Art. </w:t>
      </w:r>
      <w:r w:rsidRPr="009118AB">
        <w:rPr>
          <w:i/>
          <w:iCs/>
        </w:rPr>
        <w:t>39 des G. vom 15. März 1999 (B.S. vom 27. März 1999)]</w:t>
      </w:r>
    </w:p>
    <w:p w14:paraId="036B5FB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44637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A7F670" w14:textId="1999C0B1" w:rsidR="00F25F8A" w:rsidRPr="009118AB" w:rsidRDefault="00477B8F"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118AB">
        <w:tab/>
      </w:r>
      <w:r w:rsidR="00D67EB8" w:rsidRPr="009118AB">
        <w:rPr>
          <w:b/>
          <w:bCs/>
        </w:rPr>
        <w:t>Art. </w:t>
      </w:r>
      <w:r w:rsidRPr="009118AB">
        <w:rPr>
          <w:b/>
          <w:bCs/>
        </w:rPr>
        <w:t>412</w:t>
      </w:r>
      <w:r w:rsidR="00D67EB8" w:rsidRPr="009118AB">
        <w:t> - </w:t>
      </w:r>
      <w:r w:rsidR="00F25F8A" w:rsidRPr="009118AB">
        <w:rPr>
          <w:bCs/>
        </w:rPr>
        <w:t>Der Mobiliensteuervorabzug ist innerhalb fünfzehn Tagen nach Zuerkennung oder Ausschüttung von steuerpflichtigen Einkünften zahlbar.</w:t>
      </w:r>
    </w:p>
    <w:p w14:paraId="49A6015A" w14:textId="77777777"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008EAB4C" w14:textId="4EEB100B"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118AB">
        <w:rPr>
          <w:bCs/>
        </w:rPr>
        <w:tab/>
        <w:t xml:space="preserve">Der Berufssteuervorabzug ist </w:t>
      </w:r>
      <w:r w:rsidR="00C23AF3" w:rsidRPr="009118AB">
        <w:rPr>
          <w:bCs/>
        </w:rPr>
        <w:t>[</w:t>
      </w:r>
      <w:r w:rsidR="00C23AF3" w:rsidRPr="009118AB">
        <w:t>zahlbar innerhalb fünfzehn Tagen nach Ablauf des Monats, in dem Einkünfte gezahlt oder zuerkannt wurden oder in dem der Berufssteuervorabzug als geschuldeter Berufssteuervorabzug wie erwähnt in den Artikeln 275</w:t>
      </w:r>
      <w:r w:rsidR="00C23AF3" w:rsidRPr="009118AB">
        <w:rPr>
          <w:vertAlign w:val="superscript"/>
        </w:rPr>
        <w:t>8</w:t>
      </w:r>
      <w:r w:rsidR="00C23AF3" w:rsidRPr="009118AB">
        <w:t xml:space="preserve"> </w:t>
      </w:r>
      <w:r w:rsidR="00D67EB8" w:rsidRPr="009118AB">
        <w:t>§ </w:t>
      </w:r>
      <w:r w:rsidR="00C23AF3" w:rsidRPr="009118AB">
        <w:t>1 Absatz 5 und 275</w:t>
      </w:r>
      <w:r w:rsidR="00C23AF3" w:rsidRPr="009118AB">
        <w:rPr>
          <w:vertAlign w:val="superscript"/>
        </w:rPr>
        <w:t>9</w:t>
      </w:r>
      <w:r w:rsidR="00C23AF3" w:rsidRPr="009118AB">
        <w:t xml:space="preserve"> </w:t>
      </w:r>
      <w:r w:rsidR="00D67EB8" w:rsidRPr="009118AB">
        <w:t>§ </w:t>
      </w:r>
      <w:r w:rsidR="00C23AF3" w:rsidRPr="009118AB">
        <w:t>1 Absatz 5 gilt</w:t>
      </w:r>
      <w:r w:rsidR="00C23AF3" w:rsidRPr="009118AB">
        <w:rPr>
          <w:bCs/>
        </w:rPr>
        <w:t>]</w:t>
      </w:r>
      <w:r w:rsidRPr="009118AB">
        <w:rPr>
          <w:bCs/>
        </w:rPr>
        <w:t>.</w:t>
      </w:r>
    </w:p>
    <w:p w14:paraId="7C4E2EAA" w14:textId="77777777"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5E612878" w14:textId="08D588F8"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118AB">
        <w:rPr>
          <w:bCs/>
        </w:rPr>
        <w:tab/>
        <w:t xml:space="preserve">[In Abweichung von Absatz 2 ist der Berufssteuervorabzug innerhalb fünfzehn Tagen nach Ablauf jedes Quartals, in dem Einkünfte gezahlt oder zuerkannt wurden, zahlbar, wenn der Berufssteuervorabzug in Bezug auf Einkünfte des vorhergehenden Jahres weniger als [25.000 EUR] betrug; dieser Betrag wird </w:t>
      </w:r>
      <w:r w:rsidR="00831940" w:rsidRPr="009118AB">
        <w:rPr>
          <w:bCs/>
        </w:rPr>
        <w:t>[</w:t>
      </w:r>
      <w:r w:rsidRPr="009118AB">
        <w:rPr>
          <w:bCs/>
        </w:rPr>
        <w:t>gemäß Artikel 178</w:t>
      </w:r>
      <w:r w:rsidR="00831940" w:rsidRPr="009118AB">
        <w:rPr>
          <w:bCs/>
        </w:rPr>
        <w:t xml:space="preserve"> </w:t>
      </w:r>
      <w:r w:rsidR="00D67EB8" w:rsidRPr="009118AB">
        <w:t>§ </w:t>
      </w:r>
      <w:r w:rsidR="00831940" w:rsidRPr="009118AB">
        <w:t xml:space="preserve">3 Absatz 1 </w:t>
      </w:r>
      <w:r w:rsidR="00D67EB8" w:rsidRPr="009118AB">
        <w:t>Nr. </w:t>
      </w:r>
      <w:r w:rsidR="00831940" w:rsidRPr="009118AB">
        <w:t>2]</w:t>
      </w:r>
      <w:r w:rsidRPr="009118AB">
        <w:rPr>
          <w:bCs/>
        </w:rPr>
        <w:t xml:space="preserve"> jährlich an den Verbraucherpreisindex des Königreichs angepasst.]</w:t>
      </w:r>
    </w:p>
    <w:p w14:paraId="505A5A96" w14:textId="77777777"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355201E9" w14:textId="707557B5"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118AB">
        <w:rPr>
          <w:bCs/>
        </w:rPr>
        <w:tab/>
      </w:r>
      <w:r w:rsidR="007C5435" w:rsidRPr="009118AB">
        <w:rPr>
          <w:bCs/>
        </w:rPr>
        <w:t>[...]</w:t>
      </w:r>
    </w:p>
    <w:p w14:paraId="2620242F" w14:textId="77777777"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3A18DF10" w14:textId="26D50A11"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118AB">
        <w:rPr>
          <w:bCs/>
        </w:rPr>
        <w:tab/>
        <w:t>[</w:t>
      </w:r>
      <w:r w:rsidR="007C5435" w:rsidRPr="009118AB">
        <w:rPr>
          <w:bCs/>
        </w:rPr>
        <w:t>...</w:t>
      </w:r>
      <w:r w:rsidRPr="009118AB">
        <w:rPr>
          <w:bCs/>
        </w:rPr>
        <w:t>]</w:t>
      </w:r>
    </w:p>
    <w:p w14:paraId="6732474C" w14:textId="77777777"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0EE60A53" w14:textId="367A3DFC"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118AB">
        <w:rPr>
          <w:bCs/>
        </w:rPr>
        <w:tab/>
        <w:t xml:space="preserve">[Zwangsvollstreckungen in Bezug auf die </w:t>
      </w:r>
      <w:r w:rsidR="007C5435" w:rsidRPr="009118AB">
        <w:rPr>
          <w:bCs/>
        </w:rPr>
        <w:t>[</w:t>
      </w:r>
      <w:r w:rsidRPr="009118AB">
        <w:rPr>
          <w:bCs/>
        </w:rPr>
        <w:t>in Absatz 1 bis </w:t>
      </w:r>
      <w:r w:rsidR="007C5435" w:rsidRPr="009118AB">
        <w:rPr>
          <w:bCs/>
        </w:rPr>
        <w:t>3]</w:t>
      </w:r>
      <w:r w:rsidRPr="009118AB">
        <w:rPr>
          <w:bCs/>
        </w:rPr>
        <w:t xml:space="preserve"> erwähnten Vorabzüge müssen jedoch vorher gemäß Artikel 304 in Heberollen eingetragen werden.]</w:t>
      </w:r>
    </w:p>
    <w:p w14:paraId="2A26D238" w14:textId="77777777"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2E5B6D6F" w14:textId="77777777"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118AB">
        <w:rPr>
          <w:bCs/>
        </w:rPr>
        <w:tab/>
        <w:t>[...]]</w:t>
      </w:r>
    </w:p>
    <w:p w14:paraId="048212EB" w14:textId="77777777"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0D1C81D0" w14:textId="57AB36CD" w:rsidR="00141459"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iCs/>
        </w:rPr>
      </w:pPr>
      <w:r w:rsidRPr="009118AB">
        <w:rPr>
          <w:bCs/>
          <w:i/>
          <w:iCs/>
        </w:rPr>
        <w:t>[</w:t>
      </w:r>
      <w:r w:rsidR="00D67EB8" w:rsidRPr="009118AB">
        <w:rPr>
          <w:bCs/>
          <w:i/>
          <w:iCs/>
        </w:rPr>
        <w:t>Art. </w:t>
      </w:r>
      <w:r w:rsidRPr="009118AB">
        <w:rPr>
          <w:bCs/>
          <w:i/>
          <w:iCs/>
        </w:rPr>
        <w:t xml:space="preserve">412 </w:t>
      </w:r>
      <w:r w:rsidR="00D67EB8" w:rsidRPr="009118AB">
        <w:rPr>
          <w:bCs/>
          <w:i/>
          <w:iCs/>
        </w:rPr>
        <w:t>Abs. </w:t>
      </w:r>
      <w:r w:rsidR="00C23AF3" w:rsidRPr="009118AB">
        <w:rPr>
          <w:bCs/>
          <w:i/>
          <w:iCs/>
        </w:rPr>
        <w:t xml:space="preserve">2 abgeändert durch </w:t>
      </w:r>
      <w:r w:rsidR="00D67EB8" w:rsidRPr="009118AB">
        <w:rPr>
          <w:bCs/>
          <w:i/>
          <w:iCs/>
        </w:rPr>
        <w:t>Art. </w:t>
      </w:r>
      <w:r w:rsidR="00C23AF3" w:rsidRPr="009118AB">
        <w:rPr>
          <w:bCs/>
          <w:i/>
          <w:iCs/>
        </w:rPr>
        <w:t>13</w:t>
      </w:r>
      <w:r w:rsidR="00C23AF3" w:rsidRPr="009118AB">
        <w:rPr>
          <w:i/>
          <w:iCs/>
        </w:rPr>
        <w:t xml:space="preserve"> des G. vom 24. März 2015 (B.S. vom 2. April 2015)</w:t>
      </w:r>
      <w:r w:rsidR="00D67EB8" w:rsidRPr="009118AB">
        <w:rPr>
          <w:i/>
          <w:iCs/>
        </w:rPr>
        <w:t> - </w:t>
      </w:r>
      <w:r w:rsidR="00C23AF3" w:rsidRPr="009118AB">
        <w:rPr>
          <w:i/>
          <w:iCs/>
        </w:rPr>
        <w:t>in Kraft am 2. April 2015</w:t>
      </w:r>
      <w:r w:rsidR="003366D9" w:rsidRPr="009118AB">
        <w:rPr>
          <w:i/>
          <w:iCs/>
        </w:rPr>
        <w:t> -;</w:t>
      </w:r>
      <w:r w:rsidR="00C23AF3" w:rsidRPr="009118AB">
        <w:rPr>
          <w:i/>
          <w:iCs/>
        </w:rPr>
        <w:t xml:space="preserve"> </w:t>
      </w:r>
      <w:r w:rsidRPr="009118AB">
        <w:rPr>
          <w:bCs/>
          <w:i/>
          <w:iCs/>
        </w:rPr>
        <w:t xml:space="preserve">neuer Absatz 3 eingefügt durch </w:t>
      </w:r>
      <w:r w:rsidR="00D67EB8" w:rsidRPr="009118AB">
        <w:rPr>
          <w:bCs/>
          <w:i/>
          <w:iCs/>
        </w:rPr>
        <w:t>Art. </w:t>
      </w:r>
      <w:r w:rsidRPr="009118AB">
        <w:rPr>
          <w:bCs/>
          <w:i/>
          <w:iCs/>
        </w:rPr>
        <w:t xml:space="preserve">38 </w:t>
      </w:r>
      <w:r w:rsidR="00D67EB8" w:rsidRPr="009118AB">
        <w:rPr>
          <w:bCs/>
          <w:i/>
          <w:iCs/>
        </w:rPr>
        <w:t>Nr. </w:t>
      </w:r>
      <w:r w:rsidRPr="009118AB">
        <w:rPr>
          <w:bCs/>
          <w:i/>
          <w:iCs/>
        </w:rPr>
        <w:t>1 des G. vom 28. Juli 1992 (B.S. vom 31. Juli 1992)</w:t>
      </w:r>
      <w:r w:rsidR="00D67EB8" w:rsidRPr="009118AB">
        <w:rPr>
          <w:bCs/>
          <w:i/>
          <w:iCs/>
        </w:rPr>
        <w:t> - </w:t>
      </w:r>
      <w:r w:rsidRPr="009118AB">
        <w:rPr>
          <w:bCs/>
          <w:i/>
          <w:iCs/>
        </w:rPr>
        <w:t>anwendbar auf die Einkünfte, die ab dem 1. Juli 1992 gezahlt oder zuerkannt werden</w:t>
      </w:r>
      <w:r w:rsidR="00D67EB8" w:rsidRPr="009118AB">
        <w:rPr>
          <w:bCs/>
          <w:i/>
          <w:iCs/>
        </w:rPr>
        <w:t> - </w:t>
      </w:r>
      <w:r w:rsidRPr="009118AB">
        <w:rPr>
          <w:bCs/>
          <w:i/>
          <w:iCs/>
        </w:rPr>
        <w:t xml:space="preserve">und abgeändert durch </w:t>
      </w:r>
      <w:r w:rsidR="00D67EB8" w:rsidRPr="009118AB">
        <w:rPr>
          <w:bCs/>
          <w:i/>
          <w:iCs/>
        </w:rPr>
        <w:t>Art. </w:t>
      </w:r>
      <w:r w:rsidRPr="009118AB">
        <w:rPr>
          <w:bCs/>
          <w:i/>
          <w:iCs/>
        </w:rPr>
        <w:t xml:space="preserve">2 </w:t>
      </w:r>
      <w:r w:rsidR="00D67EB8" w:rsidRPr="009118AB">
        <w:rPr>
          <w:bCs/>
          <w:i/>
          <w:iCs/>
        </w:rPr>
        <w:t>Nr. </w:t>
      </w:r>
      <w:r w:rsidRPr="009118AB">
        <w:rPr>
          <w:bCs/>
          <w:i/>
          <w:iCs/>
        </w:rPr>
        <w:t>25 des K.E. vom 20. Juli 2000 (II) (B.S. vom 30. August 2000)</w:t>
      </w:r>
      <w:r w:rsidR="00D67EB8" w:rsidRPr="009118AB">
        <w:rPr>
          <w:bCs/>
          <w:i/>
          <w:iCs/>
        </w:rPr>
        <w:t> - </w:t>
      </w:r>
      <w:r w:rsidRPr="009118AB">
        <w:rPr>
          <w:bCs/>
          <w:i/>
          <w:iCs/>
        </w:rPr>
        <w:t>in Kraft ab dem 1. Januar 2002</w:t>
      </w:r>
      <w:r w:rsidR="00FD68E8" w:rsidRPr="009118AB">
        <w:rPr>
          <w:bCs/>
          <w:i/>
          <w:iCs/>
        </w:rPr>
        <w:t> -,</w:t>
      </w:r>
      <w:r w:rsidRPr="009118AB">
        <w:rPr>
          <w:bCs/>
          <w:i/>
          <w:iCs/>
        </w:rPr>
        <w:t xml:space="preserve"> selbst abgeändert durch </w:t>
      </w:r>
      <w:r w:rsidR="00D67EB8" w:rsidRPr="009118AB">
        <w:rPr>
          <w:bCs/>
          <w:i/>
          <w:iCs/>
        </w:rPr>
        <w:t>Art. </w:t>
      </w:r>
      <w:r w:rsidRPr="009118AB">
        <w:rPr>
          <w:bCs/>
          <w:i/>
          <w:iCs/>
        </w:rPr>
        <w:t xml:space="preserve">42 </w:t>
      </w:r>
      <w:r w:rsidR="00D67EB8" w:rsidRPr="009118AB">
        <w:rPr>
          <w:bCs/>
          <w:i/>
          <w:iCs/>
        </w:rPr>
        <w:t>Nr. </w:t>
      </w:r>
      <w:r w:rsidRPr="009118AB">
        <w:rPr>
          <w:bCs/>
          <w:i/>
          <w:iCs/>
        </w:rPr>
        <w:t>5 des K.E. vom 13. Juli 2001 (B.S. vom 11. August 2001)</w:t>
      </w:r>
      <w:r w:rsidR="00D67EB8" w:rsidRPr="009118AB">
        <w:rPr>
          <w:bCs/>
          <w:i/>
          <w:iCs/>
        </w:rPr>
        <w:t> - </w:t>
      </w:r>
      <w:r w:rsidRPr="009118AB">
        <w:rPr>
          <w:bCs/>
          <w:i/>
          <w:iCs/>
        </w:rPr>
        <w:t>in Kraft ab dem 1. Januar 2002</w:t>
      </w:r>
      <w:r w:rsidR="00D67EB8" w:rsidRPr="009118AB">
        <w:rPr>
          <w:bCs/>
          <w:i/>
          <w:iCs/>
        </w:rPr>
        <w:t> - </w:t>
      </w:r>
      <w:r w:rsidR="00831940" w:rsidRPr="009118AB">
        <w:rPr>
          <w:bCs/>
          <w:i/>
          <w:iCs/>
        </w:rPr>
        <w:t xml:space="preserve">und </w:t>
      </w:r>
      <w:r w:rsidR="00D67EB8" w:rsidRPr="009118AB">
        <w:rPr>
          <w:bCs/>
          <w:i/>
          <w:iCs/>
        </w:rPr>
        <w:t>Art. </w:t>
      </w:r>
      <w:r w:rsidR="00831940" w:rsidRPr="009118AB">
        <w:rPr>
          <w:bCs/>
          <w:i/>
          <w:iCs/>
        </w:rPr>
        <w:t>11</w:t>
      </w:r>
      <w:r w:rsidR="00831940" w:rsidRPr="009118AB">
        <w:rPr>
          <w:i/>
          <w:iCs/>
          <w:spacing w:val="-1"/>
        </w:rPr>
        <w:t xml:space="preserve"> des G. vom 19. Dezember 2014 (B.S. vom 29. Dezember 2014)</w:t>
      </w:r>
      <w:r w:rsidR="00D67EB8" w:rsidRPr="009118AB">
        <w:rPr>
          <w:i/>
          <w:iCs/>
          <w:spacing w:val="-1"/>
        </w:rPr>
        <w:t> - </w:t>
      </w:r>
      <w:r w:rsidR="00831940" w:rsidRPr="009118AB">
        <w:rPr>
          <w:i/>
          <w:iCs/>
          <w:spacing w:val="-1"/>
        </w:rPr>
        <w:t>anwendbar ab dem Steuerjahr 2015</w:t>
      </w:r>
      <w:r w:rsidR="003366D9" w:rsidRPr="009118AB">
        <w:rPr>
          <w:i/>
          <w:iCs/>
          <w:spacing w:val="-1"/>
        </w:rPr>
        <w:t> -;</w:t>
      </w:r>
      <w:r w:rsidRPr="009118AB">
        <w:rPr>
          <w:bCs/>
          <w:i/>
          <w:iCs/>
        </w:rPr>
        <w:t xml:space="preserve"> </w:t>
      </w:r>
      <w:r w:rsidR="007C5435" w:rsidRPr="009118AB">
        <w:rPr>
          <w:bCs/>
          <w:i/>
          <w:iCs/>
        </w:rPr>
        <w:t xml:space="preserve">früherer </w:t>
      </w:r>
      <w:r w:rsidRPr="009118AB">
        <w:rPr>
          <w:bCs/>
          <w:i/>
          <w:iCs/>
        </w:rPr>
        <w:t>Abs</w:t>
      </w:r>
      <w:r w:rsidR="007C5435" w:rsidRPr="009118AB">
        <w:rPr>
          <w:bCs/>
          <w:i/>
          <w:iCs/>
        </w:rPr>
        <w:t>atz</w:t>
      </w:r>
      <w:r w:rsidRPr="009118AB">
        <w:rPr>
          <w:bCs/>
          <w:i/>
          <w:iCs/>
        </w:rPr>
        <w:t> 4</w:t>
      </w:r>
      <w:r w:rsidR="007C5435" w:rsidRPr="009118AB">
        <w:rPr>
          <w:bCs/>
          <w:i/>
          <w:iCs/>
        </w:rPr>
        <w:t xml:space="preserve"> aufgehoben durch </w:t>
      </w:r>
      <w:r w:rsidR="00D67EB8" w:rsidRPr="009118AB">
        <w:rPr>
          <w:bCs/>
          <w:i/>
          <w:iCs/>
        </w:rPr>
        <w:t>Art. </w:t>
      </w:r>
      <w:r w:rsidR="007C5435" w:rsidRPr="009118AB">
        <w:rPr>
          <w:bCs/>
          <w:i/>
          <w:iCs/>
        </w:rPr>
        <w:t>17 Buchstabe a)</w:t>
      </w:r>
      <w:r w:rsidR="007C5435" w:rsidRPr="009118AB">
        <w:rPr>
          <w:i/>
          <w:iCs/>
        </w:rPr>
        <w:t xml:space="preserve"> des G. vom 2. April 2021 (B.S. vom 13. April 2021)</w:t>
      </w:r>
      <w:r w:rsidR="00D67EB8" w:rsidRPr="009118AB">
        <w:rPr>
          <w:i/>
          <w:iCs/>
        </w:rPr>
        <w:t> - </w:t>
      </w:r>
      <w:r w:rsidR="007C5435" w:rsidRPr="009118AB">
        <w:rPr>
          <w:i/>
          <w:iCs/>
        </w:rPr>
        <w:t>wirksam mit 1. April 2021</w:t>
      </w:r>
      <w:r w:rsidR="003366D9" w:rsidRPr="009118AB">
        <w:rPr>
          <w:i/>
          <w:iCs/>
        </w:rPr>
        <w:t> -;</w:t>
      </w:r>
      <w:r w:rsidRPr="009118AB">
        <w:rPr>
          <w:bCs/>
          <w:i/>
          <w:iCs/>
        </w:rPr>
        <w:t xml:space="preserve"> </w:t>
      </w:r>
      <w:r w:rsidR="007C5435" w:rsidRPr="009118AB">
        <w:rPr>
          <w:bCs/>
          <w:i/>
          <w:iCs/>
        </w:rPr>
        <w:t xml:space="preserve">früherer </w:t>
      </w:r>
      <w:r w:rsidRPr="009118AB">
        <w:rPr>
          <w:bCs/>
          <w:i/>
          <w:iCs/>
        </w:rPr>
        <w:t>Abs</w:t>
      </w:r>
      <w:r w:rsidR="007C5435" w:rsidRPr="009118AB">
        <w:rPr>
          <w:bCs/>
          <w:i/>
          <w:iCs/>
        </w:rPr>
        <w:t>atz</w:t>
      </w:r>
      <w:r w:rsidRPr="009118AB">
        <w:rPr>
          <w:bCs/>
          <w:i/>
          <w:iCs/>
        </w:rPr>
        <w:t xml:space="preserve"> 5 eingefügt durch </w:t>
      </w:r>
      <w:r w:rsidR="00D67EB8" w:rsidRPr="009118AB">
        <w:rPr>
          <w:bCs/>
          <w:i/>
          <w:iCs/>
        </w:rPr>
        <w:t>Art. </w:t>
      </w:r>
      <w:r w:rsidRPr="009118AB">
        <w:rPr>
          <w:bCs/>
          <w:i/>
          <w:iCs/>
        </w:rPr>
        <w:t xml:space="preserve">38 </w:t>
      </w:r>
      <w:r w:rsidR="00D67EB8" w:rsidRPr="009118AB">
        <w:rPr>
          <w:bCs/>
          <w:i/>
          <w:iCs/>
        </w:rPr>
        <w:t>Nr. </w:t>
      </w:r>
      <w:r w:rsidRPr="009118AB">
        <w:rPr>
          <w:bCs/>
          <w:i/>
          <w:iCs/>
        </w:rPr>
        <w:t>2 des G. vom 28. Juli 1992 (B.S. vom 31. Juli 1992) anwendbar auf die Einkünfte, die ab dem 1. Juli 1992 gezahlt oder zuerkannt werden</w:t>
      </w:r>
      <w:r w:rsidR="00D67EB8" w:rsidRPr="009118AB">
        <w:rPr>
          <w:bCs/>
          <w:i/>
          <w:iCs/>
        </w:rPr>
        <w:t> - </w:t>
      </w:r>
      <w:r w:rsidRPr="009118AB">
        <w:rPr>
          <w:bCs/>
          <w:i/>
          <w:iCs/>
        </w:rPr>
        <w:t xml:space="preserve">und </w:t>
      </w:r>
      <w:r w:rsidR="007C5435" w:rsidRPr="009118AB">
        <w:rPr>
          <w:bCs/>
          <w:i/>
          <w:iCs/>
        </w:rPr>
        <w:t xml:space="preserve">aufgehoben durch </w:t>
      </w:r>
      <w:r w:rsidR="00D67EB8" w:rsidRPr="009118AB">
        <w:rPr>
          <w:bCs/>
          <w:i/>
          <w:iCs/>
        </w:rPr>
        <w:t>Art. </w:t>
      </w:r>
      <w:r w:rsidR="007C5435" w:rsidRPr="009118AB">
        <w:rPr>
          <w:bCs/>
          <w:i/>
          <w:iCs/>
        </w:rPr>
        <w:t>17 Buchstabe a)</w:t>
      </w:r>
      <w:r w:rsidR="007C5435" w:rsidRPr="009118AB">
        <w:rPr>
          <w:i/>
          <w:iCs/>
        </w:rPr>
        <w:t xml:space="preserve"> des G. vom 2. April 2021 (B.S. vom 13. April 2021)</w:t>
      </w:r>
      <w:r w:rsidR="00D67EB8" w:rsidRPr="009118AB">
        <w:rPr>
          <w:i/>
          <w:iCs/>
        </w:rPr>
        <w:t> - </w:t>
      </w:r>
      <w:r w:rsidR="007C5435" w:rsidRPr="009118AB">
        <w:rPr>
          <w:i/>
          <w:iCs/>
        </w:rPr>
        <w:t>wirksam mit 1. April 2021</w:t>
      </w:r>
      <w:r w:rsidR="003366D9" w:rsidRPr="009118AB">
        <w:rPr>
          <w:i/>
          <w:iCs/>
        </w:rPr>
        <w:t> -;</w:t>
      </w:r>
      <w:r w:rsidR="007C5435" w:rsidRPr="009118AB">
        <w:rPr>
          <w:bCs/>
          <w:i/>
          <w:iCs/>
        </w:rPr>
        <w:t xml:space="preserve"> neuer </w:t>
      </w:r>
      <w:r w:rsidRPr="009118AB">
        <w:rPr>
          <w:bCs/>
          <w:i/>
          <w:iCs/>
        </w:rPr>
        <w:t>Abs</w:t>
      </w:r>
      <w:r w:rsidR="007C5435" w:rsidRPr="009118AB">
        <w:rPr>
          <w:bCs/>
          <w:i/>
          <w:iCs/>
        </w:rPr>
        <w:t>atz</w:t>
      </w:r>
      <w:r w:rsidRPr="009118AB">
        <w:rPr>
          <w:bCs/>
          <w:i/>
          <w:iCs/>
        </w:rPr>
        <w:t> </w:t>
      </w:r>
      <w:r w:rsidR="007C5435" w:rsidRPr="009118AB">
        <w:rPr>
          <w:bCs/>
          <w:i/>
          <w:iCs/>
        </w:rPr>
        <w:t>4</w:t>
      </w:r>
      <w:r w:rsidRPr="009118AB">
        <w:rPr>
          <w:bCs/>
          <w:i/>
          <w:iCs/>
        </w:rPr>
        <w:t xml:space="preserve"> eingefügt durch </w:t>
      </w:r>
      <w:r w:rsidR="00D67EB8" w:rsidRPr="009118AB">
        <w:rPr>
          <w:bCs/>
          <w:i/>
          <w:iCs/>
        </w:rPr>
        <w:t>Art. </w:t>
      </w:r>
      <w:r w:rsidRPr="009118AB">
        <w:rPr>
          <w:bCs/>
          <w:i/>
          <w:iCs/>
        </w:rPr>
        <w:t>40 des G. vom 15. März 1999 (B.S. vom 27. März 1999)</w:t>
      </w:r>
      <w:r w:rsidR="007C5435" w:rsidRPr="009118AB">
        <w:rPr>
          <w:bCs/>
          <w:i/>
          <w:iCs/>
        </w:rPr>
        <w:t xml:space="preserve"> und abgeändert durch </w:t>
      </w:r>
      <w:r w:rsidR="00D67EB8" w:rsidRPr="009118AB">
        <w:rPr>
          <w:bCs/>
          <w:i/>
          <w:iCs/>
        </w:rPr>
        <w:t>Art. </w:t>
      </w:r>
      <w:r w:rsidR="007C5435" w:rsidRPr="009118AB">
        <w:rPr>
          <w:bCs/>
          <w:i/>
          <w:iCs/>
        </w:rPr>
        <w:t>17 Buchstabe b)</w:t>
      </w:r>
      <w:r w:rsidR="007C5435" w:rsidRPr="009118AB">
        <w:rPr>
          <w:i/>
          <w:iCs/>
        </w:rPr>
        <w:t xml:space="preserve"> des G. vom 2. April 2021 (B.S. vom 13. April 2021)</w:t>
      </w:r>
      <w:r w:rsidR="00D67EB8" w:rsidRPr="009118AB">
        <w:rPr>
          <w:i/>
          <w:iCs/>
        </w:rPr>
        <w:t> - </w:t>
      </w:r>
      <w:r w:rsidR="007C5435" w:rsidRPr="009118AB">
        <w:rPr>
          <w:i/>
          <w:iCs/>
        </w:rPr>
        <w:t>wirksam mit 1. April 2021</w:t>
      </w:r>
      <w:r w:rsidR="003366D9" w:rsidRPr="009118AB">
        <w:rPr>
          <w:i/>
          <w:iCs/>
        </w:rPr>
        <w:t> -;</w:t>
      </w:r>
      <w:r w:rsidRPr="009118AB">
        <w:rPr>
          <w:bCs/>
          <w:i/>
          <w:iCs/>
        </w:rPr>
        <w:t xml:space="preserve"> </w:t>
      </w:r>
      <w:r w:rsidR="00D67EB8" w:rsidRPr="009118AB">
        <w:rPr>
          <w:bCs/>
          <w:i/>
          <w:iCs/>
        </w:rPr>
        <w:t>Abs. </w:t>
      </w:r>
      <w:r w:rsidR="007C5435" w:rsidRPr="009118AB">
        <w:rPr>
          <w:bCs/>
          <w:i/>
          <w:iCs/>
        </w:rPr>
        <w:t>5</w:t>
      </w:r>
      <w:r w:rsidRPr="009118AB">
        <w:rPr>
          <w:bCs/>
          <w:i/>
          <w:iCs/>
        </w:rPr>
        <w:t xml:space="preserve"> eingefügt durch </w:t>
      </w:r>
      <w:r w:rsidR="00D67EB8" w:rsidRPr="009118AB">
        <w:rPr>
          <w:bCs/>
          <w:i/>
          <w:iCs/>
        </w:rPr>
        <w:t>Art. </w:t>
      </w:r>
      <w:r w:rsidRPr="009118AB">
        <w:rPr>
          <w:bCs/>
          <w:i/>
          <w:iCs/>
        </w:rPr>
        <w:t>37 des G. vom 9. Juli 2004 (B.S. vom 15. Juli 2004)</w:t>
      </w:r>
      <w:r w:rsidR="00D67EB8" w:rsidRPr="009118AB">
        <w:rPr>
          <w:bCs/>
          <w:i/>
          <w:iCs/>
        </w:rPr>
        <w:t> - </w:t>
      </w:r>
      <w:r w:rsidRPr="009118AB">
        <w:rPr>
          <w:bCs/>
          <w:i/>
          <w:iCs/>
        </w:rPr>
        <w:t>anwendbar auf die ab dem 1. Januar 2004 zuerkannten oder ausgeschütteten Dividenden</w:t>
      </w:r>
      <w:r w:rsidR="00D67EB8" w:rsidRPr="009118AB">
        <w:rPr>
          <w:bCs/>
          <w:i/>
          <w:iCs/>
        </w:rPr>
        <w:t> - </w:t>
      </w:r>
      <w:r w:rsidRPr="009118AB">
        <w:rPr>
          <w:bCs/>
          <w:i/>
          <w:iCs/>
        </w:rPr>
        <w:t xml:space="preserve">und aufgehoben durch </w:t>
      </w:r>
      <w:r w:rsidR="00D67EB8" w:rsidRPr="009118AB">
        <w:rPr>
          <w:bCs/>
          <w:i/>
          <w:iCs/>
        </w:rPr>
        <w:t>Art. </w:t>
      </w:r>
      <w:r w:rsidRPr="009118AB">
        <w:rPr>
          <w:bCs/>
          <w:i/>
          <w:iCs/>
        </w:rPr>
        <w:t>90</w:t>
      </w:r>
      <w:r w:rsidRPr="009118AB">
        <w:rPr>
          <w:i/>
          <w:iCs/>
        </w:rPr>
        <w:t xml:space="preserve"> des G. vom 27. Dezember 2012 (B.S. vom 31. Dezember 2012)</w:t>
      </w:r>
      <w:r w:rsidR="00D67EB8" w:rsidRPr="009118AB">
        <w:rPr>
          <w:i/>
          <w:iCs/>
        </w:rPr>
        <w:t> - </w:t>
      </w:r>
      <w:r w:rsidRPr="009118AB">
        <w:rPr>
          <w:i/>
          <w:iCs/>
        </w:rPr>
        <w:t>anwendbar auf die ab dem 1. Januar 2013 zuerkannten oder ausgeschütteten Einkünfte</w:t>
      </w:r>
      <w:r w:rsidR="00FD68E8" w:rsidRPr="009118AB">
        <w:rPr>
          <w:i/>
          <w:iCs/>
        </w:rPr>
        <w:t> -]</w:t>
      </w:r>
    </w:p>
    <w:p w14:paraId="19ACC422" w14:textId="77777777" w:rsidR="00141459" w:rsidRPr="009118AB" w:rsidRDefault="00141459" w:rsidP="001414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13ED0F57" w14:textId="77777777" w:rsidR="00141459" w:rsidRPr="009118AB" w:rsidRDefault="00141459" w:rsidP="001414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C3D2E55" w14:textId="42F233FD" w:rsidR="0002192E" w:rsidRPr="009118AB" w:rsidRDefault="00477B8F" w:rsidP="0002192E">
      <w:pPr>
        <w:ind w:firstLine="708"/>
        <w:jc w:val="both"/>
      </w:pPr>
      <w:r w:rsidRPr="009118AB">
        <w:tab/>
        <w:t>[</w:t>
      </w:r>
      <w:r w:rsidR="00D67EB8" w:rsidRPr="009118AB">
        <w:rPr>
          <w:b/>
          <w:bCs/>
        </w:rPr>
        <w:t>Art. </w:t>
      </w:r>
      <w:r w:rsidRPr="009118AB">
        <w:rPr>
          <w:b/>
          <w:bCs/>
        </w:rPr>
        <w:t>412</w:t>
      </w:r>
      <w:r w:rsidRPr="009118AB">
        <w:rPr>
          <w:b/>
          <w:bCs/>
          <w:i/>
          <w:iCs/>
        </w:rPr>
        <w:t>bis</w:t>
      </w:r>
      <w:r w:rsidR="00D67EB8" w:rsidRPr="009118AB">
        <w:t> - </w:t>
      </w:r>
      <w:r w:rsidR="0002192E" w:rsidRPr="009118AB">
        <w:t>[</w:t>
      </w:r>
      <w:r w:rsidR="00D67EB8" w:rsidRPr="009118AB">
        <w:t>§ </w:t>
      </w:r>
      <w:r w:rsidR="0002192E" w:rsidRPr="009118AB">
        <w:t>1 ­ In Abweichung von Artikel 412 Absatz 2 ist der Berufs</w:t>
      </w:r>
      <w:r w:rsidR="0002192E" w:rsidRPr="009118AB">
        <w:softHyphen/>
        <w:t xml:space="preserve">steuervorabzug in Bezug auf die in Artikel 272 Absatz 2 erwähnten Mehrwerte bei der Registrierung der in Artikel 270 Absatz 1 </w:t>
      </w:r>
      <w:r w:rsidR="00D67EB8" w:rsidRPr="009118AB">
        <w:t>Nr. </w:t>
      </w:r>
      <w:r w:rsidR="0002192E" w:rsidRPr="009118AB">
        <w:t>5 erwähnten Urkunden und Erklärungen zahlbar.</w:t>
      </w:r>
    </w:p>
    <w:p w14:paraId="42274E84" w14:textId="77777777" w:rsidR="0002192E" w:rsidRPr="009118AB" w:rsidRDefault="0002192E" w:rsidP="0002192E">
      <w:pPr>
        <w:jc w:val="both"/>
      </w:pPr>
    </w:p>
    <w:p w14:paraId="78FBFD69" w14:textId="25459848" w:rsidR="0002192E" w:rsidRPr="009118AB" w:rsidRDefault="0002192E" w:rsidP="0002192E">
      <w:pPr>
        <w:ind w:firstLine="708"/>
        <w:jc w:val="both"/>
      </w:pPr>
      <w:r w:rsidRPr="009118AB">
        <w:t xml:space="preserve">In Artikel 270 Absatz 1 </w:t>
      </w:r>
      <w:r w:rsidR="00D67EB8" w:rsidRPr="009118AB">
        <w:t>Nr. </w:t>
      </w:r>
      <w:r w:rsidRPr="009118AB">
        <w:t>5 erwähnte Personen sind verpflichtet, bei der Registrierung der Urkunde oder der Erklärung, durch die die Abtretung festgestellt wird,</w:t>
      </w:r>
      <w:r w:rsidR="000A387E" w:rsidRPr="009118AB">
        <w:t xml:space="preserve"> </w:t>
      </w:r>
      <w:r w:rsidRPr="009118AB">
        <w:t xml:space="preserve">dem in Artikel 39 des Registrierungs-, Hypotheken- und Kanzleigebührengesetzbuches bestimmten Amt den gemäß Kapitel 5 Abschnitt 8 der Anlage 3 zum Königlichen Erlass vom 27. August 1993 zur Ausführung des Einkommensteuergesetzbuches 1992 festgelegten Berufssteuervorabzug zu zahlen, der sich auf Mehrwerte bezieht, die in den in Artikel 228 </w:t>
      </w:r>
      <w:r w:rsidR="00D67EB8" w:rsidRPr="009118AB">
        <w:t>§ </w:t>
      </w:r>
      <w:r w:rsidRPr="009118AB">
        <w:t xml:space="preserve">2 </w:t>
      </w:r>
      <w:r w:rsidR="00D67EB8" w:rsidRPr="009118AB">
        <w:t>Nr. </w:t>
      </w:r>
      <w:r w:rsidRPr="009118AB">
        <w:t>3 Buchstabe </w:t>
      </w:r>
      <w:r w:rsidRPr="009118AB">
        <w:rPr>
          <w:i/>
          <w:iCs/>
        </w:rPr>
        <w:t>a)</w:t>
      </w:r>
      <w:r w:rsidRPr="009118AB">
        <w:t xml:space="preserve"> und </w:t>
      </w:r>
      <w:r w:rsidR="00D67EB8" w:rsidRPr="009118AB">
        <w:t>Nr. </w:t>
      </w:r>
      <w:r w:rsidRPr="009118AB">
        <w:t>4 erwähnten Gewinnen oder Profiten enthalten sind und von Steuerpflichtigen, die der Steuer der Gebietsfremden unterliegen, anlässlich einer entgeltlichen Abtretung in Belgien gelegener unbeweglicher Güter oder dinglicher Rechte an diesen Gütern verwirklicht werden.</w:t>
      </w:r>
    </w:p>
    <w:p w14:paraId="76358EB7" w14:textId="77777777" w:rsidR="0002192E" w:rsidRPr="009118AB" w:rsidRDefault="0002192E" w:rsidP="0002192E">
      <w:pPr>
        <w:jc w:val="both"/>
      </w:pPr>
    </w:p>
    <w:p w14:paraId="7FB10022" w14:textId="77777777" w:rsidR="0002192E" w:rsidRPr="009118AB" w:rsidRDefault="0002192E" w:rsidP="0002192E">
      <w:pPr>
        <w:ind w:firstLine="708"/>
        <w:jc w:val="both"/>
      </w:pPr>
      <w:r w:rsidRPr="009118AB">
        <w:t>Artikel 169</w:t>
      </w:r>
      <w:r w:rsidRPr="009118AB">
        <w:rPr>
          <w:i/>
          <w:iCs/>
        </w:rPr>
        <w:t>ter</w:t>
      </w:r>
      <w:r w:rsidRPr="009118AB">
        <w:t xml:space="preserve"> des Registrierungs-, Hypotheken- und Kanzleigebührengesetzbuches ist anwendbar auf den Berufssteuervorabzug in Bezug auf die in den Absätzen 1 und 2 erwähnten Mehrwerte, der bei Registrierung der Urkunde oder der Erklärung zu zahlen ist.</w:t>
      </w:r>
    </w:p>
    <w:p w14:paraId="445F09B8" w14:textId="77777777" w:rsidR="0002192E" w:rsidRPr="009118AB" w:rsidRDefault="0002192E" w:rsidP="0002192E">
      <w:pPr>
        <w:jc w:val="both"/>
      </w:pPr>
    </w:p>
    <w:p w14:paraId="0D04AAF1" w14:textId="6FDF5621" w:rsidR="0002192E" w:rsidRPr="009118AB" w:rsidRDefault="00D67EB8" w:rsidP="0002192E">
      <w:pPr>
        <w:ind w:firstLine="708"/>
        <w:jc w:val="both"/>
      </w:pPr>
      <w:r w:rsidRPr="009118AB">
        <w:t>§ </w:t>
      </w:r>
      <w:r w:rsidR="0002192E" w:rsidRPr="009118AB">
        <w:t>2</w:t>
      </w:r>
      <w:r w:rsidRPr="009118AB">
        <w:t> - </w:t>
      </w:r>
      <w:r w:rsidR="0002192E" w:rsidRPr="009118AB">
        <w:t xml:space="preserve">Wenn </w:t>
      </w:r>
      <w:r w:rsidRPr="009118AB">
        <w:t>§ </w:t>
      </w:r>
      <w:r w:rsidR="0002192E" w:rsidRPr="009118AB">
        <w:t xml:space="preserve">1 angewandt werden muss, damit die Einnahme des Berufssteuervorabzugs in Bezug auf die Mehrwerte gewährleistet ist, sind in Artikel 270 Absatz 1 </w:t>
      </w:r>
      <w:r w:rsidRPr="009118AB">
        <w:t>Nr. </w:t>
      </w:r>
      <w:r w:rsidR="0002192E" w:rsidRPr="009118AB">
        <w:t xml:space="preserve">5 erwähnte Schuldner des Berufssteuervorabzugs verpflichtet, die </w:t>
      </w:r>
      <w:r w:rsidR="00134CA8" w:rsidRPr="009118AB">
        <w:t>[in Artikel 433 beziehungsweise in Artikel 35 des Gesetzbuches über die gütliche Beitreibung und die Zwangsbeitreibung von Steuerforderungen und nichtsteuerlichen Forderungen]</w:t>
      </w:r>
      <w:r w:rsidR="0002192E" w:rsidRPr="009118AB">
        <w:t xml:space="preserve"> erwähnte Meldung zu erstellen, in der außerdem alle Angaben vermerkt sein müssen, die für die Berechnung des Berufssteuervorabzugs in Bezug auf die verwirklichten Mehrwerte erforderlich sind, und gegebenenfalls die Kosten und Aufwendungen zu rechtfertigen, die der Zedent vom Preis der Abtretung abziehen oder zum Erwerbspreis hinzufügen lassen möchte.</w:t>
      </w:r>
    </w:p>
    <w:p w14:paraId="071EA3E4" w14:textId="77777777" w:rsidR="0002192E" w:rsidRPr="009118AB" w:rsidRDefault="0002192E" w:rsidP="0002192E">
      <w:pPr>
        <w:jc w:val="both"/>
      </w:pPr>
    </w:p>
    <w:p w14:paraId="3D82081E" w14:textId="32B439F0" w:rsidR="0002192E" w:rsidRPr="009118AB" w:rsidRDefault="0002192E" w:rsidP="0002192E">
      <w:pPr>
        <w:ind w:firstLine="708"/>
        <w:jc w:val="both"/>
      </w:pPr>
      <w:r w:rsidRPr="009118AB">
        <w:t xml:space="preserve">In der Meldung wird auch die Identität des Absenders, das Gut, das Gegenstand der in Artikel 270 Absatz 1 </w:t>
      </w:r>
      <w:r w:rsidR="00D67EB8" w:rsidRPr="009118AB">
        <w:t>Nr. </w:t>
      </w:r>
      <w:r w:rsidRPr="009118AB">
        <w:t>5 erwähnten Urkunde oder Erklärung ist, und die Identität des Eigentümers oder Inhabers eines dinglichen Rechts an diesem Gut angegeben.</w:t>
      </w:r>
    </w:p>
    <w:p w14:paraId="407E39C5" w14:textId="77777777" w:rsidR="0002192E" w:rsidRPr="009118AB" w:rsidRDefault="0002192E" w:rsidP="0002192E">
      <w:pPr>
        <w:jc w:val="both"/>
      </w:pPr>
    </w:p>
    <w:p w14:paraId="457B105C" w14:textId="77777777" w:rsidR="0002192E" w:rsidRPr="009118AB" w:rsidRDefault="0002192E" w:rsidP="0002192E">
      <w:pPr>
        <w:ind w:firstLine="708"/>
        <w:jc w:val="both"/>
      </w:pPr>
      <w:r w:rsidRPr="009118AB">
        <w:t>Für die Anwendung der vorliegenden Bestimmung umfasst die Identität des Absenders Namen, Vornamen, Eigenschaft, Adresse und Unternehmensnummer.</w:t>
      </w:r>
    </w:p>
    <w:p w14:paraId="1D2F7270" w14:textId="77777777" w:rsidR="0002192E" w:rsidRPr="009118AB" w:rsidRDefault="0002192E" w:rsidP="0002192E">
      <w:pPr>
        <w:jc w:val="both"/>
      </w:pPr>
    </w:p>
    <w:p w14:paraId="4046046F" w14:textId="77777777" w:rsidR="0002192E" w:rsidRPr="009118AB" w:rsidRDefault="0002192E" w:rsidP="0002192E">
      <w:pPr>
        <w:ind w:firstLine="708"/>
        <w:jc w:val="both"/>
      </w:pPr>
      <w:r w:rsidRPr="009118AB">
        <w:t>Für die Anwendung der vorliegenden Bestimmung umfasst die Identität des Eigentümers oder Inhabers eines dinglichen Rechts:</w:t>
      </w:r>
    </w:p>
    <w:p w14:paraId="5924F6AE" w14:textId="77777777" w:rsidR="0002192E" w:rsidRPr="009118AB" w:rsidRDefault="0002192E" w:rsidP="0002192E">
      <w:pPr>
        <w:jc w:val="both"/>
      </w:pPr>
    </w:p>
    <w:p w14:paraId="7A1861AD" w14:textId="77777777" w:rsidR="0002192E" w:rsidRPr="009118AB" w:rsidRDefault="0002192E" w:rsidP="0002192E">
      <w:pPr>
        <w:ind w:firstLine="708"/>
        <w:jc w:val="both"/>
      </w:pPr>
      <w:r w:rsidRPr="009118AB">
        <w:rPr>
          <w:i/>
          <w:iCs/>
        </w:rPr>
        <w:t>a)</w:t>
      </w:r>
      <w:r w:rsidRPr="009118AB">
        <w:t> für natürliche Personen: Namen, Vornamen und Erkennungsnummer des Nationalregisters oder, in deren Ermangelung, Erkennungsnummer der Zentralen Datenbank der sozialen Sicherheit oder, in Ermangelung solcher Nummern, ihr Geburtsdatum,</w:t>
      </w:r>
    </w:p>
    <w:p w14:paraId="14681C57" w14:textId="77777777" w:rsidR="0002192E" w:rsidRPr="009118AB" w:rsidRDefault="0002192E" w:rsidP="0002192E">
      <w:pPr>
        <w:jc w:val="both"/>
      </w:pPr>
    </w:p>
    <w:p w14:paraId="7913FE0F" w14:textId="77777777" w:rsidR="0002192E" w:rsidRPr="009118AB" w:rsidRDefault="0002192E" w:rsidP="0002192E">
      <w:pPr>
        <w:ind w:firstLine="708"/>
        <w:jc w:val="both"/>
      </w:pPr>
      <w:r w:rsidRPr="009118AB">
        <w:rPr>
          <w:i/>
          <w:iCs/>
        </w:rPr>
        <w:t>b)</w:t>
      </w:r>
      <w:r w:rsidRPr="009118AB">
        <w:t> für juristische Personen: Namen, Rechtsform und Unternehmensnummer.</w:t>
      </w:r>
    </w:p>
    <w:p w14:paraId="0F067818" w14:textId="77777777" w:rsidR="0002192E" w:rsidRPr="009118AB" w:rsidRDefault="0002192E" w:rsidP="0002192E">
      <w:pPr>
        <w:jc w:val="both"/>
      </w:pPr>
    </w:p>
    <w:p w14:paraId="0639E0E7" w14:textId="465F93D8" w:rsidR="0002192E" w:rsidRPr="009118AB" w:rsidRDefault="0002192E" w:rsidP="0002192E">
      <w:pPr>
        <w:ind w:firstLine="708"/>
        <w:jc w:val="both"/>
      </w:pPr>
      <w:r w:rsidRPr="009118AB">
        <w:t xml:space="preserve">Für die Anwendung der vorliegenden Bestimmung umfasst die Identifizierung des Gutes, das Gegenstand der in </w:t>
      </w:r>
      <w:r w:rsidR="00D67EB8" w:rsidRPr="009118AB">
        <w:t>§ </w:t>
      </w:r>
      <w:r w:rsidRPr="009118AB">
        <w:t>1 erwähnten Urkunde oder Erklärung ist, Art des Gutes, Adresse, Nummer der Katastermutterrolle und, wenn diese Angaben bekannt sind, Verkaufspreis und hypothekarische Situation.</w:t>
      </w:r>
    </w:p>
    <w:p w14:paraId="7575A986" w14:textId="77777777" w:rsidR="0002192E" w:rsidRPr="009118AB" w:rsidRDefault="0002192E" w:rsidP="0002192E">
      <w:pPr>
        <w:jc w:val="both"/>
      </w:pPr>
    </w:p>
    <w:p w14:paraId="4BF21BC4" w14:textId="77777777" w:rsidR="007C5435" w:rsidRPr="009118AB" w:rsidRDefault="007C5435">
      <w:r w:rsidRPr="009118AB">
        <w:br w:type="page"/>
      </w:r>
    </w:p>
    <w:p w14:paraId="3DF56EF1" w14:textId="3152AE36" w:rsidR="0002192E" w:rsidRPr="009118AB" w:rsidRDefault="0002192E" w:rsidP="0002192E">
      <w:pPr>
        <w:ind w:firstLine="708"/>
        <w:jc w:val="both"/>
      </w:pPr>
      <w:r w:rsidRPr="009118AB">
        <w:t>Die in Absatz 1 erwähnte Meldung muss vor Registrierung übermittelt werden an:</w:t>
      </w:r>
    </w:p>
    <w:p w14:paraId="0BADF7BC" w14:textId="77777777" w:rsidR="0002192E" w:rsidRPr="009118AB" w:rsidRDefault="0002192E" w:rsidP="0002192E">
      <w:pPr>
        <w:jc w:val="both"/>
      </w:pPr>
    </w:p>
    <w:p w14:paraId="2C059528" w14:textId="77777777" w:rsidR="0002192E" w:rsidRPr="009118AB" w:rsidRDefault="0002192E" w:rsidP="0002192E">
      <w:pPr>
        <w:ind w:firstLine="708"/>
        <w:jc w:val="both"/>
      </w:pPr>
      <w:r w:rsidRPr="009118AB">
        <w:t>1. den Führungsdienst Informations- und Kommunikationstechnologie des Föderalen Öffentlichen Dienstes Finanzen auf elektronischem Wege,</w:t>
      </w:r>
    </w:p>
    <w:p w14:paraId="6D37D94C" w14:textId="77777777" w:rsidR="0002192E" w:rsidRPr="009118AB" w:rsidRDefault="0002192E" w:rsidP="0002192E">
      <w:pPr>
        <w:jc w:val="both"/>
      </w:pPr>
    </w:p>
    <w:p w14:paraId="12983A8A" w14:textId="1AF05F8F" w:rsidR="0002192E" w:rsidRPr="009118AB" w:rsidRDefault="0002192E" w:rsidP="0002192E">
      <w:pPr>
        <w:ind w:firstLine="708"/>
        <w:jc w:val="both"/>
      </w:pPr>
      <w:r w:rsidRPr="009118AB">
        <w:t xml:space="preserve">2. den zuständigen Einnehmer, wenn die Meldung aufgrund höherer Gewalt oder einer technischen Störung nicht gemäß </w:t>
      </w:r>
      <w:r w:rsidR="00D67EB8" w:rsidRPr="009118AB">
        <w:t>Nr. </w:t>
      </w:r>
      <w:r w:rsidRPr="009118AB">
        <w:t>1 übermittelt werden kann. In diesem Fall wird die Meldung per Einschreibesendung zugesandt.</w:t>
      </w:r>
    </w:p>
    <w:p w14:paraId="750A7268" w14:textId="77777777" w:rsidR="0002192E" w:rsidRPr="009118AB" w:rsidRDefault="0002192E" w:rsidP="0002192E">
      <w:pPr>
        <w:jc w:val="both"/>
      </w:pPr>
    </w:p>
    <w:p w14:paraId="2CD3FB6A" w14:textId="2D6BE6A7" w:rsidR="0002192E" w:rsidRPr="009118AB" w:rsidRDefault="0002192E" w:rsidP="0002192E">
      <w:pPr>
        <w:ind w:firstLine="708"/>
        <w:jc w:val="both"/>
      </w:pPr>
      <w:r w:rsidRPr="009118AB">
        <w:t xml:space="preserve">Wird die in </w:t>
      </w:r>
      <w:r w:rsidR="00D67EB8" w:rsidRPr="009118AB">
        <w:t>§ </w:t>
      </w:r>
      <w:r w:rsidRPr="009118AB">
        <w:t>1 erwähnte Urkunde oder Erklärung binnen drei Monaten nach Versendung der Meldung nicht ausgefertigt, wird diese Meldung als nichtig angesehen.</w:t>
      </w:r>
    </w:p>
    <w:p w14:paraId="5B60E042" w14:textId="77777777" w:rsidR="0002192E" w:rsidRPr="009118AB" w:rsidRDefault="0002192E" w:rsidP="0002192E">
      <w:pPr>
        <w:jc w:val="both"/>
      </w:pPr>
    </w:p>
    <w:p w14:paraId="2E881A25" w14:textId="08ECF13E" w:rsidR="0002192E" w:rsidRPr="009118AB" w:rsidRDefault="0002192E" w:rsidP="0002192E">
      <w:pPr>
        <w:ind w:firstLine="708"/>
        <w:jc w:val="both"/>
      </w:pPr>
      <w:r w:rsidRPr="009118AB">
        <w:t xml:space="preserve">Wird die Meldung gemäß Absatz 6 </w:t>
      </w:r>
      <w:r w:rsidR="00D67EB8" w:rsidRPr="009118AB">
        <w:t>Nr. </w:t>
      </w:r>
      <w:r w:rsidRPr="009118AB">
        <w:t>1 übermittelt, gilt als Datum der Versendung der Meldung das Datum der Empfangsbestätigung, die vom Führungsdienst Informations- und Kommunikationstechnologie des Föderalen Öffentlichen Dienstes Finanzen übermittelt wird.</w:t>
      </w:r>
    </w:p>
    <w:p w14:paraId="365FD2EF" w14:textId="77777777" w:rsidR="0002192E" w:rsidRPr="009118AB" w:rsidRDefault="0002192E" w:rsidP="0002192E">
      <w:pPr>
        <w:jc w:val="both"/>
      </w:pPr>
    </w:p>
    <w:p w14:paraId="152BFE55" w14:textId="1CE1CC48" w:rsidR="0002192E" w:rsidRPr="009118AB" w:rsidRDefault="0002192E" w:rsidP="0002192E">
      <w:pPr>
        <w:ind w:firstLine="708"/>
        <w:jc w:val="both"/>
      </w:pPr>
      <w:r w:rsidRPr="009118AB">
        <w:t xml:space="preserve">Wird dieselbe Meldung nacheinander gemäß den in Absatz 6 </w:t>
      </w:r>
      <w:r w:rsidR="00D67EB8" w:rsidRPr="009118AB">
        <w:t>Nr. </w:t>
      </w:r>
      <w:r w:rsidRPr="009118AB">
        <w:t xml:space="preserve">1 beziehungsweise </w:t>
      </w:r>
      <w:r w:rsidR="00D67EB8" w:rsidRPr="009118AB">
        <w:t>Nr. </w:t>
      </w:r>
      <w:r w:rsidRPr="009118AB">
        <w:t xml:space="preserve">2 vorgesehenen Verfahren versandt, ist die gemäß Absatz 6 </w:t>
      </w:r>
      <w:r w:rsidR="00D67EB8" w:rsidRPr="009118AB">
        <w:t>Nr. </w:t>
      </w:r>
      <w:r w:rsidRPr="009118AB">
        <w:t xml:space="preserve">2 erstellte Meldung nur maßgebend, wenn das Datum ihrer Versendung vor dem Datum der Versendung der gemäß Absatz 6 </w:t>
      </w:r>
      <w:r w:rsidR="00D67EB8" w:rsidRPr="009118AB">
        <w:t>Nr. </w:t>
      </w:r>
      <w:r w:rsidRPr="009118AB">
        <w:t>1 erstellten Meldung liegt.</w:t>
      </w:r>
    </w:p>
    <w:p w14:paraId="53C8BEBF" w14:textId="77777777" w:rsidR="0002192E" w:rsidRPr="009118AB" w:rsidRDefault="0002192E" w:rsidP="0002192E">
      <w:pPr>
        <w:jc w:val="both"/>
      </w:pPr>
    </w:p>
    <w:p w14:paraId="574A843F" w14:textId="7C6C2468" w:rsidR="0002192E" w:rsidRPr="009118AB" w:rsidRDefault="00D67EB8" w:rsidP="0002192E">
      <w:pPr>
        <w:ind w:firstLine="708"/>
        <w:jc w:val="both"/>
      </w:pPr>
      <w:r w:rsidRPr="009118AB">
        <w:t>§ </w:t>
      </w:r>
      <w:r w:rsidR="0002192E" w:rsidRPr="009118AB">
        <w:t>3</w:t>
      </w:r>
      <w:r w:rsidRPr="009118AB">
        <w:t> - </w:t>
      </w:r>
      <w:r w:rsidR="0002192E" w:rsidRPr="009118AB">
        <w:t xml:space="preserve">Einnehmer notifizieren in </w:t>
      </w:r>
      <w:r w:rsidRPr="009118AB">
        <w:t>§ </w:t>
      </w:r>
      <w:r w:rsidR="0002192E" w:rsidRPr="009118AB">
        <w:t xml:space="preserve">2 erwähnten Schuldnern innerhalb der </w:t>
      </w:r>
      <w:r w:rsidR="00134CA8" w:rsidRPr="009118AB">
        <w:t>[in Artikel 434 beziehungsweise in Artikel 36 des Gesetzbuches über die gütliche Beitreibung und die Zwangsbeitreibung von Steuerforderungen und nichtsteuerlichen Forderungen]</w:t>
      </w:r>
      <w:r w:rsidR="0002192E" w:rsidRPr="009118AB">
        <w:t xml:space="preserve"> vorgesehenen Frist per Einschreibesendung den Betrag des in Anwendung von Artikel 273 </w:t>
      </w:r>
      <w:r w:rsidRPr="009118AB">
        <w:t>Nr. </w:t>
      </w:r>
      <w:r w:rsidR="0002192E" w:rsidRPr="009118AB">
        <w:t xml:space="preserve">2 geschuldeten Berufssteuervorabzugs in Bezug auf Mehrwerte, die auf die Güter verwirklicht werden, die Gegenstand der in </w:t>
      </w:r>
      <w:r w:rsidRPr="009118AB">
        <w:t>§ </w:t>
      </w:r>
      <w:r w:rsidR="0002192E" w:rsidRPr="009118AB">
        <w:t>1 erwähnte Urkunde oder Erklärung sind.</w:t>
      </w:r>
    </w:p>
    <w:p w14:paraId="60C03D13" w14:textId="77777777" w:rsidR="0002192E" w:rsidRPr="009118AB" w:rsidRDefault="0002192E" w:rsidP="0002192E">
      <w:pPr>
        <w:jc w:val="both"/>
      </w:pPr>
    </w:p>
    <w:p w14:paraId="49F3FA16" w14:textId="77777777" w:rsidR="0002192E" w:rsidRPr="009118AB" w:rsidRDefault="0002192E" w:rsidP="0002192E">
      <w:pPr>
        <w:ind w:firstLine="708"/>
        <w:jc w:val="both"/>
      </w:pPr>
      <w:r w:rsidRPr="009118AB">
        <w:t>Bei einem öffentlichen Verkauf notifizieren Einnehmer den betreffenden Schuldnern des Berufssteuervorabzugs in Abweichung von Absatz 1 nur den Gesamtbetrag, der vom Preis der Abtretung abgezogen werden muss, um den Betrag der verwirklichten Mehrwerte zu erhalten, so dass die vorerwähnten Schuldner diese Mehrwerte und den diesbezüglichen Berufssteuervorabzug selbst berechnen können.</w:t>
      </w:r>
    </w:p>
    <w:p w14:paraId="2FCE0552" w14:textId="77777777" w:rsidR="0002192E" w:rsidRPr="009118AB" w:rsidRDefault="0002192E" w:rsidP="0002192E">
      <w:pPr>
        <w:jc w:val="both"/>
      </w:pPr>
    </w:p>
    <w:p w14:paraId="0DAEE0C7" w14:textId="174B8D91" w:rsidR="0002192E" w:rsidRPr="009118AB" w:rsidRDefault="00D67EB8" w:rsidP="0002192E">
      <w:pPr>
        <w:ind w:firstLine="708"/>
        <w:jc w:val="both"/>
      </w:pPr>
      <w:r w:rsidRPr="009118AB">
        <w:t>§ </w:t>
      </w:r>
      <w:r w:rsidR="0002192E" w:rsidRPr="009118AB">
        <w:t>4</w:t>
      </w:r>
      <w:r w:rsidRPr="009118AB">
        <w:t> - </w:t>
      </w:r>
      <w:r w:rsidR="0002192E" w:rsidRPr="009118AB">
        <w:t xml:space="preserve">Vor der Registrierung übergibt der Schuldner des Berufssteuervorabzugs dem Einnehmer, der mit der Registrierung der Urkunde oder der Erklärung beauftragt ist, durch die die Abtretung festgestellt wird, die in </w:t>
      </w:r>
      <w:r w:rsidRPr="009118AB">
        <w:t>§ </w:t>
      </w:r>
      <w:r w:rsidR="0002192E" w:rsidRPr="009118AB">
        <w:t>3 erwähnte Notifizierung.</w:t>
      </w:r>
    </w:p>
    <w:p w14:paraId="08F1D86F" w14:textId="77777777" w:rsidR="0002192E" w:rsidRPr="009118AB" w:rsidRDefault="0002192E" w:rsidP="0002192E">
      <w:pPr>
        <w:jc w:val="both"/>
      </w:pPr>
    </w:p>
    <w:p w14:paraId="4108DF42" w14:textId="18E250A2" w:rsidR="0002192E" w:rsidRPr="009118AB" w:rsidRDefault="0002192E" w:rsidP="0002192E">
      <w:pPr>
        <w:ind w:firstLine="708"/>
        <w:jc w:val="both"/>
      </w:pPr>
      <w:r w:rsidRPr="009118AB">
        <w:t xml:space="preserve">Der Einnehmer kann die Registrierung der Urkunde oder der Erklärung von der Vorlage einer Bescheinigung abhängig machen, die vom zuständigen Beamten der mit der Festlegung der Einkommensteuern beauftragten Verwaltung ausgeht und in der festgestellt wird, dass der Zedent kein in Artikel 227 </w:t>
      </w:r>
      <w:r w:rsidR="00D67EB8" w:rsidRPr="009118AB">
        <w:t>Nr. </w:t>
      </w:r>
      <w:r w:rsidRPr="009118AB">
        <w:t>1 oder 2 erwähnter Steuerpflichtiger ist.</w:t>
      </w:r>
    </w:p>
    <w:p w14:paraId="0C69C504" w14:textId="77777777" w:rsidR="0002192E" w:rsidRPr="009118AB" w:rsidRDefault="0002192E" w:rsidP="0002192E">
      <w:pPr>
        <w:jc w:val="both"/>
      </w:pPr>
    </w:p>
    <w:p w14:paraId="50B7DC5B" w14:textId="5B724560" w:rsidR="0002192E" w:rsidRPr="009118AB" w:rsidRDefault="00D67EB8" w:rsidP="0002192E">
      <w:pPr>
        <w:ind w:firstLine="708"/>
        <w:jc w:val="both"/>
      </w:pPr>
      <w:r w:rsidRPr="009118AB">
        <w:t>§ </w:t>
      </w:r>
      <w:r w:rsidR="0002192E" w:rsidRPr="009118AB">
        <w:t>5</w:t>
      </w:r>
      <w:r w:rsidRPr="009118AB">
        <w:t> - </w:t>
      </w:r>
      <w:r w:rsidR="0002192E" w:rsidRPr="009118AB">
        <w:t xml:space="preserve">Nachdem der Einnehmer des Registrierungsamtes den geschuldeten Berufssteuervorabzug eingenommen hat, vervollständigt er die in </w:t>
      </w:r>
      <w:r w:rsidRPr="009118AB">
        <w:t>§ </w:t>
      </w:r>
      <w:r w:rsidR="0002192E" w:rsidRPr="009118AB">
        <w:t>3 erwähnte Notifizierung und händigt er dem Schuldner des Berufssteuervorabzugs zwei Ausfertigungen davon aus. Letzterer händigt eine Ausfertigung dem Zedenten des unbeweglichen Gutes oder der dinglichen Rechte an diesem Gut aus, damit dieser seine Erklärung zur Steuer der Gebietsfremden ausfüllen kann.</w:t>
      </w:r>
    </w:p>
    <w:p w14:paraId="388D67D9" w14:textId="77777777" w:rsidR="0002192E" w:rsidRPr="009118AB" w:rsidRDefault="0002192E" w:rsidP="0002192E">
      <w:pPr>
        <w:jc w:val="both"/>
      </w:pPr>
    </w:p>
    <w:p w14:paraId="23D5D30A" w14:textId="77777777" w:rsidR="0002192E" w:rsidRPr="009118AB" w:rsidRDefault="0002192E" w:rsidP="0002192E">
      <w:pPr>
        <w:ind w:firstLine="708"/>
        <w:jc w:val="both"/>
      </w:pPr>
      <w:r w:rsidRPr="009118AB">
        <w:t>Der Einnehmer des Registrierungsamtes sendet dem zuständigen Dienst der mit der Festlegung der Einkommensteuern beauftragten Verwaltung eine Ausfertigung der in Absatz 1 erwähnten Notifizierung zu.</w:t>
      </w:r>
    </w:p>
    <w:p w14:paraId="5D0DECFD" w14:textId="77777777" w:rsidR="0002192E" w:rsidRPr="009118AB" w:rsidRDefault="0002192E" w:rsidP="0002192E">
      <w:pPr>
        <w:jc w:val="both"/>
      </w:pPr>
    </w:p>
    <w:p w14:paraId="581CB4B6" w14:textId="26DCF1C7" w:rsidR="00477B8F" w:rsidRPr="009118AB" w:rsidRDefault="0002192E" w:rsidP="00021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t>§ </w:t>
      </w:r>
      <w:r w:rsidRPr="009118AB">
        <w:t>6</w:t>
      </w:r>
      <w:r w:rsidR="00D67EB8" w:rsidRPr="009118AB">
        <w:t> - </w:t>
      </w:r>
      <w:r w:rsidRPr="009118AB">
        <w:t xml:space="preserve">Der König bestimmt die Angaben, die in der in </w:t>
      </w:r>
      <w:r w:rsidR="00D67EB8" w:rsidRPr="009118AB">
        <w:t>§ </w:t>
      </w:r>
      <w:r w:rsidRPr="009118AB">
        <w:t>2 Absatz 1 erwähnten Meldung enthalten sein müssen.]</w:t>
      </w:r>
      <w:r w:rsidR="00477B8F" w:rsidRPr="009118AB">
        <w:t>]</w:t>
      </w:r>
    </w:p>
    <w:p w14:paraId="604D9C2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6C95E8" w14:textId="7B34389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118AB">
        <w:rPr>
          <w:i/>
          <w:iCs/>
          <w:spacing w:val="-2"/>
        </w:rPr>
        <w:t>[</w:t>
      </w:r>
      <w:r w:rsidR="00D67EB8" w:rsidRPr="009118AB">
        <w:rPr>
          <w:i/>
          <w:iCs/>
          <w:spacing w:val="-2"/>
        </w:rPr>
        <w:t>Art. </w:t>
      </w:r>
      <w:r w:rsidRPr="009118AB">
        <w:rPr>
          <w:i/>
          <w:iCs/>
          <w:spacing w:val="-2"/>
        </w:rPr>
        <w:t xml:space="preserve">412bis eingefügt durch </w:t>
      </w:r>
      <w:r w:rsidR="00D67EB8" w:rsidRPr="009118AB">
        <w:rPr>
          <w:i/>
          <w:iCs/>
          <w:spacing w:val="-2"/>
        </w:rPr>
        <w:t>Art. </w:t>
      </w:r>
      <w:r w:rsidRPr="009118AB">
        <w:rPr>
          <w:i/>
          <w:iCs/>
          <w:spacing w:val="-2"/>
        </w:rPr>
        <w:t>20 des G. vom 28. Dezember 1992 (B.S. vom 31. Dezember 1992)</w:t>
      </w:r>
      <w:r w:rsidR="00D67EB8" w:rsidRPr="009118AB">
        <w:rPr>
          <w:i/>
          <w:iCs/>
          <w:spacing w:val="-2"/>
        </w:rPr>
        <w:t> - </w:t>
      </w:r>
      <w:r w:rsidRPr="009118AB">
        <w:rPr>
          <w:i/>
          <w:iCs/>
          <w:spacing w:val="-2"/>
        </w:rPr>
        <w:t>anwendbar auf die ab dem 1. Januar 1993 verwirklichten Mehrwerte</w:t>
      </w:r>
      <w:r w:rsidR="00D67EB8" w:rsidRPr="009118AB">
        <w:rPr>
          <w:i/>
          <w:iCs/>
          <w:spacing w:val="-2"/>
        </w:rPr>
        <w:t> - </w:t>
      </w:r>
      <w:r w:rsidR="0002192E" w:rsidRPr="009118AB">
        <w:rPr>
          <w:i/>
          <w:iCs/>
          <w:spacing w:val="-2"/>
        </w:rPr>
        <w:t xml:space="preserve">und ersetzt durch </w:t>
      </w:r>
      <w:r w:rsidR="00D67EB8" w:rsidRPr="009118AB">
        <w:rPr>
          <w:i/>
          <w:iCs/>
          <w:spacing w:val="-2"/>
        </w:rPr>
        <w:t>Art. </w:t>
      </w:r>
      <w:r w:rsidR="0002192E" w:rsidRPr="009118AB">
        <w:rPr>
          <w:i/>
          <w:iCs/>
          <w:spacing w:val="-2"/>
        </w:rPr>
        <w:t xml:space="preserve">5 </w:t>
      </w:r>
      <w:r w:rsidR="00D67EB8" w:rsidRPr="009118AB">
        <w:rPr>
          <w:i/>
          <w:iCs/>
          <w:spacing w:val="-2"/>
        </w:rPr>
        <w:t>Nr. </w:t>
      </w:r>
      <w:r w:rsidR="00134CA8" w:rsidRPr="009118AB">
        <w:rPr>
          <w:i/>
          <w:iCs/>
          <w:spacing w:val="-2"/>
        </w:rPr>
        <w:t xml:space="preserve">1 </w:t>
      </w:r>
      <w:r w:rsidR="0002192E" w:rsidRPr="009118AB">
        <w:rPr>
          <w:i/>
          <w:iCs/>
          <w:spacing w:val="-2"/>
        </w:rPr>
        <w:t>des G. vom 23. April 2020 (B.S. vom 11. Mai 2020)</w:t>
      </w:r>
      <w:r w:rsidR="00D67EB8" w:rsidRPr="009118AB">
        <w:rPr>
          <w:i/>
          <w:iCs/>
          <w:spacing w:val="-2"/>
        </w:rPr>
        <w:t> - </w:t>
      </w:r>
      <w:r w:rsidR="0002192E" w:rsidRPr="009118AB">
        <w:rPr>
          <w:i/>
          <w:iCs/>
          <w:spacing w:val="-2"/>
        </w:rPr>
        <w:t>wirksam mit 30. Dezember 2019</w:t>
      </w:r>
      <w:r w:rsidR="003366D9" w:rsidRPr="009118AB">
        <w:rPr>
          <w:i/>
          <w:iCs/>
          <w:spacing w:val="-2"/>
        </w:rPr>
        <w:t> -;</w:t>
      </w:r>
      <w:r w:rsidR="0002192E" w:rsidRPr="009118AB">
        <w:rPr>
          <w:i/>
          <w:iCs/>
          <w:spacing w:val="-2"/>
        </w:rPr>
        <w:t xml:space="preserve"> </w:t>
      </w:r>
      <w:r w:rsidR="00D67EB8" w:rsidRPr="009118AB">
        <w:rPr>
          <w:i/>
          <w:iCs/>
          <w:spacing w:val="-2"/>
        </w:rPr>
        <w:t>§ </w:t>
      </w:r>
      <w:r w:rsidR="00FD34EA" w:rsidRPr="009118AB">
        <w:rPr>
          <w:i/>
          <w:iCs/>
          <w:spacing w:val="-2"/>
        </w:rPr>
        <w:t xml:space="preserve">1 </w:t>
      </w:r>
      <w:r w:rsidR="00D67EB8" w:rsidRPr="009118AB">
        <w:rPr>
          <w:i/>
          <w:iCs/>
          <w:spacing w:val="-2"/>
        </w:rPr>
        <w:t>Abs. </w:t>
      </w:r>
      <w:r w:rsidR="00FD34EA" w:rsidRPr="009118AB">
        <w:rPr>
          <w:i/>
          <w:iCs/>
          <w:spacing w:val="-2"/>
        </w:rPr>
        <w:t xml:space="preserve">2 abgeändert durch </w:t>
      </w:r>
      <w:r w:rsidR="00D67EB8" w:rsidRPr="009118AB">
        <w:rPr>
          <w:i/>
          <w:iCs/>
          <w:spacing w:val="-2"/>
        </w:rPr>
        <w:t>Art. </w:t>
      </w:r>
      <w:r w:rsidR="00FD34EA" w:rsidRPr="009118AB">
        <w:rPr>
          <w:i/>
          <w:iCs/>
          <w:spacing w:val="-2"/>
        </w:rPr>
        <w:t>121 Buchstabe a) des G. vom 21. Januar 2022 (B.S. vom 28. Januar 2022)</w:t>
      </w:r>
      <w:r w:rsidR="00D67EB8" w:rsidRPr="009118AB">
        <w:rPr>
          <w:i/>
          <w:iCs/>
          <w:spacing w:val="-2"/>
        </w:rPr>
        <w:t> - </w:t>
      </w:r>
      <w:r w:rsidR="00FD34EA" w:rsidRPr="009118AB">
        <w:rPr>
          <w:i/>
          <w:iCs/>
          <w:spacing w:val="-2"/>
        </w:rPr>
        <w:t>in Kraft am 1. April 2022</w:t>
      </w:r>
      <w:r w:rsidR="00FD68E8" w:rsidRPr="009118AB">
        <w:rPr>
          <w:i/>
          <w:iCs/>
          <w:spacing w:val="-2"/>
        </w:rPr>
        <w:t> -,</w:t>
      </w:r>
      <w:r w:rsidR="00FD34EA" w:rsidRPr="009118AB">
        <w:rPr>
          <w:rFonts w:ascii="Times New Roman Italique" w:hAnsi="Times New Roman Italique"/>
          <w:i/>
          <w:iCs/>
          <w:spacing w:val="-2"/>
        </w:rPr>
        <w:t xml:space="preserve"> selbst widerrufen durch </w:t>
      </w:r>
      <w:r w:rsidR="00D67EB8" w:rsidRPr="009118AB">
        <w:rPr>
          <w:rFonts w:ascii="Times New Roman Italique" w:hAnsi="Times New Roman Italique"/>
          <w:i/>
          <w:iCs/>
          <w:spacing w:val="-2"/>
        </w:rPr>
        <w:t>Art. </w:t>
      </w:r>
      <w:r w:rsidR="00FD34EA" w:rsidRPr="009118AB">
        <w:rPr>
          <w:rFonts w:ascii="Times New Roman Italique" w:hAnsi="Times New Roman Italique"/>
          <w:i/>
          <w:iCs/>
          <w:spacing w:val="-2"/>
        </w:rPr>
        <w:t>86 des G. vom 5. Juli 2022 (B.S. vom 15. Juli 2022)</w:t>
      </w:r>
      <w:r w:rsidR="00D67EB8" w:rsidRPr="009118AB">
        <w:rPr>
          <w:rFonts w:ascii="Times New Roman Italique" w:hAnsi="Times New Roman Italique"/>
          <w:i/>
          <w:iCs/>
          <w:spacing w:val="-2"/>
        </w:rPr>
        <w:t> </w:t>
      </w:r>
      <w:r w:rsidR="00D67EB8" w:rsidRPr="009118AB">
        <w:rPr>
          <w:rFonts w:ascii="Times New Roman Italique" w:hAnsi="Times New Roman Italique" w:hint="eastAsia"/>
          <w:i/>
          <w:iCs/>
          <w:spacing w:val="-2"/>
        </w:rPr>
        <w:t>-</w:t>
      </w:r>
      <w:r w:rsidR="00D67EB8" w:rsidRPr="009118AB">
        <w:rPr>
          <w:rFonts w:ascii="Times New Roman Italique" w:hAnsi="Times New Roman Italique"/>
          <w:i/>
          <w:iCs/>
          <w:spacing w:val="-2"/>
        </w:rPr>
        <w:t> </w:t>
      </w:r>
      <w:r w:rsidR="00DB7284" w:rsidRPr="009118AB">
        <w:rPr>
          <w:rFonts w:ascii="Times New Roman Italique" w:hAnsi="Times New Roman Italique"/>
          <w:i/>
          <w:iCs/>
          <w:spacing w:val="-2"/>
        </w:rPr>
        <w:t>in Kraft am 21.</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Januar</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2022</w:t>
      </w:r>
      <w:r w:rsidR="003366D9" w:rsidRPr="009118AB">
        <w:rPr>
          <w:rFonts w:ascii="Times New Roman Italique" w:hAnsi="Times New Roman Italique"/>
          <w:i/>
          <w:iCs/>
          <w:spacing w:val="-2"/>
        </w:rPr>
        <w:t> </w:t>
      </w:r>
      <w:r w:rsidR="003366D9" w:rsidRPr="009118AB">
        <w:rPr>
          <w:rFonts w:ascii="Times New Roman Italique" w:hAnsi="Times New Roman Italique" w:hint="eastAsia"/>
          <w:i/>
          <w:iCs/>
          <w:spacing w:val="-2"/>
        </w:rPr>
        <w:t>-;</w:t>
      </w:r>
      <w:r w:rsidR="00FD34EA" w:rsidRPr="009118AB">
        <w:rPr>
          <w:rFonts w:ascii="Times New Roman Italique" w:hAnsi="Times New Roman Italique"/>
          <w:i/>
          <w:iCs/>
          <w:spacing w:val="-2"/>
        </w:rPr>
        <w:t xml:space="preserve"> </w:t>
      </w:r>
      <w:r w:rsidR="00D67EB8" w:rsidRPr="009118AB">
        <w:rPr>
          <w:i/>
          <w:iCs/>
          <w:spacing w:val="-2"/>
        </w:rPr>
        <w:t>§ </w:t>
      </w:r>
      <w:r w:rsidR="00134CA8" w:rsidRPr="009118AB">
        <w:rPr>
          <w:i/>
          <w:iCs/>
          <w:spacing w:val="-2"/>
        </w:rPr>
        <w:t xml:space="preserve">2 </w:t>
      </w:r>
      <w:r w:rsidR="00D67EB8" w:rsidRPr="009118AB">
        <w:rPr>
          <w:i/>
          <w:iCs/>
          <w:spacing w:val="-2"/>
        </w:rPr>
        <w:t>Abs. </w:t>
      </w:r>
      <w:r w:rsidR="00134CA8" w:rsidRPr="009118AB">
        <w:rPr>
          <w:i/>
          <w:iCs/>
          <w:spacing w:val="-2"/>
        </w:rPr>
        <w:t xml:space="preserve">1 abgeändert durch </w:t>
      </w:r>
      <w:r w:rsidR="00D67EB8" w:rsidRPr="009118AB">
        <w:rPr>
          <w:i/>
          <w:iCs/>
          <w:spacing w:val="-2"/>
        </w:rPr>
        <w:t>Art. </w:t>
      </w:r>
      <w:r w:rsidR="00134CA8" w:rsidRPr="009118AB">
        <w:rPr>
          <w:i/>
          <w:iCs/>
          <w:spacing w:val="-2"/>
        </w:rPr>
        <w:t xml:space="preserve">5 </w:t>
      </w:r>
      <w:r w:rsidR="00D67EB8" w:rsidRPr="009118AB">
        <w:rPr>
          <w:i/>
          <w:iCs/>
          <w:spacing w:val="-2"/>
        </w:rPr>
        <w:t>Nr. </w:t>
      </w:r>
      <w:r w:rsidR="00134CA8" w:rsidRPr="009118AB">
        <w:rPr>
          <w:i/>
          <w:iCs/>
          <w:spacing w:val="-2"/>
        </w:rPr>
        <w:t>2 des G. vom 23. April 2020 (B.S. vom 11. Mai 2020)</w:t>
      </w:r>
      <w:r w:rsidR="00D67EB8" w:rsidRPr="009118AB">
        <w:rPr>
          <w:i/>
          <w:iCs/>
          <w:spacing w:val="-2"/>
        </w:rPr>
        <w:t> - </w:t>
      </w:r>
      <w:r w:rsidR="00134CA8" w:rsidRPr="009118AB">
        <w:rPr>
          <w:i/>
          <w:iCs/>
          <w:spacing w:val="-2"/>
        </w:rPr>
        <w:t>wirksam mit 1. Januar 2020</w:t>
      </w:r>
      <w:r w:rsidR="003366D9" w:rsidRPr="009118AB">
        <w:rPr>
          <w:i/>
          <w:iCs/>
          <w:spacing w:val="-2"/>
        </w:rPr>
        <w:t> -;</w:t>
      </w:r>
      <w:r w:rsidR="00134CA8" w:rsidRPr="009118AB">
        <w:rPr>
          <w:i/>
          <w:iCs/>
          <w:spacing w:val="-2"/>
        </w:rPr>
        <w:t xml:space="preserve"> </w:t>
      </w:r>
      <w:r w:rsidR="00D67EB8" w:rsidRPr="009118AB">
        <w:rPr>
          <w:i/>
          <w:iCs/>
          <w:spacing w:val="-2"/>
        </w:rPr>
        <w:t>§ </w:t>
      </w:r>
      <w:r w:rsidR="00134CA8" w:rsidRPr="009118AB">
        <w:rPr>
          <w:i/>
          <w:iCs/>
          <w:spacing w:val="-2"/>
        </w:rPr>
        <w:t xml:space="preserve">3 </w:t>
      </w:r>
      <w:r w:rsidR="00D67EB8" w:rsidRPr="009118AB">
        <w:rPr>
          <w:i/>
          <w:iCs/>
          <w:spacing w:val="-2"/>
        </w:rPr>
        <w:t>Abs. </w:t>
      </w:r>
      <w:r w:rsidR="00134CA8" w:rsidRPr="009118AB">
        <w:rPr>
          <w:i/>
          <w:iCs/>
          <w:spacing w:val="-2"/>
        </w:rPr>
        <w:t xml:space="preserve">1 abgeändert durch </w:t>
      </w:r>
      <w:r w:rsidR="00D67EB8" w:rsidRPr="009118AB">
        <w:rPr>
          <w:i/>
          <w:iCs/>
          <w:spacing w:val="-2"/>
        </w:rPr>
        <w:t>Art. </w:t>
      </w:r>
      <w:r w:rsidR="00134CA8" w:rsidRPr="009118AB">
        <w:rPr>
          <w:i/>
          <w:iCs/>
          <w:spacing w:val="-2"/>
        </w:rPr>
        <w:t xml:space="preserve">5 </w:t>
      </w:r>
      <w:r w:rsidR="00D67EB8" w:rsidRPr="009118AB">
        <w:rPr>
          <w:i/>
          <w:iCs/>
          <w:spacing w:val="-2"/>
        </w:rPr>
        <w:t>Nr. </w:t>
      </w:r>
      <w:r w:rsidR="00134CA8" w:rsidRPr="009118AB">
        <w:rPr>
          <w:i/>
          <w:iCs/>
          <w:spacing w:val="-2"/>
        </w:rPr>
        <w:t>3 des G. vom 23. April 2020 (B.S. vom 11. Mai 2020)</w:t>
      </w:r>
      <w:r w:rsidR="00D67EB8" w:rsidRPr="009118AB">
        <w:rPr>
          <w:i/>
          <w:iCs/>
          <w:spacing w:val="-2"/>
        </w:rPr>
        <w:t> - </w:t>
      </w:r>
      <w:r w:rsidR="00134CA8" w:rsidRPr="009118AB">
        <w:rPr>
          <w:i/>
          <w:iCs/>
          <w:spacing w:val="-2"/>
        </w:rPr>
        <w:t>wirksam mit 1. Januar 2020</w:t>
      </w:r>
      <w:r w:rsidR="003366D9" w:rsidRPr="009118AB">
        <w:rPr>
          <w:i/>
          <w:iCs/>
          <w:spacing w:val="-2"/>
        </w:rPr>
        <w:t> -;</w:t>
      </w:r>
      <w:r w:rsidR="00FD34EA" w:rsidRPr="009118AB">
        <w:rPr>
          <w:i/>
          <w:iCs/>
          <w:spacing w:val="-2"/>
        </w:rPr>
        <w:t xml:space="preserve"> </w:t>
      </w:r>
      <w:r w:rsidR="00D67EB8" w:rsidRPr="009118AB">
        <w:rPr>
          <w:i/>
          <w:iCs/>
          <w:spacing w:val="-2"/>
        </w:rPr>
        <w:t>§ </w:t>
      </w:r>
      <w:r w:rsidR="00FD34EA" w:rsidRPr="009118AB">
        <w:rPr>
          <w:i/>
          <w:iCs/>
          <w:spacing w:val="-2"/>
        </w:rPr>
        <w:t xml:space="preserve">4 </w:t>
      </w:r>
      <w:r w:rsidR="00D67EB8" w:rsidRPr="009118AB">
        <w:rPr>
          <w:i/>
          <w:iCs/>
          <w:spacing w:val="-2"/>
        </w:rPr>
        <w:t>Abs. </w:t>
      </w:r>
      <w:r w:rsidR="00FD34EA" w:rsidRPr="009118AB">
        <w:rPr>
          <w:i/>
          <w:iCs/>
          <w:spacing w:val="-2"/>
        </w:rPr>
        <w:t xml:space="preserve">1 abgeändert durch </w:t>
      </w:r>
      <w:r w:rsidR="00D67EB8" w:rsidRPr="009118AB">
        <w:rPr>
          <w:i/>
          <w:iCs/>
          <w:spacing w:val="-2"/>
        </w:rPr>
        <w:t>Art. </w:t>
      </w:r>
      <w:r w:rsidR="00FD34EA" w:rsidRPr="009118AB">
        <w:rPr>
          <w:i/>
          <w:iCs/>
          <w:spacing w:val="-2"/>
        </w:rPr>
        <w:t xml:space="preserve">121 Buchstabe b) </w:t>
      </w:r>
      <w:r w:rsidR="00FD34EA" w:rsidRPr="009118AB">
        <w:rPr>
          <w:i/>
          <w:iCs/>
        </w:rPr>
        <w:t>des G. vom 21. Januar 2022 (B.S. vom 28. Januar 2022)</w:t>
      </w:r>
      <w:r w:rsidR="00D67EB8" w:rsidRPr="009118AB">
        <w:rPr>
          <w:i/>
          <w:iCs/>
        </w:rPr>
        <w:t> - </w:t>
      </w:r>
      <w:r w:rsidR="00FD34EA" w:rsidRPr="009118AB">
        <w:rPr>
          <w:i/>
          <w:iCs/>
        </w:rPr>
        <w:t>in Kraft am 1. April 2022</w:t>
      </w:r>
      <w:r w:rsidR="00FD68E8" w:rsidRPr="009118AB">
        <w:rPr>
          <w:i/>
          <w:iCs/>
        </w:rPr>
        <w:t> -,</w:t>
      </w:r>
      <w:r w:rsidR="00FD34EA" w:rsidRPr="009118AB">
        <w:rPr>
          <w:rFonts w:ascii="Times New Roman Italique" w:hAnsi="Times New Roman Italique"/>
          <w:i/>
          <w:iCs/>
          <w:spacing w:val="-2"/>
        </w:rPr>
        <w:t xml:space="preserve"> selbst widerrufen durch </w:t>
      </w:r>
      <w:r w:rsidR="00D67EB8" w:rsidRPr="009118AB">
        <w:rPr>
          <w:rFonts w:ascii="Times New Roman Italique" w:hAnsi="Times New Roman Italique"/>
          <w:i/>
          <w:iCs/>
          <w:spacing w:val="-2"/>
        </w:rPr>
        <w:t>Art. </w:t>
      </w:r>
      <w:r w:rsidR="00FD34EA" w:rsidRPr="009118AB">
        <w:rPr>
          <w:rFonts w:ascii="Times New Roman Italique" w:hAnsi="Times New Roman Italique"/>
          <w:i/>
          <w:iCs/>
          <w:spacing w:val="-2"/>
        </w:rPr>
        <w:t>86 des G. vom 5. Juli 2022 (B.S. vom 15. Juli 2022)</w:t>
      </w:r>
      <w:r w:rsidR="00D67EB8" w:rsidRPr="009118AB">
        <w:rPr>
          <w:rFonts w:ascii="Times New Roman Italique" w:hAnsi="Times New Roman Italique"/>
          <w:i/>
          <w:iCs/>
          <w:spacing w:val="-2"/>
        </w:rPr>
        <w:t> </w:t>
      </w:r>
      <w:r w:rsidR="00D67EB8" w:rsidRPr="009118AB">
        <w:rPr>
          <w:rFonts w:ascii="Times New Roman Italique" w:hAnsi="Times New Roman Italique" w:hint="eastAsia"/>
          <w:i/>
          <w:iCs/>
          <w:spacing w:val="-2"/>
        </w:rPr>
        <w:t>-</w:t>
      </w:r>
      <w:r w:rsidR="00D67EB8" w:rsidRPr="009118AB">
        <w:rPr>
          <w:rFonts w:ascii="Times New Roman Italique" w:hAnsi="Times New Roman Italique"/>
          <w:i/>
          <w:iCs/>
          <w:spacing w:val="-2"/>
        </w:rPr>
        <w:t> </w:t>
      </w:r>
      <w:r w:rsidR="00DB7284" w:rsidRPr="009118AB">
        <w:rPr>
          <w:rFonts w:ascii="Times New Roman Italique" w:hAnsi="Times New Roman Italique"/>
          <w:i/>
          <w:iCs/>
          <w:spacing w:val="-2"/>
        </w:rPr>
        <w:t>in Kraft am 21.</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Januar</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2022</w:t>
      </w:r>
      <w:r w:rsidR="003366D9" w:rsidRPr="009118AB">
        <w:rPr>
          <w:rFonts w:ascii="Times New Roman Italique" w:hAnsi="Times New Roman Italique"/>
          <w:i/>
          <w:iCs/>
          <w:spacing w:val="-2"/>
        </w:rPr>
        <w:t> </w:t>
      </w:r>
      <w:r w:rsidR="003366D9" w:rsidRPr="009118AB">
        <w:rPr>
          <w:rFonts w:ascii="Times New Roman Italique" w:hAnsi="Times New Roman Italique" w:hint="eastAsia"/>
          <w:i/>
          <w:iCs/>
          <w:spacing w:val="-2"/>
        </w:rPr>
        <w:t>-;</w:t>
      </w:r>
      <w:r w:rsidR="00FD34EA" w:rsidRPr="009118AB">
        <w:rPr>
          <w:rFonts w:ascii="Times New Roman Italique" w:hAnsi="Times New Roman Italique"/>
          <w:i/>
          <w:iCs/>
          <w:spacing w:val="-2"/>
        </w:rPr>
        <w:t xml:space="preserve"> </w:t>
      </w:r>
      <w:r w:rsidR="00D67EB8" w:rsidRPr="009118AB">
        <w:rPr>
          <w:i/>
          <w:iCs/>
          <w:spacing w:val="-2"/>
        </w:rPr>
        <w:t>§ </w:t>
      </w:r>
      <w:r w:rsidR="00FD34EA" w:rsidRPr="009118AB">
        <w:rPr>
          <w:i/>
          <w:iCs/>
          <w:spacing w:val="-2"/>
        </w:rPr>
        <w:t xml:space="preserve">4 </w:t>
      </w:r>
      <w:r w:rsidR="00D67EB8" w:rsidRPr="009118AB">
        <w:rPr>
          <w:i/>
          <w:iCs/>
          <w:spacing w:val="-2"/>
        </w:rPr>
        <w:t>Abs. </w:t>
      </w:r>
      <w:r w:rsidR="00FD34EA" w:rsidRPr="009118AB">
        <w:rPr>
          <w:i/>
          <w:iCs/>
          <w:spacing w:val="-2"/>
        </w:rPr>
        <w:t xml:space="preserve">2 abgeändert durch </w:t>
      </w:r>
      <w:r w:rsidR="00D67EB8" w:rsidRPr="009118AB">
        <w:rPr>
          <w:i/>
          <w:iCs/>
          <w:spacing w:val="-2"/>
        </w:rPr>
        <w:t>Art. </w:t>
      </w:r>
      <w:r w:rsidR="00FD34EA" w:rsidRPr="009118AB">
        <w:rPr>
          <w:i/>
          <w:iCs/>
          <w:spacing w:val="-2"/>
        </w:rPr>
        <w:t>121 Buchstabe c)</w:t>
      </w:r>
      <w:r w:rsidR="00FD34EA" w:rsidRPr="009118AB">
        <w:rPr>
          <w:i/>
          <w:iCs/>
        </w:rPr>
        <w:t xml:space="preserve"> des G. vom 21. Januar 2022 (B.S. vom 28. Januar 2022)</w:t>
      </w:r>
      <w:r w:rsidR="00D67EB8" w:rsidRPr="009118AB">
        <w:rPr>
          <w:i/>
          <w:iCs/>
        </w:rPr>
        <w:t> - </w:t>
      </w:r>
      <w:r w:rsidR="00FD34EA" w:rsidRPr="009118AB">
        <w:rPr>
          <w:i/>
          <w:iCs/>
        </w:rPr>
        <w:t>in Kraft am 1. April 2022</w:t>
      </w:r>
      <w:r w:rsidR="00FD68E8" w:rsidRPr="009118AB">
        <w:rPr>
          <w:i/>
          <w:iCs/>
        </w:rPr>
        <w:t> -,</w:t>
      </w:r>
      <w:r w:rsidR="00FD34EA" w:rsidRPr="009118AB">
        <w:rPr>
          <w:rFonts w:ascii="Times New Roman Italique" w:hAnsi="Times New Roman Italique"/>
          <w:i/>
          <w:iCs/>
          <w:spacing w:val="-2"/>
        </w:rPr>
        <w:t xml:space="preserve"> selbst widerrufen durch </w:t>
      </w:r>
      <w:r w:rsidR="00D67EB8" w:rsidRPr="009118AB">
        <w:rPr>
          <w:rFonts w:ascii="Times New Roman Italique" w:hAnsi="Times New Roman Italique"/>
          <w:i/>
          <w:iCs/>
          <w:spacing w:val="-2"/>
        </w:rPr>
        <w:t>Art. </w:t>
      </w:r>
      <w:r w:rsidR="00FD34EA" w:rsidRPr="009118AB">
        <w:rPr>
          <w:rFonts w:ascii="Times New Roman Italique" w:hAnsi="Times New Roman Italique"/>
          <w:i/>
          <w:iCs/>
          <w:spacing w:val="-2"/>
        </w:rPr>
        <w:t>86 des G. vom 5. Juli 2022 (B.S. vom 15. Juli 2022)</w:t>
      </w:r>
      <w:r w:rsidR="00D67EB8" w:rsidRPr="009118AB">
        <w:rPr>
          <w:rFonts w:ascii="Times New Roman Italique" w:hAnsi="Times New Roman Italique"/>
          <w:i/>
          <w:iCs/>
          <w:spacing w:val="-2"/>
        </w:rPr>
        <w:t> </w:t>
      </w:r>
      <w:r w:rsidR="00D67EB8" w:rsidRPr="009118AB">
        <w:rPr>
          <w:rFonts w:ascii="Times New Roman Italique" w:hAnsi="Times New Roman Italique" w:hint="eastAsia"/>
          <w:i/>
          <w:iCs/>
          <w:spacing w:val="-2"/>
        </w:rPr>
        <w:t>-</w:t>
      </w:r>
      <w:r w:rsidR="00D67EB8" w:rsidRPr="009118AB">
        <w:rPr>
          <w:rFonts w:ascii="Times New Roman Italique" w:hAnsi="Times New Roman Italique"/>
          <w:i/>
          <w:iCs/>
          <w:spacing w:val="-2"/>
        </w:rPr>
        <w:t> </w:t>
      </w:r>
      <w:r w:rsidR="00DB7284" w:rsidRPr="009118AB">
        <w:rPr>
          <w:rFonts w:ascii="Times New Roman Italique" w:hAnsi="Times New Roman Italique"/>
          <w:i/>
          <w:iCs/>
          <w:spacing w:val="-2"/>
        </w:rPr>
        <w:t>in Kraft am 21.</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Januar</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2022</w:t>
      </w:r>
      <w:r w:rsidR="003366D9" w:rsidRPr="009118AB">
        <w:rPr>
          <w:rFonts w:ascii="Times New Roman Italique" w:hAnsi="Times New Roman Italique"/>
          <w:i/>
          <w:iCs/>
          <w:spacing w:val="-2"/>
        </w:rPr>
        <w:t> </w:t>
      </w:r>
      <w:r w:rsidR="003366D9" w:rsidRPr="009118AB">
        <w:rPr>
          <w:rFonts w:ascii="Times New Roman Italique" w:hAnsi="Times New Roman Italique" w:hint="eastAsia"/>
          <w:i/>
          <w:iCs/>
          <w:spacing w:val="-2"/>
        </w:rPr>
        <w:t>-;</w:t>
      </w:r>
      <w:r w:rsidR="00FD34EA" w:rsidRPr="009118AB">
        <w:rPr>
          <w:rFonts w:ascii="Times New Roman Italique" w:hAnsi="Times New Roman Italique"/>
          <w:i/>
          <w:iCs/>
          <w:spacing w:val="-2"/>
        </w:rPr>
        <w:t xml:space="preserve"> </w:t>
      </w:r>
      <w:r w:rsidR="00D67EB8" w:rsidRPr="009118AB">
        <w:rPr>
          <w:i/>
          <w:iCs/>
          <w:spacing w:val="-2"/>
        </w:rPr>
        <w:t>§ </w:t>
      </w:r>
      <w:r w:rsidR="00FD34EA" w:rsidRPr="009118AB">
        <w:rPr>
          <w:i/>
          <w:iCs/>
          <w:spacing w:val="-2"/>
        </w:rPr>
        <w:t xml:space="preserve">5 </w:t>
      </w:r>
      <w:r w:rsidR="00D67EB8" w:rsidRPr="009118AB">
        <w:rPr>
          <w:i/>
          <w:iCs/>
          <w:spacing w:val="-2"/>
        </w:rPr>
        <w:t>Abs. </w:t>
      </w:r>
      <w:r w:rsidR="00FD34EA" w:rsidRPr="009118AB">
        <w:rPr>
          <w:i/>
          <w:iCs/>
          <w:spacing w:val="-2"/>
        </w:rPr>
        <w:t xml:space="preserve">1 abgeändert durch </w:t>
      </w:r>
      <w:r w:rsidR="00D67EB8" w:rsidRPr="009118AB">
        <w:rPr>
          <w:i/>
          <w:iCs/>
          <w:spacing w:val="-2"/>
        </w:rPr>
        <w:t>Art. </w:t>
      </w:r>
      <w:r w:rsidR="00FD34EA" w:rsidRPr="009118AB">
        <w:rPr>
          <w:i/>
          <w:iCs/>
          <w:spacing w:val="-2"/>
        </w:rPr>
        <w:t>121 Buchstabe d)</w:t>
      </w:r>
      <w:r w:rsidR="00FD34EA" w:rsidRPr="009118AB">
        <w:rPr>
          <w:i/>
          <w:iCs/>
        </w:rPr>
        <w:t xml:space="preserve"> des G. vom 21. Januar 2022 (B.S. vom 28. Januar 2022)</w:t>
      </w:r>
      <w:r w:rsidR="00D67EB8" w:rsidRPr="009118AB">
        <w:rPr>
          <w:i/>
          <w:iCs/>
        </w:rPr>
        <w:t> - </w:t>
      </w:r>
      <w:r w:rsidR="00FD34EA" w:rsidRPr="009118AB">
        <w:rPr>
          <w:i/>
          <w:iCs/>
        </w:rPr>
        <w:t>in Kraft am 1. April 2022</w:t>
      </w:r>
      <w:r w:rsidR="00FD68E8" w:rsidRPr="009118AB">
        <w:rPr>
          <w:i/>
          <w:iCs/>
        </w:rPr>
        <w:t> -,</w:t>
      </w:r>
      <w:r w:rsidR="00FD34EA" w:rsidRPr="009118AB">
        <w:rPr>
          <w:rFonts w:ascii="Times New Roman Italique" w:hAnsi="Times New Roman Italique"/>
          <w:i/>
          <w:iCs/>
          <w:spacing w:val="-2"/>
        </w:rPr>
        <w:t xml:space="preserve"> selbst widerrufen durch </w:t>
      </w:r>
      <w:r w:rsidR="00D67EB8" w:rsidRPr="009118AB">
        <w:rPr>
          <w:rFonts w:ascii="Times New Roman Italique" w:hAnsi="Times New Roman Italique"/>
          <w:i/>
          <w:iCs/>
          <w:spacing w:val="-2"/>
        </w:rPr>
        <w:t>Art. </w:t>
      </w:r>
      <w:r w:rsidR="00FD34EA" w:rsidRPr="009118AB">
        <w:rPr>
          <w:rFonts w:ascii="Times New Roman Italique" w:hAnsi="Times New Roman Italique"/>
          <w:i/>
          <w:iCs/>
          <w:spacing w:val="-2"/>
        </w:rPr>
        <w:t>86 des G. vom 5. Juli 2022 (B.S. vom 15. Juli 2022</w:t>
      </w:r>
      <w:r w:rsidR="00D67EB8" w:rsidRPr="009118AB">
        <w:rPr>
          <w:rFonts w:ascii="Times New Roman Italique" w:hAnsi="Times New Roman Italique"/>
          <w:i/>
          <w:iCs/>
          <w:spacing w:val="-2"/>
        </w:rPr>
        <w:t> </w:t>
      </w:r>
      <w:r w:rsidR="00D67EB8" w:rsidRPr="009118AB">
        <w:rPr>
          <w:rFonts w:ascii="Times New Roman Italique" w:hAnsi="Times New Roman Italique" w:hint="eastAsia"/>
          <w:i/>
          <w:iCs/>
          <w:spacing w:val="-2"/>
        </w:rPr>
        <w:t>-</w:t>
      </w:r>
      <w:r w:rsidR="00D67EB8" w:rsidRPr="009118AB">
        <w:rPr>
          <w:rFonts w:ascii="Times New Roman Italique" w:hAnsi="Times New Roman Italique"/>
          <w:i/>
          <w:iCs/>
          <w:spacing w:val="-2"/>
        </w:rPr>
        <w:t> </w:t>
      </w:r>
      <w:r w:rsidR="00DB7284" w:rsidRPr="009118AB">
        <w:rPr>
          <w:rFonts w:ascii="Times New Roman Italique" w:hAnsi="Times New Roman Italique"/>
          <w:i/>
          <w:iCs/>
          <w:spacing w:val="-2"/>
        </w:rPr>
        <w:t>in Kraft am 21.</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Januar</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2022</w:t>
      </w:r>
      <w:r w:rsidR="003366D9" w:rsidRPr="009118AB">
        <w:rPr>
          <w:rFonts w:ascii="Times New Roman Italique" w:hAnsi="Times New Roman Italique"/>
          <w:i/>
          <w:iCs/>
          <w:spacing w:val="-2"/>
        </w:rPr>
        <w:t> </w:t>
      </w:r>
      <w:r w:rsidR="003366D9" w:rsidRPr="009118AB">
        <w:rPr>
          <w:rFonts w:ascii="Times New Roman Italique" w:hAnsi="Times New Roman Italique" w:hint="eastAsia"/>
          <w:i/>
          <w:iCs/>
          <w:spacing w:val="-2"/>
        </w:rPr>
        <w:t>-;</w:t>
      </w:r>
      <w:r w:rsidR="00FD34EA" w:rsidRPr="009118AB">
        <w:rPr>
          <w:rFonts w:ascii="Times New Roman Italique" w:hAnsi="Times New Roman Italique"/>
          <w:i/>
          <w:iCs/>
          <w:spacing w:val="-2"/>
        </w:rPr>
        <w:t xml:space="preserve"> </w:t>
      </w:r>
      <w:r w:rsidR="00D67EB8" w:rsidRPr="009118AB">
        <w:rPr>
          <w:i/>
          <w:iCs/>
          <w:spacing w:val="-2"/>
        </w:rPr>
        <w:t>§ </w:t>
      </w:r>
      <w:r w:rsidR="00FD34EA" w:rsidRPr="009118AB">
        <w:rPr>
          <w:i/>
          <w:iCs/>
          <w:spacing w:val="-2"/>
        </w:rPr>
        <w:t xml:space="preserve">5 </w:t>
      </w:r>
      <w:r w:rsidR="00D67EB8" w:rsidRPr="009118AB">
        <w:rPr>
          <w:i/>
          <w:iCs/>
          <w:spacing w:val="-2"/>
        </w:rPr>
        <w:t>Abs. </w:t>
      </w:r>
      <w:r w:rsidR="00FD34EA" w:rsidRPr="009118AB">
        <w:rPr>
          <w:i/>
          <w:iCs/>
          <w:spacing w:val="-2"/>
        </w:rPr>
        <w:t xml:space="preserve">2 abgeändert durch </w:t>
      </w:r>
      <w:r w:rsidR="00D67EB8" w:rsidRPr="009118AB">
        <w:rPr>
          <w:i/>
          <w:iCs/>
          <w:spacing w:val="-2"/>
        </w:rPr>
        <w:t>Art. </w:t>
      </w:r>
      <w:r w:rsidR="00FD34EA" w:rsidRPr="009118AB">
        <w:rPr>
          <w:i/>
          <w:iCs/>
          <w:spacing w:val="-2"/>
        </w:rPr>
        <w:t xml:space="preserve">121 Buchstabe e) </w:t>
      </w:r>
      <w:r w:rsidR="00FD34EA" w:rsidRPr="009118AB">
        <w:rPr>
          <w:i/>
          <w:iCs/>
        </w:rPr>
        <w:t>des G. vom 21. Januar 2022 (B.S. vom 28. Januar 2022)</w:t>
      </w:r>
      <w:r w:rsidR="00D67EB8" w:rsidRPr="009118AB">
        <w:rPr>
          <w:i/>
          <w:iCs/>
        </w:rPr>
        <w:t> - </w:t>
      </w:r>
      <w:r w:rsidR="00FD34EA" w:rsidRPr="009118AB">
        <w:rPr>
          <w:i/>
          <w:iCs/>
        </w:rPr>
        <w:t>in Kraft am 1. April 2022</w:t>
      </w:r>
      <w:r w:rsidR="00FD68E8" w:rsidRPr="009118AB">
        <w:rPr>
          <w:i/>
          <w:iCs/>
        </w:rPr>
        <w:t> -,</w:t>
      </w:r>
      <w:r w:rsidR="00FD34EA" w:rsidRPr="009118AB">
        <w:rPr>
          <w:rFonts w:ascii="Times New Roman Italique" w:hAnsi="Times New Roman Italique"/>
          <w:i/>
          <w:iCs/>
          <w:spacing w:val="-2"/>
        </w:rPr>
        <w:t xml:space="preserve"> selbst widerrufen durch </w:t>
      </w:r>
      <w:r w:rsidR="00D67EB8" w:rsidRPr="009118AB">
        <w:rPr>
          <w:rFonts w:ascii="Times New Roman Italique" w:hAnsi="Times New Roman Italique"/>
          <w:i/>
          <w:iCs/>
          <w:spacing w:val="-2"/>
        </w:rPr>
        <w:t>Art. </w:t>
      </w:r>
      <w:r w:rsidR="00FD34EA" w:rsidRPr="009118AB">
        <w:rPr>
          <w:rFonts w:ascii="Times New Roman Italique" w:hAnsi="Times New Roman Italique"/>
          <w:i/>
          <w:iCs/>
          <w:spacing w:val="-2"/>
        </w:rPr>
        <w:t>86 des G. vom 5. Juli 2022 (B.S. vom 15. Juli 2022)</w:t>
      </w:r>
      <w:r w:rsidR="00D67EB8" w:rsidRPr="009118AB">
        <w:rPr>
          <w:rFonts w:ascii="Times New Roman Italique" w:hAnsi="Times New Roman Italique"/>
          <w:i/>
          <w:iCs/>
          <w:spacing w:val="-2"/>
        </w:rPr>
        <w:t> </w:t>
      </w:r>
      <w:r w:rsidR="00D67EB8" w:rsidRPr="009118AB">
        <w:rPr>
          <w:rFonts w:ascii="Times New Roman Italique" w:hAnsi="Times New Roman Italique" w:hint="eastAsia"/>
          <w:i/>
          <w:iCs/>
          <w:spacing w:val="-2"/>
        </w:rPr>
        <w:t>-</w:t>
      </w:r>
      <w:r w:rsidR="00D67EB8" w:rsidRPr="009118AB">
        <w:rPr>
          <w:rFonts w:ascii="Times New Roman Italique" w:hAnsi="Times New Roman Italique"/>
          <w:i/>
          <w:iCs/>
          <w:spacing w:val="-2"/>
        </w:rPr>
        <w:t> </w:t>
      </w:r>
      <w:r w:rsidR="00DB7284" w:rsidRPr="009118AB">
        <w:rPr>
          <w:rFonts w:ascii="Times New Roman Italique" w:hAnsi="Times New Roman Italique"/>
          <w:i/>
          <w:iCs/>
          <w:spacing w:val="-2"/>
        </w:rPr>
        <w:t>in Kraft am 21.</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Januar</w:t>
      </w:r>
      <w:r w:rsidR="00DB7284" w:rsidRPr="009118AB">
        <w:rPr>
          <w:rFonts w:ascii="Times New Roman Italique" w:hAnsi="Times New Roman Italique" w:hint="eastAsia"/>
          <w:i/>
          <w:iCs/>
          <w:spacing w:val="-2"/>
        </w:rPr>
        <w:t> </w:t>
      </w:r>
      <w:r w:rsidR="00DB7284" w:rsidRPr="009118AB">
        <w:rPr>
          <w:rFonts w:ascii="Times New Roman Italique" w:hAnsi="Times New Roman Italique"/>
          <w:i/>
          <w:iCs/>
          <w:spacing w:val="-2"/>
        </w:rPr>
        <w:t>2022</w:t>
      </w:r>
      <w:r w:rsidR="00FD68E8" w:rsidRPr="009118AB">
        <w:rPr>
          <w:rFonts w:ascii="Times New Roman Italique" w:hAnsi="Times New Roman Italique"/>
          <w:i/>
          <w:iCs/>
          <w:spacing w:val="-2"/>
        </w:rPr>
        <w:t> </w:t>
      </w:r>
      <w:r w:rsidR="00FD68E8" w:rsidRPr="009118AB">
        <w:rPr>
          <w:rFonts w:ascii="Times New Roman Italique" w:hAnsi="Times New Roman Italique" w:hint="eastAsia"/>
          <w:i/>
          <w:iCs/>
          <w:spacing w:val="-2"/>
        </w:rPr>
        <w:t>-]</w:t>
      </w:r>
    </w:p>
    <w:p w14:paraId="0CBFA3E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F0068E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F10247C" w14:textId="5A1BCAF7" w:rsidR="000A387E" w:rsidRPr="009118AB" w:rsidRDefault="000A387E" w:rsidP="000A387E">
      <w:pPr>
        <w:autoSpaceDE w:val="0"/>
        <w:autoSpaceDN w:val="0"/>
        <w:adjustRightInd w:val="0"/>
        <w:jc w:val="both"/>
        <w:rPr>
          <w:sz w:val="20"/>
        </w:rPr>
      </w:pPr>
      <w:r w:rsidRPr="009118AB">
        <w:rPr>
          <w:iCs/>
          <w:sz w:val="20"/>
          <w:szCs w:val="20"/>
        </w:rPr>
        <w:t>Ab dem 1. Januar 2028 (gemäß Art. 89 d</w:t>
      </w:r>
      <w:r w:rsidRPr="009118AB">
        <w:rPr>
          <w:sz w:val="20"/>
        </w:rPr>
        <w:t>es G. vom 5. Juli 2022 (B.S. vom 15. Juli 2022)</w:t>
      </w:r>
      <w:r w:rsidR="00ED37C4" w:rsidRPr="009118AB">
        <w:rPr>
          <w:sz w:val="20"/>
        </w:rPr>
        <w:t xml:space="preserve"> , selbst abgeändert durch Art. 39 des G. vom 22. Dezember 2023</w:t>
      </w:r>
      <w:r w:rsidR="00552005" w:rsidRPr="00552005">
        <w:rPr>
          <w:i/>
          <w:iCs/>
          <w:sz w:val="20"/>
        </w:rPr>
        <w:t> (I)</w:t>
      </w:r>
      <w:r w:rsidR="00ED37C4" w:rsidRPr="009118AB">
        <w:rPr>
          <w:sz w:val="20"/>
        </w:rPr>
        <w:t xml:space="preserve"> (B.S. vom 29. Dezember 2023)</w:t>
      </w:r>
      <w:r w:rsidRPr="009118AB">
        <w:rPr>
          <w:sz w:val="20"/>
        </w:rPr>
        <w:t>) lautet Art. 412</w:t>
      </w:r>
      <w:r w:rsidRPr="009118AB">
        <w:rPr>
          <w:i/>
          <w:iCs/>
          <w:sz w:val="20"/>
        </w:rPr>
        <w:t>bis</w:t>
      </w:r>
      <w:r w:rsidRPr="009118AB">
        <w:rPr>
          <w:sz w:val="20"/>
        </w:rPr>
        <w:t xml:space="preserve"> wie folgt:</w:t>
      </w:r>
    </w:p>
    <w:p w14:paraId="5954A6ED" w14:textId="77777777" w:rsidR="000A387E" w:rsidRPr="009118AB" w:rsidRDefault="000A387E" w:rsidP="000A387E">
      <w:pPr>
        <w:autoSpaceDE w:val="0"/>
        <w:autoSpaceDN w:val="0"/>
        <w:adjustRightInd w:val="0"/>
        <w:jc w:val="both"/>
        <w:rPr>
          <w:sz w:val="20"/>
        </w:rPr>
      </w:pPr>
    </w:p>
    <w:p w14:paraId="7D0D4D6C" w14:textId="0536C0B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"[Art. 412</w:t>
      </w:r>
      <w:r w:rsidRPr="009118AB">
        <w:rPr>
          <w:i/>
          <w:iCs/>
          <w:sz w:val="20"/>
        </w:rPr>
        <w:t>bis</w:t>
      </w:r>
      <w:r w:rsidRPr="009118AB">
        <w:rPr>
          <w:sz w:val="20"/>
        </w:rPr>
        <w:t> - [§ 1 ­ In Abweichung von Artikel 412 Absatz 2 ist der Berufs</w:t>
      </w:r>
      <w:r w:rsidRPr="009118AB">
        <w:rPr>
          <w:sz w:val="20"/>
        </w:rPr>
        <w:softHyphen/>
        <w:t>steuervorabzug in Bezug auf die in Artikel 272 Absatz 2 erwähnten Mehrwerte bei der Registrierung der in Artikel 270 Absatz 1 Nr. 5 erwähnten Urkunden und Erklärungen zahlbar.</w:t>
      </w:r>
    </w:p>
    <w:p w14:paraId="02601A21"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3BD71B10" w14:textId="7122B17F"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In Artikel 270 Absatz 1 Nr. 5 erwähnte Personen sind verpflichtet, bei der Registrierung der Urkunde oder der Erklärung, durch die die Abtretung festgestellt wird, [dem zuständigen Dienst der Generalverwaltung Einnahme und Beitreibung] den gemäß Kapitel 5 Abschnitt 8 der Anlage 3 zum Königlichen Erlass vom 27. August 1993 zur Ausführung des Einkommensteuergesetzbuches 1992 festgelegten Berufssteuervorabzug zu zahlen, der sich auf Mehrwerte bezieht, die in den in Artikel 228 § 2 Nr. 3 Buchstabe </w:t>
      </w:r>
      <w:r w:rsidRPr="009118AB">
        <w:rPr>
          <w:i/>
          <w:iCs/>
          <w:sz w:val="20"/>
        </w:rPr>
        <w:t>a)</w:t>
      </w:r>
      <w:r w:rsidRPr="009118AB">
        <w:rPr>
          <w:sz w:val="20"/>
        </w:rPr>
        <w:t xml:space="preserve"> und Nr. 4 erwähnten Gewinnen oder Profiten enthalten sind und von Steuerpflichtigen, die der Steuer der Gebietsfremden unterliegen, anlässlich einer entgeltlichen Abtretung in Belgien gelegener unbeweglicher Güter oder dinglicher Rechte an diesen Gütern verwirklicht werden.</w:t>
      </w:r>
    </w:p>
    <w:p w14:paraId="4635FBB2"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005C611"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Artikel 169</w:t>
      </w:r>
      <w:r w:rsidRPr="009118AB">
        <w:rPr>
          <w:i/>
          <w:iCs/>
          <w:sz w:val="20"/>
        </w:rPr>
        <w:t>ter</w:t>
      </w:r>
      <w:r w:rsidRPr="009118AB">
        <w:rPr>
          <w:sz w:val="20"/>
        </w:rPr>
        <w:t xml:space="preserve"> des Registrierungs-, Hypotheken- und Kanzleigebührengesetzbuches ist anwendbar auf den Berufssteuervorabzug in Bezug auf die in den Absätzen 1 und 2 erwähnten Mehrwerte, der bei Registrierung der Urkunde oder der Erklärung zu zahlen ist.</w:t>
      </w:r>
    </w:p>
    <w:p w14:paraId="188C2AF5"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458B5FF"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 2 - Wenn § 1 angewandt werden muss, damit die Einnahme des Berufssteuervorabzugs in Bezug auf die Mehrwerte gewährleistet ist, sind in Artikel 270 Absatz 1 Nr. 5 erwähnte Schuldner des Berufssteuervorabzugs verpflichtet, die [in Artikel 433 beziehungsweise in Artikel 35 des Gesetzbuches über die gütliche Beitreibung und die Zwangsbeitreibung von Steuerforderungen und nichtsteuerlichen Forderungen] erwähnte Meldung zu erstellen, in der außerdem alle Angaben vermerkt sein müssen, die für die Berechnung des Berufssteuervorabzugs in Bezug auf die verwirklichten Mehrwerte erforderlich sind, und gegebenenfalls die Kosten und Aufwendungen zu rechtfertigen, die der Zedent vom Preis der Abtretung abziehen oder zum Erwerbspreis hinzufügen lassen möchte.</w:t>
      </w:r>
    </w:p>
    <w:p w14:paraId="6A4ACBEE"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27E5090"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In der Meldung wird auch die Identität des Absenders, das Gut, das Gegenstand der in Artikel 270 Absatz 1 Nr. 5 erwähnten Urkunde oder Erklärung ist, und die Identität des Eigentümers oder Inhabers eines dinglichen Rechts an diesem Gut angegeben.</w:t>
      </w:r>
    </w:p>
    <w:p w14:paraId="52E57BC1"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48C973FA"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Für die Anwendung der vorliegenden Bestimmung umfasst die Identität des Absenders Namen, Vornamen, Eigenschaft, Adresse und Unternehmensnummer.</w:t>
      </w:r>
    </w:p>
    <w:p w14:paraId="737327FE"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3D223E0"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Für die Anwendung der vorliegenden Bestimmung umfasst die Identität des Eigentümers oder Inhabers eines dinglichen Rechts:</w:t>
      </w:r>
    </w:p>
    <w:p w14:paraId="4FB711BB"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3D30061B"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i/>
          <w:iCs/>
          <w:sz w:val="20"/>
        </w:rPr>
        <w:t>a)</w:t>
      </w:r>
      <w:r w:rsidRPr="009118AB">
        <w:rPr>
          <w:sz w:val="20"/>
        </w:rPr>
        <w:t> für natürliche Personen: Namen, Vornamen und Erkennungsnummer des Nationalregisters oder, in deren Ermangelung, Erkennungsnummer der Zentralen Datenbank der sozialen Sicherheit oder, in Ermangelung solcher Nummern, ihr Geburtsdatum,</w:t>
      </w:r>
    </w:p>
    <w:p w14:paraId="7667051C"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693BF210"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i/>
          <w:iCs/>
          <w:sz w:val="20"/>
        </w:rPr>
        <w:t>b)</w:t>
      </w:r>
      <w:r w:rsidRPr="009118AB">
        <w:rPr>
          <w:sz w:val="20"/>
        </w:rPr>
        <w:t> für juristische Personen: Namen, Rechtsform und Unternehmensnummer.</w:t>
      </w:r>
    </w:p>
    <w:p w14:paraId="3BC2496C"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7878682"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Für die Anwendung der vorliegenden Bestimmung umfasst die Identifizierung des Gutes, das Gegenstand der in § 1 erwähnten Urkunde oder Erklärung ist, Art des Gutes, Adresse, Nummer der Katastermutterrolle und, wenn diese Angaben bekannt sind, Verkaufspreis und hypothekarische Situation.</w:t>
      </w:r>
    </w:p>
    <w:p w14:paraId="153FEDA4"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335F357E"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Die in Absatz 1 erwähnte Meldung muss vor Registrierung übermittelt werden an:</w:t>
      </w:r>
    </w:p>
    <w:p w14:paraId="6693F8F0"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5C20B0B"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1. den Führungsdienst Informations- und Kommunikationstechnologie des Föderalen Öffentlichen Dienstes Finanzen auf elektronischem Wege,</w:t>
      </w:r>
    </w:p>
    <w:p w14:paraId="102E8881"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643778BB"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2. den zuständigen Einnehmer, wenn die Meldung aufgrund höherer Gewalt oder einer technischen Störung nicht gemäß Nr. 1 übermittelt werden kann. In diesem Fall wird die Meldung per Einschreibesendung zugesandt.</w:t>
      </w:r>
    </w:p>
    <w:p w14:paraId="3F1F7CCB"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36034FF0"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Wird die in § 1 erwähnte Urkunde oder Erklärung binnen drei Monaten nach Versendung der Meldung nicht ausgefertigt, wird diese Meldung als nichtig angesehen.</w:t>
      </w:r>
    </w:p>
    <w:p w14:paraId="381E7C03"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0488400E"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Wird die Meldung gemäß Absatz 6 Nr. 1 übermittelt, gilt als Datum der Versendung der Meldung das Datum der Empfangsbestätigung, die vom Führungsdienst Informations- und Kommunikationstechnologie des Föderalen Öffentlichen Dienstes Finanzen übermittelt wird.</w:t>
      </w:r>
    </w:p>
    <w:p w14:paraId="7A0E1F11"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0ACAC20B"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Wird dieselbe Meldung nacheinander gemäß den in Absatz 6 Nr. 1 beziehungsweise Nr. 2 vorgesehenen Verfahren versandt, ist die gemäß Absatz 6 Nr. 2 erstellte Meldung nur maßgebend, wenn das Datum ihrer Versendung vor dem Datum der Versendung der gemäß Absatz 6 Nr. 1 erstellten Meldung liegt.</w:t>
      </w:r>
    </w:p>
    <w:p w14:paraId="1F82E502"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7B983C5D"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 3 - Einnehmer notifizieren in § 2 erwähnten Schuldnern innerhalb der [in Artikel 434 beziehungsweise in Artikel 36 des Gesetzbuches über die gütliche Beitreibung und die Zwangsbeitreibung von Steuerforderungen und nichtsteuerlichen Forderungen] vorgesehenen Frist per Einschreibesendung den Betrag des in Anwendung von Artikel 273 Nr. 2 geschuldeten Berufssteuervorabzugs in Bezug auf Mehrwerte, die auf die Güter verwirklicht werden, die Gegenstand der in § 1 erwähnte Urkunde oder Erklärung sind.</w:t>
      </w:r>
    </w:p>
    <w:p w14:paraId="1A50B64C"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56E347D"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Bei einem öffentlichen Verkauf notifizieren Einnehmer den betreffenden Schuldnern des Berufssteuervorabzugs in Abweichung von Absatz 1 nur den Gesamtbetrag, der vom Preis der Abtretung abgezogen werden muss, um den Betrag der verwirklichten Mehrwerte zu erhalten, so dass die vorerwähnten Schuldner diese Mehrwerte und den diesbezüglichen Berufssteuervorabzug selbst berechnen können.</w:t>
      </w:r>
    </w:p>
    <w:p w14:paraId="0FE05FB4"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DC42A06" w14:textId="0B61108F"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 4 - Vor der Registrierung [übermittelt der Schuldner des Berufssteuervorabzugs dem Amt, das] mit der Registrierung der Urkunde oder der Erklärung beauftragt ist, durch die die Abtretung festgestellt wird, die in § 3 erwähnte Notifizierung.</w:t>
      </w:r>
    </w:p>
    <w:p w14:paraId="598CF368"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0F62C4B6" w14:textId="797C53A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[Das mit der Registrierung beauftragte Amt] kann die Registrierung der Urkunde oder der Erklärung von der Vorlage einer Bescheinigung abhängig machen, die vom zuständigen Beamten der mit der Festlegung der Einkommensteuern beauftragten Verwaltung ausgeht und in der festgestellt wird, dass der Zedent kein in Artikel 227 Nr. 1 oder 2 erwähnter Steuerpflichtiger ist.</w:t>
      </w:r>
    </w:p>
    <w:p w14:paraId="5B212B1E"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2801629" w14:textId="77FFAE12"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 5 - [Nach Erhalt der Bestätigung, dass der geschuldete Berufssteuervorabzug vom zuständigen Dienst der Generalverwaltung Einnahme und Beitreibung eingenommen worden ist, vervollständigt das mit der Registrierung beauftragte Amt die in § 3 erwähnte Notifizierung und händigt es dem Schuldner des Berufssteuervorabzugs] zwei Ausfertigungen davon aus. Letzterer händigt eine Ausfertigung dem Zedenten des unbeweglichen Gutes oder der dinglichen Rechte an diesem Gut aus, damit dieser seine Erklärung zur Steuer der Gebietsfremden ausfüllen kann.</w:t>
      </w:r>
    </w:p>
    <w:p w14:paraId="26DEEAD4"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0E388E0" w14:textId="0A4CCC01"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[Das mit der Registrierung beauftragte Amt] sendet dem zuständigen Dienst der mit der Festlegung der Einkommensteuern beauftragten Verwaltung eine Ausfertigung der in Absatz 1 erwähnten Notifizierung zu.</w:t>
      </w:r>
    </w:p>
    <w:p w14:paraId="4406EC9D"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8B02ACF" w14:textId="307D72CA"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sz w:val="20"/>
        </w:rPr>
        <w:t>§ 6 - Der König bestimmt die Angaben, die in der in § 2 Absatz 1 erwähnten Meldung enthalten sein müssen.]]</w:t>
      </w:r>
    </w:p>
    <w:p w14:paraId="796736FD"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07B5886A" w14:textId="22A4F0B3"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118AB">
        <w:rPr>
          <w:i/>
          <w:iCs/>
          <w:sz w:val="20"/>
        </w:rPr>
        <w:t>[Art. 412bis eingefügt durch Art. 20 des G. vom 28. Dezember 1992 (B.S. vom 31. Dezember 1992) - anwendbar auf die ab dem 1. Januar 1993 verwirklichten Mehrwerte - und ersetzt durch Art. 5 Nr. 1 des G. vom 23. April 2020 (B.S. vom 11. Mai 2020) - wirksam mit 30. Dezember 2019 -; § 1 Abs. 2 abgeändert durch Art. 121 Buchstabe a) des G. vom 21. Januar 2022 (B.S. vom 28. Januar 2022) - in Kraft am 1. April 2022 -, selbst widerrufen durch Art. 86 des G. vom 5. Juli 2022 (B.S. vom 15. Juli 2022) </w:t>
      </w:r>
      <w:r w:rsidRPr="009118AB">
        <w:rPr>
          <w:rFonts w:hint="eastAsia"/>
          <w:i/>
          <w:iCs/>
          <w:sz w:val="20"/>
        </w:rPr>
        <w:t>-</w:t>
      </w:r>
      <w:r w:rsidRPr="009118AB">
        <w:rPr>
          <w:i/>
          <w:iCs/>
          <w:sz w:val="20"/>
        </w:rPr>
        <w:t> in Kraft am 21.</w:t>
      </w:r>
      <w:r w:rsidRPr="009118AB">
        <w:rPr>
          <w:rFonts w:hint="eastAsia"/>
          <w:i/>
          <w:iCs/>
          <w:sz w:val="20"/>
        </w:rPr>
        <w:t> </w:t>
      </w:r>
      <w:r w:rsidRPr="009118AB">
        <w:rPr>
          <w:i/>
          <w:iCs/>
          <w:sz w:val="20"/>
        </w:rPr>
        <w:t>Januar</w:t>
      </w:r>
      <w:r w:rsidRPr="009118AB">
        <w:rPr>
          <w:rFonts w:hint="eastAsia"/>
          <w:i/>
          <w:iCs/>
          <w:sz w:val="20"/>
        </w:rPr>
        <w:t> </w:t>
      </w:r>
      <w:r w:rsidRPr="009118AB">
        <w:rPr>
          <w:i/>
          <w:iCs/>
          <w:sz w:val="20"/>
        </w:rPr>
        <w:t>2022 </w:t>
      </w:r>
      <w:r w:rsidRPr="009118AB">
        <w:rPr>
          <w:rFonts w:hint="eastAsia"/>
          <w:i/>
          <w:iCs/>
          <w:sz w:val="20"/>
        </w:rPr>
        <w:t>-</w:t>
      </w:r>
      <w:r w:rsidRPr="009118AB">
        <w:rPr>
          <w:i/>
          <w:iCs/>
          <w:sz w:val="20"/>
        </w:rPr>
        <w:t>, und durch Art. 88 Buchstabe a) des G. vom 5. Juli 2022 (B.S. vom 15. Juli 2022) - anwendbar a</w:t>
      </w:r>
      <w:r w:rsidR="009D6F3E" w:rsidRPr="009118AB">
        <w:rPr>
          <w:i/>
          <w:iCs/>
          <w:sz w:val="20"/>
        </w:rPr>
        <w:t>b</w:t>
      </w:r>
      <w:r w:rsidRPr="009118AB">
        <w:rPr>
          <w:i/>
          <w:iCs/>
          <w:sz w:val="20"/>
        </w:rPr>
        <w:t xml:space="preserve"> dem Steuerjahr 2028 -</w:t>
      </w:r>
      <w:r w:rsidRPr="009118AB">
        <w:rPr>
          <w:rFonts w:hint="eastAsia"/>
          <w:i/>
          <w:iCs/>
          <w:sz w:val="20"/>
        </w:rPr>
        <w:t>;</w:t>
      </w:r>
      <w:r w:rsidRPr="009118AB">
        <w:rPr>
          <w:i/>
          <w:iCs/>
          <w:sz w:val="20"/>
        </w:rPr>
        <w:t xml:space="preserve"> § 2 Abs. 1 abgeändert durch Art. 5 Nr. 2 des G. vom 23. April 2020 (B.S. vom 11. Mai 2020) - wirksam mit 1. Januar 2020 -; § 3 Abs. 1 abgeändert durch Art. 5 Nr. 3 des G. vom 23. April 2020 (B.S. vom 11. Mai 2020) - wirksam mit 1. Januar 2020 -; § 4 Abs. 1 abgeändert durch Art. 121 Buchstabe b) des G. vom 21. Januar 2022 (B.S. vom 28. Januar 2022) - in Kraft am 1. April 2022 -, selbst widerrufen durch Art. 86 des G. vom 5. Juli 2022 (B.S. vom 15. Juli 2022) </w:t>
      </w:r>
      <w:r w:rsidRPr="009118AB">
        <w:rPr>
          <w:rFonts w:hint="eastAsia"/>
          <w:i/>
          <w:iCs/>
          <w:sz w:val="20"/>
        </w:rPr>
        <w:t>-</w:t>
      </w:r>
      <w:r w:rsidRPr="009118AB">
        <w:rPr>
          <w:i/>
          <w:iCs/>
          <w:sz w:val="20"/>
        </w:rPr>
        <w:t> in Kraft am 21.</w:t>
      </w:r>
      <w:r w:rsidRPr="009118AB">
        <w:rPr>
          <w:rFonts w:hint="eastAsia"/>
          <w:i/>
          <w:iCs/>
          <w:sz w:val="20"/>
        </w:rPr>
        <w:t> </w:t>
      </w:r>
      <w:r w:rsidRPr="009118AB">
        <w:rPr>
          <w:i/>
          <w:iCs/>
          <w:sz w:val="20"/>
        </w:rPr>
        <w:t>Januar</w:t>
      </w:r>
      <w:r w:rsidRPr="009118AB">
        <w:rPr>
          <w:rFonts w:hint="eastAsia"/>
          <w:i/>
          <w:iCs/>
          <w:sz w:val="20"/>
        </w:rPr>
        <w:t> </w:t>
      </w:r>
      <w:r w:rsidRPr="009118AB">
        <w:rPr>
          <w:i/>
          <w:iCs/>
          <w:sz w:val="20"/>
        </w:rPr>
        <w:t>2022 </w:t>
      </w:r>
      <w:r w:rsidRPr="009118AB">
        <w:rPr>
          <w:rFonts w:hint="eastAsia"/>
          <w:i/>
          <w:iCs/>
          <w:sz w:val="20"/>
        </w:rPr>
        <w:t>-</w:t>
      </w:r>
      <w:r w:rsidRPr="009118AB">
        <w:rPr>
          <w:i/>
          <w:iCs/>
          <w:sz w:val="20"/>
        </w:rPr>
        <w:t>, und durch Art. 88 Buchstabe b) des G. vom 5. Juli 2022 (B.S. vom 15. Juli 2022) - anwendbar a</w:t>
      </w:r>
      <w:r w:rsidR="009D6F3E" w:rsidRPr="009118AB">
        <w:rPr>
          <w:i/>
          <w:iCs/>
          <w:sz w:val="20"/>
        </w:rPr>
        <w:t>b</w:t>
      </w:r>
      <w:r w:rsidRPr="009118AB">
        <w:rPr>
          <w:i/>
          <w:iCs/>
          <w:sz w:val="20"/>
        </w:rPr>
        <w:t xml:space="preserve"> dem Steuerjahr 2028 -</w:t>
      </w:r>
      <w:r w:rsidRPr="009118AB">
        <w:rPr>
          <w:rFonts w:hint="eastAsia"/>
          <w:i/>
          <w:iCs/>
          <w:sz w:val="20"/>
        </w:rPr>
        <w:t>;</w:t>
      </w:r>
      <w:r w:rsidRPr="009118AB">
        <w:rPr>
          <w:i/>
          <w:iCs/>
          <w:sz w:val="20"/>
        </w:rPr>
        <w:t xml:space="preserve"> § 4 Abs. 2 abgeändert </w:t>
      </w:r>
      <w:r w:rsidRPr="009118AB">
        <w:rPr>
          <w:rFonts w:ascii="Times New Roman Italique" w:hAnsi="Times New Roman Italique"/>
          <w:i/>
          <w:iCs/>
          <w:spacing w:val="2"/>
          <w:sz w:val="20"/>
        </w:rPr>
        <w:t>durch Art. 121 Buchstabe c) des G. vom 21. Januar 2022 (B.S. vom 28. Januar 2022) - in Kraft am 1. April 2022 -, selbst widerrufen durch Art. 86 des G. vom 5. Juli 2022 (B.S. vom 15. Juli 2022) </w:t>
      </w:r>
      <w:r w:rsidRPr="009118AB">
        <w:rPr>
          <w:rFonts w:ascii="Times New Roman Italique" w:hAnsi="Times New Roman Italique" w:hint="eastAsia"/>
          <w:i/>
          <w:iCs/>
          <w:spacing w:val="2"/>
          <w:sz w:val="20"/>
        </w:rPr>
        <w:t>-</w:t>
      </w:r>
      <w:r w:rsidRPr="009118AB">
        <w:rPr>
          <w:rFonts w:ascii="Times New Roman Italique" w:hAnsi="Times New Roman Italique"/>
          <w:i/>
          <w:iCs/>
          <w:spacing w:val="2"/>
          <w:sz w:val="20"/>
        </w:rPr>
        <w:t> in Kraft am 21.</w:t>
      </w:r>
      <w:r w:rsidRPr="009118AB">
        <w:rPr>
          <w:rFonts w:ascii="Times New Roman Italique" w:hAnsi="Times New Roman Italique" w:hint="eastAsia"/>
          <w:i/>
          <w:iCs/>
          <w:spacing w:val="2"/>
          <w:sz w:val="20"/>
        </w:rPr>
        <w:t> </w:t>
      </w:r>
      <w:r w:rsidRPr="009118AB">
        <w:rPr>
          <w:rFonts w:ascii="Times New Roman Italique" w:hAnsi="Times New Roman Italique"/>
          <w:i/>
          <w:iCs/>
          <w:spacing w:val="2"/>
          <w:sz w:val="20"/>
        </w:rPr>
        <w:t>Januar</w:t>
      </w:r>
      <w:r w:rsidRPr="009118AB">
        <w:rPr>
          <w:rFonts w:ascii="Times New Roman Italique" w:hAnsi="Times New Roman Italique" w:hint="eastAsia"/>
          <w:i/>
          <w:iCs/>
          <w:spacing w:val="2"/>
          <w:sz w:val="20"/>
        </w:rPr>
        <w:t> </w:t>
      </w:r>
      <w:r w:rsidRPr="009118AB">
        <w:rPr>
          <w:rFonts w:ascii="Times New Roman Italique" w:hAnsi="Times New Roman Italique"/>
          <w:i/>
          <w:iCs/>
          <w:spacing w:val="2"/>
          <w:sz w:val="20"/>
        </w:rPr>
        <w:t>2022 </w:t>
      </w:r>
      <w:r w:rsidRPr="009118AB">
        <w:rPr>
          <w:rFonts w:ascii="Times New Roman Italique" w:hAnsi="Times New Roman Italique" w:hint="eastAsia"/>
          <w:i/>
          <w:iCs/>
          <w:spacing w:val="2"/>
          <w:sz w:val="20"/>
        </w:rPr>
        <w:t>-</w:t>
      </w:r>
      <w:r w:rsidRPr="009118AB">
        <w:rPr>
          <w:i/>
          <w:iCs/>
          <w:sz w:val="20"/>
        </w:rPr>
        <w:t>, und durch Art. 88 Buchstabe c) des G. vom 5. Juli 2022 (B.S. vom 15. Juli 2022) - anwendbar a</w:t>
      </w:r>
      <w:r w:rsidR="009D6F3E" w:rsidRPr="009118AB">
        <w:rPr>
          <w:i/>
          <w:iCs/>
          <w:sz w:val="20"/>
        </w:rPr>
        <w:t>b</w:t>
      </w:r>
      <w:r w:rsidRPr="009118AB">
        <w:rPr>
          <w:i/>
          <w:iCs/>
          <w:sz w:val="20"/>
        </w:rPr>
        <w:t xml:space="preserve"> dem Steuerjahr 2028 -</w:t>
      </w:r>
      <w:r w:rsidRPr="009118AB">
        <w:rPr>
          <w:rFonts w:ascii="Times New Roman Italique" w:hAnsi="Times New Roman Italique" w:hint="eastAsia"/>
          <w:i/>
          <w:iCs/>
          <w:spacing w:val="2"/>
          <w:sz w:val="20"/>
        </w:rPr>
        <w:t>;</w:t>
      </w:r>
      <w:r w:rsidRPr="009118AB">
        <w:rPr>
          <w:i/>
          <w:iCs/>
          <w:sz w:val="20"/>
        </w:rPr>
        <w:t xml:space="preserve"> § 5 Abs. 1 abgeändert durch Art. 121 Buchstabe d) des G. vom 21. Januar 2022 (B.S. vom 28. Januar 2022) - in Kraft am 1. April 2022 -, selbst widerrufen durch Art. 86 des G. vom 5. Juli 2022 (B.S. vom 15. Juli 2022 </w:t>
      </w:r>
      <w:r w:rsidRPr="009118AB">
        <w:rPr>
          <w:rFonts w:hint="eastAsia"/>
          <w:i/>
          <w:iCs/>
          <w:sz w:val="20"/>
        </w:rPr>
        <w:t>-</w:t>
      </w:r>
      <w:r w:rsidRPr="009118AB">
        <w:rPr>
          <w:i/>
          <w:iCs/>
          <w:sz w:val="20"/>
        </w:rPr>
        <w:t> in Kraft am 21.</w:t>
      </w:r>
      <w:r w:rsidRPr="009118AB">
        <w:rPr>
          <w:rFonts w:hint="eastAsia"/>
          <w:i/>
          <w:iCs/>
          <w:sz w:val="20"/>
        </w:rPr>
        <w:t> </w:t>
      </w:r>
      <w:r w:rsidRPr="009118AB">
        <w:rPr>
          <w:i/>
          <w:iCs/>
          <w:sz w:val="20"/>
        </w:rPr>
        <w:t>Januar</w:t>
      </w:r>
      <w:r w:rsidRPr="009118AB">
        <w:rPr>
          <w:rFonts w:hint="eastAsia"/>
          <w:i/>
          <w:iCs/>
          <w:sz w:val="20"/>
        </w:rPr>
        <w:t> </w:t>
      </w:r>
      <w:r w:rsidRPr="009118AB">
        <w:rPr>
          <w:i/>
          <w:iCs/>
          <w:sz w:val="20"/>
        </w:rPr>
        <w:t>2022 </w:t>
      </w:r>
      <w:r w:rsidRPr="009118AB">
        <w:rPr>
          <w:rFonts w:hint="eastAsia"/>
          <w:i/>
          <w:iCs/>
          <w:sz w:val="20"/>
        </w:rPr>
        <w:t>-</w:t>
      </w:r>
      <w:r w:rsidRPr="009118AB">
        <w:rPr>
          <w:i/>
          <w:iCs/>
          <w:sz w:val="20"/>
        </w:rPr>
        <w:t>, und durch Art. 88 Buchstabe d) des G. vom 5. Juli 2022 (B.S. vom 15. Juli 2022) - anwendbar a</w:t>
      </w:r>
      <w:r w:rsidR="009D6F3E" w:rsidRPr="009118AB">
        <w:rPr>
          <w:i/>
          <w:iCs/>
          <w:sz w:val="20"/>
        </w:rPr>
        <w:t>b</w:t>
      </w:r>
      <w:r w:rsidRPr="009118AB">
        <w:rPr>
          <w:i/>
          <w:iCs/>
          <w:sz w:val="20"/>
        </w:rPr>
        <w:t xml:space="preserve"> dem Steuerjahr 2028 -</w:t>
      </w:r>
      <w:r w:rsidRPr="009118AB">
        <w:rPr>
          <w:rFonts w:hint="eastAsia"/>
          <w:i/>
          <w:iCs/>
          <w:sz w:val="20"/>
        </w:rPr>
        <w:t>;</w:t>
      </w:r>
      <w:r w:rsidRPr="009118AB">
        <w:rPr>
          <w:i/>
          <w:iCs/>
          <w:sz w:val="20"/>
        </w:rPr>
        <w:t xml:space="preserve"> § 5 Abs. 2 abgeändert durch Art. 121 Buchstabe e) des G. vom 21. Januar 2022 (B.S. vom 28. Januar 2022) - in Kraft am 1. April 2022 -, selbst widerrufen durch Art. 86 des G. vom 5. Juli 2022 (B.S. vom 15. Juli 2022) </w:t>
      </w:r>
      <w:r w:rsidRPr="009118AB">
        <w:rPr>
          <w:rFonts w:hint="eastAsia"/>
          <w:i/>
          <w:iCs/>
          <w:sz w:val="20"/>
        </w:rPr>
        <w:t>-</w:t>
      </w:r>
      <w:r w:rsidRPr="009118AB">
        <w:rPr>
          <w:i/>
          <w:iCs/>
          <w:sz w:val="20"/>
        </w:rPr>
        <w:t> in Kraft am 21.</w:t>
      </w:r>
      <w:r w:rsidRPr="009118AB">
        <w:rPr>
          <w:rFonts w:hint="eastAsia"/>
          <w:i/>
          <w:iCs/>
          <w:sz w:val="20"/>
        </w:rPr>
        <w:t> </w:t>
      </w:r>
      <w:r w:rsidRPr="009118AB">
        <w:rPr>
          <w:i/>
          <w:iCs/>
          <w:sz w:val="20"/>
        </w:rPr>
        <w:t>Januar</w:t>
      </w:r>
      <w:r w:rsidRPr="009118AB">
        <w:rPr>
          <w:rFonts w:hint="eastAsia"/>
          <w:i/>
          <w:iCs/>
          <w:sz w:val="20"/>
        </w:rPr>
        <w:t> </w:t>
      </w:r>
      <w:r w:rsidRPr="009118AB">
        <w:rPr>
          <w:i/>
          <w:iCs/>
          <w:sz w:val="20"/>
        </w:rPr>
        <w:t>2022 </w:t>
      </w:r>
      <w:r w:rsidRPr="009118AB">
        <w:rPr>
          <w:rFonts w:hint="eastAsia"/>
          <w:i/>
          <w:iCs/>
          <w:sz w:val="20"/>
        </w:rPr>
        <w:t>-</w:t>
      </w:r>
      <w:r w:rsidRPr="009118AB">
        <w:rPr>
          <w:i/>
          <w:iCs/>
          <w:sz w:val="20"/>
        </w:rPr>
        <w:t>, und durch Art. 88 Buchstabe e) des G. vom 5. Juli 2022 (B.S. vom 15. Juli 2022) - anwendbar a</w:t>
      </w:r>
      <w:r w:rsidR="009D6F3E" w:rsidRPr="009118AB">
        <w:rPr>
          <w:i/>
          <w:iCs/>
          <w:sz w:val="20"/>
        </w:rPr>
        <w:t>b</w:t>
      </w:r>
      <w:r w:rsidRPr="009118AB">
        <w:rPr>
          <w:i/>
          <w:iCs/>
          <w:sz w:val="20"/>
        </w:rPr>
        <w:t xml:space="preserve"> dem Steuerjahr 2028 -</w:t>
      </w:r>
      <w:r w:rsidRPr="009118AB">
        <w:rPr>
          <w:rFonts w:hint="eastAsia"/>
          <w:i/>
          <w:iCs/>
          <w:sz w:val="20"/>
        </w:rPr>
        <w:t>]</w:t>
      </w:r>
      <w:r w:rsidRPr="009118AB">
        <w:rPr>
          <w:sz w:val="20"/>
        </w:rPr>
        <w:t>"</w:t>
      </w:r>
    </w:p>
    <w:p w14:paraId="7B281DD9"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CB67E31" w14:textId="77777777" w:rsidR="000A387E" w:rsidRPr="009118AB"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C458E7" w14:textId="06070B8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413</w:t>
      </w:r>
      <w:r w:rsidR="00D67EB8" w:rsidRPr="009118AB">
        <w:t> - </w:t>
      </w:r>
      <w:r w:rsidRPr="009118AB">
        <w:t>[Direkte Steuern und Immobiliensteuervorabzüge, die gemäß Artikel 304 in Heberollen eingetragen werden, sind an dem Datum fällig, an dem die Heberolle für vollstreckbar erklärt wurde. Sie müssen innerhalb zweier Monate nach Versendung des Steuerbescheids gezahlt werden.</w:t>
      </w:r>
    </w:p>
    <w:p w14:paraId="3093759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136D10" w14:textId="77777777" w:rsidR="00A81259" w:rsidRPr="009118AB" w:rsidRDefault="00A8125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[In dem in Artikel 302 Absatz 2 erwähnten Fall muss die Steuer innerhalb zweier Monate ab dem Datum gezahlt werden, an dem der Steuerbescheid dem Steuerpflichtigen anhand eines Verfahrens, bei dem Informatiktechniken verwendet werden, zur Verfügung gestellt worden ist.]</w:t>
      </w:r>
    </w:p>
    <w:p w14:paraId="184BC9AB" w14:textId="77777777" w:rsidR="00A81259" w:rsidRPr="009118AB" w:rsidRDefault="00A8125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846A3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Steuern und Vorabzüge müssen in ihrer Gesamtheit unverzüglich gezahlt werden, wenn die Rechte der Staatskasse gefährdet sind.</w:t>
      </w:r>
    </w:p>
    <w:p w14:paraId="28EB38D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937C8D" w14:textId="77777777" w:rsidR="00642299" w:rsidRPr="009118AB" w:rsidRDefault="00642299">
      <w:r w:rsidRPr="009118AB">
        <w:br w:type="page"/>
      </w:r>
    </w:p>
    <w:p w14:paraId="62F1464F" w14:textId="76B0114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Wenn ein Steuerschuldner anficht, dass die Rechte der Staatskasse gefährdet sind, wird im Eilverfahren vom Pfändungsrichter des Ortes, wo sich das Büro befindet, in dem die Steuererhebung erfolgen muss, über die Beanstandung entschieden.]</w:t>
      </w:r>
    </w:p>
    <w:p w14:paraId="5D231E3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4BE653" w14:textId="4D09AEA0"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413 ersetzt durch </w:t>
      </w:r>
      <w:r w:rsidR="00D67EB8" w:rsidRPr="009118AB">
        <w:rPr>
          <w:i/>
          <w:iCs/>
        </w:rPr>
        <w:t>Art. </w:t>
      </w:r>
      <w:r w:rsidRPr="009118AB">
        <w:rPr>
          <w:i/>
          <w:iCs/>
        </w:rPr>
        <w:t>41 des G. vom 15. März 1999 (B.S. vom 27. März 1999)</w:t>
      </w:r>
      <w:r w:rsidR="00A81259" w:rsidRPr="009118AB">
        <w:rPr>
          <w:i/>
          <w:iCs/>
        </w:rPr>
        <w:t xml:space="preserve">; neuer Absatz 2 eingefügt durch </w:t>
      </w:r>
      <w:r w:rsidR="00D67EB8" w:rsidRPr="009118AB">
        <w:rPr>
          <w:i/>
          <w:iCs/>
        </w:rPr>
        <w:t>Art. </w:t>
      </w:r>
      <w:r w:rsidR="00A81259" w:rsidRPr="009118AB">
        <w:rPr>
          <w:i/>
          <w:iCs/>
        </w:rPr>
        <w:t>34</w:t>
      </w:r>
      <w:r w:rsidR="003641CB">
        <w:rPr>
          <w:i/>
          <w:iCs/>
        </w:rPr>
        <w:t xml:space="preserve"> des G. vom 17. Juni 2013 (B.S. vom 28. Juni 2013)</w:t>
      </w:r>
      <w:r w:rsidR="00D67EB8" w:rsidRPr="009118AB">
        <w:rPr>
          <w:i/>
          <w:iCs/>
        </w:rPr>
        <w:t> - </w:t>
      </w:r>
      <w:r w:rsidR="00A81259" w:rsidRPr="009118AB">
        <w:rPr>
          <w:i/>
          <w:iCs/>
        </w:rPr>
        <w:t>anwendbar auf Steuerbescheide in Bezug auf die Steuerjahre 2013 und folgende</w:t>
      </w:r>
      <w:r w:rsidR="00FD68E8" w:rsidRPr="009118AB">
        <w:rPr>
          <w:i/>
          <w:iCs/>
        </w:rPr>
        <w:t> -]</w:t>
      </w:r>
    </w:p>
    <w:p w14:paraId="1F51157D" w14:textId="77777777" w:rsidR="00E1633E" w:rsidRDefault="00E1633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3370E2A" w14:textId="77777777" w:rsidR="00E1633E" w:rsidRDefault="00E1633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FD1CFBC" w14:textId="0D9B1449" w:rsidR="00E1633E" w:rsidRDefault="00E1633E" w:rsidP="00E1633E">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413 wie folgt:</w:t>
      </w:r>
    </w:p>
    <w:p w14:paraId="1F1B219C" w14:textId="77777777" w:rsidR="00E1633E" w:rsidRDefault="00E1633E" w:rsidP="00E1633E">
      <w:pPr>
        <w:autoSpaceDE w:val="0"/>
        <w:autoSpaceDN w:val="0"/>
        <w:adjustRightInd w:val="0"/>
        <w:jc w:val="both"/>
        <w:rPr>
          <w:iCs/>
          <w:sz w:val="20"/>
          <w:szCs w:val="20"/>
        </w:rPr>
      </w:pPr>
    </w:p>
    <w:p w14:paraId="2D296F45" w14:textId="3A88262B"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E1633E">
        <w:rPr>
          <w:iCs/>
          <w:sz w:val="20"/>
          <w:szCs w:val="20"/>
        </w:rPr>
        <w:t xml:space="preserve">Art. 413 - [Direkte Steuern und Immobiliensteuervorabzüge, die gemäß Artikel 304 in Heberollen eingetragen werden, sind an dem Datum fällig, an dem die Heberolle für vollstreckbar erklärt wurde. Sie müssen </w:t>
      </w:r>
      <w:r>
        <w:rPr>
          <w:iCs/>
          <w:sz w:val="20"/>
          <w:szCs w:val="20"/>
        </w:rPr>
        <w:t>[</w:t>
      </w:r>
      <w:r w:rsidRPr="00E1633E">
        <w:rPr>
          <w:iCs/>
          <w:sz w:val="20"/>
          <w:szCs w:val="20"/>
        </w:rPr>
        <w:t>innerhalb zweier Monate nach Übermittlung des Steuerbescheids</w:t>
      </w:r>
      <w:r>
        <w:rPr>
          <w:iCs/>
          <w:sz w:val="20"/>
          <w:szCs w:val="20"/>
        </w:rPr>
        <w:t>]</w:t>
      </w:r>
      <w:r w:rsidRPr="00E1633E">
        <w:rPr>
          <w:iCs/>
          <w:sz w:val="20"/>
          <w:szCs w:val="20"/>
        </w:rPr>
        <w:t xml:space="preserve"> gezahlt werden.</w:t>
      </w:r>
    </w:p>
    <w:p w14:paraId="299E8388"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128CD9A" w14:textId="547BEAEE"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w:t>
      </w:r>
      <w:r>
        <w:rPr>
          <w:iCs/>
          <w:sz w:val="20"/>
          <w:szCs w:val="20"/>
        </w:rPr>
        <w:t>..</w:t>
      </w:r>
      <w:r w:rsidRPr="00E1633E">
        <w:rPr>
          <w:iCs/>
          <w:sz w:val="20"/>
          <w:szCs w:val="20"/>
        </w:rPr>
        <w:t>.]</w:t>
      </w:r>
    </w:p>
    <w:p w14:paraId="55645493"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0D7E1F" w14:textId="6123290A"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Steuern und Vorabzüge müssen in ihrer Gesamtheit unverzüglich gezahlt werden, wenn die Rechte der Staatskasse gefährdet sind.</w:t>
      </w:r>
    </w:p>
    <w:p w14:paraId="71AC2242"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79AA935" w14:textId="6340048C"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Wenn ein Steuerschuldner anficht, dass die Rechte der Staatskasse gefährdet sind, wird im Eilverfahren vom Pfändungsrichter des Ortes, wo sich das Büro befindet, in dem die Steuererhebung erfolgen muss, über die Beanstandung entschieden.]</w:t>
      </w:r>
    </w:p>
    <w:p w14:paraId="535A16C4"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28461A" w14:textId="1E5DB9CF"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E1633E">
        <w:rPr>
          <w:i/>
          <w:iCs/>
          <w:sz w:val="20"/>
          <w:szCs w:val="20"/>
        </w:rPr>
        <w:t xml:space="preserve">[Art. 413 ersetzt durch Art. 41 des G. vom 15. März 1999 (B.S. vom 27. März 1999); </w:t>
      </w:r>
      <w:r>
        <w:rPr>
          <w:i/>
          <w:iCs/>
          <w:sz w:val="20"/>
          <w:szCs w:val="20"/>
        </w:rPr>
        <w:t>Abs. 1 abgeändert durch Art. 40 Nr. 1</w:t>
      </w:r>
      <w:r w:rsidRPr="00E1633E">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E1633E">
        <w:rPr>
          <w:i/>
          <w:iCs/>
          <w:sz w:val="20"/>
          <w:szCs w:val="20"/>
        </w:rPr>
        <w:t>-</w:t>
      </w:r>
      <w:r>
        <w:rPr>
          <w:i/>
          <w:iCs/>
          <w:sz w:val="20"/>
          <w:szCs w:val="20"/>
        </w:rPr>
        <w:t xml:space="preserve">; </w:t>
      </w:r>
      <w:r w:rsidR="003641CB">
        <w:rPr>
          <w:i/>
          <w:iCs/>
          <w:sz w:val="20"/>
          <w:szCs w:val="20"/>
        </w:rPr>
        <w:t>früher</w:t>
      </w:r>
      <w:r w:rsidRPr="00E1633E">
        <w:rPr>
          <w:i/>
          <w:iCs/>
          <w:sz w:val="20"/>
          <w:szCs w:val="20"/>
        </w:rPr>
        <w:t>er Absatz 2 eingefügt durch Art. 34</w:t>
      </w:r>
      <w:r w:rsidR="003641CB" w:rsidRPr="003641CB">
        <w:rPr>
          <w:i/>
          <w:iCs/>
          <w:sz w:val="20"/>
          <w:szCs w:val="20"/>
        </w:rPr>
        <w:t xml:space="preserve"> des G. vom 17. Juni 2013 (B.S. vom 28. Juni 2013)</w:t>
      </w:r>
      <w:r w:rsidRPr="00E1633E">
        <w:rPr>
          <w:i/>
          <w:iCs/>
          <w:sz w:val="20"/>
          <w:szCs w:val="20"/>
        </w:rPr>
        <w:t> - anwendbar auf Steuerbescheide in Bezug auf die Steuerjahre 2013 und folgende -</w:t>
      </w:r>
      <w:r>
        <w:rPr>
          <w:i/>
          <w:iCs/>
          <w:sz w:val="20"/>
          <w:szCs w:val="20"/>
        </w:rPr>
        <w:t xml:space="preserve"> und aufgehoben durch Art. 40 Nr. 2</w:t>
      </w:r>
      <w:r w:rsidRPr="00E1633E">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E1633E">
        <w:rPr>
          <w:i/>
          <w:iCs/>
          <w:sz w:val="20"/>
          <w:szCs w:val="20"/>
        </w:rPr>
        <w:t>-]</w:t>
      </w:r>
      <w:r>
        <w:rPr>
          <w:sz w:val="20"/>
          <w:szCs w:val="20"/>
        </w:rPr>
        <w:t>"</w:t>
      </w:r>
    </w:p>
    <w:p w14:paraId="25CFC1AA" w14:textId="77777777" w:rsidR="000F38AB" w:rsidRPr="009118AB" w:rsidRDefault="000F38AB"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p>
    <w:p w14:paraId="2E45637C" w14:textId="77777777" w:rsidR="003027B9"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70665E3" w14:textId="60093B6A"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w:t>
      </w:r>
      <w:r w:rsidR="00D67EB8" w:rsidRPr="009118AB">
        <w:rPr>
          <w:b/>
          <w:iCs/>
        </w:rPr>
        <w:t>Art. </w:t>
      </w:r>
      <w:r w:rsidR="00297380" w:rsidRPr="009118AB">
        <w:rPr>
          <w:b/>
          <w:iCs/>
        </w:rPr>
        <w:t>413/1</w:t>
      </w:r>
      <w:r w:rsidR="00D67EB8" w:rsidRPr="009118AB">
        <w:rPr>
          <w:iCs/>
        </w:rPr>
        <w:t> - § </w:t>
      </w:r>
      <w:r w:rsidR="00297380" w:rsidRPr="009118AB">
        <w:rPr>
          <w:iCs/>
        </w:rPr>
        <w:t>1</w:t>
      </w:r>
      <w:r w:rsidR="00D67EB8" w:rsidRPr="009118AB">
        <w:rPr>
          <w:iCs/>
        </w:rPr>
        <w:t> - </w:t>
      </w:r>
      <w:r w:rsidR="00297380" w:rsidRPr="009118AB">
        <w:rPr>
          <w:iCs/>
        </w:rPr>
        <w:t xml:space="preserve">Die in </w:t>
      </w:r>
      <w:r w:rsidR="00D67EB8" w:rsidRPr="009118AB">
        <w:rPr>
          <w:iCs/>
        </w:rPr>
        <w:t>§ </w:t>
      </w:r>
      <w:r w:rsidR="00297380" w:rsidRPr="009118AB">
        <w:rPr>
          <w:iCs/>
        </w:rPr>
        <w:t>2 erwähnte Wahl zwischen der sofortigen Zahlung und der gestaffelten Zahlung ist nur anwendbar auf den noch geschuldeten Anteil der Einkommensteuer, der auf der Grundlage folgender Einkünfte festgelegt wird:</w:t>
      </w:r>
    </w:p>
    <w:p w14:paraId="0B7F8724"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670231B" w14:textId="5B91529F"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1. der in Artikel 28 Absatz 1 </w:t>
      </w:r>
      <w:r w:rsidR="00D67EB8" w:rsidRPr="009118AB">
        <w:rPr>
          <w:iCs/>
        </w:rPr>
        <w:t>Nr. </w:t>
      </w:r>
      <w:r w:rsidR="00297380" w:rsidRPr="009118AB">
        <w:rPr>
          <w:iCs/>
        </w:rPr>
        <w:t xml:space="preserve">1 und Artikel 228 </w:t>
      </w:r>
      <w:r w:rsidR="00D67EB8" w:rsidRPr="009118AB">
        <w:rPr>
          <w:iCs/>
        </w:rPr>
        <w:t>§ </w:t>
      </w:r>
      <w:r w:rsidR="00297380" w:rsidRPr="009118AB">
        <w:rPr>
          <w:iCs/>
        </w:rPr>
        <w:t xml:space="preserve">2 </w:t>
      </w:r>
      <w:r w:rsidR="00D67EB8" w:rsidRPr="009118AB">
        <w:rPr>
          <w:iCs/>
        </w:rPr>
        <w:t>Nr. </w:t>
      </w:r>
      <w:r w:rsidR="00297380" w:rsidRPr="009118AB">
        <w:rPr>
          <w:iCs/>
        </w:rPr>
        <w:t>5 erwähnten Einstellungs</w:t>
      </w:r>
      <w:r w:rsidR="00297380" w:rsidRPr="009118AB">
        <w:rPr>
          <w:iCs/>
        </w:rPr>
        <w:softHyphen/>
        <w:t xml:space="preserve">mehrwerte, insofern die in Artikel 46 </w:t>
      </w:r>
      <w:r w:rsidR="00D67EB8" w:rsidRPr="009118AB">
        <w:rPr>
          <w:iCs/>
        </w:rPr>
        <w:t>§ </w:t>
      </w:r>
      <w:r w:rsidR="00297380" w:rsidRPr="009118AB">
        <w:rPr>
          <w:iCs/>
        </w:rPr>
        <w:t xml:space="preserve">1 Absatz 1 </w:t>
      </w:r>
      <w:r w:rsidR="00D67EB8" w:rsidRPr="009118AB">
        <w:rPr>
          <w:iCs/>
        </w:rPr>
        <w:t>Nr. </w:t>
      </w:r>
      <w:r w:rsidR="00297380" w:rsidRPr="009118AB">
        <w:rPr>
          <w:iCs/>
        </w:rPr>
        <w:t xml:space="preserve">2 und Absatz 2 vorgesehenen Bedingungen erfüllt sind und die eingebrachten Güter weiterhin </w:t>
      </w:r>
      <w:r w:rsidR="00905BC1" w:rsidRPr="009118AB">
        <w:rPr>
          <w:iCs/>
        </w:rPr>
        <w:t>[</w:t>
      </w:r>
      <w:r w:rsidR="00905BC1" w:rsidRPr="009118AB">
        <w:t>im Staat des Steuerwohnsitzes</w:t>
      </w:r>
      <w:r w:rsidR="00905BC1" w:rsidRPr="009118AB">
        <w:rPr>
          <w:iCs/>
        </w:rPr>
        <w:t>]</w:t>
      </w:r>
      <w:r w:rsidR="00297380" w:rsidRPr="009118AB">
        <w:rPr>
          <w:iCs/>
        </w:rPr>
        <w:t xml:space="preserve"> einer innereuropäischen Gesellschaft oder in einer ausländischen Niederlassung einer innereuropäischen Gesellschaft genutzt werden, die in einem anderen Mitgliedstaat der Europäischen Union oder in einem anderen Mitgliedstaat des Europäischen Wirtschaftsraums ansässig ist, mit dem Belgien ein anwendbares Abkommen in Bezug auf Amtshilfe bei der Beitreibung geschlossen hat,</w:t>
      </w:r>
    </w:p>
    <w:p w14:paraId="06FF910A" w14:textId="77777777" w:rsidR="00D828AE" w:rsidRPr="009118AB" w:rsidRDefault="00D828AE"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56BD206"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[1/1. der in Artikel 185/1 erwähnten Mehrwerte,]</w:t>
      </w:r>
    </w:p>
    <w:p w14:paraId="6464FC28"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p>
    <w:p w14:paraId="112A6B6B" w14:textId="4943388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2. des Teils des Gesellschaftsvermögens, der als ausgeschüttete Dividende gilt infolge der in Artikel 210 </w:t>
      </w:r>
      <w:r w:rsidR="00D67EB8" w:rsidRPr="009118AB">
        <w:rPr>
          <w:iCs/>
        </w:rPr>
        <w:t>§ </w:t>
      </w:r>
      <w:r w:rsidR="00297380" w:rsidRPr="009118AB">
        <w:rPr>
          <w:iCs/>
        </w:rPr>
        <w:t xml:space="preserve">1 </w:t>
      </w:r>
      <w:r w:rsidR="00D67EB8" w:rsidRPr="009118AB">
        <w:rPr>
          <w:iCs/>
        </w:rPr>
        <w:t>Nr. </w:t>
      </w:r>
      <w:r w:rsidR="00297380" w:rsidRPr="009118AB">
        <w:rPr>
          <w:iCs/>
        </w:rPr>
        <w:t xml:space="preserve">4 erwähnten Verlegung </w:t>
      </w:r>
      <w:r w:rsidR="00DD61B3" w:rsidRPr="009118AB">
        <w:rPr>
          <w:iCs/>
        </w:rPr>
        <w:t>[…]</w:t>
      </w:r>
      <w:r w:rsidR="00297380" w:rsidRPr="009118AB">
        <w:rPr>
          <w:iCs/>
        </w:rPr>
        <w:t xml:space="preserve"> der Haupt</w:t>
      </w:r>
      <w:r w:rsidR="00297380" w:rsidRPr="009118AB">
        <w:rPr>
          <w:iCs/>
        </w:rPr>
        <w:softHyphen/>
        <w:t xml:space="preserve">niederlassung oder des Geschäftsführungs- oder Verwaltungssitzes in einen anderen Mitgliedstaat der Europäischen Union oder in einen anderen Mitgliedstaat des Europäischen Wirtschaftsraums, mit dem Belgien ein anwendbares Abkommen in Bezug auf Amtshilfe bei der Beitreibung geschlossen hat, in dem Maße, wie diese Dividende aus Mehrwerten auf die infolge des Vorgangs übertragenen Bestandteile hervorgeht, die </w:t>
      </w:r>
      <w:r w:rsidR="00DD61B3" w:rsidRPr="009118AB">
        <w:rPr>
          <w:iCs/>
        </w:rPr>
        <w:t>[</w:t>
      </w:r>
      <w:r w:rsidR="00DD61B3" w:rsidRPr="009118AB">
        <w:t>am Steuerwohnsitz</w:t>
      </w:r>
      <w:r w:rsidR="00DD61B3" w:rsidRPr="009118AB">
        <w:rPr>
          <w:iCs/>
        </w:rPr>
        <w:t>]</w:t>
      </w:r>
      <w:r w:rsidR="00297380" w:rsidRPr="009118AB">
        <w:rPr>
          <w:iCs/>
        </w:rPr>
        <w:t xml:space="preserve"> der Gesellschaft oder in einer ausländischen Niederlassung </w:t>
      </w:r>
      <w:r w:rsidR="00DD61B3" w:rsidRPr="009118AB">
        <w:rPr>
          <w:iCs/>
        </w:rPr>
        <w:t>[</w:t>
      </w:r>
      <w:r w:rsidR="00DD61B3" w:rsidRPr="009118AB">
        <w:t>dieser Gesellschaft</w:t>
      </w:r>
      <w:r w:rsidR="00DD61B3" w:rsidRPr="009118AB">
        <w:rPr>
          <w:iCs/>
        </w:rPr>
        <w:t xml:space="preserve">] </w:t>
      </w:r>
      <w:r w:rsidR="00297380" w:rsidRPr="009118AB">
        <w:rPr>
          <w:iCs/>
        </w:rPr>
        <w:t xml:space="preserve">genutzt und belassen werden, </w:t>
      </w:r>
      <w:r w:rsidR="00DD61B3" w:rsidRPr="009118AB">
        <w:rPr>
          <w:iCs/>
        </w:rPr>
        <w:t>[</w:t>
      </w:r>
      <w:r w:rsidR="00DD61B3" w:rsidRPr="009118AB">
        <w:t>der festgelegt ist beziehungsweise die ansässig ist in einem anderen Mitgliedstaat der Europäischen Union oder in einem anderen Mitgliedstaat des Europäischen Wirtschaftsraums</w:t>
      </w:r>
      <w:r w:rsidR="00DD61B3" w:rsidRPr="009118AB">
        <w:rPr>
          <w:iCs/>
        </w:rPr>
        <w:t>]</w:t>
      </w:r>
      <w:r w:rsidR="00297380" w:rsidRPr="009118AB">
        <w:rPr>
          <w:iCs/>
        </w:rPr>
        <w:t>, mit dem Belgien ein anwendbares Abkommen in Bezug auf Amtshilfe bei der Beitreibung geschlossen hat,</w:t>
      </w:r>
    </w:p>
    <w:p w14:paraId="23679607"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7F3602F" w14:textId="16B1A87C"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3. des Teils des Gesellschaftsvermögens, der als ausgeschüttete Dividende gilt infolge einer Fusion, einer Aufspaltung, eines mit einer Fusion durch Übernahme gleichgesetzten Vorgangs oder eines mit einer Aufspaltung gleichgesetzten Vorgangs und auf den die Bestimmungen von Artikel 211 anwendbar sind, in dem Maße, wie diese Dividende aus Mehrwerten auf die infolge des Vorgangs übertragenen Bestandteile hervorgeht, die </w:t>
      </w:r>
      <w:r w:rsidR="00DD61B3" w:rsidRPr="009118AB">
        <w:rPr>
          <w:iCs/>
        </w:rPr>
        <w:t>[</w:t>
      </w:r>
      <w:r w:rsidR="00DD61B3" w:rsidRPr="009118AB">
        <w:t>am Steuerwohnsitz</w:t>
      </w:r>
      <w:r w:rsidR="00DD61B3" w:rsidRPr="009118AB">
        <w:rPr>
          <w:iCs/>
        </w:rPr>
        <w:t>]</w:t>
      </w:r>
      <w:r w:rsidR="00297380" w:rsidRPr="009118AB">
        <w:rPr>
          <w:iCs/>
        </w:rPr>
        <w:t xml:space="preserve"> einer Gesellschaft oder in einer ausländischen Niederlassung </w:t>
      </w:r>
      <w:r w:rsidR="00DD61B3" w:rsidRPr="009118AB">
        <w:rPr>
          <w:iCs/>
        </w:rPr>
        <w:t>[</w:t>
      </w:r>
      <w:r w:rsidR="00DD61B3" w:rsidRPr="009118AB">
        <w:t>dieser Gesellschaft</w:t>
      </w:r>
      <w:r w:rsidR="00DD61B3" w:rsidRPr="009118AB">
        <w:rPr>
          <w:iCs/>
        </w:rPr>
        <w:t xml:space="preserve">] </w:t>
      </w:r>
      <w:r w:rsidR="00297380" w:rsidRPr="009118AB">
        <w:rPr>
          <w:iCs/>
        </w:rPr>
        <w:t xml:space="preserve">genutzt und belassen werden, </w:t>
      </w:r>
      <w:r w:rsidR="00DD61B3" w:rsidRPr="009118AB">
        <w:rPr>
          <w:iCs/>
        </w:rPr>
        <w:t>[</w:t>
      </w:r>
      <w:r w:rsidR="00DD61B3" w:rsidRPr="009118AB">
        <w:t>der festgelegt ist beziehungsweise die ansässig ist in einem anderen Mitgliedstaat der Europäischen Union oder in einem anderen Mitgliedstaat des Europäischen Wirtschaftsraums</w:t>
      </w:r>
      <w:r w:rsidR="00DD61B3" w:rsidRPr="009118AB">
        <w:rPr>
          <w:iCs/>
        </w:rPr>
        <w:t>]</w:t>
      </w:r>
      <w:r w:rsidR="00297380" w:rsidRPr="009118AB">
        <w:rPr>
          <w:iCs/>
        </w:rPr>
        <w:t>, mit dem Belgien ein anwendbares Abkommen in Bezug auf Amtshilfe bei der Beitreibung geschlossen hat,</w:t>
      </w:r>
    </w:p>
    <w:p w14:paraId="2EBDDC84"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4C18DF1" w14:textId="501FCB92"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4. des in Artikel 228 </w:t>
      </w:r>
      <w:r w:rsidR="00D67EB8" w:rsidRPr="009118AB">
        <w:rPr>
          <w:iCs/>
        </w:rPr>
        <w:t>§ </w:t>
      </w:r>
      <w:r w:rsidR="00297380" w:rsidRPr="009118AB">
        <w:rPr>
          <w:iCs/>
        </w:rPr>
        <w:t xml:space="preserve">2 </w:t>
      </w:r>
      <w:r w:rsidR="00D67EB8" w:rsidRPr="009118AB">
        <w:rPr>
          <w:iCs/>
        </w:rPr>
        <w:t>Nr. </w:t>
      </w:r>
      <w:r w:rsidR="00297380" w:rsidRPr="009118AB">
        <w:rPr>
          <w:iCs/>
        </w:rPr>
        <w:t xml:space="preserve">3 erwähnten Mehrwerts, der anlässlich eines im einleitenden Satz von Artikel 231 </w:t>
      </w:r>
      <w:r w:rsidR="00D67EB8" w:rsidRPr="009118AB">
        <w:rPr>
          <w:iCs/>
        </w:rPr>
        <w:t>§ </w:t>
      </w:r>
      <w:r w:rsidR="00297380" w:rsidRPr="009118AB">
        <w:rPr>
          <w:iCs/>
        </w:rPr>
        <w:t xml:space="preserve">2 Absatz 1 erwähnten Vorgangs durch eine in Artikel 229 erwähnte belgische Niederlassung festgestellt oder verwirklicht wird, in dem Maße, wie es sich um einen Mehrwert auf die infolge des Vorgangs übertragenen Bestandteile handelt, die </w:t>
      </w:r>
      <w:r w:rsidR="00DD61B3" w:rsidRPr="009118AB">
        <w:rPr>
          <w:iCs/>
        </w:rPr>
        <w:t>[</w:t>
      </w:r>
      <w:r w:rsidR="00DD61B3" w:rsidRPr="009118AB">
        <w:t>am Steuerwohnsitz]</w:t>
      </w:r>
      <w:r w:rsidR="00297380" w:rsidRPr="009118AB">
        <w:rPr>
          <w:iCs/>
        </w:rPr>
        <w:t xml:space="preserve"> einer Gesellschaft oder in einer ausländischen Niederlassung </w:t>
      </w:r>
      <w:r w:rsidR="00DD61B3" w:rsidRPr="009118AB">
        <w:rPr>
          <w:iCs/>
        </w:rPr>
        <w:t>[</w:t>
      </w:r>
      <w:r w:rsidR="00DD61B3" w:rsidRPr="009118AB">
        <w:t>dieser Gesellschaft</w:t>
      </w:r>
      <w:r w:rsidR="00DD61B3" w:rsidRPr="009118AB">
        <w:rPr>
          <w:iCs/>
        </w:rPr>
        <w:t xml:space="preserve">] </w:t>
      </w:r>
      <w:r w:rsidR="00297380" w:rsidRPr="009118AB">
        <w:rPr>
          <w:iCs/>
        </w:rPr>
        <w:t xml:space="preserve">genutzt und belassen werden, </w:t>
      </w:r>
      <w:r w:rsidR="00DD61B3" w:rsidRPr="009118AB">
        <w:rPr>
          <w:iCs/>
        </w:rPr>
        <w:t>[</w:t>
      </w:r>
      <w:r w:rsidR="00DD61B3" w:rsidRPr="009118AB">
        <w:t>der festgelegt ist beziehungsweise die ansässig ist in einem anderen Mitgliedstaat der Europäischen Union oder in einem anderen Mitgliedstaat des Europäischen Wirtschaftsraums</w:t>
      </w:r>
      <w:r w:rsidR="00DD61B3" w:rsidRPr="009118AB">
        <w:rPr>
          <w:iCs/>
        </w:rPr>
        <w:t>]</w:t>
      </w:r>
      <w:r w:rsidR="00297380" w:rsidRPr="009118AB">
        <w:rPr>
          <w:iCs/>
        </w:rPr>
        <w:t>, mit dem Belgien ein anwendbares Abkommen in Bezug auf Amtshilfe bei der Beitreibung geschlossen hat,</w:t>
      </w:r>
    </w:p>
    <w:p w14:paraId="506F3629"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57D940A" w14:textId="7714E933"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5. des in Artikel 228 </w:t>
      </w:r>
      <w:r w:rsidR="00D67EB8" w:rsidRPr="009118AB">
        <w:rPr>
          <w:iCs/>
        </w:rPr>
        <w:t>§ </w:t>
      </w:r>
      <w:r w:rsidR="00297380" w:rsidRPr="009118AB">
        <w:rPr>
          <w:iCs/>
        </w:rPr>
        <w:t xml:space="preserve">2 </w:t>
      </w:r>
      <w:r w:rsidR="00D67EB8" w:rsidRPr="009118AB">
        <w:rPr>
          <w:iCs/>
        </w:rPr>
        <w:t>Nr. </w:t>
      </w:r>
      <w:r w:rsidR="00297380" w:rsidRPr="009118AB">
        <w:rPr>
          <w:iCs/>
        </w:rPr>
        <w:t>3</w:t>
      </w:r>
      <w:r w:rsidR="00297380" w:rsidRPr="009118AB">
        <w:rPr>
          <w:i/>
          <w:iCs/>
        </w:rPr>
        <w:t>bis</w:t>
      </w:r>
      <w:r w:rsidR="00297380" w:rsidRPr="009118AB">
        <w:rPr>
          <w:iCs/>
        </w:rPr>
        <w:t xml:space="preserve"> erwähnten Mehrwerts, der durch eine in Artikel 229 erwähnte belgische Niederlassung verwirklicht wird und der anlässlich der Entnahme von Bestandteilen zugunsten </w:t>
      </w:r>
      <w:r w:rsidR="00DD61B3" w:rsidRPr="009118AB">
        <w:rPr>
          <w:iCs/>
        </w:rPr>
        <w:t>[</w:t>
      </w:r>
      <w:r w:rsidR="00DD61B3" w:rsidRPr="009118AB">
        <w:t>des Steuerwohnsitzes]</w:t>
      </w:r>
      <w:r w:rsidR="00297380" w:rsidRPr="009118AB">
        <w:rPr>
          <w:iCs/>
        </w:rPr>
        <w:t xml:space="preserve"> einer Gesellschaft oder zugunsten einer ausländischen Niederlassung dieser Gesellschaft festgelegt wird, </w:t>
      </w:r>
      <w:r w:rsidR="00DD61B3" w:rsidRPr="009118AB">
        <w:rPr>
          <w:iCs/>
        </w:rPr>
        <w:t>[</w:t>
      </w:r>
      <w:r w:rsidR="00DD61B3" w:rsidRPr="009118AB">
        <w:t>der festgelegt ist beziehungsweise die ansässig ist in einem anderen Mitgliedstaat der Europäischen Union oder in einem anderen Mitgliedstaat des Europäischen Wirtschaftsraums</w:t>
      </w:r>
      <w:r w:rsidR="00DD61B3" w:rsidRPr="009118AB">
        <w:rPr>
          <w:iCs/>
        </w:rPr>
        <w:t>]</w:t>
      </w:r>
      <w:r w:rsidR="00297380" w:rsidRPr="009118AB">
        <w:rPr>
          <w:iCs/>
        </w:rPr>
        <w:t xml:space="preserve">, mit dem Belgien ein anwendbares Abkommen in Bezug auf Amtshilfe bei </w:t>
      </w:r>
      <w:r w:rsidR="00DD61B3" w:rsidRPr="009118AB">
        <w:rPr>
          <w:iCs/>
        </w:rPr>
        <w:t>der Beitreibung geschlossen hat,</w:t>
      </w:r>
    </w:p>
    <w:p w14:paraId="018AF9C5" w14:textId="77777777" w:rsidR="00DD61B3" w:rsidRPr="009118AB" w:rsidRDefault="00DD61B3"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5352903" w14:textId="5B1247EF" w:rsidR="00DD61B3" w:rsidRDefault="00DD61B3"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t>[</w:t>
      </w:r>
      <w:r w:rsidRPr="009118AB">
        <w:t>6. des Teils des Gesellschaftsvermögens, der in Anwendung von Artikel 210/1 als ausgeschüttete Dividende gilt, wenn die Gesellschaft der Gesellschaftssteuer nicht mehr unterliegt und der Steuer der juristischen Personen unterworfen wird</w:t>
      </w:r>
      <w:r w:rsidR="006A066D">
        <w:t>,</w:t>
      </w:r>
      <w:r w:rsidRPr="009118AB">
        <w:rPr>
          <w:iCs/>
        </w:rPr>
        <w:t>]</w:t>
      </w:r>
    </w:p>
    <w:p w14:paraId="2D3F5328" w14:textId="77777777" w:rsidR="006A066D" w:rsidRDefault="006A066D"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E900D60" w14:textId="506512B2" w:rsidR="006A066D" w:rsidRPr="009118AB" w:rsidRDefault="006A066D"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Pr>
          <w:iCs/>
        </w:rPr>
        <w:tab/>
        <w:t>[</w:t>
      </w:r>
      <w:r w:rsidRPr="00FF1F87">
        <w:t>7. der in Artikel 18 Absatz 1 Nr. 3/1 erwähnten nicht ausgeschütteten Gewinne, wenn diese von einer Rechtsvereinbarung stammen, die in einem Mitgliedstaat des Europäischen Wirtschaftsraums ansässig ist.</w:t>
      </w:r>
      <w:r>
        <w:t>]</w:t>
      </w:r>
    </w:p>
    <w:p w14:paraId="4DA538F8"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76059F9" w14:textId="77777777" w:rsidR="00C15B15" w:rsidRDefault="00C15B15">
      <w:pPr>
        <w:rPr>
          <w:iCs/>
        </w:rPr>
      </w:pPr>
      <w:r>
        <w:rPr>
          <w:iCs/>
        </w:rPr>
        <w:br w:type="page"/>
      </w:r>
    </w:p>
    <w:p w14:paraId="2473D3C1" w14:textId="7835EA09"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Für die Anwendung von Absatz 1 wird der noch geschuldete Anteil der Einkommensteuer wie folgt festgelegt:</w:t>
      </w:r>
    </w:p>
    <w:p w14:paraId="0A8F5162"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731CDE8" w14:textId="191DCD22"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in Bezug auf die in Artikel 3 erwähnten Steuerpflichtigen, Betrag, der noch geschuldet wird nach Anwendung der in Artikel 444 erwähnten Steuerzuschläge und der in Artikel 466 erwähnten Zuschlagsteuern und nach Anrechnung der in den Artikeln 175 bis 177 erwähnten Vergütung, der in den Artikeln 157 bis 168 und 175 bis 177 erwähnten Vorauszahlungen, des Pauschalanteils ausländischer Steuer, des Mobilien- und Berufssteuer</w:t>
      </w:r>
      <w:r w:rsidR="00297380" w:rsidRPr="009118AB">
        <w:rPr>
          <w:iCs/>
        </w:rPr>
        <w:softHyphen/>
        <w:t xml:space="preserve">vorabzugs, </w:t>
      </w:r>
      <w:r w:rsidR="00D828AE" w:rsidRPr="009118AB">
        <w:rPr>
          <w:iCs/>
        </w:rPr>
        <w:t>[</w:t>
      </w:r>
      <w:r w:rsidR="00D828AE" w:rsidRPr="009118AB">
        <w:rPr>
          <w:rFonts w:eastAsia="Calibri"/>
        </w:rPr>
        <w:t xml:space="preserve">der in den Artikeln 134 </w:t>
      </w:r>
      <w:r w:rsidR="00D67EB8" w:rsidRPr="009118AB">
        <w:rPr>
          <w:rFonts w:eastAsia="Calibri"/>
        </w:rPr>
        <w:t>§ </w:t>
      </w:r>
      <w:r w:rsidR="00D828AE" w:rsidRPr="009118AB">
        <w:rPr>
          <w:rFonts w:eastAsia="Calibri"/>
        </w:rPr>
        <w:t>3 und 145</w:t>
      </w:r>
      <w:r w:rsidR="00D828AE" w:rsidRPr="009118AB">
        <w:rPr>
          <w:rFonts w:eastAsia="Calibri"/>
          <w:vertAlign w:val="superscript"/>
        </w:rPr>
        <w:t>35</w:t>
      </w:r>
      <w:r w:rsidR="00D828AE" w:rsidRPr="009118AB">
        <w:rPr>
          <w:rFonts w:eastAsia="Calibri"/>
        </w:rPr>
        <w:t xml:space="preserve"> Absatz 10</w:t>
      </w:r>
      <w:r w:rsidR="00D828AE" w:rsidRPr="009118AB">
        <w:rPr>
          <w:iCs/>
        </w:rPr>
        <w:t>]</w:t>
      </w:r>
      <w:r w:rsidR="00297380" w:rsidRPr="009118AB">
        <w:rPr>
          <w:iCs/>
        </w:rPr>
        <w:t>, 289</w:t>
      </w:r>
      <w:r w:rsidR="00297380" w:rsidRPr="009118AB">
        <w:rPr>
          <w:i/>
          <w:iCs/>
        </w:rPr>
        <w:t>bis</w:t>
      </w:r>
      <w:r w:rsidR="00297380" w:rsidRPr="009118AB">
        <w:rPr>
          <w:iCs/>
        </w:rPr>
        <w:t>, 289</w:t>
      </w:r>
      <w:r w:rsidR="00297380" w:rsidRPr="009118AB">
        <w:rPr>
          <w:i/>
          <w:iCs/>
        </w:rPr>
        <w:t>ter</w:t>
      </w:r>
      <w:r w:rsidR="00297380" w:rsidRPr="009118AB">
        <w:rPr>
          <w:iCs/>
        </w:rPr>
        <w:t xml:space="preserve"> und 289</w:t>
      </w:r>
      <w:r w:rsidR="00297380" w:rsidRPr="009118AB">
        <w:rPr>
          <w:i/>
          <w:iCs/>
        </w:rPr>
        <w:t>ter</w:t>
      </w:r>
      <w:r w:rsidR="00297380" w:rsidRPr="009118AB">
        <w:rPr>
          <w:iCs/>
        </w:rPr>
        <w:t xml:space="preserve">/1 erwähnten Steuergutschriften und der regionalen Steuergutschriften, multipliziert mit dem Verhältnis zwischen der Staatssteuer in Bezug auf die in Absatz 1 </w:t>
      </w:r>
      <w:r w:rsidR="00D67EB8" w:rsidRPr="009118AB">
        <w:rPr>
          <w:iCs/>
        </w:rPr>
        <w:t>Nr. </w:t>
      </w:r>
      <w:r w:rsidR="00297380" w:rsidRPr="009118AB">
        <w:rPr>
          <w:iCs/>
        </w:rPr>
        <w:t xml:space="preserve">1 erwähnten Einkünfte einerseits und der Summe der Staatssteuer und der Steuer in Bezug auf die in den Artikeln 17 </w:t>
      </w:r>
      <w:r w:rsidR="00D67EB8" w:rsidRPr="009118AB">
        <w:rPr>
          <w:iCs/>
        </w:rPr>
        <w:t>§ </w:t>
      </w:r>
      <w:r w:rsidR="00297380" w:rsidRPr="009118AB">
        <w:rPr>
          <w:iCs/>
        </w:rPr>
        <w:t xml:space="preserve">1 </w:t>
      </w:r>
      <w:r w:rsidR="00D67EB8" w:rsidRPr="009118AB">
        <w:rPr>
          <w:iCs/>
        </w:rPr>
        <w:t>Nr. </w:t>
      </w:r>
      <w:r w:rsidR="00297380" w:rsidRPr="009118AB">
        <w:rPr>
          <w:iCs/>
        </w:rPr>
        <w:t xml:space="preserve">1 bis 3 und 90 Absatz 1 </w:t>
      </w:r>
      <w:r w:rsidR="00D67EB8" w:rsidRPr="009118AB">
        <w:rPr>
          <w:iCs/>
        </w:rPr>
        <w:t>Nr. </w:t>
      </w:r>
      <w:r w:rsidR="00297380" w:rsidRPr="009118AB">
        <w:rPr>
          <w:iCs/>
        </w:rPr>
        <w:t xml:space="preserve">6, 9 und 13 erwähnten Einkünfte und auf die aufgrund von Artikel 90 Absatz 1 </w:t>
      </w:r>
      <w:r w:rsidR="00D67EB8" w:rsidRPr="009118AB">
        <w:rPr>
          <w:iCs/>
        </w:rPr>
        <w:t>Nr. </w:t>
      </w:r>
      <w:r w:rsidR="00297380" w:rsidRPr="009118AB">
        <w:rPr>
          <w:iCs/>
        </w:rPr>
        <w:t>1 steuerpflichtigen Mehrwerte auf Wertpapiere und Effekten. Im Falle einer gemeinsamen Veranlagung werden der noch geschuldete Betrag und das vorerwähnte Verhältnis für beide Ehepartner zusammen bestimmt,</w:t>
      </w:r>
    </w:p>
    <w:p w14:paraId="0CB504B1"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781B1C0" w14:textId="79DADF04"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in Bezug auf die in Artikel 179 erwähnten Steuerpflichtigen, Betrag, der noch geschuldet wird nach Anwendung der in Artikel 444 erwähnten Steuerzuschläge und nach Anrechnung der in den Artikeln 276 bis 289 und 289</w:t>
      </w:r>
      <w:r w:rsidR="00297380" w:rsidRPr="009118AB">
        <w:rPr>
          <w:i/>
          <w:iCs/>
        </w:rPr>
        <w:t>quater</w:t>
      </w:r>
      <w:r w:rsidR="00297380" w:rsidRPr="009118AB">
        <w:rPr>
          <w:iCs/>
        </w:rPr>
        <w:t xml:space="preserve"> bis 295 erwähnten Vorauszahlungen, Vorabzüge und anderen Bestandteile und der dem Teil </w:t>
      </w:r>
      <w:r w:rsidR="00906DC9" w:rsidRPr="009118AB">
        <w:rPr>
          <w:iCs/>
        </w:rPr>
        <w:t>[</w:t>
      </w:r>
      <w:r w:rsidR="00906DC9" w:rsidRPr="009118AB">
        <w:rPr>
          <w:lang w:eastAsia="fr-BE"/>
        </w:rPr>
        <w:t>der gemäß den Artikeln 215 bis 218 berechneten Steuer</w:t>
      </w:r>
      <w:r w:rsidR="00906DC9" w:rsidRPr="009118AB">
        <w:rPr>
          <w:iCs/>
        </w:rPr>
        <w:t>]</w:t>
      </w:r>
      <w:r w:rsidR="00297380" w:rsidRPr="009118AB">
        <w:rPr>
          <w:iCs/>
        </w:rPr>
        <w:t xml:space="preserve"> nach Verhältnis des proportionalen Teils </w:t>
      </w:r>
      <w:r w:rsidR="00906DC9" w:rsidRPr="009118AB">
        <w:rPr>
          <w:iCs/>
        </w:rPr>
        <w:t>[</w:t>
      </w:r>
      <w:r w:rsidR="00906DC9" w:rsidRPr="009118AB">
        <w:rPr>
          <w:lang w:eastAsia="fr-BE"/>
        </w:rPr>
        <w:t xml:space="preserve">der in Absatz 1 </w:t>
      </w:r>
      <w:r w:rsidR="00D67EB8" w:rsidRPr="009118AB">
        <w:rPr>
          <w:lang w:eastAsia="fr-BE"/>
        </w:rPr>
        <w:t>Nr. </w:t>
      </w:r>
      <w:r w:rsidR="00906DC9" w:rsidRPr="009118AB">
        <w:rPr>
          <w:lang w:eastAsia="fr-BE"/>
        </w:rPr>
        <w:t>1, 1/1, 2, 3 und 6 erwähnten Einkünfte</w:t>
      </w:r>
      <w:r w:rsidR="00906DC9" w:rsidRPr="009118AB">
        <w:rPr>
          <w:iCs/>
        </w:rPr>
        <w:t>]</w:t>
      </w:r>
      <w:r w:rsidR="00297380" w:rsidRPr="009118AB">
        <w:rPr>
          <w:iCs/>
        </w:rPr>
        <w:t xml:space="preserve"> im Verhältnis </w:t>
      </w:r>
      <w:r w:rsidR="00906DC9" w:rsidRPr="009118AB">
        <w:rPr>
          <w:iCs/>
        </w:rPr>
        <w:t>[</w:t>
      </w:r>
      <w:r w:rsidR="00906DC9" w:rsidRPr="009118AB">
        <w:rPr>
          <w:lang w:eastAsia="fr-BE"/>
        </w:rPr>
        <w:t>zu dem nach Anwendung von Artikel 207/2 erhaltenen Ergebnis</w:t>
      </w:r>
      <w:r w:rsidR="00906DC9" w:rsidRPr="009118AB">
        <w:rPr>
          <w:iCs/>
        </w:rPr>
        <w:t>]</w:t>
      </w:r>
      <w:r w:rsidR="00297380" w:rsidRPr="009118AB">
        <w:rPr>
          <w:iCs/>
        </w:rPr>
        <w:t xml:space="preserve"> entspricht,</w:t>
      </w:r>
    </w:p>
    <w:p w14:paraId="658CD61C"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6FED553" w14:textId="3B98CA6A"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 in Bezug auf die in Artikel 227 </w:t>
      </w:r>
      <w:r w:rsidR="00D67EB8" w:rsidRPr="009118AB">
        <w:rPr>
          <w:iCs/>
        </w:rPr>
        <w:t>Nr. </w:t>
      </w:r>
      <w:r w:rsidR="00297380" w:rsidRPr="009118AB">
        <w:rPr>
          <w:iCs/>
        </w:rPr>
        <w:t xml:space="preserve">1 erwähnten Steuerpflichtigen, Betrag, der noch geschuldet wird nach Anwendung der in Artikel 444 erwähnten Steuerzuschläge und der in Artikel 245 erwähnten Zuschlaghundertstel und nach Anrechnung der in den Artikeln 175 bis 177 erwähnten Vergütung, der in den Artikeln 157 bis 168 und 175 bis 177 erwähnten Vorauszahlungen, des Pauschalanteils ausländischer Steuer, des Mobilien- und Berufssteuervorabzugs, </w:t>
      </w:r>
      <w:r w:rsidR="00F65187" w:rsidRPr="009118AB">
        <w:rPr>
          <w:iCs/>
        </w:rPr>
        <w:t>[</w:t>
      </w:r>
      <w:r w:rsidR="00F65187" w:rsidRPr="009118AB">
        <w:rPr>
          <w:rFonts w:eastAsia="Calibri"/>
        </w:rPr>
        <w:t xml:space="preserve">der in den Artikeln 134 </w:t>
      </w:r>
      <w:r w:rsidR="00D67EB8" w:rsidRPr="009118AB">
        <w:rPr>
          <w:rFonts w:eastAsia="Calibri"/>
        </w:rPr>
        <w:t>§ </w:t>
      </w:r>
      <w:r w:rsidR="00F65187" w:rsidRPr="009118AB">
        <w:rPr>
          <w:rFonts w:eastAsia="Calibri"/>
        </w:rPr>
        <w:t>3 und 145</w:t>
      </w:r>
      <w:r w:rsidR="00F65187" w:rsidRPr="009118AB">
        <w:rPr>
          <w:rFonts w:eastAsia="Calibri"/>
          <w:vertAlign w:val="superscript"/>
        </w:rPr>
        <w:t>35</w:t>
      </w:r>
      <w:r w:rsidR="00F65187" w:rsidRPr="009118AB">
        <w:rPr>
          <w:rFonts w:eastAsia="Calibri"/>
        </w:rPr>
        <w:t xml:space="preserve"> Absatz 10</w:t>
      </w:r>
      <w:r w:rsidR="00F65187" w:rsidRPr="009118AB">
        <w:rPr>
          <w:iCs/>
        </w:rPr>
        <w:t>]</w:t>
      </w:r>
      <w:r w:rsidR="00297380" w:rsidRPr="009118AB">
        <w:rPr>
          <w:iCs/>
        </w:rPr>
        <w:t>, 289</w:t>
      </w:r>
      <w:r w:rsidR="00297380" w:rsidRPr="009118AB">
        <w:rPr>
          <w:i/>
          <w:iCs/>
        </w:rPr>
        <w:t>bis</w:t>
      </w:r>
      <w:r w:rsidR="00297380" w:rsidRPr="009118AB">
        <w:rPr>
          <w:iCs/>
        </w:rPr>
        <w:t>, 289</w:t>
      </w:r>
      <w:r w:rsidR="00297380" w:rsidRPr="009118AB">
        <w:rPr>
          <w:i/>
          <w:iCs/>
        </w:rPr>
        <w:t>ter</w:t>
      </w:r>
      <w:r w:rsidR="00297380" w:rsidRPr="009118AB">
        <w:rPr>
          <w:iCs/>
        </w:rPr>
        <w:t xml:space="preserve"> und 289</w:t>
      </w:r>
      <w:r w:rsidR="00297380" w:rsidRPr="009118AB">
        <w:rPr>
          <w:i/>
          <w:iCs/>
        </w:rPr>
        <w:t>ter</w:t>
      </w:r>
      <w:r w:rsidR="00297380" w:rsidRPr="009118AB">
        <w:rPr>
          <w:iCs/>
        </w:rPr>
        <w:t xml:space="preserve">/1 erwähnten Steuergutschriften und gegebenenfalls der regionalen Steuergutschriften, multipliziert mit dem Verhältnis zwischen der gemäß den Artikeln 130 bis 144 und 171 berechneten Steuer in Bezug auf die in Absatz 1 </w:t>
      </w:r>
      <w:r w:rsidR="00D67EB8" w:rsidRPr="009118AB">
        <w:rPr>
          <w:iCs/>
        </w:rPr>
        <w:t>Nr. </w:t>
      </w:r>
      <w:r w:rsidR="00297380" w:rsidRPr="009118AB">
        <w:rPr>
          <w:iCs/>
        </w:rPr>
        <w:t xml:space="preserve">1 erwähnten Einkünfte einerseits und der gemäß denselben Artikeln berechneten Steuer in Bezug auf alle Einkünfte, die gemäß den Artikeln 232 Absatz 1 </w:t>
      </w:r>
      <w:r w:rsidR="00D67EB8" w:rsidRPr="009118AB">
        <w:rPr>
          <w:iCs/>
        </w:rPr>
        <w:t>Nr. </w:t>
      </w:r>
      <w:r w:rsidR="00297380" w:rsidRPr="009118AB">
        <w:rPr>
          <w:iCs/>
        </w:rPr>
        <w:t>2 und 248 §</w:t>
      </w:r>
      <w:r w:rsidR="00D67EB8" w:rsidRPr="009118AB">
        <w:rPr>
          <w:iCs/>
        </w:rPr>
        <w:t>§ </w:t>
      </w:r>
      <w:r w:rsidR="00297380" w:rsidRPr="009118AB">
        <w:rPr>
          <w:iCs/>
        </w:rPr>
        <w:t>2 und 3 der Steuer unterliegen. Im Falle einer gemeinsamen Veranlagung werden der noch geschuldete Betrag und das vorerwähnte Verhältnis für beide Ehepartner zusammen bestimmt,</w:t>
      </w:r>
    </w:p>
    <w:p w14:paraId="594AB33B"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365B9C0" w14:textId="4FA8EC89" w:rsidR="00134CA8" w:rsidRPr="009118AB" w:rsidRDefault="003027B9" w:rsidP="00134C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 in Bezug auf die in Artikel 227 </w:t>
      </w:r>
      <w:r w:rsidR="00D67EB8" w:rsidRPr="009118AB">
        <w:rPr>
          <w:iCs/>
        </w:rPr>
        <w:t>Nr. </w:t>
      </w:r>
      <w:r w:rsidR="00297380" w:rsidRPr="009118AB">
        <w:rPr>
          <w:iCs/>
        </w:rPr>
        <w:t>2 erwähnten Steuerpflichtigen, Betrag, der noch geschuldet wird nach Anwendung der in Artikel 444 erwähnten Steuerzuschläge und nach Anrechnung der in den Artikeln 276 bis 289 und 289</w:t>
      </w:r>
      <w:r w:rsidR="00297380" w:rsidRPr="009118AB">
        <w:rPr>
          <w:i/>
          <w:iCs/>
        </w:rPr>
        <w:t>quater</w:t>
      </w:r>
      <w:r w:rsidR="00297380" w:rsidRPr="009118AB">
        <w:rPr>
          <w:iCs/>
        </w:rPr>
        <w:t xml:space="preserve"> bis 296 erwähnten Vorauszahlungen, Vorabzüge und anderen Bestandteile und der dem Teil der gemäß Artikel 246 Absatz 1 </w:t>
      </w:r>
      <w:r w:rsidR="00D67EB8" w:rsidRPr="009118AB">
        <w:rPr>
          <w:iCs/>
        </w:rPr>
        <w:t>Nr. </w:t>
      </w:r>
      <w:r w:rsidR="00297380" w:rsidRPr="009118AB">
        <w:rPr>
          <w:iCs/>
        </w:rPr>
        <w:t xml:space="preserve">1 berechneten Steuer nach Verhältnis des proportionalen Teils der in Absatz 1 </w:t>
      </w:r>
      <w:r w:rsidR="00D67EB8" w:rsidRPr="009118AB">
        <w:rPr>
          <w:iCs/>
        </w:rPr>
        <w:t>Nr. </w:t>
      </w:r>
      <w:r w:rsidR="00297380" w:rsidRPr="009118AB">
        <w:rPr>
          <w:iCs/>
        </w:rPr>
        <w:t xml:space="preserve">4 und 5 erwähnten Einkünfte im Verhältnis zur Gesamtheit der in Artikel 246 Absatz 1 </w:t>
      </w:r>
      <w:r w:rsidR="00D67EB8" w:rsidRPr="009118AB">
        <w:rPr>
          <w:iCs/>
        </w:rPr>
        <w:t>Nr. </w:t>
      </w:r>
      <w:r w:rsidR="00297380" w:rsidRPr="009118AB">
        <w:rPr>
          <w:iCs/>
        </w:rPr>
        <w:t>1 erwähnten Einkünfte entspricht.</w:t>
      </w:r>
    </w:p>
    <w:p w14:paraId="2C5D78DE" w14:textId="1093D138" w:rsidR="00296F5F" w:rsidRPr="009118AB" w:rsidRDefault="00296F5F" w:rsidP="00134C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2CE4DF0" w14:textId="77777777" w:rsidR="00C15B15" w:rsidRDefault="00C15B15">
      <w:pPr>
        <w:rPr>
          <w:iCs/>
        </w:rPr>
      </w:pPr>
      <w:r>
        <w:rPr>
          <w:iCs/>
        </w:rPr>
        <w:br w:type="page"/>
      </w:r>
    </w:p>
    <w:p w14:paraId="18F2A4CF" w14:textId="5668854A"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D67EB8" w:rsidRPr="009118AB">
        <w:rPr>
          <w:iCs/>
        </w:rPr>
        <w:t>§ </w:t>
      </w:r>
      <w:r w:rsidR="00297380" w:rsidRPr="009118AB">
        <w:rPr>
          <w:iCs/>
        </w:rPr>
        <w:t>2</w:t>
      </w:r>
      <w:r w:rsidR="00D67EB8" w:rsidRPr="009118AB">
        <w:rPr>
          <w:iCs/>
        </w:rPr>
        <w:t> - </w:t>
      </w:r>
      <w:r w:rsidR="00297380" w:rsidRPr="009118AB">
        <w:rPr>
          <w:iCs/>
        </w:rPr>
        <w:t xml:space="preserve">Der noch geschuldete Anteil der Einkommensteuer, der auf der Grundlage der in </w:t>
      </w:r>
      <w:r w:rsidR="00D67EB8" w:rsidRPr="009118AB">
        <w:rPr>
          <w:iCs/>
        </w:rPr>
        <w:t>§ </w:t>
      </w:r>
      <w:r w:rsidR="00297380" w:rsidRPr="009118AB">
        <w:rPr>
          <w:iCs/>
        </w:rPr>
        <w:t>1 erwähnten Einkünfte festgelegt wird, muss innerhalb einer Frist von zwei Monaten ab Versendung des Steuerbescheids gezahlt werden:</w:t>
      </w:r>
    </w:p>
    <w:p w14:paraId="2FA9499B"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C797FD3"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1. entweder in Höhe des gesamten Betrags</w:t>
      </w:r>
    </w:p>
    <w:p w14:paraId="2C298431"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FC10AAA" w14:textId="29421253"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2. oder in Höhe </w:t>
      </w:r>
      <w:r w:rsidR="00015E7F" w:rsidRPr="009118AB">
        <w:rPr>
          <w:iCs/>
        </w:rPr>
        <w:t>eines Fünftels</w:t>
      </w:r>
      <w:r w:rsidR="00297380" w:rsidRPr="009118AB">
        <w:rPr>
          <w:iCs/>
        </w:rPr>
        <w:t xml:space="preserve"> des Betrags, auf ausdrücklichen Antrag des Steuerschuldners, der innerhalb derselben Frist anhand des in </w:t>
      </w:r>
      <w:r w:rsidR="00D67EB8" w:rsidRPr="009118AB">
        <w:rPr>
          <w:iCs/>
        </w:rPr>
        <w:t>§ </w:t>
      </w:r>
      <w:r w:rsidR="00297380" w:rsidRPr="009118AB">
        <w:rPr>
          <w:iCs/>
        </w:rPr>
        <w:t>4 erwähnten Formulars an den zuständigen Einnehmer gerichtet wird. Der Restbetrag wird im Laufe der vier folgenden Jahre in gleichen Raten spätestens an jedem Jahrestag des Fälligkeitstermins der ersten Zahlung entrichtet. Der Restbetrag des Anteils der Steuer kann jederzeit auf einmal gezahlt werden.</w:t>
      </w:r>
    </w:p>
    <w:p w14:paraId="3BC304CF"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39C4600"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Wählt der Steuerschuldner die in Absatz 1 erwähnte gestaffelte Zahlung, kann er keine andere Maßnahme in Anspruch nehmen, durch die ein Aufschub der Zahlungen des noch geschuldeten Anteils gewährt wird.</w:t>
      </w:r>
    </w:p>
    <w:p w14:paraId="5D364ECE"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77A28C1" w14:textId="1B750280"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D67EB8" w:rsidRPr="009118AB">
        <w:rPr>
          <w:iCs/>
        </w:rPr>
        <w:t>§ </w:t>
      </w:r>
      <w:r w:rsidR="00297380" w:rsidRPr="009118AB">
        <w:rPr>
          <w:iCs/>
        </w:rPr>
        <w:t>3</w:t>
      </w:r>
      <w:r w:rsidR="00D67EB8" w:rsidRPr="009118AB">
        <w:rPr>
          <w:iCs/>
        </w:rPr>
        <w:t> - </w:t>
      </w:r>
      <w:r w:rsidR="00297380" w:rsidRPr="009118AB">
        <w:rPr>
          <w:iCs/>
        </w:rPr>
        <w:t xml:space="preserve">Der in </w:t>
      </w:r>
      <w:r w:rsidR="00D67EB8" w:rsidRPr="009118AB">
        <w:rPr>
          <w:iCs/>
        </w:rPr>
        <w:t>§ </w:t>
      </w:r>
      <w:r w:rsidR="00297380" w:rsidRPr="009118AB">
        <w:rPr>
          <w:iCs/>
        </w:rPr>
        <w:t>2 erwähnte Restbetrag des noch geschuldeten Anteils der Steuer muss spätestens am letzten Tag des Monats nach dem Monat, in dem einer der folgenden Fälle eintritt, vollständig gezahlt werden:</w:t>
      </w:r>
    </w:p>
    <w:p w14:paraId="747A2783"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D4ABDA9" w14:textId="480B7BBC"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1. Verlegung </w:t>
      </w:r>
      <w:r w:rsidR="00DD61B3" w:rsidRPr="009118AB">
        <w:rPr>
          <w:iCs/>
        </w:rPr>
        <w:t>[</w:t>
      </w:r>
      <w:r w:rsidR="00DD61B3" w:rsidRPr="009118AB">
        <w:t>des Steuerwohnsitzes</w:t>
      </w:r>
      <w:r w:rsidR="00DD61B3" w:rsidRPr="009118AB">
        <w:rPr>
          <w:iCs/>
        </w:rPr>
        <w:t>]</w:t>
      </w:r>
      <w:r w:rsidR="00297380" w:rsidRPr="009118AB">
        <w:rPr>
          <w:iCs/>
        </w:rPr>
        <w:t xml:space="preserve"> des Steuerpflichtigen in einen ausländischen Staat, der kein Mitgliedstaat der Europäischen Union und kein Mitgliedstaat des Europäischen Wirtschaftsraums ist, mit dem Belgien ein anwendbares Abkommen in Bezug auf Amtshilfe bei der Beitreibung geschlossen hat,</w:t>
      </w:r>
    </w:p>
    <w:p w14:paraId="075AB39F"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DA98938"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2. Gesamt- oder Teilveräußerung der Aktiva,</w:t>
      </w:r>
    </w:p>
    <w:p w14:paraId="2C01F480"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20D8D18"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3. Gesamt- oder Teilübertragung der Aktiva in einen ausländischen Staat, der kein Mitgliedstaat der Europäischen Union und kein Mitgliedstaat des Europäischen Wirtschaftsraums ist, mit dem Belgien ein anwendbares Abkommen in Bezug auf Amtshilfe bei der Beitreibung geschlossen hat,</w:t>
      </w:r>
    </w:p>
    <w:p w14:paraId="3CEAAD35"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2039BC7" w14:textId="43A6D764"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4. Auflösung </w:t>
      </w:r>
      <w:r w:rsidR="00DD61B3" w:rsidRPr="009118AB">
        <w:rPr>
          <w:iCs/>
        </w:rPr>
        <w:t>[</w:t>
      </w:r>
      <w:r w:rsidR="00DD61B3" w:rsidRPr="009118AB">
        <w:t>des Steuerpflichtigen</w:t>
      </w:r>
      <w:r w:rsidR="00DD61B3" w:rsidRPr="009118AB">
        <w:rPr>
          <w:iCs/>
        </w:rPr>
        <w:t>]</w:t>
      </w:r>
      <w:r w:rsidR="00297380" w:rsidRPr="009118AB">
        <w:rPr>
          <w:iCs/>
        </w:rPr>
        <w:t xml:space="preserve">, mit Ausnahme der Auflösung ohne Liquidation im Rahmen </w:t>
      </w:r>
      <w:r w:rsidR="00DD61B3" w:rsidRPr="009118AB">
        <w:rPr>
          <w:iCs/>
        </w:rPr>
        <w:t>[</w:t>
      </w:r>
      <w:r w:rsidR="00DD61B3" w:rsidRPr="009118AB">
        <w:t>einer Fusion, einer Aufspaltung oder eines mit einer Fusion oder Aufspaltung gleichgesetzten Vorgangs</w:t>
      </w:r>
      <w:r w:rsidR="00DD61B3" w:rsidRPr="009118AB">
        <w:rPr>
          <w:iCs/>
        </w:rPr>
        <w:t>]</w:t>
      </w:r>
      <w:r w:rsidR="00297380" w:rsidRPr="009118AB">
        <w:rPr>
          <w:iCs/>
        </w:rPr>
        <w:t xml:space="preserve">, es sei denn, dieser Vorgang hat eine in </w:t>
      </w:r>
      <w:r w:rsidR="00D67EB8" w:rsidRPr="009118AB">
        <w:rPr>
          <w:iCs/>
        </w:rPr>
        <w:t>Nr. </w:t>
      </w:r>
      <w:r w:rsidR="00297380" w:rsidRPr="009118AB">
        <w:rPr>
          <w:iCs/>
        </w:rPr>
        <w:t>3 erwähnte Übertragung zur Folge,</w:t>
      </w:r>
    </w:p>
    <w:p w14:paraId="2F7BECBF"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03631DB" w14:textId="4A65C804"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5. Tod des in Artikel 28 Absatz 1 </w:t>
      </w:r>
      <w:r w:rsidR="00D67EB8" w:rsidRPr="009118AB">
        <w:rPr>
          <w:iCs/>
        </w:rPr>
        <w:t>Nr. </w:t>
      </w:r>
      <w:r w:rsidR="00297380" w:rsidRPr="009118AB">
        <w:rPr>
          <w:iCs/>
        </w:rPr>
        <w:t>1 erwähnten Empfängers, der eine natürliche Person ist,</w:t>
      </w:r>
    </w:p>
    <w:p w14:paraId="7A23698F"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B958C55" w14:textId="354B5629"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6. Verlegung des Wohnsitzes durch den in Artikel 28 Absatz 1 </w:t>
      </w:r>
      <w:r w:rsidR="00D67EB8" w:rsidRPr="009118AB">
        <w:rPr>
          <w:iCs/>
        </w:rPr>
        <w:t>Nr. </w:t>
      </w:r>
      <w:r w:rsidR="00297380" w:rsidRPr="009118AB">
        <w:rPr>
          <w:iCs/>
        </w:rPr>
        <w:t>1 erwähnten Empfänger, der eine natürliche Person ist, in einen ausländischen Staat, der kein Mitgliedstaat der Europäischen Union und kein Mitgliedstaat des Europäischen Wirtschaftsraums ist, mit dem Belgien ein anwendbares Abkommen in Bezug auf Amtshilfe bei der Beitreibung geschlossen hat,</w:t>
      </w:r>
    </w:p>
    <w:p w14:paraId="73357C9B"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5FA3D71"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7. Eröffnung eines Insolvenzverfahrens gegen die Person, die die gestaffelte Zahlung in Anspruch nimmt,</w:t>
      </w:r>
    </w:p>
    <w:p w14:paraId="4C14110F"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8DF53B3" w14:textId="26F23FBD"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8. Nicht-Einhaltung eines der Fälligkeitstermine der in </w:t>
      </w:r>
      <w:r w:rsidR="00D67EB8" w:rsidRPr="009118AB">
        <w:rPr>
          <w:iCs/>
        </w:rPr>
        <w:t>§ </w:t>
      </w:r>
      <w:r w:rsidR="00297380" w:rsidRPr="009118AB">
        <w:rPr>
          <w:iCs/>
        </w:rPr>
        <w:t xml:space="preserve">2 </w:t>
      </w:r>
      <w:r w:rsidR="00D67EB8" w:rsidRPr="009118AB">
        <w:rPr>
          <w:iCs/>
        </w:rPr>
        <w:t>Nr. </w:t>
      </w:r>
      <w:r w:rsidR="00297380" w:rsidRPr="009118AB">
        <w:rPr>
          <w:iCs/>
        </w:rPr>
        <w:t>2 erwähnten gestaffelten Zahlung,</w:t>
      </w:r>
    </w:p>
    <w:p w14:paraId="6A9ADF67"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2796967" w14:textId="001D582A"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9. nicht erfolgter Versand innerhalb der gesetzlichen Fristen des in </w:t>
      </w:r>
      <w:r w:rsidR="00D67EB8" w:rsidRPr="009118AB">
        <w:rPr>
          <w:iCs/>
        </w:rPr>
        <w:t>§ </w:t>
      </w:r>
      <w:r w:rsidR="00297380" w:rsidRPr="009118AB">
        <w:rPr>
          <w:iCs/>
        </w:rPr>
        <w:t>4 erwähnten ausgefüllten, datierten, unterzeichneten und für vollständig und richtig bescheinigten Formulars,</w:t>
      </w:r>
    </w:p>
    <w:p w14:paraId="16CD7F58"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49B0E29" w14:textId="2A1BEF1D"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 xml:space="preserve">10. Nichtleistung der Sicherheit, die in Ausführung des gemäß </w:t>
      </w:r>
      <w:r w:rsidR="00D67EB8" w:rsidRPr="009118AB">
        <w:rPr>
          <w:iCs/>
        </w:rPr>
        <w:t>§ </w:t>
      </w:r>
      <w:r w:rsidR="00297380" w:rsidRPr="009118AB">
        <w:rPr>
          <w:iCs/>
        </w:rPr>
        <w:t>5 getroffenen Beschlusses des Generalberaters der mit der Einnahme und Beitreibung der Einkommensteuern beauftragten Verwaltung festgelegt wird.</w:t>
      </w:r>
    </w:p>
    <w:p w14:paraId="2B7B27C4"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EB1611F" w14:textId="20DEB37C"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D67EB8" w:rsidRPr="009118AB">
        <w:rPr>
          <w:iCs/>
        </w:rPr>
        <w:t>§ </w:t>
      </w:r>
      <w:r w:rsidR="00297380" w:rsidRPr="009118AB">
        <w:rPr>
          <w:iCs/>
        </w:rPr>
        <w:t>4</w:t>
      </w:r>
      <w:r w:rsidR="00D67EB8" w:rsidRPr="009118AB">
        <w:rPr>
          <w:iCs/>
        </w:rPr>
        <w:t> - </w:t>
      </w:r>
      <w:r w:rsidR="00297380" w:rsidRPr="009118AB">
        <w:rPr>
          <w:iCs/>
        </w:rPr>
        <w:t xml:space="preserve">Ein Steuerschuldner, der die gestaffelte Zahlung wählt, übermittelt dem zuständigen Einnehmer jährlich spätestens am Datum des Ablaufs der Zahlungsfrist ein ausgefülltes, datiertes, unterzeichnetes und für vollständig und richtig bescheinigtes Formular, aus dem die Auskünfte in Bezug auf die übertragenen Aktiva, auf deren Grundlage der noch geschuldete Anteil der Einkommensteuer festgelegt worden ist und für die gemäß </w:t>
      </w:r>
      <w:r w:rsidR="00D67EB8" w:rsidRPr="009118AB">
        <w:rPr>
          <w:iCs/>
        </w:rPr>
        <w:t>§ </w:t>
      </w:r>
      <w:r w:rsidR="00297380" w:rsidRPr="009118AB">
        <w:rPr>
          <w:iCs/>
        </w:rPr>
        <w:t>1 die gestaffelte Zahlung gewählt worden ist, und das Eintreten oder Nichtbestehen eines Verfallsgrundes hervorgehen.</w:t>
      </w:r>
    </w:p>
    <w:p w14:paraId="65E7B0B6"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47316C7"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Der Versand des in Absatz 1 erwähnten Formulars bringt von Rechts wegen den Verzicht auf die bereits verstrichene Verjährungszeit mit sich.</w:t>
      </w:r>
    </w:p>
    <w:p w14:paraId="4E3D8FE8"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AC6994A"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Zahlt der Steuerschuldner den Restbetrag des noch geschuldeten Anteils der Steuer auf einmal, übermittelt er ein letztes Formular.</w:t>
      </w:r>
    </w:p>
    <w:p w14:paraId="1FF375D7"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9FC774B" w14:textId="63FB2DA3"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D67EB8" w:rsidRPr="009118AB">
        <w:rPr>
          <w:iCs/>
        </w:rPr>
        <w:t>§ </w:t>
      </w:r>
      <w:r w:rsidR="00297380" w:rsidRPr="009118AB">
        <w:rPr>
          <w:iCs/>
        </w:rPr>
        <w:t>5</w:t>
      </w:r>
      <w:r w:rsidR="00D67EB8" w:rsidRPr="009118AB">
        <w:rPr>
          <w:iCs/>
        </w:rPr>
        <w:t> - </w:t>
      </w:r>
      <w:r w:rsidR="00297380" w:rsidRPr="009118AB">
        <w:rPr>
          <w:iCs/>
        </w:rPr>
        <w:t xml:space="preserve">Bei tatsächlichem Risiko, dass die Steuer nicht beigetrieben werden kann, kann der Generalberater der mit der Einnahme und Beitreibung der Einkommensteuern beauftragten Verwaltung die in </w:t>
      </w:r>
      <w:r w:rsidR="00D67EB8" w:rsidRPr="009118AB">
        <w:rPr>
          <w:iCs/>
        </w:rPr>
        <w:t>§ </w:t>
      </w:r>
      <w:r w:rsidR="00297380" w:rsidRPr="009118AB">
        <w:rPr>
          <w:iCs/>
        </w:rPr>
        <w:t xml:space="preserve">2 </w:t>
      </w:r>
      <w:r w:rsidR="00D67EB8" w:rsidRPr="009118AB">
        <w:rPr>
          <w:iCs/>
        </w:rPr>
        <w:t>Nr. </w:t>
      </w:r>
      <w:r w:rsidR="00297380" w:rsidRPr="009118AB">
        <w:rPr>
          <w:iCs/>
        </w:rPr>
        <w:t>2 erwähnte Wahl der gestaffelten Zahlung jederzeit durch einen mit Gründen versehenen Beschluss von der Leistung einer dinglichen Sicherheit oder einer persönlichen Bürgschaft abhängig machen.</w:t>
      </w:r>
    </w:p>
    <w:p w14:paraId="45796F4F"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EAFF53A"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Im Monat nach Notifizierung des in Absatz 1 erwähnten Beschlusses kann der Steuerschuldner eine Beschwerde vor dem Pfändungsrichter des Ortes einreichen, wo sich das Büro des Einnehmers befindet, der mit der Beitreibung des gesamten noch geschuldeten Anteils oder eines Teils davon beauftragt ist, für den die Sicherheit verlangt wird.</w:t>
      </w:r>
    </w:p>
    <w:p w14:paraId="1F5F8F82"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011351C" w14:textId="77777777" w:rsidR="00297380" w:rsidRPr="009118AB"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Cs/>
        </w:rPr>
        <w:tab/>
      </w:r>
      <w:r w:rsidR="00297380" w:rsidRPr="009118AB">
        <w:rPr>
          <w:iCs/>
        </w:rPr>
        <w:t>Als Verfahren gilt das Eilverfahren.]</w:t>
      </w:r>
    </w:p>
    <w:p w14:paraId="1F2F4692" w14:textId="77777777"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73B308E2" w14:textId="68F413D5" w:rsidR="00297380" w:rsidRPr="009118AB"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118AB">
        <w:rPr>
          <w:i/>
          <w:iCs/>
        </w:rPr>
        <w:t>[</w:t>
      </w:r>
      <w:r w:rsidR="00D67EB8" w:rsidRPr="009118AB">
        <w:rPr>
          <w:i/>
          <w:iCs/>
        </w:rPr>
        <w:t>Art. </w:t>
      </w:r>
      <w:r w:rsidRPr="009118AB">
        <w:rPr>
          <w:i/>
          <w:iCs/>
        </w:rPr>
        <w:t xml:space="preserve">413/1 eingefügt durch </w:t>
      </w:r>
      <w:r w:rsidR="00D67EB8" w:rsidRPr="009118AB">
        <w:rPr>
          <w:i/>
          <w:iCs/>
        </w:rPr>
        <w:t>Art. </w:t>
      </w:r>
      <w:r w:rsidRPr="009118AB">
        <w:rPr>
          <w:i/>
          <w:iCs/>
        </w:rPr>
        <w:t>8 des G. vom 1. Dezember 2016 (B.S. vom 8. Dezember 2016)</w:t>
      </w:r>
      <w:r w:rsidR="00D67EB8" w:rsidRPr="009118AB">
        <w:rPr>
          <w:i/>
          <w:iCs/>
        </w:rPr>
        <w:t> - </w:t>
      </w:r>
      <w:r w:rsidRPr="009118AB">
        <w:rPr>
          <w:i/>
          <w:iCs/>
        </w:rPr>
        <w:t>anwendbar ab dem Steuerjahr 2017 auf Vorgänge, die ab de</w:t>
      </w:r>
      <w:r w:rsidR="00F65187" w:rsidRPr="009118AB">
        <w:rPr>
          <w:i/>
          <w:iCs/>
        </w:rPr>
        <w:t>m 8. Dezember 2016 stattfinden</w:t>
      </w:r>
      <w:r w:rsidR="003366D9" w:rsidRPr="009118AB">
        <w:rPr>
          <w:i/>
          <w:iCs/>
        </w:rPr>
        <w:t> -;</w:t>
      </w:r>
      <w:r w:rsidRPr="009118AB">
        <w:rPr>
          <w:i/>
          <w:iCs/>
        </w:rPr>
        <w:t xml:space="preserve"> </w:t>
      </w:r>
      <w:r w:rsidR="00D67EB8" w:rsidRPr="009118AB">
        <w:rPr>
          <w:i/>
          <w:iCs/>
        </w:rPr>
        <w:t>§ </w:t>
      </w:r>
      <w:r w:rsidR="00DD61B3" w:rsidRPr="009118AB">
        <w:rPr>
          <w:i/>
          <w:iCs/>
        </w:rPr>
        <w:t xml:space="preserve">1 </w:t>
      </w:r>
      <w:r w:rsidR="00D67EB8" w:rsidRPr="009118AB">
        <w:rPr>
          <w:i/>
          <w:iCs/>
        </w:rPr>
        <w:t>Abs. </w:t>
      </w:r>
      <w:r w:rsidR="00DD61B3" w:rsidRPr="009118AB">
        <w:rPr>
          <w:i/>
          <w:iCs/>
        </w:rPr>
        <w:t xml:space="preserve">1 </w:t>
      </w:r>
      <w:r w:rsidR="00D67EB8" w:rsidRPr="009118AB">
        <w:rPr>
          <w:i/>
          <w:iCs/>
        </w:rPr>
        <w:t>Nr. </w:t>
      </w:r>
      <w:r w:rsidR="00DD61B3" w:rsidRPr="009118AB">
        <w:rPr>
          <w:i/>
          <w:iCs/>
        </w:rPr>
        <w:t xml:space="preserve">1 abgeändert durch </w:t>
      </w:r>
      <w:r w:rsidR="00D67EB8" w:rsidRPr="009118AB">
        <w:rPr>
          <w:i/>
          <w:iCs/>
        </w:rPr>
        <w:t>Art. </w:t>
      </w:r>
      <w:r w:rsidR="00DD61B3" w:rsidRPr="009118AB">
        <w:rPr>
          <w:i/>
          <w:iCs/>
        </w:rPr>
        <w:t xml:space="preserve">80 </w:t>
      </w:r>
      <w:r w:rsidR="00D67EB8" w:rsidRPr="009118AB">
        <w:rPr>
          <w:i/>
          <w:iCs/>
        </w:rPr>
        <w:t>Nr. </w:t>
      </w:r>
      <w:r w:rsidR="00DD61B3" w:rsidRPr="009118AB">
        <w:rPr>
          <w:i/>
          <w:iCs/>
        </w:rPr>
        <w:t>1</w:t>
      </w:r>
      <w:r w:rsidR="00DD61B3" w:rsidRPr="009118AB">
        <w:rPr>
          <w:i/>
          <w:iCs/>
          <w:spacing w:val="-2"/>
        </w:rPr>
        <w:t xml:space="preserve"> des G. vom 17. März 2019 (III) (B.S. vom 10. Mai 2019)</w:t>
      </w:r>
      <w:r w:rsidR="00D67EB8" w:rsidRPr="009118AB">
        <w:rPr>
          <w:i/>
          <w:iCs/>
          <w:spacing w:val="-2"/>
        </w:rPr>
        <w:t> - </w:t>
      </w:r>
      <w:r w:rsidR="00DD61B3" w:rsidRPr="009118AB">
        <w:rPr>
          <w:i/>
          <w:iCs/>
          <w:spacing w:val="-2"/>
        </w:rPr>
        <w:t>in Kraft am 1. Mai 2019</w:t>
      </w:r>
      <w:r w:rsidR="003366D9" w:rsidRPr="009118AB">
        <w:rPr>
          <w:i/>
          <w:iCs/>
          <w:spacing w:val="-2"/>
        </w:rPr>
        <w:t> -;</w:t>
      </w:r>
      <w:r w:rsidR="00DD61B3" w:rsidRPr="009118AB">
        <w:rPr>
          <w:i/>
          <w:iCs/>
          <w:spacing w:val="-2"/>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1/1 eingefügt durch </w:t>
      </w:r>
      <w:r w:rsidR="00D67EB8" w:rsidRPr="009118AB">
        <w:rPr>
          <w:i/>
          <w:iCs/>
        </w:rPr>
        <w:t>Art. </w:t>
      </w:r>
      <w:r w:rsidRPr="009118AB">
        <w:rPr>
          <w:i/>
          <w:iCs/>
        </w:rPr>
        <w:t>7</w:t>
      </w:r>
      <w:r w:rsidR="00593140" w:rsidRPr="009118AB">
        <w:rPr>
          <w:i/>
          <w:iCs/>
        </w:rPr>
        <w:t>6 des G. vom 25. Dezember 2017 (III) (B.S. vom 29. Dezember 2017)</w:t>
      </w:r>
      <w:r w:rsidR="00D67EB8" w:rsidRPr="009118AB">
        <w:rPr>
          <w:i/>
          <w:iCs/>
        </w:rPr>
        <w:t> - </w:t>
      </w:r>
      <w:r w:rsidR="00593140" w:rsidRPr="009118AB">
        <w:rPr>
          <w:i/>
          <w:iCs/>
        </w:rPr>
        <w:t>in Kraft am 1. Januar 2019 und anwendbar auf Übertragungen, die ab dem 1. Januar 2019 stattfinden</w:t>
      </w:r>
      <w:r w:rsidR="003366D9" w:rsidRPr="009118AB">
        <w:rPr>
          <w:i/>
          <w:iCs/>
        </w:rPr>
        <w:t> -;</w:t>
      </w:r>
      <w:r w:rsidR="00F65187" w:rsidRPr="009118AB">
        <w:rPr>
          <w:i/>
          <w:iCs/>
        </w:rPr>
        <w:t xml:space="preserve"> </w:t>
      </w:r>
      <w:r w:rsidR="00D67EB8" w:rsidRPr="009118AB">
        <w:rPr>
          <w:i/>
          <w:iCs/>
        </w:rPr>
        <w:t>§ </w:t>
      </w:r>
      <w:r w:rsidR="00DD61B3" w:rsidRPr="009118AB">
        <w:rPr>
          <w:i/>
          <w:iCs/>
        </w:rPr>
        <w:t xml:space="preserve">1 </w:t>
      </w:r>
      <w:r w:rsidR="00D67EB8" w:rsidRPr="009118AB">
        <w:rPr>
          <w:i/>
          <w:iCs/>
        </w:rPr>
        <w:t>Abs. </w:t>
      </w:r>
      <w:r w:rsidR="00DD61B3" w:rsidRPr="009118AB">
        <w:rPr>
          <w:i/>
          <w:iCs/>
        </w:rPr>
        <w:t xml:space="preserve">1 </w:t>
      </w:r>
      <w:r w:rsidR="00D67EB8" w:rsidRPr="009118AB">
        <w:rPr>
          <w:i/>
          <w:iCs/>
        </w:rPr>
        <w:t>Nr. </w:t>
      </w:r>
      <w:r w:rsidR="00DD61B3" w:rsidRPr="009118AB">
        <w:rPr>
          <w:i/>
          <w:iCs/>
        </w:rPr>
        <w:t xml:space="preserve">2 abgeändert durch </w:t>
      </w:r>
      <w:r w:rsidR="00D67EB8" w:rsidRPr="009118AB">
        <w:rPr>
          <w:i/>
          <w:iCs/>
        </w:rPr>
        <w:t>Art. </w:t>
      </w:r>
      <w:r w:rsidR="00DD61B3" w:rsidRPr="009118AB">
        <w:rPr>
          <w:i/>
          <w:iCs/>
        </w:rPr>
        <w:t xml:space="preserve">80 </w:t>
      </w:r>
      <w:r w:rsidR="00D67EB8" w:rsidRPr="009118AB">
        <w:rPr>
          <w:i/>
          <w:iCs/>
        </w:rPr>
        <w:t>Nr. </w:t>
      </w:r>
      <w:r w:rsidR="00DD61B3" w:rsidRPr="009118AB">
        <w:rPr>
          <w:i/>
          <w:iCs/>
        </w:rPr>
        <w:t>2</w:t>
      </w:r>
      <w:r w:rsidR="00DD61B3" w:rsidRPr="009118AB">
        <w:rPr>
          <w:i/>
          <w:iCs/>
          <w:spacing w:val="-2"/>
        </w:rPr>
        <w:t xml:space="preserve"> des G. vom 17. März 2019 (III) (B.S. vom 10. Mai 2019)</w:t>
      </w:r>
      <w:r w:rsidR="00D67EB8" w:rsidRPr="009118AB">
        <w:rPr>
          <w:i/>
          <w:iCs/>
          <w:spacing w:val="-2"/>
        </w:rPr>
        <w:t> - </w:t>
      </w:r>
      <w:r w:rsidR="00DD61B3" w:rsidRPr="009118AB">
        <w:rPr>
          <w:i/>
          <w:iCs/>
          <w:spacing w:val="-2"/>
        </w:rPr>
        <w:t>in Kraft am 1. Mai 2019</w:t>
      </w:r>
      <w:r w:rsidR="003366D9" w:rsidRPr="009118AB">
        <w:rPr>
          <w:i/>
          <w:iCs/>
          <w:spacing w:val="-2"/>
        </w:rPr>
        <w:t> -;</w:t>
      </w:r>
      <w:r w:rsidR="00D35CDD" w:rsidRPr="009118AB">
        <w:rPr>
          <w:i/>
          <w:iCs/>
          <w:spacing w:val="-2"/>
        </w:rPr>
        <w:t xml:space="preserve"> </w:t>
      </w:r>
      <w:r w:rsidR="00D67EB8" w:rsidRPr="009118AB">
        <w:rPr>
          <w:i/>
          <w:iCs/>
        </w:rPr>
        <w:t>§ </w:t>
      </w:r>
      <w:r w:rsidR="00D35CDD" w:rsidRPr="009118AB">
        <w:rPr>
          <w:i/>
          <w:iCs/>
        </w:rPr>
        <w:t xml:space="preserve">1 </w:t>
      </w:r>
      <w:r w:rsidR="00D67EB8" w:rsidRPr="009118AB">
        <w:rPr>
          <w:i/>
          <w:iCs/>
        </w:rPr>
        <w:t>Abs. </w:t>
      </w:r>
      <w:r w:rsidR="00D35CDD" w:rsidRPr="009118AB">
        <w:rPr>
          <w:i/>
          <w:iCs/>
        </w:rPr>
        <w:t xml:space="preserve">1 </w:t>
      </w:r>
      <w:r w:rsidR="00D67EB8" w:rsidRPr="009118AB">
        <w:rPr>
          <w:i/>
          <w:iCs/>
        </w:rPr>
        <w:t>Nr. </w:t>
      </w:r>
      <w:r w:rsidR="00205A76" w:rsidRPr="009118AB">
        <w:rPr>
          <w:i/>
          <w:iCs/>
        </w:rPr>
        <w:t>3</w:t>
      </w:r>
      <w:r w:rsidR="00D35CDD" w:rsidRPr="009118AB">
        <w:rPr>
          <w:i/>
          <w:iCs/>
        </w:rPr>
        <w:t xml:space="preserve"> abgeändert durch </w:t>
      </w:r>
      <w:r w:rsidR="00D67EB8" w:rsidRPr="009118AB">
        <w:rPr>
          <w:i/>
          <w:iCs/>
        </w:rPr>
        <w:t>Art. </w:t>
      </w:r>
      <w:r w:rsidR="00D35CDD" w:rsidRPr="009118AB">
        <w:rPr>
          <w:i/>
          <w:iCs/>
        </w:rPr>
        <w:t xml:space="preserve">80 </w:t>
      </w:r>
      <w:r w:rsidR="00D67EB8" w:rsidRPr="009118AB">
        <w:rPr>
          <w:i/>
          <w:iCs/>
        </w:rPr>
        <w:t>Nr. </w:t>
      </w:r>
      <w:r w:rsidR="00205A76" w:rsidRPr="009118AB">
        <w:rPr>
          <w:i/>
          <w:iCs/>
        </w:rPr>
        <w:t>3</w:t>
      </w:r>
      <w:r w:rsidR="00D35CDD" w:rsidRPr="009118AB">
        <w:rPr>
          <w:i/>
          <w:iCs/>
          <w:spacing w:val="-2"/>
        </w:rPr>
        <w:t xml:space="preserve"> des G. vom 17. März 2019 (III) (B.S. vom 10. Mai 2019)</w:t>
      </w:r>
      <w:r w:rsidR="00D67EB8" w:rsidRPr="009118AB">
        <w:rPr>
          <w:i/>
          <w:iCs/>
          <w:spacing w:val="-2"/>
        </w:rPr>
        <w:t> - </w:t>
      </w:r>
      <w:r w:rsidR="00D35CDD" w:rsidRPr="009118AB">
        <w:rPr>
          <w:i/>
          <w:iCs/>
          <w:spacing w:val="-2"/>
        </w:rPr>
        <w:t>in Kraft am 1. Mai 2019</w:t>
      </w:r>
      <w:r w:rsidR="003366D9" w:rsidRPr="009118AB">
        <w:rPr>
          <w:i/>
          <w:iCs/>
          <w:spacing w:val="-2"/>
        </w:rPr>
        <w:t> -;</w:t>
      </w:r>
      <w:r w:rsidR="00D35CDD" w:rsidRPr="009118AB">
        <w:rPr>
          <w:i/>
          <w:iCs/>
          <w:spacing w:val="-2"/>
        </w:rPr>
        <w:t xml:space="preserve"> </w:t>
      </w:r>
      <w:r w:rsidR="00D67EB8" w:rsidRPr="009118AB">
        <w:rPr>
          <w:i/>
          <w:iCs/>
        </w:rPr>
        <w:t>§ </w:t>
      </w:r>
      <w:r w:rsidR="00205A76" w:rsidRPr="009118AB">
        <w:rPr>
          <w:i/>
          <w:iCs/>
        </w:rPr>
        <w:t xml:space="preserve">1 </w:t>
      </w:r>
      <w:r w:rsidR="00D67EB8" w:rsidRPr="009118AB">
        <w:rPr>
          <w:i/>
          <w:iCs/>
        </w:rPr>
        <w:t>Abs. </w:t>
      </w:r>
      <w:r w:rsidR="00205A76" w:rsidRPr="009118AB">
        <w:rPr>
          <w:i/>
          <w:iCs/>
        </w:rPr>
        <w:t xml:space="preserve">1 </w:t>
      </w:r>
      <w:r w:rsidR="00D67EB8" w:rsidRPr="009118AB">
        <w:rPr>
          <w:i/>
          <w:iCs/>
        </w:rPr>
        <w:t>Nr. </w:t>
      </w:r>
      <w:r w:rsidR="00205A76" w:rsidRPr="009118AB">
        <w:rPr>
          <w:i/>
          <w:iCs/>
        </w:rPr>
        <w:t xml:space="preserve">4 abgeändert durch </w:t>
      </w:r>
      <w:r w:rsidR="00D67EB8" w:rsidRPr="009118AB">
        <w:rPr>
          <w:i/>
          <w:iCs/>
        </w:rPr>
        <w:t>Art. </w:t>
      </w:r>
      <w:r w:rsidR="00205A76" w:rsidRPr="009118AB">
        <w:rPr>
          <w:i/>
          <w:iCs/>
        </w:rPr>
        <w:t xml:space="preserve">80 </w:t>
      </w:r>
      <w:r w:rsidR="00D67EB8" w:rsidRPr="009118AB">
        <w:rPr>
          <w:i/>
          <w:iCs/>
        </w:rPr>
        <w:t>Nr. </w:t>
      </w:r>
      <w:r w:rsidR="00205A76" w:rsidRPr="009118AB">
        <w:rPr>
          <w:i/>
          <w:iCs/>
        </w:rPr>
        <w:t>4</w:t>
      </w:r>
      <w:r w:rsidR="00205A76" w:rsidRPr="009118AB">
        <w:rPr>
          <w:i/>
          <w:iCs/>
          <w:spacing w:val="-2"/>
        </w:rPr>
        <w:t xml:space="preserve"> des G. vom 17. März 2019 (III) (B.S. vom 10. Mai 2019)</w:t>
      </w:r>
      <w:r w:rsidR="00D67EB8" w:rsidRPr="009118AB">
        <w:rPr>
          <w:i/>
          <w:iCs/>
          <w:spacing w:val="-2"/>
        </w:rPr>
        <w:t> - </w:t>
      </w:r>
      <w:r w:rsidR="00205A76" w:rsidRPr="009118AB">
        <w:rPr>
          <w:i/>
          <w:iCs/>
          <w:spacing w:val="-2"/>
        </w:rPr>
        <w:t>in Kraft am 1. Mai 2019</w:t>
      </w:r>
      <w:r w:rsidR="003366D9" w:rsidRPr="009118AB">
        <w:rPr>
          <w:i/>
          <w:iCs/>
          <w:spacing w:val="-2"/>
        </w:rPr>
        <w:t> -;</w:t>
      </w:r>
      <w:r w:rsidR="00205A76" w:rsidRPr="009118AB">
        <w:rPr>
          <w:i/>
          <w:iCs/>
          <w:spacing w:val="-2"/>
        </w:rPr>
        <w:t xml:space="preserve"> </w:t>
      </w:r>
      <w:r w:rsidR="00D67EB8" w:rsidRPr="009118AB">
        <w:rPr>
          <w:i/>
          <w:iCs/>
        </w:rPr>
        <w:t>§ </w:t>
      </w:r>
      <w:r w:rsidR="00205A76" w:rsidRPr="009118AB">
        <w:rPr>
          <w:i/>
          <w:iCs/>
        </w:rPr>
        <w:t xml:space="preserve">1 </w:t>
      </w:r>
      <w:r w:rsidR="00D67EB8" w:rsidRPr="009118AB">
        <w:rPr>
          <w:i/>
          <w:iCs/>
        </w:rPr>
        <w:t>Abs. </w:t>
      </w:r>
      <w:r w:rsidR="00205A76" w:rsidRPr="009118AB">
        <w:rPr>
          <w:i/>
          <w:iCs/>
        </w:rPr>
        <w:t xml:space="preserve">1 </w:t>
      </w:r>
      <w:r w:rsidR="00D67EB8" w:rsidRPr="009118AB">
        <w:rPr>
          <w:i/>
          <w:iCs/>
        </w:rPr>
        <w:t>Nr. </w:t>
      </w:r>
      <w:r w:rsidR="00205A76" w:rsidRPr="009118AB">
        <w:rPr>
          <w:i/>
          <w:iCs/>
        </w:rPr>
        <w:t xml:space="preserve">5 abgeändert durch </w:t>
      </w:r>
      <w:r w:rsidR="00D67EB8" w:rsidRPr="009118AB">
        <w:rPr>
          <w:i/>
          <w:iCs/>
        </w:rPr>
        <w:t>Art. </w:t>
      </w:r>
      <w:r w:rsidR="00205A76" w:rsidRPr="009118AB">
        <w:rPr>
          <w:i/>
          <w:iCs/>
        </w:rPr>
        <w:t xml:space="preserve">80 </w:t>
      </w:r>
      <w:r w:rsidR="00D67EB8" w:rsidRPr="009118AB">
        <w:rPr>
          <w:i/>
          <w:iCs/>
        </w:rPr>
        <w:t>Nr. </w:t>
      </w:r>
      <w:r w:rsidR="00205A76" w:rsidRPr="009118AB">
        <w:rPr>
          <w:i/>
          <w:iCs/>
        </w:rPr>
        <w:t>5</w:t>
      </w:r>
      <w:r w:rsidR="00205A76" w:rsidRPr="009118AB">
        <w:rPr>
          <w:i/>
          <w:iCs/>
          <w:spacing w:val="-2"/>
        </w:rPr>
        <w:t xml:space="preserve"> des G. vom 17. März 2019 (III) (B.S. vom 10. Mai 2019)</w:t>
      </w:r>
      <w:r w:rsidR="00D67EB8" w:rsidRPr="009118AB">
        <w:rPr>
          <w:i/>
          <w:iCs/>
          <w:spacing w:val="-2"/>
        </w:rPr>
        <w:t> - </w:t>
      </w:r>
      <w:r w:rsidR="00205A76" w:rsidRPr="009118AB">
        <w:rPr>
          <w:i/>
          <w:iCs/>
          <w:spacing w:val="-2"/>
        </w:rPr>
        <w:t>in Kraft am 1. Mai 2019</w:t>
      </w:r>
      <w:r w:rsidR="003366D9" w:rsidRPr="009118AB">
        <w:rPr>
          <w:i/>
          <w:iCs/>
          <w:spacing w:val="-2"/>
        </w:rPr>
        <w:t> -;</w:t>
      </w:r>
      <w:r w:rsidR="00205A76" w:rsidRPr="009118AB">
        <w:rPr>
          <w:i/>
          <w:iCs/>
          <w:spacing w:val="-2"/>
        </w:rPr>
        <w:t xml:space="preserve"> </w:t>
      </w:r>
      <w:r w:rsidR="00D67EB8" w:rsidRPr="009118AB">
        <w:rPr>
          <w:i/>
          <w:iCs/>
        </w:rPr>
        <w:t>§ </w:t>
      </w:r>
      <w:r w:rsidR="00205A76" w:rsidRPr="009118AB">
        <w:rPr>
          <w:i/>
          <w:iCs/>
        </w:rPr>
        <w:t xml:space="preserve">1 </w:t>
      </w:r>
      <w:r w:rsidR="00D67EB8" w:rsidRPr="009118AB">
        <w:rPr>
          <w:i/>
          <w:iCs/>
        </w:rPr>
        <w:t>Abs. </w:t>
      </w:r>
      <w:r w:rsidR="00205A76" w:rsidRPr="009118AB">
        <w:rPr>
          <w:i/>
          <w:iCs/>
        </w:rPr>
        <w:t xml:space="preserve">1 </w:t>
      </w:r>
      <w:r w:rsidR="00D67EB8" w:rsidRPr="009118AB">
        <w:rPr>
          <w:i/>
          <w:iCs/>
        </w:rPr>
        <w:t>Nr. </w:t>
      </w:r>
      <w:r w:rsidR="00205A76" w:rsidRPr="009118AB">
        <w:rPr>
          <w:i/>
          <w:iCs/>
        </w:rPr>
        <w:t xml:space="preserve">6 eingefügt durch </w:t>
      </w:r>
      <w:r w:rsidR="00D67EB8" w:rsidRPr="009118AB">
        <w:rPr>
          <w:i/>
          <w:iCs/>
        </w:rPr>
        <w:t>Art. </w:t>
      </w:r>
      <w:r w:rsidR="00205A76" w:rsidRPr="009118AB">
        <w:rPr>
          <w:i/>
          <w:iCs/>
        </w:rPr>
        <w:t xml:space="preserve">80 </w:t>
      </w:r>
      <w:r w:rsidR="00D67EB8" w:rsidRPr="009118AB">
        <w:rPr>
          <w:i/>
          <w:iCs/>
        </w:rPr>
        <w:t>Nr. </w:t>
      </w:r>
      <w:r w:rsidR="00205A76" w:rsidRPr="009118AB">
        <w:rPr>
          <w:i/>
          <w:iCs/>
        </w:rPr>
        <w:t>6</w:t>
      </w:r>
      <w:r w:rsidR="00205A76" w:rsidRPr="009118AB">
        <w:rPr>
          <w:i/>
          <w:iCs/>
          <w:spacing w:val="-2"/>
        </w:rPr>
        <w:t xml:space="preserve"> des G. vom 17. März 2019 (III) (B.S. vom 10. Mai 2019)</w:t>
      </w:r>
      <w:r w:rsidR="00D67EB8" w:rsidRPr="009118AB">
        <w:rPr>
          <w:i/>
          <w:iCs/>
          <w:spacing w:val="-2"/>
        </w:rPr>
        <w:t> - </w:t>
      </w:r>
      <w:r w:rsidR="00205A76" w:rsidRPr="009118AB">
        <w:rPr>
          <w:i/>
          <w:iCs/>
          <w:spacing w:val="-2"/>
        </w:rPr>
        <w:t>in Kraft am 1. Mai 2019</w:t>
      </w:r>
      <w:r w:rsidR="003366D9" w:rsidRPr="009118AB">
        <w:rPr>
          <w:i/>
          <w:iCs/>
          <w:spacing w:val="-2"/>
        </w:rPr>
        <w:t> -;</w:t>
      </w:r>
      <w:r w:rsidR="00205A76" w:rsidRPr="009118AB">
        <w:rPr>
          <w:i/>
          <w:iCs/>
          <w:spacing w:val="-2"/>
        </w:rPr>
        <w:t xml:space="preserve"> </w:t>
      </w:r>
      <w:r w:rsidR="006A066D">
        <w:rPr>
          <w:i/>
          <w:iCs/>
          <w:spacing w:val="-2"/>
        </w:rPr>
        <w:t>§ 1 Abs. 1 Nr. 7 eingefügt durch Art. 40</w:t>
      </w:r>
      <w:r w:rsidR="006A066D" w:rsidRPr="006A066D">
        <w:rPr>
          <w:i/>
          <w:iCs/>
          <w:spacing w:val="-2"/>
        </w:rPr>
        <w:t xml:space="preserve"> des G. vom 22. Dezember 2023 (II) (B.S. vom 29. Dezember 2023) - anwendbar auf Einkünfte, die ab dem 1. Januar 2024 von einer Rechtsvereinbarung bezogen, zuerkannt oder ausgeschüttet werden -</w:t>
      </w:r>
      <w:r w:rsidR="006A066D">
        <w:rPr>
          <w:i/>
          <w:iCs/>
          <w:spacing w:val="-2"/>
        </w:rPr>
        <w:t xml:space="preserve">; </w:t>
      </w:r>
      <w:r w:rsidR="00D67EB8" w:rsidRPr="009118AB">
        <w:rPr>
          <w:i/>
          <w:iCs/>
        </w:rPr>
        <w:t>§ </w:t>
      </w:r>
      <w:r w:rsidR="00F65187" w:rsidRPr="009118AB">
        <w:rPr>
          <w:i/>
          <w:iCs/>
        </w:rPr>
        <w:t xml:space="preserve">1 </w:t>
      </w:r>
      <w:r w:rsidR="00D67EB8" w:rsidRPr="009118AB">
        <w:rPr>
          <w:i/>
          <w:iCs/>
        </w:rPr>
        <w:t>Abs. </w:t>
      </w:r>
      <w:r w:rsidR="00F65187" w:rsidRPr="009118AB">
        <w:rPr>
          <w:i/>
          <w:iCs/>
        </w:rPr>
        <w:t xml:space="preserve">2 erster Gedankenstrich abgeändert durch </w:t>
      </w:r>
      <w:r w:rsidR="00D67EB8" w:rsidRPr="009118AB">
        <w:rPr>
          <w:i/>
          <w:iCs/>
        </w:rPr>
        <w:t>Art. </w:t>
      </w:r>
      <w:r w:rsidR="00F65187" w:rsidRPr="009118AB">
        <w:rPr>
          <w:i/>
          <w:iCs/>
        </w:rPr>
        <w:t>70 des G. vom 26. März 2018 (B.S. vom 30. März 2018)</w:t>
      </w:r>
      <w:r w:rsidR="00D67EB8" w:rsidRPr="009118AB">
        <w:rPr>
          <w:i/>
          <w:iCs/>
        </w:rPr>
        <w:t> - </w:t>
      </w:r>
      <w:r w:rsidR="00F65187" w:rsidRPr="009118AB">
        <w:rPr>
          <w:i/>
          <w:iCs/>
        </w:rPr>
        <w:t>wirksam ab dem Steuerjahr 2018</w:t>
      </w:r>
      <w:r w:rsidR="003366D9" w:rsidRPr="009118AB">
        <w:rPr>
          <w:i/>
          <w:iCs/>
        </w:rPr>
        <w:t> -;</w:t>
      </w:r>
      <w:r w:rsidR="00205A76" w:rsidRPr="009118AB">
        <w:rPr>
          <w:i/>
          <w:iCs/>
        </w:rPr>
        <w:t xml:space="preserve"> </w:t>
      </w:r>
      <w:r w:rsidR="00D67EB8" w:rsidRPr="009118AB">
        <w:rPr>
          <w:i/>
          <w:iCs/>
        </w:rPr>
        <w:t>§ </w:t>
      </w:r>
      <w:r w:rsidR="00906DC9" w:rsidRPr="009118AB">
        <w:rPr>
          <w:i/>
          <w:iCs/>
        </w:rPr>
        <w:t xml:space="preserve">1 </w:t>
      </w:r>
      <w:r w:rsidR="00D67EB8" w:rsidRPr="009118AB">
        <w:rPr>
          <w:i/>
          <w:iCs/>
        </w:rPr>
        <w:t>Abs. </w:t>
      </w:r>
      <w:r w:rsidR="00906DC9" w:rsidRPr="009118AB">
        <w:rPr>
          <w:i/>
          <w:iCs/>
        </w:rPr>
        <w:t xml:space="preserve">2 zweiter Gedankenstrich abgeändert durch </w:t>
      </w:r>
      <w:r w:rsidR="00D67EB8" w:rsidRPr="009118AB">
        <w:rPr>
          <w:i/>
          <w:iCs/>
        </w:rPr>
        <w:t>Art. </w:t>
      </w:r>
      <w:r w:rsidR="00906DC9" w:rsidRPr="009118AB">
        <w:rPr>
          <w:i/>
          <w:iCs/>
        </w:rPr>
        <w:t>58</w:t>
      </w:r>
      <w:r w:rsidR="00906DC9" w:rsidRPr="009118AB">
        <w:rPr>
          <w:bCs/>
          <w:i/>
          <w:iCs/>
          <w:sz w:val="20"/>
          <w:szCs w:val="20"/>
        </w:rPr>
        <w:t xml:space="preserve"> </w:t>
      </w:r>
      <w:r w:rsidR="00906DC9" w:rsidRPr="009118AB">
        <w:rPr>
          <w:bCs/>
          <w:i/>
          <w:iCs/>
        </w:rPr>
        <w:t xml:space="preserve">des G. vom 21. Januar 2022 (B.S. vom 28. Januar 2022); </w:t>
      </w:r>
      <w:r w:rsidR="00D67EB8" w:rsidRPr="009118AB">
        <w:rPr>
          <w:i/>
          <w:iCs/>
        </w:rPr>
        <w:t>§ </w:t>
      </w:r>
      <w:r w:rsidR="00906DC9" w:rsidRPr="009118AB">
        <w:rPr>
          <w:i/>
          <w:iCs/>
        </w:rPr>
        <w:t xml:space="preserve">1 </w:t>
      </w:r>
      <w:r w:rsidR="00D67EB8" w:rsidRPr="009118AB">
        <w:rPr>
          <w:i/>
          <w:iCs/>
        </w:rPr>
        <w:t>Abs. </w:t>
      </w:r>
      <w:r w:rsidR="00906DC9" w:rsidRPr="009118AB">
        <w:rPr>
          <w:i/>
          <w:iCs/>
        </w:rPr>
        <w:t xml:space="preserve">2 dritter Gedankenstrich abgeändert durch </w:t>
      </w:r>
      <w:r w:rsidR="00D67EB8" w:rsidRPr="009118AB">
        <w:rPr>
          <w:i/>
          <w:iCs/>
        </w:rPr>
        <w:t>Art. </w:t>
      </w:r>
      <w:r w:rsidR="00906DC9" w:rsidRPr="009118AB">
        <w:rPr>
          <w:i/>
          <w:iCs/>
        </w:rPr>
        <w:t>70 des G. vom 26. März 2018 (B.S. vom 30. März 2018)</w:t>
      </w:r>
      <w:r w:rsidR="00D67EB8" w:rsidRPr="009118AB">
        <w:rPr>
          <w:i/>
          <w:iCs/>
        </w:rPr>
        <w:t> - </w:t>
      </w:r>
      <w:r w:rsidR="00906DC9" w:rsidRPr="009118AB">
        <w:rPr>
          <w:i/>
          <w:iCs/>
        </w:rPr>
        <w:t>wirksam ab dem Steuerjahr 2018</w:t>
      </w:r>
      <w:r w:rsidR="003366D9" w:rsidRPr="009118AB">
        <w:rPr>
          <w:i/>
          <w:iCs/>
        </w:rPr>
        <w:t> -;</w:t>
      </w:r>
      <w:r w:rsidR="00906DC9" w:rsidRPr="009118AB">
        <w:rPr>
          <w:i/>
          <w:iCs/>
        </w:rPr>
        <w:t xml:space="preserve"> </w:t>
      </w:r>
      <w:r w:rsidR="00D67EB8" w:rsidRPr="009118AB">
        <w:rPr>
          <w:i/>
          <w:iCs/>
        </w:rPr>
        <w:t>§ </w:t>
      </w:r>
      <w:r w:rsidR="00205A76" w:rsidRPr="009118AB">
        <w:rPr>
          <w:i/>
          <w:iCs/>
        </w:rPr>
        <w:t xml:space="preserve">3 </w:t>
      </w:r>
      <w:r w:rsidR="003641CB">
        <w:rPr>
          <w:i/>
          <w:iCs/>
        </w:rPr>
        <w:t>einziger Absatz</w:t>
      </w:r>
      <w:r w:rsidR="00205A76" w:rsidRPr="009118AB">
        <w:rPr>
          <w:i/>
          <w:iCs/>
        </w:rPr>
        <w:t xml:space="preserve"> </w:t>
      </w:r>
      <w:r w:rsidR="00D67EB8" w:rsidRPr="009118AB">
        <w:rPr>
          <w:i/>
          <w:iCs/>
        </w:rPr>
        <w:t>Nr. </w:t>
      </w:r>
      <w:r w:rsidR="00205A76" w:rsidRPr="009118AB">
        <w:rPr>
          <w:i/>
          <w:iCs/>
        </w:rPr>
        <w:t xml:space="preserve">1 abgeändert durch </w:t>
      </w:r>
      <w:r w:rsidR="00D67EB8" w:rsidRPr="009118AB">
        <w:rPr>
          <w:i/>
          <w:iCs/>
        </w:rPr>
        <w:t>Art. </w:t>
      </w:r>
      <w:r w:rsidR="00205A76" w:rsidRPr="009118AB">
        <w:rPr>
          <w:i/>
          <w:iCs/>
        </w:rPr>
        <w:t xml:space="preserve">80 </w:t>
      </w:r>
      <w:r w:rsidR="00D67EB8" w:rsidRPr="009118AB">
        <w:rPr>
          <w:i/>
          <w:iCs/>
        </w:rPr>
        <w:t>Nr. </w:t>
      </w:r>
      <w:r w:rsidR="00205A76" w:rsidRPr="009118AB">
        <w:rPr>
          <w:i/>
          <w:iCs/>
        </w:rPr>
        <w:t>7</w:t>
      </w:r>
      <w:r w:rsidR="00205A76" w:rsidRPr="009118AB">
        <w:rPr>
          <w:i/>
          <w:iCs/>
          <w:spacing w:val="-2"/>
        </w:rPr>
        <w:t xml:space="preserve"> des G. vom 17. März 2019 (III) (B.S. vom 10. Mai 2019)</w:t>
      </w:r>
      <w:r w:rsidR="00D67EB8" w:rsidRPr="009118AB">
        <w:rPr>
          <w:i/>
          <w:iCs/>
          <w:spacing w:val="-2"/>
        </w:rPr>
        <w:t> - </w:t>
      </w:r>
      <w:r w:rsidR="00205A76" w:rsidRPr="009118AB">
        <w:rPr>
          <w:i/>
          <w:iCs/>
          <w:spacing w:val="-2"/>
        </w:rPr>
        <w:t>in Kraft am 1. Mai 2019</w:t>
      </w:r>
      <w:r w:rsidR="003366D9" w:rsidRPr="009118AB">
        <w:rPr>
          <w:i/>
          <w:iCs/>
          <w:spacing w:val="-2"/>
        </w:rPr>
        <w:t> -;</w:t>
      </w:r>
      <w:r w:rsidR="00205A76" w:rsidRPr="009118AB">
        <w:rPr>
          <w:i/>
          <w:iCs/>
          <w:spacing w:val="-2"/>
        </w:rPr>
        <w:t xml:space="preserve"> </w:t>
      </w:r>
      <w:r w:rsidR="00D67EB8" w:rsidRPr="009118AB">
        <w:rPr>
          <w:i/>
          <w:iCs/>
          <w:spacing w:val="-2"/>
        </w:rPr>
        <w:t>§ </w:t>
      </w:r>
      <w:r w:rsidR="00205A76" w:rsidRPr="009118AB">
        <w:rPr>
          <w:i/>
          <w:iCs/>
          <w:spacing w:val="-2"/>
        </w:rPr>
        <w:t xml:space="preserve">3 </w:t>
      </w:r>
      <w:r w:rsidR="003641CB">
        <w:rPr>
          <w:i/>
          <w:iCs/>
          <w:spacing w:val="-2"/>
        </w:rPr>
        <w:t>einziger Absatz</w:t>
      </w:r>
      <w:r w:rsidR="00205A76" w:rsidRPr="009118AB">
        <w:rPr>
          <w:i/>
          <w:iCs/>
          <w:spacing w:val="-2"/>
        </w:rPr>
        <w:t xml:space="preserve"> </w:t>
      </w:r>
      <w:r w:rsidR="00D67EB8" w:rsidRPr="009118AB">
        <w:rPr>
          <w:i/>
          <w:iCs/>
          <w:spacing w:val="-2"/>
        </w:rPr>
        <w:t>Nr. </w:t>
      </w:r>
      <w:r w:rsidR="00205A76" w:rsidRPr="009118AB">
        <w:rPr>
          <w:i/>
          <w:iCs/>
          <w:spacing w:val="-2"/>
        </w:rPr>
        <w:t xml:space="preserve">4 abgeändert durch </w:t>
      </w:r>
      <w:r w:rsidR="00D67EB8" w:rsidRPr="009118AB">
        <w:rPr>
          <w:i/>
          <w:iCs/>
          <w:spacing w:val="-2"/>
        </w:rPr>
        <w:t>Art. </w:t>
      </w:r>
      <w:r w:rsidR="00205A76" w:rsidRPr="009118AB">
        <w:rPr>
          <w:i/>
          <w:iCs/>
          <w:spacing w:val="-2"/>
        </w:rPr>
        <w:t xml:space="preserve">80 </w:t>
      </w:r>
      <w:r w:rsidR="00D67EB8" w:rsidRPr="009118AB">
        <w:rPr>
          <w:i/>
          <w:iCs/>
          <w:spacing w:val="-2"/>
        </w:rPr>
        <w:t>Nr. </w:t>
      </w:r>
      <w:r w:rsidR="00205A76" w:rsidRPr="009118AB">
        <w:rPr>
          <w:i/>
          <w:iCs/>
          <w:spacing w:val="-2"/>
        </w:rPr>
        <w:t>8 des G. vom 17. März 2019 (III) (B.S. vom 10. Mai 2019)</w:t>
      </w:r>
      <w:r w:rsidR="00D67EB8" w:rsidRPr="009118AB">
        <w:rPr>
          <w:i/>
          <w:iCs/>
          <w:spacing w:val="-2"/>
        </w:rPr>
        <w:t> - </w:t>
      </w:r>
      <w:r w:rsidR="00205A76" w:rsidRPr="009118AB">
        <w:rPr>
          <w:i/>
          <w:iCs/>
          <w:spacing w:val="-2"/>
        </w:rPr>
        <w:t>in Kraft am 1. Mai 2019</w:t>
      </w:r>
      <w:r w:rsidR="00FD68E8" w:rsidRPr="009118AB">
        <w:rPr>
          <w:i/>
          <w:iCs/>
          <w:spacing w:val="-2"/>
        </w:rPr>
        <w:t> -]</w:t>
      </w:r>
    </w:p>
    <w:p w14:paraId="49CD29C4" w14:textId="5EC83126" w:rsidR="00441931" w:rsidRPr="009118AB" w:rsidRDefault="00441931"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1125CB1" w14:textId="787ABCA0" w:rsidR="00441931" w:rsidRDefault="00441931"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8A0B225" w14:textId="3AD0DF91" w:rsidR="00E1633E" w:rsidRDefault="00E1633E" w:rsidP="00E1633E">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413/1 wie folgt:</w:t>
      </w:r>
    </w:p>
    <w:p w14:paraId="57DF11C0" w14:textId="77777777" w:rsidR="00E1633E" w:rsidRDefault="00E1633E" w:rsidP="00E1633E">
      <w:pPr>
        <w:autoSpaceDE w:val="0"/>
        <w:autoSpaceDN w:val="0"/>
        <w:adjustRightInd w:val="0"/>
        <w:jc w:val="both"/>
        <w:rPr>
          <w:iCs/>
          <w:sz w:val="20"/>
          <w:szCs w:val="20"/>
        </w:rPr>
      </w:pPr>
    </w:p>
    <w:p w14:paraId="13F59C0A" w14:textId="0CABF938"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E1633E">
        <w:rPr>
          <w:iCs/>
          <w:sz w:val="20"/>
          <w:szCs w:val="20"/>
        </w:rPr>
        <w:t>[</w:t>
      </w:r>
      <w:r w:rsidRPr="00E1633E">
        <w:rPr>
          <w:bCs/>
          <w:iCs/>
          <w:sz w:val="20"/>
          <w:szCs w:val="20"/>
        </w:rPr>
        <w:t>Art. 413/1</w:t>
      </w:r>
      <w:r w:rsidRPr="00E1633E">
        <w:rPr>
          <w:iCs/>
          <w:sz w:val="20"/>
          <w:szCs w:val="20"/>
        </w:rPr>
        <w:t> - § 1 - Die in § 2 erwähnte Wahl zwischen der sofortigen Zahlung und der gestaffelten Zahlung ist nur anwendbar auf den noch geschuldeten Anteil der Einkommensteuer, der auf der Grundlage folgender Einkünfte festgelegt wird:</w:t>
      </w:r>
    </w:p>
    <w:p w14:paraId="506FF357"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1D723EC" w14:textId="3C848913"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1. der in Artikel 28 Absatz 1 Nr. 1 und Artikel 228 § 2 Nr. 5 erwähnten Einstellungs</w:t>
      </w:r>
      <w:r w:rsidRPr="00E1633E">
        <w:rPr>
          <w:iCs/>
          <w:sz w:val="20"/>
          <w:szCs w:val="20"/>
        </w:rPr>
        <w:softHyphen/>
        <w:t>mehrwerte, insofern die in Artikel 46 § 1 Absatz 1 Nr. 2 und Absatz 2 vorgesehenen Bedingungen erfüllt sind und die eingebrachten Güter weiterhin [im Staat des Steuerwohnsitzes] einer innereuropäischen Gesellschaft oder in einer ausländischen Niederlassung einer innereuropäischen Gesellschaft genutzt werden, die in einem anderen Mitgliedstaat der Europäischen Union oder in einem anderen Mitgliedstaat des Europäischen Wirtschaftsraums ansässig ist, mit dem Belgien ein anwendbares Abkommen in Bezug auf Amtshilfe bei der Beitreibung geschlossen hat,</w:t>
      </w:r>
    </w:p>
    <w:p w14:paraId="658A1456"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3B0DF7" w14:textId="7515A29A"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[1/1. der in Artikel 185/1 erwähnten Mehrwerte,]</w:t>
      </w:r>
    </w:p>
    <w:p w14:paraId="5D93BE0E"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ab/>
      </w:r>
    </w:p>
    <w:p w14:paraId="07EF0CB6" w14:textId="5A0BD771"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2. des Teils des Gesellschaftsvermögens, der als ausgeschüttete Dividende gilt infolge der in Artikel 210 § 1 Nr. 4 erwähnten Verlegung […] der Haupt</w:t>
      </w:r>
      <w:r w:rsidRPr="00E1633E">
        <w:rPr>
          <w:iCs/>
          <w:sz w:val="20"/>
          <w:szCs w:val="20"/>
        </w:rPr>
        <w:softHyphen/>
        <w:t>niederlassung oder des Geschäftsführungs- oder Verwaltungssitzes in einen anderen Mitgliedstaat der Europäischen Union oder in einen anderen Mitgliedstaat des Europäischen Wirtschaftsraums, mit dem Belgien ein anwendbares Abkommen in Bezug auf Amtshilfe bei der Beitreibung geschlossen hat, in dem Maße, wie diese Dividende aus Mehrwerten auf die infolge des Vorgangs übertragenen Bestandteile hervorgeht, die [am Steuerwohnsitz] der Gesellschaft oder in einer ausländischen Niederlassung [dieser Gesellschaft] genutzt und belassen werden, [der festgelegt ist beziehungsweise die ansässig ist in einem anderen Mitgliedstaat der Europäischen Union oder in einem anderen Mitgliedstaat des Europäischen Wirtschaftsraums], mit dem Belgien ein anwendbares Abkommen in Bezug auf Amtshilfe bei der Beitreibung geschlossen hat,</w:t>
      </w:r>
    </w:p>
    <w:p w14:paraId="78C74BA0"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AD2B18" w14:textId="135500AA"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3. des Teils des Gesellschaftsvermögens, der als ausgeschüttete Dividende gilt infolge einer Fusion, einer Aufspaltung, eines mit einer Fusion durch Übernahme gleichgesetzten Vorgangs oder eines mit einer Aufspaltung gleichgesetzten Vorgangs und auf den die Bestimmungen von Artikel 211 anwendbar sind, in dem Maße, wie diese Dividende aus Mehrwerten auf die infolge des Vorgangs übertragenen Bestandteile hervorgeht, die [am Steuerwohnsitz] einer Gesellschaft oder in einer ausländischen Niederlassung [dieser Gesellschaft] genutzt und belassen werden, [der festgelegt ist beziehungsweise die ansässig ist in einem anderen Mitgliedstaat der Europäischen Union oder in einem anderen Mitgliedstaat des Europäischen Wirtschaftsraums], mit dem Belgien ein anwendbares Abkommen in Bezug auf Amtshilfe bei der Beitreibung geschlossen hat,</w:t>
      </w:r>
    </w:p>
    <w:p w14:paraId="5E5AF5D5"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295DC78" w14:textId="3F0741D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4. des in Artikel 228 § 2 Nr. 3 erwähnten Mehrwerts, der anlässlich eines im einleitenden Satz von Artikel 231 § 2 Absatz 1 erwähnten Vorgangs durch eine in Artikel 229 erwähnte belgische Niederlassung festgestellt oder verwirklicht wird, in dem Maße, wie es sich um einen Mehrwert auf die infolge des Vorgangs übertragenen Bestandteile handelt, die [am Steuerwohnsitz] einer Gesellschaft oder in einer ausländischen Niederlassung [dieser Gesellschaft] genutzt und belassen werden, [der festgelegt ist beziehungsweise die ansässig ist in einem anderen Mitgliedstaat der Europäischen Union oder in einem anderen Mitgliedstaat des Europäischen Wirtschaftsraums], mit dem Belgien ein anwendbares Abkommen in Bezug auf Amtshilfe bei der Beitreibung geschlossen hat,</w:t>
      </w:r>
    </w:p>
    <w:p w14:paraId="2A37DD9C"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3D605F" w14:textId="1475A4E8"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5. des in Artikel 228 § 2 Nr. 3</w:t>
      </w:r>
      <w:r w:rsidRPr="00E1633E">
        <w:rPr>
          <w:i/>
          <w:iCs/>
          <w:sz w:val="20"/>
          <w:szCs w:val="20"/>
        </w:rPr>
        <w:t>bis</w:t>
      </w:r>
      <w:r w:rsidRPr="00E1633E">
        <w:rPr>
          <w:iCs/>
          <w:sz w:val="20"/>
          <w:szCs w:val="20"/>
        </w:rPr>
        <w:t xml:space="preserve"> erwähnten Mehrwerts, der durch eine in Artikel 229 erwähnte belgische Niederlassung verwirklicht wird und der anlässlich der Entnahme von Bestandteilen zugunsten [des Steuerwohnsitzes] einer Gesellschaft oder zugunsten einer ausländischen Niederlassung dieser Gesellschaft festgelegt wird, [der festgelegt ist beziehungsweise die ansässig ist in einem anderen Mitgliedstaat der Europäischen Union oder in einem anderen Mitgliedstaat des Europäischen Wirtschaftsraums], mit dem Belgien ein anwendbares Abkommen in Bezug auf Amtshilfe bei der Beitreibung geschlossen hat,</w:t>
      </w:r>
    </w:p>
    <w:p w14:paraId="19A6E6EB"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2F58702" w14:textId="00441CEB"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[6. des Teils des Gesellschaftsvermögens, der in Anwendung von Artikel 210/1 als ausgeschüttete Dividende gilt, wenn die Gesellschaft der Gesellschaftssteuer nicht mehr unterliegt und der Steuer der juristischen Personen unterworfen wird,]</w:t>
      </w:r>
    </w:p>
    <w:p w14:paraId="10493611"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3ABD196" w14:textId="50162588"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[7. der in Artikel 18 Absatz 1 Nr. 3/1 erwähnten nicht ausgeschütteten Gewinne, wenn diese von einer Rechtsvereinbarung stammen, die in einem Mitgliedstaat des Europäischen Wirtschaftsraums ansässig ist.]</w:t>
      </w:r>
    </w:p>
    <w:p w14:paraId="51945629"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BA4799" w14:textId="7CAABB2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Für die Anwendung von Absatz 1 wird der noch geschuldete Anteil der Einkommensteuer wie folgt festgelegt:</w:t>
      </w:r>
    </w:p>
    <w:p w14:paraId="7F599737"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B0B02A2" w14:textId="3CDAD336"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 in Bezug auf die in Artikel 3 erwähnten Steuerpflichtigen, Betrag, der noch geschuldet wird nach Anwendung der in Artikel 444 erwähnten Steuerzuschläge und der in Artikel 466 erwähnten Zuschlagsteuern und nach Anrechnung der in den Artikeln 175 bis 177 erwähnten Vergütung, der in den Artikeln 157 bis 168 und 175 bis 177 erwähnten Vorauszahlungen, des Pauschalanteils ausländischer Steuer, des Mobilien- und Berufssteuer</w:t>
      </w:r>
      <w:r w:rsidRPr="00E1633E">
        <w:rPr>
          <w:iCs/>
          <w:sz w:val="20"/>
          <w:szCs w:val="20"/>
        </w:rPr>
        <w:softHyphen/>
        <w:t>vorabzugs, [der in den Artikeln 134 § 3 und 145</w:t>
      </w:r>
      <w:r w:rsidRPr="00E1633E">
        <w:rPr>
          <w:iCs/>
          <w:sz w:val="20"/>
          <w:szCs w:val="20"/>
          <w:vertAlign w:val="superscript"/>
        </w:rPr>
        <w:t>35</w:t>
      </w:r>
      <w:r w:rsidRPr="00E1633E">
        <w:rPr>
          <w:iCs/>
          <w:sz w:val="20"/>
          <w:szCs w:val="20"/>
        </w:rPr>
        <w:t xml:space="preserve"> Absatz 10], 289</w:t>
      </w:r>
      <w:r w:rsidRPr="00E1633E">
        <w:rPr>
          <w:i/>
          <w:iCs/>
          <w:sz w:val="20"/>
          <w:szCs w:val="20"/>
        </w:rPr>
        <w:t>bis</w:t>
      </w:r>
      <w:r w:rsidRPr="00E1633E">
        <w:rPr>
          <w:iCs/>
          <w:sz w:val="20"/>
          <w:szCs w:val="20"/>
        </w:rPr>
        <w:t>, 289</w:t>
      </w:r>
      <w:r w:rsidRPr="00E1633E">
        <w:rPr>
          <w:i/>
          <w:iCs/>
          <w:sz w:val="20"/>
          <w:szCs w:val="20"/>
        </w:rPr>
        <w:t>ter</w:t>
      </w:r>
      <w:r w:rsidRPr="00E1633E">
        <w:rPr>
          <w:iCs/>
          <w:sz w:val="20"/>
          <w:szCs w:val="20"/>
        </w:rPr>
        <w:t xml:space="preserve"> und 289</w:t>
      </w:r>
      <w:r w:rsidRPr="00E1633E">
        <w:rPr>
          <w:i/>
          <w:iCs/>
          <w:sz w:val="20"/>
          <w:szCs w:val="20"/>
        </w:rPr>
        <w:t>ter</w:t>
      </w:r>
      <w:r w:rsidRPr="00E1633E">
        <w:rPr>
          <w:iCs/>
          <w:sz w:val="20"/>
          <w:szCs w:val="20"/>
        </w:rPr>
        <w:t>/1 erwähnten Steuergutschriften und der regionalen Steuergutschriften, multipliziert mit dem Verhältnis zwischen der Staatssteuer in Bezug auf die in Absatz 1 Nr. 1 erwähnten Einkünfte einerseits und der Summe der Staatssteuer und der Steuer in Bezug auf die in den Artikeln 17 § 1 Nr. 1 bis 3 und 90 Absatz 1 Nr. 6, 9 und 13 erwähnten Einkünfte und auf die aufgrund von Artikel 90 Absatz 1 Nr. 1 steuerpflichtigen Mehrwerte auf Wertpapiere und Effekten. Im Falle einer gemeinsamen Veranlagung werden der noch geschuldete Betrag und das vorerwähnte Verhältnis für beide Ehepartner zusammen bestimmt,</w:t>
      </w:r>
    </w:p>
    <w:p w14:paraId="6070B8D2"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F6F446D" w14:textId="31E584D4"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 in Bezug auf die in Artikel 179 erwähnten Steuerpflichtigen, Betrag, der noch geschuldet wird nach Anwendung der in Artikel 444 erwähnten Steuerzuschläge und nach Anrechnung der in den Artikeln 276 bis 289 und 289</w:t>
      </w:r>
      <w:r w:rsidRPr="00E1633E">
        <w:rPr>
          <w:i/>
          <w:iCs/>
          <w:sz w:val="20"/>
          <w:szCs w:val="20"/>
        </w:rPr>
        <w:t>quater</w:t>
      </w:r>
      <w:r w:rsidRPr="00E1633E">
        <w:rPr>
          <w:iCs/>
          <w:sz w:val="20"/>
          <w:szCs w:val="20"/>
        </w:rPr>
        <w:t xml:space="preserve"> bis 295 erwähnten Vorauszahlungen, Vorabzüge und anderen Bestandteile und der dem Teil [der gemäß den Artikeln 215 bis 218 berechneten Steuer] nach Verhältnis des proportionalen Teils [der in Absatz 1 Nr. 1, 1/1, 2, 3 und 6 erwähnten Einkünfte] im Verhältnis [zu dem nach Anwendung von Artikel 207/2 erhaltenen Ergebnis] entspricht,</w:t>
      </w:r>
    </w:p>
    <w:p w14:paraId="4AA0F844"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C612D69" w14:textId="4D25740F"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 in Bezug auf die in Artikel 227 Nr. 1 erwähnten Steuerpflichtigen, Betrag, der noch geschuldet wird nach Anwendung der in Artikel 444 erwähnten Steuerzuschläge und der in Artikel 245 erwähnten Zuschlaghundertstel und nach Anrechnung der in den Artikeln 175 bis 177 erwähnten Vergütung, der in den Artikeln 157 bis 168 und 175 bis 177 erwähnten Vorauszahlungen, des Pauschalanteils ausländischer Steuer, des Mobilien- und Berufssteuervorabzugs, [der in den Artikeln 134 § 3 und 145</w:t>
      </w:r>
      <w:r w:rsidRPr="00E1633E">
        <w:rPr>
          <w:iCs/>
          <w:sz w:val="20"/>
          <w:szCs w:val="20"/>
          <w:vertAlign w:val="superscript"/>
        </w:rPr>
        <w:t>35</w:t>
      </w:r>
      <w:r w:rsidRPr="00E1633E">
        <w:rPr>
          <w:iCs/>
          <w:sz w:val="20"/>
          <w:szCs w:val="20"/>
        </w:rPr>
        <w:t xml:space="preserve"> Absatz 10], 289</w:t>
      </w:r>
      <w:r w:rsidRPr="00E1633E">
        <w:rPr>
          <w:i/>
          <w:iCs/>
          <w:sz w:val="20"/>
          <w:szCs w:val="20"/>
        </w:rPr>
        <w:t>bis</w:t>
      </w:r>
      <w:r w:rsidRPr="00E1633E">
        <w:rPr>
          <w:iCs/>
          <w:sz w:val="20"/>
          <w:szCs w:val="20"/>
        </w:rPr>
        <w:t>, 289</w:t>
      </w:r>
      <w:r w:rsidRPr="00E1633E">
        <w:rPr>
          <w:i/>
          <w:iCs/>
          <w:sz w:val="20"/>
          <w:szCs w:val="20"/>
        </w:rPr>
        <w:t>ter</w:t>
      </w:r>
      <w:r w:rsidRPr="00E1633E">
        <w:rPr>
          <w:iCs/>
          <w:sz w:val="20"/>
          <w:szCs w:val="20"/>
        </w:rPr>
        <w:t xml:space="preserve"> und 289</w:t>
      </w:r>
      <w:r w:rsidRPr="00E1633E">
        <w:rPr>
          <w:i/>
          <w:iCs/>
          <w:sz w:val="20"/>
          <w:szCs w:val="20"/>
        </w:rPr>
        <w:t>ter</w:t>
      </w:r>
      <w:r w:rsidRPr="00E1633E">
        <w:rPr>
          <w:iCs/>
          <w:sz w:val="20"/>
          <w:szCs w:val="20"/>
        </w:rPr>
        <w:t>/1 erwähnten Steuergutschriften und gegebenenfalls der regionalen Steuergutschriften, multipliziert mit dem Verhältnis zwischen der gemäß den Artikeln 130 bis 144 und 171 berechneten Steuer in Bezug auf die in Absatz 1 Nr. 1 erwähnten Einkünfte einerseits und der gemäß denselben Artikeln berechneten Steuer in Bezug auf alle Einkünfte, die gemäß den Artikeln 232 Absatz 1 Nr. 2 und 248 §§ 2 und 3 der Steuer unterliegen. Im Falle einer gemeinsamen Veranlagung werden der noch geschuldete Betrag und das vorerwähnte Verhältnis für beide Ehepartner zusammen bestimmt,</w:t>
      </w:r>
    </w:p>
    <w:p w14:paraId="5717CD6A"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7304528" w14:textId="30E24262"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 in Bezug auf die in Artikel 227 Nr. 2 erwähnten Steuerpflichtigen, Betrag, der noch geschuldet wird nach Anwendung der in Artikel 444 erwähnten Steuerzuschläge und nach Anrechnung der in den Artikeln 276 bis 289 und 289</w:t>
      </w:r>
      <w:r w:rsidRPr="00E1633E">
        <w:rPr>
          <w:i/>
          <w:iCs/>
          <w:sz w:val="20"/>
          <w:szCs w:val="20"/>
        </w:rPr>
        <w:t>quater</w:t>
      </w:r>
      <w:r w:rsidRPr="00E1633E">
        <w:rPr>
          <w:iCs/>
          <w:sz w:val="20"/>
          <w:szCs w:val="20"/>
        </w:rPr>
        <w:t xml:space="preserve"> bis 296 erwähnten Vorauszahlungen, Vorabzüge und anderen Bestandteile und der dem Teil der gemäß Artikel 246 Absatz 1 Nr. 1 berechneten Steuer nach Verhältnis des proportionalen Teils der in Absatz 1 Nr. 4 und 5 erwähnten Einkünfte im Verhältnis zur Gesamtheit der in Artikel 246 Absatz 1 Nr. 1 erwähnten Einkünfte entspricht.</w:t>
      </w:r>
    </w:p>
    <w:p w14:paraId="21D9EDB8"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816BAF" w14:textId="12FEF30E"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 xml:space="preserve">§ 2 - Der noch geschuldete Anteil der Einkommensteuer, der auf der Grundlage der in § 1 erwähnten Einkünfte festgelegt wird, muss innerhalb einer Frist von zwei Monaten ab </w:t>
      </w:r>
      <w:r>
        <w:rPr>
          <w:iCs/>
          <w:sz w:val="20"/>
          <w:szCs w:val="20"/>
        </w:rPr>
        <w:t>[</w:t>
      </w:r>
      <w:r w:rsidRPr="00E1633E">
        <w:rPr>
          <w:iCs/>
          <w:sz w:val="20"/>
          <w:szCs w:val="20"/>
        </w:rPr>
        <w:t>Übermittlung</w:t>
      </w:r>
      <w:r>
        <w:rPr>
          <w:iCs/>
          <w:sz w:val="20"/>
          <w:szCs w:val="20"/>
        </w:rPr>
        <w:t>]</w:t>
      </w:r>
      <w:r w:rsidRPr="00E1633E">
        <w:rPr>
          <w:iCs/>
          <w:sz w:val="20"/>
          <w:szCs w:val="20"/>
        </w:rPr>
        <w:t xml:space="preserve"> des Steuerbescheids gezahlt werden:</w:t>
      </w:r>
    </w:p>
    <w:p w14:paraId="400CE91F"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A582E37" w14:textId="35A06E8B"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1. entweder in Höhe des gesamten Betrags</w:t>
      </w:r>
    </w:p>
    <w:p w14:paraId="33F1D9A9"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037EE87" w14:textId="7ED36EC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 xml:space="preserve">2. oder in Höhe eines Fünftels des Betrags, auf ausdrücklichen Antrag des Steuerschuldners, der innerhalb derselben Frist anhand des in § 4 erwähnten Formulars </w:t>
      </w:r>
      <w:r>
        <w:rPr>
          <w:iCs/>
          <w:sz w:val="20"/>
          <w:szCs w:val="20"/>
        </w:rPr>
        <w:t>[</w:t>
      </w:r>
      <w:r w:rsidRPr="00E1633E">
        <w:rPr>
          <w:iCs/>
          <w:sz w:val="20"/>
          <w:szCs w:val="20"/>
        </w:rPr>
        <w:t>dem zuständigen Einnehmer übermittelt wird</w:t>
      </w:r>
      <w:r>
        <w:rPr>
          <w:iCs/>
          <w:sz w:val="20"/>
          <w:szCs w:val="20"/>
        </w:rPr>
        <w:t>]</w:t>
      </w:r>
      <w:r w:rsidRPr="00E1633E">
        <w:rPr>
          <w:iCs/>
          <w:sz w:val="20"/>
          <w:szCs w:val="20"/>
        </w:rPr>
        <w:t>. Der Restbetrag wird im Laufe der vier folgenden Jahre in gleichen Raten spätestens an jedem Jahrestag des Fälligkeitstermins der ersten Zahlung entrichtet. Der Restbetrag des Anteils der Steuer kann jederzeit auf einmal gezahlt werden.</w:t>
      </w:r>
    </w:p>
    <w:p w14:paraId="5CC68B7B"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7E1D0BD" w14:textId="10AD3314"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Wählt der Steuerschuldner die in Absatz 1 erwähnte gestaffelte Zahlung, kann er keine andere Maßnahme in Anspruch nehmen, durch die ein Aufschub der Zahlungen des noch geschuldeten Anteils gewährt wird.</w:t>
      </w:r>
    </w:p>
    <w:p w14:paraId="3D11C172"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3703A2" w14:textId="15368943"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 3 - Der in § 2 erwähnte Restbetrag des noch geschuldeten Anteils der Steuer muss spätestens am letzten Tag des Monats nach dem Monat, in dem einer der folgenden Fälle eintritt, vollständig gezahlt werden:</w:t>
      </w:r>
    </w:p>
    <w:p w14:paraId="72935A28"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9F6978F" w14:textId="737F0896"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1. Verlegung [des Steuerwohnsitzes] des Steuerpflichtigen in einen ausländischen Staat, der kein Mitgliedstaat der Europäischen Union und kein Mitgliedstaat des Europäischen Wirtschaftsraums ist, mit dem Belgien ein anwendbares Abkommen in Bezug auf Amtshilfe bei der Beitreibung geschlossen hat,</w:t>
      </w:r>
    </w:p>
    <w:p w14:paraId="24211980"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4DC0118" w14:textId="6B796743"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2. Gesamt- oder Teilveräußerung der Aktiva,</w:t>
      </w:r>
    </w:p>
    <w:p w14:paraId="2722B509"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987E066" w14:textId="2B7B7073"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3. Gesamt- oder Teilübertragung der Aktiva in einen ausländischen Staat, der kein Mitgliedstaat der Europäischen Union und kein Mitgliedstaat des Europäischen Wirtschaftsraums ist, mit dem Belgien ein anwendbares Abkommen in Bezug auf Amtshilfe bei der Beitreibung geschlossen hat,</w:t>
      </w:r>
    </w:p>
    <w:p w14:paraId="6CB8A9DB"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35919B1" w14:textId="3995B00A"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4. Auflösung [des Steuerpflichtigen], mit Ausnahme der Auflösung ohne Liquidation im Rahmen [einer Fusion, einer Aufspaltung oder eines mit einer Fusion oder Aufspaltung gleichgesetzten Vorgangs], es sei denn, dieser Vorgang hat eine in Nr. 3 erwähnte Übertragung zur Folge,</w:t>
      </w:r>
    </w:p>
    <w:p w14:paraId="0C3B5AC5"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C15E545" w14:textId="3E8F3551"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5. Tod des in Artikel 28 Absatz 1 Nr. 1 erwähnten Empfängers, der eine natürliche Person ist,</w:t>
      </w:r>
    </w:p>
    <w:p w14:paraId="4F0980A0"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A985DEE" w14:textId="16FD3B6C"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6. Verlegung des Wohnsitzes durch den in Artikel 28 Absatz 1 Nr. 1 erwähnten Empfänger, der eine natürliche Person ist, in einen ausländischen Staat, der kein Mitgliedstaat der Europäischen Union und kein Mitgliedstaat des Europäischen Wirtschaftsraums ist, mit dem Belgien ein anwendbares Abkommen in Bezug auf Amtshilfe bei der Beitreibung geschlossen hat,</w:t>
      </w:r>
    </w:p>
    <w:p w14:paraId="02584B35"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49D845" w14:textId="0BDD4D4B"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7. Eröffnung eines Insolvenzverfahrens gegen die Person, die die gestaffelte Zahlung in Anspruch nimmt,</w:t>
      </w:r>
    </w:p>
    <w:p w14:paraId="7BFA8264"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469376E" w14:textId="43EAEC6B"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8. Nicht-Einhaltung eines der Fälligkeitstermine der in § 2 Nr. 2 erwähnten gestaffelten Zahlung,</w:t>
      </w:r>
    </w:p>
    <w:p w14:paraId="63804F99"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C7A9C37" w14:textId="5B36E3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9. </w:t>
      </w:r>
      <w:r>
        <w:rPr>
          <w:iCs/>
          <w:sz w:val="20"/>
          <w:szCs w:val="20"/>
        </w:rPr>
        <w:t>[</w:t>
      </w:r>
      <w:r w:rsidRPr="00E1633E">
        <w:rPr>
          <w:iCs/>
          <w:sz w:val="20"/>
          <w:szCs w:val="20"/>
        </w:rPr>
        <w:t>nicht erfolgte Übermittlung innerhalb der gesetzlichen Fristen</w:t>
      </w:r>
      <w:r>
        <w:rPr>
          <w:iCs/>
          <w:sz w:val="20"/>
          <w:szCs w:val="20"/>
        </w:rPr>
        <w:t>]</w:t>
      </w:r>
      <w:r w:rsidRPr="00E1633E">
        <w:rPr>
          <w:iCs/>
          <w:sz w:val="20"/>
          <w:szCs w:val="20"/>
        </w:rPr>
        <w:t xml:space="preserve"> des in § 4 erwähnten ausgefüllten, datierten, unterzeichneten und für vollständig und richtig bescheinigten Formulars,</w:t>
      </w:r>
    </w:p>
    <w:p w14:paraId="16C7B895"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700F45D" w14:textId="63C13773"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10. Nichtleistung der Sicherheit, die in Ausführung des gemäß § 5 getroffenen Beschlusses des Generalberaters der mit der Einnahme und Beitreibung der Einkommensteuern beauftragten Verwaltung festgelegt wird.</w:t>
      </w:r>
    </w:p>
    <w:p w14:paraId="4AAB4B28"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6F204A" w14:textId="06793436"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 4 - Ein Steuerschuldner, der die gestaffelte Zahlung wählt, übermittelt dem zuständigen Einnehmer jährlich spätestens am Datum des Ablaufs der Zahlungsfrist ein ausgefülltes, datiertes, unterzeichnetes und für vollständig und richtig bescheinigtes Formular, aus dem die Auskünfte in Bezug auf die übertragenen Aktiva, auf deren Grundlage der noch geschuldete Anteil der Einkommensteuer festgelegt worden ist und für die gemäß § 1 die gestaffelte Zahlung gewählt worden ist, und das Eintreten oder Nichtbestehen eines Verfallsgrundes hervorgehen.</w:t>
      </w:r>
    </w:p>
    <w:p w14:paraId="4A3679CB"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6EB4274" w14:textId="4CCEE2AF"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E1633E">
        <w:rPr>
          <w:iCs/>
          <w:sz w:val="20"/>
          <w:szCs w:val="20"/>
        </w:rPr>
        <w:t>D</w:t>
      </w:r>
      <w:r>
        <w:rPr>
          <w:iCs/>
          <w:sz w:val="20"/>
          <w:szCs w:val="20"/>
        </w:rPr>
        <w:t>i</w:t>
      </w:r>
      <w:r w:rsidRPr="00E1633E">
        <w:rPr>
          <w:iCs/>
          <w:sz w:val="20"/>
          <w:szCs w:val="20"/>
        </w:rPr>
        <w:t>e Übermittlung</w:t>
      </w:r>
      <w:r>
        <w:rPr>
          <w:iCs/>
          <w:sz w:val="20"/>
          <w:szCs w:val="20"/>
        </w:rPr>
        <w:t>]</w:t>
      </w:r>
      <w:r w:rsidRPr="00E1633E">
        <w:rPr>
          <w:iCs/>
          <w:sz w:val="20"/>
          <w:szCs w:val="20"/>
        </w:rPr>
        <w:t xml:space="preserve"> des in Absatz 1 erwähnten Formulars bringt von Rechts wegen den Verzicht auf die bereits verstrichene Verjährungszeit mit sich.</w:t>
      </w:r>
    </w:p>
    <w:p w14:paraId="2A613096"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91B92A" w14:textId="37DB2552"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Zahlt der Steuerschuldner den Restbetrag des noch geschuldeten Anteils der Steuer auf einmal, übermittelt er ein letztes Formular.</w:t>
      </w:r>
    </w:p>
    <w:p w14:paraId="0A7975D3"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0A9D2FA" w14:textId="6D339B25"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 5 - Bei tatsächlichem Risiko, dass die Steuer nicht beigetrieben werden kann, kann der Generalberater der mit der Einnahme und Beitreibung der Einkommensteuern beauftragten Verwaltung die in § 2 Nr. 2 erwähnte Wahl der gestaffelten Zahlung jederzeit durch einen mit Gründen versehenen Beschluss von der Leistung einer dinglichen Sicherheit oder einer persönlichen Bürgschaft abhängig machen.</w:t>
      </w:r>
    </w:p>
    <w:p w14:paraId="3E0FAAEB"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A1CDB00" w14:textId="6FD3CAE8"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Im Monat nach Notifizierung des in Absatz 1 erwähnten Beschlusses kann der Steuerschuldner eine Beschwerde vor dem Pfändungsrichter des Ortes einreichen, wo sich das Büro des Einnehmers befindet, der mit der Beitreibung des gesamten noch geschuldeten Anteils oder eines Teils davon beauftragt ist, für den die Sicherheit verlangt wird.</w:t>
      </w:r>
    </w:p>
    <w:p w14:paraId="400A82D7"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E4A450C" w14:textId="2B1C18D9" w:rsid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E1633E">
        <w:rPr>
          <w:iCs/>
          <w:sz w:val="20"/>
          <w:szCs w:val="20"/>
        </w:rPr>
        <w:t>Als Verfahren gilt das Eilverfahren.]</w:t>
      </w:r>
    </w:p>
    <w:p w14:paraId="4026AD25" w14:textId="77777777" w:rsidR="007A1DE7" w:rsidRDefault="007A1DE7"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C19A04" w14:textId="14D7D384" w:rsidR="007A1DE7" w:rsidRPr="00E1633E" w:rsidRDefault="007A1DE7"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p>
    <w:p w14:paraId="3247E07C" w14:textId="77777777"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A7BCA18" w14:textId="379A88D6" w:rsidR="00E1633E" w:rsidRP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E1633E">
        <w:rPr>
          <w:i/>
          <w:iCs/>
          <w:sz w:val="20"/>
          <w:szCs w:val="20"/>
        </w:rPr>
        <w:t xml:space="preserve">[Art. 413/1 eingefügt durch Art. 8 des G. vom 1. Dezember 2016 (B.S. vom 8. Dezember 2016) - anwendbar ab dem Steuerjahr 2017 auf Vorgänge, die ab dem 8. Dezember 2016 stattfinden -; § 1 Abs. 1 Nr. 1 abgeändert durch Art. 80 Nr. 1 des G. vom 17. März 2019 (III) (B.S. vom 10. Mai 2019) - in Kraft am 1. Mai 2019 -; § 1 Abs. 1 Nr. 1/1 eingefügt durch Art. 76 des G. vom 25. Dezember 2017 (III) (B.S. vom 29. Dezember 2017) - in Kraft am 1. Januar 2019 und anwendbar auf Übertragungen, die ab dem 1. Januar 2019 stattfinden -; § 1 Abs. 1 Nr. 2 abgeändert durch Art. 80 Nr. 2 des G. vom 17. März 2019 (III) (B.S. vom 10. Mai 2019) - in Kraft am 1. Mai 2019 -; § 1 Abs. 1 Nr. 3 abgeändert durch Art. 80 Nr. 3 des G. vom 17. März 2019 (III) (B.S. vom 10. Mai 2019) - in Kraft am 1. Mai 2019 -; § 1 Abs. 1 Nr. 4 abgeändert durch Art. 80 Nr. 4 des G. vom 17. März 2019 (III) (B.S. vom 10. Mai 2019) - in Kraft am 1. Mai 2019 -; § 1 Abs. 1 Nr. 5 abgeändert durch </w:t>
      </w:r>
      <w:r w:rsidRPr="00E1633E">
        <w:rPr>
          <w:rFonts w:ascii="Times New Roman Italique" w:hAnsi="Times New Roman Italique"/>
          <w:i/>
          <w:iCs/>
          <w:spacing w:val="-2"/>
          <w:sz w:val="20"/>
          <w:szCs w:val="20"/>
        </w:rPr>
        <w:t>Art. 80 Nr. 5 des G. vom 17. März 2019 (III) (B.S. vom 10. Mai 2019) - in Kraft am 1. Mai 2019 -; § 1 Abs. 1 Nr. 6 eingefügt durch Art. 80 Nr. 6 des G. vom 17. März 2019 (III) (B.S. vom 10. Mai 2019) - in Kraft am 1. Mai 2019 -;</w:t>
      </w:r>
      <w:r w:rsidRPr="00E1633E">
        <w:rPr>
          <w:i/>
          <w:iCs/>
          <w:sz w:val="20"/>
          <w:szCs w:val="20"/>
        </w:rPr>
        <w:t xml:space="preserve"> § 1 Abs. 1 Nr. 7 eingefügt durch Art. 40 des G. vom 22. Dezember 2023 (II) (B.S. vom 29. Dezember 2023) - anwendbar auf Einkünfte, die ab dem 1. Januar 2024 von einer Rechtsvereinbarung bezogen, zuerkannt oder ausgeschüttet werden -; § 1 Abs. 2 erster Gedankenstrich abgeändert durch Art. 70 des G. vom 26. März 2018 (B.S. vom 30. März 2018) - wirksam ab dem Steuerjahr 2018 -; § 1 Abs. 2 zweiter Gedankenstrich abgeändert durch Art. 58</w:t>
      </w:r>
      <w:r w:rsidRPr="00E1633E">
        <w:rPr>
          <w:bCs/>
          <w:i/>
          <w:iCs/>
          <w:sz w:val="20"/>
          <w:szCs w:val="20"/>
        </w:rPr>
        <w:t xml:space="preserve"> des G. vom 21. Januar 2022 (B.S. vom 28. Januar 2022); </w:t>
      </w:r>
      <w:r w:rsidRPr="00E1633E">
        <w:rPr>
          <w:i/>
          <w:iCs/>
          <w:sz w:val="20"/>
          <w:szCs w:val="20"/>
        </w:rPr>
        <w:t xml:space="preserve">§ 1 Abs. 2 dritter Gedankenstrich abgeändert durch Art. 70 des G. vom 26. März 2018 (B.S. vom 30. März 2018) - wirksam ab dem Steuerjahr 2018 -; </w:t>
      </w:r>
      <w:r>
        <w:rPr>
          <w:i/>
          <w:iCs/>
          <w:sz w:val="20"/>
          <w:szCs w:val="20"/>
        </w:rPr>
        <w:t>§ 2 Abs. 1 einleitende Bestimmung abgeändert durch Art. 41 Nr. 1</w:t>
      </w:r>
      <w:r w:rsidRPr="00E1633E">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E1633E">
        <w:rPr>
          <w:i/>
          <w:iCs/>
          <w:sz w:val="20"/>
          <w:szCs w:val="20"/>
        </w:rPr>
        <w:t>-</w:t>
      </w:r>
      <w:r>
        <w:rPr>
          <w:i/>
          <w:iCs/>
          <w:sz w:val="20"/>
          <w:szCs w:val="20"/>
        </w:rPr>
        <w:t>; § 2 Abs. 1 Nr. 2 abgeändert durch Art. 41 Nr. 1</w:t>
      </w:r>
      <w:r w:rsidRPr="00E1633E">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E1633E">
        <w:rPr>
          <w:i/>
          <w:iCs/>
          <w:sz w:val="20"/>
          <w:szCs w:val="20"/>
        </w:rPr>
        <w:t>-</w:t>
      </w:r>
      <w:r>
        <w:rPr>
          <w:i/>
          <w:iCs/>
          <w:sz w:val="20"/>
          <w:szCs w:val="20"/>
        </w:rPr>
        <w:t xml:space="preserve">; </w:t>
      </w:r>
      <w:r w:rsidRPr="00E1633E">
        <w:rPr>
          <w:i/>
          <w:iCs/>
          <w:sz w:val="20"/>
          <w:szCs w:val="20"/>
        </w:rPr>
        <w:t xml:space="preserve">§ 3 </w:t>
      </w:r>
      <w:r w:rsidR="007A1DE7">
        <w:rPr>
          <w:i/>
          <w:iCs/>
          <w:sz w:val="20"/>
          <w:szCs w:val="20"/>
        </w:rPr>
        <w:t>einziger Absatz</w:t>
      </w:r>
      <w:r w:rsidRPr="00E1633E">
        <w:rPr>
          <w:i/>
          <w:iCs/>
          <w:sz w:val="20"/>
          <w:szCs w:val="20"/>
        </w:rPr>
        <w:t xml:space="preserve"> 1 Nr. 1 abgeändert durch Art. 80 Nr. 7 des G. vom 17. März 2019 (III) (B.S. vom 10. Mai 2019) - in Kraft am 1. Mai 2019 -; § 3 </w:t>
      </w:r>
      <w:r>
        <w:rPr>
          <w:i/>
          <w:iCs/>
          <w:sz w:val="20"/>
          <w:szCs w:val="20"/>
        </w:rPr>
        <w:t xml:space="preserve">einziger Absatz </w:t>
      </w:r>
      <w:r w:rsidRPr="00E1633E">
        <w:rPr>
          <w:i/>
          <w:iCs/>
          <w:sz w:val="20"/>
          <w:szCs w:val="20"/>
        </w:rPr>
        <w:t>Nr. 4 abgeändert durch Art. 80 Nr. 8 des G. vom 17. März 2019 (III) (B.S. vom 10. Mai 2019) - in Kraft am 1. Mai 2019 -</w:t>
      </w:r>
      <w:r>
        <w:rPr>
          <w:i/>
          <w:iCs/>
          <w:sz w:val="20"/>
          <w:szCs w:val="20"/>
        </w:rPr>
        <w:t>; § 3 einziger Absatz Nr. 9 abgeändert durch Art. 41 Nr. 2</w:t>
      </w:r>
      <w:r w:rsidRPr="00E1633E">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E1633E">
        <w:rPr>
          <w:i/>
          <w:iCs/>
          <w:sz w:val="20"/>
          <w:szCs w:val="20"/>
        </w:rPr>
        <w:t>-</w:t>
      </w:r>
      <w:r>
        <w:rPr>
          <w:i/>
          <w:iCs/>
          <w:sz w:val="20"/>
          <w:szCs w:val="20"/>
        </w:rPr>
        <w:t xml:space="preserve">; </w:t>
      </w:r>
      <w:r w:rsidR="00E42361" w:rsidRPr="00E42361">
        <w:rPr>
          <w:i/>
          <w:iCs/>
          <w:sz w:val="20"/>
          <w:szCs w:val="20"/>
        </w:rPr>
        <w:t>§ 4 Abs. 1 abgeändert durch Art. 43 Nr. 1 des G. vom 26. Januar 2021 (B.S. vom 10. Februar 2021) - in Kraft am 1. Januar 2025 -, selbst aufgehoben durch Art. 213 des G. vom 12. Mai 2024 (B.S. vom 30. Mai 2024)</w:t>
      </w:r>
      <w:r w:rsidR="00E42361">
        <w:rPr>
          <w:i/>
          <w:iCs/>
          <w:sz w:val="20"/>
          <w:szCs w:val="20"/>
        </w:rPr>
        <w:t xml:space="preserve">; </w:t>
      </w:r>
      <w:r>
        <w:rPr>
          <w:i/>
          <w:iCs/>
          <w:sz w:val="20"/>
          <w:szCs w:val="20"/>
        </w:rPr>
        <w:t>§ 4 Abs. 2 abgeändert durch Art. 41 Nr. 4</w:t>
      </w:r>
      <w:r w:rsidRPr="00E1633E">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E1633E">
        <w:rPr>
          <w:i/>
          <w:iCs/>
          <w:sz w:val="20"/>
          <w:szCs w:val="20"/>
        </w:rPr>
        <w:t>-</w:t>
      </w:r>
      <w:r w:rsidR="00E42361">
        <w:rPr>
          <w:i/>
          <w:iCs/>
          <w:sz w:val="20"/>
          <w:szCs w:val="20"/>
        </w:rPr>
        <w:t xml:space="preserve">; </w:t>
      </w:r>
      <w:r w:rsidR="00E42361" w:rsidRPr="00E42361">
        <w:rPr>
          <w:i/>
          <w:iCs/>
          <w:sz w:val="20"/>
          <w:szCs w:val="20"/>
        </w:rPr>
        <w:t xml:space="preserve">§ 5 </w:t>
      </w:r>
      <w:r w:rsidR="007A1DE7">
        <w:rPr>
          <w:i/>
          <w:iCs/>
          <w:sz w:val="20"/>
          <w:szCs w:val="20"/>
        </w:rPr>
        <w:t xml:space="preserve">früherer </w:t>
      </w:r>
      <w:r w:rsidR="00E42361" w:rsidRPr="00E42361">
        <w:rPr>
          <w:i/>
          <w:iCs/>
          <w:sz w:val="20"/>
          <w:szCs w:val="20"/>
        </w:rPr>
        <w:t>Abs</w:t>
      </w:r>
      <w:r w:rsidR="007A1DE7">
        <w:rPr>
          <w:i/>
          <w:iCs/>
          <w:sz w:val="20"/>
          <w:szCs w:val="20"/>
        </w:rPr>
        <w:t>atz</w:t>
      </w:r>
      <w:r w:rsidR="00E42361" w:rsidRPr="00E42361">
        <w:rPr>
          <w:i/>
          <w:iCs/>
          <w:sz w:val="20"/>
          <w:szCs w:val="20"/>
        </w:rPr>
        <w:t> 4 eingefügt durch Art. 43 Nr. 2 des G. vom 26. Januar 2021 (B.S. vom 10. Februar 2021) - in Kraft am 1. Januar 2025 -, selbst aufgehoben durch Art. 213 des G. vom 12. Mai 2024 (B.S. vom 30. Mai 2024)</w:t>
      </w:r>
      <w:r w:rsidRPr="00E1633E">
        <w:rPr>
          <w:i/>
          <w:iCs/>
          <w:sz w:val="20"/>
          <w:szCs w:val="20"/>
        </w:rPr>
        <w:t>]</w:t>
      </w:r>
      <w:r w:rsidR="00E42361">
        <w:rPr>
          <w:sz w:val="20"/>
          <w:szCs w:val="20"/>
        </w:rPr>
        <w:t>"</w:t>
      </w:r>
    </w:p>
    <w:p w14:paraId="4507C38B" w14:textId="4A04B46A" w:rsidR="00E1633E" w:rsidRPr="009118AB"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668A8A2" w14:textId="5A516D7E" w:rsidR="00477B8F" w:rsidRPr="009118AB" w:rsidRDefault="00477B8F" w:rsidP="005931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t>[</w:t>
      </w:r>
      <w:r w:rsidRPr="009118AB">
        <w:rPr>
          <w:i/>
          <w:iCs/>
        </w:rPr>
        <w:t>Abschnitt</w:t>
      </w:r>
      <w:r w:rsidR="007F4133" w:rsidRPr="009118AB">
        <w:rPr>
          <w:i/>
          <w:iCs/>
        </w:rPr>
        <w:t> </w:t>
      </w:r>
      <w:r w:rsidR="006B602F" w:rsidRPr="009118AB">
        <w:rPr>
          <w:i/>
          <w:iCs/>
        </w:rPr>
        <w:t>4</w:t>
      </w:r>
      <w:r w:rsidRPr="009118AB">
        <w:rPr>
          <w:i/>
          <w:iCs/>
        </w:rPr>
        <w:t>bis</w:t>
      </w:r>
      <w:r w:rsidR="00D67EB8" w:rsidRPr="009118AB">
        <w:t> - </w:t>
      </w:r>
      <w:r w:rsidR="00421A73" w:rsidRPr="009118AB">
        <w:t>[...]</w:t>
      </w:r>
    </w:p>
    <w:p w14:paraId="681A234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p>
    <w:p w14:paraId="4DC8E949" w14:textId="02780BFD" w:rsidR="00477B8F" w:rsidRPr="009118AB" w:rsidRDefault="00477B8F" w:rsidP="006B2A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[Abschnitt</w:t>
      </w:r>
      <w:r w:rsidR="00BC5B23" w:rsidRPr="009118AB">
        <w:rPr>
          <w:i/>
          <w:iCs/>
        </w:rPr>
        <w:t> </w:t>
      </w:r>
      <w:r w:rsidR="006B602F" w:rsidRPr="009118AB">
        <w:rPr>
          <w:i/>
          <w:iCs/>
        </w:rPr>
        <w:t>4</w:t>
      </w:r>
      <w:r w:rsidRPr="009118AB">
        <w:rPr>
          <w:i/>
          <w:iCs/>
        </w:rPr>
        <w:t>bis mit den Artikeln</w:t>
      </w:r>
      <w:r w:rsidR="00BC5B23" w:rsidRPr="009118AB">
        <w:rPr>
          <w:i/>
          <w:iCs/>
        </w:rPr>
        <w:t> </w:t>
      </w:r>
      <w:r w:rsidRPr="009118AB">
        <w:rPr>
          <w:i/>
          <w:iCs/>
        </w:rPr>
        <w:t xml:space="preserve">413bis bis 413octies eingefügt durch </w:t>
      </w:r>
      <w:r w:rsidR="00D67EB8" w:rsidRPr="009118AB">
        <w:rPr>
          <w:i/>
          <w:iCs/>
        </w:rPr>
        <w:t>Art. </w:t>
      </w:r>
      <w:r w:rsidRPr="009118AB">
        <w:rPr>
          <w:i/>
          <w:iCs/>
        </w:rPr>
        <w:t>332 des G. vom 27. Dezember 2004 (B.S. vom 31. Dezember 2004)</w:t>
      </w:r>
      <w:r w:rsidR="00D67EB8" w:rsidRPr="009118AB">
        <w:rPr>
          <w:i/>
          <w:iCs/>
        </w:rPr>
        <w:t> - </w:t>
      </w:r>
      <w:r w:rsidRPr="009118AB">
        <w:rPr>
          <w:i/>
          <w:iCs/>
        </w:rPr>
        <w:t>in Kraft ab dem 1. Januar 2005</w:t>
      </w:r>
      <w:r w:rsidR="00D67EB8" w:rsidRPr="009118AB">
        <w:rPr>
          <w:i/>
          <w:iCs/>
        </w:rPr>
        <w:t> - </w:t>
      </w:r>
      <w:r w:rsidR="00421A73" w:rsidRPr="009118AB">
        <w:rPr>
          <w:i/>
          <w:iCs/>
        </w:rPr>
        <w:t xml:space="preserve">und aufgehoben durch </w:t>
      </w:r>
      <w:r w:rsidR="00D67EB8" w:rsidRPr="009118AB">
        <w:rPr>
          <w:i/>
          <w:iCs/>
        </w:rPr>
        <w:t>Art. </w:t>
      </w:r>
      <w:r w:rsidR="00421A73" w:rsidRPr="009118AB">
        <w:rPr>
          <w:i/>
          <w:iCs/>
        </w:rPr>
        <w:t>59 des G. vom 13. April 2019 (II) (B.S. vom 30. April 2019)</w:t>
      </w:r>
      <w:r w:rsidR="00D67EB8" w:rsidRPr="009118AB">
        <w:rPr>
          <w:i/>
          <w:iCs/>
        </w:rPr>
        <w:t> - </w:t>
      </w:r>
      <w:r w:rsidR="00421A73" w:rsidRPr="009118AB">
        <w:rPr>
          <w:i/>
          <w:iCs/>
        </w:rPr>
        <w:t>in Kraft am 1. Januar 2020</w:t>
      </w:r>
      <w:r w:rsidR="00FD68E8" w:rsidRPr="009118AB">
        <w:rPr>
          <w:i/>
          <w:iCs/>
        </w:rPr>
        <w:t> -]</w:t>
      </w:r>
    </w:p>
    <w:p w14:paraId="2FAA64B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rsidRPr="009118AB">
        <w:rPr>
          <w:i/>
          <w:iCs/>
        </w:rPr>
        <w:t xml:space="preserve"> </w:t>
      </w:r>
    </w:p>
    <w:p w14:paraId="36E6C075" w14:textId="77777777" w:rsidR="00477B8F" w:rsidRPr="009118AB" w:rsidRDefault="00477B8F" w:rsidP="00493D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1C180DB" w14:textId="033FDD6C" w:rsidR="00477B8F" w:rsidRPr="009118AB" w:rsidRDefault="00477B8F" w:rsidP="00493D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413</w:t>
      </w:r>
      <w:r w:rsidRPr="009118AB">
        <w:rPr>
          <w:b/>
          <w:bCs/>
          <w:i/>
          <w:iCs/>
        </w:rPr>
        <w:t>bis</w:t>
      </w:r>
      <w:r w:rsidR="00D67EB8" w:rsidRPr="009118AB">
        <w:t> - </w:t>
      </w:r>
      <w:r w:rsidRPr="009118AB">
        <w:rPr>
          <w:b/>
          <w:bCs/>
        </w:rPr>
        <w:t>413</w:t>
      </w:r>
      <w:r w:rsidRPr="009118AB">
        <w:rPr>
          <w:b/>
          <w:bCs/>
          <w:i/>
          <w:iCs/>
        </w:rPr>
        <w:t>octies</w:t>
      </w:r>
      <w:r w:rsidR="00D67EB8" w:rsidRPr="009118AB">
        <w:t> - </w:t>
      </w:r>
      <w:r w:rsidR="00421A73" w:rsidRPr="009118AB">
        <w:t>[...]</w:t>
      </w:r>
      <w:r w:rsidRPr="009118AB">
        <w:t>]</w:t>
      </w:r>
    </w:p>
    <w:p w14:paraId="17791EF6" w14:textId="56851F8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r>
      <w:r w:rsidRPr="009118AB">
        <w:rPr>
          <w:i/>
          <w:iCs/>
        </w:rPr>
        <w:t>Abschnitt </w:t>
      </w:r>
      <w:r w:rsidR="006B602F" w:rsidRPr="009118AB">
        <w:rPr>
          <w:i/>
          <w:iCs/>
        </w:rPr>
        <w:t>5</w:t>
      </w:r>
      <w:r w:rsidR="00D67EB8" w:rsidRPr="009118AB">
        <w:t> - </w:t>
      </w:r>
      <w:r w:rsidRPr="009118AB">
        <w:t>Zinsen</w:t>
      </w:r>
    </w:p>
    <w:p w14:paraId="1CA58F3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673441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F08C2EE" w14:textId="210722F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t>Unterabschnitt </w:t>
      </w:r>
      <w:r w:rsidR="006B602F" w:rsidRPr="009118AB">
        <w:t>1</w:t>
      </w:r>
      <w:r w:rsidR="00D67EB8" w:rsidRPr="009118AB">
        <w:t> - </w:t>
      </w:r>
      <w:r w:rsidRPr="009118AB">
        <w:t>Verzugszinsen</w:t>
      </w:r>
    </w:p>
    <w:p w14:paraId="6E2B1FB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76CA7F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E748B90" w14:textId="2777D2C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414</w:t>
      </w:r>
      <w:r w:rsidR="00D67EB8" w:rsidRPr="009118AB">
        <w:t> - § </w:t>
      </w:r>
      <w:r w:rsidRPr="009118AB">
        <w:t>1</w:t>
      </w:r>
      <w:r w:rsidR="00D67EB8" w:rsidRPr="009118AB">
        <w:t> - </w:t>
      </w:r>
      <w:r w:rsidR="00972E9F" w:rsidRPr="009118AB">
        <w:t>[Bei Nichtzahlung innerhalb der in den Artikeln 412, 413 und 413/1 festgelegten Fristen tragen geschuldete Summen zugunsten der Staatskasse für die Dauer des Verzugs einen Zins zu dem Satz wie gemäß Artikel 2 § 2/1 Absatz 1 Nr. 1 des Gesetzes vom 5. Mai 1865 über das verzinsliche Darlehen bestimmt.]</w:t>
      </w:r>
    </w:p>
    <w:p w14:paraId="081B158B" w14:textId="77777777" w:rsidR="00DC5953" w:rsidRPr="009118AB" w:rsidRDefault="00DC595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161D4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p>
    <w:p w14:paraId="756E3E4D" w14:textId="77777777" w:rsidR="00DC5953" w:rsidRPr="009118AB" w:rsidRDefault="00DC595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87934B" w14:textId="02CFB0DF" w:rsidR="00DC5953" w:rsidRPr="009118AB" w:rsidRDefault="00DC5953" w:rsidP="00972E9F">
      <w:pPr>
        <w:jc w:val="both"/>
      </w:pPr>
      <w:r w:rsidRPr="009118AB">
        <w:tab/>
        <w:t>[</w:t>
      </w:r>
      <w:r w:rsidR="00972E9F" w:rsidRPr="009118AB">
        <w:t>..</w:t>
      </w:r>
      <w:r w:rsidRPr="009118AB">
        <w:t>.]</w:t>
      </w:r>
    </w:p>
    <w:p w14:paraId="442A640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94B90A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[Dieser Zins wird für jede Steuer pro Kalendermonat auf die noch geschuldete Summe[, die auf das kleinere Vielfache von 10 EUR abgerundet wird,] berechnet, entweder ab dem ersten Tag des Monats nach der Fälligkeit oder ab dem ersten Tag des Monats nach der vorherigen Zahlung, sofern eine Summe auf die Hauptsumme der Schuld angerechnet wurde, bis zum letzten Tag des Monats, in dem die Zahlung erfolgt.]</w:t>
      </w:r>
    </w:p>
    <w:p w14:paraId="52F9D83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6063DF9" w14:textId="415B18E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7C5435" w:rsidRPr="009118AB">
        <w:t>Wird der Berufssteuervorabzug jedoch nicht innerhalb der festgelegten Frist gezahlt, werden darüber hinaus in den in Artikel 412 Absatz 2 und 3 erwähnten Fällen für den Monat der Fälligkeit Zinsen für einen halben Monat geschuldet.</w:t>
      </w:r>
      <w:r w:rsidRPr="009118AB">
        <w:t>]</w:t>
      </w:r>
    </w:p>
    <w:p w14:paraId="08843E9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462FFF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[Der Verzugszins wird nicht geschuldet, wenn er weniger als [5 EUR] pro Monat beträgt.]</w:t>
      </w:r>
    </w:p>
    <w:p w14:paraId="7502E5B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33C420" w14:textId="2F6129E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118AB">
        <w:rPr>
          <w:spacing w:val="-2"/>
        </w:rPr>
        <w:tab/>
      </w:r>
      <w:r w:rsidR="00D67EB8" w:rsidRPr="009118AB">
        <w:rPr>
          <w:spacing w:val="-2"/>
        </w:rPr>
        <w:t>§ </w:t>
      </w:r>
      <w:r w:rsidRPr="009118AB">
        <w:rPr>
          <w:spacing w:val="-2"/>
        </w:rPr>
        <w:t>2</w:t>
      </w:r>
      <w:r w:rsidR="00D67EB8" w:rsidRPr="009118AB">
        <w:rPr>
          <w:spacing w:val="-2"/>
        </w:rPr>
        <w:t> - </w:t>
      </w:r>
      <w:r w:rsidRPr="009118AB">
        <w:rPr>
          <w:spacing w:val="-2"/>
        </w:rPr>
        <w:t xml:space="preserve">[Erfolgt die Notifizierung des in Artikel 375 </w:t>
      </w:r>
      <w:r w:rsidR="00D67EB8" w:rsidRPr="009118AB">
        <w:rPr>
          <w:spacing w:val="-2"/>
        </w:rPr>
        <w:t>§ </w:t>
      </w:r>
      <w:r w:rsidRPr="009118AB">
        <w:rPr>
          <w:spacing w:val="-2"/>
        </w:rPr>
        <w:t xml:space="preserve">1 erwähnten Beschlusses nicht innerhalb sechs Monaten nach dem Datum des Empfangs des Widerspruchs, wird der in </w:t>
      </w:r>
      <w:r w:rsidR="00D67EB8" w:rsidRPr="009118AB">
        <w:rPr>
          <w:spacing w:val="-2"/>
        </w:rPr>
        <w:t>§ </w:t>
      </w:r>
      <w:r w:rsidRPr="009118AB">
        <w:rPr>
          <w:spacing w:val="-2"/>
        </w:rPr>
        <w:t xml:space="preserve">1 erwähnte Verzugszins nicht für den Teil der Steuer geschuldet, der über dem gemäß </w:t>
      </w:r>
      <w:r w:rsidR="00421A73" w:rsidRPr="009118AB">
        <w:rPr>
          <w:spacing w:val="-2"/>
        </w:rPr>
        <w:t>[</w:t>
      </w:r>
      <w:r w:rsidR="00421A73" w:rsidRPr="009118AB">
        <w:rPr>
          <w:rFonts w:eastAsia="Calibri"/>
          <w:spacing w:val="-2"/>
          <w:lang w:eastAsia="en-US"/>
        </w:rPr>
        <w:t>Artikel 62 des Gesetzbuches über die gütliche Beitreibung und die Zwangsbeitreibung von Steuerforde</w:t>
      </w:r>
      <w:r w:rsidR="00200323" w:rsidRPr="009118AB">
        <w:rPr>
          <w:rFonts w:eastAsia="Calibri"/>
          <w:spacing w:val="-2"/>
          <w:lang w:eastAsia="en-US"/>
        </w:rPr>
        <w:softHyphen/>
      </w:r>
      <w:r w:rsidR="00421A73" w:rsidRPr="009118AB">
        <w:rPr>
          <w:rFonts w:eastAsia="Calibri"/>
          <w:spacing w:val="-2"/>
          <w:lang w:eastAsia="en-US"/>
        </w:rPr>
        <w:t>rungen und nichtsteuerlichen Forderungen</w:t>
      </w:r>
      <w:r w:rsidR="00421A73" w:rsidRPr="009118AB">
        <w:rPr>
          <w:spacing w:val="-2"/>
        </w:rPr>
        <w:t>]</w:t>
      </w:r>
      <w:r w:rsidRPr="009118AB">
        <w:rPr>
          <w:spacing w:val="-2"/>
        </w:rPr>
        <w:t xml:space="preserve"> festgelegten Betrag liegt, und zwar während des Zeit</w:t>
      </w:r>
      <w:r w:rsidR="00200323" w:rsidRPr="009118AB">
        <w:rPr>
          <w:spacing w:val="-2"/>
        </w:rPr>
        <w:softHyphen/>
      </w:r>
      <w:r w:rsidR="00200323" w:rsidRPr="009118AB">
        <w:rPr>
          <w:spacing w:val="-2"/>
        </w:rPr>
        <w:softHyphen/>
      </w:r>
      <w:r w:rsidRPr="009118AB">
        <w:rPr>
          <w:spacing w:val="-2"/>
        </w:rPr>
        <w:t>raums, der am Ersten des Monats nach dem Monat beginnt, in dem die Frist von sechs Monaten abläuft, und am Ende des Monats endet, in dem eine Klage gemäß Artikel 1385</w:t>
      </w:r>
      <w:r w:rsidRPr="009118AB">
        <w:rPr>
          <w:i/>
          <w:iCs/>
          <w:spacing w:val="-2"/>
        </w:rPr>
        <w:t>undecies</w:t>
      </w:r>
      <w:r w:rsidRPr="009118AB">
        <w:rPr>
          <w:spacing w:val="-2"/>
        </w:rPr>
        <w:t xml:space="preserve"> des Gerichtsgesetzbuches erhoben wird, beziehungsweise in Ermange</w:t>
      </w:r>
      <w:r w:rsidR="00200323" w:rsidRPr="009118AB">
        <w:rPr>
          <w:spacing w:val="-2"/>
        </w:rPr>
        <w:softHyphen/>
      </w:r>
      <w:r w:rsidRPr="009118AB">
        <w:rPr>
          <w:spacing w:val="-2"/>
        </w:rPr>
        <w:t>lung einer solchen Klage, am Ende des Monats, in dem vorerwähnter Beschluss notifiziert wurde.]</w:t>
      </w:r>
    </w:p>
    <w:p w14:paraId="5BF7B1E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870C030" w14:textId="23A0173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414 </w:t>
      </w:r>
      <w:r w:rsidR="00D67EB8" w:rsidRPr="009118AB">
        <w:rPr>
          <w:i/>
          <w:iCs/>
        </w:rPr>
        <w:t>§ </w:t>
      </w:r>
      <w:r w:rsidRPr="009118AB">
        <w:rPr>
          <w:i/>
          <w:iCs/>
        </w:rPr>
        <w:t xml:space="preserve">1 </w:t>
      </w:r>
      <w:r w:rsidR="00D67EB8" w:rsidRPr="009118AB">
        <w:rPr>
          <w:i/>
          <w:iCs/>
        </w:rPr>
        <w:t>Abs. </w:t>
      </w:r>
      <w:r w:rsidRPr="009118AB">
        <w:rPr>
          <w:i/>
          <w:iCs/>
        </w:rPr>
        <w:t xml:space="preserve">1 </w:t>
      </w:r>
      <w:r w:rsidR="00972E9F" w:rsidRPr="009118AB">
        <w:rPr>
          <w:i/>
          <w:iCs/>
        </w:rPr>
        <w:t>ersetzt durch Art. 5 Nr. 1 des G. vom 20. November 2022 (B.S. vom 30. November 2022) - in Kraft am 1. Januar 2023 -</w:t>
      </w:r>
      <w:r w:rsidR="003366D9" w:rsidRPr="009118AB">
        <w:rPr>
          <w:i/>
          <w:iCs/>
        </w:rPr>
        <w:t>;</w:t>
      </w:r>
      <w:r w:rsidRPr="009118AB">
        <w:rPr>
          <w:i/>
          <w:iCs/>
        </w:rPr>
        <w:t xml:space="preserve"> </w:t>
      </w:r>
      <w:r w:rsidR="00D67EB8" w:rsidRPr="009118AB">
        <w:rPr>
          <w:i/>
          <w:iCs/>
        </w:rPr>
        <w:t>§ </w:t>
      </w:r>
      <w:r w:rsidRPr="009118AB">
        <w:rPr>
          <w:i/>
          <w:iCs/>
        </w:rPr>
        <w:t xml:space="preserve">1 früherer Absatz 2 aufgehoben durch </w:t>
      </w:r>
      <w:r w:rsidR="00D67EB8" w:rsidRPr="009118AB">
        <w:rPr>
          <w:i/>
          <w:iCs/>
        </w:rPr>
        <w:t>Art. </w:t>
      </w:r>
      <w:r w:rsidRPr="009118AB">
        <w:rPr>
          <w:i/>
          <w:iCs/>
        </w:rPr>
        <w:t xml:space="preserve">47 </w:t>
      </w:r>
      <w:r w:rsidR="00D67EB8" w:rsidRPr="009118AB">
        <w:rPr>
          <w:i/>
          <w:iCs/>
        </w:rPr>
        <w:t>Nr. </w:t>
      </w:r>
      <w:r w:rsidRPr="009118AB">
        <w:rPr>
          <w:i/>
          <w:iCs/>
        </w:rPr>
        <w:t>2 des G. vom 22. Dezember 1998 (B.S. vom 15. Januar 1999)</w:t>
      </w:r>
      <w:r w:rsidR="00D67EB8" w:rsidRPr="009118AB">
        <w:rPr>
          <w:i/>
          <w:iCs/>
        </w:rPr>
        <w:t> - </w:t>
      </w:r>
      <w:r w:rsidRPr="009118AB">
        <w:rPr>
          <w:i/>
          <w:iCs/>
        </w:rPr>
        <w:t xml:space="preserve">in Kraft ab </w:t>
      </w:r>
      <w:r w:rsidRPr="009118AB">
        <w:rPr>
          <w:i/>
          <w:iCs/>
          <w:spacing w:val="-2"/>
        </w:rPr>
        <w:t>dem 1. Januar 1999</w:t>
      </w:r>
      <w:r w:rsidR="003366D9" w:rsidRPr="009118AB">
        <w:rPr>
          <w:i/>
          <w:iCs/>
          <w:spacing w:val="-2"/>
        </w:rPr>
        <w:t> -;</w:t>
      </w:r>
      <w:r w:rsidRPr="009118AB">
        <w:rPr>
          <w:i/>
          <w:iCs/>
          <w:spacing w:val="-2"/>
        </w:rPr>
        <w:t xml:space="preserve"> </w:t>
      </w:r>
      <w:r w:rsidR="00D67EB8" w:rsidRPr="009118AB">
        <w:rPr>
          <w:i/>
          <w:iCs/>
          <w:spacing w:val="-2"/>
        </w:rPr>
        <w:t>§ </w:t>
      </w:r>
      <w:r w:rsidR="00DC5953" w:rsidRPr="009118AB">
        <w:rPr>
          <w:i/>
          <w:iCs/>
          <w:spacing w:val="-2"/>
        </w:rPr>
        <w:t xml:space="preserve">1 </w:t>
      </w:r>
      <w:r w:rsidR="00972E9F" w:rsidRPr="009118AB">
        <w:rPr>
          <w:i/>
          <w:iCs/>
          <w:spacing w:val="-2"/>
        </w:rPr>
        <w:t>früher</w:t>
      </w:r>
      <w:r w:rsidR="00DC5953" w:rsidRPr="009118AB">
        <w:rPr>
          <w:i/>
          <w:iCs/>
          <w:spacing w:val="-2"/>
        </w:rPr>
        <w:t xml:space="preserve">e Absätze 2 und 3 eingefügt durch </w:t>
      </w:r>
      <w:r w:rsidR="00D67EB8" w:rsidRPr="009118AB">
        <w:rPr>
          <w:i/>
          <w:iCs/>
          <w:spacing w:val="-2"/>
        </w:rPr>
        <w:t>Art. </w:t>
      </w:r>
      <w:r w:rsidR="00DC5953" w:rsidRPr="009118AB">
        <w:rPr>
          <w:i/>
          <w:iCs/>
          <w:spacing w:val="-2"/>
        </w:rPr>
        <w:t xml:space="preserve">77 </w:t>
      </w:r>
      <w:r w:rsidR="00D67EB8" w:rsidRPr="009118AB">
        <w:rPr>
          <w:i/>
          <w:iCs/>
          <w:spacing w:val="-2"/>
        </w:rPr>
        <w:t>Nr. </w:t>
      </w:r>
      <w:r w:rsidR="00DC5953" w:rsidRPr="009118AB">
        <w:rPr>
          <w:i/>
          <w:iCs/>
          <w:spacing w:val="-2"/>
        </w:rPr>
        <w:t>2</w:t>
      </w:r>
      <w:r w:rsidR="006429CA" w:rsidRPr="009118AB">
        <w:rPr>
          <w:i/>
          <w:iCs/>
          <w:spacing w:val="-2"/>
        </w:rPr>
        <w:t xml:space="preserve"> des G. vom 25. Dezember 2017 (III) (B.S. vom 29. Dezember 2017)</w:t>
      </w:r>
      <w:r w:rsidR="00D67EB8" w:rsidRPr="009118AB">
        <w:rPr>
          <w:i/>
          <w:iCs/>
          <w:spacing w:val="-2"/>
        </w:rPr>
        <w:t> - </w:t>
      </w:r>
      <w:r w:rsidR="006429CA" w:rsidRPr="009118AB">
        <w:rPr>
          <w:i/>
          <w:iCs/>
          <w:spacing w:val="-2"/>
        </w:rPr>
        <w:t>anwendbar ab dem 1. Januar 2018</w:t>
      </w:r>
      <w:r w:rsidR="003366D9" w:rsidRPr="009118AB">
        <w:rPr>
          <w:i/>
          <w:iCs/>
          <w:spacing w:val="-2"/>
        </w:rPr>
        <w:t> -</w:t>
      </w:r>
      <w:r w:rsidR="00972E9F" w:rsidRPr="009118AB">
        <w:rPr>
          <w:i/>
          <w:iCs/>
          <w:spacing w:val="-2"/>
        </w:rPr>
        <w:t xml:space="preserve"> und aufgehoben durch Art. 5 Nr. 2</w:t>
      </w:r>
      <w:r w:rsidR="00972E9F" w:rsidRPr="009118AB">
        <w:rPr>
          <w:i/>
          <w:iCs/>
        </w:rPr>
        <w:t xml:space="preserve"> des G. vom 20. November 2022 (B.S. vom 30. November 2022) - in Kraft am 1. Januar 2023 -;</w:t>
      </w:r>
      <w:r w:rsidR="00DC5953" w:rsidRPr="009118AB">
        <w:rPr>
          <w:i/>
          <w:iCs/>
          <w:spacing w:val="-2"/>
        </w:rPr>
        <w:t xml:space="preserve"> </w:t>
      </w:r>
      <w:r w:rsidR="00D67EB8" w:rsidRPr="009118AB">
        <w:rPr>
          <w:i/>
          <w:iCs/>
          <w:spacing w:val="-2"/>
        </w:rPr>
        <w:t>§ </w:t>
      </w:r>
      <w:r w:rsidRPr="009118AB">
        <w:rPr>
          <w:i/>
          <w:iCs/>
          <w:spacing w:val="-2"/>
        </w:rPr>
        <w:t xml:space="preserve">1 </w:t>
      </w:r>
      <w:r w:rsidRPr="009118AB">
        <w:rPr>
          <w:rFonts w:ascii="Times New Roman Italique" w:hAnsi="Times New Roman Italique"/>
          <w:i/>
          <w:iCs/>
          <w:spacing w:val="-2"/>
        </w:rPr>
        <w:t>neuer Absatz </w:t>
      </w:r>
      <w:r w:rsidR="00972E9F" w:rsidRPr="009118AB">
        <w:rPr>
          <w:rFonts w:ascii="Times New Roman Italique" w:hAnsi="Times New Roman Italique"/>
          <w:i/>
          <w:iCs/>
          <w:spacing w:val="-2"/>
        </w:rPr>
        <w:t>2</w:t>
      </w:r>
      <w:r w:rsidRPr="009118AB">
        <w:rPr>
          <w:rFonts w:ascii="Times New Roman Italique" w:hAnsi="Times New Roman Italique"/>
          <w:i/>
          <w:iCs/>
          <w:spacing w:val="-2"/>
        </w:rPr>
        <w:t xml:space="preserve">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1 des G.</w:t>
      </w:r>
      <w:r w:rsidR="0004250A" w:rsidRPr="009118AB">
        <w:rPr>
          <w:rFonts w:ascii="Times New Roman Italique" w:hAnsi="Times New Roman Italique"/>
          <w:i/>
          <w:iCs/>
          <w:spacing w:val="-2"/>
        </w:rPr>
        <w:t> </w:t>
      </w:r>
      <w:r w:rsidRPr="009118AB">
        <w:rPr>
          <w:rFonts w:ascii="Times New Roman Italique" w:hAnsi="Times New Roman Italique"/>
          <w:i/>
          <w:iCs/>
          <w:spacing w:val="-2"/>
        </w:rPr>
        <w:t>vom 15. März 1999 (B.S. vom 27. März 1999)</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1999</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selbst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2 des G. vom 17. Februar 2000 (B.S. vom 22. März 2000), und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7 des K.E. vom 20. Juli 2000 (II) (B.S. vom 30. August 2000)</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2002</w:t>
      </w:r>
      <w:r w:rsidR="003366D9" w:rsidRPr="009118AB">
        <w:rPr>
          <w:rFonts w:ascii="Times New Roman Italique" w:hAnsi="Times New Roman Italique"/>
          <w:i/>
          <w:iCs/>
          <w:spacing w:val="-2"/>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00972E9F" w:rsidRPr="009118AB">
        <w:rPr>
          <w:i/>
          <w:iCs/>
        </w:rPr>
        <w:t>3</w:t>
      </w:r>
      <w:r w:rsidRPr="009118AB">
        <w:rPr>
          <w:i/>
          <w:iCs/>
        </w:rPr>
        <w:t xml:space="preserve"> ersetzt durch </w:t>
      </w:r>
      <w:r w:rsidR="00D67EB8" w:rsidRPr="009118AB">
        <w:rPr>
          <w:i/>
          <w:iCs/>
        </w:rPr>
        <w:t>Art. </w:t>
      </w:r>
      <w:r w:rsidR="007C5435" w:rsidRPr="009118AB">
        <w:rPr>
          <w:i/>
          <w:iCs/>
        </w:rPr>
        <w:t>18 des G. vom 2. April 2021 (B.S. vom 13. April 2021)</w:t>
      </w:r>
      <w:r w:rsidR="00D67EB8" w:rsidRPr="009118AB">
        <w:rPr>
          <w:i/>
          <w:iCs/>
        </w:rPr>
        <w:t> - </w:t>
      </w:r>
      <w:r w:rsidR="007C5435" w:rsidRPr="009118AB">
        <w:rPr>
          <w:i/>
          <w:iCs/>
        </w:rPr>
        <w:t>wirksam mit 1. April 2021</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00972E9F" w:rsidRPr="009118AB">
        <w:rPr>
          <w:i/>
          <w:iCs/>
        </w:rPr>
        <w:t>4</w:t>
      </w:r>
      <w:r w:rsidRPr="009118AB">
        <w:rPr>
          <w:i/>
          <w:iCs/>
        </w:rPr>
        <w:t xml:space="preserve"> ersetzt durch </w:t>
      </w:r>
      <w:r w:rsidR="00D67EB8" w:rsidRPr="009118AB">
        <w:rPr>
          <w:i/>
          <w:iCs/>
        </w:rPr>
        <w:t>Art. </w:t>
      </w:r>
      <w:r w:rsidRPr="009118AB">
        <w:rPr>
          <w:i/>
          <w:iCs/>
        </w:rPr>
        <w:t>21 des G. vom 28. Dezember 1992 (B.S. vom 31. Dezember 1992)</w:t>
      </w:r>
      <w:r w:rsidR="00D67EB8" w:rsidRPr="009118AB">
        <w:rPr>
          <w:i/>
          <w:iCs/>
        </w:rPr>
        <w:t> - </w:t>
      </w:r>
      <w:r w:rsidRPr="009118AB">
        <w:rPr>
          <w:i/>
          <w:iCs/>
        </w:rPr>
        <w:t>in Kraft ab dem Zeitraum, der am 1. März 1993 beginnt</w:t>
      </w:r>
      <w:r w:rsidR="00D67EB8" w:rsidRPr="009118AB">
        <w:rPr>
          <w:i/>
          <w:iCs/>
        </w:rPr>
        <w:t> - </w:t>
      </w:r>
      <w:r w:rsidRPr="009118AB">
        <w:rPr>
          <w:i/>
          <w:iCs/>
        </w:rPr>
        <w:t xml:space="preserve">und abgeändert durch </w:t>
      </w:r>
      <w:r w:rsidR="00D67EB8" w:rsidRPr="009118AB">
        <w:rPr>
          <w:i/>
          <w:iCs/>
        </w:rPr>
        <w:t>Art. </w:t>
      </w:r>
      <w:r w:rsidRPr="009118AB">
        <w:rPr>
          <w:i/>
          <w:iCs/>
        </w:rPr>
        <w:t xml:space="preserve">2 </w:t>
      </w:r>
      <w:r w:rsidR="00D67EB8" w:rsidRPr="009118AB">
        <w:rPr>
          <w:i/>
          <w:iCs/>
        </w:rPr>
        <w:t>Nr. </w:t>
      </w:r>
      <w:r w:rsidRPr="009118AB">
        <w:rPr>
          <w:i/>
          <w:iCs/>
        </w:rPr>
        <w:t xml:space="preserve">25 des K.E. vom 20. Juli 2000 (II) </w:t>
      </w:r>
      <w:r w:rsidRPr="009118AB">
        <w:rPr>
          <w:rFonts w:ascii="Times New Roman Italique" w:hAnsi="Times New Roman Italique"/>
          <w:i/>
          <w:iCs/>
          <w:spacing w:val="-2"/>
        </w:rPr>
        <w:t>(B.S. vom 30. August 2000)</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2002</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selbst abgeändert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5 des K.E. vom 13. Juli 2001 (B.S. vom 11. August 2001)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2002</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2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42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 vom 15. März 1999 (B.S. vom</w:t>
      </w:r>
      <w:r w:rsidRPr="009118AB">
        <w:rPr>
          <w:i/>
          <w:iCs/>
        </w:rPr>
        <w:t xml:space="preserve"> 27. März 1999)</w:t>
      </w:r>
      <w:r w:rsidR="00D67EB8" w:rsidRPr="009118AB">
        <w:rPr>
          <w:i/>
          <w:iCs/>
        </w:rPr>
        <w:t> - </w:t>
      </w:r>
      <w:r w:rsidRPr="009118AB">
        <w:rPr>
          <w:i/>
          <w:iCs/>
        </w:rPr>
        <w:t>anwendbar ab dem Steuerjahr 1999</w:t>
      </w:r>
      <w:r w:rsidR="00D67EB8" w:rsidRPr="009118AB">
        <w:rPr>
          <w:i/>
          <w:iCs/>
        </w:rPr>
        <w:t> - </w:t>
      </w:r>
      <w:r w:rsidR="00421A73" w:rsidRPr="009118AB">
        <w:rPr>
          <w:i/>
          <w:iCs/>
        </w:rPr>
        <w:t xml:space="preserve">und abgeändert durch </w:t>
      </w:r>
      <w:r w:rsidR="00D67EB8" w:rsidRPr="009118AB">
        <w:rPr>
          <w:i/>
          <w:iCs/>
        </w:rPr>
        <w:t>Art. </w:t>
      </w:r>
      <w:r w:rsidR="00421A73" w:rsidRPr="009118AB">
        <w:rPr>
          <w:i/>
          <w:iCs/>
        </w:rPr>
        <w:t>60 des G. vom 13. April 2019 (II) (B.S. vom 30. April 2019)</w:t>
      </w:r>
      <w:r w:rsidR="00D67EB8" w:rsidRPr="009118AB">
        <w:rPr>
          <w:i/>
          <w:iCs/>
        </w:rPr>
        <w:t> - </w:t>
      </w:r>
      <w:r w:rsidR="00421A73" w:rsidRPr="009118AB">
        <w:rPr>
          <w:i/>
          <w:iCs/>
        </w:rPr>
        <w:t>in Kraft am 1. Januar 2020</w:t>
      </w:r>
      <w:r w:rsidR="00FD68E8" w:rsidRPr="009118AB">
        <w:rPr>
          <w:i/>
          <w:iCs/>
        </w:rPr>
        <w:t> -]</w:t>
      </w:r>
    </w:p>
    <w:p w14:paraId="2889C00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9907D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4CF8705" w14:textId="57B8525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415</w:t>
      </w:r>
      <w:r w:rsidR="00D67EB8" w:rsidRPr="009118AB">
        <w:t> - </w:t>
      </w:r>
      <w:r w:rsidRPr="009118AB">
        <w:t>[</w:t>
      </w:r>
      <w:r w:rsidR="00D67EB8" w:rsidRPr="009118AB">
        <w:t>§ </w:t>
      </w:r>
      <w:r w:rsidRPr="009118AB">
        <w:t>1]</w:t>
      </w:r>
      <w:r w:rsidR="00D67EB8" w:rsidRPr="009118AB">
        <w:t> - </w:t>
      </w:r>
      <w:r w:rsidRPr="009118AB">
        <w:t xml:space="preserve">In Abweichung von Artikel 414 wird der Verzugszins ab dem 1. Juli </w:t>
      </w:r>
      <w:r w:rsidR="00A4441F" w:rsidRPr="009118AB">
        <w:t>[des Jahres nach dem Steuerjahr wie in Artikel 359 Absatz 1 des Einkommen</w:t>
      </w:r>
      <w:r w:rsidR="00A4441F" w:rsidRPr="009118AB">
        <w:softHyphen/>
        <w:t>steuergesetzbuches 1992 erwähnt]</w:t>
      </w:r>
      <w:r w:rsidRPr="009118AB">
        <w:t xml:space="preserve"> auf alle Summen mit Ausnahme der Immobiliensteuer-, Mobiliensteuer- und Berufssteuervorabzüge geschuldet, die in Heberollen eingetragen sind, die nach dem 30. Juni desselben Jahres für vollstreckbar erklärt wurden, außer wenn es um folgende Steuern geht:</w:t>
      </w:r>
    </w:p>
    <w:p w14:paraId="387BAD9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BEA34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1. Steuern, die nach diesem letzten Datum innerhalb der in Artikel 353 festgelegten Frist von sechs Monaten festgelegt werden,</w:t>
      </w:r>
    </w:p>
    <w:p w14:paraId="5B8C15C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2BFB03" w14:textId="5510800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2. Steuern, die in neuen Steuern oder Ersatzsteuern enthalten sind, die in Anwendung der Artikel 355 oder 356 als Ersatz von Steuern festgelegt werden, die in einer Heberolle eingetragen waren, die spätestens am 30. Juni </w:t>
      </w:r>
      <w:r w:rsidR="00B170EF" w:rsidRPr="009118AB">
        <w:t>[des Jahres nach dem Steuerjahr wie in Artikel 359 Absatz 1 des Einkommen</w:t>
      </w:r>
      <w:r w:rsidR="00B170EF" w:rsidRPr="009118AB">
        <w:softHyphen/>
        <w:t>steuergesetzbuches 1992 erwähnt]</w:t>
      </w:r>
      <w:r w:rsidRPr="009118AB">
        <w:t>, für das die Steuer geschuldet wird, für vollstreckbar erklärt wurde,</w:t>
      </w:r>
    </w:p>
    <w:p w14:paraId="3A4970C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77DE6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3. Steuern, die nicht Gegenstand eines Steuerzuschlags waren oder die Gegenstand eines Steuerzuschlags waren, dessen Prozentsatz, der gemäß der in Ausführung von Artikel 444 Absatz 1 festgelegten Tabelle anwendbar ist, unter fünfzig liegt,</w:t>
      </w:r>
    </w:p>
    <w:p w14:paraId="479BEF0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42DE909" w14:textId="73964A3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4. Steuern, die nach Ablauf des zwölften Monats festgelegt werden:</w:t>
      </w:r>
    </w:p>
    <w:p w14:paraId="3051E40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0A5874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nach dem Datum des Abschlusses des Geschäftsjahres zu Lasten von Gesellschaften, deren Buchhaltung nach dem 30. Juni des Steuerjahres abgeschlossen wird,</w:t>
      </w:r>
    </w:p>
    <w:p w14:paraId="7943AB7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16246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nach dem letzten Tag des Zeitraums, auf den die Ergebnisse sich beziehen, zu Lasten aufgelöster Gesellschaften, wenn der vorerwähnte letzte Tag nach dem 30. Juni des Steuerjahres liegt.</w:t>
      </w:r>
    </w:p>
    <w:p w14:paraId="507EC54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A6404EC" w14:textId="19524D5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In den in Absatz 1 </w:t>
      </w:r>
      <w:r w:rsidR="00D67EB8" w:rsidRPr="009118AB">
        <w:t>Nr. </w:t>
      </w:r>
      <w:r w:rsidRPr="009118AB">
        <w:t>4 erwähnten Fällen wird der Verzugszins jedoch ab dem dreizehnten Monat nach dem Datum des Abschlusses des Geschäftsjahres oder</w:t>
      </w:r>
      <w:r w:rsidR="00D67EB8" w:rsidRPr="009118AB">
        <w:t> - </w:t>
      </w:r>
      <w:r w:rsidRPr="009118AB">
        <w:t>für aufgelöste Gesellschaften</w:t>
      </w:r>
      <w:r w:rsidR="00D67EB8" w:rsidRPr="009118AB">
        <w:t> - </w:t>
      </w:r>
      <w:r w:rsidRPr="009118AB">
        <w:t>ab dem dreizehnten Monat nach dem letzten Tag des Zeitraums, auf den die Ergebnisse sich beziehen, geschuldet.</w:t>
      </w:r>
    </w:p>
    <w:p w14:paraId="5A1DA56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6042AE" w14:textId="72449F9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118AB">
        <w:rPr>
          <w:spacing w:val="-2"/>
        </w:rPr>
        <w:tab/>
        <w:t>[</w:t>
      </w:r>
      <w:r w:rsidR="00D67EB8" w:rsidRPr="009118AB">
        <w:rPr>
          <w:spacing w:val="-2"/>
        </w:rPr>
        <w:t>§ </w:t>
      </w:r>
      <w:r w:rsidRPr="009118AB">
        <w:rPr>
          <w:spacing w:val="-2"/>
        </w:rPr>
        <w:t>2</w:t>
      </w:r>
      <w:r w:rsidR="00D67EB8" w:rsidRPr="009118AB">
        <w:rPr>
          <w:spacing w:val="-2"/>
        </w:rPr>
        <w:t> - </w:t>
      </w:r>
      <w:r w:rsidRPr="009118AB">
        <w:rPr>
          <w:spacing w:val="-2"/>
        </w:rPr>
        <w:t>Wird ein Steuerzuschlag oder eine administrative Geldbuße wie in den Artikeln 444 und 445 erwähnt zusammen mit dem Vorabzug, auf den der Zuschlag oder die Geldbuße sich bezieht, in eine Heberolle eingetragen, wird der Verzugszins in Bezug auf diesen Zuschlag oder diese Geldbuße ab dem Ablauf der in Artikel 412 erwähnten Zahlungsfrist geschuldet.]</w:t>
      </w:r>
    </w:p>
    <w:p w14:paraId="0DEADF4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683BCD9" w14:textId="7CE56A0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415 </w:t>
      </w:r>
      <w:r w:rsidR="00D67EB8" w:rsidRPr="009118AB">
        <w:rPr>
          <w:i/>
          <w:iCs/>
        </w:rPr>
        <w:t>§ </w:t>
      </w:r>
      <w:r w:rsidRPr="009118AB">
        <w:rPr>
          <w:i/>
          <w:iCs/>
        </w:rPr>
        <w:t xml:space="preserve">1 nummeriert durch </w:t>
      </w:r>
      <w:r w:rsidR="00D67EB8" w:rsidRPr="009118AB">
        <w:rPr>
          <w:i/>
          <w:iCs/>
        </w:rPr>
        <w:t>Art. </w:t>
      </w:r>
      <w:r w:rsidRPr="009118AB">
        <w:rPr>
          <w:i/>
          <w:iCs/>
        </w:rPr>
        <w:t>22 des G. vom 28. Dezember 1992 (B.S. vom 31. Dezember 1992)</w:t>
      </w:r>
      <w:r w:rsidR="00D67EB8" w:rsidRPr="009118AB">
        <w:rPr>
          <w:i/>
          <w:iCs/>
        </w:rPr>
        <w:t> - </w:t>
      </w:r>
      <w:r w:rsidRPr="009118AB">
        <w:rPr>
          <w:i/>
          <w:iCs/>
        </w:rPr>
        <w:t>anwendbar auf die Heberollen, die nach dem 1. März 1993 für vollstreckbar erklärt wurden</w:t>
      </w:r>
      <w:r w:rsidR="003366D9" w:rsidRPr="009118AB">
        <w:rPr>
          <w:i/>
          <w:iCs/>
        </w:rPr>
        <w:t> -;</w:t>
      </w:r>
      <w:r w:rsidR="00A4441F" w:rsidRPr="009118AB">
        <w:rPr>
          <w:i/>
          <w:iCs/>
        </w:rPr>
        <w:t xml:space="preserve"> </w:t>
      </w:r>
      <w:r w:rsidR="00D67EB8" w:rsidRPr="009118AB">
        <w:rPr>
          <w:i/>
          <w:iCs/>
        </w:rPr>
        <w:t>§ </w:t>
      </w:r>
      <w:r w:rsidR="00A4441F" w:rsidRPr="009118AB">
        <w:rPr>
          <w:i/>
          <w:iCs/>
        </w:rPr>
        <w:t xml:space="preserve">1 </w:t>
      </w:r>
      <w:r w:rsidR="00D67EB8" w:rsidRPr="009118AB">
        <w:rPr>
          <w:i/>
          <w:iCs/>
        </w:rPr>
        <w:t>Abs. </w:t>
      </w:r>
      <w:r w:rsidR="00A4441F" w:rsidRPr="009118AB">
        <w:rPr>
          <w:i/>
          <w:iCs/>
        </w:rPr>
        <w:t xml:space="preserve">1 einleitende Bestimmung abgeändert durch </w:t>
      </w:r>
      <w:r w:rsidR="00D67EB8" w:rsidRPr="009118AB">
        <w:rPr>
          <w:i/>
          <w:iCs/>
        </w:rPr>
        <w:t>Art. </w:t>
      </w:r>
      <w:r w:rsidR="00A4441F" w:rsidRPr="009118AB">
        <w:rPr>
          <w:i/>
          <w:iCs/>
        </w:rPr>
        <w:t>38</w:t>
      </w:r>
      <w:r w:rsidR="00A4441F" w:rsidRPr="009118AB">
        <w:rPr>
          <w:i/>
        </w:rPr>
        <w:t xml:space="preserve"> des G. vom 2. Mai 2019 (III) (B.S. vom 1</w:t>
      </w:r>
      <w:r w:rsidR="009B37FC" w:rsidRPr="009118AB">
        <w:rPr>
          <w:i/>
        </w:rPr>
        <w:t>5</w:t>
      </w:r>
      <w:r w:rsidR="00A4441F" w:rsidRPr="009118AB">
        <w:rPr>
          <w:i/>
        </w:rPr>
        <w:t>. Mai 2019);</w:t>
      </w:r>
      <w:r w:rsidR="00A4441F" w:rsidRPr="009118AB">
        <w:rPr>
          <w:i/>
          <w:iCs/>
        </w:rPr>
        <w:t xml:space="preserve"> </w:t>
      </w:r>
      <w:r w:rsidR="00D67EB8" w:rsidRPr="009118AB">
        <w:rPr>
          <w:i/>
          <w:iCs/>
        </w:rPr>
        <w:t>§ </w:t>
      </w:r>
      <w:r w:rsidR="00B170EF" w:rsidRPr="009118AB">
        <w:rPr>
          <w:i/>
          <w:iCs/>
        </w:rPr>
        <w:t xml:space="preserve">1 </w:t>
      </w:r>
      <w:r w:rsidR="00D67EB8" w:rsidRPr="009118AB">
        <w:rPr>
          <w:i/>
          <w:iCs/>
        </w:rPr>
        <w:t>Abs. </w:t>
      </w:r>
      <w:r w:rsidR="00B170EF" w:rsidRPr="009118AB">
        <w:rPr>
          <w:i/>
          <w:iCs/>
        </w:rPr>
        <w:t xml:space="preserve">1 </w:t>
      </w:r>
      <w:r w:rsidR="00D67EB8" w:rsidRPr="009118AB">
        <w:rPr>
          <w:i/>
          <w:iCs/>
        </w:rPr>
        <w:t>Nr. </w:t>
      </w:r>
      <w:r w:rsidR="00B170EF" w:rsidRPr="009118AB">
        <w:rPr>
          <w:i/>
          <w:iCs/>
        </w:rPr>
        <w:t xml:space="preserve">2 abgeändert durch </w:t>
      </w:r>
      <w:r w:rsidR="00D67EB8" w:rsidRPr="009118AB">
        <w:rPr>
          <w:i/>
          <w:iCs/>
        </w:rPr>
        <w:t>Art. </w:t>
      </w:r>
      <w:r w:rsidR="00B170EF" w:rsidRPr="009118AB">
        <w:rPr>
          <w:i/>
          <w:iCs/>
        </w:rPr>
        <w:t>38</w:t>
      </w:r>
      <w:r w:rsidR="00B170EF" w:rsidRPr="009118AB">
        <w:rPr>
          <w:i/>
        </w:rPr>
        <w:t xml:space="preserve"> des G. vom 2. Mai 2019 (III) (B.S. vom 15. Mai 2019);</w:t>
      </w:r>
      <w:r w:rsidR="00B170EF" w:rsidRPr="009118AB">
        <w:rPr>
          <w:i/>
          <w:iCs/>
        </w:rPr>
        <w:t xml:space="preserve"> </w:t>
      </w:r>
      <w:r w:rsidR="00D67EB8" w:rsidRPr="009118AB">
        <w:rPr>
          <w:i/>
          <w:iCs/>
        </w:rPr>
        <w:t>§ </w:t>
      </w:r>
      <w:r w:rsidR="00A4441F" w:rsidRPr="009118AB">
        <w:rPr>
          <w:i/>
          <w:iCs/>
        </w:rPr>
        <w:t xml:space="preserve">2 eingefügt durch </w:t>
      </w:r>
      <w:r w:rsidR="00D67EB8" w:rsidRPr="009118AB">
        <w:rPr>
          <w:i/>
          <w:iCs/>
        </w:rPr>
        <w:t>Art. </w:t>
      </w:r>
      <w:r w:rsidR="00A4441F" w:rsidRPr="009118AB">
        <w:rPr>
          <w:i/>
          <w:iCs/>
        </w:rPr>
        <w:t>22 des G. vom 28. Dezember 1992 (B.S. vom 31. Dezember 1992)</w:t>
      </w:r>
      <w:r w:rsidR="00D67EB8" w:rsidRPr="009118AB">
        <w:rPr>
          <w:i/>
          <w:iCs/>
        </w:rPr>
        <w:t> - </w:t>
      </w:r>
      <w:r w:rsidR="00A4441F" w:rsidRPr="009118AB">
        <w:rPr>
          <w:i/>
          <w:iCs/>
        </w:rPr>
        <w:t>anwendbar auf die Heberollen, die nach dem 1. März 1993 für vollstreckbar erklärt wurden</w:t>
      </w:r>
      <w:r w:rsidR="00FD68E8" w:rsidRPr="009118AB">
        <w:rPr>
          <w:i/>
          <w:iCs/>
        </w:rPr>
        <w:t> -]</w:t>
      </w:r>
    </w:p>
    <w:p w14:paraId="06F08A75" w14:textId="77777777" w:rsidR="006429CA" w:rsidRPr="009118AB" w:rsidRDefault="006429CA"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4FC51C4" w14:textId="77777777" w:rsidR="00C93D94" w:rsidRPr="009118AB"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D9ACEF" w14:textId="2D98D965" w:rsidR="00C93D94" w:rsidRPr="009118AB"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w:t>
      </w:r>
      <w:r w:rsidR="00D67EB8" w:rsidRPr="009118AB">
        <w:rPr>
          <w:b/>
          <w:bCs/>
        </w:rPr>
        <w:t>Art. </w:t>
      </w:r>
      <w:r w:rsidRPr="009118AB">
        <w:rPr>
          <w:b/>
          <w:bCs/>
        </w:rPr>
        <w:t>415/1</w:t>
      </w:r>
      <w:r w:rsidR="00D67EB8" w:rsidRPr="009118AB">
        <w:t> - </w:t>
      </w:r>
      <w:r w:rsidRPr="009118AB">
        <w:t xml:space="preserve">Wenn in Anwendung von Artikel 375/1 ein Nachlass gewährt wird und der Betrag der beruflichen Verluste, der in Anwendung von Artikel 78 </w:t>
      </w:r>
      <w:r w:rsidR="00D67EB8" w:rsidRPr="009118AB">
        <w:t>§ </w:t>
      </w:r>
      <w:r w:rsidRPr="009118AB">
        <w:t xml:space="preserve">2 oder Artikel 206 </w:t>
      </w:r>
      <w:r w:rsidR="00D67EB8" w:rsidRPr="009118AB">
        <w:t>§ </w:t>
      </w:r>
      <w:r w:rsidRPr="009118AB">
        <w:t xml:space="preserve">4 für den rückwirkenden Verlustabzug in Betracht kommt, geändert wird, wird in Abweichung von den Artikeln 414 und 415 ab dem ersten Tag des Monats nach dem Monat, in dem der Nachlass gewährt worden ist, auf den Teil der Steuer, der mit der Änderung des Betrags der abzuziehenden beruflichen Verluste verbunden ist, ein gemäß Artikel 414 </w:t>
      </w:r>
      <w:r w:rsidR="00D67EB8" w:rsidRPr="009118AB">
        <w:t>§ </w:t>
      </w:r>
      <w:r w:rsidRPr="009118AB">
        <w:t>1 berechneter Verzugszins geschuldet.]</w:t>
      </w:r>
    </w:p>
    <w:p w14:paraId="2FCC39C5" w14:textId="77777777" w:rsidR="00C93D94" w:rsidRPr="009118AB"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8D1189A" w14:textId="0DA9E1E4" w:rsidR="00C93D94" w:rsidRPr="009118AB"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118AB">
        <w:rPr>
          <w:i/>
          <w:iCs/>
        </w:rPr>
        <w:t>[</w:t>
      </w:r>
      <w:r w:rsidR="00D67EB8" w:rsidRPr="009118AB">
        <w:rPr>
          <w:i/>
          <w:iCs/>
        </w:rPr>
        <w:t>Art. </w:t>
      </w:r>
      <w:r w:rsidRPr="009118AB">
        <w:rPr>
          <w:i/>
          <w:iCs/>
        </w:rPr>
        <w:t xml:space="preserve">415/1 eingefügt durch </w:t>
      </w:r>
      <w:r w:rsidR="00D67EB8" w:rsidRPr="009118AB">
        <w:rPr>
          <w:i/>
          <w:iCs/>
        </w:rPr>
        <w:t>Art. </w:t>
      </w:r>
      <w:r w:rsidRPr="009118AB">
        <w:rPr>
          <w:i/>
          <w:iCs/>
        </w:rPr>
        <w:t>104</w:t>
      </w:r>
      <w:r w:rsidRPr="009118AB">
        <w:rPr>
          <w:i/>
          <w:iCs/>
          <w:spacing w:val="-2"/>
        </w:rPr>
        <w:t xml:space="preserve"> des G. vom 11. Februar </w:t>
      </w:r>
      <w:r w:rsidR="00B64F05" w:rsidRPr="009118AB">
        <w:rPr>
          <w:i/>
          <w:iCs/>
          <w:spacing w:val="-2"/>
        </w:rPr>
        <w:t>2019 (B.S. vom 22. März 2020)</w:t>
      </w:r>
      <w:r w:rsidR="00D67EB8" w:rsidRPr="009118AB">
        <w:rPr>
          <w:i/>
          <w:iCs/>
          <w:spacing w:val="-2"/>
        </w:rPr>
        <w:t> - </w:t>
      </w:r>
      <w:r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118AB">
        <w:rPr>
          <w:i/>
          <w:iCs/>
          <w:spacing w:val="-2"/>
        </w:rPr>
        <w:t> -]</w:t>
      </w:r>
    </w:p>
    <w:p w14:paraId="18A9A437" w14:textId="77777777" w:rsidR="00C93D94" w:rsidRPr="009118AB"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3F0D8468" w14:textId="77777777" w:rsidR="006429CA" w:rsidRPr="009118AB" w:rsidRDefault="006429CA"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49D6CFE" w14:textId="5EE1CFFE" w:rsidR="0031458F" w:rsidRPr="009118AB" w:rsidRDefault="0031458F" w:rsidP="006429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416</w:t>
      </w:r>
      <w:r w:rsidR="00D67EB8" w:rsidRPr="009118AB">
        <w:t> - </w:t>
      </w:r>
      <w:r w:rsidRPr="009118AB">
        <w:t>In Abweichung von Artikel 414 und unbeschadet der Anwendung der Artikel 444 und 445 wird auf den Teil der Steuer, der sich proportional [auf Mehrwerte, die gemäß Artikel 44</w:t>
      </w:r>
      <w:r w:rsidRPr="009118AB">
        <w:rPr>
          <w:i/>
          <w:iCs/>
        </w:rPr>
        <w:t>bis</w:t>
      </w:r>
      <w:r w:rsidRPr="009118AB">
        <w:t xml:space="preserve"> </w:t>
      </w:r>
      <w:r w:rsidR="00D67EB8" w:rsidRPr="009118AB">
        <w:t>§ </w:t>
      </w:r>
      <w:r w:rsidRPr="009118AB">
        <w:t>5, 44</w:t>
      </w:r>
      <w:r w:rsidRPr="009118AB">
        <w:rPr>
          <w:i/>
          <w:iCs/>
        </w:rPr>
        <w:t>ter</w:t>
      </w:r>
      <w:r w:rsidRPr="009118AB">
        <w:t xml:space="preserve"> </w:t>
      </w:r>
      <w:r w:rsidR="00D67EB8" w:rsidRPr="009118AB">
        <w:t>§ </w:t>
      </w:r>
      <w:r w:rsidRPr="009118AB">
        <w:t xml:space="preserve">5 oder 47 </w:t>
      </w:r>
      <w:r w:rsidR="00D67EB8" w:rsidRPr="009118AB">
        <w:t>§ </w:t>
      </w:r>
      <w:r w:rsidRPr="009118AB">
        <w:t xml:space="preserve">6 </w:t>
      </w:r>
      <w:r w:rsidR="006429CA" w:rsidRPr="009118AB">
        <w:t xml:space="preserve">[des vorliegenden Gesetzbuches oder Artikel 122 </w:t>
      </w:r>
      <w:r w:rsidR="00D67EB8" w:rsidRPr="009118AB">
        <w:t>§ </w:t>
      </w:r>
      <w:r w:rsidR="006429CA" w:rsidRPr="009118AB">
        <w:t xml:space="preserve">6 des Programmgesetzes vom 2. August 2002] </w:t>
      </w:r>
      <w:r w:rsidRPr="009118AB">
        <w:t>steuerpflichtig sind][, auf die Investitions</w:t>
      </w:r>
      <w:r w:rsidRPr="009118AB">
        <w:softHyphen/>
        <w:t>rücklage, die gemäß Artikel 194</w:t>
      </w:r>
      <w:r w:rsidRPr="009118AB">
        <w:rPr>
          <w:i/>
        </w:rPr>
        <w:t>quater</w:t>
      </w:r>
      <w:r w:rsidRPr="009118AB">
        <w:t xml:space="preserve"> </w:t>
      </w:r>
      <w:r w:rsidR="00D67EB8" w:rsidRPr="009118AB">
        <w:t>§ </w:t>
      </w:r>
      <w:r w:rsidRPr="009118AB">
        <w:t>4 steuerpflichtig wird, oder auf Beträge, die gemäß Artikel 194</w:t>
      </w:r>
      <w:r w:rsidRPr="009118AB">
        <w:rPr>
          <w:i/>
        </w:rPr>
        <w:t>quinquies</w:t>
      </w:r>
      <w:r w:rsidRPr="009118AB">
        <w:t xml:space="preserve"> </w:t>
      </w:r>
      <w:r w:rsidR="00D67EB8" w:rsidRPr="009118AB">
        <w:t>§ </w:t>
      </w:r>
      <w:r w:rsidRPr="009118AB">
        <w:t>3 steuerpflichtig werden,] bezieht, ein Verzugszins geschuldet, der gemäß Artikel 414 ab dem 1. Januar des Jahres berechnet wird, dessen Jahreszahl das Steuerjahr bestimmt, für das die Steuerbefreiung gewährt wurde.</w:t>
      </w:r>
    </w:p>
    <w:p w14:paraId="266AEC45" w14:textId="77777777" w:rsidR="0031458F" w:rsidRPr="009118AB" w:rsidRDefault="003145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F6DC0B" w14:textId="376AA51D" w:rsidR="006429CA" w:rsidRPr="009118AB" w:rsidRDefault="006429CA"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[In Abweichung von Artikel 414 und unbeschadet der Anwendung der Artikel 444 und 445 wird auf den Teil der Steuer, der sich proportional auf die in den Artikeln 44</w:t>
      </w:r>
      <w:r w:rsidRPr="009118AB">
        <w:rPr>
          <w:i/>
        </w:rPr>
        <w:t>bis</w:t>
      </w:r>
      <w:r w:rsidRPr="009118AB">
        <w:t>, 44</w:t>
      </w:r>
      <w:r w:rsidRPr="009118AB">
        <w:rPr>
          <w:i/>
        </w:rPr>
        <w:t>ter</w:t>
      </w:r>
      <w:r w:rsidRPr="009118AB">
        <w:t xml:space="preserve"> und 47 des vorliegenden Gesetzbuches und in Artikel 122 </w:t>
      </w:r>
      <w:r w:rsidR="00D67EB8" w:rsidRPr="009118AB">
        <w:t>§ </w:t>
      </w:r>
      <w:r w:rsidRPr="009118AB">
        <w:t>2 des Programmgesetzes vom 2. August 2002 erwähnten Mehrwerte bezieht, die gemäß Artikel 190 Absatz 4 des vorliegenden Gesetzbuches steuerpflichtig werden, wenn sie noch nicht in Höhe eines Betrags und auf eine Weise wie in den Artikeln 44</w:t>
      </w:r>
      <w:r w:rsidRPr="009118AB">
        <w:rPr>
          <w:i/>
        </w:rPr>
        <w:t>bis</w:t>
      </w:r>
      <w:r w:rsidRPr="009118AB">
        <w:t>, 44</w:t>
      </w:r>
      <w:r w:rsidRPr="009118AB">
        <w:rPr>
          <w:i/>
        </w:rPr>
        <w:t>ter</w:t>
      </w:r>
      <w:r w:rsidRPr="009118AB">
        <w:t xml:space="preserve"> und 47 des vorliegenden Gesetzbuches beziehungsweise in Artikel 122 §</w:t>
      </w:r>
      <w:r w:rsidR="00D67EB8" w:rsidRPr="009118AB">
        <w:t>§ </w:t>
      </w:r>
      <w:r w:rsidRPr="009118AB">
        <w:t>2 bis 4 des Programmgesetzes vom 2. August 2002 erwähnt wieder angelegt worden sind, ein Verzugszins geschuldet, der gemäß Artikel 414 des vorliegenden Gesetzbuches ab dem 1. Januar des Jahres berechnet wird, dessen Jahreszahl das Steuerjahr bestimmt, für das die Steuerbefreiung gewährt wurde.]</w:t>
      </w:r>
    </w:p>
    <w:p w14:paraId="0F648F0E" w14:textId="77777777" w:rsidR="006429CA" w:rsidRPr="009118AB" w:rsidRDefault="006429CA"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FD0C5B5" w14:textId="552264C4" w:rsidR="0031458F" w:rsidRPr="009118AB" w:rsidRDefault="003145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[In Abweichung von Artikel 414 und unbeschadet der Anwendung der Artikel 444 und 445 wird auf den Teil der Steuer, der sich proportional auf vorgesehene Summen bezieht, die gemäß Artikel 194</w:t>
      </w:r>
      <w:r w:rsidRPr="009118AB">
        <w:rPr>
          <w:i/>
        </w:rPr>
        <w:t>ter</w:t>
      </w:r>
      <w:r w:rsidRPr="009118AB">
        <w:t xml:space="preserve"> </w:t>
      </w:r>
      <w:r w:rsidR="00D67EB8" w:rsidRPr="009118AB">
        <w:t>§ </w:t>
      </w:r>
      <w:r w:rsidRPr="009118AB">
        <w:t>7 Absatz 2 bis 4 steuerpflichtig werden, ein Verzugszins geschuldet, der gemäß Artikel 414 ab dem 30. Juni des Jahres berechnet wird, dessen Jahreszahl das Steuerjahr bestimmt, für das die Steuerbefreiung erstmals beantragt worden ist.]</w:t>
      </w:r>
    </w:p>
    <w:p w14:paraId="273D7E62" w14:textId="77777777" w:rsidR="0031458F" w:rsidRPr="009118AB" w:rsidRDefault="003145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D262FF8" w14:textId="03EEDABE" w:rsidR="0031458F" w:rsidRPr="009118AB" w:rsidRDefault="003145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iCs/>
        </w:rPr>
        <w:t>[</w:t>
      </w:r>
      <w:r w:rsidR="00D67EB8" w:rsidRPr="009118AB">
        <w:rPr>
          <w:i/>
          <w:iCs/>
        </w:rPr>
        <w:t>Art. </w:t>
      </w:r>
      <w:r w:rsidRPr="009118AB">
        <w:rPr>
          <w:i/>
          <w:iCs/>
        </w:rPr>
        <w:t xml:space="preserve">416 </w:t>
      </w:r>
      <w:r w:rsidR="00D67EB8" w:rsidRPr="009118AB">
        <w:rPr>
          <w:i/>
          <w:iCs/>
        </w:rPr>
        <w:t>Abs. </w:t>
      </w:r>
      <w:r w:rsidRPr="009118AB">
        <w:rPr>
          <w:i/>
          <w:iCs/>
        </w:rPr>
        <w:t xml:space="preserve">1 abgeändert durch </w:t>
      </w:r>
      <w:r w:rsidR="00D67EB8" w:rsidRPr="009118AB">
        <w:rPr>
          <w:i/>
          <w:iCs/>
        </w:rPr>
        <w:t>Art. </w:t>
      </w:r>
      <w:r w:rsidRPr="009118AB">
        <w:rPr>
          <w:i/>
          <w:iCs/>
        </w:rPr>
        <w:t>18 des G. vom 24. Dezember 2002 (II) (B.S. vom 31. Dezember 2002)</w:t>
      </w:r>
      <w:r w:rsidR="00D67EB8" w:rsidRPr="009118AB">
        <w:rPr>
          <w:i/>
          <w:iCs/>
        </w:rPr>
        <w:t> - </w:t>
      </w:r>
      <w:r w:rsidRPr="009118AB">
        <w:rPr>
          <w:i/>
          <w:iCs/>
        </w:rPr>
        <w:t>in Kraft ab dem Steuerjahr 2004</w:t>
      </w:r>
      <w:r w:rsidR="00FD68E8" w:rsidRPr="009118AB">
        <w:rPr>
          <w:i/>
          <w:iCs/>
        </w:rPr>
        <w:t> -,</w:t>
      </w:r>
      <w:r w:rsidRPr="009118AB">
        <w:rPr>
          <w:i/>
          <w:iCs/>
        </w:rPr>
        <w:t xml:space="preserve"> </w:t>
      </w:r>
      <w:r w:rsidR="00D67EB8" w:rsidRPr="009118AB">
        <w:rPr>
          <w:i/>
          <w:iCs/>
        </w:rPr>
        <w:t>Art. </w:t>
      </w:r>
      <w:r w:rsidRPr="009118AB">
        <w:rPr>
          <w:i/>
          <w:iCs/>
        </w:rPr>
        <w:t>7 des G. vom 14. Januar 2003 (B.S. vom 5. Februar 2003)</w:t>
      </w:r>
      <w:r w:rsidR="00D67EB8" w:rsidRPr="009118AB">
        <w:rPr>
          <w:i/>
          <w:iCs/>
        </w:rPr>
        <w:t> - </w:t>
      </w:r>
      <w:r w:rsidRPr="009118AB">
        <w:rPr>
          <w:i/>
          <w:iCs/>
        </w:rPr>
        <w:t>anwendbar auf Mehrwerte, die ab dem 1. Januar 2000 verwirklicht werden, und insofern sich das Datum der Verwirklichung frühestens auf den Besteuerungszeitraum bezieht, der an das Steuerjahr 2001 gebunden ist</w:t>
      </w:r>
      <w:r w:rsidR="00FD68E8" w:rsidRPr="009118AB">
        <w:rPr>
          <w:i/>
          <w:iCs/>
        </w:rPr>
        <w:t> -,</w:t>
      </w:r>
      <w:r w:rsidRPr="009118AB">
        <w:rPr>
          <w:i/>
          <w:iCs/>
        </w:rPr>
        <w:t xml:space="preserve"> </w:t>
      </w:r>
      <w:r w:rsidR="00D67EB8" w:rsidRPr="009118AB">
        <w:rPr>
          <w:i/>
          <w:iCs/>
        </w:rPr>
        <w:t>Art. </w:t>
      </w:r>
      <w:r w:rsidRPr="009118AB">
        <w:rPr>
          <w:i/>
          <w:iCs/>
        </w:rPr>
        <w:t>113 des G. (IV) vom 25. April 2007 (I) (B.S. vom 8. Mai 2007)</w:t>
      </w:r>
      <w:r w:rsidR="00D67EB8" w:rsidRPr="009118AB">
        <w:rPr>
          <w:i/>
          <w:iCs/>
        </w:rPr>
        <w:t> - </w:t>
      </w:r>
      <w:r w:rsidRPr="009118AB">
        <w:rPr>
          <w:i/>
          <w:iCs/>
        </w:rPr>
        <w:t>anwendbar auf Mehrwerte, die ab dem 1. Januar 2007 verwirklicht werden, und insofern sich das Datum der Verwirklichung frühestens auf den Besteuerungszeitraum bezieht, der an das Steuerjahr 2008 gebunden ist</w:t>
      </w:r>
      <w:r w:rsidR="00FD68E8" w:rsidRPr="009118AB">
        <w:rPr>
          <w:i/>
          <w:iCs/>
        </w:rPr>
        <w:t> -,</w:t>
      </w:r>
      <w:r w:rsidRPr="009118AB">
        <w:rPr>
          <w:i/>
          <w:iCs/>
        </w:rPr>
        <w:t xml:space="preserve"> </w:t>
      </w:r>
      <w:r w:rsidR="00D67EB8" w:rsidRPr="009118AB">
        <w:rPr>
          <w:i/>
          <w:iCs/>
        </w:rPr>
        <w:t>Art. </w:t>
      </w:r>
      <w:r w:rsidRPr="009118AB">
        <w:rPr>
          <w:i/>
          <w:iCs/>
        </w:rPr>
        <w:t>15</w:t>
      </w:r>
      <w:r w:rsidRPr="009118AB">
        <w:rPr>
          <w:i/>
        </w:rPr>
        <w:t xml:space="preserve"> des G. vom 9. Februar 2017 (B.S. vom 20. Februar 2017)</w:t>
      </w:r>
      <w:r w:rsidR="00D67EB8" w:rsidRPr="009118AB">
        <w:rPr>
          <w:i/>
        </w:rPr>
        <w:t> - </w:t>
      </w:r>
      <w:r w:rsidRPr="009118AB">
        <w:rPr>
          <w:i/>
        </w:rPr>
        <w:t>wirksam mit 1. Juli 2016</w:t>
      </w:r>
      <w:r w:rsidR="00D67EB8" w:rsidRPr="009118AB">
        <w:rPr>
          <w:i/>
        </w:rPr>
        <w:t> - </w:t>
      </w:r>
      <w:r w:rsidR="006429CA" w:rsidRPr="009118AB">
        <w:rPr>
          <w:i/>
        </w:rPr>
        <w:t xml:space="preserve">und </w:t>
      </w:r>
      <w:r w:rsidR="00D67EB8" w:rsidRPr="009118AB">
        <w:rPr>
          <w:i/>
        </w:rPr>
        <w:t>Art. </w:t>
      </w:r>
      <w:r w:rsidR="006429CA" w:rsidRPr="009118AB">
        <w:rPr>
          <w:i/>
        </w:rPr>
        <w:t xml:space="preserve">78 </w:t>
      </w:r>
      <w:r w:rsidR="00D67EB8" w:rsidRPr="009118AB">
        <w:rPr>
          <w:i/>
        </w:rPr>
        <w:t>Nr. </w:t>
      </w:r>
      <w:r w:rsidR="006429CA" w:rsidRPr="009118AB">
        <w:rPr>
          <w:i/>
        </w:rPr>
        <w:t>1</w:t>
      </w:r>
      <w:r w:rsidR="006429CA" w:rsidRPr="009118AB">
        <w:rPr>
          <w:i/>
          <w:iCs/>
        </w:rPr>
        <w:t xml:space="preserve"> des G. vom 25. Dezember 2017 (III) (B.S. vom 29. Dezember 2017)</w:t>
      </w:r>
      <w:r w:rsidR="00D67EB8" w:rsidRPr="009118AB">
        <w:rPr>
          <w:i/>
          <w:iCs/>
        </w:rPr>
        <w:t> - </w:t>
      </w:r>
      <w:r w:rsidR="006429CA" w:rsidRPr="009118AB">
        <w:rPr>
          <w:i/>
          <w:iCs/>
        </w:rPr>
        <w:t>in Kraft am 1. Januar 2018 und anwendbar ab dem Steuerjahr 2019, das sich auf einen Besteuerungszeitraum bezieht, der frühestens am 1. Januar 2018 beginnt</w:t>
      </w:r>
      <w:r w:rsidR="003366D9" w:rsidRPr="009118AB">
        <w:rPr>
          <w:i/>
          <w:iCs/>
        </w:rPr>
        <w:t> -;</w:t>
      </w:r>
      <w:r w:rsidRPr="009118AB">
        <w:rPr>
          <w:i/>
          <w:iCs/>
        </w:rPr>
        <w:t xml:space="preserve"> </w:t>
      </w:r>
      <w:r w:rsidR="006429CA" w:rsidRPr="009118AB">
        <w:rPr>
          <w:i/>
          <w:iCs/>
        </w:rPr>
        <w:t xml:space="preserve">neuer Absatz 2 eingefügt durch </w:t>
      </w:r>
      <w:r w:rsidR="00D67EB8" w:rsidRPr="009118AB">
        <w:rPr>
          <w:i/>
          <w:iCs/>
        </w:rPr>
        <w:t>Art. </w:t>
      </w:r>
      <w:r w:rsidR="006429CA" w:rsidRPr="009118AB">
        <w:rPr>
          <w:i/>
          <w:iCs/>
        </w:rPr>
        <w:t xml:space="preserve">78 </w:t>
      </w:r>
      <w:r w:rsidR="00D67EB8" w:rsidRPr="009118AB">
        <w:rPr>
          <w:i/>
          <w:iCs/>
        </w:rPr>
        <w:t>Nr. </w:t>
      </w:r>
      <w:r w:rsidR="006429CA" w:rsidRPr="009118AB">
        <w:rPr>
          <w:i/>
          <w:iCs/>
        </w:rPr>
        <w:t>2 des G. vom 25. Dezember 2017 (III) (B.S. vom 29. Dezember 2017)</w:t>
      </w:r>
      <w:r w:rsidR="00D67EB8" w:rsidRPr="009118AB">
        <w:rPr>
          <w:i/>
          <w:iCs/>
        </w:rPr>
        <w:t> - </w:t>
      </w:r>
      <w:r w:rsidR="006429CA" w:rsidRPr="009118AB">
        <w:rPr>
          <w:i/>
          <w:iCs/>
        </w:rPr>
        <w:t>in Kraft am 1. Januar 2018 und anwendbar ab dem Steuerjahr 2019, das sich auf einen Besteuerungszeitraum bezieht, der frühestens am 1. Januar 2018 beginnt</w:t>
      </w:r>
      <w:r w:rsidR="003366D9" w:rsidRPr="009118AB">
        <w:rPr>
          <w:i/>
          <w:iCs/>
        </w:rPr>
        <w:t> -;</w:t>
      </w:r>
      <w:r w:rsidR="006429CA" w:rsidRPr="009118AB">
        <w:rPr>
          <w:i/>
          <w:iCs/>
        </w:rPr>
        <w:t xml:space="preserve"> </w:t>
      </w:r>
      <w:r w:rsidR="00D67EB8" w:rsidRPr="009118AB">
        <w:rPr>
          <w:i/>
          <w:iCs/>
        </w:rPr>
        <w:t>Abs. </w:t>
      </w:r>
      <w:r w:rsidR="006429CA" w:rsidRPr="009118AB">
        <w:rPr>
          <w:i/>
          <w:iCs/>
        </w:rPr>
        <w:t xml:space="preserve">3 </w:t>
      </w:r>
      <w:r w:rsidRPr="009118AB">
        <w:rPr>
          <w:i/>
          <w:iCs/>
        </w:rPr>
        <w:t xml:space="preserve">eingefügt durch </w:t>
      </w:r>
      <w:r w:rsidR="00D67EB8" w:rsidRPr="009118AB">
        <w:rPr>
          <w:i/>
          <w:iCs/>
        </w:rPr>
        <w:t>Art. </w:t>
      </w:r>
      <w:r w:rsidRPr="009118AB">
        <w:rPr>
          <w:i/>
          <w:iCs/>
        </w:rPr>
        <w:t>129 des G. vom 2. August 2002 (B.S. vom 29. August 2002)</w:t>
      </w:r>
      <w:r w:rsidR="00D67EB8" w:rsidRPr="009118AB">
        <w:rPr>
          <w:i/>
          <w:iCs/>
        </w:rPr>
        <w:t> - </w:t>
      </w:r>
      <w:r w:rsidRPr="009118AB">
        <w:rPr>
          <w:i/>
          <w:iCs/>
        </w:rPr>
        <w:t>in Kraft ab dem Steuerjahr 2004</w:t>
      </w:r>
      <w:r w:rsidR="00D67EB8" w:rsidRPr="009118AB">
        <w:rPr>
          <w:i/>
          <w:iCs/>
        </w:rPr>
        <w:t> - </w:t>
      </w:r>
      <w:r w:rsidRPr="009118AB">
        <w:rPr>
          <w:i/>
          <w:iCs/>
        </w:rPr>
        <w:t xml:space="preserve">und ersetzt durch </w:t>
      </w:r>
      <w:r w:rsidR="00D67EB8" w:rsidRPr="009118AB">
        <w:rPr>
          <w:i/>
          <w:iCs/>
        </w:rPr>
        <w:t>Art. </w:t>
      </w:r>
      <w:r w:rsidRPr="009118AB">
        <w:rPr>
          <w:i/>
          <w:iCs/>
        </w:rPr>
        <w:t>3 des G. vom 26. Mai 2016 (B.S. vom 7. Juni 2016)</w:t>
      </w:r>
      <w:r w:rsidR="00D67EB8" w:rsidRPr="009118AB">
        <w:rPr>
          <w:i/>
          <w:iCs/>
        </w:rPr>
        <w:t> - </w:t>
      </w:r>
      <w:r w:rsidRPr="009118AB">
        <w:rPr>
          <w:i/>
          <w:iCs/>
        </w:rPr>
        <w:t>anwendbar auf die ab dem 1. Juli 2016 unterzeichneten Rahmenübereinkommen</w:t>
      </w:r>
      <w:r w:rsidR="003366D9" w:rsidRPr="009118AB">
        <w:rPr>
          <w:i/>
          <w:iCs/>
        </w:rPr>
        <w:t> -;</w:t>
      </w:r>
      <w:r w:rsidR="00BC6D01" w:rsidRPr="009118AB">
        <w:rPr>
          <w:i/>
          <w:iCs/>
        </w:rPr>
        <w:t xml:space="preserve"> siehe auch </w:t>
      </w:r>
      <w:r w:rsidR="00D67EB8" w:rsidRPr="009118AB">
        <w:rPr>
          <w:i/>
          <w:iCs/>
        </w:rPr>
        <w:t>Art. </w:t>
      </w:r>
      <w:r w:rsidR="00803F42" w:rsidRPr="009118AB">
        <w:rPr>
          <w:i/>
          <w:iCs/>
        </w:rPr>
        <w:t>17 des G. vom 25. Dezember 2017 (II) (B.S. vom 29. Dezember 2017)</w:t>
      </w:r>
      <w:r w:rsidRPr="009118AB">
        <w:rPr>
          <w:i/>
          <w:iCs/>
        </w:rPr>
        <w:t>]</w:t>
      </w:r>
    </w:p>
    <w:p w14:paraId="3D0B2A0A" w14:textId="77777777" w:rsidR="00477B8F" w:rsidRPr="009118AB" w:rsidRDefault="00477B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0589FA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F23B64" w14:textId="4D1D8C6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417</w:t>
      </w:r>
      <w:r w:rsidR="00D67EB8" w:rsidRPr="009118AB">
        <w:t> - </w:t>
      </w:r>
      <w:r w:rsidR="00421A73" w:rsidRPr="009118AB">
        <w:t>[...]</w:t>
      </w:r>
    </w:p>
    <w:p w14:paraId="71DD1DE7" w14:textId="77777777" w:rsidR="00A50277" w:rsidRPr="009118AB" w:rsidRDefault="00A5027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AD1180F" w14:textId="75E7E19D" w:rsidR="00A50277" w:rsidRPr="009118AB" w:rsidRDefault="00A50277" w:rsidP="00A502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118AB">
        <w:rPr>
          <w:i/>
        </w:rPr>
        <w:t>[</w:t>
      </w:r>
      <w:r w:rsidR="00D67EB8" w:rsidRPr="009118AB">
        <w:rPr>
          <w:i/>
        </w:rPr>
        <w:t>Art. </w:t>
      </w:r>
      <w:r w:rsidRPr="009118AB">
        <w:rPr>
          <w:i/>
        </w:rPr>
        <w:t xml:space="preserve">417 </w:t>
      </w:r>
      <w:r w:rsidR="00421A73" w:rsidRPr="009118AB">
        <w:rPr>
          <w:i/>
        </w:rPr>
        <w:t xml:space="preserve">aufgehoben durch </w:t>
      </w:r>
      <w:r w:rsidR="00D67EB8" w:rsidRPr="009118AB">
        <w:rPr>
          <w:i/>
        </w:rPr>
        <w:t>Art. </w:t>
      </w:r>
      <w:r w:rsidR="00421A73" w:rsidRPr="009118AB">
        <w:rPr>
          <w:i/>
        </w:rPr>
        <w:t>61</w:t>
      </w:r>
      <w:r w:rsidR="00421A73" w:rsidRPr="009118AB">
        <w:rPr>
          <w:i/>
          <w:iCs/>
        </w:rPr>
        <w:t xml:space="preserve"> des G. vom 13. April 2019 (II) (B.S. vom 30. April 2019)</w:t>
      </w:r>
      <w:r w:rsidR="00D67EB8" w:rsidRPr="009118AB">
        <w:rPr>
          <w:i/>
          <w:iCs/>
        </w:rPr>
        <w:t> - </w:t>
      </w:r>
      <w:r w:rsidR="00421A73" w:rsidRPr="009118AB">
        <w:rPr>
          <w:i/>
          <w:iCs/>
        </w:rPr>
        <w:t>in Kraft am 1. Januar 2020</w:t>
      </w:r>
      <w:r w:rsidR="00FD68E8" w:rsidRPr="009118AB">
        <w:rPr>
          <w:i/>
          <w:iCs/>
        </w:rPr>
        <w:t> -]</w:t>
      </w:r>
    </w:p>
    <w:p w14:paraId="5294DC14" w14:textId="5E62FEB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118AB">
        <w:br w:type="page"/>
        <w:t>Unterabschnitt </w:t>
      </w:r>
      <w:r w:rsidR="006B602F" w:rsidRPr="009118AB">
        <w:t>2</w:t>
      </w:r>
      <w:r w:rsidR="00D67EB8" w:rsidRPr="009118AB">
        <w:t> - </w:t>
      </w:r>
      <w:r w:rsidRPr="009118AB">
        <w:t>Aufschubzinsen</w:t>
      </w:r>
    </w:p>
    <w:p w14:paraId="33CBC2E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02123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823F3F" w14:textId="69F4B159" w:rsidR="004959CD" w:rsidRPr="009118AB" w:rsidRDefault="00477B8F" w:rsidP="004959CD">
      <w:pPr>
        <w:jc w:val="both"/>
      </w:pPr>
      <w:r w:rsidRPr="009118AB">
        <w:tab/>
      </w:r>
      <w:r w:rsidR="00D67EB8" w:rsidRPr="009118AB">
        <w:rPr>
          <w:b/>
          <w:bCs/>
        </w:rPr>
        <w:t>Art. </w:t>
      </w:r>
      <w:r w:rsidRPr="009118AB">
        <w:rPr>
          <w:b/>
          <w:bCs/>
        </w:rPr>
        <w:t>418</w:t>
      </w:r>
      <w:r w:rsidR="00D67EB8" w:rsidRPr="009118AB">
        <w:t> - </w:t>
      </w:r>
      <w:r w:rsidRPr="009118AB">
        <w:t>[</w:t>
      </w:r>
      <w:r w:rsidR="004959CD" w:rsidRPr="009118AB">
        <w:t>Bei Erstattung von Steuern, Vorabzügen, Vorauszahlungen, Verzugs</w:t>
      </w:r>
      <w:r w:rsidR="004959CD" w:rsidRPr="009118AB">
        <w:softHyphen/>
        <w:t xml:space="preserve">zinsen, Steuerzuschlägen oder administrativen Geldbußen wird ab dem ersten Tag des Monats nach dem Monat, in dem die Verwaltung durch eine Mahnung oder andere gleichwertige Handlung in Verzug gesetzt worden ist, ein Aufschubzins </w:t>
      </w:r>
      <w:r w:rsidR="00200323" w:rsidRPr="009118AB">
        <w:t>[zu dem Satz wie gemäß Artikel 2 § 2/1 Absatz 1 Nr. 2 des Gesetzes vom 5. Mai 1865 über das verzinsliche Darlehen bestimmt]</w:t>
      </w:r>
      <w:r w:rsidR="004959CD" w:rsidRPr="009118AB">
        <w:t xml:space="preserve"> gewährt.</w:t>
      </w:r>
      <w:r w:rsidR="00A215C6" w:rsidRPr="009118AB">
        <w:t xml:space="preserve"> [Wenn die Zahlung von Steuern, Vorabzügen, Vorauszahlungen, Verzugszinsen, Steuerzuschlägen oder administrativen Geldbußen nach der an die Verwaltung gerichteten Inverzugsetzung erfolgt, wird ab dem ersten Tag des Monats nach der tatsächlichen Zahlung ein Aufschubzins gewährt.]</w:t>
      </w:r>
    </w:p>
    <w:p w14:paraId="64C1173F" w14:textId="77777777" w:rsidR="004959CD" w:rsidRPr="009118AB" w:rsidRDefault="004959CD" w:rsidP="004959CD">
      <w:pPr>
        <w:jc w:val="both"/>
      </w:pPr>
    </w:p>
    <w:p w14:paraId="5EA5B10A" w14:textId="665DE01C" w:rsidR="004959CD" w:rsidRPr="009118AB" w:rsidRDefault="004959CD" w:rsidP="004959CD">
      <w:pPr>
        <w:jc w:val="both"/>
      </w:pPr>
      <w:r w:rsidRPr="009118AB">
        <w:tab/>
      </w:r>
      <w:r w:rsidR="00200323" w:rsidRPr="009118AB">
        <w:t>[...]</w:t>
      </w:r>
    </w:p>
    <w:p w14:paraId="1585AEB8" w14:textId="77777777" w:rsidR="004959CD" w:rsidRPr="009118AB" w:rsidRDefault="004959CD" w:rsidP="004959CD">
      <w:pPr>
        <w:jc w:val="both"/>
      </w:pPr>
    </w:p>
    <w:p w14:paraId="448C7367" w14:textId="77777777" w:rsidR="00477B8F" w:rsidRPr="009118AB" w:rsidRDefault="004959CD" w:rsidP="004959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Dieser Zins wird pro Kalendermonat berechnet auf den Betrag jeder auf das kleinere Vielfache von 10 EUR abgerundeten Zahlung; der Monat, in dem die Erstattung ausgezahlt wird, wird nicht mitgerechnet.]</w:t>
      </w:r>
    </w:p>
    <w:p w14:paraId="5B3416D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85D7A44" w14:textId="2EADFFE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418 </w:t>
      </w:r>
      <w:r w:rsidR="004959CD" w:rsidRPr="009118AB">
        <w:rPr>
          <w:i/>
          <w:iCs/>
        </w:rPr>
        <w:t xml:space="preserve">ersetzt durch </w:t>
      </w:r>
      <w:r w:rsidR="00D67EB8" w:rsidRPr="009118AB">
        <w:rPr>
          <w:i/>
          <w:iCs/>
        </w:rPr>
        <w:t>Art. </w:t>
      </w:r>
      <w:r w:rsidR="004959CD" w:rsidRPr="009118AB">
        <w:rPr>
          <w:i/>
          <w:iCs/>
        </w:rPr>
        <w:t>79 des G. vom 25. Dezember 2017 (III) (B.S. vom 29. Dezember 2017)</w:t>
      </w:r>
      <w:r w:rsidR="00D67EB8" w:rsidRPr="009118AB">
        <w:rPr>
          <w:i/>
          <w:iCs/>
        </w:rPr>
        <w:t> - </w:t>
      </w:r>
      <w:r w:rsidR="004959CD" w:rsidRPr="009118AB">
        <w:rPr>
          <w:i/>
          <w:iCs/>
        </w:rPr>
        <w:t>anwendbar ab dem 1. Januar 2018</w:t>
      </w:r>
      <w:r w:rsidR="00DD3E05" w:rsidRPr="009118AB">
        <w:rPr>
          <w:i/>
          <w:iCs/>
        </w:rPr>
        <w:t xml:space="preserve">. Artikel 79 ist, soweit er das Beginndatum der Aufschubzinsen wie in den Artikeln 418 Absatz 1 und 419 Absatz 1 </w:t>
      </w:r>
      <w:r w:rsidR="00D67EB8" w:rsidRPr="009118AB">
        <w:rPr>
          <w:i/>
          <w:iCs/>
        </w:rPr>
        <w:t>Nr. </w:t>
      </w:r>
      <w:r w:rsidR="00DD3E05" w:rsidRPr="009118AB">
        <w:rPr>
          <w:i/>
          <w:iCs/>
        </w:rPr>
        <w:t>6 des Einkommensteuergesetzbuches 1992 erwähnt abändert, auf die ab dem 1. Januar 2018 vorgenommenen Eintragungen in die Heberolle anwendbar. Bei aufeinander</w:t>
      </w:r>
      <w:r w:rsidR="00DD3E05" w:rsidRPr="009118AB">
        <w:rPr>
          <w:i/>
          <w:iCs/>
        </w:rPr>
        <w:softHyphen/>
        <w:t>folgenden Veranlagungen wird für die Anwendung der vorliegenden Bestimmungen das Datum der Eintragung der ursprünglichen Veranlagung in die Heberolle berücksichtigt. Artikel 79 ist, soweit er das Beginndatum der Aufschubzinsen für die Anwendung von Artikel 418 Absatz 1 desselben Gesetzbuches abändert, auf den Berufssteuervorabzug und den Mobiliensteuer</w:t>
      </w:r>
      <w:r w:rsidR="00DD3E05" w:rsidRPr="009118AB">
        <w:rPr>
          <w:i/>
          <w:iCs/>
        </w:rPr>
        <w:softHyphen/>
        <w:t>vorabzug anwendbar, die an die Steuerjahre 2018 und folgende gebunden sind</w:t>
      </w:r>
      <w:r w:rsidR="003366D9" w:rsidRPr="009118AB">
        <w:rPr>
          <w:i/>
          <w:iCs/>
        </w:rPr>
        <w:t> -;</w:t>
      </w:r>
      <w:r w:rsidR="00A215C6" w:rsidRPr="009118AB">
        <w:rPr>
          <w:i/>
          <w:iCs/>
        </w:rPr>
        <w:t xml:space="preserve"> </w:t>
      </w:r>
      <w:r w:rsidR="00D67EB8" w:rsidRPr="009118AB">
        <w:rPr>
          <w:i/>
          <w:iCs/>
        </w:rPr>
        <w:t>Abs. </w:t>
      </w:r>
      <w:r w:rsidR="00A215C6" w:rsidRPr="009118AB">
        <w:rPr>
          <w:i/>
          <w:iCs/>
        </w:rPr>
        <w:t xml:space="preserve">1 </w:t>
      </w:r>
      <w:r w:rsidR="00200323" w:rsidRPr="009118AB">
        <w:rPr>
          <w:i/>
          <w:iCs/>
        </w:rPr>
        <w:t>abgeändert</w:t>
      </w:r>
      <w:r w:rsidR="00A215C6" w:rsidRPr="009118AB">
        <w:rPr>
          <w:i/>
          <w:iCs/>
        </w:rPr>
        <w:t xml:space="preserve"> durch </w:t>
      </w:r>
      <w:r w:rsidR="00D67EB8" w:rsidRPr="009118AB">
        <w:rPr>
          <w:i/>
          <w:iCs/>
        </w:rPr>
        <w:t>Art. </w:t>
      </w:r>
      <w:r w:rsidR="00A215C6" w:rsidRPr="009118AB">
        <w:rPr>
          <w:i/>
          <w:iCs/>
        </w:rPr>
        <w:t>58</w:t>
      </w:r>
      <w:r w:rsidR="00A215C6" w:rsidRPr="009118AB">
        <w:rPr>
          <w:i/>
          <w:iCs/>
          <w:spacing w:val="-2"/>
        </w:rPr>
        <w:t xml:space="preserve"> des G. vom 11. Februar 2019 (B.S. vom 22. März 2020)</w:t>
      </w:r>
      <w:r w:rsidR="00D67EB8" w:rsidRPr="009118AB">
        <w:rPr>
          <w:i/>
          <w:iCs/>
          <w:spacing w:val="-2"/>
        </w:rPr>
        <w:t> - </w:t>
      </w:r>
      <w:r w:rsidR="00A215C6" w:rsidRPr="009118AB">
        <w:rPr>
          <w:i/>
          <w:iCs/>
          <w:spacing w:val="-2"/>
        </w:rPr>
        <w:t>wirksam mit 1. Januar 2018</w:t>
      </w:r>
      <w:r w:rsidR="00FD68E8" w:rsidRPr="009118AB">
        <w:rPr>
          <w:i/>
          <w:iCs/>
          <w:spacing w:val="-2"/>
        </w:rPr>
        <w:t> -</w:t>
      </w:r>
      <w:r w:rsidR="00200323" w:rsidRPr="009118AB">
        <w:rPr>
          <w:i/>
          <w:iCs/>
          <w:spacing w:val="-2"/>
        </w:rPr>
        <w:t xml:space="preserve"> und Art. 6 Nr. 1</w:t>
      </w:r>
      <w:r w:rsidR="00200323" w:rsidRPr="009118AB">
        <w:rPr>
          <w:i/>
          <w:iCs/>
        </w:rPr>
        <w:t xml:space="preserve"> des G. vom 20. November 2022 (B.S. vom 30. November 2022) - in Kraft am 1. Januar 2023 -; früherer Absatz 2 aufgehoben durch Art. 6 Nr. 2 des G. vom 20. November 2022 (B.S. vom 30. November 2022) - in Kraft am 1. Januar 2023 -</w:t>
      </w:r>
      <w:r w:rsidR="00FD68E8" w:rsidRPr="009118AB">
        <w:rPr>
          <w:i/>
          <w:iCs/>
          <w:spacing w:val="-2"/>
        </w:rPr>
        <w:t>]</w:t>
      </w:r>
    </w:p>
    <w:p w14:paraId="3528711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B86AEC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ED0AED" w14:textId="02D63C3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419</w:t>
      </w:r>
      <w:r w:rsidR="00D67EB8" w:rsidRPr="009118AB">
        <w:t> - </w:t>
      </w:r>
      <w:r w:rsidRPr="009118AB">
        <w:t>[Kein Aufschubzins wird gewährt:</w:t>
      </w:r>
    </w:p>
    <w:p w14:paraId="28C8E3C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D69C7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1. wenn sein Betrag unter [5 EUR] pro Monat </w:t>
      </w:r>
      <w:r w:rsidR="004959CD" w:rsidRPr="009118AB">
        <w:t xml:space="preserve">[pro Steuer für ein selbes Steuerjahr] </w:t>
      </w:r>
      <w:r w:rsidRPr="009118AB">
        <w:t>liegt,</w:t>
      </w:r>
    </w:p>
    <w:p w14:paraId="6D3E296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4C7EF0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2. wenn die Erstattung aus dem Erlass oder der Ermäßigung einer Geldbuße oder eines Steuerzuschlags hervorgeht, der beziehungsweise die als Gnadenerweis bewilligt wird,</w:t>
      </w:r>
    </w:p>
    <w:p w14:paraId="052A7EE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A52E15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3. im Falle der Erstattung des Überschusses an Berufssteuervorabzug, an Mobiliensteuervorabzug oder an Vorauszahlungen an den Empfänger der Einkünfte spätestens am Ende des zweiten Monats nach dem Monat, in dem die in Artikel 359 oder 353 erwähnte Veranlagungsfrist abgelaufen ist,</w:t>
      </w:r>
    </w:p>
    <w:p w14:paraId="689CCC9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262410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4. im Falle der Erstattung von Beträgen, die als Mobiliensteuervorabzug oder als Berufssteuervorabzug gezahlt wurden, an die in den Artikeln 261 und 270 erwähnten Schuldner dieser Beträge,</w:t>
      </w:r>
    </w:p>
    <w:p w14:paraId="6E64B66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B57A1C" w14:textId="77777777" w:rsidR="00C93D94" w:rsidRPr="009118AB"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[4/1. im Falle der Erstattung von Steuern in Anwendung von Artikel 375/1,]</w:t>
      </w:r>
    </w:p>
    <w:p w14:paraId="551A5A1D" w14:textId="77777777" w:rsidR="00C93D94" w:rsidRPr="009118AB"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FFF17C" w14:textId="4D1B3E2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 xml:space="preserve">5. im Falle der Erstattung von Vorauszahlungen in Anwendung von Artikel 376 </w:t>
      </w:r>
      <w:r w:rsidR="00D67EB8" w:rsidRPr="009118AB">
        <w:t>§ </w:t>
      </w:r>
      <w:r w:rsidR="004959CD" w:rsidRPr="009118AB">
        <w:t>4,</w:t>
      </w:r>
    </w:p>
    <w:p w14:paraId="6BE011EA" w14:textId="77777777" w:rsidR="004959CD" w:rsidRPr="009118AB" w:rsidRDefault="004959C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E1C1F31" w14:textId="77777777" w:rsidR="004959CD" w:rsidRPr="009118AB" w:rsidRDefault="004959C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t>[6. wenn es der Verwaltung nach vernünftigem Ermessen unmöglich war, die Er</w:t>
      </w:r>
      <w:r w:rsidRPr="009118AB">
        <w:softHyphen/>
        <w:t>stattung auszuzahlen, da unter anderem keine Informationen über Identität oder Bankangaben des oder der Begünstigten zur Verfügung standen während eines Zeitraums vom ersten Tag des Monats nach dem Monat, in dem die Erstattung hätte ausgezahlt werden müssen, wenn die Verwaltung über die notwendigen Informationen verfügt hätte, bis zum Ende des zweiten Monats nach dem Monat, in dem eine Inverzugsetzung an die Verwaltung gerichtet worden ist, und unter der Voraussetzung, dass diese Unmöglichkeit nicht mehr besteht.]</w:t>
      </w:r>
    </w:p>
    <w:p w14:paraId="67E564E7" w14:textId="77777777" w:rsidR="0004250A" w:rsidRPr="009118AB" w:rsidRDefault="0004250A" w:rsidP="00477B8F">
      <w:pPr>
        <w:autoSpaceDE w:val="0"/>
        <w:autoSpaceDN w:val="0"/>
        <w:adjustRightInd w:val="0"/>
      </w:pPr>
    </w:p>
    <w:p w14:paraId="665CE468" w14:textId="24ABC652" w:rsidR="00477B8F" w:rsidRPr="009118AB" w:rsidRDefault="004959CD" w:rsidP="004959CD">
      <w:pPr>
        <w:autoSpaceDE w:val="0"/>
        <w:autoSpaceDN w:val="0"/>
        <w:adjustRightInd w:val="0"/>
        <w:ind w:firstLine="709"/>
        <w:jc w:val="both"/>
      </w:pPr>
      <w:r w:rsidRPr="009118AB">
        <w:t xml:space="preserve">[Erfolgt die Erstattung nach Ablauf der in Absatz 1 </w:t>
      </w:r>
      <w:r w:rsidR="00D67EB8" w:rsidRPr="009118AB">
        <w:t>Nr. </w:t>
      </w:r>
      <w:r w:rsidRPr="009118AB">
        <w:t>3 festgelegten Frist, wird der Aufschubzins ab dem ersten Tag des Monats nach dem Monat, in dem die Verwaltung durch eine Mahnung oder andere gleichwertige Handlung in Verzug gesetzt worden ist, geschuldet.]</w:t>
      </w:r>
      <w:r w:rsidR="00477B8F" w:rsidRPr="009118AB">
        <w:t>]</w:t>
      </w:r>
    </w:p>
    <w:p w14:paraId="14B3589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5AD839" w14:textId="42F51E15" w:rsidR="00477B8F" w:rsidRPr="009118AB" w:rsidRDefault="00477B8F" w:rsidP="00DD3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rPr>
          <w:i/>
          <w:iCs/>
        </w:rPr>
        <w:t>[</w:t>
      </w:r>
      <w:r w:rsidR="00D67EB8" w:rsidRPr="009118AB">
        <w:rPr>
          <w:i/>
          <w:iCs/>
        </w:rPr>
        <w:t>Art. </w:t>
      </w:r>
      <w:r w:rsidRPr="009118AB">
        <w:rPr>
          <w:i/>
          <w:iCs/>
        </w:rPr>
        <w:t xml:space="preserve">419 ersetzt durch </w:t>
      </w:r>
      <w:r w:rsidR="00D67EB8" w:rsidRPr="009118AB">
        <w:rPr>
          <w:i/>
          <w:iCs/>
        </w:rPr>
        <w:t>Art. </w:t>
      </w:r>
      <w:r w:rsidRPr="009118AB">
        <w:rPr>
          <w:i/>
          <w:iCs/>
        </w:rPr>
        <w:t>44 des G. vom 15. März </w:t>
      </w:r>
      <w:r w:rsidR="00B64F05" w:rsidRPr="009118AB">
        <w:rPr>
          <w:i/>
          <w:iCs/>
        </w:rPr>
        <w:t>1999 (B.S. vom 27. März 1999)</w:t>
      </w:r>
      <w:r w:rsidR="00D67EB8" w:rsidRPr="009118AB">
        <w:rPr>
          <w:i/>
          <w:iCs/>
        </w:rPr>
        <w:t> - </w:t>
      </w:r>
      <w:r w:rsidRPr="009118AB">
        <w:rPr>
          <w:i/>
          <w:iCs/>
        </w:rPr>
        <w:t>anwendbar ab dem Steuerj</w:t>
      </w:r>
      <w:r w:rsidR="004959CD" w:rsidRPr="009118AB">
        <w:rPr>
          <w:i/>
          <w:iCs/>
        </w:rPr>
        <w:t>ahr </w:t>
      </w:r>
      <w:r w:rsidRPr="009118AB">
        <w:rPr>
          <w:i/>
          <w:iCs/>
        </w:rPr>
        <w:t>1999</w:t>
      </w:r>
      <w:r w:rsidR="003366D9" w:rsidRPr="009118AB">
        <w:rPr>
          <w:i/>
          <w:iCs/>
        </w:rPr>
        <w:t> -;</w:t>
      </w:r>
      <w:r w:rsidRPr="009118AB">
        <w:rPr>
          <w:i/>
          <w:iCs/>
        </w:rPr>
        <w:t xml:space="preserve"> </w:t>
      </w:r>
      <w:r w:rsidR="00D67EB8" w:rsidRPr="009118AB">
        <w:rPr>
          <w:i/>
          <w:iCs/>
        </w:rPr>
        <w:t>Abs. </w:t>
      </w:r>
      <w:r w:rsidRPr="009118AB">
        <w:rPr>
          <w:i/>
          <w:iCs/>
        </w:rPr>
        <w:t xml:space="preserve">1 </w:t>
      </w:r>
      <w:r w:rsidR="00D67EB8" w:rsidRPr="009118AB">
        <w:rPr>
          <w:i/>
          <w:iCs/>
        </w:rPr>
        <w:t>Nr. </w:t>
      </w:r>
      <w:r w:rsidRPr="009118AB">
        <w:rPr>
          <w:i/>
          <w:iCs/>
        </w:rPr>
        <w:t xml:space="preserve">1 abgeändert durch </w:t>
      </w:r>
      <w:r w:rsidR="00D67EB8" w:rsidRPr="009118AB">
        <w:rPr>
          <w:i/>
          <w:iCs/>
        </w:rPr>
        <w:t>Art. </w:t>
      </w:r>
      <w:r w:rsidRPr="009118AB">
        <w:rPr>
          <w:i/>
          <w:iCs/>
        </w:rPr>
        <w:t xml:space="preserve">2 </w:t>
      </w:r>
      <w:r w:rsidR="00D67EB8" w:rsidRPr="009118AB">
        <w:rPr>
          <w:i/>
          <w:iCs/>
        </w:rPr>
        <w:t>Nr. </w:t>
      </w:r>
      <w:r w:rsidRPr="009118AB">
        <w:rPr>
          <w:i/>
          <w:iCs/>
        </w:rPr>
        <w:t>25 des K.E.</w:t>
      </w:r>
      <w:r w:rsidR="0004250A" w:rsidRPr="009118AB">
        <w:rPr>
          <w:i/>
          <w:iCs/>
        </w:rPr>
        <w:t> </w:t>
      </w:r>
      <w:r w:rsidRPr="009118AB">
        <w:rPr>
          <w:i/>
          <w:iCs/>
        </w:rPr>
        <w:t>vom 20. Juli 2000 (II) (B.S. vom 30. August 2000)</w:t>
      </w:r>
      <w:r w:rsidR="00D67EB8" w:rsidRPr="009118AB">
        <w:rPr>
          <w:i/>
          <w:iCs/>
        </w:rPr>
        <w:t> - </w:t>
      </w:r>
      <w:r w:rsidRPr="009118AB">
        <w:rPr>
          <w:i/>
          <w:iCs/>
        </w:rPr>
        <w:t>in Kraft ab dem 1. Januar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w:t>
      </w:r>
      <w:r w:rsidR="00B64F05" w:rsidRPr="009118AB">
        <w:rPr>
          <w:i/>
          <w:iCs/>
        </w:rPr>
        <w:t>01 (B.S. vom 11. August 2001)</w:t>
      </w:r>
      <w:r w:rsidR="00D67EB8" w:rsidRPr="009118AB">
        <w:rPr>
          <w:i/>
          <w:iCs/>
        </w:rPr>
        <w:t> - </w:t>
      </w:r>
      <w:r w:rsidRPr="009118AB">
        <w:rPr>
          <w:i/>
          <w:iCs/>
        </w:rPr>
        <w:t>in Kraft ab dem 1. Januar 1999</w:t>
      </w:r>
      <w:r w:rsidR="00FD68E8" w:rsidRPr="009118AB">
        <w:rPr>
          <w:i/>
          <w:iCs/>
        </w:rPr>
        <w:t> -,</w:t>
      </w:r>
      <w:r w:rsidR="004959CD" w:rsidRPr="009118AB">
        <w:rPr>
          <w:i/>
          <w:iCs/>
        </w:rPr>
        <w:t xml:space="preserve"> und durch </w:t>
      </w:r>
      <w:r w:rsidR="00D67EB8" w:rsidRPr="009118AB">
        <w:rPr>
          <w:i/>
          <w:iCs/>
        </w:rPr>
        <w:t>Art. </w:t>
      </w:r>
      <w:r w:rsidR="004959CD" w:rsidRPr="009118AB">
        <w:rPr>
          <w:i/>
          <w:iCs/>
        </w:rPr>
        <w:t xml:space="preserve">80 </w:t>
      </w:r>
      <w:r w:rsidR="00D67EB8" w:rsidRPr="009118AB">
        <w:rPr>
          <w:i/>
          <w:iCs/>
        </w:rPr>
        <w:t>Nr. </w:t>
      </w:r>
      <w:r w:rsidR="004959CD" w:rsidRPr="009118AB">
        <w:rPr>
          <w:i/>
          <w:iCs/>
        </w:rPr>
        <w:t>1 des G. vom 25. Dezember 2017 (III) (B.S. vom 29. Dezember 2017)</w:t>
      </w:r>
      <w:r w:rsidR="00D67EB8" w:rsidRPr="009118AB">
        <w:rPr>
          <w:i/>
          <w:iCs/>
        </w:rPr>
        <w:t> - </w:t>
      </w:r>
      <w:r w:rsidR="004959CD" w:rsidRPr="009118AB">
        <w:rPr>
          <w:i/>
          <w:iCs/>
        </w:rPr>
        <w:t>anwendbar ab dem 1. Januar 2018</w:t>
      </w:r>
      <w:r w:rsidR="00DD3E05" w:rsidRPr="009118AB">
        <w:rPr>
          <w:i/>
          <w:iCs/>
        </w:rPr>
        <w:t xml:space="preserve">. Artikel 80 ist, soweit er das Beginndatum der Aufschubzinsen wie in den Artikeln 418 Absatz 1 und 419 Absatz 1 </w:t>
      </w:r>
      <w:r w:rsidR="00D67EB8" w:rsidRPr="009118AB">
        <w:rPr>
          <w:i/>
          <w:iCs/>
        </w:rPr>
        <w:t>Nr. </w:t>
      </w:r>
      <w:r w:rsidR="00DD3E05" w:rsidRPr="009118AB">
        <w:rPr>
          <w:i/>
          <w:iCs/>
        </w:rPr>
        <w:t>6 des Einkommensteuergesetzbuches 1992 erwähnt abändert, auf die ab dem 1. Januar 2018 vorgenommenen Eintragungen in die Heberolle anwendbar. Bei aufeinander</w:t>
      </w:r>
      <w:r w:rsidR="00DD3E05" w:rsidRPr="009118AB">
        <w:rPr>
          <w:i/>
          <w:iCs/>
        </w:rPr>
        <w:softHyphen/>
        <w:t>folgenden Veranlagungen wird für die Anwendung der vorliegenden Bestimmungen das Datum der Eintragung der ursprünglichen Veranlagung in die Heberolle berücksichtigt. Artikel 80 ist, soweit er das Beginndatum der Aufschubzinsen für die Anwendung von Artikel 419 Absatz 2 desselben Gesetzbuches abändert, auf den Berufssteuervorabzug, den Mobiliensteuervorabzug und die Vorauszahlungen anwendbar, die an die Steuerjahre 2018 und folgende gebunden sind</w:t>
      </w:r>
      <w:r w:rsidR="003366D9" w:rsidRPr="009118AB">
        <w:rPr>
          <w:i/>
          <w:iCs/>
        </w:rPr>
        <w:t> -;</w:t>
      </w:r>
      <w:r w:rsidR="004959CD" w:rsidRPr="009118AB">
        <w:rPr>
          <w:i/>
          <w:iCs/>
        </w:rPr>
        <w:t xml:space="preserve"> </w:t>
      </w:r>
      <w:r w:rsidR="00D67EB8" w:rsidRPr="009118AB">
        <w:rPr>
          <w:i/>
          <w:iCs/>
        </w:rPr>
        <w:t>Abs. </w:t>
      </w:r>
      <w:r w:rsidR="00C93D94" w:rsidRPr="009118AB">
        <w:rPr>
          <w:i/>
          <w:iCs/>
        </w:rPr>
        <w:t xml:space="preserve">1 </w:t>
      </w:r>
      <w:r w:rsidR="00D67EB8" w:rsidRPr="009118AB">
        <w:rPr>
          <w:i/>
          <w:iCs/>
        </w:rPr>
        <w:t>Nr. </w:t>
      </w:r>
      <w:r w:rsidR="00C93D94" w:rsidRPr="009118AB">
        <w:rPr>
          <w:i/>
          <w:iCs/>
        </w:rPr>
        <w:t xml:space="preserve">4/1 eingefügt durch </w:t>
      </w:r>
      <w:r w:rsidR="00D67EB8" w:rsidRPr="009118AB">
        <w:rPr>
          <w:i/>
          <w:iCs/>
        </w:rPr>
        <w:t>Art. </w:t>
      </w:r>
      <w:r w:rsidR="00C93D94" w:rsidRPr="009118AB">
        <w:rPr>
          <w:i/>
          <w:iCs/>
        </w:rPr>
        <w:t>105</w:t>
      </w:r>
      <w:r w:rsidR="00C93D94" w:rsidRPr="009118AB">
        <w:rPr>
          <w:i/>
          <w:iCs/>
          <w:spacing w:val="-2"/>
        </w:rPr>
        <w:t xml:space="preserve"> des G. vom 11. Februar 2019 (B.S. vom 22. März 2020)</w:t>
      </w:r>
      <w:r w:rsidR="00D67EB8" w:rsidRPr="009118AB">
        <w:rPr>
          <w:i/>
          <w:iCs/>
          <w:spacing w:val="-2"/>
        </w:rPr>
        <w:t> - </w:t>
      </w:r>
      <w:r w:rsidR="00C93D94" w:rsidRPr="009118AB">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118AB">
        <w:rPr>
          <w:i/>
          <w:iCs/>
          <w:spacing w:val="-2"/>
        </w:rPr>
        <w:t> -;</w:t>
      </w:r>
      <w:r w:rsidR="00C93D94" w:rsidRPr="009118AB">
        <w:rPr>
          <w:i/>
          <w:iCs/>
          <w:spacing w:val="-2"/>
        </w:rPr>
        <w:t xml:space="preserve"> </w:t>
      </w:r>
      <w:r w:rsidR="00D67EB8" w:rsidRPr="009118AB">
        <w:rPr>
          <w:i/>
          <w:iCs/>
        </w:rPr>
        <w:t>Abs. </w:t>
      </w:r>
      <w:r w:rsidR="004959CD" w:rsidRPr="009118AB">
        <w:rPr>
          <w:i/>
          <w:iCs/>
        </w:rPr>
        <w:t xml:space="preserve">1 </w:t>
      </w:r>
      <w:r w:rsidR="00D67EB8" w:rsidRPr="009118AB">
        <w:rPr>
          <w:i/>
          <w:iCs/>
        </w:rPr>
        <w:t>Nr. </w:t>
      </w:r>
      <w:r w:rsidR="004959CD" w:rsidRPr="009118AB">
        <w:rPr>
          <w:i/>
          <w:iCs/>
        </w:rPr>
        <w:t xml:space="preserve">6 eingefügt durch </w:t>
      </w:r>
      <w:r w:rsidR="00D67EB8" w:rsidRPr="009118AB">
        <w:rPr>
          <w:i/>
          <w:iCs/>
        </w:rPr>
        <w:t>Art. </w:t>
      </w:r>
      <w:r w:rsidR="004959CD" w:rsidRPr="009118AB">
        <w:rPr>
          <w:i/>
          <w:iCs/>
        </w:rPr>
        <w:t xml:space="preserve">80 </w:t>
      </w:r>
      <w:r w:rsidR="00D67EB8" w:rsidRPr="009118AB">
        <w:rPr>
          <w:i/>
          <w:iCs/>
        </w:rPr>
        <w:t>Nr. </w:t>
      </w:r>
      <w:r w:rsidR="004959CD" w:rsidRPr="009118AB">
        <w:rPr>
          <w:i/>
          <w:iCs/>
        </w:rPr>
        <w:t>2 des G. vom 25. Dezember 2017 (III) (B.S. vom 29. Dezember 2017)</w:t>
      </w:r>
      <w:r w:rsidR="00D67EB8" w:rsidRPr="009118AB">
        <w:rPr>
          <w:i/>
          <w:iCs/>
        </w:rPr>
        <w:t> - </w:t>
      </w:r>
      <w:r w:rsidR="00DD3E05" w:rsidRPr="009118AB">
        <w:rPr>
          <w:i/>
          <w:iCs/>
        </w:rPr>
        <w:t xml:space="preserve">anwendbar ab dem 1. Januar 2018. Artikel 80 ist, soweit er das Beginndatum der Aufschubzinsen wie in den Artikeln 418 Absatz 1 und 419 Absatz 1 </w:t>
      </w:r>
      <w:r w:rsidR="00D67EB8" w:rsidRPr="009118AB">
        <w:rPr>
          <w:i/>
          <w:iCs/>
        </w:rPr>
        <w:t>Nr. </w:t>
      </w:r>
      <w:r w:rsidR="00DD3E05" w:rsidRPr="009118AB">
        <w:rPr>
          <w:i/>
          <w:iCs/>
        </w:rPr>
        <w:t>6 des Einkommensteuergesetzbuches 1992 erwähnt abändert, auf die ab dem 1. Januar 2018 vorgenommenen Eintragungen in die Heberolle anwendbar. Bei aufeinander</w:t>
      </w:r>
      <w:r w:rsidR="00DD3E05" w:rsidRPr="009118AB">
        <w:rPr>
          <w:i/>
          <w:iCs/>
        </w:rPr>
        <w:softHyphen/>
        <w:t>folgenden Veranlagungen wird für die Anwendung der vorliegenden Bestimmungen das Datum der Eintragung der ursprünglichen Veranlagung in die Heberolle berücksichtigt. Artikel 80 ist, soweit er das Beginndatum der Aufschubzinsen für die Anwendung von Artikel 419 Absatz 2 desselben Gesetzbuches abändert, auf den Berufssteuervorabzug, den Mobiliensteuervorabzug und die Vorauszahlungen anwendbar, die an die Steuerjahre 2018 und folgende gebunden sind</w:t>
      </w:r>
      <w:r w:rsidR="003366D9" w:rsidRPr="009118AB">
        <w:rPr>
          <w:i/>
          <w:iCs/>
        </w:rPr>
        <w:t> -;</w:t>
      </w:r>
      <w:r w:rsidR="004959CD" w:rsidRPr="009118AB">
        <w:rPr>
          <w:i/>
          <w:iCs/>
        </w:rPr>
        <w:t xml:space="preserve"> </w:t>
      </w:r>
      <w:r w:rsidR="00D67EB8" w:rsidRPr="009118AB">
        <w:rPr>
          <w:i/>
          <w:iCs/>
        </w:rPr>
        <w:t>Abs. </w:t>
      </w:r>
      <w:r w:rsidR="004959CD" w:rsidRPr="009118AB">
        <w:rPr>
          <w:i/>
          <w:iCs/>
        </w:rPr>
        <w:t xml:space="preserve">2 ersetzt durch </w:t>
      </w:r>
      <w:r w:rsidR="00D67EB8" w:rsidRPr="009118AB">
        <w:rPr>
          <w:i/>
          <w:iCs/>
        </w:rPr>
        <w:t>Art. </w:t>
      </w:r>
      <w:r w:rsidR="004959CD" w:rsidRPr="009118AB">
        <w:rPr>
          <w:i/>
          <w:iCs/>
        </w:rPr>
        <w:t xml:space="preserve">80 </w:t>
      </w:r>
      <w:r w:rsidR="00D67EB8" w:rsidRPr="009118AB">
        <w:rPr>
          <w:i/>
          <w:iCs/>
        </w:rPr>
        <w:t>Nr. </w:t>
      </w:r>
      <w:r w:rsidR="004959CD" w:rsidRPr="009118AB">
        <w:rPr>
          <w:i/>
          <w:iCs/>
        </w:rPr>
        <w:t>3 des G. vom 25. Dezember 2017 (III) (B.S. vom 29. Dezember 2017)</w:t>
      </w:r>
      <w:r w:rsidR="00D67EB8" w:rsidRPr="009118AB">
        <w:rPr>
          <w:i/>
          <w:iCs/>
        </w:rPr>
        <w:t> - </w:t>
      </w:r>
      <w:r w:rsidR="00DD3E05" w:rsidRPr="009118AB">
        <w:rPr>
          <w:i/>
          <w:iCs/>
        </w:rPr>
        <w:t xml:space="preserve">anwendbar ab dem 1. Januar 2018. Artikel 80 ist, soweit er das Beginndatum der Aufschubzinsen wie in den Artikeln 418 Absatz 1 und 419 Absatz 1 </w:t>
      </w:r>
      <w:r w:rsidR="00D67EB8" w:rsidRPr="009118AB">
        <w:rPr>
          <w:i/>
          <w:iCs/>
        </w:rPr>
        <w:t>Nr. </w:t>
      </w:r>
      <w:r w:rsidR="00DD3E05" w:rsidRPr="009118AB">
        <w:rPr>
          <w:i/>
          <w:iCs/>
        </w:rPr>
        <w:t>6 des Einkommensteuergesetzbuches 1992 erwähnt abändert, auf die ab dem 1. Januar 2018 vorgenommenen Eintragungen in die Heberolle anwendbar. Bei aufeinander</w:t>
      </w:r>
      <w:r w:rsidR="00DD3E05" w:rsidRPr="009118AB">
        <w:rPr>
          <w:i/>
          <w:iCs/>
        </w:rPr>
        <w:softHyphen/>
        <w:t>folgenden Veranlagungen wird für die Anwendung der vorliegenden Bestimmungen das Datum der Eintragung der ursprünglichen Veranlagung in die Heberolle berücksichtigt. Artikel 80 ist, soweit er das Beginndatum der Aufschubzinsen für die Anwendung von Artikel 419 Absatz 2 desselben Gesetzbuches abändert, auf den Berufssteuervorabzug, den Mobiliensteuervorabzug und die Vorauszahlungen anwendbar, die an die Steuerjahre 2018 und folgende gebunden sind</w:t>
      </w:r>
      <w:r w:rsidR="00FD68E8" w:rsidRPr="009118AB">
        <w:rPr>
          <w:i/>
          <w:iCs/>
        </w:rPr>
        <w:t> -]</w:t>
      </w:r>
    </w:p>
    <w:p w14:paraId="1B25D91A" w14:textId="226419E8" w:rsidR="00477B8F" w:rsidRPr="009118AB" w:rsidRDefault="00477B8F" w:rsidP="00A95DD7">
      <w:pPr>
        <w:autoSpaceDE w:val="0"/>
        <w:autoSpaceDN w:val="0"/>
        <w:adjustRightInd w:val="0"/>
        <w:jc w:val="center"/>
        <w:rPr>
          <w:i/>
          <w:iCs/>
        </w:rPr>
      </w:pPr>
      <w:r w:rsidRPr="009118AB">
        <w:br w:type="page"/>
      </w:r>
      <w:r w:rsidR="00421A73" w:rsidRPr="009118AB">
        <w:t>[</w:t>
      </w:r>
      <w:r w:rsidR="002E1AB9" w:rsidRPr="009118AB">
        <w:rPr>
          <w:b/>
          <w:bCs/>
        </w:rPr>
        <w:t>KAPITEL </w:t>
      </w:r>
      <w:r w:rsidR="007828ED" w:rsidRPr="009118AB">
        <w:rPr>
          <w:b/>
          <w:bCs/>
        </w:rPr>
        <w:t>9</w:t>
      </w:r>
      <w:r w:rsidR="00D67EB8" w:rsidRPr="009118AB">
        <w:t> - </w:t>
      </w:r>
      <w:r w:rsidR="00421A73" w:rsidRPr="009118AB">
        <w:rPr>
          <w:iCs/>
        </w:rPr>
        <w:t>[...]</w:t>
      </w:r>
    </w:p>
    <w:p w14:paraId="16067E7C" w14:textId="23D43A43" w:rsidR="00477B8F" w:rsidRPr="009118AB" w:rsidRDefault="00477B8F" w:rsidP="00A95DD7">
      <w:pPr>
        <w:autoSpaceDE w:val="0"/>
        <w:autoSpaceDN w:val="0"/>
        <w:adjustRightInd w:val="0"/>
        <w:jc w:val="center"/>
        <w:rPr>
          <w:iCs/>
        </w:rPr>
      </w:pPr>
    </w:p>
    <w:p w14:paraId="1FCBE71F" w14:textId="2EA6EE24" w:rsidR="00421A73" w:rsidRPr="009118AB" w:rsidRDefault="00421A73" w:rsidP="00421A73">
      <w:pPr>
        <w:autoSpaceDE w:val="0"/>
        <w:autoSpaceDN w:val="0"/>
        <w:adjustRightInd w:val="0"/>
        <w:jc w:val="both"/>
        <w:rPr>
          <w:i/>
          <w:iCs/>
        </w:rPr>
      </w:pPr>
      <w:r w:rsidRPr="009118AB">
        <w:rPr>
          <w:i/>
          <w:iCs/>
        </w:rPr>
        <w:t xml:space="preserve">[Kapitel 9 mit den </w:t>
      </w:r>
      <w:r w:rsidR="00864AF5" w:rsidRPr="009118AB">
        <w:rPr>
          <w:i/>
          <w:iCs/>
        </w:rPr>
        <w:t xml:space="preserve">Abschnitten 1 bis 5 und den </w:t>
      </w:r>
      <w:r w:rsidRPr="009118AB">
        <w:rPr>
          <w:i/>
          <w:iCs/>
        </w:rPr>
        <w:t xml:space="preserve">Artikeln 420 bis 443 aufgehoben durch </w:t>
      </w:r>
      <w:r w:rsidR="00D67EB8" w:rsidRPr="009118AB">
        <w:rPr>
          <w:i/>
          <w:iCs/>
        </w:rPr>
        <w:t>Art. </w:t>
      </w:r>
      <w:r w:rsidRPr="009118AB">
        <w:rPr>
          <w:i/>
          <w:iCs/>
        </w:rPr>
        <w:t>62 des G. vom 13. April 2019 (II) (B.S. vom 30. April 2019)</w:t>
      </w:r>
      <w:r w:rsidR="00D67EB8" w:rsidRPr="009118AB">
        <w:rPr>
          <w:i/>
          <w:iCs/>
        </w:rPr>
        <w:t> - </w:t>
      </w:r>
      <w:r w:rsidRPr="009118AB">
        <w:rPr>
          <w:i/>
          <w:iCs/>
        </w:rPr>
        <w:t>in Kraft am 1. Januar 2020</w:t>
      </w:r>
      <w:r w:rsidR="003366D9" w:rsidRPr="009118AB">
        <w:rPr>
          <w:i/>
          <w:iCs/>
        </w:rPr>
        <w:t> -;</w:t>
      </w:r>
      <w:r w:rsidR="00C92D3A" w:rsidRPr="009118AB">
        <w:rPr>
          <w:i/>
          <w:iCs/>
        </w:rPr>
        <w:t xml:space="preserve"> siehe Übergangsbestimmung von </w:t>
      </w:r>
      <w:r w:rsidR="00D67EB8" w:rsidRPr="009118AB">
        <w:rPr>
          <w:i/>
          <w:iCs/>
        </w:rPr>
        <w:t>Art. </w:t>
      </w:r>
      <w:r w:rsidR="00C92D3A" w:rsidRPr="009118AB">
        <w:rPr>
          <w:i/>
          <w:iCs/>
        </w:rPr>
        <w:t xml:space="preserve">138 </w:t>
      </w:r>
      <w:r w:rsidR="00D67EB8" w:rsidRPr="009118AB">
        <w:rPr>
          <w:i/>
          <w:iCs/>
        </w:rPr>
        <w:t>Nr. </w:t>
      </w:r>
      <w:r w:rsidR="00C92D3A" w:rsidRPr="009118AB">
        <w:rPr>
          <w:i/>
          <w:iCs/>
        </w:rPr>
        <w:t>5 des G. vom 13. April 2019 (B.S. vom 30. April 2019)</w:t>
      </w:r>
      <w:r w:rsidRPr="009118AB">
        <w:rPr>
          <w:i/>
          <w:iCs/>
        </w:rPr>
        <w:t>]</w:t>
      </w:r>
    </w:p>
    <w:p w14:paraId="06896484" w14:textId="77777777" w:rsidR="00421A73" w:rsidRPr="009118AB" w:rsidRDefault="00421A73" w:rsidP="00421A73">
      <w:pPr>
        <w:autoSpaceDE w:val="0"/>
        <w:autoSpaceDN w:val="0"/>
        <w:adjustRightInd w:val="0"/>
        <w:jc w:val="both"/>
        <w:rPr>
          <w:i/>
          <w:iCs/>
        </w:rPr>
      </w:pPr>
    </w:p>
    <w:p w14:paraId="3E27ECE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A46524" w14:textId="7044B9D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118AB">
        <w:tab/>
      </w:r>
      <w:r w:rsidR="00D67EB8" w:rsidRPr="009118AB">
        <w:rPr>
          <w:b/>
          <w:bCs/>
        </w:rPr>
        <w:t>Art. </w:t>
      </w:r>
      <w:r w:rsidRPr="009118AB">
        <w:rPr>
          <w:b/>
          <w:bCs/>
        </w:rPr>
        <w:t>420</w:t>
      </w:r>
      <w:r w:rsidR="00D67EB8" w:rsidRPr="009118AB">
        <w:t> - </w:t>
      </w:r>
      <w:r w:rsidR="00864AF5" w:rsidRPr="009118AB">
        <w:rPr>
          <w:b/>
        </w:rPr>
        <w:t>443</w:t>
      </w:r>
      <w:r w:rsidR="00D67EB8" w:rsidRPr="009118AB">
        <w:rPr>
          <w:b/>
        </w:rPr>
        <w:t> - </w:t>
      </w:r>
      <w:r w:rsidR="00421A73" w:rsidRPr="009118AB">
        <w:t>[...]</w:t>
      </w:r>
      <w:r w:rsidR="00864AF5" w:rsidRPr="009118AB">
        <w:t>]</w:t>
      </w:r>
    </w:p>
    <w:p w14:paraId="394A9F6C" w14:textId="77777777" w:rsidR="00421A73" w:rsidRPr="009118AB" w:rsidRDefault="00421A7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B8A063" w14:textId="77777777" w:rsidR="00864AF5" w:rsidRPr="009118AB" w:rsidRDefault="00864AF5">
      <w:r w:rsidRPr="009118AB">
        <w:br w:type="page"/>
      </w:r>
    </w:p>
    <w:p w14:paraId="4302211F" w14:textId="6DA7247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t>[</w:t>
      </w:r>
      <w:r w:rsidR="002E1AB9" w:rsidRPr="009118AB">
        <w:rPr>
          <w:b/>
          <w:bCs/>
        </w:rPr>
        <w:t>KAPITEL </w:t>
      </w:r>
      <w:r w:rsidR="007828ED" w:rsidRPr="009118AB">
        <w:rPr>
          <w:b/>
          <w:bCs/>
        </w:rPr>
        <w:t>9</w:t>
      </w:r>
      <w:r w:rsidRPr="009118AB">
        <w:rPr>
          <w:b/>
          <w:bCs/>
          <w:i/>
          <w:iCs/>
        </w:rPr>
        <w:t>bis</w:t>
      </w:r>
      <w:r w:rsidR="00D67EB8" w:rsidRPr="009118AB">
        <w:t> - </w:t>
      </w:r>
      <w:r w:rsidR="00421A73" w:rsidRPr="009118AB">
        <w:rPr>
          <w:iCs/>
        </w:rPr>
        <w:t>[...]</w:t>
      </w:r>
    </w:p>
    <w:p w14:paraId="43BD815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5817FA10" w14:textId="3B5A5EA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[Kapitel </w:t>
      </w:r>
      <w:r w:rsidR="007828ED" w:rsidRPr="009118AB">
        <w:rPr>
          <w:i/>
          <w:iCs/>
        </w:rPr>
        <w:t>9</w:t>
      </w:r>
      <w:r w:rsidRPr="009118AB">
        <w:rPr>
          <w:i/>
          <w:iCs/>
        </w:rPr>
        <w:t xml:space="preserve">bis mit den Artikeln 443bis und 443ter eingefügt durch </w:t>
      </w:r>
      <w:r w:rsidR="00D67EB8" w:rsidRPr="009118AB">
        <w:rPr>
          <w:i/>
          <w:iCs/>
        </w:rPr>
        <w:t>Art. </w:t>
      </w:r>
      <w:r w:rsidRPr="009118AB">
        <w:rPr>
          <w:i/>
          <w:iCs/>
        </w:rPr>
        <w:t>297 des G. vom 22. Dezember 2003 (B.S. vom 31. Dezember 2003)</w:t>
      </w:r>
      <w:r w:rsidR="00421A73" w:rsidRPr="009118AB">
        <w:rPr>
          <w:i/>
          <w:iCs/>
        </w:rPr>
        <w:t xml:space="preserve"> und aufgehoben durch </w:t>
      </w:r>
      <w:r w:rsidR="00D67EB8" w:rsidRPr="009118AB">
        <w:rPr>
          <w:i/>
          <w:iCs/>
        </w:rPr>
        <w:t>Art. </w:t>
      </w:r>
      <w:r w:rsidR="00421A73" w:rsidRPr="009118AB">
        <w:rPr>
          <w:i/>
          <w:iCs/>
        </w:rPr>
        <w:t>63 des G. vom 13. April 2019 (II) (B.S. vom 30. April 2019)</w:t>
      </w:r>
      <w:r w:rsidR="00D67EB8" w:rsidRPr="009118AB">
        <w:rPr>
          <w:i/>
          <w:iCs/>
        </w:rPr>
        <w:t> - </w:t>
      </w:r>
      <w:r w:rsidR="00421A73" w:rsidRPr="009118AB">
        <w:rPr>
          <w:i/>
          <w:iCs/>
        </w:rPr>
        <w:t>in Kraft am 1. Januar 2020</w:t>
      </w:r>
      <w:r w:rsidR="00FD68E8" w:rsidRPr="009118AB">
        <w:rPr>
          <w:i/>
          <w:iCs/>
        </w:rPr>
        <w:t> -]</w:t>
      </w:r>
    </w:p>
    <w:p w14:paraId="2AE123A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p>
    <w:p w14:paraId="1A20E64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p>
    <w:p w14:paraId="4E3027FD" w14:textId="50C197AF" w:rsidR="00DC6CD7" w:rsidRPr="009118AB" w:rsidRDefault="00477B8F" w:rsidP="00421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ab/>
      </w:r>
      <w:r w:rsidR="00D67EB8" w:rsidRPr="009118AB">
        <w:rPr>
          <w:b/>
          <w:bCs/>
        </w:rPr>
        <w:t>Art. </w:t>
      </w:r>
      <w:r w:rsidRPr="009118AB">
        <w:rPr>
          <w:b/>
          <w:bCs/>
        </w:rPr>
        <w:t>443</w:t>
      </w:r>
      <w:r w:rsidRPr="009118AB">
        <w:rPr>
          <w:b/>
          <w:bCs/>
          <w:i/>
          <w:iCs/>
        </w:rPr>
        <w:t>bis</w:t>
      </w:r>
      <w:r w:rsidR="00D67EB8" w:rsidRPr="009118AB">
        <w:t> - </w:t>
      </w:r>
      <w:r w:rsidRPr="009118AB">
        <w:rPr>
          <w:b/>
          <w:bCs/>
        </w:rPr>
        <w:t>443</w:t>
      </w:r>
      <w:r w:rsidRPr="009118AB">
        <w:rPr>
          <w:b/>
          <w:bCs/>
          <w:i/>
          <w:iCs/>
        </w:rPr>
        <w:t>ter</w:t>
      </w:r>
      <w:r w:rsidR="00D67EB8" w:rsidRPr="009118AB">
        <w:t> - </w:t>
      </w:r>
      <w:r w:rsidR="00421A73" w:rsidRPr="009118AB">
        <w:t>[...]</w:t>
      </w:r>
      <w:r w:rsidR="00DC6CD7" w:rsidRPr="009118AB">
        <w:t>]</w:t>
      </w:r>
    </w:p>
    <w:p w14:paraId="287AFDF6" w14:textId="77777777" w:rsidR="00DC6CD7" w:rsidRPr="009118AB" w:rsidRDefault="00DC6CD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3B3B96E" w14:textId="44BA71B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rPr>
      </w:pPr>
      <w:r w:rsidRPr="009118AB">
        <w:br w:type="page"/>
      </w:r>
      <w:r w:rsidR="002E1AB9" w:rsidRPr="009118AB">
        <w:rPr>
          <w:b/>
          <w:bCs/>
        </w:rPr>
        <w:t>KAPITEL </w:t>
      </w:r>
      <w:r w:rsidR="007828ED" w:rsidRPr="009118AB">
        <w:rPr>
          <w:b/>
          <w:bCs/>
        </w:rPr>
        <w:t>10</w:t>
      </w:r>
      <w:r w:rsidR="00D67EB8" w:rsidRPr="009118AB">
        <w:t> - </w:t>
      </w:r>
      <w:r w:rsidRPr="009118AB">
        <w:rPr>
          <w:i/>
          <w:iCs/>
        </w:rPr>
        <w:t>Strafbestimmungen</w:t>
      </w:r>
    </w:p>
    <w:p w14:paraId="10DD7E8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rPr>
      </w:pPr>
    </w:p>
    <w:p w14:paraId="1C4B415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rPr>
      </w:pPr>
    </w:p>
    <w:p w14:paraId="0E170AC4" w14:textId="7E9DE9F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rPr>
          <w:i/>
          <w:iCs/>
        </w:rPr>
        <w:t>Abschnitt </w:t>
      </w:r>
      <w:r w:rsidR="006B602F" w:rsidRPr="009118AB">
        <w:rPr>
          <w:i/>
          <w:iCs/>
        </w:rPr>
        <w:t>1</w:t>
      </w:r>
      <w:r w:rsidR="00D67EB8" w:rsidRPr="009118AB">
        <w:rPr>
          <w:i/>
          <w:iCs/>
        </w:rPr>
        <w:t> - </w:t>
      </w:r>
      <w:r w:rsidRPr="009118AB">
        <w:t>Verwaltungssanktionen</w:t>
      </w:r>
    </w:p>
    <w:p w14:paraId="2504B85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4121228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2F372423" w14:textId="62EDEA7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t>Unterabschnitt </w:t>
      </w:r>
      <w:r w:rsidR="006B602F" w:rsidRPr="009118AB">
        <w:t>1</w:t>
      </w:r>
      <w:r w:rsidR="00D67EB8" w:rsidRPr="009118AB">
        <w:t> - </w:t>
      </w:r>
      <w:r w:rsidRPr="009118AB">
        <w:t>Steuerzuschläge</w:t>
      </w:r>
    </w:p>
    <w:p w14:paraId="71720CE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3F670BD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6F3DD081" w14:textId="474E9DEA"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444</w:t>
      </w:r>
      <w:r w:rsidR="00D67EB8" w:rsidRPr="009118AB">
        <w:t> - </w:t>
      </w:r>
      <w:r w:rsidR="00AF7392" w:rsidRPr="009118AB">
        <w:t>[</w:t>
      </w:r>
      <w:r w:rsidR="002F4119" w:rsidRPr="009118AB">
        <w:rPr>
          <w:rFonts w:eastAsia="Calibri"/>
          <w:kern w:val="2"/>
          <w:szCs w:val="22"/>
          <w:lang w:eastAsia="en-US"/>
          <w14:ligatures w14:val="standardContextual"/>
        </w:rPr>
        <w:t>Bei Nichtabgabe oder verspäteter Einreichung der Erklärung oder im Falle einer unvollständigen oder unrichtigen Erklärung werden die auf den nicht angegebenen oder verspätet angegebenen Einkünfteteil geschuldeten Steuern, die vor Anrechnung der Vorabzüge, der Steuergutschriften, des Pauschalanteils ausländischer Steuer und der Vorauszahlungen festgelegt werden, um einen Steuerzuschlag erhöht, der je nach Art und Schwere des Verstoßes gemäß einer Tabelle festgelegt wird, deren Staffelung vom König bestimmt wird, und der zwischen 10 Prozent und 200 Prozent der Steuern liegt, die auf den nicht angegebenen oder verspätet angegebenen Einkünfteteil geschuldet werden.</w:t>
      </w:r>
      <w:r w:rsidR="002F4119" w:rsidRPr="009118AB">
        <w:t>]</w:t>
      </w:r>
    </w:p>
    <w:p w14:paraId="3174D4CF" w14:textId="77777777"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7F5D38" w14:textId="0DCC05E2" w:rsidR="00F51DE4" w:rsidRPr="009118AB" w:rsidRDefault="00F51DE4"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[Im Falle einer unrichtigen Erklärung, die zu einer in Titel VI Kapitel 1 Abschnitt 4 Unterabschnitt 3 erwähnten Befreiung von der Zahlung des Berufssteuervorabzugs führt, werden die geschuldeten Vorabzüge um einen Zuschlag erhöht, der je nach Art und Schwere des Verstoßes gemäß einer Tabelle festgelegt wird, deren Staffelung vom König bestimmt wird, und der zwischen 10 Prozent und 200 Prozent der nicht richtig angegebenen Befreiung von der Zahlung des Berufssteuervorabzugs liegt.]</w:t>
      </w:r>
    </w:p>
    <w:p w14:paraId="536D877A" w14:textId="77777777" w:rsidR="00F51DE4" w:rsidRPr="009118AB" w:rsidRDefault="00F51DE4"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14CB0F" w14:textId="77777777"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Liegt keine Bösgläubigkeit vor, kann von dem 10-Prozent-Mindestsatz an Steuerzuschlag abgesehen werden.</w:t>
      </w:r>
    </w:p>
    <w:p w14:paraId="3ABEF1B1" w14:textId="77777777"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A4AD4B6" w14:textId="360A4E4D"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2F4119" w:rsidRPr="009118AB">
        <w:t>[</w:t>
      </w:r>
      <w:r w:rsidR="002F4119" w:rsidRPr="009118AB">
        <w:rPr>
          <w:rFonts w:eastAsia="Calibri"/>
          <w:kern w:val="2"/>
          <w:szCs w:val="22"/>
          <w:lang w:eastAsia="en-US"/>
          <w14:ligatures w14:val="standardContextual"/>
        </w:rPr>
        <w:t xml:space="preserve">Der Gesamtbetrag der auf den nicht angegebenen oder verspätet angegebenen Einkünfteteil geschuldeten Steuern und </w:t>
      </w:r>
      <w:r w:rsidR="009F13DA" w:rsidRPr="009118AB">
        <w:rPr>
          <w:rFonts w:eastAsia="Calibri"/>
          <w:kern w:val="2"/>
          <w:szCs w:val="22"/>
          <w:lang w:eastAsia="en-US"/>
          <w14:ligatures w14:val="standardContextual"/>
        </w:rPr>
        <w:t>[</w:t>
      </w:r>
      <w:r w:rsidR="009F13DA" w:rsidRPr="009118AB">
        <w:t>des in Absatz 1 erwähnten Steuerzuschlags</w:t>
      </w:r>
      <w:r w:rsidR="009F13DA" w:rsidRPr="009118AB">
        <w:rPr>
          <w:rFonts w:eastAsia="Calibri"/>
          <w:kern w:val="2"/>
          <w:szCs w:val="22"/>
          <w:lang w:eastAsia="en-US"/>
          <w14:ligatures w14:val="standardContextual"/>
        </w:rPr>
        <w:t>]</w:t>
      </w:r>
      <w:r w:rsidR="002F4119" w:rsidRPr="009118AB">
        <w:rPr>
          <w:rFonts w:eastAsia="Calibri"/>
          <w:kern w:val="2"/>
          <w:szCs w:val="22"/>
          <w:lang w:eastAsia="en-US"/>
          <w14:ligatures w14:val="standardContextual"/>
        </w:rPr>
        <w:t xml:space="preserve"> darf nicht höher sein als der Betrag der nicht angegebenen oder verspätet angegebenen Einkünfte.</w:t>
      </w:r>
      <w:r w:rsidR="002F4119" w:rsidRPr="009118AB">
        <w:t>]</w:t>
      </w:r>
    </w:p>
    <w:p w14:paraId="33CF39E9" w14:textId="77777777"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FED79C9" w14:textId="68983659"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Der </w:t>
      </w:r>
      <w:r w:rsidR="009F13DA" w:rsidRPr="009118AB">
        <w:t xml:space="preserve">[in Absatz 1 erwähnte] </w:t>
      </w:r>
      <w:r w:rsidRPr="009118AB">
        <w:t xml:space="preserve">Zuschlag wird nur angewandt, wenn die nicht angegebenen </w:t>
      </w:r>
      <w:r w:rsidR="002F4119" w:rsidRPr="009118AB">
        <w:t>[</w:t>
      </w:r>
      <w:r w:rsidR="002F4119" w:rsidRPr="009118AB">
        <w:rPr>
          <w:rFonts w:eastAsia="Calibri"/>
          <w:kern w:val="2"/>
          <w:szCs w:val="22"/>
          <w:lang w:eastAsia="en-US"/>
          <w14:ligatures w14:val="standardContextual"/>
        </w:rPr>
        <w:t>oder verspätet angegebenen</w:t>
      </w:r>
      <w:r w:rsidR="002F4119" w:rsidRPr="009118AB">
        <w:t xml:space="preserve">] </w:t>
      </w:r>
      <w:r w:rsidRPr="009118AB">
        <w:t>Einkünfte [2.500 EUR] erreichen.</w:t>
      </w:r>
    </w:p>
    <w:p w14:paraId="4465DB34" w14:textId="77777777"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29722CD" w14:textId="4984672F"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351BC4">
        <w:t>..</w:t>
      </w:r>
      <w:r w:rsidR="00DF2227" w:rsidRPr="009118AB">
        <w:t>.</w:t>
      </w:r>
      <w:r w:rsidRPr="009118AB">
        <w:t>]</w:t>
      </w:r>
    </w:p>
    <w:p w14:paraId="4B1EBBD5" w14:textId="77777777" w:rsidR="00395BAD" w:rsidRPr="009118AB" w:rsidRDefault="00395BAD"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18BE68" w14:textId="77777777" w:rsidR="00395BAD" w:rsidRPr="009118AB" w:rsidRDefault="00395BAD"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[Kein Steuerzuschlag wird angewandt, wenn verschleierte Gewinne wie in den Artikeln 219 und 233 Absatz 2 erwähnt unter den in Artikel 219 Absatz 4 erwähnten Bedingungen in einem späteren Geschäftsjahr als dem Geschäftsjahr, in dem der Gewinn erzielt wurde, wieder in der Buchhaltung ausgewiesen werden.]</w:t>
      </w:r>
    </w:p>
    <w:p w14:paraId="514D886D" w14:textId="77777777" w:rsidR="009B7952" w:rsidRPr="009118AB"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77A620" w14:textId="59BE8C72" w:rsidR="00E85AC7" w:rsidRPr="00B33FA3" w:rsidRDefault="00E85AC7" w:rsidP="00E85A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spacing w:val="-2"/>
        </w:rPr>
        <w:t>[</w:t>
      </w:r>
      <w:r w:rsidR="00D67EB8" w:rsidRPr="009118AB">
        <w:rPr>
          <w:i/>
          <w:iCs/>
          <w:spacing w:val="-2"/>
        </w:rPr>
        <w:t>Art. </w:t>
      </w:r>
      <w:r w:rsidRPr="009118AB">
        <w:rPr>
          <w:i/>
          <w:iCs/>
          <w:spacing w:val="-2"/>
        </w:rPr>
        <w:t>44</w:t>
      </w:r>
      <w:r w:rsidR="00C83EA3" w:rsidRPr="009118AB">
        <w:rPr>
          <w:i/>
          <w:iCs/>
          <w:spacing w:val="-2"/>
        </w:rPr>
        <w:t xml:space="preserve">4 </w:t>
      </w:r>
      <w:r w:rsidR="00D67EB8" w:rsidRPr="009118AB">
        <w:rPr>
          <w:i/>
          <w:iCs/>
          <w:spacing w:val="-2"/>
        </w:rPr>
        <w:t>Abs. </w:t>
      </w:r>
      <w:r w:rsidR="00C83EA3" w:rsidRPr="009118AB">
        <w:rPr>
          <w:i/>
          <w:iCs/>
          <w:spacing w:val="-2"/>
        </w:rPr>
        <w:t xml:space="preserve">1 </w:t>
      </w:r>
      <w:r w:rsidR="002F4119" w:rsidRPr="009118AB">
        <w:rPr>
          <w:i/>
          <w:iCs/>
          <w:spacing w:val="-2"/>
        </w:rPr>
        <w:t>ersetzt durch Art. 84 Nr. 1</w:t>
      </w:r>
      <w:r w:rsidR="002F4119" w:rsidRPr="009118AB">
        <w:rPr>
          <w:i/>
          <w:iCs/>
        </w:rPr>
        <w:t xml:space="preserve"> des G. vom 5. Juli 2022 (B.S. vom 15. Juli 2022)</w:t>
      </w:r>
      <w:r w:rsidRPr="009118AB">
        <w:rPr>
          <w:i/>
          <w:iCs/>
          <w:spacing w:val="-2"/>
        </w:rPr>
        <w:t xml:space="preserve">; </w:t>
      </w:r>
      <w:r w:rsidR="00F51DE4" w:rsidRPr="009118AB">
        <w:rPr>
          <w:i/>
          <w:iCs/>
          <w:spacing w:val="-2"/>
        </w:rPr>
        <w:t xml:space="preserve">neuer Absatz 2 eingefügt durch </w:t>
      </w:r>
      <w:r w:rsidR="00D67EB8" w:rsidRPr="009118AB">
        <w:rPr>
          <w:i/>
          <w:iCs/>
          <w:spacing w:val="-2"/>
        </w:rPr>
        <w:t>Art. </w:t>
      </w:r>
      <w:r w:rsidR="00F51DE4" w:rsidRPr="009118AB">
        <w:rPr>
          <w:i/>
          <w:iCs/>
          <w:spacing w:val="-2"/>
        </w:rPr>
        <w:t>25</w:t>
      </w:r>
      <w:r w:rsidR="00F51DE4" w:rsidRPr="009118AB">
        <w:rPr>
          <w:rFonts w:ascii="Times New Roman Italique" w:hAnsi="Times New Roman Italique"/>
          <w:i/>
        </w:rPr>
        <w:t xml:space="preserve"> des G. vom 28. März 2022 (B.S. vom 31. März 2022)</w:t>
      </w:r>
      <w:r w:rsidR="00D67EB8" w:rsidRPr="009118AB">
        <w:rPr>
          <w:rFonts w:ascii="Times New Roman Italique" w:hAnsi="Times New Roman Italique"/>
          <w:i/>
        </w:rPr>
        <w:t> - </w:t>
      </w:r>
      <w:r w:rsidR="00F51DE4" w:rsidRPr="009118AB">
        <w:rPr>
          <w:rFonts w:ascii="Times New Roman Italique" w:hAnsi="Times New Roman Italique"/>
          <w:i/>
        </w:rPr>
        <w:t>in Kraft am 1. April 2022</w:t>
      </w:r>
      <w:r w:rsidR="003366D9" w:rsidRPr="009118AB">
        <w:rPr>
          <w:rFonts w:ascii="Times New Roman Italique" w:hAnsi="Times New Roman Italique"/>
          <w:i/>
        </w:rPr>
        <w:t> -;</w:t>
      </w:r>
      <w:r w:rsidR="00F51DE4" w:rsidRPr="009118AB">
        <w:rPr>
          <w:rFonts w:ascii="Times New Roman Italique" w:hAnsi="Times New Roman Italique"/>
          <w:i/>
        </w:rPr>
        <w:t xml:space="preserve"> </w:t>
      </w:r>
      <w:r w:rsidR="002F4119" w:rsidRPr="009118AB">
        <w:rPr>
          <w:rFonts w:ascii="Times New Roman Italique" w:hAnsi="Times New Roman Italique"/>
          <w:i/>
        </w:rPr>
        <w:t>Abs.</w:t>
      </w:r>
      <w:r w:rsidR="002F4119" w:rsidRPr="009118AB">
        <w:rPr>
          <w:rFonts w:ascii="Times New Roman Italique" w:hAnsi="Times New Roman Italique" w:hint="eastAsia"/>
          <w:i/>
        </w:rPr>
        <w:t> </w:t>
      </w:r>
      <w:r w:rsidR="002F4119" w:rsidRPr="009118AB">
        <w:rPr>
          <w:rFonts w:ascii="Times New Roman Italique" w:hAnsi="Times New Roman Italique"/>
          <w:i/>
        </w:rPr>
        <w:t>4 ersetzt durch Art. 84 Nr.</w:t>
      </w:r>
      <w:r w:rsidR="00037D58">
        <w:rPr>
          <w:rFonts w:ascii="Times New Roman Italique" w:hAnsi="Times New Roman Italique" w:hint="eastAsia"/>
          <w:i/>
        </w:rPr>
        <w:t> </w:t>
      </w:r>
      <w:r w:rsidR="002F4119" w:rsidRPr="009118AB">
        <w:rPr>
          <w:rFonts w:ascii="Times New Roman Italique" w:hAnsi="Times New Roman Italique"/>
          <w:i/>
        </w:rPr>
        <w:t>2</w:t>
      </w:r>
      <w:r w:rsidR="002F4119" w:rsidRPr="009118AB">
        <w:rPr>
          <w:i/>
          <w:iCs/>
        </w:rPr>
        <w:t xml:space="preserve"> des G. vom 5. Juli 2022 (B.S. vom 15. Juli 2022)</w:t>
      </w:r>
      <w:r w:rsidR="009F13DA" w:rsidRPr="009118AB">
        <w:rPr>
          <w:i/>
          <w:iCs/>
        </w:rPr>
        <w:t xml:space="preserve"> und abgeändert durch Art. 52 Nr. 1 des G. vom 20. November 2022 (B.S. vom 30. November 2022)</w:t>
      </w:r>
      <w:r w:rsidR="002F4119" w:rsidRPr="009118AB">
        <w:rPr>
          <w:i/>
          <w:iCs/>
          <w:spacing w:val="-2"/>
        </w:rPr>
        <w:t xml:space="preserve">; </w:t>
      </w:r>
      <w:r w:rsidR="00D67EB8" w:rsidRPr="009118AB">
        <w:rPr>
          <w:i/>
          <w:iCs/>
          <w:spacing w:val="-2"/>
        </w:rPr>
        <w:t>Abs. </w:t>
      </w:r>
      <w:r w:rsidR="00F51DE4" w:rsidRPr="009118AB">
        <w:rPr>
          <w:i/>
          <w:iCs/>
          <w:spacing w:val="-2"/>
        </w:rPr>
        <w:t xml:space="preserve">5 </w:t>
      </w:r>
      <w:r w:rsidRPr="009118AB">
        <w:rPr>
          <w:i/>
          <w:iCs/>
          <w:spacing w:val="-2"/>
        </w:rPr>
        <w:t xml:space="preserve">abgeändert durch </w:t>
      </w:r>
      <w:r w:rsidR="00D67EB8" w:rsidRPr="009118AB">
        <w:rPr>
          <w:i/>
          <w:iCs/>
          <w:spacing w:val="-2"/>
        </w:rPr>
        <w:t>Art. </w:t>
      </w:r>
      <w:r w:rsidRPr="009118AB">
        <w:rPr>
          <w:i/>
          <w:iCs/>
          <w:spacing w:val="-2"/>
        </w:rPr>
        <w:t>1 des K.E. vom 20. Juli 2000 (II) (B.S. vom 30. August 2000)</w:t>
      </w:r>
      <w:r w:rsidR="00D67EB8" w:rsidRPr="009118AB">
        <w:rPr>
          <w:i/>
          <w:iCs/>
          <w:spacing w:val="-2"/>
        </w:rPr>
        <w:t> - </w:t>
      </w:r>
      <w:r w:rsidRPr="009118AB">
        <w:rPr>
          <w:i/>
          <w:iCs/>
          <w:spacing w:val="-2"/>
        </w:rPr>
        <w:t>in Kraft ab dem Steuerjahr 2002</w:t>
      </w:r>
      <w:r w:rsidR="00FD68E8" w:rsidRPr="009118AB">
        <w:rPr>
          <w:i/>
          <w:iCs/>
          <w:spacing w:val="-2"/>
        </w:rPr>
        <w:t> -,</w:t>
      </w:r>
      <w:r w:rsidRPr="009118AB">
        <w:rPr>
          <w:i/>
          <w:iCs/>
          <w:spacing w:val="-2"/>
        </w:rPr>
        <w:t xml:space="preserve"> </w:t>
      </w:r>
      <w:r w:rsidRPr="009118AB">
        <w:rPr>
          <w:i/>
          <w:iCs/>
        </w:rPr>
        <w:t xml:space="preserve">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D67EB8" w:rsidRPr="009118AB">
        <w:rPr>
          <w:i/>
          <w:iCs/>
        </w:rPr>
        <w:t> -</w:t>
      </w:r>
      <w:r w:rsidR="009D6F3E" w:rsidRPr="009118AB">
        <w:rPr>
          <w:i/>
          <w:iCs/>
        </w:rPr>
        <w:t>,</w:t>
      </w:r>
      <w:r w:rsidR="00D67EB8" w:rsidRPr="009118AB">
        <w:rPr>
          <w:i/>
          <w:iCs/>
        </w:rPr>
        <w:t> </w:t>
      </w:r>
      <w:r w:rsidRPr="009118AB">
        <w:rPr>
          <w:i/>
          <w:iCs/>
        </w:rPr>
        <w:t xml:space="preserve">und durch </w:t>
      </w:r>
      <w:r w:rsidR="00D67EB8" w:rsidRPr="009118AB">
        <w:rPr>
          <w:i/>
          <w:iCs/>
        </w:rPr>
        <w:t>Art. </w:t>
      </w:r>
      <w:r w:rsidRPr="009118AB">
        <w:rPr>
          <w:i/>
          <w:iCs/>
        </w:rPr>
        <w:t xml:space="preserve">102 </w:t>
      </w:r>
      <w:r w:rsidR="00D67EB8" w:rsidRPr="009118AB">
        <w:rPr>
          <w:i/>
          <w:iCs/>
        </w:rPr>
        <w:t>Nr. </w:t>
      </w:r>
      <w:r w:rsidRPr="009118AB">
        <w:rPr>
          <w:i/>
          <w:iCs/>
        </w:rPr>
        <w:t>2</w:t>
      </w:r>
      <w:r w:rsidRPr="009118AB">
        <w:rPr>
          <w:i/>
        </w:rPr>
        <w:t xml:space="preserve"> des G. vom 27. Dezember 2012 (B.S. vom 31. Dezember 2012)</w:t>
      </w:r>
      <w:r w:rsidR="00D67EB8" w:rsidRPr="009118AB">
        <w:rPr>
          <w:rFonts w:ascii="Times New Roman Italique" w:hAnsi="Times New Roman Italique"/>
          <w:i/>
          <w:spacing w:val="-4"/>
        </w:rPr>
        <w:t> - </w:t>
      </w:r>
      <w:r w:rsidRPr="009118AB">
        <w:rPr>
          <w:rFonts w:ascii="Times New Roman Italique" w:hAnsi="Times New Roman Italique"/>
          <w:i/>
          <w:spacing w:val="-4"/>
        </w:rPr>
        <w:t>anwend</w:t>
      </w:r>
      <w:r w:rsidR="00434BD9">
        <w:rPr>
          <w:rFonts w:ascii="Times New Roman Italique" w:hAnsi="Times New Roman Italique"/>
          <w:i/>
          <w:spacing w:val="-4"/>
        </w:rPr>
        <w:softHyphen/>
      </w:r>
      <w:r w:rsidRPr="009118AB">
        <w:rPr>
          <w:rFonts w:ascii="Times New Roman Italique" w:hAnsi="Times New Roman Italique"/>
          <w:i/>
          <w:spacing w:val="-4"/>
        </w:rPr>
        <w:t>bar ab dem Steuerjahr 2013</w:t>
      </w:r>
      <w:r w:rsidR="003366D9" w:rsidRPr="009118AB">
        <w:rPr>
          <w:rFonts w:ascii="Times New Roman Italique" w:hAnsi="Times New Roman Italique"/>
          <w:i/>
          <w:spacing w:val="-4"/>
        </w:rPr>
        <w:t> -</w:t>
      </w:r>
      <w:r w:rsidR="009F13DA" w:rsidRPr="009118AB">
        <w:rPr>
          <w:rFonts w:ascii="Times New Roman Italique" w:hAnsi="Times New Roman Italique"/>
          <w:i/>
          <w:spacing w:val="-4"/>
        </w:rPr>
        <w:t>,</w:t>
      </w:r>
      <w:r w:rsidR="002F4119" w:rsidRPr="009118AB">
        <w:rPr>
          <w:rFonts w:ascii="Times New Roman Italique" w:hAnsi="Times New Roman Italique"/>
          <w:i/>
          <w:spacing w:val="-4"/>
        </w:rPr>
        <w:t xml:space="preserve"> Art.</w:t>
      </w:r>
      <w:r w:rsidR="002F4119" w:rsidRPr="009118AB">
        <w:rPr>
          <w:rFonts w:ascii="Times New Roman Italique" w:hAnsi="Times New Roman Italique" w:hint="eastAsia"/>
          <w:i/>
          <w:spacing w:val="-4"/>
        </w:rPr>
        <w:t> </w:t>
      </w:r>
      <w:r w:rsidR="002F4119" w:rsidRPr="009118AB">
        <w:rPr>
          <w:rFonts w:ascii="Times New Roman Italique" w:hAnsi="Times New Roman Italique"/>
          <w:i/>
          <w:spacing w:val="-4"/>
        </w:rPr>
        <w:t>84 Nr.</w:t>
      </w:r>
      <w:r w:rsidR="002F4119" w:rsidRPr="009118AB">
        <w:rPr>
          <w:rFonts w:ascii="Times New Roman Italique" w:hAnsi="Times New Roman Italique" w:hint="eastAsia"/>
          <w:i/>
          <w:spacing w:val="-4"/>
        </w:rPr>
        <w:t> </w:t>
      </w:r>
      <w:r w:rsidR="002F4119" w:rsidRPr="009118AB">
        <w:rPr>
          <w:rFonts w:ascii="Times New Roman Italique" w:hAnsi="Times New Roman Italique"/>
          <w:i/>
          <w:spacing w:val="-4"/>
        </w:rPr>
        <w:t>3</w:t>
      </w:r>
      <w:r w:rsidR="002F4119" w:rsidRPr="009118AB">
        <w:rPr>
          <w:i/>
          <w:iCs/>
        </w:rPr>
        <w:t xml:space="preserve"> des G. vom 5. Juli 2022 (B.S. vom 15. Juli 2022)</w:t>
      </w:r>
      <w:r w:rsidR="009F13DA" w:rsidRPr="009118AB">
        <w:rPr>
          <w:i/>
          <w:iCs/>
        </w:rPr>
        <w:t xml:space="preserve"> und Art. 52 Nr. 2 des G. vom 20. November 2022 (B.S. vom 30. November 2022)</w:t>
      </w:r>
      <w:r w:rsidR="003366D9" w:rsidRPr="009118AB">
        <w:rPr>
          <w:rFonts w:ascii="Times New Roman Italique" w:hAnsi="Times New Roman Italique"/>
          <w:i/>
          <w:spacing w:val="-4"/>
        </w:rPr>
        <w:t>;</w:t>
      </w:r>
      <w:r w:rsidRPr="009118AB">
        <w:rPr>
          <w:rFonts w:ascii="Times New Roman Italique" w:hAnsi="Times New Roman Italique"/>
          <w:i/>
          <w:spacing w:val="-4"/>
        </w:rPr>
        <w:t xml:space="preserve"> </w:t>
      </w:r>
      <w:r w:rsidR="00993738" w:rsidRPr="00993738">
        <w:rPr>
          <w:rFonts w:ascii="Times New Roman Italique" w:hAnsi="Times New Roman Italique"/>
          <w:i/>
          <w:spacing w:val="-4"/>
        </w:rPr>
        <w:t xml:space="preserve">früherer </w:t>
      </w:r>
      <w:r w:rsidR="00993738" w:rsidRPr="00993738">
        <w:rPr>
          <w:i/>
          <w:iCs/>
        </w:rPr>
        <w:t>Absatz 6 eingefügt durch Art. 3 des G. vom 20. September 2012 (B.S. vom 22. Oktober 2012), selbst für nichtig erklärt durch Entscheid Nr. 61/2014 des Verfassungsgerichtshofes vom 3. April 2014 (B.S. vom 2. Juni 2014), und aufgehoben durch Art. 37 des G. vom 22. Dezember 2023 (I) (B.S. vom 29. Dezember 2023);</w:t>
      </w:r>
      <w:r w:rsidR="00DF2227" w:rsidRPr="009118AB">
        <w:rPr>
          <w:i/>
          <w:iCs/>
        </w:rPr>
        <w:t xml:space="preserve"> </w:t>
      </w:r>
      <w:r w:rsidR="00D67EB8" w:rsidRPr="009118AB">
        <w:rPr>
          <w:i/>
          <w:iCs/>
        </w:rPr>
        <w:t>Abs. </w:t>
      </w:r>
      <w:r w:rsidR="00351BC4">
        <w:rPr>
          <w:i/>
          <w:iCs/>
        </w:rPr>
        <w:t>6</w:t>
      </w:r>
      <w:r w:rsidR="00395BAD" w:rsidRPr="009118AB">
        <w:rPr>
          <w:i/>
          <w:iCs/>
        </w:rPr>
        <w:t xml:space="preserve"> eingefügt durch </w:t>
      </w:r>
      <w:r w:rsidR="00D67EB8" w:rsidRPr="009118AB">
        <w:rPr>
          <w:i/>
          <w:iCs/>
        </w:rPr>
        <w:t>Art. </w:t>
      </w:r>
      <w:r w:rsidR="00395BAD" w:rsidRPr="009118AB">
        <w:rPr>
          <w:i/>
          <w:iCs/>
        </w:rPr>
        <w:t xml:space="preserve">37 </w:t>
      </w:r>
      <w:r w:rsidR="00395BAD" w:rsidRPr="009118AB">
        <w:rPr>
          <w:i/>
          <w:iCs/>
          <w:spacing w:val="-1"/>
        </w:rPr>
        <w:t>des G. vom 19. Dezember 2014 (B.S. vom 29. Dezember 2014)</w:t>
      </w:r>
      <w:r w:rsidR="00D67EB8" w:rsidRPr="009118AB">
        <w:rPr>
          <w:i/>
          <w:iCs/>
          <w:spacing w:val="-1"/>
        </w:rPr>
        <w:t> - </w:t>
      </w:r>
      <w:r w:rsidR="00395BAD" w:rsidRPr="009118AB">
        <w:rPr>
          <w:i/>
          <w:iCs/>
          <w:spacing w:val="-1"/>
        </w:rPr>
        <w:t xml:space="preserve">in Kraft am 29. Dezember 2014 und anwendbar auf alle Rechtsstreite, die </w:t>
      </w:r>
      <w:r w:rsidR="00D926DA" w:rsidRPr="009118AB">
        <w:rPr>
          <w:i/>
          <w:iCs/>
          <w:spacing w:val="-1"/>
        </w:rPr>
        <w:t xml:space="preserve">an diesem Datum </w:t>
      </w:r>
      <w:r w:rsidR="00395BAD" w:rsidRPr="009118AB">
        <w:rPr>
          <w:i/>
          <w:iCs/>
          <w:spacing w:val="-1"/>
        </w:rPr>
        <w:t>noch nicht endgültig abgeschlossen sind</w:t>
      </w:r>
      <w:r w:rsidR="003366D9" w:rsidRPr="009118AB">
        <w:rPr>
          <w:i/>
          <w:iCs/>
          <w:spacing w:val="-1"/>
        </w:rPr>
        <w:t> -</w:t>
      </w:r>
      <w:r w:rsidRPr="00B33FA3">
        <w:rPr>
          <w:i/>
          <w:iCs/>
        </w:rPr>
        <w:t>]</w:t>
      </w:r>
    </w:p>
    <w:p w14:paraId="560E88E9" w14:textId="77777777" w:rsidR="00993738" w:rsidRDefault="00993738" w:rsidP="009C6A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5A9E11F6" w14:textId="77777777" w:rsidR="00993738" w:rsidRDefault="00993738">
      <w:r>
        <w:br w:type="page"/>
      </w:r>
    </w:p>
    <w:p w14:paraId="572CDC03" w14:textId="06A748BC" w:rsidR="00477B8F" w:rsidRPr="009118AB" w:rsidRDefault="00477B8F" w:rsidP="009C6A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t>Unterabschnitt </w:t>
      </w:r>
      <w:r w:rsidR="006B602F" w:rsidRPr="009118AB">
        <w:t>2</w:t>
      </w:r>
      <w:r w:rsidR="00D67EB8" w:rsidRPr="009118AB">
        <w:t> - </w:t>
      </w:r>
      <w:r w:rsidRPr="009118AB">
        <w:t>Administrative Geldbußen</w:t>
      </w:r>
    </w:p>
    <w:p w14:paraId="6F01366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C90188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5F09E575" w14:textId="332D9C21" w:rsidR="00095C9D" w:rsidRPr="009118AB" w:rsidRDefault="00477B8F"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tab/>
      </w:r>
      <w:r w:rsidR="00D67EB8" w:rsidRPr="009118AB">
        <w:rPr>
          <w:b/>
          <w:bCs/>
        </w:rPr>
        <w:t>Art. </w:t>
      </w:r>
      <w:r w:rsidRPr="009118AB">
        <w:rPr>
          <w:b/>
          <w:bCs/>
        </w:rPr>
        <w:t>445</w:t>
      </w:r>
      <w:r w:rsidR="00D67EB8" w:rsidRPr="009118AB">
        <w:t> - </w:t>
      </w:r>
      <w:r w:rsidR="00095C9D" w:rsidRPr="009118AB">
        <w:rPr>
          <w:iCs/>
        </w:rPr>
        <w:t>[</w:t>
      </w:r>
      <w:r w:rsidR="00D67EB8" w:rsidRPr="009118AB">
        <w:rPr>
          <w:iCs/>
        </w:rPr>
        <w:t>§ </w:t>
      </w:r>
      <w:r w:rsidR="00095C9D" w:rsidRPr="009118AB">
        <w:rPr>
          <w:iCs/>
        </w:rPr>
        <w:t>1]</w:t>
      </w:r>
      <w:r w:rsidR="00D67EB8" w:rsidRPr="009118AB">
        <w:rPr>
          <w:iCs/>
        </w:rPr>
        <w:t> - </w:t>
      </w:r>
      <w:r w:rsidR="00095C9D" w:rsidRPr="009118AB">
        <w:rPr>
          <w:iCs/>
        </w:rPr>
        <w:t>Der vom [Generalberater] beauftragte Beamte kann für Verstöße gegen die Bestimmungen des vorliegenden Gesetzbuches und seiner Ausführungserlasse eine Geldbuße [von [50 EUR] bis zu [1.250 EUR]] auferlegen.</w:t>
      </w:r>
    </w:p>
    <w:p w14:paraId="19B4A15B"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419EF075" w14:textId="77777777"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9118AB">
        <w:rPr>
          <w:iCs/>
        </w:rPr>
        <w:t>[Der König legt die Skala der administrativen Geldbußen fest und regelt deren Anwendungsmodalitäten.]</w:t>
      </w:r>
    </w:p>
    <w:p w14:paraId="097B8E86"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6417723C" w14:textId="77777777"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9118AB">
        <w:rPr>
          <w:iCs/>
        </w:rPr>
        <w:t>Diese Geldbuße wird gemäß den Regeln, die in Sachen Steuer der natürlichen Personen anwendbar sind, [festgelegt und] eingetrieben.</w:t>
      </w:r>
    </w:p>
    <w:p w14:paraId="7286538A"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63FDCFB" w14:textId="77777777"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9118AB">
        <w:rPr>
          <w:iCs/>
        </w:rPr>
        <w:t>[...]</w:t>
      </w:r>
    </w:p>
    <w:p w14:paraId="7B0D48CB"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47AE9C1E" w14:textId="77777777"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9118AB">
        <w:rPr>
          <w:iCs/>
        </w:rPr>
        <w:t>[In Abweichung von Absatz 2 wird eine Geldbuße, die zusammen mit dem Vorabzug, auf den sie sich bezieht, in die Heberolle eingetragen wird, gemäß den Regeln, die in Sachen Mobiliensteuervorabzug und Berufssteuervorabzug anwendbar sind, festgelegt und eingetrieben.]</w:t>
      </w:r>
    </w:p>
    <w:p w14:paraId="10A7F4DB"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166933C0" w14:textId="419EA916"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C210B3">
        <w:rPr>
          <w:iCs/>
        </w:rPr>
        <w:t>[</w:t>
      </w:r>
      <w:r w:rsidR="00C210B3" w:rsidRPr="00C210B3">
        <w:rPr>
          <w:iCs/>
        </w:rPr>
        <w:t>..</w:t>
      </w:r>
      <w:r w:rsidR="00095C9D" w:rsidRPr="00C210B3">
        <w:rPr>
          <w:iCs/>
        </w:rPr>
        <w:t>.]</w:t>
      </w:r>
    </w:p>
    <w:p w14:paraId="5CF31D72" w14:textId="77777777" w:rsidR="00095C9D"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75BD904D" w14:textId="31065817"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9118AB">
        <w:rPr>
          <w:iCs/>
        </w:rPr>
        <w:t xml:space="preserve">[Keine Geldbuße wird angewandt, wenn der Steuerpflichtige nachweist, dass der Betrag der in Artikel 57 erwähnten Ausgaben oder der in den Artikeln 31 Absatz 2 </w:t>
      </w:r>
      <w:r w:rsidR="00D67EB8" w:rsidRPr="009118AB">
        <w:rPr>
          <w:iCs/>
        </w:rPr>
        <w:t>Nr. </w:t>
      </w:r>
      <w:r w:rsidR="00095C9D" w:rsidRPr="009118AB">
        <w:rPr>
          <w:iCs/>
        </w:rPr>
        <w:t xml:space="preserve">2 und 32 Absatz 2 </w:t>
      </w:r>
      <w:r w:rsidR="00D67EB8" w:rsidRPr="009118AB">
        <w:rPr>
          <w:iCs/>
        </w:rPr>
        <w:t>Nr. </w:t>
      </w:r>
      <w:r w:rsidR="00095C9D" w:rsidRPr="009118AB">
        <w:rPr>
          <w:iCs/>
        </w:rPr>
        <w:t>2 erwähnten Vorteile jeglicher Art in einer vom Empfänger gemäß Artikel 305 eingereichten Erklärung oder in einer vom Empfänger im Ausland eingereichten gleichartigen Erklärung enthalten ist.]</w:t>
      </w:r>
    </w:p>
    <w:p w14:paraId="0455DDC7"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6D29BBE2" w14:textId="5292FF44"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9118AB">
        <w:rPr>
          <w:iCs/>
        </w:rPr>
        <w:t>[</w:t>
      </w:r>
      <w:r w:rsidR="00D67EB8" w:rsidRPr="009118AB">
        <w:rPr>
          <w:iCs/>
        </w:rPr>
        <w:t>§ </w:t>
      </w:r>
      <w:r w:rsidR="00095C9D" w:rsidRPr="009118AB">
        <w:rPr>
          <w:iCs/>
        </w:rPr>
        <w:t>2</w:t>
      </w:r>
      <w:r w:rsidR="00D67EB8" w:rsidRPr="009118AB">
        <w:rPr>
          <w:iCs/>
        </w:rPr>
        <w:t> - </w:t>
      </w:r>
      <w:r w:rsidR="00095C9D" w:rsidRPr="009118AB">
        <w:rPr>
          <w:iCs/>
        </w:rPr>
        <w:t xml:space="preserve">In Abweichung von </w:t>
      </w:r>
      <w:r w:rsidR="00D67EB8" w:rsidRPr="009118AB">
        <w:rPr>
          <w:iCs/>
        </w:rPr>
        <w:t>§ </w:t>
      </w:r>
      <w:r w:rsidR="00095C9D" w:rsidRPr="009118AB">
        <w:rPr>
          <w:iCs/>
        </w:rPr>
        <w:t xml:space="preserve">1 Absatz 1 erlegt der vom Generalberater beauftragte Beamte für die Nichteinhaltung der </w:t>
      </w:r>
      <w:r w:rsidR="00BA16D1" w:rsidRPr="009118AB">
        <w:rPr>
          <w:iCs/>
        </w:rPr>
        <w:t xml:space="preserve">[in Artikel 307 </w:t>
      </w:r>
      <w:r w:rsidR="00D67EB8" w:rsidRPr="009118AB">
        <w:rPr>
          <w:iCs/>
        </w:rPr>
        <w:t>§ </w:t>
      </w:r>
      <w:r w:rsidR="00BA16D1" w:rsidRPr="009118AB">
        <w:rPr>
          <w:iCs/>
        </w:rPr>
        <w:t>1/1 Absatz 1 Buchstabe </w:t>
      </w:r>
      <w:r w:rsidR="00BA16D1" w:rsidRPr="009118AB">
        <w:rPr>
          <w:i/>
          <w:iCs/>
        </w:rPr>
        <w:t>c)</w:t>
      </w:r>
      <w:r w:rsidR="00BA16D1" w:rsidRPr="009118AB">
        <w:rPr>
          <w:iCs/>
        </w:rPr>
        <w:t xml:space="preserve">, </w:t>
      </w:r>
      <w:r w:rsidR="00D67EB8" w:rsidRPr="009118AB">
        <w:rPr>
          <w:iCs/>
        </w:rPr>
        <w:t>§ </w:t>
      </w:r>
      <w:r w:rsidR="00BA16D1" w:rsidRPr="009118AB">
        <w:rPr>
          <w:iCs/>
        </w:rPr>
        <w:t xml:space="preserve">1/3 und </w:t>
      </w:r>
      <w:r w:rsidR="00D67EB8" w:rsidRPr="009118AB">
        <w:rPr>
          <w:iCs/>
        </w:rPr>
        <w:t>§ </w:t>
      </w:r>
      <w:r w:rsidR="00BA16D1" w:rsidRPr="009118AB">
        <w:rPr>
          <w:iCs/>
        </w:rPr>
        <w:t>1/4]</w:t>
      </w:r>
      <w:r w:rsidR="00095C9D" w:rsidRPr="009118AB">
        <w:rPr>
          <w:iCs/>
        </w:rPr>
        <w:t xml:space="preserve"> vorgesehenen Verpflichtung eine Geldbuße von 6.250 EUR auf.</w:t>
      </w:r>
    </w:p>
    <w:p w14:paraId="7519CDD3"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79FA1A40" w14:textId="77777777"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9118AB">
        <w:rPr>
          <w:iCs/>
        </w:rPr>
        <w:t>Vorerwähnte Geldbuße wird pro Jahr und pro nicht vermerkte Rechtsvereinbarung angewandt.]</w:t>
      </w:r>
    </w:p>
    <w:p w14:paraId="0ACDFA2C"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1B031346" w14:textId="7C362D51"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9118AB">
        <w:rPr>
          <w:iCs/>
        </w:rPr>
        <w:t>[</w:t>
      </w:r>
      <w:r w:rsidR="00D67EB8" w:rsidRPr="009118AB">
        <w:rPr>
          <w:iCs/>
        </w:rPr>
        <w:t>§ </w:t>
      </w:r>
      <w:r w:rsidR="00095C9D" w:rsidRPr="009118AB">
        <w:rPr>
          <w:iCs/>
        </w:rPr>
        <w:t>3</w:t>
      </w:r>
      <w:r w:rsidR="00D67EB8" w:rsidRPr="009118AB">
        <w:rPr>
          <w:iCs/>
        </w:rPr>
        <w:t> - </w:t>
      </w:r>
      <w:r w:rsidR="00095C9D" w:rsidRPr="009118AB">
        <w:rPr>
          <w:iCs/>
        </w:rPr>
        <w:t xml:space="preserve">In Abweichung von </w:t>
      </w:r>
      <w:r w:rsidR="00D67EB8" w:rsidRPr="009118AB">
        <w:rPr>
          <w:iCs/>
        </w:rPr>
        <w:t>§ </w:t>
      </w:r>
      <w:r w:rsidR="00095C9D" w:rsidRPr="009118AB">
        <w:rPr>
          <w:iCs/>
        </w:rPr>
        <w:t>1 Absatz 1 kann der vom zuständigen Generalberater beauftragte Beamte für Verstöße gegen die Bestimmungen der Artikel 321/1 bis 321/6 und ihre Ausführungserlasse ab dem zweiten Verstoß eine Geldbuße von 1.250 EUR bis zu 25.000 EUR auferlegen. [Bei Verstößen, die auf Bösgläubigkeit oder Steuerhinterziehungsabsicht zurück</w:t>
      </w:r>
      <w:r w:rsidR="00095C9D" w:rsidRPr="009118AB">
        <w:rPr>
          <w:iCs/>
        </w:rPr>
        <w:softHyphen/>
        <w:t>zuführen sind, kann für den ersten Verstoß eine Geldbuße von 12.500 EUR auferlegt werden. Ab dem zweiten Verstoß kann eine Geldbuße von 25.000 EUR auferlegt werden.]</w:t>
      </w:r>
    </w:p>
    <w:p w14:paraId="60071B20"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BF86354" w14:textId="43F8EABE" w:rsidR="00095C9D" w:rsidRPr="009118AB"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Cs/>
        </w:rPr>
        <w:tab/>
      </w:r>
      <w:r w:rsidR="00095C9D" w:rsidRPr="009118AB">
        <w:rPr>
          <w:iCs/>
        </w:rPr>
        <w:t>Der König legt die Skala der administrativen Geldbußen fest und regelt deren Anwendungsmodalitäten.]</w:t>
      </w:r>
    </w:p>
    <w:p w14:paraId="3F5243A1" w14:textId="51F951B4" w:rsidR="00F44B09" w:rsidRPr="009118AB" w:rsidRDefault="00F44B09"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19336715" w14:textId="6E57427F" w:rsidR="00F44B09" w:rsidRPr="009118AB" w:rsidRDefault="00F44B09" w:rsidP="00F44B09">
      <w:pPr>
        <w:ind w:firstLine="708"/>
        <w:jc w:val="both"/>
      </w:pPr>
      <w:r w:rsidRPr="009118AB">
        <w:rPr>
          <w:iCs/>
        </w:rPr>
        <w:tab/>
        <w:t>[</w:t>
      </w:r>
      <w:r w:rsidR="00D67EB8" w:rsidRPr="009118AB">
        <w:t>§ </w:t>
      </w:r>
      <w:r w:rsidRPr="009118AB">
        <w:t>4</w:t>
      </w:r>
      <w:r w:rsidR="00D67EB8" w:rsidRPr="009118AB">
        <w:t> - </w:t>
      </w:r>
      <w:r w:rsidRPr="009118AB">
        <w:t xml:space="preserve">In Abweichung von </w:t>
      </w:r>
      <w:r w:rsidR="00D67EB8" w:rsidRPr="009118AB">
        <w:t>§ </w:t>
      </w:r>
      <w:r w:rsidRPr="009118AB">
        <w:t xml:space="preserve">1 Absatz 1 </w:t>
      </w:r>
      <w:r w:rsidR="003D2F4C">
        <w:t>[</w:t>
      </w:r>
      <w:r w:rsidR="003D2F4C" w:rsidRPr="003D2F4C">
        <w:t>kann</w:t>
      </w:r>
      <w:r w:rsidR="003D2F4C">
        <w:t>]</w:t>
      </w:r>
      <w:r w:rsidRPr="009118AB">
        <w:t xml:space="preserve"> der vom zuständigen Generalberater beauftragte Beamte für Verstöße gegen die Bestimmungen der Artikel 326/1 bis 326/9 und ihre Ausführungserlasse, die in der unvollständigen Vorlage der in Artikel 338 </w:t>
      </w:r>
      <w:r w:rsidR="00D67EB8" w:rsidRPr="009118AB">
        <w:t>§ </w:t>
      </w:r>
      <w:r w:rsidRPr="009118AB">
        <w:t xml:space="preserve">6/4 erwähnten Informationen bestehen, eine Geldbuße von 1.250 bis zu 12.500 EUR </w:t>
      </w:r>
      <w:r w:rsidR="003D2F4C">
        <w:t>[</w:t>
      </w:r>
      <w:r w:rsidR="003D2F4C" w:rsidRPr="003D2F4C">
        <w:t>auferlegen</w:t>
      </w:r>
      <w:r w:rsidR="003D2F4C">
        <w:t>]</w:t>
      </w:r>
      <w:r w:rsidRPr="009118AB">
        <w:t>. Für solche Verstöße, die in betrügerischer Absicht oder mit der Absicht zu schaden begangen wurden, wird eine Geldbuße von 2.500 bis zu 25.000 EUR auferlegt.</w:t>
      </w:r>
    </w:p>
    <w:p w14:paraId="64063F62" w14:textId="77777777" w:rsidR="00F44B09" w:rsidRPr="009118AB" w:rsidRDefault="00F44B09" w:rsidP="00F44B09">
      <w:pPr>
        <w:jc w:val="both"/>
      </w:pPr>
    </w:p>
    <w:p w14:paraId="5EBA79A0" w14:textId="225A69E6" w:rsidR="00F44B09" w:rsidRPr="009118AB" w:rsidRDefault="00F44B09" w:rsidP="00F44B09">
      <w:pPr>
        <w:ind w:firstLine="708"/>
        <w:jc w:val="both"/>
      </w:pPr>
      <w:r w:rsidRPr="009118AB">
        <w:t xml:space="preserve">Der vom zuständigen Generalberater beauftragte Beamte </w:t>
      </w:r>
      <w:r w:rsidR="002A697F">
        <w:t>[</w:t>
      </w:r>
      <w:r w:rsidR="002A697F" w:rsidRPr="002A697F">
        <w:t>kann</w:t>
      </w:r>
      <w:r w:rsidR="002A697F">
        <w:t>]</w:t>
      </w:r>
      <w:r w:rsidRPr="009118AB">
        <w:t xml:space="preserve"> für Verstöße gegen die Bestimmungen der Artikel 326/1 bis 326/9 und ihre Ausführungserlasse, die in der Nichtvorlage oder der verspäteten Vorlage der in Artikel 338 </w:t>
      </w:r>
      <w:r w:rsidR="00D67EB8" w:rsidRPr="009118AB">
        <w:t>§ </w:t>
      </w:r>
      <w:r w:rsidRPr="009118AB">
        <w:t xml:space="preserve">6/4 erwähnten Informationen bestehen, eine Geldbuße von 5.000 bis zu 50.000 EUR </w:t>
      </w:r>
      <w:r w:rsidR="002A697F">
        <w:t>[</w:t>
      </w:r>
      <w:r w:rsidR="002A697F" w:rsidRPr="002A697F">
        <w:t>auferlegen</w:t>
      </w:r>
      <w:r w:rsidR="002A697F">
        <w:t>]</w:t>
      </w:r>
      <w:r w:rsidRPr="009118AB">
        <w:t>. Für solche Verstöße, die in betrügerischer Absicht oder mit der Absicht zu schaden begangen wurden, wird eine Geldbuße von 12.500 bis zu 100.000 EUR auferlegt.</w:t>
      </w:r>
    </w:p>
    <w:p w14:paraId="32D8E5F6" w14:textId="77777777" w:rsidR="00F44B09" w:rsidRPr="009118AB" w:rsidRDefault="00F44B09" w:rsidP="00F44B09">
      <w:pPr>
        <w:jc w:val="both"/>
      </w:pPr>
    </w:p>
    <w:p w14:paraId="64C0348A" w14:textId="53E1F8CA" w:rsidR="00F44B09" w:rsidRPr="009118AB" w:rsidRDefault="00F44B09" w:rsidP="00F44B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tab/>
        <w:t>Der König legt die progressive Skala der administrativen Geldbußen fest und regelt deren Anwendungsmodalitäten.</w:t>
      </w:r>
      <w:r w:rsidRPr="009118AB">
        <w:rPr>
          <w:iCs/>
        </w:rPr>
        <w:t>]</w:t>
      </w:r>
    </w:p>
    <w:p w14:paraId="1F123C8B" w14:textId="19A96E33" w:rsidR="00A1126B" w:rsidRPr="009118AB" w:rsidRDefault="00A1126B" w:rsidP="00F44B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6C66177" w14:textId="42DA2DAB" w:rsidR="00A1126B" w:rsidRPr="009118AB" w:rsidRDefault="00A1126B" w:rsidP="00A1126B">
      <w:pPr>
        <w:jc w:val="both"/>
      </w:pPr>
      <w:r w:rsidRPr="009118AB">
        <w:rPr>
          <w:iCs/>
        </w:rPr>
        <w:tab/>
        <w:t>[</w:t>
      </w:r>
      <w:r w:rsidR="00D67EB8" w:rsidRPr="009118AB">
        <w:t>§ </w:t>
      </w:r>
      <w:r w:rsidRPr="009118AB">
        <w:t>5</w:t>
      </w:r>
      <w:r w:rsidR="00D67EB8" w:rsidRPr="009118AB">
        <w:t> - </w:t>
      </w:r>
      <w:r w:rsidRPr="009118AB">
        <w:t xml:space="preserve">In Abweichung von </w:t>
      </w:r>
      <w:r w:rsidR="00D67EB8" w:rsidRPr="009118AB">
        <w:t>§ </w:t>
      </w:r>
      <w:r w:rsidRPr="009118AB">
        <w:t>1 kann der zuständige Generalberater der Generalverwaltung Vermögensdokumentation oder der von ihm beauftragte Beamte bei Nichteinhaltung der in Artikel 473 vorgesehenen Erklärungspflichten eine administrative Geldbuße von 250 bis zu 3.000 EUR auferlegen.</w:t>
      </w:r>
    </w:p>
    <w:p w14:paraId="1395E81A" w14:textId="77777777" w:rsidR="00A1126B" w:rsidRPr="009118AB" w:rsidRDefault="00A1126B" w:rsidP="00A1126B">
      <w:pPr>
        <w:jc w:val="both"/>
      </w:pPr>
    </w:p>
    <w:p w14:paraId="78F5E710" w14:textId="77777777" w:rsidR="00A1126B" w:rsidRPr="009118AB" w:rsidRDefault="00A1126B" w:rsidP="00A1126B">
      <w:pPr>
        <w:jc w:val="both"/>
      </w:pPr>
      <w:r w:rsidRPr="009118AB">
        <w:tab/>
        <w:t>Der in vorhergehendem Absatz erwähnte Verstoß gilt als gegeben, sobald er festgestellt und dem Steuerpflichtigen von der Verwaltung mitgeteilt wird.</w:t>
      </w:r>
    </w:p>
    <w:p w14:paraId="0CAE44CE" w14:textId="77777777" w:rsidR="00A1126B" w:rsidRPr="009118AB" w:rsidRDefault="00A1126B" w:rsidP="00A1126B">
      <w:pPr>
        <w:jc w:val="both"/>
      </w:pPr>
    </w:p>
    <w:p w14:paraId="13F55BDE" w14:textId="14924D35" w:rsidR="00A1126B" w:rsidRPr="009118AB" w:rsidRDefault="00A1126B" w:rsidP="00A112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tab/>
        <w:t>Der König legt die Skala der administrativen Geldbußen fest und regelt deren Anwendungsmodalitäten.</w:t>
      </w:r>
      <w:r w:rsidRPr="009118AB">
        <w:rPr>
          <w:iCs/>
        </w:rPr>
        <w:t>]</w:t>
      </w:r>
    </w:p>
    <w:p w14:paraId="4EAEDEB1" w14:textId="77777777" w:rsidR="00B73E57" w:rsidRPr="009118AB" w:rsidRDefault="00B73E57" w:rsidP="00A112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3EAA3CC1" w14:textId="137CE52F" w:rsidR="00B73E57" w:rsidRPr="009118AB" w:rsidRDefault="00B73E57" w:rsidP="00B73E57">
      <w:pPr>
        <w:jc w:val="both"/>
      </w:pPr>
      <w:r w:rsidRPr="009118AB">
        <w:rPr>
          <w:iCs/>
        </w:rPr>
        <w:tab/>
        <w:t>[</w:t>
      </w:r>
      <w:r w:rsidRPr="009118AB">
        <w:t>§ 6 - In Abweichung von § 1 erlegt der zuständige Generalberater oder der von ihm beauftragte Beamte dem Plattformbetreiber bei Nichteinhaltung seiner Registrierungspflichten gemäß Artikel 321</w:t>
      </w:r>
      <w:r w:rsidRPr="009118AB">
        <w:rPr>
          <w:i/>
          <w:iCs/>
        </w:rPr>
        <w:t>septies</w:t>
      </w:r>
      <w:r w:rsidRPr="009118AB">
        <w:t xml:space="preserve"> § 1 eine administrative Geldbuße von 25.000 EUR auf.</w:t>
      </w:r>
    </w:p>
    <w:p w14:paraId="23E994E0" w14:textId="77777777" w:rsidR="00B73E57" w:rsidRPr="009118AB" w:rsidRDefault="00B73E57" w:rsidP="00B73E57">
      <w:pPr>
        <w:jc w:val="both"/>
      </w:pPr>
    </w:p>
    <w:p w14:paraId="53012A45" w14:textId="77777777" w:rsidR="00B73E57" w:rsidRPr="009118AB" w:rsidRDefault="00B73E57" w:rsidP="00B73E57">
      <w:pPr>
        <w:jc w:val="both"/>
      </w:pPr>
      <w:r w:rsidRPr="009118AB">
        <w:tab/>
        <w:t>In Abweichung von § 1 erlegt der zuständige Generalberater oder der von ihm beauftragte Beamte dem Plattformbetreiber im Falle der Fortsetzung seiner Tätigkeit auf belgischem Staatsgebiet nach dem Widerruf seiner Registrierung durch die belgische zuständige Behörde gemäß Artikel 321</w:t>
      </w:r>
      <w:r w:rsidRPr="009118AB">
        <w:rPr>
          <w:i/>
          <w:iCs/>
        </w:rPr>
        <w:t>septies</w:t>
      </w:r>
      <w:r w:rsidRPr="009118AB">
        <w:t xml:space="preserve"> § 5 eine administrative Geldbuße von 50.000 EUR auf.</w:t>
      </w:r>
    </w:p>
    <w:p w14:paraId="6EBF6B2F" w14:textId="77777777" w:rsidR="00B73E57" w:rsidRPr="009118AB" w:rsidRDefault="00B73E57" w:rsidP="00B73E57">
      <w:pPr>
        <w:jc w:val="both"/>
      </w:pPr>
    </w:p>
    <w:p w14:paraId="407FED46" w14:textId="77777777" w:rsidR="00B73E57" w:rsidRPr="009118AB" w:rsidRDefault="00B73E57" w:rsidP="00B73E57">
      <w:pPr>
        <w:jc w:val="both"/>
      </w:pPr>
      <w:r w:rsidRPr="009118AB">
        <w:tab/>
        <w:t>Bei aufeinander folgender Anwendung werden die in den Absätzen 1 und 2 erwähnten Geldbußen um jeweils 50 Prozent erhöht.</w:t>
      </w:r>
    </w:p>
    <w:p w14:paraId="06BE725F" w14:textId="77777777" w:rsidR="00B73E57" w:rsidRPr="009118AB" w:rsidRDefault="00B73E57" w:rsidP="00B73E57">
      <w:pPr>
        <w:jc w:val="both"/>
      </w:pPr>
    </w:p>
    <w:p w14:paraId="5336551E" w14:textId="0D0A1B8A" w:rsidR="00B73E57" w:rsidRPr="009118AB" w:rsidRDefault="00B73E57" w:rsidP="00B73E57">
      <w:pPr>
        <w:jc w:val="both"/>
      </w:pPr>
      <w:r w:rsidRPr="009118AB">
        <w:tab/>
        <w:t xml:space="preserve">In Abweichung von § 1 Absatz 1 </w:t>
      </w:r>
      <w:r w:rsidR="006940F2">
        <w:t>[</w:t>
      </w:r>
      <w:r w:rsidR="006940F2" w:rsidRPr="006940F2">
        <w:t>kann</w:t>
      </w:r>
      <w:r w:rsidR="006940F2">
        <w:t>]</w:t>
      </w:r>
      <w:r w:rsidRPr="009118AB">
        <w:t xml:space="preserve"> der vom zuständigen Generalberater beauftragte Beamte für Verstöße gegen die Bestimmungen von Artikel 321</w:t>
      </w:r>
      <w:r w:rsidRPr="009118AB">
        <w:rPr>
          <w:i/>
          <w:iCs/>
        </w:rPr>
        <w:t>sexies</w:t>
      </w:r>
      <w:r w:rsidRPr="009118AB">
        <w:t xml:space="preserve"> und ihre Ausführungserlasse, die in der unvollständigen Vorlage der in diesem Artikel erwähnten Informationen bestehen, eine Geldbuße von 1.250 bis zu 12.500 EUR </w:t>
      </w:r>
      <w:r w:rsidR="006940F2">
        <w:t>[</w:t>
      </w:r>
      <w:r w:rsidR="006940F2" w:rsidRPr="006940F2">
        <w:t>auferlegen</w:t>
      </w:r>
      <w:r w:rsidR="006940F2">
        <w:t>]</w:t>
      </w:r>
      <w:r w:rsidRPr="009118AB">
        <w:t>. Für solche Verstöße, die in betrügerischer Absicht oder mit der Absicht zu schaden begangen wurden, wird eine Geldbuße von 2.500 bis zu 25.000 EUR auferlegt.</w:t>
      </w:r>
    </w:p>
    <w:p w14:paraId="666C38FC" w14:textId="77777777" w:rsidR="00B73E57" w:rsidRPr="009118AB" w:rsidRDefault="00B73E57" w:rsidP="00B73E57">
      <w:pPr>
        <w:jc w:val="both"/>
      </w:pPr>
    </w:p>
    <w:p w14:paraId="60D31AA0" w14:textId="14C946C1" w:rsidR="00B73E57" w:rsidRPr="009118AB" w:rsidRDefault="00B73E57" w:rsidP="00B73E57">
      <w:pPr>
        <w:jc w:val="both"/>
      </w:pPr>
      <w:r w:rsidRPr="009118AB">
        <w:tab/>
        <w:t xml:space="preserve">Der vom zuständigen Generalberater beauftragte Beamte </w:t>
      </w:r>
      <w:r w:rsidR="006940F2">
        <w:t>[</w:t>
      </w:r>
      <w:r w:rsidR="006940F2" w:rsidRPr="006940F2">
        <w:t>kann</w:t>
      </w:r>
      <w:r w:rsidR="006940F2">
        <w:t>]</w:t>
      </w:r>
      <w:r w:rsidRPr="009118AB">
        <w:t xml:space="preserve"> für Verstöße gegen die Bestimmungen von Artikel 321</w:t>
      </w:r>
      <w:r w:rsidRPr="009118AB">
        <w:rPr>
          <w:i/>
          <w:iCs/>
        </w:rPr>
        <w:t>sexies</w:t>
      </w:r>
      <w:r w:rsidRPr="009118AB">
        <w:t xml:space="preserve"> und ihre Ausführungserlasse, die in der Nichtvorlage oder der verspäteten Vorlage der in diesem Artikel erwähnten Informationen bestehen, eine Geldbuße von 2.500 bis zu 25.000 EUR </w:t>
      </w:r>
      <w:r w:rsidR="005636EC">
        <w:t>[</w:t>
      </w:r>
      <w:r w:rsidR="005636EC" w:rsidRPr="005636EC">
        <w:t>auferlegen</w:t>
      </w:r>
      <w:r w:rsidR="005636EC">
        <w:t>]</w:t>
      </w:r>
      <w:r w:rsidRPr="009118AB">
        <w:t>. Für solche Verstöße, die in betrügerischer Absicht oder mit der Absicht zu schaden begangen wurden, wird eine Geldbuße von 5.000 bis zu 50.000 EUR auferlegt.</w:t>
      </w:r>
    </w:p>
    <w:p w14:paraId="1DB1485D" w14:textId="77777777" w:rsidR="00B73E57" w:rsidRPr="009118AB" w:rsidRDefault="00B73E57" w:rsidP="00B73E57">
      <w:pPr>
        <w:jc w:val="both"/>
      </w:pPr>
    </w:p>
    <w:p w14:paraId="3531E244" w14:textId="77777777" w:rsidR="00B73E57" w:rsidRPr="009118AB" w:rsidRDefault="00B73E57" w:rsidP="00B73E57">
      <w:pPr>
        <w:jc w:val="both"/>
      </w:pPr>
      <w:r w:rsidRPr="009118AB">
        <w:tab/>
        <w:t>Liegt keine Bösgläubigkeit vor, kann von der Anwendung einer Geldbuße abgesehen werden.</w:t>
      </w:r>
    </w:p>
    <w:p w14:paraId="55C2134F" w14:textId="77777777" w:rsidR="00B73E57" w:rsidRPr="009118AB" w:rsidRDefault="00B73E57" w:rsidP="00B73E57">
      <w:pPr>
        <w:jc w:val="both"/>
      </w:pPr>
    </w:p>
    <w:p w14:paraId="56A1046B" w14:textId="712AD6BC" w:rsidR="00B73E57" w:rsidRDefault="00B73E57"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König legt die Skala der in den Absätzen 4 und 5 vorgesehenen administrativen Geldbußen fest und regelt deren Anwendungsmodalitäten.]</w:t>
      </w:r>
    </w:p>
    <w:p w14:paraId="4D699651" w14:textId="77777777" w:rsidR="005636EC" w:rsidRDefault="005636EC"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07FD8CD" w14:textId="05F3239A" w:rsidR="005636EC" w:rsidRPr="005636EC" w:rsidRDefault="005636EC" w:rsidP="005636EC">
      <w:pPr>
        <w:ind w:firstLine="708"/>
        <w:jc w:val="both"/>
      </w:pPr>
      <w:r>
        <w:tab/>
        <w:t>[</w:t>
      </w:r>
      <w:r w:rsidRPr="005636EC">
        <w:t>§ 7 - Der König kann für Geldbußen, die Er bestimmt, Modalitäten für die Anwendung von Maßnahmen zur Individualisierung der Sanktion durch das zuständige Gericht vorsehen.</w:t>
      </w:r>
      <w:r>
        <w:t>]</w:t>
      </w:r>
    </w:p>
    <w:p w14:paraId="63076BD9" w14:textId="77777777" w:rsidR="00095C9D" w:rsidRPr="009118AB"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EC157F9" w14:textId="001D7EF1" w:rsidR="00193964" w:rsidRDefault="00095C9D" w:rsidP="008812FB">
      <w:pPr>
        <w:jc w:val="both"/>
        <w:rPr>
          <w:rFonts w:ascii="Times New Roman Italique" w:hAnsi="Times New Roman Italique"/>
          <w:i/>
          <w:iCs/>
          <w:spacing w:val="-2"/>
        </w:rPr>
      </w:pPr>
      <w:r w:rsidRPr="009118AB">
        <w:rPr>
          <w:i/>
          <w:iCs/>
        </w:rPr>
        <w:t>[</w:t>
      </w:r>
      <w:r w:rsidR="00D67EB8" w:rsidRPr="009118AB">
        <w:rPr>
          <w:i/>
          <w:iCs/>
        </w:rPr>
        <w:t>Art. </w:t>
      </w:r>
      <w:r w:rsidRPr="009118AB">
        <w:rPr>
          <w:i/>
          <w:iCs/>
        </w:rPr>
        <w:t xml:space="preserve">445 </w:t>
      </w:r>
      <w:r w:rsidR="00D67EB8" w:rsidRPr="009118AB">
        <w:rPr>
          <w:i/>
          <w:iCs/>
        </w:rPr>
        <w:t>§ </w:t>
      </w:r>
      <w:r w:rsidRPr="009118AB">
        <w:rPr>
          <w:i/>
          <w:iCs/>
        </w:rPr>
        <w:t xml:space="preserve">1 (frühere Absätze 1 bis 6) nummeriert durch </w:t>
      </w:r>
      <w:r w:rsidR="00D67EB8" w:rsidRPr="009118AB">
        <w:rPr>
          <w:i/>
          <w:iCs/>
        </w:rPr>
        <w:t>Art. </w:t>
      </w:r>
      <w:r w:rsidRPr="009118AB">
        <w:rPr>
          <w:i/>
          <w:iCs/>
        </w:rPr>
        <w:t>49 des G. vom 1. Juli 2016 (B.S. vom 4. Juli 2016)</w:t>
      </w:r>
      <w:r w:rsidR="00D67EB8" w:rsidRPr="009118AB">
        <w:rPr>
          <w:i/>
          <w:iCs/>
        </w:rPr>
        <w:t> - </w:t>
      </w:r>
      <w:r w:rsidRPr="009118AB">
        <w:rPr>
          <w:i/>
          <w:iCs/>
        </w:rPr>
        <w:t>in Kraft am 4. Juli 2016</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abgeändert durch </w:t>
      </w:r>
      <w:r w:rsidR="00D67EB8" w:rsidRPr="009118AB">
        <w:rPr>
          <w:i/>
          <w:iCs/>
        </w:rPr>
        <w:t>Art. </w:t>
      </w:r>
      <w:r w:rsidRPr="009118AB">
        <w:rPr>
          <w:i/>
          <w:iCs/>
        </w:rPr>
        <w:t>21 des G. vom 22. Juli 1993 (B.S. vom 26. Juli 1993)</w:t>
      </w:r>
      <w:r w:rsidR="00D67EB8" w:rsidRPr="009118AB">
        <w:rPr>
          <w:i/>
          <w:iCs/>
        </w:rPr>
        <w:t> - </w:t>
      </w:r>
      <w:r w:rsidRPr="009118AB">
        <w:rPr>
          <w:i/>
          <w:iCs/>
        </w:rPr>
        <w:t>anwendbar auf die Verwaltungssanktionen, die an Straftaten gebunden sind, die ab dem 1. August 1993 begangen werden</w:t>
      </w:r>
      <w:r w:rsidR="00FD68E8" w:rsidRPr="009118AB">
        <w:rPr>
          <w:i/>
          <w:iCs/>
        </w:rPr>
        <w:t> -,</w:t>
      </w:r>
      <w:r w:rsidRPr="009118AB">
        <w:rPr>
          <w:i/>
          <w:iCs/>
        </w:rPr>
        <w:t xml:space="preserve"> </w:t>
      </w:r>
      <w:r w:rsidR="00D67EB8" w:rsidRPr="009118AB">
        <w:rPr>
          <w:i/>
          <w:iCs/>
        </w:rPr>
        <w:t>Art. </w:t>
      </w:r>
      <w:r w:rsidRPr="009118AB">
        <w:rPr>
          <w:i/>
          <w:iCs/>
        </w:rPr>
        <w:t>1 des K.E. vom 20. Juli 2000 (II) (B.S. vom 30. August 2000)</w:t>
      </w:r>
      <w:r w:rsidR="00D67EB8" w:rsidRPr="009118AB">
        <w:rPr>
          <w:i/>
          <w:iCs/>
        </w:rPr>
        <w:t> - </w:t>
      </w:r>
      <w:r w:rsidRPr="009118AB">
        <w:rPr>
          <w:i/>
          <w:iCs/>
        </w:rPr>
        <w:t>in Kraft ab dem Steuerjahr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r w:rsidRPr="009118AB">
        <w:rPr>
          <w:i/>
          <w:iCs/>
        </w:rPr>
        <w:t xml:space="preserve"> und durch </w:t>
      </w:r>
      <w:r w:rsidR="00D67EB8" w:rsidRPr="009118AB">
        <w:rPr>
          <w:i/>
          <w:iCs/>
        </w:rPr>
        <w:t>Art. </w:t>
      </w:r>
      <w:r w:rsidRPr="009118AB">
        <w:rPr>
          <w:i/>
          <w:iCs/>
        </w:rPr>
        <w:t xml:space="preserve">31 des G. vom 27. April 2016 (B.S. vom 6. Mai 2016); </w:t>
      </w:r>
      <w:r w:rsidR="00D67EB8" w:rsidRPr="009118AB">
        <w:rPr>
          <w:i/>
          <w:iCs/>
        </w:rPr>
        <w:t>§ </w:t>
      </w:r>
      <w:r w:rsidRPr="009118AB">
        <w:rPr>
          <w:i/>
          <w:iCs/>
        </w:rPr>
        <w:t xml:space="preserve">1 neuer Absatz 2 eingefügt durch </w:t>
      </w:r>
      <w:r w:rsidR="00D67EB8" w:rsidRPr="009118AB">
        <w:rPr>
          <w:i/>
          <w:iCs/>
        </w:rPr>
        <w:t>Art. </w:t>
      </w:r>
      <w:r w:rsidRPr="009118AB">
        <w:rPr>
          <w:i/>
          <w:iCs/>
        </w:rPr>
        <w:t xml:space="preserve">35 des G. vom 17. Juni 2013 (B.S. vom 28. Juni 2013); </w:t>
      </w:r>
      <w:r w:rsidR="00D67EB8" w:rsidRPr="009118AB">
        <w:rPr>
          <w:i/>
          <w:iCs/>
        </w:rPr>
        <w:t>§ </w:t>
      </w:r>
      <w:r w:rsidRPr="009118AB">
        <w:rPr>
          <w:i/>
          <w:iCs/>
        </w:rPr>
        <w:t xml:space="preserve">1 </w:t>
      </w:r>
      <w:r w:rsidR="00D67EB8" w:rsidRPr="009118AB">
        <w:rPr>
          <w:i/>
          <w:iCs/>
        </w:rPr>
        <w:t>Abs. </w:t>
      </w:r>
      <w:r w:rsidRPr="009118AB">
        <w:rPr>
          <w:i/>
          <w:iCs/>
        </w:rPr>
        <w:t xml:space="preserve">3 (früherer Absatz 2) abgeändert durch </w:t>
      </w:r>
      <w:r w:rsidR="00D67EB8" w:rsidRPr="009118AB">
        <w:rPr>
          <w:i/>
          <w:iCs/>
        </w:rPr>
        <w:t>Art. </w:t>
      </w:r>
      <w:r w:rsidRPr="009118AB">
        <w:rPr>
          <w:i/>
          <w:iCs/>
        </w:rPr>
        <w:t xml:space="preserve">46 </w:t>
      </w:r>
      <w:r w:rsidR="00D67EB8" w:rsidRPr="009118AB">
        <w:rPr>
          <w:i/>
          <w:iCs/>
        </w:rPr>
        <w:t>Nr. </w:t>
      </w:r>
      <w:r w:rsidRPr="009118AB">
        <w:rPr>
          <w:i/>
          <w:iCs/>
        </w:rPr>
        <w:t xml:space="preserve">1 des G. vom 15. März 1999 (B.S. vom 27. März 1999); </w:t>
      </w:r>
      <w:r w:rsidR="00D67EB8" w:rsidRPr="009118AB">
        <w:rPr>
          <w:i/>
          <w:iCs/>
        </w:rPr>
        <w:t>§ </w:t>
      </w:r>
      <w:r w:rsidRPr="009118AB">
        <w:rPr>
          <w:i/>
          <w:iCs/>
        </w:rPr>
        <w:t xml:space="preserve">1 früherer Absatz 4 aufgehoben durch </w:t>
      </w:r>
      <w:r w:rsidR="00D67EB8" w:rsidRPr="009118AB">
        <w:rPr>
          <w:i/>
          <w:iCs/>
        </w:rPr>
        <w:t>Art. </w:t>
      </w:r>
      <w:r w:rsidRPr="009118AB">
        <w:rPr>
          <w:i/>
          <w:iCs/>
        </w:rPr>
        <w:t xml:space="preserve">46 </w:t>
      </w:r>
      <w:r w:rsidR="00D67EB8" w:rsidRPr="009118AB">
        <w:rPr>
          <w:i/>
          <w:iCs/>
        </w:rPr>
        <w:t>Nr. </w:t>
      </w:r>
      <w:r w:rsidRPr="009118AB">
        <w:rPr>
          <w:i/>
          <w:iCs/>
        </w:rPr>
        <w:t xml:space="preserve">2 des G. vom 15. März 1999 (B.S. vom 27. März 1999); </w:t>
      </w:r>
      <w:r w:rsidR="00D67EB8" w:rsidRPr="009118AB">
        <w:rPr>
          <w:i/>
          <w:iCs/>
        </w:rPr>
        <w:t>§ </w:t>
      </w:r>
      <w:r w:rsidRPr="009118AB">
        <w:rPr>
          <w:i/>
          <w:iCs/>
        </w:rPr>
        <w:t xml:space="preserve">1 neuer Absatz 4 eingefügt durch </w:t>
      </w:r>
      <w:r w:rsidR="00D67EB8" w:rsidRPr="00583371">
        <w:rPr>
          <w:i/>
          <w:iCs/>
        </w:rPr>
        <w:t>Art. </w:t>
      </w:r>
      <w:r w:rsidRPr="00583371">
        <w:rPr>
          <w:i/>
          <w:iCs/>
        </w:rPr>
        <w:t xml:space="preserve">22 des G. vom 28. Dezember 2011 (B.S. vom 30. Dezember 2011); </w:t>
      </w:r>
      <w:r w:rsidR="00583371" w:rsidRPr="00583371">
        <w:rPr>
          <w:i/>
          <w:iCs/>
        </w:rPr>
        <w:t xml:space="preserve">§ 1 früherer Absatz 5 eingefügt durch Art. 4 des G. vom 20. September 2012 (B.S. vom 22. Oktober 2012), selbst für nichtig erklärt durch Entscheid Nr. 61/2014 des Verfassungsgerichtshofes vom 3. April 2014 (B.S. vom 2. Juni 2014); </w:t>
      </w:r>
      <w:r w:rsidR="00D67EB8" w:rsidRPr="00583371">
        <w:rPr>
          <w:i/>
          <w:iCs/>
        </w:rPr>
        <w:t>§ </w:t>
      </w:r>
      <w:r w:rsidRPr="00583371">
        <w:rPr>
          <w:i/>
          <w:iCs/>
        </w:rPr>
        <w:t xml:space="preserve">1 </w:t>
      </w:r>
      <w:r w:rsidR="00D67EB8" w:rsidRPr="00583371">
        <w:rPr>
          <w:i/>
          <w:iCs/>
        </w:rPr>
        <w:t>Abs. </w:t>
      </w:r>
      <w:r w:rsidR="00583371" w:rsidRPr="00583371">
        <w:rPr>
          <w:i/>
          <w:iCs/>
        </w:rPr>
        <w:t>5</w:t>
      </w:r>
      <w:r w:rsidRPr="00583371">
        <w:rPr>
          <w:i/>
          <w:iCs/>
        </w:rPr>
        <w:t xml:space="preserve"> eingefügt durch </w:t>
      </w:r>
      <w:r w:rsidR="00D67EB8" w:rsidRPr="00583371">
        <w:rPr>
          <w:i/>
          <w:iCs/>
        </w:rPr>
        <w:t>Art. </w:t>
      </w:r>
      <w:r w:rsidRPr="00583371">
        <w:rPr>
          <w:i/>
          <w:iCs/>
        </w:rPr>
        <w:t>38 des G. vom 19. Dezember 2014 (B.S. vom 29. Dezember 2014)</w:t>
      </w:r>
      <w:r w:rsidR="00D67EB8" w:rsidRPr="00583371">
        <w:rPr>
          <w:i/>
          <w:iCs/>
        </w:rPr>
        <w:t> - </w:t>
      </w:r>
      <w:r w:rsidRPr="00583371">
        <w:rPr>
          <w:i/>
          <w:iCs/>
        </w:rPr>
        <w:t>in Kraft am 29. Dezember 2014 und anwendbar auf alle</w:t>
      </w:r>
      <w:r w:rsidRPr="009118AB">
        <w:rPr>
          <w:i/>
          <w:iCs/>
        </w:rPr>
        <w:t xml:space="preserve"> Rechtsstreite, die an diesem Datum noch nicht endgültig abgeschlossen sind</w:t>
      </w:r>
      <w:r w:rsidR="00D67EB8" w:rsidRPr="009118AB">
        <w:rPr>
          <w:i/>
          <w:iCs/>
        </w:rPr>
        <w:t> - </w:t>
      </w:r>
      <w:r w:rsidRPr="009118AB">
        <w:rPr>
          <w:i/>
          <w:iCs/>
        </w:rPr>
        <w:t xml:space="preserve">und ersetzt durch </w:t>
      </w:r>
      <w:r w:rsidR="00D67EB8" w:rsidRPr="009118AB">
        <w:rPr>
          <w:i/>
          <w:iCs/>
        </w:rPr>
        <w:t>Art. </w:t>
      </w:r>
      <w:r w:rsidRPr="009118AB">
        <w:rPr>
          <w:i/>
          <w:iCs/>
        </w:rPr>
        <w:t>81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Pr="009118AB">
        <w:rPr>
          <w:i/>
          <w:iCs/>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49 des G. vom 1. Juli 2016 (B.S. vom 4. Juli 2016)</w:t>
      </w:r>
      <w:r w:rsidR="00D67EB8" w:rsidRPr="009118AB">
        <w:rPr>
          <w:i/>
          <w:iCs/>
        </w:rPr>
        <w:t> - </w:t>
      </w:r>
      <w:r w:rsidRPr="009118AB">
        <w:rPr>
          <w:i/>
          <w:iCs/>
        </w:rPr>
        <w:t>in Kraft am 4. Juli 2016</w:t>
      </w:r>
      <w:r w:rsidR="003366D9" w:rsidRPr="009118AB">
        <w:rPr>
          <w:i/>
          <w:iCs/>
        </w:rPr>
        <w:t> -;</w:t>
      </w:r>
      <w:r w:rsidRPr="009118AB">
        <w:rPr>
          <w:i/>
          <w:iCs/>
        </w:rPr>
        <w:t xml:space="preserve"> </w:t>
      </w:r>
      <w:r w:rsidR="00D67EB8" w:rsidRPr="009118AB">
        <w:rPr>
          <w:i/>
          <w:iCs/>
        </w:rPr>
        <w:t>§ </w:t>
      </w:r>
      <w:r w:rsidR="00BA16D1" w:rsidRPr="009118AB">
        <w:rPr>
          <w:i/>
          <w:iCs/>
        </w:rPr>
        <w:t xml:space="preserve">2 </w:t>
      </w:r>
      <w:r w:rsidR="00D67EB8" w:rsidRPr="009118AB">
        <w:rPr>
          <w:i/>
          <w:iCs/>
        </w:rPr>
        <w:t>Abs. </w:t>
      </w:r>
      <w:r w:rsidR="00BA16D1" w:rsidRPr="009118AB">
        <w:rPr>
          <w:i/>
          <w:iCs/>
        </w:rPr>
        <w:t xml:space="preserve">1 abgeändert durch </w:t>
      </w:r>
      <w:r w:rsidR="00D67EB8" w:rsidRPr="009118AB">
        <w:rPr>
          <w:i/>
          <w:iCs/>
        </w:rPr>
        <w:t>Art. </w:t>
      </w:r>
      <w:r w:rsidR="00BA16D1" w:rsidRPr="009118AB">
        <w:rPr>
          <w:i/>
          <w:iCs/>
        </w:rPr>
        <w:t>98 des G. vom 25. Dezember 2017 (IV) (B.S. vom 29. Dezember 2017)</w:t>
      </w:r>
      <w:r w:rsidR="00D67EB8" w:rsidRPr="009118AB">
        <w:rPr>
          <w:i/>
          <w:iCs/>
        </w:rPr>
        <w:t> - </w:t>
      </w:r>
      <w:r w:rsidR="00BA16D1" w:rsidRPr="009118AB">
        <w:rPr>
          <w:i/>
          <w:iCs/>
        </w:rPr>
        <w:t>in Kraft am 1. Januar 2018</w:t>
      </w:r>
      <w:r w:rsidR="003366D9" w:rsidRPr="009118AB">
        <w:rPr>
          <w:i/>
          <w:iCs/>
        </w:rPr>
        <w:t> -;</w:t>
      </w:r>
      <w:r w:rsidR="00BA16D1" w:rsidRPr="009118AB">
        <w:rPr>
          <w:i/>
          <w:iCs/>
        </w:rPr>
        <w:t xml:space="preserve"> </w:t>
      </w:r>
      <w:r w:rsidR="00D67EB8" w:rsidRPr="009118AB">
        <w:rPr>
          <w:i/>
          <w:iCs/>
        </w:rPr>
        <w:t>§ </w:t>
      </w:r>
      <w:r w:rsidRPr="009118AB">
        <w:rPr>
          <w:i/>
          <w:iCs/>
        </w:rPr>
        <w:t xml:space="preserve">3 eingefügt durch </w:t>
      </w:r>
      <w:r w:rsidR="00D67EB8" w:rsidRPr="009118AB">
        <w:rPr>
          <w:i/>
          <w:iCs/>
        </w:rPr>
        <w:t>Art. </w:t>
      </w:r>
      <w:r w:rsidRPr="009118AB">
        <w:rPr>
          <w:i/>
          <w:iCs/>
        </w:rPr>
        <w:t>63 des G. vom 1. Juli 2016 (B.S. vom 4. Juli 2016)</w:t>
      </w:r>
      <w:r w:rsidR="00D67EB8" w:rsidRPr="009118AB">
        <w:rPr>
          <w:i/>
          <w:iCs/>
        </w:rPr>
        <w:t> - </w:t>
      </w:r>
      <w:r w:rsidRPr="009118AB">
        <w:rPr>
          <w:i/>
          <w:iCs/>
        </w:rPr>
        <w:t>wirksam mit dem Steuerjahr 2017</w:t>
      </w:r>
      <w:r w:rsidR="003366D9" w:rsidRPr="009118AB">
        <w:rPr>
          <w:i/>
          <w:iCs/>
        </w:rPr>
        <w:t> -;</w:t>
      </w:r>
      <w:r w:rsidRPr="009118AB">
        <w:rPr>
          <w:i/>
          <w:iCs/>
        </w:rPr>
        <w:t xml:space="preserve"> </w:t>
      </w:r>
      <w:r w:rsidR="00D67EB8" w:rsidRPr="009118AB">
        <w:rPr>
          <w:i/>
          <w:iCs/>
        </w:rPr>
        <w:t>§ </w:t>
      </w:r>
      <w:r w:rsidRPr="009118AB">
        <w:rPr>
          <w:i/>
          <w:iCs/>
        </w:rPr>
        <w:t xml:space="preserve">3 </w:t>
      </w:r>
      <w:r w:rsidR="00D67EB8" w:rsidRPr="009118AB">
        <w:rPr>
          <w:i/>
          <w:iCs/>
        </w:rPr>
        <w:t>Abs. </w:t>
      </w:r>
      <w:r w:rsidRPr="009118AB">
        <w:rPr>
          <w:i/>
          <w:iCs/>
        </w:rPr>
        <w:t xml:space="preserve">1 ergänzt durch </w:t>
      </w:r>
      <w:r w:rsidR="00D67EB8" w:rsidRPr="009118AB">
        <w:rPr>
          <w:i/>
          <w:iCs/>
        </w:rPr>
        <w:t>Art. </w:t>
      </w:r>
      <w:r w:rsidRPr="009118AB">
        <w:rPr>
          <w:i/>
          <w:iCs/>
        </w:rPr>
        <w:t xml:space="preserve">13 des G. vom 25. Dezember 2017 (I) (B.S. vom 29. Dezember 2017); </w:t>
      </w:r>
      <w:r w:rsidR="00D67EB8" w:rsidRPr="009118AB">
        <w:rPr>
          <w:i/>
          <w:iCs/>
        </w:rPr>
        <w:t>§ </w:t>
      </w:r>
      <w:r w:rsidR="00F44B09" w:rsidRPr="009118AB">
        <w:rPr>
          <w:i/>
          <w:iCs/>
        </w:rPr>
        <w:t xml:space="preserve">4 eingefügt durch </w:t>
      </w:r>
      <w:r w:rsidR="00D67EB8" w:rsidRPr="009118AB">
        <w:rPr>
          <w:i/>
          <w:iCs/>
        </w:rPr>
        <w:t>Art. </w:t>
      </w:r>
      <w:r w:rsidR="00F44B09" w:rsidRPr="009118AB">
        <w:rPr>
          <w:i/>
          <w:iCs/>
        </w:rPr>
        <w:t>18</w:t>
      </w:r>
      <w:r w:rsidR="00F44B09" w:rsidRPr="009118AB">
        <w:rPr>
          <w:i/>
        </w:rPr>
        <w:t xml:space="preserve"> des G. vom </w:t>
      </w:r>
      <w:r w:rsidR="00F44B09" w:rsidRPr="009118AB">
        <w:rPr>
          <w:rFonts w:ascii="Times New Roman Italique" w:hAnsi="Times New Roman Italique"/>
          <w:i/>
          <w:spacing w:val="-2"/>
        </w:rPr>
        <w:t>20. Dezember 2019 (B.S. vom 30. Dezember 2019)</w:t>
      </w:r>
      <w:r w:rsidR="00D67EB8" w:rsidRPr="009118AB">
        <w:rPr>
          <w:rFonts w:ascii="Times New Roman Italique" w:hAnsi="Times New Roman Italique"/>
          <w:i/>
          <w:spacing w:val="-2"/>
        </w:rPr>
        <w:t> - </w:t>
      </w:r>
      <w:r w:rsidR="00F44B09" w:rsidRPr="009118AB">
        <w:rPr>
          <w:rFonts w:ascii="Times New Roman Italique" w:hAnsi="Times New Roman Italique"/>
          <w:i/>
          <w:spacing w:val="-2"/>
        </w:rPr>
        <w:t xml:space="preserve">in Kraft am </w:t>
      </w:r>
      <w:r w:rsidR="00F44B09" w:rsidRPr="00583371">
        <w:rPr>
          <w:rFonts w:ascii="Times New Roman Italique" w:hAnsi="Times New Roman Italique"/>
          <w:i/>
        </w:rPr>
        <w:t xml:space="preserve">1. Juli 2020 und nicht anwendbar auf die in Artikel 61 Absatz 2 des </w:t>
      </w:r>
      <w:r w:rsidR="00A06731" w:rsidRPr="00583371">
        <w:rPr>
          <w:rFonts w:ascii="Times New Roman Italique" w:hAnsi="Times New Roman Italique"/>
          <w:i/>
        </w:rPr>
        <w:t xml:space="preserve">Gesetzes vom 20. Dezember 2019 </w:t>
      </w:r>
      <w:r w:rsidR="00F44B09" w:rsidRPr="00583371">
        <w:rPr>
          <w:rFonts w:ascii="Times New Roman Italique" w:hAnsi="Times New Roman Italique"/>
          <w:i/>
        </w:rPr>
        <w:t>erwähnten Fälle, wenn sie vor dem 31. Dezember 2020 eingereicht werden</w:t>
      </w:r>
      <w:r w:rsidR="003366D9" w:rsidRPr="00583371">
        <w:rPr>
          <w:rFonts w:ascii="Times New Roman Italique" w:hAnsi="Times New Roman Italique"/>
          <w:i/>
        </w:rPr>
        <w:t> -;</w:t>
      </w:r>
      <w:r w:rsidR="008812FB">
        <w:rPr>
          <w:rFonts w:ascii="Times New Roman Italique" w:hAnsi="Times New Roman Italique"/>
          <w:i/>
        </w:rPr>
        <w:t xml:space="preserve"> §</w:t>
      </w:r>
      <w:r w:rsidR="008812FB">
        <w:rPr>
          <w:rFonts w:ascii="Times New Roman Italique" w:hAnsi="Times New Roman Italique" w:hint="eastAsia"/>
          <w:i/>
        </w:rPr>
        <w:t> </w:t>
      </w:r>
      <w:r w:rsidR="008812FB">
        <w:rPr>
          <w:rFonts w:ascii="Times New Roman Italique" w:hAnsi="Times New Roman Italique"/>
          <w:i/>
        </w:rPr>
        <w:t>4 Abs.</w:t>
      </w:r>
      <w:r w:rsidR="008812FB">
        <w:rPr>
          <w:rFonts w:ascii="Times New Roman Italique" w:hAnsi="Times New Roman Italique" w:hint="eastAsia"/>
          <w:i/>
        </w:rPr>
        <w:t> </w:t>
      </w:r>
      <w:r w:rsidR="008812FB">
        <w:rPr>
          <w:rFonts w:ascii="Times New Roman Italique" w:hAnsi="Times New Roman Italique"/>
          <w:i/>
        </w:rPr>
        <w:t xml:space="preserve">1 </w:t>
      </w:r>
      <w:r w:rsidR="008812FB" w:rsidRPr="00AB355F">
        <w:rPr>
          <w:rFonts w:ascii="Times New Roman Italique" w:hAnsi="Times New Roman Italique"/>
          <w:i/>
          <w:iCs/>
        </w:rPr>
        <w:t>abgeändert durch Art. </w:t>
      </w:r>
      <w:r w:rsidR="008812FB">
        <w:rPr>
          <w:rFonts w:ascii="Times New Roman Italique" w:hAnsi="Times New Roman Italique"/>
          <w:i/>
          <w:iCs/>
        </w:rPr>
        <w:t>12 Buchstabe</w:t>
      </w:r>
      <w:r w:rsidR="008812FB">
        <w:rPr>
          <w:rFonts w:ascii="Times New Roman Italique" w:hAnsi="Times New Roman Italique" w:hint="eastAsia"/>
          <w:i/>
          <w:iCs/>
        </w:rPr>
        <w:t> </w:t>
      </w:r>
      <w:r w:rsidR="008812FB">
        <w:rPr>
          <w:rFonts w:ascii="Times New Roman Italique" w:hAnsi="Times New Roman Italique"/>
          <w:i/>
          <w:iCs/>
        </w:rPr>
        <w:t>a)</w:t>
      </w:r>
      <w:r w:rsidR="008812FB" w:rsidRPr="00AB355F">
        <w:rPr>
          <w:rFonts w:ascii="Times New Roman Italique" w:hAnsi="Times New Roman Italique"/>
          <w:i/>
          <w:iCs/>
        </w:rPr>
        <w:t xml:space="preserve"> des G. vom 20. Dezember 2024 (B.S. vom 31. Dezember 2024) - in Kraft am 31. Dezember 2024 -</w:t>
      </w:r>
      <w:r w:rsidR="008812FB">
        <w:rPr>
          <w:rFonts w:ascii="Times New Roman Italique" w:hAnsi="Times New Roman Italique"/>
          <w:i/>
          <w:iCs/>
        </w:rPr>
        <w:t>; §</w:t>
      </w:r>
      <w:r w:rsidR="008812FB">
        <w:rPr>
          <w:rFonts w:ascii="Times New Roman Italique" w:hAnsi="Times New Roman Italique" w:hint="eastAsia"/>
          <w:i/>
          <w:iCs/>
        </w:rPr>
        <w:t> </w:t>
      </w:r>
      <w:r w:rsidR="008812FB">
        <w:rPr>
          <w:rFonts w:ascii="Times New Roman Italique" w:hAnsi="Times New Roman Italique"/>
          <w:i/>
          <w:iCs/>
        </w:rPr>
        <w:t>4 Abs.</w:t>
      </w:r>
      <w:r w:rsidR="008812FB">
        <w:rPr>
          <w:rFonts w:ascii="Times New Roman Italique" w:hAnsi="Times New Roman Italique" w:hint="eastAsia"/>
          <w:i/>
          <w:iCs/>
        </w:rPr>
        <w:t> </w:t>
      </w:r>
      <w:r w:rsidR="00CD4C71">
        <w:rPr>
          <w:rFonts w:ascii="Times New Roman Italique" w:hAnsi="Times New Roman Italique"/>
          <w:i/>
        </w:rPr>
        <w:t>2</w:t>
      </w:r>
      <w:r w:rsidR="008812FB">
        <w:rPr>
          <w:rFonts w:ascii="Times New Roman Italique" w:hAnsi="Times New Roman Italique"/>
          <w:i/>
        </w:rPr>
        <w:t xml:space="preserve"> </w:t>
      </w:r>
      <w:r w:rsidR="008812FB" w:rsidRPr="00AB355F">
        <w:rPr>
          <w:rFonts w:ascii="Times New Roman Italique" w:hAnsi="Times New Roman Italique"/>
          <w:i/>
          <w:iCs/>
        </w:rPr>
        <w:t>abgeändert durch Art. </w:t>
      </w:r>
      <w:r w:rsidR="008812FB">
        <w:rPr>
          <w:rFonts w:ascii="Times New Roman Italique" w:hAnsi="Times New Roman Italique"/>
          <w:i/>
          <w:iCs/>
        </w:rPr>
        <w:t>12 Buchstabe</w:t>
      </w:r>
      <w:r w:rsidR="008812FB">
        <w:rPr>
          <w:rFonts w:ascii="Times New Roman Italique" w:hAnsi="Times New Roman Italique" w:hint="eastAsia"/>
          <w:i/>
          <w:iCs/>
        </w:rPr>
        <w:t> </w:t>
      </w:r>
      <w:r w:rsidR="008812FB">
        <w:rPr>
          <w:rFonts w:ascii="Times New Roman Italique" w:hAnsi="Times New Roman Italique"/>
          <w:i/>
          <w:iCs/>
        </w:rPr>
        <w:t>b)</w:t>
      </w:r>
      <w:r w:rsidR="008812FB" w:rsidRPr="00AB355F">
        <w:rPr>
          <w:rFonts w:ascii="Times New Roman Italique" w:hAnsi="Times New Roman Italique"/>
          <w:i/>
          <w:iCs/>
        </w:rPr>
        <w:t xml:space="preserve"> des G. vom 20. Dezember 2024 (B.S. vom 31. Dezember 2024) - in Kraft am 31. Dezember 2024 -</w:t>
      </w:r>
      <w:r w:rsidR="008812FB">
        <w:rPr>
          <w:rFonts w:ascii="Times New Roman Italique" w:hAnsi="Times New Roman Italique"/>
          <w:i/>
          <w:iCs/>
        </w:rPr>
        <w:t>;</w:t>
      </w:r>
      <w:r w:rsidR="00A1126B" w:rsidRPr="00583371">
        <w:rPr>
          <w:rFonts w:ascii="Times New Roman Italique" w:hAnsi="Times New Roman Italique"/>
          <w:i/>
        </w:rPr>
        <w:t xml:space="preserve"> </w:t>
      </w:r>
      <w:r w:rsidR="00D67EB8" w:rsidRPr="00583371">
        <w:rPr>
          <w:rFonts w:ascii="Times New Roman Italique" w:hAnsi="Times New Roman Italique"/>
          <w:i/>
        </w:rPr>
        <w:t>§ </w:t>
      </w:r>
      <w:r w:rsidR="00A1126B" w:rsidRPr="00583371">
        <w:rPr>
          <w:rFonts w:ascii="Times New Roman Italique" w:hAnsi="Times New Roman Italique"/>
          <w:i/>
        </w:rPr>
        <w:t xml:space="preserve">5 eingefügt durch </w:t>
      </w:r>
      <w:r w:rsidR="00D67EB8" w:rsidRPr="00583371">
        <w:rPr>
          <w:rFonts w:ascii="Times New Roman Italique" w:hAnsi="Times New Roman Italique"/>
          <w:i/>
        </w:rPr>
        <w:t>Art. </w:t>
      </w:r>
      <w:r w:rsidR="00A1126B" w:rsidRPr="00583371">
        <w:rPr>
          <w:rFonts w:ascii="Times New Roman Italique" w:hAnsi="Times New Roman Italique"/>
          <w:i/>
        </w:rPr>
        <w:t>7</w:t>
      </w:r>
      <w:r w:rsidR="00A1126B" w:rsidRPr="00583371">
        <w:rPr>
          <w:rFonts w:ascii="Times New Roman Italique" w:hAnsi="Times New Roman Italique"/>
          <w:i/>
          <w:iCs/>
        </w:rPr>
        <w:t xml:space="preserve"> des G. vom 17. Februar 2021</w:t>
      </w:r>
      <w:r w:rsidR="007A716D" w:rsidRPr="00583371">
        <w:rPr>
          <w:rFonts w:ascii="Times New Roman Italique" w:hAnsi="Times New Roman Italique"/>
          <w:i/>
          <w:iCs/>
        </w:rPr>
        <w:t> (II)</w:t>
      </w:r>
      <w:r w:rsidR="00A1126B" w:rsidRPr="00583371">
        <w:rPr>
          <w:rFonts w:ascii="Times New Roman Italique" w:hAnsi="Times New Roman Italique"/>
          <w:i/>
          <w:iCs/>
        </w:rPr>
        <w:t xml:space="preserve"> (B.S. vom</w:t>
      </w:r>
      <w:r w:rsidR="00A1126B" w:rsidRPr="009118AB">
        <w:rPr>
          <w:rFonts w:ascii="Times New Roman Italique" w:hAnsi="Times New Roman Italique"/>
          <w:i/>
          <w:iCs/>
          <w:spacing w:val="-2"/>
        </w:rPr>
        <w:t xml:space="preserve"> 25. Februar 2021)</w:t>
      </w:r>
      <w:r w:rsidR="00D67EB8" w:rsidRPr="009118AB">
        <w:rPr>
          <w:rFonts w:ascii="Times New Roman Italique" w:hAnsi="Times New Roman Italique"/>
          <w:i/>
          <w:iCs/>
          <w:spacing w:val="-2"/>
        </w:rPr>
        <w:t> - </w:t>
      </w:r>
      <w:r w:rsidR="00A1126B" w:rsidRPr="009118AB">
        <w:rPr>
          <w:rFonts w:ascii="Times New Roman Italique" w:hAnsi="Times New Roman Italique"/>
          <w:i/>
          <w:iCs/>
          <w:spacing w:val="-2"/>
        </w:rPr>
        <w:t>wirksam mit 1. Januar 2021</w:t>
      </w:r>
      <w:r w:rsidR="00FD68E8" w:rsidRPr="009118AB">
        <w:rPr>
          <w:rFonts w:ascii="Times New Roman Italique" w:hAnsi="Times New Roman Italique"/>
          <w:i/>
          <w:iCs/>
          <w:spacing w:val="-2"/>
        </w:rPr>
        <w:t> -</w:t>
      </w:r>
      <w:r w:rsidR="00B73E57" w:rsidRPr="009118AB">
        <w:rPr>
          <w:rFonts w:ascii="Times New Roman Italique" w:hAnsi="Times New Roman Italique"/>
          <w:i/>
          <w:iCs/>
          <w:spacing w:val="-2"/>
        </w:rPr>
        <w:t>; §</w:t>
      </w:r>
      <w:r w:rsidR="00B73E57" w:rsidRPr="009118AB">
        <w:rPr>
          <w:rFonts w:ascii="Times New Roman Italique" w:hAnsi="Times New Roman Italique" w:hint="eastAsia"/>
          <w:i/>
          <w:iCs/>
          <w:spacing w:val="-2"/>
        </w:rPr>
        <w:t> </w:t>
      </w:r>
      <w:r w:rsidR="00B73E57" w:rsidRPr="009118AB">
        <w:rPr>
          <w:rFonts w:ascii="Times New Roman Italique" w:hAnsi="Times New Roman Italique"/>
          <w:i/>
          <w:iCs/>
          <w:spacing w:val="-2"/>
        </w:rPr>
        <w:t xml:space="preserve">6 eingefügt durch Art. 12 des G. vom </w:t>
      </w:r>
      <w:r w:rsidR="003365DD" w:rsidRPr="009118AB">
        <w:rPr>
          <w:rFonts w:ascii="Times New Roman Italique" w:hAnsi="Times New Roman Italique"/>
          <w:i/>
          <w:iCs/>
          <w:spacing w:val="-2"/>
        </w:rPr>
        <w:t>21. Dezember 2022 (I)</w:t>
      </w:r>
      <w:r w:rsidR="00B73E57" w:rsidRPr="009118AB">
        <w:rPr>
          <w:rFonts w:ascii="Times New Roman Italique" w:hAnsi="Times New Roman Italique"/>
          <w:i/>
          <w:iCs/>
          <w:spacing w:val="-2"/>
        </w:rPr>
        <w:t xml:space="preserve"> (B.S. vom 30.</w:t>
      </w:r>
      <w:r w:rsidR="00B73E57" w:rsidRPr="009118AB">
        <w:rPr>
          <w:rFonts w:ascii="Times New Roman Italique" w:hAnsi="Times New Roman Italique" w:hint="eastAsia"/>
          <w:i/>
          <w:iCs/>
          <w:spacing w:val="-2"/>
        </w:rPr>
        <w:t> </w:t>
      </w:r>
      <w:r w:rsidR="00B73E57" w:rsidRPr="009118AB">
        <w:rPr>
          <w:rFonts w:ascii="Times New Roman Italique" w:hAnsi="Times New Roman Italique"/>
          <w:i/>
          <w:iCs/>
          <w:spacing w:val="-2"/>
        </w:rPr>
        <w:t>Dezember</w:t>
      </w:r>
      <w:r w:rsidR="00B73E57" w:rsidRPr="009118AB">
        <w:rPr>
          <w:rFonts w:ascii="Times New Roman Italique" w:hAnsi="Times New Roman Italique" w:hint="eastAsia"/>
          <w:i/>
          <w:iCs/>
          <w:spacing w:val="-2"/>
        </w:rPr>
        <w:t> </w:t>
      </w:r>
      <w:r w:rsidR="00B73E57" w:rsidRPr="009118AB">
        <w:rPr>
          <w:rFonts w:ascii="Times New Roman Italique" w:hAnsi="Times New Roman Italique"/>
          <w:i/>
          <w:iCs/>
          <w:spacing w:val="-2"/>
        </w:rPr>
        <w:t>2022)</w:t>
      </w:r>
      <w:r w:rsidR="00B73E57" w:rsidRPr="009118AB">
        <w:rPr>
          <w:rFonts w:ascii="Times New Roman Italique" w:hAnsi="Times New Roman Italique" w:hint="eastAsia"/>
          <w:i/>
          <w:iCs/>
          <w:spacing w:val="-2"/>
        </w:rPr>
        <w:t> </w:t>
      </w:r>
      <w:r w:rsidR="00B73E57" w:rsidRPr="009118AB">
        <w:rPr>
          <w:rFonts w:ascii="Times New Roman Italique" w:hAnsi="Times New Roman Italique"/>
          <w:i/>
          <w:iCs/>
          <w:spacing w:val="-2"/>
        </w:rPr>
        <w:t>-</w:t>
      </w:r>
      <w:r w:rsidR="00B73E57" w:rsidRPr="009118AB">
        <w:rPr>
          <w:rFonts w:ascii="Times New Roman Italique" w:hAnsi="Times New Roman Italique" w:hint="eastAsia"/>
          <w:i/>
          <w:iCs/>
          <w:spacing w:val="-2"/>
        </w:rPr>
        <w:t> </w:t>
      </w:r>
      <w:r w:rsidR="00B73E57" w:rsidRPr="009118AB">
        <w:rPr>
          <w:rFonts w:ascii="Times New Roman Italique" w:hAnsi="Times New Roman Italique"/>
          <w:i/>
          <w:iCs/>
          <w:spacing w:val="-2"/>
        </w:rPr>
        <w:t>in Kraft am 1.</w:t>
      </w:r>
      <w:r w:rsidR="00B73E57" w:rsidRPr="009118AB">
        <w:rPr>
          <w:rFonts w:ascii="Times New Roman Italique" w:hAnsi="Times New Roman Italique" w:hint="eastAsia"/>
          <w:i/>
          <w:iCs/>
          <w:spacing w:val="-2"/>
        </w:rPr>
        <w:t> </w:t>
      </w:r>
      <w:r w:rsidR="00B73E57" w:rsidRPr="009118AB">
        <w:rPr>
          <w:rFonts w:ascii="Times New Roman Italique" w:hAnsi="Times New Roman Italique"/>
          <w:i/>
          <w:iCs/>
          <w:spacing w:val="-2"/>
        </w:rPr>
        <w:t>Januar</w:t>
      </w:r>
      <w:r w:rsidR="00B73E57" w:rsidRPr="009118AB">
        <w:rPr>
          <w:rFonts w:ascii="Times New Roman Italique" w:hAnsi="Times New Roman Italique" w:hint="eastAsia"/>
          <w:i/>
          <w:iCs/>
          <w:spacing w:val="-2"/>
        </w:rPr>
        <w:t> </w:t>
      </w:r>
      <w:r w:rsidR="00B73E57" w:rsidRPr="009118AB">
        <w:rPr>
          <w:rFonts w:ascii="Times New Roman Italique" w:hAnsi="Times New Roman Italique"/>
          <w:i/>
          <w:iCs/>
          <w:spacing w:val="-2"/>
        </w:rPr>
        <w:t>2023</w:t>
      </w:r>
      <w:r w:rsidR="00B73E57" w:rsidRPr="009118AB">
        <w:rPr>
          <w:rFonts w:ascii="Times New Roman Italique" w:hAnsi="Times New Roman Italique" w:hint="eastAsia"/>
          <w:i/>
          <w:iCs/>
          <w:spacing w:val="-2"/>
        </w:rPr>
        <w:t> </w:t>
      </w:r>
      <w:r w:rsidR="00B73E57" w:rsidRPr="009118AB">
        <w:rPr>
          <w:rFonts w:ascii="Times New Roman Italique" w:hAnsi="Times New Roman Italique"/>
          <w:i/>
          <w:iCs/>
          <w:spacing w:val="-2"/>
        </w:rPr>
        <w:t>-</w:t>
      </w:r>
      <w:r w:rsidR="008812FB">
        <w:rPr>
          <w:rFonts w:ascii="Times New Roman Italique" w:hAnsi="Times New Roman Italique"/>
          <w:i/>
          <w:iCs/>
          <w:spacing w:val="-2"/>
        </w:rPr>
        <w:t xml:space="preserve">; </w:t>
      </w:r>
      <w:r w:rsidR="008812FB">
        <w:rPr>
          <w:rFonts w:ascii="Times New Roman Italique" w:hAnsi="Times New Roman Italique"/>
          <w:i/>
        </w:rPr>
        <w:t>§</w:t>
      </w:r>
      <w:r w:rsidR="008812FB">
        <w:rPr>
          <w:rFonts w:ascii="Times New Roman Italique" w:hAnsi="Times New Roman Italique" w:hint="eastAsia"/>
          <w:i/>
        </w:rPr>
        <w:t> </w:t>
      </w:r>
      <w:r w:rsidR="008812FB">
        <w:rPr>
          <w:rFonts w:ascii="Times New Roman Italique" w:hAnsi="Times New Roman Italique"/>
          <w:i/>
        </w:rPr>
        <w:t>6 Abs.</w:t>
      </w:r>
      <w:r w:rsidR="008812FB">
        <w:rPr>
          <w:rFonts w:ascii="Times New Roman Italique" w:hAnsi="Times New Roman Italique" w:hint="eastAsia"/>
          <w:i/>
        </w:rPr>
        <w:t> </w:t>
      </w:r>
      <w:r w:rsidR="008812FB">
        <w:rPr>
          <w:rFonts w:ascii="Times New Roman Italique" w:hAnsi="Times New Roman Italique"/>
          <w:i/>
        </w:rPr>
        <w:t xml:space="preserve">4 </w:t>
      </w:r>
      <w:r w:rsidR="008812FB" w:rsidRPr="00AB355F">
        <w:rPr>
          <w:rFonts w:ascii="Times New Roman Italique" w:hAnsi="Times New Roman Italique"/>
          <w:i/>
          <w:iCs/>
        </w:rPr>
        <w:t>abgeändert durch Art. </w:t>
      </w:r>
      <w:r w:rsidR="008812FB">
        <w:rPr>
          <w:rFonts w:ascii="Times New Roman Italique" w:hAnsi="Times New Roman Italique"/>
          <w:i/>
          <w:iCs/>
        </w:rPr>
        <w:t>12 Buchstabe</w:t>
      </w:r>
      <w:r w:rsidR="008812FB">
        <w:rPr>
          <w:rFonts w:ascii="Times New Roman Italique" w:hAnsi="Times New Roman Italique" w:hint="eastAsia"/>
          <w:i/>
          <w:iCs/>
        </w:rPr>
        <w:t> </w:t>
      </w:r>
      <w:r w:rsidR="008812FB">
        <w:rPr>
          <w:rFonts w:ascii="Times New Roman Italique" w:hAnsi="Times New Roman Italique"/>
          <w:i/>
          <w:iCs/>
        </w:rPr>
        <w:t>c)</w:t>
      </w:r>
      <w:r w:rsidR="008812FB" w:rsidRPr="00AB355F">
        <w:rPr>
          <w:rFonts w:ascii="Times New Roman Italique" w:hAnsi="Times New Roman Italique"/>
          <w:i/>
          <w:iCs/>
        </w:rPr>
        <w:t xml:space="preserve"> des G. vom 20. Dezember 2024 (B.S. vom 31. Dezember 2024) - in Kraft am 31. Dezember 2024 -</w:t>
      </w:r>
      <w:r w:rsidR="008812FB">
        <w:rPr>
          <w:rFonts w:ascii="Times New Roman Italique" w:hAnsi="Times New Roman Italique"/>
          <w:i/>
          <w:iCs/>
        </w:rPr>
        <w:t xml:space="preserve">; </w:t>
      </w:r>
      <w:r w:rsidR="008812FB">
        <w:rPr>
          <w:rFonts w:ascii="Times New Roman Italique" w:hAnsi="Times New Roman Italique"/>
          <w:i/>
        </w:rPr>
        <w:t>§</w:t>
      </w:r>
      <w:r w:rsidR="008812FB">
        <w:rPr>
          <w:rFonts w:ascii="Times New Roman Italique" w:hAnsi="Times New Roman Italique" w:hint="eastAsia"/>
          <w:i/>
        </w:rPr>
        <w:t> </w:t>
      </w:r>
      <w:r w:rsidR="008812FB">
        <w:rPr>
          <w:rFonts w:ascii="Times New Roman Italique" w:hAnsi="Times New Roman Italique"/>
          <w:i/>
        </w:rPr>
        <w:t>6 Abs.</w:t>
      </w:r>
      <w:r w:rsidR="008812FB">
        <w:rPr>
          <w:rFonts w:ascii="Times New Roman Italique" w:hAnsi="Times New Roman Italique" w:hint="eastAsia"/>
          <w:i/>
        </w:rPr>
        <w:t> </w:t>
      </w:r>
      <w:r w:rsidR="008812FB">
        <w:rPr>
          <w:rFonts w:ascii="Times New Roman Italique" w:hAnsi="Times New Roman Italique"/>
          <w:i/>
        </w:rPr>
        <w:t xml:space="preserve">5 </w:t>
      </w:r>
      <w:r w:rsidR="008812FB" w:rsidRPr="00AB355F">
        <w:rPr>
          <w:rFonts w:ascii="Times New Roman Italique" w:hAnsi="Times New Roman Italique"/>
          <w:i/>
          <w:iCs/>
        </w:rPr>
        <w:t>abgeändert durch Art. </w:t>
      </w:r>
      <w:r w:rsidR="008812FB">
        <w:rPr>
          <w:rFonts w:ascii="Times New Roman Italique" w:hAnsi="Times New Roman Italique"/>
          <w:i/>
          <w:iCs/>
        </w:rPr>
        <w:t>12 Buchstabe</w:t>
      </w:r>
      <w:r w:rsidR="008812FB">
        <w:rPr>
          <w:rFonts w:ascii="Times New Roman Italique" w:hAnsi="Times New Roman Italique" w:hint="eastAsia"/>
          <w:i/>
          <w:iCs/>
        </w:rPr>
        <w:t> </w:t>
      </w:r>
      <w:r w:rsidR="008812FB">
        <w:rPr>
          <w:rFonts w:ascii="Times New Roman Italique" w:hAnsi="Times New Roman Italique"/>
          <w:i/>
          <w:iCs/>
        </w:rPr>
        <w:t>d)</w:t>
      </w:r>
      <w:r w:rsidR="008812FB" w:rsidRPr="00AB355F">
        <w:rPr>
          <w:rFonts w:ascii="Times New Roman Italique" w:hAnsi="Times New Roman Italique"/>
          <w:i/>
          <w:iCs/>
        </w:rPr>
        <w:t xml:space="preserve"> des G. vom 20. Dezember 2024 (B.S. vom 31. Dezember 2024) - in Kraft am 31. Dezember 2024 -</w:t>
      </w:r>
      <w:r w:rsidR="008812FB">
        <w:rPr>
          <w:rFonts w:ascii="Times New Roman Italique" w:hAnsi="Times New Roman Italique"/>
          <w:i/>
          <w:iCs/>
        </w:rPr>
        <w:t xml:space="preserve">; </w:t>
      </w:r>
      <w:r w:rsidR="008812FB">
        <w:rPr>
          <w:rFonts w:ascii="Times New Roman Italique" w:hAnsi="Times New Roman Italique"/>
          <w:i/>
        </w:rPr>
        <w:t>§</w:t>
      </w:r>
      <w:r w:rsidR="008812FB">
        <w:rPr>
          <w:rFonts w:ascii="Times New Roman Italique" w:hAnsi="Times New Roman Italique" w:hint="eastAsia"/>
          <w:i/>
        </w:rPr>
        <w:t> </w:t>
      </w:r>
      <w:r w:rsidR="008812FB">
        <w:rPr>
          <w:rFonts w:ascii="Times New Roman Italique" w:hAnsi="Times New Roman Italique"/>
          <w:i/>
        </w:rPr>
        <w:t>7 eingefüg</w:t>
      </w:r>
      <w:r w:rsidR="008812FB" w:rsidRPr="00AB355F">
        <w:rPr>
          <w:rFonts w:ascii="Times New Roman Italique" w:hAnsi="Times New Roman Italique"/>
          <w:i/>
          <w:iCs/>
        </w:rPr>
        <w:t>t durch Art. </w:t>
      </w:r>
      <w:r w:rsidR="008812FB">
        <w:rPr>
          <w:rFonts w:ascii="Times New Roman Italique" w:hAnsi="Times New Roman Italique"/>
          <w:i/>
          <w:iCs/>
        </w:rPr>
        <w:t>12 Buchstabe</w:t>
      </w:r>
      <w:r w:rsidR="008812FB">
        <w:rPr>
          <w:rFonts w:ascii="Times New Roman Italique" w:hAnsi="Times New Roman Italique" w:hint="eastAsia"/>
          <w:i/>
          <w:iCs/>
        </w:rPr>
        <w:t> </w:t>
      </w:r>
      <w:r w:rsidR="008812FB">
        <w:rPr>
          <w:rFonts w:ascii="Times New Roman Italique" w:hAnsi="Times New Roman Italique"/>
          <w:i/>
          <w:iCs/>
        </w:rPr>
        <w:t>e)</w:t>
      </w:r>
      <w:r w:rsidR="008812FB" w:rsidRPr="00AB355F">
        <w:rPr>
          <w:rFonts w:ascii="Times New Roman Italique" w:hAnsi="Times New Roman Italique"/>
          <w:i/>
          <w:iCs/>
        </w:rPr>
        <w:t xml:space="preserve"> des G. vom 20. Dezember 2024 (B.S. vom 31. Dezember 2024) - in Kraft am 31. Dezember 2024 -</w:t>
      </w:r>
      <w:r w:rsidR="00FD68E8" w:rsidRPr="009118AB">
        <w:rPr>
          <w:rFonts w:ascii="Times New Roman Italique" w:hAnsi="Times New Roman Italique"/>
          <w:i/>
          <w:iCs/>
          <w:spacing w:val="-2"/>
        </w:rPr>
        <w:t>]</w:t>
      </w:r>
    </w:p>
    <w:p w14:paraId="39BE9C69" w14:textId="77777777" w:rsidR="00193964" w:rsidRDefault="00193964">
      <w:pPr>
        <w:rPr>
          <w:rFonts w:ascii="Times New Roman Italique" w:hAnsi="Times New Roman Italique"/>
          <w:i/>
          <w:iCs/>
          <w:spacing w:val="-2"/>
        </w:rPr>
      </w:pPr>
      <w:r>
        <w:rPr>
          <w:rFonts w:ascii="Times New Roman Italique" w:hAnsi="Times New Roman Italique"/>
          <w:i/>
          <w:iCs/>
          <w:spacing w:val="-2"/>
        </w:rPr>
        <w:br w:type="page"/>
      </w:r>
    </w:p>
    <w:p w14:paraId="4A58B3C3" w14:textId="24BF5DE7" w:rsidR="00477B8F" w:rsidRPr="009118AB" w:rsidRDefault="00477B8F" w:rsidP="000921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t>Unterabschnitt </w:t>
      </w:r>
      <w:r w:rsidR="006B602F" w:rsidRPr="009118AB">
        <w:t>3</w:t>
      </w:r>
      <w:r w:rsidR="00D67EB8" w:rsidRPr="009118AB">
        <w:t> - </w:t>
      </w:r>
      <w:r w:rsidRPr="009118AB">
        <w:t>Verlust des Rechts Steuerpflichtige zu vertreten</w:t>
      </w:r>
    </w:p>
    <w:p w14:paraId="47F5248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2287C72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4DEF26A3" w14:textId="73F18AD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446</w:t>
      </w:r>
      <w:r w:rsidR="00D67EB8" w:rsidRPr="009118AB">
        <w:t> - </w:t>
      </w:r>
      <w:r w:rsidRPr="009118AB">
        <w:t>Der Minister der Finanzen kann durch einen mit Gründen versehenen Erlass für einen Zeitraum von höchstens fünf Jahren jeder Person das Recht aberkennen, in der Eigenschaft als Bevollmächtigter Steuerpflichtige zu vertreten, außer wenn diese Person einer gesetzlich organisierten Berufsordnung unterliegt oder ihr Mandat aufgrund des Gesetzes oder einer gerichtlichen Entscheidung ausübt.</w:t>
      </w:r>
    </w:p>
    <w:p w14:paraId="6AAA196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A9D444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310CB8F"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b/>
          <w:bCs/>
        </w:rPr>
        <w:t>Art. 447</w:t>
      </w:r>
      <w:r w:rsidRPr="009118AB">
        <w:t> - Der in Artikel [446] erwähnte Erlass darf erst ergehen, nachdem der betreffende Bevollmächtigte aufgefordert wurde, innerhalb zwanzig Tagen zu erscheinen, um von einem Beamten des [Föderalen Öffentlichen Dienstes Finanzen] [mit einem höheren Titel als dem des Beamten, der die Taten festgestellt hat, aber mindestens mit dem Titel eines Beraters] angehört zu werden.</w:t>
      </w:r>
    </w:p>
    <w:p w14:paraId="465E03DE"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C72A1A"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Bevollmächtigte darf sich von einem Beistand beistehen lassen.</w:t>
      </w:r>
    </w:p>
    <w:p w14:paraId="36A6E1BE"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B2EF5A3"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Von dieser Anhörung wird ein Protokoll aufgenommen. Das Protokoll wird nach Verlesung vom Beamten und dem betreffenden Bevollmächtigten unterzeichnet. Ihrer Unterschrift gehen die handgeschriebenen Wörter "Gelesen und genehmigt" voran. Weigert der Betreffende sich zu unterzeichnen, wird dies im Protokoll vermerkt, wobei die Gründe der Weigerung angegeben werden.</w:t>
      </w:r>
    </w:p>
    <w:p w14:paraId="13925039"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F1C64A9"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Eine beglaubigte Abschrift des Protokolls wird dem Bevollmächtigten innerhalb acht Tagen nach dessen Datum notifiziert.</w:t>
      </w:r>
    </w:p>
    <w:p w14:paraId="2F4E8BF3"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35BBA1F"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[Art. 447 Abs. 1 abgeändert durch Art. 81 des G. vom 6. Juli 1994 (B.S. vom 16. Juli 1994) - anwendbar ab dem Steuerjahr 1992 -, Art. 19 des G. vom 25. April 2014 (I) (B.S. vom 16. Mai 2014) - in Kraft am 16. Mai 2014 - und Art. 32 des G. vom 27. April 2016 (B.S. vom 6. Mai 2016)]</w:t>
      </w:r>
    </w:p>
    <w:p w14:paraId="21003717"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04E42B3" w14:textId="77777777" w:rsidR="000510A2"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0AD5093" w14:textId="137C7951" w:rsidR="00E42361" w:rsidRDefault="00E42361" w:rsidP="00E42361">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447 wie folgt:</w:t>
      </w:r>
    </w:p>
    <w:p w14:paraId="23F8F451" w14:textId="77777777" w:rsidR="00E42361" w:rsidRDefault="00E42361" w:rsidP="00E42361">
      <w:pPr>
        <w:autoSpaceDE w:val="0"/>
        <w:autoSpaceDN w:val="0"/>
        <w:adjustRightInd w:val="0"/>
        <w:jc w:val="both"/>
        <w:rPr>
          <w:iCs/>
          <w:sz w:val="20"/>
          <w:szCs w:val="20"/>
        </w:rPr>
      </w:pPr>
    </w:p>
    <w:p w14:paraId="0F072D56" w14:textId="7F02F072"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Pr>
          <w:iCs/>
          <w:sz w:val="20"/>
          <w:szCs w:val="20"/>
        </w:rPr>
        <w:t>"</w:t>
      </w:r>
      <w:r w:rsidRPr="00E42361">
        <w:rPr>
          <w:iCs/>
          <w:sz w:val="20"/>
          <w:szCs w:val="20"/>
        </w:rPr>
        <w:t xml:space="preserve">Art. 447 - Der in Artikel [446] erwähnte Erlass darf erst ergehen, nachdem der betreffende Bevollmächtigte aufgefordert wurde, </w:t>
      </w:r>
      <w:r>
        <w:rPr>
          <w:iCs/>
          <w:sz w:val="20"/>
          <w:szCs w:val="20"/>
        </w:rPr>
        <w:t>[</w:t>
      </w:r>
      <w:r w:rsidRPr="00E42361">
        <w:rPr>
          <w:iCs/>
          <w:sz w:val="20"/>
          <w:szCs w:val="20"/>
        </w:rPr>
        <w:t xml:space="preserve">innerhalb zwanzig </w:t>
      </w:r>
      <w:r>
        <w:rPr>
          <w:iCs/>
          <w:sz w:val="20"/>
          <w:szCs w:val="20"/>
        </w:rPr>
        <w:t>Werkt</w:t>
      </w:r>
      <w:r w:rsidRPr="00E42361">
        <w:rPr>
          <w:iCs/>
          <w:sz w:val="20"/>
          <w:szCs w:val="20"/>
        </w:rPr>
        <w:t>agen</w:t>
      </w:r>
      <w:r>
        <w:rPr>
          <w:iCs/>
          <w:sz w:val="20"/>
          <w:szCs w:val="20"/>
        </w:rPr>
        <w:t>]</w:t>
      </w:r>
      <w:r w:rsidRPr="00E42361">
        <w:rPr>
          <w:iCs/>
          <w:sz w:val="20"/>
          <w:szCs w:val="20"/>
        </w:rPr>
        <w:t xml:space="preserve"> zu erscheinen, um von einem Beamten des [Föderalen Öffentlichen Dienstes Finanzen] [mit einem höheren Titel als dem des Beamten, der die Taten festgestellt hat, aber mindestens mit dem Titel eines Beraters] angehört zu werden.</w:t>
      </w:r>
    </w:p>
    <w:p w14:paraId="2162F4BE" w14:textId="77777777"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6C53DA5A" w14:textId="308CEFE9"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E42361">
        <w:rPr>
          <w:iCs/>
          <w:sz w:val="20"/>
          <w:szCs w:val="20"/>
        </w:rPr>
        <w:t>Der Bevollmächtigte darf sich von einem Beistand beistehen lassen.</w:t>
      </w:r>
    </w:p>
    <w:p w14:paraId="67EC8F2A" w14:textId="77777777"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793D2608" w14:textId="29DC983C"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E42361">
        <w:rPr>
          <w:iCs/>
          <w:sz w:val="20"/>
          <w:szCs w:val="20"/>
        </w:rPr>
        <w:t>Von dieser Anhörung wird ein Protokoll aufgenommen. Das Protokoll wird nach Verlesung vom Beamten und dem betreffenden Bevollmächtigten unterzeichnet. Ihrer Unterschrift gehen die handgeschriebenen Wörter "Gelesen und genehmigt" voran. Weigert der Betreffende sich zu unterzeichnen, wird dies im Protokoll vermerkt, wobei die Gründe der Weigerung angegeben werden.</w:t>
      </w:r>
    </w:p>
    <w:p w14:paraId="39E8F0B3" w14:textId="77777777"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3866DD2B" w14:textId="5B672870"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E42361">
        <w:rPr>
          <w:iCs/>
          <w:sz w:val="20"/>
          <w:szCs w:val="20"/>
        </w:rPr>
        <w:t xml:space="preserve">Eine beglaubigte Abschrift des Protokolls wird dem Bevollmächtigten </w:t>
      </w:r>
      <w:r>
        <w:rPr>
          <w:iCs/>
          <w:sz w:val="20"/>
          <w:szCs w:val="20"/>
        </w:rPr>
        <w:t>[</w:t>
      </w:r>
      <w:r w:rsidRPr="00E42361">
        <w:rPr>
          <w:iCs/>
          <w:sz w:val="20"/>
          <w:szCs w:val="20"/>
        </w:rPr>
        <w:t xml:space="preserve">innerhalb acht </w:t>
      </w:r>
      <w:r>
        <w:rPr>
          <w:iCs/>
          <w:sz w:val="20"/>
          <w:szCs w:val="20"/>
        </w:rPr>
        <w:t>Werkt</w:t>
      </w:r>
      <w:r w:rsidRPr="00E42361">
        <w:rPr>
          <w:iCs/>
          <w:sz w:val="20"/>
          <w:szCs w:val="20"/>
        </w:rPr>
        <w:t>agen</w:t>
      </w:r>
      <w:r>
        <w:rPr>
          <w:iCs/>
          <w:sz w:val="20"/>
          <w:szCs w:val="20"/>
        </w:rPr>
        <w:t>]</w:t>
      </w:r>
      <w:r w:rsidRPr="00E42361">
        <w:rPr>
          <w:iCs/>
          <w:sz w:val="20"/>
          <w:szCs w:val="20"/>
        </w:rPr>
        <w:t xml:space="preserve"> nach dessen Datum notifiziert.</w:t>
      </w:r>
    </w:p>
    <w:p w14:paraId="5D3F81CD" w14:textId="77777777"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686384BD" w14:textId="6C1E9264"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E42361">
        <w:rPr>
          <w:i/>
          <w:iCs/>
          <w:sz w:val="20"/>
          <w:szCs w:val="20"/>
        </w:rPr>
        <w:t>[Art. 447 Abs. 1 abgeändert durch Art. 81 des G. vom 6. Juli 1994 (B.S. vom 16. Juli 1994) - anwendbar ab dem Steuerjahr 1992 -, Art. 19 des G. vom 25. April 2014 (I) (B.S. vom 16. Mai 2014) - in Kraft am 16. Mai 2014 -</w:t>
      </w:r>
      <w:r>
        <w:rPr>
          <w:i/>
          <w:iCs/>
          <w:sz w:val="20"/>
          <w:szCs w:val="20"/>
        </w:rPr>
        <w:t>,</w:t>
      </w:r>
      <w:r w:rsidRPr="00E42361">
        <w:rPr>
          <w:i/>
          <w:iCs/>
          <w:sz w:val="20"/>
          <w:szCs w:val="20"/>
        </w:rPr>
        <w:t xml:space="preserve"> Art. 32 des G. vom 27. April 2016 (B.S. vom 6. Mai 2016)</w:t>
      </w:r>
      <w:r>
        <w:rPr>
          <w:i/>
          <w:iCs/>
          <w:sz w:val="20"/>
          <w:szCs w:val="20"/>
        </w:rPr>
        <w:t>, Art. 44 Nr. 1 des G. vom 26. Januar 2021 (B.S. vom 10. Februar 2021) - in Kraft am 1. Januar 2025 -</w:t>
      </w:r>
      <w:r w:rsidRPr="00E42361">
        <w:rPr>
          <w:i/>
          <w:iCs/>
          <w:sz w:val="20"/>
          <w:szCs w:val="20"/>
        </w:rPr>
        <w:t>, selbst aufgehoben durch Art. 213 des G. vom 12. Mai 2024 (B.S. vom 30. Mai 2024)</w:t>
      </w:r>
      <w:r>
        <w:rPr>
          <w:i/>
          <w:iCs/>
          <w:sz w:val="20"/>
          <w:szCs w:val="20"/>
        </w:rPr>
        <w:t>, und durch Art. 42 Nr. 1</w:t>
      </w:r>
      <w:r w:rsidRPr="00E42361">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E42361">
        <w:rPr>
          <w:i/>
          <w:iCs/>
          <w:sz w:val="20"/>
          <w:szCs w:val="20"/>
        </w:rPr>
        <w:t>-</w:t>
      </w:r>
      <w:r>
        <w:rPr>
          <w:i/>
          <w:iCs/>
          <w:sz w:val="20"/>
          <w:szCs w:val="20"/>
        </w:rPr>
        <w:t>; Abs. 4 abgeändert durch Art. 44 Nr. 2 des G. vom 26. Januar 2021 (B.S. vom 10. Februar 2021) - in Kraft am 1. Januar 2025 -</w:t>
      </w:r>
      <w:r w:rsidRPr="00E42361">
        <w:rPr>
          <w:i/>
          <w:iCs/>
          <w:sz w:val="20"/>
          <w:szCs w:val="20"/>
        </w:rPr>
        <w:t>, selbst aufgehoben durch Art. 213 des G. vom 12. Mai 2024 (B.S. vom 30. Mai 2024)</w:t>
      </w:r>
      <w:r>
        <w:rPr>
          <w:i/>
          <w:iCs/>
          <w:sz w:val="20"/>
          <w:szCs w:val="20"/>
        </w:rPr>
        <w:t>, und durch Art. 42 Nr. 2</w:t>
      </w:r>
      <w:r w:rsidRPr="00E42361">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E42361">
        <w:rPr>
          <w:i/>
          <w:iCs/>
          <w:sz w:val="20"/>
          <w:szCs w:val="20"/>
        </w:rPr>
        <w:t>-]</w:t>
      </w:r>
      <w:r>
        <w:rPr>
          <w:sz w:val="20"/>
          <w:szCs w:val="20"/>
        </w:rPr>
        <w:t>"</w:t>
      </w:r>
    </w:p>
    <w:p w14:paraId="765B906D" w14:textId="4CE83CBF" w:rsidR="00E42361" w:rsidRPr="009118AB"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812FFE5" w14:textId="77777777" w:rsidR="000510A2" w:rsidRPr="009118AB"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7DDBA4B" w14:textId="77777777" w:rsidR="00B11F11" w:rsidRPr="009118AB" w:rsidRDefault="00B11F11" w:rsidP="00B11F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b/>
          <w:bCs/>
        </w:rPr>
        <w:t>Art. 448</w:t>
      </w:r>
      <w:r w:rsidRPr="009118AB">
        <w:t xml:space="preserve"> - Der in Artikel 446 erwähnte Erlass, von dem eine beglaubigte Abschrift per Einschreibebrief an den betreffenden Bevollmächtigten gesandt wird, wird auszugsweise im </w:t>
      </w:r>
      <w:r w:rsidRPr="009118AB">
        <w:rPr>
          <w:i/>
          <w:iCs/>
        </w:rPr>
        <w:t>Belgischen Staatsblatt</w:t>
      </w:r>
      <w:r w:rsidRPr="009118AB">
        <w:t xml:space="preserve"> veröffentlicht, außer wenn der Betreffende beim Staatsrat Beschwerde eingereicht hat. In diesem Fall erfolgt die Veröffentlichung im </w:t>
      </w:r>
      <w:r w:rsidRPr="009118AB">
        <w:rPr>
          <w:i/>
          <w:iCs/>
        </w:rPr>
        <w:t>Belgischen Staatsblatt</w:t>
      </w:r>
      <w:r w:rsidRPr="009118AB">
        <w:t xml:space="preserve"> nur, wenn der Erlass vom Staatsrat nicht für nichtig erklärt wird.</w:t>
      </w:r>
    </w:p>
    <w:p w14:paraId="50408F3C" w14:textId="77777777" w:rsidR="00B11F11" w:rsidRDefault="00B11F11" w:rsidP="00B11F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8361F6E" w14:textId="77777777" w:rsidR="00E42361" w:rsidRDefault="00E42361" w:rsidP="00B11F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45B23B0" w14:textId="69B4581B" w:rsidR="00E42361" w:rsidRDefault="00E42361" w:rsidP="00E42361">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448 wie folgt:</w:t>
      </w:r>
    </w:p>
    <w:p w14:paraId="1774F1D4" w14:textId="77777777" w:rsidR="00E42361" w:rsidRDefault="00E42361" w:rsidP="00E42361">
      <w:pPr>
        <w:autoSpaceDE w:val="0"/>
        <w:autoSpaceDN w:val="0"/>
        <w:adjustRightInd w:val="0"/>
        <w:jc w:val="both"/>
        <w:rPr>
          <w:iCs/>
          <w:sz w:val="20"/>
          <w:szCs w:val="20"/>
        </w:rPr>
      </w:pPr>
    </w:p>
    <w:p w14:paraId="229A880E" w14:textId="5A8E2A7D" w:rsidR="00E42361" w:rsidRP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Pr>
          <w:iCs/>
          <w:sz w:val="20"/>
          <w:szCs w:val="20"/>
        </w:rPr>
        <w:t>"</w:t>
      </w:r>
      <w:r w:rsidRPr="00E42361">
        <w:rPr>
          <w:iCs/>
          <w:sz w:val="20"/>
          <w:szCs w:val="20"/>
        </w:rPr>
        <w:t xml:space="preserve">Art. 448 - Der in Artikel 446 erwähnte Erlass, von dem eine beglaubigte Abschrift </w:t>
      </w:r>
      <w:r w:rsidR="00BA10A7">
        <w:rPr>
          <w:iCs/>
          <w:sz w:val="20"/>
          <w:szCs w:val="20"/>
        </w:rPr>
        <w:t>[</w:t>
      </w:r>
      <w:r w:rsidR="00BA10A7" w:rsidRPr="00BA10A7">
        <w:rPr>
          <w:iCs/>
          <w:sz w:val="20"/>
          <w:szCs w:val="20"/>
        </w:rPr>
        <w:t>per Einschreibesendung an den betreffenden Bevollmächtigten übermittelt wird</w:t>
      </w:r>
      <w:r>
        <w:rPr>
          <w:iCs/>
          <w:sz w:val="20"/>
          <w:szCs w:val="20"/>
        </w:rPr>
        <w:t>]</w:t>
      </w:r>
      <w:r w:rsidRPr="00E42361">
        <w:rPr>
          <w:iCs/>
          <w:sz w:val="20"/>
          <w:szCs w:val="20"/>
        </w:rPr>
        <w:t xml:space="preserve">, wird auszugsweise im </w:t>
      </w:r>
      <w:r w:rsidRPr="00E42361">
        <w:rPr>
          <w:i/>
          <w:iCs/>
          <w:sz w:val="20"/>
          <w:szCs w:val="20"/>
        </w:rPr>
        <w:t>Belgischen Staatsblatt</w:t>
      </w:r>
      <w:r w:rsidRPr="00E42361">
        <w:rPr>
          <w:iCs/>
          <w:sz w:val="20"/>
          <w:szCs w:val="20"/>
        </w:rPr>
        <w:t xml:space="preserve"> veröffentlicht, außer wenn der Betreffende beim Staatsrat Beschwerde eingereicht hat. In diesem Fall erfolgt die Veröffentlichung im </w:t>
      </w:r>
      <w:r w:rsidRPr="00E42361">
        <w:rPr>
          <w:i/>
          <w:iCs/>
          <w:sz w:val="20"/>
          <w:szCs w:val="20"/>
        </w:rPr>
        <w:t>Belgischen Staatsblatt</w:t>
      </w:r>
      <w:r w:rsidRPr="00E42361">
        <w:rPr>
          <w:iCs/>
          <w:sz w:val="20"/>
          <w:szCs w:val="20"/>
        </w:rPr>
        <w:t xml:space="preserve"> nur, wenn der Erlass vom Staatsrat nicht für nichtig erklärt wird.</w:t>
      </w:r>
    </w:p>
    <w:p w14:paraId="0671320E" w14:textId="1D6238FC" w:rsidR="00E4236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9DE0036" w14:textId="7F983FE9" w:rsidR="00E42361" w:rsidRPr="009118AB"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118AB">
        <w:rPr>
          <w:i/>
          <w:iCs/>
          <w:sz w:val="20"/>
          <w:szCs w:val="20"/>
        </w:rPr>
        <w:t>[Art. 448 abgeändert durch Art. 45 des G. vom 26. Januar 2021 (B.S. vom 10. Februar 2021) - in Kraft am 1. Januar 2025 -</w:t>
      </w:r>
      <w:r w:rsidRPr="00E42361">
        <w:rPr>
          <w:i/>
          <w:iCs/>
          <w:sz w:val="20"/>
          <w:szCs w:val="20"/>
        </w:rPr>
        <w:t>, selbst aufgehoben durch Art. 213 des G. vom 12. Mai 2024 (B.S. vom 30. Mai 2024)</w:t>
      </w:r>
      <w:r>
        <w:rPr>
          <w:i/>
          <w:iCs/>
          <w:sz w:val="20"/>
          <w:szCs w:val="20"/>
        </w:rPr>
        <w:t>, und durch Art. 43</w:t>
      </w:r>
      <w:r w:rsidRPr="00E42361">
        <w:rPr>
          <w:i/>
          <w:iCs/>
          <w:sz w:val="20"/>
          <w:szCs w:val="20"/>
        </w:rPr>
        <w:t xml:space="preserve"> des G. vom 12. Mai 2024 (B.S. vom 30. Mai 2024) - </w:t>
      </w:r>
      <w:r w:rsidR="00CC23FF">
        <w:rPr>
          <w:i/>
          <w:iCs/>
          <w:sz w:val="20"/>
          <w:szCs w:val="20"/>
        </w:rPr>
        <w:t>in Kraft für alle oder bestimmte Kategorien von Inhabern einer Unternehmensnummer sowie für natürliche Personen an dem jeweils vom König festzulegenden Datum und spätestens am 1. Januar 2028 </w:t>
      </w:r>
      <w:r w:rsidRPr="00E42361">
        <w:rPr>
          <w:i/>
          <w:iCs/>
          <w:sz w:val="20"/>
          <w:szCs w:val="20"/>
        </w:rPr>
        <w:t>-</w:t>
      </w:r>
      <w:r w:rsidRPr="009118AB">
        <w:rPr>
          <w:i/>
          <w:iCs/>
          <w:sz w:val="20"/>
          <w:szCs w:val="20"/>
        </w:rPr>
        <w:t>]</w:t>
      </w:r>
      <w:r w:rsidRPr="009118AB">
        <w:rPr>
          <w:iCs/>
          <w:sz w:val="20"/>
          <w:szCs w:val="20"/>
        </w:rPr>
        <w:t>"</w:t>
      </w:r>
    </w:p>
    <w:p w14:paraId="4E143FBC" w14:textId="77777777" w:rsidR="00E42361" w:rsidRPr="009118AB"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11A64E7" w14:textId="77777777" w:rsidR="00B11F11" w:rsidRPr="009118AB" w:rsidRDefault="00B11F11" w:rsidP="00B11F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2FBDDD" w14:textId="77777777" w:rsidR="00B73E57" w:rsidRPr="009118AB" w:rsidRDefault="00B73E57" w:rsidP="00B73E57">
      <w:pPr>
        <w:jc w:val="both"/>
      </w:pPr>
      <w:r w:rsidRPr="009118AB">
        <w:tab/>
        <w:t>[</w:t>
      </w:r>
      <w:r w:rsidRPr="009118AB">
        <w:rPr>
          <w:b/>
          <w:bCs/>
        </w:rPr>
        <w:t>Art. 448/1</w:t>
      </w:r>
      <w:r w:rsidRPr="009118AB">
        <w:t> - § 1 ­ Der Minister der Finanzen kann durch einen mit Gründen versehenen Erlass, wenn ein meldender Plattformbetreiber im Sinne von Artikel 321</w:t>
      </w:r>
      <w:r w:rsidRPr="009118AB">
        <w:rPr>
          <w:i/>
          <w:iCs/>
        </w:rPr>
        <w:t>quater</w:t>
      </w:r>
      <w:r w:rsidRPr="009118AB">
        <w:t xml:space="preserve"> Buchstabe </w:t>
      </w:r>
      <w:r w:rsidRPr="009118AB">
        <w:rPr>
          <w:i/>
          <w:iCs/>
        </w:rPr>
        <w:t>b)</w:t>
      </w:r>
      <w:r w:rsidRPr="009118AB">
        <w:t xml:space="preserve"> seine Tätigkeit ausübt, ohne zuvor seine einmalige Registrierung vorgenommen zu haben, oder nach Widerruf seiner Registrierung gemäß Artikel 321</w:t>
      </w:r>
      <w:r w:rsidRPr="009118AB">
        <w:rPr>
          <w:i/>
          <w:iCs/>
        </w:rPr>
        <w:t>septies</w:t>
      </w:r>
      <w:r w:rsidRPr="009118AB">
        <w:t xml:space="preserve"> § 5, diesem Plattformbetreiber verbieten, seine Dienste auf dem belgischen Staatsgebiet anzubieten, wenn gegen diesen Betreiber in zwei aufeinander folgenden Jahren eine Sanktion gemäß Artikel 445 § 6 Absatz 1 oder 2 verhängt worden ist.</w:t>
      </w:r>
    </w:p>
    <w:p w14:paraId="7593B1E8" w14:textId="77777777" w:rsidR="00B73E57" w:rsidRPr="009118AB" w:rsidRDefault="00B73E57" w:rsidP="00B73E57">
      <w:pPr>
        <w:jc w:val="both"/>
      </w:pPr>
    </w:p>
    <w:p w14:paraId="3E1CFD54" w14:textId="77777777" w:rsidR="00B73E57" w:rsidRPr="009118AB" w:rsidRDefault="00B73E57" w:rsidP="00B73E57">
      <w:pPr>
        <w:jc w:val="both"/>
      </w:pPr>
      <w:r w:rsidRPr="009118AB">
        <w:tab/>
        <w:t>§ 2 - Der in § 1 erwähnte Erlass darf erst ergehen, nachdem der Plattformbetreiber aufgefordert wurde zu erscheinen, um von einem Beamten des Föderalen Öffentlichen Dienstes Finanzen mit einem höheren Titel als dem des Beamten, der die Taten festgestellt hat, aber mindestens mit dem Titel eines Beraters angehört zu werden.</w:t>
      </w:r>
    </w:p>
    <w:p w14:paraId="792F56A7" w14:textId="77777777" w:rsidR="00B73E57" w:rsidRPr="009118AB" w:rsidRDefault="00B73E57" w:rsidP="00B73E57">
      <w:pPr>
        <w:jc w:val="both"/>
      </w:pPr>
    </w:p>
    <w:p w14:paraId="281C4E63" w14:textId="77777777" w:rsidR="00B73E57" w:rsidRPr="009118AB" w:rsidRDefault="00B73E57" w:rsidP="00B73E57">
      <w:pPr>
        <w:jc w:val="both"/>
      </w:pPr>
      <w:r w:rsidRPr="009118AB">
        <w:tab/>
        <w:t>Der Plattformbetreiber darf sich von einem Beistand beistehen lassen.</w:t>
      </w:r>
    </w:p>
    <w:p w14:paraId="60F80068" w14:textId="77777777" w:rsidR="00B73E57" w:rsidRPr="009118AB" w:rsidRDefault="00B73E57" w:rsidP="00B73E57">
      <w:pPr>
        <w:jc w:val="both"/>
      </w:pPr>
    </w:p>
    <w:p w14:paraId="25348AD2" w14:textId="77777777" w:rsidR="00B73E57" w:rsidRPr="009118AB" w:rsidRDefault="00B73E57" w:rsidP="00B73E57">
      <w:pPr>
        <w:jc w:val="both"/>
      </w:pPr>
      <w:r w:rsidRPr="009118AB">
        <w:tab/>
        <w:t>Von dieser Anhörung wird ein Protokoll aufgenommen. Das Protokoll wird nach Verlesung von dem Beamten und dem Vertreter des Plattformbetreibers unterzeichnet. Ihrer Unterschrift gehen die handgeschriebenen Wörter "Gelesen und genehmigt" voran. Weigert der Betreffende sich zu unterzeichnen, wird dies im Protokoll vermerkt, wobei die Gründe der Weigerung angegeben werden.</w:t>
      </w:r>
    </w:p>
    <w:p w14:paraId="6BBE697C" w14:textId="77777777" w:rsidR="00B73E57" w:rsidRPr="009118AB" w:rsidRDefault="00B73E57" w:rsidP="00B73E57">
      <w:pPr>
        <w:jc w:val="both"/>
      </w:pPr>
    </w:p>
    <w:p w14:paraId="02E1BA07" w14:textId="77777777" w:rsidR="00B73E57" w:rsidRPr="009118AB" w:rsidRDefault="00B73E57" w:rsidP="00B73E57">
      <w:pPr>
        <w:jc w:val="both"/>
      </w:pPr>
      <w:r w:rsidRPr="009118AB">
        <w:tab/>
        <w:t>Eine beglaubigte Abschrift des Protokolls wird dem Plattformbetreiber innerhalb acht Tagen nach dessen Datum notifiziert.</w:t>
      </w:r>
    </w:p>
    <w:p w14:paraId="28AA5B50" w14:textId="77777777" w:rsidR="00B73E57" w:rsidRPr="009118AB" w:rsidRDefault="00B73E57" w:rsidP="00B73E57">
      <w:pPr>
        <w:jc w:val="both"/>
      </w:pPr>
    </w:p>
    <w:p w14:paraId="2A7DCB75" w14:textId="4B075514" w:rsidR="00B73E57" w:rsidRPr="009118AB" w:rsidRDefault="00B73E57" w:rsidP="00B73E57">
      <w:pPr>
        <w:jc w:val="both"/>
      </w:pPr>
      <w:r w:rsidRPr="009118AB">
        <w:tab/>
        <w:t>§ 3 - Erscheint der Plattformbetreiber nicht innerhalb eine</w:t>
      </w:r>
      <w:r w:rsidR="000615F9">
        <w:t>r</w:t>
      </w:r>
      <w:r w:rsidRPr="009118AB">
        <w:t xml:space="preserve"> Frist von dreißig Tagen ab der Aufforderung zum Erscheinen, kann der Erlass des Ministers der Finanzen in Abweichung von § 2 ohne Anhörung des Plattformbetreibers ergehen.</w:t>
      </w:r>
    </w:p>
    <w:p w14:paraId="36F3053F" w14:textId="77777777" w:rsidR="00B73E57" w:rsidRPr="009118AB" w:rsidRDefault="00B73E57" w:rsidP="00B73E57">
      <w:pPr>
        <w:jc w:val="both"/>
      </w:pPr>
    </w:p>
    <w:p w14:paraId="241D0F24" w14:textId="77777777" w:rsidR="00B73E57" w:rsidRPr="009118AB" w:rsidRDefault="00B73E57" w:rsidP="00B73E57">
      <w:pPr>
        <w:jc w:val="both"/>
      </w:pPr>
      <w:r w:rsidRPr="009118AB">
        <w:tab/>
        <w:t xml:space="preserve">§ 4 - Der in § 1 erwähnte Erlass, von dem eine beglaubigte Abschrift per Einschreibebrief an den Plattformbetreiber gesandt wird, wird auszugsweise im </w:t>
      </w:r>
      <w:r w:rsidRPr="009118AB">
        <w:rPr>
          <w:i/>
          <w:iCs/>
        </w:rPr>
        <w:t>Belgischen Staatsblatt</w:t>
      </w:r>
      <w:r w:rsidRPr="009118AB">
        <w:t xml:space="preserve"> veröffentlicht, außer wenn der Betreffende beim Staatsrat Beschwerde eingereicht hat. In diesem Fall erfolgt die Veröffentlichung im </w:t>
      </w:r>
      <w:r w:rsidRPr="009118AB">
        <w:rPr>
          <w:i/>
          <w:iCs/>
        </w:rPr>
        <w:t>Belgischen Staatsblatt</w:t>
      </w:r>
      <w:r w:rsidRPr="009118AB">
        <w:t xml:space="preserve"> nur, wenn der Erlass vom Staatsrat nicht für nichtig erklärt wird.</w:t>
      </w:r>
    </w:p>
    <w:p w14:paraId="09DA95F9" w14:textId="77777777" w:rsidR="00B73E57" w:rsidRPr="009118AB" w:rsidRDefault="00B73E57" w:rsidP="00B73E57">
      <w:pPr>
        <w:jc w:val="both"/>
      </w:pPr>
    </w:p>
    <w:p w14:paraId="5CEAEBBE" w14:textId="3D4FEF13" w:rsidR="00B73E57" w:rsidRPr="009118AB" w:rsidRDefault="00B73E57"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5 - Eine vom Plattformbetreiber beim Staatsrat eingereichte Beschwerde gegen den Erlass des Ministers der Finanzen hat aufschiebende Wirkung auf den Erlass.]</w:t>
      </w:r>
    </w:p>
    <w:p w14:paraId="3E5EA619" w14:textId="77777777" w:rsidR="00B73E57" w:rsidRPr="009118AB" w:rsidRDefault="00B73E57"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ED9A2D" w14:textId="34F7BB8C" w:rsidR="00B73E57" w:rsidRPr="009118AB" w:rsidRDefault="00B73E57"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[Art. 448/1 eingefügt durch Art. 13</w:t>
      </w:r>
      <w:r w:rsidRPr="009118AB">
        <w:rPr>
          <w:rFonts w:ascii="Times New Roman Italique" w:hAnsi="Times New Roman Italique"/>
          <w:i/>
          <w:iCs/>
          <w:spacing w:val="-2"/>
        </w:rPr>
        <w:t xml:space="preserve"> des G. vom </w:t>
      </w:r>
      <w:r w:rsidR="003365DD" w:rsidRPr="009118AB">
        <w:rPr>
          <w:rFonts w:ascii="Times New Roman Italique" w:hAnsi="Times New Roman Italique"/>
          <w:i/>
          <w:iCs/>
          <w:spacing w:val="-2"/>
        </w:rPr>
        <w:t>21. Dezember 2022 (I)</w:t>
      </w:r>
      <w:r w:rsidRPr="009118AB">
        <w:rPr>
          <w:rFonts w:ascii="Times New Roman Italique" w:hAnsi="Times New Roman Italique"/>
          <w:i/>
          <w:iCs/>
          <w:spacing w:val="-2"/>
        </w:rPr>
        <w:t xml:space="preserve"> (B.S. vom 30. Dezember 2022) - in Kraft am 1. Januar 2023 -]</w:t>
      </w:r>
    </w:p>
    <w:p w14:paraId="0D353930" w14:textId="2E423AA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i/>
          <w:iCs/>
        </w:rPr>
        <w:t>Abschnitt </w:t>
      </w:r>
      <w:r w:rsidR="006B602F" w:rsidRPr="009118AB">
        <w:rPr>
          <w:i/>
          <w:iCs/>
        </w:rPr>
        <w:t>2</w:t>
      </w:r>
      <w:r w:rsidR="00D67EB8" w:rsidRPr="009118AB">
        <w:t> - </w:t>
      </w:r>
      <w:r w:rsidRPr="009118AB">
        <w:t>Strafrechtliche Sanktionen</w:t>
      </w:r>
    </w:p>
    <w:p w14:paraId="4DDFB07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981B0C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F66A8B1" w14:textId="0704CBE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449</w:t>
      </w:r>
      <w:r w:rsidR="00D67EB8" w:rsidRPr="009118AB">
        <w:t> - </w:t>
      </w:r>
      <w:r w:rsidR="00F35D4D" w:rsidRPr="009118AB">
        <w:t>[Mit einer Gefängnisstrafe von acht Tagen bis zu zwei Jahren und mit einer Geldbuße von 250 bis zu 500.000 EUR oder mit nur einer dieser Strafen wird belegt, wer in betrügerischer Absicht oder mit der Absicht zu schaden gegen die Bestimmungen des vorliegenden Gesetzbuches oder seiner Ausführungserlasse verstößt.]</w:t>
      </w:r>
    </w:p>
    <w:p w14:paraId="40625A34" w14:textId="77777777" w:rsidR="000246F5" w:rsidRPr="009118AB" w:rsidRDefault="000246F5"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82B56CF" w14:textId="1412DB24" w:rsidR="000246F5" w:rsidRPr="009118AB" w:rsidRDefault="000246F5"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[Wurden die in Absatz 1 erwähnten Verstöße im Rahmen einer</w:t>
      </w:r>
      <w:r w:rsidR="00D67EB8" w:rsidRPr="009118AB">
        <w:t> - </w:t>
      </w:r>
      <w:r w:rsidRPr="009118AB">
        <w:t>organisierten oder nicht organisierten</w:t>
      </w:r>
      <w:r w:rsidR="00D67EB8" w:rsidRPr="009118AB">
        <w:t> - </w:t>
      </w:r>
      <w:r w:rsidRPr="009118AB">
        <w:t>schweren Steuerhinterziehung begangen, wird der Schuldige mit einer Gefängnisstrafe von acht Tagen bis zu fünf Jahren und mit einer Geldbuße von 250 bis zu 500.000 EUR oder mit nur einer dieser Strafen belegt.]</w:t>
      </w:r>
    </w:p>
    <w:p w14:paraId="51ADF57A" w14:textId="77777777" w:rsidR="00535BCE" w:rsidRPr="009118AB" w:rsidRDefault="00535BC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AF1E97" w14:textId="77777777" w:rsidR="00535BCE" w:rsidRPr="009118AB" w:rsidRDefault="00535BCE" w:rsidP="00535BCE">
      <w:pPr>
        <w:ind w:firstLine="708"/>
        <w:jc w:val="both"/>
      </w:pPr>
      <w:r w:rsidRPr="009118AB">
        <w:tab/>
        <w:t>[Keine strafrechtliche Sanktion wird angewandt, wenn:</w:t>
      </w:r>
    </w:p>
    <w:p w14:paraId="6E355574" w14:textId="77777777" w:rsidR="00535BCE" w:rsidRPr="009118AB" w:rsidRDefault="00535BCE" w:rsidP="00535BCE">
      <w:pPr>
        <w:jc w:val="both"/>
      </w:pPr>
    </w:p>
    <w:p w14:paraId="0F1C31BD" w14:textId="135D660D" w:rsidR="00535BCE" w:rsidRPr="009118AB" w:rsidRDefault="00535BCE" w:rsidP="00535BCE">
      <w:pPr>
        <w:ind w:firstLine="708"/>
        <w:jc w:val="both"/>
      </w:pPr>
      <w:r w:rsidRPr="009118AB">
        <w:t xml:space="preserve">- der Steuerpflichtige nachweist, dass der Betrag der in Artikel 57 erwähnten Ausgaben oder der in den Artikeln 31 Absatz 2 </w:t>
      </w:r>
      <w:r w:rsidR="00D67EB8" w:rsidRPr="009118AB">
        <w:t>Nr. </w:t>
      </w:r>
      <w:r w:rsidRPr="009118AB">
        <w:t xml:space="preserve">2 und 32 Absatz 2 </w:t>
      </w:r>
      <w:r w:rsidR="00D67EB8" w:rsidRPr="009118AB">
        <w:t>Nr. </w:t>
      </w:r>
      <w:r w:rsidRPr="009118AB">
        <w:t>2 erwähnten Vorteile jeglicher Art in einer vom Empfänger gemäß Artikel 305 eingereichten Erklärung oder in einer vom Empfänger im Ausland eingereichten gleichartigen Erklärung enthalten ist,</w:t>
      </w:r>
    </w:p>
    <w:p w14:paraId="47ACD708" w14:textId="77777777" w:rsidR="00535BCE" w:rsidRPr="009118AB" w:rsidRDefault="00535BCE" w:rsidP="00535BCE">
      <w:pPr>
        <w:jc w:val="both"/>
      </w:pPr>
    </w:p>
    <w:p w14:paraId="4CC230A9" w14:textId="77777777" w:rsidR="00535BCE" w:rsidRPr="009118AB" w:rsidRDefault="00535BCE" w:rsidP="00535B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verschleierte Gewinne wie in den Artikeln 219 und 233 Absatz 2 erwähnt unter den in Artikel 219 Absatz 4 erwähnten Bedingungen in einem späteren Geschäftsjahr als dem Geschäftsjahr, in dem der Gewinn erzielt wurde, wieder in der Buchhaltung ausgewiesen werden.]</w:t>
      </w:r>
    </w:p>
    <w:p w14:paraId="50D1ACA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6D9FDD5" w14:textId="37353AD8" w:rsidR="00477B8F" w:rsidRPr="009118AB" w:rsidRDefault="00477B8F" w:rsidP="000246F5">
      <w:pPr>
        <w:autoSpaceDE w:val="0"/>
        <w:autoSpaceDN w:val="0"/>
        <w:adjustRightInd w:val="0"/>
        <w:jc w:val="both"/>
        <w:rPr>
          <w:i/>
          <w:iCs/>
        </w:rPr>
      </w:pPr>
      <w:r w:rsidRPr="009118AB">
        <w:rPr>
          <w:i/>
          <w:iCs/>
        </w:rPr>
        <w:t>[</w:t>
      </w:r>
      <w:r w:rsidR="00D67EB8" w:rsidRPr="009118AB">
        <w:rPr>
          <w:i/>
          <w:iCs/>
        </w:rPr>
        <w:t>Art. </w:t>
      </w:r>
      <w:r w:rsidRPr="009118AB">
        <w:rPr>
          <w:i/>
          <w:iCs/>
        </w:rPr>
        <w:t xml:space="preserve">449 </w:t>
      </w:r>
      <w:r w:rsidR="00D67EB8" w:rsidRPr="009118AB">
        <w:rPr>
          <w:i/>
          <w:iCs/>
          <w:spacing w:val="-2"/>
        </w:rPr>
        <w:t>Abs. </w:t>
      </w:r>
      <w:r w:rsidR="000246F5" w:rsidRPr="009118AB">
        <w:rPr>
          <w:i/>
          <w:iCs/>
          <w:spacing w:val="-2"/>
        </w:rPr>
        <w:t xml:space="preserve">1 (früherer einziger Absatz) </w:t>
      </w:r>
      <w:r w:rsidR="00F35D4D" w:rsidRPr="009118AB">
        <w:rPr>
          <w:i/>
          <w:iCs/>
        </w:rPr>
        <w:t xml:space="preserve">ersetzt durch </w:t>
      </w:r>
      <w:r w:rsidR="00D67EB8" w:rsidRPr="009118AB">
        <w:rPr>
          <w:i/>
          <w:iCs/>
        </w:rPr>
        <w:t>Art. </w:t>
      </w:r>
      <w:r w:rsidR="00F35D4D" w:rsidRPr="009118AB">
        <w:rPr>
          <w:i/>
          <w:iCs/>
        </w:rPr>
        <w:t>5 des G. vom 20. September 2012 (B.S. vom 22. Oktober 2012)</w:t>
      </w:r>
      <w:r w:rsidR="000246F5" w:rsidRPr="009118AB">
        <w:rPr>
          <w:i/>
          <w:iCs/>
        </w:rPr>
        <w:t xml:space="preserve">; </w:t>
      </w:r>
      <w:r w:rsidR="00D67EB8" w:rsidRPr="009118AB">
        <w:rPr>
          <w:i/>
          <w:iCs/>
        </w:rPr>
        <w:t>Abs. </w:t>
      </w:r>
      <w:r w:rsidR="000246F5" w:rsidRPr="009118AB">
        <w:rPr>
          <w:i/>
          <w:iCs/>
        </w:rPr>
        <w:t xml:space="preserve">2 eingefügt durch </w:t>
      </w:r>
      <w:r w:rsidR="00D67EB8" w:rsidRPr="009118AB">
        <w:rPr>
          <w:i/>
          <w:iCs/>
        </w:rPr>
        <w:t>Art. </w:t>
      </w:r>
      <w:r w:rsidR="000246F5" w:rsidRPr="009118AB">
        <w:rPr>
          <w:i/>
          <w:iCs/>
        </w:rPr>
        <w:t>98 des G. vom 17. Juni 2013 (B.S. vom 28. Juni 2013)</w:t>
      </w:r>
      <w:r w:rsidR="00535BCE" w:rsidRPr="009118AB">
        <w:rPr>
          <w:i/>
          <w:iCs/>
        </w:rPr>
        <w:t xml:space="preserve">; </w:t>
      </w:r>
      <w:r w:rsidR="00D67EB8" w:rsidRPr="009118AB">
        <w:rPr>
          <w:i/>
          <w:iCs/>
        </w:rPr>
        <w:t>Abs. </w:t>
      </w:r>
      <w:r w:rsidR="00535BCE" w:rsidRPr="009118AB">
        <w:rPr>
          <w:i/>
          <w:iCs/>
        </w:rPr>
        <w:t xml:space="preserve">3 eingefügt durch </w:t>
      </w:r>
      <w:r w:rsidR="00D67EB8" w:rsidRPr="009118AB">
        <w:rPr>
          <w:i/>
          <w:iCs/>
        </w:rPr>
        <w:t>Art. </w:t>
      </w:r>
      <w:r w:rsidR="00535BCE" w:rsidRPr="009118AB">
        <w:rPr>
          <w:i/>
          <w:iCs/>
        </w:rPr>
        <w:t xml:space="preserve">39 </w:t>
      </w:r>
      <w:r w:rsidR="00535BCE" w:rsidRPr="009118AB">
        <w:rPr>
          <w:i/>
          <w:iCs/>
          <w:spacing w:val="-1"/>
        </w:rPr>
        <w:t>des G. vom 19. Dezember 2014 (B.S. vom 29. Dezember 2014)</w:t>
      </w:r>
      <w:r w:rsidR="00D67EB8" w:rsidRPr="009118AB">
        <w:rPr>
          <w:i/>
          <w:iCs/>
          <w:spacing w:val="-1"/>
        </w:rPr>
        <w:t> - </w:t>
      </w:r>
      <w:r w:rsidR="00535BCE" w:rsidRPr="009118AB">
        <w:rPr>
          <w:i/>
          <w:iCs/>
          <w:spacing w:val="-1"/>
        </w:rPr>
        <w:t xml:space="preserve">in Kraft am 29. Dezember 2014 und anwendbar auf alle Rechtsstreite, die </w:t>
      </w:r>
      <w:r w:rsidR="00D926DA" w:rsidRPr="009118AB">
        <w:rPr>
          <w:i/>
          <w:iCs/>
          <w:spacing w:val="-1"/>
        </w:rPr>
        <w:t xml:space="preserve">an diesem Datum </w:t>
      </w:r>
      <w:r w:rsidR="00535BCE" w:rsidRPr="009118AB">
        <w:rPr>
          <w:i/>
          <w:iCs/>
          <w:spacing w:val="-1"/>
        </w:rPr>
        <w:t>noch nicht endgültig abgeschlossen sind</w:t>
      </w:r>
      <w:r w:rsidR="00FD68E8" w:rsidRPr="009118AB">
        <w:rPr>
          <w:i/>
          <w:iCs/>
          <w:spacing w:val="-1"/>
        </w:rPr>
        <w:t> -]</w:t>
      </w:r>
    </w:p>
    <w:p w14:paraId="43EB827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CF8B78B"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6C7B0A" w14:textId="0BC30922" w:rsidR="003909DF" w:rsidRPr="003909DF" w:rsidRDefault="003909DF" w:rsidP="003909DF">
      <w:pPr>
        <w:spacing w:line="288" w:lineRule="auto"/>
        <w:jc w:val="both"/>
        <w:rPr>
          <w:sz w:val="20"/>
          <w:szCs w:val="20"/>
        </w:rPr>
      </w:pPr>
      <w:r w:rsidRPr="00043552">
        <w:rPr>
          <w:sz w:val="20"/>
          <w:szCs w:val="20"/>
        </w:rPr>
        <w:t>Ab dem 8. April 2026 (gemäß Art. 24 des G. vom 16. Mai 2024 (B.S. vom 21. Juni 2024)</w:t>
      </w:r>
      <w:r w:rsidRPr="003909DF">
        <w:rPr>
          <w:sz w:val="20"/>
          <w:szCs w:val="20"/>
        </w:rPr>
        <w:t>) lautet Art. </w:t>
      </w:r>
      <w:r w:rsidR="00AA35F3">
        <w:rPr>
          <w:sz w:val="20"/>
          <w:szCs w:val="20"/>
        </w:rPr>
        <w:t>449</w:t>
      </w:r>
      <w:r w:rsidRPr="003909DF">
        <w:rPr>
          <w:sz w:val="20"/>
          <w:szCs w:val="20"/>
        </w:rPr>
        <w:t xml:space="preserve"> wie folgt:</w:t>
      </w:r>
    </w:p>
    <w:p w14:paraId="564D7932" w14:textId="77777777" w:rsidR="003909DF" w:rsidRPr="003909DF" w:rsidRDefault="003909D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24250FC0" w14:textId="5384CBC9" w:rsidR="000C1271" w:rsidRPr="000C1271" w:rsidRDefault="003909DF" w:rsidP="000C1271">
      <w:pPr>
        <w:jc w:val="both"/>
        <w:rPr>
          <w:sz w:val="20"/>
          <w:szCs w:val="20"/>
        </w:rPr>
      </w:pPr>
      <w:r w:rsidRPr="003909DF">
        <w:rPr>
          <w:sz w:val="20"/>
          <w:szCs w:val="20"/>
        </w:rPr>
        <w:t>"Art. 449 - [</w:t>
      </w:r>
      <w:r w:rsidR="000C1271" w:rsidRPr="000C1271">
        <w:rPr>
          <w:sz w:val="20"/>
          <w:szCs w:val="20"/>
        </w:rPr>
        <w:t>Mit einer Gefängnisstrafe der Stufe 2 wie in Artikel 36 des Strafgesetzbuches bestimmt wird bestraft, wer in betrügerischer Absicht oder mit der Absicht zu schaden gegen die Bestimmungen des vorliegenden Gesetzbuches oder seiner Ausführungserlasse verstößt. In Abweichung von den Artikeln 38 und 52 § 1 des Strafgesetzbuches kann das Gericht als Nebenstrafe eine Geldbuße von 2.000 bis zu 4.000.000 EUR aussprechen.</w:t>
      </w:r>
    </w:p>
    <w:p w14:paraId="3CDA0F4B" w14:textId="77777777" w:rsidR="000C1271" w:rsidRPr="000C1271" w:rsidRDefault="000C1271" w:rsidP="000C1271">
      <w:pPr>
        <w:jc w:val="both"/>
        <w:rPr>
          <w:sz w:val="20"/>
          <w:szCs w:val="20"/>
        </w:rPr>
      </w:pPr>
    </w:p>
    <w:p w14:paraId="14898238" w14:textId="77777777" w:rsidR="000C1271" w:rsidRPr="000C1271" w:rsidRDefault="000C1271" w:rsidP="000C1271">
      <w:pPr>
        <w:jc w:val="both"/>
        <w:rPr>
          <w:sz w:val="20"/>
          <w:szCs w:val="20"/>
        </w:rPr>
      </w:pPr>
      <w:r w:rsidRPr="000C1271">
        <w:rPr>
          <w:sz w:val="20"/>
          <w:szCs w:val="20"/>
        </w:rPr>
        <w:t>Wurden die in Absatz 1 erwähnten Verstöße im Rahmen einer - organisierten oder nicht organisierten - schweren Steuerhinterziehung begangen, wird der Schuldige mit einer Gefängnisstrafe der Stufe 3 wie in Artikel 36 des Strafgesetzbuches bestimmt bestraft. In Abweichung von den Artikeln 38 und 52 § 1 des Strafgesetzbuches kann das Gericht als Nebenstrafe eine Geldbuße von 2.000 bis zu 4.000.000 EUR aussprechen.</w:t>
      </w:r>
    </w:p>
    <w:p w14:paraId="7A556D3D" w14:textId="77777777" w:rsidR="000C1271" w:rsidRPr="000C1271" w:rsidRDefault="000C1271" w:rsidP="000C1271">
      <w:pPr>
        <w:jc w:val="both"/>
        <w:rPr>
          <w:sz w:val="20"/>
          <w:szCs w:val="20"/>
        </w:rPr>
      </w:pPr>
    </w:p>
    <w:p w14:paraId="79EF6AAD" w14:textId="288AB53D" w:rsidR="003909DF" w:rsidRPr="000C1271" w:rsidRDefault="000C1271" w:rsidP="003909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16"/>
          <w:szCs w:val="16"/>
        </w:rPr>
      </w:pPr>
      <w:r w:rsidRPr="000C1271">
        <w:rPr>
          <w:sz w:val="20"/>
          <w:szCs w:val="20"/>
        </w:rPr>
        <w:t>Keine strafrechtliche Sanktion wird angewandt, wenn der Steuerpflichtige nachweist, dass der Betrag der in Artikel 57 erwähnten Ausgaben oder der in den Artikeln 31 Absatz 2 Nr. 2 und 32 Absatz 2 Nr. 2 erwähnten Vorteile jeglicher Art in einer vom Empfänger gemäß Artikel 305 eingereichten Erklärung oder in einer vom Empfänger im Ausland eingereichten gleichartigen Erklärung enthalten ist.</w:t>
      </w:r>
      <w:r w:rsidR="003909DF" w:rsidRPr="003909DF">
        <w:rPr>
          <w:sz w:val="20"/>
          <w:szCs w:val="20"/>
        </w:rPr>
        <w:t>]</w:t>
      </w:r>
    </w:p>
    <w:p w14:paraId="70DC5652" w14:textId="77777777" w:rsidR="003909DF" w:rsidRPr="003909DF" w:rsidRDefault="003909DF" w:rsidP="003909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1B59C07" w14:textId="6605FEFE" w:rsidR="003909DF" w:rsidRPr="003909DF" w:rsidRDefault="003909DF" w:rsidP="003909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3909DF">
        <w:rPr>
          <w:i/>
          <w:iCs/>
          <w:sz w:val="20"/>
          <w:szCs w:val="20"/>
        </w:rPr>
        <w:t>[Art. 449</w:t>
      </w:r>
      <w:r w:rsidRPr="003909DF">
        <w:rPr>
          <w:i/>
          <w:iCs/>
          <w:spacing w:val="-2"/>
          <w:sz w:val="20"/>
          <w:szCs w:val="20"/>
        </w:rPr>
        <w:t xml:space="preserve"> </w:t>
      </w:r>
      <w:r w:rsidRPr="003909DF">
        <w:rPr>
          <w:i/>
          <w:iCs/>
          <w:sz w:val="20"/>
          <w:szCs w:val="20"/>
        </w:rPr>
        <w:t>ersetzt</w:t>
      </w:r>
      <w:r w:rsidR="000C1271">
        <w:rPr>
          <w:i/>
          <w:iCs/>
          <w:sz w:val="20"/>
          <w:szCs w:val="20"/>
        </w:rPr>
        <w:t xml:space="preserve"> </w:t>
      </w:r>
      <w:r w:rsidR="000C1271" w:rsidRPr="000B4D45">
        <w:rPr>
          <w:i/>
          <w:iCs/>
          <w:sz w:val="20"/>
          <w:szCs w:val="20"/>
        </w:rPr>
        <w:t>durch Art. </w:t>
      </w:r>
      <w:r w:rsidR="000C1271">
        <w:rPr>
          <w:i/>
          <w:iCs/>
          <w:sz w:val="20"/>
          <w:szCs w:val="20"/>
        </w:rPr>
        <w:t>3</w:t>
      </w:r>
      <w:r w:rsidR="000C1271" w:rsidRPr="000B4D45">
        <w:rPr>
          <w:i/>
          <w:iCs/>
          <w:sz w:val="20"/>
          <w:szCs w:val="20"/>
        </w:rPr>
        <w:t xml:space="preserve"> des G. vom 16. Mai 2024 (B.S. vom 21. Juni 2024) - in Kraft am 8. April 2026 </w:t>
      </w:r>
      <w:r w:rsidR="00EB17EF">
        <w:rPr>
          <w:i/>
          <w:iCs/>
          <w:sz w:val="20"/>
          <w:szCs w:val="20"/>
        </w:rPr>
        <w:t>-</w:t>
      </w:r>
      <w:r w:rsidRPr="003909DF">
        <w:rPr>
          <w:i/>
          <w:iCs/>
          <w:spacing w:val="-1"/>
          <w:sz w:val="20"/>
          <w:szCs w:val="20"/>
        </w:rPr>
        <w:t>]</w:t>
      </w:r>
      <w:r w:rsidRPr="00C835C0">
        <w:rPr>
          <w:spacing w:val="-1"/>
          <w:sz w:val="20"/>
          <w:szCs w:val="20"/>
        </w:rPr>
        <w:t>"</w:t>
      </w:r>
    </w:p>
    <w:p w14:paraId="7FC1C340" w14:textId="77777777" w:rsidR="003909DF" w:rsidRPr="009118AB" w:rsidRDefault="003909D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D59B53" w14:textId="77777777" w:rsidR="003909DF" w:rsidRDefault="003909D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CA61EB2" w14:textId="3F1626A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450</w:t>
      </w:r>
      <w:r w:rsidR="00D67EB8" w:rsidRPr="009118AB">
        <w:t> - </w:t>
      </w:r>
      <w:r w:rsidRPr="009118AB">
        <w:t>Mit einer Gefängnisstrafe von einem Monat bis zu fünf Jahren und mit einer Geldbuße von [250 EUR] bis zu [</w:t>
      </w:r>
      <w:r w:rsidR="00FD0C94" w:rsidRPr="009118AB">
        <w:t>500</w:t>
      </w:r>
      <w:r w:rsidRPr="009118AB">
        <w:t>.000 EUR] oder mit nur einer dieser Strafen wird belegt, wer im Hinblick auf das Begehen einer der in Artikel 449 erwähnten Straftaten eine Fälschung öffentlicher, gewerblicher oder privatschriftlicher Urkunden begeht oder von solch einer Fälschung Gebrauch macht.</w:t>
      </w:r>
    </w:p>
    <w:p w14:paraId="7BF46C4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EAC2E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Mit einer Gefängnisstrafe von acht Tagen bis zu zwei Jahren und mit einer Geldbuße von [250 EUR] bis zu [</w:t>
      </w:r>
      <w:r w:rsidR="00FD0C94" w:rsidRPr="009118AB">
        <w:t>500</w:t>
      </w:r>
      <w:r w:rsidRPr="009118AB">
        <w:t>.000 EUR] oder mit nur einer dieser Strafen wird belegt, wer wissentlich eine falsche Bescheinigung, die den Interessen der Staatskasse entgegenwirken könnte, ausstellt oder von solch einer Bescheinigung Gebrauch macht.</w:t>
      </w:r>
    </w:p>
    <w:p w14:paraId="4B44BD9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7291175" w14:textId="7725DA8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450 </w:t>
      </w:r>
      <w:r w:rsidR="00D67EB8" w:rsidRPr="009118AB">
        <w:rPr>
          <w:i/>
          <w:iCs/>
        </w:rPr>
        <w:t>Abs. </w:t>
      </w:r>
      <w:r w:rsidRPr="009118AB">
        <w:rPr>
          <w:i/>
          <w:iCs/>
        </w:rPr>
        <w:t xml:space="preserve">1 abgeändert durch </w:t>
      </w:r>
      <w:r w:rsidR="00D67EB8" w:rsidRPr="009118AB">
        <w:rPr>
          <w:i/>
          <w:iCs/>
        </w:rPr>
        <w:t>Art. </w:t>
      </w:r>
      <w:r w:rsidRPr="009118AB">
        <w:rPr>
          <w:i/>
          <w:iCs/>
        </w:rPr>
        <w:t xml:space="preserve">2 </w:t>
      </w:r>
      <w:r w:rsidR="00D67EB8" w:rsidRPr="009118AB">
        <w:rPr>
          <w:i/>
          <w:iCs/>
        </w:rPr>
        <w:t>Nr. </w:t>
      </w:r>
      <w:r w:rsidRPr="009118AB">
        <w:rPr>
          <w:i/>
          <w:iCs/>
        </w:rPr>
        <w:t>25 des K.E. vom 20. Juli 2000 (II) (B.S. vom 30. August 2000)</w:t>
      </w:r>
      <w:r w:rsidR="00D67EB8" w:rsidRPr="009118AB">
        <w:rPr>
          <w:i/>
          <w:iCs/>
        </w:rPr>
        <w:t> - </w:t>
      </w:r>
      <w:r w:rsidRPr="009118AB">
        <w:rPr>
          <w:i/>
          <w:iCs/>
        </w:rPr>
        <w:t>in Kraft ab dem 1. Januar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r w:rsidR="00C83EA3" w:rsidRPr="009118AB">
        <w:rPr>
          <w:i/>
          <w:iCs/>
        </w:rPr>
        <w:t xml:space="preserve"> </w:t>
      </w:r>
      <w:r w:rsidRPr="009118AB">
        <w:rPr>
          <w:i/>
          <w:iCs/>
        </w:rPr>
        <w:t xml:space="preserve">durch </w:t>
      </w:r>
      <w:r w:rsidR="00D67EB8" w:rsidRPr="009118AB">
        <w:rPr>
          <w:i/>
          <w:iCs/>
        </w:rPr>
        <w:t>Art. </w:t>
      </w:r>
      <w:r w:rsidRPr="009118AB">
        <w:rPr>
          <w:i/>
          <w:iCs/>
        </w:rPr>
        <w:t xml:space="preserve">36 </w:t>
      </w:r>
      <w:r w:rsidR="00D67EB8" w:rsidRPr="009118AB">
        <w:rPr>
          <w:i/>
          <w:iCs/>
        </w:rPr>
        <w:t>Nr. </w:t>
      </w:r>
      <w:r w:rsidRPr="009118AB">
        <w:rPr>
          <w:i/>
          <w:iCs/>
        </w:rPr>
        <w:t xml:space="preserve">1 des G. (I) vom 27. Dezember 2006 </w:t>
      </w:r>
      <w:r w:rsidR="0063442B" w:rsidRPr="009118AB">
        <w:rPr>
          <w:i/>
          <w:iCs/>
        </w:rPr>
        <w:t xml:space="preserve">(I) </w:t>
      </w:r>
      <w:r w:rsidRPr="009118AB">
        <w:rPr>
          <w:i/>
          <w:iCs/>
        </w:rPr>
        <w:t>(B.S. vom 28. Dezember 2006)</w:t>
      </w:r>
      <w:r w:rsidR="00FD0C94" w:rsidRPr="009118AB">
        <w:rPr>
          <w:i/>
          <w:iCs/>
        </w:rPr>
        <w:t xml:space="preserve"> und </w:t>
      </w:r>
      <w:r w:rsidR="00D67EB8" w:rsidRPr="009118AB">
        <w:rPr>
          <w:i/>
          <w:iCs/>
        </w:rPr>
        <w:t>Art. </w:t>
      </w:r>
      <w:r w:rsidR="00FD0C94" w:rsidRPr="009118AB">
        <w:rPr>
          <w:i/>
          <w:iCs/>
        </w:rPr>
        <w:t xml:space="preserve">10 </w:t>
      </w:r>
      <w:r w:rsidR="00D67EB8" w:rsidRPr="009118AB">
        <w:rPr>
          <w:i/>
          <w:iCs/>
        </w:rPr>
        <w:t>Nr. </w:t>
      </w:r>
      <w:r w:rsidR="00FD0C94" w:rsidRPr="009118AB">
        <w:rPr>
          <w:i/>
          <w:iCs/>
        </w:rPr>
        <w:t>1 des G. vom 20. September 2012 (B.S. vom 22. Oktober 2012)</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 xml:space="preserve">2 </w:t>
      </w:r>
      <w:r w:rsidR="00D67EB8" w:rsidRPr="009118AB">
        <w:rPr>
          <w:i/>
          <w:iCs/>
        </w:rPr>
        <w:t>Nr. </w:t>
      </w:r>
      <w:r w:rsidRPr="009118AB">
        <w:rPr>
          <w:i/>
          <w:iCs/>
        </w:rPr>
        <w:t>25 des K.E. vom 20. Juli 2000 (II) (B.S. vom 30. August 2000)</w:t>
      </w:r>
      <w:r w:rsidR="00D67EB8" w:rsidRPr="009118AB">
        <w:rPr>
          <w:i/>
          <w:iCs/>
        </w:rPr>
        <w:t> - </w:t>
      </w:r>
      <w:r w:rsidRPr="009118AB">
        <w:rPr>
          <w:i/>
          <w:iCs/>
        </w:rPr>
        <w:t>in Kraft ab dem 1. Januar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r w:rsidRPr="009118AB">
        <w:rPr>
          <w:i/>
          <w:iCs/>
        </w:rPr>
        <w:t xml:space="preserve"> durch </w:t>
      </w:r>
      <w:r w:rsidR="00D67EB8" w:rsidRPr="009118AB">
        <w:rPr>
          <w:i/>
          <w:iCs/>
        </w:rPr>
        <w:t>Art. </w:t>
      </w:r>
      <w:r w:rsidRPr="009118AB">
        <w:rPr>
          <w:i/>
          <w:iCs/>
        </w:rPr>
        <w:t xml:space="preserve">36 </w:t>
      </w:r>
      <w:r w:rsidR="00D67EB8" w:rsidRPr="009118AB">
        <w:rPr>
          <w:i/>
          <w:iCs/>
        </w:rPr>
        <w:t>Nr. </w:t>
      </w:r>
      <w:r w:rsidRPr="009118AB">
        <w:rPr>
          <w:i/>
          <w:iCs/>
        </w:rPr>
        <w:t xml:space="preserve">2 des G. (I) vom 27. Dezember 2006 </w:t>
      </w:r>
      <w:r w:rsidR="0063442B" w:rsidRPr="009118AB">
        <w:rPr>
          <w:i/>
          <w:iCs/>
        </w:rPr>
        <w:t xml:space="preserve">(I) </w:t>
      </w:r>
      <w:r w:rsidRPr="009118AB">
        <w:rPr>
          <w:i/>
          <w:iCs/>
        </w:rPr>
        <w:t>(B.S. vom 28. Dezember 2006)</w:t>
      </w:r>
      <w:r w:rsidR="00FD0C94" w:rsidRPr="009118AB">
        <w:rPr>
          <w:i/>
          <w:iCs/>
        </w:rPr>
        <w:t xml:space="preserve"> und </w:t>
      </w:r>
      <w:r w:rsidR="00D67EB8" w:rsidRPr="009118AB">
        <w:rPr>
          <w:i/>
          <w:iCs/>
        </w:rPr>
        <w:t>Art. </w:t>
      </w:r>
      <w:r w:rsidR="00FD0C94" w:rsidRPr="009118AB">
        <w:rPr>
          <w:i/>
          <w:iCs/>
        </w:rPr>
        <w:t xml:space="preserve">10 </w:t>
      </w:r>
      <w:r w:rsidR="00D67EB8" w:rsidRPr="009118AB">
        <w:rPr>
          <w:i/>
          <w:iCs/>
        </w:rPr>
        <w:t>Nr. </w:t>
      </w:r>
      <w:r w:rsidR="00FD0C94" w:rsidRPr="009118AB">
        <w:rPr>
          <w:i/>
          <w:iCs/>
        </w:rPr>
        <w:t>2 des G. vom 20. September 2012 (B.S. vom 22. Oktober 2012)</w:t>
      </w:r>
      <w:r w:rsidRPr="009118AB">
        <w:rPr>
          <w:i/>
          <w:iCs/>
        </w:rPr>
        <w:t>]</w:t>
      </w:r>
    </w:p>
    <w:p w14:paraId="6D8F8EAB"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D9C3BE" w14:textId="77777777" w:rsidR="00AA35F3" w:rsidRDefault="00AA35F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7C883F3" w14:textId="0550FEBA" w:rsidR="00AA35F3" w:rsidRPr="003909DF" w:rsidRDefault="00AA35F3" w:rsidP="00AA35F3">
      <w:pPr>
        <w:spacing w:line="288" w:lineRule="auto"/>
        <w:jc w:val="both"/>
        <w:rPr>
          <w:sz w:val="20"/>
          <w:szCs w:val="20"/>
        </w:rPr>
      </w:pPr>
      <w:r w:rsidRPr="00043552">
        <w:rPr>
          <w:sz w:val="20"/>
          <w:szCs w:val="20"/>
        </w:rPr>
        <w:t>Ab dem 8. April 2026 (gemäß Art. 24 des G. vom 16. Mai 2024 (B.S. vom 21. Juni 2024)</w:t>
      </w:r>
      <w:r w:rsidRPr="003909DF">
        <w:rPr>
          <w:sz w:val="20"/>
          <w:szCs w:val="20"/>
        </w:rPr>
        <w:t>) lautet Art. </w:t>
      </w:r>
      <w:r>
        <w:rPr>
          <w:sz w:val="20"/>
          <w:szCs w:val="20"/>
        </w:rPr>
        <w:t>450</w:t>
      </w:r>
      <w:r w:rsidRPr="003909DF">
        <w:rPr>
          <w:sz w:val="20"/>
          <w:szCs w:val="20"/>
        </w:rPr>
        <w:t xml:space="preserve"> wie folgt:</w:t>
      </w:r>
    </w:p>
    <w:p w14:paraId="35574E1F" w14:textId="77777777" w:rsidR="00AA35F3" w:rsidRDefault="00AA35F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957B488" w14:textId="6383B167" w:rsidR="00AA35F3" w:rsidRPr="00AA35F3" w:rsidRDefault="00AA35F3" w:rsidP="00AA35F3">
      <w:pPr>
        <w:jc w:val="both"/>
        <w:rPr>
          <w:sz w:val="20"/>
          <w:szCs w:val="20"/>
        </w:rPr>
      </w:pPr>
      <w:r w:rsidRPr="00AA35F3">
        <w:rPr>
          <w:sz w:val="20"/>
          <w:szCs w:val="20"/>
        </w:rPr>
        <w:t xml:space="preserve">"Art. 450 - </w:t>
      </w:r>
      <w:r w:rsidR="00964CAD">
        <w:rPr>
          <w:sz w:val="20"/>
          <w:szCs w:val="20"/>
        </w:rPr>
        <w:t>[</w:t>
      </w:r>
      <w:r w:rsidRPr="00AA35F3">
        <w:rPr>
          <w:sz w:val="20"/>
          <w:szCs w:val="20"/>
        </w:rPr>
        <w:t>Mit einer Gefängnisstrafe der Stufe 3 wie in Artikel 36 des Strafgesetzbuches bestimmt wird bestraft, wer im Hinblick auf das Begehen eines der in Artikel 449 erwähnten Verstöße eine Urkundenfälschung oder Fälschung anderer dauerhafter Träger begeht oder von solch einer gefälschten Urkunde Gebrauch macht. In Abweichung von den Artikeln 38 und 52 § 1 des Strafgesetzbuches kann das Gericht als Nebenstrafe eine Geldbuße von 2.000 bis zu 4.000.000 EUR aussprechen.</w:t>
      </w:r>
    </w:p>
    <w:p w14:paraId="04B56B06" w14:textId="77777777" w:rsidR="00AA35F3" w:rsidRPr="00AA35F3" w:rsidRDefault="00AA35F3" w:rsidP="00AA35F3">
      <w:pPr>
        <w:jc w:val="both"/>
        <w:rPr>
          <w:sz w:val="20"/>
          <w:szCs w:val="20"/>
        </w:rPr>
      </w:pPr>
    </w:p>
    <w:p w14:paraId="76516ED5" w14:textId="4E39AF35" w:rsidR="00AA35F3" w:rsidRDefault="00AA35F3" w:rsidP="00AA3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AA35F3">
        <w:rPr>
          <w:sz w:val="20"/>
          <w:szCs w:val="20"/>
        </w:rPr>
        <w:t>Mit einer Gefängnisstrafe der Stufe 2 wie in Artikel 36 des Strafgesetzbuches bestimmt wird bestraft, wer vorsätzlich eine gefälschte Bescheinigung, die die Interessen der Staatskasse gefährden könnte, ausstellt oder von solch einer Bescheinigung Gebrauch macht. In Abweichung von den Artikeln 38 und 52 § 1 des Strafgesetzbuches kann das Gericht als Nebenstrafe eine Geldbuße von 2.000 bis zu 4.000.000 EUR aussprechen.</w:t>
      </w:r>
      <w:r w:rsidR="00964CAD">
        <w:rPr>
          <w:sz w:val="20"/>
          <w:szCs w:val="20"/>
        </w:rPr>
        <w:t>]</w:t>
      </w:r>
    </w:p>
    <w:p w14:paraId="4C11B3A5" w14:textId="77777777" w:rsidR="00AA35F3" w:rsidRDefault="00AA35F3" w:rsidP="00AA3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EEABED2" w14:textId="4DCD996C" w:rsidR="00AA35F3" w:rsidRDefault="00AA35F3" w:rsidP="00AA35F3">
      <w:pPr>
        <w:rPr>
          <w:i/>
          <w:iCs/>
          <w:sz w:val="20"/>
          <w:szCs w:val="20"/>
        </w:rPr>
      </w:pPr>
      <w:r w:rsidRPr="00AA35F3">
        <w:rPr>
          <w:i/>
          <w:iCs/>
          <w:sz w:val="20"/>
          <w:szCs w:val="20"/>
        </w:rPr>
        <w:t xml:space="preserve">[Art. 450 ersetzt </w:t>
      </w:r>
      <w:r w:rsidRPr="000B4D45">
        <w:rPr>
          <w:i/>
          <w:iCs/>
          <w:sz w:val="20"/>
          <w:szCs w:val="20"/>
        </w:rPr>
        <w:t>durch Art. </w:t>
      </w:r>
      <w:r w:rsidR="00964CAD">
        <w:rPr>
          <w:i/>
          <w:iCs/>
          <w:sz w:val="20"/>
          <w:szCs w:val="20"/>
        </w:rPr>
        <w:t>4</w:t>
      </w:r>
      <w:r w:rsidRPr="000B4D45">
        <w:rPr>
          <w:i/>
          <w:iCs/>
          <w:sz w:val="20"/>
          <w:szCs w:val="20"/>
        </w:rPr>
        <w:t xml:space="preserve"> des G. vom 16. Mai 2024 (B.S. vom 21. Juni 2024) - in Kraft am 8. April 2026 -</w:t>
      </w:r>
      <w:r>
        <w:rPr>
          <w:i/>
          <w:iCs/>
          <w:sz w:val="20"/>
          <w:szCs w:val="20"/>
        </w:rPr>
        <w:t>]</w:t>
      </w:r>
      <w:r w:rsidRPr="004A5400">
        <w:rPr>
          <w:sz w:val="20"/>
          <w:szCs w:val="20"/>
        </w:rPr>
        <w:t>"</w:t>
      </w:r>
    </w:p>
    <w:p w14:paraId="3BF77D64" w14:textId="77777777" w:rsidR="00AA35F3" w:rsidRDefault="00AA35F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76115CE" w14:textId="14B1605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F81AA9" w14:textId="425543F2" w:rsidR="00B50F13" w:rsidRPr="009118AB" w:rsidRDefault="00B50F13" w:rsidP="00B50F13">
      <w:pPr>
        <w:ind w:firstLine="708"/>
        <w:jc w:val="both"/>
        <w:rPr>
          <w:rFonts w:eastAsia="Calibri"/>
        </w:rPr>
      </w:pPr>
      <w:r w:rsidRPr="009118AB">
        <w:tab/>
        <w:t>[</w:t>
      </w:r>
      <w:r w:rsidR="00D67EB8" w:rsidRPr="009118AB">
        <w:rPr>
          <w:rFonts w:eastAsia="Calibri"/>
          <w:b/>
        </w:rPr>
        <w:t>Art. </w:t>
      </w:r>
      <w:r w:rsidRPr="009118AB">
        <w:rPr>
          <w:rFonts w:eastAsia="Calibri"/>
          <w:b/>
        </w:rPr>
        <w:t>450</w:t>
      </w:r>
      <w:r w:rsidRPr="009118AB">
        <w:rPr>
          <w:rFonts w:eastAsia="Calibri"/>
          <w:b/>
          <w:i/>
          <w:iCs/>
        </w:rPr>
        <w:t>bis</w:t>
      </w:r>
      <w:r w:rsidR="00D67EB8" w:rsidRPr="009118AB">
        <w:rPr>
          <w:rFonts w:eastAsia="Calibri"/>
        </w:rPr>
        <w:t> - </w:t>
      </w:r>
      <w:r w:rsidRPr="009118AB">
        <w:rPr>
          <w:rFonts w:eastAsia="Calibri"/>
        </w:rPr>
        <w:t>Um zu vermeiden, dass ein Verurteilter einer übermäßig schweren Strafe unterworfen wird, berücksichtigt der Richter bei der Strafzumessung die geschuldeten administrativen Geldbußen und Steuerzuschläge.</w:t>
      </w:r>
    </w:p>
    <w:p w14:paraId="4B23BE1B" w14:textId="77777777" w:rsidR="00B50F13" w:rsidRPr="009118AB" w:rsidRDefault="00B50F13" w:rsidP="00B50F13">
      <w:pPr>
        <w:rPr>
          <w:rFonts w:eastAsia="Calibri"/>
        </w:rPr>
      </w:pPr>
    </w:p>
    <w:p w14:paraId="73C97990" w14:textId="5F7E285D" w:rsidR="00B50F13" w:rsidRPr="009118AB" w:rsidRDefault="00B50F13"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rFonts w:eastAsia="Calibri"/>
        </w:rPr>
        <w:tab/>
        <w:t xml:space="preserve">Artikel 42 </w:t>
      </w:r>
      <w:r w:rsidR="00D67EB8" w:rsidRPr="009118AB">
        <w:rPr>
          <w:rFonts w:eastAsia="Calibri"/>
        </w:rPr>
        <w:t>Nr. </w:t>
      </w:r>
      <w:r w:rsidRPr="009118AB">
        <w:rPr>
          <w:rFonts w:eastAsia="Calibri"/>
        </w:rPr>
        <w:t>3 des Strafgesetzbuches ist nicht anwendbar auf die Vermögensvorteile, die unmittelbar aus den steuerrechtlichen Straftaten gezogen wurden, auf die Güter und Werte, die an ihre Stelle getreten sind, und auf die Einkünfte aus diesen investierten Vorteilen, wenn die Forderung der Steuerverwaltung für begründet erklärt wird und zu einer tatsächlichen Zahlung dieser vollständigen Forderung geführt hat.</w:t>
      </w:r>
      <w:r w:rsidRPr="009118AB">
        <w:t>]</w:t>
      </w:r>
    </w:p>
    <w:p w14:paraId="21215EEA" w14:textId="1842F460" w:rsidR="00B50F13" w:rsidRPr="009118AB" w:rsidRDefault="00B50F13"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BA5D7A5" w14:textId="2CE4A378" w:rsidR="004A7CAE" w:rsidRDefault="00B50F13"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450bis eingefügt durch </w:t>
      </w:r>
      <w:r w:rsidR="00D67EB8" w:rsidRPr="009118AB">
        <w:rPr>
          <w:i/>
        </w:rPr>
        <w:t>Art. </w:t>
      </w:r>
      <w:r w:rsidRPr="009118AB">
        <w:rPr>
          <w:i/>
        </w:rPr>
        <w:t>118</w:t>
      </w:r>
      <w:r w:rsidRPr="009118AB">
        <w:rPr>
          <w:i/>
          <w:iCs/>
        </w:rPr>
        <w:t xml:space="preserve"> des G. vom 5. Mai 2019 (B.S. vom 24. Mai 2019)]</w:t>
      </w:r>
    </w:p>
    <w:p w14:paraId="5A601041" w14:textId="77777777" w:rsidR="004A7CAE" w:rsidRDefault="004A7CAE">
      <w:pPr>
        <w:rPr>
          <w:i/>
          <w:iCs/>
        </w:rPr>
      </w:pPr>
      <w:r>
        <w:rPr>
          <w:i/>
          <w:iCs/>
        </w:rPr>
        <w:br w:type="page"/>
      </w:r>
    </w:p>
    <w:p w14:paraId="539CB40E" w14:textId="0E6527DB" w:rsidR="00964CAD" w:rsidRPr="000B4D45" w:rsidRDefault="00964CAD" w:rsidP="00964CAD">
      <w:pPr>
        <w:spacing w:line="288" w:lineRule="auto"/>
        <w:jc w:val="both"/>
        <w:rPr>
          <w:sz w:val="20"/>
          <w:szCs w:val="20"/>
        </w:rPr>
      </w:pPr>
      <w:r w:rsidRPr="008B30E5">
        <w:rPr>
          <w:sz w:val="20"/>
          <w:szCs w:val="20"/>
        </w:rPr>
        <w:t>Ab dem 8. April 2026 (gemäß Art. 24 des G. vom 16. Mai 2024 (B.S. vom 21. Juni 2024)) lautet Art. </w:t>
      </w:r>
      <w:r>
        <w:rPr>
          <w:sz w:val="20"/>
          <w:szCs w:val="20"/>
        </w:rPr>
        <w:t>450</w:t>
      </w:r>
      <w:r>
        <w:rPr>
          <w:i/>
          <w:iCs/>
          <w:sz w:val="20"/>
          <w:szCs w:val="20"/>
        </w:rPr>
        <w:t>bis</w:t>
      </w:r>
      <w:r w:rsidRPr="000B4D45">
        <w:rPr>
          <w:sz w:val="20"/>
          <w:szCs w:val="20"/>
        </w:rPr>
        <w:t xml:space="preserve"> wie folgt:</w:t>
      </w:r>
    </w:p>
    <w:p w14:paraId="6E0C84C7" w14:textId="77777777" w:rsidR="00964CAD" w:rsidRPr="00964CAD" w:rsidRDefault="00964CAD"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1B7E7D34" w14:textId="32881ABC" w:rsidR="001C34D7" w:rsidRPr="001C34D7" w:rsidRDefault="001C34D7" w:rsidP="001C34D7">
      <w:pPr>
        <w:jc w:val="both"/>
        <w:rPr>
          <w:rFonts w:eastAsia="Calibri"/>
          <w:sz w:val="20"/>
          <w:szCs w:val="20"/>
        </w:rPr>
      </w:pPr>
      <w:r w:rsidRPr="001C34D7">
        <w:rPr>
          <w:iCs/>
          <w:sz w:val="20"/>
          <w:szCs w:val="20"/>
        </w:rPr>
        <w:t>"</w:t>
      </w:r>
      <w:r w:rsidRPr="001C34D7">
        <w:rPr>
          <w:sz w:val="20"/>
          <w:szCs w:val="20"/>
        </w:rPr>
        <w:t>[</w:t>
      </w:r>
      <w:r w:rsidRPr="001C34D7">
        <w:rPr>
          <w:rFonts w:eastAsia="Calibri"/>
          <w:bCs/>
          <w:sz w:val="20"/>
          <w:szCs w:val="20"/>
        </w:rPr>
        <w:t>Art. 450</w:t>
      </w:r>
      <w:r w:rsidRPr="001C34D7">
        <w:rPr>
          <w:rFonts w:eastAsia="Calibri"/>
          <w:bCs/>
          <w:i/>
          <w:iCs/>
          <w:sz w:val="20"/>
          <w:szCs w:val="20"/>
        </w:rPr>
        <w:t>bis</w:t>
      </w:r>
      <w:r w:rsidRPr="001C34D7">
        <w:rPr>
          <w:rFonts w:eastAsia="Calibri"/>
          <w:bCs/>
          <w:sz w:val="20"/>
          <w:szCs w:val="20"/>
        </w:rPr>
        <w:t> - Um</w:t>
      </w:r>
      <w:r w:rsidRPr="001C34D7">
        <w:rPr>
          <w:rFonts w:eastAsia="Calibri"/>
          <w:sz w:val="20"/>
          <w:szCs w:val="20"/>
        </w:rPr>
        <w:t xml:space="preserve"> zu vermeiden, dass ein Verurteilter einer übermäßig schweren Strafe unterworfen wird, berücksichtigt der Richter bei der Strafzumessung die geschuldeten administrativen Geldbußen und Steuerzuschläge.</w:t>
      </w:r>
    </w:p>
    <w:p w14:paraId="5E95E9B0" w14:textId="77777777" w:rsidR="001C34D7" w:rsidRPr="001C34D7" w:rsidRDefault="001C34D7" w:rsidP="001C34D7">
      <w:pPr>
        <w:rPr>
          <w:rFonts w:eastAsia="Calibri"/>
          <w:sz w:val="20"/>
          <w:szCs w:val="20"/>
        </w:rPr>
      </w:pPr>
    </w:p>
    <w:p w14:paraId="34128E72" w14:textId="4ADD23D3" w:rsidR="001C34D7" w:rsidRPr="001C34D7" w:rsidRDefault="001C34D7" w:rsidP="001C3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Calibri"/>
          <w:sz w:val="20"/>
          <w:szCs w:val="20"/>
        </w:rPr>
      </w:pPr>
      <w:r w:rsidRPr="001C34D7">
        <w:rPr>
          <w:rFonts w:eastAsia="Calibri"/>
          <w:sz w:val="20"/>
          <w:szCs w:val="20"/>
        </w:rPr>
        <w:t>[</w:t>
      </w:r>
      <w:r w:rsidRPr="001C34D7">
        <w:rPr>
          <w:sz w:val="20"/>
          <w:szCs w:val="20"/>
        </w:rPr>
        <w:t>Artikel 53 § 2 Nr. 4 des Strafgesetzbuches</w:t>
      </w:r>
      <w:r w:rsidRPr="001C34D7">
        <w:rPr>
          <w:rFonts w:eastAsia="Calibri"/>
          <w:sz w:val="20"/>
          <w:szCs w:val="20"/>
        </w:rPr>
        <w:t>] ist nicht anwendbar auf die Vermögensvorteile, die unmittelbar aus den steuerrechtlichen Straftaten gezogen wurden, auf die Güter und Werte, die an ihre Stelle getreten sind, und auf die Einkünfte aus diesen investierten Vorteilen, wenn die Forderung der Steuerverwaltung für begründet erklärt wird und zu einer tatsächlichen Zahlung dieser vollständigen Forderung geführt hat.</w:t>
      </w:r>
      <w:r w:rsidR="00050794">
        <w:rPr>
          <w:rFonts w:eastAsia="Calibri"/>
          <w:sz w:val="20"/>
          <w:szCs w:val="20"/>
        </w:rPr>
        <w:t>]</w:t>
      </w:r>
    </w:p>
    <w:p w14:paraId="6C28B3AE" w14:textId="77777777" w:rsidR="001C34D7" w:rsidRPr="001C34D7" w:rsidRDefault="001C34D7" w:rsidP="001C3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Calibri"/>
          <w:sz w:val="20"/>
          <w:szCs w:val="20"/>
        </w:rPr>
      </w:pPr>
    </w:p>
    <w:p w14:paraId="3832EED0" w14:textId="20B42AB3" w:rsidR="001C34D7" w:rsidRPr="001C34D7" w:rsidRDefault="001C34D7" w:rsidP="001C3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1C34D7">
        <w:rPr>
          <w:sz w:val="20"/>
          <w:szCs w:val="20"/>
        </w:rPr>
        <w:t>[Falls die tatsächliche Zahlung wie in Absatz 2 vorgesehen nicht erfolgt, sind Personen, die wegen der in den Artikeln 449, 450, 451 und 452 erwähnten Straftaten verurteilt worden sind, gesamtschuldnerisch zur Zahlung des Einziehungsbetrags verpflichtet.]</w:t>
      </w:r>
    </w:p>
    <w:p w14:paraId="15006E4B" w14:textId="77777777" w:rsidR="001C34D7" w:rsidRPr="001C34D7" w:rsidRDefault="001C34D7" w:rsidP="001C3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C93E6B9" w14:textId="22834F38" w:rsidR="001C34D7" w:rsidRPr="001C34D7" w:rsidRDefault="001C34D7" w:rsidP="00FA11E1">
      <w:pPr>
        <w:jc w:val="both"/>
        <w:rPr>
          <w:i/>
          <w:iCs/>
          <w:sz w:val="20"/>
          <w:szCs w:val="20"/>
        </w:rPr>
      </w:pPr>
      <w:r w:rsidRPr="001C34D7">
        <w:rPr>
          <w:i/>
          <w:sz w:val="20"/>
          <w:szCs w:val="20"/>
        </w:rPr>
        <w:t>[Art. 450bis eingefügt durch Art. 118</w:t>
      </w:r>
      <w:r w:rsidRPr="001C34D7">
        <w:rPr>
          <w:i/>
          <w:iCs/>
          <w:sz w:val="20"/>
          <w:szCs w:val="20"/>
        </w:rPr>
        <w:t xml:space="preserve"> des G. vom 5. Mai 2019 (B.S. vom 24. Mai 2019)</w:t>
      </w:r>
      <w:r w:rsidR="002B46B3">
        <w:rPr>
          <w:i/>
          <w:iCs/>
          <w:sz w:val="20"/>
          <w:szCs w:val="20"/>
        </w:rPr>
        <w:t xml:space="preserve">; Abs. 2 </w:t>
      </w:r>
      <w:r w:rsidR="002B46B3" w:rsidRPr="000B4D45">
        <w:rPr>
          <w:i/>
          <w:iCs/>
          <w:sz w:val="20"/>
          <w:szCs w:val="20"/>
        </w:rPr>
        <w:t>abgeändert durch Art. </w:t>
      </w:r>
      <w:r w:rsidR="002B46B3">
        <w:rPr>
          <w:i/>
          <w:iCs/>
          <w:sz w:val="20"/>
          <w:szCs w:val="20"/>
        </w:rPr>
        <w:t>5 Buchstabe a)</w:t>
      </w:r>
      <w:r w:rsidR="002B46B3" w:rsidRPr="000B4D45">
        <w:rPr>
          <w:i/>
          <w:iCs/>
          <w:sz w:val="20"/>
          <w:szCs w:val="20"/>
        </w:rPr>
        <w:t xml:space="preserve"> des G. vom 16. Mai 2024 (B.S. vom 21. Juni 2024) - in Kraft am 8. April 2026 -</w:t>
      </w:r>
      <w:r w:rsidR="002B46B3">
        <w:rPr>
          <w:i/>
          <w:iCs/>
          <w:sz w:val="20"/>
          <w:szCs w:val="20"/>
        </w:rPr>
        <w:t>; Abs. 3 eingefüg</w:t>
      </w:r>
      <w:r w:rsidR="002B46B3" w:rsidRPr="000B4D45">
        <w:rPr>
          <w:i/>
          <w:iCs/>
          <w:sz w:val="20"/>
          <w:szCs w:val="20"/>
        </w:rPr>
        <w:t>t durch Art. </w:t>
      </w:r>
      <w:r w:rsidR="002B46B3">
        <w:rPr>
          <w:i/>
          <w:iCs/>
          <w:sz w:val="20"/>
          <w:szCs w:val="20"/>
        </w:rPr>
        <w:t>5 Buchstabe b)</w:t>
      </w:r>
      <w:r w:rsidR="002B46B3" w:rsidRPr="000B4D45">
        <w:rPr>
          <w:i/>
          <w:iCs/>
          <w:sz w:val="20"/>
          <w:szCs w:val="20"/>
        </w:rPr>
        <w:t xml:space="preserve"> des G. vom 16. Mai 2024 (B.S. vom 21. Juni 2024) - in Kraft am 8. April 2026 -</w:t>
      </w:r>
      <w:r w:rsidRPr="001C34D7">
        <w:rPr>
          <w:i/>
          <w:iCs/>
          <w:sz w:val="20"/>
          <w:szCs w:val="20"/>
        </w:rPr>
        <w:t>]</w:t>
      </w:r>
      <w:r w:rsidRPr="001C34D7">
        <w:rPr>
          <w:sz w:val="20"/>
          <w:szCs w:val="20"/>
        </w:rPr>
        <w:t>"</w:t>
      </w:r>
    </w:p>
    <w:p w14:paraId="74E2B629" w14:textId="77777777" w:rsidR="00964CAD" w:rsidRDefault="00964CAD"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38636D85" w14:textId="77777777" w:rsidR="00964CAD" w:rsidRPr="009118AB" w:rsidRDefault="00964CAD"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228E5807" w14:textId="4A6D252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451</w:t>
      </w:r>
      <w:r w:rsidR="00D67EB8" w:rsidRPr="009118AB">
        <w:t> - </w:t>
      </w:r>
      <w:r w:rsidRPr="009118AB">
        <w:t>Wer eine Falschaussage macht, wer als Dolmetscher oder Sachverständiger eine falsche Erklärung abgibt oder wer einen oder mehrere Zeugen, Sachverständige oder Dolmetscher in einem der durch die Artikel 322, 325 und 374 zugelassenen Untersuchungs</w:t>
      </w:r>
      <w:r w:rsidR="0063442B" w:rsidRPr="009118AB">
        <w:softHyphen/>
      </w:r>
      <w:r w:rsidRPr="009118AB">
        <w:t>fälle beeinflusst, wird gemäß den Bestimmungen der Artikel 220 bis 224 des Strafgesetzbuches bestraft.</w:t>
      </w:r>
    </w:p>
    <w:p w14:paraId="49D3D65D" w14:textId="77777777" w:rsidR="0063442B" w:rsidRPr="009118AB" w:rsidRDefault="0063442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D3951C" w14:textId="77777777" w:rsidR="0063442B" w:rsidRDefault="0063442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77112E8" w14:textId="6CF6C927" w:rsidR="00FB63C3" w:rsidRPr="000B4D45" w:rsidRDefault="00FB63C3" w:rsidP="00FB63C3">
      <w:pPr>
        <w:spacing w:line="288" w:lineRule="auto"/>
        <w:jc w:val="both"/>
        <w:rPr>
          <w:sz w:val="20"/>
          <w:szCs w:val="20"/>
        </w:rPr>
      </w:pPr>
      <w:r w:rsidRPr="008B30E5">
        <w:rPr>
          <w:sz w:val="20"/>
          <w:szCs w:val="20"/>
        </w:rPr>
        <w:t>Ab dem 8. April 2026 (gemäß Art. 24 des G. vom 16. Mai 2024 (B.S. vom 21. Juni 2024)) lautet Art. </w:t>
      </w:r>
      <w:r>
        <w:rPr>
          <w:sz w:val="20"/>
          <w:szCs w:val="20"/>
        </w:rPr>
        <w:t>451</w:t>
      </w:r>
      <w:r w:rsidRPr="000B4D45">
        <w:rPr>
          <w:sz w:val="20"/>
          <w:szCs w:val="20"/>
        </w:rPr>
        <w:t xml:space="preserve"> wie folgt:</w:t>
      </w:r>
    </w:p>
    <w:p w14:paraId="67EF0C18" w14:textId="77777777" w:rsidR="00FB63C3" w:rsidRPr="00964CAD" w:rsidRDefault="00FB63C3" w:rsidP="00FB63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15ECDE70" w14:textId="79B31A40" w:rsidR="00FB63C3" w:rsidRPr="004E60D8" w:rsidRDefault="00FB63C3" w:rsidP="004E60D8">
      <w:pPr>
        <w:jc w:val="both"/>
        <w:rPr>
          <w:sz w:val="20"/>
          <w:szCs w:val="20"/>
        </w:rPr>
      </w:pPr>
      <w:r w:rsidRPr="004E60D8">
        <w:rPr>
          <w:iCs/>
          <w:sz w:val="20"/>
          <w:szCs w:val="20"/>
        </w:rPr>
        <w:t>"</w:t>
      </w:r>
      <w:r w:rsidRPr="004E60D8">
        <w:rPr>
          <w:rFonts w:eastAsia="Calibri"/>
          <w:bCs/>
          <w:sz w:val="20"/>
          <w:szCs w:val="20"/>
        </w:rPr>
        <w:t>Art. 451 - [</w:t>
      </w:r>
      <w:r w:rsidRPr="004E60D8">
        <w:rPr>
          <w:sz w:val="20"/>
          <w:szCs w:val="20"/>
        </w:rPr>
        <w:t>Wer vorsätzlich eine falsche Zeugenaussage macht, wer als Dolmetscher oder Sachverständiger eine Falschaussage macht oder wer einen oder mehrere Zeugen, Sachverständige oder Dolmetscher in einer der durch die Artikel 322, 325 und 374 zugelassenen Untersuchungen dazu anstiftet, wird gemäß den Bestimmungen der Artikel 647 bis 650 des Strafgesetzbuches bestraft.]</w:t>
      </w:r>
    </w:p>
    <w:p w14:paraId="3B1E3D4A" w14:textId="77777777" w:rsidR="00FB63C3" w:rsidRPr="001C34D7" w:rsidRDefault="00FB63C3" w:rsidP="00FB63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222167C" w14:textId="1B6873E2" w:rsidR="00FB63C3" w:rsidRPr="001C34D7" w:rsidRDefault="00FB63C3" w:rsidP="00FB63C3">
      <w:pPr>
        <w:jc w:val="both"/>
        <w:rPr>
          <w:i/>
          <w:iCs/>
          <w:sz w:val="20"/>
          <w:szCs w:val="20"/>
        </w:rPr>
      </w:pPr>
      <w:r w:rsidRPr="001C34D7">
        <w:rPr>
          <w:i/>
          <w:sz w:val="20"/>
          <w:szCs w:val="20"/>
        </w:rPr>
        <w:t>[Art. </w:t>
      </w:r>
      <w:r w:rsidR="00E25225">
        <w:rPr>
          <w:i/>
          <w:sz w:val="20"/>
          <w:szCs w:val="20"/>
        </w:rPr>
        <w:t>451</w:t>
      </w:r>
      <w:r>
        <w:rPr>
          <w:i/>
          <w:iCs/>
          <w:sz w:val="20"/>
          <w:szCs w:val="20"/>
        </w:rPr>
        <w:t xml:space="preserve"> </w:t>
      </w:r>
      <w:r w:rsidR="00E25225">
        <w:rPr>
          <w:i/>
          <w:iCs/>
          <w:sz w:val="20"/>
          <w:szCs w:val="20"/>
        </w:rPr>
        <w:t>ersetz</w:t>
      </w:r>
      <w:r w:rsidRPr="000B4D45">
        <w:rPr>
          <w:i/>
          <w:iCs/>
          <w:sz w:val="20"/>
          <w:szCs w:val="20"/>
        </w:rPr>
        <w:t>t durch Art. </w:t>
      </w:r>
      <w:r w:rsidR="00E25225">
        <w:rPr>
          <w:i/>
          <w:iCs/>
          <w:sz w:val="20"/>
          <w:szCs w:val="20"/>
        </w:rPr>
        <w:t>6</w:t>
      </w:r>
      <w:r>
        <w:rPr>
          <w:i/>
          <w:iCs/>
          <w:sz w:val="20"/>
          <w:szCs w:val="20"/>
        </w:rPr>
        <w:t xml:space="preserve"> </w:t>
      </w:r>
      <w:r w:rsidRPr="000B4D45">
        <w:rPr>
          <w:i/>
          <w:iCs/>
          <w:sz w:val="20"/>
          <w:szCs w:val="20"/>
        </w:rPr>
        <w:t>des G. vom 16. Mai 2024 (B.S. vom 21. Juni 2024) - in Kraft am 8. April 2026 -</w:t>
      </w:r>
      <w:r w:rsidRPr="001C34D7">
        <w:rPr>
          <w:i/>
          <w:iCs/>
          <w:sz w:val="20"/>
          <w:szCs w:val="20"/>
        </w:rPr>
        <w:t>]</w:t>
      </w:r>
      <w:r w:rsidRPr="001C34D7">
        <w:rPr>
          <w:sz w:val="20"/>
          <w:szCs w:val="20"/>
        </w:rPr>
        <w:t>"</w:t>
      </w:r>
    </w:p>
    <w:p w14:paraId="67F53CF7" w14:textId="77777777" w:rsidR="00FB63C3" w:rsidRDefault="00FB63C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5B4E2E3" w14:textId="77777777" w:rsidR="00FB63C3" w:rsidRPr="009118AB" w:rsidRDefault="00FB63C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0C3F84" w14:textId="3DF6E2C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452</w:t>
      </w:r>
      <w:r w:rsidR="00D67EB8" w:rsidRPr="009118AB">
        <w:t> - </w:t>
      </w:r>
      <w:r w:rsidRPr="009118AB">
        <w:t>Mit einer Gefängnisstrafe von acht Tagen bis zu sechs Monaten und mit einer Geldbuße von [125 EUR] bis zu [</w:t>
      </w:r>
      <w:r w:rsidR="00FD0C94" w:rsidRPr="009118AB">
        <w:t>500.000</w:t>
      </w:r>
      <w:r w:rsidRPr="009118AB">
        <w:t> EUR] oder mit nur einer dieser Strafen wird das Nichterscheinen oder die Weigerung in den durch die Artikel 322, 325 und 374 zugelassenen Untersuchungen als Zeuge auszusagen geahndet.</w:t>
      </w:r>
    </w:p>
    <w:p w14:paraId="4EED9DD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CCC464D" w14:textId="7E1AEC8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452 abgeändert durch </w:t>
      </w:r>
      <w:r w:rsidR="00D67EB8" w:rsidRPr="009118AB">
        <w:rPr>
          <w:i/>
          <w:iCs/>
        </w:rPr>
        <w:t>Art. </w:t>
      </w:r>
      <w:r w:rsidRPr="009118AB">
        <w:rPr>
          <w:i/>
          <w:iCs/>
        </w:rPr>
        <w:t xml:space="preserve">2 </w:t>
      </w:r>
      <w:r w:rsidR="00D67EB8" w:rsidRPr="009118AB">
        <w:rPr>
          <w:i/>
          <w:iCs/>
        </w:rPr>
        <w:t>Nr. </w:t>
      </w:r>
      <w:r w:rsidRPr="009118AB">
        <w:rPr>
          <w:i/>
          <w:iCs/>
        </w:rPr>
        <w:t>25 des K.E. vom 20. Juli 2000 (II) (B.S. vom 30. August 2000)</w:t>
      </w:r>
      <w:r w:rsidR="00D67EB8" w:rsidRPr="009118AB">
        <w:rPr>
          <w:i/>
          <w:iCs/>
        </w:rPr>
        <w:t> - </w:t>
      </w:r>
      <w:r w:rsidRPr="009118AB">
        <w:rPr>
          <w:i/>
          <w:iCs/>
        </w:rPr>
        <w:t>in Kraft ab dem 1. Januar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r w:rsidRPr="009118AB">
        <w:rPr>
          <w:i/>
          <w:iCs/>
        </w:rPr>
        <w:t xml:space="preserve"> durch </w:t>
      </w:r>
      <w:r w:rsidR="00D67EB8" w:rsidRPr="009118AB">
        <w:rPr>
          <w:i/>
          <w:iCs/>
        </w:rPr>
        <w:t>Art. </w:t>
      </w:r>
      <w:r w:rsidRPr="009118AB">
        <w:rPr>
          <w:i/>
          <w:iCs/>
        </w:rPr>
        <w:t xml:space="preserve">36 </w:t>
      </w:r>
      <w:r w:rsidR="00D67EB8" w:rsidRPr="009118AB">
        <w:rPr>
          <w:i/>
          <w:iCs/>
        </w:rPr>
        <w:t>Nr. </w:t>
      </w:r>
      <w:r w:rsidRPr="009118AB">
        <w:rPr>
          <w:i/>
          <w:iCs/>
        </w:rPr>
        <w:t xml:space="preserve">2 des G. (I) vom 27. Dezember 2006 </w:t>
      </w:r>
      <w:r w:rsidR="0063442B" w:rsidRPr="009118AB">
        <w:rPr>
          <w:i/>
          <w:iCs/>
        </w:rPr>
        <w:t xml:space="preserve">(I) </w:t>
      </w:r>
      <w:r w:rsidRPr="009118AB">
        <w:rPr>
          <w:i/>
          <w:iCs/>
        </w:rPr>
        <w:t>(B.S. vom 28. Dezember 2006)</w:t>
      </w:r>
      <w:r w:rsidR="00FD0C94" w:rsidRPr="009118AB">
        <w:rPr>
          <w:i/>
          <w:iCs/>
        </w:rPr>
        <w:t xml:space="preserve"> und </w:t>
      </w:r>
      <w:r w:rsidR="00D67EB8" w:rsidRPr="009118AB">
        <w:rPr>
          <w:i/>
          <w:iCs/>
        </w:rPr>
        <w:t>Art. </w:t>
      </w:r>
      <w:r w:rsidR="00FD0C94" w:rsidRPr="009118AB">
        <w:rPr>
          <w:i/>
          <w:iCs/>
        </w:rPr>
        <w:t>11 des G. vom 20. September 2012 (B.S. vom 22. Oktober 2012)</w:t>
      </w:r>
      <w:r w:rsidRPr="009118AB">
        <w:rPr>
          <w:i/>
          <w:iCs/>
        </w:rPr>
        <w:t>]</w:t>
      </w:r>
    </w:p>
    <w:p w14:paraId="13B1B69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B7792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CB47BBA" w14:textId="77777777" w:rsidR="004C5267" w:rsidRDefault="004C5267">
      <w:pPr>
        <w:rPr>
          <w:sz w:val="20"/>
          <w:szCs w:val="20"/>
        </w:rPr>
      </w:pPr>
      <w:r>
        <w:rPr>
          <w:sz w:val="20"/>
          <w:szCs w:val="20"/>
        </w:rPr>
        <w:br w:type="page"/>
      </w:r>
    </w:p>
    <w:p w14:paraId="3580F4E1" w14:textId="19B7D6B4" w:rsidR="00382814" w:rsidRPr="000B4D45" w:rsidRDefault="00382814" w:rsidP="00382814">
      <w:pPr>
        <w:spacing w:line="288" w:lineRule="auto"/>
        <w:jc w:val="both"/>
        <w:rPr>
          <w:sz w:val="20"/>
          <w:szCs w:val="20"/>
        </w:rPr>
      </w:pPr>
      <w:r w:rsidRPr="008B30E5">
        <w:rPr>
          <w:sz w:val="20"/>
          <w:szCs w:val="20"/>
        </w:rPr>
        <w:t>Ab dem 8. April 2026 (gemäß Art. 24 des G. vom 16. Mai 2024 (B.S. vom 21. Juni 2024)) lautet Art. </w:t>
      </w:r>
      <w:r>
        <w:rPr>
          <w:sz w:val="20"/>
          <w:szCs w:val="20"/>
        </w:rPr>
        <w:t>452</w:t>
      </w:r>
      <w:r w:rsidRPr="000B4D45">
        <w:rPr>
          <w:sz w:val="20"/>
          <w:szCs w:val="20"/>
        </w:rPr>
        <w:t xml:space="preserve"> wie folgt:</w:t>
      </w:r>
    </w:p>
    <w:p w14:paraId="2F3F3488" w14:textId="77777777" w:rsidR="00382814" w:rsidRPr="00964CAD" w:rsidRDefault="00382814" w:rsidP="003828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26CF0240" w14:textId="41F4F1E9" w:rsidR="00382814" w:rsidRPr="004E60D8" w:rsidRDefault="00382814" w:rsidP="00382814">
      <w:pPr>
        <w:jc w:val="both"/>
        <w:rPr>
          <w:sz w:val="20"/>
          <w:szCs w:val="20"/>
        </w:rPr>
      </w:pPr>
      <w:r w:rsidRPr="004E60D8">
        <w:rPr>
          <w:iCs/>
          <w:sz w:val="20"/>
          <w:szCs w:val="20"/>
        </w:rPr>
        <w:t>"</w:t>
      </w:r>
      <w:r w:rsidRPr="004E60D8">
        <w:rPr>
          <w:rFonts w:eastAsia="Calibri"/>
          <w:bCs/>
          <w:sz w:val="20"/>
          <w:szCs w:val="20"/>
        </w:rPr>
        <w:t>Art. 45</w:t>
      </w:r>
      <w:r>
        <w:rPr>
          <w:rFonts w:eastAsia="Calibri"/>
          <w:bCs/>
          <w:sz w:val="20"/>
          <w:szCs w:val="20"/>
        </w:rPr>
        <w:t>2</w:t>
      </w:r>
      <w:r w:rsidRPr="004E60D8">
        <w:rPr>
          <w:rFonts w:eastAsia="Calibri"/>
          <w:bCs/>
          <w:sz w:val="20"/>
          <w:szCs w:val="20"/>
        </w:rPr>
        <w:t> - [</w:t>
      </w:r>
      <w:r w:rsidRPr="00382814">
        <w:rPr>
          <w:sz w:val="20"/>
          <w:szCs w:val="20"/>
        </w:rPr>
        <w:t>Mit einer Gefängnisstrafe der Stufe 1 wie in Artikel 36 des Strafgesetzbuches bestimmt wird das Nichterscheinen wie in Artikel 654 des Strafgesetzbuches vorgesehen oder die Weigerung, in den durch die Artikel 322, 325 und 374 zugelassenen Untersuchungen als Zeuge auszusagen, bestraft. In Abweichung von den Artikeln 38 und 52 § 1 des Strafgesetzbuches kann das Gericht als Nebenstrafe eine Geldbuße von 2.000 bis zu 4.000.000 EUR aussprechen.]</w:t>
      </w:r>
    </w:p>
    <w:p w14:paraId="6E96179B" w14:textId="77777777" w:rsidR="00382814" w:rsidRPr="001C34D7" w:rsidRDefault="00382814" w:rsidP="003828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F1484A8" w14:textId="4C27B525" w:rsidR="00382814" w:rsidRPr="001C34D7" w:rsidRDefault="00382814" w:rsidP="00382814">
      <w:pPr>
        <w:jc w:val="both"/>
        <w:rPr>
          <w:i/>
          <w:iCs/>
          <w:sz w:val="20"/>
          <w:szCs w:val="20"/>
        </w:rPr>
      </w:pPr>
      <w:r w:rsidRPr="001C34D7">
        <w:rPr>
          <w:i/>
          <w:sz w:val="20"/>
          <w:szCs w:val="20"/>
        </w:rPr>
        <w:t>[Art. </w:t>
      </w:r>
      <w:r>
        <w:rPr>
          <w:i/>
          <w:sz w:val="20"/>
          <w:szCs w:val="20"/>
        </w:rPr>
        <w:t>452</w:t>
      </w:r>
      <w:r>
        <w:rPr>
          <w:i/>
          <w:iCs/>
          <w:sz w:val="20"/>
          <w:szCs w:val="20"/>
        </w:rPr>
        <w:t xml:space="preserve"> ersetz</w:t>
      </w:r>
      <w:r w:rsidRPr="000B4D45">
        <w:rPr>
          <w:i/>
          <w:iCs/>
          <w:sz w:val="20"/>
          <w:szCs w:val="20"/>
        </w:rPr>
        <w:t>t durch Art. </w:t>
      </w:r>
      <w:r>
        <w:rPr>
          <w:i/>
          <w:iCs/>
          <w:sz w:val="20"/>
          <w:szCs w:val="20"/>
        </w:rPr>
        <w:t xml:space="preserve">7 </w:t>
      </w:r>
      <w:r w:rsidRPr="000B4D45">
        <w:rPr>
          <w:i/>
          <w:iCs/>
          <w:sz w:val="20"/>
          <w:szCs w:val="20"/>
        </w:rPr>
        <w:t>des G. vom 16. Mai 2024 (B.S. vom 21. Juni 2024) - in Kraft am 8. April 2026 -</w:t>
      </w:r>
      <w:r w:rsidRPr="001C34D7">
        <w:rPr>
          <w:i/>
          <w:iCs/>
          <w:sz w:val="20"/>
          <w:szCs w:val="20"/>
        </w:rPr>
        <w:t>]</w:t>
      </w:r>
      <w:r w:rsidRPr="001C34D7">
        <w:rPr>
          <w:sz w:val="20"/>
          <w:szCs w:val="20"/>
        </w:rPr>
        <w:t>"</w:t>
      </w:r>
    </w:p>
    <w:p w14:paraId="18D8F2DB" w14:textId="77777777" w:rsidR="00382814" w:rsidRDefault="0038281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7A5FA51" w14:textId="77777777" w:rsidR="00382814" w:rsidRDefault="0038281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0B0B2E0" w14:textId="55E9712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453</w:t>
      </w:r>
      <w:r w:rsidR="00D67EB8" w:rsidRPr="009118AB">
        <w:t> - </w:t>
      </w:r>
      <w:r w:rsidRPr="009118AB">
        <w:t>Die Verletzung des in Artikel 337 erwähnten Berufsgeheimnisses wird gemäß Artikel 458 des Strafgesetzbuches geahndet.</w:t>
      </w:r>
    </w:p>
    <w:p w14:paraId="25CB1B0F"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D15ADC3" w14:textId="77777777" w:rsidR="002C0E7C" w:rsidRDefault="002C0E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18622D" w14:textId="5A7D897F" w:rsidR="002C0E7C" w:rsidRPr="000B4D45" w:rsidRDefault="002C0E7C" w:rsidP="002C0E7C">
      <w:pPr>
        <w:spacing w:line="288" w:lineRule="auto"/>
        <w:jc w:val="both"/>
        <w:rPr>
          <w:sz w:val="20"/>
          <w:szCs w:val="20"/>
        </w:rPr>
      </w:pPr>
      <w:r w:rsidRPr="008B30E5">
        <w:rPr>
          <w:sz w:val="20"/>
          <w:szCs w:val="20"/>
        </w:rPr>
        <w:t>Ab dem 8. April 2026 (gemäß Art. 24 des G. vom 16. Mai 2024 (B.S. vom 21. Juni 2024)) lautet Art. </w:t>
      </w:r>
      <w:r>
        <w:rPr>
          <w:sz w:val="20"/>
          <w:szCs w:val="20"/>
        </w:rPr>
        <w:t>453</w:t>
      </w:r>
      <w:r w:rsidRPr="000B4D45">
        <w:rPr>
          <w:sz w:val="20"/>
          <w:szCs w:val="20"/>
        </w:rPr>
        <w:t xml:space="preserve"> wie folgt:</w:t>
      </w:r>
    </w:p>
    <w:p w14:paraId="337B16EA" w14:textId="77777777" w:rsidR="002C0E7C" w:rsidRPr="00964CAD" w:rsidRDefault="002C0E7C" w:rsidP="002C0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142ADC30" w14:textId="79937E6D" w:rsidR="002C0E7C" w:rsidRPr="004E60D8" w:rsidRDefault="002C0E7C" w:rsidP="002C0E7C">
      <w:pPr>
        <w:jc w:val="both"/>
        <w:rPr>
          <w:sz w:val="20"/>
          <w:szCs w:val="20"/>
        </w:rPr>
      </w:pPr>
      <w:r w:rsidRPr="004E60D8">
        <w:rPr>
          <w:iCs/>
          <w:sz w:val="20"/>
          <w:szCs w:val="20"/>
        </w:rPr>
        <w:t>"</w:t>
      </w:r>
      <w:r w:rsidRPr="004E60D8">
        <w:rPr>
          <w:rFonts w:eastAsia="Calibri"/>
          <w:bCs/>
          <w:sz w:val="20"/>
          <w:szCs w:val="20"/>
        </w:rPr>
        <w:t>Art. 45</w:t>
      </w:r>
      <w:r>
        <w:rPr>
          <w:rFonts w:eastAsia="Calibri"/>
          <w:bCs/>
          <w:sz w:val="20"/>
          <w:szCs w:val="20"/>
        </w:rPr>
        <w:t>3</w:t>
      </w:r>
      <w:r w:rsidRPr="004E60D8">
        <w:rPr>
          <w:rFonts w:eastAsia="Calibri"/>
          <w:bCs/>
          <w:sz w:val="20"/>
          <w:szCs w:val="20"/>
        </w:rPr>
        <w:t> - </w:t>
      </w:r>
      <w:r w:rsidRPr="005D0D4E">
        <w:rPr>
          <w:sz w:val="20"/>
          <w:szCs w:val="20"/>
        </w:rPr>
        <w:t xml:space="preserve">Die Verletzung des in Artikel 337 erwähnten Berufsgeheimnisses </w:t>
      </w:r>
      <w:r w:rsidR="005D0D4E">
        <w:rPr>
          <w:sz w:val="20"/>
          <w:szCs w:val="20"/>
        </w:rPr>
        <w:t>[</w:t>
      </w:r>
      <w:r w:rsidR="005D0D4E" w:rsidRPr="005D0D4E">
        <w:rPr>
          <w:sz w:val="20"/>
          <w:szCs w:val="20"/>
        </w:rPr>
        <w:t>wird gemäß Artikel 352 des Strafgesetzbuches bestraft</w:t>
      </w:r>
      <w:r w:rsidR="005D0D4E">
        <w:rPr>
          <w:sz w:val="20"/>
          <w:szCs w:val="20"/>
        </w:rPr>
        <w:t>]</w:t>
      </w:r>
      <w:r w:rsidRPr="005D0D4E">
        <w:rPr>
          <w:sz w:val="20"/>
          <w:szCs w:val="20"/>
        </w:rPr>
        <w:t>.</w:t>
      </w:r>
    </w:p>
    <w:p w14:paraId="4B4DD45C" w14:textId="77777777" w:rsidR="002C0E7C" w:rsidRPr="001C34D7" w:rsidRDefault="002C0E7C" w:rsidP="002C0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3D8ACBC" w14:textId="052EB503" w:rsidR="002C0E7C" w:rsidRPr="001C34D7" w:rsidRDefault="002C0E7C" w:rsidP="002C0E7C">
      <w:pPr>
        <w:jc w:val="both"/>
        <w:rPr>
          <w:i/>
          <w:iCs/>
          <w:sz w:val="20"/>
          <w:szCs w:val="20"/>
        </w:rPr>
      </w:pPr>
      <w:r w:rsidRPr="002C0E7C">
        <w:rPr>
          <w:rFonts w:ascii="Times New Roman Italique" w:hAnsi="Times New Roman Italique"/>
          <w:i/>
          <w:spacing w:val="-4"/>
          <w:sz w:val="20"/>
          <w:szCs w:val="20"/>
        </w:rPr>
        <w:t>[Art. 453</w:t>
      </w:r>
      <w:r w:rsidRPr="002C0E7C">
        <w:rPr>
          <w:rFonts w:ascii="Times New Roman Italique" w:hAnsi="Times New Roman Italique"/>
          <w:i/>
          <w:iCs/>
          <w:spacing w:val="-4"/>
          <w:sz w:val="20"/>
          <w:szCs w:val="20"/>
        </w:rPr>
        <w:t xml:space="preserve"> abgeändert durch Art. 8 des G. vom 16. Mai 2024 (B.S. vom 21. Juni 2024) - in Kraft am 8. April 2026 -]</w:t>
      </w:r>
      <w:r w:rsidRPr="001C34D7">
        <w:rPr>
          <w:sz w:val="20"/>
          <w:szCs w:val="20"/>
        </w:rPr>
        <w:t>"</w:t>
      </w:r>
    </w:p>
    <w:p w14:paraId="10D134FD" w14:textId="77777777" w:rsidR="002C0E7C" w:rsidRPr="009118AB" w:rsidRDefault="002C0E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BD9E69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6F1387" w14:textId="4AA7341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454</w:t>
      </w:r>
      <w:r w:rsidR="00D67EB8" w:rsidRPr="009118AB">
        <w:t> - </w:t>
      </w:r>
      <w:r w:rsidRPr="009118AB">
        <w:t>[...]</w:t>
      </w:r>
    </w:p>
    <w:p w14:paraId="4D4D0D9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0E4054" w14:textId="1CF0A00C" w:rsidR="00477B8F" w:rsidRPr="009118AB" w:rsidRDefault="002B550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454 aufgehoben durch </w:t>
      </w:r>
      <w:r w:rsidR="00D67EB8" w:rsidRPr="009118AB">
        <w:rPr>
          <w:i/>
          <w:iCs/>
        </w:rPr>
        <w:t>Art. </w:t>
      </w:r>
      <w:r w:rsidRPr="009118AB">
        <w:rPr>
          <w:i/>
          <w:iCs/>
        </w:rPr>
        <w:t>10 des G. </w:t>
      </w:r>
      <w:r w:rsidR="00477B8F" w:rsidRPr="009118AB">
        <w:rPr>
          <w:i/>
          <w:iCs/>
        </w:rPr>
        <w:t>(I) vom 27. Dezember 2006</w:t>
      </w:r>
      <w:r w:rsidRPr="009118AB">
        <w:rPr>
          <w:i/>
          <w:iCs/>
        </w:rPr>
        <w:t> </w:t>
      </w:r>
      <w:r w:rsidR="0063442B" w:rsidRPr="009118AB">
        <w:rPr>
          <w:i/>
          <w:iCs/>
        </w:rPr>
        <w:t xml:space="preserve">(I) </w:t>
      </w:r>
      <w:r w:rsidR="00477B8F" w:rsidRPr="009118AB">
        <w:rPr>
          <w:i/>
          <w:iCs/>
        </w:rPr>
        <w:t>(B.S. vom 28. Dezember 2006)]</w:t>
      </w:r>
    </w:p>
    <w:p w14:paraId="5DC6A96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95D10C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58BB7D" w14:textId="6CEA4C3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455</w:t>
      </w:r>
      <w:r w:rsidR="00D67EB8" w:rsidRPr="009118AB">
        <w:t> - § </w:t>
      </w:r>
      <w:r w:rsidRPr="009118AB">
        <w:t>1</w:t>
      </w:r>
      <w:r w:rsidR="00D67EB8" w:rsidRPr="009118AB">
        <w:t> - </w:t>
      </w:r>
      <w:r w:rsidRPr="009118AB">
        <w:t>Wenn der Inhaber einer der folgenden Berufe:</w:t>
      </w:r>
    </w:p>
    <w:p w14:paraId="511DA28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8F0A8B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1. Steuerberater,</w:t>
      </w:r>
    </w:p>
    <w:p w14:paraId="43869ED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87CCD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2. Sachverwalter,</w:t>
      </w:r>
    </w:p>
    <w:p w14:paraId="5AC8F7F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DDA59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3. Sachverständiger im Steuer- oder Buchführungswesen,</w:t>
      </w:r>
    </w:p>
    <w:p w14:paraId="5427143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3F1A7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4. oder jeder andere Beruf, der darin besteht, für einen oder mehrere Steuerpflichtige die Buchhaltung zu führen beziehungsweise dabei zu helfen, entweder für eigene Rechnung oder als Leiter, Mitglied oder Angestellter einer Gesellschaft, einer Vereinigung, eines Zusammenschlusses oder eines Unternehmens,</w:t>
      </w:r>
    </w:p>
    <w:p w14:paraId="61E7C9B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432FE4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5. oder allgemein der Beruf, der darin besteht, einen oder mehrere Steuerpflichtige bei der Ausführung der Verpflichtungen, die durch vorliegendes Gesetzbuch oder seine Ausführungserlasse auferlegt sind, zu beraten oder zu unterstützen,</w:t>
      </w:r>
    </w:p>
    <w:p w14:paraId="0350A5A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EEFD2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aufgrund einer der in den Artikeln 449 bis 453 erwähnten Straftaten verurteilt wird, kann ihm im Urteil das Verbot auferlegt werden, während einer Dauer von drei Monaten bis zu fünf Jahren direkt oder indirekt in welcher Eigenschaft auch immer die vorerwähnten Berufe auszuüben.</w:t>
      </w:r>
    </w:p>
    <w:p w14:paraId="3672E86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4ADEC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Richter kann darüber hinaus unter der Voraussetzung, dass er seinen diesbezüglichen Beschluss mit Gründen versieht, für eine Dauer von drei Monaten bis zu fünf Jahren die Schließung der Niederlassungen der Gesellschaft, der Vereinigung, des Zusammenschlusses beziehungsweise des Unternehmens, deren/dessen Leiter, Mitglied oder Angestellter der Verurteilte ist, anordnen.</w:t>
      </w:r>
    </w:p>
    <w:p w14:paraId="60527CCB" w14:textId="77777777" w:rsidR="0063442B" w:rsidRPr="009118AB" w:rsidRDefault="0063442B" w:rsidP="00477B8F">
      <w:pPr>
        <w:autoSpaceDE w:val="0"/>
        <w:autoSpaceDN w:val="0"/>
        <w:adjustRightInd w:val="0"/>
      </w:pPr>
    </w:p>
    <w:p w14:paraId="578A709B" w14:textId="36178067" w:rsidR="00477B8F" w:rsidRPr="009118AB" w:rsidRDefault="00477B8F" w:rsidP="00200443">
      <w:pPr>
        <w:autoSpaceDE w:val="0"/>
        <w:autoSpaceDN w:val="0"/>
        <w:adjustRightInd w:val="0"/>
        <w:jc w:val="both"/>
      </w:pPr>
      <w:r w:rsidRPr="009118AB">
        <w:tab/>
      </w:r>
      <w:r w:rsidR="00D67EB8" w:rsidRPr="009118AB">
        <w:t>§ </w:t>
      </w:r>
      <w:r w:rsidRPr="009118AB">
        <w:t>2</w:t>
      </w:r>
      <w:r w:rsidR="00D67EB8" w:rsidRPr="009118AB">
        <w:t> - </w:t>
      </w:r>
      <w:r w:rsidRPr="009118AB">
        <w:t xml:space="preserve">Das Verbot und die Schließung, die in </w:t>
      </w:r>
      <w:r w:rsidR="00D67EB8" w:rsidRPr="009118AB">
        <w:t>§ </w:t>
      </w:r>
      <w:r w:rsidRPr="009118AB">
        <w:t>1 erwähnt sind, werden wirksam ab dem Tag, an dem die Verurteilung rechtskräftig wird.</w:t>
      </w:r>
    </w:p>
    <w:p w14:paraId="750EC39F" w14:textId="77777777" w:rsidR="00200443" w:rsidRPr="009118AB" w:rsidRDefault="00200443" w:rsidP="00200443">
      <w:pPr>
        <w:autoSpaceDE w:val="0"/>
        <w:autoSpaceDN w:val="0"/>
        <w:adjustRightInd w:val="0"/>
        <w:jc w:val="both"/>
      </w:pPr>
    </w:p>
    <w:p w14:paraId="52739862" w14:textId="77777777" w:rsidR="00095C9D" w:rsidRPr="009118AB" w:rsidRDefault="00095C9D" w:rsidP="00200443">
      <w:pPr>
        <w:autoSpaceDE w:val="0"/>
        <w:autoSpaceDN w:val="0"/>
        <w:adjustRightInd w:val="0"/>
        <w:jc w:val="both"/>
      </w:pPr>
    </w:p>
    <w:p w14:paraId="37A9B78D" w14:textId="7835458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456</w:t>
      </w:r>
      <w:r w:rsidR="00D67EB8" w:rsidRPr="009118AB">
        <w:t> - </w:t>
      </w:r>
      <w:r w:rsidRPr="009118AB">
        <w:t>Wer direkt oder indirekt gegen das Verbot oder die Schließung, die aufgrund der Artikel 454 und 455 ausgesprochen werden, verstößt, wird mit einer Gefängnisstrafe von acht Tagen bis zu zwei Jahren und einer Geldbuße von [250 EUR] bis zu [</w:t>
      </w:r>
      <w:r w:rsidR="00FD0C94" w:rsidRPr="009118AB">
        <w:t>500</w:t>
      </w:r>
      <w:r w:rsidRPr="009118AB">
        <w:t>.000 EUR] oder mit nur einer dieser Strafen belegt.</w:t>
      </w:r>
    </w:p>
    <w:p w14:paraId="04F36EC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9EE4208" w14:textId="3F1E12C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456 abgeändert durch </w:t>
      </w:r>
      <w:r w:rsidR="00D67EB8" w:rsidRPr="009118AB">
        <w:rPr>
          <w:i/>
          <w:iCs/>
        </w:rPr>
        <w:t>Art. </w:t>
      </w:r>
      <w:r w:rsidRPr="009118AB">
        <w:rPr>
          <w:i/>
          <w:iCs/>
        </w:rPr>
        <w:t xml:space="preserve">2 </w:t>
      </w:r>
      <w:r w:rsidR="00D67EB8" w:rsidRPr="009118AB">
        <w:rPr>
          <w:i/>
          <w:iCs/>
        </w:rPr>
        <w:t>Nr. </w:t>
      </w:r>
      <w:r w:rsidRPr="009118AB">
        <w:rPr>
          <w:i/>
          <w:iCs/>
        </w:rPr>
        <w:t>25 des K.E. vom 20. Juli 2000 (II) (B.S. vom 30. August 2000)</w:t>
      </w:r>
      <w:r w:rsidR="00D67EB8" w:rsidRPr="009118AB">
        <w:rPr>
          <w:i/>
          <w:iCs/>
        </w:rPr>
        <w:t> - </w:t>
      </w:r>
      <w:r w:rsidRPr="009118AB">
        <w:rPr>
          <w:i/>
          <w:iCs/>
        </w:rPr>
        <w:t>in Kraft ab dem 1. Januar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r w:rsidRPr="009118AB">
        <w:rPr>
          <w:i/>
          <w:iCs/>
        </w:rPr>
        <w:t xml:space="preserve"> durch </w:t>
      </w:r>
      <w:r w:rsidR="00D67EB8" w:rsidRPr="009118AB">
        <w:rPr>
          <w:i/>
          <w:iCs/>
        </w:rPr>
        <w:t>Art. </w:t>
      </w:r>
      <w:r w:rsidRPr="009118AB">
        <w:rPr>
          <w:i/>
          <w:iCs/>
        </w:rPr>
        <w:t>38 des G. (I) vom 27. Dezember 2006</w:t>
      </w:r>
      <w:r w:rsidR="0063442B" w:rsidRPr="009118AB">
        <w:rPr>
          <w:i/>
          <w:iCs/>
        </w:rPr>
        <w:t xml:space="preserve"> (I)</w:t>
      </w:r>
      <w:r w:rsidRPr="009118AB">
        <w:rPr>
          <w:i/>
          <w:iCs/>
        </w:rPr>
        <w:t> (B.S. vom 28. Dezember 2006)</w:t>
      </w:r>
      <w:r w:rsidR="00FD0C94" w:rsidRPr="009118AB">
        <w:rPr>
          <w:i/>
          <w:iCs/>
        </w:rPr>
        <w:t xml:space="preserve"> und </w:t>
      </w:r>
      <w:r w:rsidR="00D67EB8" w:rsidRPr="009118AB">
        <w:rPr>
          <w:i/>
          <w:iCs/>
        </w:rPr>
        <w:t>Art. </w:t>
      </w:r>
      <w:r w:rsidR="00FD0C94" w:rsidRPr="009118AB">
        <w:rPr>
          <w:i/>
          <w:iCs/>
        </w:rPr>
        <w:t>12 des G. vom 20. September 2012 (B.S. vom 22. Oktober 2012)</w:t>
      </w:r>
      <w:r w:rsidRPr="009118AB">
        <w:rPr>
          <w:i/>
          <w:iCs/>
        </w:rPr>
        <w:t>]</w:t>
      </w:r>
    </w:p>
    <w:p w14:paraId="1467F00C"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D0130FC" w14:textId="77777777" w:rsidR="00627153" w:rsidRDefault="0062715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024D5F9" w14:textId="627DBE07" w:rsidR="00627153" w:rsidRPr="00B27711" w:rsidRDefault="00627153" w:rsidP="00627153">
      <w:pPr>
        <w:spacing w:line="288" w:lineRule="auto"/>
        <w:jc w:val="both"/>
        <w:rPr>
          <w:sz w:val="20"/>
          <w:szCs w:val="20"/>
        </w:rPr>
      </w:pPr>
      <w:r w:rsidRPr="00B27711">
        <w:rPr>
          <w:sz w:val="20"/>
          <w:szCs w:val="20"/>
        </w:rPr>
        <w:t>Ab dem 8. April 2026 (gemäß Art. 24 des G. vom 16. Mai 2024 (B.S. vom 21. Juni 2024)) lautet Art. 45</w:t>
      </w:r>
      <w:r>
        <w:rPr>
          <w:sz w:val="20"/>
          <w:szCs w:val="20"/>
        </w:rPr>
        <w:t>6</w:t>
      </w:r>
      <w:r w:rsidRPr="00B27711">
        <w:rPr>
          <w:sz w:val="20"/>
          <w:szCs w:val="20"/>
        </w:rPr>
        <w:t xml:space="preserve"> wie folgt:</w:t>
      </w:r>
    </w:p>
    <w:p w14:paraId="70316A2D" w14:textId="77777777" w:rsidR="00627153" w:rsidRPr="00B27711" w:rsidRDefault="00627153" w:rsidP="006271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32C32D72" w14:textId="4FE82453" w:rsidR="00627153" w:rsidRPr="00B27711" w:rsidRDefault="00627153" w:rsidP="00627153">
      <w:pPr>
        <w:jc w:val="both"/>
        <w:rPr>
          <w:sz w:val="20"/>
          <w:szCs w:val="20"/>
        </w:rPr>
      </w:pPr>
      <w:r w:rsidRPr="00B27711">
        <w:rPr>
          <w:iCs/>
          <w:sz w:val="20"/>
          <w:szCs w:val="20"/>
        </w:rPr>
        <w:t>"</w:t>
      </w:r>
      <w:r w:rsidRPr="00B27711">
        <w:rPr>
          <w:rFonts w:eastAsia="Calibri"/>
          <w:bCs/>
          <w:sz w:val="20"/>
          <w:szCs w:val="20"/>
        </w:rPr>
        <w:t>Art. 45</w:t>
      </w:r>
      <w:r>
        <w:rPr>
          <w:rFonts w:eastAsia="Calibri"/>
          <w:bCs/>
          <w:sz w:val="20"/>
          <w:szCs w:val="20"/>
        </w:rPr>
        <w:t>6</w:t>
      </w:r>
      <w:r w:rsidRPr="00B27711">
        <w:rPr>
          <w:rFonts w:eastAsia="Calibri"/>
          <w:bCs/>
          <w:sz w:val="20"/>
          <w:szCs w:val="20"/>
        </w:rPr>
        <w:t> - </w:t>
      </w:r>
      <w:r>
        <w:rPr>
          <w:rFonts w:eastAsia="Calibri"/>
          <w:bCs/>
          <w:sz w:val="20"/>
          <w:szCs w:val="20"/>
        </w:rPr>
        <w:t>[</w:t>
      </w:r>
      <w:r w:rsidRPr="00627153">
        <w:rPr>
          <w:sz w:val="20"/>
          <w:szCs w:val="20"/>
        </w:rPr>
        <w:t>Wer direkt oder indirekt gegen das Verbot oder die Schließung, die aufgrund der Artikel 454 und 455 ausgesprochen werden, verstößt, wird mit einer Gefängnisstrafe der Stufe 2 wie in Artikel 36 des Strafgesetzbuches bestimmt bestraft. In Abweichung von den Artikeln 38 und 52 § 1 des Strafgesetzbuches kann das Gericht als Nebenstrafe eine Geldbuße von 2.000 bis zu 4.000.000 EUR aussprechen.</w:t>
      </w:r>
      <w:r w:rsidRPr="00B27711">
        <w:rPr>
          <w:sz w:val="20"/>
          <w:szCs w:val="20"/>
        </w:rPr>
        <w:t>]</w:t>
      </w:r>
    </w:p>
    <w:p w14:paraId="04B333E0" w14:textId="77777777" w:rsidR="00627153" w:rsidRPr="00B27711" w:rsidRDefault="00627153" w:rsidP="006271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47C340A" w14:textId="32AB966F" w:rsidR="00627153" w:rsidRDefault="00627153" w:rsidP="006271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B27711">
        <w:rPr>
          <w:i/>
          <w:spacing w:val="-4"/>
          <w:sz w:val="20"/>
          <w:szCs w:val="20"/>
        </w:rPr>
        <w:t>[Art. 45</w:t>
      </w:r>
      <w:r>
        <w:rPr>
          <w:i/>
          <w:spacing w:val="-4"/>
          <w:sz w:val="20"/>
          <w:szCs w:val="20"/>
        </w:rPr>
        <w:t>6</w:t>
      </w:r>
      <w:r w:rsidRPr="00B27711">
        <w:rPr>
          <w:i/>
          <w:iCs/>
          <w:spacing w:val="-4"/>
          <w:sz w:val="20"/>
          <w:szCs w:val="20"/>
        </w:rPr>
        <w:t xml:space="preserve"> </w:t>
      </w:r>
      <w:r>
        <w:rPr>
          <w:i/>
          <w:iCs/>
          <w:spacing w:val="-4"/>
          <w:sz w:val="20"/>
          <w:szCs w:val="20"/>
        </w:rPr>
        <w:t>ersetz</w:t>
      </w:r>
      <w:r w:rsidRPr="00B27711">
        <w:rPr>
          <w:i/>
          <w:iCs/>
          <w:spacing w:val="-4"/>
          <w:sz w:val="20"/>
          <w:szCs w:val="20"/>
        </w:rPr>
        <w:t>t durch Art. </w:t>
      </w:r>
      <w:r>
        <w:rPr>
          <w:i/>
          <w:iCs/>
          <w:spacing w:val="-4"/>
          <w:sz w:val="20"/>
          <w:szCs w:val="20"/>
        </w:rPr>
        <w:t>9</w:t>
      </w:r>
      <w:r w:rsidRPr="00B27711">
        <w:rPr>
          <w:i/>
          <w:iCs/>
          <w:spacing w:val="-4"/>
          <w:sz w:val="20"/>
          <w:szCs w:val="20"/>
        </w:rPr>
        <w:t xml:space="preserve"> des G. vom 16. Mai 2024 (B.S. vom 21. Juni 2024) - in Kraft am 8. April 2026 -]</w:t>
      </w:r>
      <w:r w:rsidRPr="00B27711">
        <w:rPr>
          <w:sz w:val="20"/>
          <w:szCs w:val="20"/>
        </w:rPr>
        <w:t>"</w:t>
      </w:r>
    </w:p>
    <w:p w14:paraId="0F49D81F" w14:textId="77777777" w:rsidR="00627153" w:rsidRPr="009118AB" w:rsidRDefault="0062715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70A63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6A686F7" w14:textId="34DC722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457</w:t>
      </w:r>
      <w:r w:rsidR="00D67EB8" w:rsidRPr="009118AB">
        <w:t> - § </w:t>
      </w:r>
      <w:r w:rsidRPr="009118AB">
        <w:t>1</w:t>
      </w:r>
      <w:r w:rsidR="00D67EB8" w:rsidRPr="009118AB">
        <w:t> - </w:t>
      </w:r>
      <w:r w:rsidRPr="009118AB">
        <w:t>Alle Bestimmungen von Buch I des Strafgesetzbuches einschließlich Kapitel </w:t>
      </w:r>
      <w:r w:rsidR="007828ED" w:rsidRPr="009118AB">
        <w:t>7</w:t>
      </w:r>
      <w:r w:rsidRPr="009118AB">
        <w:t xml:space="preserve"> und Artikel 85 finden Anwendung auf die in den Artikeln 449 bis 453 und 456 erwähnten Straftaten.</w:t>
      </w:r>
    </w:p>
    <w:p w14:paraId="1D94A80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FF8091" w14:textId="7543B03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 xml:space="preserve">Das Gesetz vom 5. März 1952 über die Zuschlagzehntel auf strafrechtliche Geldbußen, abgeändert durch die Gesetze vom 22. Dezember 1989 und 20. Juli 1991, </w:t>
      </w:r>
      <w:r w:rsidR="00FD0C94" w:rsidRPr="009118AB">
        <w:t>[ist anwendbar auf]</w:t>
      </w:r>
      <w:r w:rsidRPr="009118AB">
        <w:t xml:space="preserve"> die in den Artikeln 449, 450, 452 und 456 erwähnten Straftaten.</w:t>
      </w:r>
    </w:p>
    <w:p w14:paraId="66F41AF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DBB1294" w14:textId="4EFDC6D5" w:rsidR="00FD0C94" w:rsidRPr="009118AB" w:rsidRDefault="00FD0C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457 </w:t>
      </w:r>
      <w:r w:rsidR="00D67EB8" w:rsidRPr="009118AB">
        <w:rPr>
          <w:i/>
        </w:rPr>
        <w:t>§ </w:t>
      </w:r>
      <w:r w:rsidRPr="009118AB">
        <w:rPr>
          <w:i/>
        </w:rPr>
        <w:t xml:space="preserve">2 abgeändert durch </w:t>
      </w:r>
      <w:r w:rsidR="00D67EB8" w:rsidRPr="009118AB">
        <w:rPr>
          <w:i/>
        </w:rPr>
        <w:t>Art. </w:t>
      </w:r>
      <w:r w:rsidRPr="009118AB">
        <w:rPr>
          <w:i/>
        </w:rPr>
        <w:t>13</w:t>
      </w:r>
      <w:r w:rsidRPr="009118AB">
        <w:rPr>
          <w:i/>
          <w:iCs/>
        </w:rPr>
        <w:t xml:space="preserve"> des G. vom 20. September 2012 (B.S. vom 22. Oktober 2012)]</w:t>
      </w:r>
    </w:p>
    <w:p w14:paraId="4CC48EFB" w14:textId="77777777" w:rsidR="00FD0C94" w:rsidRDefault="00FD0C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7064946E" w14:textId="77777777" w:rsidR="003B5974" w:rsidRDefault="003B597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6C8FAB15" w14:textId="63DE7675" w:rsidR="003B5974" w:rsidRPr="00B27711" w:rsidRDefault="003B5974" w:rsidP="003B5974">
      <w:pPr>
        <w:spacing w:line="288" w:lineRule="auto"/>
        <w:jc w:val="both"/>
        <w:rPr>
          <w:sz w:val="20"/>
          <w:szCs w:val="20"/>
        </w:rPr>
      </w:pPr>
      <w:r w:rsidRPr="00B27711">
        <w:rPr>
          <w:sz w:val="20"/>
          <w:szCs w:val="20"/>
        </w:rPr>
        <w:t>Ab dem 8. April 2026 (gemäß Art. 24 des G. vom 16. Mai 2024 (B.S. vom 21. Juni 2024)) lautet Art. 45</w:t>
      </w:r>
      <w:r>
        <w:rPr>
          <w:sz w:val="20"/>
          <w:szCs w:val="20"/>
        </w:rPr>
        <w:t>7</w:t>
      </w:r>
      <w:r w:rsidRPr="00B27711">
        <w:rPr>
          <w:sz w:val="20"/>
          <w:szCs w:val="20"/>
        </w:rPr>
        <w:t xml:space="preserve"> wie folgt:</w:t>
      </w:r>
    </w:p>
    <w:p w14:paraId="5EA33253" w14:textId="77777777" w:rsidR="003B5974" w:rsidRPr="00B27711" w:rsidRDefault="003B5974" w:rsidP="003B59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0464357E" w14:textId="77777777" w:rsidR="00385BDD" w:rsidRPr="00385BDD" w:rsidRDefault="003B5974" w:rsidP="00A406E1">
      <w:pPr>
        <w:jc w:val="both"/>
        <w:rPr>
          <w:sz w:val="20"/>
          <w:szCs w:val="20"/>
        </w:rPr>
      </w:pPr>
      <w:r w:rsidRPr="00B27711">
        <w:rPr>
          <w:iCs/>
          <w:sz w:val="20"/>
          <w:szCs w:val="20"/>
        </w:rPr>
        <w:t>"</w:t>
      </w:r>
      <w:r w:rsidRPr="00B27711">
        <w:rPr>
          <w:rFonts w:eastAsia="Calibri"/>
          <w:bCs/>
          <w:sz w:val="20"/>
          <w:szCs w:val="20"/>
        </w:rPr>
        <w:t>Art. 45</w:t>
      </w:r>
      <w:r>
        <w:rPr>
          <w:rFonts w:eastAsia="Calibri"/>
          <w:bCs/>
          <w:sz w:val="20"/>
          <w:szCs w:val="20"/>
        </w:rPr>
        <w:t>7</w:t>
      </w:r>
      <w:r w:rsidRPr="00B27711">
        <w:rPr>
          <w:rFonts w:eastAsia="Calibri"/>
          <w:bCs/>
          <w:sz w:val="20"/>
          <w:szCs w:val="20"/>
        </w:rPr>
        <w:t> - </w:t>
      </w:r>
      <w:r w:rsidRPr="00385BDD">
        <w:rPr>
          <w:sz w:val="20"/>
          <w:szCs w:val="20"/>
        </w:rPr>
        <w:t>[</w:t>
      </w:r>
      <w:r w:rsidR="00385BDD" w:rsidRPr="00385BDD">
        <w:rPr>
          <w:sz w:val="20"/>
          <w:szCs w:val="20"/>
        </w:rPr>
        <w:t>§ 1 ­ Die Bestimmungen von Buch 1 des Strafgesetzbuches finden Anwendung auf die in den Artikeln 449 bis 453 und 456 erwähnten Straftaten.</w:t>
      </w:r>
    </w:p>
    <w:p w14:paraId="1364CCF6" w14:textId="77777777" w:rsidR="00385BDD" w:rsidRPr="00385BDD" w:rsidRDefault="00385BDD" w:rsidP="00385BDD">
      <w:pPr>
        <w:jc w:val="both"/>
        <w:rPr>
          <w:sz w:val="20"/>
          <w:szCs w:val="20"/>
        </w:rPr>
      </w:pPr>
    </w:p>
    <w:p w14:paraId="1D17B6F6" w14:textId="77777777" w:rsidR="00385BDD" w:rsidRPr="00385BDD" w:rsidRDefault="00385BDD" w:rsidP="00FC4B99">
      <w:pPr>
        <w:jc w:val="both"/>
        <w:rPr>
          <w:sz w:val="20"/>
          <w:szCs w:val="20"/>
        </w:rPr>
      </w:pPr>
      <w:r w:rsidRPr="00385BDD">
        <w:rPr>
          <w:sz w:val="20"/>
          <w:szCs w:val="20"/>
        </w:rPr>
        <w:t>In Abweichung von Artikel 38 des Strafgesetzbuches werden die in den Artikeln 449 bis 453 erwähnten Straftaten als Hauptstraftat nur mit der jeweils in diesen Artikeln vorgesehenen Geldbuße bestraft, wenn sie von einer juristischen Person begangen werden.</w:t>
      </w:r>
    </w:p>
    <w:p w14:paraId="31D2BAAF" w14:textId="77777777" w:rsidR="00385BDD" w:rsidRPr="00385BDD" w:rsidRDefault="00385BDD" w:rsidP="00385BDD">
      <w:pPr>
        <w:jc w:val="both"/>
        <w:rPr>
          <w:sz w:val="20"/>
          <w:szCs w:val="20"/>
        </w:rPr>
      </w:pPr>
    </w:p>
    <w:p w14:paraId="35CE70FF" w14:textId="35CBD944" w:rsidR="003B5974" w:rsidRPr="00B27711" w:rsidRDefault="00385BDD" w:rsidP="00385BDD">
      <w:pPr>
        <w:jc w:val="both"/>
        <w:rPr>
          <w:sz w:val="20"/>
          <w:szCs w:val="20"/>
        </w:rPr>
      </w:pPr>
      <w:r w:rsidRPr="00385BDD">
        <w:rPr>
          <w:sz w:val="20"/>
          <w:szCs w:val="20"/>
        </w:rPr>
        <w:t>§ 2 - Die Indexierung der Beträge der Geldbußen, die in den Artikeln 449 bis 453 und 456 erwähnt sind, erfolgt nach denselben Regeln wie denen, die auf die Beträge der Geldbußen anwendbar sind, die in den Artikeln 38 und 52 § 1 des Strafgesetzbuches erwähnt sind.</w:t>
      </w:r>
      <w:r w:rsidR="003B5974" w:rsidRPr="00385BDD">
        <w:rPr>
          <w:sz w:val="20"/>
          <w:szCs w:val="20"/>
        </w:rPr>
        <w:t>]</w:t>
      </w:r>
    </w:p>
    <w:p w14:paraId="4BD1AE1E" w14:textId="77777777" w:rsidR="003B5974" w:rsidRPr="00B27711" w:rsidRDefault="003B5974" w:rsidP="003B59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5198C378" w14:textId="7CDD81FF" w:rsidR="003B5974" w:rsidRDefault="003B5974" w:rsidP="003B59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4E1505">
        <w:rPr>
          <w:rFonts w:ascii="Times New Roman Italique" w:hAnsi="Times New Roman Italique"/>
          <w:i/>
          <w:sz w:val="20"/>
          <w:szCs w:val="20"/>
        </w:rPr>
        <w:t>[Art. 45</w:t>
      </w:r>
      <w:r w:rsidR="004E1505" w:rsidRPr="004E1505">
        <w:rPr>
          <w:rFonts w:ascii="Times New Roman Italique" w:hAnsi="Times New Roman Italique"/>
          <w:i/>
          <w:sz w:val="20"/>
          <w:szCs w:val="20"/>
        </w:rPr>
        <w:t>7</w:t>
      </w:r>
      <w:r w:rsidRPr="004E1505">
        <w:rPr>
          <w:rFonts w:ascii="Times New Roman Italique" w:hAnsi="Times New Roman Italique"/>
          <w:i/>
          <w:iCs/>
          <w:sz w:val="20"/>
          <w:szCs w:val="20"/>
        </w:rPr>
        <w:t xml:space="preserve"> </w:t>
      </w:r>
      <w:r w:rsidR="00385BDD">
        <w:rPr>
          <w:rFonts w:ascii="Times New Roman Italique" w:hAnsi="Times New Roman Italique"/>
          <w:i/>
          <w:iCs/>
          <w:sz w:val="20"/>
          <w:szCs w:val="20"/>
        </w:rPr>
        <w:t>ersetzt</w:t>
      </w:r>
      <w:r w:rsidRPr="004E1505">
        <w:rPr>
          <w:rFonts w:ascii="Times New Roman Italique" w:hAnsi="Times New Roman Italique"/>
          <w:i/>
          <w:iCs/>
          <w:sz w:val="20"/>
          <w:szCs w:val="20"/>
        </w:rPr>
        <w:t xml:space="preserve"> durch Art. </w:t>
      </w:r>
      <w:r w:rsidR="004E1505" w:rsidRPr="004E1505">
        <w:rPr>
          <w:rFonts w:ascii="Times New Roman Italique" w:hAnsi="Times New Roman Italique"/>
          <w:i/>
          <w:iCs/>
          <w:sz w:val="20"/>
          <w:szCs w:val="20"/>
        </w:rPr>
        <w:t>10</w:t>
      </w:r>
      <w:r w:rsidRPr="004E1505">
        <w:rPr>
          <w:rFonts w:ascii="Times New Roman Italique" w:hAnsi="Times New Roman Italique"/>
          <w:i/>
          <w:iCs/>
          <w:sz w:val="20"/>
          <w:szCs w:val="20"/>
        </w:rPr>
        <w:t xml:space="preserve"> des G. vom 16. Mai 2024 (B.S. vom 21. Juni 2024) - in Kraft am 8. April 2026 -]</w:t>
      </w:r>
      <w:r w:rsidRPr="00B27711">
        <w:rPr>
          <w:sz w:val="20"/>
          <w:szCs w:val="20"/>
        </w:rPr>
        <w:t>"</w:t>
      </w:r>
    </w:p>
    <w:p w14:paraId="03C8D6E0" w14:textId="77777777" w:rsidR="003B5974" w:rsidRPr="009118AB" w:rsidRDefault="003B597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2BAE1D82" w14:textId="77777777" w:rsidR="00477B8F"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CCD529" w14:textId="0D15E372" w:rsidR="005D1005" w:rsidRDefault="005D1005" w:rsidP="005D1005">
      <w:pPr>
        <w:jc w:val="both"/>
        <w:rPr>
          <w:sz w:val="20"/>
          <w:szCs w:val="20"/>
        </w:rPr>
      </w:pPr>
      <w:r>
        <w:rPr>
          <w:sz w:val="20"/>
          <w:szCs w:val="20"/>
        </w:rPr>
        <w:t>Ab dem 8. April 2026 (</w:t>
      </w:r>
      <w:r w:rsidRPr="00B27711">
        <w:rPr>
          <w:sz w:val="20"/>
          <w:szCs w:val="20"/>
        </w:rPr>
        <w:t>gemäß Art. 24 des G. vom 16. Mai 2024 (B.S. vom 21. Juni 2024)</w:t>
      </w:r>
      <w:r>
        <w:rPr>
          <w:sz w:val="20"/>
          <w:szCs w:val="20"/>
        </w:rPr>
        <w:t>) wird ein Artikel 457/1 mit folgendem Wortlaut eingefügt:</w:t>
      </w:r>
    </w:p>
    <w:p w14:paraId="0A5C72D8" w14:textId="77777777" w:rsidR="0017485E" w:rsidRPr="005D1005" w:rsidRDefault="0017485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FE1CFDD" w14:textId="3AA681DB" w:rsidR="005D1005" w:rsidRPr="005D1005" w:rsidRDefault="005D1005" w:rsidP="005D1005">
      <w:pPr>
        <w:jc w:val="both"/>
        <w:rPr>
          <w:sz w:val="20"/>
          <w:szCs w:val="20"/>
        </w:rPr>
      </w:pPr>
      <w:r w:rsidRPr="005D1005">
        <w:rPr>
          <w:sz w:val="20"/>
          <w:szCs w:val="20"/>
        </w:rPr>
        <w:t>"[Art. 457/1 - Wenn das Gericht mildernde Umstände berücksichtigt, wird die Gefängnisstrafe der Stufe 3 wie in Artikel 36 des Strafgesetzbuches bestimmt durch eine Gefängnisstrafe der Stufe 2 ersetzt, mit der zusammen das Gericht als Nebenstrafe eine Geldbuße von 200 bis zu 1.600.000 EUR aussprechen kann, oder wird sie nur durch eine Geldbuße von 200 bis zu 1.600.000 EUR als Hauptstrafe ersetzt. Wenn das Gericht mildernde Umstände berücksichtigt, wird die Gefängnisstrafe der Stufe 2 durch eine Geldbuße von 200 bis zu 1.600.000 EUR als Hauptstrafe ersetzt.</w:t>
      </w:r>
    </w:p>
    <w:p w14:paraId="14F05B28" w14:textId="77777777" w:rsidR="005D1005" w:rsidRPr="005D1005" w:rsidRDefault="005D1005" w:rsidP="005D1005">
      <w:pPr>
        <w:jc w:val="both"/>
        <w:rPr>
          <w:sz w:val="20"/>
          <w:szCs w:val="20"/>
        </w:rPr>
      </w:pPr>
    </w:p>
    <w:p w14:paraId="72606CC8" w14:textId="1CCF2C9C" w:rsidR="0017485E" w:rsidRPr="005D1005" w:rsidRDefault="005D1005"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5D1005">
        <w:rPr>
          <w:sz w:val="20"/>
          <w:szCs w:val="20"/>
        </w:rPr>
        <w:t>Liegt die ursprünglich als Hauptstrafe festgelegte Geldbuße zwischen 2.000 und 4.000.000 EUR, wird sie bei Berücksichtigung mildernder Umstände zu einer Geldbuße von 200 bis zu 1.600.000 EUR.]</w:t>
      </w:r>
    </w:p>
    <w:p w14:paraId="38EC4C3C" w14:textId="77777777" w:rsidR="005D1005" w:rsidRPr="005D1005" w:rsidRDefault="005D1005"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979C7B3" w14:textId="18A53DC4" w:rsidR="005D1005" w:rsidRPr="005D1005" w:rsidRDefault="005D1005"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8B4C64">
        <w:rPr>
          <w:i/>
          <w:iCs/>
          <w:sz w:val="20"/>
          <w:szCs w:val="20"/>
        </w:rPr>
        <w:t>[</w:t>
      </w:r>
      <w:r w:rsidR="008B4C64" w:rsidRPr="008B4C64">
        <w:rPr>
          <w:i/>
          <w:iCs/>
          <w:sz w:val="20"/>
          <w:szCs w:val="20"/>
        </w:rPr>
        <w:t>Art. 457/1 eingefüg</w:t>
      </w:r>
      <w:r w:rsidR="008B4C64" w:rsidRPr="008B4C64">
        <w:rPr>
          <w:rFonts w:ascii="Times New Roman Italique" w:hAnsi="Times New Roman Italique"/>
          <w:i/>
          <w:iCs/>
          <w:sz w:val="20"/>
          <w:szCs w:val="20"/>
        </w:rPr>
        <w:t>t</w:t>
      </w:r>
      <w:r w:rsidR="008B4C64" w:rsidRPr="008B4C64">
        <w:rPr>
          <w:i/>
          <w:iCs/>
          <w:sz w:val="20"/>
          <w:szCs w:val="20"/>
        </w:rPr>
        <w:t xml:space="preserve"> du</w:t>
      </w:r>
      <w:r w:rsidR="008B4C64" w:rsidRPr="001A213D">
        <w:rPr>
          <w:i/>
          <w:iCs/>
          <w:sz w:val="20"/>
          <w:szCs w:val="20"/>
        </w:rPr>
        <w:t>rch Art. </w:t>
      </w:r>
      <w:r w:rsidR="008B4C64">
        <w:rPr>
          <w:i/>
          <w:iCs/>
          <w:sz w:val="20"/>
          <w:szCs w:val="20"/>
        </w:rPr>
        <w:t>11</w:t>
      </w:r>
      <w:r w:rsidR="008B4C64" w:rsidRPr="001A213D">
        <w:rPr>
          <w:i/>
          <w:iCs/>
          <w:sz w:val="20"/>
          <w:szCs w:val="20"/>
        </w:rPr>
        <w:t xml:space="preserve"> des G. vom 16. Mai 2024 (B.S. vom 21. Juni 2024) - in Kraft </w:t>
      </w:r>
      <w:r w:rsidR="008B4C64">
        <w:rPr>
          <w:i/>
          <w:iCs/>
          <w:sz w:val="20"/>
          <w:szCs w:val="20"/>
        </w:rPr>
        <w:br/>
      </w:r>
      <w:r w:rsidR="008B4C64" w:rsidRPr="001A213D">
        <w:rPr>
          <w:i/>
          <w:iCs/>
          <w:sz w:val="20"/>
          <w:szCs w:val="20"/>
        </w:rPr>
        <w:t>am 8. April 2026 -</w:t>
      </w:r>
      <w:r w:rsidRPr="005D1005">
        <w:rPr>
          <w:sz w:val="20"/>
          <w:szCs w:val="20"/>
        </w:rPr>
        <w:t>]"</w:t>
      </w:r>
    </w:p>
    <w:p w14:paraId="2ABC72F2" w14:textId="77777777" w:rsidR="005D1005" w:rsidRDefault="005D1005"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03063B" w14:textId="77777777" w:rsidR="00981442" w:rsidRDefault="00981442"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1A06791" w14:textId="601532FF" w:rsidR="00981442" w:rsidRDefault="00981442" w:rsidP="00981442">
      <w:pPr>
        <w:jc w:val="both"/>
        <w:rPr>
          <w:sz w:val="20"/>
          <w:szCs w:val="20"/>
        </w:rPr>
      </w:pPr>
      <w:r>
        <w:rPr>
          <w:sz w:val="20"/>
          <w:szCs w:val="20"/>
        </w:rPr>
        <w:t>Ab dem 8. April 2026 (</w:t>
      </w:r>
      <w:r w:rsidRPr="00B27711">
        <w:rPr>
          <w:sz w:val="20"/>
          <w:szCs w:val="20"/>
        </w:rPr>
        <w:t>gemäß Art. 24 des G. vom 16. Mai 2024 (B.S. vom 21. Juni 2024)</w:t>
      </w:r>
      <w:r>
        <w:rPr>
          <w:sz w:val="20"/>
          <w:szCs w:val="20"/>
        </w:rPr>
        <w:t>) wird ein Artikel 457/2 mit folgendem Wortlaut eingefügt:</w:t>
      </w:r>
    </w:p>
    <w:p w14:paraId="21B1F421" w14:textId="77777777" w:rsidR="00981442" w:rsidRPr="005D1005" w:rsidRDefault="00981442" w:rsidP="009814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A777891" w14:textId="00C38F84" w:rsidR="00981442" w:rsidRPr="00981442" w:rsidRDefault="00981442" w:rsidP="00981442">
      <w:pPr>
        <w:jc w:val="both"/>
        <w:rPr>
          <w:sz w:val="20"/>
          <w:szCs w:val="20"/>
        </w:rPr>
      </w:pPr>
      <w:r w:rsidRPr="00981442">
        <w:rPr>
          <w:sz w:val="20"/>
          <w:szCs w:val="20"/>
        </w:rPr>
        <w:t>"[Art. 457/2 - Bei einem strafbaren Versuch wie in Artikel 9 des Strafgesetzbuches bestimmt wird die Hauptgefängnisstrafe der Stufe 3 durch eine Hauptgefängnisstrafe der Stufe 2 ersetzt, mit der zusammen das Gericht als Nebenstrafe eine Geldbuße von 200 bis zu 1.600.000 EUR aussprechen kann. Die Hauptgefängnisstrafe der Stufe 2 wird durch eine Geldbuße von 200 bis zu 1.600.000 EUR als Hauptstrafe ersetzt.</w:t>
      </w:r>
    </w:p>
    <w:p w14:paraId="6459368E" w14:textId="77777777" w:rsidR="00981442" w:rsidRPr="00981442" w:rsidRDefault="00981442" w:rsidP="00981442">
      <w:pPr>
        <w:jc w:val="both"/>
        <w:rPr>
          <w:sz w:val="20"/>
          <w:szCs w:val="20"/>
        </w:rPr>
      </w:pPr>
    </w:p>
    <w:p w14:paraId="62C2BA5B" w14:textId="4D8EC44B" w:rsidR="00981442" w:rsidRPr="00981442" w:rsidRDefault="00981442" w:rsidP="00981442">
      <w:pPr>
        <w:jc w:val="both"/>
        <w:rPr>
          <w:sz w:val="20"/>
          <w:szCs w:val="20"/>
        </w:rPr>
      </w:pPr>
      <w:r w:rsidRPr="00981442">
        <w:rPr>
          <w:sz w:val="20"/>
          <w:szCs w:val="20"/>
        </w:rPr>
        <w:t>Liegt die ursprünglich als Hauptstrafe festgelegte Geldbuße zwischen 2.000 und 4.000.000 EUR, wird sie bei einem strafbaren Versuch zu einer Geldbuße von 200 bis zu 1.600.000 EUR.]</w:t>
      </w:r>
    </w:p>
    <w:p w14:paraId="63742560" w14:textId="77777777" w:rsidR="00981442" w:rsidRPr="005D1005" w:rsidRDefault="00981442" w:rsidP="009814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9CAB86D" w14:textId="54ABB88B" w:rsidR="00981442" w:rsidRPr="005D1005" w:rsidRDefault="00981442" w:rsidP="009814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8B4C64">
        <w:rPr>
          <w:i/>
          <w:iCs/>
          <w:sz w:val="20"/>
          <w:szCs w:val="20"/>
        </w:rPr>
        <w:t>[Art. 457/</w:t>
      </w:r>
      <w:r>
        <w:rPr>
          <w:i/>
          <w:iCs/>
          <w:sz w:val="20"/>
          <w:szCs w:val="20"/>
        </w:rPr>
        <w:t>2</w:t>
      </w:r>
      <w:r w:rsidRPr="008B4C64">
        <w:rPr>
          <w:i/>
          <w:iCs/>
          <w:sz w:val="20"/>
          <w:szCs w:val="20"/>
        </w:rPr>
        <w:t xml:space="preserve"> eingefüg</w:t>
      </w:r>
      <w:r w:rsidRPr="008B4C64">
        <w:rPr>
          <w:rFonts w:ascii="Times New Roman Italique" w:hAnsi="Times New Roman Italique"/>
          <w:i/>
          <w:iCs/>
          <w:sz w:val="20"/>
          <w:szCs w:val="20"/>
        </w:rPr>
        <w:t>t</w:t>
      </w:r>
      <w:r w:rsidRPr="008B4C64">
        <w:rPr>
          <w:i/>
          <w:iCs/>
          <w:sz w:val="20"/>
          <w:szCs w:val="20"/>
        </w:rPr>
        <w:t xml:space="preserve"> du</w:t>
      </w:r>
      <w:r w:rsidRPr="001A213D">
        <w:rPr>
          <w:i/>
          <w:iCs/>
          <w:sz w:val="20"/>
          <w:szCs w:val="20"/>
        </w:rPr>
        <w:t>rch Art. </w:t>
      </w:r>
      <w:r>
        <w:rPr>
          <w:i/>
          <w:iCs/>
          <w:sz w:val="20"/>
          <w:szCs w:val="20"/>
        </w:rPr>
        <w:t>12</w:t>
      </w:r>
      <w:r w:rsidRPr="001A213D">
        <w:rPr>
          <w:i/>
          <w:iCs/>
          <w:sz w:val="20"/>
          <w:szCs w:val="20"/>
        </w:rPr>
        <w:t xml:space="preserve"> des G. vom 16. Mai 2024 (B.S. vom 21. Juni 2024) - in Kraft </w:t>
      </w:r>
      <w:r>
        <w:rPr>
          <w:i/>
          <w:iCs/>
          <w:sz w:val="20"/>
          <w:szCs w:val="20"/>
        </w:rPr>
        <w:br/>
      </w:r>
      <w:r w:rsidRPr="001A213D">
        <w:rPr>
          <w:i/>
          <w:iCs/>
          <w:sz w:val="20"/>
          <w:szCs w:val="20"/>
        </w:rPr>
        <w:t>am 8. April 2026 -</w:t>
      </w:r>
      <w:r w:rsidRPr="005D1005">
        <w:rPr>
          <w:sz w:val="20"/>
          <w:szCs w:val="20"/>
        </w:rPr>
        <w:t>]"</w:t>
      </w:r>
    </w:p>
    <w:p w14:paraId="7FD4CBEE" w14:textId="77777777" w:rsidR="00981442" w:rsidRDefault="00981442"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B404B50" w14:textId="77777777" w:rsidR="0017485E" w:rsidRPr="009118AB" w:rsidRDefault="0017485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1AED466" w14:textId="39F97A5D" w:rsidR="00DC6CD7" w:rsidRPr="009118AB" w:rsidRDefault="00477B8F"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458</w:t>
      </w:r>
      <w:r w:rsidR="00D67EB8" w:rsidRPr="009118AB">
        <w:t> - </w:t>
      </w:r>
      <w:r w:rsidR="00DC6CD7" w:rsidRPr="009118AB">
        <w:t>[Personen, die als Täter beziehungsweise Komplizen bei den in den Artikeln 449 bis 452 erwähnten Straftaten verurteilt werden, sind gesamtschuldnerisch zur Zahlung der hinterzogenen Steuer und der Zinsen verpflichtet, die vom Steuerpflichtigen geschuldet werden, auf dessen Name die Steuer in die Heberolle eingetragen worden ist.</w:t>
      </w:r>
    </w:p>
    <w:p w14:paraId="3B173488" w14:textId="77777777" w:rsidR="00EC54D5" w:rsidRPr="009118AB" w:rsidRDefault="00DC6CD7" w:rsidP="00EC54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 </w:t>
      </w:r>
    </w:p>
    <w:p w14:paraId="36A36FC7" w14:textId="77777777"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Personen, die als Täter beziehungsweise Komplizen bei den in den Artikeln 449 bis 452 erwähnten Straftaten angeklagt werden, sind ebenfalls gesamtschuldnerisch zur Zahlung der hinterzogenen Steuer und der Zinsen wie in Absatz 1 erwähnt verpflichtet, wenn die den Straftaten zugrunde liegenden Tatbestände als erwiesen erklärt werden, wenn diesen Personen:</w:t>
      </w:r>
    </w:p>
    <w:p w14:paraId="3703EAFA" w14:textId="77777777"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C5A4FD0" w14:textId="77777777"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1. eine Aussetzung der Verurteilungsverkündung oder ein Strafvollstreckungsaufschub wie im Gesetz vom 29. Juni 1964 über die Aussetzung, den Aufschub und die Bewährung vorgesehen gewährt wird,</w:t>
      </w:r>
    </w:p>
    <w:p w14:paraId="1FB4B3FC" w14:textId="77777777"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6980B8" w14:textId="0FC54A1E"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2. eine Verurteilung durch einfache Schuldigerklärung wie in </w:t>
      </w:r>
      <w:r w:rsidR="00F7473A">
        <w:t>[</w:t>
      </w:r>
      <w:r w:rsidRPr="009118AB">
        <w:t>Artikel 2</w:t>
      </w:r>
      <w:r w:rsidR="00F7473A">
        <w:t xml:space="preserve">7] </w:t>
      </w:r>
      <w:r w:rsidRPr="009118AB">
        <w:t>des einleitenden Titels des Strafprozessgesetzbuches erwähnt gewährt wird,</w:t>
      </w:r>
    </w:p>
    <w:p w14:paraId="547BF932" w14:textId="77777777"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313D1CD" w14:textId="77777777"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3. die Anwendung des in Artikel 216 des Strafprozessgesetzbuches bestimmten Verfahrens des vorherigen Schuldeingeständnisses gewährt wird,</w:t>
      </w:r>
    </w:p>
    <w:p w14:paraId="1A6468C3" w14:textId="77777777"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13B8AA" w14:textId="77777777"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4. die Verjährung der Strafverfolgung zugutekommt.</w:t>
      </w:r>
    </w:p>
    <w:p w14:paraId="24A01199" w14:textId="77777777" w:rsidR="00DC6CD7"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BCFEB22" w14:textId="5FCB9BFA" w:rsidR="00477B8F" w:rsidRPr="009118AB"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Natürliche oder juristische Personen haften zivilrechtlich und gesamtschuldnerisch für Geldbußen und Kosten, die auf Verurteilungen zurückzuführen sind, die aufgrund der Artikel</w:t>
      </w:r>
      <w:r w:rsidR="00F7473A">
        <w:t> </w:t>
      </w:r>
      <w:r w:rsidRPr="009118AB">
        <w:t>449 bis 456 de jure oder de facto gegen ihre Angestellten oder Verwalter, Geschäftsführer oder Liquidatoren wegen Handlungen im Rahmen der Ausübung ihres Amtes ausgesprochen werden.]</w:t>
      </w:r>
    </w:p>
    <w:p w14:paraId="627C34F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207E73A" w14:textId="07BC7B8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458</w:t>
      </w:r>
      <w:r w:rsidR="00DC6CD7" w:rsidRPr="009118AB">
        <w:rPr>
          <w:i/>
          <w:iCs/>
        </w:rPr>
        <w:t xml:space="preserve"> ersetzt durch </w:t>
      </w:r>
      <w:r w:rsidR="00D67EB8" w:rsidRPr="009118AB">
        <w:rPr>
          <w:i/>
          <w:iCs/>
        </w:rPr>
        <w:t>Art. </w:t>
      </w:r>
      <w:r w:rsidR="00DC6CD7" w:rsidRPr="009118AB">
        <w:rPr>
          <w:i/>
          <w:iCs/>
        </w:rPr>
        <w:t>81 des G. vom 26. März 2018 (B.S. vom 30. März 2018)</w:t>
      </w:r>
      <w:r w:rsidR="00F7473A">
        <w:rPr>
          <w:i/>
          <w:iCs/>
        </w:rPr>
        <w:t xml:space="preserve">; </w:t>
      </w:r>
      <w:r w:rsidR="00F7473A" w:rsidRPr="00F7473A">
        <w:rPr>
          <w:i/>
          <w:iCs/>
        </w:rPr>
        <w:t>Abs. 2 Nr. 2 abgeändert durch Art. 5</w:t>
      </w:r>
      <w:r w:rsidR="00F7473A">
        <w:rPr>
          <w:i/>
          <w:iCs/>
        </w:rPr>
        <w:t>7</w:t>
      </w:r>
      <w:r w:rsidR="00F7473A" w:rsidRPr="00F7473A">
        <w:rPr>
          <w:i/>
          <w:iCs/>
        </w:rPr>
        <w:t xml:space="preserve"> des G. (I) vom 9. April 2024 (B.S. vom 18. April 2024)</w:t>
      </w:r>
      <w:r w:rsidRPr="009118AB">
        <w:rPr>
          <w:i/>
          <w:iCs/>
        </w:rPr>
        <w:t>]</w:t>
      </w:r>
    </w:p>
    <w:p w14:paraId="143E889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09FD1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402498" w14:textId="253BB6B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459</w:t>
      </w:r>
      <w:r w:rsidR="00D67EB8" w:rsidRPr="009118AB">
        <w:t> - </w:t>
      </w:r>
      <w:r w:rsidRPr="009118AB">
        <w:t>Der Richter kann anordnen, dass auf Kosten des Verurteilten jedes Urteil beziehungsweise jeder Entscheid zur Verurteilung zu einer Gefängnisstrafe, die aufgrund der Artikel 449 bis 452 und 456 ausgesprochen werden, an den von ihm bestimmten Orten angeschlagen werden und gegebenenfalls auszugsweise gemäß der von ihm festgelegten Weise veröffentlicht werden.</w:t>
      </w:r>
    </w:p>
    <w:p w14:paraId="57C893A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4D4CBC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Dasselbe kann für jeden aufgrund der Artikel 454 und 455 ausgesprochenen Beschluss gelten, mit dem das Verbot der Ausübung einer Berufstätigkeit in Belgien oder die Schließung der im Inland betriebenen Niederlassungen angeordnet wird.</w:t>
      </w:r>
    </w:p>
    <w:p w14:paraId="329B4D6B" w14:textId="77777777" w:rsidR="0063442B" w:rsidRPr="009118AB" w:rsidRDefault="0063442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AF5C276" w14:textId="77777777" w:rsidR="0063442B" w:rsidRPr="009118AB" w:rsidRDefault="0063442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131F260" w14:textId="742E945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460</w:t>
      </w:r>
      <w:r w:rsidR="00D67EB8" w:rsidRPr="009118AB">
        <w:t> - § </w:t>
      </w:r>
      <w:r w:rsidRPr="009118AB">
        <w:t>1</w:t>
      </w:r>
      <w:r w:rsidR="00D67EB8" w:rsidRPr="009118AB">
        <w:t> - </w:t>
      </w:r>
      <w:r w:rsidRPr="009118AB">
        <w:t>Die Strafverfolgung wird von der Staatsanwaltschaft ausgeübt.</w:t>
      </w:r>
    </w:p>
    <w:p w14:paraId="442C079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82D21D2" w14:textId="50F6EA3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 xml:space="preserve">Die Staatsanwaltschaft kann jedoch keine Strafverfolgung einleiten, wenn sie infolge einer Klage oder Anzeige eines Beamten, der nicht im Besitz der in Artikel 29 </w:t>
      </w:r>
      <w:r w:rsidR="00B50F13" w:rsidRPr="009118AB">
        <w:t>[</w:t>
      </w:r>
      <w:r w:rsidR="00D67EB8" w:rsidRPr="009118AB">
        <w:t>§ </w:t>
      </w:r>
      <w:r w:rsidRPr="009118AB">
        <w:t>2</w:t>
      </w:r>
      <w:r w:rsidR="00B50F13" w:rsidRPr="009118AB">
        <w:t>]</w:t>
      </w:r>
      <w:r w:rsidRPr="009118AB">
        <w:t xml:space="preserve"> des Strafprozessgesetzbuches erwähnten Ermächtigung ist, Kenntnis der betreffenden Taten erhalten hat.</w:t>
      </w:r>
    </w:p>
    <w:p w14:paraId="267764EF" w14:textId="77777777" w:rsidR="00145EF2" w:rsidRPr="009118AB"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D67F107" w14:textId="36585189" w:rsidR="00145EF2" w:rsidRPr="009118AB"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B50F13" w:rsidRPr="009118AB">
        <w:rPr>
          <w:rFonts w:eastAsia="Calibri"/>
        </w:rPr>
        <w:t xml:space="preserve">Die Staatsanwaltschaft entscheidet, ob sie in Bezug auf Handlungen, von denen sie während der in Artikel 29 </w:t>
      </w:r>
      <w:r w:rsidR="00D67EB8" w:rsidRPr="009118AB">
        <w:rPr>
          <w:rFonts w:eastAsia="Calibri"/>
        </w:rPr>
        <w:t>§ </w:t>
      </w:r>
      <w:r w:rsidR="00B50F13" w:rsidRPr="009118AB">
        <w:rPr>
          <w:rFonts w:eastAsia="Calibri"/>
        </w:rPr>
        <w:t xml:space="preserve">3 Absatz 2 des Strafprozessgesetzbuches erwähnten Konzertierung Kenntnis genommen hat, Strafverfolgung einleitet oder nicht, und zwar binnen drei Monaten ab der in Artikel 29 </w:t>
      </w:r>
      <w:r w:rsidR="00D67EB8" w:rsidRPr="009118AB">
        <w:rPr>
          <w:rFonts w:eastAsia="Calibri"/>
        </w:rPr>
        <w:t>§ </w:t>
      </w:r>
      <w:r w:rsidR="00B50F13" w:rsidRPr="009118AB">
        <w:rPr>
          <w:rFonts w:eastAsia="Calibri"/>
        </w:rPr>
        <w:t>3 Absatz 1 desselben Gesetzbuches erwähnten ursprünglichen Anzeige.</w:t>
      </w:r>
      <w:r w:rsidRPr="009118AB">
        <w:t>]</w:t>
      </w:r>
    </w:p>
    <w:p w14:paraId="279668F8" w14:textId="77777777" w:rsidR="00145EF2" w:rsidRPr="009118AB"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045BA40" w14:textId="2F3C5268" w:rsidR="00145EF2" w:rsidRPr="009118AB"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118AB">
        <w:rPr>
          <w:i/>
        </w:rPr>
        <w:t>[</w:t>
      </w:r>
      <w:r w:rsidR="00D67EB8" w:rsidRPr="009118AB">
        <w:rPr>
          <w:i/>
        </w:rPr>
        <w:t>Art. </w:t>
      </w:r>
      <w:r w:rsidRPr="009118AB">
        <w:rPr>
          <w:i/>
        </w:rPr>
        <w:t>460</w:t>
      </w:r>
      <w:r w:rsidR="00D67EB8" w:rsidRPr="009118AB">
        <w:rPr>
          <w:i/>
        </w:rPr>
        <w:t>§ </w:t>
      </w:r>
      <w:r w:rsidR="00B50F13" w:rsidRPr="009118AB">
        <w:rPr>
          <w:i/>
        </w:rPr>
        <w:t xml:space="preserve">2 </w:t>
      </w:r>
      <w:r w:rsidR="00D67EB8" w:rsidRPr="009118AB">
        <w:rPr>
          <w:i/>
        </w:rPr>
        <w:t>Abs. </w:t>
      </w:r>
      <w:r w:rsidR="00B50F13" w:rsidRPr="009118AB">
        <w:rPr>
          <w:i/>
        </w:rPr>
        <w:t xml:space="preserve">1 abgeändert durch </w:t>
      </w:r>
      <w:r w:rsidR="00D67EB8" w:rsidRPr="009118AB">
        <w:rPr>
          <w:i/>
        </w:rPr>
        <w:t>Art. </w:t>
      </w:r>
      <w:r w:rsidR="00B50F13" w:rsidRPr="009118AB">
        <w:rPr>
          <w:i/>
        </w:rPr>
        <w:t xml:space="preserve">119 </w:t>
      </w:r>
      <w:r w:rsidR="00D67EB8" w:rsidRPr="009118AB">
        <w:rPr>
          <w:i/>
        </w:rPr>
        <w:t>Nr. </w:t>
      </w:r>
      <w:r w:rsidR="00B50F13" w:rsidRPr="009118AB">
        <w:rPr>
          <w:i/>
        </w:rPr>
        <w:t>1</w:t>
      </w:r>
      <w:r w:rsidR="00B50F13" w:rsidRPr="009118AB">
        <w:rPr>
          <w:i/>
          <w:iCs/>
        </w:rPr>
        <w:t xml:space="preserve"> des G. vom 5. Mai 2019 (B.S. vom 24. Mai 2019);</w:t>
      </w:r>
      <w:r w:rsidRPr="009118AB">
        <w:rPr>
          <w:i/>
        </w:rPr>
        <w:t xml:space="preserve"> </w:t>
      </w:r>
      <w:r w:rsidR="00D67EB8" w:rsidRPr="009118AB">
        <w:rPr>
          <w:i/>
        </w:rPr>
        <w:t>§ </w:t>
      </w:r>
      <w:r w:rsidRPr="009118AB">
        <w:rPr>
          <w:i/>
        </w:rPr>
        <w:t xml:space="preserve">2 </w:t>
      </w:r>
      <w:r w:rsidR="00D67EB8" w:rsidRPr="009118AB">
        <w:rPr>
          <w:i/>
        </w:rPr>
        <w:t>Abs. </w:t>
      </w:r>
      <w:r w:rsidRPr="009118AB">
        <w:rPr>
          <w:i/>
        </w:rPr>
        <w:t xml:space="preserve">2 eingefügt durch </w:t>
      </w:r>
      <w:r w:rsidR="00D67EB8" w:rsidRPr="009118AB">
        <w:rPr>
          <w:i/>
        </w:rPr>
        <w:t>Art. </w:t>
      </w:r>
      <w:r w:rsidRPr="009118AB">
        <w:rPr>
          <w:i/>
        </w:rPr>
        <w:t>6</w:t>
      </w:r>
      <w:r w:rsidRPr="009118AB">
        <w:rPr>
          <w:i/>
          <w:iCs/>
        </w:rPr>
        <w:t xml:space="preserve"> des G. vom 20. September 2012 (B.S. vom 22. Oktober 2012)</w:t>
      </w:r>
      <w:r w:rsidR="00B50F13" w:rsidRPr="009118AB">
        <w:rPr>
          <w:i/>
          <w:iCs/>
        </w:rPr>
        <w:t xml:space="preserve"> und ersetzt durch </w:t>
      </w:r>
      <w:r w:rsidR="00D67EB8" w:rsidRPr="009118AB">
        <w:rPr>
          <w:i/>
          <w:iCs/>
        </w:rPr>
        <w:t>Art. </w:t>
      </w:r>
      <w:r w:rsidR="00B50F13" w:rsidRPr="009118AB">
        <w:rPr>
          <w:i/>
          <w:iCs/>
        </w:rPr>
        <w:t xml:space="preserve">119 </w:t>
      </w:r>
      <w:r w:rsidR="00D67EB8" w:rsidRPr="009118AB">
        <w:rPr>
          <w:i/>
          <w:iCs/>
        </w:rPr>
        <w:t>Nr. </w:t>
      </w:r>
      <w:r w:rsidR="00B50F13" w:rsidRPr="009118AB">
        <w:rPr>
          <w:i/>
          <w:iCs/>
        </w:rPr>
        <w:t>2 des G. vom 5. Mai 2019 (B.S. vom 24. Mai 2019)</w:t>
      </w:r>
      <w:r w:rsidRPr="009118AB">
        <w:rPr>
          <w:i/>
          <w:iCs/>
        </w:rPr>
        <w:t>]</w:t>
      </w:r>
    </w:p>
    <w:p w14:paraId="1E070005" w14:textId="77777777" w:rsidR="00145EF2" w:rsidRPr="009118AB"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D988055" w14:textId="77777777" w:rsidR="00145EF2" w:rsidRPr="009118AB"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E7FFF6B" w14:textId="06BCB50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2"/>
        </w:rPr>
      </w:pPr>
      <w:r w:rsidRPr="009118AB">
        <w:rPr>
          <w:spacing w:val="2"/>
        </w:rPr>
        <w:tab/>
      </w:r>
      <w:r w:rsidR="00D67EB8" w:rsidRPr="009118AB">
        <w:rPr>
          <w:b/>
          <w:bCs/>
          <w:spacing w:val="2"/>
        </w:rPr>
        <w:t>Art. </w:t>
      </w:r>
      <w:r w:rsidRPr="009118AB">
        <w:rPr>
          <w:b/>
          <w:bCs/>
          <w:spacing w:val="2"/>
        </w:rPr>
        <w:t>461</w:t>
      </w:r>
      <w:r w:rsidR="00D67EB8" w:rsidRPr="009118AB">
        <w:rPr>
          <w:spacing w:val="2"/>
        </w:rPr>
        <w:t> - </w:t>
      </w:r>
      <w:r w:rsidRPr="009118AB">
        <w:rPr>
          <w:spacing w:val="2"/>
        </w:rPr>
        <w:t>[</w:t>
      </w:r>
      <w:r w:rsidR="00145EF2" w:rsidRPr="009118AB">
        <w:rPr>
          <w:spacing w:val="2"/>
        </w:rPr>
        <w:t xml:space="preserve">[Unbeschadet der in </w:t>
      </w:r>
      <w:r w:rsidR="00397077" w:rsidRPr="009118AB">
        <w:rPr>
          <w:spacing w:val="2"/>
        </w:rPr>
        <w:t>[</w:t>
      </w:r>
      <w:r w:rsidR="00145EF2" w:rsidRPr="009118AB">
        <w:rPr>
          <w:spacing w:val="2"/>
        </w:rPr>
        <w:t xml:space="preserve">Artikel 29 </w:t>
      </w:r>
      <w:r w:rsidR="00D67EB8" w:rsidRPr="009118AB">
        <w:rPr>
          <w:spacing w:val="2"/>
        </w:rPr>
        <w:t>§ </w:t>
      </w:r>
      <w:r w:rsidR="00397077" w:rsidRPr="009118AB">
        <w:rPr>
          <w:spacing w:val="2"/>
        </w:rPr>
        <w:t xml:space="preserve">3 </w:t>
      </w:r>
      <w:r w:rsidR="00145EF2" w:rsidRPr="009118AB">
        <w:rPr>
          <w:spacing w:val="2"/>
        </w:rPr>
        <w:t>Absatz </w:t>
      </w:r>
      <w:r w:rsidR="00397077" w:rsidRPr="009118AB">
        <w:rPr>
          <w:spacing w:val="2"/>
        </w:rPr>
        <w:t>2]</w:t>
      </w:r>
      <w:r w:rsidR="00145EF2" w:rsidRPr="009118AB">
        <w:rPr>
          <w:spacing w:val="2"/>
        </w:rPr>
        <w:t xml:space="preserve"> des Strafprozessgesetz</w:t>
      </w:r>
      <w:r w:rsidR="00397077" w:rsidRPr="009118AB">
        <w:rPr>
          <w:spacing w:val="2"/>
        </w:rPr>
        <w:softHyphen/>
      </w:r>
      <w:r w:rsidR="00145EF2" w:rsidRPr="009118AB">
        <w:rPr>
          <w:spacing w:val="2"/>
        </w:rPr>
        <w:t xml:space="preserve">buches erwähnten Konzertierung kann der Prokurator des Königs, wenn er aufgrund von Handlungen, die aufgrund des vorliegenden Gesetzbuches oder seiner Ausführungserlasse nach dem Strafrecht strafbar sind, eine Strafverfolgung einleitet, die Stellungnahme des zuständigen </w:t>
      </w:r>
      <w:r w:rsidR="00BF0D2E" w:rsidRPr="009118AB">
        <w:rPr>
          <w:spacing w:val="2"/>
        </w:rPr>
        <w:t xml:space="preserve">[Generalberaters] </w:t>
      </w:r>
      <w:r w:rsidR="00145EF2" w:rsidRPr="009118AB">
        <w:rPr>
          <w:spacing w:val="2"/>
        </w:rPr>
        <w:t xml:space="preserve">einholen. Der Prokurator des Königs fügt seinem Begutachtungsantrag die Tatsachenelemente, über die er verfügt, bei. Der </w:t>
      </w:r>
      <w:r w:rsidR="00BF0D2E" w:rsidRPr="009118AB">
        <w:rPr>
          <w:spacing w:val="2"/>
        </w:rPr>
        <w:t xml:space="preserve">[Generalberater] </w:t>
      </w:r>
      <w:r w:rsidR="00145EF2" w:rsidRPr="009118AB">
        <w:rPr>
          <w:spacing w:val="2"/>
        </w:rPr>
        <w:t>beantwortet diesen Antrag binnen vier Monaten ab dem Datum seines Empfangs.]</w:t>
      </w:r>
    </w:p>
    <w:p w14:paraId="7F766AB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E99758" w14:textId="4DF1D4E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Begutachtungsantrag setzt keinesfalls die Strafverfolgung aus.]</w:t>
      </w:r>
    </w:p>
    <w:p w14:paraId="285FFE4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AAFEFB" w14:textId="1ACEB1B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461 ersetzt durch </w:t>
      </w:r>
      <w:r w:rsidR="00D67EB8" w:rsidRPr="009118AB">
        <w:rPr>
          <w:i/>
          <w:iCs/>
        </w:rPr>
        <w:t>Art. </w:t>
      </w:r>
      <w:r w:rsidRPr="009118AB">
        <w:rPr>
          <w:i/>
          <w:iCs/>
        </w:rPr>
        <w:t>24 des G. vom 28. Dezember 1992</w:t>
      </w:r>
      <w:r w:rsidR="00B64F05" w:rsidRPr="009118AB">
        <w:rPr>
          <w:i/>
          <w:iCs/>
        </w:rPr>
        <w:t xml:space="preserve"> (B.S. vom 31. Dezember 1992)</w:t>
      </w:r>
      <w:r w:rsidR="00D67EB8" w:rsidRPr="009118AB">
        <w:rPr>
          <w:i/>
          <w:iCs/>
        </w:rPr>
        <w:t> - </w:t>
      </w:r>
      <w:r w:rsidRPr="009118AB">
        <w:rPr>
          <w:i/>
          <w:iCs/>
        </w:rPr>
        <w:t>in Kraft ab dem 1. März 1993</w:t>
      </w:r>
      <w:r w:rsidR="003366D9" w:rsidRPr="009118AB">
        <w:rPr>
          <w:i/>
          <w:iCs/>
        </w:rPr>
        <w:t> -;</w:t>
      </w:r>
      <w:r w:rsidR="00145EF2" w:rsidRPr="009118AB">
        <w:rPr>
          <w:i/>
          <w:iCs/>
        </w:rPr>
        <w:t xml:space="preserve"> </w:t>
      </w:r>
      <w:r w:rsidR="00D67EB8" w:rsidRPr="009118AB">
        <w:rPr>
          <w:i/>
          <w:iCs/>
        </w:rPr>
        <w:t>Abs. </w:t>
      </w:r>
      <w:r w:rsidR="00145EF2" w:rsidRPr="009118AB">
        <w:rPr>
          <w:i/>
          <w:iCs/>
        </w:rPr>
        <w:t xml:space="preserve">1 ersetzt durch </w:t>
      </w:r>
      <w:r w:rsidR="00D67EB8" w:rsidRPr="009118AB">
        <w:rPr>
          <w:i/>
          <w:iCs/>
        </w:rPr>
        <w:t>Art. </w:t>
      </w:r>
      <w:r w:rsidR="00145EF2" w:rsidRPr="009118AB">
        <w:rPr>
          <w:i/>
          <w:iCs/>
        </w:rPr>
        <w:t>7 des G. vom 20. September 2012 (B.S. vom 22. Oktober 2012)</w:t>
      </w:r>
      <w:r w:rsidR="00BF0D2E" w:rsidRPr="009118AB">
        <w:rPr>
          <w:i/>
          <w:iCs/>
        </w:rPr>
        <w:t xml:space="preserve"> und abgeändert durch </w:t>
      </w:r>
      <w:r w:rsidR="00D67EB8" w:rsidRPr="009118AB">
        <w:rPr>
          <w:i/>
          <w:iCs/>
        </w:rPr>
        <w:t>Art. </w:t>
      </w:r>
      <w:r w:rsidR="00BF0D2E" w:rsidRPr="009118AB">
        <w:rPr>
          <w:i/>
          <w:iCs/>
        </w:rPr>
        <w:t>33 des G. vom 27. April 2016 (B.S. vom 6. Mai 2016)</w:t>
      </w:r>
      <w:r w:rsidR="00397077" w:rsidRPr="009118AB">
        <w:rPr>
          <w:i/>
          <w:iCs/>
        </w:rPr>
        <w:t xml:space="preserve"> und </w:t>
      </w:r>
      <w:r w:rsidR="00D67EB8" w:rsidRPr="009118AB">
        <w:rPr>
          <w:i/>
          <w:iCs/>
        </w:rPr>
        <w:t>Art. </w:t>
      </w:r>
      <w:r w:rsidR="00397077" w:rsidRPr="009118AB">
        <w:rPr>
          <w:i/>
          <w:iCs/>
        </w:rPr>
        <w:t>2 des G. vom 11. Juni 2020 (B.S. vom 19. Juni 2020)</w:t>
      </w:r>
      <w:r w:rsidR="00D67EB8" w:rsidRPr="009118AB">
        <w:rPr>
          <w:i/>
          <w:iCs/>
        </w:rPr>
        <w:t> - </w:t>
      </w:r>
      <w:r w:rsidR="00397077" w:rsidRPr="009118AB">
        <w:rPr>
          <w:i/>
          <w:iCs/>
        </w:rPr>
        <w:t>wirksam mit 1. Januar 2020</w:t>
      </w:r>
      <w:r w:rsidR="00FD68E8" w:rsidRPr="009118AB">
        <w:rPr>
          <w:i/>
          <w:iCs/>
        </w:rPr>
        <w:t> -]</w:t>
      </w:r>
    </w:p>
    <w:p w14:paraId="0C04891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0C5A7A" w14:textId="77777777" w:rsidR="00EC54D5" w:rsidRPr="009118AB" w:rsidRDefault="00EC54D5"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F7BE5A" w14:textId="51E7950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462</w:t>
      </w:r>
      <w:r w:rsidR="00D67EB8" w:rsidRPr="009118AB">
        <w:t> - </w:t>
      </w:r>
      <w:r w:rsidRPr="009118AB">
        <w:t>[</w:t>
      </w:r>
      <w:r w:rsidR="00FD0C94" w:rsidRPr="009118AB">
        <w:t xml:space="preserve">Im Rahmen der in </w:t>
      </w:r>
      <w:r w:rsidR="00397077" w:rsidRPr="009118AB">
        <w:t>[</w:t>
      </w:r>
      <w:r w:rsidR="00FD0C94" w:rsidRPr="009118AB">
        <w:t xml:space="preserve">Artikel 29 </w:t>
      </w:r>
      <w:r w:rsidR="00D67EB8" w:rsidRPr="009118AB">
        <w:t>§ </w:t>
      </w:r>
      <w:r w:rsidR="00397077" w:rsidRPr="009118AB">
        <w:t>2</w:t>
      </w:r>
      <w:r w:rsidR="00FD0C94" w:rsidRPr="009118AB">
        <w:t xml:space="preserve"> beziehungsweise </w:t>
      </w:r>
      <w:r w:rsidR="00D67EB8" w:rsidRPr="009118AB">
        <w:t>§ </w:t>
      </w:r>
      <w:r w:rsidR="00FD0C94" w:rsidRPr="009118AB">
        <w:t>3</w:t>
      </w:r>
      <w:r w:rsidR="00397077" w:rsidRPr="009118AB">
        <w:t xml:space="preserve"> Absatz 1 und 2]</w:t>
      </w:r>
      <w:r w:rsidR="00FD0C94" w:rsidRPr="009118AB">
        <w:t xml:space="preserve"> des Strafprozessgesetzbuches erwähnten Inkenntnissetzung und Konzertierung teilt der zuständige </w:t>
      </w:r>
      <w:r w:rsidR="00BF0D2E" w:rsidRPr="009118AB">
        <w:t xml:space="preserve">[Generalberater] </w:t>
      </w:r>
      <w:r w:rsidR="00FD0C94" w:rsidRPr="009118AB">
        <w:t>oder der von ihm bestimmte Beamte der Staatsanwaltschaft die Elemente der Steuerakte mit, die Handlungen betreffen, die aufgrund des vorliegenden Gesetzbuches oder seiner Ausführungserlasse nach dem Strafrecht strafbar sind.</w:t>
      </w:r>
      <w:r w:rsidRPr="009118AB">
        <w:t>]</w:t>
      </w:r>
    </w:p>
    <w:p w14:paraId="6C4E803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A9907E3" w14:textId="4FF68B9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462 aufgehoben durch </w:t>
      </w:r>
      <w:r w:rsidR="00D67EB8" w:rsidRPr="009118AB">
        <w:rPr>
          <w:i/>
          <w:iCs/>
        </w:rPr>
        <w:t>Art. </w:t>
      </w:r>
      <w:r w:rsidRPr="009118AB">
        <w:rPr>
          <w:i/>
          <w:iCs/>
        </w:rPr>
        <w:t>47 des G. vom 15. März 1999 (B.S. vom 27. März 1999)</w:t>
      </w:r>
      <w:r w:rsidR="00BF0D2E" w:rsidRPr="009118AB">
        <w:rPr>
          <w:i/>
          <w:iCs/>
        </w:rPr>
        <w:t>,</w:t>
      </w:r>
      <w:r w:rsidR="00FD0C94" w:rsidRPr="009118AB">
        <w:rPr>
          <w:i/>
          <w:iCs/>
        </w:rPr>
        <w:t xml:space="preserve"> wieder aufgenommen durch </w:t>
      </w:r>
      <w:r w:rsidR="00D67EB8" w:rsidRPr="009118AB">
        <w:rPr>
          <w:i/>
          <w:iCs/>
        </w:rPr>
        <w:t>Art. </w:t>
      </w:r>
      <w:r w:rsidR="00FD0C94" w:rsidRPr="009118AB">
        <w:rPr>
          <w:i/>
          <w:iCs/>
        </w:rPr>
        <w:t>8 des G. vom 20. September 2012 (B.S. vom 22. Oktober 2012)</w:t>
      </w:r>
      <w:r w:rsidR="00BF0D2E" w:rsidRPr="009118AB">
        <w:rPr>
          <w:i/>
          <w:iCs/>
        </w:rPr>
        <w:t xml:space="preserve"> und abgeändert durch </w:t>
      </w:r>
      <w:r w:rsidR="00D67EB8" w:rsidRPr="009118AB">
        <w:rPr>
          <w:i/>
          <w:iCs/>
        </w:rPr>
        <w:t>Art. </w:t>
      </w:r>
      <w:r w:rsidR="00BF0D2E" w:rsidRPr="009118AB">
        <w:rPr>
          <w:i/>
          <w:iCs/>
        </w:rPr>
        <w:t>34 des G. vom 27. April 2016 (B.S. vom 6. Mai 2016)</w:t>
      </w:r>
      <w:r w:rsidR="00397077" w:rsidRPr="009118AB">
        <w:rPr>
          <w:i/>
          <w:iCs/>
        </w:rPr>
        <w:t xml:space="preserve"> und </w:t>
      </w:r>
      <w:r w:rsidR="00D67EB8" w:rsidRPr="009118AB">
        <w:rPr>
          <w:i/>
          <w:iCs/>
        </w:rPr>
        <w:t>Art. </w:t>
      </w:r>
      <w:r w:rsidR="00397077" w:rsidRPr="009118AB">
        <w:rPr>
          <w:i/>
          <w:iCs/>
        </w:rPr>
        <w:t>3 des G. vom 11. Juni 2020 (B.S. vom 19. Juni 2020)</w:t>
      </w:r>
      <w:r w:rsidR="00D67EB8" w:rsidRPr="009118AB">
        <w:rPr>
          <w:i/>
          <w:iCs/>
        </w:rPr>
        <w:t> - </w:t>
      </w:r>
      <w:r w:rsidR="00397077" w:rsidRPr="009118AB">
        <w:rPr>
          <w:i/>
          <w:iCs/>
        </w:rPr>
        <w:t>wirksam mit 1. Januar 2020</w:t>
      </w:r>
      <w:r w:rsidR="00FD68E8" w:rsidRPr="009118AB">
        <w:rPr>
          <w:i/>
          <w:iCs/>
        </w:rPr>
        <w:t> -]</w:t>
      </w:r>
    </w:p>
    <w:p w14:paraId="7BD03D8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D5F28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0C6411E" w14:textId="372AF66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463</w:t>
      </w:r>
      <w:r w:rsidR="00D67EB8" w:rsidRPr="009118AB">
        <w:rPr>
          <w:b/>
          <w:bCs/>
        </w:rPr>
        <w:t> - </w:t>
      </w:r>
      <w:r w:rsidRPr="009118AB">
        <w:t xml:space="preserve">Beamte der </w:t>
      </w:r>
      <w:r w:rsidR="004D3AD2" w:rsidRPr="009118AB">
        <w:t xml:space="preserve">[Generalverwaltung Steuerwesen und der Generalverwaltung Einnahme und Beitreibung] </w:t>
      </w:r>
      <w:r w:rsidRPr="009118AB">
        <w:t xml:space="preserve">und der </w:t>
      </w:r>
      <w:r w:rsidR="004D3AD2" w:rsidRPr="009118AB">
        <w:t xml:space="preserve">[Generalverwaltung Sonderinspektion der Steuern] </w:t>
      </w:r>
      <w:r w:rsidRPr="009118AB">
        <w:t>dürfen zur Vermeidung der Nichtigkeit der Verfahrenshandlung nur als Zeugen angehört werden.</w:t>
      </w:r>
    </w:p>
    <w:p w14:paraId="00BD038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E3D0D9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[Absatz 1 ist nicht anwendbar auf Beamte dieser Verwaltungen, die aufgrund von Artikel 71 des Gesetzes vom 28. Dezember 1992 zur Staatsanwaltschaft abgeordnet sind.]</w:t>
      </w:r>
    </w:p>
    <w:p w14:paraId="3740030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DC0CB0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[Absatz 1 ist ebenfalls nicht anwendbar auf Beamte dieser Verwaltungen, die aufgrund von Artikel 31 des Gesetzes vom 30. März 1994 zur Ausführung des Globalplans im Bereich des Steuerwesens [der föderalen Polizei] zur Verfügung gestellt werden.]</w:t>
      </w:r>
    </w:p>
    <w:p w14:paraId="5839C12E" w14:textId="77777777" w:rsidR="00FD0C94" w:rsidRPr="009118AB" w:rsidRDefault="00FD0C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B4E24B" w14:textId="6709F64A" w:rsidR="00FD0C94" w:rsidRPr="009118AB" w:rsidRDefault="00FD0C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[Absatz 1 ist nicht anwendbar auf Beamte, die an der in </w:t>
      </w:r>
      <w:r w:rsidR="00397077" w:rsidRPr="009118AB">
        <w:t>[</w:t>
      </w:r>
      <w:r w:rsidRPr="009118AB">
        <w:t xml:space="preserve">Artikel 29 </w:t>
      </w:r>
      <w:r w:rsidR="00D67EB8" w:rsidRPr="009118AB">
        <w:t>§ </w:t>
      </w:r>
      <w:r w:rsidR="00397077" w:rsidRPr="009118AB">
        <w:t xml:space="preserve">3 </w:t>
      </w:r>
      <w:r w:rsidRPr="009118AB">
        <w:t>Absatz </w:t>
      </w:r>
      <w:r w:rsidR="00397077" w:rsidRPr="009118AB">
        <w:t>2]</w:t>
      </w:r>
      <w:r w:rsidRPr="009118AB">
        <w:t xml:space="preserve"> des Strafprozessgesetzbuches erwähnten Konzertierung teilnehmen.]</w:t>
      </w:r>
    </w:p>
    <w:p w14:paraId="09DBC462" w14:textId="77777777" w:rsidR="0006720F" w:rsidRPr="009118AB" w:rsidRDefault="0006720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FC756FD" w14:textId="32CC97C2" w:rsidR="0006720F" w:rsidRPr="009118AB" w:rsidRDefault="0006720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Pr="009118AB">
        <w:rPr>
          <w:rFonts w:eastAsia="Calibri"/>
          <w:kern w:val="2"/>
          <w:szCs w:val="22"/>
          <w:lang w:eastAsia="en-US"/>
          <w14:ligatures w14:val="standardContextual"/>
        </w:rPr>
        <w:t>Absatz 1 ist nicht anwendbar auf die in Artikel 338</w:t>
      </w:r>
      <w:r w:rsidRPr="009118AB">
        <w:rPr>
          <w:rFonts w:eastAsia="Calibri"/>
          <w:i/>
          <w:iCs/>
          <w:kern w:val="2"/>
          <w:szCs w:val="22"/>
          <w:lang w:eastAsia="en-US"/>
          <w14:ligatures w14:val="standardContextual"/>
        </w:rPr>
        <w:t>quater</w:t>
      </w:r>
      <w:r w:rsidRPr="009118AB">
        <w:rPr>
          <w:rFonts w:eastAsia="Calibri"/>
          <w:kern w:val="2"/>
          <w:szCs w:val="22"/>
          <w:lang w:eastAsia="en-US"/>
          <w14:ligatures w14:val="standardContextual"/>
        </w:rPr>
        <w:t xml:space="preserve"> </w:t>
      </w:r>
      <w:r w:rsidR="00D67EB8" w:rsidRPr="009118AB">
        <w:rPr>
          <w:rFonts w:eastAsia="Calibri"/>
          <w:kern w:val="2"/>
          <w:szCs w:val="22"/>
          <w:lang w:eastAsia="en-US"/>
          <w14:ligatures w14:val="standardContextual"/>
        </w:rPr>
        <w:t>§ </w:t>
      </w:r>
      <w:r w:rsidRPr="009118AB">
        <w:rPr>
          <w:rFonts w:eastAsia="Calibri"/>
          <w:kern w:val="2"/>
          <w:szCs w:val="22"/>
          <w:lang w:eastAsia="en-US"/>
          <w14:ligatures w14:val="standardContextual"/>
        </w:rPr>
        <w:t>1 erwähnten Beamten, die die in Artikel 338</w:t>
      </w:r>
      <w:r w:rsidRPr="009118AB">
        <w:rPr>
          <w:rFonts w:eastAsia="Calibri"/>
          <w:i/>
          <w:iCs/>
          <w:kern w:val="2"/>
          <w:szCs w:val="22"/>
          <w:lang w:eastAsia="en-US"/>
          <w14:ligatures w14:val="standardContextual"/>
        </w:rPr>
        <w:t>quater</w:t>
      </w:r>
      <w:r w:rsidRPr="009118AB">
        <w:rPr>
          <w:rFonts w:eastAsia="Calibri"/>
          <w:kern w:val="2"/>
          <w:szCs w:val="22"/>
          <w:lang w:eastAsia="en-US"/>
          <w14:ligatures w14:val="standardContextual"/>
        </w:rPr>
        <w:t xml:space="preserve"> </w:t>
      </w:r>
      <w:r w:rsidR="00D67EB8" w:rsidRPr="009118AB">
        <w:rPr>
          <w:rFonts w:eastAsia="Calibri"/>
          <w:kern w:val="2"/>
          <w:szCs w:val="22"/>
          <w:lang w:eastAsia="en-US"/>
          <w14:ligatures w14:val="standardContextual"/>
        </w:rPr>
        <w:t>§ </w:t>
      </w:r>
      <w:r w:rsidRPr="009118AB">
        <w:rPr>
          <w:rFonts w:eastAsia="Calibri"/>
          <w:kern w:val="2"/>
          <w:szCs w:val="22"/>
          <w:lang w:eastAsia="en-US"/>
          <w14:ligatures w14:val="standardContextual"/>
        </w:rPr>
        <w:t>2 erwähnten gemischten multidisziplinären Ermittlungsteams unterstützen.</w:t>
      </w:r>
      <w:r w:rsidRPr="009118AB">
        <w:t>]</w:t>
      </w:r>
    </w:p>
    <w:p w14:paraId="485A364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E041BE" w14:textId="36D2DE7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463 </w:t>
      </w:r>
      <w:r w:rsidR="00D67EB8" w:rsidRPr="009118AB">
        <w:rPr>
          <w:i/>
          <w:iCs/>
        </w:rPr>
        <w:t>Abs. </w:t>
      </w:r>
      <w:r w:rsidR="004D3AD2" w:rsidRPr="009118AB">
        <w:rPr>
          <w:i/>
          <w:iCs/>
        </w:rPr>
        <w:t xml:space="preserve">1 abgeändert durch </w:t>
      </w:r>
      <w:r w:rsidR="00D67EB8" w:rsidRPr="009118AB">
        <w:rPr>
          <w:i/>
          <w:iCs/>
        </w:rPr>
        <w:t>Art. </w:t>
      </w:r>
      <w:r w:rsidR="004D3AD2" w:rsidRPr="009118AB">
        <w:rPr>
          <w:i/>
          <w:iCs/>
        </w:rPr>
        <w:t>20 des G. vom 25. April 2014 (I) (B.S. vom 16. Mai 2014)</w:t>
      </w:r>
      <w:r w:rsidR="00D67EB8" w:rsidRPr="009118AB">
        <w:rPr>
          <w:i/>
          <w:iCs/>
        </w:rPr>
        <w:t> - </w:t>
      </w:r>
      <w:r w:rsidR="004D3AD2" w:rsidRPr="009118AB">
        <w:rPr>
          <w:i/>
          <w:iCs/>
        </w:rPr>
        <w:t>in Kraft am 16. Mai 2014</w:t>
      </w:r>
      <w:r w:rsidR="003366D9" w:rsidRPr="009118AB">
        <w:rPr>
          <w:i/>
          <w:iCs/>
        </w:rPr>
        <w:t> -;</w:t>
      </w:r>
      <w:r w:rsidR="004D3AD2" w:rsidRPr="009118AB">
        <w:rPr>
          <w:i/>
          <w:iCs/>
        </w:rPr>
        <w:t xml:space="preserve"> </w:t>
      </w:r>
      <w:r w:rsidR="00D67EB8" w:rsidRPr="009118AB">
        <w:rPr>
          <w:i/>
          <w:iCs/>
        </w:rPr>
        <w:t>Abs. </w:t>
      </w:r>
      <w:r w:rsidRPr="009118AB">
        <w:rPr>
          <w:i/>
          <w:iCs/>
        </w:rPr>
        <w:t xml:space="preserve">2 eingefügt durch </w:t>
      </w:r>
      <w:r w:rsidR="00D67EB8" w:rsidRPr="009118AB">
        <w:rPr>
          <w:i/>
          <w:iCs/>
        </w:rPr>
        <w:t>Art. </w:t>
      </w:r>
      <w:r w:rsidRPr="009118AB">
        <w:rPr>
          <w:i/>
          <w:iCs/>
        </w:rPr>
        <w:t xml:space="preserve">25 des G. vom 28. Dezember 1992 (B.S. vom 31. Dezember 1992); </w:t>
      </w:r>
      <w:r w:rsidR="00D67EB8" w:rsidRPr="009118AB">
        <w:rPr>
          <w:i/>
          <w:iCs/>
        </w:rPr>
        <w:t>Abs. </w:t>
      </w:r>
      <w:r w:rsidRPr="009118AB">
        <w:rPr>
          <w:i/>
          <w:iCs/>
        </w:rPr>
        <w:t xml:space="preserve">3 eingefügt durch </w:t>
      </w:r>
      <w:r w:rsidR="00D67EB8" w:rsidRPr="009118AB">
        <w:rPr>
          <w:i/>
          <w:iCs/>
        </w:rPr>
        <w:t>Art. </w:t>
      </w:r>
      <w:r w:rsidRPr="009118AB">
        <w:rPr>
          <w:i/>
          <w:iCs/>
        </w:rPr>
        <w:t xml:space="preserve">24 des G. vom 30. März 1994 (B.S. vom 31. März 1994) und abgeändert durch </w:t>
      </w:r>
      <w:r w:rsidR="00D67EB8" w:rsidRPr="009118AB">
        <w:rPr>
          <w:i/>
          <w:iCs/>
        </w:rPr>
        <w:t>Art. </w:t>
      </w:r>
      <w:r w:rsidRPr="009118AB">
        <w:rPr>
          <w:i/>
          <w:iCs/>
        </w:rPr>
        <w:t xml:space="preserve">3 des G. vom </w:t>
      </w:r>
      <w:r w:rsidRPr="009118AB">
        <w:rPr>
          <w:rFonts w:ascii="Times New Roman Italique" w:hAnsi="Times New Roman Italique"/>
          <w:i/>
          <w:iCs/>
          <w:spacing w:val="-2"/>
        </w:rPr>
        <w:t>13. März 2002 (B.S. vom 29. März 2002)</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2001</w:t>
      </w:r>
      <w:r w:rsidR="003366D9" w:rsidRPr="009118AB">
        <w:rPr>
          <w:rFonts w:ascii="Times New Roman Italique" w:hAnsi="Times New Roman Italique"/>
          <w:i/>
          <w:iCs/>
          <w:spacing w:val="-2"/>
        </w:rPr>
        <w:t> -;</w:t>
      </w:r>
      <w:r w:rsidR="00FD0C94"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FD0C94"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00FD0C94" w:rsidRPr="009118AB">
        <w:rPr>
          <w:rFonts w:ascii="Times New Roman Italique" w:hAnsi="Times New Roman Italique"/>
          <w:i/>
          <w:iCs/>
          <w:spacing w:val="-2"/>
        </w:rPr>
        <w:t>9 des G. vom 20. September</w:t>
      </w:r>
      <w:r w:rsidR="00397077" w:rsidRPr="009118AB">
        <w:rPr>
          <w:rFonts w:ascii="Times New Roman Italique" w:hAnsi="Times New Roman Italique"/>
          <w:i/>
          <w:iCs/>
          <w:spacing w:val="-2"/>
        </w:rPr>
        <w:t> 2012 (B.S. vom 22. Oktober 2012</w:t>
      </w:r>
      <w:r w:rsidR="00FD0C94" w:rsidRPr="009118AB">
        <w:rPr>
          <w:rFonts w:ascii="Times New Roman Italique" w:hAnsi="Times New Roman Italique"/>
          <w:i/>
          <w:iCs/>
          <w:spacing w:val="-2"/>
        </w:rPr>
        <w:t>)</w:t>
      </w:r>
      <w:r w:rsidR="00397077" w:rsidRPr="009118AB">
        <w:rPr>
          <w:rFonts w:ascii="Times New Roman Italique" w:hAnsi="Times New Roman Italique"/>
          <w:i/>
          <w:iCs/>
          <w:spacing w:val="-2"/>
        </w:rPr>
        <w:t xml:space="preserve"> und abgeändert durch </w:t>
      </w:r>
      <w:r w:rsidR="00D67EB8" w:rsidRPr="009118AB">
        <w:rPr>
          <w:rFonts w:ascii="Times New Roman Italique" w:hAnsi="Times New Roman Italique"/>
          <w:i/>
          <w:iCs/>
          <w:spacing w:val="-2"/>
        </w:rPr>
        <w:t>Art. </w:t>
      </w:r>
      <w:r w:rsidR="00397077" w:rsidRPr="009118AB">
        <w:rPr>
          <w:rFonts w:ascii="Times New Roman Italique" w:hAnsi="Times New Roman Italique"/>
          <w:i/>
          <w:iCs/>
          <w:spacing w:val="-2"/>
        </w:rPr>
        <w:t>4 des G. vom 11. Juni 2020 (B.S. vom 19. Juni 2020)</w:t>
      </w:r>
      <w:r w:rsidR="00D67EB8" w:rsidRPr="009118AB">
        <w:rPr>
          <w:rFonts w:ascii="Times New Roman Italique" w:hAnsi="Times New Roman Italique"/>
          <w:i/>
          <w:iCs/>
          <w:spacing w:val="-2"/>
        </w:rPr>
        <w:t> - </w:t>
      </w:r>
      <w:r w:rsidR="00397077" w:rsidRPr="009118AB">
        <w:rPr>
          <w:rFonts w:ascii="Times New Roman Italique" w:hAnsi="Times New Roman Italique"/>
          <w:i/>
          <w:iCs/>
          <w:spacing w:val="-2"/>
        </w:rPr>
        <w:t>wirksam mit 1. Januar 2020</w:t>
      </w:r>
      <w:r w:rsidR="003366D9" w:rsidRPr="009118AB">
        <w:rPr>
          <w:rFonts w:ascii="Times New Roman Italique" w:hAnsi="Times New Roman Italique"/>
          <w:i/>
          <w:iCs/>
          <w:spacing w:val="-2"/>
        </w:rPr>
        <w:t> -;</w:t>
      </w:r>
      <w:r w:rsidR="0006720F"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06720F" w:rsidRPr="009118AB">
        <w:rPr>
          <w:rFonts w:ascii="Times New Roman Italique" w:hAnsi="Times New Roman Italique"/>
          <w:i/>
          <w:iCs/>
          <w:spacing w:val="-2"/>
        </w:rPr>
        <w:t xml:space="preserve">5 eingefügt durch </w:t>
      </w:r>
      <w:r w:rsidR="00D67EB8" w:rsidRPr="009118AB">
        <w:rPr>
          <w:rFonts w:ascii="Times New Roman Italique" w:hAnsi="Times New Roman Italique"/>
          <w:i/>
          <w:iCs/>
          <w:spacing w:val="-2"/>
        </w:rPr>
        <w:t>Art. </w:t>
      </w:r>
      <w:r w:rsidR="0006720F" w:rsidRPr="009118AB">
        <w:rPr>
          <w:rFonts w:ascii="Times New Roman Italique" w:hAnsi="Times New Roman Italique"/>
          <w:i/>
          <w:iCs/>
          <w:spacing w:val="-2"/>
        </w:rPr>
        <w:t>13</w:t>
      </w:r>
      <w:r w:rsidR="0006720F" w:rsidRPr="009118AB">
        <w:rPr>
          <w:i/>
          <w:iCs/>
        </w:rPr>
        <w:t xml:space="preserve"> des G. vom 17. März 2022 (B.S. vom 25. März 2022)</w:t>
      </w:r>
      <w:r w:rsidR="00D67EB8" w:rsidRPr="009118AB">
        <w:rPr>
          <w:i/>
          <w:iCs/>
        </w:rPr>
        <w:t> - </w:t>
      </w:r>
      <w:r w:rsidR="0006720F" w:rsidRPr="009118AB">
        <w:rPr>
          <w:i/>
          <w:iCs/>
        </w:rPr>
        <w:t>in Kraft am 1. Juli 2022</w:t>
      </w:r>
      <w:r w:rsidR="00FD68E8" w:rsidRPr="009118AB">
        <w:rPr>
          <w:i/>
          <w:iCs/>
        </w:rPr>
        <w:t> -]</w:t>
      </w:r>
    </w:p>
    <w:p w14:paraId="0146DF9B" w14:textId="089F0BC7" w:rsidR="009F276C" w:rsidRPr="009118AB" w:rsidRDefault="00477B8F" w:rsidP="00710A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Cs/>
          <w:iCs/>
        </w:rPr>
      </w:pPr>
      <w:r w:rsidRPr="009118AB">
        <w:br w:type="page"/>
        <w:t>[</w:t>
      </w:r>
      <w:r w:rsidRPr="009118AB">
        <w:rPr>
          <w:b/>
          <w:bCs/>
        </w:rPr>
        <w:t>TITEL VII</w:t>
      </w:r>
      <w:r w:rsidRPr="009118AB">
        <w:rPr>
          <w:b/>
          <w:bCs/>
          <w:i/>
          <w:iCs/>
        </w:rPr>
        <w:t>bis</w:t>
      </w:r>
      <w:r w:rsidR="00D67EB8" w:rsidRPr="009118AB">
        <w:rPr>
          <w:b/>
          <w:bCs/>
        </w:rPr>
        <w:t> - </w:t>
      </w:r>
      <w:r w:rsidR="009F276C" w:rsidRPr="009118AB">
        <w:rPr>
          <w:bCs/>
          <w:iCs/>
        </w:rPr>
        <w:t>[…]</w:t>
      </w:r>
    </w:p>
    <w:p w14:paraId="16FCFF06" w14:textId="77777777" w:rsidR="009F276C" w:rsidRPr="009118AB"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p>
    <w:p w14:paraId="02D04820" w14:textId="6C722644" w:rsidR="009F276C" w:rsidRPr="009118AB"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r w:rsidRPr="009118AB">
        <w:rPr>
          <w:bCs/>
          <w:i/>
          <w:iCs/>
        </w:rPr>
        <w:t xml:space="preserve">[Titel VIIbis mit </w:t>
      </w:r>
      <w:r w:rsidR="00D67EB8" w:rsidRPr="009118AB">
        <w:rPr>
          <w:bCs/>
          <w:i/>
          <w:iCs/>
        </w:rPr>
        <w:t>Art. </w:t>
      </w:r>
      <w:r w:rsidRPr="009118AB">
        <w:rPr>
          <w:bCs/>
          <w:i/>
          <w:iCs/>
        </w:rPr>
        <w:t xml:space="preserve">463bis eingefügt durch </w:t>
      </w:r>
      <w:r w:rsidR="00D67EB8" w:rsidRPr="009118AB">
        <w:rPr>
          <w:bCs/>
          <w:i/>
          <w:iCs/>
        </w:rPr>
        <w:t>Art. </w:t>
      </w:r>
      <w:r w:rsidRPr="009118AB">
        <w:rPr>
          <w:bCs/>
          <w:i/>
          <w:iCs/>
        </w:rPr>
        <w:t>22 des G. vom 22. Juli 1993 (B.S. vom 26. Juli 1993)</w:t>
      </w:r>
      <w:r w:rsidR="00D67EB8" w:rsidRPr="009118AB">
        <w:rPr>
          <w:bCs/>
          <w:i/>
          <w:iCs/>
        </w:rPr>
        <w:t> - </w:t>
      </w:r>
      <w:r w:rsidRPr="009118AB">
        <w:rPr>
          <w:bCs/>
          <w:i/>
          <w:iCs/>
        </w:rPr>
        <w:t xml:space="preserve">anwendbar ab dem Steuerjahr 1994, außer </w:t>
      </w:r>
      <w:r w:rsidR="00D67EB8" w:rsidRPr="009118AB">
        <w:rPr>
          <w:bCs/>
          <w:i/>
          <w:iCs/>
        </w:rPr>
        <w:t>Art. </w:t>
      </w:r>
      <w:r w:rsidRPr="009118AB">
        <w:rPr>
          <w:bCs/>
          <w:i/>
          <w:iCs/>
        </w:rPr>
        <w:t xml:space="preserve">463bis </w:t>
      </w:r>
      <w:r w:rsidR="00D67EB8" w:rsidRPr="009118AB">
        <w:rPr>
          <w:bCs/>
          <w:i/>
          <w:iCs/>
        </w:rPr>
        <w:t>§ </w:t>
      </w:r>
      <w:r w:rsidRPr="009118AB">
        <w:rPr>
          <w:bCs/>
          <w:i/>
          <w:iCs/>
        </w:rPr>
        <w:t xml:space="preserve">1 </w:t>
      </w:r>
      <w:r w:rsidR="00D67EB8" w:rsidRPr="009118AB">
        <w:rPr>
          <w:bCs/>
          <w:i/>
          <w:iCs/>
        </w:rPr>
        <w:t>Abs. </w:t>
      </w:r>
      <w:r w:rsidRPr="009118AB">
        <w:rPr>
          <w:bCs/>
          <w:i/>
          <w:iCs/>
        </w:rPr>
        <w:t xml:space="preserve">1 </w:t>
      </w:r>
      <w:r w:rsidR="00D67EB8" w:rsidRPr="009118AB">
        <w:rPr>
          <w:bCs/>
          <w:i/>
          <w:iCs/>
        </w:rPr>
        <w:t>Nr. </w:t>
      </w:r>
      <w:r w:rsidRPr="009118AB">
        <w:rPr>
          <w:bCs/>
          <w:i/>
          <w:iCs/>
        </w:rPr>
        <w:t>2, der auf die ab dem 26. Juli 1993 zuerkannten oder ausgeschütteten Einkünfte anwendbar ist</w:t>
      </w:r>
      <w:r w:rsidR="00D67EB8" w:rsidRPr="009118AB">
        <w:rPr>
          <w:bCs/>
          <w:i/>
          <w:iCs/>
        </w:rPr>
        <w:t> - </w:t>
      </w:r>
      <w:r w:rsidRPr="009118AB">
        <w:rPr>
          <w:bCs/>
          <w:i/>
          <w:iCs/>
        </w:rPr>
        <w:t xml:space="preserve">und aufgehoben durch </w:t>
      </w:r>
      <w:r w:rsidR="00D67EB8" w:rsidRPr="009118AB">
        <w:rPr>
          <w:bCs/>
          <w:i/>
          <w:iCs/>
        </w:rPr>
        <w:t>Art. </w:t>
      </w:r>
      <w:r w:rsidRPr="009118AB">
        <w:rPr>
          <w:bCs/>
          <w:i/>
          <w:iCs/>
        </w:rPr>
        <w:t>83</w:t>
      </w:r>
      <w:r w:rsidRPr="009118AB">
        <w:rPr>
          <w:i/>
          <w:iCs/>
        </w:rPr>
        <w:t xml:space="preserve">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FD68E8" w:rsidRPr="009118AB">
        <w:rPr>
          <w:i/>
          <w:iCs/>
        </w:rPr>
        <w:t> -]</w:t>
      </w:r>
    </w:p>
    <w:p w14:paraId="0B6BA26C" w14:textId="77777777" w:rsidR="009F276C" w:rsidRPr="009118AB"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p>
    <w:p w14:paraId="3B42BA34" w14:textId="77777777" w:rsidR="009F276C" w:rsidRPr="009118AB"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p>
    <w:p w14:paraId="09EE2F1E" w14:textId="3E48F52D" w:rsidR="009F276C" w:rsidRPr="009118AB" w:rsidRDefault="00710A6B"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r w:rsidRPr="009118AB">
        <w:rPr>
          <w:bCs/>
          <w:iCs/>
        </w:rPr>
        <w:tab/>
      </w:r>
      <w:r w:rsidR="00D67EB8" w:rsidRPr="009118AB">
        <w:rPr>
          <w:b/>
          <w:iCs/>
        </w:rPr>
        <w:t>Art. </w:t>
      </w:r>
      <w:r w:rsidR="009F276C" w:rsidRPr="009118AB">
        <w:rPr>
          <w:b/>
          <w:iCs/>
        </w:rPr>
        <w:t>463</w:t>
      </w:r>
      <w:r w:rsidR="009F276C" w:rsidRPr="009118AB">
        <w:rPr>
          <w:b/>
          <w:i/>
          <w:iCs/>
        </w:rPr>
        <w:t>bis</w:t>
      </w:r>
      <w:r w:rsidR="00D67EB8" w:rsidRPr="009118AB">
        <w:rPr>
          <w:bCs/>
          <w:iCs/>
        </w:rPr>
        <w:t> - </w:t>
      </w:r>
      <w:r w:rsidR="009F276C" w:rsidRPr="009118AB">
        <w:rPr>
          <w:bCs/>
          <w:iCs/>
        </w:rPr>
        <w:t>[…]]</w:t>
      </w:r>
    </w:p>
    <w:p w14:paraId="119256C3" w14:textId="77777777" w:rsidR="009F276C" w:rsidRPr="009118AB"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p>
    <w:p w14:paraId="3617278B" w14:textId="68BD9A2D" w:rsidR="00477B8F" w:rsidRPr="009118AB"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rPr>
          <w:bCs/>
          <w:iCs/>
          <w:sz w:val="20"/>
          <w:szCs w:val="20"/>
        </w:rPr>
        <w:br w:type="page"/>
      </w:r>
      <w:r w:rsidR="00477B8F" w:rsidRPr="009118AB">
        <w:rPr>
          <w:b/>
          <w:bCs/>
        </w:rPr>
        <w:t>TITEL VIII</w:t>
      </w:r>
      <w:r w:rsidR="00D67EB8" w:rsidRPr="009118AB">
        <w:rPr>
          <w:b/>
          <w:bCs/>
        </w:rPr>
        <w:t> - </w:t>
      </w:r>
      <w:r w:rsidR="00477B8F" w:rsidRPr="009118AB">
        <w:rPr>
          <w:b/>
          <w:bCs/>
          <w:i/>
          <w:iCs/>
        </w:rPr>
        <w:t>Zuweisungen an die Provinzen, Agglomerationen und Gemeinden</w:t>
      </w:r>
    </w:p>
    <w:p w14:paraId="3154DBE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F84458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306BBFAE" w14:textId="7B62B64A" w:rsidR="00477B8F" w:rsidRPr="009118AB" w:rsidRDefault="002E1AB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rPr>
          <w:b/>
          <w:bCs/>
        </w:rPr>
        <w:t>KAPITEL </w:t>
      </w:r>
      <w:r w:rsidR="007828ED" w:rsidRPr="009118AB">
        <w:rPr>
          <w:b/>
          <w:bCs/>
        </w:rPr>
        <w:t>1</w:t>
      </w:r>
      <w:r w:rsidR="00D67EB8" w:rsidRPr="009118AB">
        <w:rPr>
          <w:b/>
          <w:bCs/>
        </w:rPr>
        <w:t> - </w:t>
      </w:r>
      <w:r w:rsidR="00477B8F" w:rsidRPr="009118AB">
        <w:rPr>
          <w:i/>
          <w:iCs/>
        </w:rPr>
        <w:t>Allgemeine Bestimmungen</w:t>
      </w:r>
    </w:p>
    <w:p w14:paraId="30A5512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127F27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48D3472" w14:textId="11AED80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464</w:t>
      </w:r>
      <w:r w:rsidR="00D67EB8" w:rsidRPr="009118AB">
        <w:t> - </w:t>
      </w:r>
      <w:r w:rsidRPr="009118AB">
        <w:t>Die Provinzen, Agglomerationen und Gemeinden sind nicht ermächtigt zur Festlegung von:</w:t>
      </w:r>
    </w:p>
    <w:p w14:paraId="3821A6E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0C82D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1. Zuschlaghundertsteln auf die Steuer der natürlichen Personen, auf die Gesellschaftssteuer, auf die Steuer der juristischen Personen und auf die Steuer der Gebietsfremden oder von gleichartigen Steuern auf der Grundlage oder auf den Betrag dieser Steuern</w:t>
      </w:r>
      <w:r w:rsidR="00E65169" w:rsidRPr="009118AB">
        <w:t xml:space="preserve"> […]</w:t>
      </w:r>
      <w:r w:rsidRPr="009118AB">
        <w:t>,</w:t>
      </w:r>
    </w:p>
    <w:p w14:paraId="410488A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FAABE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2. Steuern auf Vieh.</w:t>
      </w:r>
    </w:p>
    <w:p w14:paraId="5CA1C330" w14:textId="77777777" w:rsidR="00E65169" w:rsidRPr="009118AB" w:rsidRDefault="00E6516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4C9F575" w14:textId="2938FE4E" w:rsidR="00E65169" w:rsidRPr="009118AB" w:rsidRDefault="00E6516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118AB">
        <w:rPr>
          <w:i/>
        </w:rPr>
        <w:t>[</w:t>
      </w:r>
      <w:r w:rsidR="00D67EB8" w:rsidRPr="009118AB">
        <w:rPr>
          <w:i/>
        </w:rPr>
        <w:t>Art. </w:t>
      </w:r>
      <w:r w:rsidRPr="009118AB">
        <w:rPr>
          <w:i/>
        </w:rPr>
        <w:t xml:space="preserve">464 einziger Absatz </w:t>
      </w:r>
      <w:r w:rsidR="00D67EB8" w:rsidRPr="009118AB">
        <w:rPr>
          <w:i/>
        </w:rPr>
        <w:t>Nr. </w:t>
      </w:r>
      <w:r w:rsidRPr="009118AB">
        <w:rPr>
          <w:i/>
        </w:rPr>
        <w:t xml:space="preserve">1 abgeändert durch </w:t>
      </w:r>
      <w:r w:rsidR="00D67EB8" w:rsidRPr="009118AB">
        <w:rPr>
          <w:i/>
        </w:rPr>
        <w:t>Art. </w:t>
      </w:r>
      <w:r w:rsidRPr="009118AB">
        <w:rPr>
          <w:i/>
        </w:rPr>
        <w:t>2 des G. vom 19. April 2014 (B.S. vom 16. Mai 2014)</w:t>
      </w:r>
      <w:r w:rsidR="00D67EB8" w:rsidRPr="009118AB">
        <w:rPr>
          <w:i/>
        </w:rPr>
        <w:t> - </w:t>
      </w:r>
      <w:r w:rsidRPr="009118AB">
        <w:rPr>
          <w:i/>
        </w:rPr>
        <w:t>anwend</w:t>
      </w:r>
      <w:r w:rsidR="009E6A8F" w:rsidRPr="009118AB">
        <w:rPr>
          <w:i/>
        </w:rPr>
        <w:t>bar ab dem Steuerjahr 2015</w:t>
      </w:r>
      <w:r w:rsidR="00FD68E8" w:rsidRPr="009118AB">
        <w:rPr>
          <w:i/>
        </w:rPr>
        <w:t> -]</w:t>
      </w:r>
    </w:p>
    <w:p w14:paraId="12DA6E5C" w14:textId="77777777" w:rsidR="00E65169" w:rsidRPr="009118AB" w:rsidRDefault="00E6516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60C885A1" w14:textId="77777777" w:rsidR="00E65169" w:rsidRPr="009118AB" w:rsidRDefault="00E6516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7BB52E6" w14:textId="747E90BE" w:rsidR="00E65169" w:rsidRPr="009118AB" w:rsidRDefault="00E65169" w:rsidP="00E65169">
      <w:pPr>
        <w:jc w:val="both"/>
      </w:pPr>
      <w:r w:rsidRPr="009118AB">
        <w:tab/>
        <w:t>[</w:t>
      </w:r>
      <w:r w:rsidR="00D67EB8" w:rsidRPr="009118AB">
        <w:rPr>
          <w:b/>
        </w:rPr>
        <w:t>Art. </w:t>
      </w:r>
      <w:r w:rsidRPr="009118AB">
        <w:rPr>
          <w:b/>
        </w:rPr>
        <w:t>464/1</w:t>
      </w:r>
      <w:r w:rsidR="00D67EB8" w:rsidRPr="009118AB">
        <w:t> - </w:t>
      </w:r>
      <w:r w:rsidRPr="009118AB">
        <w:t>In Abweichung von Artikel 464 dürfen die Provinzen, Agglomerationen und Gemeinden Zuschlaghundertstel festlegen auf:</w:t>
      </w:r>
    </w:p>
    <w:p w14:paraId="3867FA20" w14:textId="77777777" w:rsidR="00E65169" w:rsidRPr="009118AB" w:rsidRDefault="00E65169" w:rsidP="00E65169">
      <w:pPr>
        <w:jc w:val="both"/>
      </w:pPr>
    </w:p>
    <w:p w14:paraId="07F37CCA" w14:textId="77777777" w:rsidR="00E65169" w:rsidRPr="009118AB" w:rsidRDefault="00E65169" w:rsidP="00E65169">
      <w:pPr>
        <w:jc w:val="both"/>
      </w:pPr>
      <w:r w:rsidRPr="009118AB">
        <w:tab/>
        <w:t>1. den Immobiliensteuervorabzug,</w:t>
      </w:r>
    </w:p>
    <w:p w14:paraId="2306F8B9" w14:textId="77777777" w:rsidR="00E65169" w:rsidRPr="009118AB" w:rsidRDefault="00E65169" w:rsidP="00E65169">
      <w:pPr>
        <w:jc w:val="both"/>
      </w:pPr>
    </w:p>
    <w:p w14:paraId="5D80928B" w14:textId="77777777" w:rsidR="00E65169" w:rsidRPr="009118AB" w:rsidRDefault="00E65169" w:rsidP="00E65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2. eine Regionalsteuer, die nicht in Artikel 3 des Sondergesetzes vom 16. Januar 1989 bezüglich der Finanzierung der Gemeinschaften und Regionen erwähnt ist und das föderale Katastereinkommen als Besteuerungsgrundlage oder als Bestandteil ihrer Besteuerungs</w:t>
      </w:r>
      <w:r w:rsidRPr="009118AB">
        <w:softHyphen/>
        <w:t>grundlage hat.</w:t>
      </w:r>
      <w:r w:rsidR="009E6A8F" w:rsidRPr="009118AB">
        <w:t>]</w:t>
      </w:r>
    </w:p>
    <w:p w14:paraId="2882C753" w14:textId="77777777" w:rsidR="009E6A8F" w:rsidRPr="009118AB" w:rsidRDefault="009E6A8F" w:rsidP="00E65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C25730D" w14:textId="0607D657" w:rsidR="009E6A8F" w:rsidRPr="009118AB" w:rsidRDefault="009E6A8F" w:rsidP="00E65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118AB">
        <w:rPr>
          <w:i/>
        </w:rPr>
        <w:t>[</w:t>
      </w:r>
      <w:r w:rsidR="00D67EB8" w:rsidRPr="009118AB">
        <w:rPr>
          <w:i/>
        </w:rPr>
        <w:t>Art. </w:t>
      </w:r>
      <w:r w:rsidRPr="009118AB">
        <w:rPr>
          <w:i/>
        </w:rPr>
        <w:t xml:space="preserve">464/1 eingefügt durch </w:t>
      </w:r>
      <w:r w:rsidR="00D67EB8" w:rsidRPr="009118AB">
        <w:rPr>
          <w:i/>
        </w:rPr>
        <w:t>Art. </w:t>
      </w:r>
      <w:r w:rsidRPr="009118AB">
        <w:rPr>
          <w:i/>
        </w:rPr>
        <w:t>3 des G. vom 19. April</w:t>
      </w:r>
      <w:r w:rsidR="00B64F05" w:rsidRPr="009118AB">
        <w:rPr>
          <w:i/>
        </w:rPr>
        <w:t> 2014 (B.S. vom 16. Mai 2014)</w:t>
      </w:r>
      <w:r w:rsidR="00D67EB8" w:rsidRPr="009118AB">
        <w:rPr>
          <w:i/>
        </w:rPr>
        <w:t> - </w:t>
      </w:r>
      <w:r w:rsidRPr="009118AB">
        <w:rPr>
          <w:i/>
        </w:rPr>
        <w:t>anwendbar ab dem Steuerjahr 2015</w:t>
      </w:r>
      <w:r w:rsidR="00FD68E8" w:rsidRPr="009118AB">
        <w:rPr>
          <w:i/>
        </w:rPr>
        <w:t> -]</w:t>
      </w:r>
    </w:p>
    <w:p w14:paraId="03BB8089" w14:textId="60F66BE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002E1AB9" w:rsidRPr="009118AB">
        <w:rPr>
          <w:b/>
          <w:bCs/>
        </w:rPr>
        <w:t>KAPITEL </w:t>
      </w:r>
      <w:r w:rsidR="007828ED" w:rsidRPr="009118AB">
        <w:rPr>
          <w:b/>
          <w:bCs/>
        </w:rPr>
        <w:t>2</w:t>
      </w:r>
      <w:r w:rsidR="00D67EB8" w:rsidRPr="009118AB">
        <w:t> - </w:t>
      </w:r>
      <w:r w:rsidRPr="009118AB">
        <w:rPr>
          <w:i/>
          <w:iCs/>
        </w:rPr>
        <w:t>Zuschlagsteuern</w:t>
      </w:r>
    </w:p>
    <w:p w14:paraId="4B3EADD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9FA8B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1809EA" w14:textId="4FBAD6FA" w:rsidR="00F25F8A" w:rsidRPr="009118AB" w:rsidRDefault="00477B8F"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rPr>
      </w:pPr>
      <w:r w:rsidRPr="009118AB">
        <w:tab/>
      </w:r>
      <w:r w:rsidR="00D67EB8" w:rsidRPr="009118AB">
        <w:rPr>
          <w:b/>
          <w:bCs/>
        </w:rPr>
        <w:t>Art. </w:t>
      </w:r>
      <w:r w:rsidRPr="009118AB">
        <w:rPr>
          <w:b/>
          <w:bCs/>
        </w:rPr>
        <w:t>465</w:t>
      </w:r>
      <w:r w:rsidR="00D67EB8" w:rsidRPr="009118AB">
        <w:t> - </w:t>
      </w:r>
      <w:r w:rsidR="00F25F8A" w:rsidRPr="009118AB">
        <w:rPr>
          <w:bCs/>
        </w:rPr>
        <w:t>In Abweichung von Artikel 464 dürfen Agglomerationen und Gemeinden eine Zuschlagsteuer auf die Steuer der natürlichen Personen […] festlegen.</w:t>
      </w:r>
    </w:p>
    <w:p w14:paraId="4B410789" w14:textId="77777777"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rPr>
      </w:pPr>
    </w:p>
    <w:p w14:paraId="18CAEF15" w14:textId="7537DF50" w:rsidR="00F25F8A" w:rsidRPr="009118AB"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rPr>
      </w:pPr>
      <w:r w:rsidRPr="009118AB">
        <w:rPr>
          <w:bCs/>
          <w:i/>
        </w:rPr>
        <w:t>[</w:t>
      </w:r>
      <w:r w:rsidR="00D67EB8" w:rsidRPr="009118AB">
        <w:rPr>
          <w:bCs/>
          <w:i/>
        </w:rPr>
        <w:t>Art. </w:t>
      </w:r>
      <w:r w:rsidRPr="009118AB">
        <w:rPr>
          <w:bCs/>
          <w:i/>
        </w:rPr>
        <w:t>465 abgeändert</w:t>
      </w:r>
      <w:r w:rsidRPr="009118AB">
        <w:rPr>
          <w:i/>
          <w:iCs/>
        </w:rPr>
        <w:t xml:space="preserve"> durch </w:t>
      </w:r>
      <w:r w:rsidR="00D67EB8" w:rsidRPr="009118AB">
        <w:rPr>
          <w:i/>
          <w:iCs/>
        </w:rPr>
        <w:t>Art. </w:t>
      </w:r>
      <w:r w:rsidRPr="009118AB">
        <w:rPr>
          <w:i/>
          <w:iCs/>
        </w:rPr>
        <w:t>35 des G. vom 28. Dezember 2011 (B.S. vom 30. Dezember 2011)</w:t>
      </w:r>
      <w:r w:rsidR="00D67EB8" w:rsidRPr="009118AB">
        <w:rPr>
          <w:i/>
          <w:iCs/>
        </w:rPr>
        <w:t> - </w:t>
      </w:r>
      <w:r w:rsidRPr="009118AB">
        <w:rPr>
          <w:i/>
          <w:iCs/>
        </w:rPr>
        <w:t>anwendbar auf die ab dem 1. Januar 2012 zuerkannten oder ausgeschütteten Einkünfte</w:t>
      </w:r>
      <w:r w:rsidR="00D67EB8" w:rsidRPr="009118AB">
        <w:rPr>
          <w:i/>
          <w:iCs/>
        </w:rPr>
        <w:t> - </w:t>
      </w:r>
      <w:r w:rsidRPr="009118AB">
        <w:rPr>
          <w:i/>
          <w:iCs/>
        </w:rPr>
        <w:t xml:space="preserve">und </w:t>
      </w:r>
      <w:r w:rsidR="00D67EB8" w:rsidRPr="009118AB">
        <w:rPr>
          <w:i/>
          <w:iCs/>
        </w:rPr>
        <w:t>Art. </w:t>
      </w:r>
      <w:r w:rsidRPr="009118AB">
        <w:rPr>
          <w:i/>
          <w:iCs/>
        </w:rPr>
        <w:t>91 des G. vom 27. Dezember 2012 (B.S. vom 31. Dezember 2012)</w:t>
      </w:r>
      <w:r w:rsidR="00D67EB8" w:rsidRPr="009118AB">
        <w:rPr>
          <w:i/>
          <w:iCs/>
        </w:rPr>
        <w:t> - </w:t>
      </w:r>
      <w:r w:rsidRPr="009118AB">
        <w:rPr>
          <w:i/>
          <w:iCs/>
        </w:rPr>
        <w:t>anwendbar auf die ab dem 1. Januar 2013 zuerkannten oder ausgeschütteten Einkünfte</w:t>
      </w:r>
      <w:r w:rsidR="00FD68E8" w:rsidRPr="009118AB">
        <w:rPr>
          <w:i/>
          <w:iCs/>
        </w:rPr>
        <w:t> -]</w:t>
      </w:r>
    </w:p>
    <w:p w14:paraId="3C42CA14" w14:textId="77777777" w:rsidR="00141459" w:rsidRPr="009118AB" w:rsidRDefault="00141459" w:rsidP="001414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94F25B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681157" w14:textId="70D6EC0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466</w:t>
      </w:r>
      <w:r w:rsidR="00D67EB8" w:rsidRPr="009118AB">
        <w:t> - </w:t>
      </w:r>
      <w:r w:rsidR="00ED43F3" w:rsidRPr="009118AB">
        <w:t>[Die Gemeindezuschlagsteuer auf die Steuer der natürlichen Personen und die Agglomerationszuschlagsteuer auf die Steuer der natürlichen Personen werden auf die Gesamtsteuer berechnet.]</w:t>
      </w:r>
    </w:p>
    <w:p w14:paraId="5F6E013C" w14:textId="77777777" w:rsidR="00E321B0" w:rsidRPr="009118AB" w:rsidRDefault="00E321B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A323157" w14:textId="6DB89952" w:rsidR="00477B8F" w:rsidRPr="009118AB" w:rsidRDefault="00E321B0" w:rsidP="00A92EE3">
      <w:pPr>
        <w:jc w:val="both"/>
      </w:pPr>
      <w:r w:rsidRPr="009118AB">
        <w:rPr>
          <w:spacing w:val="-2"/>
        </w:rPr>
        <w:tab/>
      </w:r>
      <w:r w:rsidR="00A92EE3" w:rsidRPr="009118AB">
        <w:rPr>
          <w:spacing w:val="-2"/>
        </w:rPr>
        <w:t>[</w:t>
      </w:r>
      <w:r w:rsidR="00A92EE3" w:rsidRPr="009118AB">
        <w:t xml:space="preserve">Der gemäß Absatz 1 festgelegte Betrag wird jedoch um den Anteil der Steuer in Bezug auf die in Artikel 17 </w:t>
      </w:r>
      <w:r w:rsidR="00D67EB8" w:rsidRPr="009118AB">
        <w:t>§ </w:t>
      </w:r>
      <w:r w:rsidR="00A92EE3" w:rsidRPr="009118AB">
        <w:t xml:space="preserve">1 </w:t>
      </w:r>
      <w:r w:rsidR="00D67EB8" w:rsidRPr="009118AB">
        <w:t>Nr. </w:t>
      </w:r>
      <w:r w:rsidR="00A92EE3" w:rsidRPr="009118AB">
        <w:t>1 und 2 erwähnten Einkünfte aus beweglichen Gütern[, die keine berufsbezogenen Einkünfte sind, […] verringert].]</w:t>
      </w:r>
    </w:p>
    <w:p w14:paraId="129BA895" w14:textId="77777777" w:rsidR="00A92EE3" w:rsidRPr="009118AB" w:rsidRDefault="00A92EE3" w:rsidP="00A92EE3">
      <w:pPr>
        <w:jc w:val="both"/>
      </w:pPr>
    </w:p>
    <w:p w14:paraId="789F04A9" w14:textId="534DF60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466 </w:t>
      </w:r>
      <w:r w:rsidR="00D67EB8" w:rsidRPr="009118AB">
        <w:rPr>
          <w:i/>
          <w:iCs/>
        </w:rPr>
        <w:t>Abs. </w:t>
      </w:r>
      <w:r w:rsidR="00E321B0" w:rsidRPr="009118AB">
        <w:rPr>
          <w:i/>
          <w:iCs/>
        </w:rPr>
        <w:t>1</w:t>
      </w:r>
      <w:r w:rsidR="00ED43F3" w:rsidRPr="009118AB">
        <w:rPr>
          <w:i/>
          <w:iCs/>
        </w:rPr>
        <w:t xml:space="preserve"> ersetzt durch </w:t>
      </w:r>
      <w:r w:rsidR="00D67EB8" w:rsidRPr="009118AB">
        <w:rPr>
          <w:i/>
          <w:iCs/>
        </w:rPr>
        <w:t>Art. </w:t>
      </w:r>
      <w:r w:rsidR="00ED43F3" w:rsidRPr="009118AB">
        <w:rPr>
          <w:i/>
          <w:iCs/>
        </w:rPr>
        <w:t>94 des G. vom 8. Mai</w:t>
      </w:r>
      <w:r w:rsidR="00B64F05" w:rsidRPr="009118AB">
        <w:rPr>
          <w:i/>
          <w:iCs/>
        </w:rPr>
        <w:t> 2014 (B.S. vom 28. Mai 2014)</w:t>
      </w:r>
      <w:r w:rsidR="00D67EB8" w:rsidRPr="009118AB">
        <w:rPr>
          <w:i/>
          <w:iCs/>
        </w:rPr>
        <w:t> - </w:t>
      </w:r>
      <w:r w:rsidR="00ED43F3" w:rsidRPr="009118AB">
        <w:rPr>
          <w:i/>
          <w:iCs/>
        </w:rPr>
        <w:t>anwendbar ab dem Steuerjahr 2015</w:t>
      </w:r>
      <w:r w:rsidR="003366D9" w:rsidRPr="009118AB">
        <w:rPr>
          <w:i/>
          <w:iCs/>
        </w:rPr>
        <w:t> -;</w:t>
      </w:r>
      <w:r w:rsidR="004D0569" w:rsidRPr="009118AB">
        <w:rPr>
          <w:i/>
          <w:iCs/>
        </w:rPr>
        <w:t xml:space="preserve"> </w:t>
      </w:r>
      <w:r w:rsidR="00D67EB8" w:rsidRPr="009118AB">
        <w:rPr>
          <w:i/>
          <w:iCs/>
        </w:rPr>
        <w:t>Abs. </w:t>
      </w:r>
      <w:r w:rsidR="004D0569" w:rsidRPr="009118AB">
        <w:rPr>
          <w:i/>
          <w:iCs/>
        </w:rPr>
        <w:t xml:space="preserve">2 eingefügt durch </w:t>
      </w:r>
      <w:r w:rsidR="00D67EB8" w:rsidRPr="009118AB">
        <w:rPr>
          <w:i/>
          <w:iCs/>
        </w:rPr>
        <w:t>Art. </w:t>
      </w:r>
      <w:r w:rsidR="004D0569" w:rsidRPr="009118AB">
        <w:rPr>
          <w:i/>
          <w:iCs/>
        </w:rPr>
        <w:t xml:space="preserve">39 </w:t>
      </w:r>
      <w:r w:rsidR="00D67EB8" w:rsidRPr="009118AB">
        <w:rPr>
          <w:i/>
          <w:iCs/>
        </w:rPr>
        <w:t>Nr. </w:t>
      </w:r>
      <w:r w:rsidR="004D0569" w:rsidRPr="009118AB">
        <w:rPr>
          <w:i/>
          <w:iCs/>
        </w:rPr>
        <w:t>2 des G. vom 14. April 2011 (B.S. vom 6. Mai 2011)</w:t>
      </w:r>
      <w:r w:rsidR="00D67EB8" w:rsidRPr="009118AB">
        <w:rPr>
          <w:i/>
          <w:iCs/>
        </w:rPr>
        <w:t> - </w:t>
      </w:r>
      <w:r w:rsidR="004D0569" w:rsidRPr="009118AB">
        <w:rPr>
          <w:i/>
          <w:iCs/>
        </w:rPr>
        <w:t>in Kraft ab dem Steuerjahr 2011</w:t>
      </w:r>
      <w:r w:rsidR="00FD68E8" w:rsidRPr="009118AB">
        <w:rPr>
          <w:i/>
          <w:iCs/>
        </w:rPr>
        <w:t> -,</w:t>
      </w:r>
      <w:r w:rsidR="00AC525C" w:rsidRPr="009118AB">
        <w:rPr>
          <w:i/>
          <w:iCs/>
        </w:rPr>
        <w:t xml:space="preserve"> ersetzt durch </w:t>
      </w:r>
      <w:r w:rsidR="00D67EB8" w:rsidRPr="009118AB">
        <w:rPr>
          <w:i/>
          <w:iCs/>
        </w:rPr>
        <w:t>Art. </w:t>
      </w:r>
      <w:r w:rsidR="00AC525C" w:rsidRPr="009118AB">
        <w:rPr>
          <w:i/>
          <w:iCs/>
        </w:rPr>
        <w:t>34 des G. vom 13. Dezember 2012 (B.S. vom 20. Dezember 2012)</w:t>
      </w:r>
      <w:r w:rsidR="00D67EB8" w:rsidRPr="009118AB">
        <w:rPr>
          <w:i/>
          <w:iCs/>
        </w:rPr>
        <w:t> - </w:t>
      </w:r>
      <w:r w:rsidR="00AC525C" w:rsidRPr="009118AB">
        <w:rPr>
          <w:i/>
          <w:iCs/>
        </w:rPr>
        <w:t>in Kraft ab dem Steuerjahr 2013</w:t>
      </w:r>
      <w:r w:rsidR="009B7952" w:rsidRPr="009118AB">
        <w:rPr>
          <w:i/>
          <w:iCs/>
        </w:rPr>
        <w:t>;</w:t>
      </w:r>
      <w:r w:rsidR="00AC525C" w:rsidRPr="009118AB">
        <w:rPr>
          <w:i/>
          <w:iCs/>
        </w:rPr>
        <w:t xml:space="preserve"> ebenfalls anwendbar auf das Steuerjahr 2012, wenn die Bedingungen der Steuerpflichtigkeit vor dem 31. Dezember 2012 wegfallen</w:t>
      </w:r>
      <w:r w:rsidR="00D67EB8" w:rsidRPr="009118AB">
        <w:rPr>
          <w:i/>
          <w:iCs/>
        </w:rPr>
        <w:t> - </w:t>
      </w:r>
      <w:r w:rsidR="00B2189B" w:rsidRPr="009118AB">
        <w:rPr>
          <w:i/>
          <w:iCs/>
        </w:rPr>
        <w:t xml:space="preserve">und abgeändert durch </w:t>
      </w:r>
      <w:r w:rsidR="00D67EB8" w:rsidRPr="009118AB">
        <w:rPr>
          <w:i/>
          <w:iCs/>
        </w:rPr>
        <w:t>Art. </w:t>
      </w:r>
      <w:r w:rsidR="00B2189B" w:rsidRPr="009118AB">
        <w:rPr>
          <w:i/>
          <w:iCs/>
        </w:rPr>
        <w:t>84</w:t>
      </w:r>
      <w:r w:rsidR="00B2189B" w:rsidRPr="009118AB">
        <w:rPr>
          <w:i/>
        </w:rPr>
        <w:t xml:space="preserve"> des G. vom 26. Dezember 2015 (II) (B.S. vom 30. Dezember 2015)</w:t>
      </w:r>
      <w:r w:rsidR="00D67EB8" w:rsidRPr="009118AB">
        <w:t> - </w:t>
      </w:r>
      <w:r w:rsidR="00B2189B" w:rsidRPr="009118AB">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118AB">
        <w:rPr>
          <w:i/>
        </w:rPr>
        <w:t> - </w:t>
      </w:r>
      <w:r w:rsidR="00977C94" w:rsidRPr="009118AB">
        <w:rPr>
          <w:i/>
        </w:rPr>
        <w:t xml:space="preserve">und </w:t>
      </w:r>
      <w:r w:rsidR="00D67EB8" w:rsidRPr="009118AB">
        <w:rPr>
          <w:i/>
        </w:rPr>
        <w:t>Art. </w:t>
      </w:r>
      <w:r w:rsidR="00977C94" w:rsidRPr="009118AB">
        <w:rPr>
          <w:i/>
        </w:rPr>
        <w:t>91 des G. vom 25. Dezember 2016</w:t>
      </w:r>
      <w:r w:rsidR="001022BB" w:rsidRPr="009118AB">
        <w:rPr>
          <w:i/>
        </w:rPr>
        <w:t> (I)</w:t>
      </w:r>
      <w:r w:rsidR="00977C94" w:rsidRPr="009118AB">
        <w:rPr>
          <w:i/>
        </w:rPr>
        <w:t xml:space="preserve"> (B.S. vom 29. Dezember 2016)</w:t>
      </w:r>
      <w:r w:rsidR="00D67EB8" w:rsidRPr="009118AB">
        <w:rPr>
          <w:i/>
        </w:rPr>
        <w:t> - </w:t>
      </w:r>
      <w:r w:rsidR="00977C94" w:rsidRPr="009118AB">
        <w:rPr>
          <w:i/>
        </w:rPr>
        <w:t>in Kraft am 1. Januar 2017 und anwendbar auf die ab dem 1. Januar 2017 verwirklichten Mehrwerte</w:t>
      </w:r>
      <w:r w:rsidR="00FD68E8" w:rsidRPr="009118AB">
        <w:rPr>
          <w:i/>
        </w:rPr>
        <w:t> -]</w:t>
      </w:r>
    </w:p>
    <w:p w14:paraId="0782D1D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0B9D88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B4E406" w14:textId="4BD26E9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D67EB8" w:rsidRPr="009118AB">
        <w:rPr>
          <w:b/>
          <w:bCs/>
        </w:rPr>
        <w:t>Art. </w:t>
      </w:r>
      <w:r w:rsidRPr="009118AB">
        <w:rPr>
          <w:b/>
          <w:bCs/>
        </w:rPr>
        <w:t>466</w:t>
      </w:r>
      <w:r w:rsidRPr="009118AB">
        <w:rPr>
          <w:b/>
          <w:bCs/>
          <w:i/>
          <w:iCs/>
        </w:rPr>
        <w:t>bis</w:t>
      </w:r>
      <w:r w:rsidR="00D67EB8" w:rsidRPr="009118AB">
        <w:t> - </w:t>
      </w:r>
      <w:r w:rsidRPr="009118AB">
        <w:t>Bezieht ein Einwohner des Königreichs Berufseinkünfte aus dem Ausland, die aufgrund eines internationalen Abkommens zur Vermeidung der Doppelbesteuerung in Belgien von der Steuer der natürlichen Personen befreit sind, werden die Gemeindezuschlagsteuer und die Agglomerationszuschlagsteuer erwähnt in Artikel 466 trotzdem</w:t>
      </w:r>
      <w:r w:rsidR="00D67EB8" w:rsidRPr="009118AB">
        <w:t> - </w:t>
      </w:r>
      <w:r w:rsidRPr="009118AB">
        <w:t>sofern dies im internationalen Abkommen zugelassen wird</w:t>
      </w:r>
      <w:r w:rsidR="00D67EB8" w:rsidRPr="009118AB">
        <w:t> - </w:t>
      </w:r>
      <w:r w:rsidR="004D0569" w:rsidRPr="009118AB">
        <w:t xml:space="preserve">[auf </w:t>
      </w:r>
      <w:r w:rsidR="003C3E8C" w:rsidRPr="009118AB">
        <w:t>[</w:t>
      </w:r>
      <w:r w:rsidR="004D0569" w:rsidRPr="009118AB">
        <w:t xml:space="preserve">die </w:t>
      </w:r>
      <w:r w:rsidR="003C3E8C" w:rsidRPr="009118AB">
        <w:t>Gesamt</w:t>
      </w:r>
      <w:r w:rsidR="004D0569" w:rsidRPr="009118AB">
        <w:t>steuer</w:t>
      </w:r>
      <w:r w:rsidR="003C3E8C" w:rsidRPr="009118AB">
        <w:t>]</w:t>
      </w:r>
      <w:r w:rsidR="004D0569" w:rsidRPr="009118AB">
        <w:t xml:space="preserve"> berechnet, die festgelegt würde,]</w:t>
      </w:r>
      <w:r w:rsidRPr="009118AB">
        <w:t xml:space="preserve"> wären die betreffenden Berufseinkünfte aus in Belgien gelegenen Quellen bezogen worden.]</w:t>
      </w:r>
    </w:p>
    <w:p w14:paraId="1A9C955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41B132A" w14:textId="0AD0BA2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466bis eingefügt durch </w:t>
      </w:r>
      <w:r w:rsidR="00D67EB8" w:rsidRPr="009118AB">
        <w:rPr>
          <w:i/>
          <w:iCs/>
        </w:rPr>
        <w:t>Art. </w:t>
      </w:r>
      <w:r w:rsidRPr="009118AB">
        <w:rPr>
          <w:i/>
          <w:iCs/>
        </w:rPr>
        <w:t>2 des G. vom 13. Dezember 2002 (B.S. vom 28. Dezember 2002)</w:t>
      </w:r>
      <w:r w:rsidR="004D0569" w:rsidRPr="009118AB">
        <w:rPr>
          <w:i/>
          <w:iCs/>
        </w:rPr>
        <w:t xml:space="preserve"> und abgeändert durch </w:t>
      </w:r>
      <w:r w:rsidR="00D67EB8" w:rsidRPr="009118AB">
        <w:rPr>
          <w:i/>
          <w:iCs/>
        </w:rPr>
        <w:t>Art. </w:t>
      </w:r>
      <w:r w:rsidR="004D0569" w:rsidRPr="009118AB">
        <w:rPr>
          <w:i/>
          <w:iCs/>
        </w:rPr>
        <w:t>40 des G. vom 14. April 2011 (B.S. vom 6. Mai 2011)</w:t>
      </w:r>
      <w:r w:rsidR="00D67EB8" w:rsidRPr="009118AB">
        <w:rPr>
          <w:i/>
          <w:iCs/>
        </w:rPr>
        <w:t> - </w:t>
      </w:r>
      <w:r w:rsidR="004D0569" w:rsidRPr="009118AB">
        <w:rPr>
          <w:i/>
          <w:iCs/>
        </w:rPr>
        <w:t>in Kraft ab dem Steuerjahr 2011</w:t>
      </w:r>
      <w:r w:rsidR="00D67EB8" w:rsidRPr="009118AB">
        <w:rPr>
          <w:i/>
          <w:iCs/>
        </w:rPr>
        <w:t> - </w:t>
      </w:r>
      <w:r w:rsidR="003C3E8C" w:rsidRPr="009118AB">
        <w:rPr>
          <w:i/>
          <w:iCs/>
        </w:rPr>
        <w:t xml:space="preserve">und </w:t>
      </w:r>
      <w:r w:rsidR="00D67EB8" w:rsidRPr="009118AB">
        <w:rPr>
          <w:i/>
          <w:iCs/>
        </w:rPr>
        <w:t>Art. </w:t>
      </w:r>
      <w:r w:rsidR="003C3E8C" w:rsidRPr="009118AB">
        <w:rPr>
          <w:i/>
          <w:iCs/>
        </w:rPr>
        <w:t>95</w:t>
      </w:r>
      <w:r w:rsidR="003C3E8C" w:rsidRPr="009118AB">
        <w:rPr>
          <w:i/>
        </w:rPr>
        <w:t xml:space="preserve"> des G. vom 8. Mai 2014 (B.S. vom 28. Mai 2014)</w:t>
      </w:r>
      <w:r w:rsidR="00D67EB8" w:rsidRPr="009118AB">
        <w:rPr>
          <w:i/>
        </w:rPr>
        <w:t> - </w:t>
      </w:r>
      <w:r w:rsidR="003C3E8C" w:rsidRPr="009118AB">
        <w:rPr>
          <w:i/>
          <w:iCs/>
        </w:rPr>
        <w:t>anwendbar ab dem Steuerjahr 2015</w:t>
      </w:r>
      <w:r w:rsidR="00FD68E8" w:rsidRPr="009118AB">
        <w:rPr>
          <w:i/>
          <w:iCs/>
        </w:rPr>
        <w:t> -]</w:t>
      </w:r>
    </w:p>
    <w:p w14:paraId="1DBAE7D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5CAB5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C264E6C" w14:textId="5428E6F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467</w:t>
      </w:r>
      <w:r w:rsidR="00D67EB8" w:rsidRPr="009118AB">
        <w:t> - </w:t>
      </w:r>
      <w:r w:rsidRPr="009118AB">
        <w:t>Die Zuschlagsteuer auf die Steuer der natürlichen Personen wird entweder von der Gemeinde oder von der Agglomeration zu Lasten der Einwohner des Königreichs festgelegt, die in dieser Gemeinde beziehungsweise in den Gemeinden, die Teil vorerwähnter Agglomeration sind, steuerpflichtig sind.</w:t>
      </w:r>
    </w:p>
    <w:p w14:paraId="749B5DF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7700F8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100581" w14:textId="3EE520A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468</w:t>
      </w:r>
      <w:r w:rsidR="00D67EB8" w:rsidRPr="009118AB">
        <w:t> - </w:t>
      </w:r>
      <w:r w:rsidRPr="009118AB">
        <w:t xml:space="preserve">Die Zuschlagsteuer </w:t>
      </w:r>
      <w:r w:rsidR="00757C0F" w:rsidRPr="009118AB">
        <w:t xml:space="preserve">[auf die Steuer der natürlichen Personen] </w:t>
      </w:r>
      <w:r w:rsidRPr="009118AB">
        <w:t xml:space="preserve">wird für alle Steuerpflichtigen einer selben Agglomeration oder Gemeinde auf einen einheitlichen Prozentsatz </w:t>
      </w:r>
      <w:r w:rsidR="004D0569" w:rsidRPr="009118AB">
        <w:t>[der gemäß den Artikeln 466 und 466</w:t>
      </w:r>
      <w:r w:rsidR="004D0569" w:rsidRPr="009118AB">
        <w:rPr>
          <w:i/>
        </w:rPr>
        <w:t>bis</w:t>
      </w:r>
      <w:r w:rsidR="004D0569" w:rsidRPr="009118AB">
        <w:t xml:space="preserve"> bestimmten Berechnungsgrundlage] </w:t>
      </w:r>
      <w:r w:rsidRPr="009118AB">
        <w:t>festgelegt.</w:t>
      </w:r>
    </w:p>
    <w:p w14:paraId="0EB01BC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275DB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Besteht vorerwähnter Prozentsatz aus einem Bruch, muss dieser auf eine Dezimalstelle begrenzt werden; dieser Prozentsatz darf nicht über 1 Prozent liegen, wenn die Steuer von einer Agglomeration festgelegt wird.</w:t>
      </w:r>
    </w:p>
    <w:p w14:paraId="224311F2" w14:textId="77777777" w:rsidR="001C358C" w:rsidRPr="009118AB" w:rsidRDefault="001C358C" w:rsidP="00F03C96">
      <w:pPr>
        <w:autoSpaceDE w:val="0"/>
        <w:autoSpaceDN w:val="0"/>
        <w:adjustRightInd w:val="0"/>
        <w:jc w:val="both"/>
      </w:pPr>
    </w:p>
    <w:p w14:paraId="021429F0" w14:textId="77777777" w:rsidR="00477B8F" w:rsidRPr="009118AB" w:rsidRDefault="00477B8F" w:rsidP="00F03C96">
      <w:pPr>
        <w:autoSpaceDE w:val="0"/>
        <w:autoSpaceDN w:val="0"/>
        <w:adjustRightInd w:val="0"/>
        <w:jc w:val="both"/>
      </w:pPr>
      <w:r w:rsidRPr="009118AB">
        <w:tab/>
        <w:t xml:space="preserve">Für die Zuschlagsteuer </w:t>
      </w:r>
      <w:r w:rsidR="00757C0F" w:rsidRPr="009118AB">
        <w:t xml:space="preserve">[auf die Steuer der natürlichen Personen] </w:t>
      </w:r>
      <w:r w:rsidRPr="009118AB">
        <w:t>darf keine Ermäßigung, Befreiung oder Ausnahme festgelegt werden.</w:t>
      </w:r>
    </w:p>
    <w:p w14:paraId="5A99986E" w14:textId="77777777" w:rsidR="00ED2394" w:rsidRPr="009118AB" w:rsidRDefault="00ED2394" w:rsidP="00F03C96">
      <w:pPr>
        <w:autoSpaceDE w:val="0"/>
        <w:autoSpaceDN w:val="0"/>
        <w:adjustRightInd w:val="0"/>
        <w:jc w:val="both"/>
      </w:pPr>
    </w:p>
    <w:p w14:paraId="51798F4D" w14:textId="77777777" w:rsidR="00ED2394" w:rsidRPr="009118AB" w:rsidRDefault="00ED2394" w:rsidP="00F03C96">
      <w:pPr>
        <w:autoSpaceDE w:val="0"/>
        <w:autoSpaceDN w:val="0"/>
        <w:adjustRightInd w:val="0"/>
        <w:jc w:val="both"/>
      </w:pPr>
      <w:r w:rsidRPr="009118AB">
        <w:tab/>
        <w:t xml:space="preserve">[Der Prozentsatz der Gemeindezuschlagsteuer auf die Steuer der natürlichen Personen wird durch eine </w:t>
      </w:r>
      <w:r w:rsidRPr="009118AB">
        <w:rPr>
          <w:bCs/>
        </w:rPr>
        <w:t>Steuerverordnung festgelegt, die</w:t>
      </w:r>
      <w:r w:rsidRPr="009118AB">
        <w:t xml:space="preserve"> ab einem bestimmten Steuerjahr</w:t>
      </w:r>
      <w:r w:rsidRPr="009118AB">
        <w:rPr>
          <w:bCs/>
        </w:rPr>
        <w:t xml:space="preserve"> anwendbar ist und</w:t>
      </w:r>
      <w:r w:rsidRPr="009118AB">
        <w:t xml:space="preserve"> spätestens am 31. Januar des Kalenderjahres, dessen </w:t>
      </w:r>
      <w:r w:rsidRPr="009118AB">
        <w:rPr>
          <w:bCs/>
        </w:rPr>
        <w:t xml:space="preserve">Jahreszahl das Steuerjahr bestimmt, in Kraft treten muss. In Ermangelung einer solchen Verordnung wird die </w:t>
      </w:r>
      <w:r w:rsidRPr="009118AB">
        <w:t>Gemeindezuschlagsteuer auf die Steuer der natürlichen Personen auf der Grundlage des für das vorhergehende Steuerjahr anwendbaren Prozentsatzes festgelegt.]</w:t>
      </w:r>
    </w:p>
    <w:p w14:paraId="3F7B5790" w14:textId="77777777" w:rsidR="00ED2394" w:rsidRPr="009118AB" w:rsidRDefault="00ED2394" w:rsidP="00F03C96">
      <w:pPr>
        <w:autoSpaceDE w:val="0"/>
        <w:autoSpaceDN w:val="0"/>
        <w:adjustRightInd w:val="0"/>
        <w:jc w:val="both"/>
      </w:pPr>
    </w:p>
    <w:p w14:paraId="79DAF9F0" w14:textId="18A5224B" w:rsidR="00ED2394" w:rsidRPr="009118AB" w:rsidRDefault="00ED2394" w:rsidP="00F03C96">
      <w:pPr>
        <w:autoSpaceDE w:val="0"/>
        <w:autoSpaceDN w:val="0"/>
        <w:adjustRightInd w:val="0"/>
        <w:jc w:val="both"/>
        <w:rPr>
          <w:i/>
        </w:rPr>
      </w:pPr>
      <w:r w:rsidRPr="009118AB">
        <w:rPr>
          <w:i/>
        </w:rPr>
        <w:t>[</w:t>
      </w:r>
      <w:r w:rsidR="00D67EB8" w:rsidRPr="009118AB">
        <w:rPr>
          <w:i/>
        </w:rPr>
        <w:t>Art. </w:t>
      </w:r>
      <w:r w:rsidRPr="009118AB">
        <w:rPr>
          <w:i/>
        </w:rPr>
        <w:t xml:space="preserve">468 </w:t>
      </w:r>
      <w:r w:rsidR="00D67EB8" w:rsidRPr="009118AB">
        <w:rPr>
          <w:i/>
        </w:rPr>
        <w:t>Abs. </w:t>
      </w:r>
      <w:r w:rsidR="004D0569" w:rsidRPr="009118AB">
        <w:rPr>
          <w:i/>
        </w:rPr>
        <w:t xml:space="preserve">1 abgeändert durch </w:t>
      </w:r>
      <w:r w:rsidR="00D67EB8" w:rsidRPr="009118AB">
        <w:rPr>
          <w:i/>
        </w:rPr>
        <w:t>Art. </w:t>
      </w:r>
      <w:r w:rsidR="004D0569" w:rsidRPr="009118AB">
        <w:rPr>
          <w:i/>
        </w:rPr>
        <w:t>4</w:t>
      </w:r>
      <w:r w:rsidR="00175E0E" w:rsidRPr="009118AB">
        <w:rPr>
          <w:i/>
        </w:rPr>
        <w:t>1</w:t>
      </w:r>
      <w:r w:rsidR="004D0569" w:rsidRPr="009118AB">
        <w:rPr>
          <w:i/>
          <w:iCs/>
        </w:rPr>
        <w:t xml:space="preserve"> des G. vom 14. Apri</w:t>
      </w:r>
      <w:r w:rsidR="00B64F05" w:rsidRPr="009118AB">
        <w:rPr>
          <w:i/>
          <w:iCs/>
        </w:rPr>
        <w:t>l 2011 (B.S. vom 6. Mai 2011)</w:t>
      </w:r>
      <w:r w:rsidR="00D67EB8" w:rsidRPr="009118AB">
        <w:rPr>
          <w:i/>
          <w:iCs/>
        </w:rPr>
        <w:t> - </w:t>
      </w:r>
      <w:r w:rsidR="004D0569" w:rsidRPr="009118AB">
        <w:rPr>
          <w:i/>
          <w:iCs/>
        </w:rPr>
        <w:t>in Kraft ab dem Steuerjahr 2011</w:t>
      </w:r>
      <w:r w:rsidR="00D67EB8" w:rsidRPr="009118AB">
        <w:rPr>
          <w:i/>
          <w:iCs/>
        </w:rPr>
        <w:t> - </w:t>
      </w:r>
      <w:r w:rsidR="00757C0F" w:rsidRPr="009118AB">
        <w:rPr>
          <w:i/>
          <w:iCs/>
        </w:rPr>
        <w:t xml:space="preserve">und </w:t>
      </w:r>
      <w:r w:rsidR="00D67EB8" w:rsidRPr="009118AB">
        <w:rPr>
          <w:i/>
          <w:iCs/>
        </w:rPr>
        <w:t>Art. </w:t>
      </w:r>
      <w:r w:rsidR="00757C0F" w:rsidRPr="009118AB">
        <w:rPr>
          <w:i/>
          <w:iCs/>
        </w:rPr>
        <w:t xml:space="preserve">4 </w:t>
      </w:r>
      <w:r w:rsidR="00D67EB8" w:rsidRPr="009118AB">
        <w:rPr>
          <w:i/>
          <w:iCs/>
        </w:rPr>
        <w:t>Nr. </w:t>
      </w:r>
      <w:r w:rsidR="00757C0F" w:rsidRPr="009118AB">
        <w:rPr>
          <w:i/>
          <w:iCs/>
        </w:rPr>
        <w:t>1</w:t>
      </w:r>
      <w:r w:rsidR="00757C0F" w:rsidRPr="009118AB">
        <w:rPr>
          <w:i/>
        </w:rPr>
        <w:t xml:space="preserve"> des G. vom 19. April 2014 (B.S. vom 16. Mai 2014)</w:t>
      </w:r>
      <w:r w:rsidR="00D67EB8" w:rsidRPr="009118AB">
        <w:rPr>
          <w:i/>
        </w:rPr>
        <w:t> - </w:t>
      </w:r>
      <w:r w:rsidR="00757C0F" w:rsidRPr="009118AB">
        <w:rPr>
          <w:i/>
        </w:rPr>
        <w:t>anwendbar ab dem Steuerjahr 2015</w:t>
      </w:r>
      <w:r w:rsidR="003366D9" w:rsidRPr="009118AB">
        <w:rPr>
          <w:i/>
        </w:rPr>
        <w:t> -;</w:t>
      </w:r>
      <w:r w:rsidR="00757C0F" w:rsidRPr="009118AB">
        <w:rPr>
          <w:i/>
          <w:iCs/>
        </w:rPr>
        <w:t xml:space="preserve"> </w:t>
      </w:r>
      <w:r w:rsidR="00D67EB8" w:rsidRPr="009118AB">
        <w:rPr>
          <w:i/>
          <w:iCs/>
        </w:rPr>
        <w:t>Abs. </w:t>
      </w:r>
      <w:r w:rsidR="00757C0F" w:rsidRPr="009118AB">
        <w:rPr>
          <w:i/>
          <w:iCs/>
        </w:rPr>
        <w:t xml:space="preserve">3 abgeändert durch </w:t>
      </w:r>
      <w:r w:rsidR="00D67EB8" w:rsidRPr="009118AB">
        <w:rPr>
          <w:i/>
          <w:iCs/>
        </w:rPr>
        <w:t>Art. </w:t>
      </w:r>
      <w:r w:rsidR="00757C0F" w:rsidRPr="009118AB">
        <w:rPr>
          <w:i/>
          <w:iCs/>
        </w:rPr>
        <w:t xml:space="preserve">4 </w:t>
      </w:r>
      <w:r w:rsidR="00D67EB8" w:rsidRPr="009118AB">
        <w:rPr>
          <w:i/>
          <w:iCs/>
        </w:rPr>
        <w:t>Nr. </w:t>
      </w:r>
      <w:r w:rsidR="00757C0F" w:rsidRPr="009118AB">
        <w:rPr>
          <w:i/>
          <w:iCs/>
        </w:rPr>
        <w:t>2</w:t>
      </w:r>
      <w:r w:rsidR="00757C0F" w:rsidRPr="009118AB">
        <w:rPr>
          <w:i/>
        </w:rPr>
        <w:t xml:space="preserve"> des G. vom 19. April 2014 (B.S. vom 16. Mai 2014)</w:t>
      </w:r>
      <w:r w:rsidR="00D67EB8" w:rsidRPr="009118AB">
        <w:rPr>
          <w:i/>
        </w:rPr>
        <w:t> - </w:t>
      </w:r>
      <w:r w:rsidR="00757C0F" w:rsidRPr="009118AB">
        <w:rPr>
          <w:i/>
        </w:rPr>
        <w:t>anwendbar ab dem Steuerjahr 2015</w:t>
      </w:r>
      <w:r w:rsidR="003366D9" w:rsidRPr="009118AB">
        <w:rPr>
          <w:i/>
        </w:rPr>
        <w:t> -;</w:t>
      </w:r>
      <w:r w:rsidR="004D0569" w:rsidRPr="009118AB">
        <w:rPr>
          <w:i/>
          <w:iCs/>
        </w:rPr>
        <w:t xml:space="preserve"> </w:t>
      </w:r>
      <w:r w:rsidR="00D67EB8" w:rsidRPr="009118AB">
        <w:rPr>
          <w:i/>
        </w:rPr>
        <w:t>Abs. </w:t>
      </w:r>
      <w:r w:rsidRPr="009118AB">
        <w:rPr>
          <w:i/>
        </w:rPr>
        <w:t xml:space="preserve">4 eingefügt durch </w:t>
      </w:r>
      <w:r w:rsidR="00D67EB8" w:rsidRPr="009118AB">
        <w:rPr>
          <w:i/>
        </w:rPr>
        <w:t>Art. </w:t>
      </w:r>
      <w:r w:rsidRPr="009118AB">
        <w:rPr>
          <w:i/>
        </w:rPr>
        <w:t>3 des G. vom 24. Juli 2008</w:t>
      </w:r>
      <w:r w:rsidR="007F2A94" w:rsidRPr="009118AB">
        <w:rPr>
          <w:i/>
        </w:rPr>
        <w:t xml:space="preserve"> (II)</w:t>
      </w:r>
      <w:r w:rsidRPr="009118AB">
        <w:rPr>
          <w:i/>
        </w:rPr>
        <w:t xml:space="preserve"> (B.S. vom 8.</w:t>
      </w:r>
      <w:r w:rsidR="007F2A94" w:rsidRPr="009118AB">
        <w:rPr>
          <w:i/>
        </w:rPr>
        <w:t> </w:t>
      </w:r>
      <w:r w:rsidR="00B64F05" w:rsidRPr="009118AB">
        <w:rPr>
          <w:i/>
        </w:rPr>
        <w:t>August 2008)</w:t>
      </w:r>
      <w:r w:rsidR="00D67EB8" w:rsidRPr="009118AB">
        <w:rPr>
          <w:i/>
        </w:rPr>
        <w:t> - </w:t>
      </w:r>
      <w:r w:rsidRPr="009118AB">
        <w:rPr>
          <w:i/>
        </w:rPr>
        <w:t>anwendbar ab dem Steuerjahr 2009</w:t>
      </w:r>
      <w:r w:rsidR="00FD68E8" w:rsidRPr="009118AB">
        <w:rPr>
          <w:i/>
        </w:rPr>
        <w:t> -]</w:t>
      </w:r>
    </w:p>
    <w:p w14:paraId="60B3691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DD38FC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83F2813" w14:textId="60913F4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469</w:t>
      </w:r>
      <w:r w:rsidR="00D67EB8" w:rsidRPr="009118AB">
        <w:t> - </w:t>
      </w:r>
      <w:r w:rsidRPr="009118AB">
        <w:t xml:space="preserve">Festlegung und Erhebung der Zuschlagsteuern </w:t>
      </w:r>
      <w:r w:rsidR="00757C0F" w:rsidRPr="009118AB">
        <w:t xml:space="preserve">[auf die Steuer der natürlichen Personen] </w:t>
      </w:r>
      <w:r w:rsidRPr="009118AB">
        <w:t xml:space="preserve">werden der </w:t>
      </w:r>
      <w:r w:rsidR="00FC24E5" w:rsidRPr="009118AB">
        <w:t xml:space="preserve">[mit der Festlegung der Einkommensteuern beauftragten Verwaltung und der mit der Einnahme und Beitreibung der Einkommensteuern beauftragten Verwaltung] </w:t>
      </w:r>
      <w:r w:rsidRPr="009118AB">
        <w:t>unter Bedingungen und gemäß Modalitäten, die vom König bestimmt werden, anvertraut.</w:t>
      </w:r>
    </w:p>
    <w:p w14:paraId="49F11A8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193544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Diese Zuschlagsteuern werden per Berufssteuervorabzug oder Vorauszahlungen erhoben, als ob der Gesamtsatz dieser Steuern einheitlich auf 6 Prozent festgelegt wäre. [Der König kann diesen Prozentsatz durch einen im Ministerrat beratenen Erlass auf höchstens 7 Prozent erhöhen.]</w:t>
      </w:r>
    </w:p>
    <w:p w14:paraId="4C16151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6331A2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Die Bestimmungen von Titel VII des vorliegenden Gesetzbuches sind auf diese Steuern anwendbar, sofern nicht von ihnen abgewichen wird.</w:t>
      </w:r>
    </w:p>
    <w:p w14:paraId="717DF52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8327D23" w14:textId="77777777" w:rsidR="00477B8F" w:rsidRPr="009118AB" w:rsidRDefault="00B2189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br w:type="page"/>
      </w:r>
      <w:r w:rsidR="00477B8F" w:rsidRPr="009118AB">
        <w:tab/>
        <w:t>[...]</w:t>
      </w:r>
    </w:p>
    <w:p w14:paraId="13F7626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4862C0F" w14:textId="3CA506B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469 </w:t>
      </w:r>
      <w:r w:rsidR="00D67EB8" w:rsidRPr="009118AB">
        <w:rPr>
          <w:i/>
          <w:iCs/>
        </w:rPr>
        <w:t>Abs. </w:t>
      </w:r>
      <w:r w:rsidR="00757C0F" w:rsidRPr="009118AB">
        <w:rPr>
          <w:i/>
          <w:iCs/>
        </w:rPr>
        <w:t xml:space="preserve">1 abgeändert durch </w:t>
      </w:r>
      <w:r w:rsidR="00D67EB8" w:rsidRPr="009118AB">
        <w:rPr>
          <w:i/>
          <w:iCs/>
        </w:rPr>
        <w:t>Art. </w:t>
      </w:r>
      <w:r w:rsidR="00757C0F" w:rsidRPr="009118AB">
        <w:rPr>
          <w:i/>
          <w:iCs/>
        </w:rPr>
        <w:t>5</w:t>
      </w:r>
      <w:r w:rsidR="00757C0F" w:rsidRPr="009118AB">
        <w:rPr>
          <w:i/>
        </w:rPr>
        <w:t xml:space="preserve"> des G. vom 19. April</w:t>
      </w:r>
      <w:r w:rsidR="00B64F05" w:rsidRPr="009118AB">
        <w:rPr>
          <w:i/>
        </w:rPr>
        <w:t> 2014 (B.S. vom 16. Mai 2014)</w:t>
      </w:r>
      <w:r w:rsidR="00D67EB8" w:rsidRPr="009118AB">
        <w:rPr>
          <w:i/>
        </w:rPr>
        <w:t> - </w:t>
      </w:r>
      <w:r w:rsidR="00757C0F" w:rsidRPr="009118AB">
        <w:rPr>
          <w:i/>
        </w:rPr>
        <w:t>anwendbar ab dem Steuerjahr 2015</w:t>
      </w:r>
      <w:r w:rsidR="00D67EB8" w:rsidRPr="009118AB">
        <w:rPr>
          <w:i/>
        </w:rPr>
        <w:t> - </w:t>
      </w:r>
      <w:r w:rsidR="00FC24E5" w:rsidRPr="009118AB">
        <w:rPr>
          <w:i/>
        </w:rPr>
        <w:t xml:space="preserve">und </w:t>
      </w:r>
      <w:r w:rsidR="00D67EB8" w:rsidRPr="009118AB">
        <w:rPr>
          <w:i/>
        </w:rPr>
        <w:t>Art. </w:t>
      </w:r>
      <w:r w:rsidR="00FC24E5" w:rsidRPr="009118AB">
        <w:rPr>
          <w:i/>
        </w:rPr>
        <w:t>21</w:t>
      </w:r>
      <w:r w:rsidR="00FC24E5" w:rsidRPr="009118AB">
        <w:rPr>
          <w:i/>
          <w:iCs/>
        </w:rPr>
        <w:t xml:space="preserve"> des G. vom 25. April 2014 (I) (B.S. vom 16. Mai 2014)</w:t>
      </w:r>
      <w:r w:rsidR="00D67EB8" w:rsidRPr="009118AB">
        <w:rPr>
          <w:i/>
          <w:iCs/>
        </w:rPr>
        <w:t> - </w:t>
      </w:r>
      <w:r w:rsidR="00FC24E5" w:rsidRPr="009118AB">
        <w:rPr>
          <w:i/>
          <w:iCs/>
        </w:rPr>
        <w:t>in Kraft am 16. Mai 2014</w:t>
      </w:r>
      <w:r w:rsidR="003366D9" w:rsidRPr="009118AB">
        <w:rPr>
          <w:i/>
          <w:iCs/>
        </w:rPr>
        <w:t> -;</w:t>
      </w:r>
      <w:r w:rsidR="00757C0F" w:rsidRPr="009118AB">
        <w:rPr>
          <w:i/>
        </w:rPr>
        <w:t xml:space="preserve"> </w:t>
      </w:r>
      <w:r w:rsidR="00D67EB8" w:rsidRPr="009118AB">
        <w:rPr>
          <w:i/>
          <w:iCs/>
        </w:rPr>
        <w:t>Abs. </w:t>
      </w:r>
      <w:r w:rsidRPr="009118AB">
        <w:rPr>
          <w:i/>
          <w:iCs/>
        </w:rPr>
        <w:t xml:space="preserve">2 ergänzt durch </w:t>
      </w:r>
      <w:r w:rsidR="00D67EB8" w:rsidRPr="009118AB">
        <w:rPr>
          <w:i/>
          <w:iCs/>
        </w:rPr>
        <w:t>Art. </w:t>
      </w:r>
      <w:r w:rsidRPr="009118AB">
        <w:rPr>
          <w:i/>
          <w:iCs/>
        </w:rPr>
        <w:t xml:space="preserve">399 des G. (I) vom 24. Dezember 2002 </w:t>
      </w:r>
      <w:r w:rsidR="00D86BCC" w:rsidRPr="009118AB">
        <w:rPr>
          <w:i/>
          <w:iCs/>
        </w:rPr>
        <w:t xml:space="preserve">(I) </w:t>
      </w:r>
      <w:r w:rsidRPr="009118AB">
        <w:rPr>
          <w:i/>
          <w:iCs/>
        </w:rPr>
        <w:t>(B.S. vom 31. Dezember 2002)</w:t>
      </w:r>
      <w:r w:rsidR="00D67EB8" w:rsidRPr="009118AB">
        <w:rPr>
          <w:i/>
          <w:iCs/>
        </w:rPr>
        <w:t> - </w:t>
      </w:r>
      <w:r w:rsidRPr="009118AB">
        <w:rPr>
          <w:i/>
          <w:iCs/>
        </w:rPr>
        <w:t>in Kraft ab dem 1. Januar 2004</w:t>
      </w:r>
      <w:r w:rsidR="003366D9" w:rsidRPr="009118AB">
        <w:rPr>
          <w:i/>
          <w:iCs/>
        </w:rPr>
        <w:t> -;</w:t>
      </w:r>
      <w:r w:rsidRPr="009118AB">
        <w:rPr>
          <w:i/>
          <w:iCs/>
        </w:rPr>
        <w:t xml:space="preserve"> </w:t>
      </w:r>
      <w:r w:rsidR="00D67EB8" w:rsidRPr="009118AB">
        <w:rPr>
          <w:i/>
          <w:iCs/>
        </w:rPr>
        <w:t>Abs. </w:t>
      </w:r>
      <w:r w:rsidRPr="009118AB">
        <w:rPr>
          <w:i/>
          <w:iCs/>
        </w:rPr>
        <w:t xml:space="preserve">4 aufgehoben durch </w:t>
      </w:r>
      <w:r w:rsidR="00D67EB8" w:rsidRPr="009118AB">
        <w:rPr>
          <w:i/>
          <w:iCs/>
        </w:rPr>
        <w:t>Art. </w:t>
      </w:r>
      <w:r w:rsidRPr="009118AB">
        <w:rPr>
          <w:i/>
          <w:iCs/>
        </w:rPr>
        <w:t>48 des G. vom 15. März 1999 (B.S. vom 27. März 1999)]</w:t>
      </w:r>
    </w:p>
    <w:p w14:paraId="7A5508D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B415F0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E73C21" w14:textId="041820E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470</w:t>
      </w:r>
      <w:r w:rsidR="00D67EB8" w:rsidRPr="009118AB">
        <w:t> - </w:t>
      </w:r>
      <w:r w:rsidRPr="009118AB">
        <w:t>Auf den Betrag der in den Artikeln 465 bis 469 erwähnten Zuschlagsteuern wird eine [Kürzung von 1 Prozent] zur Rückzahlung der Verwaltungskosten an die Staatskasse einbehalten.</w:t>
      </w:r>
    </w:p>
    <w:p w14:paraId="12FA746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D4FCEDC" w14:textId="2264AB1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470 abgeändert durch </w:t>
      </w:r>
      <w:r w:rsidR="00D67EB8" w:rsidRPr="009118AB">
        <w:rPr>
          <w:i/>
          <w:iCs/>
        </w:rPr>
        <w:t>Art. </w:t>
      </w:r>
      <w:r w:rsidRPr="009118AB">
        <w:rPr>
          <w:i/>
          <w:iCs/>
        </w:rPr>
        <w:t>2 Buchstabe A und B des G. vom 10. Dezember 2001 (II) (B.S. vom 28. Dezember 2001)</w:t>
      </w:r>
      <w:r w:rsidR="00D67EB8" w:rsidRPr="009118AB">
        <w:rPr>
          <w:i/>
          <w:iCs/>
        </w:rPr>
        <w:t> - </w:t>
      </w:r>
      <w:r w:rsidRPr="009118AB">
        <w:rPr>
          <w:i/>
          <w:iCs/>
        </w:rPr>
        <w:t>in Kraft ab dem 1. Januar 2003</w:t>
      </w:r>
      <w:r w:rsidR="00FD68E8" w:rsidRPr="009118AB">
        <w:rPr>
          <w:i/>
          <w:iCs/>
        </w:rPr>
        <w:t> -]</w:t>
      </w:r>
    </w:p>
    <w:p w14:paraId="69BFA00B" w14:textId="3B70EC4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t>[</w:t>
      </w:r>
      <w:r w:rsidR="002E1AB9" w:rsidRPr="009118AB">
        <w:rPr>
          <w:b/>
          <w:bCs/>
        </w:rPr>
        <w:t>KAPITEL </w:t>
      </w:r>
      <w:r w:rsidR="007828ED" w:rsidRPr="009118AB">
        <w:rPr>
          <w:b/>
          <w:bCs/>
        </w:rPr>
        <w:t>3</w:t>
      </w:r>
      <w:r w:rsidR="00D67EB8" w:rsidRPr="009118AB">
        <w:t> - </w:t>
      </w:r>
      <w:r w:rsidRPr="009118AB">
        <w:rPr>
          <w:i/>
          <w:iCs/>
        </w:rPr>
        <w:t>Besondere Eintreibungsregeln</w:t>
      </w:r>
    </w:p>
    <w:p w14:paraId="776BA2D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7752A13D" w14:textId="23DB9C0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[Kapitel </w:t>
      </w:r>
      <w:r w:rsidR="007828ED" w:rsidRPr="009118AB">
        <w:rPr>
          <w:i/>
          <w:iCs/>
        </w:rPr>
        <w:t>3</w:t>
      </w:r>
      <w:r w:rsidRPr="009118AB">
        <w:rPr>
          <w:i/>
          <w:iCs/>
        </w:rPr>
        <w:t xml:space="preserve"> mit </w:t>
      </w:r>
      <w:r w:rsidR="00B6468F" w:rsidRPr="009118AB">
        <w:rPr>
          <w:i/>
          <w:iCs/>
        </w:rPr>
        <w:t>früherem Artikel</w:t>
      </w:r>
      <w:r w:rsidRPr="009118AB">
        <w:rPr>
          <w:i/>
          <w:iCs/>
        </w:rPr>
        <w:t xml:space="preserve"> 470bis eingefügt durch </w:t>
      </w:r>
      <w:r w:rsidR="00D67EB8" w:rsidRPr="009118AB">
        <w:rPr>
          <w:i/>
          <w:iCs/>
        </w:rPr>
        <w:t>Art. </w:t>
      </w:r>
      <w:r w:rsidRPr="009118AB">
        <w:rPr>
          <w:i/>
          <w:iCs/>
        </w:rPr>
        <w:t>52 des G. vom 22. Dezember 1998 (B.S. vom 15. Januar 1999)</w:t>
      </w:r>
      <w:r w:rsidR="00D67EB8" w:rsidRPr="009118AB">
        <w:rPr>
          <w:i/>
          <w:iCs/>
        </w:rPr>
        <w:t> - </w:t>
      </w:r>
      <w:r w:rsidRPr="009118AB">
        <w:rPr>
          <w:i/>
          <w:iCs/>
        </w:rPr>
        <w:t>anwendbar auf die Zuweisungen, die ab dem 1. Februar 1999 erfolgen</w:t>
      </w:r>
      <w:r w:rsidR="00FD68E8" w:rsidRPr="009118AB">
        <w:rPr>
          <w:i/>
          <w:iCs/>
        </w:rPr>
        <w:t> -]</w:t>
      </w:r>
    </w:p>
    <w:p w14:paraId="380095A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97AD2B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F240D2" w14:textId="6EF9695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B6468F" w:rsidRPr="009118AB">
        <w:t>[</w:t>
      </w:r>
      <w:r w:rsidR="00D67EB8" w:rsidRPr="009118AB">
        <w:rPr>
          <w:b/>
          <w:bCs/>
        </w:rPr>
        <w:t>Art. </w:t>
      </w:r>
      <w:r w:rsidRPr="009118AB">
        <w:rPr>
          <w:b/>
          <w:bCs/>
        </w:rPr>
        <w:t>470</w:t>
      </w:r>
      <w:r w:rsidR="00B6468F" w:rsidRPr="009118AB">
        <w:rPr>
          <w:b/>
          <w:bCs/>
          <w:i/>
          <w:iCs/>
        </w:rPr>
        <w:t>/</w:t>
      </w:r>
      <w:r w:rsidR="00B6468F" w:rsidRPr="009118AB">
        <w:rPr>
          <w:b/>
          <w:bCs/>
          <w:iCs/>
        </w:rPr>
        <w:t>1</w:t>
      </w:r>
      <w:r w:rsidR="00B6468F" w:rsidRPr="009118AB">
        <w:rPr>
          <w:bCs/>
          <w:iCs/>
        </w:rPr>
        <w:t>]</w:t>
      </w:r>
      <w:r w:rsidR="00D67EB8" w:rsidRPr="009118AB">
        <w:t> - </w:t>
      </w:r>
      <w:r w:rsidRPr="009118AB">
        <w:t xml:space="preserve">Die </w:t>
      </w:r>
      <w:r w:rsidR="00FC24E5" w:rsidRPr="009118AB">
        <w:t xml:space="preserve">[mit der Einnahme und Beitreibung der Einkommensteuern beauftragte Verwaltung] </w:t>
      </w:r>
      <w:r w:rsidRPr="009118AB">
        <w:t>weist den Provinzen, Gemeinden und Gemeindeagglomerationen die zu ihren Gunsten erzielten Einnahmen zu, abzüglich der Nachlasse, die für ihre Rechnung in dem Monat ausgezahlt werden, in dem diese Einnahmen eingenommen werden.</w:t>
      </w:r>
    </w:p>
    <w:p w14:paraId="33AD94A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2D894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Übersteigen die in einem Monat zu Lasten einer Provinz, Gemeinde oder Gemeindeagglomeration ausgezahlten Nachlasse die Einnahmen, die in demselben Monat von der </w:t>
      </w:r>
      <w:r w:rsidR="00FC24E5" w:rsidRPr="009118AB">
        <w:t xml:space="preserve">[mit der Einnahme und Beitreibung der Einkommensteuern beauftragten Verwaltung] </w:t>
      </w:r>
      <w:r w:rsidRPr="009118AB">
        <w:t>für Rechnung dieser Behörde eingenommen wurden, bildet dieser Mehrbetrag für vorerwähnte Verwaltung eine bei der Provinz, Gemeinde oder Gemeindeagglomeration eintreibbare Schuldforderung</w:t>
      </w:r>
      <w:r w:rsidR="00AE2689" w:rsidRPr="009118AB">
        <w:t xml:space="preserve"> </w:t>
      </w:r>
      <w:r w:rsidR="00AE2689" w:rsidRPr="009118AB">
        <w:rPr>
          <w:i/>
          <w:iCs/>
        </w:rPr>
        <w:t>[sic! Zu lesen ist: "</w:t>
      </w:r>
      <w:r w:rsidR="00AE2689" w:rsidRPr="009118AB">
        <w:rPr>
          <w:i/>
          <w:iCs/>
          <w:lang w:eastAsia="fr-BE"/>
        </w:rPr>
        <w:t>beitreibbare Forderung</w:t>
      </w:r>
      <w:r w:rsidR="00AE2689" w:rsidRPr="009118AB">
        <w:rPr>
          <w:i/>
          <w:iCs/>
        </w:rPr>
        <w:t>"]</w:t>
      </w:r>
      <w:r w:rsidRPr="009118AB">
        <w:t>.</w:t>
      </w:r>
    </w:p>
    <w:p w14:paraId="5EF7B61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010852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Vorerwähnte Schuldforderung wird per Einbehaltung von Amts wegen auf die Zuweisung der Einnahmen des Monats, der auf den Monat der Anrechnung der Nachlasse folgt, eingetrieben; dieser einmonatige Aufschub wird von der </w:t>
      </w:r>
      <w:r w:rsidR="002F22E0" w:rsidRPr="009118AB">
        <w:t xml:space="preserve">[Generalverwaltung Schatzamt] </w:t>
      </w:r>
      <w:r w:rsidRPr="009118AB">
        <w:t>finanziert.</w:t>
      </w:r>
    </w:p>
    <w:p w14:paraId="74D07D2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D5F5C5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Bevor vorerwähnte Einbehaltung von Amts wegen durchgeführt wird, notifiziert die </w:t>
      </w:r>
      <w:r w:rsidR="00FC24E5" w:rsidRPr="009118AB">
        <w:t xml:space="preserve">[mit der Einnahme und Beitreibung der Einkommensteuern beauftragte Verwaltung] </w:t>
      </w:r>
      <w:r w:rsidRPr="009118AB">
        <w:t>der Provinz, Gemeinde oder Gemeindeagglomeration den Betrag ihrer Schuldforderung.</w:t>
      </w:r>
    </w:p>
    <w:p w14:paraId="4E67A2B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8DA509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Reicht der Betrag der Einnahmen, die in dem Monat zugewiesen werden, der auf den Monat der Anrechnung der Nachlasse folgt, nicht aus, um den Betrag der Schuldforderung zu decken, der nach Anwendung von Absatz 3 übrig bleibt, wird dieser Betrag beglichen, indem das Finanzkonto, das die Provinz, Gemeinde oder Gemeindeagglomeration für die Einzahlung der für ihre Rechnung eingenommenen Einnahmen bestimmt hat, von Amts wegen belastet wird.</w:t>
      </w:r>
    </w:p>
    <w:p w14:paraId="6A51E82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344D8F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Die </w:t>
      </w:r>
      <w:r w:rsidR="00FC24E5" w:rsidRPr="009118AB">
        <w:t xml:space="preserve">[mit der Einnahme und Beitreibung der Einkommensteuern beauftragte Verwaltung] </w:t>
      </w:r>
      <w:r w:rsidRPr="009118AB">
        <w:t>notifiziert der Provinz, Gemeinde oder Gemeindeagglomeration und dem Kreditinstitut vorher den Betrag der zu begleichenden Schuldforderung.</w:t>
      </w:r>
    </w:p>
    <w:p w14:paraId="63456F8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9D44D0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König bestimmt die Modalitäten der Anwendung des vorliegenden Artikels.]</w:t>
      </w:r>
    </w:p>
    <w:p w14:paraId="609D0912" w14:textId="77777777" w:rsidR="002F22E0" w:rsidRPr="009118AB" w:rsidRDefault="002F22E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371E277" w14:textId="5163A6F7" w:rsidR="002F22E0" w:rsidRPr="009118AB" w:rsidRDefault="002F22E0" w:rsidP="002F2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
        </w:rPr>
        <w:t>[</w:t>
      </w:r>
      <w:r w:rsidR="00B6468F" w:rsidRPr="009118AB">
        <w:rPr>
          <w:i/>
        </w:rPr>
        <w:t xml:space="preserve">Früherer </w:t>
      </w:r>
      <w:r w:rsidRPr="009118AB">
        <w:rPr>
          <w:i/>
        </w:rPr>
        <w:t>Art</w:t>
      </w:r>
      <w:r w:rsidR="00B6468F" w:rsidRPr="009118AB">
        <w:rPr>
          <w:i/>
        </w:rPr>
        <w:t>ikel</w:t>
      </w:r>
      <w:r w:rsidRPr="009118AB">
        <w:rPr>
          <w:i/>
        </w:rPr>
        <w:t> 470bis</w:t>
      </w:r>
      <w:r w:rsidR="00B6468F" w:rsidRPr="009118AB">
        <w:rPr>
          <w:i/>
        </w:rPr>
        <w:t xml:space="preserve"> umnummeriert zu </w:t>
      </w:r>
      <w:r w:rsidR="00D67EB8" w:rsidRPr="009118AB">
        <w:rPr>
          <w:i/>
        </w:rPr>
        <w:t>Art. </w:t>
      </w:r>
      <w:r w:rsidR="00B6468F" w:rsidRPr="009118AB">
        <w:rPr>
          <w:i/>
        </w:rPr>
        <w:t xml:space="preserve">470/1 durch </w:t>
      </w:r>
      <w:r w:rsidR="00D67EB8" w:rsidRPr="009118AB">
        <w:rPr>
          <w:i/>
        </w:rPr>
        <w:t>Art. </w:t>
      </w:r>
      <w:r w:rsidR="00B6468F" w:rsidRPr="009118AB">
        <w:rPr>
          <w:i/>
        </w:rPr>
        <w:t>2 des G. vom 31. Juli 2017 (III) (B.S. vom 11. August 2017)</w:t>
      </w:r>
      <w:r w:rsidR="00D67EB8" w:rsidRPr="009118AB">
        <w:rPr>
          <w:i/>
        </w:rPr>
        <w:t> - </w:t>
      </w:r>
      <w:r w:rsidR="00B6468F" w:rsidRPr="009118AB">
        <w:rPr>
          <w:i/>
        </w:rPr>
        <w:t>in Kraft am 1. September 2017</w:t>
      </w:r>
      <w:r w:rsidR="003366D9" w:rsidRPr="009118AB">
        <w:rPr>
          <w:i/>
        </w:rPr>
        <w:t> -;</w:t>
      </w:r>
      <w:r w:rsidR="00B6468F" w:rsidRPr="009118AB">
        <w:rPr>
          <w:i/>
        </w:rPr>
        <w:t xml:space="preserve"> </w:t>
      </w:r>
      <w:r w:rsidR="00D67EB8" w:rsidRPr="009118AB">
        <w:rPr>
          <w:i/>
        </w:rPr>
        <w:t>Abs. </w:t>
      </w:r>
      <w:r w:rsidRPr="009118AB">
        <w:rPr>
          <w:i/>
        </w:rPr>
        <w:t xml:space="preserve">1 bis 4 und 6 abgeändert durch </w:t>
      </w:r>
      <w:r w:rsidR="00D67EB8" w:rsidRPr="009118AB">
        <w:rPr>
          <w:i/>
        </w:rPr>
        <w:t>Art. </w:t>
      </w:r>
      <w:r w:rsidRPr="009118AB">
        <w:rPr>
          <w:i/>
        </w:rPr>
        <w:t>22</w:t>
      </w:r>
      <w:r w:rsidRPr="009118AB">
        <w:rPr>
          <w:i/>
          <w:iCs/>
        </w:rPr>
        <w:t xml:space="preserve"> des G. vom 25. April 2014 (I) (B.S. vom 16. Mai 2014)</w:t>
      </w:r>
      <w:r w:rsidR="00D67EB8" w:rsidRPr="009118AB">
        <w:rPr>
          <w:i/>
          <w:iCs/>
        </w:rPr>
        <w:t> - </w:t>
      </w:r>
      <w:r w:rsidRPr="009118AB">
        <w:rPr>
          <w:i/>
          <w:iCs/>
        </w:rPr>
        <w:t>in Kraft am 16. Mai 2014</w:t>
      </w:r>
      <w:r w:rsidR="00FD68E8" w:rsidRPr="009118AB">
        <w:rPr>
          <w:i/>
          <w:iCs/>
        </w:rPr>
        <w:t> -]</w:t>
      </w:r>
    </w:p>
    <w:p w14:paraId="4309AA6D" w14:textId="77777777" w:rsidR="00B6468F" w:rsidRPr="009118AB" w:rsidRDefault="00B6468F" w:rsidP="002F2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64DBDE1A" w14:textId="77777777" w:rsidR="00B6468F" w:rsidRPr="009118AB" w:rsidRDefault="00B6468F" w:rsidP="002F2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61E488B9" w14:textId="1046A063" w:rsidR="00B6468F" w:rsidRPr="009118AB" w:rsidRDefault="00B6468F" w:rsidP="00B6468F">
      <w:pPr>
        <w:ind w:firstLine="708"/>
        <w:jc w:val="both"/>
      </w:pPr>
      <w:r w:rsidRPr="009118AB">
        <w:rPr>
          <w:iCs/>
        </w:rPr>
        <w:tab/>
        <w:t>[</w:t>
      </w:r>
      <w:r w:rsidR="00D67EB8" w:rsidRPr="009118AB">
        <w:rPr>
          <w:b/>
        </w:rPr>
        <w:t>Art. </w:t>
      </w:r>
      <w:r w:rsidRPr="009118AB">
        <w:rPr>
          <w:b/>
        </w:rPr>
        <w:t>470/2</w:t>
      </w:r>
      <w:r w:rsidR="00D67EB8" w:rsidRPr="009118AB">
        <w:t> - </w:t>
      </w:r>
      <w:r w:rsidRPr="009118AB">
        <w:t>Was das Aufkommen der Gemeindezuschlagsteuer auf die Steuer der natürlichen Personen angeht, gewährt der Föderale Öffentliche Dienst Finanzen den Gemeinden in Abweichung von Artikel 470/1 während eines Zeitraums von acht Monaten monatliche Vorschüsse in Bezug auf dieses Aufkommen der Gemeindezuschlagsteuer auf die Steuer der natürlichen Personen, die 80 Prozent der veranschlagten Einnahmen des laufenden Steuerjahres darstellen.</w:t>
      </w:r>
    </w:p>
    <w:p w14:paraId="175E1606" w14:textId="77777777" w:rsidR="00B6468F" w:rsidRPr="009118AB" w:rsidRDefault="00B6468F" w:rsidP="00B6468F">
      <w:pPr>
        <w:jc w:val="both"/>
      </w:pPr>
    </w:p>
    <w:p w14:paraId="0F7F9E7A" w14:textId="5E2A2E93" w:rsidR="00B6468F" w:rsidRPr="009118AB" w:rsidRDefault="003114E7" w:rsidP="00B6468F">
      <w:pPr>
        <w:ind w:firstLine="708"/>
        <w:jc w:val="both"/>
      </w:pPr>
      <w:r w:rsidRPr="009118AB">
        <w:t>[Diese Vorschüsse werden für die Monate September, Oktober, November und Dezember des laufenden Steuerjahres und für die Monate Januar, Februar, März und April des Kalenderjahres nach dem betreffenden Steuerjahr am drittletzten Werktag des Monats ausgezahlt. Für alle Gemeinden wird für jeden Monat des Zeitraums September bis Dezember und für jeden Monat des Zeitraums Januar bis April ein gleicher Prozentsatz für die Zuweisung der veranschlagten Einnahmen des laufenden Steuerjahres festgelegt. Der Zuweisungs</w:t>
      </w:r>
      <w:r w:rsidRPr="009118AB">
        <w:softHyphen/>
        <w:t>prozentsatz beträgt 14 Prozent der veranschlagten Einnahmen des laufenden Steuerjahres für jeden Monat des Zeitraums September bis Dezember des laufenden Steuerjahres und 6 Prozent für jeden Monat des Zeitraums Januar bis April des Kalenderjahres nach dem betreffenden Steuerjahr. Der König kann diese Prozentsätze anpassen, wobei sie jedoch pro Zeitraum von vier aufeinander folgenden Monaten im laufenden Steuerjahr oder im darauf folgenden Kalenderjahr nicht unter 5 Prozent oder über 15 Prozent pro Monat liegen dürfen. Die Summe der auf diese Weise festgelegten Prozentsätze muss immer 80 Prozent der veranschlagten Einnahmen eines Steuerjahres darstellen.]</w:t>
      </w:r>
    </w:p>
    <w:p w14:paraId="2DEF6DF0" w14:textId="77777777" w:rsidR="00B6468F" w:rsidRPr="009118AB" w:rsidRDefault="00B6468F" w:rsidP="00B6468F">
      <w:pPr>
        <w:jc w:val="both"/>
      </w:pPr>
    </w:p>
    <w:p w14:paraId="55594BD4" w14:textId="77777777" w:rsidR="00B6468F" w:rsidRPr="009118AB" w:rsidRDefault="00B6468F" w:rsidP="00B6468F">
      <w:pPr>
        <w:ind w:firstLine="708"/>
        <w:jc w:val="both"/>
      </w:pPr>
      <w:r w:rsidRPr="009118AB">
        <w:t>Im Laufe des Monats Mai des Kalenderjahres nach dem betreffenden Steuerjahr lässt der Föderale Öffentliche Dienst Finanzen jeder Gemeinde eine Aufstellung zukommen, in der für jeden Monat des Zeitraums vom 1. August des betreffenden Steuerjahres bis zum 30. April des Kalenderjahres nach dem betreffenden Steuerjahr Folgendes angegeben ist:</w:t>
      </w:r>
    </w:p>
    <w:p w14:paraId="5DBEF455" w14:textId="77777777" w:rsidR="00B6468F" w:rsidRPr="009118AB" w:rsidRDefault="00B6468F" w:rsidP="00B6468F">
      <w:pPr>
        <w:jc w:val="both"/>
      </w:pPr>
    </w:p>
    <w:p w14:paraId="01B04570" w14:textId="77777777" w:rsidR="00B6468F" w:rsidRPr="009118AB" w:rsidRDefault="00B6468F" w:rsidP="00B6468F">
      <w:pPr>
        <w:ind w:firstLine="708"/>
        <w:jc w:val="both"/>
      </w:pPr>
      <w:r w:rsidRPr="009118AB">
        <w:t>1. Gesamtheit der während der Monate des vorerwähnten Zeitraums tatsächlich für ihre Rechnung eingenommenen Einnahmen und für ihre Rechnung ausgezahlten Nachlasse, ungeachtet dessen, ob sie sich auf das Steuerjahr beziehen, für das die Vorschüsse gewährt worden sind,</w:t>
      </w:r>
    </w:p>
    <w:p w14:paraId="62648405" w14:textId="77777777" w:rsidR="00B6468F" w:rsidRPr="009118AB" w:rsidRDefault="00B6468F" w:rsidP="00B6468F">
      <w:pPr>
        <w:jc w:val="both"/>
      </w:pPr>
    </w:p>
    <w:p w14:paraId="4529A5B6" w14:textId="782B0C92" w:rsidR="00B6468F" w:rsidRPr="009118AB" w:rsidRDefault="00B6468F" w:rsidP="00B6468F">
      <w:pPr>
        <w:ind w:firstLine="708"/>
        <w:jc w:val="both"/>
      </w:pPr>
      <w:r w:rsidRPr="009118AB">
        <w:t xml:space="preserve">2. Betrag, der den in Artikel 470 erwähnten Verwaltungskosten für dieselben Monate wie die in </w:t>
      </w:r>
      <w:r w:rsidR="00D67EB8" w:rsidRPr="009118AB">
        <w:t>Nr. </w:t>
      </w:r>
      <w:r w:rsidRPr="009118AB">
        <w:t>1 erwähnten Monate entspricht und der auf die tatsächlich eingenommenen Einnahmen abzüglich der ausgezahlten Nachlasse berechnet wird,</w:t>
      </w:r>
    </w:p>
    <w:p w14:paraId="69C70531" w14:textId="77777777" w:rsidR="00B6468F" w:rsidRPr="009118AB" w:rsidRDefault="00B6468F" w:rsidP="00B6468F">
      <w:pPr>
        <w:jc w:val="both"/>
      </w:pPr>
    </w:p>
    <w:p w14:paraId="131F0CFC" w14:textId="77777777" w:rsidR="00B6468F" w:rsidRPr="009118AB" w:rsidRDefault="00B6468F" w:rsidP="00B6468F">
      <w:pPr>
        <w:ind w:firstLine="708"/>
        <w:jc w:val="both"/>
      </w:pPr>
      <w:r w:rsidRPr="009118AB">
        <w:t>3. Gesamtheit der für die Monate September bis Dezember des betreffenden Steuerjahres und für die Monate Januar bis April des auf das Steuerjahr folgenden Kalenderjahres gewährten Vorschüsse,</w:t>
      </w:r>
    </w:p>
    <w:p w14:paraId="2941CD68" w14:textId="77777777" w:rsidR="00B6468F" w:rsidRPr="009118AB" w:rsidRDefault="00B6468F" w:rsidP="00B6468F">
      <w:pPr>
        <w:jc w:val="both"/>
      </w:pPr>
    </w:p>
    <w:p w14:paraId="5C71C88D" w14:textId="64F13BE7" w:rsidR="00B6468F" w:rsidRPr="009118AB" w:rsidRDefault="00B6468F" w:rsidP="00B6468F">
      <w:pPr>
        <w:ind w:firstLine="708"/>
        <w:jc w:val="both"/>
      </w:pPr>
      <w:r w:rsidRPr="009118AB">
        <w:t xml:space="preserve">4. Saldo, der nach Abzug der in </w:t>
      </w:r>
      <w:r w:rsidR="00D67EB8" w:rsidRPr="009118AB">
        <w:t>Nr. </w:t>
      </w:r>
      <w:r w:rsidRPr="009118AB">
        <w:t xml:space="preserve">2 erwähnten Verwaltungskosten und der in </w:t>
      </w:r>
      <w:r w:rsidR="00D67EB8" w:rsidRPr="009118AB">
        <w:t>Nr. </w:t>
      </w:r>
      <w:r w:rsidRPr="009118AB">
        <w:t xml:space="preserve">3 erwähnten gewährten Vorschüsse von den in </w:t>
      </w:r>
      <w:r w:rsidR="00D67EB8" w:rsidRPr="009118AB">
        <w:t>Nr. </w:t>
      </w:r>
      <w:r w:rsidRPr="009118AB">
        <w:t>1 erwähnten Nettobeträgen übrig bleibt.</w:t>
      </w:r>
    </w:p>
    <w:p w14:paraId="1427A4CA" w14:textId="77777777" w:rsidR="00B6468F" w:rsidRPr="009118AB" w:rsidRDefault="00B6468F" w:rsidP="00B6468F">
      <w:pPr>
        <w:jc w:val="both"/>
      </w:pPr>
    </w:p>
    <w:p w14:paraId="4FE98B82" w14:textId="77777777" w:rsidR="00B6468F" w:rsidRPr="009118AB" w:rsidRDefault="00B6468F" w:rsidP="00B6468F">
      <w:pPr>
        <w:ind w:firstLine="708"/>
        <w:jc w:val="both"/>
      </w:pPr>
      <w:r w:rsidRPr="009118AB">
        <w:t>Der positive Saldo der Gemeindezuschlagsteuer auf die Steuer der natürlichen Personen wird spätestens am drittletzten Werktag des Monats Mai des Kalenderjahres nach dem betreffenden Steuerjahr ausgezahlt.</w:t>
      </w:r>
    </w:p>
    <w:p w14:paraId="4D99E7EC" w14:textId="77777777" w:rsidR="00B6468F" w:rsidRPr="009118AB" w:rsidRDefault="00B6468F" w:rsidP="00B6468F">
      <w:pPr>
        <w:jc w:val="both"/>
      </w:pPr>
    </w:p>
    <w:p w14:paraId="24631F94" w14:textId="77777777" w:rsidR="00B6468F" w:rsidRPr="009118AB" w:rsidRDefault="00B6468F" w:rsidP="00B6468F">
      <w:pPr>
        <w:ind w:firstLine="708"/>
        <w:jc w:val="both"/>
      </w:pPr>
      <w:r w:rsidRPr="009118AB">
        <w:t>In den Monaten Mai, Juni und Juli weist die mit der Einnahme und Beitreibung der Einkommensteuern beauftragte Verwaltung den Gemeinden die für ihre Rechnung erzielten Einnahmen zu, abzüglich der Nachlasse, die für ihre Rechnung in dem Monat ausgezahlt werden, in dem diese Einnahmen eingenommen werden.</w:t>
      </w:r>
    </w:p>
    <w:p w14:paraId="09BF3840" w14:textId="77777777" w:rsidR="00B6468F" w:rsidRPr="009118AB" w:rsidRDefault="00B6468F" w:rsidP="00B6468F">
      <w:pPr>
        <w:jc w:val="both"/>
      </w:pPr>
    </w:p>
    <w:p w14:paraId="07DDADAB" w14:textId="77777777" w:rsidR="00B6468F" w:rsidRPr="009118AB" w:rsidRDefault="00B6468F" w:rsidP="00B6468F">
      <w:pPr>
        <w:ind w:firstLine="708"/>
        <w:jc w:val="both"/>
      </w:pPr>
      <w:r w:rsidRPr="009118AB">
        <w:t>Ist der Saldo in den Monaten Mai, Juni oder Juli negativ, wird er von den in den Monaten Juni bis August einzuzahlenden Beträgen abgezogen, bis der Saldo vollständig ausgeglichen ist.</w:t>
      </w:r>
    </w:p>
    <w:p w14:paraId="5E5C385C" w14:textId="77777777" w:rsidR="00B6468F" w:rsidRPr="009118AB" w:rsidRDefault="00B6468F" w:rsidP="00B6468F">
      <w:pPr>
        <w:jc w:val="both"/>
      </w:pPr>
    </w:p>
    <w:p w14:paraId="12EB06F4" w14:textId="77777777" w:rsidR="00B6468F" w:rsidRPr="009118AB" w:rsidRDefault="00B6468F" w:rsidP="00B6468F">
      <w:pPr>
        <w:ind w:firstLine="708"/>
        <w:jc w:val="both"/>
      </w:pPr>
      <w:r w:rsidRPr="009118AB">
        <w:t>Bleibt im Monat August noch ein negativer Saldo übrig, bildet dieser Saldo für die mit der Einnahme und Beitreibung der Einkommensteuern beauftragte Verwaltung eine bei der Gemeinde beitreibbare Forderung. Dieser Betrag wird beglichen, indem das Finanzkonto, das die Gemeinde für die Einzahlung der für ihre Rechnung eingenommenen Einnahmen bestimmt hat, von Amts wegen belastet wird. Bevor die mit der Einnahme und Beitreibung der Einkommensteuern beauftragte Verwaltung das Konto belastet, notifiziert sie der Gemeinde den Betrag ihrer Forderung.</w:t>
      </w:r>
    </w:p>
    <w:p w14:paraId="5D7676D6" w14:textId="77777777" w:rsidR="00B6468F" w:rsidRPr="009118AB" w:rsidRDefault="00B6468F" w:rsidP="00B6468F">
      <w:pPr>
        <w:jc w:val="both"/>
      </w:pPr>
    </w:p>
    <w:p w14:paraId="24B9D26D" w14:textId="77777777" w:rsidR="00B6468F" w:rsidRPr="009118AB" w:rsidRDefault="00B6468F" w:rsidP="00B64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tab/>
        <w:t>Die Vorschüsse auf die Gemeindezuschlagsteuer auf die Steuer der natürlichen Personen können nicht gleichzeitig mit tatsächlich eingenommenen Nettoeinnahmen ausgezahlt werden.</w:t>
      </w:r>
      <w:r w:rsidRPr="009118AB">
        <w:rPr>
          <w:iCs/>
        </w:rPr>
        <w:t>]</w:t>
      </w:r>
    </w:p>
    <w:p w14:paraId="07CA5B8B" w14:textId="77777777" w:rsidR="00B6468F" w:rsidRPr="009118AB" w:rsidRDefault="00B646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7926A2F5" w14:textId="67DEF6C9" w:rsidR="00B6468F" w:rsidRPr="009118AB" w:rsidRDefault="00B6468F" w:rsidP="00B64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118AB">
        <w:rPr>
          <w:i/>
        </w:rPr>
        <w:t>[</w:t>
      </w:r>
      <w:r w:rsidR="00D67EB8" w:rsidRPr="009118AB">
        <w:rPr>
          <w:i/>
        </w:rPr>
        <w:t>Art. </w:t>
      </w:r>
      <w:r w:rsidRPr="009118AB">
        <w:rPr>
          <w:i/>
        </w:rPr>
        <w:t xml:space="preserve">470/2 eingefügt durch </w:t>
      </w:r>
      <w:r w:rsidR="00D67EB8" w:rsidRPr="009118AB">
        <w:rPr>
          <w:i/>
        </w:rPr>
        <w:t>Art. </w:t>
      </w:r>
      <w:r w:rsidRPr="009118AB">
        <w:rPr>
          <w:i/>
        </w:rPr>
        <w:t>2 des G. vom 31. Juli 2017 (II</w:t>
      </w:r>
      <w:r w:rsidR="00B64F05" w:rsidRPr="009118AB">
        <w:rPr>
          <w:i/>
        </w:rPr>
        <w:t>I) (B.S. vom 11. August 2017)</w:t>
      </w:r>
      <w:r w:rsidR="00D67EB8" w:rsidRPr="009118AB">
        <w:rPr>
          <w:i/>
        </w:rPr>
        <w:t> - </w:t>
      </w:r>
      <w:r w:rsidRPr="009118AB">
        <w:rPr>
          <w:i/>
        </w:rPr>
        <w:t>in Kraft am 1. September 2017</w:t>
      </w:r>
      <w:r w:rsidR="00FD68E8" w:rsidRPr="009118AB">
        <w:rPr>
          <w:i/>
        </w:rPr>
        <w:t> -</w:t>
      </w:r>
      <w:r w:rsidR="003114E7" w:rsidRPr="009118AB">
        <w:rPr>
          <w:i/>
        </w:rPr>
        <w:t>; Abs. 2 ersetzt durch Art. 34</w:t>
      </w:r>
      <w:r w:rsidR="003114E7" w:rsidRPr="009118AB">
        <w:rPr>
          <w:i/>
          <w:iCs/>
        </w:rPr>
        <w:t xml:space="preserve"> des G. vom 23. November 2023 (B.S. vom 1. Dezember 2023)</w:t>
      </w:r>
      <w:r w:rsidR="00FD68E8" w:rsidRPr="009118AB">
        <w:rPr>
          <w:i/>
        </w:rPr>
        <w:t>]</w:t>
      </w:r>
    </w:p>
    <w:p w14:paraId="5A468B6F" w14:textId="7452A25C" w:rsidR="00477B8F" w:rsidRPr="009118AB" w:rsidRDefault="00477B8F" w:rsidP="00B64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b/>
          <w:bCs/>
        </w:rPr>
        <w:t>TITEL IX</w:t>
      </w:r>
      <w:r w:rsidR="00D67EB8" w:rsidRPr="009118AB">
        <w:rPr>
          <w:b/>
          <w:bCs/>
        </w:rPr>
        <w:t> - </w:t>
      </w:r>
      <w:r w:rsidRPr="009118AB">
        <w:rPr>
          <w:b/>
          <w:bCs/>
          <w:i/>
          <w:iCs/>
        </w:rPr>
        <w:t>Katastereinkommen von unbeweglichen Gütern</w:t>
      </w:r>
    </w:p>
    <w:p w14:paraId="5F601A0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4D396A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44472DCE" w14:textId="22AC9D63" w:rsidR="00477B8F" w:rsidRPr="009118AB" w:rsidRDefault="002E1AB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rPr>
          <w:b/>
          <w:bCs/>
        </w:rPr>
        <w:t>KAPITEL </w:t>
      </w:r>
      <w:r w:rsidR="007828ED" w:rsidRPr="009118AB">
        <w:rPr>
          <w:b/>
          <w:bCs/>
        </w:rPr>
        <w:t>1</w:t>
      </w:r>
      <w:r w:rsidR="00D67EB8" w:rsidRPr="009118AB">
        <w:t> - </w:t>
      </w:r>
      <w:r w:rsidR="00477B8F" w:rsidRPr="009118AB">
        <w:rPr>
          <w:i/>
          <w:iCs/>
        </w:rPr>
        <w:t>Bestimmung des Katastereinkommens</w:t>
      </w:r>
    </w:p>
    <w:p w14:paraId="79B506F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0D8DE0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F188D5" w14:textId="2C1ADBD9" w:rsidR="00A1126B" w:rsidRPr="009118AB" w:rsidRDefault="00477B8F" w:rsidP="00A1126B">
      <w:pPr>
        <w:jc w:val="both"/>
      </w:pPr>
      <w:r w:rsidRPr="009118AB">
        <w:tab/>
      </w:r>
      <w:r w:rsidR="00D67EB8" w:rsidRPr="009118AB">
        <w:rPr>
          <w:b/>
          <w:bCs/>
        </w:rPr>
        <w:t>Art. </w:t>
      </w:r>
      <w:r w:rsidRPr="009118AB">
        <w:rPr>
          <w:b/>
          <w:bCs/>
        </w:rPr>
        <w:t>471</w:t>
      </w:r>
      <w:r w:rsidR="00D67EB8" w:rsidRPr="009118AB">
        <w:t> - § </w:t>
      </w:r>
      <w:r w:rsidRPr="009118AB">
        <w:t>1</w:t>
      </w:r>
      <w:r w:rsidR="00D67EB8" w:rsidRPr="009118AB">
        <w:t> - </w:t>
      </w:r>
      <w:r w:rsidR="00A1126B" w:rsidRPr="009118AB">
        <w:t>[Für alle bebauten oder unbebauten unbeweglichen Güter und für Material und Ausrüstung, die ihrem Wesen oder ihrer Bestimmung nach unbeweglich sind, wird ein Katastereinkommen festgelegt, sofern diese Güter:</w:t>
      </w:r>
    </w:p>
    <w:p w14:paraId="7E1B3156" w14:textId="77777777" w:rsidR="00A1126B" w:rsidRPr="009118AB" w:rsidRDefault="00A1126B" w:rsidP="00A1126B">
      <w:pPr>
        <w:jc w:val="both"/>
      </w:pPr>
    </w:p>
    <w:p w14:paraId="7440A7E6" w14:textId="77777777" w:rsidR="00A1126B" w:rsidRPr="009118AB" w:rsidRDefault="00A1126B" w:rsidP="00A1126B">
      <w:pPr>
        <w:jc w:val="both"/>
      </w:pPr>
      <w:r w:rsidRPr="009118AB">
        <w:tab/>
        <w:t>1. in Belgien gelegen sind oder</w:t>
      </w:r>
    </w:p>
    <w:p w14:paraId="6F7625E7" w14:textId="77777777" w:rsidR="00A1126B" w:rsidRPr="009118AB" w:rsidRDefault="00A1126B" w:rsidP="00A1126B">
      <w:pPr>
        <w:jc w:val="both"/>
      </w:pPr>
    </w:p>
    <w:p w14:paraId="2298F8CB" w14:textId="77777777" w:rsidR="00A1126B" w:rsidRPr="009118AB" w:rsidRDefault="00A1126B" w:rsidP="00A1126B">
      <w:pPr>
        <w:jc w:val="both"/>
      </w:pPr>
      <w:r w:rsidRPr="009118AB">
        <w:tab/>
        <w:t>2. im Ausland gelegen sind und</w:t>
      </w:r>
    </w:p>
    <w:p w14:paraId="618D508C" w14:textId="77777777" w:rsidR="00A1126B" w:rsidRPr="009118AB" w:rsidRDefault="00A1126B" w:rsidP="00A1126B">
      <w:pPr>
        <w:jc w:val="both"/>
      </w:pPr>
    </w:p>
    <w:p w14:paraId="0557EBAC" w14:textId="50C4A015" w:rsidR="00A1126B" w:rsidRPr="009118AB" w:rsidRDefault="00A1126B" w:rsidP="00A1126B">
      <w:pPr>
        <w:jc w:val="both"/>
      </w:pPr>
      <w:r w:rsidRPr="009118AB">
        <w:tab/>
      </w:r>
      <w:r w:rsidRPr="009118AB">
        <w:rPr>
          <w:i/>
        </w:rPr>
        <w:t>a)</w:t>
      </w:r>
      <w:r w:rsidRPr="009118AB">
        <w:t xml:space="preserve"> ein Einwohner des Königreichs, der nicht in Artikel 4 erwähnt ist, oder eine juristische Person wie erwähnt in Artikel 180 </w:t>
      </w:r>
      <w:r w:rsidR="00D67EB8" w:rsidRPr="009118AB">
        <w:t>Nr. </w:t>
      </w:r>
      <w:r w:rsidRPr="009118AB">
        <w:t xml:space="preserve">1 oder Artikel 220 </w:t>
      </w:r>
      <w:r w:rsidR="00D67EB8" w:rsidRPr="009118AB">
        <w:t>Nr. </w:t>
      </w:r>
      <w:r w:rsidRPr="009118AB">
        <w:t>3 Inhaber eines dinglichen Rechts an diesen Gütern ist oder</w:t>
      </w:r>
    </w:p>
    <w:p w14:paraId="18F8CCAD" w14:textId="77777777" w:rsidR="00A1126B" w:rsidRPr="009118AB" w:rsidRDefault="00A1126B" w:rsidP="00A1126B">
      <w:pPr>
        <w:jc w:val="both"/>
      </w:pPr>
    </w:p>
    <w:p w14:paraId="1BD0BC40" w14:textId="0396D81A" w:rsidR="00A1126B" w:rsidRPr="009118AB" w:rsidRDefault="00A1126B" w:rsidP="00A1126B">
      <w:pPr>
        <w:jc w:val="both"/>
      </w:pPr>
      <w:r w:rsidRPr="009118AB">
        <w:tab/>
      </w:r>
      <w:r w:rsidRPr="009118AB">
        <w:rPr>
          <w:i/>
        </w:rPr>
        <w:t>b)</w:t>
      </w:r>
      <w:r w:rsidRPr="009118AB">
        <w:t xml:space="preserve"> eine Rechtsvereinbarung, deren Gründer ein Einwohner des Königreichs, der nicht in Artikel 4 erwähnt ist, oder eine juristische Person wie erwähnt in Artikel 180 </w:t>
      </w:r>
      <w:r w:rsidR="00D67EB8" w:rsidRPr="009118AB">
        <w:t>Nr. </w:t>
      </w:r>
      <w:r w:rsidRPr="009118AB">
        <w:t xml:space="preserve">1 oder Artikel 220 </w:t>
      </w:r>
      <w:r w:rsidR="00D67EB8" w:rsidRPr="009118AB">
        <w:t>Nr. </w:t>
      </w:r>
      <w:r w:rsidRPr="009118AB">
        <w:t>3 ist, Inhaber eines dinglichen Rechts an diesen Gütern ist.</w:t>
      </w:r>
    </w:p>
    <w:p w14:paraId="31D2ADF4" w14:textId="77777777" w:rsidR="00A1126B" w:rsidRPr="009118AB" w:rsidRDefault="00A1126B" w:rsidP="00A1126B">
      <w:pPr>
        <w:jc w:val="both"/>
      </w:pPr>
    </w:p>
    <w:p w14:paraId="0ACA006B" w14:textId="7A684726" w:rsidR="00477B8F" w:rsidRPr="009118AB" w:rsidRDefault="00A1126B" w:rsidP="00A112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Als dingliches Recht gilt jegliche Art ausländischen Rechts an einem unbeweglichen Gut, das aufgrund der Tatsache, dass sein Inhaber die Früchte daraus zieht, dem Eigentums-, Erbpacht-, Erbbau- oder Nießbrauchrecht gleichgestellt werden kann.]</w:t>
      </w:r>
    </w:p>
    <w:p w14:paraId="027ECED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5D2740F" w14:textId="0BCE858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Als Katastereinkommen gilt das durchschnittliche normale Nettoeinkommen eines Jahres.</w:t>
      </w:r>
    </w:p>
    <w:p w14:paraId="05BB4EC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DC8EA6C" w14:textId="60195DD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3</w:t>
      </w:r>
      <w:r w:rsidR="00D67EB8" w:rsidRPr="009118AB">
        <w:t> - </w:t>
      </w:r>
      <w:r w:rsidRPr="009118AB">
        <w:t>Als Material und Ausrüstung gelten alle Geräte, Maschinen und andere Anlagen, die für einen Industrie-, Handels- oder Handwerksbetrieb nützlich sind, Räumlichkeiten, Unterstände und dafür erforderliches Zubehör ausgenommen.</w:t>
      </w:r>
    </w:p>
    <w:p w14:paraId="1FD626C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9B39CC" w14:textId="77FAF15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Material und Ausrüstung, die ihrer Bestimmung nach unbeweglich sind, werden jedoch nur berücksichtigt, sofern sie fortdauernd mit dem Grundstück verbunden sind oder wenn sie auf dauerhafte Weise für den Dienst und den Betrieb genutzt werden und sofern sie aufgrund ihres Gewichts, ihrer Abmessungen, der Art ihrer Aufstellung oder ihres Betriebs dazu bestimmt sind, normalerweise ständig an dem Ort genutzt zu werden, an dem sie sich befinden, oder während ihres Gebrauchs an Ort und Stelle zu bleiben.</w:t>
      </w:r>
    </w:p>
    <w:p w14:paraId="710A1BFD" w14:textId="2BE0A808" w:rsidR="00A1126B" w:rsidRPr="009118AB"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49AFCC4" w14:textId="347B9768" w:rsidR="00A1126B" w:rsidRPr="009118AB"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w:t>
      </w:r>
      <w:r w:rsidR="00D67EB8" w:rsidRPr="009118AB">
        <w:rPr>
          <w:i/>
          <w:iCs/>
        </w:rPr>
        <w:t>Art. </w:t>
      </w:r>
      <w:r w:rsidRPr="009118AB">
        <w:rPr>
          <w:i/>
          <w:iCs/>
        </w:rPr>
        <w:t xml:space="preserve">471 </w:t>
      </w:r>
      <w:r w:rsidR="00D67EB8" w:rsidRPr="009118AB">
        <w:rPr>
          <w:i/>
          <w:iCs/>
        </w:rPr>
        <w:t>§ </w:t>
      </w:r>
      <w:r w:rsidRPr="009118AB">
        <w:rPr>
          <w:i/>
          <w:iCs/>
        </w:rPr>
        <w:t xml:space="preserve">1 ersetzt durch </w:t>
      </w:r>
      <w:r w:rsidR="00D67EB8" w:rsidRPr="009118AB">
        <w:rPr>
          <w:i/>
          <w:iCs/>
        </w:rPr>
        <w:t>Art. </w:t>
      </w:r>
      <w:r w:rsidRPr="009118AB">
        <w:rPr>
          <w:i/>
          <w:iCs/>
        </w:rPr>
        <w:t>8 des G. vom 17. Februar 2021</w:t>
      </w:r>
      <w:r w:rsidR="007A716D" w:rsidRPr="009118AB">
        <w:rPr>
          <w:i/>
          <w:iCs/>
        </w:rPr>
        <w:t> (II)</w:t>
      </w:r>
      <w:r w:rsidRPr="009118AB">
        <w:rPr>
          <w:i/>
          <w:iCs/>
        </w:rPr>
        <w:t xml:space="preserve"> (B.S. vom 25. Februar 2021)</w:t>
      </w:r>
      <w:r w:rsidR="00D67EB8" w:rsidRPr="009118AB">
        <w:rPr>
          <w:i/>
          <w:iCs/>
        </w:rPr>
        <w:t> - </w:t>
      </w:r>
      <w:r w:rsidRPr="009118AB">
        <w:rPr>
          <w:i/>
          <w:iCs/>
        </w:rPr>
        <w:t>wirksam mit 1. Januar 2021</w:t>
      </w:r>
      <w:r w:rsidR="00FD68E8" w:rsidRPr="009118AB">
        <w:rPr>
          <w:i/>
          <w:iCs/>
        </w:rPr>
        <w:t> -]</w:t>
      </w:r>
    </w:p>
    <w:p w14:paraId="5F053135" w14:textId="3FBF2EA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002E1AB9" w:rsidRPr="009118AB">
        <w:rPr>
          <w:b/>
          <w:bCs/>
        </w:rPr>
        <w:t>KAPITEL </w:t>
      </w:r>
      <w:r w:rsidR="007828ED" w:rsidRPr="009118AB">
        <w:rPr>
          <w:b/>
          <w:bCs/>
        </w:rPr>
        <w:t>2</w:t>
      </w:r>
      <w:r w:rsidR="00D67EB8" w:rsidRPr="009118AB">
        <w:t> - </w:t>
      </w:r>
      <w:r w:rsidRPr="009118AB">
        <w:rPr>
          <w:i/>
          <w:iCs/>
        </w:rPr>
        <w:t>Festlegung des Katastereinkommens</w:t>
      </w:r>
    </w:p>
    <w:p w14:paraId="653D9FE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82B94F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AFDB45A" w14:textId="240A051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rPr>
          <w:i/>
          <w:iCs/>
        </w:rPr>
        <w:t>Abschnitt </w:t>
      </w:r>
      <w:r w:rsidR="006B602F" w:rsidRPr="009118AB">
        <w:rPr>
          <w:i/>
          <w:iCs/>
        </w:rPr>
        <w:t>1</w:t>
      </w:r>
      <w:r w:rsidR="00D67EB8" w:rsidRPr="009118AB">
        <w:t> - </w:t>
      </w:r>
      <w:r w:rsidRPr="009118AB">
        <w:t>Allgemeine Bestimmungen</w:t>
      </w:r>
    </w:p>
    <w:p w14:paraId="41FC892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026A0A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EE917F" w14:textId="721372D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472</w:t>
      </w:r>
      <w:r w:rsidR="00D67EB8" w:rsidRPr="009118AB">
        <w:t> - § </w:t>
      </w:r>
      <w:r w:rsidRPr="009118AB">
        <w:t>1</w:t>
      </w:r>
      <w:r w:rsidR="00D67EB8" w:rsidRPr="009118AB">
        <w:t> - </w:t>
      </w:r>
      <w:r w:rsidRPr="009118AB">
        <w:t xml:space="preserve">Das Katastereinkommen wird pro Katasterparzelle festgelegt. Zu diesem Zweck führt die </w:t>
      </w:r>
      <w:r w:rsidR="00412928" w:rsidRPr="009118AB">
        <w:t xml:space="preserve">[Generalverwaltung Vermögensdokumentation] </w:t>
      </w:r>
      <w:r w:rsidRPr="009118AB">
        <w:t>gemäß den vom König bestimmten Regeln und Formen eine Schätzung der Parzellen durch.</w:t>
      </w:r>
    </w:p>
    <w:p w14:paraId="3F5072A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C4B4F61" w14:textId="0256562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Umfasst eine Katasterparzelle Material und Ausrüstung, wird ein getrenntes Katastereinkommen festgelegt, einerseits für das Grundstück</w:t>
      </w:r>
      <w:r w:rsidR="00D67EB8" w:rsidRPr="009118AB">
        <w:t> - </w:t>
      </w:r>
      <w:r w:rsidRPr="009118AB">
        <w:t>Räumlichkeiten, Unterstände und dafür erforderliches Zubehör möglicherweise einbegriffen</w:t>
      </w:r>
      <w:r w:rsidR="00D67EB8" w:rsidRPr="009118AB">
        <w:t> - </w:t>
      </w:r>
      <w:r w:rsidRPr="009118AB">
        <w:t>und andererseits für das Material und die Ausrüstung.</w:t>
      </w:r>
    </w:p>
    <w:p w14:paraId="38E00CB6" w14:textId="06547C2F" w:rsidR="00A1126B" w:rsidRPr="009118AB"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2CD749" w14:textId="77CA0906" w:rsidR="00A1126B" w:rsidRPr="009118AB"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D67EB8" w:rsidRPr="009118AB">
        <w:t>§ </w:t>
      </w:r>
      <w:r w:rsidRPr="009118AB">
        <w:t>3</w:t>
      </w:r>
      <w:r w:rsidR="00D67EB8" w:rsidRPr="009118AB">
        <w:t> - </w:t>
      </w:r>
      <w:r w:rsidRPr="009118AB">
        <w:t xml:space="preserve">In Abweichung von </w:t>
      </w:r>
      <w:r w:rsidR="00D67EB8" w:rsidRPr="009118AB">
        <w:t>§ </w:t>
      </w:r>
      <w:r w:rsidRPr="009118AB">
        <w:t xml:space="preserve">1 wird das Katastereinkommen von unbeweglichen Gütern, die im Ausland gelegen sind, pro unbewegliches Gut oder vorbehaltlich identischer dinglicher Rechte wie in Artikel 471 </w:t>
      </w:r>
      <w:r w:rsidR="00D67EB8" w:rsidRPr="009118AB">
        <w:t>§ </w:t>
      </w:r>
      <w:r w:rsidRPr="009118AB">
        <w:t>1 Absatz 2 bestimmt pro Gruppe von unbeweglichen Gütern, die aus einer einzigen Wohn- oder Betriebseinheit bestehen, festgelegt.]</w:t>
      </w:r>
    </w:p>
    <w:p w14:paraId="4031067E" w14:textId="77777777" w:rsidR="00412928" w:rsidRPr="009118AB"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33D2E9D7" w14:textId="47835DF0" w:rsidR="00412928" w:rsidRPr="009118AB" w:rsidRDefault="00412928" w:rsidP="004129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472 </w:t>
      </w:r>
      <w:r w:rsidR="00D67EB8" w:rsidRPr="009118AB">
        <w:rPr>
          <w:i/>
        </w:rPr>
        <w:t>§ </w:t>
      </w:r>
      <w:r w:rsidRPr="009118AB">
        <w:rPr>
          <w:i/>
        </w:rPr>
        <w:t xml:space="preserve">1 abgeändert durch </w:t>
      </w:r>
      <w:r w:rsidR="00D67EB8" w:rsidRPr="009118AB">
        <w:rPr>
          <w:i/>
        </w:rPr>
        <w:t>Art. </w:t>
      </w:r>
      <w:r w:rsidRPr="009118AB">
        <w:rPr>
          <w:i/>
        </w:rPr>
        <w:t>23</w:t>
      </w:r>
      <w:r w:rsidRPr="009118AB">
        <w:rPr>
          <w:i/>
          <w:iCs/>
        </w:rPr>
        <w:t xml:space="preserve"> des G. vom 25. April 2014 (I) (B.S. vom 16. Mai 2014)</w:t>
      </w:r>
      <w:r w:rsidR="00D67EB8" w:rsidRPr="009118AB">
        <w:rPr>
          <w:i/>
          <w:iCs/>
        </w:rPr>
        <w:t> - </w:t>
      </w:r>
      <w:r w:rsidRPr="009118AB">
        <w:rPr>
          <w:i/>
          <w:iCs/>
        </w:rPr>
        <w:t>in Kraft am 16. Mai 2014</w:t>
      </w:r>
      <w:r w:rsidR="003366D9" w:rsidRPr="009118AB">
        <w:rPr>
          <w:i/>
          <w:iCs/>
        </w:rPr>
        <w:t> -;</w:t>
      </w:r>
      <w:r w:rsidR="00A1126B" w:rsidRPr="009118AB">
        <w:rPr>
          <w:i/>
          <w:iCs/>
        </w:rPr>
        <w:t xml:space="preserve"> </w:t>
      </w:r>
      <w:r w:rsidR="00D67EB8" w:rsidRPr="009118AB">
        <w:rPr>
          <w:i/>
          <w:iCs/>
        </w:rPr>
        <w:t>§ </w:t>
      </w:r>
      <w:r w:rsidR="00A1126B" w:rsidRPr="009118AB">
        <w:rPr>
          <w:i/>
          <w:iCs/>
        </w:rPr>
        <w:t xml:space="preserve">3 eingefügt durch </w:t>
      </w:r>
      <w:r w:rsidR="00D67EB8" w:rsidRPr="009118AB">
        <w:rPr>
          <w:i/>
          <w:iCs/>
        </w:rPr>
        <w:t>Art. </w:t>
      </w:r>
      <w:r w:rsidR="00655E93" w:rsidRPr="009118AB">
        <w:rPr>
          <w:i/>
          <w:iCs/>
        </w:rPr>
        <w:t>9</w:t>
      </w:r>
      <w:r w:rsidR="00A1126B" w:rsidRPr="009118AB">
        <w:rPr>
          <w:i/>
          <w:iCs/>
        </w:rPr>
        <w:t xml:space="preserve"> des G. vom 17. Februar 2021</w:t>
      </w:r>
      <w:r w:rsidR="007A716D" w:rsidRPr="009118AB">
        <w:rPr>
          <w:i/>
          <w:iCs/>
        </w:rPr>
        <w:t> (II)</w:t>
      </w:r>
      <w:r w:rsidR="00A1126B" w:rsidRPr="009118AB">
        <w:rPr>
          <w:i/>
          <w:iCs/>
        </w:rPr>
        <w:t xml:space="preserve"> (B.S. vom 25. Februar 2021)</w:t>
      </w:r>
      <w:r w:rsidR="00D67EB8" w:rsidRPr="009118AB">
        <w:rPr>
          <w:i/>
          <w:iCs/>
        </w:rPr>
        <w:t> - </w:t>
      </w:r>
      <w:r w:rsidR="00A1126B" w:rsidRPr="009118AB">
        <w:rPr>
          <w:i/>
          <w:iCs/>
        </w:rPr>
        <w:t>wirksam mit 1. Januar 2021</w:t>
      </w:r>
      <w:r w:rsidR="00FD68E8" w:rsidRPr="009118AB">
        <w:rPr>
          <w:i/>
          <w:iCs/>
        </w:rPr>
        <w:t> -]</w:t>
      </w:r>
    </w:p>
    <w:p w14:paraId="3D619D52" w14:textId="773BA5D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i/>
          <w:iCs/>
        </w:rPr>
        <w:t>Abschnitt </w:t>
      </w:r>
      <w:r w:rsidR="006B602F" w:rsidRPr="009118AB">
        <w:rPr>
          <w:i/>
          <w:iCs/>
        </w:rPr>
        <w:t>2</w:t>
      </w:r>
      <w:r w:rsidR="00D67EB8" w:rsidRPr="009118AB">
        <w:t> - </w:t>
      </w:r>
      <w:r w:rsidRPr="009118AB">
        <w:t>Erklärung der Steuerpflichtigen und Untersuchungsrecht der Verwaltung</w:t>
      </w:r>
    </w:p>
    <w:p w14:paraId="64DD1FD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21A644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85B8FC" w14:textId="6EF15EE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4"/>
        </w:rPr>
      </w:pPr>
      <w:r w:rsidRPr="009118AB">
        <w:rPr>
          <w:spacing w:val="4"/>
        </w:rPr>
        <w:tab/>
      </w:r>
      <w:r w:rsidR="00D67EB8" w:rsidRPr="009118AB">
        <w:rPr>
          <w:b/>
          <w:bCs/>
          <w:spacing w:val="4"/>
        </w:rPr>
        <w:t>Art. </w:t>
      </w:r>
      <w:r w:rsidRPr="009118AB">
        <w:rPr>
          <w:b/>
          <w:bCs/>
          <w:spacing w:val="4"/>
        </w:rPr>
        <w:t>473</w:t>
      </w:r>
      <w:r w:rsidR="00D67EB8" w:rsidRPr="009118AB">
        <w:rPr>
          <w:spacing w:val="4"/>
        </w:rPr>
        <w:t> - </w:t>
      </w:r>
      <w:r w:rsidR="00A1126B" w:rsidRPr="009118AB">
        <w:rPr>
          <w:spacing w:val="4"/>
        </w:rPr>
        <w:t>[</w:t>
      </w:r>
      <w:r w:rsidR="00D67EB8" w:rsidRPr="009118AB">
        <w:rPr>
          <w:spacing w:val="4"/>
        </w:rPr>
        <w:t>§ </w:t>
      </w:r>
      <w:r w:rsidR="00A1126B" w:rsidRPr="009118AB">
        <w:rPr>
          <w:spacing w:val="4"/>
        </w:rPr>
        <w:t>1]</w:t>
      </w:r>
      <w:r w:rsidR="00D67EB8" w:rsidRPr="009118AB">
        <w:rPr>
          <w:spacing w:val="4"/>
        </w:rPr>
        <w:t> - </w:t>
      </w:r>
      <w:r w:rsidRPr="009118AB">
        <w:rPr>
          <w:spacing w:val="4"/>
        </w:rPr>
        <w:t xml:space="preserve">Der Eigentümer, Besitzer, Erbpächter, Erbbauberechtigte oder Nießbraucher </w:t>
      </w:r>
      <w:r w:rsidR="00A1126B" w:rsidRPr="009118AB">
        <w:rPr>
          <w:spacing w:val="4"/>
        </w:rPr>
        <w:t>[</w:t>
      </w:r>
      <w:r w:rsidR="00A1126B" w:rsidRPr="009118AB">
        <w:t xml:space="preserve">eines in Belgien gelegenen Gutes, der Inhaber eines dinglichen Rechts an einem im Ausland gelegenen Gut wie in Artikel 471 </w:t>
      </w:r>
      <w:r w:rsidR="00D67EB8" w:rsidRPr="009118AB">
        <w:t>§ </w:t>
      </w:r>
      <w:r w:rsidR="00A1126B" w:rsidRPr="009118AB">
        <w:t xml:space="preserve">1 Absatz 1 </w:t>
      </w:r>
      <w:r w:rsidR="00D67EB8" w:rsidRPr="009118AB">
        <w:t>Nr. </w:t>
      </w:r>
      <w:r w:rsidR="00A1126B" w:rsidRPr="009118AB">
        <w:t>2 Buchstabe </w:t>
      </w:r>
      <w:r w:rsidR="00A1126B" w:rsidRPr="009118AB">
        <w:rPr>
          <w:i/>
          <w:iCs/>
        </w:rPr>
        <w:t>a)</w:t>
      </w:r>
      <w:r w:rsidR="00A1126B" w:rsidRPr="009118AB">
        <w:t xml:space="preserve"> erwähnt und der Gründer einer Rechtsverein</w:t>
      </w:r>
      <w:r w:rsidR="00A1126B" w:rsidRPr="009118AB">
        <w:softHyphen/>
        <w:t xml:space="preserve">barung wie in Artikel 471 </w:t>
      </w:r>
      <w:r w:rsidR="00D67EB8" w:rsidRPr="009118AB">
        <w:t>§ </w:t>
      </w:r>
      <w:r w:rsidR="00A1126B" w:rsidRPr="009118AB">
        <w:t xml:space="preserve">1 Absatz 1 </w:t>
      </w:r>
      <w:r w:rsidR="00D67EB8" w:rsidRPr="009118AB">
        <w:t>Nr. </w:t>
      </w:r>
      <w:r w:rsidR="00A1126B" w:rsidRPr="009118AB">
        <w:t>2 Buchstabe </w:t>
      </w:r>
      <w:r w:rsidR="00A1126B" w:rsidRPr="009118AB">
        <w:rPr>
          <w:i/>
          <w:iCs/>
        </w:rPr>
        <w:t>b)</w:t>
      </w:r>
      <w:r w:rsidR="00A1126B" w:rsidRPr="009118AB">
        <w:t xml:space="preserve"> erwähnt</w:t>
      </w:r>
      <w:r w:rsidR="00A1126B" w:rsidRPr="009118AB">
        <w:rPr>
          <w:spacing w:val="4"/>
        </w:rPr>
        <w:t>]</w:t>
      </w:r>
      <w:r w:rsidRPr="009118AB">
        <w:rPr>
          <w:spacing w:val="4"/>
        </w:rPr>
        <w:t xml:space="preserve">, in vorliegendem Titel Steuerpflichtiger genannt, ist verpflichtet, der </w:t>
      </w:r>
      <w:r w:rsidR="00412928" w:rsidRPr="009118AB">
        <w:rPr>
          <w:spacing w:val="4"/>
        </w:rPr>
        <w:t xml:space="preserve">[Generalverwaltung Vermögensdokumentation] </w:t>
      </w:r>
      <w:r w:rsidRPr="009118AB">
        <w:rPr>
          <w:spacing w:val="4"/>
        </w:rPr>
        <w:t>von sich aus Nachstehendes anzugeben:</w:t>
      </w:r>
    </w:p>
    <w:p w14:paraId="3A16501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0AA90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Ingebrauchnahme oder Vermietung, wenn diese der Ingebrauchnahme vorausgeht, neu errichteter oder wieder aufgebauter unbeweglicher Güter,</w:t>
      </w:r>
    </w:p>
    <w:p w14:paraId="0503D10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77D98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Beendigung der Arbeiten an umgeänderten bebauten unbeweglichen Gütern,</w:t>
      </w:r>
    </w:p>
    <w:p w14:paraId="56E203C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7B72E5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Änderung der Nutzungsart, Umgestaltung oder Verbesserung unbebauter unbeweglicher Güter,</w:t>
      </w:r>
    </w:p>
    <w:p w14:paraId="097901D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24961B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Ingebrauchnahme von neuem oder hinzugefügtem Material oder neuer oder hinzugefügter Ausrüstung und Änderung oder definitive Außergebrauchsetzung von Material oder Ausrüstung.</w:t>
      </w:r>
    </w:p>
    <w:p w14:paraId="5436689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65680A2" w14:textId="3CC17B1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Die Erklärung muss innerhalb dreißig Tagen nach dem Ereignis eingereicht werden.</w:t>
      </w:r>
    </w:p>
    <w:p w14:paraId="659B11CA" w14:textId="090671B1" w:rsidR="002C5F3E" w:rsidRPr="009118AB" w:rsidRDefault="002C5F3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74437B7" w14:textId="7951FAC4" w:rsidR="002C5F3E" w:rsidRPr="009118AB" w:rsidRDefault="002C5F3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[Unbeschadet der Feststellung der tatsächlichen Ingebrauchnahme wird vermutet, dass ein in Belgien gelegenes neu errichtetes oder wieder aufgebautes unbewegliches Gut vom Steuerpflichtigen in Gebrauch genommen ist, sobald er in den Bevölkerungsregistern unter der Adresse dieses unbewegliche</w:t>
      </w:r>
      <w:r w:rsidR="00A92B68" w:rsidRPr="009118AB">
        <w:t>n</w:t>
      </w:r>
      <w:r w:rsidRPr="009118AB">
        <w:t xml:space="preserve"> Gutes eingetragen ist.]</w:t>
      </w:r>
    </w:p>
    <w:p w14:paraId="7F919E4A" w14:textId="0A539F6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18C0170" w14:textId="509147B9" w:rsidR="00A1126B" w:rsidRPr="009118AB" w:rsidRDefault="00A1126B" w:rsidP="00A1126B">
      <w:pPr>
        <w:jc w:val="both"/>
      </w:pPr>
      <w:r w:rsidRPr="009118AB">
        <w:tab/>
        <w:t>[</w:t>
      </w:r>
      <w:r w:rsidR="00D67EB8" w:rsidRPr="009118AB">
        <w:t>§ </w:t>
      </w:r>
      <w:r w:rsidRPr="009118AB">
        <w:t>2</w:t>
      </w:r>
      <w:r w:rsidR="00D67EB8" w:rsidRPr="009118AB">
        <w:t> - </w:t>
      </w:r>
      <w:r w:rsidRPr="009118AB">
        <w:t xml:space="preserve">Steuerpflichtige, die ein dingliches Recht an einem im Ausland gelegenen unbeweglichen Gut wie bestimmt in Artikel 472 </w:t>
      </w:r>
      <w:r w:rsidR="00D67EB8" w:rsidRPr="009118AB">
        <w:t>§ </w:t>
      </w:r>
      <w:r w:rsidRPr="009118AB">
        <w:t>3 erwerben oder veräußern, sind verpflichtet, dies der Generalverwaltung Vermögensdokumentation binnen vier Monaten ab dem Erwerb oder der Veräußerung von sich aus anzugeben.</w:t>
      </w:r>
    </w:p>
    <w:p w14:paraId="431FD8CA" w14:textId="77777777" w:rsidR="00A1126B" w:rsidRPr="009118AB" w:rsidRDefault="00A1126B" w:rsidP="00A1126B">
      <w:pPr>
        <w:jc w:val="both"/>
      </w:pPr>
    </w:p>
    <w:p w14:paraId="37CC9294" w14:textId="45C28CFD" w:rsidR="00A1126B" w:rsidRPr="009118AB" w:rsidRDefault="00A1126B" w:rsidP="00A1126B">
      <w:pPr>
        <w:jc w:val="both"/>
      </w:pPr>
      <w:r w:rsidRPr="009118AB">
        <w:tab/>
        <w:t xml:space="preserve">Steuerpflichtige, die am 31. Dezember 2020 Inhaber eines dinglichen Rechts an einem im Ausland gelegenen unbeweglichen Gut wie bestimmt in Artikel 472 </w:t>
      </w:r>
      <w:r w:rsidR="00D67EB8" w:rsidRPr="009118AB">
        <w:t>§ </w:t>
      </w:r>
      <w:r w:rsidRPr="009118AB">
        <w:t>3 sind, sind verpflichtet, dies der Generalverwaltung Vermögensdokumentation spätestens am 31. Dezem</w:t>
      </w:r>
      <w:r w:rsidRPr="009118AB">
        <w:softHyphen/>
        <w:t>ber 2021 von sich aus anzugeben.</w:t>
      </w:r>
    </w:p>
    <w:p w14:paraId="3E1FFF66" w14:textId="77777777" w:rsidR="00A1126B" w:rsidRPr="009118AB" w:rsidRDefault="00A1126B" w:rsidP="00A1126B">
      <w:pPr>
        <w:jc w:val="both"/>
      </w:pPr>
    </w:p>
    <w:p w14:paraId="46D04B24" w14:textId="61CAAD5C" w:rsidR="00A1126B" w:rsidRPr="009118AB" w:rsidRDefault="00A1126B" w:rsidP="00A1126B">
      <w:pPr>
        <w:jc w:val="both"/>
      </w:pPr>
      <w:r w:rsidRPr="009118AB">
        <w:tab/>
        <w:t xml:space="preserve">Steuerpflichtige, die der Steuer der Gebietsfremden unterlagen und der Steuer der natürlichen Personen oder der Steuer der juristischen Personen unterworfen werden und die am ersten Tag des ersten Besteuerungszeitraums, für den sie der Steuer der natürlichen Personen oder der Steuer der juristischen Personen unterliegen, Inhaber eines dinglichen Rechts an einem im Ausland gelegenen unbeweglichen Gut wie bestimmt in Artikel 472 </w:t>
      </w:r>
      <w:r w:rsidR="00D67EB8" w:rsidRPr="009118AB">
        <w:t>§ </w:t>
      </w:r>
      <w:r w:rsidRPr="009118AB">
        <w:t>3 sind, sind verpflichtet, dies der Generalverwaltung Vermögensdokumentation binnen dreißig Tagen nach dem ersten Tag des Besteuerungszeitraums, für den sie der Steuer der natürlichen Personen oder der Steuer der juristischen Personen unterliegen, von sich aus anzugeben. Dies gilt auch für juristische Personen, die der Gesellschaftssteuer unterlagen und der Steuer der juristischen Personen unterworfen werden.</w:t>
      </w:r>
    </w:p>
    <w:p w14:paraId="4A275F96" w14:textId="77777777" w:rsidR="00A1126B" w:rsidRPr="009118AB" w:rsidRDefault="00A1126B">
      <w:r w:rsidRPr="009118AB">
        <w:br w:type="page"/>
      </w:r>
    </w:p>
    <w:p w14:paraId="4515E33E" w14:textId="61746A85" w:rsidR="00A1126B" w:rsidRPr="009118AB" w:rsidRDefault="00A1126B" w:rsidP="00A112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Vorliegender Paragraph ist nicht anwendbar, wenn es sich um neu errichtete oder wieder aufgebaute unbewegliche Güter handelt, die zu dem in den Absätzen 1 bis 3 erwähnten Zeitpunkt noch nicht genutzt oder vermietet waren, oder wenn es sich um neues oder hinzugefügtes Material oder neue oder hinzugefügte Ausrüstung handelt, das/die zu vorerwähntem Zeitpunkt noch nicht genutzt war.]</w:t>
      </w:r>
    </w:p>
    <w:p w14:paraId="04CFE3D5" w14:textId="77777777" w:rsidR="00A1126B" w:rsidRPr="009118AB"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0727C1D" w14:textId="3DC5656D" w:rsidR="00412928" w:rsidRPr="009118AB"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473 </w:t>
      </w:r>
      <w:r w:rsidR="00D67EB8" w:rsidRPr="009118AB">
        <w:rPr>
          <w:i/>
        </w:rPr>
        <w:t>§ </w:t>
      </w:r>
      <w:r w:rsidR="00A1126B" w:rsidRPr="009118AB">
        <w:rPr>
          <w:i/>
        </w:rPr>
        <w:t xml:space="preserve">1 (frühere Absätze 1 und 2) nummeriert durch </w:t>
      </w:r>
      <w:r w:rsidR="00D67EB8" w:rsidRPr="009118AB">
        <w:rPr>
          <w:i/>
        </w:rPr>
        <w:t>Art. </w:t>
      </w:r>
      <w:r w:rsidR="00A1126B" w:rsidRPr="009118AB">
        <w:rPr>
          <w:i/>
        </w:rPr>
        <w:t>10</w:t>
      </w:r>
      <w:r w:rsidR="00A1126B" w:rsidRPr="009118AB">
        <w:rPr>
          <w:i/>
          <w:iCs/>
        </w:rPr>
        <w:t xml:space="preserve"> des G. vom 17. Februar 2021</w:t>
      </w:r>
      <w:r w:rsidR="007A716D" w:rsidRPr="009118AB">
        <w:rPr>
          <w:i/>
          <w:iCs/>
        </w:rPr>
        <w:t> (II)</w:t>
      </w:r>
      <w:r w:rsidR="00A1126B" w:rsidRPr="009118AB">
        <w:rPr>
          <w:i/>
          <w:iCs/>
        </w:rPr>
        <w:t xml:space="preserve"> (B.S. vom 25. Februar 2021)</w:t>
      </w:r>
      <w:r w:rsidR="00D67EB8" w:rsidRPr="009118AB">
        <w:rPr>
          <w:i/>
          <w:iCs/>
        </w:rPr>
        <w:t> - </w:t>
      </w:r>
      <w:r w:rsidR="00A1126B" w:rsidRPr="009118AB">
        <w:rPr>
          <w:i/>
          <w:iCs/>
        </w:rPr>
        <w:t>wirksam mit 1. Januar 2021</w:t>
      </w:r>
      <w:r w:rsidR="003366D9" w:rsidRPr="009118AB">
        <w:rPr>
          <w:i/>
          <w:iCs/>
        </w:rPr>
        <w:t> -;</w:t>
      </w:r>
      <w:r w:rsidR="00A1126B" w:rsidRPr="009118AB">
        <w:rPr>
          <w:i/>
          <w:iCs/>
        </w:rPr>
        <w:t xml:space="preserve"> </w:t>
      </w:r>
      <w:r w:rsidR="00D67EB8" w:rsidRPr="009118AB">
        <w:rPr>
          <w:i/>
          <w:iCs/>
        </w:rPr>
        <w:t>§ </w:t>
      </w:r>
      <w:r w:rsidR="00A1126B" w:rsidRPr="009118AB">
        <w:rPr>
          <w:i/>
          <w:iCs/>
        </w:rPr>
        <w:t xml:space="preserve">1 </w:t>
      </w:r>
      <w:r w:rsidR="00D67EB8" w:rsidRPr="009118AB">
        <w:rPr>
          <w:i/>
        </w:rPr>
        <w:t>Abs. </w:t>
      </w:r>
      <w:r w:rsidRPr="009118AB">
        <w:rPr>
          <w:i/>
        </w:rPr>
        <w:t xml:space="preserve">1 </w:t>
      </w:r>
      <w:r w:rsidRPr="009118AB">
        <w:rPr>
          <w:rFonts w:ascii="Times New Roman Italique" w:hAnsi="Times New Roman Italique"/>
          <w:i/>
          <w:spacing w:val="-2"/>
        </w:rPr>
        <w:t>ein</w:t>
      </w:r>
      <w:r w:rsidR="00CD6CEC" w:rsidRPr="009118AB">
        <w:rPr>
          <w:rFonts w:ascii="Times New Roman Italique" w:hAnsi="Times New Roman Italique"/>
          <w:i/>
          <w:spacing w:val="-2"/>
        </w:rPr>
        <w:softHyphen/>
      </w:r>
      <w:r w:rsidRPr="009118AB">
        <w:rPr>
          <w:rFonts w:ascii="Times New Roman Italique" w:hAnsi="Times New Roman Italique"/>
          <w:i/>
          <w:spacing w:val="-2"/>
        </w:rPr>
        <w:t>lei</w:t>
      </w:r>
      <w:r w:rsidR="00CD6CEC" w:rsidRPr="009118AB">
        <w:rPr>
          <w:rFonts w:ascii="Times New Roman Italique" w:hAnsi="Times New Roman Italique"/>
          <w:i/>
          <w:spacing w:val="-2"/>
        </w:rPr>
        <w:softHyphen/>
      </w:r>
      <w:r w:rsidRPr="009118AB">
        <w:rPr>
          <w:rFonts w:ascii="Times New Roman Italique" w:hAnsi="Times New Roman Italique"/>
          <w:i/>
          <w:spacing w:val="-2"/>
        </w:rPr>
        <w:t xml:space="preserve">tende Bestimmung abgeändert durch </w:t>
      </w:r>
      <w:r w:rsidR="00D67EB8" w:rsidRPr="009118AB">
        <w:rPr>
          <w:rFonts w:ascii="Times New Roman Italique" w:hAnsi="Times New Roman Italique"/>
          <w:i/>
          <w:spacing w:val="-2"/>
        </w:rPr>
        <w:t>Art. </w:t>
      </w:r>
      <w:r w:rsidRPr="009118AB">
        <w:rPr>
          <w:rFonts w:ascii="Times New Roman Italique" w:hAnsi="Times New Roman Italique"/>
          <w:i/>
          <w:spacing w:val="-2"/>
        </w:rPr>
        <w:t>24</w:t>
      </w:r>
      <w:r w:rsidRPr="009118AB">
        <w:rPr>
          <w:rFonts w:ascii="Times New Roman Italique" w:hAnsi="Times New Roman Italique"/>
          <w:i/>
          <w:iCs/>
          <w:spacing w:val="-2"/>
        </w:rPr>
        <w:t xml:space="preserve"> des G. vom 25. April 2014 (I) (B.S. vom 16. Mai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am 16. Mai 2014</w:t>
      </w:r>
      <w:r w:rsidR="00D67EB8" w:rsidRPr="009118AB">
        <w:rPr>
          <w:rFonts w:ascii="Times New Roman Italique" w:hAnsi="Times New Roman Italique"/>
          <w:i/>
          <w:iCs/>
          <w:spacing w:val="-2"/>
        </w:rPr>
        <w:t> - </w:t>
      </w:r>
      <w:r w:rsidR="00A1126B" w:rsidRPr="009118AB">
        <w:rPr>
          <w:rFonts w:ascii="Times New Roman Italique" w:hAnsi="Times New Roman Italique"/>
          <w:i/>
          <w:iCs/>
          <w:spacing w:val="-2"/>
        </w:rPr>
        <w:t xml:space="preserve">und </w:t>
      </w:r>
      <w:r w:rsidR="00D67EB8" w:rsidRPr="009118AB">
        <w:rPr>
          <w:rFonts w:ascii="Times New Roman Italique" w:hAnsi="Times New Roman Italique"/>
          <w:i/>
          <w:iCs/>
          <w:spacing w:val="-2"/>
        </w:rPr>
        <w:t>Art. </w:t>
      </w:r>
      <w:r w:rsidR="00A1126B" w:rsidRPr="009118AB">
        <w:rPr>
          <w:rFonts w:ascii="Times New Roman Italique" w:hAnsi="Times New Roman Italique"/>
          <w:i/>
          <w:iCs/>
          <w:spacing w:val="-2"/>
        </w:rPr>
        <w:t xml:space="preserve">10 </w:t>
      </w:r>
      <w:r w:rsidR="00D67EB8" w:rsidRPr="009118AB">
        <w:rPr>
          <w:rFonts w:ascii="Times New Roman Italique" w:hAnsi="Times New Roman Italique"/>
          <w:i/>
          <w:iCs/>
          <w:spacing w:val="-2"/>
        </w:rPr>
        <w:t>Nr. </w:t>
      </w:r>
      <w:r w:rsidR="00A1126B" w:rsidRPr="009118AB">
        <w:rPr>
          <w:rFonts w:ascii="Times New Roman Italique" w:hAnsi="Times New Roman Italique"/>
          <w:i/>
          <w:iCs/>
          <w:spacing w:val="-2"/>
        </w:rPr>
        <w:t>1 des G. vom 17. Februar 2021</w:t>
      </w:r>
      <w:r w:rsidR="007A716D" w:rsidRPr="009118AB">
        <w:rPr>
          <w:rFonts w:ascii="Times New Roman Italique" w:hAnsi="Times New Roman Italique"/>
          <w:i/>
          <w:iCs/>
          <w:spacing w:val="-2"/>
        </w:rPr>
        <w:t> (II)</w:t>
      </w:r>
      <w:r w:rsidR="00A1126B" w:rsidRPr="009118AB">
        <w:rPr>
          <w:rFonts w:ascii="Times New Roman Italique" w:hAnsi="Times New Roman Italique"/>
          <w:i/>
          <w:iCs/>
          <w:spacing w:val="-2"/>
        </w:rPr>
        <w:t xml:space="preserve"> (B.S. vom 25. Februar 2021)</w:t>
      </w:r>
      <w:r w:rsidR="00D67EB8" w:rsidRPr="009118AB">
        <w:rPr>
          <w:rFonts w:ascii="Times New Roman Italique" w:hAnsi="Times New Roman Italique"/>
          <w:i/>
          <w:iCs/>
          <w:spacing w:val="-2"/>
        </w:rPr>
        <w:t> - </w:t>
      </w:r>
      <w:r w:rsidR="00A1126B" w:rsidRPr="009118AB">
        <w:rPr>
          <w:rFonts w:ascii="Times New Roman Italique" w:hAnsi="Times New Roman Italique"/>
          <w:i/>
          <w:iCs/>
          <w:spacing w:val="-2"/>
        </w:rPr>
        <w:t>wirksam mit 1. Januar 2021</w:t>
      </w:r>
      <w:r w:rsidR="003366D9" w:rsidRPr="009118AB">
        <w:rPr>
          <w:rFonts w:ascii="Times New Roman Italique" w:hAnsi="Times New Roman Italique"/>
          <w:i/>
          <w:iCs/>
          <w:spacing w:val="-2"/>
        </w:rPr>
        <w:t> -;</w:t>
      </w:r>
      <w:r w:rsidR="00A1126B"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2C5F3E"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002C5F3E" w:rsidRPr="009118AB">
        <w:rPr>
          <w:rFonts w:ascii="Times New Roman Italique" w:hAnsi="Times New Roman Italique"/>
          <w:i/>
          <w:iCs/>
          <w:spacing w:val="-2"/>
        </w:rPr>
        <w:t xml:space="preserve">3 eingefügt durch </w:t>
      </w:r>
      <w:r w:rsidR="00D67EB8" w:rsidRPr="009118AB">
        <w:rPr>
          <w:rFonts w:ascii="Times New Roman Italique" w:hAnsi="Times New Roman Italique"/>
          <w:i/>
          <w:iCs/>
          <w:spacing w:val="-2"/>
        </w:rPr>
        <w:t>Art. </w:t>
      </w:r>
      <w:r w:rsidR="002C5F3E" w:rsidRPr="009118AB">
        <w:rPr>
          <w:rFonts w:ascii="Times New Roman Italique" w:hAnsi="Times New Roman Italique"/>
          <w:i/>
          <w:iCs/>
          <w:spacing w:val="-2"/>
        </w:rPr>
        <w:t>89 des G. vom 27.</w:t>
      </w:r>
      <w:r w:rsidR="002C5F3E" w:rsidRPr="009118AB">
        <w:rPr>
          <w:rFonts w:ascii="Times New Roman Italique" w:hAnsi="Times New Roman Italique" w:hint="eastAsia"/>
          <w:i/>
          <w:iCs/>
          <w:spacing w:val="-2"/>
        </w:rPr>
        <w:t> </w:t>
      </w:r>
      <w:r w:rsidR="002C5F3E" w:rsidRPr="009118AB">
        <w:rPr>
          <w:rFonts w:ascii="Times New Roman Italique" w:hAnsi="Times New Roman Italique"/>
          <w:i/>
          <w:iCs/>
          <w:spacing w:val="-2"/>
        </w:rPr>
        <w:t>Juni</w:t>
      </w:r>
      <w:r w:rsidR="002C5F3E" w:rsidRPr="009118AB">
        <w:rPr>
          <w:rFonts w:ascii="Times New Roman Italique" w:hAnsi="Times New Roman Italique" w:hint="eastAsia"/>
          <w:i/>
          <w:iCs/>
          <w:spacing w:val="-2"/>
        </w:rPr>
        <w:t> </w:t>
      </w:r>
      <w:r w:rsidR="002C5F3E" w:rsidRPr="009118AB">
        <w:rPr>
          <w:rFonts w:ascii="Times New Roman Italique" w:hAnsi="Times New Roman Italique"/>
          <w:i/>
          <w:iCs/>
          <w:spacing w:val="-2"/>
        </w:rPr>
        <w:t>2021 (B.S. vom 30.</w:t>
      </w:r>
      <w:r w:rsidR="002C5F3E" w:rsidRPr="009118AB">
        <w:rPr>
          <w:rFonts w:ascii="Times New Roman Italique" w:hAnsi="Times New Roman Italique" w:hint="eastAsia"/>
          <w:i/>
          <w:iCs/>
          <w:spacing w:val="-2"/>
        </w:rPr>
        <w:t> </w:t>
      </w:r>
      <w:r w:rsidR="002C5F3E" w:rsidRPr="009118AB">
        <w:rPr>
          <w:rFonts w:ascii="Times New Roman Italique" w:hAnsi="Times New Roman Italique"/>
          <w:i/>
          <w:iCs/>
          <w:spacing w:val="-2"/>
        </w:rPr>
        <w:t>Juni</w:t>
      </w:r>
      <w:r w:rsidR="002C5F3E" w:rsidRPr="009118AB">
        <w:rPr>
          <w:rFonts w:ascii="Times New Roman Italique" w:hAnsi="Times New Roman Italique" w:hint="eastAsia"/>
          <w:i/>
          <w:iCs/>
          <w:spacing w:val="-2"/>
        </w:rPr>
        <w:t> </w:t>
      </w:r>
      <w:r w:rsidR="002C5F3E" w:rsidRPr="009118AB">
        <w:rPr>
          <w:rFonts w:ascii="Times New Roman Italique" w:hAnsi="Times New Roman Italique"/>
          <w:i/>
          <w:iCs/>
          <w:spacing w:val="-2"/>
        </w:rPr>
        <w:t xml:space="preserve">2021); </w:t>
      </w:r>
      <w:r w:rsidR="00D67EB8" w:rsidRPr="009118AB">
        <w:rPr>
          <w:rFonts w:ascii="Times New Roman Italique" w:hAnsi="Times New Roman Italique"/>
          <w:i/>
          <w:iCs/>
          <w:spacing w:val="-2"/>
        </w:rPr>
        <w:t>§ </w:t>
      </w:r>
      <w:r w:rsidR="00A1126B" w:rsidRPr="009118AB">
        <w:rPr>
          <w:rFonts w:ascii="Times New Roman Italique" w:hAnsi="Times New Roman Italique"/>
          <w:i/>
          <w:iCs/>
          <w:spacing w:val="-2"/>
        </w:rPr>
        <w:t xml:space="preserve">2 eingefügt durch </w:t>
      </w:r>
      <w:r w:rsidR="00D67EB8" w:rsidRPr="009118AB">
        <w:rPr>
          <w:rFonts w:ascii="Times New Roman Italique" w:hAnsi="Times New Roman Italique"/>
          <w:i/>
          <w:iCs/>
          <w:spacing w:val="-2"/>
        </w:rPr>
        <w:t>Art. </w:t>
      </w:r>
      <w:r w:rsidR="00A1126B" w:rsidRPr="009118AB">
        <w:rPr>
          <w:rFonts w:ascii="Times New Roman Italique" w:hAnsi="Times New Roman Italique"/>
          <w:i/>
          <w:iCs/>
          <w:spacing w:val="-2"/>
        </w:rPr>
        <w:t xml:space="preserve">10 </w:t>
      </w:r>
      <w:r w:rsidR="00D67EB8" w:rsidRPr="009118AB">
        <w:rPr>
          <w:rFonts w:ascii="Times New Roman Italique" w:hAnsi="Times New Roman Italique"/>
          <w:i/>
          <w:iCs/>
          <w:spacing w:val="-2"/>
        </w:rPr>
        <w:t>Nr. </w:t>
      </w:r>
      <w:r w:rsidR="00A1126B" w:rsidRPr="009118AB">
        <w:rPr>
          <w:rFonts w:ascii="Times New Roman Italique" w:hAnsi="Times New Roman Italique"/>
          <w:i/>
          <w:iCs/>
          <w:spacing w:val="-2"/>
        </w:rPr>
        <w:t>2 des G. vom 17. Februar 2021</w:t>
      </w:r>
      <w:r w:rsidR="007A716D" w:rsidRPr="009118AB">
        <w:rPr>
          <w:rFonts w:ascii="Times New Roman Italique" w:hAnsi="Times New Roman Italique"/>
          <w:i/>
          <w:iCs/>
          <w:spacing w:val="-2"/>
        </w:rPr>
        <w:t> (II)</w:t>
      </w:r>
      <w:r w:rsidR="00A1126B" w:rsidRPr="009118AB">
        <w:rPr>
          <w:rFonts w:ascii="Times New Roman Italique" w:hAnsi="Times New Roman Italique"/>
          <w:i/>
          <w:iCs/>
          <w:spacing w:val="-2"/>
        </w:rPr>
        <w:t xml:space="preserve"> (B.S. vom 25. Februar 2021)</w:t>
      </w:r>
      <w:r w:rsidR="00D67EB8" w:rsidRPr="009118AB">
        <w:rPr>
          <w:rFonts w:ascii="Times New Roman Italique" w:hAnsi="Times New Roman Italique"/>
          <w:i/>
          <w:iCs/>
          <w:spacing w:val="-2"/>
        </w:rPr>
        <w:t> - </w:t>
      </w:r>
      <w:r w:rsidR="00A1126B" w:rsidRPr="009118AB">
        <w:rPr>
          <w:rFonts w:ascii="Times New Roman Italique" w:hAnsi="Times New Roman Italique"/>
          <w:i/>
          <w:iCs/>
          <w:spacing w:val="-2"/>
        </w:rPr>
        <w:t>wirksam mit 1. Januar 2021</w:t>
      </w:r>
      <w:r w:rsidR="00FD68E8" w:rsidRPr="009118AB">
        <w:rPr>
          <w:rFonts w:ascii="Times New Roman Italique" w:hAnsi="Times New Roman Italique"/>
          <w:i/>
          <w:iCs/>
          <w:spacing w:val="-2"/>
        </w:rPr>
        <w:t> -]</w:t>
      </w:r>
    </w:p>
    <w:p w14:paraId="13102880" w14:textId="77777777" w:rsidR="00412928" w:rsidRPr="009118AB"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6DEE604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CF19E2C" w14:textId="339546A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2"/>
        </w:rPr>
      </w:pPr>
      <w:r w:rsidRPr="009118AB">
        <w:rPr>
          <w:spacing w:val="-2"/>
        </w:rPr>
        <w:tab/>
      </w:r>
      <w:r w:rsidR="00D67EB8" w:rsidRPr="009118AB">
        <w:rPr>
          <w:b/>
          <w:bCs/>
          <w:spacing w:val="-2"/>
        </w:rPr>
        <w:t>Art. </w:t>
      </w:r>
      <w:r w:rsidRPr="009118AB">
        <w:rPr>
          <w:b/>
          <w:bCs/>
          <w:spacing w:val="-2"/>
        </w:rPr>
        <w:t>474</w:t>
      </w:r>
      <w:r w:rsidR="00D67EB8" w:rsidRPr="009118AB">
        <w:rPr>
          <w:spacing w:val="-2"/>
        </w:rPr>
        <w:t> - </w:t>
      </w:r>
      <w:r w:rsidRPr="009118AB">
        <w:rPr>
          <w:spacing w:val="-2"/>
        </w:rPr>
        <w:t xml:space="preserve">Auf Ersuchen der </w:t>
      </w:r>
      <w:r w:rsidR="00412928" w:rsidRPr="009118AB">
        <w:rPr>
          <w:spacing w:val="-2"/>
        </w:rPr>
        <w:t xml:space="preserve">[Generalverwaltung Vermögensdokumentation] </w:t>
      </w:r>
      <w:r w:rsidRPr="009118AB">
        <w:rPr>
          <w:spacing w:val="-2"/>
        </w:rPr>
        <w:t>ist der Steuerpflichtige außerdem verpflichtet, eine Erklärung mit den zur Festlegung des Katasterein</w:t>
      </w:r>
      <w:r w:rsidR="005664A9" w:rsidRPr="009118AB">
        <w:rPr>
          <w:spacing w:val="-2"/>
        </w:rPr>
        <w:softHyphen/>
      </w:r>
      <w:r w:rsidRPr="009118AB">
        <w:rPr>
          <w:spacing w:val="-2"/>
        </w:rPr>
        <w:t>kommens des Materials und der Ausrüstung notwendigen Angaben einzureichen. Diese Erklärung, die auf einem Formular gemacht wird, das vorerwähnte Verwaltung dem betreffenden Steuerpflichtigen zusendet, muss ordnungsgemäß ausgefüllt und unterzeichnet in der darauf angegebenen Frist dem Beamten beziehungsweise Dienst, von dem das Formular ausgeht, zukommen.</w:t>
      </w:r>
    </w:p>
    <w:p w14:paraId="0C4DF85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2"/>
        </w:rPr>
      </w:pPr>
    </w:p>
    <w:p w14:paraId="263D1346" w14:textId="5DFA547B" w:rsidR="00412928" w:rsidRPr="009118AB"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474 abgeändert durch </w:t>
      </w:r>
      <w:r w:rsidR="00D67EB8" w:rsidRPr="009118AB">
        <w:rPr>
          <w:i/>
        </w:rPr>
        <w:t>Art. </w:t>
      </w:r>
      <w:r w:rsidRPr="009118AB">
        <w:rPr>
          <w:i/>
        </w:rPr>
        <w:t>25</w:t>
      </w:r>
      <w:r w:rsidRPr="009118AB">
        <w:rPr>
          <w:i/>
          <w:iCs/>
        </w:rPr>
        <w:t xml:space="preserve"> des G. vom 25. April 2014 (I) (B.S. vom 16. Mai 2014)</w:t>
      </w:r>
      <w:r w:rsidR="00D67EB8" w:rsidRPr="009118AB">
        <w:rPr>
          <w:i/>
          <w:iCs/>
        </w:rPr>
        <w:t> - </w:t>
      </w:r>
      <w:r w:rsidRPr="009118AB">
        <w:rPr>
          <w:i/>
          <w:iCs/>
        </w:rPr>
        <w:t>in Kraft am 16. Mai 2014</w:t>
      </w:r>
      <w:r w:rsidR="00FD68E8" w:rsidRPr="009118AB">
        <w:rPr>
          <w:i/>
          <w:iCs/>
        </w:rPr>
        <w:t> -]</w:t>
      </w:r>
    </w:p>
    <w:p w14:paraId="10192CF7" w14:textId="77777777" w:rsidR="00412928" w:rsidRPr="009118AB"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30DEAC9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990D54E" w14:textId="31326F4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475</w:t>
      </w:r>
      <w:r w:rsidR="00D67EB8" w:rsidRPr="009118AB">
        <w:t> - </w:t>
      </w:r>
      <w:r w:rsidRPr="009118AB">
        <w:t xml:space="preserve">Die </w:t>
      </w:r>
      <w:r w:rsidR="00155138" w:rsidRPr="009118AB">
        <w:t xml:space="preserve">[Generalverwaltung Vermögensdokumentation] </w:t>
      </w:r>
      <w:r w:rsidRPr="009118AB">
        <w:t>kann:</w:t>
      </w:r>
    </w:p>
    <w:p w14:paraId="7453FC1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4FB91C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1. vom Steuerpflichtigen und von eventuellen Mietern verlangen, dass sie in der Form und in der Frist, die sie festlegt, alle zur Festlegung des Katastereinkommens zweckdienlichen Auskünfte erteilen und dass sie vor Ort Bücher und Unterlagen, die es ermöglichen, die Richtigkeit der erteilten Auskünfte zu überprüfen, zur Einsicht vorlegen,</w:t>
      </w:r>
    </w:p>
    <w:p w14:paraId="5214E77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701C94F" w14:textId="447E7F2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2. von den in Artikel 327 </w:t>
      </w:r>
      <w:r w:rsidR="00D67EB8" w:rsidRPr="009118AB">
        <w:t>§ </w:t>
      </w:r>
      <w:r w:rsidRPr="009118AB">
        <w:t>1 erwähnten öffentlichen Diensten und Einrichtungen</w:t>
      </w:r>
      <w:r w:rsidR="00160458" w:rsidRPr="009118AB">
        <w:t xml:space="preserve"> [und von Landmesser-Gutachtern im Rahmen der gesetzmäßigen Ausübung ihrer geschützten Tätigkeiten] </w:t>
      </w:r>
      <w:r w:rsidRPr="009118AB">
        <w:t>verlangen, dass sie kostenlos eine vollständige Abschrift der Pläne und dazugehörenden Unterlagen, über die sie verfügen und die für die Fortschreibung der Katasterpläne zweckdienlich sein können, vorlegen.</w:t>
      </w:r>
    </w:p>
    <w:p w14:paraId="6A948AD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F9ECA85" w14:textId="423D355F" w:rsidR="00160458" w:rsidRPr="009118AB" w:rsidRDefault="0016045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118AB">
        <w:rPr>
          <w:i/>
        </w:rPr>
        <w:t>[</w:t>
      </w:r>
      <w:r w:rsidR="00D67EB8" w:rsidRPr="009118AB">
        <w:rPr>
          <w:i/>
        </w:rPr>
        <w:t>Art. </w:t>
      </w:r>
      <w:r w:rsidRPr="009118AB">
        <w:rPr>
          <w:i/>
        </w:rPr>
        <w:t xml:space="preserve">475 </w:t>
      </w:r>
      <w:r w:rsidR="00155138" w:rsidRPr="009118AB">
        <w:rPr>
          <w:i/>
        </w:rPr>
        <w:t xml:space="preserve">einziger Absatz einleitende Bestimmung abgeändert durch </w:t>
      </w:r>
      <w:r w:rsidR="00D67EB8" w:rsidRPr="009118AB">
        <w:rPr>
          <w:i/>
        </w:rPr>
        <w:t>Art. </w:t>
      </w:r>
      <w:r w:rsidR="005664A9" w:rsidRPr="009118AB">
        <w:rPr>
          <w:i/>
        </w:rPr>
        <w:t>26</w:t>
      </w:r>
      <w:r w:rsidR="005664A9" w:rsidRPr="009118AB">
        <w:rPr>
          <w:i/>
          <w:iCs/>
        </w:rPr>
        <w:t xml:space="preserve"> des G. vom 25. April 2014 (I) (B.S. vom 16. Mai 2014)</w:t>
      </w:r>
      <w:r w:rsidR="00D67EB8" w:rsidRPr="009118AB">
        <w:rPr>
          <w:i/>
          <w:iCs/>
        </w:rPr>
        <w:t> - </w:t>
      </w:r>
      <w:r w:rsidR="005664A9" w:rsidRPr="009118AB">
        <w:rPr>
          <w:i/>
          <w:iCs/>
        </w:rPr>
        <w:t>in Kraft am 16. Mai 2014</w:t>
      </w:r>
      <w:r w:rsidR="003366D9" w:rsidRPr="009118AB">
        <w:rPr>
          <w:i/>
          <w:iCs/>
        </w:rPr>
        <w:t> -;</w:t>
      </w:r>
      <w:r w:rsidR="005664A9" w:rsidRPr="009118AB">
        <w:rPr>
          <w:i/>
          <w:iCs/>
        </w:rPr>
        <w:t xml:space="preserve"> </w:t>
      </w:r>
      <w:r w:rsidRPr="009118AB">
        <w:rPr>
          <w:i/>
        </w:rPr>
        <w:t xml:space="preserve">einziger Absatz </w:t>
      </w:r>
      <w:r w:rsidR="00D67EB8" w:rsidRPr="009118AB">
        <w:rPr>
          <w:i/>
        </w:rPr>
        <w:t>Nr. </w:t>
      </w:r>
      <w:r w:rsidRPr="009118AB">
        <w:rPr>
          <w:i/>
        </w:rPr>
        <w:t xml:space="preserve">2 abgeändert durch </w:t>
      </w:r>
      <w:r w:rsidR="00D67EB8" w:rsidRPr="009118AB">
        <w:rPr>
          <w:i/>
        </w:rPr>
        <w:t>Art. </w:t>
      </w:r>
      <w:r w:rsidRPr="009118AB">
        <w:rPr>
          <w:i/>
        </w:rPr>
        <w:t>71</w:t>
      </w:r>
      <w:r w:rsidRPr="009118AB">
        <w:rPr>
          <w:i/>
          <w:iCs/>
        </w:rPr>
        <w:t xml:space="preserve"> des </w:t>
      </w:r>
      <w:r w:rsidR="00DC1F9F" w:rsidRPr="009118AB">
        <w:rPr>
          <w:i/>
          <w:iCs/>
        </w:rPr>
        <w:t>G. vom 22. Dezember 2009 (I)</w:t>
      </w:r>
      <w:r w:rsidRPr="009118AB">
        <w:rPr>
          <w:i/>
          <w:iCs/>
        </w:rPr>
        <w:t xml:space="preserve"> (B.S. vom 31. Dezember 2009)]</w:t>
      </w:r>
    </w:p>
    <w:p w14:paraId="69CC328C" w14:textId="77777777" w:rsidR="00160458" w:rsidRPr="009118AB" w:rsidRDefault="0016045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9BC03B8" w14:textId="77777777" w:rsidR="00160458" w:rsidRPr="009118AB" w:rsidRDefault="0016045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E78209" w14:textId="1F97836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476</w:t>
      </w:r>
      <w:r w:rsidR="00D67EB8" w:rsidRPr="009118AB">
        <w:t> - </w:t>
      </w:r>
      <w:r w:rsidRPr="009118AB">
        <w:t xml:space="preserve">Unter der Bedingung, dass die Bediensteten der </w:t>
      </w:r>
      <w:r w:rsidR="005664A9" w:rsidRPr="009118AB">
        <w:t xml:space="preserve">[Generalverwaltung Vermögensdokumentation] </w:t>
      </w:r>
      <w:r w:rsidRPr="009118AB">
        <w:t>im Besitz ihrer Legitimation sind, haben sie das Recht, alleine oder in Begleitung des Personals, das ihnen bei ihren Verrichtungen behilflich ist, oder des vom Bürgermeister bestimmten Beauftragten zwischen acht und achtzehn Uhr Gebäude und gleich welche unbeweglichen Güter zu betreten, um dort Vermessungs-, Grenzermittlungs- und Veranschlagungsverrichtungen durchzuführen.</w:t>
      </w:r>
    </w:p>
    <w:p w14:paraId="78746517" w14:textId="77777777" w:rsidR="008605BF" w:rsidRPr="009118AB" w:rsidRDefault="008605BF" w:rsidP="001C358C">
      <w:pPr>
        <w:autoSpaceDE w:val="0"/>
        <w:autoSpaceDN w:val="0"/>
        <w:adjustRightInd w:val="0"/>
        <w:jc w:val="both"/>
      </w:pPr>
    </w:p>
    <w:p w14:paraId="24570AAF" w14:textId="3616739E" w:rsidR="00477B8F" w:rsidRPr="009118AB" w:rsidRDefault="00477B8F" w:rsidP="001C358C">
      <w:pPr>
        <w:autoSpaceDE w:val="0"/>
        <w:autoSpaceDN w:val="0"/>
        <w:adjustRightInd w:val="0"/>
        <w:jc w:val="both"/>
      </w:pPr>
      <w:r w:rsidRPr="009118AB">
        <w:tab/>
      </w:r>
      <w:r w:rsidR="005129E6">
        <w:t>[</w:t>
      </w:r>
      <w:r w:rsidR="005129E6" w:rsidRPr="009541B3">
        <w:t>Wird ihnen der Zugang zum Eigentum verweigert, dürfen sie es nur mit Hilfe des Korpschefs der lokalen Polizeizone, in der das Eigentum gelegen ist, oder seines Beauftragten betreten.</w:t>
      </w:r>
      <w:r w:rsidR="005129E6">
        <w:t>]</w:t>
      </w:r>
    </w:p>
    <w:p w14:paraId="3A41A1A2" w14:textId="77777777" w:rsidR="005664A9" w:rsidRPr="009118AB" w:rsidRDefault="005664A9" w:rsidP="001C358C">
      <w:pPr>
        <w:autoSpaceDE w:val="0"/>
        <w:autoSpaceDN w:val="0"/>
        <w:adjustRightInd w:val="0"/>
        <w:jc w:val="both"/>
      </w:pPr>
    </w:p>
    <w:p w14:paraId="02E29753" w14:textId="64DCFD8E" w:rsidR="005664A9" w:rsidRPr="005129E6" w:rsidRDefault="005664A9" w:rsidP="001C358C">
      <w:pPr>
        <w:autoSpaceDE w:val="0"/>
        <w:autoSpaceDN w:val="0"/>
        <w:adjustRightInd w:val="0"/>
        <w:jc w:val="both"/>
        <w:rPr>
          <w:i/>
          <w:iCs/>
        </w:rPr>
      </w:pPr>
      <w:r w:rsidRPr="009118AB">
        <w:rPr>
          <w:i/>
        </w:rPr>
        <w:t>[</w:t>
      </w:r>
      <w:r w:rsidR="00D67EB8" w:rsidRPr="009118AB">
        <w:rPr>
          <w:i/>
        </w:rPr>
        <w:t>Art. </w:t>
      </w:r>
      <w:r w:rsidRPr="009118AB">
        <w:rPr>
          <w:i/>
        </w:rPr>
        <w:t xml:space="preserve">476 </w:t>
      </w:r>
      <w:r w:rsidR="00D67EB8" w:rsidRPr="009118AB">
        <w:rPr>
          <w:i/>
        </w:rPr>
        <w:t>Abs. </w:t>
      </w:r>
      <w:r w:rsidRPr="009118AB">
        <w:rPr>
          <w:i/>
        </w:rPr>
        <w:t xml:space="preserve">1 abgeändert durch </w:t>
      </w:r>
      <w:r w:rsidR="00D67EB8" w:rsidRPr="009118AB">
        <w:rPr>
          <w:i/>
        </w:rPr>
        <w:t>Art. </w:t>
      </w:r>
      <w:r w:rsidRPr="009118AB">
        <w:rPr>
          <w:i/>
        </w:rPr>
        <w:t>27</w:t>
      </w:r>
      <w:r w:rsidRPr="009118AB">
        <w:rPr>
          <w:i/>
          <w:iCs/>
        </w:rPr>
        <w:t xml:space="preserve"> des G. vom 25. April 2014 (I) (B.S. vom 16. Mai 2014)</w:t>
      </w:r>
      <w:r w:rsidR="00D67EB8" w:rsidRPr="009118AB">
        <w:rPr>
          <w:i/>
          <w:iCs/>
        </w:rPr>
        <w:t> - </w:t>
      </w:r>
      <w:r w:rsidRPr="009118AB">
        <w:rPr>
          <w:i/>
          <w:iCs/>
        </w:rPr>
        <w:t>in Kraft am 16. Mai 2014</w:t>
      </w:r>
      <w:r w:rsidR="00FD68E8" w:rsidRPr="009118AB">
        <w:rPr>
          <w:i/>
          <w:iCs/>
        </w:rPr>
        <w:t> -</w:t>
      </w:r>
      <w:r w:rsidR="005129E6">
        <w:rPr>
          <w:i/>
          <w:iCs/>
        </w:rPr>
        <w:t>; Abs.</w:t>
      </w:r>
      <w:r w:rsidR="005129E6">
        <w:t> </w:t>
      </w:r>
      <w:r w:rsidR="005129E6" w:rsidRPr="005129E6">
        <w:rPr>
          <w:i/>
          <w:iCs/>
        </w:rPr>
        <w:t xml:space="preserve">2 ersetzt durch Art. 82 </w:t>
      </w:r>
      <w:bookmarkStart w:id="41" w:name="_Hlk192856156"/>
      <w:r w:rsidR="005129E6" w:rsidRPr="005129E6">
        <w:rPr>
          <w:i/>
          <w:iCs/>
          <w:spacing w:val="-2"/>
        </w:rPr>
        <w:t>des G. vom 28. Dezember 2023 (B.S. vom 29. Dezember 2023)</w:t>
      </w:r>
      <w:bookmarkEnd w:id="41"/>
      <w:r w:rsidR="00FD68E8" w:rsidRPr="005129E6">
        <w:rPr>
          <w:i/>
          <w:iCs/>
        </w:rPr>
        <w:t>]</w:t>
      </w:r>
    </w:p>
    <w:p w14:paraId="49D40BF7" w14:textId="27FD24A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i/>
          <w:iCs/>
        </w:rPr>
        <w:t>Abschnitt </w:t>
      </w:r>
      <w:r w:rsidR="006B602F" w:rsidRPr="009118AB">
        <w:rPr>
          <w:i/>
          <w:iCs/>
        </w:rPr>
        <w:t>3</w:t>
      </w:r>
      <w:r w:rsidR="00D67EB8" w:rsidRPr="009118AB">
        <w:t> - </w:t>
      </w:r>
      <w:r w:rsidRPr="009118AB">
        <w:t>Bebaute unbewegliche Güter</w:t>
      </w:r>
    </w:p>
    <w:p w14:paraId="66DBE12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590DD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743923" w14:textId="65F8A66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477</w:t>
      </w:r>
      <w:r w:rsidR="00D67EB8" w:rsidRPr="009118AB">
        <w:t> - § </w:t>
      </w:r>
      <w:r w:rsidRPr="009118AB">
        <w:t>1</w:t>
      </w:r>
      <w:r w:rsidR="00D67EB8" w:rsidRPr="009118AB">
        <w:t> - </w:t>
      </w:r>
      <w:r w:rsidRPr="009118AB">
        <w:t>Für bebaute Parzellen wird das Katastereinkommen auf der Grundlage der normalen Nettomietwerte zu dem in Artikel 486 bestimmten Bezugszeitpunkt festgelegt. Kann das Katastereinkommen auf dieser Grundlage nicht festgelegt werden oder muss es außerhalb einer allgemeinen Angleichung festgelegt oder revidiert werden, kann es auch durch einen Vergleich mit gleichartigen bebauten Parzellen mit definitivem Katastereinkommen festgelegt werden.</w:t>
      </w:r>
    </w:p>
    <w:p w14:paraId="48C0B34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A99FA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In Ermangelung geeigneter Vergleichsobjekte in der Gemeinde werden Bezugsobjekte in Nachbargemeinden gewählt, die in Sachen Wohnungswesen und Bevölkerungsstruktur ähnlich sind.</w:t>
      </w:r>
    </w:p>
    <w:p w14:paraId="3D5E97B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0F03833" w14:textId="5324717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Als normaler Nettomietwert gilt das normale Bruttoeinkommen verringert um 40 Prozent für Instandhaltungs- und Instandsetzungskosten; der Abzug bezieht sich auf das Einkommen aus dem Gebäude und den dazugehörigen bebauten und unbebauten Gütern bis zu einer maximalen Oberfläche von acht Ar.</w:t>
      </w:r>
    </w:p>
    <w:p w14:paraId="4AA8F71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1CCD4E" w14:textId="1729938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3</w:t>
      </w:r>
      <w:r w:rsidR="00D67EB8" w:rsidRPr="009118AB">
        <w:t> - </w:t>
      </w:r>
      <w:r w:rsidRPr="009118AB">
        <w:t>Als Bruttoeinkommen gilt der Gesamtbetrag des Mietpreises und der Mietvorteile. Besteht ein Mietvorteil aus einer einmalig vom Mieter getätigten Ausgabe, wird ihr Betrag auf die Gesamtdauer des Mietvertrags verteilt.</w:t>
      </w:r>
    </w:p>
    <w:p w14:paraId="1EFD04E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BB1C40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DBAC7B2" w14:textId="5116242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478</w:t>
      </w:r>
      <w:r w:rsidR="00D67EB8" w:rsidRPr="009118AB">
        <w:t> - </w:t>
      </w:r>
      <w:r w:rsidRPr="009118AB">
        <w:t>Gibt es für eine bebaute Parzelle keine passende Referenzparzelle, wird das Katastereinkommen berechnet, indem der Satz von 5,3 Prozent auf den normalen Verkaufswert der Parzelle zu dem in Artikel 486 bestimmten Bezugszeitpunkt angewandt wird.</w:t>
      </w:r>
    </w:p>
    <w:p w14:paraId="218BA82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BE5AED" w14:textId="359FC33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normale Verkaufswert wird gemäß Verfahren bestimmt, die in ähnlichen Fällen von Immobiliensachverständigen angewandt werden.</w:t>
      </w:r>
    </w:p>
    <w:p w14:paraId="4D10E288" w14:textId="1BCF552C"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0343AF" w14:textId="5FFA0129"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[Gibt es keine Referenz, die es ermöglicht, den normalen Verkaufswert der Parzelle zu dem in Artikel 486 bestimmten Bezugszeitpunkt festzulegen, wird dieser Verkaufswert auf der Grundlage des aktuellen normalen Verkaufswerts festgelegt, auf den ein Korrekturfaktor angewandt wird. Dieser Korrekturfaktor wird jährlich durch Multiplikation des Korrektur</w:t>
      </w:r>
      <w:r w:rsidRPr="009118AB">
        <w:softHyphen/>
        <w:t xml:space="preserve">faktors des Vorjahres mit dem Durchschnitt der von der Föderalen Schuldenagentur veröffentlichten monatlichen Referenzindexe J in Bezug auf lineare Schuldverschreibungen mit einer Laufzeit von zehn Jahren für dasselbe Vorjahr, erhöht um 1, festgelegt. Für das Jahr 2020 wird der Korrekturfaktor auf 15,036 festgelegt. Der Föderale Öffentliche Dienst Finanzen teilt jährlich durch eine Bekanntmachung im </w:t>
      </w:r>
      <w:r w:rsidRPr="009118AB">
        <w:rPr>
          <w:i/>
        </w:rPr>
        <w:t>Belgischen Staatsblatt</w:t>
      </w:r>
      <w:r w:rsidRPr="009118AB">
        <w:t xml:space="preserve"> den Korrekturfaktor mit.]</w:t>
      </w:r>
    </w:p>
    <w:p w14:paraId="150B610E" w14:textId="709723C9"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44BDB8" w14:textId="56FD3197"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w:t>
      </w:r>
      <w:r w:rsidR="00D67EB8" w:rsidRPr="009118AB">
        <w:rPr>
          <w:i/>
          <w:iCs/>
        </w:rPr>
        <w:t>Art. </w:t>
      </w:r>
      <w:r w:rsidRPr="009118AB">
        <w:rPr>
          <w:i/>
          <w:iCs/>
        </w:rPr>
        <w:t xml:space="preserve">478 </w:t>
      </w:r>
      <w:r w:rsidR="00D67EB8" w:rsidRPr="009118AB">
        <w:rPr>
          <w:i/>
          <w:iCs/>
        </w:rPr>
        <w:t>Abs. </w:t>
      </w:r>
      <w:r w:rsidRPr="009118AB">
        <w:rPr>
          <w:i/>
          <w:iCs/>
        </w:rPr>
        <w:t xml:space="preserve">3 eingefügt durch </w:t>
      </w:r>
      <w:r w:rsidR="00D67EB8" w:rsidRPr="009118AB">
        <w:rPr>
          <w:i/>
          <w:iCs/>
        </w:rPr>
        <w:t>Art. </w:t>
      </w:r>
      <w:r w:rsidRPr="009118AB">
        <w:rPr>
          <w:i/>
          <w:iCs/>
        </w:rPr>
        <w:t>11 des G. vom 17. Februar 2021 (II) (B.S. vom 25. Februar 2021)</w:t>
      </w:r>
      <w:r w:rsidR="00D67EB8" w:rsidRPr="009118AB">
        <w:rPr>
          <w:i/>
          <w:iCs/>
        </w:rPr>
        <w:t> - </w:t>
      </w:r>
      <w:r w:rsidRPr="009118AB">
        <w:rPr>
          <w:i/>
          <w:iCs/>
        </w:rPr>
        <w:t>wirksam mit 1. Januar 2021</w:t>
      </w:r>
      <w:r w:rsidR="00FD68E8" w:rsidRPr="009118AB">
        <w:rPr>
          <w:i/>
          <w:iCs/>
        </w:rPr>
        <w:t> -]</w:t>
      </w:r>
    </w:p>
    <w:p w14:paraId="72B2F483" w14:textId="36640CA1" w:rsidR="00477B8F" w:rsidRPr="009118AB" w:rsidRDefault="00477B8F" w:rsidP="00587507">
      <w:pPr>
        <w:autoSpaceDE w:val="0"/>
        <w:autoSpaceDN w:val="0"/>
        <w:adjustRightInd w:val="0"/>
        <w:jc w:val="center"/>
      </w:pPr>
      <w:r w:rsidRPr="009118AB">
        <w:br w:type="page"/>
      </w:r>
      <w:r w:rsidRPr="009118AB">
        <w:rPr>
          <w:i/>
          <w:iCs/>
        </w:rPr>
        <w:t>Abschnitt </w:t>
      </w:r>
      <w:r w:rsidR="006B602F" w:rsidRPr="009118AB">
        <w:rPr>
          <w:i/>
          <w:iCs/>
        </w:rPr>
        <w:t>4</w:t>
      </w:r>
      <w:r w:rsidR="00D67EB8" w:rsidRPr="009118AB">
        <w:t> - </w:t>
      </w:r>
      <w:r w:rsidRPr="009118AB">
        <w:t>Unbebaute unbewegliche Güter</w:t>
      </w:r>
    </w:p>
    <w:p w14:paraId="565B2B3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294DC5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D56114" w14:textId="454265F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479</w:t>
      </w:r>
      <w:r w:rsidR="00D67EB8" w:rsidRPr="009118AB">
        <w:t> - § </w:t>
      </w:r>
      <w:r w:rsidRPr="009118AB">
        <w:t>1</w:t>
      </w:r>
      <w:r w:rsidR="00D67EB8" w:rsidRPr="009118AB">
        <w:t> - </w:t>
      </w:r>
      <w:r w:rsidRPr="009118AB">
        <w:t>Für unbebaute Parzellen wird das Katastereinkommen im Vergleich zum Katastereinkommen pro Hektar festgelegt, das auf der Grundlage der normalen Nettomietwerte zu dem in Artikel 486 bestimmten Bezugszeitpunkt unter Vorbehalt der Bestimmungen der Artikel 480 bis 482 für Ackerland, Mähwiesen, Viehweiden und Gemüsegärten festgelegt wird.</w:t>
      </w:r>
    </w:p>
    <w:p w14:paraId="4BF9F89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C26570" w14:textId="2AB398A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 xml:space="preserve">Als normaler Nettomietwert einer unbebauten Parzelle gilt das normale Bruttoeinkommen wie in Artikel 477 </w:t>
      </w:r>
      <w:r w:rsidR="00D67EB8" w:rsidRPr="009118AB">
        <w:t>§ </w:t>
      </w:r>
      <w:r w:rsidRPr="009118AB">
        <w:t>3 bestimmt, verringert um ein Zehntel für Instandhaltungs- und Instandsetzungskosten.</w:t>
      </w:r>
    </w:p>
    <w:p w14:paraId="6FBA567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A934EA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03DEEAE" w14:textId="1248F14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480</w:t>
      </w:r>
      <w:r w:rsidR="00D67EB8" w:rsidRPr="009118AB">
        <w:t> - § </w:t>
      </w:r>
      <w:r w:rsidRPr="009118AB">
        <w:t>1</w:t>
      </w:r>
      <w:r w:rsidR="00D67EB8" w:rsidRPr="009118AB">
        <w:t> - </w:t>
      </w:r>
      <w:r w:rsidRPr="009118AB">
        <w:t>Es gelten:</w:t>
      </w:r>
    </w:p>
    <w:p w14:paraId="42FA6D0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350A3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1. als Gemüsegärten, deren Katastereinkommen pro Hektar in der Gemeinde oder in der Katastergemarkung der Gemeinde am höchsten ist:</w:t>
      </w:r>
    </w:p>
    <w:p w14:paraId="39D4EE8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8CFFDD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a)</w:t>
      </w:r>
      <w:r w:rsidRPr="009118AB">
        <w:t xml:space="preserve"> Ziergärten und Parks ausschließlich der Teile, die mit Bäumen einer in Wäldern wachsenden Baumart bepflanzt sind und eine Oberfläche von mindestens fünfzig Ar aufweisen und somit als Wälder gelten,</w:t>
      </w:r>
    </w:p>
    <w:p w14:paraId="1E494B6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DDF69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b)</w:t>
      </w:r>
      <w:r w:rsidRPr="009118AB">
        <w:t xml:space="preserve"> Grundstücke ohne besondere landwirtschaftliche Zweckbestimmung, die in einer Agglomeration an einer Verkehrsverbindung liegen, die zum Straßennetz des Staates, der Provinz oder der Gemeinde gehört, oder für die gemäß Bedingungen, die durch die grundlegenden Gesetzesbestimmungen über Raumordnung und Städtebau auferlegt sind, eine Baugenehmigung erteilt wurde,</w:t>
      </w:r>
    </w:p>
    <w:p w14:paraId="6A4A190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7B0276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2. als Ackerland, Mähwiesen oder Viehweiden, deren Katastereinkommen pro Hektar in der Gemeinde oder in der Katastergemarkung der Gemeinde am höchsten ist:</w:t>
      </w:r>
    </w:p>
    <w:p w14:paraId="7BE42A7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B3D790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a)</w:t>
      </w:r>
      <w:r w:rsidRPr="009118AB">
        <w:t xml:space="preserve"> Rennbahnen, Spiel- oder Sportplätze und Baumschulen,</w:t>
      </w:r>
    </w:p>
    <w:p w14:paraId="0059207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3F591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b)</w:t>
      </w:r>
      <w:r w:rsidRPr="009118AB">
        <w:t xml:space="preserve"> Bergwerke und Steinbrüche; das Katastereinkommen der Oberfläche oder des Teils der Oberfläche, die zu diesen Zwecken genutzt wird, wird ohne Berücksichtigung der dort befindlichen Ader oder Bank festgelegt,</w:t>
      </w:r>
    </w:p>
    <w:p w14:paraId="774A65E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3367B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3. als Ackerland, Mähwiesen oder Viehweiden, deren Katastereinkommen pro Hektar in der Gemeinde oder in der Katastergemarkung der Gemeinde am niedrigsten ist, Wege oder Alleen, Teiche und Kanäle, die nicht Teil des öffentlichen Eigentums sind.</w:t>
      </w:r>
    </w:p>
    <w:p w14:paraId="5B1FB95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B1720CA" w14:textId="53480CC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In Ermangelung von Vergleichsobjekten in der Gemeinde werden Bezugsobjekte in der nächstgelegenen Gemeinde gewählt, in der unbewegliche Güter entsprechender Art zu finden sind.</w:t>
      </w:r>
    </w:p>
    <w:p w14:paraId="7151D6D2" w14:textId="4AC383D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br w:type="page"/>
      </w:r>
      <w:r w:rsidRPr="009118AB">
        <w:tab/>
      </w:r>
      <w:r w:rsidR="00D67EB8" w:rsidRPr="009118AB">
        <w:rPr>
          <w:b/>
          <w:bCs/>
        </w:rPr>
        <w:t>Art. </w:t>
      </w:r>
      <w:r w:rsidRPr="009118AB">
        <w:rPr>
          <w:b/>
          <w:bCs/>
        </w:rPr>
        <w:t>481</w:t>
      </w:r>
      <w:r w:rsidR="00D67EB8" w:rsidRPr="009118AB">
        <w:t> - § </w:t>
      </w:r>
      <w:r w:rsidRPr="009118AB">
        <w:t>1</w:t>
      </w:r>
      <w:r w:rsidR="00D67EB8" w:rsidRPr="009118AB">
        <w:t> - </w:t>
      </w:r>
      <w:r w:rsidRPr="009118AB">
        <w:t>Waldparzellen werden pro Zone entsprechend der Bestandsart, der Bodenqualität und der Lage in drei Klassen aufgeteilt ohne Berücksichtigung möglicher oder tatsächlicher Abholzungen.</w:t>
      </w:r>
    </w:p>
    <w:p w14:paraId="6BAB36C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61D10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Die Zonen und Klassen werden von den für Kataster und Landwirtschaft zuständigen Ministern bestimmt.</w:t>
      </w:r>
    </w:p>
    <w:p w14:paraId="1D9BE35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06C46A3" w14:textId="758B23D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Das Katastereinkommen pro Hektar einer Waldparzelle der ersten Klasse entspricht in jeder Zone dem Durchschnitt der niedrigsten Katastereinkünfte pro Hektar, die dem Ackerland jeder Gemeinde der Zone beigemessen wurden.</w:t>
      </w:r>
    </w:p>
    <w:p w14:paraId="54DE952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0C22D9" w14:textId="5A2EF0A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3</w:t>
      </w:r>
      <w:r w:rsidR="00D67EB8" w:rsidRPr="009118AB">
        <w:t> - </w:t>
      </w:r>
      <w:r w:rsidRPr="009118AB">
        <w:t>Das Katastereinkommen pro Hektar von Waldparzellen der zweiten und dritten Klasse entspricht 60 beziehungsweise 30 Prozent des Katastereinkommens pro Hektar, das für Wälder der ersten Klasse der Zone festgelegt wurde.</w:t>
      </w:r>
    </w:p>
    <w:p w14:paraId="3EA1E0E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33E0AB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2DA735" w14:textId="41C7F74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482</w:t>
      </w:r>
      <w:r w:rsidR="00D67EB8" w:rsidRPr="009118AB">
        <w:t> - </w:t>
      </w:r>
      <w:r w:rsidRPr="009118AB">
        <w:t>Das Katastereinkommen von Parzellen anderer Art als die in den Artikeln 479 bis 481 erwähnten Parzellen wird im Vergleich zum Katastereinkommen pro Hektar, das gleichartigen Parzellen beigemessen wird, festgelegt.</w:t>
      </w:r>
    </w:p>
    <w:p w14:paraId="187473D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68D0C4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In Abweichung von vorhergehendem Absatz darf das Katastereinkommen von Parkplätzen im Freien und im Allgemeinen das Katastereinkommen kommerziell oder industriell genutzter Grundstücke gemäß der in Artikel 478 vorgesehenen Methode berechnet werden.</w:t>
      </w:r>
    </w:p>
    <w:p w14:paraId="2C1C950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F8CE3F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Das Katastereinkommen pro Hektar einer unbebauten Parzelle darf auf keinen Fall unter [2 EUR] liegen.</w:t>
      </w:r>
    </w:p>
    <w:p w14:paraId="3B13233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83B1207" w14:textId="05F6B42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w:t>
      </w:r>
      <w:r w:rsidR="00D67EB8" w:rsidRPr="009118AB">
        <w:rPr>
          <w:i/>
          <w:iCs/>
        </w:rPr>
        <w:t>Art. </w:t>
      </w:r>
      <w:r w:rsidRPr="009118AB">
        <w:rPr>
          <w:i/>
          <w:iCs/>
        </w:rPr>
        <w:t xml:space="preserve">482 </w:t>
      </w:r>
      <w:r w:rsidR="00D67EB8" w:rsidRPr="009118AB">
        <w:rPr>
          <w:i/>
          <w:iCs/>
        </w:rPr>
        <w:t>Abs. </w:t>
      </w:r>
      <w:r w:rsidRPr="009118AB">
        <w:rPr>
          <w:i/>
          <w:iCs/>
        </w:rPr>
        <w:t xml:space="preserve">3 abgeändert durch </w:t>
      </w:r>
      <w:r w:rsidR="00D67EB8" w:rsidRPr="009118AB">
        <w:rPr>
          <w:i/>
          <w:iCs/>
        </w:rPr>
        <w:t>Art. </w:t>
      </w:r>
      <w:r w:rsidRPr="009118AB">
        <w:rPr>
          <w:i/>
          <w:iCs/>
        </w:rPr>
        <w:t xml:space="preserve">2 </w:t>
      </w:r>
      <w:r w:rsidR="00D67EB8" w:rsidRPr="009118AB">
        <w:rPr>
          <w:i/>
          <w:iCs/>
        </w:rPr>
        <w:t>Nr. </w:t>
      </w:r>
      <w:r w:rsidRPr="009118AB">
        <w:rPr>
          <w:i/>
          <w:iCs/>
        </w:rPr>
        <w:t>25 des K.E. vom 20. Juli 2000 (II) (B.S. vom 30. August 2000)</w:t>
      </w:r>
      <w:r w:rsidR="00D67EB8" w:rsidRPr="009118AB">
        <w:rPr>
          <w:i/>
          <w:iCs/>
        </w:rPr>
        <w:t> - </w:t>
      </w:r>
      <w:r w:rsidRPr="009118AB">
        <w:rPr>
          <w:i/>
          <w:iCs/>
        </w:rPr>
        <w:t>in Kraft ab dem 1. Januar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p>
    <w:p w14:paraId="1AECA027" w14:textId="02C8AC8C"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790290F" w14:textId="2084191E"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6C45743" w14:textId="74F6B763"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D67EB8" w:rsidRPr="009118AB">
        <w:rPr>
          <w:b/>
          <w:bCs/>
        </w:rPr>
        <w:t>Art. </w:t>
      </w:r>
      <w:r w:rsidRPr="009118AB">
        <w:rPr>
          <w:b/>
          <w:bCs/>
        </w:rPr>
        <w:t>482/1</w:t>
      </w:r>
      <w:r w:rsidR="00D67EB8" w:rsidRPr="009118AB">
        <w:t> - </w:t>
      </w:r>
      <w:r w:rsidRPr="009118AB">
        <w:t>Das Katastereinkommen von unbebauten im Ausland gelegenen unbeweglichen Gütern wird auf der Grundlage der Skala von 2 EUR pro Hektar festgelegt.]</w:t>
      </w:r>
    </w:p>
    <w:p w14:paraId="59592490" w14:textId="4BDC9841"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8C9DDB0" w14:textId="2EBF1355"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w:t>
      </w:r>
      <w:r w:rsidR="00D67EB8" w:rsidRPr="009118AB">
        <w:rPr>
          <w:i/>
          <w:iCs/>
        </w:rPr>
        <w:t>Art. </w:t>
      </w:r>
      <w:r w:rsidRPr="009118AB">
        <w:rPr>
          <w:i/>
          <w:iCs/>
        </w:rPr>
        <w:t xml:space="preserve">482/1 eingefügt durch </w:t>
      </w:r>
      <w:r w:rsidR="00D67EB8" w:rsidRPr="009118AB">
        <w:rPr>
          <w:i/>
          <w:iCs/>
        </w:rPr>
        <w:t>Art. </w:t>
      </w:r>
      <w:r w:rsidRPr="009118AB">
        <w:rPr>
          <w:i/>
          <w:iCs/>
        </w:rPr>
        <w:t>12 des G. vom 17. Februar 2021 (II) (B.S. vom 25. Februar 2021)</w:t>
      </w:r>
      <w:r w:rsidR="00D67EB8" w:rsidRPr="009118AB">
        <w:rPr>
          <w:i/>
          <w:iCs/>
        </w:rPr>
        <w:t> - </w:t>
      </w:r>
      <w:r w:rsidRPr="009118AB">
        <w:rPr>
          <w:i/>
          <w:iCs/>
        </w:rPr>
        <w:t>wirksam mit 1. Januar 2021</w:t>
      </w:r>
      <w:r w:rsidR="00FD68E8" w:rsidRPr="009118AB">
        <w:rPr>
          <w:i/>
          <w:iCs/>
        </w:rPr>
        <w:t> -]</w:t>
      </w:r>
    </w:p>
    <w:p w14:paraId="3D2F8BF5" w14:textId="0D29447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i/>
          <w:iCs/>
        </w:rPr>
        <w:t>Abschnitt </w:t>
      </w:r>
      <w:r w:rsidR="006B602F" w:rsidRPr="009118AB">
        <w:rPr>
          <w:i/>
          <w:iCs/>
        </w:rPr>
        <w:t>5</w:t>
      </w:r>
      <w:r w:rsidR="00D67EB8" w:rsidRPr="009118AB">
        <w:t> - </w:t>
      </w:r>
      <w:r w:rsidRPr="009118AB">
        <w:t>Material und Ausrüstung</w:t>
      </w:r>
    </w:p>
    <w:p w14:paraId="641901A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E625B9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604823" w14:textId="0C61D45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483</w:t>
      </w:r>
      <w:r w:rsidR="00D67EB8" w:rsidRPr="009118AB">
        <w:t> - </w:t>
      </w:r>
      <w:r w:rsidRPr="009118AB">
        <w:t>Das Katastereinkommen von Material und Ausrüstung wird berechnet, indem der in Artikel 478 vorgesehene Prozentsatz auf ihren Nutzwert angewandt wird.</w:t>
      </w:r>
    </w:p>
    <w:p w14:paraId="1EBC148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06B254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Für den Nutzwert gilt, dass er 30 Prozent des Anschaffungs- oder Investitionswertes im Neuzustand beträgt, eventuell erhöht um die Kosten aufeinander folgender Veränderungen; vorerwähnter Nutzwert wird gegebenenfalls berichtigt, um den neu bewerteten Wert zu dem in Artikel 486 bestimmten Bezugszeitpunkt festzulegen.</w:t>
      </w:r>
    </w:p>
    <w:p w14:paraId="1982DAA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C0B3726" w14:textId="27C2FF4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Bei den aufeinander folgenden Bewertungen werden Ausgaben in Bezug auf den Teil des Materials und der Ausrüstung, der vollständig erneuert wurde, jedoch nicht berücksichtigt. Für den Teil, an dem nur Reparaturen durchgeführt wurden, gilt die ursprüngliche Ausgabe oder gelten die folgenden Ausgaben, je nachdem ob ersterwähnte Ausgabe höher oder niedriger als die anderen Ausgaben ist.</w:t>
      </w:r>
    </w:p>
    <w:p w14:paraId="7EC6FB82" w14:textId="32ABB273"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FE9A1F1" w14:textId="09985C21"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[Das Katastereinkommen von Material und Ausrüstung, die im Ausland gelegen sind, wird gemäß den Bestimmungen des vorliegenden Artikels festgelegt.]</w:t>
      </w:r>
    </w:p>
    <w:p w14:paraId="35130ED8" w14:textId="372D386E"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CDAA422" w14:textId="2F57E974" w:rsidR="007A716D" w:rsidRPr="009118AB"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w:t>
      </w:r>
      <w:r w:rsidR="00D67EB8" w:rsidRPr="009118AB">
        <w:rPr>
          <w:i/>
          <w:iCs/>
        </w:rPr>
        <w:t>Art. </w:t>
      </w:r>
      <w:r w:rsidRPr="009118AB">
        <w:rPr>
          <w:i/>
          <w:iCs/>
        </w:rPr>
        <w:t xml:space="preserve">483 </w:t>
      </w:r>
      <w:r w:rsidR="00D67EB8" w:rsidRPr="009118AB">
        <w:rPr>
          <w:i/>
          <w:iCs/>
        </w:rPr>
        <w:t>Abs. </w:t>
      </w:r>
      <w:r w:rsidRPr="009118AB">
        <w:rPr>
          <w:i/>
          <w:iCs/>
        </w:rPr>
        <w:t xml:space="preserve">4 eingefügt durch </w:t>
      </w:r>
      <w:r w:rsidR="00D67EB8" w:rsidRPr="009118AB">
        <w:rPr>
          <w:i/>
          <w:iCs/>
        </w:rPr>
        <w:t>Art. </w:t>
      </w:r>
      <w:r w:rsidRPr="009118AB">
        <w:rPr>
          <w:i/>
          <w:iCs/>
        </w:rPr>
        <w:t>13 des G. vom 17. Februar 2021 (II) (B.S. vom 25. Februar 2021)</w:t>
      </w:r>
      <w:r w:rsidR="00D67EB8" w:rsidRPr="009118AB">
        <w:rPr>
          <w:i/>
          <w:iCs/>
        </w:rPr>
        <w:t> - </w:t>
      </w:r>
      <w:r w:rsidRPr="009118AB">
        <w:rPr>
          <w:i/>
          <w:iCs/>
        </w:rPr>
        <w:t>wirksam mit 1. Januar 2021</w:t>
      </w:r>
      <w:r w:rsidR="00FD68E8" w:rsidRPr="009118AB">
        <w:rPr>
          <w:i/>
          <w:iCs/>
        </w:rPr>
        <w:t> -]</w:t>
      </w:r>
    </w:p>
    <w:p w14:paraId="654F77A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AE537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C55B4B" w14:textId="63AD49E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484</w:t>
      </w:r>
      <w:r w:rsidR="00D67EB8" w:rsidRPr="009118AB">
        <w:t> - </w:t>
      </w:r>
      <w:r w:rsidRPr="009118AB">
        <w:t>Material und Ausrüstung werden jedoch nur berücksichtigt, wenn ihr Nutzwert, berechnet wie in Artikel 483 bestimmt, pro Katasterparzelle einen vom König festgelegten Mindestbetrag erreicht; dieser Mindestbetrag darf nicht über [4.000 EUR] liegen.</w:t>
      </w:r>
    </w:p>
    <w:p w14:paraId="144C1C4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6E55C9B" w14:textId="575A842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484 abgeändert durch </w:t>
      </w:r>
      <w:r w:rsidR="00D67EB8" w:rsidRPr="009118AB">
        <w:rPr>
          <w:i/>
          <w:iCs/>
        </w:rPr>
        <w:t>Art. </w:t>
      </w:r>
      <w:r w:rsidRPr="009118AB">
        <w:rPr>
          <w:i/>
          <w:iCs/>
        </w:rPr>
        <w:t xml:space="preserve">2 </w:t>
      </w:r>
      <w:r w:rsidR="00D67EB8" w:rsidRPr="009118AB">
        <w:rPr>
          <w:i/>
          <w:iCs/>
        </w:rPr>
        <w:t>Nr. </w:t>
      </w:r>
      <w:r w:rsidRPr="009118AB">
        <w:rPr>
          <w:i/>
          <w:iCs/>
        </w:rPr>
        <w:t>25 des K.E. vom 20. Juli 2000 (II) (B.S. vom 30. August 2000)</w:t>
      </w:r>
      <w:r w:rsidR="00D67EB8" w:rsidRPr="009118AB">
        <w:rPr>
          <w:i/>
          <w:iCs/>
        </w:rPr>
        <w:t> - </w:t>
      </w:r>
      <w:r w:rsidRPr="009118AB">
        <w:rPr>
          <w:i/>
          <w:iCs/>
        </w:rPr>
        <w:t>in Kraft ab dem 1. Januar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FD68E8" w:rsidRPr="009118AB">
        <w:rPr>
          <w:i/>
          <w:iCs/>
        </w:rPr>
        <w:t> -]</w:t>
      </w:r>
    </w:p>
    <w:p w14:paraId="681E827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801F7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440B52" w14:textId="17C6786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485</w:t>
      </w:r>
      <w:r w:rsidR="00D67EB8" w:rsidRPr="009118AB">
        <w:t> - </w:t>
      </w:r>
      <w:r w:rsidRPr="009118AB">
        <w:t>Basiert die in Artikel 474 erwähnte Erklärung nicht auf beweiskräftigen Angaben in Bezug auf Datum, Anschaffungs- oder Investitionswert im Neuzustand sowie Kosten der Arbeiten und Veränderungen und andere Kosten erwähnt in Artikel 483 oder hat der Steuerpflichtige die Erklärung oder die Auskünfte, um die er aufgrund der Artikel 474 und 475 ersucht wurde, nicht eingereicht beziehungsweise erteilt, darf der Nutzwert falls notwendig ganz oder teilweise im Vergleich zum Nutzwert von gleichartigem Material beziehungsweise gleichartiger Ausrüstung bestimmt werden. Das vergleichende Verfahren darf immer angewandt werden, um den Nutzwert von Material und Ausrüstung, die vom Betreffenden oder Steuerpflichtigen hergestellt werden, zu bestimmen.</w:t>
      </w:r>
    </w:p>
    <w:p w14:paraId="007322A2" w14:textId="7429119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i/>
          <w:iCs/>
        </w:rPr>
        <w:t>Abschnitt </w:t>
      </w:r>
      <w:r w:rsidR="006B602F" w:rsidRPr="009118AB">
        <w:rPr>
          <w:i/>
          <w:iCs/>
        </w:rPr>
        <w:t>6</w:t>
      </w:r>
      <w:r w:rsidR="00D67EB8" w:rsidRPr="009118AB">
        <w:rPr>
          <w:i/>
          <w:iCs/>
        </w:rPr>
        <w:t> - </w:t>
      </w:r>
      <w:r w:rsidRPr="009118AB">
        <w:t>Bezugszeitpunkt</w:t>
      </w:r>
    </w:p>
    <w:p w14:paraId="5C044C2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BEA9A4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22DBC35" w14:textId="1E5D52C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486</w:t>
      </w:r>
      <w:r w:rsidR="00D67EB8" w:rsidRPr="009118AB">
        <w:t> - </w:t>
      </w:r>
      <w:r w:rsidRPr="009118AB">
        <w:t>Als Bezugszeitpunkt gilt der 1. Januar des Jahres vor dem Jahr, in dem die infolge einer allgemeinen Angleichung festgelegten Katastereinkünfte in Kraft treten.</w:t>
      </w:r>
    </w:p>
    <w:p w14:paraId="0F9A275B" w14:textId="3A6B223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002E1AB9" w:rsidRPr="009118AB">
        <w:rPr>
          <w:b/>
          <w:bCs/>
        </w:rPr>
        <w:t>KAPITEL </w:t>
      </w:r>
      <w:r w:rsidR="007828ED" w:rsidRPr="009118AB">
        <w:rPr>
          <w:b/>
          <w:bCs/>
        </w:rPr>
        <w:t>3</w:t>
      </w:r>
      <w:r w:rsidR="00D67EB8" w:rsidRPr="009118AB">
        <w:t> - </w:t>
      </w:r>
      <w:r w:rsidRPr="009118AB">
        <w:rPr>
          <w:i/>
          <w:iCs/>
        </w:rPr>
        <w:t>Zeitpunkt der Festlegung und des Inkrafttretens der Katastereinkünfte</w:t>
      </w:r>
    </w:p>
    <w:p w14:paraId="27E4895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57528F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7AB26B11" w14:textId="571E134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rPr>
          <w:i/>
          <w:iCs/>
        </w:rPr>
        <w:t>Abschnitt </w:t>
      </w:r>
      <w:r w:rsidR="006B602F" w:rsidRPr="009118AB">
        <w:rPr>
          <w:i/>
          <w:iCs/>
        </w:rPr>
        <w:t>1</w:t>
      </w:r>
      <w:r w:rsidR="00D67EB8" w:rsidRPr="009118AB">
        <w:t> - </w:t>
      </w:r>
      <w:r w:rsidRPr="009118AB">
        <w:t>Allgemeine Angleichung der Katastereinkünfte</w:t>
      </w:r>
    </w:p>
    <w:p w14:paraId="29C2605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F7ACE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8B1AB1B" w14:textId="149704A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487</w:t>
      </w:r>
      <w:r w:rsidR="00D67EB8" w:rsidRPr="009118AB">
        <w:t> - § </w:t>
      </w:r>
      <w:r w:rsidRPr="009118AB">
        <w:t>1</w:t>
      </w:r>
      <w:r w:rsidR="00D67EB8" w:rsidRPr="009118AB">
        <w:t> - </w:t>
      </w:r>
      <w:r w:rsidRPr="009118AB">
        <w:t xml:space="preserve">Die </w:t>
      </w:r>
      <w:r w:rsidR="008C306B" w:rsidRPr="009118AB">
        <w:t xml:space="preserve">[Generalverwaltung Vermögensdokumentation] </w:t>
      </w:r>
      <w:r w:rsidRPr="009118AB">
        <w:t>führt alle zehn Jahre gemäß dem in Kapitel </w:t>
      </w:r>
      <w:r w:rsidR="007828ED" w:rsidRPr="009118AB">
        <w:t>2</w:t>
      </w:r>
      <w:r w:rsidRPr="009118AB">
        <w:t xml:space="preserve"> des vorliegenden Titels vorgesehenen Verfahren eine allgemeine Angleichung der Katastereinkünfte durch.</w:t>
      </w:r>
    </w:p>
    <w:p w14:paraId="32FE0EB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78654A5" w14:textId="2AF3915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Für Katastereinkünfte, die aus einer allgemeinen Angleichung hervorgehen, gilt, dass sie ab dem 1. Januar nach Ablauf des Zeitraums von zehn Jahren bestehen.</w:t>
      </w:r>
    </w:p>
    <w:p w14:paraId="576A2E8F" w14:textId="77777777" w:rsidR="008C306B" w:rsidRPr="009118AB" w:rsidRDefault="008C30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F88FE04" w14:textId="0734A4F7" w:rsidR="008C306B" w:rsidRPr="009118AB" w:rsidRDefault="008C306B" w:rsidP="008C3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487 </w:t>
      </w:r>
      <w:r w:rsidR="00D67EB8" w:rsidRPr="009118AB">
        <w:rPr>
          <w:i/>
        </w:rPr>
        <w:t>§ </w:t>
      </w:r>
      <w:r w:rsidRPr="009118AB">
        <w:rPr>
          <w:i/>
        </w:rPr>
        <w:t xml:space="preserve">1 abgeändert durch </w:t>
      </w:r>
      <w:r w:rsidR="00D67EB8" w:rsidRPr="009118AB">
        <w:rPr>
          <w:i/>
        </w:rPr>
        <w:t>Art. </w:t>
      </w:r>
      <w:r w:rsidRPr="009118AB">
        <w:rPr>
          <w:i/>
        </w:rPr>
        <w:t>28</w:t>
      </w:r>
      <w:r w:rsidRPr="009118AB">
        <w:rPr>
          <w:i/>
          <w:iCs/>
        </w:rPr>
        <w:t xml:space="preserve"> des G. vom 25. April 2014 (I) (B.S. vom 16. Mai 2014)</w:t>
      </w:r>
      <w:r w:rsidR="00D67EB8" w:rsidRPr="009118AB">
        <w:rPr>
          <w:i/>
          <w:iCs/>
        </w:rPr>
        <w:t> - </w:t>
      </w:r>
      <w:r w:rsidRPr="009118AB">
        <w:rPr>
          <w:i/>
          <w:iCs/>
        </w:rPr>
        <w:t>in Kraft am 16. Mai 2014</w:t>
      </w:r>
      <w:r w:rsidR="00FD68E8" w:rsidRPr="009118AB">
        <w:rPr>
          <w:i/>
          <w:iCs/>
        </w:rPr>
        <w:t> -]</w:t>
      </w:r>
    </w:p>
    <w:p w14:paraId="65859FAA" w14:textId="0179D30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i/>
          <w:iCs/>
        </w:rPr>
        <w:t>Abschnitt </w:t>
      </w:r>
      <w:r w:rsidR="006B602F" w:rsidRPr="009118AB">
        <w:rPr>
          <w:i/>
          <w:iCs/>
        </w:rPr>
        <w:t>2</w:t>
      </w:r>
      <w:r w:rsidR="00D67EB8" w:rsidRPr="009118AB">
        <w:t> - </w:t>
      </w:r>
      <w:r w:rsidRPr="009118AB">
        <w:t>Revision der Katastereinkünfte</w:t>
      </w:r>
    </w:p>
    <w:p w14:paraId="524B302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982F12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6A4CB9" w14:textId="62E7EB5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488</w:t>
      </w:r>
      <w:r w:rsidR="00D67EB8" w:rsidRPr="009118AB">
        <w:t> - </w:t>
      </w:r>
      <w:r w:rsidRPr="009118AB">
        <w:t>Außerhalb der allgemeinen Angleichungen darf in einer Gemeinde oder in einer Katastergemarkung einer Gemeinde eine außerordentliche Revision der Katastereinkünfte der bebauten und unbebauten unbeweglichen Güter oder nur einer dieser Kategorien durchgeführt werden, wenn bedeutende Schwankungen des Mietwertes der unbeweglichen Güter dies rechtfertigen.</w:t>
      </w:r>
    </w:p>
    <w:p w14:paraId="4C0E09B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198316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6AD5BBF" w14:textId="5ADFD5F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489</w:t>
      </w:r>
      <w:r w:rsidR="00D67EB8" w:rsidRPr="009118AB">
        <w:t> - </w:t>
      </w:r>
      <w:r w:rsidRPr="009118AB">
        <w:t>Außerordentliche Revisionen werden gemäß dem in Kapitel </w:t>
      </w:r>
      <w:r w:rsidR="007828ED" w:rsidRPr="009118AB">
        <w:t>2</w:t>
      </w:r>
      <w:r w:rsidRPr="009118AB">
        <w:t xml:space="preserve"> des vorliegenden Titels vorgesehenen Verfahren durchgeführt.</w:t>
      </w:r>
    </w:p>
    <w:p w14:paraId="53A581D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F7395B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0442BB4" w14:textId="503F4AE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490</w:t>
      </w:r>
      <w:r w:rsidR="00D67EB8" w:rsidRPr="009118AB">
        <w:t> - </w:t>
      </w:r>
      <w:r w:rsidRPr="009118AB">
        <w:t>Die außerordentliche Revision darf von Amts wegen vom Minister der Finanzen angeordnet werden.</w:t>
      </w:r>
    </w:p>
    <w:p w14:paraId="324D938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2059A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Sie muss angeordnet werden, wenn der diesbezügliche mit Gründen versehene Antrag vom Bürgermeister der Gemeinde oder von einer Gruppe Steuerpflichtiger eingereicht wird, die mindestens ein Zehntel der Gesamtanzahl der in der Gemeinde oder in der Katastergemarkung der Gemeinde gelegenen Parzellen der im Antrag erwähnten Kategorie(n) besitzen.</w:t>
      </w:r>
    </w:p>
    <w:p w14:paraId="251D73A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EAA8C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Antrag gilt als mit Gründen versehen, wenn er auf einer Aufstellung basiert, die mindestens 1 Prozent der Parzellen der erwähnten Kategorie(n) enthält, deren normaler Nettomietwert am 1. Januar des Jahres des Antrags mindestens 15 Prozent höher oder niedriger als das Katastereinkommen ist.</w:t>
      </w:r>
    </w:p>
    <w:p w14:paraId="4659D5B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F68142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6DA4475" w14:textId="191A182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491</w:t>
      </w:r>
      <w:r w:rsidR="00D67EB8" w:rsidRPr="009118AB">
        <w:t> - </w:t>
      </w:r>
      <w:r w:rsidRPr="009118AB">
        <w:t>Außerhalb der allgemeinen Angleichungen darf der Minister der Finanzen oder sein Beauftragter entweder auf eigene Initiative oder auf Antrag des Bürgermeisters der Gemeinde oder des Steuerpflichtigen die besondere Revision des Katastereinkommens eines bebauten unbeweglichen Gutes anordnen, wenn</w:t>
      </w:r>
      <w:r w:rsidR="00D67EB8" w:rsidRPr="009118AB">
        <w:t> - </w:t>
      </w:r>
      <w:r w:rsidRPr="009118AB">
        <w:t>aufgrund neuer und dauerhafter Umstände, verursacht durch höhere Gewalt, durch Arbeiten oder Maßnahmen, die von einer öffentlichen Behörde angeordnet wurden, oder durch Dritteinwirkung</w:t>
      </w:r>
      <w:r w:rsidR="00D67EB8" w:rsidRPr="009118AB">
        <w:t> - </w:t>
      </w:r>
      <w:r w:rsidRPr="009118AB">
        <w:t>außerhalb jeglicher Umänderung am unbeweglichen Gut zwischen dem Katastereinkommen und dem normalen Nettomietwert, wie er festgelegt worden wäre, wenn vorerwähnte Umstände zum Zeitpunkt der Festlegung des Katastereinkommens gegeben gewesen wären, eine Mindestplus- oder -minusdifferenz von 15 Prozent besteht.</w:t>
      </w:r>
    </w:p>
    <w:p w14:paraId="0E81152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91501B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EF71B9" w14:textId="0D2CE28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492</w:t>
      </w:r>
      <w:r w:rsidR="00D67EB8" w:rsidRPr="009118AB">
        <w:t> - </w:t>
      </w:r>
      <w:r w:rsidRPr="009118AB">
        <w:t>Besondere Revisionen werden gemäß einem summarischen Verfahren durchgeführt, indem auf die bestehenden Katastereinkünfte der Prozentsatz der Erhöhung oder Verringerung der normalen Nettomietwerte angewandt wird.</w:t>
      </w:r>
    </w:p>
    <w:p w14:paraId="4DEA6813" w14:textId="77777777" w:rsidR="001C358C" w:rsidRPr="009118AB" w:rsidRDefault="001C358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A77EA3" w14:textId="77777777" w:rsidR="001C358C" w:rsidRPr="009118AB" w:rsidRDefault="001C358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8B215F9" w14:textId="5054B1A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493</w:t>
      </w:r>
      <w:r w:rsidR="00D67EB8" w:rsidRPr="009118AB">
        <w:t> - </w:t>
      </w:r>
      <w:r w:rsidRPr="009118AB">
        <w:t>Für Katastereinkünfte, die aus einer außerordentlichen oder besonderen Revision hervorgehen, gilt, dass sie ab dem Datum bestehen, das der Minister der Finanzen aufgrund des Fortschritts der Arbeiten bestimmt. Sie gelten nur bis zur nächsten allgemeinen Angleichung oder außerordentlichen oder besonderen Revision der Katastereinkünfte.</w:t>
      </w:r>
    </w:p>
    <w:p w14:paraId="0301B45F" w14:textId="44F1A4F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i/>
          <w:iCs/>
        </w:rPr>
        <w:t>Abschnitt </w:t>
      </w:r>
      <w:r w:rsidR="006B602F" w:rsidRPr="009118AB">
        <w:rPr>
          <w:i/>
          <w:iCs/>
        </w:rPr>
        <w:t>3</w:t>
      </w:r>
      <w:r w:rsidR="00D67EB8" w:rsidRPr="009118AB">
        <w:t> - </w:t>
      </w:r>
      <w:r w:rsidRPr="009118AB">
        <w:t>Bewertung und Neubewertung der Katastereinkünfte</w:t>
      </w:r>
    </w:p>
    <w:p w14:paraId="73715BD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DDB50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75CD0A" w14:textId="0044C16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494</w:t>
      </w:r>
      <w:r w:rsidR="00D67EB8" w:rsidRPr="009118AB">
        <w:t> - § </w:t>
      </w:r>
      <w:r w:rsidRPr="009118AB">
        <w:t>1</w:t>
      </w:r>
      <w:r w:rsidR="00D67EB8" w:rsidRPr="009118AB">
        <w:t> - </w:t>
      </w:r>
      <w:r w:rsidRPr="009118AB">
        <w:t xml:space="preserve">Außerhalb der allgemeinen Angleichungen führt die </w:t>
      </w:r>
      <w:r w:rsidR="00AF03CB" w:rsidRPr="009118AB">
        <w:t>[Generalverwaltung Vermögensdokumentation]</w:t>
      </w:r>
      <w:r w:rsidRPr="009118AB">
        <w:t>:</w:t>
      </w:r>
    </w:p>
    <w:p w14:paraId="1447E52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2DFD6E"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1. die Bewertung des Katastereinkommens von neu errichteten bebauten unbeweglichen Gütern und von in Gebrauch genommenem neuem Material beziehungsweise in Gebrauch genommener neuer Ausrüstung durch,</w:t>
      </w:r>
    </w:p>
    <w:p w14:paraId="706021A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2F7E274"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2. die Neubewertung der Katastereinkünfte von erweiterten, wieder aufgebauten oder wesentlich umgeänderten unbeweglichen Gütern jeglicher Art durch,</w:t>
      </w:r>
    </w:p>
    <w:p w14:paraId="6AB74D6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229E9A"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3. die Neubewertung der Katastereinkünfte von bebauten unbeweglichen Gütern durch, deren Katastereinkommen vor ihrer vollständigen Fertigstellung festgelegt wurde, selbst wenn die Arbeiten nicht zu einer wesentlichen Umänderung am unbeweglichen Gut geführt haben,</w:t>
      </w:r>
    </w:p>
    <w:p w14:paraId="6C2B3669" w14:textId="04B945BC" w:rsidR="00587507" w:rsidRPr="009118AB" w:rsidRDefault="00587507" w:rsidP="00477B8F">
      <w:pPr>
        <w:autoSpaceDE w:val="0"/>
        <w:autoSpaceDN w:val="0"/>
        <w:adjustRightInd w:val="0"/>
      </w:pPr>
    </w:p>
    <w:p w14:paraId="52B4E023" w14:textId="29EF265E" w:rsidR="007A716D" w:rsidRPr="009118AB" w:rsidRDefault="007A716D" w:rsidP="00477B8F">
      <w:pPr>
        <w:autoSpaceDE w:val="0"/>
        <w:autoSpaceDN w:val="0"/>
        <w:adjustRightInd w:val="0"/>
      </w:pPr>
      <w:r w:rsidRPr="009118AB">
        <w:tab/>
        <w:t xml:space="preserve">[3/1. die Bewertung oder Neubewertung des Katastereinkommens von unbeweglichen Gütern durch, die Gegenstand einer Erklärung gemäß Artikel 473 </w:t>
      </w:r>
      <w:r w:rsidR="00D67EB8" w:rsidRPr="009118AB">
        <w:t>§ </w:t>
      </w:r>
      <w:r w:rsidRPr="009118AB">
        <w:t>2 sind,]</w:t>
      </w:r>
    </w:p>
    <w:p w14:paraId="3F31D411" w14:textId="77777777" w:rsidR="007A716D" w:rsidRPr="009118AB" w:rsidRDefault="007A716D" w:rsidP="00477B8F">
      <w:pPr>
        <w:autoSpaceDE w:val="0"/>
        <w:autoSpaceDN w:val="0"/>
        <w:adjustRightInd w:val="0"/>
      </w:pPr>
    </w:p>
    <w:p w14:paraId="50D34A63" w14:textId="77777777" w:rsidR="00477B8F" w:rsidRPr="009118AB" w:rsidRDefault="00477B8F" w:rsidP="001C358C">
      <w:pPr>
        <w:autoSpaceDE w:val="0"/>
        <w:autoSpaceDN w:val="0"/>
        <w:adjustRightInd w:val="0"/>
        <w:ind w:firstLine="708"/>
        <w:jc w:val="both"/>
      </w:pPr>
      <w:r w:rsidRPr="009118AB">
        <w:t>4. die Bewertung oder Neubewertung des Katastereinkommens von unbeweglichen Gütern jeglicher Art durch, wenn die nicht durchgeführte oder unzureichende Bewertung auf die Nichtabgabe der in den Artikeln 473 und 474 erwähnten Erklärungen oder auf unrichtige Angaben in diesen Erklärungen zurückzuführen ist,</w:t>
      </w:r>
    </w:p>
    <w:p w14:paraId="54D995B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50D6C9"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5. die Berichtigung des Katastereinkommens der unbeweglichen Güter jeglicher Art durch, wenn bei der Festlegung dieses Katastereinkommens ein offensichtlicher, nachweislicher und unwiderlegbarer Schreib- oder Rechenfehler gemacht wurde oder wenn unbewegliche Güter verwechselt wurden.</w:t>
      </w:r>
    </w:p>
    <w:p w14:paraId="4A4C9FE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8A04F2A" w14:textId="0BAC1E79"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00477B8F" w:rsidRPr="009118AB">
        <w:t>2</w:t>
      </w:r>
      <w:r w:rsidR="00D67EB8" w:rsidRPr="009118AB">
        <w:t> - </w:t>
      </w:r>
      <w:r w:rsidR="00477B8F" w:rsidRPr="009118AB">
        <w:t xml:space="preserve">Für die Anwendung von </w:t>
      </w:r>
      <w:r w:rsidR="00D67EB8" w:rsidRPr="009118AB">
        <w:t>§ </w:t>
      </w:r>
      <w:r w:rsidR="00477B8F" w:rsidRPr="009118AB">
        <w:t xml:space="preserve">1 </w:t>
      </w:r>
      <w:r w:rsidR="00D67EB8" w:rsidRPr="009118AB">
        <w:t>Nr. </w:t>
      </w:r>
      <w:r w:rsidR="00477B8F" w:rsidRPr="009118AB">
        <w:t>2 gelten als wesentliche Umänderungen:</w:t>
      </w:r>
    </w:p>
    <w:p w14:paraId="3909F91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EA4CFED"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1. Umänderungen, die zu einer Erhöhung oder Verringerung des Katastereinkommens einer bebauten Parzelle oder von Material und Ausrüstung führen können um einen Betrag von [50 EUR] oder mehr oder zumindest um einen Betrag von 15 Prozent des bestehenden Einkommens,</w:t>
      </w:r>
    </w:p>
    <w:p w14:paraId="23C98D4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63D3F33" w14:textId="0EE3928C"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2. Zusammenlegungen oder Aufteilungen von bebauten Parzellen oder von Material und Ausrüstung, Grenzänderungen zwischen Parzellen und Änderungen der Nutzungsart, Umgestaltungen, Verbesserungen, Beschädigungen oder Wertminderungen von unbebauten unbeweglichen Gütern und Änderungen ihrer Größe.</w:t>
      </w:r>
    </w:p>
    <w:p w14:paraId="4B79D076" w14:textId="1B3F2346" w:rsidR="001E1FC2" w:rsidRPr="009118AB" w:rsidRDefault="001E1FC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038F730" w14:textId="3DDF4D69" w:rsidR="001E1FC2" w:rsidRPr="009118AB" w:rsidRDefault="001E1FC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[Wenn gleichzeitig mit laufenden Arbeiten wie in Artikel 473 erwähnt eine Zusammenlegung oder Aufteilung von bebauten Parzellen oder eine Grenzänderung zwischen bebauten Parzellen infolge einer Änderung von dinglichen Rechten erfolgt, besteht die Neubewertung des Katastereinkommens aus einer proportionalen Verteilung des bestehenden Katastereinkommens zwischen den neuen Parzellen.]</w:t>
      </w:r>
    </w:p>
    <w:p w14:paraId="76AE44A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68D365B" w14:textId="27EA9AFB"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00477B8F" w:rsidRPr="009118AB">
        <w:t>3</w:t>
      </w:r>
      <w:r w:rsidR="00D67EB8" w:rsidRPr="009118AB">
        <w:t> - </w:t>
      </w:r>
      <w:r w:rsidR="00477B8F" w:rsidRPr="009118AB">
        <w:t>Die Kultivierung unbewirtschafteter und brach liegender Ländereien und die Aufforstung von Grundstücken führen erst ab dem 1. Januar des elften oder einundzwanzigsten Jahres nach der Urbarmachung beziehungsweise Aufforstung zu einer Neubewertung des Katastereinkommens aufgrund der neuen Beschaffenheit.</w:t>
      </w:r>
    </w:p>
    <w:p w14:paraId="426AF9A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F774A6" w14:textId="67150956" w:rsidR="00597C8C"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00477B8F" w:rsidRPr="009118AB">
        <w:t>4</w:t>
      </w:r>
      <w:r w:rsidR="00D67EB8" w:rsidRPr="009118AB">
        <w:t> - </w:t>
      </w:r>
      <w:r w:rsidR="00477B8F" w:rsidRPr="009118AB">
        <w:t>Bewertungen oder Neubewertungen werden gemäß dem in Kapitel </w:t>
      </w:r>
      <w:r w:rsidR="007828ED" w:rsidRPr="009118AB">
        <w:t>2</w:t>
      </w:r>
      <w:r w:rsidR="00477B8F" w:rsidRPr="009118AB">
        <w:t xml:space="preserve"> des vorliegenden Titels vorgesehenen Verfahren durchgeführt</w:t>
      </w:r>
      <w:r w:rsidR="00597C8C" w:rsidRPr="009118AB">
        <w:t>.</w:t>
      </w:r>
    </w:p>
    <w:p w14:paraId="6B39D003" w14:textId="77777777" w:rsidR="001E1FC2" w:rsidRPr="009118AB" w:rsidRDefault="001E1FC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C42D201" w14:textId="790FF2B4"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00477B8F" w:rsidRPr="009118AB">
        <w:t>5</w:t>
      </w:r>
      <w:r w:rsidR="00D67EB8" w:rsidRPr="009118AB">
        <w:t> - </w:t>
      </w:r>
      <w:r w:rsidR="00477B8F" w:rsidRPr="009118AB">
        <w:t>Für Katastereinkünfte, die aus einer Bewertung oder Neubewertung hervorgehen, gilt, dass sie ab dem ersten Tag des Monats nach dem Ereignis, dessen Erklärung in Artikel 473 vorgeschrieben ist, oder nach Ende der Befreiung, wenn die auferlegten Bedingungen nicht mehr erfüllt werden, gelten.</w:t>
      </w:r>
    </w:p>
    <w:p w14:paraId="0A7F581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26246A3" w14:textId="20AB895A"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 xml:space="preserve">Für Katastereinkünfte, die in Anwendung von </w:t>
      </w:r>
      <w:r w:rsidR="00D67EB8" w:rsidRPr="009118AB">
        <w:t>§ </w:t>
      </w:r>
      <w:r w:rsidR="00477B8F" w:rsidRPr="009118AB">
        <w:t xml:space="preserve">1 </w:t>
      </w:r>
      <w:r w:rsidR="00D67EB8" w:rsidRPr="009118AB">
        <w:t>Nr. </w:t>
      </w:r>
      <w:r w:rsidR="00477B8F" w:rsidRPr="009118AB">
        <w:t>5 berichtigt werden, gilt, dass sie:</w:t>
      </w:r>
    </w:p>
    <w:p w14:paraId="1F3CB97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7A44420"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 ab dem 1. Januar des Steuerjahres gelten, für das unter Berücksichtigung der in Artikel 354 Absatz 1 erwähnten Frist der Immobiliensteuervorabzug festgelegt werden kann, wenn aus der Berichtigung eine Verringerung des Katastereinkommens hervorgeht,</w:t>
      </w:r>
    </w:p>
    <w:p w14:paraId="73D6726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4F030D7"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 ab dem 1. Januar des Steuerjahres nach dem der Berichtigung gelten, wenn aus der Berichtigung eine Erhöhung des Katastereinkommens hervorgeht.</w:t>
      </w:r>
    </w:p>
    <w:p w14:paraId="0D8E63F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A9E2651"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Diese Katastereinkünfte gelten nur bis zur nächsten allgemeinen Angleichung oder außerordentlichen oder besonderen Revision der Katastereinkünfte.</w:t>
      </w:r>
    </w:p>
    <w:p w14:paraId="1030C99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B38439" w14:textId="48C85039"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w:t>
      </w:r>
      <w:r w:rsidR="00D67EB8" w:rsidRPr="009118AB">
        <w:t>§ </w:t>
      </w:r>
      <w:r w:rsidR="00477B8F" w:rsidRPr="009118AB">
        <w:t>6</w:t>
      </w:r>
      <w:r w:rsidR="00D67EB8" w:rsidRPr="009118AB">
        <w:t> - </w:t>
      </w:r>
      <w:r w:rsidR="00477B8F" w:rsidRPr="009118AB">
        <w:t>[Für die Anwendung des vorliegenden Gesetzbuches, die Bestimmungen von Titel VI Kapitel </w:t>
      </w:r>
      <w:r w:rsidR="007828ED" w:rsidRPr="009118AB">
        <w:t>1</w:t>
      </w:r>
      <w:r w:rsidR="00477B8F" w:rsidRPr="009118AB">
        <w:t xml:space="preserve"> Abschnitt </w:t>
      </w:r>
      <w:r w:rsidR="009E593F" w:rsidRPr="009118AB">
        <w:t>2</w:t>
      </w:r>
      <w:r w:rsidR="00477B8F" w:rsidRPr="009118AB">
        <w:t xml:space="preserve"> ausgenommen, wird die aus einer Neubewertung hervorgehende Erhöhung der Katastereinkünfte in Abweichung von </w:t>
      </w:r>
      <w:r w:rsidR="00D67EB8" w:rsidRPr="009118AB">
        <w:t>§ </w:t>
      </w:r>
      <w:r w:rsidR="00477B8F" w:rsidRPr="009118AB">
        <w:t>5 erst wirksam:</w:t>
      </w:r>
    </w:p>
    <w:p w14:paraId="13E43FA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66B6F78"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 ab dem ersten Tag des sechsten Jahres nach dem Ereignis, dessen Erklärung in Artikel 473 vorgeschrieben ist, in Bezug auf unbewegliche Güter, die vollständig in einer großstädtischen Förderzone im Sinne von Artikel 145</w:t>
      </w:r>
      <w:r w:rsidR="00477B8F" w:rsidRPr="009118AB">
        <w:rPr>
          <w:vertAlign w:val="superscript"/>
        </w:rPr>
        <w:t>25</w:t>
      </w:r>
      <w:r w:rsidR="00477B8F" w:rsidRPr="009118AB">
        <w:t xml:space="preserve"> gelegen sind,</w:t>
      </w:r>
      <w:r w:rsidR="00416ABD" w:rsidRPr="009118AB">
        <w:t xml:space="preserve"> [so wie er bis zum Steuerjahr 2014 anwendbar war,]</w:t>
      </w:r>
    </w:p>
    <w:p w14:paraId="52A01B1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33C5304"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 ab dem ersten Tag des neunten Jahres nach dem Ereignis, dessen Erklärung in Artikel 473 vorgeschrieben ist, in Bezug auf unbewegliche Güter, die in Artikel 145</w:t>
      </w:r>
      <w:r w:rsidR="00477B8F" w:rsidRPr="009118AB">
        <w:rPr>
          <w:vertAlign w:val="superscript"/>
        </w:rPr>
        <w:t>30</w:t>
      </w:r>
      <w:r w:rsidR="00477B8F" w:rsidRPr="009118AB">
        <w:t xml:space="preserve"> erwähnt sind</w:t>
      </w:r>
      <w:r w:rsidR="00416ABD" w:rsidRPr="009118AB">
        <w:t>[, so wie er bis zum Steuerjahr 2014 anwendbar war]</w:t>
      </w:r>
      <w:r w:rsidR="00477B8F" w:rsidRPr="009118AB">
        <w:t>.</w:t>
      </w:r>
    </w:p>
    <w:p w14:paraId="1C499E7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51F9AD" w14:textId="77777777" w:rsidR="00416ABD" w:rsidRPr="009118AB" w:rsidRDefault="00587507" w:rsidP="00416ABD">
      <w:pPr>
        <w:jc w:val="both"/>
      </w:pPr>
      <w:r w:rsidRPr="009118AB">
        <w:tab/>
      </w:r>
      <w:r w:rsidR="00416ABD" w:rsidRPr="009118AB">
        <w:t>[Absatz 1 ist nur anwendbar, wenn folgende Bedingungen erfüllt sind:</w:t>
      </w:r>
    </w:p>
    <w:p w14:paraId="16E43AA4" w14:textId="77777777" w:rsidR="00416ABD" w:rsidRPr="009118AB" w:rsidRDefault="00416ABD" w:rsidP="00416ABD">
      <w:pPr>
        <w:jc w:val="both"/>
      </w:pPr>
    </w:p>
    <w:p w14:paraId="4CAA626B" w14:textId="70404068" w:rsidR="00416ABD" w:rsidRPr="009118AB" w:rsidRDefault="00416ABD" w:rsidP="00416ABD">
      <w:pPr>
        <w:jc w:val="both"/>
      </w:pPr>
      <w:r w:rsidRPr="009118AB">
        <w:tab/>
        <w:t xml:space="preserve">1. Es handelt sich um eine in </w:t>
      </w:r>
      <w:r w:rsidR="00D67EB8" w:rsidRPr="009118AB">
        <w:t>§ </w:t>
      </w:r>
      <w:r w:rsidRPr="009118AB">
        <w:t xml:space="preserve">1 </w:t>
      </w:r>
      <w:r w:rsidR="00D67EB8" w:rsidRPr="009118AB">
        <w:t>Nr. </w:t>
      </w:r>
      <w:r w:rsidRPr="009118AB">
        <w:t>2 oder 3 erwähnte Neubewertung.</w:t>
      </w:r>
    </w:p>
    <w:p w14:paraId="3F8E8F98" w14:textId="77777777" w:rsidR="00416ABD" w:rsidRPr="009118AB" w:rsidRDefault="00416ABD" w:rsidP="00416ABD">
      <w:pPr>
        <w:jc w:val="both"/>
      </w:pPr>
    </w:p>
    <w:p w14:paraId="5B278333" w14:textId="77777777" w:rsidR="00587507" w:rsidRPr="009118AB" w:rsidRDefault="00416ABD" w:rsidP="00416A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2. Das Ereignis, dessen Erklärung in Artikel 473 vorgeschrieben ist, ist spätestens am 31. Dezember 2013 eingetreten.]</w:t>
      </w:r>
    </w:p>
    <w:p w14:paraId="15E11239" w14:textId="77777777" w:rsidR="00416ABD" w:rsidRPr="009118AB" w:rsidRDefault="00416ABD" w:rsidP="00416A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84CE40" w14:textId="77777777" w:rsidR="00477B8F" w:rsidRPr="009118AB"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477B8F" w:rsidRPr="009118AB">
        <w:t>Die Zeiträume von sechs und neun Jahren enden bei der nächsten allgemeinen Angleichung.]]</w:t>
      </w:r>
    </w:p>
    <w:p w14:paraId="5FE95A4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638EDFF" w14:textId="4151E3E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494</w:t>
      </w:r>
      <w:r w:rsidR="00AF03CB" w:rsidRPr="009118AB">
        <w:rPr>
          <w:i/>
          <w:iCs/>
        </w:rPr>
        <w:t xml:space="preserve"> </w:t>
      </w:r>
      <w:r w:rsidR="00D67EB8" w:rsidRPr="009118AB">
        <w:rPr>
          <w:i/>
          <w:iCs/>
        </w:rPr>
        <w:t>§ </w:t>
      </w:r>
      <w:r w:rsidR="00AF03CB" w:rsidRPr="009118AB">
        <w:rPr>
          <w:i/>
          <w:iCs/>
        </w:rPr>
        <w:t xml:space="preserve">1 einziger Absatz einleitende Bestimmung </w:t>
      </w:r>
      <w:r w:rsidR="001E5EF6" w:rsidRPr="009118AB">
        <w:rPr>
          <w:i/>
          <w:iCs/>
        </w:rPr>
        <w:t xml:space="preserve">abgeändert durch </w:t>
      </w:r>
      <w:r w:rsidR="00D67EB8" w:rsidRPr="009118AB">
        <w:rPr>
          <w:i/>
          <w:iCs/>
        </w:rPr>
        <w:t>Art. </w:t>
      </w:r>
      <w:r w:rsidR="001E5EF6" w:rsidRPr="009118AB">
        <w:rPr>
          <w:i/>
          <w:iCs/>
        </w:rPr>
        <w:t>29 des G. vom 25. April 2014 (I) (B.S. vom 16. Mai 2014)</w:t>
      </w:r>
      <w:r w:rsidR="00D67EB8" w:rsidRPr="009118AB">
        <w:rPr>
          <w:i/>
          <w:iCs/>
        </w:rPr>
        <w:t> - </w:t>
      </w:r>
      <w:r w:rsidR="001E5EF6" w:rsidRPr="009118AB">
        <w:rPr>
          <w:i/>
          <w:iCs/>
        </w:rPr>
        <w:t>in Kraft am 16. Mai 2014</w:t>
      </w:r>
      <w:r w:rsidR="003366D9" w:rsidRPr="009118AB">
        <w:rPr>
          <w:i/>
          <w:iCs/>
        </w:rPr>
        <w:t> -;</w:t>
      </w:r>
      <w:r w:rsidRPr="009118AB">
        <w:rPr>
          <w:i/>
          <w:iCs/>
        </w:rPr>
        <w:t xml:space="preserve"> </w:t>
      </w:r>
      <w:r w:rsidR="00D67EB8" w:rsidRPr="009118AB">
        <w:rPr>
          <w:i/>
          <w:iCs/>
        </w:rPr>
        <w:t>§ </w:t>
      </w:r>
      <w:r w:rsidR="007A716D" w:rsidRPr="009118AB">
        <w:rPr>
          <w:i/>
          <w:iCs/>
        </w:rPr>
        <w:t xml:space="preserve">1 einziger Absatz </w:t>
      </w:r>
      <w:r w:rsidR="00D67EB8" w:rsidRPr="009118AB">
        <w:rPr>
          <w:i/>
          <w:iCs/>
        </w:rPr>
        <w:t>Nr. </w:t>
      </w:r>
      <w:r w:rsidR="007A716D" w:rsidRPr="009118AB">
        <w:rPr>
          <w:i/>
          <w:iCs/>
        </w:rPr>
        <w:t xml:space="preserve">3/1 eingefügt durch </w:t>
      </w:r>
      <w:r w:rsidR="00D67EB8" w:rsidRPr="009118AB">
        <w:rPr>
          <w:i/>
          <w:iCs/>
        </w:rPr>
        <w:t>Art. </w:t>
      </w:r>
      <w:r w:rsidR="007A716D" w:rsidRPr="009118AB">
        <w:rPr>
          <w:i/>
          <w:iCs/>
        </w:rPr>
        <w:t>14 des G. vom 17. Februar 2021 (II) (B.S. vom 25. Februar 2021)</w:t>
      </w:r>
      <w:r w:rsidR="00D67EB8" w:rsidRPr="009118AB">
        <w:rPr>
          <w:i/>
          <w:iCs/>
        </w:rPr>
        <w:t> - </w:t>
      </w:r>
      <w:r w:rsidR="007A716D" w:rsidRPr="009118AB">
        <w:rPr>
          <w:i/>
          <w:iCs/>
        </w:rPr>
        <w:t>wirksam mit 1. Januar 2021</w:t>
      </w:r>
      <w:r w:rsidR="003366D9" w:rsidRPr="009118AB">
        <w:rPr>
          <w:i/>
          <w:iCs/>
        </w:rPr>
        <w:t> -;</w:t>
      </w:r>
      <w:r w:rsidR="007A716D" w:rsidRPr="009118AB">
        <w:rPr>
          <w:i/>
          <w:iCs/>
        </w:rPr>
        <w:t xml:space="preserve"> </w:t>
      </w:r>
      <w:r w:rsidR="00D67EB8" w:rsidRPr="009118AB">
        <w:rPr>
          <w:i/>
          <w:iCs/>
        </w:rPr>
        <w:t>§ </w:t>
      </w:r>
      <w:r w:rsidRPr="009118AB">
        <w:rPr>
          <w:i/>
          <w:iCs/>
        </w:rPr>
        <w:t xml:space="preserve">2 </w:t>
      </w:r>
      <w:r w:rsidR="00D67EB8" w:rsidRPr="009118AB">
        <w:rPr>
          <w:i/>
          <w:iCs/>
        </w:rPr>
        <w:t>Abs. </w:t>
      </w:r>
      <w:r w:rsidR="001E1FC2" w:rsidRPr="009118AB">
        <w:rPr>
          <w:i/>
          <w:iCs/>
        </w:rPr>
        <w:t>1 (früherer einziger Absatz)</w:t>
      </w:r>
      <w:r w:rsidRPr="009118AB">
        <w:rPr>
          <w:i/>
          <w:iCs/>
        </w:rPr>
        <w:t xml:space="preserve"> </w:t>
      </w:r>
      <w:r w:rsidR="00D67EB8" w:rsidRPr="009118AB">
        <w:rPr>
          <w:i/>
          <w:iCs/>
        </w:rPr>
        <w:t>Nr. </w:t>
      </w:r>
      <w:r w:rsidRPr="009118AB">
        <w:rPr>
          <w:i/>
          <w:iCs/>
        </w:rPr>
        <w:t xml:space="preserve">1 abgeändert durch </w:t>
      </w:r>
      <w:r w:rsidR="00D67EB8" w:rsidRPr="009118AB">
        <w:rPr>
          <w:i/>
          <w:iCs/>
        </w:rPr>
        <w:t>Art. </w:t>
      </w:r>
      <w:r w:rsidRPr="009118AB">
        <w:rPr>
          <w:i/>
          <w:iCs/>
        </w:rPr>
        <w:t xml:space="preserve">2 </w:t>
      </w:r>
      <w:r w:rsidR="00D67EB8" w:rsidRPr="009118AB">
        <w:rPr>
          <w:i/>
          <w:iCs/>
        </w:rPr>
        <w:t>Nr. </w:t>
      </w:r>
      <w:r w:rsidRPr="009118AB">
        <w:rPr>
          <w:i/>
          <w:iCs/>
        </w:rPr>
        <w:t>25 des K.E. vom 20. Juli 2000 (II) (B.S. vom 30. August 2000)</w:t>
      </w:r>
      <w:r w:rsidR="00D67EB8" w:rsidRPr="009118AB">
        <w:rPr>
          <w:i/>
          <w:iCs/>
        </w:rPr>
        <w:t> - </w:t>
      </w:r>
      <w:r w:rsidRPr="009118AB">
        <w:rPr>
          <w:i/>
          <w:iCs/>
        </w:rPr>
        <w:t>in Kraft ab dem 1. Januar 2002</w:t>
      </w:r>
      <w:r w:rsidR="00FD68E8" w:rsidRPr="009118AB">
        <w:rPr>
          <w:i/>
          <w:iCs/>
        </w:rPr>
        <w:t> -,</w:t>
      </w:r>
      <w:r w:rsidRPr="009118AB">
        <w:rPr>
          <w:i/>
          <w:iCs/>
        </w:rPr>
        <w:t xml:space="preserve"> selbst abgeändert durch </w:t>
      </w:r>
      <w:r w:rsidR="00D67EB8" w:rsidRPr="009118AB">
        <w:rPr>
          <w:i/>
          <w:iCs/>
        </w:rPr>
        <w:t>Art. </w:t>
      </w:r>
      <w:r w:rsidRPr="009118AB">
        <w:rPr>
          <w:i/>
          <w:iCs/>
        </w:rPr>
        <w:t xml:space="preserve">42 </w:t>
      </w:r>
      <w:r w:rsidR="00D67EB8" w:rsidRPr="009118AB">
        <w:rPr>
          <w:i/>
          <w:iCs/>
        </w:rPr>
        <w:t>Nr. </w:t>
      </w:r>
      <w:r w:rsidRPr="009118AB">
        <w:rPr>
          <w:i/>
          <w:iCs/>
        </w:rPr>
        <w:t>5 des K.E. vom 13. Juli 2001 (B.S. vom 11. August 2001)</w:t>
      </w:r>
      <w:r w:rsidR="00D67EB8" w:rsidRPr="009118AB">
        <w:rPr>
          <w:i/>
          <w:iCs/>
        </w:rPr>
        <w:t> - </w:t>
      </w:r>
      <w:r w:rsidRPr="009118AB">
        <w:rPr>
          <w:i/>
          <w:iCs/>
        </w:rPr>
        <w:t>in Kraft ab dem 1. Januar 2002</w:t>
      </w:r>
      <w:r w:rsidR="003366D9" w:rsidRPr="009118AB">
        <w:rPr>
          <w:i/>
          <w:iCs/>
        </w:rPr>
        <w:t> -;</w:t>
      </w:r>
      <w:r w:rsidR="001E1FC2" w:rsidRPr="009118AB">
        <w:rPr>
          <w:i/>
          <w:iCs/>
        </w:rPr>
        <w:t xml:space="preserve"> </w:t>
      </w:r>
      <w:r w:rsidR="00D67EB8" w:rsidRPr="009118AB">
        <w:rPr>
          <w:i/>
          <w:iCs/>
        </w:rPr>
        <w:t>§ </w:t>
      </w:r>
      <w:r w:rsidR="001E1FC2" w:rsidRPr="009118AB">
        <w:rPr>
          <w:i/>
          <w:iCs/>
        </w:rPr>
        <w:t xml:space="preserve">2 </w:t>
      </w:r>
      <w:r w:rsidR="00D67EB8" w:rsidRPr="009118AB">
        <w:rPr>
          <w:i/>
          <w:iCs/>
        </w:rPr>
        <w:t>Abs. </w:t>
      </w:r>
      <w:r w:rsidR="001E1FC2" w:rsidRPr="009118AB">
        <w:rPr>
          <w:i/>
          <w:iCs/>
        </w:rPr>
        <w:t xml:space="preserve">2 eingefügt durch </w:t>
      </w:r>
      <w:r w:rsidR="00D67EB8" w:rsidRPr="009118AB">
        <w:rPr>
          <w:i/>
          <w:iCs/>
        </w:rPr>
        <w:t>Art. </w:t>
      </w:r>
      <w:r w:rsidR="001E1FC2" w:rsidRPr="009118AB">
        <w:rPr>
          <w:i/>
          <w:iCs/>
        </w:rPr>
        <w:t>90</w:t>
      </w:r>
      <w:r w:rsidR="001E1FC2" w:rsidRPr="009118AB">
        <w:rPr>
          <w:bCs/>
          <w:i/>
          <w:iCs/>
        </w:rPr>
        <w:t xml:space="preserve"> des G. vom 27. Juni 2021 (B.S. vom 30. Juni 2021);</w:t>
      </w:r>
      <w:r w:rsidRPr="009118AB">
        <w:rPr>
          <w:i/>
          <w:iCs/>
        </w:rPr>
        <w:t xml:space="preserve"> </w:t>
      </w:r>
      <w:r w:rsidR="00D67EB8" w:rsidRPr="009118AB">
        <w:rPr>
          <w:i/>
          <w:iCs/>
        </w:rPr>
        <w:t>§ </w:t>
      </w:r>
      <w:r w:rsidRPr="009118AB">
        <w:rPr>
          <w:i/>
          <w:iCs/>
        </w:rPr>
        <w:t xml:space="preserve">6 eingefügt durch </w:t>
      </w:r>
      <w:r w:rsidR="00D67EB8" w:rsidRPr="009118AB">
        <w:rPr>
          <w:i/>
          <w:iCs/>
        </w:rPr>
        <w:t>Art. </w:t>
      </w:r>
      <w:r w:rsidRPr="009118AB">
        <w:rPr>
          <w:i/>
          <w:iCs/>
        </w:rPr>
        <w:t>111 des G. vom 8. April 2003 (B.S.</w:t>
      </w:r>
      <w:r w:rsidR="001C358C" w:rsidRPr="009118AB">
        <w:rPr>
          <w:i/>
          <w:iCs/>
        </w:rPr>
        <w:t> </w:t>
      </w:r>
      <w:r w:rsidRPr="009118AB">
        <w:rPr>
          <w:i/>
          <w:iCs/>
        </w:rPr>
        <w:t>vom 17. April 2003)</w:t>
      </w:r>
      <w:r w:rsidR="00D67EB8" w:rsidRPr="009118AB">
        <w:rPr>
          <w:i/>
          <w:iCs/>
        </w:rPr>
        <w:t> - </w:t>
      </w:r>
      <w:r w:rsidRPr="009118AB">
        <w:rPr>
          <w:i/>
          <w:iCs/>
        </w:rPr>
        <w:t>in Kraft ab dem 1. Januar 2003</w:t>
      </w:r>
      <w:r w:rsidR="00D67EB8" w:rsidRPr="009118AB">
        <w:rPr>
          <w:i/>
          <w:iCs/>
        </w:rPr>
        <w:t> - </w:t>
      </w:r>
      <w:r w:rsidRPr="009118AB">
        <w:rPr>
          <w:i/>
          <w:iCs/>
        </w:rPr>
        <w:t xml:space="preserve">und ersetzt durch </w:t>
      </w:r>
      <w:r w:rsidR="00D67EB8" w:rsidRPr="009118AB">
        <w:rPr>
          <w:i/>
          <w:iCs/>
        </w:rPr>
        <w:t>Art. </w:t>
      </w:r>
      <w:r w:rsidRPr="009118AB">
        <w:rPr>
          <w:i/>
          <w:iCs/>
        </w:rPr>
        <w:t>17 des G.</w:t>
      </w:r>
      <w:r w:rsidR="001C358C" w:rsidRPr="009118AB">
        <w:rPr>
          <w:i/>
          <w:iCs/>
        </w:rPr>
        <w:t> </w:t>
      </w:r>
      <w:r w:rsidRPr="009118AB">
        <w:rPr>
          <w:i/>
          <w:iCs/>
        </w:rPr>
        <w:t>(I) vom 27. Dezember 2006</w:t>
      </w:r>
      <w:r w:rsidR="0014743B" w:rsidRPr="009118AB">
        <w:rPr>
          <w:i/>
          <w:iCs/>
        </w:rPr>
        <w:t xml:space="preserve"> (I)</w:t>
      </w:r>
      <w:r w:rsidRPr="009118AB">
        <w:rPr>
          <w:i/>
          <w:iCs/>
        </w:rPr>
        <w:t xml:space="preserve"> (B.S. </w:t>
      </w:r>
      <w:r w:rsidRPr="009118AB">
        <w:rPr>
          <w:rFonts w:ascii="Times New Roman Italique" w:hAnsi="Times New Roman Italique"/>
          <w:i/>
          <w:iCs/>
          <w:spacing w:val="-2"/>
        </w:rPr>
        <w:t>vom 28. Dezember 2006)</w:t>
      </w:r>
      <w:r w:rsidR="00D67EB8" w:rsidRPr="009118AB">
        <w:rPr>
          <w:rFonts w:ascii="Times New Roman Italique" w:hAnsi="Times New Roman Italique"/>
          <w:i/>
          <w:iCs/>
          <w:spacing w:val="-2"/>
        </w:rPr>
        <w:t> - </w:t>
      </w:r>
      <w:r w:rsidRPr="009118AB">
        <w:rPr>
          <w:rFonts w:ascii="Times New Roman Italique" w:hAnsi="Times New Roman Italique"/>
          <w:i/>
          <w:iCs/>
          <w:spacing w:val="-2"/>
        </w:rPr>
        <w:t>in Kraft ab dem 1. Januar 2007</w:t>
      </w:r>
      <w:r w:rsidR="003366D9" w:rsidRPr="009118AB">
        <w:rPr>
          <w:rFonts w:ascii="Times New Roman Italique" w:hAnsi="Times New Roman Italique"/>
          <w:i/>
          <w:iCs/>
          <w:spacing w:val="-2"/>
        </w:rPr>
        <w:t> -;</w:t>
      </w:r>
      <w:r w:rsidR="00C026BC"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C026BC" w:rsidRPr="009118AB">
        <w:rPr>
          <w:rFonts w:ascii="Times New Roman Italique" w:hAnsi="Times New Roman Italique"/>
          <w:i/>
          <w:iCs/>
          <w:spacing w:val="-2"/>
        </w:rPr>
        <w:t xml:space="preserve">6 </w:t>
      </w:r>
      <w:r w:rsidR="00D67EB8" w:rsidRPr="009118AB">
        <w:rPr>
          <w:rFonts w:ascii="Times New Roman Italique" w:hAnsi="Times New Roman Italique"/>
          <w:i/>
          <w:iCs/>
          <w:spacing w:val="-2"/>
        </w:rPr>
        <w:t>Abs. </w:t>
      </w:r>
      <w:r w:rsidR="00C026BC" w:rsidRPr="009118AB">
        <w:rPr>
          <w:rFonts w:ascii="Times New Roman Italique" w:hAnsi="Times New Roman Italique"/>
          <w:i/>
          <w:iCs/>
          <w:spacing w:val="-2"/>
        </w:rPr>
        <w:t xml:space="preserve">1 erster Gedankenstrich ergänzt durch </w:t>
      </w:r>
      <w:r w:rsidR="00D67EB8" w:rsidRPr="009118AB">
        <w:rPr>
          <w:rFonts w:ascii="Times New Roman Italique" w:hAnsi="Times New Roman Italique"/>
          <w:i/>
          <w:iCs/>
          <w:spacing w:val="-2"/>
        </w:rPr>
        <w:t>Art. </w:t>
      </w:r>
      <w:r w:rsidR="00C026BC" w:rsidRPr="009118AB">
        <w:rPr>
          <w:rFonts w:ascii="Times New Roman Italique" w:hAnsi="Times New Roman Italique"/>
          <w:i/>
          <w:iCs/>
          <w:spacing w:val="-2"/>
        </w:rPr>
        <w:t xml:space="preserve">97 </w:t>
      </w:r>
      <w:r w:rsidR="00D67EB8" w:rsidRPr="009118AB">
        <w:rPr>
          <w:rFonts w:ascii="Times New Roman Italique" w:hAnsi="Times New Roman Italique"/>
          <w:i/>
          <w:iCs/>
          <w:spacing w:val="-2"/>
        </w:rPr>
        <w:t>Nr. </w:t>
      </w:r>
      <w:r w:rsidR="00C026BC" w:rsidRPr="009118AB">
        <w:rPr>
          <w:rFonts w:ascii="Times New Roman Italique" w:hAnsi="Times New Roman Italique"/>
          <w:i/>
          <w:iCs/>
          <w:spacing w:val="-2"/>
        </w:rPr>
        <w:t>1</w:t>
      </w:r>
      <w:r w:rsidR="00C026BC" w:rsidRPr="009118AB">
        <w:rPr>
          <w:rFonts w:ascii="Times New Roman Italique" w:hAnsi="Times New Roman Italique"/>
          <w:i/>
          <w:spacing w:val="-2"/>
        </w:rPr>
        <w:t xml:space="preserve"> des G. vom 8. Mai 2014 (B.S. vom 28. Mai 2014)</w:t>
      </w:r>
      <w:r w:rsidR="00D67EB8" w:rsidRPr="009118AB">
        <w:rPr>
          <w:rFonts w:ascii="Times New Roman Italique" w:hAnsi="Times New Roman Italique"/>
          <w:i/>
          <w:spacing w:val="-2"/>
        </w:rPr>
        <w:t> - </w:t>
      </w:r>
      <w:r w:rsidR="00C026BC" w:rsidRPr="009118AB">
        <w:rPr>
          <w:rFonts w:ascii="Times New Roman Italique" w:hAnsi="Times New Roman Italique"/>
          <w:i/>
          <w:iCs/>
          <w:spacing w:val="-2"/>
        </w:rPr>
        <w:t>anwendbar ab dem 1. Januar 2014</w:t>
      </w:r>
      <w:r w:rsidR="003366D9" w:rsidRPr="009118AB">
        <w:rPr>
          <w:rFonts w:ascii="Times New Roman Italique" w:hAnsi="Times New Roman Italique"/>
          <w:i/>
          <w:iCs/>
          <w:spacing w:val="-2"/>
        </w:rPr>
        <w:t> -;</w:t>
      </w:r>
      <w:r w:rsidR="00C026BC" w:rsidRPr="009118AB">
        <w:rPr>
          <w:i/>
          <w:iCs/>
        </w:rPr>
        <w:t xml:space="preserve"> </w:t>
      </w:r>
      <w:r w:rsidR="00D67EB8" w:rsidRPr="009118AB">
        <w:rPr>
          <w:i/>
          <w:iCs/>
        </w:rPr>
        <w:t>§ </w:t>
      </w:r>
      <w:r w:rsidR="00C026BC" w:rsidRPr="009118AB">
        <w:rPr>
          <w:i/>
          <w:iCs/>
        </w:rPr>
        <w:t xml:space="preserve">6 </w:t>
      </w:r>
      <w:r w:rsidR="00D67EB8" w:rsidRPr="009118AB">
        <w:rPr>
          <w:i/>
          <w:iCs/>
        </w:rPr>
        <w:t>Abs. </w:t>
      </w:r>
      <w:r w:rsidR="00C026BC" w:rsidRPr="009118AB">
        <w:rPr>
          <w:i/>
          <w:iCs/>
        </w:rPr>
        <w:t xml:space="preserve">1 </w:t>
      </w:r>
      <w:r w:rsidR="00A00E5C" w:rsidRPr="009118AB">
        <w:rPr>
          <w:i/>
          <w:iCs/>
        </w:rPr>
        <w:t>zwei</w:t>
      </w:r>
      <w:r w:rsidR="00C026BC" w:rsidRPr="009118AB">
        <w:rPr>
          <w:i/>
          <w:iCs/>
        </w:rPr>
        <w:t xml:space="preserve">ter Gedankenstrich ergänzt durch </w:t>
      </w:r>
      <w:r w:rsidR="00D67EB8" w:rsidRPr="009118AB">
        <w:rPr>
          <w:i/>
          <w:iCs/>
        </w:rPr>
        <w:t>Art. </w:t>
      </w:r>
      <w:r w:rsidR="00C026BC" w:rsidRPr="009118AB">
        <w:rPr>
          <w:i/>
          <w:iCs/>
        </w:rPr>
        <w:t xml:space="preserve">97 </w:t>
      </w:r>
      <w:r w:rsidR="00D67EB8" w:rsidRPr="009118AB">
        <w:rPr>
          <w:i/>
          <w:iCs/>
        </w:rPr>
        <w:t>Nr. </w:t>
      </w:r>
      <w:r w:rsidR="00A00E5C" w:rsidRPr="009118AB">
        <w:rPr>
          <w:i/>
          <w:iCs/>
        </w:rPr>
        <w:t>2</w:t>
      </w:r>
      <w:r w:rsidR="00C026BC" w:rsidRPr="009118AB">
        <w:rPr>
          <w:i/>
        </w:rPr>
        <w:t xml:space="preserve"> des G. vom 8. Mai 2014 (B.S. vom 28. Mai 2014)</w:t>
      </w:r>
      <w:r w:rsidR="00D67EB8" w:rsidRPr="009118AB">
        <w:rPr>
          <w:i/>
        </w:rPr>
        <w:t> - </w:t>
      </w:r>
      <w:r w:rsidR="00C026BC" w:rsidRPr="009118AB">
        <w:rPr>
          <w:i/>
          <w:iCs/>
        </w:rPr>
        <w:t>anwendbar ab dem 1. Januar 2014</w:t>
      </w:r>
      <w:r w:rsidR="003366D9" w:rsidRPr="009118AB">
        <w:rPr>
          <w:i/>
          <w:iCs/>
        </w:rPr>
        <w:t> -;</w:t>
      </w:r>
      <w:r w:rsidR="00610DD6" w:rsidRPr="009118AB">
        <w:rPr>
          <w:i/>
          <w:iCs/>
        </w:rPr>
        <w:t xml:space="preserve"> </w:t>
      </w:r>
      <w:r w:rsidR="00D67EB8" w:rsidRPr="009118AB">
        <w:rPr>
          <w:i/>
          <w:iCs/>
        </w:rPr>
        <w:t>§ </w:t>
      </w:r>
      <w:r w:rsidR="00610DD6" w:rsidRPr="009118AB">
        <w:rPr>
          <w:i/>
          <w:iCs/>
        </w:rPr>
        <w:t xml:space="preserve">6 </w:t>
      </w:r>
      <w:r w:rsidR="00D67EB8" w:rsidRPr="009118AB">
        <w:rPr>
          <w:i/>
          <w:iCs/>
        </w:rPr>
        <w:t>Abs. </w:t>
      </w:r>
      <w:r w:rsidR="00610DD6" w:rsidRPr="009118AB">
        <w:rPr>
          <w:i/>
          <w:iCs/>
        </w:rPr>
        <w:t xml:space="preserve">2 ersetzt durch </w:t>
      </w:r>
      <w:r w:rsidR="00D67EB8" w:rsidRPr="009118AB">
        <w:rPr>
          <w:i/>
          <w:iCs/>
        </w:rPr>
        <w:t>Art. </w:t>
      </w:r>
      <w:r w:rsidR="00610DD6" w:rsidRPr="009118AB">
        <w:rPr>
          <w:i/>
          <w:iCs/>
        </w:rPr>
        <w:t xml:space="preserve">97 </w:t>
      </w:r>
      <w:r w:rsidR="00D67EB8" w:rsidRPr="009118AB">
        <w:rPr>
          <w:i/>
          <w:iCs/>
        </w:rPr>
        <w:t>Nr. </w:t>
      </w:r>
      <w:r w:rsidR="00610DD6" w:rsidRPr="009118AB">
        <w:rPr>
          <w:i/>
          <w:iCs/>
        </w:rPr>
        <w:t>3</w:t>
      </w:r>
      <w:r w:rsidR="00610DD6" w:rsidRPr="009118AB">
        <w:rPr>
          <w:i/>
        </w:rPr>
        <w:t xml:space="preserve"> des G. vom 8. Mai 2014 (B.S. vom 28. Mai 2014)</w:t>
      </w:r>
      <w:r w:rsidR="00D67EB8" w:rsidRPr="009118AB">
        <w:rPr>
          <w:i/>
        </w:rPr>
        <w:t> - </w:t>
      </w:r>
      <w:r w:rsidR="00610DD6" w:rsidRPr="009118AB">
        <w:rPr>
          <w:i/>
          <w:iCs/>
        </w:rPr>
        <w:t>anwendbar ab dem 1. Januar 2014</w:t>
      </w:r>
      <w:r w:rsidR="00FD68E8" w:rsidRPr="009118AB">
        <w:rPr>
          <w:i/>
          <w:iCs/>
        </w:rPr>
        <w:t> -]</w:t>
      </w:r>
    </w:p>
    <w:p w14:paraId="210F1CD1" w14:textId="5A3FFC2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002E1AB9" w:rsidRPr="009118AB">
        <w:rPr>
          <w:b/>
          <w:bCs/>
        </w:rPr>
        <w:t>KAPITEL </w:t>
      </w:r>
      <w:r w:rsidR="007828ED" w:rsidRPr="009118AB">
        <w:rPr>
          <w:b/>
          <w:bCs/>
        </w:rPr>
        <w:t>4</w:t>
      </w:r>
      <w:r w:rsidR="00D67EB8" w:rsidRPr="009118AB">
        <w:t> - </w:t>
      </w:r>
      <w:r w:rsidRPr="009118AB">
        <w:rPr>
          <w:i/>
          <w:iCs/>
        </w:rPr>
        <w:t>Notifizierung der Katastereinkünfte</w:t>
      </w:r>
    </w:p>
    <w:p w14:paraId="5BD134D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3E5482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0D68B8" w14:textId="575BAF5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495</w:t>
      </w:r>
      <w:r w:rsidR="00D67EB8" w:rsidRPr="009118AB">
        <w:t> - § </w:t>
      </w:r>
      <w:r w:rsidRPr="009118AB">
        <w:t>1</w:t>
      </w:r>
      <w:r w:rsidR="00D67EB8" w:rsidRPr="009118AB">
        <w:t> - </w:t>
      </w:r>
      <w:r w:rsidRPr="009118AB">
        <w:t>Neu festgelegte, revidierte, bewertete oder neu bewertete Katastereinkünfte werden in der vom König festgelegten Form dem Steuerpflichtigen notifiziert, außer wenn Letzterer dem Betrag vorerwähnter Einkünfte schriftlich zugestimmt hat.</w:t>
      </w:r>
    </w:p>
    <w:p w14:paraId="337713F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44C7C2" w14:textId="04076E6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 xml:space="preserve">In Abweichung von </w:t>
      </w:r>
      <w:r w:rsidR="00D67EB8" w:rsidRPr="009118AB">
        <w:t>§ </w:t>
      </w:r>
      <w:r w:rsidRPr="009118AB">
        <w:t>1 führen Änderungen des Katastereinkommens eines unbebauten unbeweglichen Gutes nicht zu einer Notifizierung, wenn sie aus einer einfachen Änderung der Oberfläche hervorgehen, Änderungen der Nutzungsart, Umgestaltungen, Verbesserungen, Beschädigungen oder Wertminderungen, die zu einer Änderung des Katastereinkommens pro Hektar führen, ausgenommen.</w:t>
      </w:r>
    </w:p>
    <w:p w14:paraId="3BB05B0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7A2126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A91652" w14:textId="7CB5454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496</w:t>
      </w:r>
      <w:r w:rsidR="00D67EB8" w:rsidRPr="009118AB">
        <w:t> - </w:t>
      </w:r>
      <w:r w:rsidRPr="009118AB">
        <w:t xml:space="preserve">Die </w:t>
      </w:r>
      <w:r w:rsidR="001E5EF6" w:rsidRPr="009118AB">
        <w:t xml:space="preserve">[Generalverwaltung Vermögensdokumentation] </w:t>
      </w:r>
      <w:r w:rsidRPr="009118AB">
        <w:t xml:space="preserve">darf der </w:t>
      </w:r>
      <w:r w:rsidR="001E5EF6" w:rsidRPr="009118AB">
        <w:t>[mit der Festlegung beziehungsweise mit der Einnahme und Beitreibung der Einkommensteuern beauftragte</w:t>
      </w:r>
      <w:r w:rsidR="00233786" w:rsidRPr="009118AB">
        <w:t>n</w:t>
      </w:r>
      <w:r w:rsidR="001E5EF6" w:rsidRPr="009118AB">
        <w:t xml:space="preserve"> Verwaltung] </w:t>
      </w:r>
      <w:r w:rsidRPr="009118AB">
        <w:t>den Betrag des Katastereinkommens vor Notifizierung dieses Einkommens an den Steuerpflichtigen mitteilen.</w:t>
      </w:r>
    </w:p>
    <w:p w14:paraId="34CA090D" w14:textId="77777777" w:rsidR="001E5EF6" w:rsidRPr="009118AB" w:rsidRDefault="001E5EF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5CA1994" w14:textId="3F14CAAD" w:rsidR="001E5EF6" w:rsidRPr="009118AB" w:rsidRDefault="001E5EF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118AB">
        <w:rPr>
          <w:i/>
        </w:rPr>
        <w:t>[</w:t>
      </w:r>
      <w:r w:rsidR="00D67EB8" w:rsidRPr="009118AB">
        <w:rPr>
          <w:i/>
        </w:rPr>
        <w:t>Art. </w:t>
      </w:r>
      <w:r w:rsidRPr="009118AB">
        <w:rPr>
          <w:i/>
        </w:rPr>
        <w:t xml:space="preserve">496 abgeändert durch </w:t>
      </w:r>
      <w:r w:rsidR="00D67EB8" w:rsidRPr="009118AB">
        <w:rPr>
          <w:i/>
        </w:rPr>
        <w:t>Art. </w:t>
      </w:r>
      <w:r w:rsidR="007812E9" w:rsidRPr="009118AB">
        <w:rPr>
          <w:i/>
        </w:rPr>
        <w:t>30</w:t>
      </w:r>
      <w:r w:rsidR="007812E9" w:rsidRPr="009118AB">
        <w:rPr>
          <w:i/>
          <w:iCs/>
        </w:rPr>
        <w:t xml:space="preserve"> des G. vom 25. April 2014 (I) (B.S. vom 16. Mai 2014)</w:t>
      </w:r>
      <w:r w:rsidR="00D67EB8" w:rsidRPr="009118AB">
        <w:rPr>
          <w:i/>
          <w:iCs/>
        </w:rPr>
        <w:t> - </w:t>
      </w:r>
      <w:r w:rsidR="007812E9" w:rsidRPr="009118AB">
        <w:rPr>
          <w:i/>
          <w:iCs/>
        </w:rPr>
        <w:t>in Kraft am 16. Mai 2014</w:t>
      </w:r>
      <w:r w:rsidR="00FD68E8" w:rsidRPr="009118AB">
        <w:rPr>
          <w:i/>
          <w:iCs/>
        </w:rPr>
        <w:t> -]</w:t>
      </w:r>
    </w:p>
    <w:p w14:paraId="75442525" w14:textId="77777777" w:rsidR="007812E9" w:rsidRPr="009118AB"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5251E93D" w14:textId="63C2317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002E1AB9" w:rsidRPr="009118AB">
        <w:rPr>
          <w:b/>
          <w:bCs/>
        </w:rPr>
        <w:t>KAPITEL </w:t>
      </w:r>
      <w:r w:rsidR="007828ED" w:rsidRPr="009118AB">
        <w:rPr>
          <w:b/>
          <w:bCs/>
        </w:rPr>
        <w:t>5</w:t>
      </w:r>
      <w:r w:rsidR="00D67EB8" w:rsidRPr="009118AB">
        <w:t> - </w:t>
      </w:r>
      <w:r w:rsidRPr="009118AB">
        <w:rPr>
          <w:i/>
          <w:iCs/>
        </w:rPr>
        <w:t>Widerspruch gegen das Katastereinkommen</w:t>
      </w:r>
    </w:p>
    <w:p w14:paraId="2B6D991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269799B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20F1EE4F" w14:textId="73A714E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rPr>
          <w:i/>
          <w:iCs/>
        </w:rPr>
        <w:t>Abschnitt </w:t>
      </w:r>
      <w:r w:rsidR="006B602F" w:rsidRPr="009118AB">
        <w:rPr>
          <w:i/>
          <w:iCs/>
        </w:rPr>
        <w:t>1</w:t>
      </w:r>
      <w:r w:rsidR="00D67EB8" w:rsidRPr="009118AB">
        <w:t> - </w:t>
      </w:r>
      <w:r w:rsidRPr="009118AB">
        <w:t>Widerspruchsrecht</w:t>
      </w:r>
    </w:p>
    <w:p w14:paraId="7C500FD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7C54F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AD55C6F" w14:textId="745350E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497</w:t>
      </w:r>
      <w:r w:rsidR="00D67EB8" w:rsidRPr="009118AB">
        <w:t> - </w:t>
      </w:r>
      <w:r w:rsidRPr="009118AB">
        <w:t>Ein Steuerpflichtiger darf gegen das ihm notifizierte Katastereinkommen Widerspruch einlegen, außer wenn vorerwähntes Einkommen sich auf eine bebaute Parzelle bezieht und es gemäß Angaben eines Mietvertrags festgelegt wurde, der von vorerwähntem Steuerpflichtigen, seinen Rechtsvorgängern oder seinen befugten Beauftragten oder Vertretern abgeschlossen worden ist.</w:t>
      </w:r>
    </w:p>
    <w:p w14:paraId="3647BEB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96CCC7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DEC1A50" w14:textId="6E0D257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498</w:t>
      </w:r>
      <w:r w:rsidR="00D67EB8" w:rsidRPr="009118AB">
        <w:t> - </w:t>
      </w:r>
      <w:r w:rsidRPr="009118AB">
        <w:t>Die alleinige Tatsache der Übertragung auf einen Dritten des Eigentums an einer Parzelle, deren Katastereinkommen zu dem Zeitpunkt, als sie dem Zedenten gehörte, ordnungsgemäß festgelegt worden ist, gibt dem Zessionar nicht das Recht, gegen vorerwähntes Einkommen Widerspruch einzulegen.</w:t>
      </w:r>
    </w:p>
    <w:p w14:paraId="45BA544A" w14:textId="6358317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i/>
          <w:iCs/>
        </w:rPr>
        <w:t>Abschnitt </w:t>
      </w:r>
      <w:r w:rsidR="006B602F" w:rsidRPr="009118AB">
        <w:rPr>
          <w:i/>
          <w:iCs/>
        </w:rPr>
        <w:t>2</w:t>
      </w:r>
      <w:r w:rsidR="00D67EB8" w:rsidRPr="009118AB">
        <w:t> - </w:t>
      </w:r>
      <w:r w:rsidRPr="009118AB">
        <w:t>Bedingungen für die Gültigkeit des Widerspruchs</w:t>
      </w:r>
    </w:p>
    <w:p w14:paraId="184083E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12349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B79BEEF" w14:textId="3BD797B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499</w:t>
      </w:r>
      <w:r w:rsidR="00D67EB8" w:rsidRPr="009118AB">
        <w:t> - </w:t>
      </w:r>
      <w:r w:rsidRPr="009118AB">
        <w:t>Zur Vermeidung des Verfalls muss der Widerspruch:</w:t>
      </w:r>
    </w:p>
    <w:p w14:paraId="289EA46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914D0A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1. außer im Falle höherer Gewalt innerhalb einer Frist von zwei Monaten ab dem Datum der Notifizierung des Katastereinkommens eingelegt werden,</w:t>
      </w:r>
    </w:p>
    <w:p w14:paraId="5E94EE4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2861DA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2. per Einschreibebrief </w:t>
      </w:r>
      <w:r w:rsidR="001D7019" w:rsidRPr="009118AB">
        <w:t>[an den leitenden Bediensteten des Dienstes gerichtet sein, der mit der Bearbeitung der Widersprüche gegen Katastereinkünfte beauftragt ist]</w:t>
      </w:r>
      <w:r w:rsidRPr="009118AB">
        <w:t>,</w:t>
      </w:r>
    </w:p>
    <w:p w14:paraId="3E2CF6F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0B7DB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3. das Einkommen enthalten, das der Widerspruchsführer demjenigen entgegensetzt, das seinem unbeweglichen Gut beigemessen wurde.</w:t>
      </w:r>
    </w:p>
    <w:p w14:paraId="79E34F8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6E59F7" w14:textId="25C5D66F" w:rsidR="001D7019" w:rsidRPr="009118AB" w:rsidRDefault="001D701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499 einziger Absatz </w:t>
      </w:r>
      <w:r w:rsidR="00D67EB8" w:rsidRPr="009118AB">
        <w:rPr>
          <w:i/>
        </w:rPr>
        <w:t>Nr. </w:t>
      </w:r>
      <w:r w:rsidRPr="009118AB">
        <w:rPr>
          <w:i/>
        </w:rPr>
        <w:t xml:space="preserve">2 abgeändert durch </w:t>
      </w:r>
      <w:r w:rsidR="00D67EB8" w:rsidRPr="009118AB">
        <w:rPr>
          <w:i/>
        </w:rPr>
        <w:t>Art. </w:t>
      </w:r>
      <w:r w:rsidRPr="009118AB">
        <w:rPr>
          <w:i/>
        </w:rPr>
        <w:t>35</w:t>
      </w:r>
      <w:r w:rsidRPr="009118AB">
        <w:rPr>
          <w:i/>
          <w:iCs/>
        </w:rPr>
        <w:t xml:space="preserve"> des G. vom 27. April 2016 (B.S. vom 6. Mai 2016)]</w:t>
      </w:r>
    </w:p>
    <w:p w14:paraId="447E187F" w14:textId="3E7664D0" w:rsidR="001D7019" w:rsidRPr="009118AB" w:rsidRDefault="001D701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F0664CA" w14:textId="1355826F" w:rsidR="0010339F" w:rsidRDefault="0010339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C5277E" w14:textId="30FCA243" w:rsidR="00BA10A7" w:rsidRDefault="00BA10A7" w:rsidP="00BA10A7">
      <w:pPr>
        <w:autoSpaceDE w:val="0"/>
        <w:autoSpaceDN w:val="0"/>
        <w:adjustRightInd w:val="0"/>
        <w:jc w:val="both"/>
        <w:rPr>
          <w:iCs/>
          <w:sz w:val="20"/>
          <w:szCs w:val="20"/>
        </w:rPr>
      </w:pPr>
      <w:r>
        <w:rPr>
          <w:iCs/>
          <w:sz w:val="20"/>
          <w:szCs w:val="20"/>
        </w:rPr>
        <w:t>Ab einem gemäß Art. 222 des G. vom 12. Mai 2024 (B.S. vom 30. Mai 2024) vom König festzulegenden Datum und spätestens am 1. Januar 2028 lautet Art. 499 wie folgt:</w:t>
      </w:r>
    </w:p>
    <w:p w14:paraId="5788F4EC" w14:textId="77777777" w:rsidR="00BA10A7" w:rsidRDefault="00BA10A7" w:rsidP="00BA10A7">
      <w:pPr>
        <w:autoSpaceDE w:val="0"/>
        <w:autoSpaceDN w:val="0"/>
        <w:adjustRightInd w:val="0"/>
        <w:jc w:val="both"/>
        <w:rPr>
          <w:iCs/>
          <w:sz w:val="20"/>
          <w:szCs w:val="20"/>
        </w:rPr>
      </w:pPr>
    </w:p>
    <w:p w14:paraId="68218011" w14:textId="2D08D8C7" w:rsidR="00BA10A7" w:rsidRPr="00BA10A7"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Pr>
          <w:iCs/>
          <w:sz w:val="20"/>
          <w:szCs w:val="20"/>
        </w:rPr>
        <w:t>"</w:t>
      </w:r>
      <w:r w:rsidRPr="00BA10A7">
        <w:rPr>
          <w:iCs/>
          <w:sz w:val="20"/>
          <w:szCs w:val="20"/>
        </w:rPr>
        <w:t>Art. 499 - Zur Vermeidung des Verfalls muss der Widerspruch:</w:t>
      </w:r>
    </w:p>
    <w:p w14:paraId="683B0D6D" w14:textId="77777777" w:rsidR="00BA10A7" w:rsidRPr="00BA10A7"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3C7EF51A" w14:textId="47710BEE" w:rsidR="00BA10A7" w:rsidRPr="00BA10A7"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BA10A7">
        <w:rPr>
          <w:iCs/>
          <w:sz w:val="20"/>
          <w:szCs w:val="20"/>
        </w:rPr>
        <w:t>1. außer im Falle höherer Gewalt innerhalb einer Frist von zwei Monaten ab dem Datum der Notifizierung des Katastereinkommens eingelegt werden,</w:t>
      </w:r>
    </w:p>
    <w:p w14:paraId="6D8DAC80" w14:textId="77777777" w:rsidR="00BA10A7" w:rsidRPr="00BA10A7"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6F1FA455" w14:textId="48B9E765" w:rsidR="00BA10A7" w:rsidRPr="00BA10A7"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BA10A7">
        <w:rPr>
          <w:iCs/>
          <w:sz w:val="20"/>
          <w:szCs w:val="20"/>
        </w:rPr>
        <w:t xml:space="preserve">2. </w:t>
      </w:r>
      <w:r>
        <w:rPr>
          <w:iCs/>
          <w:sz w:val="20"/>
          <w:szCs w:val="20"/>
        </w:rPr>
        <w:t>[</w:t>
      </w:r>
      <w:r w:rsidRPr="00BA10A7">
        <w:rPr>
          <w:iCs/>
          <w:sz w:val="20"/>
          <w:szCs w:val="20"/>
        </w:rPr>
        <w:t>per Einschreibesendung an den leitenden Bediensteten des Dienstes übermittelt werden</w:t>
      </w:r>
      <w:r>
        <w:rPr>
          <w:iCs/>
          <w:sz w:val="20"/>
          <w:szCs w:val="20"/>
        </w:rPr>
        <w:t>]</w:t>
      </w:r>
      <w:r w:rsidRPr="00BA10A7">
        <w:rPr>
          <w:iCs/>
          <w:sz w:val="20"/>
          <w:szCs w:val="20"/>
        </w:rPr>
        <w:t>, der mit der Bearbeitung der Widersprüche gegen Katastereinkünfte beauftragt ist],</w:t>
      </w:r>
    </w:p>
    <w:p w14:paraId="2BF03835" w14:textId="77777777" w:rsidR="00BA10A7" w:rsidRPr="00BA10A7"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39A90F50" w14:textId="71DD6AE2" w:rsidR="00BA10A7" w:rsidRPr="00BA10A7"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BA10A7">
        <w:rPr>
          <w:iCs/>
          <w:sz w:val="20"/>
          <w:szCs w:val="20"/>
        </w:rPr>
        <w:t>3. das Einkommen enthalten, das der Widerspruchsführer demjenigen entgegensetzt, das seinem unbeweglichen Gut beigemessen wurde.</w:t>
      </w:r>
    </w:p>
    <w:p w14:paraId="25BD4389" w14:textId="77777777" w:rsidR="00BA10A7"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4A9D4378" w14:textId="2C0EACBE" w:rsidR="007A1DE7" w:rsidRDefault="007A1DE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Pr>
          <w:iCs/>
          <w:sz w:val="20"/>
          <w:szCs w:val="20"/>
        </w:rPr>
        <w:t>[…]</w:t>
      </w:r>
    </w:p>
    <w:p w14:paraId="5A59B76A" w14:textId="77777777" w:rsidR="007A1DE7" w:rsidRPr="00BA10A7" w:rsidRDefault="007A1DE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68D49F95" w14:textId="0E62E96D" w:rsidR="00BA10A7" w:rsidRPr="00BA10A7"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BA10A7">
        <w:rPr>
          <w:i/>
          <w:iCs/>
          <w:sz w:val="20"/>
          <w:szCs w:val="20"/>
        </w:rPr>
        <w:t>[Art. 499 einziger Absatz Nr. 2 abgeändert durch Art. 35 des G. vom 27. April 2016 (B.S. vom 6. Mai 2016)</w:t>
      </w:r>
      <w:r>
        <w:rPr>
          <w:i/>
          <w:iCs/>
          <w:sz w:val="20"/>
          <w:szCs w:val="20"/>
        </w:rPr>
        <w:t xml:space="preserve">, </w:t>
      </w:r>
      <w:r w:rsidRPr="009118AB">
        <w:rPr>
          <w:i/>
          <w:iCs/>
          <w:sz w:val="20"/>
          <w:szCs w:val="20"/>
        </w:rPr>
        <w:t>Art. 46 Nr. 1 des G. vom 26. Januar 2021 (B.S. vom 10. Februar 2021) - in Kraft am 1. Januar 2025 -</w:t>
      </w:r>
      <w:r w:rsidRPr="00BA10A7">
        <w:rPr>
          <w:i/>
          <w:iCs/>
          <w:sz w:val="20"/>
          <w:szCs w:val="20"/>
        </w:rPr>
        <w:t>, selbst aufgehoben durch Art. 213 des G. vom 12. Mai 2024 (B.S. vom 30. Mai 2024)</w:t>
      </w:r>
      <w:r>
        <w:rPr>
          <w:i/>
          <w:iCs/>
          <w:sz w:val="20"/>
          <w:szCs w:val="20"/>
        </w:rPr>
        <w:t>, und durch Art. 44</w:t>
      </w:r>
      <w:r w:rsidRPr="00BA10A7">
        <w:rPr>
          <w:i/>
          <w:iCs/>
          <w:sz w:val="20"/>
          <w:szCs w:val="20"/>
        </w:rPr>
        <w:t xml:space="preserve"> des G. vom 12. Mai 2024 (B.S. vom 30. Mai 2024) - </w:t>
      </w:r>
      <w:r w:rsidR="00A54224" w:rsidRPr="00A54224">
        <w:rPr>
          <w:i/>
          <w:iCs/>
          <w:sz w:val="20"/>
          <w:szCs w:val="20"/>
        </w:rPr>
        <w:t>in Kraft für alle oder bestimmte Kategorien von Inhabern einer Unternehmensnummer sowie für natürliche Personen an dem jeweils vom König festzulegenden Datum und spätestens am 1. Januar 2028</w:t>
      </w:r>
      <w:r w:rsidRPr="00BA10A7">
        <w:rPr>
          <w:i/>
          <w:iCs/>
          <w:sz w:val="20"/>
          <w:szCs w:val="20"/>
        </w:rPr>
        <w:t> -</w:t>
      </w:r>
      <w:r w:rsidRPr="009118AB">
        <w:rPr>
          <w:i/>
          <w:iCs/>
          <w:sz w:val="20"/>
          <w:szCs w:val="20"/>
        </w:rPr>
        <w:t xml:space="preserve">; </w:t>
      </w:r>
      <w:r w:rsidR="007A1DE7">
        <w:rPr>
          <w:i/>
          <w:iCs/>
          <w:sz w:val="20"/>
          <w:szCs w:val="20"/>
        </w:rPr>
        <w:t xml:space="preserve">früherer </w:t>
      </w:r>
      <w:r w:rsidRPr="009118AB">
        <w:rPr>
          <w:i/>
          <w:iCs/>
          <w:sz w:val="20"/>
          <w:szCs w:val="20"/>
        </w:rPr>
        <w:t>Abs</w:t>
      </w:r>
      <w:r w:rsidR="007A1DE7">
        <w:rPr>
          <w:i/>
          <w:iCs/>
          <w:sz w:val="20"/>
          <w:szCs w:val="20"/>
        </w:rPr>
        <w:t>atz</w:t>
      </w:r>
      <w:r w:rsidRPr="009118AB">
        <w:rPr>
          <w:i/>
          <w:iCs/>
          <w:sz w:val="20"/>
          <w:szCs w:val="20"/>
        </w:rPr>
        <w:t> 2 eingefügt durch Art. 46 Nr. 2 des G. vom 26. Januar 2021 (B.S. vom 10. Februar 2021) - in Kraft am 1. Januar 2025 -</w:t>
      </w:r>
      <w:r w:rsidRPr="00BA10A7">
        <w:rPr>
          <w:i/>
          <w:iCs/>
          <w:sz w:val="20"/>
          <w:szCs w:val="20"/>
        </w:rPr>
        <w:t>, selbst aufgehoben durch Art. 213 des G. vom 12. Mai 2024 (B.S. vom 30. Mai 2024)]</w:t>
      </w:r>
      <w:r>
        <w:rPr>
          <w:sz w:val="20"/>
          <w:szCs w:val="20"/>
        </w:rPr>
        <w:t>"</w:t>
      </w:r>
    </w:p>
    <w:p w14:paraId="0D4E0165" w14:textId="3FFAF58A" w:rsidR="00BA10A7" w:rsidRPr="009118AB"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7E89B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76198E" w14:textId="2C484DF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500</w:t>
      </w:r>
      <w:r w:rsidR="00D67EB8" w:rsidRPr="009118AB">
        <w:t> - </w:t>
      </w:r>
      <w:r w:rsidRPr="009118AB">
        <w:t>Kein Widerspruch gegen ein Katastereinkommen kann mehr als ein Jahr nach der Zahlung des ersten Immobiliensteuervorabzugs, der auf der Grundlage des beanstandeten Einkommens festgelegt wurde, gültig eingelegt werden.</w:t>
      </w:r>
    </w:p>
    <w:p w14:paraId="4EBF41E3" w14:textId="08D73904" w:rsidR="00477B8F" w:rsidRPr="009118AB" w:rsidRDefault="00477B8F" w:rsidP="00597C8C">
      <w:pPr>
        <w:autoSpaceDE w:val="0"/>
        <w:autoSpaceDN w:val="0"/>
        <w:adjustRightInd w:val="0"/>
        <w:jc w:val="center"/>
      </w:pPr>
      <w:r w:rsidRPr="009118AB">
        <w:br w:type="page"/>
      </w:r>
      <w:r w:rsidRPr="009118AB">
        <w:rPr>
          <w:i/>
          <w:iCs/>
        </w:rPr>
        <w:t>Abschnitt </w:t>
      </w:r>
      <w:r w:rsidR="006B602F" w:rsidRPr="009118AB">
        <w:rPr>
          <w:i/>
          <w:iCs/>
        </w:rPr>
        <w:t>3</w:t>
      </w:r>
      <w:r w:rsidR="00D67EB8" w:rsidRPr="009118AB">
        <w:t> - </w:t>
      </w:r>
      <w:r w:rsidRPr="009118AB">
        <w:t>Verfahren bei Untersuchung der Widersprüche</w:t>
      </w:r>
    </w:p>
    <w:p w14:paraId="1A4F917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98D0AB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2E162C1" w14:textId="4546DA2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501</w:t>
      </w:r>
      <w:r w:rsidR="00D67EB8" w:rsidRPr="009118AB">
        <w:t> - </w:t>
      </w:r>
      <w:r w:rsidR="001D7019" w:rsidRPr="009118AB">
        <w:t>[Der Widerspruch wird von einem Bediensteten untersucht, der mit der Bearbeitung der Widersprüche beauftragt ist.]</w:t>
      </w:r>
    </w:p>
    <w:p w14:paraId="0B965039" w14:textId="77777777" w:rsidR="007812E9" w:rsidRPr="009118AB"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904079" w14:textId="3CB0E405" w:rsidR="007812E9" w:rsidRPr="009118AB"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118AB">
        <w:rPr>
          <w:i/>
        </w:rPr>
        <w:t>[</w:t>
      </w:r>
      <w:r w:rsidR="00D67EB8" w:rsidRPr="009118AB">
        <w:rPr>
          <w:i/>
        </w:rPr>
        <w:t>Art. </w:t>
      </w:r>
      <w:r w:rsidRPr="009118AB">
        <w:rPr>
          <w:i/>
        </w:rPr>
        <w:t xml:space="preserve">501 </w:t>
      </w:r>
      <w:r w:rsidR="001D7019" w:rsidRPr="009118AB">
        <w:rPr>
          <w:i/>
        </w:rPr>
        <w:t xml:space="preserve">ersetzt durch </w:t>
      </w:r>
      <w:r w:rsidR="00D67EB8" w:rsidRPr="009118AB">
        <w:rPr>
          <w:i/>
        </w:rPr>
        <w:t>Art. </w:t>
      </w:r>
      <w:r w:rsidR="001D7019" w:rsidRPr="009118AB">
        <w:rPr>
          <w:i/>
        </w:rPr>
        <w:t>36</w:t>
      </w:r>
      <w:r w:rsidR="001D7019" w:rsidRPr="009118AB">
        <w:rPr>
          <w:i/>
          <w:iCs/>
        </w:rPr>
        <w:t xml:space="preserve"> des G. vom 27. April 2016 (B.S. vom 6. Mai 2016)</w:t>
      </w:r>
      <w:r w:rsidRPr="009118AB">
        <w:rPr>
          <w:i/>
          <w:iCs/>
        </w:rPr>
        <w:t>]</w:t>
      </w:r>
    </w:p>
    <w:p w14:paraId="59062A6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C95F0C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F432569" w14:textId="7A116F1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D67EB8" w:rsidRPr="009118AB">
        <w:rPr>
          <w:b/>
          <w:bCs/>
        </w:rPr>
        <w:t>Art. </w:t>
      </w:r>
      <w:r w:rsidRPr="009118AB">
        <w:rPr>
          <w:b/>
          <w:bCs/>
        </w:rPr>
        <w:t>501</w:t>
      </w:r>
      <w:r w:rsidRPr="009118AB">
        <w:rPr>
          <w:b/>
          <w:bCs/>
          <w:i/>
          <w:iCs/>
        </w:rPr>
        <w:t>bis</w:t>
      </w:r>
      <w:r w:rsidR="00D67EB8" w:rsidRPr="009118AB">
        <w:t> - § </w:t>
      </w:r>
      <w:r w:rsidRPr="009118AB">
        <w:t>1</w:t>
      </w:r>
      <w:r w:rsidR="00D67EB8" w:rsidRPr="009118AB">
        <w:t> - </w:t>
      </w:r>
      <w:r w:rsidRPr="009118AB">
        <w:t xml:space="preserve">Falls im Laufe der Bearbeitung des Widerspruchs und nach einem Meinungsaustausch keine Einigung erzielt wird, kann der Widerspruchsführer </w:t>
      </w:r>
      <w:r w:rsidR="00DE7425" w:rsidRPr="009118AB">
        <w:t>[...]</w:t>
      </w:r>
      <w:r w:rsidRPr="009118AB">
        <w:t xml:space="preserve"> bei dem in Artikel 116 des Gesetzes vom 25. April 2007 zur Festlegung verschiedener Bestimmungen (IV) erwähnten </w:t>
      </w:r>
      <w:r w:rsidR="00DE7425" w:rsidRPr="009118AB">
        <w:t xml:space="preserve">[Dienst </w:t>
      </w:r>
      <w:r w:rsidRPr="009118AB">
        <w:t>Steuerschlichtung</w:t>
      </w:r>
      <w:r w:rsidR="00DE7425" w:rsidRPr="009118AB">
        <w:t>]</w:t>
      </w:r>
      <w:r w:rsidRPr="009118AB">
        <w:t xml:space="preserve"> einen Schlichtungsantrag einreichen.</w:t>
      </w:r>
    </w:p>
    <w:p w14:paraId="4DFF178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E3706A3" w14:textId="38A9F83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Wenn das Protokoll über die Uneinigkeit, das im Hinblick auf die Beantragung der in </w:t>
      </w:r>
      <w:r w:rsidR="00D67EB8" w:rsidRPr="009118AB">
        <w:t>§ </w:t>
      </w:r>
      <w:r w:rsidRPr="009118AB">
        <w:t>2 erwähnten Schiedsentscheidung aufgenommen worden ist, dem Steuerpflichtigen vor Notifi</w:t>
      </w:r>
      <w:r w:rsidRPr="009118AB">
        <w:softHyphen/>
        <w:t xml:space="preserve">zierung des Schlichtungsberichts notifiziert wird, ist der </w:t>
      </w:r>
      <w:r w:rsidR="00DE7425" w:rsidRPr="009118AB">
        <w:t>[</w:t>
      </w:r>
      <w:r w:rsidRPr="009118AB">
        <w:t>Dienst Steuerschlichtung</w:t>
      </w:r>
      <w:r w:rsidR="00DE7425" w:rsidRPr="009118AB">
        <w:t>]</w:t>
      </w:r>
      <w:r w:rsidRPr="009118AB">
        <w:t xml:space="preserve"> nicht mehr zuständig.</w:t>
      </w:r>
    </w:p>
    <w:p w14:paraId="30067E9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4327B56" w14:textId="61BA609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Falls der untersuchende Bedienstete und der Widerspruchsführer trotz der eventuellen Schlichtung keine Einigung über das Katastereinkommen, das einem unbeweglichen Gut beigemessen werden muss, erzielen können, wird ein Protokoll über die Uneinigkeit aufgenommen und haben der untersuchende Bedienstete und der Widerspruchsführer zur Festlegung des betreffenden Katastereinkommens die Möglichkeit, eine Schiedsentscheidung zu beantragen.]</w:t>
      </w:r>
    </w:p>
    <w:p w14:paraId="1FB252F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7263EA1" w14:textId="00BD69E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w:t>
      </w:r>
      <w:r w:rsidR="00D67EB8" w:rsidRPr="009118AB">
        <w:rPr>
          <w:i/>
          <w:iCs/>
        </w:rPr>
        <w:t>Art. </w:t>
      </w:r>
      <w:r w:rsidRPr="009118AB">
        <w:rPr>
          <w:i/>
          <w:iCs/>
        </w:rPr>
        <w:t xml:space="preserve">501bis eingefügt durch </w:t>
      </w:r>
      <w:r w:rsidR="00D67EB8" w:rsidRPr="009118AB">
        <w:rPr>
          <w:i/>
          <w:iCs/>
        </w:rPr>
        <w:t>Art. </w:t>
      </w:r>
      <w:r w:rsidRPr="009118AB">
        <w:rPr>
          <w:i/>
          <w:iCs/>
        </w:rPr>
        <w:t xml:space="preserve">121 des G. </w:t>
      </w:r>
      <w:r w:rsidR="002A2EA9" w:rsidRPr="009118AB">
        <w:rPr>
          <w:i/>
          <w:iCs/>
        </w:rPr>
        <w:t xml:space="preserve">(IV) </w:t>
      </w:r>
      <w:r w:rsidRPr="009118AB">
        <w:rPr>
          <w:i/>
          <w:iCs/>
        </w:rPr>
        <w:t>vom 25. April 2007 (I) (B.S. vom 8. Mai 2007)</w:t>
      </w:r>
      <w:r w:rsidR="00D67EB8" w:rsidRPr="009118AB">
        <w:rPr>
          <w:i/>
          <w:iCs/>
        </w:rPr>
        <w:t> - </w:t>
      </w:r>
      <w:r w:rsidRPr="009118AB">
        <w:rPr>
          <w:i/>
          <w:iCs/>
        </w:rPr>
        <w:t>in Kraft ab dem 1. Mai 2007</w:t>
      </w:r>
      <w:r w:rsidR="003366D9" w:rsidRPr="009118AB">
        <w:rPr>
          <w:i/>
          <w:iCs/>
        </w:rPr>
        <w:t> -;</w:t>
      </w:r>
      <w:r w:rsidR="00DE7425" w:rsidRPr="009118AB">
        <w:rPr>
          <w:i/>
          <w:iCs/>
        </w:rPr>
        <w:t xml:space="preserve"> </w:t>
      </w:r>
      <w:r w:rsidR="00D67EB8" w:rsidRPr="009118AB">
        <w:rPr>
          <w:i/>
          <w:iCs/>
        </w:rPr>
        <w:t>§ </w:t>
      </w:r>
      <w:r w:rsidR="00DE7425" w:rsidRPr="009118AB">
        <w:rPr>
          <w:i/>
          <w:iCs/>
        </w:rPr>
        <w:t xml:space="preserve">1 </w:t>
      </w:r>
      <w:r w:rsidR="00D67EB8" w:rsidRPr="009118AB">
        <w:rPr>
          <w:i/>
          <w:iCs/>
        </w:rPr>
        <w:t>Abs. </w:t>
      </w:r>
      <w:r w:rsidR="00DE7425" w:rsidRPr="009118AB">
        <w:rPr>
          <w:i/>
          <w:iCs/>
        </w:rPr>
        <w:t xml:space="preserve">1 abgeändert durch </w:t>
      </w:r>
      <w:r w:rsidR="00D67EB8" w:rsidRPr="009118AB">
        <w:rPr>
          <w:i/>
          <w:iCs/>
        </w:rPr>
        <w:t>Art. </w:t>
      </w:r>
      <w:r w:rsidR="00DE7425" w:rsidRPr="009118AB">
        <w:rPr>
          <w:i/>
          <w:iCs/>
        </w:rPr>
        <w:t>9</w:t>
      </w:r>
      <w:r w:rsidR="00DE7425" w:rsidRPr="009118AB">
        <w:rPr>
          <w:i/>
        </w:rPr>
        <w:t xml:space="preserve"> des G. vom 29. März 2018 (B.S. vom 13. April 2018)</w:t>
      </w:r>
      <w:r w:rsidR="00D67EB8" w:rsidRPr="009118AB">
        <w:rPr>
          <w:i/>
        </w:rPr>
        <w:t> - </w:t>
      </w:r>
      <w:r w:rsidR="00DE7425" w:rsidRPr="009118AB">
        <w:rPr>
          <w:i/>
        </w:rPr>
        <w:t>in Kraft am 1. Juni 2018</w:t>
      </w:r>
      <w:r w:rsidR="003366D9" w:rsidRPr="009118AB">
        <w:rPr>
          <w:i/>
        </w:rPr>
        <w:t> -;</w:t>
      </w:r>
      <w:r w:rsidR="00DE7425" w:rsidRPr="009118AB">
        <w:rPr>
          <w:i/>
        </w:rPr>
        <w:t xml:space="preserve"> </w:t>
      </w:r>
      <w:r w:rsidR="00D67EB8" w:rsidRPr="009118AB">
        <w:rPr>
          <w:i/>
        </w:rPr>
        <w:t>§ </w:t>
      </w:r>
      <w:r w:rsidR="00DE7425" w:rsidRPr="009118AB">
        <w:rPr>
          <w:i/>
        </w:rPr>
        <w:t xml:space="preserve">1 </w:t>
      </w:r>
      <w:r w:rsidR="00D67EB8" w:rsidRPr="009118AB">
        <w:rPr>
          <w:i/>
        </w:rPr>
        <w:t>Abs. </w:t>
      </w:r>
      <w:r w:rsidR="00DE7425" w:rsidRPr="009118AB">
        <w:rPr>
          <w:i/>
        </w:rPr>
        <w:t xml:space="preserve">2 abgeändert durch </w:t>
      </w:r>
      <w:r w:rsidR="00D67EB8" w:rsidRPr="009118AB">
        <w:rPr>
          <w:i/>
        </w:rPr>
        <w:t>Art. </w:t>
      </w:r>
      <w:r w:rsidR="00DE7425" w:rsidRPr="009118AB">
        <w:rPr>
          <w:i/>
        </w:rPr>
        <w:t>9 des G. vom 29. März 2018 (B.S. vom 13. April 2018)</w:t>
      </w:r>
      <w:r w:rsidR="00D67EB8" w:rsidRPr="009118AB">
        <w:rPr>
          <w:i/>
        </w:rPr>
        <w:t> - </w:t>
      </w:r>
      <w:r w:rsidR="00DE7425" w:rsidRPr="009118AB">
        <w:rPr>
          <w:i/>
        </w:rPr>
        <w:t>in Kraft am 1. Juni 2018</w:t>
      </w:r>
      <w:r w:rsidR="00FD68E8" w:rsidRPr="009118AB">
        <w:rPr>
          <w:i/>
        </w:rPr>
        <w:t> -]</w:t>
      </w:r>
    </w:p>
    <w:p w14:paraId="313D58F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8BCC1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212A3B" w14:textId="64D4FB7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502</w:t>
      </w:r>
      <w:r w:rsidR="00D67EB8" w:rsidRPr="009118AB">
        <w:t> - </w:t>
      </w:r>
      <w:r w:rsidRPr="009118AB">
        <w:t>[...]</w:t>
      </w:r>
    </w:p>
    <w:p w14:paraId="4A5DE2C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D2328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König bestimmt die Regeln des Schiedsverfahrens. Er bestimmt die Frist, in der dieses Verfahren eingeleitet werden muss, den Auftrag der Schiedsrichter, die Höhe der Schiedskosten und die Person, die vorerwähnte Kosten tragen muss.</w:t>
      </w:r>
    </w:p>
    <w:p w14:paraId="30EA3CE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2EBF5C" w14:textId="59A7D3D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502 früherer Absatz 1 aufgehoben durch </w:t>
      </w:r>
      <w:r w:rsidR="00D67EB8" w:rsidRPr="009118AB">
        <w:rPr>
          <w:i/>
          <w:iCs/>
        </w:rPr>
        <w:t>Art. </w:t>
      </w:r>
      <w:r w:rsidRPr="009118AB">
        <w:rPr>
          <w:i/>
          <w:iCs/>
        </w:rPr>
        <w:t xml:space="preserve">122 des G. </w:t>
      </w:r>
      <w:r w:rsidR="002A2EA9" w:rsidRPr="009118AB">
        <w:rPr>
          <w:i/>
          <w:iCs/>
        </w:rPr>
        <w:t xml:space="preserve">(IV) </w:t>
      </w:r>
      <w:r w:rsidRPr="009118AB">
        <w:rPr>
          <w:i/>
          <w:iCs/>
        </w:rPr>
        <w:t>vom 25. April 2007 (I) (B.S. vom 8. Mai 2007)</w:t>
      </w:r>
      <w:r w:rsidR="00D67EB8" w:rsidRPr="009118AB">
        <w:rPr>
          <w:i/>
          <w:iCs/>
        </w:rPr>
        <w:t> - </w:t>
      </w:r>
      <w:r w:rsidRPr="009118AB">
        <w:rPr>
          <w:i/>
          <w:iCs/>
        </w:rPr>
        <w:t>in Kraft ab dem 1. Mai 2007</w:t>
      </w:r>
      <w:r w:rsidR="00FD68E8" w:rsidRPr="009118AB">
        <w:rPr>
          <w:i/>
          <w:iCs/>
        </w:rPr>
        <w:t> -]</w:t>
      </w:r>
    </w:p>
    <w:p w14:paraId="0D6FFFAC" w14:textId="69BD8DC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Pr="009118AB">
        <w:rPr>
          <w:i/>
          <w:iCs/>
        </w:rPr>
        <w:t>Abschnitt </w:t>
      </w:r>
      <w:r w:rsidR="006B602F" w:rsidRPr="009118AB">
        <w:rPr>
          <w:i/>
          <w:iCs/>
        </w:rPr>
        <w:t>4</w:t>
      </w:r>
      <w:r w:rsidR="00D67EB8" w:rsidRPr="009118AB">
        <w:t> - </w:t>
      </w:r>
      <w:r w:rsidRPr="009118AB">
        <w:t>Auswirkung der Widersprüche</w:t>
      </w:r>
    </w:p>
    <w:p w14:paraId="1CB0156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A31881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93F2111" w14:textId="0D9EEDD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503</w:t>
      </w:r>
      <w:r w:rsidR="00D67EB8" w:rsidRPr="009118AB">
        <w:t> - </w:t>
      </w:r>
      <w:r w:rsidRPr="009118AB">
        <w:t>Änderungen des Katastereinkommens aufgrund eines Widerspruchs sind selbst gegenüber bereits in die Heberolle eingetragenen Veranlagungen, die auf der Grundlage dieses Einkommens festgelegt wurden, wirksam.</w:t>
      </w:r>
    </w:p>
    <w:p w14:paraId="15E457EE" w14:textId="04B4D92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br w:type="page"/>
      </w:r>
      <w:r w:rsidR="002E1AB9" w:rsidRPr="009118AB">
        <w:rPr>
          <w:b/>
          <w:bCs/>
        </w:rPr>
        <w:t>KAPITEL </w:t>
      </w:r>
      <w:r w:rsidR="00464330" w:rsidRPr="009118AB">
        <w:rPr>
          <w:b/>
          <w:bCs/>
        </w:rPr>
        <w:t>6</w:t>
      </w:r>
      <w:r w:rsidR="00D67EB8" w:rsidRPr="009118AB">
        <w:rPr>
          <w:b/>
          <w:bCs/>
        </w:rPr>
        <w:t> - </w:t>
      </w:r>
      <w:r w:rsidRPr="009118AB">
        <w:rPr>
          <w:i/>
          <w:iCs/>
        </w:rPr>
        <w:t>Bewahrung und Fortschreibung der Katasterunterlagen</w:t>
      </w:r>
    </w:p>
    <w:p w14:paraId="740DF54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687073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2BECBF" w14:textId="3F105FE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504</w:t>
      </w:r>
      <w:r w:rsidR="00D67EB8" w:rsidRPr="009118AB">
        <w:t> - </w:t>
      </w:r>
      <w:r w:rsidRPr="009118AB">
        <w:t xml:space="preserve">Die </w:t>
      </w:r>
      <w:r w:rsidR="007812E9" w:rsidRPr="009118AB">
        <w:t xml:space="preserve">[Generalverwaltung Vermögensdokumentation] </w:t>
      </w:r>
      <w:r w:rsidRPr="009118AB">
        <w:t>gewährleistet gemäß den vom König festgelegten Regeln die Bewahrung und Fortschreibung der Katasterunterlagen.</w:t>
      </w:r>
    </w:p>
    <w:p w14:paraId="51261E3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624B7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Nur die </w:t>
      </w:r>
      <w:r w:rsidR="007812E9" w:rsidRPr="009118AB">
        <w:t xml:space="preserve">[Generalverwaltung Vermögensdokumentation] </w:t>
      </w:r>
      <w:r w:rsidRPr="009118AB">
        <w:t>ist ermächtigt, gemäß den vom König festgelegten Regeln und Tarifen Auszüge aus oder Abschriften von Katasterunterlagen zu erstellen und auszustellen.</w:t>
      </w:r>
    </w:p>
    <w:p w14:paraId="5BF52CF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7CB677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Außer bei ausdrücklicher Erlaubnis der </w:t>
      </w:r>
      <w:r w:rsidR="007812E9" w:rsidRPr="009118AB">
        <w:t xml:space="preserve">[Generalverwaltung Vermögensdokumentation] </w:t>
      </w:r>
      <w:r w:rsidRPr="009118AB">
        <w:t>ist es verboten, vorerwähnte Auszüge oder Abschriften zu vervielfältigen oder sie durch ein Informatikverfahren oder ein anderes Verfahren zu bearbeiten.</w:t>
      </w:r>
    </w:p>
    <w:p w14:paraId="014DD2C6" w14:textId="77777777" w:rsidR="007812E9" w:rsidRPr="009118AB"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19B976D" w14:textId="7434AEB3" w:rsidR="007812E9" w:rsidRPr="009118AB"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504 </w:t>
      </w:r>
      <w:r w:rsidR="00D67EB8" w:rsidRPr="009118AB">
        <w:rPr>
          <w:i/>
        </w:rPr>
        <w:t>Abs. </w:t>
      </w:r>
      <w:r w:rsidRPr="009118AB">
        <w:rPr>
          <w:i/>
        </w:rPr>
        <w:t xml:space="preserve">1 bis 3 abgeändert durch </w:t>
      </w:r>
      <w:r w:rsidR="00D67EB8" w:rsidRPr="009118AB">
        <w:rPr>
          <w:i/>
        </w:rPr>
        <w:t>Art. </w:t>
      </w:r>
      <w:r w:rsidRPr="009118AB">
        <w:rPr>
          <w:i/>
        </w:rPr>
        <w:t>32</w:t>
      </w:r>
      <w:r w:rsidRPr="009118AB">
        <w:rPr>
          <w:i/>
          <w:iCs/>
        </w:rPr>
        <w:t xml:space="preserve"> des G. vom 25. April 2014 (I) (B.S. vom 16. Mai 2014)</w:t>
      </w:r>
      <w:r w:rsidR="00D67EB8" w:rsidRPr="009118AB">
        <w:rPr>
          <w:i/>
          <w:iCs/>
        </w:rPr>
        <w:t> - </w:t>
      </w:r>
      <w:r w:rsidRPr="009118AB">
        <w:rPr>
          <w:i/>
          <w:iCs/>
        </w:rPr>
        <w:t>in Kraft am 16. Mai 2014</w:t>
      </w:r>
      <w:r w:rsidR="00FD68E8" w:rsidRPr="009118AB">
        <w:rPr>
          <w:i/>
          <w:iCs/>
        </w:rPr>
        <w:t> -]</w:t>
      </w:r>
    </w:p>
    <w:p w14:paraId="690CEB7E" w14:textId="77777777" w:rsidR="007812E9" w:rsidRPr="009118AB"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2FB31D46" w14:textId="416105FF" w:rsidR="00477B8F" w:rsidRPr="009118AB" w:rsidRDefault="00477B8F" w:rsidP="00597C8C">
      <w:pPr>
        <w:autoSpaceDE w:val="0"/>
        <w:autoSpaceDN w:val="0"/>
        <w:adjustRightInd w:val="0"/>
        <w:jc w:val="center"/>
      </w:pPr>
      <w:r w:rsidRPr="009118AB">
        <w:br w:type="page"/>
      </w:r>
      <w:r w:rsidRPr="009118AB">
        <w:rPr>
          <w:b/>
          <w:bCs/>
        </w:rPr>
        <w:t>TITEL X</w:t>
      </w:r>
      <w:r w:rsidR="00D67EB8" w:rsidRPr="009118AB">
        <w:rPr>
          <w:b/>
          <w:bCs/>
        </w:rPr>
        <w:t> - </w:t>
      </w:r>
      <w:r w:rsidRPr="009118AB">
        <w:rPr>
          <w:b/>
          <w:bCs/>
          <w:i/>
          <w:iCs/>
        </w:rPr>
        <w:t>Übergangsbestimmungen</w:t>
      </w:r>
    </w:p>
    <w:p w14:paraId="0576D62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B027A3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916BCCF" w14:textId="0EB8B4F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505</w:t>
      </w:r>
      <w:r w:rsidR="00D67EB8" w:rsidRPr="009118AB">
        <w:t> - § </w:t>
      </w:r>
      <w:r w:rsidRPr="009118AB">
        <w:t>1</w:t>
      </w:r>
      <w:r w:rsidR="00D67EB8" w:rsidRPr="009118AB">
        <w:t> - </w:t>
      </w:r>
      <w:r w:rsidRPr="009118AB">
        <w:t>Steuerpflichtige Mehrwerte, für die ein Steuerpflichtiger nachweist, dass sie durch die aus dem Währungsgesetz vom 30. März 1935 hervorgehende Geldabwertung verursacht wurden, sind in Grenzen und unter Bedingungen, die nachstehend erwähnt sind, steuerfrei:</w:t>
      </w:r>
    </w:p>
    <w:p w14:paraId="2856399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EB9738" w14:textId="0E81D9E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1. Steuerfrei sind nur Mehrwerte in Bezug auf Vorräte und Bestände jeglicher Art und auf Aktiva erwähnt in Artikel 27 </w:t>
      </w:r>
      <w:r w:rsidR="00D67EB8" w:rsidRPr="009118AB">
        <w:t>§ </w:t>
      </w:r>
      <w:r w:rsidRPr="009118AB">
        <w:t>1 Absatz 2 der am 15. Januar 1948 koordinierten Gesetze über die Einkommensteuern, so wie er vor seiner Aufhebung durch das Gesetz vom 20. November 1962 zur Reform der Einkommensteuern bestand, nach Abzug der Zunahme der Passiva, die aus der Erhöhung [in Euro] der auf ausländische Währung lautenden Schulden hervorgeht.</w:t>
      </w:r>
    </w:p>
    <w:p w14:paraId="7F14F88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28EAA21" w14:textId="265BA65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2. Die Steuerbefreiung, die auf keinen Fall die in </w:t>
      </w:r>
      <w:r w:rsidR="00D67EB8" w:rsidRPr="009118AB">
        <w:t>Nr. </w:t>
      </w:r>
      <w:r w:rsidRPr="009118AB">
        <w:t xml:space="preserve">1 vorgesehene Differenz übersteigen darf, wird zu 20 Prozent des Durchschnittsbetrags der Summen gewährt, für die die Aktiva, die denen entsprechen, die eine Wertsteigerung erfahren haben, in den Bilanzen oder Inventaren aufgeführt worden sind, die für die letzten zwei Jahre oder Geschäftsjahre erstellt wurden, deren Abschluss unmittelbar vor dem 30. März 1935 lag, wie diese Unterlagen von der </w:t>
      </w:r>
      <w:r w:rsidR="008565BF" w:rsidRPr="009118AB">
        <w:t>[mit der Festlegung der Einkommensteu</w:t>
      </w:r>
      <w:r w:rsidR="003B0B00" w:rsidRPr="009118AB">
        <w:t xml:space="preserve">ern beauftragten Verwaltung] </w:t>
      </w:r>
      <w:r w:rsidRPr="009118AB">
        <w:t xml:space="preserve">zugelassen wurden; der Prozentsatz der Befreiung wird jedoch auf 30 Prozent erhöht für die im selben Artikel 27 </w:t>
      </w:r>
      <w:r w:rsidR="00D67EB8" w:rsidRPr="009118AB">
        <w:t>§ </w:t>
      </w:r>
      <w:r w:rsidRPr="009118AB">
        <w:t>1 Absatz 2 erwähnten Aktiva und für Bestände an Edelsteinen und Edelmetallen, die im Hinblick auf die industrielle Verarbeitung vorrätig gehalten werden.</w:t>
      </w:r>
    </w:p>
    <w:p w14:paraId="1621AD9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0D98DB" w14:textId="277F3F6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2</w:t>
      </w:r>
      <w:r w:rsidR="00D67EB8" w:rsidRPr="009118AB">
        <w:t> - </w:t>
      </w:r>
      <w:r w:rsidRPr="009118AB">
        <w:t xml:space="preserve">Die einschränkenden Bestimmungen von Artikel 190 sind auf die steuerfreien Mehrwerte nach </w:t>
      </w:r>
      <w:r w:rsidR="00D67EB8" w:rsidRPr="009118AB">
        <w:t>§ </w:t>
      </w:r>
      <w:r w:rsidRPr="009118AB">
        <w:t>1 anwendbar.</w:t>
      </w:r>
    </w:p>
    <w:p w14:paraId="15ADCDF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C376B7" w14:textId="527053A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505 </w:t>
      </w:r>
      <w:r w:rsidR="00D67EB8" w:rsidRPr="009118AB">
        <w:rPr>
          <w:i/>
          <w:iCs/>
        </w:rPr>
        <w:t>§ </w:t>
      </w:r>
      <w:r w:rsidRPr="009118AB">
        <w:rPr>
          <w:i/>
          <w:iCs/>
        </w:rPr>
        <w:t xml:space="preserve">1 einziger Absatz </w:t>
      </w:r>
      <w:r w:rsidR="00D67EB8" w:rsidRPr="009118AB">
        <w:rPr>
          <w:i/>
          <w:iCs/>
        </w:rPr>
        <w:t>Nr. </w:t>
      </w:r>
      <w:r w:rsidRPr="009118AB">
        <w:rPr>
          <w:i/>
          <w:iCs/>
        </w:rPr>
        <w:t xml:space="preserve">1 abgeändert durch </w:t>
      </w:r>
      <w:r w:rsidR="00D67EB8" w:rsidRPr="009118AB">
        <w:rPr>
          <w:i/>
          <w:iCs/>
        </w:rPr>
        <w:t>Art. </w:t>
      </w:r>
      <w:r w:rsidRPr="009118AB">
        <w:rPr>
          <w:i/>
          <w:iCs/>
        </w:rPr>
        <w:t xml:space="preserve">4 </w:t>
      </w:r>
      <w:r w:rsidR="00D67EB8" w:rsidRPr="009118AB">
        <w:rPr>
          <w:i/>
          <w:iCs/>
        </w:rPr>
        <w:t>Nr. </w:t>
      </w:r>
      <w:r w:rsidRPr="009118AB">
        <w:rPr>
          <w:i/>
          <w:iCs/>
        </w:rPr>
        <w:t>9 des K.E. vom 20. Juli 2000 (II) (B.S. vom 30. August 2000)</w:t>
      </w:r>
      <w:r w:rsidR="00D67EB8" w:rsidRPr="009118AB">
        <w:rPr>
          <w:i/>
          <w:iCs/>
        </w:rPr>
        <w:t> - </w:t>
      </w:r>
      <w:r w:rsidRPr="009118AB">
        <w:rPr>
          <w:i/>
          <w:iCs/>
        </w:rPr>
        <w:t>in Kraft ab dem Steuerjahr 2002</w:t>
      </w:r>
      <w:r w:rsidR="003366D9" w:rsidRPr="009118AB">
        <w:rPr>
          <w:i/>
          <w:iCs/>
        </w:rPr>
        <w:t> -;</w:t>
      </w:r>
      <w:r w:rsidR="008565BF" w:rsidRPr="009118AB">
        <w:rPr>
          <w:i/>
          <w:iCs/>
        </w:rPr>
        <w:t xml:space="preserve"> </w:t>
      </w:r>
      <w:r w:rsidR="00D67EB8" w:rsidRPr="009118AB">
        <w:rPr>
          <w:i/>
          <w:iCs/>
        </w:rPr>
        <w:t>§ </w:t>
      </w:r>
      <w:r w:rsidR="008565BF" w:rsidRPr="009118AB">
        <w:rPr>
          <w:i/>
          <w:iCs/>
        </w:rPr>
        <w:t xml:space="preserve">1 einziger Absatz </w:t>
      </w:r>
      <w:r w:rsidR="00D67EB8" w:rsidRPr="009118AB">
        <w:rPr>
          <w:i/>
          <w:iCs/>
        </w:rPr>
        <w:t>Nr. </w:t>
      </w:r>
      <w:r w:rsidR="008565BF" w:rsidRPr="009118AB">
        <w:rPr>
          <w:i/>
          <w:iCs/>
        </w:rPr>
        <w:t xml:space="preserve">2 abgeändert durch </w:t>
      </w:r>
      <w:r w:rsidR="00D67EB8" w:rsidRPr="009118AB">
        <w:rPr>
          <w:i/>
          <w:iCs/>
        </w:rPr>
        <w:t>Art. </w:t>
      </w:r>
      <w:r w:rsidR="008565BF" w:rsidRPr="009118AB">
        <w:rPr>
          <w:i/>
          <w:iCs/>
        </w:rPr>
        <w:t>33 des G. vom 25. April 2014 (I) (B.S. vom 16. Mai 2014)</w:t>
      </w:r>
      <w:r w:rsidR="00D67EB8" w:rsidRPr="009118AB">
        <w:rPr>
          <w:i/>
          <w:iCs/>
        </w:rPr>
        <w:t> - </w:t>
      </w:r>
      <w:r w:rsidR="008565BF" w:rsidRPr="009118AB">
        <w:rPr>
          <w:i/>
          <w:iCs/>
        </w:rPr>
        <w:t>in Kraft am 16. Mai 2014</w:t>
      </w:r>
      <w:r w:rsidR="00FD68E8" w:rsidRPr="009118AB">
        <w:rPr>
          <w:i/>
          <w:iCs/>
        </w:rPr>
        <w:t> -]</w:t>
      </w:r>
    </w:p>
    <w:p w14:paraId="30AE193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0AC29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1D86371" w14:textId="0B7FAED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506</w:t>
      </w:r>
      <w:r w:rsidR="00D67EB8" w:rsidRPr="009118AB">
        <w:t> - </w:t>
      </w:r>
      <w:r w:rsidRPr="009118AB">
        <w:t>Wenn die Grundsteuer aufgrund von Abkommen, die vor dem 1. Januar 1962 geschlossen wurden, zu Lasten des Mieters geht, wird diese Steuer in vorerwähnten Abkommen durch den Immobiliensteuervorabzug ersetzt und kann der Mieter ungeachtet gegenteiliger Bestimmungen dieser Abkommen nicht dazu verpflichtet werden, mehr als zwei Drittel dieses Vorabzugs zu tragen. Diese Beschränkung ist nicht auf Provinz- und Gemeindezuschlaghundertstel anwendbar.</w:t>
      </w:r>
    </w:p>
    <w:p w14:paraId="356BA33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D60710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7DD1EC3" w14:textId="3445217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507</w:t>
      </w:r>
      <w:r w:rsidR="00D67EB8" w:rsidRPr="009118AB">
        <w:t> - </w:t>
      </w:r>
      <w:r w:rsidRPr="009118AB">
        <w:t>Wenn die Mobiliensteuer aufgrund von Abkommen, die vor dem 1. Januar 1962 geschlossen wurden, zu Lasten des Schuldners der Einkünfte geht, wird diese Steuer in vorerwähnten Abkommen durch den Mobiliensteuervorabzug ersetzt und ist die in Artikel 261 vorgesehene Verpflichtung zur Einbehaltung dieses Vorabzugs in vorliegendem Fall nicht anwendbar.</w:t>
      </w:r>
    </w:p>
    <w:p w14:paraId="78F21D8A" w14:textId="77777777" w:rsidR="00477B8F" w:rsidRPr="009118AB" w:rsidRDefault="00477B8F" w:rsidP="00597C8C">
      <w:pPr>
        <w:autoSpaceDE w:val="0"/>
        <w:autoSpaceDN w:val="0"/>
        <w:adjustRightInd w:val="0"/>
        <w:jc w:val="both"/>
      </w:pPr>
      <w:r w:rsidRPr="009118AB">
        <w:br w:type="page"/>
      </w:r>
      <w:r w:rsidRPr="009118AB">
        <w:tab/>
        <w:t>Wenn die Mobiliensteuer beziehungsweise der Mobiliensteuervorabzug aufgrund von Abkommen, die vor dem 1. Januar 1967 geschlossen wurden, zu Lasten des Schuldners der Einkünfte gehen, hat Letzterer das Recht, die Differenz zwischen dem aufgrund des vorliegenden Gesetzbuches geschuldeten Mobiliensteuervorabzug und dem Mobiliensteuervorabzug, der vor dem 1. Januar 1967 zu Lasten des vorerwähnten Schuldners ging, auf steuerpflichtige Einkünfte einzubehalten.</w:t>
      </w:r>
    </w:p>
    <w:p w14:paraId="7B643D5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91A5A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König regelt die Modalitäten der Anwendung des vorliegenden Artikels.</w:t>
      </w:r>
    </w:p>
    <w:p w14:paraId="218C749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461DA4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8FF1D85" w14:textId="5163E2B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508</w:t>
      </w:r>
      <w:r w:rsidR="00D67EB8" w:rsidRPr="009118AB">
        <w:t> - </w:t>
      </w:r>
      <w:r w:rsidRPr="009118AB">
        <w:t>Pensionen, Renten, Kapitalien und Rückkaufswerte von Lebensversicherungsverträgen, die ganz oder teilweise gebildet werden durch Zahlungen erwähnt in Artikel 30</w:t>
      </w:r>
      <w:r w:rsidRPr="009118AB">
        <w:rPr>
          <w:i/>
          <w:iCs/>
        </w:rPr>
        <w:t>bis</w:t>
      </w:r>
      <w:r w:rsidRPr="009118AB">
        <w:t xml:space="preserve"> </w:t>
      </w:r>
      <w:r w:rsidR="00D67EB8" w:rsidRPr="009118AB">
        <w:t>Nr. </w:t>
      </w:r>
      <w:r w:rsidRPr="009118AB">
        <w:t xml:space="preserve">3 der am 15. Januar 1948 koordinierten Gesetze über die Einkommensteuern, so wie er vor seiner Aufhebung durch das Gesetz vom 20. November 1962 zur Reform der Einkommensteuern bestand, werden von der Steuer befreit, wenn der Steuerpflichtige aufgrund der in Artikel 169 vorgesehenen neuen Besteuerungsweise </w:t>
      </w:r>
      <w:r w:rsidR="001D7019" w:rsidRPr="009118AB">
        <w:t>[dem zuständigen Bediensteten der mit der Festlegung der Einkommensteuern beauftragten Verwaltung]</w:t>
      </w:r>
      <w:r w:rsidRPr="009118AB">
        <w:t xml:space="preserve"> vor der Besteuerung schriftlich notifiziert hat, dass er ab dem Steuerjahr 1964 auf die Steuerbefreiung dieser Zahlungen verzichtet.</w:t>
      </w:r>
    </w:p>
    <w:p w14:paraId="4E1C67B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2C37647" w14:textId="18472C61"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Dies gilt ebenfalls in Fällen, in denen die neue Bedingung, an die die Steuerbefreiung aufgrund von [Artikel 82 </w:t>
      </w:r>
      <w:r w:rsidR="00D67EB8" w:rsidRPr="009118AB">
        <w:t>Nr. </w:t>
      </w:r>
      <w:r w:rsidRPr="009118AB">
        <w:t>1 Buchstabe </w:t>
      </w:r>
      <w:r w:rsidRPr="009118AB">
        <w:rPr>
          <w:i/>
          <w:iCs/>
        </w:rPr>
        <w:t>c)</w:t>
      </w:r>
      <w:r w:rsidRPr="009118AB">
        <w:t>, so wie er vor seiner Aufhebung durch Artikel 80 des Gesetzes vom 28. Dezember 1992 bestand,] gebunden ist, verhindert, dass die Steuerbefreiung weiterhin für Zahlungen für laufende Verträge gilt.</w:t>
      </w:r>
    </w:p>
    <w:p w14:paraId="0F9D4E5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D45E6B" w14:textId="6FEAC3C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Die Steuerbefreiung gilt jedoch weiterhin für Zahlungen für laufende Verträge mit einer Dauer von weniger als zehn Jahren, die vor dem 1. Januar 1964 an die neue Bedingung erwähnt in [Artikel 82 </w:t>
      </w:r>
      <w:r w:rsidR="00D67EB8" w:rsidRPr="009118AB">
        <w:t>Nr. </w:t>
      </w:r>
      <w:r w:rsidRPr="009118AB">
        <w:t>1 Buchstabe </w:t>
      </w:r>
      <w:r w:rsidRPr="009118AB">
        <w:rPr>
          <w:i/>
          <w:iCs/>
        </w:rPr>
        <w:t>c)</w:t>
      </w:r>
      <w:r w:rsidRPr="009118AB">
        <w:t>, so wie er vor seiner Aufhebung durch Artikel 80 des Gesetzes vom 28. Dezember 1992 bestand,] angepasst wurden.</w:t>
      </w:r>
    </w:p>
    <w:p w14:paraId="0E36E26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9921DF" w14:textId="5B7310D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508 </w:t>
      </w:r>
      <w:r w:rsidR="00D67EB8" w:rsidRPr="009118AB">
        <w:rPr>
          <w:i/>
          <w:iCs/>
        </w:rPr>
        <w:t>Abs. </w:t>
      </w:r>
      <w:r w:rsidR="001D7019" w:rsidRPr="009118AB">
        <w:rPr>
          <w:i/>
          <w:iCs/>
        </w:rPr>
        <w:t xml:space="preserve">1 abgeändert durch </w:t>
      </w:r>
      <w:r w:rsidR="00D67EB8" w:rsidRPr="009118AB">
        <w:rPr>
          <w:i/>
          <w:iCs/>
        </w:rPr>
        <w:t>Art. </w:t>
      </w:r>
      <w:r w:rsidR="0016341F" w:rsidRPr="009118AB">
        <w:rPr>
          <w:i/>
          <w:iCs/>
        </w:rPr>
        <w:t xml:space="preserve">37 des G. vom 27. April 2016 (B.S. vom 6. Mai 2016); </w:t>
      </w:r>
      <w:r w:rsidR="00D67EB8" w:rsidRPr="009118AB">
        <w:rPr>
          <w:i/>
          <w:iCs/>
        </w:rPr>
        <w:t>Abs. </w:t>
      </w:r>
      <w:r w:rsidRPr="009118AB">
        <w:rPr>
          <w:i/>
          <w:iCs/>
        </w:rPr>
        <w:t xml:space="preserve">2 und 3 abgeändert durch </w:t>
      </w:r>
      <w:r w:rsidR="00D67EB8" w:rsidRPr="009118AB">
        <w:rPr>
          <w:i/>
          <w:iCs/>
        </w:rPr>
        <w:t>Art. </w:t>
      </w:r>
      <w:r w:rsidRPr="009118AB">
        <w:rPr>
          <w:i/>
          <w:iCs/>
        </w:rPr>
        <w:t>95 des G. vom 28. Dezember 1992 (B.S. vom 31. Dezember 1992)</w:t>
      </w:r>
      <w:r w:rsidR="00D67EB8" w:rsidRPr="009118AB">
        <w:rPr>
          <w:i/>
          <w:iCs/>
        </w:rPr>
        <w:t> - </w:t>
      </w:r>
      <w:r w:rsidRPr="009118AB">
        <w:rPr>
          <w:i/>
          <w:iCs/>
        </w:rPr>
        <w:t>anwendbar ab dem Steuerjahr 1993</w:t>
      </w:r>
      <w:r w:rsidR="00FD68E8" w:rsidRPr="009118AB">
        <w:rPr>
          <w:i/>
          <w:iCs/>
        </w:rPr>
        <w:t> -]</w:t>
      </w:r>
    </w:p>
    <w:p w14:paraId="0FB563A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CBC7F8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75BFBB" w14:textId="48CFF8D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D67EB8" w:rsidRPr="009118AB">
        <w:rPr>
          <w:b/>
          <w:bCs/>
        </w:rPr>
        <w:t>Art. </w:t>
      </w:r>
      <w:r w:rsidRPr="009118AB">
        <w:rPr>
          <w:b/>
          <w:bCs/>
        </w:rPr>
        <w:t>508</w:t>
      </w:r>
      <w:r w:rsidRPr="009118AB">
        <w:rPr>
          <w:b/>
          <w:bCs/>
          <w:i/>
          <w:iCs/>
        </w:rPr>
        <w:t>bis</w:t>
      </w:r>
      <w:r w:rsidR="00D67EB8" w:rsidRPr="009118AB">
        <w:t> - </w:t>
      </w:r>
      <w:r w:rsidRPr="009118AB">
        <w:t>Unbeschadet der Anwendung von Artikel 34 sind Pensionen, Renten, Kapitalien, Sparguthaben und Rückkaufswerte steuerfrei:</w:t>
      </w:r>
    </w:p>
    <w:p w14:paraId="0E49204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693318" w14:textId="0D1CCC0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1. sofern sie aus Lebensversicherungsverträgen hervorgehen, die der Steuerpflichtige oder die Person, deren Rechtsnachfolger er ist, individuell abgeschlossen hat, und für die keine Steuerbefreiung oder Steuerermäßigung aufgrund von Bestimmungen, die vor dem Steuerjahr 1990 anwendbar waren, durchgeführt wurde und kein Abzug wie in [Artikel 81 </w:t>
      </w:r>
      <w:r w:rsidR="00D67EB8" w:rsidRPr="009118AB">
        <w:t>Nr. </w:t>
      </w:r>
      <w:r w:rsidRPr="009118AB">
        <w:t>1] erwähnt, so wie er vor seiner Aufhebung durch Artikel 80 des Gesetzes vom 28. Dezember 1992 bestand, bewilligt wurde,</w:t>
      </w:r>
    </w:p>
    <w:p w14:paraId="2CD9E2A2" w14:textId="77777777" w:rsidR="00AC6226" w:rsidRPr="009118AB" w:rsidRDefault="00AC6226" w:rsidP="003727BE">
      <w:pPr>
        <w:autoSpaceDE w:val="0"/>
        <w:autoSpaceDN w:val="0"/>
        <w:adjustRightInd w:val="0"/>
        <w:jc w:val="both"/>
      </w:pPr>
    </w:p>
    <w:p w14:paraId="3DD81C32" w14:textId="6C9E0FDD" w:rsidR="00477B8F" w:rsidRPr="009118AB" w:rsidRDefault="00AC6226" w:rsidP="003727BE">
      <w:pPr>
        <w:autoSpaceDE w:val="0"/>
        <w:autoSpaceDN w:val="0"/>
        <w:adjustRightInd w:val="0"/>
        <w:jc w:val="both"/>
      </w:pPr>
      <w:r w:rsidRPr="009118AB">
        <w:br w:type="page"/>
      </w:r>
      <w:r w:rsidR="00477B8F" w:rsidRPr="009118AB">
        <w:tab/>
        <w:t xml:space="preserve">2. sofern sie aus einem Sparkonto oder Sparversicherungsvertrag hervorgehen, für das/den kein Abzug der Zahlungen wie in Artikel 104 Absatz 1 </w:t>
      </w:r>
      <w:r w:rsidR="00D67EB8" w:rsidRPr="009118AB">
        <w:t>Nr. </w:t>
      </w:r>
      <w:r w:rsidR="00477B8F" w:rsidRPr="009118AB">
        <w:t xml:space="preserve">10 vorgesehen, so wie er vor seiner Aufhebung durch Artikel 81 </w:t>
      </w:r>
      <w:r w:rsidR="00D67EB8" w:rsidRPr="009118AB">
        <w:t>Nr. </w:t>
      </w:r>
      <w:r w:rsidR="00477B8F" w:rsidRPr="009118AB">
        <w:t>2 des Gesetzes vom 28. Dezember 1992 bestand, bewilligt wurde.]</w:t>
      </w:r>
    </w:p>
    <w:p w14:paraId="26BE7E9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0BF558" w14:textId="5CC1E120"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508bis eingefügt durch </w:t>
      </w:r>
      <w:r w:rsidR="00D67EB8" w:rsidRPr="009118AB">
        <w:rPr>
          <w:i/>
          <w:iCs/>
        </w:rPr>
        <w:t>Art. </w:t>
      </w:r>
      <w:r w:rsidRPr="009118AB">
        <w:rPr>
          <w:i/>
          <w:iCs/>
        </w:rPr>
        <w:t>96 des G. vom 28. Dezember 1992 (B.S. vom 31. Dezember 1992)</w:t>
      </w:r>
      <w:r w:rsidR="00D67EB8" w:rsidRPr="009118AB">
        <w:rPr>
          <w:i/>
          <w:iCs/>
        </w:rPr>
        <w:t> - </w:t>
      </w:r>
      <w:r w:rsidRPr="009118AB">
        <w:rPr>
          <w:i/>
          <w:iCs/>
        </w:rPr>
        <w:t>anwendbar ab dem Steuerjahr 1993</w:t>
      </w:r>
      <w:r w:rsidR="003366D9" w:rsidRPr="009118AB">
        <w:rPr>
          <w:i/>
          <w:iCs/>
        </w:rPr>
        <w:t> -;</w:t>
      </w:r>
      <w:r w:rsidRPr="009118AB">
        <w:rPr>
          <w:i/>
          <w:iCs/>
        </w:rPr>
        <w:t xml:space="preserve"> einziger Absatz </w:t>
      </w:r>
      <w:r w:rsidR="00D67EB8" w:rsidRPr="009118AB">
        <w:rPr>
          <w:i/>
          <w:iCs/>
        </w:rPr>
        <w:t>Nr. </w:t>
      </w:r>
      <w:r w:rsidRPr="009118AB">
        <w:rPr>
          <w:i/>
          <w:iCs/>
        </w:rPr>
        <w:t xml:space="preserve">1 abgeändert durch </w:t>
      </w:r>
      <w:r w:rsidR="00D67EB8" w:rsidRPr="009118AB">
        <w:rPr>
          <w:i/>
          <w:iCs/>
        </w:rPr>
        <w:t>Art. </w:t>
      </w:r>
      <w:r w:rsidRPr="009118AB">
        <w:rPr>
          <w:i/>
          <w:iCs/>
        </w:rPr>
        <w:t>8 des G. vom 17. Mai 2000 (B.S. vom 16. Juni 2000)</w:t>
      </w:r>
      <w:r w:rsidR="00D67EB8" w:rsidRPr="009118AB">
        <w:rPr>
          <w:i/>
          <w:iCs/>
        </w:rPr>
        <w:t> - </w:t>
      </w:r>
      <w:r w:rsidRPr="009118AB">
        <w:rPr>
          <w:i/>
          <w:iCs/>
        </w:rPr>
        <w:t>in Kraft ab dem Steuerjahr</w:t>
      </w:r>
      <w:r w:rsidR="003727BE" w:rsidRPr="009118AB">
        <w:rPr>
          <w:i/>
          <w:iCs/>
        </w:rPr>
        <w:t> </w:t>
      </w:r>
      <w:r w:rsidRPr="009118AB">
        <w:rPr>
          <w:i/>
          <w:iCs/>
        </w:rPr>
        <w:t>2001</w:t>
      </w:r>
      <w:r w:rsidR="00FD68E8" w:rsidRPr="009118AB">
        <w:rPr>
          <w:i/>
          <w:iCs/>
        </w:rPr>
        <w:t> -]</w:t>
      </w:r>
    </w:p>
    <w:p w14:paraId="66D0268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A63091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460C7D2" w14:textId="2B0390A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509</w:t>
      </w:r>
      <w:r w:rsidR="00D67EB8" w:rsidRPr="009118AB">
        <w:t> - </w:t>
      </w:r>
      <w:r w:rsidRPr="009118AB">
        <w:t>Als abzugsfähige Werbungskosten gelten nachstehende Kosten, die während des Besteuerungszeitraums gemacht wurden:</w:t>
      </w:r>
    </w:p>
    <w:p w14:paraId="2FDE7E8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AA016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1. von Kapitalgesellschaften und von Gesellschaften, Vereinigungen, Niederlassungen oder Einrichtungen erwähnt in Artikel 227: Steuern, die von Einkünften abzugsfähig gewesen wären, die der Berufssteuer eines Steuerjahres vor 1963 unterliegen, wenn sie rechtzeitig festgelegt und übernommen worden wären, und die Grundsteuer des Steuerjahres 1962 in Bezug auf unbewegliche Güter, die in ein Unternehmen investiert wurden, dessen Geschäftsjahr 1962 vor dem 31. Dezember endet,</w:t>
      </w:r>
    </w:p>
    <w:p w14:paraId="6605856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DB428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2. von Gesellschaften erwähnt in Artikel 95, so wie er vor seiner Aufhebung durch das Gesetz vom 4. August 1986 zur Festlegung steuerrechtlicher Bestimmungen bestand: Steuern, die von Einkünften abzugsfähig gewesen wären, die der Berufssteuer eines Steuerjahres vor 1964 unterliegen, wenn sie rechtzeitig festgelegt und übernommen worden wären, und der Immobiliensteuervorabzug des Steuerjahres 1963 in Bezug auf unbewegliche Güter, die in ein Unternehmen investiert wurden, dessen Geschäftsjahr 1963 vor dem 31. Dezember endet,</w:t>
      </w:r>
    </w:p>
    <w:p w14:paraId="02939F1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44B06CD" w14:textId="6E717F9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3. von Einwohnern des Königreichs oder Nicht</w:t>
      </w:r>
      <w:r w:rsidRPr="009118AB">
        <w:noBreakHyphen/>
        <w:t xml:space="preserve">Einwohnern des Königreichs erwähnt in Artikel 3 beziehungsweise 227 </w:t>
      </w:r>
      <w:r w:rsidR="00D67EB8" w:rsidRPr="009118AB">
        <w:t>Nr. </w:t>
      </w:r>
      <w:r w:rsidRPr="009118AB">
        <w:t>1: Steuern, die von Einkünften abzugsfähig gewesen wären, die der Berufssteuer und der zusätzlichen Personensteuer eines Steuerjahres vor 1964 unterliegen, wenn sie rechtzeitig festgelegt und übernommen worden wären.</w:t>
      </w:r>
    </w:p>
    <w:p w14:paraId="7D50D15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7B287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FCBD91C" w14:textId="794E1D8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510</w:t>
      </w:r>
      <w:r w:rsidR="00D67EB8" w:rsidRPr="009118AB">
        <w:t> - </w:t>
      </w:r>
      <w:r w:rsidRPr="009118AB">
        <w:t xml:space="preserve">Die Bestimmungen von Artikel 509 sind ebenfalls anwendbar in Fällen, die vorgesehen sind in Artikel 2 Absatz 2 des Gesetzes vom 29. Dezember 1955 zur Förderung der Übernahme oder der Fusion von Gesellschaften, in Artikel 13 </w:t>
      </w:r>
      <w:r w:rsidR="00D67EB8" w:rsidRPr="009118AB">
        <w:t>§ </w:t>
      </w:r>
      <w:r w:rsidRPr="009118AB">
        <w:t>6 des Gesetzes vom 24. Januar 1958 zur Abänderung und Ergänzung des Gesetzes vom 13. August 1947 zur Einführung des Nationalen Rates für Steinkohlebergwerke und in Artikel 7 des Gesetzes vom 15. Juli 1959 zur Förderung der Übernahme oder der Fusion von Gesellschaften und der Einbringung von Teilbetrieben.</w:t>
      </w:r>
    </w:p>
    <w:p w14:paraId="3A54E16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57611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43580AE" w14:textId="410597F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511</w:t>
      </w:r>
      <w:r w:rsidR="00D67EB8" w:rsidRPr="009118AB">
        <w:t> - § </w:t>
      </w:r>
      <w:r w:rsidRPr="009118AB">
        <w:t>1</w:t>
      </w:r>
      <w:r w:rsidR="00D67EB8" w:rsidRPr="009118AB">
        <w:t> - </w:t>
      </w:r>
      <w:r w:rsidRPr="009118AB">
        <w:t>Die Bestimmungen der Artikel 23</w:t>
      </w:r>
      <w:r w:rsidRPr="009118AB">
        <w:rPr>
          <w:i/>
          <w:iCs/>
        </w:rPr>
        <w:t>bis</w:t>
      </w:r>
      <w:r w:rsidRPr="009118AB">
        <w:t>, 107</w:t>
      </w:r>
      <w:r w:rsidRPr="009118AB">
        <w:rPr>
          <w:i/>
          <w:iCs/>
        </w:rPr>
        <w:t>bis</w:t>
      </w:r>
      <w:r w:rsidRPr="009118AB">
        <w:t xml:space="preserve">, 124 </w:t>
      </w:r>
      <w:r w:rsidR="00D67EB8" w:rsidRPr="009118AB">
        <w:t>§ </w:t>
      </w:r>
      <w:r w:rsidRPr="009118AB">
        <w:t>6 und 306</w:t>
      </w:r>
      <w:r w:rsidRPr="009118AB">
        <w:rPr>
          <w:i/>
          <w:iCs/>
        </w:rPr>
        <w:t>bis</w:t>
      </w:r>
      <w:r w:rsidRPr="009118AB">
        <w:t xml:space="preserve">, so wie sie vor ihrer Aufhebung oder Abänderung durch den Königlichen Erlass </w:t>
      </w:r>
      <w:r w:rsidR="00D67EB8" w:rsidRPr="009118AB">
        <w:t>Nr. </w:t>
      </w:r>
      <w:r w:rsidRPr="009118AB">
        <w:t>48 vom 22. Juni 1982 bestanden, bleiben anwendbar in Bezug auf die Investitionsrücklage, die für das Steuerjahr 1982 steuerfrei ist.</w:t>
      </w:r>
    </w:p>
    <w:p w14:paraId="739689AB" w14:textId="77777777" w:rsidR="000B1DBB" w:rsidRPr="009118AB" w:rsidRDefault="000B1DBB" w:rsidP="003727BE">
      <w:pPr>
        <w:autoSpaceDE w:val="0"/>
        <w:autoSpaceDN w:val="0"/>
        <w:adjustRightInd w:val="0"/>
        <w:jc w:val="both"/>
      </w:pPr>
    </w:p>
    <w:p w14:paraId="712C6BFD" w14:textId="22EA493F" w:rsidR="00477B8F" w:rsidRPr="009118AB" w:rsidRDefault="00477B8F" w:rsidP="003727BE">
      <w:pPr>
        <w:autoSpaceDE w:val="0"/>
        <w:autoSpaceDN w:val="0"/>
        <w:adjustRightInd w:val="0"/>
        <w:jc w:val="both"/>
      </w:pPr>
      <w:r w:rsidRPr="009118AB">
        <w:tab/>
      </w:r>
      <w:r w:rsidR="00D67EB8" w:rsidRPr="009118AB">
        <w:t>§ </w:t>
      </w:r>
      <w:r w:rsidRPr="009118AB">
        <w:t>2</w:t>
      </w:r>
      <w:r w:rsidR="00D67EB8" w:rsidRPr="009118AB">
        <w:t> - </w:t>
      </w:r>
      <w:r w:rsidRPr="009118AB">
        <w:t>In Abweichung von Artikel 61 darf</w:t>
      </w:r>
      <w:r w:rsidR="00D67EB8" w:rsidRPr="009118AB">
        <w:t> - </w:t>
      </w:r>
      <w:r w:rsidRPr="009118AB">
        <w:t>in Bezug auf industrielle, kommerzielle oder landwirtschaftliche Ausrüstung und auf damit gleichgesetzte Industriegebäude, die vor dem normalen Datum des Abschlusses der letzten Jahresbilanz vor dem 31. Dezember 1940 erworben oder gebildet wurden und die am normalen Datum des Abschlusses der letzten Jahresbilanz vor dem 31. Dezember 1946 noch in Gebrauch waren</w:t>
      </w:r>
      <w:r w:rsidR="00D67EB8" w:rsidRPr="009118AB">
        <w:t> - </w:t>
      </w:r>
      <w:r w:rsidRPr="009118AB">
        <w:t>die Abschreibung auf einen Anschaffungs- oder Investitionswert berechnet werden, der in Grenzen und Fristen und unter Bedingungen, die der König bestimmt, neu bewertet wird.</w:t>
      </w:r>
    </w:p>
    <w:p w14:paraId="5037C75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6E6326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Der neu bewertete Wert darf nicht über zweieinhalbmal dem Wert der vorerwähnten Aktiva liegen, der auf der Grundlage der am 31. August 1939 geltenden normalen Preise und unter Berücksichtigung ihrer materiellen Überalterung und ihrer tatsächlichen Wertminderung am normalen Datum des Abschlusses der letzten Jahresbilanz vor dem 31. Dezember 1946 veranschlagt wird.</w:t>
      </w:r>
    </w:p>
    <w:p w14:paraId="4827D02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68B63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2249B8" w14:textId="3F2EDCAB"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512</w:t>
      </w:r>
      <w:r w:rsidR="00D67EB8" w:rsidRPr="009118AB">
        <w:t> - </w:t>
      </w:r>
      <w:r w:rsidRPr="009118AB">
        <w:t>Artikel 9</w:t>
      </w:r>
      <w:r w:rsidRPr="009118AB">
        <w:rPr>
          <w:i/>
          <w:iCs/>
        </w:rPr>
        <w:t>bis</w:t>
      </w:r>
      <w:r w:rsidRPr="009118AB">
        <w:t xml:space="preserve"> des Königlichen Erlasses vom 4. März 1965 zur Ausführung des Einkommensteuergesetzbuches, eingefügt durch den Königlichen Erlass vom 21. September 1966 und in Kraft gehalten durch den Königlichen Erlass vom 6. Januar 1971, ist nicht mehr auf Mehrwerte anwendbar, die nach dem 31. Dezember 1980 oder</w:t>
      </w:r>
      <w:r w:rsidR="00D67EB8" w:rsidRPr="009118AB">
        <w:t> - </w:t>
      </w:r>
      <w:r w:rsidRPr="009118AB">
        <w:t>für Steuerpflichtige, die ihre Buchhaltung anders als pro Kalenderjahr führen</w:t>
      </w:r>
      <w:r w:rsidR="00D67EB8" w:rsidRPr="009118AB">
        <w:t> - </w:t>
      </w:r>
      <w:r w:rsidRPr="009118AB">
        <w:t>nach dem Datum des Abschlusses des Geschäftsjahres, dessen Ergebnisse für das Steuerjahr 1981 steuerpflichtig sind, verwirklicht worden sind.</w:t>
      </w:r>
    </w:p>
    <w:p w14:paraId="6473027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B327B4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AB029C9" w14:textId="03FCBB34" w:rsidR="008C0F0B" w:rsidRPr="009118AB" w:rsidRDefault="00477B8F"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513</w:t>
      </w:r>
      <w:r w:rsidR="00D67EB8" w:rsidRPr="009118AB">
        <w:t> - </w:t>
      </w:r>
      <w:r w:rsidR="008C0F0B" w:rsidRPr="009118AB">
        <w:t xml:space="preserve">Wird der Veräußerungspreis in nachstehend erwähnten Formen und Fristen wieder angelegt, gelten in Abweichung von Artikel 24 Absatz 1 </w:t>
      </w:r>
      <w:r w:rsidR="00D67EB8" w:rsidRPr="009118AB">
        <w:t>Nr. </w:t>
      </w:r>
      <w:r w:rsidR="008C0F0B" w:rsidRPr="009118AB">
        <w:t>2 Mehrwerte, die [</w:t>
      </w:r>
      <w:bookmarkStart w:id="42" w:name="_Hlk41651776"/>
      <w:r w:rsidR="008C0F0B" w:rsidRPr="009118AB">
        <w:t>spätestens in einem Besteuerungszeitraum, der vor dem 1. Janu</w:t>
      </w:r>
      <w:r w:rsidR="008C0F0B" w:rsidRPr="009118AB">
        <w:softHyphen/>
        <w:t>ar 2020 beginnt,</w:t>
      </w:r>
      <w:bookmarkEnd w:id="42"/>
      <w:r w:rsidR="008C0F0B" w:rsidRPr="009118AB">
        <w:t>] auf Wertpapiere verwirklicht werden, die spätestens am 31. Dezember 1989 von öffentlichen Einrichtungen ausgegeben oder garantiert wurden und zum Zeitpunkt ihrer Veräußerung seit mehr als fünf Jahren im Besitz waren, als Gewinne des Besteuerungszeitraums, in dem sie verwirklicht werden, und jedes der fünf folgenden Besteuerungszeiträume, und zwar für jeden der vorerwähnten Besteuerungszeiträume zu einem Sechstel ihres Betrags.</w:t>
      </w:r>
    </w:p>
    <w:p w14:paraId="633FD970" w14:textId="77777777" w:rsidR="008C0F0B" w:rsidRPr="009118AB"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857A3A" w14:textId="77777777" w:rsidR="008C0F0B" w:rsidRPr="009118AB"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8C0F0B" w:rsidRPr="009118AB">
        <w:t>Die Wiederanlage des Veräußerungspreises der Wertpapiere [muss in neue Wertpapiere erfolgen, die an der Brüsseler Börse notiert sind und eine Laufzeit von mindestens fünf Jahren haben und] die von öffentlichen Einrichtungen ausgegeben oder garantiert werden […].</w:t>
      </w:r>
    </w:p>
    <w:p w14:paraId="52AEC30F" w14:textId="77777777" w:rsidR="008C0F0B" w:rsidRPr="009118AB"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7DF4F0" w14:textId="77777777" w:rsidR="008C0F0B" w:rsidRPr="009118AB"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8C0F0B" w:rsidRPr="009118AB">
        <w:t>Die Wiederanlage muss innerhalb einer Frist erfolgen, die drei Monate nach dem Datum der Veräußerung der Wertpapiere abläuft.</w:t>
      </w:r>
    </w:p>
    <w:p w14:paraId="1C2A508A" w14:textId="77777777" w:rsidR="008C0F0B" w:rsidRPr="009118AB"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607E33" w14:textId="77777777" w:rsidR="008C0F0B" w:rsidRPr="009118AB"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8C0F0B" w:rsidRPr="009118AB">
        <w:t>Als Wiederanlage erworbene Wertpapiere müssen während mindestens fünf Jahren behalten werden.</w:t>
      </w:r>
    </w:p>
    <w:p w14:paraId="76D6299D" w14:textId="77777777" w:rsidR="008C0F0B" w:rsidRPr="009118AB"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10769FE" w14:textId="77777777" w:rsidR="008C0F0B" w:rsidRPr="009118AB"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8C0F0B" w:rsidRPr="009118AB">
        <w:t>Damit vorerwähnte Regelung zugunsten der betreffenden Unternehmen angewandt wird, müssen sie bei ihrer Erklärung in Bezug auf den Besteuerungszeitraum, in dem die Wertpapiere veräußert werden, und für jeden der fünf folgenden Besteuerungszeiträume eine Aufstellung vorlegen, deren Muster für die Anwendung von Artikel 47 vom Minister der Finanzen oder von seinem Beauftragten festgelegt wird.</w:t>
      </w:r>
    </w:p>
    <w:p w14:paraId="6479F5C9" w14:textId="77777777" w:rsidR="008C0F0B" w:rsidRPr="009118AB"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5D708EC" w14:textId="77777777" w:rsidR="008C0F0B" w:rsidRPr="009118AB"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8C0F0B" w:rsidRPr="009118AB">
        <w:t>Erfolgt die Wiederanlage nicht in den vorgeschriebenen Formen und Fristen oder wird die erforderliche Aufstellung nicht vorgelegt, gilt im Falle einer Übertragung der als Wiederanlage erworbenen Wertpapiere vor Ablauf der Frist von fünf Jahren oder im Falle der Einstellung der Tätigkeit der noch nicht besteuerte Teil des verwirklichten Mehrwertes als steuerpflichtiger Gewinn des Besteuerungszeitraums, in dem je nach Fall die Wiederanlagefrist abläuft, die erforderliche Aufstellung nicht vorgelegt wird, die als Wiederanlage erworbenen Wertpapiere übertragen werden oder die Tätigkeit eingestellt wird.</w:t>
      </w:r>
    </w:p>
    <w:p w14:paraId="157E049A" w14:textId="77777777" w:rsidR="008C0F0B" w:rsidRPr="009118AB"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834AA2" w14:textId="53D70745" w:rsidR="008C0F0B" w:rsidRPr="009118AB"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rPr>
        <w:t>[</w:t>
      </w:r>
      <w:r w:rsidR="00D67EB8" w:rsidRPr="009118AB">
        <w:rPr>
          <w:i/>
        </w:rPr>
        <w:t>Art. </w:t>
      </w:r>
      <w:r w:rsidRPr="009118AB">
        <w:rPr>
          <w:i/>
        </w:rPr>
        <w:t xml:space="preserve">513 </w:t>
      </w:r>
      <w:r w:rsidR="00D67EB8" w:rsidRPr="009118AB">
        <w:rPr>
          <w:i/>
        </w:rPr>
        <w:t>Abs. </w:t>
      </w:r>
      <w:r w:rsidRPr="009118AB">
        <w:rPr>
          <w:i/>
        </w:rPr>
        <w:t xml:space="preserve">1 abgeändert durch </w:t>
      </w:r>
      <w:r w:rsidR="00D67EB8" w:rsidRPr="009118AB">
        <w:rPr>
          <w:i/>
        </w:rPr>
        <w:t>Art. </w:t>
      </w:r>
      <w:r w:rsidRPr="009118AB">
        <w:rPr>
          <w:i/>
        </w:rPr>
        <w:t>15 des G. vom 30. Juli 2018 (I) (B.S. vom 10. August 2018)</w:t>
      </w:r>
      <w:r w:rsidR="00D67EB8" w:rsidRPr="009118AB">
        <w:rPr>
          <w:i/>
        </w:rPr>
        <w:t> - </w:t>
      </w:r>
      <w:r w:rsidRPr="009118AB">
        <w:rPr>
          <w:i/>
        </w:rPr>
        <w:t>in Kraft am 1. Januar 2020 und anwendbar ab dem Steuerjahr 2021, das sich auf einen Besteuerungszeitraum bezieht, der frühestens am 1. Januar 2020 beginnt</w:t>
      </w:r>
      <w:r w:rsidR="003366D9" w:rsidRPr="009118AB">
        <w:rPr>
          <w:i/>
        </w:rPr>
        <w:t> -;</w:t>
      </w:r>
      <w:r w:rsidRPr="009118AB">
        <w:rPr>
          <w:i/>
        </w:rPr>
        <w:t xml:space="preserve"> </w:t>
      </w:r>
      <w:r w:rsidR="00D67EB8" w:rsidRPr="009118AB">
        <w:rPr>
          <w:i/>
        </w:rPr>
        <w:t>Abs. </w:t>
      </w:r>
      <w:r w:rsidRPr="009118AB">
        <w:rPr>
          <w:i/>
        </w:rPr>
        <w:t xml:space="preserve">2 abgeändert durch </w:t>
      </w:r>
      <w:r w:rsidR="00D67EB8" w:rsidRPr="009118AB">
        <w:rPr>
          <w:i/>
        </w:rPr>
        <w:t>Art. </w:t>
      </w:r>
      <w:r w:rsidRPr="009118AB">
        <w:rPr>
          <w:i/>
        </w:rPr>
        <w:t>34</w:t>
      </w:r>
      <w:r w:rsidRPr="009118AB">
        <w:rPr>
          <w:i/>
          <w:iCs/>
        </w:rPr>
        <w:t xml:space="preserve"> des G. vom 25. April 2014 (I) (B.S. vom 16. Mai 2014)</w:t>
      </w:r>
      <w:r w:rsidR="00D67EB8" w:rsidRPr="009118AB">
        <w:rPr>
          <w:i/>
          <w:iCs/>
        </w:rPr>
        <w:t> - </w:t>
      </w:r>
      <w:r w:rsidRPr="009118AB">
        <w:rPr>
          <w:i/>
          <w:iCs/>
        </w:rPr>
        <w:t>in Kraft am 16. Mai 2014</w:t>
      </w:r>
      <w:r w:rsidR="00D67EB8" w:rsidRPr="009118AB">
        <w:rPr>
          <w:i/>
          <w:iCs/>
        </w:rPr>
        <w:t> - </w:t>
      </w:r>
      <w:r w:rsidRPr="009118AB">
        <w:rPr>
          <w:i/>
          <w:iCs/>
        </w:rPr>
        <w:t xml:space="preserve">und </w:t>
      </w:r>
      <w:r w:rsidR="00D67EB8" w:rsidRPr="009118AB">
        <w:rPr>
          <w:i/>
          <w:iCs/>
        </w:rPr>
        <w:t>Art. </w:t>
      </w:r>
      <w:r w:rsidRPr="009118AB">
        <w:rPr>
          <w:i/>
          <w:iCs/>
        </w:rPr>
        <w:t xml:space="preserve">14 </w:t>
      </w:r>
      <w:r w:rsidR="00D67EB8" w:rsidRPr="009118AB">
        <w:rPr>
          <w:i/>
          <w:iCs/>
        </w:rPr>
        <w:t>Nr. </w:t>
      </w:r>
      <w:r w:rsidRPr="009118AB">
        <w:rPr>
          <w:i/>
          <w:iCs/>
        </w:rPr>
        <w:t>1 und 2 des G. vom 22. Oktober 2017 (B.S. vom 18. Dezember 2017)]</w:t>
      </w:r>
    </w:p>
    <w:p w14:paraId="2DD2F5A8" w14:textId="77777777" w:rsidR="008C0F0B" w:rsidRPr="009118AB" w:rsidRDefault="008C0F0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1126E87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p>
    <w:p w14:paraId="1CB15DE0" w14:textId="5F2271F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514</w:t>
      </w:r>
      <w:r w:rsidR="00D67EB8" w:rsidRPr="009118AB">
        <w:t> - </w:t>
      </w:r>
      <w:r w:rsidR="004D0569" w:rsidRPr="009118AB">
        <w:t>[..</w:t>
      </w:r>
      <w:r w:rsidRPr="009118AB">
        <w:t>.]</w:t>
      </w:r>
    </w:p>
    <w:p w14:paraId="5B6B0DC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FC55FF" w14:textId="60294DF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514 </w:t>
      </w:r>
      <w:r w:rsidR="004D0569" w:rsidRPr="009118AB">
        <w:rPr>
          <w:i/>
          <w:iCs/>
        </w:rPr>
        <w:t xml:space="preserve">aufgehoben durch </w:t>
      </w:r>
      <w:r w:rsidR="00D67EB8" w:rsidRPr="009118AB">
        <w:rPr>
          <w:i/>
          <w:iCs/>
        </w:rPr>
        <w:t>Art. </w:t>
      </w:r>
      <w:r w:rsidR="004D0569" w:rsidRPr="009118AB">
        <w:rPr>
          <w:i/>
          <w:iCs/>
        </w:rPr>
        <w:t>42 des G. vom 14. April 2011 (B.S. vom 6. Mai 2011)</w:t>
      </w:r>
      <w:r w:rsidRPr="009118AB">
        <w:rPr>
          <w:i/>
          <w:iCs/>
        </w:rPr>
        <w:t>]</w:t>
      </w:r>
    </w:p>
    <w:p w14:paraId="4F7BF52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17880A7" w14:textId="77777777" w:rsidR="008C0F0B" w:rsidRPr="009118AB" w:rsidRDefault="008C0F0B"/>
    <w:p w14:paraId="66EC7C4E" w14:textId="56610A5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rPr>
          <w:b/>
          <w:bCs/>
        </w:rPr>
        <w:t>Art. </w:t>
      </w:r>
      <w:r w:rsidRPr="009118AB">
        <w:rPr>
          <w:b/>
          <w:bCs/>
        </w:rPr>
        <w:t>515</w:t>
      </w:r>
      <w:r w:rsidR="00D67EB8" w:rsidRPr="009118AB">
        <w:t> - </w:t>
      </w:r>
      <w:r w:rsidRPr="009118AB">
        <w:t>[</w:t>
      </w:r>
      <w:r w:rsidR="00D67EB8" w:rsidRPr="009118AB">
        <w:t>§ </w:t>
      </w:r>
      <w:r w:rsidRPr="009118AB">
        <w:t>1]</w:t>
      </w:r>
      <w:r w:rsidR="00D67EB8" w:rsidRPr="009118AB">
        <w:t> - </w:t>
      </w:r>
      <w:r w:rsidRPr="009118AB">
        <w:t xml:space="preserve">In Abweichung von Artikel 47 </w:t>
      </w:r>
      <w:r w:rsidR="00D67EB8" w:rsidRPr="009118AB">
        <w:t>§ </w:t>
      </w:r>
      <w:r w:rsidRPr="009118AB">
        <w:t xml:space="preserve">1 </w:t>
      </w:r>
      <w:r w:rsidR="00D67EB8" w:rsidRPr="009118AB">
        <w:t>Nr. </w:t>
      </w:r>
      <w:r w:rsidRPr="009118AB">
        <w:t>4 des Gesetzes vom 27. Dezember 1984 zur Festlegung steuerrechtlicher Bestimmungen:</w:t>
      </w:r>
    </w:p>
    <w:p w14:paraId="19699CE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3B5C262" w14:textId="3B71715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1. wird die Umwandlungsrente der in Artikel 171 </w:t>
      </w:r>
      <w:r w:rsidR="00D67EB8" w:rsidRPr="009118AB">
        <w:t>Nr. </w:t>
      </w:r>
      <w:r w:rsidRPr="009118AB">
        <w:t>4 Buchstabe </w:t>
      </w:r>
      <w:r w:rsidRPr="009118AB">
        <w:rPr>
          <w:i/>
          <w:iCs/>
        </w:rPr>
        <w:t>f)</w:t>
      </w:r>
      <w:r w:rsidRPr="009118AB">
        <w:t xml:space="preserve"> bis </w:t>
      </w:r>
      <w:r w:rsidRPr="009118AB">
        <w:rPr>
          <w:i/>
          <w:iCs/>
        </w:rPr>
        <w:t>h)</w:t>
      </w:r>
      <w:r w:rsidRPr="009118AB">
        <w:t xml:space="preserve"> erwähnten Kapitalien, Rückkaufswerte und anderen einmaligen Zuweisungen, die vor dem 1. Januar 1985 gezahlt oder zuerkannt wurden, zusammen mit den anderen Einkünften des Empfängers besteuert ab dem Besteuerungszeitraum, in dem der Betrag, der diese Rente bildet, gezahlt oder zuerkannt wird:</w:t>
      </w:r>
    </w:p>
    <w:p w14:paraId="6EEEE95D" w14:textId="77777777" w:rsidR="000B1DBB" w:rsidRPr="009118AB" w:rsidRDefault="000B1DB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7B84B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a)</w:t>
      </w:r>
      <w:r w:rsidRPr="009118AB">
        <w:t xml:space="preserve"> wenn die Umwandlungsrente gemäß den Bestimmungen von Artikel 169 5 Prozent beträgt, während zehn aufeinander folgender Besteuerungszeiträume oder bis zum Besteuerungszeitraum, in dem der Empfänger verstirbt, wenn dieses Ereignis vor Ablauf dieses Zeitraums von zehn Besteuerungszeiträumen eintritt,</w:t>
      </w:r>
    </w:p>
    <w:p w14:paraId="439FBBC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1F44DF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b)</w:t>
      </w:r>
      <w:r w:rsidRPr="009118AB">
        <w:t xml:space="preserve"> wenn die Umwandlungsrente gemäß den Bestimmungen von Artikel 169 unter 5 Prozent liegt, während dreizehn aufeinander folgender Besteuerungszeiträume oder bis zum Besteuerungszeitraum, in dem der Empfänger verstirbt, wenn dieses Ereignis vor Ablauf dieses Zeitraums von dreizehn Besteuerungszeiträumen eintritt,</w:t>
      </w:r>
    </w:p>
    <w:p w14:paraId="7460A45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8CCD95" w14:textId="050EF7DF"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2. wird die Umwandlungsrente der vor dem 1. Januar 1985 gezahlten oder zuerkannten Kapitalabfindungen, die nicht durch einen Versicherungsvertrag zugunsten des Schuldners oder durch die Vorschriften eines Vorsorgefonds, der zugunsten des Personals des Unternehmens eingerichtet wurde, garantiert sind und die in Artikel 169 </w:t>
      </w:r>
      <w:r w:rsidR="00D67EB8" w:rsidRPr="009118AB">
        <w:t>§ </w:t>
      </w:r>
      <w:r w:rsidRPr="009118AB">
        <w:t xml:space="preserve">1 </w:t>
      </w:r>
      <w:r w:rsidR="00D67EB8" w:rsidRPr="009118AB">
        <w:t>Nr. </w:t>
      </w:r>
      <w:r w:rsidRPr="009118AB">
        <w:t>2, so wie die Bestimmung vor ihrer Abänderung durch Artikel 16 des Gesetzes vom 27. Dezember 1984 zur Festlegung steuerrechtlicher Bestimmungen bestand, erwähnt sind, zusammen mit den anderen Einkünften des Empfängers besteuert ab dem Besteuerungszeitraum, in dem der Betrag, der diese Rente bildet, gezahlt oder zuerkannt wird:</w:t>
      </w:r>
    </w:p>
    <w:p w14:paraId="46B7A74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98C94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a)</w:t>
      </w:r>
      <w:r w:rsidRPr="009118AB">
        <w:t xml:space="preserve"> wenn die Umwandlungsrente gemäß den Bestimmungen des vorerwähnten Artikels 169 6,57 Prozent oder mehr beträgt, während zehn aufeinander folgender Besteuerungszeiträume oder bis zum Besteuerungszeitraum, in dem der Empfänger verstirbt, wenn dieses Ereignis vor Ablauf dieses Zeitraums von zehn Besteuerungszeiträumen eintritt,</w:t>
      </w:r>
    </w:p>
    <w:p w14:paraId="166D652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DCE7F4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b)</w:t>
      </w:r>
      <w:r w:rsidRPr="009118AB">
        <w:t xml:space="preserve"> wenn die Umwandlungsrente gemäß den Bestimmungen des vorerwähnten Artikels 169 unter 6,57 Prozent liegt, während dreizehn aufeinander folgender Besteuerungszeiträume oder bis zum Besteuerungszeitraum, in dem der Empfänger verstirbt, wenn dieses Ereignis vor Ablauf dieses Zeitraums von dreizehn Besteuerungszeiträumen eintritt.</w:t>
      </w:r>
    </w:p>
    <w:p w14:paraId="75F4C4A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A28B44C" w14:textId="29D258F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D67EB8" w:rsidRPr="009118AB">
        <w:t>§ </w:t>
      </w:r>
      <w:r w:rsidRPr="009118AB">
        <w:t>2</w:t>
      </w:r>
      <w:r w:rsidR="00D67EB8" w:rsidRPr="009118AB">
        <w:t> - </w:t>
      </w:r>
      <w:r w:rsidRPr="009118AB">
        <w:t xml:space="preserve">Die Umwandlungsrente der Kapitalien und Rückkaufswerte erwähnt in Artikel 171 </w:t>
      </w:r>
      <w:r w:rsidR="00D67EB8" w:rsidRPr="009118AB">
        <w:t>Nr. </w:t>
      </w:r>
      <w:r w:rsidRPr="009118AB">
        <w:t>4 Buchstabe </w:t>
      </w:r>
      <w:r w:rsidRPr="009118AB">
        <w:rPr>
          <w:i/>
          <w:iCs/>
        </w:rPr>
        <w:t>fbis)</w:t>
      </w:r>
      <w:r w:rsidRPr="009118AB">
        <w:t xml:space="preserve">[, so wie er vor seiner Aufhebung durch Artikel 89 </w:t>
      </w:r>
      <w:r w:rsidR="00D67EB8" w:rsidRPr="009118AB">
        <w:t>Nr. </w:t>
      </w:r>
      <w:r w:rsidRPr="009118AB">
        <w:t>4 des Gesetzes vom 28. Dezember 1992 bestand], die vor dem 1. August 1992 gezahlt oder zuerkannt wurden, wird zusammen mit den anderen Einkünften des Empfängers besteuert ab dem Besteuerungszeitraum, in dem der Betrag, der diese Rente bildet, gezahlt oder zuerkannt wird:</w:t>
      </w:r>
    </w:p>
    <w:p w14:paraId="1699B70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0F6535" w14:textId="485EC85A"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a)</w:t>
      </w:r>
      <w:r w:rsidRPr="009118AB">
        <w:t xml:space="preserve"> wenn die Umwandlungsrente gemäß den Bestimmungen von Artikel 169 </w:t>
      </w:r>
      <w:r w:rsidR="00D67EB8" w:rsidRPr="009118AB">
        <w:t>§ </w:t>
      </w:r>
      <w:r w:rsidRPr="009118AB">
        <w:t>1 5 Prozent beträgt, während zehn aufeinander folgender Besteuerungszeiträume oder bis zum Besteuerungszeitraum, in dem der Empfänger verstirbt, wenn dieses Ereignis vor Ablauf dieses Zeitraums von zehn Besteuerungszeiträumen eintritt,</w:t>
      </w:r>
    </w:p>
    <w:p w14:paraId="43AA57AE" w14:textId="77777777" w:rsidR="000B1DBB" w:rsidRPr="009118AB" w:rsidRDefault="000B1DB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8F2753D"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Pr="009118AB">
        <w:rPr>
          <w:i/>
          <w:iCs/>
        </w:rPr>
        <w:t>b)</w:t>
      </w:r>
      <w:r w:rsidRPr="009118AB">
        <w:t xml:space="preserve"> wenn die Umwandlungsrente gemäß vorerwähnten Bestimmungen unter 5 Prozent liegt, während dreizehn aufeinander folgender Besteuerungszeiträume oder bis zum Besteuerungszeitraum, in dem der Empfänger verstirbt, wenn dieses Ereignis vor Ablauf dieses Zeitraums von dreizehn Besteuerungszeiträumen eintritt.]</w:t>
      </w:r>
    </w:p>
    <w:p w14:paraId="0888ACD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p>
    <w:p w14:paraId="7E5C2599" w14:textId="682800B3"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515 </w:t>
      </w:r>
      <w:r w:rsidR="00D67EB8" w:rsidRPr="009118AB">
        <w:rPr>
          <w:i/>
          <w:iCs/>
        </w:rPr>
        <w:t>§ </w:t>
      </w:r>
      <w:r w:rsidRPr="009118AB">
        <w:rPr>
          <w:i/>
          <w:iCs/>
        </w:rPr>
        <w:t xml:space="preserve">1 nummeriert durch </w:t>
      </w:r>
      <w:r w:rsidR="00D67EB8" w:rsidRPr="009118AB">
        <w:rPr>
          <w:i/>
          <w:iCs/>
        </w:rPr>
        <w:t>Art. </w:t>
      </w:r>
      <w:r w:rsidRPr="009118AB">
        <w:rPr>
          <w:i/>
          <w:iCs/>
        </w:rPr>
        <w:t xml:space="preserve">40 des G. vom 28. Juli 1992 </w:t>
      </w:r>
      <w:r w:rsidR="00B64F05" w:rsidRPr="009118AB">
        <w:rPr>
          <w:i/>
          <w:iCs/>
        </w:rPr>
        <w:t>(B.S. vom 31. Juli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 </w:t>
      </w:r>
      <w:r w:rsidRPr="009118AB">
        <w:rPr>
          <w:i/>
          <w:iCs/>
        </w:rPr>
        <w:t xml:space="preserve">2 eingefügt durch </w:t>
      </w:r>
      <w:r w:rsidR="00D67EB8" w:rsidRPr="009118AB">
        <w:rPr>
          <w:i/>
          <w:iCs/>
        </w:rPr>
        <w:t>Art. </w:t>
      </w:r>
      <w:r w:rsidRPr="009118AB">
        <w:rPr>
          <w:i/>
          <w:iCs/>
        </w:rPr>
        <w:t>40 des G. vom 28. Juli 1992 (B.S. vom 31. Juli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 </w:t>
      </w:r>
      <w:r w:rsidRPr="009118AB">
        <w:rPr>
          <w:i/>
          <w:iCs/>
        </w:rPr>
        <w:t xml:space="preserve">2 einziger Absatz einleitende Bestimmung abgeändert durch </w:t>
      </w:r>
      <w:r w:rsidR="00D67EB8" w:rsidRPr="009118AB">
        <w:rPr>
          <w:i/>
          <w:iCs/>
        </w:rPr>
        <w:t>Art. </w:t>
      </w:r>
      <w:r w:rsidRPr="009118AB">
        <w:rPr>
          <w:i/>
          <w:iCs/>
        </w:rPr>
        <w:t>97 des G. vom 28. Dezember 1992 (B.S. vom 31. Dezember 1992)</w:t>
      </w:r>
      <w:r w:rsidR="00D67EB8" w:rsidRPr="009118AB">
        <w:rPr>
          <w:i/>
          <w:iCs/>
        </w:rPr>
        <w:t> - </w:t>
      </w:r>
      <w:r w:rsidRPr="009118AB">
        <w:rPr>
          <w:i/>
          <w:iCs/>
        </w:rPr>
        <w:t>anwendbar ab dem Steuerjahr 1993</w:t>
      </w:r>
      <w:r w:rsidR="00FD68E8" w:rsidRPr="009118AB">
        <w:rPr>
          <w:i/>
          <w:iCs/>
        </w:rPr>
        <w:t> -]</w:t>
      </w:r>
    </w:p>
    <w:p w14:paraId="301B48D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1C5DCBC"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B1EB78" w14:textId="40698E01" w:rsidR="00BD7B68" w:rsidRPr="009118AB" w:rsidRDefault="00477B8F" w:rsidP="00BD7B68">
      <w:pPr>
        <w:autoSpaceDE w:val="0"/>
        <w:autoSpaceDN w:val="0"/>
        <w:adjustRightInd w:val="0"/>
        <w:jc w:val="both"/>
        <w:rPr>
          <w:iCs/>
        </w:rPr>
      </w:pPr>
      <w:r w:rsidRPr="009118AB">
        <w:tab/>
        <w:t>[</w:t>
      </w:r>
      <w:r w:rsidR="00D67EB8" w:rsidRPr="009118AB">
        <w:rPr>
          <w:b/>
          <w:bCs/>
        </w:rPr>
        <w:t>Art. </w:t>
      </w:r>
      <w:r w:rsidRPr="009118AB">
        <w:rPr>
          <w:b/>
          <w:bCs/>
        </w:rPr>
        <w:t>515</w:t>
      </w:r>
      <w:r w:rsidRPr="009118AB">
        <w:rPr>
          <w:b/>
          <w:bCs/>
          <w:i/>
          <w:iCs/>
        </w:rPr>
        <w:t>bis</w:t>
      </w:r>
      <w:r w:rsidR="00D67EB8" w:rsidRPr="009118AB">
        <w:t> - </w:t>
      </w:r>
      <w:r w:rsidR="00BD7B68" w:rsidRPr="009118AB">
        <w:rPr>
          <w:iCs/>
        </w:rPr>
        <w:t>Artikel 31 Absatz 3, so wie er vor seiner Abänderung durch Artikel 74 des Gesetzes vom 28. Dezember 1992 bestand, bleibt anwendbar in dem Maße, wie die dort erwähnten Entlohnungen ihren Ursprung in einer Übertragung von Aktien oder Anteilen finden, deren gezahlter Preis vorher von den Berufseinkünften abgezogen worden ist.</w:t>
      </w:r>
    </w:p>
    <w:p w14:paraId="4AA325E5" w14:textId="77777777" w:rsidR="00BD7B68" w:rsidRPr="009118AB" w:rsidRDefault="00BD7B68" w:rsidP="00BD7B68">
      <w:pPr>
        <w:autoSpaceDE w:val="0"/>
        <w:autoSpaceDN w:val="0"/>
        <w:adjustRightInd w:val="0"/>
        <w:jc w:val="both"/>
        <w:rPr>
          <w:iCs/>
        </w:rPr>
      </w:pPr>
    </w:p>
    <w:p w14:paraId="6FF1B115" w14:textId="4A60B19B" w:rsidR="00BD7B68" w:rsidRPr="009118AB" w:rsidRDefault="00B20101" w:rsidP="00BD7B68">
      <w:pPr>
        <w:autoSpaceDE w:val="0"/>
        <w:autoSpaceDN w:val="0"/>
        <w:adjustRightInd w:val="0"/>
        <w:jc w:val="both"/>
        <w:rPr>
          <w:iCs/>
        </w:rPr>
      </w:pPr>
      <w:r w:rsidRPr="009118AB">
        <w:rPr>
          <w:iCs/>
        </w:rPr>
        <w:tab/>
      </w:r>
      <w:r w:rsidR="00BD7B68" w:rsidRPr="009118AB">
        <w:rPr>
          <w:iCs/>
        </w:rPr>
        <w:t xml:space="preserve">Artikel 34 </w:t>
      </w:r>
      <w:r w:rsidR="00D67EB8" w:rsidRPr="009118AB">
        <w:rPr>
          <w:iCs/>
        </w:rPr>
        <w:t>§ </w:t>
      </w:r>
      <w:r w:rsidR="00BD7B68" w:rsidRPr="009118AB">
        <w:rPr>
          <w:iCs/>
        </w:rPr>
        <w:t xml:space="preserve">1 </w:t>
      </w:r>
      <w:r w:rsidR="00D67EB8" w:rsidRPr="009118AB">
        <w:rPr>
          <w:iCs/>
        </w:rPr>
        <w:t>Nr. </w:t>
      </w:r>
      <w:r w:rsidR="00BD7B68" w:rsidRPr="009118AB">
        <w:rPr>
          <w:iCs/>
        </w:rPr>
        <w:t xml:space="preserve">2, so wie er vor seiner Abänderung durch Artikel 75 </w:t>
      </w:r>
      <w:r w:rsidR="00D67EB8" w:rsidRPr="009118AB">
        <w:rPr>
          <w:iCs/>
        </w:rPr>
        <w:t>Nr. </w:t>
      </w:r>
      <w:r w:rsidR="00BD7B68" w:rsidRPr="009118AB">
        <w:rPr>
          <w:iCs/>
        </w:rPr>
        <w:t xml:space="preserve">1 des Gesetzes vom 28. Dezember 1992 bestand, bleibt anwendbar in dem Maße, wie die dort erwähnten Pensionen, Renten, Kapitalien und Rückkaufswerte ganz oder teilweise durch persönliche Beiträge zur Alters- und Todesfallzusatzversicherung erwähnt in Artikel 52 </w:t>
      </w:r>
      <w:r w:rsidR="00D67EB8" w:rsidRPr="009118AB">
        <w:rPr>
          <w:iCs/>
        </w:rPr>
        <w:t>Nr. </w:t>
      </w:r>
      <w:r w:rsidR="00BD7B68" w:rsidRPr="009118AB">
        <w:rPr>
          <w:iCs/>
        </w:rPr>
        <w:t xml:space="preserve">9, bevor er durch Artikel 78 des Gesetzes vom 28. Dezember 1992 aufgehoben wurde, und in [Artikel 81 </w:t>
      </w:r>
      <w:r w:rsidR="00D67EB8" w:rsidRPr="009118AB">
        <w:rPr>
          <w:iCs/>
        </w:rPr>
        <w:t>Nr. </w:t>
      </w:r>
      <w:r w:rsidR="00BD7B68" w:rsidRPr="009118AB">
        <w:rPr>
          <w:iCs/>
        </w:rPr>
        <w:t>1], bevor er durch Artikel 80 des vorerwähnten Gesetzes aufgehoben wurde, gebildet sind.</w:t>
      </w:r>
    </w:p>
    <w:p w14:paraId="26236C3D" w14:textId="77777777" w:rsidR="00BD7B68" w:rsidRPr="009118AB" w:rsidRDefault="00BD7B68" w:rsidP="00BD7B68">
      <w:pPr>
        <w:autoSpaceDE w:val="0"/>
        <w:autoSpaceDN w:val="0"/>
        <w:adjustRightInd w:val="0"/>
        <w:jc w:val="both"/>
        <w:rPr>
          <w:iCs/>
        </w:rPr>
      </w:pPr>
    </w:p>
    <w:p w14:paraId="37FC3282" w14:textId="5C6DE339" w:rsidR="00BD7B68" w:rsidRPr="009118AB" w:rsidRDefault="00B20101" w:rsidP="00BD7B68">
      <w:pPr>
        <w:autoSpaceDE w:val="0"/>
        <w:autoSpaceDN w:val="0"/>
        <w:adjustRightInd w:val="0"/>
        <w:jc w:val="both"/>
        <w:rPr>
          <w:iCs/>
        </w:rPr>
      </w:pPr>
      <w:r w:rsidRPr="009118AB">
        <w:rPr>
          <w:iCs/>
        </w:rPr>
        <w:tab/>
      </w:r>
      <w:r w:rsidR="00BD7B68" w:rsidRPr="009118AB">
        <w:rPr>
          <w:iCs/>
        </w:rPr>
        <w:t xml:space="preserve">Artikel 34 </w:t>
      </w:r>
      <w:r w:rsidR="00D67EB8" w:rsidRPr="009118AB">
        <w:rPr>
          <w:iCs/>
        </w:rPr>
        <w:t>§ </w:t>
      </w:r>
      <w:r w:rsidR="00BD7B68" w:rsidRPr="009118AB">
        <w:rPr>
          <w:iCs/>
        </w:rPr>
        <w:t xml:space="preserve">1 </w:t>
      </w:r>
      <w:r w:rsidR="00D67EB8" w:rsidRPr="009118AB">
        <w:rPr>
          <w:iCs/>
        </w:rPr>
        <w:t>Nr. </w:t>
      </w:r>
      <w:r w:rsidR="00BD7B68" w:rsidRPr="009118AB">
        <w:rPr>
          <w:iCs/>
        </w:rPr>
        <w:t xml:space="preserve">3 und </w:t>
      </w:r>
      <w:r w:rsidR="00D67EB8" w:rsidRPr="009118AB">
        <w:rPr>
          <w:iCs/>
        </w:rPr>
        <w:t>§ </w:t>
      </w:r>
      <w:r w:rsidR="00BD7B68" w:rsidRPr="009118AB">
        <w:rPr>
          <w:iCs/>
        </w:rPr>
        <w:t xml:space="preserve">3 Absatz 1, so wie er vor seiner Abänderung durch Artikel 75 </w:t>
      </w:r>
      <w:r w:rsidR="00D67EB8" w:rsidRPr="009118AB">
        <w:rPr>
          <w:iCs/>
        </w:rPr>
        <w:t>Nr. </w:t>
      </w:r>
      <w:r w:rsidR="00BD7B68" w:rsidRPr="009118AB">
        <w:rPr>
          <w:iCs/>
        </w:rPr>
        <w:t xml:space="preserve">2 und 3 des Gesetzes vom 28. Dezember 1992 bestand, bleibt anwendbar in dem Maße, wie die dort erwähnten Einkünfte ganz oder teilweise durch Beträge erwähnt in den Artikeln 104 Absatz 1 </w:t>
      </w:r>
      <w:r w:rsidR="00D67EB8" w:rsidRPr="009118AB">
        <w:rPr>
          <w:iCs/>
        </w:rPr>
        <w:t>Nr. </w:t>
      </w:r>
      <w:r w:rsidR="00BD7B68" w:rsidRPr="009118AB">
        <w:rPr>
          <w:iCs/>
        </w:rPr>
        <w:t xml:space="preserve">10 und 117, bevor diese Artikel durch die Artikel 81 </w:t>
      </w:r>
      <w:r w:rsidR="00D67EB8" w:rsidRPr="009118AB">
        <w:rPr>
          <w:iCs/>
        </w:rPr>
        <w:t>Nr. </w:t>
      </w:r>
      <w:r w:rsidR="00BD7B68" w:rsidRPr="009118AB">
        <w:rPr>
          <w:iCs/>
        </w:rPr>
        <w:t>2 beziehungsweise 85 des Gesetzes vom 28. Dezember 1992 aufgehoben wurden, gebildet sind.</w:t>
      </w:r>
    </w:p>
    <w:p w14:paraId="612A709A" w14:textId="77777777" w:rsidR="00BD7B68" w:rsidRPr="009118AB" w:rsidRDefault="00BD7B68" w:rsidP="00BD7B68">
      <w:pPr>
        <w:autoSpaceDE w:val="0"/>
        <w:autoSpaceDN w:val="0"/>
        <w:adjustRightInd w:val="0"/>
        <w:jc w:val="both"/>
        <w:rPr>
          <w:iCs/>
        </w:rPr>
      </w:pPr>
    </w:p>
    <w:p w14:paraId="342EB9CF" w14:textId="6C5AFC9A" w:rsidR="00BD7B68" w:rsidRPr="009118AB" w:rsidRDefault="00B20101" w:rsidP="00BD7B68">
      <w:pPr>
        <w:autoSpaceDE w:val="0"/>
        <w:autoSpaceDN w:val="0"/>
        <w:adjustRightInd w:val="0"/>
        <w:jc w:val="both"/>
        <w:rPr>
          <w:iCs/>
        </w:rPr>
      </w:pPr>
      <w:r w:rsidRPr="009118AB">
        <w:rPr>
          <w:iCs/>
        </w:rPr>
        <w:tab/>
      </w:r>
      <w:r w:rsidR="00BD7B68" w:rsidRPr="009118AB">
        <w:rPr>
          <w:iCs/>
        </w:rPr>
        <w:t xml:space="preserve">Artikel 169, so wie er vor seiner Abänderung durch Artikel 88 des Gesetzes vom 28. Dezember 1992 bestand, bleibt anwendbar in dem Maße, wie die dort erwähnten Kapitalien und Rückkaufswerte ganz oder teilweise durch persönliche Beiträge zur Alters- und Todesfallzusatzversicherung erwähnt in Artikel 52 </w:t>
      </w:r>
      <w:r w:rsidR="00D67EB8" w:rsidRPr="009118AB">
        <w:rPr>
          <w:iCs/>
        </w:rPr>
        <w:t>Nr. </w:t>
      </w:r>
      <w:r w:rsidR="00BD7B68" w:rsidRPr="009118AB">
        <w:rPr>
          <w:iCs/>
        </w:rPr>
        <w:t xml:space="preserve">9, bevor er durch Artikel 78 des Gesetzes vom 28. Dezember 1992 aufgehoben wurde, gebildet sind oder aus Lebensversicherungsverträgen erwähnt in [Artikel 81 </w:t>
      </w:r>
      <w:r w:rsidR="00D67EB8" w:rsidRPr="009118AB">
        <w:rPr>
          <w:iCs/>
        </w:rPr>
        <w:t>Nr. </w:t>
      </w:r>
      <w:r w:rsidR="00BD7B68" w:rsidRPr="009118AB">
        <w:rPr>
          <w:iCs/>
        </w:rPr>
        <w:t>1], bevor er durch Artikel 80 des Gesetzes vom 28. Dezember 1992 aufgehoben wurde, hervorgehen.</w:t>
      </w:r>
    </w:p>
    <w:p w14:paraId="7F9B0952" w14:textId="77777777" w:rsidR="00BD7B68" w:rsidRPr="009118AB" w:rsidRDefault="00BD7B68" w:rsidP="00BD7B68">
      <w:pPr>
        <w:autoSpaceDE w:val="0"/>
        <w:autoSpaceDN w:val="0"/>
        <w:adjustRightInd w:val="0"/>
        <w:jc w:val="both"/>
        <w:rPr>
          <w:iCs/>
        </w:rPr>
      </w:pPr>
    </w:p>
    <w:p w14:paraId="79C187CC" w14:textId="6CC6883C" w:rsidR="00BD7B68" w:rsidRPr="009118AB" w:rsidRDefault="00B20101" w:rsidP="00BD7B68">
      <w:pPr>
        <w:autoSpaceDE w:val="0"/>
        <w:autoSpaceDN w:val="0"/>
        <w:adjustRightInd w:val="0"/>
        <w:jc w:val="both"/>
        <w:rPr>
          <w:iCs/>
        </w:rPr>
      </w:pPr>
      <w:r w:rsidRPr="009118AB">
        <w:rPr>
          <w:iCs/>
        </w:rPr>
        <w:tab/>
      </w:r>
      <w:r w:rsidR="00BD7B68" w:rsidRPr="009118AB">
        <w:rPr>
          <w:iCs/>
        </w:rPr>
        <w:t xml:space="preserve">Artikel 171, so wie er vor seiner Abänderung durch Artikel 89 des Gesetzes vom 28. Dezember 1992 bestand, bleibt anwendbar in dem Maße, wie die dort erwähnten Kapitalien, Rückkaufswerte und Sparguthaben ganz oder teilweise durch persönliche Beiträge zur Alters- und Todesfallzusatzversicherung erwähnt in Artikel 52 </w:t>
      </w:r>
      <w:r w:rsidR="00D67EB8" w:rsidRPr="009118AB">
        <w:rPr>
          <w:iCs/>
        </w:rPr>
        <w:t>Nr. </w:t>
      </w:r>
      <w:r w:rsidR="00BD7B68" w:rsidRPr="009118AB">
        <w:rPr>
          <w:iCs/>
        </w:rPr>
        <w:t xml:space="preserve">9, bevor er durch Artikel 78 des Gesetzes vom 28. Dezember 1992 aufgehoben wurde, gebildet sind oder wenn sie aus Lebensversicherungsverträgen erwähnt in Artikel 81 </w:t>
      </w:r>
      <w:r w:rsidR="00D67EB8" w:rsidRPr="009118AB">
        <w:rPr>
          <w:iCs/>
        </w:rPr>
        <w:t>Nr. </w:t>
      </w:r>
      <w:r w:rsidR="00BD7B68" w:rsidRPr="009118AB">
        <w:rPr>
          <w:iCs/>
        </w:rPr>
        <w:t xml:space="preserve">1, bevor er durch Artikel 80 des Gesetzes vom 28. Dezember 1992 aufgehoben wurde, oder aus Zahlungen erwähnt in den Artikeln 104 Absatz 1 </w:t>
      </w:r>
      <w:r w:rsidR="00D67EB8" w:rsidRPr="009118AB">
        <w:rPr>
          <w:iCs/>
        </w:rPr>
        <w:t>Nr. </w:t>
      </w:r>
      <w:r w:rsidR="00BD7B68" w:rsidRPr="009118AB">
        <w:rPr>
          <w:iCs/>
        </w:rPr>
        <w:t xml:space="preserve">10 und 117, bevor diese Artikel durch die Artikel 81 </w:t>
      </w:r>
      <w:r w:rsidR="00D67EB8" w:rsidRPr="009118AB">
        <w:rPr>
          <w:iCs/>
        </w:rPr>
        <w:t>Nr. </w:t>
      </w:r>
      <w:r w:rsidR="00BD7B68" w:rsidRPr="009118AB">
        <w:rPr>
          <w:iCs/>
        </w:rPr>
        <w:t>2 beziehungsweise 85 des Gesetzes vom 28. Dezember 1992 aufgehoben wurden, hervorgehen.</w:t>
      </w:r>
    </w:p>
    <w:p w14:paraId="10838470" w14:textId="77777777" w:rsidR="00BD7B68" w:rsidRPr="009118AB" w:rsidRDefault="00BD7B68" w:rsidP="00BD7B68">
      <w:pPr>
        <w:autoSpaceDE w:val="0"/>
        <w:autoSpaceDN w:val="0"/>
        <w:adjustRightInd w:val="0"/>
        <w:jc w:val="both"/>
        <w:rPr>
          <w:iCs/>
        </w:rPr>
      </w:pPr>
    </w:p>
    <w:p w14:paraId="207C82BF" w14:textId="2EE8182C" w:rsidR="00BD7B68" w:rsidRPr="009118AB" w:rsidRDefault="00B20101" w:rsidP="00BD7B68">
      <w:pPr>
        <w:autoSpaceDE w:val="0"/>
        <w:autoSpaceDN w:val="0"/>
        <w:adjustRightInd w:val="0"/>
        <w:jc w:val="both"/>
        <w:rPr>
          <w:iCs/>
        </w:rPr>
      </w:pPr>
      <w:r w:rsidRPr="009118AB">
        <w:rPr>
          <w:iCs/>
        </w:rPr>
        <w:tab/>
      </w:r>
      <w:r w:rsidR="00BD7B68" w:rsidRPr="009118AB">
        <w:rPr>
          <w:iCs/>
        </w:rPr>
        <w:t xml:space="preserve">In Abweichung von den Absätzen 2 bis 5 sind Kapitalien und Rückkaufswerte steuerfrei, die aufgrund von Lebensversicherungsverträgen ausgezahlt werden, die durch Beiträge erwähnt in Artikel 81 </w:t>
      </w:r>
      <w:r w:rsidR="00D67EB8" w:rsidRPr="009118AB">
        <w:rPr>
          <w:iCs/>
        </w:rPr>
        <w:t>Nr. </w:t>
      </w:r>
      <w:r w:rsidR="00BD7B68" w:rsidRPr="009118AB">
        <w:rPr>
          <w:iCs/>
        </w:rPr>
        <w:t xml:space="preserve">1, bevor er durch Artikel 80 des Gesetzes vom 28. Dezember 1992 aufgehoben wurde, oder im Rahmen des Pensionssparens durch Zahlungen erwähnt in Artikel 104 Absatz 1 </w:t>
      </w:r>
      <w:r w:rsidR="00D67EB8" w:rsidRPr="009118AB">
        <w:rPr>
          <w:iCs/>
        </w:rPr>
        <w:t>Nr. </w:t>
      </w:r>
      <w:r w:rsidR="00BD7B68" w:rsidRPr="009118AB">
        <w:rPr>
          <w:iCs/>
        </w:rPr>
        <w:t xml:space="preserve">10, bevor er durch Artikel 81 </w:t>
      </w:r>
      <w:r w:rsidR="00D67EB8" w:rsidRPr="009118AB">
        <w:rPr>
          <w:iCs/>
        </w:rPr>
        <w:t>Nr. </w:t>
      </w:r>
      <w:r w:rsidR="00BD7B68" w:rsidRPr="009118AB">
        <w:rPr>
          <w:iCs/>
        </w:rPr>
        <w:t xml:space="preserve">2 des Gesetzes vom 28. Dezember 1992 aufgehoben wurde, gebildet sind, sofern und in dem Maße, </w:t>
      </w:r>
      <w:r w:rsidR="001F1E7B" w:rsidRPr="009118AB">
        <w:rPr>
          <w:iCs/>
        </w:rPr>
        <w:t>[</w:t>
      </w:r>
      <w:r w:rsidR="001F1E7B" w:rsidRPr="009118AB">
        <w:t xml:space="preserve">wie sie einer Steuer auf langfristiges Sparen unterlagen wie erwähnt in Buch II Titel VIII des Gesetzbuches der verschiedenen Gebühren und Steuern, die in Artikel 185 </w:t>
      </w:r>
      <w:r w:rsidR="00D67EB8" w:rsidRPr="009118AB">
        <w:t>§ </w:t>
      </w:r>
      <w:r w:rsidR="001F1E7B" w:rsidRPr="009118AB">
        <w:t>4 desselben Gesetzbuches erwähnte vorzeitige Einnahme der Steuer ausgenommen, oder wie erwähnt in Artikel 119 des Gesetzes vom 28. Dezember 1992</w:t>
      </w:r>
      <w:r w:rsidR="001F1E7B" w:rsidRPr="009118AB">
        <w:rPr>
          <w:iCs/>
        </w:rPr>
        <w:t>].</w:t>
      </w:r>
      <w:r w:rsidR="00BD7B68" w:rsidRPr="009118AB">
        <w:rPr>
          <w:iCs/>
        </w:rPr>
        <w:t>]</w:t>
      </w:r>
    </w:p>
    <w:p w14:paraId="63B0ACDB" w14:textId="77777777" w:rsidR="00BD7B68" w:rsidRPr="009118AB" w:rsidRDefault="00BD7B68" w:rsidP="00BD7B68">
      <w:pPr>
        <w:autoSpaceDE w:val="0"/>
        <w:autoSpaceDN w:val="0"/>
        <w:adjustRightInd w:val="0"/>
        <w:jc w:val="both"/>
        <w:rPr>
          <w:iCs/>
        </w:rPr>
      </w:pPr>
    </w:p>
    <w:p w14:paraId="0BE434BD" w14:textId="65550A9B" w:rsidR="00BD7B68" w:rsidRPr="009118AB" w:rsidRDefault="00B20101" w:rsidP="00BD7B68">
      <w:pPr>
        <w:autoSpaceDE w:val="0"/>
        <w:autoSpaceDN w:val="0"/>
        <w:adjustRightInd w:val="0"/>
        <w:jc w:val="both"/>
        <w:rPr>
          <w:iCs/>
        </w:rPr>
      </w:pPr>
      <w:r w:rsidRPr="009118AB">
        <w:rPr>
          <w:iCs/>
        </w:rPr>
        <w:tab/>
      </w:r>
      <w:r w:rsidR="00BD7B68" w:rsidRPr="009118AB">
        <w:rPr>
          <w:iCs/>
        </w:rPr>
        <w:t xml:space="preserve">[Wenn Kapitalien, die ganz oder teilweise durch persönliche Beiträge zur Alters- und Todesfallzusatzversicherung erwähnt in Artikel 52 </w:t>
      </w:r>
      <w:r w:rsidR="00D67EB8" w:rsidRPr="009118AB">
        <w:rPr>
          <w:iCs/>
        </w:rPr>
        <w:t>Nr. </w:t>
      </w:r>
      <w:r w:rsidR="00BD7B68" w:rsidRPr="009118AB">
        <w:rPr>
          <w:iCs/>
        </w:rPr>
        <w:t xml:space="preserve">9, bevor er durch Artikel 78 des Gesetzes vom 28. Dezember 1992 aufgehoben wurde, gebildet sind, </w:t>
      </w:r>
      <w:r w:rsidR="0015428E" w:rsidRPr="009118AB">
        <w:rPr>
          <w:iCs/>
        </w:rPr>
        <w:t>[</w:t>
      </w:r>
      <w:r w:rsidR="0015428E" w:rsidRPr="009118AB">
        <w:t>zu Lebzeiten frühestens entweder bei Erreichen des gesetzlichen Ruhestandsalters oder bei Erreichen des Alters, in dem gemäß den geltenden Rechtsvorschriften in Sachen Pensionen die Bedingungen für eine vollständige Laufbahn erfüllt sind, dem Empfänger, der mindestens bis zu einem dieser Alter tatsächlich aktiv geblieben ist, ausgezahlt werden oder im Todesfall nach Erreichen des gesetzlichen Ruhestandsalters beziehungsweise nach Erreichen des Alters, in dem die Bedingungen für eine vollständige Laufbahn erfüllt sind, wenn der Verstorbene bis zu einem dieser Alter tatsächlich aktiv geblieben ist, ausgezahlt werden</w:t>
      </w:r>
      <w:r w:rsidR="0015428E" w:rsidRPr="009118AB">
        <w:rPr>
          <w:iCs/>
        </w:rPr>
        <w:t>]</w:t>
      </w:r>
      <w:r w:rsidR="00BD7B68" w:rsidRPr="009118AB">
        <w:rPr>
          <w:iCs/>
        </w:rPr>
        <w:t xml:space="preserve"> oder im Todesfall nach Erreichen des gesetzlichen Ruhestandsalters, wenn der Verstorbene bis zu diesem Alter tatsächlich aktiv geblieben ist, ausgezahlt werden, muss in Abweichung von Absatz 4 für die Umwandlung des ersten Teilbetrags von 50.000 EUR dieser Kapitalien dasselbe Berechnungsverfahren wie in Artikel 169 </w:t>
      </w:r>
      <w:r w:rsidR="00D67EB8" w:rsidRPr="009118AB">
        <w:rPr>
          <w:iCs/>
        </w:rPr>
        <w:t>§ </w:t>
      </w:r>
      <w:r w:rsidR="00BD7B68" w:rsidRPr="009118AB">
        <w:rPr>
          <w:iCs/>
        </w:rPr>
        <w:t>1 Absatz 4 erwähnt angewandt werden. Der Betrag von 50.000 EUR wird jährlich und gleichzeitig gemäß Artikel 178 an den Verbraucherpreisindex des Königreichs angepasst.]</w:t>
      </w:r>
    </w:p>
    <w:p w14:paraId="4CC7EEB5" w14:textId="77777777" w:rsidR="001F1E7B" w:rsidRPr="009118AB" w:rsidRDefault="001F1E7B" w:rsidP="00BD7B68">
      <w:pPr>
        <w:autoSpaceDE w:val="0"/>
        <w:autoSpaceDN w:val="0"/>
        <w:adjustRightInd w:val="0"/>
        <w:jc w:val="both"/>
        <w:rPr>
          <w:iCs/>
        </w:rPr>
      </w:pPr>
    </w:p>
    <w:p w14:paraId="2D1D6A80" w14:textId="56823097" w:rsidR="001F1E7B" w:rsidRPr="009118AB" w:rsidRDefault="001F1E7B" w:rsidP="00BD7B68">
      <w:pPr>
        <w:autoSpaceDE w:val="0"/>
        <w:autoSpaceDN w:val="0"/>
        <w:adjustRightInd w:val="0"/>
        <w:jc w:val="both"/>
        <w:rPr>
          <w:iCs/>
        </w:rPr>
      </w:pPr>
      <w:r w:rsidRPr="009118AB">
        <w:rPr>
          <w:iCs/>
        </w:rPr>
        <w:tab/>
        <w:t>[</w:t>
      </w:r>
      <w:r w:rsidRPr="009118AB">
        <w:t xml:space="preserve">In Abweichung von Absatz 5 ist Artikel 171 </w:t>
      </w:r>
      <w:r w:rsidR="00D67EB8" w:rsidRPr="009118AB">
        <w:t>Nr. </w:t>
      </w:r>
      <w:r w:rsidRPr="009118AB">
        <w:t>4 Buchstabe </w:t>
      </w:r>
      <w:r w:rsidRPr="009118AB">
        <w:rPr>
          <w:i/>
        </w:rPr>
        <w:t>i)</w:t>
      </w:r>
      <w:r w:rsidRPr="009118AB">
        <w:t xml:space="preserve">, so wie er vor seiner Aufhebung durch Artikel 89 </w:t>
      </w:r>
      <w:r w:rsidR="00D67EB8" w:rsidRPr="009118AB">
        <w:t>Nr. </w:t>
      </w:r>
      <w:r w:rsidRPr="009118AB">
        <w:t>6 des Gesetzes vom 28. Dezember 1992 bestand, nicht anwendbar, wenn die dort erwähnten Sparguthaben, Kapitalien und Rückkaufswerte dem Empfänger ab dem 1. Januar 2017 anlässlich seines Beitritts zu der Regelung der Arbeitslosigkeit mit Betriebszuschlag ausgezahlt werden.]</w:t>
      </w:r>
    </w:p>
    <w:p w14:paraId="5C8B74AF" w14:textId="77777777" w:rsidR="00BD7B68" w:rsidRPr="009118AB" w:rsidRDefault="00BD7B68" w:rsidP="00BD7B68">
      <w:pPr>
        <w:autoSpaceDE w:val="0"/>
        <w:autoSpaceDN w:val="0"/>
        <w:adjustRightInd w:val="0"/>
        <w:jc w:val="both"/>
        <w:rPr>
          <w:iCs/>
        </w:rPr>
      </w:pPr>
    </w:p>
    <w:p w14:paraId="6D0842A6" w14:textId="4C4E784C" w:rsidR="00BD7B68" w:rsidRPr="009118AB" w:rsidRDefault="00BD7B68" w:rsidP="00BD7B68">
      <w:pPr>
        <w:autoSpaceDE w:val="0"/>
        <w:autoSpaceDN w:val="0"/>
        <w:adjustRightInd w:val="0"/>
        <w:jc w:val="both"/>
        <w:rPr>
          <w:i/>
          <w:iCs/>
        </w:rPr>
      </w:pPr>
      <w:r w:rsidRPr="009118AB">
        <w:rPr>
          <w:i/>
          <w:iCs/>
        </w:rPr>
        <w:t>[</w:t>
      </w:r>
      <w:r w:rsidR="00D67EB8" w:rsidRPr="009118AB">
        <w:rPr>
          <w:i/>
          <w:iCs/>
        </w:rPr>
        <w:t>Art. </w:t>
      </w:r>
      <w:r w:rsidRPr="009118AB">
        <w:rPr>
          <w:i/>
          <w:iCs/>
        </w:rPr>
        <w:t xml:space="preserve">515bis eingefügt durch </w:t>
      </w:r>
      <w:r w:rsidR="00D67EB8" w:rsidRPr="009118AB">
        <w:rPr>
          <w:i/>
          <w:iCs/>
        </w:rPr>
        <w:t>Art. </w:t>
      </w:r>
      <w:r w:rsidRPr="009118AB">
        <w:rPr>
          <w:i/>
          <w:iCs/>
        </w:rPr>
        <w:t>98 des G. vom 28. Dezember 1992 (B.S. vom 31. Dezember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Abs. </w:t>
      </w:r>
      <w:r w:rsidRPr="009118AB">
        <w:rPr>
          <w:i/>
          <w:iCs/>
        </w:rPr>
        <w:t xml:space="preserve">2 abgeändert durch </w:t>
      </w:r>
      <w:r w:rsidR="00D67EB8" w:rsidRPr="009118AB">
        <w:rPr>
          <w:i/>
          <w:iCs/>
        </w:rPr>
        <w:t>Art. </w:t>
      </w:r>
      <w:r w:rsidRPr="009118AB">
        <w:rPr>
          <w:i/>
          <w:iCs/>
        </w:rPr>
        <w:t>9 des G. vom 17. Mai 2000 (B.S. vom 16. Juni 2000)</w:t>
      </w:r>
      <w:r w:rsidR="00D67EB8" w:rsidRPr="009118AB">
        <w:rPr>
          <w:i/>
          <w:iCs/>
        </w:rPr>
        <w:t> - </w:t>
      </w:r>
      <w:r w:rsidRPr="009118AB">
        <w:rPr>
          <w:i/>
          <w:iCs/>
        </w:rPr>
        <w:t>in Kraft ab dem Steuerjahr 2001</w:t>
      </w:r>
      <w:r w:rsidR="003366D9" w:rsidRPr="009118AB">
        <w:rPr>
          <w:i/>
          <w:iCs/>
        </w:rPr>
        <w:t> -;</w:t>
      </w:r>
      <w:r w:rsidRPr="009118AB">
        <w:rPr>
          <w:i/>
          <w:iCs/>
        </w:rPr>
        <w:t xml:space="preserve"> </w:t>
      </w:r>
      <w:r w:rsidR="00D67EB8" w:rsidRPr="009118AB">
        <w:rPr>
          <w:i/>
          <w:iCs/>
        </w:rPr>
        <w:t>Abs. </w:t>
      </w:r>
      <w:r w:rsidRPr="009118AB">
        <w:rPr>
          <w:i/>
          <w:iCs/>
        </w:rPr>
        <w:t xml:space="preserve">4 abgeändert durch </w:t>
      </w:r>
      <w:r w:rsidR="00D67EB8" w:rsidRPr="009118AB">
        <w:rPr>
          <w:i/>
          <w:iCs/>
        </w:rPr>
        <w:t>Art. </w:t>
      </w:r>
      <w:r w:rsidRPr="009118AB">
        <w:rPr>
          <w:i/>
          <w:iCs/>
        </w:rPr>
        <w:t>9 des G. vom 17. Mai 2000 (B.S. vom 16. Juni 2000)</w:t>
      </w:r>
      <w:r w:rsidR="00D67EB8" w:rsidRPr="009118AB">
        <w:rPr>
          <w:i/>
          <w:iCs/>
        </w:rPr>
        <w:t> - </w:t>
      </w:r>
      <w:r w:rsidRPr="009118AB">
        <w:rPr>
          <w:i/>
          <w:iCs/>
        </w:rPr>
        <w:t>in Kraft ab dem Steuerjahr</w:t>
      </w:r>
      <w:r w:rsidR="00814A0D" w:rsidRPr="009118AB">
        <w:rPr>
          <w:i/>
          <w:iCs/>
        </w:rPr>
        <w:t> </w:t>
      </w:r>
      <w:r w:rsidRPr="009118AB">
        <w:rPr>
          <w:i/>
          <w:iCs/>
        </w:rPr>
        <w:t>2001</w:t>
      </w:r>
      <w:r w:rsidR="003366D9" w:rsidRPr="009118AB">
        <w:rPr>
          <w:i/>
          <w:iCs/>
        </w:rPr>
        <w:t> -;</w:t>
      </w:r>
      <w:r w:rsidRPr="009118AB">
        <w:rPr>
          <w:i/>
          <w:iCs/>
        </w:rPr>
        <w:t xml:space="preserve"> </w:t>
      </w:r>
      <w:r w:rsidR="00D67EB8" w:rsidRPr="009118AB">
        <w:rPr>
          <w:i/>
          <w:iCs/>
        </w:rPr>
        <w:t>Abs. </w:t>
      </w:r>
      <w:r w:rsidRPr="009118AB">
        <w:rPr>
          <w:i/>
          <w:iCs/>
        </w:rPr>
        <w:t xml:space="preserve">6 abgeändert durch </w:t>
      </w:r>
      <w:r w:rsidR="00D67EB8" w:rsidRPr="009118AB">
        <w:rPr>
          <w:i/>
          <w:iCs/>
        </w:rPr>
        <w:t>Art. </w:t>
      </w:r>
      <w:r w:rsidRPr="009118AB">
        <w:rPr>
          <w:i/>
          <w:iCs/>
        </w:rPr>
        <w:t xml:space="preserve">128 </w:t>
      </w:r>
      <w:r w:rsidR="00D67EB8" w:rsidRPr="009118AB">
        <w:rPr>
          <w:i/>
          <w:iCs/>
        </w:rPr>
        <w:t>Nr. </w:t>
      </w:r>
      <w:r w:rsidRPr="009118AB">
        <w:rPr>
          <w:i/>
          <w:iCs/>
        </w:rPr>
        <w:t>1 des G.</w:t>
      </w:r>
      <w:r w:rsidR="00814A0D" w:rsidRPr="009118AB">
        <w:rPr>
          <w:i/>
          <w:iCs/>
        </w:rPr>
        <w:t> </w:t>
      </w:r>
      <w:r w:rsidRPr="009118AB">
        <w:rPr>
          <w:i/>
          <w:iCs/>
        </w:rPr>
        <w:t xml:space="preserve">(I) vom </w:t>
      </w:r>
      <w:r w:rsidRPr="009118AB">
        <w:rPr>
          <w:rFonts w:ascii="Times New Roman Italique" w:hAnsi="Times New Roman Italique"/>
          <w:i/>
          <w:iCs/>
          <w:spacing w:val="-1"/>
        </w:rPr>
        <w:t>22. Dezember 2008</w:t>
      </w:r>
      <w:r w:rsidR="007C5456" w:rsidRPr="009118AB">
        <w:rPr>
          <w:rFonts w:ascii="Times New Roman Italique" w:hAnsi="Times New Roman Italique"/>
          <w:i/>
          <w:iCs/>
          <w:spacing w:val="-1"/>
        </w:rPr>
        <w:t> </w:t>
      </w:r>
      <w:r w:rsidRPr="009118AB">
        <w:rPr>
          <w:rFonts w:ascii="Times New Roman Italique" w:hAnsi="Times New Roman Italique"/>
          <w:i/>
          <w:iCs/>
          <w:spacing w:val="-1"/>
        </w:rPr>
        <w:t>(II) (B.S. vom 29. Dezember 2008)</w:t>
      </w:r>
      <w:r w:rsidR="007C5456" w:rsidRPr="009118AB">
        <w:rPr>
          <w:rFonts w:ascii="Times New Roman Italique" w:hAnsi="Times New Roman Italique"/>
          <w:i/>
          <w:iCs/>
          <w:spacing w:val="-1"/>
        </w:rPr>
        <w:t xml:space="preserve"> und </w:t>
      </w:r>
      <w:r w:rsidR="00D67EB8" w:rsidRPr="009118AB">
        <w:rPr>
          <w:rFonts w:ascii="Times New Roman Italique" w:hAnsi="Times New Roman Italique"/>
          <w:i/>
          <w:iCs/>
          <w:spacing w:val="-1"/>
        </w:rPr>
        <w:t>Art. </w:t>
      </w:r>
      <w:r w:rsidR="007C5456" w:rsidRPr="009118AB">
        <w:rPr>
          <w:rFonts w:ascii="Times New Roman Italique" w:hAnsi="Times New Roman Italique"/>
          <w:i/>
          <w:iCs/>
          <w:spacing w:val="-1"/>
        </w:rPr>
        <w:t xml:space="preserve">59 </w:t>
      </w:r>
      <w:r w:rsidR="00D67EB8" w:rsidRPr="009118AB">
        <w:rPr>
          <w:rFonts w:ascii="Times New Roman Italique" w:hAnsi="Times New Roman Italique"/>
          <w:i/>
          <w:iCs/>
          <w:spacing w:val="-1"/>
        </w:rPr>
        <w:t>Nr. </w:t>
      </w:r>
      <w:r w:rsidR="007C5456" w:rsidRPr="009118AB">
        <w:rPr>
          <w:rFonts w:ascii="Times New Roman Italique" w:hAnsi="Times New Roman Italique"/>
          <w:i/>
          <w:iCs/>
          <w:spacing w:val="-1"/>
        </w:rPr>
        <w:t>1 des G. vom 18. Dezember 2015 (II) (B.S. vom 28. Dezember 2015)</w:t>
      </w:r>
      <w:r w:rsidR="00D67EB8" w:rsidRPr="009118AB">
        <w:rPr>
          <w:rFonts w:ascii="Times New Roman Italique" w:hAnsi="Times New Roman Italique"/>
          <w:i/>
          <w:iCs/>
          <w:spacing w:val="-1"/>
        </w:rPr>
        <w:t> - </w:t>
      </w:r>
      <w:r w:rsidR="007C5456" w:rsidRPr="009118AB">
        <w:rPr>
          <w:rFonts w:ascii="Times New Roman Italique" w:hAnsi="Times New Roman Italique"/>
          <w:i/>
          <w:iCs/>
          <w:spacing w:val="-1"/>
        </w:rPr>
        <w:t>anwendbar ab dem Steuerjahr 2016</w:t>
      </w:r>
      <w:r w:rsidR="003366D9" w:rsidRPr="009118AB">
        <w:rPr>
          <w:rFonts w:ascii="Times New Roman Italique" w:hAnsi="Times New Roman Italique"/>
          <w:i/>
          <w:iCs/>
          <w:spacing w:val="-1"/>
        </w:rPr>
        <w:t> -;</w:t>
      </w:r>
      <w:r w:rsidR="007C5456" w:rsidRPr="009118AB">
        <w:rPr>
          <w:i/>
          <w:iCs/>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7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103 des G. vom 23. Dezember 2005 (B.S. vom 30. Dezember 2005)</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auf die ab dem 1. Januar 2006 ausgezahlten Kapitalien</w:t>
      </w:r>
      <w:r w:rsidR="00FD68E8" w:rsidRPr="009118AB">
        <w:rPr>
          <w:rFonts w:ascii="Times New Roman Italique" w:hAnsi="Times New Roman Italique"/>
          <w:i/>
          <w:iCs/>
          <w:spacing w:val="2"/>
        </w:rPr>
        <w:t> -,</w:t>
      </w:r>
      <w:r w:rsidRPr="009118AB">
        <w:rPr>
          <w:rFonts w:ascii="Times New Roman Italique" w:hAnsi="Times New Roman Italique"/>
          <w:i/>
          <w:iCs/>
          <w:spacing w:val="2"/>
        </w:rPr>
        <w:t xml:space="preserve">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128 </w:t>
      </w:r>
      <w:r w:rsidR="00D67EB8" w:rsidRPr="009118AB">
        <w:rPr>
          <w:rFonts w:ascii="Times New Roman Italique" w:hAnsi="Times New Roman Italique"/>
          <w:i/>
          <w:iCs/>
          <w:spacing w:val="2"/>
        </w:rPr>
        <w:t>Nr. </w:t>
      </w:r>
      <w:r w:rsidRPr="009118AB">
        <w:rPr>
          <w:rFonts w:ascii="Times New Roman Italique" w:hAnsi="Times New Roman Italique"/>
          <w:i/>
          <w:iCs/>
          <w:spacing w:val="2"/>
        </w:rPr>
        <w:t>2 des G.</w:t>
      </w:r>
      <w:r w:rsidR="00814A0D" w:rsidRPr="009118AB">
        <w:rPr>
          <w:rFonts w:ascii="Times New Roman Italique" w:hAnsi="Times New Roman Italique"/>
          <w:i/>
          <w:iCs/>
          <w:spacing w:val="2"/>
        </w:rPr>
        <w:t> </w:t>
      </w:r>
      <w:r w:rsidRPr="009118AB">
        <w:rPr>
          <w:rFonts w:ascii="Times New Roman Italique" w:hAnsi="Times New Roman Italique"/>
          <w:i/>
          <w:iCs/>
          <w:spacing w:val="2"/>
        </w:rPr>
        <w:t>(I) vom 22. Dezember 2008</w:t>
      </w:r>
      <w:r w:rsidR="00814A0D" w:rsidRPr="009118AB">
        <w:rPr>
          <w:rFonts w:ascii="Times New Roman Italique" w:hAnsi="Times New Roman Italique"/>
          <w:i/>
          <w:iCs/>
          <w:spacing w:val="2"/>
        </w:rPr>
        <w:t> </w:t>
      </w:r>
      <w:r w:rsidRPr="009118AB">
        <w:rPr>
          <w:rFonts w:ascii="Times New Roman Italique" w:hAnsi="Times New Roman Italique"/>
          <w:i/>
          <w:iCs/>
          <w:spacing w:val="2"/>
        </w:rPr>
        <w:t>(II) (B.S. vom 29. Dezember 2008)</w:t>
      </w:r>
      <w:r w:rsidR="00D67EB8" w:rsidRPr="009118AB">
        <w:rPr>
          <w:rFonts w:ascii="Times New Roman Italique" w:hAnsi="Times New Roman Italique"/>
          <w:i/>
          <w:iCs/>
          <w:spacing w:val="2"/>
        </w:rPr>
        <w:t> - </w:t>
      </w:r>
      <w:r w:rsidRPr="009118AB">
        <w:rPr>
          <w:i/>
          <w:iCs/>
        </w:rPr>
        <w:t>anwendbar auf die ab dem 1. Januar 2009 gezahlten oder zuerkannten Leistungen</w:t>
      </w:r>
      <w:r w:rsidR="00D67EB8" w:rsidRPr="009118AB">
        <w:rPr>
          <w:i/>
          <w:iCs/>
        </w:rPr>
        <w:t> - </w:t>
      </w:r>
      <w:r w:rsidR="0015428E" w:rsidRPr="009118AB">
        <w:rPr>
          <w:i/>
          <w:iCs/>
        </w:rPr>
        <w:t xml:space="preserve">und abgeändert durch </w:t>
      </w:r>
      <w:r w:rsidR="00D67EB8" w:rsidRPr="009118AB">
        <w:rPr>
          <w:i/>
          <w:iCs/>
        </w:rPr>
        <w:t>Art. </w:t>
      </w:r>
      <w:r w:rsidR="0015428E" w:rsidRPr="009118AB">
        <w:rPr>
          <w:i/>
          <w:iCs/>
        </w:rPr>
        <w:t>4 des G. vom 27. Februar 2019 (B.S. vom 15. März 2019)</w:t>
      </w:r>
      <w:r w:rsidR="00D67EB8" w:rsidRPr="009118AB">
        <w:rPr>
          <w:i/>
          <w:iCs/>
        </w:rPr>
        <w:t> - </w:t>
      </w:r>
      <w:r w:rsidR="0015428E" w:rsidRPr="009118AB">
        <w:rPr>
          <w:i/>
          <w:iCs/>
        </w:rPr>
        <w:t>wirksam mit 1. Januar 2019 und anwendbar auf die ab dem 1. Januar 2019 getätigten Zahlungen von Kapitalien</w:t>
      </w:r>
      <w:r w:rsidR="003366D9" w:rsidRPr="009118AB">
        <w:rPr>
          <w:i/>
          <w:iCs/>
        </w:rPr>
        <w:t> -;</w:t>
      </w:r>
      <w:r w:rsidR="001F1E7B" w:rsidRPr="009118AB">
        <w:rPr>
          <w:i/>
          <w:iCs/>
        </w:rPr>
        <w:t xml:space="preserve"> </w:t>
      </w:r>
      <w:r w:rsidR="00D67EB8" w:rsidRPr="009118AB">
        <w:rPr>
          <w:i/>
          <w:iCs/>
        </w:rPr>
        <w:t>Abs. </w:t>
      </w:r>
      <w:r w:rsidR="001F1E7B" w:rsidRPr="009118AB">
        <w:rPr>
          <w:i/>
          <w:iCs/>
        </w:rPr>
        <w:t xml:space="preserve">8 eingefügt durch </w:t>
      </w:r>
      <w:r w:rsidR="00D67EB8" w:rsidRPr="009118AB">
        <w:rPr>
          <w:i/>
          <w:iCs/>
        </w:rPr>
        <w:t>Art. </w:t>
      </w:r>
      <w:r w:rsidR="001F1E7B" w:rsidRPr="009118AB">
        <w:rPr>
          <w:i/>
          <w:iCs/>
        </w:rPr>
        <w:t xml:space="preserve">59 </w:t>
      </w:r>
      <w:r w:rsidR="00D67EB8" w:rsidRPr="009118AB">
        <w:rPr>
          <w:i/>
          <w:iCs/>
        </w:rPr>
        <w:t>Nr. </w:t>
      </w:r>
      <w:r w:rsidR="007C5456" w:rsidRPr="009118AB">
        <w:rPr>
          <w:i/>
          <w:iCs/>
        </w:rPr>
        <w:t>2 des G. vom 18. Dezember 2015 (II) (B.S. vom 28. Dezember 2015)</w:t>
      </w:r>
      <w:r w:rsidRPr="009118AB">
        <w:rPr>
          <w:i/>
          <w:iCs/>
        </w:rPr>
        <w:t>]</w:t>
      </w:r>
    </w:p>
    <w:p w14:paraId="70F1DBC7" w14:textId="77777777" w:rsidR="00BD7B68" w:rsidRPr="009118AB" w:rsidRDefault="00BD7B68" w:rsidP="00BD7B68">
      <w:pPr>
        <w:autoSpaceDE w:val="0"/>
        <w:autoSpaceDN w:val="0"/>
        <w:adjustRightInd w:val="0"/>
        <w:jc w:val="both"/>
        <w:rPr>
          <w:iCs/>
        </w:rPr>
      </w:pPr>
    </w:p>
    <w:p w14:paraId="09895CB4" w14:textId="77777777" w:rsidR="00BD7B68" w:rsidRPr="009118AB" w:rsidRDefault="00BD7B68"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B61F28" w14:textId="5506F468" w:rsidR="007C5456" w:rsidRPr="009118AB"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D67EB8" w:rsidRPr="009118AB">
        <w:rPr>
          <w:b/>
        </w:rPr>
        <w:t>Art. </w:t>
      </w:r>
      <w:r w:rsidRPr="009118AB">
        <w:rPr>
          <w:b/>
        </w:rPr>
        <w:t>515</w:t>
      </w:r>
      <w:r w:rsidRPr="009118AB">
        <w:rPr>
          <w:b/>
          <w:i/>
        </w:rPr>
        <w:t>bis</w:t>
      </w:r>
      <w:r w:rsidRPr="009118AB">
        <w:rPr>
          <w:b/>
        </w:rPr>
        <w:t>/1</w:t>
      </w:r>
      <w:r w:rsidR="00D67EB8" w:rsidRPr="009118AB">
        <w:t> - </w:t>
      </w:r>
      <w:r w:rsidRPr="009118AB">
        <w:t xml:space="preserve">In Abweichung von Artikel 171 </w:t>
      </w:r>
      <w:r w:rsidR="00D67EB8" w:rsidRPr="009118AB">
        <w:t>Nr. </w:t>
      </w:r>
      <w:r w:rsidRPr="009118AB">
        <w:t>1</w:t>
      </w:r>
      <w:r w:rsidRPr="009118AB">
        <w:rPr>
          <w:i/>
        </w:rPr>
        <w:t>bis</w:t>
      </w:r>
      <w:r w:rsidRPr="009118AB">
        <w:t xml:space="preserve"> und </w:t>
      </w:r>
      <w:r w:rsidR="00D67EB8" w:rsidRPr="009118AB">
        <w:t>Nr. </w:t>
      </w:r>
      <w:r w:rsidRPr="009118AB">
        <w:t>2 Buchstabe </w:t>
      </w:r>
      <w:r w:rsidRPr="009118AB">
        <w:rPr>
          <w:i/>
        </w:rPr>
        <w:t>d)</w:t>
      </w:r>
      <w:r w:rsidRPr="009118AB">
        <w:t xml:space="preserve"> sind Kapitalien, Rückkaufswerte oder Sparguthaben, die durch Prämien oder Zahlungen gebildet wurden, die 1992 gezahlt beziehungsweise getätigt wurden, zum Steuersatz von 16,5 Prozent steuerpflichtig.]</w:t>
      </w:r>
    </w:p>
    <w:p w14:paraId="66D64374" w14:textId="77777777" w:rsidR="007C5456" w:rsidRPr="009118AB"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4E6B825" w14:textId="2CE9226A" w:rsidR="007C5456" w:rsidRPr="009118AB"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515bis/1 eingefügt durch </w:t>
      </w:r>
      <w:r w:rsidR="00D67EB8" w:rsidRPr="009118AB">
        <w:rPr>
          <w:i/>
        </w:rPr>
        <w:t>Art. </w:t>
      </w:r>
      <w:r w:rsidRPr="009118AB">
        <w:rPr>
          <w:i/>
        </w:rPr>
        <w:t>60</w:t>
      </w:r>
      <w:r w:rsidRPr="009118AB">
        <w:rPr>
          <w:i/>
          <w:iCs/>
        </w:rPr>
        <w:t xml:space="preserve"> des G. vom 18. Dezember 2015 (II) (B.S. vom 28. Dezember 2015)</w:t>
      </w:r>
      <w:r w:rsidR="00D67EB8" w:rsidRPr="009118AB">
        <w:rPr>
          <w:i/>
          <w:iCs/>
        </w:rPr>
        <w:t> - </w:t>
      </w:r>
      <w:r w:rsidRPr="009118AB">
        <w:rPr>
          <w:i/>
          <w:iCs/>
        </w:rPr>
        <w:t>anwendbar ab dem Steuerjahr 2016</w:t>
      </w:r>
      <w:r w:rsidR="00FD68E8" w:rsidRPr="009118AB">
        <w:rPr>
          <w:i/>
          <w:iCs/>
        </w:rPr>
        <w:t> -]</w:t>
      </w:r>
    </w:p>
    <w:p w14:paraId="623338B5" w14:textId="77777777" w:rsidR="007C5456" w:rsidRPr="009118AB"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62136CB7" w14:textId="77777777" w:rsidR="007C5456" w:rsidRPr="009118AB"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3E9714" w14:textId="6FB7A79A" w:rsidR="00477B8F" w:rsidRPr="009118AB"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w:t>
      </w:r>
      <w:r w:rsidR="00D67EB8" w:rsidRPr="009118AB">
        <w:rPr>
          <w:b/>
          <w:bCs/>
        </w:rPr>
        <w:t>Art. </w:t>
      </w:r>
      <w:r w:rsidRPr="009118AB">
        <w:rPr>
          <w:b/>
          <w:bCs/>
        </w:rPr>
        <w:t>515</w:t>
      </w:r>
      <w:r w:rsidRPr="009118AB">
        <w:rPr>
          <w:b/>
          <w:bCs/>
          <w:i/>
          <w:iCs/>
        </w:rPr>
        <w:t>ter</w:t>
      </w:r>
      <w:r w:rsidR="00D67EB8" w:rsidRPr="009118AB">
        <w:t> - </w:t>
      </w:r>
      <w:r w:rsidRPr="009118AB">
        <w:t xml:space="preserve">Artikel 174 Absatz 1 </w:t>
      </w:r>
      <w:r w:rsidR="00D67EB8" w:rsidRPr="009118AB">
        <w:t>Nr. </w:t>
      </w:r>
      <w:r w:rsidRPr="009118AB">
        <w:t>2 ist weder auf kollektive oder individuelle Sparkonten anwendbar, die vor dem 4. August 1992 eröffnet wurden, noch auf Sparversicherungen, die vor vorerwähntem Datum abgeschlossen wurden.]</w:t>
      </w:r>
    </w:p>
    <w:p w14:paraId="623691A3" w14:textId="77777777" w:rsidR="00477B8F" w:rsidRPr="009118AB"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27DFCF8" w14:textId="764D94E0" w:rsidR="00477B8F" w:rsidRPr="009118AB"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w:t>
      </w:r>
      <w:r w:rsidR="00D67EB8" w:rsidRPr="009118AB">
        <w:rPr>
          <w:i/>
          <w:iCs/>
        </w:rPr>
        <w:t>Art. </w:t>
      </w:r>
      <w:r w:rsidRPr="009118AB">
        <w:rPr>
          <w:i/>
          <w:iCs/>
        </w:rPr>
        <w:t xml:space="preserve">515ter eingefügt durch </w:t>
      </w:r>
      <w:r w:rsidR="00D67EB8" w:rsidRPr="009118AB">
        <w:rPr>
          <w:i/>
          <w:iCs/>
        </w:rPr>
        <w:t>Art. </w:t>
      </w:r>
      <w:r w:rsidRPr="009118AB">
        <w:rPr>
          <w:i/>
          <w:iCs/>
        </w:rPr>
        <w:t>99 des G. vom 28. Dezember 1992 (B.S. vom 31. Dezember 1992)</w:t>
      </w:r>
      <w:r w:rsidR="00D67EB8" w:rsidRPr="009118AB">
        <w:rPr>
          <w:i/>
          <w:iCs/>
        </w:rPr>
        <w:t> - </w:t>
      </w:r>
      <w:r w:rsidRPr="009118AB">
        <w:rPr>
          <w:i/>
          <w:iCs/>
        </w:rPr>
        <w:t>in Kraft ab dem Steuerjahr 1993</w:t>
      </w:r>
      <w:r w:rsidR="00FD68E8" w:rsidRPr="009118AB">
        <w:rPr>
          <w:i/>
          <w:iCs/>
        </w:rPr>
        <w:t> -]</w:t>
      </w:r>
    </w:p>
    <w:p w14:paraId="165E9F5F" w14:textId="77777777" w:rsidR="00477B8F" w:rsidRPr="009118AB"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14BADB" w14:textId="77777777" w:rsidR="00477B8F" w:rsidRPr="009118AB"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1513802" w14:textId="1A2EF7C5" w:rsidR="00626241" w:rsidRPr="009118AB" w:rsidRDefault="00477B8F" w:rsidP="00626241">
      <w:pPr>
        <w:autoSpaceDE w:val="0"/>
        <w:autoSpaceDN w:val="0"/>
        <w:adjustRightInd w:val="0"/>
        <w:jc w:val="both"/>
        <w:rPr>
          <w:iCs/>
        </w:rPr>
      </w:pPr>
      <w:r w:rsidRPr="009118AB">
        <w:tab/>
        <w:t>[</w:t>
      </w:r>
      <w:r w:rsidR="00D67EB8" w:rsidRPr="009118AB">
        <w:rPr>
          <w:b/>
          <w:bCs/>
        </w:rPr>
        <w:t>Art. </w:t>
      </w:r>
      <w:r w:rsidRPr="009118AB">
        <w:rPr>
          <w:b/>
          <w:bCs/>
        </w:rPr>
        <w:t>515</w:t>
      </w:r>
      <w:r w:rsidRPr="009118AB">
        <w:rPr>
          <w:b/>
          <w:bCs/>
          <w:i/>
          <w:iCs/>
        </w:rPr>
        <w:t>quater</w:t>
      </w:r>
      <w:r w:rsidR="00D67EB8" w:rsidRPr="009118AB">
        <w:t> - </w:t>
      </w:r>
      <w:r w:rsidR="00D67EB8" w:rsidRPr="009118AB">
        <w:rPr>
          <w:iCs/>
        </w:rPr>
        <w:t>§ </w:t>
      </w:r>
      <w:r w:rsidR="00626241" w:rsidRPr="009118AB">
        <w:rPr>
          <w:iCs/>
        </w:rPr>
        <w:t>1</w:t>
      </w:r>
      <w:r w:rsidR="00D67EB8" w:rsidRPr="009118AB">
        <w:rPr>
          <w:iCs/>
        </w:rPr>
        <w:t> - </w:t>
      </w:r>
      <w:r w:rsidR="00626241" w:rsidRPr="009118AB">
        <w:rPr>
          <w:iCs/>
        </w:rPr>
        <w:t>In Bezug auf Pensionsvereinbarungen, die eingeführt wurden durch ein kollektives Arbeitsabkommen, eine Pensionsregelung oder ein Pensionsabkommen geschlossen vor dem Datum des Inkrafttretens von Artikel 86 des Gesetzes vom 28. April 2003 über ergänzende Pensionen und das Besteuerungssystem für diese Pensionen und für bestimmte Zusatzleistungen im Bereich der sozialen Sicherheit oder die aus der Verlängerung eines vor diesem Datum geschlossenen kollektiven Arbeitsabkommens hervorgehen, sind in Abweichung von den Artikeln 130 bis 168 getrennt steuerpflichtig, außer wenn die derart berechnete Steuer erhöht um die Steuer in Bezug auf die anderen Einkünfte höher ist als die Steuer, die aus der Anwendung vorerwähnter Artikel auf die Gesamtheit der steuerpflichtigen Einkünfte hervorgehen würde:</w:t>
      </w:r>
    </w:p>
    <w:p w14:paraId="23DE4D0A" w14:textId="77777777" w:rsidR="00626241" w:rsidRPr="009118AB" w:rsidRDefault="00626241" w:rsidP="00626241">
      <w:pPr>
        <w:autoSpaceDE w:val="0"/>
        <w:autoSpaceDN w:val="0"/>
        <w:adjustRightInd w:val="0"/>
        <w:jc w:val="both"/>
        <w:rPr>
          <w:iCs/>
        </w:rPr>
      </w:pPr>
    </w:p>
    <w:p w14:paraId="223E47D6" w14:textId="74EC63BE" w:rsidR="00626241" w:rsidRPr="009118AB" w:rsidRDefault="00B20101" w:rsidP="00626241">
      <w:pPr>
        <w:autoSpaceDE w:val="0"/>
        <w:autoSpaceDN w:val="0"/>
        <w:adjustRightInd w:val="0"/>
        <w:jc w:val="both"/>
        <w:rPr>
          <w:iCs/>
        </w:rPr>
      </w:pPr>
      <w:r w:rsidRPr="009118AB">
        <w:rPr>
          <w:i/>
          <w:iCs/>
        </w:rPr>
        <w:tab/>
      </w:r>
      <w:r w:rsidR="00626241" w:rsidRPr="009118AB">
        <w:rPr>
          <w:i/>
          <w:iCs/>
        </w:rPr>
        <w:t>a)</w:t>
      </w:r>
      <w:r w:rsidR="00626241" w:rsidRPr="009118AB">
        <w:rPr>
          <w:iCs/>
        </w:rPr>
        <w:t xml:space="preserve"> zum Steuersatz von 33 Prozent: [in Buchstabe </w:t>
      </w:r>
      <w:r w:rsidR="00626241" w:rsidRPr="009118AB">
        <w:rPr>
          <w:i/>
          <w:iCs/>
        </w:rPr>
        <w:t>c)</w:t>
      </w:r>
      <w:r w:rsidR="00626241" w:rsidRPr="009118AB">
        <w:rPr>
          <w:iCs/>
        </w:rPr>
        <w:t xml:space="preserve"> erwähnte] Kapitalien und Rückkaufswerte in dem Maße, wie sie durch die in Artikel 145</w:t>
      </w:r>
      <w:r w:rsidR="00626241" w:rsidRPr="009118AB">
        <w:rPr>
          <w:iCs/>
          <w:vertAlign w:val="superscript"/>
        </w:rPr>
        <w:t>1</w:t>
      </w:r>
      <w:r w:rsidR="00626241" w:rsidRPr="009118AB">
        <w:rPr>
          <w:iCs/>
        </w:rPr>
        <w:t xml:space="preserve"> </w:t>
      </w:r>
      <w:r w:rsidR="00D67EB8" w:rsidRPr="009118AB">
        <w:rPr>
          <w:iCs/>
        </w:rPr>
        <w:t>Nr. </w:t>
      </w:r>
      <w:r w:rsidR="00626241" w:rsidRPr="009118AB">
        <w:rPr>
          <w:iCs/>
        </w:rPr>
        <w:t>1 erwähnten persönlichen Beiträge gebildet werden und nicht unter den [in Buchstabe </w:t>
      </w:r>
      <w:r w:rsidR="00626241" w:rsidRPr="009118AB">
        <w:rPr>
          <w:i/>
          <w:iCs/>
        </w:rPr>
        <w:t>c)</w:t>
      </w:r>
      <w:r w:rsidR="00626241" w:rsidRPr="009118AB">
        <w:rPr>
          <w:iCs/>
        </w:rPr>
        <w:t xml:space="preserve"> erwähnten] Bedingungen ausgezahlt werden,</w:t>
      </w:r>
    </w:p>
    <w:p w14:paraId="4A569B7F" w14:textId="77777777" w:rsidR="00626241" w:rsidRPr="009118AB" w:rsidRDefault="00626241" w:rsidP="00626241">
      <w:pPr>
        <w:autoSpaceDE w:val="0"/>
        <w:autoSpaceDN w:val="0"/>
        <w:adjustRightInd w:val="0"/>
        <w:jc w:val="both"/>
        <w:rPr>
          <w:i/>
          <w:iCs/>
        </w:rPr>
      </w:pPr>
    </w:p>
    <w:p w14:paraId="7798228D" w14:textId="4FFB5C55" w:rsidR="00626241" w:rsidRPr="009118AB" w:rsidRDefault="00B20101" w:rsidP="00626241">
      <w:pPr>
        <w:autoSpaceDE w:val="0"/>
        <w:autoSpaceDN w:val="0"/>
        <w:adjustRightInd w:val="0"/>
        <w:jc w:val="both"/>
        <w:rPr>
          <w:iCs/>
        </w:rPr>
      </w:pPr>
      <w:r w:rsidRPr="009118AB">
        <w:rPr>
          <w:i/>
          <w:iCs/>
        </w:rPr>
        <w:tab/>
      </w:r>
      <w:r w:rsidR="00626241" w:rsidRPr="009118AB">
        <w:rPr>
          <w:i/>
          <w:iCs/>
        </w:rPr>
        <w:t>b)</w:t>
      </w:r>
      <w:r w:rsidR="00626241" w:rsidRPr="009118AB">
        <w:rPr>
          <w:iCs/>
        </w:rPr>
        <w:t xml:space="preserve"> [</w:t>
      </w:r>
      <w:r w:rsidR="008D5ECA" w:rsidRPr="009118AB">
        <w:rPr>
          <w:iCs/>
        </w:rPr>
        <w:t>zum Steuersatz von 10 Prozent: in Buchstabe </w:t>
      </w:r>
      <w:r w:rsidR="008D5ECA" w:rsidRPr="009118AB">
        <w:rPr>
          <w:i/>
          <w:iCs/>
        </w:rPr>
        <w:t>c)</w:t>
      </w:r>
      <w:r w:rsidR="008D5ECA" w:rsidRPr="009118AB">
        <w:rPr>
          <w:iCs/>
        </w:rPr>
        <w:t xml:space="preserve"> erwähnte Kapitalien und Rück</w:t>
      </w:r>
      <w:r w:rsidR="008D5ECA" w:rsidRPr="009118AB">
        <w:rPr>
          <w:iCs/>
        </w:rPr>
        <w:softHyphen/>
        <w:t>kaufswerte, die unter den in Buchstabe </w:t>
      </w:r>
      <w:r w:rsidR="008D5ECA" w:rsidRPr="009118AB">
        <w:rPr>
          <w:i/>
          <w:iCs/>
        </w:rPr>
        <w:t>c)</w:t>
      </w:r>
      <w:r w:rsidR="008D5ECA" w:rsidRPr="009118AB">
        <w:rPr>
          <w:iCs/>
        </w:rPr>
        <w:t xml:space="preserve"> erwähnten Bedingungen ausgezahlt werden, in dem Maße, wie sie durch die in Artikel 145</w:t>
      </w:r>
      <w:r w:rsidR="008D5ECA" w:rsidRPr="009118AB">
        <w:rPr>
          <w:iCs/>
          <w:vertAlign w:val="superscript"/>
        </w:rPr>
        <w:t>1</w:t>
      </w:r>
      <w:r w:rsidR="008D5ECA" w:rsidRPr="009118AB">
        <w:rPr>
          <w:iCs/>
        </w:rPr>
        <w:t xml:space="preserve"> </w:t>
      </w:r>
      <w:r w:rsidR="00D67EB8" w:rsidRPr="009118AB">
        <w:rPr>
          <w:iCs/>
        </w:rPr>
        <w:t>Nr. </w:t>
      </w:r>
      <w:r w:rsidR="008D5ECA" w:rsidRPr="009118AB">
        <w:rPr>
          <w:iCs/>
        </w:rPr>
        <w:t>1 erwähnten persönlichen Beiträge gebildet werden, oder in dem Maße, wie es sich um Kapitalien handelt, die durch Arbeitgeber- oder Unternehmensbeiträge gebildet werden und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w:t>
      </w:r>
      <w:r w:rsidR="00626241" w:rsidRPr="009118AB">
        <w:rPr>
          <w:iCs/>
        </w:rPr>
        <w:t>]</w:t>
      </w:r>
    </w:p>
    <w:p w14:paraId="2272616D" w14:textId="77777777" w:rsidR="00626241" w:rsidRPr="009118AB" w:rsidRDefault="00626241" w:rsidP="00626241">
      <w:pPr>
        <w:autoSpaceDE w:val="0"/>
        <w:autoSpaceDN w:val="0"/>
        <w:adjustRightInd w:val="0"/>
        <w:jc w:val="both"/>
        <w:rPr>
          <w:iCs/>
        </w:rPr>
      </w:pPr>
    </w:p>
    <w:p w14:paraId="19106326" w14:textId="262B2C24" w:rsidR="00626241" w:rsidRPr="009118AB" w:rsidRDefault="00B20101" w:rsidP="00626241">
      <w:pPr>
        <w:autoSpaceDE w:val="0"/>
        <w:autoSpaceDN w:val="0"/>
        <w:adjustRightInd w:val="0"/>
        <w:jc w:val="both"/>
        <w:rPr>
          <w:iCs/>
        </w:rPr>
      </w:pPr>
      <w:r w:rsidRPr="009118AB">
        <w:rPr>
          <w:i/>
          <w:iCs/>
        </w:rPr>
        <w:tab/>
      </w:r>
      <w:r w:rsidR="00626241" w:rsidRPr="009118AB">
        <w:rPr>
          <w:i/>
          <w:iCs/>
        </w:rPr>
        <w:t>c)</w:t>
      </w:r>
      <w:r w:rsidR="00626241" w:rsidRPr="009118AB">
        <w:rPr>
          <w:iCs/>
        </w:rPr>
        <w:t xml:space="preserve"> [</w:t>
      </w:r>
      <w:r w:rsidR="008D5ECA" w:rsidRPr="009118AB">
        <w:rPr>
          <w:iCs/>
        </w:rPr>
        <w:t xml:space="preserve">zum Steuersatz von 16,5 Prozent: in Artikel 34 </w:t>
      </w:r>
      <w:r w:rsidR="00D67EB8" w:rsidRPr="009118AB">
        <w:rPr>
          <w:iCs/>
        </w:rPr>
        <w:t>§ </w:t>
      </w:r>
      <w:r w:rsidR="008D5ECA" w:rsidRPr="009118AB">
        <w:rPr>
          <w:iCs/>
        </w:rPr>
        <w:t xml:space="preserve">1 </w:t>
      </w:r>
      <w:r w:rsidR="00D67EB8" w:rsidRPr="009118AB">
        <w:rPr>
          <w:iCs/>
        </w:rPr>
        <w:t>Nr. </w:t>
      </w:r>
      <w:r w:rsidR="008D5ECA" w:rsidRPr="009118AB">
        <w:rPr>
          <w:iCs/>
        </w:rPr>
        <w:t>2 Absatz 1 Buchstabe </w:t>
      </w:r>
      <w:r w:rsidR="008D5ECA" w:rsidRPr="009118AB">
        <w:rPr>
          <w:i/>
          <w:iCs/>
        </w:rPr>
        <w:t>a)</w:t>
      </w:r>
      <w:r w:rsidR="008D5ECA" w:rsidRPr="009118AB">
        <w:rPr>
          <w:iCs/>
        </w:rPr>
        <w:t xml:space="preserve"> bis </w:t>
      </w:r>
      <w:r w:rsidR="008D5ECA" w:rsidRPr="009118AB">
        <w:rPr>
          <w:i/>
          <w:iCs/>
        </w:rPr>
        <w:t>c)</w:t>
      </w:r>
      <w:r w:rsidR="008D5ECA" w:rsidRPr="009118AB">
        <w:rPr>
          <w:iCs/>
        </w:rPr>
        <w:t xml:space="preserve"> erwähnte Kapitalien und Rückkaufswerte, die nicht gemäß Artikel 169 </w:t>
      </w:r>
      <w:r w:rsidR="00D67EB8" w:rsidRPr="009118AB">
        <w:rPr>
          <w:iCs/>
        </w:rPr>
        <w:t>§ </w:t>
      </w:r>
      <w:r w:rsidR="008D5ECA" w:rsidRPr="009118AB">
        <w:rPr>
          <w:iCs/>
        </w:rPr>
        <w:t>1 steuerpflichtig sind, in dem Maße, wie diese Kapitalien oder Rückkaufswerte nicht durch persönliche Beiträge erwähnt in Artikel 145</w:t>
      </w:r>
      <w:r w:rsidR="008D5ECA" w:rsidRPr="009118AB">
        <w:rPr>
          <w:iCs/>
          <w:vertAlign w:val="superscript"/>
        </w:rPr>
        <w:t>1</w:t>
      </w:r>
      <w:r w:rsidR="008D5ECA" w:rsidRPr="009118AB">
        <w:rPr>
          <w:iCs/>
        </w:rPr>
        <w:t xml:space="preserve"> </w:t>
      </w:r>
      <w:r w:rsidR="00D67EB8" w:rsidRPr="009118AB">
        <w:rPr>
          <w:iCs/>
        </w:rPr>
        <w:t>Nr. </w:t>
      </w:r>
      <w:r w:rsidR="008D5ECA" w:rsidRPr="009118AB">
        <w:rPr>
          <w:iCs/>
        </w:rPr>
        <w:t>1 gebildet werden, oder in dem Maße, wie es sich nicht um Kapitalien handelt, die durch Arbeitgeber- oder Unternehmensbeiträge gebildet werden und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 und wenn diese Kapitalien oder Rückkaufswerte dem Empfänger spätestens am 31. Dezember 2009 ausgezahlt werden:</w:t>
      </w:r>
      <w:r w:rsidR="00626241" w:rsidRPr="009118AB">
        <w:rPr>
          <w:iCs/>
        </w:rPr>
        <w:t>]</w:t>
      </w:r>
    </w:p>
    <w:p w14:paraId="24B86666" w14:textId="77777777" w:rsidR="00626241" w:rsidRPr="009118AB" w:rsidRDefault="00626241" w:rsidP="00626241">
      <w:pPr>
        <w:autoSpaceDE w:val="0"/>
        <w:autoSpaceDN w:val="0"/>
        <w:adjustRightInd w:val="0"/>
        <w:jc w:val="both"/>
        <w:rPr>
          <w:iCs/>
        </w:rPr>
      </w:pPr>
    </w:p>
    <w:p w14:paraId="513D165E"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1. in Bezug auf Kapitalien und Rückkaufswerte eines Versicherungsvertrags:</w:t>
      </w:r>
    </w:p>
    <w:p w14:paraId="2F9000A5" w14:textId="77777777" w:rsidR="00626241" w:rsidRPr="009118AB" w:rsidRDefault="00626241" w:rsidP="00626241">
      <w:pPr>
        <w:autoSpaceDE w:val="0"/>
        <w:autoSpaceDN w:val="0"/>
        <w:adjustRightInd w:val="0"/>
        <w:jc w:val="both"/>
        <w:rPr>
          <w:iCs/>
        </w:rPr>
      </w:pPr>
    </w:p>
    <w:p w14:paraId="42759461"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 bei normalem Vertragsablauf,</w:t>
      </w:r>
    </w:p>
    <w:p w14:paraId="33CA304B" w14:textId="77777777" w:rsidR="00626241" w:rsidRPr="009118AB" w:rsidRDefault="00626241" w:rsidP="00626241">
      <w:pPr>
        <w:autoSpaceDE w:val="0"/>
        <w:autoSpaceDN w:val="0"/>
        <w:adjustRightInd w:val="0"/>
        <w:jc w:val="both"/>
        <w:rPr>
          <w:iCs/>
        </w:rPr>
      </w:pPr>
    </w:p>
    <w:p w14:paraId="6EAB8C07"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 bei Tod des Versicherten,</w:t>
      </w:r>
    </w:p>
    <w:p w14:paraId="4627E021" w14:textId="77777777" w:rsidR="00626241" w:rsidRPr="009118AB" w:rsidRDefault="00626241" w:rsidP="00626241">
      <w:pPr>
        <w:autoSpaceDE w:val="0"/>
        <w:autoSpaceDN w:val="0"/>
        <w:adjustRightInd w:val="0"/>
        <w:jc w:val="both"/>
        <w:rPr>
          <w:iCs/>
        </w:rPr>
      </w:pPr>
    </w:p>
    <w:p w14:paraId="02CE27EF"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 anlässlich der Versetzung in den Ruhestand oder der Frühpensionierung des Versicherten,</w:t>
      </w:r>
    </w:p>
    <w:p w14:paraId="39DEBC6A" w14:textId="77777777" w:rsidR="00626241" w:rsidRPr="009118AB" w:rsidRDefault="00626241" w:rsidP="00626241">
      <w:pPr>
        <w:autoSpaceDE w:val="0"/>
        <w:autoSpaceDN w:val="0"/>
        <w:adjustRightInd w:val="0"/>
        <w:jc w:val="both"/>
        <w:rPr>
          <w:iCs/>
        </w:rPr>
      </w:pPr>
    </w:p>
    <w:p w14:paraId="30EEF804"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 in einem der fünf Jahre vor dem normalen Vertragsablauf,</w:t>
      </w:r>
    </w:p>
    <w:p w14:paraId="5AAD8333" w14:textId="77777777" w:rsidR="00626241" w:rsidRPr="009118AB" w:rsidRDefault="00626241" w:rsidP="00626241">
      <w:pPr>
        <w:autoSpaceDE w:val="0"/>
        <w:autoSpaceDN w:val="0"/>
        <w:adjustRightInd w:val="0"/>
        <w:jc w:val="both"/>
        <w:rPr>
          <w:iCs/>
        </w:rPr>
      </w:pPr>
    </w:p>
    <w:p w14:paraId="4D8F1BE2"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 zum normalen Alter, in dem der Empfänger seine Berufstätigkeit, aufgrund deren das Kapital gebildet wurde, vollständig und definitiv einstellt,</w:t>
      </w:r>
    </w:p>
    <w:p w14:paraId="062D9D93" w14:textId="77777777" w:rsidR="00626241" w:rsidRPr="009118AB" w:rsidRDefault="00626241" w:rsidP="00626241">
      <w:pPr>
        <w:autoSpaceDE w:val="0"/>
        <w:autoSpaceDN w:val="0"/>
        <w:adjustRightInd w:val="0"/>
        <w:jc w:val="both"/>
        <w:rPr>
          <w:iCs/>
        </w:rPr>
      </w:pPr>
    </w:p>
    <w:p w14:paraId="1F02B62B"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2. in Bezug auf andere Kapitalien und Rückkaufswerte:</w:t>
      </w:r>
    </w:p>
    <w:p w14:paraId="46135814" w14:textId="77777777" w:rsidR="00626241" w:rsidRPr="009118AB" w:rsidRDefault="00626241" w:rsidP="00626241">
      <w:pPr>
        <w:autoSpaceDE w:val="0"/>
        <w:autoSpaceDN w:val="0"/>
        <w:adjustRightInd w:val="0"/>
        <w:jc w:val="both"/>
        <w:rPr>
          <w:iCs/>
        </w:rPr>
      </w:pPr>
    </w:p>
    <w:p w14:paraId="6F26C38A"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 frühestens anlässlich der Versetzung in den Ruhestand am normalen Datum oder in einem der fünf Jahre vor diesem Datum,</w:t>
      </w:r>
    </w:p>
    <w:p w14:paraId="3D2881E4" w14:textId="77777777" w:rsidR="00626241" w:rsidRPr="009118AB" w:rsidRDefault="00626241" w:rsidP="00626241">
      <w:pPr>
        <w:autoSpaceDE w:val="0"/>
        <w:autoSpaceDN w:val="0"/>
        <w:adjustRightInd w:val="0"/>
        <w:jc w:val="both"/>
        <w:rPr>
          <w:iCs/>
        </w:rPr>
      </w:pPr>
    </w:p>
    <w:p w14:paraId="560BCBF0"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 anlässlich der Frühpensionierung,</w:t>
      </w:r>
    </w:p>
    <w:p w14:paraId="1D9B944D" w14:textId="77777777" w:rsidR="00626241" w:rsidRPr="009118AB" w:rsidRDefault="00626241" w:rsidP="00626241">
      <w:pPr>
        <w:autoSpaceDE w:val="0"/>
        <w:autoSpaceDN w:val="0"/>
        <w:adjustRightInd w:val="0"/>
        <w:jc w:val="both"/>
        <w:rPr>
          <w:iCs/>
        </w:rPr>
      </w:pPr>
    </w:p>
    <w:p w14:paraId="749506D7"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 anlässlich des Todes der Person, deren Rechtsnachfolger er ist,</w:t>
      </w:r>
    </w:p>
    <w:p w14:paraId="14346124" w14:textId="77777777" w:rsidR="00626241" w:rsidRPr="009118AB" w:rsidRDefault="00626241" w:rsidP="00626241">
      <w:pPr>
        <w:autoSpaceDE w:val="0"/>
        <w:autoSpaceDN w:val="0"/>
        <w:adjustRightInd w:val="0"/>
        <w:jc w:val="both"/>
        <w:rPr>
          <w:iCs/>
        </w:rPr>
      </w:pPr>
    </w:p>
    <w:p w14:paraId="387F5F72" w14:textId="77777777" w:rsidR="00626241" w:rsidRPr="009118AB" w:rsidRDefault="00B20101" w:rsidP="00626241">
      <w:pPr>
        <w:autoSpaceDE w:val="0"/>
        <w:autoSpaceDN w:val="0"/>
        <w:adjustRightInd w:val="0"/>
        <w:jc w:val="both"/>
        <w:rPr>
          <w:iCs/>
        </w:rPr>
      </w:pPr>
      <w:r w:rsidRPr="009118AB">
        <w:rPr>
          <w:iCs/>
        </w:rPr>
        <w:tab/>
      </w:r>
      <w:r w:rsidR="00626241" w:rsidRPr="009118AB">
        <w:rPr>
          <w:iCs/>
        </w:rPr>
        <w:t>- zum normalen Alter, in dem der Empfänger seine Berufstätigkeit, aufgrund deren das Kapital gebildet wurde, vollständig und definitiv einstellt.</w:t>
      </w:r>
    </w:p>
    <w:p w14:paraId="097D6931" w14:textId="77777777" w:rsidR="00626241" w:rsidRPr="009118AB" w:rsidRDefault="00626241" w:rsidP="00626241">
      <w:pPr>
        <w:autoSpaceDE w:val="0"/>
        <w:autoSpaceDN w:val="0"/>
        <w:adjustRightInd w:val="0"/>
        <w:jc w:val="both"/>
        <w:rPr>
          <w:iCs/>
        </w:rPr>
      </w:pPr>
    </w:p>
    <w:p w14:paraId="2B3928EF" w14:textId="4C58953D" w:rsidR="00626241" w:rsidRPr="009118AB" w:rsidRDefault="00B20101" w:rsidP="00626241">
      <w:pPr>
        <w:autoSpaceDE w:val="0"/>
        <w:autoSpaceDN w:val="0"/>
        <w:adjustRightInd w:val="0"/>
        <w:jc w:val="both"/>
        <w:rPr>
          <w:iCs/>
        </w:rPr>
      </w:pPr>
      <w:r w:rsidRPr="009118AB">
        <w:rPr>
          <w:iCs/>
        </w:rPr>
        <w:tab/>
      </w:r>
      <w:r w:rsidR="00626241" w:rsidRPr="009118AB">
        <w:rPr>
          <w:iCs/>
        </w:rPr>
        <w:t xml:space="preserve">Vorhergehender Absatz ist ebenfalls auf nicht gemäß Artikel 169 </w:t>
      </w:r>
      <w:r w:rsidR="00D67EB8" w:rsidRPr="009118AB">
        <w:rPr>
          <w:iCs/>
        </w:rPr>
        <w:t>§ </w:t>
      </w:r>
      <w:r w:rsidR="00626241" w:rsidRPr="009118AB">
        <w:rPr>
          <w:iCs/>
        </w:rPr>
        <w:t xml:space="preserve">1 steuerpflichtige Kapitalien und Rückkaufswerte von ergänzenden Pensionsvereinbarungen anwendbar, die vor Inkrafttreten von Artikel 86 des Gesetzes vom 28. April 2003 über ergänzende Pensionen und das Besteuerungssystem für diese Pensionen und für bestimmte Zusatzleistungen im Bereich der sozialen Sicherheit zugunsten der in Artikel 32 Absatz 1 </w:t>
      </w:r>
      <w:r w:rsidR="00D67EB8" w:rsidRPr="009118AB">
        <w:rPr>
          <w:iCs/>
        </w:rPr>
        <w:t>Nr. </w:t>
      </w:r>
      <w:r w:rsidR="00626241" w:rsidRPr="009118AB">
        <w:rPr>
          <w:iCs/>
        </w:rPr>
        <w:t>1 erwähnten Unternehmensleiter abgeschlossen wurden, die Entlohnungen bezogen, auf die die Rechtsvorschriften über die soziale Sicherheit der Selbständigen anwendbar sind und die daher nicht in den Geltungsbereich des vorerwähnten Gesetzes fallen.</w:t>
      </w:r>
    </w:p>
    <w:p w14:paraId="4AE43223" w14:textId="77777777" w:rsidR="00626241" w:rsidRPr="009118AB" w:rsidRDefault="00626241" w:rsidP="00626241">
      <w:pPr>
        <w:autoSpaceDE w:val="0"/>
        <w:autoSpaceDN w:val="0"/>
        <w:adjustRightInd w:val="0"/>
        <w:jc w:val="both"/>
        <w:rPr>
          <w:iCs/>
        </w:rPr>
      </w:pPr>
    </w:p>
    <w:p w14:paraId="2F645656" w14:textId="4135E5C1" w:rsidR="00626241" w:rsidRPr="009118AB" w:rsidRDefault="00B20101" w:rsidP="00626241">
      <w:pPr>
        <w:autoSpaceDE w:val="0"/>
        <w:autoSpaceDN w:val="0"/>
        <w:adjustRightInd w:val="0"/>
        <w:jc w:val="both"/>
        <w:rPr>
          <w:iCs/>
        </w:rPr>
      </w:pPr>
      <w:r w:rsidRPr="009118AB">
        <w:rPr>
          <w:iCs/>
        </w:rPr>
        <w:tab/>
      </w:r>
      <w:r w:rsidR="00D67EB8" w:rsidRPr="009118AB">
        <w:rPr>
          <w:iCs/>
        </w:rPr>
        <w:t>§ </w:t>
      </w:r>
      <w:r w:rsidR="00626241" w:rsidRPr="009118AB">
        <w:rPr>
          <w:iCs/>
        </w:rPr>
        <w:t>2</w:t>
      </w:r>
      <w:r w:rsidR="00D67EB8" w:rsidRPr="009118AB">
        <w:rPr>
          <w:iCs/>
        </w:rPr>
        <w:t> - </w:t>
      </w:r>
      <w:r w:rsidR="00626241" w:rsidRPr="009118AB">
        <w:rPr>
          <w:iCs/>
        </w:rPr>
        <w:t xml:space="preserve">[In Abweichung von </w:t>
      </w:r>
      <w:r w:rsidR="00D67EB8" w:rsidRPr="009118AB">
        <w:rPr>
          <w:iCs/>
        </w:rPr>
        <w:t>§ </w:t>
      </w:r>
      <w:r w:rsidR="00626241" w:rsidRPr="009118AB">
        <w:rPr>
          <w:iCs/>
        </w:rPr>
        <w:t xml:space="preserve">1 werden für Pensionsvereinbarungen, die eingeführt werden durch ein kollektives Arbeitsabkommen, eine Pensionsregelung oder ein Pensionsabkommen geschlossen in den sechs Monaten nach dem Datum der Veröffentlichung des Gesetzes vom 28. April 2003 über ergänzende Pensionen und das Besteuerungssystem für diese Pensionen und für bestimmte Zusatzleistungen im Bereich der sozialen Sicherheit im Belgischen Staatsblatt, in Artikel 171 </w:t>
      </w:r>
      <w:r w:rsidR="00D67EB8" w:rsidRPr="009118AB">
        <w:rPr>
          <w:iCs/>
        </w:rPr>
        <w:t>Nr. </w:t>
      </w:r>
      <w:r w:rsidR="00626241" w:rsidRPr="009118AB">
        <w:rPr>
          <w:iCs/>
        </w:rPr>
        <w:t>4 Buchstabe </w:t>
      </w:r>
      <w:r w:rsidR="00626241" w:rsidRPr="009118AB">
        <w:rPr>
          <w:i/>
          <w:iCs/>
        </w:rPr>
        <w:t>f)</w:t>
      </w:r>
      <w:r w:rsidR="00626241" w:rsidRPr="009118AB">
        <w:rPr>
          <w:iCs/>
        </w:rPr>
        <w:t xml:space="preserve"> die Wörter "anlässlich seiner Versetzung in den Ruhestand oder ab dem Alter von sechzig Jahren oder anlässlich des Todes der Person, deren Rechtsnachfolger er ist" bis einschließlich zum 31. Dezember 2009 durch die Wörter "anlässlich seiner Versetzung in den Ruhestand oder ab dem Alter von achtundfünfzig Jahren oder anlässlich des Todes der Person, deren Rechtsnachfolger er ist" ersetzt.]]</w:t>
      </w:r>
    </w:p>
    <w:p w14:paraId="3750F11E" w14:textId="77777777" w:rsidR="00626241" w:rsidRPr="009118AB" w:rsidRDefault="00626241" w:rsidP="00626241">
      <w:pPr>
        <w:autoSpaceDE w:val="0"/>
        <w:autoSpaceDN w:val="0"/>
        <w:adjustRightInd w:val="0"/>
        <w:jc w:val="both"/>
        <w:rPr>
          <w:iCs/>
        </w:rPr>
      </w:pPr>
    </w:p>
    <w:p w14:paraId="373ED780" w14:textId="75F82C2B" w:rsidR="00626241" w:rsidRPr="009118AB" w:rsidRDefault="00626241" w:rsidP="00626241">
      <w:pPr>
        <w:autoSpaceDE w:val="0"/>
        <w:autoSpaceDN w:val="0"/>
        <w:adjustRightInd w:val="0"/>
        <w:jc w:val="both"/>
        <w:rPr>
          <w:iCs/>
        </w:rPr>
      </w:pPr>
      <w:r w:rsidRPr="009118AB">
        <w:rPr>
          <w:i/>
          <w:iCs/>
        </w:rPr>
        <w:t>[</w:t>
      </w:r>
      <w:r w:rsidR="00D67EB8" w:rsidRPr="009118AB">
        <w:rPr>
          <w:i/>
          <w:iCs/>
        </w:rPr>
        <w:t>Art. </w:t>
      </w:r>
      <w:r w:rsidRPr="009118AB">
        <w:rPr>
          <w:i/>
          <w:iCs/>
        </w:rPr>
        <w:t xml:space="preserve">515quater eingefügt durch </w:t>
      </w:r>
      <w:r w:rsidR="00D67EB8" w:rsidRPr="009118AB">
        <w:rPr>
          <w:i/>
          <w:iCs/>
        </w:rPr>
        <w:t>Art. </w:t>
      </w:r>
      <w:r w:rsidRPr="009118AB">
        <w:rPr>
          <w:i/>
          <w:iCs/>
        </w:rPr>
        <w:t>93 des G. vom 28. April</w:t>
      </w:r>
      <w:r w:rsidR="00B64F05" w:rsidRPr="009118AB">
        <w:rPr>
          <w:i/>
          <w:iCs/>
        </w:rPr>
        <w:t> 2003 (B.S. vom 15. Mai 2003)</w:t>
      </w:r>
      <w:r w:rsidR="00D67EB8" w:rsidRPr="009118AB">
        <w:rPr>
          <w:i/>
          <w:iCs/>
        </w:rPr>
        <w:t> - </w:t>
      </w:r>
      <w:r w:rsidRPr="009118AB">
        <w:rPr>
          <w:i/>
          <w:iCs/>
        </w:rPr>
        <w:t>anwendbar ab dem 1. Januar 2004</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Buchstabe a) abgeändert durch </w:t>
      </w:r>
      <w:r w:rsidR="00D67EB8" w:rsidRPr="009118AB">
        <w:rPr>
          <w:i/>
          <w:iCs/>
        </w:rPr>
        <w:t>Art. </w:t>
      </w:r>
      <w:r w:rsidRPr="009118AB">
        <w:rPr>
          <w:i/>
          <w:iCs/>
        </w:rPr>
        <w:t xml:space="preserve">180 </w:t>
      </w:r>
      <w:r w:rsidR="00D67EB8" w:rsidRPr="009118AB">
        <w:rPr>
          <w:i/>
          <w:iCs/>
        </w:rPr>
        <w:t>Nr. </w:t>
      </w:r>
      <w:r w:rsidRPr="009118AB">
        <w:rPr>
          <w:i/>
          <w:iCs/>
        </w:rPr>
        <w:t>1 des G. vom 27. Dezember 2005 (II) (B.S. vom 30. Dezember 2005)</w:t>
      </w:r>
      <w:r w:rsidR="00D67EB8" w:rsidRPr="009118AB">
        <w:rPr>
          <w:i/>
          <w:iCs/>
        </w:rPr>
        <w:t> - </w:t>
      </w:r>
      <w:r w:rsidRPr="009118AB">
        <w:rPr>
          <w:i/>
          <w:iCs/>
        </w:rPr>
        <w:t>wirksam mit dem 1. Januar 2004</w:t>
      </w:r>
      <w:r w:rsidR="003366D9" w:rsidRPr="009118AB">
        <w:rPr>
          <w:i/>
          <w:iCs/>
        </w:rPr>
        <w:t> -;</w:t>
      </w:r>
      <w:r w:rsidRPr="009118AB">
        <w:rPr>
          <w:i/>
          <w:iCs/>
        </w:rPr>
        <w:t xml:space="preserve"> </w:t>
      </w:r>
      <w:r w:rsidR="00D67EB8" w:rsidRPr="009118AB">
        <w:rPr>
          <w:i/>
          <w:iCs/>
        </w:rPr>
        <w:t>§ </w:t>
      </w:r>
      <w:r w:rsidRPr="009118AB">
        <w:rPr>
          <w:i/>
          <w:iCs/>
        </w:rPr>
        <w:t xml:space="preserve">1 einziger Absatz Buchstabe b) ersetzt durch </w:t>
      </w:r>
      <w:r w:rsidR="00D67EB8" w:rsidRPr="009118AB">
        <w:rPr>
          <w:i/>
          <w:iCs/>
        </w:rPr>
        <w:t>Art. </w:t>
      </w:r>
      <w:r w:rsidR="008D5ECA" w:rsidRPr="009118AB">
        <w:rPr>
          <w:i/>
          <w:iCs/>
        </w:rPr>
        <w:t xml:space="preserve">129 </w:t>
      </w:r>
      <w:r w:rsidR="00D67EB8" w:rsidRPr="009118AB">
        <w:rPr>
          <w:i/>
          <w:iCs/>
        </w:rPr>
        <w:t>Nr. </w:t>
      </w:r>
      <w:r w:rsidR="008D5ECA" w:rsidRPr="009118AB">
        <w:rPr>
          <w:i/>
          <w:iCs/>
        </w:rPr>
        <w:t>1 des G. (I) vom 22. Dezember 2008 (II) (B.S. vom 29. Dezember 2008)</w:t>
      </w:r>
      <w:r w:rsidR="00D67EB8" w:rsidRPr="009118AB">
        <w:rPr>
          <w:i/>
          <w:iCs/>
        </w:rPr>
        <w:t> - </w:t>
      </w:r>
      <w:r w:rsidR="008D5ECA" w:rsidRPr="009118AB">
        <w:rPr>
          <w:i/>
          <w:iCs/>
        </w:rPr>
        <w:t>anwendbar auf die ab dem 1. Januar 2009 gezahlten oder zuerkannten Leistungen</w:t>
      </w:r>
      <w:r w:rsidR="003366D9" w:rsidRPr="009118AB">
        <w:rPr>
          <w:i/>
          <w:iCs/>
        </w:rPr>
        <w:t> -;</w:t>
      </w:r>
      <w:r w:rsidRPr="009118AB">
        <w:rPr>
          <w:i/>
          <w:iCs/>
        </w:rPr>
        <w:t xml:space="preserve"> </w:t>
      </w:r>
      <w:r w:rsidR="00D67EB8" w:rsidRPr="009118AB">
        <w:rPr>
          <w:i/>
          <w:iCs/>
        </w:rPr>
        <w:t>§ </w:t>
      </w:r>
      <w:r w:rsidRPr="009118AB">
        <w:rPr>
          <w:i/>
          <w:iCs/>
        </w:rPr>
        <w:t xml:space="preserve">1 einziger Absatz Buchstabe c) einziger Absatz einleitende Bestimmung ersetzt durch </w:t>
      </w:r>
      <w:r w:rsidR="00D67EB8" w:rsidRPr="009118AB">
        <w:rPr>
          <w:i/>
          <w:iCs/>
        </w:rPr>
        <w:t>Art. </w:t>
      </w:r>
      <w:r w:rsidR="008D5ECA" w:rsidRPr="009118AB">
        <w:rPr>
          <w:i/>
          <w:iCs/>
        </w:rPr>
        <w:t xml:space="preserve">129 </w:t>
      </w:r>
      <w:r w:rsidR="00D67EB8" w:rsidRPr="009118AB">
        <w:rPr>
          <w:i/>
          <w:iCs/>
        </w:rPr>
        <w:t>Nr. </w:t>
      </w:r>
      <w:r w:rsidR="008D5ECA" w:rsidRPr="009118AB">
        <w:rPr>
          <w:i/>
          <w:iCs/>
        </w:rPr>
        <w:t>2 des G. (I) vom 22. Dezember 2008 (II) (B.S. vom 29. Dezember 2008)</w:t>
      </w:r>
      <w:r w:rsidR="00D67EB8" w:rsidRPr="009118AB">
        <w:rPr>
          <w:i/>
          <w:iCs/>
        </w:rPr>
        <w:t> - </w:t>
      </w:r>
      <w:r w:rsidR="008D5ECA" w:rsidRPr="009118AB">
        <w:rPr>
          <w:i/>
          <w:iCs/>
        </w:rPr>
        <w:t>anwendbar auf die ab dem 1. Januar 2009 gezahlten oder zuerkannten Leistungen</w:t>
      </w:r>
      <w:r w:rsidR="003366D9" w:rsidRPr="009118AB">
        <w:rPr>
          <w:i/>
          <w:iCs/>
        </w:rPr>
        <w:t> -;</w:t>
      </w:r>
      <w:r w:rsidRPr="009118AB">
        <w:rPr>
          <w:i/>
          <w:iCs/>
        </w:rPr>
        <w:t xml:space="preserve"> </w:t>
      </w:r>
      <w:r w:rsidR="00D67EB8" w:rsidRPr="009118AB">
        <w:rPr>
          <w:i/>
          <w:iCs/>
        </w:rPr>
        <w:t>§ </w:t>
      </w:r>
      <w:r w:rsidRPr="009118AB">
        <w:rPr>
          <w:i/>
          <w:iCs/>
        </w:rPr>
        <w:t xml:space="preserve">2 ersetzt durch </w:t>
      </w:r>
      <w:r w:rsidR="00D67EB8" w:rsidRPr="009118AB">
        <w:rPr>
          <w:i/>
          <w:iCs/>
        </w:rPr>
        <w:t>Art. </w:t>
      </w:r>
      <w:r w:rsidRPr="009118AB">
        <w:rPr>
          <w:i/>
          <w:iCs/>
        </w:rPr>
        <w:t xml:space="preserve">180 </w:t>
      </w:r>
      <w:r w:rsidR="00D67EB8" w:rsidRPr="009118AB">
        <w:rPr>
          <w:i/>
          <w:iCs/>
        </w:rPr>
        <w:t>Nr. </w:t>
      </w:r>
      <w:r w:rsidRPr="009118AB">
        <w:rPr>
          <w:i/>
          <w:iCs/>
        </w:rPr>
        <w:t>2 des G. vom 27. Dezember 2005 (II) (B.S. vom 30. Dezember 2005)</w:t>
      </w:r>
      <w:r w:rsidR="00D67EB8" w:rsidRPr="009118AB">
        <w:rPr>
          <w:i/>
          <w:iCs/>
        </w:rPr>
        <w:t> - </w:t>
      </w:r>
      <w:r w:rsidRPr="009118AB">
        <w:rPr>
          <w:i/>
          <w:iCs/>
        </w:rPr>
        <w:t>wirksam mit dem 1. Januar 2004</w:t>
      </w:r>
      <w:r w:rsidR="00FD68E8" w:rsidRPr="009118AB">
        <w:rPr>
          <w:i/>
          <w:iCs/>
        </w:rPr>
        <w:t> -]</w:t>
      </w:r>
    </w:p>
    <w:p w14:paraId="00DE2DE8" w14:textId="77777777" w:rsidR="00626241" w:rsidRPr="009118AB" w:rsidRDefault="00626241" w:rsidP="003727BE">
      <w:pPr>
        <w:autoSpaceDE w:val="0"/>
        <w:autoSpaceDN w:val="0"/>
        <w:adjustRightInd w:val="0"/>
        <w:jc w:val="both"/>
      </w:pPr>
    </w:p>
    <w:p w14:paraId="6693E00A" w14:textId="77777777" w:rsidR="00477B8F" w:rsidRPr="009118AB" w:rsidRDefault="00477B8F" w:rsidP="003727BE">
      <w:pPr>
        <w:autoSpaceDE w:val="0"/>
        <w:autoSpaceDN w:val="0"/>
        <w:adjustRightInd w:val="0"/>
        <w:jc w:val="both"/>
      </w:pPr>
    </w:p>
    <w:p w14:paraId="5206D9C4" w14:textId="4C8CCF81"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515</w:t>
      </w:r>
      <w:r w:rsidRPr="009118AB">
        <w:rPr>
          <w:b/>
          <w:bCs/>
          <w:i/>
          <w:iCs/>
        </w:rPr>
        <w:t>quinquies</w:t>
      </w:r>
      <w:r w:rsidR="00D67EB8" w:rsidRPr="009118AB">
        <w:t> - </w:t>
      </w:r>
      <w:r w:rsidRPr="009118AB">
        <w:t xml:space="preserve">Die Artikel 52 </w:t>
      </w:r>
      <w:r w:rsidR="00D67EB8" w:rsidRPr="009118AB">
        <w:t>Nr. </w:t>
      </w:r>
      <w:r w:rsidRPr="009118AB">
        <w:t>3 Buchstabe </w:t>
      </w:r>
      <w:r w:rsidRPr="009118AB">
        <w:rPr>
          <w:i/>
          <w:iCs/>
        </w:rPr>
        <w:t>b)</w:t>
      </w:r>
      <w:r w:rsidRPr="009118AB">
        <w:t xml:space="preserve"> und 195 </w:t>
      </w:r>
      <w:r w:rsidR="00D67EB8" w:rsidRPr="009118AB">
        <w:t>§ </w:t>
      </w:r>
      <w:r w:rsidRPr="009118AB">
        <w:t>2, so wie sie vor ihrer Abänderung durch die Artikel 79 beziehungsweise 87 des Gesetzes vom 28. April 2003 über ergänzende Pensionen und das Besteuerungssystem für diese Pensionen und für bestimmte Zusatzleistungen im Bereich der sozialen Sicherheit bestanden, bleiben auf Lebensversicherungsprämien in Bezug auf Verträge, die vor Inkrafttreten des vorerwähnten Gesetzes zugunsten des Unternehmens auf die Unternehmensleiter abgeschlossen wurden, anwendbar.]</w:t>
      </w:r>
    </w:p>
    <w:p w14:paraId="6BDD1C5A" w14:textId="77777777" w:rsidR="00477B8F" w:rsidRPr="009118AB" w:rsidRDefault="00477B8F" w:rsidP="003727BE">
      <w:pPr>
        <w:autoSpaceDE w:val="0"/>
        <w:autoSpaceDN w:val="0"/>
        <w:adjustRightInd w:val="0"/>
        <w:jc w:val="both"/>
      </w:pPr>
    </w:p>
    <w:p w14:paraId="1C9594F8" w14:textId="7DC6C716"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515quinquies eingefügt durch </w:t>
      </w:r>
      <w:r w:rsidR="00D67EB8" w:rsidRPr="009118AB">
        <w:rPr>
          <w:i/>
          <w:iCs/>
        </w:rPr>
        <w:t>Art. </w:t>
      </w:r>
      <w:r w:rsidRPr="009118AB">
        <w:rPr>
          <w:i/>
          <w:iCs/>
        </w:rPr>
        <w:t>94 des G. vom 28. April 2003 (B.S. vom 15. Mai 2003)</w:t>
      </w:r>
      <w:r w:rsidR="00D67EB8" w:rsidRPr="009118AB">
        <w:rPr>
          <w:i/>
          <w:iCs/>
        </w:rPr>
        <w:t> - </w:t>
      </w:r>
      <w:r w:rsidRPr="009118AB">
        <w:rPr>
          <w:i/>
          <w:iCs/>
        </w:rPr>
        <w:t>anwendbar ab dem 1. Januar 2004</w:t>
      </w:r>
      <w:r w:rsidR="00FD68E8" w:rsidRPr="009118AB">
        <w:rPr>
          <w:i/>
          <w:iCs/>
        </w:rPr>
        <w:t> -]</w:t>
      </w:r>
    </w:p>
    <w:p w14:paraId="3180B3B4" w14:textId="77777777" w:rsidR="000B1DBB" w:rsidRPr="009118AB" w:rsidRDefault="000B1DBB" w:rsidP="003727BE">
      <w:pPr>
        <w:autoSpaceDE w:val="0"/>
        <w:autoSpaceDN w:val="0"/>
        <w:adjustRightInd w:val="0"/>
        <w:jc w:val="both"/>
      </w:pPr>
    </w:p>
    <w:p w14:paraId="317AD06A" w14:textId="77777777" w:rsidR="000B1DBB" w:rsidRPr="009118AB" w:rsidRDefault="000B1DBB" w:rsidP="003727BE">
      <w:pPr>
        <w:autoSpaceDE w:val="0"/>
        <w:autoSpaceDN w:val="0"/>
        <w:adjustRightInd w:val="0"/>
        <w:jc w:val="both"/>
      </w:pPr>
    </w:p>
    <w:p w14:paraId="4F9A4C0C" w14:textId="770FFCC7"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515</w:t>
      </w:r>
      <w:r w:rsidRPr="009118AB">
        <w:rPr>
          <w:b/>
          <w:bCs/>
          <w:i/>
          <w:iCs/>
        </w:rPr>
        <w:t>sexies</w:t>
      </w:r>
      <w:r w:rsidR="00D67EB8" w:rsidRPr="009118AB">
        <w:t> - </w:t>
      </w:r>
      <w:r w:rsidRPr="009118AB">
        <w:t xml:space="preserve">Wird eine Übertragung von Kapitalien oder Rückkaufswerten, die durch die in Artikel 195 </w:t>
      </w:r>
      <w:r w:rsidR="00D67EB8" w:rsidRPr="009118AB">
        <w:t>§ </w:t>
      </w:r>
      <w:r w:rsidRPr="009118AB">
        <w:t xml:space="preserve">2 erwähnten Lebensversicherungsprämien gebildet werden, die den in Artikel 195 </w:t>
      </w:r>
      <w:r w:rsidR="00D67EB8" w:rsidRPr="009118AB">
        <w:t>§ </w:t>
      </w:r>
      <w:r w:rsidRPr="009118AB">
        <w:t xml:space="preserve">1 Absatz 2 erwähnten Beiträgen gleichgesetzt werden, so wie sie vor ihrer Abänderung durch Artikel 87 des Gesetzes vom 28. April 2003 über ergänzende Pensionen und das Besteuerungssystem für diese Pensionen und für bestimmte Zusatzleistungen im Bereich der sozialen Sicherheit bestanden, [durch das Versicherungsunternehmen, die Vorsorgeeinrichtung oder die Einrichtung der betrieblichen Altersversorgung, bei dem beziehungsweise der] vorerwähnte Kapitalien oder Rückkaufswerte gebildet wurden, vorgenommen, um sie ausschließlich zugunsten des Unternehmensleiters, auf den der Vertrag abgeschlossen wurde, zur Ausführung einer ergänzenden Pensionsvereinbarung in Bezug auf eine Ruhestands- und/oder Hinterbliebenenpension zu verwenden, ist Artikel 38 </w:t>
      </w:r>
      <w:r w:rsidR="00D67EB8" w:rsidRPr="009118AB">
        <w:t>§ </w:t>
      </w:r>
      <w:r w:rsidRPr="009118AB">
        <w:t xml:space="preserve">1 Absatz 1 </w:t>
      </w:r>
      <w:r w:rsidR="00D67EB8" w:rsidRPr="009118AB">
        <w:t>Nr. </w:t>
      </w:r>
      <w:r w:rsidRPr="009118AB">
        <w:t>19 auf Summen anwendbar, die anlässlich einer solchen Verrichtung übertragen werden, sofern nachstehende Bedingungen erfüllt werden:</w:t>
      </w:r>
    </w:p>
    <w:p w14:paraId="6D644485" w14:textId="77777777" w:rsidR="00477B8F" w:rsidRPr="009118AB" w:rsidRDefault="00477B8F" w:rsidP="003727BE">
      <w:pPr>
        <w:autoSpaceDE w:val="0"/>
        <w:autoSpaceDN w:val="0"/>
        <w:adjustRightInd w:val="0"/>
        <w:jc w:val="both"/>
      </w:pPr>
    </w:p>
    <w:p w14:paraId="3AA58C31" w14:textId="77777777" w:rsidR="00477B8F" w:rsidRPr="009118AB" w:rsidRDefault="00477B8F" w:rsidP="003727BE">
      <w:pPr>
        <w:autoSpaceDE w:val="0"/>
        <w:autoSpaceDN w:val="0"/>
        <w:adjustRightInd w:val="0"/>
        <w:jc w:val="both"/>
      </w:pPr>
      <w:r w:rsidRPr="009118AB">
        <w:tab/>
        <w:t>- Die Übertragung wird innerhalb einer Frist von drei Jahren ab Inkrafttreten des vorerwähnten Gesetzes vorgenommen.</w:t>
      </w:r>
    </w:p>
    <w:p w14:paraId="7C000099" w14:textId="77777777" w:rsidR="00477B8F" w:rsidRPr="009118AB" w:rsidRDefault="00477B8F" w:rsidP="003727BE">
      <w:pPr>
        <w:autoSpaceDE w:val="0"/>
        <w:autoSpaceDN w:val="0"/>
        <w:adjustRightInd w:val="0"/>
        <w:jc w:val="both"/>
      </w:pPr>
    </w:p>
    <w:p w14:paraId="2723F4C1" w14:textId="77777777" w:rsidR="00477B8F" w:rsidRPr="009118AB" w:rsidRDefault="00477B8F" w:rsidP="003727BE">
      <w:pPr>
        <w:autoSpaceDE w:val="0"/>
        <w:autoSpaceDN w:val="0"/>
        <w:adjustRightInd w:val="0"/>
        <w:jc w:val="both"/>
      </w:pPr>
      <w:r w:rsidRPr="009118AB">
        <w:tab/>
        <w:t>- Die Bedingungen und die Grenze festgelegt in Artikel 195 werden bis zum Zeitpunkt der Übertragung eingehalten.</w:t>
      </w:r>
    </w:p>
    <w:p w14:paraId="29715DAA" w14:textId="77777777" w:rsidR="00477B8F" w:rsidRPr="009118AB" w:rsidRDefault="00477B8F" w:rsidP="003727BE">
      <w:pPr>
        <w:autoSpaceDE w:val="0"/>
        <w:autoSpaceDN w:val="0"/>
        <w:adjustRightInd w:val="0"/>
        <w:jc w:val="both"/>
      </w:pPr>
    </w:p>
    <w:p w14:paraId="7D231C85" w14:textId="77777777" w:rsidR="00477B8F" w:rsidRPr="009118AB" w:rsidRDefault="00477B8F" w:rsidP="003727BE">
      <w:pPr>
        <w:autoSpaceDE w:val="0"/>
        <w:autoSpaceDN w:val="0"/>
        <w:adjustRightInd w:val="0"/>
        <w:jc w:val="both"/>
      </w:pPr>
      <w:r w:rsidRPr="009118AB">
        <w:tab/>
        <w:t>- Die ergänzende Pensionsvereinbarung, die vom Unternehmen zugunsten des betreffenden Unternehmensleiters gezeichnet wurde, wird spätestens zum Zeitpunkt der Übertragung der Kapitalien oder Rückkaufswerte angepasst.</w:t>
      </w:r>
    </w:p>
    <w:p w14:paraId="470A0B62" w14:textId="77777777" w:rsidR="00477B8F" w:rsidRPr="009118AB" w:rsidRDefault="00477B8F" w:rsidP="003727BE">
      <w:pPr>
        <w:autoSpaceDE w:val="0"/>
        <w:autoSpaceDN w:val="0"/>
        <w:adjustRightInd w:val="0"/>
        <w:jc w:val="both"/>
      </w:pPr>
    </w:p>
    <w:p w14:paraId="67638C2F" w14:textId="77777777" w:rsidR="00477B8F" w:rsidRPr="009118AB" w:rsidRDefault="00477B8F" w:rsidP="003727BE">
      <w:pPr>
        <w:autoSpaceDE w:val="0"/>
        <w:autoSpaceDN w:val="0"/>
        <w:adjustRightInd w:val="0"/>
        <w:jc w:val="both"/>
      </w:pPr>
      <w:r w:rsidRPr="009118AB">
        <w:tab/>
        <w:t>Für die Anwendung des vorhergehenden Absatzes wird die Zuerkennung der Eigenschaft des Begünstigten eines Unternehmensleiterversicherungsvertrags zu ausschließlichen Gunsten des versicherten Unternehmensleiters einer Übertragung von Kapitalien oder Rückkaufswerten gleichgesetzt.</w:t>
      </w:r>
    </w:p>
    <w:p w14:paraId="7105E241" w14:textId="77777777" w:rsidR="00477B8F" w:rsidRPr="009118AB" w:rsidRDefault="00477B8F" w:rsidP="003727BE">
      <w:pPr>
        <w:autoSpaceDE w:val="0"/>
        <w:autoSpaceDN w:val="0"/>
        <w:adjustRightInd w:val="0"/>
        <w:jc w:val="both"/>
      </w:pPr>
    </w:p>
    <w:p w14:paraId="09C5C922" w14:textId="77777777" w:rsidR="00477B8F" w:rsidRPr="009118AB" w:rsidRDefault="00477B8F" w:rsidP="003727BE">
      <w:pPr>
        <w:autoSpaceDE w:val="0"/>
        <w:autoSpaceDN w:val="0"/>
        <w:adjustRightInd w:val="0"/>
        <w:jc w:val="both"/>
      </w:pPr>
      <w:r w:rsidRPr="009118AB">
        <w:tab/>
        <w:t>Außerdem gilt diese Verrichtung nicht als Zahlung oder Zuerkennung einer Pension, selbst wenn diese Übertragung auf Antrag des Unternehmensleiters vorgenommen wird, unbeschadet des Rechts, die Steuer bei der späteren Zahlung oder Zuerkennung durch die Einrichtungen oder Unternehmen an den Unternehmensleiter zu erheben.</w:t>
      </w:r>
    </w:p>
    <w:p w14:paraId="03C1D806" w14:textId="77777777" w:rsidR="00477B8F" w:rsidRPr="009118AB" w:rsidRDefault="00477B8F" w:rsidP="003727BE">
      <w:pPr>
        <w:autoSpaceDE w:val="0"/>
        <w:autoSpaceDN w:val="0"/>
        <w:adjustRightInd w:val="0"/>
        <w:jc w:val="both"/>
      </w:pPr>
    </w:p>
    <w:p w14:paraId="3E891A46" w14:textId="77777777" w:rsidR="00477B8F" w:rsidRPr="009118AB" w:rsidRDefault="00477B8F" w:rsidP="003727BE">
      <w:pPr>
        <w:autoSpaceDE w:val="0"/>
        <w:autoSpaceDN w:val="0"/>
        <w:adjustRightInd w:val="0"/>
        <w:jc w:val="both"/>
      </w:pPr>
      <w:r w:rsidRPr="009118AB">
        <w:tab/>
        <w:t>Vorhergehender Absatz ist nicht anwendbar auf die Übertragung von Kapital oder Rückkaufswerten [auf außerhalb des Europäischen Wirtschaftsraums ansässige Versicherungs</w:t>
      </w:r>
      <w:r w:rsidR="00814A0D" w:rsidRPr="009118AB">
        <w:softHyphen/>
      </w:r>
      <w:r w:rsidRPr="009118AB">
        <w:t>unter</w:t>
      </w:r>
      <w:r w:rsidR="00814A0D" w:rsidRPr="009118AB">
        <w:softHyphen/>
      </w:r>
      <w:r w:rsidRPr="009118AB">
        <w:t>nehmen, Vorsorgeeinrichtungen oder Einrichtungen der betrieblichen Altersversorgung].]</w:t>
      </w:r>
    </w:p>
    <w:p w14:paraId="2CC1BCD5" w14:textId="77777777" w:rsidR="00477B8F" w:rsidRPr="009118AB" w:rsidRDefault="00477B8F" w:rsidP="003727BE">
      <w:pPr>
        <w:autoSpaceDE w:val="0"/>
        <w:autoSpaceDN w:val="0"/>
        <w:adjustRightInd w:val="0"/>
        <w:jc w:val="both"/>
      </w:pPr>
    </w:p>
    <w:p w14:paraId="1F760335" w14:textId="55FD4E38"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515sexies eingefügt durch </w:t>
      </w:r>
      <w:r w:rsidR="00D67EB8" w:rsidRPr="009118AB">
        <w:rPr>
          <w:i/>
          <w:iCs/>
        </w:rPr>
        <w:t>Art. </w:t>
      </w:r>
      <w:r w:rsidRPr="009118AB">
        <w:rPr>
          <w:i/>
          <w:iCs/>
        </w:rPr>
        <w:t>95 des G. vom 28. April</w:t>
      </w:r>
      <w:r w:rsidR="00B64F05" w:rsidRPr="009118AB">
        <w:rPr>
          <w:i/>
          <w:iCs/>
        </w:rPr>
        <w:t> 2003 (B.S. vom 15. Mai 2003)</w:t>
      </w:r>
      <w:r w:rsidR="00D67EB8" w:rsidRPr="009118AB">
        <w:rPr>
          <w:i/>
          <w:iCs/>
        </w:rPr>
        <w:t> - </w:t>
      </w:r>
      <w:r w:rsidRPr="009118AB">
        <w:rPr>
          <w:i/>
          <w:iCs/>
        </w:rPr>
        <w:t>anwendbar ab dem 1. Januar 2004</w:t>
      </w:r>
      <w:r w:rsidR="003366D9" w:rsidRPr="009118AB">
        <w:rPr>
          <w:i/>
          <w:iCs/>
        </w:rPr>
        <w:t> -;</w:t>
      </w:r>
      <w:r w:rsidRPr="009118AB">
        <w:rPr>
          <w:i/>
          <w:iCs/>
        </w:rPr>
        <w:t xml:space="preserve"> </w:t>
      </w:r>
      <w:r w:rsidR="00D67EB8" w:rsidRPr="009118AB">
        <w:rPr>
          <w:i/>
          <w:iCs/>
        </w:rPr>
        <w:t>Abs. </w:t>
      </w:r>
      <w:r w:rsidRPr="009118AB">
        <w:rPr>
          <w:i/>
          <w:iCs/>
        </w:rPr>
        <w:t xml:space="preserve">1 einleitende Bestimmung abgeändert durch </w:t>
      </w:r>
      <w:r w:rsidR="00D67EB8" w:rsidRPr="009118AB">
        <w:rPr>
          <w:i/>
          <w:iCs/>
        </w:rPr>
        <w:t>Art. </w:t>
      </w:r>
      <w:r w:rsidRPr="009118AB">
        <w:rPr>
          <w:i/>
          <w:iCs/>
        </w:rPr>
        <w:t xml:space="preserve">356 </w:t>
      </w:r>
      <w:r w:rsidR="00D67EB8" w:rsidRPr="009118AB">
        <w:rPr>
          <w:i/>
          <w:iCs/>
        </w:rPr>
        <w:t>Nr. </w:t>
      </w:r>
      <w:r w:rsidRPr="009118AB">
        <w:rPr>
          <w:i/>
          <w:iCs/>
        </w:rPr>
        <w:t xml:space="preserve">1 des G. </w:t>
      </w:r>
      <w:r w:rsidR="0014743B" w:rsidRPr="009118AB">
        <w:rPr>
          <w:i/>
          <w:iCs/>
        </w:rPr>
        <w:t xml:space="preserve">(I) </w:t>
      </w:r>
      <w:r w:rsidRPr="009118AB">
        <w:rPr>
          <w:i/>
          <w:iCs/>
        </w:rPr>
        <w:t>vom 27. Dezember 2006 (</w:t>
      </w:r>
      <w:r w:rsidR="0014743B" w:rsidRPr="009118AB">
        <w:rPr>
          <w:i/>
          <w:iCs/>
        </w:rPr>
        <w:t>I</w:t>
      </w:r>
      <w:r w:rsidRPr="009118AB">
        <w:rPr>
          <w:i/>
          <w:iCs/>
        </w:rPr>
        <w:t>I) (B.S. vom 28. Dezember 2006)</w:t>
      </w:r>
      <w:r w:rsidR="00D67EB8" w:rsidRPr="009118AB">
        <w:rPr>
          <w:i/>
          <w:iCs/>
        </w:rPr>
        <w:t> - </w:t>
      </w:r>
      <w:r w:rsidRPr="009118AB">
        <w:rPr>
          <w:i/>
          <w:iCs/>
        </w:rPr>
        <w:t>anwendbar ab dem Steuerjahr 2007</w:t>
      </w:r>
      <w:r w:rsidR="003366D9" w:rsidRPr="009118AB">
        <w:rPr>
          <w:i/>
          <w:iCs/>
        </w:rPr>
        <w:t> -;</w:t>
      </w:r>
      <w:r w:rsidRPr="009118AB">
        <w:rPr>
          <w:i/>
          <w:iCs/>
        </w:rPr>
        <w:t xml:space="preserve"> </w:t>
      </w:r>
      <w:r w:rsidR="00D67EB8" w:rsidRPr="009118AB">
        <w:rPr>
          <w:i/>
          <w:iCs/>
        </w:rPr>
        <w:t>Abs. </w:t>
      </w:r>
      <w:r w:rsidRPr="009118AB">
        <w:rPr>
          <w:i/>
          <w:iCs/>
        </w:rPr>
        <w:t xml:space="preserve">4 abgeändert durch </w:t>
      </w:r>
      <w:r w:rsidR="00D67EB8" w:rsidRPr="009118AB">
        <w:rPr>
          <w:i/>
          <w:iCs/>
        </w:rPr>
        <w:t>Art. </w:t>
      </w:r>
      <w:r w:rsidRPr="009118AB">
        <w:rPr>
          <w:i/>
          <w:iCs/>
        </w:rPr>
        <w:t xml:space="preserve">356 </w:t>
      </w:r>
      <w:r w:rsidR="00D67EB8" w:rsidRPr="009118AB">
        <w:rPr>
          <w:i/>
          <w:iCs/>
        </w:rPr>
        <w:t>Nr. </w:t>
      </w:r>
      <w:r w:rsidRPr="009118AB">
        <w:rPr>
          <w:i/>
          <w:iCs/>
        </w:rPr>
        <w:t xml:space="preserve">2 des G. </w:t>
      </w:r>
      <w:r w:rsidR="000B1DBB" w:rsidRPr="009118AB">
        <w:rPr>
          <w:i/>
          <w:iCs/>
        </w:rPr>
        <w:t xml:space="preserve">(I) </w:t>
      </w:r>
      <w:r w:rsidRPr="009118AB">
        <w:rPr>
          <w:i/>
          <w:iCs/>
        </w:rPr>
        <w:t xml:space="preserve">vom </w:t>
      </w:r>
      <w:r w:rsidRPr="009118AB">
        <w:rPr>
          <w:i/>
          <w:iCs/>
          <w:spacing w:val="-2"/>
        </w:rPr>
        <w:t>27. Dezember 2006 (</w:t>
      </w:r>
      <w:r w:rsidR="000B1DBB" w:rsidRPr="009118AB">
        <w:rPr>
          <w:i/>
          <w:iCs/>
          <w:spacing w:val="-2"/>
        </w:rPr>
        <w:t>I</w:t>
      </w:r>
      <w:r w:rsidRPr="009118AB">
        <w:rPr>
          <w:i/>
          <w:iCs/>
          <w:spacing w:val="-2"/>
        </w:rPr>
        <w:t>I) (B.S. vom 28. Dezember 2006)</w:t>
      </w:r>
      <w:r w:rsidR="00D67EB8" w:rsidRPr="009118AB">
        <w:rPr>
          <w:i/>
          <w:iCs/>
          <w:spacing w:val="-2"/>
        </w:rPr>
        <w:t> - </w:t>
      </w:r>
      <w:r w:rsidRPr="009118AB">
        <w:rPr>
          <w:i/>
          <w:iCs/>
          <w:spacing w:val="-2"/>
        </w:rPr>
        <w:t>anwendbar ab dem Steuerjahr 2007</w:t>
      </w:r>
      <w:r w:rsidR="00FD68E8" w:rsidRPr="009118AB">
        <w:rPr>
          <w:i/>
          <w:iCs/>
          <w:spacing w:val="-2"/>
        </w:rPr>
        <w:t> -]</w:t>
      </w:r>
    </w:p>
    <w:p w14:paraId="0D65DB34" w14:textId="77777777" w:rsidR="000B1DBB" w:rsidRPr="009118AB" w:rsidRDefault="000B1DBB" w:rsidP="003727BE">
      <w:pPr>
        <w:autoSpaceDE w:val="0"/>
        <w:autoSpaceDN w:val="0"/>
        <w:adjustRightInd w:val="0"/>
        <w:jc w:val="both"/>
      </w:pPr>
    </w:p>
    <w:p w14:paraId="1797104B" w14:textId="77777777" w:rsidR="000B1DBB" w:rsidRPr="009118AB" w:rsidRDefault="000B1DBB" w:rsidP="003727BE">
      <w:pPr>
        <w:autoSpaceDE w:val="0"/>
        <w:autoSpaceDN w:val="0"/>
        <w:adjustRightInd w:val="0"/>
        <w:jc w:val="both"/>
      </w:pPr>
    </w:p>
    <w:p w14:paraId="1958BBC7" w14:textId="7B27AEF8" w:rsidR="00346FDA" w:rsidRPr="009118AB" w:rsidRDefault="00477B8F" w:rsidP="00346FDA">
      <w:pPr>
        <w:ind w:firstLine="708"/>
        <w:jc w:val="both"/>
      </w:pPr>
      <w:r w:rsidRPr="009118AB">
        <w:t>[</w:t>
      </w:r>
      <w:r w:rsidR="00D67EB8" w:rsidRPr="009118AB">
        <w:rPr>
          <w:b/>
          <w:bCs/>
        </w:rPr>
        <w:t>Art. </w:t>
      </w:r>
      <w:r w:rsidRPr="009118AB">
        <w:rPr>
          <w:b/>
          <w:bCs/>
        </w:rPr>
        <w:t>515</w:t>
      </w:r>
      <w:r w:rsidRPr="009118AB">
        <w:rPr>
          <w:b/>
          <w:bCs/>
          <w:i/>
          <w:iCs/>
        </w:rPr>
        <w:t>septies</w:t>
      </w:r>
      <w:r w:rsidR="00D67EB8" w:rsidRPr="009118AB">
        <w:t> - </w:t>
      </w:r>
      <w:r w:rsidR="00346FDA" w:rsidRPr="009118AB">
        <w:t xml:space="preserve">[Vorliegender Artikel ist auf Kapitalien von ergänzenden Pensionen anwendbar, die von Steuerpflichtigen, die aufgrund der Artikel 179, 220 oder 227 </w:t>
      </w:r>
      <w:r w:rsidR="00D67EB8" w:rsidRPr="009118AB">
        <w:t>Nr. </w:t>
      </w:r>
      <w:r w:rsidR="00346FDA" w:rsidRPr="009118AB">
        <w:t>2 und 3 der Einkommensteuer unterliegen, durch Rückstellungen gebildet wurden und am Ende des letzten vor dem 1. Januar 2012 abgeschlossenen Geschäftsjahres bestehen.</w:t>
      </w:r>
      <w:r w:rsidR="00AC525C" w:rsidRPr="009118AB">
        <w:t>]</w:t>
      </w:r>
    </w:p>
    <w:p w14:paraId="7C289369" w14:textId="77777777" w:rsidR="00346FDA" w:rsidRPr="009118AB" w:rsidRDefault="00346FDA" w:rsidP="00346FDA">
      <w:pPr>
        <w:jc w:val="both"/>
      </w:pPr>
    </w:p>
    <w:p w14:paraId="3BAC2658" w14:textId="77777777" w:rsidR="00346FDA" w:rsidRPr="009118AB" w:rsidRDefault="00AC525C" w:rsidP="00346FDA">
      <w:pPr>
        <w:ind w:firstLine="708"/>
        <w:jc w:val="both"/>
      </w:pPr>
      <w:r w:rsidRPr="009118AB">
        <w:t>[</w:t>
      </w:r>
      <w:r w:rsidR="00346FDA" w:rsidRPr="009118AB">
        <w:t xml:space="preserve">Werden solche Kapitalien zugunsten des Begünstigten oder seiner Rechtsnachfolger auf ein Versicherungsunternehmen, eine Vorsorgeeinrichtung oder eine Einrichtung der betrieblichen Altersversorgung übertragen, gilt diese Verrichtung nicht als Zahlung oder Zuerkennung einer Pension, selbst wenn diese Übertragung auf Antrag des Begünstigten vorgenommen wird, unbeschadet des Rechts, die Steuer bei der späteren Zahlung oder Zuerkennung durch die Einrichtung oder das Unternehmen an den Begünstigten </w:t>
      </w:r>
      <w:r w:rsidRPr="009118AB">
        <w:t xml:space="preserve">[oder seine Rechtsnachfolger] </w:t>
      </w:r>
      <w:r w:rsidR="00346FDA" w:rsidRPr="009118AB">
        <w:t>zu erheben.]</w:t>
      </w:r>
    </w:p>
    <w:p w14:paraId="5647D9E8" w14:textId="77777777" w:rsidR="008C0F0B" w:rsidRPr="009118AB" w:rsidRDefault="008C0F0B" w:rsidP="00346FDA">
      <w:pPr>
        <w:ind w:firstLine="708"/>
        <w:jc w:val="both"/>
      </w:pPr>
    </w:p>
    <w:p w14:paraId="1D7F6E41" w14:textId="77777777" w:rsidR="00346FDA" w:rsidRPr="009118AB" w:rsidRDefault="00346FDA" w:rsidP="00346FDA">
      <w:pPr>
        <w:ind w:firstLine="708"/>
        <w:jc w:val="both"/>
      </w:pPr>
      <w:r w:rsidRPr="009118AB">
        <w:t>[Absatz 2 ist nicht anwendbar auf die Übertragung von Kapital:</w:t>
      </w:r>
    </w:p>
    <w:p w14:paraId="3CB56657" w14:textId="77777777" w:rsidR="00346FDA" w:rsidRPr="009118AB" w:rsidRDefault="00346FDA" w:rsidP="00346FDA">
      <w:pPr>
        <w:jc w:val="both"/>
      </w:pPr>
    </w:p>
    <w:p w14:paraId="1623F053" w14:textId="007E281E" w:rsidR="00346FDA" w:rsidRPr="009118AB" w:rsidRDefault="00346FDA" w:rsidP="00346FDA">
      <w:pPr>
        <w:ind w:firstLine="708"/>
        <w:jc w:val="both"/>
      </w:pPr>
      <w:r w:rsidRPr="009118AB">
        <w:t xml:space="preserve">1. das in Ausführung einer individuellen Pensionsvereinbarung gebildet wurde, die ab dem 1. Januar 2004 für einen anderen Begünstigten als einen in Artikel 32 Absatz 1 </w:t>
      </w:r>
      <w:r w:rsidR="00D67EB8" w:rsidRPr="009118AB">
        <w:t>Nr. </w:t>
      </w:r>
      <w:r w:rsidRPr="009118AB">
        <w:t>1 erwähnten Unternehmensleiter, der außerhalb eines Arbeitsvertrags beschäftigt ist, abgeschlossen worden ist,</w:t>
      </w:r>
    </w:p>
    <w:p w14:paraId="7BC75606" w14:textId="77777777" w:rsidR="00346FDA" w:rsidRPr="009118AB" w:rsidRDefault="00346FDA" w:rsidP="00346FDA">
      <w:pPr>
        <w:jc w:val="both"/>
      </w:pPr>
    </w:p>
    <w:p w14:paraId="293C1506" w14:textId="77777777" w:rsidR="00477B8F" w:rsidRPr="009118AB" w:rsidRDefault="00346FDA" w:rsidP="00346FDA">
      <w:pPr>
        <w:autoSpaceDE w:val="0"/>
        <w:autoSpaceDN w:val="0"/>
        <w:adjustRightInd w:val="0"/>
        <w:ind w:firstLine="708"/>
        <w:jc w:val="both"/>
      </w:pPr>
      <w:r w:rsidRPr="009118AB">
        <w:t>2. auf außerhalb des Europäischen Wirtschaftsraums ansässige Versicherungs</w:t>
      </w:r>
      <w:r w:rsidRPr="009118AB">
        <w:softHyphen/>
        <w:t>unternehmen, Vorsorgeeinrichtungen oder Einrichtungen der betrieblichen Altersversorgung.]</w:t>
      </w:r>
    </w:p>
    <w:p w14:paraId="00FF4FF0" w14:textId="77777777" w:rsidR="00477B8F" w:rsidRPr="009118AB" w:rsidRDefault="00477B8F" w:rsidP="003727BE">
      <w:pPr>
        <w:autoSpaceDE w:val="0"/>
        <w:autoSpaceDN w:val="0"/>
        <w:adjustRightInd w:val="0"/>
        <w:jc w:val="both"/>
      </w:pPr>
    </w:p>
    <w:p w14:paraId="5DAA6BF9" w14:textId="1D0ADB19" w:rsidR="00477B8F" w:rsidRPr="009118AB" w:rsidRDefault="00477B8F" w:rsidP="003727BE">
      <w:pPr>
        <w:autoSpaceDE w:val="0"/>
        <w:autoSpaceDN w:val="0"/>
        <w:adjustRightInd w:val="0"/>
        <w:jc w:val="both"/>
      </w:pPr>
      <w:r w:rsidRPr="009118AB">
        <w:tab/>
        <w:t xml:space="preserve">Außerdem sind die Bestimmungen von Artikel 38 </w:t>
      </w:r>
      <w:r w:rsidR="00D67EB8" w:rsidRPr="009118AB">
        <w:t>§ </w:t>
      </w:r>
      <w:r w:rsidRPr="009118AB">
        <w:t xml:space="preserve">1 Absatz 1 </w:t>
      </w:r>
      <w:r w:rsidR="00D67EB8" w:rsidRPr="009118AB">
        <w:t>Nr. </w:t>
      </w:r>
      <w:r w:rsidRPr="009118AB">
        <w:t>18 und 19 auf Summen anwendbar, die bei dieser Gelegenheit übertragen werden, sofern die Bedingungen und die Grenze erwähnt in den Artikeln 59 und 195 bis zum Zeitpunkt der Übertragung eingehalten wurden.]</w:t>
      </w:r>
    </w:p>
    <w:p w14:paraId="6DFD1BBA" w14:textId="77777777" w:rsidR="00477B8F" w:rsidRPr="009118AB" w:rsidRDefault="00477B8F" w:rsidP="003727BE">
      <w:pPr>
        <w:autoSpaceDE w:val="0"/>
        <w:autoSpaceDN w:val="0"/>
        <w:adjustRightInd w:val="0"/>
        <w:jc w:val="both"/>
      </w:pPr>
    </w:p>
    <w:p w14:paraId="221DA5EF" w14:textId="51AE3E4A" w:rsidR="00477B8F" w:rsidRPr="009118AB" w:rsidRDefault="00477B8F" w:rsidP="003727BE">
      <w:pPr>
        <w:autoSpaceDE w:val="0"/>
        <w:autoSpaceDN w:val="0"/>
        <w:adjustRightInd w:val="0"/>
        <w:jc w:val="both"/>
        <w:rPr>
          <w:rFonts w:ascii="Times New Roman Italique" w:hAnsi="Times New Roman Italique"/>
          <w:i/>
          <w:iCs/>
          <w:spacing w:val="2"/>
        </w:rPr>
      </w:pPr>
      <w:r w:rsidRPr="009118AB">
        <w:rPr>
          <w:i/>
          <w:iCs/>
        </w:rPr>
        <w:t>[</w:t>
      </w:r>
      <w:r w:rsidR="00D67EB8" w:rsidRPr="009118AB">
        <w:rPr>
          <w:i/>
          <w:iCs/>
        </w:rPr>
        <w:t>Art. </w:t>
      </w:r>
      <w:r w:rsidRPr="009118AB">
        <w:rPr>
          <w:i/>
          <w:iCs/>
        </w:rPr>
        <w:t xml:space="preserve">515septies eingefügt durch </w:t>
      </w:r>
      <w:r w:rsidR="00D67EB8" w:rsidRPr="009118AB">
        <w:rPr>
          <w:i/>
          <w:iCs/>
        </w:rPr>
        <w:t>Art. </w:t>
      </w:r>
      <w:r w:rsidRPr="009118AB">
        <w:rPr>
          <w:i/>
          <w:iCs/>
        </w:rPr>
        <w:t>96 des G. vom 28. April 2003 (B.S. vom 15. Mai 2003)</w:t>
      </w:r>
      <w:r w:rsidR="00D67EB8" w:rsidRPr="009118AB">
        <w:rPr>
          <w:i/>
          <w:iCs/>
        </w:rPr>
        <w:t> - </w:t>
      </w:r>
      <w:r w:rsidRPr="009118AB">
        <w:rPr>
          <w:rFonts w:ascii="Times New Roman Italique" w:hAnsi="Times New Roman Italique"/>
          <w:i/>
          <w:iCs/>
          <w:spacing w:val="-2"/>
        </w:rPr>
        <w:t>anwendbar ab dem 1. Januar 2004</w:t>
      </w:r>
      <w:r w:rsidR="003366D9" w:rsidRPr="009118AB">
        <w:rPr>
          <w:rFonts w:ascii="Times New Roman Italique" w:hAnsi="Times New Roman Italique"/>
          <w:i/>
          <w:iCs/>
          <w:spacing w:val="-2"/>
        </w:rPr>
        <w:t> -;</w:t>
      </w:r>
      <w:r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w:t>
      </w:r>
      <w:r w:rsidR="00346FDA" w:rsidRPr="009118AB">
        <w:rPr>
          <w:rFonts w:ascii="Times New Roman Italique" w:hAnsi="Times New Roman Italique"/>
          <w:i/>
          <w:iCs/>
          <w:spacing w:val="-2"/>
        </w:rPr>
        <w:t xml:space="preserve">ersetzt durch </w:t>
      </w:r>
      <w:r w:rsidR="00D67EB8" w:rsidRPr="009118AB">
        <w:rPr>
          <w:rFonts w:ascii="Times New Roman Italique" w:hAnsi="Times New Roman Italique"/>
          <w:i/>
          <w:iCs/>
          <w:spacing w:val="-2"/>
        </w:rPr>
        <w:t>Art. </w:t>
      </w:r>
      <w:r w:rsidR="00346FDA" w:rsidRPr="009118AB">
        <w:rPr>
          <w:rFonts w:ascii="Times New Roman Italique" w:hAnsi="Times New Roman Italique"/>
          <w:i/>
          <w:iCs/>
          <w:spacing w:val="-2"/>
        </w:rPr>
        <w:t xml:space="preserve">82 des G. vom 22. Juni 2012 </w:t>
      </w:r>
      <w:r w:rsidR="00346FDA" w:rsidRPr="009118AB">
        <w:rPr>
          <w:rFonts w:ascii="Times New Roman Italique" w:hAnsi="Times New Roman Italique"/>
          <w:i/>
          <w:iCs/>
          <w:spacing w:val="2"/>
        </w:rPr>
        <w:t>(B.S. vom 28. Juni 2012)</w:t>
      </w:r>
      <w:r w:rsidR="00D67EB8" w:rsidRPr="009118AB">
        <w:rPr>
          <w:rFonts w:ascii="Times New Roman Italique" w:hAnsi="Times New Roman Italique"/>
          <w:i/>
          <w:iCs/>
          <w:spacing w:val="2"/>
        </w:rPr>
        <w:t> - </w:t>
      </w:r>
      <w:r w:rsidR="00346FDA" w:rsidRPr="009118AB">
        <w:rPr>
          <w:rFonts w:ascii="Times New Roman Italique" w:hAnsi="Times New Roman Italique"/>
          <w:i/>
          <w:iCs/>
          <w:spacing w:val="2"/>
        </w:rPr>
        <w:t>anwendbar auf die ab dem 1. Januar 2012 übertragenen Kapitalien</w:t>
      </w:r>
      <w:r w:rsidR="003366D9" w:rsidRPr="009118AB">
        <w:rPr>
          <w:rFonts w:ascii="Times New Roman Italique" w:hAnsi="Times New Roman Italique"/>
          <w:i/>
          <w:iCs/>
          <w:spacing w:val="2"/>
        </w:rPr>
        <w:t> -;</w:t>
      </w:r>
      <w:r w:rsidR="00346FDA"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AC525C" w:rsidRPr="009118AB">
        <w:rPr>
          <w:rFonts w:ascii="Times New Roman Italique" w:hAnsi="Times New Roman Italique"/>
          <w:i/>
          <w:iCs/>
          <w:spacing w:val="2"/>
        </w:rPr>
        <w:t xml:space="preserve">2 ersetzt durch </w:t>
      </w:r>
      <w:r w:rsidR="00D67EB8" w:rsidRPr="009118AB">
        <w:rPr>
          <w:rFonts w:ascii="Times New Roman Italique" w:hAnsi="Times New Roman Italique"/>
          <w:i/>
          <w:iCs/>
          <w:spacing w:val="2"/>
        </w:rPr>
        <w:t>Art. </w:t>
      </w:r>
      <w:r w:rsidR="00AC525C" w:rsidRPr="009118AB">
        <w:rPr>
          <w:rFonts w:ascii="Times New Roman Italique" w:hAnsi="Times New Roman Italique"/>
          <w:i/>
          <w:iCs/>
          <w:spacing w:val="2"/>
        </w:rPr>
        <w:t>82 des G. vom 22. Juni 2012 (B.S. vom 28. Juni 2012)</w:t>
      </w:r>
      <w:r w:rsidR="00D67EB8" w:rsidRPr="009118AB">
        <w:rPr>
          <w:rFonts w:ascii="Times New Roman Italique" w:hAnsi="Times New Roman Italique"/>
          <w:i/>
          <w:iCs/>
          <w:spacing w:val="2"/>
        </w:rPr>
        <w:t> - </w:t>
      </w:r>
      <w:r w:rsidR="00AC525C" w:rsidRPr="009118AB">
        <w:rPr>
          <w:rFonts w:ascii="Times New Roman Italique" w:hAnsi="Times New Roman Italique"/>
          <w:i/>
          <w:iCs/>
          <w:spacing w:val="2"/>
        </w:rPr>
        <w:t>anwendbar auf</w:t>
      </w:r>
      <w:r w:rsidR="00AC525C" w:rsidRPr="009118AB">
        <w:rPr>
          <w:rFonts w:ascii="Times New Roman Italique" w:hAnsi="Times New Roman Italique"/>
          <w:i/>
          <w:iCs/>
          <w:spacing w:val="-2"/>
        </w:rPr>
        <w:t xml:space="preserve"> die ab dem 1. Januar 2012 übertragenen Kapitalien</w:t>
      </w:r>
      <w:r w:rsidR="00D67EB8" w:rsidRPr="009118AB">
        <w:rPr>
          <w:rFonts w:ascii="Times New Roman Italique" w:hAnsi="Times New Roman Italique"/>
          <w:i/>
          <w:iCs/>
          <w:spacing w:val="-2"/>
        </w:rPr>
        <w:t> - </w:t>
      </w:r>
      <w:r w:rsidR="00AC525C" w:rsidRPr="009118AB">
        <w:rPr>
          <w:rFonts w:ascii="Times New Roman Italique" w:hAnsi="Times New Roman Italique"/>
          <w:i/>
          <w:iCs/>
          <w:spacing w:val="-2"/>
        </w:rPr>
        <w:t>und abgeändert</w:t>
      </w:r>
      <w:r w:rsidR="00AC525C" w:rsidRPr="009118AB">
        <w:rPr>
          <w:i/>
          <w:iCs/>
        </w:rPr>
        <w:t xml:space="preserve"> durch </w:t>
      </w:r>
      <w:r w:rsidR="00D67EB8" w:rsidRPr="009118AB">
        <w:rPr>
          <w:i/>
          <w:iCs/>
        </w:rPr>
        <w:t>Art. </w:t>
      </w:r>
      <w:r w:rsidR="00AC525C" w:rsidRPr="009118AB">
        <w:rPr>
          <w:i/>
          <w:iCs/>
        </w:rPr>
        <w:t xml:space="preserve">35 des G. vom </w:t>
      </w:r>
      <w:r w:rsidR="00AC525C" w:rsidRPr="009118AB">
        <w:rPr>
          <w:rFonts w:ascii="Times New Roman Italique" w:hAnsi="Times New Roman Italique"/>
          <w:i/>
          <w:iCs/>
          <w:spacing w:val="2"/>
        </w:rPr>
        <w:t>13. Dezember 2012 (B.S. vom 20. Dezember 2012)</w:t>
      </w:r>
      <w:r w:rsidR="00D67EB8" w:rsidRPr="009118AB">
        <w:rPr>
          <w:rFonts w:ascii="Times New Roman Italique" w:hAnsi="Times New Roman Italique"/>
          <w:i/>
          <w:iCs/>
          <w:spacing w:val="2"/>
        </w:rPr>
        <w:t> - </w:t>
      </w:r>
      <w:r w:rsidR="00AC525C" w:rsidRPr="009118AB">
        <w:rPr>
          <w:rFonts w:ascii="Times New Roman Italique" w:hAnsi="Times New Roman Italique"/>
          <w:i/>
          <w:spacing w:val="2"/>
        </w:rPr>
        <w:t>anwendbar auf die ab dem 1. Januar 2012 übertragenen Kapitalien</w:t>
      </w:r>
      <w:r w:rsidR="003366D9" w:rsidRPr="009118AB">
        <w:rPr>
          <w:rFonts w:ascii="Times New Roman Italique" w:hAnsi="Times New Roman Italique"/>
          <w:i/>
          <w:spacing w:val="2"/>
        </w:rPr>
        <w:t> -;</w:t>
      </w:r>
      <w:r w:rsidR="00AC525C" w:rsidRPr="009118AB">
        <w:rPr>
          <w:rFonts w:ascii="Times New Roman Italique" w:hAnsi="Times New Roman Italique"/>
          <w:i/>
          <w:iCs/>
          <w:spacing w:val="2"/>
        </w:rPr>
        <w:t xml:space="preserve"> </w:t>
      </w:r>
      <w:r w:rsidR="00346FDA" w:rsidRPr="009118AB">
        <w:rPr>
          <w:rFonts w:ascii="Times New Roman Italique" w:hAnsi="Times New Roman Italique"/>
          <w:i/>
          <w:iCs/>
          <w:spacing w:val="2"/>
        </w:rPr>
        <w:t xml:space="preserve">neuer Absatz 3 eingefügt durch </w:t>
      </w:r>
      <w:r w:rsidR="00D67EB8" w:rsidRPr="009118AB">
        <w:rPr>
          <w:rFonts w:ascii="Times New Roman Italique" w:hAnsi="Times New Roman Italique"/>
          <w:i/>
          <w:iCs/>
          <w:spacing w:val="2"/>
        </w:rPr>
        <w:t>Art. </w:t>
      </w:r>
      <w:r w:rsidR="00346FDA" w:rsidRPr="009118AB">
        <w:rPr>
          <w:rFonts w:ascii="Times New Roman Italique" w:hAnsi="Times New Roman Italique"/>
          <w:i/>
          <w:iCs/>
          <w:spacing w:val="2"/>
        </w:rPr>
        <w:t>82 des G. vom 22. Juni 2012 (B.S. vom 28. Juni 2012)</w:t>
      </w:r>
      <w:r w:rsidR="00D67EB8" w:rsidRPr="009118AB">
        <w:rPr>
          <w:rFonts w:ascii="Times New Roman Italique" w:hAnsi="Times New Roman Italique"/>
          <w:i/>
          <w:iCs/>
          <w:spacing w:val="2"/>
        </w:rPr>
        <w:t> - </w:t>
      </w:r>
      <w:r w:rsidR="00346FDA" w:rsidRPr="009118AB">
        <w:rPr>
          <w:rFonts w:ascii="Times New Roman Italique" w:hAnsi="Times New Roman Italique"/>
          <w:i/>
          <w:iCs/>
          <w:spacing w:val="2"/>
        </w:rPr>
        <w:t>anwendbar</w:t>
      </w:r>
      <w:r w:rsidR="00346FDA" w:rsidRPr="009118AB">
        <w:rPr>
          <w:rFonts w:ascii="Times New Roman Italique" w:hAnsi="Times New Roman Italique"/>
          <w:spacing w:val="2"/>
        </w:rPr>
        <w:t xml:space="preserve"> </w:t>
      </w:r>
      <w:r w:rsidR="00346FDA" w:rsidRPr="009118AB">
        <w:rPr>
          <w:rFonts w:ascii="Times New Roman Italique" w:hAnsi="Times New Roman Italique"/>
          <w:i/>
          <w:iCs/>
          <w:spacing w:val="2"/>
        </w:rPr>
        <w:t>auf die ab dem 1. Januar 2012 übertragenen Kapitalien</w:t>
      </w:r>
      <w:r w:rsidR="00FD68E8" w:rsidRPr="009118AB">
        <w:rPr>
          <w:rFonts w:ascii="Times New Roman Italique" w:hAnsi="Times New Roman Italique"/>
          <w:i/>
          <w:iCs/>
          <w:spacing w:val="2"/>
        </w:rPr>
        <w:t> -]</w:t>
      </w:r>
    </w:p>
    <w:p w14:paraId="667382EF" w14:textId="77777777" w:rsidR="00D82643" w:rsidRPr="009118AB" w:rsidRDefault="00D82643" w:rsidP="003727BE">
      <w:pPr>
        <w:autoSpaceDE w:val="0"/>
        <w:autoSpaceDN w:val="0"/>
        <w:adjustRightInd w:val="0"/>
        <w:jc w:val="both"/>
        <w:rPr>
          <w:i/>
          <w:iCs/>
        </w:rPr>
      </w:pPr>
    </w:p>
    <w:p w14:paraId="7873051B" w14:textId="77777777" w:rsidR="00D82643" w:rsidRPr="009118AB" w:rsidRDefault="00D82643" w:rsidP="003727BE">
      <w:pPr>
        <w:autoSpaceDE w:val="0"/>
        <w:autoSpaceDN w:val="0"/>
        <w:adjustRightInd w:val="0"/>
        <w:jc w:val="both"/>
      </w:pPr>
    </w:p>
    <w:p w14:paraId="6F97C76E" w14:textId="2E412389"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515</w:t>
      </w:r>
      <w:r w:rsidRPr="009118AB">
        <w:rPr>
          <w:b/>
          <w:bCs/>
          <w:i/>
          <w:iCs/>
        </w:rPr>
        <w:t>octies</w:t>
      </w:r>
      <w:r w:rsidR="00D67EB8" w:rsidRPr="009118AB">
        <w:t> - </w:t>
      </w:r>
      <w:r w:rsidRPr="009118AB">
        <w:t xml:space="preserve">Artikel 171 </w:t>
      </w:r>
      <w:r w:rsidR="00D67EB8" w:rsidRPr="009118AB">
        <w:t>Nr. </w:t>
      </w:r>
      <w:r w:rsidRPr="009118AB">
        <w:t>4 Buchstabe </w:t>
      </w:r>
      <w:r w:rsidRPr="009118AB">
        <w:rPr>
          <w:i/>
          <w:iCs/>
        </w:rPr>
        <w:t>g)</w:t>
      </w:r>
      <w:r w:rsidRPr="009118AB">
        <w:t xml:space="preserve">, so wie er vor seiner Abänderung durch Artikel 86 des Gesetzes vom 28. April 2003 über ergänzende Pensionen und das Besteuerungssystem für diese Pensionen und für bestimmte Zusatzleistungen im Bereich der sozialen Sicherheit bestand, bleibt auf die in Artikel 171 </w:t>
      </w:r>
      <w:r w:rsidR="00D67EB8" w:rsidRPr="009118AB">
        <w:t>Nr. </w:t>
      </w:r>
      <w:r w:rsidRPr="009118AB">
        <w:t>1 Buchstabe </w:t>
      </w:r>
      <w:r w:rsidRPr="009118AB">
        <w:rPr>
          <w:i/>
          <w:iCs/>
        </w:rPr>
        <w:t>h)</w:t>
      </w:r>
      <w:r w:rsidRPr="009118AB">
        <w:t xml:space="preserve"> erwähnten Kapitalien anwendbar, die als Pensionen gelten, wenn diese Kapitalien in Ausführung einer vor Inkrafttreten des vorerwähnten Gesetzes eingegangenen vertraglichen Verpflichtung ausgezahlt werden.]</w:t>
      </w:r>
    </w:p>
    <w:p w14:paraId="2CCAB315" w14:textId="77777777" w:rsidR="00477B8F" w:rsidRPr="009118AB" w:rsidRDefault="00477B8F" w:rsidP="003727BE">
      <w:pPr>
        <w:autoSpaceDE w:val="0"/>
        <w:autoSpaceDN w:val="0"/>
        <w:adjustRightInd w:val="0"/>
        <w:jc w:val="both"/>
      </w:pPr>
    </w:p>
    <w:p w14:paraId="77450AA9" w14:textId="07C4AC3F"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515octies eingefügt durch </w:t>
      </w:r>
      <w:r w:rsidR="00D67EB8" w:rsidRPr="009118AB">
        <w:rPr>
          <w:i/>
          <w:iCs/>
        </w:rPr>
        <w:t>Art. </w:t>
      </w:r>
      <w:r w:rsidRPr="009118AB">
        <w:rPr>
          <w:i/>
          <w:iCs/>
        </w:rPr>
        <w:t>97 des G. vom 28. April</w:t>
      </w:r>
      <w:r w:rsidR="00B64F05" w:rsidRPr="009118AB">
        <w:rPr>
          <w:i/>
          <w:iCs/>
        </w:rPr>
        <w:t> 2003 (B.S. vom 15. Mai 2003)</w:t>
      </w:r>
      <w:r w:rsidR="00D67EB8" w:rsidRPr="009118AB">
        <w:rPr>
          <w:i/>
          <w:iCs/>
        </w:rPr>
        <w:t> - </w:t>
      </w:r>
      <w:r w:rsidRPr="009118AB">
        <w:rPr>
          <w:i/>
          <w:iCs/>
        </w:rPr>
        <w:t>anwendbar ab dem 1. Januar 2004</w:t>
      </w:r>
      <w:r w:rsidR="00FD68E8" w:rsidRPr="009118AB">
        <w:rPr>
          <w:i/>
          <w:iCs/>
        </w:rPr>
        <w:t> -]</w:t>
      </w:r>
    </w:p>
    <w:p w14:paraId="2EB6F406" w14:textId="77777777" w:rsidR="00477B8F" w:rsidRPr="009118AB" w:rsidRDefault="00477B8F" w:rsidP="003727BE">
      <w:pPr>
        <w:autoSpaceDE w:val="0"/>
        <w:autoSpaceDN w:val="0"/>
        <w:adjustRightInd w:val="0"/>
        <w:jc w:val="both"/>
      </w:pPr>
    </w:p>
    <w:p w14:paraId="3BBC631F" w14:textId="77777777" w:rsidR="00477B8F" w:rsidRPr="009118AB" w:rsidRDefault="00477B8F" w:rsidP="003727BE">
      <w:pPr>
        <w:autoSpaceDE w:val="0"/>
        <w:autoSpaceDN w:val="0"/>
        <w:adjustRightInd w:val="0"/>
        <w:jc w:val="both"/>
      </w:pPr>
    </w:p>
    <w:p w14:paraId="4533670A" w14:textId="6F288DAB" w:rsidR="00346FDA" w:rsidRPr="009118AB" w:rsidRDefault="00346FDA" w:rsidP="00346FDA">
      <w:pPr>
        <w:ind w:firstLine="708"/>
        <w:jc w:val="both"/>
      </w:pPr>
      <w:r w:rsidRPr="009118AB">
        <w:t>[</w:t>
      </w:r>
      <w:r w:rsidR="00D67EB8" w:rsidRPr="009118AB">
        <w:rPr>
          <w:b/>
        </w:rPr>
        <w:t>Art. </w:t>
      </w:r>
      <w:r w:rsidRPr="009118AB">
        <w:rPr>
          <w:b/>
        </w:rPr>
        <w:t>515</w:t>
      </w:r>
      <w:r w:rsidRPr="009118AB">
        <w:rPr>
          <w:b/>
          <w:i/>
        </w:rPr>
        <w:t>novies</w:t>
      </w:r>
      <w:r w:rsidR="00D67EB8" w:rsidRPr="009118AB">
        <w:t> - </w:t>
      </w:r>
      <w:r w:rsidRPr="009118AB">
        <w:t>Vorliegender Artikel ist auf Kapitalien und Rückkaufswerte anwendbar, die durch Prämien von Lebensversicherungsverträgen gebildet wurden, die zugunsten von Arbeitgebern oder juristischen Personen abgeschlossen worden sind zur Finanzierung individueller Vereinbarungen in Bezug auf eine ergänzende Ruhestands- und/oder Hinterbliebenenpension, die für Arbeitnehmer oder Unternehmensleiter, auf die ein solcher Lebensversicherungsvertrag abgeschlossen wurde, abgeschlossen worden sind.</w:t>
      </w:r>
    </w:p>
    <w:p w14:paraId="6004CF1C" w14:textId="77777777" w:rsidR="00346FDA" w:rsidRPr="009118AB" w:rsidRDefault="00346FDA" w:rsidP="00346FDA">
      <w:pPr>
        <w:jc w:val="both"/>
      </w:pPr>
    </w:p>
    <w:p w14:paraId="338A5544" w14:textId="1C2D63B8" w:rsidR="00346FDA" w:rsidRPr="009118AB" w:rsidRDefault="00346FDA" w:rsidP="00346FDA">
      <w:pPr>
        <w:ind w:firstLine="708"/>
        <w:jc w:val="both"/>
        <w:rPr>
          <w:spacing w:val="-2"/>
        </w:rPr>
      </w:pPr>
      <w:r w:rsidRPr="009118AB">
        <w:rPr>
          <w:spacing w:val="-2"/>
        </w:rPr>
        <w:t xml:space="preserve">Werden solche Kapitalien oder Rückkaufswerte von dem Versicherungsunternehmen, der Vorsorgeeinrichtung oder der Einrichtung der betrieblichen Altersversorgung, bei dem beziehungsweise der sie gebildet wurden, übertragen, um sie ausschließlich zugunsten des Arbeitnehmers oder Unternehmensleiters, auf den der Vertrag abgeschlossen wurde, zur Ausführung einer vorerwähnten Vereinbarung in Bezug auf eine ergänzende Pension zu verwenden, ist Artikel 38 </w:t>
      </w:r>
      <w:r w:rsidR="00D67EB8" w:rsidRPr="009118AB">
        <w:rPr>
          <w:spacing w:val="-2"/>
        </w:rPr>
        <w:t>§ </w:t>
      </w:r>
      <w:r w:rsidRPr="009118AB">
        <w:rPr>
          <w:spacing w:val="-2"/>
        </w:rPr>
        <w:t xml:space="preserve">1 Absatz 1 </w:t>
      </w:r>
      <w:r w:rsidR="00D67EB8" w:rsidRPr="009118AB">
        <w:rPr>
          <w:spacing w:val="-2"/>
        </w:rPr>
        <w:t>Nr. </w:t>
      </w:r>
      <w:r w:rsidRPr="009118AB">
        <w:rPr>
          <w:spacing w:val="-2"/>
        </w:rPr>
        <w:t>18 oder 19 auf Summen anwendbar, die anlässlich einer solchen Verrichtung übertragen werden, sofern nachstehende Bedingungen erfüllt werden:</w:t>
      </w:r>
    </w:p>
    <w:p w14:paraId="5CF5E15A" w14:textId="77777777" w:rsidR="00346FDA" w:rsidRPr="009118AB" w:rsidRDefault="00346FDA" w:rsidP="00346FDA">
      <w:pPr>
        <w:jc w:val="both"/>
      </w:pPr>
    </w:p>
    <w:p w14:paraId="5FD316C1" w14:textId="77777777" w:rsidR="00346FDA" w:rsidRPr="009118AB" w:rsidRDefault="00346FDA" w:rsidP="00346FDA">
      <w:pPr>
        <w:ind w:firstLine="708"/>
        <w:jc w:val="both"/>
      </w:pPr>
      <w:r w:rsidRPr="009118AB">
        <w:t>1. Die Übertragung wird innerhalb einer Frist von drei Jahren ab dem 1. Juli 2012 vorgenommen.</w:t>
      </w:r>
    </w:p>
    <w:p w14:paraId="401CDAE1" w14:textId="77777777" w:rsidR="00346FDA" w:rsidRPr="009118AB" w:rsidRDefault="00346FDA" w:rsidP="00346FDA">
      <w:pPr>
        <w:jc w:val="both"/>
      </w:pPr>
    </w:p>
    <w:p w14:paraId="2E05D1BD" w14:textId="77777777" w:rsidR="00346FDA" w:rsidRPr="009118AB" w:rsidRDefault="00346FDA" w:rsidP="00346FDA">
      <w:pPr>
        <w:ind w:firstLine="708"/>
        <w:jc w:val="both"/>
      </w:pPr>
      <w:r w:rsidRPr="009118AB">
        <w:t>2. Die Lebensversicherung wurde abgeschlossen:</w:t>
      </w:r>
    </w:p>
    <w:p w14:paraId="304C1DFF" w14:textId="77777777" w:rsidR="00346FDA" w:rsidRPr="009118AB" w:rsidRDefault="00346FDA" w:rsidP="00346FDA">
      <w:pPr>
        <w:jc w:val="both"/>
      </w:pPr>
    </w:p>
    <w:p w14:paraId="73278D69" w14:textId="7FF82DB0" w:rsidR="00346FDA" w:rsidRPr="009118AB" w:rsidRDefault="00346FDA" w:rsidP="00346FDA">
      <w:pPr>
        <w:ind w:firstLine="708"/>
        <w:jc w:val="both"/>
      </w:pPr>
      <w:r w:rsidRPr="009118AB">
        <w:t xml:space="preserve">- vor dem 1. Juli 2012, wenn es sich um eine Vereinbarung in Bezug auf eine ergänzende Pension handelt, die für einen in Artikel 32 Absatz 1 </w:t>
      </w:r>
      <w:r w:rsidR="00D67EB8" w:rsidRPr="009118AB">
        <w:t>Nr. </w:t>
      </w:r>
      <w:r w:rsidRPr="009118AB">
        <w:t>1 erwähnten Unternehmensleiter, der außerhalb eines Arbeitsvertrags beschäftigt ist, abgeschlossen worden ist,</w:t>
      </w:r>
    </w:p>
    <w:p w14:paraId="4F68E3D0" w14:textId="77777777" w:rsidR="00346FDA" w:rsidRPr="009118AB" w:rsidRDefault="00346FDA" w:rsidP="00346FDA">
      <w:pPr>
        <w:jc w:val="both"/>
      </w:pPr>
    </w:p>
    <w:p w14:paraId="05F88758" w14:textId="77777777" w:rsidR="00346FDA" w:rsidRPr="009118AB" w:rsidRDefault="00346FDA" w:rsidP="00346FDA">
      <w:pPr>
        <w:ind w:firstLine="708"/>
        <w:jc w:val="both"/>
      </w:pPr>
      <w:r w:rsidRPr="009118AB">
        <w:t>- vor dem 1. Januar 2004, wenn es sich um eine Vereinbarung in Bezug auf eine ergänzende Pension handelt, die für eine andere als die im ersten Gedankenstrich erwähnte Person abgeschlossen worden ist.</w:t>
      </w:r>
    </w:p>
    <w:p w14:paraId="2A6CFA36" w14:textId="77777777" w:rsidR="00346FDA" w:rsidRPr="009118AB" w:rsidRDefault="00346FDA" w:rsidP="00346FDA">
      <w:pPr>
        <w:jc w:val="both"/>
      </w:pPr>
    </w:p>
    <w:p w14:paraId="31C7A8C8" w14:textId="77777777" w:rsidR="00346FDA" w:rsidRPr="009118AB" w:rsidRDefault="00346FDA" w:rsidP="00346FDA">
      <w:pPr>
        <w:ind w:firstLine="708"/>
        <w:jc w:val="both"/>
      </w:pPr>
      <w:r w:rsidRPr="009118AB">
        <w:t>3. Die Bedingungen und die Grenze festgelegt in den Artikeln 59 und 195 werden bis zum Zeitpunkt der Übertragung eingehalten.</w:t>
      </w:r>
    </w:p>
    <w:p w14:paraId="53A2DF37" w14:textId="77777777" w:rsidR="00346FDA" w:rsidRPr="009118AB" w:rsidRDefault="00346FDA" w:rsidP="00346FDA">
      <w:pPr>
        <w:jc w:val="both"/>
      </w:pPr>
    </w:p>
    <w:p w14:paraId="2A5A23AA" w14:textId="77777777" w:rsidR="00346FDA" w:rsidRPr="009118AB" w:rsidRDefault="00346FDA" w:rsidP="00346FDA">
      <w:pPr>
        <w:ind w:firstLine="708"/>
        <w:jc w:val="both"/>
      </w:pPr>
      <w:r w:rsidRPr="009118AB">
        <w:t>4. Die Vereinbarung in Bezug auf eine ergänzende Pension, die von dem Arbeitgeber oder der juristischen Person zugunsten des betreffenden Arbeitnehmers oder Unternehmensleiters gezeichnet wurde, wird spätestens zum Zeitpunkt der Übertragung der Kapitalien oder Rückkaufswerte angepasst.</w:t>
      </w:r>
    </w:p>
    <w:p w14:paraId="5F16ECB3" w14:textId="77777777" w:rsidR="00346FDA" w:rsidRPr="009118AB" w:rsidRDefault="00346FDA" w:rsidP="00346FDA">
      <w:pPr>
        <w:jc w:val="both"/>
      </w:pPr>
    </w:p>
    <w:p w14:paraId="0D8374DC" w14:textId="77777777" w:rsidR="00346FDA" w:rsidRPr="009118AB" w:rsidRDefault="00346FDA" w:rsidP="00346FDA">
      <w:pPr>
        <w:ind w:firstLine="708"/>
        <w:jc w:val="both"/>
      </w:pPr>
      <w:r w:rsidRPr="009118AB">
        <w:t>Für die Anwendung des vorhergehenden Absatzes wird die Zuerkennung der Eigenschaft des Begünstigten eines Lebensversicherungsvertrags zu ausschließlichen Gunsten des versicherten Arbeitnehmers oder Unternehmensleiters einer Übertragung von Kapitalien oder Rückkaufswerten gleichgesetzt.</w:t>
      </w:r>
    </w:p>
    <w:p w14:paraId="0726C9A2" w14:textId="77777777" w:rsidR="00346FDA" w:rsidRPr="009118AB" w:rsidRDefault="00346FDA" w:rsidP="00346FDA">
      <w:pPr>
        <w:jc w:val="both"/>
      </w:pPr>
    </w:p>
    <w:p w14:paraId="7611F7AF" w14:textId="77777777" w:rsidR="00346FDA" w:rsidRPr="009118AB" w:rsidRDefault="00346FDA" w:rsidP="00346FDA">
      <w:pPr>
        <w:ind w:firstLine="708"/>
        <w:jc w:val="both"/>
      </w:pPr>
      <w:r w:rsidRPr="009118AB">
        <w:t>Außerdem gilt diese Verrichtung nicht als Zahlung oder Zuerkennung einer Pension, selbst wenn diese Übertragung auf Antrag des Arbeitnehmers oder Unternehmensleiters vorgenommen wird, unbeschadet des Rechts, die Steuer bei der späteren Zahlung oder Zuerkennung durch die Einrichtung oder das Unternehmen an den Arbeitnehmer oder Unternehmensleiter oder seine Rechtsnachfolger zu erheben.</w:t>
      </w:r>
    </w:p>
    <w:p w14:paraId="2A57D861" w14:textId="77777777" w:rsidR="00346FDA" w:rsidRPr="009118AB" w:rsidRDefault="00346FDA" w:rsidP="00346FDA">
      <w:pPr>
        <w:jc w:val="both"/>
      </w:pPr>
    </w:p>
    <w:p w14:paraId="0714D8FC" w14:textId="77777777" w:rsidR="00346FDA" w:rsidRPr="009118AB" w:rsidRDefault="00346FDA" w:rsidP="00346FDA">
      <w:pPr>
        <w:autoSpaceDE w:val="0"/>
        <w:autoSpaceDN w:val="0"/>
        <w:adjustRightInd w:val="0"/>
        <w:ind w:firstLine="708"/>
        <w:jc w:val="both"/>
      </w:pPr>
      <w:r w:rsidRPr="009118AB">
        <w:t>Vorhergehender Absatz ist nicht anwendbar auf die Übertragung von Kapital oder Rückkaufswerten auf außerhalb des Europäischen Wirtschaftsraums ansässige Versicherungsunternehmen, Vorsorgeeinrichtungen oder Einrichtungen der betrieblichen Altersversorgung.]</w:t>
      </w:r>
    </w:p>
    <w:p w14:paraId="45D4E38F" w14:textId="77777777" w:rsidR="00346FDA" w:rsidRPr="009118AB" w:rsidRDefault="00346FDA" w:rsidP="00346FDA">
      <w:pPr>
        <w:autoSpaceDE w:val="0"/>
        <w:autoSpaceDN w:val="0"/>
        <w:adjustRightInd w:val="0"/>
        <w:ind w:firstLine="708"/>
        <w:jc w:val="both"/>
      </w:pPr>
    </w:p>
    <w:p w14:paraId="132ABEA4" w14:textId="5AA2EFF1" w:rsidR="00346FDA" w:rsidRPr="009118AB" w:rsidRDefault="00346FDA" w:rsidP="00346FDA">
      <w:pPr>
        <w:autoSpaceDE w:val="0"/>
        <w:autoSpaceDN w:val="0"/>
        <w:adjustRightInd w:val="0"/>
        <w:jc w:val="both"/>
        <w:rPr>
          <w:i/>
          <w:iCs/>
        </w:rPr>
      </w:pPr>
      <w:r w:rsidRPr="009118AB">
        <w:rPr>
          <w:i/>
        </w:rPr>
        <w:t>[</w:t>
      </w:r>
      <w:r w:rsidR="00D67EB8" w:rsidRPr="009118AB">
        <w:rPr>
          <w:i/>
        </w:rPr>
        <w:t>Art. </w:t>
      </w:r>
      <w:r w:rsidRPr="009118AB">
        <w:rPr>
          <w:i/>
        </w:rPr>
        <w:t xml:space="preserve">515novies eingefügt durch </w:t>
      </w:r>
      <w:r w:rsidR="00D67EB8" w:rsidRPr="009118AB">
        <w:rPr>
          <w:i/>
        </w:rPr>
        <w:t>Art. </w:t>
      </w:r>
      <w:r w:rsidRPr="009118AB">
        <w:rPr>
          <w:i/>
        </w:rPr>
        <w:t>83</w:t>
      </w:r>
      <w:r w:rsidRPr="009118AB">
        <w:rPr>
          <w:i/>
          <w:iCs/>
        </w:rPr>
        <w:t xml:space="preserve"> des G. vom 22. Juni 2012 (B</w:t>
      </w:r>
      <w:r w:rsidR="00B64F05" w:rsidRPr="009118AB">
        <w:rPr>
          <w:i/>
          <w:iCs/>
        </w:rPr>
        <w:t>.S. vom 28. Juni 2012)</w:t>
      </w:r>
      <w:r w:rsidR="00D67EB8" w:rsidRPr="009118AB">
        <w:rPr>
          <w:i/>
          <w:iCs/>
        </w:rPr>
        <w:t> - </w:t>
      </w:r>
      <w:r w:rsidRPr="009118AB">
        <w:rPr>
          <w:i/>
          <w:iCs/>
        </w:rPr>
        <w:t>anwendbar auf die ab dem 1. Juli 2012 übertragenen Kapitalien und Rückkaufswerte</w:t>
      </w:r>
      <w:r w:rsidR="00FD68E8" w:rsidRPr="009118AB">
        <w:rPr>
          <w:i/>
          <w:iCs/>
        </w:rPr>
        <w:t> -]</w:t>
      </w:r>
    </w:p>
    <w:p w14:paraId="69E05D50" w14:textId="77777777" w:rsidR="00346FDA" w:rsidRPr="009118AB" w:rsidRDefault="00346FDA" w:rsidP="00346FDA">
      <w:pPr>
        <w:autoSpaceDE w:val="0"/>
        <w:autoSpaceDN w:val="0"/>
        <w:adjustRightInd w:val="0"/>
        <w:jc w:val="both"/>
        <w:rPr>
          <w:i/>
          <w:iCs/>
        </w:rPr>
      </w:pPr>
    </w:p>
    <w:p w14:paraId="5F68A7B1" w14:textId="77777777" w:rsidR="008C0F0B" w:rsidRPr="009118AB" w:rsidRDefault="008C0F0B" w:rsidP="003727BE">
      <w:pPr>
        <w:autoSpaceDE w:val="0"/>
        <w:autoSpaceDN w:val="0"/>
        <w:adjustRightInd w:val="0"/>
        <w:jc w:val="both"/>
      </w:pPr>
    </w:p>
    <w:p w14:paraId="4CF62524" w14:textId="6673326D" w:rsidR="00477B8F" w:rsidRPr="009118AB" w:rsidRDefault="00477B8F" w:rsidP="003727BE">
      <w:pPr>
        <w:autoSpaceDE w:val="0"/>
        <w:autoSpaceDN w:val="0"/>
        <w:adjustRightInd w:val="0"/>
        <w:jc w:val="both"/>
      </w:pPr>
      <w:r w:rsidRPr="009118AB">
        <w:tab/>
      </w:r>
      <w:r w:rsidR="00D67EB8" w:rsidRPr="009118AB">
        <w:rPr>
          <w:b/>
          <w:bCs/>
        </w:rPr>
        <w:t>Art. </w:t>
      </w:r>
      <w:r w:rsidRPr="009118AB">
        <w:rPr>
          <w:b/>
          <w:bCs/>
        </w:rPr>
        <w:t>516</w:t>
      </w:r>
      <w:r w:rsidR="00D67EB8" w:rsidRPr="009118AB">
        <w:t> - </w:t>
      </w:r>
      <w:r w:rsidRPr="009118AB">
        <w:t>[</w:t>
      </w:r>
      <w:r w:rsidR="00D67EB8" w:rsidRPr="009118AB">
        <w:t>§ </w:t>
      </w:r>
      <w:r w:rsidRPr="009118AB">
        <w:t>1</w:t>
      </w:r>
      <w:r w:rsidR="00D67EB8" w:rsidRPr="009118AB">
        <w:t> - </w:t>
      </w:r>
      <w:r w:rsidRPr="009118AB">
        <w:t>In Abweichung von Artikel 145</w:t>
      </w:r>
      <w:r w:rsidRPr="009118AB">
        <w:rPr>
          <w:vertAlign w:val="superscript"/>
        </w:rPr>
        <w:t>6</w:t>
      </w:r>
      <w:r w:rsidRPr="009118AB">
        <w:t xml:space="preserve"> Absatz 2 wird die Steuerermäßigung in Bezug auf Summen, die für Tilgung oder Wiederherstellung von Hypothekenanleihen gezahlt werden, die zwischen dem 1. Januar 1963 und dem 31. Dezember 1992 aufgenommen wurden, nur unter der Bedingung gewährt, dass:</w:t>
      </w:r>
    </w:p>
    <w:p w14:paraId="19FBA8E0" w14:textId="77777777" w:rsidR="00477B8F" w:rsidRPr="009118AB" w:rsidRDefault="00477B8F" w:rsidP="003727BE">
      <w:pPr>
        <w:autoSpaceDE w:val="0"/>
        <w:autoSpaceDN w:val="0"/>
        <w:adjustRightInd w:val="0"/>
        <w:jc w:val="both"/>
      </w:pPr>
    </w:p>
    <w:p w14:paraId="668A6833" w14:textId="77777777" w:rsidR="00477B8F" w:rsidRPr="009118AB" w:rsidRDefault="00477B8F" w:rsidP="003727BE">
      <w:pPr>
        <w:autoSpaceDE w:val="0"/>
        <w:autoSpaceDN w:val="0"/>
        <w:adjustRightInd w:val="0"/>
        <w:jc w:val="both"/>
      </w:pPr>
      <w:r w:rsidRPr="009118AB">
        <w:tab/>
        <w:t>1. in Bezug auf Verträge, die bis zum 31. Dezember 1988 abgeschlossen wurden:</w:t>
      </w:r>
    </w:p>
    <w:p w14:paraId="66CC49A9" w14:textId="77777777" w:rsidR="00477B8F" w:rsidRPr="009118AB" w:rsidRDefault="00477B8F" w:rsidP="003727BE">
      <w:pPr>
        <w:autoSpaceDE w:val="0"/>
        <w:autoSpaceDN w:val="0"/>
        <w:adjustRightInd w:val="0"/>
        <w:jc w:val="both"/>
      </w:pPr>
    </w:p>
    <w:p w14:paraId="4632D021" w14:textId="77777777" w:rsidR="00477B8F" w:rsidRPr="009118AB" w:rsidRDefault="00477B8F" w:rsidP="003727BE">
      <w:pPr>
        <w:autoSpaceDE w:val="0"/>
        <w:autoSpaceDN w:val="0"/>
        <w:adjustRightInd w:val="0"/>
        <w:jc w:val="both"/>
      </w:pPr>
      <w:r w:rsidRPr="009118AB">
        <w:tab/>
      </w:r>
      <w:r w:rsidRPr="009118AB">
        <w:rPr>
          <w:i/>
          <w:iCs/>
        </w:rPr>
        <w:t>a)</w:t>
      </w:r>
      <w:r w:rsidRPr="009118AB">
        <w:t xml:space="preserve"> die Anleihe aufgenommen wurde, um eine Sozialwohnung, ein kleines Landeigentum oder eine aufgrund des Wohngesetzbuches damit gleichgesetzte Wohnung zu bauen, zu erwerben oder umzubauen,</w:t>
      </w:r>
    </w:p>
    <w:p w14:paraId="266765DF" w14:textId="77777777" w:rsidR="000B1DBB" w:rsidRPr="009118AB" w:rsidRDefault="000B1DBB" w:rsidP="003727BE">
      <w:pPr>
        <w:autoSpaceDE w:val="0"/>
        <w:autoSpaceDN w:val="0"/>
        <w:adjustRightInd w:val="0"/>
        <w:jc w:val="both"/>
      </w:pPr>
    </w:p>
    <w:p w14:paraId="67BBD45B" w14:textId="77777777" w:rsidR="00477B8F" w:rsidRPr="009118AB" w:rsidRDefault="00477B8F" w:rsidP="003727BE">
      <w:pPr>
        <w:autoSpaceDE w:val="0"/>
        <w:autoSpaceDN w:val="0"/>
        <w:adjustRightInd w:val="0"/>
        <w:jc w:val="both"/>
      </w:pPr>
      <w:r w:rsidRPr="009118AB">
        <w:tab/>
      </w:r>
      <w:r w:rsidRPr="009118AB">
        <w:rPr>
          <w:i/>
          <w:iCs/>
        </w:rPr>
        <w:t>b)</w:t>
      </w:r>
      <w:r w:rsidRPr="009118AB">
        <w:t xml:space="preserve"> die Anleihe aufgenommen wurde, um eine aufgrund des Wohngesetzbuches als mittelgroß geltende Wohnung zu bauen, zu erwerben oder umzubauen; in diesem Fall wird die Anleihe nur bis zum Anfangsbetrag von [9.915,74 EUR] berücksichtigt [...].</w:t>
      </w:r>
    </w:p>
    <w:p w14:paraId="2BCE97AD" w14:textId="77777777" w:rsidR="00477B8F" w:rsidRPr="009118AB" w:rsidRDefault="00477B8F" w:rsidP="003727BE">
      <w:pPr>
        <w:autoSpaceDE w:val="0"/>
        <w:autoSpaceDN w:val="0"/>
        <w:adjustRightInd w:val="0"/>
        <w:jc w:val="both"/>
      </w:pPr>
    </w:p>
    <w:p w14:paraId="2F9DA1EA" w14:textId="77777777" w:rsidR="00477B8F" w:rsidRPr="009118AB" w:rsidRDefault="00477B8F" w:rsidP="003727BE">
      <w:pPr>
        <w:autoSpaceDE w:val="0"/>
        <w:autoSpaceDN w:val="0"/>
        <w:adjustRightInd w:val="0"/>
        <w:jc w:val="both"/>
      </w:pPr>
      <w:r w:rsidRPr="009118AB">
        <w:tab/>
        <w:t xml:space="preserve">In Bezug auf Verträge, die zwischen dem 1. Mai 1986 und dem 31. Dezember 1988 abgeschlossen wurden, um eine in Belgien gelegene Wohnung zu bauen oder in Neuzustand zu erwerben, wird der Anfangsbetrag von [9.915,74 EUR] auf [49.578,70 EUR] erhöht. </w:t>
      </w:r>
    </w:p>
    <w:p w14:paraId="4D594E39" w14:textId="77777777" w:rsidR="00477B8F" w:rsidRPr="009118AB" w:rsidRDefault="00477B8F" w:rsidP="003727BE">
      <w:pPr>
        <w:autoSpaceDE w:val="0"/>
        <w:autoSpaceDN w:val="0"/>
        <w:adjustRightInd w:val="0"/>
        <w:jc w:val="both"/>
      </w:pPr>
    </w:p>
    <w:p w14:paraId="761AADBB" w14:textId="77777777" w:rsidR="00477B8F" w:rsidRPr="009118AB" w:rsidRDefault="00477B8F" w:rsidP="003727BE">
      <w:pPr>
        <w:autoSpaceDE w:val="0"/>
        <w:autoSpaceDN w:val="0"/>
        <w:adjustRightInd w:val="0"/>
        <w:jc w:val="both"/>
      </w:pPr>
      <w:r w:rsidRPr="009118AB">
        <w:tab/>
        <w:t>Eine Wohnung gilt als in Neuzustand erworben, wenn der Verkäufer sie dem Steuerpflichtigen unter Anwendung der Mehrwertsteuer abtritt,</w:t>
      </w:r>
    </w:p>
    <w:p w14:paraId="7887D4A5" w14:textId="77777777" w:rsidR="00477B8F" w:rsidRPr="009118AB" w:rsidRDefault="00477B8F" w:rsidP="003727BE">
      <w:pPr>
        <w:autoSpaceDE w:val="0"/>
        <w:autoSpaceDN w:val="0"/>
        <w:adjustRightInd w:val="0"/>
        <w:jc w:val="both"/>
      </w:pPr>
    </w:p>
    <w:p w14:paraId="0DF5A592" w14:textId="77777777" w:rsidR="00477B8F" w:rsidRPr="009118AB" w:rsidRDefault="00477B8F" w:rsidP="003727BE">
      <w:pPr>
        <w:autoSpaceDE w:val="0"/>
        <w:autoSpaceDN w:val="0"/>
        <w:adjustRightInd w:val="0"/>
        <w:jc w:val="both"/>
      </w:pPr>
      <w:r w:rsidRPr="009118AB">
        <w:tab/>
        <w:t>2. [in Bezug auf Verträge, die zwischen dem 1. Januar 1989 und dem 31. Dezember 1992 abgeschlossen wurden, die Anleihe aufgenommen wurde, um eine in Belgien gelegene Wohnung zu bauen, zu erwerben oder umzubauen; die Summen werden nur berücksichtigt in dem Maße, wie sie sich auf den ersten Teilbetrag von [49.578,70 EUR] des Anfangsbetrags der Anleihe beziehen.]</w:t>
      </w:r>
    </w:p>
    <w:p w14:paraId="23DD8D9C" w14:textId="77777777" w:rsidR="00477B8F" w:rsidRPr="009118AB" w:rsidRDefault="00477B8F" w:rsidP="003727BE">
      <w:pPr>
        <w:autoSpaceDE w:val="0"/>
        <w:autoSpaceDN w:val="0"/>
        <w:adjustRightInd w:val="0"/>
        <w:jc w:val="both"/>
      </w:pPr>
    </w:p>
    <w:p w14:paraId="058E5CA9" w14:textId="18A87A57" w:rsidR="00477B8F" w:rsidRPr="009118AB" w:rsidRDefault="00477B8F" w:rsidP="00610DD6">
      <w:pPr>
        <w:autoSpaceDE w:val="0"/>
        <w:autoSpaceDN w:val="0"/>
        <w:adjustRightInd w:val="0"/>
        <w:jc w:val="both"/>
      </w:pPr>
      <w:r w:rsidRPr="009118AB">
        <w:tab/>
      </w:r>
      <w:r w:rsidR="00D67EB8" w:rsidRPr="009118AB">
        <w:t>§ </w:t>
      </w:r>
      <w:r w:rsidRPr="009118AB">
        <w:t>2</w:t>
      </w:r>
      <w:r w:rsidR="00D67EB8" w:rsidRPr="009118AB">
        <w:t> - </w:t>
      </w:r>
      <w:r w:rsidR="00610DD6" w:rsidRPr="009118AB">
        <w:t>[..</w:t>
      </w:r>
      <w:r w:rsidRPr="009118AB">
        <w:t>.]</w:t>
      </w:r>
    </w:p>
    <w:p w14:paraId="418581B5" w14:textId="77777777" w:rsidR="00477B8F" w:rsidRPr="009118AB" w:rsidRDefault="00477B8F" w:rsidP="003727BE">
      <w:pPr>
        <w:autoSpaceDE w:val="0"/>
        <w:autoSpaceDN w:val="0"/>
        <w:adjustRightInd w:val="0"/>
        <w:jc w:val="both"/>
      </w:pPr>
    </w:p>
    <w:p w14:paraId="39CDCD14" w14:textId="0980EDED" w:rsidR="00477B8F" w:rsidRPr="009118AB" w:rsidRDefault="00477B8F" w:rsidP="00610DD6">
      <w:pPr>
        <w:autoSpaceDE w:val="0"/>
        <w:autoSpaceDN w:val="0"/>
        <w:adjustRightInd w:val="0"/>
        <w:jc w:val="both"/>
      </w:pPr>
      <w:r w:rsidRPr="009118AB">
        <w:tab/>
      </w:r>
      <w:r w:rsidR="00D67EB8" w:rsidRPr="009118AB">
        <w:t>§ </w:t>
      </w:r>
      <w:r w:rsidRPr="009118AB">
        <w:t>3</w:t>
      </w:r>
      <w:r w:rsidR="00D67EB8" w:rsidRPr="009118AB">
        <w:t> - </w:t>
      </w:r>
      <w:r w:rsidR="00610DD6" w:rsidRPr="009118AB">
        <w:t>[…]</w:t>
      </w:r>
    </w:p>
    <w:p w14:paraId="27414751" w14:textId="77777777" w:rsidR="00477B8F" w:rsidRPr="009118AB" w:rsidRDefault="00477B8F" w:rsidP="003727BE">
      <w:pPr>
        <w:autoSpaceDE w:val="0"/>
        <w:autoSpaceDN w:val="0"/>
        <w:adjustRightInd w:val="0"/>
        <w:jc w:val="both"/>
      </w:pPr>
    </w:p>
    <w:p w14:paraId="0E59BA1B" w14:textId="1BFE2956" w:rsidR="00477B8F" w:rsidRPr="009118AB" w:rsidRDefault="00477B8F" w:rsidP="003727BE">
      <w:pPr>
        <w:autoSpaceDE w:val="0"/>
        <w:autoSpaceDN w:val="0"/>
        <w:adjustRightInd w:val="0"/>
        <w:jc w:val="both"/>
      </w:pPr>
      <w:r w:rsidRPr="009118AB">
        <w:tab/>
      </w:r>
      <w:r w:rsidR="00D67EB8" w:rsidRPr="009118AB">
        <w:t>§ </w:t>
      </w:r>
      <w:r w:rsidRPr="009118AB">
        <w:t>4</w:t>
      </w:r>
      <w:r w:rsidR="00D67EB8" w:rsidRPr="009118AB">
        <w:t> - </w:t>
      </w:r>
      <w:r w:rsidRPr="009118AB">
        <w:t xml:space="preserve">Wenn die Anwendung der Artikel 86 Absatz 1, 87 und 88 hinsichtlich eines vor dem 1. Januar 1989 auf den Namen nur eines der Ehepartner abgeschlossenen Vertrags zur Folge hat, dass [die Beiträge und Summen erwähnt </w:t>
      </w:r>
      <w:r w:rsidR="00590CC2" w:rsidRPr="009118AB">
        <w:t>[in Artikel 145</w:t>
      </w:r>
      <w:r w:rsidR="00590CC2" w:rsidRPr="009118AB">
        <w:rPr>
          <w:vertAlign w:val="superscript"/>
        </w:rPr>
        <w:t>1</w:t>
      </w:r>
      <w:r w:rsidR="00590CC2" w:rsidRPr="009118AB">
        <w:t xml:space="preserve"> </w:t>
      </w:r>
      <w:r w:rsidR="00D67EB8" w:rsidRPr="009118AB">
        <w:t>Nr. </w:t>
      </w:r>
      <w:r w:rsidR="00590CC2" w:rsidRPr="009118AB">
        <w:t>2 und 3, so wie er vor seiner Abänderung durch Artikel 397 des Programmgesetzes vom 27. Dezember 2004 bestand]</w:t>
      </w:r>
      <w:r w:rsidRPr="009118AB">
        <w:t xml:space="preserve">] nicht zu einer Steuerermäßigung </w:t>
      </w:r>
      <w:r w:rsidR="00590CC2" w:rsidRPr="009118AB">
        <w:t>[…]</w:t>
      </w:r>
      <w:r w:rsidRPr="009118AB">
        <w:t xml:space="preserve"> zugunsten dieses Ehepartners in den in Artikel 145</w:t>
      </w:r>
      <w:r w:rsidRPr="009118AB">
        <w:rPr>
          <w:vertAlign w:val="superscript"/>
        </w:rPr>
        <w:t>6</w:t>
      </w:r>
      <w:r w:rsidRPr="009118AB">
        <w:t xml:space="preserve"> Absatz 1 erwähnten Grenzen führen, darf die Differenz ohne Teilung des Vertrags in denselben Grenzen zu einer zusätzlichen Ermäßigung zugunsten des anderen Ehepartners führen.</w:t>
      </w:r>
    </w:p>
    <w:p w14:paraId="234562D2" w14:textId="77777777" w:rsidR="00477B8F" w:rsidRPr="009118AB" w:rsidRDefault="00477B8F" w:rsidP="003727BE">
      <w:pPr>
        <w:autoSpaceDE w:val="0"/>
        <w:autoSpaceDN w:val="0"/>
        <w:adjustRightInd w:val="0"/>
        <w:jc w:val="both"/>
      </w:pPr>
    </w:p>
    <w:p w14:paraId="37ECD0EE" w14:textId="76B60610" w:rsidR="00477B8F" w:rsidRPr="009118AB" w:rsidRDefault="00477B8F" w:rsidP="003727BE">
      <w:pPr>
        <w:autoSpaceDE w:val="0"/>
        <w:autoSpaceDN w:val="0"/>
        <w:adjustRightInd w:val="0"/>
        <w:jc w:val="both"/>
      </w:pPr>
      <w:r w:rsidRPr="009118AB">
        <w:tab/>
      </w:r>
      <w:r w:rsidR="00D67EB8" w:rsidRPr="009118AB">
        <w:t>§ </w:t>
      </w:r>
      <w:r w:rsidRPr="009118AB">
        <w:t>5</w:t>
      </w:r>
      <w:r w:rsidR="00D67EB8" w:rsidRPr="009118AB">
        <w:t> - </w:t>
      </w:r>
      <w:r w:rsidRPr="009118AB">
        <w:t xml:space="preserve">Die in </w:t>
      </w:r>
      <w:r w:rsidR="00D67EB8" w:rsidRPr="009118AB">
        <w:t>§ </w:t>
      </w:r>
      <w:r w:rsidRPr="009118AB">
        <w:t xml:space="preserve">1 </w:t>
      </w:r>
      <w:r w:rsidR="00D67EB8" w:rsidRPr="009118AB">
        <w:t>Nr. </w:t>
      </w:r>
      <w:r w:rsidRPr="009118AB">
        <w:t xml:space="preserve">2 </w:t>
      </w:r>
      <w:r w:rsidR="00590CC2" w:rsidRPr="009118AB">
        <w:t>[…]</w:t>
      </w:r>
      <w:r w:rsidRPr="009118AB">
        <w:t xml:space="preserve"> erwähnten Beträge werden gemäß Artikel 178 an den Verbraucherpreisindex des Königreichs angepasst.]</w:t>
      </w:r>
      <w:r w:rsidRPr="009118AB">
        <w:tab/>
      </w:r>
    </w:p>
    <w:p w14:paraId="13180E9C" w14:textId="77777777" w:rsidR="00477B8F" w:rsidRPr="009118AB" w:rsidRDefault="00477B8F" w:rsidP="003727BE">
      <w:pPr>
        <w:autoSpaceDE w:val="0"/>
        <w:autoSpaceDN w:val="0"/>
        <w:adjustRightInd w:val="0"/>
        <w:jc w:val="both"/>
      </w:pPr>
    </w:p>
    <w:p w14:paraId="1CF5297A" w14:textId="060CEEB6"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516 ersetzt durch </w:t>
      </w:r>
      <w:r w:rsidR="00D67EB8" w:rsidRPr="009118AB">
        <w:rPr>
          <w:i/>
          <w:iCs/>
        </w:rPr>
        <w:t>Art. </w:t>
      </w:r>
      <w:r w:rsidRPr="009118AB">
        <w:rPr>
          <w:i/>
          <w:iCs/>
        </w:rPr>
        <w:t>100 des G. vom 28. Dezember 1992 (B.S. vom 31. Dezember 1992)</w:t>
      </w:r>
      <w:r w:rsidR="00D67EB8" w:rsidRPr="009118AB">
        <w:rPr>
          <w:i/>
          <w:iCs/>
        </w:rPr>
        <w:t> - </w:t>
      </w:r>
      <w:r w:rsidRPr="009118AB">
        <w:rPr>
          <w:i/>
          <w:iCs/>
        </w:rPr>
        <w:t>anwendbar ab dem Steuerjahr 1993</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1 </w:t>
      </w:r>
      <w:r w:rsidR="00D67EB8" w:rsidRPr="009118AB">
        <w:rPr>
          <w:i/>
          <w:iCs/>
        </w:rPr>
        <w:t>Abs. </w:t>
      </w:r>
      <w:r w:rsidRPr="009118AB">
        <w:rPr>
          <w:i/>
          <w:iCs/>
        </w:rPr>
        <w:t xml:space="preserve">1 Buchstabe b) abgeändert durch </w:t>
      </w:r>
      <w:r w:rsidR="00D67EB8" w:rsidRPr="009118AB">
        <w:rPr>
          <w:i/>
          <w:iCs/>
        </w:rPr>
        <w:t>Art. </w:t>
      </w:r>
      <w:r w:rsidRPr="009118AB">
        <w:rPr>
          <w:i/>
          <w:iCs/>
        </w:rPr>
        <w:t>10 des G. vom 17. Mai 2000 (B.S. vom 16. Juni 2000)</w:t>
      </w:r>
      <w:r w:rsidR="00D67EB8" w:rsidRPr="009118AB">
        <w:rPr>
          <w:i/>
          <w:iCs/>
        </w:rPr>
        <w:t> - </w:t>
      </w:r>
      <w:r w:rsidRPr="009118AB">
        <w:rPr>
          <w:i/>
          <w:iCs/>
        </w:rPr>
        <w:t>in Kraft ab dem Steuerjahr 2001</w:t>
      </w:r>
      <w:r w:rsidR="00D67EB8" w:rsidRPr="009118AB">
        <w:rPr>
          <w:i/>
          <w:iCs/>
        </w:rPr>
        <w:t> - </w:t>
      </w:r>
      <w:r w:rsidRPr="009118AB">
        <w:rPr>
          <w:i/>
          <w:iCs/>
        </w:rPr>
        <w:t xml:space="preserve">und </w:t>
      </w:r>
      <w:r w:rsidR="00D67EB8" w:rsidRPr="009118AB">
        <w:rPr>
          <w:i/>
          <w:iCs/>
        </w:rPr>
        <w:t>Art. </w:t>
      </w:r>
      <w:r w:rsidRPr="009118AB">
        <w:rPr>
          <w:i/>
          <w:iCs/>
        </w:rPr>
        <w:t>1 des K.E. vom 13. Juli 2001 (B.S. vom 11. August 2001)</w:t>
      </w:r>
      <w:r w:rsidR="00D67EB8" w:rsidRPr="009118AB">
        <w:rPr>
          <w:i/>
          <w:iCs/>
        </w:rPr>
        <w:t> - </w:t>
      </w:r>
      <w:r w:rsidRPr="009118AB">
        <w:rPr>
          <w:i/>
          <w:iCs/>
        </w:rPr>
        <w:t>in Kraft ab dem Steuerjahr 2002</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1 </w:t>
      </w:r>
      <w:r w:rsidR="00D67EB8" w:rsidRPr="009118AB">
        <w:rPr>
          <w:i/>
          <w:iCs/>
        </w:rPr>
        <w:t>Abs. </w:t>
      </w:r>
      <w:r w:rsidRPr="009118AB">
        <w:rPr>
          <w:i/>
          <w:iCs/>
        </w:rPr>
        <w:t xml:space="preserve">2 abgeändert durch </w:t>
      </w:r>
      <w:r w:rsidR="00D67EB8" w:rsidRPr="009118AB">
        <w:rPr>
          <w:i/>
          <w:iCs/>
        </w:rPr>
        <w:t>Art. </w:t>
      </w:r>
      <w:r w:rsidRPr="009118AB">
        <w:rPr>
          <w:i/>
          <w:iCs/>
        </w:rPr>
        <w:t>1 des K.E. vom 13. Juli 2001 (B.S. vom 11. August 2001)</w:t>
      </w:r>
      <w:r w:rsidR="00D67EB8" w:rsidRPr="009118AB">
        <w:rPr>
          <w:i/>
          <w:iCs/>
        </w:rPr>
        <w:t> - </w:t>
      </w:r>
      <w:r w:rsidRPr="009118AB">
        <w:rPr>
          <w:i/>
          <w:iCs/>
        </w:rPr>
        <w:t>in Kraft ab dem Steuerjahr 2002</w:t>
      </w:r>
      <w:r w:rsidR="003366D9" w:rsidRPr="009118AB">
        <w:rPr>
          <w:i/>
          <w:iCs/>
        </w:rPr>
        <w:t> -;</w:t>
      </w:r>
      <w:r w:rsidRPr="009118AB">
        <w:rPr>
          <w:i/>
          <w:iCs/>
        </w:rPr>
        <w:t xml:space="preserve"> </w:t>
      </w:r>
      <w:r w:rsidR="00D67EB8" w:rsidRPr="009118AB">
        <w:rPr>
          <w:i/>
          <w:iCs/>
        </w:rPr>
        <w:t>§ </w:t>
      </w:r>
      <w:r w:rsidRPr="009118AB">
        <w:rPr>
          <w:i/>
          <w:iCs/>
        </w:rPr>
        <w:t xml:space="preserve">1 einziger Absatz </w:t>
      </w:r>
      <w:r w:rsidR="00D67EB8" w:rsidRPr="009118AB">
        <w:rPr>
          <w:i/>
          <w:iCs/>
        </w:rPr>
        <w:t>Nr. </w:t>
      </w:r>
      <w:r w:rsidRPr="009118AB">
        <w:rPr>
          <w:i/>
          <w:iCs/>
        </w:rPr>
        <w:t xml:space="preserve">2 ersetzt durch </w:t>
      </w:r>
      <w:r w:rsidR="00D67EB8" w:rsidRPr="009118AB">
        <w:rPr>
          <w:i/>
          <w:iCs/>
        </w:rPr>
        <w:t>Art. </w:t>
      </w:r>
      <w:r w:rsidRPr="009118AB">
        <w:rPr>
          <w:i/>
          <w:iCs/>
        </w:rPr>
        <w:t xml:space="preserve">83 </w:t>
      </w:r>
      <w:r w:rsidR="00D67EB8" w:rsidRPr="009118AB">
        <w:rPr>
          <w:i/>
          <w:iCs/>
        </w:rPr>
        <w:t>Nr. </w:t>
      </w:r>
      <w:r w:rsidRPr="009118AB">
        <w:rPr>
          <w:i/>
          <w:iCs/>
        </w:rPr>
        <w:t>1 des G. vom 6. Juli 1994 (B.S. vom 16. Juli 1994)</w:t>
      </w:r>
      <w:r w:rsidR="00D67EB8" w:rsidRPr="009118AB">
        <w:rPr>
          <w:i/>
          <w:iCs/>
        </w:rPr>
        <w:t> - </w:t>
      </w:r>
      <w:r w:rsidRPr="009118AB">
        <w:rPr>
          <w:i/>
          <w:iCs/>
        </w:rPr>
        <w:t>in Kraft ab dem Steuerjahr 1993</w:t>
      </w:r>
      <w:r w:rsidR="00D67EB8" w:rsidRPr="009118AB">
        <w:rPr>
          <w:i/>
          <w:iCs/>
        </w:rPr>
        <w:t> - </w:t>
      </w:r>
      <w:r w:rsidRPr="009118AB">
        <w:rPr>
          <w:i/>
          <w:iCs/>
        </w:rPr>
        <w:t xml:space="preserve">und abgeändert durch </w:t>
      </w:r>
      <w:r w:rsidR="00D67EB8" w:rsidRPr="009118AB">
        <w:rPr>
          <w:i/>
          <w:iCs/>
        </w:rPr>
        <w:t>Art. </w:t>
      </w:r>
      <w:r w:rsidRPr="009118AB">
        <w:rPr>
          <w:i/>
          <w:iCs/>
        </w:rPr>
        <w:t>1 des K.E. vom 11. Dezember 2001 (B.S. vom 22. Dezember 2001)</w:t>
      </w:r>
      <w:r w:rsidR="00D67EB8" w:rsidRPr="009118AB">
        <w:rPr>
          <w:i/>
          <w:iCs/>
        </w:rPr>
        <w:t> - </w:t>
      </w:r>
      <w:r w:rsidRPr="009118AB">
        <w:rPr>
          <w:i/>
          <w:iCs/>
        </w:rPr>
        <w:t>in K</w:t>
      </w:r>
      <w:r w:rsidR="005378D3" w:rsidRPr="009118AB">
        <w:rPr>
          <w:i/>
          <w:iCs/>
        </w:rPr>
        <w:t>raft ab dem 1. Januar 2002</w:t>
      </w:r>
      <w:r w:rsidR="003366D9" w:rsidRPr="009118AB">
        <w:rPr>
          <w:i/>
          <w:iCs/>
        </w:rPr>
        <w:t> -;</w:t>
      </w:r>
      <w:r w:rsidR="005378D3" w:rsidRPr="009118AB">
        <w:rPr>
          <w:i/>
          <w:iCs/>
        </w:rPr>
        <w:t xml:space="preserve"> §</w:t>
      </w:r>
      <w:r w:rsidR="00D67EB8" w:rsidRPr="009118AB">
        <w:rPr>
          <w:i/>
          <w:iCs/>
        </w:rPr>
        <w:t>§ </w:t>
      </w:r>
      <w:r w:rsidR="005378D3" w:rsidRPr="009118AB">
        <w:rPr>
          <w:i/>
          <w:iCs/>
        </w:rPr>
        <w:t xml:space="preserve">2 und 3 aufgehoben durch </w:t>
      </w:r>
      <w:r w:rsidR="00D67EB8" w:rsidRPr="009118AB">
        <w:rPr>
          <w:i/>
          <w:iCs/>
        </w:rPr>
        <w:t>Art. </w:t>
      </w:r>
      <w:r w:rsidR="005378D3" w:rsidRPr="009118AB">
        <w:rPr>
          <w:i/>
          <w:iCs/>
        </w:rPr>
        <w:t xml:space="preserve">99 </w:t>
      </w:r>
      <w:r w:rsidR="00D67EB8" w:rsidRPr="009118AB">
        <w:rPr>
          <w:i/>
          <w:iCs/>
        </w:rPr>
        <w:t>Nr. </w:t>
      </w:r>
      <w:r w:rsidR="005378D3" w:rsidRPr="009118AB">
        <w:rPr>
          <w:i/>
          <w:iCs/>
        </w:rPr>
        <w:t>1</w:t>
      </w:r>
      <w:r w:rsidR="005378D3" w:rsidRPr="009118AB">
        <w:rPr>
          <w:i/>
        </w:rPr>
        <w:t xml:space="preserve"> des G. vom 8. Mai 2014 (B.S. vom 28. Mai 2014)</w:t>
      </w:r>
      <w:r w:rsidR="00D67EB8" w:rsidRPr="009118AB">
        <w:rPr>
          <w:i/>
        </w:rPr>
        <w:t> - </w:t>
      </w:r>
      <w:r w:rsidR="005378D3" w:rsidRPr="009118AB">
        <w:rPr>
          <w:i/>
          <w:iCs/>
        </w:rPr>
        <w:t>anwendbar ab dem Steuerjahr 2015</w:t>
      </w:r>
      <w:r w:rsidR="003366D9" w:rsidRPr="009118AB">
        <w:rPr>
          <w:i/>
          <w:iCs/>
        </w:rPr>
        <w:t> -;</w:t>
      </w:r>
      <w:r w:rsidR="005378D3" w:rsidRPr="009118AB">
        <w:rPr>
          <w:i/>
          <w:iCs/>
        </w:rPr>
        <w:t xml:space="preserve"> </w:t>
      </w:r>
      <w:r w:rsidR="00D67EB8" w:rsidRPr="009118AB">
        <w:rPr>
          <w:i/>
          <w:iCs/>
        </w:rPr>
        <w:t>§ </w:t>
      </w:r>
      <w:r w:rsidRPr="009118AB">
        <w:rPr>
          <w:i/>
          <w:iCs/>
        </w:rPr>
        <w:t xml:space="preserve">4 abgeändert durch </w:t>
      </w:r>
      <w:r w:rsidR="00D67EB8" w:rsidRPr="009118AB">
        <w:rPr>
          <w:i/>
          <w:iCs/>
        </w:rPr>
        <w:t>Art. </w:t>
      </w:r>
      <w:r w:rsidRPr="009118AB">
        <w:rPr>
          <w:i/>
          <w:iCs/>
        </w:rPr>
        <w:t xml:space="preserve">409 </w:t>
      </w:r>
      <w:r w:rsidR="00D67EB8" w:rsidRPr="009118AB">
        <w:rPr>
          <w:i/>
          <w:iCs/>
        </w:rPr>
        <w:t>Nr. </w:t>
      </w:r>
      <w:r w:rsidRPr="009118AB">
        <w:rPr>
          <w:i/>
          <w:iCs/>
        </w:rPr>
        <w:t>4 des G. vom 27. Dezember 2004 (B.S. vom 31. Dezember 2004)</w:t>
      </w:r>
      <w:r w:rsidR="00D67EB8" w:rsidRPr="009118AB">
        <w:rPr>
          <w:i/>
          <w:iCs/>
        </w:rPr>
        <w:t> - </w:t>
      </w:r>
      <w:r w:rsidRPr="009118AB">
        <w:rPr>
          <w:i/>
          <w:iCs/>
        </w:rPr>
        <w:t>in Kraft ab dem Steuerjahr</w:t>
      </w:r>
      <w:r w:rsidR="00827C47" w:rsidRPr="009118AB">
        <w:rPr>
          <w:i/>
          <w:iCs/>
        </w:rPr>
        <w:t> </w:t>
      </w:r>
      <w:r w:rsidRPr="009118AB">
        <w:rPr>
          <w:i/>
          <w:iCs/>
        </w:rPr>
        <w:t>2006</w:t>
      </w:r>
      <w:r w:rsidR="00D67EB8" w:rsidRPr="009118AB">
        <w:rPr>
          <w:i/>
          <w:iCs/>
        </w:rPr>
        <w:t> - </w:t>
      </w:r>
      <w:r w:rsidR="005378D3" w:rsidRPr="009118AB">
        <w:rPr>
          <w:i/>
          <w:iCs/>
        </w:rPr>
        <w:t xml:space="preserve">und </w:t>
      </w:r>
      <w:r w:rsidR="00D67EB8" w:rsidRPr="009118AB">
        <w:rPr>
          <w:i/>
          <w:iCs/>
        </w:rPr>
        <w:t>Art. </w:t>
      </w:r>
      <w:r w:rsidR="005378D3" w:rsidRPr="009118AB">
        <w:rPr>
          <w:i/>
          <w:iCs/>
        </w:rPr>
        <w:t xml:space="preserve">99 </w:t>
      </w:r>
      <w:r w:rsidR="00D67EB8" w:rsidRPr="009118AB">
        <w:rPr>
          <w:i/>
          <w:iCs/>
        </w:rPr>
        <w:t>Nr. </w:t>
      </w:r>
      <w:r w:rsidR="005378D3" w:rsidRPr="009118AB">
        <w:rPr>
          <w:i/>
          <w:iCs/>
        </w:rPr>
        <w:t>2</w:t>
      </w:r>
      <w:r w:rsidR="005378D3" w:rsidRPr="009118AB">
        <w:rPr>
          <w:i/>
        </w:rPr>
        <w:t xml:space="preserve"> des G. vom 8. Mai 2014 (B.S. vom 28. Mai 2014)</w:t>
      </w:r>
      <w:r w:rsidR="00D67EB8" w:rsidRPr="009118AB">
        <w:rPr>
          <w:i/>
        </w:rPr>
        <w:t> - </w:t>
      </w:r>
      <w:r w:rsidR="005378D3" w:rsidRPr="009118AB">
        <w:rPr>
          <w:i/>
          <w:iCs/>
        </w:rPr>
        <w:t>anwendbar ab dem Steuerjahr 2015</w:t>
      </w:r>
      <w:r w:rsidR="003366D9" w:rsidRPr="009118AB">
        <w:rPr>
          <w:i/>
          <w:iCs/>
        </w:rPr>
        <w:t> -;</w:t>
      </w:r>
      <w:r w:rsidR="005378D3" w:rsidRPr="009118AB">
        <w:rPr>
          <w:i/>
          <w:iCs/>
        </w:rPr>
        <w:t xml:space="preserve"> </w:t>
      </w:r>
      <w:r w:rsidR="00D67EB8" w:rsidRPr="009118AB">
        <w:rPr>
          <w:i/>
          <w:iCs/>
        </w:rPr>
        <w:t>§ </w:t>
      </w:r>
      <w:r w:rsidR="005378D3" w:rsidRPr="009118AB">
        <w:rPr>
          <w:i/>
          <w:iCs/>
        </w:rPr>
        <w:t xml:space="preserve">5 abgeändert durch </w:t>
      </w:r>
      <w:r w:rsidR="00D67EB8" w:rsidRPr="009118AB">
        <w:rPr>
          <w:i/>
          <w:iCs/>
        </w:rPr>
        <w:t>Art. </w:t>
      </w:r>
      <w:r w:rsidR="005378D3" w:rsidRPr="009118AB">
        <w:rPr>
          <w:i/>
          <w:iCs/>
        </w:rPr>
        <w:t xml:space="preserve">99 </w:t>
      </w:r>
      <w:r w:rsidR="00D67EB8" w:rsidRPr="009118AB">
        <w:rPr>
          <w:i/>
          <w:iCs/>
        </w:rPr>
        <w:t>Nr. </w:t>
      </w:r>
      <w:r w:rsidR="005378D3" w:rsidRPr="009118AB">
        <w:rPr>
          <w:i/>
          <w:iCs/>
        </w:rPr>
        <w:t>3</w:t>
      </w:r>
      <w:r w:rsidR="005378D3" w:rsidRPr="009118AB">
        <w:rPr>
          <w:i/>
        </w:rPr>
        <w:t xml:space="preserve"> des G. vom 8. Mai 2014 (B.S. vom 28. Mai 2014)</w:t>
      </w:r>
      <w:r w:rsidR="00D67EB8" w:rsidRPr="009118AB">
        <w:rPr>
          <w:i/>
        </w:rPr>
        <w:t> - </w:t>
      </w:r>
      <w:r w:rsidR="005378D3" w:rsidRPr="009118AB">
        <w:rPr>
          <w:i/>
          <w:iCs/>
        </w:rPr>
        <w:t>anwendbar ab dem Steuerjahr 2015</w:t>
      </w:r>
      <w:r w:rsidR="00FD68E8" w:rsidRPr="009118AB">
        <w:rPr>
          <w:i/>
          <w:iCs/>
        </w:rPr>
        <w:t> -]</w:t>
      </w:r>
    </w:p>
    <w:p w14:paraId="0444E6A5" w14:textId="77777777" w:rsidR="00827C47" w:rsidRPr="009118AB" w:rsidRDefault="00827C47" w:rsidP="003727BE">
      <w:pPr>
        <w:autoSpaceDE w:val="0"/>
        <w:autoSpaceDN w:val="0"/>
        <w:adjustRightInd w:val="0"/>
        <w:jc w:val="both"/>
      </w:pPr>
    </w:p>
    <w:p w14:paraId="6250F9B1" w14:textId="77777777" w:rsidR="00827C47" w:rsidRPr="009118AB" w:rsidRDefault="00827C47" w:rsidP="003727BE">
      <w:pPr>
        <w:autoSpaceDE w:val="0"/>
        <w:autoSpaceDN w:val="0"/>
        <w:adjustRightInd w:val="0"/>
        <w:jc w:val="both"/>
      </w:pPr>
    </w:p>
    <w:p w14:paraId="5787EC84" w14:textId="57B428AC" w:rsidR="00477B8F" w:rsidRPr="009118AB" w:rsidRDefault="00477B8F" w:rsidP="003727BE">
      <w:pPr>
        <w:autoSpaceDE w:val="0"/>
        <w:autoSpaceDN w:val="0"/>
        <w:adjustRightInd w:val="0"/>
        <w:jc w:val="both"/>
      </w:pPr>
      <w:r w:rsidRPr="009118AB">
        <w:tab/>
      </w:r>
      <w:r w:rsidR="00D67EB8" w:rsidRPr="009118AB">
        <w:rPr>
          <w:b/>
          <w:bCs/>
        </w:rPr>
        <w:t>Art. </w:t>
      </w:r>
      <w:r w:rsidRPr="009118AB">
        <w:rPr>
          <w:b/>
          <w:bCs/>
        </w:rPr>
        <w:t>517</w:t>
      </w:r>
      <w:r w:rsidR="00D67EB8" w:rsidRPr="009118AB">
        <w:t> - </w:t>
      </w:r>
      <w:r w:rsidRPr="009118AB">
        <w:t xml:space="preserve">Für die Anwendung [der Artikel 131 Absatz 2 und 132 Absatz 2] wird jedoch die Behinderung berücksichtigt, die vor dem 1. Januar 1989 gemäß Artikel 81 </w:t>
      </w:r>
      <w:r w:rsidR="00D67EB8" w:rsidRPr="009118AB">
        <w:t>§ </w:t>
      </w:r>
      <w:r w:rsidRPr="009118AB">
        <w:t xml:space="preserve">3 </w:t>
      </w:r>
      <w:r w:rsidR="00D67EB8" w:rsidRPr="009118AB">
        <w:t>Nr. </w:t>
      </w:r>
      <w:r w:rsidRPr="009118AB">
        <w:t>1 des Einkommensteuergesetzbuches, so wie er an diesem Datum in Kraft war, anerkannt war.</w:t>
      </w:r>
    </w:p>
    <w:p w14:paraId="14896F67" w14:textId="77777777" w:rsidR="00477B8F" w:rsidRPr="009118AB" w:rsidRDefault="00477B8F" w:rsidP="003727BE">
      <w:pPr>
        <w:autoSpaceDE w:val="0"/>
        <w:autoSpaceDN w:val="0"/>
        <w:adjustRightInd w:val="0"/>
        <w:jc w:val="both"/>
      </w:pPr>
    </w:p>
    <w:p w14:paraId="77838806" w14:textId="44FD7195"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517 abgeändert durch </w:t>
      </w:r>
      <w:r w:rsidR="00D67EB8" w:rsidRPr="009118AB">
        <w:rPr>
          <w:i/>
          <w:iCs/>
        </w:rPr>
        <w:t>Art. </w:t>
      </w:r>
      <w:r w:rsidRPr="009118AB">
        <w:rPr>
          <w:i/>
          <w:iCs/>
        </w:rPr>
        <w:t>59 des G. vom 10. August 2001 (B.S. vom 20. September 2001)</w:t>
      </w:r>
      <w:r w:rsidR="00D67EB8" w:rsidRPr="009118AB">
        <w:rPr>
          <w:i/>
          <w:iCs/>
        </w:rPr>
        <w:t> - </w:t>
      </w:r>
      <w:r w:rsidRPr="009118AB">
        <w:rPr>
          <w:i/>
          <w:iCs/>
        </w:rPr>
        <w:t>in Kraft ab dem Steuerjahr 2005</w:t>
      </w:r>
      <w:r w:rsidR="00FD68E8" w:rsidRPr="009118AB">
        <w:rPr>
          <w:i/>
          <w:iCs/>
        </w:rPr>
        <w:t> -]</w:t>
      </w:r>
    </w:p>
    <w:p w14:paraId="0C064492" w14:textId="77777777" w:rsidR="00477B8F" w:rsidRPr="009118AB" w:rsidRDefault="00477B8F" w:rsidP="003727BE">
      <w:pPr>
        <w:autoSpaceDE w:val="0"/>
        <w:autoSpaceDN w:val="0"/>
        <w:adjustRightInd w:val="0"/>
        <w:jc w:val="both"/>
      </w:pPr>
    </w:p>
    <w:p w14:paraId="67814837" w14:textId="77777777" w:rsidR="00477B8F" w:rsidRPr="009118AB" w:rsidRDefault="00477B8F" w:rsidP="003727BE">
      <w:pPr>
        <w:autoSpaceDE w:val="0"/>
        <w:autoSpaceDN w:val="0"/>
        <w:adjustRightInd w:val="0"/>
        <w:jc w:val="both"/>
      </w:pPr>
    </w:p>
    <w:p w14:paraId="65BC4224" w14:textId="18F0DAE2" w:rsidR="00477B8F" w:rsidRPr="009118AB" w:rsidRDefault="00477B8F" w:rsidP="003727BE">
      <w:pPr>
        <w:autoSpaceDE w:val="0"/>
        <w:autoSpaceDN w:val="0"/>
        <w:adjustRightInd w:val="0"/>
        <w:jc w:val="both"/>
      </w:pPr>
      <w:r w:rsidRPr="009118AB">
        <w:tab/>
      </w:r>
      <w:r w:rsidR="00D67EB8" w:rsidRPr="009118AB">
        <w:rPr>
          <w:b/>
          <w:bCs/>
        </w:rPr>
        <w:t>Art. </w:t>
      </w:r>
      <w:r w:rsidRPr="009118AB">
        <w:rPr>
          <w:b/>
          <w:bCs/>
        </w:rPr>
        <w:t>518</w:t>
      </w:r>
      <w:r w:rsidR="00D67EB8" w:rsidRPr="009118AB">
        <w:t> - </w:t>
      </w:r>
      <w:r w:rsidRPr="009118AB">
        <w:t xml:space="preserve">Für die Anwendung der Artikel 7 bis 11, </w:t>
      </w:r>
      <w:r w:rsidR="000010F5" w:rsidRPr="009118AB">
        <w:t>[…]</w:t>
      </w:r>
      <w:r w:rsidRPr="009118AB">
        <w:t xml:space="preserve"> 221 </w:t>
      </w:r>
      <w:r w:rsidR="00D67EB8" w:rsidRPr="009118AB">
        <w:t>Nr. </w:t>
      </w:r>
      <w:r w:rsidRPr="009118AB">
        <w:t xml:space="preserve">1, 222 </w:t>
      </w:r>
      <w:r w:rsidR="00D67EB8" w:rsidRPr="009118AB">
        <w:t>Nr. </w:t>
      </w:r>
      <w:r w:rsidRPr="009118AB">
        <w:t xml:space="preserve">2, </w:t>
      </w:r>
      <w:r w:rsidR="00D82643" w:rsidRPr="009118AB">
        <w:t>[</w:t>
      </w:r>
      <w:r w:rsidRPr="009118AB">
        <w:t xml:space="preserve">234 </w:t>
      </w:r>
      <w:r w:rsidR="00D82643" w:rsidRPr="009118AB">
        <w:t xml:space="preserve">Absatz 1 </w:t>
      </w:r>
      <w:r w:rsidR="00D67EB8" w:rsidRPr="009118AB">
        <w:t>Nr. </w:t>
      </w:r>
      <w:r w:rsidRPr="009118AB">
        <w:t>1</w:t>
      </w:r>
      <w:r w:rsidR="00D82643" w:rsidRPr="009118AB">
        <w:t>]</w:t>
      </w:r>
      <w:r w:rsidR="000010F5" w:rsidRPr="009118AB">
        <w:t xml:space="preserve"> [und 255]</w:t>
      </w:r>
      <w:r w:rsidRPr="009118AB">
        <w:t xml:space="preserve"> gilt als Katastereinkommen das an den Verbraucherpreisindex des Königreichs angepasste Katastereinkommen.</w:t>
      </w:r>
    </w:p>
    <w:p w14:paraId="024248F5" w14:textId="77777777" w:rsidR="00477B8F" w:rsidRPr="009118AB" w:rsidRDefault="00477B8F" w:rsidP="003727BE">
      <w:pPr>
        <w:autoSpaceDE w:val="0"/>
        <w:autoSpaceDN w:val="0"/>
        <w:adjustRightInd w:val="0"/>
        <w:jc w:val="both"/>
      </w:pPr>
    </w:p>
    <w:p w14:paraId="43F5855E" w14:textId="77777777" w:rsidR="00477B8F" w:rsidRPr="009118AB" w:rsidRDefault="00477B8F" w:rsidP="003727BE">
      <w:pPr>
        <w:autoSpaceDE w:val="0"/>
        <w:autoSpaceDN w:val="0"/>
        <w:adjustRightInd w:val="0"/>
        <w:jc w:val="both"/>
      </w:pPr>
      <w:r w:rsidRPr="009118AB">
        <w:tab/>
        <w:t>Die Anpassung wird mit dem Koeffizienten durchgeführt, der erhalten wird, indem der Durchschnittswert der Preisindexe des Jahres vor dem Jahr der Einkünfte durch den Durchschnittswert der Preisindexe der Jahre 1988 und 1989 geteilt wird.</w:t>
      </w:r>
    </w:p>
    <w:p w14:paraId="3D0A40FE" w14:textId="77777777" w:rsidR="00477B8F" w:rsidRPr="009118AB" w:rsidRDefault="00477B8F" w:rsidP="003727BE">
      <w:pPr>
        <w:autoSpaceDE w:val="0"/>
        <w:autoSpaceDN w:val="0"/>
        <w:adjustRightInd w:val="0"/>
        <w:jc w:val="both"/>
      </w:pPr>
    </w:p>
    <w:p w14:paraId="4D6C1296" w14:textId="77777777" w:rsidR="00477B8F" w:rsidRPr="009118AB" w:rsidRDefault="00477B8F" w:rsidP="003727BE">
      <w:pPr>
        <w:autoSpaceDE w:val="0"/>
        <w:autoSpaceDN w:val="0"/>
        <w:adjustRightInd w:val="0"/>
        <w:jc w:val="both"/>
      </w:pPr>
      <w:r w:rsidRPr="009118AB">
        <w:tab/>
        <w:t>[</w:t>
      </w:r>
      <w:r w:rsidR="000010F5" w:rsidRPr="009118AB">
        <w:t>..</w:t>
      </w:r>
      <w:r w:rsidRPr="009118AB">
        <w:t>.]</w:t>
      </w:r>
    </w:p>
    <w:p w14:paraId="4611D4D1" w14:textId="77777777" w:rsidR="00477B8F" w:rsidRPr="009118AB" w:rsidRDefault="00477B8F" w:rsidP="003727BE">
      <w:pPr>
        <w:autoSpaceDE w:val="0"/>
        <w:autoSpaceDN w:val="0"/>
        <w:adjustRightInd w:val="0"/>
        <w:jc w:val="both"/>
      </w:pPr>
    </w:p>
    <w:p w14:paraId="351E24FA" w14:textId="49CA1F87" w:rsidR="00477B8F" w:rsidRPr="009118AB" w:rsidRDefault="00477B8F" w:rsidP="003727BE">
      <w:pPr>
        <w:autoSpaceDE w:val="0"/>
        <w:autoSpaceDN w:val="0"/>
        <w:adjustRightInd w:val="0"/>
        <w:jc w:val="both"/>
      </w:pPr>
      <w:r w:rsidRPr="009118AB">
        <w:tab/>
        <w:t xml:space="preserve">Die Berechnung des Koeffizienten erfolgt gemäß Artikel 178 </w:t>
      </w:r>
      <w:r w:rsidR="00D67EB8" w:rsidRPr="009118AB">
        <w:t>§ </w:t>
      </w:r>
      <w:r w:rsidRPr="009118AB">
        <w:t>2 Absatz 2.</w:t>
      </w:r>
    </w:p>
    <w:p w14:paraId="607D567F" w14:textId="77777777" w:rsidR="00477B8F" w:rsidRPr="009118AB" w:rsidRDefault="00477B8F" w:rsidP="003727BE">
      <w:pPr>
        <w:autoSpaceDE w:val="0"/>
        <w:autoSpaceDN w:val="0"/>
        <w:adjustRightInd w:val="0"/>
        <w:jc w:val="both"/>
      </w:pPr>
    </w:p>
    <w:p w14:paraId="436C3182" w14:textId="77777777" w:rsidR="00477B8F" w:rsidRPr="009118AB" w:rsidRDefault="00477B8F" w:rsidP="003727BE">
      <w:pPr>
        <w:autoSpaceDE w:val="0"/>
        <w:autoSpaceDN w:val="0"/>
        <w:adjustRightInd w:val="0"/>
        <w:jc w:val="both"/>
      </w:pPr>
      <w:r w:rsidRPr="009118AB">
        <w:tab/>
        <w:t>Nach Anwendung des Koeffizienten werden die Beträge [auf den höheren oder niedrigeren Euro abgerundet, je nachdem ob die Ziffer der Centime 50 erreicht oder nicht].</w:t>
      </w:r>
    </w:p>
    <w:p w14:paraId="28B42D3B" w14:textId="77777777" w:rsidR="00477B8F" w:rsidRPr="009118AB" w:rsidRDefault="00477B8F" w:rsidP="003727BE">
      <w:pPr>
        <w:autoSpaceDE w:val="0"/>
        <w:autoSpaceDN w:val="0"/>
        <w:adjustRightInd w:val="0"/>
        <w:jc w:val="both"/>
      </w:pPr>
    </w:p>
    <w:p w14:paraId="23380495" w14:textId="446E60A6"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518 </w:t>
      </w:r>
      <w:r w:rsidR="00D67EB8" w:rsidRPr="009118AB">
        <w:rPr>
          <w:i/>
          <w:iCs/>
        </w:rPr>
        <w:t>Abs. </w:t>
      </w:r>
      <w:r w:rsidRPr="009118AB">
        <w:rPr>
          <w:i/>
          <w:iCs/>
        </w:rPr>
        <w:t xml:space="preserve">1 abgeändert durch </w:t>
      </w:r>
      <w:r w:rsidR="00D67EB8" w:rsidRPr="009118AB">
        <w:rPr>
          <w:i/>
          <w:iCs/>
        </w:rPr>
        <w:t>Art. </w:t>
      </w:r>
      <w:r w:rsidRPr="009118AB">
        <w:rPr>
          <w:i/>
          <w:iCs/>
        </w:rPr>
        <w:t xml:space="preserve">410 </w:t>
      </w:r>
      <w:r w:rsidR="00D67EB8" w:rsidRPr="009118AB">
        <w:rPr>
          <w:i/>
          <w:iCs/>
        </w:rPr>
        <w:t>Nr. </w:t>
      </w:r>
      <w:r w:rsidRPr="009118AB">
        <w:rPr>
          <w:i/>
          <w:iCs/>
        </w:rPr>
        <w:t>1 des G. vom 27. Dezember 2004 (B.S. vom 31. Dezember 2004)</w:t>
      </w:r>
      <w:r w:rsidR="00D67EB8" w:rsidRPr="009118AB">
        <w:rPr>
          <w:i/>
          <w:iCs/>
        </w:rPr>
        <w:t> - </w:t>
      </w:r>
      <w:r w:rsidRPr="009118AB">
        <w:rPr>
          <w:i/>
          <w:iCs/>
        </w:rPr>
        <w:t>in Kraft ab dem Steuerjahr 2006</w:t>
      </w:r>
      <w:r w:rsidR="00FD68E8" w:rsidRPr="009118AB">
        <w:rPr>
          <w:i/>
          <w:iCs/>
        </w:rPr>
        <w:t> -,</w:t>
      </w:r>
      <w:r w:rsidR="00D82643" w:rsidRPr="009118AB">
        <w:rPr>
          <w:i/>
          <w:iCs/>
        </w:rPr>
        <w:t xml:space="preserve"> </w:t>
      </w:r>
      <w:r w:rsidR="00D67EB8" w:rsidRPr="009118AB">
        <w:rPr>
          <w:i/>
          <w:iCs/>
        </w:rPr>
        <w:t>Art. </w:t>
      </w:r>
      <w:r w:rsidR="00D82643" w:rsidRPr="009118AB">
        <w:rPr>
          <w:i/>
          <w:iCs/>
        </w:rPr>
        <w:t>140 des G. (I) vom 22. Dezember 2008 (II) (B.S. vom 29. Dezember 2008)</w:t>
      </w:r>
      <w:r w:rsidR="00D67EB8" w:rsidRPr="009118AB">
        <w:rPr>
          <w:i/>
          <w:iCs/>
        </w:rPr>
        <w:t> - </w:t>
      </w:r>
      <w:r w:rsidR="00D82643" w:rsidRPr="009118AB">
        <w:rPr>
          <w:i/>
          <w:iCs/>
        </w:rPr>
        <w:t xml:space="preserve">in Kraft am 8. Juni 2007 mit Ausnahme von Artikel 140, der in Bezug auf die Verweise auf </w:t>
      </w:r>
      <w:r w:rsidR="00D67EB8" w:rsidRPr="009118AB">
        <w:rPr>
          <w:i/>
          <w:iCs/>
        </w:rPr>
        <w:t>Art. </w:t>
      </w:r>
      <w:r w:rsidR="00D82643" w:rsidRPr="009118AB">
        <w:rPr>
          <w:i/>
          <w:iCs/>
        </w:rPr>
        <w:t>234 Absatz 1 ab dem 1. Januar 2006 anwendbar ist</w:t>
      </w:r>
      <w:r w:rsidR="00D67EB8" w:rsidRPr="009118AB">
        <w:rPr>
          <w:i/>
          <w:iCs/>
        </w:rPr>
        <w:t> - </w:t>
      </w:r>
      <w:r w:rsidR="000010F5" w:rsidRPr="009118AB">
        <w:rPr>
          <w:i/>
          <w:iCs/>
        </w:rPr>
        <w:t xml:space="preserve">und </w:t>
      </w:r>
      <w:r w:rsidR="00D67EB8" w:rsidRPr="009118AB">
        <w:rPr>
          <w:i/>
          <w:iCs/>
        </w:rPr>
        <w:t>Art. </w:t>
      </w:r>
      <w:r w:rsidR="000010F5" w:rsidRPr="009118AB">
        <w:rPr>
          <w:i/>
          <w:iCs/>
        </w:rPr>
        <w:t xml:space="preserve">100 </w:t>
      </w:r>
      <w:r w:rsidR="00D67EB8" w:rsidRPr="009118AB">
        <w:rPr>
          <w:i/>
          <w:iCs/>
        </w:rPr>
        <w:t>Nr. </w:t>
      </w:r>
      <w:r w:rsidR="000010F5" w:rsidRPr="009118AB">
        <w:rPr>
          <w:i/>
          <w:iCs/>
        </w:rPr>
        <w:t>1</w:t>
      </w:r>
      <w:r w:rsidR="000010F5" w:rsidRPr="009118AB">
        <w:rPr>
          <w:i/>
        </w:rPr>
        <w:t xml:space="preserve"> des G. vom 8. Mai 2014 (B.S. vom 28. Mai 2014)</w:t>
      </w:r>
      <w:r w:rsidR="00D67EB8" w:rsidRPr="009118AB">
        <w:rPr>
          <w:i/>
        </w:rPr>
        <w:t> - </w:t>
      </w:r>
      <w:r w:rsidR="000010F5" w:rsidRPr="009118AB">
        <w:rPr>
          <w:i/>
          <w:iCs/>
        </w:rPr>
        <w:t>anwendbar ab dem Steuerjahr 2015</w:t>
      </w:r>
      <w:r w:rsidR="003366D9" w:rsidRPr="009118AB">
        <w:rPr>
          <w:i/>
          <w:iCs/>
        </w:rPr>
        <w:t> -;</w:t>
      </w:r>
      <w:r w:rsidRPr="009118AB">
        <w:rPr>
          <w:i/>
          <w:iCs/>
        </w:rPr>
        <w:t xml:space="preserve"> </w:t>
      </w:r>
      <w:r w:rsidR="000010F5" w:rsidRPr="009118AB">
        <w:rPr>
          <w:i/>
          <w:iCs/>
        </w:rPr>
        <w:t xml:space="preserve">früherer </w:t>
      </w:r>
      <w:r w:rsidRPr="009118AB">
        <w:rPr>
          <w:i/>
          <w:iCs/>
        </w:rPr>
        <w:t>Abs</w:t>
      </w:r>
      <w:r w:rsidR="000010F5" w:rsidRPr="009118AB">
        <w:rPr>
          <w:i/>
          <w:iCs/>
        </w:rPr>
        <w:t>atz</w:t>
      </w:r>
      <w:r w:rsidRPr="009118AB">
        <w:rPr>
          <w:i/>
          <w:iCs/>
        </w:rPr>
        <w:t> 3</w:t>
      </w:r>
      <w:r w:rsidR="000010F5" w:rsidRPr="009118AB">
        <w:rPr>
          <w:i/>
          <w:iCs/>
        </w:rPr>
        <w:t xml:space="preserve"> aufgehoben durch </w:t>
      </w:r>
      <w:r w:rsidR="00D67EB8" w:rsidRPr="009118AB">
        <w:rPr>
          <w:i/>
          <w:iCs/>
        </w:rPr>
        <w:t>Art. </w:t>
      </w:r>
      <w:r w:rsidR="000010F5" w:rsidRPr="009118AB">
        <w:rPr>
          <w:i/>
          <w:iCs/>
        </w:rPr>
        <w:t xml:space="preserve">100 </w:t>
      </w:r>
      <w:r w:rsidR="00D67EB8" w:rsidRPr="009118AB">
        <w:rPr>
          <w:i/>
          <w:iCs/>
        </w:rPr>
        <w:t>Nr. </w:t>
      </w:r>
      <w:r w:rsidR="000010F5" w:rsidRPr="009118AB">
        <w:rPr>
          <w:i/>
          <w:iCs/>
        </w:rPr>
        <w:t>2</w:t>
      </w:r>
      <w:r w:rsidR="000010F5" w:rsidRPr="009118AB">
        <w:rPr>
          <w:i/>
        </w:rPr>
        <w:t xml:space="preserve"> des G. vom 8. Mai 2014 (B.S. vom 28. Mai 2014)</w:t>
      </w:r>
      <w:r w:rsidR="00D67EB8" w:rsidRPr="009118AB">
        <w:rPr>
          <w:i/>
        </w:rPr>
        <w:t> - </w:t>
      </w:r>
      <w:r w:rsidR="000010F5" w:rsidRPr="009118AB">
        <w:rPr>
          <w:i/>
          <w:iCs/>
        </w:rPr>
        <w:t>anwendbar ab dem Steuerjahr 2015</w:t>
      </w:r>
      <w:r w:rsidR="003366D9" w:rsidRPr="009118AB">
        <w:rPr>
          <w:i/>
          <w:iCs/>
        </w:rPr>
        <w:t> -;</w:t>
      </w:r>
      <w:r w:rsidRPr="009118AB">
        <w:rPr>
          <w:i/>
          <w:iCs/>
        </w:rPr>
        <w:t xml:space="preserve"> </w:t>
      </w:r>
      <w:r w:rsidR="00D67EB8" w:rsidRPr="009118AB">
        <w:rPr>
          <w:i/>
          <w:iCs/>
        </w:rPr>
        <w:t>Abs. </w:t>
      </w:r>
      <w:r w:rsidR="001127D5" w:rsidRPr="009118AB">
        <w:rPr>
          <w:i/>
          <w:iCs/>
        </w:rPr>
        <w:t>4 (früherer Absatz 5)</w:t>
      </w:r>
      <w:r w:rsidRPr="009118AB">
        <w:rPr>
          <w:i/>
          <w:iCs/>
        </w:rPr>
        <w:t xml:space="preserve"> abgeändert durch </w:t>
      </w:r>
      <w:r w:rsidR="00D67EB8" w:rsidRPr="009118AB">
        <w:rPr>
          <w:i/>
          <w:iCs/>
        </w:rPr>
        <w:t>Art. </w:t>
      </w:r>
      <w:r w:rsidRPr="009118AB">
        <w:rPr>
          <w:i/>
          <w:iCs/>
        </w:rPr>
        <w:t xml:space="preserve">4 </w:t>
      </w:r>
      <w:r w:rsidR="00D67EB8" w:rsidRPr="009118AB">
        <w:rPr>
          <w:i/>
          <w:iCs/>
        </w:rPr>
        <w:t>Nr. </w:t>
      </w:r>
      <w:r w:rsidRPr="009118AB">
        <w:rPr>
          <w:i/>
          <w:iCs/>
        </w:rPr>
        <w:t>10 des K.E. vom 20. Juli 2000 (II) (B.S.</w:t>
      </w:r>
      <w:r w:rsidR="00827C47" w:rsidRPr="009118AB">
        <w:rPr>
          <w:i/>
          <w:iCs/>
        </w:rPr>
        <w:t> </w:t>
      </w:r>
      <w:r w:rsidRPr="009118AB">
        <w:rPr>
          <w:i/>
          <w:iCs/>
        </w:rPr>
        <w:t>vom 30. August 2000)</w:t>
      </w:r>
      <w:r w:rsidR="00D67EB8" w:rsidRPr="009118AB">
        <w:rPr>
          <w:i/>
          <w:iCs/>
        </w:rPr>
        <w:t> - </w:t>
      </w:r>
      <w:r w:rsidRPr="009118AB">
        <w:rPr>
          <w:i/>
          <w:iCs/>
        </w:rPr>
        <w:t>in Kraft ab dem Steuerjahr 2002</w:t>
      </w:r>
      <w:r w:rsidR="00FD68E8" w:rsidRPr="009118AB">
        <w:rPr>
          <w:i/>
          <w:iCs/>
        </w:rPr>
        <w:t> -]</w:t>
      </w:r>
    </w:p>
    <w:p w14:paraId="37147AEE" w14:textId="77777777" w:rsidR="00477B8F" w:rsidRPr="009118AB" w:rsidRDefault="00477B8F" w:rsidP="003727BE">
      <w:pPr>
        <w:autoSpaceDE w:val="0"/>
        <w:autoSpaceDN w:val="0"/>
        <w:adjustRightInd w:val="0"/>
        <w:jc w:val="both"/>
      </w:pPr>
    </w:p>
    <w:p w14:paraId="27BCDC25" w14:textId="77777777" w:rsidR="008C0F0B" w:rsidRPr="009118AB" w:rsidRDefault="008C0F0B" w:rsidP="00F25F8A">
      <w:pPr>
        <w:autoSpaceDE w:val="0"/>
        <w:autoSpaceDN w:val="0"/>
        <w:adjustRightInd w:val="0"/>
        <w:jc w:val="both"/>
      </w:pPr>
    </w:p>
    <w:p w14:paraId="1714CF51" w14:textId="77777777" w:rsidR="00E17928" w:rsidRDefault="00E17928">
      <w:r>
        <w:br w:type="page"/>
      </w:r>
    </w:p>
    <w:p w14:paraId="13564F8F" w14:textId="02BFE730" w:rsidR="00141459" w:rsidRPr="009118AB" w:rsidRDefault="00477B8F" w:rsidP="00F25F8A">
      <w:pPr>
        <w:autoSpaceDE w:val="0"/>
        <w:autoSpaceDN w:val="0"/>
        <w:adjustRightInd w:val="0"/>
        <w:jc w:val="both"/>
        <w:rPr>
          <w:bCs/>
        </w:rPr>
      </w:pPr>
      <w:r w:rsidRPr="009118AB">
        <w:tab/>
      </w:r>
      <w:r w:rsidR="00D67EB8" w:rsidRPr="009118AB">
        <w:rPr>
          <w:b/>
          <w:bCs/>
        </w:rPr>
        <w:t>Art. </w:t>
      </w:r>
      <w:r w:rsidRPr="009118AB">
        <w:rPr>
          <w:b/>
          <w:bCs/>
        </w:rPr>
        <w:t>519</w:t>
      </w:r>
      <w:r w:rsidR="00D67EB8" w:rsidRPr="009118AB">
        <w:t> - </w:t>
      </w:r>
      <w:r w:rsidR="00141459" w:rsidRPr="009118AB">
        <w:rPr>
          <w:bCs/>
        </w:rPr>
        <w:t>[</w:t>
      </w:r>
      <w:r w:rsidR="00F25F8A" w:rsidRPr="009118AB">
        <w:rPr>
          <w:bCs/>
        </w:rPr>
        <w:t>…]</w:t>
      </w:r>
    </w:p>
    <w:p w14:paraId="7136EBCD" w14:textId="77777777" w:rsidR="00141459" w:rsidRPr="009118AB" w:rsidRDefault="00141459" w:rsidP="00141459">
      <w:pPr>
        <w:autoSpaceDE w:val="0"/>
        <w:autoSpaceDN w:val="0"/>
        <w:adjustRightInd w:val="0"/>
        <w:jc w:val="both"/>
        <w:rPr>
          <w:bCs/>
        </w:rPr>
      </w:pPr>
    </w:p>
    <w:p w14:paraId="630102EB" w14:textId="670964D7" w:rsidR="00141459" w:rsidRPr="009118AB" w:rsidRDefault="00141459" w:rsidP="00141459">
      <w:pPr>
        <w:autoSpaceDE w:val="0"/>
        <w:autoSpaceDN w:val="0"/>
        <w:adjustRightInd w:val="0"/>
        <w:jc w:val="both"/>
        <w:rPr>
          <w:bCs/>
        </w:rPr>
      </w:pPr>
      <w:r w:rsidRPr="009118AB">
        <w:rPr>
          <w:bCs/>
          <w:i/>
          <w:iCs/>
        </w:rPr>
        <w:t>[</w:t>
      </w:r>
      <w:r w:rsidR="00D67EB8" w:rsidRPr="009118AB">
        <w:rPr>
          <w:bCs/>
          <w:i/>
          <w:iCs/>
        </w:rPr>
        <w:t>Art. </w:t>
      </w:r>
      <w:r w:rsidRPr="009118AB">
        <w:rPr>
          <w:bCs/>
          <w:i/>
          <w:iCs/>
        </w:rPr>
        <w:t>519</w:t>
      </w:r>
      <w:r w:rsidR="00F25F8A" w:rsidRPr="009118AB">
        <w:rPr>
          <w:i/>
          <w:sz w:val="20"/>
          <w:szCs w:val="20"/>
        </w:rPr>
        <w:t xml:space="preserve"> </w:t>
      </w:r>
      <w:r w:rsidR="00F25F8A" w:rsidRPr="009118AB">
        <w:rPr>
          <w:bCs/>
          <w:i/>
          <w:iCs/>
        </w:rPr>
        <w:t xml:space="preserve">aufgehoben durch </w:t>
      </w:r>
      <w:r w:rsidR="00D67EB8" w:rsidRPr="009118AB">
        <w:rPr>
          <w:bCs/>
          <w:i/>
          <w:iCs/>
        </w:rPr>
        <w:t>Art. </w:t>
      </w:r>
      <w:r w:rsidR="00F25F8A" w:rsidRPr="009118AB">
        <w:rPr>
          <w:bCs/>
          <w:i/>
          <w:iCs/>
        </w:rPr>
        <w:t>92 des G. vom 27. Dezember 2012 (B.S. vom 31. Dezember 2012)</w:t>
      </w:r>
      <w:r w:rsidR="00D67EB8" w:rsidRPr="009118AB">
        <w:rPr>
          <w:bCs/>
          <w:i/>
          <w:iCs/>
        </w:rPr>
        <w:t> - </w:t>
      </w:r>
      <w:r w:rsidR="00F25F8A" w:rsidRPr="009118AB">
        <w:rPr>
          <w:bCs/>
          <w:i/>
          <w:iCs/>
        </w:rPr>
        <w:t>anwendbar auf die ab dem 1. Januar 2013 zuerkannten oder ausgeschütteten Einkünfte</w:t>
      </w:r>
      <w:r w:rsidR="00FD68E8" w:rsidRPr="009118AB">
        <w:rPr>
          <w:bCs/>
          <w:i/>
          <w:iCs/>
        </w:rPr>
        <w:t> -]</w:t>
      </w:r>
    </w:p>
    <w:p w14:paraId="38D9DD7E" w14:textId="77777777" w:rsidR="00141459" w:rsidRPr="009118AB" w:rsidRDefault="00141459" w:rsidP="00141459">
      <w:pPr>
        <w:autoSpaceDE w:val="0"/>
        <w:autoSpaceDN w:val="0"/>
        <w:adjustRightInd w:val="0"/>
        <w:jc w:val="both"/>
      </w:pPr>
    </w:p>
    <w:p w14:paraId="191308BC" w14:textId="77777777" w:rsidR="00141459" w:rsidRPr="009118AB" w:rsidRDefault="00141459" w:rsidP="00141459">
      <w:pPr>
        <w:autoSpaceDE w:val="0"/>
        <w:autoSpaceDN w:val="0"/>
        <w:adjustRightInd w:val="0"/>
        <w:jc w:val="both"/>
      </w:pPr>
    </w:p>
    <w:p w14:paraId="0A42E599" w14:textId="13224582"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519</w:t>
      </w:r>
      <w:r w:rsidRPr="009118AB">
        <w:rPr>
          <w:b/>
          <w:bCs/>
          <w:i/>
          <w:iCs/>
        </w:rPr>
        <w:t>bis</w:t>
      </w:r>
      <w:r w:rsidR="00D67EB8" w:rsidRPr="009118AB">
        <w:t> - </w:t>
      </w:r>
      <w:r w:rsidR="00897768" w:rsidRPr="009118AB">
        <w:t>[…]</w:t>
      </w:r>
      <w:r w:rsidRPr="009118AB">
        <w:t>]</w:t>
      </w:r>
    </w:p>
    <w:p w14:paraId="436ED521" w14:textId="77777777" w:rsidR="00477B8F" w:rsidRPr="009118AB" w:rsidRDefault="00477B8F" w:rsidP="003727BE">
      <w:pPr>
        <w:autoSpaceDE w:val="0"/>
        <w:autoSpaceDN w:val="0"/>
        <w:adjustRightInd w:val="0"/>
        <w:jc w:val="both"/>
      </w:pPr>
    </w:p>
    <w:p w14:paraId="0DF335D2" w14:textId="4FE8BD7F"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519bis eingefügt durch </w:t>
      </w:r>
      <w:r w:rsidR="00D67EB8" w:rsidRPr="009118AB">
        <w:rPr>
          <w:i/>
          <w:iCs/>
        </w:rPr>
        <w:t>Art. </w:t>
      </w:r>
      <w:r w:rsidRPr="009118AB">
        <w:rPr>
          <w:i/>
          <w:iCs/>
        </w:rPr>
        <w:t>48 des G. vom 28. Juli 1992 (B.S. vom 31. Juli 1992)</w:t>
      </w:r>
      <w:r w:rsidR="00897768" w:rsidRPr="009118AB">
        <w:rPr>
          <w:i/>
          <w:iCs/>
        </w:rPr>
        <w:t xml:space="preserve"> und aufgehoben durch </w:t>
      </w:r>
      <w:r w:rsidR="00D67EB8" w:rsidRPr="009118AB">
        <w:rPr>
          <w:i/>
          <w:iCs/>
        </w:rPr>
        <w:t>Art. </w:t>
      </w:r>
      <w:r w:rsidR="00897768" w:rsidRPr="009118AB">
        <w:rPr>
          <w:i/>
          <w:iCs/>
        </w:rPr>
        <w:t>51 des G. vom 14. April 2011 (B.S. vom 6. Mai 2011)</w:t>
      </w:r>
      <w:r w:rsidRPr="009118AB">
        <w:rPr>
          <w:i/>
          <w:iCs/>
        </w:rPr>
        <w:t>]</w:t>
      </w:r>
    </w:p>
    <w:p w14:paraId="4664832B" w14:textId="77777777" w:rsidR="008E4E81" w:rsidRPr="009118AB" w:rsidRDefault="008E4E81"/>
    <w:p w14:paraId="1908E636" w14:textId="77777777" w:rsidR="0015428E" w:rsidRPr="009118AB" w:rsidRDefault="0015428E"/>
    <w:p w14:paraId="05745414" w14:textId="5E3627EC" w:rsidR="009F276C" w:rsidRPr="009118AB" w:rsidRDefault="00477B8F" w:rsidP="009F276C">
      <w:pPr>
        <w:autoSpaceDE w:val="0"/>
        <w:autoSpaceDN w:val="0"/>
        <w:adjustRightInd w:val="0"/>
        <w:jc w:val="both"/>
        <w:rPr>
          <w:iCs/>
        </w:rPr>
      </w:pPr>
      <w:r w:rsidRPr="009118AB">
        <w:tab/>
        <w:t>[</w:t>
      </w:r>
      <w:r w:rsidR="00D67EB8" w:rsidRPr="009118AB">
        <w:rPr>
          <w:b/>
          <w:bCs/>
        </w:rPr>
        <w:t>Art. </w:t>
      </w:r>
      <w:r w:rsidRPr="009118AB">
        <w:rPr>
          <w:b/>
          <w:bCs/>
        </w:rPr>
        <w:t>519</w:t>
      </w:r>
      <w:r w:rsidRPr="009118AB">
        <w:rPr>
          <w:b/>
          <w:bCs/>
          <w:i/>
          <w:iCs/>
        </w:rPr>
        <w:t>ter</w:t>
      </w:r>
      <w:r w:rsidR="00D67EB8" w:rsidRPr="009118AB">
        <w:t> - </w:t>
      </w:r>
      <w:r w:rsidR="00D67EB8" w:rsidRPr="009118AB">
        <w:rPr>
          <w:iCs/>
        </w:rPr>
        <w:t>§ </w:t>
      </w:r>
      <w:r w:rsidR="009F276C" w:rsidRPr="009118AB">
        <w:rPr>
          <w:iCs/>
        </w:rPr>
        <w:t>1</w:t>
      </w:r>
      <w:r w:rsidR="00D67EB8" w:rsidRPr="009118AB">
        <w:rPr>
          <w:iCs/>
        </w:rPr>
        <w:t> - </w:t>
      </w:r>
      <w:r w:rsidR="009F276C" w:rsidRPr="009118AB">
        <w:rPr>
          <w:iCs/>
        </w:rPr>
        <w:t xml:space="preserve">In Abweichung von den Artikeln 215 und 246 Absatz 1 wird der Gesellschaftssteuersatz oder für die in Artikel 227 </w:t>
      </w:r>
      <w:r w:rsidR="00D67EB8" w:rsidRPr="009118AB">
        <w:rPr>
          <w:iCs/>
        </w:rPr>
        <w:t>Nr. </w:t>
      </w:r>
      <w:r w:rsidR="009F276C" w:rsidRPr="009118AB">
        <w:rPr>
          <w:iCs/>
        </w:rPr>
        <w:t xml:space="preserve">2 erwähnten Steuerpflichtigen die Steuer der Gebietsfremden </w:t>
      </w:r>
      <w:r w:rsidR="009944A2" w:rsidRPr="009118AB">
        <w:rPr>
          <w:iCs/>
        </w:rPr>
        <w:t>[für die Steuerjahre 2021 und 2022 auf 15 Prozent verringert]</w:t>
      </w:r>
      <w:r w:rsidR="009F276C" w:rsidRPr="009118AB">
        <w:rPr>
          <w:iCs/>
        </w:rPr>
        <w:t>:</w:t>
      </w:r>
    </w:p>
    <w:p w14:paraId="5ACA280E" w14:textId="77777777" w:rsidR="009F276C" w:rsidRPr="009118AB" w:rsidRDefault="009F276C" w:rsidP="009F276C">
      <w:pPr>
        <w:autoSpaceDE w:val="0"/>
        <w:autoSpaceDN w:val="0"/>
        <w:adjustRightInd w:val="0"/>
        <w:jc w:val="both"/>
        <w:rPr>
          <w:b/>
          <w:iCs/>
        </w:rPr>
      </w:pPr>
    </w:p>
    <w:p w14:paraId="186F820C" w14:textId="702D8A54" w:rsidR="009F276C" w:rsidRPr="009118AB" w:rsidRDefault="009F276C" w:rsidP="008E4E81">
      <w:pPr>
        <w:autoSpaceDE w:val="0"/>
        <w:autoSpaceDN w:val="0"/>
        <w:adjustRightInd w:val="0"/>
        <w:ind w:firstLine="709"/>
        <w:jc w:val="both"/>
        <w:rPr>
          <w:iCs/>
        </w:rPr>
      </w:pPr>
      <w:r w:rsidRPr="009118AB">
        <w:rPr>
          <w:iCs/>
        </w:rPr>
        <w:t xml:space="preserve">1. in Bezug auf die aufgrund von Artikel 511 </w:t>
      </w:r>
      <w:r w:rsidR="00D67EB8" w:rsidRPr="009118AB">
        <w:rPr>
          <w:iCs/>
        </w:rPr>
        <w:t>§ </w:t>
      </w:r>
      <w:r w:rsidRPr="009118AB">
        <w:rPr>
          <w:iCs/>
        </w:rPr>
        <w:t>1 steuerpflichtigen Entnahmen aus der im Steuerjahr 1982 gebildeten Investitionsrücklage,</w:t>
      </w:r>
    </w:p>
    <w:p w14:paraId="08DCBB7D" w14:textId="77777777" w:rsidR="009F276C" w:rsidRPr="009118AB" w:rsidRDefault="008E4E81" w:rsidP="009F276C">
      <w:pPr>
        <w:autoSpaceDE w:val="0"/>
        <w:autoSpaceDN w:val="0"/>
        <w:adjustRightInd w:val="0"/>
        <w:jc w:val="both"/>
        <w:rPr>
          <w:iCs/>
        </w:rPr>
      </w:pPr>
      <w:r w:rsidRPr="009118AB">
        <w:rPr>
          <w:iCs/>
        </w:rPr>
        <w:tab/>
      </w:r>
    </w:p>
    <w:p w14:paraId="17115592" w14:textId="68CE376A" w:rsidR="009F276C" w:rsidRPr="009118AB" w:rsidRDefault="009F276C" w:rsidP="008E4E81">
      <w:pPr>
        <w:autoSpaceDE w:val="0"/>
        <w:autoSpaceDN w:val="0"/>
        <w:adjustRightInd w:val="0"/>
        <w:ind w:firstLine="709"/>
        <w:jc w:val="both"/>
        <w:rPr>
          <w:iCs/>
        </w:rPr>
      </w:pPr>
      <w:r w:rsidRPr="009118AB">
        <w:rPr>
          <w:iCs/>
        </w:rPr>
        <w:t xml:space="preserve">2. in Bezug auf die aufgrund von Artikel 190 Absatz 4 steuerpflichtigen Entnahmen, die auf andere verwirklichte Mehrwerte als die in </w:t>
      </w:r>
      <w:r w:rsidR="009944A2" w:rsidRPr="009118AB">
        <w:rPr>
          <w:iCs/>
        </w:rPr>
        <w:t>[den Artikeln 44</w:t>
      </w:r>
      <w:r w:rsidR="009944A2" w:rsidRPr="009118AB">
        <w:rPr>
          <w:i/>
          <w:iCs/>
        </w:rPr>
        <w:t>bis</w:t>
      </w:r>
      <w:r w:rsidR="009944A2" w:rsidRPr="009118AB">
        <w:rPr>
          <w:iCs/>
        </w:rPr>
        <w:t>, 44</w:t>
      </w:r>
      <w:r w:rsidR="009944A2" w:rsidRPr="009118AB">
        <w:rPr>
          <w:i/>
          <w:iCs/>
        </w:rPr>
        <w:t>ter</w:t>
      </w:r>
      <w:r w:rsidR="009944A2" w:rsidRPr="009118AB">
        <w:rPr>
          <w:iCs/>
        </w:rPr>
        <w:t xml:space="preserve"> und 47 des vorliegenden Gesetzbuches und in Artikel 122 </w:t>
      </w:r>
      <w:r w:rsidR="00D67EB8" w:rsidRPr="009118AB">
        <w:rPr>
          <w:iCs/>
        </w:rPr>
        <w:t>§ </w:t>
      </w:r>
      <w:r w:rsidR="009944A2" w:rsidRPr="009118AB">
        <w:rPr>
          <w:iCs/>
        </w:rPr>
        <w:t>2]</w:t>
      </w:r>
      <w:r w:rsidRPr="009118AB">
        <w:rPr>
          <w:iCs/>
        </w:rPr>
        <w:t xml:space="preserve"> des Programmgesetzes vom 2. August 2002 erwähnten Mehrwerte, die unter den in Artikel 190 Absatz 1 bis 3 vorgesehenen Bedingungen steuerfrei sind, durchgeführt werden, und die nicht über dem Gesamtbetrag dieser Mehrwerte liegen, die </w:t>
      </w:r>
      <w:r w:rsidR="009944A2" w:rsidRPr="009118AB">
        <w:rPr>
          <w:iCs/>
        </w:rPr>
        <w:t>[am Ende des letzten Besteuerungszeitraums, der vor dem 1. Januar 2017 endet,] bestanden,</w:t>
      </w:r>
    </w:p>
    <w:p w14:paraId="0F0C8D7F" w14:textId="77777777" w:rsidR="009944A2" w:rsidRPr="009118AB" w:rsidRDefault="009944A2" w:rsidP="009F276C">
      <w:pPr>
        <w:autoSpaceDE w:val="0"/>
        <w:autoSpaceDN w:val="0"/>
        <w:adjustRightInd w:val="0"/>
        <w:jc w:val="both"/>
        <w:rPr>
          <w:iCs/>
        </w:rPr>
      </w:pPr>
    </w:p>
    <w:p w14:paraId="6F9CF13D" w14:textId="77777777" w:rsidR="00904FF0" w:rsidRPr="009118AB" w:rsidRDefault="00904FF0" w:rsidP="008E4E81">
      <w:pPr>
        <w:autoSpaceDE w:val="0"/>
        <w:autoSpaceDN w:val="0"/>
        <w:adjustRightInd w:val="0"/>
        <w:ind w:firstLine="709"/>
        <w:jc w:val="both"/>
        <w:rPr>
          <w:iCs/>
        </w:rPr>
      </w:pPr>
      <w:r w:rsidRPr="009118AB">
        <w:rPr>
          <w:iCs/>
        </w:rPr>
        <w:t>[3. in Bezug auf die steuerpflichtigen Entnahmen aus den in Artikel 190</w:t>
      </w:r>
      <w:r w:rsidRPr="009118AB">
        <w:rPr>
          <w:i/>
          <w:iCs/>
        </w:rPr>
        <w:t>bis</w:t>
      </w:r>
      <w:r w:rsidRPr="009118AB">
        <w:rPr>
          <w:iCs/>
        </w:rPr>
        <w:t xml:space="preserve"> erwähnten steuerfreien Beträgen, die am Ende des letzten Besteuerungszeitraums, der vor dem 1. Januar 2017 endet, bestanden,</w:t>
      </w:r>
    </w:p>
    <w:p w14:paraId="72DFA286" w14:textId="77777777" w:rsidR="00904FF0" w:rsidRPr="009118AB" w:rsidRDefault="008E4E81" w:rsidP="00904FF0">
      <w:pPr>
        <w:autoSpaceDE w:val="0"/>
        <w:autoSpaceDN w:val="0"/>
        <w:adjustRightInd w:val="0"/>
        <w:jc w:val="both"/>
        <w:rPr>
          <w:iCs/>
        </w:rPr>
      </w:pPr>
      <w:r w:rsidRPr="009118AB">
        <w:rPr>
          <w:iCs/>
        </w:rPr>
        <w:tab/>
      </w:r>
    </w:p>
    <w:p w14:paraId="086AE824" w14:textId="4EFB8932" w:rsidR="00904FF0" w:rsidRPr="009118AB" w:rsidRDefault="00904FF0" w:rsidP="008E4E81">
      <w:pPr>
        <w:autoSpaceDE w:val="0"/>
        <w:autoSpaceDN w:val="0"/>
        <w:adjustRightInd w:val="0"/>
        <w:ind w:firstLine="709"/>
        <w:jc w:val="both"/>
        <w:rPr>
          <w:iCs/>
        </w:rPr>
      </w:pPr>
      <w:r w:rsidRPr="009118AB">
        <w:rPr>
          <w:iCs/>
        </w:rPr>
        <w:t>4. in Bezug auf die aufgrund von Artikel 193</w:t>
      </w:r>
      <w:r w:rsidRPr="009118AB">
        <w:rPr>
          <w:i/>
          <w:iCs/>
        </w:rPr>
        <w:t>quater</w:t>
      </w:r>
      <w:r w:rsidRPr="009118AB">
        <w:rPr>
          <w:iCs/>
        </w:rPr>
        <w:t xml:space="preserve"> </w:t>
      </w:r>
      <w:r w:rsidR="00D67EB8" w:rsidRPr="009118AB">
        <w:rPr>
          <w:iCs/>
        </w:rPr>
        <w:t>§ </w:t>
      </w:r>
      <w:r w:rsidRPr="009118AB">
        <w:rPr>
          <w:iCs/>
        </w:rPr>
        <w:t>2 Absatz 3 steuerpflichtigen Entnahmen, die auf Gewinne durchgeführt werden, die gemäß Artikel 67 des Gesetzes vom 26. März 1999 über den belgischen Aktionsplan für die Beschäftigung 1998 und zur Festlegung sonstiger Bestimmungen, so wie er vor seiner Aufhebung durch Artikel 87 des Gesetzes vom 25. Dezember 2017 zur Reform der Gesellschaftssteuer bestand, in einem Besteuerungszeitraum, der vor dem 1. Januar 2017 endet, steuerfrei sind,</w:t>
      </w:r>
    </w:p>
    <w:p w14:paraId="0858717E" w14:textId="77777777" w:rsidR="00904FF0" w:rsidRPr="009118AB" w:rsidRDefault="00904FF0" w:rsidP="00904FF0">
      <w:pPr>
        <w:autoSpaceDE w:val="0"/>
        <w:autoSpaceDN w:val="0"/>
        <w:adjustRightInd w:val="0"/>
        <w:jc w:val="both"/>
        <w:rPr>
          <w:iCs/>
        </w:rPr>
      </w:pPr>
    </w:p>
    <w:p w14:paraId="44069C08" w14:textId="64F962F9" w:rsidR="009944A2" w:rsidRPr="009118AB" w:rsidRDefault="00904FF0" w:rsidP="008E4E81">
      <w:pPr>
        <w:autoSpaceDE w:val="0"/>
        <w:autoSpaceDN w:val="0"/>
        <w:adjustRightInd w:val="0"/>
        <w:ind w:firstLine="709"/>
        <w:jc w:val="both"/>
        <w:rPr>
          <w:iCs/>
        </w:rPr>
      </w:pPr>
      <w:r w:rsidRPr="009118AB">
        <w:rPr>
          <w:iCs/>
        </w:rPr>
        <w:t>5. in Bezug auf die steuerpflichtigen Entnahmen aus der Investitionsrücklage, die in einem Besteuerungszeitraum, der vor dem 1. Januar 2017 endet, gebildet wurde und in Artikel 194</w:t>
      </w:r>
      <w:r w:rsidRPr="009118AB">
        <w:rPr>
          <w:i/>
          <w:iCs/>
        </w:rPr>
        <w:t>quater</w:t>
      </w:r>
      <w:r w:rsidRPr="009118AB">
        <w:rPr>
          <w:iCs/>
        </w:rPr>
        <w:t xml:space="preserve"> erwähnt ist, sofern </w:t>
      </w:r>
      <w:r w:rsidR="00D67EB8" w:rsidRPr="009118AB">
        <w:rPr>
          <w:iCs/>
        </w:rPr>
        <w:t>§ </w:t>
      </w:r>
      <w:r w:rsidRPr="009118AB">
        <w:rPr>
          <w:iCs/>
        </w:rPr>
        <w:t>4 Absatz 2 dieses Artikels nicht mehr angewandt werden kann.</w:t>
      </w:r>
      <w:r w:rsidR="009944A2" w:rsidRPr="009118AB">
        <w:rPr>
          <w:iCs/>
        </w:rPr>
        <w:t>]</w:t>
      </w:r>
    </w:p>
    <w:p w14:paraId="4C9CADA8" w14:textId="77777777" w:rsidR="009F276C" w:rsidRPr="009118AB" w:rsidRDefault="009F276C" w:rsidP="009F276C">
      <w:pPr>
        <w:autoSpaceDE w:val="0"/>
        <w:autoSpaceDN w:val="0"/>
        <w:adjustRightInd w:val="0"/>
        <w:jc w:val="both"/>
        <w:rPr>
          <w:iCs/>
        </w:rPr>
      </w:pPr>
    </w:p>
    <w:p w14:paraId="31BEDC33" w14:textId="77777777" w:rsidR="009F276C" w:rsidRPr="009118AB" w:rsidRDefault="009944A2" w:rsidP="008E4E81">
      <w:pPr>
        <w:autoSpaceDE w:val="0"/>
        <w:autoSpaceDN w:val="0"/>
        <w:adjustRightInd w:val="0"/>
        <w:ind w:firstLine="709"/>
        <w:jc w:val="both"/>
        <w:rPr>
          <w:iCs/>
        </w:rPr>
      </w:pPr>
      <w:r w:rsidRPr="009118AB">
        <w:rPr>
          <w:iCs/>
        </w:rPr>
        <w:t>[…]</w:t>
      </w:r>
    </w:p>
    <w:p w14:paraId="02126606" w14:textId="77777777" w:rsidR="009F276C" w:rsidRPr="009118AB" w:rsidRDefault="009F276C" w:rsidP="009F276C">
      <w:pPr>
        <w:autoSpaceDE w:val="0"/>
        <w:autoSpaceDN w:val="0"/>
        <w:adjustRightInd w:val="0"/>
        <w:jc w:val="both"/>
        <w:rPr>
          <w:iCs/>
        </w:rPr>
      </w:pPr>
    </w:p>
    <w:p w14:paraId="16E0B153" w14:textId="76629F55" w:rsidR="009F276C" w:rsidRPr="009118AB" w:rsidRDefault="009944A2" w:rsidP="008E4E81">
      <w:pPr>
        <w:autoSpaceDE w:val="0"/>
        <w:autoSpaceDN w:val="0"/>
        <w:adjustRightInd w:val="0"/>
        <w:ind w:firstLine="709"/>
        <w:jc w:val="both"/>
        <w:rPr>
          <w:iCs/>
        </w:rPr>
      </w:pPr>
      <w:r w:rsidRPr="009118AB">
        <w:rPr>
          <w:iCs/>
        </w:rPr>
        <w:t>[Der in Absatz 1 erwähnte Satz wird darüber hinaus auf 10 Prozent verringert]</w:t>
      </w:r>
      <w:r w:rsidR="009F276C" w:rsidRPr="009118AB">
        <w:rPr>
          <w:iCs/>
        </w:rPr>
        <w:t xml:space="preserve"> für den Teil der Entnahmen, der Investitionen entspricht, die in dem </w:t>
      </w:r>
      <w:r w:rsidRPr="009118AB">
        <w:rPr>
          <w:iCs/>
        </w:rPr>
        <w:t>[…]</w:t>
      </w:r>
      <w:r w:rsidR="009F276C" w:rsidRPr="009118AB">
        <w:rPr>
          <w:iCs/>
        </w:rPr>
        <w:t xml:space="preserve"> Besteuerungs</w:t>
      </w:r>
      <w:r w:rsidR="009F276C" w:rsidRPr="009118AB">
        <w:rPr>
          <w:iCs/>
        </w:rPr>
        <w:softHyphen/>
        <w:t xml:space="preserve">zeitraum getätigt wurden in Sachanlagen, die nicht die in Artikel 75 </w:t>
      </w:r>
      <w:r w:rsidR="00D67EB8" w:rsidRPr="009118AB">
        <w:rPr>
          <w:iCs/>
        </w:rPr>
        <w:t>Nr. </w:t>
      </w:r>
      <w:r w:rsidR="009F276C" w:rsidRPr="009118AB">
        <w:rPr>
          <w:iCs/>
        </w:rPr>
        <w:t>5 erwähnten Sachanlagen sind, oder in immaterielle Anlagen, die abschreibbar sind</w:t>
      </w:r>
      <w:r w:rsidRPr="009118AB">
        <w:rPr>
          <w:iCs/>
        </w:rPr>
        <w:t xml:space="preserve"> [und aufgrund der Artikel 44</w:t>
      </w:r>
      <w:r w:rsidRPr="009118AB">
        <w:rPr>
          <w:i/>
          <w:iCs/>
        </w:rPr>
        <w:t>bis</w:t>
      </w:r>
      <w:r w:rsidRPr="009118AB">
        <w:rPr>
          <w:iCs/>
        </w:rPr>
        <w:t>, 44</w:t>
      </w:r>
      <w:r w:rsidRPr="009118AB">
        <w:rPr>
          <w:i/>
          <w:iCs/>
        </w:rPr>
        <w:t>ter</w:t>
      </w:r>
      <w:r w:rsidRPr="009118AB">
        <w:rPr>
          <w:iCs/>
        </w:rPr>
        <w:t xml:space="preserve">, 47 und 205/4 </w:t>
      </w:r>
      <w:r w:rsidR="00D67EB8" w:rsidRPr="009118AB">
        <w:rPr>
          <w:iCs/>
        </w:rPr>
        <w:t>§ </w:t>
      </w:r>
      <w:r w:rsidRPr="009118AB">
        <w:rPr>
          <w:iCs/>
        </w:rPr>
        <w:t xml:space="preserve">5 des vorliegenden Gesetzbuches und des Artikels 122 </w:t>
      </w:r>
      <w:r w:rsidR="00D67EB8" w:rsidRPr="009118AB">
        <w:rPr>
          <w:iCs/>
        </w:rPr>
        <w:t>§ </w:t>
      </w:r>
      <w:r w:rsidRPr="009118AB">
        <w:rPr>
          <w:iCs/>
        </w:rPr>
        <w:t>2 des Programmgesetzes vom 2. August 2002 nicht als Wiederanlage oder Verwendung gelten]</w:t>
      </w:r>
      <w:r w:rsidR="009F276C" w:rsidRPr="009118AB">
        <w:rPr>
          <w:iCs/>
        </w:rPr>
        <w:t>.</w:t>
      </w:r>
    </w:p>
    <w:p w14:paraId="44FF7906" w14:textId="77777777" w:rsidR="009F276C" w:rsidRPr="009118AB" w:rsidRDefault="009F276C" w:rsidP="009F276C">
      <w:pPr>
        <w:autoSpaceDE w:val="0"/>
        <w:autoSpaceDN w:val="0"/>
        <w:adjustRightInd w:val="0"/>
        <w:jc w:val="both"/>
        <w:rPr>
          <w:iCs/>
        </w:rPr>
      </w:pPr>
    </w:p>
    <w:p w14:paraId="17D2AAAE" w14:textId="30EC89E5" w:rsidR="009F276C" w:rsidRPr="009118AB" w:rsidRDefault="00D67EB8" w:rsidP="008E4E81">
      <w:pPr>
        <w:autoSpaceDE w:val="0"/>
        <w:autoSpaceDN w:val="0"/>
        <w:adjustRightInd w:val="0"/>
        <w:ind w:firstLine="709"/>
        <w:jc w:val="both"/>
        <w:rPr>
          <w:iCs/>
        </w:rPr>
      </w:pPr>
      <w:r w:rsidRPr="009118AB">
        <w:rPr>
          <w:iCs/>
        </w:rPr>
        <w:t>§ </w:t>
      </w:r>
      <w:r w:rsidR="009F276C" w:rsidRPr="009118AB">
        <w:rPr>
          <w:iCs/>
        </w:rPr>
        <w:t>2</w:t>
      </w:r>
      <w:r w:rsidRPr="009118AB">
        <w:rPr>
          <w:iCs/>
        </w:rPr>
        <w:t> - </w:t>
      </w:r>
      <w:r w:rsidR="00D249BB" w:rsidRPr="009118AB">
        <w:rPr>
          <w:iCs/>
        </w:rPr>
        <w:t>[...]</w:t>
      </w:r>
    </w:p>
    <w:p w14:paraId="07EAA457" w14:textId="77777777" w:rsidR="009F276C" w:rsidRPr="009118AB" w:rsidRDefault="008E4E81" w:rsidP="009F276C">
      <w:pPr>
        <w:autoSpaceDE w:val="0"/>
        <w:autoSpaceDN w:val="0"/>
        <w:adjustRightInd w:val="0"/>
        <w:jc w:val="both"/>
        <w:rPr>
          <w:iCs/>
        </w:rPr>
      </w:pPr>
      <w:r w:rsidRPr="009118AB">
        <w:rPr>
          <w:iCs/>
        </w:rPr>
        <w:tab/>
      </w:r>
    </w:p>
    <w:p w14:paraId="4FAF49E3" w14:textId="3FFAEED1" w:rsidR="009F276C" w:rsidRPr="009118AB" w:rsidRDefault="009F276C" w:rsidP="008E4E81">
      <w:pPr>
        <w:autoSpaceDE w:val="0"/>
        <w:autoSpaceDN w:val="0"/>
        <w:adjustRightInd w:val="0"/>
        <w:ind w:firstLine="709"/>
        <w:jc w:val="both"/>
        <w:rPr>
          <w:iCs/>
        </w:rPr>
      </w:pPr>
      <w:r w:rsidRPr="009118AB">
        <w:rPr>
          <w:iCs/>
        </w:rPr>
        <w:t>In Abweichung von Artikel 276 darf weder ein Vorabzug noch ein Pauschalanteil aus</w:t>
      </w:r>
      <w:r w:rsidRPr="009118AB">
        <w:rPr>
          <w:iCs/>
        </w:rPr>
        <w:softHyphen/>
        <w:t xml:space="preserve">ländischer Steuer noch eine Steuergutschrift auf die in </w:t>
      </w:r>
      <w:r w:rsidR="00D67EB8" w:rsidRPr="009118AB">
        <w:rPr>
          <w:iCs/>
        </w:rPr>
        <w:t>§ </w:t>
      </w:r>
      <w:r w:rsidRPr="009118AB">
        <w:rPr>
          <w:iCs/>
        </w:rPr>
        <w:t>1 erwähnte Steuer angerechnet werden.</w:t>
      </w:r>
    </w:p>
    <w:p w14:paraId="12B270B8" w14:textId="77777777" w:rsidR="009F276C" w:rsidRPr="009118AB" w:rsidRDefault="009F276C" w:rsidP="009F276C">
      <w:pPr>
        <w:autoSpaceDE w:val="0"/>
        <w:autoSpaceDN w:val="0"/>
        <w:adjustRightInd w:val="0"/>
        <w:jc w:val="both"/>
        <w:rPr>
          <w:iCs/>
        </w:rPr>
      </w:pPr>
    </w:p>
    <w:p w14:paraId="629B01DB" w14:textId="39C33EDE" w:rsidR="009F276C" w:rsidRPr="009118AB" w:rsidRDefault="00D67EB8" w:rsidP="008E4E81">
      <w:pPr>
        <w:autoSpaceDE w:val="0"/>
        <w:autoSpaceDN w:val="0"/>
        <w:adjustRightInd w:val="0"/>
        <w:ind w:firstLine="709"/>
        <w:jc w:val="both"/>
        <w:rPr>
          <w:iCs/>
        </w:rPr>
      </w:pPr>
      <w:r w:rsidRPr="009118AB">
        <w:rPr>
          <w:iCs/>
        </w:rPr>
        <w:t>§ </w:t>
      </w:r>
      <w:r w:rsidR="009F276C" w:rsidRPr="009118AB">
        <w:rPr>
          <w:iCs/>
        </w:rPr>
        <w:t>3</w:t>
      </w:r>
      <w:r w:rsidRPr="009118AB">
        <w:rPr>
          <w:iCs/>
        </w:rPr>
        <w:t> - </w:t>
      </w:r>
      <w:r w:rsidR="009F276C" w:rsidRPr="009118AB">
        <w:rPr>
          <w:iCs/>
        </w:rPr>
        <w:t xml:space="preserve">Die in </w:t>
      </w:r>
      <w:r w:rsidRPr="009118AB">
        <w:rPr>
          <w:iCs/>
        </w:rPr>
        <w:t>§ </w:t>
      </w:r>
      <w:r w:rsidR="009F276C" w:rsidRPr="009118AB">
        <w:rPr>
          <w:iCs/>
        </w:rPr>
        <w:t xml:space="preserve">1 erwähnte Steuer wird wie </w:t>
      </w:r>
      <w:r w:rsidR="009944A2" w:rsidRPr="009118AB">
        <w:rPr>
          <w:iCs/>
        </w:rPr>
        <w:t>[in Artikel 218]</w:t>
      </w:r>
      <w:r w:rsidR="009F276C" w:rsidRPr="009118AB">
        <w:rPr>
          <w:iCs/>
        </w:rPr>
        <w:t xml:space="preserve"> vorgesehen bei ausbleibenden oder unzureichenden Vorauszahlungen eventuell erhöht.</w:t>
      </w:r>
    </w:p>
    <w:p w14:paraId="6FA3258B" w14:textId="77777777" w:rsidR="009F276C" w:rsidRPr="009118AB" w:rsidRDefault="009F276C" w:rsidP="009F276C">
      <w:pPr>
        <w:autoSpaceDE w:val="0"/>
        <w:autoSpaceDN w:val="0"/>
        <w:adjustRightInd w:val="0"/>
        <w:jc w:val="both"/>
        <w:rPr>
          <w:iCs/>
        </w:rPr>
      </w:pPr>
    </w:p>
    <w:p w14:paraId="60E4306B" w14:textId="15129953" w:rsidR="009F276C" w:rsidRPr="009118AB" w:rsidRDefault="00D67EB8" w:rsidP="008E4E81">
      <w:pPr>
        <w:autoSpaceDE w:val="0"/>
        <w:autoSpaceDN w:val="0"/>
        <w:adjustRightInd w:val="0"/>
        <w:ind w:firstLine="709"/>
        <w:jc w:val="both"/>
        <w:rPr>
          <w:iCs/>
        </w:rPr>
      </w:pPr>
      <w:r w:rsidRPr="009118AB">
        <w:rPr>
          <w:iCs/>
        </w:rPr>
        <w:t>§ </w:t>
      </w:r>
      <w:r w:rsidR="009F276C" w:rsidRPr="009118AB">
        <w:rPr>
          <w:iCs/>
        </w:rPr>
        <w:t>4</w:t>
      </w:r>
      <w:r w:rsidRPr="009118AB">
        <w:rPr>
          <w:iCs/>
        </w:rPr>
        <w:t> - </w:t>
      </w:r>
      <w:r w:rsidR="009944A2" w:rsidRPr="009118AB">
        <w:rPr>
          <w:iCs/>
        </w:rPr>
        <w:t>[…]]</w:t>
      </w:r>
    </w:p>
    <w:p w14:paraId="2D225A81" w14:textId="77777777" w:rsidR="009944A2" w:rsidRPr="009118AB" w:rsidRDefault="009944A2" w:rsidP="009F276C">
      <w:pPr>
        <w:autoSpaceDE w:val="0"/>
        <w:autoSpaceDN w:val="0"/>
        <w:adjustRightInd w:val="0"/>
        <w:jc w:val="both"/>
        <w:rPr>
          <w:iCs/>
        </w:rPr>
      </w:pPr>
    </w:p>
    <w:p w14:paraId="19F6D457" w14:textId="1C7D8443" w:rsidR="009F276C" w:rsidRPr="009118AB" w:rsidRDefault="009F276C" w:rsidP="009F276C">
      <w:pPr>
        <w:autoSpaceDE w:val="0"/>
        <w:autoSpaceDN w:val="0"/>
        <w:adjustRightInd w:val="0"/>
        <w:jc w:val="both"/>
        <w:rPr>
          <w:iCs/>
        </w:rPr>
      </w:pPr>
      <w:r w:rsidRPr="009118AB">
        <w:rPr>
          <w:i/>
          <w:iCs/>
        </w:rPr>
        <w:t>[</w:t>
      </w:r>
      <w:r w:rsidR="00D67EB8" w:rsidRPr="009118AB">
        <w:rPr>
          <w:i/>
          <w:iCs/>
        </w:rPr>
        <w:t>Art. </w:t>
      </w:r>
      <w:r w:rsidRPr="009118AB">
        <w:rPr>
          <w:i/>
          <w:iCs/>
        </w:rPr>
        <w:t xml:space="preserve">519ter eingefügt durch </w:t>
      </w:r>
      <w:r w:rsidR="00D67EB8" w:rsidRPr="009118AB">
        <w:rPr>
          <w:i/>
          <w:iCs/>
        </w:rPr>
        <w:t>Art. </w:t>
      </w:r>
      <w:r w:rsidRPr="009118AB">
        <w:rPr>
          <w:i/>
          <w:iCs/>
        </w:rPr>
        <w:t>106 des G.</w:t>
      </w:r>
      <w:r w:rsidR="008E4E81" w:rsidRPr="009118AB">
        <w:rPr>
          <w:i/>
          <w:iCs/>
        </w:rPr>
        <w:t> </w:t>
      </w:r>
      <w:r w:rsidRPr="009118AB">
        <w:rPr>
          <w:i/>
          <w:iCs/>
        </w:rPr>
        <w:t>(IV) vom 25. April 2007</w:t>
      </w:r>
      <w:r w:rsidR="008E4E81" w:rsidRPr="009118AB">
        <w:rPr>
          <w:i/>
          <w:iCs/>
        </w:rPr>
        <w:t> </w:t>
      </w:r>
      <w:r w:rsidRPr="009118AB">
        <w:rPr>
          <w:i/>
          <w:iCs/>
        </w:rPr>
        <w:t xml:space="preserve">(I) (B.S. vom 8. Mai 2007); </w:t>
      </w:r>
      <w:r w:rsidR="00D67EB8" w:rsidRPr="009118AB">
        <w:rPr>
          <w:i/>
          <w:iCs/>
        </w:rPr>
        <w:t>§ </w:t>
      </w:r>
      <w:r w:rsidRPr="009118AB">
        <w:rPr>
          <w:i/>
          <w:iCs/>
        </w:rPr>
        <w:t xml:space="preserve">1 </w:t>
      </w:r>
      <w:r w:rsidR="00D67EB8" w:rsidRPr="009118AB">
        <w:rPr>
          <w:i/>
          <w:iCs/>
        </w:rPr>
        <w:t>Abs. </w:t>
      </w:r>
      <w:r w:rsidRPr="009118AB">
        <w:rPr>
          <w:i/>
          <w:iCs/>
        </w:rPr>
        <w:t xml:space="preserve">1 einleitende Bestimmung abgeändert durch </w:t>
      </w:r>
      <w:r w:rsidR="00D67EB8" w:rsidRPr="009118AB">
        <w:rPr>
          <w:i/>
          <w:iCs/>
        </w:rPr>
        <w:t>Art. </w:t>
      </w:r>
      <w:r w:rsidRPr="009118AB">
        <w:rPr>
          <w:i/>
          <w:iCs/>
        </w:rPr>
        <w:t>84 Buchstabe a)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2 abgeändert durch </w:t>
      </w:r>
      <w:r w:rsidR="00D67EB8" w:rsidRPr="009118AB">
        <w:rPr>
          <w:i/>
          <w:iCs/>
        </w:rPr>
        <w:t>Art. </w:t>
      </w:r>
      <w:r w:rsidRPr="009118AB">
        <w:rPr>
          <w:i/>
          <w:iCs/>
        </w:rPr>
        <w:t>84 Buchstabe b)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Pr="009118AB">
        <w:rPr>
          <w:i/>
          <w:iCs/>
        </w:rPr>
        <w:t xml:space="preserve"> </w:t>
      </w:r>
      <w:r w:rsidR="00D67EB8" w:rsidRPr="009118AB">
        <w:rPr>
          <w:i/>
          <w:iCs/>
        </w:rPr>
        <w:t>§ </w:t>
      </w:r>
      <w:r w:rsidRPr="009118AB">
        <w:rPr>
          <w:i/>
          <w:iCs/>
        </w:rPr>
        <w:t xml:space="preserve">1 </w:t>
      </w:r>
      <w:r w:rsidR="00D67EB8" w:rsidRPr="009118AB">
        <w:rPr>
          <w:i/>
          <w:iCs/>
        </w:rPr>
        <w:t>Abs. </w:t>
      </w:r>
      <w:r w:rsidRPr="009118AB">
        <w:rPr>
          <w:i/>
          <w:iCs/>
        </w:rPr>
        <w:t xml:space="preserve">1 </w:t>
      </w:r>
      <w:r w:rsidR="00D67EB8" w:rsidRPr="009118AB">
        <w:rPr>
          <w:i/>
          <w:iCs/>
        </w:rPr>
        <w:t>Nr. </w:t>
      </w:r>
      <w:r w:rsidRPr="009118AB">
        <w:rPr>
          <w:i/>
          <w:iCs/>
        </w:rPr>
        <w:t xml:space="preserve">3 </w:t>
      </w:r>
      <w:r w:rsidR="00904FF0" w:rsidRPr="009118AB">
        <w:rPr>
          <w:i/>
          <w:iCs/>
        </w:rPr>
        <w:t>bis 5</w:t>
      </w:r>
      <w:r w:rsidRPr="009118AB">
        <w:rPr>
          <w:i/>
          <w:iCs/>
        </w:rPr>
        <w:t xml:space="preserve"> eingefügt durch </w:t>
      </w:r>
      <w:r w:rsidR="00D67EB8" w:rsidRPr="009118AB">
        <w:rPr>
          <w:i/>
          <w:iCs/>
        </w:rPr>
        <w:t>Art. </w:t>
      </w:r>
      <w:r w:rsidRPr="009118AB">
        <w:rPr>
          <w:i/>
          <w:iCs/>
        </w:rPr>
        <w:t>84 Buchstabe c)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FD68E8" w:rsidRPr="009118AB">
        <w:rPr>
          <w:i/>
          <w:iCs/>
        </w:rPr>
        <w:t> -,</w:t>
      </w:r>
      <w:r w:rsidR="00904FF0" w:rsidRPr="009118AB">
        <w:rPr>
          <w:i/>
          <w:iCs/>
        </w:rPr>
        <w:t xml:space="preserve"> selbst ersetzt durch </w:t>
      </w:r>
      <w:r w:rsidR="00D67EB8" w:rsidRPr="009118AB">
        <w:rPr>
          <w:i/>
          <w:iCs/>
        </w:rPr>
        <w:t>Art. </w:t>
      </w:r>
      <w:r w:rsidR="00904FF0" w:rsidRPr="009118AB">
        <w:rPr>
          <w:i/>
          <w:iCs/>
        </w:rPr>
        <w:t>35 des G. vom 30. Juli 2018 (I) (B.S. vom 10. August 2018)</w:t>
      </w:r>
      <w:r w:rsidR="0074474C" w:rsidRPr="009118AB">
        <w:rPr>
          <w:i/>
          <w:iCs/>
        </w:rPr>
        <w:t xml:space="preserve"> und selbst abgeändert durch </w:t>
      </w:r>
      <w:r w:rsidR="00D67EB8" w:rsidRPr="009118AB">
        <w:rPr>
          <w:i/>
          <w:iCs/>
        </w:rPr>
        <w:t>Art. </w:t>
      </w:r>
      <w:r w:rsidR="0074474C" w:rsidRPr="009118AB">
        <w:rPr>
          <w:i/>
          <w:iCs/>
        </w:rPr>
        <w:t>46</w:t>
      </w:r>
      <w:r w:rsidR="0074474C" w:rsidRPr="009118AB">
        <w:rPr>
          <w:i/>
        </w:rPr>
        <w:t xml:space="preserve"> des G. vom 2. Mai 2019 (III) (B.S. vom 1</w:t>
      </w:r>
      <w:r w:rsidR="00347BC3" w:rsidRPr="009118AB">
        <w:rPr>
          <w:i/>
        </w:rPr>
        <w:t>5</w:t>
      </w:r>
      <w:r w:rsidR="0074474C" w:rsidRPr="009118AB">
        <w:rPr>
          <w:i/>
        </w:rPr>
        <w:t>. Mai 2019)</w:t>
      </w:r>
      <w:r w:rsidRPr="009118AB">
        <w:rPr>
          <w:i/>
          <w:iCs/>
        </w:rPr>
        <w:t xml:space="preserve">; </w:t>
      </w:r>
      <w:r w:rsidR="00D67EB8" w:rsidRPr="009118AB">
        <w:rPr>
          <w:i/>
          <w:iCs/>
        </w:rPr>
        <w:t>§ </w:t>
      </w:r>
      <w:r w:rsidRPr="009118AB">
        <w:rPr>
          <w:i/>
          <w:iCs/>
        </w:rPr>
        <w:t xml:space="preserve">1 früherer Absatz 2 aufgehoben durch </w:t>
      </w:r>
      <w:r w:rsidR="00D67EB8" w:rsidRPr="009118AB">
        <w:rPr>
          <w:i/>
          <w:iCs/>
        </w:rPr>
        <w:t>Art. </w:t>
      </w:r>
      <w:r w:rsidRPr="009118AB">
        <w:rPr>
          <w:i/>
          <w:iCs/>
        </w:rPr>
        <w:t>84 Buchstabe d) des G. vom 25. Dezember 2017 (III) (B.S. vom 29. Dezember 2017)</w:t>
      </w:r>
      <w:r w:rsidR="00D67EB8" w:rsidRPr="009118AB">
        <w:rPr>
          <w:i/>
          <w:iCs/>
        </w:rPr>
        <w:t> - </w:t>
      </w:r>
      <w:r w:rsidRPr="009118AB">
        <w:rPr>
          <w:i/>
          <w:iCs/>
        </w:rPr>
        <w:t>in Kraft am 1. Januar 2020 und anwendbar ab dem Steuerjahr 2021, das sich auf einen Besteuerungszeitraum bezieht, der frühestens am 1. Januar 2020 beginnt</w:t>
      </w:r>
      <w:r w:rsidR="003366D9" w:rsidRPr="009118AB">
        <w:rPr>
          <w:i/>
          <w:iCs/>
        </w:rPr>
        <w:t> -;</w:t>
      </w:r>
      <w:r w:rsidRPr="009118AB">
        <w:rPr>
          <w:i/>
          <w:iCs/>
        </w:rPr>
        <w:t xml:space="preserve"> </w:t>
      </w:r>
      <w:r w:rsidR="00D67EB8" w:rsidRPr="009118AB">
        <w:rPr>
          <w:i/>
          <w:iCs/>
        </w:rPr>
        <w:t>§ </w:t>
      </w:r>
      <w:r w:rsidR="009944A2" w:rsidRPr="009118AB">
        <w:rPr>
          <w:i/>
          <w:iCs/>
        </w:rPr>
        <w:t xml:space="preserve">1 </w:t>
      </w:r>
      <w:r w:rsidR="00267A5D" w:rsidRPr="009118AB">
        <w:rPr>
          <w:i/>
          <w:iCs/>
        </w:rPr>
        <w:t xml:space="preserve">neuer </w:t>
      </w:r>
      <w:r w:rsidR="009944A2" w:rsidRPr="009118AB">
        <w:rPr>
          <w:i/>
          <w:iCs/>
        </w:rPr>
        <w:t>Abs</w:t>
      </w:r>
      <w:r w:rsidR="00267A5D" w:rsidRPr="009118AB">
        <w:rPr>
          <w:i/>
          <w:iCs/>
        </w:rPr>
        <w:t>atz</w:t>
      </w:r>
      <w:r w:rsidR="009944A2" w:rsidRPr="009118AB">
        <w:rPr>
          <w:i/>
          <w:iCs/>
        </w:rPr>
        <w:t xml:space="preserve"> 2 abgeändert durch </w:t>
      </w:r>
      <w:r w:rsidR="00D67EB8" w:rsidRPr="009118AB">
        <w:rPr>
          <w:i/>
          <w:iCs/>
        </w:rPr>
        <w:t>Art. </w:t>
      </w:r>
      <w:r w:rsidR="009944A2" w:rsidRPr="009118AB">
        <w:rPr>
          <w:i/>
          <w:iCs/>
        </w:rPr>
        <w:t>84 Buchstabe e) des G. vom 25. Dezember 2017 (III) (B.S. vom 29. Dezember 2017)</w:t>
      </w:r>
      <w:r w:rsidR="00D67EB8" w:rsidRPr="009118AB">
        <w:rPr>
          <w:i/>
          <w:iCs/>
        </w:rPr>
        <w:t> - </w:t>
      </w:r>
      <w:r w:rsidR="009944A2" w:rsidRPr="009118AB">
        <w:rPr>
          <w:i/>
          <w:iCs/>
        </w:rPr>
        <w:t>in Kraft am 1. Januar 2020 und anwendbar ab dem Steuerjahr 2021, das sich auf einen Besteuerungszeitraum bezieht, der frühestens am 1. Januar 2020 beginnt</w:t>
      </w:r>
      <w:r w:rsidR="003366D9" w:rsidRPr="009118AB">
        <w:rPr>
          <w:i/>
          <w:iCs/>
        </w:rPr>
        <w:t> -;</w:t>
      </w:r>
      <w:r w:rsidR="009944A2" w:rsidRPr="009118AB">
        <w:rPr>
          <w:i/>
          <w:iCs/>
        </w:rPr>
        <w:t xml:space="preserve"> </w:t>
      </w:r>
      <w:r w:rsidR="00D67EB8" w:rsidRPr="009118AB">
        <w:rPr>
          <w:i/>
          <w:iCs/>
        </w:rPr>
        <w:t>§ </w:t>
      </w:r>
      <w:r w:rsidR="001E1FC2" w:rsidRPr="009118AB">
        <w:rPr>
          <w:i/>
          <w:iCs/>
        </w:rPr>
        <w:t>2</w:t>
      </w:r>
      <w:r w:rsidR="00D249BB" w:rsidRPr="009118AB">
        <w:rPr>
          <w:i/>
          <w:iCs/>
        </w:rPr>
        <w:t xml:space="preserve"> früherer</w:t>
      </w:r>
      <w:r w:rsidR="001E1FC2" w:rsidRPr="009118AB">
        <w:rPr>
          <w:i/>
          <w:iCs/>
        </w:rPr>
        <w:t xml:space="preserve"> Abs</w:t>
      </w:r>
      <w:r w:rsidR="00D249BB" w:rsidRPr="009118AB">
        <w:rPr>
          <w:i/>
          <w:iCs/>
        </w:rPr>
        <w:t>atz</w:t>
      </w:r>
      <w:r w:rsidR="001E1FC2" w:rsidRPr="009118AB">
        <w:rPr>
          <w:i/>
          <w:iCs/>
        </w:rPr>
        <w:t xml:space="preserve"> 1 </w:t>
      </w:r>
      <w:r w:rsidR="00D249BB" w:rsidRPr="009118AB">
        <w:rPr>
          <w:i/>
          <w:iCs/>
        </w:rPr>
        <w:t xml:space="preserve">aufgehoben durch </w:t>
      </w:r>
      <w:r w:rsidR="00D67EB8" w:rsidRPr="009118AB">
        <w:rPr>
          <w:i/>
          <w:iCs/>
        </w:rPr>
        <w:t>Art. </w:t>
      </w:r>
      <w:r w:rsidR="00D249BB" w:rsidRPr="009118AB">
        <w:rPr>
          <w:i/>
          <w:iCs/>
        </w:rPr>
        <w:t>21 des G. vom 21. Januar 2022 (B.S. vom 28. Januar 2022)</w:t>
      </w:r>
      <w:r w:rsidR="00D67EB8" w:rsidRPr="009118AB">
        <w:rPr>
          <w:i/>
          <w:iCs/>
        </w:rPr>
        <w:t> - </w:t>
      </w:r>
      <w:r w:rsidR="00D249BB" w:rsidRPr="009118AB">
        <w:rPr>
          <w:i/>
          <w:iCs/>
        </w:rPr>
        <w:t>anwendbar ab dem Steuerjahr 2022</w:t>
      </w:r>
      <w:r w:rsidR="003366D9" w:rsidRPr="009118AB">
        <w:rPr>
          <w:i/>
          <w:iCs/>
        </w:rPr>
        <w:t> -;</w:t>
      </w:r>
      <w:r w:rsidR="001E1FC2" w:rsidRPr="009118AB">
        <w:rPr>
          <w:bCs/>
          <w:i/>
          <w:iCs/>
        </w:rPr>
        <w:t xml:space="preserve"> </w:t>
      </w:r>
      <w:r w:rsidR="00D67EB8" w:rsidRPr="009118AB">
        <w:rPr>
          <w:i/>
          <w:iCs/>
        </w:rPr>
        <w:t>§ </w:t>
      </w:r>
      <w:r w:rsidR="009944A2" w:rsidRPr="009118AB">
        <w:rPr>
          <w:i/>
          <w:iCs/>
        </w:rPr>
        <w:t xml:space="preserve">3 abgeändert durch </w:t>
      </w:r>
      <w:r w:rsidR="00D67EB8" w:rsidRPr="009118AB">
        <w:rPr>
          <w:i/>
          <w:iCs/>
        </w:rPr>
        <w:t>Art. </w:t>
      </w:r>
      <w:r w:rsidR="009944A2" w:rsidRPr="009118AB">
        <w:rPr>
          <w:i/>
          <w:iCs/>
        </w:rPr>
        <w:t>84 Buchstabe f) des G. vom 25. Dezember 2017 (III) (B.S. vom 29. Dezember 2017)</w:t>
      </w:r>
      <w:r w:rsidR="00D67EB8" w:rsidRPr="009118AB">
        <w:rPr>
          <w:i/>
          <w:iCs/>
        </w:rPr>
        <w:t> - </w:t>
      </w:r>
      <w:r w:rsidR="009944A2" w:rsidRPr="009118AB">
        <w:rPr>
          <w:i/>
          <w:iCs/>
        </w:rPr>
        <w:t>in Kraft am 1. Januar 2020 und anwendbar ab dem Steuerjahr 2021, das sich auf einen Besteuerungszeitraum bezieht, der frühestens am 1. Januar 2020 beginnt</w:t>
      </w:r>
      <w:r w:rsidR="003366D9" w:rsidRPr="009118AB">
        <w:rPr>
          <w:i/>
          <w:iCs/>
        </w:rPr>
        <w:t> -;</w:t>
      </w:r>
      <w:r w:rsidR="009944A2" w:rsidRPr="009118AB">
        <w:rPr>
          <w:i/>
          <w:iCs/>
        </w:rPr>
        <w:t xml:space="preserve"> </w:t>
      </w:r>
      <w:r w:rsidR="00D67EB8" w:rsidRPr="009118AB">
        <w:rPr>
          <w:i/>
          <w:iCs/>
        </w:rPr>
        <w:t>§ </w:t>
      </w:r>
      <w:r w:rsidR="009944A2" w:rsidRPr="009118AB">
        <w:rPr>
          <w:i/>
          <w:iCs/>
        </w:rPr>
        <w:t xml:space="preserve">4 aufgehoben durch </w:t>
      </w:r>
      <w:r w:rsidR="00D67EB8" w:rsidRPr="009118AB">
        <w:rPr>
          <w:i/>
          <w:iCs/>
        </w:rPr>
        <w:t>Art. </w:t>
      </w:r>
      <w:r w:rsidR="009944A2" w:rsidRPr="009118AB">
        <w:rPr>
          <w:i/>
          <w:iCs/>
        </w:rPr>
        <w:t>84 Buchstabe g) des G. vom 25. Dezember 2017 (III) (B.S. vom 29. Dezember 2017)</w:t>
      </w:r>
      <w:r w:rsidR="00D67EB8" w:rsidRPr="009118AB">
        <w:rPr>
          <w:i/>
          <w:iCs/>
        </w:rPr>
        <w:t> - </w:t>
      </w:r>
      <w:r w:rsidR="009944A2" w:rsidRPr="009118AB">
        <w:rPr>
          <w:i/>
          <w:iCs/>
        </w:rPr>
        <w:t>in Kraft am 1. Januar 2020 und anwendbar ab dem Steuerjahr 2021, das sich auf einen Besteuerungszeitraum bezieht, der frühestens am 1. Januar 2020 beginnt</w:t>
      </w:r>
      <w:r w:rsidR="00FD68E8" w:rsidRPr="009118AB">
        <w:rPr>
          <w:i/>
          <w:iCs/>
        </w:rPr>
        <w:t> -]</w:t>
      </w:r>
    </w:p>
    <w:p w14:paraId="2D3CE067" w14:textId="77777777" w:rsidR="009F276C" w:rsidRPr="009118AB" w:rsidRDefault="009F276C" w:rsidP="009F276C">
      <w:pPr>
        <w:autoSpaceDE w:val="0"/>
        <w:autoSpaceDN w:val="0"/>
        <w:adjustRightInd w:val="0"/>
        <w:jc w:val="both"/>
      </w:pPr>
    </w:p>
    <w:p w14:paraId="13799E3F" w14:textId="77777777" w:rsidR="00477B8F" w:rsidRPr="009118AB" w:rsidRDefault="00477B8F" w:rsidP="003727BE">
      <w:pPr>
        <w:autoSpaceDE w:val="0"/>
        <w:autoSpaceDN w:val="0"/>
        <w:adjustRightInd w:val="0"/>
        <w:jc w:val="both"/>
      </w:pPr>
    </w:p>
    <w:p w14:paraId="3BB88DA9" w14:textId="58CF341F" w:rsidR="00477B8F" w:rsidRPr="009118AB" w:rsidRDefault="00477B8F" w:rsidP="003727BE">
      <w:pPr>
        <w:autoSpaceDE w:val="0"/>
        <w:autoSpaceDN w:val="0"/>
        <w:adjustRightInd w:val="0"/>
        <w:jc w:val="both"/>
        <w:rPr>
          <w:spacing w:val="-2"/>
        </w:rPr>
      </w:pPr>
      <w:r w:rsidRPr="009118AB">
        <w:rPr>
          <w:spacing w:val="-2"/>
        </w:rPr>
        <w:tab/>
      </w:r>
      <w:r w:rsidR="00D67EB8" w:rsidRPr="009118AB">
        <w:rPr>
          <w:b/>
          <w:bCs/>
          <w:spacing w:val="-2"/>
        </w:rPr>
        <w:t>Art. </w:t>
      </w:r>
      <w:r w:rsidRPr="009118AB">
        <w:rPr>
          <w:b/>
          <w:bCs/>
          <w:spacing w:val="-2"/>
        </w:rPr>
        <w:t>520</w:t>
      </w:r>
      <w:r w:rsidR="00D67EB8" w:rsidRPr="009118AB">
        <w:rPr>
          <w:spacing w:val="-2"/>
        </w:rPr>
        <w:t> - </w:t>
      </w:r>
      <w:r w:rsidRPr="009118AB">
        <w:rPr>
          <w:spacing w:val="-2"/>
        </w:rPr>
        <w:t xml:space="preserve">[Die Artikel 36, 40 </w:t>
      </w:r>
      <w:r w:rsidR="00D67EB8" w:rsidRPr="009118AB">
        <w:rPr>
          <w:spacing w:val="-2"/>
        </w:rPr>
        <w:t>§ </w:t>
      </w:r>
      <w:r w:rsidRPr="009118AB">
        <w:rPr>
          <w:spacing w:val="-2"/>
        </w:rPr>
        <w:t xml:space="preserve">2 Absatz 2, 105 Absatz 1, 124 </w:t>
      </w:r>
      <w:r w:rsidR="00D67EB8" w:rsidRPr="009118AB">
        <w:rPr>
          <w:spacing w:val="-2"/>
        </w:rPr>
        <w:t>§ </w:t>
      </w:r>
      <w:r w:rsidRPr="009118AB">
        <w:rPr>
          <w:spacing w:val="-2"/>
        </w:rPr>
        <w:t>3 Absatz 2 und 306</w:t>
      </w:r>
      <w:r w:rsidRPr="009118AB">
        <w:rPr>
          <w:i/>
          <w:iCs/>
          <w:spacing w:val="-2"/>
        </w:rPr>
        <w:t>bis</w:t>
      </w:r>
      <w:r w:rsidRPr="009118AB">
        <w:rPr>
          <w:spacing w:val="-2"/>
        </w:rPr>
        <w:t xml:space="preserve"> des Einkommensteuergesetzbuches, so wie sie vor ihrer Aufhebung oder Abänderung durch Artikel 260 des Gesetzes vom 22. Dezember 1989 und Artikel 3 Buchstabe </w:t>
      </w:r>
      <w:r w:rsidRPr="009118AB">
        <w:rPr>
          <w:i/>
          <w:iCs/>
          <w:spacing w:val="-2"/>
        </w:rPr>
        <w:t>A</w:t>
      </w:r>
      <w:r w:rsidRPr="009118AB">
        <w:rPr>
          <w:spacing w:val="-2"/>
        </w:rPr>
        <w:t xml:space="preserve"> bis </w:t>
      </w:r>
      <w:r w:rsidRPr="009118AB">
        <w:rPr>
          <w:i/>
          <w:iCs/>
          <w:spacing w:val="-2"/>
        </w:rPr>
        <w:t>C</w:t>
      </w:r>
      <w:r w:rsidRPr="009118AB">
        <w:rPr>
          <w:spacing w:val="-2"/>
        </w:rPr>
        <w:t xml:space="preserve">, </w:t>
      </w:r>
      <w:r w:rsidRPr="009118AB">
        <w:rPr>
          <w:i/>
          <w:iCs/>
          <w:spacing w:val="-2"/>
        </w:rPr>
        <w:t>F</w:t>
      </w:r>
      <w:r w:rsidRPr="009118AB">
        <w:rPr>
          <w:spacing w:val="-2"/>
        </w:rPr>
        <w:t xml:space="preserve"> und </w:t>
      </w:r>
      <w:r w:rsidRPr="009118AB">
        <w:rPr>
          <w:i/>
          <w:iCs/>
          <w:spacing w:val="-2"/>
        </w:rPr>
        <w:t>K</w:t>
      </w:r>
      <w:r w:rsidRPr="009118AB">
        <w:rPr>
          <w:spacing w:val="-2"/>
        </w:rPr>
        <w:t xml:space="preserve"> des Gesetzes vom 23. Oktober 1991 bestanden, bleiben auf Mehrwerte anwendbar, die in Anwendung der vorerwähnten Artikel 36 und 105 steuerfrei waren.]</w:t>
      </w:r>
    </w:p>
    <w:p w14:paraId="321F5DC5" w14:textId="77777777" w:rsidR="00477B8F" w:rsidRPr="009118AB" w:rsidRDefault="00477B8F" w:rsidP="003727BE">
      <w:pPr>
        <w:autoSpaceDE w:val="0"/>
        <w:autoSpaceDN w:val="0"/>
        <w:adjustRightInd w:val="0"/>
        <w:jc w:val="both"/>
      </w:pPr>
    </w:p>
    <w:p w14:paraId="785D0C14" w14:textId="57CDECFA" w:rsidR="00477B8F" w:rsidRDefault="00477B8F" w:rsidP="003727BE">
      <w:pPr>
        <w:autoSpaceDE w:val="0"/>
        <w:autoSpaceDN w:val="0"/>
        <w:adjustRightInd w:val="0"/>
        <w:jc w:val="both"/>
        <w:rPr>
          <w:i/>
          <w:iCs/>
        </w:rPr>
      </w:pPr>
      <w:r w:rsidRPr="009118AB">
        <w:rPr>
          <w:i/>
          <w:iCs/>
        </w:rPr>
        <w:t>[</w:t>
      </w:r>
      <w:r w:rsidR="00D67EB8" w:rsidRPr="009118AB">
        <w:rPr>
          <w:i/>
          <w:iCs/>
        </w:rPr>
        <w:t>Art. </w:t>
      </w:r>
      <w:r w:rsidRPr="009118AB">
        <w:rPr>
          <w:i/>
          <w:iCs/>
        </w:rPr>
        <w:t xml:space="preserve">520 ersetzt durch </w:t>
      </w:r>
      <w:r w:rsidR="00D67EB8" w:rsidRPr="009118AB">
        <w:rPr>
          <w:i/>
          <w:iCs/>
        </w:rPr>
        <w:t>Art. </w:t>
      </w:r>
      <w:r w:rsidRPr="009118AB">
        <w:rPr>
          <w:i/>
          <w:iCs/>
        </w:rPr>
        <w:t>26 des G. vom 28. Dezember 1992</w:t>
      </w:r>
      <w:r w:rsidR="00B64F05" w:rsidRPr="009118AB">
        <w:rPr>
          <w:i/>
          <w:iCs/>
        </w:rPr>
        <w:t xml:space="preserve"> (B.S. vom 31. Dezember 1992)</w:t>
      </w:r>
      <w:r w:rsidR="00D67EB8" w:rsidRPr="009118AB">
        <w:rPr>
          <w:i/>
          <w:iCs/>
        </w:rPr>
        <w:t> - </w:t>
      </w:r>
      <w:r w:rsidRPr="009118AB">
        <w:rPr>
          <w:i/>
          <w:iCs/>
        </w:rPr>
        <w:t>anwendbar ab dem Steuerjahr 1993</w:t>
      </w:r>
      <w:r w:rsidR="00FD68E8" w:rsidRPr="009118AB">
        <w:rPr>
          <w:i/>
          <w:iCs/>
        </w:rPr>
        <w:t> -]</w:t>
      </w:r>
    </w:p>
    <w:p w14:paraId="55B426D4" w14:textId="77777777" w:rsidR="00310F5A" w:rsidRDefault="00310F5A" w:rsidP="003727BE">
      <w:pPr>
        <w:autoSpaceDE w:val="0"/>
        <w:autoSpaceDN w:val="0"/>
        <w:adjustRightInd w:val="0"/>
        <w:jc w:val="both"/>
        <w:rPr>
          <w:i/>
          <w:iCs/>
        </w:rPr>
      </w:pPr>
    </w:p>
    <w:p w14:paraId="3EB89AD5" w14:textId="77777777" w:rsidR="00310F5A" w:rsidRDefault="00310F5A" w:rsidP="003727BE">
      <w:pPr>
        <w:autoSpaceDE w:val="0"/>
        <w:autoSpaceDN w:val="0"/>
        <w:adjustRightInd w:val="0"/>
        <w:jc w:val="both"/>
        <w:rPr>
          <w:i/>
          <w:iCs/>
        </w:rPr>
      </w:pPr>
    </w:p>
    <w:p w14:paraId="17262247" w14:textId="04AB328E" w:rsidR="00477B8F" w:rsidRPr="009118AB" w:rsidRDefault="00477B8F" w:rsidP="003727BE">
      <w:pPr>
        <w:autoSpaceDE w:val="0"/>
        <w:autoSpaceDN w:val="0"/>
        <w:adjustRightInd w:val="0"/>
        <w:jc w:val="both"/>
      </w:pPr>
      <w:r w:rsidRPr="009118AB">
        <w:tab/>
      </w:r>
      <w:r w:rsidR="00D67EB8" w:rsidRPr="009118AB">
        <w:rPr>
          <w:b/>
          <w:bCs/>
        </w:rPr>
        <w:t>Art. </w:t>
      </w:r>
      <w:r w:rsidRPr="009118AB">
        <w:rPr>
          <w:b/>
          <w:bCs/>
        </w:rPr>
        <w:t>521</w:t>
      </w:r>
      <w:r w:rsidR="00D67EB8" w:rsidRPr="009118AB">
        <w:t> - </w:t>
      </w:r>
      <w:r w:rsidR="005C09AF" w:rsidRPr="009118AB">
        <w:t>[...]</w:t>
      </w:r>
    </w:p>
    <w:p w14:paraId="2CFDB265" w14:textId="77777777" w:rsidR="005332AF" w:rsidRPr="009118AB" w:rsidRDefault="005332AF" w:rsidP="003727BE">
      <w:pPr>
        <w:autoSpaceDE w:val="0"/>
        <w:autoSpaceDN w:val="0"/>
        <w:adjustRightInd w:val="0"/>
        <w:jc w:val="both"/>
      </w:pPr>
    </w:p>
    <w:p w14:paraId="1BB193CD" w14:textId="31496873" w:rsidR="005332AF" w:rsidRPr="009118AB" w:rsidRDefault="005332AF" w:rsidP="003727BE">
      <w:pPr>
        <w:autoSpaceDE w:val="0"/>
        <w:autoSpaceDN w:val="0"/>
        <w:adjustRightInd w:val="0"/>
        <w:jc w:val="both"/>
        <w:rPr>
          <w:i/>
        </w:rPr>
      </w:pPr>
      <w:r w:rsidRPr="009118AB">
        <w:rPr>
          <w:i/>
        </w:rPr>
        <w:t>[</w:t>
      </w:r>
      <w:r w:rsidR="00D67EB8" w:rsidRPr="009118AB">
        <w:rPr>
          <w:i/>
        </w:rPr>
        <w:t>Art. </w:t>
      </w:r>
      <w:r w:rsidRPr="009118AB">
        <w:rPr>
          <w:i/>
        </w:rPr>
        <w:t xml:space="preserve">521 </w:t>
      </w:r>
      <w:r w:rsidR="005C09AF" w:rsidRPr="009118AB">
        <w:rPr>
          <w:i/>
        </w:rPr>
        <w:t>aufgehoben durch Art. 33 des G. vom 21. Dezember 2022 (II) (B.S. vom 29. Dezember 2012)</w:t>
      </w:r>
      <w:r w:rsidRPr="009118AB">
        <w:rPr>
          <w:i/>
          <w:iCs/>
        </w:rPr>
        <w:t>]</w:t>
      </w:r>
    </w:p>
    <w:p w14:paraId="067FE16A" w14:textId="77777777" w:rsidR="00827C47" w:rsidRPr="009118AB" w:rsidRDefault="00827C47" w:rsidP="003727BE">
      <w:pPr>
        <w:autoSpaceDE w:val="0"/>
        <w:autoSpaceDN w:val="0"/>
        <w:adjustRightInd w:val="0"/>
        <w:jc w:val="both"/>
      </w:pPr>
    </w:p>
    <w:p w14:paraId="72F74CFD" w14:textId="77777777" w:rsidR="00827C47" w:rsidRPr="009118AB" w:rsidRDefault="00827C47" w:rsidP="003727BE">
      <w:pPr>
        <w:autoSpaceDE w:val="0"/>
        <w:autoSpaceDN w:val="0"/>
        <w:adjustRightInd w:val="0"/>
        <w:jc w:val="both"/>
      </w:pPr>
    </w:p>
    <w:p w14:paraId="14516991" w14:textId="7815AF2F"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522</w:t>
      </w:r>
      <w:r w:rsidR="00D67EB8" w:rsidRPr="009118AB">
        <w:t> - </w:t>
      </w:r>
      <w:r w:rsidRPr="009118AB">
        <w:t>In Bezug auf Kapitalien, die am ersten Tag des an das Steuerjahr 1995 gebundenen Besteuerungszeitraums bereits zur Ausübung der Berufstätigkeit genutzt wurden, gilt für die Anwendung von Artikel 362</w:t>
      </w:r>
      <w:r w:rsidRPr="009118AB">
        <w:rPr>
          <w:i/>
          <w:iCs/>
        </w:rPr>
        <w:t>bis</w:t>
      </w:r>
      <w:r w:rsidRPr="009118AB">
        <w:t xml:space="preserve"> der Teil der Zinsen dieser Kapitalien, die an diesem Tag bereits aufgelaufen und noch nicht besteuert waren, als Einkommen des Zeitraums, in dem die Zinsen eingenommen oder erzielt wurden.]</w:t>
      </w:r>
    </w:p>
    <w:p w14:paraId="124BA9A2" w14:textId="77777777" w:rsidR="00477B8F" w:rsidRPr="009118AB" w:rsidRDefault="00477B8F" w:rsidP="003727BE">
      <w:pPr>
        <w:autoSpaceDE w:val="0"/>
        <w:autoSpaceDN w:val="0"/>
        <w:adjustRightInd w:val="0"/>
        <w:jc w:val="both"/>
      </w:pPr>
    </w:p>
    <w:p w14:paraId="7BB76A0A" w14:textId="7AA46BD4"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522 eingefügt durch </w:t>
      </w:r>
      <w:r w:rsidR="00D67EB8" w:rsidRPr="009118AB">
        <w:rPr>
          <w:i/>
          <w:iCs/>
        </w:rPr>
        <w:t>Art. </w:t>
      </w:r>
      <w:r w:rsidRPr="009118AB">
        <w:rPr>
          <w:i/>
          <w:iCs/>
        </w:rPr>
        <w:t>84 des G. vom 6. Juli 1994 (B.S. vom 16. Juli 1994)]</w:t>
      </w:r>
    </w:p>
    <w:p w14:paraId="466BF8B2" w14:textId="77777777" w:rsidR="00477B8F" w:rsidRPr="009118AB" w:rsidRDefault="00477B8F" w:rsidP="003727BE">
      <w:pPr>
        <w:autoSpaceDE w:val="0"/>
        <w:autoSpaceDN w:val="0"/>
        <w:adjustRightInd w:val="0"/>
        <w:jc w:val="both"/>
      </w:pPr>
    </w:p>
    <w:p w14:paraId="37309044" w14:textId="77777777" w:rsidR="00D703D7" w:rsidRPr="009118AB" w:rsidRDefault="00D703D7"/>
    <w:p w14:paraId="5D1B651B" w14:textId="47AAF692"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523</w:t>
      </w:r>
      <w:r w:rsidR="00D67EB8" w:rsidRPr="009118AB">
        <w:t> - </w:t>
      </w:r>
      <w:r w:rsidRPr="009118AB">
        <w:t xml:space="preserve">[Artikel 52 </w:t>
      </w:r>
      <w:r w:rsidR="00D67EB8" w:rsidRPr="009118AB">
        <w:t>Nr. </w:t>
      </w:r>
      <w:r w:rsidRPr="009118AB">
        <w:t>11, so wie er vor seiner Abänderung durch Artikel 3 des Gesetzes vom 20. Dezember 1995 bestand, bleibt anwendbar in dem Maße, wie er Kapitalerhöhungen betrifft, die die Einhaltung der Bestimmungen von Artikel 8 des Gesetzes vom 13. April 1995 zur Abänderung der koordinierten Gesetze über die Handelsgesellschaften durch Aktiengesellschaften, die zum Zeitpunkt des Inkrafttretens dieses Gesetzes bestanden, gewährleisten sollen.]]</w:t>
      </w:r>
    </w:p>
    <w:p w14:paraId="7F02A5EE" w14:textId="77777777" w:rsidR="00477B8F" w:rsidRPr="009118AB" w:rsidRDefault="00477B8F" w:rsidP="003727BE">
      <w:pPr>
        <w:autoSpaceDE w:val="0"/>
        <w:autoSpaceDN w:val="0"/>
        <w:adjustRightInd w:val="0"/>
        <w:jc w:val="both"/>
      </w:pPr>
    </w:p>
    <w:p w14:paraId="23A49599" w14:textId="001AC25D" w:rsidR="00477B8F" w:rsidRPr="009118AB" w:rsidRDefault="00D67EB8" w:rsidP="003727BE">
      <w:pPr>
        <w:autoSpaceDE w:val="0"/>
        <w:autoSpaceDN w:val="0"/>
        <w:adjustRightInd w:val="0"/>
        <w:jc w:val="both"/>
      </w:pPr>
      <w:r w:rsidRPr="009118AB">
        <w:rPr>
          <w:i/>
          <w:iCs/>
        </w:rPr>
        <w:t>Art. </w:t>
      </w:r>
      <w:r w:rsidR="00477B8F" w:rsidRPr="009118AB">
        <w:rPr>
          <w:i/>
          <w:iCs/>
        </w:rPr>
        <w:t xml:space="preserve">523 eingefügt durch </w:t>
      </w:r>
      <w:r w:rsidRPr="009118AB">
        <w:rPr>
          <w:i/>
          <w:iCs/>
        </w:rPr>
        <w:t>Art. </w:t>
      </w:r>
      <w:r w:rsidR="00477B8F" w:rsidRPr="009118AB">
        <w:rPr>
          <w:i/>
          <w:iCs/>
        </w:rPr>
        <w:t xml:space="preserve">23 des G. vom 20. Dezember 1995 (B.S. vom 23. Dezember 1995) und ersetzt durch </w:t>
      </w:r>
      <w:r w:rsidRPr="009118AB">
        <w:rPr>
          <w:i/>
          <w:iCs/>
        </w:rPr>
        <w:t>Art. </w:t>
      </w:r>
      <w:r w:rsidR="00477B8F" w:rsidRPr="009118AB">
        <w:rPr>
          <w:i/>
          <w:iCs/>
        </w:rPr>
        <w:t>17 des G. vom 22. Juni 2005 (B.S. vom 30. Juni 2005)</w:t>
      </w:r>
      <w:r w:rsidRPr="009118AB">
        <w:rPr>
          <w:i/>
          <w:iCs/>
        </w:rPr>
        <w:t> - </w:t>
      </w:r>
      <w:r w:rsidR="00477B8F" w:rsidRPr="009118AB">
        <w:rPr>
          <w:i/>
          <w:iCs/>
        </w:rPr>
        <w:t>in Kraft ab dem Steuerjahr 2007</w:t>
      </w:r>
      <w:r w:rsidR="00FD68E8" w:rsidRPr="009118AB">
        <w:rPr>
          <w:i/>
          <w:iCs/>
        </w:rPr>
        <w:t> -]</w:t>
      </w:r>
    </w:p>
    <w:p w14:paraId="7C0BC50D" w14:textId="77777777" w:rsidR="00477B8F" w:rsidRPr="009118AB" w:rsidRDefault="00477B8F" w:rsidP="003727BE">
      <w:pPr>
        <w:autoSpaceDE w:val="0"/>
        <w:autoSpaceDN w:val="0"/>
        <w:adjustRightInd w:val="0"/>
        <w:jc w:val="both"/>
      </w:pPr>
    </w:p>
    <w:p w14:paraId="6A9385F2" w14:textId="77777777" w:rsidR="00477B8F" w:rsidRPr="009118AB" w:rsidRDefault="00477B8F" w:rsidP="003727BE">
      <w:pPr>
        <w:autoSpaceDE w:val="0"/>
        <w:autoSpaceDN w:val="0"/>
        <w:adjustRightInd w:val="0"/>
        <w:jc w:val="both"/>
      </w:pPr>
    </w:p>
    <w:p w14:paraId="3886896E" w14:textId="33E4D107"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524</w:t>
      </w:r>
      <w:r w:rsidR="00D67EB8" w:rsidRPr="009118AB">
        <w:t> - </w:t>
      </w:r>
      <w:r w:rsidRPr="009118AB">
        <w:t xml:space="preserve">Artikel 67 </w:t>
      </w:r>
      <w:r w:rsidR="00D67EB8" w:rsidRPr="009118AB">
        <w:t>§ </w:t>
      </w:r>
      <w:r w:rsidRPr="009118AB">
        <w:t>2, so wie er vor seiner Ersetzung durch Artikel 3 des Gesetzes vom 27. Oktober 1997 bestand, bleibt anwendbar in Bezug auf Personal, das in einem der an die Steuerjahre 1996 und vorhergehende gebundenen Besteuerungszeiträume in der wissenschaftlichen Forschung tätig war.]</w:t>
      </w:r>
    </w:p>
    <w:p w14:paraId="1C5305BF" w14:textId="77777777" w:rsidR="00477B8F" w:rsidRPr="009118AB" w:rsidRDefault="00477B8F" w:rsidP="003727BE">
      <w:pPr>
        <w:autoSpaceDE w:val="0"/>
        <w:autoSpaceDN w:val="0"/>
        <w:adjustRightInd w:val="0"/>
        <w:jc w:val="both"/>
      </w:pPr>
    </w:p>
    <w:p w14:paraId="3810407C" w14:textId="7C8E60DF"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524 eingefügt durch </w:t>
      </w:r>
      <w:r w:rsidR="00D67EB8" w:rsidRPr="009118AB">
        <w:rPr>
          <w:i/>
          <w:iCs/>
        </w:rPr>
        <w:t>Art. </w:t>
      </w:r>
      <w:r w:rsidRPr="009118AB">
        <w:rPr>
          <w:i/>
          <w:iCs/>
        </w:rPr>
        <w:t>6 des G. vom 27. Oktober 199</w:t>
      </w:r>
      <w:r w:rsidR="00B64F05" w:rsidRPr="009118AB">
        <w:rPr>
          <w:i/>
          <w:iCs/>
        </w:rPr>
        <w:t>7 (B.S. vom 2. Dezember 1997)</w:t>
      </w:r>
      <w:r w:rsidR="00D67EB8" w:rsidRPr="009118AB">
        <w:rPr>
          <w:i/>
          <w:iCs/>
        </w:rPr>
        <w:t> - </w:t>
      </w:r>
      <w:r w:rsidRPr="009118AB">
        <w:rPr>
          <w:i/>
          <w:iCs/>
        </w:rPr>
        <w:t>anwendbar ab dem Steuerjahr 1997</w:t>
      </w:r>
      <w:r w:rsidR="00FD68E8" w:rsidRPr="009118AB">
        <w:rPr>
          <w:i/>
          <w:iCs/>
        </w:rPr>
        <w:t> -]</w:t>
      </w:r>
    </w:p>
    <w:p w14:paraId="6286B58D" w14:textId="77777777" w:rsidR="00477B8F" w:rsidRPr="009118AB" w:rsidRDefault="00477B8F" w:rsidP="003727BE">
      <w:pPr>
        <w:autoSpaceDE w:val="0"/>
        <w:autoSpaceDN w:val="0"/>
        <w:adjustRightInd w:val="0"/>
        <w:jc w:val="both"/>
      </w:pPr>
    </w:p>
    <w:p w14:paraId="64EFE0A0" w14:textId="77777777" w:rsidR="00477B8F" w:rsidRPr="009118AB" w:rsidRDefault="00477B8F" w:rsidP="003727BE">
      <w:pPr>
        <w:autoSpaceDE w:val="0"/>
        <w:autoSpaceDN w:val="0"/>
        <w:adjustRightInd w:val="0"/>
        <w:jc w:val="both"/>
      </w:pPr>
    </w:p>
    <w:p w14:paraId="6189445F" w14:textId="7CA240B4"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525</w:t>
      </w:r>
      <w:r w:rsidR="00D67EB8" w:rsidRPr="009118AB">
        <w:t> - </w:t>
      </w:r>
      <w:r w:rsidRPr="009118AB">
        <w:t>Artikel 145</w:t>
      </w:r>
      <w:r w:rsidRPr="009118AB">
        <w:rPr>
          <w:vertAlign w:val="superscript"/>
        </w:rPr>
        <w:t>4</w:t>
      </w:r>
      <w:r w:rsidRPr="009118AB">
        <w:t xml:space="preserve"> </w:t>
      </w:r>
      <w:r w:rsidR="00D67EB8" w:rsidRPr="009118AB">
        <w:t>Nr. </w:t>
      </w:r>
      <w:r w:rsidRPr="009118AB">
        <w:t>2 Buchstabe </w:t>
      </w:r>
      <w:r w:rsidRPr="009118AB">
        <w:rPr>
          <w:i/>
          <w:iCs/>
        </w:rPr>
        <w:t>a)</w:t>
      </w:r>
      <w:r w:rsidRPr="009118AB">
        <w:t>, so wie er vor seiner Abänderung durch Artikel 31 des Gesetzes vom 10. August 2001 bestand, bleibt auf Verträge anwendbar, die vor dem 1. Januar 2002 abgeschlossen wurden.]</w:t>
      </w:r>
    </w:p>
    <w:p w14:paraId="6A10E014" w14:textId="77777777" w:rsidR="00477B8F" w:rsidRPr="009118AB" w:rsidRDefault="00477B8F" w:rsidP="003727BE">
      <w:pPr>
        <w:autoSpaceDE w:val="0"/>
        <w:autoSpaceDN w:val="0"/>
        <w:adjustRightInd w:val="0"/>
        <w:jc w:val="both"/>
      </w:pPr>
    </w:p>
    <w:p w14:paraId="24714ADD" w14:textId="671013A4"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525 eingefügt durch </w:t>
      </w:r>
      <w:r w:rsidR="00D67EB8" w:rsidRPr="009118AB">
        <w:rPr>
          <w:i/>
          <w:iCs/>
        </w:rPr>
        <w:t>Art. </w:t>
      </w:r>
      <w:r w:rsidRPr="009118AB">
        <w:rPr>
          <w:i/>
          <w:iCs/>
        </w:rPr>
        <w:t xml:space="preserve">61 des G. vom 10. August 2001 </w:t>
      </w:r>
      <w:r w:rsidR="00B64F05" w:rsidRPr="009118AB">
        <w:rPr>
          <w:i/>
          <w:iCs/>
        </w:rPr>
        <w:t>(B.S. vom 20. September 2001)</w:t>
      </w:r>
      <w:r w:rsidR="00D67EB8" w:rsidRPr="009118AB">
        <w:rPr>
          <w:i/>
          <w:iCs/>
        </w:rPr>
        <w:t> - </w:t>
      </w:r>
      <w:r w:rsidRPr="009118AB">
        <w:rPr>
          <w:i/>
          <w:iCs/>
        </w:rPr>
        <w:t>in Kraft ab dem Steuerjahr 2003</w:t>
      </w:r>
      <w:r w:rsidR="00FD68E8" w:rsidRPr="009118AB">
        <w:rPr>
          <w:i/>
          <w:iCs/>
        </w:rPr>
        <w:t> -]</w:t>
      </w:r>
    </w:p>
    <w:p w14:paraId="2951D3D5" w14:textId="77777777" w:rsidR="00477B8F" w:rsidRPr="009118AB" w:rsidRDefault="00477B8F" w:rsidP="003727BE">
      <w:pPr>
        <w:autoSpaceDE w:val="0"/>
        <w:autoSpaceDN w:val="0"/>
        <w:adjustRightInd w:val="0"/>
        <w:jc w:val="both"/>
      </w:pPr>
    </w:p>
    <w:p w14:paraId="43385A29" w14:textId="77777777" w:rsidR="005F4226" w:rsidRPr="009118AB" w:rsidRDefault="005F4226" w:rsidP="005F4226">
      <w:pPr>
        <w:autoSpaceDE w:val="0"/>
        <w:autoSpaceDN w:val="0"/>
        <w:adjustRightInd w:val="0"/>
        <w:jc w:val="both"/>
      </w:pPr>
    </w:p>
    <w:p w14:paraId="59D4E3C5" w14:textId="77777777" w:rsidR="005C09AF" w:rsidRPr="009118AB" w:rsidRDefault="005C09AF">
      <w:r w:rsidRPr="009118AB">
        <w:br w:type="page"/>
      </w:r>
    </w:p>
    <w:p w14:paraId="4A852D31" w14:textId="323C9961" w:rsidR="00762E5B" w:rsidRPr="009118AB" w:rsidRDefault="005F4226" w:rsidP="0025380C">
      <w:pPr>
        <w:jc w:val="both"/>
        <w:rPr>
          <w:iCs/>
        </w:rPr>
      </w:pPr>
      <w:r w:rsidRPr="009118AB">
        <w:tab/>
      </w:r>
      <w:r w:rsidR="00477B8F" w:rsidRPr="009118AB">
        <w:t>[</w:t>
      </w:r>
      <w:r w:rsidR="00D67EB8" w:rsidRPr="009118AB">
        <w:rPr>
          <w:b/>
          <w:bCs/>
        </w:rPr>
        <w:t>Art. </w:t>
      </w:r>
      <w:r w:rsidR="00477B8F" w:rsidRPr="009118AB">
        <w:rPr>
          <w:b/>
          <w:bCs/>
        </w:rPr>
        <w:t>526</w:t>
      </w:r>
      <w:r w:rsidR="00D67EB8" w:rsidRPr="009118AB">
        <w:t> - </w:t>
      </w:r>
      <w:r w:rsidR="000834FD" w:rsidRPr="009118AB">
        <w:rPr>
          <w:iCs/>
        </w:rPr>
        <w:t>[</w:t>
      </w:r>
      <w:r w:rsidR="00D67EB8" w:rsidRPr="009118AB">
        <w:rPr>
          <w:iCs/>
        </w:rPr>
        <w:t>§ </w:t>
      </w:r>
      <w:r w:rsidR="000834FD" w:rsidRPr="009118AB">
        <w:rPr>
          <w:iCs/>
        </w:rPr>
        <w:t>1</w:t>
      </w:r>
      <w:r w:rsidR="00D67EB8" w:rsidRPr="009118AB">
        <w:rPr>
          <w:iCs/>
        </w:rPr>
        <w:t> - </w:t>
      </w:r>
      <w:r w:rsidR="000834FD" w:rsidRPr="009118AB">
        <w:rPr>
          <w:iCs/>
        </w:rPr>
        <w:t>[</w:t>
      </w:r>
      <w:r w:rsidR="00762E5B" w:rsidRPr="009118AB">
        <w:rPr>
          <w:iCs/>
        </w:rPr>
        <w:t>[Vorliegender Paragraph ist anwendbar, wenn folgende Bedingungen erfüllt sind:</w:t>
      </w:r>
    </w:p>
    <w:p w14:paraId="722397D3" w14:textId="77777777" w:rsidR="00762E5B" w:rsidRPr="009118AB" w:rsidRDefault="00762E5B" w:rsidP="00762E5B">
      <w:pPr>
        <w:autoSpaceDE w:val="0"/>
        <w:autoSpaceDN w:val="0"/>
        <w:adjustRightInd w:val="0"/>
        <w:jc w:val="both"/>
        <w:rPr>
          <w:iCs/>
        </w:rPr>
      </w:pPr>
    </w:p>
    <w:p w14:paraId="5A84707D" w14:textId="77777777" w:rsidR="00762E5B" w:rsidRPr="009118AB" w:rsidRDefault="00762E5B" w:rsidP="0025380C">
      <w:pPr>
        <w:autoSpaceDE w:val="0"/>
        <w:autoSpaceDN w:val="0"/>
        <w:adjustRightInd w:val="0"/>
        <w:ind w:firstLine="709"/>
        <w:jc w:val="both"/>
        <w:rPr>
          <w:iCs/>
        </w:rPr>
      </w:pPr>
      <w:r w:rsidRPr="009118AB">
        <w:rPr>
          <w:iCs/>
        </w:rPr>
        <w:t>1. Der Steuerpflichtige hat für Bau, Erwerb oder Umbau seiner einzigen Wohnung eine oder mehrere Hypothekenanleihen aufgenommen:</w:t>
      </w:r>
    </w:p>
    <w:p w14:paraId="25DC488C" w14:textId="77777777" w:rsidR="00762E5B" w:rsidRPr="009118AB" w:rsidRDefault="00762E5B" w:rsidP="0025380C">
      <w:pPr>
        <w:autoSpaceDE w:val="0"/>
        <w:autoSpaceDN w:val="0"/>
        <w:adjustRightInd w:val="0"/>
        <w:ind w:firstLine="709"/>
        <w:jc w:val="both"/>
        <w:rPr>
          <w:iCs/>
        </w:rPr>
      </w:pPr>
    </w:p>
    <w:p w14:paraId="0ED7F43C" w14:textId="77777777" w:rsidR="00762E5B" w:rsidRPr="009118AB" w:rsidRDefault="00762E5B" w:rsidP="0025380C">
      <w:pPr>
        <w:autoSpaceDE w:val="0"/>
        <w:autoSpaceDN w:val="0"/>
        <w:adjustRightInd w:val="0"/>
        <w:ind w:firstLine="709"/>
        <w:jc w:val="both"/>
        <w:rPr>
          <w:iCs/>
        </w:rPr>
      </w:pPr>
      <w:r w:rsidRPr="009118AB">
        <w:rPr>
          <w:i/>
          <w:iCs/>
        </w:rPr>
        <w:t>a)</w:t>
      </w:r>
      <w:r w:rsidRPr="009118AB">
        <w:rPr>
          <w:iCs/>
        </w:rPr>
        <w:t> vor dem 1. Januar 2005,</w:t>
      </w:r>
    </w:p>
    <w:p w14:paraId="0DC15F51" w14:textId="77777777" w:rsidR="00762E5B" w:rsidRPr="009118AB" w:rsidRDefault="00762E5B" w:rsidP="0025380C">
      <w:pPr>
        <w:autoSpaceDE w:val="0"/>
        <w:autoSpaceDN w:val="0"/>
        <w:adjustRightInd w:val="0"/>
        <w:ind w:firstLine="709"/>
        <w:jc w:val="both"/>
        <w:rPr>
          <w:iCs/>
        </w:rPr>
      </w:pPr>
    </w:p>
    <w:p w14:paraId="4E725EC5" w14:textId="77777777" w:rsidR="00762E5B" w:rsidRPr="009118AB" w:rsidRDefault="00762E5B" w:rsidP="0025380C">
      <w:pPr>
        <w:autoSpaceDE w:val="0"/>
        <w:autoSpaceDN w:val="0"/>
        <w:adjustRightInd w:val="0"/>
        <w:ind w:firstLine="709"/>
        <w:jc w:val="both"/>
        <w:rPr>
          <w:iCs/>
        </w:rPr>
      </w:pPr>
      <w:r w:rsidRPr="009118AB">
        <w:rPr>
          <w:i/>
          <w:iCs/>
        </w:rPr>
        <w:t>b)</w:t>
      </w:r>
      <w:r w:rsidRPr="009118AB">
        <w:rPr>
          <w:iCs/>
        </w:rPr>
        <w:t> ab dem 1. Januar 2005 und spätestens am 31. Dezember 2013, wobei zu diesem Zeitpunkt für dieselbe Wohnung eine andere in Buchstabe </w:t>
      </w:r>
      <w:r w:rsidRPr="009118AB">
        <w:rPr>
          <w:i/>
          <w:iCs/>
        </w:rPr>
        <w:t>a)</w:t>
      </w:r>
      <w:r w:rsidRPr="009118AB">
        <w:rPr>
          <w:iCs/>
        </w:rPr>
        <w:t xml:space="preserve"> erwähnte Hypothekenanleihe besteht, die für den Abzug von Zinsen von Hypothekenanleihen oder für das Bausparen in Betracht kommt.</w:t>
      </w:r>
    </w:p>
    <w:p w14:paraId="14AA9C30" w14:textId="77777777" w:rsidR="00762E5B" w:rsidRPr="009118AB" w:rsidRDefault="00762E5B" w:rsidP="0025380C">
      <w:pPr>
        <w:autoSpaceDE w:val="0"/>
        <w:autoSpaceDN w:val="0"/>
        <w:adjustRightInd w:val="0"/>
        <w:ind w:firstLine="709"/>
        <w:jc w:val="both"/>
        <w:rPr>
          <w:iCs/>
        </w:rPr>
      </w:pPr>
    </w:p>
    <w:p w14:paraId="70369123" w14:textId="29730CAA" w:rsidR="00762E5B" w:rsidRPr="009118AB" w:rsidRDefault="00762E5B" w:rsidP="0025380C">
      <w:pPr>
        <w:autoSpaceDE w:val="0"/>
        <w:autoSpaceDN w:val="0"/>
        <w:adjustRightInd w:val="0"/>
        <w:ind w:firstLine="709"/>
        <w:jc w:val="both"/>
        <w:rPr>
          <w:iCs/>
        </w:rPr>
      </w:pPr>
      <w:r w:rsidRPr="009118AB">
        <w:rPr>
          <w:iCs/>
        </w:rPr>
        <w:t xml:space="preserve">2. Die Wohnung, für die die in </w:t>
      </w:r>
      <w:r w:rsidR="00D67EB8" w:rsidRPr="009118AB">
        <w:rPr>
          <w:iCs/>
        </w:rPr>
        <w:t>Nr. </w:t>
      </w:r>
      <w:r w:rsidRPr="009118AB">
        <w:rPr>
          <w:iCs/>
        </w:rPr>
        <w:t>1 erwähnten Hypothekenanleihen aufgenommen wurden, war die eigene Wohnung des Steuerpflichtigen und ist vor dem 1. Januar 2016 eine andere Wohnung als die eigene Wohnung geworden.</w:t>
      </w:r>
    </w:p>
    <w:p w14:paraId="786AD24A" w14:textId="77777777" w:rsidR="00762E5B" w:rsidRPr="009118AB" w:rsidRDefault="00762E5B" w:rsidP="0025380C">
      <w:pPr>
        <w:autoSpaceDE w:val="0"/>
        <w:autoSpaceDN w:val="0"/>
        <w:adjustRightInd w:val="0"/>
        <w:ind w:firstLine="709"/>
        <w:jc w:val="both"/>
        <w:rPr>
          <w:iCs/>
        </w:rPr>
      </w:pPr>
    </w:p>
    <w:p w14:paraId="35125459" w14:textId="41C22571" w:rsidR="000834FD" w:rsidRPr="009118AB" w:rsidRDefault="00762E5B" w:rsidP="00D703D7">
      <w:pPr>
        <w:autoSpaceDE w:val="0"/>
        <w:autoSpaceDN w:val="0"/>
        <w:adjustRightInd w:val="0"/>
        <w:ind w:firstLine="709"/>
        <w:jc w:val="both"/>
        <w:rPr>
          <w:iCs/>
        </w:rPr>
      </w:pPr>
      <w:r w:rsidRPr="009118AB">
        <w:rPr>
          <w:iCs/>
        </w:rPr>
        <w:t xml:space="preserve">3. Für den vorhergehenden Besteuerungszeitraum hat der Steuerpflichtige für die Zinsen der in </w:t>
      </w:r>
      <w:r w:rsidR="00D67EB8" w:rsidRPr="009118AB">
        <w:rPr>
          <w:iCs/>
        </w:rPr>
        <w:t>Nr. </w:t>
      </w:r>
      <w:r w:rsidRPr="009118AB">
        <w:rPr>
          <w:iCs/>
        </w:rPr>
        <w:t xml:space="preserve">1 erwähnten Hypothekenanleihen die Anwendung der Artikel 104 </w:t>
      </w:r>
      <w:r w:rsidR="00D67EB8" w:rsidRPr="009118AB">
        <w:rPr>
          <w:iCs/>
        </w:rPr>
        <w:t>Nr. </w:t>
      </w:r>
      <w:r w:rsidRPr="009118AB">
        <w:rPr>
          <w:iCs/>
        </w:rPr>
        <w:t>9, 115 und 116, so wie sie vor ihrer Abänderung oder Aufhebung durch die Artikel 394 und 395 des Programmgesetzes vom 27. Dezember 2004 bestanden, beantragt.]</w:t>
      </w:r>
    </w:p>
    <w:p w14:paraId="1B3AB0BA" w14:textId="77777777" w:rsidR="00D703D7" w:rsidRPr="009118AB" w:rsidRDefault="00D703D7" w:rsidP="0025380C">
      <w:pPr>
        <w:tabs>
          <w:tab w:val="left" w:pos="0"/>
        </w:tabs>
        <w:autoSpaceDE w:val="0"/>
        <w:autoSpaceDN w:val="0"/>
        <w:adjustRightInd w:val="0"/>
        <w:ind w:firstLine="709"/>
        <w:jc w:val="both"/>
        <w:rPr>
          <w:iCs/>
        </w:rPr>
      </w:pPr>
    </w:p>
    <w:p w14:paraId="359A939B" w14:textId="14AD4381" w:rsidR="000834FD" w:rsidRPr="009118AB" w:rsidRDefault="000834FD" w:rsidP="0025380C">
      <w:pPr>
        <w:tabs>
          <w:tab w:val="left" w:pos="0"/>
        </w:tabs>
        <w:autoSpaceDE w:val="0"/>
        <w:autoSpaceDN w:val="0"/>
        <w:adjustRightInd w:val="0"/>
        <w:ind w:firstLine="709"/>
        <w:jc w:val="both"/>
        <w:rPr>
          <w:iCs/>
        </w:rPr>
      </w:pPr>
      <w:r w:rsidRPr="009118AB">
        <w:rPr>
          <w:iCs/>
        </w:rPr>
        <w:t xml:space="preserve">In diesem Fall kann der Steuerpflichtige für die Zinsen einer in Absatz 1 erwähnten Hypothekenanleihe die Anwendung der Artikel 104, 115 und 116, so wie sie vor ihrer Abänderung oder Aufhebung durch die Artikel 394 und 395 des Programmgesetzes vom 27. Dezember 2004 bestanden, und von Artikel 242 </w:t>
      </w:r>
      <w:r w:rsidR="00D67EB8" w:rsidRPr="009118AB">
        <w:rPr>
          <w:iCs/>
        </w:rPr>
        <w:t>§ </w:t>
      </w:r>
      <w:r w:rsidRPr="009118AB">
        <w:rPr>
          <w:iCs/>
        </w:rPr>
        <w:t>2, so wie er vor seiner Abänderung durch Artikel 74 des Gesetzes vom 8. Mai 2014 bestand, beantragen, wobei jedoch:</w:t>
      </w:r>
    </w:p>
    <w:p w14:paraId="061D7874" w14:textId="77777777" w:rsidR="000834FD" w:rsidRPr="009118AB" w:rsidRDefault="000834FD" w:rsidP="0025380C">
      <w:pPr>
        <w:tabs>
          <w:tab w:val="left" w:pos="0"/>
        </w:tabs>
        <w:autoSpaceDE w:val="0"/>
        <w:autoSpaceDN w:val="0"/>
        <w:adjustRightInd w:val="0"/>
        <w:ind w:firstLine="709"/>
        <w:jc w:val="both"/>
        <w:rPr>
          <w:iCs/>
        </w:rPr>
      </w:pPr>
    </w:p>
    <w:p w14:paraId="33A2B722" w14:textId="77777777" w:rsidR="000834FD" w:rsidRPr="009118AB" w:rsidRDefault="000834FD" w:rsidP="0025380C">
      <w:pPr>
        <w:tabs>
          <w:tab w:val="left" w:pos="0"/>
        </w:tabs>
        <w:autoSpaceDE w:val="0"/>
        <w:autoSpaceDN w:val="0"/>
        <w:adjustRightInd w:val="0"/>
        <w:ind w:firstLine="709"/>
        <w:jc w:val="both"/>
        <w:rPr>
          <w:iCs/>
        </w:rPr>
      </w:pPr>
      <w:r w:rsidRPr="009118AB">
        <w:rPr>
          <w:iCs/>
        </w:rPr>
        <w:t>1. der Vorteil in der Form einer Steuerermäßigung gewährt wird, die auf den Betrag berechnet wird, der gemäß vorerwähntem Artikel 116 von der Gesamtheit der Nettoeinkünfte abzugsfähig wäre,</w:t>
      </w:r>
    </w:p>
    <w:p w14:paraId="045867A6" w14:textId="77777777" w:rsidR="000834FD" w:rsidRPr="009118AB" w:rsidRDefault="000834FD" w:rsidP="0025380C">
      <w:pPr>
        <w:tabs>
          <w:tab w:val="left" w:pos="0"/>
        </w:tabs>
        <w:autoSpaceDE w:val="0"/>
        <w:autoSpaceDN w:val="0"/>
        <w:adjustRightInd w:val="0"/>
        <w:ind w:firstLine="709"/>
        <w:jc w:val="both"/>
        <w:rPr>
          <w:iCs/>
        </w:rPr>
      </w:pPr>
    </w:p>
    <w:p w14:paraId="4E8D0C0B" w14:textId="77777777" w:rsidR="000834FD" w:rsidRPr="009118AB" w:rsidRDefault="000834FD" w:rsidP="0025380C">
      <w:pPr>
        <w:tabs>
          <w:tab w:val="left" w:pos="0"/>
        </w:tabs>
        <w:autoSpaceDE w:val="0"/>
        <w:autoSpaceDN w:val="0"/>
        <w:adjustRightInd w:val="0"/>
        <w:ind w:firstLine="709"/>
        <w:jc w:val="both"/>
        <w:rPr>
          <w:iCs/>
        </w:rPr>
      </w:pPr>
      <w:r w:rsidRPr="009118AB">
        <w:rPr>
          <w:iCs/>
        </w:rPr>
        <w:t>2. die Steuerermäßigung zu dem für den Steuerpflichtigen höchsten Steuersatz wie in Artikel 130 erwähnt berechnet wird, mit einem Mindestsatz von 30 Prozent. Falls die für die Ermäßigung zu berücksichtigenden Ausgaben sich auf mehr als einen Steuersatz beziehen, wird für jeden Teil dieser Ausgaben der entsprechende Steuersatz berücksichtigt,</w:t>
      </w:r>
    </w:p>
    <w:p w14:paraId="1413D971" w14:textId="77777777" w:rsidR="000834FD" w:rsidRPr="009118AB" w:rsidRDefault="000834FD" w:rsidP="0025380C">
      <w:pPr>
        <w:tabs>
          <w:tab w:val="left" w:pos="0"/>
        </w:tabs>
        <w:autoSpaceDE w:val="0"/>
        <w:autoSpaceDN w:val="0"/>
        <w:adjustRightInd w:val="0"/>
        <w:ind w:firstLine="709"/>
        <w:jc w:val="both"/>
        <w:rPr>
          <w:iCs/>
        </w:rPr>
      </w:pPr>
    </w:p>
    <w:p w14:paraId="5889768D" w14:textId="77777777" w:rsidR="000834FD" w:rsidRPr="009118AB" w:rsidRDefault="000834FD" w:rsidP="0025380C">
      <w:pPr>
        <w:tabs>
          <w:tab w:val="left" w:pos="0"/>
        </w:tabs>
        <w:autoSpaceDE w:val="0"/>
        <w:autoSpaceDN w:val="0"/>
        <w:adjustRightInd w:val="0"/>
        <w:ind w:firstLine="709"/>
        <w:jc w:val="both"/>
        <w:rPr>
          <w:iCs/>
        </w:rPr>
      </w:pPr>
      <w:r w:rsidRPr="009118AB">
        <w:rPr>
          <w:iCs/>
        </w:rPr>
        <w:t>3. wenn eine gemeinsame Veranlagung festgelegt wird, der Betrag, auf den die Steuerermäßigung berechnet wird, entsprechend dem gemäß Artikel 130 besteuerten Einkommen jedes Ehepartners in der Gesamtheit der gemäß Artikel 130 besteuerten Einkünfte der beiden Ehepartner proportional aufgeteilt wird,</w:t>
      </w:r>
    </w:p>
    <w:p w14:paraId="2C95E966" w14:textId="77777777" w:rsidR="000834FD" w:rsidRPr="009118AB" w:rsidRDefault="000834FD" w:rsidP="0025380C">
      <w:pPr>
        <w:tabs>
          <w:tab w:val="left" w:pos="0"/>
        </w:tabs>
        <w:autoSpaceDE w:val="0"/>
        <w:autoSpaceDN w:val="0"/>
        <w:adjustRightInd w:val="0"/>
        <w:ind w:firstLine="709"/>
        <w:jc w:val="both"/>
        <w:rPr>
          <w:iCs/>
        </w:rPr>
      </w:pPr>
    </w:p>
    <w:p w14:paraId="0E27B04B" w14:textId="71CCD8DE" w:rsidR="000834FD" w:rsidRPr="009118AB" w:rsidRDefault="000834FD" w:rsidP="0025380C">
      <w:pPr>
        <w:tabs>
          <w:tab w:val="left" w:pos="0"/>
        </w:tabs>
        <w:autoSpaceDE w:val="0"/>
        <w:autoSpaceDN w:val="0"/>
        <w:adjustRightInd w:val="0"/>
        <w:ind w:firstLine="709"/>
        <w:jc w:val="both"/>
        <w:rPr>
          <w:iCs/>
        </w:rPr>
      </w:pPr>
      <w:r w:rsidRPr="009118AB">
        <w:rPr>
          <w:iCs/>
        </w:rPr>
        <w:t>4. die Steuerermäßigung nach der in Artikel 145</w:t>
      </w:r>
      <w:r w:rsidRPr="009118AB">
        <w:rPr>
          <w:iCs/>
          <w:vertAlign w:val="superscript"/>
        </w:rPr>
        <w:t>1</w:t>
      </w:r>
      <w:r w:rsidRPr="009118AB">
        <w:rPr>
          <w:iCs/>
        </w:rPr>
        <w:t xml:space="preserve"> </w:t>
      </w:r>
      <w:r w:rsidR="00D67EB8" w:rsidRPr="009118AB">
        <w:rPr>
          <w:iCs/>
        </w:rPr>
        <w:t>Nr. </w:t>
      </w:r>
      <w:r w:rsidRPr="009118AB">
        <w:rPr>
          <w:iCs/>
        </w:rPr>
        <w:t>1 erwähnten Steuerermäßigung gemäß Artikel 178/1 angerechnet wird,</w:t>
      </w:r>
    </w:p>
    <w:p w14:paraId="23A2F69A" w14:textId="77777777" w:rsidR="000834FD" w:rsidRPr="009118AB" w:rsidRDefault="000834FD" w:rsidP="0025380C">
      <w:pPr>
        <w:tabs>
          <w:tab w:val="left" w:pos="0"/>
        </w:tabs>
        <w:autoSpaceDE w:val="0"/>
        <w:autoSpaceDN w:val="0"/>
        <w:adjustRightInd w:val="0"/>
        <w:ind w:firstLine="709"/>
        <w:jc w:val="both"/>
        <w:rPr>
          <w:iCs/>
        </w:rPr>
      </w:pPr>
    </w:p>
    <w:p w14:paraId="3DDB451E" w14:textId="1705A180" w:rsidR="000834FD" w:rsidRPr="009118AB" w:rsidRDefault="000834FD" w:rsidP="0025380C">
      <w:pPr>
        <w:tabs>
          <w:tab w:val="left" w:pos="0"/>
        </w:tabs>
        <w:autoSpaceDE w:val="0"/>
        <w:autoSpaceDN w:val="0"/>
        <w:adjustRightInd w:val="0"/>
        <w:ind w:firstLine="709"/>
        <w:jc w:val="both"/>
        <w:rPr>
          <w:iCs/>
        </w:rPr>
      </w:pPr>
      <w:r w:rsidRPr="009118AB">
        <w:rPr>
          <w:iCs/>
        </w:rPr>
        <w:t xml:space="preserve">5. zur Bestimmung der in Artikel 171 </w:t>
      </w:r>
      <w:r w:rsidR="00D67EB8" w:rsidRPr="009118AB">
        <w:rPr>
          <w:iCs/>
        </w:rPr>
        <w:t>Nr. </w:t>
      </w:r>
      <w:r w:rsidRPr="009118AB">
        <w:rPr>
          <w:iCs/>
        </w:rPr>
        <w:t>5 und 6 erwähnten Durchschnittssteuersätze die Steuerermäßigung berücksichtigt wird.</w:t>
      </w:r>
    </w:p>
    <w:p w14:paraId="1FF75B34" w14:textId="77777777" w:rsidR="000834FD" w:rsidRPr="009118AB" w:rsidRDefault="000834FD" w:rsidP="0025380C">
      <w:pPr>
        <w:tabs>
          <w:tab w:val="left" w:pos="0"/>
        </w:tabs>
        <w:autoSpaceDE w:val="0"/>
        <w:autoSpaceDN w:val="0"/>
        <w:adjustRightInd w:val="0"/>
        <w:ind w:firstLine="709"/>
        <w:jc w:val="both"/>
        <w:rPr>
          <w:iCs/>
        </w:rPr>
      </w:pPr>
    </w:p>
    <w:p w14:paraId="6F72A26B" w14:textId="0AAF176B" w:rsidR="000834FD" w:rsidRPr="009118AB" w:rsidRDefault="000834FD" w:rsidP="0025380C">
      <w:pPr>
        <w:tabs>
          <w:tab w:val="left" w:pos="0"/>
        </w:tabs>
        <w:autoSpaceDE w:val="0"/>
        <w:autoSpaceDN w:val="0"/>
        <w:adjustRightInd w:val="0"/>
        <w:ind w:firstLine="709"/>
        <w:jc w:val="both"/>
        <w:rPr>
          <w:iCs/>
        </w:rPr>
      </w:pPr>
      <w:r w:rsidRPr="009118AB">
        <w:rPr>
          <w:iCs/>
        </w:rPr>
        <w:t xml:space="preserve">In vorerwähntem Artikel 104 </w:t>
      </w:r>
      <w:r w:rsidR="00D67EB8" w:rsidRPr="009118AB">
        <w:rPr>
          <w:iCs/>
        </w:rPr>
        <w:t>Nr. </w:t>
      </w:r>
      <w:r w:rsidRPr="009118AB">
        <w:rPr>
          <w:iCs/>
        </w:rPr>
        <w:t>9 erwähnte Zinsen kommen für die Steuerermäßigung nicht in Betracht, wenn die Wohnung, für die die Hypothekenanleihe aufgenommen wurde, zum Zeitpunkt der Zahlung der Zinsen die eigene Wohnung des Steuerpflichtigen ist.</w:t>
      </w:r>
    </w:p>
    <w:p w14:paraId="1BCDDC7B" w14:textId="77777777" w:rsidR="000834FD" w:rsidRPr="009118AB" w:rsidRDefault="000834FD" w:rsidP="0025380C">
      <w:pPr>
        <w:tabs>
          <w:tab w:val="left" w:pos="0"/>
        </w:tabs>
        <w:autoSpaceDE w:val="0"/>
        <w:autoSpaceDN w:val="0"/>
        <w:adjustRightInd w:val="0"/>
        <w:ind w:firstLine="709"/>
        <w:jc w:val="both"/>
        <w:rPr>
          <w:iCs/>
        </w:rPr>
      </w:pPr>
    </w:p>
    <w:p w14:paraId="43902D08" w14:textId="77777777" w:rsidR="000834FD" w:rsidRPr="009118AB" w:rsidRDefault="000834FD" w:rsidP="0025380C">
      <w:pPr>
        <w:tabs>
          <w:tab w:val="left" w:pos="0"/>
        </w:tabs>
        <w:autoSpaceDE w:val="0"/>
        <w:autoSpaceDN w:val="0"/>
        <w:adjustRightInd w:val="0"/>
        <w:ind w:firstLine="709"/>
        <w:jc w:val="both"/>
        <w:rPr>
          <w:iCs/>
        </w:rPr>
      </w:pPr>
      <w:r w:rsidRPr="009118AB">
        <w:rPr>
          <w:iCs/>
        </w:rPr>
        <w:t>Für die Anwendung des vorerwähnten Artikels 115 wird der Begriff "in Belgien" durch den Begriff "in einem Mitgliedstaat des Europäischen Wirtschaftsraums" ersetzt.</w:t>
      </w:r>
      <w:r w:rsidR="00762E5B" w:rsidRPr="009118AB">
        <w:rPr>
          <w:iCs/>
        </w:rPr>
        <w:t>]</w:t>
      </w:r>
    </w:p>
    <w:p w14:paraId="0D1C574A" w14:textId="77777777" w:rsidR="008C0F0B" w:rsidRPr="009118AB" w:rsidRDefault="008C0F0B">
      <w:pPr>
        <w:rPr>
          <w:iCs/>
        </w:rPr>
      </w:pPr>
    </w:p>
    <w:p w14:paraId="134D5B06" w14:textId="2BE25E3F" w:rsidR="00762E5B" w:rsidRPr="009118AB" w:rsidRDefault="00D67EB8" w:rsidP="0025380C">
      <w:pPr>
        <w:tabs>
          <w:tab w:val="left" w:pos="0"/>
        </w:tabs>
        <w:autoSpaceDE w:val="0"/>
        <w:autoSpaceDN w:val="0"/>
        <w:adjustRightInd w:val="0"/>
        <w:ind w:firstLine="709"/>
        <w:jc w:val="both"/>
        <w:rPr>
          <w:iCs/>
        </w:rPr>
      </w:pPr>
      <w:r w:rsidRPr="009118AB">
        <w:rPr>
          <w:iCs/>
        </w:rPr>
        <w:t>§ </w:t>
      </w:r>
      <w:r w:rsidR="000834FD" w:rsidRPr="009118AB">
        <w:rPr>
          <w:iCs/>
        </w:rPr>
        <w:t>2</w:t>
      </w:r>
      <w:r w:rsidRPr="009118AB">
        <w:rPr>
          <w:iCs/>
        </w:rPr>
        <w:t> - </w:t>
      </w:r>
      <w:r w:rsidR="00762E5B" w:rsidRPr="009118AB">
        <w:rPr>
          <w:iCs/>
        </w:rPr>
        <w:t>[Vorliegender Paragraph ist anwendbar, wenn folgende Bedingungen erfüllt sind:</w:t>
      </w:r>
    </w:p>
    <w:p w14:paraId="19A99DF1" w14:textId="77777777" w:rsidR="00762E5B" w:rsidRPr="009118AB" w:rsidRDefault="00762E5B" w:rsidP="0025380C">
      <w:pPr>
        <w:tabs>
          <w:tab w:val="left" w:pos="0"/>
        </w:tabs>
        <w:autoSpaceDE w:val="0"/>
        <w:autoSpaceDN w:val="0"/>
        <w:adjustRightInd w:val="0"/>
        <w:ind w:firstLine="709"/>
        <w:jc w:val="both"/>
        <w:rPr>
          <w:iCs/>
        </w:rPr>
      </w:pPr>
    </w:p>
    <w:p w14:paraId="1B1CF933" w14:textId="77777777" w:rsidR="00762E5B" w:rsidRPr="009118AB" w:rsidRDefault="00762E5B" w:rsidP="0025380C">
      <w:pPr>
        <w:tabs>
          <w:tab w:val="left" w:pos="0"/>
        </w:tabs>
        <w:autoSpaceDE w:val="0"/>
        <w:autoSpaceDN w:val="0"/>
        <w:adjustRightInd w:val="0"/>
        <w:ind w:firstLine="709"/>
        <w:jc w:val="both"/>
        <w:rPr>
          <w:iCs/>
        </w:rPr>
      </w:pPr>
      <w:r w:rsidRPr="009118AB">
        <w:rPr>
          <w:iCs/>
        </w:rPr>
        <w:t>1. Der Steuerpflichtige hat für Bau, Erwerb oder Umbau seiner einzigen Wohnung eine oder mehrere Hypothekenanleihen aufgenommen:</w:t>
      </w:r>
    </w:p>
    <w:p w14:paraId="4190DA6A" w14:textId="77777777" w:rsidR="00762E5B" w:rsidRPr="009118AB" w:rsidRDefault="00762E5B" w:rsidP="0025380C">
      <w:pPr>
        <w:tabs>
          <w:tab w:val="left" w:pos="0"/>
        </w:tabs>
        <w:autoSpaceDE w:val="0"/>
        <w:autoSpaceDN w:val="0"/>
        <w:adjustRightInd w:val="0"/>
        <w:ind w:firstLine="709"/>
        <w:jc w:val="both"/>
        <w:rPr>
          <w:iCs/>
        </w:rPr>
      </w:pPr>
    </w:p>
    <w:p w14:paraId="6D17F9E2" w14:textId="77777777" w:rsidR="00762E5B" w:rsidRPr="009118AB" w:rsidRDefault="00762E5B" w:rsidP="0025380C">
      <w:pPr>
        <w:tabs>
          <w:tab w:val="left" w:pos="0"/>
        </w:tabs>
        <w:autoSpaceDE w:val="0"/>
        <w:autoSpaceDN w:val="0"/>
        <w:adjustRightInd w:val="0"/>
        <w:ind w:firstLine="709"/>
        <w:jc w:val="both"/>
        <w:rPr>
          <w:iCs/>
        </w:rPr>
      </w:pPr>
      <w:r w:rsidRPr="009118AB">
        <w:rPr>
          <w:i/>
          <w:iCs/>
        </w:rPr>
        <w:t>a)</w:t>
      </w:r>
      <w:r w:rsidRPr="009118AB">
        <w:rPr>
          <w:iCs/>
        </w:rPr>
        <w:t> vor dem 1. Januar 2005,</w:t>
      </w:r>
    </w:p>
    <w:p w14:paraId="4BDA4A16" w14:textId="77777777" w:rsidR="00762E5B" w:rsidRPr="009118AB" w:rsidRDefault="00762E5B" w:rsidP="0025380C">
      <w:pPr>
        <w:tabs>
          <w:tab w:val="left" w:pos="0"/>
        </w:tabs>
        <w:autoSpaceDE w:val="0"/>
        <w:autoSpaceDN w:val="0"/>
        <w:adjustRightInd w:val="0"/>
        <w:ind w:firstLine="709"/>
        <w:jc w:val="both"/>
        <w:rPr>
          <w:iCs/>
        </w:rPr>
      </w:pPr>
    </w:p>
    <w:p w14:paraId="105918EB" w14:textId="77777777" w:rsidR="00762E5B" w:rsidRPr="009118AB" w:rsidRDefault="00762E5B" w:rsidP="0025380C">
      <w:pPr>
        <w:tabs>
          <w:tab w:val="left" w:pos="0"/>
        </w:tabs>
        <w:autoSpaceDE w:val="0"/>
        <w:autoSpaceDN w:val="0"/>
        <w:adjustRightInd w:val="0"/>
        <w:ind w:firstLine="709"/>
        <w:jc w:val="both"/>
        <w:rPr>
          <w:iCs/>
        </w:rPr>
      </w:pPr>
      <w:r w:rsidRPr="009118AB">
        <w:rPr>
          <w:i/>
          <w:iCs/>
        </w:rPr>
        <w:t>b)</w:t>
      </w:r>
      <w:r w:rsidRPr="009118AB">
        <w:rPr>
          <w:iCs/>
        </w:rPr>
        <w:t> ab dem 1. Januar 2005 und spätestens am 31. Dezember 2013, wobei zu diesem Zeitpunkt für dieselbe Wohnung eine andere in Buchstabe </w:t>
      </w:r>
      <w:r w:rsidRPr="009118AB">
        <w:rPr>
          <w:i/>
          <w:iCs/>
        </w:rPr>
        <w:t>a)</w:t>
      </w:r>
      <w:r w:rsidRPr="009118AB">
        <w:rPr>
          <w:iCs/>
        </w:rPr>
        <w:t xml:space="preserve"> erwähnte Hypothekenanleihe besteht, die für den Abzug von Zinsen von Hypothekenanleihen oder für das Bausparen in Betracht kommt.</w:t>
      </w:r>
    </w:p>
    <w:p w14:paraId="451DAA91" w14:textId="77777777" w:rsidR="00762E5B" w:rsidRPr="009118AB" w:rsidRDefault="00762E5B" w:rsidP="0025380C">
      <w:pPr>
        <w:tabs>
          <w:tab w:val="left" w:pos="0"/>
        </w:tabs>
        <w:autoSpaceDE w:val="0"/>
        <w:autoSpaceDN w:val="0"/>
        <w:adjustRightInd w:val="0"/>
        <w:ind w:firstLine="709"/>
        <w:jc w:val="both"/>
        <w:rPr>
          <w:iCs/>
        </w:rPr>
      </w:pPr>
    </w:p>
    <w:p w14:paraId="1E254330" w14:textId="0B33C87F" w:rsidR="00762E5B" w:rsidRPr="009118AB" w:rsidRDefault="00762E5B" w:rsidP="0025380C">
      <w:pPr>
        <w:tabs>
          <w:tab w:val="left" w:pos="0"/>
        </w:tabs>
        <w:autoSpaceDE w:val="0"/>
        <w:autoSpaceDN w:val="0"/>
        <w:adjustRightInd w:val="0"/>
        <w:ind w:firstLine="709"/>
        <w:jc w:val="both"/>
        <w:rPr>
          <w:iCs/>
        </w:rPr>
      </w:pPr>
      <w:r w:rsidRPr="009118AB">
        <w:rPr>
          <w:iCs/>
        </w:rPr>
        <w:t xml:space="preserve">2. Die Wohnung, für die die in </w:t>
      </w:r>
      <w:r w:rsidR="00D67EB8" w:rsidRPr="009118AB">
        <w:rPr>
          <w:iCs/>
        </w:rPr>
        <w:t>Nr. </w:t>
      </w:r>
      <w:r w:rsidRPr="009118AB">
        <w:rPr>
          <w:iCs/>
        </w:rPr>
        <w:t>1 erwähnte Hypothekenanleihe aufgenommen wurde, war die eigene Wohnung des Steuerpflichtigen und ist vor dem 1. Januar 2016 eine andere Wohnung als die eigene Wohnung geworden.</w:t>
      </w:r>
    </w:p>
    <w:p w14:paraId="168F38FE" w14:textId="77777777" w:rsidR="00762E5B" w:rsidRPr="009118AB" w:rsidRDefault="00762E5B" w:rsidP="0025380C">
      <w:pPr>
        <w:tabs>
          <w:tab w:val="left" w:pos="0"/>
        </w:tabs>
        <w:autoSpaceDE w:val="0"/>
        <w:autoSpaceDN w:val="0"/>
        <w:adjustRightInd w:val="0"/>
        <w:ind w:firstLine="709"/>
        <w:jc w:val="both"/>
        <w:rPr>
          <w:iCs/>
        </w:rPr>
      </w:pPr>
    </w:p>
    <w:p w14:paraId="0F8A36BA" w14:textId="698F51C6" w:rsidR="00762E5B" w:rsidRPr="009118AB" w:rsidRDefault="00762E5B" w:rsidP="0025380C">
      <w:pPr>
        <w:tabs>
          <w:tab w:val="left" w:pos="0"/>
        </w:tabs>
        <w:autoSpaceDE w:val="0"/>
        <w:autoSpaceDN w:val="0"/>
        <w:adjustRightInd w:val="0"/>
        <w:ind w:firstLine="709"/>
        <w:jc w:val="both"/>
        <w:rPr>
          <w:iCs/>
        </w:rPr>
      </w:pPr>
      <w:r w:rsidRPr="009118AB">
        <w:rPr>
          <w:iCs/>
        </w:rPr>
        <w:t xml:space="preserve">3. Für den vorhergehenden Besteuerungszeitraum hat der Steuerpflichtige für die Zahlungen für die in </w:t>
      </w:r>
      <w:r w:rsidR="00D67EB8" w:rsidRPr="009118AB">
        <w:rPr>
          <w:iCs/>
        </w:rPr>
        <w:t>Nr. </w:t>
      </w:r>
      <w:r w:rsidRPr="009118AB">
        <w:rPr>
          <w:iCs/>
        </w:rPr>
        <w:t>1 erwähnten Hypothekenanleihen und für die Beiträge, die in Ausführung eines Lebensversicherungsvertrags gezahlt werden, der ausschließlich für die Wiederherstellung dieser oder als Sicherheit für diese Anleihen dient, die Anwendung der Artikel 145</w:t>
      </w:r>
      <w:r w:rsidRPr="009118AB">
        <w:rPr>
          <w:iCs/>
          <w:vertAlign w:val="superscript"/>
        </w:rPr>
        <w:t>17</w:t>
      </w:r>
      <w:r w:rsidRPr="009118AB">
        <w:rPr>
          <w:iCs/>
        </w:rPr>
        <w:t xml:space="preserve"> bis 145</w:t>
      </w:r>
      <w:r w:rsidRPr="009118AB">
        <w:rPr>
          <w:iCs/>
          <w:vertAlign w:val="superscript"/>
        </w:rPr>
        <w:t>20</w:t>
      </w:r>
      <w:r w:rsidRPr="009118AB">
        <w:rPr>
          <w:iCs/>
        </w:rPr>
        <w:t>, so wie sie vor ihrer Aufhebung durch Artikel 400 des Programmgesetzes vom 27. Dezember 2004 bestanden, beantragt.</w:t>
      </w:r>
    </w:p>
    <w:p w14:paraId="446237DD" w14:textId="77777777" w:rsidR="00762E5B" w:rsidRPr="009118AB" w:rsidRDefault="00762E5B" w:rsidP="0025380C">
      <w:pPr>
        <w:tabs>
          <w:tab w:val="left" w:pos="0"/>
        </w:tabs>
        <w:autoSpaceDE w:val="0"/>
        <w:autoSpaceDN w:val="0"/>
        <w:adjustRightInd w:val="0"/>
        <w:ind w:firstLine="709"/>
        <w:jc w:val="both"/>
        <w:rPr>
          <w:iCs/>
        </w:rPr>
      </w:pPr>
    </w:p>
    <w:p w14:paraId="0705FF44" w14:textId="6CBED26B" w:rsidR="000834FD" w:rsidRPr="009118AB" w:rsidRDefault="00762E5B" w:rsidP="0025380C">
      <w:pPr>
        <w:tabs>
          <w:tab w:val="left" w:pos="0"/>
        </w:tabs>
        <w:autoSpaceDE w:val="0"/>
        <w:autoSpaceDN w:val="0"/>
        <w:adjustRightInd w:val="0"/>
        <w:ind w:firstLine="709"/>
        <w:jc w:val="both"/>
        <w:rPr>
          <w:iCs/>
        </w:rPr>
      </w:pPr>
      <w:r w:rsidRPr="009118AB">
        <w:rPr>
          <w:iCs/>
        </w:rPr>
        <w:t xml:space="preserve">In diesem Fall kann der Steuerpflichtige für die Summen, die für Tilgung oder Wiederherstellung einer in Absatz 1 </w:t>
      </w:r>
      <w:r w:rsidR="00D67EB8" w:rsidRPr="009118AB">
        <w:rPr>
          <w:iCs/>
        </w:rPr>
        <w:t>Nr. </w:t>
      </w:r>
      <w:r w:rsidRPr="009118AB">
        <w:rPr>
          <w:iCs/>
        </w:rPr>
        <w:t>1 erwähnten Hypothekenanleihe gezahlt werden, oder für die Beiträge, die in Ausführung eines Versicherungsvertrags gezahlt werden, der ausschließlich für die Wiederherstellung dieser oder als Sicherheit für diese Anleihen dient, die Anwendung der Artikel 145</w:t>
      </w:r>
      <w:r w:rsidRPr="009118AB">
        <w:rPr>
          <w:iCs/>
          <w:vertAlign w:val="superscript"/>
        </w:rPr>
        <w:t>17</w:t>
      </w:r>
      <w:r w:rsidRPr="009118AB">
        <w:rPr>
          <w:iCs/>
        </w:rPr>
        <w:t xml:space="preserve"> bis 145</w:t>
      </w:r>
      <w:r w:rsidRPr="009118AB">
        <w:rPr>
          <w:iCs/>
          <w:vertAlign w:val="superscript"/>
        </w:rPr>
        <w:t>20</w:t>
      </w:r>
      <w:r w:rsidRPr="009118AB">
        <w:rPr>
          <w:iCs/>
        </w:rPr>
        <w:t>, so wie sie vor ihrer Aufhebung durch Artikel 400 des Programmgesetzes vom 27. Dezember 2004 bestanden, beantragen.</w:t>
      </w:r>
      <w:r w:rsidR="00334290" w:rsidRPr="009118AB">
        <w:rPr>
          <w:iCs/>
        </w:rPr>
        <w:t>]</w:t>
      </w:r>
    </w:p>
    <w:p w14:paraId="0C1E8F59" w14:textId="77777777" w:rsidR="000834FD" w:rsidRPr="009118AB" w:rsidRDefault="000834FD" w:rsidP="0025380C">
      <w:pPr>
        <w:tabs>
          <w:tab w:val="left" w:pos="0"/>
        </w:tabs>
        <w:autoSpaceDE w:val="0"/>
        <w:autoSpaceDN w:val="0"/>
        <w:adjustRightInd w:val="0"/>
        <w:ind w:firstLine="709"/>
        <w:jc w:val="both"/>
        <w:rPr>
          <w:iCs/>
        </w:rPr>
      </w:pPr>
    </w:p>
    <w:p w14:paraId="0B6E134A" w14:textId="3599F385" w:rsidR="00E37330" w:rsidRPr="009118AB" w:rsidRDefault="00E37330" w:rsidP="0025380C">
      <w:pPr>
        <w:tabs>
          <w:tab w:val="left" w:pos="0"/>
        </w:tabs>
        <w:autoSpaceDE w:val="0"/>
        <w:autoSpaceDN w:val="0"/>
        <w:adjustRightInd w:val="0"/>
        <w:ind w:firstLine="709"/>
        <w:jc w:val="both"/>
        <w:rPr>
          <w:iCs/>
        </w:rPr>
      </w:pPr>
      <w:r w:rsidRPr="009118AB">
        <w:rPr>
          <w:iCs/>
        </w:rPr>
        <w:t>[Für die Anwendung des vorerwähnten Artikels 145</w:t>
      </w:r>
      <w:r w:rsidRPr="009118AB">
        <w:rPr>
          <w:iCs/>
          <w:vertAlign w:val="superscript"/>
        </w:rPr>
        <w:t>17</w:t>
      </w:r>
      <w:r w:rsidRPr="009118AB">
        <w:rPr>
          <w:iCs/>
        </w:rPr>
        <w:t xml:space="preserve"> wird der Begriff "in Belgien" durch den Begriff "in einem Mitgliedstaat des Europäischen Wirtschaftsraums" ersetzt.</w:t>
      </w:r>
      <w:r w:rsidR="00F61DCF" w:rsidRPr="009118AB">
        <w:rPr>
          <w:iCs/>
        </w:rPr>
        <w:t>]</w:t>
      </w:r>
    </w:p>
    <w:p w14:paraId="18E6BC13" w14:textId="77777777" w:rsidR="00E37330" w:rsidRPr="009118AB" w:rsidRDefault="00E37330" w:rsidP="0025380C">
      <w:pPr>
        <w:tabs>
          <w:tab w:val="left" w:pos="0"/>
        </w:tabs>
        <w:autoSpaceDE w:val="0"/>
        <w:autoSpaceDN w:val="0"/>
        <w:adjustRightInd w:val="0"/>
        <w:ind w:firstLine="709"/>
        <w:jc w:val="both"/>
        <w:rPr>
          <w:iCs/>
        </w:rPr>
      </w:pPr>
    </w:p>
    <w:p w14:paraId="2ED7F6AB" w14:textId="35644AED" w:rsidR="00E37330" w:rsidRPr="009118AB" w:rsidRDefault="00862B9F" w:rsidP="0025380C">
      <w:pPr>
        <w:tabs>
          <w:tab w:val="left" w:pos="0"/>
        </w:tabs>
        <w:autoSpaceDE w:val="0"/>
        <w:autoSpaceDN w:val="0"/>
        <w:adjustRightInd w:val="0"/>
        <w:ind w:firstLine="709"/>
        <w:jc w:val="both"/>
        <w:rPr>
          <w:iCs/>
        </w:rPr>
      </w:pPr>
      <w:r w:rsidRPr="009118AB">
        <w:rPr>
          <w:iCs/>
        </w:rPr>
        <w:t>[</w:t>
      </w:r>
      <w:r w:rsidRPr="009118AB">
        <w:t>Absatz 2 ist ebenfalls auf Steuerpflichtige anwendbar, für die die Steuer gemäß Artikel 243/1 berechnet wird, wobei die Anwendung der vorerwähnten Artikel 145</w:t>
      </w:r>
      <w:r w:rsidRPr="009118AB">
        <w:rPr>
          <w:vertAlign w:val="superscript"/>
        </w:rPr>
        <w:t>17</w:t>
      </w:r>
      <w:r w:rsidRPr="009118AB">
        <w:t xml:space="preserve"> bis 145</w:t>
      </w:r>
      <w:r w:rsidRPr="009118AB">
        <w:rPr>
          <w:vertAlign w:val="superscript"/>
        </w:rPr>
        <w:t>20</w:t>
      </w:r>
      <w:r w:rsidRPr="009118AB">
        <w:t xml:space="preserve"> nur beantragt werden kann, wenn die Hypothekenanleihe den in Artikel 243/1 </w:t>
      </w:r>
      <w:r w:rsidR="00D67EB8" w:rsidRPr="009118AB">
        <w:t>Nr. </w:t>
      </w:r>
      <w:r w:rsidRPr="009118AB">
        <w:t>2 erwähnten Bedingungen entspricht.</w:t>
      </w:r>
      <w:r w:rsidRPr="009118AB">
        <w:rPr>
          <w:iCs/>
        </w:rPr>
        <w:t>]</w:t>
      </w:r>
    </w:p>
    <w:p w14:paraId="2E1EDA5C" w14:textId="77777777" w:rsidR="00BC3480" w:rsidRPr="009118AB" w:rsidRDefault="00BC3480">
      <w:pPr>
        <w:rPr>
          <w:iCs/>
        </w:rPr>
      </w:pPr>
    </w:p>
    <w:p w14:paraId="0F3EE4AB" w14:textId="77777777" w:rsidR="00862B9F" w:rsidRPr="009118AB" w:rsidRDefault="00862B9F">
      <w:pPr>
        <w:rPr>
          <w:iCs/>
        </w:rPr>
      </w:pPr>
      <w:r w:rsidRPr="009118AB">
        <w:rPr>
          <w:iCs/>
        </w:rPr>
        <w:br w:type="page"/>
      </w:r>
    </w:p>
    <w:p w14:paraId="70ABC5E6" w14:textId="76F22627" w:rsidR="000834FD" w:rsidRPr="009118AB" w:rsidRDefault="00D67EB8" w:rsidP="0025380C">
      <w:pPr>
        <w:tabs>
          <w:tab w:val="left" w:pos="0"/>
        </w:tabs>
        <w:autoSpaceDE w:val="0"/>
        <w:autoSpaceDN w:val="0"/>
        <w:adjustRightInd w:val="0"/>
        <w:ind w:firstLine="709"/>
        <w:jc w:val="both"/>
        <w:rPr>
          <w:iCs/>
        </w:rPr>
      </w:pPr>
      <w:r w:rsidRPr="009118AB">
        <w:rPr>
          <w:iCs/>
        </w:rPr>
        <w:t>§ </w:t>
      </w:r>
      <w:r w:rsidR="000834FD" w:rsidRPr="009118AB">
        <w:rPr>
          <w:iCs/>
        </w:rPr>
        <w:t>3</w:t>
      </w:r>
      <w:r w:rsidRPr="009118AB">
        <w:rPr>
          <w:iCs/>
        </w:rPr>
        <w:t> - </w:t>
      </w:r>
      <w:r w:rsidR="00334290" w:rsidRPr="009118AB">
        <w:rPr>
          <w:iCs/>
        </w:rPr>
        <w:t>[</w:t>
      </w:r>
      <w:r w:rsidR="000834FD" w:rsidRPr="009118AB">
        <w:rPr>
          <w:iCs/>
        </w:rPr>
        <w:t>Ausgaben in Bezug die in den vorhergehenden Paragraphen erwähnten Anleihen und Verträge werden weder für den in Artikel 14 erwähnten Abzug noch für die in Artikel 145</w:t>
      </w:r>
      <w:r w:rsidR="000834FD" w:rsidRPr="009118AB">
        <w:rPr>
          <w:iCs/>
          <w:vertAlign w:val="superscript"/>
        </w:rPr>
        <w:t>1</w:t>
      </w:r>
      <w:r w:rsidR="000834FD" w:rsidRPr="009118AB">
        <w:rPr>
          <w:iCs/>
        </w:rPr>
        <w:t xml:space="preserve"> </w:t>
      </w:r>
      <w:r w:rsidRPr="009118AB">
        <w:rPr>
          <w:iCs/>
        </w:rPr>
        <w:t>Nr. </w:t>
      </w:r>
      <w:r w:rsidR="000834FD" w:rsidRPr="009118AB">
        <w:rPr>
          <w:iCs/>
        </w:rPr>
        <w:t xml:space="preserve">2 und 3 und in </w:t>
      </w:r>
      <w:r w:rsidRPr="009118AB">
        <w:rPr>
          <w:iCs/>
        </w:rPr>
        <w:t>§ </w:t>
      </w:r>
      <w:r w:rsidR="000834FD" w:rsidRPr="009118AB">
        <w:rPr>
          <w:iCs/>
        </w:rPr>
        <w:t>1 erwähnten Steuerermäßigungen berücksichtigt, wenn:</w:t>
      </w:r>
    </w:p>
    <w:p w14:paraId="08D3F787" w14:textId="77777777" w:rsidR="000834FD" w:rsidRPr="009118AB" w:rsidRDefault="000834FD" w:rsidP="0025380C">
      <w:pPr>
        <w:tabs>
          <w:tab w:val="left" w:pos="0"/>
        </w:tabs>
        <w:autoSpaceDE w:val="0"/>
        <w:autoSpaceDN w:val="0"/>
        <w:adjustRightInd w:val="0"/>
        <w:ind w:firstLine="709"/>
        <w:jc w:val="both"/>
        <w:rPr>
          <w:iCs/>
        </w:rPr>
      </w:pPr>
    </w:p>
    <w:p w14:paraId="46CBA9F8" w14:textId="77777777" w:rsidR="00E37330" w:rsidRPr="009118AB" w:rsidRDefault="000834FD" w:rsidP="0025380C">
      <w:pPr>
        <w:tabs>
          <w:tab w:val="left" w:pos="0"/>
        </w:tabs>
        <w:autoSpaceDE w:val="0"/>
        <w:autoSpaceDN w:val="0"/>
        <w:adjustRightInd w:val="0"/>
        <w:ind w:firstLine="709"/>
        <w:jc w:val="both"/>
        <w:rPr>
          <w:iCs/>
        </w:rPr>
      </w:pPr>
      <w:r w:rsidRPr="009118AB">
        <w:rPr>
          <w:iCs/>
        </w:rPr>
        <w:t>1. </w:t>
      </w:r>
      <w:r w:rsidR="00E37330" w:rsidRPr="009118AB">
        <w:rPr>
          <w:iCs/>
        </w:rPr>
        <w:t>[der Steuerpflichtige:</w:t>
      </w:r>
    </w:p>
    <w:p w14:paraId="0E446437" w14:textId="77777777" w:rsidR="00E37330" w:rsidRPr="009118AB" w:rsidRDefault="00E37330" w:rsidP="0025380C">
      <w:pPr>
        <w:tabs>
          <w:tab w:val="left" w:pos="0"/>
        </w:tabs>
        <w:autoSpaceDE w:val="0"/>
        <w:autoSpaceDN w:val="0"/>
        <w:adjustRightInd w:val="0"/>
        <w:ind w:firstLine="709"/>
        <w:jc w:val="both"/>
        <w:rPr>
          <w:iCs/>
        </w:rPr>
      </w:pPr>
    </w:p>
    <w:p w14:paraId="70C552A4" w14:textId="36AD834D" w:rsidR="00E37330" w:rsidRPr="009118AB" w:rsidRDefault="00E37330" w:rsidP="0025380C">
      <w:pPr>
        <w:tabs>
          <w:tab w:val="left" w:pos="0"/>
        </w:tabs>
        <w:autoSpaceDE w:val="0"/>
        <w:autoSpaceDN w:val="0"/>
        <w:adjustRightInd w:val="0"/>
        <w:ind w:firstLine="709"/>
        <w:jc w:val="both"/>
        <w:rPr>
          <w:iCs/>
        </w:rPr>
      </w:pPr>
      <w:r w:rsidRPr="009118AB">
        <w:rPr>
          <w:i/>
          <w:iCs/>
        </w:rPr>
        <w:t>a)</w:t>
      </w:r>
      <w:r w:rsidRPr="009118AB">
        <w:rPr>
          <w:iCs/>
        </w:rPr>
        <w:t xml:space="preserve"> zwischen dem 1. Januar 2005 und dem 31. Dezember 2013 eine Hypothekenanleihe für Erwerb oder Erhaltung der einzigen Wohnung aufgenommen hat, wobei zu diesem Zeitpunkt für dieselbe Wohnung eine andere in </w:t>
      </w:r>
      <w:r w:rsidR="00D67EB8" w:rsidRPr="009118AB">
        <w:rPr>
          <w:iCs/>
        </w:rPr>
        <w:t>§ </w:t>
      </w:r>
      <w:r w:rsidRPr="009118AB">
        <w:rPr>
          <w:iCs/>
        </w:rPr>
        <w:t xml:space="preserve">1 Absatz 1 oder </w:t>
      </w:r>
      <w:r w:rsidR="00D67EB8" w:rsidRPr="009118AB">
        <w:rPr>
          <w:iCs/>
        </w:rPr>
        <w:t>§ </w:t>
      </w:r>
      <w:r w:rsidRPr="009118AB">
        <w:rPr>
          <w:iCs/>
        </w:rPr>
        <w:t xml:space="preserve">2 Absatz 1 </w:t>
      </w:r>
      <w:r w:rsidR="00D67EB8" w:rsidRPr="009118AB">
        <w:rPr>
          <w:iCs/>
        </w:rPr>
        <w:t>Nr. </w:t>
      </w:r>
      <w:r w:rsidRPr="009118AB">
        <w:rPr>
          <w:iCs/>
        </w:rPr>
        <w:t xml:space="preserve">1 erwähnte Anleihe bestand, die für den Abzug von Zinsen in Anwendung von Artikel 526 </w:t>
      </w:r>
      <w:r w:rsidR="00D67EB8" w:rsidRPr="009118AB">
        <w:rPr>
          <w:iCs/>
        </w:rPr>
        <w:t>§ </w:t>
      </w:r>
      <w:r w:rsidRPr="009118AB">
        <w:rPr>
          <w:iCs/>
        </w:rPr>
        <w:t>1, so wie er vor seiner Ersetzung durch Artikel 101 des Gesetzes vom 8. Mai 2014 bestand, für den Abzug von Zinsen von Hypothekenanleihen oder für das Bausparen in Betracht kam, oder</w:t>
      </w:r>
    </w:p>
    <w:p w14:paraId="5D00546A" w14:textId="77777777" w:rsidR="00E37330" w:rsidRPr="009118AB" w:rsidRDefault="00E37330" w:rsidP="0025380C">
      <w:pPr>
        <w:tabs>
          <w:tab w:val="left" w:pos="0"/>
        </w:tabs>
        <w:autoSpaceDE w:val="0"/>
        <w:autoSpaceDN w:val="0"/>
        <w:adjustRightInd w:val="0"/>
        <w:ind w:firstLine="709"/>
        <w:jc w:val="both"/>
        <w:rPr>
          <w:iCs/>
        </w:rPr>
      </w:pPr>
    </w:p>
    <w:p w14:paraId="70B343A4" w14:textId="77777777" w:rsidR="000834FD" w:rsidRPr="009118AB" w:rsidRDefault="00E37330" w:rsidP="0025380C">
      <w:pPr>
        <w:tabs>
          <w:tab w:val="left" w:pos="0"/>
        </w:tabs>
        <w:autoSpaceDE w:val="0"/>
        <w:autoSpaceDN w:val="0"/>
        <w:adjustRightInd w:val="0"/>
        <w:ind w:firstLine="709"/>
        <w:jc w:val="both"/>
        <w:rPr>
          <w:iCs/>
        </w:rPr>
      </w:pPr>
      <w:r w:rsidRPr="009118AB">
        <w:rPr>
          <w:i/>
          <w:iCs/>
        </w:rPr>
        <w:t>b)</w:t>
      </w:r>
      <w:r w:rsidRPr="009118AB">
        <w:rPr>
          <w:iCs/>
        </w:rPr>
        <w:t> einen individuellen Lebensversicherungsvertrag abgeschlossen hat, der ausschließ</w:t>
      </w:r>
      <w:r w:rsidRPr="009118AB">
        <w:rPr>
          <w:iCs/>
        </w:rPr>
        <w:softHyphen/>
        <w:t>lich für die Wiederherstellung einer oder als Sicherheit für eine in Buchstabe </w:t>
      </w:r>
      <w:r w:rsidRPr="009118AB">
        <w:rPr>
          <w:i/>
          <w:iCs/>
        </w:rPr>
        <w:t>a)</w:t>
      </w:r>
      <w:r w:rsidRPr="009118AB">
        <w:rPr>
          <w:iCs/>
        </w:rPr>
        <w:t xml:space="preserve"> erwähnte Anleihe dient,]</w:t>
      </w:r>
    </w:p>
    <w:p w14:paraId="2836E251" w14:textId="77777777" w:rsidR="000834FD" w:rsidRPr="009118AB" w:rsidRDefault="000834FD" w:rsidP="0025380C">
      <w:pPr>
        <w:tabs>
          <w:tab w:val="left" w:pos="0"/>
        </w:tabs>
        <w:autoSpaceDE w:val="0"/>
        <w:autoSpaceDN w:val="0"/>
        <w:adjustRightInd w:val="0"/>
        <w:ind w:firstLine="709"/>
        <w:jc w:val="both"/>
        <w:rPr>
          <w:iCs/>
        </w:rPr>
      </w:pPr>
    </w:p>
    <w:p w14:paraId="5C94FB17" w14:textId="702DB813" w:rsidR="000834FD" w:rsidRPr="009118AB" w:rsidRDefault="000834FD" w:rsidP="0025380C">
      <w:pPr>
        <w:tabs>
          <w:tab w:val="left" w:pos="0"/>
        </w:tabs>
        <w:autoSpaceDE w:val="0"/>
        <w:autoSpaceDN w:val="0"/>
        <w:adjustRightInd w:val="0"/>
        <w:ind w:firstLine="709"/>
        <w:jc w:val="both"/>
        <w:rPr>
          <w:iCs/>
        </w:rPr>
      </w:pPr>
      <w:r w:rsidRPr="009118AB">
        <w:rPr>
          <w:iCs/>
        </w:rPr>
        <w:t>2. und der Steuerpflichtige in seiner Erklärung in Bezug auf den Besteuerungs</w:t>
      </w:r>
      <w:r w:rsidRPr="009118AB">
        <w:rPr>
          <w:iCs/>
        </w:rPr>
        <w:softHyphen/>
        <w:t xml:space="preserve">zeitraum, </w:t>
      </w:r>
      <w:r w:rsidR="00E37330" w:rsidRPr="009118AB">
        <w:rPr>
          <w:iCs/>
        </w:rPr>
        <w:t xml:space="preserve">[in dem eine in </w:t>
      </w:r>
      <w:r w:rsidR="00D67EB8" w:rsidRPr="009118AB">
        <w:rPr>
          <w:iCs/>
        </w:rPr>
        <w:t>Nr. </w:t>
      </w:r>
      <w:r w:rsidR="00E37330" w:rsidRPr="009118AB">
        <w:rPr>
          <w:iCs/>
        </w:rPr>
        <w:t>1 Buchstabe </w:t>
      </w:r>
      <w:r w:rsidR="00E37330" w:rsidRPr="009118AB">
        <w:rPr>
          <w:i/>
          <w:iCs/>
        </w:rPr>
        <w:t>a)</w:t>
      </w:r>
      <w:r w:rsidR="00E37330" w:rsidRPr="009118AB">
        <w:rPr>
          <w:iCs/>
        </w:rPr>
        <w:t xml:space="preserve"> erwähnte Anleihe aufgenommen oder ein in </w:t>
      </w:r>
      <w:r w:rsidR="00D67EB8" w:rsidRPr="009118AB">
        <w:rPr>
          <w:iCs/>
        </w:rPr>
        <w:t>Nr. </w:t>
      </w:r>
      <w:r w:rsidR="00E37330" w:rsidRPr="009118AB">
        <w:rPr>
          <w:iCs/>
        </w:rPr>
        <w:t>1 Buchstabe </w:t>
      </w:r>
      <w:r w:rsidR="00E37330" w:rsidRPr="009118AB">
        <w:rPr>
          <w:i/>
          <w:iCs/>
        </w:rPr>
        <w:t>b)</w:t>
      </w:r>
      <w:r w:rsidR="00E37330" w:rsidRPr="009118AB">
        <w:rPr>
          <w:iCs/>
        </w:rPr>
        <w:t xml:space="preserve"> erwähnter Vertrag abgeschlossen wurde]</w:t>
      </w:r>
      <w:r w:rsidRPr="009118AB">
        <w:rPr>
          <w:iCs/>
        </w:rPr>
        <w:t xml:space="preserve">, angegeben hat, dass er für die Anwendung des Abzugs für die einzige Wohnung erwähnt in Artikel 104 </w:t>
      </w:r>
      <w:r w:rsidR="00D67EB8" w:rsidRPr="009118AB">
        <w:rPr>
          <w:iCs/>
        </w:rPr>
        <w:t>Nr. </w:t>
      </w:r>
      <w:r w:rsidRPr="009118AB">
        <w:rPr>
          <w:iCs/>
        </w:rPr>
        <w:t>9, so wie er vor seiner Aufhebung durch Artikel 20 des Gesetzes vom 8. Mai 2014 bestand, optiert.</w:t>
      </w:r>
    </w:p>
    <w:p w14:paraId="5A718E00" w14:textId="77777777" w:rsidR="000834FD" w:rsidRPr="009118AB" w:rsidRDefault="000834FD" w:rsidP="0025380C">
      <w:pPr>
        <w:tabs>
          <w:tab w:val="left" w:pos="0"/>
        </w:tabs>
        <w:autoSpaceDE w:val="0"/>
        <w:autoSpaceDN w:val="0"/>
        <w:adjustRightInd w:val="0"/>
        <w:ind w:firstLine="709"/>
        <w:jc w:val="both"/>
        <w:rPr>
          <w:iCs/>
        </w:rPr>
      </w:pPr>
    </w:p>
    <w:p w14:paraId="51617E60" w14:textId="77777777" w:rsidR="000834FD" w:rsidRPr="009118AB" w:rsidRDefault="000834FD" w:rsidP="0025380C">
      <w:pPr>
        <w:tabs>
          <w:tab w:val="left" w:pos="0"/>
        </w:tabs>
        <w:autoSpaceDE w:val="0"/>
        <w:autoSpaceDN w:val="0"/>
        <w:adjustRightInd w:val="0"/>
        <w:ind w:firstLine="709"/>
        <w:jc w:val="both"/>
        <w:rPr>
          <w:iCs/>
        </w:rPr>
      </w:pPr>
      <w:r w:rsidRPr="009118AB">
        <w:rPr>
          <w:iCs/>
        </w:rPr>
        <w:t>Diese Option ist definitiv, unwiderruflich und bindend für den Steuerpflichtigen.</w:t>
      </w:r>
    </w:p>
    <w:p w14:paraId="243A03B1" w14:textId="77777777" w:rsidR="000834FD" w:rsidRPr="009118AB" w:rsidRDefault="000834FD" w:rsidP="0025380C">
      <w:pPr>
        <w:tabs>
          <w:tab w:val="left" w:pos="0"/>
        </w:tabs>
        <w:autoSpaceDE w:val="0"/>
        <w:autoSpaceDN w:val="0"/>
        <w:adjustRightInd w:val="0"/>
        <w:ind w:firstLine="709"/>
        <w:jc w:val="both"/>
        <w:rPr>
          <w:iCs/>
        </w:rPr>
      </w:pPr>
    </w:p>
    <w:p w14:paraId="60AC5678" w14:textId="77777777" w:rsidR="000834FD" w:rsidRPr="009118AB" w:rsidRDefault="000834FD" w:rsidP="0025380C">
      <w:pPr>
        <w:tabs>
          <w:tab w:val="left" w:pos="0"/>
        </w:tabs>
        <w:autoSpaceDE w:val="0"/>
        <w:autoSpaceDN w:val="0"/>
        <w:adjustRightInd w:val="0"/>
        <w:ind w:firstLine="709"/>
        <w:jc w:val="both"/>
        <w:rPr>
          <w:iCs/>
        </w:rPr>
      </w:pPr>
      <w:r w:rsidRPr="009118AB">
        <w:rPr>
          <w:iCs/>
        </w:rPr>
        <w:t>Wird eine gemeinsame Veranlagung festgelegt, müssen beide Steuerpflichtige dieselbe Option treffen.]</w:t>
      </w:r>
    </w:p>
    <w:p w14:paraId="4E7E2A23" w14:textId="77777777" w:rsidR="000834FD" w:rsidRPr="009118AB" w:rsidRDefault="000834FD" w:rsidP="0025380C">
      <w:pPr>
        <w:tabs>
          <w:tab w:val="left" w:pos="0"/>
        </w:tabs>
        <w:autoSpaceDE w:val="0"/>
        <w:autoSpaceDN w:val="0"/>
        <w:adjustRightInd w:val="0"/>
        <w:ind w:firstLine="709"/>
        <w:jc w:val="both"/>
        <w:rPr>
          <w:iCs/>
        </w:rPr>
      </w:pPr>
    </w:p>
    <w:p w14:paraId="592353CF" w14:textId="4198D79A" w:rsidR="000834FD" w:rsidRPr="009118AB" w:rsidRDefault="00D67EB8" w:rsidP="0025380C">
      <w:pPr>
        <w:tabs>
          <w:tab w:val="left" w:pos="0"/>
        </w:tabs>
        <w:autoSpaceDE w:val="0"/>
        <w:autoSpaceDN w:val="0"/>
        <w:adjustRightInd w:val="0"/>
        <w:ind w:firstLine="709"/>
        <w:jc w:val="both"/>
        <w:rPr>
          <w:iCs/>
        </w:rPr>
      </w:pPr>
      <w:r w:rsidRPr="009118AB">
        <w:rPr>
          <w:iCs/>
        </w:rPr>
        <w:t>§ </w:t>
      </w:r>
      <w:r w:rsidR="000834FD" w:rsidRPr="009118AB">
        <w:rPr>
          <w:iCs/>
        </w:rPr>
        <w:t>4</w:t>
      </w:r>
      <w:r w:rsidRPr="009118AB">
        <w:rPr>
          <w:iCs/>
        </w:rPr>
        <w:t> - </w:t>
      </w:r>
      <w:r w:rsidR="000834FD" w:rsidRPr="009118AB">
        <w:rPr>
          <w:iCs/>
        </w:rPr>
        <w:t>Die auf Euro lautenden Beträge, die in den in den Paragraphen 1 und 2 erwähnten Artikeln erwähnt sind, werden je nach Fall jährlich und gleichzeitig [gemäß Artikel 178] an den Verbraucherpreisindex des Königreichs angepasst.]]</w:t>
      </w:r>
    </w:p>
    <w:p w14:paraId="3B5316E6" w14:textId="77777777" w:rsidR="000834FD" w:rsidRPr="009118AB" w:rsidRDefault="000834FD" w:rsidP="0025380C">
      <w:pPr>
        <w:tabs>
          <w:tab w:val="left" w:pos="0"/>
        </w:tabs>
        <w:autoSpaceDE w:val="0"/>
        <w:autoSpaceDN w:val="0"/>
        <w:adjustRightInd w:val="0"/>
        <w:ind w:firstLine="709"/>
        <w:jc w:val="both"/>
        <w:rPr>
          <w:iCs/>
        </w:rPr>
      </w:pPr>
    </w:p>
    <w:p w14:paraId="7DA24234" w14:textId="0EDF64A6" w:rsidR="000834FD" w:rsidRPr="009118AB" w:rsidRDefault="000834FD" w:rsidP="0025380C">
      <w:pPr>
        <w:tabs>
          <w:tab w:val="left" w:pos="0"/>
        </w:tabs>
        <w:autoSpaceDE w:val="0"/>
        <w:autoSpaceDN w:val="0"/>
        <w:adjustRightInd w:val="0"/>
        <w:ind w:firstLine="709"/>
        <w:jc w:val="both"/>
        <w:rPr>
          <w:iCs/>
        </w:rPr>
      </w:pPr>
      <w:r w:rsidRPr="009118AB">
        <w:rPr>
          <w:iCs/>
        </w:rPr>
        <w:t>[</w:t>
      </w:r>
      <w:r w:rsidR="00D67EB8" w:rsidRPr="009118AB">
        <w:rPr>
          <w:iCs/>
        </w:rPr>
        <w:t>§ </w:t>
      </w:r>
      <w:r w:rsidRPr="009118AB">
        <w:rPr>
          <w:iCs/>
        </w:rPr>
        <w:t>5</w:t>
      </w:r>
      <w:r w:rsidR="00D67EB8" w:rsidRPr="009118AB">
        <w:rPr>
          <w:iCs/>
        </w:rPr>
        <w:t> - </w:t>
      </w:r>
      <w:r w:rsidRPr="009118AB">
        <w:rPr>
          <w:iCs/>
        </w:rPr>
        <w:t xml:space="preserve">Für die Anwendung von </w:t>
      </w:r>
      <w:r w:rsidR="00D67EB8" w:rsidRPr="009118AB">
        <w:rPr>
          <w:iCs/>
        </w:rPr>
        <w:t>§ </w:t>
      </w:r>
      <w:r w:rsidRPr="009118AB">
        <w:rPr>
          <w:iCs/>
        </w:rPr>
        <w:t xml:space="preserve">2 Absatz 1 </w:t>
      </w:r>
      <w:r w:rsidR="00D67EB8" w:rsidRPr="009118AB">
        <w:rPr>
          <w:iCs/>
        </w:rPr>
        <w:t>Nr. </w:t>
      </w:r>
      <w:r w:rsidRPr="009118AB">
        <w:rPr>
          <w:iCs/>
        </w:rPr>
        <w:t>2 werden Beiträge und Prämien, die im Rahmen von Lebensversicherungsverträgen gezahlt werden, die vor dem 1. Januar 2009 abgeschlossen wurden und der Begünstigungsklausel erwähnt in Artikel 145</w:t>
      </w:r>
      <w:r w:rsidRPr="009118AB">
        <w:rPr>
          <w:iCs/>
          <w:vertAlign w:val="superscript"/>
        </w:rPr>
        <w:t>4</w:t>
      </w:r>
      <w:r w:rsidRPr="009118AB">
        <w:rPr>
          <w:iCs/>
        </w:rPr>
        <w:t>, so wie er durch Artikel 173 des Gesetzes vom 27. Dezember 2005 zur Festlegung verschiedener Bestimmun</w:t>
      </w:r>
      <w:r w:rsidRPr="009118AB">
        <w:rPr>
          <w:iCs/>
        </w:rPr>
        <w:softHyphen/>
        <w:t>gen und Artikel 114 des Gesetzes vom 22. Dezember 2008 zur Festlegung verschiedener Bestimmungen (I) abgeändert wurde, nicht entsprechen, in Abweichung von dieser Bestim</w:t>
      </w:r>
      <w:r w:rsidRPr="009118AB">
        <w:rPr>
          <w:iCs/>
        </w:rPr>
        <w:softHyphen/>
        <w:t>mung trotzdem für die dort erwähnte Steuerermäßigung berücksichtigt, sofern diese Verträge der Begünstigungsklausel, so wie sie in dem erwähnten Artikel bestand, bevor er durch vorer</w:t>
      </w:r>
      <w:r w:rsidRPr="009118AB">
        <w:rPr>
          <w:iCs/>
        </w:rPr>
        <w:softHyphen/>
        <w:t>wähnte Gesetze abgeändert wurde, entsprechen.]</w:t>
      </w:r>
    </w:p>
    <w:p w14:paraId="54D2BE20" w14:textId="77777777" w:rsidR="000834FD" w:rsidRPr="009118AB" w:rsidRDefault="000834FD" w:rsidP="000834FD">
      <w:pPr>
        <w:autoSpaceDE w:val="0"/>
        <w:autoSpaceDN w:val="0"/>
        <w:adjustRightInd w:val="0"/>
        <w:jc w:val="both"/>
        <w:rPr>
          <w:iCs/>
        </w:rPr>
      </w:pPr>
    </w:p>
    <w:p w14:paraId="33D4A792" w14:textId="7DFF0DBA" w:rsidR="000834FD" w:rsidRPr="009118AB" w:rsidRDefault="0025380C" w:rsidP="000834FD">
      <w:pPr>
        <w:autoSpaceDE w:val="0"/>
        <w:autoSpaceDN w:val="0"/>
        <w:adjustRightInd w:val="0"/>
        <w:jc w:val="both"/>
        <w:rPr>
          <w:i/>
          <w:iCs/>
          <w:spacing w:val="-2"/>
        </w:rPr>
      </w:pPr>
      <w:r w:rsidRPr="009118AB">
        <w:rPr>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526 eingefügt durch </w:t>
      </w:r>
      <w:r w:rsidR="00D67EB8" w:rsidRPr="009118AB">
        <w:rPr>
          <w:rFonts w:ascii="Times New Roman Italique" w:hAnsi="Times New Roman Italique"/>
          <w:i/>
          <w:iCs/>
          <w:spacing w:val="2"/>
        </w:rPr>
        <w:t>Art. </w:t>
      </w:r>
      <w:r w:rsidR="000834FD" w:rsidRPr="009118AB">
        <w:rPr>
          <w:rFonts w:ascii="Times New Roman Italique" w:hAnsi="Times New Roman Italique"/>
          <w:i/>
          <w:iCs/>
          <w:spacing w:val="2"/>
        </w:rPr>
        <w:t xml:space="preserve">411 des G. vom 27. Dezember 2004 (B.S. vom </w:t>
      </w:r>
      <w:r w:rsidR="000834FD" w:rsidRPr="009118AB">
        <w:rPr>
          <w:rFonts w:ascii="Times New Roman Italique" w:hAnsi="Times New Roman Italique"/>
          <w:i/>
          <w:iCs/>
        </w:rPr>
        <w:t>31. Dezember 2004)</w:t>
      </w:r>
      <w:r w:rsidR="00D67EB8" w:rsidRPr="009118AB">
        <w:rPr>
          <w:rFonts w:ascii="Times New Roman Italique" w:hAnsi="Times New Roman Italique"/>
          <w:i/>
          <w:iCs/>
        </w:rPr>
        <w:t> - </w:t>
      </w:r>
      <w:r w:rsidR="000834FD" w:rsidRPr="009118AB">
        <w:rPr>
          <w:rFonts w:ascii="Times New Roman Italique" w:hAnsi="Times New Roman Italique"/>
          <w:i/>
          <w:iCs/>
        </w:rPr>
        <w:t>in Kraft ab dem Steuerjah</w:t>
      </w:r>
      <w:r w:rsidRPr="009118AB">
        <w:rPr>
          <w:rFonts w:ascii="Times New Roman Italique" w:hAnsi="Times New Roman Italique"/>
          <w:i/>
          <w:iCs/>
        </w:rPr>
        <w:t>r 2006</w:t>
      </w:r>
      <w:r w:rsidR="00D67EB8" w:rsidRPr="009118AB">
        <w:rPr>
          <w:rFonts w:ascii="Times New Roman Italique" w:hAnsi="Times New Roman Italique"/>
          <w:i/>
          <w:iCs/>
        </w:rPr>
        <w:t> - </w:t>
      </w:r>
      <w:r w:rsidRPr="009118AB">
        <w:rPr>
          <w:rFonts w:ascii="Times New Roman Italique" w:hAnsi="Times New Roman Italique"/>
          <w:i/>
          <w:iCs/>
        </w:rPr>
        <w:t xml:space="preserve">und ersetzt durch </w:t>
      </w:r>
      <w:r w:rsidR="00D67EB8" w:rsidRPr="009118AB">
        <w:rPr>
          <w:rFonts w:ascii="Times New Roman Italique" w:hAnsi="Times New Roman Italique"/>
          <w:i/>
          <w:iCs/>
        </w:rPr>
        <w:t>Art. </w:t>
      </w:r>
      <w:r w:rsidR="000834FD" w:rsidRPr="009118AB">
        <w:rPr>
          <w:rFonts w:ascii="Times New Roman Italique" w:hAnsi="Times New Roman Italique"/>
          <w:i/>
          <w:iCs/>
        </w:rPr>
        <w:t>181 des G.</w:t>
      </w:r>
      <w:r w:rsidRPr="009118AB">
        <w:rPr>
          <w:rFonts w:ascii="Times New Roman Italique" w:hAnsi="Times New Roman Italique"/>
          <w:i/>
          <w:iCs/>
        </w:rPr>
        <w:t xml:space="preserve"> </w:t>
      </w:r>
      <w:r w:rsidR="000834FD" w:rsidRPr="009118AB">
        <w:rPr>
          <w:rFonts w:ascii="Times New Roman Italique" w:hAnsi="Times New Roman Italique"/>
          <w:i/>
          <w:iCs/>
        </w:rPr>
        <w:t>vom 27. Dezember 2005 (II) (B.S. vom 30. Dezember 2005)</w:t>
      </w:r>
      <w:r w:rsidR="00D67EB8" w:rsidRPr="009118AB">
        <w:rPr>
          <w:rFonts w:ascii="Times New Roman Italique" w:hAnsi="Times New Roman Italique"/>
          <w:i/>
          <w:iCs/>
        </w:rPr>
        <w:t> - </w:t>
      </w:r>
      <w:r w:rsidR="000834FD" w:rsidRPr="009118AB">
        <w:rPr>
          <w:rFonts w:ascii="Times New Roman Italique" w:hAnsi="Times New Roman Italique"/>
          <w:i/>
          <w:iCs/>
        </w:rPr>
        <w:t>in Kraft ab dem Steuerjahr 2006</w:t>
      </w:r>
      <w:r w:rsidR="003366D9" w:rsidRPr="009118AB">
        <w:rPr>
          <w:rFonts w:ascii="Times New Roman Italique" w:hAnsi="Times New Roman Italique"/>
          <w:i/>
          <w:iCs/>
        </w:rPr>
        <w:t> -;</w:t>
      </w:r>
      <w:r w:rsidR="000834FD" w:rsidRPr="009118AB">
        <w:rPr>
          <w:rFonts w:ascii="Times New Roman Italique" w:hAnsi="Times New Roman Italique"/>
          <w:i/>
          <w:iCs/>
        </w:rPr>
        <w:t xml:space="preserve"> </w:t>
      </w:r>
      <w:r w:rsidR="00D67EB8" w:rsidRPr="009118AB">
        <w:rPr>
          <w:rFonts w:ascii="Times New Roman Italique" w:hAnsi="Times New Roman Italique"/>
          <w:i/>
          <w:iCs/>
        </w:rPr>
        <w:t>§ </w:t>
      </w:r>
      <w:r w:rsidR="000834FD" w:rsidRPr="009118AB">
        <w:rPr>
          <w:rFonts w:ascii="Times New Roman Italique" w:hAnsi="Times New Roman Italique"/>
          <w:i/>
          <w:iCs/>
        </w:rPr>
        <w:t xml:space="preserve">1 ersetzt durch </w:t>
      </w:r>
      <w:r w:rsidR="00D67EB8" w:rsidRPr="009118AB">
        <w:rPr>
          <w:rFonts w:ascii="Times New Roman Italique" w:hAnsi="Times New Roman Italique"/>
          <w:i/>
          <w:iCs/>
        </w:rPr>
        <w:t>Art. </w:t>
      </w:r>
      <w:r w:rsidR="000834FD" w:rsidRPr="009118AB">
        <w:rPr>
          <w:rFonts w:ascii="Times New Roman Italique" w:hAnsi="Times New Roman Italique"/>
          <w:i/>
          <w:iCs/>
        </w:rPr>
        <w:t xml:space="preserve">101 </w:t>
      </w:r>
      <w:r w:rsidR="00D67EB8" w:rsidRPr="009118AB">
        <w:rPr>
          <w:rFonts w:ascii="Times New Roman Italique" w:hAnsi="Times New Roman Italique"/>
          <w:i/>
          <w:iCs/>
        </w:rPr>
        <w:t>Nr. </w:t>
      </w:r>
      <w:r w:rsidR="000834FD" w:rsidRPr="009118AB">
        <w:rPr>
          <w:rFonts w:ascii="Times New Roman Italique" w:hAnsi="Times New Roman Italique"/>
          <w:i/>
          <w:iCs/>
        </w:rPr>
        <w:t>1 des G. vom 8. Mai 2014 (B.S. vom 28. Mai 2014)</w:t>
      </w:r>
      <w:r w:rsidR="00D67EB8" w:rsidRPr="009118AB">
        <w:rPr>
          <w:rFonts w:ascii="Times New Roman Italique" w:hAnsi="Times New Roman Italique"/>
          <w:i/>
          <w:iCs/>
        </w:rPr>
        <w:t> - </w:t>
      </w:r>
      <w:r w:rsidR="000834FD" w:rsidRPr="009118AB">
        <w:rPr>
          <w:i/>
          <w:iCs/>
        </w:rPr>
        <w:t>anwendbar</w:t>
      </w:r>
      <w:r w:rsidR="000834FD" w:rsidRPr="009118AB">
        <w:rPr>
          <w:i/>
          <w:iCs/>
          <w:spacing w:val="2"/>
        </w:rPr>
        <w:t xml:space="preserve"> ab dem Steuerjahr 2015</w:t>
      </w:r>
      <w:r w:rsidR="003366D9" w:rsidRPr="009118AB">
        <w:rPr>
          <w:i/>
          <w:iCs/>
          <w:spacing w:val="2"/>
        </w:rPr>
        <w:t> -;</w:t>
      </w:r>
      <w:r w:rsidR="000834FD" w:rsidRPr="009118AB">
        <w:rPr>
          <w:i/>
          <w:iCs/>
          <w:spacing w:val="2"/>
        </w:rPr>
        <w:t xml:space="preserve"> </w:t>
      </w:r>
      <w:r w:rsidR="00D67EB8" w:rsidRPr="009118AB">
        <w:rPr>
          <w:i/>
          <w:iCs/>
          <w:spacing w:val="2"/>
        </w:rPr>
        <w:t>§ </w:t>
      </w:r>
      <w:r w:rsidR="00192A93" w:rsidRPr="009118AB">
        <w:rPr>
          <w:i/>
          <w:iCs/>
          <w:spacing w:val="2"/>
        </w:rPr>
        <w:t xml:space="preserve">1 </w:t>
      </w:r>
      <w:r w:rsidR="00D67EB8" w:rsidRPr="009118AB">
        <w:rPr>
          <w:i/>
          <w:iCs/>
          <w:spacing w:val="2"/>
        </w:rPr>
        <w:t>Abs. </w:t>
      </w:r>
      <w:r w:rsidR="00192A93" w:rsidRPr="009118AB">
        <w:rPr>
          <w:i/>
          <w:iCs/>
          <w:spacing w:val="2"/>
        </w:rPr>
        <w:t xml:space="preserve">1 ersetzt durch </w:t>
      </w:r>
      <w:r w:rsidR="00D67EB8" w:rsidRPr="009118AB">
        <w:rPr>
          <w:i/>
          <w:iCs/>
          <w:spacing w:val="2"/>
        </w:rPr>
        <w:t>Art. </w:t>
      </w:r>
      <w:r w:rsidR="00192A93" w:rsidRPr="009118AB">
        <w:rPr>
          <w:i/>
          <w:iCs/>
          <w:spacing w:val="2"/>
        </w:rPr>
        <w:t xml:space="preserve">102 </w:t>
      </w:r>
      <w:r w:rsidR="00D67EB8" w:rsidRPr="009118AB">
        <w:rPr>
          <w:i/>
          <w:iCs/>
          <w:spacing w:val="2"/>
        </w:rPr>
        <w:t>Nr. </w:t>
      </w:r>
      <w:r w:rsidR="00192A93" w:rsidRPr="009118AB">
        <w:rPr>
          <w:i/>
          <w:iCs/>
          <w:spacing w:val="2"/>
        </w:rPr>
        <w:t>1 des G. vom 8. Mai 2014 (B.S. vom 28. Mai 2014)</w:t>
      </w:r>
      <w:r w:rsidR="00D67EB8" w:rsidRPr="009118AB">
        <w:rPr>
          <w:i/>
          <w:iCs/>
          <w:spacing w:val="2"/>
        </w:rPr>
        <w:t> - </w:t>
      </w:r>
      <w:r w:rsidR="00192A93" w:rsidRPr="009118AB">
        <w:rPr>
          <w:i/>
          <w:iCs/>
          <w:spacing w:val="2"/>
        </w:rPr>
        <w:t>anwendbar ab dem Steuerjahr 2017</w:t>
      </w:r>
      <w:r w:rsidR="003366D9" w:rsidRPr="009118AB">
        <w:rPr>
          <w:i/>
          <w:iCs/>
          <w:spacing w:val="2"/>
        </w:rPr>
        <w:t> -;</w:t>
      </w:r>
      <w:r w:rsidR="00192A93" w:rsidRPr="009118AB">
        <w:rPr>
          <w:i/>
          <w:iCs/>
          <w:spacing w:val="2"/>
        </w:rPr>
        <w:t xml:space="preserve"> </w:t>
      </w:r>
      <w:r w:rsidR="00D67EB8" w:rsidRPr="009118AB">
        <w:rPr>
          <w:i/>
          <w:iCs/>
          <w:spacing w:val="2"/>
        </w:rPr>
        <w:t>§ </w:t>
      </w:r>
      <w:r w:rsidR="00762E5B" w:rsidRPr="009118AB">
        <w:rPr>
          <w:i/>
          <w:iCs/>
          <w:spacing w:val="2"/>
        </w:rPr>
        <w:t xml:space="preserve">2 </w:t>
      </w:r>
      <w:r w:rsidR="00D67EB8" w:rsidRPr="009118AB">
        <w:rPr>
          <w:i/>
          <w:iCs/>
          <w:spacing w:val="2"/>
        </w:rPr>
        <w:t>Abs. </w:t>
      </w:r>
      <w:r w:rsidR="00F707EF" w:rsidRPr="009118AB">
        <w:rPr>
          <w:i/>
          <w:iCs/>
          <w:spacing w:val="2"/>
        </w:rPr>
        <w:t xml:space="preserve">1 und 2 </w:t>
      </w:r>
      <w:r w:rsidR="00762E5B" w:rsidRPr="009118AB">
        <w:rPr>
          <w:i/>
          <w:iCs/>
          <w:spacing w:val="2"/>
        </w:rPr>
        <w:t xml:space="preserve">ersetzt durch </w:t>
      </w:r>
      <w:r w:rsidR="00D67EB8" w:rsidRPr="009118AB">
        <w:rPr>
          <w:i/>
          <w:iCs/>
          <w:spacing w:val="2"/>
        </w:rPr>
        <w:t>Art. </w:t>
      </w:r>
      <w:r w:rsidR="00762E5B" w:rsidRPr="009118AB">
        <w:rPr>
          <w:i/>
          <w:iCs/>
          <w:spacing w:val="2"/>
        </w:rPr>
        <w:t>10</w:t>
      </w:r>
      <w:r w:rsidR="00192A93" w:rsidRPr="009118AB">
        <w:rPr>
          <w:i/>
          <w:iCs/>
          <w:spacing w:val="2"/>
        </w:rPr>
        <w:t>2</w:t>
      </w:r>
      <w:r w:rsidR="00762E5B" w:rsidRPr="009118AB">
        <w:rPr>
          <w:i/>
          <w:iCs/>
          <w:spacing w:val="2"/>
        </w:rPr>
        <w:t xml:space="preserve"> </w:t>
      </w:r>
      <w:r w:rsidR="00D67EB8" w:rsidRPr="009118AB">
        <w:rPr>
          <w:i/>
          <w:iCs/>
          <w:spacing w:val="2"/>
        </w:rPr>
        <w:t>Nr. </w:t>
      </w:r>
      <w:r w:rsidR="00192A93" w:rsidRPr="009118AB">
        <w:rPr>
          <w:i/>
          <w:iCs/>
          <w:spacing w:val="2"/>
        </w:rPr>
        <w:t>2</w:t>
      </w:r>
      <w:r w:rsidR="00762E5B" w:rsidRPr="009118AB">
        <w:rPr>
          <w:i/>
          <w:iCs/>
          <w:spacing w:val="2"/>
        </w:rPr>
        <w:t xml:space="preserve"> des G. vom 8. Mai 2014 (B.S. vom 28. Mai 2014)</w:t>
      </w:r>
      <w:r w:rsidR="00D67EB8" w:rsidRPr="009118AB">
        <w:rPr>
          <w:i/>
          <w:iCs/>
          <w:spacing w:val="2"/>
        </w:rPr>
        <w:t> - </w:t>
      </w:r>
      <w:r w:rsidR="00762E5B" w:rsidRPr="009118AB">
        <w:rPr>
          <w:i/>
          <w:iCs/>
          <w:spacing w:val="2"/>
        </w:rPr>
        <w:t>anwendbar ab dem Steuerjahr 201</w:t>
      </w:r>
      <w:r w:rsidR="00192A93" w:rsidRPr="009118AB">
        <w:rPr>
          <w:i/>
          <w:iCs/>
          <w:spacing w:val="2"/>
        </w:rPr>
        <w:t>7</w:t>
      </w:r>
      <w:r w:rsidR="00FD68E8" w:rsidRPr="009118AB">
        <w:rPr>
          <w:i/>
          <w:iCs/>
          <w:spacing w:val="2"/>
        </w:rPr>
        <w:t> -,</w:t>
      </w:r>
      <w:r w:rsidR="00F707EF" w:rsidRPr="009118AB">
        <w:rPr>
          <w:i/>
          <w:iCs/>
          <w:spacing w:val="2"/>
        </w:rPr>
        <w:t xml:space="preserve"> selbst abgeändert durch </w:t>
      </w:r>
      <w:r w:rsidR="00D67EB8" w:rsidRPr="009118AB">
        <w:rPr>
          <w:i/>
          <w:iCs/>
          <w:spacing w:val="2"/>
        </w:rPr>
        <w:t>Art. </w:t>
      </w:r>
      <w:r w:rsidR="00F707EF" w:rsidRPr="009118AB">
        <w:rPr>
          <w:i/>
          <w:iCs/>
          <w:spacing w:val="2"/>
        </w:rPr>
        <w:t xml:space="preserve">65 </w:t>
      </w:r>
      <w:r w:rsidR="00D67EB8" w:rsidRPr="009118AB">
        <w:rPr>
          <w:i/>
          <w:iCs/>
          <w:spacing w:val="2"/>
        </w:rPr>
        <w:t>Nr. </w:t>
      </w:r>
      <w:r w:rsidR="00F707EF" w:rsidRPr="009118AB">
        <w:rPr>
          <w:i/>
          <w:iCs/>
          <w:spacing w:val="2"/>
        </w:rPr>
        <w:t xml:space="preserve">2 des G. vom 18. Dezember 2015 (II) </w:t>
      </w:r>
      <w:r w:rsidR="00F707EF" w:rsidRPr="009118AB">
        <w:rPr>
          <w:rFonts w:ascii="Times New Roman Italique" w:hAnsi="Times New Roman Italique"/>
          <w:i/>
          <w:iCs/>
          <w:spacing w:val="-2"/>
        </w:rPr>
        <w:t>(B.S. vom 28. Dezember 2015)</w:t>
      </w:r>
      <w:r w:rsidR="00552EAE"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552EAE"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552EAE" w:rsidRPr="009118AB">
        <w:rPr>
          <w:rFonts w:ascii="Times New Roman Italique" w:hAnsi="Times New Roman Italique"/>
          <w:i/>
          <w:iCs/>
          <w:spacing w:val="-2"/>
        </w:rPr>
        <w:t xml:space="preserve">3 eingefügt durch </w:t>
      </w:r>
      <w:r w:rsidR="00D67EB8" w:rsidRPr="009118AB">
        <w:rPr>
          <w:rFonts w:ascii="Times New Roman Italique" w:hAnsi="Times New Roman Italique"/>
          <w:i/>
          <w:iCs/>
          <w:spacing w:val="-2"/>
        </w:rPr>
        <w:t>Art. </w:t>
      </w:r>
      <w:r w:rsidR="00552EAE" w:rsidRPr="009118AB">
        <w:rPr>
          <w:rFonts w:ascii="Times New Roman Italique" w:hAnsi="Times New Roman Italique"/>
          <w:i/>
          <w:iCs/>
          <w:spacing w:val="-2"/>
        </w:rPr>
        <w:t xml:space="preserve">61 </w:t>
      </w:r>
      <w:r w:rsidR="00D67EB8" w:rsidRPr="009118AB">
        <w:rPr>
          <w:rFonts w:ascii="Times New Roman Italique" w:hAnsi="Times New Roman Italique"/>
          <w:i/>
          <w:iCs/>
          <w:spacing w:val="-2"/>
        </w:rPr>
        <w:t>Nr. </w:t>
      </w:r>
      <w:r w:rsidR="00552EAE" w:rsidRPr="009118AB">
        <w:rPr>
          <w:rFonts w:ascii="Times New Roman Italique" w:hAnsi="Times New Roman Italique"/>
          <w:i/>
          <w:iCs/>
          <w:spacing w:val="-2"/>
        </w:rPr>
        <w:t>1 des G. vom 18. Dezember 2015 (II) (B.S. vom 28. Dezember 2015)</w:t>
      </w:r>
      <w:r w:rsidR="00D67EB8" w:rsidRPr="009118AB">
        <w:rPr>
          <w:rFonts w:ascii="Times New Roman Italique" w:hAnsi="Times New Roman Italique"/>
          <w:i/>
          <w:iCs/>
          <w:spacing w:val="-2"/>
        </w:rPr>
        <w:t> - </w:t>
      </w:r>
      <w:r w:rsidR="00552EAE" w:rsidRPr="009118AB">
        <w:rPr>
          <w:rFonts w:ascii="Times New Roman Italique" w:hAnsi="Times New Roman Italique"/>
          <w:i/>
          <w:iCs/>
          <w:spacing w:val="-2"/>
        </w:rPr>
        <w:t>anwendbar ab dem Steuerjahr 2015</w:t>
      </w:r>
      <w:r w:rsidR="003366D9" w:rsidRPr="009118AB">
        <w:rPr>
          <w:rFonts w:ascii="Times New Roman Italique" w:hAnsi="Times New Roman Italique"/>
          <w:i/>
          <w:iCs/>
          <w:spacing w:val="-2"/>
        </w:rPr>
        <w:t> -;</w:t>
      </w:r>
      <w:r w:rsidR="00F61DCF"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F61DCF"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F61DCF" w:rsidRPr="009118AB">
        <w:rPr>
          <w:rFonts w:ascii="Times New Roman Italique" w:hAnsi="Times New Roman Italique"/>
          <w:i/>
          <w:iCs/>
          <w:spacing w:val="-2"/>
        </w:rPr>
        <w:t xml:space="preserve">4 eingefügt durch </w:t>
      </w:r>
      <w:r w:rsidR="00D67EB8" w:rsidRPr="009118AB">
        <w:rPr>
          <w:rFonts w:ascii="Times New Roman Italique" w:hAnsi="Times New Roman Italique"/>
          <w:i/>
          <w:iCs/>
          <w:spacing w:val="-2"/>
        </w:rPr>
        <w:t>Art. </w:t>
      </w:r>
      <w:r w:rsidR="00F61DCF" w:rsidRPr="009118AB">
        <w:rPr>
          <w:rFonts w:ascii="Times New Roman Italique" w:hAnsi="Times New Roman Italique"/>
          <w:i/>
          <w:iCs/>
          <w:spacing w:val="-2"/>
        </w:rPr>
        <w:t xml:space="preserve">61 </w:t>
      </w:r>
      <w:r w:rsidR="00D67EB8" w:rsidRPr="009118AB">
        <w:rPr>
          <w:rFonts w:ascii="Times New Roman Italique" w:hAnsi="Times New Roman Italique"/>
          <w:i/>
          <w:iCs/>
          <w:spacing w:val="-2"/>
        </w:rPr>
        <w:t>Nr. </w:t>
      </w:r>
      <w:r w:rsidR="00F61DCF" w:rsidRPr="009118AB">
        <w:rPr>
          <w:rFonts w:ascii="Times New Roman Italique" w:hAnsi="Times New Roman Italique"/>
          <w:i/>
          <w:iCs/>
          <w:spacing w:val="-2"/>
        </w:rPr>
        <w:t>1 des G. vom 18. Dezember 2015 (II) (B.S. vom 28. Dezember 2015)</w:t>
      </w:r>
      <w:r w:rsidR="00D67EB8" w:rsidRPr="009118AB">
        <w:rPr>
          <w:rFonts w:ascii="Times New Roman Italique" w:hAnsi="Times New Roman Italique"/>
          <w:i/>
          <w:iCs/>
          <w:spacing w:val="-2"/>
        </w:rPr>
        <w:t> - </w:t>
      </w:r>
      <w:r w:rsidR="00F61DCF" w:rsidRPr="009118AB">
        <w:rPr>
          <w:rFonts w:ascii="Times New Roman Italique" w:hAnsi="Times New Roman Italique"/>
          <w:i/>
          <w:iCs/>
          <w:spacing w:val="-2"/>
        </w:rPr>
        <w:t>anwendbar ab dem Steuerjahr 2015</w:t>
      </w:r>
      <w:r w:rsidR="00D67EB8" w:rsidRPr="009118AB">
        <w:rPr>
          <w:rFonts w:ascii="Times New Roman Italique" w:hAnsi="Times New Roman Italique"/>
          <w:i/>
          <w:iCs/>
          <w:spacing w:val="-2"/>
        </w:rPr>
        <w:t> - </w:t>
      </w:r>
      <w:r w:rsidR="00F61DCF" w:rsidRPr="009118AB">
        <w:rPr>
          <w:rFonts w:ascii="Times New Roman Italique" w:hAnsi="Times New Roman Italique"/>
          <w:i/>
          <w:iCs/>
          <w:spacing w:val="-2"/>
        </w:rPr>
        <w:t xml:space="preserve">und ersetzt durch </w:t>
      </w:r>
      <w:r w:rsidR="00D67EB8" w:rsidRPr="009118AB">
        <w:rPr>
          <w:rFonts w:ascii="Times New Roman Italique" w:hAnsi="Times New Roman Italique"/>
          <w:i/>
          <w:iCs/>
          <w:spacing w:val="-2"/>
        </w:rPr>
        <w:t>Art. </w:t>
      </w:r>
      <w:r w:rsidR="00F61DCF" w:rsidRPr="009118AB">
        <w:rPr>
          <w:rFonts w:ascii="Times New Roman Italique" w:hAnsi="Times New Roman Italique"/>
          <w:i/>
          <w:iCs/>
          <w:spacing w:val="-2"/>
        </w:rPr>
        <w:t>15</w:t>
      </w:r>
      <w:r w:rsidR="00F61DCF" w:rsidRPr="009118AB">
        <w:rPr>
          <w:i/>
          <w:spacing w:val="-2"/>
        </w:rPr>
        <w:t xml:space="preserve"> </w:t>
      </w:r>
      <w:r w:rsidR="00F61DCF" w:rsidRPr="009118AB">
        <w:rPr>
          <w:i/>
          <w:iCs/>
          <w:spacing w:val="2"/>
        </w:rPr>
        <w:t>des G. vom 2</w:t>
      </w:r>
      <w:r w:rsidR="00763FD2" w:rsidRPr="009118AB">
        <w:rPr>
          <w:i/>
          <w:iCs/>
          <w:spacing w:val="2"/>
        </w:rPr>
        <w:t>8</w:t>
      </w:r>
      <w:r w:rsidR="00F61DCF" w:rsidRPr="009118AB">
        <w:rPr>
          <w:i/>
          <w:iCs/>
          <w:spacing w:val="2"/>
        </w:rPr>
        <w:t xml:space="preserve">. April 2019 (B.S. vom </w:t>
      </w:r>
      <w:r w:rsidR="00763FD2" w:rsidRPr="009118AB">
        <w:rPr>
          <w:i/>
          <w:iCs/>
          <w:spacing w:val="2"/>
        </w:rPr>
        <w:t>6</w:t>
      </w:r>
      <w:r w:rsidR="00F61DCF" w:rsidRPr="009118AB">
        <w:rPr>
          <w:i/>
          <w:iCs/>
          <w:spacing w:val="2"/>
        </w:rPr>
        <w:t>. Mai 2019)</w:t>
      </w:r>
      <w:r w:rsidR="00D67EB8" w:rsidRPr="009118AB">
        <w:rPr>
          <w:i/>
          <w:iCs/>
          <w:spacing w:val="2"/>
        </w:rPr>
        <w:t> - </w:t>
      </w:r>
      <w:r w:rsidR="00F61DCF" w:rsidRPr="009118AB">
        <w:rPr>
          <w:i/>
          <w:iCs/>
          <w:spacing w:val="2"/>
        </w:rPr>
        <w:t>wirksam ab dem Steuerjahr 2018</w:t>
      </w:r>
      <w:r w:rsidR="003366D9" w:rsidRPr="009118AB">
        <w:rPr>
          <w:i/>
          <w:iCs/>
          <w:spacing w:val="2"/>
        </w:rPr>
        <w:t> -;</w:t>
      </w:r>
      <w:r w:rsidR="00762E5B"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762E5B" w:rsidRPr="009118AB">
        <w:rPr>
          <w:rFonts w:ascii="Times New Roman Italique" w:hAnsi="Times New Roman Italique"/>
          <w:i/>
          <w:iCs/>
          <w:spacing w:val="-2"/>
        </w:rPr>
        <w:t>3</w:t>
      </w:r>
      <w:r w:rsidR="00762E5B" w:rsidRPr="009118AB">
        <w:rPr>
          <w:i/>
          <w:iCs/>
          <w:spacing w:val="-2"/>
        </w:rPr>
        <w:t xml:space="preserve"> ersetzt durch </w:t>
      </w:r>
      <w:r w:rsidR="00D67EB8" w:rsidRPr="009118AB">
        <w:rPr>
          <w:i/>
          <w:iCs/>
          <w:spacing w:val="-2"/>
        </w:rPr>
        <w:t>Art. </w:t>
      </w:r>
      <w:r w:rsidR="00762E5B" w:rsidRPr="009118AB">
        <w:rPr>
          <w:i/>
          <w:iCs/>
          <w:spacing w:val="-2"/>
        </w:rPr>
        <w:t xml:space="preserve">101 </w:t>
      </w:r>
      <w:r w:rsidR="00D67EB8" w:rsidRPr="009118AB">
        <w:rPr>
          <w:i/>
          <w:iCs/>
          <w:spacing w:val="-2"/>
        </w:rPr>
        <w:t>Nr. </w:t>
      </w:r>
      <w:r w:rsidR="00762E5B" w:rsidRPr="009118AB">
        <w:rPr>
          <w:i/>
          <w:iCs/>
          <w:spacing w:val="-2"/>
        </w:rPr>
        <w:t>1 des G. vom 8. Mai 2014 (B.S. vom 28. Mai 2014)</w:t>
      </w:r>
      <w:r w:rsidR="00D67EB8" w:rsidRPr="009118AB">
        <w:rPr>
          <w:i/>
          <w:iCs/>
          <w:spacing w:val="-2"/>
        </w:rPr>
        <w:t> - </w:t>
      </w:r>
      <w:r w:rsidR="00762E5B" w:rsidRPr="009118AB">
        <w:rPr>
          <w:i/>
          <w:iCs/>
          <w:spacing w:val="-2"/>
        </w:rPr>
        <w:t>anwendbar ab dem Steuerjahr 2015</w:t>
      </w:r>
      <w:r w:rsidR="003366D9" w:rsidRPr="009118AB">
        <w:rPr>
          <w:i/>
          <w:iCs/>
          <w:spacing w:val="-2"/>
        </w:rPr>
        <w:t> -;</w:t>
      </w:r>
      <w:r w:rsidR="00762E5B" w:rsidRPr="009118AB">
        <w:rPr>
          <w:i/>
          <w:iCs/>
          <w:spacing w:val="-2"/>
        </w:rPr>
        <w:t xml:space="preserve"> </w:t>
      </w:r>
      <w:r w:rsidR="00D67EB8" w:rsidRPr="009118AB">
        <w:rPr>
          <w:i/>
          <w:iCs/>
          <w:spacing w:val="-2"/>
        </w:rPr>
        <w:t>§ </w:t>
      </w:r>
      <w:r w:rsidR="00552EAE" w:rsidRPr="009118AB">
        <w:rPr>
          <w:i/>
          <w:iCs/>
          <w:spacing w:val="-2"/>
        </w:rPr>
        <w:t xml:space="preserve">3 </w:t>
      </w:r>
      <w:r w:rsidR="00D67EB8" w:rsidRPr="009118AB">
        <w:rPr>
          <w:i/>
          <w:iCs/>
          <w:spacing w:val="-2"/>
        </w:rPr>
        <w:t>Abs. </w:t>
      </w:r>
      <w:r w:rsidR="00552EAE" w:rsidRPr="009118AB">
        <w:rPr>
          <w:i/>
          <w:iCs/>
          <w:spacing w:val="-2"/>
        </w:rPr>
        <w:t xml:space="preserve">1 </w:t>
      </w:r>
      <w:r w:rsidR="00D67EB8" w:rsidRPr="009118AB">
        <w:rPr>
          <w:i/>
          <w:iCs/>
          <w:spacing w:val="-2"/>
        </w:rPr>
        <w:t>Nr. </w:t>
      </w:r>
      <w:r w:rsidR="00552EAE" w:rsidRPr="009118AB">
        <w:rPr>
          <w:i/>
          <w:iCs/>
          <w:spacing w:val="-2"/>
        </w:rPr>
        <w:t xml:space="preserve">1 ersetzt durch </w:t>
      </w:r>
      <w:r w:rsidR="00D67EB8" w:rsidRPr="009118AB">
        <w:rPr>
          <w:i/>
          <w:iCs/>
          <w:spacing w:val="-2"/>
        </w:rPr>
        <w:t>Art. </w:t>
      </w:r>
      <w:r w:rsidR="00552EAE" w:rsidRPr="009118AB">
        <w:rPr>
          <w:i/>
          <w:iCs/>
          <w:spacing w:val="-2"/>
        </w:rPr>
        <w:t xml:space="preserve">61 </w:t>
      </w:r>
      <w:r w:rsidR="00D67EB8" w:rsidRPr="009118AB">
        <w:rPr>
          <w:rFonts w:ascii="Times New Roman Italique" w:hAnsi="Times New Roman Italique"/>
          <w:i/>
          <w:iCs/>
          <w:spacing w:val="-2"/>
        </w:rPr>
        <w:t>Nr. </w:t>
      </w:r>
      <w:r w:rsidR="00552EAE" w:rsidRPr="009118AB">
        <w:rPr>
          <w:rFonts w:ascii="Times New Roman Italique" w:hAnsi="Times New Roman Italique"/>
          <w:i/>
          <w:iCs/>
          <w:spacing w:val="-2"/>
        </w:rPr>
        <w:t>2 des G. vom 18. Dezember 2015 (II) (B.S. vom 28. Dezember 2015)</w:t>
      </w:r>
      <w:r w:rsidR="00D67EB8" w:rsidRPr="009118AB">
        <w:rPr>
          <w:rFonts w:ascii="Times New Roman Italique" w:hAnsi="Times New Roman Italique"/>
          <w:i/>
          <w:iCs/>
          <w:spacing w:val="-2"/>
        </w:rPr>
        <w:t> - </w:t>
      </w:r>
      <w:r w:rsidR="00552EAE" w:rsidRPr="009118AB">
        <w:rPr>
          <w:rFonts w:ascii="Times New Roman Italique" w:hAnsi="Times New Roman Italique"/>
          <w:i/>
          <w:iCs/>
          <w:spacing w:val="-2"/>
        </w:rPr>
        <w:t>anwendbar ab dem Steuerjahr 2015</w:t>
      </w:r>
      <w:r w:rsidR="003366D9" w:rsidRPr="009118AB">
        <w:rPr>
          <w:rFonts w:ascii="Times New Roman Italique" w:hAnsi="Times New Roman Italique"/>
          <w:i/>
          <w:iCs/>
          <w:spacing w:val="-2"/>
        </w:rPr>
        <w:t> -;</w:t>
      </w:r>
      <w:r w:rsidR="00552EAE"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552EAE" w:rsidRPr="009118AB">
        <w:rPr>
          <w:rFonts w:ascii="Times New Roman Italique" w:hAnsi="Times New Roman Italique"/>
          <w:i/>
          <w:iCs/>
          <w:spacing w:val="-2"/>
        </w:rPr>
        <w:t xml:space="preserve">3 </w:t>
      </w:r>
      <w:r w:rsidR="00D67EB8" w:rsidRPr="009118AB">
        <w:rPr>
          <w:rFonts w:ascii="Times New Roman Italique" w:hAnsi="Times New Roman Italique"/>
          <w:i/>
          <w:iCs/>
          <w:spacing w:val="-2"/>
        </w:rPr>
        <w:t>Abs. </w:t>
      </w:r>
      <w:r w:rsidR="00552EAE"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Nr. </w:t>
      </w:r>
      <w:r w:rsidR="00552EAE"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552EAE" w:rsidRPr="009118AB">
        <w:rPr>
          <w:rFonts w:ascii="Times New Roman Italique" w:hAnsi="Times New Roman Italique"/>
          <w:i/>
          <w:iCs/>
          <w:spacing w:val="-2"/>
        </w:rPr>
        <w:t xml:space="preserve">61 </w:t>
      </w:r>
      <w:r w:rsidR="00D67EB8" w:rsidRPr="009118AB">
        <w:rPr>
          <w:rFonts w:ascii="Times New Roman Italique" w:hAnsi="Times New Roman Italique"/>
          <w:i/>
          <w:iCs/>
          <w:spacing w:val="-2"/>
        </w:rPr>
        <w:t>Nr. </w:t>
      </w:r>
      <w:r w:rsidR="00552EAE" w:rsidRPr="009118AB">
        <w:rPr>
          <w:rFonts w:ascii="Times New Roman Italique" w:hAnsi="Times New Roman Italique"/>
          <w:i/>
          <w:iCs/>
          <w:spacing w:val="-2"/>
        </w:rPr>
        <w:t>3 des G. vom 18. Dezember 2015 (II) (B.S. vom</w:t>
      </w:r>
      <w:r w:rsidR="00552EAE" w:rsidRPr="009118AB">
        <w:rPr>
          <w:rFonts w:ascii="Times New Roman Italique" w:hAnsi="Times New Roman Italique"/>
          <w:i/>
          <w:iCs/>
          <w:spacing w:val="2"/>
        </w:rPr>
        <w:t xml:space="preserve"> </w:t>
      </w:r>
      <w:r w:rsidR="00552EAE" w:rsidRPr="009118AB">
        <w:rPr>
          <w:rFonts w:ascii="Times New Roman Italique" w:hAnsi="Times New Roman Italique"/>
          <w:i/>
          <w:iCs/>
          <w:spacing w:val="-2"/>
        </w:rPr>
        <w:t>28. Dezember 2015)</w:t>
      </w:r>
      <w:r w:rsidR="00D67EB8" w:rsidRPr="009118AB">
        <w:rPr>
          <w:rFonts w:ascii="Times New Roman Italique" w:hAnsi="Times New Roman Italique"/>
          <w:i/>
          <w:iCs/>
          <w:spacing w:val="-2"/>
        </w:rPr>
        <w:t> - </w:t>
      </w:r>
      <w:r w:rsidR="00552EAE" w:rsidRPr="009118AB">
        <w:rPr>
          <w:rFonts w:ascii="Times New Roman Italique" w:hAnsi="Times New Roman Italique"/>
          <w:i/>
          <w:iCs/>
          <w:spacing w:val="-2"/>
        </w:rPr>
        <w:t>anwendbar ab dem Steuerjahr 2015</w:t>
      </w:r>
      <w:r w:rsidR="003366D9" w:rsidRPr="009118AB">
        <w:rPr>
          <w:rFonts w:ascii="Times New Roman Italique" w:hAnsi="Times New Roman Italique"/>
          <w:i/>
          <w:iCs/>
          <w:spacing w:val="-2"/>
        </w:rPr>
        <w:t> -;</w:t>
      </w:r>
      <w:r w:rsidR="00552EAE"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0834FD" w:rsidRPr="009118AB">
        <w:rPr>
          <w:rFonts w:ascii="Times New Roman Italique" w:hAnsi="Times New Roman Italique"/>
          <w:i/>
          <w:iCs/>
          <w:spacing w:val="-2"/>
        </w:rPr>
        <w:t>4</w:t>
      </w:r>
      <w:r w:rsidR="000834FD" w:rsidRPr="009118AB">
        <w:rPr>
          <w:i/>
          <w:iCs/>
          <w:spacing w:val="-2"/>
        </w:rPr>
        <w:t xml:space="preserve"> abgeändert durch </w:t>
      </w:r>
      <w:r w:rsidR="00D67EB8" w:rsidRPr="009118AB">
        <w:rPr>
          <w:i/>
          <w:iCs/>
          <w:spacing w:val="-2"/>
        </w:rPr>
        <w:t>Art. </w:t>
      </w:r>
      <w:r w:rsidR="000834FD" w:rsidRPr="009118AB">
        <w:rPr>
          <w:i/>
          <w:iCs/>
          <w:spacing w:val="-2"/>
        </w:rPr>
        <w:t xml:space="preserve">101 </w:t>
      </w:r>
      <w:r w:rsidR="00D67EB8" w:rsidRPr="009118AB">
        <w:rPr>
          <w:i/>
          <w:iCs/>
          <w:spacing w:val="-2"/>
        </w:rPr>
        <w:t>Nr. </w:t>
      </w:r>
      <w:r w:rsidR="000834FD" w:rsidRPr="009118AB">
        <w:rPr>
          <w:i/>
          <w:iCs/>
          <w:spacing w:val="-2"/>
        </w:rPr>
        <w:t xml:space="preserve">2 des G. vom 8. Mai 2014 (B.S. vom </w:t>
      </w:r>
      <w:r w:rsidR="000834FD" w:rsidRPr="009118AB">
        <w:rPr>
          <w:rFonts w:ascii="Times New Roman Italique" w:hAnsi="Times New Roman Italique"/>
          <w:i/>
          <w:iCs/>
          <w:spacing w:val="-2"/>
        </w:rPr>
        <w:t>28. Mai 2014)</w:t>
      </w:r>
      <w:r w:rsidR="00D67EB8" w:rsidRPr="009118AB">
        <w:rPr>
          <w:rFonts w:ascii="Times New Roman Italique" w:hAnsi="Times New Roman Italique"/>
          <w:i/>
          <w:iCs/>
          <w:spacing w:val="-2"/>
        </w:rPr>
        <w:t> - </w:t>
      </w:r>
      <w:r w:rsidR="000834FD" w:rsidRPr="009118AB">
        <w:rPr>
          <w:rFonts w:ascii="Times New Roman Italique" w:hAnsi="Times New Roman Italique"/>
          <w:i/>
          <w:iCs/>
          <w:spacing w:val="-2"/>
        </w:rPr>
        <w:t>anwendbar ab dem Steuerjahr 2015</w:t>
      </w:r>
      <w:r w:rsidR="003366D9" w:rsidRPr="009118AB">
        <w:rPr>
          <w:rFonts w:ascii="Times New Roman Italique" w:hAnsi="Times New Roman Italique"/>
          <w:i/>
          <w:iCs/>
          <w:spacing w:val="-2"/>
        </w:rPr>
        <w:t> -;</w:t>
      </w:r>
      <w:r w:rsidR="000834FD"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0834FD" w:rsidRPr="009118AB">
        <w:rPr>
          <w:rFonts w:ascii="Times New Roman Italique" w:hAnsi="Times New Roman Italique"/>
          <w:i/>
          <w:iCs/>
          <w:spacing w:val="-2"/>
        </w:rPr>
        <w:t xml:space="preserve">5 eingefügt durch </w:t>
      </w:r>
      <w:r w:rsidR="00D67EB8" w:rsidRPr="009118AB">
        <w:rPr>
          <w:rFonts w:ascii="Times New Roman Italique" w:hAnsi="Times New Roman Italique"/>
          <w:i/>
          <w:iCs/>
          <w:spacing w:val="-2"/>
        </w:rPr>
        <w:t>Art. </w:t>
      </w:r>
      <w:r w:rsidR="000834FD" w:rsidRPr="009118AB">
        <w:rPr>
          <w:rFonts w:ascii="Times New Roman Italique" w:hAnsi="Times New Roman Italique"/>
          <w:i/>
          <w:iCs/>
          <w:spacing w:val="-2"/>
        </w:rPr>
        <w:t>116 des G. (I) vom 22. Dezember 2008 (II)</w:t>
      </w:r>
      <w:r w:rsidR="00B64F05" w:rsidRPr="009118AB">
        <w:rPr>
          <w:rFonts w:ascii="Times New Roman Italique" w:hAnsi="Times New Roman Italique"/>
          <w:i/>
          <w:iCs/>
          <w:spacing w:val="-2"/>
        </w:rPr>
        <w:t xml:space="preserve"> (B.S. vom 29. Dezember 2008)</w:t>
      </w:r>
      <w:r w:rsidR="00D67EB8" w:rsidRPr="009118AB">
        <w:rPr>
          <w:rFonts w:ascii="Times New Roman Italique" w:hAnsi="Times New Roman Italique"/>
          <w:i/>
          <w:iCs/>
          <w:spacing w:val="-2"/>
        </w:rPr>
        <w:t> - </w:t>
      </w:r>
      <w:r w:rsidR="000834FD" w:rsidRPr="009118AB">
        <w:rPr>
          <w:rFonts w:ascii="Times New Roman Italique" w:hAnsi="Times New Roman Italique"/>
          <w:i/>
          <w:iCs/>
          <w:spacing w:val="-2"/>
        </w:rPr>
        <w:t>in Kraft am 29. Dezember 2008</w:t>
      </w:r>
      <w:r w:rsidR="00FD68E8" w:rsidRPr="009118AB">
        <w:rPr>
          <w:rFonts w:ascii="Times New Roman Italique" w:hAnsi="Times New Roman Italique"/>
          <w:i/>
          <w:iCs/>
          <w:spacing w:val="-2"/>
        </w:rPr>
        <w:t> -]</w:t>
      </w:r>
    </w:p>
    <w:p w14:paraId="002D4CA2" w14:textId="77777777" w:rsidR="000834FD" w:rsidRPr="009118AB" w:rsidRDefault="000834FD" w:rsidP="003727BE">
      <w:pPr>
        <w:autoSpaceDE w:val="0"/>
        <w:autoSpaceDN w:val="0"/>
        <w:adjustRightInd w:val="0"/>
        <w:jc w:val="both"/>
        <w:rPr>
          <w:iCs/>
          <w:spacing w:val="2"/>
        </w:rPr>
      </w:pPr>
    </w:p>
    <w:p w14:paraId="64E185FE" w14:textId="77777777" w:rsidR="000834FD" w:rsidRPr="009118AB" w:rsidRDefault="000834FD" w:rsidP="003727BE">
      <w:pPr>
        <w:autoSpaceDE w:val="0"/>
        <w:autoSpaceDN w:val="0"/>
        <w:adjustRightInd w:val="0"/>
        <w:jc w:val="both"/>
        <w:rPr>
          <w:iCs/>
        </w:rPr>
      </w:pPr>
    </w:p>
    <w:p w14:paraId="3ADE4262" w14:textId="5F220544" w:rsidR="000F3B7F" w:rsidRPr="009118AB" w:rsidRDefault="000912C6" w:rsidP="00192A93">
      <w:pPr>
        <w:autoSpaceDE w:val="0"/>
        <w:autoSpaceDN w:val="0"/>
        <w:adjustRightInd w:val="0"/>
        <w:jc w:val="both"/>
        <w:rPr>
          <w:spacing w:val="-2"/>
        </w:rPr>
      </w:pPr>
      <w:r w:rsidRPr="009118AB">
        <w:rPr>
          <w:iCs/>
          <w:spacing w:val="-2"/>
        </w:rPr>
        <w:tab/>
      </w:r>
      <w:r w:rsidR="000F3B7F" w:rsidRPr="009118AB">
        <w:rPr>
          <w:iCs/>
          <w:spacing w:val="-2"/>
        </w:rPr>
        <w:t>[</w:t>
      </w:r>
      <w:r w:rsidR="00D67EB8" w:rsidRPr="009118AB">
        <w:rPr>
          <w:b/>
          <w:spacing w:val="-2"/>
        </w:rPr>
        <w:t>Art. </w:t>
      </w:r>
      <w:r w:rsidR="000F3B7F" w:rsidRPr="009118AB">
        <w:rPr>
          <w:b/>
          <w:spacing w:val="-2"/>
        </w:rPr>
        <w:t>526/1</w:t>
      </w:r>
      <w:r w:rsidR="00D67EB8" w:rsidRPr="009118AB">
        <w:rPr>
          <w:spacing w:val="-2"/>
        </w:rPr>
        <w:t> - </w:t>
      </w:r>
      <w:r w:rsidR="000F3B7F" w:rsidRPr="009118AB">
        <w:rPr>
          <w:spacing w:val="-2"/>
        </w:rPr>
        <w:t>Beiträge und Prämien, die in Ausführung von Lebensversicherungs</w:t>
      </w:r>
      <w:r w:rsidR="000F3B7F" w:rsidRPr="009118AB">
        <w:rPr>
          <w:spacing w:val="-2"/>
        </w:rPr>
        <w:softHyphen/>
        <w:t>verträgen gezahlt werden, die vor dem 1. Januar 2009 abgeschlossen wurden und für die Wiederherstellung einer oder als Sicherheit für eine Anleihe dienen, die zwecks Erwerb oder Erhalt eines unbeweglichen Gutes aufgenommen wurde, und der Begünstigungsklausel erwähnt in den Artikeln 145</w:t>
      </w:r>
      <w:r w:rsidR="000F3B7F" w:rsidRPr="009118AB">
        <w:rPr>
          <w:spacing w:val="-2"/>
          <w:vertAlign w:val="superscript"/>
        </w:rPr>
        <w:t>4</w:t>
      </w:r>
      <w:r w:rsidR="000F3B7F" w:rsidRPr="009118AB">
        <w:rPr>
          <w:spacing w:val="-2"/>
        </w:rPr>
        <w:t xml:space="preserve"> und 145</w:t>
      </w:r>
      <w:r w:rsidR="000F3B7F" w:rsidRPr="009118AB">
        <w:rPr>
          <w:spacing w:val="-2"/>
          <w:vertAlign w:val="superscript"/>
        </w:rPr>
        <w:t>9</w:t>
      </w:r>
      <w:r w:rsidR="000F3B7F" w:rsidRPr="009118AB">
        <w:rPr>
          <w:spacing w:val="-2"/>
        </w:rPr>
        <w:t>, so wie sie durch die Artikel 114 und 115 des Gesetzes vom 22. Dezember 2008 zur Festlegung verschiedener Bestimmungen (I) abgeändert wurden, nicht entsprechen, werden trotzdem für die dort erwähnte Steuerermäßigung berücksichtigt, sofern diese Verträge der Begünstigungsklausel, so wie sie in den erwähnten Artikeln bestand, bevor sie durch die Artikel 173 und 174 des Gesetzes vom 27. Dezember 2005 zur Festlegung verschiedener Bestimmungen und die Artikel 114 und 115 des Gesetzes vom 22. De</w:t>
      </w:r>
      <w:r w:rsidR="00FF6B75" w:rsidRPr="009118AB">
        <w:rPr>
          <w:spacing w:val="-2"/>
        </w:rPr>
        <w:softHyphen/>
      </w:r>
      <w:r w:rsidR="000F3B7F" w:rsidRPr="009118AB">
        <w:rPr>
          <w:spacing w:val="-2"/>
        </w:rPr>
        <w:t>zember 2008 zur Festlegung verschiedener Bestimmungen (I) abgeändert wurden, entsprechen.]</w:t>
      </w:r>
    </w:p>
    <w:p w14:paraId="7BA57B0C" w14:textId="77777777" w:rsidR="000F3B7F" w:rsidRPr="009118AB" w:rsidRDefault="000F3B7F" w:rsidP="003727BE">
      <w:pPr>
        <w:autoSpaceDE w:val="0"/>
        <w:autoSpaceDN w:val="0"/>
        <w:adjustRightInd w:val="0"/>
        <w:jc w:val="both"/>
      </w:pPr>
    </w:p>
    <w:p w14:paraId="166E6636" w14:textId="771A341F" w:rsidR="000F3B7F" w:rsidRPr="009118AB" w:rsidRDefault="000F3B7F" w:rsidP="003727BE">
      <w:pPr>
        <w:autoSpaceDE w:val="0"/>
        <w:autoSpaceDN w:val="0"/>
        <w:adjustRightInd w:val="0"/>
        <w:jc w:val="both"/>
        <w:rPr>
          <w:i/>
          <w:iCs/>
        </w:rPr>
      </w:pPr>
      <w:r w:rsidRPr="009118AB">
        <w:rPr>
          <w:i/>
        </w:rPr>
        <w:t>[</w:t>
      </w:r>
      <w:r w:rsidR="00D67EB8" w:rsidRPr="009118AB">
        <w:rPr>
          <w:i/>
        </w:rPr>
        <w:t>Art. </w:t>
      </w:r>
      <w:r w:rsidRPr="009118AB">
        <w:rPr>
          <w:i/>
        </w:rPr>
        <w:t xml:space="preserve">526/1 eingefügt durch </w:t>
      </w:r>
      <w:r w:rsidR="00D67EB8" w:rsidRPr="009118AB">
        <w:rPr>
          <w:i/>
        </w:rPr>
        <w:t>Art. </w:t>
      </w:r>
      <w:r w:rsidRPr="009118AB">
        <w:rPr>
          <w:i/>
        </w:rPr>
        <w:t>117</w:t>
      </w:r>
      <w:r w:rsidRPr="009118AB">
        <w:rPr>
          <w:i/>
          <w:iCs/>
        </w:rPr>
        <w:t xml:space="preserve"> des G. </w:t>
      </w:r>
      <w:r w:rsidR="006A44DB" w:rsidRPr="009118AB">
        <w:rPr>
          <w:i/>
          <w:iCs/>
        </w:rPr>
        <w:t xml:space="preserve">(I) </w:t>
      </w:r>
      <w:r w:rsidRPr="009118AB">
        <w:rPr>
          <w:i/>
          <w:iCs/>
        </w:rPr>
        <w:t>vom 22. Dezember 2008 (II) (B.S. vom 29. Dezember 2008)</w:t>
      </w:r>
      <w:r w:rsidR="00D67EB8" w:rsidRPr="009118AB">
        <w:rPr>
          <w:i/>
          <w:iCs/>
        </w:rPr>
        <w:t> - </w:t>
      </w:r>
      <w:r w:rsidR="00554E9F" w:rsidRPr="009118AB">
        <w:rPr>
          <w:i/>
          <w:iCs/>
        </w:rPr>
        <w:t>in Kraft</w:t>
      </w:r>
      <w:r w:rsidR="009F3829" w:rsidRPr="009118AB">
        <w:rPr>
          <w:i/>
          <w:iCs/>
        </w:rPr>
        <w:t xml:space="preserve"> a</w:t>
      </w:r>
      <w:r w:rsidRPr="009118AB">
        <w:rPr>
          <w:i/>
          <w:iCs/>
        </w:rPr>
        <w:t>m 29. Dezember 2008</w:t>
      </w:r>
      <w:r w:rsidR="00FD68E8" w:rsidRPr="009118AB">
        <w:rPr>
          <w:i/>
          <w:iCs/>
        </w:rPr>
        <w:t> -]</w:t>
      </w:r>
    </w:p>
    <w:p w14:paraId="2453D9FE" w14:textId="77777777" w:rsidR="009649BD" w:rsidRPr="009118AB" w:rsidRDefault="009649BD" w:rsidP="003727BE">
      <w:pPr>
        <w:autoSpaceDE w:val="0"/>
        <w:autoSpaceDN w:val="0"/>
        <w:adjustRightInd w:val="0"/>
        <w:jc w:val="both"/>
      </w:pPr>
    </w:p>
    <w:p w14:paraId="3FDEBDD7" w14:textId="77777777" w:rsidR="009649BD" w:rsidRPr="009118AB" w:rsidRDefault="009649BD" w:rsidP="003727BE">
      <w:pPr>
        <w:autoSpaceDE w:val="0"/>
        <w:autoSpaceDN w:val="0"/>
        <w:adjustRightInd w:val="0"/>
        <w:jc w:val="both"/>
      </w:pPr>
    </w:p>
    <w:p w14:paraId="5F25AF67" w14:textId="6E91A254"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527</w:t>
      </w:r>
      <w:r w:rsidR="00D67EB8" w:rsidRPr="009118AB">
        <w:t> - </w:t>
      </w:r>
      <w:r w:rsidRPr="009118AB">
        <w:t xml:space="preserve">Artikel 19 </w:t>
      </w:r>
      <w:r w:rsidR="00D67EB8" w:rsidRPr="009118AB">
        <w:t>§ </w:t>
      </w:r>
      <w:r w:rsidRPr="009118AB">
        <w:t xml:space="preserve">1 </w:t>
      </w:r>
      <w:r w:rsidR="00D67EB8" w:rsidRPr="009118AB">
        <w:t>Nr. </w:t>
      </w:r>
      <w:r w:rsidRPr="009118AB">
        <w:t>3 Buchstabe </w:t>
      </w:r>
      <w:r w:rsidRPr="009118AB">
        <w:rPr>
          <w:i/>
          <w:iCs/>
        </w:rPr>
        <w:t>a)</w:t>
      </w:r>
      <w:r w:rsidRPr="009118AB">
        <w:t xml:space="preserve">, so wie er vor seiner Abänderung durch Artikel 390 des Programmgesetzes vom 27. Dezember 2004 bestand, bleibt auf Einkünfte anwendbar, die in Kapitalien und Rückkaufswerten enthalten sind, die zu Lebzeiten für </w:t>
      </w:r>
      <w:r w:rsidR="000912C6" w:rsidRPr="009118AB">
        <w:t>[Lebensversicherungs</w:t>
      </w:r>
      <w:r w:rsidR="000912C6" w:rsidRPr="009118AB">
        <w:softHyphen/>
        <w:t xml:space="preserve">verträge ausgezahlt werden, die nicht in Artikel 104 </w:t>
      </w:r>
      <w:r w:rsidR="00D67EB8" w:rsidRPr="009118AB">
        <w:t>Nr. </w:t>
      </w:r>
      <w:r w:rsidR="000912C6" w:rsidRPr="009118AB">
        <w:t>9 erwähnt sind, so wie er vor seiner Aufhebung durch Artikel 20 des Gesetzes vom 8. Mai 2014 bestand]</w:t>
      </w:r>
      <w:r w:rsidRPr="009118AB">
        <w:t>, die der Steuerpflichtige individuell abgeschlossen hat, wenn es sich um Verträge handelt, die eine garantierte Leistung vorsehen und für die keine Prämie zu einer Steuerermäßigung für langfristiges Sparen gemäß den Artikeln 145</w:t>
      </w:r>
      <w:r w:rsidRPr="009118AB">
        <w:rPr>
          <w:vertAlign w:val="superscript"/>
        </w:rPr>
        <w:t>1</w:t>
      </w:r>
      <w:r w:rsidRPr="009118AB">
        <w:t>, 145</w:t>
      </w:r>
      <w:r w:rsidRPr="009118AB">
        <w:rPr>
          <w:vertAlign w:val="superscript"/>
        </w:rPr>
        <w:t>6</w:t>
      </w:r>
      <w:r w:rsidRPr="009118AB">
        <w:t xml:space="preserve"> und 145</w:t>
      </w:r>
      <w:r w:rsidRPr="009118AB">
        <w:rPr>
          <w:vertAlign w:val="superscript"/>
        </w:rPr>
        <w:t>17</w:t>
      </w:r>
      <w:r w:rsidRPr="009118AB">
        <w:t xml:space="preserve"> bis 145</w:t>
      </w:r>
      <w:r w:rsidRPr="009118AB">
        <w:rPr>
          <w:vertAlign w:val="superscript"/>
        </w:rPr>
        <w:t>20</w:t>
      </w:r>
      <w:r w:rsidRPr="009118AB">
        <w:t xml:space="preserve">, so wie sie vor ihrer Abänderung oder Aufhebung durch die Artikel 397, 399 und 400 des Programmgesetzes bestanden oder so wie sie aufgrund von </w:t>
      </w:r>
      <w:r w:rsidR="000E2459" w:rsidRPr="009118AB">
        <w:t>[</w:t>
      </w:r>
      <w:r w:rsidRPr="009118AB">
        <w:t xml:space="preserve">Artikel 526 </w:t>
      </w:r>
      <w:r w:rsidR="00D67EB8" w:rsidRPr="009118AB">
        <w:t>§ </w:t>
      </w:r>
      <w:r w:rsidR="000E2459" w:rsidRPr="009118AB">
        <w:t xml:space="preserve">2 </w:t>
      </w:r>
      <w:r w:rsidRPr="009118AB">
        <w:t>Absatz </w:t>
      </w:r>
      <w:r w:rsidR="000E2459" w:rsidRPr="009118AB">
        <w:t>2]</w:t>
      </w:r>
      <w:r w:rsidRPr="009118AB">
        <w:t xml:space="preserve"> anwendbar geblieben sind, geführt hat.</w:t>
      </w:r>
    </w:p>
    <w:p w14:paraId="43C6FB81" w14:textId="77777777" w:rsidR="00477B8F" w:rsidRPr="009118AB" w:rsidRDefault="00477B8F" w:rsidP="003727BE">
      <w:pPr>
        <w:autoSpaceDE w:val="0"/>
        <w:autoSpaceDN w:val="0"/>
        <w:adjustRightInd w:val="0"/>
        <w:jc w:val="both"/>
      </w:pPr>
    </w:p>
    <w:p w14:paraId="43AB4BB8" w14:textId="7F93AC70" w:rsidR="00477B8F" w:rsidRPr="009118AB" w:rsidRDefault="00477B8F" w:rsidP="003727BE">
      <w:pPr>
        <w:autoSpaceDE w:val="0"/>
        <w:autoSpaceDN w:val="0"/>
        <w:adjustRightInd w:val="0"/>
        <w:jc w:val="both"/>
      </w:pPr>
      <w:r w:rsidRPr="009118AB">
        <w:tab/>
        <w:t xml:space="preserve">Artikel 34 </w:t>
      </w:r>
      <w:r w:rsidR="00D67EB8" w:rsidRPr="009118AB">
        <w:t>§ </w:t>
      </w:r>
      <w:r w:rsidRPr="009118AB">
        <w:t xml:space="preserve">1 </w:t>
      </w:r>
      <w:r w:rsidR="00D67EB8" w:rsidRPr="009118AB">
        <w:t>Nr. </w:t>
      </w:r>
      <w:r w:rsidRPr="009118AB">
        <w:t>2 Buchstabe </w:t>
      </w:r>
      <w:r w:rsidRPr="009118AB">
        <w:rPr>
          <w:i/>
          <w:iCs/>
        </w:rPr>
        <w:t>d)</w:t>
      </w:r>
      <w:r w:rsidRPr="009118AB">
        <w:t>, so wie er vor seiner Abänderung durch Artikel 391 des Programmgesetzes vom 27. Dezember 2004 bestand, bleibt anwendbar, sofern die dort erwähnten Kapitalien, Rückkaufswerte von Lebensversicherungsverträgen, Pensionen, ergänzenden Pensionen und Renten ganz oder teilweise durch Beiträge erwähnt in Artikel 145</w:t>
      </w:r>
      <w:r w:rsidRPr="009118AB">
        <w:rPr>
          <w:vertAlign w:val="superscript"/>
        </w:rPr>
        <w:t>17</w:t>
      </w:r>
      <w:r w:rsidRPr="009118AB">
        <w:t xml:space="preserve"> </w:t>
      </w:r>
      <w:r w:rsidR="00D67EB8" w:rsidRPr="009118AB">
        <w:t>Nr. </w:t>
      </w:r>
      <w:r w:rsidRPr="009118AB">
        <w:t xml:space="preserve">1, so wie er vor seiner Aufhebung durch Artikel 400 des Programmgesetzes bestand oder so wie er aufgrund von </w:t>
      </w:r>
      <w:r w:rsidR="000E2459" w:rsidRPr="009118AB">
        <w:t xml:space="preserve">[Artikel 526 </w:t>
      </w:r>
      <w:r w:rsidR="00D67EB8" w:rsidRPr="009118AB">
        <w:t>§ </w:t>
      </w:r>
      <w:r w:rsidR="000E2459" w:rsidRPr="009118AB">
        <w:t xml:space="preserve">2 Absatz 2] </w:t>
      </w:r>
      <w:r w:rsidRPr="009118AB">
        <w:t>anwendbar geblieben ist, gebildet werden.</w:t>
      </w:r>
    </w:p>
    <w:p w14:paraId="1D84B31A" w14:textId="77777777" w:rsidR="00A80613" w:rsidRPr="009118AB" w:rsidRDefault="00A80613" w:rsidP="003727BE">
      <w:pPr>
        <w:autoSpaceDE w:val="0"/>
        <w:autoSpaceDN w:val="0"/>
        <w:adjustRightInd w:val="0"/>
        <w:jc w:val="both"/>
      </w:pPr>
    </w:p>
    <w:p w14:paraId="06D7BD72" w14:textId="02A380B6" w:rsidR="00477B8F" w:rsidRPr="009118AB" w:rsidRDefault="00477B8F" w:rsidP="003727BE">
      <w:pPr>
        <w:autoSpaceDE w:val="0"/>
        <w:autoSpaceDN w:val="0"/>
        <w:adjustRightInd w:val="0"/>
        <w:jc w:val="both"/>
        <w:rPr>
          <w:spacing w:val="2"/>
        </w:rPr>
      </w:pPr>
      <w:r w:rsidRPr="009118AB">
        <w:rPr>
          <w:spacing w:val="2"/>
        </w:rPr>
        <w:tab/>
        <w:t xml:space="preserve">Artikel 39 </w:t>
      </w:r>
      <w:r w:rsidR="00D67EB8" w:rsidRPr="009118AB">
        <w:rPr>
          <w:spacing w:val="2"/>
        </w:rPr>
        <w:t>§ </w:t>
      </w:r>
      <w:r w:rsidRPr="009118AB">
        <w:rPr>
          <w:spacing w:val="2"/>
        </w:rPr>
        <w:t xml:space="preserve">2 </w:t>
      </w:r>
      <w:r w:rsidR="00D67EB8" w:rsidRPr="009118AB">
        <w:rPr>
          <w:spacing w:val="2"/>
        </w:rPr>
        <w:t>Nr. </w:t>
      </w:r>
      <w:r w:rsidRPr="009118AB">
        <w:rPr>
          <w:spacing w:val="2"/>
        </w:rPr>
        <w:t>2 Buchstabe </w:t>
      </w:r>
      <w:r w:rsidRPr="009118AB">
        <w:rPr>
          <w:i/>
          <w:iCs/>
          <w:spacing w:val="2"/>
        </w:rPr>
        <w:t>a)</w:t>
      </w:r>
      <w:r w:rsidRPr="009118AB">
        <w:rPr>
          <w:spacing w:val="2"/>
        </w:rPr>
        <w:t xml:space="preserve">, so wie er vor seiner Abänderung durch Artikel 392 des Programmgesetzes vom 27. Dezember 2004 bestand, bleibt auf Pensionen, ergänzende Pensionen, Renten, Kapitalien, Sparguthaben und Rückkaufswerte anwendbar, sofern sie aus </w:t>
      </w:r>
      <w:r w:rsidR="000912C6" w:rsidRPr="009118AB">
        <w:rPr>
          <w:spacing w:val="2"/>
        </w:rPr>
        <w:t xml:space="preserve">[einem individuellen Lebensversicherungsvertrag hervorgehen, der nicht in Artikel 104 </w:t>
      </w:r>
      <w:r w:rsidR="00D67EB8" w:rsidRPr="009118AB">
        <w:rPr>
          <w:spacing w:val="2"/>
        </w:rPr>
        <w:t>Nr. </w:t>
      </w:r>
      <w:r w:rsidR="000912C6" w:rsidRPr="009118AB">
        <w:rPr>
          <w:spacing w:val="2"/>
        </w:rPr>
        <w:t>9 erwähnt ist, so wie er vor seiner Aufhebung durch Artikel 20 des Gesetzes vom 8. Mai 2014 bestand]</w:t>
      </w:r>
      <w:r w:rsidRPr="009118AB">
        <w:rPr>
          <w:spacing w:val="2"/>
        </w:rPr>
        <w:t>, der zugunsten des Steuerpflichtigen oder der Person, deren Rechtsnachfolger er ist, abgeschlossen wurde, und für die die Ermäßigung erwähnt in Artikel 145</w:t>
      </w:r>
      <w:r w:rsidRPr="009118AB">
        <w:rPr>
          <w:spacing w:val="2"/>
          <w:vertAlign w:val="superscript"/>
        </w:rPr>
        <w:t>17</w:t>
      </w:r>
      <w:r w:rsidRPr="009118AB">
        <w:rPr>
          <w:spacing w:val="2"/>
        </w:rPr>
        <w:t xml:space="preserve"> </w:t>
      </w:r>
      <w:r w:rsidR="00D67EB8" w:rsidRPr="009118AB">
        <w:rPr>
          <w:spacing w:val="2"/>
        </w:rPr>
        <w:t>Nr. </w:t>
      </w:r>
      <w:r w:rsidRPr="009118AB">
        <w:rPr>
          <w:spacing w:val="2"/>
        </w:rPr>
        <w:t xml:space="preserve">1, so wie er vor seiner Aufhebung durch Artikel 400 des Programmgesetzes bestand oder so wie er aufgrund von </w:t>
      </w:r>
      <w:r w:rsidR="000E2459" w:rsidRPr="009118AB">
        <w:rPr>
          <w:spacing w:val="2"/>
        </w:rPr>
        <w:t xml:space="preserve">[Artikel 526 </w:t>
      </w:r>
      <w:r w:rsidR="00D67EB8" w:rsidRPr="009118AB">
        <w:rPr>
          <w:spacing w:val="2"/>
        </w:rPr>
        <w:t>§ </w:t>
      </w:r>
      <w:r w:rsidR="000E2459" w:rsidRPr="009118AB">
        <w:rPr>
          <w:spacing w:val="2"/>
        </w:rPr>
        <w:t xml:space="preserve">2 Absatz 2] </w:t>
      </w:r>
      <w:r w:rsidRPr="009118AB">
        <w:rPr>
          <w:spacing w:val="2"/>
        </w:rPr>
        <w:t>anwendbar geblieben ist, nicht gewährt wurde.</w:t>
      </w:r>
    </w:p>
    <w:p w14:paraId="1D8B7F74" w14:textId="77777777" w:rsidR="00477B8F" w:rsidRPr="009118AB" w:rsidRDefault="00477B8F" w:rsidP="003727BE">
      <w:pPr>
        <w:autoSpaceDE w:val="0"/>
        <w:autoSpaceDN w:val="0"/>
        <w:adjustRightInd w:val="0"/>
        <w:jc w:val="both"/>
      </w:pPr>
    </w:p>
    <w:p w14:paraId="0BA55218" w14:textId="50B4B9FC" w:rsidR="00477B8F" w:rsidRPr="009118AB" w:rsidRDefault="00477B8F" w:rsidP="003727BE">
      <w:pPr>
        <w:autoSpaceDE w:val="0"/>
        <w:autoSpaceDN w:val="0"/>
        <w:adjustRightInd w:val="0"/>
        <w:jc w:val="both"/>
      </w:pPr>
      <w:r w:rsidRPr="009118AB">
        <w:tab/>
        <w:t xml:space="preserve">Artikel 169 </w:t>
      </w:r>
      <w:r w:rsidR="00D67EB8" w:rsidRPr="009118AB">
        <w:t>§ </w:t>
      </w:r>
      <w:r w:rsidRPr="009118AB">
        <w:t>1 Absatz 1, so wie er vor seiner Abänderung durch Artikel 401 des Programmgesetzes vom 27. Dezember 2004 bestand, bleibt anwendbar, sofern die dort erwähnten Kapitalien und Rückkaufswerte aufgrund von Lebensversicherungsverträgen im Sinne von Artikel 145</w:t>
      </w:r>
      <w:r w:rsidRPr="009118AB">
        <w:rPr>
          <w:vertAlign w:val="superscript"/>
        </w:rPr>
        <w:t>17</w:t>
      </w:r>
      <w:r w:rsidRPr="009118AB">
        <w:t xml:space="preserve"> </w:t>
      </w:r>
      <w:r w:rsidR="00D67EB8" w:rsidRPr="009118AB">
        <w:t>Nr. </w:t>
      </w:r>
      <w:r w:rsidRPr="009118AB">
        <w:t xml:space="preserve">1, so wie er vor seiner Aufhebung durch Artikel 400 des Programmgesetzes bestand oder so wie er aufgrund von </w:t>
      </w:r>
      <w:r w:rsidR="000E2459" w:rsidRPr="009118AB">
        <w:t xml:space="preserve">[Artikel 526 </w:t>
      </w:r>
      <w:r w:rsidR="00D67EB8" w:rsidRPr="009118AB">
        <w:t>§ </w:t>
      </w:r>
      <w:r w:rsidR="000E2459" w:rsidRPr="009118AB">
        <w:t>2 Absatz 2]</w:t>
      </w:r>
      <w:r w:rsidRPr="009118AB">
        <w:t xml:space="preserve"> anwendbar geblieben ist, gezahlt werden.</w:t>
      </w:r>
    </w:p>
    <w:p w14:paraId="604B2B19" w14:textId="77777777" w:rsidR="00173CED" w:rsidRPr="009118AB" w:rsidRDefault="00173CED">
      <w:pPr>
        <w:rPr>
          <w:spacing w:val="2"/>
        </w:rPr>
      </w:pPr>
    </w:p>
    <w:p w14:paraId="3EC149C1" w14:textId="538E7762" w:rsidR="00477B8F" w:rsidRPr="009118AB" w:rsidRDefault="00477B8F" w:rsidP="003727BE">
      <w:pPr>
        <w:autoSpaceDE w:val="0"/>
        <w:autoSpaceDN w:val="0"/>
        <w:adjustRightInd w:val="0"/>
        <w:jc w:val="both"/>
        <w:rPr>
          <w:spacing w:val="2"/>
        </w:rPr>
      </w:pPr>
      <w:r w:rsidRPr="009118AB">
        <w:rPr>
          <w:spacing w:val="2"/>
        </w:rPr>
        <w:tab/>
        <w:t xml:space="preserve">Artikel 171 </w:t>
      </w:r>
      <w:r w:rsidR="00D67EB8" w:rsidRPr="009118AB">
        <w:rPr>
          <w:spacing w:val="2"/>
        </w:rPr>
        <w:t>Nr. </w:t>
      </w:r>
      <w:r w:rsidRPr="009118AB">
        <w:rPr>
          <w:spacing w:val="2"/>
        </w:rPr>
        <w:t>2 Buchstabe </w:t>
      </w:r>
      <w:r w:rsidRPr="009118AB">
        <w:rPr>
          <w:i/>
          <w:iCs/>
          <w:spacing w:val="2"/>
        </w:rPr>
        <w:t>d)</w:t>
      </w:r>
      <w:r w:rsidRPr="009118AB">
        <w:rPr>
          <w:spacing w:val="2"/>
        </w:rPr>
        <w:t>, so wie er vor seiner Abänderung durch Artikel 402 des Programmgesetzes vom 27. Dezember 2004 bestand, bleibt anwendbar, sofern es sich um Kapitalien und Rückkaufswerte von Lebensversicherungsverträgen erwähnt in Artikel 145</w:t>
      </w:r>
      <w:r w:rsidRPr="009118AB">
        <w:rPr>
          <w:spacing w:val="2"/>
          <w:vertAlign w:val="superscript"/>
        </w:rPr>
        <w:t>1</w:t>
      </w:r>
      <w:r w:rsidRPr="009118AB">
        <w:rPr>
          <w:spacing w:val="2"/>
        </w:rPr>
        <w:t xml:space="preserve"> </w:t>
      </w:r>
      <w:r w:rsidR="00D67EB8" w:rsidRPr="009118AB">
        <w:rPr>
          <w:spacing w:val="2"/>
        </w:rPr>
        <w:t>Nr. </w:t>
      </w:r>
      <w:r w:rsidRPr="009118AB">
        <w:rPr>
          <w:spacing w:val="2"/>
        </w:rPr>
        <w:t xml:space="preserve">2, so wie er vor seiner Abänderung durch Artikel 397 des Programmgesetzes bestand oder so wie er aufgrund von </w:t>
      </w:r>
      <w:r w:rsidR="000E2459" w:rsidRPr="009118AB">
        <w:rPr>
          <w:spacing w:val="2"/>
        </w:rPr>
        <w:t xml:space="preserve">[Artikel 526 </w:t>
      </w:r>
      <w:r w:rsidR="00D67EB8" w:rsidRPr="009118AB">
        <w:rPr>
          <w:spacing w:val="2"/>
        </w:rPr>
        <w:t>§ </w:t>
      </w:r>
      <w:r w:rsidR="000E2459" w:rsidRPr="009118AB">
        <w:rPr>
          <w:spacing w:val="2"/>
        </w:rPr>
        <w:t>2 Absatz 2]</w:t>
      </w:r>
      <w:r w:rsidRPr="009118AB">
        <w:rPr>
          <w:spacing w:val="2"/>
        </w:rPr>
        <w:t xml:space="preserve"> anwendbar geblieben ist, handelt.]</w:t>
      </w:r>
    </w:p>
    <w:p w14:paraId="18374BA1" w14:textId="77777777" w:rsidR="00477B8F" w:rsidRPr="009118AB" w:rsidRDefault="00477B8F" w:rsidP="003727BE">
      <w:pPr>
        <w:autoSpaceDE w:val="0"/>
        <w:autoSpaceDN w:val="0"/>
        <w:adjustRightInd w:val="0"/>
        <w:jc w:val="both"/>
      </w:pPr>
    </w:p>
    <w:p w14:paraId="1C5D2327" w14:textId="364D13F1" w:rsidR="00A80613" w:rsidRPr="009118AB" w:rsidRDefault="00215C6A" w:rsidP="003727BE">
      <w:pPr>
        <w:autoSpaceDE w:val="0"/>
        <w:autoSpaceDN w:val="0"/>
        <w:adjustRightInd w:val="0"/>
        <w:jc w:val="both"/>
        <w:rPr>
          <w:i/>
          <w:iCs/>
        </w:rPr>
      </w:pPr>
      <w:r w:rsidRPr="009118AB">
        <w:rPr>
          <w:rFonts w:ascii="Times New Roman Italique" w:hAnsi="Times New Roman Italique"/>
          <w:i/>
          <w:iCs/>
        </w:rPr>
        <w:t>[</w:t>
      </w:r>
      <w:r w:rsidR="00D67EB8" w:rsidRPr="009118AB">
        <w:rPr>
          <w:rFonts w:ascii="Times New Roman Italique" w:hAnsi="Times New Roman Italique"/>
          <w:i/>
          <w:iCs/>
        </w:rPr>
        <w:t>Art. </w:t>
      </w:r>
      <w:r w:rsidR="00477B8F" w:rsidRPr="009118AB">
        <w:rPr>
          <w:rFonts w:ascii="Times New Roman Italique" w:hAnsi="Times New Roman Italique"/>
          <w:i/>
          <w:iCs/>
        </w:rPr>
        <w:t xml:space="preserve">527 eingefügt durch </w:t>
      </w:r>
      <w:r w:rsidR="00D67EB8" w:rsidRPr="009118AB">
        <w:rPr>
          <w:rFonts w:ascii="Times New Roman Italique" w:hAnsi="Times New Roman Italique"/>
          <w:i/>
          <w:iCs/>
        </w:rPr>
        <w:t>Art. </w:t>
      </w:r>
      <w:r w:rsidR="00477B8F" w:rsidRPr="009118AB">
        <w:rPr>
          <w:rFonts w:ascii="Times New Roman Italique" w:hAnsi="Times New Roman Italique"/>
          <w:i/>
          <w:iCs/>
        </w:rPr>
        <w:t>412 des G. vom 27. Dezember 2004 (B.S. vom 31. Dezember 200</w:t>
      </w:r>
      <w:r w:rsidRPr="009118AB">
        <w:rPr>
          <w:rFonts w:ascii="Times New Roman Italique" w:hAnsi="Times New Roman Italique"/>
          <w:i/>
          <w:iCs/>
        </w:rPr>
        <w:t>4)</w:t>
      </w:r>
      <w:r w:rsidR="00D67EB8" w:rsidRPr="009118AB">
        <w:rPr>
          <w:rFonts w:ascii="Times New Roman Italique" w:hAnsi="Times New Roman Italique"/>
          <w:i/>
          <w:iCs/>
        </w:rPr>
        <w:t> - </w:t>
      </w:r>
      <w:r w:rsidRPr="009118AB">
        <w:rPr>
          <w:rFonts w:ascii="Times New Roman Italique" w:hAnsi="Times New Roman Italique"/>
          <w:i/>
          <w:iCs/>
        </w:rPr>
        <w:t>in Kraft ab dem Steuerjahr </w:t>
      </w:r>
      <w:r w:rsidR="00477B8F" w:rsidRPr="009118AB">
        <w:rPr>
          <w:rFonts w:ascii="Times New Roman Italique" w:hAnsi="Times New Roman Italique"/>
          <w:i/>
          <w:iCs/>
        </w:rPr>
        <w:t>2006</w:t>
      </w:r>
      <w:r w:rsidR="003366D9" w:rsidRPr="009118AB">
        <w:rPr>
          <w:rFonts w:ascii="Times New Roman Italique" w:hAnsi="Times New Roman Italique"/>
          <w:i/>
          <w:iCs/>
        </w:rPr>
        <w:t> -;</w:t>
      </w:r>
      <w:r w:rsidR="000E2459" w:rsidRPr="009118AB">
        <w:rPr>
          <w:rFonts w:ascii="Times New Roman Italique" w:hAnsi="Times New Roman Italique"/>
          <w:i/>
          <w:iCs/>
        </w:rPr>
        <w:t xml:space="preserve"> </w:t>
      </w:r>
      <w:r w:rsidR="00D67EB8" w:rsidRPr="009118AB">
        <w:rPr>
          <w:rFonts w:ascii="Times New Roman Italique" w:hAnsi="Times New Roman Italique"/>
          <w:i/>
          <w:iCs/>
        </w:rPr>
        <w:t>Abs. </w:t>
      </w:r>
      <w:r w:rsidR="000E2459" w:rsidRPr="009118AB">
        <w:rPr>
          <w:rFonts w:ascii="Times New Roman Italique" w:hAnsi="Times New Roman Italique"/>
          <w:i/>
          <w:iCs/>
        </w:rPr>
        <w:t>1 abgeände</w:t>
      </w:r>
      <w:r w:rsidRPr="009118AB">
        <w:rPr>
          <w:rFonts w:ascii="Times New Roman Italique" w:hAnsi="Times New Roman Italique"/>
          <w:i/>
          <w:iCs/>
        </w:rPr>
        <w:t xml:space="preserve">rt durch </w:t>
      </w:r>
      <w:r w:rsidR="00D67EB8" w:rsidRPr="009118AB">
        <w:rPr>
          <w:rFonts w:ascii="Times New Roman Italique" w:hAnsi="Times New Roman Italique"/>
          <w:i/>
          <w:iCs/>
        </w:rPr>
        <w:t>Art. </w:t>
      </w:r>
      <w:r w:rsidRPr="009118AB">
        <w:rPr>
          <w:rFonts w:ascii="Times New Roman Italique" w:hAnsi="Times New Roman Italique"/>
          <w:i/>
          <w:iCs/>
        </w:rPr>
        <w:t>38 des G. vom 13. </w:t>
      </w:r>
      <w:r w:rsidR="000E2459" w:rsidRPr="009118AB">
        <w:rPr>
          <w:rFonts w:ascii="Times New Roman Italique" w:hAnsi="Times New Roman Italique"/>
          <w:i/>
          <w:iCs/>
        </w:rPr>
        <w:t>Dezember 2012 (B.S. vom 20. Dezember 2012)</w:t>
      </w:r>
      <w:r w:rsidR="00D67EB8" w:rsidRPr="009118AB">
        <w:rPr>
          <w:rFonts w:ascii="Times New Roman Italique" w:hAnsi="Times New Roman Italique"/>
          <w:i/>
          <w:iCs/>
        </w:rPr>
        <w:t> - </w:t>
      </w:r>
      <w:r w:rsidR="000E2459" w:rsidRPr="009118AB">
        <w:rPr>
          <w:rFonts w:ascii="Times New Roman Italique" w:hAnsi="Times New Roman Italique"/>
          <w:i/>
          <w:iCs/>
        </w:rPr>
        <w:t>in Kraft ab dem Steuerjahr 2013</w:t>
      </w:r>
      <w:r w:rsidR="00D67EB8" w:rsidRPr="009118AB">
        <w:rPr>
          <w:rFonts w:ascii="Times New Roman Italique" w:hAnsi="Times New Roman Italique"/>
          <w:i/>
          <w:iCs/>
        </w:rPr>
        <w:t> - </w:t>
      </w:r>
      <w:r w:rsidRPr="009118AB">
        <w:rPr>
          <w:i/>
          <w:iCs/>
        </w:rPr>
        <w:t xml:space="preserve">und </w:t>
      </w:r>
      <w:r w:rsidR="00D67EB8" w:rsidRPr="009118AB">
        <w:rPr>
          <w:i/>
          <w:iCs/>
        </w:rPr>
        <w:t>Art. </w:t>
      </w:r>
      <w:r w:rsidRPr="009118AB">
        <w:rPr>
          <w:i/>
          <w:iCs/>
        </w:rPr>
        <w:t>103</w:t>
      </w:r>
      <w:r w:rsidRPr="009118AB">
        <w:rPr>
          <w:i/>
        </w:rPr>
        <w:t xml:space="preserve"> des G. vom 8. Mai 2014 (B.S. vom 28. Mai 2014)</w:t>
      </w:r>
      <w:r w:rsidR="00D67EB8" w:rsidRPr="009118AB">
        <w:rPr>
          <w:i/>
        </w:rPr>
        <w:t> - </w:t>
      </w:r>
      <w:r w:rsidRPr="009118AB">
        <w:rPr>
          <w:i/>
          <w:iCs/>
        </w:rPr>
        <w:t>anwendbar ab dem Steuerjahr 2015</w:t>
      </w:r>
      <w:r w:rsidR="003366D9" w:rsidRPr="009118AB">
        <w:rPr>
          <w:i/>
          <w:iCs/>
        </w:rPr>
        <w:t> -;</w:t>
      </w:r>
      <w:r w:rsidR="000912C6" w:rsidRPr="009118AB">
        <w:rPr>
          <w:i/>
          <w:iCs/>
        </w:rPr>
        <w:t xml:space="preserve"> </w:t>
      </w:r>
      <w:r w:rsidR="00D67EB8" w:rsidRPr="009118AB">
        <w:rPr>
          <w:i/>
          <w:iCs/>
        </w:rPr>
        <w:t>Abs. </w:t>
      </w:r>
      <w:r w:rsidRPr="009118AB">
        <w:rPr>
          <w:i/>
          <w:iCs/>
        </w:rPr>
        <w:t>2</w:t>
      </w:r>
      <w:r w:rsidR="000912C6" w:rsidRPr="009118AB">
        <w:rPr>
          <w:i/>
          <w:iCs/>
        </w:rPr>
        <w:t xml:space="preserve"> abgeände</w:t>
      </w:r>
      <w:r w:rsidRPr="009118AB">
        <w:rPr>
          <w:i/>
          <w:iCs/>
        </w:rPr>
        <w:t xml:space="preserve">rt durch </w:t>
      </w:r>
      <w:r w:rsidR="00D67EB8" w:rsidRPr="009118AB">
        <w:rPr>
          <w:i/>
          <w:iCs/>
        </w:rPr>
        <w:t>Art. </w:t>
      </w:r>
      <w:r w:rsidRPr="009118AB">
        <w:rPr>
          <w:i/>
          <w:iCs/>
        </w:rPr>
        <w:t>38 des G. vom 13. </w:t>
      </w:r>
      <w:r w:rsidR="000912C6" w:rsidRPr="009118AB">
        <w:rPr>
          <w:i/>
          <w:iCs/>
        </w:rPr>
        <w:t xml:space="preserve">Dezember 2012 (B.S. vom </w:t>
      </w:r>
      <w:r w:rsidR="000912C6" w:rsidRPr="009118AB">
        <w:rPr>
          <w:rFonts w:ascii="Times New Roman Italique" w:hAnsi="Times New Roman Italique"/>
          <w:i/>
          <w:iCs/>
        </w:rPr>
        <w:t>20. Dezember 2012)</w:t>
      </w:r>
      <w:r w:rsidR="00D67EB8" w:rsidRPr="009118AB">
        <w:rPr>
          <w:rFonts w:ascii="Times New Roman Italique" w:hAnsi="Times New Roman Italique"/>
          <w:i/>
          <w:iCs/>
        </w:rPr>
        <w:t> - </w:t>
      </w:r>
      <w:r w:rsidR="000912C6" w:rsidRPr="009118AB">
        <w:rPr>
          <w:rFonts w:ascii="Times New Roman Italique" w:hAnsi="Times New Roman Italique"/>
          <w:i/>
          <w:iCs/>
        </w:rPr>
        <w:t>in Kraft ab dem Steuerjahr 2013</w:t>
      </w:r>
      <w:r w:rsidR="003366D9" w:rsidRPr="009118AB">
        <w:rPr>
          <w:rFonts w:ascii="Times New Roman Italique" w:hAnsi="Times New Roman Italique"/>
          <w:i/>
          <w:iCs/>
        </w:rPr>
        <w:t> -;</w:t>
      </w:r>
      <w:r w:rsidRPr="009118AB">
        <w:rPr>
          <w:rFonts w:ascii="Times New Roman Italique" w:hAnsi="Times New Roman Italique"/>
          <w:i/>
          <w:iCs/>
        </w:rPr>
        <w:t xml:space="preserve"> </w:t>
      </w:r>
      <w:r w:rsidR="00D67EB8" w:rsidRPr="009118AB">
        <w:rPr>
          <w:rFonts w:ascii="Times New Roman Italique" w:hAnsi="Times New Roman Italique"/>
          <w:i/>
          <w:iCs/>
        </w:rPr>
        <w:t>Abs. </w:t>
      </w:r>
      <w:r w:rsidRPr="009118AB">
        <w:rPr>
          <w:rFonts w:ascii="Times New Roman Italique" w:hAnsi="Times New Roman Italique"/>
          <w:i/>
          <w:iCs/>
        </w:rPr>
        <w:t xml:space="preserve">3 abgeändert durch </w:t>
      </w:r>
      <w:r w:rsidR="00D67EB8" w:rsidRPr="009118AB">
        <w:rPr>
          <w:rFonts w:ascii="Times New Roman Italique" w:hAnsi="Times New Roman Italique"/>
          <w:i/>
          <w:iCs/>
        </w:rPr>
        <w:t>Art. </w:t>
      </w:r>
      <w:r w:rsidRPr="009118AB">
        <w:rPr>
          <w:rFonts w:ascii="Times New Roman Italique" w:hAnsi="Times New Roman Italique"/>
          <w:i/>
          <w:iCs/>
        </w:rPr>
        <w:t>38 des G. vom 13. Dezember 2012 (B.S. vom 20. Dezember 2012)</w:t>
      </w:r>
      <w:r w:rsidR="00D67EB8" w:rsidRPr="009118AB">
        <w:rPr>
          <w:rFonts w:ascii="Times New Roman Italique" w:hAnsi="Times New Roman Italique"/>
          <w:i/>
          <w:iCs/>
        </w:rPr>
        <w:t> - </w:t>
      </w:r>
      <w:r w:rsidRPr="009118AB">
        <w:rPr>
          <w:rFonts w:ascii="Times New Roman Italique" w:hAnsi="Times New Roman Italique"/>
          <w:i/>
          <w:iCs/>
        </w:rPr>
        <w:t>in Kraft ab dem Steuerjahr 2013</w:t>
      </w:r>
      <w:r w:rsidR="00D67EB8" w:rsidRPr="009118AB">
        <w:rPr>
          <w:rFonts w:ascii="Times New Roman Italique" w:hAnsi="Times New Roman Italique"/>
          <w:i/>
          <w:iCs/>
        </w:rPr>
        <w:t> - </w:t>
      </w:r>
      <w:r w:rsidRPr="009118AB">
        <w:rPr>
          <w:rFonts w:ascii="Times New Roman Italique" w:hAnsi="Times New Roman Italique"/>
          <w:i/>
          <w:iCs/>
        </w:rPr>
        <w:t xml:space="preserve">und </w:t>
      </w:r>
      <w:r w:rsidR="00D67EB8" w:rsidRPr="009118AB">
        <w:rPr>
          <w:rFonts w:ascii="Times New Roman Italique" w:hAnsi="Times New Roman Italique"/>
          <w:i/>
          <w:iCs/>
        </w:rPr>
        <w:t>Art. </w:t>
      </w:r>
      <w:r w:rsidRPr="009118AB">
        <w:rPr>
          <w:rFonts w:ascii="Times New Roman Italique" w:hAnsi="Times New Roman Italique"/>
          <w:i/>
          <w:iCs/>
        </w:rPr>
        <w:t>103</w:t>
      </w:r>
      <w:r w:rsidRPr="009118AB">
        <w:rPr>
          <w:rFonts w:ascii="Times New Roman Italique" w:hAnsi="Times New Roman Italique"/>
          <w:i/>
        </w:rPr>
        <w:t xml:space="preserve"> des G. vom 8. Mai 2014 (B.S. vom 28. Mai 2014)</w:t>
      </w:r>
      <w:r w:rsidR="00D67EB8" w:rsidRPr="009118AB">
        <w:rPr>
          <w:rFonts w:ascii="Times New Roman Italique" w:hAnsi="Times New Roman Italique"/>
          <w:i/>
        </w:rPr>
        <w:t> - </w:t>
      </w:r>
      <w:r w:rsidRPr="009118AB">
        <w:rPr>
          <w:rFonts w:ascii="Times New Roman Italique" w:hAnsi="Times New Roman Italique"/>
          <w:i/>
          <w:iCs/>
        </w:rPr>
        <w:t>anwendbar ab dem Steuerjahr 2015</w:t>
      </w:r>
      <w:r w:rsidR="003366D9" w:rsidRPr="009118AB">
        <w:rPr>
          <w:i/>
          <w:iCs/>
        </w:rPr>
        <w:t> -;</w:t>
      </w:r>
      <w:r w:rsidRPr="009118AB">
        <w:rPr>
          <w:i/>
          <w:iCs/>
        </w:rPr>
        <w:t xml:space="preserve"> </w:t>
      </w:r>
      <w:r w:rsidR="00D67EB8" w:rsidRPr="009118AB">
        <w:rPr>
          <w:i/>
          <w:iCs/>
        </w:rPr>
        <w:t>Abs. </w:t>
      </w:r>
      <w:r w:rsidRPr="009118AB">
        <w:rPr>
          <w:i/>
          <w:iCs/>
        </w:rPr>
        <w:t xml:space="preserve">4 und 5 abgeändert durch </w:t>
      </w:r>
      <w:r w:rsidR="00D67EB8" w:rsidRPr="009118AB">
        <w:rPr>
          <w:i/>
          <w:iCs/>
        </w:rPr>
        <w:t>Art. </w:t>
      </w:r>
      <w:r w:rsidRPr="009118AB">
        <w:rPr>
          <w:i/>
          <w:iCs/>
        </w:rPr>
        <w:t>38 des G. vom 13. Dezember 2012 (B.S. vom 20. Dezember 2012)</w:t>
      </w:r>
      <w:r w:rsidR="00D67EB8" w:rsidRPr="009118AB">
        <w:rPr>
          <w:i/>
          <w:iCs/>
        </w:rPr>
        <w:t> - </w:t>
      </w:r>
      <w:r w:rsidRPr="009118AB">
        <w:rPr>
          <w:i/>
          <w:iCs/>
        </w:rPr>
        <w:t>in Kraft ab dem Steuerjahr 2013</w:t>
      </w:r>
      <w:r w:rsidR="00FD68E8" w:rsidRPr="009118AB">
        <w:rPr>
          <w:i/>
          <w:iCs/>
        </w:rPr>
        <w:t> -]</w:t>
      </w:r>
    </w:p>
    <w:p w14:paraId="3C1A4378" w14:textId="77777777" w:rsidR="009649BD" w:rsidRPr="009118AB" w:rsidRDefault="009649BD" w:rsidP="003727BE">
      <w:pPr>
        <w:autoSpaceDE w:val="0"/>
        <w:autoSpaceDN w:val="0"/>
        <w:adjustRightInd w:val="0"/>
        <w:jc w:val="both"/>
      </w:pPr>
    </w:p>
    <w:p w14:paraId="569B2431" w14:textId="77777777" w:rsidR="009649BD" w:rsidRPr="009118AB" w:rsidRDefault="009649BD" w:rsidP="003727BE">
      <w:pPr>
        <w:autoSpaceDE w:val="0"/>
        <w:autoSpaceDN w:val="0"/>
        <w:adjustRightInd w:val="0"/>
        <w:jc w:val="both"/>
      </w:pPr>
    </w:p>
    <w:p w14:paraId="18C83E3A" w14:textId="30D30EAC"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528</w:t>
      </w:r>
      <w:r w:rsidR="00D67EB8" w:rsidRPr="009118AB">
        <w:t> - </w:t>
      </w:r>
      <w:r w:rsidRPr="009118AB">
        <w:t xml:space="preserve">Die Bestimmung von </w:t>
      </w:r>
      <w:r w:rsidR="000117ED" w:rsidRPr="009118AB">
        <w:t>Artikel 201 Absatz </w:t>
      </w:r>
      <w:r w:rsidR="007E747A" w:rsidRPr="009118AB">
        <w:t>5</w:t>
      </w:r>
      <w:r w:rsidRPr="009118AB">
        <w:t xml:space="preserve">, so wie sie durch das Gesetz vom 22. Juni 2005 zur Einführung eines Steuerabzugs für Risikokapital eingefügt wurde, ist nicht anwendbar in Bezug auf Investitionsabzüge erwähnt in </w:t>
      </w:r>
      <w:r w:rsidR="000117ED" w:rsidRPr="009118AB">
        <w:t>Artikel 70 Absatz </w:t>
      </w:r>
      <w:r w:rsidR="007E747A" w:rsidRPr="009118AB">
        <w:t>1</w:t>
      </w:r>
      <w:r w:rsidRPr="009118AB">
        <w:t>, die ab einem Steuerjahr vor dem Steuerjahr 2007 gewährt werden.]</w:t>
      </w:r>
    </w:p>
    <w:p w14:paraId="5507E30D" w14:textId="77777777" w:rsidR="00477B8F" w:rsidRPr="009118AB" w:rsidRDefault="00477B8F" w:rsidP="003727BE">
      <w:pPr>
        <w:autoSpaceDE w:val="0"/>
        <w:autoSpaceDN w:val="0"/>
        <w:adjustRightInd w:val="0"/>
        <w:jc w:val="both"/>
      </w:pPr>
    </w:p>
    <w:p w14:paraId="2A9E5B77" w14:textId="3C72F54D"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528 eingefügt durch </w:t>
      </w:r>
      <w:r w:rsidR="00D67EB8" w:rsidRPr="009118AB">
        <w:rPr>
          <w:i/>
          <w:iCs/>
        </w:rPr>
        <w:t>Art. </w:t>
      </w:r>
      <w:r w:rsidRPr="009118AB">
        <w:rPr>
          <w:i/>
          <w:iCs/>
        </w:rPr>
        <w:t>18 des G. vom 22. Juni 2005 (B.S. vom 30. Juni 2005)</w:t>
      </w:r>
      <w:r w:rsidR="00D67EB8" w:rsidRPr="009118AB">
        <w:rPr>
          <w:i/>
          <w:iCs/>
        </w:rPr>
        <w:t> - </w:t>
      </w:r>
      <w:r w:rsidRPr="009118AB">
        <w:rPr>
          <w:i/>
          <w:iCs/>
        </w:rPr>
        <w:t>in Kraft ab dem Steuerjahr 2007</w:t>
      </w:r>
      <w:r w:rsidR="00D67EB8" w:rsidRPr="009118AB">
        <w:rPr>
          <w:i/>
          <w:iCs/>
        </w:rPr>
        <w:t> - </w:t>
      </w:r>
      <w:r w:rsidR="000117ED" w:rsidRPr="009118AB">
        <w:rPr>
          <w:i/>
          <w:iCs/>
        </w:rPr>
        <w:t xml:space="preserve">und abgeändert durch </w:t>
      </w:r>
      <w:r w:rsidR="00D67EB8" w:rsidRPr="009118AB">
        <w:rPr>
          <w:i/>
          <w:iCs/>
        </w:rPr>
        <w:t>Art. </w:t>
      </w:r>
      <w:r w:rsidR="000117ED" w:rsidRPr="009118AB">
        <w:rPr>
          <w:i/>
          <w:iCs/>
        </w:rPr>
        <w:t>98</w:t>
      </w:r>
      <w:r w:rsidR="000117ED" w:rsidRPr="009118AB">
        <w:rPr>
          <w:i/>
        </w:rPr>
        <w:t xml:space="preserve"> des G. vom 26. Dezember 2015 (II) (B.S. vom 30. Dezember 2015)</w:t>
      </w:r>
      <w:r w:rsidR="00D67EB8" w:rsidRPr="009118AB">
        <w:t> - </w:t>
      </w:r>
      <w:r w:rsidR="000117ED" w:rsidRPr="009118AB">
        <w:rPr>
          <w:i/>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w:t>
      </w:r>
      <w:r w:rsidR="00FD68E8" w:rsidRPr="009118AB">
        <w:rPr>
          <w:i/>
        </w:rPr>
        <w:t> -,</w:t>
      </w:r>
      <w:r w:rsidR="007E747A" w:rsidRPr="009118AB">
        <w:rPr>
          <w:i/>
          <w:iCs/>
          <w:spacing w:val="-1"/>
        </w:rPr>
        <w:t xml:space="preserve"> selbst widerrufen durch </w:t>
      </w:r>
      <w:r w:rsidR="00D67EB8" w:rsidRPr="009118AB">
        <w:rPr>
          <w:i/>
          <w:iCs/>
          <w:spacing w:val="-1"/>
        </w:rPr>
        <w:t>Art. </w:t>
      </w:r>
      <w:r w:rsidR="007E747A" w:rsidRPr="009118AB">
        <w:rPr>
          <w:i/>
          <w:iCs/>
          <w:spacing w:val="-1"/>
        </w:rPr>
        <w:t>89 des G. vom 25. Dezember 2017</w:t>
      </w:r>
      <w:r w:rsidR="002D252C" w:rsidRPr="009118AB">
        <w:rPr>
          <w:i/>
          <w:iCs/>
          <w:spacing w:val="-1"/>
        </w:rPr>
        <w:t> (III)</w:t>
      </w:r>
      <w:r w:rsidR="007E747A" w:rsidRPr="009118AB">
        <w:rPr>
          <w:i/>
          <w:iCs/>
          <w:spacing w:val="-1"/>
        </w:rPr>
        <w:t xml:space="preserve"> (B.S. vom 29. Dezember 2017)</w:t>
      </w:r>
      <w:r w:rsidRPr="009118AB">
        <w:rPr>
          <w:i/>
          <w:iCs/>
        </w:rPr>
        <w:t>]</w:t>
      </w:r>
    </w:p>
    <w:p w14:paraId="1827B3BB" w14:textId="77777777" w:rsidR="00477B8F" w:rsidRPr="009118AB" w:rsidRDefault="00477B8F" w:rsidP="003727BE">
      <w:pPr>
        <w:autoSpaceDE w:val="0"/>
        <w:autoSpaceDN w:val="0"/>
        <w:adjustRightInd w:val="0"/>
        <w:jc w:val="both"/>
        <w:rPr>
          <w:i/>
          <w:iCs/>
        </w:rPr>
      </w:pPr>
    </w:p>
    <w:p w14:paraId="4626DC0F" w14:textId="77777777" w:rsidR="000F3B7F" w:rsidRPr="009118AB" w:rsidRDefault="000F3B7F" w:rsidP="003727BE">
      <w:pPr>
        <w:autoSpaceDE w:val="0"/>
        <w:autoSpaceDN w:val="0"/>
        <w:adjustRightInd w:val="0"/>
        <w:jc w:val="both"/>
        <w:rPr>
          <w:i/>
          <w:iCs/>
        </w:rPr>
      </w:pPr>
    </w:p>
    <w:p w14:paraId="5BD4FE18" w14:textId="05506F58" w:rsidR="00477B8F" w:rsidRPr="009118AB" w:rsidRDefault="00477B8F" w:rsidP="003727BE">
      <w:pPr>
        <w:autoSpaceDE w:val="0"/>
        <w:autoSpaceDN w:val="0"/>
        <w:adjustRightInd w:val="0"/>
        <w:jc w:val="both"/>
      </w:pPr>
      <w:r w:rsidRPr="009118AB">
        <w:tab/>
        <w:t>[</w:t>
      </w:r>
      <w:r w:rsidR="00D67EB8" w:rsidRPr="009118AB">
        <w:rPr>
          <w:b/>
          <w:bCs/>
        </w:rPr>
        <w:t>Art. </w:t>
      </w:r>
      <w:r w:rsidRPr="009118AB">
        <w:rPr>
          <w:b/>
          <w:bCs/>
        </w:rPr>
        <w:t>529</w:t>
      </w:r>
      <w:r w:rsidR="00D67EB8" w:rsidRPr="009118AB">
        <w:t> - </w:t>
      </w:r>
      <w:r w:rsidRPr="009118AB">
        <w:t>Die Bestimmungen von Artikel 292</w:t>
      </w:r>
      <w:r w:rsidRPr="009118AB">
        <w:rPr>
          <w:i/>
          <w:iCs/>
        </w:rPr>
        <w:t>bis</w:t>
      </w:r>
      <w:r w:rsidRPr="009118AB">
        <w:t>, so wie sie vor ihrer Aufhebung durch das Gesetz vom 22. Juni 2005 zur Einführung eines Steuerabzugs für Risikokapital bestanden, bleiben anwendbar in Bezug auf die Steuergutschrift, die in Artikel 289</w:t>
      </w:r>
      <w:r w:rsidRPr="009118AB">
        <w:rPr>
          <w:i/>
          <w:iCs/>
        </w:rPr>
        <w:t>bis</w:t>
      </w:r>
      <w:r w:rsidRPr="009118AB">
        <w:t xml:space="preserve"> </w:t>
      </w:r>
      <w:r w:rsidR="00D67EB8" w:rsidRPr="009118AB">
        <w:t>§ </w:t>
      </w:r>
      <w:r w:rsidRPr="009118AB">
        <w:t>2, so wie er vor seiner Aufhebung durch vorerwähntes Gesetz bestand, erwähnt war und vor dem Steuerjahr 2007 nicht angerechnet worden ist.]</w:t>
      </w:r>
    </w:p>
    <w:p w14:paraId="1524C5F9" w14:textId="77777777" w:rsidR="00477B8F" w:rsidRPr="009118AB" w:rsidRDefault="00477B8F" w:rsidP="003727BE">
      <w:pPr>
        <w:autoSpaceDE w:val="0"/>
        <w:autoSpaceDN w:val="0"/>
        <w:adjustRightInd w:val="0"/>
        <w:jc w:val="both"/>
      </w:pPr>
    </w:p>
    <w:p w14:paraId="3ECBA079" w14:textId="768D9A55" w:rsidR="00477B8F" w:rsidRPr="009118AB" w:rsidRDefault="00477B8F" w:rsidP="003727BE">
      <w:pPr>
        <w:autoSpaceDE w:val="0"/>
        <w:autoSpaceDN w:val="0"/>
        <w:adjustRightInd w:val="0"/>
        <w:jc w:val="both"/>
      </w:pPr>
      <w:r w:rsidRPr="009118AB">
        <w:rPr>
          <w:i/>
          <w:iCs/>
        </w:rPr>
        <w:t>[</w:t>
      </w:r>
      <w:r w:rsidR="00D67EB8" w:rsidRPr="009118AB">
        <w:rPr>
          <w:i/>
          <w:iCs/>
        </w:rPr>
        <w:t>Art. </w:t>
      </w:r>
      <w:r w:rsidRPr="009118AB">
        <w:rPr>
          <w:i/>
          <w:iCs/>
        </w:rPr>
        <w:t xml:space="preserve">529 eingefügt durch </w:t>
      </w:r>
      <w:r w:rsidR="00D67EB8" w:rsidRPr="009118AB">
        <w:rPr>
          <w:i/>
          <w:iCs/>
        </w:rPr>
        <w:t>Art. </w:t>
      </w:r>
      <w:r w:rsidRPr="009118AB">
        <w:rPr>
          <w:i/>
          <w:iCs/>
        </w:rPr>
        <w:t>19 des G. vom 22. Juni 2005 (B.S. vom 30. Juni 2005)</w:t>
      </w:r>
      <w:r w:rsidR="00D67EB8" w:rsidRPr="009118AB">
        <w:rPr>
          <w:i/>
          <w:iCs/>
        </w:rPr>
        <w:t> - </w:t>
      </w:r>
      <w:r w:rsidRPr="009118AB">
        <w:rPr>
          <w:i/>
          <w:iCs/>
        </w:rPr>
        <w:t>in Kraft ab dem Steuerjahr 2007</w:t>
      </w:r>
      <w:r w:rsidR="00FD68E8" w:rsidRPr="009118AB">
        <w:rPr>
          <w:i/>
          <w:iCs/>
        </w:rPr>
        <w:t> -]</w:t>
      </w:r>
    </w:p>
    <w:p w14:paraId="24D81295" w14:textId="77777777" w:rsidR="00A80613" w:rsidRPr="009118AB" w:rsidRDefault="00A80613" w:rsidP="003727BE">
      <w:pPr>
        <w:autoSpaceDE w:val="0"/>
        <w:autoSpaceDN w:val="0"/>
        <w:adjustRightInd w:val="0"/>
        <w:jc w:val="both"/>
      </w:pPr>
    </w:p>
    <w:p w14:paraId="104DA2B1" w14:textId="77777777" w:rsidR="00A80613" w:rsidRPr="009118AB" w:rsidRDefault="00A80613" w:rsidP="003727BE">
      <w:pPr>
        <w:autoSpaceDE w:val="0"/>
        <w:autoSpaceDN w:val="0"/>
        <w:adjustRightInd w:val="0"/>
        <w:jc w:val="both"/>
      </w:pPr>
    </w:p>
    <w:p w14:paraId="0D671B7F" w14:textId="4423FECE" w:rsidR="00477B8F" w:rsidRPr="009118AB" w:rsidRDefault="00477B8F" w:rsidP="003727BE">
      <w:pPr>
        <w:autoSpaceDE w:val="0"/>
        <w:autoSpaceDN w:val="0"/>
        <w:adjustRightInd w:val="0"/>
        <w:jc w:val="both"/>
      </w:pPr>
      <w:bookmarkStart w:id="43" w:name="_Hlk202165140"/>
      <w:r w:rsidRPr="009118AB">
        <w:tab/>
      </w:r>
      <w:r w:rsidR="00D67EB8" w:rsidRPr="009118AB">
        <w:rPr>
          <w:b/>
          <w:bCs/>
        </w:rPr>
        <w:t>Art. </w:t>
      </w:r>
      <w:r w:rsidRPr="009118AB">
        <w:rPr>
          <w:b/>
          <w:bCs/>
        </w:rPr>
        <w:t>530</w:t>
      </w:r>
      <w:r w:rsidR="00D67EB8" w:rsidRPr="009118AB">
        <w:t> - § </w:t>
      </w:r>
      <w:r w:rsidRPr="009118AB">
        <w:t>1</w:t>
      </w:r>
      <w:r w:rsidR="00D67EB8" w:rsidRPr="009118AB">
        <w:t> - </w:t>
      </w:r>
      <w:r w:rsidRPr="009118AB">
        <w:t xml:space="preserve">In Bezug </w:t>
      </w:r>
      <w:r w:rsidR="00872410" w:rsidRPr="009118AB">
        <w:t>[auf Steuerpflichtige, die der Gesellschafts</w:t>
      </w:r>
      <w:r w:rsidR="00872410" w:rsidRPr="009118AB">
        <w:softHyphen/>
        <w:t xml:space="preserve">steuer unterliegen, oder auf die in Artikel 227 </w:t>
      </w:r>
      <w:r w:rsidR="00D67EB8" w:rsidRPr="009118AB">
        <w:t>Nr. </w:t>
      </w:r>
      <w:r w:rsidR="00872410" w:rsidRPr="009118AB">
        <w:t>2 erwähnten Steuerpflichtigen, die der Steuer der Gebietsfremden unterliegen, und die]</w:t>
      </w:r>
      <w:r w:rsidRPr="009118AB">
        <w:t xml:space="preserve"> ab einem bestimmten Steuerjahr für die in Artikel 289</w:t>
      </w:r>
      <w:r w:rsidRPr="009118AB">
        <w:rPr>
          <w:i/>
          <w:iCs/>
        </w:rPr>
        <w:t>quater</w:t>
      </w:r>
      <w:r w:rsidRPr="009118AB">
        <w:t xml:space="preserve"> vorgesehene Steuergutschrift optieren, wird von der Gesamtheit des am Ende des vorhergehenden Steuerjahres übertragenen Investitionsabzugs der Teil dieser Gesamtheit, der den auf der Grundlage der Artikel 69 </w:t>
      </w:r>
      <w:r w:rsidR="00D67EB8" w:rsidRPr="009118AB">
        <w:t>§ </w:t>
      </w:r>
      <w:r w:rsidRPr="009118AB">
        <w:t xml:space="preserve">1 Absatz 1 </w:t>
      </w:r>
      <w:r w:rsidR="00D67EB8" w:rsidRPr="009118AB">
        <w:t>Nr. </w:t>
      </w:r>
      <w:r w:rsidRPr="009118AB">
        <w:t>2 Buchstabe </w:t>
      </w:r>
      <w:r w:rsidRPr="009118AB">
        <w:rPr>
          <w:i/>
          <w:iCs/>
        </w:rPr>
        <w:t>a)</w:t>
      </w:r>
      <w:r w:rsidRPr="009118AB">
        <w:t xml:space="preserve"> und </w:t>
      </w:r>
      <w:r w:rsidRPr="009118AB">
        <w:rPr>
          <w:i/>
          <w:iCs/>
        </w:rPr>
        <w:t>b)</w:t>
      </w:r>
      <w:r w:rsidRPr="009118AB">
        <w:t xml:space="preserve"> </w:t>
      </w:r>
      <w:r w:rsidR="000117ED" w:rsidRPr="009118AB">
        <w:t>und 70 Absatz </w:t>
      </w:r>
      <w:r w:rsidR="007E747A" w:rsidRPr="009118AB">
        <w:t xml:space="preserve">2 </w:t>
      </w:r>
      <w:r w:rsidRPr="009118AB">
        <w:t>bestimmten Investitionsabzügen entspricht, für die drei vorhergehenden Steuerjahre abgezogen.</w:t>
      </w:r>
    </w:p>
    <w:p w14:paraId="47969DA5" w14:textId="77777777" w:rsidR="00477B8F" w:rsidRPr="009118AB" w:rsidRDefault="00477B8F" w:rsidP="003727BE">
      <w:pPr>
        <w:autoSpaceDE w:val="0"/>
        <w:autoSpaceDN w:val="0"/>
        <w:adjustRightInd w:val="0"/>
        <w:jc w:val="both"/>
      </w:pPr>
    </w:p>
    <w:p w14:paraId="782A99DB" w14:textId="77777777" w:rsidR="00477B8F" w:rsidRPr="009118AB" w:rsidRDefault="00477B8F" w:rsidP="003727BE">
      <w:pPr>
        <w:autoSpaceDE w:val="0"/>
        <w:autoSpaceDN w:val="0"/>
        <w:adjustRightInd w:val="0"/>
        <w:jc w:val="both"/>
      </w:pPr>
      <w:r w:rsidRPr="009118AB">
        <w:tab/>
        <w:t>Der in Absatz 1 abgezogene Teil wird in eine übertragene Steuergutschrift für Forschung und Entwicklung umgewandelt, wobei dieser Teil mit dem in Artikel 289</w:t>
      </w:r>
      <w:r w:rsidRPr="009118AB">
        <w:rPr>
          <w:i/>
          <w:iCs/>
        </w:rPr>
        <w:t>quater</w:t>
      </w:r>
      <w:r w:rsidRPr="009118AB">
        <w:t xml:space="preserve"> Absatz 2 erwähnten Satz multipliziert wird.</w:t>
      </w:r>
    </w:p>
    <w:p w14:paraId="155D5B60" w14:textId="77777777" w:rsidR="00477B8F" w:rsidRPr="009118AB" w:rsidRDefault="00477B8F" w:rsidP="003727BE">
      <w:pPr>
        <w:autoSpaceDE w:val="0"/>
        <w:autoSpaceDN w:val="0"/>
        <w:adjustRightInd w:val="0"/>
        <w:jc w:val="both"/>
      </w:pPr>
    </w:p>
    <w:p w14:paraId="39872C3F" w14:textId="77777777" w:rsidR="00477B8F" w:rsidRPr="009118AB" w:rsidRDefault="00477B8F" w:rsidP="003727BE">
      <w:pPr>
        <w:autoSpaceDE w:val="0"/>
        <w:autoSpaceDN w:val="0"/>
        <w:adjustRightInd w:val="0"/>
        <w:jc w:val="both"/>
      </w:pPr>
      <w:r w:rsidRPr="009118AB">
        <w:tab/>
        <w:t>Für diese Steuergutschrift gilt, dass sie sich auf das Steuerjahr vor dem, für das für die Steuergutschrift für Forschung und Entwicklung optiert wurde, bezieht.</w:t>
      </w:r>
    </w:p>
    <w:p w14:paraId="11B93379" w14:textId="77777777" w:rsidR="00477B8F" w:rsidRPr="009118AB" w:rsidRDefault="00477B8F" w:rsidP="003727BE">
      <w:pPr>
        <w:autoSpaceDE w:val="0"/>
        <w:autoSpaceDN w:val="0"/>
        <w:adjustRightInd w:val="0"/>
        <w:jc w:val="both"/>
      </w:pPr>
    </w:p>
    <w:p w14:paraId="08F8607C" w14:textId="48CEFB86" w:rsidR="00477B8F" w:rsidRPr="009118AB" w:rsidRDefault="00477B8F" w:rsidP="003727BE">
      <w:pPr>
        <w:autoSpaceDE w:val="0"/>
        <w:autoSpaceDN w:val="0"/>
        <w:adjustRightInd w:val="0"/>
        <w:jc w:val="both"/>
      </w:pPr>
      <w:r w:rsidRPr="009118AB">
        <w:tab/>
        <w:t>In Abweichung von Artikel 292</w:t>
      </w:r>
      <w:r w:rsidRPr="009118AB">
        <w:rPr>
          <w:i/>
          <w:iCs/>
        </w:rPr>
        <w:t>bis</w:t>
      </w:r>
      <w:r w:rsidRPr="009118AB">
        <w:t xml:space="preserve"> </w:t>
      </w:r>
      <w:r w:rsidR="00D67EB8" w:rsidRPr="009118AB">
        <w:t>§ </w:t>
      </w:r>
      <w:r w:rsidRPr="009118AB">
        <w:t>1 Absatz 2 und 5 ist diese Steuergutschrift nicht erstattungsfähig, sie kann jedoch ohne zeitliche Begrenzung übertragen werden.</w:t>
      </w:r>
    </w:p>
    <w:p w14:paraId="3B9A1903" w14:textId="77777777" w:rsidR="00477B8F" w:rsidRPr="009118AB" w:rsidRDefault="00477B8F" w:rsidP="003727BE">
      <w:pPr>
        <w:autoSpaceDE w:val="0"/>
        <w:autoSpaceDN w:val="0"/>
        <w:adjustRightInd w:val="0"/>
        <w:jc w:val="both"/>
      </w:pPr>
    </w:p>
    <w:p w14:paraId="21BE6920" w14:textId="0BC228CA" w:rsidR="00477B8F" w:rsidRPr="009118AB" w:rsidRDefault="00477B8F" w:rsidP="003727BE">
      <w:pPr>
        <w:autoSpaceDE w:val="0"/>
        <w:autoSpaceDN w:val="0"/>
        <w:adjustRightInd w:val="0"/>
        <w:jc w:val="both"/>
      </w:pPr>
      <w:r w:rsidRPr="009118AB">
        <w:tab/>
      </w:r>
      <w:r w:rsidR="00D67EB8" w:rsidRPr="009118AB">
        <w:t>§ </w:t>
      </w:r>
      <w:r w:rsidRPr="009118AB">
        <w:t>2</w:t>
      </w:r>
      <w:r w:rsidR="00D67EB8" w:rsidRPr="009118AB">
        <w:t> - </w:t>
      </w:r>
      <w:r w:rsidRPr="009118AB">
        <w:t xml:space="preserve">In Bezug auf dieselben Steuerpflichtigen, die sich in Anwendung von </w:t>
      </w:r>
      <w:r w:rsidR="007E747A" w:rsidRPr="009118AB">
        <w:t>Artikel 70 Absatz 2</w:t>
      </w:r>
      <w:r w:rsidRPr="009118AB">
        <w:t xml:space="preserve"> für die Staffelung des Investitionsabzugs entschieden haben für Anlagen, die in den Besteuerungszeiträumen vor dem Besteuerungszeitraum, in dem für die Steuergutschrift optiert wird, erworben oder gebildet wurden, entspricht die gestaffelte Steuergutschrift für Forschung und Entwicklung, die an die Stelle des gestaffelten Investitionsabzugs für diese Anlagen tritt, für jedes Steuerjahr, das einem kommenden Besteuerungszeitraum des Abschreibungszeitraums entspricht, der für den Besteuerungszeitraum zugelassenen Abschreibung, multipliziert mit dem in </w:t>
      </w:r>
      <w:r w:rsidR="000117ED" w:rsidRPr="009118AB">
        <w:t>Artikel 70 Absatz </w:t>
      </w:r>
      <w:r w:rsidR="00644378" w:rsidRPr="009118AB">
        <w:t>2</w:t>
      </w:r>
      <w:r w:rsidR="000117ED" w:rsidRPr="009118AB">
        <w:t xml:space="preserve"> </w:t>
      </w:r>
      <w:r w:rsidRPr="009118AB">
        <w:t>vorgesehenen Prozentsatz und dem in Artikel 289</w:t>
      </w:r>
      <w:r w:rsidRPr="009118AB">
        <w:rPr>
          <w:i/>
          <w:iCs/>
        </w:rPr>
        <w:t>quater</w:t>
      </w:r>
      <w:r w:rsidRPr="009118AB">
        <w:t xml:space="preserve"> Absatz 2 vorgesehenen Satz.]</w:t>
      </w:r>
    </w:p>
    <w:p w14:paraId="20D3ACB8" w14:textId="77777777" w:rsidR="00477B8F" w:rsidRPr="009118AB" w:rsidRDefault="00477B8F" w:rsidP="003727BE">
      <w:pPr>
        <w:autoSpaceDE w:val="0"/>
        <w:autoSpaceDN w:val="0"/>
        <w:adjustRightInd w:val="0"/>
        <w:jc w:val="both"/>
      </w:pPr>
    </w:p>
    <w:p w14:paraId="7395DC3E" w14:textId="0AC40174" w:rsidR="00477B8F" w:rsidRPr="009118AB" w:rsidRDefault="007E747A" w:rsidP="003727BE">
      <w:pPr>
        <w:autoSpaceDE w:val="0"/>
        <w:autoSpaceDN w:val="0"/>
        <w:adjustRightInd w:val="0"/>
        <w:jc w:val="both"/>
      </w:pPr>
      <w:r w:rsidRPr="009118AB">
        <w:rPr>
          <w:i/>
          <w:iCs/>
        </w:rPr>
        <w:t>[</w:t>
      </w:r>
      <w:r w:rsidR="00D67EB8" w:rsidRPr="009118AB">
        <w:rPr>
          <w:i/>
          <w:iCs/>
        </w:rPr>
        <w:t>Art. </w:t>
      </w:r>
      <w:r w:rsidRPr="009118AB">
        <w:rPr>
          <w:i/>
          <w:iCs/>
        </w:rPr>
        <w:t xml:space="preserve">530 eingefügt durch </w:t>
      </w:r>
      <w:r w:rsidR="00D67EB8" w:rsidRPr="009118AB">
        <w:rPr>
          <w:i/>
          <w:iCs/>
        </w:rPr>
        <w:t>Art. </w:t>
      </w:r>
      <w:r w:rsidR="00477B8F" w:rsidRPr="009118AB">
        <w:rPr>
          <w:i/>
          <w:iCs/>
        </w:rPr>
        <w:t>131 des G. vom 23. Dezember 2005 (B.S. vom 30. Dezember 2005)</w:t>
      </w:r>
      <w:r w:rsidR="00D67EB8" w:rsidRPr="009118AB">
        <w:rPr>
          <w:i/>
          <w:iCs/>
        </w:rPr>
        <w:t> - </w:t>
      </w:r>
      <w:r w:rsidR="00477B8F" w:rsidRPr="009118AB">
        <w:rPr>
          <w:i/>
          <w:iCs/>
        </w:rPr>
        <w:t>in Kraft ab dem Steuerjahr 2007</w:t>
      </w:r>
      <w:r w:rsidR="003366D9" w:rsidRPr="009118AB">
        <w:rPr>
          <w:i/>
          <w:iCs/>
        </w:rPr>
        <w:t> -;</w:t>
      </w:r>
      <w:r w:rsidR="00872410" w:rsidRPr="009118AB">
        <w:rPr>
          <w:i/>
          <w:iCs/>
        </w:rPr>
        <w:t xml:space="preserve"> </w:t>
      </w:r>
      <w:r w:rsidR="00D67EB8" w:rsidRPr="009118AB">
        <w:rPr>
          <w:i/>
          <w:iCs/>
        </w:rPr>
        <w:t>§ </w:t>
      </w:r>
      <w:r w:rsidR="00872410" w:rsidRPr="009118AB">
        <w:rPr>
          <w:i/>
          <w:iCs/>
        </w:rPr>
        <w:t xml:space="preserve">1 </w:t>
      </w:r>
      <w:r w:rsidR="00D67EB8" w:rsidRPr="009118AB">
        <w:rPr>
          <w:i/>
          <w:iCs/>
        </w:rPr>
        <w:t>Abs. </w:t>
      </w:r>
      <w:r w:rsidR="00872410" w:rsidRPr="009118AB">
        <w:rPr>
          <w:i/>
          <w:iCs/>
        </w:rPr>
        <w:t xml:space="preserve">1 abgeändert durch </w:t>
      </w:r>
      <w:r w:rsidR="00D67EB8" w:rsidRPr="009118AB">
        <w:rPr>
          <w:i/>
          <w:iCs/>
        </w:rPr>
        <w:t>Art. </w:t>
      </w:r>
      <w:r w:rsidR="00872410" w:rsidRPr="009118AB">
        <w:rPr>
          <w:i/>
          <w:iCs/>
        </w:rPr>
        <w:t>154 des G. (I) vom 22. Dezember 2008 (II) (B.S. vom 29. Dezember 2008)</w:t>
      </w:r>
      <w:r w:rsidR="00D67EB8" w:rsidRPr="009118AB">
        <w:rPr>
          <w:i/>
          <w:iCs/>
        </w:rPr>
        <w:t> - </w:t>
      </w:r>
      <w:r w:rsidR="00872410" w:rsidRPr="009118AB">
        <w:rPr>
          <w:i/>
          <w:iCs/>
        </w:rPr>
        <w:t>anwendbar ab dem Steuerjahr 2009</w:t>
      </w:r>
      <w:r w:rsidR="00D67EB8" w:rsidRPr="009118AB">
        <w:rPr>
          <w:i/>
          <w:iCs/>
        </w:rPr>
        <w:t> - </w:t>
      </w:r>
      <w:r w:rsidR="000117ED" w:rsidRPr="009118AB">
        <w:rPr>
          <w:i/>
          <w:iCs/>
        </w:rPr>
        <w:t xml:space="preserve">und </w:t>
      </w:r>
      <w:r w:rsidR="00D67EB8" w:rsidRPr="009118AB">
        <w:rPr>
          <w:i/>
          <w:iCs/>
        </w:rPr>
        <w:t>Art. </w:t>
      </w:r>
      <w:r w:rsidR="000117ED" w:rsidRPr="009118AB">
        <w:rPr>
          <w:i/>
          <w:iCs/>
        </w:rPr>
        <w:t>99</w:t>
      </w:r>
      <w:r w:rsidR="000117ED" w:rsidRPr="009118AB">
        <w:rPr>
          <w:i/>
        </w:rPr>
        <w:t xml:space="preserve"> des G. vom 26. Dezember 2015 (II) (B.S. vom 30. Dezember 2015)</w:t>
      </w:r>
      <w:r w:rsidR="00D67EB8" w:rsidRPr="009118AB">
        <w:t> - </w:t>
      </w:r>
      <w:r w:rsidR="000117ED" w:rsidRPr="009118AB">
        <w:rPr>
          <w:i/>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w:t>
      </w:r>
      <w:r w:rsidR="00FD68E8" w:rsidRPr="009118AB">
        <w:rPr>
          <w:i/>
        </w:rPr>
        <w:t> -,</w:t>
      </w:r>
      <w:r w:rsidRPr="009118AB">
        <w:rPr>
          <w:i/>
          <w:iCs/>
          <w:spacing w:val="-1"/>
        </w:rPr>
        <w:t xml:space="preserve"> selbst widerrufen durch </w:t>
      </w:r>
      <w:r w:rsidR="00D67EB8" w:rsidRPr="009118AB">
        <w:rPr>
          <w:i/>
          <w:iCs/>
          <w:spacing w:val="-1"/>
        </w:rPr>
        <w:t>Art. </w:t>
      </w:r>
      <w:r w:rsidRPr="009118AB">
        <w:rPr>
          <w:i/>
          <w:iCs/>
          <w:spacing w:val="-1"/>
        </w:rPr>
        <w:t>89 des G. vom 25. Dezember 2017</w:t>
      </w:r>
      <w:r w:rsidR="002D252C" w:rsidRPr="009118AB">
        <w:rPr>
          <w:i/>
          <w:iCs/>
          <w:spacing w:val="-1"/>
        </w:rPr>
        <w:t> (III)</w:t>
      </w:r>
      <w:r w:rsidRPr="009118AB">
        <w:rPr>
          <w:i/>
          <w:iCs/>
          <w:spacing w:val="-1"/>
        </w:rPr>
        <w:t xml:space="preserve"> (B.S. vom 29. Dezember 2017)</w:t>
      </w:r>
      <w:r w:rsidR="000117ED" w:rsidRPr="009118AB">
        <w:rPr>
          <w:i/>
        </w:rPr>
        <w:t xml:space="preserve">; </w:t>
      </w:r>
      <w:r w:rsidR="00D67EB8" w:rsidRPr="009118AB">
        <w:rPr>
          <w:i/>
        </w:rPr>
        <w:t>§ </w:t>
      </w:r>
      <w:r w:rsidR="000117ED" w:rsidRPr="009118AB">
        <w:rPr>
          <w:i/>
        </w:rPr>
        <w:t xml:space="preserve">2 abgeändert durch </w:t>
      </w:r>
      <w:r w:rsidR="00D67EB8" w:rsidRPr="009118AB">
        <w:rPr>
          <w:i/>
        </w:rPr>
        <w:t>Art. </w:t>
      </w:r>
      <w:r w:rsidR="000117ED" w:rsidRPr="009118AB">
        <w:rPr>
          <w:i/>
        </w:rPr>
        <w:t>99 des G. vom 26. Dezember 2015 (II) (B.S. vom 30. Dezember 2015)</w:t>
      </w:r>
      <w:r w:rsidR="00D67EB8" w:rsidRPr="009118AB">
        <w:t> - </w:t>
      </w:r>
      <w:r w:rsidR="000117ED" w:rsidRPr="009118AB">
        <w:rPr>
          <w:i/>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w:t>
      </w:r>
      <w:r w:rsidR="00FD68E8" w:rsidRPr="009118AB">
        <w:rPr>
          <w:i/>
        </w:rPr>
        <w:t> -,</w:t>
      </w:r>
      <w:r w:rsidRPr="009118AB">
        <w:rPr>
          <w:i/>
          <w:iCs/>
          <w:spacing w:val="-1"/>
        </w:rPr>
        <w:t xml:space="preserve"> selbst widerrufen durch </w:t>
      </w:r>
      <w:r w:rsidR="00D67EB8" w:rsidRPr="009118AB">
        <w:rPr>
          <w:i/>
          <w:iCs/>
          <w:spacing w:val="-1"/>
        </w:rPr>
        <w:t>Art. </w:t>
      </w:r>
      <w:r w:rsidRPr="009118AB">
        <w:rPr>
          <w:i/>
          <w:iCs/>
          <w:spacing w:val="-1"/>
        </w:rPr>
        <w:t>89 des G. vom 25. Dezember 2017</w:t>
      </w:r>
      <w:r w:rsidR="002D252C" w:rsidRPr="009118AB">
        <w:rPr>
          <w:i/>
          <w:iCs/>
          <w:spacing w:val="-1"/>
        </w:rPr>
        <w:t> (III)</w:t>
      </w:r>
      <w:r w:rsidRPr="009118AB">
        <w:rPr>
          <w:i/>
          <w:iCs/>
          <w:spacing w:val="-1"/>
        </w:rPr>
        <w:t xml:space="preserve"> (B.S. vom 29. Dezember 2017)</w:t>
      </w:r>
      <w:r w:rsidR="00477B8F" w:rsidRPr="009118AB">
        <w:rPr>
          <w:i/>
          <w:iCs/>
        </w:rPr>
        <w:t>]</w:t>
      </w:r>
    </w:p>
    <w:bookmarkEnd w:id="43"/>
    <w:p w14:paraId="572F28B7" w14:textId="77777777" w:rsidR="002D252C" w:rsidRDefault="002D252C"/>
    <w:p w14:paraId="0BEEDE24" w14:textId="77777777" w:rsidR="00F64B81" w:rsidRDefault="00F64B81"/>
    <w:p w14:paraId="467D305D" w14:textId="4D00B279" w:rsidR="00F64B81" w:rsidRDefault="00F64B81" w:rsidP="00F64B81">
      <w:pPr>
        <w:autoSpaceDE w:val="0"/>
        <w:autoSpaceDN w:val="0"/>
        <w:adjustRightInd w:val="0"/>
        <w:jc w:val="both"/>
        <w:rPr>
          <w:sz w:val="20"/>
          <w:szCs w:val="20"/>
        </w:rPr>
      </w:pPr>
      <w:r>
        <w:rPr>
          <w:sz w:val="20"/>
          <w:szCs w:val="20"/>
        </w:rPr>
        <w:t>Ab dem Steuerjahr 2026 (gemäß Art. 21 Abs. 2 des G. vom 12. Mai 2024 (B.S. vom 29. Mai 2024)) lautet Art. 530 wie folgt:</w:t>
      </w:r>
    </w:p>
    <w:p w14:paraId="4BB5307C" w14:textId="77777777" w:rsidR="00F64B81" w:rsidRDefault="00F64B81" w:rsidP="00F64B81">
      <w:pPr>
        <w:autoSpaceDE w:val="0"/>
        <w:autoSpaceDN w:val="0"/>
        <w:adjustRightInd w:val="0"/>
        <w:jc w:val="both"/>
        <w:rPr>
          <w:sz w:val="20"/>
          <w:szCs w:val="20"/>
        </w:rPr>
      </w:pPr>
    </w:p>
    <w:p w14:paraId="517C9BE0" w14:textId="39474741" w:rsidR="00F64B81" w:rsidRPr="00F64B81" w:rsidRDefault="00F64B81" w:rsidP="00F64B81">
      <w:pPr>
        <w:jc w:val="both"/>
        <w:rPr>
          <w:sz w:val="20"/>
          <w:szCs w:val="20"/>
        </w:rPr>
      </w:pPr>
      <w:r>
        <w:rPr>
          <w:sz w:val="20"/>
          <w:szCs w:val="20"/>
        </w:rPr>
        <w:t>"</w:t>
      </w:r>
      <w:r w:rsidRPr="00F64B81">
        <w:rPr>
          <w:sz w:val="20"/>
          <w:szCs w:val="20"/>
        </w:rPr>
        <w:t>Art. 530 - § 1 - In Bezug [auf Steuerpflichtige, die der Gesellschafts</w:t>
      </w:r>
      <w:r w:rsidRPr="00F64B81">
        <w:rPr>
          <w:sz w:val="20"/>
          <w:szCs w:val="20"/>
        </w:rPr>
        <w:softHyphen/>
        <w:t>steuer unterliegen, oder auf die in Artikel 227 Nr. 2 erwähnten Steuerpflichtigen, die der Steuer der Gebietsfremden unterliegen, und die] ab einem bestimmten Steuerjahr für die in Artikel 289</w:t>
      </w:r>
      <w:r w:rsidRPr="00F64B81">
        <w:rPr>
          <w:i/>
          <w:iCs/>
          <w:sz w:val="20"/>
          <w:szCs w:val="20"/>
        </w:rPr>
        <w:t>quater</w:t>
      </w:r>
      <w:r w:rsidRPr="00F64B81">
        <w:rPr>
          <w:sz w:val="20"/>
          <w:szCs w:val="20"/>
        </w:rPr>
        <w:t xml:space="preserve"> vorgesehene Steuergutschrift optieren, wird von der Gesamtheit des am Ende des vorhergehenden Steuerjahres übertragenen Investitionsabzugs der Teil dieser Gesamtheit, </w:t>
      </w:r>
      <w:r w:rsidR="00317B91">
        <w:rPr>
          <w:sz w:val="20"/>
          <w:szCs w:val="20"/>
        </w:rPr>
        <w:t>[</w:t>
      </w:r>
      <w:r w:rsidR="00317B91" w:rsidRPr="00317B91">
        <w:rPr>
          <w:sz w:val="20"/>
          <w:szCs w:val="20"/>
        </w:rPr>
        <w:t>der den Investitionsabzügen entspricht, die auf der Grundlage der Artikel 69 § 1 Absatz 1 Nr. 2 Buchstabe </w:t>
      </w:r>
      <w:r w:rsidR="00317B91" w:rsidRPr="00317B91">
        <w:rPr>
          <w:i/>
          <w:iCs/>
          <w:sz w:val="20"/>
          <w:szCs w:val="20"/>
        </w:rPr>
        <w:t>a)</w:t>
      </w:r>
      <w:r w:rsidR="00317B91" w:rsidRPr="00317B91">
        <w:rPr>
          <w:sz w:val="20"/>
          <w:szCs w:val="20"/>
        </w:rPr>
        <w:t xml:space="preserve"> und </w:t>
      </w:r>
      <w:r w:rsidR="00317B91" w:rsidRPr="00317B91">
        <w:rPr>
          <w:i/>
          <w:iCs/>
          <w:sz w:val="20"/>
          <w:szCs w:val="20"/>
        </w:rPr>
        <w:t>b)</w:t>
      </w:r>
      <w:r w:rsidR="00317B91" w:rsidRPr="00317B91">
        <w:rPr>
          <w:sz w:val="20"/>
          <w:szCs w:val="20"/>
        </w:rPr>
        <w:t xml:space="preserve"> und 70 Absatz 2, so wie sie vor ihrer Abänderung durch die Artikel 4 und 8 des Gesetzes vom 12. Mai 2024 zur Festlegung verschiedener steuerrechtlicher Bestimmungen bestanden, oder der Artikel 69 Absatz 1 Nr. 3 und 70 Absatz 2 bestimmt werden,</w:t>
      </w:r>
      <w:r w:rsidR="00317B91">
        <w:rPr>
          <w:sz w:val="20"/>
          <w:szCs w:val="20"/>
        </w:rPr>
        <w:t>]</w:t>
      </w:r>
      <w:r w:rsidRPr="00F64B81">
        <w:rPr>
          <w:sz w:val="20"/>
          <w:szCs w:val="20"/>
        </w:rPr>
        <w:t xml:space="preserve"> für die drei vorhergehenden Steuerjahre abgezogen.</w:t>
      </w:r>
    </w:p>
    <w:p w14:paraId="3474C874" w14:textId="77777777" w:rsidR="00F64B81" w:rsidRPr="00F64B81" w:rsidRDefault="00F64B81" w:rsidP="00F64B81">
      <w:pPr>
        <w:jc w:val="both"/>
        <w:rPr>
          <w:sz w:val="20"/>
          <w:szCs w:val="20"/>
        </w:rPr>
      </w:pPr>
    </w:p>
    <w:p w14:paraId="7F3AC914" w14:textId="7CAD7CC8" w:rsidR="00F64B81" w:rsidRPr="00F64B81" w:rsidRDefault="00F64B81" w:rsidP="00F64B81">
      <w:pPr>
        <w:jc w:val="both"/>
        <w:rPr>
          <w:sz w:val="20"/>
          <w:szCs w:val="20"/>
        </w:rPr>
      </w:pPr>
      <w:r w:rsidRPr="00F64B81">
        <w:rPr>
          <w:sz w:val="20"/>
          <w:szCs w:val="20"/>
        </w:rPr>
        <w:t>Der in Absatz 1 abgezogene Teil wird in eine übertragene Steuergutschrift für Forschung und Entwicklung umgewandelt, wobei dieser Teil mit dem in Artikel 289</w:t>
      </w:r>
      <w:r w:rsidRPr="00F64B81">
        <w:rPr>
          <w:i/>
          <w:iCs/>
          <w:sz w:val="20"/>
          <w:szCs w:val="20"/>
        </w:rPr>
        <w:t>quater</w:t>
      </w:r>
      <w:r w:rsidRPr="00F64B81">
        <w:rPr>
          <w:sz w:val="20"/>
          <w:szCs w:val="20"/>
        </w:rPr>
        <w:t xml:space="preserve"> Absatz 2 erwähnten Satz multipliziert wird.</w:t>
      </w:r>
    </w:p>
    <w:p w14:paraId="0D40F449" w14:textId="77777777" w:rsidR="00F64B81" w:rsidRPr="00F64B81" w:rsidRDefault="00F64B81" w:rsidP="00F64B81">
      <w:pPr>
        <w:jc w:val="both"/>
        <w:rPr>
          <w:sz w:val="20"/>
          <w:szCs w:val="20"/>
        </w:rPr>
      </w:pPr>
    </w:p>
    <w:p w14:paraId="0FE85D47" w14:textId="2698FAF8" w:rsidR="00F64B81" w:rsidRPr="00F64B81" w:rsidRDefault="00F64B81" w:rsidP="00F64B81">
      <w:pPr>
        <w:jc w:val="both"/>
        <w:rPr>
          <w:sz w:val="20"/>
          <w:szCs w:val="20"/>
        </w:rPr>
      </w:pPr>
      <w:r w:rsidRPr="00F64B81">
        <w:rPr>
          <w:sz w:val="20"/>
          <w:szCs w:val="20"/>
        </w:rPr>
        <w:t>Für diese Steuergutschrift gilt, dass sie sich auf das Steuerjahr vor dem, für das für die Steuergutschrift für Forschung und Entwicklung optiert wurde, bezieht.</w:t>
      </w:r>
    </w:p>
    <w:p w14:paraId="604F2E94" w14:textId="77777777" w:rsidR="00F64B81" w:rsidRPr="00F64B81" w:rsidRDefault="00F64B81" w:rsidP="00F64B81">
      <w:pPr>
        <w:jc w:val="both"/>
        <w:rPr>
          <w:sz w:val="20"/>
          <w:szCs w:val="20"/>
        </w:rPr>
      </w:pPr>
    </w:p>
    <w:p w14:paraId="58BAD009" w14:textId="55E0CEBD" w:rsidR="00F64B81" w:rsidRPr="00F64B81" w:rsidRDefault="00F64B81" w:rsidP="00F64B81">
      <w:pPr>
        <w:jc w:val="both"/>
        <w:rPr>
          <w:sz w:val="20"/>
          <w:szCs w:val="20"/>
        </w:rPr>
      </w:pPr>
      <w:r w:rsidRPr="00F64B81">
        <w:rPr>
          <w:sz w:val="20"/>
          <w:szCs w:val="20"/>
        </w:rPr>
        <w:t>In Abweichung von Artikel 292</w:t>
      </w:r>
      <w:r w:rsidRPr="00F64B81">
        <w:rPr>
          <w:i/>
          <w:iCs/>
          <w:sz w:val="20"/>
          <w:szCs w:val="20"/>
        </w:rPr>
        <w:t>bis</w:t>
      </w:r>
      <w:r w:rsidRPr="00F64B81">
        <w:rPr>
          <w:sz w:val="20"/>
          <w:szCs w:val="20"/>
        </w:rPr>
        <w:t xml:space="preserve"> § 1 Absatz 2 und 5 ist diese Steuergutschrift nicht erstattungsfähig, sie kann jedoch ohne zeitliche Begrenzung übertragen werden.</w:t>
      </w:r>
    </w:p>
    <w:p w14:paraId="11CBD52B" w14:textId="77777777" w:rsidR="00F64B81" w:rsidRPr="00F64B81" w:rsidRDefault="00F64B81" w:rsidP="00F64B81">
      <w:pPr>
        <w:jc w:val="both"/>
        <w:rPr>
          <w:sz w:val="20"/>
          <w:szCs w:val="20"/>
        </w:rPr>
      </w:pPr>
    </w:p>
    <w:p w14:paraId="53BD9BAD" w14:textId="2C680FEA" w:rsidR="00F64B81" w:rsidRPr="00F64B81" w:rsidRDefault="00F64B81" w:rsidP="00F64B81">
      <w:pPr>
        <w:jc w:val="both"/>
        <w:rPr>
          <w:sz w:val="20"/>
          <w:szCs w:val="20"/>
        </w:rPr>
      </w:pPr>
      <w:r w:rsidRPr="00F64B81">
        <w:rPr>
          <w:sz w:val="20"/>
          <w:szCs w:val="20"/>
        </w:rPr>
        <w:t>§ 2 - In Bezug auf dieselben Steuerpflichtigen, die sich in Anwendung von Artikel 70 Absatz 2 für die Staffelung des Investitionsabzugs entschieden haben für Anlagen, die in den Besteuerungszeiträumen vor dem Besteuerungszeitraum, in dem für die Steuergutschrift optiert wird, erworben oder gebildet wurden, entspricht die gestaffelte Steuergutschrift für Forschung und Entwicklung, die an die Stelle des gestaffelten Investitionsabzugs für diese Anlagen tritt, für jedes Steuerjahr, das einem kommenden Besteuerungszeitraum des Abschreibungszeitraums entspricht, der für den Besteuerungszeitraum zugelassenen Abschreibung, multipliziert mit dem in Artikel 70 Absatz 2 vorgesehenen Prozentsatz und dem in Artikel 289</w:t>
      </w:r>
      <w:r w:rsidRPr="00F64B81">
        <w:rPr>
          <w:i/>
          <w:iCs/>
          <w:sz w:val="20"/>
          <w:szCs w:val="20"/>
        </w:rPr>
        <w:t>quater</w:t>
      </w:r>
      <w:r w:rsidRPr="00F64B81">
        <w:rPr>
          <w:sz w:val="20"/>
          <w:szCs w:val="20"/>
        </w:rPr>
        <w:t xml:space="preserve"> Absatz 2 vorgesehenen Satz.]</w:t>
      </w:r>
    </w:p>
    <w:p w14:paraId="2C0A1982" w14:textId="77777777" w:rsidR="00F64B81" w:rsidRPr="00F64B81" w:rsidRDefault="00F64B81" w:rsidP="00F64B81">
      <w:pPr>
        <w:jc w:val="both"/>
        <w:rPr>
          <w:sz w:val="20"/>
          <w:szCs w:val="20"/>
        </w:rPr>
      </w:pPr>
    </w:p>
    <w:p w14:paraId="1A816C04" w14:textId="582697FF" w:rsidR="00F64B81" w:rsidRPr="00F64B81" w:rsidRDefault="00F64B81" w:rsidP="00F64B81">
      <w:pPr>
        <w:jc w:val="both"/>
        <w:rPr>
          <w:sz w:val="20"/>
          <w:szCs w:val="20"/>
        </w:rPr>
      </w:pPr>
      <w:r w:rsidRPr="00F64B81">
        <w:rPr>
          <w:i/>
          <w:iCs/>
          <w:sz w:val="20"/>
          <w:szCs w:val="20"/>
        </w:rPr>
        <w:t>[Art. 530 eingefügt durch Art. 131 des G. vom 23. Dezember 2005 (B.S. vom 30. Dezember 2005) - in Kraft ab dem Steuerjahr 2007 -; § 1 Abs. 1 abgeändert durch Art. 154 des G. (I) vom 22. Dezember 2008 (II) (B.S. vom 29. Dezember 2008) - anwendbar ab dem Steuerjahr 2009 -</w:t>
      </w:r>
      <w:r w:rsidR="00317B91">
        <w:rPr>
          <w:i/>
          <w:iCs/>
          <w:sz w:val="20"/>
          <w:szCs w:val="20"/>
        </w:rPr>
        <w:t>,</w:t>
      </w:r>
      <w:r w:rsidRPr="00F64B81">
        <w:rPr>
          <w:i/>
          <w:iCs/>
          <w:sz w:val="20"/>
          <w:szCs w:val="20"/>
        </w:rPr>
        <w:t xml:space="preserve"> Art. 99</w:t>
      </w:r>
      <w:r w:rsidRPr="00F64B81">
        <w:rPr>
          <w:i/>
          <w:sz w:val="20"/>
          <w:szCs w:val="20"/>
        </w:rPr>
        <w:t xml:space="preserve"> des G. vom 26. Dezember 2015 (II) (B.S. vom 30. Dezember 2015)</w:t>
      </w:r>
      <w:r w:rsidRPr="00F64B81">
        <w:rPr>
          <w:sz w:val="20"/>
          <w:szCs w:val="20"/>
        </w:rPr>
        <w:t> - </w:t>
      </w:r>
      <w:r w:rsidRPr="00F64B81">
        <w:rPr>
          <w:i/>
          <w:sz w:val="20"/>
          <w:szCs w:val="20"/>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 -,</w:t>
      </w:r>
      <w:r w:rsidRPr="00F64B81">
        <w:rPr>
          <w:i/>
          <w:iCs/>
          <w:sz w:val="20"/>
          <w:szCs w:val="20"/>
        </w:rPr>
        <w:t xml:space="preserve"> selbst widerrufen durch Art. 89 des G. vom 25. Dezember 2017 (III) (B.S. vom 29. Dezember 2017)</w:t>
      </w:r>
      <w:r w:rsidR="00317B91">
        <w:rPr>
          <w:i/>
          <w:iCs/>
          <w:sz w:val="20"/>
          <w:szCs w:val="20"/>
        </w:rPr>
        <w:t>, und durch Art. 19</w:t>
      </w:r>
      <w:r w:rsidR="00317B91" w:rsidRPr="00317B91">
        <w:rPr>
          <w:i/>
          <w:iCs/>
          <w:sz w:val="20"/>
          <w:szCs w:val="20"/>
        </w:rPr>
        <w:t xml:space="preserve"> des G. vom 12. Mai 2024 (B.S. vom 29. Mai 2024) - anwendbar ab dem </w:t>
      </w:r>
      <w:r w:rsidR="00317B91">
        <w:rPr>
          <w:i/>
          <w:iCs/>
          <w:sz w:val="20"/>
          <w:szCs w:val="20"/>
        </w:rPr>
        <w:t>Steuerjahr</w:t>
      </w:r>
      <w:r w:rsidR="00317B91" w:rsidRPr="00317B91">
        <w:rPr>
          <w:i/>
          <w:iCs/>
          <w:sz w:val="20"/>
          <w:szCs w:val="20"/>
        </w:rPr>
        <w:t> 202</w:t>
      </w:r>
      <w:r w:rsidR="00317B91">
        <w:rPr>
          <w:i/>
          <w:iCs/>
          <w:sz w:val="20"/>
          <w:szCs w:val="20"/>
        </w:rPr>
        <w:t>6 -</w:t>
      </w:r>
      <w:r w:rsidRPr="00F64B81">
        <w:rPr>
          <w:i/>
          <w:sz w:val="20"/>
          <w:szCs w:val="20"/>
        </w:rPr>
        <w:t>; § 2 abgeändert durch Art. 99 des G. vom 26. Dezember 2015 (II) (B.S. vom 30. Dezember 2015)</w:t>
      </w:r>
      <w:r w:rsidRPr="00F64B81">
        <w:rPr>
          <w:sz w:val="20"/>
          <w:szCs w:val="20"/>
        </w:rPr>
        <w:t> - </w:t>
      </w:r>
      <w:r w:rsidRPr="00F64B81">
        <w:rPr>
          <w:i/>
          <w:sz w:val="20"/>
          <w:szCs w:val="20"/>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 -,</w:t>
      </w:r>
      <w:r w:rsidRPr="00F64B81">
        <w:rPr>
          <w:i/>
          <w:iCs/>
          <w:sz w:val="20"/>
          <w:szCs w:val="20"/>
        </w:rPr>
        <w:t xml:space="preserve"> selbst widerrufen durch Art. 89 des G. vom 25. Dezember 2017 (III) (B.S. vom 29. Dezember 2017)]</w:t>
      </w:r>
      <w:r>
        <w:rPr>
          <w:sz w:val="20"/>
          <w:szCs w:val="20"/>
        </w:rPr>
        <w:t>"</w:t>
      </w:r>
    </w:p>
    <w:p w14:paraId="7C74AB35" w14:textId="72199C7B" w:rsidR="00F64B81" w:rsidRPr="009118AB" w:rsidRDefault="00F64B81" w:rsidP="00F64B81">
      <w:pPr>
        <w:jc w:val="both"/>
      </w:pPr>
    </w:p>
    <w:p w14:paraId="4739C76D" w14:textId="77777777" w:rsidR="008E4E81" w:rsidRPr="009118AB" w:rsidRDefault="008E4E81"/>
    <w:p w14:paraId="0EA47D5D" w14:textId="5732693D" w:rsidR="00477B8F" w:rsidRPr="009118AB" w:rsidRDefault="00477B8F" w:rsidP="00BE2DEA">
      <w:pPr>
        <w:autoSpaceDE w:val="0"/>
        <w:autoSpaceDN w:val="0"/>
        <w:adjustRightInd w:val="0"/>
        <w:ind w:firstLine="708"/>
        <w:jc w:val="both"/>
      </w:pPr>
      <w:r w:rsidRPr="009118AB">
        <w:t>[</w:t>
      </w:r>
      <w:r w:rsidR="00D67EB8" w:rsidRPr="009118AB">
        <w:rPr>
          <w:b/>
        </w:rPr>
        <w:t>Art. </w:t>
      </w:r>
      <w:r w:rsidRPr="009118AB">
        <w:rPr>
          <w:b/>
        </w:rPr>
        <w:t>531</w:t>
      </w:r>
      <w:r w:rsidR="00D67EB8" w:rsidRPr="009118AB">
        <w:t> - </w:t>
      </w:r>
      <w:r w:rsidR="00FD6FFB" w:rsidRPr="009118AB">
        <w:t xml:space="preserve">[Die Bestimmungen von Artikel 67 </w:t>
      </w:r>
      <w:r w:rsidR="00D67EB8" w:rsidRPr="009118AB">
        <w:t>§ </w:t>
      </w:r>
      <w:r w:rsidR="00FD6FFB" w:rsidRPr="009118AB">
        <w:t xml:space="preserve">4 bleiben auf Gewinne anwendbar, die vorher steuerfrei waren in Anwendung von Artikel 67 </w:t>
      </w:r>
      <w:r w:rsidR="00D67EB8" w:rsidRPr="009118AB">
        <w:t>§ </w:t>
      </w:r>
      <w:r w:rsidR="00FD6FFB" w:rsidRPr="009118AB">
        <w:t xml:space="preserve">1 </w:t>
      </w:r>
      <w:r w:rsidR="00D67EB8" w:rsidRPr="009118AB">
        <w:t>Nr. </w:t>
      </w:r>
      <w:r w:rsidR="00FD6FFB" w:rsidRPr="009118AB">
        <w:t xml:space="preserve">1 und </w:t>
      </w:r>
      <w:r w:rsidR="00D67EB8" w:rsidRPr="009118AB">
        <w:t>§ </w:t>
      </w:r>
      <w:r w:rsidR="00FD6FFB" w:rsidRPr="009118AB">
        <w:t xml:space="preserve">3, so wie diese Paragraphen vor ihrer Aufhebung durch das Programmgesetz (I) vom 27. Dezember 2006 bestanden, und von Artikel 67 </w:t>
      </w:r>
      <w:r w:rsidR="00D67EB8" w:rsidRPr="009118AB">
        <w:t>§ </w:t>
      </w:r>
      <w:r w:rsidR="00FD6FFB" w:rsidRPr="009118AB">
        <w:t xml:space="preserve">1 </w:t>
      </w:r>
      <w:r w:rsidR="00D67EB8" w:rsidRPr="009118AB">
        <w:t>Nr. </w:t>
      </w:r>
      <w:r w:rsidR="00FD6FFB" w:rsidRPr="009118AB">
        <w:t xml:space="preserve">2, so wie diese Nummer vor ihrer Aufhebung durch das Programmgesetz (I) vom 27. Dezember 2006 </w:t>
      </w:r>
      <w:r w:rsidR="00FD6FFB" w:rsidRPr="009118AB">
        <w:rPr>
          <w:i/>
        </w:rPr>
        <w:t>[sic, zu lesen ist: durch das Gesetz vom 24. Ju</w:t>
      </w:r>
      <w:r w:rsidR="00FD6FFB" w:rsidRPr="009118AB">
        <w:rPr>
          <w:i/>
        </w:rPr>
        <w:softHyphen/>
        <w:t>li 2008 zur Festlegung verschiedener Bestimmungen (I)]</w:t>
      </w:r>
      <w:r w:rsidR="00FD6FFB" w:rsidRPr="009118AB">
        <w:t xml:space="preserve"> bestand.]</w:t>
      </w:r>
      <w:r w:rsidRPr="009118AB">
        <w:t>]</w:t>
      </w:r>
    </w:p>
    <w:p w14:paraId="576A0751" w14:textId="77777777" w:rsidR="00477B8F" w:rsidRPr="009118AB" w:rsidRDefault="00477B8F" w:rsidP="003727BE">
      <w:pPr>
        <w:autoSpaceDE w:val="0"/>
        <w:autoSpaceDN w:val="0"/>
        <w:adjustRightInd w:val="0"/>
        <w:jc w:val="both"/>
      </w:pPr>
    </w:p>
    <w:p w14:paraId="19A7808D" w14:textId="4CCA599E" w:rsidR="00477B8F" w:rsidRPr="009118AB" w:rsidRDefault="00477B8F" w:rsidP="003727BE">
      <w:pPr>
        <w:autoSpaceDE w:val="0"/>
        <w:autoSpaceDN w:val="0"/>
        <w:adjustRightInd w:val="0"/>
        <w:jc w:val="both"/>
        <w:rPr>
          <w:iCs/>
        </w:rPr>
      </w:pPr>
      <w:r w:rsidRPr="009118AB">
        <w:rPr>
          <w:i/>
          <w:iCs/>
        </w:rPr>
        <w:t>[</w:t>
      </w:r>
      <w:r w:rsidR="00D67EB8" w:rsidRPr="009118AB">
        <w:rPr>
          <w:i/>
          <w:iCs/>
        </w:rPr>
        <w:t>Art. </w:t>
      </w:r>
      <w:r w:rsidRPr="009118AB">
        <w:rPr>
          <w:i/>
          <w:iCs/>
        </w:rPr>
        <w:t xml:space="preserve">531 eingefügt durch </w:t>
      </w:r>
      <w:r w:rsidR="00D67EB8" w:rsidRPr="009118AB">
        <w:rPr>
          <w:i/>
          <w:iCs/>
        </w:rPr>
        <w:t>Art. </w:t>
      </w:r>
      <w:r w:rsidRPr="009118AB">
        <w:rPr>
          <w:i/>
          <w:iCs/>
        </w:rPr>
        <w:t>31 des G. (I) vom 27. Dezember 2006</w:t>
      </w:r>
      <w:r w:rsidR="009649BD" w:rsidRPr="009118AB">
        <w:rPr>
          <w:i/>
          <w:iCs/>
        </w:rPr>
        <w:t xml:space="preserve"> (I)</w:t>
      </w:r>
      <w:r w:rsidRPr="009118AB">
        <w:rPr>
          <w:i/>
          <w:iCs/>
        </w:rPr>
        <w:t xml:space="preserve"> (B.S. vom 28. Dezember 2006)</w:t>
      </w:r>
      <w:r w:rsidR="00D67EB8" w:rsidRPr="009118AB">
        <w:rPr>
          <w:i/>
          <w:iCs/>
        </w:rPr>
        <w:t> - </w:t>
      </w:r>
      <w:r w:rsidRPr="009118AB">
        <w:rPr>
          <w:i/>
          <w:iCs/>
        </w:rPr>
        <w:t>anwendbar ab dem Steuerjahr 2008</w:t>
      </w:r>
      <w:r w:rsidR="00D67EB8" w:rsidRPr="009118AB">
        <w:rPr>
          <w:i/>
          <w:iCs/>
        </w:rPr>
        <w:t> - </w:t>
      </w:r>
      <w:r w:rsidR="002B2C18" w:rsidRPr="009118AB">
        <w:rPr>
          <w:i/>
          <w:iCs/>
        </w:rPr>
        <w:t xml:space="preserve">und ersetzt durch </w:t>
      </w:r>
      <w:r w:rsidR="00D67EB8" w:rsidRPr="009118AB">
        <w:rPr>
          <w:i/>
          <w:iCs/>
        </w:rPr>
        <w:t>Art. </w:t>
      </w:r>
      <w:r w:rsidR="002B2C18" w:rsidRPr="009118AB">
        <w:rPr>
          <w:i/>
          <w:iCs/>
        </w:rPr>
        <w:t>9 des G. (I) vom 24. Juli 2008 (I) (B.S. vom 7. August 2008)</w:t>
      </w:r>
      <w:r w:rsidR="00D67EB8" w:rsidRPr="009118AB">
        <w:rPr>
          <w:i/>
          <w:iCs/>
        </w:rPr>
        <w:t> - </w:t>
      </w:r>
      <w:r w:rsidR="002B2C18" w:rsidRPr="009118AB">
        <w:rPr>
          <w:i/>
          <w:iCs/>
        </w:rPr>
        <w:t>anwendbar ab dem Steuerjahr 2009</w:t>
      </w:r>
      <w:r w:rsidR="00FD68E8" w:rsidRPr="009118AB">
        <w:rPr>
          <w:i/>
          <w:iCs/>
        </w:rPr>
        <w:t> -]</w:t>
      </w:r>
    </w:p>
    <w:p w14:paraId="49FB57B2" w14:textId="77777777" w:rsidR="000A0A3C" w:rsidRPr="009118AB" w:rsidRDefault="000A0A3C" w:rsidP="003727BE">
      <w:pPr>
        <w:autoSpaceDE w:val="0"/>
        <w:autoSpaceDN w:val="0"/>
        <w:adjustRightInd w:val="0"/>
        <w:jc w:val="both"/>
        <w:rPr>
          <w:iCs/>
        </w:rPr>
      </w:pPr>
    </w:p>
    <w:p w14:paraId="4A602387" w14:textId="77777777" w:rsidR="000A0A3C" w:rsidRPr="009118AB" w:rsidRDefault="000A0A3C" w:rsidP="003727BE">
      <w:pPr>
        <w:autoSpaceDE w:val="0"/>
        <w:autoSpaceDN w:val="0"/>
        <w:adjustRightInd w:val="0"/>
        <w:jc w:val="both"/>
        <w:rPr>
          <w:iCs/>
        </w:rPr>
      </w:pPr>
    </w:p>
    <w:p w14:paraId="653FC00B" w14:textId="04A878C5" w:rsidR="000A0A3C" w:rsidRPr="009118AB" w:rsidRDefault="000A0A3C" w:rsidP="003727BE">
      <w:pPr>
        <w:autoSpaceDE w:val="0"/>
        <w:autoSpaceDN w:val="0"/>
        <w:adjustRightInd w:val="0"/>
        <w:jc w:val="both"/>
      </w:pPr>
      <w:r w:rsidRPr="009118AB">
        <w:rPr>
          <w:iCs/>
        </w:rPr>
        <w:tab/>
        <w:t>[</w:t>
      </w:r>
      <w:r w:rsidR="00D67EB8" w:rsidRPr="009118AB">
        <w:rPr>
          <w:b/>
        </w:rPr>
        <w:t>Art. </w:t>
      </w:r>
      <w:r w:rsidRPr="009118AB">
        <w:rPr>
          <w:b/>
        </w:rPr>
        <w:t>532</w:t>
      </w:r>
      <w:r w:rsidR="00D67EB8" w:rsidRPr="009118AB">
        <w:t> - </w:t>
      </w:r>
      <w:r w:rsidRPr="009118AB">
        <w:t>Die Bestimmungen der Artikel 58 und 463</w:t>
      </w:r>
      <w:r w:rsidRPr="009118AB">
        <w:rPr>
          <w:i/>
          <w:iCs/>
        </w:rPr>
        <w:t>bis</w:t>
      </w:r>
      <w:r w:rsidRPr="009118AB">
        <w:rPr>
          <w:iCs/>
        </w:rPr>
        <w:t xml:space="preserve"> </w:t>
      </w:r>
      <w:r w:rsidR="00D67EB8" w:rsidRPr="009118AB">
        <w:rPr>
          <w:iCs/>
        </w:rPr>
        <w:t>§ </w:t>
      </w:r>
      <w:r w:rsidRPr="009118AB">
        <w:rPr>
          <w:iCs/>
        </w:rPr>
        <w:t xml:space="preserve">2 </w:t>
      </w:r>
      <w:r w:rsidR="00D67EB8" w:rsidRPr="009118AB">
        <w:rPr>
          <w:iCs/>
        </w:rPr>
        <w:t>Nr. </w:t>
      </w:r>
      <w:r w:rsidRPr="009118AB">
        <w:rPr>
          <w:iCs/>
        </w:rPr>
        <w:t>1</w:t>
      </w:r>
      <w:r w:rsidRPr="009118AB">
        <w:t>, so wie sie vor ihrer Aufhebung durch das Gesetz vom 11. Mai 2007 zur Anpassung der Rechtsvorschriften über die Bekämpfung der Bestechung bestanden, bleiben auf geheime Provisionen anwendbar, deren Bewilligung als allgemein übliche Praxis gilt, wenn sie vor dem 8. Juni 2007 gezahlt oder zuerkannt wurden.]</w:t>
      </w:r>
    </w:p>
    <w:p w14:paraId="59B74335" w14:textId="77777777" w:rsidR="000A0A3C" w:rsidRPr="009118AB" w:rsidRDefault="000A0A3C" w:rsidP="003727BE">
      <w:pPr>
        <w:autoSpaceDE w:val="0"/>
        <w:autoSpaceDN w:val="0"/>
        <w:adjustRightInd w:val="0"/>
        <w:jc w:val="both"/>
      </w:pPr>
    </w:p>
    <w:p w14:paraId="669A2098" w14:textId="79BA792A" w:rsidR="000A0A3C" w:rsidRPr="009118AB" w:rsidRDefault="000A0A3C" w:rsidP="003727BE">
      <w:pPr>
        <w:autoSpaceDE w:val="0"/>
        <w:autoSpaceDN w:val="0"/>
        <w:adjustRightInd w:val="0"/>
        <w:jc w:val="both"/>
      </w:pPr>
      <w:r w:rsidRPr="009118AB">
        <w:rPr>
          <w:i/>
        </w:rPr>
        <w:t>[</w:t>
      </w:r>
      <w:r w:rsidR="00D67EB8" w:rsidRPr="009118AB">
        <w:rPr>
          <w:i/>
        </w:rPr>
        <w:t>Art. </w:t>
      </w:r>
      <w:r w:rsidRPr="009118AB">
        <w:rPr>
          <w:i/>
        </w:rPr>
        <w:t xml:space="preserve">532 eingefügt durch </w:t>
      </w:r>
      <w:r w:rsidR="00D67EB8" w:rsidRPr="009118AB">
        <w:rPr>
          <w:i/>
        </w:rPr>
        <w:t>Art. </w:t>
      </w:r>
      <w:r w:rsidRPr="009118AB">
        <w:rPr>
          <w:i/>
        </w:rPr>
        <w:t>141 des G. (I) vom 22. Dezember 2008 (II) (B.S. vom 29. Dezember 2008)</w:t>
      </w:r>
      <w:r w:rsidR="00D67EB8" w:rsidRPr="009118AB">
        <w:rPr>
          <w:i/>
        </w:rPr>
        <w:t> - </w:t>
      </w:r>
      <w:r w:rsidRPr="009118AB">
        <w:rPr>
          <w:i/>
        </w:rPr>
        <w:t>in Kraft am 8. Juni 2007</w:t>
      </w:r>
      <w:r w:rsidR="00FD68E8" w:rsidRPr="009118AB">
        <w:rPr>
          <w:i/>
        </w:rPr>
        <w:t> -]</w:t>
      </w:r>
    </w:p>
    <w:p w14:paraId="41E146FA" w14:textId="77777777" w:rsidR="0033238A" w:rsidRPr="009118AB" w:rsidRDefault="0033238A" w:rsidP="003727BE">
      <w:pPr>
        <w:autoSpaceDE w:val="0"/>
        <w:autoSpaceDN w:val="0"/>
        <w:adjustRightInd w:val="0"/>
        <w:jc w:val="both"/>
      </w:pPr>
    </w:p>
    <w:p w14:paraId="7A6CC3E7" w14:textId="77777777" w:rsidR="00250608" w:rsidRPr="009118AB" w:rsidRDefault="00250608" w:rsidP="003727BE">
      <w:pPr>
        <w:autoSpaceDE w:val="0"/>
        <w:autoSpaceDN w:val="0"/>
        <w:adjustRightInd w:val="0"/>
        <w:jc w:val="both"/>
      </w:pPr>
    </w:p>
    <w:p w14:paraId="39A46204" w14:textId="510B5F0B" w:rsidR="00C03EF2" w:rsidRPr="009118AB" w:rsidRDefault="00C03EF2" w:rsidP="003727BE">
      <w:pPr>
        <w:autoSpaceDE w:val="0"/>
        <w:autoSpaceDN w:val="0"/>
        <w:adjustRightInd w:val="0"/>
        <w:jc w:val="both"/>
      </w:pPr>
      <w:r w:rsidRPr="009118AB">
        <w:tab/>
        <w:t>[</w:t>
      </w:r>
      <w:r w:rsidR="00D67EB8" w:rsidRPr="009118AB">
        <w:rPr>
          <w:b/>
        </w:rPr>
        <w:t>Art. </w:t>
      </w:r>
      <w:r w:rsidRPr="009118AB">
        <w:rPr>
          <w:b/>
        </w:rPr>
        <w:t>533</w:t>
      </w:r>
      <w:r w:rsidR="00D67EB8" w:rsidRPr="009118AB">
        <w:t> - </w:t>
      </w:r>
      <w:r w:rsidRPr="009118AB">
        <w:t xml:space="preserve">Artikel 38 </w:t>
      </w:r>
      <w:r w:rsidR="00D67EB8" w:rsidRPr="009118AB">
        <w:t>§ </w:t>
      </w:r>
      <w:r w:rsidRPr="009118AB">
        <w:t xml:space="preserve">1 Absatz 1 </w:t>
      </w:r>
      <w:r w:rsidR="00D67EB8" w:rsidRPr="009118AB">
        <w:t>Nr. </w:t>
      </w:r>
      <w:r w:rsidRPr="009118AB">
        <w:t>17, so wie er vor seiner Ersetzung durch Artikel 40 des Gesetzes vom 6. Mai 2009 zur Festlegung verschiedener Bestimmungen bestand, bleibt auf Beteiligungen des Arbeitgebers in Ausführung von Angeboten, die vor dem 1. Januar 2009 gemacht wurden, anwendbar.]</w:t>
      </w:r>
    </w:p>
    <w:p w14:paraId="7250F8E9" w14:textId="77777777" w:rsidR="00C03EF2" w:rsidRPr="009118AB" w:rsidRDefault="00C03EF2" w:rsidP="003727BE">
      <w:pPr>
        <w:autoSpaceDE w:val="0"/>
        <w:autoSpaceDN w:val="0"/>
        <w:adjustRightInd w:val="0"/>
        <w:jc w:val="both"/>
      </w:pPr>
    </w:p>
    <w:p w14:paraId="2769EB19" w14:textId="52CD2E60" w:rsidR="00C03EF2" w:rsidRPr="009118AB" w:rsidRDefault="00C03EF2" w:rsidP="003727BE">
      <w:pPr>
        <w:autoSpaceDE w:val="0"/>
        <w:autoSpaceDN w:val="0"/>
        <w:adjustRightInd w:val="0"/>
        <w:jc w:val="both"/>
        <w:rPr>
          <w:i/>
        </w:rPr>
      </w:pPr>
      <w:r w:rsidRPr="009118AB">
        <w:rPr>
          <w:i/>
        </w:rPr>
        <w:t>[</w:t>
      </w:r>
      <w:r w:rsidR="00D67EB8" w:rsidRPr="009118AB">
        <w:rPr>
          <w:i/>
        </w:rPr>
        <w:t>Art. </w:t>
      </w:r>
      <w:r w:rsidRPr="009118AB">
        <w:rPr>
          <w:i/>
        </w:rPr>
        <w:t xml:space="preserve">533 eingefügt durch </w:t>
      </w:r>
      <w:r w:rsidR="00D67EB8" w:rsidRPr="009118AB">
        <w:rPr>
          <w:i/>
        </w:rPr>
        <w:t>Art. </w:t>
      </w:r>
      <w:r w:rsidRPr="009118AB">
        <w:rPr>
          <w:i/>
        </w:rPr>
        <w:t>41 des G. vom 6. Mai 2009 (B.S. vom 1</w:t>
      </w:r>
      <w:r w:rsidR="00936143" w:rsidRPr="009118AB">
        <w:rPr>
          <w:i/>
        </w:rPr>
        <w:t>9. Mai 2009)</w:t>
      </w:r>
      <w:r w:rsidR="00D67EB8" w:rsidRPr="009118AB">
        <w:rPr>
          <w:i/>
        </w:rPr>
        <w:t> - </w:t>
      </w:r>
      <w:r w:rsidR="00936143" w:rsidRPr="009118AB">
        <w:rPr>
          <w:i/>
        </w:rPr>
        <w:t>wirksam mit 1. Januar 2009</w:t>
      </w:r>
      <w:r w:rsidR="00FD68E8" w:rsidRPr="009118AB">
        <w:rPr>
          <w:i/>
        </w:rPr>
        <w:t> -]</w:t>
      </w:r>
    </w:p>
    <w:p w14:paraId="256CD9A7" w14:textId="77777777" w:rsidR="000A0A3C" w:rsidRPr="009118AB" w:rsidRDefault="000A0A3C" w:rsidP="003727BE">
      <w:pPr>
        <w:autoSpaceDE w:val="0"/>
        <w:autoSpaceDN w:val="0"/>
        <w:adjustRightInd w:val="0"/>
        <w:jc w:val="both"/>
      </w:pPr>
    </w:p>
    <w:p w14:paraId="5BE69EA7" w14:textId="6DBF603B" w:rsidR="003D2F34" w:rsidRPr="009118AB" w:rsidRDefault="000F4BBB" w:rsidP="00141459">
      <w:pPr>
        <w:autoSpaceDE w:val="0"/>
        <w:autoSpaceDN w:val="0"/>
        <w:adjustRightInd w:val="0"/>
        <w:jc w:val="both"/>
        <w:rPr>
          <w:sz w:val="20"/>
          <w:szCs w:val="20"/>
        </w:rPr>
      </w:pPr>
      <w:r w:rsidRPr="009118AB">
        <w:rPr>
          <w:sz w:val="20"/>
          <w:szCs w:val="20"/>
        </w:rPr>
        <w:t xml:space="preserve"> </w:t>
      </w:r>
    </w:p>
    <w:p w14:paraId="39615558" w14:textId="4FB0328E" w:rsidR="00F25F8A" w:rsidRPr="009118AB" w:rsidRDefault="00141459" w:rsidP="00F25F8A">
      <w:pPr>
        <w:autoSpaceDE w:val="0"/>
        <w:autoSpaceDN w:val="0"/>
        <w:adjustRightInd w:val="0"/>
        <w:ind w:firstLine="708"/>
        <w:jc w:val="both"/>
        <w:rPr>
          <w:bCs/>
        </w:rPr>
      </w:pPr>
      <w:r w:rsidRPr="009118AB">
        <w:rPr>
          <w:bCs/>
        </w:rPr>
        <w:t>[</w:t>
      </w:r>
      <w:r w:rsidR="00D67EB8" w:rsidRPr="009118AB">
        <w:rPr>
          <w:b/>
          <w:bCs/>
        </w:rPr>
        <w:t>Art. </w:t>
      </w:r>
      <w:r w:rsidRPr="009118AB">
        <w:rPr>
          <w:b/>
          <w:bCs/>
        </w:rPr>
        <w:t>534</w:t>
      </w:r>
      <w:r w:rsidR="00D67EB8" w:rsidRPr="009118AB">
        <w:rPr>
          <w:bCs/>
        </w:rPr>
        <w:t> - </w:t>
      </w:r>
      <w:r w:rsidR="00F25F8A" w:rsidRPr="009118AB">
        <w:rPr>
          <w:bCs/>
        </w:rPr>
        <w:t xml:space="preserve">[In Abweichung von den Artikeln 171 </w:t>
      </w:r>
      <w:r w:rsidR="00D67EB8" w:rsidRPr="009118AB">
        <w:rPr>
          <w:bCs/>
        </w:rPr>
        <w:t>Nr. </w:t>
      </w:r>
      <w:r w:rsidR="00F25F8A" w:rsidRPr="009118AB">
        <w:rPr>
          <w:bCs/>
        </w:rPr>
        <w:t xml:space="preserve">3 und 269 </w:t>
      </w:r>
      <w:r w:rsidR="00D67EB8" w:rsidRPr="009118AB">
        <w:rPr>
          <w:bCs/>
        </w:rPr>
        <w:t>Nr. </w:t>
      </w:r>
      <w:r w:rsidR="00F25F8A" w:rsidRPr="009118AB">
        <w:rPr>
          <w:bCs/>
        </w:rPr>
        <w:t>1] werden der Satz der Steuer der natürlichen Personen beziehungsweise des Mobiliensteuervorabzugs [für Einkünfte aus Staatsbons, die während des Zeitraums vom 24. November 2011 bis zum 2. Dezember 2011 gezeichnet und am 4. Dezember 2011 ausgegeben wurden], auf 15 Prozent festgelegt.</w:t>
      </w:r>
    </w:p>
    <w:p w14:paraId="6613E14A" w14:textId="77777777" w:rsidR="00F25F8A" w:rsidRPr="009118AB" w:rsidRDefault="00F25F8A" w:rsidP="00F25F8A">
      <w:pPr>
        <w:autoSpaceDE w:val="0"/>
        <w:autoSpaceDN w:val="0"/>
        <w:adjustRightInd w:val="0"/>
        <w:ind w:firstLine="708"/>
        <w:jc w:val="both"/>
        <w:rPr>
          <w:bCs/>
        </w:rPr>
      </w:pPr>
    </w:p>
    <w:p w14:paraId="23B6C94C" w14:textId="77777777" w:rsidR="00F25F8A" w:rsidRPr="009118AB" w:rsidRDefault="00F25F8A" w:rsidP="00F25F8A">
      <w:pPr>
        <w:autoSpaceDE w:val="0"/>
        <w:autoSpaceDN w:val="0"/>
        <w:adjustRightInd w:val="0"/>
        <w:ind w:firstLine="708"/>
        <w:jc w:val="both"/>
        <w:rPr>
          <w:bCs/>
        </w:rPr>
      </w:pPr>
      <w:r w:rsidRPr="009118AB">
        <w:rPr>
          <w:bCs/>
        </w:rPr>
        <w:t>[In Absatz 1 erwähnte Einkünfte, die Gegenstand der Einbehaltung des Mobiliensteuervorabzugs von 15 Prozent waren, müssen nicht bei der Steuer der natürlichen Personen angegeben werden.]</w:t>
      </w:r>
    </w:p>
    <w:p w14:paraId="3655344A" w14:textId="77777777" w:rsidR="00F25F8A" w:rsidRPr="009118AB" w:rsidRDefault="00F25F8A" w:rsidP="00F25F8A">
      <w:pPr>
        <w:autoSpaceDE w:val="0"/>
        <w:autoSpaceDN w:val="0"/>
        <w:adjustRightInd w:val="0"/>
        <w:ind w:firstLine="708"/>
        <w:jc w:val="both"/>
        <w:rPr>
          <w:bCs/>
        </w:rPr>
      </w:pPr>
    </w:p>
    <w:p w14:paraId="7DC3BFE3" w14:textId="2CB8E8E8" w:rsidR="00F25F8A" w:rsidRPr="009118AB" w:rsidRDefault="00F25F8A" w:rsidP="00F25F8A">
      <w:pPr>
        <w:autoSpaceDE w:val="0"/>
        <w:autoSpaceDN w:val="0"/>
        <w:adjustRightInd w:val="0"/>
        <w:ind w:firstLine="708"/>
        <w:jc w:val="both"/>
        <w:rPr>
          <w:bCs/>
        </w:rPr>
      </w:pPr>
      <w:r w:rsidRPr="009118AB">
        <w:rPr>
          <w:bCs/>
        </w:rPr>
        <w:t>[…]]</w:t>
      </w:r>
    </w:p>
    <w:p w14:paraId="59A572D5" w14:textId="77777777" w:rsidR="00F25F8A" w:rsidRPr="009118AB" w:rsidRDefault="00F25F8A" w:rsidP="00F25F8A">
      <w:pPr>
        <w:autoSpaceDE w:val="0"/>
        <w:autoSpaceDN w:val="0"/>
        <w:adjustRightInd w:val="0"/>
        <w:ind w:firstLine="708"/>
        <w:jc w:val="both"/>
        <w:rPr>
          <w:bCs/>
        </w:rPr>
      </w:pPr>
    </w:p>
    <w:p w14:paraId="3B332986" w14:textId="51CA3F36" w:rsidR="00F25F8A" w:rsidRPr="009118AB" w:rsidRDefault="00F25F8A" w:rsidP="00F25F8A">
      <w:pPr>
        <w:autoSpaceDE w:val="0"/>
        <w:autoSpaceDN w:val="0"/>
        <w:adjustRightInd w:val="0"/>
        <w:jc w:val="both"/>
        <w:rPr>
          <w:rFonts w:ascii="Times New Roman Italique" w:hAnsi="Times New Roman Italique"/>
          <w:bCs/>
          <w:iCs/>
          <w:spacing w:val="2"/>
        </w:rPr>
      </w:pPr>
      <w:r w:rsidRPr="009118AB">
        <w:rPr>
          <w:rFonts w:ascii="Times New Roman Italique" w:hAnsi="Times New Roman Italique"/>
          <w:bCs/>
          <w:i/>
          <w:spacing w:val="2"/>
        </w:rPr>
        <w:t>[</w:t>
      </w:r>
      <w:r w:rsidR="00D67EB8" w:rsidRPr="009118AB">
        <w:rPr>
          <w:rFonts w:ascii="Times New Roman Italique" w:hAnsi="Times New Roman Italique"/>
          <w:bCs/>
          <w:i/>
          <w:spacing w:val="2"/>
        </w:rPr>
        <w:t>Art. </w:t>
      </w:r>
      <w:r w:rsidRPr="009118AB">
        <w:rPr>
          <w:rFonts w:ascii="Times New Roman Italique" w:hAnsi="Times New Roman Italique"/>
          <w:bCs/>
          <w:i/>
          <w:spacing w:val="2"/>
        </w:rPr>
        <w:t xml:space="preserve">534 eingefügt durch </w:t>
      </w:r>
      <w:r w:rsidR="00D67EB8" w:rsidRPr="009118AB">
        <w:rPr>
          <w:rFonts w:ascii="Times New Roman Italique" w:hAnsi="Times New Roman Italique"/>
          <w:bCs/>
          <w:i/>
          <w:spacing w:val="2"/>
        </w:rPr>
        <w:t>Art. </w:t>
      </w:r>
      <w:r w:rsidRPr="009118AB">
        <w:rPr>
          <w:rFonts w:ascii="Times New Roman Italique" w:hAnsi="Times New Roman Italique"/>
          <w:bCs/>
          <w:i/>
          <w:spacing w:val="2"/>
        </w:rPr>
        <w:t>37</w:t>
      </w:r>
      <w:r w:rsidRPr="009118AB">
        <w:rPr>
          <w:rFonts w:ascii="Times New Roman Italique" w:hAnsi="Times New Roman Italique"/>
          <w:bCs/>
          <w:i/>
          <w:iCs/>
          <w:spacing w:val="2"/>
        </w:rPr>
        <w:t xml:space="preserve"> des G. vom 28. Dezember 2011 (B.S. vom 30. Dezember 2011)</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auf die ab dem 1. Januar 2012 zuerkannten oder ausgeschütteten Einkünfte</w:t>
      </w:r>
      <w:r w:rsidR="003366D9" w:rsidRPr="009118AB">
        <w:rPr>
          <w:rFonts w:ascii="Times New Roman Italique" w:hAnsi="Times New Roman Italique"/>
          <w:bCs/>
          <w:i/>
          <w:iCs/>
          <w:spacing w:val="2"/>
        </w:rPr>
        <w:t> -;</w:t>
      </w:r>
      <w:r w:rsidRPr="009118AB">
        <w:rPr>
          <w:rFonts w:ascii="Times New Roman Italique" w:hAnsi="Times New Roman Italique"/>
          <w:bCs/>
          <w:i/>
          <w:iCs/>
          <w:spacing w:val="2"/>
        </w:rPr>
        <w:t xml:space="preserve"> </w:t>
      </w:r>
      <w:r w:rsidR="00D67EB8" w:rsidRPr="009118AB">
        <w:rPr>
          <w:rFonts w:ascii="Times New Roman Italique" w:hAnsi="Times New Roman Italique"/>
          <w:bCs/>
          <w:i/>
          <w:iCs/>
          <w:spacing w:val="2"/>
        </w:rPr>
        <w:t>Abs. </w:t>
      </w:r>
      <w:r w:rsidRPr="009118AB">
        <w:rPr>
          <w:rFonts w:ascii="Times New Roman Italique" w:hAnsi="Times New Roman Italique"/>
          <w:bCs/>
          <w:i/>
          <w:iCs/>
          <w:spacing w:val="2"/>
        </w:rPr>
        <w:t xml:space="preserve">1 abgeändert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152 des G. (I) vom 29. März 2012 (B.S. vom 6. April 2012)</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 xml:space="preserve">anwendbar auf die ab dem 1. Januar 2012 bezogenen Einkünfte,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 xml:space="preserve">93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1</w:t>
      </w:r>
      <w:r w:rsidRPr="009118AB">
        <w:rPr>
          <w:rFonts w:ascii="Times New Roman Italique" w:hAnsi="Times New Roman Italique"/>
          <w:bCs/>
          <w:i/>
          <w:spacing w:val="2"/>
        </w:rPr>
        <w:t xml:space="preserve"> des G. vom 27. Dezember 2012 (B.S. vom 31. Dezember 2012)</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 xml:space="preserve">anwendbar </w:t>
      </w:r>
      <w:r w:rsidR="00AB6422" w:rsidRPr="009118AB">
        <w:rPr>
          <w:rFonts w:ascii="Times New Roman Italique" w:hAnsi="Times New Roman Italique"/>
          <w:bCs/>
          <w:i/>
          <w:iCs/>
          <w:spacing w:val="2"/>
        </w:rPr>
        <w:t>a</w:t>
      </w:r>
      <w:r w:rsidRPr="009118AB">
        <w:rPr>
          <w:rFonts w:ascii="Times New Roman Italique" w:hAnsi="Times New Roman Italique"/>
          <w:bCs/>
          <w:i/>
          <w:iCs/>
          <w:spacing w:val="2"/>
        </w:rPr>
        <w:t>uf die ab dem 1. Januar 2012 zuerkannten oder ausgeschütteten Einkünfte</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 xml:space="preserve">und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 xml:space="preserve">94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1 des G. vom 27. Dezember 2012 (B.S. vom 31. Dezember 2012)</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auf die ab dem 1. Januar 2013 zuerkannten oder ausgeschütteten Einkünfte</w:t>
      </w:r>
      <w:r w:rsidR="003366D9" w:rsidRPr="009118AB">
        <w:rPr>
          <w:rFonts w:ascii="Times New Roman Italique" w:hAnsi="Times New Roman Italique"/>
          <w:bCs/>
          <w:i/>
          <w:iCs/>
          <w:spacing w:val="2"/>
        </w:rPr>
        <w:t> -;</w:t>
      </w:r>
      <w:r w:rsidRPr="009118AB">
        <w:rPr>
          <w:rFonts w:ascii="Times New Roman Italique" w:hAnsi="Times New Roman Italique"/>
          <w:bCs/>
          <w:i/>
          <w:iCs/>
          <w:spacing w:val="2"/>
        </w:rPr>
        <w:t xml:space="preserve"> </w:t>
      </w:r>
      <w:r w:rsidR="00D67EB8" w:rsidRPr="009118AB">
        <w:rPr>
          <w:rFonts w:ascii="Times New Roman Italique" w:hAnsi="Times New Roman Italique"/>
          <w:bCs/>
          <w:i/>
          <w:iCs/>
          <w:spacing w:val="2"/>
        </w:rPr>
        <w:t>Abs. </w:t>
      </w:r>
      <w:r w:rsidRPr="009118AB">
        <w:rPr>
          <w:rFonts w:ascii="Times New Roman Italique" w:hAnsi="Times New Roman Italique"/>
          <w:bCs/>
          <w:i/>
          <w:iCs/>
          <w:spacing w:val="2"/>
        </w:rPr>
        <w:t xml:space="preserve">2 ersetzt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 xml:space="preserve">94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2 des G. vom 27. Dezember 2012 (B.S. vom 31. Dezember 2012)</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auf die ab dem 1. Januar 2013 zuerkannten oder ausgeschütteten Einkünfte</w:t>
      </w:r>
      <w:r w:rsidR="003366D9" w:rsidRPr="009118AB">
        <w:rPr>
          <w:rFonts w:ascii="Times New Roman Italique" w:hAnsi="Times New Roman Italique"/>
          <w:bCs/>
          <w:i/>
          <w:iCs/>
          <w:spacing w:val="2"/>
        </w:rPr>
        <w:t> -;</w:t>
      </w:r>
      <w:r w:rsidRPr="009118AB">
        <w:rPr>
          <w:rFonts w:ascii="Times New Roman Italique" w:hAnsi="Times New Roman Italique"/>
          <w:bCs/>
          <w:i/>
          <w:iCs/>
          <w:spacing w:val="2"/>
        </w:rPr>
        <w:t xml:space="preserve"> </w:t>
      </w:r>
      <w:r w:rsidR="00D67EB8" w:rsidRPr="009118AB">
        <w:rPr>
          <w:rFonts w:ascii="Times New Roman Italique" w:hAnsi="Times New Roman Italique"/>
          <w:bCs/>
          <w:i/>
          <w:iCs/>
          <w:spacing w:val="2"/>
        </w:rPr>
        <w:t>Abs. </w:t>
      </w:r>
      <w:r w:rsidRPr="009118AB">
        <w:rPr>
          <w:rFonts w:ascii="Times New Roman Italique" w:hAnsi="Times New Roman Italique"/>
          <w:bCs/>
          <w:i/>
          <w:iCs/>
          <w:spacing w:val="2"/>
        </w:rPr>
        <w:t xml:space="preserve">3 aufgehoben durch </w:t>
      </w:r>
      <w:r w:rsidR="00D67EB8" w:rsidRPr="009118AB">
        <w:rPr>
          <w:rFonts w:ascii="Times New Roman Italique" w:hAnsi="Times New Roman Italique"/>
          <w:bCs/>
          <w:i/>
          <w:iCs/>
          <w:spacing w:val="2"/>
        </w:rPr>
        <w:t>Art. </w:t>
      </w:r>
      <w:r w:rsidRPr="009118AB">
        <w:rPr>
          <w:rFonts w:ascii="Times New Roman Italique" w:hAnsi="Times New Roman Italique"/>
          <w:bCs/>
          <w:i/>
          <w:iCs/>
          <w:spacing w:val="2"/>
        </w:rPr>
        <w:t xml:space="preserve">94 </w:t>
      </w:r>
      <w:r w:rsidR="00D67EB8" w:rsidRPr="009118AB">
        <w:rPr>
          <w:rFonts w:ascii="Times New Roman Italique" w:hAnsi="Times New Roman Italique"/>
          <w:bCs/>
          <w:i/>
          <w:iCs/>
          <w:spacing w:val="2"/>
        </w:rPr>
        <w:t>Nr. </w:t>
      </w:r>
      <w:r w:rsidRPr="009118AB">
        <w:rPr>
          <w:rFonts w:ascii="Times New Roman Italique" w:hAnsi="Times New Roman Italique"/>
          <w:bCs/>
          <w:i/>
          <w:iCs/>
          <w:spacing w:val="2"/>
        </w:rPr>
        <w:t>3 des G. vom 27. Dezember 2012 (B.S. vom 31. Dezember 2012)</w:t>
      </w:r>
      <w:r w:rsidR="00D67EB8" w:rsidRPr="009118AB">
        <w:rPr>
          <w:rFonts w:ascii="Times New Roman Italique" w:hAnsi="Times New Roman Italique"/>
          <w:bCs/>
          <w:i/>
          <w:iCs/>
          <w:spacing w:val="2"/>
        </w:rPr>
        <w:t> - </w:t>
      </w:r>
      <w:r w:rsidRPr="009118AB">
        <w:rPr>
          <w:rFonts w:ascii="Times New Roman Italique" w:hAnsi="Times New Roman Italique"/>
          <w:bCs/>
          <w:i/>
          <w:iCs/>
          <w:spacing w:val="2"/>
        </w:rPr>
        <w:t>anwendbar auf die ab dem 1. Januar 2013 zuerkannten oder ausgeschütteten Einkünfte</w:t>
      </w:r>
      <w:r w:rsidR="00FD68E8" w:rsidRPr="009118AB">
        <w:rPr>
          <w:rFonts w:ascii="Times New Roman Italique" w:hAnsi="Times New Roman Italique"/>
          <w:bCs/>
          <w:i/>
          <w:iCs/>
          <w:spacing w:val="2"/>
        </w:rPr>
        <w:t> -]</w:t>
      </w:r>
    </w:p>
    <w:p w14:paraId="34CCD2D8" w14:textId="77777777" w:rsidR="006A2667" w:rsidRPr="009118AB" w:rsidRDefault="006A2667" w:rsidP="00F25F8A">
      <w:pPr>
        <w:autoSpaceDE w:val="0"/>
        <w:autoSpaceDN w:val="0"/>
        <w:adjustRightInd w:val="0"/>
        <w:ind w:firstLine="708"/>
        <w:jc w:val="both"/>
        <w:rPr>
          <w:iCs/>
        </w:rPr>
      </w:pPr>
    </w:p>
    <w:p w14:paraId="30C18827" w14:textId="77777777" w:rsidR="006A2667" w:rsidRPr="009118AB" w:rsidRDefault="006A2667" w:rsidP="006A2667">
      <w:pPr>
        <w:autoSpaceDE w:val="0"/>
        <w:autoSpaceDN w:val="0"/>
        <w:adjustRightInd w:val="0"/>
        <w:jc w:val="both"/>
        <w:rPr>
          <w:iCs/>
        </w:rPr>
      </w:pPr>
    </w:p>
    <w:p w14:paraId="0B91184A" w14:textId="7B5DF14F" w:rsidR="00847A4A" w:rsidRPr="009118AB" w:rsidRDefault="00DA35C5" w:rsidP="00847A4A">
      <w:pPr>
        <w:jc w:val="both"/>
      </w:pPr>
      <w:r w:rsidRPr="009118AB">
        <w:rPr>
          <w:bCs/>
        </w:rPr>
        <w:tab/>
      </w:r>
      <w:r w:rsidR="006A2667" w:rsidRPr="009118AB">
        <w:rPr>
          <w:bCs/>
        </w:rPr>
        <w:t>[</w:t>
      </w:r>
      <w:r w:rsidR="00D67EB8" w:rsidRPr="009118AB">
        <w:rPr>
          <w:b/>
          <w:bCs/>
        </w:rPr>
        <w:t>Art. </w:t>
      </w:r>
      <w:r w:rsidR="006A2667" w:rsidRPr="009118AB">
        <w:rPr>
          <w:b/>
          <w:bCs/>
        </w:rPr>
        <w:t>535</w:t>
      </w:r>
      <w:r w:rsidR="00D67EB8" w:rsidRPr="009118AB">
        <w:rPr>
          <w:bCs/>
        </w:rPr>
        <w:t> - </w:t>
      </w:r>
      <w:r w:rsidR="0055193F" w:rsidRPr="009118AB">
        <w:rPr>
          <w:bCs/>
        </w:rPr>
        <w:t>[</w:t>
      </w:r>
      <w:r w:rsidR="00502FA9" w:rsidRPr="009118AB">
        <w:t>Artikel 145</w:t>
      </w:r>
      <w:r w:rsidR="00502FA9" w:rsidRPr="009118AB">
        <w:rPr>
          <w:vertAlign w:val="superscript"/>
        </w:rPr>
        <w:t>24</w:t>
      </w:r>
      <w:r w:rsidR="00502FA9" w:rsidRPr="009118AB">
        <w:t xml:space="preserve"> </w:t>
      </w:r>
      <w:r w:rsidR="00D67EB8" w:rsidRPr="009118AB">
        <w:t>§ </w:t>
      </w:r>
      <w:r w:rsidR="00502FA9" w:rsidRPr="009118AB">
        <w:t>2, so wie er vor seiner Aufhebung durch Artikel 41 des Gesetzes vom 28. Dezember 2011 zur Festlegung verschiedener Bestimmungen bestand, bleibt auf Steuerpflichtige anwendbar, die sich vor dem 1. Januar 2012 vertraglich verpflichtet haben, eine in diesem Artikel erwähnte Wohnung zu erwerben oder in diesem Artikel erwähnte Arbeiten durchzuführen</w:t>
      </w:r>
      <w:r w:rsidR="00847A4A" w:rsidRPr="009118AB">
        <w:t>[, wobei:</w:t>
      </w:r>
    </w:p>
    <w:p w14:paraId="585D735F" w14:textId="77777777" w:rsidR="00847A4A" w:rsidRPr="009118AB" w:rsidRDefault="00847A4A" w:rsidP="00847A4A">
      <w:pPr>
        <w:jc w:val="both"/>
      </w:pPr>
    </w:p>
    <w:p w14:paraId="141FEEF6" w14:textId="77777777" w:rsidR="00847A4A" w:rsidRPr="009118AB" w:rsidRDefault="00847A4A" w:rsidP="00847A4A">
      <w:pPr>
        <w:jc w:val="both"/>
      </w:pPr>
      <w:r w:rsidRPr="009118AB">
        <w:tab/>
        <w:t>- wenn eine gemeinsame Veranlagung festgelegt wird, die Steuerermäßigung entsprechend dem gemäß Artikel 130 besteuerten Einkommen jedes Ehepartners in der Gesamtheit der gemäß Artikel 130 besteuerten Einkünfte der beiden Ehepartner proportional aufgeteilt wird,</w:t>
      </w:r>
    </w:p>
    <w:p w14:paraId="281F18FA" w14:textId="77777777" w:rsidR="00847A4A" w:rsidRPr="009118AB" w:rsidRDefault="00847A4A" w:rsidP="00847A4A">
      <w:pPr>
        <w:jc w:val="both"/>
      </w:pPr>
    </w:p>
    <w:p w14:paraId="4C0DFED8" w14:textId="2D81B88B" w:rsidR="00847A4A" w:rsidRPr="009118AB" w:rsidRDefault="00847A4A" w:rsidP="00847A4A">
      <w:pPr>
        <w:jc w:val="both"/>
      </w:pPr>
      <w:r w:rsidRPr="009118AB">
        <w:tab/>
        <w:t xml:space="preserve">- zur Bestimmung der in Artikel 171 </w:t>
      </w:r>
      <w:r w:rsidR="00D67EB8" w:rsidRPr="009118AB">
        <w:t>Nr. </w:t>
      </w:r>
      <w:r w:rsidRPr="009118AB">
        <w:t>5 und 6 erwähnten Durchschnittssteuersätze die Steuerermäßigung berücksichtigt wird,</w:t>
      </w:r>
    </w:p>
    <w:p w14:paraId="4FF67E02" w14:textId="77777777" w:rsidR="00847A4A" w:rsidRPr="009118AB" w:rsidRDefault="00847A4A" w:rsidP="00847A4A">
      <w:pPr>
        <w:jc w:val="both"/>
      </w:pPr>
    </w:p>
    <w:p w14:paraId="3E4CEEE4" w14:textId="2DD626D1" w:rsidR="00502FA9" w:rsidRPr="009118AB" w:rsidRDefault="00847A4A" w:rsidP="00847A4A">
      <w:pPr>
        <w:ind w:firstLine="708"/>
        <w:jc w:val="both"/>
      </w:pPr>
      <w:r w:rsidRPr="009118AB">
        <w:tab/>
        <w:t>- die Steuerermäßigung nach der in Artikel 145</w:t>
      </w:r>
      <w:r w:rsidRPr="009118AB">
        <w:rPr>
          <w:vertAlign w:val="superscript"/>
        </w:rPr>
        <w:t>24</w:t>
      </w:r>
      <w:r w:rsidRPr="009118AB">
        <w:t xml:space="preserve"> </w:t>
      </w:r>
      <w:r w:rsidR="00D67EB8" w:rsidRPr="009118AB">
        <w:t>§ </w:t>
      </w:r>
      <w:r w:rsidRPr="009118AB">
        <w:t>1 erwähnten Steuerermäßigung gemäß Artikel 178/1 angerechnet wird]</w:t>
      </w:r>
      <w:r w:rsidR="00502FA9" w:rsidRPr="009118AB">
        <w:t>.</w:t>
      </w:r>
    </w:p>
    <w:p w14:paraId="28756457" w14:textId="77777777" w:rsidR="00502FA9" w:rsidRPr="009118AB" w:rsidRDefault="00502FA9" w:rsidP="00502FA9">
      <w:pPr>
        <w:jc w:val="both"/>
      </w:pPr>
    </w:p>
    <w:p w14:paraId="3A972A55" w14:textId="32CEE0FC" w:rsidR="00502FA9" w:rsidRPr="009118AB" w:rsidRDefault="00831940" w:rsidP="00502FA9">
      <w:pPr>
        <w:ind w:firstLine="708"/>
        <w:jc w:val="both"/>
      </w:pPr>
      <w:r w:rsidRPr="009118AB">
        <w:t>[</w:t>
      </w:r>
      <w:r w:rsidR="00502FA9" w:rsidRPr="009118AB">
        <w:t xml:space="preserve">Artikel 178 </w:t>
      </w:r>
      <w:r w:rsidR="00D67EB8" w:rsidRPr="009118AB">
        <w:t>§ </w:t>
      </w:r>
      <w:r w:rsidRPr="009118AB">
        <w:t xml:space="preserve">3 Absatz 2] </w:t>
      </w:r>
      <w:r w:rsidR="00502FA9" w:rsidRPr="009118AB">
        <w:t>ist auf Beträge anwendbar, die in Artikel 145</w:t>
      </w:r>
      <w:r w:rsidR="00502FA9" w:rsidRPr="009118AB">
        <w:rPr>
          <w:vertAlign w:val="superscript"/>
        </w:rPr>
        <w:t>24</w:t>
      </w:r>
      <w:r w:rsidR="00502FA9" w:rsidRPr="009118AB">
        <w:t xml:space="preserve"> </w:t>
      </w:r>
      <w:r w:rsidR="00D67EB8" w:rsidRPr="009118AB">
        <w:t>§ </w:t>
      </w:r>
      <w:r w:rsidR="00502FA9" w:rsidRPr="009118AB">
        <w:t>2 Absatz 7, so wie er vor seiner Aufhebung durch Artikel 41 des Gesetzes vom 28. Dezember 2011 zur Festlegung verschiedener Bestimmungen bestand, genannt sind.</w:t>
      </w:r>
    </w:p>
    <w:p w14:paraId="543FD8B8" w14:textId="77777777" w:rsidR="00502FA9" w:rsidRPr="009118AB" w:rsidRDefault="00502FA9" w:rsidP="00502FA9">
      <w:pPr>
        <w:jc w:val="both"/>
      </w:pPr>
    </w:p>
    <w:p w14:paraId="3069DC84" w14:textId="3E10C25B" w:rsidR="006A2667" w:rsidRPr="009118AB" w:rsidRDefault="00502FA9" w:rsidP="00502FA9">
      <w:pPr>
        <w:autoSpaceDE w:val="0"/>
        <w:autoSpaceDN w:val="0"/>
        <w:adjustRightInd w:val="0"/>
        <w:ind w:firstLine="708"/>
        <w:jc w:val="both"/>
        <w:rPr>
          <w:bCs/>
        </w:rPr>
      </w:pPr>
      <w:r w:rsidRPr="009118AB">
        <w:t>In Artikel 63</w:t>
      </w:r>
      <w:r w:rsidRPr="009118AB">
        <w:rPr>
          <w:vertAlign w:val="superscript"/>
        </w:rPr>
        <w:t>11</w:t>
      </w:r>
      <w:r w:rsidRPr="009118AB">
        <w:rPr>
          <w:i/>
        </w:rPr>
        <w:t>bis</w:t>
      </w:r>
      <w:r w:rsidRPr="009118AB">
        <w:t xml:space="preserve"> </w:t>
      </w:r>
      <w:r w:rsidR="00D67EB8" w:rsidRPr="009118AB">
        <w:t>§ </w:t>
      </w:r>
      <w:r w:rsidRPr="009118AB">
        <w:t>1 Absatz 1 des KE/EStGB 92 erwähnte Zulassungen bleiben für die Ausstellung von Bescheinigungen in Ausführung des vorliegenden Artikels gültig.</w:t>
      </w:r>
      <w:r w:rsidRPr="009118AB">
        <w:rPr>
          <w:bCs/>
        </w:rPr>
        <w:t>]</w:t>
      </w:r>
      <w:r w:rsidR="006A2667" w:rsidRPr="009118AB">
        <w:rPr>
          <w:bCs/>
        </w:rPr>
        <w:t>]</w:t>
      </w:r>
    </w:p>
    <w:p w14:paraId="683D8D57" w14:textId="77777777" w:rsidR="006A2667" w:rsidRPr="009118AB" w:rsidRDefault="006A2667" w:rsidP="006A2667">
      <w:pPr>
        <w:autoSpaceDE w:val="0"/>
        <w:autoSpaceDN w:val="0"/>
        <w:adjustRightInd w:val="0"/>
        <w:jc w:val="both"/>
        <w:rPr>
          <w:bCs/>
        </w:rPr>
      </w:pPr>
    </w:p>
    <w:p w14:paraId="1C643732" w14:textId="18104FB2" w:rsidR="006A2667" w:rsidRPr="009118AB" w:rsidRDefault="006A2667" w:rsidP="006A2667">
      <w:pPr>
        <w:autoSpaceDE w:val="0"/>
        <w:autoSpaceDN w:val="0"/>
        <w:adjustRightInd w:val="0"/>
        <w:jc w:val="both"/>
        <w:rPr>
          <w:rFonts w:ascii="Times New Roman Italique" w:hAnsi="Times New Roman Italique"/>
          <w:iCs/>
          <w:spacing w:val="-2"/>
        </w:rPr>
      </w:pPr>
      <w:r w:rsidRPr="009118AB">
        <w:rPr>
          <w:rFonts w:ascii="Times New Roman Italique" w:hAnsi="Times New Roman Italique"/>
          <w:bCs/>
          <w:i/>
          <w:spacing w:val="-2"/>
        </w:rPr>
        <w:t>[</w:t>
      </w:r>
      <w:r w:rsidR="00D67EB8" w:rsidRPr="009118AB">
        <w:rPr>
          <w:rFonts w:ascii="Times New Roman Italique" w:hAnsi="Times New Roman Italique"/>
          <w:bCs/>
          <w:i/>
          <w:spacing w:val="-2"/>
        </w:rPr>
        <w:t>Art. </w:t>
      </w:r>
      <w:r w:rsidRPr="009118AB">
        <w:rPr>
          <w:rFonts w:ascii="Times New Roman Italique" w:hAnsi="Times New Roman Italique"/>
          <w:bCs/>
          <w:i/>
          <w:spacing w:val="-2"/>
        </w:rPr>
        <w:t xml:space="preserve">535 eingefügt durch </w:t>
      </w:r>
      <w:r w:rsidR="00D67EB8" w:rsidRPr="009118AB">
        <w:rPr>
          <w:rFonts w:ascii="Times New Roman Italique" w:hAnsi="Times New Roman Italique"/>
          <w:bCs/>
          <w:i/>
          <w:spacing w:val="-2"/>
        </w:rPr>
        <w:t>Art. </w:t>
      </w:r>
      <w:r w:rsidRPr="009118AB">
        <w:rPr>
          <w:rFonts w:ascii="Times New Roman Italique" w:hAnsi="Times New Roman Italique"/>
          <w:bCs/>
          <w:i/>
          <w:spacing w:val="-2"/>
        </w:rPr>
        <w:t>51</w:t>
      </w:r>
      <w:r w:rsidRPr="009118AB">
        <w:rPr>
          <w:rFonts w:ascii="Times New Roman Italique" w:hAnsi="Times New Roman Italique"/>
          <w:i/>
          <w:iCs/>
          <w:spacing w:val="-2"/>
        </w:rPr>
        <w:t xml:space="preserve"> des G. vom 28. Dezember 2011 (B.S. vom 30. Dezember 2011)</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2013</w:t>
      </w:r>
      <w:r w:rsidR="00FD68E8" w:rsidRPr="009118AB">
        <w:rPr>
          <w:rFonts w:ascii="Times New Roman Italique" w:hAnsi="Times New Roman Italique"/>
          <w:i/>
          <w:iCs/>
          <w:spacing w:val="-2"/>
        </w:rPr>
        <w:t> -,</w:t>
      </w:r>
      <w:r w:rsidR="00AF6E0E" w:rsidRPr="009118AB">
        <w:rPr>
          <w:rFonts w:ascii="Times New Roman Italique" w:hAnsi="Times New Roman Italique"/>
          <w:i/>
          <w:iCs/>
          <w:spacing w:val="-2"/>
        </w:rPr>
        <w:t xml:space="preserve"> selbst für nichtig erklärt durch</w:t>
      </w:r>
      <w:r w:rsidR="00AF6E0E" w:rsidRPr="009118AB">
        <w:rPr>
          <w:i/>
          <w:iCs/>
        </w:rPr>
        <w:t xml:space="preserve"> Entscheid </w:t>
      </w:r>
      <w:r w:rsidR="00D67EB8" w:rsidRPr="009118AB">
        <w:rPr>
          <w:i/>
          <w:iCs/>
        </w:rPr>
        <w:t>Nr. </w:t>
      </w:r>
      <w:r w:rsidR="00AF6E0E" w:rsidRPr="009118AB">
        <w:rPr>
          <w:i/>
          <w:iCs/>
        </w:rPr>
        <w:t>63/2013 des Verfassungsgerichtshofes vom 8. Mai 2013 (B.S. vom 8. Juli 2013),</w:t>
      </w:r>
      <w:r w:rsidR="00502FA9" w:rsidRPr="009118AB">
        <w:rPr>
          <w:rFonts w:ascii="Times New Roman Italique" w:hAnsi="Times New Roman Italique"/>
          <w:i/>
          <w:iCs/>
          <w:spacing w:val="-2"/>
        </w:rPr>
        <w:t xml:space="preserve"> und er</w:t>
      </w:r>
      <w:r w:rsidR="00AF6E0E" w:rsidRPr="009118AB">
        <w:rPr>
          <w:rFonts w:ascii="Times New Roman Italique" w:hAnsi="Times New Roman Italique"/>
          <w:i/>
          <w:iCs/>
          <w:spacing w:val="-2"/>
        </w:rPr>
        <w:t>neu</w:t>
      </w:r>
      <w:r w:rsidR="00502FA9" w:rsidRPr="009118AB">
        <w:rPr>
          <w:rFonts w:ascii="Times New Roman Italique" w:hAnsi="Times New Roman Italique"/>
          <w:i/>
          <w:iCs/>
          <w:spacing w:val="-2"/>
        </w:rPr>
        <w:t>t</w:t>
      </w:r>
      <w:r w:rsidR="00AF6E0E" w:rsidRPr="009118AB">
        <w:rPr>
          <w:rFonts w:ascii="Times New Roman Italique" w:hAnsi="Times New Roman Italique"/>
          <w:i/>
          <w:iCs/>
          <w:spacing w:val="-2"/>
        </w:rPr>
        <w:t xml:space="preserve"> eingefügt</w:t>
      </w:r>
      <w:r w:rsidR="00502FA9" w:rsidRPr="009118AB">
        <w:rPr>
          <w:rFonts w:ascii="Times New Roman Italique" w:hAnsi="Times New Roman Italique"/>
          <w:i/>
          <w:iCs/>
          <w:spacing w:val="-2"/>
        </w:rPr>
        <w:t xml:space="preserve"> durch </w:t>
      </w:r>
      <w:r w:rsidR="00D67EB8" w:rsidRPr="009118AB">
        <w:rPr>
          <w:rFonts w:ascii="Times New Roman Italique" w:hAnsi="Times New Roman Italique"/>
          <w:i/>
          <w:iCs/>
          <w:spacing w:val="-2"/>
        </w:rPr>
        <w:t>Art. </w:t>
      </w:r>
      <w:r w:rsidR="00502FA9" w:rsidRPr="009118AB">
        <w:rPr>
          <w:rFonts w:ascii="Times New Roman Italique" w:hAnsi="Times New Roman Italique"/>
          <w:i/>
          <w:iCs/>
          <w:spacing w:val="-2"/>
        </w:rPr>
        <w:t xml:space="preserve">13 des G. vom 21. Dezember 2013 (II) (B.S. vom </w:t>
      </w:r>
      <w:r w:rsidR="000C37FA" w:rsidRPr="009118AB">
        <w:rPr>
          <w:i/>
          <w:iCs/>
        </w:rPr>
        <w:t>31. Dezember 2013</w:t>
      </w:r>
      <w:r w:rsidR="00502FA9" w:rsidRPr="009118AB">
        <w:rPr>
          <w:rFonts w:ascii="Times New Roman Italique" w:hAnsi="Times New Roman Italique"/>
          <w:i/>
          <w:iCs/>
          <w:spacing w:val="-2"/>
        </w:rPr>
        <w:t>)</w:t>
      </w:r>
      <w:r w:rsidR="00D67EB8" w:rsidRPr="009118AB">
        <w:rPr>
          <w:rFonts w:ascii="Times New Roman Italique" w:hAnsi="Times New Roman Italique"/>
          <w:i/>
          <w:spacing w:val="-2"/>
        </w:rPr>
        <w:t> - </w:t>
      </w:r>
      <w:r w:rsidR="00502FA9" w:rsidRPr="009118AB">
        <w:rPr>
          <w:rFonts w:ascii="Times New Roman Italique" w:hAnsi="Times New Roman Italique"/>
          <w:i/>
          <w:spacing w:val="-2"/>
        </w:rPr>
        <w:t>anwendbar ab dem Steuerjahr 2013</w:t>
      </w:r>
      <w:r w:rsidR="003366D9" w:rsidRPr="009118AB">
        <w:rPr>
          <w:rFonts w:ascii="Times New Roman Italique" w:hAnsi="Times New Roman Italique"/>
          <w:i/>
          <w:spacing w:val="-2"/>
        </w:rPr>
        <w:t> -;</w:t>
      </w:r>
      <w:r w:rsidR="00DA35C5" w:rsidRPr="009118AB">
        <w:rPr>
          <w:rFonts w:ascii="Times New Roman Italique" w:hAnsi="Times New Roman Italique"/>
          <w:i/>
          <w:spacing w:val="-2"/>
        </w:rPr>
        <w:t xml:space="preserve"> </w:t>
      </w:r>
      <w:r w:rsidR="00D67EB8" w:rsidRPr="009118AB">
        <w:rPr>
          <w:rFonts w:ascii="Times New Roman Italique" w:hAnsi="Times New Roman Italique"/>
          <w:i/>
          <w:spacing w:val="-2"/>
        </w:rPr>
        <w:t>Abs. </w:t>
      </w:r>
      <w:r w:rsidR="00DA35C5" w:rsidRPr="009118AB">
        <w:rPr>
          <w:rFonts w:ascii="Times New Roman Italique" w:hAnsi="Times New Roman Italique"/>
          <w:i/>
          <w:spacing w:val="-2"/>
        </w:rPr>
        <w:t xml:space="preserve">1 ergänzt durch </w:t>
      </w:r>
      <w:r w:rsidR="00D67EB8" w:rsidRPr="009118AB">
        <w:rPr>
          <w:rFonts w:ascii="Times New Roman Italique" w:hAnsi="Times New Roman Italique"/>
          <w:i/>
          <w:spacing w:val="-2"/>
        </w:rPr>
        <w:t>Art. </w:t>
      </w:r>
      <w:r w:rsidR="00DA35C5" w:rsidRPr="009118AB">
        <w:rPr>
          <w:rFonts w:ascii="Times New Roman Italique" w:hAnsi="Times New Roman Italique"/>
          <w:i/>
          <w:spacing w:val="-2"/>
        </w:rPr>
        <w:t>104</w:t>
      </w:r>
      <w:r w:rsidR="00DA35C5" w:rsidRPr="009118AB">
        <w:rPr>
          <w:i/>
        </w:rPr>
        <w:t xml:space="preserve"> des G. vom 8. Mai 2014 (B.S. vom </w:t>
      </w:r>
      <w:r w:rsidR="00DA35C5" w:rsidRPr="009118AB">
        <w:rPr>
          <w:rFonts w:ascii="Times New Roman Italique" w:hAnsi="Times New Roman Italique"/>
          <w:i/>
          <w:spacing w:val="-2"/>
        </w:rPr>
        <w:t>28. Mai 2014)</w:t>
      </w:r>
      <w:r w:rsidR="00D67EB8" w:rsidRPr="009118AB">
        <w:rPr>
          <w:rFonts w:ascii="Times New Roman Italique" w:hAnsi="Times New Roman Italique"/>
          <w:i/>
          <w:spacing w:val="-2"/>
        </w:rPr>
        <w:t> - </w:t>
      </w:r>
      <w:r w:rsidR="00DA35C5" w:rsidRPr="009118AB">
        <w:rPr>
          <w:rFonts w:ascii="Times New Roman Italique" w:hAnsi="Times New Roman Italique"/>
          <w:i/>
          <w:iCs/>
          <w:spacing w:val="-2"/>
        </w:rPr>
        <w:t>anwendbar ab dem Steuerjahr 2015</w:t>
      </w:r>
      <w:r w:rsidR="003366D9" w:rsidRPr="009118AB">
        <w:rPr>
          <w:rFonts w:ascii="Times New Roman Italique" w:hAnsi="Times New Roman Italique"/>
          <w:i/>
          <w:iCs/>
          <w:spacing w:val="-2"/>
        </w:rPr>
        <w:t> -;</w:t>
      </w:r>
      <w:r w:rsidR="00831940"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Abs. </w:t>
      </w:r>
      <w:r w:rsidR="00831940"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D73ECC" w:rsidRPr="009118AB">
        <w:rPr>
          <w:rFonts w:ascii="Times New Roman Italique" w:hAnsi="Times New Roman Italique"/>
          <w:i/>
          <w:iCs/>
          <w:spacing w:val="-2"/>
        </w:rPr>
        <w:t>12 des G. vom 19. Dezember 2014 (B.S. vom 29. Dezember 2014)</w:t>
      </w:r>
      <w:r w:rsidR="00D67EB8" w:rsidRPr="009118AB">
        <w:rPr>
          <w:rFonts w:ascii="Times New Roman Italique" w:hAnsi="Times New Roman Italique"/>
          <w:i/>
          <w:iCs/>
          <w:spacing w:val="-2"/>
        </w:rPr>
        <w:t> - </w:t>
      </w:r>
      <w:r w:rsidR="00D73ECC" w:rsidRPr="009118AB">
        <w:rPr>
          <w:rFonts w:ascii="Times New Roman Italique" w:hAnsi="Times New Roman Italique"/>
          <w:i/>
          <w:iCs/>
          <w:spacing w:val="-2"/>
        </w:rPr>
        <w:t>anwendbar ab dem Steuerjahr 2015</w:t>
      </w:r>
      <w:r w:rsidR="00FD68E8" w:rsidRPr="009118AB">
        <w:rPr>
          <w:rFonts w:ascii="Times New Roman Italique" w:hAnsi="Times New Roman Italique"/>
          <w:i/>
          <w:iCs/>
          <w:spacing w:val="-2"/>
        </w:rPr>
        <w:t> -]</w:t>
      </w:r>
    </w:p>
    <w:p w14:paraId="4BA644EB" w14:textId="77777777" w:rsidR="005332AF" w:rsidRPr="009118AB" w:rsidRDefault="005332AF" w:rsidP="00BE2D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44AEB759" w14:textId="77777777" w:rsidR="005332AF" w:rsidRPr="009118AB" w:rsidRDefault="005332AF" w:rsidP="00BE2D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7DBCB236" w14:textId="36813D6E" w:rsidR="005332AF" w:rsidRPr="009118AB" w:rsidRDefault="005332AF" w:rsidP="005332AF">
      <w:pPr>
        <w:ind w:firstLine="708"/>
        <w:jc w:val="both"/>
      </w:pPr>
      <w:r w:rsidRPr="009118AB">
        <w:rPr>
          <w:spacing w:val="-5"/>
        </w:rPr>
        <w:t>[</w:t>
      </w:r>
      <w:r w:rsidR="00D67EB8" w:rsidRPr="009118AB">
        <w:rPr>
          <w:b/>
        </w:rPr>
        <w:t>Art. </w:t>
      </w:r>
      <w:r w:rsidRPr="009118AB">
        <w:rPr>
          <w:b/>
        </w:rPr>
        <w:t>536</w:t>
      </w:r>
      <w:r w:rsidR="00D67EB8" w:rsidRPr="009118AB">
        <w:t> - </w:t>
      </w:r>
      <w:r w:rsidRPr="009118AB">
        <w:t>Steuerbefreiungen für Risikokapital, die gemäß Artikel 205</w:t>
      </w:r>
      <w:r w:rsidRPr="009118AB">
        <w:rPr>
          <w:i/>
        </w:rPr>
        <w:t>quinquies</w:t>
      </w:r>
      <w:r w:rsidRPr="009118AB">
        <w:t>, so wie er vor seiner Aufhebung durch Artikel 48 des Gesetzes vom 13. Dezember 2012 zur Festlegung steuerrechtlicher und finanzieller Bestimmungen bestand, übertragen worden sind und noch nicht von den Gewinnen eines spätestens am 30. Dezember 2012 endenden Besteuerungszeitraums abgezogen werden konnten, und die Steuerbefreiung, die aufgrund nicht vorhandener oder unzureichender Gewinne für diesen Besteuerungszeitraum nicht gewährt worden ist, werden in den Grenzen und gemäß den Modalitäten erwähnt in vorliegendem Artikel nacheinander von den Gewinnen der sieben Besteuerungszeiträume abgezogen, die auf den Besteuerungszeitraum folgen, in dem der Abzug für Risikokapital zunächst nicht abgezogen werden konnte.</w:t>
      </w:r>
    </w:p>
    <w:p w14:paraId="4B0DBC80" w14:textId="77777777" w:rsidR="005332AF" w:rsidRPr="009118AB" w:rsidRDefault="005332AF" w:rsidP="005332AF">
      <w:pPr>
        <w:jc w:val="both"/>
      </w:pPr>
    </w:p>
    <w:p w14:paraId="69055024" w14:textId="77777777" w:rsidR="005332AF" w:rsidRPr="009118AB" w:rsidRDefault="009944A2" w:rsidP="005332AF">
      <w:pPr>
        <w:ind w:firstLine="708"/>
        <w:jc w:val="both"/>
      </w:pPr>
      <w:r w:rsidRPr="009118AB">
        <w:t>[…]</w:t>
      </w:r>
    </w:p>
    <w:p w14:paraId="0BE06686" w14:textId="77777777" w:rsidR="005332AF" w:rsidRPr="009118AB" w:rsidRDefault="005332AF" w:rsidP="005332AF">
      <w:pPr>
        <w:jc w:val="both"/>
      </w:pPr>
    </w:p>
    <w:p w14:paraId="3AC9D64E" w14:textId="029C1858" w:rsidR="005332AF" w:rsidRPr="009118AB" w:rsidRDefault="005332AF" w:rsidP="005332AF">
      <w:pPr>
        <w:ind w:firstLine="708"/>
        <w:jc w:val="both"/>
      </w:pPr>
      <w:r w:rsidRPr="009118AB">
        <w:t xml:space="preserve">Wenn das </w:t>
      </w:r>
      <w:r w:rsidR="009944A2" w:rsidRPr="009118AB">
        <w:t xml:space="preserve">[infolge der anderen in den Artikeln 199 </w:t>
      </w:r>
      <w:r w:rsidR="005C09AF" w:rsidRPr="009118AB">
        <w:t>[</w:t>
      </w:r>
      <w:r w:rsidR="009944A2" w:rsidRPr="009118AB">
        <w:t>bis 205/</w:t>
      </w:r>
      <w:r w:rsidR="005C09AF" w:rsidRPr="009118AB">
        <w:t>5]</w:t>
      </w:r>
      <w:r w:rsidR="009944A2" w:rsidRPr="009118AB">
        <w:t>, 206 und 543 vorgesehenen Abzüge]</w:t>
      </w:r>
      <w:r w:rsidRPr="009118AB">
        <w:t xml:space="preserve"> erhaltene Ergebnis über 1.000.000 EUR liegt, wird der aufgrund des vorliegenden Artikels steuerfreie Betrag, der diese Grenze überschreitet, selbst auf 60 Prozent begrenzt.</w:t>
      </w:r>
    </w:p>
    <w:p w14:paraId="6C2F4DF1" w14:textId="77777777" w:rsidR="005332AF" w:rsidRPr="009118AB" w:rsidRDefault="005332AF" w:rsidP="005332AF">
      <w:pPr>
        <w:jc w:val="both"/>
      </w:pPr>
    </w:p>
    <w:p w14:paraId="6DCE0E0F" w14:textId="70E8522C" w:rsidR="005332AF" w:rsidRPr="009118AB" w:rsidRDefault="005332AF"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In Abweichung von Absatz 1 werden Beträge, die aufgrund dieser Begrenzung auf 60 Prozent noch nicht abgezogen werden konnten, in den Grenzen und gemäß den Modalitäten erwähnt </w:t>
      </w:r>
      <w:r w:rsidR="00BC3480" w:rsidRPr="009118AB">
        <w:t>[in Absatz 2]</w:t>
      </w:r>
      <w:r w:rsidRPr="009118AB">
        <w:t xml:space="preserve"> nacheinander von den Gewinnen der folgenden Besteuerungszeiträume</w:t>
      </w:r>
      <w:r w:rsidR="00D67EB8" w:rsidRPr="009118AB">
        <w:t> - </w:t>
      </w:r>
      <w:r w:rsidRPr="009118AB">
        <w:t>selbst nach Ablauf der in Absatz 1 erwähnten Abzugsfrist</w:t>
      </w:r>
      <w:r w:rsidR="00D67EB8" w:rsidRPr="009118AB">
        <w:t> - </w:t>
      </w:r>
      <w:r w:rsidRPr="009118AB">
        <w:t>abge</w:t>
      </w:r>
      <w:r w:rsidRPr="009118AB">
        <w:softHyphen/>
        <w:t>zogen, so dass die Begrenzung nicht zu einer Verringerung des Betrags führt, der ohne Begrenzung hätte abgezogen werden können.]</w:t>
      </w:r>
    </w:p>
    <w:p w14:paraId="14FE4ADD" w14:textId="77777777" w:rsidR="005E490B" w:rsidRPr="009118AB" w:rsidRDefault="005E490B"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8ACC09" w14:textId="3BDEF03F" w:rsidR="005E490B" w:rsidRPr="009118AB" w:rsidRDefault="005E490B"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[Kein Abzug bei Übertragung für Risikokapital kann auf den Teil des nach Anwendung </w:t>
      </w:r>
      <w:r w:rsidR="00D34E0F" w:rsidRPr="009118AB">
        <w:t>[</w:t>
      </w:r>
      <w:r w:rsidRPr="009118AB">
        <w:t xml:space="preserve">von </w:t>
      </w:r>
      <w:r w:rsidR="005C09AF" w:rsidRPr="009118AB">
        <w:t>[</w:t>
      </w:r>
      <w:r w:rsidRPr="009118AB">
        <w:t>Artikel 207 Absatz </w:t>
      </w:r>
      <w:r w:rsidR="005C09AF" w:rsidRPr="009118AB">
        <w:t>9</w:t>
      </w:r>
      <w:r w:rsidRPr="009118AB">
        <w:t xml:space="preserve"> </w:t>
      </w:r>
      <w:r w:rsidR="00D34E0F" w:rsidRPr="009118AB">
        <w:t xml:space="preserve">und </w:t>
      </w:r>
      <w:r w:rsidR="005C09AF" w:rsidRPr="009118AB">
        <w:t>10]</w:t>
      </w:r>
      <w:r w:rsidR="00D34E0F" w:rsidRPr="009118AB">
        <w:t>]</w:t>
      </w:r>
      <w:r w:rsidRPr="009118AB">
        <w:t xml:space="preserve"> bestimmten Gewinns angewandt werden, der aus der in diesen Absätzen vorgesehenen Verringerung der Abzüge hervorgeht.]</w:t>
      </w:r>
    </w:p>
    <w:p w14:paraId="39C2679C" w14:textId="77777777" w:rsidR="005332AF" w:rsidRPr="009118AB" w:rsidRDefault="005332AF"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0DACB4" w14:textId="1D626345" w:rsidR="005332AF" w:rsidRPr="009118AB" w:rsidRDefault="005332AF"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536 eingefügt durch </w:t>
      </w:r>
      <w:r w:rsidR="00D67EB8" w:rsidRPr="009118AB">
        <w:rPr>
          <w:i/>
        </w:rPr>
        <w:t>Art. </w:t>
      </w:r>
      <w:r w:rsidRPr="009118AB">
        <w:rPr>
          <w:i/>
        </w:rPr>
        <w:t>56</w:t>
      </w:r>
      <w:r w:rsidRPr="009118AB">
        <w:rPr>
          <w:i/>
          <w:iCs/>
        </w:rPr>
        <w:t xml:space="preserve"> des G. vom 13. Dezember 2012 (B.S. vom 20. Dezember 2012)</w:t>
      </w:r>
      <w:r w:rsidR="00D67EB8" w:rsidRPr="009118AB">
        <w:rPr>
          <w:i/>
          <w:iCs/>
        </w:rPr>
        <w:t> - </w:t>
      </w:r>
      <w:r w:rsidRPr="009118AB">
        <w:rPr>
          <w:i/>
          <w:iCs/>
        </w:rPr>
        <w:t>anwendbar ab dem Steuerjahr 2013</w:t>
      </w:r>
      <w:r w:rsidR="003366D9" w:rsidRPr="009118AB">
        <w:rPr>
          <w:i/>
          <w:iCs/>
        </w:rPr>
        <w:t> -;</w:t>
      </w:r>
      <w:r w:rsidR="005E490B" w:rsidRPr="009118AB">
        <w:rPr>
          <w:i/>
          <w:iCs/>
        </w:rPr>
        <w:t xml:space="preserve"> </w:t>
      </w:r>
      <w:r w:rsidR="009944A2" w:rsidRPr="009118AB">
        <w:rPr>
          <w:i/>
          <w:iCs/>
        </w:rPr>
        <w:t xml:space="preserve">früherer Absatz 2 aufgehoben durch </w:t>
      </w:r>
      <w:r w:rsidR="00D67EB8" w:rsidRPr="009118AB">
        <w:rPr>
          <w:i/>
          <w:iCs/>
        </w:rPr>
        <w:t>Art. </w:t>
      </w:r>
      <w:r w:rsidR="009944A2" w:rsidRPr="009118AB">
        <w:rPr>
          <w:i/>
          <w:iCs/>
        </w:rPr>
        <w:t xml:space="preserve">85 </w:t>
      </w:r>
      <w:r w:rsidR="00D67EB8" w:rsidRPr="009118AB">
        <w:rPr>
          <w:i/>
          <w:iCs/>
        </w:rPr>
        <w:t>Nr. </w:t>
      </w:r>
      <w:r w:rsidR="009944A2" w:rsidRPr="009118AB">
        <w:rPr>
          <w:i/>
          <w:iCs/>
        </w:rPr>
        <w:t>1 des G. vom 25. Dezember 2017 (III) (B.S. vom 29. Dezember 2017)</w:t>
      </w:r>
      <w:r w:rsidR="00D67EB8" w:rsidRPr="009118AB">
        <w:rPr>
          <w:i/>
          <w:iCs/>
        </w:rPr>
        <w:t> - </w:t>
      </w:r>
      <w:r w:rsidR="009944A2" w:rsidRPr="009118AB">
        <w:rPr>
          <w:i/>
          <w:iCs/>
        </w:rPr>
        <w:t>in Kraft am 1. Januar 2018 und anwendbar ab dem Steuerjahr 2019, das sich auf einen Besteuerungszeitraum bezieht, der frühestens am 1. Januar 2018 beginnt</w:t>
      </w:r>
      <w:r w:rsidR="003366D9" w:rsidRPr="009118AB">
        <w:rPr>
          <w:i/>
          <w:iCs/>
        </w:rPr>
        <w:t> -;</w:t>
      </w:r>
      <w:r w:rsidR="009944A2" w:rsidRPr="009118AB">
        <w:rPr>
          <w:i/>
          <w:iCs/>
        </w:rPr>
        <w:t xml:space="preserve"> </w:t>
      </w:r>
      <w:r w:rsidR="00267A5D" w:rsidRPr="009118AB">
        <w:rPr>
          <w:i/>
          <w:iCs/>
        </w:rPr>
        <w:t xml:space="preserve">neuer </w:t>
      </w:r>
      <w:r w:rsidR="009944A2" w:rsidRPr="009118AB">
        <w:rPr>
          <w:i/>
          <w:iCs/>
        </w:rPr>
        <w:t>Abs</w:t>
      </w:r>
      <w:r w:rsidR="00267A5D" w:rsidRPr="009118AB">
        <w:rPr>
          <w:i/>
          <w:iCs/>
        </w:rPr>
        <w:t>atz</w:t>
      </w:r>
      <w:r w:rsidR="009944A2" w:rsidRPr="009118AB">
        <w:rPr>
          <w:i/>
          <w:iCs/>
        </w:rPr>
        <w:t xml:space="preserve"> 2 abgeändert durch </w:t>
      </w:r>
      <w:r w:rsidR="00D67EB8" w:rsidRPr="009118AB">
        <w:rPr>
          <w:i/>
          <w:iCs/>
        </w:rPr>
        <w:t>Art. </w:t>
      </w:r>
      <w:r w:rsidR="009944A2" w:rsidRPr="009118AB">
        <w:rPr>
          <w:i/>
          <w:iCs/>
        </w:rPr>
        <w:t xml:space="preserve">85 </w:t>
      </w:r>
      <w:r w:rsidR="00D67EB8" w:rsidRPr="009118AB">
        <w:rPr>
          <w:i/>
          <w:iCs/>
        </w:rPr>
        <w:t>Nr. </w:t>
      </w:r>
      <w:r w:rsidR="009944A2" w:rsidRPr="009118AB">
        <w:rPr>
          <w:i/>
          <w:iCs/>
        </w:rPr>
        <w:t>2 des G. vom 25. Dezember 2017 (III) (B.S. vom 29. Dezember 2017)</w:t>
      </w:r>
      <w:r w:rsidR="00D67EB8" w:rsidRPr="009118AB">
        <w:rPr>
          <w:i/>
          <w:iCs/>
        </w:rPr>
        <w:t> - </w:t>
      </w:r>
      <w:r w:rsidR="009944A2" w:rsidRPr="009118AB">
        <w:rPr>
          <w:i/>
          <w:iCs/>
        </w:rPr>
        <w:t>in Kraft am 1. Januar 2018 und anwendbar ab dem Steuerjahr 2019, das sich auf einen Besteuerungszeitraum bezieht, der frühestens am 1. Januar 2018 beginnt</w:t>
      </w:r>
      <w:r w:rsidR="003366D9" w:rsidRPr="009118AB">
        <w:rPr>
          <w:i/>
          <w:iCs/>
        </w:rPr>
        <w:t> -</w:t>
      </w:r>
      <w:r w:rsidR="001510D2" w:rsidRPr="009118AB">
        <w:rPr>
          <w:i/>
          <w:iCs/>
        </w:rPr>
        <w:t xml:space="preserve"> und Art. 34 Nr. 1 des G. vom 21. Dezember 2022 (II) (B.S. vom 29. Dezember 2012)</w:t>
      </w:r>
      <w:r w:rsidR="003366D9" w:rsidRPr="009118AB">
        <w:rPr>
          <w:i/>
          <w:iCs/>
        </w:rPr>
        <w:t>;</w:t>
      </w:r>
      <w:r w:rsidR="009944A2" w:rsidRPr="009118AB">
        <w:rPr>
          <w:i/>
          <w:iCs/>
        </w:rPr>
        <w:t xml:space="preserve"> </w:t>
      </w:r>
      <w:r w:rsidR="00D67EB8" w:rsidRPr="009118AB">
        <w:rPr>
          <w:i/>
          <w:iCs/>
        </w:rPr>
        <w:t>Abs. </w:t>
      </w:r>
      <w:r w:rsidR="00BC3480" w:rsidRPr="009118AB">
        <w:rPr>
          <w:i/>
          <w:iCs/>
        </w:rPr>
        <w:t xml:space="preserve">3 abgeändert durch </w:t>
      </w:r>
      <w:r w:rsidR="00D67EB8" w:rsidRPr="009118AB">
        <w:rPr>
          <w:i/>
          <w:iCs/>
        </w:rPr>
        <w:t>Art. </w:t>
      </w:r>
      <w:r w:rsidR="00BC3480" w:rsidRPr="009118AB">
        <w:rPr>
          <w:i/>
          <w:iCs/>
        </w:rPr>
        <w:t>16 des G. vom 30. Juli 2018 (</w:t>
      </w:r>
      <w:r w:rsidR="00B64F05" w:rsidRPr="009118AB">
        <w:rPr>
          <w:i/>
          <w:iCs/>
        </w:rPr>
        <w:t>I) (B.S. vom 10. August 2018)</w:t>
      </w:r>
      <w:r w:rsidR="00D67EB8" w:rsidRPr="009118AB">
        <w:rPr>
          <w:i/>
          <w:iCs/>
        </w:rPr>
        <w:t> - </w:t>
      </w:r>
      <w:r w:rsidR="00BC3480" w:rsidRPr="009118AB">
        <w:rPr>
          <w:i/>
          <w:iCs/>
        </w:rPr>
        <w:t>anwendbar ab dem Steuerjahr 2019, das sich auf einen Be</w:t>
      </w:r>
      <w:r w:rsidR="003B0B00" w:rsidRPr="009118AB">
        <w:rPr>
          <w:i/>
          <w:iCs/>
        </w:rPr>
        <w:t>steuerungszeitraum bezieht, der</w:t>
      </w:r>
      <w:r w:rsidR="00BC3480" w:rsidRPr="009118AB">
        <w:rPr>
          <w:i/>
          <w:iCs/>
        </w:rPr>
        <w:t xml:space="preserve"> frühestens am 1. Januar 2018 beginnt</w:t>
      </w:r>
      <w:r w:rsidR="003366D9" w:rsidRPr="009118AB">
        <w:rPr>
          <w:i/>
          <w:iCs/>
        </w:rPr>
        <w:t> -;</w:t>
      </w:r>
      <w:r w:rsidR="00BC3480" w:rsidRPr="009118AB">
        <w:rPr>
          <w:i/>
          <w:iCs/>
        </w:rPr>
        <w:t xml:space="preserve"> </w:t>
      </w:r>
      <w:r w:rsidR="00D67EB8" w:rsidRPr="009118AB">
        <w:rPr>
          <w:i/>
          <w:iCs/>
        </w:rPr>
        <w:t>Abs. </w:t>
      </w:r>
      <w:r w:rsidR="009944A2" w:rsidRPr="009118AB">
        <w:rPr>
          <w:i/>
          <w:iCs/>
        </w:rPr>
        <w:t>4</w:t>
      </w:r>
      <w:r w:rsidR="005E490B" w:rsidRPr="009118AB">
        <w:rPr>
          <w:i/>
          <w:iCs/>
        </w:rPr>
        <w:t xml:space="preserve"> eingefügt durch </w:t>
      </w:r>
      <w:r w:rsidR="00D67EB8" w:rsidRPr="009118AB">
        <w:rPr>
          <w:i/>
          <w:iCs/>
        </w:rPr>
        <w:t>Art. </w:t>
      </w:r>
      <w:r w:rsidR="005E490B" w:rsidRPr="009118AB">
        <w:rPr>
          <w:i/>
          <w:iCs/>
        </w:rPr>
        <w:t>99</w:t>
      </w:r>
      <w:r w:rsidR="00222420" w:rsidRPr="009118AB">
        <w:rPr>
          <w:i/>
        </w:rPr>
        <w:t xml:space="preserve"> des G. vom 10. August 2015 (B.S. vom 18. August 2015)</w:t>
      </w:r>
      <w:r w:rsidR="00D67EB8" w:rsidRPr="009118AB">
        <w:rPr>
          <w:i/>
        </w:rPr>
        <w:t> - </w:t>
      </w:r>
      <w:r w:rsidR="00222420" w:rsidRPr="009118AB">
        <w:rPr>
          <w:i/>
        </w:rPr>
        <w:t>in Kraft ab dem Steuerjahr 2016</w:t>
      </w:r>
      <w:r w:rsidR="00D67EB8" w:rsidRPr="009118AB">
        <w:rPr>
          <w:i/>
        </w:rPr>
        <w:t> - </w:t>
      </w:r>
      <w:r w:rsidR="00D34E0F" w:rsidRPr="009118AB">
        <w:rPr>
          <w:i/>
        </w:rPr>
        <w:t xml:space="preserve">und abgeändert durch </w:t>
      </w:r>
      <w:r w:rsidR="00D67EB8" w:rsidRPr="009118AB">
        <w:rPr>
          <w:i/>
        </w:rPr>
        <w:t>Art. </w:t>
      </w:r>
      <w:r w:rsidR="00D34E0F" w:rsidRPr="009118AB">
        <w:rPr>
          <w:i/>
        </w:rPr>
        <w:t xml:space="preserve">13 </w:t>
      </w:r>
      <w:r w:rsidR="00D34E0F" w:rsidRPr="009118AB">
        <w:rPr>
          <w:i/>
          <w:iCs/>
          <w:spacing w:val="-4"/>
        </w:rPr>
        <w:t>des G. vom 3. August 2016 (IV) (B.S. vom 11. August 2016)</w:t>
      </w:r>
      <w:r w:rsidR="00D67EB8" w:rsidRPr="009118AB">
        <w:rPr>
          <w:i/>
          <w:iCs/>
          <w:spacing w:val="-4"/>
        </w:rPr>
        <w:t> - </w:t>
      </w:r>
      <w:r w:rsidR="00D34E0F" w:rsidRPr="009118AB">
        <w:rPr>
          <w:i/>
          <w:iCs/>
          <w:spacing w:val="-4"/>
        </w:rPr>
        <w:t>in Kraft ab dem Steuerjahr 2017</w:t>
      </w:r>
      <w:r w:rsidR="00FD68E8" w:rsidRPr="009118AB">
        <w:rPr>
          <w:i/>
          <w:iCs/>
          <w:spacing w:val="-4"/>
        </w:rPr>
        <w:t> -</w:t>
      </w:r>
      <w:r w:rsidR="001510D2" w:rsidRPr="009118AB">
        <w:rPr>
          <w:i/>
          <w:iCs/>
          <w:spacing w:val="-4"/>
        </w:rPr>
        <w:t xml:space="preserve"> und Art. 34 Nr. 2 des G. vom 21. Dezember 2022 (II) (B.S. vom 29. Dezember 2012)</w:t>
      </w:r>
      <w:r w:rsidR="00FD68E8" w:rsidRPr="009118AB">
        <w:rPr>
          <w:i/>
          <w:iCs/>
          <w:spacing w:val="-4"/>
        </w:rPr>
        <w:t>]</w:t>
      </w:r>
    </w:p>
    <w:p w14:paraId="11A757D9" w14:textId="77777777" w:rsidR="00F16559" w:rsidRPr="009118AB" w:rsidRDefault="00F16559"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5BE1ED62" w14:textId="77777777" w:rsidR="00F16559" w:rsidRPr="009118AB" w:rsidRDefault="00F16559"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055CA25F" w14:textId="35250845" w:rsidR="00F16559" w:rsidRPr="009118AB" w:rsidRDefault="00F16559" w:rsidP="00F16559">
      <w:pPr>
        <w:ind w:firstLine="708"/>
        <w:jc w:val="both"/>
      </w:pPr>
      <w:r w:rsidRPr="009118AB">
        <w:rPr>
          <w:spacing w:val="-5"/>
        </w:rPr>
        <w:t>[</w:t>
      </w:r>
      <w:r w:rsidR="00D67EB8" w:rsidRPr="009118AB">
        <w:rPr>
          <w:b/>
        </w:rPr>
        <w:t>Art. </w:t>
      </w:r>
      <w:r w:rsidRPr="009118AB">
        <w:rPr>
          <w:b/>
        </w:rPr>
        <w:t>537</w:t>
      </w:r>
      <w:r w:rsidR="00D67EB8" w:rsidRPr="009118AB">
        <w:t> - </w:t>
      </w:r>
      <w:r w:rsidRPr="009118AB">
        <w:t xml:space="preserve">In Abweichung von den Artikeln 171 </w:t>
      </w:r>
      <w:r w:rsidR="00D67EB8" w:rsidRPr="009118AB">
        <w:t>Nr. </w:t>
      </w:r>
      <w:r w:rsidRPr="009118AB">
        <w:t xml:space="preserve">3 und 269 </w:t>
      </w:r>
      <w:r w:rsidR="00D67EB8" w:rsidRPr="009118AB">
        <w:t>§ </w:t>
      </w:r>
      <w:r w:rsidRPr="009118AB">
        <w:t xml:space="preserve">1 </w:t>
      </w:r>
      <w:r w:rsidR="00D67EB8" w:rsidRPr="009118AB">
        <w:t>Nr. </w:t>
      </w:r>
      <w:r w:rsidRPr="009118AB">
        <w:t>1 werden der Satz der Steuer der natürlichen Personen beziehungsweise des Mobiliensteuervorabzugs für Dividenden, die der Herabsetzung der besteuerten Rücklagen entsprechen, so wie sie spätestens am 31. März 2013 von der Generalversammlung gebilligt worden sind, unter der Bedingung und in dem Maße, wie mindestens der erhaltene Betrag unverzüglich dem Kapital zugeführt wird und wie diese Zuführung im letzten Geschäftsjahr erfolgt, das vor dem 1. Oktober 2014 abgeschlossen wird, auf 10 Prozent festgelegt.</w:t>
      </w:r>
    </w:p>
    <w:p w14:paraId="4DCDBADA" w14:textId="77777777" w:rsidR="00F16559" w:rsidRPr="009118AB" w:rsidRDefault="00F16559" w:rsidP="00F16559">
      <w:pPr>
        <w:jc w:val="both"/>
      </w:pPr>
    </w:p>
    <w:p w14:paraId="68861AB4" w14:textId="5DDD6009" w:rsidR="00F16559" w:rsidRPr="009118AB" w:rsidRDefault="00F16559" w:rsidP="00F16559">
      <w:pPr>
        <w:ind w:firstLine="708"/>
        <w:jc w:val="both"/>
      </w:pPr>
      <w:r w:rsidRPr="009118AB">
        <w:t xml:space="preserve">Ausgeschüttete Dividenden, die diese Bedingungen erfüllen, werden für die Berechnung der in Artikel 215 Absatz 3 </w:t>
      </w:r>
      <w:r w:rsidR="00D67EB8" w:rsidRPr="009118AB">
        <w:t>Nr. </w:t>
      </w:r>
      <w:r w:rsidRPr="009118AB">
        <w:t>3 vorgesehenen Grenze nicht berücksichtigt.</w:t>
      </w:r>
    </w:p>
    <w:p w14:paraId="7BBB5F9A" w14:textId="77777777" w:rsidR="008E4E81" w:rsidRPr="009118AB" w:rsidRDefault="008E4E81"/>
    <w:p w14:paraId="2790BAA7" w14:textId="77777777" w:rsidR="00317B91" w:rsidRDefault="00317B91">
      <w:r>
        <w:br w:type="page"/>
      </w:r>
    </w:p>
    <w:p w14:paraId="5E4F8C95" w14:textId="6F29899A" w:rsidR="00F16559" w:rsidRPr="009118AB" w:rsidRDefault="00F16559" w:rsidP="00F16559">
      <w:pPr>
        <w:ind w:firstLine="708"/>
        <w:jc w:val="both"/>
      </w:pPr>
      <w:r w:rsidRPr="009118AB">
        <w:t>Wenn die Gesellschaft in dem Besteuerungszeitraum, in dem ein in Absatz 1 erwähnter Vorgang erfolgt ist, das heißt je nach Fall 2013 oder 2014, ein positives Buchführungsergebnis erzielt und wenn von der Generalversammlung festgelegte Dividenden im Laufe von mindestens einem der fünf Besteuerungszeiträume vor diesem Vorgang gewährt oder zuerkannt wurden, wird eine getrennte Steuer festgelegt auf die Plusdifferenz zwischen:</w:t>
      </w:r>
    </w:p>
    <w:p w14:paraId="2CD110DD" w14:textId="77777777" w:rsidR="007E747A" w:rsidRPr="009118AB" w:rsidRDefault="007E747A"/>
    <w:p w14:paraId="6B80B4DE" w14:textId="77777777" w:rsidR="00F16559" w:rsidRPr="009118AB" w:rsidRDefault="00F16559" w:rsidP="00F16559">
      <w:pPr>
        <w:ind w:firstLine="708"/>
        <w:jc w:val="both"/>
      </w:pPr>
      <w:r w:rsidRPr="009118AB">
        <w:t>1. dem Produkt:</w:t>
      </w:r>
    </w:p>
    <w:p w14:paraId="43A78689" w14:textId="77777777" w:rsidR="00F16559" w:rsidRPr="009118AB" w:rsidRDefault="00F16559" w:rsidP="00F16559">
      <w:pPr>
        <w:jc w:val="both"/>
      </w:pPr>
    </w:p>
    <w:p w14:paraId="0CE1002D" w14:textId="77777777" w:rsidR="00F16559" w:rsidRPr="009118AB" w:rsidRDefault="00F16559" w:rsidP="00F16559">
      <w:pPr>
        <w:ind w:firstLine="708"/>
        <w:jc w:val="both"/>
      </w:pPr>
      <w:r w:rsidRPr="009118AB">
        <w:t>- des Buchführungsergebnisses des Besteuerungszeitraums, in dem der Vorgang erfolgt ist, und</w:t>
      </w:r>
    </w:p>
    <w:p w14:paraId="2ED07FFC" w14:textId="77777777" w:rsidR="00F16559" w:rsidRPr="009118AB" w:rsidRDefault="00F16559" w:rsidP="00F16559">
      <w:pPr>
        <w:jc w:val="both"/>
      </w:pPr>
    </w:p>
    <w:p w14:paraId="0FCAC4E3" w14:textId="77777777" w:rsidR="00F16559" w:rsidRPr="009118AB" w:rsidRDefault="00F16559" w:rsidP="00F16559">
      <w:pPr>
        <w:ind w:firstLine="708"/>
        <w:jc w:val="both"/>
      </w:pPr>
      <w:r w:rsidRPr="009118AB">
        <w:t>- des Verhältnisses zwischen der Summe der im Laufe der fünf vorhergehenden Besteuerungszeiträume gewährten oder zuerkannten Dividenden und der Summe der Ergebnisse dieser Besteuerungszeiträume</w:t>
      </w:r>
    </w:p>
    <w:p w14:paraId="70EFDFE0" w14:textId="77777777" w:rsidR="00F16559" w:rsidRPr="009118AB" w:rsidRDefault="00F16559" w:rsidP="00F16559">
      <w:pPr>
        <w:jc w:val="both"/>
      </w:pPr>
    </w:p>
    <w:p w14:paraId="3D6C830B" w14:textId="77777777" w:rsidR="00F16559" w:rsidRPr="009118AB" w:rsidRDefault="00F16559" w:rsidP="00F16559">
      <w:pPr>
        <w:ind w:firstLine="708"/>
        <w:jc w:val="both"/>
      </w:pPr>
      <w:r w:rsidRPr="009118AB">
        <w:t>und</w:t>
      </w:r>
    </w:p>
    <w:p w14:paraId="06EC21C7" w14:textId="77777777" w:rsidR="00F16559" w:rsidRPr="009118AB" w:rsidRDefault="00F16559" w:rsidP="00F16559">
      <w:pPr>
        <w:jc w:val="both"/>
      </w:pPr>
    </w:p>
    <w:p w14:paraId="2BD88E89" w14:textId="77777777" w:rsidR="00F16559" w:rsidRPr="009118AB" w:rsidRDefault="00F16559" w:rsidP="00F16559">
      <w:pPr>
        <w:ind w:firstLine="708"/>
        <w:jc w:val="both"/>
      </w:pPr>
      <w:r w:rsidRPr="009118AB">
        <w:t>2. den Dividenden, die den Aktionären tatsächlich als Gewinn des Besteuerungs</w:t>
      </w:r>
      <w:r w:rsidRPr="009118AB">
        <w:softHyphen/>
        <w:t>zeitraums, in dem vorerwähnter Vorgang erfolgt ist, gewährt oder zuerkannt wurden.</w:t>
      </w:r>
    </w:p>
    <w:p w14:paraId="2DE0DCEF" w14:textId="77777777" w:rsidR="00F16559" w:rsidRPr="009118AB" w:rsidRDefault="00F16559" w:rsidP="00F16559">
      <w:pPr>
        <w:jc w:val="both"/>
      </w:pPr>
    </w:p>
    <w:p w14:paraId="26889B63" w14:textId="77777777" w:rsidR="00F16559" w:rsidRPr="009118AB" w:rsidRDefault="00F16559" w:rsidP="00F16559">
      <w:pPr>
        <w:ind w:firstLine="708"/>
        <w:jc w:val="both"/>
      </w:pPr>
      <w:r w:rsidRPr="009118AB">
        <w:t>Diese Steuer entspricht 15 Prozent der so berechneten Differenz und fällt nicht unter die Werbungskosten.</w:t>
      </w:r>
    </w:p>
    <w:p w14:paraId="61BDE148" w14:textId="77777777" w:rsidR="00F16559" w:rsidRPr="009118AB" w:rsidRDefault="00F16559" w:rsidP="00F16559">
      <w:pPr>
        <w:jc w:val="both"/>
      </w:pPr>
    </w:p>
    <w:p w14:paraId="4C786976" w14:textId="77777777" w:rsidR="00F16559" w:rsidRPr="009118AB" w:rsidRDefault="00F16559" w:rsidP="00F16559">
      <w:pPr>
        <w:ind w:firstLine="708"/>
        <w:jc w:val="both"/>
      </w:pPr>
      <w:r w:rsidRPr="009118AB">
        <w:t>Bei einer späteren Kapitalherabsetzung gilt, dass diese Herabsetzung zuerst von den gemäß dieser Regelung eingebrachten Kapitalien abgezogen wird.</w:t>
      </w:r>
    </w:p>
    <w:p w14:paraId="4272B9B2" w14:textId="77777777" w:rsidR="00F16559" w:rsidRPr="009118AB" w:rsidRDefault="00F16559" w:rsidP="00F16559">
      <w:pPr>
        <w:jc w:val="both"/>
      </w:pPr>
    </w:p>
    <w:p w14:paraId="464AB5BC" w14:textId="4EC39C1A" w:rsidR="00F16559" w:rsidRPr="009118AB" w:rsidRDefault="00F16559" w:rsidP="00F16559">
      <w:pPr>
        <w:ind w:firstLine="708"/>
        <w:jc w:val="both"/>
      </w:pPr>
      <w:r w:rsidRPr="009118AB">
        <w:t xml:space="preserve">Wenn diese Kapitalherabsetzung in den acht Jahren nach der letzten Kapitaleinlage gemäß dieser Regelung erfolgt, gilt sie in Abweichung von Artikel 18 Absatz 1 </w:t>
      </w:r>
      <w:r w:rsidR="00D67EB8" w:rsidRPr="009118AB">
        <w:t>Nr. </w:t>
      </w:r>
      <w:r w:rsidRPr="009118AB">
        <w:t>2 als Dividende. Der Satz der Steuer der natürlichen Personen und des Mobiliensteuervorabzugs beträgt für gewährte oder zuerkannte Dividenden:</w:t>
      </w:r>
    </w:p>
    <w:p w14:paraId="3B2ABF7E" w14:textId="77777777" w:rsidR="00F16559" w:rsidRPr="009118AB" w:rsidRDefault="00F16559" w:rsidP="00F16559">
      <w:pPr>
        <w:jc w:val="both"/>
      </w:pPr>
    </w:p>
    <w:p w14:paraId="72012893" w14:textId="77777777" w:rsidR="00F16559" w:rsidRPr="009118AB" w:rsidRDefault="00F16559" w:rsidP="00F16559">
      <w:pPr>
        <w:ind w:firstLine="708"/>
        <w:jc w:val="both"/>
      </w:pPr>
      <w:r w:rsidRPr="009118AB">
        <w:t xml:space="preserve">1. in den ersten vier Jahren nach der Einlage </w:t>
      </w:r>
      <w:r w:rsidR="003F54EB" w:rsidRPr="009118AB">
        <w:t>[</w:t>
      </w:r>
      <w:r w:rsidRPr="009118AB">
        <w:t>1</w:t>
      </w:r>
      <w:r w:rsidR="003F54EB" w:rsidRPr="009118AB">
        <w:t>7</w:t>
      </w:r>
      <w:r w:rsidRPr="009118AB">
        <w:t> Prozent</w:t>
      </w:r>
      <w:r w:rsidR="003F54EB" w:rsidRPr="009118AB">
        <w:t>]</w:t>
      </w:r>
      <w:r w:rsidRPr="009118AB">
        <w:t>,</w:t>
      </w:r>
    </w:p>
    <w:p w14:paraId="317E8D82" w14:textId="77777777" w:rsidR="00F16559" w:rsidRPr="009118AB" w:rsidRDefault="00F16559" w:rsidP="00F16559">
      <w:pPr>
        <w:jc w:val="both"/>
      </w:pPr>
    </w:p>
    <w:p w14:paraId="5F0782AD" w14:textId="77777777" w:rsidR="00F16559" w:rsidRPr="009118AB" w:rsidRDefault="00F16559" w:rsidP="00F16559">
      <w:pPr>
        <w:ind w:firstLine="708"/>
        <w:jc w:val="both"/>
      </w:pPr>
      <w:r w:rsidRPr="009118AB">
        <w:t>2. im fünften und sechsten Jahr nach der Einlage 10 Prozent,</w:t>
      </w:r>
    </w:p>
    <w:p w14:paraId="3E2D0781" w14:textId="77777777" w:rsidR="00F16559" w:rsidRPr="009118AB" w:rsidRDefault="00F16559" w:rsidP="00F16559">
      <w:pPr>
        <w:jc w:val="both"/>
      </w:pPr>
    </w:p>
    <w:p w14:paraId="6085C5D7" w14:textId="77777777" w:rsidR="00F16559" w:rsidRPr="009118AB" w:rsidRDefault="00F16559" w:rsidP="00F16559">
      <w:pPr>
        <w:ind w:firstLine="708"/>
        <w:jc w:val="both"/>
      </w:pPr>
      <w:r w:rsidRPr="009118AB">
        <w:t>3. im siebten und achten Jahr nach der Einlage 5 Prozent.</w:t>
      </w:r>
    </w:p>
    <w:p w14:paraId="0703AB1E" w14:textId="77777777" w:rsidR="00F16559" w:rsidRPr="009118AB" w:rsidRDefault="00F16559" w:rsidP="00F16559">
      <w:pPr>
        <w:jc w:val="both"/>
      </w:pPr>
    </w:p>
    <w:p w14:paraId="32C8417E" w14:textId="4E8BF57B" w:rsidR="00F16559" w:rsidRPr="009118AB" w:rsidRDefault="00F16559" w:rsidP="00F16559">
      <w:pPr>
        <w:ind w:firstLine="708"/>
        <w:jc w:val="both"/>
      </w:pPr>
      <w:r w:rsidRPr="009118AB">
        <w:t xml:space="preserve">In Abweichung von vorhergehendem Absatz wird für Gesellschaften, die </w:t>
      </w:r>
      <w:r w:rsidR="00E51D1A" w:rsidRPr="009118AB">
        <w:t>[...</w:t>
      </w:r>
      <w:r w:rsidR="001E1FC2" w:rsidRPr="009118AB">
        <w:t>]</w:t>
      </w:r>
      <w:r w:rsidRPr="009118AB">
        <w:t xml:space="preserve"> für das Steuerjahr, das sich auf den Besteuerungs</w:t>
      </w:r>
      <w:r w:rsidRPr="009118AB">
        <w:softHyphen/>
        <w:t>zeitraum bezieht, in dem die Kapitaleinlage erfolgt, als kleine Gesellschaften gelten, die vorerwähnte Dauer auf vier Jahre herabgesetzt und beträgt der Satz der Steuer der natürlichen Personen und des Mobiliensteuervorabzugs für gewährte oder zuerkannte Dividenden:</w:t>
      </w:r>
    </w:p>
    <w:p w14:paraId="47853CF7" w14:textId="77777777" w:rsidR="00F16559" w:rsidRPr="009118AB" w:rsidRDefault="00F16559" w:rsidP="00F16559">
      <w:pPr>
        <w:jc w:val="both"/>
      </w:pPr>
    </w:p>
    <w:p w14:paraId="5D80A06D" w14:textId="77777777" w:rsidR="00F16559" w:rsidRPr="009118AB" w:rsidRDefault="00F16559" w:rsidP="00F16559">
      <w:pPr>
        <w:ind w:firstLine="708"/>
        <w:jc w:val="both"/>
      </w:pPr>
      <w:r w:rsidRPr="009118AB">
        <w:t xml:space="preserve">1. in den ersten zwei Jahren nach der Einlage </w:t>
      </w:r>
      <w:r w:rsidR="003F54EB" w:rsidRPr="009118AB">
        <w:t>[</w:t>
      </w:r>
      <w:r w:rsidRPr="009118AB">
        <w:t>1</w:t>
      </w:r>
      <w:r w:rsidR="003F54EB" w:rsidRPr="009118AB">
        <w:t>7</w:t>
      </w:r>
      <w:r w:rsidRPr="009118AB">
        <w:t> Prozent</w:t>
      </w:r>
      <w:r w:rsidR="003F54EB" w:rsidRPr="009118AB">
        <w:t>]</w:t>
      </w:r>
      <w:r w:rsidRPr="009118AB">
        <w:t>,</w:t>
      </w:r>
    </w:p>
    <w:p w14:paraId="2A97677E" w14:textId="77777777" w:rsidR="00F16559" w:rsidRPr="009118AB" w:rsidRDefault="00F16559" w:rsidP="00F16559">
      <w:pPr>
        <w:jc w:val="both"/>
      </w:pPr>
    </w:p>
    <w:p w14:paraId="0D6A03D9" w14:textId="77777777" w:rsidR="00F16559" w:rsidRPr="009118AB" w:rsidRDefault="00F16559" w:rsidP="00F16559">
      <w:pPr>
        <w:ind w:firstLine="708"/>
        <w:jc w:val="both"/>
      </w:pPr>
      <w:r w:rsidRPr="009118AB">
        <w:t>2. im dritten Jahr nach der Einlage 10 Prozent,</w:t>
      </w:r>
    </w:p>
    <w:p w14:paraId="372262B7" w14:textId="77777777" w:rsidR="009865FD" w:rsidRPr="009118AB" w:rsidRDefault="009865FD"/>
    <w:p w14:paraId="49A5A6F7" w14:textId="77777777" w:rsidR="00317B91" w:rsidRDefault="00317B91">
      <w:r>
        <w:br w:type="page"/>
      </w:r>
    </w:p>
    <w:p w14:paraId="3D31D9E0" w14:textId="4647C036" w:rsidR="00F16559" w:rsidRPr="009118AB" w:rsidRDefault="00F16559"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3. im vierten Jahr nach der Einlage 5 Prozent.]</w:t>
      </w:r>
    </w:p>
    <w:p w14:paraId="3C804695" w14:textId="77777777" w:rsidR="00F16559" w:rsidRPr="009118AB" w:rsidRDefault="00F16559"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20A4A9" w14:textId="7786D31F" w:rsidR="00F16559" w:rsidRPr="009118AB" w:rsidRDefault="00F16559"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118AB">
        <w:rPr>
          <w:i/>
        </w:rPr>
        <w:t>[</w:t>
      </w:r>
      <w:r w:rsidR="00D67EB8" w:rsidRPr="009118AB">
        <w:rPr>
          <w:i/>
        </w:rPr>
        <w:t>Art. </w:t>
      </w:r>
      <w:r w:rsidRPr="009118AB">
        <w:rPr>
          <w:i/>
        </w:rPr>
        <w:t xml:space="preserve">537 eingefügt durch </w:t>
      </w:r>
      <w:r w:rsidR="00D67EB8" w:rsidRPr="009118AB">
        <w:rPr>
          <w:i/>
        </w:rPr>
        <w:t>Art. </w:t>
      </w:r>
      <w:r w:rsidRPr="009118AB">
        <w:rPr>
          <w:i/>
        </w:rPr>
        <w:t>6</w:t>
      </w:r>
      <w:r w:rsidRPr="009118AB">
        <w:rPr>
          <w:i/>
          <w:iCs/>
        </w:rPr>
        <w:t xml:space="preserve"> des G. vom 28. Juni 2013 (B.S. vom 1. Juli 2013)</w:t>
      </w:r>
      <w:r w:rsidR="00D67EB8" w:rsidRPr="009118AB">
        <w:rPr>
          <w:i/>
          <w:iCs/>
        </w:rPr>
        <w:t> - </w:t>
      </w:r>
      <w:r w:rsidRPr="009118AB">
        <w:rPr>
          <w:i/>
          <w:iCs/>
        </w:rPr>
        <w:t>in Kraft am 1. Juli 2013 und</w:t>
      </w:r>
      <w:r w:rsidR="009F67A4" w:rsidRPr="009118AB">
        <w:rPr>
          <w:i/>
          <w:iCs/>
        </w:rPr>
        <w:t xml:space="preserve"> kann nur auf Einlagen</w:t>
      </w:r>
      <w:r w:rsidRPr="009118AB">
        <w:rPr>
          <w:i/>
          <w:iCs/>
        </w:rPr>
        <w:t xml:space="preserve"> anwendbar </w:t>
      </w:r>
      <w:r w:rsidR="009F67A4" w:rsidRPr="009118AB">
        <w:rPr>
          <w:i/>
          <w:iCs/>
        </w:rPr>
        <w:t xml:space="preserve">werden, die im Geschäftsjahr, das vor dem 1. Oktober 2014 abgeschlossen wird, </w:t>
      </w:r>
      <w:r w:rsidRPr="009118AB">
        <w:rPr>
          <w:i/>
          <w:iCs/>
        </w:rPr>
        <w:t>getätigt</w:t>
      </w:r>
      <w:r w:rsidR="009F67A4" w:rsidRPr="009118AB">
        <w:rPr>
          <w:i/>
          <w:iCs/>
        </w:rPr>
        <w:t xml:space="preserve"> werd</w:t>
      </w:r>
      <w:r w:rsidRPr="009118AB">
        <w:rPr>
          <w:i/>
          <w:iCs/>
        </w:rPr>
        <w:t>en</w:t>
      </w:r>
      <w:r w:rsidR="003366D9" w:rsidRPr="009118AB">
        <w:rPr>
          <w:i/>
          <w:iCs/>
        </w:rPr>
        <w:t> -;</w:t>
      </w:r>
      <w:r w:rsidR="003F54EB" w:rsidRPr="009118AB">
        <w:rPr>
          <w:i/>
          <w:iCs/>
        </w:rPr>
        <w:t xml:space="preserve"> </w:t>
      </w:r>
      <w:r w:rsidR="00D67EB8" w:rsidRPr="009118AB">
        <w:rPr>
          <w:i/>
          <w:iCs/>
        </w:rPr>
        <w:t>Abs. </w:t>
      </w:r>
      <w:r w:rsidR="003F54EB" w:rsidRPr="009118AB">
        <w:rPr>
          <w:i/>
          <w:iCs/>
        </w:rPr>
        <w:t xml:space="preserve">6 </w:t>
      </w:r>
      <w:r w:rsidR="00D67EB8" w:rsidRPr="009118AB">
        <w:rPr>
          <w:i/>
          <w:iCs/>
        </w:rPr>
        <w:t>Nr. </w:t>
      </w:r>
      <w:r w:rsidR="003F54EB" w:rsidRPr="009118AB">
        <w:rPr>
          <w:i/>
          <w:iCs/>
        </w:rPr>
        <w:t xml:space="preserve">1 abgeändert durch </w:t>
      </w:r>
      <w:r w:rsidR="00D67EB8" w:rsidRPr="009118AB">
        <w:rPr>
          <w:i/>
          <w:iCs/>
        </w:rPr>
        <w:t>Art. </w:t>
      </w:r>
      <w:r w:rsidR="003F54EB" w:rsidRPr="009118AB">
        <w:rPr>
          <w:i/>
          <w:iCs/>
        </w:rPr>
        <w:t>93</w:t>
      </w:r>
      <w:r w:rsidR="003F54EB" w:rsidRPr="009118AB">
        <w:rPr>
          <w:i/>
        </w:rPr>
        <w:t xml:space="preserve"> des G. vom 26. Dezember 2015 (II) (B.S. vom 30. Dezember 2015)</w:t>
      </w:r>
      <w:r w:rsidR="008E18B9" w:rsidRPr="009118AB">
        <w:rPr>
          <w:i/>
        </w:rPr>
        <w:t xml:space="preserve">, selbst abgeändert durch </w:t>
      </w:r>
      <w:r w:rsidR="00D67EB8" w:rsidRPr="009118AB">
        <w:rPr>
          <w:i/>
        </w:rPr>
        <w:t>Art. </w:t>
      </w:r>
      <w:r w:rsidR="008E18B9" w:rsidRPr="009118AB">
        <w:rPr>
          <w:i/>
        </w:rPr>
        <w:t>19 des G. vom 25. Dezember 2017 (B.S. vom 29. Dezember 2017,</w:t>
      </w:r>
      <w:r w:rsidR="00D67EB8" w:rsidRPr="009118AB">
        <w:t> - </w:t>
      </w:r>
      <w:r w:rsidR="003F54EB" w:rsidRPr="009118AB">
        <w:rPr>
          <w:i/>
        </w:rPr>
        <w:t>anwendbar auf die ab dem 1. Januar 2016 gezahlten oder zuerkannten Einkünfte</w:t>
      </w:r>
      <w:r w:rsidR="003366D9" w:rsidRPr="009118AB">
        <w:rPr>
          <w:i/>
        </w:rPr>
        <w:t> -;</w:t>
      </w:r>
      <w:r w:rsidR="00A72E75" w:rsidRPr="009118AB">
        <w:rPr>
          <w:i/>
        </w:rPr>
        <w:t xml:space="preserve"> </w:t>
      </w:r>
      <w:r w:rsidR="00D67EB8" w:rsidRPr="009118AB">
        <w:rPr>
          <w:i/>
        </w:rPr>
        <w:t>Abs. </w:t>
      </w:r>
      <w:r w:rsidR="001E1FC2" w:rsidRPr="009118AB">
        <w:rPr>
          <w:i/>
        </w:rPr>
        <w:t xml:space="preserve">7 einleitende Bestimmung abgeändert durch </w:t>
      </w:r>
      <w:r w:rsidR="00D67EB8" w:rsidRPr="009118AB">
        <w:rPr>
          <w:i/>
        </w:rPr>
        <w:t>Art. </w:t>
      </w:r>
      <w:r w:rsidR="001E1FC2" w:rsidRPr="009118AB">
        <w:rPr>
          <w:i/>
        </w:rPr>
        <w:t>92</w:t>
      </w:r>
      <w:r w:rsidR="001E1FC2" w:rsidRPr="009118AB">
        <w:rPr>
          <w:bCs/>
          <w:i/>
          <w:iCs/>
        </w:rPr>
        <w:t xml:space="preserve"> des G. vom 27. Juni 2021 (B.S. vom 30. Juni 2021)</w:t>
      </w:r>
      <w:r w:rsidR="00E51D1A" w:rsidRPr="009118AB">
        <w:rPr>
          <w:bCs/>
          <w:i/>
          <w:iCs/>
        </w:rPr>
        <w:t xml:space="preserve"> und Art. 42</w:t>
      </w:r>
      <w:r w:rsidR="00E51D1A" w:rsidRPr="009118AB">
        <w:rPr>
          <w:i/>
          <w:iCs/>
        </w:rPr>
        <w:t xml:space="preserve"> des G. vom 5. Juli 2022 (B.S. vom 15. Juli 2022)</w:t>
      </w:r>
      <w:r w:rsidR="001E1FC2" w:rsidRPr="009118AB">
        <w:rPr>
          <w:i/>
        </w:rPr>
        <w:t xml:space="preserve">; </w:t>
      </w:r>
      <w:r w:rsidR="00D67EB8" w:rsidRPr="009118AB">
        <w:rPr>
          <w:i/>
        </w:rPr>
        <w:t>Abs. </w:t>
      </w:r>
      <w:r w:rsidR="00A72E75" w:rsidRPr="009118AB">
        <w:rPr>
          <w:i/>
        </w:rPr>
        <w:t xml:space="preserve">7 </w:t>
      </w:r>
      <w:r w:rsidR="00D67EB8" w:rsidRPr="009118AB">
        <w:rPr>
          <w:i/>
        </w:rPr>
        <w:t>Nr. </w:t>
      </w:r>
      <w:r w:rsidR="00A72E75" w:rsidRPr="009118AB">
        <w:rPr>
          <w:i/>
        </w:rPr>
        <w:t xml:space="preserve">1 abgeändert durch </w:t>
      </w:r>
      <w:r w:rsidR="00D67EB8" w:rsidRPr="009118AB">
        <w:rPr>
          <w:i/>
        </w:rPr>
        <w:t>Art. </w:t>
      </w:r>
      <w:r w:rsidR="00A72E75" w:rsidRPr="009118AB">
        <w:rPr>
          <w:i/>
        </w:rPr>
        <w:t>93 des G. vom 26. Dezember 2015 (II) (B.S. vom 30. Dezember 2015)</w:t>
      </w:r>
      <w:r w:rsidR="008E18B9" w:rsidRPr="009118AB">
        <w:rPr>
          <w:i/>
        </w:rPr>
        <w:t xml:space="preserve">, selbst abgeändert durch </w:t>
      </w:r>
      <w:r w:rsidR="00D67EB8" w:rsidRPr="009118AB">
        <w:rPr>
          <w:i/>
        </w:rPr>
        <w:t>Art. </w:t>
      </w:r>
      <w:r w:rsidR="008E18B9" w:rsidRPr="009118AB">
        <w:rPr>
          <w:i/>
        </w:rPr>
        <w:t>19 des G. vom 25. Dezember 2017 (B.S. vom 29. Dezember 2017,</w:t>
      </w:r>
      <w:r w:rsidR="00D67EB8" w:rsidRPr="009118AB">
        <w:t> - </w:t>
      </w:r>
      <w:r w:rsidR="00A72E75" w:rsidRPr="009118AB">
        <w:rPr>
          <w:i/>
        </w:rPr>
        <w:t>anwendbar auf die ab dem 1. Januar 2016 gezahlten oder zuerkannten Einkünfte</w:t>
      </w:r>
      <w:r w:rsidR="00FD68E8" w:rsidRPr="009118AB">
        <w:rPr>
          <w:i/>
        </w:rPr>
        <w:t> -]</w:t>
      </w:r>
    </w:p>
    <w:p w14:paraId="1F59BBC4" w14:textId="77777777" w:rsidR="00C63632" w:rsidRPr="009118AB" w:rsidRDefault="00C63632"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08515E9" w14:textId="77777777" w:rsidR="00C63632" w:rsidRPr="009118AB" w:rsidRDefault="00C63632"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1CA65EF8" w14:textId="1060F4BE" w:rsidR="00C63632" w:rsidRPr="009118AB" w:rsidRDefault="00C63632" w:rsidP="00C934C9">
      <w:pPr>
        <w:ind w:firstLine="708"/>
        <w:jc w:val="both"/>
        <w:rPr>
          <w:iCs/>
        </w:rPr>
      </w:pPr>
      <w:r w:rsidRPr="009118AB">
        <w:rPr>
          <w:iCs/>
        </w:rPr>
        <w:t>[</w:t>
      </w:r>
      <w:r w:rsidR="00D67EB8" w:rsidRPr="009118AB">
        <w:rPr>
          <w:b/>
        </w:rPr>
        <w:t>Art. </w:t>
      </w:r>
      <w:r w:rsidRPr="009118AB">
        <w:rPr>
          <w:b/>
        </w:rPr>
        <w:t>538</w:t>
      </w:r>
      <w:r w:rsidR="00D67EB8" w:rsidRPr="009118AB">
        <w:t> - </w:t>
      </w:r>
      <w:r w:rsidR="00C934C9" w:rsidRPr="009118AB">
        <w:t>[…]</w:t>
      </w:r>
      <w:r w:rsidRPr="009118AB">
        <w:rPr>
          <w:iCs/>
        </w:rPr>
        <w:t>]</w:t>
      </w:r>
    </w:p>
    <w:p w14:paraId="359602F9" w14:textId="77777777" w:rsidR="00C63632" w:rsidRPr="009118AB" w:rsidRDefault="00C63632" w:rsidP="00C636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6FCCABF" w14:textId="78FB7EA1" w:rsidR="00C63632" w:rsidRPr="009118AB" w:rsidRDefault="00C63632" w:rsidP="00C636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118AB">
        <w:rPr>
          <w:i/>
          <w:iCs/>
        </w:rPr>
        <w:t>[</w:t>
      </w:r>
      <w:r w:rsidR="00D67EB8" w:rsidRPr="009118AB">
        <w:rPr>
          <w:i/>
          <w:iCs/>
        </w:rPr>
        <w:t>Art. </w:t>
      </w:r>
      <w:r w:rsidRPr="009118AB">
        <w:rPr>
          <w:i/>
          <w:iCs/>
        </w:rPr>
        <w:t xml:space="preserve">538 eingefügt durch </w:t>
      </w:r>
      <w:r w:rsidR="00D67EB8" w:rsidRPr="009118AB">
        <w:rPr>
          <w:i/>
          <w:iCs/>
        </w:rPr>
        <w:t>Art. </w:t>
      </w:r>
      <w:r w:rsidRPr="009118AB">
        <w:rPr>
          <w:i/>
          <w:iCs/>
        </w:rPr>
        <w:t>103 des G. vom 26. Dezember 2013</w:t>
      </w:r>
      <w:r w:rsidR="008D4A02" w:rsidRPr="009118AB">
        <w:rPr>
          <w:i/>
          <w:iCs/>
        </w:rPr>
        <w:t> (I)</w:t>
      </w:r>
      <w:r w:rsidRPr="009118AB">
        <w:rPr>
          <w:i/>
          <w:iCs/>
        </w:rPr>
        <w:t xml:space="preserve"> (B.S. vom 31. Dezember 2013)</w:t>
      </w:r>
      <w:r w:rsidR="00D67EB8" w:rsidRPr="009118AB">
        <w:rPr>
          <w:i/>
          <w:iCs/>
        </w:rPr>
        <w:t> - </w:t>
      </w:r>
      <w:r w:rsidR="007707C1" w:rsidRPr="009118AB">
        <w:rPr>
          <w:i/>
          <w:iCs/>
        </w:rPr>
        <w:t>in Kraft ab dem 1. Januar 2014</w:t>
      </w:r>
      <w:r w:rsidR="00D67EB8" w:rsidRPr="009118AB">
        <w:rPr>
          <w:i/>
          <w:iCs/>
        </w:rPr>
        <w:t> - </w:t>
      </w:r>
      <w:r w:rsidR="00C934C9" w:rsidRPr="009118AB">
        <w:rPr>
          <w:i/>
          <w:iCs/>
        </w:rPr>
        <w:t xml:space="preserve">und aufgehoben durch </w:t>
      </w:r>
      <w:r w:rsidR="00D67EB8" w:rsidRPr="009118AB">
        <w:rPr>
          <w:i/>
          <w:iCs/>
        </w:rPr>
        <w:t>Art. </w:t>
      </w:r>
      <w:r w:rsidR="00C934C9" w:rsidRPr="009118AB">
        <w:rPr>
          <w:i/>
          <w:iCs/>
        </w:rPr>
        <w:t>78</w:t>
      </w:r>
      <w:r w:rsidR="00C934C9" w:rsidRPr="009118AB">
        <w:rPr>
          <w:i/>
          <w:iCs/>
          <w:spacing w:val="-2"/>
        </w:rPr>
        <w:t xml:space="preserve"> des G. vom 11. Februar 2019 (B.S. vom 22. März 2020)</w:t>
      </w:r>
      <w:r w:rsidR="00D67EB8" w:rsidRPr="009118AB">
        <w:rPr>
          <w:i/>
          <w:iCs/>
          <w:spacing w:val="-2"/>
        </w:rPr>
        <w:t> - </w:t>
      </w:r>
      <w:r w:rsidR="00C934C9" w:rsidRPr="009118AB">
        <w:rPr>
          <w:i/>
          <w:iCs/>
          <w:spacing w:val="-2"/>
        </w:rPr>
        <w:t>wirksam mit 1. Januar 2019 und anwendbar auf Kündigungszulagen, Entlohnungen und Entschädigungen, die a</w:t>
      </w:r>
      <w:r w:rsidR="0037048A" w:rsidRPr="009118AB">
        <w:rPr>
          <w:i/>
          <w:iCs/>
          <w:spacing w:val="-2"/>
        </w:rPr>
        <w:t>b</w:t>
      </w:r>
      <w:r w:rsidR="00C934C9" w:rsidRPr="009118AB">
        <w:rPr>
          <w:i/>
          <w:iCs/>
          <w:spacing w:val="-2"/>
        </w:rPr>
        <w:t xml:space="preserve"> dem 1. Januar 2019</w:t>
      </w:r>
      <w:r w:rsidR="00FD68E8" w:rsidRPr="009118AB">
        <w:rPr>
          <w:i/>
          <w:iCs/>
          <w:spacing w:val="-2"/>
        </w:rPr>
        <w:t> </w:t>
      </w:r>
      <w:r w:rsidR="00571CCC" w:rsidRPr="009118AB">
        <w:rPr>
          <w:i/>
          <w:iCs/>
        </w:rPr>
        <w:t>bezogen werden</w:t>
      </w:r>
      <w:r w:rsidR="00571CCC" w:rsidRPr="009118AB">
        <w:rPr>
          <w:i/>
          <w:iCs/>
          <w:spacing w:val="-2"/>
        </w:rPr>
        <w:t xml:space="preserve"> </w:t>
      </w:r>
      <w:r w:rsidR="00FD68E8" w:rsidRPr="009118AB">
        <w:rPr>
          <w:i/>
          <w:iCs/>
          <w:spacing w:val="-2"/>
        </w:rPr>
        <w:t>-]</w:t>
      </w:r>
    </w:p>
    <w:p w14:paraId="3AFAD562" w14:textId="77777777" w:rsidR="00F16559" w:rsidRPr="009118AB" w:rsidRDefault="00F16559"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3D8DBD4" w14:textId="77777777" w:rsidR="00DA35C5" w:rsidRPr="009118AB" w:rsidRDefault="00DA35C5"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71763BF0" w14:textId="40164B6D" w:rsidR="00643C39" w:rsidRPr="009118AB" w:rsidRDefault="00DA35C5" w:rsidP="00E06B01">
      <w:pPr>
        <w:jc w:val="both"/>
        <w:rPr>
          <w:iCs/>
        </w:rPr>
      </w:pPr>
      <w:r w:rsidRPr="009118AB">
        <w:rPr>
          <w:spacing w:val="-5"/>
        </w:rPr>
        <w:tab/>
        <w:t>[</w:t>
      </w:r>
      <w:r w:rsidR="00D67EB8" w:rsidRPr="009118AB">
        <w:rPr>
          <w:b/>
        </w:rPr>
        <w:t>Art. </w:t>
      </w:r>
      <w:r w:rsidRPr="009118AB">
        <w:rPr>
          <w:b/>
        </w:rPr>
        <w:t>539</w:t>
      </w:r>
      <w:r w:rsidR="00D67EB8" w:rsidRPr="009118AB">
        <w:t> - </w:t>
      </w:r>
      <w:r w:rsidR="00D67EB8" w:rsidRPr="009118AB">
        <w:rPr>
          <w:iCs/>
        </w:rPr>
        <w:t>§ </w:t>
      </w:r>
      <w:r w:rsidR="00643C39" w:rsidRPr="009118AB">
        <w:rPr>
          <w:iCs/>
        </w:rPr>
        <w:t>1</w:t>
      </w:r>
      <w:r w:rsidR="00D67EB8" w:rsidRPr="009118AB">
        <w:rPr>
          <w:iCs/>
        </w:rPr>
        <w:t> - </w:t>
      </w:r>
      <w:r w:rsidR="00643C39" w:rsidRPr="009118AB">
        <w:rPr>
          <w:iCs/>
        </w:rPr>
        <w:t>[Vorliegender Artikel ist anwendbar, wenn folgende Bedingungen erfüllt sind:</w:t>
      </w:r>
    </w:p>
    <w:p w14:paraId="5FE663EA" w14:textId="77777777" w:rsidR="00643C39" w:rsidRPr="009118AB"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494006B"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1. Der Steuerpflichtige hat ab dem 1. Januar 2005 und spätestens am 31. De</w:t>
      </w:r>
      <w:r w:rsidRPr="009118AB">
        <w:rPr>
          <w:iCs/>
        </w:rPr>
        <w:softHyphen/>
        <w:t>zember 2013 für Bau, Erwerb oder Umbau seiner einzigen Wohnung eine oder mehrere Hypothekenanleihen aufgenommen.</w:t>
      </w:r>
    </w:p>
    <w:p w14:paraId="5CE0DEBD"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39CDD8A5" w14:textId="1C1463F0"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 xml:space="preserve">2. Die Wohnung, für die eine in </w:t>
      </w:r>
      <w:r w:rsidR="00D67EB8" w:rsidRPr="009118AB">
        <w:rPr>
          <w:iCs/>
        </w:rPr>
        <w:t>Nr. </w:t>
      </w:r>
      <w:r w:rsidRPr="009118AB">
        <w:rPr>
          <w:iCs/>
        </w:rPr>
        <w:t>1 erwähnte Hypothekenanleihe aufgenommen wurde, war die eigene Wohnung des Steuerpflichtigen und ist vor dem 1. Januar 2016 eine andere Wohnung als die eigene Wohnung geworden.</w:t>
      </w:r>
    </w:p>
    <w:p w14:paraId="28FCFF92"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0CE53E69" w14:textId="14B74206"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 xml:space="preserve">3. Für den vorhergehenden Besteuerungszeitraum hat der Steuerpflichtige für die Zahlungen für die in </w:t>
      </w:r>
      <w:r w:rsidR="00D67EB8" w:rsidRPr="009118AB">
        <w:rPr>
          <w:iCs/>
        </w:rPr>
        <w:t>Nr. </w:t>
      </w:r>
      <w:r w:rsidRPr="009118AB">
        <w:rPr>
          <w:iCs/>
        </w:rPr>
        <w:t xml:space="preserve">1 erwähnten Hypothekenanleihen und für die Beiträge, die in Ausführung eines Lebensversicherungsvertrags gezahlt werden, der ausschließlich für die Wiederherstellung dieser oder als Sicherheit für diese Hypothekenanleihen dient, die Anwendung der Artikel 104 </w:t>
      </w:r>
      <w:r w:rsidR="00D67EB8" w:rsidRPr="009118AB">
        <w:rPr>
          <w:iCs/>
        </w:rPr>
        <w:t>Nr. </w:t>
      </w:r>
      <w:r w:rsidRPr="009118AB">
        <w:rPr>
          <w:iCs/>
        </w:rPr>
        <w:t>9, 115, 116 und 145</w:t>
      </w:r>
      <w:r w:rsidRPr="009118AB">
        <w:rPr>
          <w:iCs/>
          <w:vertAlign w:val="superscript"/>
        </w:rPr>
        <w:t>1</w:t>
      </w:r>
      <w:r w:rsidRPr="009118AB">
        <w:rPr>
          <w:iCs/>
        </w:rPr>
        <w:t xml:space="preserve"> </w:t>
      </w:r>
      <w:r w:rsidR="00D67EB8" w:rsidRPr="009118AB">
        <w:rPr>
          <w:iCs/>
        </w:rPr>
        <w:t>Nr. </w:t>
      </w:r>
      <w:r w:rsidRPr="009118AB">
        <w:rPr>
          <w:iCs/>
        </w:rPr>
        <w:t>2 und 3, so wie sie vor ihrer Abänderung oder Aufhebung durch die Artikel 20, 22 und 24 des Gesetzes vom 8. Mai 2014 bestanden, beantragt.]</w:t>
      </w:r>
    </w:p>
    <w:p w14:paraId="519808BA" w14:textId="77777777" w:rsidR="007E747A" w:rsidRPr="009118AB" w:rsidRDefault="007E747A">
      <w:pPr>
        <w:rPr>
          <w:iCs/>
        </w:rPr>
      </w:pPr>
    </w:p>
    <w:p w14:paraId="5093A574" w14:textId="75E0100E"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 xml:space="preserve">In diesen Fällen kann der Steuerpflichtige für diese Anleihen und Verträge die Anwendung der Artikel 104 </w:t>
      </w:r>
      <w:r w:rsidR="00D67EB8" w:rsidRPr="009118AB">
        <w:rPr>
          <w:iCs/>
        </w:rPr>
        <w:t>Nr. </w:t>
      </w:r>
      <w:r w:rsidRPr="009118AB">
        <w:rPr>
          <w:iCs/>
        </w:rPr>
        <w:t>9, 115, 116, 145</w:t>
      </w:r>
      <w:r w:rsidRPr="009118AB">
        <w:rPr>
          <w:iCs/>
          <w:vertAlign w:val="superscript"/>
        </w:rPr>
        <w:t>1</w:t>
      </w:r>
      <w:r w:rsidRPr="009118AB">
        <w:rPr>
          <w:iCs/>
        </w:rPr>
        <w:t xml:space="preserve"> </w:t>
      </w:r>
      <w:r w:rsidR="00D67EB8" w:rsidRPr="009118AB">
        <w:rPr>
          <w:iCs/>
        </w:rPr>
        <w:t>Nr. </w:t>
      </w:r>
      <w:r w:rsidRPr="009118AB">
        <w:rPr>
          <w:iCs/>
        </w:rPr>
        <w:t xml:space="preserve">2 und 3 und 242 </w:t>
      </w:r>
      <w:r w:rsidR="00D67EB8" w:rsidRPr="009118AB">
        <w:rPr>
          <w:iCs/>
        </w:rPr>
        <w:t>§ </w:t>
      </w:r>
      <w:r w:rsidRPr="009118AB">
        <w:rPr>
          <w:iCs/>
        </w:rPr>
        <w:t>2, so wie sie vor ihrer Abänderung oder Aufhebung durch die Artikel 20, 22, 24 und 74 des Gesetzes vom 8. Mai 2014 bestanden, beantragen, wobei:</w:t>
      </w:r>
    </w:p>
    <w:p w14:paraId="4B3F43D5"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551A2369"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1. der Vorteil in der Form einer Steuerermäßigung gewährt wird,</w:t>
      </w:r>
    </w:p>
    <w:p w14:paraId="66CD5599"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6E59C258" w14:textId="1676A8AA"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 xml:space="preserve">2. der gemäß den vorerwähnten Artikeln 115 </w:t>
      </w:r>
      <w:r w:rsidR="00D67EB8" w:rsidRPr="009118AB">
        <w:rPr>
          <w:iCs/>
        </w:rPr>
        <w:t>§ </w:t>
      </w:r>
      <w:r w:rsidRPr="009118AB">
        <w:rPr>
          <w:iCs/>
        </w:rPr>
        <w:t xml:space="preserve">1 Absatz 1 </w:t>
      </w:r>
      <w:r w:rsidR="00D67EB8" w:rsidRPr="009118AB">
        <w:rPr>
          <w:iCs/>
        </w:rPr>
        <w:t>Nr. </w:t>
      </w:r>
      <w:r w:rsidRPr="009118AB">
        <w:rPr>
          <w:iCs/>
        </w:rPr>
        <w:t>6 und 116 berechnete Höchstbetrag, für den die Steuerermäßigung gewährt werden kann, um den Betrag der Ausgaben für Erwerb oder Erhaltung der eigenen Wohnung, für die die in den Artikeln 145</w:t>
      </w:r>
      <w:r w:rsidRPr="009118AB">
        <w:rPr>
          <w:iCs/>
          <w:vertAlign w:val="superscript"/>
        </w:rPr>
        <w:t>37</w:t>
      </w:r>
      <w:r w:rsidRPr="009118AB">
        <w:rPr>
          <w:iCs/>
        </w:rPr>
        <w:t xml:space="preserve"> und 145</w:t>
      </w:r>
      <w:r w:rsidRPr="009118AB">
        <w:rPr>
          <w:iCs/>
          <w:vertAlign w:val="superscript"/>
        </w:rPr>
        <w:t>39</w:t>
      </w:r>
      <w:r w:rsidRPr="009118AB">
        <w:rPr>
          <w:iCs/>
        </w:rPr>
        <w:t xml:space="preserve"> erwähnten Ermäßigungen gewährt werden können, verringert wird,</w:t>
      </w:r>
    </w:p>
    <w:p w14:paraId="04819C2A"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7B50A3D6"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3. die Steuerermäßigung zu dem für den Steuerpflichtigen höchsten Steuersatz wie in Artikel 130 erwähnt berechnet wird, mit einem Mindestsatz von 30 Prozent. Falls die für die Ermäßigung zu berücksichtigenden Ausgaben sich auf mehr als einen Steuersatz beziehen, wird für jeden Teil dieser Ausgaben der entsprechende Steuersatz berücksichtigt,</w:t>
      </w:r>
    </w:p>
    <w:p w14:paraId="5FAA4BDD"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232D58B2" w14:textId="38C2A5BC"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 xml:space="preserve">4. wenn eine gemeinsame Veranlagung festgelegt wird und beide Ehepartner Ausgaben getätigt haben, für die die Anwendung der vorerwähnten Artikel beantragt wird, die Ehepartner diese Ausgaben in den in den vorerwähnten Artikeln 115 </w:t>
      </w:r>
      <w:r w:rsidR="00D67EB8" w:rsidRPr="009118AB">
        <w:rPr>
          <w:iCs/>
        </w:rPr>
        <w:t>§ </w:t>
      </w:r>
      <w:r w:rsidRPr="009118AB">
        <w:rPr>
          <w:iCs/>
        </w:rPr>
        <w:t xml:space="preserve">1 Absatz 1 </w:t>
      </w:r>
      <w:r w:rsidR="00D67EB8" w:rsidRPr="009118AB">
        <w:rPr>
          <w:iCs/>
        </w:rPr>
        <w:t>Nr. </w:t>
      </w:r>
      <w:r w:rsidRPr="009118AB">
        <w:rPr>
          <w:iCs/>
        </w:rPr>
        <w:t>6 und 116 erwähnten Grenzen frei aufteilen können,</w:t>
      </w:r>
    </w:p>
    <w:p w14:paraId="1DB05E5C"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1220C405" w14:textId="39EA9388"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5. die Steuerermäßigung nach der in Artikel 145</w:t>
      </w:r>
      <w:r w:rsidRPr="009118AB">
        <w:rPr>
          <w:iCs/>
          <w:vertAlign w:val="superscript"/>
        </w:rPr>
        <w:t>1</w:t>
      </w:r>
      <w:r w:rsidRPr="009118AB">
        <w:rPr>
          <w:iCs/>
        </w:rPr>
        <w:t xml:space="preserve"> </w:t>
      </w:r>
      <w:r w:rsidR="00D67EB8" w:rsidRPr="009118AB">
        <w:rPr>
          <w:iCs/>
        </w:rPr>
        <w:t>Nr. </w:t>
      </w:r>
      <w:r w:rsidRPr="009118AB">
        <w:rPr>
          <w:iCs/>
        </w:rPr>
        <w:t>1 erwähnten Steuerermäßigung gemäß Artikel 178/1 angerechnet wird,</w:t>
      </w:r>
    </w:p>
    <w:p w14:paraId="0E0CAA11"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16E51523" w14:textId="3B3A2A11"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 xml:space="preserve">6. zur Bestimmung der in Artikel 171 </w:t>
      </w:r>
      <w:r w:rsidR="00D67EB8" w:rsidRPr="009118AB">
        <w:rPr>
          <w:iCs/>
        </w:rPr>
        <w:t>Nr. </w:t>
      </w:r>
      <w:r w:rsidRPr="009118AB">
        <w:rPr>
          <w:iCs/>
        </w:rPr>
        <w:t>5 und 6 erwähnten Durchschnittssteuersätze die Steuerermäßigung berücksichtigt wird.</w:t>
      </w:r>
    </w:p>
    <w:p w14:paraId="6D6893B6"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5FF7AF91"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Die Steuerermäßigung wird gewährt, sofern die Wohnung, für die die Hypothekenanleihe aufgenommen wurde, zum Zeitpunkt der Ausgaben nicht die eigene Wohnung des Steuerpflichtigen ist.</w:t>
      </w:r>
    </w:p>
    <w:p w14:paraId="3C1730A8"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60B274D8" w14:textId="0740BCF7" w:rsidR="00643C39" w:rsidRPr="009118AB" w:rsidRDefault="00D67EB8"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 </w:t>
      </w:r>
      <w:r w:rsidR="00643C39" w:rsidRPr="009118AB">
        <w:rPr>
          <w:iCs/>
        </w:rPr>
        <w:t>2</w:t>
      </w:r>
      <w:r w:rsidRPr="009118AB">
        <w:rPr>
          <w:iCs/>
        </w:rPr>
        <w:t> - </w:t>
      </w:r>
      <w:r w:rsidR="00643C39" w:rsidRPr="009118AB">
        <w:rPr>
          <w:iCs/>
        </w:rPr>
        <w:t xml:space="preserve">Zinsen der in </w:t>
      </w:r>
      <w:r w:rsidRPr="009118AB">
        <w:rPr>
          <w:iCs/>
        </w:rPr>
        <w:t>§ </w:t>
      </w:r>
      <w:r w:rsidR="00643C39" w:rsidRPr="009118AB">
        <w:rPr>
          <w:iCs/>
        </w:rPr>
        <w:t xml:space="preserve">1 Absatz 1 erwähnten Anleihen, für die der Steuerpflichtige gemäß </w:t>
      </w:r>
      <w:r w:rsidRPr="009118AB">
        <w:rPr>
          <w:iCs/>
        </w:rPr>
        <w:t>§ </w:t>
      </w:r>
      <w:r w:rsidR="00643C39" w:rsidRPr="009118AB">
        <w:rPr>
          <w:iCs/>
        </w:rPr>
        <w:t>1 Absatz 2 die Anwendung der dort erwähnten Artikel beantragt hat, kommen für die Anwendung von Artikel 14 nicht in Betracht.</w:t>
      </w:r>
    </w:p>
    <w:p w14:paraId="39397E2D"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6DAA59EA" w14:textId="1AD9ED2C"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Der Betrag, für den die Steuerermäßigung gewährt wird, wird von dem in Artikel 145</w:t>
      </w:r>
      <w:r w:rsidRPr="009118AB">
        <w:rPr>
          <w:iCs/>
          <w:vertAlign w:val="superscript"/>
        </w:rPr>
        <w:t>6</w:t>
      </w:r>
      <w:r w:rsidRPr="009118AB">
        <w:rPr>
          <w:iCs/>
        </w:rPr>
        <w:t xml:space="preserve"> Absatz 1 erster Gedankenstrich erwähnten Betrag abgezogen ohne Berücksichtigung der Differenz zwischen den eventuellen Erhöhungen erwähnt in dem in </w:t>
      </w:r>
      <w:r w:rsidR="00D67EB8" w:rsidRPr="009118AB">
        <w:rPr>
          <w:iCs/>
        </w:rPr>
        <w:t>§ </w:t>
      </w:r>
      <w:r w:rsidRPr="009118AB">
        <w:rPr>
          <w:iCs/>
        </w:rPr>
        <w:t xml:space="preserve">1 Absatz 2 erwähnten Artikel 116 und der eventuellen Erhöhungen </w:t>
      </w:r>
      <w:r w:rsidR="00712852" w:rsidRPr="009118AB">
        <w:rPr>
          <w:iCs/>
        </w:rPr>
        <w:t>[</w:t>
      </w:r>
      <w:r w:rsidRPr="009118AB">
        <w:rPr>
          <w:iCs/>
        </w:rPr>
        <w:t>erwähnt in Artikel 145</w:t>
      </w:r>
      <w:r w:rsidRPr="009118AB">
        <w:rPr>
          <w:iCs/>
          <w:vertAlign w:val="superscript"/>
        </w:rPr>
        <w:t>37</w:t>
      </w:r>
      <w:r w:rsidR="00712852" w:rsidRPr="009118AB">
        <w:rPr>
          <w:iCs/>
        </w:rPr>
        <w:t>]</w:t>
      </w:r>
      <w:r w:rsidRPr="009118AB">
        <w:rPr>
          <w:iCs/>
        </w:rPr>
        <w:t>, für die die in diesem Artikel erwähnte Steuerermäßigung gewährt werden kann.</w:t>
      </w:r>
    </w:p>
    <w:p w14:paraId="3B48507B" w14:textId="77777777" w:rsidR="000117ED" w:rsidRPr="009118AB" w:rsidRDefault="000117ED"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60445CDE" w14:textId="1D35E234" w:rsidR="00643C39" w:rsidRPr="009118AB" w:rsidRDefault="00D67EB8"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 </w:t>
      </w:r>
      <w:r w:rsidR="00643C39" w:rsidRPr="009118AB">
        <w:rPr>
          <w:iCs/>
        </w:rPr>
        <w:t>3</w:t>
      </w:r>
      <w:r w:rsidRPr="009118AB">
        <w:rPr>
          <w:iCs/>
        </w:rPr>
        <w:t> - </w:t>
      </w:r>
      <w:r w:rsidR="00643C39" w:rsidRPr="009118AB">
        <w:rPr>
          <w:iCs/>
        </w:rPr>
        <w:t xml:space="preserve">Die auf Euro lautenden Beträge, die in den in </w:t>
      </w:r>
      <w:r w:rsidRPr="009118AB">
        <w:rPr>
          <w:iCs/>
        </w:rPr>
        <w:t>§ </w:t>
      </w:r>
      <w:r w:rsidR="00643C39" w:rsidRPr="009118AB">
        <w:rPr>
          <w:iCs/>
        </w:rPr>
        <w:t>1 Absatz 2 erwähnten Artikeln 115 und 116 erwähnt sind, werden je nach Fall jährlich und gleichzeitig gemäß Artikel 178 an den Verbraucherpreisindex des Königreichs angepasst.]</w:t>
      </w:r>
      <w:r w:rsidR="00234A35" w:rsidRPr="009118AB">
        <w:rPr>
          <w:iCs/>
        </w:rPr>
        <w:t xml:space="preserve"> [</w:t>
      </w:r>
      <w:r w:rsidR="00234A35" w:rsidRPr="009118AB">
        <w:t>Artikel 174/1 ist auf diese Beträge anwendbar.</w:t>
      </w:r>
      <w:r w:rsidR="00234A35" w:rsidRPr="009118AB">
        <w:rPr>
          <w:iCs/>
        </w:rPr>
        <w:t>]</w:t>
      </w:r>
    </w:p>
    <w:p w14:paraId="39AB96DA" w14:textId="77777777" w:rsidR="00643C39" w:rsidRPr="009118AB"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7E2F5208" w14:textId="44EE7563" w:rsidR="00B52060" w:rsidRPr="009118AB" w:rsidRDefault="00B52060"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118AB">
        <w:rPr>
          <w:iCs/>
        </w:rPr>
        <w:t>[</w:t>
      </w:r>
      <w:r w:rsidRPr="009118AB">
        <w:t>§ 4 - Für Handlungen, die ab dem 1. Januar 2023 vorgenommen werden und die bezwecken oder bewirken, dass die in vorliegendem Artikel erwähnte Steuerermäßigung für einen längeren Zeitraum als den am 31. Dezember 2022 geltenden Zeitraum gewährt werden kann, gilt in Bezug auf die Verlängerung des Zeitraums, in dem die Steuerermäßigung gewährt werden kann, dass sie nicht bestehen.</w:t>
      </w:r>
      <w:r w:rsidRPr="009118AB">
        <w:rPr>
          <w:iCs/>
        </w:rPr>
        <w:t>]</w:t>
      </w:r>
    </w:p>
    <w:p w14:paraId="16AB4E7B" w14:textId="77777777" w:rsidR="00B52060" w:rsidRPr="009118AB" w:rsidRDefault="00B52060"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06C6F9BF" w14:textId="5C313B49" w:rsidR="00643C39" w:rsidRPr="009118AB"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Italique" w:hAnsi="Times New Roman Italique"/>
          <w:i/>
          <w:iCs/>
          <w:spacing w:val="-2"/>
        </w:rPr>
      </w:pPr>
      <w:r w:rsidRPr="009118AB">
        <w:rPr>
          <w:rFonts w:ascii="Times New Roman Italique" w:hAnsi="Times New Roman Italique"/>
          <w:i/>
          <w:iCs/>
          <w:spacing w:val="-2"/>
        </w:rPr>
        <w:t>[</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 xml:space="preserve">539 eingefügt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105 des G. vom 8. Mai 2014 (B.S. vom 28. Mai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2015</w:t>
      </w:r>
      <w:r w:rsidR="003366D9" w:rsidRPr="009118AB">
        <w:rPr>
          <w:rFonts w:ascii="Times New Roman Italique" w:hAnsi="Times New Roman Italique"/>
          <w:i/>
          <w:iCs/>
          <w:spacing w:val="-2"/>
        </w:rPr>
        <w:t> -;</w:t>
      </w:r>
      <w:r w:rsidR="00712852"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Pr="009118AB">
        <w:rPr>
          <w:rFonts w:ascii="Times New Roman Italique" w:hAnsi="Times New Roman Italique"/>
          <w:i/>
          <w:iCs/>
          <w:spacing w:val="-2"/>
        </w:rPr>
        <w:t xml:space="preserve">1 </w:t>
      </w:r>
      <w:r w:rsidR="00D67EB8" w:rsidRPr="009118AB">
        <w:rPr>
          <w:rFonts w:ascii="Times New Roman Italique" w:hAnsi="Times New Roman Italique"/>
          <w:i/>
          <w:iCs/>
          <w:spacing w:val="-2"/>
        </w:rPr>
        <w:t>Abs. </w:t>
      </w:r>
      <w:r w:rsidRPr="009118AB">
        <w:rPr>
          <w:rFonts w:ascii="Times New Roman Italique" w:hAnsi="Times New Roman Italique"/>
          <w:i/>
          <w:iCs/>
          <w:spacing w:val="-2"/>
        </w:rPr>
        <w:t xml:space="preserve">1 ersetzt durch </w:t>
      </w:r>
      <w:r w:rsidR="00D67EB8" w:rsidRPr="009118AB">
        <w:rPr>
          <w:rFonts w:ascii="Times New Roman Italique" w:hAnsi="Times New Roman Italique"/>
          <w:i/>
          <w:iCs/>
          <w:spacing w:val="-2"/>
        </w:rPr>
        <w:t>Art. </w:t>
      </w:r>
      <w:r w:rsidRPr="009118AB">
        <w:rPr>
          <w:rFonts w:ascii="Times New Roman Italique" w:hAnsi="Times New Roman Italique"/>
          <w:i/>
          <w:iCs/>
          <w:spacing w:val="-2"/>
        </w:rPr>
        <w:t>106 des G. vom 8. Mai 2014 (B.S. vom 28. Mai 2014)</w:t>
      </w:r>
      <w:r w:rsidR="00D67EB8" w:rsidRPr="009118AB">
        <w:rPr>
          <w:rFonts w:ascii="Times New Roman Italique" w:hAnsi="Times New Roman Italique"/>
          <w:i/>
          <w:iCs/>
          <w:spacing w:val="-2"/>
        </w:rPr>
        <w:t> - </w:t>
      </w:r>
      <w:r w:rsidRPr="009118AB">
        <w:rPr>
          <w:rFonts w:ascii="Times New Roman Italique" w:hAnsi="Times New Roman Italique"/>
          <w:i/>
          <w:iCs/>
          <w:spacing w:val="-2"/>
        </w:rPr>
        <w:t>anwendbar ab dem Steuerjahr 2017</w:t>
      </w:r>
      <w:r w:rsidR="003366D9" w:rsidRPr="009118AB">
        <w:rPr>
          <w:rFonts w:ascii="Times New Roman Italique" w:hAnsi="Times New Roman Italique"/>
          <w:i/>
          <w:iCs/>
          <w:spacing w:val="-2"/>
        </w:rPr>
        <w:t> -;</w:t>
      </w:r>
      <w:r w:rsidR="00704A5F"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704A5F" w:rsidRPr="009118AB">
        <w:rPr>
          <w:rFonts w:ascii="Times New Roman Italique" w:hAnsi="Times New Roman Italique"/>
          <w:i/>
          <w:iCs/>
          <w:spacing w:val="-2"/>
        </w:rPr>
        <w:t xml:space="preserve">2 </w:t>
      </w:r>
      <w:r w:rsidR="00D67EB8" w:rsidRPr="009118AB">
        <w:rPr>
          <w:rFonts w:ascii="Times New Roman Italique" w:hAnsi="Times New Roman Italique"/>
          <w:i/>
          <w:iCs/>
          <w:spacing w:val="-2"/>
        </w:rPr>
        <w:t>Abs. </w:t>
      </w:r>
      <w:r w:rsidR="00704A5F" w:rsidRPr="009118AB">
        <w:rPr>
          <w:rFonts w:ascii="Times New Roman Italique" w:hAnsi="Times New Roman Italique"/>
          <w:i/>
          <w:iCs/>
          <w:spacing w:val="-2"/>
        </w:rPr>
        <w:t xml:space="preserve">2 abgeändert durch </w:t>
      </w:r>
      <w:r w:rsidR="00D67EB8" w:rsidRPr="009118AB">
        <w:rPr>
          <w:rFonts w:ascii="Times New Roman Italique" w:hAnsi="Times New Roman Italique"/>
          <w:i/>
          <w:iCs/>
          <w:spacing w:val="-2"/>
        </w:rPr>
        <w:t>Art. </w:t>
      </w:r>
      <w:r w:rsidR="00704A5F" w:rsidRPr="009118AB">
        <w:rPr>
          <w:rFonts w:ascii="Times New Roman Italique" w:hAnsi="Times New Roman Italique"/>
          <w:i/>
          <w:iCs/>
          <w:spacing w:val="-2"/>
        </w:rPr>
        <w:t>62 des G. vom 18. Dezember 2015 (II) (B.S. vom 28. Dezember 2015)</w:t>
      </w:r>
      <w:r w:rsidR="00D67EB8" w:rsidRPr="009118AB">
        <w:rPr>
          <w:rFonts w:ascii="Times New Roman Italique" w:hAnsi="Times New Roman Italique"/>
          <w:i/>
          <w:iCs/>
          <w:spacing w:val="-2"/>
        </w:rPr>
        <w:t> - </w:t>
      </w:r>
      <w:r w:rsidR="00704A5F" w:rsidRPr="009118AB">
        <w:rPr>
          <w:rFonts w:ascii="Times New Roman Italique" w:hAnsi="Times New Roman Italique"/>
          <w:i/>
          <w:iCs/>
          <w:spacing w:val="-2"/>
        </w:rPr>
        <w:t>anwendbar ab dem Steuerjahr 2016</w:t>
      </w:r>
      <w:r w:rsidR="003366D9" w:rsidRPr="009118AB">
        <w:rPr>
          <w:rFonts w:ascii="Times New Roman Italique" w:hAnsi="Times New Roman Italique"/>
          <w:i/>
          <w:iCs/>
          <w:spacing w:val="-2"/>
        </w:rPr>
        <w:t> -;</w:t>
      </w:r>
      <w:r w:rsidR="00234A35" w:rsidRPr="009118AB">
        <w:rPr>
          <w:rFonts w:ascii="Times New Roman Italique" w:hAnsi="Times New Roman Italique"/>
          <w:i/>
          <w:iCs/>
          <w:spacing w:val="-2"/>
        </w:rPr>
        <w:t xml:space="preserve"> </w:t>
      </w:r>
      <w:r w:rsidR="00D67EB8" w:rsidRPr="009118AB">
        <w:rPr>
          <w:rFonts w:ascii="Times New Roman Italique" w:hAnsi="Times New Roman Italique"/>
          <w:i/>
          <w:iCs/>
          <w:spacing w:val="-2"/>
        </w:rPr>
        <w:t>§ </w:t>
      </w:r>
      <w:r w:rsidR="00234A35" w:rsidRPr="009118AB">
        <w:rPr>
          <w:rFonts w:ascii="Times New Roman Italique" w:hAnsi="Times New Roman Italique"/>
          <w:i/>
          <w:iCs/>
          <w:spacing w:val="-2"/>
        </w:rPr>
        <w:t xml:space="preserve">3 ergänzt durch </w:t>
      </w:r>
      <w:r w:rsidR="00D67EB8" w:rsidRPr="009118AB">
        <w:rPr>
          <w:rFonts w:ascii="Times New Roman Italique" w:hAnsi="Times New Roman Italique"/>
          <w:i/>
          <w:iCs/>
          <w:spacing w:val="-2"/>
        </w:rPr>
        <w:t>Art. </w:t>
      </w:r>
      <w:r w:rsidR="00234A35" w:rsidRPr="009118AB">
        <w:rPr>
          <w:rFonts w:ascii="Times New Roman Italique" w:hAnsi="Times New Roman Italique"/>
          <w:i/>
          <w:iCs/>
          <w:spacing w:val="-2"/>
        </w:rPr>
        <w:t>130 des G. vom 25. Dezember 2017 (IV) (B.S. vom 29. Dezember 2017)</w:t>
      </w:r>
      <w:r w:rsidR="00D67EB8" w:rsidRPr="009118AB">
        <w:rPr>
          <w:rFonts w:ascii="Times New Roman Italique" w:hAnsi="Times New Roman Italique"/>
          <w:i/>
          <w:iCs/>
          <w:spacing w:val="-2"/>
        </w:rPr>
        <w:t> - </w:t>
      </w:r>
      <w:r w:rsidR="00234A35" w:rsidRPr="009118AB">
        <w:rPr>
          <w:rFonts w:ascii="Times New Roman Italique" w:hAnsi="Times New Roman Italique"/>
          <w:i/>
          <w:iCs/>
          <w:spacing w:val="-2"/>
        </w:rPr>
        <w:t>anwendbar ab dem Steuerjahr 2018</w:t>
      </w:r>
      <w:r w:rsidR="00FD68E8" w:rsidRPr="009118AB">
        <w:rPr>
          <w:rFonts w:ascii="Times New Roman Italique" w:hAnsi="Times New Roman Italique"/>
          <w:i/>
          <w:iCs/>
          <w:spacing w:val="-2"/>
        </w:rPr>
        <w:t> -</w:t>
      </w:r>
      <w:r w:rsidR="00B52060" w:rsidRPr="009118AB">
        <w:rPr>
          <w:rFonts w:ascii="Times New Roman Italique" w:hAnsi="Times New Roman Italique"/>
          <w:i/>
          <w:iCs/>
          <w:spacing w:val="-2"/>
        </w:rPr>
        <w:t>; §</w:t>
      </w:r>
      <w:r w:rsidR="00B52060" w:rsidRPr="009118AB">
        <w:rPr>
          <w:rFonts w:ascii="Times New Roman Italique" w:hAnsi="Times New Roman Italique" w:hint="eastAsia"/>
          <w:i/>
          <w:iCs/>
          <w:spacing w:val="-2"/>
        </w:rPr>
        <w:t> </w:t>
      </w:r>
      <w:r w:rsidR="00B52060" w:rsidRPr="009118AB">
        <w:rPr>
          <w:rFonts w:ascii="Times New Roman Italique" w:hAnsi="Times New Roman Italique"/>
          <w:i/>
          <w:iCs/>
          <w:spacing w:val="-2"/>
        </w:rPr>
        <w:t>4 eingefügt durch Art. 113</w:t>
      </w:r>
      <w:r w:rsidR="00B52060" w:rsidRPr="009118AB">
        <w:rPr>
          <w:rFonts w:ascii="Times New Roman Italique" w:hAnsi="Times New Roman Italique"/>
          <w:bCs/>
          <w:i/>
          <w:iCs/>
          <w:spacing w:val="-2"/>
        </w:rPr>
        <w:t xml:space="preserve"> des G. vom 26. Dezember 2022</w:t>
      </w:r>
      <w:r w:rsidR="00455574" w:rsidRPr="009118AB">
        <w:rPr>
          <w:rFonts w:ascii="Times New Roman Italique" w:hAnsi="Times New Roman Italique" w:hint="eastAsia"/>
          <w:bCs/>
          <w:i/>
          <w:iCs/>
          <w:spacing w:val="-4"/>
        </w:rPr>
        <w:t> </w:t>
      </w:r>
      <w:r w:rsidR="00455574" w:rsidRPr="009118AB">
        <w:rPr>
          <w:rFonts w:ascii="Times New Roman Italique" w:hAnsi="Times New Roman Italique"/>
          <w:bCs/>
          <w:i/>
          <w:iCs/>
          <w:spacing w:val="-4"/>
        </w:rPr>
        <w:t>(I)</w:t>
      </w:r>
      <w:r w:rsidR="00B52060" w:rsidRPr="009118AB">
        <w:rPr>
          <w:rFonts w:ascii="Times New Roman Italique" w:hAnsi="Times New Roman Italique"/>
          <w:bCs/>
          <w:i/>
          <w:iCs/>
          <w:spacing w:val="-2"/>
        </w:rPr>
        <w:t xml:space="preserve"> (B.S. vom 30. Dezember 2022)</w:t>
      </w:r>
      <w:r w:rsidR="00FA0417" w:rsidRPr="009118AB">
        <w:rPr>
          <w:bCs/>
          <w:i/>
          <w:iCs/>
        </w:rPr>
        <w:t> - in Kraft am 1. Januar 2023 -</w:t>
      </w:r>
      <w:r w:rsidR="00FD68E8" w:rsidRPr="009118AB">
        <w:rPr>
          <w:rFonts w:ascii="Times New Roman Italique" w:hAnsi="Times New Roman Italique"/>
          <w:i/>
          <w:iCs/>
          <w:spacing w:val="-2"/>
        </w:rPr>
        <w:t>]</w:t>
      </w:r>
    </w:p>
    <w:p w14:paraId="1A67D1FB" w14:textId="77777777" w:rsidR="00643C39" w:rsidRPr="009118AB"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1BEF4980" w14:textId="77777777" w:rsidR="00643C39" w:rsidRPr="009118AB"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45E379A2" w14:textId="6ED094B4" w:rsidR="00643C39" w:rsidRPr="009118AB" w:rsidRDefault="00643C39" w:rsidP="00643C39">
      <w:pPr>
        <w:jc w:val="both"/>
      </w:pPr>
      <w:r w:rsidRPr="009118AB">
        <w:rPr>
          <w:spacing w:val="-5"/>
        </w:rPr>
        <w:tab/>
        <w:t>[</w:t>
      </w:r>
      <w:r w:rsidR="00D67EB8" w:rsidRPr="009118AB">
        <w:rPr>
          <w:b/>
        </w:rPr>
        <w:t>Art. </w:t>
      </w:r>
      <w:r w:rsidRPr="009118AB">
        <w:rPr>
          <w:b/>
        </w:rPr>
        <w:t>540</w:t>
      </w:r>
      <w:r w:rsidR="00D67EB8" w:rsidRPr="009118AB">
        <w:t> - </w:t>
      </w:r>
      <w:r w:rsidRPr="009118AB">
        <w:t xml:space="preserve">Artikel 19 </w:t>
      </w:r>
      <w:r w:rsidR="00D67EB8" w:rsidRPr="009118AB">
        <w:t>§ </w:t>
      </w:r>
      <w:r w:rsidRPr="009118AB">
        <w:t xml:space="preserve">1 Absatz 1 </w:t>
      </w:r>
      <w:r w:rsidR="00D67EB8" w:rsidRPr="009118AB">
        <w:t>Nr. </w:t>
      </w:r>
      <w:r w:rsidRPr="009118AB">
        <w:t>3 Buchstabe </w:t>
      </w:r>
      <w:r w:rsidRPr="009118AB">
        <w:rPr>
          <w:i/>
        </w:rPr>
        <w:t>a)</w:t>
      </w:r>
      <w:r w:rsidRPr="009118AB">
        <w:t xml:space="preserve">, so wie er vor seiner Ersetzung durch Artikel 13 des Gesetzes vom 8. Mai 2014 bestand, bleibt auf Einkünfte anwendbar, die in Kapitalien und Rückkaufswerten enthalten sind, die zu Lebzeiten ausgezahlt werden, sofern für die dort erwähnten Verträge keine Prämie, die für den Abzug für die einzige Wohnung erwähnt in Artikel 104 </w:t>
      </w:r>
      <w:r w:rsidR="00D67EB8" w:rsidRPr="009118AB">
        <w:t>Nr. </w:t>
      </w:r>
      <w:r w:rsidRPr="009118AB">
        <w:t>9 in Betracht kam, so wie er vor seiner Aufhebung durch Artikel 20 des Gesetzes vom 8. Mai 2014 bestand oder aufgrund von Artikel 539 anwendbar geblieben ist, zu den vorerwähnten Vorteilen geführt hat.</w:t>
      </w:r>
    </w:p>
    <w:p w14:paraId="42BE164A" w14:textId="77777777" w:rsidR="00643C39" w:rsidRPr="009118AB" w:rsidRDefault="00643C39" w:rsidP="00643C39">
      <w:pPr>
        <w:jc w:val="both"/>
      </w:pPr>
    </w:p>
    <w:p w14:paraId="1169F7F1" w14:textId="1341AEB4" w:rsidR="00643C39" w:rsidRPr="009118AB" w:rsidRDefault="00643C39" w:rsidP="00643C39">
      <w:pPr>
        <w:jc w:val="both"/>
      </w:pPr>
      <w:r w:rsidRPr="009118AB">
        <w:tab/>
        <w:t xml:space="preserve">Artikel 34 </w:t>
      </w:r>
      <w:r w:rsidR="00D67EB8" w:rsidRPr="009118AB">
        <w:t>§ </w:t>
      </w:r>
      <w:r w:rsidRPr="009118AB">
        <w:t xml:space="preserve">1 </w:t>
      </w:r>
      <w:r w:rsidR="00D67EB8" w:rsidRPr="009118AB">
        <w:t>Nr. </w:t>
      </w:r>
      <w:r w:rsidRPr="009118AB">
        <w:t xml:space="preserve">2 Absatz 1 Buchstabe </w:t>
      </w:r>
      <w:r w:rsidRPr="009118AB">
        <w:rPr>
          <w:i/>
        </w:rPr>
        <w:t>d)</w:t>
      </w:r>
      <w:r w:rsidRPr="009118AB">
        <w:t xml:space="preserve">, so wie er vor seiner Abänderung durch Artikel 15 des Gesetzes vom 8. Mai 2014 bestand, bleibt anwendbar, sofern die dort erwähnten Kapitalien, Rückkaufswerte von Lebensversicherungsverträgen, Pensionen, ergänzenden Pensionen und Renten ganz oder teilweise durch Beiträge erwähnt in Artikel 104 </w:t>
      </w:r>
      <w:r w:rsidR="00D67EB8" w:rsidRPr="009118AB">
        <w:t>Nr. </w:t>
      </w:r>
      <w:r w:rsidRPr="009118AB">
        <w:t>9, so wie er vor seiner Aufhebung durch Artikel 20 des Gesetzes vom 8. Mai 2014 bestand oder aufgrund von Artikel 539 anwendbar geblieben ist, gebildet werden.</w:t>
      </w:r>
    </w:p>
    <w:p w14:paraId="295990F9" w14:textId="77777777" w:rsidR="00643C39" w:rsidRPr="009118AB" w:rsidRDefault="00643C39" w:rsidP="00643C39">
      <w:pPr>
        <w:jc w:val="both"/>
      </w:pPr>
    </w:p>
    <w:p w14:paraId="6C1B71AD" w14:textId="4C8B74C6" w:rsidR="00643C39" w:rsidRPr="009118AB" w:rsidRDefault="00643C39" w:rsidP="00643C39">
      <w:pPr>
        <w:jc w:val="both"/>
      </w:pPr>
      <w:r w:rsidRPr="009118AB">
        <w:tab/>
        <w:t xml:space="preserve">Artikel 34 </w:t>
      </w:r>
      <w:r w:rsidR="00D67EB8" w:rsidRPr="009118AB">
        <w:t>§ </w:t>
      </w:r>
      <w:r w:rsidRPr="009118AB">
        <w:t xml:space="preserve">5, so wie er vor seiner Abänderung durch Artikel 15 des Gesetzes vom 8. Mai 2014 bestand, bleibt anwendbar, sofern die dort erwähnten Rückkaufswerte ganz oder teilweise durch Beiträge erwähnt in Artikel 104 </w:t>
      </w:r>
      <w:r w:rsidR="00D67EB8" w:rsidRPr="009118AB">
        <w:t>Nr. </w:t>
      </w:r>
      <w:r w:rsidRPr="009118AB">
        <w:t>9, so wie er vor seiner Aufhebung durch Artikel 20 des Gesetzes vom 8. Mai 2014 bestand oder aufgrund von Artikel 539 anwendbar geblieben ist, gebildet werden.</w:t>
      </w:r>
    </w:p>
    <w:p w14:paraId="73E4F627" w14:textId="77777777" w:rsidR="00643C39" w:rsidRPr="009118AB" w:rsidRDefault="00643C39" w:rsidP="00643C39">
      <w:pPr>
        <w:jc w:val="both"/>
      </w:pPr>
    </w:p>
    <w:p w14:paraId="31C41D32" w14:textId="641AD520" w:rsidR="00643C39" w:rsidRPr="009118AB" w:rsidRDefault="00643C39" w:rsidP="00643C39">
      <w:pPr>
        <w:jc w:val="both"/>
      </w:pPr>
      <w:r w:rsidRPr="009118AB">
        <w:tab/>
        <w:t xml:space="preserve">Artikel 39 </w:t>
      </w:r>
      <w:r w:rsidR="00D67EB8" w:rsidRPr="009118AB">
        <w:t>§ </w:t>
      </w:r>
      <w:r w:rsidRPr="009118AB">
        <w:t xml:space="preserve">2 </w:t>
      </w:r>
      <w:r w:rsidR="00D67EB8" w:rsidRPr="009118AB">
        <w:t>Nr. </w:t>
      </w:r>
      <w:r w:rsidRPr="009118AB">
        <w:t xml:space="preserve">2 Buchstabe </w:t>
      </w:r>
      <w:r w:rsidRPr="009118AB">
        <w:rPr>
          <w:i/>
        </w:rPr>
        <w:t>a)</w:t>
      </w:r>
      <w:r w:rsidRPr="009118AB">
        <w:t xml:space="preserve">, so wie er vor seiner Ersetzung durch Artikel 16 des Gesetzes vom 8. Mai 2014 bestand, bleibt anwendbar, sofern die dort erwähnten Kapitalien, Rückkaufswerte von Lebensversicherungsverträgen, Pensionen, ergänzenden Pensionen und Renten ganz oder teilweise durch Beiträge erwähnt in Artikel 104 </w:t>
      </w:r>
      <w:r w:rsidR="00D67EB8" w:rsidRPr="009118AB">
        <w:t>Nr. </w:t>
      </w:r>
      <w:r w:rsidRPr="009118AB">
        <w:t>9, so wie er vor seiner Aufhebung durch Artikel 20 des Gesetzes vom 8. Mai 2014 bestand oder aufgrund von Artikel 539 anwendbar geblieben ist, gebildet werden.</w:t>
      </w:r>
    </w:p>
    <w:p w14:paraId="4BA0D7B6" w14:textId="77777777" w:rsidR="00643C39" w:rsidRPr="009118AB" w:rsidRDefault="00643C39" w:rsidP="00643C39">
      <w:pPr>
        <w:jc w:val="both"/>
      </w:pPr>
    </w:p>
    <w:p w14:paraId="74804512" w14:textId="62CDAF99" w:rsidR="00643C39" w:rsidRPr="009118AB" w:rsidRDefault="00643C39" w:rsidP="00643C39">
      <w:pPr>
        <w:jc w:val="both"/>
      </w:pPr>
      <w:r w:rsidRPr="009118AB">
        <w:tab/>
        <w:t xml:space="preserve">Artikel 169 </w:t>
      </w:r>
      <w:r w:rsidR="00D67EB8" w:rsidRPr="009118AB">
        <w:t>§ </w:t>
      </w:r>
      <w:r w:rsidRPr="009118AB">
        <w:t xml:space="preserve">1 Absatz 1, so wie er vor seiner Ersetzung durch Artikel 66 des Gesetzes vom 8. Mai 2014 bestand, bleibt anwendbar, sofern die dort erwähnten Kapitalien und Rückkaufswerte ganz oder teilweise durch Beiträge erwähnt in Artikel 104 </w:t>
      </w:r>
      <w:r w:rsidR="00D67EB8" w:rsidRPr="009118AB">
        <w:t>Nr. </w:t>
      </w:r>
      <w:r w:rsidRPr="009118AB">
        <w:t>9, so wie er vor seiner Aufhebung durch Artikel 20 des Gesetzes vom 8. Mai 2014 bestand oder aufgrund von Artikel 539 anwendbar geblieben ist, gebildet werden.</w:t>
      </w:r>
    </w:p>
    <w:p w14:paraId="77E6A937" w14:textId="77777777" w:rsidR="009865FD" w:rsidRPr="009118AB" w:rsidRDefault="009865FD"/>
    <w:p w14:paraId="66F68F8D" w14:textId="1C70D3A9" w:rsidR="00643C39" w:rsidRPr="009118AB"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 xml:space="preserve">Artikel 171 </w:t>
      </w:r>
      <w:r w:rsidR="00D67EB8" w:rsidRPr="009118AB">
        <w:t>Nr. </w:t>
      </w:r>
      <w:r w:rsidRPr="009118AB">
        <w:t>2 Buchstabe </w:t>
      </w:r>
      <w:r w:rsidRPr="009118AB">
        <w:rPr>
          <w:i/>
        </w:rPr>
        <w:t>d)</w:t>
      </w:r>
      <w:r w:rsidRPr="009118AB">
        <w:t xml:space="preserve">, so wie er vor seiner Abänderung durch Artikel 67 des Gesetzes vom 8. Mai 2014 bestand, bleibt anwendbar, sofern es sich um Kapitalien und Rückkaufswerte von Lebensversicherungsverträgen erwähnt in Artikel 104 </w:t>
      </w:r>
      <w:r w:rsidR="00D67EB8" w:rsidRPr="009118AB">
        <w:t>Nr. </w:t>
      </w:r>
      <w:r w:rsidRPr="009118AB">
        <w:t>9, so wie er vor seiner Aufhebung durch Artikel 20 des Gesetzes vom 8. Mai 2014 bestand oder aufgrund von Artikel 539 anwendbar geblieben ist, handelt.]</w:t>
      </w:r>
    </w:p>
    <w:p w14:paraId="1BEDF5B5" w14:textId="77777777" w:rsidR="00643C39" w:rsidRPr="009118AB"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2F7E04C" w14:textId="38308274" w:rsidR="002B31E2" w:rsidRPr="009118AB"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rPr>
        <w:t>[</w:t>
      </w:r>
      <w:r w:rsidR="00D67EB8" w:rsidRPr="009118AB">
        <w:rPr>
          <w:i/>
        </w:rPr>
        <w:t>Art. </w:t>
      </w:r>
      <w:r w:rsidRPr="009118AB">
        <w:rPr>
          <w:i/>
        </w:rPr>
        <w:t xml:space="preserve">540 eingefügt durch </w:t>
      </w:r>
      <w:r w:rsidR="00D67EB8" w:rsidRPr="009118AB">
        <w:rPr>
          <w:i/>
        </w:rPr>
        <w:t>Art. </w:t>
      </w:r>
      <w:r w:rsidRPr="009118AB">
        <w:rPr>
          <w:i/>
        </w:rPr>
        <w:t>107 des G. vom 8. Mai</w:t>
      </w:r>
      <w:r w:rsidR="00B64F05" w:rsidRPr="009118AB">
        <w:rPr>
          <w:i/>
        </w:rPr>
        <w:t> 2014 (B.S. vom 28. Mai 2014)</w:t>
      </w:r>
      <w:r w:rsidR="00D67EB8" w:rsidRPr="009118AB">
        <w:rPr>
          <w:i/>
        </w:rPr>
        <w:t> - </w:t>
      </w:r>
      <w:r w:rsidRPr="009118AB">
        <w:rPr>
          <w:i/>
          <w:iCs/>
        </w:rPr>
        <w:t>anwendbar ab dem Steuerjahr 2015</w:t>
      </w:r>
      <w:r w:rsidR="00FD68E8" w:rsidRPr="009118AB">
        <w:rPr>
          <w:i/>
          <w:iCs/>
        </w:rPr>
        <w:t> -]</w:t>
      </w:r>
    </w:p>
    <w:p w14:paraId="4A647849" w14:textId="77777777" w:rsidR="00D11923" w:rsidRPr="009118AB" w:rsidRDefault="00D11923" w:rsidP="002B31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0B675699" w14:textId="77777777" w:rsidR="000117ED" w:rsidRPr="009118AB" w:rsidRDefault="000117ED" w:rsidP="002B31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5C75CF1D" w14:textId="77777777" w:rsidR="00B70B7C" w:rsidRDefault="00B70B7C">
      <w:pPr>
        <w:rPr>
          <w:spacing w:val="-5"/>
        </w:rPr>
      </w:pPr>
      <w:r>
        <w:rPr>
          <w:spacing w:val="-5"/>
        </w:rPr>
        <w:br w:type="page"/>
      </w:r>
    </w:p>
    <w:p w14:paraId="1671E967" w14:textId="251973A2" w:rsidR="00D11923" w:rsidRPr="009118AB" w:rsidRDefault="00D11923" w:rsidP="00D11923">
      <w:pPr>
        <w:ind w:firstLine="708"/>
        <w:jc w:val="both"/>
      </w:pPr>
      <w:r w:rsidRPr="009118AB">
        <w:rPr>
          <w:spacing w:val="-5"/>
        </w:rPr>
        <w:tab/>
        <w:t>[</w:t>
      </w:r>
      <w:r w:rsidR="00D67EB8" w:rsidRPr="009118AB">
        <w:rPr>
          <w:b/>
        </w:rPr>
        <w:t>Art. </w:t>
      </w:r>
      <w:r w:rsidRPr="009118AB">
        <w:rPr>
          <w:b/>
        </w:rPr>
        <w:t>541</w:t>
      </w:r>
      <w:r w:rsidR="00D67EB8" w:rsidRPr="009118AB">
        <w:t> - § </w:t>
      </w:r>
      <w:r w:rsidRPr="009118AB">
        <w:t>1</w:t>
      </w:r>
      <w:r w:rsidR="00D67EB8" w:rsidRPr="009118AB">
        <w:t> - </w:t>
      </w:r>
      <w:r w:rsidRPr="009118AB">
        <w:t>Gesellschaften können mit einem Teil oder der Gesamtheit des Buchgewinns nach Steuern des Geschäftsjahres, das an das Steuerjahr 2013 gebunden ist, auch eine Liquidationsrücklage auf einem oder mehreren getrennten Passivkonten bilden, sofern folgende Bedingungen eingehalten werden:</w:t>
      </w:r>
    </w:p>
    <w:p w14:paraId="2B13C247" w14:textId="77777777" w:rsidR="00D11923" w:rsidRPr="009118AB" w:rsidRDefault="00D11923" w:rsidP="00D11923">
      <w:pPr>
        <w:jc w:val="both"/>
      </w:pPr>
    </w:p>
    <w:p w14:paraId="3010D790" w14:textId="77777777" w:rsidR="00D11923" w:rsidRPr="009118AB" w:rsidRDefault="00D11923" w:rsidP="00D11923">
      <w:pPr>
        <w:ind w:firstLine="708"/>
        <w:jc w:val="both"/>
      </w:pPr>
      <w:r w:rsidRPr="009118AB">
        <w:t>1. Die betreffende Gesellschaft gilt aufgrund von Artikel 15 des Gesellschafts</w:t>
      </w:r>
      <w:r w:rsidRPr="009118AB">
        <w:softHyphen/>
        <w:t>gesetzbuches für das Geschäftsjahr, das an das Steuerjahr 2013 gebunden ist, als kleine Gesellschaft.</w:t>
      </w:r>
    </w:p>
    <w:p w14:paraId="112A8AE1" w14:textId="77777777" w:rsidR="00D11923" w:rsidRPr="009118AB" w:rsidRDefault="00D11923" w:rsidP="00D11923">
      <w:pPr>
        <w:jc w:val="both"/>
      </w:pPr>
    </w:p>
    <w:p w14:paraId="281E8BDE" w14:textId="77777777" w:rsidR="00D11923" w:rsidRPr="009118AB" w:rsidRDefault="00D11923" w:rsidP="00D11923">
      <w:pPr>
        <w:ind w:firstLine="708"/>
        <w:jc w:val="both"/>
      </w:pPr>
      <w:r w:rsidRPr="009118AB">
        <w:t>2. Die Gesellschaft zahlt spätestens am 30. November 2015 eine 10-prozentige Son</w:t>
      </w:r>
      <w:r w:rsidRPr="009118AB">
        <w:softHyphen/>
        <w:t>dersteuer, die für die Anwendung des vorliegenden Gesetzbuches mit der in Artikel 219</w:t>
      </w:r>
      <w:r w:rsidRPr="009118AB">
        <w:rPr>
          <w:i/>
        </w:rPr>
        <w:t>quater</w:t>
      </w:r>
      <w:r w:rsidRPr="009118AB">
        <w:t xml:space="preserve"> erwähnten getrennten Steuer gleichgesetzt wird; Grundlage und Modalitäten der Anwendung und Zahlung dieser Sondersteuer sind in den Paragraphen 3 und 4 festgelegt.</w:t>
      </w:r>
    </w:p>
    <w:p w14:paraId="36E88AFB" w14:textId="77777777" w:rsidR="00D11923" w:rsidRPr="009118AB" w:rsidRDefault="00D11923" w:rsidP="00D11923">
      <w:pPr>
        <w:jc w:val="both"/>
      </w:pPr>
    </w:p>
    <w:p w14:paraId="12289607" w14:textId="2BB4C4DF" w:rsidR="00D11923" w:rsidRPr="009118AB" w:rsidRDefault="00D11923" w:rsidP="00D11923">
      <w:pPr>
        <w:ind w:firstLine="708"/>
        <w:jc w:val="both"/>
      </w:pPr>
      <w:r w:rsidRPr="009118AB">
        <w:t xml:space="preserve">3. Die Liquidationsrücklage wird spätestens am Datum des Abschlusses des Geschäftsjahres, in dem die in </w:t>
      </w:r>
      <w:r w:rsidR="00D67EB8" w:rsidRPr="009118AB">
        <w:t>Nr. </w:t>
      </w:r>
      <w:r w:rsidRPr="009118AB">
        <w:t>2 erwähnte Sondersteuer gezahlt wird, auf ein oder mehrere getrennte Passivkonten gebucht.</w:t>
      </w:r>
    </w:p>
    <w:p w14:paraId="3A105206" w14:textId="77777777" w:rsidR="00D11923" w:rsidRPr="009118AB" w:rsidRDefault="00D11923" w:rsidP="00D11923">
      <w:pPr>
        <w:jc w:val="both"/>
      </w:pPr>
    </w:p>
    <w:p w14:paraId="1F2794F6" w14:textId="77777777" w:rsidR="00D11923" w:rsidRPr="009118AB" w:rsidRDefault="00D11923" w:rsidP="00D11923">
      <w:pPr>
        <w:ind w:firstLine="708"/>
        <w:jc w:val="both"/>
      </w:pPr>
      <w:r w:rsidRPr="009118AB">
        <w:t>4. Der Betrag der in vorliegendem Paragraphen erwähnten Liquidationsrücklage ist nicht höher als der Betrag des Buchgewinns nach Steuern des Besteuerungszeitraums, der an das Steuerjahr 2013 gebunden ist.</w:t>
      </w:r>
    </w:p>
    <w:p w14:paraId="4C8A609B" w14:textId="77777777" w:rsidR="00D11923" w:rsidRPr="009118AB" w:rsidRDefault="00D11923" w:rsidP="00D11923">
      <w:pPr>
        <w:jc w:val="both"/>
      </w:pPr>
    </w:p>
    <w:p w14:paraId="73A8FFD5" w14:textId="0C90AA4B" w:rsidR="00D11923" w:rsidRPr="009118AB" w:rsidRDefault="00D11923" w:rsidP="00D11923">
      <w:pPr>
        <w:ind w:firstLine="708"/>
        <w:jc w:val="both"/>
      </w:pPr>
      <w:r w:rsidRPr="009118AB">
        <w:t xml:space="preserve">5. Der Betrag der in vorliegendem Paragraphen erwähnten Liquidationsrücklage ist auf den in </w:t>
      </w:r>
      <w:r w:rsidR="00D67EB8" w:rsidRPr="009118AB">
        <w:t>Nr. </w:t>
      </w:r>
      <w:r w:rsidRPr="009118AB">
        <w:t xml:space="preserve">4 erwähnten Betrag begrenzt, der zu Beginn des Geschäftsjahres, in dem die in </w:t>
      </w:r>
      <w:r w:rsidR="00D67EB8" w:rsidRPr="009118AB">
        <w:t>Nr. </w:t>
      </w:r>
      <w:r w:rsidRPr="009118AB">
        <w:t>2 erwähnte Sondersteuer gezahlt wird, noch immer in der Rücklage gebucht ist.</w:t>
      </w:r>
    </w:p>
    <w:p w14:paraId="356B934D" w14:textId="77777777" w:rsidR="00D11923" w:rsidRPr="009118AB" w:rsidRDefault="00D11923" w:rsidP="00D11923">
      <w:pPr>
        <w:jc w:val="both"/>
      </w:pPr>
    </w:p>
    <w:p w14:paraId="7AFED3CD" w14:textId="77777777" w:rsidR="00D11923" w:rsidRPr="009118AB" w:rsidRDefault="00D11923" w:rsidP="00D11923">
      <w:pPr>
        <w:ind w:firstLine="708"/>
        <w:jc w:val="both"/>
      </w:pPr>
      <w:r w:rsidRPr="009118AB">
        <w:t>6. Die in vorliegendem Paragraphen erwähnte Liquidationsrücklage wird unter Einhaltung der gesetzlichen und möglicher satzungsmäßiger Verpflichtungen gebildet.</w:t>
      </w:r>
    </w:p>
    <w:p w14:paraId="1D104FB8" w14:textId="77777777" w:rsidR="00D11923" w:rsidRPr="009118AB" w:rsidRDefault="00D11923" w:rsidP="00D11923">
      <w:pPr>
        <w:jc w:val="both"/>
      </w:pPr>
    </w:p>
    <w:p w14:paraId="15CEFD38" w14:textId="04A011B5" w:rsidR="00D11923" w:rsidRPr="009118AB" w:rsidRDefault="00D11923" w:rsidP="00D11923">
      <w:pPr>
        <w:ind w:firstLine="708"/>
        <w:jc w:val="both"/>
      </w:pPr>
      <w:r w:rsidRPr="009118AB">
        <w:t xml:space="preserve">7. Die Gesellschaft reicht spätestens an dem Datum, an dem die in </w:t>
      </w:r>
      <w:r w:rsidR="00D67EB8" w:rsidRPr="009118AB">
        <w:t>Nr. </w:t>
      </w:r>
      <w:r w:rsidRPr="009118AB">
        <w:t>2 erwähnte Sondersteuer gezahlt wird, beim zuständigen Dienst der mit der Einnahme und Beitreibung beauftragten Verwaltung eine Sondererklärung ein, in der sie der Verwaltung ihren Gesell</w:t>
      </w:r>
      <w:r w:rsidRPr="009118AB">
        <w:softHyphen/>
        <w:t>schaftsnamen, ihre Steueridentifikationsnummer, Besteuerungsgrundlage sowie Satz und Betrag der vorerwähnten Sondersteuer mitteilt und bestätigt, dass sie für das Geschäftsjahr, das an das Steuerjahr 2013 gebunden ist, alle in Artikel 15 des Gesellschaftsgesetzbuches erwähnten Bedingungen erfüllte.</w:t>
      </w:r>
    </w:p>
    <w:p w14:paraId="40D509BC" w14:textId="77777777" w:rsidR="00D11923" w:rsidRPr="009118AB" w:rsidRDefault="00D11923" w:rsidP="00D11923">
      <w:pPr>
        <w:jc w:val="both"/>
      </w:pPr>
    </w:p>
    <w:p w14:paraId="47E35A92" w14:textId="5DC6785D" w:rsidR="00D11923" w:rsidRPr="009118AB" w:rsidRDefault="00D11923" w:rsidP="00D11923">
      <w:pPr>
        <w:ind w:firstLine="708"/>
        <w:jc w:val="both"/>
      </w:pPr>
      <w:r w:rsidRPr="009118AB">
        <w:t xml:space="preserve">8. Die Gesellschaft fügt der Gesellschaftssteuererklärung für das Steuerjahr, das sich auf den Besteuerungszeitraum bezieht, in dem die Sondersteuer gezahlt worden ist, eine Abschrift der in </w:t>
      </w:r>
      <w:r w:rsidR="00D67EB8" w:rsidRPr="009118AB">
        <w:t>Nr. </w:t>
      </w:r>
      <w:r w:rsidRPr="009118AB">
        <w:t>7 erwähnten Sondererklärung bei.</w:t>
      </w:r>
    </w:p>
    <w:p w14:paraId="781674BE" w14:textId="77777777" w:rsidR="00D11923" w:rsidRPr="009118AB" w:rsidRDefault="00D11923" w:rsidP="00D11923">
      <w:pPr>
        <w:jc w:val="both"/>
      </w:pPr>
    </w:p>
    <w:p w14:paraId="108997D6" w14:textId="77777777" w:rsidR="00D11923" w:rsidRPr="009118AB" w:rsidRDefault="00D11923" w:rsidP="00D11923">
      <w:pPr>
        <w:ind w:firstLine="708"/>
        <w:jc w:val="both"/>
      </w:pPr>
      <w:r w:rsidRPr="009118AB">
        <w:t>9. Der Jahresabschluss in Bezug auf das Geschäftsjahr, das an das Steuerjahr 2013 gebunden ist, ist entweder am 31. März 2015 hinterlegt worden oder, in Bezug auf die in Artikel 97 des Gesellschaftsgesetzbuches erwähnten Gesellschaften, gemäß Artikel 92 desselben Gesetzbuches von der Generalversammlung gebilligt worden und zusammen mit der Gesellschaftssteuererklärung für das betreffende Steuerjahr eingereicht worden.</w:t>
      </w:r>
    </w:p>
    <w:p w14:paraId="09929522" w14:textId="77777777" w:rsidR="00D11923" w:rsidRPr="009118AB" w:rsidRDefault="00D11923" w:rsidP="00D11923">
      <w:pPr>
        <w:jc w:val="both"/>
      </w:pPr>
    </w:p>
    <w:p w14:paraId="576FE928" w14:textId="55EC86F6" w:rsidR="00D11923" w:rsidRPr="009118AB" w:rsidRDefault="00D67EB8" w:rsidP="00D11923">
      <w:pPr>
        <w:ind w:firstLine="708"/>
        <w:jc w:val="both"/>
      </w:pPr>
      <w:r w:rsidRPr="009118AB">
        <w:t>§ </w:t>
      </w:r>
      <w:r w:rsidR="00D11923" w:rsidRPr="009118AB">
        <w:t>2</w:t>
      </w:r>
      <w:r w:rsidRPr="009118AB">
        <w:t> - </w:t>
      </w:r>
      <w:r w:rsidR="00D11923" w:rsidRPr="009118AB">
        <w:t>Gesellschaften können mit einem Teil oder der Gesamtheit des Buchgewinns nach Steuern des Geschäftsjahres, das an das Steuerjahr 2014 gebunden ist, auch eine Liquidationsrücklage auf einem oder mehreren getrennten Passivkonten bilden, sofern folgende Bedingungen eingehalten werden:</w:t>
      </w:r>
    </w:p>
    <w:p w14:paraId="7B507905" w14:textId="77777777" w:rsidR="00D11923" w:rsidRPr="009118AB" w:rsidRDefault="00D11923" w:rsidP="00D11923">
      <w:pPr>
        <w:jc w:val="both"/>
      </w:pPr>
    </w:p>
    <w:p w14:paraId="593FBEAF" w14:textId="77777777" w:rsidR="00D11923" w:rsidRPr="009118AB" w:rsidRDefault="00D11923" w:rsidP="00D11923">
      <w:pPr>
        <w:ind w:firstLine="708"/>
        <w:jc w:val="both"/>
      </w:pPr>
      <w:r w:rsidRPr="009118AB">
        <w:t>1. Die betreffende Gesellschaft gilt aufgrund von Artikel 15 des Gesellschaftsgesetz</w:t>
      </w:r>
      <w:r w:rsidRPr="009118AB">
        <w:softHyphen/>
        <w:t>buches für das Geschäftsjahr, das an das Steuerjahr 2014 gebunden ist, als kleine Gesellschaft.</w:t>
      </w:r>
    </w:p>
    <w:p w14:paraId="7D8321CD" w14:textId="77777777" w:rsidR="00D11923" w:rsidRPr="009118AB" w:rsidRDefault="00D11923" w:rsidP="00D11923">
      <w:pPr>
        <w:jc w:val="both"/>
      </w:pPr>
    </w:p>
    <w:p w14:paraId="2AB4BAB2" w14:textId="77777777" w:rsidR="00D11923" w:rsidRPr="009118AB" w:rsidRDefault="00D11923" w:rsidP="00D11923">
      <w:pPr>
        <w:ind w:firstLine="708"/>
        <w:jc w:val="both"/>
      </w:pPr>
      <w:r w:rsidRPr="009118AB">
        <w:t>2. Die Gesellschaft zahlt spätestens am 30. November 2016 eine 10-prozentige Son</w:t>
      </w:r>
      <w:r w:rsidRPr="009118AB">
        <w:softHyphen/>
        <w:t>dersteuer, die für die Anwendung des vorliegenden Gesetzbuches mit der in Artikel 219</w:t>
      </w:r>
      <w:r w:rsidRPr="009118AB">
        <w:rPr>
          <w:i/>
        </w:rPr>
        <w:t>quater</w:t>
      </w:r>
      <w:r w:rsidRPr="009118AB">
        <w:t xml:space="preserve"> erwähnten getrennten Steuer gleichgesetzt wird; Grundlage und Modalitäten der Anwendung und Zahlung dieser Sondersteuer sind in den Paragraphen 3 und 4 festgelegt.</w:t>
      </w:r>
    </w:p>
    <w:p w14:paraId="726B1700" w14:textId="77777777" w:rsidR="00D11923" w:rsidRPr="009118AB" w:rsidRDefault="00D11923" w:rsidP="00D11923">
      <w:pPr>
        <w:jc w:val="both"/>
      </w:pPr>
    </w:p>
    <w:p w14:paraId="115E6120" w14:textId="20F35CD4" w:rsidR="00D11923" w:rsidRPr="009118AB" w:rsidRDefault="00D11923" w:rsidP="00D11923">
      <w:pPr>
        <w:ind w:firstLine="708"/>
        <w:jc w:val="both"/>
      </w:pPr>
      <w:r w:rsidRPr="009118AB">
        <w:t xml:space="preserve">3. Die Liquidationsrücklage wird spätestens am Datum des Abschlusses des Geschäftsjahres, in dem die in </w:t>
      </w:r>
      <w:r w:rsidR="00D67EB8" w:rsidRPr="009118AB">
        <w:t>Nr. </w:t>
      </w:r>
      <w:r w:rsidRPr="009118AB">
        <w:t>2 erwähnte Sondersteuer gezahlt wird, auf ein oder mehrere getrennte Passivkonten gebucht.</w:t>
      </w:r>
    </w:p>
    <w:p w14:paraId="6CC0C17E" w14:textId="77777777" w:rsidR="00D11923" w:rsidRPr="009118AB" w:rsidRDefault="00D11923" w:rsidP="00D11923">
      <w:pPr>
        <w:jc w:val="both"/>
      </w:pPr>
    </w:p>
    <w:p w14:paraId="39CBF9CE" w14:textId="77777777" w:rsidR="00D11923" w:rsidRPr="009118AB" w:rsidRDefault="00D11923" w:rsidP="00D11923">
      <w:pPr>
        <w:ind w:firstLine="708"/>
        <w:jc w:val="both"/>
      </w:pPr>
      <w:r w:rsidRPr="009118AB">
        <w:t>4. Der Betrag der in vorliegendem Paragraphen erwähnten Liquidationsrücklage ist nicht höher als der Betrag des Buchgewinns nach Steuern des Besteuerungszeitraums, der an das Steuerjahr 2014 gebunden ist.</w:t>
      </w:r>
    </w:p>
    <w:p w14:paraId="613B3790" w14:textId="77777777" w:rsidR="00D11923" w:rsidRPr="009118AB" w:rsidRDefault="00D11923" w:rsidP="00D11923">
      <w:pPr>
        <w:jc w:val="both"/>
      </w:pPr>
    </w:p>
    <w:p w14:paraId="37CF8673" w14:textId="35ACB252" w:rsidR="00D11923" w:rsidRPr="009118AB" w:rsidRDefault="00D11923" w:rsidP="00D11923">
      <w:pPr>
        <w:ind w:firstLine="708"/>
        <w:jc w:val="both"/>
      </w:pPr>
      <w:r w:rsidRPr="009118AB">
        <w:t xml:space="preserve">5. Der Betrag der in vorliegendem Paragraphen erwähnten Liquidationsrücklage ist auf den in </w:t>
      </w:r>
      <w:r w:rsidR="00D67EB8" w:rsidRPr="009118AB">
        <w:t>Nr. </w:t>
      </w:r>
      <w:r w:rsidRPr="009118AB">
        <w:t xml:space="preserve">4 erwähnten Betrag begrenzt, der zu Beginn des Geschäftsjahres, in dem die in </w:t>
      </w:r>
      <w:r w:rsidR="00D67EB8" w:rsidRPr="009118AB">
        <w:t>Nr. </w:t>
      </w:r>
      <w:r w:rsidRPr="009118AB">
        <w:t>2 erwähnte Sondersteuer gezahlt wird, noch immer in der Rücklage gebucht ist.</w:t>
      </w:r>
    </w:p>
    <w:p w14:paraId="2F65BC46" w14:textId="77777777" w:rsidR="00D11923" w:rsidRPr="009118AB" w:rsidRDefault="00D11923" w:rsidP="00D11923">
      <w:pPr>
        <w:jc w:val="both"/>
      </w:pPr>
    </w:p>
    <w:p w14:paraId="6CF4A2BE" w14:textId="77777777" w:rsidR="00D11923" w:rsidRPr="009118AB" w:rsidRDefault="00D11923" w:rsidP="00D11923">
      <w:pPr>
        <w:ind w:firstLine="708"/>
        <w:jc w:val="both"/>
      </w:pPr>
      <w:r w:rsidRPr="009118AB">
        <w:t>6. Die in vorliegendem Paragraphen erwähnte Liquidationsrücklage wird unter Einhaltung der gesetzlichen und möglicher satzungsmäßiger Verpflichtungen gebildet.</w:t>
      </w:r>
    </w:p>
    <w:p w14:paraId="001440A6" w14:textId="77777777" w:rsidR="00D11923" w:rsidRPr="009118AB" w:rsidRDefault="00D11923" w:rsidP="00D11923">
      <w:pPr>
        <w:jc w:val="both"/>
      </w:pPr>
    </w:p>
    <w:p w14:paraId="2400C9E4" w14:textId="1F43F921" w:rsidR="00D11923" w:rsidRPr="009118AB" w:rsidRDefault="00D11923" w:rsidP="00D11923">
      <w:pPr>
        <w:ind w:firstLine="708"/>
        <w:jc w:val="both"/>
      </w:pPr>
      <w:r w:rsidRPr="009118AB">
        <w:t xml:space="preserve">7. Die Gesellschaft reicht spätestens an dem Datum, an dem die in </w:t>
      </w:r>
      <w:r w:rsidR="00D67EB8" w:rsidRPr="009118AB">
        <w:t>Nr. </w:t>
      </w:r>
      <w:r w:rsidRPr="009118AB">
        <w:t>2 erwähnte Sondersteuer gezahlt wird, beim zuständigen Dienst der mit der Einnahme und Beitreibung beauftragten Verwaltung eine Sondererklärung ein, in der sie der Verwaltung ihren Gesell</w:t>
      </w:r>
      <w:r w:rsidRPr="009118AB">
        <w:softHyphen/>
        <w:t>schaftsnamen, ihre Steueridentifikationsnummer, Besteuerungsgrundlage sowie Satz und Betrag der vorerwähnten Sondersteuer mitteilt und bestätigt, dass sie für das Geschäftsjahr, das an das Steuerjahr 2014 gebunden ist, alle in Artikel 15 des Gesellschaftsgesetzbuches erwähnten Bedingungen erfüllte.</w:t>
      </w:r>
    </w:p>
    <w:p w14:paraId="4D4E0266" w14:textId="77777777" w:rsidR="00D11923" w:rsidRPr="009118AB" w:rsidRDefault="00D11923" w:rsidP="00D11923">
      <w:pPr>
        <w:jc w:val="both"/>
      </w:pPr>
    </w:p>
    <w:p w14:paraId="44BEF0F9" w14:textId="149D31D9" w:rsidR="00D11923" w:rsidRPr="009118AB" w:rsidRDefault="00D11923" w:rsidP="00D11923">
      <w:pPr>
        <w:ind w:firstLine="708"/>
        <w:jc w:val="both"/>
      </w:pPr>
      <w:r w:rsidRPr="009118AB">
        <w:t xml:space="preserve">8. Die Gesellschaft fügt der Gesellschaftssteuererklärung für das Steuerjahr, das sich auf den Besteuerungszeitraum bezieht, in dem die Sondersteuer gezahlt worden ist, eine Abschrift der in </w:t>
      </w:r>
      <w:r w:rsidR="00D67EB8" w:rsidRPr="009118AB">
        <w:t>Nr. </w:t>
      </w:r>
      <w:r w:rsidRPr="009118AB">
        <w:t>7 erwähnten Sondererklärung bei.</w:t>
      </w:r>
    </w:p>
    <w:p w14:paraId="6C2F6C34" w14:textId="77777777" w:rsidR="00D11923" w:rsidRPr="009118AB" w:rsidRDefault="00D11923" w:rsidP="00D11923">
      <w:pPr>
        <w:jc w:val="both"/>
      </w:pPr>
    </w:p>
    <w:p w14:paraId="7256E85F" w14:textId="77777777" w:rsidR="00D11923" w:rsidRPr="009118AB" w:rsidRDefault="00D11923" w:rsidP="00D11923">
      <w:pPr>
        <w:ind w:firstLine="708"/>
        <w:jc w:val="both"/>
      </w:pPr>
      <w:r w:rsidRPr="009118AB">
        <w:t>9. Der Jahresabschluss in Bezug auf das Geschäftsjahr, das an das Steuerjahr 2014 gebunden ist, ist entweder am 31. März 2015 oder, in Bezug auf Gesellschaften, für die das Datum des Jahresabschlusses zwischen dem 1. September 2014 und dem 30. Dezember 2014 einschließlich liegt, spätestens sieben Monate nach dem Datum des Abschlusses des Geschäftsjahres hinterlegt worden oder, in Bezug auf die in Artikel 97 des Gesellschafts</w:t>
      </w:r>
      <w:r w:rsidRPr="009118AB">
        <w:softHyphen/>
        <w:t>gesetzbuches erwähnten Gesellschaften, gemäß Artikel 92 desselben Gesetzbuches von der Generalversammlung gebilligt worden und zusammen mit der Gesellschaftssteuererklärung für das betreffende Steuerjahr eingereicht worden.</w:t>
      </w:r>
    </w:p>
    <w:p w14:paraId="0B1D6A7E" w14:textId="77777777" w:rsidR="00D11923" w:rsidRPr="009118AB" w:rsidRDefault="00D11923" w:rsidP="00D11923">
      <w:pPr>
        <w:jc w:val="both"/>
      </w:pPr>
    </w:p>
    <w:p w14:paraId="028B1F7F" w14:textId="713E6264" w:rsidR="004F634F" w:rsidRPr="009118AB" w:rsidRDefault="004F634F" w:rsidP="004F634F">
      <w:pPr>
        <w:ind w:firstLine="708"/>
        <w:jc w:val="both"/>
      </w:pPr>
      <w:r w:rsidRPr="009118AB">
        <w:tab/>
        <w:t>[</w:t>
      </w:r>
      <w:r w:rsidR="00D67EB8" w:rsidRPr="009118AB">
        <w:t>§ </w:t>
      </w:r>
      <w:r w:rsidRPr="009118AB">
        <w:t>2/1</w:t>
      </w:r>
      <w:r w:rsidR="00D67EB8" w:rsidRPr="009118AB">
        <w:t> - </w:t>
      </w:r>
      <w:r w:rsidRPr="009118AB">
        <w:t>Gesellschaften, die ihre Buchhaltung anders als pro Kalenderjahr führen und deren besteuerte Rücklagen des Steuerjahres 2012 aufgrund des Datums der General</w:t>
      </w:r>
      <w:r w:rsidRPr="009118AB">
        <w:softHyphen/>
        <w:t>versammlung, wie im Gesellschaftsgesetzbuch vorgesehen, für die Anwendung von Artikel 537 nicht in Betracht kamen, können mit einem Teil oder der Gesamtheit des Buchgewinns nach Steuern des Geschäftsjahres, das an das Steuerjahr 2012 gebunden ist, auch eine Liquidationsrücklage auf einem oder mehreren getrennten Passivkonten bilden, sofern folgende Bedingungen eingehalten werden:</w:t>
      </w:r>
    </w:p>
    <w:p w14:paraId="2E43F5B3" w14:textId="77777777" w:rsidR="004F634F" w:rsidRPr="009118AB" w:rsidRDefault="004F634F" w:rsidP="004F634F">
      <w:pPr>
        <w:ind w:firstLine="708"/>
        <w:jc w:val="both"/>
      </w:pPr>
    </w:p>
    <w:p w14:paraId="00358E1A" w14:textId="77777777" w:rsidR="004F634F" w:rsidRPr="009118AB" w:rsidRDefault="004F634F" w:rsidP="004F634F">
      <w:pPr>
        <w:ind w:firstLine="708"/>
        <w:jc w:val="both"/>
      </w:pPr>
      <w:r w:rsidRPr="009118AB">
        <w:t>1. Die betreffende Gesellschaft gilt aufgrund von Artikel 15 des Gesellschafts</w:t>
      </w:r>
      <w:r w:rsidRPr="009118AB">
        <w:softHyphen/>
        <w:t>gesetzbuches für das Geschäftsjahr, das an das Steuerjahr 2012 gebunden ist, als kleine Gesellschaft.</w:t>
      </w:r>
    </w:p>
    <w:p w14:paraId="21993D29" w14:textId="77777777" w:rsidR="004F634F" w:rsidRPr="009118AB" w:rsidRDefault="004F634F" w:rsidP="004F634F">
      <w:pPr>
        <w:ind w:firstLine="708"/>
        <w:jc w:val="both"/>
      </w:pPr>
    </w:p>
    <w:p w14:paraId="0ECC0CD7" w14:textId="77777777" w:rsidR="004F634F" w:rsidRPr="009118AB" w:rsidRDefault="004F634F" w:rsidP="004F634F">
      <w:pPr>
        <w:ind w:firstLine="708"/>
        <w:jc w:val="both"/>
      </w:pPr>
      <w:r w:rsidRPr="009118AB">
        <w:t>2. Die Gesellschaft zahlt spätestens am 31. März 2018 eine 10-prozentige Sonder</w:t>
      </w:r>
      <w:r w:rsidRPr="009118AB">
        <w:softHyphen/>
        <w:t>steuer, die für die Anwendung des vorliegenden Gesetzbuches mit der in Artikel 219</w:t>
      </w:r>
      <w:r w:rsidRPr="009118AB">
        <w:rPr>
          <w:i/>
        </w:rPr>
        <w:t>quater</w:t>
      </w:r>
      <w:r w:rsidRPr="009118AB">
        <w:t xml:space="preserve"> erwähnten getrennten Steuer gleichgesetzt wird; Grundlage und Modalitäten der Anwendung und Zahlung dieser Sondersteuer sind in den Paragraphen 3 und 4 festgelegt.</w:t>
      </w:r>
    </w:p>
    <w:p w14:paraId="451545C8" w14:textId="77777777" w:rsidR="004F634F" w:rsidRPr="009118AB" w:rsidRDefault="004F634F" w:rsidP="004F634F">
      <w:pPr>
        <w:ind w:firstLine="708"/>
        <w:jc w:val="both"/>
      </w:pPr>
    </w:p>
    <w:p w14:paraId="5C22F3E7" w14:textId="7F935528" w:rsidR="004F634F" w:rsidRPr="009118AB" w:rsidRDefault="004F634F" w:rsidP="004F634F">
      <w:pPr>
        <w:ind w:firstLine="708"/>
        <w:jc w:val="both"/>
      </w:pPr>
      <w:r w:rsidRPr="009118AB">
        <w:t xml:space="preserve">3. Die Liquidationsrücklage wird spätestens am Datum des Abschlusses des Geschäftsjahres, in dem die in </w:t>
      </w:r>
      <w:r w:rsidR="00D67EB8" w:rsidRPr="009118AB">
        <w:t>Nr. </w:t>
      </w:r>
      <w:r w:rsidRPr="009118AB">
        <w:t>2 erwähnte Sondersteuer gezahlt wird, auf ein oder mehrere getrennte Passivkonten gebucht.</w:t>
      </w:r>
    </w:p>
    <w:p w14:paraId="43F3D47C" w14:textId="77777777" w:rsidR="004F634F" w:rsidRPr="009118AB" w:rsidRDefault="004F634F" w:rsidP="004F634F">
      <w:pPr>
        <w:ind w:firstLine="708"/>
        <w:jc w:val="both"/>
      </w:pPr>
    </w:p>
    <w:p w14:paraId="7C2B84A4" w14:textId="77777777" w:rsidR="004F634F" w:rsidRPr="009118AB" w:rsidRDefault="004F634F" w:rsidP="004F634F">
      <w:pPr>
        <w:ind w:firstLine="708"/>
        <w:jc w:val="both"/>
      </w:pPr>
      <w:r w:rsidRPr="009118AB">
        <w:t>4. Der Betrag der in vorliegendem Paragraphen erwähnten Liquidationsrücklage ist nicht höher als der Betrag des Buchgewinns nach Steuern des Besteuerungszeitraums, der an das Steuerjahr 2012 gebunden ist.</w:t>
      </w:r>
    </w:p>
    <w:p w14:paraId="2C8C817D" w14:textId="77777777" w:rsidR="004F634F" w:rsidRPr="009118AB" w:rsidRDefault="004F634F" w:rsidP="004F634F">
      <w:pPr>
        <w:ind w:firstLine="708"/>
        <w:jc w:val="both"/>
      </w:pPr>
    </w:p>
    <w:p w14:paraId="25506045" w14:textId="65271B3D" w:rsidR="004F634F" w:rsidRPr="009118AB" w:rsidRDefault="004F634F" w:rsidP="004F634F">
      <w:pPr>
        <w:ind w:firstLine="708"/>
        <w:jc w:val="both"/>
      </w:pPr>
      <w:r w:rsidRPr="009118AB">
        <w:t xml:space="preserve">5. Der Betrag der in vorliegendem Paragraphen erwähnten Liquidationsrücklage ist auf den in </w:t>
      </w:r>
      <w:r w:rsidR="00D67EB8" w:rsidRPr="009118AB">
        <w:t>Nr. </w:t>
      </w:r>
      <w:r w:rsidRPr="009118AB">
        <w:t xml:space="preserve">4 erwähnten Betrag begrenzt, der zu Beginn des Geschäftsjahres, in dem die in </w:t>
      </w:r>
      <w:r w:rsidR="00D67EB8" w:rsidRPr="009118AB">
        <w:t>Nr. </w:t>
      </w:r>
      <w:r w:rsidRPr="009118AB">
        <w:t>2 erwähnte Sondersteuer gezahlt wird, noch immer in der Rücklage gebucht ist.</w:t>
      </w:r>
    </w:p>
    <w:p w14:paraId="1789F1F6" w14:textId="77777777" w:rsidR="004F634F" w:rsidRPr="009118AB" w:rsidRDefault="004F634F" w:rsidP="004F634F">
      <w:pPr>
        <w:ind w:firstLine="708"/>
        <w:jc w:val="both"/>
      </w:pPr>
    </w:p>
    <w:p w14:paraId="22143B5E" w14:textId="77777777" w:rsidR="004F634F" w:rsidRPr="009118AB" w:rsidRDefault="004F634F" w:rsidP="004F634F">
      <w:pPr>
        <w:ind w:firstLine="708"/>
        <w:jc w:val="both"/>
      </w:pPr>
      <w:r w:rsidRPr="009118AB">
        <w:t>6. Die in vorliegendem Paragraphen erwähnte Liquidationsrücklage wird unter Einhaltung der gesetzlichen und möglicher satzungsmäßiger Verpflichtungen gebildet.</w:t>
      </w:r>
    </w:p>
    <w:p w14:paraId="7D36462F" w14:textId="77777777" w:rsidR="004F634F" w:rsidRPr="009118AB" w:rsidRDefault="004F634F" w:rsidP="004F634F">
      <w:pPr>
        <w:ind w:firstLine="708"/>
        <w:jc w:val="both"/>
      </w:pPr>
    </w:p>
    <w:p w14:paraId="262F6C64" w14:textId="294C7D8A" w:rsidR="004F634F" w:rsidRPr="009118AB" w:rsidRDefault="004F634F" w:rsidP="004F634F">
      <w:pPr>
        <w:ind w:firstLine="708"/>
        <w:jc w:val="both"/>
      </w:pPr>
      <w:r w:rsidRPr="009118AB">
        <w:t xml:space="preserve">7. Die Gesellschaft reicht spätestens an dem Datum, an dem die in </w:t>
      </w:r>
      <w:r w:rsidR="00D67EB8" w:rsidRPr="009118AB">
        <w:t>Nr. </w:t>
      </w:r>
      <w:r w:rsidRPr="009118AB">
        <w:t>2 erwähnte Sondersteuer gezahlt wird, beim zuständigen Dienst der mit der Einnahme und Beitreibung beauftragten Verwaltung eine Sondererklärung ein, in der sie der Verwaltung ihren Gesell</w:t>
      </w:r>
      <w:r w:rsidRPr="009118AB">
        <w:softHyphen/>
        <w:t>schaftsnamen, ihre Steueridentifikationsnummer, Besteuerungsgrundlage sowie Satz und Betrag der vorerwähnten Sondersteuer mitteilt und bestätigt, dass sie für das Geschäftsjahr, das an das Steuerjahr 2012 gebunden ist, alle in Artikel 15 des Gesellschaftsgesetzbuches erwähnten Bedingungen erfüllte.</w:t>
      </w:r>
    </w:p>
    <w:p w14:paraId="045E00CA" w14:textId="77777777" w:rsidR="004F634F" w:rsidRPr="009118AB" w:rsidRDefault="004F634F" w:rsidP="004F634F">
      <w:pPr>
        <w:ind w:firstLine="708"/>
        <w:jc w:val="both"/>
      </w:pPr>
    </w:p>
    <w:p w14:paraId="2550EB4C" w14:textId="15DE935E" w:rsidR="004F634F" w:rsidRPr="009118AB" w:rsidRDefault="004F634F" w:rsidP="004F634F">
      <w:pPr>
        <w:ind w:firstLine="708"/>
        <w:jc w:val="both"/>
      </w:pPr>
      <w:r w:rsidRPr="009118AB">
        <w:t xml:space="preserve">8. Die Gesellschaft fügt der Gesellschaftssteuererklärung für das Steuerjahr, das sich auf den Besteuerungszeitraum bezieht, in dem die Sondersteuer gezahlt worden ist, eine Abschrift der in </w:t>
      </w:r>
      <w:r w:rsidR="00D67EB8" w:rsidRPr="009118AB">
        <w:t>Nr. </w:t>
      </w:r>
      <w:r w:rsidRPr="009118AB">
        <w:t>7 erwähnten Sondererklärung bei.</w:t>
      </w:r>
    </w:p>
    <w:p w14:paraId="2C5F9901" w14:textId="77777777" w:rsidR="004F634F" w:rsidRPr="009118AB" w:rsidRDefault="004F634F" w:rsidP="004F634F">
      <w:pPr>
        <w:ind w:firstLine="708"/>
        <w:jc w:val="both"/>
      </w:pPr>
    </w:p>
    <w:p w14:paraId="6A7D7F65" w14:textId="77777777" w:rsidR="004F634F" w:rsidRPr="009118AB" w:rsidRDefault="004F634F" w:rsidP="004F634F">
      <w:pPr>
        <w:ind w:firstLine="708"/>
        <w:jc w:val="both"/>
      </w:pPr>
      <w:r w:rsidRPr="009118AB">
        <w:t>9. Der Jahresabschluss in Bezug auf das Geschäftsjahr, das an das Steuerjahr 2012 gebunden ist, ist entweder am 31. März 2013 oder, in Bezug auf Gesellschaften, für die das Datum des Jahresabschlusses zwischen dem 1. September 2012 und dem 30. Dezember 2012 einschließlich liegt, spätestens sieben Monate nach dem Datum des Abschlusses des Geschäftsjahres hinterlegt worden oder, in Bezug auf die in Artikel 97 des Gesellschafts</w:t>
      </w:r>
      <w:r w:rsidRPr="009118AB">
        <w:softHyphen/>
        <w:t>gesetzbuches erwähnten Gesellschaften, gemäß Artikel 92 desselben Gesetzbuches von der Generalversammlung gebilligt worden und zusammen mit der Gesellschaftssteuererklärung für das betreffende Steuerjahr eingereicht worden.</w:t>
      </w:r>
    </w:p>
    <w:p w14:paraId="6B8D4332" w14:textId="77777777" w:rsidR="004F634F" w:rsidRPr="009118AB" w:rsidRDefault="004F634F" w:rsidP="004F634F">
      <w:pPr>
        <w:ind w:firstLine="708"/>
        <w:jc w:val="both"/>
      </w:pPr>
    </w:p>
    <w:p w14:paraId="2557B885" w14:textId="77777777" w:rsidR="004F634F" w:rsidRPr="009118AB" w:rsidRDefault="004F634F" w:rsidP="004F634F">
      <w:pPr>
        <w:ind w:firstLine="708"/>
        <w:jc w:val="both"/>
      </w:pPr>
      <w:r w:rsidRPr="009118AB">
        <w:t>10. Artikel 537 war aufgrund des Datums der Generalversammlung, wie im Gesell</w:t>
      </w:r>
      <w:r w:rsidRPr="009118AB">
        <w:softHyphen/>
        <w:t>schaftsgesetzbuch vorgesehen, für das Steuerjahr 2012 nicht auf die Gesellschaft anwendbar.]</w:t>
      </w:r>
    </w:p>
    <w:p w14:paraId="314E9AC3" w14:textId="77777777" w:rsidR="004F634F" w:rsidRPr="009118AB" w:rsidRDefault="004F634F" w:rsidP="00D11923">
      <w:pPr>
        <w:jc w:val="both"/>
      </w:pPr>
    </w:p>
    <w:p w14:paraId="2F93F984" w14:textId="31287B3E" w:rsidR="00D11923" w:rsidRPr="009118AB" w:rsidRDefault="00D67EB8" w:rsidP="00D11923">
      <w:pPr>
        <w:ind w:firstLine="708"/>
        <w:jc w:val="both"/>
      </w:pPr>
      <w:r w:rsidRPr="009118AB">
        <w:t>§ </w:t>
      </w:r>
      <w:r w:rsidR="00D11923" w:rsidRPr="009118AB">
        <w:t>3</w:t>
      </w:r>
      <w:r w:rsidRPr="009118AB">
        <w:t> - </w:t>
      </w:r>
      <w:r w:rsidR="00D11923" w:rsidRPr="009118AB">
        <w:t xml:space="preserve">Die Grundlage für die in </w:t>
      </w:r>
      <w:r w:rsidRPr="009118AB">
        <w:t>§ </w:t>
      </w:r>
      <w:r w:rsidR="00D11923" w:rsidRPr="009118AB">
        <w:t xml:space="preserve">1 </w:t>
      </w:r>
      <w:r w:rsidRPr="009118AB">
        <w:t>Nr. </w:t>
      </w:r>
      <w:r w:rsidR="00D11923" w:rsidRPr="009118AB">
        <w:t xml:space="preserve">2 erwähnte Sondersteuer bildet der Teil oder die Gesamtheit des Buchgewinns nach Steuern des Geschäftsjahres, das an das Steuerjahr 2013 gebunden ist, der/die in Grenzen und unter Bedingungen, die in </w:t>
      </w:r>
      <w:r w:rsidRPr="009118AB">
        <w:t>§ </w:t>
      </w:r>
      <w:r w:rsidR="00D11923" w:rsidRPr="009118AB">
        <w:t>1 erwähnt sind, auf einem oder mehreren getrennten Passivkonten gebucht ist.</w:t>
      </w:r>
    </w:p>
    <w:p w14:paraId="5AD80C27" w14:textId="77777777" w:rsidR="00D11923" w:rsidRPr="009118AB" w:rsidRDefault="00D11923" w:rsidP="00D11923">
      <w:pPr>
        <w:jc w:val="both"/>
      </w:pPr>
    </w:p>
    <w:p w14:paraId="2D570DC9" w14:textId="4DBC4091" w:rsidR="00D11923" w:rsidRPr="009118AB" w:rsidRDefault="00D11923" w:rsidP="00D11923">
      <w:pPr>
        <w:ind w:firstLine="708"/>
        <w:jc w:val="both"/>
      </w:pPr>
      <w:r w:rsidRPr="009118AB">
        <w:t xml:space="preserve">Die Grundlage für die in </w:t>
      </w:r>
      <w:r w:rsidR="00D67EB8" w:rsidRPr="009118AB">
        <w:t>§ </w:t>
      </w:r>
      <w:r w:rsidRPr="009118AB">
        <w:t xml:space="preserve">2 </w:t>
      </w:r>
      <w:r w:rsidR="00D67EB8" w:rsidRPr="009118AB">
        <w:t>Nr. </w:t>
      </w:r>
      <w:r w:rsidRPr="009118AB">
        <w:t xml:space="preserve">2 erwähnte Sondersteuer bildet der Teil oder die Gesamtheit des Buchgewinns nach Steuern des Geschäftsjahres, das an das Steuerjahr 2014 gebunden ist, der/die in Grenzen und unter Bedingungen, die in </w:t>
      </w:r>
      <w:r w:rsidR="00D67EB8" w:rsidRPr="009118AB">
        <w:t>§ </w:t>
      </w:r>
      <w:r w:rsidRPr="009118AB">
        <w:t>2 erwähnt sind, auf einem oder mehreren getrennten Passivkonten gebucht ist.</w:t>
      </w:r>
    </w:p>
    <w:p w14:paraId="7FB894C8" w14:textId="77777777" w:rsidR="00D11923" w:rsidRPr="009118AB" w:rsidRDefault="00D11923" w:rsidP="00D11923">
      <w:pPr>
        <w:jc w:val="both"/>
      </w:pPr>
    </w:p>
    <w:p w14:paraId="6730C8C5" w14:textId="1B28684D" w:rsidR="004F634F" w:rsidRPr="009118AB" w:rsidRDefault="004F634F" w:rsidP="00D11923">
      <w:pPr>
        <w:jc w:val="both"/>
      </w:pPr>
      <w:r w:rsidRPr="009118AB">
        <w:tab/>
        <w:t xml:space="preserve">[Die Grundlage für die in </w:t>
      </w:r>
      <w:r w:rsidR="00D67EB8" w:rsidRPr="009118AB">
        <w:t>§ </w:t>
      </w:r>
      <w:r w:rsidRPr="009118AB">
        <w:t xml:space="preserve">2/1 </w:t>
      </w:r>
      <w:r w:rsidR="00D67EB8" w:rsidRPr="009118AB">
        <w:t>Nr. </w:t>
      </w:r>
      <w:r w:rsidRPr="009118AB">
        <w:t xml:space="preserve">2 erwähnte Sondersteuer bildet der Teil oder die Gesamtheit des Buchgewinns nach Steuern des Geschäftsjahres, das an das Steuerjahr 2012 gebunden ist, der/die in Grenzen und unter Bedingungen, die in </w:t>
      </w:r>
      <w:r w:rsidR="00D67EB8" w:rsidRPr="009118AB">
        <w:t>§ </w:t>
      </w:r>
      <w:r w:rsidRPr="009118AB">
        <w:t>2/1 erwähnt sind, auf einem oder mehreren getrennten Passivkonten gebucht ist.]</w:t>
      </w:r>
    </w:p>
    <w:p w14:paraId="5593212E" w14:textId="77777777" w:rsidR="004F634F" w:rsidRPr="009118AB" w:rsidRDefault="004F634F" w:rsidP="00D11923">
      <w:pPr>
        <w:jc w:val="both"/>
      </w:pPr>
    </w:p>
    <w:p w14:paraId="086CC5F8" w14:textId="77777777" w:rsidR="00D11923" w:rsidRPr="009118AB" w:rsidRDefault="00D11923" w:rsidP="00D11923">
      <w:pPr>
        <w:ind w:firstLine="708"/>
        <w:jc w:val="both"/>
      </w:pPr>
      <w:r w:rsidRPr="009118AB">
        <w:t>Diese Sondersteuern sind unabhängig von und gegebenenfalls ergänzend zu anderen Steuern, die aufgrund anderer Bestimmungen des vorliegenden Gesetzbuches oder gegebenenfalls in Anwendung besonderer Gesetzesbestimmungen geschuldet werden.</w:t>
      </w:r>
    </w:p>
    <w:p w14:paraId="4FF36FEB" w14:textId="77777777" w:rsidR="00D11923" w:rsidRPr="009118AB" w:rsidRDefault="00D11923" w:rsidP="00D11923">
      <w:pPr>
        <w:jc w:val="both"/>
      </w:pPr>
    </w:p>
    <w:p w14:paraId="49196662" w14:textId="631B53E3" w:rsidR="00D11923" w:rsidRPr="009118AB" w:rsidRDefault="00D11923" w:rsidP="00D11923">
      <w:pPr>
        <w:ind w:firstLine="708"/>
        <w:jc w:val="both"/>
        <w:rPr>
          <w:spacing w:val="-2"/>
        </w:rPr>
      </w:pPr>
      <w:r w:rsidRPr="009118AB">
        <w:rPr>
          <w:spacing w:val="-2"/>
        </w:rPr>
        <w:t xml:space="preserve">Für die Anwendung des vorliegenden Gesetzbuches gelten die in </w:t>
      </w:r>
      <w:r w:rsidR="00D67EB8" w:rsidRPr="009118AB">
        <w:rPr>
          <w:spacing w:val="-2"/>
        </w:rPr>
        <w:t>§ </w:t>
      </w:r>
      <w:r w:rsidRPr="009118AB">
        <w:rPr>
          <w:spacing w:val="-2"/>
        </w:rPr>
        <w:t xml:space="preserve">1 </w:t>
      </w:r>
      <w:r w:rsidR="00D67EB8" w:rsidRPr="009118AB">
        <w:rPr>
          <w:spacing w:val="-2"/>
        </w:rPr>
        <w:t>Nr. </w:t>
      </w:r>
      <w:r w:rsidRPr="009118AB">
        <w:rPr>
          <w:spacing w:val="-2"/>
        </w:rPr>
        <w:t>2</w:t>
      </w:r>
      <w:r w:rsidR="004F634F" w:rsidRPr="009118AB">
        <w:rPr>
          <w:spacing w:val="-2"/>
        </w:rPr>
        <w:t>[,</w:t>
      </w:r>
      <w:r w:rsidRPr="009118AB">
        <w:rPr>
          <w:spacing w:val="-2"/>
        </w:rPr>
        <w:t xml:space="preserve"> </w:t>
      </w:r>
      <w:r w:rsidR="00D67EB8" w:rsidRPr="009118AB">
        <w:rPr>
          <w:spacing w:val="-2"/>
        </w:rPr>
        <w:t>§ </w:t>
      </w:r>
      <w:r w:rsidRPr="009118AB">
        <w:rPr>
          <w:spacing w:val="-2"/>
        </w:rPr>
        <w:t xml:space="preserve">2 </w:t>
      </w:r>
      <w:r w:rsidR="00D67EB8" w:rsidRPr="009118AB">
        <w:rPr>
          <w:spacing w:val="-2"/>
        </w:rPr>
        <w:t>Nr. </w:t>
      </w:r>
      <w:r w:rsidRPr="009118AB">
        <w:rPr>
          <w:spacing w:val="-2"/>
        </w:rPr>
        <w:t xml:space="preserve">2 </w:t>
      </w:r>
      <w:r w:rsidR="004F634F" w:rsidRPr="009118AB">
        <w:rPr>
          <w:spacing w:val="-2"/>
        </w:rPr>
        <w:t xml:space="preserve">und </w:t>
      </w:r>
      <w:r w:rsidR="00D67EB8" w:rsidRPr="009118AB">
        <w:rPr>
          <w:spacing w:val="-2"/>
        </w:rPr>
        <w:t>§ </w:t>
      </w:r>
      <w:r w:rsidR="004F634F" w:rsidRPr="009118AB">
        <w:rPr>
          <w:spacing w:val="-2"/>
        </w:rPr>
        <w:t xml:space="preserve">2/1 </w:t>
      </w:r>
      <w:r w:rsidR="00D67EB8" w:rsidRPr="009118AB">
        <w:rPr>
          <w:spacing w:val="-2"/>
        </w:rPr>
        <w:t>Nr. </w:t>
      </w:r>
      <w:r w:rsidR="004F634F" w:rsidRPr="009118AB">
        <w:rPr>
          <w:spacing w:val="-2"/>
        </w:rPr>
        <w:t xml:space="preserve">2] </w:t>
      </w:r>
      <w:r w:rsidRPr="009118AB">
        <w:rPr>
          <w:spacing w:val="-2"/>
        </w:rPr>
        <w:t xml:space="preserve">erwähnten Sondersteuern im Sinne von Artikel 198 </w:t>
      </w:r>
      <w:r w:rsidR="00D67EB8" w:rsidRPr="009118AB">
        <w:rPr>
          <w:spacing w:val="-2"/>
        </w:rPr>
        <w:t>§ </w:t>
      </w:r>
      <w:r w:rsidRPr="009118AB">
        <w:rPr>
          <w:spacing w:val="-2"/>
        </w:rPr>
        <w:t xml:space="preserve">1 </w:t>
      </w:r>
      <w:r w:rsidR="00D67EB8" w:rsidRPr="009118AB">
        <w:rPr>
          <w:spacing w:val="-2"/>
        </w:rPr>
        <w:t>Nr. </w:t>
      </w:r>
      <w:r w:rsidRPr="009118AB">
        <w:rPr>
          <w:spacing w:val="-2"/>
        </w:rPr>
        <w:t>1 nicht als abzugsfähige Kosten.</w:t>
      </w:r>
    </w:p>
    <w:p w14:paraId="6E799989" w14:textId="77777777" w:rsidR="00D11923" w:rsidRPr="009118AB" w:rsidRDefault="00D11923" w:rsidP="00D11923">
      <w:pPr>
        <w:jc w:val="both"/>
      </w:pPr>
    </w:p>
    <w:p w14:paraId="4A04181A" w14:textId="797D71D4" w:rsidR="004F634F" w:rsidRPr="009118AB" w:rsidRDefault="00D67EB8" w:rsidP="004F634F">
      <w:pPr>
        <w:ind w:firstLine="708"/>
        <w:jc w:val="both"/>
      </w:pPr>
      <w:r w:rsidRPr="009118AB">
        <w:t>§ </w:t>
      </w:r>
      <w:r w:rsidR="00D11923" w:rsidRPr="009118AB">
        <w:t>4</w:t>
      </w:r>
      <w:r w:rsidRPr="009118AB">
        <w:t> - </w:t>
      </w:r>
      <w:r w:rsidR="004F634F" w:rsidRPr="009118AB">
        <w:t xml:space="preserve">[Der König legt Form und Inhalt der in </w:t>
      </w:r>
      <w:r w:rsidRPr="009118AB">
        <w:t>§ </w:t>
      </w:r>
      <w:r w:rsidR="004F634F" w:rsidRPr="009118AB">
        <w:t xml:space="preserve">1 </w:t>
      </w:r>
      <w:r w:rsidRPr="009118AB">
        <w:t>Nr. </w:t>
      </w:r>
      <w:r w:rsidR="004F634F" w:rsidRPr="009118AB">
        <w:t xml:space="preserve">7, </w:t>
      </w:r>
      <w:r w:rsidRPr="009118AB">
        <w:t>§ </w:t>
      </w:r>
      <w:r w:rsidR="004F634F" w:rsidRPr="009118AB">
        <w:t xml:space="preserve">2 </w:t>
      </w:r>
      <w:r w:rsidRPr="009118AB">
        <w:t>Nr. </w:t>
      </w:r>
      <w:r w:rsidR="004F634F" w:rsidRPr="009118AB">
        <w:t xml:space="preserve">7 und </w:t>
      </w:r>
      <w:r w:rsidRPr="009118AB">
        <w:t>§ </w:t>
      </w:r>
      <w:r w:rsidR="004F634F" w:rsidRPr="009118AB">
        <w:t xml:space="preserve">2/1 </w:t>
      </w:r>
      <w:r w:rsidRPr="009118AB">
        <w:t>Nr. </w:t>
      </w:r>
      <w:r w:rsidR="004F634F" w:rsidRPr="009118AB">
        <w:t>7 erwähnten Sondererklärung fest.</w:t>
      </w:r>
    </w:p>
    <w:p w14:paraId="1A1D76B0" w14:textId="77777777" w:rsidR="004F634F" w:rsidRPr="009118AB" w:rsidRDefault="004F634F" w:rsidP="004F634F">
      <w:pPr>
        <w:ind w:firstLine="708"/>
        <w:jc w:val="both"/>
      </w:pPr>
    </w:p>
    <w:p w14:paraId="775EFE39" w14:textId="114EA917" w:rsidR="00D11923" w:rsidRPr="009118AB" w:rsidRDefault="004F634F" w:rsidP="004F634F">
      <w:pPr>
        <w:ind w:firstLine="708"/>
        <w:jc w:val="both"/>
      </w:pPr>
      <w:r w:rsidRPr="009118AB">
        <w:t xml:space="preserve">Die in </w:t>
      </w:r>
      <w:r w:rsidR="00D67EB8" w:rsidRPr="009118AB">
        <w:t>§ </w:t>
      </w:r>
      <w:r w:rsidRPr="009118AB">
        <w:t xml:space="preserve">1 </w:t>
      </w:r>
      <w:r w:rsidR="00D67EB8" w:rsidRPr="009118AB">
        <w:t>Nr. </w:t>
      </w:r>
      <w:r w:rsidRPr="009118AB">
        <w:t xml:space="preserve">2, </w:t>
      </w:r>
      <w:r w:rsidR="00D67EB8" w:rsidRPr="009118AB">
        <w:t>§ </w:t>
      </w:r>
      <w:r w:rsidRPr="009118AB">
        <w:t xml:space="preserve">2 </w:t>
      </w:r>
      <w:r w:rsidR="00D67EB8" w:rsidRPr="009118AB">
        <w:t>Nr. </w:t>
      </w:r>
      <w:r w:rsidRPr="009118AB">
        <w:t xml:space="preserve">2 und </w:t>
      </w:r>
      <w:r w:rsidR="00D67EB8" w:rsidRPr="009118AB">
        <w:t>§ </w:t>
      </w:r>
      <w:r w:rsidRPr="009118AB">
        <w:t xml:space="preserve">2/1 </w:t>
      </w:r>
      <w:r w:rsidR="00D67EB8" w:rsidRPr="009118AB">
        <w:t>Nr. </w:t>
      </w:r>
      <w:r w:rsidRPr="009118AB">
        <w:t>2 erwähnten Steuern müssen spätestens am 30. November 2015, am 30. November 2016 beziehungsweise am 31. März 2018 auf das Konto des zuständigen Dienstes der mit der Einnahm</w:t>
      </w:r>
      <w:r w:rsidR="003B0B00" w:rsidRPr="009118AB">
        <w:t>e und Beitreibung der Einkommen</w:t>
      </w:r>
      <w:r w:rsidRPr="009118AB">
        <w:t>steuern beauftragten Verwaltung eingezahlt werden.]</w:t>
      </w:r>
    </w:p>
    <w:p w14:paraId="124BCB11" w14:textId="77777777" w:rsidR="00D11923" w:rsidRPr="009118AB" w:rsidRDefault="00D11923" w:rsidP="00D11923">
      <w:pPr>
        <w:jc w:val="both"/>
      </w:pPr>
    </w:p>
    <w:p w14:paraId="00BA167C" w14:textId="10723439" w:rsidR="00D11923" w:rsidRPr="009118AB" w:rsidRDefault="00D11923" w:rsidP="00D11923">
      <w:pPr>
        <w:ind w:firstLine="708"/>
        <w:jc w:val="both"/>
      </w:pPr>
      <w:r w:rsidRPr="009118AB">
        <w:t>Der Steuerschuldner muss auf dem Zahlungsformular seine Steueridentifikations</w:t>
      </w:r>
      <w:r w:rsidRPr="009118AB">
        <w:softHyphen/>
        <w:t>nummer, den Vermerk "</w:t>
      </w:r>
      <w:r w:rsidR="00D67EB8" w:rsidRPr="009118AB">
        <w:t>Art. </w:t>
      </w:r>
      <w:r w:rsidRPr="009118AB">
        <w:t>541 EStGB 92" und das Steuerjahr, auf das die Sondersteuer sich bezieht, angeben.</w:t>
      </w:r>
    </w:p>
    <w:p w14:paraId="7DFD3536" w14:textId="77777777" w:rsidR="00D11923" w:rsidRPr="009118AB" w:rsidRDefault="00D11923" w:rsidP="00D11923">
      <w:pPr>
        <w:jc w:val="both"/>
      </w:pPr>
    </w:p>
    <w:p w14:paraId="75EF5239" w14:textId="585FD6E8" w:rsidR="00D11923" w:rsidRPr="009118AB" w:rsidRDefault="00D11923" w:rsidP="00D11923">
      <w:pPr>
        <w:ind w:firstLine="708"/>
        <w:jc w:val="both"/>
      </w:pPr>
      <w:r w:rsidRPr="009118AB">
        <w:t>In Anwendung des vorliegenden Artikels gezahlte Sondersteuern stehen dem Staat endgültig zu. Sie werden nicht auf die Gesellschaftssteu</w:t>
      </w:r>
      <w:r w:rsidR="003B0B00" w:rsidRPr="009118AB">
        <w:t>er angerechnet. Eventuelle Über</w:t>
      </w:r>
      <w:r w:rsidRPr="009118AB">
        <w:t>schüsse werden nicht erstattet.</w:t>
      </w:r>
    </w:p>
    <w:p w14:paraId="793258F4" w14:textId="77777777" w:rsidR="00D11923" w:rsidRPr="009118AB" w:rsidRDefault="00D11923" w:rsidP="00D11923">
      <w:pPr>
        <w:jc w:val="both"/>
      </w:pPr>
    </w:p>
    <w:p w14:paraId="1B8B7969" w14:textId="6F9573AC" w:rsidR="00D11923" w:rsidRPr="009118AB" w:rsidRDefault="00D1192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r>
      <w:r w:rsidR="00D67EB8" w:rsidRPr="009118AB">
        <w:t>§ </w:t>
      </w:r>
      <w:r w:rsidRPr="009118AB">
        <w:t>5</w:t>
      </w:r>
      <w:r w:rsidR="00D67EB8" w:rsidRPr="009118AB">
        <w:t> - </w:t>
      </w:r>
      <w:r w:rsidRPr="009118AB">
        <w:t>Die Bestimmungen von Artikel 184</w:t>
      </w:r>
      <w:r w:rsidRPr="009118AB">
        <w:rPr>
          <w:i/>
        </w:rPr>
        <w:t>quater</w:t>
      </w:r>
      <w:r w:rsidRPr="009118AB">
        <w:t xml:space="preserve"> Absatz 3 bis 5 sind auf Liquidations</w:t>
      </w:r>
      <w:r w:rsidRPr="009118AB">
        <w:softHyphen/>
        <w:t>rücklagen anwendbar, die auf der Grundlage des vorliegenden Artikels gebildet werden.]</w:t>
      </w:r>
    </w:p>
    <w:p w14:paraId="50BD72DB" w14:textId="77777777" w:rsidR="00D11923" w:rsidRPr="009118AB" w:rsidRDefault="00D1192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EC20DD" w14:textId="40F4E47C" w:rsidR="00E1571E" w:rsidRPr="00B33FA3" w:rsidRDefault="00B60ADD"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583371">
        <w:rPr>
          <w:i/>
        </w:rPr>
        <w:t>[</w:t>
      </w:r>
      <w:r w:rsidR="00D67EB8" w:rsidRPr="00583371">
        <w:rPr>
          <w:i/>
        </w:rPr>
        <w:t>Art. </w:t>
      </w:r>
      <w:r w:rsidRPr="00583371">
        <w:rPr>
          <w:i/>
        </w:rPr>
        <w:t xml:space="preserve">541 eingefügt durch </w:t>
      </w:r>
      <w:r w:rsidR="00D67EB8" w:rsidRPr="00583371">
        <w:rPr>
          <w:i/>
        </w:rPr>
        <w:t>Art. </w:t>
      </w:r>
      <w:r w:rsidR="00D11923" w:rsidRPr="00583371">
        <w:rPr>
          <w:i/>
        </w:rPr>
        <w:t>82</w:t>
      </w:r>
      <w:r w:rsidR="00D11923" w:rsidRPr="00583371">
        <w:rPr>
          <w:i/>
          <w:iCs/>
        </w:rPr>
        <w:t xml:space="preserve"> des G. vom 10. August 2015 (B.S. vom 18. August 2015)</w:t>
      </w:r>
      <w:r w:rsidR="00D67EB8" w:rsidRPr="00583371">
        <w:rPr>
          <w:i/>
          <w:iCs/>
        </w:rPr>
        <w:t> - </w:t>
      </w:r>
      <w:r w:rsidR="00D11923" w:rsidRPr="00583371">
        <w:rPr>
          <w:i/>
          <w:iCs/>
        </w:rPr>
        <w:t>in Kraft ab dem 18. August 2015</w:t>
      </w:r>
      <w:r w:rsidR="003366D9" w:rsidRPr="00583371">
        <w:rPr>
          <w:i/>
          <w:iCs/>
        </w:rPr>
        <w:t> -</w:t>
      </w:r>
      <w:r w:rsidR="00583371" w:rsidRPr="00583371">
        <w:rPr>
          <w:i/>
          <w:iCs/>
        </w:rPr>
        <w:t>, für nichtig erklärt durch Entscheid Nr. 20/2017 des Verfassungsgerichtshofes vom 16. Februar 2017 (B.S. vom 3. März 2017), insofern er sich nicht auf den Jahresabschluss in Bezug auf das Geschäftsjahr, das an das Steuerjahr 2012 gebunden ist, bezieht, wenn die besteuerten Rücklagen dieses Steuerjahres in Anbetracht des Datums der Generalversammlung nicht für die Regelung der « internen Liquidation » in Frage kamen</w:t>
      </w:r>
      <w:r w:rsidR="003366D9" w:rsidRPr="00583371">
        <w:rPr>
          <w:i/>
          <w:iCs/>
        </w:rPr>
        <w:t>;</w:t>
      </w:r>
      <w:r w:rsidR="00AB6360" w:rsidRPr="00583371">
        <w:rPr>
          <w:i/>
          <w:iCs/>
        </w:rPr>
        <w:t xml:space="preserve"> </w:t>
      </w:r>
      <w:r w:rsidR="00D67EB8" w:rsidRPr="00583371">
        <w:rPr>
          <w:i/>
          <w:iCs/>
        </w:rPr>
        <w:t>§ </w:t>
      </w:r>
      <w:r w:rsidR="004F634F" w:rsidRPr="00583371">
        <w:rPr>
          <w:i/>
          <w:iCs/>
        </w:rPr>
        <w:t xml:space="preserve">2/1 eingefügt durch </w:t>
      </w:r>
      <w:r w:rsidR="00D67EB8" w:rsidRPr="00583371">
        <w:rPr>
          <w:i/>
          <w:iCs/>
        </w:rPr>
        <w:t>Art. </w:t>
      </w:r>
      <w:r w:rsidR="004F634F" w:rsidRPr="00583371">
        <w:rPr>
          <w:i/>
          <w:iCs/>
        </w:rPr>
        <w:t xml:space="preserve">18 </w:t>
      </w:r>
      <w:r w:rsidR="00D67EB8" w:rsidRPr="00583371">
        <w:rPr>
          <w:i/>
          <w:iCs/>
        </w:rPr>
        <w:t>Nr. </w:t>
      </w:r>
      <w:r w:rsidR="004F634F" w:rsidRPr="00583371">
        <w:rPr>
          <w:i/>
          <w:iCs/>
        </w:rPr>
        <w:t>3 des G. vom 25. Dezember 2017 (II) (B.S. vom 29. Dezember 2017)</w:t>
      </w:r>
      <w:r w:rsidR="00D67EB8" w:rsidRPr="00583371">
        <w:rPr>
          <w:i/>
          <w:iCs/>
        </w:rPr>
        <w:t> - </w:t>
      </w:r>
      <w:r w:rsidR="004F634F" w:rsidRPr="00583371">
        <w:rPr>
          <w:i/>
          <w:iCs/>
        </w:rPr>
        <w:t>in Kraft am 29. Dezember 2017</w:t>
      </w:r>
      <w:r w:rsidR="003366D9" w:rsidRPr="00583371">
        <w:rPr>
          <w:i/>
          <w:iCs/>
        </w:rPr>
        <w:t> -;</w:t>
      </w:r>
      <w:r w:rsidR="004F634F" w:rsidRPr="00583371">
        <w:rPr>
          <w:i/>
          <w:iCs/>
        </w:rPr>
        <w:t xml:space="preserve"> </w:t>
      </w:r>
      <w:r w:rsidR="00D67EB8" w:rsidRPr="00583371">
        <w:rPr>
          <w:i/>
          <w:iCs/>
        </w:rPr>
        <w:t>§ </w:t>
      </w:r>
      <w:r w:rsidR="004F634F" w:rsidRPr="00583371">
        <w:rPr>
          <w:i/>
          <w:iCs/>
        </w:rPr>
        <w:t xml:space="preserve">3 neuer Absatz 3 eingefügt durch </w:t>
      </w:r>
      <w:r w:rsidR="00D67EB8" w:rsidRPr="00583371">
        <w:rPr>
          <w:i/>
          <w:iCs/>
        </w:rPr>
        <w:t>Art. </w:t>
      </w:r>
      <w:r w:rsidR="004F634F" w:rsidRPr="00583371">
        <w:rPr>
          <w:i/>
          <w:iCs/>
        </w:rPr>
        <w:t xml:space="preserve">18 </w:t>
      </w:r>
      <w:r w:rsidR="00D67EB8" w:rsidRPr="00583371">
        <w:rPr>
          <w:i/>
          <w:iCs/>
        </w:rPr>
        <w:t>Nr. </w:t>
      </w:r>
      <w:r w:rsidR="004F634F" w:rsidRPr="00583371">
        <w:rPr>
          <w:i/>
          <w:iCs/>
        </w:rPr>
        <w:t>5 des G. vom 25. Dezember 2017 (II) (B.S. vom 29. Dezember 2017)</w:t>
      </w:r>
      <w:r w:rsidR="00D67EB8" w:rsidRPr="00583371">
        <w:rPr>
          <w:i/>
          <w:iCs/>
        </w:rPr>
        <w:t> - </w:t>
      </w:r>
      <w:r w:rsidR="004F634F" w:rsidRPr="00583371">
        <w:rPr>
          <w:i/>
          <w:iCs/>
        </w:rPr>
        <w:t>in Kraft am 29. Dezember 2017</w:t>
      </w:r>
      <w:r w:rsidR="003366D9" w:rsidRPr="00583371">
        <w:rPr>
          <w:i/>
          <w:iCs/>
        </w:rPr>
        <w:t> -;</w:t>
      </w:r>
      <w:r w:rsidR="004F634F" w:rsidRPr="00583371">
        <w:rPr>
          <w:i/>
          <w:iCs/>
        </w:rPr>
        <w:t xml:space="preserve"> </w:t>
      </w:r>
      <w:r w:rsidR="00D67EB8" w:rsidRPr="00583371">
        <w:rPr>
          <w:i/>
          <w:iCs/>
        </w:rPr>
        <w:t>§ </w:t>
      </w:r>
      <w:r w:rsidR="004F634F" w:rsidRPr="00583371">
        <w:rPr>
          <w:i/>
          <w:iCs/>
        </w:rPr>
        <w:t xml:space="preserve">3 </w:t>
      </w:r>
      <w:r w:rsidR="00D67EB8" w:rsidRPr="00583371">
        <w:rPr>
          <w:i/>
          <w:iCs/>
        </w:rPr>
        <w:t>Abs. </w:t>
      </w:r>
      <w:r w:rsidR="004F634F" w:rsidRPr="00583371">
        <w:rPr>
          <w:i/>
          <w:iCs/>
        </w:rPr>
        <w:t xml:space="preserve">5 abgeändert durch </w:t>
      </w:r>
      <w:r w:rsidR="00D67EB8" w:rsidRPr="00583371">
        <w:rPr>
          <w:i/>
          <w:iCs/>
        </w:rPr>
        <w:t>Art. </w:t>
      </w:r>
      <w:r w:rsidR="004F634F" w:rsidRPr="00583371">
        <w:rPr>
          <w:i/>
          <w:iCs/>
        </w:rPr>
        <w:t xml:space="preserve">18 </w:t>
      </w:r>
      <w:r w:rsidR="00D67EB8" w:rsidRPr="00583371">
        <w:rPr>
          <w:i/>
          <w:iCs/>
        </w:rPr>
        <w:t>Nr. </w:t>
      </w:r>
      <w:r w:rsidR="004F634F" w:rsidRPr="00583371">
        <w:rPr>
          <w:i/>
          <w:iCs/>
        </w:rPr>
        <w:t>6 des G. vom 25. Dezember 2017 (II) (B.S. vom 29. Dezember 2017)</w:t>
      </w:r>
      <w:r w:rsidR="00D67EB8" w:rsidRPr="00583371">
        <w:rPr>
          <w:i/>
          <w:iCs/>
        </w:rPr>
        <w:t> - </w:t>
      </w:r>
      <w:r w:rsidR="004F634F" w:rsidRPr="00583371">
        <w:rPr>
          <w:i/>
          <w:iCs/>
        </w:rPr>
        <w:t>in Kraft am 29. Dezember 2017</w:t>
      </w:r>
      <w:r w:rsidR="003366D9" w:rsidRPr="00583371">
        <w:rPr>
          <w:i/>
          <w:iCs/>
        </w:rPr>
        <w:t> -;</w:t>
      </w:r>
      <w:r w:rsidR="004F634F" w:rsidRPr="00583371">
        <w:rPr>
          <w:i/>
          <w:iCs/>
        </w:rPr>
        <w:t xml:space="preserve"> </w:t>
      </w:r>
      <w:r w:rsidR="00D67EB8" w:rsidRPr="00583371">
        <w:rPr>
          <w:i/>
          <w:iCs/>
        </w:rPr>
        <w:t>§ </w:t>
      </w:r>
      <w:r w:rsidR="004F634F" w:rsidRPr="00583371">
        <w:rPr>
          <w:i/>
          <w:iCs/>
        </w:rPr>
        <w:t xml:space="preserve">4 </w:t>
      </w:r>
      <w:r w:rsidR="00D67EB8" w:rsidRPr="00583371">
        <w:rPr>
          <w:i/>
          <w:iCs/>
        </w:rPr>
        <w:t>Abs. </w:t>
      </w:r>
      <w:r w:rsidR="004F634F" w:rsidRPr="00583371">
        <w:rPr>
          <w:i/>
          <w:iCs/>
        </w:rPr>
        <w:t xml:space="preserve">1 und 2 ersetzt durch </w:t>
      </w:r>
      <w:r w:rsidR="00D67EB8" w:rsidRPr="00583371">
        <w:rPr>
          <w:i/>
          <w:iCs/>
        </w:rPr>
        <w:t>Art. </w:t>
      </w:r>
      <w:r w:rsidR="004F634F" w:rsidRPr="00583371">
        <w:rPr>
          <w:i/>
          <w:iCs/>
        </w:rPr>
        <w:t xml:space="preserve">18 </w:t>
      </w:r>
      <w:r w:rsidR="00D67EB8" w:rsidRPr="00583371">
        <w:rPr>
          <w:i/>
          <w:iCs/>
        </w:rPr>
        <w:t>Nr. </w:t>
      </w:r>
      <w:r w:rsidR="004F634F" w:rsidRPr="00583371">
        <w:rPr>
          <w:i/>
          <w:iCs/>
        </w:rPr>
        <w:t>7 des G. vom 25. Dezember 2017 (II) (B.S. vom 29. Dezember 2017)</w:t>
      </w:r>
      <w:r w:rsidR="00D67EB8" w:rsidRPr="00583371">
        <w:rPr>
          <w:i/>
          <w:iCs/>
        </w:rPr>
        <w:t> - </w:t>
      </w:r>
      <w:r w:rsidR="004F634F" w:rsidRPr="00583371">
        <w:rPr>
          <w:i/>
          <w:iCs/>
        </w:rPr>
        <w:t>in Kraft am 29. Dezember 2017</w:t>
      </w:r>
      <w:r w:rsidR="003366D9" w:rsidRPr="00583371">
        <w:rPr>
          <w:i/>
          <w:iCs/>
        </w:rPr>
        <w:t> -</w:t>
      </w:r>
      <w:r w:rsidR="00E1571E" w:rsidRPr="00B33FA3">
        <w:rPr>
          <w:i/>
          <w:iCs/>
        </w:rPr>
        <w:t>]</w:t>
      </w:r>
    </w:p>
    <w:p w14:paraId="13B587F1" w14:textId="77777777" w:rsidR="005D19EB" w:rsidRPr="00B33FA3" w:rsidRDefault="005D19EB"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362CF13B" w14:textId="77777777" w:rsidR="002A44E3" w:rsidRPr="00B33FA3" w:rsidRDefault="002A44E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318E886E" w14:textId="0AD8F74A" w:rsidR="002A44E3" w:rsidRPr="009118AB" w:rsidRDefault="00583371"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r>
        <w:rPr>
          <w:spacing w:val="-5"/>
        </w:rPr>
        <w:tab/>
      </w:r>
      <w:r w:rsidR="002A44E3" w:rsidRPr="009118AB">
        <w:rPr>
          <w:spacing w:val="-5"/>
        </w:rPr>
        <w:t>[</w:t>
      </w:r>
      <w:r w:rsidR="00D67EB8" w:rsidRPr="009118AB">
        <w:rPr>
          <w:b/>
          <w:bCs/>
          <w:spacing w:val="-5"/>
        </w:rPr>
        <w:t>Art. </w:t>
      </w:r>
      <w:r w:rsidR="002A44E3" w:rsidRPr="009118AB">
        <w:rPr>
          <w:b/>
          <w:bCs/>
          <w:spacing w:val="-5"/>
        </w:rPr>
        <w:t>542</w:t>
      </w:r>
      <w:r w:rsidR="00D67EB8" w:rsidRPr="009118AB">
        <w:rPr>
          <w:spacing w:val="-5"/>
        </w:rPr>
        <w:t> - </w:t>
      </w:r>
      <w:r w:rsidR="002A44E3" w:rsidRPr="009118AB">
        <w:rPr>
          <w:spacing w:val="-5"/>
        </w:rPr>
        <w:t>[…]]</w:t>
      </w:r>
    </w:p>
    <w:p w14:paraId="4414A91F" w14:textId="77777777" w:rsidR="002A44E3" w:rsidRPr="009118AB" w:rsidRDefault="002A44E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67A8D6D6" w14:textId="10BB03FE" w:rsidR="002A44E3" w:rsidRPr="009118AB" w:rsidRDefault="002A44E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spacing w:val="-5"/>
        </w:rPr>
      </w:pPr>
      <w:r w:rsidRPr="009118AB">
        <w:rPr>
          <w:i/>
          <w:iCs/>
          <w:spacing w:val="-5"/>
        </w:rPr>
        <w:t xml:space="preserve">[Früherer Artikel 542 eingefügt durch </w:t>
      </w:r>
      <w:r w:rsidR="00D67EB8" w:rsidRPr="009118AB">
        <w:rPr>
          <w:i/>
          <w:iCs/>
          <w:spacing w:val="-5"/>
        </w:rPr>
        <w:t>Art. </w:t>
      </w:r>
      <w:r w:rsidRPr="009118AB">
        <w:rPr>
          <w:i/>
          <w:iCs/>
          <w:spacing w:val="-5"/>
        </w:rPr>
        <w:t xml:space="preserve">14 des G. vom 18. Dezember 2015 (II) (B.S. vom 28. Dezember 2015), selbst widerrufen durch </w:t>
      </w:r>
      <w:r w:rsidR="00D67EB8" w:rsidRPr="009118AB">
        <w:rPr>
          <w:i/>
          <w:iCs/>
          <w:spacing w:val="-5"/>
        </w:rPr>
        <w:t>Art. </w:t>
      </w:r>
      <w:r w:rsidRPr="009118AB">
        <w:rPr>
          <w:i/>
          <w:iCs/>
          <w:spacing w:val="-5"/>
        </w:rPr>
        <w:t>9 des G. vom 30. Juli 2018</w:t>
      </w:r>
      <w:r w:rsidRPr="009118AB">
        <w:rPr>
          <w:rFonts w:hint="eastAsia"/>
          <w:i/>
          <w:iCs/>
          <w:spacing w:val="-5"/>
        </w:rPr>
        <w:t> </w:t>
      </w:r>
      <w:r w:rsidRPr="009118AB">
        <w:rPr>
          <w:i/>
          <w:iCs/>
          <w:spacing w:val="-5"/>
        </w:rPr>
        <w:t>(II) (B.S. vom 10. August 2018)]</w:t>
      </w:r>
    </w:p>
    <w:p w14:paraId="5346C202" w14:textId="77777777" w:rsidR="005D19EB" w:rsidRPr="009118AB" w:rsidRDefault="005D19EB"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5C8DA0A4" w14:textId="77777777" w:rsidR="0048006D" w:rsidRPr="009118AB" w:rsidRDefault="0048006D"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40588C38" w14:textId="3FB4EDA7" w:rsidR="0048006D" w:rsidRPr="009118AB" w:rsidRDefault="0048006D" w:rsidP="0048006D">
      <w:pPr>
        <w:jc w:val="both"/>
      </w:pPr>
      <w:r w:rsidRPr="009118AB">
        <w:rPr>
          <w:spacing w:val="-5"/>
        </w:rPr>
        <w:tab/>
        <w:t>[</w:t>
      </w:r>
      <w:r w:rsidR="00D67EB8" w:rsidRPr="009118AB">
        <w:rPr>
          <w:b/>
        </w:rPr>
        <w:t>Art. </w:t>
      </w:r>
      <w:r w:rsidRPr="009118AB">
        <w:rPr>
          <w:b/>
        </w:rPr>
        <w:t>543</w:t>
      </w:r>
      <w:r w:rsidR="00D67EB8" w:rsidRPr="009118AB">
        <w:t> - </w:t>
      </w:r>
      <w:r w:rsidRPr="009118AB">
        <w:t>Steuerpflichtige können die Anwendung des Abzugs für Einkünfte aus Patenten gemäß den Artikeln 205</w:t>
      </w:r>
      <w:r w:rsidRPr="009118AB">
        <w:rPr>
          <w:vertAlign w:val="superscript"/>
        </w:rPr>
        <w:t>1</w:t>
      </w:r>
      <w:r w:rsidRPr="009118AB">
        <w:t xml:space="preserve"> bis 205</w:t>
      </w:r>
      <w:r w:rsidRPr="009118AB">
        <w:rPr>
          <w:vertAlign w:val="superscript"/>
        </w:rPr>
        <w:t>4</w:t>
      </w:r>
      <w:r w:rsidRPr="009118AB">
        <w:t xml:space="preserve"> oder Artikel 236</w:t>
      </w:r>
      <w:r w:rsidRPr="009118AB">
        <w:rPr>
          <w:i/>
        </w:rPr>
        <w:t>bis</w:t>
      </w:r>
      <w:r w:rsidRPr="009118AB">
        <w:t>, so wie sie vor ihrer Aufhebung durch die Artikel 4 bis 8 des Gesetzes vom 3. August 2016 bestanden, für Einkünfte aus Patenten beantragen, die sie bis zum 30. Juni 2021 einschließlich erhalten und die aus den in Betracht kommenden Patenten hervorgehen, deren Anmeldungen vor dem 1. Juli 2016 eingereicht oder die im Falle von erworbenen Patenten oder Lizenzrechten vor dem 1. Juli 2016 erworben wurden</w:t>
      </w:r>
      <w:r w:rsidR="0068045B" w:rsidRPr="009118AB">
        <w:t xml:space="preserve"> [und für die der in den Artikeln 205/1 bis 205/4 erwähnte Abzug für Einkünfte aus Innovationen noch nicht angewandt wurde]</w:t>
      </w:r>
      <w:r w:rsidRPr="009118AB">
        <w:t>.</w:t>
      </w:r>
    </w:p>
    <w:p w14:paraId="2008159D" w14:textId="77777777" w:rsidR="0048006D" w:rsidRPr="009118AB" w:rsidRDefault="0048006D" w:rsidP="0048006D">
      <w:pPr>
        <w:jc w:val="both"/>
      </w:pPr>
    </w:p>
    <w:p w14:paraId="7131F6A2" w14:textId="77777777" w:rsidR="0048006D" w:rsidRPr="009118AB" w:rsidRDefault="0048006D" w:rsidP="00480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r w:rsidRPr="009118AB">
        <w:tab/>
        <w:t>Absatz 1 ist nicht anwendbar auf Patente, die ab dem 1. Januar 2016 direkt oder indirekt von einer verbundenen Gesellschaft erworben wurden und bei der übertragenden Gesellschaft nicht für den Abzug für Einkünfte aus Patenten oder eine ähnliche Regelung ausländischen Rechts berücksichtigt wurden.</w:t>
      </w:r>
      <w:r w:rsidRPr="009118AB">
        <w:rPr>
          <w:spacing w:val="-5"/>
        </w:rPr>
        <w:t>]</w:t>
      </w:r>
    </w:p>
    <w:p w14:paraId="24CF9373" w14:textId="77777777" w:rsidR="0048006D" w:rsidRPr="009118AB" w:rsidRDefault="0048006D"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4A585A26" w14:textId="2EB98719" w:rsidR="0048006D" w:rsidRPr="009118AB" w:rsidRDefault="0048006D"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r w:rsidRPr="009118AB">
        <w:rPr>
          <w:i/>
          <w:spacing w:val="-5"/>
        </w:rPr>
        <w:t>[</w:t>
      </w:r>
      <w:r w:rsidR="00D67EB8" w:rsidRPr="009118AB">
        <w:rPr>
          <w:i/>
          <w:spacing w:val="-5"/>
        </w:rPr>
        <w:t>Art. </w:t>
      </w:r>
      <w:r w:rsidRPr="009118AB">
        <w:rPr>
          <w:i/>
          <w:spacing w:val="-5"/>
        </w:rPr>
        <w:t>543 eingefügt</w:t>
      </w:r>
      <w:r w:rsidRPr="009118AB">
        <w:rPr>
          <w:bCs/>
          <w:i/>
          <w:iCs/>
        </w:rPr>
        <w:t xml:space="preserve"> durch </w:t>
      </w:r>
      <w:r w:rsidR="00D67EB8" w:rsidRPr="009118AB">
        <w:rPr>
          <w:bCs/>
          <w:i/>
          <w:iCs/>
        </w:rPr>
        <w:t>Art. </w:t>
      </w:r>
      <w:r w:rsidRPr="009118AB">
        <w:rPr>
          <w:i/>
          <w:iCs/>
        </w:rPr>
        <w:t>10 des G. vom 3. </w:t>
      </w:r>
      <w:r w:rsidRPr="00AB4DE0">
        <w:rPr>
          <w:i/>
          <w:iCs/>
          <w:lang w:val="da-DK"/>
        </w:rPr>
        <w:t>August 2016</w:t>
      </w:r>
      <w:r w:rsidR="002C1851" w:rsidRPr="00AB4DE0">
        <w:rPr>
          <w:i/>
          <w:iCs/>
          <w:lang w:val="da-DK"/>
        </w:rPr>
        <w:t> (I)</w:t>
      </w:r>
      <w:r w:rsidRPr="00AB4DE0">
        <w:rPr>
          <w:i/>
          <w:iCs/>
          <w:lang w:val="da-DK"/>
        </w:rPr>
        <w:t xml:space="preserve"> (B.S. vom 28. </w:t>
      </w:r>
      <w:r w:rsidRPr="009118AB">
        <w:rPr>
          <w:i/>
          <w:iCs/>
        </w:rPr>
        <w:t>März 2017)</w:t>
      </w:r>
      <w:r w:rsidR="00D67EB8" w:rsidRPr="009118AB">
        <w:rPr>
          <w:i/>
          <w:iCs/>
        </w:rPr>
        <w:t> - </w:t>
      </w:r>
      <w:r w:rsidRPr="009118AB">
        <w:rPr>
          <w:i/>
          <w:iCs/>
        </w:rPr>
        <w:t xml:space="preserve">in </w:t>
      </w:r>
      <w:r w:rsidRPr="009118AB">
        <w:rPr>
          <w:i/>
          <w:iCs/>
          <w:spacing w:val="-5"/>
        </w:rPr>
        <w:t>Kraft am 1. Juli 2016</w:t>
      </w:r>
      <w:r w:rsidR="003366D9" w:rsidRPr="009118AB">
        <w:rPr>
          <w:i/>
          <w:iCs/>
          <w:spacing w:val="-5"/>
        </w:rPr>
        <w:t> -;</w:t>
      </w:r>
      <w:r w:rsidR="0068045B" w:rsidRPr="009118AB">
        <w:rPr>
          <w:i/>
          <w:iCs/>
          <w:spacing w:val="-5"/>
        </w:rPr>
        <w:t xml:space="preserve"> </w:t>
      </w:r>
      <w:r w:rsidR="00D67EB8" w:rsidRPr="009118AB">
        <w:rPr>
          <w:i/>
          <w:iCs/>
          <w:spacing w:val="-5"/>
        </w:rPr>
        <w:t>Abs. </w:t>
      </w:r>
      <w:r w:rsidR="0068045B" w:rsidRPr="009118AB">
        <w:rPr>
          <w:i/>
          <w:iCs/>
          <w:spacing w:val="-5"/>
        </w:rPr>
        <w:t xml:space="preserve">1 ergänzt durch </w:t>
      </w:r>
      <w:r w:rsidR="00D67EB8" w:rsidRPr="009118AB">
        <w:rPr>
          <w:i/>
          <w:iCs/>
          <w:spacing w:val="-5"/>
        </w:rPr>
        <w:t>Art. </w:t>
      </w:r>
      <w:r w:rsidR="0068045B" w:rsidRPr="009118AB">
        <w:rPr>
          <w:i/>
          <w:iCs/>
          <w:spacing w:val="-5"/>
        </w:rPr>
        <w:t>8 des G. vom 17. Dezember 2017 (B.S. vom 22. Dezember 2017)</w:t>
      </w:r>
      <w:r w:rsidRPr="009118AB">
        <w:rPr>
          <w:i/>
          <w:iCs/>
          <w:spacing w:val="-5"/>
        </w:rPr>
        <w:t>]</w:t>
      </w:r>
    </w:p>
    <w:p w14:paraId="097A84D3" w14:textId="3C4647C7" w:rsidR="00A96E33" w:rsidRPr="009118AB" w:rsidRDefault="00A96E33"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6F3C7A50" w14:textId="7E2D4F7C" w:rsidR="00A96E33" w:rsidRPr="009118AB" w:rsidRDefault="00A96E33"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51043D5B" w14:textId="095DFC2D" w:rsidR="00A96E33" w:rsidRPr="009118AB" w:rsidRDefault="00A96E33" w:rsidP="00A96E33">
      <w:pPr>
        <w:ind w:firstLine="708"/>
        <w:jc w:val="both"/>
      </w:pPr>
      <w:r w:rsidRPr="009118AB">
        <w:rPr>
          <w:iCs/>
          <w:spacing w:val="-5"/>
        </w:rPr>
        <w:tab/>
        <w:t>[</w:t>
      </w:r>
      <w:r w:rsidR="00D67EB8" w:rsidRPr="009118AB">
        <w:rPr>
          <w:b/>
        </w:rPr>
        <w:t>Art. </w:t>
      </w:r>
      <w:r w:rsidRPr="009118AB">
        <w:rPr>
          <w:b/>
        </w:rPr>
        <w:t>544</w:t>
      </w:r>
      <w:r w:rsidRPr="009118AB">
        <w:t> ­ </w:t>
      </w:r>
      <w:r w:rsidR="00D67EB8" w:rsidRPr="009118AB">
        <w:t>§ </w:t>
      </w:r>
      <w:r w:rsidRPr="009118AB">
        <w:t>1</w:t>
      </w:r>
      <w:r w:rsidR="00D67EB8" w:rsidRPr="009118AB">
        <w:t> - </w:t>
      </w:r>
      <w:r w:rsidRPr="009118AB">
        <w:t xml:space="preserve">Für die Anwendung von Artikel 59 </w:t>
      </w:r>
      <w:r w:rsidR="00D67EB8" w:rsidRPr="009118AB">
        <w:t>§ </w:t>
      </w:r>
      <w:r w:rsidRPr="009118AB">
        <w:t xml:space="preserve">1 Absatz 1 </w:t>
      </w:r>
      <w:r w:rsidR="00D67EB8" w:rsidRPr="009118AB">
        <w:t>Nr. </w:t>
      </w:r>
      <w:r w:rsidRPr="009118AB">
        <w:t>1 und der Bestimmungen von Titel II Kapitel 3 Abschnitt 1 Unterabschnitt 2</w:t>
      </w:r>
      <w:r w:rsidRPr="009118AB">
        <w:rPr>
          <w:i/>
          <w:iCs/>
        </w:rPr>
        <w:t>bis</w:t>
      </w:r>
      <w:r w:rsidRPr="009118AB">
        <w:t xml:space="preserve"> wird das Vereinigte Königreich Großbritannien und Nordirland für Verträge, die spätestens am 31. Dezember 2020 geschlossen werden, mit einem Mitgliedstaat der Europäischen Union gleichgesetzt.</w:t>
      </w:r>
    </w:p>
    <w:p w14:paraId="2AB2A0A7" w14:textId="77777777" w:rsidR="00A96E33" w:rsidRPr="009118AB" w:rsidRDefault="00A96E33" w:rsidP="00A96E33">
      <w:pPr>
        <w:jc w:val="both"/>
      </w:pPr>
    </w:p>
    <w:p w14:paraId="21CA0348" w14:textId="167D31F5" w:rsidR="00A96E33" w:rsidRPr="009118AB" w:rsidRDefault="00D67EB8" w:rsidP="00A96E33">
      <w:pPr>
        <w:ind w:firstLine="708"/>
        <w:jc w:val="both"/>
      </w:pPr>
      <w:r w:rsidRPr="009118AB">
        <w:t>§ </w:t>
      </w:r>
      <w:r w:rsidR="00A96E33" w:rsidRPr="009118AB">
        <w:t>2</w:t>
      </w:r>
      <w:r w:rsidRPr="009118AB">
        <w:t> - </w:t>
      </w:r>
      <w:r w:rsidR="00A96E33" w:rsidRPr="009118AB">
        <w:t>Für die Anwendung von Artikel 275</w:t>
      </w:r>
      <w:r w:rsidR="00A96E33" w:rsidRPr="009118AB">
        <w:rPr>
          <w:vertAlign w:val="superscript"/>
        </w:rPr>
        <w:t>3</w:t>
      </w:r>
      <w:r w:rsidR="00A96E33" w:rsidRPr="009118AB">
        <w:t xml:space="preserve"> </w:t>
      </w:r>
      <w:r w:rsidRPr="009118AB">
        <w:t>§ </w:t>
      </w:r>
      <w:r w:rsidR="00A96E33" w:rsidRPr="009118AB">
        <w:t xml:space="preserve">1 Absatz 3 </w:t>
      </w:r>
      <w:r w:rsidRPr="009118AB">
        <w:t>Nr. </w:t>
      </w:r>
      <w:r w:rsidR="00A96E33" w:rsidRPr="009118AB">
        <w:t>1 wird das Vereinigte Königreich Großbritannien und Nordirland für Partnerschaftsabkommen, die spätestens am 31. Dezember 2020 geschlossen werden, bis zum ursprünglich vorgesehenen Ende dieser Abkommen mit einem Mitgliedstaat der Europäischen Union gleichgesetzt.</w:t>
      </w:r>
    </w:p>
    <w:p w14:paraId="5DECA81D" w14:textId="77777777" w:rsidR="00A96E33" w:rsidRPr="009118AB" w:rsidRDefault="00A96E33" w:rsidP="00A96E33">
      <w:pPr>
        <w:jc w:val="both"/>
      </w:pPr>
    </w:p>
    <w:p w14:paraId="5AFA3AE6" w14:textId="7583C426" w:rsidR="00A96E33" w:rsidRPr="009118AB" w:rsidRDefault="00D67EB8" w:rsidP="00A96E33">
      <w:pPr>
        <w:ind w:firstLine="708"/>
        <w:jc w:val="both"/>
      </w:pPr>
      <w:r w:rsidRPr="009118AB">
        <w:t>§ </w:t>
      </w:r>
      <w:r w:rsidR="00A96E33" w:rsidRPr="009118AB">
        <w:t>3</w:t>
      </w:r>
      <w:r w:rsidRPr="009118AB">
        <w:t> - </w:t>
      </w:r>
      <w:r w:rsidR="00A96E33" w:rsidRPr="009118AB">
        <w:t xml:space="preserve">Für die Anwendung von Artikel 192 </w:t>
      </w:r>
      <w:r w:rsidRPr="009118AB">
        <w:t>§ </w:t>
      </w:r>
      <w:r w:rsidR="00A96E33" w:rsidRPr="009118AB">
        <w:t>3 wird das Vereinigte Königreich Großbritannien und Nordirland für Mehrwerte, die bis zum 31. Dezember 2020 verwirklicht werden, mit einem Mitgliedstaat der Europäischen Union gleichgesetzt.</w:t>
      </w:r>
    </w:p>
    <w:p w14:paraId="4CB265A4" w14:textId="77777777" w:rsidR="00A96E33" w:rsidRPr="009118AB" w:rsidRDefault="00A96E33" w:rsidP="00A96E33">
      <w:pPr>
        <w:jc w:val="both"/>
      </w:pPr>
    </w:p>
    <w:p w14:paraId="2B4F5523" w14:textId="7B5C1B49" w:rsidR="00A96E33" w:rsidRPr="009118AB"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r w:rsidRPr="009118AB">
        <w:tab/>
      </w:r>
      <w:r w:rsidR="00D67EB8" w:rsidRPr="009118AB">
        <w:t>§ </w:t>
      </w:r>
      <w:r w:rsidRPr="009118AB">
        <w:t>4</w:t>
      </w:r>
      <w:r w:rsidR="00D67EB8" w:rsidRPr="009118AB">
        <w:t> - </w:t>
      </w:r>
      <w:r w:rsidRPr="009118AB">
        <w:t>Für die Anwendung der Artikel 184</w:t>
      </w:r>
      <w:r w:rsidRPr="009118AB">
        <w:rPr>
          <w:i/>
          <w:iCs/>
        </w:rPr>
        <w:t>bis</w:t>
      </w:r>
      <w:r w:rsidRPr="009118AB">
        <w:t xml:space="preserve"> §</w:t>
      </w:r>
      <w:r w:rsidR="00D67EB8" w:rsidRPr="009118AB">
        <w:t>§ </w:t>
      </w:r>
      <w:r w:rsidRPr="009118AB">
        <w:t>4 und 5, 184</w:t>
      </w:r>
      <w:r w:rsidRPr="009118AB">
        <w:rPr>
          <w:i/>
          <w:iCs/>
        </w:rPr>
        <w:t>ter</w:t>
      </w:r>
      <w:r w:rsidRPr="009118AB">
        <w:t xml:space="preserve"> </w:t>
      </w:r>
      <w:r w:rsidR="00D67EB8" w:rsidRPr="009118AB">
        <w:t>§ </w:t>
      </w:r>
      <w:r w:rsidRPr="009118AB">
        <w:t xml:space="preserve">2 Absatz 8, 211 </w:t>
      </w:r>
      <w:r w:rsidR="00D67EB8" w:rsidRPr="009118AB">
        <w:t>§ </w:t>
      </w:r>
      <w:r w:rsidRPr="009118AB">
        <w:t xml:space="preserve">1 Absatz 4 und 5 und </w:t>
      </w:r>
      <w:r w:rsidR="00D67EB8" w:rsidRPr="009118AB">
        <w:t>§ </w:t>
      </w:r>
      <w:r w:rsidRPr="009118AB">
        <w:t>2 Absatz 6, 214</w:t>
      </w:r>
      <w:r w:rsidRPr="009118AB">
        <w:rPr>
          <w:i/>
          <w:iCs/>
        </w:rPr>
        <w:t>bis</w:t>
      </w:r>
      <w:r w:rsidRPr="009118AB">
        <w:t xml:space="preserve"> einleitender Satz, 229 </w:t>
      </w:r>
      <w:r w:rsidR="00D67EB8" w:rsidRPr="009118AB">
        <w:t>§ </w:t>
      </w:r>
      <w:r w:rsidRPr="009118AB">
        <w:t xml:space="preserve">4 Absatz 3 bis 10 und 231 </w:t>
      </w:r>
      <w:r w:rsidR="00D67EB8" w:rsidRPr="009118AB">
        <w:t>§ </w:t>
      </w:r>
      <w:r w:rsidRPr="009118AB">
        <w:t xml:space="preserve">2 wird das Vereinigte Königreich Großbritannien und Nordirland für Vorgänge oder Verlegungen, die spätestens am 31. Dezember 2020 in den Anlagen zum </w:t>
      </w:r>
      <w:r w:rsidRPr="009118AB">
        <w:rPr>
          <w:i/>
          <w:iCs/>
        </w:rPr>
        <w:t>Belgischen Staatsblatt</w:t>
      </w:r>
      <w:r w:rsidRPr="009118AB">
        <w:t xml:space="preserve"> veröffentlicht werden, mit einem Mitgliedstaat der Europäischen Union gleichgesetzt.</w:t>
      </w:r>
      <w:r w:rsidRPr="009118AB">
        <w:rPr>
          <w:iCs/>
          <w:spacing w:val="-5"/>
        </w:rPr>
        <w:t>]</w:t>
      </w:r>
    </w:p>
    <w:p w14:paraId="7D686697" w14:textId="2934A1F2" w:rsidR="00A96E33" w:rsidRPr="009118AB"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63359AC0" w14:textId="49AB6F59" w:rsidR="00A96E33" w:rsidRPr="009118AB"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r w:rsidRPr="009118AB">
        <w:rPr>
          <w:i/>
          <w:iCs/>
          <w:spacing w:val="-5"/>
        </w:rPr>
        <w:t>[</w:t>
      </w:r>
      <w:r w:rsidR="00D67EB8" w:rsidRPr="009118AB">
        <w:rPr>
          <w:i/>
          <w:iCs/>
          <w:spacing w:val="-5"/>
        </w:rPr>
        <w:t>Art. </w:t>
      </w:r>
      <w:r w:rsidRPr="009118AB">
        <w:rPr>
          <w:i/>
          <w:iCs/>
          <w:spacing w:val="-5"/>
        </w:rPr>
        <w:t xml:space="preserve">544 eingefügt durch </w:t>
      </w:r>
      <w:r w:rsidR="00D67EB8" w:rsidRPr="009118AB">
        <w:rPr>
          <w:i/>
          <w:iCs/>
          <w:spacing w:val="-5"/>
        </w:rPr>
        <w:t>Art. </w:t>
      </w:r>
      <w:r w:rsidRPr="009118AB">
        <w:rPr>
          <w:i/>
          <w:iCs/>
          <w:spacing w:val="-5"/>
        </w:rPr>
        <w:t>2 des G. vom 21. Februar 2020 (B.S. vom 12. März 2020)</w:t>
      </w:r>
      <w:r w:rsidR="00D67EB8" w:rsidRPr="009118AB">
        <w:t> - </w:t>
      </w:r>
      <w:r w:rsidR="00903313" w:rsidRPr="009118AB">
        <w:rPr>
          <w:i/>
          <w:iCs/>
          <w:spacing w:val="-5"/>
        </w:rPr>
        <w:t>in Kraft am 1.</w:t>
      </w:r>
      <w:r w:rsidR="000A105A">
        <w:rPr>
          <w:i/>
          <w:iCs/>
          <w:spacing w:val="-5"/>
        </w:rPr>
        <w:t> </w:t>
      </w:r>
      <w:r w:rsidR="00903313" w:rsidRPr="009118AB">
        <w:rPr>
          <w:i/>
          <w:iCs/>
          <w:spacing w:val="-5"/>
        </w:rPr>
        <w:t>Januar 2021</w:t>
      </w:r>
      <w:r w:rsidR="00FD68E8" w:rsidRPr="009118AB">
        <w:rPr>
          <w:i/>
          <w:iCs/>
          <w:spacing w:val="-5"/>
        </w:rPr>
        <w:t> -]</w:t>
      </w:r>
    </w:p>
    <w:p w14:paraId="4400A240" w14:textId="675D538E" w:rsidR="00A96E33"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0E2798F9" w14:textId="77777777" w:rsidR="000A105A" w:rsidRDefault="000A105A"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2A2A4557" w14:textId="6863B314" w:rsidR="000A105A" w:rsidRDefault="000A105A"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Pr>
          <w:iCs/>
          <w:spacing w:val="-5"/>
        </w:rPr>
        <w:tab/>
        <w:t>[</w:t>
      </w:r>
      <w:r w:rsidRPr="000A105A">
        <w:rPr>
          <w:b/>
          <w:bCs/>
        </w:rPr>
        <w:t>Art. 545</w:t>
      </w:r>
      <w:r w:rsidRPr="00C0230C">
        <w:t> ­ Für die Anwendung der Artikel 171 Nr. 3</w:t>
      </w:r>
      <w:r w:rsidRPr="00C0230C">
        <w:rPr>
          <w:i/>
          <w:iCs/>
        </w:rPr>
        <w:t>quater</w:t>
      </w:r>
      <w:r w:rsidRPr="00C0230C">
        <w:t xml:space="preserve"> und 269 § 1 Nr. 3 gelten in Bezug auf Einkünfte, die bis zum 31. Dezember 2025 gezahlt oder zuerkannt werden, im Vereinigten Königreich Großbritannien und Nordirland gelegene unbewegliche Güter, die sich bereits am 31. Dezember 2020 direkt oder indirekt im Besitz der ausschüttenden Gesellschaft befanden und die sich seitdem ununterbrochen bis zum Tag der Zahlung oder Zuerkennung der Einkünfte in ihrem Besitz befunden haben, als unbewegliche Güter, die in einem Mitgliedstaat des Europäischen Wirtschaftsraums gelegen sind.</w:t>
      </w:r>
      <w:r>
        <w:t>]</w:t>
      </w:r>
    </w:p>
    <w:p w14:paraId="6E4DFA3A" w14:textId="77777777" w:rsidR="000A105A" w:rsidRDefault="000A105A"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661FC75" w14:textId="77777777" w:rsidR="000A105A" w:rsidRPr="009118AB" w:rsidRDefault="000A105A" w:rsidP="000A1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r w:rsidRPr="009118AB">
        <w:rPr>
          <w:i/>
          <w:iCs/>
          <w:spacing w:val="-5"/>
        </w:rPr>
        <w:t>[Art. 54</w:t>
      </w:r>
      <w:r>
        <w:rPr>
          <w:i/>
          <w:iCs/>
          <w:spacing w:val="-5"/>
        </w:rPr>
        <w:t>5</w:t>
      </w:r>
      <w:r w:rsidRPr="009118AB">
        <w:rPr>
          <w:i/>
          <w:iCs/>
          <w:spacing w:val="-5"/>
        </w:rPr>
        <w:t xml:space="preserve"> eingefügt durch Art. </w:t>
      </w:r>
      <w:r>
        <w:rPr>
          <w:i/>
          <w:iCs/>
          <w:spacing w:val="-5"/>
        </w:rPr>
        <w:t>3</w:t>
      </w:r>
      <w:r w:rsidRPr="009118AB">
        <w:rPr>
          <w:i/>
          <w:iCs/>
          <w:spacing w:val="-5"/>
        </w:rPr>
        <w:t xml:space="preserve"> des G. vom 21. Februar 2020 (B.S. vom 12. März 2020)</w:t>
      </w:r>
      <w:r w:rsidRPr="009118AB">
        <w:t> - </w:t>
      </w:r>
      <w:r w:rsidRPr="009118AB">
        <w:rPr>
          <w:i/>
          <w:iCs/>
          <w:spacing w:val="-5"/>
        </w:rPr>
        <w:t>in Kraft am 1.</w:t>
      </w:r>
      <w:r>
        <w:rPr>
          <w:i/>
          <w:iCs/>
          <w:spacing w:val="-5"/>
        </w:rPr>
        <w:t> </w:t>
      </w:r>
      <w:r w:rsidRPr="009118AB">
        <w:rPr>
          <w:i/>
          <w:iCs/>
          <w:spacing w:val="-5"/>
        </w:rPr>
        <w:t>Januar 2021 -]</w:t>
      </w:r>
    </w:p>
    <w:p w14:paraId="5DC79DA4" w14:textId="77777777" w:rsidR="000A105A" w:rsidRPr="009118AB" w:rsidRDefault="000A105A"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025B546B" w14:textId="04C23A95" w:rsidR="00A96E33" w:rsidRPr="009118AB"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329F464E" w14:textId="05F259F5" w:rsidR="006203C9" w:rsidRPr="009118AB" w:rsidRDefault="00A96E33"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r w:rsidRPr="009118AB">
        <w:rPr>
          <w:iCs/>
          <w:spacing w:val="-5"/>
        </w:rPr>
        <w:tab/>
        <w:t>[</w:t>
      </w:r>
      <w:r w:rsidR="00D67EB8" w:rsidRPr="009118AB">
        <w:rPr>
          <w:b/>
        </w:rPr>
        <w:t>Art. </w:t>
      </w:r>
      <w:r w:rsidRPr="009118AB">
        <w:rPr>
          <w:b/>
        </w:rPr>
        <w:t>54</w:t>
      </w:r>
      <w:r w:rsidR="000A105A">
        <w:rPr>
          <w:b/>
        </w:rPr>
        <w:t>6</w:t>
      </w:r>
      <w:r w:rsidRPr="009118AB">
        <w:t xml:space="preserve"> ­ </w:t>
      </w:r>
      <w:r w:rsidR="006203C9" w:rsidRPr="009118AB">
        <w:rPr>
          <w:iCs/>
          <w:szCs w:val="32"/>
        </w:rPr>
        <w:t xml:space="preserve">Artikel 132 Absatz 1 </w:t>
      </w:r>
      <w:r w:rsidR="00D67EB8" w:rsidRPr="009118AB">
        <w:rPr>
          <w:iCs/>
          <w:szCs w:val="32"/>
        </w:rPr>
        <w:t>Nr. </w:t>
      </w:r>
      <w:r w:rsidR="006203C9" w:rsidRPr="009118AB">
        <w:rPr>
          <w:iCs/>
          <w:szCs w:val="32"/>
        </w:rPr>
        <w:t xml:space="preserve">7 und Absatz 2, so wie sie vor ihrer Abänderung durch das Gesetz vom 20. Dezember 2020 bestanden, bleiben für die Steuerjahre 2022 bis 2025 für die Person anwendbar, die für das Steuerjahr 2021 in Anwendung des vorerwähnten Artikels 132 Absatz 1 </w:t>
      </w:r>
      <w:r w:rsidR="00D67EB8" w:rsidRPr="009118AB">
        <w:rPr>
          <w:iCs/>
          <w:szCs w:val="32"/>
        </w:rPr>
        <w:t>Nr. </w:t>
      </w:r>
      <w:r w:rsidR="006203C9" w:rsidRPr="009118AB">
        <w:rPr>
          <w:iCs/>
          <w:szCs w:val="32"/>
        </w:rPr>
        <w:t>7 zu Lasten des Steuerpflichtigen war.</w:t>
      </w:r>
    </w:p>
    <w:p w14:paraId="2358E585" w14:textId="77777777" w:rsidR="006203C9" w:rsidRPr="009118AB" w:rsidRDefault="006203C9"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p>
    <w:p w14:paraId="022CE243" w14:textId="43D93BE0" w:rsidR="006203C9" w:rsidRPr="009118AB" w:rsidRDefault="00B52060"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r w:rsidRPr="009118AB">
        <w:rPr>
          <w:iCs/>
          <w:szCs w:val="32"/>
        </w:rPr>
        <w:tab/>
      </w:r>
      <w:r w:rsidR="006203C9" w:rsidRPr="009118AB">
        <w:rPr>
          <w:iCs/>
          <w:szCs w:val="32"/>
        </w:rPr>
        <w:t xml:space="preserve">Vorliegender Artikel ist nicht anwendbar, wenn der Zuschlag auf den Steuerfreibetrag, der für die erwähnte Person gewährt werden kann, niedriger ist als der Zuschlag auf den Steuerfreibetrag, der in Anwendung von Artikel 132 Absatz 1 </w:t>
      </w:r>
      <w:r w:rsidR="00D67EB8" w:rsidRPr="009118AB">
        <w:rPr>
          <w:iCs/>
          <w:szCs w:val="32"/>
        </w:rPr>
        <w:t>Nr. </w:t>
      </w:r>
      <w:r w:rsidR="006203C9" w:rsidRPr="009118AB">
        <w:rPr>
          <w:iCs/>
          <w:szCs w:val="32"/>
        </w:rPr>
        <w:t>7 und Absatz 2, so wie sie durch das Gesetz vom 20. Dezember 2020 abgeändert worden sind, gewährt werden kann.]</w:t>
      </w:r>
    </w:p>
    <w:p w14:paraId="4113E6E1" w14:textId="338D2978" w:rsidR="006203C9" w:rsidRPr="009118AB" w:rsidRDefault="006203C9"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p>
    <w:p w14:paraId="497CB15E" w14:textId="7FDAE97F" w:rsidR="006203C9" w:rsidRPr="009118AB" w:rsidRDefault="006203C9"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r w:rsidRPr="009118AB">
        <w:rPr>
          <w:i/>
          <w:iCs/>
          <w:szCs w:val="32"/>
        </w:rPr>
        <w:t>[</w:t>
      </w:r>
      <w:r w:rsidR="00D67EB8" w:rsidRPr="009118AB">
        <w:rPr>
          <w:i/>
          <w:iCs/>
          <w:szCs w:val="32"/>
        </w:rPr>
        <w:t>Art. </w:t>
      </w:r>
      <w:r w:rsidRPr="009118AB">
        <w:rPr>
          <w:i/>
          <w:iCs/>
          <w:szCs w:val="32"/>
        </w:rPr>
        <w:t xml:space="preserve">546 eingefügt durch </w:t>
      </w:r>
      <w:r w:rsidR="00D67EB8" w:rsidRPr="009118AB">
        <w:rPr>
          <w:i/>
          <w:iCs/>
          <w:szCs w:val="32"/>
        </w:rPr>
        <w:t>Art. </w:t>
      </w:r>
      <w:r w:rsidRPr="009118AB">
        <w:rPr>
          <w:i/>
          <w:iCs/>
          <w:szCs w:val="32"/>
        </w:rPr>
        <w:t>11</w:t>
      </w:r>
      <w:r w:rsidRPr="009118AB">
        <w:rPr>
          <w:i/>
          <w:iCs/>
          <w:sz w:val="32"/>
          <w:szCs w:val="32"/>
        </w:rPr>
        <w:t xml:space="preserve"> </w:t>
      </w:r>
      <w:r w:rsidRPr="009118AB">
        <w:rPr>
          <w:i/>
          <w:iCs/>
          <w:szCs w:val="32"/>
        </w:rPr>
        <w:t>des G. vom 20. Dezember 2020</w:t>
      </w:r>
      <w:r w:rsidR="00B43C02" w:rsidRPr="009118AB">
        <w:rPr>
          <w:i/>
          <w:iCs/>
          <w:szCs w:val="32"/>
        </w:rPr>
        <w:t> (I)</w:t>
      </w:r>
      <w:r w:rsidRPr="009118AB">
        <w:rPr>
          <w:i/>
          <w:iCs/>
          <w:szCs w:val="32"/>
        </w:rPr>
        <w:t xml:space="preserve"> (B.S. vom 30. Dezember 2020)</w:t>
      </w:r>
      <w:r w:rsidR="00D67EB8" w:rsidRPr="009118AB">
        <w:rPr>
          <w:i/>
          <w:iCs/>
          <w:szCs w:val="32"/>
        </w:rPr>
        <w:t> - </w:t>
      </w:r>
      <w:r w:rsidRPr="009118AB">
        <w:rPr>
          <w:i/>
          <w:iCs/>
          <w:szCs w:val="32"/>
        </w:rPr>
        <w:t>anwendbar ab dem Steuerjahr 2022</w:t>
      </w:r>
      <w:r w:rsidR="00FD68E8" w:rsidRPr="009118AB">
        <w:rPr>
          <w:i/>
          <w:iCs/>
          <w:szCs w:val="32"/>
        </w:rPr>
        <w:t> -]</w:t>
      </w:r>
    </w:p>
    <w:p w14:paraId="30687CA8" w14:textId="33830F6D" w:rsidR="001E1FC2" w:rsidRPr="009118AB" w:rsidRDefault="001E1FC2"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p>
    <w:p w14:paraId="45F38CA2" w14:textId="2B66F9FF" w:rsidR="001E1FC2" w:rsidRPr="009118AB" w:rsidRDefault="001E1FC2"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rPr>
      </w:pPr>
    </w:p>
    <w:p w14:paraId="289168A1" w14:textId="7A9CA004" w:rsidR="001E1FC2" w:rsidRPr="009118AB"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Cs/>
          <w:szCs w:val="32"/>
        </w:rPr>
      </w:pPr>
      <w:r w:rsidRPr="009118AB">
        <w:rPr>
          <w:iCs/>
          <w:szCs w:val="32"/>
        </w:rPr>
        <w:t>(...)</w:t>
      </w:r>
    </w:p>
    <w:p w14:paraId="65B3AECA" w14:textId="3945669B" w:rsidR="001E1FC2" w:rsidRPr="009118AB"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Cs/>
          <w:szCs w:val="32"/>
        </w:rPr>
      </w:pPr>
    </w:p>
    <w:p w14:paraId="367E1F60" w14:textId="1F868244" w:rsidR="001E1FC2" w:rsidRPr="009118AB"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Cs/>
          <w:szCs w:val="32"/>
        </w:rPr>
      </w:pPr>
    </w:p>
    <w:p w14:paraId="12A3F0F9" w14:textId="2E4174E2" w:rsidR="001E1FC2" w:rsidRPr="009118AB" w:rsidRDefault="00583371" w:rsidP="00583371">
      <w:pPr>
        <w:ind w:firstLine="709"/>
        <w:jc w:val="both"/>
      </w:pPr>
      <w:r>
        <w:rPr>
          <w:iCs/>
          <w:szCs w:val="32"/>
        </w:rPr>
        <w:t>[</w:t>
      </w:r>
      <w:r w:rsidR="00D67EB8" w:rsidRPr="009118AB">
        <w:rPr>
          <w:b/>
          <w:bCs/>
        </w:rPr>
        <w:t>Art. </w:t>
      </w:r>
      <w:r w:rsidR="001E1FC2" w:rsidRPr="009118AB">
        <w:rPr>
          <w:b/>
          <w:bCs/>
        </w:rPr>
        <w:t>548</w:t>
      </w:r>
      <w:r w:rsidR="001E1FC2" w:rsidRPr="009118AB">
        <w:t> ­ Ungeachtet des Artikels 198</w:t>
      </w:r>
      <w:r w:rsidR="001E1FC2" w:rsidRPr="009118AB">
        <w:rPr>
          <w:i/>
          <w:iCs/>
        </w:rPr>
        <w:t>quater</w:t>
      </w:r>
      <w:r w:rsidR="001E1FC2" w:rsidRPr="009118AB">
        <w:t xml:space="preserve"> bleiben die Bestimmungen von Artikel 67 auf Gewinne anwendbar, die vorher in Anwendung von Artikel 67 §</w:t>
      </w:r>
      <w:r w:rsidR="00D67EB8" w:rsidRPr="009118AB">
        <w:t>§ </w:t>
      </w:r>
      <w:r w:rsidR="001E1FC2" w:rsidRPr="009118AB">
        <w:t>1 und 2 vor dem Steuerjahr 2021, das sich auf einen Besteuerungszeitraum bezieht, der frühestens am 1. Januar 2020 begonnen hat, steuerfrei waren.]</w:t>
      </w:r>
    </w:p>
    <w:p w14:paraId="2EF48117" w14:textId="75091735" w:rsidR="001E1FC2" w:rsidRPr="009118AB" w:rsidRDefault="001E1FC2" w:rsidP="001E1FC2">
      <w:pPr>
        <w:jc w:val="both"/>
      </w:pPr>
    </w:p>
    <w:p w14:paraId="78CC53DF" w14:textId="50821A99" w:rsidR="001E1FC2" w:rsidRPr="009118AB" w:rsidRDefault="001E1FC2" w:rsidP="001E1FC2">
      <w:pPr>
        <w:jc w:val="both"/>
        <w:rPr>
          <w:bCs/>
          <w:i/>
          <w:iCs/>
        </w:rPr>
      </w:pPr>
      <w:r w:rsidRPr="009118AB">
        <w:rPr>
          <w:i/>
          <w:iCs/>
        </w:rPr>
        <w:t>[</w:t>
      </w:r>
      <w:r w:rsidR="00D67EB8" w:rsidRPr="009118AB">
        <w:rPr>
          <w:i/>
          <w:iCs/>
        </w:rPr>
        <w:t>Art. </w:t>
      </w:r>
      <w:r w:rsidRPr="009118AB">
        <w:rPr>
          <w:i/>
          <w:iCs/>
        </w:rPr>
        <w:t xml:space="preserve">548 eingefügt durch </w:t>
      </w:r>
      <w:r w:rsidR="00D67EB8" w:rsidRPr="009118AB">
        <w:rPr>
          <w:i/>
          <w:iCs/>
        </w:rPr>
        <w:t>Art. </w:t>
      </w:r>
      <w:r w:rsidRPr="009118AB">
        <w:rPr>
          <w:i/>
          <w:iCs/>
        </w:rPr>
        <w:t>93</w:t>
      </w:r>
      <w:r w:rsidRPr="009118AB">
        <w:rPr>
          <w:bCs/>
          <w:i/>
          <w:iCs/>
        </w:rPr>
        <w:t xml:space="preserve"> des G. vom 27. Juni 2021 (B.S. vom 30. Juni 2021)]</w:t>
      </w:r>
    </w:p>
    <w:p w14:paraId="5113A4C7" w14:textId="79A53E7B" w:rsidR="001E1FC2" w:rsidRPr="009118AB" w:rsidRDefault="001E1FC2" w:rsidP="001E1FC2">
      <w:pPr>
        <w:jc w:val="both"/>
        <w:rPr>
          <w:bCs/>
          <w:i/>
          <w:iCs/>
        </w:rPr>
      </w:pPr>
    </w:p>
    <w:p w14:paraId="535AECDE" w14:textId="77777777" w:rsidR="001E1FC2" w:rsidRPr="009118AB" w:rsidRDefault="001E1FC2" w:rsidP="001E1FC2">
      <w:pPr>
        <w:jc w:val="both"/>
        <w:rPr>
          <w:i/>
          <w:iCs/>
        </w:rPr>
      </w:pPr>
    </w:p>
    <w:p w14:paraId="06401CC2" w14:textId="5A58B48E" w:rsidR="001E1FC2" w:rsidRPr="009118AB"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r w:rsidRPr="009118AB">
        <w:tab/>
        <w:t>[</w:t>
      </w:r>
      <w:r w:rsidR="00D67EB8" w:rsidRPr="009118AB">
        <w:rPr>
          <w:b/>
          <w:bCs/>
        </w:rPr>
        <w:t>Art. </w:t>
      </w:r>
      <w:r w:rsidRPr="009118AB">
        <w:rPr>
          <w:b/>
          <w:bCs/>
        </w:rPr>
        <w:t>549</w:t>
      </w:r>
      <w:r w:rsidRPr="009118AB">
        <w:t> ­ Ungeachtet des Artikels 198</w:t>
      </w:r>
      <w:r w:rsidRPr="009118AB">
        <w:rPr>
          <w:i/>
          <w:iCs/>
        </w:rPr>
        <w:t>quater</w:t>
      </w:r>
      <w:r w:rsidRPr="009118AB">
        <w:t xml:space="preserve"> bleiben die Bestimmungen von Artikel 67</w:t>
      </w:r>
      <w:r w:rsidRPr="009118AB">
        <w:rPr>
          <w:i/>
          <w:iCs/>
        </w:rPr>
        <w:t>ter</w:t>
      </w:r>
      <w:r w:rsidRPr="009118AB">
        <w:t xml:space="preserve"> auf Gewinne anwendbar, die vorher in Anwendung von Artikel 67</w:t>
      </w:r>
      <w:r w:rsidRPr="009118AB">
        <w:rPr>
          <w:i/>
          <w:iCs/>
        </w:rPr>
        <w:t>ter</w:t>
      </w:r>
      <w:r w:rsidRPr="009118AB">
        <w:t xml:space="preserve"> §</w:t>
      </w:r>
      <w:r w:rsidR="00D67EB8" w:rsidRPr="009118AB">
        <w:t>§ </w:t>
      </w:r>
      <w:r w:rsidRPr="009118AB">
        <w:t>1 und 2 vor dem Steuerjahr 2021, das sich auf einen Besteuerungszeitraum bezieht, der frühestens am 1. Januar 2020 begonnen hat, steuerfrei waren.</w:t>
      </w:r>
      <w:r w:rsidRPr="009118AB">
        <w:rPr>
          <w:iCs/>
          <w:szCs w:val="32"/>
        </w:rPr>
        <w:t>]</w:t>
      </w:r>
    </w:p>
    <w:p w14:paraId="32375A75" w14:textId="10961A31" w:rsidR="001E1FC2" w:rsidRPr="009118AB"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p>
    <w:p w14:paraId="27CBC171" w14:textId="45BD1C0B" w:rsidR="001E1FC2" w:rsidRPr="009118AB" w:rsidRDefault="001E1FC2" w:rsidP="001E1FC2">
      <w:pPr>
        <w:jc w:val="both"/>
        <w:rPr>
          <w:bCs/>
          <w:i/>
          <w:iCs/>
        </w:rPr>
      </w:pPr>
      <w:r w:rsidRPr="009118AB">
        <w:rPr>
          <w:i/>
          <w:iCs/>
        </w:rPr>
        <w:t>[</w:t>
      </w:r>
      <w:r w:rsidR="00D67EB8" w:rsidRPr="009118AB">
        <w:rPr>
          <w:i/>
          <w:iCs/>
        </w:rPr>
        <w:t>Art. </w:t>
      </w:r>
      <w:r w:rsidRPr="009118AB">
        <w:rPr>
          <w:i/>
          <w:iCs/>
        </w:rPr>
        <w:t xml:space="preserve">549 eingefügt durch </w:t>
      </w:r>
      <w:r w:rsidR="00D67EB8" w:rsidRPr="009118AB">
        <w:rPr>
          <w:i/>
          <w:iCs/>
        </w:rPr>
        <w:t>Art. </w:t>
      </w:r>
      <w:r w:rsidRPr="009118AB">
        <w:rPr>
          <w:i/>
          <w:iCs/>
        </w:rPr>
        <w:t>94</w:t>
      </w:r>
      <w:r w:rsidRPr="009118AB">
        <w:rPr>
          <w:bCs/>
          <w:i/>
          <w:iCs/>
        </w:rPr>
        <w:t xml:space="preserve"> des G. vom 27. Juni 2021 (B.S. vom 30. Juni 2021)]</w:t>
      </w:r>
    </w:p>
    <w:p w14:paraId="69777B8D" w14:textId="77777777" w:rsidR="001E1FC2" w:rsidRPr="009118AB"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szCs w:val="32"/>
        </w:rPr>
      </w:pPr>
    </w:p>
    <w:p w14:paraId="586A65F9" w14:textId="27472A3D" w:rsidR="00A96E33" w:rsidRPr="009118AB"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5EC9C691" w14:textId="23ED76D9" w:rsidR="002C4BFD" w:rsidRPr="009118AB" w:rsidRDefault="002C4BFD" w:rsidP="002C4BFD">
      <w:pPr>
        <w:autoSpaceDE w:val="0"/>
        <w:autoSpaceDN w:val="0"/>
        <w:adjustRightInd w:val="0"/>
        <w:jc w:val="both"/>
        <w:rPr>
          <w:sz w:val="20"/>
          <w:szCs w:val="20"/>
        </w:rPr>
      </w:pPr>
      <w:r w:rsidRPr="009118AB">
        <w:rPr>
          <w:sz w:val="20"/>
          <w:szCs w:val="20"/>
        </w:rPr>
        <w:t xml:space="preserve">Ab dem 1. Januar 2026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5 des G. vom 25. November 2021 (B.S. vom 3. Dezember 2021)) wird ein Artikel 550 mit folgendem Wortlaut eingefügt:</w:t>
      </w:r>
    </w:p>
    <w:p w14:paraId="7DD39D43" w14:textId="77777777" w:rsidR="002C4BFD" w:rsidRPr="009118AB" w:rsidRDefault="002C4BFD" w:rsidP="002C4BFD">
      <w:pPr>
        <w:autoSpaceDE w:val="0"/>
        <w:autoSpaceDN w:val="0"/>
        <w:adjustRightInd w:val="0"/>
        <w:jc w:val="both"/>
        <w:rPr>
          <w:sz w:val="20"/>
          <w:szCs w:val="20"/>
        </w:rPr>
      </w:pPr>
    </w:p>
    <w:p w14:paraId="72C0CA98" w14:textId="5ED1EE4D"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w:t>
      </w:r>
      <w:r w:rsidR="0023017E" w:rsidRPr="009118AB">
        <w:rPr>
          <w:sz w:val="20"/>
          <w:szCs w:val="20"/>
        </w:rPr>
        <w:t>[</w:t>
      </w:r>
      <w:r w:rsidR="00D67EB8" w:rsidRPr="009118AB">
        <w:rPr>
          <w:sz w:val="20"/>
          <w:szCs w:val="20"/>
        </w:rPr>
        <w:t>Art. </w:t>
      </w:r>
      <w:r w:rsidRPr="009118AB">
        <w:rPr>
          <w:sz w:val="20"/>
          <w:szCs w:val="20"/>
        </w:rPr>
        <w:t>550</w:t>
      </w:r>
      <w:r w:rsidR="00D67EB8" w:rsidRPr="009118AB">
        <w:rPr>
          <w:sz w:val="20"/>
          <w:szCs w:val="20"/>
        </w:rPr>
        <w:t> - </w:t>
      </w:r>
      <w:r w:rsidRPr="009118AB">
        <w:rPr>
          <w:sz w:val="20"/>
          <w:szCs w:val="20"/>
        </w:rPr>
        <w:t xml:space="preserve">In Abweichung von Artikel 66 </w:t>
      </w:r>
      <w:r w:rsidR="00D67EB8" w:rsidRPr="009118AB">
        <w:rPr>
          <w:sz w:val="20"/>
          <w:szCs w:val="20"/>
        </w:rPr>
        <w:t>§ </w:t>
      </w:r>
      <w:r w:rsidRPr="009118AB">
        <w:rPr>
          <w:sz w:val="20"/>
          <w:szCs w:val="20"/>
        </w:rPr>
        <w:t>1 sind Werbungskosten in Bezug auf die Nutzung der in Artikel 65 erwähnten Fahrzeuge, die vor dem 1. Januar 2026 gekauft, geleast oder gemietet werden, zu einem Satz abzugsfähig, der durch folgende Formel bestimmt wird: 120 Prozent</w:t>
      </w:r>
      <w:r w:rsidR="00D67EB8" w:rsidRPr="009118AB">
        <w:rPr>
          <w:sz w:val="20"/>
          <w:szCs w:val="20"/>
        </w:rPr>
        <w:t> - </w:t>
      </w:r>
      <w:r w:rsidRPr="009118AB">
        <w:rPr>
          <w:sz w:val="20"/>
          <w:szCs w:val="20"/>
        </w:rPr>
        <w:t>(0,5 Prozent * Koeffizient * g CO</w:t>
      </w:r>
      <w:r w:rsidRPr="009118AB">
        <w:rPr>
          <w:sz w:val="20"/>
          <w:szCs w:val="20"/>
          <w:vertAlign w:val="subscript"/>
        </w:rPr>
        <w:t>2</w:t>
      </w:r>
      <w:r w:rsidRPr="009118AB">
        <w:rPr>
          <w:sz w:val="20"/>
          <w:szCs w:val="20"/>
        </w:rPr>
        <w:t>/km), wobei der Koeffizient für ausschließlich dieselbetriebene Fahrzeuge auf 1 und für andere Fahrzeuge auf 0,95 festgelegt wird. Ist das Fahrzeug mit einem Erdgasmotor ausgestattet und beträgt seine Steuerleistung weniger als 12 Steuer-PS, wird der Koeffizient auf 0,90 herabgesetzt. Der Satz wird auf das höhere oder niedrigere Zehntel abgerundet, je nachdem ob die Ziffer der Hundertstel 5 erreicht oder nicht.</w:t>
      </w:r>
    </w:p>
    <w:p w14:paraId="69292632"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6AAB4B77" w14:textId="7468D28F"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Für Fahrzeuge, die vor dem 1. Juli 2023 gekauft, geleast oder gemietet werden, kann der gemäß Absatz 1 bestimmte Satz nicht unter 50 Prozent liegen</w:t>
      </w:r>
      <w:r w:rsidR="00D67EB8" w:rsidRPr="009118AB">
        <w:rPr>
          <w:sz w:val="20"/>
          <w:szCs w:val="20"/>
        </w:rPr>
        <w:t> - </w:t>
      </w:r>
      <w:r w:rsidRPr="009118AB">
        <w:rPr>
          <w:sz w:val="20"/>
          <w:szCs w:val="20"/>
        </w:rPr>
        <w:t>es sei denn, es handelt sich um ein Fahrzeug, dessen CO</w:t>
      </w:r>
      <w:r w:rsidRPr="009118AB">
        <w:rPr>
          <w:sz w:val="20"/>
          <w:szCs w:val="20"/>
          <w:vertAlign w:val="subscript"/>
        </w:rPr>
        <w:t>2</w:t>
      </w:r>
      <w:r w:rsidRPr="009118AB">
        <w:rPr>
          <w:sz w:val="20"/>
          <w:szCs w:val="20"/>
        </w:rPr>
        <w:t>-Emission 200 g/km oder mehr beträgt, oder ein Fahrzeug, für das bei der Direktion für Fahrzeugzulassungen keine Angaben über die CO</w:t>
      </w:r>
      <w:r w:rsidRPr="009118AB">
        <w:rPr>
          <w:sz w:val="20"/>
          <w:szCs w:val="20"/>
          <w:vertAlign w:val="subscript"/>
        </w:rPr>
        <w:t>2</w:t>
      </w:r>
      <w:r w:rsidRPr="009118AB">
        <w:rPr>
          <w:sz w:val="20"/>
          <w:szCs w:val="20"/>
        </w:rPr>
        <w:t>-Emission verfügbar sind; in diesem Fall beträgt der Satz 40 Prozent</w:t>
      </w:r>
      <w:r w:rsidR="00D67EB8" w:rsidRPr="009118AB">
        <w:rPr>
          <w:sz w:val="20"/>
          <w:szCs w:val="20"/>
        </w:rPr>
        <w:t> - </w:t>
      </w:r>
      <w:r w:rsidRPr="009118AB">
        <w:rPr>
          <w:sz w:val="20"/>
          <w:szCs w:val="20"/>
        </w:rPr>
        <w:t>und nicht über 100 Prozent liegen.</w:t>
      </w:r>
    </w:p>
    <w:p w14:paraId="487B055F"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289F1FE" w14:textId="5690DCBE"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In Abweichung von Absatz 2 beträgt der gemäß Absatz 1 bestimmte Satz mindestens 75 Prozent für gemachte oder getragene Werbungskosten in Bezug auf die Nutzung von Fahrzeugen, die vor dem 1. Januar 2018 gekauft, geleast oder gemietet worden sind.</w:t>
      </w:r>
    </w:p>
    <w:p w14:paraId="71156700"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5D1D6103" w14:textId="6B7A78EC"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Für Fahrzeuge, die ab dem 1. Juli 2023 und bis zum 31. Dezember 2025 einschließlich gekauft, geleast oder gemietet werden, kann der gemäß Absatz 1 bestimmte Satz nicht über 50 Prozent liegen</w:t>
      </w:r>
      <w:r w:rsidR="00D67EB8" w:rsidRPr="009118AB">
        <w:rPr>
          <w:sz w:val="20"/>
          <w:szCs w:val="20"/>
        </w:rPr>
        <w:t> - </w:t>
      </w:r>
      <w:r w:rsidRPr="009118AB">
        <w:rPr>
          <w:sz w:val="20"/>
          <w:szCs w:val="20"/>
        </w:rPr>
        <w:t>es sei denn, es handelt sich um ein Fahrzeug, das kein CO</w:t>
      </w:r>
      <w:r w:rsidRPr="009118AB">
        <w:rPr>
          <w:sz w:val="20"/>
          <w:szCs w:val="20"/>
          <w:vertAlign w:val="subscript"/>
        </w:rPr>
        <w:t>2</w:t>
      </w:r>
      <w:r w:rsidRPr="009118AB">
        <w:rPr>
          <w:sz w:val="20"/>
          <w:szCs w:val="20"/>
        </w:rPr>
        <w:t xml:space="preserve"> ausstößt</w:t>
      </w:r>
      <w:r w:rsidR="00D67EB8" w:rsidRPr="009118AB">
        <w:rPr>
          <w:sz w:val="20"/>
          <w:szCs w:val="20"/>
        </w:rPr>
        <w:t> - </w:t>
      </w:r>
      <w:r w:rsidRPr="009118AB">
        <w:rPr>
          <w:sz w:val="20"/>
          <w:szCs w:val="20"/>
        </w:rPr>
        <w:t>und beträgt der Satz 0 Prozent, wenn bei der Direktion für Fahrzeugzulassungen keine Angaben über die CO</w:t>
      </w:r>
      <w:r w:rsidRPr="009118AB">
        <w:rPr>
          <w:sz w:val="20"/>
          <w:szCs w:val="20"/>
          <w:vertAlign w:val="subscript"/>
        </w:rPr>
        <w:t>2</w:t>
      </w:r>
      <w:r w:rsidRPr="009118AB">
        <w:rPr>
          <w:sz w:val="20"/>
          <w:szCs w:val="20"/>
        </w:rPr>
        <w:t>-Emission verfügbar sind.</w:t>
      </w:r>
    </w:p>
    <w:p w14:paraId="4B1F8D3A"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479BB72" w14:textId="21971E58"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 xml:space="preserve">Ist das in Artikel 65 erwähnte Fahrzeug ein aufladbares Hybridfahrzeug wie in Artikel 36 </w:t>
      </w:r>
      <w:r w:rsidR="00D67EB8" w:rsidRPr="009118AB">
        <w:rPr>
          <w:sz w:val="20"/>
          <w:szCs w:val="20"/>
        </w:rPr>
        <w:t>§ </w:t>
      </w:r>
      <w:r w:rsidRPr="009118AB">
        <w:rPr>
          <w:sz w:val="20"/>
          <w:szCs w:val="20"/>
        </w:rPr>
        <w:t>2 Absatz 10 erwähnt, das mit einer elektrischen Batterie mit einer Energiekapazität von weniger als 0,5 kWh pro 100 kg Fahrzeuggewicht ausgestattet ist oder dessen CO</w:t>
      </w:r>
      <w:r w:rsidRPr="009118AB">
        <w:rPr>
          <w:sz w:val="20"/>
          <w:szCs w:val="20"/>
          <w:vertAlign w:val="subscript"/>
        </w:rPr>
        <w:t>2</w:t>
      </w:r>
      <w:r w:rsidRPr="009118AB">
        <w:rPr>
          <w:sz w:val="20"/>
          <w:szCs w:val="20"/>
        </w:rPr>
        <w:t>-Emission mehr als 50 g/km beträgt, entspricht die in Absatz 1 erwähnte zu berücksichtigende CO</w:t>
      </w:r>
      <w:r w:rsidRPr="009118AB">
        <w:rPr>
          <w:sz w:val="20"/>
          <w:szCs w:val="20"/>
          <w:vertAlign w:val="subscript"/>
        </w:rPr>
        <w:t>2</w:t>
      </w:r>
      <w:r w:rsidRPr="009118AB">
        <w:rPr>
          <w:sz w:val="20"/>
          <w:szCs w:val="20"/>
        </w:rPr>
        <w:t>-Emission der CO</w:t>
      </w:r>
      <w:r w:rsidRPr="009118AB">
        <w:rPr>
          <w:sz w:val="20"/>
          <w:szCs w:val="20"/>
          <w:vertAlign w:val="subscript"/>
        </w:rPr>
        <w:t>2</w:t>
      </w:r>
      <w:r w:rsidRPr="009118AB">
        <w:rPr>
          <w:sz w:val="20"/>
          <w:szCs w:val="20"/>
        </w:rPr>
        <w:t>-Emission des entsprechenden Fahrzeugs mit einem Motor, der ausschließlich denselben Treibstoff verwendet. Gibt es kein entsprechendes Fahrzeug mit einem Motor, der ausschließlich denselben Treibstoff verwendet, wird der Emissionswert mit 2,5 multipliziert. Für die Berechnung der Energiekapazität wird das erhaltene Ergebnis auf das höhere oder niedrigere Zehntel abgerundet, je nachdem ob die Ziffer der Hundertstel 5 erreicht oder nicht.</w:t>
      </w:r>
    </w:p>
    <w:p w14:paraId="1D18C1EF"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59D4A62B" w14:textId="002A2E81"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Der gemäß Absatz 1 bestimmte Satz kann nicht über 50 Prozent liegen, was Benzin- oder Dieselkosten in Bezug auf die Nutzung eines aufladbaren Hybridfahrzeugs betrifft, das ab dem 1. Januar 2023 und bis zum 30. Juni 2023 einschließlich gekauft, geleast oder gemietet wird.</w:t>
      </w:r>
    </w:p>
    <w:p w14:paraId="4DF7B03D"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230EE3A" w14:textId="21458695"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 xml:space="preserve">In Abweichung von Absatz 1 und von Artikel 66 </w:t>
      </w:r>
      <w:r w:rsidR="00D67EB8" w:rsidRPr="009118AB">
        <w:rPr>
          <w:sz w:val="20"/>
          <w:szCs w:val="20"/>
        </w:rPr>
        <w:t>§ </w:t>
      </w:r>
      <w:r w:rsidRPr="009118AB">
        <w:rPr>
          <w:sz w:val="20"/>
          <w:szCs w:val="20"/>
        </w:rPr>
        <w:t>1 sind Minderwerte in Bezug auf die in Absatz 1 erwähnten Fahrzeuge als Werbungskosten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abzugsfähig.</w:t>
      </w:r>
    </w:p>
    <w:p w14:paraId="1A2FE749"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AC8A88C" w14:textId="74F50B8A"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Der König bestimmt, was unter entsprechendem Fahrzeug zu verstehen ist.</w:t>
      </w:r>
    </w:p>
    <w:p w14:paraId="5B9C8512"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DEB22CF" w14:textId="1EA9D8F6"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Der König kann durch einen im Ministerrat beratenen Erlass den in Absatz 1 erwähnten Koeffizienten, der auf Fahrzeuge mit einem Erdgasmotor und einer Steuerleistung von weniger als 12 Steuer-PS anwendbar ist, auf mindestens 0,75 herabsetzen und die in Absatz 5 erwähnte Mindestenergiekapazität auf höchstens 2,1 kWh pro 100 kg Fahrzeuggewicht erhöhen.</w:t>
      </w:r>
    </w:p>
    <w:p w14:paraId="60A313B9"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AC8B950" w14:textId="77777777" w:rsidR="00583371" w:rsidRDefault="00583371">
      <w:pPr>
        <w:rPr>
          <w:sz w:val="20"/>
          <w:szCs w:val="20"/>
        </w:rPr>
      </w:pPr>
      <w:r>
        <w:rPr>
          <w:sz w:val="20"/>
          <w:szCs w:val="20"/>
        </w:rPr>
        <w:br w:type="page"/>
      </w:r>
    </w:p>
    <w:p w14:paraId="702C27B8" w14:textId="202DDECA" w:rsidR="00C4295A"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Absatz 5 ist nicht anwendbar auf Hybridfahrzeuge, die vor dem 1. Januar 2018 gekauft worden sind.]</w:t>
      </w:r>
    </w:p>
    <w:p w14:paraId="451D6BFA" w14:textId="14C4380E"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6A72995" w14:textId="7B9A513A"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i/>
          <w:iCs/>
          <w:sz w:val="20"/>
          <w:szCs w:val="20"/>
        </w:rPr>
        <w:t>[</w:t>
      </w:r>
      <w:r w:rsidR="00D67EB8" w:rsidRPr="009118AB">
        <w:rPr>
          <w:i/>
          <w:iCs/>
          <w:sz w:val="20"/>
          <w:szCs w:val="20"/>
        </w:rPr>
        <w:t>Art. </w:t>
      </w:r>
      <w:r w:rsidRPr="009118AB">
        <w:rPr>
          <w:i/>
          <w:iCs/>
          <w:sz w:val="20"/>
          <w:szCs w:val="20"/>
        </w:rPr>
        <w:t xml:space="preserve">550 eingefügt durch </w:t>
      </w:r>
      <w:r w:rsidR="00D67EB8" w:rsidRPr="009118AB">
        <w:rPr>
          <w:i/>
          <w:iCs/>
          <w:sz w:val="20"/>
          <w:szCs w:val="20"/>
        </w:rPr>
        <w:t>Art. </w:t>
      </w:r>
      <w:r w:rsidRPr="009118AB">
        <w:rPr>
          <w:i/>
          <w:iCs/>
          <w:sz w:val="20"/>
          <w:szCs w:val="20"/>
        </w:rPr>
        <w:t>10</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FD68E8" w:rsidRPr="009118AB">
        <w:rPr>
          <w:i/>
          <w:iCs/>
          <w:sz w:val="20"/>
          <w:szCs w:val="20"/>
        </w:rPr>
        <w:t> -]</w:t>
      </w:r>
      <w:r w:rsidRPr="009118AB">
        <w:rPr>
          <w:sz w:val="20"/>
          <w:szCs w:val="20"/>
        </w:rPr>
        <w:t>"</w:t>
      </w:r>
    </w:p>
    <w:p w14:paraId="1A026A18" w14:textId="69ACCAD2"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DE9DEE8" w14:textId="0CC9135E" w:rsidR="00B52060" w:rsidRPr="009118AB" w:rsidRDefault="00B52060">
      <w:pPr>
        <w:rPr>
          <w:sz w:val="20"/>
          <w:szCs w:val="20"/>
        </w:rPr>
      </w:pPr>
    </w:p>
    <w:p w14:paraId="633B92FC" w14:textId="0C3CA746" w:rsidR="007334F9" w:rsidRPr="009118AB" w:rsidRDefault="007334F9" w:rsidP="007334F9">
      <w:pPr>
        <w:autoSpaceDE w:val="0"/>
        <w:autoSpaceDN w:val="0"/>
        <w:adjustRightInd w:val="0"/>
        <w:jc w:val="both"/>
        <w:rPr>
          <w:sz w:val="20"/>
          <w:szCs w:val="20"/>
        </w:rPr>
      </w:pPr>
      <w:r w:rsidRPr="009118AB">
        <w:rPr>
          <w:sz w:val="20"/>
          <w:szCs w:val="20"/>
        </w:rPr>
        <w:t xml:space="preserve">Ab dem 1. Januar 2027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13 des G. vom 25. November 2021 (B.S. vom 3. Dezember 2021)) lautet </w:t>
      </w:r>
      <w:r w:rsidR="00D67EB8" w:rsidRPr="009118AB">
        <w:rPr>
          <w:sz w:val="20"/>
          <w:szCs w:val="20"/>
        </w:rPr>
        <w:t>Art. </w:t>
      </w:r>
      <w:r w:rsidRPr="009118AB">
        <w:rPr>
          <w:sz w:val="20"/>
          <w:szCs w:val="20"/>
        </w:rPr>
        <w:t>550 wie folgt:</w:t>
      </w:r>
    </w:p>
    <w:p w14:paraId="7F82BF36" w14:textId="77777777" w:rsidR="007334F9" w:rsidRPr="009118AB" w:rsidRDefault="007334F9" w:rsidP="007334F9">
      <w:pPr>
        <w:autoSpaceDE w:val="0"/>
        <w:autoSpaceDN w:val="0"/>
        <w:adjustRightInd w:val="0"/>
        <w:jc w:val="both"/>
        <w:rPr>
          <w:sz w:val="20"/>
          <w:szCs w:val="20"/>
        </w:rPr>
      </w:pPr>
    </w:p>
    <w:p w14:paraId="726D28E5" w14:textId="1400CD5A"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w:t>
      </w:r>
      <w:r w:rsidR="0023017E" w:rsidRPr="009118AB">
        <w:rPr>
          <w:sz w:val="20"/>
          <w:szCs w:val="20"/>
        </w:rPr>
        <w:t>[</w:t>
      </w:r>
      <w:r w:rsidR="00D67EB8" w:rsidRPr="009118AB">
        <w:rPr>
          <w:sz w:val="20"/>
          <w:szCs w:val="20"/>
        </w:rPr>
        <w:t>Art. </w:t>
      </w:r>
      <w:r w:rsidRPr="009118AB">
        <w:rPr>
          <w:sz w:val="20"/>
          <w:szCs w:val="20"/>
        </w:rPr>
        <w:t>550</w:t>
      </w:r>
      <w:r w:rsidR="00D67EB8" w:rsidRPr="009118AB">
        <w:rPr>
          <w:sz w:val="20"/>
          <w:szCs w:val="20"/>
        </w:rPr>
        <w:t> - </w:t>
      </w:r>
      <w:r w:rsidRPr="009118AB">
        <w:rPr>
          <w:sz w:val="20"/>
          <w:szCs w:val="20"/>
        </w:rPr>
        <w:t xml:space="preserve">In Abweichung von Artikel 66 </w:t>
      </w:r>
      <w:r w:rsidR="00D67EB8" w:rsidRPr="009118AB">
        <w:rPr>
          <w:sz w:val="20"/>
          <w:szCs w:val="20"/>
        </w:rPr>
        <w:t>§ </w:t>
      </w:r>
      <w:r w:rsidRPr="009118AB">
        <w:rPr>
          <w:sz w:val="20"/>
          <w:szCs w:val="20"/>
        </w:rPr>
        <w:t>1 sind Werbungskosten in Bezug auf die Nutzung der in Artikel 65 erwähnten Fahrzeuge, die vor dem 1. Januar 2026 gekauft, geleast oder gemietet werden, zu einem Satz abzugsfähig, der durch folgende Formel bestimmt wird: 120 Prozent</w:t>
      </w:r>
      <w:r w:rsidR="00D67EB8" w:rsidRPr="009118AB">
        <w:rPr>
          <w:sz w:val="20"/>
          <w:szCs w:val="20"/>
        </w:rPr>
        <w:t> - </w:t>
      </w:r>
      <w:r w:rsidRPr="009118AB">
        <w:rPr>
          <w:sz w:val="20"/>
          <w:szCs w:val="20"/>
        </w:rPr>
        <w:t>(0,5 Prozent * Koeffizient * g CO</w:t>
      </w:r>
      <w:r w:rsidRPr="009118AB">
        <w:rPr>
          <w:sz w:val="20"/>
          <w:szCs w:val="20"/>
          <w:vertAlign w:val="subscript"/>
        </w:rPr>
        <w:t>2</w:t>
      </w:r>
      <w:r w:rsidRPr="009118AB">
        <w:rPr>
          <w:sz w:val="20"/>
          <w:szCs w:val="20"/>
        </w:rPr>
        <w:t>/km), wobei der Koeffizient für ausschließlich dieselbetriebene Fahrzeuge auf 1 und für andere Fahrzeuge auf 0,95 festgelegt wird. Ist das Fahrzeug mit einem Erdgasmotor ausgestattet und beträgt seine Steuerleistung weniger als 12 Steuer-PS, wird der Koeffizient auf 0,90 herabgesetzt. Der Satz wird auf das höhere oder niedrigere Zehntel abgerundet, je nachdem ob die Ziffer der Hundertstel 5 erreicht oder nicht.</w:t>
      </w:r>
    </w:p>
    <w:p w14:paraId="60C6DC04"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7F364FD" w14:textId="21270CA2"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Für Fahrzeuge, die vor dem 1. Juli 2023 gekauft, geleast oder gemietet werden, kann der gemäß Absatz 1 bestimmte Satz nicht unter 50 Prozent liegen</w:t>
      </w:r>
      <w:r w:rsidR="00D67EB8" w:rsidRPr="009118AB">
        <w:rPr>
          <w:sz w:val="20"/>
          <w:szCs w:val="20"/>
        </w:rPr>
        <w:t> - </w:t>
      </w:r>
      <w:r w:rsidRPr="009118AB">
        <w:rPr>
          <w:sz w:val="20"/>
          <w:szCs w:val="20"/>
        </w:rPr>
        <w:t>es sei denn, es handelt sich um ein Fahrzeug, dessen CO</w:t>
      </w:r>
      <w:r w:rsidRPr="009118AB">
        <w:rPr>
          <w:sz w:val="20"/>
          <w:szCs w:val="20"/>
          <w:vertAlign w:val="subscript"/>
        </w:rPr>
        <w:t>2</w:t>
      </w:r>
      <w:r w:rsidRPr="009118AB">
        <w:rPr>
          <w:sz w:val="20"/>
          <w:szCs w:val="20"/>
        </w:rPr>
        <w:t>-Emission 200 g/km oder mehr beträgt, oder ein Fahrzeug, für das bei der Direktion für Fahrzeugzulassungen keine Angaben über die CO</w:t>
      </w:r>
      <w:r w:rsidRPr="009118AB">
        <w:rPr>
          <w:sz w:val="20"/>
          <w:szCs w:val="20"/>
          <w:vertAlign w:val="subscript"/>
        </w:rPr>
        <w:t>2</w:t>
      </w:r>
      <w:r w:rsidRPr="009118AB">
        <w:rPr>
          <w:sz w:val="20"/>
          <w:szCs w:val="20"/>
        </w:rPr>
        <w:t>-Emission verfügbar sind; in diesem Fall beträgt der Satz 40 Prozent</w:t>
      </w:r>
      <w:r w:rsidR="00D67EB8" w:rsidRPr="009118AB">
        <w:rPr>
          <w:sz w:val="20"/>
          <w:szCs w:val="20"/>
        </w:rPr>
        <w:t> - </w:t>
      </w:r>
      <w:r w:rsidRPr="009118AB">
        <w:rPr>
          <w:sz w:val="20"/>
          <w:szCs w:val="20"/>
        </w:rPr>
        <w:t>und nicht über 100 Prozent liegen.</w:t>
      </w:r>
    </w:p>
    <w:p w14:paraId="5F760816"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E212D73"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In Abweichung von Absatz 2 beträgt der gemäß Absatz 1 bestimmte Satz mindestens 75 Prozent für gemachte oder getragene Werbungskosten in Bezug auf die Nutzung von Fahrzeugen, die vor dem 1. Januar 2018 gekauft, geleast oder gemietet worden sind.</w:t>
      </w:r>
    </w:p>
    <w:p w14:paraId="69D97F79"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57FC37F9" w14:textId="4750CA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Für Fahrzeuge, die ab dem 1. Juli 2023 und bis zum 31. Dezember 2025 einschließlich gekauft, geleast oder gemietet werden, kann der gemäß Absatz 1 bestimmte Satz nicht über [25 Prozent] liegen</w:t>
      </w:r>
      <w:r w:rsidR="00D67EB8" w:rsidRPr="009118AB">
        <w:rPr>
          <w:sz w:val="20"/>
          <w:szCs w:val="20"/>
        </w:rPr>
        <w:t> - </w:t>
      </w:r>
      <w:r w:rsidRPr="009118AB">
        <w:rPr>
          <w:sz w:val="20"/>
          <w:szCs w:val="20"/>
        </w:rPr>
        <w:t>es sei denn, es handelt sich um ein Fahrzeug, das kein CO</w:t>
      </w:r>
      <w:r w:rsidRPr="009118AB">
        <w:rPr>
          <w:sz w:val="20"/>
          <w:szCs w:val="20"/>
          <w:vertAlign w:val="subscript"/>
        </w:rPr>
        <w:t>2</w:t>
      </w:r>
      <w:r w:rsidRPr="009118AB">
        <w:rPr>
          <w:sz w:val="20"/>
          <w:szCs w:val="20"/>
        </w:rPr>
        <w:t xml:space="preserve"> ausstößt</w:t>
      </w:r>
      <w:r w:rsidR="00D67EB8" w:rsidRPr="009118AB">
        <w:rPr>
          <w:sz w:val="20"/>
          <w:szCs w:val="20"/>
        </w:rPr>
        <w:t> - </w:t>
      </w:r>
      <w:r w:rsidRPr="009118AB">
        <w:rPr>
          <w:sz w:val="20"/>
          <w:szCs w:val="20"/>
        </w:rPr>
        <w:t>und beträgt der Satz 0 Prozent, wenn bei der Direktion für Fahrzeugzulassungen keine Angaben über die CO</w:t>
      </w:r>
      <w:r w:rsidRPr="009118AB">
        <w:rPr>
          <w:sz w:val="20"/>
          <w:szCs w:val="20"/>
          <w:vertAlign w:val="subscript"/>
        </w:rPr>
        <w:t>2</w:t>
      </w:r>
      <w:r w:rsidRPr="009118AB">
        <w:rPr>
          <w:sz w:val="20"/>
          <w:szCs w:val="20"/>
        </w:rPr>
        <w:t>-Emission verfügbar sind.</w:t>
      </w:r>
    </w:p>
    <w:p w14:paraId="01FC1E55"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024524F" w14:textId="2AD10D6B"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 xml:space="preserve">Ist das in Artikel 65 erwähnte Fahrzeug ein aufladbares Hybridfahrzeug wie in Artikel 36 </w:t>
      </w:r>
      <w:r w:rsidR="00D67EB8" w:rsidRPr="009118AB">
        <w:rPr>
          <w:sz w:val="20"/>
          <w:szCs w:val="20"/>
        </w:rPr>
        <w:t>§ </w:t>
      </w:r>
      <w:r w:rsidRPr="009118AB">
        <w:rPr>
          <w:sz w:val="20"/>
          <w:szCs w:val="20"/>
        </w:rPr>
        <w:t>2 Absatz 10 erwähnt, das mit einer elektrischen Batterie mit einer Energiekapazität von weniger als 0,5 kWh pro 100 kg Fahrzeuggewicht ausgestattet ist oder dessen CO</w:t>
      </w:r>
      <w:r w:rsidRPr="009118AB">
        <w:rPr>
          <w:sz w:val="20"/>
          <w:szCs w:val="20"/>
          <w:vertAlign w:val="subscript"/>
        </w:rPr>
        <w:t>2</w:t>
      </w:r>
      <w:r w:rsidRPr="009118AB">
        <w:rPr>
          <w:sz w:val="20"/>
          <w:szCs w:val="20"/>
        </w:rPr>
        <w:t>-Emission mehr als 50 g/km beträgt, entspricht die in Absatz 1 erwähnte zu berücksichtigende CO</w:t>
      </w:r>
      <w:r w:rsidRPr="009118AB">
        <w:rPr>
          <w:sz w:val="20"/>
          <w:szCs w:val="20"/>
          <w:vertAlign w:val="subscript"/>
        </w:rPr>
        <w:t>2</w:t>
      </w:r>
      <w:r w:rsidRPr="009118AB">
        <w:rPr>
          <w:sz w:val="20"/>
          <w:szCs w:val="20"/>
        </w:rPr>
        <w:t>-Emission der CO</w:t>
      </w:r>
      <w:r w:rsidRPr="009118AB">
        <w:rPr>
          <w:sz w:val="20"/>
          <w:szCs w:val="20"/>
          <w:vertAlign w:val="subscript"/>
        </w:rPr>
        <w:t>2</w:t>
      </w:r>
      <w:r w:rsidRPr="009118AB">
        <w:rPr>
          <w:sz w:val="20"/>
          <w:szCs w:val="20"/>
        </w:rPr>
        <w:t>-Emission des entsprechenden Fahrzeugs mit einem Motor, der ausschließlich denselben Treibstoff verwendet. Gibt es kein entsprechendes Fahrzeug mit einem Motor, der ausschließlich denselben Treibstoff verwendet, wird der Emissionswert mit 2,5 multipliziert. Für die Berechnung der Energiekapazität wird das erhaltene Ergebnis auf das höhere oder niedrigere Zehntel abgerundet, je nachdem ob die Ziffer der Hundertstel 5 erreicht oder nicht.</w:t>
      </w:r>
    </w:p>
    <w:p w14:paraId="4C7679B7"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8284A3A"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Der gemäß Absatz 1 bestimmte Satz kann nicht über 50 Prozent liegen, was Benzin- oder Dieselkosten in Bezug auf die Nutzung eines aufladbaren Hybridfahrzeugs betrifft, das ab dem 1. Januar 2023 und bis zum 30. Juni 2023 einschließlich gekauft, geleast oder gemietet wird.</w:t>
      </w:r>
    </w:p>
    <w:p w14:paraId="3CB490BA"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620FA92" w14:textId="60CFA1C3"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 xml:space="preserve">In Abweichung von Absatz 1 und von Artikel 66 </w:t>
      </w:r>
      <w:r w:rsidR="00D67EB8" w:rsidRPr="009118AB">
        <w:rPr>
          <w:sz w:val="20"/>
          <w:szCs w:val="20"/>
        </w:rPr>
        <w:t>§ </w:t>
      </w:r>
      <w:r w:rsidRPr="009118AB">
        <w:rPr>
          <w:sz w:val="20"/>
          <w:szCs w:val="20"/>
        </w:rPr>
        <w:t>1 sind Minderwerte in Bezug auf die in Absatz 1 erwähnten Fahrzeuge als Werbungskosten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abzugsfähig.</w:t>
      </w:r>
    </w:p>
    <w:p w14:paraId="6A39AC6C"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1988EF7"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Der König bestimmt, was unter entsprechendem Fahrzeug zu verstehen ist.</w:t>
      </w:r>
    </w:p>
    <w:p w14:paraId="14B16A82"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54FA95B"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Der König kann durch einen im Ministerrat beratenen Erlass den in Absatz 1 erwähnten Koeffizienten, der auf Fahrzeuge mit einem Erdgasmotor und einer Steuerleistung von weniger als 12 Steuer-PS anwendbar ist, auf mindestens 0,75 herabsetzen und die in Absatz 5 erwähnte Mindestenergiekapazität auf höchstens 2,1 kWh pro 100 kg Fahrzeuggewicht erhöhen.</w:t>
      </w:r>
    </w:p>
    <w:p w14:paraId="0C2107BD"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5BDDB703" w14:textId="77777777" w:rsidR="00583371" w:rsidRDefault="00583371">
      <w:pPr>
        <w:rPr>
          <w:sz w:val="20"/>
          <w:szCs w:val="20"/>
        </w:rPr>
      </w:pPr>
      <w:r>
        <w:rPr>
          <w:sz w:val="20"/>
          <w:szCs w:val="20"/>
        </w:rPr>
        <w:br w:type="page"/>
      </w:r>
    </w:p>
    <w:p w14:paraId="6A32A4EA" w14:textId="2179E1F2"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Absatz 5 ist nicht anwendbar auf Hybridfahrzeuge, die vor dem 1. Januar 2018 gekauft worden sind.]</w:t>
      </w:r>
    </w:p>
    <w:p w14:paraId="33ED9B3F" w14:textId="77777777"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D698B7D" w14:textId="11B9C640"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i/>
          <w:iCs/>
          <w:sz w:val="20"/>
          <w:szCs w:val="20"/>
        </w:rPr>
        <w:t>[</w:t>
      </w:r>
      <w:r w:rsidR="00D67EB8" w:rsidRPr="009118AB">
        <w:rPr>
          <w:i/>
          <w:iCs/>
          <w:sz w:val="20"/>
          <w:szCs w:val="20"/>
        </w:rPr>
        <w:t>Art. </w:t>
      </w:r>
      <w:r w:rsidRPr="009118AB">
        <w:rPr>
          <w:i/>
          <w:iCs/>
          <w:sz w:val="20"/>
          <w:szCs w:val="20"/>
        </w:rPr>
        <w:t xml:space="preserve">550 eingefügt durch </w:t>
      </w:r>
      <w:r w:rsidR="00D67EB8" w:rsidRPr="009118AB">
        <w:rPr>
          <w:i/>
          <w:iCs/>
          <w:sz w:val="20"/>
          <w:szCs w:val="20"/>
        </w:rPr>
        <w:t>Art. </w:t>
      </w:r>
      <w:r w:rsidRPr="009118AB">
        <w:rPr>
          <w:i/>
          <w:iCs/>
          <w:sz w:val="20"/>
          <w:szCs w:val="20"/>
        </w:rPr>
        <w:t>10</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4 abgeändert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4</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2027 und anwendbar ab dem Steuerjahr 2028, das sich auf einen Besteuerungszeitraum bezieht, der frühestens am 1. Januar 2027 beginnt</w:t>
      </w:r>
      <w:r w:rsidR="00FD68E8" w:rsidRPr="009118AB">
        <w:rPr>
          <w:i/>
          <w:iCs/>
          <w:sz w:val="20"/>
          <w:szCs w:val="20"/>
        </w:rPr>
        <w:t> -]</w:t>
      </w:r>
      <w:r w:rsidRPr="009118AB">
        <w:rPr>
          <w:sz w:val="20"/>
          <w:szCs w:val="20"/>
        </w:rPr>
        <w:t>"</w:t>
      </w:r>
    </w:p>
    <w:p w14:paraId="55EE6983" w14:textId="15191ED1" w:rsidR="007334F9" w:rsidRPr="009118AB"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EBA116F" w14:textId="77777777" w:rsidR="007334F9" w:rsidRPr="009118AB" w:rsidRDefault="007334F9"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6BA87CBD" w14:textId="53B94ABF" w:rsidR="002C4BFD" w:rsidRPr="009118AB" w:rsidRDefault="002C4BFD" w:rsidP="002C4BFD">
      <w:pPr>
        <w:autoSpaceDE w:val="0"/>
        <w:autoSpaceDN w:val="0"/>
        <w:adjustRightInd w:val="0"/>
        <w:jc w:val="both"/>
        <w:rPr>
          <w:sz w:val="20"/>
          <w:szCs w:val="20"/>
        </w:rPr>
      </w:pPr>
      <w:r w:rsidRPr="009118AB">
        <w:rPr>
          <w:sz w:val="20"/>
          <w:szCs w:val="20"/>
        </w:rPr>
        <w:t xml:space="preserve">Ab dem 1. Januar 2028 (gemäß </w:t>
      </w:r>
      <w:r w:rsidR="00D67EB8" w:rsidRPr="009118AB">
        <w:rPr>
          <w:sz w:val="20"/>
          <w:szCs w:val="20"/>
        </w:rPr>
        <w:t>Art. </w:t>
      </w:r>
      <w:r w:rsidRPr="009118AB">
        <w:rPr>
          <w:sz w:val="20"/>
          <w:szCs w:val="20"/>
        </w:rPr>
        <w:t xml:space="preserve">12 </w:t>
      </w:r>
      <w:r w:rsidR="00D67EB8" w:rsidRPr="009118AB">
        <w:rPr>
          <w:sz w:val="20"/>
          <w:szCs w:val="20"/>
        </w:rPr>
        <w:t>Abs. </w:t>
      </w:r>
      <w:r w:rsidRPr="009118AB">
        <w:rPr>
          <w:sz w:val="20"/>
          <w:szCs w:val="20"/>
        </w:rPr>
        <w:t xml:space="preserve">12 des G. vom 25. November 2021 (B.S. vom 3. Dezember 2021)) lautet </w:t>
      </w:r>
      <w:r w:rsidR="00D67EB8" w:rsidRPr="009118AB">
        <w:rPr>
          <w:sz w:val="20"/>
          <w:szCs w:val="20"/>
        </w:rPr>
        <w:t>Art. </w:t>
      </w:r>
      <w:r w:rsidRPr="009118AB">
        <w:rPr>
          <w:sz w:val="20"/>
          <w:szCs w:val="20"/>
        </w:rPr>
        <w:t>550 wie folgt:</w:t>
      </w:r>
    </w:p>
    <w:p w14:paraId="39C661B6" w14:textId="77777777" w:rsidR="002C4BFD" w:rsidRPr="009118AB" w:rsidRDefault="002C4BFD" w:rsidP="002C4BFD">
      <w:pPr>
        <w:autoSpaceDE w:val="0"/>
        <w:autoSpaceDN w:val="0"/>
        <w:adjustRightInd w:val="0"/>
        <w:jc w:val="both"/>
        <w:rPr>
          <w:sz w:val="20"/>
          <w:szCs w:val="20"/>
        </w:rPr>
      </w:pPr>
    </w:p>
    <w:p w14:paraId="16864854" w14:textId="17BA499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w:t>
      </w:r>
      <w:r w:rsidR="0023017E" w:rsidRPr="009118AB">
        <w:rPr>
          <w:sz w:val="20"/>
          <w:szCs w:val="20"/>
        </w:rPr>
        <w:t>[</w:t>
      </w:r>
      <w:r w:rsidR="00D67EB8" w:rsidRPr="009118AB">
        <w:rPr>
          <w:sz w:val="20"/>
          <w:szCs w:val="20"/>
        </w:rPr>
        <w:t>Art. </w:t>
      </w:r>
      <w:r w:rsidRPr="009118AB">
        <w:rPr>
          <w:sz w:val="20"/>
          <w:szCs w:val="20"/>
        </w:rPr>
        <w:t>550</w:t>
      </w:r>
      <w:r w:rsidR="00D67EB8" w:rsidRPr="009118AB">
        <w:rPr>
          <w:sz w:val="20"/>
          <w:szCs w:val="20"/>
        </w:rPr>
        <w:t> - </w:t>
      </w:r>
      <w:r w:rsidRPr="009118AB">
        <w:rPr>
          <w:sz w:val="20"/>
          <w:szCs w:val="20"/>
        </w:rPr>
        <w:t xml:space="preserve">In Abweichung von Artikel 66 </w:t>
      </w:r>
      <w:r w:rsidR="00D67EB8" w:rsidRPr="009118AB">
        <w:rPr>
          <w:sz w:val="20"/>
          <w:szCs w:val="20"/>
        </w:rPr>
        <w:t>§ </w:t>
      </w:r>
      <w:r w:rsidRPr="009118AB">
        <w:rPr>
          <w:sz w:val="20"/>
          <w:szCs w:val="20"/>
        </w:rPr>
        <w:t>1 sind Werbungskosten in Bezug auf die Nutzung der in Artikel 65 erwähnten Fahrzeuge, die [vor dem 1. Juli 2023</w:t>
      </w:r>
      <w:r w:rsidR="0023017E" w:rsidRPr="009118AB">
        <w:rPr>
          <w:sz w:val="20"/>
          <w:szCs w:val="20"/>
        </w:rPr>
        <w:t>]</w:t>
      </w:r>
      <w:r w:rsidRPr="009118AB">
        <w:rPr>
          <w:sz w:val="20"/>
          <w:szCs w:val="20"/>
        </w:rPr>
        <w:t xml:space="preserve"> gekauft, geleast oder gemietet werden, zu einem Satz abzugsfähig, der durch folgende Formel bestimmt wird: 120 Prozent</w:t>
      </w:r>
      <w:r w:rsidR="00D67EB8" w:rsidRPr="009118AB">
        <w:rPr>
          <w:sz w:val="20"/>
          <w:szCs w:val="20"/>
        </w:rPr>
        <w:t> - </w:t>
      </w:r>
      <w:r w:rsidRPr="009118AB">
        <w:rPr>
          <w:sz w:val="20"/>
          <w:szCs w:val="20"/>
        </w:rPr>
        <w:t>(0,5 Prozent * Koeffizient * g CO</w:t>
      </w:r>
      <w:r w:rsidRPr="009118AB">
        <w:rPr>
          <w:sz w:val="20"/>
          <w:szCs w:val="20"/>
          <w:vertAlign w:val="subscript"/>
        </w:rPr>
        <w:t>2</w:t>
      </w:r>
      <w:r w:rsidRPr="009118AB">
        <w:rPr>
          <w:sz w:val="20"/>
          <w:szCs w:val="20"/>
        </w:rPr>
        <w:t>/km), wobei der Koeffizient für ausschließlich dieselbetriebene Fahrzeuge auf 1 und für andere Fahrzeuge auf 0,95 festgelegt wird. Ist das Fahrzeug mit einem Erdgasmotor ausgestattet und beträgt seine Steuerleistung weniger als 12 Steuer-PS, wird der Koeffizient auf 0,90 herabgesetzt. Der Satz wird auf das höhere oder niedrigere Zehntel abgerundet, je nachdem ob die Ziffer der Hundertstel 5 erreicht oder nicht[, und kann nicht unter 50 Prozent liegen</w:t>
      </w:r>
      <w:r w:rsidR="00D67EB8" w:rsidRPr="009118AB">
        <w:rPr>
          <w:sz w:val="20"/>
          <w:szCs w:val="20"/>
        </w:rPr>
        <w:t> - </w:t>
      </w:r>
      <w:r w:rsidRPr="009118AB">
        <w:rPr>
          <w:sz w:val="20"/>
          <w:szCs w:val="20"/>
        </w:rPr>
        <w:t>es sei denn, es handelt sich um ein Fahrzeug, dessen CO</w:t>
      </w:r>
      <w:r w:rsidRPr="009118AB">
        <w:rPr>
          <w:sz w:val="20"/>
          <w:szCs w:val="20"/>
          <w:vertAlign w:val="subscript"/>
        </w:rPr>
        <w:t>2</w:t>
      </w:r>
      <w:r w:rsidRPr="009118AB">
        <w:rPr>
          <w:sz w:val="20"/>
          <w:szCs w:val="20"/>
        </w:rPr>
        <w:t>-Emission 200 g/km oder mehr beträgt, oder ein Fahrzeug, für das bei der Direktion für Fahrzeugzulassungen keine Angaben über die CO</w:t>
      </w:r>
      <w:r w:rsidRPr="009118AB">
        <w:rPr>
          <w:sz w:val="20"/>
          <w:szCs w:val="20"/>
          <w:vertAlign w:val="subscript"/>
        </w:rPr>
        <w:t>2</w:t>
      </w:r>
      <w:r w:rsidRPr="009118AB">
        <w:rPr>
          <w:sz w:val="20"/>
          <w:szCs w:val="20"/>
        </w:rPr>
        <w:t>-Emission verfügbar sind; in diesem Fall beträgt der Satz 40 Prozent</w:t>
      </w:r>
      <w:r w:rsidR="00D67EB8" w:rsidRPr="009118AB">
        <w:rPr>
          <w:sz w:val="20"/>
          <w:szCs w:val="20"/>
        </w:rPr>
        <w:t> - </w:t>
      </w:r>
      <w:r w:rsidRPr="009118AB">
        <w:rPr>
          <w:sz w:val="20"/>
          <w:szCs w:val="20"/>
        </w:rPr>
        <w:t>und nicht über 100 Prozent liegen].</w:t>
      </w:r>
    </w:p>
    <w:p w14:paraId="38916BC6"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DE059AE" w14:textId="1D94E6E9"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w:t>
      </w:r>
    </w:p>
    <w:p w14:paraId="62DD3E60"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5CAEE4BB" w14:textId="1F3084C9"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In Abweichung von [Absatz 1] beträgt der gemäß Absatz 1 bestimmte Satz mindestens 75 Prozent für gemachte oder getragene Werbungskosten in Bezug auf die Nutzung von Fahrzeugen, die vor dem 1. Januar 2018 gekauft, geleast oder gemietet worden sind.</w:t>
      </w:r>
    </w:p>
    <w:p w14:paraId="3C89BD70"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B3553EC" w14:textId="26DA433C"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w:t>
      </w:r>
    </w:p>
    <w:p w14:paraId="17E13D3C"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6F6D8A0" w14:textId="4F1E9729"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 xml:space="preserve">Ist das in Artikel 65 erwähnte Fahrzeug ein aufladbares Hybridfahrzeug wie in Artikel 36 </w:t>
      </w:r>
      <w:r w:rsidR="00D67EB8" w:rsidRPr="009118AB">
        <w:rPr>
          <w:sz w:val="20"/>
          <w:szCs w:val="20"/>
        </w:rPr>
        <w:t>§ </w:t>
      </w:r>
      <w:r w:rsidRPr="009118AB">
        <w:rPr>
          <w:sz w:val="20"/>
          <w:szCs w:val="20"/>
        </w:rPr>
        <w:t>2 Absatz 10 erwähnt, das mit einer elektrischen Batterie mit einer Energiekapazität von weniger als 0,5 kWh pro 100 kg Fahrzeuggewicht ausgestattet ist oder dessen CO</w:t>
      </w:r>
      <w:r w:rsidRPr="009118AB">
        <w:rPr>
          <w:sz w:val="20"/>
          <w:szCs w:val="20"/>
          <w:vertAlign w:val="subscript"/>
        </w:rPr>
        <w:t>2</w:t>
      </w:r>
      <w:r w:rsidRPr="009118AB">
        <w:rPr>
          <w:sz w:val="20"/>
          <w:szCs w:val="20"/>
        </w:rPr>
        <w:t>-Emission mehr als 50 g/km beträgt, entspricht die in Absatz 1 erwähnte zu berücksichtigende CO</w:t>
      </w:r>
      <w:r w:rsidRPr="009118AB">
        <w:rPr>
          <w:sz w:val="20"/>
          <w:szCs w:val="20"/>
          <w:vertAlign w:val="subscript"/>
        </w:rPr>
        <w:t>2</w:t>
      </w:r>
      <w:r w:rsidRPr="009118AB">
        <w:rPr>
          <w:sz w:val="20"/>
          <w:szCs w:val="20"/>
        </w:rPr>
        <w:t>-Emission der CO</w:t>
      </w:r>
      <w:r w:rsidRPr="009118AB">
        <w:rPr>
          <w:sz w:val="20"/>
          <w:szCs w:val="20"/>
          <w:vertAlign w:val="subscript"/>
        </w:rPr>
        <w:t>2</w:t>
      </w:r>
      <w:r w:rsidRPr="009118AB">
        <w:rPr>
          <w:sz w:val="20"/>
          <w:szCs w:val="20"/>
        </w:rPr>
        <w:t>-Emission des entsprechenden Fahrzeugs mit einem Motor, der ausschließlich denselben Treibstoff verwendet. Gibt es kein entsprechendes Fahrzeug mit einem Motor, der ausschließlich denselben Treibstoff verwendet, wird der Emissionswert mit 2,5 multipliziert. Für die Berechnung der Energiekapazität wird das erhaltene Ergebnis auf das höhere oder niedrigere Zehntel abgerundet, je nachdem ob die Ziffer der Hundertstel 5 erreicht oder nicht.</w:t>
      </w:r>
    </w:p>
    <w:p w14:paraId="36E143F3"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AF8823D"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Der gemäß Absatz 1 bestimmte Satz kann nicht über 50 Prozent liegen, was Benzin- oder Dieselkosten in Bezug auf die Nutzung eines aufladbaren Hybridfahrzeugs betrifft, das ab dem 1. Januar 2023 und bis zum 30. Juni 2023 einschließlich gekauft, geleast oder gemietet wird.</w:t>
      </w:r>
    </w:p>
    <w:p w14:paraId="2AA94A82"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B9C29E1" w14:textId="1FCA186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 xml:space="preserve">In Abweichung von Absatz 1 und von Artikel 66 </w:t>
      </w:r>
      <w:r w:rsidR="00D67EB8" w:rsidRPr="009118AB">
        <w:rPr>
          <w:sz w:val="20"/>
          <w:szCs w:val="20"/>
        </w:rPr>
        <w:t>§ </w:t>
      </w:r>
      <w:r w:rsidRPr="009118AB">
        <w:rPr>
          <w:sz w:val="20"/>
          <w:szCs w:val="20"/>
        </w:rPr>
        <w:t>1 sind Minderwerte in Bezug auf die in Absatz 1 erwähnten Fahrzeuge als Werbungskosten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abzugsfähig.</w:t>
      </w:r>
    </w:p>
    <w:p w14:paraId="70FF6F9B"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2698978"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Der König bestimmt, was unter entsprechendem Fahrzeug zu verstehen ist.</w:t>
      </w:r>
    </w:p>
    <w:p w14:paraId="75CB7351"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913E982" w14:textId="5EFF2526"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Der König kann durch einen im Ministerrat beratenen Erlass den in Absatz 1 erwähnten Koeffizienten, der auf Fahrzeuge mit einem Erdgasmotor und einer Steuerleistung von weniger als 12 Steuer-PS anwendbar ist, auf mindestens 0,75 herabsetzen und die in [Absatz 3] erwähnte Mindestenergiekapazität auf höchstens 2,1 kWh pro 100 kg Fahrzeuggewicht erhöhen.</w:t>
      </w:r>
    </w:p>
    <w:p w14:paraId="2BF1D61A"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7AF6DEC" w14:textId="479D1E3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sz w:val="20"/>
          <w:szCs w:val="20"/>
        </w:rPr>
        <w:t>[Absatz 3] ist nicht anwendbar auf Hybridfahrzeuge, die vor dem 1. Januar 2018 gekauft worden sind.]</w:t>
      </w:r>
    </w:p>
    <w:p w14:paraId="2018E5B5"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63104AD" w14:textId="0F4A9219"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118AB">
        <w:rPr>
          <w:i/>
          <w:iCs/>
          <w:sz w:val="20"/>
          <w:szCs w:val="20"/>
        </w:rPr>
        <w:t>[</w:t>
      </w:r>
      <w:r w:rsidR="00D67EB8" w:rsidRPr="009118AB">
        <w:rPr>
          <w:i/>
          <w:iCs/>
          <w:sz w:val="20"/>
          <w:szCs w:val="20"/>
        </w:rPr>
        <w:t>Art. </w:t>
      </w:r>
      <w:r w:rsidRPr="009118AB">
        <w:rPr>
          <w:i/>
          <w:iCs/>
          <w:sz w:val="20"/>
          <w:szCs w:val="20"/>
        </w:rPr>
        <w:t xml:space="preserve">550 eingefügt durch </w:t>
      </w:r>
      <w:r w:rsidR="00D67EB8" w:rsidRPr="009118AB">
        <w:rPr>
          <w:i/>
          <w:iCs/>
          <w:sz w:val="20"/>
          <w:szCs w:val="20"/>
        </w:rPr>
        <w:t>Art. </w:t>
      </w:r>
      <w:r w:rsidRPr="009118AB">
        <w:rPr>
          <w:i/>
          <w:iCs/>
          <w:sz w:val="20"/>
          <w:szCs w:val="20"/>
        </w:rPr>
        <w:t>10</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2026 und anwendbar ab dem Steuerjahr 2027, das sich auf einen Besteuerungszeitraum bezieht, der frühestens am 1. Januar 2026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1 abgeändert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1</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 und anwendbar ab dem Steuerjahr 2029, das sich auf einen Besteuerungszeitraum bezieht, der frühestens am 1. Januar 2028 beginnt</w:t>
      </w:r>
      <w:r w:rsidR="003366D9" w:rsidRPr="009118AB">
        <w:rPr>
          <w:i/>
          <w:iCs/>
          <w:sz w:val="20"/>
          <w:szCs w:val="20"/>
        </w:rPr>
        <w:t> -;</w:t>
      </w:r>
      <w:r w:rsidRPr="009118AB">
        <w:rPr>
          <w:i/>
          <w:iCs/>
          <w:sz w:val="20"/>
          <w:szCs w:val="20"/>
        </w:rPr>
        <w:t xml:space="preserve"> früherer Absatz 2 aufgehoben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 und anwendbar ab dem Steuerjahr 2029, das sich auf einen Besteuerungszeitraum bezieht, der frühestens am 1. Januar 2028 beginnt</w:t>
      </w:r>
      <w:r w:rsidR="003366D9" w:rsidRPr="009118AB">
        <w:rPr>
          <w:i/>
          <w:iCs/>
          <w:sz w:val="20"/>
          <w:szCs w:val="20"/>
        </w:rPr>
        <w:t> -;</w:t>
      </w:r>
      <w:r w:rsidRPr="009118AB">
        <w:rPr>
          <w:i/>
          <w:iCs/>
          <w:sz w:val="20"/>
          <w:szCs w:val="20"/>
        </w:rPr>
        <w:t xml:space="preserve"> neuer Absatz 2 abgeändert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3</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 und anwendbar ab dem Steuerjahr 2029, das sich auf einen Besteuerungszeitraum bezieht, der frühestens am 1. Januar 2028 beginnt</w:t>
      </w:r>
      <w:r w:rsidR="003366D9" w:rsidRPr="009118AB">
        <w:rPr>
          <w:i/>
          <w:iCs/>
          <w:sz w:val="20"/>
          <w:szCs w:val="20"/>
        </w:rPr>
        <w:t> -;</w:t>
      </w:r>
      <w:r w:rsidRPr="009118AB">
        <w:rPr>
          <w:i/>
          <w:iCs/>
          <w:sz w:val="20"/>
          <w:szCs w:val="20"/>
        </w:rPr>
        <w:t xml:space="preserve"> früherer Absatz 4 aufgehoben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2</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 und anwendbar ab dem Steuerjahr 2029, das sich auf einen Besteuerungszeitraum bezieht, der frühestens am 1. Januar 2028 beginnt</w:t>
      </w:r>
      <w:r w:rsidR="003366D9" w:rsidRPr="009118AB">
        <w:rPr>
          <w:i/>
          <w:iCs/>
          <w:sz w:val="20"/>
          <w:szCs w:val="20"/>
        </w:rPr>
        <w:t> -;</w:t>
      </w:r>
      <w:r w:rsidRPr="009118AB">
        <w:rPr>
          <w:i/>
          <w:iCs/>
          <w:sz w:val="20"/>
          <w:szCs w:val="20"/>
        </w:rPr>
        <w:t xml:space="preserve"> neuer Absatz 7 abgeändert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 und anwendbar ab dem Steuerjahr 2029, das sich auf einen Besteuerungszeitraum bezieht, der frühestens am 1. Januar 2028 beginnt</w:t>
      </w:r>
      <w:r w:rsidR="003366D9" w:rsidRPr="009118AB">
        <w:rPr>
          <w:i/>
          <w:iCs/>
          <w:sz w:val="20"/>
          <w:szCs w:val="20"/>
        </w:rPr>
        <w:t> -;</w:t>
      </w:r>
      <w:r w:rsidRPr="009118AB">
        <w:rPr>
          <w:i/>
          <w:iCs/>
          <w:sz w:val="20"/>
          <w:szCs w:val="20"/>
        </w:rPr>
        <w:t xml:space="preserve"> </w:t>
      </w:r>
      <w:r w:rsidR="00D67EB8" w:rsidRPr="009118AB">
        <w:rPr>
          <w:i/>
          <w:iCs/>
          <w:sz w:val="20"/>
          <w:szCs w:val="20"/>
        </w:rPr>
        <w:t>Abs. </w:t>
      </w:r>
      <w:r w:rsidRPr="009118AB">
        <w:rPr>
          <w:i/>
          <w:iCs/>
          <w:sz w:val="20"/>
          <w:szCs w:val="20"/>
        </w:rPr>
        <w:t xml:space="preserve">8 abgeändert durch </w:t>
      </w:r>
      <w:r w:rsidR="00D67EB8" w:rsidRPr="009118AB">
        <w:rPr>
          <w:i/>
          <w:iCs/>
          <w:sz w:val="20"/>
          <w:szCs w:val="20"/>
        </w:rPr>
        <w:t>Art. </w:t>
      </w:r>
      <w:r w:rsidRPr="009118AB">
        <w:rPr>
          <w:i/>
          <w:iCs/>
          <w:sz w:val="20"/>
          <w:szCs w:val="20"/>
        </w:rPr>
        <w:t xml:space="preserve">11 </w:t>
      </w:r>
      <w:r w:rsidR="00D67EB8" w:rsidRPr="009118AB">
        <w:rPr>
          <w:i/>
          <w:iCs/>
          <w:sz w:val="20"/>
          <w:szCs w:val="20"/>
        </w:rPr>
        <w:t>Nr. </w:t>
      </w:r>
      <w:r w:rsidRPr="009118AB">
        <w:rPr>
          <w:i/>
          <w:iCs/>
          <w:sz w:val="20"/>
          <w:szCs w:val="20"/>
        </w:rPr>
        <w:t>5</w:t>
      </w:r>
      <w:r w:rsidRPr="009118AB">
        <w:rPr>
          <w:i/>
          <w:iCs/>
        </w:rPr>
        <w:t xml:space="preserve"> </w:t>
      </w:r>
      <w:r w:rsidRPr="009118AB">
        <w:rPr>
          <w:i/>
          <w:iCs/>
          <w:sz w:val="20"/>
          <w:szCs w:val="20"/>
        </w:rPr>
        <w:t>des G. vom 25. November 2021 (B.S. vom 3. Dezember 2021)</w:t>
      </w:r>
      <w:r w:rsidR="00D67EB8" w:rsidRPr="009118AB">
        <w:rPr>
          <w:i/>
          <w:iCs/>
          <w:sz w:val="20"/>
          <w:szCs w:val="20"/>
        </w:rPr>
        <w:t> - </w:t>
      </w:r>
      <w:r w:rsidRPr="009118AB">
        <w:rPr>
          <w:i/>
          <w:iCs/>
          <w:sz w:val="20"/>
          <w:szCs w:val="20"/>
        </w:rPr>
        <w:t>in Kraft am 1. Januar 2028 und anwendbar ab dem Steuerjahr 2029, das sich auf einen Besteuerungszeitraum bezieht, der frühestens am 1. Januar 2028 beginnt</w:t>
      </w:r>
      <w:r w:rsidR="00FD68E8" w:rsidRPr="009118AB">
        <w:rPr>
          <w:i/>
          <w:iCs/>
          <w:sz w:val="20"/>
          <w:szCs w:val="20"/>
        </w:rPr>
        <w:t> -]</w:t>
      </w:r>
      <w:r w:rsidRPr="009118AB">
        <w:rPr>
          <w:sz w:val="20"/>
          <w:szCs w:val="20"/>
        </w:rPr>
        <w:t>"</w:t>
      </w:r>
    </w:p>
    <w:p w14:paraId="0F09EA41" w14:textId="77777777" w:rsidR="00690995" w:rsidRPr="009118AB" w:rsidRDefault="00690995"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9BFE9C" w14:textId="77777777" w:rsidR="00690995" w:rsidRPr="009118AB" w:rsidRDefault="00690995"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4E865A6" w14:textId="77777777" w:rsidR="00690995" w:rsidRPr="009118AB" w:rsidRDefault="00690995" w:rsidP="00690995">
      <w:pPr>
        <w:ind w:firstLine="708"/>
        <w:jc w:val="both"/>
      </w:pPr>
      <w:r w:rsidRPr="009118AB">
        <w:tab/>
        <w:t>[</w:t>
      </w:r>
      <w:r w:rsidRPr="009118AB">
        <w:rPr>
          <w:b/>
          <w:bCs/>
        </w:rPr>
        <w:t>Art. 551</w:t>
      </w:r>
      <w:r w:rsidRPr="009118AB">
        <w:t> - § 1 ­ Der in den Artikeln 37 Absatz 2 erster Gedankenstrich, 171 Nr. 2</w:t>
      </w:r>
      <w:r w:rsidRPr="009118AB">
        <w:rPr>
          <w:i/>
          <w:iCs/>
        </w:rPr>
        <w:t>bis</w:t>
      </w:r>
      <w:r w:rsidRPr="009118AB">
        <w:t xml:space="preserve"> und 269 § 1 Nr. 4 erwähnte Prozentsatz von 30 Prozent wird für das Steuerjahr 2024 auf 50 Prozent und für das Steuerjahr 2025 auf 40 Prozent erhöht.</w:t>
      </w:r>
    </w:p>
    <w:p w14:paraId="42907F3A" w14:textId="77777777" w:rsidR="00690995" w:rsidRPr="009118AB" w:rsidRDefault="00690995" w:rsidP="00690995">
      <w:pPr>
        <w:jc w:val="both"/>
      </w:pPr>
    </w:p>
    <w:p w14:paraId="3C6D9974" w14:textId="77777777" w:rsidR="00690995" w:rsidRPr="009118AB" w:rsidRDefault="00690995" w:rsidP="00690995">
      <w:pPr>
        <w:ind w:firstLine="708"/>
        <w:jc w:val="both"/>
      </w:pPr>
      <w:r w:rsidRPr="009118AB">
        <w:t>§ 2 - Artikel 17 § 1 Nr. 5, so wie er vor seiner Abänderung durch Artikel 100 des Programmgesetzes vom 26. Dezember 2022 bestand, bleibt für das Steuerjahr 2024 auf Steuerpflichtige anwendbar, die für das Steuerjahr 2023 auf Einkünfte besteuert worden sind, die unter diese Bestimmung fallen, und die ab dem Steuerjahr 2024 keinen Anspruch mehr auf die Anwendung von Artikel 17 § 1 Nr. 5, so wie er durch Artikel 100 des Programmgesetzes vom 26. Dezember 2022 abgeändert worden ist, erheben können.</w:t>
      </w:r>
    </w:p>
    <w:p w14:paraId="53A4D89F" w14:textId="77777777" w:rsidR="00690995" w:rsidRPr="009118AB" w:rsidRDefault="00690995" w:rsidP="00690995">
      <w:pPr>
        <w:jc w:val="both"/>
      </w:pPr>
    </w:p>
    <w:p w14:paraId="761731A9" w14:textId="77777777" w:rsidR="00690995" w:rsidRPr="009118AB" w:rsidRDefault="00690995" w:rsidP="00690995">
      <w:pPr>
        <w:ind w:firstLine="708"/>
        <w:jc w:val="both"/>
      </w:pPr>
      <w:r w:rsidRPr="009118AB">
        <w:t>Für die Anwendung von Absatz 1 für das Steuerjahr 2024 wird der in den Artikeln 37 Absatz 2 zweiter Gedankenstrich, 171 Nr. 2</w:t>
      </w:r>
      <w:r w:rsidRPr="009118AB">
        <w:rPr>
          <w:i/>
          <w:iCs/>
        </w:rPr>
        <w:t>bis</w:t>
      </w:r>
      <w:r w:rsidRPr="009118AB">
        <w:t xml:space="preserve"> und 269 § 1 Nr. 4 erwähnte Betrag von 37.500 EUR auf 18.750 EUR herabgesetzt und werden die in Artikel 4 Nr. 1 des KE/EStGB 92 erwähnten Beträge von 10.000 EUR und 20.000 EUR auf 5.000 EUR beziehungsweise 10.000 EUR herabgesetzt.</w:t>
      </w:r>
    </w:p>
    <w:p w14:paraId="72D921CB" w14:textId="77777777" w:rsidR="00690995" w:rsidRPr="009118AB" w:rsidRDefault="00690995" w:rsidP="00690995">
      <w:pPr>
        <w:jc w:val="both"/>
      </w:pPr>
    </w:p>
    <w:p w14:paraId="0EF25D43" w14:textId="77777777" w:rsidR="00690995" w:rsidRPr="009118AB" w:rsidRDefault="00690995" w:rsidP="00690995">
      <w:pPr>
        <w:ind w:firstLine="708"/>
        <w:jc w:val="both"/>
      </w:pPr>
      <w:r w:rsidRPr="009118AB">
        <w:t>Die gemäß Absatz 2 herabgesetzten Beträge werden gemäß Artikel 178 § 3 Absatz 1 Nr. 2 und § 7 an den Verbraucherpreisindex des Königreichs angepasst.</w:t>
      </w:r>
    </w:p>
    <w:p w14:paraId="02F09834" w14:textId="77777777" w:rsidR="00690995" w:rsidRPr="009118AB" w:rsidRDefault="00690995" w:rsidP="00690995">
      <w:pPr>
        <w:jc w:val="both"/>
      </w:pPr>
    </w:p>
    <w:p w14:paraId="630BB398" w14:textId="77777777" w:rsidR="00690995" w:rsidRPr="009118AB" w:rsidRDefault="00690995" w:rsidP="00690995">
      <w:pPr>
        <w:ind w:firstLine="708"/>
        <w:jc w:val="both"/>
      </w:pPr>
      <w:r w:rsidRPr="009118AB">
        <w:t>Artikel 129/1 ist auf die in Artikel 37 Absatz 2 zweiter Gedankenstrich und Artikel 4 Nr. 1 des KE/EStGB 92 erwähnten Beträge, die gemäß Absatz 2 herabgesetzt worden sind, anwendbar.</w:t>
      </w:r>
    </w:p>
    <w:p w14:paraId="52F5AA9B" w14:textId="77777777" w:rsidR="00690995" w:rsidRPr="009118AB" w:rsidRDefault="00690995" w:rsidP="00690995">
      <w:pPr>
        <w:jc w:val="both"/>
      </w:pPr>
    </w:p>
    <w:p w14:paraId="70C88696" w14:textId="18F8A4DD" w:rsidR="00690995" w:rsidRPr="009118AB"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ab/>
        <w:t>Artikel 174/1 ist auf den in Artikel 171 Nr. 2</w:t>
      </w:r>
      <w:r w:rsidRPr="009118AB">
        <w:rPr>
          <w:i/>
          <w:iCs/>
        </w:rPr>
        <w:t>bis</w:t>
      </w:r>
      <w:r w:rsidRPr="009118AB">
        <w:t xml:space="preserve"> erwähnten Betrag, der gemäß Absatz 2 herabgesetzt worden sind, anwendbar.]</w:t>
      </w:r>
    </w:p>
    <w:p w14:paraId="19D9D42D" w14:textId="77777777" w:rsidR="00690995" w:rsidRPr="009118AB"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B520134" w14:textId="334808DF" w:rsidR="00690995" w:rsidRPr="009118AB"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118AB">
        <w:rPr>
          <w:i/>
          <w:iCs/>
        </w:rPr>
        <w:t>[Art. 551 eingefügt durch Art. 108</w:t>
      </w:r>
      <w:r w:rsidRPr="009118AB">
        <w:rPr>
          <w:bCs/>
          <w:i/>
          <w:iCs/>
        </w:rPr>
        <w:t xml:space="preserve"> des G. vom 26. Dezember 2022</w:t>
      </w:r>
      <w:r w:rsidR="00236038" w:rsidRPr="009118AB">
        <w:rPr>
          <w:bCs/>
          <w:i/>
          <w:iCs/>
        </w:rPr>
        <w:t> (I)</w:t>
      </w:r>
      <w:r w:rsidRPr="009118AB">
        <w:rPr>
          <w:bCs/>
          <w:i/>
          <w:iCs/>
        </w:rPr>
        <w:t xml:space="preserve"> (B.S. vom 30. Dezember 2022) - in Kraft am 1. Januar 2023 und anwendbar auf die ab dem 1. Januar 2023 gezahlten oder zuerkannten Einkünfte -]</w:t>
      </w:r>
    </w:p>
    <w:p w14:paraId="0AC4D1DC" w14:textId="77777777" w:rsidR="00690995" w:rsidRPr="009118AB"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3C4F468" w14:textId="77777777" w:rsidR="00690995"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210CA43" w14:textId="77777777" w:rsidR="00317B91" w:rsidRDefault="00317B91">
      <w:pPr>
        <w:rPr>
          <w:sz w:val="20"/>
          <w:szCs w:val="20"/>
        </w:rPr>
      </w:pPr>
      <w:r>
        <w:rPr>
          <w:sz w:val="20"/>
          <w:szCs w:val="20"/>
        </w:rPr>
        <w:br w:type="page"/>
      </w:r>
    </w:p>
    <w:p w14:paraId="6539022B" w14:textId="70B2AFD7" w:rsidR="00317B91" w:rsidRDefault="00317B91" w:rsidP="00317B91">
      <w:pPr>
        <w:autoSpaceDE w:val="0"/>
        <w:autoSpaceDN w:val="0"/>
        <w:adjustRightInd w:val="0"/>
        <w:jc w:val="both"/>
        <w:rPr>
          <w:sz w:val="20"/>
          <w:szCs w:val="20"/>
        </w:rPr>
      </w:pPr>
      <w:r>
        <w:rPr>
          <w:sz w:val="20"/>
          <w:szCs w:val="20"/>
        </w:rPr>
        <w:t>Ab dem Steuerjahr 2026 (gemäß Art. 21 Abs. 2 des G. vom 12. Mai 2024 (B.S. vom 29. Mai 2024)) wird ein Artikel 552 mit folgendem Wortlaut eingefügt:</w:t>
      </w:r>
    </w:p>
    <w:p w14:paraId="571526CD" w14:textId="77777777" w:rsidR="00317B91" w:rsidRDefault="00317B91" w:rsidP="00317B91">
      <w:pPr>
        <w:autoSpaceDE w:val="0"/>
        <w:autoSpaceDN w:val="0"/>
        <w:adjustRightInd w:val="0"/>
        <w:jc w:val="both"/>
        <w:rPr>
          <w:sz w:val="20"/>
          <w:szCs w:val="20"/>
        </w:rPr>
      </w:pPr>
    </w:p>
    <w:p w14:paraId="5DB95A0B" w14:textId="74BC23B4" w:rsidR="00317B91" w:rsidRDefault="00317B91" w:rsidP="00317B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Pr>
          <w:sz w:val="20"/>
          <w:szCs w:val="20"/>
        </w:rPr>
        <w:t>"[</w:t>
      </w:r>
      <w:r w:rsidRPr="00317B91">
        <w:rPr>
          <w:sz w:val="20"/>
          <w:szCs w:val="20"/>
        </w:rPr>
        <w:t>Art. 552 ­ Für die vor dem 1. Januar 2025 erworbenen oder gebildeten Anlagen werden die Artikel 69 bis 77, 201 und 289</w:t>
      </w:r>
      <w:r w:rsidRPr="00317B91">
        <w:rPr>
          <w:i/>
          <w:iCs/>
          <w:sz w:val="20"/>
          <w:szCs w:val="20"/>
        </w:rPr>
        <w:t>quater</w:t>
      </w:r>
      <w:r w:rsidRPr="00317B91">
        <w:rPr>
          <w:sz w:val="20"/>
          <w:szCs w:val="20"/>
        </w:rPr>
        <w:t xml:space="preserve"> bis 289</w:t>
      </w:r>
      <w:r w:rsidRPr="00317B91">
        <w:rPr>
          <w:i/>
          <w:iCs/>
          <w:sz w:val="20"/>
          <w:szCs w:val="20"/>
        </w:rPr>
        <w:t>novies</w:t>
      </w:r>
      <w:r w:rsidRPr="00317B91">
        <w:rPr>
          <w:sz w:val="20"/>
          <w:szCs w:val="20"/>
        </w:rPr>
        <w:t xml:space="preserve"> angewandt, so wie sie vor ihrer Ersetzung oder Abänderung durch das Gesetz vom 12. Mai 2024 zur Festlegung verschiedener steuerrechtlicher Bestimmungen bestanden.</w:t>
      </w:r>
      <w:r>
        <w:rPr>
          <w:sz w:val="20"/>
          <w:szCs w:val="20"/>
        </w:rPr>
        <w:t>]</w:t>
      </w:r>
    </w:p>
    <w:p w14:paraId="1E37964E" w14:textId="77777777" w:rsidR="00317B91" w:rsidRDefault="00317B91" w:rsidP="00317B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1B79C3B" w14:textId="2105DE22" w:rsidR="00317B91" w:rsidRPr="00317B91" w:rsidRDefault="00317B91" w:rsidP="00317B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Pr>
          <w:i/>
          <w:iCs/>
          <w:sz w:val="20"/>
          <w:szCs w:val="20"/>
        </w:rPr>
        <w:t>[Art. 552 eingefügt durch Art. 20</w:t>
      </w:r>
      <w:r w:rsidRPr="00317B91">
        <w:rPr>
          <w:i/>
          <w:iCs/>
          <w:sz w:val="20"/>
          <w:szCs w:val="20"/>
        </w:rPr>
        <w:t xml:space="preserve"> des G. vom 12. Mai 2024 (B.S. vom 29. Mai 2024) - anwendbar auf die ab dem 1. Januar 2025 erworbenen oder gebildeten Anlagen -</w:t>
      </w:r>
      <w:r>
        <w:rPr>
          <w:i/>
          <w:iCs/>
          <w:sz w:val="20"/>
          <w:szCs w:val="20"/>
        </w:rPr>
        <w:t>]</w:t>
      </w:r>
      <w:r>
        <w:rPr>
          <w:sz w:val="20"/>
          <w:szCs w:val="20"/>
        </w:rPr>
        <w:t>"</w:t>
      </w:r>
    </w:p>
    <w:p w14:paraId="63BE2E83" w14:textId="34F00B0D"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sz w:val="20"/>
          <w:szCs w:val="20"/>
        </w:rPr>
      </w:pPr>
    </w:p>
    <w:p w14:paraId="77E4D29A" w14:textId="207058D4"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sz w:val="20"/>
          <w:szCs w:val="20"/>
        </w:rPr>
      </w:pPr>
    </w:p>
    <w:p w14:paraId="110C92A9" w14:textId="77777777" w:rsidR="002C4BFD" w:rsidRPr="009118AB"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sz w:val="20"/>
          <w:szCs w:val="20"/>
        </w:rPr>
      </w:pPr>
    </w:p>
    <w:p w14:paraId="3A874690" w14:textId="77777777" w:rsidR="00477B8F" w:rsidRPr="009118AB" w:rsidRDefault="00477B8F" w:rsidP="00480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sidRPr="009118AB">
        <w:rPr>
          <w:spacing w:val="-5"/>
        </w:rPr>
        <w:br w:type="page"/>
      </w:r>
      <w:r w:rsidRPr="009118AB">
        <w:rPr>
          <w:b/>
          <w:bCs/>
        </w:rPr>
        <w:t>ANLAGE I: INHALTSVERZEICHNIS</w:t>
      </w:r>
    </w:p>
    <w:p w14:paraId="72AAC53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1C5CFD6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36729FF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118AB">
        <w:rPr>
          <w:b/>
          <w:bCs/>
        </w:rPr>
        <w:t>EINKOMMENSTEUERGESETZBUCH 1992</w:t>
      </w:r>
    </w:p>
    <w:p w14:paraId="666F225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0844CA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7C6FBC" w14:textId="366E3C1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b/>
          <w:bCs/>
        </w:rPr>
        <w:t>TITEL I</w:t>
      </w:r>
      <w:r w:rsidR="00D67EB8" w:rsidRPr="009118AB">
        <w:t> - </w:t>
      </w:r>
      <w:r w:rsidRPr="009118AB">
        <w:rPr>
          <w:b/>
          <w:bCs/>
          <w:i/>
          <w:iCs/>
        </w:rPr>
        <w:t>Verschiedene Einkommensteuern</w:t>
      </w:r>
      <w:r w:rsidR="00D67EB8" w:rsidRPr="009118AB">
        <w:rPr>
          <w:b/>
          <w:bCs/>
          <w:i/>
          <w:iCs/>
        </w:rPr>
        <w:t> - </w:t>
      </w:r>
      <w:r w:rsidRPr="009118AB">
        <w:rPr>
          <w:b/>
          <w:bCs/>
          <w:i/>
          <w:iCs/>
        </w:rPr>
        <w:t>Begriffsbestimmungen</w:t>
      </w:r>
    </w:p>
    <w:p w14:paraId="06D788C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A79337" w14:textId="5FBF44A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b/>
          <w:bCs/>
        </w:rPr>
        <w:t>TITEL II</w:t>
      </w:r>
      <w:r w:rsidR="00D67EB8" w:rsidRPr="009118AB">
        <w:t> - </w:t>
      </w:r>
      <w:r w:rsidRPr="009118AB">
        <w:rPr>
          <w:b/>
          <w:bCs/>
          <w:i/>
          <w:iCs/>
        </w:rPr>
        <w:t>Steuer der natürlichen Personen</w:t>
      </w:r>
    </w:p>
    <w:p w14:paraId="58C752A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BBFC22" w14:textId="1AE0C3A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b/>
          <w:bCs/>
        </w:rPr>
        <w:t>Kapitel </w:t>
      </w:r>
      <w:r w:rsidR="00464330" w:rsidRPr="009118AB">
        <w:rPr>
          <w:b/>
          <w:bCs/>
        </w:rPr>
        <w:t>1</w:t>
      </w:r>
      <w:r w:rsidR="00D67EB8" w:rsidRPr="009118AB">
        <w:t> - </w:t>
      </w:r>
      <w:r w:rsidRPr="009118AB">
        <w:rPr>
          <w:i/>
          <w:iCs/>
        </w:rPr>
        <w:t>Steuerpflichtige Personen</w:t>
      </w:r>
    </w:p>
    <w:p w14:paraId="53C4882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5A83E46" w14:textId="28E1912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b/>
          <w:bCs/>
        </w:rPr>
        <w:t>Kapitel </w:t>
      </w:r>
      <w:r w:rsidR="00464330" w:rsidRPr="009118AB">
        <w:rPr>
          <w:b/>
          <w:bCs/>
        </w:rPr>
        <w:t>2</w:t>
      </w:r>
      <w:r w:rsidR="00D67EB8" w:rsidRPr="009118AB">
        <w:t> - </w:t>
      </w:r>
      <w:r w:rsidRPr="009118AB">
        <w:rPr>
          <w:i/>
          <w:iCs/>
        </w:rPr>
        <w:t>Besteuerungsgrundlage</w:t>
      </w:r>
    </w:p>
    <w:p w14:paraId="1269D1CF"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0A2A587" w14:textId="2C11FB4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Abschnitt </w:t>
      </w:r>
      <w:r w:rsidR="006B602F" w:rsidRPr="009118AB">
        <w:rPr>
          <w:i/>
          <w:iCs/>
        </w:rPr>
        <w:t>1</w:t>
      </w:r>
      <w:r w:rsidR="00D67EB8" w:rsidRPr="009118AB">
        <w:t> - </w:t>
      </w:r>
      <w:r w:rsidRPr="009118AB">
        <w:t>Allgemeine Bestimmung des steuerpflichtigen Einkommens</w:t>
      </w:r>
    </w:p>
    <w:p w14:paraId="7AB4EFC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A5F86EE"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Abschnitt </w:t>
      </w:r>
      <w:r w:rsidR="006B602F" w:rsidRPr="009118AB">
        <w:rPr>
          <w:i/>
          <w:iCs/>
        </w:rPr>
        <w:t>2</w:t>
      </w:r>
      <w:r w:rsidRPr="009118AB">
        <w:t>- Einkünfte aus unbeweglichen Gütern</w:t>
      </w:r>
    </w:p>
    <w:p w14:paraId="0DC80B31"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E620927" w14:textId="16C4FC3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Unterabschnitt </w:t>
      </w:r>
      <w:r w:rsidR="006B602F" w:rsidRPr="009118AB">
        <w:t>1</w:t>
      </w:r>
      <w:r w:rsidR="00D67EB8" w:rsidRPr="009118AB">
        <w:t> - </w:t>
      </w:r>
      <w:r w:rsidRPr="009118AB">
        <w:t>Steuerpflichtige Einkünfte</w:t>
      </w:r>
    </w:p>
    <w:p w14:paraId="2205F968"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A3DD542" w14:textId="5F0510E2"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Unterabschnitt </w:t>
      </w:r>
      <w:r w:rsidR="006B602F" w:rsidRPr="009118AB">
        <w:t>2</w:t>
      </w:r>
      <w:r w:rsidR="00D67EB8" w:rsidRPr="009118AB">
        <w:t> - </w:t>
      </w:r>
      <w:r w:rsidRPr="009118AB">
        <w:t>Steuerfreie Einkünfte</w:t>
      </w:r>
    </w:p>
    <w:p w14:paraId="112B33F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174A521" w14:textId="3444E165"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Unterabschnitt </w:t>
      </w:r>
      <w:r w:rsidR="006B602F" w:rsidRPr="009118AB">
        <w:t>3</w:t>
      </w:r>
      <w:r w:rsidR="00D67EB8" w:rsidRPr="009118AB">
        <w:t> - </w:t>
      </w:r>
      <w:r w:rsidRPr="009118AB">
        <w:t>Festlegung des Nettoeinkommens</w:t>
      </w:r>
    </w:p>
    <w:p w14:paraId="32EFB12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06B76DD" w14:textId="5B3C523D"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Unterabschnitt </w:t>
      </w:r>
      <w:r w:rsidR="006B602F" w:rsidRPr="009118AB">
        <w:t>4</w:t>
      </w:r>
      <w:r w:rsidR="00D67EB8" w:rsidRPr="009118AB">
        <w:t> - </w:t>
      </w:r>
      <w:r w:rsidRPr="009118AB">
        <w:t>Wohnungsabzug</w:t>
      </w:r>
    </w:p>
    <w:p w14:paraId="25BBCC63"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09CAC1C" w14:textId="0EAFF928"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Abschnitt </w:t>
      </w:r>
      <w:r w:rsidR="006B602F" w:rsidRPr="009118AB">
        <w:rPr>
          <w:i/>
          <w:iCs/>
        </w:rPr>
        <w:t>3</w:t>
      </w:r>
      <w:r w:rsidR="00D67EB8" w:rsidRPr="009118AB">
        <w:t> - </w:t>
      </w:r>
      <w:r w:rsidRPr="009118AB">
        <w:t>Einkünfte aus Kapitalvermögen und beweglichen Gütern</w:t>
      </w:r>
    </w:p>
    <w:p w14:paraId="05838637"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1C0AFDE" w14:textId="74796469"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Unterabschnitt </w:t>
      </w:r>
      <w:r w:rsidR="006B602F" w:rsidRPr="009118AB">
        <w:t>1</w:t>
      </w:r>
      <w:r w:rsidR="00D67EB8" w:rsidRPr="009118AB">
        <w:t> - </w:t>
      </w:r>
      <w:r w:rsidRPr="009118AB">
        <w:t>Begriffsbestimmung</w:t>
      </w:r>
    </w:p>
    <w:p w14:paraId="7827A0DA"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52B6CB" w14:textId="625D28B4"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Unterabschnitt </w:t>
      </w:r>
      <w:r w:rsidR="006B602F" w:rsidRPr="009118AB">
        <w:t>2</w:t>
      </w:r>
      <w:r w:rsidR="00D67EB8" w:rsidRPr="009118AB">
        <w:t> - </w:t>
      </w:r>
      <w:r w:rsidRPr="009118AB">
        <w:t>Nicht als Einkünfte aus Kapitalvermögen und beweglichen Gütern steuerpflichtige Einkünfte</w:t>
      </w:r>
    </w:p>
    <w:p w14:paraId="373B5D4B"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B76CE06" w14:textId="3EC792DC"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Unterabschnitt </w:t>
      </w:r>
      <w:r w:rsidR="006B602F" w:rsidRPr="009118AB">
        <w:t>3</w:t>
      </w:r>
      <w:r w:rsidR="00D67EB8" w:rsidRPr="009118AB">
        <w:t> - </w:t>
      </w:r>
      <w:r w:rsidRPr="009118AB">
        <w:t>Festlegung des Nettoeinkommens</w:t>
      </w:r>
    </w:p>
    <w:p w14:paraId="17CABCD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7BB0C92" w14:textId="579B5626"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Abschnitt </w:t>
      </w:r>
      <w:r w:rsidR="006B602F" w:rsidRPr="009118AB">
        <w:rPr>
          <w:i/>
          <w:iCs/>
        </w:rPr>
        <w:t>4</w:t>
      </w:r>
      <w:r w:rsidR="00D67EB8" w:rsidRPr="009118AB">
        <w:t> - </w:t>
      </w:r>
      <w:r w:rsidRPr="009118AB">
        <w:t>Berufseinkünfte</w:t>
      </w:r>
    </w:p>
    <w:p w14:paraId="3DDE2B0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F25C4A0" w14:textId="541803AE"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t>Unterabschnitt </w:t>
      </w:r>
      <w:r w:rsidR="006B602F" w:rsidRPr="009118AB">
        <w:t>1</w:t>
      </w:r>
      <w:r w:rsidR="00D67EB8" w:rsidRPr="009118AB">
        <w:t> - </w:t>
      </w:r>
      <w:r w:rsidRPr="009118AB">
        <w:t>Steuerpflichtige Einkünfte</w:t>
      </w:r>
    </w:p>
    <w:p w14:paraId="36F4E520"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C06BC89"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A</w:t>
      </w:r>
      <w:r w:rsidRPr="009118AB">
        <w:t>. Allgemeines</w:t>
      </w:r>
    </w:p>
    <w:p w14:paraId="597BD1A6"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26AD22"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B</w:t>
      </w:r>
      <w:r w:rsidRPr="009118AB">
        <w:t>. Gewinne</w:t>
      </w:r>
    </w:p>
    <w:p w14:paraId="2CCCFDC5"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303154" w14:textId="77777777" w:rsidR="00477B8F" w:rsidRPr="009118AB"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118AB">
        <w:rPr>
          <w:i/>
          <w:iCs/>
        </w:rPr>
        <w:t>C</w:t>
      </w:r>
      <w:r w:rsidRPr="009118AB">
        <w:t>. Profite</w:t>
      </w:r>
    </w:p>
    <w:p w14:paraId="06E1374A" w14:textId="77777777" w:rsidR="006679D5" w:rsidRPr="009118AB" w:rsidRDefault="006679D5" w:rsidP="00477B8F">
      <w:pPr>
        <w:autoSpaceDE w:val="0"/>
        <w:autoSpaceDN w:val="0"/>
        <w:adjustRightInd w:val="0"/>
        <w:rPr>
          <w:i/>
          <w:iCs/>
        </w:rPr>
      </w:pPr>
    </w:p>
    <w:p w14:paraId="0912C836" w14:textId="77777777" w:rsidR="00477B8F" w:rsidRPr="009118AB" w:rsidRDefault="00477B8F" w:rsidP="00477B8F">
      <w:pPr>
        <w:autoSpaceDE w:val="0"/>
        <w:autoSpaceDN w:val="0"/>
        <w:adjustRightInd w:val="0"/>
      </w:pPr>
      <w:r w:rsidRPr="009118AB">
        <w:rPr>
          <w:i/>
          <w:iCs/>
        </w:rPr>
        <w:t>D</w:t>
      </w:r>
      <w:r w:rsidRPr="009118AB">
        <w:t>. Gewinne und Profite aus einer vorherigen Berufstätigkeit</w:t>
      </w:r>
    </w:p>
    <w:p w14:paraId="3097672E" w14:textId="77777777" w:rsidR="00477B8F" w:rsidRPr="009118AB" w:rsidRDefault="00477B8F" w:rsidP="00477B8F">
      <w:pPr>
        <w:autoSpaceDE w:val="0"/>
        <w:autoSpaceDN w:val="0"/>
        <w:adjustRightInd w:val="0"/>
      </w:pPr>
    </w:p>
    <w:p w14:paraId="3B5E25F4" w14:textId="77777777" w:rsidR="00477B8F" w:rsidRPr="009118AB" w:rsidRDefault="00477B8F" w:rsidP="00477B8F">
      <w:pPr>
        <w:autoSpaceDE w:val="0"/>
        <w:autoSpaceDN w:val="0"/>
        <w:adjustRightInd w:val="0"/>
      </w:pPr>
      <w:r w:rsidRPr="009118AB">
        <w:rPr>
          <w:i/>
          <w:iCs/>
        </w:rPr>
        <w:t>E</w:t>
      </w:r>
      <w:r w:rsidRPr="009118AB">
        <w:t>. Zivilrechtliche Gesellschaften oder Vereinigungen ohne Rechtspersönlichkeit</w:t>
      </w:r>
    </w:p>
    <w:p w14:paraId="25E2DE1B" w14:textId="77777777" w:rsidR="00477B8F" w:rsidRPr="009118AB" w:rsidRDefault="00477B8F" w:rsidP="00477B8F">
      <w:pPr>
        <w:autoSpaceDE w:val="0"/>
        <w:autoSpaceDN w:val="0"/>
        <w:adjustRightInd w:val="0"/>
      </w:pPr>
    </w:p>
    <w:p w14:paraId="0B6F6AD5" w14:textId="77777777" w:rsidR="00477B8F" w:rsidRPr="009118AB" w:rsidRDefault="00477B8F" w:rsidP="00477B8F">
      <w:pPr>
        <w:autoSpaceDE w:val="0"/>
        <w:autoSpaceDN w:val="0"/>
        <w:adjustRightInd w:val="0"/>
      </w:pPr>
      <w:r w:rsidRPr="009118AB">
        <w:rPr>
          <w:i/>
          <w:iCs/>
        </w:rPr>
        <w:t>F.</w:t>
      </w:r>
      <w:r w:rsidRPr="009118AB">
        <w:t xml:space="preserve"> Entlohnungen</w:t>
      </w:r>
    </w:p>
    <w:p w14:paraId="4C62299F" w14:textId="77777777" w:rsidR="00477B8F" w:rsidRPr="009118AB" w:rsidRDefault="00477B8F" w:rsidP="00477B8F">
      <w:pPr>
        <w:autoSpaceDE w:val="0"/>
        <w:autoSpaceDN w:val="0"/>
        <w:adjustRightInd w:val="0"/>
      </w:pPr>
      <w:r w:rsidRPr="009118AB">
        <w:rPr>
          <w:i/>
          <w:iCs/>
        </w:rPr>
        <w:t>G</w:t>
      </w:r>
      <w:r w:rsidRPr="009118AB">
        <w:t>. Pensionen, Renten und als solche geltende Zulagen</w:t>
      </w:r>
    </w:p>
    <w:p w14:paraId="6CE39419" w14:textId="77777777" w:rsidR="00477B8F" w:rsidRPr="009118AB" w:rsidRDefault="00477B8F" w:rsidP="00477B8F">
      <w:pPr>
        <w:autoSpaceDE w:val="0"/>
        <w:autoSpaceDN w:val="0"/>
        <w:adjustRightInd w:val="0"/>
      </w:pPr>
    </w:p>
    <w:p w14:paraId="71B56D07" w14:textId="77777777" w:rsidR="00477B8F" w:rsidRPr="009118AB" w:rsidRDefault="00477B8F" w:rsidP="00477B8F">
      <w:pPr>
        <w:autoSpaceDE w:val="0"/>
        <w:autoSpaceDN w:val="0"/>
        <w:adjustRightInd w:val="0"/>
      </w:pPr>
      <w:r w:rsidRPr="009118AB">
        <w:rPr>
          <w:i/>
          <w:iCs/>
        </w:rPr>
        <w:t>H</w:t>
      </w:r>
      <w:r w:rsidRPr="009118AB">
        <w:t>. Veranschlagung der anders als in bar erhaltenen Einkünfte</w:t>
      </w:r>
    </w:p>
    <w:p w14:paraId="58249FC0" w14:textId="77777777" w:rsidR="00477B8F" w:rsidRPr="009118AB" w:rsidRDefault="00477B8F" w:rsidP="00477B8F">
      <w:pPr>
        <w:autoSpaceDE w:val="0"/>
        <w:autoSpaceDN w:val="0"/>
        <w:adjustRightInd w:val="0"/>
      </w:pPr>
    </w:p>
    <w:p w14:paraId="10116C7C" w14:textId="77777777" w:rsidR="00477B8F" w:rsidRPr="009118AB" w:rsidRDefault="00477B8F" w:rsidP="00477B8F">
      <w:pPr>
        <w:autoSpaceDE w:val="0"/>
        <w:autoSpaceDN w:val="0"/>
        <w:adjustRightInd w:val="0"/>
      </w:pPr>
      <w:r w:rsidRPr="009118AB">
        <w:rPr>
          <w:i/>
          <w:iCs/>
        </w:rPr>
        <w:t>I</w:t>
      </w:r>
      <w:r w:rsidRPr="009118AB">
        <w:t>. Berufsbezogene Einkünfte aus unbeweglichen und beweglichen Gütern</w:t>
      </w:r>
    </w:p>
    <w:p w14:paraId="077B7B76" w14:textId="77777777" w:rsidR="00477B8F" w:rsidRPr="009118AB" w:rsidRDefault="00477B8F" w:rsidP="00477B8F">
      <w:pPr>
        <w:autoSpaceDE w:val="0"/>
        <w:autoSpaceDN w:val="0"/>
        <w:adjustRightInd w:val="0"/>
      </w:pPr>
    </w:p>
    <w:p w14:paraId="273C0A00" w14:textId="77777777" w:rsidR="00477B8F" w:rsidRPr="009118AB" w:rsidRDefault="00477B8F" w:rsidP="00477B8F">
      <w:pPr>
        <w:autoSpaceDE w:val="0"/>
        <w:autoSpaceDN w:val="0"/>
        <w:adjustRightInd w:val="0"/>
      </w:pPr>
      <w:r w:rsidRPr="009118AB">
        <w:rPr>
          <w:i/>
          <w:iCs/>
        </w:rPr>
        <w:t>J</w:t>
      </w:r>
      <w:r w:rsidRPr="009118AB">
        <w:t>. Berufsbezogene verschiedene Einkünfte</w:t>
      </w:r>
    </w:p>
    <w:p w14:paraId="45587B51" w14:textId="77777777" w:rsidR="00477B8F" w:rsidRPr="009118AB" w:rsidRDefault="00477B8F" w:rsidP="00477B8F">
      <w:pPr>
        <w:autoSpaceDE w:val="0"/>
        <w:autoSpaceDN w:val="0"/>
        <w:adjustRightInd w:val="0"/>
      </w:pPr>
    </w:p>
    <w:p w14:paraId="6E7F99AE" w14:textId="3EE227D7"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Steuerfreie Einkünfte</w:t>
      </w:r>
    </w:p>
    <w:p w14:paraId="30379E73" w14:textId="77777777" w:rsidR="00477B8F" w:rsidRPr="009118AB" w:rsidRDefault="00477B8F" w:rsidP="00477B8F">
      <w:pPr>
        <w:autoSpaceDE w:val="0"/>
        <w:autoSpaceDN w:val="0"/>
        <w:adjustRightInd w:val="0"/>
      </w:pPr>
    </w:p>
    <w:p w14:paraId="60C66D87" w14:textId="77777777" w:rsidR="00477B8F" w:rsidRPr="009118AB" w:rsidRDefault="00477B8F" w:rsidP="00477B8F">
      <w:pPr>
        <w:autoSpaceDE w:val="0"/>
        <w:autoSpaceDN w:val="0"/>
        <w:adjustRightInd w:val="0"/>
      </w:pPr>
      <w:r w:rsidRPr="009118AB">
        <w:rPr>
          <w:i/>
          <w:iCs/>
        </w:rPr>
        <w:t>A</w:t>
      </w:r>
      <w:r w:rsidRPr="009118AB">
        <w:t>. Soziale und kulturelle Steuerbefreiungen</w:t>
      </w:r>
    </w:p>
    <w:p w14:paraId="3764C662" w14:textId="77777777" w:rsidR="00477B8F" w:rsidRPr="009118AB" w:rsidRDefault="00477B8F" w:rsidP="00477B8F">
      <w:pPr>
        <w:autoSpaceDE w:val="0"/>
        <w:autoSpaceDN w:val="0"/>
        <w:adjustRightInd w:val="0"/>
      </w:pPr>
    </w:p>
    <w:p w14:paraId="301B7E7C" w14:textId="77777777" w:rsidR="00477B8F" w:rsidRPr="009118AB" w:rsidRDefault="00477B8F" w:rsidP="00477B8F">
      <w:pPr>
        <w:autoSpaceDE w:val="0"/>
        <w:autoSpaceDN w:val="0"/>
        <w:adjustRightInd w:val="0"/>
      </w:pPr>
      <w:r w:rsidRPr="009118AB">
        <w:rPr>
          <w:i/>
          <w:iCs/>
        </w:rPr>
        <w:t>B</w:t>
      </w:r>
      <w:r w:rsidRPr="009118AB">
        <w:t>. Steuerfreie Pensionen, Renten, Kapitalien, Sparguthaben und Rückkaufswerte</w:t>
      </w:r>
    </w:p>
    <w:p w14:paraId="29D02F91" w14:textId="77777777" w:rsidR="00477B8F" w:rsidRPr="009118AB" w:rsidRDefault="00477B8F" w:rsidP="00477B8F">
      <w:pPr>
        <w:autoSpaceDE w:val="0"/>
        <w:autoSpaceDN w:val="0"/>
        <w:adjustRightInd w:val="0"/>
      </w:pPr>
    </w:p>
    <w:p w14:paraId="32BDA352" w14:textId="77777777" w:rsidR="00477B8F" w:rsidRPr="009118AB" w:rsidRDefault="00477B8F" w:rsidP="00477B8F">
      <w:pPr>
        <w:autoSpaceDE w:val="0"/>
        <w:autoSpaceDN w:val="0"/>
        <w:adjustRightInd w:val="0"/>
      </w:pPr>
      <w:r w:rsidRPr="009118AB">
        <w:rPr>
          <w:i/>
          <w:iCs/>
        </w:rPr>
        <w:t>C</w:t>
      </w:r>
      <w:r w:rsidRPr="009118AB">
        <w:t>. Mehrwerte</w:t>
      </w:r>
    </w:p>
    <w:p w14:paraId="302F4BDE" w14:textId="77777777" w:rsidR="00477B8F" w:rsidRPr="009118AB" w:rsidRDefault="00477B8F" w:rsidP="00477B8F">
      <w:pPr>
        <w:autoSpaceDE w:val="0"/>
        <w:autoSpaceDN w:val="0"/>
        <w:adjustRightInd w:val="0"/>
      </w:pPr>
    </w:p>
    <w:p w14:paraId="217E5DA4" w14:textId="77777777" w:rsidR="00477B8F" w:rsidRPr="009118AB" w:rsidRDefault="00477B8F" w:rsidP="00477B8F">
      <w:pPr>
        <w:autoSpaceDE w:val="0"/>
        <w:autoSpaceDN w:val="0"/>
        <w:adjustRightInd w:val="0"/>
      </w:pPr>
      <w:r w:rsidRPr="009118AB">
        <w:rPr>
          <w:i/>
          <w:iCs/>
        </w:rPr>
        <w:t>D</w:t>
      </w:r>
      <w:r w:rsidRPr="009118AB">
        <w:t>. Steuerfreie Wertminderungen und Rückstellungen</w:t>
      </w:r>
    </w:p>
    <w:p w14:paraId="07DB15D4" w14:textId="77777777" w:rsidR="00477B8F" w:rsidRPr="009118AB" w:rsidRDefault="00477B8F" w:rsidP="00477B8F">
      <w:pPr>
        <w:autoSpaceDE w:val="0"/>
        <w:autoSpaceDN w:val="0"/>
        <w:adjustRightInd w:val="0"/>
      </w:pPr>
    </w:p>
    <w:p w14:paraId="7AE110CC" w14:textId="1BD091D0" w:rsidR="00477B8F" w:rsidRPr="009118AB" w:rsidRDefault="00477B8F" w:rsidP="00477B8F">
      <w:pPr>
        <w:autoSpaceDE w:val="0"/>
        <w:autoSpaceDN w:val="0"/>
        <w:adjustRightInd w:val="0"/>
      </w:pPr>
      <w:r w:rsidRPr="009118AB">
        <w:t>Unterabschnitt </w:t>
      </w:r>
      <w:r w:rsidR="006B602F" w:rsidRPr="009118AB">
        <w:t>3</w:t>
      </w:r>
      <w:r w:rsidR="00D67EB8" w:rsidRPr="009118AB">
        <w:t> - </w:t>
      </w:r>
      <w:r w:rsidRPr="009118AB">
        <w:t>Festlegung des Nettoeinkommens</w:t>
      </w:r>
    </w:p>
    <w:p w14:paraId="274E5773" w14:textId="77777777" w:rsidR="00477B8F" w:rsidRPr="009118AB" w:rsidRDefault="00477B8F" w:rsidP="00477B8F">
      <w:pPr>
        <w:autoSpaceDE w:val="0"/>
        <w:autoSpaceDN w:val="0"/>
        <w:adjustRightInd w:val="0"/>
      </w:pPr>
    </w:p>
    <w:p w14:paraId="037D9BA4" w14:textId="77777777" w:rsidR="00477B8F" w:rsidRPr="009118AB" w:rsidRDefault="00477B8F" w:rsidP="00477B8F">
      <w:pPr>
        <w:autoSpaceDE w:val="0"/>
        <w:autoSpaceDN w:val="0"/>
        <w:adjustRightInd w:val="0"/>
      </w:pPr>
      <w:r w:rsidRPr="009118AB">
        <w:rPr>
          <w:i/>
          <w:iCs/>
        </w:rPr>
        <w:t>A</w:t>
      </w:r>
      <w:r w:rsidRPr="009118AB">
        <w:t>. Werbungskosten</w:t>
      </w:r>
    </w:p>
    <w:p w14:paraId="04C89349" w14:textId="77777777" w:rsidR="00477B8F" w:rsidRPr="009118AB" w:rsidRDefault="00477B8F" w:rsidP="00477B8F">
      <w:pPr>
        <w:autoSpaceDE w:val="0"/>
        <w:autoSpaceDN w:val="0"/>
        <w:adjustRightInd w:val="0"/>
      </w:pPr>
    </w:p>
    <w:p w14:paraId="1DC70D8C" w14:textId="77777777" w:rsidR="00477B8F" w:rsidRPr="009118AB" w:rsidRDefault="00477B8F" w:rsidP="00477B8F">
      <w:pPr>
        <w:autoSpaceDE w:val="0"/>
        <w:autoSpaceDN w:val="0"/>
        <w:adjustRightInd w:val="0"/>
      </w:pPr>
      <w:r w:rsidRPr="009118AB">
        <w:rPr>
          <w:i/>
          <w:iCs/>
        </w:rPr>
        <w:t>B</w:t>
      </w:r>
      <w:r w:rsidRPr="009118AB">
        <w:t>. Wirtschaftliche Steuerbefreiungen</w:t>
      </w:r>
    </w:p>
    <w:p w14:paraId="785F65E9" w14:textId="77777777" w:rsidR="00477B8F" w:rsidRPr="009118AB" w:rsidRDefault="00477B8F" w:rsidP="00477B8F">
      <w:pPr>
        <w:autoSpaceDE w:val="0"/>
        <w:autoSpaceDN w:val="0"/>
        <w:adjustRightInd w:val="0"/>
      </w:pPr>
    </w:p>
    <w:p w14:paraId="7ED5825E" w14:textId="77777777" w:rsidR="00477B8F" w:rsidRPr="009118AB" w:rsidRDefault="00477B8F" w:rsidP="00477B8F">
      <w:pPr>
        <w:autoSpaceDE w:val="0"/>
        <w:autoSpaceDN w:val="0"/>
        <w:adjustRightInd w:val="0"/>
      </w:pPr>
      <w:r w:rsidRPr="009118AB">
        <w:t>1. Wissenschaftliche Forschung und Ausfuhr</w:t>
      </w:r>
    </w:p>
    <w:p w14:paraId="5FF7518C" w14:textId="77777777" w:rsidR="00477B8F" w:rsidRPr="009118AB" w:rsidRDefault="00477B8F" w:rsidP="00477B8F">
      <w:pPr>
        <w:autoSpaceDE w:val="0"/>
        <w:autoSpaceDN w:val="0"/>
        <w:adjustRightInd w:val="0"/>
      </w:pPr>
    </w:p>
    <w:p w14:paraId="2E005C60" w14:textId="77777777" w:rsidR="00477B8F" w:rsidRPr="009118AB" w:rsidRDefault="00477B8F" w:rsidP="00477B8F">
      <w:pPr>
        <w:autoSpaceDE w:val="0"/>
        <w:autoSpaceDN w:val="0"/>
        <w:adjustRightInd w:val="0"/>
      </w:pPr>
      <w:r w:rsidRPr="009118AB">
        <w:t>1</w:t>
      </w:r>
      <w:r w:rsidRPr="009118AB">
        <w:rPr>
          <w:i/>
          <w:iCs/>
        </w:rPr>
        <w:t>bis</w:t>
      </w:r>
      <w:r w:rsidRPr="009118AB">
        <w:t>. Betriebspraktikum</w:t>
      </w:r>
    </w:p>
    <w:p w14:paraId="5EE493A8" w14:textId="77777777" w:rsidR="00477B8F" w:rsidRPr="009118AB" w:rsidRDefault="00477B8F" w:rsidP="00477B8F">
      <w:pPr>
        <w:autoSpaceDE w:val="0"/>
        <w:autoSpaceDN w:val="0"/>
        <w:adjustRightInd w:val="0"/>
      </w:pPr>
    </w:p>
    <w:p w14:paraId="02018A7F" w14:textId="77777777" w:rsidR="00477B8F" w:rsidRPr="009118AB" w:rsidRDefault="00477B8F" w:rsidP="00477B8F">
      <w:pPr>
        <w:autoSpaceDE w:val="0"/>
        <w:autoSpaceDN w:val="0"/>
        <w:adjustRightInd w:val="0"/>
      </w:pPr>
      <w:r w:rsidRPr="009118AB">
        <w:t>2. Investitionsabzug</w:t>
      </w:r>
    </w:p>
    <w:p w14:paraId="102AE449" w14:textId="77777777" w:rsidR="00477B8F" w:rsidRPr="009118AB" w:rsidRDefault="00477B8F" w:rsidP="00477B8F">
      <w:pPr>
        <w:autoSpaceDE w:val="0"/>
        <w:autoSpaceDN w:val="0"/>
        <w:adjustRightInd w:val="0"/>
      </w:pPr>
    </w:p>
    <w:p w14:paraId="58847633" w14:textId="77777777" w:rsidR="00477B8F" w:rsidRPr="009118AB" w:rsidRDefault="00477B8F" w:rsidP="00477B8F">
      <w:pPr>
        <w:autoSpaceDE w:val="0"/>
        <w:autoSpaceDN w:val="0"/>
        <w:adjustRightInd w:val="0"/>
      </w:pPr>
      <w:r w:rsidRPr="009118AB">
        <w:rPr>
          <w:i/>
          <w:iCs/>
        </w:rPr>
        <w:t>C</w:t>
      </w:r>
      <w:r w:rsidRPr="009118AB">
        <w:t>. Berufliche Verluste</w:t>
      </w:r>
    </w:p>
    <w:p w14:paraId="6CB75D6A" w14:textId="77777777" w:rsidR="00477B8F" w:rsidRPr="009118AB" w:rsidRDefault="00477B8F" w:rsidP="00477B8F">
      <w:pPr>
        <w:autoSpaceDE w:val="0"/>
        <w:autoSpaceDN w:val="0"/>
        <w:adjustRightInd w:val="0"/>
        <w:rPr>
          <w:i/>
          <w:iCs/>
        </w:rPr>
      </w:pPr>
    </w:p>
    <w:p w14:paraId="51879202" w14:textId="77777777" w:rsidR="00477B8F" w:rsidRPr="009118AB" w:rsidRDefault="00477B8F" w:rsidP="00477B8F">
      <w:pPr>
        <w:autoSpaceDE w:val="0"/>
        <w:autoSpaceDN w:val="0"/>
        <w:adjustRightInd w:val="0"/>
      </w:pPr>
      <w:r w:rsidRPr="009118AB">
        <w:rPr>
          <w:i/>
          <w:iCs/>
        </w:rPr>
        <w:t>D.</w:t>
      </w:r>
      <w:r w:rsidRPr="009118AB">
        <w:t xml:space="preserve"> [...]</w:t>
      </w:r>
    </w:p>
    <w:p w14:paraId="58F94326" w14:textId="77777777" w:rsidR="00477B8F" w:rsidRPr="009118AB" w:rsidRDefault="00477B8F" w:rsidP="00477B8F">
      <w:pPr>
        <w:autoSpaceDE w:val="0"/>
        <w:autoSpaceDN w:val="0"/>
        <w:adjustRightInd w:val="0"/>
      </w:pPr>
    </w:p>
    <w:p w14:paraId="6D91DC46" w14:textId="7D3AB510" w:rsidR="00477B8F" w:rsidRPr="009118AB" w:rsidRDefault="00477B8F" w:rsidP="006679D5">
      <w:pPr>
        <w:autoSpaceDE w:val="0"/>
        <w:autoSpaceDN w:val="0"/>
        <w:adjustRightInd w:val="0"/>
        <w:jc w:val="both"/>
      </w:pPr>
      <w:r w:rsidRPr="009118AB">
        <w:t>Unterabschnitt </w:t>
      </w:r>
      <w:r w:rsidR="006B602F" w:rsidRPr="009118AB">
        <w:t>4</w:t>
      </w:r>
      <w:r w:rsidR="00D67EB8" w:rsidRPr="009118AB">
        <w:t> - </w:t>
      </w:r>
      <w:r w:rsidRPr="009118AB">
        <w:t>Zuerkennung an und Anrechnung auf den Ehepartner eines Teils der Berufseinkünfte</w:t>
      </w:r>
    </w:p>
    <w:p w14:paraId="0FBC509C" w14:textId="77777777" w:rsidR="00477B8F" w:rsidRPr="009118AB" w:rsidRDefault="00477B8F" w:rsidP="00477B8F">
      <w:pPr>
        <w:autoSpaceDE w:val="0"/>
        <w:autoSpaceDN w:val="0"/>
        <w:adjustRightInd w:val="0"/>
      </w:pPr>
    </w:p>
    <w:p w14:paraId="466D28CB" w14:textId="6B40FBB4" w:rsidR="00477B8F" w:rsidRPr="009118AB" w:rsidRDefault="00477B8F" w:rsidP="00477B8F">
      <w:pPr>
        <w:autoSpaceDE w:val="0"/>
        <w:autoSpaceDN w:val="0"/>
        <w:adjustRightInd w:val="0"/>
      </w:pPr>
      <w:r w:rsidRPr="009118AB">
        <w:rPr>
          <w:i/>
          <w:iCs/>
        </w:rPr>
        <w:t>Abschnitt </w:t>
      </w:r>
      <w:r w:rsidR="006B602F" w:rsidRPr="009118AB">
        <w:rPr>
          <w:i/>
          <w:iCs/>
        </w:rPr>
        <w:t>5</w:t>
      </w:r>
      <w:r w:rsidR="00D67EB8" w:rsidRPr="009118AB">
        <w:t> - </w:t>
      </w:r>
      <w:r w:rsidRPr="009118AB">
        <w:t>Verschiedene Einkünfte</w:t>
      </w:r>
    </w:p>
    <w:p w14:paraId="64C2CF75" w14:textId="77777777" w:rsidR="00477B8F" w:rsidRPr="009118AB" w:rsidRDefault="00477B8F" w:rsidP="00477B8F">
      <w:pPr>
        <w:autoSpaceDE w:val="0"/>
        <w:autoSpaceDN w:val="0"/>
        <w:adjustRightInd w:val="0"/>
      </w:pPr>
    </w:p>
    <w:p w14:paraId="209DA1EF" w14:textId="580DADC4" w:rsidR="00477B8F" w:rsidRPr="009118AB" w:rsidRDefault="00477B8F" w:rsidP="00477B8F">
      <w:pPr>
        <w:autoSpaceDE w:val="0"/>
        <w:autoSpaceDN w:val="0"/>
        <w:adjustRightInd w:val="0"/>
      </w:pPr>
      <w:r w:rsidRPr="009118AB">
        <w:t>Unterabschnitt </w:t>
      </w:r>
      <w:r w:rsidR="006B602F" w:rsidRPr="009118AB">
        <w:t>1</w:t>
      </w:r>
      <w:r w:rsidR="00D67EB8" w:rsidRPr="009118AB">
        <w:t> - </w:t>
      </w:r>
      <w:r w:rsidRPr="009118AB">
        <w:t>Begriffsbestimmung</w:t>
      </w:r>
    </w:p>
    <w:p w14:paraId="5A5A0CEA" w14:textId="77777777" w:rsidR="006679D5" w:rsidRPr="009118AB" w:rsidRDefault="006679D5" w:rsidP="00477B8F">
      <w:pPr>
        <w:autoSpaceDE w:val="0"/>
        <w:autoSpaceDN w:val="0"/>
        <w:adjustRightInd w:val="0"/>
      </w:pPr>
    </w:p>
    <w:p w14:paraId="4BAE4499" w14:textId="0DD51036"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Festlegung des Nettoeinkommens</w:t>
      </w:r>
    </w:p>
    <w:p w14:paraId="778A8861" w14:textId="77777777" w:rsidR="00477B8F" w:rsidRPr="009118AB" w:rsidRDefault="00477B8F" w:rsidP="00477B8F">
      <w:pPr>
        <w:autoSpaceDE w:val="0"/>
        <w:autoSpaceDN w:val="0"/>
        <w:adjustRightInd w:val="0"/>
      </w:pPr>
    </w:p>
    <w:p w14:paraId="189EF989" w14:textId="23A57931" w:rsidR="00477B8F" w:rsidRPr="009118AB" w:rsidRDefault="00477B8F" w:rsidP="00477B8F">
      <w:pPr>
        <w:autoSpaceDE w:val="0"/>
        <w:autoSpaceDN w:val="0"/>
        <w:adjustRightInd w:val="0"/>
      </w:pPr>
      <w:r w:rsidRPr="009118AB">
        <w:t>Unterabschnitt </w:t>
      </w:r>
      <w:r w:rsidR="006B602F" w:rsidRPr="009118AB">
        <w:t>3</w:t>
      </w:r>
      <w:r w:rsidR="00D67EB8" w:rsidRPr="009118AB">
        <w:t> - </w:t>
      </w:r>
      <w:r w:rsidRPr="009118AB">
        <w:t>Abzugsfähige Verluste</w:t>
      </w:r>
    </w:p>
    <w:p w14:paraId="25D7BFD5" w14:textId="77777777" w:rsidR="00477B8F" w:rsidRPr="009118AB" w:rsidRDefault="00477B8F" w:rsidP="00477B8F">
      <w:pPr>
        <w:autoSpaceDE w:val="0"/>
        <w:autoSpaceDN w:val="0"/>
        <w:adjustRightInd w:val="0"/>
      </w:pPr>
    </w:p>
    <w:p w14:paraId="60E717A8" w14:textId="5AA4058E" w:rsidR="00477B8F" w:rsidRPr="009118AB" w:rsidRDefault="00477B8F" w:rsidP="00477B8F">
      <w:pPr>
        <w:autoSpaceDE w:val="0"/>
        <w:autoSpaceDN w:val="0"/>
        <w:adjustRightInd w:val="0"/>
      </w:pPr>
      <w:r w:rsidRPr="009118AB">
        <w:rPr>
          <w:i/>
          <w:iCs/>
        </w:rPr>
        <w:t>Abschnitt </w:t>
      </w:r>
      <w:r w:rsidR="006B602F" w:rsidRPr="009118AB">
        <w:rPr>
          <w:i/>
          <w:iCs/>
        </w:rPr>
        <w:t>6</w:t>
      </w:r>
      <w:r w:rsidR="00D67EB8" w:rsidRPr="009118AB">
        <w:t> - </w:t>
      </w:r>
      <w:r w:rsidRPr="009118AB">
        <w:t>Abzugsfähige Ausgaben</w:t>
      </w:r>
    </w:p>
    <w:p w14:paraId="1C837A99" w14:textId="77777777" w:rsidR="00477B8F" w:rsidRPr="009118AB" w:rsidRDefault="00477B8F" w:rsidP="00477B8F">
      <w:pPr>
        <w:autoSpaceDE w:val="0"/>
        <w:autoSpaceDN w:val="0"/>
        <w:adjustRightInd w:val="0"/>
      </w:pPr>
    </w:p>
    <w:p w14:paraId="7B030F01" w14:textId="77777777" w:rsidR="00477B8F" w:rsidRPr="009118AB" w:rsidRDefault="00477B8F" w:rsidP="00477B8F">
      <w:pPr>
        <w:autoSpaceDE w:val="0"/>
        <w:autoSpaceDN w:val="0"/>
        <w:adjustRightInd w:val="0"/>
      </w:pPr>
      <w:r w:rsidRPr="009118AB">
        <w:rPr>
          <w:i/>
          <w:iCs/>
        </w:rPr>
        <w:t>A.</w:t>
      </w:r>
      <w:r w:rsidRPr="009118AB">
        <w:t xml:space="preserve"> Allgemeines</w:t>
      </w:r>
    </w:p>
    <w:p w14:paraId="3F6387E2" w14:textId="77777777" w:rsidR="00477B8F" w:rsidRPr="009118AB" w:rsidRDefault="00477B8F" w:rsidP="00477B8F">
      <w:pPr>
        <w:autoSpaceDE w:val="0"/>
        <w:autoSpaceDN w:val="0"/>
        <w:adjustRightInd w:val="0"/>
      </w:pPr>
    </w:p>
    <w:p w14:paraId="6860BFF1" w14:textId="77777777" w:rsidR="00477B8F" w:rsidRPr="009118AB" w:rsidRDefault="00477B8F" w:rsidP="00477B8F">
      <w:pPr>
        <w:autoSpaceDE w:val="0"/>
        <w:autoSpaceDN w:val="0"/>
        <w:adjustRightInd w:val="0"/>
      </w:pPr>
      <w:r w:rsidRPr="009118AB">
        <w:rPr>
          <w:i/>
          <w:iCs/>
        </w:rPr>
        <w:t>B.</w:t>
      </w:r>
      <w:r w:rsidRPr="009118AB">
        <w:t xml:space="preserve"> Unentgeltliche Zuwendungen</w:t>
      </w:r>
    </w:p>
    <w:p w14:paraId="62B06E65" w14:textId="77777777" w:rsidR="00477B8F" w:rsidRPr="009118AB" w:rsidRDefault="00477B8F" w:rsidP="00477B8F">
      <w:pPr>
        <w:autoSpaceDE w:val="0"/>
        <w:autoSpaceDN w:val="0"/>
        <w:adjustRightInd w:val="0"/>
      </w:pPr>
      <w:r w:rsidRPr="009118AB">
        <w:rPr>
          <w:i/>
          <w:iCs/>
        </w:rPr>
        <w:t>C</w:t>
      </w:r>
      <w:r w:rsidRPr="009118AB">
        <w:t>. Entlohnungen eines Hausangestellten</w:t>
      </w:r>
    </w:p>
    <w:p w14:paraId="2587FD79" w14:textId="77777777" w:rsidR="00477B8F" w:rsidRPr="009118AB" w:rsidRDefault="00477B8F" w:rsidP="00477B8F">
      <w:pPr>
        <w:autoSpaceDE w:val="0"/>
        <w:autoSpaceDN w:val="0"/>
        <w:adjustRightInd w:val="0"/>
      </w:pPr>
    </w:p>
    <w:p w14:paraId="6D13CA32" w14:textId="77777777" w:rsidR="00477B8F" w:rsidRPr="009118AB" w:rsidRDefault="00477B8F" w:rsidP="00477B8F">
      <w:pPr>
        <w:autoSpaceDE w:val="0"/>
        <w:autoSpaceDN w:val="0"/>
        <w:adjustRightInd w:val="0"/>
      </w:pPr>
      <w:r w:rsidRPr="009118AB">
        <w:rPr>
          <w:i/>
          <w:iCs/>
        </w:rPr>
        <w:t>D.</w:t>
      </w:r>
      <w:r w:rsidRPr="009118AB">
        <w:t xml:space="preserve"> Kinderbetreuung</w:t>
      </w:r>
    </w:p>
    <w:p w14:paraId="2B40C5B2" w14:textId="77777777" w:rsidR="00477B8F" w:rsidRPr="009118AB" w:rsidRDefault="00477B8F" w:rsidP="00477B8F">
      <w:pPr>
        <w:autoSpaceDE w:val="0"/>
        <w:autoSpaceDN w:val="0"/>
        <w:adjustRightInd w:val="0"/>
      </w:pPr>
    </w:p>
    <w:p w14:paraId="6EECF5EF" w14:textId="77777777" w:rsidR="00477B8F" w:rsidRPr="009118AB" w:rsidRDefault="00477B8F" w:rsidP="00477B8F">
      <w:pPr>
        <w:autoSpaceDE w:val="0"/>
        <w:autoSpaceDN w:val="0"/>
        <w:adjustRightInd w:val="0"/>
      </w:pPr>
      <w:r w:rsidRPr="009118AB">
        <w:rPr>
          <w:i/>
          <w:iCs/>
        </w:rPr>
        <w:t>E</w:t>
      </w:r>
      <w:r w:rsidRPr="009118AB">
        <w:t>. Abzug für die einzige Wohnung</w:t>
      </w:r>
    </w:p>
    <w:p w14:paraId="13A3BB7A" w14:textId="77777777" w:rsidR="00477B8F" w:rsidRPr="009118AB" w:rsidRDefault="00477B8F" w:rsidP="00477B8F">
      <w:pPr>
        <w:autoSpaceDE w:val="0"/>
        <w:autoSpaceDN w:val="0"/>
        <w:adjustRightInd w:val="0"/>
      </w:pPr>
    </w:p>
    <w:p w14:paraId="0B5BEF4C" w14:textId="77777777" w:rsidR="00477B8F" w:rsidRPr="009118AB" w:rsidRDefault="00477B8F" w:rsidP="00477B8F">
      <w:pPr>
        <w:autoSpaceDE w:val="0"/>
        <w:autoSpaceDN w:val="0"/>
        <w:adjustRightInd w:val="0"/>
      </w:pPr>
      <w:r w:rsidRPr="009118AB">
        <w:rPr>
          <w:i/>
          <w:iCs/>
        </w:rPr>
        <w:t>F.</w:t>
      </w:r>
      <w:r w:rsidRPr="009118AB">
        <w:t xml:space="preserve"> [...]</w:t>
      </w:r>
    </w:p>
    <w:p w14:paraId="60F7DE05" w14:textId="77777777" w:rsidR="00477B8F" w:rsidRPr="009118AB" w:rsidRDefault="00477B8F" w:rsidP="00477B8F">
      <w:pPr>
        <w:autoSpaceDE w:val="0"/>
        <w:autoSpaceDN w:val="0"/>
        <w:adjustRightInd w:val="0"/>
      </w:pPr>
    </w:p>
    <w:p w14:paraId="200D547D" w14:textId="09573DEE" w:rsidR="00477B8F" w:rsidRPr="009118AB" w:rsidRDefault="00477B8F" w:rsidP="00477B8F">
      <w:pPr>
        <w:autoSpaceDE w:val="0"/>
        <w:autoSpaceDN w:val="0"/>
        <w:adjustRightInd w:val="0"/>
      </w:pPr>
      <w:r w:rsidRPr="009118AB">
        <w:rPr>
          <w:i/>
          <w:iCs/>
        </w:rPr>
        <w:t>Abschnitt </w:t>
      </w:r>
      <w:r w:rsidR="006B602F" w:rsidRPr="009118AB">
        <w:rPr>
          <w:i/>
          <w:iCs/>
        </w:rPr>
        <w:t>7</w:t>
      </w:r>
      <w:r w:rsidR="00D67EB8" w:rsidRPr="009118AB">
        <w:rPr>
          <w:i/>
          <w:iCs/>
        </w:rPr>
        <w:t> - </w:t>
      </w:r>
      <w:r w:rsidRPr="009118AB">
        <w:t xml:space="preserve">Gemeinsame Veranlagung von Ehepartnern und gesetzlich </w:t>
      </w:r>
      <w:r w:rsidR="00AC6226" w:rsidRPr="009118AB">
        <w:t>Zu</w:t>
      </w:r>
      <w:r w:rsidRPr="009118AB">
        <w:t>sammenwohnenden</w:t>
      </w:r>
    </w:p>
    <w:p w14:paraId="3A6EFDC0" w14:textId="77777777" w:rsidR="00477B8F" w:rsidRPr="009118AB" w:rsidRDefault="00477B8F" w:rsidP="00477B8F">
      <w:pPr>
        <w:autoSpaceDE w:val="0"/>
        <w:autoSpaceDN w:val="0"/>
        <w:adjustRightInd w:val="0"/>
      </w:pPr>
    </w:p>
    <w:p w14:paraId="4F098D62" w14:textId="6C0F803A" w:rsidR="00477B8F" w:rsidRPr="009118AB" w:rsidRDefault="00477B8F" w:rsidP="00477B8F">
      <w:pPr>
        <w:autoSpaceDE w:val="0"/>
        <w:autoSpaceDN w:val="0"/>
        <w:adjustRightInd w:val="0"/>
      </w:pPr>
      <w:r w:rsidRPr="009118AB">
        <w:rPr>
          <w:b/>
          <w:bCs/>
        </w:rPr>
        <w:t>Kapitel </w:t>
      </w:r>
      <w:r w:rsidR="00464330" w:rsidRPr="009118AB">
        <w:rPr>
          <w:b/>
          <w:bCs/>
        </w:rPr>
        <w:t>3</w:t>
      </w:r>
      <w:r w:rsidR="00D67EB8" w:rsidRPr="009118AB">
        <w:t> - </w:t>
      </w:r>
      <w:r w:rsidRPr="009118AB">
        <w:rPr>
          <w:i/>
          <w:iCs/>
        </w:rPr>
        <w:t>Steuerberechnung</w:t>
      </w:r>
    </w:p>
    <w:p w14:paraId="3C81D240" w14:textId="77777777" w:rsidR="00477B8F" w:rsidRPr="009118AB" w:rsidRDefault="00477B8F" w:rsidP="00477B8F">
      <w:pPr>
        <w:autoSpaceDE w:val="0"/>
        <w:autoSpaceDN w:val="0"/>
        <w:adjustRightInd w:val="0"/>
      </w:pPr>
    </w:p>
    <w:p w14:paraId="5B6BBF6F" w14:textId="6F4411B7"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Gewöhnliches Besteuerungssystem</w:t>
      </w:r>
    </w:p>
    <w:p w14:paraId="4F9BEB87" w14:textId="77777777" w:rsidR="00477B8F" w:rsidRPr="009118AB" w:rsidRDefault="00477B8F" w:rsidP="00477B8F">
      <w:pPr>
        <w:autoSpaceDE w:val="0"/>
        <w:autoSpaceDN w:val="0"/>
        <w:adjustRightInd w:val="0"/>
      </w:pPr>
    </w:p>
    <w:p w14:paraId="2BA76A98" w14:textId="42CE97EA" w:rsidR="00477B8F" w:rsidRPr="009118AB" w:rsidRDefault="00477B8F" w:rsidP="00477B8F">
      <w:pPr>
        <w:autoSpaceDE w:val="0"/>
        <w:autoSpaceDN w:val="0"/>
        <w:adjustRightInd w:val="0"/>
      </w:pPr>
      <w:r w:rsidRPr="009118AB">
        <w:t>Unterabschnitt </w:t>
      </w:r>
      <w:r w:rsidR="006B602F" w:rsidRPr="009118AB">
        <w:t>1</w:t>
      </w:r>
      <w:r w:rsidR="00D67EB8" w:rsidRPr="009118AB">
        <w:t> - </w:t>
      </w:r>
      <w:r w:rsidRPr="009118AB">
        <w:t>Steuersätze</w:t>
      </w:r>
    </w:p>
    <w:p w14:paraId="50B106CF" w14:textId="77777777" w:rsidR="00477B8F" w:rsidRPr="009118AB" w:rsidRDefault="00477B8F" w:rsidP="00477B8F">
      <w:pPr>
        <w:autoSpaceDE w:val="0"/>
        <w:autoSpaceDN w:val="0"/>
        <w:adjustRightInd w:val="0"/>
      </w:pPr>
    </w:p>
    <w:p w14:paraId="325F18E1" w14:textId="38F89EEA"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Steuerfreibetrag</w:t>
      </w:r>
    </w:p>
    <w:p w14:paraId="054A35E0" w14:textId="77777777" w:rsidR="00477B8F" w:rsidRPr="009118AB" w:rsidRDefault="00477B8F" w:rsidP="00477B8F">
      <w:pPr>
        <w:autoSpaceDE w:val="0"/>
        <w:autoSpaceDN w:val="0"/>
        <w:adjustRightInd w:val="0"/>
      </w:pPr>
    </w:p>
    <w:p w14:paraId="0B018674" w14:textId="3EE6EC23" w:rsidR="00477B8F" w:rsidRPr="009118AB" w:rsidRDefault="00477B8F" w:rsidP="00477B8F">
      <w:pPr>
        <w:autoSpaceDE w:val="0"/>
        <w:autoSpaceDN w:val="0"/>
        <w:adjustRightInd w:val="0"/>
      </w:pPr>
      <w:r w:rsidRPr="009118AB">
        <w:t>Unterabschnitt </w:t>
      </w:r>
      <w:r w:rsidR="006B602F" w:rsidRPr="009118AB">
        <w:t>2</w:t>
      </w:r>
      <w:r w:rsidRPr="009118AB">
        <w:rPr>
          <w:i/>
          <w:iCs/>
        </w:rPr>
        <w:t>bis</w:t>
      </w:r>
      <w:r w:rsidR="00D67EB8" w:rsidRPr="009118AB">
        <w:t> - </w:t>
      </w:r>
      <w:r w:rsidRPr="009118AB">
        <w:t>Ermäßigung für langfristiges Sparen</w:t>
      </w:r>
    </w:p>
    <w:p w14:paraId="548FCCD5" w14:textId="77777777" w:rsidR="00477B8F" w:rsidRPr="009118AB" w:rsidRDefault="00477B8F" w:rsidP="00477B8F">
      <w:pPr>
        <w:autoSpaceDE w:val="0"/>
        <w:autoSpaceDN w:val="0"/>
        <w:adjustRightInd w:val="0"/>
      </w:pPr>
    </w:p>
    <w:p w14:paraId="2BB1E62A" w14:textId="77777777" w:rsidR="00477B8F" w:rsidRPr="009118AB" w:rsidRDefault="00477B8F" w:rsidP="00477B8F">
      <w:pPr>
        <w:autoSpaceDE w:val="0"/>
        <w:autoSpaceDN w:val="0"/>
        <w:adjustRightInd w:val="0"/>
      </w:pPr>
      <w:r w:rsidRPr="009118AB">
        <w:rPr>
          <w:i/>
          <w:iCs/>
        </w:rPr>
        <w:t>A</w:t>
      </w:r>
      <w:r w:rsidRPr="009118AB">
        <w:t>. Allgemeines</w:t>
      </w:r>
    </w:p>
    <w:p w14:paraId="62D7AA7A" w14:textId="77777777" w:rsidR="00477B8F" w:rsidRPr="009118AB" w:rsidRDefault="00477B8F" w:rsidP="00477B8F">
      <w:pPr>
        <w:autoSpaceDE w:val="0"/>
        <w:autoSpaceDN w:val="0"/>
        <w:adjustRightInd w:val="0"/>
      </w:pPr>
    </w:p>
    <w:p w14:paraId="06B406A1" w14:textId="77777777" w:rsidR="00477B8F" w:rsidRPr="009118AB" w:rsidRDefault="00477B8F" w:rsidP="00477B8F">
      <w:pPr>
        <w:autoSpaceDE w:val="0"/>
        <w:autoSpaceDN w:val="0"/>
        <w:adjustRightInd w:val="0"/>
      </w:pPr>
      <w:r w:rsidRPr="009118AB">
        <w:rPr>
          <w:i/>
          <w:iCs/>
        </w:rPr>
        <w:t>B</w:t>
      </w:r>
      <w:r w:rsidRPr="009118AB">
        <w:t>. Vom Arbeitgeber oder Unternehmen gezahlte persönliche Beiträge und Prämien</w:t>
      </w:r>
    </w:p>
    <w:p w14:paraId="436F0F14" w14:textId="77777777" w:rsidR="00477B8F" w:rsidRPr="009118AB" w:rsidRDefault="00477B8F" w:rsidP="00477B8F">
      <w:pPr>
        <w:autoSpaceDE w:val="0"/>
        <w:autoSpaceDN w:val="0"/>
        <w:adjustRightInd w:val="0"/>
      </w:pPr>
    </w:p>
    <w:p w14:paraId="16A23BC6" w14:textId="77777777" w:rsidR="00477B8F" w:rsidRPr="009118AB" w:rsidRDefault="00477B8F" w:rsidP="00477B8F">
      <w:pPr>
        <w:autoSpaceDE w:val="0"/>
        <w:autoSpaceDN w:val="0"/>
        <w:adjustRightInd w:val="0"/>
      </w:pPr>
      <w:r w:rsidRPr="009118AB">
        <w:rPr>
          <w:i/>
          <w:iCs/>
        </w:rPr>
        <w:t>C</w:t>
      </w:r>
      <w:r w:rsidRPr="009118AB">
        <w:t>. Individuelle Lebensversicherungsprämien</w:t>
      </w:r>
    </w:p>
    <w:p w14:paraId="68DBD5AC" w14:textId="77777777" w:rsidR="00477B8F" w:rsidRPr="009118AB" w:rsidRDefault="00477B8F" w:rsidP="00477B8F">
      <w:pPr>
        <w:autoSpaceDE w:val="0"/>
        <w:autoSpaceDN w:val="0"/>
        <w:adjustRightInd w:val="0"/>
      </w:pPr>
    </w:p>
    <w:p w14:paraId="54A110E8" w14:textId="77777777" w:rsidR="00477B8F" w:rsidRPr="009118AB" w:rsidRDefault="00477B8F" w:rsidP="00477B8F">
      <w:pPr>
        <w:autoSpaceDE w:val="0"/>
        <w:autoSpaceDN w:val="0"/>
        <w:adjustRightInd w:val="0"/>
      </w:pPr>
      <w:r w:rsidRPr="009118AB">
        <w:rPr>
          <w:i/>
          <w:iCs/>
        </w:rPr>
        <w:t>D</w:t>
      </w:r>
      <w:r w:rsidRPr="009118AB">
        <w:t>. Tilgung oder Wiederherstellung von Hypothekenanleihen</w:t>
      </w:r>
    </w:p>
    <w:p w14:paraId="421283ED" w14:textId="77777777" w:rsidR="00477B8F" w:rsidRPr="009118AB" w:rsidRDefault="00477B8F" w:rsidP="00477B8F">
      <w:pPr>
        <w:autoSpaceDE w:val="0"/>
        <w:autoSpaceDN w:val="0"/>
        <w:adjustRightInd w:val="0"/>
      </w:pPr>
    </w:p>
    <w:p w14:paraId="5B5BE74C" w14:textId="77777777" w:rsidR="00477B8F" w:rsidRPr="009118AB" w:rsidRDefault="00477B8F" w:rsidP="00477B8F">
      <w:pPr>
        <w:autoSpaceDE w:val="0"/>
        <w:autoSpaceDN w:val="0"/>
        <w:adjustRightInd w:val="0"/>
      </w:pPr>
      <w:r w:rsidRPr="009118AB">
        <w:rPr>
          <w:i/>
          <w:iCs/>
        </w:rPr>
        <w:t>E</w:t>
      </w:r>
      <w:r w:rsidRPr="009118AB">
        <w:t>. Erwerb von Aktien oder Anteilen des Kapitals der Arbeitgebergesellschaft</w:t>
      </w:r>
    </w:p>
    <w:p w14:paraId="6FC54465" w14:textId="77777777" w:rsidR="00477B8F" w:rsidRPr="009118AB" w:rsidRDefault="00477B8F" w:rsidP="00477B8F">
      <w:pPr>
        <w:autoSpaceDE w:val="0"/>
        <w:autoSpaceDN w:val="0"/>
        <w:adjustRightInd w:val="0"/>
      </w:pPr>
    </w:p>
    <w:p w14:paraId="7DDDC535" w14:textId="77777777" w:rsidR="00477B8F" w:rsidRPr="009118AB" w:rsidRDefault="00477B8F" w:rsidP="00477B8F">
      <w:pPr>
        <w:autoSpaceDE w:val="0"/>
        <w:autoSpaceDN w:val="0"/>
        <w:adjustRightInd w:val="0"/>
      </w:pPr>
      <w:r w:rsidRPr="009118AB">
        <w:rPr>
          <w:i/>
          <w:iCs/>
        </w:rPr>
        <w:t>F</w:t>
      </w:r>
      <w:r w:rsidRPr="009118AB">
        <w:t>. Zahlungen für das Pensionssparen</w:t>
      </w:r>
    </w:p>
    <w:p w14:paraId="3FE37F76" w14:textId="77777777" w:rsidR="00477B8F" w:rsidRPr="009118AB" w:rsidRDefault="00477B8F" w:rsidP="00477B8F">
      <w:pPr>
        <w:autoSpaceDE w:val="0"/>
        <w:autoSpaceDN w:val="0"/>
        <w:adjustRightInd w:val="0"/>
      </w:pPr>
    </w:p>
    <w:p w14:paraId="159D996D" w14:textId="77777777" w:rsidR="00477B8F" w:rsidRPr="009118AB" w:rsidRDefault="00477B8F" w:rsidP="00477B8F">
      <w:pPr>
        <w:autoSpaceDE w:val="0"/>
        <w:autoSpaceDN w:val="0"/>
        <w:adjustRightInd w:val="0"/>
      </w:pPr>
      <w:r w:rsidRPr="009118AB">
        <w:rPr>
          <w:i/>
          <w:iCs/>
        </w:rPr>
        <w:t>G.</w:t>
      </w:r>
      <w:r w:rsidRPr="009118AB">
        <w:t xml:space="preserve"> [...]</w:t>
      </w:r>
    </w:p>
    <w:p w14:paraId="5A13AFFB" w14:textId="77777777" w:rsidR="00477B8F" w:rsidRPr="009118AB" w:rsidRDefault="00477B8F" w:rsidP="00477B8F">
      <w:pPr>
        <w:autoSpaceDE w:val="0"/>
        <w:autoSpaceDN w:val="0"/>
        <w:adjustRightInd w:val="0"/>
      </w:pPr>
    </w:p>
    <w:p w14:paraId="405311AA" w14:textId="153D2CD6" w:rsidR="00477B8F" w:rsidRPr="009118AB" w:rsidRDefault="00477B8F" w:rsidP="00477B8F">
      <w:pPr>
        <w:autoSpaceDE w:val="0"/>
        <w:autoSpaceDN w:val="0"/>
        <w:adjustRightInd w:val="0"/>
      </w:pPr>
      <w:r w:rsidRPr="009118AB">
        <w:t>Unterabschnitt </w:t>
      </w:r>
      <w:r w:rsidR="006B602F" w:rsidRPr="009118AB">
        <w:t>2</w:t>
      </w:r>
      <w:r w:rsidRPr="009118AB">
        <w:rPr>
          <w:i/>
          <w:iCs/>
        </w:rPr>
        <w:t>ter</w:t>
      </w:r>
      <w:r w:rsidR="00D67EB8" w:rsidRPr="009118AB">
        <w:t> - </w:t>
      </w:r>
      <w:r w:rsidRPr="009118AB">
        <w:t>[...]</w:t>
      </w:r>
    </w:p>
    <w:p w14:paraId="4DD98CA9" w14:textId="77777777" w:rsidR="006679D5" w:rsidRPr="009118AB" w:rsidRDefault="006679D5" w:rsidP="00477B8F">
      <w:pPr>
        <w:autoSpaceDE w:val="0"/>
        <w:autoSpaceDN w:val="0"/>
        <w:adjustRightInd w:val="0"/>
      </w:pPr>
    </w:p>
    <w:p w14:paraId="2DF60A6F" w14:textId="4C171C20" w:rsidR="00477B8F" w:rsidRPr="009118AB" w:rsidRDefault="00477B8F" w:rsidP="006679D5">
      <w:pPr>
        <w:autoSpaceDE w:val="0"/>
        <w:autoSpaceDN w:val="0"/>
        <w:adjustRightInd w:val="0"/>
        <w:jc w:val="both"/>
      </w:pPr>
      <w:r w:rsidRPr="009118AB">
        <w:t>Unterabschnitt </w:t>
      </w:r>
      <w:r w:rsidR="006B602F" w:rsidRPr="009118AB">
        <w:t>2</w:t>
      </w:r>
      <w:r w:rsidRPr="009118AB">
        <w:rPr>
          <w:i/>
          <w:iCs/>
        </w:rPr>
        <w:t>quater</w:t>
      </w:r>
      <w:r w:rsidR="00D67EB8" w:rsidRPr="009118AB">
        <w:t> - </w:t>
      </w:r>
      <w:r w:rsidRPr="009118AB">
        <w:t>Ermäßigung für Ausgaben, die für Leistungen im Rahmen der lokalen Beschäftigungsagenturen gezahlt werden und für Leistungen, die mit Dienstleistungsschecks vergütet werden</w:t>
      </w:r>
    </w:p>
    <w:p w14:paraId="52FB1266" w14:textId="77777777" w:rsidR="00477B8F" w:rsidRPr="009118AB" w:rsidRDefault="00477B8F" w:rsidP="006679D5">
      <w:pPr>
        <w:autoSpaceDE w:val="0"/>
        <w:autoSpaceDN w:val="0"/>
        <w:adjustRightInd w:val="0"/>
        <w:jc w:val="both"/>
      </w:pPr>
    </w:p>
    <w:p w14:paraId="04FDB73D" w14:textId="40B13595" w:rsidR="00477B8F" w:rsidRPr="009118AB" w:rsidRDefault="00477B8F" w:rsidP="006679D5">
      <w:pPr>
        <w:autoSpaceDE w:val="0"/>
        <w:autoSpaceDN w:val="0"/>
        <w:adjustRightInd w:val="0"/>
        <w:jc w:val="both"/>
      </w:pPr>
      <w:r w:rsidRPr="009118AB">
        <w:t>Unterabschnitt </w:t>
      </w:r>
      <w:r w:rsidR="006B602F" w:rsidRPr="009118AB">
        <w:t>2</w:t>
      </w:r>
      <w:r w:rsidRPr="009118AB">
        <w:rPr>
          <w:i/>
          <w:iCs/>
        </w:rPr>
        <w:t>quinquies</w:t>
      </w:r>
      <w:r w:rsidR="00D67EB8" w:rsidRPr="009118AB">
        <w:t> - </w:t>
      </w:r>
      <w:r w:rsidRPr="009118AB">
        <w:t>Ermäßigung für Ausgaben zur Energieeinsparung</w:t>
      </w:r>
    </w:p>
    <w:p w14:paraId="146B4D05" w14:textId="77777777" w:rsidR="00477B8F" w:rsidRPr="009118AB" w:rsidRDefault="00477B8F" w:rsidP="006679D5">
      <w:pPr>
        <w:autoSpaceDE w:val="0"/>
        <w:autoSpaceDN w:val="0"/>
        <w:adjustRightInd w:val="0"/>
        <w:jc w:val="both"/>
      </w:pPr>
    </w:p>
    <w:p w14:paraId="73767295" w14:textId="5C213849" w:rsidR="00477B8F" w:rsidRPr="009118AB" w:rsidRDefault="00477B8F" w:rsidP="006679D5">
      <w:pPr>
        <w:autoSpaceDE w:val="0"/>
        <w:autoSpaceDN w:val="0"/>
        <w:adjustRightInd w:val="0"/>
        <w:jc w:val="both"/>
      </w:pPr>
      <w:r w:rsidRPr="009118AB">
        <w:t>Unterabschnitt </w:t>
      </w:r>
      <w:r w:rsidR="006B602F" w:rsidRPr="009118AB">
        <w:t>2</w:t>
      </w:r>
      <w:r w:rsidRPr="009118AB">
        <w:rPr>
          <w:i/>
          <w:iCs/>
        </w:rPr>
        <w:t>sexies</w:t>
      </w:r>
      <w:r w:rsidR="00D67EB8" w:rsidRPr="009118AB">
        <w:t> - </w:t>
      </w:r>
      <w:r w:rsidRPr="009118AB">
        <w:t>Ermäßigung für Ausgaben für die Renovierung von Wohnungen, die in einer großstädtischen Förderzone liegen</w:t>
      </w:r>
    </w:p>
    <w:p w14:paraId="2216C00F" w14:textId="77777777" w:rsidR="00477B8F" w:rsidRPr="009118AB" w:rsidRDefault="00477B8F" w:rsidP="006679D5">
      <w:pPr>
        <w:autoSpaceDE w:val="0"/>
        <w:autoSpaceDN w:val="0"/>
        <w:adjustRightInd w:val="0"/>
        <w:jc w:val="both"/>
      </w:pPr>
    </w:p>
    <w:p w14:paraId="5DD2B1BA" w14:textId="154F58AC" w:rsidR="00477B8F" w:rsidRPr="009118AB" w:rsidRDefault="00477B8F" w:rsidP="006679D5">
      <w:pPr>
        <w:autoSpaceDE w:val="0"/>
        <w:autoSpaceDN w:val="0"/>
        <w:adjustRightInd w:val="0"/>
        <w:jc w:val="both"/>
      </w:pPr>
      <w:r w:rsidRPr="009118AB">
        <w:t>Unterabschnitt </w:t>
      </w:r>
      <w:r w:rsidR="006B602F" w:rsidRPr="009118AB">
        <w:t>2</w:t>
      </w:r>
      <w:r w:rsidRPr="009118AB">
        <w:rPr>
          <w:i/>
          <w:iCs/>
        </w:rPr>
        <w:t>septies</w:t>
      </w:r>
      <w:r w:rsidR="00D67EB8" w:rsidRPr="009118AB">
        <w:t> - </w:t>
      </w:r>
      <w:r w:rsidRPr="009118AB">
        <w:t>Ermäßigung für den Erwerb von Schuldverschreibungen, die vom Fonds für Soziale und Nachhaltige Wirtschaft ausgegeben werden</w:t>
      </w:r>
      <w:r w:rsidR="00D67EB8" w:rsidRPr="009118AB">
        <w:t> - </w:t>
      </w:r>
      <w:r w:rsidRPr="009118AB">
        <w:t>Rücknahme der Ermäßigung</w:t>
      </w:r>
    </w:p>
    <w:p w14:paraId="76F901D6" w14:textId="77777777" w:rsidR="00477B8F" w:rsidRPr="009118AB" w:rsidRDefault="00477B8F" w:rsidP="00477B8F">
      <w:pPr>
        <w:autoSpaceDE w:val="0"/>
        <w:autoSpaceDN w:val="0"/>
        <w:adjustRightInd w:val="0"/>
      </w:pPr>
    </w:p>
    <w:p w14:paraId="49C863B4" w14:textId="44D24091" w:rsidR="00477B8F" w:rsidRPr="009118AB" w:rsidRDefault="00477B8F" w:rsidP="006679D5">
      <w:pPr>
        <w:autoSpaceDE w:val="0"/>
        <w:autoSpaceDN w:val="0"/>
        <w:adjustRightInd w:val="0"/>
        <w:jc w:val="both"/>
      </w:pPr>
      <w:r w:rsidRPr="009118AB">
        <w:t>Unterabschnitt </w:t>
      </w:r>
      <w:r w:rsidR="006B602F" w:rsidRPr="009118AB">
        <w:t>2</w:t>
      </w:r>
      <w:r w:rsidRPr="009118AB">
        <w:rPr>
          <w:i/>
          <w:iCs/>
        </w:rPr>
        <w:t>octies</w:t>
      </w:r>
      <w:r w:rsidR="00D67EB8" w:rsidRPr="009118AB">
        <w:t> - </w:t>
      </w:r>
      <w:r w:rsidRPr="009118AB">
        <w:t>Ermäßigung für den Erwerb von Schuldverschreibungen, die vom Starterfonds ausgegeben werden</w:t>
      </w:r>
      <w:r w:rsidR="00D67EB8" w:rsidRPr="009118AB">
        <w:t> - </w:t>
      </w:r>
      <w:r w:rsidRPr="009118AB">
        <w:t>Rücknahme der Ermäßigung</w:t>
      </w:r>
    </w:p>
    <w:p w14:paraId="27A5DF10" w14:textId="77777777" w:rsidR="00477B8F" w:rsidRPr="009118AB" w:rsidRDefault="00477B8F" w:rsidP="006679D5">
      <w:pPr>
        <w:autoSpaceDE w:val="0"/>
        <w:autoSpaceDN w:val="0"/>
        <w:adjustRightInd w:val="0"/>
        <w:jc w:val="both"/>
      </w:pPr>
    </w:p>
    <w:p w14:paraId="216B2728" w14:textId="1AC32037" w:rsidR="00477B8F" w:rsidRPr="009118AB" w:rsidRDefault="00477B8F" w:rsidP="006679D5">
      <w:pPr>
        <w:autoSpaceDE w:val="0"/>
        <w:autoSpaceDN w:val="0"/>
        <w:adjustRightInd w:val="0"/>
        <w:jc w:val="both"/>
      </w:pPr>
      <w:r w:rsidRPr="009118AB">
        <w:t>Unterabschnitt </w:t>
      </w:r>
      <w:r w:rsidR="006B602F" w:rsidRPr="009118AB">
        <w:t>2</w:t>
      </w:r>
      <w:r w:rsidRPr="009118AB">
        <w:rPr>
          <w:i/>
          <w:iCs/>
        </w:rPr>
        <w:t>nonies</w:t>
      </w:r>
      <w:r w:rsidR="00D67EB8" w:rsidRPr="009118AB">
        <w:t> - </w:t>
      </w:r>
      <w:r w:rsidRPr="009118AB">
        <w:t>Ermäßigung für Ausgaben für den Erwerb eines Fahrzeugs mit einer maximalen Emission von 115 Gramm CO</w:t>
      </w:r>
      <w:r w:rsidRPr="009118AB">
        <w:rPr>
          <w:vertAlign w:val="subscript"/>
        </w:rPr>
        <w:t>2</w:t>
      </w:r>
      <w:r w:rsidRPr="009118AB">
        <w:t xml:space="preserve"> pro Kilometer</w:t>
      </w:r>
    </w:p>
    <w:p w14:paraId="26C9E1CE" w14:textId="77777777" w:rsidR="00477B8F" w:rsidRPr="009118AB" w:rsidRDefault="00477B8F" w:rsidP="006679D5">
      <w:pPr>
        <w:autoSpaceDE w:val="0"/>
        <w:autoSpaceDN w:val="0"/>
        <w:adjustRightInd w:val="0"/>
        <w:jc w:val="both"/>
      </w:pPr>
    </w:p>
    <w:p w14:paraId="29E85F20" w14:textId="7BB36914" w:rsidR="00477B8F" w:rsidRPr="009118AB" w:rsidRDefault="00477B8F" w:rsidP="006679D5">
      <w:pPr>
        <w:autoSpaceDE w:val="0"/>
        <w:autoSpaceDN w:val="0"/>
        <w:adjustRightInd w:val="0"/>
        <w:jc w:val="both"/>
      </w:pPr>
      <w:r w:rsidRPr="009118AB">
        <w:t>Unterabschnitt </w:t>
      </w:r>
      <w:r w:rsidR="006B602F" w:rsidRPr="009118AB">
        <w:t>2</w:t>
      </w:r>
      <w:r w:rsidRPr="009118AB">
        <w:rPr>
          <w:i/>
          <w:iCs/>
        </w:rPr>
        <w:t>decies</w:t>
      </w:r>
      <w:r w:rsidR="00D67EB8" w:rsidRPr="009118AB">
        <w:t> - </w:t>
      </w:r>
      <w:r w:rsidRPr="009118AB">
        <w:t>Ermäßigung für den Erwerb von Schuldverschreibungen, die vom Fonds zur Senkung der Gesamtenergiekosten ausgegeben werden</w:t>
      </w:r>
      <w:r w:rsidR="00D67EB8" w:rsidRPr="009118AB">
        <w:t> - </w:t>
      </w:r>
      <w:r w:rsidRPr="009118AB">
        <w:t>Rücknahme der Ermäßigung</w:t>
      </w:r>
    </w:p>
    <w:p w14:paraId="52960672" w14:textId="77777777" w:rsidR="00477B8F" w:rsidRPr="009118AB" w:rsidRDefault="00477B8F" w:rsidP="00477B8F">
      <w:pPr>
        <w:autoSpaceDE w:val="0"/>
        <w:autoSpaceDN w:val="0"/>
        <w:adjustRightInd w:val="0"/>
      </w:pPr>
    </w:p>
    <w:p w14:paraId="6082299D" w14:textId="38C3BD04" w:rsidR="00477B8F" w:rsidRPr="009118AB" w:rsidRDefault="00477B8F" w:rsidP="00477B8F">
      <w:pPr>
        <w:autoSpaceDE w:val="0"/>
        <w:autoSpaceDN w:val="0"/>
        <w:adjustRightInd w:val="0"/>
      </w:pPr>
      <w:r w:rsidRPr="009118AB">
        <w:t>Unterabschnitt </w:t>
      </w:r>
      <w:r w:rsidR="006B602F" w:rsidRPr="009118AB">
        <w:t>3</w:t>
      </w:r>
      <w:r w:rsidR="00D67EB8" w:rsidRPr="009118AB">
        <w:t> - </w:t>
      </w:r>
      <w:r w:rsidRPr="009118AB">
        <w:t>Ermäßigung für Pensionen und Ersatzeinkünfte</w:t>
      </w:r>
    </w:p>
    <w:p w14:paraId="7C8362F1" w14:textId="77777777" w:rsidR="00477B8F" w:rsidRPr="009118AB" w:rsidRDefault="00477B8F" w:rsidP="00477B8F">
      <w:pPr>
        <w:autoSpaceDE w:val="0"/>
        <w:autoSpaceDN w:val="0"/>
        <w:adjustRightInd w:val="0"/>
      </w:pPr>
    </w:p>
    <w:p w14:paraId="5777C1DE" w14:textId="062E1072" w:rsidR="00477B8F" w:rsidRPr="009118AB" w:rsidRDefault="00477B8F" w:rsidP="006679D5">
      <w:pPr>
        <w:autoSpaceDE w:val="0"/>
        <w:autoSpaceDN w:val="0"/>
        <w:adjustRightInd w:val="0"/>
        <w:jc w:val="both"/>
      </w:pPr>
      <w:r w:rsidRPr="009118AB">
        <w:t>Unterabschnitt </w:t>
      </w:r>
      <w:r w:rsidR="006B602F" w:rsidRPr="009118AB">
        <w:t>3</w:t>
      </w:r>
      <w:r w:rsidRPr="009118AB">
        <w:rPr>
          <w:i/>
          <w:iCs/>
        </w:rPr>
        <w:t>bis</w:t>
      </w:r>
      <w:r w:rsidR="00D67EB8" w:rsidRPr="009118AB">
        <w:t> - </w:t>
      </w:r>
      <w:r w:rsidRPr="009118AB">
        <w:t>Ermäßigung für Entlohnungen aufgrund geleisteter Überarbeit, die zu einer Lohnzulage berechtigt</w:t>
      </w:r>
    </w:p>
    <w:p w14:paraId="2855477A" w14:textId="77777777" w:rsidR="00477B8F" w:rsidRPr="009118AB" w:rsidRDefault="00477B8F" w:rsidP="00477B8F">
      <w:pPr>
        <w:autoSpaceDE w:val="0"/>
        <w:autoSpaceDN w:val="0"/>
        <w:adjustRightInd w:val="0"/>
      </w:pPr>
    </w:p>
    <w:p w14:paraId="6AA3E763" w14:textId="2E51C17E" w:rsidR="00477B8F" w:rsidRPr="009118AB" w:rsidRDefault="00477B8F" w:rsidP="00477B8F">
      <w:pPr>
        <w:autoSpaceDE w:val="0"/>
        <w:autoSpaceDN w:val="0"/>
        <w:adjustRightInd w:val="0"/>
      </w:pPr>
      <w:r w:rsidRPr="009118AB">
        <w:t>Unterabschnitt </w:t>
      </w:r>
      <w:r w:rsidR="006B602F" w:rsidRPr="009118AB">
        <w:t>4</w:t>
      </w:r>
      <w:r w:rsidR="00D67EB8" w:rsidRPr="009118AB">
        <w:t> - </w:t>
      </w:r>
      <w:r w:rsidRPr="009118AB">
        <w:t>Ermäßigung für Einkünfte ausländischer Herkunft</w:t>
      </w:r>
    </w:p>
    <w:p w14:paraId="2CF0B987" w14:textId="77777777" w:rsidR="00477B8F" w:rsidRPr="009118AB" w:rsidRDefault="00477B8F" w:rsidP="00477B8F">
      <w:pPr>
        <w:autoSpaceDE w:val="0"/>
        <w:autoSpaceDN w:val="0"/>
        <w:adjustRightInd w:val="0"/>
      </w:pPr>
    </w:p>
    <w:p w14:paraId="2A0A2D7C" w14:textId="5F7D65DC" w:rsidR="00477B8F" w:rsidRPr="009118AB" w:rsidRDefault="00477B8F" w:rsidP="00477B8F">
      <w:pPr>
        <w:autoSpaceDE w:val="0"/>
        <w:autoSpaceDN w:val="0"/>
        <w:adjustRightInd w:val="0"/>
      </w:pPr>
      <w:r w:rsidRPr="009118AB">
        <w:t>Unterabschnitt </w:t>
      </w:r>
      <w:r w:rsidR="006B602F" w:rsidRPr="009118AB">
        <w:t>5</w:t>
      </w:r>
      <w:r w:rsidR="00D67EB8" w:rsidRPr="009118AB">
        <w:t> - </w:t>
      </w:r>
      <w:r w:rsidRPr="009118AB">
        <w:t>Erhöhung bei ausbleibender oder unzureichender Vorauszahlung</w:t>
      </w:r>
    </w:p>
    <w:p w14:paraId="637FC5C9" w14:textId="77777777" w:rsidR="00477B8F" w:rsidRPr="009118AB" w:rsidRDefault="00477B8F" w:rsidP="00477B8F">
      <w:pPr>
        <w:autoSpaceDE w:val="0"/>
        <w:autoSpaceDN w:val="0"/>
        <w:adjustRightInd w:val="0"/>
      </w:pPr>
    </w:p>
    <w:p w14:paraId="37D3A4C2" w14:textId="30A65B55"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Besondere Besteuerungssysteme</w:t>
      </w:r>
    </w:p>
    <w:p w14:paraId="4D64802A" w14:textId="77777777" w:rsidR="00477B8F" w:rsidRPr="009118AB" w:rsidRDefault="00477B8F" w:rsidP="00477B8F">
      <w:pPr>
        <w:autoSpaceDE w:val="0"/>
        <w:autoSpaceDN w:val="0"/>
        <w:adjustRightInd w:val="0"/>
      </w:pPr>
    </w:p>
    <w:p w14:paraId="2395B55C" w14:textId="24D85FCF" w:rsidR="00477B8F" w:rsidRPr="009118AB" w:rsidRDefault="00477B8F" w:rsidP="006679D5">
      <w:pPr>
        <w:autoSpaceDE w:val="0"/>
        <w:autoSpaceDN w:val="0"/>
        <w:adjustRightInd w:val="0"/>
        <w:jc w:val="both"/>
      </w:pPr>
      <w:r w:rsidRPr="009118AB">
        <w:t>Unterabschnitt </w:t>
      </w:r>
      <w:r w:rsidR="006B602F" w:rsidRPr="009118AB">
        <w:t>1</w:t>
      </w:r>
      <w:r w:rsidR="00D67EB8" w:rsidRPr="009118AB">
        <w:t> - </w:t>
      </w:r>
      <w:r w:rsidRPr="009118AB">
        <w:t>Umwandlung bestimmter Kapitalien, Zulagen und Rückkaufswerte in Leibrenten</w:t>
      </w:r>
    </w:p>
    <w:p w14:paraId="415B45B1" w14:textId="77777777" w:rsidR="00477B8F" w:rsidRPr="009118AB" w:rsidRDefault="00477B8F" w:rsidP="00477B8F">
      <w:pPr>
        <w:autoSpaceDE w:val="0"/>
        <w:autoSpaceDN w:val="0"/>
        <w:adjustRightInd w:val="0"/>
      </w:pPr>
    </w:p>
    <w:p w14:paraId="658D64C6" w14:textId="050AA5C4"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Getrennte Veranlagungen</w:t>
      </w:r>
    </w:p>
    <w:p w14:paraId="7C5FF916" w14:textId="77777777" w:rsidR="00477B8F" w:rsidRPr="009118AB" w:rsidRDefault="00477B8F" w:rsidP="00477B8F">
      <w:pPr>
        <w:autoSpaceDE w:val="0"/>
        <w:autoSpaceDN w:val="0"/>
        <w:adjustRightInd w:val="0"/>
      </w:pPr>
    </w:p>
    <w:p w14:paraId="08E3B62F" w14:textId="21A75A26"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rPr>
          <w:i/>
          <w:iCs/>
        </w:rPr>
        <w:t> - </w:t>
      </w:r>
      <w:r w:rsidRPr="009118AB">
        <w:t>Vergütung für Steuervorauszahlung</w:t>
      </w:r>
    </w:p>
    <w:p w14:paraId="22D0DFD9" w14:textId="77777777" w:rsidR="00477B8F" w:rsidRPr="009118AB" w:rsidRDefault="00477B8F" w:rsidP="00477B8F">
      <w:pPr>
        <w:autoSpaceDE w:val="0"/>
        <w:autoSpaceDN w:val="0"/>
        <w:adjustRightInd w:val="0"/>
      </w:pPr>
    </w:p>
    <w:p w14:paraId="42285934" w14:textId="4C53EE8D" w:rsidR="00477B8F" w:rsidRPr="009118AB" w:rsidRDefault="00477B8F" w:rsidP="00477B8F">
      <w:pPr>
        <w:autoSpaceDE w:val="0"/>
        <w:autoSpaceDN w:val="0"/>
        <w:adjustRightInd w:val="0"/>
      </w:pPr>
      <w:r w:rsidRPr="009118AB">
        <w:rPr>
          <w:i/>
          <w:iCs/>
        </w:rPr>
        <w:t>Abschnitt </w:t>
      </w:r>
      <w:r w:rsidR="006B602F" w:rsidRPr="009118AB">
        <w:rPr>
          <w:i/>
          <w:iCs/>
        </w:rPr>
        <w:t>4</w:t>
      </w:r>
      <w:r w:rsidR="00D67EB8" w:rsidRPr="009118AB">
        <w:t> - </w:t>
      </w:r>
      <w:r w:rsidRPr="009118AB">
        <w:t>Jährliche Indexierung</w:t>
      </w:r>
    </w:p>
    <w:p w14:paraId="20F303C6" w14:textId="77777777" w:rsidR="00477B8F" w:rsidRPr="009118AB" w:rsidRDefault="00477B8F" w:rsidP="00477B8F">
      <w:pPr>
        <w:autoSpaceDE w:val="0"/>
        <w:autoSpaceDN w:val="0"/>
        <w:adjustRightInd w:val="0"/>
      </w:pPr>
    </w:p>
    <w:p w14:paraId="25E47B47" w14:textId="78EBFCFB" w:rsidR="00477B8F" w:rsidRPr="009118AB" w:rsidRDefault="00477B8F" w:rsidP="00477B8F">
      <w:pPr>
        <w:autoSpaceDE w:val="0"/>
        <w:autoSpaceDN w:val="0"/>
        <w:adjustRightInd w:val="0"/>
      </w:pPr>
      <w:r w:rsidRPr="009118AB">
        <w:rPr>
          <w:b/>
          <w:bCs/>
        </w:rPr>
        <w:t>TITEL III</w:t>
      </w:r>
      <w:r w:rsidR="00D67EB8" w:rsidRPr="009118AB">
        <w:rPr>
          <w:b/>
          <w:bCs/>
        </w:rPr>
        <w:t> - </w:t>
      </w:r>
      <w:r w:rsidRPr="009118AB">
        <w:rPr>
          <w:b/>
          <w:bCs/>
          <w:i/>
          <w:iCs/>
        </w:rPr>
        <w:t>Gesellschaftssteuer</w:t>
      </w:r>
    </w:p>
    <w:p w14:paraId="495A1D0C" w14:textId="77777777" w:rsidR="00477B8F" w:rsidRPr="009118AB" w:rsidRDefault="00477B8F" w:rsidP="00477B8F">
      <w:pPr>
        <w:autoSpaceDE w:val="0"/>
        <w:autoSpaceDN w:val="0"/>
        <w:adjustRightInd w:val="0"/>
      </w:pPr>
    </w:p>
    <w:p w14:paraId="21192F6D" w14:textId="2CBD1CC0" w:rsidR="00477B8F" w:rsidRPr="009118AB" w:rsidRDefault="00477B8F" w:rsidP="00477B8F">
      <w:pPr>
        <w:autoSpaceDE w:val="0"/>
        <w:autoSpaceDN w:val="0"/>
        <w:adjustRightInd w:val="0"/>
      </w:pPr>
      <w:r w:rsidRPr="009118AB">
        <w:rPr>
          <w:b/>
          <w:bCs/>
        </w:rPr>
        <w:t>Kapitel </w:t>
      </w:r>
      <w:r w:rsidR="00464330" w:rsidRPr="009118AB">
        <w:rPr>
          <w:b/>
          <w:bCs/>
        </w:rPr>
        <w:t>1</w:t>
      </w:r>
      <w:r w:rsidR="00D67EB8" w:rsidRPr="009118AB">
        <w:t> - </w:t>
      </w:r>
      <w:r w:rsidRPr="009118AB">
        <w:rPr>
          <w:i/>
          <w:iCs/>
        </w:rPr>
        <w:t>Steuerpflichtige Gesellschaften</w:t>
      </w:r>
    </w:p>
    <w:p w14:paraId="5E3D28CF" w14:textId="77777777" w:rsidR="006679D5" w:rsidRPr="009118AB" w:rsidRDefault="006679D5" w:rsidP="00477B8F">
      <w:pPr>
        <w:autoSpaceDE w:val="0"/>
        <w:autoSpaceDN w:val="0"/>
        <w:adjustRightInd w:val="0"/>
        <w:rPr>
          <w:b/>
          <w:bCs/>
        </w:rPr>
      </w:pPr>
    </w:p>
    <w:p w14:paraId="6B538096" w14:textId="4614F348" w:rsidR="00477B8F" w:rsidRPr="009118AB" w:rsidRDefault="00477B8F" w:rsidP="00477B8F">
      <w:pPr>
        <w:autoSpaceDE w:val="0"/>
        <w:autoSpaceDN w:val="0"/>
        <w:adjustRightInd w:val="0"/>
      </w:pPr>
      <w:r w:rsidRPr="009118AB">
        <w:rPr>
          <w:b/>
          <w:bCs/>
        </w:rPr>
        <w:t>Kapitel </w:t>
      </w:r>
      <w:r w:rsidR="00464330" w:rsidRPr="009118AB">
        <w:rPr>
          <w:b/>
          <w:bCs/>
        </w:rPr>
        <w:t>2</w:t>
      </w:r>
      <w:r w:rsidR="00D67EB8" w:rsidRPr="009118AB">
        <w:t> - </w:t>
      </w:r>
      <w:r w:rsidRPr="009118AB">
        <w:rPr>
          <w:i/>
          <w:iCs/>
        </w:rPr>
        <w:t>Besteuerungsgrundlage</w:t>
      </w:r>
    </w:p>
    <w:p w14:paraId="7D78F033" w14:textId="77777777" w:rsidR="00477B8F" w:rsidRPr="009118AB" w:rsidRDefault="00477B8F" w:rsidP="00477B8F">
      <w:pPr>
        <w:autoSpaceDE w:val="0"/>
        <w:autoSpaceDN w:val="0"/>
        <w:adjustRightInd w:val="0"/>
      </w:pPr>
    </w:p>
    <w:p w14:paraId="23A3E285" w14:textId="3FFD4880"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Allgemeine Bestimmungen</w:t>
      </w:r>
    </w:p>
    <w:p w14:paraId="6135C3E2" w14:textId="77777777" w:rsidR="00477B8F" w:rsidRPr="009118AB" w:rsidRDefault="00477B8F" w:rsidP="00477B8F">
      <w:pPr>
        <w:autoSpaceDE w:val="0"/>
        <w:autoSpaceDN w:val="0"/>
        <w:adjustRightInd w:val="0"/>
      </w:pPr>
    </w:p>
    <w:p w14:paraId="66A89E73" w14:textId="27FB6D6C"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Steuerbemessungsgrundlage</w:t>
      </w:r>
    </w:p>
    <w:p w14:paraId="6DD38A73" w14:textId="77777777" w:rsidR="00477B8F" w:rsidRPr="009118AB" w:rsidRDefault="00477B8F" w:rsidP="00477B8F">
      <w:pPr>
        <w:autoSpaceDE w:val="0"/>
        <w:autoSpaceDN w:val="0"/>
        <w:adjustRightInd w:val="0"/>
      </w:pPr>
    </w:p>
    <w:p w14:paraId="67735476" w14:textId="17192F83"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t> - </w:t>
      </w:r>
      <w:r w:rsidRPr="009118AB">
        <w:t>Steuerfreie Einkünfte</w:t>
      </w:r>
    </w:p>
    <w:p w14:paraId="4E7C2847" w14:textId="77777777" w:rsidR="00477B8F" w:rsidRPr="009118AB" w:rsidRDefault="00477B8F" w:rsidP="00477B8F">
      <w:pPr>
        <w:autoSpaceDE w:val="0"/>
        <w:autoSpaceDN w:val="0"/>
        <w:adjustRightInd w:val="0"/>
      </w:pPr>
    </w:p>
    <w:p w14:paraId="0C221DD6" w14:textId="11AAFA66" w:rsidR="00477B8F" w:rsidRPr="009118AB" w:rsidRDefault="00477B8F" w:rsidP="00477B8F">
      <w:pPr>
        <w:autoSpaceDE w:val="0"/>
        <w:autoSpaceDN w:val="0"/>
        <w:adjustRightInd w:val="0"/>
      </w:pPr>
      <w:r w:rsidRPr="009118AB">
        <w:t>Unterabschnitt </w:t>
      </w:r>
      <w:r w:rsidR="006B602F" w:rsidRPr="009118AB">
        <w:t>1</w:t>
      </w:r>
      <w:r w:rsidR="00D67EB8" w:rsidRPr="009118AB">
        <w:t> - </w:t>
      </w:r>
      <w:r w:rsidRPr="009118AB">
        <w:t>Mehrwerte</w:t>
      </w:r>
    </w:p>
    <w:p w14:paraId="13DF5FC1" w14:textId="77777777" w:rsidR="00477B8F" w:rsidRPr="009118AB" w:rsidRDefault="00477B8F" w:rsidP="00477B8F">
      <w:pPr>
        <w:autoSpaceDE w:val="0"/>
        <w:autoSpaceDN w:val="0"/>
        <w:adjustRightInd w:val="0"/>
      </w:pPr>
    </w:p>
    <w:p w14:paraId="7B692DC0" w14:textId="3AE8D010" w:rsidR="00477B8F" w:rsidRPr="009118AB" w:rsidRDefault="00477B8F" w:rsidP="00477B8F">
      <w:pPr>
        <w:autoSpaceDE w:val="0"/>
        <w:autoSpaceDN w:val="0"/>
        <w:adjustRightInd w:val="0"/>
      </w:pPr>
      <w:r w:rsidRPr="009118AB">
        <w:t>Unterabschnitt </w:t>
      </w:r>
      <w:r w:rsidR="006B602F" w:rsidRPr="009118AB">
        <w:t>1</w:t>
      </w:r>
      <w:r w:rsidRPr="009118AB">
        <w:rPr>
          <w:i/>
          <w:iCs/>
        </w:rPr>
        <w:t>bis</w:t>
      </w:r>
      <w:r w:rsidR="00D67EB8" w:rsidRPr="009118AB">
        <w:t> - </w:t>
      </w:r>
      <w:r w:rsidRPr="009118AB">
        <w:t>Steuerfreie regionale Unterstützungsmaßnahmen</w:t>
      </w:r>
    </w:p>
    <w:p w14:paraId="0D0D1943" w14:textId="77777777" w:rsidR="00477B8F" w:rsidRPr="009118AB" w:rsidRDefault="00477B8F" w:rsidP="00477B8F">
      <w:pPr>
        <w:autoSpaceDE w:val="0"/>
        <w:autoSpaceDN w:val="0"/>
        <w:adjustRightInd w:val="0"/>
      </w:pPr>
    </w:p>
    <w:p w14:paraId="4A8ED237" w14:textId="042E9950" w:rsidR="00477B8F" w:rsidRPr="009118AB" w:rsidRDefault="00477B8F" w:rsidP="006679D5">
      <w:pPr>
        <w:autoSpaceDE w:val="0"/>
        <w:autoSpaceDN w:val="0"/>
        <w:adjustRightInd w:val="0"/>
        <w:jc w:val="both"/>
      </w:pPr>
      <w:r w:rsidRPr="009118AB">
        <w:t>Unterabschnitt </w:t>
      </w:r>
      <w:r w:rsidR="006B602F" w:rsidRPr="009118AB">
        <w:t>2</w:t>
      </w:r>
      <w:r w:rsidR="00D67EB8" w:rsidRPr="009118AB">
        <w:t> - </w:t>
      </w:r>
      <w:r w:rsidRPr="009118AB">
        <w:t>Unternehmen, die in Belgien Vorkommen von flüssigen oder gasförmigen Kohlenwasserstoffen abbauen</w:t>
      </w:r>
    </w:p>
    <w:p w14:paraId="64236EA1" w14:textId="77777777" w:rsidR="00477B8F" w:rsidRPr="009118AB" w:rsidRDefault="00477B8F" w:rsidP="00477B8F">
      <w:pPr>
        <w:autoSpaceDE w:val="0"/>
        <w:autoSpaceDN w:val="0"/>
        <w:adjustRightInd w:val="0"/>
      </w:pPr>
    </w:p>
    <w:p w14:paraId="3E5810D9" w14:textId="7168EBF6" w:rsidR="00477B8F" w:rsidRPr="009118AB" w:rsidRDefault="00477B8F" w:rsidP="00477B8F">
      <w:pPr>
        <w:autoSpaceDE w:val="0"/>
        <w:autoSpaceDN w:val="0"/>
        <w:adjustRightInd w:val="0"/>
      </w:pPr>
      <w:r w:rsidRPr="009118AB">
        <w:t>Unterabschnitt </w:t>
      </w:r>
      <w:r w:rsidR="006B602F" w:rsidRPr="009118AB">
        <w:t>3</w:t>
      </w:r>
      <w:r w:rsidR="00D67EB8" w:rsidRPr="009118AB">
        <w:t> - </w:t>
      </w:r>
      <w:r w:rsidRPr="009118AB">
        <w:t>Technische Rückstellungen von Versicherungsunternehmen</w:t>
      </w:r>
    </w:p>
    <w:p w14:paraId="538B200F" w14:textId="36529CCA" w:rsidR="00477B8F" w:rsidRPr="009118AB" w:rsidRDefault="00477B8F" w:rsidP="006679D5">
      <w:pPr>
        <w:autoSpaceDE w:val="0"/>
        <w:autoSpaceDN w:val="0"/>
        <w:adjustRightInd w:val="0"/>
        <w:jc w:val="both"/>
      </w:pPr>
      <w:r w:rsidRPr="009118AB">
        <w:t>Unterabschnitt </w:t>
      </w:r>
      <w:r w:rsidR="006B602F" w:rsidRPr="009118AB">
        <w:t>4</w:t>
      </w:r>
      <w:r w:rsidR="00D67EB8" w:rsidRPr="009118AB">
        <w:t> - </w:t>
      </w:r>
      <w:r w:rsidRPr="009118AB">
        <w:t>Unternehmen, die in ein Rahmenübereinkommen zur Produktion eines audiovisuellen Werks investieren</w:t>
      </w:r>
    </w:p>
    <w:p w14:paraId="1B59C761" w14:textId="77777777" w:rsidR="00477B8F" w:rsidRPr="009118AB" w:rsidRDefault="00477B8F" w:rsidP="00477B8F">
      <w:pPr>
        <w:autoSpaceDE w:val="0"/>
        <w:autoSpaceDN w:val="0"/>
        <w:adjustRightInd w:val="0"/>
      </w:pPr>
    </w:p>
    <w:p w14:paraId="5E42853D" w14:textId="68E9354C" w:rsidR="00477B8F" w:rsidRPr="009118AB" w:rsidRDefault="00477B8F" w:rsidP="00477B8F">
      <w:pPr>
        <w:autoSpaceDE w:val="0"/>
        <w:autoSpaceDN w:val="0"/>
        <w:adjustRightInd w:val="0"/>
      </w:pPr>
      <w:r w:rsidRPr="009118AB">
        <w:t>Unterabschnitt </w:t>
      </w:r>
      <w:r w:rsidR="006B602F" w:rsidRPr="009118AB">
        <w:t>5</w:t>
      </w:r>
      <w:r w:rsidR="00D67EB8" w:rsidRPr="009118AB">
        <w:t> - </w:t>
      </w:r>
      <w:r w:rsidRPr="009118AB">
        <w:t>Investitionsrücklage</w:t>
      </w:r>
    </w:p>
    <w:p w14:paraId="38FE6D6C" w14:textId="77777777" w:rsidR="00477B8F" w:rsidRPr="009118AB" w:rsidRDefault="00477B8F" w:rsidP="00477B8F">
      <w:pPr>
        <w:autoSpaceDE w:val="0"/>
        <w:autoSpaceDN w:val="0"/>
        <w:adjustRightInd w:val="0"/>
      </w:pPr>
    </w:p>
    <w:p w14:paraId="13B8902B" w14:textId="279C753F" w:rsidR="00477B8F" w:rsidRPr="009118AB" w:rsidRDefault="00477B8F" w:rsidP="00477B8F">
      <w:pPr>
        <w:autoSpaceDE w:val="0"/>
        <w:autoSpaceDN w:val="0"/>
        <w:adjustRightInd w:val="0"/>
      </w:pPr>
      <w:r w:rsidRPr="009118AB">
        <w:rPr>
          <w:i/>
          <w:iCs/>
        </w:rPr>
        <w:t>Abschnitt </w:t>
      </w:r>
      <w:r w:rsidR="006B602F" w:rsidRPr="009118AB">
        <w:rPr>
          <w:i/>
          <w:iCs/>
        </w:rPr>
        <w:t>4</w:t>
      </w:r>
      <w:r w:rsidR="00D67EB8" w:rsidRPr="009118AB">
        <w:t> - </w:t>
      </w:r>
      <w:r w:rsidRPr="009118AB">
        <w:t>Festlegung des Nettoeinkommens</w:t>
      </w:r>
    </w:p>
    <w:p w14:paraId="2A7F837C" w14:textId="77777777" w:rsidR="00477B8F" w:rsidRPr="009118AB" w:rsidRDefault="00477B8F" w:rsidP="00477B8F">
      <w:pPr>
        <w:autoSpaceDE w:val="0"/>
        <w:autoSpaceDN w:val="0"/>
        <w:adjustRightInd w:val="0"/>
      </w:pPr>
    </w:p>
    <w:p w14:paraId="78E3F8EC" w14:textId="248B3D61" w:rsidR="00477B8F" w:rsidRPr="009118AB" w:rsidRDefault="00477B8F" w:rsidP="00477B8F">
      <w:pPr>
        <w:autoSpaceDE w:val="0"/>
        <w:autoSpaceDN w:val="0"/>
        <w:adjustRightInd w:val="0"/>
      </w:pPr>
      <w:r w:rsidRPr="009118AB">
        <w:t>Unterabschnitt </w:t>
      </w:r>
      <w:r w:rsidR="006B602F" w:rsidRPr="009118AB">
        <w:t>1</w:t>
      </w:r>
      <w:r w:rsidR="00D67EB8" w:rsidRPr="009118AB">
        <w:t> - </w:t>
      </w:r>
      <w:r w:rsidRPr="009118AB">
        <w:t>Werbungskosten</w:t>
      </w:r>
    </w:p>
    <w:p w14:paraId="5CD15D82" w14:textId="77777777" w:rsidR="00477B8F" w:rsidRPr="009118AB" w:rsidRDefault="00477B8F" w:rsidP="00477B8F">
      <w:pPr>
        <w:autoSpaceDE w:val="0"/>
        <w:autoSpaceDN w:val="0"/>
        <w:adjustRightInd w:val="0"/>
      </w:pPr>
    </w:p>
    <w:p w14:paraId="66FD3418" w14:textId="02112F79"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Abzug von steuerfreien Einkünften</w:t>
      </w:r>
    </w:p>
    <w:p w14:paraId="1AC45DD4" w14:textId="77777777" w:rsidR="00477B8F" w:rsidRPr="009118AB" w:rsidRDefault="00477B8F" w:rsidP="00477B8F">
      <w:pPr>
        <w:autoSpaceDE w:val="0"/>
        <w:autoSpaceDN w:val="0"/>
        <w:adjustRightInd w:val="0"/>
      </w:pPr>
    </w:p>
    <w:p w14:paraId="7A505113" w14:textId="6739F1DA" w:rsidR="00477B8F" w:rsidRPr="009118AB" w:rsidRDefault="00477B8F" w:rsidP="00477B8F">
      <w:pPr>
        <w:autoSpaceDE w:val="0"/>
        <w:autoSpaceDN w:val="0"/>
        <w:adjustRightInd w:val="0"/>
      </w:pPr>
      <w:r w:rsidRPr="009118AB">
        <w:t>Unterabschnitt </w:t>
      </w:r>
      <w:r w:rsidR="006B602F" w:rsidRPr="009118AB">
        <w:t>3</w:t>
      </w:r>
      <w:r w:rsidR="00D67EB8" w:rsidRPr="009118AB">
        <w:t> - </w:t>
      </w:r>
      <w:r w:rsidRPr="009118AB">
        <w:t>Von steuerpflichtigen Gewinnen abzugsfähige Einkünfte</w:t>
      </w:r>
    </w:p>
    <w:p w14:paraId="7643358B" w14:textId="77777777" w:rsidR="00477B8F" w:rsidRPr="009118AB" w:rsidRDefault="00477B8F" w:rsidP="00477B8F">
      <w:pPr>
        <w:autoSpaceDE w:val="0"/>
        <w:autoSpaceDN w:val="0"/>
        <w:adjustRightInd w:val="0"/>
      </w:pPr>
    </w:p>
    <w:p w14:paraId="0B6A0837" w14:textId="630503CC" w:rsidR="00477B8F" w:rsidRPr="009118AB" w:rsidRDefault="00477B8F" w:rsidP="00477B8F">
      <w:pPr>
        <w:autoSpaceDE w:val="0"/>
        <w:autoSpaceDN w:val="0"/>
        <w:adjustRightInd w:val="0"/>
      </w:pPr>
      <w:r w:rsidRPr="009118AB">
        <w:t>Unterabschnitt </w:t>
      </w:r>
      <w:r w:rsidR="006B602F" w:rsidRPr="009118AB">
        <w:t>3</w:t>
      </w:r>
      <w:r w:rsidRPr="009118AB">
        <w:rPr>
          <w:i/>
          <w:iCs/>
        </w:rPr>
        <w:t>bis</w:t>
      </w:r>
      <w:r w:rsidR="00D67EB8" w:rsidRPr="009118AB">
        <w:t> - </w:t>
      </w:r>
      <w:r w:rsidRPr="009118AB">
        <w:t>Abzug für Risikokapital</w:t>
      </w:r>
    </w:p>
    <w:p w14:paraId="7DC9DD0D" w14:textId="77777777" w:rsidR="00477B8F" w:rsidRPr="009118AB" w:rsidRDefault="00477B8F" w:rsidP="00477B8F">
      <w:pPr>
        <w:autoSpaceDE w:val="0"/>
        <w:autoSpaceDN w:val="0"/>
        <w:adjustRightInd w:val="0"/>
      </w:pPr>
    </w:p>
    <w:p w14:paraId="443228F8" w14:textId="1BF6AAD4" w:rsidR="00477B8F" w:rsidRPr="009118AB" w:rsidRDefault="00477B8F" w:rsidP="00477B8F">
      <w:pPr>
        <w:autoSpaceDE w:val="0"/>
        <w:autoSpaceDN w:val="0"/>
        <w:adjustRightInd w:val="0"/>
      </w:pPr>
      <w:r w:rsidRPr="009118AB">
        <w:t>Unterabschnitt </w:t>
      </w:r>
      <w:r w:rsidR="006B602F" w:rsidRPr="009118AB">
        <w:t>4</w:t>
      </w:r>
      <w:r w:rsidR="00D67EB8" w:rsidRPr="009118AB">
        <w:t> - </w:t>
      </w:r>
      <w:r w:rsidRPr="009118AB">
        <w:t>Vorherige Verluste</w:t>
      </w:r>
    </w:p>
    <w:p w14:paraId="535A85A3" w14:textId="77777777" w:rsidR="00477B8F" w:rsidRPr="009118AB" w:rsidRDefault="00477B8F" w:rsidP="00477B8F">
      <w:pPr>
        <w:autoSpaceDE w:val="0"/>
        <w:autoSpaceDN w:val="0"/>
        <w:adjustRightInd w:val="0"/>
      </w:pPr>
    </w:p>
    <w:p w14:paraId="52C5AC5C" w14:textId="7E9493C8" w:rsidR="00477B8F" w:rsidRPr="009118AB" w:rsidRDefault="00477B8F" w:rsidP="006679D5">
      <w:pPr>
        <w:autoSpaceDE w:val="0"/>
        <w:autoSpaceDN w:val="0"/>
        <w:adjustRightInd w:val="0"/>
        <w:jc w:val="both"/>
      </w:pPr>
      <w:r w:rsidRPr="009118AB">
        <w:t>Unterabschnitt </w:t>
      </w:r>
      <w:r w:rsidR="006B602F" w:rsidRPr="009118AB">
        <w:t>5</w:t>
      </w:r>
      <w:r w:rsidR="00D67EB8" w:rsidRPr="009118AB">
        <w:t> - </w:t>
      </w:r>
      <w:r w:rsidRPr="009118AB">
        <w:t>Gemeinsame Bestimmungen in Bezug auf die in den Artikeln 199 bis 206 erwähnten Abzüge</w:t>
      </w:r>
    </w:p>
    <w:p w14:paraId="04721FB7" w14:textId="77777777" w:rsidR="00477B8F" w:rsidRPr="009118AB" w:rsidRDefault="00477B8F" w:rsidP="00477B8F">
      <w:pPr>
        <w:autoSpaceDE w:val="0"/>
        <w:autoSpaceDN w:val="0"/>
        <w:adjustRightInd w:val="0"/>
      </w:pPr>
    </w:p>
    <w:p w14:paraId="29375E3D" w14:textId="19471E00" w:rsidR="00477B8F" w:rsidRPr="009118AB" w:rsidRDefault="00477B8F" w:rsidP="00477B8F">
      <w:pPr>
        <w:autoSpaceDE w:val="0"/>
        <w:autoSpaceDN w:val="0"/>
        <w:adjustRightInd w:val="0"/>
      </w:pPr>
      <w:r w:rsidRPr="009118AB">
        <w:rPr>
          <w:i/>
          <w:iCs/>
        </w:rPr>
        <w:t>Abschnitt </w:t>
      </w:r>
      <w:r w:rsidR="006B602F" w:rsidRPr="009118AB">
        <w:rPr>
          <w:i/>
          <w:iCs/>
        </w:rPr>
        <w:t>5</w:t>
      </w:r>
      <w:r w:rsidR="00D67EB8" w:rsidRPr="009118AB">
        <w:rPr>
          <w:i/>
          <w:iCs/>
        </w:rPr>
        <w:t> - </w:t>
      </w:r>
      <w:r w:rsidRPr="009118AB">
        <w:t>Auflösung und Liquidation</w:t>
      </w:r>
    </w:p>
    <w:p w14:paraId="4C270AD3" w14:textId="77777777" w:rsidR="00477B8F" w:rsidRPr="009118AB" w:rsidRDefault="00477B8F" w:rsidP="00477B8F">
      <w:pPr>
        <w:autoSpaceDE w:val="0"/>
        <w:autoSpaceDN w:val="0"/>
        <w:adjustRightInd w:val="0"/>
      </w:pPr>
    </w:p>
    <w:p w14:paraId="10D71121" w14:textId="1089699F" w:rsidR="00477B8F" w:rsidRPr="009118AB" w:rsidRDefault="00477B8F" w:rsidP="00477B8F">
      <w:pPr>
        <w:autoSpaceDE w:val="0"/>
        <w:autoSpaceDN w:val="0"/>
        <w:adjustRightInd w:val="0"/>
      </w:pPr>
      <w:r w:rsidRPr="009118AB">
        <w:rPr>
          <w:b/>
          <w:bCs/>
        </w:rPr>
        <w:t>Kapitel </w:t>
      </w:r>
      <w:r w:rsidR="00464330" w:rsidRPr="009118AB">
        <w:rPr>
          <w:b/>
          <w:bCs/>
        </w:rPr>
        <w:t>3</w:t>
      </w:r>
      <w:r w:rsidR="00D67EB8" w:rsidRPr="009118AB">
        <w:t> - </w:t>
      </w:r>
      <w:r w:rsidRPr="009118AB">
        <w:rPr>
          <w:i/>
          <w:iCs/>
        </w:rPr>
        <w:t>Steuerberechnung</w:t>
      </w:r>
    </w:p>
    <w:p w14:paraId="25B8D59D" w14:textId="77777777" w:rsidR="00477B8F" w:rsidRPr="009118AB" w:rsidRDefault="00477B8F" w:rsidP="00477B8F">
      <w:pPr>
        <w:autoSpaceDE w:val="0"/>
        <w:autoSpaceDN w:val="0"/>
        <w:adjustRightInd w:val="0"/>
      </w:pPr>
    </w:p>
    <w:p w14:paraId="3EE7AB79" w14:textId="287A1596"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Gewöhnliches Besteuerungssystem</w:t>
      </w:r>
    </w:p>
    <w:p w14:paraId="58AA06B7" w14:textId="77777777" w:rsidR="00477B8F" w:rsidRPr="009118AB" w:rsidRDefault="00477B8F" w:rsidP="00477B8F">
      <w:pPr>
        <w:autoSpaceDE w:val="0"/>
        <w:autoSpaceDN w:val="0"/>
        <w:adjustRightInd w:val="0"/>
      </w:pPr>
    </w:p>
    <w:p w14:paraId="0DD07872" w14:textId="449B41EA" w:rsidR="00477B8F" w:rsidRPr="009118AB" w:rsidRDefault="00477B8F" w:rsidP="00477B8F">
      <w:pPr>
        <w:autoSpaceDE w:val="0"/>
        <w:autoSpaceDN w:val="0"/>
        <w:adjustRightInd w:val="0"/>
      </w:pPr>
      <w:r w:rsidRPr="009118AB">
        <w:t>Unterabschnitt </w:t>
      </w:r>
      <w:r w:rsidR="006B602F" w:rsidRPr="009118AB">
        <w:t>1</w:t>
      </w:r>
      <w:r w:rsidR="00D67EB8" w:rsidRPr="009118AB">
        <w:t> - </w:t>
      </w:r>
      <w:r w:rsidRPr="009118AB">
        <w:t>Steuersätze</w:t>
      </w:r>
    </w:p>
    <w:p w14:paraId="11A9585A" w14:textId="77777777" w:rsidR="006679D5" w:rsidRPr="009118AB" w:rsidRDefault="006679D5" w:rsidP="00477B8F">
      <w:pPr>
        <w:autoSpaceDE w:val="0"/>
        <w:autoSpaceDN w:val="0"/>
        <w:adjustRightInd w:val="0"/>
      </w:pPr>
    </w:p>
    <w:p w14:paraId="28AF2B3F" w14:textId="14905D5E"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w:t>
      </w:r>
    </w:p>
    <w:p w14:paraId="631ACC5A" w14:textId="77777777" w:rsidR="00477B8F" w:rsidRPr="009118AB" w:rsidRDefault="00477B8F" w:rsidP="00477B8F">
      <w:pPr>
        <w:autoSpaceDE w:val="0"/>
        <w:autoSpaceDN w:val="0"/>
        <w:adjustRightInd w:val="0"/>
      </w:pPr>
    </w:p>
    <w:p w14:paraId="161E88F1" w14:textId="0DE27155" w:rsidR="00477B8F" w:rsidRPr="009118AB" w:rsidRDefault="00477B8F" w:rsidP="00477B8F">
      <w:pPr>
        <w:autoSpaceDE w:val="0"/>
        <w:autoSpaceDN w:val="0"/>
        <w:adjustRightInd w:val="0"/>
      </w:pPr>
      <w:r w:rsidRPr="009118AB">
        <w:t>Unterabschnitt </w:t>
      </w:r>
      <w:r w:rsidR="006B602F" w:rsidRPr="009118AB">
        <w:t>3</w:t>
      </w:r>
      <w:r w:rsidR="00D67EB8" w:rsidRPr="009118AB">
        <w:t> - </w:t>
      </w:r>
      <w:r w:rsidRPr="009118AB">
        <w:t>Erhöhung bei ausbleibender oder unzureichender Vorauszahlung</w:t>
      </w:r>
    </w:p>
    <w:p w14:paraId="2C783CC6" w14:textId="77777777" w:rsidR="00477B8F" w:rsidRPr="009118AB" w:rsidRDefault="00477B8F" w:rsidP="00477B8F">
      <w:pPr>
        <w:autoSpaceDE w:val="0"/>
        <w:autoSpaceDN w:val="0"/>
        <w:adjustRightInd w:val="0"/>
      </w:pPr>
    </w:p>
    <w:p w14:paraId="1BC04CC0" w14:textId="1B6F7D69"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Getrennte Steuern</w:t>
      </w:r>
    </w:p>
    <w:p w14:paraId="3B4D2CE7" w14:textId="77777777" w:rsidR="00477B8F" w:rsidRPr="009118AB" w:rsidRDefault="00477B8F" w:rsidP="00477B8F">
      <w:pPr>
        <w:autoSpaceDE w:val="0"/>
        <w:autoSpaceDN w:val="0"/>
        <w:adjustRightInd w:val="0"/>
      </w:pPr>
    </w:p>
    <w:p w14:paraId="1AC07AE1" w14:textId="4A7FF507" w:rsidR="00477B8F" w:rsidRPr="009118AB" w:rsidRDefault="00477B8F" w:rsidP="00477B8F">
      <w:pPr>
        <w:autoSpaceDE w:val="0"/>
        <w:autoSpaceDN w:val="0"/>
        <w:adjustRightInd w:val="0"/>
      </w:pPr>
      <w:r w:rsidRPr="009118AB">
        <w:rPr>
          <w:b/>
          <w:bCs/>
        </w:rPr>
        <w:t>TITEL IV</w:t>
      </w:r>
      <w:r w:rsidR="00D67EB8" w:rsidRPr="009118AB">
        <w:rPr>
          <w:b/>
          <w:bCs/>
        </w:rPr>
        <w:t> - </w:t>
      </w:r>
      <w:r w:rsidRPr="009118AB">
        <w:rPr>
          <w:b/>
          <w:bCs/>
          <w:i/>
          <w:iCs/>
        </w:rPr>
        <w:t>Steuer der juristischen Personen</w:t>
      </w:r>
    </w:p>
    <w:p w14:paraId="6536BEDC" w14:textId="77777777" w:rsidR="00477B8F" w:rsidRPr="009118AB" w:rsidRDefault="00477B8F" w:rsidP="00477B8F">
      <w:pPr>
        <w:autoSpaceDE w:val="0"/>
        <w:autoSpaceDN w:val="0"/>
        <w:adjustRightInd w:val="0"/>
      </w:pPr>
    </w:p>
    <w:p w14:paraId="0044F5D0" w14:textId="40AD0BE3" w:rsidR="00477B8F" w:rsidRPr="009118AB" w:rsidRDefault="00477B8F" w:rsidP="00477B8F">
      <w:pPr>
        <w:autoSpaceDE w:val="0"/>
        <w:autoSpaceDN w:val="0"/>
        <w:adjustRightInd w:val="0"/>
      </w:pPr>
      <w:r w:rsidRPr="009118AB">
        <w:rPr>
          <w:b/>
          <w:bCs/>
        </w:rPr>
        <w:t>Kapitel </w:t>
      </w:r>
      <w:r w:rsidR="00464330" w:rsidRPr="009118AB">
        <w:rPr>
          <w:b/>
          <w:bCs/>
        </w:rPr>
        <w:t>1</w:t>
      </w:r>
      <w:r w:rsidR="00D67EB8" w:rsidRPr="009118AB">
        <w:t> - </w:t>
      </w:r>
      <w:r w:rsidRPr="009118AB">
        <w:rPr>
          <w:i/>
          <w:iCs/>
        </w:rPr>
        <w:t>Steuerpflichtige juristische Personen</w:t>
      </w:r>
    </w:p>
    <w:p w14:paraId="7096D1A6" w14:textId="77777777" w:rsidR="00477B8F" w:rsidRPr="009118AB" w:rsidRDefault="00477B8F" w:rsidP="00477B8F">
      <w:pPr>
        <w:autoSpaceDE w:val="0"/>
        <w:autoSpaceDN w:val="0"/>
        <w:adjustRightInd w:val="0"/>
      </w:pPr>
    </w:p>
    <w:p w14:paraId="64F5CA22" w14:textId="2C244120" w:rsidR="00477B8F" w:rsidRPr="009118AB" w:rsidRDefault="00477B8F" w:rsidP="00477B8F">
      <w:pPr>
        <w:autoSpaceDE w:val="0"/>
        <w:autoSpaceDN w:val="0"/>
        <w:adjustRightInd w:val="0"/>
      </w:pPr>
      <w:r w:rsidRPr="009118AB">
        <w:rPr>
          <w:b/>
          <w:bCs/>
        </w:rPr>
        <w:t>Kapitel </w:t>
      </w:r>
      <w:r w:rsidR="00464330" w:rsidRPr="009118AB">
        <w:rPr>
          <w:b/>
          <w:bCs/>
        </w:rPr>
        <w:t>2</w:t>
      </w:r>
      <w:r w:rsidR="00D67EB8" w:rsidRPr="009118AB">
        <w:t> - </w:t>
      </w:r>
      <w:r w:rsidRPr="009118AB">
        <w:rPr>
          <w:i/>
          <w:iCs/>
        </w:rPr>
        <w:t>Besteuerungsgrundlage</w:t>
      </w:r>
    </w:p>
    <w:p w14:paraId="44587A1B" w14:textId="77777777" w:rsidR="00477B8F" w:rsidRPr="009118AB" w:rsidRDefault="00477B8F" w:rsidP="00477B8F">
      <w:pPr>
        <w:autoSpaceDE w:val="0"/>
        <w:autoSpaceDN w:val="0"/>
        <w:adjustRightInd w:val="0"/>
      </w:pPr>
    </w:p>
    <w:p w14:paraId="11512C09" w14:textId="76C7EB73" w:rsidR="00477B8F" w:rsidRPr="009118AB" w:rsidRDefault="00477B8F" w:rsidP="00477B8F">
      <w:pPr>
        <w:autoSpaceDE w:val="0"/>
        <w:autoSpaceDN w:val="0"/>
        <w:adjustRightInd w:val="0"/>
      </w:pPr>
      <w:r w:rsidRPr="009118AB">
        <w:rPr>
          <w:b/>
          <w:bCs/>
        </w:rPr>
        <w:t>Kapitel </w:t>
      </w:r>
      <w:r w:rsidR="00464330" w:rsidRPr="009118AB">
        <w:rPr>
          <w:b/>
          <w:bCs/>
        </w:rPr>
        <w:t>3</w:t>
      </w:r>
      <w:r w:rsidR="00D67EB8" w:rsidRPr="009118AB">
        <w:rPr>
          <w:b/>
          <w:bCs/>
        </w:rPr>
        <w:t> - </w:t>
      </w:r>
      <w:r w:rsidRPr="009118AB">
        <w:rPr>
          <w:i/>
          <w:iCs/>
        </w:rPr>
        <w:t>Steuerberechnung</w:t>
      </w:r>
    </w:p>
    <w:p w14:paraId="72132105" w14:textId="77777777" w:rsidR="00477B8F" w:rsidRPr="009118AB" w:rsidRDefault="00477B8F" w:rsidP="00477B8F">
      <w:pPr>
        <w:autoSpaceDE w:val="0"/>
        <w:autoSpaceDN w:val="0"/>
        <w:adjustRightInd w:val="0"/>
      </w:pPr>
    </w:p>
    <w:p w14:paraId="62E6AF28" w14:textId="1E8C6D37" w:rsidR="00477B8F" w:rsidRPr="009118AB" w:rsidRDefault="00477B8F" w:rsidP="00477B8F">
      <w:pPr>
        <w:autoSpaceDE w:val="0"/>
        <w:autoSpaceDN w:val="0"/>
        <w:adjustRightInd w:val="0"/>
      </w:pPr>
      <w:r w:rsidRPr="009118AB">
        <w:rPr>
          <w:b/>
          <w:bCs/>
        </w:rPr>
        <w:t>TITEL V</w:t>
      </w:r>
      <w:r w:rsidR="00D67EB8" w:rsidRPr="009118AB">
        <w:rPr>
          <w:b/>
          <w:bCs/>
        </w:rPr>
        <w:t> - </w:t>
      </w:r>
      <w:r w:rsidRPr="009118AB">
        <w:rPr>
          <w:b/>
          <w:bCs/>
          <w:i/>
          <w:iCs/>
        </w:rPr>
        <w:t>Steuer der Gebietsfremden</w:t>
      </w:r>
    </w:p>
    <w:p w14:paraId="46DA7290" w14:textId="77777777" w:rsidR="00477B8F" w:rsidRPr="009118AB" w:rsidRDefault="00477B8F" w:rsidP="00477B8F">
      <w:pPr>
        <w:autoSpaceDE w:val="0"/>
        <w:autoSpaceDN w:val="0"/>
        <w:adjustRightInd w:val="0"/>
      </w:pPr>
    </w:p>
    <w:p w14:paraId="4569E0C5" w14:textId="0E08C4D4" w:rsidR="00477B8F" w:rsidRPr="009118AB" w:rsidRDefault="00477B8F" w:rsidP="00477B8F">
      <w:pPr>
        <w:autoSpaceDE w:val="0"/>
        <w:autoSpaceDN w:val="0"/>
        <w:adjustRightInd w:val="0"/>
      </w:pPr>
      <w:r w:rsidRPr="009118AB">
        <w:rPr>
          <w:b/>
          <w:bCs/>
        </w:rPr>
        <w:t>Kapitel </w:t>
      </w:r>
      <w:r w:rsidR="00464330" w:rsidRPr="009118AB">
        <w:rPr>
          <w:b/>
          <w:bCs/>
        </w:rPr>
        <w:t>1</w:t>
      </w:r>
      <w:r w:rsidR="00D67EB8" w:rsidRPr="009118AB">
        <w:t> - </w:t>
      </w:r>
      <w:r w:rsidRPr="009118AB">
        <w:rPr>
          <w:i/>
          <w:iCs/>
        </w:rPr>
        <w:t>Steuerpflichtige Personen</w:t>
      </w:r>
    </w:p>
    <w:p w14:paraId="09E0B2F9" w14:textId="77777777" w:rsidR="00477B8F" w:rsidRPr="009118AB" w:rsidRDefault="00477B8F" w:rsidP="00477B8F">
      <w:pPr>
        <w:autoSpaceDE w:val="0"/>
        <w:autoSpaceDN w:val="0"/>
        <w:adjustRightInd w:val="0"/>
      </w:pPr>
    </w:p>
    <w:p w14:paraId="0C3E9FED" w14:textId="4DBE6EAB" w:rsidR="00477B8F" w:rsidRPr="009118AB" w:rsidRDefault="00477B8F" w:rsidP="00477B8F">
      <w:pPr>
        <w:autoSpaceDE w:val="0"/>
        <w:autoSpaceDN w:val="0"/>
        <w:adjustRightInd w:val="0"/>
      </w:pPr>
      <w:r w:rsidRPr="009118AB">
        <w:rPr>
          <w:b/>
          <w:bCs/>
        </w:rPr>
        <w:t>Kapitel </w:t>
      </w:r>
      <w:r w:rsidR="00464330" w:rsidRPr="009118AB">
        <w:rPr>
          <w:b/>
          <w:bCs/>
        </w:rPr>
        <w:t>2</w:t>
      </w:r>
      <w:r w:rsidR="00D67EB8" w:rsidRPr="009118AB">
        <w:t> - </w:t>
      </w:r>
      <w:r w:rsidRPr="009118AB">
        <w:rPr>
          <w:i/>
          <w:iCs/>
        </w:rPr>
        <w:t>Besteuerungsgrundlage</w:t>
      </w:r>
    </w:p>
    <w:p w14:paraId="5989F3AE" w14:textId="77777777" w:rsidR="00477B8F" w:rsidRPr="009118AB" w:rsidRDefault="00477B8F" w:rsidP="00477B8F">
      <w:pPr>
        <w:autoSpaceDE w:val="0"/>
        <w:autoSpaceDN w:val="0"/>
        <w:adjustRightInd w:val="0"/>
      </w:pPr>
    </w:p>
    <w:p w14:paraId="1C5636FA" w14:textId="63D5F6BD"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rPr>
          <w:i/>
          <w:iCs/>
        </w:rPr>
        <w:t> - </w:t>
      </w:r>
      <w:r w:rsidRPr="009118AB">
        <w:t>Steuerpflichtige Einkünfte</w:t>
      </w:r>
    </w:p>
    <w:p w14:paraId="3287C35A" w14:textId="77777777" w:rsidR="00477B8F" w:rsidRPr="009118AB" w:rsidRDefault="00477B8F" w:rsidP="00477B8F">
      <w:pPr>
        <w:autoSpaceDE w:val="0"/>
        <w:autoSpaceDN w:val="0"/>
        <w:adjustRightInd w:val="0"/>
      </w:pPr>
    </w:p>
    <w:p w14:paraId="1D5E25D2" w14:textId="7E3E085C"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Steuerfreie Einkünfte</w:t>
      </w:r>
    </w:p>
    <w:p w14:paraId="3FDD9FC3" w14:textId="77777777" w:rsidR="00477B8F" w:rsidRPr="009118AB" w:rsidRDefault="00477B8F" w:rsidP="00477B8F">
      <w:pPr>
        <w:autoSpaceDE w:val="0"/>
        <w:autoSpaceDN w:val="0"/>
        <w:adjustRightInd w:val="0"/>
      </w:pPr>
    </w:p>
    <w:p w14:paraId="3446D7B4" w14:textId="5026FABC" w:rsidR="00477B8F" w:rsidRPr="009118AB" w:rsidRDefault="00477B8F" w:rsidP="00477B8F">
      <w:pPr>
        <w:autoSpaceDE w:val="0"/>
        <w:autoSpaceDN w:val="0"/>
        <w:adjustRightInd w:val="0"/>
      </w:pPr>
      <w:r w:rsidRPr="009118AB">
        <w:rPr>
          <w:b/>
          <w:bCs/>
        </w:rPr>
        <w:t>Kapitel </w:t>
      </w:r>
      <w:r w:rsidR="00464330" w:rsidRPr="009118AB">
        <w:rPr>
          <w:b/>
          <w:bCs/>
        </w:rPr>
        <w:t>3</w:t>
      </w:r>
      <w:r w:rsidR="00D67EB8" w:rsidRPr="009118AB">
        <w:t> - </w:t>
      </w:r>
      <w:r w:rsidRPr="009118AB">
        <w:rPr>
          <w:i/>
          <w:iCs/>
        </w:rPr>
        <w:t>Globalisierung gewisser Einkünfte</w:t>
      </w:r>
    </w:p>
    <w:p w14:paraId="1CCDE265" w14:textId="77777777" w:rsidR="00477B8F" w:rsidRPr="009118AB" w:rsidRDefault="00477B8F" w:rsidP="00477B8F">
      <w:pPr>
        <w:autoSpaceDE w:val="0"/>
        <w:autoSpaceDN w:val="0"/>
        <w:adjustRightInd w:val="0"/>
      </w:pPr>
    </w:p>
    <w:p w14:paraId="2172F38B" w14:textId="4E7C00AF"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Besteuerungsgrundlage</w:t>
      </w:r>
    </w:p>
    <w:p w14:paraId="51F5CD79" w14:textId="77777777" w:rsidR="00477B8F" w:rsidRPr="009118AB" w:rsidRDefault="00477B8F" w:rsidP="00477B8F">
      <w:pPr>
        <w:autoSpaceDE w:val="0"/>
        <w:autoSpaceDN w:val="0"/>
        <w:adjustRightInd w:val="0"/>
      </w:pPr>
    </w:p>
    <w:p w14:paraId="5DD87AB7" w14:textId="708B1189"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Festlegung des Nettobetrags der globalisierbaren Einkünfte</w:t>
      </w:r>
    </w:p>
    <w:p w14:paraId="54E89D90" w14:textId="77777777" w:rsidR="00477B8F" w:rsidRPr="009118AB" w:rsidRDefault="00477B8F" w:rsidP="00477B8F">
      <w:pPr>
        <w:autoSpaceDE w:val="0"/>
        <w:autoSpaceDN w:val="0"/>
        <w:adjustRightInd w:val="0"/>
      </w:pPr>
    </w:p>
    <w:p w14:paraId="7AF18A68" w14:textId="23A3FA32"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rPr>
          <w:i/>
          <w:iCs/>
        </w:rPr>
        <w:t> - </w:t>
      </w:r>
      <w:r w:rsidRPr="009118AB">
        <w:t>Abzugsfähige Ausgaben</w:t>
      </w:r>
    </w:p>
    <w:p w14:paraId="1F57A39B" w14:textId="77777777" w:rsidR="00477B8F" w:rsidRPr="009118AB" w:rsidRDefault="00477B8F" w:rsidP="00477B8F">
      <w:pPr>
        <w:autoSpaceDE w:val="0"/>
        <w:autoSpaceDN w:val="0"/>
        <w:adjustRightInd w:val="0"/>
      </w:pPr>
    </w:p>
    <w:p w14:paraId="002C3379" w14:textId="041AC4D9" w:rsidR="00477B8F" w:rsidRPr="009118AB" w:rsidRDefault="00477B8F" w:rsidP="00477B8F">
      <w:pPr>
        <w:autoSpaceDE w:val="0"/>
        <w:autoSpaceDN w:val="0"/>
        <w:adjustRightInd w:val="0"/>
      </w:pPr>
      <w:r w:rsidRPr="009118AB">
        <w:rPr>
          <w:b/>
          <w:bCs/>
        </w:rPr>
        <w:t>Kapitel </w:t>
      </w:r>
      <w:r w:rsidR="00464330" w:rsidRPr="009118AB">
        <w:rPr>
          <w:b/>
          <w:bCs/>
        </w:rPr>
        <w:t>4</w:t>
      </w:r>
      <w:r w:rsidR="00D67EB8" w:rsidRPr="009118AB">
        <w:t> - </w:t>
      </w:r>
      <w:r w:rsidRPr="009118AB">
        <w:rPr>
          <w:i/>
          <w:iCs/>
        </w:rPr>
        <w:t>Steuerberechnung</w:t>
      </w:r>
    </w:p>
    <w:p w14:paraId="3ABF6B58" w14:textId="77777777" w:rsidR="00477B8F" w:rsidRPr="009118AB" w:rsidRDefault="00477B8F" w:rsidP="00477B8F">
      <w:pPr>
        <w:autoSpaceDE w:val="0"/>
        <w:autoSpaceDN w:val="0"/>
        <w:adjustRightInd w:val="0"/>
      </w:pPr>
    </w:p>
    <w:p w14:paraId="5C85E643" w14:textId="65F02281" w:rsidR="00477B8F" w:rsidRPr="009118AB" w:rsidRDefault="00477B8F" w:rsidP="00477B8F">
      <w:pPr>
        <w:autoSpaceDE w:val="0"/>
        <w:autoSpaceDN w:val="0"/>
        <w:adjustRightInd w:val="0"/>
      </w:pPr>
      <w:r w:rsidRPr="009118AB">
        <w:rPr>
          <w:b/>
          <w:bCs/>
        </w:rPr>
        <w:t>TITEL VI</w:t>
      </w:r>
      <w:r w:rsidR="00D67EB8" w:rsidRPr="009118AB">
        <w:rPr>
          <w:b/>
          <w:bCs/>
        </w:rPr>
        <w:t> - </w:t>
      </w:r>
      <w:r w:rsidRPr="009118AB">
        <w:rPr>
          <w:b/>
          <w:bCs/>
          <w:i/>
          <w:iCs/>
        </w:rPr>
        <w:t>Gemeinsame Bestimmungen in Bezug auf die vier Steuern</w:t>
      </w:r>
    </w:p>
    <w:p w14:paraId="17DF71A8" w14:textId="77777777" w:rsidR="00477B8F" w:rsidRPr="009118AB" w:rsidRDefault="00477B8F" w:rsidP="00477B8F">
      <w:pPr>
        <w:autoSpaceDE w:val="0"/>
        <w:autoSpaceDN w:val="0"/>
        <w:adjustRightInd w:val="0"/>
      </w:pPr>
    </w:p>
    <w:p w14:paraId="72180149" w14:textId="6D6B11E5" w:rsidR="00477B8F" w:rsidRPr="009118AB" w:rsidRDefault="00477B8F" w:rsidP="00477B8F">
      <w:pPr>
        <w:autoSpaceDE w:val="0"/>
        <w:autoSpaceDN w:val="0"/>
        <w:adjustRightInd w:val="0"/>
      </w:pPr>
      <w:r w:rsidRPr="009118AB">
        <w:rPr>
          <w:b/>
          <w:bCs/>
        </w:rPr>
        <w:t>Kapitel </w:t>
      </w:r>
      <w:r w:rsidR="00464330" w:rsidRPr="009118AB">
        <w:rPr>
          <w:b/>
          <w:bCs/>
        </w:rPr>
        <w:t>1</w:t>
      </w:r>
      <w:r w:rsidR="00D67EB8" w:rsidRPr="009118AB">
        <w:t> - </w:t>
      </w:r>
      <w:r w:rsidRPr="009118AB">
        <w:rPr>
          <w:i/>
          <w:iCs/>
        </w:rPr>
        <w:t>Steuerzahlung durch Vorabzug</w:t>
      </w:r>
    </w:p>
    <w:p w14:paraId="1DF643C2" w14:textId="77777777" w:rsidR="00477B8F" w:rsidRPr="009118AB" w:rsidRDefault="00477B8F" w:rsidP="00477B8F">
      <w:pPr>
        <w:autoSpaceDE w:val="0"/>
        <w:autoSpaceDN w:val="0"/>
        <w:adjustRightInd w:val="0"/>
      </w:pPr>
    </w:p>
    <w:p w14:paraId="0B92353C" w14:textId="250F5918"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Allgemeine Bestimmungen</w:t>
      </w:r>
    </w:p>
    <w:p w14:paraId="0310E46A" w14:textId="77777777" w:rsidR="00477B8F" w:rsidRPr="009118AB" w:rsidRDefault="00477B8F" w:rsidP="00477B8F">
      <w:pPr>
        <w:autoSpaceDE w:val="0"/>
        <w:autoSpaceDN w:val="0"/>
        <w:adjustRightInd w:val="0"/>
      </w:pPr>
    </w:p>
    <w:p w14:paraId="3A177107" w14:textId="3103E196"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Immobiliensteuervorabzug</w:t>
      </w:r>
    </w:p>
    <w:p w14:paraId="3057EE11" w14:textId="77777777" w:rsidR="00477B8F" w:rsidRPr="009118AB" w:rsidRDefault="00477B8F" w:rsidP="00477B8F">
      <w:pPr>
        <w:autoSpaceDE w:val="0"/>
        <w:autoSpaceDN w:val="0"/>
        <w:adjustRightInd w:val="0"/>
      </w:pPr>
    </w:p>
    <w:p w14:paraId="3854C876" w14:textId="6B81B337"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t> - </w:t>
      </w:r>
      <w:r w:rsidRPr="009118AB">
        <w:t>Mobiliensteuervorabzug</w:t>
      </w:r>
    </w:p>
    <w:p w14:paraId="279B18E1" w14:textId="77777777" w:rsidR="00477B8F" w:rsidRPr="009118AB" w:rsidRDefault="00477B8F" w:rsidP="00477B8F">
      <w:pPr>
        <w:autoSpaceDE w:val="0"/>
        <w:autoSpaceDN w:val="0"/>
        <w:adjustRightInd w:val="0"/>
      </w:pPr>
    </w:p>
    <w:p w14:paraId="04164A8E" w14:textId="4DF68519" w:rsidR="00477B8F" w:rsidRPr="009118AB" w:rsidRDefault="00477B8F" w:rsidP="00477B8F">
      <w:pPr>
        <w:autoSpaceDE w:val="0"/>
        <w:autoSpaceDN w:val="0"/>
        <w:adjustRightInd w:val="0"/>
      </w:pPr>
      <w:r w:rsidRPr="009118AB">
        <w:t>Unterabschnitt </w:t>
      </w:r>
      <w:r w:rsidR="006B602F" w:rsidRPr="009118AB">
        <w:t>1</w:t>
      </w:r>
      <w:r w:rsidR="00D67EB8" w:rsidRPr="009118AB">
        <w:t> - </w:t>
      </w:r>
      <w:r w:rsidRPr="009118AB">
        <w:t>Vorabzugsschuldner</w:t>
      </w:r>
    </w:p>
    <w:p w14:paraId="6636E2C1" w14:textId="77777777" w:rsidR="006679D5" w:rsidRPr="009118AB" w:rsidRDefault="006679D5" w:rsidP="00477B8F">
      <w:pPr>
        <w:autoSpaceDE w:val="0"/>
        <w:autoSpaceDN w:val="0"/>
        <w:adjustRightInd w:val="0"/>
      </w:pPr>
    </w:p>
    <w:p w14:paraId="62A5F6A7" w14:textId="5B6F52E9"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Vorabzugsbefreiung und Verzicht auf den Vorabzug</w:t>
      </w:r>
    </w:p>
    <w:p w14:paraId="13F45E21" w14:textId="77777777" w:rsidR="00477B8F" w:rsidRPr="009118AB" w:rsidRDefault="00477B8F" w:rsidP="00477B8F">
      <w:pPr>
        <w:autoSpaceDE w:val="0"/>
        <w:autoSpaceDN w:val="0"/>
        <w:adjustRightInd w:val="0"/>
      </w:pPr>
    </w:p>
    <w:p w14:paraId="20CBDC53" w14:textId="3B7751BA" w:rsidR="00477B8F" w:rsidRPr="009118AB" w:rsidRDefault="00477B8F" w:rsidP="00477B8F">
      <w:pPr>
        <w:autoSpaceDE w:val="0"/>
        <w:autoSpaceDN w:val="0"/>
        <w:adjustRightInd w:val="0"/>
      </w:pPr>
      <w:r w:rsidRPr="009118AB">
        <w:t>Unterabschnitt </w:t>
      </w:r>
      <w:r w:rsidR="006B602F" w:rsidRPr="009118AB">
        <w:t>3</w:t>
      </w:r>
      <w:r w:rsidR="00D67EB8" w:rsidRPr="009118AB">
        <w:t> - </w:t>
      </w:r>
      <w:r w:rsidRPr="009118AB">
        <w:t>Fälligkeit des Vorabzugs</w:t>
      </w:r>
    </w:p>
    <w:p w14:paraId="47D028CE" w14:textId="77777777" w:rsidR="00477B8F" w:rsidRPr="009118AB" w:rsidRDefault="00477B8F" w:rsidP="00477B8F">
      <w:pPr>
        <w:autoSpaceDE w:val="0"/>
        <w:autoSpaceDN w:val="0"/>
        <w:adjustRightInd w:val="0"/>
      </w:pPr>
    </w:p>
    <w:p w14:paraId="17BA39B6" w14:textId="3A078542" w:rsidR="00477B8F" w:rsidRPr="009118AB" w:rsidRDefault="00477B8F" w:rsidP="00477B8F">
      <w:pPr>
        <w:autoSpaceDE w:val="0"/>
        <w:autoSpaceDN w:val="0"/>
        <w:adjustRightInd w:val="0"/>
      </w:pPr>
      <w:r w:rsidRPr="009118AB">
        <w:t>Unterabschnitt </w:t>
      </w:r>
      <w:r w:rsidR="006B602F" w:rsidRPr="009118AB">
        <w:t>4</w:t>
      </w:r>
      <w:r w:rsidR="00D67EB8" w:rsidRPr="009118AB">
        <w:t> - </w:t>
      </w:r>
      <w:r w:rsidRPr="009118AB">
        <w:t>Berechnung des Vorabzugs</w:t>
      </w:r>
    </w:p>
    <w:p w14:paraId="5E44AA8C" w14:textId="77777777" w:rsidR="00477B8F" w:rsidRPr="009118AB" w:rsidRDefault="00477B8F" w:rsidP="00477B8F">
      <w:pPr>
        <w:autoSpaceDE w:val="0"/>
        <w:autoSpaceDN w:val="0"/>
        <w:adjustRightInd w:val="0"/>
      </w:pPr>
    </w:p>
    <w:p w14:paraId="0B4F95E1" w14:textId="299E04B9" w:rsidR="00477B8F" w:rsidRPr="009118AB" w:rsidRDefault="00477B8F" w:rsidP="00477B8F">
      <w:pPr>
        <w:autoSpaceDE w:val="0"/>
        <w:autoSpaceDN w:val="0"/>
        <w:adjustRightInd w:val="0"/>
      </w:pPr>
      <w:r w:rsidRPr="009118AB">
        <w:rPr>
          <w:i/>
          <w:iCs/>
        </w:rPr>
        <w:t>Abschnitt </w:t>
      </w:r>
      <w:r w:rsidR="006B602F" w:rsidRPr="009118AB">
        <w:rPr>
          <w:i/>
          <w:iCs/>
        </w:rPr>
        <w:t>4</w:t>
      </w:r>
      <w:r w:rsidR="00D67EB8" w:rsidRPr="009118AB">
        <w:t> - </w:t>
      </w:r>
      <w:r w:rsidRPr="009118AB">
        <w:t>Berufssteuervorabzug</w:t>
      </w:r>
    </w:p>
    <w:p w14:paraId="07358420" w14:textId="77777777" w:rsidR="00477B8F" w:rsidRPr="009118AB" w:rsidRDefault="00477B8F" w:rsidP="00477B8F">
      <w:pPr>
        <w:autoSpaceDE w:val="0"/>
        <w:autoSpaceDN w:val="0"/>
        <w:adjustRightInd w:val="0"/>
      </w:pPr>
    </w:p>
    <w:p w14:paraId="2B1A799F" w14:textId="4C30DC3E" w:rsidR="00477B8F" w:rsidRPr="009118AB" w:rsidRDefault="00477B8F" w:rsidP="00477B8F">
      <w:pPr>
        <w:autoSpaceDE w:val="0"/>
        <w:autoSpaceDN w:val="0"/>
        <w:adjustRightInd w:val="0"/>
      </w:pPr>
      <w:r w:rsidRPr="009118AB">
        <w:rPr>
          <w:b/>
          <w:bCs/>
        </w:rPr>
        <w:t>Kapitel </w:t>
      </w:r>
      <w:r w:rsidR="00464330" w:rsidRPr="009118AB">
        <w:rPr>
          <w:b/>
          <w:bCs/>
        </w:rPr>
        <w:t>2</w:t>
      </w:r>
      <w:r w:rsidR="00D67EB8" w:rsidRPr="009118AB">
        <w:t> - </w:t>
      </w:r>
      <w:r w:rsidRPr="009118AB">
        <w:rPr>
          <w:i/>
          <w:iCs/>
        </w:rPr>
        <w:t>Anrechnung der Vorabzüge</w:t>
      </w:r>
    </w:p>
    <w:p w14:paraId="31B892DE" w14:textId="77777777" w:rsidR="00477B8F" w:rsidRPr="009118AB" w:rsidRDefault="00477B8F" w:rsidP="00477B8F">
      <w:pPr>
        <w:autoSpaceDE w:val="0"/>
        <w:autoSpaceDN w:val="0"/>
        <w:adjustRightInd w:val="0"/>
      </w:pPr>
    </w:p>
    <w:p w14:paraId="10E71AC7" w14:textId="474EAE8A"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Allgemeine Bestimmungen</w:t>
      </w:r>
    </w:p>
    <w:p w14:paraId="0CFB0CC1" w14:textId="77777777" w:rsidR="00477B8F" w:rsidRPr="009118AB" w:rsidRDefault="00477B8F" w:rsidP="00477B8F">
      <w:pPr>
        <w:autoSpaceDE w:val="0"/>
        <w:autoSpaceDN w:val="0"/>
        <w:adjustRightInd w:val="0"/>
      </w:pPr>
    </w:p>
    <w:p w14:paraId="1624EE08" w14:textId="558FCC2A"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Immobiliensteuervorabzug</w:t>
      </w:r>
    </w:p>
    <w:p w14:paraId="21CC58F0" w14:textId="77777777" w:rsidR="00477B8F" w:rsidRPr="009118AB" w:rsidRDefault="00477B8F" w:rsidP="00477B8F">
      <w:pPr>
        <w:autoSpaceDE w:val="0"/>
        <w:autoSpaceDN w:val="0"/>
        <w:adjustRightInd w:val="0"/>
      </w:pPr>
    </w:p>
    <w:p w14:paraId="377CB339" w14:textId="5325F7D7"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t> - </w:t>
      </w:r>
      <w:r w:rsidRPr="009118AB">
        <w:t>Mobiliensteuervorabzug</w:t>
      </w:r>
    </w:p>
    <w:p w14:paraId="45F468D9" w14:textId="77777777" w:rsidR="00477B8F" w:rsidRPr="009118AB" w:rsidRDefault="00477B8F" w:rsidP="00477B8F">
      <w:pPr>
        <w:autoSpaceDE w:val="0"/>
        <w:autoSpaceDN w:val="0"/>
        <w:adjustRightInd w:val="0"/>
      </w:pPr>
    </w:p>
    <w:p w14:paraId="4C673030" w14:textId="465C9946" w:rsidR="00477B8F" w:rsidRPr="009118AB" w:rsidRDefault="00477B8F" w:rsidP="00477B8F">
      <w:pPr>
        <w:autoSpaceDE w:val="0"/>
        <w:autoSpaceDN w:val="0"/>
        <w:adjustRightInd w:val="0"/>
      </w:pPr>
      <w:r w:rsidRPr="009118AB">
        <w:rPr>
          <w:i/>
          <w:iCs/>
        </w:rPr>
        <w:t>Abschnitt </w:t>
      </w:r>
      <w:r w:rsidR="006B602F" w:rsidRPr="009118AB">
        <w:rPr>
          <w:i/>
          <w:iCs/>
        </w:rPr>
        <w:t>4</w:t>
      </w:r>
      <w:r w:rsidR="00D67EB8" w:rsidRPr="009118AB">
        <w:t> - </w:t>
      </w:r>
      <w:r w:rsidRPr="009118AB">
        <w:t>Pauschalanteil ausländischer Steuer</w:t>
      </w:r>
    </w:p>
    <w:p w14:paraId="2DB075BC" w14:textId="77777777" w:rsidR="00477B8F" w:rsidRPr="009118AB" w:rsidRDefault="00477B8F" w:rsidP="00477B8F">
      <w:pPr>
        <w:autoSpaceDE w:val="0"/>
        <w:autoSpaceDN w:val="0"/>
        <w:adjustRightInd w:val="0"/>
      </w:pPr>
    </w:p>
    <w:p w14:paraId="65A16E08" w14:textId="2AF9F231" w:rsidR="00477B8F" w:rsidRPr="009118AB" w:rsidRDefault="00477B8F" w:rsidP="00477B8F">
      <w:pPr>
        <w:autoSpaceDE w:val="0"/>
        <w:autoSpaceDN w:val="0"/>
        <w:adjustRightInd w:val="0"/>
      </w:pPr>
      <w:r w:rsidRPr="009118AB">
        <w:rPr>
          <w:i/>
          <w:iCs/>
        </w:rPr>
        <w:t>Abschnitt </w:t>
      </w:r>
      <w:r w:rsidR="006B602F" w:rsidRPr="009118AB">
        <w:rPr>
          <w:i/>
          <w:iCs/>
        </w:rPr>
        <w:t>4</w:t>
      </w:r>
      <w:r w:rsidRPr="009118AB">
        <w:rPr>
          <w:i/>
          <w:iCs/>
        </w:rPr>
        <w:t>bis</w:t>
      </w:r>
      <w:r w:rsidR="00D67EB8" w:rsidRPr="009118AB">
        <w:t> - </w:t>
      </w:r>
      <w:r w:rsidRPr="009118AB">
        <w:t>Steuergutschrift</w:t>
      </w:r>
    </w:p>
    <w:p w14:paraId="7D0726B5" w14:textId="77777777" w:rsidR="00477B8F" w:rsidRPr="009118AB" w:rsidRDefault="00477B8F" w:rsidP="00477B8F">
      <w:pPr>
        <w:autoSpaceDE w:val="0"/>
        <w:autoSpaceDN w:val="0"/>
        <w:adjustRightInd w:val="0"/>
      </w:pPr>
    </w:p>
    <w:p w14:paraId="1664ECFC" w14:textId="1AC42E9E" w:rsidR="00477B8F" w:rsidRPr="009118AB" w:rsidRDefault="00477B8F" w:rsidP="00477B8F">
      <w:pPr>
        <w:autoSpaceDE w:val="0"/>
        <w:autoSpaceDN w:val="0"/>
        <w:adjustRightInd w:val="0"/>
      </w:pPr>
      <w:r w:rsidRPr="009118AB">
        <w:t>Unterabschnitt </w:t>
      </w:r>
      <w:r w:rsidR="006B602F" w:rsidRPr="009118AB">
        <w:t>1</w:t>
      </w:r>
      <w:r w:rsidR="00D67EB8" w:rsidRPr="009118AB">
        <w:t> - </w:t>
      </w:r>
      <w:r w:rsidRPr="009118AB">
        <w:t>Steuergutschrift für Steuerpflichtige</w:t>
      </w:r>
      <w:r w:rsidR="00D67EB8" w:rsidRPr="009118AB">
        <w:t> - </w:t>
      </w:r>
      <w:r w:rsidRPr="009118AB">
        <w:t>natürliche Personen</w:t>
      </w:r>
    </w:p>
    <w:p w14:paraId="38E44382" w14:textId="77777777" w:rsidR="00477B8F" w:rsidRPr="009118AB" w:rsidRDefault="00477B8F" w:rsidP="00477B8F">
      <w:pPr>
        <w:autoSpaceDE w:val="0"/>
        <w:autoSpaceDN w:val="0"/>
        <w:adjustRightInd w:val="0"/>
      </w:pPr>
    </w:p>
    <w:p w14:paraId="27FEA267" w14:textId="5CF698EC"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Steuergutschrift für Steuerpflichtige</w:t>
      </w:r>
      <w:r w:rsidR="00D67EB8" w:rsidRPr="009118AB">
        <w:t> - </w:t>
      </w:r>
      <w:r w:rsidRPr="009118AB">
        <w:t>Gesellschaften</w:t>
      </w:r>
    </w:p>
    <w:p w14:paraId="6EA90A87" w14:textId="77777777" w:rsidR="00477B8F" w:rsidRPr="009118AB" w:rsidRDefault="00477B8F" w:rsidP="00477B8F">
      <w:pPr>
        <w:autoSpaceDE w:val="0"/>
        <w:autoSpaceDN w:val="0"/>
        <w:adjustRightInd w:val="0"/>
      </w:pPr>
    </w:p>
    <w:p w14:paraId="6605D753" w14:textId="1B88BF54" w:rsidR="00477B8F" w:rsidRPr="009118AB" w:rsidRDefault="00477B8F" w:rsidP="006679D5">
      <w:pPr>
        <w:autoSpaceDE w:val="0"/>
        <w:autoSpaceDN w:val="0"/>
        <w:adjustRightInd w:val="0"/>
        <w:jc w:val="both"/>
      </w:pPr>
      <w:r w:rsidRPr="009118AB">
        <w:rPr>
          <w:i/>
          <w:iCs/>
        </w:rPr>
        <w:t>Abschnitt </w:t>
      </w:r>
      <w:r w:rsidR="006B602F" w:rsidRPr="009118AB">
        <w:rPr>
          <w:i/>
          <w:iCs/>
        </w:rPr>
        <w:t>5</w:t>
      </w:r>
      <w:r w:rsidR="00D67EB8" w:rsidRPr="009118AB">
        <w:t> - </w:t>
      </w:r>
      <w:r w:rsidRPr="009118AB">
        <w:t>Grenze der Anrechnung des Immobiliensteuervorabzugs, des Mobiliensteuervorabzugs, des Pauschalanteils ausländischer Steuer und der Steuergutschrift</w:t>
      </w:r>
    </w:p>
    <w:p w14:paraId="092275C7" w14:textId="4D50A7A1" w:rsidR="00477B8F" w:rsidRPr="009118AB" w:rsidRDefault="00477B8F" w:rsidP="00477B8F">
      <w:pPr>
        <w:autoSpaceDE w:val="0"/>
        <w:autoSpaceDN w:val="0"/>
        <w:adjustRightInd w:val="0"/>
      </w:pPr>
      <w:r w:rsidRPr="009118AB">
        <w:rPr>
          <w:i/>
          <w:iCs/>
        </w:rPr>
        <w:t>Abschnitt </w:t>
      </w:r>
      <w:r w:rsidR="006B602F" w:rsidRPr="009118AB">
        <w:rPr>
          <w:i/>
          <w:iCs/>
        </w:rPr>
        <w:t>6</w:t>
      </w:r>
      <w:r w:rsidR="00D67EB8" w:rsidRPr="009118AB">
        <w:t> - </w:t>
      </w:r>
      <w:r w:rsidRPr="009118AB">
        <w:t>Berufssteuervorabzug</w:t>
      </w:r>
    </w:p>
    <w:p w14:paraId="0A0D18FB" w14:textId="77777777" w:rsidR="00477B8F" w:rsidRPr="009118AB" w:rsidRDefault="00477B8F" w:rsidP="00477B8F">
      <w:pPr>
        <w:autoSpaceDE w:val="0"/>
        <w:autoSpaceDN w:val="0"/>
        <w:adjustRightInd w:val="0"/>
      </w:pPr>
    </w:p>
    <w:p w14:paraId="338405D0" w14:textId="4C84A1B9" w:rsidR="00477B8F" w:rsidRPr="009118AB" w:rsidRDefault="00477B8F" w:rsidP="00477B8F">
      <w:pPr>
        <w:autoSpaceDE w:val="0"/>
        <w:autoSpaceDN w:val="0"/>
        <w:adjustRightInd w:val="0"/>
      </w:pPr>
      <w:r w:rsidRPr="009118AB">
        <w:rPr>
          <w:b/>
          <w:bCs/>
        </w:rPr>
        <w:t>TITEL VII</w:t>
      </w:r>
      <w:r w:rsidR="00D67EB8" w:rsidRPr="009118AB">
        <w:rPr>
          <w:b/>
          <w:bCs/>
        </w:rPr>
        <w:t> - </w:t>
      </w:r>
      <w:r w:rsidRPr="009118AB">
        <w:rPr>
          <w:b/>
          <w:bCs/>
          <w:i/>
          <w:iCs/>
        </w:rPr>
        <w:t>Festlegung und Eintreibung der Steuern</w:t>
      </w:r>
    </w:p>
    <w:p w14:paraId="6ADFD1FA" w14:textId="77777777" w:rsidR="00477B8F" w:rsidRPr="009118AB" w:rsidRDefault="00477B8F" w:rsidP="00477B8F">
      <w:pPr>
        <w:autoSpaceDE w:val="0"/>
        <w:autoSpaceDN w:val="0"/>
        <w:adjustRightInd w:val="0"/>
      </w:pPr>
    </w:p>
    <w:p w14:paraId="278766B9" w14:textId="1D1068DC" w:rsidR="00477B8F" w:rsidRPr="009118AB" w:rsidRDefault="00477B8F" w:rsidP="00477B8F">
      <w:pPr>
        <w:autoSpaceDE w:val="0"/>
        <w:autoSpaceDN w:val="0"/>
        <w:adjustRightInd w:val="0"/>
      </w:pPr>
      <w:r w:rsidRPr="009118AB">
        <w:rPr>
          <w:b/>
          <w:bCs/>
        </w:rPr>
        <w:t>Kapitel </w:t>
      </w:r>
      <w:r w:rsidR="00464330" w:rsidRPr="009118AB">
        <w:rPr>
          <w:b/>
          <w:bCs/>
        </w:rPr>
        <w:t>1</w:t>
      </w:r>
      <w:r w:rsidR="00D67EB8" w:rsidRPr="009118AB">
        <w:t> - </w:t>
      </w:r>
      <w:r w:rsidRPr="009118AB">
        <w:rPr>
          <w:i/>
          <w:iCs/>
        </w:rPr>
        <w:t>Allgemeine Bestimmungen</w:t>
      </w:r>
    </w:p>
    <w:p w14:paraId="107C8746" w14:textId="77777777" w:rsidR="00477B8F" w:rsidRPr="009118AB" w:rsidRDefault="00477B8F" w:rsidP="00477B8F">
      <w:pPr>
        <w:autoSpaceDE w:val="0"/>
        <w:autoSpaceDN w:val="0"/>
        <w:adjustRightInd w:val="0"/>
      </w:pPr>
    </w:p>
    <w:p w14:paraId="145E4786" w14:textId="4CB873F2" w:rsidR="00477B8F" w:rsidRPr="009118AB" w:rsidRDefault="00477B8F" w:rsidP="00477B8F">
      <w:pPr>
        <w:autoSpaceDE w:val="0"/>
        <w:autoSpaceDN w:val="0"/>
        <w:adjustRightInd w:val="0"/>
      </w:pPr>
      <w:r w:rsidRPr="009118AB">
        <w:rPr>
          <w:b/>
          <w:bCs/>
        </w:rPr>
        <w:t>Kapitel </w:t>
      </w:r>
      <w:r w:rsidR="00464330" w:rsidRPr="009118AB">
        <w:rPr>
          <w:b/>
          <w:bCs/>
        </w:rPr>
        <w:t>2</w:t>
      </w:r>
      <w:r w:rsidR="00D67EB8" w:rsidRPr="009118AB">
        <w:t> - </w:t>
      </w:r>
      <w:r w:rsidRPr="009118AB">
        <w:rPr>
          <w:i/>
          <w:iCs/>
        </w:rPr>
        <w:t>Erklärung</w:t>
      </w:r>
    </w:p>
    <w:p w14:paraId="7FEA90E7" w14:textId="77777777" w:rsidR="00477B8F" w:rsidRPr="009118AB" w:rsidRDefault="00477B8F" w:rsidP="00477B8F">
      <w:pPr>
        <w:autoSpaceDE w:val="0"/>
        <w:autoSpaceDN w:val="0"/>
        <w:adjustRightInd w:val="0"/>
      </w:pPr>
    </w:p>
    <w:p w14:paraId="64C5FB15" w14:textId="7CCF145E" w:rsidR="00477B8F" w:rsidRPr="009118AB" w:rsidRDefault="00477B8F" w:rsidP="006679D5">
      <w:pPr>
        <w:autoSpaceDE w:val="0"/>
        <w:autoSpaceDN w:val="0"/>
        <w:adjustRightInd w:val="0"/>
        <w:jc w:val="both"/>
      </w:pPr>
      <w:r w:rsidRPr="009118AB">
        <w:rPr>
          <w:i/>
          <w:iCs/>
        </w:rPr>
        <w:t>Abschnitt </w:t>
      </w:r>
      <w:r w:rsidR="006B602F" w:rsidRPr="009118AB">
        <w:rPr>
          <w:i/>
          <w:iCs/>
        </w:rPr>
        <w:t>1</w:t>
      </w:r>
      <w:r w:rsidR="00D67EB8" w:rsidRPr="009118AB">
        <w:t> - </w:t>
      </w:r>
      <w:r w:rsidRPr="009118AB">
        <w:t>Erklärung in Bezug auf die Steuer der natürlichen Personen, die Gesellschaftssteuer, die Steuer der juristischen Personen und die Steuer der Gebietsfremden</w:t>
      </w:r>
    </w:p>
    <w:p w14:paraId="1A3E3690" w14:textId="77777777" w:rsidR="00477B8F" w:rsidRPr="009118AB" w:rsidRDefault="00477B8F" w:rsidP="006679D5">
      <w:pPr>
        <w:autoSpaceDE w:val="0"/>
        <w:autoSpaceDN w:val="0"/>
        <w:adjustRightInd w:val="0"/>
        <w:jc w:val="both"/>
      </w:pPr>
    </w:p>
    <w:p w14:paraId="5FBFF54C" w14:textId="46593764" w:rsidR="00477B8F" w:rsidRPr="009118AB" w:rsidRDefault="00477B8F" w:rsidP="006679D5">
      <w:pPr>
        <w:autoSpaceDE w:val="0"/>
        <w:autoSpaceDN w:val="0"/>
        <w:adjustRightInd w:val="0"/>
        <w:jc w:val="both"/>
      </w:pPr>
      <w:r w:rsidRPr="009118AB">
        <w:rPr>
          <w:i/>
          <w:iCs/>
        </w:rPr>
        <w:t>Abschnitt </w:t>
      </w:r>
      <w:r w:rsidR="006B602F" w:rsidRPr="009118AB">
        <w:rPr>
          <w:i/>
          <w:iCs/>
        </w:rPr>
        <w:t>2</w:t>
      </w:r>
      <w:r w:rsidR="00D67EB8" w:rsidRPr="009118AB">
        <w:t> - </w:t>
      </w:r>
      <w:r w:rsidRPr="009118AB">
        <w:t>Erklärung in Bezug auf Mobiliensteuervorabzug und Berufssteuervorabzug</w:t>
      </w:r>
    </w:p>
    <w:p w14:paraId="62324D48" w14:textId="77777777" w:rsidR="00477B8F" w:rsidRPr="009118AB" w:rsidRDefault="00477B8F" w:rsidP="006679D5">
      <w:pPr>
        <w:autoSpaceDE w:val="0"/>
        <w:autoSpaceDN w:val="0"/>
        <w:adjustRightInd w:val="0"/>
        <w:jc w:val="both"/>
      </w:pPr>
    </w:p>
    <w:p w14:paraId="3ECBB9D8" w14:textId="3698A771" w:rsidR="00477B8F" w:rsidRPr="009118AB" w:rsidRDefault="00477B8F" w:rsidP="006679D5">
      <w:pPr>
        <w:autoSpaceDE w:val="0"/>
        <w:autoSpaceDN w:val="0"/>
        <w:adjustRightInd w:val="0"/>
        <w:jc w:val="both"/>
      </w:pPr>
      <w:r w:rsidRPr="009118AB">
        <w:rPr>
          <w:i/>
          <w:iCs/>
        </w:rPr>
        <w:t>Abschnitt </w:t>
      </w:r>
      <w:r w:rsidR="006B602F" w:rsidRPr="009118AB">
        <w:rPr>
          <w:i/>
          <w:iCs/>
        </w:rPr>
        <w:t>3</w:t>
      </w:r>
      <w:r w:rsidR="00D67EB8" w:rsidRPr="009118AB">
        <w:t> - </w:t>
      </w:r>
      <w:r w:rsidRPr="009118AB">
        <w:t>Befreiung von der Pflicht zur Erklärung bestimmter Einkünfte aus Kapitalvermögen und bestimmter verschiedener Einkünfte</w:t>
      </w:r>
    </w:p>
    <w:p w14:paraId="28A56285" w14:textId="77777777" w:rsidR="00477B8F" w:rsidRPr="009118AB" w:rsidRDefault="00477B8F" w:rsidP="006679D5">
      <w:pPr>
        <w:autoSpaceDE w:val="0"/>
        <w:autoSpaceDN w:val="0"/>
        <w:adjustRightInd w:val="0"/>
        <w:jc w:val="both"/>
      </w:pPr>
    </w:p>
    <w:p w14:paraId="6BC153FE" w14:textId="0C15D526" w:rsidR="00477B8F" w:rsidRPr="009118AB" w:rsidRDefault="00477B8F" w:rsidP="006679D5">
      <w:pPr>
        <w:autoSpaceDE w:val="0"/>
        <w:autoSpaceDN w:val="0"/>
        <w:adjustRightInd w:val="0"/>
        <w:jc w:val="both"/>
      </w:pPr>
      <w:r w:rsidRPr="009118AB">
        <w:rPr>
          <w:i/>
          <w:iCs/>
        </w:rPr>
        <w:t>Abschnitt </w:t>
      </w:r>
      <w:r w:rsidR="006B602F" w:rsidRPr="009118AB">
        <w:rPr>
          <w:i/>
          <w:iCs/>
        </w:rPr>
        <w:t>4</w:t>
      </w:r>
      <w:r w:rsidR="00D67EB8" w:rsidRPr="009118AB">
        <w:rPr>
          <w:i/>
          <w:iCs/>
        </w:rPr>
        <w:t> - </w:t>
      </w:r>
      <w:r w:rsidRPr="009118AB">
        <w:t>Identifizierung der Steuerpflichtigen</w:t>
      </w:r>
    </w:p>
    <w:p w14:paraId="72C022A5" w14:textId="77777777" w:rsidR="006679D5" w:rsidRPr="009118AB" w:rsidRDefault="006679D5" w:rsidP="00477B8F">
      <w:pPr>
        <w:autoSpaceDE w:val="0"/>
        <w:autoSpaceDN w:val="0"/>
        <w:adjustRightInd w:val="0"/>
        <w:rPr>
          <w:i/>
          <w:iCs/>
        </w:rPr>
      </w:pPr>
    </w:p>
    <w:p w14:paraId="4FFDF905" w14:textId="32886590" w:rsidR="00477B8F" w:rsidRPr="009118AB" w:rsidRDefault="00477B8F" w:rsidP="00477B8F">
      <w:pPr>
        <w:autoSpaceDE w:val="0"/>
        <w:autoSpaceDN w:val="0"/>
        <w:adjustRightInd w:val="0"/>
      </w:pPr>
      <w:r w:rsidRPr="009118AB">
        <w:rPr>
          <w:i/>
          <w:iCs/>
        </w:rPr>
        <w:t xml:space="preserve">Abschnitt </w:t>
      </w:r>
      <w:r w:rsidR="006B602F" w:rsidRPr="009118AB">
        <w:rPr>
          <w:i/>
          <w:iCs/>
        </w:rPr>
        <w:t>5</w:t>
      </w:r>
      <w:r w:rsidR="00D67EB8" w:rsidRPr="009118AB">
        <w:rPr>
          <w:i/>
          <w:iCs/>
        </w:rPr>
        <w:t> - </w:t>
      </w:r>
      <w:r w:rsidRPr="009118AB">
        <w:t>Beweiskraft der Erklärungen</w:t>
      </w:r>
    </w:p>
    <w:p w14:paraId="5D471001" w14:textId="77777777" w:rsidR="00477B8F" w:rsidRPr="009118AB" w:rsidRDefault="00477B8F" w:rsidP="00477B8F">
      <w:pPr>
        <w:autoSpaceDE w:val="0"/>
        <w:autoSpaceDN w:val="0"/>
        <w:adjustRightInd w:val="0"/>
      </w:pPr>
    </w:p>
    <w:p w14:paraId="0A3DD261" w14:textId="4A5DB1B3" w:rsidR="00477B8F" w:rsidRPr="009118AB" w:rsidRDefault="00477B8F" w:rsidP="00477B8F">
      <w:pPr>
        <w:autoSpaceDE w:val="0"/>
        <w:autoSpaceDN w:val="0"/>
        <w:adjustRightInd w:val="0"/>
      </w:pPr>
      <w:r w:rsidRPr="009118AB">
        <w:rPr>
          <w:b/>
          <w:bCs/>
        </w:rPr>
        <w:t>Kapitel </w:t>
      </w:r>
      <w:r w:rsidR="00464330" w:rsidRPr="009118AB">
        <w:rPr>
          <w:b/>
          <w:bCs/>
        </w:rPr>
        <w:t>3</w:t>
      </w:r>
      <w:r w:rsidR="00D67EB8" w:rsidRPr="009118AB">
        <w:t> - </w:t>
      </w:r>
      <w:r w:rsidRPr="009118AB">
        <w:rPr>
          <w:i/>
          <w:iCs/>
        </w:rPr>
        <w:t>Untersuchung und Kontrolle</w:t>
      </w:r>
    </w:p>
    <w:p w14:paraId="00BC88D1" w14:textId="77777777" w:rsidR="00477B8F" w:rsidRPr="009118AB" w:rsidRDefault="00477B8F" w:rsidP="00477B8F">
      <w:pPr>
        <w:autoSpaceDE w:val="0"/>
        <w:autoSpaceDN w:val="0"/>
        <w:adjustRightInd w:val="0"/>
      </w:pPr>
    </w:p>
    <w:p w14:paraId="5BD96888" w14:textId="78150592"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rPr>
          <w:i/>
          <w:iCs/>
        </w:rPr>
        <w:t> - </w:t>
      </w:r>
      <w:r w:rsidRPr="009118AB">
        <w:t>Pflichten der Steuerpflichtigen</w:t>
      </w:r>
    </w:p>
    <w:p w14:paraId="3E8C027F" w14:textId="77777777" w:rsidR="00477B8F" w:rsidRPr="009118AB" w:rsidRDefault="00477B8F" w:rsidP="00477B8F">
      <w:pPr>
        <w:autoSpaceDE w:val="0"/>
        <w:autoSpaceDN w:val="0"/>
        <w:adjustRightInd w:val="0"/>
      </w:pPr>
    </w:p>
    <w:p w14:paraId="1C48A651" w14:textId="2B2BF3ED"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rPr>
          <w:i/>
          <w:iCs/>
        </w:rPr>
        <w:t> - </w:t>
      </w:r>
      <w:r w:rsidRPr="009118AB">
        <w:t>Pflichten von Dritten</w:t>
      </w:r>
    </w:p>
    <w:p w14:paraId="2A2145A6" w14:textId="77777777" w:rsidR="00477B8F" w:rsidRPr="009118AB" w:rsidRDefault="00477B8F" w:rsidP="00477B8F">
      <w:pPr>
        <w:autoSpaceDE w:val="0"/>
        <w:autoSpaceDN w:val="0"/>
        <w:adjustRightInd w:val="0"/>
      </w:pPr>
    </w:p>
    <w:p w14:paraId="5979AB13" w14:textId="4C5A154D"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t> - </w:t>
      </w:r>
      <w:r w:rsidRPr="009118AB">
        <w:t>Pflichten der öffentlichen Dienste und Einrichtungen</w:t>
      </w:r>
    </w:p>
    <w:p w14:paraId="2BA4D377" w14:textId="77777777" w:rsidR="00477B8F" w:rsidRPr="009118AB" w:rsidRDefault="00477B8F" w:rsidP="00477B8F">
      <w:pPr>
        <w:autoSpaceDE w:val="0"/>
        <w:autoSpaceDN w:val="0"/>
        <w:adjustRightInd w:val="0"/>
      </w:pPr>
    </w:p>
    <w:p w14:paraId="6D5154B8" w14:textId="32A1BDF7" w:rsidR="00477B8F" w:rsidRPr="009118AB" w:rsidRDefault="00477B8F" w:rsidP="006679D5">
      <w:pPr>
        <w:autoSpaceDE w:val="0"/>
        <w:autoSpaceDN w:val="0"/>
        <w:adjustRightInd w:val="0"/>
        <w:jc w:val="both"/>
      </w:pPr>
      <w:r w:rsidRPr="009118AB">
        <w:rPr>
          <w:i/>
          <w:iCs/>
        </w:rPr>
        <w:t>Abschnitt </w:t>
      </w:r>
      <w:r w:rsidR="006B602F" w:rsidRPr="009118AB">
        <w:rPr>
          <w:i/>
          <w:iCs/>
        </w:rPr>
        <w:t>4</w:t>
      </w:r>
      <w:r w:rsidR="00D67EB8" w:rsidRPr="009118AB">
        <w:t> - </w:t>
      </w:r>
      <w:r w:rsidRPr="009118AB">
        <w:t>Gemeinsame Bestimmungen für Untersuchungen in Bezug auf den Steuerpflichtigen und Dritte</w:t>
      </w:r>
    </w:p>
    <w:p w14:paraId="642C0489" w14:textId="77777777" w:rsidR="00477B8F" w:rsidRPr="009118AB" w:rsidRDefault="00477B8F" w:rsidP="00477B8F">
      <w:pPr>
        <w:autoSpaceDE w:val="0"/>
        <w:autoSpaceDN w:val="0"/>
        <w:adjustRightInd w:val="0"/>
      </w:pPr>
    </w:p>
    <w:p w14:paraId="07B6F8FA" w14:textId="0F7A81E1" w:rsidR="00477B8F" w:rsidRPr="009118AB" w:rsidRDefault="00477B8F" w:rsidP="00477B8F">
      <w:pPr>
        <w:autoSpaceDE w:val="0"/>
        <w:autoSpaceDN w:val="0"/>
        <w:adjustRightInd w:val="0"/>
      </w:pPr>
      <w:r w:rsidRPr="009118AB">
        <w:rPr>
          <w:i/>
          <w:iCs/>
        </w:rPr>
        <w:t>Abschnitt </w:t>
      </w:r>
      <w:r w:rsidR="006B602F" w:rsidRPr="009118AB">
        <w:rPr>
          <w:i/>
          <w:iCs/>
        </w:rPr>
        <w:t>5</w:t>
      </w:r>
      <w:r w:rsidR="00D67EB8" w:rsidRPr="009118AB">
        <w:t> - </w:t>
      </w:r>
      <w:r w:rsidRPr="009118AB">
        <w:t>Gemeinsame Bestimmungen in Bezug auf alle Steuern</w:t>
      </w:r>
    </w:p>
    <w:p w14:paraId="117A564E" w14:textId="77777777" w:rsidR="00477B8F" w:rsidRPr="009118AB" w:rsidRDefault="00477B8F" w:rsidP="00477B8F">
      <w:pPr>
        <w:autoSpaceDE w:val="0"/>
        <w:autoSpaceDN w:val="0"/>
        <w:adjustRightInd w:val="0"/>
      </w:pPr>
    </w:p>
    <w:p w14:paraId="1D4DACC1" w14:textId="35FE31A1" w:rsidR="00477B8F" w:rsidRPr="009118AB" w:rsidRDefault="00477B8F" w:rsidP="00477B8F">
      <w:pPr>
        <w:autoSpaceDE w:val="0"/>
        <w:autoSpaceDN w:val="0"/>
        <w:adjustRightInd w:val="0"/>
      </w:pPr>
      <w:r w:rsidRPr="009118AB">
        <w:rPr>
          <w:i/>
          <w:iCs/>
        </w:rPr>
        <w:t>Abschnitt </w:t>
      </w:r>
      <w:r w:rsidR="006B602F" w:rsidRPr="009118AB">
        <w:rPr>
          <w:i/>
          <w:iCs/>
        </w:rPr>
        <w:t>6</w:t>
      </w:r>
      <w:r w:rsidR="00D67EB8" w:rsidRPr="009118AB">
        <w:t> - </w:t>
      </w:r>
      <w:r w:rsidRPr="009118AB">
        <w:t>Berufsgeheimnis</w:t>
      </w:r>
    </w:p>
    <w:p w14:paraId="47E9275A" w14:textId="77777777" w:rsidR="00477B8F" w:rsidRPr="009118AB" w:rsidRDefault="00477B8F" w:rsidP="00477B8F">
      <w:pPr>
        <w:autoSpaceDE w:val="0"/>
        <w:autoSpaceDN w:val="0"/>
        <w:adjustRightInd w:val="0"/>
      </w:pPr>
    </w:p>
    <w:p w14:paraId="56978D39" w14:textId="13AD6473" w:rsidR="00477B8F" w:rsidRPr="009118AB" w:rsidRDefault="00477B8F" w:rsidP="00477B8F">
      <w:pPr>
        <w:autoSpaceDE w:val="0"/>
        <w:autoSpaceDN w:val="0"/>
        <w:adjustRightInd w:val="0"/>
      </w:pPr>
      <w:r w:rsidRPr="009118AB">
        <w:rPr>
          <w:i/>
          <w:iCs/>
        </w:rPr>
        <w:t>Abschnitt </w:t>
      </w:r>
      <w:r w:rsidR="006B602F" w:rsidRPr="009118AB">
        <w:rPr>
          <w:i/>
          <w:iCs/>
        </w:rPr>
        <w:t>7</w:t>
      </w:r>
      <w:r w:rsidR="00D67EB8" w:rsidRPr="009118AB">
        <w:t> - </w:t>
      </w:r>
      <w:r w:rsidRPr="009118AB">
        <w:t>Amtshilfe</w:t>
      </w:r>
    </w:p>
    <w:p w14:paraId="0F11A245" w14:textId="77777777" w:rsidR="00477B8F" w:rsidRPr="009118AB" w:rsidRDefault="00477B8F" w:rsidP="00477B8F">
      <w:pPr>
        <w:autoSpaceDE w:val="0"/>
        <w:autoSpaceDN w:val="0"/>
        <w:adjustRightInd w:val="0"/>
      </w:pPr>
    </w:p>
    <w:p w14:paraId="328AED63" w14:textId="76EC775A" w:rsidR="00477B8F" w:rsidRPr="009118AB" w:rsidRDefault="00477B8F" w:rsidP="00477B8F">
      <w:pPr>
        <w:autoSpaceDE w:val="0"/>
        <w:autoSpaceDN w:val="0"/>
        <w:adjustRightInd w:val="0"/>
      </w:pPr>
      <w:r w:rsidRPr="009118AB">
        <w:rPr>
          <w:b/>
          <w:bCs/>
        </w:rPr>
        <w:t>Kapitel </w:t>
      </w:r>
      <w:r w:rsidR="00464330" w:rsidRPr="009118AB">
        <w:rPr>
          <w:b/>
          <w:bCs/>
        </w:rPr>
        <w:t>4</w:t>
      </w:r>
      <w:r w:rsidR="00D67EB8" w:rsidRPr="009118AB">
        <w:t> - </w:t>
      </w:r>
      <w:r w:rsidRPr="009118AB">
        <w:rPr>
          <w:i/>
          <w:iCs/>
        </w:rPr>
        <w:t>Beweismittel der Verwaltung</w:t>
      </w:r>
    </w:p>
    <w:p w14:paraId="16C1AAE9" w14:textId="77777777" w:rsidR="00477B8F" w:rsidRPr="009118AB" w:rsidRDefault="00477B8F" w:rsidP="00477B8F">
      <w:pPr>
        <w:autoSpaceDE w:val="0"/>
        <w:autoSpaceDN w:val="0"/>
        <w:adjustRightInd w:val="0"/>
      </w:pPr>
    </w:p>
    <w:p w14:paraId="1EC66C1C" w14:textId="1FB7B8EC" w:rsidR="00477B8F" w:rsidRPr="009118AB" w:rsidRDefault="00477B8F" w:rsidP="00477B8F">
      <w:pPr>
        <w:autoSpaceDE w:val="0"/>
        <w:autoSpaceDN w:val="0"/>
        <w:adjustRightInd w:val="0"/>
      </w:pPr>
      <w:r w:rsidRPr="009118AB">
        <w:rPr>
          <w:b/>
          <w:bCs/>
        </w:rPr>
        <w:t>Kapitel </w:t>
      </w:r>
      <w:r w:rsidR="00464330" w:rsidRPr="009118AB">
        <w:rPr>
          <w:b/>
          <w:bCs/>
        </w:rPr>
        <w:t>5</w:t>
      </w:r>
      <w:r w:rsidR="00D67EB8" w:rsidRPr="009118AB">
        <w:t> - </w:t>
      </w:r>
      <w:r w:rsidRPr="009118AB">
        <w:rPr>
          <w:i/>
          <w:iCs/>
        </w:rPr>
        <w:t>Veranlagungsverfahren</w:t>
      </w:r>
    </w:p>
    <w:p w14:paraId="3D2E423E" w14:textId="77777777" w:rsidR="00477B8F" w:rsidRPr="009118AB" w:rsidRDefault="00477B8F" w:rsidP="00477B8F">
      <w:pPr>
        <w:autoSpaceDE w:val="0"/>
        <w:autoSpaceDN w:val="0"/>
        <w:adjustRightInd w:val="0"/>
      </w:pPr>
    </w:p>
    <w:p w14:paraId="32B016B9" w14:textId="74477ED3"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Berichtigung der Erklärung</w:t>
      </w:r>
    </w:p>
    <w:p w14:paraId="286474A6" w14:textId="77777777" w:rsidR="00477B8F" w:rsidRPr="009118AB" w:rsidRDefault="00477B8F" w:rsidP="00477B8F">
      <w:pPr>
        <w:autoSpaceDE w:val="0"/>
        <w:autoSpaceDN w:val="0"/>
        <w:adjustRightInd w:val="0"/>
      </w:pPr>
    </w:p>
    <w:p w14:paraId="30DBDC0C" w14:textId="2D7DF412"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rPr>
          <w:i/>
          <w:iCs/>
        </w:rPr>
        <w:t> - </w:t>
      </w:r>
      <w:r w:rsidRPr="009118AB">
        <w:t>Veranlagung von Amts wegen</w:t>
      </w:r>
    </w:p>
    <w:p w14:paraId="7D9586BB" w14:textId="77777777" w:rsidR="00477B8F" w:rsidRPr="009118AB" w:rsidRDefault="00477B8F" w:rsidP="00477B8F">
      <w:pPr>
        <w:autoSpaceDE w:val="0"/>
        <w:autoSpaceDN w:val="0"/>
        <w:adjustRightInd w:val="0"/>
      </w:pPr>
    </w:p>
    <w:p w14:paraId="6C5EB3FC" w14:textId="7F414E87" w:rsidR="00477B8F" w:rsidRPr="009118AB" w:rsidRDefault="00477B8F" w:rsidP="00477B8F">
      <w:pPr>
        <w:autoSpaceDE w:val="0"/>
        <w:autoSpaceDN w:val="0"/>
        <w:adjustRightInd w:val="0"/>
      </w:pPr>
      <w:r w:rsidRPr="009118AB">
        <w:rPr>
          <w:b/>
          <w:bCs/>
        </w:rPr>
        <w:t>Kapitel </w:t>
      </w:r>
      <w:r w:rsidR="00464330" w:rsidRPr="009118AB">
        <w:rPr>
          <w:b/>
          <w:bCs/>
        </w:rPr>
        <w:t>6</w:t>
      </w:r>
      <w:r w:rsidR="00D67EB8" w:rsidRPr="009118AB">
        <w:t> - </w:t>
      </w:r>
      <w:r w:rsidRPr="009118AB">
        <w:rPr>
          <w:i/>
          <w:iCs/>
        </w:rPr>
        <w:t>Veranlagung</w:t>
      </w:r>
    </w:p>
    <w:p w14:paraId="082BB4B9" w14:textId="77777777" w:rsidR="00477B8F" w:rsidRPr="009118AB" w:rsidRDefault="00477B8F" w:rsidP="00477B8F">
      <w:pPr>
        <w:autoSpaceDE w:val="0"/>
        <w:autoSpaceDN w:val="0"/>
        <w:adjustRightInd w:val="0"/>
      </w:pPr>
    </w:p>
    <w:p w14:paraId="0FC0DF86" w14:textId="37C12FE5"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Veranlagungsfristen</w:t>
      </w:r>
    </w:p>
    <w:p w14:paraId="754BC1A3" w14:textId="77777777" w:rsidR="00477B8F" w:rsidRPr="009118AB" w:rsidRDefault="00477B8F" w:rsidP="00477B8F">
      <w:pPr>
        <w:autoSpaceDE w:val="0"/>
        <w:autoSpaceDN w:val="0"/>
        <w:adjustRightInd w:val="0"/>
      </w:pPr>
    </w:p>
    <w:p w14:paraId="76507FA0" w14:textId="6F6A1350"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Steuerjahr und Besteuerungszeitraum</w:t>
      </w:r>
    </w:p>
    <w:p w14:paraId="093D0F3F" w14:textId="1F09020A" w:rsidR="00477B8F" w:rsidRPr="009118AB" w:rsidRDefault="00477B8F" w:rsidP="00477B8F">
      <w:pPr>
        <w:autoSpaceDE w:val="0"/>
        <w:autoSpaceDN w:val="0"/>
        <w:adjustRightInd w:val="0"/>
      </w:pPr>
      <w:r w:rsidRPr="009118AB">
        <w:rPr>
          <w:i/>
          <w:iCs/>
        </w:rPr>
        <w:t xml:space="preserve">Abschnitt </w:t>
      </w:r>
      <w:r w:rsidR="006B602F" w:rsidRPr="009118AB">
        <w:rPr>
          <w:i/>
          <w:iCs/>
        </w:rPr>
        <w:t>3</w:t>
      </w:r>
      <w:r w:rsidR="00D67EB8" w:rsidRPr="009118AB">
        <w:t> - </w:t>
      </w:r>
      <w:r w:rsidRPr="009118AB">
        <w:t>[...]</w:t>
      </w:r>
    </w:p>
    <w:p w14:paraId="067E8994" w14:textId="77777777" w:rsidR="00477B8F" w:rsidRPr="009118AB" w:rsidRDefault="00477B8F" w:rsidP="00477B8F">
      <w:pPr>
        <w:autoSpaceDE w:val="0"/>
        <w:autoSpaceDN w:val="0"/>
        <w:adjustRightInd w:val="0"/>
      </w:pPr>
    </w:p>
    <w:p w14:paraId="3F70B441" w14:textId="0CD6C2AB" w:rsidR="00477B8F" w:rsidRPr="009118AB" w:rsidRDefault="00477B8F" w:rsidP="00477B8F">
      <w:pPr>
        <w:autoSpaceDE w:val="0"/>
        <w:autoSpaceDN w:val="0"/>
        <w:adjustRightInd w:val="0"/>
      </w:pPr>
      <w:r w:rsidRPr="009118AB">
        <w:rPr>
          <w:b/>
          <w:bCs/>
        </w:rPr>
        <w:t>Kapitel </w:t>
      </w:r>
      <w:r w:rsidR="00464330" w:rsidRPr="009118AB">
        <w:rPr>
          <w:b/>
          <w:bCs/>
        </w:rPr>
        <w:t>7</w:t>
      </w:r>
      <w:r w:rsidR="00D67EB8" w:rsidRPr="009118AB">
        <w:t> - </w:t>
      </w:r>
      <w:r w:rsidRPr="009118AB">
        <w:rPr>
          <w:i/>
          <w:iCs/>
        </w:rPr>
        <w:t>Rechtsbehelfe</w:t>
      </w:r>
    </w:p>
    <w:p w14:paraId="61BFF202" w14:textId="77777777" w:rsidR="00477B8F" w:rsidRPr="009118AB" w:rsidRDefault="00477B8F" w:rsidP="00477B8F">
      <w:pPr>
        <w:autoSpaceDE w:val="0"/>
        <w:autoSpaceDN w:val="0"/>
        <w:adjustRightInd w:val="0"/>
      </w:pPr>
    </w:p>
    <w:p w14:paraId="1BB4331C" w14:textId="0734A407"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rPr>
          <w:i/>
          <w:iCs/>
        </w:rPr>
        <w:t> - </w:t>
      </w:r>
      <w:r w:rsidRPr="009118AB">
        <w:t>Widerspruch</w:t>
      </w:r>
    </w:p>
    <w:p w14:paraId="6B1980BA" w14:textId="77777777" w:rsidR="00477B8F" w:rsidRPr="009118AB" w:rsidRDefault="00477B8F" w:rsidP="00477B8F">
      <w:pPr>
        <w:autoSpaceDE w:val="0"/>
        <w:autoSpaceDN w:val="0"/>
        <w:adjustRightInd w:val="0"/>
      </w:pPr>
    </w:p>
    <w:p w14:paraId="4C6C4B51" w14:textId="59994523"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Sonderbestimmungen in Sachen Rechtsmittel</w:t>
      </w:r>
    </w:p>
    <w:p w14:paraId="7192440E" w14:textId="77777777" w:rsidR="00477B8F" w:rsidRPr="009118AB" w:rsidRDefault="00477B8F" w:rsidP="00477B8F">
      <w:pPr>
        <w:autoSpaceDE w:val="0"/>
        <w:autoSpaceDN w:val="0"/>
        <w:adjustRightInd w:val="0"/>
      </w:pPr>
    </w:p>
    <w:p w14:paraId="1349C0EE" w14:textId="1C78DF2A" w:rsidR="00477B8F" w:rsidRPr="009118AB" w:rsidRDefault="00477B8F" w:rsidP="00477B8F">
      <w:pPr>
        <w:autoSpaceDE w:val="0"/>
        <w:autoSpaceDN w:val="0"/>
        <w:adjustRightInd w:val="0"/>
      </w:pPr>
      <w:r w:rsidRPr="009118AB">
        <w:rPr>
          <w:b/>
          <w:bCs/>
        </w:rPr>
        <w:t>Kapitel </w:t>
      </w:r>
      <w:r w:rsidR="00464330" w:rsidRPr="009118AB">
        <w:rPr>
          <w:b/>
          <w:bCs/>
        </w:rPr>
        <w:t>8</w:t>
      </w:r>
      <w:r w:rsidR="00D67EB8" w:rsidRPr="009118AB">
        <w:t> - </w:t>
      </w:r>
      <w:r w:rsidRPr="009118AB">
        <w:rPr>
          <w:i/>
          <w:iCs/>
        </w:rPr>
        <w:t>Eintreibung der Steuern</w:t>
      </w:r>
    </w:p>
    <w:p w14:paraId="0F7B170C" w14:textId="77777777" w:rsidR="00477B8F" w:rsidRPr="009118AB" w:rsidRDefault="00477B8F" w:rsidP="00477B8F">
      <w:pPr>
        <w:autoSpaceDE w:val="0"/>
        <w:autoSpaceDN w:val="0"/>
        <w:adjustRightInd w:val="0"/>
      </w:pPr>
    </w:p>
    <w:p w14:paraId="002FDDC3" w14:textId="3F8EC9F4"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rPr>
          <w:i/>
          <w:iCs/>
        </w:rPr>
        <w:t> - </w:t>
      </w:r>
      <w:r w:rsidRPr="009118AB">
        <w:t>Steuerschuldner</w:t>
      </w:r>
    </w:p>
    <w:p w14:paraId="475B305F" w14:textId="77777777" w:rsidR="006679D5" w:rsidRPr="009118AB" w:rsidRDefault="006679D5" w:rsidP="00477B8F">
      <w:pPr>
        <w:autoSpaceDE w:val="0"/>
        <w:autoSpaceDN w:val="0"/>
        <w:adjustRightInd w:val="0"/>
        <w:rPr>
          <w:i/>
          <w:iCs/>
        </w:rPr>
      </w:pPr>
    </w:p>
    <w:p w14:paraId="105B7EA3" w14:textId="1BE4E11F" w:rsidR="00477B8F" w:rsidRPr="009118AB" w:rsidRDefault="00477B8F" w:rsidP="006679D5">
      <w:pPr>
        <w:autoSpaceDE w:val="0"/>
        <w:autoSpaceDN w:val="0"/>
        <w:adjustRightInd w:val="0"/>
        <w:jc w:val="both"/>
      </w:pPr>
      <w:r w:rsidRPr="009118AB">
        <w:rPr>
          <w:i/>
          <w:iCs/>
        </w:rPr>
        <w:t>Abschnitt </w:t>
      </w:r>
      <w:r w:rsidR="006B602F" w:rsidRPr="009118AB">
        <w:rPr>
          <w:i/>
          <w:iCs/>
        </w:rPr>
        <w:t>2</w:t>
      </w:r>
      <w:r w:rsidR="00D67EB8" w:rsidRPr="009118AB">
        <w:rPr>
          <w:i/>
          <w:iCs/>
        </w:rPr>
        <w:t> - </w:t>
      </w:r>
      <w:r w:rsidRPr="009118AB">
        <w:t>Tätigkeiten, für die ein registrierter Unternehmer in Anspruch genommen werden muss</w:t>
      </w:r>
    </w:p>
    <w:p w14:paraId="2115F813" w14:textId="77777777" w:rsidR="00477B8F" w:rsidRPr="009118AB" w:rsidRDefault="00477B8F" w:rsidP="00477B8F">
      <w:pPr>
        <w:autoSpaceDE w:val="0"/>
        <w:autoSpaceDN w:val="0"/>
        <w:adjustRightInd w:val="0"/>
      </w:pPr>
    </w:p>
    <w:p w14:paraId="62DAC7F8" w14:textId="482EAD98"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t> - </w:t>
      </w:r>
      <w:r w:rsidRPr="009118AB">
        <w:t>Beanstandete Steuern</w:t>
      </w:r>
    </w:p>
    <w:p w14:paraId="7E36517A" w14:textId="77777777" w:rsidR="00477B8F" w:rsidRPr="009118AB" w:rsidRDefault="00477B8F" w:rsidP="00477B8F">
      <w:pPr>
        <w:autoSpaceDE w:val="0"/>
        <w:autoSpaceDN w:val="0"/>
        <w:adjustRightInd w:val="0"/>
      </w:pPr>
    </w:p>
    <w:p w14:paraId="04E0B41A" w14:textId="747C57AE" w:rsidR="00477B8F" w:rsidRPr="009118AB" w:rsidRDefault="00477B8F" w:rsidP="00477B8F">
      <w:pPr>
        <w:autoSpaceDE w:val="0"/>
        <w:autoSpaceDN w:val="0"/>
        <w:adjustRightInd w:val="0"/>
      </w:pPr>
      <w:r w:rsidRPr="009118AB">
        <w:rPr>
          <w:i/>
          <w:iCs/>
        </w:rPr>
        <w:t>Abschnitt </w:t>
      </w:r>
      <w:r w:rsidR="006B602F" w:rsidRPr="009118AB">
        <w:rPr>
          <w:i/>
          <w:iCs/>
        </w:rPr>
        <w:t>4</w:t>
      </w:r>
      <w:r w:rsidR="00D67EB8" w:rsidRPr="009118AB">
        <w:t> - </w:t>
      </w:r>
      <w:r w:rsidRPr="009118AB">
        <w:t>Frist für die Zahlung von Vorabzügen und Steuern</w:t>
      </w:r>
    </w:p>
    <w:p w14:paraId="3B6A09CF" w14:textId="77777777" w:rsidR="00477B8F" w:rsidRPr="009118AB" w:rsidRDefault="00477B8F" w:rsidP="00477B8F">
      <w:pPr>
        <w:autoSpaceDE w:val="0"/>
        <w:autoSpaceDN w:val="0"/>
        <w:adjustRightInd w:val="0"/>
      </w:pPr>
    </w:p>
    <w:p w14:paraId="6E072529" w14:textId="706085CD" w:rsidR="00477B8F" w:rsidRPr="009118AB" w:rsidRDefault="00477B8F" w:rsidP="00477B8F">
      <w:pPr>
        <w:autoSpaceDE w:val="0"/>
        <w:autoSpaceDN w:val="0"/>
        <w:adjustRightInd w:val="0"/>
      </w:pPr>
      <w:r w:rsidRPr="009118AB">
        <w:rPr>
          <w:i/>
          <w:iCs/>
        </w:rPr>
        <w:t xml:space="preserve">Abschnitt </w:t>
      </w:r>
      <w:r w:rsidR="006B602F" w:rsidRPr="009118AB">
        <w:rPr>
          <w:i/>
          <w:iCs/>
        </w:rPr>
        <w:t>4</w:t>
      </w:r>
      <w:r w:rsidRPr="009118AB">
        <w:rPr>
          <w:i/>
          <w:iCs/>
        </w:rPr>
        <w:t>bis</w:t>
      </w:r>
      <w:r w:rsidR="00D67EB8" w:rsidRPr="009118AB">
        <w:t> - </w:t>
      </w:r>
      <w:r w:rsidRPr="009118AB">
        <w:t>Unbegrenzter Aufschub der Eintreibung von direkten Steuern</w:t>
      </w:r>
    </w:p>
    <w:p w14:paraId="2329835E" w14:textId="77777777" w:rsidR="00477B8F" w:rsidRPr="009118AB" w:rsidRDefault="00477B8F" w:rsidP="00477B8F">
      <w:pPr>
        <w:autoSpaceDE w:val="0"/>
        <w:autoSpaceDN w:val="0"/>
        <w:adjustRightInd w:val="0"/>
      </w:pPr>
    </w:p>
    <w:p w14:paraId="0AA16F2A" w14:textId="2DF93EB3" w:rsidR="00477B8F" w:rsidRPr="009118AB" w:rsidRDefault="00477B8F" w:rsidP="00477B8F">
      <w:pPr>
        <w:autoSpaceDE w:val="0"/>
        <w:autoSpaceDN w:val="0"/>
        <w:adjustRightInd w:val="0"/>
      </w:pPr>
      <w:r w:rsidRPr="009118AB">
        <w:rPr>
          <w:i/>
          <w:iCs/>
        </w:rPr>
        <w:t>Abschnitt </w:t>
      </w:r>
      <w:r w:rsidR="006B602F" w:rsidRPr="009118AB">
        <w:rPr>
          <w:i/>
          <w:iCs/>
        </w:rPr>
        <w:t>5</w:t>
      </w:r>
      <w:r w:rsidR="00D67EB8" w:rsidRPr="009118AB">
        <w:t> - </w:t>
      </w:r>
      <w:r w:rsidRPr="009118AB">
        <w:t>Zinsen</w:t>
      </w:r>
    </w:p>
    <w:p w14:paraId="6E3252B5" w14:textId="77777777" w:rsidR="00477B8F" w:rsidRPr="009118AB" w:rsidRDefault="00477B8F" w:rsidP="00477B8F">
      <w:pPr>
        <w:autoSpaceDE w:val="0"/>
        <w:autoSpaceDN w:val="0"/>
        <w:adjustRightInd w:val="0"/>
      </w:pPr>
    </w:p>
    <w:p w14:paraId="1B9BC94A" w14:textId="3874ED62" w:rsidR="00477B8F" w:rsidRPr="009118AB" w:rsidRDefault="00477B8F" w:rsidP="00477B8F">
      <w:pPr>
        <w:autoSpaceDE w:val="0"/>
        <w:autoSpaceDN w:val="0"/>
        <w:adjustRightInd w:val="0"/>
      </w:pPr>
      <w:r w:rsidRPr="009118AB">
        <w:t>Unterabschnitt </w:t>
      </w:r>
      <w:r w:rsidR="006B602F" w:rsidRPr="009118AB">
        <w:t>1</w:t>
      </w:r>
      <w:r w:rsidR="00D67EB8" w:rsidRPr="009118AB">
        <w:t> - </w:t>
      </w:r>
      <w:r w:rsidRPr="009118AB">
        <w:t>Verzugszinsen</w:t>
      </w:r>
    </w:p>
    <w:p w14:paraId="4285E623" w14:textId="77777777" w:rsidR="00477B8F" w:rsidRPr="009118AB" w:rsidRDefault="00477B8F" w:rsidP="00477B8F">
      <w:pPr>
        <w:autoSpaceDE w:val="0"/>
        <w:autoSpaceDN w:val="0"/>
        <w:adjustRightInd w:val="0"/>
      </w:pPr>
    </w:p>
    <w:p w14:paraId="25DAA6C8" w14:textId="034D0576"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Aufschubzinsen</w:t>
      </w:r>
    </w:p>
    <w:p w14:paraId="503D06DE" w14:textId="77777777" w:rsidR="00477B8F" w:rsidRPr="009118AB" w:rsidRDefault="00477B8F" w:rsidP="00477B8F">
      <w:pPr>
        <w:autoSpaceDE w:val="0"/>
        <w:autoSpaceDN w:val="0"/>
        <w:adjustRightInd w:val="0"/>
      </w:pPr>
    </w:p>
    <w:p w14:paraId="503D660A" w14:textId="264F8EDA" w:rsidR="00477B8F" w:rsidRPr="009118AB" w:rsidRDefault="00477B8F" w:rsidP="00477B8F">
      <w:pPr>
        <w:autoSpaceDE w:val="0"/>
        <w:autoSpaceDN w:val="0"/>
        <w:adjustRightInd w:val="0"/>
      </w:pPr>
      <w:r w:rsidRPr="009118AB">
        <w:rPr>
          <w:b/>
          <w:bCs/>
        </w:rPr>
        <w:t>Kapitel </w:t>
      </w:r>
      <w:r w:rsidR="00464330" w:rsidRPr="009118AB">
        <w:rPr>
          <w:b/>
          <w:bCs/>
        </w:rPr>
        <w:t>9</w:t>
      </w:r>
      <w:r w:rsidR="00D67EB8" w:rsidRPr="009118AB">
        <w:t> - </w:t>
      </w:r>
      <w:r w:rsidRPr="009118AB">
        <w:rPr>
          <w:i/>
          <w:iCs/>
        </w:rPr>
        <w:t>Rechte und Vorzugsrechte der Staatskasse in Sachen Eintreibung</w:t>
      </w:r>
    </w:p>
    <w:p w14:paraId="5E805CFB" w14:textId="77777777" w:rsidR="00477B8F" w:rsidRPr="009118AB" w:rsidRDefault="00477B8F" w:rsidP="00477B8F">
      <w:pPr>
        <w:autoSpaceDE w:val="0"/>
        <w:autoSpaceDN w:val="0"/>
        <w:adjustRightInd w:val="0"/>
      </w:pPr>
    </w:p>
    <w:p w14:paraId="7D7BF0BB" w14:textId="7D296AE1"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Von bestimmten Steuerschuldnern zu leistende Sicherheiten</w:t>
      </w:r>
    </w:p>
    <w:p w14:paraId="16CF3730" w14:textId="77777777" w:rsidR="00477B8F" w:rsidRPr="009118AB" w:rsidRDefault="00477B8F" w:rsidP="00477B8F">
      <w:pPr>
        <w:autoSpaceDE w:val="0"/>
        <w:autoSpaceDN w:val="0"/>
        <w:adjustRightInd w:val="0"/>
      </w:pPr>
    </w:p>
    <w:p w14:paraId="2684ECA7" w14:textId="5972C05D"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Vorzugsrecht der Staatskasse</w:t>
      </w:r>
    </w:p>
    <w:p w14:paraId="54778FB1" w14:textId="77777777" w:rsidR="00477B8F" w:rsidRPr="009118AB" w:rsidRDefault="00477B8F" w:rsidP="00477B8F">
      <w:pPr>
        <w:autoSpaceDE w:val="0"/>
        <w:autoSpaceDN w:val="0"/>
        <w:adjustRightInd w:val="0"/>
      </w:pPr>
    </w:p>
    <w:p w14:paraId="09D06F04" w14:textId="20AE2F60"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t> - </w:t>
      </w:r>
      <w:r w:rsidRPr="009118AB">
        <w:t>Gesetzliche Hypothek</w:t>
      </w:r>
    </w:p>
    <w:p w14:paraId="1C3FADA5" w14:textId="77777777" w:rsidR="00477B8F" w:rsidRPr="009118AB" w:rsidRDefault="00477B8F" w:rsidP="00477B8F">
      <w:pPr>
        <w:autoSpaceDE w:val="0"/>
        <w:autoSpaceDN w:val="0"/>
        <w:adjustRightInd w:val="0"/>
      </w:pPr>
    </w:p>
    <w:p w14:paraId="51F54777" w14:textId="504E5DF4" w:rsidR="00477B8F" w:rsidRPr="009118AB" w:rsidRDefault="00477B8F" w:rsidP="006679D5">
      <w:pPr>
        <w:autoSpaceDE w:val="0"/>
        <w:autoSpaceDN w:val="0"/>
        <w:adjustRightInd w:val="0"/>
        <w:jc w:val="both"/>
      </w:pPr>
      <w:r w:rsidRPr="009118AB">
        <w:rPr>
          <w:i/>
          <w:iCs/>
        </w:rPr>
        <w:t>Abschnitt </w:t>
      </w:r>
      <w:r w:rsidR="006B602F" w:rsidRPr="009118AB">
        <w:rPr>
          <w:i/>
          <w:iCs/>
        </w:rPr>
        <w:t>4</w:t>
      </w:r>
      <w:r w:rsidR="00D67EB8" w:rsidRPr="009118AB">
        <w:t> - </w:t>
      </w:r>
      <w:r w:rsidRPr="009118AB">
        <w:t>Haftung und Pflichten bestimmter ministerieller Amtsträger, Beamter und anderer Personen</w:t>
      </w:r>
    </w:p>
    <w:p w14:paraId="49C386BB" w14:textId="77777777" w:rsidR="00477B8F" w:rsidRPr="009118AB" w:rsidRDefault="00477B8F" w:rsidP="00477B8F">
      <w:pPr>
        <w:autoSpaceDE w:val="0"/>
        <w:autoSpaceDN w:val="0"/>
        <w:adjustRightInd w:val="0"/>
      </w:pPr>
    </w:p>
    <w:p w14:paraId="6D14A05A" w14:textId="2093BE1A" w:rsidR="00477B8F" w:rsidRPr="009118AB" w:rsidRDefault="00477B8F" w:rsidP="00477B8F">
      <w:pPr>
        <w:autoSpaceDE w:val="0"/>
        <w:autoSpaceDN w:val="0"/>
        <w:adjustRightInd w:val="0"/>
      </w:pPr>
      <w:r w:rsidRPr="009118AB">
        <w:rPr>
          <w:i/>
          <w:iCs/>
        </w:rPr>
        <w:t>Abschnitt </w:t>
      </w:r>
      <w:r w:rsidR="006B602F" w:rsidRPr="009118AB">
        <w:rPr>
          <w:i/>
          <w:iCs/>
        </w:rPr>
        <w:t>5</w:t>
      </w:r>
      <w:r w:rsidR="00D67EB8" w:rsidRPr="009118AB">
        <w:t> - </w:t>
      </w:r>
      <w:r w:rsidRPr="009118AB">
        <w:t>Verpflichtungen der Kreditinstitute oder -anstalten</w:t>
      </w:r>
    </w:p>
    <w:p w14:paraId="4B589687" w14:textId="77777777" w:rsidR="00477B8F" w:rsidRPr="009118AB" w:rsidRDefault="00477B8F" w:rsidP="00477B8F">
      <w:pPr>
        <w:autoSpaceDE w:val="0"/>
        <w:autoSpaceDN w:val="0"/>
        <w:adjustRightInd w:val="0"/>
      </w:pPr>
    </w:p>
    <w:p w14:paraId="2093A05F" w14:textId="543245AF" w:rsidR="00477B8F" w:rsidRPr="009118AB" w:rsidRDefault="00477B8F" w:rsidP="00477B8F">
      <w:pPr>
        <w:autoSpaceDE w:val="0"/>
        <w:autoSpaceDN w:val="0"/>
        <w:adjustRightInd w:val="0"/>
      </w:pPr>
      <w:r w:rsidRPr="009118AB">
        <w:rPr>
          <w:b/>
          <w:bCs/>
        </w:rPr>
        <w:t>Kapitel </w:t>
      </w:r>
      <w:r w:rsidR="00464330" w:rsidRPr="009118AB">
        <w:rPr>
          <w:b/>
          <w:bCs/>
        </w:rPr>
        <w:t>9</w:t>
      </w:r>
      <w:r w:rsidRPr="009118AB">
        <w:rPr>
          <w:b/>
          <w:bCs/>
          <w:i/>
          <w:iCs/>
        </w:rPr>
        <w:t>bis</w:t>
      </w:r>
      <w:r w:rsidR="00D67EB8" w:rsidRPr="009118AB">
        <w:t> - </w:t>
      </w:r>
      <w:r w:rsidRPr="009118AB">
        <w:rPr>
          <w:i/>
          <w:iCs/>
        </w:rPr>
        <w:t>Verjährung der Rechte der Staatskasse</w:t>
      </w:r>
    </w:p>
    <w:p w14:paraId="5A7C227E" w14:textId="77777777" w:rsidR="00477B8F" w:rsidRPr="009118AB" w:rsidRDefault="00477B8F" w:rsidP="00477B8F">
      <w:pPr>
        <w:autoSpaceDE w:val="0"/>
        <w:autoSpaceDN w:val="0"/>
        <w:adjustRightInd w:val="0"/>
      </w:pPr>
    </w:p>
    <w:p w14:paraId="67442EA3" w14:textId="7A8C5107" w:rsidR="00477B8F" w:rsidRPr="009118AB" w:rsidRDefault="00477B8F" w:rsidP="00477B8F">
      <w:pPr>
        <w:autoSpaceDE w:val="0"/>
        <w:autoSpaceDN w:val="0"/>
        <w:adjustRightInd w:val="0"/>
      </w:pPr>
      <w:r w:rsidRPr="009118AB">
        <w:rPr>
          <w:b/>
          <w:bCs/>
        </w:rPr>
        <w:t>Kapitel </w:t>
      </w:r>
      <w:r w:rsidR="00464330" w:rsidRPr="009118AB">
        <w:rPr>
          <w:b/>
          <w:bCs/>
        </w:rPr>
        <w:t>10</w:t>
      </w:r>
      <w:r w:rsidR="00D67EB8" w:rsidRPr="009118AB">
        <w:t> - </w:t>
      </w:r>
      <w:r w:rsidRPr="009118AB">
        <w:rPr>
          <w:i/>
          <w:iCs/>
        </w:rPr>
        <w:t>Strafbestimmungen</w:t>
      </w:r>
    </w:p>
    <w:p w14:paraId="3DBE0E83" w14:textId="77777777" w:rsidR="00477B8F" w:rsidRPr="009118AB" w:rsidRDefault="00477B8F" w:rsidP="00477B8F">
      <w:pPr>
        <w:autoSpaceDE w:val="0"/>
        <w:autoSpaceDN w:val="0"/>
        <w:adjustRightInd w:val="0"/>
      </w:pPr>
    </w:p>
    <w:p w14:paraId="3F3F95A0" w14:textId="42A2D5F7"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Verwaltungssanktionen</w:t>
      </w:r>
    </w:p>
    <w:p w14:paraId="055BF365" w14:textId="77777777" w:rsidR="00477B8F" w:rsidRPr="009118AB" w:rsidRDefault="00477B8F" w:rsidP="00477B8F">
      <w:pPr>
        <w:autoSpaceDE w:val="0"/>
        <w:autoSpaceDN w:val="0"/>
        <w:adjustRightInd w:val="0"/>
      </w:pPr>
    </w:p>
    <w:p w14:paraId="33951C1F" w14:textId="58532B43" w:rsidR="00477B8F" w:rsidRPr="009118AB" w:rsidRDefault="00477B8F" w:rsidP="00477B8F">
      <w:pPr>
        <w:autoSpaceDE w:val="0"/>
        <w:autoSpaceDN w:val="0"/>
        <w:adjustRightInd w:val="0"/>
      </w:pPr>
      <w:r w:rsidRPr="009118AB">
        <w:t>Unterabschnitt </w:t>
      </w:r>
      <w:r w:rsidR="006B602F" w:rsidRPr="009118AB">
        <w:t>1</w:t>
      </w:r>
      <w:r w:rsidR="00D67EB8" w:rsidRPr="009118AB">
        <w:t> - </w:t>
      </w:r>
      <w:r w:rsidRPr="009118AB">
        <w:t>Steuerzuschläge</w:t>
      </w:r>
    </w:p>
    <w:p w14:paraId="7A648E1A" w14:textId="77777777" w:rsidR="00477B8F" w:rsidRPr="009118AB" w:rsidRDefault="00477B8F" w:rsidP="00477B8F">
      <w:pPr>
        <w:autoSpaceDE w:val="0"/>
        <w:autoSpaceDN w:val="0"/>
        <w:adjustRightInd w:val="0"/>
      </w:pPr>
    </w:p>
    <w:p w14:paraId="7EAC682A" w14:textId="2C3FD948" w:rsidR="00477B8F" w:rsidRPr="009118AB" w:rsidRDefault="00477B8F" w:rsidP="00477B8F">
      <w:pPr>
        <w:autoSpaceDE w:val="0"/>
        <w:autoSpaceDN w:val="0"/>
        <w:adjustRightInd w:val="0"/>
      </w:pPr>
      <w:r w:rsidRPr="009118AB">
        <w:t>Unterabschnitt </w:t>
      </w:r>
      <w:r w:rsidR="006B602F" w:rsidRPr="009118AB">
        <w:t>2</w:t>
      </w:r>
      <w:r w:rsidR="00D67EB8" w:rsidRPr="009118AB">
        <w:t> - </w:t>
      </w:r>
      <w:r w:rsidRPr="009118AB">
        <w:t>Administrative Geldbußen</w:t>
      </w:r>
    </w:p>
    <w:p w14:paraId="372502AD" w14:textId="77777777" w:rsidR="00477B8F" w:rsidRPr="009118AB" w:rsidRDefault="00477B8F" w:rsidP="00477B8F">
      <w:pPr>
        <w:autoSpaceDE w:val="0"/>
        <w:autoSpaceDN w:val="0"/>
        <w:adjustRightInd w:val="0"/>
      </w:pPr>
    </w:p>
    <w:p w14:paraId="21E48496" w14:textId="3C93E8D8" w:rsidR="00477B8F" w:rsidRPr="009118AB" w:rsidRDefault="00477B8F" w:rsidP="00477B8F">
      <w:pPr>
        <w:autoSpaceDE w:val="0"/>
        <w:autoSpaceDN w:val="0"/>
        <w:adjustRightInd w:val="0"/>
      </w:pPr>
      <w:r w:rsidRPr="009118AB">
        <w:t>Unterabschnitt </w:t>
      </w:r>
      <w:r w:rsidR="006B602F" w:rsidRPr="009118AB">
        <w:t>3</w:t>
      </w:r>
      <w:r w:rsidR="00D67EB8" w:rsidRPr="009118AB">
        <w:t> - </w:t>
      </w:r>
      <w:r w:rsidRPr="009118AB">
        <w:t>Verlust des Rechts Steuerpflichtige zu vertreten</w:t>
      </w:r>
    </w:p>
    <w:p w14:paraId="56BF2AE2" w14:textId="77777777" w:rsidR="00477B8F" w:rsidRPr="009118AB" w:rsidRDefault="00477B8F" w:rsidP="00477B8F">
      <w:pPr>
        <w:autoSpaceDE w:val="0"/>
        <w:autoSpaceDN w:val="0"/>
        <w:adjustRightInd w:val="0"/>
      </w:pPr>
    </w:p>
    <w:p w14:paraId="7EDD095F" w14:textId="0BB22334"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Strafrechtliche Sanktionen</w:t>
      </w:r>
    </w:p>
    <w:p w14:paraId="00BD8996" w14:textId="77777777" w:rsidR="00477B8F" w:rsidRPr="009118AB" w:rsidRDefault="00477B8F" w:rsidP="00477B8F">
      <w:pPr>
        <w:autoSpaceDE w:val="0"/>
        <w:autoSpaceDN w:val="0"/>
        <w:adjustRightInd w:val="0"/>
      </w:pPr>
    </w:p>
    <w:p w14:paraId="0253ED94" w14:textId="4A2EFD41" w:rsidR="00477B8F" w:rsidRPr="009118AB" w:rsidRDefault="00477B8F" w:rsidP="00477B8F">
      <w:pPr>
        <w:autoSpaceDE w:val="0"/>
        <w:autoSpaceDN w:val="0"/>
        <w:adjustRightInd w:val="0"/>
      </w:pPr>
      <w:r w:rsidRPr="009118AB">
        <w:rPr>
          <w:b/>
          <w:bCs/>
        </w:rPr>
        <w:t>TITEL VII</w:t>
      </w:r>
      <w:r w:rsidRPr="009118AB">
        <w:rPr>
          <w:b/>
          <w:bCs/>
          <w:i/>
          <w:iCs/>
        </w:rPr>
        <w:t>bis</w:t>
      </w:r>
      <w:r w:rsidR="00D67EB8" w:rsidRPr="009118AB">
        <w:rPr>
          <w:b/>
          <w:bCs/>
        </w:rPr>
        <w:t> - </w:t>
      </w:r>
      <w:r w:rsidRPr="009118AB">
        <w:rPr>
          <w:b/>
          <w:bCs/>
          <w:i/>
          <w:iCs/>
        </w:rPr>
        <w:t>Zusätzliche Krisenabgabe</w:t>
      </w:r>
    </w:p>
    <w:p w14:paraId="68CDEF13" w14:textId="77777777" w:rsidR="00477B8F" w:rsidRPr="009118AB" w:rsidRDefault="00477B8F" w:rsidP="00477B8F">
      <w:pPr>
        <w:autoSpaceDE w:val="0"/>
        <w:autoSpaceDN w:val="0"/>
        <w:adjustRightInd w:val="0"/>
      </w:pPr>
    </w:p>
    <w:p w14:paraId="3F59ACF7" w14:textId="7F313665" w:rsidR="00477B8F" w:rsidRPr="009118AB" w:rsidRDefault="00477B8F" w:rsidP="00477B8F">
      <w:pPr>
        <w:autoSpaceDE w:val="0"/>
        <w:autoSpaceDN w:val="0"/>
        <w:adjustRightInd w:val="0"/>
      </w:pPr>
      <w:r w:rsidRPr="009118AB">
        <w:rPr>
          <w:b/>
          <w:bCs/>
        </w:rPr>
        <w:t>TITEL VIII</w:t>
      </w:r>
      <w:r w:rsidR="00D67EB8" w:rsidRPr="009118AB">
        <w:rPr>
          <w:b/>
          <w:bCs/>
        </w:rPr>
        <w:t> - </w:t>
      </w:r>
      <w:r w:rsidRPr="009118AB">
        <w:rPr>
          <w:b/>
          <w:bCs/>
          <w:i/>
          <w:iCs/>
        </w:rPr>
        <w:t>Zuweisungen an die Provinzen, Agglomerationen und Gemeinden</w:t>
      </w:r>
    </w:p>
    <w:p w14:paraId="6E4D5106" w14:textId="77777777" w:rsidR="00477B8F" w:rsidRPr="009118AB" w:rsidRDefault="00477B8F" w:rsidP="00477B8F">
      <w:pPr>
        <w:autoSpaceDE w:val="0"/>
        <w:autoSpaceDN w:val="0"/>
        <w:adjustRightInd w:val="0"/>
      </w:pPr>
    </w:p>
    <w:p w14:paraId="272A5675" w14:textId="1EBE19E3" w:rsidR="00477B8F" w:rsidRPr="009118AB" w:rsidRDefault="00477B8F" w:rsidP="00477B8F">
      <w:pPr>
        <w:autoSpaceDE w:val="0"/>
        <w:autoSpaceDN w:val="0"/>
        <w:adjustRightInd w:val="0"/>
      </w:pPr>
      <w:r w:rsidRPr="009118AB">
        <w:rPr>
          <w:b/>
          <w:bCs/>
        </w:rPr>
        <w:t>Kapitel </w:t>
      </w:r>
      <w:r w:rsidR="00464330" w:rsidRPr="009118AB">
        <w:rPr>
          <w:b/>
          <w:bCs/>
        </w:rPr>
        <w:t>1</w:t>
      </w:r>
      <w:r w:rsidR="00D67EB8" w:rsidRPr="009118AB">
        <w:t> - </w:t>
      </w:r>
      <w:r w:rsidRPr="009118AB">
        <w:rPr>
          <w:i/>
          <w:iCs/>
        </w:rPr>
        <w:t>Allgemeine Bestimmungen</w:t>
      </w:r>
    </w:p>
    <w:p w14:paraId="1E4382F9" w14:textId="77777777" w:rsidR="006679D5" w:rsidRPr="009118AB" w:rsidRDefault="006679D5" w:rsidP="00477B8F">
      <w:pPr>
        <w:autoSpaceDE w:val="0"/>
        <w:autoSpaceDN w:val="0"/>
        <w:adjustRightInd w:val="0"/>
        <w:rPr>
          <w:b/>
          <w:bCs/>
        </w:rPr>
      </w:pPr>
    </w:p>
    <w:p w14:paraId="1F045457" w14:textId="10C74029" w:rsidR="00477B8F" w:rsidRPr="009118AB" w:rsidRDefault="00477B8F" w:rsidP="00477B8F">
      <w:pPr>
        <w:autoSpaceDE w:val="0"/>
        <w:autoSpaceDN w:val="0"/>
        <w:adjustRightInd w:val="0"/>
      </w:pPr>
      <w:r w:rsidRPr="009118AB">
        <w:rPr>
          <w:b/>
          <w:bCs/>
        </w:rPr>
        <w:t>Kapitel </w:t>
      </w:r>
      <w:r w:rsidR="00464330" w:rsidRPr="009118AB">
        <w:rPr>
          <w:b/>
          <w:bCs/>
        </w:rPr>
        <w:t>2</w:t>
      </w:r>
      <w:r w:rsidR="00D67EB8" w:rsidRPr="009118AB">
        <w:t> - </w:t>
      </w:r>
      <w:r w:rsidRPr="009118AB">
        <w:rPr>
          <w:i/>
          <w:iCs/>
        </w:rPr>
        <w:t>Zuschlagsteuern</w:t>
      </w:r>
    </w:p>
    <w:p w14:paraId="042444D5" w14:textId="77777777" w:rsidR="00477B8F" w:rsidRPr="009118AB" w:rsidRDefault="00477B8F" w:rsidP="00477B8F">
      <w:pPr>
        <w:autoSpaceDE w:val="0"/>
        <w:autoSpaceDN w:val="0"/>
        <w:adjustRightInd w:val="0"/>
      </w:pPr>
    </w:p>
    <w:p w14:paraId="7E714DD5" w14:textId="44F6B7B3" w:rsidR="00477B8F" w:rsidRPr="009118AB" w:rsidRDefault="00477B8F" w:rsidP="00477B8F">
      <w:pPr>
        <w:autoSpaceDE w:val="0"/>
        <w:autoSpaceDN w:val="0"/>
        <w:adjustRightInd w:val="0"/>
      </w:pPr>
      <w:r w:rsidRPr="009118AB">
        <w:rPr>
          <w:b/>
          <w:bCs/>
        </w:rPr>
        <w:t>Kapitel </w:t>
      </w:r>
      <w:r w:rsidR="00464330" w:rsidRPr="009118AB">
        <w:rPr>
          <w:b/>
          <w:bCs/>
        </w:rPr>
        <w:t>3</w:t>
      </w:r>
      <w:r w:rsidR="00D67EB8" w:rsidRPr="009118AB">
        <w:t> - </w:t>
      </w:r>
      <w:r w:rsidRPr="009118AB">
        <w:rPr>
          <w:i/>
          <w:iCs/>
        </w:rPr>
        <w:t>Besondere Eintreibungsregeln</w:t>
      </w:r>
    </w:p>
    <w:p w14:paraId="5BC3D5E5" w14:textId="77777777" w:rsidR="00477B8F" w:rsidRPr="009118AB" w:rsidRDefault="00477B8F" w:rsidP="00477B8F">
      <w:pPr>
        <w:autoSpaceDE w:val="0"/>
        <w:autoSpaceDN w:val="0"/>
        <w:adjustRightInd w:val="0"/>
      </w:pPr>
    </w:p>
    <w:p w14:paraId="02F1933A" w14:textId="2FB1042B" w:rsidR="00477B8F" w:rsidRPr="009118AB" w:rsidRDefault="00477B8F" w:rsidP="00477B8F">
      <w:pPr>
        <w:autoSpaceDE w:val="0"/>
        <w:autoSpaceDN w:val="0"/>
        <w:adjustRightInd w:val="0"/>
      </w:pPr>
      <w:r w:rsidRPr="009118AB">
        <w:rPr>
          <w:b/>
          <w:bCs/>
        </w:rPr>
        <w:t>TITEL IX</w:t>
      </w:r>
      <w:r w:rsidR="00D67EB8" w:rsidRPr="009118AB">
        <w:rPr>
          <w:b/>
          <w:bCs/>
        </w:rPr>
        <w:t> - </w:t>
      </w:r>
      <w:r w:rsidRPr="009118AB">
        <w:rPr>
          <w:b/>
          <w:bCs/>
          <w:i/>
          <w:iCs/>
        </w:rPr>
        <w:t>Katastereinkommen von unbeweglichen Gütern</w:t>
      </w:r>
    </w:p>
    <w:p w14:paraId="08A9D42B" w14:textId="77777777" w:rsidR="00477B8F" w:rsidRPr="009118AB" w:rsidRDefault="00477B8F" w:rsidP="00477B8F">
      <w:pPr>
        <w:autoSpaceDE w:val="0"/>
        <w:autoSpaceDN w:val="0"/>
        <w:adjustRightInd w:val="0"/>
      </w:pPr>
    </w:p>
    <w:p w14:paraId="763D1CA8" w14:textId="68788E79" w:rsidR="00477B8F" w:rsidRPr="009118AB" w:rsidRDefault="00477B8F" w:rsidP="00477B8F">
      <w:pPr>
        <w:autoSpaceDE w:val="0"/>
        <w:autoSpaceDN w:val="0"/>
        <w:adjustRightInd w:val="0"/>
      </w:pPr>
      <w:r w:rsidRPr="009118AB">
        <w:rPr>
          <w:b/>
          <w:bCs/>
        </w:rPr>
        <w:t>Kapitel </w:t>
      </w:r>
      <w:r w:rsidR="00464330" w:rsidRPr="009118AB">
        <w:rPr>
          <w:b/>
          <w:bCs/>
        </w:rPr>
        <w:t>1</w:t>
      </w:r>
      <w:r w:rsidR="00D67EB8" w:rsidRPr="009118AB">
        <w:t> - </w:t>
      </w:r>
      <w:r w:rsidRPr="009118AB">
        <w:rPr>
          <w:i/>
          <w:iCs/>
        </w:rPr>
        <w:t>Bestimmung des Katastereinkommens</w:t>
      </w:r>
    </w:p>
    <w:p w14:paraId="21816238" w14:textId="77777777" w:rsidR="00477B8F" w:rsidRPr="009118AB" w:rsidRDefault="00477B8F" w:rsidP="00477B8F">
      <w:pPr>
        <w:autoSpaceDE w:val="0"/>
        <w:autoSpaceDN w:val="0"/>
        <w:adjustRightInd w:val="0"/>
      </w:pPr>
    </w:p>
    <w:p w14:paraId="7BA1B902" w14:textId="0BEC2597" w:rsidR="00477B8F" w:rsidRPr="009118AB" w:rsidRDefault="00477B8F" w:rsidP="00477B8F">
      <w:pPr>
        <w:autoSpaceDE w:val="0"/>
        <w:autoSpaceDN w:val="0"/>
        <w:adjustRightInd w:val="0"/>
      </w:pPr>
      <w:r w:rsidRPr="009118AB">
        <w:rPr>
          <w:b/>
          <w:bCs/>
        </w:rPr>
        <w:t>Kapitel </w:t>
      </w:r>
      <w:r w:rsidR="00464330" w:rsidRPr="009118AB">
        <w:rPr>
          <w:b/>
          <w:bCs/>
        </w:rPr>
        <w:t>2</w:t>
      </w:r>
      <w:r w:rsidR="00D67EB8" w:rsidRPr="009118AB">
        <w:t> - </w:t>
      </w:r>
      <w:r w:rsidRPr="009118AB">
        <w:rPr>
          <w:i/>
          <w:iCs/>
        </w:rPr>
        <w:t>Festlegung des Katastereinkommens</w:t>
      </w:r>
    </w:p>
    <w:p w14:paraId="06438A8D" w14:textId="77777777" w:rsidR="00477B8F" w:rsidRPr="009118AB" w:rsidRDefault="00477B8F" w:rsidP="00477B8F">
      <w:pPr>
        <w:autoSpaceDE w:val="0"/>
        <w:autoSpaceDN w:val="0"/>
        <w:adjustRightInd w:val="0"/>
      </w:pPr>
    </w:p>
    <w:p w14:paraId="6826EA68" w14:textId="04C21850"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rPr>
          <w:i/>
          <w:iCs/>
        </w:rPr>
        <w:t> - </w:t>
      </w:r>
      <w:r w:rsidRPr="009118AB">
        <w:t>Allgemeine Bestimmungen</w:t>
      </w:r>
    </w:p>
    <w:p w14:paraId="37FB97E9" w14:textId="77777777" w:rsidR="00477B8F" w:rsidRPr="009118AB" w:rsidRDefault="00477B8F" w:rsidP="00477B8F">
      <w:pPr>
        <w:autoSpaceDE w:val="0"/>
        <w:autoSpaceDN w:val="0"/>
        <w:adjustRightInd w:val="0"/>
      </w:pPr>
    </w:p>
    <w:p w14:paraId="49FF9059" w14:textId="0D33C95C"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Erklärung der Steuerpflichtigen und Untersuchungsrecht der Verwaltung</w:t>
      </w:r>
    </w:p>
    <w:p w14:paraId="6C5183D7" w14:textId="77777777" w:rsidR="00477B8F" w:rsidRPr="009118AB" w:rsidRDefault="00477B8F" w:rsidP="00477B8F">
      <w:pPr>
        <w:autoSpaceDE w:val="0"/>
        <w:autoSpaceDN w:val="0"/>
        <w:adjustRightInd w:val="0"/>
      </w:pPr>
    </w:p>
    <w:p w14:paraId="0E3BC353" w14:textId="73DC53DC"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t> - </w:t>
      </w:r>
      <w:r w:rsidRPr="009118AB">
        <w:t>Bebaute unbewegliche Güter</w:t>
      </w:r>
    </w:p>
    <w:p w14:paraId="25C0F024" w14:textId="77777777" w:rsidR="00477B8F" w:rsidRPr="009118AB" w:rsidRDefault="00477B8F" w:rsidP="00477B8F">
      <w:pPr>
        <w:autoSpaceDE w:val="0"/>
        <w:autoSpaceDN w:val="0"/>
        <w:adjustRightInd w:val="0"/>
      </w:pPr>
    </w:p>
    <w:p w14:paraId="75C95643" w14:textId="5A51F1F5" w:rsidR="00477B8F" w:rsidRPr="009118AB" w:rsidRDefault="00477B8F" w:rsidP="00477B8F">
      <w:pPr>
        <w:autoSpaceDE w:val="0"/>
        <w:autoSpaceDN w:val="0"/>
        <w:adjustRightInd w:val="0"/>
      </w:pPr>
      <w:r w:rsidRPr="009118AB">
        <w:rPr>
          <w:i/>
          <w:iCs/>
        </w:rPr>
        <w:t>Abschnitt </w:t>
      </w:r>
      <w:r w:rsidR="006B602F" w:rsidRPr="009118AB">
        <w:rPr>
          <w:i/>
          <w:iCs/>
        </w:rPr>
        <w:t>4</w:t>
      </w:r>
      <w:r w:rsidR="00D67EB8" w:rsidRPr="009118AB">
        <w:t> - </w:t>
      </w:r>
      <w:r w:rsidRPr="009118AB">
        <w:t>Unbebaute unbewegliche Güter</w:t>
      </w:r>
    </w:p>
    <w:p w14:paraId="47FF4997" w14:textId="77777777" w:rsidR="00477B8F" w:rsidRPr="009118AB" w:rsidRDefault="00477B8F" w:rsidP="00477B8F">
      <w:pPr>
        <w:autoSpaceDE w:val="0"/>
        <w:autoSpaceDN w:val="0"/>
        <w:adjustRightInd w:val="0"/>
      </w:pPr>
    </w:p>
    <w:p w14:paraId="27B70C6F" w14:textId="144CA58B" w:rsidR="00477B8F" w:rsidRPr="009118AB" w:rsidRDefault="00477B8F" w:rsidP="00477B8F">
      <w:pPr>
        <w:autoSpaceDE w:val="0"/>
        <w:autoSpaceDN w:val="0"/>
        <w:adjustRightInd w:val="0"/>
      </w:pPr>
      <w:r w:rsidRPr="009118AB">
        <w:rPr>
          <w:i/>
          <w:iCs/>
        </w:rPr>
        <w:t>Abschnitt </w:t>
      </w:r>
      <w:r w:rsidR="006B602F" w:rsidRPr="009118AB">
        <w:rPr>
          <w:i/>
          <w:iCs/>
        </w:rPr>
        <w:t>5</w:t>
      </w:r>
      <w:r w:rsidR="00D67EB8" w:rsidRPr="009118AB">
        <w:t> - </w:t>
      </w:r>
      <w:r w:rsidRPr="009118AB">
        <w:t>Material und Ausrüstung</w:t>
      </w:r>
    </w:p>
    <w:p w14:paraId="3464CB5A" w14:textId="77777777" w:rsidR="00477B8F" w:rsidRPr="009118AB" w:rsidRDefault="00477B8F" w:rsidP="00477B8F">
      <w:pPr>
        <w:autoSpaceDE w:val="0"/>
        <w:autoSpaceDN w:val="0"/>
        <w:adjustRightInd w:val="0"/>
      </w:pPr>
    </w:p>
    <w:p w14:paraId="19DA0B0C" w14:textId="122391BA" w:rsidR="00477B8F" w:rsidRPr="009118AB" w:rsidRDefault="00477B8F" w:rsidP="00477B8F">
      <w:pPr>
        <w:autoSpaceDE w:val="0"/>
        <w:autoSpaceDN w:val="0"/>
        <w:adjustRightInd w:val="0"/>
      </w:pPr>
      <w:r w:rsidRPr="009118AB">
        <w:rPr>
          <w:i/>
          <w:iCs/>
        </w:rPr>
        <w:t>Abschnitt </w:t>
      </w:r>
      <w:r w:rsidR="006B602F" w:rsidRPr="009118AB">
        <w:rPr>
          <w:i/>
          <w:iCs/>
        </w:rPr>
        <w:t>6</w:t>
      </w:r>
      <w:r w:rsidR="00D67EB8" w:rsidRPr="009118AB">
        <w:t> - </w:t>
      </w:r>
      <w:r w:rsidRPr="009118AB">
        <w:t>Bezugszeitpunkt</w:t>
      </w:r>
    </w:p>
    <w:p w14:paraId="5CE68C8C" w14:textId="77777777" w:rsidR="00477B8F" w:rsidRPr="009118AB" w:rsidRDefault="00477B8F" w:rsidP="00477B8F">
      <w:pPr>
        <w:autoSpaceDE w:val="0"/>
        <w:autoSpaceDN w:val="0"/>
        <w:adjustRightInd w:val="0"/>
      </w:pPr>
    </w:p>
    <w:p w14:paraId="13AAB1C0" w14:textId="2DA07DA5" w:rsidR="00477B8F" w:rsidRPr="009118AB" w:rsidRDefault="00477B8F" w:rsidP="00477B8F">
      <w:pPr>
        <w:autoSpaceDE w:val="0"/>
        <w:autoSpaceDN w:val="0"/>
        <w:adjustRightInd w:val="0"/>
      </w:pPr>
      <w:r w:rsidRPr="009118AB">
        <w:rPr>
          <w:b/>
          <w:bCs/>
        </w:rPr>
        <w:t>Kapitel </w:t>
      </w:r>
      <w:r w:rsidR="00464330" w:rsidRPr="009118AB">
        <w:rPr>
          <w:b/>
          <w:bCs/>
        </w:rPr>
        <w:t>3</w:t>
      </w:r>
      <w:r w:rsidR="00D67EB8" w:rsidRPr="009118AB">
        <w:t> - </w:t>
      </w:r>
      <w:r w:rsidRPr="009118AB">
        <w:rPr>
          <w:i/>
          <w:iCs/>
        </w:rPr>
        <w:t>Zeitpunkt der Festlegung und des Inkrafttretens der Katastereinkünfte</w:t>
      </w:r>
    </w:p>
    <w:p w14:paraId="1671D2E4" w14:textId="77777777" w:rsidR="00477B8F" w:rsidRPr="009118AB" w:rsidRDefault="00477B8F" w:rsidP="00477B8F">
      <w:pPr>
        <w:autoSpaceDE w:val="0"/>
        <w:autoSpaceDN w:val="0"/>
        <w:adjustRightInd w:val="0"/>
      </w:pPr>
    </w:p>
    <w:p w14:paraId="27B43AE3" w14:textId="1C05AC51"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rPr>
          <w:i/>
          <w:iCs/>
        </w:rPr>
        <w:t> - </w:t>
      </w:r>
      <w:r w:rsidRPr="009118AB">
        <w:t>Allgemeine Angleichung der Katastereinkünfte</w:t>
      </w:r>
    </w:p>
    <w:p w14:paraId="4843E9EF" w14:textId="77777777" w:rsidR="00477B8F" w:rsidRPr="009118AB" w:rsidRDefault="00477B8F" w:rsidP="00477B8F">
      <w:pPr>
        <w:autoSpaceDE w:val="0"/>
        <w:autoSpaceDN w:val="0"/>
        <w:adjustRightInd w:val="0"/>
      </w:pPr>
    </w:p>
    <w:p w14:paraId="70725CFF" w14:textId="28D9348A"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Revision der Katastereinkünfte</w:t>
      </w:r>
    </w:p>
    <w:p w14:paraId="6E66A768" w14:textId="77777777" w:rsidR="00477B8F" w:rsidRPr="009118AB" w:rsidRDefault="00477B8F" w:rsidP="00477B8F">
      <w:pPr>
        <w:autoSpaceDE w:val="0"/>
        <w:autoSpaceDN w:val="0"/>
        <w:adjustRightInd w:val="0"/>
      </w:pPr>
    </w:p>
    <w:p w14:paraId="73313BE3" w14:textId="2828EA49"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t> - </w:t>
      </w:r>
      <w:r w:rsidRPr="009118AB">
        <w:t>Bewertung und Neubewertung der Katastereinkünfte</w:t>
      </w:r>
    </w:p>
    <w:p w14:paraId="42D35E17" w14:textId="77777777" w:rsidR="00477B8F" w:rsidRPr="009118AB" w:rsidRDefault="00477B8F" w:rsidP="00477B8F">
      <w:pPr>
        <w:autoSpaceDE w:val="0"/>
        <w:autoSpaceDN w:val="0"/>
        <w:adjustRightInd w:val="0"/>
      </w:pPr>
    </w:p>
    <w:p w14:paraId="41CD5E1D" w14:textId="4A0EF006" w:rsidR="00477B8F" w:rsidRPr="009118AB" w:rsidRDefault="00477B8F" w:rsidP="00477B8F">
      <w:pPr>
        <w:autoSpaceDE w:val="0"/>
        <w:autoSpaceDN w:val="0"/>
        <w:adjustRightInd w:val="0"/>
      </w:pPr>
      <w:r w:rsidRPr="009118AB">
        <w:rPr>
          <w:b/>
          <w:bCs/>
        </w:rPr>
        <w:t>Kapitel </w:t>
      </w:r>
      <w:r w:rsidR="00464330" w:rsidRPr="009118AB">
        <w:rPr>
          <w:b/>
          <w:bCs/>
        </w:rPr>
        <w:t>4</w:t>
      </w:r>
      <w:r w:rsidR="00D67EB8" w:rsidRPr="009118AB">
        <w:t> - </w:t>
      </w:r>
      <w:r w:rsidRPr="009118AB">
        <w:rPr>
          <w:i/>
          <w:iCs/>
        </w:rPr>
        <w:t>Notifizierung der Katastereinkünfte</w:t>
      </w:r>
    </w:p>
    <w:p w14:paraId="7EA05C7E" w14:textId="77777777" w:rsidR="00477B8F" w:rsidRPr="009118AB" w:rsidRDefault="00477B8F" w:rsidP="00477B8F">
      <w:pPr>
        <w:autoSpaceDE w:val="0"/>
        <w:autoSpaceDN w:val="0"/>
        <w:adjustRightInd w:val="0"/>
      </w:pPr>
    </w:p>
    <w:p w14:paraId="6909456F" w14:textId="39428149" w:rsidR="00477B8F" w:rsidRPr="009118AB" w:rsidRDefault="00477B8F" w:rsidP="00477B8F">
      <w:pPr>
        <w:autoSpaceDE w:val="0"/>
        <w:autoSpaceDN w:val="0"/>
        <w:adjustRightInd w:val="0"/>
      </w:pPr>
      <w:r w:rsidRPr="009118AB">
        <w:rPr>
          <w:b/>
          <w:bCs/>
        </w:rPr>
        <w:t>Kapitel </w:t>
      </w:r>
      <w:r w:rsidR="00464330" w:rsidRPr="009118AB">
        <w:rPr>
          <w:b/>
          <w:bCs/>
        </w:rPr>
        <w:t>5</w:t>
      </w:r>
      <w:r w:rsidR="00D67EB8" w:rsidRPr="009118AB">
        <w:t> - </w:t>
      </w:r>
      <w:r w:rsidRPr="009118AB">
        <w:rPr>
          <w:i/>
          <w:iCs/>
        </w:rPr>
        <w:t>Widerspruch gegen das Katastereinkommen</w:t>
      </w:r>
    </w:p>
    <w:p w14:paraId="23B99050" w14:textId="77777777" w:rsidR="00477B8F" w:rsidRPr="009118AB" w:rsidRDefault="00477B8F" w:rsidP="00477B8F">
      <w:pPr>
        <w:autoSpaceDE w:val="0"/>
        <w:autoSpaceDN w:val="0"/>
        <w:adjustRightInd w:val="0"/>
      </w:pPr>
    </w:p>
    <w:p w14:paraId="20E21080" w14:textId="4990D630" w:rsidR="00477B8F" w:rsidRPr="009118AB" w:rsidRDefault="00477B8F" w:rsidP="00477B8F">
      <w:pPr>
        <w:autoSpaceDE w:val="0"/>
        <w:autoSpaceDN w:val="0"/>
        <w:adjustRightInd w:val="0"/>
      </w:pPr>
      <w:r w:rsidRPr="009118AB">
        <w:rPr>
          <w:i/>
          <w:iCs/>
        </w:rPr>
        <w:t>Abschnitt </w:t>
      </w:r>
      <w:r w:rsidR="006B602F" w:rsidRPr="009118AB">
        <w:rPr>
          <w:i/>
          <w:iCs/>
        </w:rPr>
        <w:t>1</w:t>
      </w:r>
      <w:r w:rsidR="00D67EB8" w:rsidRPr="009118AB">
        <w:t> - </w:t>
      </w:r>
      <w:r w:rsidRPr="009118AB">
        <w:t>Widerspruchsrecht</w:t>
      </w:r>
    </w:p>
    <w:p w14:paraId="1B9FC443" w14:textId="77777777" w:rsidR="00477B8F" w:rsidRPr="009118AB" w:rsidRDefault="00477B8F" w:rsidP="00477B8F">
      <w:pPr>
        <w:autoSpaceDE w:val="0"/>
        <w:autoSpaceDN w:val="0"/>
        <w:adjustRightInd w:val="0"/>
      </w:pPr>
    </w:p>
    <w:p w14:paraId="5B38F5EF" w14:textId="446CE956" w:rsidR="00477B8F" w:rsidRPr="009118AB" w:rsidRDefault="00477B8F" w:rsidP="00477B8F">
      <w:pPr>
        <w:autoSpaceDE w:val="0"/>
        <w:autoSpaceDN w:val="0"/>
        <w:adjustRightInd w:val="0"/>
      </w:pPr>
      <w:r w:rsidRPr="009118AB">
        <w:rPr>
          <w:i/>
          <w:iCs/>
        </w:rPr>
        <w:t>Abschnitt </w:t>
      </w:r>
      <w:r w:rsidR="006B602F" w:rsidRPr="009118AB">
        <w:rPr>
          <w:i/>
          <w:iCs/>
        </w:rPr>
        <w:t>2</w:t>
      </w:r>
      <w:r w:rsidR="00D67EB8" w:rsidRPr="009118AB">
        <w:t> - </w:t>
      </w:r>
      <w:r w:rsidRPr="009118AB">
        <w:t>Bedingungen für die Gültigkeit des Widerspruchs</w:t>
      </w:r>
    </w:p>
    <w:p w14:paraId="333FC97C" w14:textId="77777777" w:rsidR="00477B8F" w:rsidRPr="009118AB" w:rsidRDefault="00477B8F" w:rsidP="00477B8F">
      <w:pPr>
        <w:autoSpaceDE w:val="0"/>
        <w:autoSpaceDN w:val="0"/>
        <w:adjustRightInd w:val="0"/>
      </w:pPr>
    </w:p>
    <w:p w14:paraId="312176F6" w14:textId="3FF69AAB" w:rsidR="00477B8F" w:rsidRPr="009118AB" w:rsidRDefault="00477B8F" w:rsidP="00477B8F">
      <w:pPr>
        <w:autoSpaceDE w:val="0"/>
        <w:autoSpaceDN w:val="0"/>
        <w:adjustRightInd w:val="0"/>
      </w:pPr>
      <w:r w:rsidRPr="009118AB">
        <w:rPr>
          <w:i/>
          <w:iCs/>
        </w:rPr>
        <w:t>Abschnitt </w:t>
      </w:r>
      <w:r w:rsidR="006B602F" w:rsidRPr="009118AB">
        <w:rPr>
          <w:i/>
          <w:iCs/>
        </w:rPr>
        <w:t>3</w:t>
      </w:r>
      <w:r w:rsidR="00D67EB8" w:rsidRPr="009118AB">
        <w:t> - </w:t>
      </w:r>
      <w:r w:rsidRPr="009118AB">
        <w:t>Verfahren bei Untersuchung der Widersprüche</w:t>
      </w:r>
    </w:p>
    <w:p w14:paraId="6BDD77D5" w14:textId="77777777" w:rsidR="00477B8F" w:rsidRPr="009118AB" w:rsidRDefault="00477B8F" w:rsidP="00477B8F">
      <w:pPr>
        <w:autoSpaceDE w:val="0"/>
        <w:autoSpaceDN w:val="0"/>
        <w:adjustRightInd w:val="0"/>
      </w:pPr>
    </w:p>
    <w:p w14:paraId="2A4B16A0" w14:textId="5D89617E" w:rsidR="00477B8F" w:rsidRPr="009118AB" w:rsidRDefault="00477B8F" w:rsidP="00477B8F">
      <w:pPr>
        <w:autoSpaceDE w:val="0"/>
        <w:autoSpaceDN w:val="0"/>
        <w:adjustRightInd w:val="0"/>
      </w:pPr>
      <w:r w:rsidRPr="009118AB">
        <w:rPr>
          <w:i/>
          <w:iCs/>
        </w:rPr>
        <w:t>Abschnitt </w:t>
      </w:r>
      <w:r w:rsidR="006B602F" w:rsidRPr="009118AB">
        <w:rPr>
          <w:i/>
          <w:iCs/>
        </w:rPr>
        <w:t>4</w:t>
      </w:r>
      <w:r w:rsidR="00D67EB8" w:rsidRPr="009118AB">
        <w:t> - </w:t>
      </w:r>
      <w:r w:rsidRPr="009118AB">
        <w:t>Auswirkung der Widersprüche</w:t>
      </w:r>
    </w:p>
    <w:p w14:paraId="1DAFAF80" w14:textId="77777777" w:rsidR="00477B8F" w:rsidRPr="009118AB" w:rsidRDefault="00477B8F" w:rsidP="00477B8F">
      <w:pPr>
        <w:autoSpaceDE w:val="0"/>
        <w:autoSpaceDN w:val="0"/>
        <w:adjustRightInd w:val="0"/>
      </w:pPr>
    </w:p>
    <w:p w14:paraId="77EC7DE4" w14:textId="6B2ECAF1" w:rsidR="00477B8F" w:rsidRPr="009118AB" w:rsidRDefault="00477B8F" w:rsidP="00477B8F">
      <w:pPr>
        <w:autoSpaceDE w:val="0"/>
        <w:autoSpaceDN w:val="0"/>
        <w:adjustRightInd w:val="0"/>
      </w:pPr>
      <w:r w:rsidRPr="009118AB">
        <w:rPr>
          <w:b/>
          <w:bCs/>
        </w:rPr>
        <w:t>Kapitel </w:t>
      </w:r>
      <w:r w:rsidR="00464330" w:rsidRPr="009118AB">
        <w:rPr>
          <w:b/>
          <w:bCs/>
        </w:rPr>
        <w:t>6</w:t>
      </w:r>
      <w:r w:rsidR="00D67EB8" w:rsidRPr="009118AB">
        <w:t> - </w:t>
      </w:r>
      <w:r w:rsidRPr="009118AB">
        <w:rPr>
          <w:i/>
          <w:iCs/>
        </w:rPr>
        <w:t>Bewahrung und Fortschreibung der Katasterunterlagen</w:t>
      </w:r>
    </w:p>
    <w:p w14:paraId="46A67D1A" w14:textId="77777777" w:rsidR="00477B8F" w:rsidRPr="009118AB" w:rsidRDefault="00477B8F" w:rsidP="00477B8F">
      <w:pPr>
        <w:autoSpaceDE w:val="0"/>
        <w:autoSpaceDN w:val="0"/>
        <w:adjustRightInd w:val="0"/>
      </w:pPr>
    </w:p>
    <w:p w14:paraId="7C1A3039" w14:textId="2D05F9B1" w:rsidR="007D5F55" w:rsidRPr="009118AB" w:rsidRDefault="00477B8F" w:rsidP="00477B8F">
      <w:r w:rsidRPr="009118AB">
        <w:rPr>
          <w:b/>
          <w:bCs/>
        </w:rPr>
        <w:t>TITEL X</w:t>
      </w:r>
      <w:r w:rsidR="00D67EB8" w:rsidRPr="009118AB">
        <w:rPr>
          <w:b/>
          <w:bCs/>
        </w:rPr>
        <w:t> - </w:t>
      </w:r>
      <w:r w:rsidRPr="009118AB">
        <w:rPr>
          <w:b/>
          <w:bCs/>
          <w:i/>
          <w:iCs/>
        </w:rPr>
        <w:t>Übergangsbestimmungen</w:t>
      </w:r>
    </w:p>
    <w:p w14:paraId="13B8FC7C" w14:textId="77777777" w:rsidR="008D0861" w:rsidRDefault="008D0861"/>
    <w:sectPr w:rsidR="008D0861" w:rsidSect="00192A93">
      <w:footerReference w:type="default" r:id="rId8"/>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65C3B" w14:textId="77777777" w:rsidR="00D54F8C" w:rsidRPr="009118AB" w:rsidRDefault="00D54F8C" w:rsidP="00D811D8">
      <w:r w:rsidRPr="009118AB">
        <w:separator/>
      </w:r>
    </w:p>
  </w:endnote>
  <w:endnote w:type="continuationSeparator" w:id="0">
    <w:p w14:paraId="0BB33352" w14:textId="77777777" w:rsidR="00D54F8C" w:rsidRPr="009118AB" w:rsidRDefault="00D54F8C" w:rsidP="00D811D8">
      <w:r w:rsidRPr="009118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Italique">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643457"/>
      <w:docPartObj>
        <w:docPartGallery w:val="Page Numbers (Bottom of Page)"/>
        <w:docPartUnique/>
      </w:docPartObj>
    </w:sdtPr>
    <w:sdtEndPr/>
    <w:sdtContent>
      <w:p w14:paraId="61252660" w14:textId="37AB44FF" w:rsidR="0074561D" w:rsidRDefault="0074561D">
        <w:pPr>
          <w:pStyle w:val="Pieddepage"/>
          <w:jc w:val="right"/>
        </w:pPr>
        <w:r>
          <w:fldChar w:fldCharType="begin"/>
        </w:r>
        <w:r>
          <w:instrText>PAGE   \* MERGEFORMAT</w:instrText>
        </w:r>
        <w:r>
          <w:fldChar w:fldCharType="separate"/>
        </w:r>
        <w:r>
          <w:rPr>
            <w:lang w:val="fr-FR"/>
          </w:rPr>
          <w:t>2</w:t>
        </w:r>
        <w:r>
          <w:fldChar w:fldCharType="end"/>
        </w:r>
      </w:p>
    </w:sdtContent>
  </w:sdt>
  <w:p w14:paraId="3524CEF8" w14:textId="77777777" w:rsidR="00DD6915" w:rsidRDefault="00DD691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50F3B" w14:textId="77777777" w:rsidR="00D54F8C" w:rsidRPr="009118AB" w:rsidRDefault="00D54F8C" w:rsidP="00D811D8">
      <w:r w:rsidRPr="009118AB">
        <w:separator/>
      </w:r>
    </w:p>
  </w:footnote>
  <w:footnote w:type="continuationSeparator" w:id="0">
    <w:p w14:paraId="3FBAFEB0" w14:textId="77777777" w:rsidR="00D54F8C" w:rsidRPr="009118AB" w:rsidRDefault="00D54F8C" w:rsidP="00D811D8">
      <w:r w:rsidRPr="009118A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93409"/>
    <w:multiLevelType w:val="multilevel"/>
    <w:tmpl w:val="F7F2BB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B4FC8"/>
    <w:multiLevelType w:val="hybridMultilevel"/>
    <w:tmpl w:val="1B1AF396"/>
    <w:lvl w:ilvl="0" w:tplc="F0662782">
      <w:start w:val="1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246828"/>
    <w:multiLevelType w:val="hybridMultilevel"/>
    <w:tmpl w:val="DFA436E2"/>
    <w:lvl w:ilvl="0" w:tplc="DE3A0C86">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3" w15:restartNumberingAfterBreak="0">
    <w:nsid w:val="0CD73B8F"/>
    <w:multiLevelType w:val="hybridMultilevel"/>
    <w:tmpl w:val="3EAA703A"/>
    <w:lvl w:ilvl="0" w:tplc="40D2243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AE4675"/>
    <w:multiLevelType w:val="hybridMultilevel"/>
    <w:tmpl w:val="35766930"/>
    <w:lvl w:ilvl="0" w:tplc="276249A2">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5" w15:restartNumberingAfterBreak="0">
    <w:nsid w:val="10DC02F3"/>
    <w:multiLevelType w:val="hybridMultilevel"/>
    <w:tmpl w:val="95C8AF46"/>
    <w:lvl w:ilvl="0" w:tplc="28464ABC">
      <w:start w:val="2"/>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6" w15:restartNumberingAfterBreak="0">
    <w:nsid w:val="17BC3FF3"/>
    <w:multiLevelType w:val="hybridMultilevel"/>
    <w:tmpl w:val="F5E4C042"/>
    <w:lvl w:ilvl="0" w:tplc="A03CB158">
      <w:start w:val="1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D9B0359"/>
    <w:multiLevelType w:val="hybridMultilevel"/>
    <w:tmpl w:val="FF1686C4"/>
    <w:lvl w:ilvl="0" w:tplc="8D7EA77E">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8" w15:restartNumberingAfterBreak="0">
    <w:nsid w:val="209D519C"/>
    <w:multiLevelType w:val="multilevel"/>
    <w:tmpl w:val="3E26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834A43"/>
    <w:multiLevelType w:val="hybridMultilevel"/>
    <w:tmpl w:val="7F3A61C8"/>
    <w:lvl w:ilvl="0" w:tplc="08CCB328">
      <w:start w:val="2"/>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0" w15:restartNumberingAfterBreak="0">
    <w:nsid w:val="299F7E77"/>
    <w:multiLevelType w:val="multilevel"/>
    <w:tmpl w:val="FED8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11719"/>
    <w:multiLevelType w:val="multilevel"/>
    <w:tmpl w:val="89BE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71EF6"/>
    <w:multiLevelType w:val="hybridMultilevel"/>
    <w:tmpl w:val="231E778E"/>
    <w:lvl w:ilvl="0" w:tplc="3D1A84FC">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26F09F7"/>
    <w:multiLevelType w:val="hybridMultilevel"/>
    <w:tmpl w:val="AF6C47EE"/>
    <w:lvl w:ilvl="0" w:tplc="77044CEE">
      <w:start w:val="1"/>
      <w:numFmt w:val="lowerLetter"/>
      <w:lvlText w:val="%1)"/>
      <w:lvlJc w:val="left"/>
      <w:pPr>
        <w:ind w:left="1099" w:hanging="390"/>
      </w:pPr>
      <w:rPr>
        <w:rFonts w:hint="default"/>
        <w:i/>
      </w:r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14" w15:restartNumberingAfterBreak="0">
    <w:nsid w:val="343174B2"/>
    <w:multiLevelType w:val="hybridMultilevel"/>
    <w:tmpl w:val="4D74DEEE"/>
    <w:lvl w:ilvl="0" w:tplc="8236C3E2">
      <w:start w:val="1"/>
      <w:numFmt w:val="lowerLetter"/>
      <w:lvlText w:val="%1)"/>
      <w:lvlJc w:val="left"/>
      <w:pPr>
        <w:ind w:left="1778" w:hanging="360"/>
      </w:pPr>
      <w:rPr>
        <w:rFonts w:hint="default"/>
        <w:i/>
      </w:rPr>
    </w:lvl>
    <w:lvl w:ilvl="1" w:tplc="080C0019" w:tentative="1">
      <w:start w:val="1"/>
      <w:numFmt w:val="lowerLetter"/>
      <w:lvlText w:val="%2."/>
      <w:lvlJc w:val="left"/>
      <w:pPr>
        <w:ind w:left="2498" w:hanging="360"/>
      </w:pPr>
    </w:lvl>
    <w:lvl w:ilvl="2" w:tplc="080C001B" w:tentative="1">
      <w:start w:val="1"/>
      <w:numFmt w:val="lowerRoman"/>
      <w:lvlText w:val="%3."/>
      <w:lvlJc w:val="right"/>
      <w:pPr>
        <w:ind w:left="3218" w:hanging="180"/>
      </w:pPr>
    </w:lvl>
    <w:lvl w:ilvl="3" w:tplc="080C000F" w:tentative="1">
      <w:start w:val="1"/>
      <w:numFmt w:val="decimal"/>
      <w:lvlText w:val="%4."/>
      <w:lvlJc w:val="left"/>
      <w:pPr>
        <w:ind w:left="3938" w:hanging="360"/>
      </w:pPr>
    </w:lvl>
    <w:lvl w:ilvl="4" w:tplc="080C0019" w:tentative="1">
      <w:start w:val="1"/>
      <w:numFmt w:val="lowerLetter"/>
      <w:lvlText w:val="%5."/>
      <w:lvlJc w:val="left"/>
      <w:pPr>
        <w:ind w:left="4658" w:hanging="360"/>
      </w:pPr>
    </w:lvl>
    <w:lvl w:ilvl="5" w:tplc="080C001B" w:tentative="1">
      <w:start w:val="1"/>
      <w:numFmt w:val="lowerRoman"/>
      <w:lvlText w:val="%6."/>
      <w:lvlJc w:val="right"/>
      <w:pPr>
        <w:ind w:left="5378" w:hanging="180"/>
      </w:pPr>
    </w:lvl>
    <w:lvl w:ilvl="6" w:tplc="080C000F" w:tentative="1">
      <w:start w:val="1"/>
      <w:numFmt w:val="decimal"/>
      <w:lvlText w:val="%7."/>
      <w:lvlJc w:val="left"/>
      <w:pPr>
        <w:ind w:left="6098" w:hanging="360"/>
      </w:pPr>
    </w:lvl>
    <w:lvl w:ilvl="7" w:tplc="080C0019" w:tentative="1">
      <w:start w:val="1"/>
      <w:numFmt w:val="lowerLetter"/>
      <w:lvlText w:val="%8."/>
      <w:lvlJc w:val="left"/>
      <w:pPr>
        <w:ind w:left="6818" w:hanging="360"/>
      </w:pPr>
    </w:lvl>
    <w:lvl w:ilvl="8" w:tplc="080C001B" w:tentative="1">
      <w:start w:val="1"/>
      <w:numFmt w:val="lowerRoman"/>
      <w:lvlText w:val="%9."/>
      <w:lvlJc w:val="right"/>
      <w:pPr>
        <w:ind w:left="7538" w:hanging="180"/>
      </w:pPr>
    </w:lvl>
  </w:abstractNum>
  <w:abstractNum w:abstractNumId="15" w15:restartNumberingAfterBreak="0">
    <w:nsid w:val="3FAE26A4"/>
    <w:multiLevelType w:val="hybridMultilevel"/>
    <w:tmpl w:val="A70041E4"/>
    <w:lvl w:ilvl="0" w:tplc="18025F7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5AD3F10"/>
    <w:multiLevelType w:val="hybridMultilevel"/>
    <w:tmpl w:val="A19C7F86"/>
    <w:lvl w:ilvl="0" w:tplc="EFD2CB02">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17" w15:restartNumberingAfterBreak="0">
    <w:nsid w:val="4B900E8F"/>
    <w:multiLevelType w:val="hybridMultilevel"/>
    <w:tmpl w:val="8EC0FDB4"/>
    <w:lvl w:ilvl="0" w:tplc="1458E32C">
      <w:start w:val="2"/>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8" w15:restartNumberingAfterBreak="0">
    <w:nsid w:val="4CCA201A"/>
    <w:multiLevelType w:val="hybridMultilevel"/>
    <w:tmpl w:val="B052EEE6"/>
    <w:lvl w:ilvl="0" w:tplc="0F4C40B4">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9" w15:restartNumberingAfterBreak="0">
    <w:nsid w:val="4CCB4F7E"/>
    <w:multiLevelType w:val="multilevel"/>
    <w:tmpl w:val="AFB6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FD5B1D"/>
    <w:multiLevelType w:val="multilevel"/>
    <w:tmpl w:val="4612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A5E24"/>
    <w:multiLevelType w:val="multilevel"/>
    <w:tmpl w:val="A38A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D729DF"/>
    <w:multiLevelType w:val="hybridMultilevel"/>
    <w:tmpl w:val="A7388874"/>
    <w:lvl w:ilvl="0" w:tplc="76A2A796">
      <w:start w:val="13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2EE042E"/>
    <w:multiLevelType w:val="hybridMultilevel"/>
    <w:tmpl w:val="DCF89450"/>
    <w:lvl w:ilvl="0" w:tplc="AADA21A4">
      <w:start w:val="1"/>
      <w:numFmt w:val="lowerLetter"/>
      <w:lvlText w:val="%1)"/>
      <w:lvlJc w:val="left"/>
      <w:pPr>
        <w:ind w:left="1069" w:hanging="360"/>
      </w:pPr>
      <w:rPr>
        <w:rFonts w:hint="default"/>
        <w:i/>
      </w:r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24" w15:restartNumberingAfterBreak="0">
    <w:nsid w:val="6535714D"/>
    <w:multiLevelType w:val="hybridMultilevel"/>
    <w:tmpl w:val="648EF2FC"/>
    <w:lvl w:ilvl="0" w:tplc="6A781492">
      <w:start w:val="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F736C13"/>
    <w:multiLevelType w:val="hybridMultilevel"/>
    <w:tmpl w:val="B5A058FE"/>
    <w:lvl w:ilvl="0" w:tplc="10644A60">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6" w15:restartNumberingAfterBreak="0">
    <w:nsid w:val="6FAE44C8"/>
    <w:multiLevelType w:val="multilevel"/>
    <w:tmpl w:val="01B6E9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946C54"/>
    <w:multiLevelType w:val="multilevel"/>
    <w:tmpl w:val="2730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EA1C2A"/>
    <w:multiLevelType w:val="multilevel"/>
    <w:tmpl w:val="488C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0F6AA9"/>
    <w:multiLevelType w:val="multilevel"/>
    <w:tmpl w:val="5282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B03E5C"/>
    <w:multiLevelType w:val="hybridMultilevel"/>
    <w:tmpl w:val="077C7EAC"/>
    <w:lvl w:ilvl="0" w:tplc="C7E2E4E0">
      <w:start w:val="2"/>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16cid:durableId="620263925">
    <w:abstractNumId w:val="16"/>
  </w:num>
  <w:num w:numId="2" w16cid:durableId="2025746929">
    <w:abstractNumId w:val="2"/>
  </w:num>
  <w:num w:numId="3" w16cid:durableId="1716466071">
    <w:abstractNumId w:val="18"/>
  </w:num>
  <w:num w:numId="4" w16cid:durableId="423573744">
    <w:abstractNumId w:val="25"/>
  </w:num>
  <w:num w:numId="5" w16cid:durableId="766773500">
    <w:abstractNumId w:val="12"/>
  </w:num>
  <w:num w:numId="6" w16cid:durableId="494565024">
    <w:abstractNumId w:val="3"/>
  </w:num>
  <w:num w:numId="7" w16cid:durableId="451434870">
    <w:abstractNumId w:val="13"/>
  </w:num>
  <w:num w:numId="8" w16cid:durableId="1722169946">
    <w:abstractNumId w:val="23"/>
  </w:num>
  <w:num w:numId="9" w16cid:durableId="2097901320">
    <w:abstractNumId w:val="14"/>
  </w:num>
  <w:num w:numId="10" w16cid:durableId="1744908686">
    <w:abstractNumId w:val="24"/>
  </w:num>
  <w:num w:numId="11" w16cid:durableId="1561819289">
    <w:abstractNumId w:val="1"/>
  </w:num>
  <w:num w:numId="12" w16cid:durableId="1611356727">
    <w:abstractNumId w:val="22"/>
  </w:num>
  <w:num w:numId="13" w16cid:durableId="974262096">
    <w:abstractNumId w:val="4"/>
  </w:num>
  <w:num w:numId="14" w16cid:durableId="199439421">
    <w:abstractNumId w:val="7"/>
  </w:num>
  <w:num w:numId="15" w16cid:durableId="201213492">
    <w:abstractNumId w:val="17"/>
  </w:num>
  <w:num w:numId="16" w16cid:durableId="743645389">
    <w:abstractNumId w:val="5"/>
  </w:num>
  <w:num w:numId="17" w16cid:durableId="1080567088">
    <w:abstractNumId w:val="30"/>
  </w:num>
  <w:num w:numId="18" w16cid:durableId="1063023506">
    <w:abstractNumId w:val="9"/>
  </w:num>
  <w:num w:numId="19" w16cid:durableId="1681353334">
    <w:abstractNumId w:val="15"/>
  </w:num>
  <w:num w:numId="20" w16cid:durableId="1444228694">
    <w:abstractNumId w:val="6"/>
  </w:num>
  <w:num w:numId="21" w16cid:durableId="608007899">
    <w:abstractNumId w:val="27"/>
  </w:num>
  <w:num w:numId="22" w16cid:durableId="1010058294">
    <w:abstractNumId w:val="11"/>
  </w:num>
  <w:num w:numId="23" w16cid:durableId="1192961877">
    <w:abstractNumId w:val="8"/>
  </w:num>
  <w:num w:numId="24" w16cid:durableId="826094484">
    <w:abstractNumId w:val="21"/>
  </w:num>
  <w:num w:numId="25" w16cid:durableId="550313584">
    <w:abstractNumId w:val="0"/>
  </w:num>
  <w:num w:numId="26" w16cid:durableId="36396484">
    <w:abstractNumId w:val="28"/>
  </w:num>
  <w:num w:numId="27" w16cid:durableId="374236204">
    <w:abstractNumId w:val="29"/>
  </w:num>
  <w:num w:numId="28" w16cid:durableId="1885213816">
    <w:abstractNumId w:val="19"/>
  </w:num>
  <w:num w:numId="29" w16cid:durableId="570195809">
    <w:abstractNumId w:val="26"/>
  </w:num>
  <w:num w:numId="30" w16cid:durableId="97637917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0245481">
    <w:abstractNumId w:val="10"/>
  </w:num>
  <w:num w:numId="32" w16cid:durableId="2910612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B8F"/>
    <w:rsid w:val="000000E9"/>
    <w:rsid w:val="000009D7"/>
    <w:rsid w:val="00000C90"/>
    <w:rsid w:val="000010F5"/>
    <w:rsid w:val="00001420"/>
    <w:rsid w:val="00001448"/>
    <w:rsid w:val="00001C17"/>
    <w:rsid w:val="00001CF7"/>
    <w:rsid w:val="00001D67"/>
    <w:rsid w:val="00001E35"/>
    <w:rsid w:val="000020A7"/>
    <w:rsid w:val="000026C7"/>
    <w:rsid w:val="000029DA"/>
    <w:rsid w:val="00002C35"/>
    <w:rsid w:val="00002CDE"/>
    <w:rsid w:val="00002DE1"/>
    <w:rsid w:val="00002E08"/>
    <w:rsid w:val="00003790"/>
    <w:rsid w:val="00003A2A"/>
    <w:rsid w:val="00003BBD"/>
    <w:rsid w:val="00003C65"/>
    <w:rsid w:val="00004021"/>
    <w:rsid w:val="00004709"/>
    <w:rsid w:val="00004716"/>
    <w:rsid w:val="00004BEA"/>
    <w:rsid w:val="00004D13"/>
    <w:rsid w:val="00004DA2"/>
    <w:rsid w:val="00005335"/>
    <w:rsid w:val="000053EB"/>
    <w:rsid w:val="00005AA3"/>
    <w:rsid w:val="00006C49"/>
    <w:rsid w:val="00006C5D"/>
    <w:rsid w:val="00007E0E"/>
    <w:rsid w:val="00010F89"/>
    <w:rsid w:val="00011438"/>
    <w:rsid w:val="0001165B"/>
    <w:rsid w:val="000117ED"/>
    <w:rsid w:val="00012B24"/>
    <w:rsid w:val="00012B4D"/>
    <w:rsid w:val="00013F19"/>
    <w:rsid w:val="00014100"/>
    <w:rsid w:val="00014526"/>
    <w:rsid w:val="00014C57"/>
    <w:rsid w:val="00015528"/>
    <w:rsid w:val="00015E7F"/>
    <w:rsid w:val="00016024"/>
    <w:rsid w:val="0001616E"/>
    <w:rsid w:val="00016A0B"/>
    <w:rsid w:val="00016EF4"/>
    <w:rsid w:val="0001730E"/>
    <w:rsid w:val="000205C1"/>
    <w:rsid w:val="00020AB5"/>
    <w:rsid w:val="000212DB"/>
    <w:rsid w:val="0002192E"/>
    <w:rsid w:val="00022A68"/>
    <w:rsid w:val="00022C21"/>
    <w:rsid w:val="00023B3A"/>
    <w:rsid w:val="00023CA3"/>
    <w:rsid w:val="00023E98"/>
    <w:rsid w:val="000246F5"/>
    <w:rsid w:val="00024BC9"/>
    <w:rsid w:val="0002629D"/>
    <w:rsid w:val="000264B0"/>
    <w:rsid w:val="00026ABC"/>
    <w:rsid w:val="000277AF"/>
    <w:rsid w:val="00030154"/>
    <w:rsid w:val="0003093D"/>
    <w:rsid w:val="00031007"/>
    <w:rsid w:val="00031E24"/>
    <w:rsid w:val="00032159"/>
    <w:rsid w:val="000326D3"/>
    <w:rsid w:val="0003328D"/>
    <w:rsid w:val="00033449"/>
    <w:rsid w:val="0003392D"/>
    <w:rsid w:val="00033953"/>
    <w:rsid w:val="000340C0"/>
    <w:rsid w:val="000342F0"/>
    <w:rsid w:val="00034506"/>
    <w:rsid w:val="00035860"/>
    <w:rsid w:val="00035E98"/>
    <w:rsid w:val="00036054"/>
    <w:rsid w:val="00037D58"/>
    <w:rsid w:val="0004051F"/>
    <w:rsid w:val="000408BB"/>
    <w:rsid w:val="00041B55"/>
    <w:rsid w:val="00041F7A"/>
    <w:rsid w:val="000421B2"/>
    <w:rsid w:val="0004250A"/>
    <w:rsid w:val="00042D61"/>
    <w:rsid w:val="00043552"/>
    <w:rsid w:val="00043672"/>
    <w:rsid w:val="00043F2A"/>
    <w:rsid w:val="000441E2"/>
    <w:rsid w:val="00044761"/>
    <w:rsid w:val="00045C7B"/>
    <w:rsid w:val="00045F39"/>
    <w:rsid w:val="00046003"/>
    <w:rsid w:val="00046057"/>
    <w:rsid w:val="000467A4"/>
    <w:rsid w:val="0004717D"/>
    <w:rsid w:val="000471C3"/>
    <w:rsid w:val="0004731B"/>
    <w:rsid w:val="00050794"/>
    <w:rsid w:val="0005083B"/>
    <w:rsid w:val="00051091"/>
    <w:rsid w:val="000510A2"/>
    <w:rsid w:val="00051AF9"/>
    <w:rsid w:val="00051C31"/>
    <w:rsid w:val="00051CEE"/>
    <w:rsid w:val="00051F48"/>
    <w:rsid w:val="00052493"/>
    <w:rsid w:val="00052607"/>
    <w:rsid w:val="0005312C"/>
    <w:rsid w:val="000533F3"/>
    <w:rsid w:val="000536EA"/>
    <w:rsid w:val="000548FC"/>
    <w:rsid w:val="000554B9"/>
    <w:rsid w:val="000555F6"/>
    <w:rsid w:val="0005678F"/>
    <w:rsid w:val="00057003"/>
    <w:rsid w:val="00060039"/>
    <w:rsid w:val="00061318"/>
    <w:rsid w:val="000615F9"/>
    <w:rsid w:val="00061874"/>
    <w:rsid w:val="00061D40"/>
    <w:rsid w:val="000622F9"/>
    <w:rsid w:val="0006280E"/>
    <w:rsid w:val="0006310D"/>
    <w:rsid w:val="000634A1"/>
    <w:rsid w:val="0006356F"/>
    <w:rsid w:val="00063D2B"/>
    <w:rsid w:val="00063F7E"/>
    <w:rsid w:val="00064D81"/>
    <w:rsid w:val="00064F9D"/>
    <w:rsid w:val="000657BC"/>
    <w:rsid w:val="0006591E"/>
    <w:rsid w:val="000659DC"/>
    <w:rsid w:val="00065BEB"/>
    <w:rsid w:val="000661E7"/>
    <w:rsid w:val="00066D2B"/>
    <w:rsid w:val="0006720F"/>
    <w:rsid w:val="0006742B"/>
    <w:rsid w:val="0007201C"/>
    <w:rsid w:val="000727BA"/>
    <w:rsid w:val="0007411C"/>
    <w:rsid w:val="000744BA"/>
    <w:rsid w:val="00075387"/>
    <w:rsid w:val="00075A7D"/>
    <w:rsid w:val="00075AE4"/>
    <w:rsid w:val="00075CE9"/>
    <w:rsid w:val="00075EEA"/>
    <w:rsid w:val="0008052F"/>
    <w:rsid w:val="000808AF"/>
    <w:rsid w:val="00081126"/>
    <w:rsid w:val="000811C0"/>
    <w:rsid w:val="00082C3D"/>
    <w:rsid w:val="000834FD"/>
    <w:rsid w:val="000843A1"/>
    <w:rsid w:val="00084D5C"/>
    <w:rsid w:val="000852E6"/>
    <w:rsid w:val="00085A2D"/>
    <w:rsid w:val="00085C0A"/>
    <w:rsid w:val="00086464"/>
    <w:rsid w:val="000866B2"/>
    <w:rsid w:val="00087127"/>
    <w:rsid w:val="000904EF"/>
    <w:rsid w:val="000905CE"/>
    <w:rsid w:val="00090897"/>
    <w:rsid w:val="000912C6"/>
    <w:rsid w:val="0009157A"/>
    <w:rsid w:val="000918DE"/>
    <w:rsid w:val="00092194"/>
    <w:rsid w:val="000924D2"/>
    <w:rsid w:val="000925FD"/>
    <w:rsid w:val="00092893"/>
    <w:rsid w:val="00092FC1"/>
    <w:rsid w:val="000933B7"/>
    <w:rsid w:val="00093502"/>
    <w:rsid w:val="00093D04"/>
    <w:rsid w:val="00093D18"/>
    <w:rsid w:val="00093D39"/>
    <w:rsid w:val="0009409A"/>
    <w:rsid w:val="00094F2C"/>
    <w:rsid w:val="000953D2"/>
    <w:rsid w:val="00095C9D"/>
    <w:rsid w:val="00095E2D"/>
    <w:rsid w:val="00096525"/>
    <w:rsid w:val="00096990"/>
    <w:rsid w:val="00096F9C"/>
    <w:rsid w:val="00097798"/>
    <w:rsid w:val="000A08BC"/>
    <w:rsid w:val="000A0996"/>
    <w:rsid w:val="000A0A3C"/>
    <w:rsid w:val="000A0CD5"/>
    <w:rsid w:val="000A105A"/>
    <w:rsid w:val="000A1286"/>
    <w:rsid w:val="000A16EB"/>
    <w:rsid w:val="000A1B1F"/>
    <w:rsid w:val="000A2157"/>
    <w:rsid w:val="000A230E"/>
    <w:rsid w:val="000A2687"/>
    <w:rsid w:val="000A31A2"/>
    <w:rsid w:val="000A387E"/>
    <w:rsid w:val="000A3C59"/>
    <w:rsid w:val="000A4A20"/>
    <w:rsid w:val="000A4E24"/>
    <w:rsid w:val="000A544A"/>
    <w:rsid w:val="000A5A43"/>
    <w:rsid w:val="000A696B"/>
    <w:rsid w:val="000A7273"/>
    <w:rsid w:val="000B0A8B"/>
    <w:rsid w:val="000B1939"/>
    <w:rsid w:val="000B1B4A"/>
    <w:rsid w:val="000B1DBB"/>
    <w:rsid w:val="000B20D7"/>
    <w:rsid w:val="000B24F8"/>
    <w:rsid w:val="000B2693"/>
    <w:rsid w:val="000B354C"/>
    <w:rsid w:val="000B3E9C"/>
    <w:rsid w:val="000B415D"/>
    <w:rsid w:val="000B49EE"/>
    <w:rsid w:val="000B5384"/>
    <w:rsid w:val="000B68D2"/>
    <w:rsid w:val="000B6C00"/>
    <w:rsid w:val="000B6C77"/>
    <w:rsid w:val="000B6CBA"/>
    <w:rsid w:val="000B736D"/>
    <w:rsid w:val="000C01F4"/>
    <w:rsid w:val="000C0B51"/>
    <w:rsid w:val="000C0C82"/>
    <w:rsid w:val="000C1232"/>
    <w:rsid w:val="000C1271"/>
    <w:rsid w:val="000C2931"/>
    <w:rsid w:val="000C37FA"/>
    <w:rsid w:val="000C502D"/>
    <w:rsid w:val="000C5F98"/>
    <w:rsid w:val="000C73D8"/>
    <w:rsid w:val="000C781F"/>
    <w:rsid w:val="000C793E"/>
    <w:rsid w:val="000C7A5B"/>
    <w:rsid w:val="000D01E3"/>
    <w:rsid w:val="000D03F9"/>
    <w:rsid w:val="000D051A"/>
    <w:rsid w:val="000D0721"/>
    <w:rsid w:val="000D094C"/>
    <w:rsid w:val="000D0E3F"/>
    <w:rsid w:val="000D138F"/>
    <w:rsid w:val="000D190C"/>
    <w:rsid w:val="000D1A52"/>
    <w:rsid w:val="000D2557"/>
    <w:rsid w:val="000D2A7D"/>
    <w:rsid w:val="000D2B58"/>
    <w:rsid w:val="000D3646"/>
    <w:rsid w:val="000D3D10"/>
    <w:rsid w:val="000D44CB"/>
    <w:rsid w:val="000D465A"/>
    <w:rsid w:val="000D4CB1"/>
    <w:rsid w:val="000D5201"/>
    <w:rsid w:val="000D5240"/>
    <w:rsid w:val="000D5C7F"/>
    <w:rsid w:val="000D63CC"/>
    <w:rsid w:val="000D63CF"/>
    <w:rsid w:val="000D65AF"/>
    <w:rsid w:val="000D6FD0"/>
    <w:rsid w:val="000D7F0E"/>
    <w:rsid w:val="000E0042"/>
    <w:rsid w:val="000E129A"/>
    <w:rsid w:val="000E17D1"/>
    <w:rsid w:val="000E2459"/>
    <w:rsid w:val="000E2C2C"/>
    <w:rsid w:val="000E3529"/>
    <w:rsid w:val="000E3BA9"/>
    <w:rsid w:val="000E4045"/>
    <w:rsid w:val="000E456F"/>
    <w:rsid w:val="000E467D"/>
    <w:rsid w:val="000E518A"/>
    <w:rsid w:val="000E63D3"/>
    <w:rsid w:val="000E675A"/>
    <w:rsid w:val="000E76CC"/>
    <w:rsid w:val="000E76D8"/>
    <w:rsid w:val="000F0F20"/>
    <w:rsid w:val="000F11EA"/>
    <w:rsid w:val="000F14F1"/>
    <w:rsid w:val="000F16ED"/>
    <w:rsid w:val="000F188F"/>
    <w:rsid w:val="000F1C3C"/>
    <w:rsid w:val="000F1F6B"/>
    <w:rsid w:val="000F23EB"/>
    <w:rsid w:val="000F35BE"/>
    <w:rsid w:val="000F3808"/>
    <w:rsid w:val="000F38AB"/>
    <w:rsid w:val="000F3B7F"/>
    <w:rsid w:val="000F4874"/>
    <w:rsid w:val="000F4BBB"/>
    <w:rsid w:val="000F4C49"/>
    <w:rsid w:val="000F512B"/>
    <w:rsid w:val="000F5338"/>
    <w:rsid w:val="000F5628"/>
    <w:rsid w:val="000F5B76"/>
    <w:rsid w:val="000F5BB9"/>
    <w:rsid w:val="000F65D9"/>
    <w:rsid w:val="000F700B"/>
    <w:rsid w:val="000F70DA"/>
    <w:rsid w:val="000F7533"/>
    <w:rsid w:val="000F7C33"/>
    <w:rsid w:val="000F7DC0"/>
    <w:rsid w:val="00100321"/>
    <w:rsid w:val="00100952"/>
    <w:rsid w:val="001009A1"/>
    <w:rsid w:val="00101102"/>
    <w:rsid w:val="00101B52"/>
    <w:rsid w:val="001022BB"/>
    <w:rsid w:val="00102598"/>
    <w:rsid w:val="00102764"/>
    <w:rsid w:val="001029DD"/>
    <w:rsid w:val="00102B22"/>
    <w:rsid w:val="00102F61"/>
    <w:rsid w:val="0010339F"/>
    <w:rsid w:val="00104326"/>
    <w:rsid w:val="0010484B"/>
    <w:rsid w:val="001057B6"/>
    <w:rsid w:val="00105DA4"/>
    <w:rsid w:val="00106290"/>
    <w:rsid w:val="00107B43"/>
    <w:rsid w:val="00107B70"/>
    <w:rsid w:val="00110498"/>
    <w:rsid w:val="001106FA"/>
    <w:rsid w:val="00110931"/>
    <w:rsid w:val="00111540"/>
    <w:rsid w:val="00111835"/>
    <w:rsid w:val="00111CA0"/>
    <w:rsid w:val="0011214A"/>
    <w:rsid w:val="001123B7"/>
    <w:rsid w:val="00112472"/>
    <w:rsid w:val="001127D5"/>
    <w:rsid w:val="001128C8"/>
    <w:rsid w:val="001132C8"/>
    <w:rsid w:val="00114953"/>
    <w:rsid w:val="001170C9"/>
    <w:rsid w:val="0011714F"/>
    <w:rsid w:val="00117C1A"/>
    <w:rsid w:val="00117CDF"/>
    <w:rsid w:val="00117F7A"/>
    <w:rsid w:val="001200B4"/>
    <w:rsid w:val="001212DA"/>
    <w:rsid w:val="00121493"/>
    <w:rsid w:val="00121C17"/>
    <w:rsid w:val="00123224"/>
    <w:rsid w:val="00123273"/>
    <w:rsid w:val="00123378"/>
    <w:rsid w:val="0012377F"/>
    <w:rsid w:val="001238D6"/>
    <w:rsid w:val="001241FE"/>
    <w:rsid w:val="001242AD"/>
    <w:rsid w:val="001248AF"/>
    <w:rsid w:val="001249F3"/>
    <w:rsid w:val="001253B0"/>
    <w:rsid w:val="00125603"/>
    <w:rsid w:val="00125D93"/>
    <w:rsid w:val="001264A5"/>
    <w:rsid w:val="001300C8"/>
    <w:rsid w:val="00130957"/>
    <w:rsid w:val="00131360"/>
    <w:rsid w:val="001319A6"/>
    <w:rsid w:val="00132071"/>
    <w:rsid w:val="00132B11"/>
    <w:rsid w:val="00132F58"/>
    <w:rsid w:val="00133038"/>
    <w:rsid w:val="00133525"/>
    <w:rsid w:val="00133D28"/>
    <w:rsid w:val="00133E77"/>
    <w:rsid w:val="00134CA8"/>
    <w:rsid w:val="00135017"/>
    <w:rsid w:val="001353FE"/>
    <w:rsid w:val="0013578A"/>
    <w:rsid w:val="001358BE"/>
    <w:rsid w:val="001364EA"/>
    <w:rsid w:val="00137005"/>
    <w:rsid w:val="00137A47"/>
    <w:rsid w:val="00137F96"/>
    <w:rsid w:val="00140432"/>
    <w:rsid w:val="001409BD"/>
    <w:rsid w:val="00141221"/>
    <w:rsid w:val="00141459"/>
    <w:rsid w:val="00141914"/>
    <w:rsid w:val="00143268"/>
    <w:rsid w:val="00143366"/>
    <w:rsid w:val="001434C7"/>
    <w:rsid w:val="00143999"/>
    <w:rsid w:val="00144686"/>
    <w:rsid w:val="00145C1B"/>
    <w:rsid w:val="00145EF2"/>
    <w:rsid w:val="001461C0"/>
    <w:rsid w:val="001465DA"/>
    <w:rsid w:val="0014663B"/>
    <w:rsid w:val="0014743B"/>
    <w:rsid w:val="001477DC"/>
    <w:rsid w:val="001510D2"/>
    <w:rsid w:val="00151A3B"/>
    <w:rsid w:val="00152035"/>
    <w:rsid w:val="00152A06"/>
    <w:rsid w:val="00153AB0"/>
    <w:rsid w:val="00154229"/>
    <w:rsid w:val="0015428E"/>
    <w:rsid w:val="00155138"/>
    <w:rsid w:val="0015747F"/>
    <w:rsid w:val="0015759F"/>
    <w:rsid w:val="00157911"/>
    <w:rsid w:val="00157F65"/>
    <w:rsid w:val="0016036E"/>
    <w:rsid w:val="00160458"/>
    <w:rsid w:val="001604E1"/>
    <w:rsid w:val="0016082D"/>
    <w:rsid w:val="001609BB"/>
    <w:rsid w:val="001609EC"/>
    <w:rsid w:val="00161376"/>
    <w:rsid w:val="00161947"/>
    <w:rsid w:val="00161A38"/>
    <w:rsid w:val="00161CF3"/>
    <w:rsid w:val="0016213B"/>
    <w:rsid w:val="001625CA"/>
    <w:rsid w:val="00162A81"/>
    <w:rsid w:val="0016341F"/>
    <w:rsid w:val="001641F8"/>
    <w:rsid w:val="001645F8"/>
    <w:rsid w:val="00165C75"/>
    <w:rsid w:val="00165D3A"/>
    <w:rsid w:val="00167206"/>
    <w:rsid w:val="00170649"/>
    <w:rsid w:val="0017115B"/>
    <w:rsid w:val="00171BDD"/>
    <w:rsid w:val="00173292"/>
    <w:rsid w:val="00173CED"/>
    <w:rsid w:val="0017485E"/>
    <w:rsid w:val="00174F2C"/>
    <w:rsid w:val="001751A9"/>
    <w:rsid w:val="00175809"/>
    <w:rsid w:val="001759B3"/>
    <w:rsid w:val="00175D43"/>
    <w:rsid w:val="00175E0E"/>
    <w:rsid w:val="001761B1"/>
    <w:rsid w:val="0017643F"/>
    <w:rsid w:val="00176752"/>
    <w:rsid w:val="00176E6F"/>
    <w:rsid w:val="0017744C"/>
    <w:rsid w:val="0017773B"/>
    <w:rsid w:val="00177F0A"/>
    <w:rsid w:val="001809AD"/>
    <w:rsid w:val="001809EA"/>
    <w:rsid w:val="00181050"/>
    <w:rsid w:val="00181B44"/>
    <w:rsid w:val="00181C2D"/>
    <w:rsid w:val="00181C93"/>
    <w:rsid w:val="00181E56"/>
    <w:rsid w:val="001824B0"/>
    <w:rsid w:val="00182717"/>
    <w:rsid w:val="00182A5E"/>
    <w:rsid w:val="00182C3B"/>
    <w:rsid w:val="00183157"/>
    <w:rsid w:val="001835A1"/>
    <w:rsid w:val="00183662"/>
    <w:rsid w:val="00183D30"/>
    <w:rsid w:val="00184B83"/>
    <w:rsid w:val="00185396"/>
    <w:rsid w:val="00186364"/>
    <w:rsid w:val="00186493"/>
    <w:rsid w:val="00187881"/>
    <w:rsid w:val="00187DC6"/>
    <w:rsid w:val="00190CC9"/>
    <w:rsid w:val="001915FC"/>
    <w:rsid w:val="00191E5A"/>
    <w:rsid w:val="00192A93"/>
    <w:rsid w:val="001937CB"/>
    <w:rsid w:val="00193964"/>
    <w:rsid w:val="00193F18"/>
    <w:rsid w:val="00195327"/>
    <w:rsid w:val="001958C2"/>
    <w:rsid w:val="001959FB"/>
    <w:rsid w:val="00195B00"/>
    <w:rsid w:val="00196152"/>
    <w:rsid w:val="0019661C"/>
    <w:rsid w:val="00196E74"/>
    <w:rsid w:val="001A04F4"/>
    <w:rsid w:val="001A1316"/>
    <w:rsid w:val="001A1728"/>
    <w:rsid w:val="001A19D5"/>
    <w:rsid w:val="001A1C2F"/>
    <w:rsid w:val="001A1E91"/>
    <w:rsid w:val="001A2D6E"/>
    <w:rsid w:val="001A2E81"/>
    <w:rsid w:val="001A3417"/>
    <w:rsid w:val="001A3B85"/>
    <w:rsid w:val="001A3CA8"/>
    <w:rsid w:val="001A4001"/>
    <w:rsid w:val="001A4215"/>
    <w:rsid w:val="001A4CEB"/>
    <w:rsid w:val="001A509C"/>
    <w:rsid w:val="001A54F6"/>
    <w:rsid w:val="001A6DAE"/>
    <w:rsid w:val="001A7504"/>
    <w:rsid w:val="001B1041"/>
    <w:rsid w:val="001B14A3"/>
    <w:rsid w:val="001B1CFA"/>
    <w:rsid w:val="001B2653"/>
    <w:rsid w:val="001B2C0E"/>
    <w:rsid w:val="001B2C62"/>
    <w:rsid w:val="001B3DA4"/>
    <w:rsid w:val="001B5217"/>
    <w:rsid w:val="001B525B"/>
    <w:rsid w:val="001B53F1"/>
    <w:rsid w:val="001B6061"/>
    <w:rsid w:val="001B6347"/>
    <w:rsid w:val="001B66B6"/>
    <w:rsid w:val="001B67B9"/>
    <w:rsid w:val="001B6F87"/>
    <w:rsid w:val="001B7631"/>
    <w:rsid w:val="001B7C2B"/>
    <w:rsid w:val="001C0338"/>
    <w:rsid w:val="001C0901"/>
    <w:rsid w:val="001C101D"/>
    <w:rsid w:val="001C1759"/>
    <w:rsid w:val="001C2432"/>
    <w:rsid w:val="001C2898"/>
    <w:rsid w:val="001C34D7"/>
    <w:rsid w:val="001C358C"/>
    <w:rsid w:val="001C35DD"/>
    <w:rsid w:val="001C3783"/>
    <w:rsid w:val="001C3C2D"/>
    <w:rsid w:val="001C4294"/>
    <w:rsid w:val="001C445C"/>
    <w:rsid w:val="001C47B2"/>
    <w:rsid w:val="001C4A3E"/>
    <w:rsid w:val="001C50E0"/>
    <w:rsid w:val="001C6D83"/>
    <w:rsid w:val="001C6E02"/>
    <w:rsid w:val="001C7298"/>
    <w:rsid w:val="001D0305"/>
    <w:rsid w:val="001D0593"/>
    <w:rsid w:val="001D13D2"/>
    <w:rsid w:val="001D1A5C"/>
    <w:rsid w:val="001D1A85"/>
    <w:rsid w:val="001D1CE7"/>
    <w:rsid w:val="001D1D5D"/>
    <w:rsid w:val="001D1DC3"/>
    <w:rsid w:val="001D21CE"/>
    <w:rsid w:val="001D2718"/>
    <w:rsid w:val="001D28FD"/>
    <w:rsid w:val="001D330C"/>
    <w:rsid w:val="001D34FD"/>
    <w:rsid w:val="001D370F"/>
    <w:rsid w:val="001D37BC"/>
    <w:rsid w:val="001D3C1B"/>
    <w:rsid w:val="001D469C"/>
    <w:rsid w:val="001D4878"/>
    <w:rsid w:val="001D52E0"/>
    <w:rsid w:val="001D57A7"/>
    <w:rsid w:val="001D5C43"/>
    <w:rsid w:val="001D5DB8"/>
    <w:rsid w:val="001D632C"/>
    <w:rsid w:val="001D63BE"/>
    <w:rsid w:val="001D6AB4"/>
    <w:rsid w:val="001D7019"/>
    <w:rsid w:val="001D7DA2"/>
    <w:rsid w:val="001E0025"/>
    <w:rsid w:val="001E0474"/>
    <w:rsid w:val="001E0B15"/>
    <w:rsid w:val="001E1ED5"/>
    <w:rsid w:val="001E1FC2"/>
    <w:rsid w:val="001E208F"/>
    <w:rsid w:val="001E23EF"/>
    <w:rsid w:val="001E243B"/>
    <w:rsid w:val="001E25B6"/>
    <w:rsid w:val="001E2ACB"/>
    <w:rsid w:val="001E2EE7"/>
    <w:rsid w:val="001E44BA"/>
    <w:rsid w:val="001E5326"/>
    <w:rsid w:val="001E5878"/>
    <w:rsid w:val="001E5B39"/>
    <w:rsid w:val="001E5EF6"/>
    <w:rsid w:val="001E6459"/>
    <w:rsid w:val="001E6DB4"/>
    <w:rsid w:val="001E6F45"/>
    <w:rsid w:val="001E7C5F"/>
    <w:rsid w:val="001F0BEF"/>
    <w:rsid w:val="001F116B"/>
    <w:rsid w:val="001F135B"/>
    <w:rsid w:val="001F15B0"/>
    <w:rsid w:val="001F1E7B"/>
    <w:rsid w:val="001F2122"/>
    <w:rsid w:val="001F2955"/>
    <w:rsid w:val="001F2A58"/>
    <w:rsid w:val="001F3658"/>
    <w:rsid w:val="001F3AD3"/>
    <w:rsid w:val="001F4697"/>
    <w:rsid w:val="001F46E0"/>
    <w:rsid w:val="001F4725"/>
    <w:rsid w:val="001F472E"/>
    <w:rsid w:val="001F488F"/>
    <w:rsid w:val="001F5026"/>
    <w:rsid w:val="001F5203"/>
    <w:rsid w:val="001F5CDC"/>
    <w:rsid w:val="001F61DD"/>
    <w:rsid w:val="001F6282"/>
    <w:rsid w:val="001F694D"/>
    <w:rsid w:val="001F6AF5"/>
    <w:rsid w:val="001F6DF7"/>
    <w:rsid w:val="001F70AA"/>
    <w:rsid w:val="002001C3"/>
    <w:rsid w:val="00200323"/>
    <w:rsid w:val="0020037D"/>
    <w:rsid w:val="00200443"/>
    <w:rsid w:val="0020068A"/>
    <w:rsid w:val="002008CA"/>
    <w:rsid w:val="00200F69"/>
    <w:rsid w:val="00201134"/>
    <w:rsid w:val="002012D6"/>
    <w:rsid w:val="002012F2"/>
    <w:rsid w:val="00201A87"/>
    <w:rsid w:val="00202435"/>
    <w:rsid w:val="0020287D"/>
    <w:rsid w:val="00203225"/>
    <w:rsid w:val="00203375"/>
    <w:rsid w:val="00204CEE"/>
    <w:rsid w:val="00205696"/>
    <w:rsid w:val="0020577C"/>
    <w:rsid w:val="002059AD"/>
    <w:rsid w:val="00205A76"/>
    <w:rsid w:val="00206A8C"/>
    <w:rsid w:val="00206AF5"/>
    <w:rsid w:val="00206B17"/>
    <w:rsid w:val="00206CB6"/>
    <w:rsid w:val="00206DB0"/>
    <w:rsid w:val="002071F0"/>
    <w:rsid w:val="00207872"/>
    <w:rsid w:val="002078E5"/>
    <w:rsid w:val="00210047"/>
    <w:rsid w:val="002102B8"/>
    <w:rsid w:val="00210446"/>
    <w:rsid w:val="002108CB"/>
    <w:rsid w:val="00210E8C"/>
    <w:rsid w:val="00210E98"/>
    <w:rsid w:val="00212576"/>
    <w:rsid w:val="002137D6"/>
    <w:rsid w:val="00213AC0"/>
    <w:rsid w:val="002144F3"/>
    <w:rsid w:val="00215469"/>
    <w:rsid w:val="002158DA"/>
    <w:rsid w:val="00215A10"/>
    <w:rsid w:val="00215BDB"/>
    <w:rsid w:val="00215C6A"/>
    <w:rsid w:val="00215D34"/>
    <w:rsid w:val="00215E8F"/>
    <w:rsid w:val="00217093"/>
    <w:rsid w:val="0021760D"/>
    <w:rsid w:val="00217DE4"/>
    <w:rsid w:val="00217FCE"/>
    <w:rsid w:val="00221325"/>
    <w:rsid w:val="0022180A"/>
    <w:rsid w:val="00221833"/>
    <w:rsid w:val="002222BF"/>
    <w:rsid w:val="00222420"/>
    <w:rsid w:val="002226BF"/>
    <w:rsid w:val="002227F0"/>
    <w:rsid w:val="00222C17"/>
    <w:rsid w:val="00222E0D"/>
    <w:rsid w:val="00223867"/>
    <w:rsid w:val="002240A3"/>
    <w:rsid w:val="0022512F"/>
    <w:rsid w:val="00225244"/>
    <w:rsid w:val="002256E2"/>
    <w:rsid w:val="00225EA1"/>
    <w:rsid w:val="00226318"/>
    <w:rsid w:val="00226364"/>
    <w:rsid w:val="002269D9"/>
    <w:rsid w:val="002269EF"/>
    <w:rsid w:val="00226DDD"/>
    <w:rsid w:val="00227C2E"/>
    <w:rsid w:val="0023017E"/>
    <w:rsid w:val="002303F6"/>
    <w:rsid w:val="0023055D"/>
    <w:rsid w:val="00230792"/>
    <w:rsid w:val="00230CDB"/>
    <w:rsid w:val="002310E9"/>
    <w:rsid w:val="00231115"/>
    <w:rsid w:val="00231129"/>
    <w:rsid w:val="002317E9"/>
    <w:rsid w:val="00231C26"/>
    <w:rsid w:val="00231CCB"/>
    <w:rsid w:val="00231D40"/>
    <w:rsid w:val="0023201B"/>
    <w:rsid w:val="002320F5"/>
    <w:rsid w:val="0023217A"/>
    <w:rsid w:val="0023226A"/>
    <w:rsid w:val="002329C7"/>
    <w:rsid w:val="00233786"/>
    <w:rsid w:val="00233B2A"/>
    <w:rsid w:val="0023427B"/>
    <w:rsid w:val="00234A35"/>
    <w:rsid w:val="00234B39"/>
    <w:rsid w:val="0023593F"/>
    <w:rsid w:val="00236038"/>
    <w:rsid w:val="00237385"/>
    <w:rsid w:val="002373B8"/>
    <w:rsid w:val="002376F6"/>
    <w:rsid w:val="0024017D"/>
    <w:rsid w:val="0024020A"/>
    <w:rsid w:val="002419C5"/>
    <w:rsid w:val="002429F3"/>
    <w:rsid w:val="0024318B"/>
    <w:rsid w:val="00243D32"/>
    <w:rsid w:val="00243FDA"/>
    <w:rsid w:val="00245CFE"/>
    <w:rsid w:val="00246460"/>
    <w:rsid w:val="00250228"/>
    <w:rsid w:val="00250608"/>
    <w:rsid w:val="00250EBA"/>
    <w:rsid w:val="00251671"/>
    <w:rsid w:val="00251C6C"/>
    <w:rsid w:val="00252578"/>
    <w:rsid w:val="00252ECF"/>
    <w:rsid w:val="0025363B"/>
    <w:rsid w:val="0025380C"/>
    <w:rsid w:val="002542E1"/>
    <w:rsid w:val="00255365"/>
    <w:rsid w:val="0025558F"/>
    <w:rsid w:val="00255D31"/>
    <w:rsid w:val="00256235"/>
    <w:rsid w:val="002568B2"/>
    <w:rsid w:val="002573C9"/>
    <w:rsid w:val="00257443"/>
    <w:rsid w:val="00257681"/>
    <w:rsid w:val="002577B5"/>
    <w:rsid w:val="002578D0"/>
    <w:rsid w:val="0026016D"/>
    <w:rsid w:val="00260973"/>
    <w:rsid w:val="00260C3F"/>
    <w:rsid w:val="00260D09"/>
    <w:rsid w:val="0026118B"/>
    <w:rsid w:val="002615BF"/>
    <w:rsid w:val="00261B2A"/>
    <w:rsid w:val="00264249"/>
    <w:rsid w:val="00264596"/>
    <w:rsid w:val="00264AE0"/>
    <w:rsid w:val="002655D4"/>
    <w:rsid w:val="00265B10"/>
    <w:rsid w:val="00266979"/>
    <w:rsid w:val="00266D2A"/>
    <w:rsid w:val="0026741A"/>
    <w:rsid w:val="00267524"/>
    <w:rsid w:val="002678A9"/>
    <w:rsid w:val="00267A5D"/>
    <w:rsid w:val="00267F70"/>
    <w:rsid w:val="002700C6"/>
    <w:rsid w:val="00270782"/>
    <w:rsid w:val="00270D3A"/>
    <w:rsid w:val="00271109"/>
    <w:rsid w:val="002713C5"/>
    <w:rsid w:val="0027186E"/>
    <w:rsid w:val="0027187F"/>
    <w:rsid w:val="0027196D"/>
    <w:rsid w:val="00271EEB"/>
    <w:rsid w:val="00271FD1"/>
    <w:rsid w:val="00272588"/>
    <w:rsid w:val="002731A1"/>
    <w:rsid w:val="002742ED"/>
    <w:rsid w:val="002743D0"/>
    <w:rsid w:val="00274661"/>
    <w:rsid w:val="00274CFE"/>
    <w:rsid w:val="00274E13"/>
    <w:rsid w:val="00274E26"/>
    <w:rsid w:val="002751F9"/>
    <w:rsid w:val="002757C8"/>
    <w:rsid w:val="00276159"/>
    <w:rsid w:val="002761ED"/>
    <w:rsid w:val="002766A8"/>
    <w:rsid w:val="00276B57"/>
    <w:rsid w:val="00277840"/>
    <w:rsid w:val="002802C2"/>
    <w:rsid w:val="00280519"/>
    <w:rsid w:val="002807E5"/>
    <w:rsid w:val="00280E85"/>
    <w:rsid w:val="002810C4"/>
    <w:rsid w:val="002817D5"/>
    <w:rsid w:val="00281C7B"/>
    <w:rsid w:val="00282021"/>
    <w:rsid w:val="00283038"/>
    <w:rsid w:val="00283282"/>
    <w:rsid w:val="00284D5F"/>
    <w:rsid w:val="00284E09"/>
    <w:rsid w:val="0028505A"/>
    <w:rsid w:val="002853ED"/>
    <w:rsid w:val="002854B8"/>
    <w:rsid w:val="002858D2"/>
    <w:rsid w:val="00285CBB"/>
    <w:rsid w:val="00285D28"/>
    <w:rsid w:val="00285E7D"/>
    <w:rsid w:val="00286CFA"/>
    <w:rsid w:val="00287C43"/>
    <w:rsid w:val="00290818"/>
    <w:rsid w:val="00290B4E"/>
    <w:rsid w:val="00290BD3"/>
    <w:rsid w:val="002913FD"/>
    <w:rsid w:val="00292D49"/>
    <w:rsid w:val="00292ECB"/>
    <w:rsid w:val="002935DF"/>
    <w:rsid w:val="0029405A"/>
    <w:rsid w:val="00295183"/>
    <w:rsid w:val="002957CC"/>
    <w:rsid w:val="00295902"/>
    <w:rsid w:val="00295DE9"/>
    <w:rsid w:val="0029673B"/>
    <w:rsid w:val="00296F0C"/>
    <w:rsid w:val="00296F5F"/>
    <w:rsid w:val="00297344"/>
    <w:rsid w:val="00297380"/>
    <w:rsid w:val="00297A91"/>
    <w:rsid w:val="00297C18"/>
    <w:rsid w:val="002A06C5"/>
    <w:rsid w:val="002A0A2F"/>
    <w:rsid w:val="002A0BC1"/>
    <w:rsid w:val="002A0E3A"/>
    <w:rsid w:val="002A2CBC"/>
    <w:rsid w:val="002A2EA9"/>
    <w:rsid w:val="002A340F"/>
    <w:rsid w:val="002A44E3"/>
    <w:rsid w:val="002A49B0"/>
    <w:rsid w:val="002A4B4B"/>
    <w:rsid w:val="002A4F74"/>
    <w:rsid w:val="002A5339"/>
    <w:rsid w:val="002A5643"/>
    <w:rsid w:val="002A604D"/>
    <w:rsid w:val="002A6085"/>
    <w:rsid w:val="002A62E4"/>
    <w:rsid w:val="002A68D2"/>
    <w:rsid w:val="002A697F"/>
    <w:rsid w:val="002A6AF0"/>
    <w:rsid w:val="002A726F"/>
    <w:rsid w:val="002A7A72"/>
    <w:rsid w:val="002A7E9D"/>
    <w:rsid w:val="002B016A"/>
    <w:rsid w:val="002B0239"/>
    <w:rsid w:val="002B0B9D"/>
    <w:rsid w:val="002B13EB"/>
    <w:rsid w:val="002B16A0"/>
    <w:rsid w:val="002B18C3"/>
    <w:rsid w:val="002B19A7"/>
    <w:rsid w:val="002B1D7D"/>
    <w:rsid w:val="002B214B"/>
    <w:rsid w:val="002B24CE"/>
    <w:rsid w:val="002B25C8"/>
    <w:rsid w:val="002B2C18"/>
    <w:rsid w:val="002B31E2"/>
    <w:rsid w:val="002B3222"/>
    <w:rsid w:val="002B3614"/>
    <w:rsid w:val="002B37C8"/>
    <w:rsid w:val="002B46B3"/>
    <w:rsid w:val="002B50F3"/>
    <w:rsid w:val="002B550E"/>
    <w:rsid w:val="002B5CC9"/>
    <w:rsid w:val="002B5D49"/>
    <w:rsid w:val="002B6419"/>
    <w:rsid w:val="002B6591"/>
    <w:rsid w:val="002B6818"/>
    <w:rsid w:val="002B6FD7"/>
    <w:rsid w:val="002C0E7C"/>
    <w:rsid w:val="002C1122"/>
    <w:rsid w:val="002C1851"/>
    <w:rsid w:val="002C29F9"/>
    <w:rsid w:val="002C2FA4"/>
    <w:rsid w:val="002C3D6D"/>
    <w:rsid w:val="002C40B8"/>
    <w:rsid w:val="002C482C"/>
    <w:rsid w:val="002C4BFD"/>
    <w:rsid w:val="002C4DFA"/>
    <w:rsid w:val="002C5555"/>
    <w:rsid w:val="002C578B"/>
    <w:rsid w:val="002C5A34"/>
    <w:rsid w:val="002C5F3E"/>
    <w:rsid w:val="002C5FD5"/>
    <w:rsid w:val="002C63D0"/>
    <w:rsid w:val="002C6500"/>
    <w:rsid w:val="002C6934"/>
    <w:rsid w:val="002C6FAC"/>
    <w:rsid w:val="002C7433"/>
    <w:rsid w:val="002D049B"/>
    <w:rsid w:val="002D1746"/>
    <w:rsid w:val="002D22E1"/>
    <w:rsid w:val="002D252C"/>
    <w:rsid w:val="002D2A15"/>
    <w:rsid w:val="002D3397"/>
    <w:rsid w:val="002D3800"/>
    <w:rsid w:val="002D4562"/>
    <w:rsid w:val="002D55B8"/>
    <w:rsid w:val="002D5AEB"/>
    <w:rsid w:val="002D5BE0"/>
    <w:rsid w:val="002D5C49"/>
    <w:rsid w:val="002D696C"/>
    <w:rsid w:val="002D6BCB"/>
    <w:rsid w:val="002D75D6"/>
    <w:rsid w:val="002D7DEF"/>
    <w:rsid w:val="002D7FC5"/>
    <w:rsid w:val="002E03A4"/>
    <w:rsid w:val="002E0F54"/>
    <w:rsid w:val="002E0F79"/>
    <w:rsid w:val="002E1080"/>
    <w:rsid w:val="002E1AB9"/>
    <w:rsid w:val="002E2410"/>
    <w:rsid w:val="002E26D7"/>
    <w:rsid w:val="002E2F48"/>
    <w:rsid w:val="002E3D21"/>
    <w:rsid w:val="002E410B"/>
    <w:rsid w:val="002E49A0"/>
    <w:rsid w:val="002E5920"/>
    <w:rsid w:val="002E5E20"/>
    <w:rsid w:val="002E7550"/>
    <w:rsid w:val="002E78FC"/>
    <w:rsid w:val="002E7A00"/>
    <w:rsid w:val="002F0502"/>
    <w:rsid w:val="002F09BE"/>
    <w:rsid w:val="002F0A82"/>
    <w:rsid w:val="002F13D7"/>
    <w:rsid w:val="002F17B9"/>
    <w:rsid w:val="002F22E0"/>
    <w:rsid w:val="002F3A31"/>
    <w:rsid w:val="002F40E9"/>
    <w:rsid w:val="002F4119"/>
    <w:rsid w:val="002F52A4"/>
    <w:rsid w:val="002F52F7"/>
    <w:rsid w:val="002F5D6E"/>
    <w:rsid w:val="002F6060"/>
    <w:rsid w:val="002F776B"/>
    <w:rsid w:val="002F780C"/>
    <w:rsid w:val="0030013C"/>
    <w:rsid w:val="003011A8"/>
    <w:rsid w:val="0030126F"/>
    <w:rsid w:val="003015FC"/>
    <w:rsid w:val="00301B47"/>
    <w:rsid w:val="00301DB8"/>
    <w:rsid w:val="0030264E"/>
    <w:rsid w:val="003027B9"/>
    <w:rsid w:val="003032A4"/>
    <w:rsid w:val="00303A80"/>
    <w:rsid w:val="00303C50"/>
    <w:rsid w:val="00304257"/>
    <w:rsid w:val="00304269"/>
    <w:rsid w:val="00304E1B"/>
    <w:rsid w:val="00304E8C"/>
    <w:rsid w:val="003052F0"/>
    <w:rsid w:val="003055AC"/>
    <w:rsid w:val="003057E5"/>
    <w:rsid w:val="0030587F"/>
    <w:rsid w:val="00305CDB"/>
    <w:rsid w:val="00305F77"/>
    <w:rsid w:val="00305F79"/>
    <w:rsid w:val="00306781"/>
    <w:rsid w:val="00306B56"/>
    <w:rsid w:val="00306DAF"/>
    <w:rsid w:val="00306EE0"/>
    <w:rsid w:val="00307C2B"/>
    <w:rsid w:val="00310F5A"/>
    <w:rsid w:val="003114E7"/>
    <w:rsid w:val="00311E0F"/>
    <w:rsid w:val="00311E51"/>
    <w:rsid w:val="003123C5"/>
    <w:rsid w:val="003125B0"/>
    <w:rsid w:val="00312681"/>
    <w:rsid w:val="003132E3"/>
    <w:rsid w:val="003135A8"/>
    <w:rsid w:val="003136BC"/>
    <w:rsid w:val="00313CF8"/>
    <w:rsid w:val="00313DA8"/>
    <w:rsid w:val="0031412F"/>
    <w:rsid w:val="0031458F"/>
    <w:rsid w:val="003151C7"/>
    <w:rsid w:val="003154C1"/>
    <w:rsid w:val="00317B91"/>
    <w:rsid w:val="00317CCE"/>
    <w:rsid w:val="00317F09"/>
    <w:rsid w:val="00320517"/>
    <w:rsid w:val="0032082C"/>
    <w:rsid w:val="0032096F"/>
    <w:rsid w:val="00321F4C"/>
    <w:rsid w:val="00323126"/>
    <w:rsid w:val="00323F24"/>
    <w:rsid w:val="003244A2"/>
    <w:rsid w:val="00324DBF"/>
    <w:rsid w:val="003252E4"/>
    <w:rsid w:val="00325702"/>
    <w:rsid w:val="003258ED"/>
    <w:rsid w:val="00325E53"/>
    <w:rsid w:val="00326480"/>
    <w:rsid w:val="003264AA"/>
    <w:rsid w:val="00326631"/>
    <w:rsid w:val="003266AF"/>
    <w:rsid w:val="00326880"/>
    <w:rsid w:val="00327FE7"/>
    <w:rsid w:val="00330ADA"/>
    <w:rsid w:val="00330CA0"/>
    <w:rsid w:val="0033161E"/>
    <w:rsid w:val="00331D8D"/>
    <w:rsid w:val="00332201"/>
    <w:rsid w:val="0033238A"/>
    <w:rsid w:val="00333126"/>
    <w:rsid w:val="00333181"/>
    <w:rsid w:val="003338D3"/>
    <w:rsid w:val="00334024"/>
    <w:rsid w:val="00334290"/>
    <w:rsid w:val="003343A8"/>
    <w:rsid w:val="00334402"/>
    <w:rsid w:val="003357C9"/>
    <w:rsid w:val="00335CEE"/>
    <w:rsid w:val="003365DD"/>
    <w:rsid w:val="003366D9"/>
    <w:rsid w:val="00337C9D"/>
    <w:rsid w:val="00337D6A"/>
    <w:rsid w:val="003403C5"/>
    <w:rsid w:val="00340A15"/>
    <w:rsid w:val="00340C4D"/>
    <w:rsid w:val="0034188D"/>
    <w:rsid w:val="00341A5E"/>
    <w:rsid w:val="00342118"/>
    <w:rsid w:val="00342572"/>
    <w:rsid w:val="00342730"/>
    <w:rsid w:val="00343042"/>
    <w:rsid w:val="003430E0"/>
    <w:rsid w:val="00343179"/>
    <w:rsid w:val="003441F1"/>
    <w:rsid w:val="00344B81"/>
    <w:rsid w:val="00344C6E"/>
    <w:rsid w:val="00344EDA"/>
    <w:rsid w:val="00344F73"/>
    <w:rsid w:val="003452ED"/>
    <w:rsid w:val="003458C9"/>
    <w:rsid w:val="00345C34"/>
    <w:rsid w:val="00346980"/>
    <w:rsid w:val="00346A8E"/>
    <w:rsid w:val="00346FDA"/>
    <w:rsid w:val="00347344"/>
    <w:rsid w:val="00347BA3"/>
    <w:rsid w:val="00347BC3"/>
    <w:rsid w:val="00350DB9"/>
    <w:rsid w:val="00351632"/>
    <w:rsid w:val="0035184F"/>
    <w:rsid w:val="00351BC4"/>
    <w:rsid w:val="003531A9"/>
    <w:rsid w:val="00353606"/>
    <w:rsid w:val="00353AAC"/>
    <w:rsid w:val="00353AF3"/>
    <w:rsid w:val="003553E0"/>
    <w:rsid w:val="00355D78"/>
    <w:rsid w:val="00356192"/>
    <w:rsid w:val="00356264"/>
    <w:rsid w:val="00356936"/>
    <w:rsid w:val="00356E7D"/>
    <w:rsid w:val="00357634"/>
    <w:rsid w:val="0035784E"/>
    <w:rsid w:val="003578DA"/>
    <w:rsid w:val="003579F6"/>
    <w:rsid w:val="00357FD8"/>
    <w:rsid w:val="00360F33"/>
    <w:rsid w:val="003617A7"/>
    <w:rsid w:val="00361D9C"/>
    <w:rsid w:val="00362E71"/>
    <w:rsid w:val="00363587"/>
    <w:rsid w:val="00363711"/>
    <w:rsid w:val="003641CB"/>
    <w:rsid w:val="00364376"/>
    <w:rsid w:val="00364642"/>
    <w:rsid w:val="00364AF9"/>
    <w:rsid w:val="00364B1B"/>
    <w:rsid w:val="00364E22"/>
    <w:rsid w:val="00365503"/>
    <w:rsid w:val="003672D1"/>
    <w:rsid w:val="0036777D"/>
    <w:rsid w:val="003701E3"/>
    <w:rsid w:val="0037048A"/>
    <w:rsid w:val="00370549"/>
    <w:rsid w:val="00370587"/>
    <w:rsid w:val="003705C0"/>
    <w:rsid w:val="0037068D"/>
    <w:rsid w:val="003712D8"/>
    <w:rsid w:val="00371916"/>
    <w:rsid w:val="003721AC"/>
    <w:rsid w:val="003727BE"/>
    <w:rsid w:val="00372B14"/>
    <w:rsid w:val="00372B23"/>
    <w:rsid w:val="00372D2E"/>
    <w:rsid w:val="00372F44"/>
    <w:rsid w:val="00373CD6"/>
    <w:rsid w:val="003744C0"/>
    <w:rsid w:val="0037492E"/>
    <w:rsid w:val="00375447"/>
    <w:rsid w:val="00375E5A"/>
    <w:rsid w:val="0037702C"/>
    <w:rsid w:val="00377828"/>
    <w:rsid w:val="00377960"/>
    <w:rsid w:val="003779B1"/>
    <w:rsid w:val="0038042C"/>
    <w:rsid w:val="00380D18"/>
    <w:rsid w:val="00380D7D"/>
    <w:rsid w:val="00381C41"/>
    <w:rsid w:val="00381EBB"/>
    <w:rsid w:val="0038223E"/>
    <w:rsid w:val="00382814"/>
    <w:rsid w:val="00382AA8"/>
    <w:rsid w:val="00382CE3"/>
    <w:rsid w:val="00382EE3"/>
    <w:rsid w:val="00383595"/>
    <w:rsid w:val="00384209"/>
    <w:rsid w:val="0038433A"/>
    <w:rsid w:val="003843F1"/>
    <w:rsid w:val="003849C5"/>
    <w:rsid w:val="00385863"/>
    <w:rsid w:val="00385BDD"/>
    <w:rsid w:val="0038624E"/>
    <w:rsid w:val="0038694D"/>
    <w:rsid w:val="00387442"/>
    <w:rsid w:val="0039075A"/>
    <w:rsid w:val="003909DF"/>
    <w:rsid w:val="00390A33"/>
    <w:rsid w:val="003914DD"/>
    <w:rsid w:val="003918E5"/>
    <w:rsid w:val="0039278F"/>
    <w:rsid w:val="00392828"/>
    <w:rsid w:val="003935A8"/>
    <w:rsid w:val="00393938"/>
    <w:rsid w:val="00394C50"/>
    <w:rsid w:val="003951A9"/>
    <w:rsid w:val="00395544"/>
    <w:rsid w:val="00395794"/>
    <w:rsid w:val="00395BAD"/>
    <w:rsid w:val="00395EAB"/>
    <w:rsid w:val="0039649F"/>
    <w:rsid w:val="00396579"/>
    <w:rsid w:val="00396AA2"/>
    <w:rsid w:val="00397077"/>
    <w:rsid w:val="00397439"/>
    <w:rsid w:val="003974F3"/>
    <w:rsid w:val="003A0254"/>
    <w:rsid w:val="003A04FF"/>
    <w:rsid w:val="003A0A6F"/>
    <w:rsid w:val="003A2A79"/>
    <w:rsid w:val="003A2AE4"/>
    <w:rsid w:val="003A2D3E"/>
    <w:rsid w:val="003A37FD"/>
    <w:rsid w:val="003A3DAF"/>
    <w:rsid w:val="003A434B"/>
    <w:rsid w:val="003A4B89"/>
    <w:rsid w:val="003A653F"/>
    <w:rsid w:val="003B08AD"/>
    <w:rsid w:val="003B0B00"/>
    <w:rsid w:val="003B1A71"/>
    <w:rsid w:val="003B1F4F"/>
    <w:rsid w:val="003B21D3"/>
    <w:rsid w:val="003B3712"/>
    <w:rsid w:val="003B3AE3"/>
    <w:rsid w:val="003B3F13"/>
    <w:rsid w:val="003B484D"/>
    <w:rsid w:val="003B4881"/>
    <w:rsid w:val="003B5974"/>
    <w:rsid w:val="003B5E60"/>
    <w:rsid w:val="003B696F"/>
    <w:rsid w:val="003B6CED"/>
    <w:rsid w:val="003B7091"/>
    <w:rsid w:val="003B78A6"/>
    <w:rsid w:val="003B7AA0"/>
    <w:rsid w:val="003B7D63"/>
    <w:rsid w:val="003C0B02"/>
    <w:rsid w:val="003C0F4B"/>
    <w:rsid w:val="003C101E"/>
    <w:rsid w:val="003C1136"/>
    <w:rsid w:val="003C1AAA"/>
    <w:rsid w:val="003C1FCF"/>
    <w:rsid w:val="003C287B"/>
    <w:rsid w:val="003C29AF"/>
    <w:rsid w:val="003C29B9"/>
    <w:rsid w:val="003C2A01"/>
    <w:rsid w:val="003C36A5"/>
    <w:rsid w:val="003C36EF"/>
    <w:rsid w:val="003C3E8C"/>
    <w:rsid w:val="003C3FE4"/>
    <w:rsid w:val="003C41CE"/>
    <w:rsid w:val="003C53E0"/>
    <w:rsid w:val="003C54CA"/>
    <w:rsid w:val="003C6A41"/>
    <w:rsid w:val="003C7519"/>
    <w:rsid w:val="003C7687"/>
    <w:rsid w:val="003C79D8"/>
    <w:rsid w:val="003C7B65"/>
    <w:rsid w:val="003C7ED2"/>
    <w:rsid w:val="003D020D"/>
    <w:rsid w:val="003D0BB2"/>
    <w:rsid w:val="003D0E8A"/>
    <w:rsid w:val="003D1B8B"/>
    <w:rsid w:val="003D216A"/>
    <w:rsid w:val="003D2F34"/>
    <w:rsid w:val="003D2F4C"/>
    <w:rsid w:val="003D3A1D"/>
    <w:rsid w:val="003D3E52"/>
    <w:rsid w:val="003D405D"/>
    <w:rsid w:val="003D47C8"/>
    <w:rsid w:val="003D567A"/>
    <w:rsid w:val="003D5682"/>
    <w:rsid w:val="003D57B7"/>
    <w:rsid w:val="003D5A67"/>
    <w:rsid w:val="003D5CCF"/>
    <w:rsid w:val="003D5D5B"/>
    <w:rsid w:val="003D61BD"/>
    <w:rsid w:val="003D6DC6"/>
    <w:rsid w:val="003E07A2"/>
    <w:rsid w:val="003E0ADE"/>
    <w:rsid w:val="003E1615"/>
    <w:rsid w:val="003E1981"/>
    <w:rsid w:val="003E1F78"/>
    <w:rsid w:val="003E1FE7"/>
    <w:rsid w:val="003E21BE"/>
    <w:rsid w:val="003E3167"/>
    <w:rsid w:val="003E3AFF"/>
    <w:rsid w:val="003E4F82"/>
    <w:rsid w:val="003E5769"/>
    <w:rsid w:val="003E6247"/>
    <w:rsid w:val="003E6BEB"/>
    <w:rsid w:val="003E6DB9"/>
    <w:rsid w:val="003E7383"/>
    <w:rsid w:val="003E74A8"/>
    <w:rsid w:val="003F0718"/>
    <w:rsid w:val="003F0820"/>
    <w:rsid w:val="003F0D4F"/>
    <w:rsid w:val="003F0FB2"/>
    <w:rsid w:val="003F2030"/>
    <w:rsid w:val="003F289E"/>
    <w:rsid w:val="003F2B7E"/>
    <w:rsid w:val="003F3190"/>
    <w:rsid w:val="003F35D6"/>
    <w:rsid w:val="003F3BE8"/>
    <w:rsid w:val="003F3F04"/>
    <w:rsid w:val="003F4F6F"/>
    <w:rsid w:val="003F54EB"/>
    <w:rsid w:val="003F576C"/>
    <w:rsid w:val="003F5D2D"/>
    <w:rsid w:val="003F7C42"/>
    <w:rsid w:val="003F7FFA"/>
    <w:rsid w:val="004000EF"/>
    <w:rsid w:val="004009DF"/>
    <w:rsid w:val="004012F8"/>
    <w:rsid w:val="004032CB"/>
    <w:rsid w:val="0040383E"/>
    <w:rsid w:val="00405084"/>
    <w:rsid w:val="004058B4"/>
    <w:rsid w:val="00405E41"/>
    <w:rsid w:val="0041038C"/>
    <w:rsid w:val="00410502"/>
    <w:rsid w:val="0041094C"/>
    <w:rsid w:val="00410C8F"/>
    <w:rsid w:val="0041105D"/>
    <w:rsid w:val="00411882"/>
    <w:rsid w:val="00412928"/>
    <w:rsid w:val="00412CC5"/>
    <w:rsid w:val="004134B4"/>
    <w:rsid w:val="0041376C"/>
    <w:rsid w:val="004142A6"/>
    <w:rsid w:val="00414CAB"/>
    <w:rsid w:val="00414E83"/>
    <w:rsid w:val="004151B0"/>
    <w:rsid w:val="00415874"/>
    <w:rsid w:val="004168F5"/>
    <w:rsid w:val="0041690E"/>
    <w:rsid w:val="00416ABD"/>
    <w:rsid w:val="00417AFD"/>
    <w:rsid w:val="00417D54"/>
    <w:rsid w:val="00421A73"/>
    <w:rsid w:val="00421C66"/>
    <w:rsid w:val="00421CE3"/>
    <w:rsid w:val="004221B1"/>
    <w:rsid w:val="004227E5"/>
    <w:rsid w:val="00422811"/>
    <w:rsid w:val="00422897"/>
    <w:rsid w:val="00423363"/>
    <w:rsid w:val="00424A7F"/>
    <w:rsid w:val="0042600B"/>
    <w:rsid w:val="00426552"/>
    <w:rsid w:val="00426CE5"/>
    <w:rsid w:val="00427B6F"/>
    <w:rsid w:val="00427E3E"/>
    <w:rsid w:val="00430AC1"/>
    <w:rsid w:val="00430C96"/>
    <w:rsid w:val="00431102"/>
    <w:rsid w:val="004311C6"/>
    <w:rsid w:val="00431609"/>
    <w:rsid w:val="0043297C"/>
    <w:rsid w:val="00432DF4"/>
    <w:rsid w:val="00432FE6"/>
    <w:rsid w:val="004332D1"/>
    <w:rsid w:val="00433B92"/>
    <w:rsid w:val="00433D42"/>
    <w:rsid w:val="00433EFD"/>
    <w:rsid w:val="004340A1"/>
    <w:rsid w:val="004341FC"/>
    <w:rsid w:val="00434769"/>
    <w:rsid w:val="00434BD9"/>
    <w:rsid w:val="00434E8C"/>
    <w:rsid w:val="0043567E"/>
    <w:rsid w:val="00435B35"/>
    <w:rsid w:val="00435D74"/>
    <w:rsid w:val="00435D91"/>
    <w:rsid w:val="00436369"/>
    <w:rsid w:val="00436453"/>
    <w:rsid w:val="004368E0"/>
    <w:rsid w:val="00437343"/>
    <w:rsid w:val="004401F5"/>
    <w:rsid w:val="004407EE"/>
    <w:rsid w:val="00440E18"/>
    <w:rsid w:val="00441165"/>
    <w:rsid w:val="00441931"/>
    <w:rsid w:val="00441974"/>
    <w:rsid w:val="00441B7B"/>
    <w:rsid w:val="00441BA3"/>
    <w:rsid w:val="004421E9"/>
    <w:rsid w:val="0044234F"/>
    <w:rsid w:val="0044294E"/>
    <w:rsid w:val="00442F80"/>
    <w:rsid w:val="0044431B"/>
    <w:rsid w:val="004446D6"/>
    <w:rsid w:val="0044474D"/>
    <w:rsid w:val="00444C13"/>
    <w:rsid w:val="00445B37"/>
    <w:rsid w:val="00445D3C"/>
    <w:rsid w:val="00446871"/>
    <w:rsid w:val="00446951"/>
    <w:rsid w:val="004470E4"/>
    <w:rsid w:val="00447FA7"/>
    <w:rsid w:val="00450100"/>
    <w:rsid w:val="00450A63"/>
    <w:rsid w:val="0045108D"/>
    <w:rsid w:val="004514C5"/>
    <w:rsid w:val="00451E7A"/>
    <w:rsid w:val="00452530"/>
    <w:rsid w:val="0045356F"/>
    <w:rsid w:val="00453A90"/>
    <w:rsid w:val="00453E21"/>
    <w:rsid w:val="00453ED5"/>
    <w:rsid w:val="00454FA5"/>
    <w:rsid w:val="00454FB0"/>
    <w:rsid w:val="004551B4"/>
    <w:rsid w:val="004553B5"/>
    <w:rsid w:val="00455574"/>
    <w:rsid w:val="004556E2"/>
    <w:rsid w:val="0045589A"/>
    <w:rsid w:val="00455ED4"/>
    <w:rsid w:val="004565B9"/>
    <w:rsid w:val="00457916"/>
    <w:rsid w:val="004603CA"/>
    <w:rsid w:val="004605F6"/>
    <w:rsid w:val="00460875"/>
    <w:rsid w:val="00461450"/>
    <w:rsid w:val="00461A8B"/>
    <w:rsid w:val="004635EA"/>
    <w:rsid w:val="004639F9"/>
    <w:rsid w:val="00463B95"/>
    <w:rsid w:val="00464129"/>
    <w:rsid w:val="004642A0"/>
    <w:rsid w:val="00464330"/>
    <w:rsid w:val="0046443B"/>
    <w:rsid w:val="00464C3A"/>
    <w:rsid w:val="00464D36"/>
    <w:rsid w:val="004652C9"/>
    <w:rsid w:val="00465928"/>
    <w:rsid w:val="00465E5A"/>
    <w:rsid w:val="004665BC"/>
    <w:rsid w:val="004672A8"/>
    <w:rsid w:val="00467314"/>
    <w:rsid w:val="004674D2"/>
    <w:rsid w:val="00467B60"/>
    <w:rsid w:val="00467D77"/>
    <w:rsid w:val="004706FE"/>
    <w:rsid w:val="00470E84"/>
    <w:rsid w:val="00471AB2"/>
    <w:rsid w:val="00471C92"/>
    <w:rsid w:val="00472ACF"/>
    <w:rsid w:val="00472C4C"/>
    <w:rsid w:val="00472D1D"/>
    <w:rsid w:val="004741C9"/>
    <w:rsid w:val="00474353"/>
    <w:rsid w:val="004744AA"/>
    <w:rsid w:val="004744DC"/>
    <w:rsid w:val="00474BA7"/>
    <w:rsid w:val="00474C5E"/>
    <w:rsid w:val="00474E60"/>
    <w:rsid w:val="00474F8C"/>
    <w:rsid w:val="004755B9"/>
    <w:rsid w:val="004775D6"/>
    <w:rsid w:val="00477B8F"/>
    <w:rsid w:val="00477C42"/>
    <w:rsid w:val="0048006D"/>
    <w:rsid w:val="004800A2"/>
    <w:rsid w:val="004800A8"/>
    <w:rsid w:val="00480672"/>
    <w:rsid w:val="00481023"/>
    <w:rsid w:val="004818EB"/>
    <w:rsid w:val="0048234C"/>
    <w:rsid w:val="00482EFB"/>
    <w:rsid w:val="00483491"/>
    <w:rsid w:val="0048467C"/>
    <w:rsid w:val="004849CC"/>
    <w:rsid w:val="00484CF7"/>
    <w:rsid w:val="0048585C"/>
    <w:rsid w:val="00485B6B"/>
    <w:rsid w:val="00485C84"/>
    <w:rsid w:val="0048701E"/>
    <w:rsid w:val="00487D41"/>
    <w:rsid w:val="00490CBA"/>
    <w:rsid w:val="004914A9"/>
    <w:rsid w:val="0049158F"/>
    <w:rsid w:val="0049170D"/>
    <w:rsid w:val="00491954"/>
    <w:rsid w:val="00491A4D"/>
    <w:rsid w:val="00491B26"/>
    <w:rsid w:val="00492148"/>
    <w:rsid w:val="00492B65"/>
    <w:rsid w:val="00493DBC"/>
    <w:rsid w:val="004947EB"/>
    <w:rsid w:val="00494CF9"/>
    <w:rsid w:val="00494EB8"/>
    <w:rsid w:val="0049580A"/>
    <w:rsid w:val="004959CD"/>
    <w:rsid w:val="00495A75"/>
    <w:rsid w:val="00495E89"/>
    <w:rsid w:val="004962AF"/>
    <w:rsid w:val="00496BAA"/>
    <w:rsid w:val="00496CCC"/>
    <w:rsid w:val="00497719"/>
    <w:rsid w:val="00497E1B"/>
    <w:rsid w:val="004A0337"/>
    <w:rsid w:val="004A044D"/>
    <w:rsid w:val="004A04EB"/>
    <w:rsid w:val="004A0559"/>
    <w:rsid w:val="004A0BC1"/>
    <w:rsid w:val="004A0D5A"/>
    <w:rsid w:val="004A10A8"/>
    <w:rsid w:val="004A15D4"/>
    <w:rsid w:val="004A162E"/>
    <w:rsid w:val="004A1C98"/>
    <w:rsid w:val="004A1ED0"/>
    <w:rsid w:val="004A2731"/>
    <w:rsid w:val="004A2812"/>
    <w:rsid w:val="004A2CE6"/>
    <w:rsid w:val="004A30E0"/>
    <w:rsid w:val="004A3383"/>
    <w:rsid w:val="004A3400"/>
    <w:rsid w:val="004A3F98"/>
    <w:rsid w:val="004A4173"/>
    <w:rsid w:val="004A4C81"/>
    <w:rsid w:val="004A4DAC"/>
    <w:rsid w:val="004A4EA9"/>
    <w:rsid w:val="004A52CD"/>
    <w:rsid w:val="004A5400"/>
    <w:rsid w:val="004A5603"/>
    <w:rsid w:val="004A5A80"/>
    <w:rsid w:val="004A646F"/>
    <w:rsid w:val="004A68C9"/>
    <w:rsid w:val="004A6FA9"/>
    <w:rsid w:val="004A7216"/>
    <w:rsid w:val="004A76B1"/>
    <w:rsid w:val="004A78DF"/>
    <w:rsid w:val="004A7B95"/>
    <w:rsid w:val="004A7CAE"/>
    <w:rsid w:val="004B0322"/>
    <w:rsid w:val="004B094B"/>
    <w:rsid w:val="004B0B62"/>
    <w:rsid w:val="004B0D9C"/>
    <w:rsid w:val="004B1946"/>
    <w:rsid w:val="004B1B1F"/>
    <w:rsid w:val="004B1CF5"/>
    <w:rsid w:val="004B1D78"/>
    <w:rsid w:val="004B1E1E"/>
    <w:rsid w:val="004B2074"/>
    <w:rsid w:val="004B26A6"/>
    <w:rsid w:val="004B29D4"/>
    <w:rsid w:val="004B3302"/>
    <w:rsid w:val="004B394C"/>
    <w:rsid w:val="004B3B23"/>
    <w:rsid w:val="004B3D00"/>
    <w:rsid w:val="004B4AF0"/>
    <w:rsid w:val="004B4FDD"/>
    <w:rsid w:val="004B5353"/>
    <w:rsid w:val="004B584A"/>
    <w:rsid w:val="004B5EF3"/>
    <w:rsid w:val="004B6E92"/>
    <w:rsid w:val="004B7476"/>
    <w:rsid w:val="004B76CE"/>
    <w:rsid w:val="004C080A"/>
    <w:rsid w:val="004C1618"/>
    <w:rsid w:val="004C1E8A"/>
    <w:rsid w:val="004C28AA"/>
    <w:rsid w:val="004C2BD5"/>
    <w:rsid w:val="004C2FB8"/>
    <w:rsid w:val="004C368B"/>
    <w:rsid w:val="004C3B4F"/>
    <w:rsid w:val="004C4FD1"/>
    <w:rsid w:val="004C5267"/>
    <w:rsid w:val="004C5C01"/>
    <w:rsid w:val="004C5E96"/>
    <w:rsid w:val="004C6AF8"/>
    <w:rsid w:val="004C713D"/>
    <w:rsid w:val="004C71BE"/>
    <w:rsid w:val="004C79E7"/>
    <w:rsid w:val="004C7FEA"/>
    <w:rsid w:val="004D0569"/>
    <w:rsid w:val="004D063D"/>
    <w:rsid w:val="004D0E9A"/>
    <w:rsid w:val="004D110D"/>
    <w:rsid w:val="004D1281"/>
    <w:rsid w:val="004D154D"/>
    <w:rsid w:val="004D1675"/>
    <w:rsid w:val="004D167F"/>
    <w:rsid w:val="004D171C"/>
    <w:rsid w:val="004D2275"/>
    <w:rsid w:val="004D2FAD"/>
    <w:rsid w:val="004D310F"/>
    <w:rsid w:val="004D313D"/>
    <w:rsid w:val="004D3596"/>
    <w:rsid w:val="004D3AD2"/>
    <w:rsid w:val="004D3F5B"/>
    <w:rsid w:val="004D4AE1"/>
    <w:rsid w:val="004D4D84"/>
    <w:rsid w:val="004D53B2"/>
    <w:rsid w:val="004D552A"/>
    <w:rsid w:val="004D57CD"/>
    <w:rsid w:val="004D5D86"/>
    <w:rsid w:val="004D5E8E"/>
    <w:rsid w:val="004D6CB9"/>
    <w:rsid w:val="004D7577"/>
    <w:rsid w:val="004D7E7E"/>
    <w:rsid w:val="004E1505"/>
    <w:rsid w:val="004E1CAA"/>
    <w:rsid w:val="004E2465"/>
    <w:rsid w:val="004E3138"/>
    <w:rsid w:val="004E33EF"/>
    <w:rsid w:val="004E359B"/>
    <w:rsid w:val="004E391F"/>
    <w:rsid w:val="004E44A9"/>
    <w:rsid w:val="004E4766"/>
    <w:rsid w:val="004E4B0C"/>
    <w:rsid w:val="004E500F"/>
    <w:rsid w:val="004E5BD7"/>
    <w:rsid w:val="004E60D8"/>
    <w:rsid w:val="004E7C72"/>
    <w:rsid w:val="004E7E3E"/>
    <w:rsid w:val="004E7ECC"/>
    <w:rsid w:val="004F0B20"/>
    <w:rsid w:val="004F0BB5"/>
    <w:rsid w:val="004F0FB0"/>
    <w:rsid w:val="004F15F9"/>
    <w:rsid w:val="004F2519"/>
    <w:rsid w:val="004F265C"/>
    <w:rsid w:val="004F28E8"/>
    <w:rsid w:val="004F2A3B"/>
    <w:rsid w:val="004F3415"/>
    <w:rsid w:val="004F3870"/>
    <w:rsid w:val="004F3F63"/>
    <w:rsid w:val="004F458D"/>
    <w:rsid w:val="004F4723"/>
    <w:rsid w:val="004F634F"/>
    <w:rsid w:val="004F6C13"/>
    <w:rsid w:val="004F7754"/>
    <w:rsid w:val="004F7F42"/>
    <w:rsid w:val="00500B00"/>
    <w:rsid w:val="00501844"/>
    <w:rsid w:val="00501A75"/>
    <w:rsid w:val="005026FE"/>
    <w:rsid w:val="00502FA9"/>
    <w:rsid w:val="0050454C"/>
    <w:rsid w:val="00504625"/>
    <w:rsid w:val="00505536"/>
    <w:rsid w:val="00505563"/>
    <w:rsid w:val="005057EF"/>
    <w:rsid w:val="00505C98"/>
    <w:rsid w:val="005064AE"/>
    <w:rsid w:val="005067DD"/>
    <w:rsid w:val="00506981"/>
    <w:rsid w:val="00506C89"/>
    <w:rsid w:val="00507378"/>
    <w:rsid w:val="00510087"/>
    <w:rsid w:val="00510FB2"/>
    <w:rsid w:val="0051112E"/>
    <w:rsid w:val="00511165"/>
    <w:rsid w:val="005119D4"/>
    <w:rsid w:val="00511D95"/>
    <w:rsid w:val="005129E6"/>
    <w:rsid w:val="0051369F"/>
    <w:rsid w:val="00514056"/>
    <w:rsid w:val="00514C1A"/>
    <w:rsid w:val="00515990"/>
    <w:rsid w:val="005159C3"/>
    <w:rsid w:val="0051631E"/>
    <w:rsid w:val="00516A33"/>
    <w:rsid w:val="005172B2"/>
    <w:rsid w:val="005203DA"/>
    <w:rsid w:val="0052099E"/>
    <w:rsid w:val="00520A2F"/>
    <w:rsid w:val="00520FB8"/>
    <w:rsid w:val="005219FC"/>
    <w:rsid w:val="00521B3D"/>
    <w:rsid w:val="0052245F"/>
    <w:rsid w:val="005225A3"/>
    <w:rsid w:val="00522AFB"/>
    <w:rsid w:val="00522B80"/>
    <w:rsid w:val="00522F1A"/>
    <w:rsid w:val="005232C6"/>
    <w:rsid w:val="00524171"/>
    <w:rsid w:val="005242FB"/>
    <w:rsid w:val="0052491B"/>
    <w:rsid w:val="005255B9"/>
    <w:rsid w:val="00526BB1"/>
    <w:rsid w:val="005276D2"/>
    <w:rsid w:val="005277DD"/>
    <w:rsid w:val="005301AD"/>
    <w:rsid w:val="0053046B"/>
    <w:rsid w:val="00531516"/>
    <w:rsid w:val="00531C1E"/>
    <w:rsid w:val="00532023"/>
    <w:rsid w:val="005332AF"/>
    <w:rsid w:val="00534781"/>
    <w:rsid w:val="00534BCA"/>
    <w:rsid w:val="00534D79"/>
    <w:rsid w:val="00534EB2"/>
    <w:rsid w:val="00534F88"/>
    <w:rsid w:val="005356AD"/>
    <w:rsid w:val="00535873"/>
    <w:rsid w:val="00535BCE"/>
    <w:rsid w:val="00535F68"/>
    <w:rsid w:val="00536979"/>
    <w:rsid w:val="00537362"/>
    <w:rsid w:val="005378D3"/>
    <w:rsid w:val="00537D49"/>
    <w:rsid w:val="00541215"/>
    <w:rsid w:val="00541329"/>
    <w:rsid w:val="0054228C"/>
    <w:rsid w:val="00542363"/>
    <w:rsid w:val="005427D5"/>
    <w:rsid w:val="00542905"/>
    <w:rsid w:val="005429FE"/>
    <w:rsid w:val="00542CB5"/>
    <w:rsid w:val="00542E06"/>
    <w:rsid w:val="00543B8D"/>
    <w:rsid w:val="00544685"/>
    <w:rsid w:val="00545439"/>
    <w:rsid w:val="00545960"/>
    <w:rsid w:val="005464B9"/>
    <w:rsid w:val="00546B08"/>
    <w:rsid w:val="00546BE4"/>
    <w:rsid w:val="00546F45"/>
    <w:rsid w:val="00547229"/>
    <w:rsid w:val="005511E4"/>
    <w:rsid w:val="0055148C"/>
    <w:rsid w:val="0055193F"/>
    <w:rsid w:val="00552005"/>
    <w:rsid w:val="0055219F"/>
    <w:rsid w:val="00552EAE"/>
    <w:rsid w:val="005543E7"/>
    <w:rsid w:val="0055471D"/>
    <w:rsid w:val="00554A0F"/>
    <w:rsid w:val="00554AE5"/>
    <w:rsid w:val="00554C34"/>
    <w:rsid w:val="00554E9F"/>
    <w:rsid w:val="00555370"/>
    <w:rsid w:val="00555B76"/>
    <w:rsid w:val="00555BD8"/>
    <w:rsid w:val="00555E95"/>
    <w:rsid w:val="00556699"/>
    <w:rsid w:val="00556993"/>
    <w:rsid w:val="005578AF"/>
    <w:rsid w:val="0056058C"/>
    <w:rsid w:val="005607E9"/>
    <w:rsid w:val="0056110F"/>
    <w:rsid w:val="0056242A"/>
    <w:rsid w:val="0056265B"/>
    <w:rsid w:val="00562E1B"/>
    <w:rsid w:val="00562EA0"/>
    <w:rsid w:val="00563019"/>
    <w:rsid w:val="005636EC"/>
    <w:rsid w:val="00563B74"/>
    <w:rsid w:val="005643BC"/>
    <w:rsid w:val="005648C4"/>
    <w:rsid w:val="00564D02"/>
    <w:rsid w:val="005651B9"/>
    <w:rsid w:val="00565592"/>
    <w:rsid w:val="005657F1"/>
    <w:rsid w:val="00565C95"/>
    <w:rsid w:val="005664A9"/>
    <w:rsid w:val="005674D4"/>
    <w:rsid w:val="00570291"/>
    <w:rsid w:val="00571B34"/>
    <w:rsid w:val="00571CCC"/>
    <w:rsid w:val="0057258D"/>
    <w:rsid w:val="00572627"/>
    <w:rsid w:val="00572B82"/>
    <w:rsid w:val="0057314A"/>
    <w:rsid w:val="005732B8"/>
    <w:rsid w:val="0057335E"/>
    <w:rsid w:val="00573B35"/>
    <w:rsid w:val="00573C82"/>
    <w:rsid w:val="00574AFF"/>
    <w:rsid w:val="00574E50"/>
    <w:rsid w:val="00575008"/>
    <w:rsid w:val="0057525B"/>
    <w:rsid w:val="00575419"/>
    <w:rsid w:val="00575654"/>
    <w:rsid w:val="005758A6"/>
    <w:rsid w:val="00575C60"/>
    <w:rsid w:val="00575DF8"/>
    <w:rsid w:val="00577668"/>
    <w:rsid w:val="00577EF8"/>
    <w:rsid w:val="005804C6"/>
    <w:rsid w:val="00580E02"/>
    <w:rsid w:val="00580E3B"/>
    <w:rsid w:val="00580E76"/>
    <w:rsid w:val="00581D17"/>
    <w:rsid w:val="00581E42"/>
    <w:rsid w:val="00581E8A"/>
    <w:rsid w:val="00582578"/>
    <w:rsid w:val="00583004"/>
    <w:rsid w:val="0058318B"/>
    <w:rsid w:val="0058324B"/>
    <w:rsid w:val="00583371"/>
    <w:rsid w:val="00584D8C"/>
    <w:rsid w:val="00585486"/>
    <w:rsid w:val="00585974"/>
    <w:rsid w:val="00585F9B"/>
    <w:rsid w:val="0058646E"/>
    <w:rsid w:val="005871B3"/>
    <w:rsid w:val="00587507"/>
    <w:rsid w:val="00587858"/>
    <w:rsid w:val="00590CC2"/>
    <w:rsid w:val="00591464"/>
    <w:rsid w:val="00591551"/>
    <w:rsid w:val="00592B1A"/>
    <w:rsid w:val="00592B6F"/>
    <w:rsid w:val="00592EB1"/>
    <w:rsid w:val="00592EFC"/>
    <w:rsid w:val="005930CE"/>
    <w:rsid w:val="00593140"/>
    <w:rsid w:val="005935FC"/>
    <w:rsid w:val="00594916"/>
    <w:rsid w:val="00594E96"/>
    <w:rsid w:val="00594F28"/>
    <w:rsid w:val="00595B4C"/>
    <w:rsid w:val="005969B7"/>
    <w:rsid w:val="00596A31"/>
    <w:rsid w:val="00596A52"/>
    <w:rsid w:val="005972E0"/>
    <w:rsid w:val="00597C8C"/>
    <w:rsid w:val="005A03F0"/>
    <w:rsid w:val="005A1614"/>
    <w:rsid w:val="005A23EB"/>
    <w:rsid w:val="005A33AC"/>
    <w:rsid w:val="005A4349"/>
    <w:rsid w:val="005A471B"/>
    <w:rsid w:val="005A4FDF"/>
    <w:rsid w:val="005A54CA"/>
    <w:rsid w:val="005A5A87"/>
    <w:rsid w:val="005A7D42"/>
    <w:rsid w:val="005B0577"/>
    <w:rsid w:val="005B17C0"/>
    <w:rsid w:val="005B203B"/>
    <w:rsid w:val="005B2071"/>
    <w:rsid w:val="005B2315"/>
    <w:rsid w:val="005B2499"/>
    <w:rsid w:val="005B25F1"/>
    <w:rsid w:val="005B2712"/>
    <w:rsid w:val="005B2ECB"/>
    <w:rsid w:val="005B333B"/>
    <w:rsid w:val="005B358C"/>
    <w:rsid w:val="005B3D99"/>
    <w:rsid w:val="005B4516"/>
    <w:rsid w:val="005B464D"/>
    <w:rsid w:val="005B47E5"/>
    <w:rsid w:val="005B49DF"/>
    <w:rsid w:val="005B5DD2"/>
    <w:rsid w:val="005B603F"/>
    <w:rsid w:val="005B637C"/>
    <w:rsid w:val="005B7128"/>
    <w:rsid w:val="005B7BDA"/>
    <w:rsid w:val="005B7E1A"/>
    <w:rsid w:val="005C056E"/>
    <w:rsid w:val="005C09A2"/>
    <w:rsid w:val="005C09AF"/>
    <w:rsid w:val="005C0C20"/>
    <w:rsid w:val="005C1316"/>
    <w:rsid w:val="005C1B4F"/>
    <w:rsid w:val="005C2510"/>
    <w:rsid w:val="005C2CEE"/>
    <w:rsid w:val="005C2FAB"/>
    <w:rsid w:val="005C36A5"/>
    <w:rsid w:val="005C3B88"/>
    <w:rsid w:val="005C44D4"/>
    <w:rsid w:val="005C62E4"/>
    <w:rsid w:val="005C6443"/>
    <w:rsid w:val="005C7351"/>
    <w:rsid w:val="005C7408"/>
    <w:rsid w:val="005C7B91"/>
    <w:rsid w:val="005C7CDE"/>
    <w:rsid w:val="005D07B1"/>
    <w:rsid w:val="005D0AA9"/>
    <w:rsid w:val="005D0B8D"/>
    <w:rsid w:val="005D0D4E"/>
    <w:rsid w:val="005D0DDD"/>
    <w:rsid w:val="005D1005"/>
    <w:rsid w:val="005D137B"/>
    <w:rsid w:val="005D15A0"/>
    <w:rsid w:val="005D17B9"/>
    <w:rsid w:val="005D19EB"/>
    <w:rsid w:val="005D1B02"/>
    <w:rsid w:val="005D2C56"/>
    <w:rsid w:val="005D396C"/>
    <w:rsid w:val="005D3E01"/>
    <w:rsid w:val="005D4281"/>
    <w:rsid w:val="005D4691"/>
    <w:rsid w:val="005D5053"/>
    <w:rsid w:val="005D5592"/>
    <w:rsid w:val="005D5BEB"/>
    <w:rsid w:val="005D63E5"/>
    <w:rsid w:val="005D6439"/>
    <w:rsid w:val="005D6934"/>
    <w:rsid w:val="005D7A36"/>
    <w:rsid w:val="005E058E"/>
    <w:rsid w:val="005E2D15"/>
    <w:rsid w:val="005E3219"/>
    <w:rsid w:val="005E32D8"/>
    <w:rsid w:val="005E38E8"/>
    <w:rsid w:val="005E3952"/>
    <w:rsid w:val="005E3D7F"/>
    <w:rsid w:val="005E40F6"/>
    <w:rsid w:val="005E445D"/>
    <w:rsid w:val="005E4639"/>
    <w:rsid w:val="005E46DE"/>
    <w:rsid w:val="005E490B"/>
    <w:rsid w:val="005E5012"/>
    <w:rsid w:val="005E5027"/>
    <w:rsid w:val="005E5137"/>
    <w:rsid w:val="005E5DAE"/>
    <w:rsid w:val="005E5F48"/>
    <w:rsid w:val="005E64B0"/>
    <w:rsid w:val="005E65A7"/>
    <w:rsid w:val="005E670E"/>
    <w:rsid w:val="005E6C82"/>
    <w:rsid w:val="005E6C9C"/>
    <w:rsid w:val="005E7014"/>
    <w:rsid w:val="005E78D8"/>
    <w:rsid w:val="005E7B43"/>
    <w:rsid w:val="005E7BD4"/>
    <w:rsid w:val="005E7DFC"/>
    <w:rsid w:val="005F02C3"/>
    <w:rsid w:val="005F065E"/>
    <w:rsid w:val="005F0B8F"/>
    <w:rsid w:val="005F0BB9"/>
    <w:rsid w:val="005F0C4E"/>
    <w:rsid w:val="005F1273"/>
    <w:rsid w:val="005F1B0A"/>
    <w:rsid w:val="005F3023"/>
    <w:rsid w:val="005F3808"/>
    <w:rsid w:val="005F4226"/>
    <w:rsid w:val="005F7210"/>
    <w:rsid w:val="005F77CA"/>
    <w:rsid w:val="005F7990"/>
    <w:rsid w:val="005F7CF5"/>
    <w:rsid w:val="005F7FF8"/>
    <w:rsid w:val="006000EB"/>
    <w:rsid w:val="00600791"/>
    <w:rsid w:val="00600E9F"/>
    <w:rsid w:val="00601019"/>
    <w:rsid w:val="00601106"/>
    <w:rsid w:val="006011E6"/>
    <w:rsid w:val="00601749"/>
    <w:rsid w:val="00601B77"/>
    <w:rsid w:val="00601B92"/>
    <w:rsid w:val="00601BC7"/>
    <w:rsid w:val="006022EA"/>
    <w:rsid w:val="00602BC4"/>
    <w:rsid w:val="00602F29"/>
    <w:rsid w:val="00603505"/>
    <w:rsid w:val="006035B2"/>
    <w:rsid w:val="00604C19"/>
    <w:rsid w:val="00604EA6"/>
    <w:rsid w:val="006059FC"/>
    <w:rsid w:val="00605A6B"/>
    <w:rsid w:val="00605DB0"/>
    <w:rsid w:val="00606142"/>
    <w:rsid w:val="00606276"/>
    <w:rsid w:val="0060708F"/>
    <w:rsid w:val="006074D7"/>
    <w:rsid w:val="00607733"/>
    <w:rsid w:val="00607901"/>
    <w:rsid w:val="006079B8"/>
    <w:rsid w:val="00607F30"/>
    <w:rsid w:val="006101BC"/>
    <w:rsid w:val="006101FA"/>
    <w:rsid w:val="00610DD6"/>
    <w:rsid w:val="0061120F"/>
    <w:rsid w:val="00611352"/>
    <w:rsid w:val="00612D10"/>
    <w:rsid w:val="006130CB"/>
    <w:rsid w:val="006131E9"/>
    <w:rsid w:val="006137CC"/>
    <w:rsid w:val="00613B75"/>
    <w:rsid w:val="00613F35"/>
    <w:rsid w:val="00614030"/>
    <w:rsid w:val="00614E58"/>
    <w:rsid w:val="0061500C"/>
    <w:rsid w:val="0061521D"/>
    <w:rsid w:val="00615290"/>
    <w:rsid w:val="00615D95"/>
    <w:rsid w:val="006166BA"/>
    <w:rsid w:val="006169BA"/>
    <w:rsid w:val="00617F8A"/>
    <w:rsid w:val="006203C9"/>
    <w:rsid w:val="0062087B"/>
    <w:rsid w:val="00620D15"/>
    <w:rsid w:val="00620EAC"/>
    <w:rsid w:val="00621A95"/>
    <w:rsid w:val="00621BF8"/>
    <w:rsid w:val="0062202F"/>
    <w:rsid w:val="006224B2"/>
    <w:rsid w:val="00622DED"/>
    <w:rsid w:val="006246F0"/>
    <w:rsid w:val="00624710"/>
    <w:rsid w:val="00624BCB"/>
    <w:rsid w:val="006258A5"/>
    <w:rsid w:val="00626241"/>
    <w:rsid w:val="006262E5"/>
    <w:rsid w:val="00626506"/>
    <w:rsid w:val="00627153"/>
    <w:rsid w:val="00627645"/>
    <w:rsid w:val="00630819"/>
    <w:rsid w:val="00630A4B"/>
    <w:rsid w:val="00631279"/>
    <w:rsid w:val="006315CE"/>
    <w:rsid w:val="0063163E"/>
    <w:rsid w:val="00631B54"/>
    <w:rsid w:val="006320C7"/>
    <w:rsid w:val="00632CD7"/>
    <w:rsid w:val="006338FE"/>
    <w:rsid w:val="00633A30"/>
    <w:rsid w:val="00633F01"/>
    <w:rsid w:val="006340E1"/>
    <w:rsid w:val="0063442B"/>
    <w:rsid w:val="006346B2"/>
    <w:rsid w:val="00634A86"/>
    <w:rsid w:val="0063675B"/>
    <w:rsid w:val="00637158"/>
    <w:rsid w:val="006378A8"/>
    <w:rsid w:val="00637C0E"/>
    <w:rsid w:val="00640916"/>
    <w:rsid w:val="0064179E"/>
    <w:rsid w:val="00641A59"/>
    <w:rsid w:val="00641CD2"/>
    <w:rsid w:val="00641EC6"/>
    <w:rsid w:val="00641F21"/>
    <w:rsid w:val="00642026"/>
    <w:rsid w:val="00642299"/>
    <w:rsid w:val="0064239E"/>
    <w:rsid w:val="006429CA"/>
    <w:rsid w:val="00642D78"/>
    <w:rsid w:val="00643C39"/>
    <w:rsid w:val="00643D34"/>
    <w:rsid w:val="00643FA8"/>
    <w:rsid w:val="00644219"/>
    <w:rsid w:val="00644378"/>
    <w:rsid w:val="0064439C"/>
    <w:rsid w:val="0064487D"/>
    <w:rsid w:val="00644F6A"/>
    <w:rsid w:val="00644FDC"/>
    <w:rsid w:val="006450D5"/>
    <w:rsid w:val="006450E7"/>
    <w:rsid w:val="00645469"/>
    <w:rsid w:val="006459C3"/>
    <w:rsid w:val="00645AE6"/>
    <w:rsid w:val="0064683B"/>
    <w:rsid w:val="00646A05"/>
    <w:rsid w:val="00646F3C"/>
    <w:rsid w:val="0064722D"/>
    <w:rsid w:val="00647BED"/>
    <w:rsid w:val="00650957"/>
    <w:rsid w:val="00650972"/>
    <w:rsid w:val="00650D0A"/>
    <w:rsid w:val="00650DF6"/>
    <w:rsid w:val="006512AC"/>
    <w:rsid w:val="0065143C"/>
    <w:rsid w:val="00651BF4"/>
    <w:rsid w:val="00651F3A"/>
    <w:rsid w:val="006522FB"/>
    <w:rsid w:val="00652330"/>
    <w:rsid w:val="00652390"/>
    <w:rsid w:val="006529B4"/>
    <w:rsid w:val="00653EF7"/>
    <w:rsid w:val="006540AA"/>
    <w:rsid w:val="006553E6"/>
    <w:rsid w:val="006557F3"/>
    <w:rsid w:val="00655E93"/>
    <w:rsid w:val="0065612E"/>
    <w:rsid w:val="006561AF"/>
    <w:rsid w:val="00656460"/>
    <w:rsid w:val="00656540"/>
    <w:rsid w:val="00656A0F"/>
    <w:rsid w:val="00656CB7"/>
    <w:rsid w:val="00656E98"/>
    <w:rsid w:val="0065700B"/>
    <w:rsid w:val="006574BD"/>
    <w:rsid w:val="0066001F"/>
    <w:rsid w:val="006607A6"/>
    <w:rsid w:val="006607D7"/>
    <w:rsid w:val="00660BA9"/>
    <w:rsid w:val="00660FC3"/>
    <w:rsid w:val="00661545"/>
    <w:rsid w:val="00662945"/>
    <w:rsid w:val="0066340D"/>
    <w:rsid w:val="006634B2"/>
    <w:rsid w:val="006634B9"/>
    <w:rsid w:val="00663EC7"/>
    <w:rsid w:val="00664F6C"/>
    <w:rsid w:val="00665257"/>
    <w:rsid w:val="006652E4"/>
    <w:rsid w:val="00665549"/>
    <w:rsid w:val="0066657E"/>
    <w:rsid w:val="00666A59"/>
    <w:rsid w:val="00666B27"/>
    <w:rsid w:val="00666C58"/>
    <w:rsid w:val="00666F74"/>
    <w:rsid w:val="00666F7B"/>
    <w:rsid w:val="006679D5"/>
    <w:rsid w:val="00667E16"/>
    <w:rsid w:val="00670414"/>
    <w:rsid w:val="0067241F"/>
    <w:rsid w:val="00672534"/>
    <w:rsid w:val="0067324D"/>
    <w:rsid w:val="00673F1B"/>
    <w:rsid w:val="006744F6"/>
    <w:rsid w:val="0067457B"/>
    <w:rsid w:val="0067474A"/>
    <w:rsid w:val="00674AA0"/>
    <w:rsid w:val="00674E8E"/>
    <w:rsid w:val="006751A9"/>
    <w:rsid w:val="006753D4"/>
    <w:rsid w:val="006754D6"/>
    <w:rsid w:val="006755E1"/>
    <w:rsid w:val="00675FF4"/>
    <w:rsid w:val="00676759"/>
    <w:rsid w:val="00676B72"/>
    <w:rsid w:val="00676F3B"/>
    <w:rsid w:val="00676FC3"/>
    <w:rsid w:val="0067723B"/>
    <w:rsid w:val="006800A6"/>
    <w:rsid w:val="0068045B"/>
    <w:rsid w:val="00680A0E"/>
    <w:rsid w:val="00680F0C"/>
    <w:rsid w:val="00681121"/>
    <w:rsid w:val="00681B7D"/>
    <w:rsid w:val="00681DBF"/>
    <w:rsid w:val="0068297C"/>
    <w:rsid w:val="0068385F"/>
    <w:rsid w:val="00684A45"/>
    <w:rsid w:val="00684A7F"/>
    <w:rsid w:val="00685053"/>
    <w:rsid w:val="0068507D"/>
    <w:rsid w:val="0068520A"/>
    <w:rsid w:val="006863F6"/>
    <w:rsid w:val="0068768C"/>
    <w:rsid w:val="00687992"/>
    <w:rsid w:val="00687F9D"/>
    <w:rsid w:val="00690995"/>
    <w:rsid w:val="00690C43"/>
    <w:rsid w:val="00691BCA"/>
    <w:rsid w:val="00691E25"/>
    <w:rsid w:val="0069219E"/>
    <w:rsid w:val="00692CA9"/>
    <w:rsid w:val="0069371C"/>
    <w:rsid w:val="006937BB"/>
    <w:rsid w:val="006939D8"/>
    <w:rsid w:val="00693A25"/>
    <w:rsid w:val="00693BFA"/>
    <w:rsid w:val="00693F44"/>
    <w:rsid w:val="006940F2"/>
    <w:rsid w:val="006944F8"/>
    <w:rsid w:val="00694E0D"/>
    <w:rsid w:val="00695C1C"/>
    <w:rsid w:val="00696305"/>
    <w:rsid w:val="00696FC8"/>
    <w:rsid w:val="00697516"/>
    <w:rsid w:val="00697BD7"/>
    <w:rsid w:val="006A066D"/>
    <w:rsid w:val="006A0E20"/>
    <w:rsid w:val="006A1402"/>
    <w:rsid w:val="006A2667"/>
    <w:rsid w:val="006A289F"/>
    <w:rsid w:val="006A2A84"/>
    <w:rsid w:val="006A2F73"/>
    <w:rsid w:val="006A31E7"/>
    <w:rsid w:val="006A32B7"/>
    <w:rsid w:val="006A44DB"/>
    <w:rsid w:val="006A5462"/>
    <w:rsid w:val="006A61AE"/>
    <w:rsid w:val="006A671E"/>
    <w:rsid w:val="006A72C8"/>
    <w:rsid w:val="006B11EA"/>
    <w:rsid w:val="006B1983"/>
    <w:rsid w:val="006B22ED"/>
    <w:rsid w:val="006B23C9"/>
    <w:rsid w:val="006B2736"/>
    <w:rsid w:val="006B2A3B"/>
    <w:rsid w:val="006B3414"/>
    <w:rsid w:val="006B35E9"/>
    <w:rsid w:val="006B3BC2"/>
    <w:rsid w:val="006B570B"/>
    <w:rsid w:val="006B5E45"/>
    <w:rsid w:val="006B5F7D"/>
    <w:rsid w:val="006B602F"/>
    <w:rsid w:val="006B6084"/>
    <w:rsid w:val="006B686E"/>
    <w:rsid w:val="006B7600"/>
    <w:rsid w:val="006B7F62"/>
    <w:rsid w:val="006C0D46"/>
    <w:rsid w:val="006C19F6"/>
    <w:rsid w:val="006C1A72"/>
    <w:rsid w:val="006C1BF6"/>
    <w:rsid w:val="006C1ECF"/>
    <w:rsid w:val="006C25F2"/>
    <w:rsid w:val="006C2FA6"/>
    <w:rsid w:val="006C3042"/>
    <w:rsid w:val="006C3154"/>
    <w:rsid w:val="006C3A4A"/>
    <w:rsid w:val="006C3CBA"/>
    <w:rsid w:val="006C43E8"/>
    <w:rsid w:val="006C52A1"/>
    <w:rsid w:val="006C5B9E"/>
    <w:rsid w:val="006C6AD7"/>
    <w:rsid w:val="006C6F4B"/>
    <w:rsid w:val="006C7539"/>
    <w:rsid w:val="006C7739"/>
    <w:rsid w:val="006C779B"/>
    <w:rsid w:val="006C7EB9"/>
    <w:rsid w:val="006D018E"/>
    <w:rsid w:val="006D0449"/>
    <w:rsid w:val="006D08E7"/>
    <w:rsid w:val="006D09F9"/>
    <w:rsid w:val="006D0A4D"/>
    <w:rsid w:val="006D241C"/>
    <w:rsid w:val="006D2C54"/>
    <w:rsid w:val="006D2D07"/>
    <w:rsid w:val="006D31AF"/>
    <w:rsid w:val="006D3CD2"/>
    <w:rsid w:val="006D44B2"/>
    <w:rsid w:val="006D4DC8"/>
    <w:rsid w:val="006D55F3"/>
    <w:rsid w:val="006D59BB"/>
    <w:rsid w:val="006D5F18"/>
    <w:rsid w:val="006D6A0D"/>
    <w:rsid w:val="006D6E67"/>
    <w:rsid w:val="006D6FFE"/>
    <w:rsid w:val="006D7507"/>
    <w:rsid w:val="006D7676"/>
    <w:rsid w:val="006D77A4"/>
    <w:rsid w:val="006E0936"/>
    <w:rsid w:val="006E09A7"/>
    <w:rsid w:val="006E0E31"/>
    <w:rsid w:val="006E15C2"/>
    <w:rsid w:val="006E1769"/>
    <w:rsid w:val="006E1F37"/>
    <w:rsid w:val="006E1F5C"/>
    <w:rsid w:val="006E1F77"/>
    <w:rsid w:val="006E21BE"/>
    <w:rsid w:val="006E2271"/>
    <w:rsid w:val="006E27DC"/>
    <w:rsid w:val="006E3C14"/>
    <w:rsid w:val="006E62C1"/>
    <w:rsid w:val="006E671D"/>
    <w:rsid w:val="006E6786"/>
    <w:rsid w:val="006E69DF"/>
    <w:rsid w:val="006E6B25"/>
    <w:rsid w:val="006E6BD4"/>
    <w:rsid w:val="006E7E75"/>
    <w:rsid w:val="006F0986"/>
    <w:rsid w:val="006F10F5"/>
    <w:rsid w:val="006F1797"/>
    <w:rsid w:val="006F182E"/>
    <w:rsid w:val="006F1DE4"/>
    <w:rsid w:val="006F3428"/>
    <w:rsid w:val="006F3616"/>
    <w:rsid w:val="006F3A5D"/>
    <w:rsid w:val="006F40F7"/>
    <w:rsid w:val="006F4405"/>
    <w:rsid w:val="006F4C7F"/>
    <w:rsid w:val="006F5294"/>
    <w:rsid w:val="006F52B8"/>
    <w:rsid w:val="006F5A3D"/>
    <w:rsid w:val="006F62D6"/>
    <w:rsid w:val="006F641D"/>
    <w:rsid w:val="006F6B6B"/>
    <w:rsid w:val="006F7428"/>
    <w:rsid w:val="00700AD2"/>
    <w:rsid w:val="007011FA"/>
    <w:rsid w:val="007012C7"/>
    <w:rsid w:val="00702201"/>
    <w:rsid w:val="0070220B"/>
    <w:rsid w:val="00702217"/>
    <w:rsid w:val="00702A3F"/>
    <w:rsid w:val="00703EF3"/>
    <w:rsid w:val="00703FD5"/>
    <w:rsid w:val="0070406F"/>
    <w:rsid w:val="007042F6"/>
    <w:rsid w:val="00704A5F"/>
    <w:rsid w:val="00704BE2"/>
    <w:rsid w:val="00704BFC"/>
    <w:rsid w:val="00704C98"/>
    <w:rsid w:val="00705368"/>
    <w:rsid w:val="0070587A"/>
    <w:rsid w:val="007060D6"/>
    <w:rsid w:val="00706747"/>
    <w:rsid w:val="00707C22"/>
    <w:rsid w:val="00710086"/>
    <w:rsid w:val="007102E0"/>
    <w:rsid w:val="00710A6B"/>
    <w:rsid w:val="007122E8"/>
    <w:rsid w:val="00712852"/>
    <w:rsid w:val="00712CA5"/>
    <w:rsid w:val="007131B9"/>
    <w:rsid w:val="00713B8D"/>
    <w:rsid w:val="00714988"/>
    <w:rsid w:val="007152C0"/>
    <w:rsid w:val="00715690"/>
    <w:rsid w:val="00716051"/>
    <w:rsid w:val="00716E15"/>
    <w:rsid w:val="007175A0"/>
    <w:rsid w:val="0071787D"/>
    <w:rsid w:val="007179FE"/>
    <w:rsid w:val="00720EF9"/>
    <w:rsid w:val="00721FC7"/>
    <w:rsid w:val="00721FFA"/>
    <w:rsid w:val="007225B8"/>
    <w:rsid w:val="007237B0"/>
    <w:rsid w:val="007246B9"/>
    <w:rsid w:val="00724D24"/>
    <w:rsid w:val="00724D66"/>
    <w:rsid w:val="007251C3"/>
    <w:rsid w:val="00725FE1"/>
    <w:rsid w:val="00727109"/>
    <w:rsid w:val="00727331"/>
    <w:rsid w:val="00727CAB"/>
    <w:rsid w:val="00730055"/>
    <w:rsid w:val="00730367"/>
    <w:rsid w:val="00730369"/>
    <w:rsid w:val="00730FFE"/>
    <w:rsid w:val="007310BA"/>
    <w:rsid w:val="00731CE8"/>
    <w:rsid w:val="00732830"/>
    <w:rsid w:val="007334F9"/>
    <w:rsid w:val="00733E12"/>
    <w:rsid w:val="00734F03"/>
    <w:rsid w:val="00735512"/>
    <w:rsid w:val="00735D6F"/>
    <w:rsid w:val="00736DD6"/>
    <w:rsid w:val="0074097E"/>
    <w:rsid w:val="0074278D"/>
    <w:rsid w:val="00742D4F"/>
    <w:rsid w:val="00742E36"/>
    <w:rsid w:val="00743235"/>
    <w:rsid w:val="007433D3"/>
    <w:rsid w:val="007434C0"/>
    <w:rsid w:val="0074350A"/>
    <w:rsid w:val="00743A0E"/>
    <w:rsid w:val="00743D48"/>
    <w:rsid w:val="00744136"/>
    <w:rsid w:val="00744567"/>
    <w:rsid w:val="0074474C"/>
    <w:rsid w:val="0074561D"/>
    <w:rsid w:val="00745800"/>
    <w:rsid w:val="00745FC3"/>
    <w:rsid w:val="007462E9"/>
    <w:rsid w:val="00746821"/>
    <w:rsid w:val="00746A88"/>
    <w:rsid w:val="00747569"/>
    <w:rsid w:val="00747E36"/>
    <w:rsid w:val="007500F2"/>
    <w:rsid w:val="00750171"/>
    <w:rsid w:val="0075022B"/>
    <w:rsid w:val="00750252"/>
    <w:rsid w:val="00750B19"/>
    <w:rsid w:val="00750C4F"/>
    <w:rsid w:val="00750CF7"/>
    <w:rsid w:val="00750E23"/>
    <w:rsid w:val="00751710"/>
    <w:rsid w:val="0075199D"/>
    <w:rsid w:val="00751D3E"/>
    <w:rsid w:val="007524CC"/>
    <w:rsid w:val="0075254A"/>
    <w:rsid w:val="00752BDD"/>
    <w:rsid w:val="007538B8"/>
    <w:rsid w:val="00754E72"/>
    <w:rsid w:val="00754FE0"/>
    <w:rsid w:val="00755F09"/>
    <w:rsid w:val="00755F11"/>
    <w:rsid w:val="007568EB"/>
    <w:rsid w:val="00756E57"/>
    <w:rsid w:val="007579F0"/>
    <w:rsid w:val="00757C0F"/>
    <w:rsid w:val="00757EE3"/>
    <w:rsid w:val="00760638"/>
    <w:rsid w:val="0076147B"/>
    <w:rsid w:val="00761A82"/>
    <w:rsid w:val="00762019"/>
    <w:rsid w:val="007628C1"/>
    <w:rsid w:val="007628F6"/>
    <w:rsid w:val="00762E5B"/>
    <w:rsid w:val="007630C7"/>
    <w:rsid w:val="007631C1"/>
    <w:rsid w:val="007635CC"/>
    <w:rsid w:val="00763763"/>
    <w:rsid w:val="00763808"/>
    <w:rsid w:val="00763FD2"/>
    <w:rsid w:val="00765011"/>
    <w:rsid w:val="00765265"/>
    <w:rsid w:val="0076553C"/>
    <w:rsid w:val="00765737"/>
    <w:rsid w:val="0076682C"/>
    <w:rsid w:val="007676CA"/>
    <w:rsid w:val="00767B4B"/>
    <w:rsid w:val="00767BA6"/>
    <w:rsid w:val="00770194"/>
    <w:rsid w:val="007707C1"/>
    <w:rsid w:val="00770999"/>
    <w:rsid w:val="007719BD"/>
    <w:rsid w:val="00771A0F"/>
    <w:rsid w:val="007721EC"/>
    <w:rsid w:val="0077240C"/>
    <w:rsid w:val="00772763"/>
    <w:rsid w:val="007730FC"/>
    <w:rsid w:val="00773B39"/>
    <w:rsid w:val="00773E43"/>
    <w:rsid w:val="00773ECE"/>
    <w:rsid w:val="007807D5"/>
    <w:rsid w:val="007812E9"/>
    <w:rsid w:val="00781BDE"/>
    <w:rsid w:val="00781C0D"/>
    <w:rsid w:val="00781FF4"/>
    <w:rsid w:val="007821FA"/>
    <w:rsid w:val="007828ED"/>
    <w:rsid w:val="007844B1"/>
    <w:rsid w:val="007849E3"/>
    <w:rsid w:val="00785213"/>
    <w:rsid w:val="007859E7"/>
    <w:rsid w:val="00785C35"/>
    <w:rsid w:val="00785E9D"/>
    <w:rsid w:val="00785F3D"/>
    <w:rsid w:val="00785FC9"/>
    <w:rsid w:val="007863CD"/>
    <w:rsid w:val="00786F41"/>
    <w:rsid w:val="0078712B"/>
    <w:rsid w:val="007871F9"/>
    <w:rsid w:val="00787E39"/>
    <w:rsid w:val="0079121D"/>
    <w:rsid w:val="007916DF"/>
    <w:rsid w:val="007928E5"/>
    <w:rsid w:val="00793111"/>
    <w:rsid w:val="00793604"/>
    <w:rsid w:val="00793869"/>
    <w:rsid w:val="0079633A"/>
    <w:rsid w:val="007964FC"/>
    <w:rsid w:val="00796886"/>
    <w:rsid w:val="00796A21"/>
    <w:rsid w:val="00797037"/>
    <w:rsid w:val="00797C75"/>
    <w:rsid w:val="007A0BCA"/>
    <w:rsid w:val="007A0C0C"/>
    <w:rsid w:val="007A0D77"/>
    <w:rsid w:val="007A12FC"/>
    <w:rsid w:val="007A1508"/>
    <w:rsid w:val="007A1C09"/>
    <w:rsid w:val="007A1DE7"/>
    <w:rsid w:val="007A1F0A"/>
    <w:rsid w:val="007A2343"/>
    <w:rsid w:val="007A23B3"/>
    <w:rsid w:val="007A2BB9"/>
    <w:rsid w:val="007A353B"/>
    <w:rsid w:val="007A43C5"/>
    <w:rsid w:val="007A4F21"/>
    <w:rsid w:val="007A5585"/>
    <w:rsid w:val="007A5766"/>
    <w:rsid w:val="007A5A4F"/>
    <w:rsid w:val="007A6612"/>
    <w:rsid w:val="007A66EF"/>
    <w:rsid w:val="007A6997"/>
    <w:rsid w:val="007A716D"/>
    <w:rsid w:val="007B0C76"/>
    <w:rsid w:val="007B107B"/>
    <w:rsid w:val="007B1196"/>
    <w:rsid w:val="007B11CE"/>
    <w:rsid w:val="007B1292"/>
    <w:rsid w:val="007B141F"/>
    <w:rsid w:val="007B14D2"/>
    <w:rsid w:val="007B19C5"/>
    <w:rsid w:val="007B1DB9"/>
    <w:rsid w:val="007B2D78"/>
    <w:rsid w:val="007B322F"/>
    <w:rsid w:val="007B3741"/>
    <w:rsid w:val="007B3C5C"/>
    <w:rsid w:val="007B4214"/>
    <w:rsid w:val="007B48D1"/>
    <w:rsid w:val="007B4DE9"/>
    <w:rsid w:val="007B56E5"/>
    <w:rsid w:val="007B5D4F"/>
    <w:rsid w:val="007B609B"/>
    <w:rsid w:val="007B6928"/>
    <w:rsid w:val="007B6964"/>
    <w:rsid w:val="007B6F56"/>
    <w:rsid w:val="007B7AFA"/>
    <w:rsid w:val="007B7B63"/>
    <w:rsid w:val="007C0427"/>
    <w:rsid w:val="007C0929"/>
    <w:rsid w:val="007C0CD9"/>
    <w:rsid w:val="007C1743"/>
    <w:rsid w:val="007C1BBE"/>
    <w:rsid w:val="007C208B"/>
    <w:rsid w:val="007C256D"/>
    <w:rsid w:val="007C27A5"/>
    <w:rsid w:val="007C3858"/>
    <w:rsid w:val="007C3D86"/>
    <w:rsid w:val="007C49DA"/>
    <w:rsid w:val="007C4C1C"/>
    <w:rsid w:val="007C5224"/>
    <w:rsid w:val="007C5435"/>
    <w:rsid w:val="007C5456"/>
    <w:rsid w:val="007C5F74"/>
    <w:rsid w:val="007C6470"/>
    <w:rsid w:val="007C6725"/>
    <w:rsid w:val="007C6DB8"/>
    <w:rsid w:val="007C7DE5"/>
    <w:rsid w:val="007D04B4"/>
    <w:rsid w:val="007D0EAE"/>
    <w:rsid w:val="007D2589"/>
    <w:rsid w:val="007D2F30"/>
    <w:rsid w:val="007D349C"/>
    <w:rsid w:val="007D46C9"/>
    <w:rsid w:val="007D4DA1"/>
    <w:rsid w:val="007D5F55"/>
    <w:rsid w:val="007D670E"/>
    <w:rsid w:val="007D699A"/>
    <w:rsid w:val="007D7217"/>
    <w:rsid w:val="007D784C"/>
    <w:rsid w:val="007D7A22"/>
    <w:rsid w:val="007D7AEE"/>
    <w:rsid w:val="007E0403"/>
    <w:rsid w:val="007E06AD"/>
    <w:rsid w:val="007E0D46"/>
    <w:rsid w:val="007E19B2"/>
    <w:rsid w:val="007E1CC7"/>
    <w:rsid w:val="007E3A2E"/>
    <w:rsid w:val="007E3B02"/>
    <w:rsid w:val="007E3F97"/>
    <w:rsid w:val="007E42EB"/>
    <w:rsid w:val="007E4D01"/>
    <w:rsid w:val="007E517A"/>
    <w:rsid w:val="007E5233"/>
    <w:rsid w:val="007E553C"/>
    <w:rsid w:val="007E55CF"/>
    <w:rsid w:val="007E568A"/>
    <w:rsid w:val="007E5752"/>
    <w:rsid w:val="007E669C"/>
    <w:rsid w:val="007E6742"/>
    <w:rsid w:val="007E6A1C"/>
    <w:rsid w:val="007E6F4B"/>
    <w:rsid w:val="007E6FAF"/>
    <w:rsid w:val="007E747A"/>
    <w:rsid w:val="007F0620"/>
    <w:rsid w:val="007F08D3"/>
    <w:rsid w:val="007F0FBC"/>
    <w:rsid w:val="007F1EB7"/>
    <w:rsid w:val="007F208F"/>
    <w:rsid w:val="007F2A94"/>
    <w:rsid w:val="007F3267"/>
    <w:rsid w:val="007F3715"/>
    <w:rsid w:val="007F3EFF"/>
    <w:rsid w:val="007F4133"/>
    <w:rsid w:val="007F4A27"/>
    <w:rsid w:val="007F4E5F"/>
    <w:rsid w:val="007F54BB"/>
    <w:rsid w:val="007F57C7"/>
    <w:rsid w:val="007F6025"/>
    <w:rsid w:val="007F6182"/>
    <w:rsid w:val="007F6938"/>
    <w:rsid w:val="007F771B"/>
    <w:rsid w:val="008006B7"/>
    <w:rsid w:val="00801F0E"/>
    <w:rsid w:val="0080201D"/>
    <w:rsid w:val="008035C5"/>
    <w:rsid w:val="00803DD9"/>
    <w:rsid w:val="00803E87"/>
    <w:rsid w:val="00803F42"/>
    <w:rsid w:val="00804C7A"/>
    <w:rsid w:val="00804CA5"/>
    <w:rsid w:val="0080528B"/>
    <w:rsid w:val="008054CD"/>
    <w:rsid w:val="00805597"/>
    <w:rsid w:val="00805DA6"/>
    <w:rsid w:val="008061EF"/>
    <w:rsid w:val="00806812"/>
    <w:rsid w:val="00807179"/>
    <w:rsid w:val="008074B0"/>
    <w:rsid w:val="00810429"/>
    <w:rsid w:val="00810B92"/>
    <w:rsid w:val="00810D9F"/>
    <w:rsid w:val="008126F2"/>
    <w:rsid w:val="00812CBE"/>
    <w:rsid w:val="008130C1"/>
    <w:rsid w:val="008132B3"/>
    <w:rsid w:val="00813905"/>
    <w:rsid w:val="00813BAF"/>
    <w:rsid w:val="00813EE6"/>
    <w:rsid w:val="00814518"/>
    <w:rsid w:val="008145EC"/>
    <w:rsid w:val="00814A0D"/>
    <w:rsid w:val="0081518F"/>
    <w:rsid w:val="008166C4"/>
    <w:rsid w:val="008169E0"/>
    <w:rsid w:val="00816F78"/>
    <w:rsid w:val="00817F42"/>
    <w:rsid w:val="00820321"/>
    <w:rsid w:val="00820612"/>
    <w:rsid w:val="00820866"/>
    <w:rsid w:val="00820BC4"/>
    <w:rsid w:val="00821A6F"/>
    <w:rsid w:val="00821D82"/>
    <w:rsid w:val="008225AB"/>
    <w:rsid w:val="0082263A"/>
    <w:rsid w:val="008230E6"/>
    <w:rsid w:val="008234DF"/>
    <w:rsid w:val="0082352F"/>
    <w:rsid w:val="008244B7"/>
    <w:rsid w:val="008248FB"/>
    <w:rsid w:val="00824DFE"/>
    <w:rsid w:val="00824EDF"/>
    <w:rsid w:val="00825CD9"/>
    <w:rsid w:val="008260F1"/>
    <w:rsid w:val="0082618F"/>
    <w:rsid w:val="00826237"/>
    <w:rsid w:val="00826630"/>
    <w:rsid w:val="0082730F"/>
    <w:rsid w:val="00827C47"/>
    <w:rsid w:val="008300D9"/>
    <w:rsid w:val="0083079A"/>
    <w:rsid w:val="00830E26"/>
    <w:rsid w:val="008313B8"/>
    <w:rsid w:val="00831940"/>
    <w:rsid w:val="0083287D"/>
    <w:rsid w:val="00833002"/>
    <w:rsid w:val="00833201"/>
    <w:rsid w:val="00833385"/>
    <w:rsid w:val="00833979"/>
    <w:rsid w:val="00834066"/>
    <w:rsid w:val="00834496"/>
    <w:rsid w:val="008349CC"/>
    <w:rsid w:val="008353ED"/>
    <w:rsid w:val="00836251"/>
    <w:rsid w:val="00836B4B"/>
    <w:rsid w:val="008405F5"/>
    <w:rsid w:val="00840623"/>
    <w:rsid w:val="008406D2"/>
    <w:rsid w:val="00840D0B"/>
    <w:rsid w:val="0084119D"/>
    <w:rsid w:val="008412A6"/>
    <w:rsid w:val="008414C3"/>
    <w:rsid w:val="008416D8"/>
    <w:rsid w:val="00842422"/>
    <w:rsid w:val="00842D6D"/>
    <w:rsid w:val="00843999"/>
    <w:rsid w:val="00843F90"/>
    <w:rsid w:val="008443F0"/>
    <w:rsid w:val="00844B05"/>
    <w:rsid w:val="00845926"/>
    <w:rsid w:val="00845E45"/>
    <w:rsid w:val="00846231"/>
    <w:rsid w:val="00847A4A"/>
    <w:rsid w:val="008501BF"/>
    <w:rsid w:val="0085032A"/>
    <w:rsid w:val="00850D98"/>
    <w:rsid w:val="00850E46"/>
    <w:rsid w:val="00851408"/>
    <w:rsid w:val="00851B15"/>
    <w:rsid w:val="0085203D"/>
    <w:rsid w:val="00852528"/>
    <w:rsid w:val="0085253A"/>
    <w:rsid w:val="00852970"/>
    <w:rsid w:val="00852F9E"/>
    <w:rsid w:val="00853038"/>
    <w:rsid w:val="00853045"/>
    <w:rsid w:val="008531A7"/>
    <w:rsid w:val="0085328F"/>
    <w:rsid w:val="00853932"/>
    <w:rsid w:val="00853AC9"/>
    <w:rsid w:val="00854058"/>
    <w:rsid w:val="00854327"/>
    <w:rsid w:val="00855653"/>
    <w:rsid w:val="00855656"/>
    <w:rsid w:val="00855A34"/>
    <w:rsid w:val="00855B5F"/>
    <w:rsid w:val="0085640F"/>
    <w:rsid w:val="008564B5"/>
    <w:rsid w:val="008565BF"/>
    <w:rsid w:val="00856ADD"/>
    <w:rsid w:val="00856C91"/>
    <w:rsid w:val="00856E72"/>
    <w:rsid w:val="008571C7"/>
    <w:rsid w:val="00857DC1"/>
    <w:rsid w:val="008604AB"/>
    <w:rsid w:val="008605BF"/>
    <w:rsid w:val="00860AEF"/>
    <w:rsid w:val="0086106F"/>
    <w:rsid w:val="00861BD7"/>
    <w:rsid w:val="00862B9F"/>
    <w:rsid w:val="00863305"/>
    <w:rsid w:val="00864068"/>
    <w:rsid w:val="00864AF5"/>
    <w:rsid w:val="00864B70"/>
    <w:rsid w:val="00866B3D"/>
    <w:rsid w:val="00866C20"/>
    <w:rsid w:val="00866C34"/>
    <w:rsid w:val="0086718F"/>
    <w:rsid w:val="00867BE7"/>
    <w:rsid w:val="00867C3A"/>
    <w:rsid w:val="00870142"/>
    <w:rsid w:val="00871107"/>
    <w:rsid w:val="00871469"/>
    <w:rsid w:val="008720AB"/>
    <w:rsid w:val="008721A5"/>
    <w:rsid w:val="00872410"/>
    <w:rsid w:val="00872F5B"/>
    <w:rsid w:val="0087370A"/>
    <w:rsid w:val="0087395E"/>
    <w:rsid w:val="00873C53"/>
    <w:rsid w:val="00873C5D"/>
    <w:rsid w:val="00873CDF"/>
    <w:rsid w:val="00873FCE"/>
    <w:rsid w:val="008749C8"/>
    <w:rsid w:val="00874F8A"/>
    <w:rsid w:val="00875068"/>
    <w:rsid w:val="00876C01"/>
    <w:rsid w:val="0087727A"/>
    <w:rsid w:val="00877576"/>
    <w:rsid w:val="00877E29"/>
    <w:rsid w:val="00880039"/>
    <w:rsid w:val="00880178"/>
    <w:rsid w:val="008802D9"/>
    <w:rsid w:val="00880852"/>
    <w:rsid w:val="008812FB"/>
    <w:rsid w:val="008814F5"/>
    <w:rsid w:val="00881904"/>
    <w:rsid w:val="008826F1"/>
    <w:rsid w:val="008834DD"/>
    <w:rsid w:val="008837ED"/>
    <w:rsid w:val="008839ED"/>
    <w:rsid w:val="00883E15"/>
    <w:rsid w:val="0088416E"/>
    <w:rsid w:val="008844AD"/>
    <w:rsid w:val="0088486C"/>
    <w:rsid w:val="00885239"/>
    <w:rsid w:val="0088654B"/>
    <w:rsid w:val="00886AFE"/>
    <w:rsid w:val="00886B71"/>
    <w:rsid w:val="00886F31"/>
    <w:rsid w:val="008872E8"/>
    <w:rsid w:val="008876EE"/>
    <w:rsid w:val="008879F1"/>
    <w:rsid w:val="00887CA9"/>
    <w:rsid w:val="008901DC"/>
    <w:rsid w:val="0089036F"/>
    <w:rsid w:val="008903DB"/>
    <w:rsid w:val="00891823"/>
    <w:rsid w:val="00891A99"/>
    <w:rsid w:val="00891E36"/>
    <w:rsid w:val="008923BE"/>
    <w:rsid w:val="00892A4E"/>
    <w:rsid w:val="00892AA9"/>
    <w:rsid w:val="00892F0D"/>
    <w:rsid w:val="00893CC7"/>
    <w:rsid w:val="008941FC"/>
    <w:rsid w:val="00895142"/>
    <w:rsid w:val="0089521C"/>
    <w:rsid w:val="0089592F"/>
    <w:rsid w:val="008960D1"/>
    <w:rsid w:val="00896904"/>
    <w:rsid w:val="008973A0"/>
    <w:rsid w:val="00897701"/>
    <w:rsid w:val="00897768"/>
    <w:rsid w:val="008A0086"/>
    <w:rsid w:val="008A0455"/>
    <w:rsid w:val="008A0CE0"/>
    <w:rsid w:val="008A28FC"/>
    <w:rsid w:val="008A3B0B"/>
    <w:rsid w:val="008A3E45"/>
    <w:rsid w:val="008A42F8"/>
    <w:rsid w:val="008A56C9"/>
    <w:rsid w:val="008A5CAC"/>
    <w:rsid w:val="008A66BE"/>
    <w:rsid w:val="008A6CDA"/>
    <w:rsid w:val="008A712B"/>
    <w:rsid w:val="008A7190"/>
    <w:rsid w:val="008A7B9C"/>
    <w:rsid w:val="008A7FBF"/>
    <w:rsid w:val="008B01FC"/>
    <w:rsid w:val="008B0412"/>
    <w:rsid w:val="008B0A86"/>
    <w:rsid w:val="008B1857"/>
    <w:rsid w:val="008B1DCB"/>
    <w:rsid w:val="008B2216"/>
    <w:rsid w:val="008B3476"/>
    <w:rsid w:val="008B35C2"/>
    <w:rsid w:val="008B3E97"/>
    <w:rsid w:val="008B3FD0"/>
    <w:rsid w:val="008B4C64"/>
    <w:rsid w:val="008B4D3F"/>
    <w:rsid w:val="008B4DE4"/>
    <w:rsid w:val="008B4FF3"/>
    <w:rsid w:val="008B5428"/>
    <w:rsid w:val="008B58C2"/>
    <w:rsid w:val="008B5BEA"/>
    <w:rsid w:val="008B6513"/>
    <w:rsid w:val="008B69F7"/>
    <w:rsid w:val="008B6D76"/>
    <w:rsid w:val="008B7166"/>
    <w:rsid w:val="008B71CC"/>
    <w:rsid w:val="008B7FBF"/>
    <w:rsid w:val="008C0074"/>
    <w:rsid w:val="008C0174"/>
    <w:rsid w:val="008C0191"/>
    <w:rsid w:val="008C0502"/>
    <w:rsid w:val="008C06F1"/>
    <w:rsid w:val="008C0F0B"/>
    <w:rsid w:val="008C16A3"/>
    <w:rsid w:val="008C194B"/>
    <w:rsid w:val="008C1C26"/>
    <w:rsid w:val="008C23C1"/>
    <w:rsid w:val="008C26FF"/>
    <w:rsid w:val="008C2F6E"/>
    <w:rsid w:val="008C306B"/>
    <w:rsid w:val="008C36BA"/>
    <w:rsid w:val="008C3747"/>
    <w:rsid w:val="008C38DA"/>
    <w:rsid w:val="008C3B17"/>
    <w:rsid w:val="008C4423"/>
    <w:rsid w:val="008C5006"/>
    <w:rsid w:val="008C648E"/>
    <w:rsid w:val="008C680C"/>
    <w:rsid w:val="008C6CEE"/>
    <w:rsid w:val="008C743F"/>
    <w:rsid w:val="008C74C1"/>
    <w:rsid w:val="008C77EB"/>
    <w:rsid w:val="008C787A"/>
    <w:rsid w:val="008C79F7"/>
    <w:rsid w:val="008C7AAB"/>
    <w:rsid w:val="008C7CE4"/>
    <w:rsid w:val="008D0861"/>
    <w:rsid w:val="008D088E"/>
    <w:rsid w:val="008D0A8E"/>
    <w:rsid w:val="008D133D"/>
    <w:rsid w:val="008D16A6"/>
    <w:rsid w:val="008D172E"/>
    <w:rsid w:val="008D222E"/>
    <w:rsid w:val="008D35CF"/>
    <w:rsid w:val="008D41D9"/>
    <w:rsid w:val="008D42F7"/>
    <w:rsid w:val="008D4A02"/>
    <w:rsid w:val="008D51B3"/>
    <w:rsid w:val="008D52DA"/>
    <w:rsid w:val="008D5ECA"/>
    <w:rsid w:val="008D7185"/>
    <w:rsid w:val="008D7720"/>
    <w:rsid w:val="008E0052"/>
    <w:rsid w:val="008E01EB"/>
    <w:rsid w:val="008E0989"/>
    <w:rsid w:val="008E1277"/>
    <w:rsid w:val="008E17A3"/>
    <w:rsid w:val="008E18B9"/>
    <w:rsid w:val="008E193D"/>
    <w:rsid w:val="008E20B7"/>
    <w:rsid w:val="008E20BD"/>
    <w:rsid w:val="008E2878"/>
    <w:rsid w:val="008E28D0"/>
    <w:rsid w:val="008E2E49"/>
    <w:rsid w:val="008E3B2C"/>
    <w:rsid w:val="008E3F3C"/>
    <w:rsid w:val="008E4354"/>
    <w:rsid w:val="008E4E81"/>
    <w:rsid w:val="008E504A"/>
    <w:rsid w:val="008E51F2"/>
    <w:rsid w:val="008E5278"/>
    <w:rsid w:val="008E5855"/>
    <w:rsid w:val="008E6297"/>
    <w:rsid w:val="008E6B41"/>
    <w:rsid w:val="008E6C0F"/>
    <w:rsid w:val="008E6F28"/>
    <w:rsid w:val="008E76FD"/>
    <w:rsid w:val="008F097B"/>
    <w:rsid w:val="008F1D7A"/>
    <w:rsid w:val="008F28D4"/>
    <w:rsid w:val="008F2E42"/>
    <w:rsid w:val="008F4556"/>
    <w:rsid w:val="008F458F"/>
    <w:rsid w:val="008F5DCA"/>
    <w:rsid w:val="008F764C"/>
    <w:rsid w:val="008F7F23"/>
    <w:rsid w:val="00900614"/>
    <w:rsid w:val="00901419"/>
    <w:rsid w:val="00902943"/>
    <w:rsid w:val="00902C7A"/>
    <w:rsid w:val="00902FCF"/>
    <w:rsid w:val="00903313"/>
    <w:rsid w:val="00903D1D"/>
    <w:rsid w:val="00904FF0"/>
    <w:rsid w:val="009050A0"/>
    <w:rsid w:val="00905BC1"/>
    <w:rsid w:val="009067AA"/>
    <w:rsid w:val="009068D1"/>
    <w:rsid w:val="00906DC9"/>
    <w:rsid w:val="009073D7"/>
    <w:rsid w:val="00907966"/>
    <w:rsid w:val="00907C03"/>
    <w:rsid w:val="00907F4C"/>
    <w:rsid w:val="009107C3"/>
    <w:rsid w:val="00910A34"/>
    <w:rsid w:val="009118AB"/>
    <w:rsid w:val="00911B20"/>
    <w:rsid w:val="00912BD0"/>
    <w:rsid w:val="00912E1B"/>
    <w:rsid w:val="009132B2"/>
    <w:rsid w:val="009135EA"/>
    <w:rsid w:val="0091376B"/>
    <w:rsid w:val="00913875"/>
    <w:rsid w:val="00913FEB"/>
    <w:rsid w:val="00914759"/>
    <w:rsid w:val="009149B3"/>
    <w:rsid w:val="00915354"/>
    <w:rsid w:val="00915435"/>
    <w:rsid w:val="00915B63"/>
    <w:rsid w:val="00916AEA"/>
    <w:rsid w:val="00917108"/>
    <w:rsid w:val="0091729E"/>
    <w:rsid w:val="00917311"/>
    <w:rsid w:val="00917455"/>
    <w:rsid w:val="00917C11"/>
    <w:rsid w:val="00917C85"/>
    <w:rsid w:val="00917EC3"/>
    <w:rsid w:val="0092000A"/>
    <w:rsid w:val="00920930"/>
    <w:rsid w:val="00921034"/>
    <w:rsid w:val="0092156D"/>
    <w:rsid w:val="00921617"/>
    <w:rsid w:val="00921B14"/>
    <w:rsid w:val="00922301"/>
    <w:rsid w:val="00922A58"/>
    <w:rsid w:val="00922FE1"/>
    <w:rsid w:val="00923F2F"/>
    <w:rsid w:val="0092423C"/>
    <w:rsid w:val="00924585"/>
    <w:rsid w:val="00924730"/>
    <w:rsid w:val="00924846"/>
    <w:rsid w:val="009249AD"/>
    <w:rsid w:val="009249E1"/>
    <w:rsid w:val="00924E2D"/>
    <w:rsid w:val="00924EAF"/>
    <w:rsid w:val="00924ECD"/>
    <w:rsid w:val="009264FB"/>
    <w:rsid w:val="00926B50"/>
    <w:rsid w:val="0092745D"/>
    <w:rsid w:val="00927D73"/>
    <w:rsid w:val="00927E18"/>
    <w:rsid w:val="00927F6D"/>
    <w:rsid w:val="00930123"/>
    <w:rsid w:val="00930BD5"/>
    <w:rsid w:val="00931675"/>
    <w:rsid w:val="00932532"/>
    <w:rsid w:val="009329D4"/>
    <w:rsid w:val="009344E2"/>
    <w:rsid w:val="00934A49"/>
    <w:rsid w:val="00935326"/>
    <w:rsid w:val="009354EC"/>
    <w:rsid w:val="0093555C"/>
    <w:rsid w:val="00935D10"/>
    <w:rsid w:val="00936143"/>
    <w:rsid w:val="0093644D"/>
    <w:rsid w:val="0093655B"/>
    <w:rsid w:val="00936841"/>
    <w:rsid w:val="00937076"/>
    <w:rsid w:val="009370D2"/>
    <w:rsid w:val="00940106"/>
    <w:rsid w:val="00940233"/>
    <w:rsid w:val="00940520"/>
    <w:rsid w:val="00940569"/>
    <w:rsid w:val="00940792"/>
    <w:rsid w:val="0094084A"/>
    <w:rsid w:val="009410A0"/>
    <w:rsid w:val="00942D6A"/>
    <w:rsid w:val="00942F31"/>
    <w:rsid w:val="009437AD"/>
    <w:rsid w:val="009438DC"/>
    <w:rsid w:val="00943906"/>
    <w:rsid w:val="00943A42"/>
    <w:rsid w:val="00943E82"/>
    <w:rsid w:val="0094427E"/>
    <w:rsid w:val="00944CC9"/>
    <w:rsid w:val="00944CD4"/>
    <w:rsid w:val="009455BE"/>
    <w:rsid w:val="00945838"/>
    <w:rsid w:val="00945A8B"/>
    <w:rsid w:val="009500F0"/>
    <w:rsid w:val="0095015A"/>
    <w:rsid w:val="009501F2"/>
    <w:rsid w:val="00950EB6"/>
    <w:rsid w:val="00950EF1"/>
    <w:rsid w:val="009527BE"/>
    <w:rsid w:val="009542D9"/>
    <w:rsid w:val="009546A2"/>
    <w:rsid w:val="00955049"/>
    <w:rsid w:val="009567AF"/>
    <w:rsid w:val="00956E02"/>
    <w:rsid w:val="0095748A"/>
    <w:rsid w:val="00957789"/>
    <w:rsid w:val="00957E64"/>
    <w:rsid w:val="00957F51"/>
    <w:rsid w:val="00960584"/>
    <w:rsid w:val="00960BF2"/>
    <w:rsid w:val="00960C13"/>
    <w:rsid w:val="0096194B"/>
    <w:rsid w:val="009626F5"/>
    <w:rsid w:val="009631D4"/>
    <w:rsid w:val="0096333F"/>
    <w:rsid w:val="009637D6"/>
    <w:rsid w:val="00963E19"/>
    <w:rsid w:val="00964971"/>
    <w:rsid w:val="009649BD"/>
    <w:rsid w:val="00964CAD"/>
    <w:rsid w:val="0096528F"/>
    <w:rsid w:val="009655E6"/>
    <w:rsid w:val="009659A5"/>
    <w:rsid w:val="00965E59"/>
    <w:rsid w:val="00967C94"/>
    <w:rsid w:val="00970435"/>
    <w:rsid w:val="009707AB"/>
    <w:rsid w:val="00970CB7"/>
    <w:rsid w:val="00970ED7"/>
    <w:rsid w:val="00972023"/>
    <w:rsid w:val="009728F9"/>
    <w:rsid w:val="00972D68"/>
    <w:rsid w:val="00972E9F"/>
    <w:rsid w:val="009735E8"/>
    <w:rsid w:val="009749EE"/>
    <w:rsid w:val="009760FE"/>
    <w:rsid w:val="0097654C"/>
    <w:rsid w:val="00976B66"/>
    <w:rsid w:val="00977955"/>
    <w:rsid w:val="00977C94"/>
    <w:rsid w:val="009805E9"/>
    <w:rsid w:val="0098092C"/>
    <w:rsid w:val="00980CC2"/>
    <w:rsid w:val="00981442"/>
    <w:rsid w:val="009827FE"/>
    <w:rsid w:val="00982B46"/>
    <w:rsid w:val="00982F4C"/>
    <w:rsid w:val="009830D3"/>
    <w:rsid w:val="00983107"/>
    <w:rsid w:val="00984611"/>
    <w:rsid w:val="00984637"/>
    <w:rsid w:val="0098483B"/>
    <w:rsid w:val="00985008"/>
    <w:rsid w:val="009865FD"/>
    <w:rsid w:val="00986870"/>
    <w:rsid w:val="009911C7"/>
    <w:rsid w:val="00991299"/>
    <w:rsid w:val="009922F4"/>
    <w:rsid w:val="00993738"/>
    <w:rsid w:val="00994333"/>
    <w:rsid w:val="009944A2"/>
    <w:rsid w:val="0099458F"/>
    <w:rsid w:val="00994BB3"/>
    <w:rsid w:val="00994E62"/>
    <w:rsid w:val="00995426"/>
    <w:rsid w:val="00995C04"/>
    <w:rsid w:val="00995C2A"/>
    <w:rsid w:val="00995D72"/>
    <w:rsid w:val="00996068"/>
    <w:rsid w:val="0099625C"/>
    <w:rsid w:val="009975E3"/>
    <w:rsid w:val="00997697"/>
    <w:rsid w:val="00997746"/>
    <w:rsid w:val="0099784D"/>
    <w:rsid w:val="00997991"/>
    <w:rsid w:val="00997BA9"/>
    <w:rsid w:val="009A01C0"/>
    <w:rsid w:val="009A0349"/>
    <w:rsid w:val="009A0736"/>
    <w:rsid w:val="009A0D65"/>
    <w:rsid w:val="009A0E83"/>
    <w:rsid w:val="009A1C57"/>
    <w:rsid w:val="009A203A"/>
    <w:rsid w:val="009A2825"/>
    <w:rsid w:val="009A31EB"/>
    <w:rsid w:val="009A3A7D"/>
    <w:rsid w:val="009A3FEF"/>
    <w:rsid w:val="009A49D9"/>
    <w:rsid w:val="009A52AE"/>
    <w:rsid w:val="009A6A5D"/>
    <w:rsid w:val="009A6A7C"/>
    <w:rsid w:val="009A71A2"/>
    <w:rsid w:val="009A782A"/>
    <w:rsid w:val="009B0AC3"/>
    <w:rsid w:val="009B1397"/>
    <w:rsid w:val="009B23C9"/>
    <w:rsid w:val="009B28F6"/>
    <w:rsid w:val="009B37FC"/>
    <w:rsid w:val="009B3949"/>
    <w:rsid w:val="009B39ED"/>
    <w:rsid w:val="009B3D44"/>
    <w:rsid w:val="009B474E"/>
    <w:rsid w:val="009B499C"/>
    <w:rsid w:val="009B56B1"/>
    <w:rsid w:val="009B583D"/>
    <w:rsid w:val="009B5F35"/>
    <w:rsid w:val="009B6A77"/>
    <w:rsid w:val="009B7952"/>
    <w:rsid w:val="009C05F0"/>
    <w:rsid w:val="009C068F"/>
    <w:rsid w:val="009C0C58"/>
    <w:rsid w:val="009C1061"/>
    <w:rsid w:val="009C1314"/>
    <w:rsid w:val="009C13A4"/>
    <w:rsid w:val="009C19A4"/>
    <w:rsid w:val="009C1FF6"/>
    <w:rsid w:val="009C2214"/>
    <w:rsid w:val="009C2241"/>
    <w:rsid w:val="009C3577"/>
    <w:rsid w:val="009C3A3F"/>
    <w:rsid w:val="009C3AFF"/>
    <w:rsid w:val="009C3F27"/>
    <w:rsid w:val="009C4694"/>
    <w:rsid w:val="009C4ADC"/>
    <w:rsid w:val="009C5148"/>
    <w:rsid w:val="009C58FC"/>
    <w:rsid w:val="009C5CA4"/>
    <w:rsid w:val="009C5E61"/>
    <w:rsid w:val="009C622A"/>
    <w:rsid w:val="009C6301"/>
    <w:rsid w:val="009C6AB1"/>
    <w:rsid w:val="009C6FF0"/>
    <w:rsid w:val="009D0109"/>
    <w:rsid w:val="009D05C9"/>
    <w:rsid w:val="009D0DC9"/>
    <w:rsid w:val="009D0DD3"/>
    <w:rsid w:val="009D0DF8"/>
    <w:rsid w:val="009D1768"/>
    <w:rsid w:val="009D1D54"/>
    <w:rsid w:val="009D2CD3"/>
    <w:rsid w:val="009D34AE"/>
    <w:rsid w:val="009D36CC"/>
    <w:rsid w:val="009D3AF6"/>
    <w:rsid w:val="009D4D75"/>
    <w:rsid w:val="009D529C"/>
    <w:rsid w:val="009D5A30"/>
    <w:rsid w:val="009D5DD5"/>
    <w:rsid w:val="009D6EC6"/>
    <w:rsid w:val="009D6EDD"/>
    <w:rsid w:val="009D6F3E"/>
    <w:rsid w:val="009D77EA"/>
    <w:rsid w:val="009D7948"/>
    <w:rsid w:val="009E1ACC"/>
    <w:rsid w:val="009E1E97"/>
    <w:rsid w:val="009E2177"/>
    <w:rsid w:val="009E2537"/>
    <w:rsid w:val="009E3029"/>
    <w:rsid w:val="009E30EC"/>
    <w:rsid w:val="009E329C"/>
    <w:rsid w:val="009E3818"/>
    <w:rsid w:val="009E3B77"/>
    <w:rsid w:val="009E50AC"/>
    <w:rsid w:val="009E593F"/>
    <w:rsid w:val="009E5F65"/>
    <w:rsid w:val="009E6A8F"/>
    <w:rsid w:val="009E7102"/>
    <w:rsid w:val="009F08D5"/>
    <w:rsid w:val="009F09DC"/>
    <w:rsid w:val="009F0AD7"/>
    <w:rsid w:val="009F13DA"/>
    <w:rsid w:val="009F1A1F"/>
    <w:rsid w:val="009F1BA0"/>
    <w:rsid w:val="009F205C"/>
    <w:rsid w:val="009F276C"/>
    <w:rsid w:val="009F3829"/>
    <w:rsid w:val="009F4D6E"/>
    <w:rsid w:val="009F50DB"/>
    <w:rsid w:val="009F5297"/>
    <w:rsid w:val="009F5506"/>
    <w:rsid w:val="009F5D38"/>
    <w:rsid w:val="009F6595"/>
    <w:rsid w:val="009F67A4"/>
    <w:rsid w:val="009F6C4D"/>
    <w:rsid w:val="009F7860"/>
    <w:rsid w:val="009F7908"/>
    <w:rsid w:val="009F794D"/>
    <w:rsid w:val="00A00060"/>
    <w:rsid w:val="00A00E05"/>
    <w:rsid w:val="00A00E5C"/>
    <w:rsid w:val="00A01044"/>
    <w:rsid w:val="00A01C81"/>
    <w:rsid w:val="00A0453F"/>
    <w:rsid w:val="00A0531D"/>
    <w:rsid w:val="00A05C83"/>
    <w:rsid w:val="00A05D38"/>
    <w:rsid w:val="00A06093"/>
    <w:rsid w:val="00A063AE"/>
    <w:rsid w:val="00A06731"/>
    <w:rsid w:val="00A06EB6"/>
    <w:rsid w:val="00A07488"/>
    <w:rsid w:val="00A10BFF"/>
    <w:rsid w:val="00A10F36"/>
    <w:rsid w:val="00A1126B"/>
    <w:rsid w:val="00A11645"/>
    <w:rsid w:val="00A11EEF"/>
    <w:rsid w:val="00A123A9"/>
    <w:rsid w:val="00A12402"/>
    <w:rsid w:val="00A1264D"/>
    <w:rsid w:val="00A13EDD"/>
    <w:rsid w:val="00A1425D"/>
    <w:rsid w:val="00A14897"/>
    <w:rsid w:val="00A150F8"/>
    <w:rsid w:val="00A16626"/>
    <w:rsid w:val="00A16898"/>
    <w:rsid w:val="00A16BB8"/>
    <w:rsid w:val="00A1722D"/>
    <w:rsid w:val="00A20038"/>
    <w:rsid w:val="00A20339"/>
    <w:rsid w:val="00A2065C"/>
    <w:rsid w:val="00A2096A"/>
    <w:rsid w:val="00A21228"/>
    <w:rsid w:val="00A213C2"/>
    <w:rsid w:val="00A215C6"/>
    <w:rsid w:val="00A2201B"/>
    <w:rsid w:val="00A220AF"/>
    <w:rsid w:val="00A22BC7"/>
    <w:rsid w:val="00A22F80"/>
    <w:rsid w:val="00A24702"/>
    <w:rsid w:val="00A24E36"/>
    <w:rsid w:val="00A253A5"/>
    <w:rsid w:val="00A25F5A"/>
    <w:rsid w:val="00A2600F"/>
    <w:rsid w:val="00A261CE"/>
    <w:rsid w:val="00A26213"/>
    <w:rsid w:val="00A2651D"/>
    <w:rsid w:val="00A26CD7"/>
    <w:rsid w:val="00A270E8"/>
    <w:rsid w:val="00A273D6"/>
    <w:rsid w:val="00A2765C"/>
    <w:rsid w:val="00A3103E"/>
    <w:rsid w:val="00A313DC"/>
    <w:rsid w:val="00A318E0"/>
    <w:rsid w:val="00A325B7"/>
    <w:rsid w:val="00A329D0"/>
    <w:rsid w:val="00A3312E"/>
    <w:rsid w:val="00A33591"/>
    <w:rsid w:val="00A3377D"/>
    <w:rsid w:val="00A34D01"/>
    <w:rsid w:val="00A34D7F"/>
    <w:rsid w:val="00A34ED3"/>
    <w:rsid w:val="00A35084"/>
    <w:rsid w:val="00A351A7"/>
    <w:rsid w:val="00A35B03"/>
    <w:rsid w:val="00A3624F"/>
    <w:rsid w:val="00A36553"/>
    <w:rsid w:val="00A367CC"/>
    <w:rsid w:val="00A36865"/>
    <w:rsid w:val="00A36BE8"/>
    <w:rsid w:val="00A37907"/>
    <w:rsid w:val="00A37BF4"/>
    <w:rsid w:val="00A40438"/>
    <w:rsid w:val="00A406E1"/>
    <w:rsid w:val="00A41B6D"/>
    <w:rsid w:val="00A4282E"/>
    <w:rsid w:val="00A429B4"/>
    <w:rsid w:val="00A43806"/>
    <w:rsid w:val="00A43C13"/>
    <w:rsid w:val="00A43EA0"/>
    <w:rsid w:val="00A4441F"/>
    <w:rsid w:val="00A44660"/>
    <w:rsid w:val="00A44AD9"/>
    <w:rsid w:val="00A45190"/>
    <w:rsid w:val="00A454BF"/>
    <w:rsid w:val="00A45961"/>
    <w:rsid w:val="00A46139"/>
    <w:rsid w:val="00A47220"/>
    <w:rsid w:val="00A474BD"/>
    <w:rsid w:val="00A476AF"/>
    <w:rsid w:val="00A47B9D"/>
    <w:rsid w:val="00A47CA9"/>
    <w:rsid w:val="00A500E1"/>
    <w:rsid w:val="00A50277"/>
    <w:rsid w:val="00A50425"/>
    <w:rsid w:val="00A50DAF"/>
    <w:rsid w:val="00A5160C"/>
    <w:rsid w:val="00A52B24"/>
    <w:rsid w:val="00A5386F"/>
    <w:rsid w:val="00A54224"/>
    <w:rsid w:val="00A542A8"/>
    <w:rsid w:val="00A54EC2"/>
    <w:rsid w:val="00A54F8D"/>
    <w:rsid w:val="00A5500C"/>
    <w:rsid w:val="00A55B9A"/>
    <w:rsid w:val="00A55C3D"/>
    <w:rsid w:val="00A55D52"/>
    <w:rsid w:val="00A56026"/>
    <w:rsid w:val="00A561CC"/>
    <w:rsid w:val="00A56429"/>
    <w:rsid w:val="00A566C6"/>
    <w:rsid w:val="00A572DF"/>
    <w:rsid w:val="00A5730A"/>
    <w:rsid w:val="00A574AB"/>
    <w:rsid w:val="00A57755"/>
    <w:rsid w:val="00A57791"/>
    <w:rsid w:val="00A57DFE"/>
    <w:rsid w:val="00A6143A"/>
    <w:rsid w:val="00A615F7"/>
    <w:rsid w:val="00A61732"/>
    <w:rsid w:val="00A618A6"/>
    <w:rsid w:val="00A61920"/>
    <w:rsid w:val="00A622DE"/>
    <w:rsid w:val="00A62D37"/>
    <w:rsid w:val="00A63C08"/>
    <w:rsid w:val="00A63F11"/>
    <w:rsid w:val="00A643A6"/>
    <w:rsid w:val="00A65120"/>
    <w:rsid w:val="00A65139"/>
    <w:rsid w:val="00A655EF"/>
    <w:rsid w:val="00A656A3"/>
    <w:rsid w:val="00A65ECB"/>
    <w:rsid w:val="00A66BEE"/>
    <w:rsid w:val="00A6730B"/>
    <w:rsid w:val="00A6781D"/>
    <w:rsid w:val="00A67DBD"/>
    <w:rsid w:val="00A67E91"/>
    <w:rsid w:val="00A70886"/>
    <w:rsid w:val="00A70C55"/>
    <w:rsid w:val="00A7106B"/>
    <w:rsid w:val="00A713E8"/>
    <w:rsid w:val="00A716D1"/>
    <w:rsid w:val="00A71994"/>
    <w:rsid w:val="00A71C0A"/>
    <w:rsid w:val="00A71ECF"/>
    <w:rsid w:val="00A72E75"/>
    <w:rsid w:val="00A72ECD"/>
    <w:rsid w:val="00A7308F"/>
    <w:rsid w:val="00A734C9"/>
    <w:rsid w:val="00A736B9"/>
    <w:rsid w:val="00A73AF2"/>
    <w:rsid w:val="00A74DED"/>
    <w:rsid w:val="00A74ECF"/>
    <w:rsid w:val="00A7620E"/>
    <w:rsid w:val="00A7677B"/>
    <w:rsid w:val="00A7763B"/>
    <w:rsid w:val="00A77DB4"/>
    <w:rsid w:val="00A80027"/>
    <w:rsid w:val="00A80101"/>
    <w:rsid w:val="00A80613"/>
    <w:rsid w:val="00A80AE0"/>
    <w:rsid w:val="00A81259"/>
    <w:rsid w:val="00A829AC"/>
    <w:rsid w:val="00A82BD5"/>
    <w:rsid w:val="00A8358D"/>
    <w:rsid w:val="00A8362B"/>
    <w:rsid w:val="00A837BE"/>
    <w:rsid w:val="00A83F15"/>
    <w:rsid w:val="00A84047"/>
    <w:rsid w:val="00A84E8A"/>
    <w:rsid w:val="00A8581E"/>
    <w:rsid w:val="00A85856"/>
    <w:rsid w:val="00A858D5"/>
    <w:rsid w:val="00A86162"/>
    <w:rsid w:val="00A86D55"/>
    <w:rsid w:val="00A87522"/>
    <w:rsid w:val="00A87919"/>
    <w:rsid w:val="00A87A60"/>
    <w:rsid w:val="00A87ACE"/>
    <w:rsid w:val="00A87BDA"/>
    <w:rsid w:val="00A903C3"/>
    <w:rsid w:val="00A91D15"/>
    <w:rsid w:val="00A92612"/>
    <w:rsid w:val="00A92889"/>
    <w:rsid w:val="00A92B68"/>
    <w:rsid w:val="00A92D90"/>
    <w:rsid w:val="00A92EE3"/>
    <w:rsid w:val="00A92FCD"/>
    <w:rsid w:val="00A933A5"/>
    <w:rsid w:val="00A93CD1"/>
    <w:rsid w:val="00A9519E"/>
    <w:rsid w:val="00A9555A"/>
    <w:rsid w:val="00A95BB5"/>
    <w:rsid w:val="00A95BE1"/>
    <w:rsid w:val="00A95DD7"/>
    <w:rsid w:val="00A96238"/>
    <w:rsid w:val="00A96E33"/>
    <w:rsid w:val="00A970F2"/>
    <w:rsid w:val="00A973D3"/>
    <w:rsid w:val="00A97B67"/>
    <w:rsid w:val="00AA19CF"/>
    <w:rsid w:val="00AA2534"/>
    <w:rsid w:val="00AA2738"/>
    <w:rsid w:val="00AA2F9B"/>
    <w:rsid w:val="00AA30DC"/>
    <w:rsid w:val="00AA3356"/>
    <w:rsid w:val="00AA35F3"/>
    <w:rsid w:val="00AA45C3"/>
    <w:rsid w:val="00AA5111"/>
    <w:rsid w:val="00AA5678"/>
    <w:rsid w:val="00AA609D"/>
    <w:rsid w:val="00AA6AE6"/>
    <w:rsid w:val="00AA6AEA"/>
    <w:rsid w:val="00AA6D3D"/>
    <w:rsid w:val="00AB0866"/>
    <w:rsid w:val="00AB091C"/>
    <w:rsid w:val="00AB1447"/>
    <w:rsid w:val="00AB2C99"/>
    <w:rsid w:val="00AB3ACA"/>
    <w:rsid w:val="00AB4706"/>
    <w:rsid w:val="00AB49B0"/>
    <w:rsid w:val="00AB4BE5"/>
    <w:rsid w:val="00AB4DE0"/>
    <w:rsid w:val="00AB554C"/>
    <w:rsid w:val="00AB6360"/>
    <w:rsid w:val="00AB6422"/>
    <w:rsid w:val="00AB6F46"/>
    <w:rsid w:val="00AB7300"/>
    <w:rsid w:val="00AC01A0"/>
    <w:rsid w:val="00AC038F"/>
    <w:rsid w:val="00AC093D"/>
    <w:rsid w:val="00AC0F4D"/>
    <w:rsid w:val="00AC1257"/>
    <w:rsid w:val="00AC1380"/>
    <w:rsid w:val="00AC1FD4"/>
    <w:rsid w:val="00AC2542"/>
    <w:rsid w:val="00AC2D61"/>
    <w:rsid w:val="00AC38E4"/>
    <w:rsid w:val="00AC4A04"/>
    <w:rsid w:val="00AC525C"/>
    <w:rsid w:val="00AC556C"/>
    <w:rsid w:val="00AC5678"/>
    <w:rsid w:val="00AC5CB5"/>
    <w:rsid w:val="00AC6226"/>
    <w:rsid w:val="00AC7087"/>
    <w:rsid w:val="00AD0709"/>
    <w:rsid w:val="00AD0754"/>
    <w:rsid w:val="00AD0ECF"/>
    <w:rsid w:val="00AD1246"/>
    <w:rsid w:val="00AD1D88"/>
    <w:rsid w:val="00AD1D92"/>
    <w:rsid w:val="00AD2494"/>
    <w:rsid w:val="00AD25AD"/>
    <w:rsid w:val="00AD282D"/>
    <w:rsid w:val="00AD2BD7"/>
    <w:rsid w:val="00AD2DFC"/>
    <w:rsid w:val="00AD39DE"/>
    <w:rsid w:val="00AD3B13"/>
    <w:rsid w:val="00AD3C04"/>
    <w:rsid w:val="00AD3DEC"/>
    <w:rsid w:val="00AD445F"/>
    <w:rsid w:val="00AD4DDE"/>
    <w:rsid w:val="00AD5461"/>
    <w:rsid w:val="00AD57AA"/>
    <w:rsid w:val="00AD596C"/>
    <w:rsid w:val="00AD65D6"/>
    <w:rsid w:val="00AD696D"/>
    <w:rsid w:val="00AD781B"/>
    <w:rsid w:val="00AD7C56"/>
    <w:rsid w:val="00AD7D47"/>
    <w:rsid w:val="00AE022E"/>
    <w:rsid w:val="00AE1303"/>
    <w:rsid w:val="00AE1332"/>
    <w:rsid w:val="00AE15B6"/>
    <w:rsid w:val="00AE15D3"/>
    <w:rsid w:val="00AE1D14"/>
    <w:rsid w:val="00AE2689"/>
    <w:rsid w:val="00AE2D7B"/>
    <w:rsid w:val="00AE2DCB"/>
    <w:rsid w:val="00AE3612"/>
    <w:rsid w:val="00AE3702"/>
    <w:rsid w:val="00AE425F"/>
    <w:rsid w:val="00AE486D"/>
    <w:rsid w:val="00AE4A47"/>
    <w:rsid w:val="00AE4D11"/>
    <w:rsid w:val="00AE4D82"/>
    <w:rsid w:val="00AE61F5"/>
    <w:rsid w:val="00AE74BF"/>
    <w:rsid w:val="00AE74C3"/>
    <w:rsid w:val="00AE7788"/>
    <w:rsid w:val="00AE78CD"/>
    <w:rsid w:val="00AF03CB"/>
    <w:rsid w:val="00AF086A"/>
    <w:rsid w:val="00AF0C92"/>
    <w:rsid w:val="00AF0F85"/>
    <w:rsid w:val="00AF11D2"/>
    <w:rsid w:val="00AF2253"/>
    <w:rsid w:val="00AF26B3"/>
    <w:rsid w:val="00AF2838"/>
    <w:rsid w:val="00AF2D3B"/>
    <w:rsid w:val="00AF345D"/>
    <w:rsid w:val="00AF35CE"/>
    <w:rsid w:val="00AF40DA"/>
    <w:rsid w:val="00AF40F7"/>
    <w:rsid w:val="00AF4933"/>
    <w:rsid w:val="00AF520F"/>
    <w:rsid w:val="00AF5378"/>
    <w:rsid w:val="00AF5FF4"/>
    <w:rsid w:val="00AF6BC5"/>
    <w:rsid w:val="00AF6E0E"/>
    <w:rsid w:val="00AF6EE7"/>
    <w:rsid w:val="00AF7139"/>
    <w:rsid w:val="00AF714B"/>
    <w:rsid w:val="00AF7392"/>
    <w:rsid w:val="00AF7536"/>
    <w:rsid w:val="00B0014E"/>
    <w:rsid w:val="00B011BA"/>
    <w:rsid w:val="00B0209F"/>
    <w:rsid w:val="00B02C08"/>
    <w:rsid w:val="00B02C87"/>
    <w:rsid w:val="00B03367"/>
    <w:rsid w:val="00B03ADA"/>
    <w:rsid w:val="00B04DCE"/>
    <w:rsid w:val="00B04FF4"/>
    <w:rsid w:val="00B051A2"/>
    <w:rsid w:val="00B0546E"/>
    <w:rsid w:val="00B054A0"/>
    <w:rsid w:val="00B060E7"/>
    <w:rsid w:val="00B06441"/>
    <w:rsid w:val="00B06F92"/>
    <w:rsid w:val="00B06FB5"/>
    <w:rsid w:val="00B0704A"/>
    <w:rsid w:val="00B07220"/>
    <w:rsid w:val="00B07477"/>
    <w:rsid w:val="00B112F8"/>
    <w:rsid w:val="00B11499"/>
    <w:rsid w:val="00B1179A"/>
    <w:rsid w:val="00B11F11"/>
    <w:rsid w:val="00B11FBF"/>
    <w:rsid w:val="00B11FF7"/>
    <w:rsid w:val="00B1343E"/>
    <w:rsid w:val="00B13570"/>
    <w:rsid w:val="00B144E0"/>
    <w:rsid w:val="00B14D26"/>
    <w:rsid w:val="00B154EF"/>
    <w:rsid w:val="00B16170"/>
    <w:rsid w:val="00B162F1"/>
    <w:rsid w:val="00B170EF"/>
    <w:rsid w:val="00B1722C"/>
    <w:rsid w:val="00B17558"/>
    <w:rsid w:val="00B176A2"/>
    <w:rsid w:val="00B17C7E"/>
    <w:rsid w:val="00B20095"/>
    <w:rsid w:val="00B20101"/>
    <w:rsid w:val="00B20416"/>
    <w:rsid w:val="00B20510"/>
    <w:rsid w:val="00B2095F"/>
    <w:rsid w:val="00B2189B"/>
    <w:rsid w:val="00B21B80"/>
    <w:rsid w:val="00B21E12"/>
    <w:rsid w:val="00B21EA7"/>
    <w:rsid w:val="00B230C2"/>
    <w:rsid w:val="00B23329"/>
    <w:rsid w:val="00B23620"/>
    <w:rsid w:val="00B24723"/>
    <w:rsid w:val="00B24F25"/>
    <w:rsid w:val="00B26F87"/>
    <w:rsid w:val="00B278E9"/>
    <w:rsid w:val="00B27A0A"/>
    <w:rsid w:val="00B27B9C"/>
    <w:rsid w:val="00B304FD"/>
    <w:rsid w:val="00B305B5"/>
    <w:rsid w:val="00B309D3"/>
    <w:rsid w:val="00B31364"/>
    <w:rsid w:val="00B3148A"/>
    <w:rsid w:val="00B31D68"/>
    <w:rsid w:val="00B3231B"/>
    <w:rsid w:val="00B32C7A"/>
    <w:rsid w:val="00B332A8"/>
    <w:rsid w:val="00B332BD"/>
    <w:rsid w:val="00B33AAD"/>
    <w:rsid w:val="00B33FA3"/>
    <w:rsid w:val="00B34881"/>
    <w:rsid w:val="00B350BC"/>
    <w:rsid w:val="00B35179"/>
    <w:rsid w:val="00B3557C"/>
    <w:rsid w:val="00B3598A"/>
    <w:rsid w:val="00B35A05"/>
    <w:rsid w:val="00B3688A"/>
    <w:rsid w:val="00B36C02"/>
    <w:rsid w:val="00B370EB"/>
    <w:rsid w:val="00B374EA"/>
    <w:rsid w:val="00B37764"/>
    <w:rsid w:val="00B37A01"/>
    <w:rsid w:val="00B37AD6"/>
    <w:rsid w:val="00B40755"/>
    <w:rsid w:val="00B41958"/>
    <w:rsid w:val="00B41DFB"/>
    <w:rsid w:val="00B421B5"/>
    <w:rsid w:val="00B42C90"/>
    <w:rsid w:val="00B4335E"/>
    <w:rsid w:val="00B436DD"/>
    <w:rsid w:val="00B43C02"/>
    <w:rsid w:val="00B447E8"/>
    <w:rsid w:val="00B44982"/>
    <w:rsid w:val="00B449BF"/>
    <w:rsid w:val="00B4548B"/>
    <w:rsid w:val="00B45781"/>
    <w:rsid w:val="00B45A64"/>
    <w:rsid w:val="00B463FF"/>
    <w:rsid w:val="00B46C5C"/>
    <w:rsid w:val="00B47934"/>
    <w:rsid w:val="00B47D0C"/>
    <w:rsid w:val="00B47E47"/>
    <w:rsid w:val="00B47F0B"/>
    <w:rsid w:val="00B50219"/>
    <w:rsid w:val="00B502DD"/>
    <w:rsid w:val="00B50AAF"/>
    <w:rsid w:val="00B50E4D"/>
    <w:rsid w:val="00B50F13"/>
    <w:rsid w:val="00B51AC9"/>
    <w:rsid w:val="00B51DF1"/>
    <w:rsid w:val="00B52060"/>
    <w:rsid w:val="00B52789"/>
    <w:rsid w:val="00B528CA"/>
    <w:rsid w:val="00B52929"/>
    <w:rsid w:val="00B529E6"/>
    <w:rsid w:val="00B52D66"/>
    <w:rsid w:val="00B544D1"/>
    <w:rsid w:val="00B556BC"/>
    <w:rsid w:val="00B56934"/>
    <w:rsid w:val="00B56C06"/>
    <w:rsid w:val="00B570E1"/>
    <w:rsid w:val="00B60ADD"/>
    <w:rsid w:val="00B60E13"/>
    <w:rsid w:val="00B61426"/>
    <w:rsid w:val="00B61611"/>
    <w:rsid w:val="00B61B6D"/>
    <w:rsid w:val="00B632E4"/>
    <w:rsid w:val="00B63449"/>
    <w:rsid w:val="00B634E1"/>
    <w:rsid w:val="00B63783"/>
    <w:rsid w:val="00B6393E"/>
    <w:rsid w:val="00B63A50"/>
    <w:rsid w:val="00B63BEE"/>
    <w:rsid w:val="00B6468F"/>
    <w:rsid w:val="00B64F05"/>
    <w:rsid w:val="00B65577"/>
    <w:rsid w:val="00B65CFE"/>
    <w:rsid w:val="00B65EDB"/>
    <w:rsid w:val="00B668AA"/>
    <w:rsid w:val="00B66F53"/>
    <w:rsid w:val="00B67692"/>
    <w:rsid w:val="00B67A41"/>
    <w:rsid w:val="00B67EF0"/>
    <w:rsid w:val="00B704A5"/>
    <w:rsid w:val="00B70B7C"/>
    <w:rsid w:val="00B725BC"/>
    <w:rsid w:val="00B72722"/>
    <w:rsid w:val="00B72A3F"/>
    <w:rsid w:val="00B72ED7"/>
    <w:rsid w:val="00B73505"/>
    <w:rsid w:val="00B73D04"/>
    <w:rsid w:val="00B73E57"/>
    <w:rsid w:val="00B741C5"/>
    <w:rsid w:val="00B75CB3"/>
    <w:rsid w:val="00B75EA7"/>
    <w:rsid w:val="00B75EB8"/>
    <w:rsid w:val="00B762DB"/>
    <w:rsid w:val="00B76D50"/>
    <w:rsid w:val="00B76DA1"/>
    <w:rsid w:val="00B77C09"/>
    <w:rsid w:val="00B77E2A"/>
    <w:rsid w:val="00B8048D"/>
    <w:rsid w:val="00B80AEA"/>
    <w:rsid w:val="00B80CEB"/>
    <w:rsid w:val="00B8126F"/>
    <w:rsid w:val="00B818A6"/>
    <w:rsid w:val="00B81BFE"/>
    <w:rsid w:val="00B81E43"/>
    <w:rsid w:val="00B81F10"/>
    <w:rsid w:val="00B81FCA"/>
    <w:rsid w:val="00B82793"/>
    <w:rsid w:val="00B83597"/>
    <w:rsid w:val="00B83863"/>
    <w:rsid w:val="00B83ED2"/>
    <w:rsid w:val="00B844EB"/>
    <w:rsid w:val="00B84664"/>
    <w:rsid w:val="00B84CE2"/>
    <w:rsid w:val="00B84D3E"/>
    <w:rsid w:val="00B8521E"/>
    <w:rsid w:val="00B85310"/>
    <w:rsid w:val="00B85A12"/>
    <w:rsid w:val="00B85E9E"/>
    <w:rsid w:val="00B85FB6"/>
    <w:rsid w:val="00B86CA6"/>
    <w:rsid w:val="00B86F4D"/>
    <w:rsid w:val="00B873EE"/>
    <w:rsid w:val="00B87A3A"/>
    <w:rsid w:val="00B90680"/>
    <w:rsid w:val="00B90C34"/>
    <w:rsid w:val="00B91D43"/>
    <w:rsid w:val="00B9237E"/>
    <w:rsid w:val="00B92397"/>
    <w:rsid w:val="00B92763"/>
    <w:rsid w:val="00B92F64"/>
    <w:rsid w:val="00B9301B"/>
    <w:rsid w:val="00B9394E"/>
    <w:rsid w:val="00B93F9E"/>
    <w:rsid w:val="00B94A88"/>
    <w:rsid w:val="00B95227"/>
    <w:rsid w:val="00B95694"/>
    <w:rsid w:val="00B96556"/>
    <w:rsid w:val="00B96A69"/>
    <w:rsid w:val="00B96DB2"/>
    <w:rsid w:val="00B9751E"/>
    <w:rsid w:val="00B97ABD"/>
    <w:rsid w:val="00BA0AAE"/>
    <w:rsid w:val="00BA0F56"/>
    <w:rsid w:val="00BA10A7"/>
    <w:rsid w:val="00BA143D"/>
    <w:rsid w:val="00BA16D1"/>
    <w:rsid w:val="00BA1D00"/>
    <w:rsid w:val="00BA1E19"/>
    <w:rsid w:val="00BA2134"/>
    <w:rsid w:val="00BA2177"/>
    <w:rsid w:val="00BA2BB4"/>
    <w:rsid w:val="00BA2C1F"/>
    <w:rsid w:val="00BA49EE"/>
    <w:rsid w:val="00BA4B14"/>
    <w:rsid w:val="00BA4C1D"/>
    <w:rsid w:val="00BA52F1"/>
    <w:rsid w:val="00BA6337"/>
    <w:rsid w:val="00BA69E0"/>
    <w:rsid w:val="00BB0265"/>
    <w:rsid w:val="00BB0B2D"/>
    <w:rsid w:val="00BB1721"/>
    <w:rsid w:val="00BB1751"/>
    <w:rsid w:val="00BB21A6"/>
    <w:rsid w:val="00BB28E0"/>
    <w:rsid w:val="00BB3D8A"/>
    <w:rsid w:val="00BB4266"/>
    <w:rsid w:val="00BB5AE5"/>
    <w:rsid w:val="00BB5F5A"/>
    <w:rsid w:val="00BB67A7"/>
    <w:rsid w:val="00BB6BCF"/>
    <w:rsid w:val="00BB6CFC"/>
    <w:rsid w:val="00BB701B"/>
    <w:rsid w:val="00BB7997"/>
    <w:rsid w:val="00BC02C2"/>
    <w:rsid w:val="00BC0C75"/>
    <w:rsid w:val="00BC111D"/>
    <w:rsid w:val="00BC13B1"/>
    <w:rsid w:val="00BC1A80"/>
    <w:rsid w:val="00BC1F21"/>
    <w:rsid w:val="00BC1FBB"/>
    <w:rsid w:val="00BC27B7"/>
    <w:rsid w:val="00BC2C36"/>
    <w:rsid w:val="00BC3138"/>
    <w:rsid w:val="00BC3480"/>
    <w:rsid w:val="00BC39CF"/>
    <w:rsid w:val="00BC3C7C"/>
    <w:rsid w:val="00BC4747"/>
    <w:rsid w:val="00BC4E5F"/>
    <w:rsid w:val="00BC579D"/>
    <w:rsid w:val="00BC5AEF"/>
    <w:rsid w:val="00BC5B23"/>
    <w:rsid w:val="00BC5F09"/>
    <w:rsid w:val="00BC5F9F"/>
    <w:rsid w:val="00BC6092"/>
    <w:rsid w:val="00BC6637"/>
    <w:rsid w:val="00BC69ED"/>
    <w:rsid w:val="00BC6B20"/>
    <w:rsid w:val="00BC6D01"/>
    <w:rsid w:val="00BC7566"/>
    <w:rsid w:val="00BD0118"/>
    <w:rsid w:val="00BD0222"/>
    <w:rsid w:val="00BD0EAE"/>
    <w:rsid w:val="00BD1597"/>
    <w:rsid w:val="00BD1D7B"/>
    <w:rsid w:val="00BD29DA"/>
    <w:rsid w:val="00BD2FC0"/>
    <w:rsid w:val="00BD3039"/>
    <w:rsid w:val="00BD33B2"/>
    <w:rsid w:val="00BD340C"/>
    <w:rsid w:val="00BD353C"/>
    <w:rsid w:val="00BD35E4"/>
    <w:rsid w:val="00BD40B8"/>
    <w:rsid w:val="00BD4546"/>
    <w:rsid w:val="00BD47A8"/>
    <w:rsid w:val="00BD5511"/>
    <w:rsid w:val="00BD5684"/>
    <w:rsid w:val="00BD5F04"/>
    <w:rsid w:val="00BD6117"/>
    <w:rsid w:val="00BD673B"/>
    <w:rsid w:val="00BD6918"/>
    <w:rsid w:val="00BD6DF5"/>
    <w:rsid w:val="00BD7499"/>
    <w:rsid w:val="00BD75CD"/>
    <w:rsid w:val="00BD7B68"/>
    <w:rsid w:val="00BD7BA5"/>
    <w:rsid w:val="00BE008B"/>
    <w:rsid w:val="00BE03C8"/>
    <w:rsid w:val="00BE070C"/>
    <w:rsid w:val="00BE0769"/>
    <w:rsid w:val="00BE086B"/>
    <w:rsid w:val="00BE17E8"/>
    <w:rsid w:val="00BE1A35"/>
    <w:rsid w:val="00BE1CB4"/>
    <w:rsid w:val="00BE1F88"/>
    <w:rsid w:val="00BE2783"/>
    <w:rsid w:val="00BE2DEA"/>
    <w:rsid w:val="00BE2E13"/>
    <w:rsid w:val="00BE30A0"/>
    <w:rsid w:val="00BE3E18"/>
    <w:rsid w:val="00BE4237"/>
    <w:rsid w:val="00BE4634"/>
    <w:rsid w:val="00BE49C8"/>
    <w:rsid w:val="00BE6BA5"/>
    <w:rsid w:val="00BE6F2A"/>
    <w:rsid w:val="00BE7F42"/>
    <w:rsid w:val="00BE7FAD"/>
    <w:rsid w:val="00BF0119"/>
    <w:rsid w:val="00BF01E3"/>
    <w:rsid w:val="00BF0578"/>
    <w:rsid w:val="00BF0D2E"/>
    <w:rsid w:val="00BF17BD"/>
    <w:rsid w:val="00BF1C81"/>
    <w:rsid w:val="00BF252D"/>
    <w:rsid w:val="00BF28DD"/>
    <w:rsid w:val="00BF2F51"/>
    <w:rsid w:val="00BF3C7B"/>
    <w:rsid w:val="00BF4025"/>
    <w:rsid w:val="00BF4B6D"/>
    <w:rsid w:val="00BF660B"/>
    <w:rsid w:val="00BF6955"/>
    <w:rsid w:val="00BF6CDC"/>
    <w:rsid w:val="00BF6D81"/>
    <w:rsid w:val="00BF72DB"/>
    <w:rsid w:val="00BF730D"/>
    <w:rsid w:val="00BF735C"/>
    <w:rsid w:val="00C0094D"/>
    <w:rsid w:val="00C026BC"/>
    <w:rsid w:val="00C027E8"/>
    <w:rsid w:val="00C02E28"/>
    <w:rsid w:val="00C030D3"/>
    <w:rsid w:val="00C030DB"/>
    <w:rsid w:val="00C03792"/>
    <w:rsid w:val="00C03DDE"/>
    <w:rsid w:val="00C03EF2"/>
    <w:rsid w:val="00C041D9"/>
    <w:rsid w:val="00C05053"/>
    <w:rsid w:val="00C05864"/>
    <w:rsid w:val="00C06675"/>
    <w:rsid w:val="00C07001"/>
    <w:rsid w:val="00C10051"/>
    <w:rsid w:val="00C1052D"/>
    <w:rsid w:val="00C108E9"/>
    <w:rsid w:val="00C1103C"/>
    <w:rsid w:val="00C11067"/>
    <w:rsid w:val="00C12824"/>
    <w:rsid w:val="00C1294A"/>
    <w:rsid w:val="00C12F11"/>
    <w:rsid w:val="00C12F92"/>
    <w:rsid w:val="00C135D1"/>
    <w:rsid w:val="00C137FE"/>
    <w:rsid w:val="00C13B9D"/>
    <w:rsid w:val="00C13D48"/>
    <w:rsid w:val="00C151E6"/>
    <w:rsid w:val="00C156DF"/>
    <w:rsid w:val="00C15B15"/>
    <w:rsid w:val="00C1692C"/>
    <w:rsid w:val="00C17160"/>
    <w:rsid w:val="00C174F4"/>
    <w:rsid w:val="00C1774D"/>
    <w:rsid w:val="00C203ED"/>
    <w:rsid w:val="00C203F9"/>
    <w:rsid w:val="00C210B3"/>
    <w:rsid w:val="00C2154F"/>
    <w:rsid w:val="00C2204F"/>
    <w:rsid w:val="00C23567"/>
    <w:rsid w:val="00C23694"/>
    <w:rsid w:val="00C23AF3"/>
    <w:rsid w:val="00C2438B"/>
    <w:rsid w:val="00C24A5C"/>
    <w:rsid w:val="00C24CC0"/>
    <w:rsid w:val="00C2517C"/>
    <w:rsid w:val="00C254B4"/>
    <w:rsid w:val="00C258C3"/>
    <w:rsid w:val="00C25B18"/>
    <w:rsid w:val="00C25E29"/>
    <w:rsid w:val="00C26022"/>
    <w:rsid w:val="00C2621D"/>
    <w:rsid w:val="00C274AB"/>
    <w:rsid w:val="00C306E1"/>
    <w:rsid w:val="00C318D0"/>
    <w:rsid w:val="00C31D59"/>
    <w:rsid w:val="00C324BA"/>
    <w:rsid w:val="00C32D51"/>
    <w:rsid w:val="00C33703"/>
    <w:rsid w:val="00C33769"/>
    <w:rsid w:val="00C33985"/>
    <w:rsid w:val="00C33A35"/>
    <w:rsid w:val="00C34050"/>
    <w:rsid w:val="00C353A1"/>
    <w:rsid w:val="00C353C9"/>
    <w:rsid w:val="00C35B63"/>
    <w:rsid w:val="00C363F2"/>
    <w:rsid w:val="00C36804"/>
    <w:rsid w:val="00C37BD7"/>
    <w:rsid w:val="00C407E8"/>
    <w:rsid w:val="00C408AC"/>
    <w:rsid w:val="00C41029"/>
    <w:rsid w:val="00C4172B"/>
    <w:rsid w:val="00C4237A"/>
    <w:rsid w:val="00C4295A"/>
    <w:rsid w:val="00C42A61"/>
    <w:rsid w:val="00C42F9A"/>
    <w:rsid w:val="00C438C4"/>
    <w:rsid w:val="00C43B24"/>
    <w:rsid w:val="00C44032"/>
    <w:rsid w:val="00C442F8"/>
    <w:rsid w:val="00C4453E"/>
    <w:rsid w:val="00C44A31"/>
    <w:rsid w:val="00C44B17"/>
    <w:rsid w:val="00C45BF8"/>
    <w:rsid w:val="00C45C62"/>
    <w:rsid w:val="00C45FBD"/>
    <w:rsid w:val="00C45FEE"/>
    <w:rsid w:val="00C46CE8"/>
    <w:rsid w:val="00C47850"/>
    <w:rsid w:val="00C47F3A"/>
    <w:rsid w:val="00C50065"/>
    <w:rsid w:val="00C5028A"/>
    <w:rsid w:val="00C5158F"/>
    <w:rsid w:val="00C51F3A"/>
    <w:rsid w:val="00C529CE"/>
    <w:rsid w:val="00C52B48"/>
    <w:rsid w:val="00C53047"/>
    <w:rsid w:val="00C5335F"/>
    <w:rsid w:val="00C5407D"/>
    <w:rsid w:val="00C549C3"/>
    <w:rsid w:val="00C54BD0"/>
    <w:rsid w:val="00C553B0"/>
    <w:rsid w:val="00C55AE0"/>
    <w:rsid w:val="00C561F6"/>
    <w:rsid w:val="00C56747"/>
    <w:rsid w:val="00C56772"/>
    <w:rsid w:val="00C571A7"/>
    <w:rsid w:val="00C571E9"/>
    <w:rsid w:val="00C57939"/>
    <w:rsid w:val="00C57C64"/>
    <w:rsid w:val="00C60A18"/>
    <w:rsid w:val="00C61244"/>
    <w:rsid w:val="00C6156B"/>
    <w:rsid w:val="00C617EB"/>
    <w:rsid w:val="00C6214A"/>
    <w:rsid w:val="00C62D14"/>
    <w:rsid w:val="00C62D5D"/>
    <w:rsid w:val="00C6326D"/>
    <w:rsid w:val="00C63632"/>
    <w:rsid w:val="00C63847"/>
    <w:rsid w:val="00C639FE"/>
    <w:rsid w:val="00C63F43"/>
    <w:rsid w:val="00C642C2"/>
    <w:rsid w:val="00C64B00"/>
    <w:rsid w:val="00C651C6"/>
    <w:rsid w:val="00C651E7"/>
    <w:rsid w:val="00C654FB"/>
    <w:rsid w:val="00C66C28"/>
    <w:rsid w:val="00C672B1"/>
    <w:rsid w:val="00C6754C"/>
    <w:rsid w:val="00C676E9"/>
    <w:rsid w:val="00C7012A"/>
    <w:rsid w:val="00C70520"/>
    <w:rsid w:val="00C707EE"/>
    <w:rsid w:val="00C710CB"/>
    <w:rsid w:val="00C715F3"/>
    <w:rsid w:val="00C71D7C"/>
    <w:rsid w:val="00C72A61"/>
    <w:rsid w:val="00C72E57"/>
    <w:rsid w:val="00C72F24"/>
    <w:rsid w:val="00C72FE4"/>
    <w:rsid w:val="00C739D2"/>
    <w:rsid w:val="00C73A9C"/>
    <w:rsid w:val="00C73DB5"/>
    <w:rsid w:val="00C73E2E"/>
    <w:rsid w:val="00C743FF"/>
    <w:rsid w:val="00C753B4"/>
    <w:rsid w:val="00C75440"/>
    <w:rsid w:val="00C7575C"/>
    <w:rsid w:val="00C75A65"/>
    <w:rsid w:val="00C76809"/>
    <w:rsid w:val="00C76DEA"/>
    <w:rsid w:val="00C77021"/>
    <w:rsid w:val="00C80168"/>
    <w:rsid w:val="00C80255"/>
    <w:rsid w:val="00C80771"/>
    <w:rsid w:val="00C80A22"/>
    <w:rsid w:val="00C80A96"/>
    <w:rsid w:val="00C81473"/>
    <w:rsid w:val="00C81482"/>
    <w:rsid w:val="00C81589"/>
    <w:rsid w:val="00C82479"/>
    <w:rsid w:val="00C824AF"/>
    <w:rsid w:val="00C8270A"/>
    <w:rsid w:val="00C828F1"/>
    <w:rsid w:val="00C82E5F"/>
    <w:rsid w:val="00C8310E"/>
    <w:rsid w:val="00C835C0"/>
    <w:rsid w:val="00C836DA"/>
    <w:rsid w:val="00C8373F"/>
    <w:rsid w:val="00C83EA3"/>
    <w:rsid w:val="00C8424E"/>
    <w:rsid w:val="00C84C01"/>
    <w:rsid w:val="00C8591C"/>
    <w:rsid w:val="00C85D77"/>
    <w:rsid w:val="00C85F98"/>
    <w:rsid w:val="00C8627C"/>
    <w:rsid w:val="00C86872"/>
    <w:rsid w:val="00C86FB3"/>
    <w:rsid w:val="00C871A6"/>
    <w:rsid w:val="00C8756B"/>
    <w:rsid w:val="00C8778B"/>
    <w:rsid w:val="00C87A38"/>
    <w:rsid w:val="00C90B8A"/>
    <w:rsid w:val="00C90CEA"/>
    <w:rsid w:val="00C911AF"/>
    <w:rsid w:val="00C91D51"/>
    <w:rsid w:val="00C925C7"/>
    <w:rsid w:val="00C92B4A"/>
    <w:rsid w:val="00C92CD1"/>
    <w:rsid w:val="00C92D3A"/>
    <w:rsid w:val="00C934C9"/>
    <w:rsid w:val="00C93D94"/>
    <w:rsid w:val="00C94264"/>
    <w:rsid w:val="00C955D7"/>
    <w:rsid w:val="00C965F2"/>
    <w:rsid w:val="00C9685A"/>
    <w:rsid w:val="00C96877"/>
    <w:rsid w:val="00C96FE9"/>
    <w:rsid w:val="00C973C7"/>
    <w:rsid w:val="00C9745B"/>
    <w:rsid w:val="00C9746D"/>
    <w:rsid w:val="00C97C25"/>
    <w:rsid w:val="00CA0146"/>
    <w:rsid w:val="00CA0D4C"/>
    <w:rsid w:val="00CA0F9B"/>
    <w:rsid w:val="00CA1BCD"/>
    <w:rsid w:val="00CA37A0"/>
    <w:rsid w:val="00CA41A8"/>
    <w:rsid w:val="00CA41B0"/>
    <w:rsid w:val="00CA4617"/>
    <w:rsid w:val="00CA4B0A"/>
    <w:rsid w:val="00CA4DA4"/>
    <w:rsid w:val="00CA4E27"/>
    <w:rsid w:val="00CA5D87"/>
    <w:rsid w:val="00CA6089"/>
    <w:rsid w:val="00CA61DC"/>
    <w:rsid w:val="00CA68BA"/>
    <w:rsid w:val="00CA7AD8"/>
    <w:rsid w:val="00CA7ED3"/>
    <w:rsid w:val="00CB07FE"/>
    <w:rsid w:val="00CB0D1F"/>
    <w:rsid w:val="00CB12A3"/>
    <w:rsid w:val="00CB1997"/>
    <w:rsid w:val="00CB1F3E"/>
    <w:rsid w:val="00CB1FDE"/>
    <w:rsid w:val="00CB25A5"/>
    <w:rsid w:val="00CB2B72"/>
    <w:rsid w:val="00CB2F34"/>
    <w:rsid w:val="00CB3221"/>
    <w:rsid w:val="00CB3480"/>
    <w:rsid w:val="00CB37E0"/>
    <w:rsid w:val="00CB38D0"/>
    <w:rsid w:val="00CB3EDA"/>
    <w:rsid w:val="00CB3EDB"/>
    <w:rsid w:val="00CB40AA"/>
    <w:rsid w:val="00CB5C41"/>
    <w:rsid w:val="00CB5E9D"/>
    <w:rsid w:val="00CB66B4"/>
    <w:rsid w:val="00CB6F62"/>
    <w:rsid w:val="00CB712A"/>
    <w:rsid w:val="00CB7474"/>
    <w:rsid w:val="00CB7592"/>
    <w:rsid w:val="00CC0127"/>
    <w:rsid w:val="00CC01C6"/>
    <w:rsid w:val="00CC1DF7"/>
    <w:rsid w:val="00CC23FF"/>
    <w:rsid w:val="00CC32DB"/>
    <w:rsid w:val="00CC4A11"/>
    <w:rsid w:val="00CC5A06"/>
    <w:rsid w:val="00CC5F02"/>
    <w:rsid w:val="00CC6E47"/>
    <w:rsid w:val="00CD0065"/>
    <w:rsid w:val="00CD0800"/>
    <w:rsid w:val="00CD138C"/>
    <w:rsid w:val="00CD159D"/>
    <w:rsid w:val="00CD1613"/>
    <w:rsid w:val="00CD2C6B"/>
    <w:rsid w:val="00CD344F"/>
    <w:rsid w:val="00CD3577"/>
    <w:rsid w:val="00CD3C17"/>
    <w:rsid w:val="00CD3EC9"/>
    <w:rsid w:val="00CD4A79"/>
    <w:rsid w:val="00CD4C71"/>
    <w:rsid w:val="00CD4FA9"/>
    <w:rsid w:val="00CD4FAE"/>
    <w:rsid w:val="00CD545A"/>
    <w:rsid w:val="00CD5D19"/>
    <w:rsid w:val="00CD5E3E"/>
    <w:rsid w:val="00CD60DD"/>
    <w:rsid w:val="00CD63CE"/>
    <w:rsid w:val="00CD6AA7"/>
    <w:rsid w:val="00CD6B69"/>
    <w:rsid w:val="00CD6C8F"/>
    <w:rsid w:val="00CD6CEC"/>
    <w:rsid w:val="00CD7C08"/>
    <w:rsid w:val="00CD7EC2"/>
    <w:rsid w:val="00CE06B8"/>
    <w:rsid w:val="00CE0B48"/>
    <w:rsid w:val="00CE1102"/>
    <w:rsid w:val="00CE265B"/>
    <w:rsid w:val="00CE2801"/>
    <w:rsid w:val="00CE2CBD"/>
    <w:rsid w:val="00CE2FDC"/>
    <w:rsid w:val="00CE378B"/>
    <w:rsid w:val="00CE3851"/>
    <w:rsid w:val="00CE4232"/>
    <w:rsid w:val="00CE49EC"/>
    <w:rsid w:val="00CE53B4"/>
    <w:rsid w:val="00CE66A2"/>
    <w:rsid w:val="00CE70A9"/>
    <w:rsid w:val="00CE7E12"/>
    <w:rsid w:val="00CE7F40"/>
    <w:rsid w:val="00CF04DE"/>
    <w:rsid w:val="00CF19FA"/>
    <w:rsid w:val="00CF23E4"/>
    <w:rsid w:val="00CF2F47"/>
    <w:rsid w:val="00CF36BC"/>
    <w:rsid w:val="00CF38CA"/>
    <w:rsid w:val="00CF3A3F"/>
    <w:rsid w:val="00CF4114"/>
    <w:rsid w:val="00CF4226"/>
    <w:rsid w:val="00CF468A"/>
    <w:rsid w:val="00CF486B"/>
    <w:rsid w:val="00CF4F77"/>
    <w:rsid w:val="00CF510E"/>
    <w:rsid w:val="00CF5138"/>
    <w:rsid w:val="00CF5D0E"/>
    <w:rsid w:val="00CF63CE"/>
    <w:rsid w:val="00CF65A1"/>
    <w:rsid w:val="00CF6B50"/>
    <w:rsid w:val="00CF7BB6"/>
    <w:rsid w:val="00D0011C"/>
    <w:rsid w:val="00D007B7"/>
    <w:rsid w:val="00D0091A"/>
    <w:rsid w:val="00D01413"/>
    <w:rsid w:val="00D01539"/>
    <w:rsid w:val="00D0195E"/>
    <w:rsid w:val="00D01AC8"/>
    <w:rsid w:val="00D01C32"/>
    <w:rsid w:val="00D02377"/>
    <w:rsid w:val="00D024F7"/>
    <w:rsid w:val="00D02B23"/>
    <w:rsid w:val="00D02E0C"/>
    <w:rsid w:val="00D02E35"/>
    <w:rsid w:val="00D03B76"/>
    <w:rsid w:val="00D0441F"/>
    <w:rsid w:val="00D0446B"/>
    <w:rsid w:val="00D0457B"/>
    <w:rsid w:val="00D0482D"/>
    <w:rsid w:val="00D04C28"/>
    <w:rsid w:val="00D04DB6"/>
    <w:rsid w:val="00D04E91"/>
    <w:rsid w:val="00D04F36"/>
    <w:rsid w:val="00D05826"/>
    <w:rsid w:val="00D064E5"/>
    <w:rsid w:val="00D0654E"/>
    <w:rsid w:val="00D06B55"/>
    <w:rsid w:val="00D06C33"/>
    <w:rsid w:val="00D0747F"/>
    <w:rsid w:val="00D10E7C"/>
    <w:rsid w:val="00D11923"/>
    <w:rsid w:val="00D119BA"/>
    <w:rsid w:val="00D125F2"/>
    <w:rsid w:val="00D1282F"/>
    <w:rsid w:val="00D128F7"/>
    <w:rsid w:val="00D12F01"/>
    <w:rsid w:val="00D13599"/>
    <w:rsid w:val="00D13711"/>
    <w:rsid w:val="00D13E50"/>
    <w:rsid w:val="00D13FAD"/>
    <w:rsid w:val="00D141CE"/>
    <w:rsid w:val="00D14984"/>
    <w:rsid w:val="00D15494"/>
    <w:rsid w:val="00D154A8"/>
    <w:rsid w:val="00D15ED7"/>
    <w:rsid w:val="00D167D5"/>
    <w:rsid w:val="00D169F7"/>
    <w:rsid w:val="00D1767D"/>
    <w:rsid w:val="00D17B3D"/>
    <w:rsid w:val="00D20B96"/>
    <w:rsid w:val="00D20FE6"/>
    <w:rsid w:val="00D2192B"/>
    <w:rsid w:val="00D21D83"/>
    <w:rsid w:val="00D22614"/>
    <w:rsid w:val="00D2306E"/>
    <w:rsid w:val="00D239C8"/>
    <w:rsid w:val="00D2498F"/>
    <w:rsid w:val="00D249BB"/>
    <w:rsid w:val="00D25241"/>
    <w:rsid w:val="00D256EA"/>
    <w:rsid w:val="00D258D6"/>
    <w:rsid w:val="00D25A5A"/>
    <w:rsid w:val="00D268C1"/>
    <w:rsid w:val="00D26E05"/>
    <w:rsid w:val="00D27839"/>
    <w:rsid w:val="00D27B17"/>
    <w:rsid w:val="00D30515"/>
    <w:rsid w:val="00D30556"/>
    <w:rsid w:val="00D3057F"/>
    <w:rsid w:val="00D30694"/>
    <w:rsid w:val="00D311C6"/>
    <w:rsid w:val="00D31748"/>
    <w:rsid w:val="00D32120"/>
    <w:rsid w:val="00D32D02"/>
    <w:rsid w:val="00D3387F"/>
    <w:rsid w:val="00D3424B"/>
    <w:rsid w:val="00D3474D"/>
    <w:rsid w:val="00D34AE0"/>
    <w:rsid w:val="00D34E0F"/>
    <w:rsid w:val="00D352A1"/>
    <w:rsid w:val="00D35CDD"/>
    <w:rsid w:val="00D36A74"/>
    <w:rsid w:val="00D36E8B"/>
    <w:rsid w:val="00D36F68"/>
    <w:rsid w:val="00D36FF7"/>
    <w:rsid w:val="00D37D07"/>
    <w:rsid w:val="00D4013C"/>
    <w:rsid w:val="00D401E4"/>
    <w:rsid w:val="00D4027C"/>
    <w:rsid w:val="00D40694"/>
    <w:rsid w:val="00D40761"/>
    <w:rsid w:val="00D41A83"/>
    <w:rsid w:val="00D41CB4"/>
    <w:rsid w:val="00D4234A"/>
    <w:rsid w:val="00D43240"/>
    <w:rsid w:val="00D435BF"/>
    <w:rsid w:val="00D435E7"/>
    <w:rsid w:val="00D43899"/>
    <w:rsid w:val="00D44004"/>
    <w:rsid w:val="00D4566A"/>
    <w:rsid w:val="00D459C6"/>
    <w:rsid w:val="00D45B58"/>
    <w:rsid w:val="00D45DA5"/>
    <w:rsid w:val="00D46104"/>
    <w:rsid w:val="00D4691A"/>
    <w:rsid w:val="00D50098"/>
    <w:rsid w:val="00D5040F"/>
    <w:rsid w:val="00D50801"/>
    <w:rsid w:val="00D50D37"/>
    <w:rsid w:val="00D52799"/>
    <w:rsid w:val="00D53250"/>
    <w:rsid w:val="00D5367F"/>
    <w:rsid w:val="00D53721"/>
    <w:rsid w:val="00D53C6F"/>
    <w:rsid w:val="00D545DD"/>
    <w:rsid w:val="00D54F8C"/>
    <w:rsid w:val="00D550B3"/>
    <w:rsid w:val="00D55734"/>
    <w:rsid w:val="00D56936"/>
    <w:rsid w:val="00D57282"/>
    <w:rsid w:val="00D572B6"/>
    <w:rsid w:val="00D57A27"/>
    <w:rsid w:val="00D60836"/>
    <w:rsid w:val="00D61DB5"/>
    <w:rsid w:val="00D61E20"/>
    <w:rsid w:val="00D6233E"/>
    <w:rsid w:val="00D634EC"/>
    <w:rsid w:val="00D6433D"/>
    <w:rsid w:val="00D6496B"/>
    <w:rsid w:val="00D65237"/>
    <w:rsid w:val="00D65266"/>
    <w:rsid w:val="00D655E1"/>
    <w:rsid w:val="00D656E5"/>
    <w:rsid w:val="00D65F67"/>
    <w:rsid w:val="00D666D6"/>
    <w:rsid w:val="00D668C5"/>
    <w:rsid w:val="00D66C8F"/>
    <w:rsid w:val="00D66D2D"/>
    <w:rsid w:val="00D67484"/>
    <w:rsid w:val="00D67EB8"/>
    <w:rsid w:val="00D67F82"/>
    <w:rsid w:val="00D703D7"/>
    <w:rsid w:val="00D70874"/>
    <w:rsid w:val="00D70EFB"/>
    <w:rsid w:val="00D70F5C"/>
    <w:rsid w:val="00D711F2"/>
    <w:rsid w:val="00D7183A"/>
    <w:rsid w:val="00D722E8"/>
    <w:rsid w:val="00D72712"/>
    <w:rsid w:val="00D72ADF"/>
    <w:rsid w:val="00D72CE2"/>
    <w:rsid w:val="00D73ECC"/>
    <w:rsid w:val="00D7436F"/>
    <w:rsid w:val="00D74386"/>
    <w:rsid w:val="00D743EC"/>
    <w:rsid w:val="00D745A2"/>
    <w:rsid w:val="00D74862"/>
    <w:rsid w:val="00D74DCD"/>
    <w:rsid w:val="00D751A4"/>
    <w:rsid w:val="00D75FFD"/>
    <w:rsid w:val="00D76271"/>
    <w:rsid w:val="00D7685A"/>
    <w:rsid w:val="00D7692D"/>
    <w:rsid w:val="00D774FF"/>
    <w:rsid w:val="00D8043B"/>
    <w:rsid w:val="00D811D8"/>
    <w:rsid w:val="00D81EA7"/>
    <w:rsid w:val="00D82256"/>
    <w:rsid w:val="00D82643"/>
    <w:rsid w:val="00D828AE"/>
    <w:rsid w:val="00D833C6"/>
    <w:rsid w:val="00D833EB"/>
    <w:rsid w:val="00D84375"/>
    <w:rsid w:val="00D846A7"/>
    <w:rsid w:val="00D85D5D"/>
    <w:rsid w:val="00D85DB4"/>
    <w:rsid w:val="00D86BCC"/>
    <w:rsid w:val="00D86D70"/>
    <w:rsid w:val="00D87334"/>
    <w:rsid w:val="00D87403"/>
    <w:rsid w:val="00D90618"/>
    <w:rsid w:val="00D90CFC"/>
    <w:rsid w:val="00D9107F"/>
    <w:rsid w:val="00D919B9"/>
    <w:rsid w:val="00D91C1E"/>
    <w:rsid w:val="00D9207E"/>
    <w:rsid w:val="00D921D0"/>
    <w:rsid w:val="00D92291"/>
    <w:rsid w:val="00D926DA"/>
    <w:rsid w:val="00D92815"/>
    <w:rsid w:val="00D92F9A"/>
    <w:rsid w:val="00D934E5"/>
    <w:rsid w:val="00D936DA"/>
    <w:rsid w:val="00D95CC9"/>
    <w:rsid w:val="00D95FB6"/>
    <w:rsid w:val="00D96128"/>
    <w:rsid w:val="00D96928"/>
    <w:rsid w:val="00D96C7B"/>
    <w:rsid w:val="00D96E2D"/>
    <w:rsid w:val="00D96EA3"/>
    <w:rsid w:val="00D97942"/>
    <w:rsid w:val="00DA0923"/>
    <w:rsid w:val="00DA13F4"/>
    <w:rsid w:val="00DA1478"/>
    <w:rsid w:val="00DA153A"/>
    <w:rsid w:val="00DA1796"/>
    <w:rsid w:val="00DA282B"/>
    <w:rsid w:val="00DA2900"/>
    <w:rsid w:val="00DA35C5"/>
    <w:rsid w:val="00DA35D8"/>
    <w:rsid w:val="00DA38FD"/>
    <w:rsid w:val="00DA3DC3"/>
    <w:rsid w:val="00DA3FBF"/>
    <w:rsid w:val="00DA424F"/>
    <w:rsid w:val="00DA42A6"/>
    <w:rsid w:val="00DA46A6"/>
    <w:rsid w:val="00DA4723"/>
    <w:rsid w:val="00DA495B"/>
    <w:rsid w:val="00DA4CB3"/>
    <w:rsid w:val="00DA523B"/>
    <w:rsid w:val="00DA57A2"/>
    <w:rsid w:val="00DA619C"/>
    <w:rsid w:val="00DA621F"/>
    <w:rsid w:val="00DA63BA"/>
    <w:rsid w:val="00DA6569"/>
    <w:rsid w:val="00DA6B38"/>
    <w:rsid w:val="00DA7306"/>
    <w:rsid w:val="00DA7561"/>
    <w:rsid w:val="00DA7637"/>
    <w:rsid w:val="00DA78CE"/>
    <w:rsid w:val="00DB037A"/>
    <w:rsid w:val="00DB03EE"/>
    <w:rsid w:val="00DB0E0D"/>
    <w:rsid w:val="00DB0FB7"/>
    <w:rsid w:val="00DB14F4"/>
    <w:rsid w:val="00DB18BE"/>
    <w:rsid w:val="00DB1D78"/>
    <w:rsid w:val="00DB2825"/>
    <w:rsid w:val="00DB31A1"/>
    <w:rsid w:val="00DB3777"/>
    <w:rsid w:val="00DB3894"/>
    <w:rsid w:val="00DB4956"/>
    <w:rsid w:val="00DB4AA9"/>
    <w:rsid w:val="00DB4BD8"/>
    <w:rsid w:val="00DB57B7"/>
    <w:rsid w:val="00DB682D"/>
    <w:rsid w:val="00DB690A"/>
    <w:rsid w:val="00DB693B"/>
    <w:rsid w:val="00DB6F38"/>
    <w:rsid w:val="00DB7225"/>
    <w:rsid w:val="00DB7284"/>
    <w:rsid w:val="00DC0889"/>
    <w:rsid w:val="00DC0898"/>
    <w:rsid w:val="00DC08EA"/>
    <w:rsid w:val="00DC0D2F"/>
    <w:rsid w:val="00DC0F1B"/>
    <w:rsid w:val="00DC103F"/>
    <w:rsid w:val="00DC1F9F"/>
    <w:rsid w:val="00DC275D"/>
    <w:rsid w:val="00DC317E"/>
    <w:rsid w:val="00DC4520"/>
    <w:rsid w:val="00DC53D4"/>
    <w:rsid w:val="00DC5953"/>
    <w:rsid w:val="00DC64CC"/>
    <w:rsid w:val="00DC6CD7"/>
    <w:rsid w:val="00DC6FD5"/>
    <w:rsid w:val="00DC7C07"/>
    <w:rsid w:val="00DD09FE"/>
    <w:rsid w:val="00DD0B72"/>
    <w:rsid w:val="00DD1003"/>
    <w:rsid w:val="00DD12DB"/>
    <w:rsid w:val="00DD2EA3"/>
    <w:rsid w:val="00DD358E"/>
    <w:rsid w:val="00DD36F5"/>
    <w:rsid w:val="00DD3821"/>
    <w:rsid w:val="00DD3A02"/>
    <w:rsid w:val="00DD3BE1"/>
    <w:rsid w:val="00DD3C54"/>
    <w:rsid w:val="00DD3E05"/>
    <w:rsid w:val="00DD421D"/>
    <w:rsid w:val="00DD4D08"/>
    <w:rsid w:val="00DD52E4"/>
    <w:rsid w:val="00DD5440"/>
    <w:rsid w:val="00DD5892"/>
    <w:rsid w:val="00DD5BE2"/>
    <w:rsid w:val="00DD61B3"/>
    <w:rsid w:val="00DD65E2"/>
    <w:rsid w:val="00DD6915"/>
    <w:rsid w:val="00DD6EC5"/>
    <w:rsid w:val="00DD736C"/>
    <w:rsid w:val="00DD7BC2"/>
    <w:rsid w:val="00DE00D3"/>
    <w:rsid w:val="00DE0707"/>
    <w:rsid w:val="00DE0FC0"/>
    <w:rsid w:val="00DE1321"/>
    <w:rsid w:val="00DE19E3"/>
    <w:rsid w:val="00DE240F"/>
    <w:rsid w:val="00DE28B2"/>
    <w:rsid w:val="00DE29A3"/>
    <w:rsid w:val="00DE2B4D"/>
    <w:rsid w:val="00DE3600"/>
    <w:rsid w:val="00DE4411"/>
    <w:rsid w:val="00DE53E3"/>
    <w:rsid w:val="00DE5475"/>
    <w:rsid w:val="00DE54C2"/>
    <w:rsid w:val="00DE55FF"/>
    <w:rsid w:val="00DE578D"/>
    <w:rsid w:val="00DE5934"/>
    <w:rsid w:val="00DE5C3E"/>
    <w:rsid w:val="00DE5E06"/>
    <w:rsid w:val="00DE5E30"/>
    <w:rsid w:val="00DE69E6"/>
    <w:rsid w:val="00DE69F3"/>
    <w:rsid w:val="00DE6F48"/>
    <w:rsid w:val="00DE7425"/>
    <w:rsid w:val="00DE7983"/>
    <w:rsid w:val="00DE7BA8"/>
    <w:rsid w:val="00DF03D5"/>
    <w:rsid w:val="00DF055D"/>
    <w:rsid w:val="00DF0879"/>
    <w:rsid w:val="00DF0C53"/>
    <w:rsid w:val="00DF0D11"/>
    <w:rsid w:val="00DF1146"/>
    <w:rsid w:val="00DF197E"/>
    <w:rsid w:val="00DF2028"/>
    <w:rsid w:val="00DF211E"/>
    <w:rsid w:val="00DF2175"/>
    <w:rsid w:val="00DF2227"/>
    <w:rsid w:val="00DF2981"/>
    <w:rsid w:val="00DF2C4D"/>
    <w:rsid w:val="00DF3507"/>
    <w:rsid w:val="00DF3841"/>
    <w:rsid w:val="00DF38A8"/>
    <w:rsid w:val="00DF3D8D"/>
    <w:rsid w:val="00DF5883"/>
    <w:rsid w:val="00DF5943"/>
    <w:rsid w:val="00DF656C"/>
    <w:rsid w:val="00DF67FA"/>
    <w:rsid w:val="00DF6DCF"/>
    <w:rsid w:val="00E00256"/>
    <w:rsid w:val="00E00F6C"/>
    <w:rsid w:val="00E016D3"/>
    <w:rsid w:val="00E01A67"/>
    <w:rsid w:val="00E020AF"/>
    <w:rsid w:val="00E0247B"/>
    <w:rsid w:val="00E02751"/>
    <w:rsid w:val="00E0292C"/>
    <w:rsid w:val="00E02A5B"/>
    <w:rsid w:val="00E03489"/>
    <w:rsid w:val="00E03EDA"/>
    <w:rsid w:val="00E03EF1"/>
    <w:rsid w:val="00E0464F"/>
    <w:rsid w:val="00E05147"/>
    <w:rsid w:val="00E0542E"/>
    <w:rsid w:val="00E055A0"/>
    <w:rsid w:val="00E05671"/>
    <w:rsid w:val="00E056FF"/>
    <w:rsid w:val="00E059FE"/>
    <w:rsid w:val="00E05A37"/>
    <w:rsid w:val="00E05BA5"/>
    <w:rsid w:val="00E060FE"/>
    <w:rsid w:val="00E06806"/>
    <w:rsid w:val="00E06B01"/>
    <w:rsid w:val="00E06F4E"/>
    <w:rsid w:val="00E07069"/>
    <w:rsid w:val="00E077D3"/>
    <w:rsid w:val="00E07945"/>
    <w:rsid w:val="00E100F2"/>
    <w:rsid w:val="00E101D9"/>
    <w:rsid w:val="00E10DB0"/>
    <w:rsid w:val="00E1123F"/>
    <w:rsid w:val="00E11559"/>
    <w:rsid w:val="00E11F8A"/>
    <w:rsid w:val="00E12BA6"/>
    <w:rsid w:val="00E12C11"/>
    <w:rsid w:val="00E12E75"/>
    <w:rsid w:val="00E13196"/>
    <w:rsid w:val="00E1381C"/>
    <w:rsid w:val="00E13CC1"/>
    <w:rsid w:val="00E13F17"/>
    <w:rsid w:val="00E14188"/>
    <w:rsid w:val="00E154D3"/>
    <w:rsid w:val="00E1571E"/>
    <w:rsid w:val="00E15C41"/>
    <w:rsid w:val="00E1633E"/>
    <w:rsid w:val="00E16787"/>
    <w:rsid w:val="00E16FA4"/>
    <w:rsid w:val="00E1725F"/>
    <w:rsid w:val="00E17753"/>
    <w:rsid w:val="00E177C8"/>
    <w:rsid w:val="00E17928"/>
    <w:rsid w:val="00E17965"/>
    <w:rsid w:val="00E200F6"/>
    <w:rsid w:val="00E202BB"/>
    <w:rsid w:val="00E20D8B"/>
    <w:rsid w:val="00E211BB"/>
    <w:rsid w:val="00E21CDB"/>
    <w:rsid w:val="00E225E5"/>
    <w:rsid w:val="00E2277F"/>
    <w:rsid w:val="00E23212"/>
    <w:rsid w:val="00E232B2"/>
    <w:rsid w:val="00E23B73"/>
    <w:rsid w:val="00E24013"/>
    <w:rsid w:val="00E241D1"/>
    <w:rsid w:val="00E24BB2"/>
    <w:rsid w:val="00E25225"/>
    <w:rsid w:val="00E254F6"/>
    <w:rsid w:val="00E277B9"/>
    <w:rsid w:val="00E2782D"/>
    <w:rsid w:val="00E27E4C"/>
    <w:rsid w:val="00E30ED7"/>
    <w:rsid w:val="00E30F39"/>
    <w:rsid w:val="00E3157B"/>
    <w:rsid w:val="00E3198F"/>
    <w:rsid w:val="00E321B0"/>
    <w:rsid w:val="00E332DA"/>
    <w:rsid w:val="00E343F8"/>
    <w:rsid w:val="00E352E1"/>
    <w:rsid w:val="00E354F5"/>
    <w:rsid w:val="00E35D52"/>
    <w:rsid w:val="00E36365"/>
    <w:rsid w:val="00E36CB6"/>
    <w:rsid w:val="00E36DBF"/>
    <w:rsid w:val="00E371F6"/>
    <w:rsid w:val="00E37330"/>
    <w:rsid w:val="00E373FC"/>
    <w:rsid w:val="00E37E03"/>
    <w:rsid w:val="00E37E35"/>
    <w:rsid w:val="00E401FF"/>
    <w:rsid w:val="00E40280"/>
    <w:rsid w:val="00E40DE2"/>
    <w:rsid w:val="00E41C92"/>
    <w:rsid w:val="00E42361"/>
    <w:rsid w:val="00E42395"/>
    <w:rsid w:val="00E42587"/>
    <w:rsid w:val="00E42644"/>
    <w:rsid w:val="00E42B3C"/>
    <w:rsid w:val="00E42EAB"/>
    <w:rsid w:val="00E43303"/>
    <w:rsid w:val="00E4342B"/>
    <w:rsid w:val="00E43737"/>
    <w:rsid w:val="00E43754"/>
    <w:rsid w:val="00E4560A"/>
    <w:rsid w:val="00E45956"/>
    <w:rsid w:val="00E4646A"/>
    <w:rsid w:val="00E4671C"/>
    <w:rsid w:val="00E477FC"/>
    <w:rsid w:val="00E47A0E"/>
    <w:rsid w:val="00E504C7"/>
    <w:rsid w:val="00E508BB"/>
    <w:rsid w:val="00E50DF1"/>
    <w:rsid w:val="00E5178F"/>
    <w:rsid w:val="00E517F9"/>
    <w:rsid w:val="00E51D1A"/>
    <w:rsid w:val="00E520F2"/>
    <w:rsid w:val="00E53298"/>
    <w:rsid w:val="00E53E78"/>
    <w:rsid w:val="00E542E5"/>
    <w:rsid w:val="00E55E01"/>
    <w:rsid w:val="00E55F7A"/>
    <w:rsid w:val="00E56728"/>
    <w:rsid w:val="00E5694A"/>
    <w:rsid w:val="00E56969"/>
    <w:rsid w:val="00E5793B"/>
    <w:rsid w:val="00E57C08"/>
    <w:rsid w:val="00E606D0"/>
    <w:rsid w:val="00E611CA"/>
    <w:rsid w:val="00E616A4"/>
    <w:rsid w:val="00E6338B"/>
    <w:rsid w:val="00E635DE"/>
    <w:rsid w:val="00E63781"/>
    <w:rsid w:val="00E63EDE"/>
    <w:rsid w:val="00E64B8A"/>
    <w:rsid w:val="00E65169"/>
    <w:rsid w:val="00E655A3"/>
    <w:rsid w:val="00E6577F"/>
    <w:rsid w:val="00E657F5"/>
    <w:rsid w:val="00E65812"/>
    <w:rsid w:val="00E65AD2"/>
    <w:rsid w:val="00E66ABC"/>
    <w:rsid w:val="00E677D2"/>
    <w:rsid w:val="00E70327"/>
    <w:rsid w:val="00E704F6"/>
    <w:rsid w:val="00E70BAC"/>
    <w:rsid w:val="00E7108B"/>
    <w:rsid w:val="00E712E1"/>
    <w:rsid w:val="00E73002"/>
    <w:rsid w:val="00E73129"/>
    <w:rsid w:val="00E737D8"/>
    <w:rsid w:val="00E75378"/>
    <w:rsid w:val="00E7584D"/>
    <w:rsid w:val="00E7657C"/>
    <w:rsid w:val="00E7692E"/>
    <w:rsid w:val="00E76A5A"/>
    <w:rsid w:val="00E76CDD"/>
    <w:rsid w:val="00E76F0E"/>
    <w:rsid w:val="00E7785B"/>
    <w:rsid w:val="00E77B5D"/>
    <w:rsid w:val="00E77E60"/>
    <w:rsid w:val="00E80C7C"/>
    <w:rsid w:val="00E80F99"/>
    <w:rsid w:val="00E814BB"/>
    <w:rsid w:val="00E815BB"/>
    <w:rsid w:val="00E81B4D"/>
    <w:rsid w:val="00E81E18"/>
    <w:rsid w:val="00E8203A"/>
    <w:rsid w:val="00E82250"/>
    <w:rsid w:val="00E8274F"/>
    <w:rsid w:val="00E82B7B"/>
    <w:rsid w:val="00E84115"/>
    <w:rsid w:val="00E848E6"/>
    <w:rsid w:val="00E84D64"/>
    <w:rsid w:val="00E857C6"/>
    <w:rsid w:val="00E85AC7"/>
    <w:rsid w:val="00E8667E"/>
    <w:rsid w:val="00E900F4"/>
    <w:rsid w:val="00E90374"/>
    <w:rsid w:val="00E9040D"/>
    <w:rsid w:val="00E90CEA"/>
    <w:rsid w:val="00E90FC0"/>
    <w:rsid w:val="00E913B0"/>
    <w:rsid w:val="00E9160D"/>
    <w:rsid w:val="00E9165F"/>
    <w:rsid w:val="00E91898"/>
    <w:rsid w:val="00E9217A"/>
    <w:rsid w:val="00E927FA"/>
    <w:rsid w:val="00E92F27"/>
    <w:rsid w:val="00E9301C"/>
    <w:rsid w:val="00E933BA"/>
    <w:rsid w:val="00E9390E"/>
    <w:rsid w:val="00E94549"/>
    <w:rsid w:val="00E94E34"/>
    <w:rsid w:val="00E951F6"/>
    <w:rsid w:val="00E9535F"/>
    <w:rsid w:val="00E9592B"/>
    <w:rsid w:val="00E9596B"/>
    <w:rsid w:val="00E95F4F"/>
    <w:rsid w:val="00E96017"/>
    <w:rsid w:val="00E9656F"/>
    <w:rsid w:val="00E97559"/>
    <w:rsid w:val="00E97CE5"/>
    <w:rsid w:val="00EA0965"/>
    <w:rsid w:val="00EA1D34"/>
    <w:rsid w:val="00EA2402"/>
    <w:rsid w:val="00EA2742"/>
    <w:rsid w:val="00EA2767"/>
    <w:rsid w:val="00EA2903"/>
    <w:rsid w:val="00EA2A2C"/>
    <w:rsid w:val="00EA2B96"/>
    <w:rsid w:val="00EA2D14"/>
    <w:rsid w:val="00EA2EB8"/>
    <w:rsid w:val="00EA3129"/>
    <w:rsid w:val="00EA3CDD"/>
    <w:rsid w:val="00EA472F"/>
    <w:rsid w:val="00EA5BA0"/>
    <w:rsid w:val="00EA60B0"/>
    <w:rsid w:val="00EA682D"/>
    <w:rsid w:val="00EA78AA"/>
    <w:rsid w:val="00EB0CFE"/>
    <w:rsid w:val="00EB0FB6"/>
    <w:rsid w:val="00EB17EF"/>
    <w:rsid w:val="00EB1D3D"/>
    <w:rsid w:val="00EB25AF"/>
    <w:rsid w:val="00EB3F22"/>
    <w:rsid w:val="00EB40C6"/>
    <w:rsid w:val="00EB41AD"/>
    <w:rsid w:val="00EB4329"/>
    <w:rsid w:val="00EB4B18"/>
    <w:rsid w:val="00EB5A1A"/>
    <w:rsid w:val="00EB7C56"/>
    <w:rsid w:val="00EC03EC"/>
    <w:rsid w:val="00EC08C3"/>
    <w:rsid w:val="00EC096A"/>
    <w:rsid w:val="00EC17C2"/>
    <w:rsid w:val="00EC1B5B"/>
    <w:rsid w:val="00EC2332"/>
    <w:rsid w:val="00EC2C95"/>
    <w:rsid w:val="00EC2DC8"/>
    <w:rsid w:val="00EC3730"/>
    <w:rsid w:val="00EC408F"/>
    <w:rsid w:val="00EC4406"/>
    <w:rsid w:val="00EC4A8B"/>
    <w:rsid w:val="00EC534D"/>
    <w:rsid w:val="00EC54D5"/>
    <w:rsid w:val="00EC5E3F"/>
    <w:rsid w:val="00EC6120"/>
    <w:rsid w:val="00EC67B1"/>
    <w:rsid w:val="00EC6C48"/>
    <w:rsid w:val="00EC77C4"/>
    <w:rsid w:val="00EC7AA9"/>
    <w:rsid w:val="00EC7CF9"/>
    <w:rsid w:val="00EC7F2F"/>
    <w:rsid w:val="00ED0E3A"/>
    <w:rsid w:val="00ED1017"/>
    <w:rsid w:val="00ED2169"/>
    <w:rsid w:val="00ED2394"/>
    <w:rsid w:val="00ED2DBB"/>
    <w:rsid w:val="00ED31A8"/>
    <w:rsid w:val="00ED352C"/>
    <w:rsid w:val="00ED3610"/>
    <w:rsid w:val="00ED37C4"/>
    <w:rsid w:val="00ED3994"/>
    <w:rsid w:val="00ED3B1C"/>
    <w:rsid w:val="00ED3F33"/>
    <w:rsid w:val="00ED40BF"/>
    <w:rsid w:val="00ED43F3"/>
    <w:rsid w:val="00ED4916"/>
    <w:rsid w:val="00ED5AD6"/>
    <w:rsid w:val="00ED5B2C"/>
    <w:rsid w:val="00ED5FAB"/>
    <w:rsid w:val="00ED6329"/>
    <w:rsid w:val="00ED6FC9"/>
    <w:rsid w:val="00ED73E6"/>
    <w:rsid w:val="00ED7721"/>
    <w:rsid w:val="00ED7A07"/>
    <w:rsid w:val="00ED7DD8"/>
    <w:rsid w:val="00EE0EC8"/>
    <w:rsid w:val="00EE1250"/>
    <w:rsid w:val="00EE13FA"/>
    <w:rsid w:val="00EE213C"/>
    <w:rsid w:val="00EE2E0D"/>
    <w:rsid w:val="00EE31DB"/>
    <w:rsid w:val="00EE3495"/>
    <w:rsid w:val="00EE3CA2"/>
    <w:rsid w:val="00EE3D35"/>
    <w:rsid w:val="00EE3EDD"/>
    <w:rsid w:val="00EE3FC2"/>
    <w:rsid w:val="00EE409A"/>
    <w:rsid w:val="00EE479D"/>
    <w:rsid w:val="00EE5AB1"/>
    <w:rsid w:val="00EE5B97"/>
    <w:rsid w:val="00EE5FC8"/>
    <w:rsid w:val="00EE6092"/>
    <w:rsid w:val="00EE694A"/>
    <w:rsid w:val="00EE6C24"/>
    <w:rsid w:val="00EE74BE"/>
    <w:rsid w:val="00EE75B6"/>
    <w:rsid w:val="00EF005E"/>
    <w:rsid w:val="00EF0AF1"/>
    <w:rsid w:val="00EF2E34"/>
    <w:rsid w:val="00EF3DAB"/>
    <w:rsid w:val="00EF4453"/>
    <w:rsid w:val="00EF4BA0"/>
    <w:rsid w:val="00EF4C45"/>
    <w:rsid w:val="00EF4CE2"/>
    <w:rsid w:val="00EF6E17"/>
    <w:rsid w:val="00EF7683"/>
    <w:rsid w:val="00EF7BB7"/>
    <w:rsid w:val="00F00657"/>
    <w:rsid w:val="00F00A71"/>
    <w:rsid w:val="00F00B07"/>
    <w:rsid w:val="00F00FCD"/>
    <w:rsid w:val="00F01532"/>
    <w:rsid w:val="00F01D77"/>
    <w:rsid w:val="00F025D5"/>
    <w:rsid w:val="00F02BCD"/>
    <w:rsid w:val="00F02CF0"/>
    <w:rsid w:val="00F03648"/>
    <w:rsid w:val="00F0374F"/>
    <w:rsid w:val="00F03A7E"/>
    <w:rsid w:val="00F03B35"/>
    <w:rsid w:val="00F03C96"/>
    <w:rsid w:val="00F054AE"/>
    <w:rsid w:val="00F06053"/>
    <w:rsid w:val="00F06227"/>
    <w:rsid w:val="00F06899"/>
    <w:rsid w:val="00F06AA7"/>
    <w:rsid w:val="00F06B9D"/>
    <w:rsid w:val="00F06F12"/>
    <w:rsid w:val="00F0724E"/>
    <w:rsid w:val="00F07F52"/>
    <w:rsid w:val="00F10268"/>
    <w:rsid w:val="00F103DE"/>
    <w:rsid w:val="00F10ED6"/>
    <w:rsid w:val="00F11233"/>
    <w:rsid w:val="00F11250"/>
    <w:rsid w:val="00F114BB"/>
    <w:rsid w:val="00F11C09"/>
    <w:rsid w:val="00F125D1"/>
    <w:rsid w:val="00F12B3A"/>
    <w:rsid w:val="00F12C4F"/>
    <w:rsid w:val="00F138B5"/>
    <w:rsid w:val="00F13C8C"/>
    <w:rsid w:val="00F145E9"/>
    <w:rsid w:val="00F1497D"/>
    <w:rsid w:val="00F16502"/>
    <w:rsid w:val="00F16559"/>
    <w:rsid w:val="00F16AE8"/>
    <w:rsid w:val="00F16DFA"/>
    <w:rsid w:val="00F176B0"/>
    <w:rsid w:val="00F17808"/>
    <w:rsid w:val="00F2084F"/>
    <w:rsid w:val="00F20A88"/>
    <w:rsid w:val="00F20CA5"/>
    <w:rsid w:val="00F20E86"/>
    <w:rsid w:val="00F20E8A"/>
    <w:rsid w:val="00F2130B"/>
    <w:rsid w:val="00F21B75"/>
    <w:rsid w:val="00F21C08"/>
    <w:rsid w:val="00F21D5F"/>
    <w:rsid w:val="00F21E03"/>
    <w:rsid w:val="00F21E45"/>
    <w:rsid w:val="00F22B93"/>
    <w:rsid w:val="00F2325E"/>
    <w:rsid w:val="00F23995"/>
    <w:rsid w:val="00F23B0B"/>
    <w:rsid w:val="00F24BEE"/>
    <w:rsid w:val="00F24CB2"/>
    <w:rsid w:val="00F24CD9"/>
    <w:rsid w:val="00F25A1E"/>
    <w:rsid w:val="00F25AE1"/>
    <w:rsid w:val="00F25F8A"/>
    <w:rsid w:val="00F25FAF"/>
    <w:rsid w:val="00F26255"/>
    <w:rsid w:val="00F2664D"/>
    <w:rsid w:val="00F26C53"/>
    <w:rsid w:val="00F27588"/>
    <w:rsid w:val="00F27904"/>
    <w:rsid w:val="00F279E0"/>
    <w:rsid w:val="00F27D2D"/>
    <w:rsid w:val="00F301C3"/>
    <w:rsid w:val="00F30277"/>
    <w:rsid w:val="00F3098F"/>
    <w:rsid w:val="00F31287"/>
    <w:rsid w:val="00F319C0"/>
    <w:rsid w:val="00F32031"/>
    <w:rsid w:val="00F32B0F"/>
    <w:rsid w:val="00F35445"/>
    <w:rsid w:val="00F35D4D"/>
    <w:rsid w:val="00F3662B"/>
    <w:rsid w:val="00F36AB8"/>
    <w:rsid w:val="00F36ACE"/>
    <w:rsid w:val="00F36E8C"/>
    <w:rsid w:val="00F36F8A"/>
    <w:rsid w:val="00F373D3"/>
    <w:rsid w:val="00F37509"/>
    <w:rsid w:val="00F37C52"/>
    <w:rsid w:val="00F404DD"/>
    <w:rsid w:val="00F40C25"/>
    <w:rsid w:val="00F41BAB"/>
    <w:rsid w:val="00F423B5"/>
    <w:rsid w:val="00F42586"/>
    <w:rsid w:val="00F42D04"/>
    <w:rsid w:val="00F447C4"/>
    <w:rsid w:val="00F44B09"/>
    <w:rsid w:val="00F44C16"/>
    <w:rsid w:val="00F450FD"/>
    <w:rsid w:val="00F455AA"/>
    <w:rsid w:val="00F45614"/>
    <w:rsid w:val="00F46800"/>
    <w:rsid w:val="00F47035"/>
    <w:rsid w:val="00F47795"/>
    <w:rsid w:val="00F478DE"/>
    <w:rsid w:val="00F4793F"/>
    <w:rsid w:val="00F479A7"/>
    <w:rsid w:val="00F504F1"/>
    <w:rsid w:val="00F51164"/>
    <w:rsid w:val="00F51C56"/>
    <w:rsid w:val="00F51DE4"/>
    <w:rsid w:val="00F53E05"/>
    <w:rsid w:val="00F54FBD"/>
    <w:rsid w:val="00F552DA"/>
    <w:rsid w:val="00F55611"/>
    <w:rsid w:val="00F55815"/>
    <w:rsid w:val="00F55C84"/>
    <w:rsid w:val="00F564B5"/>
    <w:rsid w:val="00F57698"/>
    <w:rsid w:val="00F57AA5"/>
    <w:rsid w:val="00F60104"/>
    <w:rsid w:val="00F60A52"/>
    <w:rsid w:val="00F60EB7"/>
    <w:rsid w:val="00F61280"/>
    <w:rsid w:val="00F61473"/>
    <w:rsid w:val="00F61A94"/>
    <w:rsid w:val="00F61DCD"/>
    <w:rsid w:val="00F61DCF"/>
    <w:rsid w:val="00F61E69"/>
    <w:rsid w:val="00F62621"/>
    <w:rsid w:val="00F62A04"/>
    <w:rsid w:val="00F62A1F"/>
    <w:rsid w:val="00F62FF8"/>
    <w:rsid w:val="00F63197"/>
    <w:rsid w:val="00F64B81"/>
    <w:rsid w:val="00F65187"/>
    <w:rsid w:val="00F6518B"/>
    <w:rsid w:val="00F65ABF"/>
    <w:rsid w:val="00F66160"/>
    <w:rsid w:val="00F66654"/>
    <w:rsid w:val="00F6665C"/>
    <w:rsid w:val="00F669C2"/>
    <w:rsid w:val="00F66BE3"/>
    <w:rsid w:val="00F6722C"/>
    <w:rsid w:val="00F67309"/>
    <w:rsid w:val="00F67D29"/>
    <w:rsid w:val="00F70718"/>
    <w:rsid w:val="00F707EF"/>
    <w:rsid w:val="00F708A3"/>
    <w:rsid w:val="00F719B3"/>
    <w:rsid w:val="00F71E7A"/>
    <w:rsid w:val="00F71E93"/>
    <w:rsid w:val="00F7205A"/>
    <w:rsid w:val="00F72331"/>
    <w:rsid w:val="00F73243"/>
    <w:rsid w:val="00F73613"/>
    <w:rsid w:val="00F73976"/>
    <w:rsid w:val="00F73BBA"/>
    <w:rsid w:val="00F7442D"/>
    <w:rsid w:val="00F7473A"/>
    <w:rsid w:val="00F74D2B"/>
    <w:rsid w:val="00F751CB"/>
    <w:rsid w:val="00F75B1D"/>
    <w:rsid w:val="00F75C57"/>
    <w:rsid w:val="00F75E6D"/>
    <w:rsid w:val="00F75F24"/>
    <w:rsid w:val="00F76F19"/>
    <w:rsid w:val="00F77027"/>
    <w:rsid w:val="00F77BFB"/>
    <w:rsid w:val="00F77D61"/>
    <w:rsid w:val="00F80AEC"/>
    <w:rsid w:val="00F811A3"/>
    <w:rsid w:val="00F8167F"/>
    <w:rsid w:val="00F820B2"/>
    <w:rsid w:val="00F821B1"/>
    <w:rsid w:val="00F829AE"/>
    <w:rsid w:val="00F82D33"/>
    <w:rsid w:val="00F82EFC"/>
    <w:rsid w:val="00F83F8A"/>
    <w:rsid w:val="00F84222"/>
    <w:rsid w:val="00F846D3"/>
    <w:rsid w:val="00F84D1F"/>
    <w:rsid w:val="00F85C7B"/>
    <w:rsid w:val="00F85DE6"/>
    <w:rsid w:val="00F86487"/>
    <w:rsid w:val="00F86540"/>
    <w:rsid w:val="00F86A11"/>
    <w:rsid w:val="00F87587"/>
    <w:rsid w:val="00F8778C"/>
    <w:rsid w:val="00F90143"/>
    <w:rsid w:val="00F914F5"/>
    <w:rsid w:val="00F91653"/>
    <w:rsid w:val="00F9201A"/>
    <w:rsid w:val="00F92348"/>
    <w:rsid w:val="00F9275A"/>
    <w:rsid w:val="00F92DA7"/>
    <w:rsid w:val="00F9364F"/>
    <w:rsid w:val="00F93A9B"/>
    <w:rsid w:val="00F93D42"/>
    <w:rsid w:val="00F93D5B"/>
    <w:rsid w:val="00F93E24"/>
    <w:rsid w:val="00F94EA3"/>
    <w:rsid w:val="00F94F5C"/>
    <w:rsid w:val="00F95D8D"/>
    <w:rsid w:val="00F96A04"/>
    <w:rsid w:val="00F96CA8"/>
    <w:rsid w:val="00F971D6"/>
    <w:rsid w:val="00F97624"/>
    <w:rsid w:val="00FA0417"/>
    <w:rsid w:val="00FA044B"/>
    <w:rsid w:val="00FA11E1"/>
    <w:rsid w:val="00FA12F4"/>
    <w:rsid w:val="00FA1B08"/>
    <w:rsid w:val="00FA1D4B"/>
    <w:rsid w:val="00FA1F5A"/>
    <w:rsid w:val="00FA2809"/>
    <w:rsid w:val="00FA3004"/>
    <w:rsid w:val="00FA3167"/>
    <w:rsid w:val="00FA3419"/>
    <w:rsid w:val="00FA353A"/>
    <w:rsid w:val="00FA4607"/>
    <w:rsid w:val="00FA5023"/>
    <w:rsid w:val="00FA5287"/>
    <w:rsid w:val="00FA58D0"/>
    <w:rsid w:val="00FA59B2"/>
    <w:rsid w:val="00FA59B7"/>
    <w:rsid w:val="00FA5B98"/>
    <w:rsid w:val="00FA5DF7"/>
    <w:rsid w:val="00FA6570"/>
    <w:rsid w:val="00FA6BFC"/>
    <w:rsid w:val="00FA73EA"/>
    <w:rsid w:val="00FA7A0B"/>
    <w:rsid w:val="00FA7A34"/>
    <w:rsid w:val="00FA7D1F"/>
    <w:rsid w:val="00FB0346"/>
    <w:rsid w:val="00FB0979"/>
    <w:rsid w:val="00FB0CBE"/>
    <w:rsid w:val="00FB0DE1"/>
    <w:rsid w:val="00FB0EA5"/>
    <w:rsid w:val="00FB130B"/>
    <w:rsid w:val="00FB168A"/>
    <w:rsid w:val="00FB1A42"/>
    <w:rsid w:val="00FB1BCC"/>
    <w:rsid w:val="00FB1BE2"/>
    <w:rsid w:val="00FB1FB0"/>
    <w:rsid w:val="00FB210D"/>
    <w:rsid w:val="00FB2BD1"/>
    <w:rsid w:val="00FB328E"/>
    <w:rsid w:val="00FB3E71"/>
    <w:rsid w:val="00FB41EF"/>
    <w:rsid w:val="00FB42C7"/>
    <w:rsid w:val="00FB4779"/>
    <w:rsid w:val="00FB48B3"/>
    <w:rsid w:val="00FB4FAC"/>
    <w:rsid w:val="00FB5C60"/>
    <w:rsid w:val="00FB5D9B"/>
    <w:rsid w:val="00FB63C3"/>
    <w:rsid w:val="00FB6901"/>
    <w:rsid w:val="00FB71DB"/>
    <w:rsid w:val="00FB757A"/>
    <w:rsid w:val="00FC15F7"/>
    <w:rsid w:val="00FC19E9"/>
    <w:rsid w:val="00FC1D02"/>
    <w:rsid w:val="00FC24E5"/>
    <w:rsid w:val="00FC2DA4"/>
    <w:rsid w:val="00FC3117"/>
    <w:rsid w:val="00FC3922"/>
    <w:rsid w:val="00FC3A84"/>
    <w:rsid w:val="00FC4076"/>
    <w:rsid w:val="00FC459F"/>
    <w:rsid w:val="00FC4B99"/>
    <w:rsid w:val="00FC4E05"/>
    <w:rsid w:val="00FC5879"/>
    <w:rsid w:val="00FC588F"/>
    <w:rsid w:val="00FC64CE"/>
    <w:rsid w:val="00FC65DF"/>
    <w:rsid w:val="00FC66AA"/>
    <w:rsid w:val="00FC6806"/>
    <w:rsid w:val="00FC6B8D"/>
    <w:rsid w:val="00FC6F09"/>
    <w:rsid w:val="00FD0057"/>
    <w:rsid w:val="00FD0276"/>
    <w:rsid w:val="00FD0337"/>
    <w:rsid w:val="00FD058D"/>
    <w:rsid w:val="00FD081A"/>
    <w:rsid w:val="00FD0C94"/>
    <w:rsid w:val="00FD1FFF"/>
    <w:rsid w:val="00FD23F0"/>
    <w:rsid w:val="00FD28EC"/>
    <w:rsid w:val="00FD3223"/>
    <w:rsid w:val="00FD34EA"/>
    <w:rsid w:val="00FD36EA"/>
    <w:rsid w:val="00FD37DB"/>
    <w:rsid w:val="00FD402C"/>
    <w:rsid w:val="00FD4A1E"/>
    <w:rsid w:val="00FD5168"/>
    <w:rsid w:val="00FD559E"/>
    <w:rsid w:val="00FD68E8"/>
    <w:rsid w:val="00FD6FFB"/>
    <w:rsid w:val="00FD77A8"/>
    <w:rsid w:val="00FD7990"/>
    <w:rsid w:val="00FE02D0"/>
    <w:rsid w:val="00FE0333"/>
    <w:rsid w:val="00FE058D"/>
    <w:rsid w:val="00FE0742"/>
    <w:rsid w:val="00FE0ACA"/>
    <w:rsid w:val="00FE1379"/>
    <w:rsid w:val="00FE166C"/>
    <w:rsid w:val="00FE2A32"/>
    <w:rsid w:val="00FE2AE0"/>
    <w:rsid w:val="00FE35A4"/>
    <w:rsid w:val="00FE3A7C"/>
    <w:rsid w:val="00FE4C2F"/>
    <w:rsid w:val="00FE52CA"/>
    <w:rsid w:val="00FE5B7C"/>
    <w:rsid w:val="00FE654E"/>
    <w:rsid w:val="00FE681B"/>
    <w:rsid w:val="00FE6F38"/>
    <w:rsid w:val="00FE718A"/>
    <w:rsid w:val="00FE77A1"/>
    <w:rsid w:val="00FE7A2B"/>
    <w:rsid w:val="00FF006D"/>
    <w:rsid w:val="00FF19CC"/>
    <w:rsid w:val="00FF1FC7"/>
    <w:rsid w:val="00FF20FC"/>
    <w:rsid w:val="00FF2115"/>
    <w:rsid w:val="00FF23B5"/>
    <w:rsid w:val="00FF2763"/>
    <w:rsid w:val="00FF29CA"/>
    <w:rsid w:val="00FF2C4C"/>
    <w:rsid w:val="00FF3113"/>
    <w:rsid w:val="00FF37FD"/>
    <w:rsid w:val="00FF40FE"/>
    <w:rsid w:val="00FF5606"/>
    <w:rsid w:val="00FF64E6"/>
    <w:rsid w:val="00FF6761"/>
    <w:rsid w:val="00FF68D0"/>
    <w:rsid w:val="00FF6A65"/>
    <w:rsid w:val="00FF6B75"/>
    <w:rsid w:val="00FF773A"/>
    <w:rsid w:val="00FF78E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663632"/>
  <w15:docId w15:val="{D210C938-A986-49A0-9CBF-4C9FA5E9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0A7"/>
    <w:rPr>
      <w:sz w:val="24"/>
      <w:szCs w:val="24"/>
      <w:lang w:val="de-DE" w:eastAsia="fr-FR"/>
    </w:rPr>
  </w:style>
  <w:style w:type="paragraph" w:styleId="Titre1">
    <w:name w:val="heading 1"/>
    <w:basedOn w:val="Normal"/>
    <w:next w:val="Normal"/>
    <w:link w:val="Titre1Car"/>
    <w:qFormat/>
    <w:rsid w:val="0096194B"/>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semiHidden/>
    <w:unhideWhenUsed/>
    <w:qFormat/>
    <w:rsid w:val="007251C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semiHidden/>
    <w:unhideWhenUsed/>
    <w:qFormat/>
    <w:rsid w:val="007251C3"/>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semiHidden/>
    <w:unhideWhenUsed/>
    <w:qFormat/>
    <w:rsid w:val="007251C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rsid w:val="00477B8F"/>
    <w:rPr>
      <w:rFonts w:ascii="Tahoma" w:hAnsi="Tahoma" w:cs="Tahoma"/>
      <w:sz w:val="16"/>
      <w:szCs w:val="16"/>
    </w:rPr>
  </w:style>
  <w:style w:type="character" w:styleId="Marquedecommentaire">
    <w:name w:val="annotation reference"/>
    <w:rsid w:val="00FA73EA"/>
    <w:rPr>
      <w:sz w:val="16"/>
      <w:szCs w:val="16"/>
    </w:rPr>
  </w:style>
  <w:style w:type="paragraph" w:styleId="Commentaire">
    <w:name w:val="annotation text"/>
    <w:basedOn w:val="Normal"/>
    <w:link w:val="CommentaireCar"/>
    <w:rsid w:val="00FA73EA"/>
    <w:rPr>
      <w:sz w:val="20"/>
      <w:szCs w:val="20"/>
    </w:rPr>
  </w:style>
  <w:style w:type="character" w:customStyle="1" w:styleId="CommentaireCar">
    <w:name w:val="Commentaire Car"/>
    <w:link w:val="Commentaire"/>
    <w:rsid w:val="00FA73EA"/>
    <w:rPr>
      <w:lang w:val="de-DE" w:eastAsia="fr-FR"/>
    </w:rPr>
  </w:style>
  <w:style w:type="paragraph" w:styleId="Objetducommentaire">
    <w:name w:val="annotation subject"/>
    <w:basedOn w:val="Commentaire"/>
    <w:next w:val="Commentaire"/>
    <w:link w:val="ObjetducommentaireCar"/>
    <w:rsid w:val="00FA73EA"/>
    <w:rPr>
      <w:b/>
      <w:bCs/>
    </w:rPr>
  </w:style>
  <w:style w:type="character" w:customStyle="1" w:styleId="ObjetducommentaireCar">
    <w:name w:val="Objet du commentaire Car"/>
    <w:link w:val="Objetducommentaire"/>
    <w:rsid w:val="00FA73EA"/>
    <w:rPr>
      <w:b/>
      <w:bCs/>
      <w:lang w:val="de-DE" w:eastAsia="fr-FR"/>
    </w:rPr>
  </w:style>
  <w:style w:type="paragraph" w:styleId="En-tte">
    <w:name w:val="header"/>
    <w:basedOn w:val="Normal"/>
    <w:link w:val="En-tteCar"/>
    <w:rsid w:val="00D811D8"/>
    <w:pPr>
      <w:tabs>
        <w:tab w:val="center" w:pos="4536"/>
        <w:tab w:val="right" w:pos="9072"/>
      </w:tabs>
    </w:pPr>
  </w:style>
  <w:style w:type="character" w:customStyle="1" w:styleId="En-tteCar">
    <w:name w:val="En-tête Car"/>
    <w:link w:val="En-tte"/>
    <w:rsid w:val="00D811D8"/>
    <w:rPr>
      <w:sz w:val="24"/>
      <w:szCs w:val="24"/>
      <w:lang w:val="de-DE" w:eastAsia="fr-FR"/>
    </w:rPr>
  </w:style>
  <w:style w:type="paragraph" w:styleId="Pieddepage">
    <w:name w:val="footer"/>
    <w:basedOn w:val="Normal"/>
    <w:link w:val="PieddepageCar"/>
    <w:uiPriority w:val="99"/>
    <w:rsid w:val="00D811D8"/>
    <w:pPr>
      <w:tabs>
        <w:tab w:val="center" w:pos="4536"/>
        <w:tab w:val="right" w:pos="9072"/>
      </w:tabs>
    </w:pPr>
  </w:style>
  <w:style w:type="character" w:customStyle="1" w:styleId="PieddepageCar">
    <w:name w:val="Pied de page Car"/>
    <w:link w:val="Pieddepage"/>
    <w:uiPriority w:val="99"/>
    <w:rsid w:val="00D811D8"/>
    <w:rPr>
      <w:sz w:val="24"/>
      <w:szCs w:val="24"/>
      <w:lang w:val="de-DE" w:eastAsia="fr-FR"/>
    </w:rPr>
  </w:style>
  <w:style w:type="paragraph" w:styleId="Notedebasdepage">
    <w:name w:val="footnote text"/>
    <w:basedOn w:val="Normal"/>
    <w:link w:val="NotedebasdepageCar"/>
    <w:rsid w:val="00B309D3"/>
    <w:rPr>
      <w:sz w:val="20"/>
      <w:szCs w:val="20"/>
    </w:rPr>
  </w:style>
  <w:style w:type="character" w:customStyle="1" w:styleId="NotedebasdepageCar">
    <w:name w:val="Note de bas de page Car"/>
    <w:link w:val="Notedebasdepage"/>
    <w:rsid w:val="00B309D3"/>
    <w:rPr>
      <w:lang w:val="de-DE" w:eastAsia="fr-FR"/>
    </w:rPr>
  </w:style>
  <w:style w:type="character" w:styleId="Appelnotedebasdep">
    <w:name w:val="footnote reference"/>
    <w:rsid w:val="00B309D3"/>
    <w:rPr>
      <w:vertAlign w:val="superscript"/>
    </w:rPr>
  </w:style>
  <w:style w:type="character" w:styleId="lev">
    <w:name w:val="Strong"/>
    <w:qFormat/>
    <w:rsid w:val="00727CAB"/>
    <w:rPr>
      <w:b/>
      <w:bCs/>
    </w:rPr>
  </w:style>
  <w:style w:type="character" w:styleId="Accentuation">
    <w:name w:val="Emphasis"/>
    <w:uiPriority w:val="20"/>
    <w:qFormat/>
    <w:rsid w:val="00727CAB"/>
    <w:rPr>
      <w:i/>
      <w:iCs/>
    </w:rPr>
  </w:style>
  <w:style w:type="paragraph" w:styleId="Rvision">
    <w:name w:val="Revision"/>
    <w:hidden/>
    <w:uiPriority w:val="99"/>
    <w:semiHidden/>
    <w:rsid w:val="00E232B2"/>
    <w:rPr>
      <w:sz w:val="24"/>
      <w:szCs w:val="24"/>
      <w:lang w:val="de-DE" w:eastAsia="fr-FR"/>
    </w:rPr>
  </w:style>
  <w:style w:type="paragraph" w:styleId="Paragraphedeliste">
    <w:name w:val="List Paragraph"/>
    <w:basedOn w:val="Normal"/>
    <w:uiPriority w:val="34"/>
    <w:qFormat/>
    <w:rsid w:val="00AC4A04"/>
    <w:pPr>
      <w:ind w:left="720"/>
      <w:contextualSpacing/>
    </w:pPr>
  </w:style>
  <w:style w:type="character" w:customStyle="1" w:styleId="hbe">
    <w:name w:val="hbe"/>
    <w:basedOn w:val="Policepardfaut"/>
    <w:rsid w:val="00D30694"/>
  </w:style>
  <w:style w:type="character" w:styleId="Lienhypertexte">
    <w:name w:val="Hyperlink"/>
    <w:basedOn w:val="Policepardfaut"/>
    <w:uiPriority w:val="99"/>
    <w:unhideWhenUsed/>
    <w:rsid w:val="00D30694"/>
    <w:rPr>
      <w:color w:val="0000FF"/>
      <w:u w:val="single"/>
    </w:rPr>
  </w:style>
  <w:style w:type="character" w:customStyle="1" w:styleId="Titre1Car">
    <w:name w:val="Titre 1 Car"/>
    <w:basedOn w:val="Policepardfaut"/>
    <w:link w:val="Titre1"/>
    <w:rsid w:val="00696305"/>
    <w:rPr>
      <w:rFonts w:ascii="Arial" w:hAnsi="Arial" w:cs="Arial"/>
      <w:b/>
      <w:bCs/>
      <w:kern w:val="32"/>
      <w:sz w:val="32"/>
      <w:szCs w:val="32"/>
      <w:lang w:val="de-DE" w:eastAsia="fr-FR"/>
    </w:rPr>
  </w:style>
  <w:style w:type="character" w:customStyle="1" w:styleId="TextedebullesCar">
    <w:name w:val="Texte de bulles Car"/>
    <w:basedOn w:val="Policepardfaut"/>
    <w:link w:val="Textedebulles"/>
    <w:semiHidden/>
    <w:rsid w:val="00696305"/>
    <w:rPr>
      <w:rFonts w:ascii="Tahoma" w:hAnsi="Tahoma" w:cs="Tahoma"/>
      <w:sz w:val="16"/>
      <w:szCs w:val="16"/>
      <w:lang w:val="de-DE" w:eastAsia="fr-FR"/>
    </w:rPr>
  </w:style>
  <w:style w:type="character" w:styleId="Lienhypertextesuivivisit">
    <w:name w:val="FollowedHyperlink"/>
    <w:basedOn w:val="Policepardfaut"/>
    <w:uiPriority w:val="99"/>
    <w:semiHidden/>
    <w:unhideWhenUsed/>
    <w:rsid w:val="00696305"/>
    <w:rPr>
      <w:color w:val="954F72" w:themeColor="followedHyperlink"/>
      <w:u w:val="single"/>
    </w:rPr>
  </w:style>
  <w:style w:type="character" w:styleId="Mentionnonrsolue">
    <w:name w:val="Unresolved Mention"/>
    <w:basedOn w:val="Policepardfaut"/>
    <w:uiPriority w:val="99"/>
    <w:semiHidden/>
    <w:unhideWhenUsed/>
    <w:rsid w:val="00650972"/>
    <w:rPr>
      <w:color w:val="605E5C"/>
      <w:shd w:val="clear" w:color="auto" w:fill="E1DFDD"/>
    </w:rPr>
  </w:style>
  <w:style w:type="character" w:customStyle="1" w:styleId="Titre3Car">
    <w:name w:val="Titre 3 Car"/>
    <w:basedOn w:val="Policepardfaut"/>
    <w:link w:val="Titre3"/>
    <w:semiHidden/>
    <w:rsid w:val="007251C3"/>
    <w:rPr>
      <w:rFonts w:asciiTheme="majorHAnsi" w:eastAsiaTheme="majorEastAsia" w:hAnsiTheme="majorHAnsi" w:cstheme="majorBidi"/>
      <w:color w:val="1F4D78" w:themeColor="accent1" w:themeShade="7F"/>
      <w:sz w:val="24"/>
      <w:szCs w:val="24"/>
      <w:lang w:val="de-DE" w:eastAsia="fr-FR"/>
    </w:rPr>
  </w:style>
  <w:style w:type="character" w:customStyle="1" w:styleId="Titre4Car">
    <w:name w:val="Titre 4 Car"/>
    <w:basedOn w:val="Policepardfaut"/>
    <w:link w:val="Titre4"/>
    <w:semiHidden/>
    <w:rsid w:val="007251C3"/>
    <w:rPr>
      <w:rFonts w:asciiTheme="majorHAnsi" w:eastAsiaTheme="majorEastAsia" w:hAnsiTheme="majorHAnsi" w:cstheme="majorBidi"/>
      <w:i/>
      <w:iCs/>
      <w:color w:val="2E74B5" w:themeColor="accent1" w:themeShade="BF"/>
      <w:sz w:val="24"/>
      <w:szCs w:val="24"/>
      <w:lang w:val="de-DE" w:eastAsia="fr-FR"/>
    </w:rPr>
  </w:style>
  <w:style w:type="character" w:customStyle="1" w:styleId="Titre2Car">
    <w:name w:val="Titre 2 Car"/>
    <w:basedOn w:val="Policepardfaut"/>
    <w:link w:val="Titre2"/>
    <w:semiHidden/>
    <w:rsid w:val="007251C3"/>
    <w:rPr>
      <w:rFonts w:asciiTheme="majorHAnsi" w:eastAsiaTheme="majorEastAsia" w:hAnsiTheme="majorHAnsi" w:cstheme="majorBidi"/>
      <w:color w:val="2E74B5" w:themeColor="accent1" w:themeShade="BF"/>
      <w:sz w:val="26"/>
      <w:szCs w:val="26"/>
      <w:lang w:val="de-D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136">
      <w:bodyDiv w:val="1"/>
      <w:marLeft w:val="0"/>
      <w:marRight w:val="0"/>
      <w:marTop w:val="0"/>
      <w:marBottom w:val="0"/>
      <w:divBdr>
        <w:top w:val="none" w:sz="0" w:space="0" w:color="auto"/>
        <w:left w:val="none" w:sz="0" w:space="0" w:color="auto"/>
        <w:bottom w:val="none" w:sz="0" w:space="0" w:color="auto"/>
        <w:right w:val="none" w:sz="0" w:space="0" w:color="auto"/>
      </w:divBdr>
    </w:div>
    <w:div w:id="7416583">
      <w:bodyDiv w:val="1"/>
      <w:marLeft w:val="0"/>
      <w:marRight w:val="0"/>
      <w:marTop w:val="0"/>
      <w:marBottom w:val="0"/>
      <w:divBdr>
        <w:top w:val="none" w:sz="0" w:space="0" w:color="auto"/>
        <w:left w:val="none" w:sz="0" w:space="0" w:color="auto"/>
        <w:bottom w:val="none" w:sz="0" w:space="0" w:color="auto"/>
        <w:right w:val="none" w:sz="0" w:space="0" w:color="auto"/>
      </w:divBdr>
    </w:div>
    <w:div w:id="9920900">
      <w:bodyDiv w:val="1"/>
      <w:marLeft w:val="0"/>
      <w:marRight w:val="0"/>
      <w:marTop w:val="0"/>
      <w:marBottom w:val="0"/>
      <w:divBdr>
        <w:top w:val="none" w:sz="0" w:space="0" w:color="auto"/>
        <w:left w:val="none" w:sz="0" w:space="0" w:color="auto"/>
        <w:bottom w:val="none" w:sz="0" w:space="0" w:color="auto"/>
        <w:right w:val="none" w:sz="0" w:space="0" w:color="auto"/>
      </w:divBdr>
    </w:div>
    <w:div w:id="10031772">
      <w:bodyDiv w:val="1"/>
      <w:marLeft w:val="0"/>
      <w:marRight w:val="0"/>
      <w:marTop w:val="0"/>
      <w:marBottom w:val="0"/>
      <w:divBdr>
        <w:top w:val="none" w:sz="0" w:space="0" w:color="auto"/>
        <w:left w:val="none" w:sz="0" w:space="0" w:color="auto"/>
        <w:bottom w:val="none" w:sz="0" w:space="0" w:color="auto"/>
        <w:right w:val="none" w:sz="0" w:space="0" w:color="auto"/>
      </w:divBdr>
    </w:div>
    <w:div w:id="12651617">
      <w:bodyDiv w:val="1"/>
      <w:marLeft w:val="0"/>
      <w:marRight w:val="0"/>
      <w:marTop w:val="0"/>
      <w:marBottom w:val="0"/>
      <w:divBdr>
        <w:top w:val="none" w:sz="0" w:space="0" w:color="auto"/>
        <w:left w:val="none" w:sz="0" w:space="0" w:color="auto"/>
        <w:bottom w:val="none" w:sz="0" w:space="0" w:color="auto"/>
        <w:right w:val="none" w:sz="0" w:space="0" w:color="auto"/>
      </w:divBdr>
    </w:div>
    <w:div w:id="12731023">
      <w:bodyDiv w:val="1"/>
      <w:marLeft w:val="0"/>
      <w:marRight w:val="0"/>
      <w:marTop w:val="0"/>
      <w:marBottom w:val="0"/>
      <w:divBdr>
        <w:top w:val="none" w:sz="0" w:space="0" w:color="auto"/>
        <w:left w:val="none" w:sz="0" w:space="0" w:color="auto"/>
        <w:bottom w:val="none" w:sz="0" w:space="0" w:color="auto"/>
        <w:right w:val="none" w:sz="0" w:space="0" w:color="auto"/>
      </w:divBdr>
    </w:div>
    <w:div w:id="15036174">
      <w:bodyDiv w:val="1"/>
      <w:marLeft w:val="0"/>
      <w:marRight w:val="0"/>
      <w:marTop w:val="0"/>
      <w:marBottom w:val="0"/>
      <w:divBdr>
        <w:top w:val="none" w:sz="0" w:space="0" w:color="auto"/>
        <w:left w:val="none" w:sz="0" w:space="0" w:color="auto"/>
        <w:bottom w:val="none" w:sz="0" w:space="0" w:color="auto"/>
        <w:right w:val="none" w:sz="0" w:space="0" w:color="auto"/>
      </w:divBdr>
    </w:div>
    <w:div w:id="18313976">
      <w:bodyDiv w:val="1"/>
      <w:marLeft w:val="0"/>
      <w:marRight w:val="0"/>
      <w:marTop w:val="0"/>
      <w:marBottom w:val="0"/>
      <w:divBdr>
        <w:top w:val="none" w:sz="0" w:space="0" w:color="auto"/>
        <w:left w:val="none" w:sz="0" w:space="0" w:color="auto"/>
        <w:bottom w:val="none" w:sz="0" w:space="0" w:color="auto"/>
        <w:right w:val="none" w:sz="0" w:space="0" w:color="auto"/>
      </w:divBdr>
    </w:div>
    <w:div w:id="18429945">
      <w:bodyDiv w:val="1"/>
      <w:marLeft w:val="0"/>
      <w:marRight w:val="0"/>
      <w:marTop w:val="0"/>
      <w:marBottom w:val="0"/>
      <w:divBdr>
        <w:top w:val="none" w:sz="0" w:space="0" w:color="auto"/>
        <w:left w:val="none" w:sz="0" w:space="0" w:color="auto"/>
        <w:bottom w:val="none" w:sz="0" w:space="0" w:color="auto"/>
        <w:right w:val="none" w:sz="0" w:space="0" w:color="auto"/>
      </w:divBdr>
    </w:div>
    <w:div w:id="20322444">
      <w:bodyDiv w:val="1"/>
      <w:marLeft w:val="0"/>
      <w:marRight w:val="0"/>
      <w:marTop w:val="0"/>
      <w:marBottom w:val="0"/>
      <w:divBdr>
        <w:top w:val="none" w:sz="0" w:space="0" w:color="auto"/>
        <w:left w:val="none" w:sz="0" w:space="0" w:color="auto"/>
        <w:bottom w:val="none" w:sz="0" w:space="0" w:color="auto"/>
        <w:right w:val="none" w:sz="0" w:space="0" w:color="auto"/>
      </w:divBdr>
    </w:div>
    <w:div w:id="22363005">
      <w:bodyDiv w:val="1"/>
      <w:marLeft w:val="0"/>
      <w:marRight w:val="0"/>
      <w:marTop w:val="0"/>
      <w:marBottom w:val="0"/>
      <w:divBdr>
        <w:top w:val="none" w:sz="0" w:space="0" w:color="auto"/>
        <w:left w:val="none" w:sz="0" w:space="0" w:color="auto"/>
        <w:bottom w:val="none" w:sz="0" w:space="0" w:color="auto"/>
        <w:right w:val="none" w:sz="0" w:space="0" w:color="auto"/>
      </w:divBdr>
    </w:div>
    <w:div w:id="30111632">
      <w:bodyDiv w:val="1"/>
      <w:marLeft w:val="0"/>
      <w:marRight w:val="0"/>
      <w:marTop w:val="0"/>
      <w:marBottom w:val="0"/>
      <w:divBdr>
        <w:top w:val="none" w:sz="0" w:space="0" w:color="auto"/>
        <w:left w:val="none" w:sz="0" w:space="0" w:color="auto"/>
        <w:bottom w:val="none" w:sz="0" w:space="0" w:color="auto"/>
        <w:right w:val="none" w:sz="0" w:space="0" w:color="auto"/>
      </w:divBdr>
    </w:div>
    <w:div w:id="31074386">
      <w:bodyDiv w:val="1"/>
      <w:marLeft w:val="0"/>
      <w:marRight w:val="0"/>
      <w:marTop w:val="0"/>
      <w:marBottom w:val="0"/>
      <w:divBdr>
        <w:top w:val="none" w:sz="0" w:space="0" w:color="auto"/>
        <w:left w:val="none" w:sz="0" w:space="0" w:color="auto"/>
        <w:bottom w:val="none" w:sz="0" w:space="0" w:color="auto"/>
        <w:right w:val="none" w:sz="0" w:space="0" w:color="auto"/>
      </w:divBdr>
    </w:div>
    <w:div w:id="32309251">
      <w:bodyDiv w:val="1"/>
      <w:marLeft w:val="0"/>
      <w:marRight w:val="0"/>
      <w:marTop w:val="0"/>
      <w:marBottom w:val="0"/>
      <w:divBdr>
        <w:top w:val="none" w:sz="0" w:space="0" w:color="auto"/>
        <w:left w:val="none" w:sz="0" w:space="0" w:color="auto"/>
        <w:bottom w:val="none" w:sz="0" w:space="0" w:color="auto"/>
        <w:right w:val="none" w:sz="0" w:space="0" w:color="auto"/>
      </w:divBdr>
    </w:div>
    <w:div w:id="33972621">
      <w:bodyDiv w:val="1"/>
      <w:marLeft w:val="0"/>
      <w:marRight w:val="0"/>
      <w:marTop w:val="0"/>
      <w:marBottom w:val="0"/>
      <w:divBdr>
        <w:top w:val="none" w:sz="0" w:space="0" w:color="auto"/>
        <w:left w:val="none" w:sz="0" w:space="0" w:color="auto"/>
        <w:bottom w:val="none" w:sz="0" w:space="0" w:color="auto"/>
        <w:right w:val="none" w:sz="0" w:space="0" w:color="auto"/>
      </w:divBdr>
    </w:div>
    <w:div w:id="34041304">
      <w:bodyDiv w:val="1"/>
      <w:marLeft w:val="0"/>
      <w:marRight w:val="0"/>
      <w:marTop w:val="0"/>
      <w:marBottom w:val="0"/>
      <w:divBdr>
        <w:top w:val="none" w:sz="0" w:space="0" w:color="auto"/>
        <w:left w:val="none" w:sz="0" w:space="0" w:color="auto"/>
        <w:bottom w:val="none" w:sz="0" w:space="0" w:color="auto"/>
        <w:right w:val="none" w:sz="0" w:space="0" w:color="auto"/>
      </w:divBdr>
    </w:div>
    <w:div w:id="37053850">
      <w:bodyDiv w:val="1"/>
      <w:marLeft w:val="0"/>
      <w:marRight w:val="0"/>
      <w:marTop w:val="0"/>
      <w:marBottom w:val="0"/>
      <w:divBdr>
        <w:top w:val="none" w:sz="0" w:space="0" w:color="auto"/>
        <w:left w:val="none" w:sz="0" w:space="0" w:color="auto"/>
        <w:bottom w:val="none" w:sz="0" w:space="0" w:color="auto"/>
        <w:right w:val="none" w:sz="0" w:space="0" w:color="auto"/>
      </w:divBdr>
    </w:div>
    <w:div w:id="37632368">
      <w:bodyDiv w:val="1"/>
      <w:marLeft w:val="0"/>
      <w:marRight w:val="0"/>
      <w:marTop w:val="0"/>
      <w:marBottom w:val="0"/>
      <w:divBdr>
        <w:top w:val="none" w:sz="0" w:space="0" w:color="auto"/>
        <w:left w:val="none" w:sz="0" w:space="0" w:color="auto"/>
        <w:bottom w:val="none" w:sz="0" w:space="0" w:color="auto"/>
        <w:right w:val="none" w:sz="0" w:space="0" w:color="auto"/>
      </w:divBdr>
    </w:div>
    <w:div w:id="38668893">
      <w:bodyDiv w:val="1"/>
      <w:marLeft w:val="0"/>
      <w:marRight w:val="0"/>
      <w:marTop w:val="0"/>
      <w:marBottom w:val="0"/>
      <w:divBdr>
        <w:top w:val="none" w:sz="0" w:space="0" w:color="auto"/>
        <w:left w:val="none" w:sz="0" w:space="0" w:color="auto"/>
        <w:bottom w:val="none" w:sz="0" w:space="0" w:color="auto"/>
        <w:right w:val="none" w:sz="0" w:space="0" w:color="auto"/>
      </w:divBdr>
    </w:div>
    <w:div w:id="46493875">
      <w:bodyDiv w:val="1"/>
      <w:marLeft w:val="0"/>
      <w:marRight w:val="0"/>
      <w:marTop w:val="0"/>
      <w:marBottom w:val="0"/>
      <w:divBdr>
        <w:top w:val="none" w:sz="0" w:space="0" w:color="auto"/>
        <w:left w:val="none" w:sz="0" w:space="0" w:color="auto"/>
        <w:bottom w:val="none" w:sz="0" w:space="0" w:color="auto"/>
        <w:right w:val="none" w:sz="0" w:space="0" w:color="auto"/>
      </w:divBdr>
    </w:div>
    <w:div w:id="48192869">
      <w:bodyDiv w:val="1"/>
      <w:marLeft w:val="0"/>
      <w:marRight w:val="0"/>
      <w:marTop w:val="0"/>
      <w:marBottom w:val="0"/>
      <w:divBdr>
        <w:top w:val="none" w:sz="0" w:space="0" w:color="auto"/>
        <w:left w:val="none" w:sz="0" w:space="0" w:color="auto"/>
        <w:bottom w:val="none" w:sz="0" w:space="0" w:color="auto"/>
        <w:right w:val="none" w:sz="0" w:space="0" w:color="auto"/>
      </w:divBdr>
    </w:div>
    <w:div w:id="51389343">
      <w:bodyDiv w:val="1"/>
      <w:marLeft w:val="0"/>
      <w:marRight w:val="0"/>
      <w:marTop w:val="0"/>
      <w:marBottom w:val="0"/>
      <w:divBdr>
        <w:top w:val="none" w:sz="0" w:space="0" w:color="auto"/>
        <w:left w:val="none" w:sz="0" w:space="0" w:color="auto"/>
        <w:bottom w:val="none" w:sz="0" w:space="0" w:color="auto"/>
        <w:right w:val="none" w:sz="0" w:space="0" w:color="auto"/>
      </w:divBdr>
    </w:div>
    <w:div w:id="52390217">
      <w:bodyDiv w:val="1"/>
      <w:marLeft w:val="0"/>
      <w:marRight w:val="0"/>
      <w:marTop w:val="0"/>
      <w:marBottom w:val="0"/>
      <w:divBdr>
        <w:top w:val="none" w:sz="0" w:space="0" w:color="auto"/>
        <w:left w:val="none" w:sz="0" w:space="0" w:color="auto"/>
        <w:bottom w:val="none" w:sz="0" w:space="0" w:color="auto"/>
        <w:right w:val="none" w:sz="0" w:space="0" w:color="auto"/>
      </w:divBdr>
    </w:div>
    <w:div w:id="52775988">
      <w:bodyDiv w:val="1"/>
      <w:marLeft w:val="0"/>
      <w:marRight w:val="0"/>
      <w:marTop w:val="0"/>
      <w:marBottom w:val="0"/>
      <w:divBdr>
        <w:top w:val="none" w:sz="0" w:space="0" w:color="auto"/>
        <w:left w:val="none" w:sz="0" w:space="0" w:color="auto"/>
        <w:bottom w:val="none" w:sz="0" w:space="0" w:color="auto"/>
        <w:right w:val="none" w:sz="0" w:space="0" w:color="auto"/>
      </w:divBdr>
    </w:div>
    <w:div w:id="54596412">
      <w:bodyDiv w:val="1"/>
      <w:marLeft w:val="0"/>
      <w:marRight w:val="0"/>
      <w:marTop w:val="0"/>
      <w:marBottom w:val="0"/>
      <w:divBdr>
        <w:top w:val="none" w:sz="0" w:space="0" w:color="auto"/>
        <w:left w:val="none" w:sz="0" w:space="0" w:color="auto"/>
        <w:bottom w:val="none" w:sz="0" w:space="0" w:color="auto"/>
        <w:right w:val="none" w:sz="0" w:space="0" w:color="auto"/>
      </w:divBdr>
    </w:div>
    <w:div w:id="58410145">
      <w:bodyDiv w:val="1"/>
      <w:marLeft w:val="0"/>
      <w:marRight w:val="0"/>
      <w:marTop w:val="0"/>
      <w:marBottom w:val="0"/>
      <w:divBdr>
        <w:top w:val="none" w:sz="0" w:space="0" w:color="auto"/>
        <w:left w:val="none" w:sz="0" w:space="0" w:color="auto"/>
        <w:bottom w:val="none" w:sz="0" w:space="0" w:color="auto"/>
        <w:right w:val="none" w:sz="0" w:space="0" w:color="auto"/>
      </w:divBdr>
    </w:div>
    <w:div w:id="60956535">
      <w:bodyDiv w:val="1"/>
      <w:marLeft w:val="0"/>
      <w:marRight w:val="0"/>
      <w:marTop w:val="0"/>
      <w:marBottom w:val="0"/>
      <w:divBdr>
        <w:top w:val="none" w:sz="0" w:space="0" w:color="auto"/>
        <w:left w:val="none" w:sz="0" w:space="0" w:color="auto"/>
        <w:bottom w:val="none" w:sz="0" w:space="0" w:color="auto"/>
        <w:right w:val="none" w:sz="0" w:space="0" w:color="auto"/>
      </w:divBdr>
    </w:div>
    <w:div w:id="65493596">
      <w:bodyDiv w:val="1"/>
      <w:marLeft w:val="0"/>
      <w:marRight w:val="0"/>
      <w:marTop w:val="0"/>
      <w:marBottom w:val="0"/>
      <w:divBdr>
        <w:top w:val="none" w:sz="0" w:space="0" w:color="auto"/>
        <w:left w:val="none" w:sz="0" w:space="0" w:color="auto"/>
        <w:bottom w:val="none" w:sz="0" w:space="0" w:color="auto"/>
        <w:right w:val="none" w:sz="0" w:space="0" w:color="auto"/>
      </w:divBdr>
    </w:div>
    <w:div w:id="72628015">
      <w:bodyDiv w:val="1"/>
      <w:marLeft w:val="0"/>
      <w:marRight w:val="0"/>
      <w:marTop w:val="0"/>
      <w:marBottom w:val="0"/>
      <w:divBdr>
        <w:top w:val="none" w:sz="0" w:space="0" w:color="auto"/>
        <w:left w:val="none" w:sz="0" w:space="0" w:color="auto"/>
        <w:bottom w:val="none" w:sz="0" w:space="0" w:color="auto"/>
        <w:right w:val="none" w:sz="0" w:space="0" w:color="auto"/>
      </w:divBdr>
    </w:div>
    <w:div w:id="76558948">
      <w:bodyDiv w:val="1"/>
      <w:marLeft w:val="0"/>
      <w:marRight w:val="0"/>
      <w:marTop w:val="0"/>
      <w:marBottom w:val="0"/>
      <w:divBdr>
        <w:top w:val="none" w:sz="0" w:space="0" w:color="auto"/>
        <w:left w:val="none" w:sz="0" w:space="0" w:color="auto"/>
        <w:bottom w:val="none" w:sz="0" w:space="0" w:color="auto"/>
        <w:right w:val="none" w:sz="0" w:space="0" w:color="auto"/>
      </w:divBdr>
    </w:div>
    <w:div w:id="81531769">
      <w:bodyDiv w:val="1"/>
      <w:marLeft w:val="0"/>
      <w:marRight w:val="0"/>
      <w:marTop w:val="0"/>
      <w:marBottom w:val="0"/>
      <w:divBdr>
        <w:top w:val="none" w:sz="0" w:space="0" w:color="auto"/>
        <w:left w:val="none" w:sz="0" w:space="0" w:color="auto"/>
        <w:bottom w:val="none" w:sz="0" w:space="0" w:color="auto"/>
        <w:right w:val="none" w:sz="0" w:space="0" w:color="auto"/>
      </w:divBdr>
    </w:div>
    <w:div w:id="85922954">
      <w:bodyDiv w:val="1"/>
      <w:marLeft w:val="0"/>
      <w:marRight w:val="0"/>
      <w:marTop w:val="0"/>
      <w:marBottom w:val="0"/>
      <w:divBdr>
        <w:top w:val="none" w:sz="0" w:space="0" w:color="auto"/>
        <w:left w:val="none" w:sz="0" w:space="0" w:color="auto"/>
        <w:bottom w:val="none" w:sz="0" w:space="0" w:color="auto"/>
        <w:right w:val="none" w:sz="0" w:space="0" w:color="auto"/>
      </w:divBdr>
    </w:div>
    <w:div w:id="88818726">
      <w:bodyDiv w:val="1"/>
      <w:marLeft w:val="0"/>
      <w:marRight w:val="0"/>
      <w:marTop w:val="0"/>
      <w:marBottom w:val="0"/>
      <w:divBdr>
        <w:top w:val="none" w:sz="0" w:space="0" w:color="auto"/>
        <w:left w:val="none" w:sz="0" w:space="0" w:color="auto"/>
        <w:bottom w:val="none" w:sz="0" w:space="0" w:color="auto"/>
        <w:right w:val="none" w:sz="0" w:space="0" w:color="auto"/>
      </w:divBdr>
    </w:div>
    <w:div w:id="90902870">
      <w:bodyDiv w:val="1"/>
      <w:marLeft w:val="0"/>
      <w:marRight w:val="0"/>
      <w:marTop w:val="0"/>
      <w:marBottom w:val="0"/>
      <w:divBdr>
        <w:top w:val="none" w:sz="0" w:space="0" w:color="auto"/>
        <w:left w:val="none" w:sz="0" w:space="0" w:color="auto"/>
        <w:bottom w:val="none" w:sz="0" w:space="0" w:color="auto"/>
        <w:right w:val="none" w:sz="0" w:space="0" w:color="auto"/>
      </w:divBdr>
    </w:div>
    <w:div w:id="95830021">
      <w:bodyDiv w:val="1"/>
      <w:marLeft w:val="0"/>
      <w:marRight w:val="0"/>
      <w:marTop w:val="0"/>
      <w:marBottom w:val="0"/>
      <w:divBdr>
        <w:top w:val="none" w:sz="0" w:space="0" w:color="auto"/>
        <w:left w:val="none" w:sz="0" w:space="0" w:color="auto"/>
        <w:bottom w:val="none" w:sz="0" w:space="0" w:color="auto"/>
        <w:right w:val="none" w:sz="0" w:space="0" w:color="auto"/>
      </w:divBdr>
    </w:div>
    <w:div w:id="98532388">
      <w:bodyDiv w:val="1"/>
      <w:marLeft w:val="0"/>
      <w:marRight w:val="0"/>
      <w:marTop w:val="0"/>
      <w:marBottom w:val="0"/>
      <w:divBdr>
        <w:top w:val="none" w:sz="0" w:space="0" w:color="auto"/>
        <w:left w:val="none" w:sz="0" w:space="0" w:color="auto"/>
        <w:bottom w:val="none" w:sz="0" w:space="0" w:color="auto"/>
        <w:right w:val="none" w:sz="0" w:space="0" w:color="auto"/>
      </w:divBdr>
    </w:div>
    <w:div w:id="99372524">
      <w:bodyDiv w:val="1"/>
      <w:marLeft w:val="0"/>
      <w:marRight w:val="0"/>
      <w:marTop w:val="0"/>
      <w:marBottom w:val="0"/>
      <w:divBdr>
        <w:top w:val="none" w:sz="0" w:space="0" w:color="auto"/>
        <w:left w:val="none" w:sz="0" w:space="0" w:color="auto"/>
        <w:bottom w:val="none" w:sz="0" w:space="0" w:color="auto"/>
        <w:right w:val="none" w:sz="0" w:space="0" w:color="auto"/>
      </w:divBdr>
    </w:div>
    <w:div w:id="100759092">
      <w:bodyDiv w:val="1"/>
      <w:marLeft w:val="0"/>
      <w:marRight w:val="0"/>
      <w:marTop w:val="0"/>
      <w:marBottom w:val="0"/>
      <w:divBdr>
        <w:top w:val="none" w:sz="0" w:space="0" w:color="auto"/>
        <w:left w:val="none" w:sz="0" w:space="0" w:color="auto"/>
        <w:bottom w:val="none" w:sz="0" w:space="0" w:color="auto"/>
        <w:right w:val="none" w:sz="0" w:space="0" w:color="auto"/>
      </w:divBdr>
    </w:div>
    <w:div w:id="101532511">
      <w:bodyDiv w:val="1"/>
      <w:marLeft w:val="0"/>
      <w:marRight w:val="0"/>
      <w:marTop w:val="0"/>
      <w:marBottom w:val="0"/>
      <w:divBdr>
        <w:top w:val="none" w:sz="0" w:space="0" w:color="auto"/>
        <w:left w:val="none" w:sz="0" w:space="0" w:color="auto"/>
        <w:bottom w:val="none" w:sz="0" w:space="0" w:color="auto"/>
        <w:right w:val="none" w:sz="0" w:space="0" w:color="auto"/>
      </w:divBdr>
    </w:div>
    <w:div w:id="101733381">
      <w:bodyDiv w:val="1"/>
      <w:marLeft w:val="0"/>
      <w:marRight w:val="0"/>
      <w:marTop w:val="0"/>
      <w:marBottom w:val="0"/>
      <w:divBdr>
        <w:top w:val="none" w:sz="0" w:space="0" w:color="auto"/>
        <w:left w:val="none" w:sz="0" w:space="0" w:color="auto"/>
        <w:bottom w:val="none" w:sz="0" w:space="0" w:color="auto"/>
        <w:right w:val="none" w:sz="0" w:space="0" w:color="auto"/>
      </w:divBdr>
    </w:div>
    <w:div w:id="104691201">
      <w:bodyDiv w:val="1"/>
      <w:marLeft w:val="0"/>
      <w:marRight w:val="0"/>
      <w:marTop w:val="0"/>
      <w:marBottom w:val="0"/>
      <w:divBdr>
        <w:top w:val="none" w:sz="0" w:space="0" w:color="auto"/>
        <w:left w:val="none" w:sz="0" w:space="0" w:color="auto"/>
        <w:bottom w:val="none" w:sz="0" w:space="0" w:color="auto"/>
        <w:right w:val="none" w:sz="0" w:space="0" w:color="auto"/>
      </w:divBdr>
    </w:div>
    <w:div w:id="106775851">
      <w:bodyDiv w:val="1"/>
      <w:marLeft w:val="0"/>
      <w:marRight w:val="0"/>
      <w:marTop w:val="0"/>
      <w:marBottom w:val="0"/>
      <w:divBdr>
        <w:top w:val="none" w:sz="0" w:space="0" w:color="auto"/>
        <w:left w:val="none" w:sz="0" w:space="0" w:color="auto"/>
        <w:bottom w:val="none" w:sz="0" w:space="0" w:color="auto"/>
        <w:right w:val="none" w:sz="0" w:space="0" w:color="auto"/>
      </w:divBdr>
      <w:divsChild>
        <w:div w:id="254439025">
          <w:marLeft w:val="0"/>
          <w:marRight w:val="0"/>
          <w:marTop w:val="0"/>
          <w:marBottom w:val="0"/>
          <w:divBdr>
            <w:top w:val="none" w:sz="0" w:space="0" w:color="auto"/>
            <w:left w:val="none" w:sz="0" w:space="0" w:color="auto"/>
            <w:bottom w:val="none" w:sz="0" w:space="0" w:color="auto"/>
            <w:right w:val="none" w:sz="0" w:space="0" w:color="auto"/>
          </w:divBdr>
        </w:div>
        <w:div w:id="957637102">
          <w:marLeft w:val="0"/>
          <w:marRight w:val="0"/>
          <w:marTop w:val="0"/>
          <w:marBottom w:val="0"/>
          <w:divBdr>
            <w:top w:val="none" w:sz="0" w:space="0" w:color="auto"/>
            <w:left w:val="none" w:sz="0" w:space="0" w:color="auto"/>
            <w:bottom w:val="none" w:sz="0" w:space="0" w:color="auto"/>
            <w:right w:val="none" w:sz="0" w:space="0" w:color="auto"/>
          </w:divBdr>
        </w:div>
      </w:divsChild>
    </w:div>
    <w:div w:id="107890598">
      <w:bodyDiv w:val="1"/>
      <w:marLeft w:val="0"/>
      <w:marRight w:val="0"/>
      <w:marTop w:val="0"/>
      <w:marBottom w:val="0"/>
      <w:divBdr>
        <w:top w:val="none" w:sz="0" w:space="0" w:color="auto"/>
        <w:left w:val="none" w:sz="0" w:space="0" w:color="auto"/>
        <w:bottom w:val="none" w:sz="0" w:space="0" w:color="auto"/>
        <w:right w:val="none" w:sz="0" w:space="0" w:color="auto"/>
      </w:divBdr>
    </w:div>
    <w:div w:id="111175947">
      <w:bodyDiv w:val="1"/>
      <w:marLeft w:val="0"/>
      <w:marRight w:val="0"/>
      <w:marTop w:val="0"/>
      <w:marBottom w:val="0"/>
      <w:divBdr>
        <w:top w:val="none" w:sz="0" w:space="0" w:color="auto"/>
        <w:left w:val="none" w:sz="0" w:space="0" w:color="auto"/>
        <w:bottom w:val="none" w:sz="0" w:space="0" w:color="auto"/>
        <w:right w:val="none" w:sz="0" w:space="0" w:color="auto"/>
      </w:divBdr>
    </w:div>
    <w:div w:id="124275096">
      <w:bodyDiv w:val="1"/>
      <w:marLeft w:val="0"/>
      <w:marRight w:val="0"/>
      <w:marTop w:val="0"/>
      <w:marBottom w:val="0"/>
      <w:divBdr>
        <w:top w:val="none" w:sz="0" w:space="0" w:color="auto"/>
        <w:left w:val="none" w:sz="0" w:space="0" w:color="auto"/>
        <w:bottom w:val="none" w:sz="0" w:space="0" w:color="auto"/>
        <w:right w:val="none" w:sz="0" w:space="0" w:color="auto"/>
      </w:divBdr>
    </w:div>
    <w:div w:id="126238197">
      <w:bodyDiv w:val="1"/>
      <w:marLeft w:val="0"/>
      <w:marRight w:val="0"/>
      <w:marTop w:val="0"/>
      <w:marBottom w:val="0"/>
      <w:divBdr>
        <w:top w:val="none" w:sz="0" w:space="0" w:color="auto"/>
        <w:left w:val="none" w:sz="0" w:space="0" w:color="auto"/>
        <w:bottom w:val="none" w:sz="0" w:space="0" w:color="auto"/>
        <w:right w:val="none" w:sz="0" w:space="0" w:color="auto"/>
      </w:divBdr>
    </w:div>
    <w:div w:id="127861368">
      <w:bodyDiv w:val="1"/>
      <w:marLeft w:val="0"/>
      <w:marRight w:val="0"/>
      <w:marTop w:val="0"/>
      <w:marBottom w:val="0"/>
      <w:divBdr>
        <w:top w:val="none" w:sz="0" w:space="0" w:color="auto"/>
        <w:left w:val="none" w:sz="0" w:space="0" w:color="auto"/>
        <w:bottom w:val="none" w:sz="0" w:space="0" w:color="auto"/>
        <w:right w:val="none" w:sz="0" w:space="0" w:color="auto"/>
      </w:divBdr>
    </w:div>
    <w:div w:id="131216900">
      <w:bodyDiv w:val="1"/>
      <w:marLeft w:val="0"/>
      <w:marRight w:val="0"/>
      <w:marTop w:val="0"/>
      <w:marBottom w:val="0"/>
      <w:divBdr>
        <w:top w:val="none" w:sz="0" w:space="0" w:color="auto"/>
        <w:left w:val="none" w:sz="0" w:space="0" w:color="auto"/>
        <w:bottom w:val="none" w:sz="0" w:space="0" w:color="auto"/>
        <w:right w:val="none" w:sz="0" w:space="0" w:color="auto"/>
      </w:divBdr>
    </w:div>
    <w:div w:id="131409835">
      <w:bodyDiv w:val="1"/>
      <w:marLeft w:val="0"/>
      <w:marRight w:val="0"/>
      <w:marTop w:val="0"/>
      <w:marBottom w:val="0"/>
      <w:divBdr>
        <w:top w:val="none" w:sz="0" w:space="0" w:color="auto"/>
        <w:left w:val="none" w:sz="0" w:space="0" w:color="auto"/>
        <w:bottom w:val="none" w:sz="0" w:space="0" w:color="auto"/>
        <w:right w:val="none" w:sz="0" w:space="0" w:color="auto"/>
      </w:divBdr>
    </w:div>
    <w:div w:id="133186159">
      <w:bodyDiv w:val="1"/>
      <w:marLeft w:val="0"/>
      <w:marRight w:val="0"/>
      <w:marTop w:val="0"/>
      <w:marBottom w:val="0"/>
      <w:divBdr>
        <w:top w:val="none" w:sz="0" w:space="0" w:color="auto"/>
        <w:left w:val="none" w:sz="0" w:space="0" w:color="auto"/>
        <w:bottom w:val="none" w:sz="0" w:space="0" w:color="auto"/>
        <w:right w:val="none" w:sz="0" w:space="0" w:color="auto"/>
      </w:divBdr>
    </w:div>
    <w:div w:id="133717715">
      <w:bodyDiv w:val="1"/>
      <w:marLeft w:val="0"/>
      <w:marRight w:val="0"/>
      <w:marTop w:val="0"/>
      <w:marBottom w:val="0"/>
      <w:divBdr>
        <w:top w:val="none" w:sz="0" w:space="0" w:color="auto"/>
        <w:left w:val="none" w:sz="0" w:space="0" w:color="auto"/>
        <w:bottom w:val="none" w:sz="0" w:space="0" w:color="auto"/>
        <w:right w:val="none" w:sz="0" w:space="0" w:color="auto"/>
      </w:divBdr>
    </w:div>
    <w:div w:id="133842228">
      <w:bodyDiv w:val="1"/>
      <w:marLeft w:val="0"/>
      <w:marRight w:val="0"/>
      <w:marTop w:val="0"/>
      <w:marBottom w:val="0"/>
      <w:divBdr>
        <w:top w:val="none" w:sz="0" w:space="0" w:color="auto"/>
        <w:left w:val="none" w:sz="0" w:space="0" w:color="auto"/>
        <w:bottom w:val="none" w:sz="0" w:space="0" w:color="auto"/>
        <w:right w:val="none" w:sz="0" w:space="0" w:color="auto"/>
      </w:divBdr>
    </w:div>
    <w:div w:id="142627369">
      <w:bodyDiv w:val="1"/>
      <w:marLeft w:val="0"/>
      <w:marRight w:val="0"/>
      <w:marTop w:val="0"/>
      <w:marBottom w:val="0"/>
      <w:divBdr>
        <w:top w:val="none" w:sz="0" w:space="0" w:color="auto"/>
        <w:left w:val="none" w:sz="0" w:space="0" w:color="auto"/>
        <w:bottom w:val="none" w:sz="0" w:space="0" w:color="auto"/>
        <w:right w:val="none" w:sz="0" w:space="0" w:color="auto"/>
      </w:divBdr>
    </w:div>
    <w:div w:id="147132995">
      <w:bodyDiv w:val="1"/>
      <w:marLeft w:val="0"/>
      <w:marRight w:val="0"/>
      <w:marTop w:val="0"/>
      <w:marBottom w:val="0"/>
      <w:divBdr>
        <w:top w:val="none" w:sz="0" w:space="0" w:color="auto"/>
        <w:left w:val="none" w:sz="0" w:space="0" w:color="auto"/>
        <w:bottom w:val="none" w:sz="0" w:space="0" w:color="auto"/>
        <w:right w:val="none" w:sz="0" w:space="0" w:color="auto"/>
      </w:divBdr>
    </w:div>
    <w:div w:id="151139436">
      <w:bodyDiv w:val="1"/>
      <w:marLeft w:val="0"/>
      <w:marRight w:val="0"/>
      <w:marTop w:val="0"/>
      <w:marBottom w:val="0"/>
      <w:divBdr>
        <w:top w:val="none" w:sz="0" w:space="0" w:color="auto"/>
        <w:left w:val="none" w:sz="0" w:space="0" w:color="auto"/>
        <w:bottom w:val="none" w:sz="0" w:space="0" w:color="auto"/>
        <w:right w:val="none" w:sz="0" w:space="0" w:color="auto"/>
      </w:divBdr>
    </w:div>
    <w:div w:id="151606657">
      <w:bodyDiv w:val="1"/>
      <w:marLeft w:val="0"/>
      <w:marRight w:val="0"/>
      <w:marTop w:val="0"/>
      <w:marBottom w:val="0"/>
      <w:divBdr>
        <w:top w:val="none" w:sz="0" w:space="0" w:color="auto"/>
        <w:left w:val="none" w:sz="0" w:space="0" w:color="auto"/>
        <w:bottom w:val="none" w:sz="0" w:space="0" w:color="auto"/>
        <w:right w:val="none" w:sz="0" w:space="0" w:color="auto"/>
      </w:divBdr>
    </w:div>
    <w:div w:id="155339191">
      <w:bodyDiv w:val="1"/>
      <w:marLeft w:val="0"/>
      <w:marRight w:val="0"/>
      <w:marTop w:val="0"/>
      <w:marBottom w:val="0"/>
      <w:divBdr>
        <w:top w:val="none" w:sz="0" w:space="0" w:color="auto"/>
        <w:left w:val="none" w:sz="0" w:space="0" w:color="auto"/>
        <w:bottom w:val="none" w:sz="0" w:space="0" w:color="auto"/>
        <w:right w:val="none" w:sz="0" w:space="0" w:color="auto"/>
      </w:divBdr>
    </w:div>
    <w:div w:id="155803719">
      <w:bodyDiv w:val="1"/>
      <w:marLeft w:val="0"/>
      <w:marRight w:val="0"/>
      <w:marTop w:val="0"/>
      <w:marBottom w:val="0"/>
      <w:divBdr>
        <w:top w:val="none" w:sz="0" w:space="0" w:color="auto"/>
        <w:left w:val="none" w:sz="0" w:space="0" w:color="auto"/>
        <w:bottom w:val="none" w:sz="0" w:space="0" w:color="auto"/>
        <w:right w:val="none" w:sz="0" w:space="0" w:color="auto"/>
      </w:divBdr>
    </w:div>
    <w:div w:id="156658000">
      <w:bodyDiv w:val="1"/>
      <w:marLeft w:val="0"/>
      <w:marRight w:val="0"/>
      <w:marTop w:val="0"/>
      <w:marBottom w:val="0"/>
      <w:divBdr>
        <w:top w:val="none" w:sz="0" w:space="0" w:color="auto"/>
        <w:left w:val="none" w:sz="0" w:space="0" w:color="auto"/>
        <w:bottom w:val="none" w:sz="0" w:space="0" w:color="auto"/>
        <w:right w:val="none" w:sz="0" w:space="0" w:color="auto"/>
      </w:divBdr>
    </w:div>
    <w:div w:id="157157594">
      <w:bodyDiv w:val="1"/>
      <w:marLeft w:val="0"/>
      <w:marRight w:val="0"/>
      <w:marTop w:val="0"/>
      <w:marBottom w:val="0"/>
      <w:divBdr>
        <w:top w:val="none" w:sz="0" w:space="0" w:color="auto"/>
        <w:left w:val="none" w:sz="0" w:space="0" w:color="auto"/>
        <w:bottom w:val="none" w:sz="0" w:space="0" w:color="auto"/>
        <w:right w:val="none" w:sz="0" w:space="0" w:color="auto"/>
      </w:divBdr>
    </w:div>
    <w:div w:id="160509878">
      <w:bodyDiv w:val="1"/>
      <w:marLeft w:val="0"/>
      <w:marRight w:val="0"/>
      <w:marTop w:val="0"/>
      <w:marBottom w:val="0"/>
      <w:divBdr>
        <w:top w:val="none" w:sz="0" w:space="0" w:color="auto"/>
        <w:left w:val="none" w:sz="0" w:space="0" w:color="auto"/>
        <w:bottom w:val="none" w:sz="0" w:space="0" w:color="auto"/>
        <w:right w:val="none" w:sz="0" w:space="0" w:color="auto"/>
      </w:divBdr>
    </w:div>
    <w:div w:id="164318992">
      <w:bodyDiv w:val="1"/>
      <w:marLeft w:val="0"/>
      <w:marRight w:val="0"/>
      <w:marTop w:val="0"/>
      <w:marBottom w:val="0"/>
      <w:divBdr>
        <w:top w:val="none" w:sz="0" w:space="0" w:color="auto"/>
        <w:left w:val="none" w:sz="0" w:space="0" w:color="auto"/>
        <w:bottom w:val="none" w:sz="0" w:space="0" w:color="auto"/>
        <w:right w:val="none" w:sz="0" w:space="0" w:color="auto"/>
      </w:divBdr>
    </w:div>
    <w:div w:id="164520492">
      <w:bodyDiv w:val="1"/>
      <w:marLeft w:val="0"/>
      <w:marRight w:val="0"/>
      <w:marTop w:val="0"/>
      <w:marBottom w:val="0"/>
      <w:divBdr>
        <w:top w:val="none" w:sz="0" w:space="0" w:color="auto"/>
        <w:left w:val="none" w:sz="0" w:space="0" w:color="auto"/>
        <w:bottom w:val="none" w:sz="0" w:space="0" w:color="auto"/>
        <w:right w:val="none" w:sz="0" w:space="0" w:color="auto"/>
      </w:divBdr>
    </w:div>
    <w:div w:id="173081605">
      <w:bodyDiv w:val="1"/>
      <w:marLeft w:val="0"/>
      <w:marRight w:val="0"/>
      <w:marTop w:val="0"/>
      <w:marBottom w:val="0"/>
      <w:divBdr>
        <w:top w:val="none" w:sz="0" w:space="0" w:color="auto"/>
        <w:left w:val="none" w:sz="0" w:space="0" w:color="auto"/>
        <w:bottom w:val="none" w:sz="0" w:space="0" w:color="auto"/>
        <w:right w:val="none" w:sz="0" w:space="0" w:color="auto"/>
      </w:divBdr>
    </w:div>
    <w:div w:id="175579020">
      <w:bodyDiv w:val="1"/>
      <w:marLeft w:val="0"/>
      <w:marRight w:val="0"/>
      <w:marTop w:val="0"/>
      <w:marBottom w:val="0"/>
      <w:divBdr>
        <w:top w:val="none" w:sz="0" w:space="0" w:color="auto"/>
        <w:left w:val="none" w:sz="0" w:space="0" w:color="auto"/>
        <w:bottom w:val="none" w:sz="0" w:space="0" w:color="auto"/>
        <w:right w:val="none" w:sz="0" w:space="0" w:color="auto"/>
      </w:divBdr>
    </w:div>
    <w:div w:id="177306486">
      <w:bodyDiv w:val="1"/>
      <w:marLeft w:val="0"/>
      <w:marRight w:val="0"/>
      <w:marTop w:val="0"/>
      <w:marBottom w:val="0"/>
      <w:divBdr>
        <w:top w:val="none" w:sz="0" w:space="0" w:color="auto"/>
        <w:left w:val="none" w:sz="0" w:space="0" w:color="auto"/>
        <w:bottom w:val="none" w:sz="0" w:space="0" w:color="auto"/>
        <w:right w:val="none" w:sz="0" w:space="0" w:color="auto"/>
      </w:divBdr>
    </w:div>
    <w:div w:id="181015768">
      <w:bodyDiv w:val="1"/>
      <w:marLeft w:val="0"/>
      <w:marRight w:val="0"/>
      <w:marTop w:val="0"/>
      <w:marBottom w:val="0"/>
      <w:divBdr>
        <w:top w:val="none" w:sz="0" w:space="0" w:color="auto"/>
        <w:left w:val="none" w:sz="0" w:space="0" w:color="auto"/>
        <w:bottom w:val="none" w:sz="0" w:space="0" w:color="auto"/>
        <w:right w:val="none" w:sz="0" w:space="0" w:color="auto"/>
      </w:divBdr>
    </w:div>
    <w:div w:id="192689234">
      <w:bodyDiv w:val="1"/>
      <w:marLeft w:val="0"/>
      <w:marRight w:val="0"/>
      <w:marTop w:val="0"/>
      <w:marBottom w:val="0"/>
      <w:divBdr>
        <w:top w:val="none" w:sz="0" w:space="0" w:color="auto"/>
        <w:left w:val="none" w:sz="0" w:space="0" w:color="auto"/>
        <w:bottom w:val="none" w:sz="0" w:space="0" w:color="auto"/>
        <w:right w:val="none" w:sz="0" w:space="0" w:color="auto"/>
      </w:divBdr>
    </w:div>
    <w:div w:id="197623485">
      <w:bodyDiv w:val="1"/>
      <w:marLeft w:val="0"/>
      <w:marRight w:val="0"/>
      <w:marTop w:val="0"/>
      <w:marBottom w:val="0"/>
      <w:divBdr>
        <w:top w:val="none" w:sz="0" w:space="0" w:color="auto"/>
        <w:left w:val="none" w:sz="0" w:space="0" w:color="auto"/>
        <w:bottom w:val="none" w:sz="0" w:space="0" w:color="auto"/>
        <w:right w:val="none" w:sz="0" w:space="0" w:color="auto"/>
      </w:divBdr>
    </w:div>
    <w:div w:id="204563110">
      <w:bodyDiv w:val="1"/>
      <w:marLeft w:val="0"/>
      <w:marRight w:val="0"/>
      <w:marTop w:val="0"/>
      <w:marBottom w:val="0"/>
      <w:divBdr>
        <w:top w:val="none" w:sz="0" w:space="0" w:color="auto"/>
        <w:left w:val="none" w:sz="0" w:space="0" w:color="auto"/>
        <w:bottom w:val="none" w:sz="0" w:space="0" w:color="auto"/>
        <w:right w:val="none" w:sz="0" w:space="0" w:color="auto"/>
      </w:divBdr>
    </w:div>
    <w:div w:id="205457856">
      <w:bodyDiv w:val="1"/>
      <w:marLeft w:val="0"/>
      <w:marRight w:val="0"/>
      <w:marTop w:val="0"/>
      <w:marBottom w:val="0"/>
      <w:divBdr>
        <w:top w:val="none" w:sz="0" w:space="0" w:color="auto"/>
        <w:left w:val="none" w:sz="0" w:space="0" w:color="auto"/>
        <w:bottom w:val="none" w:sz="0" w:space="0" w:color="auto"/>
        <w:right w:val="none" w:sz="0" w:space="0" w:color="auto"/>
      </w:divBdr>
    </w:div>
    <w:div w:id="211313819">
      <w:bodyDiv w:val="1"/>
      <w:marLeft w:val="0"/>
      <w:marRight w:val="0"/>
      <w:marTop w:val="0"/>
      <w:marBottom w:val="0"/>
      <w:divBdr>
        <w:top w:val="none" w:sz="0" w:space="0" w:color="auto"/>
        <w:left w:val="none" w:sz="0" w:space="0" w:color="auto"/>
        <w:bottom w:val="none" w:sz="0" w:space="0" w:color="auto"/>
        <w:right w:val="none" w:sz="0" w:space="0" w:color="auto"/>
      </w:divBdr>
    </w:div>
    <w:div w:id="218322203">
      <w:bodyDiv w:val="1"/>
      <w:marLeft w:val="0"/>
      <w:marRight w:val="0"/>
      <w:marTop w:val="0"/>
      <w:marBottom w:val="0"/>
      <w:divBdr>
        <w:top w:val="none" w:sz="0" w:space="0" w:color="auto"/>
        <w:left w:val="none" w:sz="0" w:space="0" w:color="auto"/>
        <w:bottom w:val="none" w:sz="0" w:space="0" w:color="auto"/>
        <w:right w:val="none" w:sz="0" w:space="0" w:color="auto"/>
      </w:divBdr>
      <w:divsChild>
        <w:div w:id="594479729">
          <w:marLeft w:val="0"/>
          <w:marRight w:val="0"/>
          <w:marTop w:val="0"/>
          <w:marBottom w:val="0"/>
          <w:divBdr>
            <w:top w:val="none" w:sz="0" w:space="0" w:color="auto"/>
            <w:left w:val="none" w:sz="0" w:space="0" w:color="auto"/>
            <w:bottom w:val="none" w:sz="0" w:space="0" w:color="auto"/>
            <w:right w:val="none" w:sz="0" w:space="0" w:color="auto"/>
          </w:divBdr>
          <w:divsChild>
            <w:div w:id="71398449">
              <w:marLeft w:val="0"/>
              <w:marRight w:val="0"/>
              <w:marTop w:val="0"/>
              <w:marBottom w:val="0"/>
              <w:divBdr>
                <w:top w:val="none" w:sz="0" w:space="0" w:color="auto"/>
                <w:left w:val="none" w:sz="0" w:space="0" w:color="auto"/>
                <w:bottom w:val="none" w:sz="0" w:space="0" w:color="auto"/>
                <w:right w:val="none" w:sz="0" w:space="0" w:color="auto"/>
              </w:divBdr>
            </w:div>
          </w:divsChild>
        </w:div>
        <w:div w:id="1568613228">
          <w:marLeft w:val="0"/>
          <w:marRight w:val="0"/>
          <w:marTop w:val="0"/>
          <w:marBottom w:val="0"/>
          <w:divBdr>
            <w:top w:val="none" w:sz="0" w:space="0" w:color="auto"/>
            <w:left w:val="none" w:sz="0" w:space="0" w:color="auto"/>
            <w:bottom w:val="none" w:sz="0" w:space="0" w:color="auto"/>
            <w:right w:val="none" w:sz="0" w:space="0" w:color="auto"/>
          </w:divBdr>
        </w:div>
      </w:divsChild>
    </w:div>
    <w:div w:id="229771254">
      <w:bodyDiv w:val="1"/>
      <w:marLeft w:val="0"/>
      <w:marRight w:val="0"/>
      <w:marTop w:val="0"/>
      <w:marBottom w:val="0"/>
      <w:divBdr>
        <w:top w:val="none" w:sz="0" w:space="0" w:color="auto"/>
        <w:left w:val="none" w:sz="0" w:space="0" w:color="auto"/>
        <w:bottom w:val="none" w:sz="0" w:space="0" w:color="auto"/>
        <w:right w:val="none" w:sz="0" w:space="0" w:color="auto"/>
      </w:divBdr>
    </w:div>
    <w:div w:id="231281508">
      <w:bodyDiv w:val="1"/>
      <w:marLeft w:val="0"/>
      <w:marRight w:val="0"/>
      <w:marTop w:val="0"/>
      <w:marBottom w:val="0"/>
      <w:divBdr>
        <w:top w:val="none" w:sz="0" w:space="0" w:color="auto"/>
        <w:left w:val="none" w:sz="0" w:space="0" w:color="auto"/>
        <w:bottom w:val="none" w:sz="0" w:space="0" w:color="auto"/>
        <w:right w:val="none" w:sz="0" w:space="0" w:color="auto"/>
      </w:divBdr>
    </w:div>
    <w:div w:id="231502629">
      <w:bodyDiv w:val="1"/>
      <w:marLeft w:val="0"/>
      <w:marRight w:val="0"/>
      <w:marTop w:val="0"/>
      <w:marBottom w:val="0"/>
      <w:divBdr>
        <w:top w:val="none" w:sz="0" w:space="0" w:color="auto"/>
        <w:left w:val="none" w:sz="0" w:space="0" w:color="auto"/>
        <w:bottom w:val="none" w:sz="0" w:space="0" w:color="auto"/>
        <w:right w:val="none" w:sz="0" w:space="0" w:color="auto"/>
      </w:divBdr>
      <w:divsChild>
        <w:div w:id="922450989">
          <w:marLeft w:val="0"/>
          <w:marRight w:val="0"/>
          <w:marTop w:val="0"/>
          <w:marBottom w:val="0"/>
          <w:divBdr>
            <w:top w:val="none" w:sz="0" w:space="0" w:color="auto"/>
            <w:left w:val="none" w:sz="0" w:space="0" w:color="auto"/>
            <w:bottom w:val="none" w:sz="0" w:space="0" w:color="auto"/>
            <w:right w:val="none" w:sz="0" w:space="0" w:color="auto"/>
          </w:divBdr>
        </w:div>
        <w:div w:id="1803305909">
          <w:marLeft w:val="0"/>
          <w:marRight w:val="0"/>
          <w:marTop w:val="0"/>
          <w:marBottom w:val="0"/>
          <w:divBdr>
            <w:top w:val="none" w:sz="0" w:space="0" w:color="auto"/>
            <w:left w:val="none" w:sz="0" w:space="0" w:color="auto"/>
            <w:bottom w:val="none" w:sz="0" w:space="0" w:color="auto"/>
            <w:right w:val="none" w:sz="0" w:space="0" w:color="auto"/>
          </w:divBdr>
        </w:div>
      </w:divsChild>
    </w:div>
    <w:div w:id="236477354">
      <w:bodyDiv w:val="1"/>
      <w:marLeft w:val="0"/>
      <w:marRight w:val="0"/>
      <w:marTop w:val="0"/>
      <w:marBottom w:val="0"/>
      <w:divBdr>
        <w:top w:val="none" w:sz="0" w:space="0" w:color="auto"/>
        <w:left w:val="none" w:sz="0" w:space="0" w:color="auto"/>
        <w:bottom w:val="none" w:sz="0" w:space="0" w:color="auto"/>
        <w:right w:val="none" w:sz="0" w:space="0" w:color="auto"/>
      </w:divBdr>
    </w:div>
    <w:div w:id="237517746">
      <w:bodyDiv w:val="1"/>
      <w:marLeft w:val="0"/>
      <w:marRight w:val="0"/>
      <w:marTop w:val="0"/>
      <w:marBottom w:val="0"/>
      <w:divBdr>
        <w:top w:val="none" w:sz="0" w:space="0" w:color="auto"/>
        <w:left w:val="none" w:sz="0" w:space="0" w:color="auto"/>
        <w:bottom w:val="none" w:sz="0" w:space="0" w:color="auto"/>
        <w:right w:val="none" w:sz="0" w:space="0" w:color="auto"/>
      </w:divBdr>
    </w:div>
    <w:div w:id="241839992">
      <w:bodyDiv w:val="1"/>
      <w:marLeft w:val="0"/>
      <w:marRight w:val="0"/>
      <w:marTop w:val="0"/>
      <w:marBottom w:val="0"/>
      <w:divBdr>
        <w:top w:val="none" w:sz="0" w:space="0" w:color="auto"/>
        <w:left w:val="none" w:sz="0" w:space="0" w:color="auto"/>
        <w:bottom w:val="none" w:sz="0" w:space="0" w:color="auto"/>
        <w:right w:val="none" w:sz="0" w:space="0" w:color="auto"/>
      </w:divBdr>
    </w:div>
    <w:div w:id="243422877">
      <w:bodyDiv w:val="1"/>
      <w:marLeft w:val="0"/>
      <w:marRight w:val="0"/>
      <w:marTop w:val="0"/>
      <w:marBottom w:val="0"/>
      <w:divBdr>
        <w:top w:val="none" w:sz="0" w:space="0" w:color="auto"/>
        <w:left w:val="none" w:sz="0" w:space="0" w:color="auto"/>
        <w:bottom w:val="none" w:sz="0" w:space="0" w:color="auto"/>
        <w:right w:val="none" w:sz="0" w:space="0" w:color="auto"/>
      </w:divBdr>
    </w:div>
    <w:div w:id="243956073">
      <w:bodyDiv w:val="1"/>
      <w:marLeft w:val="0"/>
      <w:marRight w:val="0"/>
      <w:marTop w:val="0"/>
      <w:marBottom w:val="0"/>
      <w:divBdr>
        <w:top w:val="none" w:sz="0" w:space="0" w:color="auto"/>
        <w:left w:val="none" w:sz="0" w:space="0" w:color="auto"/>
        <w:bottom w:val="none" w:sz="0" w:space="0" w:color="auto"/>
        <w:right w:val="none" w:sz="0" w:space="0" w:color="auto"/>
      </w:divBdr>
    </w:div>
    <w:div w:id="244387034">
      <w:bodyDiv w:val="1"/>
      <w:marLeft w:val="0"/>
      <w:marRight w:val="0"/>
      <w:marTop w:val="0"/>
      <w:marBottom w:val="0"/>
      <w:divBdr>
        <w:top w:val="none" w:sz="0" w:space="0" w:color="auto"/>
        <w:left w:val="none" w:sz="0" w:space="0" w:color="auto"/>
        <w:bottom w:val="none" w:sz="0" w:space="0" w:color="auto"/>
        <w:right w:val="none" w:sz="0" w:space="0" w:color="auto"/>
      </w:divBdr>
    </w:div>
    <w:div w:id="246578840">
      <w:bodyDiv w:val="1"/>
      <w:marLeft w:val="0"/>
      <w:marRight w:val="0"/>
      <w:marTop w:val="0"/>
      <w:marBottom w:val="0"/>
      <w:divBdr>
        <w:top w:val="none" w:sz="0" w:space="0" w:color="auto"/>
        <w:left w:val="none" w:sz="0" w:space="0" w:color="auto"/>
        <w:bottom w:val="none" w:sz="0" w:space="0" w:color="auto"/>
        <w:right w:val="none" w:sz="0" w:space="0" w:color="auto"/>
      </w:divBdr>
    </w:div>
    <w:div w:id="249891399">
      <w:bodyDiv w:val="1"/>
      <w:marLeft w:val="0"/>
      <w:marRight w:val="0"/>
      <w:marTop w:val="0"/>
      <w:marBottom w:val="0"/>
      <w:divBdr>
        <w:top w:val="none" w:sz="0" w:space="0" w:color="auto"/>
        <w:left w:val="none" w:sz="0" w:space="0" w:color="auto"/>
        <w:bottom w:val="none" w:sz="0" w:space="0" w:color="auto"/>
        <w:right w:val="none" w:sz="0" w:space="0" w:color="auto"/>
      </w:divBdr>
    </w:div>
    <w:div w:id="251938885">
      <w:bodyDiv w:val="1"/>
      <w:marLeft w:val="0"/>
      <w:marRight w:val="0"/>
      <w:marTop w:val="0"/>
      <w:marBottom w:val="0"/>
      <w:divBdr>
        <w:top w:val="none" w:sz="0" w:space="0" w:color="auto"/>
        <w:left w:val="none" w:sz="0" w:space="0" w:color="auto"/>
        <w:bottom w:val="none" w:sz="0" w:space="0" w:color="auto"/>
        <w:right w:val="none" w:sz="0" w:space="0" w:color="auto"/>
      </w:divBdr>
    </w:div>
    <w:div w:id="258876060">
      <w:bodyDiv w:val="1"/>
      <w:marLeft w:val="0"/>
      <w:marRight w:val="0"/>
      <w:marTop w:val="0"/>
      <w:marBottom w:val="0"/>
      <w:divBdr>
        <w:top w:val="none" w:sz="0" w:space="0" w:color="auto"/>
        <w:left w:val="none" w:sz="0" w:space="0" w:color="auto"/>
        <w:bottom w:val="none" w:sz="0" w:space="0" w:color="auto"/>
        <w:right w:val="none" w:sz="0" w:space="0" w:color="auto"/>
      </w:divBdr>
    </w:div>
    <w:div w:id="262423284">
      <w:bodyDiv w:val="1"/>
      <w:marLeft w:val="0"/>
      <w:marRight w:val="0"/>
      <w:marTop w:val="0"/>
      <w:marBottom w:val="0"/>
      <w:divBdr>
        <w:top w:val="none" w:sz="0" w:space="0" w:color="auto"/>
        <w:left w:val="none" w:sz="0" w:space="0" w:color="auto"/>
        <w:bottom w:val="none" w:sz="0" w:space="0" w:color="auto"/>
        <w:right w:val="none" w:sz="0" w:space="0" w:color="auto"/>
      </w:divBdr>
    </w:div>
    <w:div w:id="267353510">
      <w:bodyDiv w:val="1"/>
      <w:marLeft w:val="0"/>
      <w:marRight w:val="0"/>
      <w:marTop w:val="0"/>
      <w:marBottom w:val="0"/>
      <w:divBdr>
        <w:top w:val="none" w:sz="0" w:space="0" w:color="auto"/>
        <w:left w:val="none" w:sz="0" w:space="0" w:color="auto"/>
        <w:bottom w:val="none" w:sz="0" w:space="0" w:color="auto"/>
        <w:right w:val="none" w:sz="0" w:space="0" w:color="auto"/>
      </w:divBdr>
    </w:div>
    <w:div w:id="268046256">
      <w:bodyDiv w:val="1"/>
      <w:marLeft w:val="0"/>
      <w:marRight w:val="0"/>
      <w:marTop w:val="0"/>
      <w:marBottom w:val="0"/>
      <w:divBdr>
        <w:top w:val="none" w:sz="0" w:space="0" w:color="auto"/>
        <w:left w:val="none" w:sz="0" w:space="0" w:color="auto"/>
        <w:bottom w:val="none" w:sz="0" w:space="0" w:color="auto"/>
        <w:right w:val="none" w:sz="0" w:space="0" w:color="auto"/>
      </w:divBdr>
    </w:div>
    <w:div w:id="268926299">
      <w:bodyDiv w:val="1"/>
      <w:marLeft w:val="0"/>
      <w:marRight w:val="0"/>
      <w:marTop w:val="0"/>
      <w:marBottom w:val="0"/>
      <w:divBdr>
        <w:top w:val="none" w:sz="0" w:space="0" w:color="auto"/>
        <w:left w:val="none" w:sz="0" w:space="0" w:color="auto"/>
        <w:bottom w:val="none" w:sz="0" w:space="0" w:color="auto"/>
        <w:right w:val="none" w:sz="0" w:space="0" w:color="auto"/>
      </w:divBdr>
    </w:div>
    <w:div w:id="269246636">
      <w:bodyDiv w:val="1"/>
      <w:marLeft w:val="0"/>
      <w:marRight w:val="0"/>
      <w:marTop w:val="0"/>
      <w:marBottom w:val="0"/>
      <w:divBdr>
        <w:top w:val="none" w:sz="0" w:space="0" w:color="auto"/>
        <w:left w:val="none" w:sz="0" w:space="0" w:color="auto"/>
        <w:bottom w:val="none" w:sz="0" w:space="0" w:color="auto"/>
        <w:right w:val="none" w:sz="0" w:space="0" w:color="auto"/>
      </w:divBdr>
    </w:div>
    <w:div w:id="272908303">
      <w:bodyDiv w:val="1"/>
      <w:marLeft w:val="0"/>
      <w:marRight w:val="0"/>
      <w:marTop w:val="0"/>
      <w:marBottom w:val="0"/>
      <w:divBdr>
        <w:top w:val="none" w:sz="0" w:space="0" w:color="auto"/>
        <w:left w:val="none" w:sz="0" w:space="0" w:color="auto"/>
        <w:bottom w:val="none" w:sz="0" w:space="0" w:color="auto"/>
        <w:right w:val="none" w:sz="0" w:space="0" w:color="auto"/>
      </w:divBdr>
    </w:div>
    <w:div w:id="273170023">
      <w:bodyDiv w:val="1"/>
      <w:marLeft w:val="0"/>
      <w:marRight w:val="0"/>
      <w:marTop w:val="0"/>
      <w:marBottom w:val="0"/>
      <w:divBdr>
        <w:top w:val="none" w:sz="0" w:space="0" w:color="auto"/>
        <w:left w:val="none" w:sz="0" w:space="0" w:color="auto"/>
        <w:bottom w:val="none" w:sz="0" w:space="0" w:color="auto"/>
        <w:right w:val="none" w:sz="0" w:space="0" w:color="auto"/>
      </w:divBdr>
    </w:div>
    <w:div w:id="277297913">
      <w:bodyDiv w:val="1"/>
      <w:marLeft w:val="0"/>
      <w:marRight w:val="0"/>
      <w:marTop w:val="0"/>
      <w:marBottom w:val="0"/>
      <w:divBdr>
        <w:top w:val="none" w:sz="0" w:space="0" w:color="auto"/>
        <w:left w:val="none" w:sz="0" w:space="0" w:color="auto"/>
        <w:bottom w:val="none" w:sz="0" w:space="0" w:color="auto"/>
        <w:right w:val="none" w:sz="0" w:space="0" w:color="auto"/>
      </w:divBdr>
    </w:div>
    <w:div w:id="288316713">
      <w:bodyDiv w:val="1"/>
      <w:marLeft w:val="0"/>
      <w:marRight w:val="0"/>
      <w:marTop w:val="0"/>
      <w:marBottom w:val="0"/>
      <w:divBdr>
        <w:top w:val="none" w:sz="0" w:space="0" w:color="auto"/>
        <w:left w:val="none" w:sz="0" w:space="0" w:color="auto"/>
        <w:bottom w:val="none" w:sz="0" w:space="0" w:color="auto"/>
        <w:right w:val="none" w:sz="0" w:space="0" w:color="auto"/>
      </w:divBdr>
    </w:div>
    <w:div w:id="300305026">
      <w:bodyDiv w:val="1"/>
      <w:marLeft w:val="0"/>
      <w:marRight w:val="0"/>
      <w:marTop w:val="0"/>
      <w:marBottom w:val="0"/>
      <w:divBdr>
        <w:top w:val="none" w:sz="0" w:space="0" w:color="auto"/>
        <w:left w:val="none" w:sz="0" w:space="0" w:color="auto"/>
        <w:bottom w:val="none" w:sz="0" w:space="0" w:color="auto"/>
        <w:right w:val="none" w:sz="0" w:space="0" w:color="auto"/>
      </w:divBdr>
    </w:div>
    <w:div w:id="303514103">
      <w:bodyDiv w:val="1"/>
      <w:marLeft w:val="0"/>
      <w:marRight w:val="0"/>
      <w:marTop w:val="0"/>
      <w:marBottom w:val="0"/>
      <w:divBdr>
        <w:top w:val="none" w:sz="0" w:space="0" w:color="auto"/>
        <w:left w:val="none" w:sz="0" w:space="0" w:color="auto"/>
        <w:bottom w:val="none" w:sz="0" w:space="0" w:color="auto"/>
        <w:right w:val="none" w:sz="0" w:space="0" w:color="auto"/>
      </w:divBdr>
    </w:div>
    <w:div w:id="304431640">
      <w:bodyDiv w:val="1"/>
      <w:marLeft w:val="0"/>
      <w:marRight w:val="0"/>
      <w:marTop w:val="0"/>
      <w:marBottom w:val="0"/>
      <w:divBdr>
        <w:top w:val="none" w:sz="0" w:space="0" w:color="auto"/>
        <w:left w:val="none" w:sz="0" w:space="0" w:color="auto"/>
        <w:bottom w:val="none" w:sz="0" w:space="0" w:color="auto"/>
        <w:right w:val="none" w:sz="0" w:space="0" w:color="auto"/>
      </w:divBdr>
    </w:div>
    <w:div w:id="305622654">
      <w:bodyDiv w:val="1"/>
      <w:marLeft w:val="0"/>
      <w:marRight w:val="0"/>
      <w:marTop w:val="0"/>
      <w:marBottom w:val="0"/>
      <w:divBdr>
        <w:top w:val="none" w:sz="0" w:space="0" w:color="auto"/>
        <w:left w:val="none" w:sz="0" w:space="0" w:color="auto"/>
        <w:bottom w:val="none" w:sz="0" w:space="0" w:color="auto"/>
        <w:right w:val="none" w:sz="0" w:space="0" w:color="auto"/>
      </w:divBdr>
      <w:divsChild>
        <w:div w:id="856891131">
          <w:marLeft w:val="0"/>
          <w:marRight w:val="0"/>
          <w:marTop w:val="0"/>
          <w:marBottom w:val="0"/>
          <w:divBdr>
            <w:top w:val="none" w:sz="0" w:space="0" w:color="auto"/>
            <w:left w:val="none" w:sz="0" w:space="0" w:color="auto"/>
            <w:bottom w:val="none" w:sz="0" w:space="0" w:color="auto"/>
            <w:right w:val="none" w:sz="0" w:space="0" w:color="auto"/>
          </w:divBdr>
        </w:div>
        <w:div w:id="1933539017">
          <w:marLeft w:val="0"/>
          <w:marRight w:val="0"/>
          <w:marTop w:val="0"/>
          <w:marBottom w:val="0"/>
          <w:divBdr>
            <w:top w:val="none" w:sz="0" w:space="0" w:color="auto"/>
            <w:left w:val="none" w:sz="0" w:space="0" w:color="auto"/>
            <w:bottom w:val="none" w:sz="0" w:space="0" w:color="auto"/>
            <w:right w:val="none" w:sz="0" w:space="0" w:color="auto"/>
          </w:divBdr>
        </w:div>
        <w:div w:id="1964388575">
          <w:marLeft w:val="0"/>
          <w:marRight w:val="0"/>
          <w:marTop w:val="0"/>
          <w:marBottom w:val="0"/>
          <w:divBdr>
            <w:top w:val="none" w:sz="0" w:space="0" w:color="auto"/>
            <w:left w:val="none" w:sz="0" w:space="0" w:color="auto"/>
            <w:bottom w:val="none" w:sz="0" w:space="0" w:color="auto"/>
            <w:right w:val="none" w:sz="0" w:space="0" w:color="auto"/>
          </w:divBdr>
        </w:div>
        <w:div w:id="2132507082">
          <w:marLeft w:val="0"/>
          <w:marRight w:val="0"/>
          <w:marTop w:val="0"/>
          <w:marBottom w:val="0"/>
          <w:divBdr>
            <w:top w:val="none" w:sz="0" w:space="0" w:color="auto"/>
            <w:left w:val="none" w:sz="0" w:space="0" w:color="auto"/>
            <w:bottom w:val="none" w:sz="0" w:space="0" w:color="auto"/>
            <w:right w:val="none" w:sz="0" w:space="0" w:color="auto"/>
          </w:divBdr>
        </w:div>
      </w:divsChild>
    </w:div>
    <w:div w:id="306520674">
      <w:bodyDiv w:val="1"/>
      <w:marLeft w:val="0"/>
      <w:marRight w:val="0"/>
      <w:marTop w:val="0"/>
      <w:marBottom w:val="0"/>
      <w:divBdr>
        <w:top w:val="none" w:sz="0" w:space="0" w:color="auto"/>
        <w:left w:val="none" w:sz="0" w:space="0" w:color="auto"/>
        <w:bottom w:val="none" w:sz="0" w:space="0" w:color="auto"/>
        <w:right w:val="none" w:sz="0" w:space="0" w:color="auto"/>
      </w:divBdr>
    </w:div>
    <w:div w:id="307902288">
      <w:bodyDiv w:val="1"/>
      <w:marLeft w:val="0"/>
      <w:marRight w:val="0"/>
      <w:marTop w:val="0"/>
      <w:marBottom w:val="0"/>
      <w:divBdr>
        <w:top w:val="none" w:sz="0" w:space="0" w:color="auto"/>
        <w:left w:val="none" w:sz="0" w:space="0" w:color="auto"/>
        <w:bottom w:val="none" w:sz="0" w:space="0" w:color="auto"/>
        <w:right w:val="none" w:sz="0" w:space="0" w:color="auto"/>
      </w:divBdr>
    </w:div>
    <w:div w:id="307976024">
      <w:bodyDiv w:val="1"/>
      <w:marLeft w:val="0"/>
      <w:marRight w:val="0"/>
      <w:marTop w:val="0"/>
      <w:marBottom w:val="0"/>
      <w:divBdr>
        <w:top w:val="none" w:sz="0" w:space="0" w:color="auto"/>
        <w:left w:val="none" w:sz="0" w:space="0" w:color="auto"/>
        <w:bottom w:val="none" w:sz="0" w:space="0" w:color="auto"/>
        <w:right w:val="none" w:sz="0" w:space="0" w:color="auto"/>
      </w:divBdr>
    </w:div>
    <w:div w:id="315649264">
      <w:bodyDiv w:val="1"/>
      <w:marLeft w:val="0"/>
      <w:marRight w:val="0"/>
      <w:marTop w:val="0"/>
      <w:marBottom w:val="0"/>
      <w:divBdr>
        <w:top w:val="none" w:sz="0" w:space="0" w:color="auto"/>
        <w:left w:val="none" w:sz="0" w:space="0" w:color="auto"/>
        <w:bottom w:val="none" w:sz="0" w:space="0" w:color="auto"/>
        <w:right w:val="none" w:sz="0" w:space="0" w:color="auto"/>
      </w:divBdr>
    </w:div>
    <w:div w:id="316767118">
      <w:bodyDiv w:val="1"/>
      <w:marLeft w:val="0"/>
      <w:marRight w:val="0"/>
      <w:marTop w:val="0"/>
      <w:marBottom w:val="0"/>
      <w:divBdr>
        <w:top w:val="none" w:sz="0" w:space="0" w:color="auto"/>
        <w:left w:val="none" w:sz="0" w:space="0" w:color="auto"/>
        <w:bottom w:val="none" w:sz="0" w:space="0" w:color="auto"/>
        <w:right w:val="none" w:sz="0" w:space="0" w:color="auto"/>
      </w:divBdr>
    </w:div>
    <w:div w:id="319621623">
      <w:bodyDiv w:val="1"/>
      <w:marLeft w:val="0"/>
      <w:marRight w:val="0"/>
      <w:marTop w:val="0"/>
      <w:marBottom w:val="0"/>
      <w:divBdr>
        <w:top w:val="none" w:sz="0" w:space="0" w:color="auto"/>
        <w:left w:val="none" w:sz="0" w:space="0" w:color="auto"/>
        <w:bottom w:val="none" w:sz="0" w:space="0" w:color="auto"/>
        <w:right w:val="none" w:sz="0" w:space="0" w:color="auto"/>
      </w:divBdr>
    </w:div>
    <w:div w:id="325715820">
      <w:bodyDiv w:val="1"/>
      <w:marLeft w:val="0"/>
      <w:marRight w:val="0"/>
      <w:marTop w:val="0"/>
      <w:marBottom w:val="0"/>
      <w:divBdr>
        <w:top w:val="none" w:sz="0" w:space="0" w:color="auto"/>
        <w:left w:val="none" w:sz="0" w:space="0" w:color="auto"/>
        <w:bottom w:val="none" w:sz="0" w:space="0" w:color="auto"/>
        <w:right w:val="none" w:sz="0" w:space="0" w:color="auto"/>
      </w:divBdr>
    </w:div>
    <w:div w:id="326327789">
      <w:bodyDiv w:val="1"/>
      <w:marLeft w:val="0"/>
      <w:marRight w:val="0"/>
      <w:marTop w:val="0"/>
      <w:marBottom w:val="0"/>
      <w:divBdr>
        <w:top w:val="none" w:sz="0" w:space="0" w:color="auto"/>
        <w:left w:val="none" w:sz="0" w:space="0" w:color="auto"/>
        <w:bottom w:val="none" w:sz="0" w:space="0" w:color="auto"/>
        <w:right w:val="none" w:sz="0" w:space="0" w:color="auto"/>
      </w:divBdr>
    </w:div>
    <w:div w:id="329328955">
      <w:bodyDiv w:val="1"/>
      <w:marLeft w:val="0"/>
      <w:marRight w:val="0"/>
      <w:marTop w:val="0"/>
      <w:marBottom w:val="0"/>
      <w:divBdr>
        <w:top w:val="none" w:sz="0" w:space="0" w:color="auto"/>
        <w:left w:val="none" w:sz="0" w:space="0" w:color="auto"/>
        <w:bottom w:val="none" w:sz="0" w:space="0" w:color="auto"/>
        <w:right w:val="none" w:sz="0" w:space="0" w:color="auto"/>
      </w:divBdr>
    </w:div>
    <w:div w:id="332799058">
      <w:bodyDiv w:val="1"/>
      <w:marLeft w:val="0"/>
      <w:marRight w:val="0"/>
      <w:marTop w:val="0"/>
      <w:marBottom w:val="0"/>
      <w:divBdr>
        <w:top w:val="none" w:sz="0" w:space="0" w:color="auto"/>
        <w:left w:val="none" w:sz="0" w:space="0" w:color="auto"/>
        <w:bottom w:val="none" w:sz="0" w:space="0" w:color="auto"/>
        <w:right w:val="none" w:sz="0" w:space="0" w:color="auto"/>
      </w:divBdr>
    </w:div>
    <w:div w:id="334115579">
      <w:bodyDiv w:val="1"/>
      <w:marLeft w:val="0"/>
      <w:marRight w:val="0"/>
      <w:marTop w:val="0"/>
      <w:marBottom w:val="0"/>
      <w:divBdr>
        <w:top w:val="none" w:sz="0" w:space="0" w:color="auto"/>
        <w:left w:val="none" w:sz="0" w:space="0" w:color="auto"/>
        <w:bottom w:val="none" w:sz="0" w:space="0" w:color="auto"/>
        <w:right w:val="none" w:sz="0" w:space="0" w:color="auto"/>
      </w:divBdr>
    </w:div>
    <w:div w:id="338049677">
      <w:bodyDiv w:val="1"/>
      <w:marLeft w:val="0"/>
      <w:marRight w:val="0"/>
      <w:marTop w:val="0"/>
      <w:marBottom w:val="0"/>
      <w:divBdr>
        <w:top w:val="none" w:sz="0" w:space="0" w:color="auto"/>
        <w:left w:val="none" w:sz="0" w:space="0" w:color="auto"/>
        <w:bottom w:val="none" w:sz="0" w:space="0" w:color="auto"/>
        <w:right w:val="none" w:sz="0" w:space="0" w:color="auto"/>
      </w:divBdr>
    </w:div>
    <w:div w:id="341589773">
      <w:bodyDiv w:val="1"/>
      <w:marLeft w:val="0"/>
      <w:marRight w:val="0"/>
      <w:marTop w:val="0"/>
      <w:marBottom w:val="0"/>
      <w:divBdr>
        <w:top w:val="none" w:sz="0" w:space="0" w:color="auto"/>
        <w:left w:val="none" w:sz="0" w:space="0" w:color="auto"/>
        <w:bottom w:val="none" w:sz="0" w:space="0" w:color="auto"/>
        <w:right w:val="none" w:sz="0" w:space="0" w:color="auto"/>
      </w:divBdr>
    </w:div>
    <w:div w:id="343627014">
      <w:bodyDiv w:val="1"/>
      <w:marLeft w:val="0"/>
      <w:marRight w:val="0"/>
      <w:marTop w:val="0"/>
      <w:marBottom w:val="0"/>
      <w:divBdr>
        <w:top w:val="none" w:sz="0" w:space="0" w:color="auto"/>
        <w:left w:val="none" w:sz="0" w:space="0" w:color="auto"/>
        <w:bottom w:val="none" w:sz="0" w:space="0" w:color="auto"/>
        <w:right w:val="none" w:sz="0" w:space="0" w:color="auto"/>
      </w:divBdr>
      <w:divsChild>
        <w:div w:id="762728060">
          <w:marLeft w:val="0"/>
          <w:marRight w:val="0"/>
          <w:marTop w:val="0"/>
          <w:marBottom w:val="0"/>
          <w:divBdr>
            <w:top w:val="none" w:sz="0" w:space="0" w:color="auto"/>
            <w:left w:val="none" w:sz="0" w:space="0" w:color="auto"/>
            <w:bottom w:val="none" w:sz="0" w:space="0" w:color="auto"/>
            <w:right w:val="none" w:sz="0" w:space="0" w:color="auto"/>
          </w:divBdr>
          <w:divsChild>
            <w:div w:id="322125719">
              <w:marLeft w:val="0"/>
              <w:marRight w:val="0"/>
              <w:marTop w:val="0"/>
              <w:marBottom w:val="0"/>
              <w:divBdr>
                <w:top w:val="none" w:sz="0" w:space="0" w:color="auto"/>
                <w:left w:val="none" w:sz="0" w:space="0" w:color="auto"/>
                <w:bottom w:val="none" w:sz="0" w:space="0" w:color="auto"/>
                <w:right w:val="none" w:sz="0" w:space="0" w:color="auto"/>
              </w:divBdr>
              <w:divsChild>
                <w:div w:id="100876167">
                  <w:marLeft w:val="0"/>
                  <w:marRight w:val="0"/>
                  <w:marTop w:val="0"/>
                  <w:marBottom w:val="0"/>
                  <w:divBdr>
                    <w:top w:val="none" w:sz="0" w:space="0" w:color="auto"/>
                    <w:left w:val="none" w:sz="0" w:space="0" w:color="auto"/>
                    <w:bottom w:val="none" w:sz="0" w:space="0" w:color="auto"/>
                    <w:right w:val="none" w:sz="0" w:space="0" w:color="auto"/>
                  </w:divBdr>
                  <w:divsChild>
                    <w:div w:id="1498110972">
                      <w:marLeft w:val="-225"/>
                      <w:marRight w:val="-225"/>
                      <w:marTop w:val="0"/>
                      <w:marBottom w:val="0"/>
                      <w:divBdr>
                        <w:top w:val="none" w:sz="0" w:space="0" w:color="auto"/>
                        <w:left w:val="none" w:sz="0" w:space="0" w:color="auto"/>
                        <w:bottom w:val="none" w:sz="0" w:space="0" w:color="auto"/>
                        <w:right w:val="none" w:sz="0" w:space="0" w:color="auto"/>
                      </w:divBdr>
                    </w:div>
                  </w:divsChild>
                </w:div>
                <w:div w:id="222375469">
                  <w:marLeft w:val="0"/>
                  <w:marRight w:val="0"/>
                  <w:marTop w:val="300"/>
                  <w:marBottom w:val="300"/>
                  <w:divBdr>
                    <w:top w:val="none" w:sz="0" w:space="0" w:color="auto"/>
                    <w:left w:val="none" w:sz="0" w:space="0" w:color="auto"/>
                    <w:bottom w:val="single" w:sz="12" w:space="0" w:color="007AC3"/>
                    <w:right w:val="none" w:sz="0" w:space="0" w:color="auto"/>
                  </w:divBdr>
                  <w:divsChild>
                    <w:div w:id="511065806">
                      <w:marLeft w:val="0"/>
                      <w:marRight w:val="0"/>
                      <w:marTop w:val="0"/>
                      <w:marBottom w:val="0"/>
                      <w:divBdr>
                        <w:top w:val="single" w:sz="6" w:space="11" w:color="EDEDED"/>
                        <w:left w:val="single" w:sz="6" w:space="11" w:color="EDEDED"/>
                        <w:bottom w:val="single" w:sz="6" w:space="11" w:color="EDEDED"/>
                        <w:right w:val="single" w:sz="6" w:space="11" w:color="EDEDED"/>
                      </w:divBdr>
                      <w:divsChild>
                        <w:div w:id="1166744388">
                          <w:marLeft w:val="0"/>
                          <w:marRight w:val="0"/>
                          <w:marTop w:val="0"/>
                          <w:marBottom w:val="0"/>
                          <w:divBdr>
                            <w:top w:val="none" w:sz="0" w:space="0" w:color="auto"/>
                            <w:left w:val="none" w:sz="0" w:space="0" w:color="auto"/>
                            <w:bottom w:val="none" w:sz="0" w:space="0" w:color="auto"/>
                            <w:right w:val="none" w:sz="0" w:space="0" w:color="auto"/>
                          </w:divBdr>
                          <w:divsChild>
                            <w:div w:id="72122196">
                              <w:marLeft w:val="0"/>
                              <w:marRight w:val="0"/>
                              <w:marTop w:val="0"/>
                              <w:marBottom w:val="0"/>
                              <w:divBdr>
                                <w:top w:val="none" w:sz="0" w:space="0" w:color="auto"/>
                                <w:left w:val="none" w:sz="0" w:space="0" w:color="auto"/>
                                <w:bottom w:val="none" w:sz="0" w:space="0" w:color="auto"/>
                                <w:right w:val="none" w:sz="0" w:space="0" w:color="auto"/>
                              </w:divBdr>
                            </w:div>
                            <w:div w:id="372735268">
                              <w:marLeft w:val="0"/>
                              <w:marRight w:val="0"/>
                              <w:marTop w:val="0"/>
                              <w:marBottom w:val="0"/>
                              <w:divBdr>
                                <w:top w:val="none" w:sz="0" w:space="0" w:color="auto"/>
                                <w:left w:val="none" w:sz="0" w:space="0" w:color="auto"/>
                                <w:bottom w:val="none" w:sz="0" w:space="0" w:color="auto"/>
                                <w:right w:val="none" w:sz="0" w:space="0" w:color="auto"/>
                              </w:divBdr>
                            </w:div>
                            <w:div w:id="14962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87529">
              <w:marLeft w:val="0"/>
              <w:marRight w:val="0"/>
              <w:marTop w:val="0"/>
              <w:marBottom w:val="210"/>
              <w:divBdr>
                <w:top w:val="none" w:sz="0" w:space="0" w:color="auto"/>
                <w:left w:val="none" w:sz="0" w:space="0" w:color="auto"/>
                <w:bottom w:val="none" w:sz="0" w:space="0" w:color="auto"/>
                <w:right w:val="none" w:sz="0" w:space="0" w:color="auto"/>
              </w:divBdr>
            </w:div>
          </w:divsChild>
        </w:div>
        <w:div w:id="2083793035">
          <w:marLeft w:val="0"/>
          <w:marRight w:val="0"/>
          <w:marTop w:val="0"/>
          <w:marBottom w:val="0"/>
          <w:divBdr>
            <w:top w:val="none" w:sz="0" w:space="0" w:color="auto"/>
            <w:left w:val="none" w:sz="0" w:space="0" w:color="auto"/>
            <w:bottom w:val="single" w:sz="6" w:space="4" w:color="EEEEEE"/>
            <w:right w:val="none" w:sz="0" w:space="0" w:color="auto"/>
          </w:divBdr>
          <w:divsChild>
            <w:div w:id="13880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424">
      <w:bodyDiv w:val="1"/>
      <w:marLeft w:val="0"/>
      <w:marRight w:val="0"/>
      <w:marTop w:val="0"/>
      <w:marBottom w:val="0"/>
      <w:divBdr>
        <w:top w:val="none" w:sz="0" w:space="0" w:color="auto"/>
        <w:left w:val="none" w:sz="0" w:space="0" w:color="auto"/>
        <w:bottom w:val="none" w:sz="0" w:space="0" w:color="auto"/>
        <w:right w:val="none" w:sz="0" w:space="0" w:color="auto"/>
      </w:divBdr>
      <w:divsChild>
        <w:div w:id="1114901683">
          <w:marLeft w:val="0"/>
          <w:marRight w:val="0"/>
          <w:marTop w:val="0"/>
          <w:marBottom w:val="0"/>
          <w:divBdr>
            <w:top w:val="none" w:sz="0" w:space="0" w:color="auto"/>
            <w:left w:val="none" w:sz="0" w:space="0" w:color="auto"/>
            <w:bottom w:val="none" w:sz="0" w:space="0" w:color="auto"/>
            <w:right w:val="none" w:sz="0" w:space="0" w:color="auto"/>
          </w:divBdr>
        </w:div>
        <w:div w:id="1219244947">
          <w:marLeft w:val="0"/>
          <w:marRight w:val="0"/>
          <w:marTop w:val="0"/>
          <w:marBottom w:val="0"/>
          <w:divBdr>
            <w:top w:val="none" w:sz="0" w:space="0" w:color="auto"/>
            <w:left w:val="none" w:sz="0" w:space="0" w:color="auto"/>
            <w:bottom w:val="none" w:sz="0" w:space="0" w:color="auto"/>
            <w:right w:val="none" w:sz="0" w:space="0" w:color="auto"/>
          </w:divBdr>
        </w:div>
      </w:divsChild>
    </w:div>
    <w:div w:id="346441333">
      <w:bodyDiv w:val="1"/>
      <w:marLeft w:val="0"/>
      <w:marRight w:val="0"/>
      <w:marTop w:val="0"/>
      <w:marBottom w:val="0"/>
      <w:divBdr>
        <w:top w:val="none" w:sz="0" w:space="0" w:color="auto"/>
        <w:left w:val="none" w:sz="0" w:space="0" w:color="auto"/>
        <w:bottom w:val="none" w:sz="0" w:space="0" w:color="auto"/>
        <w:right w:val="none" w:sz="0" w:space="0" w:color="auto"/>
      </w:divBdr>
    </w:div>
    <w:div w:id="350255543">
      <w:bodyDiv w:val="1"/>
      <w:marLeft w:val="0"/>
      <w:marRight w:val="0"/>
      <w:marTop w:val="0"/>
      <w:marBottom w:val="0"/>
      <w:divBdr>
        <w:top w:val="none" w:sz="0" w:space="0" w:color="auto"/>
        <w:left w:val="none" w:sz="0" w:space="0" w:color="auto"/>
        <w:bottom w:val="none" w:sz="0" w:space="0" w:color="auto"/>
        <w:right w:val="none" w:sz="0" w:space="0" w:color="auto"/>
      </w:divBdr>
    </w:div>
    <w:div w:id="354232259">
      <w:bodyDiv w:val="1"/>
      <w:marLeft w:val="0"/>
      <w:marRight w:val="0"/>
      <w:marTop w:val="0"/>
      <w:marBottom w:val="0"/>
      <w:divBdr>
        <w:top w:val="none" w:sz="0" w:space="0" w:color="auto"/>
        <w:left w:val="none" w:sz="0" w:space="0" w:color="auto"/>
        <w:bottom w:val="none" w:sz="0" w:space="0" w:color="auto"/>
        <w:right w:val="none" w:sz="0" w:space="0" w:color="auto"/>
      </w:divBdr>
    </w:div>
    <w:div w:id="358170337">
      <w:bodyDiv w:val="1"/>
      <w:marLeft w:val="0"/>
      <w:marRight w:val="0"/>
      <w:marTop w:val="0"/>
      <w:marBottom w:val="0"/>
      <w:divBdr>
        <w:top w:val="none" w:sz="0" w:space="0" w:color="auto"/>
        <w:left w:val="none" w:sz="0" w:space="0" w:color="auto"/>
        <w:bottom w:val="none" w:sz="0" w:space="0" w:color="auto"/>
        <w:right w:val="none" w:sz="0" w:space="0" w:color="auto"/>
      </w:divBdr>
    </w:div>
    <w:div w:id="358900005">
      <w:bodyDiv w:val="1"/>
      <w:marLeft w:val="0"/>
      <w:marRight w:val="0"/>
      <w:marTop w:val="0"/>
      <w:marBottom w:val="0"/>
      <w:divBdr>
        <w:top w:val="none" w:sz="0" w:space="0" w:color="auto"/>
        <w:left w:val="none" w:sz="0" w:space="0" w:color="auto"/>
        <w:bottom w:val="none" w:sz="0" w:space="0" w:color="auto"/>
        <w:right w:val="none" w:sz="0" w:space="0" w:color="auto"/>
      </w:divBdr>
    </w:div>
    <w:div w:id="363095755">
      <w:bodyDiv w:val="1"/>
      <w:marLeft w:val="0"/>
      <w:marRight w:val="0"/>
      <w:marTop w:val="0"/>
      <w:marBottom w:val="0"/>
      <w:divBdr>
        <w:top w:val="none" w:sz="0" w:space="0" w:color="auto"/>
        <w:left w:val="none" w:sz="0" w:space="0" w:color="auto"/>
        <w:bottom w:val="none" w:sz="0" w:space="0" w:color="auto"/>
        <w:right w:val="none" w:sz="0" w:space="0" w:color="auto"/>
      </w:divBdr>
    </w:div>
    <w:div w:id="367024246">
      <w:bodyDiv w:val="1"/>
      <w:marLeft w:val="0"/>
      <w:marRight w:val="0"/>
      <w:marTop w:val="0"/>
      <w:marBottom w:val="0"/>
      <w:divBdr>
        <w:top w:val="none" w:sz="0" w:space="0" w:color="auto"/>
        <w:left w:val="none" w:sz="0" w:space="0" w:color="auto"/>
        <w:bottom w:val="none" w:sz="0" w:space="0" w:color="auto"/>
        <w:right w:val="none" w:sz="0" w:space="0" w:color="auto"/>
      </w:divBdr>
    </w:div>
    <w:div w:id="373425598">
      <w:bodyDiv w:val="1"/>
      <w:marLeft w:val="0"/>
      <w:marRight w:val="0"/>
      <w:marTop w:val="0"/>
      <w:marBottom w:val="0"/>
      <w:divBdr>
        <w:top w:val="none" w:sz="0" w:space="0" w:color="auto"/>
        <w:left w:val="none" w:sz="0" w:space="0" w:color="auto"/>
        <w:bottom w:val="none" w:sz="0" w:space="0" w:color="auto"/>
        <w:right w:val="none" w:sz="0" w:space="0" w:color="auto"/>
      </w:divBdr>
    </w:div>
    <w:div w:id="374812138">
      <w:bodyDiv w:val="1"/>
      <w:marLeft w:val="0"/>
      <w:marRight w:val="0"/>
      <w:marTop w:val="0"/>
      <w:marBottom w:val="0"/>
      <w:divBdr>
        <w:top w:val="none" w:sz="0" w:space="0" w:color="auto"/>
        <w:left w:val="none" w:sz="0" w:space="0" w:color="auto"/>
        <w:bottom w:val="none" w:sz="0" w:space="0" w:color="auto"/>
        <w:right w:val="none" w:sz="0" w:space="0" w:color="auto"/>
      </w:divBdr>
    </w:div>
    <w:div w:id="376584288">
      <w:bodyDiv w:val="1"/>
      <w:marLeft w:val="0"/>
      <w:marRight w:val="0"/>
      <w:marTop w:val="0"/>
      <w:marBottom w:val="0"/>
      <w:divBdr>
        <w:top w:val="none" w:sz="0" w:space="0" w:color="auto"/>
        <w:left w:val="none" w:sz="0" w:space="0" w:color="auto"/>
        <w:bottom w:val="none" w:sz="0" w:space="0" w:color="auto"/>
        <w:right w:val="none" w:sz="0" w:space="0" w:color="auto"/>
      </w:divBdr>
    </w:div>
    <w:div w:id="378092634">
      <w:bodyDiv w:val="1"/>
      <w:marLeft w:val="0"/>
      <w:marRight w:val="0"/>
      <w:marTop w:val="0"/>
      <w:marBottom w:val="0"/>
      <w:divBdr>
        <w:top w:val="none" w:sz="0" w:space="0" w:color="auto"/>
        <w:left w:val="none" w:sz="0" w:space="0" w:color="auto"/>
        <w:bottom w:val="none" w:sz="0" w:space="0" w:color="auto"/>
        <w:right w:val="none" w:sz="0" w:space="0" w:color="auto"/>
      </w:divBdr>
    </w:div>
    <w:div w:id="378209430">
      <w:bodyDiv w:val="1"/>
      <w:marLeft w:val="0"/>
      <w:marRight w:val="0"/>
      <w:marTop w:val="0"/>
      <w:marBottom w:val="0"/>
      <w:divBdr>
        <w:top w:val="none" w:sz="0" w:space="0" w:color="auto"/>
        <w:left w:val="none" w:sz="0" w:space="0" w:color="auto"/>
        <w:bottom w:val="none" w:sz="0" w:space="0" w:color="auto"/>
        <w:right w:val="none" w:sz="0" w:space="0" w:color="auto"/>
      </w:divBdr>
    </w:div>
    <w:div w:id="380137180">
      <w:bodyDiv w:val="1"/>
      <w:marLeft w:val="0"/>
      <w:marRight w:val="0"/>
      <w:marTop w:val="0"/>
      <w:marBottom w:val="0"/>
      <w:divBdr>
        <w:top w:val="none" w:sz="0" w:space="0" w:color="auto"/>
        <w:left w:val="none" w:sz="0" w:space="0" w:color="auto"/>
        <w:bottom w:val="none" w:sz="0" w:space="0" w:color="auto"/>
        <w:right w:val="none" w:sz="0" w:space="0" w:color="auto"/>
      </w:divBdr>
    </w:div>
    <w:div w:id="380593673">
      <w:bodyDiv w:val="1"/>
      <w:marLeft w:val="0"/>
      <w:marRight w:val="0"/>
      <w:marTop w:val="0"/>
      <w:marBottom w:val="0"/>
      <w:divBdr>
        <w:top w:val="none" w:sz="0" w:space="0" w:color="auto"/>
        <w:left w:val="none" w:sz="0" w:space="0" w:color="auto"/>
        <w:bottom w:val="none" w:sz="0" w:space="0" w:color="auto"/>
        <w:right w:val="none" w:sz="0" w:space="0" w:color="auto"/>
      </w:divBdr>
    </w:div>
    <w:div w:id="392387977">
      <w:bodyDiv w:val="1"/>
      <w:marLeft w:val="0"/>
      <w:marRight w:val="0"/>
      <w:marTop w:val="0"/>
      <w:marBottom w:val="0"/>
      <w:divBdr>
        <w:top w:val="none" w:sz="0" w:space="0" w:color="auto"/>
        <w:left w:val="none" w:sz="0" w:space="0" w:color="auto"/>
        <w:bottom w:val="none" w:sz="0" w:space="0" w:color="auto"/>
        <w:right w:val="none" w:sz="0" w:space="0" w:color="auto"/>
      </w:divBdr>
    </w:div>
    <w:div w:id="396588925">
      <w:bodyDiv w:val="1"/>
      <w:marLeft w:val="0"/>
      <w:marRight w:val="0"/>
      <w:marTop w:val="0"/>
      <w:marBottom w:val="0"/>
      <w:divBdr>
        <w:top w:val="none" w:sz="0" w:space="0" w:color="auto"/>
        <w:left w:val="none" w:sz="0" w:space="0" w:color="auto"/>
        <w:bottom w:val="none" w:sz="0" w:space="0" w:color="auto"/>
        <w:right w:val="none" w:sz="0" w:space="0" w:color="auto"/>
      </w:divBdr>
      <w:divsChild>
        <w:div w:id="883172610">
          <w:marLeft w:val="0"/>
          <w:marRight w:val="0"/>
          <w:marTop w:val="0"/>
          <w:marBottom w:val="0"/>
          <w:divBdr>
            <w:top w:val="none" w:sz="0" w:space="0" w:color="auto"/>
            <w:left w:val="none" w:sz="0" w:space="0" w:color="auto"/>
            <w:bottom w:val="none" w:sz="0" w:space="0" w:color="auto"/>
            <w:right w:val="none" w:sz="0" w:space="0" w:color="auto"/>
          </w:divBdr>
          <w:divsChild>
            <w:div w:id="855314458">
              <w:marLeft w:val="0"/>
              <w:marRight w:val="0"/>
              <w:marTop w:val="0"/>
              <w:marBottom w:val="0"/>
              <w:divBdr>
                <w:top w:val="none" w:sz="0" w:space="0" w:color="auto"/>
                <w:left w:val="none" w:sz="0" w:space="0" w:color="auto"/>
                <w:bottom w:val="none" w:sz="0" w:space="0" w:color="auto"/>
                <w:right w:val="none" w:sz="0" w:space="0" w:color="auto"/>
              </w:divBdr>
              <w:divsChild>
                <w:div w:id="1188522373">
                  <w:marLeft w:val="0"/>
                  <w:marRight w:val="0"/>
                  <w:marTop w:val="225"/>
                  <w:marBottom w:val="0"/>
                  <w:divBdr>
                    <w:top w:val="none" w:sz="0" w:space="0" w:color="auto"/>
                    <w:left w:val="none" w:sz="0" w:space="0" w:color="auto"/>
                    <w:bottom w:val="none" w:sz="0" w:space="0" w:color="auto"/>
                    <w:right w:val="none" w:sz="0" w:space="0" w:color="auto"/>
                  </w:divBdr>
                  <w:divsChild>
                    <w:div w:id="582184753">
                      <w:marLeft w:val="0"/>
                      <w:marRight w:val="0"/>
                      <w:marTop w:val="0"/>
                      <w:marBottom w:val="0"/>
                      <w:divBdr>
                        <w:top w:val="none" w:sz="0" w:space="0" w:color="auto"/>
                        <w:left w:val="none" w:sz="0" w:space="0" w:color="auto"/>
                        <w:bottom w:val="none" w:sz="0" w:space="0" w:color="auto"/>
                        <w:right w:val="none" w:sz="0" w:space="0" w:color="auto"/>
                      </w:divBdr>
                      <w:divsChild>
                        <w:div w:id="1682119125">
                          <w:marLeft w:val="0"/>
                          <w:marRight w:val="0"/>
                          <w:marTop w:val="0"/>
                          <w:marBottom w:val="0"/>
                          <w:divBdr>
                            <w:top w:val="none" w:sz="0" w:space="0" w:color="auto"/>
                            <w:left w:val="none" w:sz="0" w:space="0" w:color="auto"/>
                            <w:bottom w:val="none" w:sz="0" w:space="0" w:color="auto"/>
                            <w:right w:val="none" w:sz="0" w:space="0" w:color="auto"/>
                          </w:divBdr>
                          <w:divsChild>
                            <w:div w:id="1219516515">
                              <w:marLeft w:val="0"/>
                              <w:marRight w:val="0"/>
                              <w:marTop w:val="0"/>
                              <w:marBottom w:val="0"/>
                              <w:divBdr>
                                <w:top w:val="none" w:sz="0" w:space="0" w:color="auto"/>
                                <w:left w:val="none" w:sz="0" w:space="0" w:color="auto"/>
                                <w:bottom w:val="none" w:sz="0" w:space="0" w:color="auto"/>
                                <w:right w:val="none" w:sz="0" w:space="0" w:color="auto"/>
                              </w:divBdr>
                              <w:divsChild>
                                <w:div w:id="10084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55879">
          <w:marLeft w:val="0"/>
          <w:marRight w:val="0"/>
          <w:marTop w:val="800"/>
          <w:marBottom w:val="0"/>
          <w:divBdr>
            <w:top w:val="none" w:sz="0" w:space="0" w:color="auto"/>
            <w:left w:val="none" w:sz="0" w:space="0" w:color="auto"/>
            <w:bottom w:val="none" w:sz="0" w:space="0" w:color="auto"/>
            <w:right w:val="none" w:sz="0" w:space="0" w:color="auto"/>
          </w:divBdr>
        </w:div>
      </w:divsChild>
    </w:div>
    <w:div w:id="404377960">
      <w:bodyDiv w:val="1"/>
      <w:marLeft w:val="0"/>
      <w:marRight w:val="0"/>
      <w:marTop w:val="0"/>
      <w:marBottom w:val="0"/>
      <w:divBdr>
        <w:top w:val="none" w:sz="0" w:space="0" w:color="auto"/>
        <w:left w:val="none" w:sz="0" w:space="0" w:color="auto"/>
        <w:bottom w:val="none" w:sz="0" w:space="0" w:color="auto"/>
        <w:right w:val="none" w:sz="0" w:space="0" w:color="auto"/>
      </w:divBdr>
    </w:div>
    <w:div w:id="405029720">
      <w:bodyDiv w:val="1"/>
      <w:marLeft w:val="0"/>
      <w:marRight w:val="0"/>
      <w:marTop w:val="0"/>
      <w:marBottom w:val="0"/>
      <w:divBdr>
        <w:top w:val="none" w:sz="0" w:space="0" w:color="auto"/>
        <w:left w:val="none" w:sz="0" w:space="0" w:color="auto"/>
        <w:bottom w:val="none" w:sz="0" w:space="0" w:color="auto"/>
        <w:right w:val="none" w:sz="0" w:space="0" w:color="auto"/>
      </w:divBdr>
    </w:div>
    <w:div w:id="426124532">
      <w:bodyDiv w:val="1"/>
      <w:marLeft w:val="0"/>
      <w:marRight w:val="0"/>
      <w:marTop w:val="0"/>
      <w:marBottom w:val="0"/>
      <w:divBdr>
        <w:top w:val="none" w:sz="0" w:space="0" w:color="auto"/>
        <w:left w:val="none" w:sz="0" w:space="0" w:color="auto"/>
        <w:bottom w:val="none" w:sz="0" w:space="0" w:color="auto"/>
        <w:right w:val="none" w:sz="0" w:space="0" w:color="auto"/>
      </w:divBdr>
    </w:div>
    <w:div w:id="433020980">
      <w:bodyDiv w:val="1"/>
      <w:marLeft w:val="0"/>
      <w:marRight w:val="0"/>
      <w:marTop w:val="0"/>
      <w:marBottom w:val="0"/>
      <w:divBdr>
        <w:top w:val="none" w:sz="0" w:space="0" w:color="auto"/>
        <w:left w:val="none" w:sz="0" w:space="0" w:color="auto"/>
        <w:bottom w:val="none" w:sz="0" w:space="0" w:color="auto"/>
        <w:right w:val="none" w:sz="0" w:space="0" w:color="auto"/>
      </w:divBdr>
    </w:div>
    <w:div w:id="433132736">
      <w:bodyDiv w:val="1"/>
      <w:marLeft w:val="0"/>
      <w:marRight w:val="0"/>
      <w:marTop w:val="0"/>
      <w:marBottom w:val="0"/>
      <w:divBdr>
        <w:top w:val="none" w:sz="0" w:space="0" w:color="auto"/>
        <w:left w:val="none" w:sz="0" w:space="0" w:color="auto"/>
        <w:bottom w:val="none" w:sz="0" w:space="0" w:color="auto"/>
        <w:right w:val="none" w:sz="0" w:space="0" w:color="auto"/>
      </w:divBdr>
    </w:div>
    <w:div w:id="443115460">
      <w:bodyDiv w:val="1"/>
      <w:marLeft w:val="0"/>
      <w:marRight w:val="0"/>
      <w:marTop w:val="0"/>
      <w:marBottom w:val="0"/>
      <w:divBdr>
        <w:top w:val="none" w:sz="0" w:space="0" w:color="auto"/>
        <w:left w:val="none" w:sz="0" w:space="0" w:color="auto"/>
        <w:bottom w:val="none" w:sz="0" w:space="0" w:color="auto"/>
        <w:right w:val="none" w:sz="0" w:space="0" w:color="auto"/>
      </w:divBdr>
    </w:div>
    <w:div w:id="445275127">
      <w:bodyDiv w:val="1"/>
      <w:marLeft w:val="0"/>
      <w:marRight w:val="0"/>
      <w:marTop w:val="0"/>
      <w:marBottom w:val="0"/>
      <w:divBdr>
        <w:top w:val="none" w:sz="0" w:space="0" w:color="auto"/>
        <w:left w:val="none" w:sz="0" w:space="0" w:color="auto"/>
        <w:bottom w:val="none" w:sz="0" w:space="0" w:color="auto"/>
        <w:right w:val="none" w:sz="0" w:space="0" w:color="auto"/>
      </w:divBdr>
    </w:div>
    <w:div w:id="451948875">
      <w:bodyDiv w:val="1"/>
      <w:marLeft w:val="0"/>
      <w:marRight w:val="0"/>
      <w:marTop w:val="0"/>
      <w:marBottom w:val="0"/>
      <w:divBdr>
        <w:top w:val="none" w:sz="0" w:space="0" w:color="auto"/>
        <w:left w:val="none" w:sz="0" w:space="0" w:color="auto"/>
        <w:bottom w:val="none" w:sz="0" w:space="0" w:color="auto"/>
        <w:right w:val="none" w:sz="0" w:space="0" w:color="auto"/>
      </w:divBdr>
    </w:div>
    <w:div w:id="454056030">
      <w:bodyDiv w:val="1"/>
      <w:marLeft w:val="0"/>
      <w:marRight w:val="0"/>
      <w:marTop w:val="0"/>
      <w:marBottom w:val="0"/>
      <w:divBdr>
        <w:top w:val="none" w:sz="0" w:space="0" w:color="auto"/>
        <w:left w:val="none" w:sz="0" w:space="0" w:color="auto"/>
        <w:bottom w:val="none" w:sz="0" w:space="0" w:color="auto"/>
        <w:right w:val="none" w:sz="0" w:space="0" w:color="auto"/>
      </w:divBdr>
    </w:div>
    <w:div w:id="455955836">
      <w:bodyDiv w:val="1"/>
      <w:marLeft w:val="0"/>
      <w:marRight w:val="0"/>
      <w:marTop w:val="0"/>
      <w:marBottom w:val="0"/>
      <w:divBdr>
        <w:top w:val="none" w:sz="0" w:space="0" w:color="auto"/>
        <w:left w:val="none" w:sz="0" w:space="0" w:color="auto"/>
        <w:bottom w:val="none" w:sz="0" w:space="0" w:color="auto"/>
        <w:right w:val="none" w:sz="0" w:space="0" w:color="auto"/>
      </w:divBdr>
    </w:div>
    <w:div w:id="461924953">
      <w:bodyDiv w:val="1"/>
      <w:marLeft w:val="0"/>
      <w:marRight w:val="0"/>
      <w:marTop w:val="0"/>
      <w:marBottom w:val="0"/>
      <w:divBdr>
        <w:top w:val="none" w:sz="0" w:space="0" w:color="auto"/>
        <w:left w:val="none" w:sz="0" w:space="0" w:color="auto"/>
        <w:bottom w:val="none" w:sz="0" w:space="0" w:color="auto"/>
        <w:right w:val="none" w:sz="0" w:space="0" w:color="auto"/>
      </w:divBdr>
    </w:div>
    <w:div w:id="463886461">
      <w:bodyDiv w:val="1"/>
      <w:marLeft w:val="0"/>
      <w:marRight w:val="0"/>
      <w:marTop w:val="0"/>
      <w:marBottom w:val="0"/>
      <w:divBdr>
        <w:top w:val="none" w:sz="0" w:space="0" w:color="auto"/>
        <w:left w:val="none" w:sz="0" w:space="0" w:color="auto"/>
        <w:bottom w:val="none" w:sz="0" w:space="0" w:color="auto"/>
        <w:right w:val="none" w:sz="0" w:space="0" w:color="auto"/>
      </w:divBdr>
    </w:div>
    <w:div w:id="465244058">
      <w:bodyDiv w:val="1"/>
      <w:marLeft w:val="0"/>
      <w:marRight w:val="0"/>
      <w:marTop w:val="0"/>
      <w:marBottom w:val="0"/>
      <w:divBdr>
        <w:top w:val="none" w:sz="0" w:space="0" w:color="auto"/>
        <w:left w:val="none" w:sz="0" w:space="0" w:color="auto"/>
        <w:bottom w:val="none" w:sz="0" w:space="0" w:color="auto"/>
        <w:right w:val="none" w:sz="0" w:space="0" w:color="auto"/>
      </w:divBdr>
    </w:div>
    <w:div w:id="466748013">
      <w:bodyDiv w:val="1"/>
      <w:marLeft w:val="0"/>
      <w:marRight w:val="0"/>
      <w:marTop w:val="0"/>
      <w:marBottom w:val="0"/>
      <w:divBdr>
        <w:top w:val="none" w:sz="0" w:space="0" w:color="auto"/>
        <w:left w:val="none" w:sz="0" w:space="0" w:color="auto"/>
        <w:bottom w:val="none" w:sz="0" w:space="0" w:color="auto"/>
        <w:right w:val="none" w:sz="0" w:space="0" w:color="auto"/>
      </w:divBdr>
    </w:div>
    <w:div w:id="468788862">
      <w:bodyDiv w:val="1"/>
      <w:marLeft w:val="0"/>
      <w:marRight w:val="0"/>
      <w:marTop w:val="0"/>
      <w:marBottom w:val="0"/>
      <w:divBdr>
        <w:top w:val="none" w:sz="0" w:space="0" w:color="auto"/>
        <w:left w:val="none" w:sz="0" w:space="0" w:color="auto"/>
        <w:bottom w:val="none" w:sz="0" w:space="0" w:color="auto"/>
        <w:right w:val="none" w:sz="0" w:space="0" w:color="auto"/>
      </w:divBdr>
    </w:div>
    <w:div w:id="472527346">
      <w:bodyDiv w:val="1"/>
      <w:marLeft w:val="0"/>
      <w:marRight w:val="0"/>
      <w:marTop w:val="0"/>
      <w:marBottom w:val="0"/>
      <w:divBdr>
        <w:top w:val="none" w:sz="0" w:space="0" w:color="auto"/>
        <w:left w:val="none" w:sz="0" w:space="0" w:color="auto"/>
        <w:bottom w:val="none" w:sz="0" w:space="0" w:color="auto"/>
        <w:right w:val="none" w:sz="0" w:space="0" w:color="auto"/>
      </w:divBdr>
    </w:div>
    <w:div w:id="475607128">
      <w:bodyDiv w:val="1"/>
      <w:marLeft w:val="0"/>
      <w:marRight w:val="0"/>
      <w:marTop w:val="0"/>
      <w:marBottom w:val="0"/>
      <w:divBdr>
        <w:top w:val="none" w:sz="0" w:space="0" w:color="auto"/>
        <w:left w:val="none" w:sz="0" w:space="0" w:color="auto"/>
        <w:bottom w:val="none" w:sz="0" w:space="0" w:color="auto"/>
        <w:right w:val="none" w:sz="0" w:space="0" w:color="auto"/>
      </w:divBdr>
    </w:div>
    <w:div w:id="476805152">
      <w:bodyDiv w:val="1"/>
      <w:marLeft w:val="0"/>
      <w:marRight w:val="0"/>
      <w:marTop w:val="0"/>
      <w:marBottom w:val="0"/>
      <w:divBdr>
        <w:top w:val="none" w:sz="0" w:space="0" w:color="auto"/>
        <w:left w:val="none" w:sz="0" w:space="0" w:color="auto"/>
        <w:bottom w:val="none" w:sz="0" w:space="0" w:color="auto"/>
        <w:right w:val="none" w:sz="0" w:space="0" w:color="auto"/>
      </w:divBdr>
    </w:div>
    <w:div w:id="483931584">
      <w:bodyDiv w:val="1"/>
      <w:marLeft w:val="0"/>
      <w:marRight w:val="0"/>
      <w:marTop w:val="0"/>
      <w:marBottom w:val="0"/>
      <w:divBdr>
        <w:top w:val="none" w:sz="0" w:space="0" w:color="auto"/>
        <w:left w:val="none" w:sz="0" w:space="0" w:color="auto"/>
        <w:bottom w:val="none" w:sz="0" w:space="0" w:color="auto"/>
        <w:right w:val="none" w:sz="0" w:space="0" w:color="auto"/>
      </w:divBdr>
    </w:div>
    <w:div w:id="487862978">
      <w:bodyDiv w:val="1"/>
      <w:marLeft w:val="0"/>
      <w:marRight w:val="0"/>
      <w:marTop w:val="0"/>
      <w:marBottom w:val="0"/>
      <w:divBdr>
        <w:top w:val="none" w:sz="0" w:space="0" w:color="auto"/>
        <w:left w:val="none" w:sz="0" w:space="0" w:color="auto"/>
        <w:bottom w:val="none" w:sz="0" w:space="0" w:color="auto"/>
        <w:right w:val="none" w:sz="0" w:space="0" w:color="auto"/>
      </w:divBdr>
    </w:div>
    <w:div w:id="489296096">
      <w:bodyDiv w:val="1"/>
      <w:marLeft w:val="0"/>
      <w:marRight w:val="0"/>
      <w:marTop w:val="0"/>
      <w:marBottom w:val="0"/>
      <w:divBdr>
        <w:top w:val="none" w:sz="0" w:space="0" w:color="auto"/>
        <w:left w:val="none" w:sz="0" w:space="0" w:color="auto"/>
        <w:bottom w:val="none" w:sz="0" w:space="0" w:color="auto"/>
        <w:right w:val="none" w:sz="0" w:space="0" w:color="auto"/>
      </w:divBdr>
    </w:div>
    <w:div w:id="491215288">
      <w:bodyDiv w:val="1"/>
      <w:marLeft w:val="0"/>
      <w:marRight w:val="0"/>
      <w:marTop w:val="0"/>
      <w:marBottom w:val="0"/>
      <w:divBdr>
        <w:top w:val="none" w:sz="0" w:space="0" w:color="auto"/>
        <w:left w:val="none" w:sz="0" w:space="0" w:color="auto"/>
        <w:bottom w:val="none" w:sz="0" w:space="0" w:color="auto"/>
        <w:right w:val="none" w:sz="0" w:space="0" w:color="auto"/>
      </w:divBdr>
    </w:div>
    <w:div w:id="492796222">
      <w:bodyDiv w:val="1"/>
      <w:marLeft w:val="0"/>
      <w:marRight w:val="0"/>
      <w:marTop w:val="0"/>
      <w:marBottom w:val="0"/>
      <w:divBdr>
        <w:top w:val="none" w:sz="0" w:space="0" w:color="auto"/>
        <w:left w:val="none" w:sz="0" w:space="0" w:color="auto"/>
        <w:bottom w:val="none" w:sz="0" w:space="0" w:color="auto"/>
        <w:right w:val="none" w:sz="0" w:space="0" w:color="auto"/>
      </w:divBdr>
    </w:div>
    <w:div w:id="494341886">
      <w:bodyDiv w:val="1"/>
      <w:marLeft w:val="0"/>
      <w:marRight w:val="0"/>
      <w:marTop w:val="0"/>
      <w:marBottom w:val="0"/>
      <w:divBdr>
        <w:top w:val="none" w:sz="0" w:space="0" w:color="auto"/>
        <w:left w:val="none" w:sz="0" w:space="0" w:color="auto"/>
        <w:bottom w:val="none" w:sz="0" w:space="0" w:color="auto"/>
        <w:right w:val="none" w:sz="0" w:space="0" w:color="auto"/>
      </w:divBdr>
    </w:div>
    <w:div w:id="498543271">
      <w:bodyDiv w:val="1"/>
      <w:marLeft w:val="0"/>
      <w:marRight w:val="0"/>
      <w:marTop w:val="0"/>
      <w:marBottom w:val="0"/>
      <w:divBdr>
        <w:top w:val="none" w:sz="0" w:space="0" w:color="auto"/>
        <w:left w:val="none" w:sz="0" w:space="0" w:color="auto"/>
        <w:bottom w:val="none" w:sz="0" w:space="0" w:color="auto"/>
        <w:right w:val="none" w:sz="0" w:space="0" w:color="auto"/>
      </w:divBdr>
    </w:div>
    <w:div w:id="499547387">
      <w:bodyDiv w:val="1"/>
      <w:marLeft w:val="0"/>
      <w:marRight w:val="0"/>
      <w:marTop w:val="0"/>
      <w:marBottom w:val="0"/>
      <w:divBdr>
        <w:top w:val="none" w:sz="0" w:space="0" w:color="auto"/>
        <w:left w:val="none" w:sz="0" w:space="0" w:color="auto"/>
        <w:bottom w:val="none" w:sz="0" w:space="0" w:color="auto"/>
        <w:right w:val="none" w:sz="0" w:space="0" w:color="auto"/>
      </w:divBdr>
    </w:div>
    <w:div w:id="502009940">
      <w:bodyDiv w:val="1"/>
      <w:marLeft w:val="0"/>
      <w:marRight w:val="0"/>
      <w:marTop w:val="0"/>
      <w:marBottom w:val="0"/>
      <w:divBdr>
        <w:top w:val="none" w:sz="0" w:space="0" w:color="auto"/>
        <w:left w:val="none" w:sz="0" w:space="0" w:color="auto"/>
        <w:bottom w:val="none" w:sz="0" w:space="0" w:color="auto"/>
        <w:right w:val="none" w:sz="0" w:space="0" w:color="auto"/>
      </w:divBdr>
    </w:div>
    <w:div w:id="503864413">
      <w:bodyDiv w:val="1"/>
      <w:marLeft w:val="0"/>
      <w:marRight w:val="0"/>
      <w:marTop w:val="0"/>
      <w:marBottom w:val="0"/>
      <w:divBdr>
        <w:top w:val="none" w:sz="0" w:space="0" w:color="auto"/>
        <w:left w:val="none" w:sz="0" w:space="0" w:color="auto"/>
        <w:bottom w:val="none" w:sz="0" w:space="0" w:color="auto"/>
        <w:right w:val="none" w:sz="0" w:space="0" w:color="auto"/>
      </w:divBdr>
    </w:div>
    <w:div w:id="504513040">
      <w:bodyDiv w:val="1"/>
      <w:marLeft w:val="0"/>
      <w:marRight w:val="0"/>
      <w:marTop w:val="0"/>
      <w:marBottom w:val="0"/>
      <w:divBdr>
        <w:top w:val="none" w:sz="0" w:space="0" w:color="auto"/>
        <w:left w:val="none" w:sz="0" w:space="0" w:color="auto"/>
        <w:bottom w:val="none" w:sz="0" w:space="0" w:color="auto"/>
        <w:right w:val="none" w:sz="0" w:space="0" w:color="auto"/>
      </w:divBdr>
    </w:div>
    <w:div w:id="507139626">
      <w:bodyDiv w:val="1"/>
      <w:marLeft w:val="0"/>
      <w:marRight w:val="0"/>
      <w:marTop w:val="0"/>
      <w:marBottom w:val="0"/>
      <w:divBdr>
        <w:top w:val="none" w:sz="0" w:space="0" w:color="auto"/>
        <w:left w:val="none" w:sz="0" w:space="0" w:color="auto"/>
        <w:bottom w:val="none" w:sz="0" w:space="0" w:color="auto"/>
        <w:right w:val="none" w:sz="0" w:space="0" w:color="auto"/>
      </w:divBdr>
    </w:div>
    <w:div w:id="509218626">
      <w:bodyDiv w:val="1"/>
      <w:marLeft w:val="0"/>
      <w:marRight w:val="0"/>
      <w:marTop w:val="0"/>
      <w:marBottom w:val="0"/>
      <w:divBdr>
        <w:top w:val="none" w:sz="0" w:space="0" w:color="auto"/>
        <w:left w:val="none" w:sz="0" w:space="0" w:color="auto"/>
        <w:bottom w:val="none" w:sz="0" w:space="0" w:color="auto"/>
        <w:right w:val="none" w:sz="0" w:space="0" w:color="auto"/>
      </w:divBdr>
    </w:div>
    <w:div w:id="509222261">
      <w:bodyDiv w:val="1"/>
      <w:marLeft w:val="0"/>
      <w:marRight w:val="0"/>
      <w:marTop w:val="0"/>
      <w:marBottom w:val="0"/>
      <w:divBdr>
        <w:top w:val="none" w:sz="0" w:space="0" w:color="auto"/>
        <w:left w:val="none" w:sz="0" w:space="0" w:color="auto"/>
        <w:bottom w:val="none" w:sz="0" w:space="0" w:color="auto"/>
        <w:right w:val="none" w:sz="0" w:space="0" w:color="auto"/>
      </w:divBdr>
    </w:div>
    <w:div w:id="514197166">
      <w:bodyDiv w:val="1"/>
      <w:marLeft w:val="0"/>
      <w:marRight w:val="0"/>
      <w:marTop w:val="0"/>
      <w:marBottom w:val="0"/>
      <w:divBdr>
        <w:top w:val="none" w:sz="0" w:space="0" w:color="auto"/>
        <w:left w:val="none" w:sz="0" w:space="0" w:color="auto"/>
        <w:bottom w:val="none" w:sz="0" w:space="0" w:color="auto"/>
        <w:right w:val="none" w:sz="0" w:space="0" w:color="auto"/>
      </w:divBdr>
    </w:div>
    <w:div w:id="518349945">
      <w:bodyDiv w:val="1"/>
      <w:marLeft w:val="0"/>
      <w:marRight w:val="0"/>
      <w:marTop w:val="0"/>
      <w:marBottom w:val="0"/>
      <w:divBdr>
        <w:top w:val="none" w:sz="0" w:space="0" w:color="auto"/>
        <w:left w:val="none" w:sz="0" w:space="0" w:color="auto"/>
        <w:bottom w:val="none" w:sz="0" w:space="0" w:color="auto"/>
        <w:right w:val="none" w:sz="0" w:space="0" w:color="auto"/>
      </w:divBdr>
    </w:div>
    <w:div w:id="518467732">
      <w:bodyDiv w:val="1"/>
      <w:marLeft w:val="0"/>
      <w:marRight w:val="0"/>
      <w:marTop w:val="0"/>
      <w:marBottom w:val="0"/>
      <w:divBdr>
        <w:top w:val="none" w:sz="0" w:space="0" w:color="auto"/>
        <w:left w:val="none" w:sz="0" w:space="0" w:color="auto"/>
        <w:bottom w:val="none" w:sz="0" w:space="0" w:color="auto"/>
        <w:right w:val="none" w:sz="0" w:space="0" w:color="auto"/>
      </w:divBdr>
    </w:div>
    <w:div w:id="519315129">
      <w:bodyDiv w:val="1"/>
      <w:marLeft w:val="0"/>
      <w:marRight w:val="0"/>
      <w:marTop w:val="0"/>
      <w:marBottom w:val="0"/>
      <w:divBdr>
        <w:top w:val="none" w:sz="0" w:space="0" w:color="auto"/>
        <w:left w:val="none" w:sz="0" w:space="0" w:color="auto"/>
        <w:bottom w:val="none" w:sz="0" w:space="0" w:color="auto"/>
        <w:right w:val="none" w:sz="0" w:space="0" w:color="auto"/>
      </w:divBdr>
    </w:div>
    <w:div w:id="519852095">
      <w:bodyDiv w:val="1"/>
      <w:marLeft w:val="0"/>
      <w:marRight w:val="0"/>
      <w:marTop w:val="0"/>
      <w:marBottom w:val="0"/>
      <w:divBdr>
        <w:top w:val="none" w:sz="0" w:space="0" w:color="auto"/>
        <w:left w:val="none" w:sz="0" w:space="0" w:color="auto"/>
        <w:bottom w:val="none" w:sz="0" w:space="0" w:color="auto"/>
        <w:right w:val="none" w:sz="0" w:space="0" w:color="auto"/>
      </w:divBdr>
    </w:div>
    <w:div w:id="525142915">
      <w:bodyDiv w:val="1"/>
      <w:marLeft w:val="0"/>
      <w:marRight w:val="0"/>
      <w:marTop w:val="0"/>
      <w:marBottom w:val="0"/>
      <w:divBdr>
        <w:top w:val="none" w:sz="0" w:space="0" w:color="auto"/>
        <w:left w:val="none" w:sz="0" w:space="0" w:color="auto"/>
        <w:bottom w:val="none" w:sz="0" w:space="0" w:color="auto"/>
        <w:right w:val="none" w:sz="0" w:space="0" w:color="auto"/>
      </w:divBdr>
    </w:div>
    <w:div w:id="533541047">
      <w:bodyDiv w:val="1"/>
      <w:marLeft w:val="0"/>
      <w:marRight w:val="0"/>
      <w:marTop w:val="0"/>
      <w:marBottom w:val="0"/>
      <w:divBdr>
        <w:top w:val="none" w:sz="0" w:space="0" w:color="auto"/>
        <w:left w:val="none" w:sz="0" w:space="0" w:color="auto"/>
        <w:bottom w:val="none" w:sz="0" w:space="0" w:color="auto"/>
        <w:right w:val="none" w:sz="0" w:space="0" w:color="auto"/>
      </w:divBdr>
    </w:div>
    <w:div w:id="537013740">
      <w:bodyDiv w:val="1"/>
      <w:marLeft w:val="0"/>
      <w:marRight w:val="0"/>
      <w:marTop w:val="0"/>
      <w:marBottom w:val="0"/>
      <w:divBdr>
        <w:top w:val="none" w:sz="0" w:space="0" w:color="auto"/>
        <w:left w:val="none" w:sz="0" w:space="0" w:color="auto"/>
        <w:bottom w:val="none" w:sz="0" w:space="0" w:color="auto"/>
        <w:right w:val="none" w:sz="0" w:space="0" w:color="auto"/>
      </w:divBdr>
    </w:div>
    <w:div w:id="542446914">
      <w:bodyDiv w:val="1"/>
      <w:marLeft w:val="0"/>
      <w:marRight w:val="0"/>
      <w:marTop w:val="0"/>
      <w:marBottom w:val="0"/>
      <w:divBdr>
        <w:top w:val="none" w:sz="0" w:space="0" w:color="auto"/>
        <w:left w:val="none" w:sz="0" w:space="0" w:color="auto"/>
        <w:bottom w:val="none" w:sz="0" w:space="0" w:color="auto"/>
        <w:right w:val="none" w:sz="0" w:space="0" w:color="auto"/>
      </w:divBdr>
    </w:div>
    <w:div w:id="543762196">
      <w:bodyDiv w:val="1"/>
      <w:marLeft w:val="0"/>
      <w:marRight w:val="0"/>
      <w:marTop w:val="0"/>
      <w:marBottom w:val="0"/>
      <w:divBdr>
        <w:top w:val="none" w:sz="0" w:space="0" w:color="auto"/>
        <w:left w:val="none" w:sz="0" w:space="0" w:color="auto"/>
        <w:bottom w:val="none" w:sz="0" w:space="0" w:color="auto"/>
        <w:right w:val="none" w:sz="0" w:space="0" w:color="auto"/>
      </w:divBdr>
    </w:div>
    <w:div w:id="547374642">
      <w:bodyDiv w:val="1"/>
      <w:marLeft w:val="0"/>
      <w:marRight w:val="0"/>
      <w:marTop w:val="0"/>
      <w:marBottom w:val="0"/>
      <w:divBdr>
        <w:top w:val="none" w:sz="0" w:space="0" w:color="auto"/>
        <w:left w:val="none" w:sz="0" w:space="0" w:color="auto"/>
        <w:bottom w:val="none" w:sz="0" w:space="0" w:color="auto"/>
        <w:right w:val="none" w:sz="0" w:space="0" w:color="auto"/>
      </w:divBdr>
    </w:div>
    <w:div w:id="547685830">
      <w:bodyDiv w:val="1"/>
      <w:marLeft w:val="0"/>
      <w:marRight w:val="0"/>
      <w:marTop w:val="0"/>
      <w:marBottom w:val="0"/>
      <w:divBdr>
        <w:top w:val="none" w:sz="0" w:space="0" w:color="auto"/>
        <w:left w:val="none" w:sz="0" w:space="0" w:color="auto"/>
        <w:bottom w:val="none" w:sz="0" w:space="0" w:color="auto"/>
        <w:right w:val="none" w:sz="0" w:space="0" w:color="auto"/>
      </w:divBdr>
    </w:div>
    <w:div w:id="550924711">
      <w:bodyDiv w:val="1"/>
      <w:marLeft w:val="0"/>
      <w:marRight w:val="0"/>
      <w:marTop w:val="0"/>
      <w:marBottom w:val="0"/>
      <w:divBdr>
        <w:top w:val="none" w:sz="0" w:space="0" w:color="auto"/>
        <w:left w:val="none" w:sz="0" w:space="0" w:color="auto"/>
        <w:bottom w:val="none" w:sz="0" w:space="0" w:color="auto"/>
        <w:right w:val="none" w:sz="0" w:space="0" w:color="auto"/>
      </w:divBdr>
    </w:div>
    <w:div w:id="551963411">
      <w:bodyDiv w:val="1"/>
      <w:marLeft w:val="0"/>
      <w:marRight w:val="0"/>
      <w:marTop w:val="0"/>
      <w:marBottom w:val="0"/>
      <w:divBdr>
        <w:top w:val="none" w:sz="0" w:space="0" w:color="auto"/>
        <w:left w:val="none" w:sz="0" w:space="0" w:color="auto"/>
        <w:bottom w:val="none" w:sz="0" w:space="0" w:color="auto"/>
        <w:right w:val="none" w:sz="0" w:space="0" w:color="auto"/>
      </w:divBdr>
    </w:div>
    <w:div w:id="553735410">
      <w:bodyDiv w:val="1"/>
      <w:marLeft w:val="0"/>
      <w:marRight w:val="0"/>
      <w:marTop w:val="0"/>
      <w:marBottom w:val="0"/>
      <w:divBdr>
        <w:top w:val="none" w:sz="0" w:space="0" w:color="auto"/>
        <w:left w:val="none" w:sz="0" w:space="0" w:color="auto"/>
        <w:bottom w:val="none" w:sz="0" w:space="0" w:color="auto"/>
        <w:right w:val="none" w:sz="0" w:space="0" w:color="auto"/>
      </w:divBdr>
    </w:div>
    <w:div w:id="556091105">
      <w:bodyDiv w:val="1"/>
      <w:marLeft w:val="0"/>
      <w:marRight w:val="0"/>
      <w:marTop w:val="0"/>
      <w:marBottom w:val="0"/>
      <w:divBdr>
        <w:top w:val="none" w:sz="0" w:space="0" w:color="auto"/>
        <w:left w:val="none" w:sz="0" w:space="0" w:color="auto"/>
        <w:bottom w:val="none" w:sz="0" w:space="0" w:color="auto"/>
        <w:right w:val="none" w:sz="0" w:space="0" w:color="auto"/>
      </w:divBdr>
    </w:div>
    <w:div w:id="558126234">
      <w:bodyDiv w:val="1"/>
      <w:marLeft w:val="0"/>
      <w:marRight w:val="0"/>
      <w:marTop w:val="0"/>
      <w:marBottom w:val="0"/>
      <w:divBdr>
        <w:top w:val="none" w:sz="0" w:space="0" w:color="auto"/>
        <w:left w:val="none" w:sz="0" w:space="0" w:color="auto"/>
        <w:bottom w:val="none" w:sz="0" w:space="0" w:color="auto"/>
        <w:right w:val="none" w:sz="0" w:space="0" w:color="auto"/>
      </w:divBdr>
    </w:div>
    <w:div w:id="562066355">
      <w:bodyDiv w:val="1"/>
      <w:marLeft w:val="0"/>
      <w:marRight w:val="0"/>
      <w:marTop w:val="0"/>
      <w:marBottom w:val="0"/>
      <w:divBdr>
        <w:top w:val="none" w:sz="0" w:space="0" w:color="auto"/>
        <w:left w:val="none" w:sz="0" w:space="0" w:color="auto"/>
        <w:bottom w:val="none" w:sz="0" w:space="0" w:color="auto"/>
        <w:right w:val="none" w:sz="0" w:space="0" w:color="auto"/>
      </w:divBdr>
    </w:div>
    <w:div w:id="565265491">
      <w:bodyDiv w:val="1"/>
      <w:marLeft w:val="0"/>
      <w:marRight w:val="0"/>
      <w:marTop w:val="0"/>
      <w:marBottom w:val="0"/>
      <w:divBdr>
        <w:top w:val="none" w:sz="0" w:space="0" w:color="auto"/>
        <w:left w:val="none" w:sz="0" w:space="0" w:color="auto"/>
        <w:bottom w:val="none" w:sz="0" w:space="0" w:color="auto"/>
        <w:right w:val="none" w:sz="0" w:space="0" w:color="auto"/>
      </w:divBdr>
    </w:div>
    <w:div w:id="566380402">
      <w:bodyDiv w:val="1"/>
      <w:marLeft w:val="0"/>
      <w:marRight w:val="0"/>
      <w:marTop w:val="0"/>
      <w:marBottom w:val="0"/>
      <w:divBdr>
        <w:top w:val="none" w:sz="0" w:space="0" w:color="auto"/>
        <w:left w:val="none" w:sz="0" w:space="0" w:color="auto"/>
        <w:bottom w:val="none" w:sz="0" w:space="0" w:color="auto"/>
        <w:right w:val="none" w:sz="0" w:space="0" w:color="auto"/>
      </w:divBdr>
    </w:div>
    <w:div w:id="567149889">
      <w:bodyDiv w:val="1"/>
      <w:marLeft w:val="0"/>
      <w:marRight w:val="0"/>
      <w:marTop w:val="0"/>
      <w:marBottom w:val="0"/>
      <w:divBdr>
        <w:top w:val="none" w:sz="0" w:space="0" w:color="auto"/>
        <w:left w:val="none" w:sz="0" w:space="0" w:color="auto"/>
        <w:bottom w:val="none" w:sz="0" w:space="0" w:color="auto"/>
        <w:right w:val="none" w:sz="0" w:space="0" w:color="auto"/>
      </w:divBdr>
    </w:div>
    <w:div w:id="569775025">
      <w:bodyDiv w:val="1"/>
      <w:marLeft w:val="0"/>
      <w:marRight w:val="0"/>
      <w:marTop w:val="0"/>
      <w:marBottom w:val="0"/>
      <w:divBdr>
        <w:top w:val="none" w:sz="0" w:space="0" w:color="auto"/>
        <w:left w:val="none" w:sz="0" w:space="0" w:color="auto"/>
        <w:bottom w:val="none" w:sz="0" w:space="0" w:color="auto"/>
        <w:right w:val="none" w:sz="0" w:space="0" w:color="auto"/>
      </w:divBdr>
    </w:div>
    <w:div w:id="572548335">
      <w:bodyDiv w:val="1"/>
      <w:marLeft w:val="0"/>
      <w:marRight w:val="0"/>
      <w:marTop w:val="0"/>
      <w:marBottom w:val="0"/>
      <w:divBdr>
        <w:top w:val="none" w:sz="0" w:space="0" w:color="auto"/>
        <w:left w:val="none" w:sz="0" w:space="0" w:color="auto"/>
        <w:bottom w:val="none" w:sz="0" w:space="0" w:color="auto"/>
        <w:right w:val="none" w:sz="0" w:space="0" w:color="auto"/>
      </w:divBdr>
    </w:div>
    <w:div w:id="573051332">
      <w:bodyDiv w:val="1"/>
      <w:marLeft w:val="0"/>
      <w:marRight w:val="0"/>
      <w:marTop w:val="0"/>
      <w:marBottom w:val="0"/>
      <w:divBdr>
        <w:top w:val="none" w:sz="0" w:space="0" w:color="auto"/>
        <w:left w:val="none" w:sz="0" w:space="0" w:color="auto"/>
        <w:bottom w:val="none" w:sz="0" w:space="0" w:color="auto"/>
        <w:right w:val="none" w:sz="0" w:space="0" w:color="auto"/>
      </w:divBdr>
    </w:div>
    <w:div w:id="574125609">
      <w:bodyDiv w:val="1"/>
      <w:marLeft w:val="0"/>
      <w:marRight w:val="0"/>
      <w:marTop w:val="0"/>
      <w:marBottom w:val="0"/>
      <w:divBdr>
        <w:top w:val="none" w:sz="0" w:space="0" w:color="auto"/>
        <w:left w:val="none" w:sz="0" w:space="0" w:color="auto"/>
        <w:bottom w:val="none" w:sz="0" w:space="0" w:color="auto"/>
        <w:right w:val="none" w:sz="0" w:space="0" w:color="auto"/>
      </w:divBdr>
    </w:div>
    <w:div w:id="575170039">
      <w:bodyDiv w:val="1"/>
      <w:marLeft w:val="0"/>
      <w:marRight w:val="0"/>
      <w:marTop w:val="0"/>
      <w:marBottom w:val="0"/>
      <w:divBdr>
        <w:top w:val="none" w:sz="0" w:space="0" w:color="auto"/>
        <w:left w:val="none" w:sz="0" w:space="0" w:color="auto"/>
        <w:bottom w:val="none" w:sz="0" w:space="0" w:color="auto"/>
        <w:right w:val="none" w:sz="0" w:space="0" w:color="auto"/>
      </w:divBdr>
    </w:div>
    <w:div w:id="580525880">
      <w:bodyDiv w:val="1"/>
      <w:marLeft w:val="0"/>
      <w:marRight w:val="0"/>
      <w:marTop w:val="0"/>
      <w:marBottom w:val="0"/>
      <w:divBdr>
        <w:top w:val="none" w:sz="0" w:space="0" w:color="auto"/>
        <w:left w:val="none" w:sz="0" w:space="0" w:color="auto"/>
        <w:bottom w:val="none" w:sz="0" w:space="0" w:color="auto"/>
        <w:right w:val="none" w:sz="0" w:space="0" w:color="auto"/>
      </w:divBdr>
    </w:div>
    <w:div w:id="583077934">
      <w:bodyDiv w:val="1"/>
      <w:marLeft w:val="0"/>
      <w:marRight w:val="0"/>
      <w:marTop w:val="0"/>
      <w:marBottom w:val="0"/>
      <w:divBdr>
        <w:top w:val="none" w:sz="0" w:space="0" w:color="auto"/>
        <w:left w:val="none" w:sz="0" w:space="0" w:color="auto"/>
        <w:bottom w:val="none" w:sz="0" w:space="0" w:color="auto"/>
        <w:right w:val="none" w:sz="0" w:space="0" w:color="auto"/>
      </w:divBdr>
    </w:div>
    <w:div w:id="592206955">
      <w:bodyDiv w:val="1"/>
      <w:marLeft w:val="0"/>
      <w:marRight w:val="0"/>
      <w:marTop w:val="0"/>
      <w:marBottom w:val="0"/>
      <w:divBdr>
        <w:top w:val="none" w:sz="0" w:space="0" w:color="auto"/>
        <w:left w:val="none" w:sz="0" w:space="0" w:color="auto"/>
        <w:bottom w:val="none" w:sz="0" w:space="0" w:color="auto"/>
        <w:right w:val="none" w:sz="0" w:space="0" w:color="auto"/>
      </w:divBdr>
    </w:div>
    <w:div w:id="592589936">
      <w:bodyDiv w:val="1"/>
      <w:marLeft w:val="0"/>
      <w:marRight w:val="0"/>
      <w:marTop w:val="0"/>
      <w:marBottom w:val="0"/>
      <w:divBdr>
        <w:top w:val="none" w:sz="0" w:space="0" w:color="auto"/>
        <w:left w:val="none" w:sz="0" w:space="0" w:color="auto"/>
        <w:bottom w:val="none" w:sz="0" w:space="0" w:color="auto"/>
        <w:right w:val="none" w:sz="0" w:space="0" w:color="auto"/>
      </w:divBdr>
    </w:div>
    <w:div w:id="593787695">
      <w:bodyDiv w:val="1"/>
      <w:marLeft w:val="0"/>
      <w:marRight w:val="0"/>
      <w:marTop w:val="0"/>
      <w:marBottom w:val="0"/>
      <w:divBdr>
        <w:top w:val="none" w:sz="0" w:space="0" w:color="auto"/>
        <w:left w:val="none" w:sz="0" w:space="0" w:color="auto"/>
        <w:bottom w:val="none" w:sz="0" w:space="0" w:color="auto"/>
        <w:right w:val="none" w:sz="0" w:space="0" w:color="auto"/>
      </w:divBdr>
    </w:div>
    <w:div w:id="594822405">
      <w:bodyDiv w:val="1"/>
      <w:marLeft w:val="0"/>
      <w:marRight w:val="0"/>
      <w:marTop w:val="0"/>
      <w:marBottom w:val="0"/>
      <w:divBdr>
        <w:top w:val="none" w:sz="0" w:space="0" w:color="auto"/>
        <w:left w:val="none" w:sz="0" w:space="0" w:color="auto"/>
        <w:bottom w:val="none" w:sz="0" w:space="0" w:color="auto"/>
        <w:right w:val="none" w:sz="0" w:space="0" w:color="auto"/>
      </w:divBdr>
    </w:div>
    <w:div w:id="597908473">
      <w:bodyDiv w:val="1"/>
      <w:marLeft w:val="0"/>
      <w:marRight w:val="0"/>
      <w:marTop w:val="0"/>
      <w:marBottom w:val="0"/>
      <w:divBdr>
        <w:top w:val="none" w:sz="0" w:space="0" w:color="auto"/>
        <w:left w:val="none" w:sz="0" w:space="0" w:color="auto"/>
        <w:bottom w:val="none" w:sz="0" w:space="0" w:color="auto"/>
        <w:right w:val="none" w:sz="0" w:space="0" w:color="auto"/>
      </w:divBdr>
    </w:div>
    <w:div w:id="602149432">
      <w:bodyDiv w:val="1"/>
      <w:marLeft w:val="0"/>
      <w:marRight w:val="0"/>
      <w:marTop w:val="0"/>
      <w:marBottom w:val="0"/>
      <w:divBdr>
        <w:top w:val="none" w:sz="0" w:space="0" w:color="auto"/>
        <w:left w:val="none" w:sz="0" w:space="0" w:color="auto"/>
        <w:bottom w:val="none" w:sz="0" w:space="0" w:color="auto"/>
        <w:right w:val="none" w:sz="0" w:space="0" w:color="auto"/>
      </w:divBdr>
    </w:div>
    <w:div w:id="607738307">
      <w:bodyDiv w:val="1"/>
      <w:marLeft w:val="0"/>
      <w:marRight w:val="0"/>
      <w:marTop w:val="0"/>
      <w:marBottom w:val="0"/>
      <w:divBdr>
        <w:top w:val="none" w:sz="0" w:space="0" w:color="auto"/>
        <w:left w:val="none" w:sz="0" w:space="0" w:color="auto"/>
        <w:bottom w:val="none" w:sz="0" w:space="0" w:color="auto"/>
        <w:right w:val="none" w:sz="0" w:space="0" w:color="auto"/>
      </w:divBdr>
    </w:div>
    <w:div w:id="615016505">
      <w:bodyDiv w:val="1"/>
      <w:marLeft w:val="0"/>
      <w:marRight w:val="0"/>
      <w:marTop w:val="0"/>
      <w:marBottom w:val="0"/>
      <w:divBdr>
        <w:top w:val="none" w:sz="0" w:space="0" w:color="auto"/>
        <w:left w:val="none" w:sz="0" w:space="0" w:color="auto"/>
        <w:bottom w:val="none" w:sz="0" w:space="0" w:color="auto"/>
        <w:right w:val="none" w:sz="0" w:space="0" w:color="auto"/>
      </w:divBdr>
      <w:divsChild>
        <w:div w:id="126440760">
          <w:marLeft w:val="0"/>
          <w:marRight w:val="0"/>
          <w:marTop w:val="0"/>
          <w:marBottom w:val="0"/>
          <w:divBdr>
            <w:top w:val="none" w:sz="0" w:space="0" w:color="auto"/>
            <w:left w:val="none" w:sz="0" w:space="0" w:color="auto"/>
            <w:bottom w:val="none" w:sz="0" w:space="0" w:color="auto"/>
            <w:right w:val="none" w:sz="0" w:space="0" w:color="auto"/>
          </w:divBdr>
        </w:div>
        <w:div w:id="1780298196">
          <w:marLeft w:val="0"/>
          <w:marRight w:val="0"/>
          <w:marTop w:val="0"/>
          <w:marBottom w:val="0"/>
          <w:divBdr>
            <w:top w:val="none" w:sz="0" w:space="0" w:color="auto"/>
            <w:left w:val="none" w:sz="0" w:space="0" w:color="auto"/>
            <w:bottom w:val="none" w:sz="0" w:space="0" w:color="auto"/>
            <w:right w:val="none" w:sz="0" w:space="0" w:color="auto"/>
          </w:divBdr>
        </w:div>
        <w:div w:id="1949195193">
          <w:marLeft w:val="0"/>
          <w:marRight w:val="0"/>
          <w:marTop w:val="0"/>
          <w:marBottom w:val="0"/>
          <w:divBdr>
            <w:top w:val="none" w:sz="0" w:space="0" w:color="auto"/>
            <w:left w:val="none" w:sz="0" w:space="0" w:color="auto"/>
            <w:bottom w:val="none" w:sz="0" w:space="0" w:color="auto"/>
            <w:right w:val="none" w:sz="0" w:space="0" w:color="auto"/>
          </w:divBdr>
        </w:div>
      </w:divsChild>
    </w:div>
    <w:div w:id="618950643">
      <w:bodyDiv w:val="1"/>
      <w:marLeft w:val="0"/>
      <w:marRight w:val="0"/>
      <w:marTop w:val="0"/>
      <w:marBottom w:val="0"/>
      <w:divBdr>
        <w:top w:val="none" w:sz="0" w:space="0" w:color="auto"/>
        <w:left w:val="none" w:sz="0" w:space="0" w:color="auto"/>
        <w:bottom w:val="none" w:sz="0" w:space="0" w:color="auto"/>
        <w:right w:val="none" w:sz="0" w:space="0" w:color="auto"/>
      </w:divBdr>
    </w:div>
    <w:div w:id="619997136">
      <w:bodyDiv w:val="1"/>
      <w:marLeft w:val="0"/>
      <w:marRight w:val="0"/>
      <w:marTop w:val="0"/>
      <w:marBottom w:val="0"/>
      <w:divBdr>
        <w:top w:val="none" w:sz="0" w:space="0" w:color="auto"/>
        <w:left w:val="none" w:sz="0" w:space="0" w:color="auto"/>
        <w:bottom w:val="none" w:sz="0" w:space="0" w:color="auto"/>
        <w:right w:val="none" w:sz="0" w:space="0" w:color="auto"/>
      </w:divBdr>
    </w:div>
    <w:div w:id="620576911">
      <w:bodyDiv w:val="1"/>
      <w:marLeft w:val="0"/>
      <w:marRight w:val="0"/>
      <w:marTop w:val="0"/>
      <w:marBottom w:val="0"/>
      <w:divBdr>
        <w:top w:val="none" w:sz="0" w:space="0" w:color="auto"/>
        <w:left w:val="none" w:sz="0" w:space="0" w:color="auto"/>
        <w:bottom w:val="none" w:sz="0" w:space="0" w:color="auto"/>
        <w:right w:val="none" w:sz="0" w:space="0" w:color="auto"/>
      </w:divBdr>
    </w:div>
    <w:div w:id="621498349">
      <w:bodyDiv w:val="1"/>
      <w:marLeft w:val="0"/>
      <w:marRight w:val="0"/>
      <w:marTop w:val="0"/>
      <w:marBottom w:val="0"/>
      <w:divBdr>
        <w:top w:val="none" w:sz="0" w:space="0" w:color="auto"/>
        <w:left w:val="none" w:sz="0" w:space="0" w:color="auto"/>
        <w:bottom w:val="none" w:sz="0" w:space="0" w:color="auto"/>
        <w:right w:val="none" w:sz="0" w:space="0" w:color="auto"/>
      </w:divBdr>
    </w:div>
    <w:div w:id="632323214">
      <w:bodyDiv w:val="1"/>
      <w:marLeft w:val="0"/>
      <w:marRight w:val="0"/>
      <w:marTop w:val="0"/>
      <w:marBottom w:val="0"/>
      <w:divBdr>
        <w:top w:val="none" w:sz="0" w:space="0" w:color="auto"/>
        <w:left w:val="none" w:sz="0" w:space="0" w:color="auto"/>
        <w:bottom w:val="none" w:sz="0" w:space="0" w:color="auto"/>
        <w:right w:val="none" w:sz="0" w:space="0" w:color="auto"/>
      </w:divBdr>
    </w:div>
    <w:div w:id="638609683">
      <w:bodyDiv w:val="1"/>
      <w:marLeft w:val="0"/>
      <w:marRight w:val="0"/>
      <w:marTop w:val="0"/>
      <w:marBottom w:val="0"/>
      <w:divBdr>
        <w:top w:val="none" w:sz="0" w:space="0" w:color="auto"/>
        <w:left w:val="none" w:sz="0" w:space="0" w:color="auto"/>
        <w:bottom w:val="none" w:sz="0" w:space="0" w:color="auto"/>
        <w:right w:val="none" w:sz="0" w:space="0" w:color="auto"/>
      </w:divBdr>
    </w:div>
    <w:div w:id="639464187">
      <w:bodyDiv w:val="1"/>
      <w:marLeft w:val="0"/>
      <w:marRight w:val="0"/>
      <w:marTop w:val="0"/>
      <w:marBottom w:val="0"/>
      <w:divBdr>
        <w:top w:val="none" w:sz="0" w:space="0" w:color="auto"/>
        <w:left w:val="none" w:sz="0" w:space="0" w:color="auto"/>
        <w:bottom w:val="none" w:sz="0" w:space="0" w:color="auto"/>
        <w:right w:val="none" w:sz="0" w:space="0" w:color="auto"/>
      </w:divBdr>
    </w:div>
    <w:div w:id="649941996">
      <w:bodyDiv w:val="1"/>
      <w:marLeft w:val="0"/>
      <w:marRight w:val="0"/>
      <w:marTop w:val="0"/>
      <w:marBottom w:val="0"/>
      <w:divBdr>
        <w:top w:val="none" w:sz="0" w:space="0" w:color="auto"/>
        <w:left w:val="none" w:sz="0" w:space="0" w:color="auto"/>
        <w:bottom w:val="none" w:sz="0" w:space="0" w:color="auto"/>
        <w:right w:val="none" w:sz="0" w:space="0" w:color="auto"/>
      </w:divBdr>
      <w:divsChild>
        <w:div w:id="2105101665">
          <w:marLeft w:val="0"/>
          <w:marRight w:val="0"/>
          <w:marTop w:val="0"/>
          <w:marBottom w:val="0"/>
          <w:divBdr>
            <w:top w:val="none" w:sz="0" w:space="0" w:color="auto"/>
            <w:left w:val="none" w:sz="0" w:space="0" w:color="auto"/>
            <w:bottom w:val="none" w:sz="0" w:space="0" w:color="auto"/>
            <w:right w:val="none" w:sz="0" w:space="0" w:color="auto"/>
          </w:divBdr>
          <w:divsChild>
            <w:div w:id="1525820746">
              <w:marLeft w:val="0"/>
              <w:marRight w:val="0"/>
              <w:marTop w:val="0"/>
              <w:marBottom w:val="0"/>
              <w:divBdr>
                <w:top w:val="none" w:sz="0" w:space="0" w:color="auto"/>
                <w:left w:val="none" w:sz="0" w:space="0" w:color="auto"/>
                <w:bottom w:val="none" w:sz="0" w:space="0" w:color="auto"/>
                <w:right w:val="none" w:sz="0" w:space="0" w:color="auto"/>
              </w:divBdr>
              <w:divsChild>
                <w:div w:id="10520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97558">
      <w:bodyDiv w:val="1"/>
      <w:marLeft w:val="0"/>
      <w:marRight w:val="0"/>
      <w:marTop w:val="0"/>
      <w:marBottom w:val="0"/>
      <w:divBdr>
        <w:top w:val="none" w:sz="0" w:space="0" w:color="auto"/>
        <w:left w:val="none" w:sz="0" w:space="0" w:color="auto"/>
        <w:bottom w:val="none" w:sz="0" w:space="0" w:color="auto"/>
        <w:right w:val="none" w:sz="0" w:space="0" w:color="auto"/>
      </w:divBdr>
    </w:div>
    <w:div w:id="655575919">
      <w:bodyDiv w:val="1"/>
      <w:marLeft w:val="0"/>
      <w:marRight w:val="0"/>
      <w:marTop w:val="0"/>
      <w:marBottom w:val="0"/>
      <w:divBdr>
        <w:top w:val="none" w:sz="0" w:space="0" w:color="auto"/>
        <w:left w:val="none" w:sz="0" w:space="0" w:color="auto"/>
        <w:bottom w:val="none" w:sz="0" w:space="0" w:color="auto"/>
        <w:right w:val="none" w:sz="0" w:space="0" w:color="auto"/>
      </w:divBdr>
    </w:div>
    <w:div w:id="656107931">
      <w:bodyDiv w:val="1"/>
      <w:marLeft w:val="0"/>
      <w:marRight w:val="0"/>
      <w:marTop w:val="0"/>
      <w:marBottom w:val="0"/>
      <w:divBdr>
        <w:top w:val="none" w:sz="0" w:space="0" w:color="auto"/>
        <w:left w:val="none" w:sz="0" w:space="0" w:color="auto"/>
        <w:bottom w:val="none" w:sz="0" w:space="0" w:color="auto"/>
        <w:right w:val="none" w:sz="0" w:space="0" w:color="auto"/>
      </w:divBdr>
    </w:div>
    <w:div w:id="657080373">
      <w:bodyDiv w:val="1"/>
      <w:marLeft w:val="0"/>
      <w:marRight w:val="0"/>
      <w:marTop w:val="0"/>
      <w:marBottom w:val="0"/>
      <w:divBdr>
        <w:top w:val="none" w:sz="0" w:space="0" w:color="auto"/>
        <w:left w:val="none" w:sz="0" w:space="0" w:color="auto"/>
        <w:bottom w:val="none" w:sz="0" w:space="0" w:color="auto"/>
        <w:right w:val="none" w:sz="0" w:space="0" w:color="auto"/>
      </w:divBdr>
    </w:div>
    <w:div w:id="657423354">
      <w:bodyDiv w:val="1"/>
      <w:marLeft w:val="0"/>
      <w:marRight w:val="0"/>
      <w:marTop w:val="0"/>
      <w:marBottom w:val="0"/>
      <w:divBdr>
        <w:top w:val="none" w:sz="0" w:space="0" w:color="auto"/>
        <w:left w:val="none" w:sz="0" w:space="0" w:color="auto"/>
        <w:bottom w:val="none" w:sz="0" w:space="0" w:color="auto"/>
        <w:right w:val="none" w:sz="0" w:space="0" w:color="auto"/>
      </w:divBdr>
    </w:div>
    <w:div w:id="668598316">
      <w:bodyDiv w:val="1"/>
      <w:marLeft w:val="0"/>
      <w:marRight w:val="0"/>
      <w:marTop w:val="0"/>
      <w:marBottom w:val="0"/>
      <w:divBdr>
        <w:top w:val="none" w:sz="0" w:space="0" w:color="auto"/>
        <w:left w:val="none" w:sz="0" w:space="0" w:color="auto"/>
        <w:bottom w:val="none" w:sz="0" w:space="0" w:color="auto"/>
        <w:right w:val="none" w:sz="0" w:space="0" w:color="auto"/>
      </w:divBdr>
    </w:div>
    <w:div w:id="668991662">
      <w:bodyDiv w:val="1"/>
      <w:marLeft w:val="0"/>
      <w:marRight w:val="0"/>
      <w:marTop w:val="0"/>
      <w:marBottom w:val="0"/>
      <w:divBdr>
        <w:top w:val="none" w:sz="0" w:space="0" w:color="auto"/>
        <w:left w:val="none" w:sz="0" w:space="0" w:color="auto"/>
        <w:bottom w:val="none" w:sz="0" w:space="0" w:color="auto"/>
        <w:right w:val="none" w:sz="0" w:space="0" w:color="auto"/>
      </w:divBdr>
    </w:div>
    <w:div w:id="672294747">
      <w:bodyDiv w:val="1"/>
      <w:marLeft w:val="0"/>
      <w:marRight w:val="0"/>
      <w:marTop w:val="0"/>
      <w:marBottom w:val="0"/>
      <w:divBdr>
        <w:top w:val="none" w:sz="0" w:space="0" w:color="auto"/>
        <w:left w:val="none" w:sz="0" w:space="0" w:color="auto"/>
        <w:bottom w:val="none" w:sz="0" w:space="0" w:color="auto"/>
        <w:right w:val="none" w:sz="0" w:space="0" w:color="auto"/>
      </w:divBdr>
    </w:div>
    <w:div w:id="678504995">
      <w:bodyDiv w:val="1"/>
      <w:marLeft w:val="0"/>
      <w:marRight w:val="0"/>
      <w:marTop w:val="0"/>
      <w:marBottom w:val="0"/>
      <w:divBdr>
        <w:top w:val="none" w:sz="0" w:space="0" w:color="auto"/>
        <w:left w:val="none" w:sz="0" w:space="0" w:color="auto"/>
        <w:bottom w:val="none" w:sz="0" w:space="0" w:color="auto"/>
        <w:right w:val="none" w:sz="0" w:space="0" w:color="auto"/>
      </w:divBdr>
    </w:div>
    <w:div w:id="679234651">
      <w:bodyDiv w:val="1"/>
      <w:marLeft w:val="0"/>
      <w:marRight w:val="0"/>
      <w:marTop w:val="0"/>
      <w:marBottom w:val="0"/>
      <w:divBdr>
        <w:top w:val="none" w:sz="0" w:space="0" w:color="auto"/>
        <w:left w:val="none" w:sz="0" w:space="0" w:color="auto"/>
        <w:bottom w:val="none" w:sz="0" w:space="0" w:color="auto"/>
        <w:right w:val="none" w:sz="0" w:space="0" w:color="auto"/>
      </w:divBdr>
    </w:div>
    <w:div w:id="683676846">
      <w:bodyDiv w:val="1"/>
      <w:marLeft w:val="0"/>
      <w:marRight w:val="0"/>
      <w:marTop w:val="0"/>
      <w:marBottom w:val="0"/>
      <w:divBdr>
        <w:top w:val="none" w:sz="0" w:space="0" w:color="auto"/>
        <w:left w:val="none" w:sz="0" w:space="0" w:color="auto"/>
        <w:bottom w:val="none" w:sz="0" w:space="0" w:color="auto"/>
        <w:right w:val="none" w:sz="0" w:space="0" w:color="auto"/>
      </w:divBdr>
    </w:div>
    <w:div w:id="684792729">
      <w:bodyDiv w:val="1"/>
      <w:marLeft w:val="0"/>
      <w:marRight w:val="0"/>
      <w:marTop w:val="0"/>
      <w:marBottom w:val="0"/>
      <w:divBdr>
        <w:top w:val="none" w:sz="0" w:space="0" w:color="auto"/>
        <w:left w:val="none" w:sz="0" w:space="0" w:color="auto"/>
        <w:bottom w:val="none" w:sz="0" w:space="0" w:color="auto"/>
        <w:right w:val="none" w:sz="0" w:space="0" w:color="auto"/>
      </w:divBdr>
    </w:div>
    <w:div w:id="686830423">
      <w:bodyDiv w:val="1"/>
      <w:marLeft w:val="0"/>
      <w:marRight w:val="0"/>
      <w:marTop w:val="0"/>
      <w:marBottom w:val="0"/>
      <w:divBdr>
        <w:top w:val="none" w:sz="0" w:space="0" w:color="auto"/>
        <w:left w:val="none" w:sz="0" w:space="0" w:color="auto"/>
        <w:bottom w:val="none" w:sz="0" w:space="0" w:color="auto"/>
        <w:right w:val="none" w:sz="0" w:space="0" w:color="auto"/>
      </w:divBdr>
      <w:divsChild>
        <w:div w:id="531498626">
          <w:marLeft w:val="0"/>
          <w:marRight w:val="0"/>
          <w:marTop w:val="0"/>
          <w:marBottom w:val="0"/>
          <w:divBdr>
            <w:top w:val="none" w:sz="0" w:space="0" w:color="auto"/>
            <w:left w:val="none" w:sz="0" w:space="0" w:color="auto"/>
            <w:bottom w:val="none" w:sz="0" w:space="0" w:color="auto"/>
            <w:right w:val="none" w:sz="0" w:space="0" w:color="auto"/>
          </w:divBdr>
        </w:div>
      </w:divsChild>
    </w:div>
    <w:div w:id="687298467">
      <w:bodyDiv w:val="1"/>
      <w:marLeft w:val="0"/>
      <w:marRight w:val="0"/>
      <w:marTop w:val="0"/>
      <w:marBottom w:val="0"/>
      <w:divBdr>
        <w:top w:val="none" w:sz="0" w:space="0" w:color="auto"/>
        <w:left w:val="none" w:sz="0" w:space="0" w:color="auto"/>
        <w:bottom w:val="none" w:sz="0" w:space="0" w:color="auto"/>
        <w:right w:val="none" w:sz="0" w:space="0" w:color="auto"/>
      </w:divBdr>
    </w:div>
    <w:div w:id="690842290">
      <w:bodyDiv w:val="1"/>
      <w:marLeft w:val="0"/>
      <w:marRight w:val="0"/>
      <w:marTop w:val="0"/>
      <w:marBottom w:val="0"/>
      <w:divBdr>
        <w:top w:val="none" w:sz="0" w:space="0" w:color="auto"/>
        <w:left w:val="none" w:sz="0" w:space="0" w:color="auto"/>
        <w:bottom w:val="none" w:sz="0" w:space="0" w:color="auto"/>
        <w:right w:val="none" w:sz="0" w:space="0" w:color="auto"/>
      </w:divBdr>
    </w:div>
    <w:div w:id="691035328">
      <w:bodyDiv w:val="1"/>
      <w:marLeft w:val="0"/>
      <w:marRight w:val="0"/>
      <w:marTop w:val="0"/>
      <w:marBottom w:val="0"/>
      <w:divBdr>
        <w:top w:val="none" w:sz="0" w:space="0" w:color="auto"/>
        <w:left w:val="none" w:sz="0" w:space="0" w:color="auto"/>
        <w:bottom w:val="none" w:sz="0" w:space="0" w:color="auto"/>
        <w:right w:val="none" w:sz="0" w:space="0" w:color="auto"/>
      </w:divBdr>
    </w:div>
    <w:div w:id="691301016">
      <w:bodyDiv w:val="1"/>
      <w:marLeft w:val="0"/>
      <w:marRight w:val="0"/>
      <w:marTop w:val="0"/>
      <w:marBottom w:val="0"/>
      <w:divBdr>
        <w:top w:val="none" w:sz="0" w:space="0" w:color="auto"/>
        <w:left w:val="none" w:sz="0" w:space="0" w:color="auto"/>
        <w:bottom w:val="none" w:sz="0" w:space="0" w:color="auto"/>
        <w:right w:val="none" w:sz="0" w:space="0" w:color="auto"/>
      </w:divBdr>
    </w:div>
    <w:div w:id="696125814">
      <w:bodyDiv w:val="1"/>
      <w:marLeft w:val="0"/>
      <w:marRight w:val="0"/>
      <w:marTop w:val="0"/>
      <w:marBottom w:val="0"/>
      <w:divBdr>
        <w:top w:val="none" w:sz="0" w:space="0" w:color="auto"/>
        <w:left w:val="none" w:sz="0" w:space="0" w:color="auto"/>
        <w:bottom w:val="none" w:sz="0" w:space="0" w:color="auto"/>
        <w:right w:val="none" w:sz="0" w:space="0" w:color="auto"/>
      </w:divBdr>
    </w:div>
    <w:div w:id="697312099">
      <w:bodyDiv w:val="1"/>
      <w:marLeft w:val="0"/>
      <w:marRight w:val="0"/>
      <w:marTop w:val="0"/>
      <w:marBottom w:val="0"/>
      <w:divBdr>
        <w:top w:val="none" w:sz="0" w:space="0" w:color="auto"/>
        <w:left w:val="none" w:sz="0" w:space="0" w:color="auto"/>
        <w:bottom w:val="none" w:sz="0" w:space="0" w:color="auto"/>
        <w:right w:val="none" w:sz="0" w:space="0" w:color="auto"/>
      </w:divBdr>
      <w:divsChild>
        <w:div w:id="760180077">
          <w:marLeft w:val="0"/>
          <w:marRight w:val="0"/>
          <w:marTop w:val="0"/>
          <w:marBottom w:val="0"/>
          <w:divBdr>
            <w:top w:val="none" w:sz="0" w:space="0" w:color="auto"/>
            <w:left w:val="none" w:sz="0" w:space="0" w:color="auto"/>
            <w:bottom w:val="none" w:sz="0" w:space="0" w:color="auto"/>
            <w:right w:val="none" w:sz="0" w:space="0" w:color="auto"/>
          </w:divBdr>
          <w:divsChild>
            <w:div w:id="1373770681">
              <w:marLeft w:val="0"/>
              <w:marRight w:val="0"/>
              <w:marTop w:val="0"/>
              <w:marBottom w:val="0"/>
              <w:divBdr>
                <w:top w:val="none" w:sz="0" w:space="0" w:color="auto"/>
                <w:left w:val="none" w:sz="0" w:space="0" w:color="auto"/>
                <w:bottom w:val="none" w:sz="0" w:space="0" w:color="auto"/>
                <w:right w:val="none" w:sz="0" w:space="0" w:color="auto"/>
              </w:divBdr>
              <w:divsChild>
                <w:div w:id="523321467">
                  <w:marLeft w:val="0"/>
                  <w:marRight w:val="0"/>
                  <w:marTop w:val="0"/>
                  <w:marBottom w:val="0"/>
                  <w:divBdr>
                    <w:top w:val="none" w:sz="0" w:space="0" w:color="auto"/>
                    <w:left w:val="none" w:sz="0" w:space="0" w:color="auto"/>
                    <w:bottom w:val="none" w:sz="0" w:space="0" w:color="auto"/>
                    <w:right w:val="none" w:sz="0" w:space="0" w:color="auto"/>
                  </w:divBdr>
                  <w:divsChild>
                    <w:div w:id="1300763657">
                      <w:marLeft w:val="0"/>
                      <w:marRight w:val="0"/>
                      <w:marTop w:val="0"/>
                      <w:marBottom w:val="0"/>
                      <w:divBdr>
                        <w:top w:val="none" w:sz="0" w:space="0" w:color="auto"/>
                        <w:left w:val="none" w:sz="0" w:space="0" w:color="auto"/>
                        <w:bottom w:val="none" w:sz="0" w:space="0" w:color="auto"/>
                        <w:right w:val="none" w:sz="0" w:space="0" w:color="auto"/>
                      </w:divBdr>
                      <w:divsChild>
                        <w:div w:id="61948584">
                          <w:marLeft w:val="0"/>
                          <w:marRight w:val="0"/>
                          <w:marTop w:val="0"/>
                          <w:marBottom w:val="0"/>
                          <w:divBdr>
                            <w:top w:val="none" w:sz="0" w:space="0" w:color="auto"/>
                            <w:left w:val="none" w:sz="0" w:space="0" w:color="auto"/>
                            <w:bottom w:val="none" w:sz="0" w:space="0" w:color="auto"/>
                            <w:right w:val="none" w:sz="0" w:space="0" w:color="auto"/>
                          </w:divBdr>
                          <w:divsChild>
                            <w:div w:id="2015837025">
                              <w:marLeft w:val="0"/>
                              <w:marRight w:val="0"/>
                              <w:marTop w:val="0"/>
                              <w:marBottom w:val="0"/>
                              <w:divBdr>
                                <w:top w:val="none" w:sz="0" w:space="0" w:color="auto"/>
                                <w:left w:val="none" w:sz="0" w:space="0" w:color="auto"/>
                                <w:bottom w:val="none" w:sz="0" w:space="0" w:color="auto"/>
                                <w:right w:val="none" w:sz="0" w:space="0" w:color="auto"/>
                              </w:divBdr>
                              <w:divsChild>
                                <w:div w:id="1473056008">
                                  <w:marLeft w:val="0"/>
                                  <w:marRight w:val="0"/>
                                  <w:marTop w:val="0"/>
                                  <w:marBottom w:val="0"/>
                                  <w:divBdr>
                                    <w:top w:val="none" w:sz="0" w:space="0" w:color="auto"/>
                                    <w:left w:val="none" w:sz="0" w:space="0" w:color="auto"/>
                                    <w:bottom w:val="none" w:sz="0" w:space="0" w:color="auto"/>
                                    <w:right w:val="none" w:sz="0" w:space="0" w:color="auto"/>
                                  </w:divBdr>
                                  <w:divsChild>
                                    <w:div w:id="746658273">
                                      <w:marLeft w:val="0"/>
                                      <w:marRight w:val="0"/>
                                      <w:marTop w:val="0"/>
                                      <w:marBottom w:val="0"/>
                                      <w:divBdr>
                                        <w:top w:val="none" w:sz="0" w:space="0" w:color="auto"/>
                                        <w:left w:val="none" w:sz="0" w:space="0" w:color="auto"/>
                                        <w:bottom w:val="none" w:sz="0" w:space="0" w:color="auto"/>
                                        <w:right w:val="none" w:sz="0" w:space="0" w:color="auto"/>
                                      </w:divBdr>
                                      <w:divsChild>
                                        <w:div w:id="1103720584">
                                          <w:marLeft w:val="0"/>
                                          <w:marRight w:val="0"/>
                                          <w:marTop w:val="0"/>
                                          <w:marBottom w:val="0"/>
                                          <w:divBdr>
                                            <w:top w:val="none" w:sz="0" w:space="0" w:color="auto"/>
                                            <w:left w:val="none" w:sz="0" w:space="0" w:color="auto"/>
                                            <w:bottom w:val="none" w:sz="0" w:space="0" w:color="auto"/>
                                            <w:right w:val="none" w:sz="0" w:space="0" w:color="auto"/>
                                          </w:divBdr>
                                          <w:divsChild>
                                            <w:div w:id="990140430">
                                              <w:marLeft w:val="0"/>
                                              <w:marRight w:val="0"/>
                                              <w:marTop w:val="0"/>
                                              <w:marBottom w:val="0"/>
                                              <w:divBdr>
                                                <w:top w:val="none" w:sz="0" w:space="0" w:color="auto"/>
                                                <w:left w:val="none" w:sz="0" w:space="0" w:color="auto"/>
                                                <w:bottom w:val="none" w:sz="0" w:space="0" w:color="auto"/>
                                                <w:right w:val="none" w:sz="0" w:space="0" w:color="auto"/>
                                              </w:divBdr>
                                              <w:divsChild>
                                                <w:div w:id="950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0248">
      <w:bodyDiv w:val="1"/>
      <w:marLeft w:val="0"/>
      <w:marRight w:val="0"/>
      <w:marTop w:val="0"/>
      <w:marBottom w:val="0"/>
      <w:divBdr>
        <w:top w:val="none" w:sz="0" w:space="0" w:color="auto"/>
        <w:left w:val="none" w:sz="0" w:space="0" w:color="auto"/>
        <w:bottom w:val="none" w:sz="0" w:space="0" w:color="auto"/>
        <w:right w:val="none" w:sz="0" w:space="0" w:color="auto"/>
      </w:divBdr>
    </w:div>
    <w:div w:id="699479723">
      <w:bodyDiv w:val="1"/>
      <w:marLeft w:val="0"/>
      <w:marRight w:val="0"/>
      <w:marTop w:val="0"/>
      <w:marBottom w:val="0"/>
      <w:divBdr>
        <w:top w:val="none" w:sz="0" w:space="0" w:color="auto"/>
        <w:left w:val="none" w:sz="0" w:space="0" w:color="auto"/>
        <w:bottom w:val="none" w:sz="0" w:space="0" w:color="auto"/>
        <w:right w:val="none" w:sz="0" w:space="0" w:color="auto"/>
      </w:divBdr>
    </w:div>
    <w:div w:id="703604556">
      <w:bodyDiv w:val="1"/>
      <w:marLeft w:val="0"/>
      <w:marRight w:val="0"/>
      <w:marTop w:val="0"/>
      <w:marBottom w:val="0"/>
      <w:divBdr>
        <w:top w:val="none" w:sz="0" w:space="0" w:color="auto"/>
        <w:left w:val="none" w:sz="0" w:space="0" w:color="auto"/>
        <w:bottom w:val="none" w:sz="0" w:space="0" w:color="auto"/>
        <w:right w:val="none" w:sz="0" w:space="0" w:color="auto"/>
      </w:divBdr>
    </w:div>
    <w:div w:id="703989395">
      <w:bodyDiv w:val="1"/>
      <w:marLeft w:val="0"/>
      <w:marRight w:val="0"/>
      <w:marTop w:val="0"/>
      <w:marBottom w:val="0"/>
      <w:divBdr>
        <w:top w:val="none" w:sz="0" w:space="0" w:color="auto"/>
        <w:left w:val="none" w:sz="0" w:space="0" w:color="auto"/>
        <w:bottom w:val="none" w:sz="0" w:space="0" w:color="auto"/>
        <w:right w:val="none" w:sz="0" w:space="0" w:color="auto"/>
      </w:divBdr>
    </w:div>
    <w:div w:id="711267812">
      <w:bodyDiv w:val="1"/>
      <w:marLeft w:val="0"/>
      <w:marRight w:val="0"/>
      <w:marTop w:val="0"/>
      <w:marBottom w:val="0"/>
      <w:divBdr>
        <w:top w:val="none" w:sz="0" w:space="0" w:color="auto"/>
        <w:left w:val="none" w:sz="0" w:space="0" w:color="auto"/>
        <w:bottom w:val="none" w:sz="0" w:space="0" w:color="auto"/>
        <w:right w:val="none" w:sz="0" w:space="0" w:color="auto"/>
      </w:divBdr>
    </w:div>
    <w:div w:id="711658655">
      <w:bodyDiv w:val="1"/>
      <w:marLeft w:val="0"/>
      <w:marRight w:val="0"/>
      <w:marTop w:val="0"/>
      <w:marBottom w:val="0"/>
      <w:divBdr>
        <w:top w:val="none" w:sz="0" w:space="0" w:color="auto"/>
        <w:left w:val="none" w:sz="0" w:space="0" w:color="auto"/>
        <w:bottom w:val="none" w:sz="0" w:space="0" w:color="auto"/>
        <w:right w:val="none" w:sz="0" w:space="0" w:color="auto"/>
      </w:divBdr>
    </w:div>
    <w:div w:id="718745599">
      <w:bodyDiv w:val="1"/>
      <w:marLeft w:val="0"/>
      <w:marRight w:val="0"/>
      <w:marTop w:val="0"/>
      <w:marBottom w:val="0"/>
      <w:divBdr>
        <w:top w:val="none" w:sz="0" w:space="0" w:color="auto"/>
        <w:left w:val="none" w:sz="0" w:space="0" w:color="auto"/>
        <w:bottom w:val="none" w:sz="0" w:space="0" w:color="auto"/>
        <w:right w:val="none" w:sz="0" w:space="0" w:color="auto"/>
      </w:divBdr>
    </w:div>
    <w:div w:id="721059615">
      <w:bodyDiv w:val="1"/>
      <w:marLeft w:val="0"/>
      <w:marRight w:val="0"/>
      <w:marTop w:val="0"/>
      <w:marBottom w:val="0"/>
      <w:divBdr>
        <w:top w:val="none" w:sz="0" w:space="0" w:color="auto"/>
        <w:left w:val="none" w:sz="0" w:space="0" w:color="auto"/>
        <w:bottom w:val="none" w:sz="0" w:space="0" w:color="auto"/>
        <w:right w:val="none" w:sz="0" w:space="0" w:color="auto"/>
      </w:divBdr>
    </w:div>
    <w:div w:id="721754727">
      <w:bodyDiv w:val="1"/>
      <w:marLeft w:val="0"/>
      <w:marRight w:val="0"/>
      <w:marTop w:val="0"/>
      <w:marBottom w:val="0"/>
      <w:divBdr>
        <w:top w:val="none" w:sz="0" w:space="0" w:color="auto"/>
        <w:left w:val="none" w:sz="0" w:space="0" w:color="auto"/>
        <w:bottom w:val="none" w:sz="0" w:space="0" w:color="auto"/>
        <w:right w:val="none" w:sz="0" w:space="0" w:color="auto"/>
      </w:divBdr>
    </w:div>
    <w:div w:id="727462060">
      <w:bodyDiv w:val="1"/>
      <w:marLeft w:val="0"/>
      <w:marRight w:val="0"/>
      <w:marTop w:val="0"/>
      <w:marBottom w:val="0"/>
      <w:divBdr>
        <w:top w:val="none" w:sz="0" w:space="0" w:color="auto"/>
        <w:left w:val="none" w:sz="0" w:space="0" w:color="auto"/>
        <w:bottom w:val="none" w:sz="0" w:space="0" w:color="auto"/>
        <w:right w:val="none" w:sz="0" w:space="0" w:color="auto"/>
      </w:divBdr>
    </w:div>
    <w:div w:id="730233140">
      <w:bodyDiv w:val="1"/>
      <w:marLeft w:val="0"/>
      <w:marRight w:val="0"/>
      <w:marTop w:val="0"/>
      <w:marBottom w:val="0"/>
      <w:divBdr>
        <w:top w:val="none" w:sz="0" w:space="0" w:color="auto"/>
        <w:left w:val="none" w:sz="0" w:space="0" w:color="auto"/>
        <w:bottom w:val="none" w:sz="0" w:space="0" w:color="auto"/>
        <w:right w:val="none" w:sz="0" w:space="0" w:color="auto"/>
      </w:divBdr>
    </w:div>
    <w:div w:id="736904935">
      <w:bodyDiv w:val="1"/>
      <w:marLeft w:val="0"/>
      <w:marRight w:val="0"/>
      <w:marTop w:val="0"/>
      <w:marBottom w:val="0"/>
      <w:divBdr>
        <w:top w:val="none" w:sz="0" w:space="0" w:color="auto"/>
        <w:left w:val="none" w:sz="0" w:space="0" w:color="auto"/>
        <w:bottom w:val="none" w:sz="0" w:space="0" w:color="auto"/>
        <w:right w:val="none" w:sz="0" w:space="0" w:color="auto"/>
      </w:divBdr>
    </w:div>
    <w:div w:id="737435498">
      <w:bodyDiv w:val="1"/>
      <w:marLeft w:val="0"/>
      <w:marRight w:val="0"/>
      <w:marTop w:val="0"/>
      <w:marBottom w:val="0"/>
      <w:divBdr>
        <w:top w:val="none" w:sz="0" w:space="0" w:color="auto"/>
        <w:left w:val="none" w:sz="0" w:space="0" w:color="auto"/>
        <w:bottom w:val="none" w:sz="0" w:space="0" w:color="auto"/>
        <w:right w:val="none" w:sz="0" w:space="0" w:color="auto"/>
      </w:divBdr>
    </w:div>
    <w:div w:id="741871129">
      <w:bodyDiv w:val="1"/>
      <w:marLeft w:val="0"/>
      <w:marRight w:val="0"/>
      <w:marTop w:val="0"/>
      <w:marBottom w:val="0"/>
      <w:divBdr>
        <w:top w:val="none" w:sz="0" w:space="0" w:color="auto"/>
        <w:left w:val="none" w:sz="0" w:space="0" w:color="auto"/>
        <w:bottom w:val="none" w:sz="0" w:space="0" w:color="auto"/>
        <w:right w:val="none" w:sz="0" w:space="0" w:color="auto"/>
      </w:divBdr>
    </w:div>
    <w:div w:id="747728417">
      <w:bodyDiv w:val="1"/>
      <w:marLeft w:val="0"/>
      <w:marRight w:val="0"/>
      <w:marTop w:val="0"/>
      <w:marBottom w:val="0"/>
      <w:divBdr>
        <w:top w:val="none" w:sz="0" w:space="0" w:color="auto"/>
        <w:left w:val="none" w:sz="0" w:space="0" w:color="auto"/>
        <w:bottom w:val="none" w:sz="0" w:space="0" w:color="auto"/>
        <w:right w:val="none" w:sz="0" w:space="0" w:color="auto"/>
      </w:divBdr>
    </w:div>
    <w:div w:id="752511954">
      <w:bodyDiv w:val="1"/>
      <w:marLeft w:val="0"/>
      <w:marRight w:val="0"/>
      <w:marTop w:val="0"/>
      <w:marBottom w:val="0"/>
      <w:divBdr>
        <w:top w:val="none" w:sz="0" w:space="0" w:color="auto"/>
        <w:left w:val="none" w:sz="0" w:space="0" w:color="auto"/>
        <w:bottom w:val="none" w:sz="0" w:space="0" w:color="auto"/>
        <w:right w:val="none" w:sz="0" w:space="0" w:color="auto"/>
      </w:divBdr>
    </w:div>
    <w:div w:id="758722872">
      <w:bodyDiv w:val="1"/>
      <w:marLeft w:val="0"/>
      <w:marRight w:val="0"/>
      <w:marTop w:val="0"/>
      <w:marBottom w:val="0"/>
      <w:divBdr>
        <w:top w:val="none" w:sz="0" w:space="0" w:color="auto"/>
        <w:left w:val="none" w:sz="0" w:space="0" w:color="auto"/>
        <w:bottom w:val="none" w:sz="0" w:space="0" w:color="auto"/>
        <w:right w:val="none" w:sz="0" w:space="0" w:color="auto"/>
      </w:divBdr>
    </w:div>
    <w:div w:id="764232142">
      <w:bodyDiv w:val="1"/>
      <w:marLeft w:val="0"/>
      <w:marRight w:val="0"/>
      <w:marTop w:val="0"/>
      <w:marBottom w:val="0"/>
      <w:divBdr>
        <w:top w:val="none" w:sz="0" w:space="0" w:color="auto"/>
        <w:left w:val="none" w:sz="0" w:space="0" w:color="auto"/>
        <w:bottom w:val="none" w:sz="0" w:space="0" w:color="auto"/>
        <w:right w:val="none" w:sz="0" w:space="0" w:color="auto"/>
      </w:divBdr>
    </w:div>
    <w:div w:id="769661607">
      <w:bodyDiv w:val="1"/>
      <w:marLeft w:val="0"/>
      <w:marRight w:val="0"/>
      <w:marTop w:val="0"/>
      <w:marBottom w:val="0"/>
      <w:divBdr>
        <w:top w:val="none" w:sz="0" w:space="0" w:color="auto"/>
        <w:left w:val="none" w:sz="0" w:space="0" w:color="auto"/>
        <w:bottom w:val="none" w:sz="0" w:space="0" w:color="auto"/>
        <w:right w:val="none" w:sz="0" w:space="0" w:color="auto"/>
      </w:divBdr>
    </w:div>
    <w:div w:id="774784559">
      <w:bodyDiv w:val="1"/>
      <w:marLeft w:val="0"/>
      <w:marRight w:val="0"/>
      <w:marTop w:val="0"/>
      <w:marBottom w:val="0"/>
      <w:divBdr>
        <w:top w:val="none" w:sz="0" w:space="0" w:color="auto"/>
        <w:left w:val="none" w:sz="0" w:space="0" w:color="auto"/>
        <w:bottom w:val="none" w:sz="0" w:space="0" w:color="auto"/>
        <w:right w:val="none" w:sz="0" w:space="0" w:color="auto"/>
      </w:divBdr>
    </w:div>
    <w:div w:id="775296652">
      <w:bodyDiv w:val="1"/>
      <w:marLeft w:val="0"/>
      <w:marRight w:val="0"/>
      <w:marTop w:val="0"/>
      <w:marBottom w:val="0"/>
      <w:divBdr>
        <w:top w:val="none" w:sz="0" w:space="0" w:color="auto"/>
        <w:left w:val="none" w:sz="0" w:space="0" w:color="auto"/>
        <w:bottom w:val="none" w:sz="0" w:space="0" w:color="auto"/>
        <w:right w:val="none" w:sz="0" w:space="0" w:color="auto"/>
      </w:divBdr>
    </w:div>
    <w:div w:id="775637481">
      <w:bodyDiv w:val="1"/>
      <w:marLeft w:val="0"/>
      <w:marRight w:val="0"/>
      <w:marTop w:val="0"/>
      <w:marBottom w:val="0"/>
      <w:divBdr>
        <w:top w:val="none" w:sz="0" w:space="0" w:color="auto"/>
        <w:left w:val="none" w:sz="0" w:space="0" w:color="auto"/>
        <w:bottom w:val="none" w:sz="0" w:space="0" w:color="auto"/>
        <w:right w:val="none" w:sz="0" w:space="0" w:color="auto"/>
      </w:divBdr>
    </w:div>
    <w:div w:id="776218255">
      <w:bodyDiv w:val="1"/>
      <w:marLeft w:val="0"/>
      <w:marRight w:val="0"/>
      <w:marTop w:val="0"/>
      <w:marBottom w:val="0"/>
      <w:divBdr>
        <w:top w:val="none" w:sz="0" w:space="0" w:color="auto"/>
        <w:left w:val="none" w:sz="0" w:space="0" w:color="auto"/>
        <w:bottom w:val="none" w:sz="0" w:space="0" w:color="auto"/>
        <w:right w:val="none" w:sz="0" w:space="0" w:color="auto"/>
      </w:divBdr>
    </w:div>
    <w:div w:id="777675098">
      <w:bodyDiv w:val="1"/>
      <w:marLeft w:val="0"/>
      <w:marRight w:val="0"/>
      <w:marTop w:val="0"/>
      <w:marBottom w:val="0"/>
      <w:divBdr>
        <w:top w:val="none" w:sz="0" w:space="0" w:color="auto"/>
        <w:left w:val="none" w:sz="0" w:space="0" w:color="auto"/>
        <w:bottom w:val="none" w:sz="0" w:space="0" w:color="auto"/>
        <w:right w:val="none" w:sz="0" w:space="0" w:color="auto"/>
      </w:divBdr>
    </w:div>
    <w:div w:id="777718518">
      <w:bodyDiv w:val="1"/>
      <w:marLeft w:val="0"/>
      <w:marRight w:val="0"/>
      <w:marTop w:val="0"/>
      <w:marBottom w:val="0"/>
      <w:divBdr>
        <w:top w:val="none" w:sz="0" w:space="0" w:color="auto"/>
        <w:left w:val="none" w:sz="0" w:space="0" w:color="auto"/>
        <w:bottom w:val="none" w:sz="0" w:space="0" w:color="auto"/>
        <w:right w:val="none" w:sz="0" w:space="0" w:color="auto"/>
      </w:divBdr>
    </w:div>
    <w:div w:id="778069319">
      <w:bodyDiv w:val="1"/>
      <w:marLeft w:val="0"/>
      <w:marRight w:val="0"/>
      <w:marTop w:val="0"/>
      <w:marBottom w:val="0"/>
      <w:divBdr>
        <w:top w:val="none" w:sz="0" w:space="0" w:color="auto"/>
        <w:left w:val="none" w:sz="0" w:space="0" w:color="auto"/>
        <w:bottom w:val="none" w:sz="0" w:space="0" w:color="auto"/>
        <w:right w:val="none" w:sz="0" w:space="0" w:color="auto"/>
      </w:divBdr>
    </w:div>
    <w:div w:id="779841389">
      <w:bodyDiv w:val="1"/>
      <w:marLeft w:val="0"/>
      <w:marRight w:val="0"/>
      <w:marTop w:val="0"/>
      <w:marBottom w:val="0"/>
      <w:divBdr>
        <w:top w:val="none" w:sz="0" w:space="0" w:color="auto"/>
        <w:left w:val="none" w:sz="0" w:space="0" w:color="auto"/>
        <w:bottom w:val="none" w:sz="0" w:space="0" w:color="auto"/>
        <w:right w:val="none" w:sz="0" w:space="0" w:color="auto"/>
      </w:divBdr>
    </w:div>
    <w:div w:id="780417030">
      <w:bodyDiv w:val="1"/>
      <w:marLeft w:val="0"/>
      <w:marRight w:val="0"/>
      <w:marTop w:val="0"/>
      <w:marBottom w:val="0"/>
      <w:divBdr>
        <w:top w:val="none" w:sz="0" w:space="0" w:color="auto"/>
        <w:left w:val="none" w:sz="0" w:space="0" w:color="auto"/>
        <w:bottom w:val="none" w:sz="0" w:space="0" w:color="auto"/>
        <w:right w:val="none" w:sz="0" w:space="0" w:color="auto"/>
      </w:divBdr>
    </w:div>
    <w:div w:id="781612839">
      <w:bodyDiv w:val="1"/>
      <w:marLeft w:val="0"/>
      <w:marRight w:val="0"/>
      <w:marTop w:val="0"/>
      <w:marBottom w:val="0"/>
      <w:divBdr>
        <w:top w:val="none" w:sz="0" w:space="0" w:color="auto"/>
        <w:left w:val="none" w:sz="0" w:space="0" w:color="auto"/>
        <w:bottom w:val="none" w:sz="0" w:space="0" w:color="auto"/>
        <w:right w:val="none" w:sz="0" w:space="0" w:color="auto"/>
      </w:divBdr>
    </w:div>
    <w:div w:id="783883995">
      <w:bodyDiv w:val="1"/>
      <w:marLeft w:val="0"/>
      <w:marRight w:val="0"/>
      <w:marTop w:val="0"/>
      <w:marBottom w:val="0"/>
      <w:divBdr>
        <w:top w:val="none" w:sz="0" w:space="0" w:color="auto"/>
        <w:left w:val="none" w:sz="0" w:space="0" w:color="auto"/>
        <w:bottom w:val="none" w:sz="0" w:space="0" w:color="auto"/>
        <w:right w:val="none" w:sz="0" w:space="0" w:color="auto"/>
      </w:divBdr>
    </w:div>
    <w:div w:id="785464941">
      <w:bodyDiv w:val="1"/>
      <w:marLeft w:val="0"/>
      <w:marRight w:val="0"/>
      <w:marTop w:val="0"/>
      <w:marBottom w:val="0"/>
      <w:divBdr>
        <w:top w:val="none" w:sz="0" w:space="0" w:color="auto"/>
        <w:left w:val="none" w:sz="0" w:space="0" w:color="auto"/>
        <w:bottom w:val="none" w:sz="0" w:space="0" w:color="auto"/>
        <w:right w:val="none" w:sz="0" w:space="0" w:color="auto"/>
      </w:divBdr>
    </w:div>
    <w:div w:id="791094338">
      <w:bodyDiv w:val="1"/>
      <w:marLeft w:val="0"/>
      <w:marRight w:val="0"/>
      <w:marTop w:val="0"/>
      <w:marBottom w:val="0"/>
      <w:divBdr>
        <w:top w:val="none" w:sz="0" w:space="0" w:color="auto"/>
        <w:left w:val="none" w:sz="0" w:space="0" w:color="auto"/>
        <w:bottom w:val="none" w:sz="0" w:space="0" w:color="auto"/>
        <w:right w:val="none" w:sz="0" w:space="0" w:color="auto"/>
      </w:divBdr>
    </w:div>
    <w:div w:id="795872528">
      <w:bodyDiv w:val="1"/>
      <w:marLeft w:val="0"/>
      <w:marRight w:val="0"/>
      <w:marTop w:val="0"/>
      <w:marBottom w:val="0"/>
      <w:divBdr>
        <w:top w:val="none" w:sz="0" w:space="0" w:color="auto"/>
        <w:left w:val="none" w:sz="0" w:space="0" w:color="auto"/>
        <w:bottom w:val="none" w:sz="0" w:space="0" w:color="auto"/>
        <w:right w:val="none" w:sz="0" w:space="0" w:color="auto"/>
      </w:divBdr>
    </w:div>
    <w:div w:id="796947428">
      <w:bodyDiv w:val="1"/>
      <w:marLeft w:val="0"/>
      <w:marRight w:val="0"/>
      <w:marTop w:val="0"/>
      <w:marBottom w:val="0"/>
      <w:divBdr>
        <w:top w:val="none" w:sz="0" w:space="0" w:color="auto"/>
        <w:left w:val="none" w:sz="0" w:space="0" w:color="auto"/>
        <w:bottom w:val="none" w:sz="0" w:space="0" w:color="auto"/>
        <w:right w:val="none" w:sz="0" w:space="0" w:color="auto"/>
      </w:divBdr>
    </w:div>
    <w:div w:id="801652778">
      <w:bodyDiv w:val="1"/>
      <w:marLeft w:val="0"/>
      <w:marRight w:val="0"/>
      <w:marTop w:val="0"/>
      <w:marBottom w:val="0"/>
      <w:divBdr>
        <w:top w:val="none" w:sz="0" w:space="0" w:color="auto"/>
        <w:left w:val="none" w:sz="0" w:space="0" w:color="auto"/>
        <w:bottom w:val="none" w:sz="0" w:space="0" w:color="auto"/>
        <w:right w:val="none" w:sz="0" w:space="0" w:color="auto"/>
      </w:divBdr>
    </w:div>
    <w:div w:id="801774439">
      <w:bodyDiv w:val="1"/>
      <w:marLeft w:val="0"/>
      <w:marRight w:val="0"/>
      <w:marTop w:val="0"/>
      <w:marBottom w:val="0"/>
      <w:divBdr>
        <w:top w:val="none" w:sz="0" w:space="0" w:color="auto"/>
        <w:left w:val="none" w:sz="0" w:space="0" w:color="auto"/>
        <w:bottom w:val="none" w:sz="0" w:space="0" w:color="auto"/>
        <w:right w:val="none" w:sz="0" w:space="0" w:color="auto"/>
      </w:divBdr>
      <w:divsChild>
        <w:div w:id="1477142040">
          <w:marLeft w:val="0"/>
          <w:marRight w:val="0"/>
          <w:marTop w:val="0"/>
          <w:marBottom w:val="0"/>
          <w:divBdr>
            <w:top w:val="none" w:sz="0" w:space="0" w:color="auto"/>
            <w:left w:val="none" w:sz="0" w:space="0" w:color="auto"/>
            <w:bottom w:val="none" w:sz="0" w:space="0" w:color="auto"/>
            <w:right w:val="none" w:sz="0" w:space="0" w:color="auto"/>
          </w:divBdr>
        </w:div>
        <w:div w:id="1499156827">
          <w:marLeft w:val="0"/>
          <w:marRight w:val="0"/>
          <w:marTop w:val="0"/>
          <w:marBottom w:val="0"/>
          <w:divBdr>
            <w:top w:val="none" w:sz="0" w:space="0" w:color="auto"/>
            <w:left w:val="none" w:sz="0" w:space="0" w:color="auto"/>
            <w:bottom w:val="none" w:sz="0" w:space="0" w:color="auto"/>
            <w:right w:val="none" w:sz="0" w:space="0" w:color="auto"/>
          </w:divBdr>
          <w:divsChild>
            <w:div w:id="1566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4857">
      <w:bodyDiv w:val="1"/>
      <w:marLeft w:val="0"/>
      <w:marRight w:val="0"/>
      <w:marTop w:val="0"/>
      <w:marBottom w:val="0"/>
      <w:divBdr>
        <w:top w:val="none" w:sz="0" w:space="0" w:color="auto"/>
        <w:left w:val="none" w:sz="0" w:space="0" w:color="auto"/>
        <w:bottom w:val="none" w:sz="0" w:space="0" w:color="auto"/>
        <w:right w:val="none" w:sz="0" w:space="0" w:color="auto"/>
      </w:divBdr>
    </w:div>
    <w:div w:id="812987902">
      <w:bodyDiv w:val="1"/>
      <w:marLeft w:val="0"/>
      <w:marRight w:val="0"/>
      <w:marTop w:val="0"/>
      <w:marBottom w:val="0"/>
      <w:divBdr>
        <w:top w:val="none" w:sz="0" w:space="0" w:color="auto"/>
        <w:left w:val="none" w:sz="0" w:space="0" w:color="auto"/>
        <w:bottom w:val="none" w:sz="0" w:space="0" w:color="auto"/>
        <w:right w:val="none" w:sz="0" w:space="0" w:color="auto"/>
      </w:divBdr>
    </w:div>
    <w:div w:id="813059584">
      <w:bodyDiv w:val="1"/>
      <w:marLeft w:val="0"/>
      <w:marRight w:val="0"/>
      <w:marTop w:val="0"/>
      <w:marBottom w:val="0"/>
      <w:divBdr>
        <w:top w:val="none" w:sz="0" w:space="0" w:color="auto"/>
        <w:left w:val="none" w:sz="0" w:space="0" w:color="auto"/>
        <w:bottom w:val="none" w:sz="0" w:space="0" w:color="auto"/>
        <w:right w:val="none" w:sz="0" w:space="0" w:color="auto"/>
      </w:divBdr>
    </w:div>
    <w:div w:id="813715979">
      <w:bodyDiv w:val="1"/>
      <w:marLeft w:val="0"/>
      <w:marRight w:val="0"/>
      <w:marTop w:val="0"/>
      <w:marBottom w:val="0"/>
      <w:divBdr>
        <w:top w:val="none" w:sz="0" w:space="0" w:color="auto"/>
        <w:left w:val="none" w:sz="0" w:space="0" w:color="auto"/>
        <w:bottom w:val="none" w:sz="0" w:space="0" w:color="auto"/>
        <w:right w:val="none" w:sz="0" w:space="0" w:color="auto"/>
      </w:divBdr>
    </w:div>
    <w:div w:id="816872650">
      <w:bodyDiv w:val="1"/>
      <w:marLeft w:val="0"/>
      <w:marRight w:val="0"/>
      <w:marTop w:val="0"/>
      <w:marBottom w:val="0"/>
      <w:divBdr>
        <w:top w:val="none" w:sz="0" w:space="0" w:color="auto"/>
        <w:left w:val="none" w:sz="0" w:space="0" w:color="auto"/>
        <w:bottom w:val="none" w:sz="0" w:space="0" w:color="auto"/>
        <w:right w:val="none" w:sz="0" w:space="0" w:color="auto"/>
      </w:divBdr>
    </w:div>
    <w:div w:id="816915511">
      <w:bodyDiv w:val="1"/>
      <w:marLeft w:val="0"/>
      <w:marRight w:val="0"/>
      <w:marTop w:val="0"/>
      <w:marBottom w:val="0"/>
      <w:divBdr>
        <w:top w:val="none" w:sz="0" w:space="0" w:color="auto"/>
        <w:left w:val="none" w:sz="0" w:space="0" w:color="auto"/>
        <w:bottom w:val="none" w:sz="0" w:space="0" w:color="auto"/>
        <w:right w:val="none" w:sz="0" w:space="0" w:color="auto"/>
      </w:divBdr>
    </w:div>
    <w:div w:id="816921681">
      <w:bodyDiv w:val="1"/>
      <w:marLeft w:val="0"/>
      <w:marRight w:val="0"/>
      <w:marTop w:val="0"/>
      <w:marBottom w:val="0"/>
      <w:divBdr>
        <w:top w:val="none" w:sz="0" w:space="0" w:color="auto"/>
        <w:left w:val="none" w:sz="0" w:space="0" w:color="auto"/>
        <w:bottom w:val="none" w:sz="0" w:space="0" w:color="auto"/>
        <w:right w:val="none" w:sz="0" w:space="0" w:color="auto"/>
      </w:divBdr>
    </w:div>
    <w:div w:id="818040630">
      <w:bodyDiv w:val="1"/>
      <w:marLeft w:val="0"/>
      <w:marRight w:val="0"/>
      <w:marTop w:val="0"/>
      <w:marBottom w:val="0"/>
      <w:divBdr>
        <w:top w:val="none" w:sz="0" w:space="0" w:color="auto"/>
        <w:left w:val="none" w:sz="0" w:space="0" w:color="auto"/>
        <w:bottom w:val="none" w:sz="0" w:space="0" w:color="auto"/>
        <w:right w:val="none" w:sz="0" w:space="0" w:color="auto"/>
      </w:divBdr>
    </w:div>
    <w:div w:id="823855956">
      <w:bodyDiv w:val="1"/>
      <w:marLeft w:val="0"/>
      <w:marRight w:val="0"/>
      <w:marTop w:val="0"/>
      <w:marBottom w:val="0"/>
      <w:divBdr>
        <w:top w:val="none" w:sz="0" w:space="0" w:color="auto"/>
        <w:left w:val="none" w:sz="0" w:space="0" w:color="auto"/>
        <w:bottom w:val="none" w:sz="0" w:space="0" w:color="auto"/>
        <w:right w:val="none" w:sz="0" w:space="0" w:color="auto"/>
      </w:divBdr>
    </w:div>
    <w:div w:id="824902594">
      <w:bodyDiv w:val="1"/>
      <w:marLeft w:val="0"/>
      <w:marRight w:val="0"/>
      <w:marTop w:val="0"/>
      <w:marBottom w:val="0"/>
      <w:divBdr>
        <w:top w:val="none" w:sz="0" w:space="0" w:color="auto"/>
        <w:left w:val="none" w:sz="0" w:space="0" w:color="auto"/>
        <w:bottom w:val="none" w:sz="0" w:space="0" w:color="auto"/>
        <w:right w:val="none" w:sz="0" w:space="0" w:color="auto"/>
      </w:divBdr>
    </w:div>
    <w:div w:id="825053604">
      <w:bodyDiv w:val="1"/>
      <w:marLeft w:val="0"/>
      <w:marRight w:val="0"/>
      <w:marTop w:val="0"/>
      <w:marBottom w:val="0"/>
      <w:divBdr>
        <w:top w:val="none" w:sz="0" w:space="0" w:color="auto"/>
        <w:left w:val="none" w:sz="0" w:space="0" w:color="auto"/>
        <w:bottom w:val="none" w:sz="0" w:space="0" w:color="auto"/>
        <w:right w:val="none" w:sz="0" w:space="0" w:color="auto"/>
      </w:divBdr>
    </w:div>
    <w:div w:id="826671982">
      <w:bodyDiv w:val="1"/>
      <w:marLeft w:val="0"/>
      <w:marRight w:val="0"/>
      <w:marTop w:val="0"/>
      <w:marBottom w:val="0"/>
      <w:divBdr>
        <w:top w:val="none" w:sz="0" w:space="0" w:color="auto"/>
        <w:left w:val="none" w:sz="0" w:space="0" w:color="auto"/>
        <w:bottom w:val="none" w:sz="0" w:space="0" w:color="auto"/>
        <w:right w:val="none" w:sz="0" w:space="0" w:color="auto"/>
      </w:divBdr>
    </w:div>
    <w:div w:id="829826776">
      <w:bodyDiv w:val="1"/>
      <w:marLeft w:val="0"/>
      <w:marRight w:val="0"/>
      <w:marTop w:val="0"/>
      <w:marBottom w:val="0"/>
      <w:divBdr>
        <w:top w:val="none" w:sz="0" w:space="0" w:color="auto"/>
        <w:left w:val="none" w:sz="0" w:space="0" w:color="auto"/>
        <w:bottom w:val="none" w:sz="0" w:space="0" w:color="auto"/>
        <w:right w:val="none" w:sz="0" w:space="0" w:color="auto"/>
      </w:divBdr>
    </w:div>
    <w:div w:id="833032217">
      <w:bodyDiv w:val="1"/>
      <w:marLeft w:val="0"/>
      <w:marRight w:val="0"/>
      <w:marTop w:val="0"/>
      <w:marBottom w:val="0"/>
      <w:divBdr>
        <w:top w:val="none" w:sz="0" w:space="0" w:color="auto"/>
        <w:left w:val="none" w:sz="0" w:space="0" w:color="auto"/>
        <w:bottom w:val="none" w:sz="0" w:space="0" w:color="auto"/>
        <w:right w:val="none" w:sz="0" w:space="0" w:color="auto"/>
      </w:divBdr>
    </w:div>
    <w:div w:id="833107326">
      <w:bodyDiv w:val="1"/>
      <w:marLeft w:val="0"/>
      <w:marRight w:val="0"/>
      <w:marTop w:val="0"/>
      <w:marBottom w:val="0"/>
      <w:divBdr>
        <w:top w:val="none" w:sz="0" w:space="0" w:color="auto"/>
        <w:left w:val="none" w:sz="0" w:space="0" w:color="auto"/>
        <w:bottom w:val="none" w:sz="0" w:space="0" w:color="auto"/>
        <w:right w:val="none" w:sz="0" w:space="0" w:color="auto"/>
      </w:divBdr>
    </w:div>
    <w:div w:id="837382169">
      <w:bodyDiv w:val="1"/>
      <w:marLeft w:val="0"/>
      <w:marRight w:val="0"/>
      <w:marTop w:val="0"/>
      <w:marBottom w:val="0"/>
      <w:divBdr>
        <w:top w:val="none" w:sz="0" w:space="0" w:color="auto"/>
        <w:left w:val="none" w:sz="0" w:space="0" w:color="auto"/>
        <w:bottom w:val="none" w:sz="0" w:space="0" w:color="auto"/>
        <w:right w:val="none" w:sz="0" w:space="0" w:color="auto"/>
      </w:divBdr>
    </w:div>
    <w:div w:id="840506497">
      <w:bodyDiv w:val="1"/>
      <w:marLeft w:val="0"/>
      <w:marRight w:val="0"/>
      <w:marTop w:val="0"/>
      <w:marBottom w:val="0"/>
      <w:divBdr>
        <w:top w:val="none" w:sz="0" w:space="0" w:color="auto"/>
        <w:left w:val="none" w:sz="0" w:space="0" w:color="auto"/>
        <w:bottom w:val="none" w:sz="0" w:space="0" w:color="auto"/>
        <w:right w:val="none" w:sz="0" w:space="0" w:color="auto"/>
      </w:divBdr>
    </w:div>
    <w:div w:id="843284403">
      <w:bodyDiv w:val="1"/>
      <w:marLeft w:val="0"/>
      <w:marRight w:val="0"/>
      <w:marTop w:val="0"/>
      <w:marBottom w:val="0"/>
      <w:divBdr>
        <w:top w:val="none" w:sz="0" w:space="0" w:color="auto"/>
        <w:left w:val="none" w:sz="0" w:space="0" w:color="auto"/>
        <w:bottom w:val="none" w:sz="0" w:space="0" w:color="auto"/>
        <w:right w:val="none" w:sz="0" w:space="0" w:color="auto"/>
      </w:divBdr>
    </w:div>
    <w:div w:id="846477877">
      <w:bodyDiv w:val="1"/>
      <w:marLeft w:val="0"/>
      <w:marRight w:val="0"/>
      <w:marTop w:val="0"/>
      <w:marBottom w:val="0"/>
      <w:divBdr>
        <w:top w:val="none" w:sz="0" w:space="0" w:color="auto"/>
        <w:left w:val="none" w:sz="0" w:space="0" w:color="auto"/>
        <w:bottom w:val="none" w:sz="0" w:space="0" w:color="auto"/>
        <w:right w:val="none" w:sz="0" w:space="0" w:color="auto"/>
      </w:divBdr>
    </w:div>
    <w:div w:id="848102484">
      <w:bodyDiv w:val="1"/>
      <w:marLeft w:val="0"/>
      <w:marRight w:val="0"/>
      <w:marTop w:val="0"/>
      <w:marBottom w:val="0"/>
      <w:divBdr>
        <w:top w:val="none" w:sz="0" w:space="0" w:color="auto"/>
        <w:left w:val="none" w:sz="0" w:space="0" w:color="auto"/>
        <w:bottom w:val="none" w:sz="0" w:space="0" w:color="auto"/>
        <w:right w:val="none" w:sz="0" w:space="0" w:color="auto"/>
      </w:divBdr>
    </w:div>
    <w:div w:id="848911633">
      <w:bodyDiv w:val="1"/>
      <w:marLeft w:val="0"/>
      <w:marRight w:val="0"/>
      <w:marTop w:val="0"/>
      <w:marBottom w:val="0"/>
      <w:divBdr>
        <w:top w:val="none" w:sz="0" w:space="0" w:color="auto"/>
        <w:left w:val="none" w:sz="0" w:space="0" w:color="auto"/>
        <w:bottom w:val="none" w:sz="0" w:space="0" w:color="auto"/>
        <w:right w:val="none" w:sz="0" w:space="0" w:color="auto"/>
      </w:divBdr>
    </w:div>
    <w:div w:id="848954856">
      <w:bodyDiv w:val="1"/>
      <w:marLeft w:val="0"/>
      <w:marRight w:val="0"/>
      <w:marTop w:val="0"/>
      <w:marBottom w:val="0"/>
      <w:divBdr>
        <w:top w:val="none" w:sz="0" w:space="0" w:color="auto"/>
        <w:left w:val="none" w:sz="0" w:space="0" w:color="auto"/>
        <w:bottom w:val="none" w:sz="0" w:space="0" w:color="auto"/>
        <w:right w:val="none" w:sz="0" w:space="0" w:color="auto"/>
      </w:divBdr>
    </w:div>
    <w:div w:id="850418247">
      <w:bodyDiv w:val="1"/>
      <w:marLeft w:val="0"/>
      <w:marRight w:val="0"/>
      <w:marTop w:val="0"/>
      <w:marBottom w:val="0"/>
      <w:divBdr>
        <w:top w:val="none" w:sz="0" w:space="0" w:color="auto"/>
        <w:left w:val="none" w:sz="0" w:space="0" w:color="auto"/>
        <w:bottom w:val="none" w:sz="0" w:space="0" w:color="auto"/>
        <w:right w:val="none" w:sz="0" w:space="0" w:color="auto"/>
      </w:divBdr>
    </w:div>
    <w:div w:id="852763674">
      <w:bodyDiv w:val="1"/>
      <w:marLeft w:val="0"/>
      <w:marRight w:val="0"/>
      <w:marTop w:val="0"/>
      <w:marBottom w:val="0"/>
      <w:divBdr>
        <w:top w:val="none" w:sz="0" w:space="0" w:color="auto"/>
        <w:left w:val="none" w:sz="0" w:space="0" w:color="auto"/>
        <w:bottom w:val="none" w:sz="0" w:space="0" w:color="auto"/>
        <w:right w:val="none" w:sz="0" w:space="0" w:color="auto"/>
      </w:divBdr>
    </w:div>
    <w:div w:id="860708250">
      <w:bodyDiv w:val="1"/>
      <w:marLeft w:val="0"/>
      <w:marRight w:val="0"/>
      <w:marTop w:val="0"/>
      <w:marBottom w:val="0"/>
      <w:divBdr>
        <w:top w:val="none" w:sz="0" w:space="0" w:color="auto"/>
        <w:left w:val="none" w:sz="0" w:space="0" w:color="auto"/>
        <w:bottom w:val="none" w:sz="0" w:space="0" w:color="auto"/>
        <w:right w:val="none" w:sz="0" w:space="0" w:color="auto"/>
      </w:divBdr>
    </w:div>
    <w:div w:id="860894500">
      <w:bodyDiv w:val="1"/>
      <w:marLeft w:val="0"/>
      <w:marRight w:val="0"/>
      <w:marTop w:val="0"/>
      <w:marBottom w:val="0"/>
      <w:divBdr>
        <w:top w:val="none" w:sz="0" w:space="0" w:color="auto"/>
        <w:left w:val="none" w:sz="0" w:space="0" w:color="auto"/>
        <w:bottom w:val="none" w:sz="0" w:space="0" w:color="auto"/>
        <w:right w:val="none" w:sz="0" w:space="0" w:color="auto"/>
      </w:divBdr>
    </w:div>
    <w:div w:id="862790199">
      <w:bodyDiv w:val="1"/>
      <w:marLeft w:val="0"/>
      <w:marRight w:val="0"/>
      <w:marTop w:val="0"/>
      <w:marBottom w:val="0"/>
      <w:divBdr>
        <w:top w:val="none" w:sz="0" w:space="0" w:color="auto"/>
        <w:left w:val="none" w:sz="0" w:space="0" w:color="auto"/>
        <w:bottom w:val="none" w:sz="0" w:space="0" w:color="auto"/>
        <w:right w:val="none" w:sz="0" w:space="0" w:color="auto"/>
      </w:divBdr>
      <w:divsChild>
        <w:div w:id="963845911">
          <w:marLeft w:val="0"/>
          <w:marRight w:val="0"/>
          <w:marTop w:val="0"/>
          <w:marBottom w:val="0"/>
          <w:divBdr>
            <w:top w:val="none" w:sz="0" w:space="0" w:color="auto"/>
            <w:left w:val="none" w:sz="0" w:space="0" w:color="auto"/>
            <w:bottom w:val="none" w:sz="0" w:space="0" w:color="auto"/>
            <w:right w:val="none" w:sz="0" w:space="0" w:color="auto"/>
          </w:divBdr>
        </w:div>
        <w:div w:id="1354650284">
          <w:marLeft w:val="0"/>
          <w:marRight w:val="0"/>
          <w:marTop w:val="0"/>
          <w:marBottom w:val="0"/>
          <w:divBdr>
            <w:top w:val="none" w:sz="0" w:space="0" w:color="auto"/>
            <w:left w:val="none" w:sz="0" w:space="0" w:color="auto"/>
            <w:bottom w:val="none" w:sz="0" w:space="0" w:color="auto"/>
            <w:right w:val="none" w:sz="0" w:space="0" w:color="auto"/>
          </w:divBdr>
        </w:div>
      </w:divsChild>
    </w:div>
    <w:div w:id="867107153">
      <w:bodyDiv w:val="1"/>
      <w:marLeft w:val="0"/>
      <w:marRight w:val="0"/>
      <w:marTop w:val="0"/>
      <w:marBottom w:val="0"/>
      <w:divBdr>
        <w:top w:val="none" w:sz="0" w:space="0" w:color="auto"/>
        <w:left w:val="none" w:sz="0" w:space="0" w:color="auto"/>
        <w:bottom w:val="none" w:sz="0" w:space="0" w:color="auto"/>
        <w:right w:val="none" w:sz="0" w:space="0" w:color="auto"/>
      </w:divBdr>
    </w:div>
    <w:div w:id="869028984">
      <w:bodyDiv w:val="1"/>
      <w:marLeft w:val="0"/>
      <w:marRight w:val="0"/>
      <w:marTop w:val="0"/>
      <w:marBottom w:val="0"/>
      <w:divBdr>
        <w:top w:val="none" w:sz="0" w:space="0" w:color="auto"/>
        <w:left w:val="none" w:sz="0" w:space="0" w:color="auto"/>
        <w:bottom w:val="none" w:sz="0" w:space="0" w:color="auto"/>
        <w:right w:val="none" w:sz="0" w:space="0" w:color="auto"/>
      </w:divBdr>
    </w:div>
    <w:div w:id="874200753">
      <w:bodyDiv w:val="1"/>
      <w:marLeft w:val="0"/>
      <w:marRight w:val="0"/>
      <w:marTop w:val="0"/>
      <w:marBottom w:val="0"/>
      <w:divBdr>
        <w:top w:val="none" w:sz="0" w:space="0" w:color="auto"/>
        <w:left w:val="none" w:sz="0" w:space="0" w:color="auto"/>
        <w:bottom w:val="none" w:sz="0" w:space="0" w:color="auto"/>
        <w:right w:val="none" w:sz="0" w:space="0" w:color="auto"/>
      </w:divBdr>
    </w:div>
    <w:div w:id="874804396">
      <w:bodyDiv w:val="1"/>
      <w:marLeft w:val="0"/>
      <w:marRight w:val="0"/>
      <w:marTop w:val="0"/>
      <w:marBottom w:val="0"/>
      <w:divBdr>
        <w:top w:val="none" w:sz="0" w:space="0" w:color="auto"/>
        <w:left w:val="none" w:sz="0" w:space="0" w:color="auto"/>
        <w:bottom w:val="none" w:sz="0" w:space="0" w:color="auto"/>
        <w:right w:val="none" w:sz="0" w:space="0" w:color="auto"/>
      </w:divBdr>
    </w:div>
    <w:div w:id="874931282">
      <w:bodyDiv w:val="1"/>
      <w:marLeft w:val="0"/>
      <w:marRight w:val="0"/>
      <w:marTop w:val="0"/>
      <w:marBottom w:val="0"/>
      <w:divBdr>
        <w:top w:val="none" w:sz="0" w:space="0" w:color="auto"/>
        <w:left w:val="none" w:sz="0" w:space="0" w:color="auto"/>
        <w:bottom w:val="none" w:sz="0" w:space="0" w:color="auto"/>
        <w:right w:val="none" w:sz="0" w:space="0" w:color="auto"/>
      </w:divBdr>
    </w:div>
    <w:div w:id="875434865">
      <w:bodyDiv w:val="1"/>
      <w:marLeft w:val="0"/>
      <w:marRight w:val="0"/>
      <w:marTop w:val="0"/>
      <w:marBottom w:val="0"/>
      <w:divBdr>
        <w:top w:val="none" w:sz="0" w:space="0" w:color="auto"/>
        <w:left w:val="none" w:sz="0" w:space="0" w:color="auto"/>
        <w:bottom w:val="none" w:sz="0" w:space="0" w:color="auto"/>
        <w:right w:val="none" w:sz="0" w:space="0" w:color="auto"/>
      </w:divBdr>
    </w:div>
    <w:div w:id="880556629">
      <w:bodyDiv w:val="1"/>
      <w:marLeft w:val="0"/>
      <w:marRight w:val="0"/>
      <w:marTop w:val="0"/>
      <w:marBottom w:val="0"/>
      <w:divBdr>
        <w:top w:val="none" w:sz="0" w:space="0" w:color="auto"/>
        <w:left w:val="none" w:sz="0" w:space="0" w:color="auto"/>
        <w:bottom w:val="none" w:sz="0" w:space="0" w:color="auto"/>
        <w:right w:val="none" w:sz="0" w:space="0" w:color="auto"/>
      </w:divBdr>
    </w:div>
    <w:div w:id="883057004">
      <w:bodyDiv w:val="1"/>
      <w:marLeft w:val="0"/>
      <w:marRight w:val="0"/>
      <w:marTop w:val="0"/>
      <w:marBottom w:val="0"/>
      <w:divBdr>
        <w:top w:val="none" w:sz="0" w:space="0" w:color="auto"/>
        <w:left w:val="none" w:sz="0" w:space="0" w:color="auto"/>
        <w:bottom w:val="none" w:sz="0" w:space="0" w:color="auto"/>
        <w:right w:val="none" w:sz="0" w:space="0" w:color="auto"/>
      </w:divBdr>
    </w:div>
    <w:div w:id="893659471">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
    <w:div w:id="899051856">
      <w:bodyDiv w:val="1"/>
      <w:marLeft w:val="0"/>
      <w:marRight w:val="0"/>
      <w:marTop w:val="0"/>
      <w:marBottom w:val="0"/>
      <w:divBdr>
        <w:top w:val="none" w:sz="0" w:space="0" w:color="auto"/>
        <w:left w:val="none" w:sz="0" w:space="0" w:color="auto"/>
        <w:bottom w:val="none" w:sz="0" w:space="0" w:color="auto"/>
        <w:right w:val="none" w:sz="0" w:space="0" w:color="auto"/>
      </w:divBdr>
    </w:div>
    <w:div w:id="900486646">
      <w:bodyDiv w:val="1"/>
      <w:marLeft w:val="0"/>
      <w:marRight w:val="0"/>
      <w:marTop w:val="0"/>
      <w:marBottom w:val="0"/>
      <w:divBdr>
        <w:top w:val="none" w:sz="0" w:space="0" w:color="auto"/>
        <w:left w:val="none" w:sz="0" w:space="0" w:color="auto"/>
        <w:bottom w:val="none" w:sz="0" w:space="0" w:color="auto"/>
        <w:right w:val="none" w:sz="0" w:space="0" w:color="auto"/>
      </w:divBdr>
    </w:div>
    <w:div w:id="904491576">
      <w:bodyDiv w:val="1"/>
      <w:marLeft w:val="0"/>
      <w:marRight w:val="0"/>
      <w:marTop w:val="0"/>
      <w:marBottom w:val="0"/>
      <w:divBdr>
        <w:top w:val="none" w:sz="0" w:space="0" w:color="auto"/>
        <w:left w:val="none" w:sz="0" w:space="0" w:color="auto"/>
        <w:bottom w:val="none" w:sz="0" w:space="0" w:color="auto"/>
        <w:right w:val="none" w:sz="0" w:space="0" w:color="auto"/>
      </w:divBdr>
      <w:divsChild>
        <w:div w:id="157694318">
          <w:marLeft w:val="0"/>
          <w:marRight w:val="0"/>
          <w:marTop w:val="0"/>
          <w:marBottom w:val="0"/>
          <w:divBdr>
            <w:top w:val="none" w:sz="0" w:space="0" w:color="auto"/>
            <w:left w:val="none" w:sz="0" w:space="0" w:color="auto"/>
            <w:bottom w:val="none" w:sz="0" w:space="0" w:color="auto"/>
            <w:right w:val="none" w:sz="0" w:space="0" w:color="auto"/>
          </w:divBdr>
        </w:div>
        <w:div w:id="391857457">
          <w:marLeft w:val="0"/>
          <w:marRight w:val="0"/>
          <w:marTop w:val="0"/>
          <w:marBottom w:val="0"/>
          <w:divBdr>
            <w:top w:val="none" w:sz="0" w:space="0" w:color="auto"/>
            <w:left w:val="none" w:sz="0" w:space="0" w:color="auto"/>
            <w:bottom w:val="none" w:sz="0" w:space="0" w:color="auto"/>
            <w:right w:val="none" w:sz="0" w:space="0" w:color="auto"/>
          </w:divBdr>
        </w:div>
        <w:div w:id="1309281281">
          <w:marLeft w:val="0"/>
          <w:marRight w:val="0"/>
          <w:marTop w:val="0"/>
          <w:marBottom w:val="0"/>
          <w:divBdr>
            <w:top w:val="none" w:sz="0" w:space="0" w:color="auto"/>
            <w:left w:val="none" w:sz="0" w:space="0" w:color="auto"/>
            <w:bottom w:val="none" w:sz="0" w:space="0" w:color="auto"/>
            <w:right w:val="none" w:sz="0" w:space="0" w:color="auto"/>
          </w:divBdr>
        </w:div>
        <w:div w:id="1985767516">
          <w:marLeft w:val="0"/>
          <w:marRight w:val="0"/>
          <w:marTop w:val="0"/>
          <w:marBottom w:val="0"/>
          <w:divBdr>
            <w:top w:val="none" w:sz="0" w:space="0" w:color="auto"/>
            <w:left w:val="none" w:sz="0" w:space="0" w:color="auto"/>
            <w:bottom w:val="none" w:sz="0" w:space="0" w:color="auto"/>
            <w:right w:val="none" w:sz="0" w:space="0" w:color="auto"/>
          </w:divBdr>
        </w:div>
      </w:divsChild>
    </w:div>
    <w:div w:id="908543668">
      <w:bodyDiv w:val="1"/>
      <w:marLeft w:val="0"/>
      <w:marRight w:val="0"/>
      <w:marTop w:val="0"/>
      <w:marBottom w:val="0"/>
      <w:divBdr>
        <w:top w:val="none" w:sz="0" w:space="0" w:color="auto"/>
        <w:left w:val="none" w:sz="0" w:space="0" w:color="auto"/>
        <w:bottom w:val="none" w:sz="0" w:space="0" w:color="auto"/>
        <w:right w:val="none" w:sz="0" w:space="0" w:color="auto"/>
      </w:divBdr>
      <w:divsChild>
        <w:div w:id="418599116">
          <w:marLeft w:val="0"/>
          <w:marRight w:val="0"/>
          <w:marTop w:val="0"/>
          <w:marBottom w:val="0"/>
          <w:divBdr>
            <w:top w:val="none" w:sz="0" w:space="0" w:color="auto"/>
            <w:left w:val="none" w:sz="0" w:space="0" w:color="auto"/>
            <w:bottom w:val="none" w:sz="0" w:space="0" w:color="auto"/>
            <w:right w:val="none" w:sz="0" w:space="0" w:color="auto"/>
          </w:divBdr>
        </w:div>
        <w:div w:id="993725250">
          <w:marLeft w:val="0"/>
          <w:marRight w:val="0"/>
          <w:marTop w:val="0"/>
          <w:marBottom w:val="0"/>
          <w:divBdr>
            <w:top w:val="none" w:sz="0" w:space="0" w:color="auto"/>
            <w:left w:val="none" w:sz="0" w:space="0" w:color="auto"/>
            <w:bottom w:val="none" w:sz="0" w:space="0" w:color="auto"/>
            <w:right w:val="none" w:sz="0" w:space="0" w:color="auto"/>
          </w:divBdr>
        </w:div>
        <w:div w:id="1100373016">
          <w:marLeft w:val="0"/>
          <w:marRight w:val="0"/>
          <w:marTop w:val="0"/>
          <w:marBottom w:val="0"/>
          <w:divBdr>
            <w:top w:val="none" w:sz="0" w:space="0" w:color="auto"/>
            <w:left w:val="none" w:sz="0" w:space="0" w:color="auto"/>
            <w:bottom w:val="none" w:sz="0" w:space="0" w:color="auto"/>
            <w:right w:val="none" w:sz="0" w:space="0" w:color="auto"/>
          </w:divBdr>
        </w:div>
        <w:div w:id="1953516257">
          <w:marLeft w:val="0"/>
          <w:marRight w:val="0"/>
          <w:marTop w:val="0"/>
          <w:marBottom w:val="0"/>
          <w:divBdr>
            <w:top w:val="none" w:sz="0" w:space="0" w:color="auto"/>
            <w:left w:val="none" w:sz="0" w:space="0" w:color="auto"/>
            <w:bottom w:val="none" w:sz="0" w:space="0" w:color="auto"/>
            <w:right w:val="none" w:sz="0" w:space="0" w:color="auto"/>
          </w:divBdr>
        </w:div>
      </w:divsChild>
    </w:div>
    <w:div w:id="914124817">
      <w:bodyDiv w:val="1"/>
      <w:marLeft w:val="0"/>
      <w:marRight w:val="0"/>
      <w:marTop w:val="0"/>
      <w:marBottom w:val="0"/>
      <w:divBdr>
        <w:top w:val="none" w:sz="0" w:space="0" w:color="auto"/>
        <w:left w:val="none" w:sz="0" w:space="0" w:color="auto"/>
        <w:bottom w:val="none" w:sz="0" w:space="0" w:color="auto"/>
        <w:right w:val="none" w:sz="0" w:space="0" w:color="auto"/>
      </w:divBdr>
    </w:div>
    <w:div w:id="914437765">
      <w:bodyDiv w:val="1"/>
      <w:marLeft w:val="0"/>
      <w:marRight w:val="0"/>
      <w:marTop w:val="0"/>
      <w:marBottom w:val="0"/>
      <w:divBdr>
        <w:top w:val="none" w:sz="0" w:space="0" w:color="auto"/>
        <w:left w:val="none" w:sz="0" w:space="0" w:color="auto"/>
        <w:bottom w:val="none" w:sz="0" w:space="0" w:color="auto"/>
        <w:right w:val="none" w:sz="0" w:space="0" w:color="auto"/>
      </w:divBdr>
    </w:div>
    <w:div w:id="926380259">
      <w:bodyDiv w:val="1"/>
      <w:marLeft w:val="0"/>
      <w:marRight w:val="0"/>
      <w:marTop w:val="0"/>
      <w:marBottom w:val="0"/>
      <w:divBdr>
        <w:top w:val="none" w:sz="0" w:space="0" w:color="auto"/>
        <w:left w:val="none" w:sz="0" w:space="0" w:color="auto"/>
        <w:bottom w:val="none" w:sz="0" w:space="0" w:color="auto"/>
        <w:right w:val="none" w:sz="0" w:space="0" w:color="auto"/>
      </w:divBdr>
    </w:div>
    <w:div w:id="927083852">
      <w:bodyDiv w:val="1"/>
      <w:marLeft w:val="0"/>
      <w:marRight w:val="0"/>
      <w:marTop w:val="0"/>
      <w:marBottom w:val="0"/>
      <w:divBdr>
        <w:top w:val="none" w:sz="0" w:space="0" w:color="auto"/>
        <w:left w:val="none" w:sz="0" w:space="0" w:color="auto"/>
        <w:bottom w:val="none" w:sz="0" w:space="0" w:color="auto"/>
        <w:right w:val="none" w:sz="0" w:space="0" w:color="auto"/>
      </w:divBdr>
    </w:div>
    <w:div w:id="927664683">
      <w:bodyDiv w:val="1"/>
      <w:marLeft w:val="0"/>
      <w:marRight w:val="0"/>
      <w:marTop w:val="0"/>
      <w:marBottom w:val="0"/>
      <w:divBdr>
        <w:top w:val="none" w:sz="0" w:space="0" w:color="auto"/>
        <w:left w:val="none" w:sz="0" w:space="0" w:color="auto"/>
        <w:bottom w:val="none" w:sz="0" w:space="0" w:color="auto"/>
        <w:right w:val="none" w:sz="0" w:space="0" w:color="auto"/>
      </w:divBdr>
    </w:div>
    <w:div w:id="936717289">
      <w:bodyDiv w:val="1"/>
      <w:marLeft w:val="0"/>
      <w:marRight w:val="0"/>
      <w:marTop w:val="0"/>
      <w:marBottom w:val="0"/>
      <w:divBdr>
        <w:top w:val="none" w:sz="0" w:space="0" w:color="auto"/>
        <w:left w:val="none" w:sz="0" w:space="0" w:color="auto"/>
        <w:bottom w:val="none" w:sz="0" w:space="0" w:color="auto"/>
        <w:right w:val="none" w:sz="0" w:space="0" w:color="auto"/>
      </w:divBdr>
    </w:div>
    <w:div w:id="936789261">
      <w:bodyDiv w:val="1"/>
      <w:marLeft w:val="0"/>
      <w:marRight w:val="0"/>
      <w:marTop w:val="0"/>
      <w:marBottom w:val="0"/>
      <w:divBdr>
        <w:top w:val="none" w:sz="0" w:space="0" w:color="auto"/>
        <w:left w:val="none" w:sz="0" w:space="0" w:color="auto"/>
        <w:bottom w:val="none" w:sz="0" w:space="0" w:color="auto"/>
        <w:right w:val="none" w:sz="0" w:space="0" w:color="auto"/>
      </w:divBdr>
    </w:div>
    <w:div w:id="941500701">
      <w:bodyDiv w:val="1"/>
      <w:marLeft w:val="0"/>
      <w:marRight w:val="0"/>
      <w:marTop w:val="0"/>
      <w:marBottom w:val="0"/>
      <w:divBdr>
        <w:top w:val="none" w:sz="0" w:space="0" w:color="auto"/>
        <w:left w:val="none" w:sz="0" w:space="0" w:color="auto"/>
        <w:bottom w:val="none" w:sz="0" w:space="0" w:color="auto"/>
        <w:right w:val="none" w:sz="0" w:space="0" w:color="auto"/>
      </w:divBdr>
    </w:div>
    <w:div w:id="942301597">
      <w:bodyDiv w:val="1"/>
      <w:marLeft w:val="0"/>
      <w:marRight w:val="0"/>
      <w:marTop w:val="0"/>
      <w:marBottom w:val="0"/>
      <w:divBdr>
        <w:top w:val="none" w:sz="0" w:space="0" w:color="auto"/>
        <w:left w:val="none" w:sz="0" w:space="0" w:color="auto"/>
        <w:bottom w:val="none" w:sz="0" w:space="0" w:color="auto"/>
        <w:right w:val="none" w:sz="0" w:space="0" w:color="auto"/>
      </w:divBdr>
    </w:div>
    <w:div w:id="955259310">
      <w:bodyDiv w:val="1"/>
      <w:marLeft w:val="0"/>
      <w:marRight w:val="0"/>
      <w:marTop w:val="0"/>
      <w:marBottom w:val="0"/>
      <w:divBdr>
        <w:top w:val="none" w:sz="0" w:space="0" w:color="auto"/>
        <w:left w:val="none" w:sz="0" w:space="0" w:color="auto"/>
        <w:bottom w:val="none" w:sz="0" w:space="0" w:color="auto"/>
        <w:right w:val="none" w:sz="0" w:space="0" w:color="auto"/>
      </w:divBdr>
    </w:div>
    <w:div w:id="961762208">
      <w:bodyDiv w:val="1"/>
      <w:marLeft w:val="0"/>
      <w:marRight w:val="0"/>
      <w:marTop w:val="0"/>
      <w:marBottom w:val="0"/>
      <w:divBdr>
        <w:top w:val="none" w:sz="0" w:space="0" w:color="auto"/>
        <w:left w:val="none" w:sz="0" w:space="0" w:color="auto"/>
        <w:bottom w:val="none" w:sz="0" w:space="0" w:color="auto"/>
        <w:right w:val="none" w:sz="0" w:space="0" w:color="auto"/>
      </w:divBdr>
    </w:div>
    <w:div w:id="962734506">
      <w:bodyDiv w:val="1"/>
      <w:marLeft w:val="0"/>
      <w:marRight w:val="0"/>
      <w:marTop w:val="0"/>
      <w:marBottom w:val="0"/>
      <w:divBdr>
        <w:top w:val="none" w:sz="0" w:space="0" w:color="auto"/>
        <w:left w:val="none" w:sz="0" w:space="0" w:color="auto"/>
        <w:bottom w:val="none" w:sz="0" w:space="0" w:color="auto"/>
        <w:right w:val="none" w:sz="0" w:space="0" w:color="auto"/>
      </w:divBdr>
    </w:div>
    <w:div w:id="969434140">
      <w:bodyDiv w:val="1"/>
      <w:marLeft w:val="0"/>
      <w:marRight w:val="0"/>
      <w:marTop w:val="0"/>
      <w:marBottom w:val="0"/>
      <w:divBdr>
        <w:top w:val="none" w:sz="0" w:space="0" w:color="auto"/>
        <w:left w:val="none" w:sz="0" w:space="0" w:color="auto"/>
        <w:bottom w:val="none" w:sz="0" w:space="0" w:color="auto"/>
        <w:right w:val="none" w:sz="0" w:space="0" w:color="auto"/>
      </w:divBdr>
    </w:div>
    <w:div w:id="969827062">
      <w:bodyDiv w:val="1"/>
      <w:marLeft w:val="0"/>
      <w:marRight w:val="0"/>
      <w:marTop w:val="0"/>
      <w:marBottom w:val="0"/>
      <w:divBdr>
        <w:top w:val="none" w:sz="0" w:space="0" w:color="auto"/>
        <w:left w:val="none" w:sz="0" w:space="0" w:color="auto"/>
        <w:bottom w:val="none" w:sz="0" w:space="0" w:color="auto"/>
        <w:right w:val="none" w:sz="0" w:space="0" w:color="auto"/>
      </w:divBdr>
    </w:div>
    <w:div w:id="972565666">
      <w:bodyDiv w:val="1"/>
      <w:marLeft w:val="0"/>
      <w:marRight w:val="0"/>
      <w:marTop w:val="0"/>
      <w:marBottom w:val="0"/>
      <w:divBdr>
        <w:top w:val="none" w:sz="0" w:space="0" w:color="auto"/>
        <w:left w:val="none" w:sz="0" w:space="0" w:color="auto"/>
        <w:bottom w:val="none" w:sz="0" w:space="0" w:color="auto"/>
        <w:right w:val="none" w:sz="0" w:space="0" w:color="auto"/>
      </w:divBdr>
    </w:div>
    <w:div w:id="982467069">
      <w:bodyDiv w:val="1"/>
      <w:marLeft w:val="0"/>
      <w:marRight w:val="0"/>
      <w:marTop w:val="0"/>
      <w:marBottom w:val="0"/>
      <w:divBdr>
        <w:top w:val="none" w:sz="0" w:space="0" w:color="auto"/>
        <w:left w:val="none" w:sz="0" w:space="0" w:color="auto"/>
        <w:bottom w:val="none" w:sz="0" w:space="0" w:color="auto"/>
        <w:right w:val="none" w:sz="0" w:space="0" w:color="auto"/>
      </w:divBdr>
    </w:div>
    <w:div w:id="986014777">
      <w:bodyDiv w:val="1"/>
      <w:marLeft w:val="0"/>
      <w:marRight w:val="0"/>
      <w:marTop w:val="0"/>
      <w:marBottom w:val="0"/>
      <w:divBdr>
        <w:top w:val="none" w:sz="0" w:space="0" w:color="auto"/>
        <w:left w:val="none" w:sz="0" w:space="0" w:color="auto"/>
        <w:bottom w:val="none" w:sz="0" w:space="0" w:color="auto"/>
        <w:right w:val="none" w:sz="0" w:space="0" w:color="auto"/>
      </w:divBdr>
    </w:div>
    <w:div w:id="991330162">
      <w:bodyDiv w:val="1"/>
      <w:marLeft w:val="0"/>
      <w:marRight w:val="0"/>
      <w:marTop w:val="0"/>
      <w:marBottom w:val="0"/>
      <w:divBdr>
        <w:top w:val="none" w:sz="0" w:space="0" w:color="auto"/>
        <w:left w:val="none" w:sz="0" w:space="0" w:color="auto"/>
        <w:bottom w:val="none" w:sz="0" w:space="0" w:color="auto"/>
        <w:right w:val="none" w:sz="0" w:space="0" w:color="auto"/>
      </w:divBdr>
    </w:div>
    <w:div w:id="996299238">
      <w:bodyDiv w:val="1"/>
      <w:marLeft w:val="0"/>
      <w:marRight w:val="0"/>
      <w:marTop w:val="0"/>
      <w:marBottom w:val="0"/>
      <w:divBdr>
        <w:top w:val="none" w:sz="0" w:space="0" w:color="auto"/>
        <w:left w:val="none" w:sz="0" w:space="0" w:color="auto"/>
        <w:bottom w:val="none" w:sz="0" w:space="0" w:color="auto"/>
        <w:right w:val="none" w:sz="0" w:space="0" w:color="auto"/>
      </w:divBdr>
    </w:div>
    <w:div w:id="998464183">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sChild>
        <w:div w:id="90781695">
          <w:marLeft w:val="0"/>
          <w:marRight w:val="0"/>
          <w:marTop w:val="0"/>
          <w:marBottom w:val="0"/>
          <w:divBdr>
            <w:top w:val="none" w:sz="0" w:space="0" w:color="auto"/>
            <w:left w:val="none" w:sz="0" w:space="0" w:color="auto"/>
            <w:bottom w:val="none" w:sz="0" w:space="0" w:color="auto"/>
            <w:right w:val="none" w:sz="0" w:space="0" w:color="auto"/>
          </w:divBdr>
        </w:div>
        <w:div w:id="692339440">
          <w:marLeft w:val="0"/>
          <w:marRight w:val="0"/>
          <w:marTop w:val="0"/>
          <w:marBottom w:val="0"/>
          <w:divBdr>
            <w:top w:val="none" w:sz="0" w:space="0" w:color="auto"/>
            <w:left w:val="none" w:sz="0" w:space="0" w:color="auto"/>
            <w:bottom w:val="none" w:sz="0" w:space="0" w:color="auto"/>
            <w:right w:val="none" w:sz="0" w:space="0" w:color="auto"/>
          </w:divBdr>
        </w:div>
        <w:div w:id="1068722986">
          <w:marLeft w:val="0"/>
          <w:marRight w:val="0"/>
          <w:marTop w:val="0"/>
          <w:marBottom w:val="0"/>
          <w:divBdr>
            <w:top w:val="none" w:sz="0" w:space="0" w:color="auto"/>
            <w:left w:val="none" w:sz="0" w:space="0" w:color="auto"/>
            <w:bottom w:val="none" w:sz="0" w:space="0" w:color="auto"/>
            <w:right w:val="none" w:sz="0" w:space="0" w:color="auto"/>
          </w:divBdr>
        </w:div>
        <w:div w:id="1210338093">
          <w:marLeft w:val="0"/>
          <w:marRight w:val="0"/>
          <w:marTop w:val="0"/>
          <w:marBottom w:val="0"/>
          <w:divBdr>
            <w:top w:val="none" w:sz="0" w:space="0" w:color="auto"/>
            <w:left w:val="none" w:sz="0" w:space="0" w:color="auto"/>
            <w:bottom w:val="none" w:sz="0" w:space="0" w:color="auto"/>
            <w:right w:val="none" w:sz="0" w:space="0" w:color="auto"/>
          </w:divBdr>
        </w:div>
      </w:divsChild>
    </w:div>
    <w:div w:id="1010061478">
      <w:bodyDiv w:val="1"/>
      <w:marLeft w:val="0"/>
      <w:marRight w:val="0"/>
      <w:marTop w:val="0"/>
      <w:marBottom w:val="0"/>
      <w:divBdr>
        <w:top w:val="none" w:sz="0" w:space="0" w:color="auto"/>
        <w:left w:val="none" w:sz="0" w:space="0" w:color="auto"/>
        <w:bottom w:val="none" w:sz="0" w:space="0" w:color="auto"/>
        <w:right w:val="none" w:sz="0" w:space="0" w:color="auto"/>
      </w:divBdr>
    </w:div>
    <w:div w:id="1011564089">
      <w:bodyDiv w:val="1"/>
      <w:marLeft w:val="0"/>
      <w:marRight w:val="0"/>
      <w:marTop w:val="0"/>
      <w:marBottom w:val="0"/>
      <w:divBdr>
        <w:top w:val="none" w:sz="0" w:space="0" w:color="auto"/>
        <w:left w:val="none" w:sz="0" w:space="0" w:color="auto"/>
        <w:bottom w:val="none" w:sz="0" w:space="0" w:color="auto"/>
        <w:right w:val="none" w:sz="0" w:space="0" w:color="auto"/>
      </w:divBdr>
      <w:divsChild>
        <w:div w:id="743380239">
          <w:marLeft w:val="0"/>
          <w:marRight w:val="0"/>
          <w:marTop w:val="0"/>
          <w:marBottom w:val="0"/>
          <w:divBdr>
            <w:top w:val="none" w:sz="0" w:space="0" w:color="auto"/>
            <w:left w:val="none" w:sz="0" w:space="0" w:color="auto"/>
            <w:bottom w:val="none" w:sz="0" w:space="0" w:color="auto"/>
            <w:right w:val="none" w:sz="0" w:space="0" w:color="auto"/>
          </w:divBdr>
        </w:div>
        <w:div w:id="1086194419">
          <w:marLeft w:val="0"/>
          <w:marRight w:val="0"/>
          <w:marTop w:val="0"/>
          <w:marBottom w:val="0"/>
          <w:divBdr>
            <w:top w:val="none" w:sz="0" w:space="0" w:color="auto"/>
            <w:left w:val="none" w:sz="0" w:space="0" w:color="auto"/>
            <w:bottom w:val="none" w:sz="0" w:space="0" w:color="auto"/>
            <w:right w:val="none" w:sz="0" w:space="0" w:color="auto"/>
          </w:divBdr>
        </w:div>
        <w:div w:id="1969315905">
          <w:marLeft w:val="0"/>
          <w:marRight w:val="0"/>
          <w:marTop w:val="0"/>
          <w:marBottom w:val="0"/>
          <w:divBdr>
            <w:top w:val="none" w:sz="0" w:space="0" w:color="auto"/>
            <w:left w:val="none" w:sz="0" w:space="0" w:color="auto"/>
            <w:bottom w:val="none" w:sz="0" w:space="0" w:color="auto"/>
            <w:right w:val="none" w:sz="0" w:space="0" w:color="auto"/>
          </w:divBdr>
        </w:div>
      </w:divsChild>
    </w:div>
    <w:div w:id="1011641746">
      <w:bodyDiv w:val="1"/>
      <w:marLeft w:val="0"/>
      <w:marRight w:val="0"/>
      <w:marTop w:val="0"/>
      <w:marBottom w:val="0"/>
      <w:divBdr>
        <w:top w:val="none" w:sz="0" w:space="0" w:color="auto"/>
        <w:left w:val="none" w:sz="0" w:space="0" w:color="auto"/>
        <w:bottom w:val="none" w:sz="0" w:space="0" w:color="auto"/>
        <w:right w:val="none" w:sz="0" w:space="0" w:color="auto"/>
      </w:divBdr>
    </w:div>
    <w:div w:id="1012225588">
      <w:bodyDiv w:val="1"/>
      <w:marLeft w:val="0"/>
      <w:marRight w:val="0"/>
      <w:marTop w:val="0"/>
      <w:marBottom w:val="0"/>
      <w:divBdr>
        <w:top w:val="none" w:sz="0" w:space="0" w:color="auto"/>
        <w:left w:val="none" w:sz="0" w:space="0" w:color="auto"/>
        <w:bottom w:val="none" w:sz="0" w:space="0" w:color="auto"/>
        <w:right w:val="none" w:sz="0" w:space="0" w:color="auto"/>
      </w:divBdr>
    </w:div>
    <w:div w:id="1013072528">
      <w:bodyDiv w:val="1"/>
      <w:marLeft w:val="0"/>
      <w:marRight w:val="0"/>
      <w:marTop w:val="0"/>
      <w:marBottom w:val="0"/>
      <w:divBdr>
        <w:top w:val="none" w:sz="0" w:space="0" w:color="auto"/>
        <w:left w:val="none" w:sz="0" w:space="0" w:color="auto"/>
        <w:bottom w:val="none" w:sz="0" w:space="0" w:color="auto"/>
        <w:right w:val="none" w:sz="0" w:space="0" w:color="auto"/>
      </w:divBdr>
    </w:div>
    <w:div w:id="1016810127">
      <w:bodyDiv w:val="1"/>
      <w:marLeft w:val="0"/>
      <w:marRight w:val="0"/>
      <w:marTop w:val="0"/>
      <w:marBottom w:val="0"/>
      <w:divBdr>
        <w:top w:val="none" w:sz="0" w:space="0" w:color="auto"/>
        <w:left w:val="none" w:sz="0" w:space="0" w:color="auto"/>
        <w:bottom w:val="none" w:sz="0" w:space="0" w:color="auto"/>
        <w:right w:val="none" w:sz="0" w:space="0" w:color="auto"/>
      </w:divBdr>
    </w:div>
    <w:div w:id="1017728403">
      <w:bodyDiv w:val="1"/>
      <w:marLeft w:val="0"/>
      <w:marRight w:val="0"/>
      <w:marTop w:val="0"/>
      <w:marBottom w:val="0"/>
      <w:divBdr>
        <w:top w:val="none" w:sz="0" w:space="0" w:color="auto"/>
        <w:left w:val="none" w:sz="0" w:space="0" w:color="auto"/>
        <w:bottom w:val="none" w:sz="0" w:space="0" w:color="auto"/>
        <w:right w:val="none" w:sz="0" w:space="0" w:color="auto"/>
      </w:divBdr>
    </w:div>
    <w:div w:id="1019233355">
      <w:bodyDiv w:val="1"/>
      <w:marLeft w:val="0"/>
      <w:marRight w:val="0"/>
      <w:marTop w:val="0"/>
      <w:marBottom w:val="0"/>
      <w:divBdr>
        <w:top w:val="none" w:sz="0" w:space="0" w:color="auto"/>
        <w:left w:val="none" w:sz="0" w:space="0" w:color="auto"/>
        <w:bottom w:val="none" w:sz="0" w:space="0" w:color="auto"/>
        <w:right w:val="none" w:sz="0" w:space="0" w:color="auto"/>
      </w:divBdr>
    </w:div>
    <w:div w:id="1020006545">
      <w:bodyDiv w:val="1"/>
      <w:marLeft w:val="0"/>
      <w:marRight w:val="0"/>
      <w:marTop w:val="0"/>
      <w:marBottom w:val="0"/>
      <w:divBdr>
        <w:top w:val="none" w:sz="0" w:space="0" w:color="auto"/>
        <w:left w:val="none" w:sz="0" w:space="0" w:color="auto"/>
        <w:bottom w:val="none" w:sz="0" w:space="0" w:color="auto"/>
        <w:right w:val="none" w:sz="0" w:space="0" w:color="auto"/>
      </w:divBdr>
    </w:div>
    <w:div w:id="1023899384">
      <w:bodyDiv w:val="1"/>
      <w:marLeft w:val="0"/>
      <w:marRight w:val="0"/>
      <w:marTop w:val="0"/>
      <w:marBottom w:val="0"/>
      <w:divBdr>
        <w:top w:val="none" w:sz="0" w:space="0" w:color="auto"/>
        <w:left w:val="none" w:sz="0" w:space="0" w:color="auto"/>
        <w:bottom w:val="none" w:sz="0" w:space="0" w:color="auto"/>
        <w:right w:val="none" w:sz="0" w:space="0" w:color="auto"/>
      </w:divBdr>
    </w:div>
    <w:div w:id="1024479144">
      <w:bodyDiv w:val="1"/>
      <w:marLeft w:val="0"/>
      <w:marRight w:val="0"/>
      <w:marTop w:val="0"/>
      <w:marBottom w:val="0"/>
      <w:divBdr>
        <w:top w:val="none" w:sz="0" w:space="0" w:color="auto"/>
        <w:left w:val="none" w:sz="0" w:space="0" w:color="auto"/>
        <w:bottom w:val="none" w:sz="0" w:space="0" w:color="auto"/>
        <w:right w:val="none" w:sz="0" w:space="0" w:color="auto"/>
      </w:divBdr>
    </w:div>
    <w:div w:id="1024592855">
      <w:bodyDiv w:val="1"/>
      <w:marLeft w:val="0"/>
      <w:marRight w:val="0"/>
      <w:marTop w:val="0"/>
      <w:marBottom w:val="0"/>
      <w:divBdr>
        <w:top w:val="none" w:sz="0" w:space="0" w:color="auto"/>
        <w:left w:val="none" w:sz="0" w:space="0" w:color="auto"/>
        <w:bottom w:val="none" w:sz="0" w:space="0" w:color="auto"/>
        <w:right w:val="none" w:sz="0" w:space="0" w:color="auto"/>
      </w:divBdr>
    </w:div>
    <w:div w:id="1025836520">
      <w:bodyDiv w:val="1"/>
      <w:marLeft w:val="0"/>
      <w:marRight w:val="0"/>
      <w:marTop w:val="0"/>
      <w:marBottom w:val="0"/>
      <w:divBdr>
        <w:top w:val="none" w:sz="0" w:space="0" w:color="auto"/>
        <w:left w:val="none" w:sz="0" w:space="0" w:color="auto"/>
        <w:bottom w:val="none" w:sz="0" w:space="0" w:color="auto"/>
        <w:right w:val="none" w:sz="0" w:space="0" w:color="auto"/>
      </w:divBdr>
      <w:divsChild>
        <w:div w:id="115566601">
          <w:marLeft w:val="0"/>
          <w:marRight w:val="0"/>
          <w:marTop w:val="0"/>
          <w:marBottom w:val="0"/>
          <w:divBdr>
            <w:top w:val="none" w:sz="0" w:space="0" w:color="auto"/>
            <w:left w:val="none" w:sz="0" w:space="0" w:color="auto"/>
            <w:bottom w:val="none" w:sz="0" w:space="0" w:color="auto"/>
            <w:right w:val="none" w:sz="0" w:space="0" w:color="auto"/>
          </w:divBdr>
          <w:divsChild>
            <w:div w:id="2086417328">
              <w:marLeft w:val="0"/>
              <w:marRight w:val="0"/>
              <w:marTop w:val="0"/>
              <w:marBottom w:val="0"/>
              <w:divBdr>
                <w:top w:val="none" w:sz="0" w:space="0" w:color="auto"/>
                <w:left w:val="none" w:sz="0" w:space="0" w:color="auto"/>
                <w:bottom w:val="none" w:sz="0" w:space="0" w:color="auto"/>
                <w:right w:val="none" w:sz="0" w:space="0" w:color="auto"/>
              </w:divBdr>
              <w:divsChild>
                <w:div w:id="10647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47741">
      <w:bodyDiv w:val="1"/>
      <w:marLeft w:val="0"/>
      <w:marRight w:val="0"/>
      <w:marTop w:val="0"/>
      <w:marBottom w:val="0"/>
      <w:divBdr>
        <w:top w:val="none" w:sz="0" w:space="0" w:color="auto"/>
        <w:left w:val="none" w:sz="0" w:space="0" w:color="auto"/>
        <w:bottom w:val="none" w:sz="0" w:space="0" w:color="auto"/>
        <w:right w:val="none" w:sz="0" w:space="0" w:color="auto"/>
      </w:divBdr>
    </w:div>
    <w:div w:id="1026709524">
      <w:bodyDiv w:val="1"/>
      <w:marLeft w:val="0"/>
      <w:marRight w:val="0"/>
      <w:marTop w:val="0"/>
      <w:marBottom w:val="0"/>
      <w:divBdr>
        <w:top w:val="none" w:sz="0" w:space="0" w:color="auto"/>
        <w:left w:val="none" w:sz="0" w:space="0" w:color="auto"/>
        <w:bottom w:val="none" w:sz="0" w:space="0" w:color="auto"/>
        <w:right w:val="none" w:sz="0" w:space="0" w:color="auto"/>
      </w:divBdr>
    </w:div>
    <w:div w:id="1026911072">
      <w:bodyDiv w:val="1"/>
      <w:marLeft w:val="0"/>
      <w:marRight w:val="0"/>
      <w:marTop w:val="0"/>
      <w:marBottom w:val="0"/>
      <w:divBdr>
        <w:top w:val="none" w:sz="0" w:space="0" w:color="auto"/>
        <w:left w:val="none" w:sz="0" w:space="0" w:color="auto"/>
        <w:bottom w:val="none" w:sz="0" w:space="0" w:color="auto"/>
        <w:right w:val="none" w:sz="0" w:space="0" w:color="auto"/>
      </w:divBdr>
    </w:div>
    <w:div w:id="1029330067">
      <w:bodyDiv w:val="1"/>
      <w:marLeft w:val="0"/>
      <w:marRight w:val="0"/>
      <w:marTop w:val="0"/>
      <w:marBottom w:val="0"/>
      <w:divBdr>
        <w:top w:val="none" w:sz="0" w:space="0" w:color="auto"/>
        <w:left w:val="none" w:sz="0" w:space="0" w:color="auto"/>
        <w:bottom w:val="none" w:sz="0" w:space="0" w:color="auto"/>
        <w:right w:val="none" w:sz="0" w:space="0" w:color="auto"/>
      </w:divBdr>
    </w:div>
    <w:div w:id="1030447491">
      <w:bodyDiv w:val="1"/>
      <w:marLeft w:val="0"/>
      <w:marRight w:val="0"/>
      <w:marTop w:val="0"/>
      <w:marBottom w:val="0"/>
      <w:divBdr>
        <w:top w:val="none" w:sz="0" w:space="0" w:color="auto"/>
        <w:left w:val="none" w:sz="0" w:space="0" w:color="auto"/>
        <w:bottom w:val="none" w:sz="0" w:space="0" w:color="auto"/>
        <w:right w:val="none" w:sz="0" w:space="0" w:color="auto"/>
      </w:divBdr>
    </w:div>
    <w:div w:id="1031106798">
      <w:bodyDiv w:val="1"/>
      <w:marLeft w:val="0"/>
      <w:marRight w:val="0"/>
      <w:marTop w:val="0"/>
      <w:marBottom w:val="0"/>
      <w:divBdr>
        <w:top w:val="none" w:sz="0" w:space="0" w:color="auto"/>
        <w:left w:val="none" w:sz="0" w:space="0" w:color="auto"/>
        <w:bottom w:val="none" w:sz="0" w:space="0" w:color="auto"/>
        <w:right w:val="none" w:sz="0" w:space="0" w:color="auto"/>
      </w:divBdr>
    </w:div>
    <w:div w:id="1034426175">
      <w:bodyDiv w:val="1"/>
      <w:marLeft w:val="0"/>
      <w:marRight w:val="0"/>
      <w:marTop w:val="0"/>
      <w:marBottom w:val="0"/>
      <w:divBdr>
        <w:top w:val="none" w:sz="0" w:space="0" w:color="auto"/>
        <w:left w:val="none" w:sz="0" w:space="0" w:color="auto"/>
        <w:bottom w:val="none" w:sz="0" w:space="0" w:color="auto"/>
        <w:right w:val="none" w:sz="0" w:space="0" w:color="auto"/>
      </w:divBdr>
    </w:div>
    <w:div w:id="1037509111">
      <w:bodyDiv w:val="1"/>
      <w:marLeft w:val="0"/>
      <w:marRight w:val="0"/>
      <w:marTop w:val="0"/>
      <w:marBottom w:val="0"/>
      <w:divBdr>
        <w:top w:val="none" w:sz="0" w:space="0" w:color="auto"/>
        <w:left w:val="none" w:sz="0" w:space="0" w:color="auto"/>
        <w:bottom w:val="none" w:sz="0" w:space="0" w:color="auto"/>
        <w:right w:val="none" w:sz="0" w:space="0" w:color="auto"/>
      </w:divBdr>
    </w:div>
    <w:div w:id="1039821274">
      <w:bodyDiv w:val="1"/>
      <w:marLeft w:val="0"/>
      <w:marRight w:val="0"/>
      <w:marTop w:val="0"/>
      <w:marBottom w:val="0"/>
      <w:divBdr>
        <w:top w:val="none" w:sz="0" w:space="0" w:color="auto"/>
        <w:left w:val="none" w:sz="0" w:space="0" w:color="auto"/>
        <w:bottom w:val="none" w:sz="0" w:space="0" w:color="auto"/>
        <w:right w:val="none" w:sz="0" w:space="0" w:color="auto"/>
      </w:divBdr>
    </w:div>
    <w:div w:id="1045368497">
      <w:bodyDiv w:val="1"/>
      <w:marLeft w:val="0"/>
      <w:marRight w:val="0"/>
      <w:marTop w:val="0"/>
      <w:marBottom w:val="0"/>
      <w:divBdr>
        <w:top w:val="none" w:sz="0" w:space="0" w:color="auto"/>
        <w:left w:val="none" w:sz="0" w:space="0" w:color="auto"/>
        <w:bottom w:val="none" w:sz="0" w:space="0" w:color="auto"/>
        <w:right w:val="none" w:sz="0" w:space="0" w:color="auto"/>
      </w:divBdr>
    </w:div>
    <w:div w:id="1047030850">
      <w:bodyDiv w:val="1"/>
      <w:marLeft w:val="0"/>
      <w:marRight w:val="0"/>
      <w:marTop w:val="0"/>
      <w:marBottom w:val="0"/>
      <w:divBdr>
        <w:top w:val="none" w:sz="0" w:space="0" w:color="auto"/>
        <w:left w:val="none" w:sz="0" w:space="0" w:color="auto"/>
        <w:bottom w:val="none" w:sz="0" w:space="0" w:color="auto"/>
        <w:right w:val="none" w:sz="0" w:space="0" w:color="auto"/>
      </w:divBdr>
    </w:div>
    <w:div w:id="1049843392">
      <w:bodyDiv w:val="1"/>
      <w:marLeft w:val="0"/>
      <w:marRight w:val="0"/>
      <w:marTop w:val="0"/>
      <w:marBottom w:val="0"/>
      <w:divBdr>
        <w:top w:val="none" w:sz="0" w:space="0" w:color="auto"/>
        <w:left w:val="none" w:sz="0" w:space="0" w:color="auto"/>
        <w:bottom w:val="none" w:sz="0" w:space="0" w:color="auto"/>
        <w:right w:val="none" w:sz="0" w:space="0" w:color="auto"/>
      </w:divBdr>
    </w:div>
    <w:div w:id="1050811727">
      <w:bodyDiv w:val="1"/>
      <w:marLeft w:val="0"/>
      <w:marRight w:val="0"/>
      <w:marTop w:val="0"/>
      <w:marBottom w:val="0"/>
      <w:divBdr>
        <w:top w:val="none" w:sz="0" w:space="0" w:color="auto"/>
        <w:left w:val="none" w:sz="0" w:space="0" w:color="auto"/>
        <w:bottom w:val="none" w:sz="0" w:space="0" w:color="auto"/>
        <w:right w:val="none" w:sz="0" w:space="0" w:color="auto"/>
      </w:divBdr>
    </w:div>
    <w:div w:id="1051148651">
      <w:bodyDiv w:val="1"/>
      <w:marLeft w:val="0"/>
      <w:marRight w:val="0"/>
      <w:marTop w:val="0"/>
      <w:marBottom w:val="0"/>
      <w:divBdr>
        <w:top w:val="none" w:sz="0" w:space="0" w:color="auto"/>
        <w:left w:val="none" w:sz="0" w:space="0" w:color="auto"/>
        <w:bottom w:val="none" w:sz="0" w:space="0" w:color="auto"/>
        <w:right w:val="none" w:sz="0" w:space="0" w:color="auto"/>
      </w:divBdr>
    </w:div>
    <w:div w:id="1058473671">
      <w:bodyDiv w:val="1"/>
      <w:marLeft w:val="0"/>
      <w:marRight w:val="0"/>
      <w:marTop w:val="0"/>
      <w:marBottom w:val="0"/>
      <w:divBdr>
        <w:top w:val="none" w:sz="0" w:space="0" w:color="auto"/>
        <w:left w:val="none" w:sz="0" w:space="0" w:color="auto"/>
        <w:bottom w:val="none" w:sz="0" w:space="0" w:color="auto"/>
        <w:right w:val="none" w:sz="0" w:space="0" w:color="auto"/>
      </w:divBdr>
    </w:div>
    <w:div w:id="1059284763">
      <w:bodyDiv w:val="1"/>
      <w:marLeft w:val="0"/>
      <w:marRight w:val="0"/>
      <w:marTop w:val="0"/>
      <w:marBottom w:val="0"/>
      <w:divBdr>
        <w:top w:val="none" w:sz="0" w:space="0" w:color="auto"/>
        <w:left w:val="none" w:sz="0" w:space="0" w:color="auto"/>
        <w:bottom w:val="none" w:sz="0" w:space="0" w:color="auto"/>
        <w:right w:val="none" w:sz="0" w:space="0" w:color="auto"/>
      </w:divBdr>
    </w:div>
    <w:div w:id="1060323701">
      <w:bodyDiv w:val="1"/>
      <w:marLeft w:val="0"/>
      <w:marRight w:val="0"/>
      <w:marTop w:val="0"/>
      <w:marBottom w:val="0"/>
      <w:divBdr>
        <w:top w:val="none" w:sz="0" w:space="0" w:color="auto"/>
        <w:left w:val="none" w:sz="0" w:space="0" w:color="auto"/>
        <w:bottom w:val="none" w:sz="0" w:space="0" w:color="auto"/>
        <w:right w:val="none" w:sz="0" w:space="0" w:color="auto"/>
      </w:divBdr>
    </w:div>
    <w:div w:id="1062020009">
      <w:bodyDiv w:val="1"/>
      <w:marLeft w:val="0"/>
      <w:marRight w:val="0"/>
      <w:marTop w:val="0"/>
      <w:marBottom w:val="0"/>
      <w:divBdr>
        <w:top w:val="none" w:sz="0" w:space="0" w:color="auto"/>
        <w:left w:val="none" w:sz="0" w:space="0" w:color="auto"/>
        <w:bottom w:val="none" w:sz="0" w:space="0" w:color="auto"/>
        <w:right w:val="none" w:sz="0" w:space="0" w:color="auto"/>
      </w:divBdr>
    </w:div>
    <w:div w:id="1063916885">
      <w:bodyDiv w:val="1"/>
      <w:marLeft w:val="0"/>
      <w:marRight w:val="0"/>
      <w:marTop w:val="0"/>
      <w:marBottom w:val="0"/>
      <w:divBdr>
        <w:top w:val="none" w:sz="0" w:space="0" w:color="auto"/>
        <w:left w:val="none" w:sz="0" w:space="0" w:color="auto"/>
        <w:bottom w:val="none" w:sz="0" w:space="0" w:color="auto"/>
        <w:right w:val="none" w:sz="0" w:space="0" w:color="auto"/>
      </w:divBdr>
    </w:div>
    <w:div w:id="1065027087">
      <w:bodyDiv w:val="1"/>
      <w:marLeft w:val="0"/>
      <w:marRight w:val="0"/>
      <w:marTop w:val="0"/>
      <w:marBottom w:val="0"/>
      <w:divBdr>
        <w:top w:val="none" w:sz="0" w:space="0" w:color="auto"/>
        <w:left w:val="none" w:sz="0" w:space="0" w:color="auto"/>
        <w:bottom w:val="none" w:sz="0" w:space="0" w:color="auto"/>
        <w:right w:val="none" w:sz="0" w:space="0" w:color="auto"/>
      </w:divBdr>
    </w:div>
    <w:div w:id="1065764694">
      <w:bodyDiv w:val="1"/>
      <w:marLeft w:val="0"/>
      <w:marRight w:val="0"/>
      <w:marTop w:val="0"/>
      <w:marBottom w:val="0"/>
      <w:divBdr>
        <w:top w:val="none" w:sz="0" w:space="0" w:color="auto"/>
        <w:left w:val="none" w:sz="0" w:space="0" w:color="auto"/>
        <w:bottom w:val="none" w:sz="0" w:space="0" w:color="auto"/>
        <w:right w:val="none" w:sz="0" w:space="0" w:color="auto"/>
      </w:divBdr>
    </w:div>
    <w:div w:id="1070157695">
      <w:bodyDiv w:val="1"/>
      <w:marLeft w:val="0"/>
      <w:marRight w:val="0"/>
      <w:marTop w:val="0"/>
      <w:marBottom w:val="0"/>
      <w:divBdr>
        <w:top w:val="none" w:sz="0" w:space="0" w:color="auto"/>
        <w:left w:val="none" w:sz="0" w:space="0" w:color="auto"/>
        <w:bottom w:val="none" w:sz="0" w:space="0" w:color="auto"/>
        <w:right w:val="none" w:sz="0" w:space="0" w:color="auto"/>
      </w:divBdr>
    </w:div>
    <w:div w:id="1070349130">
      <w:bodyDiv w:val="1"/>
      <w:marLeft w:val="0"/>
      <w:marRight w:val="0"/>
      <w:marTop w:val="0"/>
      <w:marBottom w:val="0"/>
      <w:divBdr>
        <w:top w:val="none" w:sz="0" w:space="0" w:color="auto"/>
        <w:left w:val="none" w:sz="0" w:space="0" w:color="auto"/>
        <w:bottom w:val="none" w:sz="0" w:space="0" w:color="auto"/>
        <w:right w:val="none" w:sz="0" w:space="0" w:color="auto"/>
      </w:divBdr>
    </w:div>
    <w:div w:id="1071658728">
      <w:bodyDiv w:val="1"/>
      <w:marLeft w:val="0"/>
      <w:marRight w:val="0"/>
      <w:marTop w:val="0"/>
      <w:marBottom w:val="0"/>
      <w:divBdr>
        <w:top w:val="none" w:sz="0" w:space="0" w:color="auto"/>
        <w:left w:val="none" w:sz="0" w:space="0" w:color="auto"/>
        <w:bottom w:val="none" w:sz="0" w:space="0" w:color="auto"/>
        <w:right w:val="none" w:sz="0" w:space="0" w:color="auto"/>
      </w:divBdr>
    </w:div>
    <w:div w:id="1073619472">
      <w:bodyDiv w:val="1"/>
      <w:marLeft w:val="0"/>
      <w:marRight w:val="0"/>
      <w:marTop w:val="0"/>
      <w:marBottom w:val="0"/>
      <w:divBdr>
        <w:top w:val="none" w:sz="0" w:space="0" w:color="auto"/>
        <w:left w:val="none" w:sz="0" w:space="0" w:color="auto"/>
        <w:bottom w:val="none" w:sz="0" w:space="0" w:color="auto"/>
        <w:right w:val="none" w:sz="0" w:space="0" w:color="auto"/>
      </w:divBdr>
    </w:div>
    <w:div w:id="1074477349">
      <w:bodyDiv w:val="1"/>
      <w:marLeft w:val="0"/>
      <w:marRight w:val="0"/>
      <w:marTop w:val="0"/>
      <w:marBottom w:val="0"/>
      <w:divBdr>
        <w:top w:val="none" w:sz="0" w:space="0" w:color="auto"/>
        <w:left w:val="none" w:sz="0" w:space="0" w:color="auto"/>
        <w:bottom w:val="none" w:sz="0" w:space="0" w:color="auto"/>
        <w:right w:val="none" w:sz="0" w:space="0" w:color="auto"/>
      </w:divBdr>
    </w:div>
    <w:div w:id="1076974470">
      <w:bodyDiv w:val="1"/>
      <w:marLeft w:val="0"/>
      <w:marRight w:val="0"/>
      <w:marTop w:val="0"/>
      <w:marBottom w:val="0"/>
      <w:divBdr>
        <w:top w:val="none" w:sz="0" w:space="0" w:color="auto"/>
        <w:left w:val="none" w:sz="0" w:space="0" w:color="auto"/>
        <w:bottom w:val="none" w:sz="0" w:space="0" w:color="auto"/>
        <w:right w:val="none" w:sz="0" w:space="0" w:color="auto"/>
      </w:divBdr>
    </w:div>
    <w:div w:id="1086997406">
      <w:bodyDiv w:val="1"/>
      <w:marLeft w:val="0"/>
      <w:marRight w:val="0"/>
      <w:marTop w:val="0"/>
      <w:marBottom w:val="0"/>
      <w:divBdr>
        <w:top w:val="none" w:sz="0" w:space="0" w:color="auto"/>
        <w:left w:val="none" w:sz="0" w:space="0" w:color="auto"/>
        <w:bottom w:val="none" w:sz="0" w:space="0" w:color="auto"/>
        <w:right w:val="none" w:sz="0" w:space="0" w:color="auto"/>
      </w:divBdr>
    </w:div>
    <w:div w:id="1087069518">
      <w:bodyDiv w:val="1"/>
      <w:marLeft w:val="0"/>
      <w:marRight w:val="0"/>
      <w:marTop w:val="0"/>
      <w:marBottom w:val="0"/>
      <w:divBdr>
        <w:top w:val="none" w:sz="0" w:space="0" w:color="auto"/>
        <w:left w:val="none" w:sz="0" w:space="0" w:color="auto"/>
        <w:bottom w:val="none" w:sz="0" w:space="0" w:color="auto"/>
        <w:right w:val="none" w:sz="0" w:space="0" w:color="auto"/>
      </w:divBdr>
    </w:div>
    <w:div w:id="1088893331">
      <w:bodyDiv w:val="1"/>
      <w:marLeft w:val="0"/>
      <w:marRight w:val="0"/>
      <w:marTop w:val="0"/>
      <w:marBottom w:val="0"/>
      <w:divBdr>
        <w:top w:val="none" w:sz="0" w:space="0" w:color="auto"/>
        <w:left w:val="none" w:sz="0" w:space="0" w:color="auto"/>
        <w:bottom w:val="none" w:sz="0" w:space="0" w:color="auto"/>
        <w:right w:val="none" w:sz="0" w:space="0" w:color="auto"/>
      </w:divBdr>
      <w:divsChild>
        <w:div w:id="200480991">
          <w:marLeft w:val="0"/>
          <w:marRight w:val="0"/>
          <w:marTop w:val="0"/>
          <w:marBottom w:val="0"/>
          <w:divBdr>
            <w:top w:val="none" w:sz="0" w:space="0" w:color="auto"/>
            <w:left w:val="none" w:sz="0" w:space="0" w:color="auto"/>
            <w:bottom w:val="none" w:sz="0" w:space="0" w:color="auto"/>
            <w:right w:val="none" w:sz="0" w:space="0" w:color="auto"/>
          </w:divBdr>
        </w:div>
      </w:divsChild>
    </w:div>
    <w:div w:id="1090465374">
      <w:bodyDiv w:val="1"/>
      <w:marLeft w:val="0"/>
      <w:marRight w:val="0"/>
      <w:marTop w:val="0"/>
      <w:marBottom w:val="0"/>
      <w:divBdr>
        <w:top w:val="none" w:sz="0" w:space="0" w:color="auto"/>
        <w:left w:val="none" w:sz="0" w:space="0" w:color="auto"/>
        <w:bottom w:val="none" w:sz="0" w:space="0" w:color="auto"/>
        <w:right w:val="none" w:sz="0" w:space="0" w:color="auto"/>
      </w:divBdr>
    </w:div>
    <w:div w:id="1093016343">
      <w:bodyDiv w:val="1"/>
      <w:marLeft w:val="0"/>
      <w:marRight w:val="0"/>
      <w:marTop w:val="0"/>
      <w:marBottom w:val="0"/>
      <w:divBdr>
        <w:top w:val="none" w:sz="0" w:space="0" w:color="auto"/>
        <w:left w:val="none" w:sz="0" w:space="0" w:color="auto"/>
        <w:bottom w:val="none" w:sz="0" w:space="0" w:color="auto"/>
        <w:right w:val="none" w:sz="0" w:space="0" w:color="auto"/>
      </w:divBdr>
    </w:div>
    <w:div w:id="1096170114">
      <w:bodyDiv w:val="1"/>
      <w:marLeft w:val="0"/>
      <w:marRight w:val="0"/>
      <w:marTop w:val="0"/>
      <w:marBottom w:val="0"/>
      <w:divBdr>
        <w:top w:val="none" w:sz="0" w:space="0" w:color="auto"/>
        <w:left w:val="none" w:sz="0" w:space="0" w:color="auto"/>
        <w:bottom w:val="none" w:sz="0" w:space="0" w:color="auto"/>
        <w:right w:val="none" w:sz="0" w:space="0" w:color="auto"/>
      </w:divBdr>
    </w:div>
    <w:div w:id="1096485057">
      <w:bodyDiv w:val="1"/>
      <w:marLeft w:val="0"/>
      <w:marRight w:val="0"/>
      <w:marTop w:val="0"/>
      <w:marBottom w:val="0"/>
      <w:divBdr>
        <w:top w:val="none" w:sz="0" w:space="0" w:color="auto"/>
        <w:left w:val="none" w:sz="0" w:space="0" w:color="auto"/>
        <w:bottom w:val="none" w:sz="0" w:space="0" w:color="auto"/>
        <w:right w:val="none" w:sz="0" w:space="0" w:color="auto"/>
      </w:divBdr>
    </w:div>
    <w:div w:id="1099108643">
      <w:bodyDiv w:val="1"/>
      <w:marLeft w:val="0"/>
      <w:marRight w:val="0"/>
      <w:marTop w:val="0"/>
      <w:marBottom w:val="0"/>
      <w:divBdr>
        <w:top w:val="none" w:sz="0" w:space="0" w:color="auto"/>
        <w:left w:val="none" w:sz="0" w:space="0" w:color="auto"/>
        <w:bottom w:val="none" w:sz="0" w:space="0" w:color="auto"/>
        <w:right w:val="none" w:sz="0" w:space="0" w:color="auto"/>
      </w:divBdr>
    </w:div>
    <w:div w:id="1101219693">
      <w:bodyDiv w:val="1"/>
      <w:marLeft w:val="0"/>
      <w:marRight w:val="0"/>
      <w:marTop w:val="0"/>
      <w:marBottom w:val="0"/>
      <w:divBdr>
        <w:top w:val="none" w:sz="0" w:space="0" w:color="auto"/>
        <w:left w:val="none" w:sz="0" w:space="0" w:color="auto"/>
        <w:bottom w:val="none" w:sz="0" w:space="0" w:color="auto"/>
        <w:right w:val="none" w:sz="0" w:space="0" w:color="auto"/>
      </w:divBdr>
    </w:div>
    <w:div w:id="1104762087">
      <w:bodyDiv w:val="1"/>
      <w:marLeft w:val="0"/>
      <w:marRight w:val="0"/>
      <w:marTop w:val="0"/>
      <w:marBottom w:val="0"/>
      <w:divBdr>
        <w:top w:val="none" w:sz="0" w:space="0" w:color="auto"/>
        <w:left w:val="none" w:sz="0" w:space="0" w:color="auto"/>
        <w:bottom w:val="none" w:sz="0" w:space="0" w:color="auto"/>
        <w:right w:val="none" w:sz="0" w:space="0" w:color="auto"/>
      </w:divBdr>
    </w:div>
    <w:div w:id="1110049535">
      <w:bodyDiv w:val="1"/>
      <w:marLeft w:val="0"/>
      <w:marRight w:val="0"/>
      <w:marTop w:val="0"/>
      <w:marBottom w:val="0"/>
      <w:divBdr>
        <w:top w:val="none" w:sz="0" w:space="0" w:color="auto"/>
        <w:left w:val="none" w:sz="0" w:space="0" w:color="auto"/>
        <w:bottom w:val="none" w:sz="0" w:space="0" w:color="auto"/>
        <w:right w:val="none" w:sz="0" w:space="0" w:color="auto"/>
      </w:divBdr>
    </w:div>
    <w:div w:id="1110664016">
      <w:bodyDiv w:val="1"/>
      <w:marLeft w:val="0"/>
      <w:marRight w:val="0"/>
      <w:marTop w:val="0"/>
      <w:marBottom w:val="0"/>
      <w:divBdr>
        <w:top w:val="none" w:sz="0" w:space="0" w:color="auto"/>
        <w:left w:val="none" w:sz="0" w:space="0" w:color="auto"/>
        <w:bottom w:val="none" w:sz="0" w:space="0" w:color="auto"/>
        <w:right w:val="none" w:sz="0" w:space="0" w:color="auto"/>
      </w:divBdr>
    </w:div>
    <w:div w:id="1115715372">
      <w:bodyDiv w:val="1"/>
      <w:marLeft w:val="0"/>
      <w:marRight w:val="0"/>
      <w:marTop w:val="0"/>
      <w:marBottom w:val="0"/>
      <w:divBdr>
        <w:top w:val="none" w:sz="0" w:space="0" w:color="auto"/>
        <w:left w:val="none" w:sz="0" w:space="0" w:color="auto"/>
        <w:bottom w:val="none" w:sz="0" w:space="0" w:color="auto"/>
        <w:right w:val="none" w:sz="0" w:space="0" w:color="auto"/>
      </w:divBdr>
    </w:div>
    <w:div w:id="1123963362">
      <w:bodyDiv w:val="1"/>
      <w:marLeft w:val="0"/>
      <w:marRight w:val="0"/>
      <w:marTop w:val="0"/>
      <w:marBottom w:val="0"/>
      <w:divBdr>
        <w:top w:val="none" w:sz="0" w:space="0" w:color="auto"/>
        <w:left w:val="none" w:sz="0" w:space="0" w:color="auto"/>
        <w:bottom w:val="none" w:sz="0" w:space="0" w:color="auto"/>
        <w:right w:val="none" w:sz="0" w:space="0" w:color="auto"/>
      </w:divBdr>
    </w:div>
    <w:div w:id="1124887486">
      <w:bodyDiv w:val="1"/>
      <w:marLeft w:val="0"/>
      <w:marRight w:val="0"/>
      <w:marTop w:val="0"/>
      <w:marBottom w:val="0"/>
      <w:divBdr>
        <w:top w:val="none" w:sz="0" w:space="0" w:color="auto"/>
        <w:left w:val="none" w:sz="0" w:space="0" w:color="auto"/>
        <w:bottom w:val="none" w:sz="0" w:space="0" w:color="auto"/>
        <w:right w:val="none" w:sz="0" w:space="0" w:color="auto"/>
      </w:divBdr>
    </w:div>
    <w:div w:id="1130712890">
      <w:bodyDiv w:val="1"/>
      <w:marLeft w:val="0"/>
      <w:marRight w:val="0"/>
      <w:marTop w:val="0"/>
      <w:marBottom w:val="0"/>
      <w:divBdr>
        <w:top w:val="none" w:sz="0" w:space="0" w:color="auto"/>
        <w:left w:val="none" w:sz="0" w:space="0" w:color="auto"/>
        <w:bottom w:val="none" w:sz="0" w:space="0" w:color="auto"/>
        <w:right w:val="none" w:sz="0" w:space="0" w:color="auto"/>
      </w:divBdr>
    </w:div>
    <w:div w:id="1130980763">
      <w:bodyDiv w:val="1"/>
      <w:marLeft w:val="0"/>
      <w:marRight w:val="0"/>
      <w:marTop w:val="0"/>
      <w:marBottom w:val="0"/>
      <w:divBdr>
        <w:top w:val="none" w:sz="0" w:space="0" w:color="auto"/>
        <w:left w:val="none" w:sz="0" w:space="0" w:color="auto"/>
        <w:bottom w:val="none" w:sz="0" w:space="0" w:color="auto"/>
        <w:right w:val="none" w:sz="0" w:space="0" w:color="auto"/>
      </w:divBdr>
    </w:div>
    <w:div w:id="1131560770">
      <w:bodyDiv w:val="1"/>
      <w:marLeft w:val="0"/>
      <w:marRight w:val="0"/>
      <w:marTop w:val="0"/>
      <w:marBottom w:val="0"/>
      <w:divBdr>
        <w:top w:val="none" w:sz="0" w:space="0" w:color="auto"/>
        <w:left w:val="none" w:sz="0" w:space="0" w:color="auto"/>
        <w:bottom w:val="none" w:sz="0" w:space="0" w:color="auto"/>
        <w:right w:val="none" w:sz="0" w:space="0" w:color="auto"/>
      </w:divBdr>
    </w:div>
    <w:div w:id="1138298083">
      <w:bodyDiv w:val="1"/>
      <w:marLeft w:val="0"/>
      <w:marRight w:val="0"/>
      <w:marTop w:val="0"/>
      <w:marBottom w:val="0"/>
      <w:divBdr>
        <w:top w:val="none" w:sz="0" w:space="0" w:color="auto"/>
        <w:left w:val="none" w:sz="0" w:space="0" w:color="auto"/>
        <w:bottom w:val="none" w:sz="0" w:space="0" w:color="auto"/>
        <w:right w:val="none" w:sz="0" w:space="0" w:color="auto"/>
      </w:divBdr>
      <w:divsChild>
        <w:div w:id="1317807639">
          <w:marLeft w:val="0"/>
          <w:marRight w:val="0"/>
          <w:marTop w:val="0"/>
          <w:marBottom w:val="0"/>
          <w:divBdr>
            <w:top w:val="none" w:sz="0" w:space="0" w:color="auto"/>
            <w:left w:val="none" w:sz="0" w:space="0" w:color="auto"/>
            <w:bottom w:val="none" w:sz="0" w:space="0" w:color="auto"/>
            <w:right w:val="none" w:sz="0" w:space="0" w:color="auto"/>
          </w:divBdr>
          <w:divsChild>
            <w:div w:id="856239529">
              <w:marLeft w:val="0"/>
              <w:marRight w:val="0"/>
              <w:marTop w:val="0"/>
              <w:marBottom w:val="0"/>
              <w:divBdr>
                <w:top w:val="none" w:sz="0" w:space="0" w:color="auto"/>
                <w:left w:val="none" w:sz="0" w:space="0" w:color="auto"/>
                <w:bottom w:val="none" w:sz="0" w:space="0" w:color="auto"/>
                <w:right w:val="none" w:sz="0" w:space="0" w:color="auto"/>
              </w:divBdr>
              <w:divsChild>
                <w:div w:id="320278627">
                  <w:marLeft w:val="0"/>
                  <w:marRight w:val="0"/>
                  <w:marTop w:val="0"/>
                  <w:marBottom w:val="0"/>
                  <w:divBdr>
                    <w:top w:val="none" w:sz="0" w:space="0" w:color="auto"/>
                    <w:left w:val="none" w:sz="0" w:space="0" w:color="auto"/>
                    <w:bottom w:val="none" w:sz="0" w:space="0" w:color="auto"/>
                    <w:right w:val="none" w:sz="0" w:space="0" w:color="auto"/>
                  </w:divBdr>
                  <w:divsChild>
                    <w:div w:id="1376931362">
                      <w:marLeft w:val="0"/>
                      <w:marRight w:val="0"/>
                      <w:marTop w:val="0"/>
                      <w:marBottom w:val="0"/>
                      <w:divBdr>
                        <w:top w:val="none" w:sz="0" w:space="0" w:color="auto"/>
                        <w:left w:val="none" w:sz="0" w:space="0" w:color="auto"/>
                        <w:bottom w:val="none" w:sz="0" w:space="0" w:color="auto"/>
                        <w:right w:val="none" w:sz="0" w:space="0" w:color="auto"/>
                      </w:divBdr>
                      <w:divsChild>
                        <w:div w:id="1922254401">
                          <w:marLeft w:val="0"/>
                          <w:marRight w:val="0"/>
                          <w:marTop w:val="0"/>
                          <w:marBottom w:val="0"/>
                          <w:divBdr>
                            <w:top w:val="none" w:sz="0" w:space="0" w:color="auto"/>
                            <w:left w:val="none" w:sz="0" w:space="0" w:color="auto"/>
                            <w:bottom w:val="none" w:sz="0" w:space="0" w:color="auto"/>
                            <w:right w:val="none" w:sz="0" w:space="0" w:color="auto"/>
                          </w:divBdr>
                          <w:divsChild>
                            <w:div w:id="998072773">
                              <w:marLeft w:val="0"/>
                              <w:marRight w:val="0"/>
                              <w:marTop w:val="0"/>
                              <w:marBottom w:val="0"/>
                              <w:divBdr>
                                <w:top w:val="none" w:sz="0" w:space="0" w:color="auto"/>
                                <w:left w:val="none" w:sz="0" w:space="0" w:color="auto"/>
                                <w:bottom w:val="none" w:sz="0" w:space="0" w:color="auto"/>
                                <w:right w:val="none" w:sz="0" w:space="0" w:color="auto"/>
                              </w:divBdr>
                              <w:divsChild>
                                <w:div w:id="300620947">
                                  <w:marLeft w:val="0"/>
                                  <w:marRight w:val="0"/>
                                  <w:marTop w:val="0"/>
                                  <w:marBottom w:val="0"/>
                                  <w:divBdr>
                                    <w:top w:val="none" w:sz="0" w:space="0" w:color="auto"/>
                                    <w:left w:val="none" w:sz="0" w:space="0" w:color="auto"/>
                                    <w:bottom w:val="none" w:sz="0" w:space="0" w:color="auto"/>
                                    <w:right w:val="none" w:sz="0" w:space="0" w:color="auto"/>
                                  </w:divBdr>
                                  <w:divsChild>
                                    <w:div w:id="1192109933">
                                      <w:marLeft w:val="0"/>
                                      <w:marRight w:val="0"/>
                                      <w:marTop w:val="0"/>
                                      <w:marBottom w:val="0"/>
                                      <w:divBdr>
                                        <w:top w:val="none" w:sz="0" w:space="0" w:color="auto"/>
                                        <w:left w:val="none" w:sz="0" w:space="0" w:color="auto"/>
                                        <w:bottom w:val="none" w:sz="0" w:space="0" w:color="auto"/>
                                        <w:right w:val="none" w:sz="0" w:space="0" w:color="auto"/>
                                      </w:divBdr>
                                      <w:divsChild>
                                        <w:div w:id="1679889004">
                                          <w:marLeft w:val="0"/>
                                          <w:marRight w:val="0"/>
                                          <w:marTop w:val="0"/>
                                          <w:marBottom w:val="0"/>
                                          <w:divBdr>
                                            <w:top w:val="none" w:sz="0" w:space="0" w:color="auto"/>
                                            <w:left w:val="none" w:sz="0" w:space="0" w:color="auto"/>
                                            <w:bottom w:val="none" w:sz="0" w:space="0" w:color="auto"/>
                                            <w:right w:val="none" w:sz="0" w:space="0" w:color="auto"/>
                                          </w:divBdr>
                                          <w:divsChild>
                                            <w:div w:id="2830165">
                                              <w:marLeft w:val="0"/>
                                              <w:marRight w:val="0"/>
                                              <w:marTop w:val="0"/>
                                              <w:marBottom w:val="0"/>
                                              <w:divBdr>
                                                <w:top w:val="none" w:sz="0" w:space="0" w:color="auto"/>
                                                <w:left w:val="none" w:sz="0" w:space="0" w:color="auto"/>
                                                <w:bottom w:val="none" w:sz="0" w:space="0" w:color="auto"/>
                                                <w:right w:val="none" w:sz="0" w:space="0" w:color="auto"/>
                                              </w:divBdr>
                                              <w:divsChild>
                                                <w:div w:id="15539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154512">
      <w:bodyDiv w:val="1"/>
      <w:marLeft w:val="0"/>
      <w:marRight w:val="0"/>
      <w:marTop w:val="0"/>
      <w:marBottom w:val="0"/>
      <w:divBdr>
        <w:top w:val="none" w:sz="0" w:space="0" w:color="auto"/>
        <w:left w:val="none" w:sz="0" w:space="0" w:color="auto"/>
        <w:bottom w:val="none" w:sz="0" w:space="0" w:color="auto"/>
        <w:right w:val="none" w:sz="0" w:space="0" w:color="auto"/>
      </w:divBdr>
    </w:div>
    <w:div w:id="1139807996">
      <w:bodyDiv w:val="1"/>
      <w:marLeft w:val="0"/>
      <w:marRight w:val="0"/>
      <w:marTop w:val="0"/>
      <w:marBottom w:val="0"/>
      <w:divBdr>
        <w:top w:val="none" w:sz="0" w:space="0" w:color="auto"/>
        <w:left w:val="none" w:sz="0" w:space="0" w:color="auto"/>
        <w:bottom w:val="none" w:sz="0" w:space="0" w:color="auto"/>
        <w:right w:val="none" w:sz="0" w:space="0" w:color="auto"/>
      </w:divBdr>
    </w:div>
    <w:div w:id="1141997477">
      <w:bodyDiv w:val="1"/>
      <w:marLeft w:val="0"/>
      <w:marRight w:val="0"/>
      <w:marTop w:val="0"/>
      <w:marBottom w:val="0"/>
      <w:divBdr>
        <w:top w:val="none" w:sz="0" w:space="0" w:color="auto"/>
        <w:left w:val="none" w:sz="0" w:space="0" w:color="auto"/>
        <w:bottom w:val="none" w:sz="0" w:space="0" w:color="auto"/>
        <w:right w:val="none" w:sz="0" w:space="0" w:color="auto"/>
      </w:divBdr>
    </w:div>
    <w:div w:id="1142233424">
      <w:bodyDiv w:val="1"/>
      <w:marLeft w:val="0"/>
      <w:marRight w:val="0"/>
      <w:marTop w:val="0"/>
      <w:marBottom w:val="0"/>
      <w:divBdr>
        <w:top w:val="none" w:sz="0" w:space="0" w:color="auto"/>
        <w:left w:val="none" w:sz="0" w:space="0" w:color="auto"/>
        <w:bottom w:val="none" w:sz="0" w:space="0" w:color="auto"/>
        <w:right w:val="none" w:sz="0" w:space="0" w:color="auto"/>
      </w:divBdr>
    </w:div>
    <w:div w:id="1150902228">
      <w:bodyDiv w:val="1"/>
      <w:marLeft w:val="0"/>
      <w:marRight w:val="0"/>
      <w:marTop w:val="0"/>
      <w:marBottom w:val="0"/>
      <w:divBdr>
        <w:top w:val="none" w:sz="0" w:space="0" w:color="auto"/>
        <w:left w:val="none" w:sz="0" w:space="0" w:color="auto"/>
        <w:bottom w:val="none" w:sz="0" w:space="0" w:color="auto"/>
        <w:right w:val="none" w:sz="0" w:space="0" w:color="auto"/>
      </w:divBdr>
    </w:div>
    <w:div w:id="1151144166">
      <w:bodyDiv w:val="1"/>
      <w:marLeft w:val="0"/>
      <w:marRight w:val="0"/>
      <w:marTop w:val="0"/>
      <w:marBottom w:val="0"/>
      <w:divBdr>
        <w:top w:val="none" w:sz="0" w:space="0" w:color="auto"/>
        <w:left w:val="none" w:sz="0" w:space="0" w:color="auto"/>
        <w:bottom w:val="none" w:sz="0" w:space="0" w:color="auto"/>
        <w:right w:val="none" w:sz="0" w:space="0" w:color="auto"/>
      </w:divBdr>
    </w:div>
    <w:div w:id="1151367107">
      <w:bodyDiv w:val="1"/>
      <w:marLeft w:val="0"/>
      <w:marRight w:val="0"/>
      <w:marTop w:val="0"/>
      <w:marBottom w:val="0"/>
      <w:divBdr>
        <w:top w:val="none" w:sz="0" w:space="0" w:color="auto"/>
        <w:left w:val="none" w:sz="0" w:space="0" w:color="auto"/>
        <w:bottom w:val="none" w:sz="0" w:space="0" w:color="auto"/>
        <w:right w:val="none" w:sz="0" w:space="0" w:color="auto"/>
      </w:divBdr>
    </w:div>
    <w:div w:id="1151484388">
      <w:bodyDiv w:val="1"/>
      <w:marLeft w:val="0"/>
      <w:marRight w:val="0"/>
      <w:marTop w:val="0"/>
      <w:marBottom w:val="0"/>
      <w:divBdr>
        <w:top w:val="none" w:sz="0" w:space="0" w:color="auto"/>
        <w:left w:val="none" w:sz="0" w:space="0" w:color="auto"/>
        <w:bottom w:val="none" w:sz="0" w:space="0" w:color="auto"/>
        <w:right w:val="none" w:sz="0" w:space="0" w:color="auto"/>
      </w:divBdr>
    </w:div>
    <w:div w:id="1152067771">
      <w:bodyDiv w:val="1"/>
      <w:marLeft w:val="0"/>
      <w:marRight w:val="0"/>
      <w:marTop w:val="0"/>
      <w:marBottom w:val="0"/>
      <w:divBdr>
        <w:top w:val="none" w:sz="0" w:space="0" w:color="auto"/>
        <w:left w:val="none" w:sz="0" w:space="0" w:color="auto"/>
        <w:bottom w:val="none" w:sz="0" w:space="0" w:color="auto"/>
        <w:right w:val="none" w:sz="0" w:space="0" w:color="auto"/>
      </w:divBdr>
    </w:div>
    <w:div w:id="1159033603">
      <w:bodyDiv w:val="1"/>
      <w:marLeft w:val="0"/>
      <w:marRight w:val="0"/>
      <w:marTop w:val="0"/>
      <w:marBottom w:val="0"/>
      <w:divBdr>
        <w:top w:val="none" w:sz="0" w:space="0" w:color="auto"/>
        <w:left w:val="none" w:sz="0" w:space="0" w:color="auto"/>
        <w:bottom w:val="none" w:sz="0" w:space="0" w:color="auto"/>
        <w:right w:val="none" w:sz="0" w:space="0" w:color="auto"/>
      </w:divBdr>
    </w:div>
    <w:div w:id="1163005135">
      <w:bodyDiv w:val="1"/>
      <w:marLeft w:val="0"/>
      <w:marRight w:val="0"/>
      <w:marTop w:val="0"/>
      <w:marBottom w:val="0"/>
      <w:divBdr>
        <w:top w:val="none" w:sz="0" w:space="0" w:color="auto"/>
        <w:left w:val="none" w:sz="0" w:space="0" w:color="auto"/>
        <w:bottom w:val="none" w:sz="0" w:space="0" w:color="auto"/>
        <w:right w:val="none" w:sz="0" w:space="0" w:color="auto"/>
      </w:divBdr>
    </w:div>
    <w:div w:id="1167597219">
      <w:bodyDiv w:val="1"/>
      <w:marLeft w:val="0"/>
      <w:marRight w:val="0"/>
      <w:marTop w:val="0"/>
      <w:marBottom w:val="0"/>
      <w:divBdr>
        <w:top w:val="none" w:sz="0" w:space="0" w:color="auto"/>
        <w:left w:val="none" w:sz="0" w:space="0" w:color="auto"/>
        <w:bottom w:val="none" w:sz="0" w:space="0" w:color="auto"/>
        <w:right w:val="none" w:sz="0" w:space="0" w:color="auto"/>
      </w:divBdr>
    </w:div>
    <w:div w:id="1168445511">
      <w:bodyDiv w:val="1"/>
      <w:marLeft w:val="0"/>
      <w:marRight w:val="0"/>
      <w:marTop w:val="0"/>
      <w:marBottom w:val="0"/>
      <w:divBdr>
        <w:top w:val="none" w:sz="0" w:space="0" w:color="auto"/>
        <w:left w:val="none" w:sz="0" w:space="0" w:color="auto"/>
        <w:bottom w:val="none" w:sz="0" w:space="0" w:color="auto"/>
        <w:right w:val="none" w:sz="0" w:space="0" w:color="auto"/>
      </w:divBdr>
    </w:div>
    <w:div w:id="1173642705">
      <w:bodyDiv w:val="1"/>
      <w:marLeft w:val="0"/>
      <w:marRight w:val="0"/>
      <w:marTop w:val="0"/>
      <w:marBottom w:val="0"/>
      <w:divBdr>
        <w:top w:val="none" w:sz="0" w:space="0" w:color="auto"/>
        <w:left w:val="none" w:sz="0" w:space="0" w:color="auto"/>
        <w:bottom w:val="none" w:sz="0" w:space="0" w:color="auto"/>
        <w:right w:val="none" w:sz="0" w:space="0" w:color="auto"/>
      </w:divBdr>
    </w:div>
    <w:div w:id="1178349609">
      <w:bodyDiv w:val="1"/>
      <w:marLeft w:val="0"/>
      <w:marRight w:val="0"/>
      <w:marTop w:val="0"/>
      <w:marBottom w:val="0"/>
      <w:divBdr>
        <w:top w:val="none" w:sz="0" w:space="0" w:color="auto"/>
        <w:left w:val="none" w:sz="0" w:space="0" w:color="auto"/>
        <w:bottom w:val="none" w:sz="0" w:space="0" w:color="auto"/>
        <w:right w:val="none" w:sz="0" w:space="0" w:color="auto"/>
      </w:divBdr>
    </w:div>
    <w:div w:id="1179005046">
      <w:bodyDiv w:val="1"/>
      <w:marLeft w:val="0"/>
      <w:marRight w:val="0"/>
      <w:marTop w:val="0"/>
      <w:marBottom w:val="0"/>
      <w:divBdr>
        <w:top w:val="none" w:sz="0" w:space="0" w:color="auto"/>
        <w:left w:val="none" w:sz="0" w:space="0" w:color="auto"/>
        <w:bottom w:val="none" w:sz="0" w:space="0" w:color="auto"/>
        <w:right w:val="none" w:sz="0" w:space="0" w:color="auto"/>
      </w:divBdr>
    </w:div>
    <w:div w:id="1180965542">
      <w:bodyDiv w:val="1"/>
      <w:marLeft w:val="0"/>
      <w:marRight w:val="0"/>
      <w:marTop w:val="0"/>
      <w:marBottom w:val="0"/>
      <w:divBdr>
        <w:top w:val="none" w:sz="0" w:space="0" w:color="auto"/>
        <w:left w:val="none" w:sz="0" w:space="0" w:color="auto"/>
        <w:bottom w:val="none" w:sz="0" w:space="0" w:color="auto"/>
        <w:right w:val="none" w:sz="0" w:space="0" w:color="auto"/>
      </w:divBdr>
    </w:div>
    <w:div w:id="1184201068">
      <w:bodyDiv w:val="1"/>
      <w:marLeft w:val="0"/>
      <w:marRight w:val="0"/>
      <w:marTop w:val="0"/>
      <w:marBottom w:val="0"/>
      <w:divBdr>
        <w:top w:val="none" w:sz="0" w:space="0" w:color="auto"/>
        <w:left w:val="none" w:sz="0" w:space="0" w:color="auto"/>
        <w:bottom w:val="none" w:sz="0" w:space="0" w:color="auto"/>
        <w:right w:val="none" w:sz="0" w:space="0" w:color="auto"/>
      </w:divBdr>
    </w:div>
    <w:div w:id="1185709272">
      <w:bodyDiv w:val="1"/>
      <w:marLeft w:val="0"/>
      <w:marRight w:val="0"/>
      <w:marTop w:val="0"/>
      <w:marBottom w:val="0"/>
      <w:divBdr>
        <w:top w:val="none" w:sz="0" w:space="0" w:color="auto"/>
        <w:left w:val="none" w:sz="0" w:space="0" w:color="auto"/>
        <w:bottom w:val="none" w:sz="0" w:space="0" w:color="auto"/>
        <w:right w:val="none" w:sz="0" w:space="0" w:color="auto"/>
      </w:divBdr>
    </w:div>
    <w:div w:id="1185945637">
      <w:bodyDiv w:val="1"/>
      <w:marLeft w:val="0"/>
      <w:marRight w:val="0"/>
      <w:marTop w:val="0"/>
      <w:marBottom w:val="0"/>
      <w:divBdr>
        <w:top w:val="none" w:sz="0" w:space="0" w:color="auto"/>
        <w:left w:val="none" w:sz="0" w:space="0" w:color="auto"/>
        <w:bottom w:val="none" w:sz="0" w:space="0" w:color="auto"/>
        <w:right w:val="none" w:sz="0" w:space="0" w:color="auto"/>
      </w:divBdr>
    </w:div>
    <w:div w:id="1187214569">
      <w:bodyDiv w:val="1"/>
      <w:marLeft w:val="0"/>
      <w:marRight w:val="0"/>
      <w:marTop w:val="0"/>
      <w:marBottom w:val="0"/>
      <w:divBdr>
        <w:top w:val="none" w:sz="0" w:space="0" w:color="auto"/>
        <w:left w:val="none" w:sz="0" w:space="0" w:color="auto"/>
        <w:bottom w:val="none" w:sz="0" w:space="0" w:color="auto"/>
        <w:right w:val="none" w:sz="0" w:space="0" w:color="auto"/>
      </w:divBdr>
    </w:div>
    <w:div w:id="1194881164">
      <w:bodyDiv w:val="1"/>
      <w:marLeft w:val="0"/>
      <w:marRight w:val="0"/>
      <w:marTop w:val="0"/>
      <w:marBottom w:val="0"/>
      <w:divBdr>
        <w:top w:val="none" w:sz="0" w:space="0" w:color="auto"/>
        <w:left w:val="none" w:sz="0" w:space="0" w:color="auto"/>
        <w:bottom w:val="none" w:sz="0" w:space="0" w:color="auto"/>
        <w:right w:val="none" w:sz="0" w:space="0" w:color="auto"/>
      </w:divBdr>
    </w:div>
    <w:div w:id="1199506645">
      <w:bodyDiv w:val="1"/>
      <w:marLeft w:val="0"/>
      <w:marRight w:val="0"/>
      <w:marTop w:val="0"/>
      <w:marBottom w:val="0"/>
      <w:divBdr>
        <w:top w:val="none" w:sz="0" w:space="0" w:color="auto"/>
        <w:left w:val="none" w:sz="0" w:space="0" w:color="auto"/>
        <w:bottom w:val="none" w:sz="0" w:space="0" w:color="auto"/>
        <w:right w:val="none" w:sz="0" w:space="0" w:color="auto"/>
      </w:divBdr>
    </w:div>
    <w:div w:id="1199508474">
      <w:bodyDiv w:val="1"/>
      <w:marLeft w:val="0"/>
      <w:marRight w:val="0"/>
      <w:marTop w:val="0"/>
      <w:marBottom w:val="0"/>
      <w:divBdr>
        <w:top w:val="none" w:sz="0" w:space="0" w:color="auto"/>
        <w:left w:val="none" w:sz="0" w:space="0" w:color="auto"/>
        <w:bottom w:val="none" w:sz="0" w:space="0" w:color="auto"/>
        <w:right w:val="none" w:sz="0" w:space="0" w:color="auto"/>
      </w:divBdr>
    </w:div>
    <w:div w:id="1200168948">
      <w:bodyDiv w:val="1"/>
      <w:marLeft w:val="0"/>
      <w:marRight w:val="0"/>
      <w:marTop w:val="0"/>
      <w:marBottom w:val="0"/>
      <w:divBdr>
        <w:top w:val="none" w:sz="0" w:space="0" w:color="auto"/>
        <w:left w:val="none" w:sz="0" w:space="0" w:color="auto"/>
        <w:bottom w:val="none" w:sz="0" w:space="0" w:color="auto"/>
        <w:right w:val="none" w:sz="0" w:space="0" w:color="auto"/>
      </w:divBdr>
    </w:div>
    <w:div w:id="1204755180">
      <w:bodyDiv w:val="1"/>
      <w:marLeft w:val="0"/>
      <w:marRight w:val="0"/>
      <w:marTop w:val="0"/>
      <w:marBottom w:val="0"/>
      <w:divBdr>
        <w:top w:val="none" w:sz="0" w:space="0" w:color="auto"/>
        <w:left w:val="none" w:sz="0" w:space="0" w:color="auto"/>
        <w:bottom w:val="none" w:sz="0" w:space="0" w:color="auto"/>
        <w:right w:val="none" w:sz="0" w:space="0" w:color="auto"/>
      </w:divBdr>
    </w:div>
    <w:div w:id="1205094612">
      <w:bodyDiv w:val="1"/>
      <w:marLeft w:val="0"/>
      <w:marRight w:val="0"/>
      <w:marTop w:val="0"/>
      <w:marBottom w:val="0"/>
      <w:divBdr>
        <w:top w:val="none" w:sz="0" w:space="0" w:color="auto"/>
        <w:left w:val="none" w:sz="0" w:space="0" w:color="auto"/>
        <w:bottom w:val="none" w:sz="0" w:space="0" w:color="auto"/>
        <w:right w:val="none" w:sz="0" w:space="0" w:color="auto"/>
      </w:divBdr>
    </w:div>
    <w:div w:id="1207134422">
      <w:bodyDiv w:val="1"/>
      <w:marLeft w:val="0"/>
      <w:marRight w:val="0"/>
      <w:marTop w:val="0"/>
      <w:marBottom w:val="0"/>
      <w:divBdr>
        <w:top w:val="none" w:sz="0" w:space="0" w:color="auto"/>
        <w:left w:val="none" w:sz="0" w:space="0" w:color="auto"/>
        <w:bottom w:val="none" w:sz="0" w:space="0" w:color="auto"/>
        <w:right w:val="none" w:sz="0" w:space="0" w:color="auto"/>
      </w:divBdr>
    </w:div>
    <w:div w:id="1207719434">
      <w:bodyDiv w:val="1"/>
      <w:marLeft w:val="0"/>
      <w:marRight w:val="0"/>
      <w:marTop w:val="0"/>
      <w:marBottom w:val="0"/>
      <w:divBdr>
        <w:top w:val="none" w:sz="0" w:space="0" w:color="auto"/>
        <w:left w:val="none" w:sz="0" w:space="0" w:color="auto"/>
        <w:bottom w:val="none" w:sz="0" w:space="0" w:color="auto"/>
        <w:right w:val="none" w:sz="0" w:space="0" w:color="auto"/>
      </w:divBdr>
    </w:div>
    <w:div w:id="1210151106">
      <w:bodyDiv w:val="1"/>
      <w:marLeft w:val="0"/>
      <w:marRight w:val="0"/>
      <w:marTop w:val="0"/>
      <w:marBottom w:val="0"/>
      <w:divBdr>
        <w:top w:val="none" w:sz="0" w:space="0" w:color="auto"/>
        <w:left w:val="none" w:sz="0" w:space="0" w:color="auto"/>
        <w:bottom w:val="none" w:sz="0" w:space="0" w:color="auto"/>
        <w:right w:val="none" w:sz="0" w:space="0" w:color="auto"/>
      </w:divBdr>
    </w:div>
    <w:div w:id="1216548976">
      <w:bodyDiv w:val="1"/>
      <w:marLeft w:val="0"/>
      <w:marRight w:val="0"/>
      <w:marTop w:val="0"/>
      <w:marBottom w:val="0"/>
      <w:divBdr>
        <w:top w:val="none" w:sz="0" w:space="0" w:color="auto"/>
        <w:left w:val="none" w:sz="0" w:space="0" w:color="auto"/>
        <w:bottom w:val="none" w:sz="0" w:space="0" w:color="auto"/>
        <w:right w:val="none" w:sz="0" w:space="0" w:color="auto"/>
      </w:divBdr>
    </w:div>
    <w:div w:id="1232812834">
      <w:bodyDiv w:val="1"/>
      <w:marLeft w:val="0"/>
      <w:marRight w:val="0"/>
      <w:marTop w:val="0"/>
      <w:marBottom w:val="0"/>
      <w:divBdr>
        <w:top w:val="none" w:sz="0" w:space="0" w:color="auto"/>
        <w:left w:val="none" w:sz="0" w:space="0" w:color="auto"/>
        <w:bottom w:val="none" w:sz="0" w:space="0" w:color="auto"/>
        <w:right w:val="none" w:sz="0" w:space="0" w:color="auto"/>
      </w:divBdr>
    </w:div>
    <w:div w:id="1232887669">
      <w:bodyDiv w:val="1"/>
      <w:marLeft w:val="0"/>
      <w:marRight w:val="0"/>
      <w:marTop w:val="0"/>
      <w:marBottom w:val="0"/>
      <w:divBdr>
        <w:top w:val="none" w:sz="0" w:space="0" w:color="auto"/>
        <w:left w:val="none" w:sz="0" w:space="0" w:color="auto"/>
        <w:bottom w:val="none" w:sz="0" w:space="0" w:color="auto"/>
        <w:right w:val="none" w:sz="0" w:space="0" w:color="auto"/>
      </w:divBdr>
    </w:div>
    <w:div w:id="1251280296">
      <w:bodyDiv w:val="1"/>
      <w:marLeft w:val="0"/>
      <w:marRight w:val="0"/>
      <w:marTop w:val="0"/>
      <w:marBottom w:val="0"/>
      <w:divBdr>
        <w:top w:val="none" w:sz="0" w:space="0" w:color="auto"/>
        <w:left w:val="none" w:sz="0" w:space="0" w:color="auto"/>
        <w:bottom w:val="none" w:sz="0" w:space="0" w:color="auto"/>
        <w:right w:val="none" w:sz="0" w:space="0" w:color="auto"/>
      </w:divBdr>
    </w:div>
    <w:div w:id="1264338871">
      <w:bodyDiv w:val="1"/>
      <w:marLeft w:val="0"/>
      <w:marRight w:val="0"/>
      <w:marTop w:val="0"/>
      <w:marBottom w:val="0"/>
      <w:divBdr>
        <w:top w:val="none" w:sz="0" w:space="0" w:color="auto"/>
        <w:left w:val="none" w:sz="0" w:space="0" w:color="auto"/>
        <w:bottom w:val="none" w:sz="0" w:space="0" w:color="auto"/>
        <w:right w:val="none" w:sz="0" w:space="0" w:color="auto"/>
      </w:divBdr>
    </w:div>
    <w:div w:id="1272981615">
      <w:bodyDiv w:val="1"/>
      <w:marLeft w:val="0"/>
      <w:marRight w:val="0"/>
      <w:marTop w:val="0"/>
      <w:marBottom w:val="0"/>
      <w:divBdr>
        <w:top w:val="none" w:sz="0" w:space="0" w:color="auto"/>
        <w:left w:val="none" w:sz="0" w:space="0" w:color="auto"/>
        <w:bottom w:val="none" w:sz="0" w:space="0" w:color="auto"/>
        <w:right w:val="none" w:sz="0" w:space="0" w:color="auto"/>
      </w:divBdr>
    </w:div>
    <w:div w:id="1274284235">
      <w:bodyDiv w:val="1"/>
      <w:marLeft w:val="0"/>
      <w:marRight w:val="0"/>
      <w:marTop w:val="0"/>
      <w:marBottom w:val="0"/>
      <w:divBdr>
        <w:top w:val="none" w:sz="0" w:space="0" w:color="auto"/>
        <w:left w:val="none" w:sz="0" w:space="0" w:color="auto"/>
        <w:bottom w:val="none" w:sz="0" w:space="0" w:color="auto"/>
        <w:right w:val="none" w:sz="0" w:space="0" w:color="auto"/>
      </w:divBdr>
    </w:div>
    <w:div w:id="1274290064">
      <w:bodyDiv w:val="1"/>
      <w:marLeft w:val="0"/>
      <w:marRight w:val="0"/>
      <w:marTop w:val="0"/>
      <w:marBottom w:val="0"/>
      <w:divBdr>
        <w:top w:val="none" w:sz="0" w:space="0" w:color="auto"/>
        <w:left w:val="none" w:sz="0" w:space="0" w:color="auto"/>
        <w:bottom w:val="none" w:sz="0" w:space="0" w:color="auto"/>
        <w:right w:val="none" w:sz="0" w:space="0" w:color="auto"/>
      </w:divBdr>
    </w:div>
    <w:div w:id="1274825530">
      <w:bodyDiv w:val="1"/>
      <w:marLeft w:val="0"/>
      <w:marRight w:val="0"/>
      <w:marTop w:val="0"/>
      <w:marBottom w:val="0"/>
      <w:divBdr>
        <w:top w:val="none" w:sz="0" w:space="0" w:color="auto"/>
        <w:left w:val="none" w:sz="0" w:space="0" w:color="auto"/>
        <w:bottom w:val="none" w:sz="0" w:space="0" w:color="auto"/>
        <w:right w:val="none" w:sz="0" w:space="0" w:color="auto"/>
      </w:divBdr>
    </w:div>
    <w:div w:id="1275210979">
      <w:bodyDiv w:val="1"/>
      <w:marLeft w:val="0"/>
      <w:marRight w:val="0"/>
      <w:marTop w:val="0"/>
      <w:marBottom w:val="0"/>
      <w:divBdr>
        <w:top w:val="none" w:sz="0" w:space="0" w:color="auto"/>
        <w:left w:val="none" w:sz="0" w:space="0" w:color="auto"/>
        <w:bottom w:val="none" w:sz="0" w:space="0" w:color="auto"/>
        <w:right w:val="none" w:sz="0" w:space="0" w:color="auto"/>
      </w:divBdr>
    </w:div>
    <w:div w:id="1276868506">
      <w:bodyDiv w:val="1"/>
      <w:marLeft w:val="0"/>
      <w:marRight w:val="0"/>
      <w:marTop w:val="0"/>
      <w:marBottom w:val="0"/>
      <w:divBdr>
        <w:top w:val="none" w:sz="0" w:space="0" w:color="auto"/>
        <w:left w:val="none" w:sz="0" w:space="0" w:color="auto"/>
        <w:bottom w:val="none" w:sz="0" w:space="0" w:color="auto"/>
        <w:right w:val="none" w:sz="0" w:space="0" w:color="auto"/>
      </w:divBdr>
    </w:div>
    <w:div w:id="1283073198">
      <w:bodyDiv w:val="1"/>
      <w:marLeft w:val="0"/>
      <w:marRight w:val="0"/>
      <w:marTop w:val="0"/>
      <w:marBottom w:val="0"/>
      <w:divBdr>
        <w:top w:val="none" w:sz="0" w:space="0" w:color="auto"/>
        <w:left w:val="none" w:sz="0" w:space="0" w:color="auto"/>
        <w:bottom w:val="none" w:sz="0" w:space="0" w:color="auto"/>
        <w:right w:val="none" w:sz="0" w:space="0" w:color="auto"/>
      </w:divBdr>
    </w:div>
    <w:div w:id="1285039399">
      <w:bodyDiv w:val="1"/>
      <w:marLeft w:val="0"/>
      <w:marRight w:val="0"/>
      <w:marTop w:val="0"/>
      <w:marBottom w:val="0"/>
      <w:divBdr>
        <w:top w:val="none" w:sz="0" w:space="0" w:color="auto"/>
        <w:left w:val="none" w:sz="0" w:space="0" w:color="auto"/>
        <w:bottom w:val="none" w:sz="0" w:space="0" w:color="auto"/>
        <w:right w:val="none" w:sz="0" w:space="0" w:color="auto"/>
      </w:divBdr>
    </w:div>
    <w:div w:id="1286081846">
      <w:bodyDiv w:val="1"/>
      <w:marLeft w:val="0"/>
      <w:marRight w:val="0"/>
      <w:marTop w:val="0"/>
      <w:marBottom w:val="0"/>
      <w:divBdr>
        <w:top w:val="none" w:sz="0" w:space="0" w:color="auto"/>
        <w:left w:val="none" w:sz="0" w:space="0" w:color="auto"/>
        <w:bottom w:val="none" w:sz="0" w:space="0" w:color="auto"/>
        <w:right w:val="none" w:sz="0" w:space="0" w:color="auto"/>
      </w:divBdr>
    </w:div>
    <w:div w:id="1288774280">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300921267">
      <w:bodyDiv w:val="1"/>
      <w:marLeft w:val="0"/>
      <w:marRight w:val="0"/>
      <w:marTop w:val="0"/>
      <w:marBottom w:val="0"/>
      <w:divBdr>
        <w:top w:val="none" w:sz="0" w:space="0" w:color="auto"/>
        <w:left w:val="none" w:sz="0" w:space="0" w:color="auto"/>
        <w:bottom w:val="none" w:sz="0" w:space="0" w:color="auto"/>
        <w:right w:val="none" w:sz="0" w:space="0" w:color="auto"/>
      </w:divBdr>
    </w:div>
    <w:div w:id="1304846981">
      <w:bodyDiv w:val="1"/>
      <w:marLeft w:val="0"/>
      <w:marRight w:val="0"/>
      <w:marTop w:val="0"/>
      <w:marBottom w:val="0"/>
      <w:divBdr>
        <w:top w:val="none" w:sz="0" w:space="0" w:color="auto"/>
        <w:left w:val="none" w:sz="0" w:space="0" w:color="auto"/>
        <w:bottom w:val="none" w:sz="0" w:space="0" w:color="auto"/>
        <w:right w:val="none" w:sz="0" w:space="0" w:color="auto"/>
      </w:divBdr>
    </w:div>
    <w:div w:id="1308050216">
      <w:bodyDiv w:val="1"/>
      <w:marLeft w:val="0"/>
      <w:marRight w:val="0"/>
      <w:marTop w:val="0"/>
      <w:marBottom w:val="0"/>
      <w:divBdr>
        <w:top w:val="none" w:sz="0" w:space="0" w:color="auto"/>
        <w:left w:val="none" w:sz="0" w:space="0" w:color="auto"/>
        <w:bottom w:val="none" w:sz="0" w:space="0" w:color="auto"/>
        <w:right w:val="none" w:sz="0" w:space="0" w:color="auto"/>
      </w:divBdr>
      <w:divsChild>
        <w:div w:id="535503388">
          <w:marLeft w:val="0"/>
          <w:marRight w:val="0"/>
          <w:marTop w:val="0"/>
          <w:marBottom w:val="0"/>
          <w:divBdr>
            <w:top w:val="none" w:sz="0" w:space="0" w:color="auto"/>
            <w:left w:val="none" w:sz="0" w:space="0" w:color="auto"/>
            <w:bottom w:val="none" w:sz="0" w:space="0" w:color="auto"/>
            <w:right w:val="none" w:sz="0" w:space="0" w:color="auto"/>
          </w:divBdr>
        </w:div>
        <w:div w:id="725955472">
          <w:marLeft w:val="0"/>
          <w:marRight w:val="0"/>
          <w:marTop w:val="0"/>
          <w:marBottom w:val="0"/>
          <w:divBdr>
            <w:top w:val="none" w:sz="0" w:space="0" w:color="auto"/>
            <w:left w:val="none" w:sz="0" w:space="0" w:color="auto"/>
            <w:bottom w:val="none" w:sz="0" w:space="0" w:color="auto"/>
            <w:right w:val="none" w:sz="0" w:space="0" w:color="auto"/>
          </w:divBdr>
        </w:div>
        <w:div w:id="948703715">
          <w:marLeft w:val="0"/>
          <w:marRight w:val="0"/>
          <w:marTop w:val="0"/>
          <w:marBottom w:val="0"/>
          <w:divBdr>
            <w:top w:val="none" w:sz="0" w:space="0" w:color="auto"/>
            <w:left w:val="none" w:sz="0" w:space="0" w:color="auto"/>
            <w:bottom w:val="none" w:sz="0" w:space="0" w:color="auto"/>
            <w:right w:val="none" w:sz="0" w:space="0" w:color="auto"/>
          </w:divBdr>
        </w:div>
      </w:divsChild>
    </w:div>
    <w:div w:id="1311209343">
      <w:bodyDiv w:val="1"/>
      <w:marLeft w:val="0"/>
      <w:marRight w:val="0"/>
      <w:marTop w:val="0"/>
      <w:marBottom w:val="0"/>
      <w:divBdr>
        <w:top w:val="none" w:sz="0" w:space="0" w:color="auto"/>
        <w:left w:val="none" w:sz="0" w:space="0" w:color="auto"/>
        <w:bottom w:val="none" w:sz="0" w:space="0" w:color="auto"/>
        <w:right w:val="none" w:sz="0" w:space="0" w:color="auto"/>
      </w:divBdr>
    </w:div>
    <w:div w:id="1311329379">
      <w:bodyDiv w:val="1"/>
      <w:marLeft w:val="0"/>
      <w:marRight w:val="0"/>
      <w:marTop w:val="0"/>
      <w:marBottom w:val="0"/>
      <w:divBdr>
        <w:top w:val="none" w:sz="0" w:space="0" w:color="auto"/>
        <w:left w:val="none" w:sz="0" w:space="0" w:color="auto"/>
        <w:bottom w:val="none" w:sz="0" w:space="0" w:color="auto"/>
        <w:right w:val="none" w:sz="0" w:space="0" w:color="auto"/>
      </w:divBdr>
    </w:div>
    <w:div w:id="1312833638">
      <w:bodyDiv w:val="1"/>
      <w:marLeft w:val="0"/>
      <w:marRight w:val="0"/>
      <w:marTop w:val="0"/>
      <w:marBottom w:val="0"/>
      <w:divBdr>
        <w:top w:val="none" w:sz="0" w:space="0" w:color="auto"/>
        <w:left w:val="none" w:sz="0" w:space="0" w:color="auto"/>
        <w:bottom w:val="none" w:sz="0" w:space="0" w:color="auto"/>
        <w:right w:val="none" w:sz="0" w:space="0" w:color="auto"/>
      </w:divBdr>
    </w:div>
    <w:div w:id="1314062880">
      <w:bodyDiv w:val="1"/>
      <w:marLeft w:val="0"/>
      <w:marRight w:val="0"/>
      <w:marTop w:val="0"/>
      <w:marBottom w:val="0"/>
      <w:divBdr>
        <w:top w:val="none" w:sz="0" w:space="0" w:color="auto"/>
        <w:left w:val="none" w:sz="0" w:space="0" w:color="auto"/>
        <w:bottom w:val="none" w:sz="0" w:space="0" w:color="auto"/>
        <w:right w:val="none" w:sz="0" w:space="0" w:color="auto"/>
      </w:divBdr>
    </w:div>
    <w:div w:id="1316496730">
      <w:bodyDiv w:val="1"/>
      <w:marLeft w:val="0"/>
      <w:marRight w:val="0"/>
      <w:marTop w:val="0"/>
      <w:marBottom w:val="0"/>
      <w:divBdr>
        <w:top w:val="none" w:sz="0" w:space="0" w:color="auto"/>
        <w:left w:val="none" w:sz="0" w:space="0" w:color="auto"/>
        <w:bottom w:val="none" w:sz="0" w:space="0" w:color="auto"/>
        <w:right w:val="none" w:sz="0" w:space="0" w:color="auto"/>
      </w:divBdr>
    </w:div>
    <w:div w:id="1319459517">
      <w:bodyDiv w:val="1"/>
      <w:marLeft w:val="0"/>
      <w:marRight w:val="0"/>
      <w:marTop w:val="0"/>
      <w:marBottom w:val="0"/>
      <w:divBdr>
        <w:top w:val="none" w:sz="0" w:space="0" w:color="auto"/>
        <w:left w:val="none" w:sz="0" w:space="0" w:color="auto"/>
        <w:bottom w:val="none" w:sz="0" w:space="0" w:color="auto"/>
        <w:right w:val="none" w:sz="0" w:space="0" w:color="auto"/>
      </w:divBdr>
    </w:div>
    <w:div w:id="1323460462">
      <w:bodyDiv w:val="1"/>
      <w:marLeft w:val="0"/>
      <w:marRight w:val="0"/>
      <w:marTop w:val="0"/>
      <w:marBottom w:val="0"/>
      <w:divBdr>
        <w:top w:val="none" w:sz="0" w:space="0" w:color="auto"/>
        <w:left w:val="none" w:sz="0" w:space="0" w:color="auto"/>
        <w:bottom w:val="none" w:sz="0" w:space="0" w:color="auto"/>
        <w:right w:val="none" w:sz="0" w:space="0" w:color="auto"/>
      </w:divBdr>
    </w:div>
    <w:div w:id="1323503941">
      <w:bodyDiv w:val="1"/>
      <w:marLeft w:val="0"/>
      <w:marRight w:val="0"/>
      <w:marTop w:val="0"/>
      <w:marBottom w:val="0"/>
      <w:divBdr>
        <w:top w:val="none" w:sz="0" w:space="0" w:color="auto"/>
        <w:left w:val="none" w:sz="0" w:space="0" w:color="auto"/>
        <w:bottom w:val="none" w:sz="0" w:space="0" w:color="auto"/>
        <w:right w:val="none" w:sz="0" w:space="0" w:color="auto"/>
      </w:divBdr>
    </w:div>
    <w:div w:id="1328559443">
      <w:bodyDiv w:val="1"/>
      <w:marLeft w:val="0"/>
      <w:marRight w:val="0"/>
      <w:marTop w:val="0"/>
      <w:marBottom w:val="0"/>
      <w:divBdr>
        <w:top w:val="none" w:sz="0" w:space="0" w:color="auto"/>
        <w:left w:val="none" w:sz="0" w:space="0" w:color="auto"/>
        <w:bottom w:val="none" w:sz="0" w:space="0" w:color="auto"/>
        <w:right w:val="none" w:sz="0" w:space="0" w:color="auto"/>
      </w:divBdr>
    </w:div>
    <w:div w:id="1335840360">
      <w:bodyDiv w:val="1"/>
      <w:marLeft w:val="0"/>
      <w:marRight w:val="0"/>
      <w:marTop w:val="0"/>
      <w:marBottom w:val="0"/>
      <w:divBdr>
        <w:top w:val="none" w:sz="0" w:space="0" w:color="auto"/>
        <w:left w:val="none" w:sz="0" w:space="0" w:color="auto"/>
        <w:bottom w:val="none" w:sz="0" w:space="0" w:color="auto"/>
        <w:right w:val="none" w:sz="0" w:space="0" w:color="auto"/>
      </w:divBdr>
    </w:div>
    <w:div w:id="1337687039">
      <w:bodyDiv w:val="1"/>
      <w:marLeft w:val="0"/>
      <w:marRight w:val="0"/>
      <w:marTop w:val="0"/>
      <w:marBottom w:val="0"/>
      <w:divBdr>
        <w:top w:val="none" w:sz="0" w:space="0" w:color="auto"/>
        <w:left w:val="none" w:sz="0" w:space="0" w:color="auto"/>
        <w:bottom w:val="none" w:sz="0" w:space="0" w:color="auto"/>
        <w:right w:val="none" w:sz="0" w:space="0" w:color="auto"/>
      </w:divBdr>
    </w:div>
    <w:div w:id="1337882073">
      <w:bodyDiv w:val="1"/>
      <w:marLeft w:val="0"/>
      <w:marRight w:val="0"/>
      <w:marTop w:val="0"/>
      <w:marBottom w:val="0"/>
      <w:divBdr>
        <w:top w:val="none" w:sz="0" w:space="0" w:color="auto"/>
        <w:left w:val="none" w:sz="0" w:space="0" w:color="auto"/>
        <w:bottom w:val="none" w:sz="0" w:space="0" w:color="auto"/>
        <w:right w:val="none" w:sz="0" w:space="0" w:color="auto"/>
      </w:divBdr>
    </w:div>
    <w:div w:id="1338192940">
      <w:bodyDiv w:val="1"/>
      <w:marLeft w:val="0"/>
      <w:marRight w:val="0"/>
      <w:marTop w:val="0"/>
      <w:marBottom w:val="0"/>
      <w:divBdr>
        <w:top w:val="none" w:sz="0" w:space="0" w:color="auto"/>
        <w:left w:val="none" w:sz="0" w:space="0" w:color="auto"/>
        <w:bottom w:val="none" w:sz="0" w:space="0" w:color="auto"/>
        <w:right w:val="none" w:sz="0" w:space="0" w:color="auto"/>
      </w:divBdr>
    </w:div>
    <w:div w:id="1340425506">
      <w:bodyDiv w:val="1"/>
      <w:marLeft w:val="0"/>
      <w:marRight w:val="0"/>
      <w:marTop w:val="0"/>
      <w:marBottom w:val="0"/>
      <w:divBdr>
        <w:top w:val="none" w:sz="0" w:space="0" w:color="auto"/>
        <w:left w:val="none" w:sz="0" w:space="0" w:color="auto"/>
        <w:bottom w:val="none" w:sz="0" w:space="0" w:color="auto"/>
        <w:right w:val="none" w:sz="0" w:space="0" w:color="auto"/>
      </w:divBdr>
    </w:div>
    <w:div w:id="1341465091">
      <w:bodyDiv w:val="1"/>
      <w:marLeft w:val="0"/>
      <w:marRight w:val="0"/>
      <w:marTop w:val="0"/>
      <w:marBottom w:val="0"/>
      <w:divBdr>
        <w:top w:val="none" w:sz="0" w:space="0" w:color="auto"/>
        <w:left w:val="none" w:sz="0" w:space="0" w:color="auto"/>
        <w:bottom w:val="none" w:sz="0" w:space="0" w:color="auto"/>
        <w:right w:val="none" w:sz="0" w:space="0" w:color="auto"/>
      </w:divBdr>
    </w:div>
    <w:div w:id="1344480519">
      <w:bodyDiv w:val="1"/>
      <w:marLeft w:val="0"/>
      <w:marRight w:val="0"/>
      <w:marTop w:val="0"/>
      <w:marBottom w:val="0"/>
      <w:divBdr>
        <w:top w:val="none" w:sz="0" w:space="0" w:color="auto"/>
        <w:left w:val="none" w:sz="0" w:space="0" w:color="auto"/>
        <w:bottom w:val="none" w:sz="0" w:space="0" w:color="auto"/>
        <w:right w:val="none" w:sz="0" w:space="0" w:color="auto"/>
      </w:divBdr>
    </w:div>
    <w:div w:id="1345667497">
      <w:bodyDiv w:val="1"/>
      <w:marLeft w:val="0"/>
      <w:marRight w:val="0"/>
      <w:marTop w:val="0"/>
      <w:marBottom w:val="0"/>
      <w:divBdr>
        <w:top w:val="none" w:sz="0" w:space="0" w:color="auto"/>
        <w:left w:val="none" w:sz="0" w:space="0" w:color="auto"/>
        <w:bottom w:val="none" w:sz="0" w:space="0" w:color="auto"/>
        <w:right w:val="none" w:sz="0" w:space="0" w:color="auto"/>
      </w:divBdr>
      <w:divsChild>
        <w:div w:id="521364857">
          <w:marLeft w:val="0"/>
          <w:marRight w:val="0"/>
          <w:marTop w:val="0"/>
          <w:marBottom w:val="0"/>
          <w:divBdr>
            <w:top w:val="none" w:sz="0" w:space="0" w:color="auto"/>
            <w:left w:val="none" w:sz="0" w:space="0" w:color="auto"/>
            <w:bottom w:val="none" w:sz="0" w:space="0" w:color="auto"/>
            <w:right w:val="none" w:sz="0" w:space="0" w:color="auto"/>
          </w:divBdr>
        </w:div>
        <w:div w:id="874927291">
          <w:marLeft w:val="0"/>
          <w:marRight w:val="0"/>
          <w:marTop w:val="0"/>
          <w:marBottom w:val="0"/>
          <w:divBdr>
            <w:top w:val="none" w:sz="0" w:space="0" w:color="auto"/>
            <w:left w:val="none" w:sz="0" w:space="0" w:color="auto"/>
            <w:bottom w:val="none" w:sz="0" w:space="0" w:color="auto"/>
            <w:right w:val="none" w:sz="0" w:space="0" w:color="auto"/>
          </w:divBdr>
        </w:div>
        <w:div w:id="932781583">
          <w:marLeft w:val="0"/>
          <w:marRight w:val="0"/>
          <w:marTop w:val="0"/>
          <w:marBottom w:val="0"/>
          <w:divBdr>
            <w:top w:val="none" w:sz="0" w:space="0" w:color="auto"/>
            <w:left w:val="none" w:sz="0" w:space="0" w:color="auto"/>
            <w:bottom w:val="none" w:sz="0" w:space="0" w:color="auto"/>
            <w:right w:val="none" w:sz="0" w:space="0" w:color="auto"/>
          </w:divBdr>
        </w:div>
        <w:div w:id="1145661509">
          <w:marLeft w:val="0"/>
          <w:marRight w:val="0"/>
          <w:marTop w:val="0"/>
          <w:marBottom w:val="0"/>
          <w:divBdr>
            <w:top w:val="none" w:sz="0" w:space="0" w:color="auto"/>
            <w:left w:val="none" w:sz="0" w:space="0" w:color="auto"/>
            <w:bottom w:val="none" w:sz="0" w:space="0" w:color="auto"/>
            <w:right w:val="none" w:sz="0" w:space="0" w:color="auto"/>
          </w:divBdr>
        </w:div>
        <w:div w:id="1299847463">
          <w:marLeft w:val="0"/>
          <w:marRight w:val="0"/>
          <w:marTop w:val="0"/>
          <w:marBottom w:val="0"/>
          <w:divBdr>
            <w:top w:val="none" w:sz="0" w:space="0" w:color="auto"/>
            <w:left w:val="none" w:sz="0" w:space="0" w:color="auto"/>
            <w:bottom w:val="none" w:sz="0" w:space="0" w:color="auto"/>
            <w:right w:val="none" w:sz="0" w:space="0" w:color="auto"/>
          </w:divBdr>
        </w:div>
        <w:div w:id="1813908830">
          <w:marLeft w:val="0"/>
          <w:marRight w:val="0"/>
          <w:marTop w:val="0"/>
          <w:marBottom w:val="0"/>
          <w:divBdr>
            <w:top w:val="none" w:sz="0" w:space="0" w:color="auto"/>
            <w:left w:val="none" w:sz="0" w:space="0" w:color="auto"/>
            <w:bottom w:val="none" w:sz="0" w:space="0" w:color="auto"/>
            <w:right w:val="none" w:sz="0" w:space="0" w:color="auto"/>
          </w:divBdr>
        </w:div>
        <w:div w:id="2041936082">
          <w:marLeft w:val="0"/>
          <w:marRight w:val="0"/>
          <w:marTop w:val="0"/>
          <w:marBottom w:val="0"/>
          <w:divBdr>
            <w:top w:val="none" w:sz="0" w:space="0" w:color="auto"/>
            <w:left w:val="none" w:sz="0" w:space="0" w:color="auto"/>
            <w:bottom w:val="none" w:sz="0" w:space="0" w:color="auto"/>
            <w:right w:val="none" w:sz="0" w:space="0" w:color="auto"/>
          </w:divBdr>
        </w:div>
      </w:divsChild>
    </w:div>
    <w:div w:id="1347829181">
      <w:bodyDiv w:val="1"/>
      <w:marLeft w:val="0"/>
      <w:marRight w:val="0"/>
      <w:marTop w:val="0"/>
      <w:marBottom w:val="0"/>
      <w:divBdr>
        <w:top w:val="none" w:sz="0" w:space="0" w:color="auto"/>
        <w:left w:val="none" w:sz="0" w:space="0" w:color="auto"/>
        <w:bottom w:val="none" w:sz="0" w:space="0" w:color="auto"/>
        <w:right w:val="none" w:sz="0" w:space="0" w:color="auto"/>
      </w:divBdr>
    </w:div>
    <w:div w:id="1350527098">
      <w:bodyDiv w:val="1"/>
      <w:marLeft w:val="0"/>
      <w:marRight w:val="0"/>
      <w:marTop w:val="0"/>
      <w:marBottom w:val="0"/>
      <w:divBdr>
        <w:top w:val="none" w:sz="0" w:space="0" w:color="auto"/>
        <w:left w:val="none" w:sz="0" w:space="0" w:color="auto"/>
        <w:bottom w:val="none" w:sz="0" w:space="0" w:color="auto"/>
        <w:right w:val="none" w:sz="0" w:space="0" w:color="auto"/>
      </w:divBdr>
    </w:div>
    <w:div w:id="1352605060">
      <w:bodyDiv w:val="1"/>
      <w:marLeft w:val="0"/>
      <w:marRight w:val="0"/>
      <w:marTop w:val="0"/>
      <w:marBottom w:val="0"/>
      <w:divBdr>
        <w:top w:val="none" w:sz="0" w:space="0" w:color="auto"/>
        <w:left w:val="none" w:sz="0" w:space="0" w:color="auto"/>
        <w:bottom w:val="none" w:sz="0" w:space="0" w:color="auto"/>
        <w:right w:val="none" w:sz="0" w:space="0" w:color="auto"/>
      </w:divBdr>
    </w:div>
    <w:div w:id="1354187729">
      <w:bodyDiv w:val="1"/>
      <w:marLeft w:val="0"/>
      <w:marRight w:val="0"/>
      <w:marTop w:val="0"/>
      <w:marBottom w:val="0"/>
      <w:divBdr>
        <w:top w:val="none" w:sz="0" w:space="0" w:color="auto"/>
        <w:left w:val="none" w:sz="0" w:space="0" w:color="auto"/>
        <w:bottom w:val="none" w:sz="0" w:space="0" w:color="auto"/>
        <w:right w:val="none" w:sz="0" w:space="0" w:color="auto"/>
      </w:divBdr>
    </w:div>
    <w:div w:id="1356344064">
      <w:bodyDiv w:val="1"/>
      <w:marLeft w:val="0"/>
      <w:marRight w:val="0"/>
      <w:marTop w:val="0"/>
      <w:marBottom w:val="0"/>
      <w:divBdr>
        <w:top w:val="none" w:sz="0" w:space="0" w:color="auto"/>
        <w:left w:val="none" w:sz="0" w:space="0" w:color="auto"/>
        <w:bottom w:val="none" w:sz="0" w:space="0" w:color="auto"/>
        <w:right w:val="none" w:sz="0" w:space="0" w:color="auto"/>
      </w:divBdr>
    </w:div>
    <w:div w:id="1360400928">
      <w:bodyDiv w:val="1"/>
      <w:marLeft w:val="0"/>
      <w:marRight w:val="0"/>
      <w:marTop w:val="0"/>
      <w:marBottom w:val="0"/>
      <w:divBdr>
        <w:top w:val="none" w:sz="0" w:space="0" w:color="auto"/>
        <w:left w:val="none" w:sz="0" w:space="0" w:color="auto"/>
        <w:bottom w:val="none" w:sz="0" w:space="0" w:color="auto"/>
        <w:right w:val="none" w:sz="0" w:space="0" w:color="auto"/>
      </w:divBdr>
    </w:div>
    <w:div w:id="1360741262">
      <w:bodyDiv w:val="1"/>
      <w:marLeft w:val="0"/>
      <w:marRight w:val="0"/>
      <w:marTop w:val="0"/>
      <w:marBottom w:val="0"/>
      <w:divBdr>
        <w:top w:val="none" w:sz="0" w:space="0" w:color="auto"/>
        <w:left w:val="none" w:sz="0" w:space="0" w:color="auto"/>
        <w:bottom w:val="none" w:sz="0" w:space="0" w:color="auto"/>
        <w:right w:val="none" w:sz="0" w:space="0" w:color="auto"/>
      </w:divBdr>
    </w:div>
    <w:div w:id="1361322229">
      <w:bodyDiv w:val="1"/>
      <w:marLeft w:val="0"/>
      <w:marRight w:val="0"/>
      <w:marTop w:val="0"/>
      <w:marBottom w:val="0"/>
      <w:divBdr>
        <w:top w:val="none" w:sz="0" w:space="0" w:color="auto"/>
        <w:left w:val="none" w:sz="0" w:space="0" w:color="auto"/>
        <w:bottom w:val="none" w:sz="0" w:space="0" w:color="auto"/>
        <w:right w:val="none" w:sz="0" w:space="0" w:color="auto"/>
      </w:divBdr>
    </w:div>
    <w:div w:id="1365717590">
      <w:bodyDiv w:val="1"/>
      <w:marLeft w:val="0"/>
      <w:marRight w:val="0"/>
      <w:marTop w:val="0"/>
      <w:marBottom w:val="0"/>
      <w:divBdr>
        <w:top w:val="none" w:sz="0" w:space="0" w:color="auto"/>
        <w:left w:val="none" w:sz="0" w:space="0" w:color="auto"/>
        <w:bottom w:val="none" w:sz="0" w:space="0" w:color="auto"/>
        <w:right w:val="none" w:sz="0" w:space="0" w:color="auto"/>
      </w:divBdr>
      <w:divsChild>
        <w:div w:id="419331143">
          <w:marLeft w:val="0"/>
          <w:marRight w:val="0"/>
          <w:marTop w:val="0"/>
          <w:marBottom w:val="0"/>
          <w:divBdr>
            <w:top w:val="none" w:sz="0" w:space="0" w:color="auto"/>
            <w:left w:val="none" w:sz="0" w:space="0" w:color="auto"/>
            <w:bottom w:val="none" w:sz="0" w:space="0" w:color="auto"/>
            <w:right w:val="none" w:sz="0" w:space="0" w:color="auto"/>
          </w:divBdr>
        </w:div>
        <w:div w:id="955596862">
          <w:marLeft w:val="0"/>
          <w:marRight w:val="0"/>
          <w:marTop w:val="0"/>
          <w:marBottom w:val="0"/>
          <w:divBdr>
            <w:top w:val="none" w:sz="0" w:space="0" w:color="auto"/>
            <w:left w:val="none" w:sz="0" w:space="0" w:color="auto"/>
            <w:bottom w:val="none" w:sz="0" w:space="0" w:color="auto"/>
            <w:right w:val="none" w:sz="0" w:space="0" w:color="auto"/>
          </w:divBdr>
        </w:div>
        <w:div w:id="1036588525">
          <w:marLeft w:val="0"/>
          <w:marRight w:val="0"/>
          <w:marTop w:val="0"/>
          <w:marBottom w:val="0"/>
          <w:divBdr>
            <w:top w:val="none" w:sz="0" w:space="0" w:color="auto"/>
            <w:left w:val="none" w:sz="0" w:space="0" w:color="auto"/>
            <w:bottom w:val="none" w:sz="0" w:space="0" w:color="auto"/>
            <w:right w:val="none" w:sz="0" w:space="0" w:color="auto"/>
          </w:divBdr>
        </w:div>
        <w:div w:id="1559513755">
          <w:marLeft w:val="0"/>
          <w:marRight w:val="0"/>
          <w:marTop w:val="0"/>
          <w:marBottom w:val="0"/>
          <w:divBdr>
            <w:top w:val="none" w:sz="0" w:space="0" w:color="auto"/>
            <w:left w:val="none" w:sz="0" w:space="0" w:color="auto"/>
            <w:bottom w:val="none" w:sz="0" w:space="0" w:color="auto"/>
            <w:right w:val="none" w:sz="0" w:space="0" w:color="auto"/>
          </w:divBdr>
        </w:div>
      </w:divsChild>
    </w:div>
    <w:div w:id="1368607332">
      <w:bodyDiv w:val="1"/>
      <w:marLeft w:val="0"/>
      <w:marRight w:val="0"/>
      <w:marTop w:val="0"/>
      <w:marBottom w:val="0"/>
      <w:divBdr>
        <w:top w:val="none" w:sz="0" w:space="0" w:color="auto"/>
        <w:left w:val="none" w:sz="0" w:space="0" w:color="auto"/>
        <w:bottom w:val="none" w:sz="0" w:space="0" w:color="auto"/>
        <w:right w:val="none" w:sz="0" w:space="0" w:color="auto"/>
      </w:divBdr>
    </w:div>
    <w:div w:id="13690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97552">
          <w:marLeft w:val="0"/>
          <w:marRight w:val="0"/>
          <w:marTop w:val="0"/>
          <w:marBottom w:val="0"/>
          <w:divBdr>
            <w:top w:val="none" w:sz="0" w:space="0" w:color="auto"/>
            <w:left w:val="none" w:sz="0" w:space="0" w:color="auto"/>
            <w:bottom w:val="none" w:sz="0" w:space="0" w:color="auto"/>
            <w:right w:val="none" w:sz="0" w:space="0" w:color="auto"/>
          </w:divBdr>
          <w:divsChild>
            <w:div w:id="1245646399">
              <w:marLeft w:val="0"/>
              <w:marRight w:val="0"/>
              <w:marTop w:val="0"/>
              <w:marBottom w:val="0"/>
              <w:divBdr>
                <w:top w:val="none" w:sz="0" w:space="0" w:color="auto"/>
                <w:left w:val="none" w:sz="0" w:space="0" w:color="auto"/>
                <w:bottom w:val="none" w:sz="0" w:space="0" w:color="auto"/>
                <w:right w:val="none" w:sz="0" w:space="0" w:color="auto"/>
              </w:divBdr>
            </w:div>
          </w:divsChild>
        </w:div>
        <w:div w:id="432670689">
          <w:marLeft w:val="0"/>
          <w:marRight w:val="0"/>
          <w:marTop w:val="0"/>
          <w:marBottom w:val="0"/>
          <w:divBdr>
            <w:top w:val="none" w:sz="0" w:space="0" w:color="auto"/>
            <w:left w:val="none" w:sz="0" w:space="0" w:color="auto"/>
            <w:bottom w:val="none" w:sz="0" w:space="0" w:color="auto"/>
            <w:right w:val="none" w:sz="0" w:space="0" w:color="auto"/>
          </w:divBdr>
        </w:div>
      </w:divsChild>
    </w:div>
    <w:div w:id="1376851842">
      <w:bodyDiv w:val="1"/>
      <w:marLeft w:val="0"/>
      <w:marRight w:val="0"/>
      <w:marTop w:val="0"/>
      <w:marBottom w:val="0"/>
      <w:divBdr>
        <w:top w:val="none" w:sz="0" w:space="0" w:color="auto"/>
        <w:left w:val="none" w:sz="0" w:space="0" w:color="auto"/>
        <w:bottom w:val="none" w:sz="0" w:space="0" w:color="auto"/>
        <w:right w:val="none" w:sz="0" w:space="0" w:color="auto"/>
      </w:divBdr>
    </w:div>
    <w:div w:id="1377851855">
      <w:bodyDiv w:val="1"/>
      <w:marLeft w:val="0"/>
      <w:marRight w:val="0"/>
      <w:marTop w:val="0"/>
      <w:marBottom w:val="0"/>
      <w:divBdr>
        <w:top w:val="none" w:sz="0" w:space="0" w:color="auto"/>
        <w:left w:val="none" w:sz="0" w:space="0" w:color="auto"/>
        <w:bottom w:val="none" w:sz="0" w:space="0" w:color="auto"/>
        <w:right w:val="none" w:sz="0" w:space="0" w:color="auto"/>
      </w:divBdr>
    </w:div>
    <w:div w:id="1383749751">
      <w:bodyDiv w:val="1"/>
      <w:marLeft w:val="0"/>
      <w:marRight w:val="0"/>
      <w:marTop w:val="0"/>
      <w:marBottom w:val="0"/>
      <w:divBdr>
        <w:top w:val="none" w:sz="0" w:space="0" w:color="auto"/>
        <w:left w:val="none" w:sz="0" w:space="0" w:color="auto"/>
        <w:bottom w:val="none" w:sz="0" w:space="0" w:color="auto"/>
        <w:right w:val="none" w:sz="0" w:space="0" w:color="auto"/>
      </w:divBdr>
    </w:div>
    <w:div w:id="1388526108">
      <w:bodyDiv w:val="1"/>
      <w:marLeft w:val="0"/>
      <w:marRight w:val="0"/>
      <w:marTop w:val="0"/>
      <w:marBottom w:val="0"/>
      <w:divBdr>
        <w:top w:val="none" w:sz="0" w:space="0" w:color="auto"/>
        <w:left w:val="none" w:sz="0" w:space="0" w:color="auto"/>
        <w:bottom w:val="none" w:sz="0" w:space="0" w:color="auto"/>
        <w:right w:val="none" w:sz="0" w:space="0" w:color="auto"/>
      </w:divBdr>
    </w:div>
    <w:div w:id="1388839591">
      <w:bodyDiv w:val="1"/>
      <w:marLeft w:val="0"/>
      <w:marRight w:val="0"/>
      <w:marTop w:val="0"/>
      <w:marBottom w:val="0"/>
      <w:divBdr>
        <w:top w:val="none" w:sz="0" w:space="0" w:color="auto"/>
        <w:left w:val="none" w:sz="0" w:space="0" w:color="auto"/>
        <w:bottom w:val="none" w:sz="0" w:space="0" w:color="auto"/>
        <w:right w:val="none" w:sz="0" w:space="0" w:color="auto"/>
      </w:divBdr>
    </w:div>
    <w:div w:id="1395157228">
      <w:bodyDiv w:val="1"/>
      <w:marLeft w:val="0"/>
      <w:marRight w:val="0"/>
      <w:marTop w:val="0"/>
      <w:marBottom w:val="0"/>
      <w:divBdr>
        <w:top w:val="none" w:sz="0" w:space="0" w:color="auto"/>
        <w:left w:val="none" w:sz="0" w:space="0" w:color="auto"/>
        <w:bottom w:val="none" w:sz="0" w:space="0" w:color="auto"/>
        <w:right w:val="none" w:sz="0" w:space="0" w:color="auto"/>
      </w:divBdr>
    </w:div>
    <w:div w:id="1397895946">
      <w:bodyDiv w:val="1"/>
      <w:marLeft w:val="0"/>
      <w:marRight w:val="0"/>
      <w:marTop w:val="0"/>
      <w:marBottom w:val="0"/>
      <w:divBdr>
        <w:top w:val="none" w:sz="0" w:space="0" w:color="auto"/>
        <w:left w:val="none" w:sz="0" w:space="0" w:color="auto"/>
        <w:bottom w:val="none" w:sz="0" w:space="0" w:color="auto"/>
        <w:right w:val="none" w:sz="0" w:space="0" w:color="auto"/>
      </w:divBdr>
    </w:div>
    <w:div w:id="1398430470">
      <w:bodyDiv w:val="1"/>
      <w:marLeft w:val="0"/>
      <w:marRight w:val="0"/>
      <w:marTop w:val="0"/>
      <w:marBottom w:val="0"/>
      <w:divBdr>
        <w:top w:val="none" w:sz="0" w:space="0" w:color="auto"/>
        <w:left w:val="none" w:sz="0" w:space="0" w:color="auto"/>
        <w:bottom w:val="none" w:sz="0" w:space="0" w:color="auto"/>
        <w:right w:val="none" w:sz="0" w:space="0" w:color="auto"/>
      </w:divBdr>
    </w:div>
    <w:div w:id="1398674420">
      <w:bodyDiv w:val="1"/>
      <w:marLeft w:val="0"/>
      <w:marRight w:val="0"/>
      <w:marTop w:val="0"/>
      <w:marBottom w:val="0"/>
      <w:divBdr>
        <w:top w:val="none" w:sz="0" w:space="0" w:color="auto"/>
        <w:left w:val="none" w:sz="0" w:space="0" w:color="auto"/>
        <w:bottom w:val="none" w:sz="0" w:space="0" w:color="auto"/>
        <w:right w:val="none" w:sz="0" w:space="0" w:color="auto"/>
      </w:divBdr>
    </w:div>
    <w:div w:id="1403991214">
      <w:bodyDiv w:val="1"/>
      <w:marLeft w:val="0"/>
      <w:marRight w:val="0"/>
      <w:marTop w:val="0"/>
      <w:marBottom w:val="0"/>
      <w:divBdr>
        <w:top w:val="none" w:sz="0" w:space="0" w:color="auto"/>
        <w:left w:val="none" w:sz="0" w:space="0" w:color="auto"/>
        <w:bottom w:val="none" w:sz="0" w:space="0" w:color="auto"/>
        <w:right w:val="none" w:sz="0" w:space="0" w:color="auto"/>
      </w:divBdr>
    </w:div>
    <w:div w:id="1405950134">
      <w:bodyDiv w:val="1"/>
      <w:marLeft w:val="0"/>
      <w:marRight w:val="0"/>
      <w:marTop w:val="0"/>
      <w:marBottom w:val="0"/>
      <w:divBdr>
        <w:top w:val="none" w:sz="0" w:space="0" w:color="auto"/>
        <w:left w:val="none" w:sz="0" w:space="0" w:color="auto"/>
        <w:bottom w:val="none" w:sz="0" w:space="0" w:color="auto"/>
        <w:right w:val="none" w:sz="0" w:space="0" w:color="auto"/>
      </w:divBdr>
    </w:div>
    <w:div w:id="1406804002">
      <w:bodyDiv w:val="1"/>
      <w:marLeft w:val="0"/>
      <w:marRight w:val="0"/>
      <w:marTop w:val="0"/>
      <w:marBottom w:val="0"/>
      <w:divBdr>
        <w:top w:val="none" w:sz="0" w:space="0" w:color="auto"/>
        <w:left w:val="none" w:sz="0" w:space="0" w:color="auto"/>
        <w:bottom w:val="none" w:sz="0" w:space="0" w:color="auto"/>
        <w:right w:val="none" w:sz="0" w:space="0" w:color="auto"/>
      </w:divBdr>
    </w:div>
    <w:div w:id="1410078038">
      <w:bodyDiv w:val="1"/>
      <w:marLeft w:val="0"/>
      <w:marRight w:val="0"/>
      <w:marTop w:val="0"/>
      <w:marBottom w:val="0"/>
      <w:divBdr>
        <w:top w:val="none" w:sz="0" w:space="0" w:color="auto"/>
        <w:left w:val="none" w:sz="0" w:space="0" w:color="auto"/>
        <w:bottom w:val="none" w:sz="0" w:space="0" w:color="auto"/>
        <w:right w:val="none" w:sz="0" w:space="0" w:color="auto"/>
      </w:divBdr>
    </w:div>
    <w:div w:id="1413504822">
      <w:bodyDiv w:val="1"/>
      <w:marLeft w:val="0"/>
      <w:marRight w:val="0"/>
      <w:marTop w:val="0"/>
      <w:marBottom w:val="0"/>
      <w:divBdr>
        <w:top w:val="none" w:sz="0" w:space="0" w:color="auto"/>
        <w:left w:val="none" w:sz="0" w:space="0" w:color="auto"/>
        <w:bottom w:val="none" w:sz="0" w:space="0" w:color="auto"/>
        <w:right w:val="none" w:sz="0" w:space="0" w:color="auto"/>
      </w:divBdr>
    </w:div>
    <w:div w:id="1416702642">
      <w:bodyDiv w:val="1"/>
      <w:marLeft w:val="0"/>
      <w:marRight w:val="0"/>
      <w:marTop w:val="0"/>
      <w:marBottom w:val="0"/>
      <w:divBdr>
        <w:top w:val="none" w:sz="0" w:space="0" w:color="auto"/>
        <w:left w:val="none" w:sz="0" w:space="0" w:color="auto"/>
        <w:bottom w:val="none" w:sz="0" w:space="0" w:color="auto"/>
        <w:right w:val="none" w:sz="0" w:space="0" w:color="auto"/>
      </w:divBdr>
    </w:div>
    <w:div w:id="1417436785">
      <w:bodyDiv w:val="1"/>
      <w:marLeft w:val="0"/>
      <w:marRight w:val="0"/>
      <w:marTop w:val="0"/>
      <w:marBottom w:val="0"/>
      <w:divBdr>
        <w:top w:val="none" w:sz="0" w:space="0" w:color="auto"/>
        <w:left w:val="none" w:sz="0" w:space="0" w:color="auto"/>
        <w:bottom w:val="none" w:sz="0" w:space="0" w:color="auto"/>
        <w:right w:val="none" w:sz="0" w:space="0" w:color="auto"/>
      </w:divBdr>
      <w:divsChild>
        <w:div w:id="947927142">
          <w:marLeft w:val="0"/>
          <w:marRight w:val="0"/>
          <w:marTop w:val="0"/>
          <w:marBottom w:val="0"/>
          <w:divBdr>
            <w:top w:val="none" w:sz="0" w:space="0" w:color="auto"/>
            <w:left w:val="none" w:sz="0" w:space="0" w:color="auto"/>
            <w:bottom w:val="none" w:sz="0" w:space="0" w:color="auto"/>
            <w:right w:val="none" w:sz="0" w:space="0" w:color="auto"/>
          </w:divBdr>
        </w:div>
        <w:div w:id="1541354321">
          <w:marLeft w:val="0"/>
          <w:marRight w:val="0"/>
          <w:marTop w:val="0"/>
          <w:marBottom w:val="0"/>
          <w:divBdr>
            <w:top w:val="none" w:sz="0" w:space="0" w:color="auto"/>
            <w:left w:val="none" w:sz="0" w:space="0" w:color="auto"/>
            <w:bottom w:val="none" w:sz="0" w:space="0" w:color="auto"/>
            <w:right w:val="none" w:sz="0" w:space="0" w:color="auto"/>
          </w:divBdr>
          <w:divsChild>
            <w:div w:id="7923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01145">
      <w:bodyDiv w:val="1"/>
      <w:marLeft w:val="0"/>
      <w:marRight w:val="0"/>
      <w:marTop w:val="0"/>
      <w:marBottom w:val="0"/>
      <w:divBdr>
        <w:top w:val="none" w:sz="0" w:space="0" w:color="auto"/>
        <w:left w:val="none" w:sz="0" w:space="0" w:color="auto"/>
        <w:bottom w:val="none" w:sz="0" w:space="0" w:color="auto"/>
        <w:right w:val="none" w:sz="0" w:space="0" w:color="auto"/>
      </w:divBdr>
    </w:div>
    <w:div w:id="1420519808">
      <w:bodyDiv w:val="1"/>
      <w:marLeft w:val="0"/>
      <w:marRight w:val="0"/>
      <w:marTop w:val="0"/>
      <w:marBottom w:val="0"/>
      <w:divBdr>
        <w:top w:val="none" w:sz="0" w:space="0" w:color="auto"/>
        <w:left w:val="none" w:sz="0" w:space="0" w:color="auto"/>
        <w:bottom w:val="none" w:sz="0" w:space="0" w:color="auto"/>
        <w:right w:val="none" w:sz="0" w:space="0" w:color="auto"/>
      </w:divBdr>
    </w:div>
    <w:div w:id="1421637814">
      <w:bodyDiv w:val="1"/>
      <w:marLeft w:val="0"/>
      <w:marRight w:val="0"/>
      <w:marTop w:val="0"/>
      <w:marBottom w:val="0"/>
      <w:divBdr>
        <w:top w:val="none" w:sz="0" w:space="0" w:color="auto"/>
        <w:left w:val="none" w:sz="0" w:space="0" w:color="auto"/>
        <w:bottom w:val="none" w:sz="0" w:space="0" w:color="auto"/>
        <w:right w:val="none" w:sz="0" w:space="0" w:color="auto"/>
      </w:divBdr>
    </w:div>
    <w:div w:id="1423573502">
      <w:bodyDiv w:val="1"/>
      <w:marLeft w:val="0"/>
      <w:marRight w:val="0"/>
      <w:marTop w:val="0"/>
      <w:marBottom w:val="0"/>
      <w:divBdr>
        <w:top w:val="none" w:sz="0" w:space="0" w:color="auto"/>
        <w:left w:val="none" w:sz="0" w:space="0" w:color="auto"/>
        <w:bottom w:val="none" w:sz="0" w:space="0" w:color="auto"/>
        <w:right w:val="none" w:sz="0" w:space="0" w:color="auto"/>
      </w:divBdr>
    </w:div>
    <w:div w:id="1425421231">
      <w:bodyDiv w:val="1"/>
      <w:marLeft w:val="0"/>
      <w:marRight w:val="0"/>
      <w:marTop w:val="0"/>
      <w:marBottom w:val="0"/>
      <w:divBdr>
        <w:top w:val="none" w:sz="0" w:space="0" w:color="auto"/>
        <w:left w:val="none" w:sz="0" w:space="0" w:color="auto"/>
        <w:bottom w:val="none" w:sz="0" w:space="0" w:color="auto"/>
        <w:right w:val="none" w:sz="0" w:space="0" w:color="auto"/>
      </w:divBdr>
    </w:div>
    <w:div w:id="1426805006">
      <w:bodyDiv w:val="1"/>
      <w:marLeft w:val="0"/>
      <w:marRight w:val="0"/>
      <w:marTop w:val="0"/>
      <w:marBottom w:val="0"/>
      <w:divBdr>
        <w:top w:val="none" w:sz="0" w:space="0" w:color="auto"/>
        <w:left w:val="none" w:sz="0" w:space="0" w:color="auto"/>
        <w:bottom w:val="none" w:sz="0" w:space="0" w:color="auto"/>
        <w:right w:val="none" w:sz="0" w:space="0" w:color="auto"/>
      </w:divBdr>
    </w:div>
    <w:div w:id="1428773036">
      <w:bodyDiv w:val="1"/>
      <w:marLeft w:val="0"/>
      <w:marRight w:val="0"/>
      <w:marTop w:val="0"/>
      <w:marBottom w:val="0"/>
      <w:divBdr>
        <w:top w:val="none" w:sz="0" w:space="0" w:color="auto"/>
        <w:left w:val="none" w:sz="0" w:space="0" w:color="auto"/>
        <w:bottom w:val="none" w:sz="0" w:space="0" w:color="auto"/>
        <w:right w:val="none" w:sz="0" w:space="0" w:color="auto"/>
      </w:divBdr>
    </w:div>
    <w:div w:id="1429883796">
      <w:bodyDiv w:val="1"/>
      <w:marLeft w:val="0"/>
      <w:marRight w:val="0"/>
      <w:marTop w:val="0"/>
      <w:marBottom w:val="0"/>
      <w:divBdr>
        <w:top w:val="none" w:sz="0" w:space="0" w:color="auto"/>
        <w:left w:val="none" w:sz="0" w:space="0" w:color="auto"/>
        <w:bottom w:val="none" w:sz="0" w:space="0" w:color="auto"/>
        <w:right w:val="none" w:sz="0" w:space="0" w:color="auto"/>
      </w:divBdr>
    </w:div>
    <w:div w:id="1432629639">
      <w:bodyDiv w:val="1"/>
      <w:marLeft w:val="0"/>
      <w:marRight w:val="0"/>
      <w:marTop w:val="0"/>
      <w:marBottom w:val="0"/>
      <w:divBdr>
        <w:top w:val="none" w:sz="0" w:space="0" w:color="auto"/>
        <w:left w:val="none" w:sz="0" w:space="0" w:color="auto"/>
        <w:bottom w:val="none" w:sz="0" w:space="0" w:color="auto"/>
        <w:right w:val="none" w:sz="0" w:space="0" w:color="auto"/>
      </w:divBdr>
    </w:div>
    <w:div w:id="1440098945">
      <w:bodyDiv w:val="1"/>
      <w:marLeft w:val="0"/>
      <w:marRight w:val="0"/>
      <w:marTop w:val="0"/>
      <w:marBottom w:val="0"/>
      <w:divBdr>
        <w:top w:val="none" w:sz="0" w:space="0" w:color="auto"/>
        <w:left w:val="none" w:sz="0" w:space="0" w:color="auto"/>
        <w:bottom w:val="none" w:sz="0" w:space="0" w:color="auto"/>
        <w:right w:val="none" w:sz="0" w:space="0" w:color="auto"/>
      </w:divBdr>
    </w:div>
    <w:div w:id="1440416156">
      <w:bodyDiv w:val="1"/>
      <w:marLeft w:val="0"/>
      <w:marRight w:val="0"/>
      <w:marTop w:val="0"/>
      <w:marBottom w:val="0"/>
      <w:divBdr>
        <w:top w:val="none" w:sz="0" w:space="0" w:color="auto"/>
        <w:left w:val="none" w:sz="0" w:space="0" w:color="auto"/>
        <w:bottom w:val="none" w:sz="0" w:space="0" w:color="auto"/>
        <w:right w:val="none" w:sz="0" w:space="0" w:color="auto"/>
      </w:divBdr>
    </w:div>
    <w:div w:id="1443915691">
      <w:bodyDiv w:val="1"/>
      <w:marLeft w:val="0"/>
      <w:marRight w:val="0"/>
      <w:marTop w:val="0"/>
      <w:marBottom w:val="0"/>
      <w:divBdr>
        <w:top w:val="none" w:sz="0" w:space="0" w:color="auto"/>
        <w:left w:val="none" w:sz="0" w:space="0" w:color="auto"/>
        <w:bottom w:val="none" w:sz="0" w:space="0" w:color="auto"/>
        <w:right w:val="none" w:sz="0" w:space="0" w:color="auto"/>
      </w:divBdr>
    </w:div>
    <w:div w:id="1445929750">
      <w:bodyDiv w:val="1"/>
      <w:marLeft w:val="0"/>
      <w:marRight w:val="0"/>
      <w:marTop w:val="0"/>
      <w:marBottom w:val="0"/>
      <w:divBdr>
        <w:top w:val="none" w:sz="0" w:space="0" w:color="auto"/>
        <w:left w:val="none" w:sz="0" w:space="0" w:color="auto"/>
        <w:bottom w:val="none" w:sz="0" w:space="0" w:color="auto"/>
        <w:right w:val="none" w:sz="0" w:space="0" w:color="auto"/>
      </w:divBdr>
    </w:div>
    <w:div w:id="1447040804">
      <w:bodyDiv w:val="1"/>
      <w:marLeft w:val="0"/>
      <w:marRight w:val="0"/>
      <w:marTop w:val="0"/>
      <w:marBottom w:val="0"/>
      <w:divBdr>
        <w:top w:val="none" w:sz="0" w:space="0" w:color="auto"/>
        <w:left w:val="none" w:sz="0" w:space="0" w:color="auto"/>
        <w:bottom w:val="none" w:sz="0" w:space="0" w:color="auto"/>
        <w:right w:val="none" w:sz="0" w:space="0" w:color="auto"/>
      </w:divBdr>
    </w:div>
    <w:div w:id="1450124633">
      <w:bodyDiv w:val="1"/>
      <w:marLeft w:val="0"/>
      <w:marRight w:val="0"/>
      <w:marTop w:val="0"/>
      <w:marBottom w:val="0"/>
      <w:divBdr>
        <w:top w:val="none" w:sz="0" w:space="0" w:color="auto"/>
        <w:left w:val="none" w:sz="0" w:space="0" w:color="auto"/>
        <w:bottom w:val="none" w:sz="0" w:space="0" w:color="auto"/>
        <w:right w:val="none" w:sz="0" w:space="0" w:color="auto"/>
      </w:divBdr>
    </w:div>
    <w:div w:id="1450471869">
      <w:bodyDiv w:val="1"/>
      <w:marLeft w:val="0"/>
      <w:marRight w:val="0"/>
      <w:marTop w:val="0"/>
      <w:marBottom w:val="0"/>
      <w:divBdr>
        <w:top w:val="none" w:sz="0" w:space="0" w:color="auto"/>
        <w:left w:val="none" w:sz="0" w:space="0" w:color="auto"/>
        <w:bottom w:val="none" w:sz="0" w:space="0" w:color="auto"/>
        <w:right w:val="none" w:sz="0" w:space="0" w:color="auto"/>
      </w:divBdr>
    </w:div>
    <w:div w:id="1450777825">
      <w:bodyDiv w:val="1"/>
      <w:marLeft w:val="0"/>
      <w:marRight w:val="0"/>
      <w:marTop w:val="0"/>
      <w:marBottom w:val="0"/>
      <w:divBdr>
        <w:top w:val="none" w:sz="0" w:space="0" w:color="auto"/>
        <w:left w:val="none" w:sz="0" w:space="0" w:color="auto"/>
        <w:bottom w:val="none" w:sz="0" w:space="0" w:color="auto"/>
        <w:right w:val="none" w:sz="0" w:space="0" w:color="auto"/>
      </w:divBdr>
    </w:div>
    <w:div w:id="1453087764">
      <w:bodyDiv w:val="1"/>
      <w:marLeft w:val="0"/>
      <w:marRight w:val="0"/>
      <w:marTop w:val="0"/>
      <w:marBottom w:val="0"/>
      <w:divBdr>
        <w:top w:val="none" w:sz="0" w:space="0" w:color="auto"/>
        <w:left w:val="none" w:sz="0" w:space="0" w:color="auto"/>
        <w:bottom w:val="none" w:sz="0" w:space="0" w:color="auto"/>
        <w:right w:val="none" w:sz="0" w:space="0" w:color="auto"/>
      </w:divBdr>
    </w:div>
    <w:div w:id="1453861867">
      <w:bodyDiv w:val="1"/>
      <w:marLeft w:val="0"/>
      <w:marRight w:val="0"/>
      <w:marTop w:val="0"/>
      <w:marBottom w:val="0"/>
      <w:divBdr>
        <w:top w:val="none" w:sz="0" w:space="0" w:color="auto"/>
        <w:left w:val="none" w:sz="0" w:space="0" w:color="auto"/>
        <w:bottom w:val="none" w:sz="0" w:space="0" w:color="auto"/>
        <w:right w:val="none" w:sz="0" w:space="0" w:color="auto"/>
      </w:divBdr>
    </w:div>
    <w:div w:id="1454447023">
      <w:bodyDiv w:val="1"/>
      <w:marLeft w:val="0"/>
      <w:marRight w:val="0"/>
      <w:marTop w:val="0"/>
      <w:marBottom w:val="0"/>
      <w:divBdr>
        <w:top w:val="none" w:sz="0" w:space="0" w:color="auto"/>
        <w:left w:val="none" w:sz="0" w:space="0" w:color="auto"/>
        <w:bottom w:val="none" w:sz="0" w:space="0" w:color="auto"/>
        <w:right w:val="none" w:sz="0" w:space="0" w:color="auto"/>
      </w:divBdr>
    </w:div>
    <w:div w:id="1455103606">
      <w:bodyDiv w:val="1"/>
      <w:marLeft w:val="0"/>
      <w:marRight w:val="0"/>
      <w:marTop w:val="0"/>
      <w:marBottom w:val="0"/>
      <w:divBdr>
        <w:top w:val="none" w:sz="0" w:space="0" w:color="auto"/>
        <w:left w:val="none" w:sz="0" w:space="0" w:color="auto"/>
        <w:bottom w:val="none" w:sz="0" w:space="0" w:color="auto"/>
        <w:right w:val="none" w:sz="0" w:space="0" w:color="auto"/>
      </w:divBdr>
    </w:div>
    <w:div w:id="1458914073">
      <w:bodyDiv w:val="1"/>
      <w:marLeft w:val="0"/>
      <w:marRight w:val="0"/>
      <w:marTop w:val="0"/>
      <w:marBottom w:val="0"/>
      <w:divBdr>
        <w:top w:val="none" w:sz="0" w:space="0" w:color="auto"/>
        <w:left w:val="none" w:sz="0" w:space="0" w:color="auto"/>
        <w:bottom w:val="none" w:sz="0" w:space="0" w:color="auto"/>
        <w:right w:val="none" w:sz="0" w:space="0" w:color="auto"/>
      </w:divBdr>
    </w:div>
    <w:div w:id="1473254495">
      <w:bodyDiv w:val="1"/>
      <w:marLeft w:val="0"/>
      <w:marRight w:val="0"/>
      <w:marTop w:val="0"/>
      <w:marBottom w:val="0"/>
      <w:divBdr>
        <w:top w:val="none" w:sz="0" w:space="0" w:color="auto"/>
        <w:left w:val="none" w:sz="0" w:space="0" w:color="auto"/>
        <w:bottom w:val="none" w:sz="0" w:space="0" w:color="auto"/>
        <w:right w:val="none" w:sz="0" w:space="0" w:color="auto"/>
      </w:divBdr>
    </w:div>
    <w:div w:id="1473867479">
      <w:bodyDiv w:val="1"/>
      <w:marLeft w:val="0"/>
      <w:marRight w:val="0"/>
      <w:marTop w:val="0"/>
      <w:marBottom w:val="0"/>
      <w:divBdr>
        <w:top w:val="none" w:sz="0" w:space="0" w:color="auto"/>
        <w:left w:val="none" w:sz="0" w:space="0" w:color="auto"/>
        <w:bottom w:val="none" w:sz="0" w:space="0" w:color="auto"/>
        <w:right w:val="none" w:sz="0" w:space="0" w:color="auto"/>
      </w:divBdr>
    </w:div>
    <w:div w:id="1474637507">
      <w:bodyDiv w:val="1"/>
      <w:marLeft w:val="0"/>
      <w:marRight w:val="0"/>
      <w:marTop w:val="0"/>
      <w:marBottom w:val="0"/>
      <w:divBdr>
        <w:top w:val="none" w:sz="0" w:space="0" w:color="auto"/>
        <w:left w:val="none" w:sz="0" w:space="0" w:color="auto"/>
        <w:bottom w:val="none" w:sz="0" w:space="0" w:color="auto"/>
        <w:right w:val="none" w:sz="0" w:space="0" w:color="auto"/>
      </w:divBdr>
    </w:div>
    <w:div w:id="1475098629">
      <w:bodyDiv w:val="1"/>
      <w:marLeft w:val="0"/>
      <w:marRight w:val="0"/>
      <w:marTop w:val="0"/>
      <w:marBottom w:val="0"/>
      <w:divBdr>
        <w:top w:val="none" w:sz="0" w:space="0" w:color="auto"/>
        <w:left w:val="none" w:sz="0" w:space="0" w:color="auto"/>
        <w:bottom w:val="none" w:sz="0" w:space="0" w:color="auto"/>
        <w:right w:val="none" w:sz="0" w:space="0" w:color="auto"/>
      </w:divBdr>
    </w:div>
    <w:div w:id="1480000297">
      <w:bodyDiv w:val="1"/>
      <w:marLeft w:val="0"/>
      <w:marRight w:val="0"/>
      <w:marTop w:val="0"/>
      <w:marBottom w:val="0"/>
      <w:divBdr>
        <w:top w:val="none" w:sz="0" w:space="0" w:color="auto"/>
        <w:left w:val="none" w:sz="0" w:space="0" w:color="auto"/>
        <w:bottom w:val="none" w:sz="0" w:space="0" w:color="auto"/>
        <w:right w:val="none" w:sz="0" w:space="0" w:color="auto"/>
      </w:divBdr>
    </w:div>
    <w:div w:id="1480607929">
      <w:bodyDiv w:val="1"/>
      <w:marLeft w:val="0"/>
      <w:marRight w:val="0"/>
      <w:marTop w:val="0"/>
      <w:marBottom w:val="0"/>
      <w:divBdr>
        <w:top w:val="none" w:sz="0" w:space="0" w:color="auto"/>
        <w:left w:val="none" w:sz="0" w:space="0" w:color="auto"/>
        <w:bottom w:val="none" w:sz="0" w:space="0" w:color="auto"/>
        <w:right w:val="none" w:sz="0" w:space="0" w:color="auto"/>
      </w:divBdr>
    </w:div>
    <w:div w:id="1483152944">
      <w:bodyDiv w:val="1"/>
      <w:marLeft w:val="0"/>
      <w:marRight w:val="0"/>
      <w:marTop w:val="0"/>
      <w:marBottom w:val="0"/>
      <w:divBdr>
        <w:top w:val="none" w:sz="0" w:space="0" w:color="auto"/>
        <w:left w:val="none" w:sz="0" w:space="0" w:color="auto"/>
        <w:bottom w:val="none" w:sz="0" w:space="0" w:color="auto"/>
        <w:right w:val="none" w:sz="0" w:space="0" w:color="auto"/>
      </w:divBdr>
    </w:div>
    <w:div w:id="1484194686">
      <w:bodyDiv w:val="1"/>
      <w:marLeft w:val="0"/>
      <w:marRight w:val="0"/>
      <w:marTop w:val="0"/>
      <w:marBottom w:val="0"/>
      <w:divBdr>
        <w:top w:val="none" w:sz="0" w:space="0" w:color="auto"/>
        <w:left w:val="none" w:sz="0" w:space="0" w:color="auto"/>
        <w:bottom w:val="none" w:sz="0" w:space="0" w:color="auto"/>
        <w:right w:val="none" w:sz="0" w:space="0" w:color="auto"/>
      </w:divBdr>
    </w:div>
    <w:div w:id="1490251835">
      <w:bodyDiv w:val="1"/>
      <w:marLeft w:val="0"/>
      <w:marRight w:val="0"/>
      <w:marTop w:val="0"/>
      <w:marBottom w:val="0"/>
      <w:divBdr>
        <w:top w:val="none" w:sz="0" w:space="0" w:color="auto"/>
        <w:left w:val="none" w:sz="0" w:space="0" w:color="auto"/>
        <w:bottom w:val="none" w:sz="0" w:space="0" w:color="auto"/>
        <w:right w:val="none" w:sz="0" w:space="0" w:color="auto"/>
      </w:divBdr>
    </w:div>
    <w:div w:id="1494881078">
      <w:bodyDiv w:val="1"/>
      <w:marLeft w:val="0"/>
      <w:marRight w:val="0"/>
      <w:marTop w:val="0"/>
      <w:marBottom w:val="0"/>
      <w:divBdr>
        <w:top w:val="none" w:sz="0" w:space="0" w:color="auto"/>
        <w:left w:val="none" w:sz="0" w:space="0" w:color="auto"/>
        <w:bottom w:val="none" w:sz="0" w:space="0" w:color="auto"/>
        <w:right w:val="none" w:sz="0" w:space="0" w:color="auto"/>
      </w:divBdr>
      <w:divsChild>
        <w:div w:id="598686197">
          <w:marLeft w:val="0"/>
          <w:marRight w:val="0"/>
          <w:marTop w:val="0"/>
          <w:marBottom w:val="0"/>
          <w:divBdr>
            <w:top w:val="none" w:sz="0" w:space="0" w:color="auto"/>
            <w:left w:val="none" w:sz="0" w:space="0" w:color="auto"/>
            <w:bottom w:val="none" w:sz="0" w:space="0" w:color="auto"/>
            <w:right w:val="none" w:sz="0" w:space="0" w:color="auto"/>
          </w:divBdr>
        </w:div>
        <w:div w:id="1256012179">
          <w:marLeft w:val="0"/>
          <w:marRight w:val="0"/>
          <w:marTop w:val="0"/>
          <w:marBottom w:val="0"/>
          <w:divBdr>
            <w:top w:val="none" w:sz="0" w:space="0" w:color="auto"/>
            <w:left w:val="none" w:sz="0" w:space="0" w:color="auto"/>
            <w:bottom w:val="none" w:sz="0" w:space="0" w:color="auto"/>
            <w:right w:val="none" w:sz="0" w:space="0" w:color="auto"/>
          </w:divBdr>
        </w:div>
        <w:div w:id="1558663091">
          <w:marLeft w:val="0"/>
          <w:marRight w:val="0"/>
          <w:marTop w:val="0"/>
          <w:marBottom w:val="0"/>
          <w:divBdr>
            <w:top w:val="none" w:sz="0" w:space="0" w:color="auto"/>
            <w:left w:val="none" w:sz="0" w:space="0" w:color="auto"/>
            <w:bottom w:val="none" w:sz="0" w:space="0" w:color="auto"/>
            <w:right w:val="none" w:sz="0" w:space="0" w:color="auto"/>
          </w:divBdr>
        </w:div>
        <w:div w:id="1833401938">
          <w:marLeft w:val="0"/>
          <w:marRight w:val="0"/>
          <w:marTop w:val="0"/>
          <w:marBottom w:val="0"/>
          <w:divBdr>
            <w:top w:val="none" w:sz="0" w:space="0" w:color="auto"/>
            <w:left w:val="none" w:sz="0" w:space="0" w:color="auto"/>
            <w:bottom w:val="none" w:sz="0" w:space="0" w:color="auto"/>
            <w:right w:val="none" w:sz="0" w:space="0" w:color="auto"/>
          </w:divBdr>
        </w:div>
        <w:div w:id="2130313459">
          <w:marLeft w:val="0"/>
          <w:marRight w:val="0"/>
          <w:marTop w:val="0"/>
          <w:marBottom w:val="0"/>
          <w:divBdr>
            <w:top w:val="none" w:sz="0" w:space="0" w:color="auto"/>
            <w:left w:val="none" w:sz="0" w:space="0" w:color="auto"/>
            <w:bottom w:val="none" w:sz="0" w:space="0" w:color="auto"/>
            <w:right w:val="none" w:sz="0" w:space="0" w:color="auto"/>
          </w:divBdr>
        </w:div>
      </w:divsChild>
    </w:div>
    <w:div w:id="1499729615">
      <w:bodyDiv w:val="1"/>
      <w:marLeft w:val="0"/>
      <w:marRight w:val="0"/>
      <w:marTop w:val="0"/>
      <w:marBottom w:val="0"/>
      <w:divBdr>
        <w:top w:val="none" w:sz="0" w:space="0" w:color="auto"/>
        <w:left w:val="none" w:sz="0" w:space="0" w:color="auto"/>
        <w:bottom w:val="none" w:sz="0" w:space="0" w:color="auto"/>
        <w:right w:val="none" w:sz="0" w:space="0" w:color="auto"/>
      </w:divBdr>
    </w:div>
    <w:div w:id="1501890965">
      <w:bodyDiv w:val="1"/>
      <w:marLeft w:val="0"/>
      <w:marRight w:val="0"/>
      <w:marTop w:val="0"/>
      <w:marBottom w:val="0"/>
      <w:divBdr>
        <w:top w:val="none" w:sz="0" w:space="0" w:color="auto"/>
        <w:left w:val="none" w:sz="0" w:space="0" w:color="auto"/>
        <w:bottom w:val="none" w:sz="0" w:space="0" w:color="auto"/>
        <w:right w:val="none" w:sz="0" w:space="0" w:color="auto"/>
      </w:divBdr>
    </w:div>
    <w:div w:id="1503933363">
      <w:bodyDiv w:val="1"/>
      <w:marLeft w:val="0"/>
      <w:marRight w:val="0"/>
      <w:marTop w:val="0"/>
      <w:marBottom w:val="0"/>
      <w:divBdr>
        <w:top w:val="none" w:sz="0" w:space="0" w:color="auto"/>
        <w:left w:val="none" w:sz="0" w:space="0" w:color="auto"/>
        <w:bottom w:val="none" w:sz="0" w:space="0" w:color="auto"/>
        <w:right w:val="none" w:sz="0" w:space="0" w:color="auto"/>
      </w:divBdr>
    </w:div>
    <w:div w:id="1505780915">
      <w:bodyDiv w:val="1"/>
      <w:marLeft w:val="0"/>
      <w:marRight w:val="0"/>
      <w:marTop w:val="0"/>
      <w:marBottom w:val="0"/>
      <w:divBdr>
        <w:top w:val="none" w:sz="0" w:space="0" w:color="auto"/>
        <w:left w:val="none" w:sz="0" w:space="0" w:color="auto"/>
        <w:bottom w:val="none" w:sz="0" w:space="0" w:color="auto"/>
        <w:right w:val="none" w:sz="0" w:space="0" w:color="auto"/>
      </w:divBdr>
    </w:div>
    <w:div w:id="1507091407">
      <w:bodyDiv w:val="1"/>
      <w:marLeft w:val="0"/>
      <w:marRight w:val="0"/>
      <w:marTop w:val="0"/>
      <w:marBottom w:val="0"/>
      <w:divBdr>
        <w:top w:val="none" w:sz="0" w:space="0" w:color="auto"/>
        <w:left w:val="none" w:sz="0" w:space="0" w:color="auto"/>
        <w:bottom w:val="none" w:sz="0" w:space="0" w:color="auto"/>
        <w:right w:val="none" w:sz="0" w:space="0" w:color="auto"/>
      </w:divBdr>
    </w:div>
    <w:div w:id="1512374938">
      <w:bodyDiv w:val="1"/>
      <w:marLeft w:val="0"/>
      <w:marRight w:val="0"/>
      <w:marTop w:val="0"/>
      <w:marBottom w:val="0"/>
      <w:divBdr>
        <w:top w:val="none" w:sz="0" w:space="0" w:color="auto"/>
        <w:left w:val="none" w:sz="0" w:space="0" w:color="auto"/>
        <w:bottom w:val="none" w:sz="0" w:space="0" w:color="auto"/>
        <w:right w:val="none" w:sz="0" w:space="0" w:color="auto"/>
      </w:divBdr>
    </w:div>
    <w:div w:id="1517890487">
      <w:bodyDiv w:val="1"/>
      <w:marLeft w:val="0"/>
      <w:marRight w:val="0"/>
      <w:marTop w:val="0"/>
      <w:marBottom w:val="0"/>
      <w:divBdr>
        <w:top w:val="none" w:sz="0" w:space="0" w:color="auto"/>
        <w:left w:val="none" w:sz="0" w:space="0" w:color="auto"/>
        <w:bottom w:val="none" w:sz="0" w:space="0" w:color="auto"/>
        <w:right w:val="none" w:sz="0" w:space="0" w:color="auto"/>
      </w:divBdr>
    </w:div>
    <w:div w:id="1521047364">
      <w:bodyDiv w:val="1"/>
      <w:marLeft w:val="0"/>
      <w:marRight w:val="0"/>
      <w:marTop w:val="0"/>
      <w:marBottom w:val="0"/>
      <w:divBdr>
        <w:top w:val="none" w:sz="0" w:space="0" w:color="auto"/>
        <w:left w:val="none" w:sz="0" w:space="0" w:color="auto"/>
        <w:bottom w:val="none" w:sz="0" w:space="0" w:color="auto"/>
        <w:right w:val="none" w:sz="0" w:space="0" w:color="auto"/>
      </w:divBdr>
    </w:div>
    <w:div w:id="1525317297">
      <w:bodyDiv w:val="1"/>
      <w:marLeft w:val="0"/>
      <w:marRight w:val="0"/>
      <w:marTop w:val="0"/>
      <w:marBottom w:val="0"/>
      <w:divBdr>
        <w:top w:val="none" w:sz="0" w:space="0" w:color="auto"/>
        <w:left w:val="none" w:sz="0" w:space="0" w:color="auto"/>
        <w:bottom w:val="none" w:sz="0" w:space="0" w:color="auto"/>
        <w:right w:val="none" w:sz="0" w:space="0" w:color="auto"/>
      </w:divBdr>
    </w:div>
    <w:div w:id="1528644594">
      <w:bodyDiv w:val="1"/>
      <w:marLeft w:val="0"/>
      <w:marRight w:val="0"/>
      <w:marTop w:val="0"/>
      <w:marBottom w:val="0"/>
      <w:divBdr>
        <w:top w:val="none" w:sz="0" w:space="0" w:color="auto"/>
        <w:left w:val="none" w:sz="0" w:space="0" w:color="auto"/>
        <w:bottom w:val="none" w:sz="0" w:space="0" w:color="auto"/>
        <w:right w:val="none" w:sz="0" w:space="0" w:color="auto"/>
      </w:divBdr>
    </w:div>
    <w:div w:id="1529638353">
      <w:bodyDiv w:val="1"/>
      <w:marLeft w:val="0"/>
      <w:marRight w:val="0"/>
      <w:marTop w:val="0"/>
      <w:marBottom w:val="0"/>
      <w:divBdr>
        <w:top w:val="none" w:sz="0" w:space="0" w:color="auto"/>
        <w:left w:val="none" w:sz="0" w:space="0" w:color="auto"/>
        <w:bottom w:val="none" w:sz="0" w:space="0" w:color="auto"/>
        <w:right w:val="none" w:sz="0" w:space="0" w:color="auto"/>
      </w:divBdr>
    </w:div>
    <w:div w:id="1530996470">
      <w:bodyDiv w:val="1"/>
      <w:marLeft w:val="0"/>
      <w:marRight w:val="0"/>
      <w:marTop w:val="0"/>
      <w:marBottom w:val="0"/>
      <w:divBdr>
        <w:top w:val="none" w:sz="0" w:space="0" w:color="auto"/>
        <w:left w:val="none" w:sz="0" w:space="0" w:color="auto"/>
        <w:bottom w:val="none" w:sz="0" w:space="0" w:color="auto"/>
        <w:right w:val="none" w:sz="0" w:space="0" w:color="auto"/>
      </w:divBdr>
    </w:div>
    <w:div w:id="1531647929">
      <w:bodyDiv w:val="1"/>
      <w:marLeft w:val="0"/>
      <w:marRight w:val="0"/>
      <w:marTop w:val="0"/>
      <w:marBottom w:val="0"/>
      <w:divBdr>
        <w:top w:val="none" w:sz="0" w:space="0" w:color="auto"/>
        <w:left w:val="none" w:sz="0" w:space="0" w:color="auto"/>
        <w:bottom w:val="none" w:sz="0" w:space="0" w:color="auto"/>
        <w:right w:val="none" w:sz="0" w:space="0" w:color="auto"/>
      </w:divBdr>
    </w:div>
    <w:div w:id="1536498384">
      <w:bodyDiv w:val="1"/>
      <w:marLeft w:val="0"/>
      <w:marRight w:val="0"/>
      <w:marTop w:val="0"/>
      <w:marBottom w:val="0"/>
      <w:divBdr>
        <w:top w:val="none" w:sz="0" w:space="0" w:color="auto"/>
        <w:left w:val="none" w:sz="0" w:space="0" w:color="auto"/>
        <w:bottom w:val="none" w:sz="0" w:space="0" w:color="auto"/>
        <w:right w:val="none" w:sz="0" w:space="0" w:color="auto"/>
      </w:divBdr>
    </w:div>
    <w:div w:id="1537229472">
      <w:bodyDiv w:val="1"/>
      <w:marLeft w:val="0"/>
      <w:marRight w:val="0"/>
      <w:marTop w:val="0"/>
      <w:marBottom w:val="0"/>
      <w:divBdr>
        <w:top w:val="none" w:sz="0" w:space="0" w:color="auto"/>
        <w:left w:val="none" w:sz="0" w:space="0" w:color="auto"/>
        <w:bottom w:val="none" w:sz="0" w:space="0" w:color="auto"/>
        <w:right w:val="none" w:sz="0" w:space="0" w:color="auto"/>
      </w:divBdr>
    </w:div>
    <w:div w:id="1537347843">
      <w:bodyDiv w:val="1"/>
      <w:marLeft w:val="0"/>
      <w:marRight w:val="0"/>
      <w:marTop w:val="0"/>
      <w:marBottom w:val="0"/>
      <w:divBdr>
        <w:top w:val="none" w:sz="0" w:space="0" w:color="auto"/>
        <w:left w:val="none" w:sz="0" w:space="0" w:color="auto"/>
        <w:bottom w:val="none" w:sz="0" w:space="0" w:color="auto"/>
        <w:right w:val="none" w:sz="0" w:space="0" w:color="auto"/>
      </w:divBdr>
    </w:div>
    <w:div w:id="1538935135">
      <w:bodyDiv w:val="1"/>
      <w:marLeft w:val="0"/>
      <w:marRight w:val="0"/>
      <w:marTop w:val="0"/>
      <w:marBottom w:val="0"/>
      <w:divBdr>
        <w:top w:val="none" w:sz="0" w:space="0" w:color="auto"/>
        <w:left w:val="none" w:sz="0" w:space="0" w:color="auto"/>
        <w:bottom w:val="none" w:sz="0" w:space="0" w:color="auto"/>
        <w:right w:val="none" w:sz="0" w:space="0" w:color="auto"/>
      </w:divBdr>
    </w:div>
    <w:div w:id="1539586947">
      <w:bodyDiv w:val="1"/>
      <w:marLeft w:val="0"/>
      <w:marRight w:val="0"/>
      <w:marTop w:val="0"/>
      <w:marBottom w:val="0"/>
      <w:divBdr>
        <w:top w:val="none" w:sz="0" w:space="0" w:color="auto"/>
        <w:left w:val="none" w:sz="0" w:space="0" w:color="auto"/>
        <w:bottom w:val="none" w:sz="0" w:space="0" w:color="auto"/>
        <w:right w:val="none" w:sz="0" w:space="0" w:color="auto"/>
      </w:divBdr>
    </w:div>
    <w:div w:id="1540555751">
      <w:bodyDiv w:val="1"/>
      <w:marLeft w:val="0"/>
      <w:marRight w:val="0"/>
      <w:marTop w:val="0"/>
      <w:marBottom w:val="0"/>
      <w:divBdr>
        <w:top w:val="none" w:sz="0" w:space="0" w:color="auto"/>
        <w:left w:val="none" w:sz="0" w:space="0" w:color="auto"/>
        <w:bottom w:val="none" w:sz="0" w:space="0" w:color="auto"/>
        <w:right w:val="none" w:sz="0" w:space="0" w:color="auto"/>
      </w:divBdr>
    </w:div>
    <w:div w:id="1542934055">
      <w:bodyDiv w:val="1"/>
      <w:marLeft w:val="0"/>
      <w:marRight w:val="0"/>
      <w:marTop w:val="0"/>
      <w:marBottom w:val="0"/>
      <w:divBdr>
        <w:top w:val="none" w:sz="0" w:space="0" w:color="auto"/>
        <w:left w:val="none" w:sz="0" w:space="0" w:color="auto"/>
        <w:bottom w:val="none" w:sz="0" w:space="0" w:color="auto"/>
        <w:right w:val="none" w:sz="0" w:space="0" w:color="auto"/>
      </w:divBdr>
    </w:div>
    <w:div w:id="1544826950">
      <w:bodyDiv w:val="1"/>
      <w:marLeft w:val="0"/>
      <w:marRight w:val="0"/>
      <w:marTop w:val="0"/>
      <w:marBottom w:val="0"/>
      <w:divBdr>
        <w:top w:val="none" w:sz="0" w:space="0" w:color="auto"/>
        <w:left w:val="none" w:sz="0" w:space="0" w:color="auto"/>
        <w:bottom w:val="none" w:sz="0" w:space="0" w:color="auto"/>
        <w:right w:val="none" w:sz="0" w:space="0" w:color="auto"/>
      </w:divBdr>
    </w:div>
    <w:div w:id="1546984678">
      <w:bodyDiv w:val="1"/>
      <w:marLeft w:val="0"/>
      <w:marRight w:val="0"/>
      <w:marTop w:val="0"/>
      <w:marBottom w:val="0"/>
      <w:divBdr>
        <w:top w:val="none" w:sz="0" w:space="0" w:color="auto"/>
        <w:left w:val="none" w:sz="0" w:space="0" w:color="auto"/>
        <w:bottom w:val="none" w:sz="0" w:space="0" w:color="auto"/>
        <w:right w:val="none" w:sz="0" w:space="0" w:color="auto"/>
      </w:divBdr>
    </w:div>
    <w:div w:id="1548252274">
      <w:bodyDiv w:val="1"/>
      <w:marLeft w:val="0"/>
      <w:marRight w:val="0"/>
      <w:marTop w:val="0"/>
      <w:marBottom w:val="0"/>
      <w:divBdr>
        <w:top w:val="none" w:sz="0" w:space="0" w:color="auto"/>
        <w:left w:val="none" w:sz="0" w:space="0" w:color="auto"/>
        <w:bottom w:val="none" w:sz="0" w:space="0" w:color="auto"/>
        <w:right w:val="none" w:sz="0" w:space="0" w:color="auto"/>
      </w:divBdr>
    </w:div>
    <w:div w:id="1548563188">
      <w:bodyDiv w:val="1"/>
      <w:marLeft w:val="0"/>
      <w:marRight w:val="0"/>
      <w:marTop w:val="0"/>
      <w:marBottom w:val="0"/>
      <w:divBdr>
        <w:top w:val="none" w:sz="0" w:space="0" w:color="auto"/>
        <w:left w:val="none" w:sz="0" w:space="0" w:color="auto"/>
        <w:bottom w:val="none" w:sz="0" w:space="0" w:color="auto"/>
        <w:right w:val="none" w:sz="0" w:space="0" w:color="auto"/>
      </w:divBdr>
    </w:div>
    <w:div w:id="1550995957">
      <w:bodyDiv w:val="1"/>
      <w:marLeft w:val="0"/>
      <w:marRight w:val="0"/>
      <w:marTop w:val="0"/>
      <w:marBottom w:val="0"/>
      <w:divBdr>
        <w:top w:val="none" w:sz="0" w:space="0" w:color="auto"/>
        <w:left w:val="none" w:sz="0" w:space="0" w:color="auto"/>
        <w:bottom w:val="none" w:sz="0" w:space="0" w:color="auto"/>
        <w:right w:val="none" w:sz="0" w:space="0" w:color="auto"/>
      </w:divBdr>
    </w:div>
    <w:div w:id="1551110637">
      <w:bodyDiv w:val="1"/>
      <w:marLeft w:val="0"/>
      <w:marRight w:val="0"/>
      <w:marTop w:val="0"/>
      <w:marBottom w:val="0"/>
      <w:divBdr>
        <w:top w:val="none" w:sz="0" w:space="0" w:color="auto"/>
        <w:left w:val="none" w:sz="0" w:space="0" w:color="auto"/>
        <w:bottom w:val="none" w:sz="0" w:space="0" w:color="auto"/>
        <w:right w:val="none" w:sz="0" w:space="0" w:color="auto"/>
      </w:divBdr>
    </w:div>
    <w:div w:id="1553153849">
      <w:bodyDiv w:val="1"/>
      <w:marLeft w:val="0"/>
      <w:marRight w:val="0"/>
      <w:marTop w:val="0"/>
      <w:marBottom w:val="0"/>
      <w:divBdr>
        <w:top w:val="none" w:sz="0" w:space="0" w:color="auto"/>
        <w:left w:val="none" w:sz="0" w:space="0" w:color="auto"/>
        <w:bottom w:val="none" w:sz="0" w:space="0" w:color="auto"/>
        <w:right w:val="none" w:sz="0" w:space="0" w:color="auto"/>
      </w:divBdr>
    </w:div>
    <w:div w:id="1554653535">
      <w:bodyDiv w:val="1"/>
      <w:marLeft w:val="0"/>
      <w:marRight w:val="0"/>
      <w:marTop w:val="0"/>
      <w:marBottom w:val="0"/>
      <w:divBdr>
        <w:top w:val="none" w:sz="0" w:space="0" w:color="auto"/>
        <w:left w:val="none" w:sz="0" w:space="0" w:color="auto"/>
        <w:bottom w:val="none" w:sz="0" w:space="0" w:color="auto"/>
        <w:right w:val="none" w:sz="0" w:space="0" w:color="auto"/>
      </w:divBdr>
    </w:div>
    <w:div w:id="1560364288">
      <w:bodyDiv w:val="1"/>
      <w:marLeft w:val="0"/>
      <w:marRight w:val="0"/>
      <w:marTop w:val="0"/>
      <w:marBottom w:val="0"/>
      <w:divBdr>
        <w:top w:val="none" w:sz="0" w:space="0" w:color="auto"/>
        <w:left w:val="none" w:sz="0" w:space="0" w:color="auto"/>
        <w:bottom w:val="none" w:sz="0" w:space="0" w:color="auto"/>
        <w:right w:val="none" w:sz="0" w:space="0" w:color="auto"/>
      </w:divBdr>
    </w:div>
    <w:div w:id="1560434817">
      <w:bodyDiv w:val="1"/>
      <w:marLeft w:val="0"/>
      <w:marRight w:val="0"/>
      <w:marTop w:val="0"/>
      <w:marBottom w:val="0"/>
      <w:divBdr>
        <w:top w:val="none" w:sz="0" w:space="0" w:color="auto"/>
        <w:left w:val="none" w:sz="0" w:space="0" w:color="auto"/>
        <w:bottom w:val="none" w:sz="0" w:space="0" w:color="auto"/>
        <w:right w:val="none" w:sz="0" w:space="0" w:color="auto"/>
      </w:divBdr>
    </w:div>
    <w:div w:id="1564566209">
      <w:bodyDiv w:val="1"/>
      <w:marLeft w:val="0"/>
      <w:marRight w:val="0"/>
      <w:marTop w:val="0"/>
      <w:marBottom w:val="0"/>
      <w:divBdr>
        <w:top w:val="none" w:sz="0" w:space="0" w:color="auto"/>
        <w:left w:val="none" w:sz="0" w:space="0" w:color="auto"/>
        <w:bottom w:val="none" w:sz="0" w:space="0" w:color="auto"/>
        <w:right w:val="none" w:sz="0" w:space="0" w:color="auto"/>
      </w:divBdr>
    </w:div>
    <w:div w:id="1566137180">
      <w:bodyDiv w:val="1"/>
      <w:marLeft w:val="0"/>
      <w:marRight w:val="0"/>
      <w:marTop w:val="0"/>
      <w:marBottom w:val="0"/>
      <w:divBdr>
        <w:top w:val="none" w:sz="0" w:space="0" w:color="auto"/>
        <w:left w:val="none" w:sz="0" w:space="0" w:color="auto"/>
        <w:bottom w:val="none" w:sz="0" w:space="0" w:color="auto"/>
        <w:right w:val="none" w:sz="0" w:space="0" w:color="auto"/>
      </w:divBdr>
    </w:div>
    <w:div w:id="1566799831">
      <w:bodyDiv w:val="1"/>
      <w:marLeft w:val="0"/>
      <w:marRight w:val="0"/>
      <w:marTop w:val="0"/>
      <w:marBottom w:val="0"/>
      <w:divBdr>
        <w:top w:val="none" w:sz="0" w:space="0" w:color="auto"/>
        <w:left w:val="none" w:sz="0" w:space="0" w:color="auto"/>
        <w:bottom w:val="none" w:sz="0" w:space="0" w:color="auto"/>
        <w:right w:val="none" w:sz="0" w:space="0" w:color="auto"/>
      </w:divBdr>
    </w:div>
    <w:div w:id="1569421375">
      <w:bodyDiv w:val="1"/>
      <w:marLeft w:val="0"/>
      <w:marRight w:val="0"/>
      <w:marTop w:val="0"/>
      <w:marBottom w:val="0"/>
      <w:divBdr>
        <w:top w:val="none" w:sz="0" w:space="0" w:color="auto"/>
        <w:left w:val="none" w:sz="0" w:space="0" w:color="auto"/>
        <w:bottom w:val="none" w:sz="0" w:space="0" w:color="auto"/>
        <w:right w:val="none" w:sz="0" w:space="0" w:color="auto"/>
      </w:divBdr>
    </w:div>
    <w:div w:id="1572348886">
      <w:bodyDiv w:val="1"/>
      <w:marLeft w:val="0"/>
      <w:marRight w:val="0"/>
      <w:marTop w:val="0"/>
      <w:marBottom w:val="0"/>
      <w:divBdr>
        <w:top w:val="none" w:sz="0" w:space="0" w:color="auto"/>
        <w:left w:val="none" w:sz="0" w:space="0" w:color="auto"/>
        <w:bottom w:val="none" w:sz="0" w:space="0" w:color="auto"/>
        <w:right w:val="none" w:sz="0" w:space="0" w:color="auto"/>
      </w:divBdr>
    </w:div>
    <w:div w:id="1575121863">
      <w:bodyDiv w:val="1"/>
      <w:marLeft w:val="0"/>
      <w:marRight w:val="0"/>
      <w:marTop w:val="0"/>
      <w:marBottom w:val="0"/>
      <w:divBdr>
        <w:top w:val="none" w:sz="0" w:space="0" w:color="auto"/>
        <w:left w:val="none" w:sz="0" w:space="0" w:color="auto"/>
        <w:bottom w:val="none" w:sz="0" w:space="0" w:color="auto"/>
        <w:right w:val="none" w:sz="0" w:space="0" w:color="auto"/>
      </w:divBdr>
    </w:div>
    <w:div w:id="1579173054">
      <w:bodyDiv w:val="1"/>
      <w:marLeft w:val="0"/>
      <w:marRight w:val="0"/>
      <w:marTop w:val="0"/>
      <w:marBottom w:val="0"/>
      <w:divBdr>
        <w:top w:val="none" w:sz="0" w:space="0" w:color="auto"/>
        <w:left w:val="none" w:sz="0" w:space="0" w:color="auto"/>
        <w:bottom w:val="none" w:sz="0" w:space="0" w:color="auto"/>
        <w:right w:val="none" w:sz="0" w:space="0" w:color="auto"/>
      </w:divBdr>
    </w:div>
    <w:div w:id="1581209699">
      <w:bodyDiv w:val="1"/>
      <w:marLeft w:val="0"/>
      <w:marRight w:val="0"/>
      <w:marTop w:val="0"/>
      <w:marBottom w:val="0"/>
      <w:divBdr>
        <w:top w:val="none" w:sz="0" w:space="0" w:color="auto"/>
        <w:left w:val="none" w:sz="0" w:space="0" w:color="auto"/>
        <w:bottom w:val="none" w:sz="0" w:space="0" w:color="auto"/>
        <w:right w:val="none" w:sz="0" w:space="0" w:color="auto"/>
      </w:divBdr>
    </w:div>
    <w:div w:id="1583178447">
      <w:bodyDiv w:val="1"/>
      <w:marLeft w:val="0"/>
      <w:marRight w:val="0"/>
      <w:marTop w:val="0"/>
      <w:marBottom w:val="0"/>
      <w:divBdr>
        <w:top w:val="none" w:sz="0" w:space="0" w:color="auto"/>
        <w:left w:val="none" w:sz="0" w:space="0" w:color="auto"/>
        <w:bottom w:val="none" w:sz="0" w:space="0" w:color="auto"/>
        <w:right w:val="none" w:sz="0" w:space="0" w:color="auto"/>
      </w:divBdr>
    </w:div>
    <w:div w:id="1587030595">
      <w:bodyDiv w:val="1"/>
      <w:marLeft w:val="0"/>
      <w:marRight w:val="0"/>
      <w:marTop w:val="0"/>
      <w:marBottom w:val="0"/>
      <w:divBdr>
        <w:top w:val="none" w:sz="0" w:space="0" w:color="auto"/>
        <w:left w:val="none" w:sz="0" w:space="0" w:color="auto"/>
        <w:bottom w:val="none" w:sz="0" w:space="0" w:color="auto"/>
        <w:right w:val="none" w:sz="0" w:space="0" w:color="auto"/>
      </w:divBdr>
    </w:div>
    <w:div w:id="1587108329">
      <w:bodyDiv w:val="1"/>
      <w:marLeft w:val="0"/>
      <w:marRight w:val="0"/>
      <w:marTop w:val="0"/>
      <w:marBottom w:val="0"/>
      <w:divBdr>
        <w:top w:val="none" w:sz="0" w:space="0" w:color="auto"/>
        <w:left w:val="none" w:sz="0" w:space="0" w:color="auto"/>
        <w:bottom w:val="none" w:sz="0" w:space="0" w:color="auto"/>
        <w:right w:val="none" w:sz="0" w:space="0" w:color="auto"/>
      </w:divBdr>
      <w:divsChild>
        <w:div w:id="206182653">
          <w:marLeft w:val="0"/>
          <w:marRight w:val="0"/>
          <w:marTop w:val="0"/>
          <w:marBottom w:val="0"/>
          <w:divBdr>
            <w:top w:val="none" w:sz="0" w:space="0" w:color="auto"/>
            <w:left w:val="none" w:sz="0" w:space="0" w:color="auto"/>
            <w:bottom w:val="none" w:sz="0" w:space="0" w:color="auto"/>
            <w:right w:val="none" w:sz="0" w:space="0" w:color="auto"/>
          </w:divBdr>
        </w:div>
        <w:div w:id="242380553">
          <w:marLeft w:val="0"/>
          <w:marRight w:val="0"/>
          <w:marTop w:val="0"/>
          <w:marBottom w:val="0"/>
          <w:divBdr>
            <w:top w:val="none" w:sz="0" w:space="0" w:color="auto"/>
            <w:left w:val="none" w:sz="0" w:space="0" w:color="auto"/>
            <w:bottom w:val="none" w:sz="0" w:space="0" w:color="auto"/>
            <w:right w:val="none" w:sz="0" w:space="0" w:color="auto"/>
          </w:divBdr>
        </w:div>
        <w:div w:id="345405022">
          <w:marLeft w:val="0"/>
          <w:marRight w:val="0"/>
          <w:marTop w:val="0"/>
          <w:marBottom w:val="0"/>
          <w:divBdr>
            <w:top w:val="none" w:sz="0" w:space="0" w:color="auto"/>
            <w:left w:val="none" w:sz="0" w:space="0" w:color="auto"/>
            <w:bottom w:val="none" w:sz="0" w:space="0" w:color="auto"/>
            <w:right w:val="none" w:sz="0" w:space="0" w:color="auto"/>
          </w:divBdr>
        </w:div>
        <w:div w:id="529538507">
          <w:marLeft w:val="0"/>
          <w:marRight w:val="0"/>
          <w:marTop w:val="0"/>
          <w:marBottom w:val="0"/>
          <w:divBdr>
            <w:top w:val="none" w:sz="0" w:space="0" w:color="auto"/>
            <w:left w:val="none" w:sz="0" w:space="0" w:color="auto"/>
            <w:bottom w:val="none" w:sz="0" w:space="0" w:color="auto"/>
            <w:right w:val="none" w:sz="0" w:space="0" w:color="auto"/>
          </w:divBdr>
        </w:div>
        <w:div w:id="1071076485">
          <w:marLeft w:val="0"/>
          <w:marRight w:val="0"/>
          <w:marTop w:val="0"/>
          <w:marBottom w:val="0"/>
          <w:divBdr>
            <w:top w:val="none" w:sz="0" w:space="0" w:color="auto"/>
            <w:left w:val="none" w:sz="0" w:space="0" w:color="auto"/>
            <w:bottom w:val="none" w:sz="0" w:space="0" w:color="auto"/>
            <w:right w:val="none" w:sz="0" w:space="0" w:color="auto"/>
          </w:divBdr>
        </w:div>
      </w:divsChild>
    </w:div>
    <w:div w:id="1589117188">
      <w:bodyDiv w:val="1"/>
      <w:marLeft w:val="0"/>
      <w:marRight w:val="0"/>
      <w:marTop w:val="0"/>
      <w:marBottom w:val="0"/>
      <w:divBdr>
        <w:top w:val="none" w:sz="0" w:space="0" w:color="auto"/>
        <w:left w:val="none" w:sz="0" w:space="0" w:color="auto"/>
        <w:bottom w:val="none" w:sz="0" w:space="0" w:color="auto"/>
        <w:right w:val="none" w:sz="0" w:space="0" w:color="auto"/>
      </w:divBdr>
    </w:div>
    <w:div w:id="1590459577">
      <w:bodyDiv w:val="1"/>
      <w:marLeft w:val="0"/>
      <w:marRight w:val="0"/>
      <w:marTop w:val="0"/>
      <w:marBottom w:val="0"/>
      <w:divBdr>
        <w:top w:val="none" w:sz="0" w:space="0" w:color="auto"/>
        <w:left w:val="none" w:sz="0" w:space="0" w:color="auto"/>
        <w:bottom w:val="none" w:sz="0" w:space="0" w:color="auto"/>
        <w:right w:val="none" w:sz="0" w:space="0" w:color="auto"/>
      </w:divBdr>
    </w:div>
    <w:div w:id="1590969022">
      <w:bodyDiv w:val="1"/>
      <w:marLeft w:val="0"/>
      <w:marRight w:val="0"/>
      <w:marTop w:val="0"/>
      <w:marBottom w:val="0"/>
      <w:divBdr>
        <w:top w:val="none" w:sz="0" w:space="0" w:color="auto"/>
        <w:left w:val="none" w:sz="0" w:space="0" w:color="auto"/>
        <w:bottom w:val="none" w:sz="0" w:space="0" w:color="auto"/>
        <w:right w:val="none" w:sz="0" w:space="0" w:color="auto"/>
      </w:divBdr>
    </w:div>
    <w:div w:id="1600525489">
      <w:bodyDiv w:val="1"/>
      <w:marLeft w:val="0"/>
      <w:marRight w:val="0"/>
      <w:marTop w:val="0"/>
      <w:marBottom w:val="0"/>
      <w:divBdr>
        <w:top w:val="none" w:sz="0" w:space="0" w:color="auto"/>
        <w:left w:val="none" w:sz="0" w:space="0" w:color="auto"/>
        <w:bottom w:val="none" w:sz="0" w:space="0" w:color="auto"/>
        <w:right w:val="none" w:sz="0" w:space="0" w:color="auto"/>
      </w:divBdr>
    </w:div>
    <w:div w:id="1601142734">
      <w:bodyDiv w:val="1"/>
      <w:marLeft w:val="0"/>
      <w:marRight w:val="0"/>
      <w:marTop w:val="0"/>
      <w:marBottom w:val="0"/>
      <w:divBdr>
        <w:top w:val="none" w:sz="0" w:space="0" w:color="auto"/>
        <w:left w:val="none" w:sz="0" w:space="0" w:color="auto"/>
        <w:bottom w:val="none" w:sz="0" w:space="0" w:color="auto"/>
        <w:right w:val="none" w:sz="0" w:space="0" w:color="auto"/>
      </w:divBdr>
    </w:div>
    <w:div w:id="1601719700">
      <w:bodyDiv w:val="1"/>
      <w:marLeft w:val="0"/>
      <w:marRight w:val="0"/>
      <w:marTop w:val="0"/>
      <w:marBottom w:val="0"/>
      <w:divBdr>
        <w:top w:val="none" w:sz="0" w:space="0" w:color="auto"/>
        <w:left w:val="none" w:sz="0" w:space="0" w:color="auto"/>
        <w:bottom w:val="none" w:sz="0" w:space="0" w:color="auto"/>
        <w:right w:val="none" w:sz="0" w:space="0" w:color="auto"/>
      </w:divBdr>
    </w:div>
    <w:div w:id="1602644645">
      <w:bodyDiv w:val="1"/>
      <w:marLeft w:val="0"/>
      <w:marRight w:val="0"/>
      <w:marTop w:val="0"/>
      <w:marBottom w:val="0"/>
      <w:divBdr>
        <w:top w:val="none" w:sz="0" w:space="0" w:color="auto"/>
        <w:left w:val="none" w:sz="0" w:space="0" w:color="auto"/>
        <w:bottom w:val="none" w:sz="0" w:space="0" w:color="auto"/>
        <w:right w:val="none" w:sz="0" w:space="0" w:color="auto"/>
      </w:divBdr>
    </w:div>
    <w:div w:id="1603954981">
      <w:bodyDiv w:val="1"/>
      <w:marLeft w:val="0"/>
      <w:marRight w:val="0"/>
      <w:marTop w:val="0"/>
      <w:marBottom w:val="0"/>
      <w:divBdr>
        <w:top w:val="none" w:sz="0" w:space="0" w:color="auto"/>
        <w:left w:val="none" w:sz="0" w:space="0" w:color="auto"/>
        <w:bottom w:val="none" w:sz="0" w:space="0" w:color="auto"/>
        <w:right w:val="none" w:sz="0" w:space="0" w:color="auto"/>
      </w:divBdr>
    </w:div>
    <w:div w:id="1611472437">
      <w:bodyDiv w:val="1"/>
      <w:marLeft w:val="0"/>
      <w:marRight w:val="0"/>
      <w:marTop w:val="0"/>
      <w:marBottom w:val="0"/>
      <w:divBdr>
        <w:top w:val="none" w:sz="0" w:space="0" w:color="auto"/>
        <w:left w:val="none" w:sz="0" w:space="0" w:color="auto"/>
        <w:bottom w:val="none" w:sz="0" w:space="0" w:color="auto"/>
        <w:right w:val="none" w:sz="0" w:space="0" w:color="auto"/>
      </w:divBdr>
    </w:div>
    <w:div w:id="1611661794">
      <w:bodyDiv w:val="1"/>
      <w:marLeft w:val="0"/>
      <w:marRight w:val="0"/>
      <w:marTop w:val="0"/>
      <w:marBottom w:val="0"/>
      <w:divBdr>
        <w:top w:val="none" w:sz="0" w:space="0" w:color="auto"/>
        <w:left w:val="none" w:sz="0" w:space="0" w:color="auto"/>
        <w:bottom w:val="none" w:sz="0" w:space="0" w:color="auto"/>
        <w:right w:val="none" w:sz="0" w:space="0" w:color="auto"/>
      </w:divBdr>
    </w:div>
    <w:div w:id="1613631002">
      <w:bodyDiv w:val="1"/>
      <w:marLeft w:val="0"/>
      <w:marRight w:val="0"/>
      <w:marTop w:val="0"/>
      <w:marBottom w:val="0"/>
      <w:divBdr>
        <w:top w:val="none" w:sz="0" w:space="0" w:color="auto"/>
        <w:left w:val="none" w:sz="0" w:space="0" w:color="auto"/>
        <w:bottom w:val="none" w:sz="0" w:space="0" w:color="auto"/>
        <w:right w:val="none" w:sz="0" w:space="0" w:color="auto"/>
      </w:divBdr>
    </w:div>
    <w:div w:id="1615744406">
      <w:bodyDiv w:val="1"/>
      <w:marLeft w:val="0"/>
      <w:marRight w:val="0"/>
      <w:marTop w:val="0"/>
      <w:marBottom w:val="0"/>
      <w:divBdr>
        <w:top w:val="none" w:sz="0" w:space="0" w:color="auto"/>
        <w:left w:val="none" w:sz="0" w:space="0" w:color="auto"/>
        <w:bottom w:val="none" w:sz="0" w:space="0" w:color="auto"/>
        <w:right w:val="none" w:sz="0" w:space="0" w:color="auto"/>
      </w:divBdr>
    </w:div>
    <w:div w:id="1618373023">
      <w:bodyDiv w:val="1"/>
      <w:marLeft w:val="0"/>
      <w:marRight w:val="0"/>
      <w:marTop w:val="0"/>
      <w:marBottom w:val="0"/>
      <w:divBdr>
        <w:top w:val="none" w:sz="0" w:space="0" w:color="auto"/>
        <w:left w:val="none" w:sz="0" w:space="0" w:color="auto"/>
        <w:bottom w:val="none" w:sz="0" w:space="0" w:color="auto"/>
        <w:right w:val="none" w:sz="0" w:space="0" w:color="auto"/>
      </w:divBdr>
    </w:div>
    <w:div w:id="1622110781">
      <w:bodyDiv w:val="1"/>
      <w:marLeft w:val="0"/>
      <w:marRight w:val="0"/>
      <w:marTop w:val="0"/>
      <w:marBottom w:val="0"/>
      <w:divBdr>
        <w:top w:val="none" w:sz="0" w:space="0" w:color="auto"/>
        <w:left w:val="none" w:sz="0" w:space="0" w:color="auto"/>
        <w:bottom w:val="none" w:sz="0" w:space="0" w:color="auto"/>
        <w:right w:val="none" w:sz="0" w:space="0" w:color="auto"/>
      </w:divBdr>
    </w:div>
    <w:div w:id="1627855211">
      <w:bodyDiv w:val="1"/>
      <w:marLeft w:val="0"/>
      <w:marRight w:val="0"/>
      <w:marTop w:val="0"/>
      <w:marBottom w:val="0"/>
      <w:divBdr>
        <w:top w:val="none" w:sz="0" w:space="0" w:color="auto"/>
        <w:left w:val="none" w:sz="0" w:space="0" w:color="auto"/>
        <w:bottom w:val="none" w:sz="0" w:space="0" w:color="auto"/>
        <w:right w:val="none" w:sz="0" w:space="0" w:color="auto"/>
      </w:divBdr>
    </w:div>
    <w:div w:id="1628048358">
      <w:bodyDiv w:val="1"/>
      <w:marLeft w:val="0"/>
      <w:marRight w:val="0"/>
      <w:marTop w:val="0"/>
      <w:marBottom w:val="0"/>
      <w:divBdr>
        <w:top w:val="none" w:sz="0" w:space="0" w:color="auto"/>
        <w:left w:val="none" w:sz="0" w:space="0" w:color="auto"/>
        <w:bottom w:val="none" w:sz="0" w:space="0" w:color="auto"/>
        <w:right w:val="none" w:sz="0" w:space="0" w:color="auto"/>
      </w:divBdr>
    </w:div>
    <w:div w:id="1628773668">
      <w:bodyDiv w:val="1"/>
      <w:marLeft w:val="0"/>
      <w:marRight w:val="0"/>
      <w:marTop w:val="0"/>
      <w:marBottom w:val="0"/>
      <w:divBdr>
        <w:top w:val="none" w:sz="0" w:space="0" w:color="auto"/>
        <w:left w:val="none" w:sz="0" w:space="0" w:color="auto"/>
        <w:bottom w:val="none" w:sz="0" w:space="0" w:color="auto"/>
        <w:right w:val="none" w:sz="0" w:space="0" w:color="auto"/>
      </w:divBdr>
    </w:div>
    <w:div w:id="1630894603">
      <w:bodyDiv w:val="1"/>
      <w:marLeft w:val="0"/>
      <w:marRight w:val="0"/>
      <w:marTop w:val="0"/>
      <w:marBottom w:val="0"/>
      <w:divBdr>
        <w:top w:val="none" w:sz="0" w:space="0" w:color="auto"/>
        <w:left w:val="none" w:sz="0" w:space="0" w:color="auto"/>
        <w:bottom w:val="none" w:sz="0" w:space="0" w:color="auto"/>
        <w:right w:val="none" w:sz="0" w:space="0" w:color="auto"/>
      </w:divBdr>
    </w:div>
    <w:div w:id="1635015662">
      <w:bodyDiv w:val="1"/>
      <w:marLeft w:val="0"/>
      <w:marRight w:val="0"/>
      <w:marTop w:val="0"/>
      <w:marBottom w:val="0"/>
      <w:divBdr>
        <w:top w:val="none" w:sz="0" w:space="0" w:color="auto"/>
        <w:left w:val="none" w:sz="0" w:space="0" w:color="auto"/>
        <w:bottom w:val="none" w:sz="0" w:space="0" w:color="auto"/>
        <w:right w:val="none" w:sz="0" w:space="0" w:color="auto"/>
      </w:divBdr>
    </w:div>
    <w:div w:id="1635063716">
      <w:bodyDiv w:val="1"/>
      <w:marLeft w:val="0"/>
      <w:marRight w:val="0"/>
      <w:marTop w:val="0"/>
      <w:marBottom w:val="0"/>
      <w:divBdr>
        <w:top w:val="none" w:sz="0" w:space="0" w:color="auto"/>
        <w:left w:val="none" w:sz="0" w:space="0" w:color="auto"/>
        <w:bottom w:val="none" w:sz="0" w:space="0" w:color="auto"/>
        <w:right w:val="none" w:sz="0" w:space="0" w:color="auto"/>
      </w:divBdr>
    </w:div>
    <w:div w:id="1637443088">
      <w:bodyDiv w:val="1"/>
      <w:marLeft w:val="0"/>
      <w:marRight w:val="0"/>
      <w:marTop w:val="0"/>
      <w:marBottom w:val="0"/>
      <w:divBdr>
        <w:top w:val="none" w:sz="0" w:space="0" w:color="auto"/>
        <w:left w:val="none" w:sz="0" w:space="0" w:color="auto"/>
        <w:bottom w:val="none" w:sz="0" w:space="0" w:color="auto"/>
        <w:right w:val="none" w:sz="0" w:space="0" w:color="auto"/>
      </w:divBdr>
    </w:div>
    <w:div w:id="1637756586">
      <w:bodyDiv w:val="1"/>
      <w:marLeft w:val="0"/>
      <w:marRight w:val="0"/>
      <w:marTop w:val="0"/>
      <w:marBottom w:val="0"/>
      <w:divBdr>
        <w:top w:val="none" w:sz="0" w:space="0" w:color="auto"/>
        <w:left w:val="none" w:sz="0" w:space="0" w:color="auto"/>
        <w:bottom w:val="none" w:sz="0" w:space="0" w:color="auto"/>
        <w:right w:val="none" w:sz="0" w:space="0" w:color="auto"/>
      </w:divBdr>
    </w:div>
    <w:div w:id="1640723348">
      <w:bodyDiv w:val="1"/>
      <w:marLeft w:val="0"/>
      <w:marRight w:val="0"/>
      <w:marTop w:val="0"/>
      <w:marBottom w:val="0"/>
      <w:divBdr>
        <w:top w:val="none" w:sz="0" w:space="0" w:color="auto"/>
        <w:left w:val="none" w:sz="0" w:space="0" w:color="auto"/>
        <w:bottom w:val="none" w:sz="0" w:space="0" w:color="auto"/>
        <w:right w:val="none" w:sz="0" w:space="0" w:color="auto"/>
      </w:divBdr>
    </w:div>
    <w:div w:id="1642492606">
      <w:bodyDiv w:val="1"/>
      <w:marLeft w:val="0"/>
      <w:marRight w:val="0"/>
      <w:marTop w:val="0"/>
      <w:marBottom w:val="0"/>
      <w:divBdr>
        <w:top w:val="none" w:sz="0" w:space="0" w:color="auto"/>
        <w:left w:val="none" w:sz="0" w:space="0" w:color="auto"/>
        <w:bottom w:val="none" w:sz="0" w:space="0" w:color="auto"/>
        <w:right w:val="none" w:sz="0" w:space="0" w:color="auto"/>
      </w:divBdr>
    </w:div>
    <w:div w:id="1648895494">
      <w:bodyDiv w:val="1"/>
      <w:marLeft w:val="0"/>
      <w:marRight w:val="0"/>
      <w:marTop w:val="0"/>
      <w:marBottom w:val="0"/>
      <w:divBdr>
        <w:top w:val="none" w:sz="0" w:space="0" w:color="auto"/>
        <w:left w:val="none" w:sz="0" w:space="0" w:color="auto"/>
        <w:bottom w:val="none" w:sz="0" w:space="0" w:color="auto"/>
        <w:right w:val="none" w:sz="0" w:space="0" w:color="auto"/>
      </w:divBdr>
    </w:div>
    <w:div w:id="1649436678">
      <w:bodyDiv w:val="1"/>
      <w:marLeft w:val="0"/>
      <w:marRight w:val="0"/>
      <w:marTop w:val="0"/>
      <w:marBottom w:val="0"/>
      <w:divBdr>
        <w:top w:val="none" w:sz="0" w:space="0" w:color="auto"/>
        <w:left w:val="none" w:sz="0" w:space="0" w:color="auto"/>
        <w:bottom w:val="none" w:sz="0" w:space="0" w:color="auto"/>
        <w:right w:val="none" w:sz="0" w:space="0" w:color="auto"/>
      </w:divBdr>
    </w:div>
    <w:div w:id="1650132062">
      <w:bodyDiv w:val="1"/>
      <w:marLeft w:val="0"/>
      <w:marRight w:val="0"/>
      <w:marTop w:val="0"/>
      <w:marBottom w:val="0"/>
      <w:divBdr>
        <w:top w:val="none" w:sz="0" w:space="0" w:color="auto"/>
        <w:left w:val="none" w:sz="0" w:space="0" w:color="auto"/>
        <w:bottom w:val="none" w:sz="0" w:space="0" w:color="auto"/>
        <w:right w:val="none" w:sz="0" w:space="0" w:color="auto"/>
      </w:divBdr>
    </w:div>
    <w:div w:id="1657297898">
      <w:bodyDiv w:val="1"/>
      <w:marLeft w:val="0"/>
      <w:marRight w:val="0"/>
      <w:marTop w:val="0"/>
      <w:marBottom w:val="0"/>
      <w:divBdr>
        <w:top w:val="none" w:sz="0" w:space="0" w:color="auto"/>
        <w:left w:val="none" w:sz="0" w:space="0" w:color="auto"/>
        <w:bottom w:val="none" w:sz="0" w:space="0" w:color="auto"/>
        <w:right w:val="none" w:sz="0" w:space="0" w:color="auto"/>
      </w:divBdr>
    </w:div>
    <w:div w:id="1660034797">
      <w:bodyDiv w:val="1"/>
      <w:marLeft w:val="0"/>
      <w:marRight w:val="0"/>
      <w:marTop w:val="0"/>
      <w:marBottom w:val="0"/>
      <w:divBdr>
        <w:top w:val="none" w:sz="0" w:space="0" w:color="auto"/>
        <w:left w:val="none" w:sz="0" w:space="0" w:color="auto"/>
        <w:bottom w:val="none" w:sz="0" w:space="0" w:color="auto"/>
        <w:right w:val="none" w:sz="0" w:space="0" w:color="auto"/>
      </w:divBdr>
    </w:div>
    <w:div w:id="1660843062">
      <w:bodyDiv w:val="1"/>
      <w:marLeft w:val="0"/>
      <w:marRight w:val="0"/>
      <w:marTop w:val="0"/>
      <w:marBottom w:val="0"/>
      <w:divBdr>
        <w:top w:val="none" w:sz="0" w:space="0" w:color="auto"/>
        <w:left w:val="none" w:sz="0" w:space="0" w:color="auto"/>
        <w:bottom w:val="none" w:sz="0" w:space="0" w:color="auto"/>
        <w:right w:val="none" w:sz="0" w:space="0" w:color="auto"/>
      </w:divBdr>
    </w:div>
    <w:div w:id="1660959725">
      <w:bodyDiv w:val="1"/>
      <w:marLeft w:val="0"/>
      <w:marRight w:val="0"/>
      <w:marTop w:val="0"/>
      <w:marBottom w:val="0"/>
      <w:divBdr>
        <w:top w:val="none" w:sz="0" w:space="0" w:color="auto"/>
        <w:left w:val="none" w:sz="0" w:space="0" w:color="auto"/>
        <w:bottom w:val="none" w:sz="0" w:space="0" w:color="auto"/>
        <w:right w:val="none" w:sz="0" w:space="0" w:color="auto"/>
      </w:divBdr>
    </w:div>
    <w:div w:id="1661034799">
      <w:bodyDiv w:val="1"/>
      <w:marLeft w:val="0"/>
      <w:marRight w:val="0"/>
      <w:marTop w:val="0"/>
      <w:marBottom w:val="0"/>
      <w:divBdr>
        <w:top w:val="none" w:sz="0" w:space="0" w:color="auto"/>
        <w:left w:val="none" w:sz="0" w:space="0" w:color="auto"/>
        <w:bottom w:val="none" w:sz="0" w:space="0" w:color="auto"/>
        <w:right w:val="none" w:sz="0" w:space="0" w:color="auto"/>
      </w:divBdr>
    </w:div>
    <w:div w:id="1665159601">
      <w:bodyDiv w:val="1"/>
      <w:marLeft w:val="0"/>
      <w:marRight w:val="0"/>
      <w:marTop w:val="0"/>
      <w:marBottom w:val="0"/>
      <w:divBdr>
        <w:top w:val="none" w:sz="0" w:space="0" w:color="auto"/>
        <w:left w:val="none" w:sz="0" w:space="0" w:color="auto"/>
        <w:bottom w:val="none" w:sz="0" w:space="0" w:color="auto"/>
        <w:right w:val="none" w:sz="0" w:space="0" w:color="auto"/>
      </w:divBdr>
    </w:div>
    <w:div w:id="1667513782">
      <w:bodyDiv w:val="1"/>
      <w:marLeft w:val="0"/>
      <w:marRight w:val="0"/>
      <w:marTop w:val="0"/>
      <w:marBottom w:val="0"/>
      <w:divBdr>
        <w:top w:val="none" w:sz="0" w:space="0" w:color="auto"/>
        <w:left w:val="none" w:sz="0" w:space="0" w:color="auto"/>
        <w:bottom w:val="none" w:sz="0" w:space="0" w:color="auto"/>
        <w:right w:val="none" w:sz="0" w:space="0" w:color="auto"/>
      </w:divBdr>
    </w:div>
    <w:div w:id="1668167228">
      <w:bodyDiv w:val="1"/>
      <w:marLeft w:val="0"/>
      <w:marRight w:val="0"/>
      <w:marTop w:val="0"/>
      <w:marBottom w:val="0"/>
      <w:divBdr>
        <w:top w:val="none" w:sz="0" w:space="0" w:color="auto"/>
        <w:left w:val="none" w:sz="0" w:space="0" w:color="auto"/>
        <w:bottom w:val="none" w:sz="0" w:space="0" w:color="auto"/>
        <w:right w:val="none" w:sz="0" w:space="0" w:color="auto"/>
      </w:divBdr>
    </w:div>
    <w:div w:id="1669863211">
      <w:bodyDiv w:val="1"/>
      <w:marLeft w:val="0"/>
      <w:marRight w:val="0"/>
      <w:marTop w:val="0"/>
      <w:marBottom w:val="0"/>
      <w:divBdr>
        <w:top w:val="none" w:sz="0" w:space="0" w:color="auto"/>
        <w:left w:val="none" w:sz="0" w:space="0" w:color="auto"/>
        <w:bottom w:val="none" w:sz="0" w:space="0" w:color="auto"/>
        <w:right w:val="none" w:sz="0" w:space="0" w:color="auto"/>
      </w:divBdr>
    </w:div>
    <w:div w:id="1672953519">
      <w:bodyDiv w:val="1"/>
      <w:marLeft w:val="0"/>
      <w:marRight w:val="0"/>
      <w:marTop w:val="0"/>
      <w:marBottom w:val="0"/>
      <w:divBdr>
        <w:top w:val="none" w:sz="0" w:space="0" w:color="auto"/>
        <w:left w:val="none" w:sz="0" w:space="0" w:color="auto"/>
        <w:bottom w:val="none" w:sz="0" w:space="0" w:color="auto"/>
        <w:right w:val="none" w:sz="0" w:space="0" w:color="auto"/>
      </w:divBdr>
    </w:div>
    <w:div w:id="1673794709">
      <w:bodyDiv w:val="1"/>
      <w:marLeft w:val="0"/>
      <w:marRight w:val="0"/>
      <w:marTop w:val="0"/>
      <w:marBottom w:val="0"/>
      <w:divBdr>
        <w:top w:val="none" w:sz="0" w:space="0" w:color="auto"/>
        <w:left w:val="none" w:sz="0" w:space="0" w:color="auto"/>
        <w:bottom w:val="none" w:sz="0" w:space="0" w:color="auto"/>
        <w:right w:val="none" w:sz="0" w:space="0" w:color="auto"/>
      </w:divBdr>
    </w:div>
    <w:div w:id="1674142166">
      <w:bodyDiv w:val="1"/>
      <w:marLeft w:val="0"/>
      <w:marRight w:val="0"/>
      <w:marTop w:val="0"/>
      <w:marBottom w:val="0"/>
      <w:divBdr>
        <w:top w:val="none" w:sz="0" w:space="0" w:color="auto"/>
        <w:left w:val="none" w:sz="0" w:space="0" w:color="auto"/>
        <w:bottom w:val="none" w:sz="0" w:space="0" w:color="auto"/>
        <w:right w:val="none" w:sz="0" w:space="0" w:color="auto"/>
      </w:divBdr>
    </w:div>
    <w:div w:id="1675306019">
      <w:bodyDiv w:val="1"/>
      <w:marLeft w:val="0"/>
      <w:marRight w:val="0"/>
      <w:marTop w:val="0"/>
      <w:marBottom w:val="0"/>
      <w:divBdr>
        <w:top w:val="none" w:sz="0" w:space="0" w:color="auto"/>
        <w:left w:val="none" w:sz="0" w:space="0" w:color="auto"/>
        <w:bottom w:val="none" w:sz="0" w:space="0" w:color="auto"/>
        <w:right w:val="none" w:sz="0" w:space="0" w:color="auto"/>
      </w:divBdr>
    </w:div>
    <w:div w:id="1676150544">
      <w:bodyDiv w:val="1"/>
      <w:marLeft w:val="0"/>
      <w:marRight w:val="0"/>
      <w:marTop w:val="0"/>
      <w:marBottom w:val="0"/>
      <w:divBdr>
        <w:top w:val="none" w:sz="0" w:space="0" w:color="auto"/>
        <w:left w:val="none" w:sz="0" w:space="0" w:color="auto"/>
        <w:bottom w:val="none" w:sz="0" w:space="0" w:color="auto"/>
        <w:right w:val="none" w:sz="0" w:space="0" w:color="auto"/>
      </w:divBdr>
    </w:div>
    <w:div w:id="1680891770">
      <w:bodyDiv w:val="1"/>
      <w:marLeft w:val="0"/>
      <w:marRight w:val="0"/>
      <w:marTop w:val="0"/>
      <w:marBottom w:val="0"/>
      <w:divBdr>
        <w:top w:val="none" w:sz="0" w:space="0" w:color="auto"/>
        <w:left w:val="none" w:sz="0" w:space="0" w:color="auto"/>
        <w:bottom w:val="none" w:sz="0" w:space="0" w:color="auto"/>
        <w:right w:val="none" w:sz="0" w:space="0" w:color="auto"/>
      </w:divBdr>
    </w:div>
    <w:div w:id="1681084012">
      <w:bodyDiv w:val="1"/>
      <w:marLeft w:val="0"/>
      <w:marRight w:val="0"/>
      <w:marTop w:val="0"/>
      <w:marBottom w:val="0"/>
      <w:divBdr>
        <w:top w:val="none" w:sz="0" w:space="0" w:color="auto"/>
        <w:left w:val="none" w:sz="0" w:space="0" w:color="auto"/>
        <w:bottom w:val="none" w:sz="0" w:space="0" w:color="auto"/>
        <w:right w:val="none" w:sz="0" w:space="0" w:color="auto"/>
      </w:divBdr>
    </w:div>
    <w:div w:id="1681421393">
      <w:bodyDiv w:val="1"/>
      <w:marLeft w:val="0"/>
      <w:marRight w:val="0"/>
      <w:marTop w:val="0"/>
      <w:marBottom w:val="0"/>
      <w:divBdr>
        <w:top w:val="none" w:sz="0" w:space="0" w:color="auto"/>
        <w:left w:val="none" w:sz="0" w:space="0" w:color="auto"/>
        <w:bottom w:val="none" w:sz="0" w:space="0" w:color="auto"/>
        <w:right w:val="none" w:sz="0" w:space="0" w:color="auto"/>
      </w:divBdr>
    </w:div>
    <w:div w:id="1682123409">
      <w:bodyDiv w:val="1"/>
      <w:marLeft w:val="0"/>
      <w:marRight w:val="0"/>
      <w:marTop w:val="0"/>
      <w:marBottom w:val="0"/>
      <w:divBdr>
        <w:top w:val="none" w:sz="0" w:space="0" w:color="auto"/>
        <w:left w:val="none" w:sz="0" w:space="0" w:color="auto"/>
        <w:bottom w:val="none" w:sz="0" w:space="0" w:color="auto"/>
        <w:right w:val="none" w:sz="0" w:space="0" w:color="auto"/>
      </w:divBdr>
    </w:div>
    <w:div w:id="1682125418">
      <w:bodyDiv w:val="1"/>
      <w:marLeft w:val="0"/>
      <w:marRight w:val="0"/>
      <w:marTop w:val="0"/>
      <w:marBottom w:val="0"/>
      <w:divBdr>
        <w:top w:val="none" w:sz="0" w:space="0" w:color="auto"/>
        <w:left w:val="none" w:sz="0" w:space="0" w:color="auto"/>
        <w:bottom w:val="none" w:sz="0" w:space="0" w:color="auto"/>
        <w:right w:val="none" w:sz="0" w:space="0" w:color="auto"/>
      </w:divBdr>
    </w:div>
    <w:div w:id="1684357271">
      <w:bodyDiv w:val="1"/>
      <w:marLeft w:val="0"/>
      <w:marRight w:val="0"/>
      <w:marTop w:val="0"/>
      <w:marBottom w:val="0"/>
      <w:divBdr>
        <w:top w:val="none" w:sz="0" w:space="0" w:color="auto"/>
        <w:left w:val="none" w:sz="0" w:space="0" w:color="auto"/>
        <w:bottom w:val="none" w:sz="0" w:space="0" w:color="auto"/>
        <w:right w:val="none" w:sz="0" w:space="0" w:color="auto"/>
      </w:divBdr>
    </w:div>
    <w:div w:id="1685669425">
      <w:bodyDiv w:val="1"/>
      <w:marLeft w:val="0"/>
      <w:marRight w:val="0"/>
      <w:marTop w:val="0"/>
      <w:marBottom w:val="0"/>
      <w:divBdr>
        <w:top w:val="none" w:sz="0" w:space="0" w:color="auto"/>
        <w:left w:val="none" w:sz="0" w:space="0" w:color="auto"/>
        <w:bottom w:val="none" w:sz="0" w:space="0" w:color="auto"/>
        <w:right w:val="none" w:sz="0" w:space="0" w:color="auto"/>
      </w:divBdr>
    </w:div>
    <w:div w:id="1687172972">
      <w:bodyDiv w:val="1"/>
      <w:marLeft w:val="0"/>
      <w:marRight w:val="0"/>
      <w:marTop w:val="0"/>
      <w:marBottom w:val="0"/>
      <w:divBdr>
        <w:top w:val="none" w:sz="0" w:space="0" w:color="auto"/>
        <w:left w:val="none" w:sz="0" w:space="0" w:color="auto"/>
        <w:bottom w:val="none" w:sz="0" w:space="0" w:color="auto"/>
        <w:right w:val="none" w:sz="0" w:space="0" w:color="auto"/>
      </w:divBdr>
    </w:div>
    <w:div w:id="1688209671">
      <w:bodyDiv w:val="1"/>
      <w:marLeft w:val="0"/>
      <w:marRight w:val="0"/>
      <w:marTop w:val="0"/>
      <w:marBottom w:val="0"/>
      <w:divBdr>
        <w:top w:val="none" w:sz="0" w:space="0" w:color="auto"/>
        <w:left w:val="none" w:sz="0" w:space="0" w:color="auto"/>
        <w:bottom w:val="none" w:sz="0" w:space="0" w:color="auto"/>
        <w:right w:val="none" w:sz="0" w:space="0" w:color="auto"/>
      </w:divBdr>
    </w:div>
    <w:div w:id="1689019961">
      <w:bodyDiv w:val="1"/>
      <w:marLeft w:val="0"/>
      <w:marRight w:val="0"/>
      <w:marTop w:val="0"/>
      <w:marBottom w:val="0"/>
      <w:divBdr>
        <w:top w:val="none" w:sz="0" w:space="0" w:color="auto"/>
        <w:left w:val="none" w:sz="0" w:space="0" w:color="auto"/>
        <w:bottom w:val="none" w:sz="0" w:space="0" w:color="auto"/>
        <w:right w:val="none" w:sz="0" w:space="0" w:color="auto"/>
      </w:divBdr>
    </w:div>
    <w:div w:id="1691444222">
      <w:bodyDiv w:val="1"/>
      <w:marLeft w:val="0"/>
      <w:marRight w:val="0"/>
      <w:marTop w:val="0"/>
      <w:marBottom w:val="0"/>
      <w:divBdr>
        <w:top w:val="none" w:sz="0" w:space="0" w:color="auto"/>
        <w:left w:val="none" w:sz="0" w:space="0" w:color="auto"/>
        <w:bottom w:val="none" w:sz="0" w:space="0" w:color="auto"/>
        <w:right w:val="none" w:sz="0" w:space="0" w:color="auto"/>
      </w:divBdr>
    </w:div>
    <w:div w:id="1698190462">
      <w:bodyDiv w:val="1"/>
      <w:marLeft w:val="0"/>
      <w:marRight w:val="0"/>
      <w:marTop w:val="0"/>
      <w:marBottom w:val="0"/>
      <w:divBdr>
        <w:top w:val="none" w:sz="0" w:space="0" w:color="auto"/>
        <w:left w:val="none" w:sz="0" w:space="0" w:color="auto"/>
        <w:bottom w:val="none" w:sz="0" w:space="0" w:color="auto"/>
        <w:right w:val="none" w:sz="0" w:space="0" w:color="auto"/>
      </w:divBdr>
    </w:div>
    <w:div w:id="1698660131">
      <w:bodyDiv w:val="1"/>
      <w:marLeft w:val="0"/>
      <w:marRight w:val="0"/>
      <w:marTop w:val="0"/>
      <w:marBottom w:val="0"/>
      <w:divBdr>
        <w:top w:val="none" w:sz="0" w:space="0" w:color="auto"/>
        <w:left w:val="none" w:sz="0" w:space="0" w:color="auto"/>
        <w:bottom w:val="none" w:sz="0" w:space="0" w:color="auto"/>
        <w:right w:val="none" w:sz="0" w:space="0" w:color="auto"/>
      </w:divBdr>
    </w:div>
    <w:div w:id="1699088932">
      <w:bodyDiv w:val="1"/>
      <w:marLeft w:val="0"/>
      <w:marRight w:val="0"/>
      <w:marTop w:val="0"/>
      <w:marBottom w:val="0"/>
      <w:divBdr>
        <w:top w:val="none" w:sz="0" w:space="0" w:color="auto"/>
        <w:left w:val="none" w:sz="0" w:space="0" w:color="auto"/>
        <w:bottom w:val="none" w:sz="0" w:space="0" w:color="auto"/>
        <w:right w:val="none" w:sz="0" w:space="0" w:color="auto"/>
      </w:divBdr>
    </w:div>
    <w:div w:id="1700885888">
      <w:bodyDiv w:val="1"/>
      <w:marLeft w:val="0"/>
      <w:marRight w:val="0"/>
      <w:marTop w:val="0"/>
      <w:marBottom w:val="0"/>
      <w:divBdr>
        <w:top w:val="none" w:sz="0" w:space="0" w:color="auto"/>
        <w:left w:val="none" w:sz="0" w:space="0" w:color="auto"/>
        <w:bottom w:val="none" w:sz="0" w:space="0" w:color="auto"/>
        <w:right w:val="none" w:sz="0" w:space="0" w:color="auto"/>
      </w:divBdr>
    </w:div>
    <w:div w:id="1701517001">
      <w:bodyDiv w:val="1"/>
      <w:marLeft w:val="0"/>
      <w:marRight w:val="0"/>
      <w:marTop w:val="0"/>
      <w:marBottom w:val="0"/>
      <w:divBdr>
        <w:top w:val="none" w:sz="0" w:space="0" w:color="auto"/>
        <w:left w:val="none" w:sz="0" w:space="0" w:color="auto"/>
        <w:bottom w:val="none" w:sz="0" w:space="0" w:color="auto"/>
        <w:right w:val="none" w:sz="0" w:space="0" w:color="auto"/>
      </w:divBdr>
    </w:div>
    <w:div w:id="1704600064">
      <w:bodyDiv w:val="1"/>
      <w:marLeft w:val="0"/>
      <w:marRight w:val="0"/>
      <w:marTop w:val="0"/>
      <w:marBottom w:val="0"/>
      <w:divBdr>
        <w:top w:val="none" w:sz="0" w:space="0" w:color="auto"/>
        <w:left w:val="none" w:sz="0" w:space="0" w:color="auto"/>
        <w:bottom w:val="none" w:sz="0" w:space="0" w:color="auto"/>
        <w:right w:val="none" w:sz="0" w:space="0" w:color="auto"/>
      </w:divBdr>
    </w:div>
    <w:div w:id="1706252753">
      <w:bodyDiv w:val="1"/>
      <w:marLeft w:val="0"/>
      <w:marRight w:val="0"/>
      <w:marTop w:val="0"/>
      <w:marBottom w:val="0"/>
      <w:divBdr>
        <w:top w:val="none" w:sz="0" w:space="0" w:color="auto"/>
        <w:left w:val="none" w:sz="0" w:space="0" w:color="auto"/>
        <w:bottom w:val="none" w:sz="0" w:space="0" w:color="auto"/>
        <w:right w:val="none" w:sz="0" w:space="0" w:color="auto"/>
      </w:divBdr>
    </w:div>
    <w:div w:id="1709799430">
      <w:bodyDiv w:val="1"/>
      <w:marLeft w:val="0"/>
      <w:marRight w:val="0"/>
      <w:marTop w:val="0"/>
      <w:marBottom w:val="0"/>
      <w:divBdr>
        <w:top w:val="none" w:sz="0" w:space="0" w:color="auto"/>
        <w:left w:val="none" w:sz="0" w:space="0" w:color="auto"/>
        <w:bottom w:val="none" w:sz="0" w:space="0" w:color="auto"/>
        <w:right w:val="none" w:sz="0" w:space="0" w:color="auto"/>
      </w:divBdr>
    </w:div>
    <w:div w:id="1711760325">
      <w:bodyDiv w:val="1"/>
      <w:marLeft w:val="0"/>
      <w:marRight w:val="0"/>
      <w:marTop w:val="0"/>
      <w:marBottom w:val="0"/>
      <w:divBdr>
        <w:top w:val="none" w:sz="0" w:space="0" w:color="auto"/>
        <w:left w:val="none" w:sz="0" w:space="0" w:color="auto"/>
        <w:bottom w:val="none" w:sz="0" w:space="0" w:color="auto"/>
        <w:right w:val="none" w:sz="0" w:space="0" w:color="auto"/>
      </w:divBdr>
    </w:div>
    <w:div w:id="1713844218">
      <w:bodyDiv w:val="1"/>
      <w:marLeft w:val="0"/>
      <w:marRight w:val="0"/>
      <w:marTop w:val="0"/>
      <w:marBottom w:val="0"/>
      <w:divBdr>
        <w:top w:val="none" w:sz="0" w:space="0" w:color="auto"/>
        <w:left w:val="none" w:sz="0" w:space="0" w:color="auto"/>
        <w:bottom w:val="none" w:sz="0" w:space="0" w:color="auto"/>
        <w:right w:val="none" w:sz="0" w:space="0" w:color="auto"/>
      </w:divBdr>
    </w:div>
    <w:div w:id="1715499460">
      <w:bodyDiv w:val="1"/>
      <w:marLeft w:val="0"/>
      <w:marRight w:val="0"/>
      <w:marTop w:val="0"/>
      <w:marBottom w:val="0"/>
      <w:divBdr>
        <w:top w:val="none" w:sz="0" w:space="0" w:color="auto"/>
        <w:left w:val="none" w:sz="0" w:space="0" w:color="auto"/>
        <w:bottom w:val="none" w:sz="0" w:space="0" w:color="auto"/>
        <w:right w:val="none" w:sz="0" w:space="0" w:color="auto"/>
      </w:divBdr>
    </w:div>
    <w:div w:id="1716276879">
      <w:bodyDiv w:val="1"/>
      <w:marLeft w:val="0"/>
      <w:marRight w:val="0"/>
      <w:marTop w:val="0"/>
      <w:marBottom w:val="0"/>
      <w:divBdr>
        <w:top w:val="none" w:sz="0" w:space="0" w:color="auto"/>
        <w:left w:val="none" w:sz="0" w:space="0" w:color="auto"/>
        <w:bottom w:val="none" w:sz="0" w:space="0" w:color="auto"/>
        <w:right w:val="none" w:sz="0" w:space="0" w:color="auto"/>
      </w:divBdr>
    </w:div>
    <w:div w:id="1718045595">
      <w:bodyDiv w:val="1"/>
      <w:marLeft w:val="0"/>
      <w:marRight w:val="0"/>
      <w:marTop w:val="0"/>
      <w:marBottom w:val="0"/>
      <w:divBdr>
        <w:top w:val="none" w:sz="0" w:space="0" w:color="auto"/>
        <w:left w:val="none" w:sz="0" w:space="0" w:color="auto"/>
        <w:bottom w:val="none" w:sz="0" w:space="0" w:color="auto"/>
        <w:right w:val="none" w:sz="0" w:space="0" w:color="auto"/>
      </w:divBdr>
      <w:divsChild>
        <w:div w:id="172571074">
          <w:marLeft w:val="0"/>
          <w:marRight w:val="0"/>
          <w:marTop w:val="0"/>
          <w:marBottom w:val="0"/>
          <w:divBdr>
            <w:top w:val="none" w:sz="0" w:space="0" w:color="auto"/>
            <w:left w:val="none" w:sz="0" w:space="0" w:color="auto"/>
            <w:bottom w:val="none" w:sz="0" w:space="0" w:color="auto"/>
            <w:right w:val="none" w:sz="0" w:space="0" w:color="auto"/>
          </w:divBdr>
        </w:div>
        <w:div w:id="1318070558">
          <w:marLeft w:val="0"/>
          <w:marRight w:val="0"/>
          <w:marTop w:val="0"/>
          <w:marBottom w:val="0"/>
          <w:divBdr>
            <w:top w:val="none" w:sz="0" w:space="0" w:color="auto"/>
            <w:left w:val="none" w:sz="0" w:space="0" w:color="auto"/>
            <w:bottom w:val="none" w:sz="0" w:space="0" w:color="auto"/>
            <w:right w:val="none" w:sz="0" w:space="0" w:color="auto"/>
          </w:divBdr>
        </w:div>
        <w:div w:id="1427311058">
          <w:marLeft w:val="0"/>
          <w:marRight w:val="0"/>
          <w:marTop w:val="0"/>
          <w:marBottom w:val="0"/>
          <w:divBdr>
            <w:top w:val="none" w:sz="0" w:space="0" w:color="auto"/>
            <w:left w:val="none" w:sz="0" w:space="0" w:color="auto"/>
            <w:bottom w:val="none" w:sz="0" w:space="0" w:color="auto"/>
            <w:right w:val="none" w:sz="0" w:space="0" w:color="auto"/>
          </w:divBdr>
        </w:div>
      </w:divsChild>
    </w:div>
    <w:div w:id="1721394581">
      <w:bodyDiv w:val="1"/>
      <w:marLeft w:val="0"/>
      <w:marRight w:val="0"/>
      <w:marTop w:val="0"/>
      <w:marBottom w:val="0"/>
      <w:divBdr>
        <w:top w:val="none" w:sz="0" w:space="0" w:color="auto"/>
        <w:left w:val="none" w:sz="0" w:space="0" w:color="auto"/>
        <w:bottom w:val="none" w:sz="0" w:space="0" w:color="auto"/>
        <w:right w:val="none" w:sz="0" w:space="0" w:color="auto"/>
      </w:divBdr>
    </w:div>
    <w:div w:id="1722635355">
      <w:bodyDiv w:val="1"/>
      <w:marLeft w:val="0"/>
      <w:marRight w:val="0"/>
      <w:marTop w:val="0"/>
      <w:marBottom w:val="0"/>
      <w:divBdr>
        <w:top w:val="none" w:sz="0" w:space="0" w:color="auto"/>
        <w:left w:val="none" w:sz="0" w:space="0" w:color="auto"/>
        <w:bottom w:val="none" w:sz="0" w:space="0" w:color="auto"/>
        <w:right w:val="none" w:sz="0" w:space="0" w:color="auto"/>
      </w:divBdr>
    </w:div>
    <w:div w:id="1724014005">
      <w:bodyDiv w:val="1"/>
      <w:marLeft w:val="0"/>
      <w:marRight w:val="0"/>
      <w:marTop w:val="0"/>
      <w:marBottom w:val="0"/>
      <w:divBdr>
        <w:top w:val="none" w:sz="0" w:space="0" w:color="auto"/>
        <w:left w:val="none" w:sz="0" w:space="0" w:color="auto"/>
        <w:bottom w:val="none" w:sz="0" w:space="0" w:color="auto"/>
        <w:right w:val="none" w:sz="0" w:space="0" w:color="auto"/>
      </w:divBdr>
    </w:div>
    <w:div w:id="1724985899">
      <w:bodyDiv w:val="1"/>
      <w:marLeft w:val="0"/>
      <w:marRight w:val="0"/>
      <w:marTop w:val="0"/>
      <w:marBottom w:val="0"/>
      <w:divBdr>
        <w:top w:val="none" w:sz="0" w:space="0" w:color="auto"/>
        <w:left w:val="none" w:sz="0" w:space="0" w:color="auto"/>
        <w:bottom w:val="none" w:sz="0" w:space="0" w:color="auto"/>
        <w:right w:val="none" w:sz="0" w:space="0" w:color="auto"/>
      </w:divBdr>
    </w:div>
    <w:div w:id="1725636135">
      <w:bodyDiv w:val="1"/>
      <w:marLeft w:val="0"/>
      <w:marRight w:val="0"/>
      <w:marTop w:val="0"/>
      <w:marBottom w:val="0"/>
      <w:divBdr>
        <w:top w:val="none" w:sz="0" w:space="0" w:color="auto"/>
        <w:left w:val="none" w:sz="0" w:space="0" w:color="auto"/>
        <w:bottom w:val="none" w:sz="0" w:space="0" w:color="auto"/>
        <w:right w:val="none" w:sz="0" w:space="0" w:color="auto"/>
      </w:divBdr>
    </w:div>
    <w:div w:id="1726023183">
      <w:bodyDiv w:val="1"/>
      <w:marLeft w:val="0"/>
      <w:marRight w:val="0"/>
      <w:marTop w:val="0"/>
      <w:marBottom w:val="0"/>
      <w:divBdr>
        <w:top w:val="none" w:sz="0" w:space="0" w:color="auto"/>
        <w:left w:val="none" w:sz="0" w:space="0" w:color="auto"/>
        <w:bottom w:val="none" w:sz="0" w:space="0" w:color="auto"/>
        <w:right w:val="none" w:sz="0" w:space="0" w:color="auto"/>
      </w:divBdr>
    </w:div>
    <w:div w:id="1729185725">
      <w:bodyDiv w:val="1"/>
      <w:marLeft w:val="0"/>
      <w:marRight w:val="0"/>
      <w:marTop w:val="0"/>
      <w:marBottom w:val="0"/>
      <w:divBdr>
        <w:top w:val="none" w:sz="0" w:space="0" w:color="auto"/>
        <w:left w:val="none" w:sz="0" w:space="0" w:color="auto"/>
        <w:bottom w:val="none" w:sz="0" w:space="0" w:color="auto"/>
        <w:right w:val="none" w:sz="0" w:space="0" w:color="auto"/>
      </w:divBdr>
    </w:div>
    <w:div w:id="1733188243">
      <w:bodyDiv w:val="1"/>
      <w:marLeft w:val="0"/>
      <w:marRight w:val="0"/>
      <w:marTop w:val="0"/>
      <w:marBottom w:val="0"/>
      <w:divBdr>
        <w:top w:val="none" w:sz="0" w:space="0" w:color="auto"/>
        <w:left w:val="none" w:sz="0" w:space="0" w:color="auto"/>
        <w:bottom w:val="none" w:sz="0" w:space="0" w:color="auto"/>
        <w:right w:val="none" w:sz="0" w:space="0" w:color="auto"/>
      </w:divBdr>
    </w:div>
    <w:div w:id="1733650912">
      <w:bodyDiv w:val="1"/>
      <w:marLeft w:val="0"/>
      <w:marRight w:val="0"/>
      <w:marTop w:val="0"/>
      <w:marBottom w:val="0"/>
      <w:divBdr>
        <w:top w:val="none" w:sz="0" w:space="0" w:color="auto"/>
        <w:left w:val="none" w:sz="0" w:space="0" w:color="auto"/>
        <w:bottom w:val="none" w:sz="0" w:space="0" w:color="auto"/>
        <w:right w:val="none" w:sz="0" w:space="0" w:color="auto"/>
      </w:divBdr>
    </w:div>
    <w:div w:id="1734542792">
      <w:bodyDiv w:val="1"/>
      <w:marLeft w:val="0"/>
      <w:marRight w:val="0"/>
      <w:marTop w:val="0"/>
      <w:marBottom w:val="0"/>
      <w:divBdr>
        <w:top w:val="none" w:sz="0" w:space="0" w:color="auto"/>
        <w:left w:val="none" w:sz="0" w:space="0" w:color="auto"/>
        <w:bottom w:val="none" w:sz="0" w:space="0" w:color="auto"/>
        <w:right w:val="none" w:sz="0" w:space="0" w:color="auto"/>
      </w:divBdr>
    </w:div>
    <w:div w:id="1735275636">
      <w:bodyDiv w:val="1"/>
      <w:marLeft w:val="0"/>
      <w:marRight w:val="0"/>
      <w:marTop w:val="0"/>
      <w:marBottom w:val="0"/>
      <w:divBdr>
        <w:top w:val="none" w:sz="0" w:space="0" w:color="auto"/>
        <w:left w:val="none" w:sz="0" w:space="0" w:color="auto"/>
        <w:bottom w:val="none" w:sz="0" w:space="0" w:color="auto"/>
        <w:right w:val="none" w:sz="0" w:space="0" w:color="auto"/>
      </w:divBdr>
    </w:div>
    <w:div w:id="1736199796">
      <w:bodyDiv w:val="1"/>
      <w:marLeft w:val="0"/>
      <w:marRight w:val="0"/>
      <w:marTop w:val="0"/>
      <w:marBottom w:val="0"/>
      <w:divBdr>
        <w:top w:val="none" w:sz="0" w:space="0" w:color="auto"/>
        <w:left w:val="none" w:sz="0" w:space="0" w:color="auto"/>
        <w:bottom w:val="none" w:sz="0" w:space="0" w:color="auto"/>
        <w:right w:val="none" w:sz="0" w:space="0" w:color="auto"/>
      </w:divBdr>
    </w:div>
    <w:div w:id="1736776106">
      <w:bodyDiv w:val="1"/>
      <w:marLeft w:val="0"/>
      <w:marRight w:val="0"/>
      <w:marTop w:val="0"/>
      <w:marBottom w:val="0"/>
      <w:divBdr>
        <w:top w:val="none" w:sz="0" w:space="0" w:color="auto"/>
        <w:left w:val="none" w:sz="0" w:space="0" w:color="auto"/>
        <w:bottom w:val="none" w:sz="0" w:space="0" w:color="auto"/>
        <w:right w:val="none" w:sz="0" w:space="0" w:color="auto"/>
      </w:divBdr>
      <w:divsChild>
        <w:div w:id="221211324">
          <w:marLeft w:val="0"/>
          <w:marRight w:val="0"/>
          <w:marTop w:val="0"/>
          <w:marBottom w:val="0"/>
          <w:divBdr>
            <w:top w:val="none" w:sz="0" w:space="0" w:color="auto"/>
            <w:left w:val="none" w:sz="0" w:space="0" w:color="auto"/>
            <w:bottom w:val="none" w:sz="0" w:space="0" w:color="auto"/>
            <w:right w:val="none" w:sz="0" w:space="0" w:color="auto"/>
          </w:divBdr>
        </w:div>
        <w:div w:id="1568688340">
          <w:marLeft w:val="0"/>
          <w:marRight w:val="0"/>
          <w:marTop w:val="0"/>
          <w:marBottom w:val="0"/>
          <w:divBdr>
            <w:top w:val="none" w:sz="0" w:space="0" w:color="auto"/>
            <w:left w:val="none" w:sz="0" w:space="0" w:color="auto"/>
            <w:bottom w:val="none" w:sz="0" w:space="0" w:color="auto"/>
            <w:right w:val="none" w:sz="0" w:space="0" w:color="auto"/>
          </w:divBdr>
        </w:div>
      </w:divsChild>
    </w:div>
    <w:div w:id="1738356459">
      <w:bodyDiv w:val="1"/>
      <w:marLeft w:val="0"/>
      <w:marRight w:val="0"/>
      <w:marTop w:val="0"/>
      <w:marBottom w:val="0"/>
      <w:divBdr>
        <w:top w:val="none" w:sz="0" w:space="0" w:color="auto"/>
        <w:left w:val="none" w:sz="0" w:space="0" w:color="auto"/>
        <w:bottom w:val="none" w:sz="0" w:space="0" w:color="auto"/>
        <w:right w:val="none" w:sz="0" w:space="0" w:color="auto"/>
      </w:divBdr>
    </w:div>
    <w:div w:id="1744790345">
      <w:bodyDiv w:val="1"/>
      <w:marLeft w:val="0"/>
      <w:marRight w:val="0"/>
      <w:marTop w:val="0"/>
      <w:marBottom w:val="0"/>
      <w:divBdr>
        <w:top w:val="none" w:sz="0" w:space="0" w:color="auto"/>
        <w:left w:val="none" w:sz="0" w:space="0" w:color="auto"/>
        <w:bottom w:val="none" w:sz="0" w:space="0" w:color="auto"/>
        <w:right w:val="none" w:sz="0" w:space="0" w:color="auto"/>
      </w:divBdr>
      <w:divsChild>
        <w:div w:id="799959964">
          <w:marLeft w:val="0"/>
          <w:marRight w:val="0"/>
          <w:marTop w:val="0"/>
          <w:marBottom w:val="0"/>
          <w:divBdr>
            <w:top w:val="none" w:sz="0" w:space="0" w:color="auto"/>
            <w:left w:val="none" w:sz="0" w:space="0" w:color="auto"/>
            <w:bottom w:val="none" w:sz="0" w:space="0" w:color="auto"/>
            <w:right w:val="none" w:sz="0" w:space="0" w:color="auto"/>
          </w:divBdr>
        </w:div>
        <w:div w:id="1238829014">
          <w:marLeft w:val="0"/>
          <w:marRight w:val="0"/>
          <w:marTop w:val="0"/>
          <w:marBottom w:val="0"/>
          <w:divBdr>
            <w:top w:val="none" w:sz="0" w:space="0" w:color="auto"/>
            <w:left w:val="none" w:sz="0" w:space="0" w:color="auto"/>
            <w:bottom w:val="none" w:sz="0" w:space="0" w:color="auto"/>
            <w:right w:val="none" w:sz="0" w:space="0" w:color="auto"/>
          </w:divBdr>
        </w:div>
        <w:div w:id="1747216757">
          <w:marLeft w:val="0"/>
          <w:marRight w:val="0"/>
          <w:marTop w:val="0"/>
          <w:marBottom w:val="0"/>
          <w:divBdr>
            <w:top w:val="none" w:sz="0" w:space="0" w:color="auto"/>
            <w:left w:val="none" w:sz="0" w:space="0" w:color="auto"/>
            <w:bottom w:val="none" w:sz="0" w:space="0" w:color="auto"/>
            <w:right w:val="none" w:sz="0" w:space="0" w:color="auto"/>
          </w:divBdr>
        </w:div>
      </w:divsChild>
    </w:div>
    <w:div w:id="1749840500">
      <w:bodyDiv w:val="1"/>
      <w:marLeft w:val="0"/>
      <w:marRight w:val="0"/>
      <w:marTop w:val="0"/>
      <w:marBottom w:val="0"/>
      <w:divBdr>
        <w:top w:val="none" w:sz="0" w:space="0" w:color="auto"/>
        <w:left w:val="none" w:sz="0" w:space="0" w:color="auto"/>
        <w:bottom w:val="none" w:sz="0" w:space="0" w:color="auto"/>
        <w:right w:val="none" w:sz="0" w:space="0" w:color="auto"/>
      </w:divBdr>
    </w:div>
    <w:div w:id="1753578234">
      <w:bodyDiv w:val="1"/>
      <w:marLeft w:val="0"/>
      <w:marRight w:val="0"/>
      <w:marTop w:val="0"/>
      <w:marBottom w:val="0"/>
      <w:divBdr>
        <w:top w:val="none" w:sz="0" w:space="0" w:color="auto"/>
        <w:left w:val="none" w:sz="0" w:space="0" w:color="auto"/>
        <w:bottom w:val="none" w:sz="0" w:space="0" w:color="auto"/>
        <w:right w:val="none" w:sz="0" w:space="0" w:color="auto"/>
      </w:divBdr>
    </w:div>
    <w:div w:id="1754468140">
      <w:bodyDiv w:val="1"/>
      <w:marLeft w:val="0"/>
      <w:marRight w:val="0"/>
      <w:marTop w:val="0"/>
      <w:marBottom w:val="0"/>
      <w:divBdr>
        <w:top w:val="none" w:sz="0" w:space="0" w:color="auto"/>
        <w:left w:val="none" w:sz="0" w:space="0" w:color="auto"/>
        <w:bottom w:val="none" w:sz="0" w:space="0" w:color="auto"/>
        <w:right w:val="none" w:sz="0" w:space="0" w:color="auto"/>
      </w:divBdr>
    </w:div>
    <w:div w:id="1755275225">
      <w:bodyDiv w:val="1"/>
      <w:marLeft w:val="0"/>
      <w:marRight w:val="0"/>
      <w:marTop w:val="0"/>
      <w:marBottom w:val="0"/>
      <w:divBdr>
        <w:top w:val="none" w:sz="0" w:space="0" w:color="auto"/>
        <w:left w:val="none" w:sz="0" w:space="0" w:color="auto"/>
        <w:bottom w:val="none" w:sz="0" w:space="0" w:color="auto"/>
        <w:right w:val="none" w:sz="0" w:space="0" w:color="auto"/>
      </w:divBdr>
    </w:div>
    <w:div w:id="1759406303">
      <w:bodyDiv w:val="1"/>
      <w:marLeft w:val="0"/>
      <w:marRight w:val="0"/>
      <w:marTop w:val="0"/>
      <w:marBottom w:val="0"/>
      <w:divBdr>
        <w:top w:val="none" w:sz="0" w:space="0" w:color="auto"/>
        <w:left w:val="none" w:sz="0" w:space="0" w:color="auto"/>
        <w:bottom w:val="none" w:sz="0" w:space="0" w:color="auto"/>
        <w:right w:val="none" w:sz="0" w:space="0" w:color="auto"/>
      </w:divBdr>
    </w:div>
    <w:div w:id="1764452231">
      <w:bodyDiv w:val="1"/>
      <w:marLeft w:val="0"/>
      <w:marRight w:val="0"/>
      <w:marTop w:val="0"/>
      <w:marBottom w:val="0"/>
      <w:divBdr>
        <w:top w:val="none" w:sz="0" w:space="0" w:color="auto"/>
        <w:left w:val="none" w:sz="0" w:space="0" w:color="auto"/>
        <w:bottom w:val="none" w:sz="0" w:space="0" w:color="auto"/>
        <w:right w:val="none" w:sz="0" w:space="0" w:color="auto"/>
      </w:divBdr>
    </w:div>
    <w:div w:id="1768845716">
      <w:bodyDiv w:val="1"/>
      <w:marLeft w:val="0"/>
      <w:marRight w:val="0"/>
      <w:marTop w:val="0"/>
      <w:marBottom w:val="0"/>
      <w:divBdr>
        <w:top w:val="none" w:sz="0" w:space="0" w:color="auto"/>
        <w:left w:val="none" w:sz="0" w:space="0" w:color="auto"/>
        <w:bottom w:val="none" w:sz="0" w:space="0" w:color="auto"/>
        <w:right w:val="none" w:sz="0" w:space="0" w:color="auto"/>
      </w:divBdr>
    </w:div>
    <w:div w:id="1770854622">
      <w:bodyDiv w:val="1"/>
      <w:marLeft w:val="0"/>
      <w:marRight w:val="0"/>
      <w:marTop w:val="0"/>
      <w:marBottom w:val="0"/>
      <w:divBdr>
        <w:top w:val="none" w:sz="0" w:space="0" w:color="auto"/>
        <w:left w:val="none" w:sz="0" w:space="0" w:color="auto"/>
        <w:bottom w:val="none" w:sz="0" w:space="0" w:color="auto"/>
        <w:right w:val="none" w:sz="0" w:space="0" w:color="auto"/>
      </w:divBdr>
    </w:div>
    <w:div w:id="1781025481">
      <w:bodyDiv w:val="1"/>
      <w:marLeft w:val="0"/>
      <w:marRight w:val="0"/>
      <w:marTop w:val="0"/>
      <w:marBottom w:val="0"/>
      <w:divBdr>
        <w:top w:val="none" w:sz="0" w:space="0" w:color="auto"/>
        <w:left w:val="none" w:sz="0" w:space="0" w:color="auto"/>
        <w:bottom w:val="none" w:sz="0" w:space="0" w:color="auto"/>
        <w:right w:val="none" w:sz="0" w:space="0" w:color="auto"/>
      </w:divBdr>
    </w:div>
    <w:div w:id="1781299784">
      <w:bodyDiv w:val="1"/>
      <w:marLeft w:val="0"/>
      <w:marRight w:val="0"/>
      <w:marTop w:val="0"/>
      <w:marBottom w:val="0"/>
      <w:divBdr>
        <w:top w:val="none" w:sz="0" w:space="0" w:color="auto"/>
        <w:left w:val="none" w:sz="0" w:space="0" w:color="auto"/>
        <w:bottom w:val="none" w:sz="0" w:space="0" w:color="auto"/>
        <w:right w:val="none" w:sz="0" w:space="0" w:color="auto"/>
      </w:divBdr>
    </w:div>
    <w:div w:id="1781335583">
      <w:bodyDiv w:val="1"/>
      <w:marLeft w:val="0"/>
      <w:marRight w:val="0"/>
      <w:marTop w:val="0"/>
      <w:marBottom w:val="0"/>
      <w:divBdr>
        <w:top w:val="none" w:sz="0" w:space="0" w:color="auto"/>
        <w:left w:val="none" w:sz="0" w:space="0" w:color="auto"/>
        <w:bottom w:val="none" w:sz="0" w:space="0" w:color="auto"/>
        <w:right w:val="none" w:sz="0" w:space="0" w:color="auto"/>
      </w:divBdr>
    </w:div>
    <w:div w:id="1783259126">
      <w:bodyDiv w:val="1"/>
      <w:marLeft w:val="0"/>
      <w:marRight w:val="0"/>
      <w:marTop w:val="0"/>
      <w:marBottom w:val="0"/>
      <w:divBdr>
        <w:top w:val="none" w:sz="0" w:space="0" w:color="auto"/>
        <w:left w:val="none" w:sz="0" w:space="0" w:color="auto"/>
        <w:bottom w:val="none" w:sz="0" w:space="0" w:color="auto"/>
        <w:right w:val="none" w:sz="0" w:space="0" w:color="auto"/>
      </w:divBdr>
    </w:div>
    <w:div w:id="1783768307">
      <w:bodyDiv w:val="1"/>
      <w:marLeft w:val="0"/>
      <w:marRight w:val="0"/>
      <w:marTop w:val="0"/>
      <w:marBottom w:val="0"/>
      <w:divBdr>
        <w:top w:val="none" w:sz="0" w:space="0" w:color="auto"/>
        <w:left w:val="none" w:sz="0" w:space="0" w:color="auto"/>
        <w:bottom w:val="none" w:sz="0" w:space="0" w:color="auto"/>
        <w:right w:val="none" w:sz="0" w:space="0" w:color="auto"/>
      </w:divBdr>
    </w:div>
    <w:div w:id="1785416912">
      <w:bodyDiv w:val="1"/>
      <w:marLeft w:val="0"/>
      <w:marRight w:val="0"/>
      <w:marTop w:val="0"/>
      <w:marBottom w:val="0"/>
      <w:divBdr>
        <w:top w:val="none" w:sz="0" w:space="0" w:color="auto"/>
        <w:left w:val="none" w:sz="0" w:space="0" w:color="auto"/>
        <w:bottom w:val="none" w:sz="0" w:space="0" w:color="auto"/>
        <w:right w:val="none" w:sz="0" w:space="0" w:color="auto"/>
      </w:divBdr>
    </w:div>
    <w:div w:id="1785423487">
      <w:bodyDiv w:val="1"/>
      <w:marLeft w:val="0"/>
      <w:marRight w:val="0"/>
      <w:marTop w:val="0"/>
      <w:marBottom w:val="0"/>
      <w:divBdr>
        <w:top w:val="none" w:sz="0" w:space="0" w:color="auto"/>
        <w:left w:val="none" w:sz="0" w:space="0" w:color="auto"/>
        <w:bottom w:val="none" w:sz="0" w:space="0" w:color="auto"/>
        <w:right w:val="none" w:sz="0" w:space="0" w:color="auto"/>
      </w:divBdr>
    </w:div>
    <w:div w:id="1785927787">
      <w:bodyDiv w:val="1"/>
      <w:marLeft w:val="0"/>
      <w:marRight w:val="0"/>
      <w:marTop w:val="0"/>
      <w:marBottom w:val="0"/>
      <w:divBdr>
        <w:top w:val="none" w:sz="0" w:space="0" w:color="auto"/>
        <w:left w:val="none" w:sz="0" w:space="0" w:color="auto"/>
        <w:bottom w:val="none" w:sz="0" w:space="0" w:color="auto"/>
        <w:right w:val="none" w:sz="0" w:space="0" w:color="auto"/>
      </w:divBdr>
    </w:div>
    <w:div w:id="1788307660">
      <w:bodyDiv w:val="1"/>
      <w:marLeft w:val="0"/>
      <w:marRight w:val="0"/>
      <w:marTop w:val="0"/>
      <w:marBottom w:val="0"/>
      <w:divBdr>
        <w:top w:val="none" w:sz="0" w:space="0" w:color="auto"/>
        <w:left w:val="none" w:sz="0" w:space="0" w:color="auto"/>
        <w:bottom w:val="none" w:sz="0" w:space="0" w:color="auto"/>
        <w:right w:val="none" w:sz="0" w:space="0" w:color="auto"/>
      </w:divBdr>
    </w:div>
    <w:div w:id="1791245045">
      <w:bodyDiv w:val="1"/>
      <w:marLeft w:val="0"/>
      <w:marRight w:val="0"/>
      <w:marTop w:val="0"/>
      <w:marBottom w:val="0"/>
      <w:divBdr>
        <w:top w:val="none" w:sz="0" w:space="0" w:color="auto"/>
        <w:left w:val="none" w:sz="0" w:space="0" w:color="auto"/>
        <w:bottom w:val="none" w:sz="0" w:space="0" w:color="auto"/>
        <w:right w:val="none" w:sz="0" w:space="0" w:color="auto"/>
      </w:divBdr>
    </w:div>
    <w:div w:id="1792551826">
      <w:bodyDiv w:val="1"/>
      <w:marLeft w:val="0"/>
      <w:marRight w:val="0"/>
      <w:marTop w:val="0"/>
      <w:marBottom w:val="0"/>
      <w:divBdr>
        <w:top w:val="none" w:sz="0" w:space="0" w:color="auto"/>
        <w:left w:val="none" w:sz="0" w:space="0" w:color="auto"/>
        <w:bottom w:val="none" w:sz="0" w:space="0" w:color="auto"/>
        <w:right w:val="none" w:sz="0" w:space="0" w:color="auto"/>
      </w:divBdr>
    </w:div>
    <w:div w:id="1792700916">
      <w:bodyDiv w:val="1"/>
      <w:marLeft w:val="0"/>
      <w:marRight w:val="0"/>
      <w:marTop w:val="0"/>
      <w:marBottom w:val="0"/>
      <w:divBdr>
        <w:top w:val="none" w:sz="0" w:space="0" w:color="auto"/>
        <w:left w:val="none" w:sz="0" w:space="0" w:color="auto"/>
        <w:bottom w:val="none" w:sz="0" w:space="0" w:color="auto"/>
        <w:right w:val="none" w:sz="0" w:space="0" w:color="auto"/>
      </w:divBdr>
    </w:div>
    <w:div w:id="1794011440">
      <w:bodyDiv w:val="1"/>
      <w:marLeft w:val="0"/>
      <w:marRight w:val="0"/>
      <w:marTop w:val="0"/>
      <w:marBottom w:val="0"/>
      <w:divBdr>
        <w:top w:val="none" w:sz="0" w:space="0" w:color="auto"/>
        <w:left w:val="none" w:sz="0" w:space="0" w:color="auto"/>
        <w:bottom w:val="none" w:sz="0" w:space="0" w:color="auto"/>
        <w:right w:val="none" w:sz="0" w:space="0" w:color="auto"/>
      </w:divBdr>
    </w:div>
    <w:div w:id="1802259754">
      <w:bodyDiv w:val="1"/>
      <w:marLeft w:val="0"/>
      <w:marRight w:val="0"/>
      <w:marTop w:val="0"/>
      <w:marBottom w:val="0"/>
      <w:divBdr>
        <w:top w:val="none" w:sz="0" w:space="0" w:color="auto"/>
        <w:left w:val="none" w:sz="0" w:space="0" w:color="auto"/>
        <w:bottom w:val="none" w:sz="0" w:space="0" w:color="auto"/>
        <w:right w:val="none" w:sz="0" w:space="0" w:color="auto"/>
      </w:divBdr>
    </w:div>
    <w:div w:id="1803499034">
      <w:bodyDiv w:val="1"/>
      <w:marLeft w:val="0"/>
      <w:marRight w:val="0"/>
      <w:marTop w:val="0"/>
      <w:marBottom w:val="0"/>
      <w:divBdr>
        <w:top w:val="none" w:sz="0" w:space="0" w:color="auto"/>
        <w:left w:val="none" w:sz="0" w:space="0" w:color="auto"/>
        <w:bottom w:val="none" w:sz="0" w:space="0" w:color="auto"/>
        <w:right w:val="none" w:sz="0" w:space="0" w:color="auto"/>
      </w:divBdr>
    </w:div>
    <w:div w:id="1807619780">
      <w:bodyDiv w:val="1"/>
      <w:marLeft w:val="0"/>
      <w:marRight w:val="0"/>
      <w:marTop w:val="0"/>
      <w:marBottom w:val="0"/>
      <w:divBdr>
        <w:top w:val="none" w:sz="0" w:space="0" w:color="auto"/>
        <w:left w:val="none" w:sz="0" w:space="0" w:color="auto"/>
        <w:bottom w:val="none" w:sz="0" w:space="0" w:color="auto"/>
        <w:right w:val="none" w:sz="0" w:space="0" w:color="auto"/>
      </w:divBdr>
    </w:div>
    <w:div w:id="1808935360">
      <w:bodyDiv w:val="1"/>
      <w:marLeft w:val="0"/>
      <w:marRight w:val="0"/>
      <w:marTop w:val="0"/>
      <w:marBottom w:val="0"/>
      <w:divBdr>
        <w:top w:val="none" w:sz="0" w:space="0" w:color="auto"/>
        <w:left w:val="none" w:sz="0" w:space="0" w:color="auto"/>
        <w:bottom w:val="none" w:sz="0" w:space="0" w:color="auto"/>
        <w:right w:val="none" w:sz="0" w:space="0" w:color="auto"/>
      </w:divBdr>
    </w:div>
    <w:div w:id="1810242114">
      <w:bodyDiv w:val="1"/>
      <w:marLeft w:val="0"/>
      <w:marRight w:val="0"/>
      <w:marTop w:val="0"/>
      <w:marBottom w:val="0"/>
      <w:divBdr>
        <w:top w:val="none" w:sz="0" w:space="0" w:color="auto"/>
        <w:left w:val="none" w:sz="0" w:space="0" w:color="auto"/>
        <w:bottom w:val="none" w:sz="0" w:space="0" w:color="auto"/>
        <w:right w:val="none" w:sz="0" w:space="0" w:color="auto"/>
      </w:divBdr>
    </w:div>
    <w:div w:id="1812212909">
      <w:bodyDiv w:val="1"/>
      <w:marLeft w:val="0"/>
      <w:marRight w:val="0"/>
      <w:marTop w:val="0"/>
      <w:marBottom w:val="0"/>
      <w:divBdr>
        <w:top w:val="none" w:sz="0" w:space="0" w:color="auto"/>
        <w:left w:val="none" w:sz="0" w:space="0" w:color="auto"/>
        <w:bottom w:val="none" w:sz="0" w:space="0" w:color="auto"/>
        <w:right w:val="none" w:sz="0" w:space="0" w:color="auto"/>
      </w:divBdr>
    </w:div>
    <w:div w:id="1813325355">
      <w:bodyDiv w:val="1"/>
      <w:marLeft w:val="0"/>
      <w:marRight w:val="0"/>
      <w:marTop w:val="0"/>
      <w:marBottom w:val="0"/>
      <w:divBdr>
        <w:top w:val="none" w:sz="0" w:space="0" w:color="auto"/>
        <w:left w:val="none" w:sz="0" w:space="0" w:color="auto"/>
        <w:bottom w:val="none" w:sz="0" w:space="0" w:color="auto"/>
        <w:right w:val="none" w:sz="0" w:space="0" w:color="auto"/>
      </w:divBdr>
    </w:div>
    <w:div w:id="1822455458">
      <w:bodyDiv w:val="1"/>
      <w:marLeft w:val="0"/>
      <w:marRight w:val="0"/>
      <w:marTop w:val="0"/>
      <w:marBottom w:val="0"/>
      <w:divBdr>
        <w:top w:val="none" w:sz="0" w:space="0" w:color="auto"/>
        <w:left w:val="none" w:sz="0" w:space="0" w:color="auto"/>
        <w:bottom w:val="none" w:sz="0" w:space="0" w:color="auto"/>
        <w:right w:val="none" w:sz="0" w:space="0" w:color="auto"/>
      </w:divBdr>
    </w:div>
    <w:div w:id="1824200453">
      <w:bodyDiv w:val="1"/>
      <w:marLeft w:val="0"/>
      <w:marRight w:val="0"/>
      <w:marTop w:val="0"/>
      <w:marBottom w:val="0"/>
      <w:divBdr>
        <w:top w:val="none" w:sz="0" w:space="0" w:color="auto"/>
        <w:left w:val="none" w:sz="0" w:space="0" w:color="auto"/>
        <w:bottom w:val="none" w:sz="0" w:space="0" w:color="auto"/>
        <w:right w:val="none" w:sz="0" w:space="0" w:color="auto"/>
      </w:divBdr>
    </w:div>
    <w:div w:id="1826506553">
      <w:bodyDiv w:val="1"/>
      <w:marLeft w:val="0"/>
      <w:marRight w:val="0"/>
      <w:marTop w:val="0"/>
      <w:marBottom w:val="0"/>
      <w:divBdr>
        <w:top w:val="none" w:sz="0" w:space="0" w:color="auto"/>
        <w:left w:val="none" w:sz="0" w:space="0" w:color="auto"/>
        <w:bottom w:val="none" w:sz="0" w:space="0" w:color="auto"/>
        <w:right w:val="none" w:sz="0" w:space="0" w:color="auto"/>
      </w:divBdr>
    </w:div>
    <w:div w:id="1827669165">
      <w:bodyDiv w:val="1"/>
      <w:marLeft w:val="0"/>
      <w:marRight w:val="0"/>
      <w:marTop w:val="0"/>
      <w:marBottom w:val="0"/>
      <w:divBdr>
        <w:top w:val="none" w:sz="0" w:space="0" w:color="auto"/>
        <w:left w:val="none" w:sz="0" w:space="0" w:color="auto"/>
        <w:bottom w:val="none" w:sz="0" w:space="0" w:color="auto"/>
        <w:right w:val="none" w:sz="0" w:space="0" w:color="auto"/>
      </w:divBdr>
    </w:div>
    <w:div w:id="1828666259">
      <w:bodyDiv w:val="1"/>
      <w:marLeft w:val="0"/>
      <w:marRight w:val="0"/>
      <w:marTop w:val="0"/>
      <w:marBottom w:val="0"/>
      <w:divBdr>
        <w:top w:val="none" w:sz="0" w:space="0" w:color="auto"/>
        <w:left w:val="none" w:sz="0" w:space="0" w:color="auto"/>
        <w:bottom w:val="none" w:sz="0" w:space="0" w:color="auto"/>
        <w:right w:val="none" w:sz="0" w:space="0" w:color="auto"/>
      </w:divBdr>
    </w:div>
    <w:div w:id="1832678561">
      <w:bodyDiv w:val="1"/>
      <w:marLeft w:val="0"/>
      <w:marRight w:val="0"/>
      <w:marTop w:val="0"/>
      <w:marBottom w:val="0"/>
      <w:divBdr>
        <w:top w:val="none" w:sz="0" w:space="0" w:color="auto"/>
        <w:left w:val="none" w:sz="0" w:space="0" w:color="auto"/>
        <w:bottom w:val="none" w:sz="0" w:space="0" w:color="auto"/>
        <w:right w:val="none" w:sz="0" w:space="0" w:color="auto"/>
      </w:divBdr>
    </w:div>
    <w:div w:id="1835954703">
      <w:bodyDiv w:val="1"/>
      <w:marLeft w:val="0"/>
      <w:marRight w:val="0"/>
      <w:marTop w:val="0"/>
      <w:marBottom w:val="0"/>
      <w:divBdr>
        <w:top w:val="none" w:sz="0" w:space="0" w:color="auto"/>
        <w:left w:val="none" w:sz="0" w:space="0" w:color="auto"/>
        <w:bottom w:val="none" w:sz="0" w:space="0" w:color="auto"/>
        <w:right w:val="none" w:sz="0" w:space="0" w:color="auto"/>
      </w:divBdr>
    </w:div>
    <w:div w:id="1838422978">
      <w:bodyDiv w:val="1"/>
      <w:marLeft w:val="0"/>
      <w:marRight w:val="0"/>
      <w:marTop w:val="0"/>
      <w:marBottom w:val="0"/>
      <w:divBdr>
        <w:top w:val="none" w:sz="0" w:space="0" w:color="auto"/>
        <w:left w:val="none" w:sz="0" w:space="0" w:color="auto"/>
        <w:bottom w:val="none" w:sz="0" w:space="0" w:color="auto"/>
        <w:right w:val="none" w:sz="0" w:space="0" w:color="auto"/>
      </w:divBdr>
    </w:div>
    <w:div w:id="1841118999">
      <w:bodyDiv w:val="1"/>
      <w:marLeft w:val="0"/>
      <w:marRight w:val="0"/>
      <w:marTop w:val="0"/>
      <w:marBottom w:val="0"/>
      <w:divBdr>
        <w:top w:val="none" w:sz="0" w:space="0" w:color="auto"/>
        <w:left w:val="none" w:sz="0" w:space="0" w:color="auto"/>
        <w:bottom w:val="none" w:sz="0" w:space="0" w:color="auto"/>
        <w:right w:val="none" w:sz="0" w:space="0" w:color="auto"/>
      </w:divBdr>
    </w:div>
    <w:div w:id="1841508829">
      <w:bodyDiv w:val="1"/>
      <w:marLeft w:val="0"/>
      <w:marRight w:val="0"/>
      <w:marTop w:val="0"/>
      <w:marBottom w:val="0"/>
      <w:divBdr>
        <w:top w:val="none" w:sz="0" w:space="0" w:color="auto"/>
        <w:left w:val="none" w:sz="0" w:space="0" w:color="auto"/>
        <w:bottom w:val="none" w:sz="0" w:space="0" w:color="auto"/>
        <w:right w:val="none" w:sz="0" w:space="0" w:color="auto"/>
      </w:divBdr>
    </w:div>
    <w:div w:id="1847015787">
      <w:bodyDiv w:val="1"/>
      <w:marLeft w:val="0"/>
      <w:marRight w:val="0"/>
      <w:marTop w:val="0"/>
      <w:marBottom w:val="0"/>
      <w:divBdr>
        <w:top w:val="none" w:sz="0" w:space="0" w:color="auto"/>
        <w:left w:val="none" w:sz="0" w:space="0" w:color="auto"/>
        <w:bottom w:val="none" w:sz="0" w:space="0" w:color="auto"/>
        <w:right w:val="none" w:sz="0" w:space="0" w:color="auto"/>
      </w:divBdr>
    </w:div>
    <w:div w:id="1849834467">
      <w:bodyDiv w:val="1"/>
      <w:marLeft w:val="0"/>
      <w:marRight w:val="0"/>
      <w:marTop w:val="0"/>
      <w:marBottom w:val="0"/>
      <w:divBdr>
        <w:top w:val="none" w:sz="0" w:space="0" w:color="auto"/>
        <w:left w:val="none" w:sz="0" w:space="0" w:color="auto"/>
        <w:bottom w:val="none" w:sz="0" w:space="0" w:color="auto"/>
        <w:right w:val="none" w:sz="0" w:space="0" w:color="auto"/>
      </w:divBdr>
    </w:div>
    <w:div w:id="1851679513">
      <w:bodyDiv w:val="1"/>
      <w:marLeft w:val="0"/>
      <w:marRight w:val="0"/>
      <w:marTop w:val="0"/>
      <w:marBottom w:val="0"/>
      <w:divBdr>
        <w:top w:val="none" w:sz="0" w:space="0" w:color="auto"/>
        <w:left w:val="none" w:sz="0" w:space="0" w:color="auto"/>
        <w:bottom w:val="none" w:sz="0" w:space="0" w:color="auto"/>
        <w:right w:val="none" w:sz="0" w:space="0" w:color="auto"/>
      </w:divBdr>
    </w:div>
    <w:div w:id="1854296041">
      <w:bodyDiv w:val="1"/>
      <w:marLeft w:val="0"/>
      <w:marRight w:val="0"/>
      <w:marTop w:val="0"/>
      <w:marBottom w:val="0"/>
      <w:divBdr>
        <w:top w:val="none" w:sz="0" w:space="0" w:color="auto"/>
        <w:left w:val="none" w:sz="0" w:space="0" w:color="auto"/>
        <w:bottom w:val="none" w:sz="0" w:space="0" w:color="auto"/>
        <w:right w:val="none" w:sz="0" w:space="0" w:color="auto"/>
      </w:divBdr>
    </w:div>
    <w:div w:id="1855458755">
      <w:bodyDiv w:val="1"/>
      <w:marLeft w:val="0"/>
      <w:marRight w:val="0"/>
      <w:marTop w:val="0"/>
      <w:marBottom w:val="0"/>
      <w:divBdr>
        <w:top w:val="none" w:sz="0" w:space="0" w:color="auto"/>
        <w:left w:val="none" w:sz="0" w:space="0" w:color="auto"/>
        <w:bottom w:val="none" w:sz="0" w:space="0" w:color="auto"/>
        <w:right w:val="none" w:sz="0" w:space="0" w:color="auto"/>
      </w:divBdr>
    </w:div>
    <w:div w:id="1855848972">
      <w:bodyDiv w:val="1"/>
      <w:marLeft w:val="0"/>
      <w:marRight w:val="0"/>
      <w:marTop w:val="0"/>
      <w:marBottom w:val="0"/>
      <w:divBdr>
        <w:top w:val="none" w:sz="0" w:space="0" w:color="auto"/>
        <w:left w:val="none" w:sz="0" w:space="0" w:color="auto"/>
        <w:bottom w:val="none" w:sz="0" w:space="0" w:color="auto"/>
        <w:right w:val="none" w:sz="0" w:space="0" w:color="auto"/>
      </w:divBdr>
      <w:divsChild>
        <w:div w:id="394090634">
          <w:marLeft w:val="0"/>
          <w:marRight w:val="0"/>
          <w:marTop w:val="0"/>
          <w:marBottom w:val="0"/>
          <w:divBdr>
            <w:top w:val="none" w:sz="0" w:space="0" w:color="auto"/>
            <w:left w:val="none" w:sz="0" w:space="0" w:color="auto"/>
            <w:bottom w:val="none" w:sz="0" w:space="0" w:color="auto"/>
            <w:right w:val="none" w:sz="0" w:space="0" w:color="auto"/>
          </w:divBdr>
        </w:div>
        <w:div w:id="673533432">
          <w:marLeft w:val="0"/>
          <w:marRight w:val="0"/>
          <w:marTop w:val="0"/>
          <w:marBottom w:val="0"/>
          <w:divBdr>
            <w:top w:val="none" w:sz="0" w:space="0" w:color="auto"/>
            <w:left w:val="none" w:sz="0" w:space="0" w:color="auto"/>
            <w:bottom w:val="none" w:sz="0" w:space="0" w:color="auto"/>
            <w:right w:val="none" w:sz="0" w:space="0" w:color="auto"/>
          </w:divBdr>
        </w:div>
        <w:div w:id="941844468">
          <w:marLeft w:val="0"/>
          <w:marRight w:val="0"/>
          <w:marTop w:val="0"/>
          <w:marBottom w:val="0"/>
          <w:divBdr>
            <w:top w:val="none" w:sz="0" w:space="0" w:color="auto"/>
            <w:left w:val="none" w:sz="0" w:space="0" w:color="auto"/>
            <w:bottom w:val="none" w:sz="0" w:space="0" w:color="auto"/>
            <w:right w:val="none" w:sz="0" w:space="0" w:color="auto"/>
          </w:divBdr>
        </w:div>
        <w:div w:id="1090587408">
          <w:marLeft w:val="0"/>
          <w:marRight w:val="0"/>
          <w:marTop w:val="0"/>
          <w:marBottom w:val="0"/>
          <w:divBdr>
            <w:top w:val="none" w:sz="0" w:space="0" w:color="auto"/>
            <w:left w:val="none" w:sz="0" w:space="0" w:color="auto"/>
            <w:bottom w:val="none" w:sz="0" w:space="0" w:color="auto"/>
            <w:right w:val="none" w:sz="0" w:space="0" w:color="auto"/>
          </w:divBdr>
        </w:div>
      </w:divsChild>
    </w:div>
    <w:div w:id="1856458237">
      <w:bodyDiv w:val="1"/>
      <w:marLeft w:val="0"/>
      <w:marRight w:val="0"/>
      <w:marTop w:val="0"/>
      <w:marBottom w:val="0"/>
      <w:divBdr>
        <w:top w:val="none" w:sz="0" w:space="0" w:color="auto"/>
        <w:left w:val="none" w:sz="0" w:space="0" w:color="auto"/>
        <w:bottom w:val="none" w:sz="0" w:space="0" w:color="auto"/>
        <w:right w:val="none" w:sz="0" w:space="0" w:color="auto"/>
      </w:divBdr>
    </w:div>
    <w:div w:id="1856847395">
      <w:bodyDiv w:val="1"/>
      <w:marLeft w:val="0"/>
      <w:marRight w:val="0"/>
      <w:marTop w:val="0"/>
      <w:marBottom w:val="0"/>
      <w:divBdr>
        <w:top w:val="none" w:sz="0" w:space="0" w:color="auto"/>
        <w:left w:val="none" w:sz="0" w:space="0" w:color="auto"/>
        <w:bottom w:val="none" w:sz="0" w:space="0" w:color="auto"/>
        <w:right w:val="none" w:sz="0" w:space="0" w:color="auto"/>
      </w:divBdr>
    </w:div>
    <w:div w:id="1866140449">
      <w:bodyDiv w:val="1"/>
      <w:marLeft w:val="0"/>
      <w:marRight w:val="0"/>
      <w:marTop w:val="0"/>
      <w:marBottom w:val="0"/>
      <w:divBdr>
        <w:top w:val="none" w:sz="0" w:space="0" w:color="auto"/>
        <w:left w:val="none" w:sz="0" w:space="0" w:color="auto"/>
        <w:bottom w:val="none" w:sz="0" w:space="0" w:color="auto"/>
        <w:right w:val="none" w:sz="0" w:space="0" w:color="auto"/>
      </w:divBdr>
    </w:div>
    <w:div w:id="1872568251">
      <w:bodyDiv w:val="1"/>
      <w:marLeft w:val="0"/>
      <w:marRight w:val="0"/>
      <w:marTop w:val="0"/>
      <w:marBottom w:val="0"/>
      <w:divBdr>
        <w:top w:val="none" w:sz="0" w:space="0" w:color="auto"/>
        <w:left w:val="none" w:sz="0" w:space="0" w:color="auto"/>
        <w:bottom w:val="none" w:sz="0" w:space="0" w:color="auto"/>
        <w:right w:val="none" w:sz="0" w:space="0" w:color="auto"/>
      </w:divBdr>
    </w:div>
    <w:div w:id="1874029851">
      <w:bodyDiv w:val="1"/>
      <w:marLeft w:val="0"/>
      <w:marRight w:val="0"/>
      <w:marTop w:val="0"/>
      <w:marBottom w:val="0"/>
      <w:divBdr>
        <w:top w:val="none" w:sz="0" w:space="0" w:color="auto"/>
        <w:left w:val="none" w:sz="0" w:space="0" w:color="auto"/>
        <w:bottom w:val="none" w:sz="0" w:space="0" w:color="auto"/>
        <w:right w:val="none" w:sz="0" w:space="0" w:color="auto"/>
      </w:divBdr>
    </w:div>
    <w:div w:id="1879200969">
      <w:bodyDiv w:val="1"/>
      <w:marLeft w:val="0"/>
      <w:marRight w:val="0"/>
      <w:marTop w:val="0"/>
      <w:marBottom w:val="0"/>
      <w:divBdr>
        <w:top w:val="none" w:sz="0" w:space="0" w:color="auto"/>
        <w:left w:val="none" w:sz="0" w:space="0" w:color="auto"/>
        <w:bottom w:val="none" w:sz="0" w:space="0" w:color="auto"/>
        <w:right w:val="none" w:sz="0" w:space="0" w:color="auto"/>
      </w:divBdr>
    </w:div>
    <w:div w:id="1884756604">
      <w:bodyDiv w:val="1"/>
      <w:marLeft w:val="0"/>
      <w:marRight w:val="0"/>
      <w:marTop w:val="0"/>
      <w:marBottom w:val="0"/>
      <w:divBdr>
        <w:top w:val="none" w:sz="0" w:space="0" w:color="auto"/>
        <w:left w:val="none" w:sz="0" w:space="0" w:color="auto"/>
        <w:bottom w:val="none" w:sz="0" w:space="0" w:color="auto"/>
        <w:right w:val="none" w:sz="0" w:space="0" w:color="auto"/>
      </w:divBdr>
    </w:div>
    <w:div w:id="1890068086">
      <w:bodyDiv w:val="1"/>
      <w:marLeft w:val="0"/>
      <w:marRight w:val="0"/>
      <w:marTop w:val="0"/>
      <w:marBottom w:val="0"/>
      <w:divBdr>
        <w:top w:val="none" w:sz="0" w:space="0" w:color="auto"/>
        <w:left w:val="none" w:sz="0" w:space="0" w:color="auto"/>
        <w:bottom w:val="none" w:sz="0" w:space="0" w:color="auto"/>
        <w:right w:val="none" w:sz="0" w:space="0" w:color="auto"/>
      </w:divBdr>
    </w:div>
    <w:div w:id="1906329819">
      <w:bodyDiv w:val="1"/>
      <w:marLeft w:val="0"/>
      <w:marRight w:val="0"/>
      <w:marTop w:val="0"/>
      <w:marBottom w:val="0"/>
      <w:divBdr>
        <w:top w:val="none" w:sz="0" w:space="0" w:color="auto"/>
        <w:left w:val="none" w:sz="0" w:space="0" w:color="auto"/>
        <w:bottom w:val="none" w:sz="0" w:space="0" w:color="auto"/>
        <w:right w:val="none" w:sz="0" w:space="0" w:color="auto"/>
      </w:divBdr>
      <w:divsChild>
        <w:div w:id="331565906">
          <w:marLeft w:val="0"/>
          <w:marRight w:val="0"/>
          <w:marTop w:val="0"/>
          <w:marBottom w:val="0"/>
          <w:divBdr>
            <w:top w:val="none" w:sz="0" w:space="0" w:color="auto"/>
            <w:left w:val="none" w:sz="0" w:space="0" w:color="auto"/>
            <w:bottom w:val="none" w:sz="0" w:space="0" w:color="auto"/>
            <w:right w:val="none" w:sz="0" w:space="0" w:color="auto"/>
          </w:divBdr>
        </w:div>
        <w:div w:id="449934919">
          <w:marLeft w:val="0"/>
          <w:marRight w:val="0"/>
          <w:marTop w:val="0"/>
          <w:marBottom w:val="0"/>
          <w:divBdr>
            <w:top w:val="none" w:sz="0" w:space="0" w:color="auto"/>
            <w:left w:val="none" w:sz="0" w:space="0" w:color="auto"/>
            <w:bottom w:val="none" w:sz="0" w:space="0" w:color="auto"/>
            <w:right w:val="none" w:sz="0" w:space="0" w:color="auto"/>
          </w:divBdr>
        </w:div>
        <w:div w:id="832575049">
          <w:marLeft w:val="0"/>
          <w:marRight w:val="0"/>
          <w:marTop w:val="0"/>
          <w:marBottom w:val="0"/>
          <w:divBdr>
            <w:top w:val="none" w:sz="0" w:space="0" w:color="auto"/>
            <w:left w:val="none" w:sz="0" w:space="0" w:color="auto"/>
            <w:bottom w:val="none" w:sz="0" w:space="0" w:color="auto"/>
            <w:right w:val="none" w:sz="0" w:space="0" w:color="auto"/>
          </w:divBdr>
        </w:div>
        <w:div w:id="845898019">
          <w:marLeft w:val="0"/>
          <w:marRight w:val="0"/>
          <w:marTop w:val="0"/>
          <w:marBottom w:val="0"/>
          <w:divBdr>
            <w:top w:val="none" w:sz="0" w:space="0" w:color="auto"/>
            <w:left w:val="none" w:sz="0" w:space="0" w:color="auto"/>
            <w:bottom w:val="none" w:sz="0" w:space="0" w:color="auto"/>
            <w:right w:val="none" w:sz="0" w:space="0" w:color="auto"/>
          </w:divBdr>
        </w:div>
        <w:div w:id="1039672629">
          <w:marLeft w:val="0"/>
          <w:marRight w:val="0"/>
          <w:marTop w:val="0"/>
          <w:marBottom w:val="0"/>
          <w:divBdr>
            <w:top w:val="none" w:sz="0" w:space="0" w:color="auto"/>
            <w:left w:val="none" w:sz="0" w:space="0" w:color="auto"/>
            <w:bottom w:val="none" w:sz="0" w:space="0" w:color="auto"/>
            <w:right w:val="none" w:sz="0" w:space="0" w:color="auto"/>
          </w:divBdr>
        </w:div>
        <w:div w:id="1860699961">
          <w:marLeft w:val="0"/>
          <w:marRight w:val="0"/>
          <w:marTop w:val="0"/>
          <w:marBottom w:val="0"/>
          <w:divBdr>
            <w:top w:val="none" w:sz="0" w:space="0" w:color="auto"/>
            <w:left w:val="none" w:sz="0" w:space="0" w:color="auto"/>
            <w:bottom w:val="none" w:sz="0" w:space="0" w:color="auto"/>
            <w:right w:val="none" w:sz="0" w:space="0" w:color="auto"/>
          </w:divBdr>
        </w:div>
        <w:div w:id="2034261686">
          <w:marLeft w:val="0"/>
          <w:marRight w:val="0"/>
          <w:marTop w:val="0"/>
          <w:marBottom w:val="0"/>
          <w:divBdr>
            <w:top w:val="none" w:sz="0" w:space="0" w:color="auto"/>
            <w:left w:val="none" w:sz="0" w:space="0" w:color="auto"/>
            <w:bottom w:val="none" w:sz="0" w:space="0" w:color="auto"/>
            <w:right w:val="none" w:sz="0" w:space="0" w:color="auto"/>
          </w:divBdr>
        </w:div>
      </w:divsChild>
    </w:div>
    <w:div w:id="1909416366">
      <w:bodyDiv w:val="1"/>
      <w:marLeft w:val="0"/>
      <w:marRight w:val="0"/>
      <w:marTop w:val="0"/>
      <w:marBottom w:val="0"/>
      <w:divBdr>
        <w:top w:val="none" w:sz="0" w:space="0" w:color="auto"/>
        <w:left w:val="none" w:sz="0" w:space="0" w:color="auto"/>
        <w:bottom w:val="none" w:sz="0" w:space="0" w:color="auto"/>
        <w:right w:val="none" w:sz="0" w:space="0" w:color="auto"/>
      </w:divBdr>
    </w:div>
    <w:div w:id="1910574873">
      <w:bodyDiv w:val="1"/>
      <w:marLeft w:val="0"/>
      <w:marRight w:val="0"/>
      <w:marTop w:val="0"/>
      <w:marBottom w:val="0"/>
      <w:divBdr>
        <w:top w:val="none" w:sz="0" w:space="0" w:color="auto"/>
        <w:left w:val="none" w:sz="0" w:space="0" w:color="auto"/>
        <w:bottom w:val="none" w:sz="0" w:space="0" w:color="auto"/>
        <w:right w:val="none" w:sz="0" w:space="0" w:color="auto"/>
      </w:divBdr>
    </w:div>
    <w:div w:id="1911576540">
      <w:bodyDiv w:val="1"/>
      <w:marLeft w:val="0"/>
      <w:marRight w:val="0"/>
      <w:marTop w:val="0"/>
      <w:marBottom w:val="0"/>
      <w:divBdr>
        <w:top w:val="none" w:sz="0" w:space="0" w:color="auto"/>
        <w:left w:val="none" w:sz="0" w:space="0" w:color="auto"/>
        <w:bottom w:val="none" w:sz="0" w:space="0" w:color="auto"/>
        <w:right w:val="none" w:sz="0" w:space="0" w:color="auto"/>
      </w:divBdr>
    </w:div>
    <w:div w:id="1911888214">
      <w:bodyDiv w:val="1"/>
      <w:marLeft w:val="0"/>
      <w:marRight w:val="0"/>
      <w:marTop w:val="0"/>
      <w:marBottom w:val="0"/>
      <w:divBdr>
        <w:top w:val="none" w:sz="0" w:space="0" w:color="auto"/>
        <w:left w:val="none" w:sz="0" w:space="0" w:color="auto"/>
        <w:bottom w:val="none" w:sz="0" w:space="0" w:color="auto"/>
        <w:right w:val="none" w:sz="0" w:space="0" w:color="auto"/>
      </w:divBdr>
      <w:divsChild>
        <w:div w:id="1401094651">
          <w:marLeft w:val="0"/>
          <w:marRight w:val="0"/>
          <w:marTop w:val="0"/>
          <w:marBottom w:val="0"/>
          <w:divBdr>
            <w:top w:val="none" w:sz="0" w:space="0" w:color="auto"/>
            <w:left w:val="none" w:sz="0" w:space="0" w:color="auto"/>
            <w:bottom w:val="none" w:sz="0" w:space="0" w:color="auto"/>
            <w:right w:val="none" w:sz="0" w:space="0" w:color="auto"/>
          </w:divBdr>
        </w:div>
        <w:div w:id="1695959574">
          <w:marLeft w:val="0"/>
          <w:marRight w:val="0"/>
          <w:marTop w:val="0"/>
          <w:marBottom w:val="0"/>
          <w:divBdr>
            <w:top w:val="none" w:sz="0" w:space="0" w:color="auto"/>
            <w:left w:val="none" w:sz="0" w:space="0" w:color="auto"/>
            <w:bottom w:val="none" w:sz="0" w:space="0" w:color="auto"/>
            <w:right w:val="none" w:sz="0" w:space="0" w:color="auto"/>
          </w:divBdr>
        </w:div>
      </w:divsChild>
    </w:div>
    <w:div w:id="1920365224">
      <w:bodyDiv w:val="1"/>
      <w:marLeft w:val="0"/>
      <w:marRight w:val="0"/>
      <w:marTop w:val="0"/>
      <w:marBottom w:val="0"/>
      <w:divBdr>
        <w:top w:val="none" w:sz="0" w:space="0" w:color="auto"/>
        <w:left w:val="none" w:sz="0" w:space="0" w:color="auto"/>
        <w:bottom w:val="none" w:sz="0" w:space="0" w:color="auto"/>
        <w:right w:val="none" w:sz="0" w:space="0" w:color="auto"/>
      </w:divBdr>
    </w:div>
    <w:div w:id="1921257305">
      <w:bodyDiv w:val="1"/>
      <w:marLeft w:val="0"/>
      <w:marRight w:val="0"/>
      <w:marTop w:val="0"/>
      <w:marBottom w:val="0"/>
      <w:divBdr>
        <w:top w:val="none" w:sz="0" w:space="0" w:color="auto"/>
        <w:left w:val="none" w:sz="0" w:space="0" w:color="auto"/>
        <w:bottom w:val="none" w:sz="0" w:space="0" w:color="auto"/>
        <w:right w:val="none" w:sz="0" w:space="0" w:color="auto"/>
      </w:divBdr>
    </w:div>
    <w:div w:id="1921452142">
      <w:bodyDiv w:val="1"/>
      <w:marLeft w:val="0"/>
      <w:marRight w:val="0"/>
      <w:marTop w:val="0"/>
      <w:marBottom w:val="0"/>
      <w:divBdr>
        <w:top w:val="none" w:sz="0" w:space="0" w:color="auto"/>
        <w:left w:val="none" w:sz="0" w:space="0" w:color="auto"/>
        <w:bottom w:val="none" w:sz="0" w:space="0" w:color="auto"/>
        <w:right w:val="none" w:sz="0" w:space="0" w:color="auto"/>
      </w:divBdr>
    </w:div>
    <w:div w:id="1926330743">
      <w:bodyDiv w:val="1"/>
      <w:marLeft w:val="0"/>
      <w:marRight w:val="0"/>
      <w:marTop w:val="0"/>
      <w:marBottom w:val="0"/>
      <w:divBdr>
        <w:top w:val="none" w:sz="0" w:space="0" w:color="auto"/>
        <w:left w:val="none" w:sz="0" w:space="0" w:color="auto"/>
        <w:bottom w:val="none" w:sz="0" w:space="0" w:color="auto"/>
        <w:right w:val="none" w:sz="0" w:space="0" w:color="auto"/>
      </w:divBdr>
    </w:div>
    <w:div w:id="1929346990">
      <w:bodyDiv w:val="1"/>
      <w:marLeft w:val="0"/>
      <w:marRight w:val="0"/>
      <w:marTop w:val="0"/>
      <w:marBottom w:val="0"/>
      <w:divBdr>
        <w:top w:val="none" w:sz="0" w:space="0" w:color="auto"/>
        <w:left w:val="none" w:sz="0" w:space="0" w:color="auto"/>
        <w:bottom w:val="none" w:sz="0" w:space="0" w:color="auto"/>
        <w:right w:val="none" w:sz="0" w:space="0" w:color="auto"/>
      </w:divBdr>
    </w:div>
    <w:div w:id="1930582742">
      <w:bodyDiv w:val="1"/>
      <w:marLeft w:val="0"/>
      <w:marRight w:val="0"/>
      <w:marTop w:val="0"/>
      <w:marBottom w:val="0"/>
      <w:divBdr>
        <w:top w:val="none" w:sz="0" w:space="0" w:color="auto"/>
        <w:left w:val="none" w:sz="0" w:space="0" w:color="auto"/>
        <w:bottom w:val="none" w:sz="0" w:space="0" w:color="auto"/>
        <w:right w:val="none" w:sz="0" w:space="0" w:color="auto"/>
      </w:divBdr>
    </w:div>
    <w:div w:id="1933784090">
      <w:bodyDiv w:val="1"/>
      <w:marLeft w:val="0"/>
      <w:marRight w:val="0"/>
      <w:marTop w:val="0"/>
      <w:marBottom w:val="0"/>
      <w:divBdr>
        <w:top w:val="none" w:sz="0" w:space="0" w:color="auto"/>
        <w:left w:val="none" w:sz="0" w:space="0" w:color="auto"/>
        <w:bottom w:val="none" w:sz="0" w:space="0" w:color="auto"/>
        <w:right w:val="none" w:sz="0" w:space="0" w:color="auto"/>
      </w:divBdr>
    </w:div>
    <w:div w:id="1940287844">
      <w:bodyDiv w:val="1"/>
      <w:marLeft w:val="0"/>
      <w:marRight w:val="0"/>
      <w:marTop w:val="0"/>
      <w:marBottom w:val="0"/>
      <w:divBdr>
        <w:top w:val="none" w:sz="0" w:space="0" w:color="auto"/>
        <w:left w:val="none" w:sz="0" w:space="0" w:color="auto"/>
        <w:bottom w:val="none" w:sz="0" w:space="0" w:color="auto"/>
        <w:right w:val="none" w:sz="0" w:space="0" w:color="auto"/>
      </w:divBdr>
    </w:div>
    <w:div w:id="1941138511">
      <w:bodyDiv w:val="1"/>
      <w:marLeft w:val="0"/>
      <w:marRight w:val="0"/>
      <w:marTop w:val="0"/>
      <w:marBottom w:val="0"/>
      <w:divBdr>
        <w:top w:val="none" w:sz="0" w:space="0" w:color="auto"/>
        <w:left w:val="none" w:sz="0" w:space="0" w:color="auto"/>
        <w:bottom w:val="none" w:sz="0" w:space="0" w:color="auto"/>
        <w:right w:val="none" w:sz="0" w:space="0" w:color="auto"/>
      </w:divBdr>
    </w:div>
    <w:div w:id="1941526568">
      <w:bodyDiv w:val="1"/>
      <w:marLeft w:val="0"/>
      <w:marRight w:val="0"/>
      <w:marTop w:val="0"/>
      <w:marBottom w:val="0"/>
      <w:divBdr>
        <w:top w:val="none" w:sz="0" w:space="0" w:color="auto"/>
        <w:left w:val="none" w:sz="0" w:space="0" w:color="auto"/>
        <w:bottom w:val="none" w:sz="0" w:space="0" w:color="auto"/>
        <w:right w:val="none" w:sz="0" w:space="0" w:color="auto"/>
      </w:divBdr>
    </w:div>
    <w:div w:id="1942835552">
      <w:bodyDiv w:val="1"/>
      <w:marLeft w:val="0"/>
      <w:marRight w:val="0"/>
      <w:marTop w:val="0"/>
      <w:marBottom w:val="0"/>
      <w:divBdr>
        <w:top w:val="none" w:sz="0" w:space="0" w:color="auto"/>
        <w:left w:val="none" w:sz="0" w:space="0" w:color="auto"/>
        <w:bottom w:val="none" w:sz="0" w:space="0" w:color="auto"/>
        <w:right w:val="none" w:sz="0" w:space="0" w:color="auto"/>
      </w:divBdr>
    </w:div>
    <w:div w:id="1944533125">
      <w:bodyDiv w:val="1"/>
      <w:marLeft w:val="0"/>
      <w:marRight w:val="0"/>
      <w:marTop w:val="0"/>
      <w:marBottom w:val="0"/>
      <w:divBdr>
        <w:top w:val="none" w:sz="0" w:space="0" w:color="auto"/>
        <w:left w:val="none" w:sz="0" w:space="0" w:color="auto"/>
        <w:bottom w:val="none" w:sz="0" w:space="0" w:color="auto"/>
        <w:right w:val="none" w:sz="0" w:space="0" w:color="auto"/>
      </w:divBdr>
    </w:div>
    <w:div w:id="1945263617">
      <w:bodyDiv w:val="1"/>
      <w:marLeft w:val="0"/>
      <w:marRight w:val="0"/>
      <w:marTop w:val="0"/>
      <w:marBottom w:val="0"/>
      <w:divBdr>
        <w:top w:val="none" w:sz="0" w:space="0" w:color="auto"/>
        <w:left w:val="none" w:sz="0" w:space="0" w:color="auto"/>
        <w:bottom w:val="none" w:sz="0" w:space="0" w:color="auto"/>
        <w:right w:val="none" w:sz="0" w:space="0" w:color="auto"/>
      </w:divBdr>
      <w:divsChild>
        <w:div w:id="429932025">
          <w:marLeft w:val="0"/>
          <w:marRight w:val="0"/>
          <w:marTop w:val="0"/>
          <w:marBottom w:val="0"/>
          <w:divBdr>
            <w:top w:val="none" w:sz="0" w:space="0" w:color="auto"/>
            <w:left w:val="none" w:sz="0" w:space="0" w:color="auto"/>
            <w:bottom w:val="single" w:sz="6" w:space="4" w:color="EEEEEE"/>
            <w:right w:val="none" w:sz="0" w:space="0" w:color="auto"/>
          </w:divBdr>
          <w:divsChild>
            <w:div w:id="1814325623">
              <w:marLeft w:val="0"/>
              <w:marRight w:val="0"/>
              <w:marTop w:val="0"/>
              <w:marBottom w:val="0"/>
              <w:divBdr>
                <w:top w:val="none" w:sz="0" w:space="0" w:color="auto"/>
                <w:left w:val="none" w:sz="0" w:space="0" w:color="auto"/>
                <w:bottom w:val="none" w:sz="0" w:space="0" w:color="auto"/>
                <w:right w:val="none" w:sz="0" w:space="0" w:color="auto"/>
              </w:divBdr>
            </w:div>
          </w:divsChild>
        </w:div>
        <w:div w:id="1259756009">
          <w:marLeft w:val="0"/>
          <w:marRight w:val="0"/>
          <w:marTop w:val="0"/>
          <w:marBottom w:val="0"/>
          <w:divBdr>
            <w:top w:val="none" w:sz="0" w:space="0" w:color="auto"/>
            <w:left w:val="none" w:sz="0" w:space="0" w:color="auto"/>
            <w:bottom w:val="none" w:sz="0" w:space="0" w:color="auto"/>
            <w:right w:val="none" w:sz="0" w:space="0" w:color="auto"/>
          </w:divBdr>
          <w:divsChild>
            <w:div w:id="132334823">
              <w:marLeft w:val="0"/>
              <w:marRight w:val="0"/>
              <w:marTop w:val="0"/>
              <w:marBottom w:val="210"/>
              <w:divBdr>
                <w:top w:val="none" w:sz="0" w:space="0" w:color="auto"/>
                <w:left w:val="none" w:sz="0" w:space="0" w:color="auto"/>
                <w:bottom w:val="none" w:sz="0" w:space="0" w:color="auto"/>
                <w:right w:val="none" w:sz="0" w:space="0" w:color="auto"/>
              </w:divBdr>
            </w:div>
            <w:div w:id="1829979294">
              <w:marLeft w:val="0"/>
              <w:marRight w:val="0"/>
              <w:marTop w:val="0"/>
              <w:marBottom w:val="0"/>
              <w:divBdr>
                <w:top w:val="none" w:sz="0" w:space="0" w:color="auto"/>
                <w:left w:val="none" w:sz="0" w:space="0" w:color="auto"/>
                <w:bottom w:val="none" w:sz="0" w:space="0" w:color="auto"/>
                <w:right w:val="none" w:sz="0" w:space="0" w:color="auto"/>
              </w:divBdr>
              <w:divsChild>
                <w:div w:id="183712361">
                  <w:marLeft w:val="0"/>
                  <w:marRight w:val="0"/>
                  <w:marTop w:val="300"/>
                  <w:marBottom w:val="300"/>
                  <w:divBdr>
                    <w:top w:val="none" w:sz="0" w:space="0" w:color="auto"/>
                    <w:left w:val="none" w:sz="0" w:space="0" w:color="auto"/>
                    <w:bottom w:val="single" w:sz="12" w:space="0" w:color="007AC3"/>
                    <w:right w:val="none" w:sz="0" w:space="0" w:color="auto"/>
                  </w:divBdr>
                  <w:divsChild>
                    <w:div w:id="1302223248">
                      <w:marLeft w:val="0"/>
                      <w:marRight w:val="0"/>
                      <w:marTop w:val="0"/>
                      <w:marBottom w:val="0"/>
                      <w:divBdr>
                        <w:top w:val="single" w:sz="6" w:space="11" w:color="EDEDED"/>
                        <w:left w:val="single" w:sz="6" w:space="11" w:color="EDEDED"/>
                        <w:bottom w:val="single" w:sz="6" w:space="11" w:color="EDEDED"/>
                        <w:right w:val="single" w:sz="6" w:space="11" w:color="EDEDED"/>
                      </w:divBdr>
                      <w:divsChild>
                        <w:div w:id="405343832">
                          <w:marLeft w:val="0"/>
                          <w:marRight w:val="0"/>
                          <w:marTop w:val="0"/>
                          <w:marBottom w:val="0"/>
                          <w:divBdr>
                            <w:top w:val="none" w:sz="0" w:space="0" w:color="auto"/>
                            <w:left w:val="none" w:sz="0" w:space="0" w:color="auto"/>
                            <w:bottom w:val="none" w:sz="0" w:space="0" w:color="auto"/>
                            <w:right w:val="none" w:sz="0" w:space="0" w:color="auto"/>
                          </w:divBdr>
                          <w:divsChild>
                            <w:div w:id="463427764">
                              <w:marLeft w:val="0"/>
                              <w:marRight w:val="0"/>
                              <w:marTop w:val="0"/>
                              <w:marBottom w:val="0"/>
                              <w:divBdr>
                                <w:top w:val="none" w:sz="0" w:space="0" w:color="auto"/>
                                <w:left w:val="none" w:sz="0" w:space="0" w:color="auto"/>
                                <w:bottom w:val="none" w:sz="0" w:space="0" w:color="auto"/>
                                <w:right w:val="none" w:sz="0" w:space="0" w:color="auto"/>
                              </w:divBdr>
                            </w:div>
                            <w:div w:id="12451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7632">
                  <w:marLeft w:val="0"/>
                  <w:marRight w:val="0"/>
                  <w:marTop w:val="0"/>
                  <w:marBottom w:val="0"/>
                  <w:divBdr>
                    <w:top w:val="none" w:sz="0" w:space="0" w:color="auto"/>
                    <w:left w:val="none" w:sz="0" w:space="0" w:color="auto"/>
                    <w:bottom w:val="none" w:sz="0" w:space="0" w:color="auto"/>
                    <w:right w:val="none" w:sz="0" w:space="0" w:color="auto"/>
                  </w:divBdr>
                  <w:divsChild>
                    <w:div w:id="18056144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437356">
      <w:bodyDiv w:val="1"/>
      <w:marLeft w:val="0"/>
      <w:marRight w:val="0"/>
      <w:marTop w:val="0"/>
      <w:marBottom w:val="0"/>
      <w:divBdr>
        <w:top w:val="none" w:sz="0" w:space="0" w:color="auto"/>
        <w:left w:val="none" w:sz="0" w:space="0" w:color="auto"/>
        <w:bottom w:val="none" w:sz="0" w:space="0" w:color="auto"/>
        <w:right w:val="none" w:sz="0" w:space="0" w:color="auto"/>
      </w:divBdr>
      <w:divsChild>
        <w:div w:id="120392421">
          <w:marLeft w:val="0"/>
          <w:marRight w:val="0"/>
          <w:marTop w:val="0"/>
          <w:marBottom w:val="0"/>
          <w:divBdr>
            <w:top w:val="none" w:sz="0" w:space="0" w:color="auto"/>
            <w:left w:val="none" w:sz="0" w:space="0" w:color="auto"/>
            <w:bottom w:val="none" w:sz="0" w:space="0" w:color="auto"/>
            <w:right w:val="none" w:sz="0" w:space="0" w:color="auto"/>
          </w:divBdr>
          <w:divsChild>
            <w:div w:id="913659267">
              <w:marLeft w:val="0"/>
              <w:marRight w:val="0"/>
              <w:marTop w:val="0"/>
              <w:marBottom w:val="0"/>
              <w:divBdr>
                <w:top w:val="none" w:sz="0" w:space="0" w:color="auto"/>
                <w:left w:val="none" w:sz="0" w:space="0" w:color="auto"/>
                <w:bottom w:val="none" w:sz="0" w:space="0" w:color="auto"/>
                <w:right w:val="none" w:sz="0" w:space="0" w:color="auto"/>
              </w:divBdr>
              <w:divsChild>
                <w:div w:id="103886961">
                  <w:marLeft w:val="0"/>
                  <w:marRight w:val="0"/>
                  <w:marTop w:val="0"/>
                  <w:marBottom w:val="0"/>
                  <w:divBdr>
                    <w:top w:val="none" w:sz="0" w:space="0" w:color="auto"/>
                    <w:left w:val="none" w:sz="0" w:space="0" w:color="auto"/>
                    <w:bottom w:val="none" w:sz="0" w:space="0" w:color="auto"/>
                    <w:right w:val="none" w:sz="0" w:space="0" w:color="auto"/>
                  </w:divBdr>
                  <w:divsChild>
                    <w:div w:id="231694406">
                      <w:marLeft w:val="-225"/>
                      <w:marRight w:val="-225"/>
                      <w:marTop w:val="0"/>
                      <w:marBottom w:val="0"/>
                      <w:divBdr>
                        <w:top w:val="none" w:sz="0" w:space="0" w:color="auto"/>
                        <w:left w:val="none" w:sz="0" w:space="0" w:color="auto"/>
                        <w:bottom w:val="none" w:sz="0" w:space="0" w:color="auto"/>
                        <w:right w:val="none" w:sz="0" w:space="0" w:color="auto"/>
                      </w:divBdr>
                    </w:div>
                  </w:divsChild>
                </w:div>
                <w:div w:id="2058356754">
                  <w:marLeft w:val="0"/>
                  <w:marRight w:val="0"/>
                  <w:marTop w:val="300"/>
                  <w:marBottom w:val="300"/>
                  <w:divBdr>
                    <w:top w:val="none" w:sz="0" w:space="0" w:color="auto"/>
                    <w:left w:val="none" w:sz="0" w:space="0" w:color="auto"/>
                    <w:bottom w:val="single" w:sz="12" w:space="0" w:color="007AC3"/>
                    <w:right w:val="none" w:sz="0" w:space="0" w:color="auto"/>
                  </w:divBdr>
                  <w:divsChild>
                    <w:div w:id="2118258912">
                      <w:marLeft w:val="0"/>
                      <w:marRight w:val="0"/>
                      <w:marTop w:val="0"/>
                      <w:marBottom w:val="0"/>
                      <w:divBdr>
                        <w:top w:val="single" w:sz="6" w:space="11" w:color="EDEDED"/>
                        <w:left w:val="single" w:sz="6" w:space="11" w:color="EDEDED"/>
                        <w:bottom w:val="single" w:sz="6" w:space="11" w:color="EDEDED"/>
                        <w:right w:val="single" w:sz="6" w:space="11" w:color="EDEDED"/>
                      </w:divBdr>
                      <w:divsChild>
                        <w:div w:id="1523395563">
                          <w:marLeft w:val="0"/>
                          <w:marRight w:val="0"/>
                          <w:marTop w:val="0"/>
                          <w:marBottom w:val="0"/>
                          <w:divBdr>
                            <w:top w:val="none" w:sz="0" w:space="0" w:color="auto"/>
                            <w:left w:val="none" w:sz="0" w:space="0" w:color="auto"/>
                            <w:bottom w:val="none" w:sz="0" w:space="0" w:color="auto"/>
                            <w:right w:val="none" w:sz="0" w:space="0" w:color="auto"/>
                          </w:divBdr>
                          <w:divsChild>
                            <w:div w:id="59527939">
                              <w:marLeft w:val="0"/>
                              <w:marRight w:val="0"/>
                              <w:marTop w:val="0"/>
                              <w:marBottom w:val="0"/>
                              <w:divBdr>
                                <w:top w:val="none" w:sz="0" w:space="0" w:color="auto"/>
                                <w:left w:val="none" w:sz="0" w:space="0" w:color="auto"/>
                                <w:bottom w:val="none" w:sz="0" w:space="0" w:color="auto"/>
                                <w:right w:val="none" w:sz="0" w:space="0" w:color="auto"/>
                              </w:divBdr>
                            </w:div>
                            <w:div w:id="495848074">
                              <w:marLeft w:val="0"/>
                              <w:marRight w:val="0"/>
                              <w:marTop w:val="0"/>
                              <w:marBottom w:val="0"/>
                              <w:divBdr>
                                <w:top w:val="none" w:sz="0" w:space="0" w:color="auto"/>
                                <w:left w:val="none" w:sz="0" w:space="0" w:color="auto"/>
                                <w:bottom w:val="none" w:sz="0" w:space="0" w:color="auto"/>
                                <w:right w:val="none" w:sz="0" w:space="0" w:color="auto"/>
                              </w:divBdr>
                            </w:div>
                            <w:div w:id="124999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72840">
              <w:marLeft w:val="0"/>
              <w:marRight w:val="0"/>
              <w:marTop w:val="0"/>
              <w:marBottom w:val="210"/>
              <w:divBdr>
                <w:top w:val="none" w:sz="0" w:space="0" w:color="auto"/>
                <w:left w:val="none" w:sz="0" w:space="0" w:color="auto"/>
                <w:bottom w:val="none" w:sz="0" w:space="0" w:color="auto"/>
                <w:right w:val="none" w:sz="0" w:space="0" w:color="auto"/>
              </w:divBdr>
            </w:div>
          </w:divsChild>
        </w:div>
        <w:div w:id="893470218">
          <w:marLeft w:val="0"/>
          <w:marRight w:val="0"/>
          <w:marTop w:val="0"/>
          <w:marBottom w:val="0"/>
          <w:divBdr>
            <w:top w:val="none" w:sz="0" w:space="0" w:color="auto"/>
            <w:left w:val="none" w:sz="0" w:space="0" w:color="auto"/>
            <w:bottom w:val="single" w:sz="6" w:space="4" w:color="EEEEEE"/>
            <w:right w:val="none" w:sz="0" w:space="0" w:color="auto"/>
          </w:divBdr>
          <w:divsChild>
            <w:div w:id="20252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8564">
      <w:bodyDiv w:val="1"/>
      <w:marLeft w:val="0"/>
      <w:marRight w:val="0"/>
      <w:marTop w:val="0"/>
      <w:marBottom w:val="0"/>
      <w:divBdr>
        <w:top w:val="none" w:sz="0" w:space="0" w:color="auto"/>
        <w:left w:val="none" w:sz="0" w:space="0" w:color="auto"/>
        <w:bottom w:val="none" w:sz="0" w:space="0" w:color="auto"/>
        <w:right w:val="none" w:sz="0" w:space="0" w:color="auto"/>
      </w:divBdr>
    </w:div>
    <w:div w:id="1962229589">
      <w:bodyDiv w:val="1"/>
      <w:marLeft w:val="0"/>
      <w:marRight w:val="0"/>
      <w:marTop w:val="0"/>
      <w:marBottom w:val="0"/>
      <w:divBdr>
        <w:top w:val="none" w:sz="0" w:space="0" w:color="auto"/>
        <w:left w:val="none" w:sz="0" w:space="0" w:color="auto"/>
        <w:bottom w:val="none" w:sz="0" w:space="0" w:color="auto"/>
        <w:right w:val="none" w:sz="0" w:space="0" w:color="auto"/>
      </w:divBdr>
    </w:div>
    <w:div w:id="1965692204">
      <w:bodyDiv w:val="1"/>
      <w:marLeft w:val="0"/>
      <w:marRight w:val="0"/>
      <w:marTop w:val="0"/>
      <w:marBottom w:val="0"/>
      <w:divBdr>
        <w:top w:val="none" w:sz="0" w:space="0" w:color="auto"/>
        <w:left w:val="none" w:sz="0" w:space="0" w:color="auto"/>
        <w:bottom w:val="none" w:sz="0" w:space="0" w:color="auto"/>
        <w:right w:val="none" w:sz="0" w:space="0" w:color="auto"/>
      </w:divBdr>
    </w:div>
    <w:div w:id="1970671223">
      <w:bodyDiv w:val="1"/>
      <w:marLeft w:val="0"/>
      <w:marRight w:val="0"/>
      <w:marTop w:val="0"/>
      <w:marBottom w:val="0"/>
      <w:divBdr>
        <w:top w:val="none" w:sz="0" w:space="0" w:color="auto"/>
        <w:left w:val="none" w:sz="0" w:space="0" w:color="auto"/>
        <w:bottom w:val="none" w:sz="0" w:space="0" w:color="auto"/>
        <w:right w:val="none" w:sz="0" w:space="0" w:color="auto"/>
      </w:divBdr>
    </w:div>
    <w:div w:id="1971324473">
      <w:bodyDiv w:val="1"/>
      <w:marLeft w:val="0"/>
      <w:marRight w:val="0"/>
      <w:marTop w:val="0"/>
      <w:marBottom w:val="0"/>
      <w:divBdr>
        <w:top w:val="none" w:sz="0" w:space="0" w:color="auto"/>
        <w:left w:val="none" w:sz="0" w:space="0" w:color="auto"/>
        <w:bottom w:val="none" w:sz="0" w:space="0" w:color="auto"/>
        <w:right w:val="none" w:sz="0" w:space="0" w:color="auto"/>
      </w:divBdr>
    </w:div>
    <w:div w:id="1971858332">
      <w:bodyDiv w:val="1"/>
      <w:marLeft w:val="0"/>
      <w:marRight w:val="0"/>
      <w:marTop w:val="0"/>
      <w:marBottom w:val="0"/>
      <w:divBdr>
        <w:top w:val="none" w:sz="0" w:space="0" w:color="auto"/>
        <w:left w:val="none" w:sz="0" w:space="0" w:color="auto"/>
        <w:bottom w:val="none" w:sz="0" w:space="0" w:color="auto"/>
        <w:right w:val="none" w:sz="0" w:space="0" w:color="auto"/>
      </w:divBdr>
    </w:div>
    <w:div w:id="1974478987">
      <w:bodyDiv w:val="1"/>
      <w:marLeft w:val="0"/>
      <w:marRight w:val="0"/>
      <w:marTop w:val="0"/>
      <w:marBottom w:val="0"/>
      <w:divBdr>
        <w:top w:val="none" w:sz="0" w:space="0" w:color="auto"/>
        <w:left w:val="none" w:sz="0" w:space="0" w:color="auto"/>
        <w:bottom w:val="none" w:sz="0" w:space="0" w:color="auto"/>
        <w:right w:val="none" w:sz="0" w:space="0" w:color="auto"/>
      </w:divBdr>
    </w:div>
    <w:div w:id="1980841863">
      <w:bodyDiv w:val="1"/>
      <w:marLeft w:val="0"/>
      <w:marRight w:val="0"/>
      <w:marTop w:val="0"/>
      <w:marBottom w:val="0"/>
      <w:divBdr>
        <w:top w:val="none" w:sz="0" w:space="0" w:color="auto"/>
        <w:left w:val="none" w:sz="0" w:space="0" w:color="auto"/>
        <w:bottom w:val="none" w:sz="0" w:space="0" w:color="auto"/>
        <w:right w:val="none" w:sz="0" w:space="0" w:color="auto"/>
      </w:divBdr>
    </w:div>
    <w:div w:id="1980914682">
      <w:bodyDiv w:val="1"/>
      <w:marLeft w:val="0"/>
      <w:marRight w:val="0"/>
      <w:marTop w:val="0"/>
      <w:marBottom w:val="0"/>
      <w:divBdr>
        <w:top w:val="none" w:sz="0" w:space="0" w:color="auto"/>
        <w:left w:val="none" w:sz="0" w:space="0" w:color="auto"/>
        <w:bottom w:val="none" w:sz="0" w:space="0" w:color="auto"/>
        <w:right w:val="none" w:sz="0" w:space="0" w:color="auto"/>
      </w:divBdr>
    </w:div>
    <w:div w:id="1986658834">
      <w:bodyDiv w:val="1"/>
      <w:marLeft w:val="0"/>
      <w:marRight w:val="0"/>
      <w:marTop w:val="0"/>
      <w:marBottom w:val="0"/>
      <w:divBdr>
        <w:top w:val="none" w:sz="0" w:space="0" w:color="auto"/>
        <w:left w:val="none" w:sz="0" w:space="0" w:color="auto"/>
        <w:bottom w:val="none" w:sz="0" w:space="0" w:color="auto"/>
        <w:right w:val="none" w:sz="0" w:space="0" w:color="auto"/>
      </w:divBdr>
    </w:div>
    <w:div w:id="1990136461">
      <w:bodyDiv w:val="1"/>
      <w:marLeft w:val="0"/>
      <w:marRight w:val="0"/>
      <w:marTop w:val="0"/>
      <w:marBottom w:val="0"/>
      <w:divBdr>
        <w:top w:val="none" w:sz="0" w:space="0" w:color="auto"/>
        <w:left w:val="none" w:sz="0" w:space="0" w:color="auto"/>
        <w:bottom w:val="none" w:sz="0" w:space="0" w:color="auto"/>
        <w:right w:val="none" w:sz="0" w:space="0" w:color="auto"/>
      </w:divBdr>
    </w:div>
    <w:div w:id="1993634808">
      <w:bodyDiv w:val="1"/>
      <w:marLeft w:val="0"/>
      <w:marRight w:val="0"/>
      <w:marTop w:val="0"/>
      <w:marBottom w:val="0"/>
      <w:divBdr>
        <w:top w:val="none" w:sz="0" w:space="0" w:color="auto"/>
        <w:left w:val="none" w:sz="0" w:space="0" w:color="auto"/>
        <w:bottom w:val="none" w:sz="0" w:space="0" w:color="auto"/>
        <w:right w:val="none" w:sz="0" w:space="0" w:color="auto"/>
      </w:divBdr>
    </w:div>
    <w:div w:id="2007051563">
      <w:bodyDiv w:val="1"/>
      <w:marLeft w:val="0"/>
      <w:marRight w:val="0"/>
      <w:marTop w:val="0"/>
      <w:marBottom w:val="0"/>
      <w:divBdr>
        <w:top w:val="none" w:sz="0" w:space="0" w:color="auto"/>
        <w:left w:val="none" w:sz="0" w:space="0" w:color="auto"/>
        <w:bottom w:val="none" w:sz="0" w:space="0" w:color="auto"/>
        <w:right w:val="none" w:sz="0" w:space="0" w:color="auto"/>
      </w:divBdr>
    </w:div>
    <w:div w:id="2012634864">
      <w:bodyDiv w:val="1"/>
      <w:marLeft w:val="0"/>
      <w:marRight w:val="0"/>
      <w:marTop w:val="0"/>
      <w:marBottom w:val="0"/>
      <w:divBdr>
        <w:top w:val="none" w:sz="0" w:space="0" w:color="auto"/>
        <w:left w:val="none" w:sz="0" w:space="0" w:color="auto"/>
        <w:bottom w:val="none" w:sz="0" w:space="0" w:color="auto"/>
        <w:right w:val="none" w:sz="0" w:space="0" w:color="auto"/>
      </w:divBdr>
    </w:div>
    <w:div w:id="2025938417">
      <w:bodyDiv w:val="1"/>
      <w:marLeft w:val="0"/>
      <w:marRight w:val="0"/>
      <w:marTop w:val="0"/>
      <w:marBottom w:val="0"/>
      <w:divBdr>
        <w:top w:val="none" w:sz="0" w:space="0" w:color="auto"/>
        <w:left w:val="none" w:sz="0" w:space="0" w:color="auto"/>
        <w:bottom w:val="none" w:sz="0" w:space="0" w:color="auto"/>
        <w:right w:val="none" w:sz="0" w:space="0" w:color="auto"/>
      </w:divBdr>
    </w:div>
    <w:div w:id="2030258057">
      <w:bodyDiv w:val="1"/>
      <w:marLeft w:val="0"/>
      <w:marRight w:val="0"/>
      <w:marTop w:val="0"/>
      <w:marBottom w:val="0"/>
      <w:divBdr>
        <w:top w:val="none" w:sz="0" w:space="0" w:color="auto"/>
        <w:left w:val="none" w:sz="0" w:space="0" w:color="auto"/>
        <w:bottom w:val="none" w:sz="0" w:space="0" w:color="auto"/>
        <w:right w:val="none" w:sz="0" w:space="0" w:color="auto"/>
      </w:divBdr>
    </w:div>
    <w:div w:id="2031952969">
      <w:bodyDiv w:val="1"/>
      <w:marLeft w:val="0"/>
      <w:marRight w:val="0"/>
      <w:marTop w:val="0"/>
      <w:marBottom w:val="0"/>
      <w:divBdr>
        <w:top w:val="none" w:sz="0" w:space="0" w:color="auto"/>
        <w:left w:val="none" w:sz="0" w:space="0" w:color="auto"/>
        <w:bottom w:val="none" w:sz="0" w:space="0" w:color="auto"/>
        <w:right w:val="none" w:sz="0" w:space="0" w:color="auto"/>
      </w:divBdr>
    </w:div>
    <w:div w:id="2037539166">
      <w:bodyDiv w:val="1"/>
      <w:marLeft w:val="0"/>
      <w:marRight w:val="0"/>
      <w:marTop w:val="0"/>
      <w:marBottom w:val="0"/>
      <w:divBdr>
        <w:top w:val="none" w:sz="0" w:space="0" w:color="auto"/>
        <w:left w:val="none" w:sz="0" w:space="0" w:color="auto"/>
        <w:bottom w:val="none" w:sz="0" w:space="0" w:color="auto"/>
        <w:right w:val="none" w:sz="0" w:space="0" w:color="auto"/>
      </w:divBdr>
    </w:div>
    <w:div w:id="2042629257">
      <w:bodyDiv w:val="1"/>
      <w:marLeft w:val="0"/>
      <w:marRight w:val="0"/>
      <w:marTop w:val="0"/>
      <w:marBottom w:val="0"/>
      <w:divBdr>
        <w:top w:val="none" w:sz="0" w:space="0" w:color="auto"/>
        <w:left w:val="none" w:sz="0" w:space="0" w:color="auto"/>
        <w:bottom w:val="none" w:sz="0" w:space="0" w:color="auto"/>
        <w:right w:val="none" w:sz="0" w:space="0" w:color="auto"/>
      </w:divBdr>
    </w:div>
    <w:div w:id="2044671880">
      <w:bodyDiv w:val="1"/>
      <w:marLeft w:val="0"/>
      <w:marRight w:val="0"/>
      <w:marTop w:val="0"/>
      <w:marBottom w:val="0"/>
      <w:divBdr>
        <w:top w:val="none" w:sz="0" w:space="0" w:color="auto"/>
        <w:left w:val="none" w:sz="0" w:space="0" w:color="auto"/>
        <w:bottom w:val="none" w:sz="0" w:space="0" w:color="auto"/>
        <w:right w:val="none" w:sz="0" w:space="0" w:color="auto"/>
      </w:divBdr>
    </w:div>
    <w:div w:id="2045672991">
      <w:bodyDiv w:val="1"/>
      <w:marLeft w:val="0"/>
      <w:marRight w:val="0"/>
      <w:marTop w:val="0"/>
      <w:marBottom w:val="0"/>
      <w:divBdr>
        <w:top w:val="none" w:sz="0" w:space="0" w:color="auto"/>
        <w:left w:val="none" w:sz="0" w:space="0" w:color="auto"/>
        <w:bottom w:val="none" w:sz="0" w:space="0" w:color="auto"/>
        <w:right w:val="none" w:sz="0" w:space="0" w:color="auto"/>
      </w:divBdr>
    </w:div>
    <w:div w:id="2050063295">
      <w:bodyDiv w:val="1"/>
      <w:marLeft w:val="0"/>
      <w:marRight w:val="0"/>
      <w:marTop w:val="0"/>
      <w:marBottom w:val="0"/>
      <w:divBdr>
        <w:top w:val="none" w:sz="0" w:space="0" w:color="auto"/>
        <w:left w:val="none" w:sz="0" w:space="0" w:color="auto"/>
        <w:bottom w:val="none" w:sz="0" w:space="0" w:color="auto"/>
        <w:right w:val="none" w:sz="0" w:space="0" w:color="auto"/>
      </w:divBdr>
    </w:div>
    <w:div w:id="2050642739">
      <w:bodyDiv w:val="1"/>
      <w:marLeft w:val="0"/>
      <w:marRight w:val="0"/>
      <w:marTop w:val="0"/>
      <w:marBottom w:val="0"/>
      <w:divBdr>
        <w:top w:val="none" w:sz="0" w:space="0" w:color="auto"/>
        <w:left w:val="none" w:sz="0" w:space="0" w:color="auto"/>
        <w:bottom w:val="none" w:sz="0" w:space="0" w:color="auto"/>
        <w:right w:val="none" w:sz="0" w:space="0" w:color="auto"/>
      </w:divBdr>
    </w:div>
    <w:div w:id="2051952686">
      <w:bodyDiv w:val="1"/>
      <w:marLeft w:val="0"/>
      <w:marRight w:val="0"/>
      <w:marTop w:val="0"/>
      <w:marBottom w:val="0"/>
      <w:divBdr>
        <w:top w:val="none" w:sz="0" w:space="0" w:color="auto"/>
        <w:left w:val="none" w:sz="0" w:space="0" w:color="auto"/>
        <w:bottom w:val="none" w:sz="0" w:space="0" w:color="auto"/>
        <w:right w:val="none" w:sz="0" w:space="0" w:color="auto"/>
      </w:divBdr>
    </w:div>
    <w:div w:id="2053922753">
      <w:bodyDiv w:val="1"/>
      <w:marLeft w:val="0"/>
      <w:marRight w:val="0"/>
      <w:marTop w:val="0"/>
      <w:marBottom w:val="0"/>
      <w:divBdr>
        <w:top w:val="none" w:sz="0" w:space="0" w:color="auto"/>
        <w:left w:val="none" w:sz="0" w:space="0" w:color="auto"/>
        <w:bottom w:val="none" w:sz="0" w:space="0" w:color="auto"/>
        <w:right w:val="none" w:sz="0" w:space="0" w:color="auto"/>
      </w:divBdr>
    </w:div>
    <w:div w:id="2054885191">
      <w:bodyDiv w:val="1"/>
      <w:marLeft w:val="0"/>
      <w:marRight w:val="0"/>
      <w:marTop w:val="0"/>
      <w:marBottom w:val="0"/>
      <w:divBdr>
        <w:top w:val="none" w:sz="0" w:space="0" w:color="auto"/>
        <w:left w:val="none" w:sz="0" w:space="0" w:color="auto"/>
        <w:bottom w:val="none" w:sz="0" w:space="0" w:color="auto"/>
        <w:right w:val="none" w:sz="0" w:space="0" w:color="auto"/>
      </w:divBdr>
      <w:divsChild>
        <w:div w:id="857891653">
          <w:marLeft w:val="0"/>
          <w:marRight w:val="0"/>
          <w:marTop w:val="0"/>
          <w:marBottom w:val="0"/>
          <w:divBdr>
            <w:top w:val="none" w:sz="0" w:space="0" w:color="auto"/>
            <w:left w:val="none" w:sz="0" w:space="0" w:color="auto"/>
            <w:bottom w:val="none" w:sz="0" w:space="0" w:color="auto"/>
            <w:right w:val="none" w:sz="0" w:space="0" w:color="auto"/>
          </w:divBdr>
        </w:div>
        <w:div w:id="1115102718">
          <w:marLeft w:val="0"/>
          <w:marRight w:val="0"/>
          <w:marTop w:val="0"/>
          <w:marBottom w:val="0"/>
          <w:divBdr>
            <w:top w:val="none" w:sz="0" w:space="0" w:color="auto"/>
            <w:left w:val="none" w:sz="0" w:space="0" w:color="auto"/>
            <w:bottom w:val="none" w:sz="0" w:space="0" w:color="auto"/>
            <w:right w:val="none" w:sz="0" w:space="0" w:color="auto"/>
          </w:divBdr>
        </w:div>
        <w:div w:id="1940722194">
          <w:marLeft w:val="0"/>
          <w:marRight w:val="0"/>
          <w:marTop w:val="0"/>
          <w:marBottom w:val="0"/>
          <w:divBdr>
            <w:top w:val="none" w:sz="0" w:space="0" w:color="auto"/>
            <w:left w:val="none" w:sz="0" w:space="0" w:color="auto"/>
            <w:bottom w:val="none" w:sz="0" w:space="0" w:color="auto"/>
            <w:right w:val="none" w:sz="0" w:space="0" w:color="auto"/>
          </w:divBdr>
        </w:div>
      </w:divsChild>
    </w:div>
    <w:div w:id="2063670868">
      <w:bodyDiv w:val="1"/>
      <w:marLeft w:val="0"/>
      <w:marRight w:val="0"/>
      <w:marTop w:val="0"/>
      <w:marBottom w:val="0"/>
      <w:divBdr>
        <w:top w:val="none" w:sz="0" w:space="0" w:color="auto"/>
        <w:left w:val="none" w:sz="0" w:space="0" w:color="auto"/>
        <w:bottom w:val="none" w:sz="0" w:space="0" w:color="auto"/>
        <w:right w:val="none" w:sz="0" w:space="0" w:color="auto"/>
      </w:divBdr>
    </w:div>
    <w:div w:id="2065639649">
      <w:bodyDiv w:val="1"/>
      <w:marLeft w:val="0"/>
      <w:marRight w:val="0"/>
      <w:marTop w:val="0"/>
      <w:marBottom w:val="0"/>
      <w:divBdr>
        <w:top w:val="none" w:sz="0" w:space="0" w:color="auto"/>
        <w:left w:val="none" w:sz="0" w:space="0" w:color="auto"/>
        <w:bottom w:val="none" w:sz="0" w:space="0" w:color="auto"/>
        <w:right w:val="none" w:sz="0" w:space="0" w:color="auto"/>
      </w:divBdr>
    </w:div>
    <w:div w:id="2076659296">
      <w:bodyDiv w:val="1"/>
      <w:marLeft w:val="0"/>
      <w:marRight w:val="0"/>
      <w:marTop w:val="0"/>
      <w:marBottom w:val="0"/>
      <w:divBdr>
        <w:top w:val="none" w:sz="0" w:space="0" w:color="auto"/>
        <w:left w:val="none" w:sz="0" w:space="0" w:color="auto"/>
        <w:bottom w:val="none" w:sz="0" w:space="0" w:color="auto"/>
        <w:right w:val="none" w:sz="0" w:space="0" w:color="auto"/>
      </w:divBdr>
    </w:div>
    <w:div w:id="2079590578">
      <w:bodyDiv w:val="1"/>
      <w:marLeft w:val="0"/>
      <w:marRight w:val="0"/>
      <w:marTop w:val="0"/>
      <w:marBottom w:val="0"/>
      <w:divBdr>
        <w:top w:val="none" w:sz="0" w:space="0" w:color="auto"/>
        <w:left w:val="none" w:sz="0" w:space="0" w:color="auto"/>
        <w:bottom w:val="none" w:sz="0" w:space="0" w:color="auto"/>
        <w:right w:val="none" w:sz="0" w:space="0" w:color="auto"/>
      </w:divBdr>
    </w:div>
    <w:div w:id="2082218466">
      <w:bodyDiv w:val="1"/>
      <w:marLeft w:val="0"/>
      <w:marRight w:val="0"/>
      <w:marTop w:val="0"/>
      <w:marBottom w:val="0"/>
      <w:divBdr>
        <w:top w:val="none" w:sz="0" w:space="0" w:color="auto"/>
        <w:left w:val="none" w:sz="0" w:space="0" w:color="auto"/>
        <w:bottom w:val="none" w:sz="0" w:space="0" w:color="auto"/>
        <w:right w:val="none" w:sz="0" w:space="0" w:color="auto"/>
      </w:divBdr>
    </w:div>
    <w:div w:id="2087065295">
      <w:bodyDiv w:val="1"/>
      <w:marLeft w:val="0"/>
      <w:marRight w:val="0"/>
      <w:marTop w:val="0"/>
      <w:marBottom w:val="0"/>
      <w:divBdr>
        <w:top w:val="none" w:sz="0" w:space="0" w:color="auto"/>
        <w:left w:val="none" w:sz="0" w:space="0" w:color="auto"/>
        <w:bottom w:val="none" w:sz="0" w:space="0" w:color="auto"/>
        <w:right w:val="none" w:sz="0" w:space="0" w:color="auto"/>
      </w:divBdr>
    </w:div>
    <w:div w:id="2087805073">
      <w:bodyDiv w:val="1"/>
      <w:marLeft w:val="0"/>
      <w:marRight w:val="0"/>
      <w:marTop w:val="0"/>
      <w:marBottom w:val="0"/>
      <w:divBdr>
        <w:top w:val="none" w:sz="0" w:space="0" w:color="auto"/>
        <w:left w:val="none" w:sz="0" w:space="0" w:color="auto"/>
        <w:bottom w:val="none" w:sz="0" w:space="0" w:color="auto"/>
        <w:right w:val="none" w:sz="0" w:space="0" w:color="auto"/>
      </w:divBdr>
    </w:div>
    <w:div w:id="2090231387">
      <w:bodyDiv w:val="1"/>
      <w:marLeft w:val="0"/>
      <w:marRight w:val="0"/>
      <w:marTop w:val="0"/>
      <w:marBottom w:val="0"/>
      <w:divBdr>
        <w:top w:val="none" w:sz="0" w:space="0" w:color="auto"/>
        <w:left w:val="none" w:sz="0" w:space="0" w:color="auto"/>
        <w:bottom w:val="none" w:sz="0" w:space="0" w:color="auto"/>
        <w:right w:val="none" w:sz="0" w:space="0" w:color="auto"/>
      </w:divBdr>
    </w:div>
    <w:div w:id="2094163539">
      <w:bodyDiv w:val="1"/>
      <w:marLeft w:val="0"/>
      <w:marRight w:val="0"/>
      <w:marTop w:val="0"/>
      <w:marBottom w:val="0"/>
      <w:divBdr>
        <w:top w:val="none" w:sz="0" w:space="0" w:color="auto"/>
        <w:left w:val="none" w:sz="0" w:space="0" w:color="auto"/>
        <w:bottom w:val="none" w:sz="0" w:space="0" w:color="auto"/>
        <w:right w:val="none" w:sz="0" w:space="0" w:color="auto"/>
      </w:divBdr>
    </w:div>
    <w:div w:id="2094547821">
      <w:bodyDiv w:val="1"/>
      <w:marLeft w:val="0"/>
      <w:marRight w:val="0"/>
      <w:marTop w:val="0"/>
      <w:marBottom w:val="0"/>
      <w:divBdr>
        <w:top w:val="none" w:sz="0" w:space="0" w:color="auto"/>
        <w:left w:val="none" w:sz="0" w:space="0" w:color="auto"/>
        <w:bottom w:val="none" w:sz="0" w:space="0" w:color="auto"/>
        <w:right w:val="none" w:sz="0" w:space="0" w:color="auto"/>
      </w:divBdr>
    </w:div>
    <w:div w:id="2103717974">
      <w:bodyDiv w:val="1"/>
      <w:marLeft w:val="0"/>
      <w:marRight w:val="0"/>
      <w:marTop w:val="0"/>
      <w:marBottom w:val="0"/>
      <w:divBdr>
        <w:top w:val="none" w:sz="0" w:space="0" w:color="auto"/>
        <w:left w:val="none" w:sz="0" w:space="0" w:color="auto"/>
        <w:bottom w:val="none" w:sz="0" w:space="0" w:color="auto"/>
        <w:right w:val="none" w:sz="0" w:space="0" w:color="auto"/>
      </w:divBdr>
    </w:div>
    <w:div w:id="2112969439">
      <w:bodyDiv w:val="1"/>
      <w:marLeft w:val="0"/>
      <w:marRight w:val="0"/>
      <w:marTop w:val="0"/>
      <w:marBottom w:val="0"/>
      <w:divBdr>
        <w:top w:val="none" w:sz="0" w:space="0" w:color="auto"/>
        <w:left w:val="none" w:sz="0" w:space="0" w:color="auto"/>
        <w:bottom w:val="none" w:sz="0" w:space="0" w:color="auto"/>
        <w:right w:val="none" w:sz="0" w:space="0" w:color="auto"/>
      </w:divBdr>
    </w:div>
    <w:div w:id="2113554033">
      <w:bodyDiv w:val="1"/>
      <w:marLeft w:val="0"/>
      <w:marRight w:val="0"/>
      <w:marTop w:val="0"/>
      <w:marBottom w:val="0"/>
      <w:divBdr>
        <w:top w:val="none" w:sz="0" w:space="0" w:color="auto"/>
        <w:left w:val="none" w:sz="0" w:space="0" w:color="auto"/>
        <w:bottom w:val="none" w:sz="0" w:space="0" w:color="auto"/>
        <w:right w:val="none" w:sz="0" w:space="0" w:color="auto"/>
      </w:divBdr>
    </w:div>
    <w:div w:id="2119524016">
      <w:bodyDiv w:val="1"/>
      <w:marLeft w:val="0"/>
      <w:marRight w:val="0"/>
      <w:marTop w:val="0"/>
      <w:marBottom w:val="0"/>
      <w:divBdr>
        <w:top w:val="none" w:sz="0" w:space="0" w:color="auto"/>
        <w:left w:val="none" w:sz="0" w:space="0" w:color="auto"/>
        <w:bottom w:val="none" w:sz="0" w:space="0" w:color="auto"/>
        <w:right w:val="none" w:sz="0" w:space="0" w:color="auto"/>
      </w:divBdr>
    </w:div>
    <w:div w:id="2119594798">
      <w:bodyDiv w:val="1"/>
      <w:marLeft w:val="0"/>
      <w:marRight w:val="0"/>
      <w:marTop w:val="0"/>
      <w:marBottom w:val="0"/>
      <w:divBdr>
        <w:top w:val="none" w:sz="0" w:space="0" w:color="auto"/>
        <w:left w:val="none" w:sz="0" w:space="0" w:color="auto"/>
        <w:bottom w:val="none" w:sz="0" w:space="0" w:color="auto"/>
        <w:right w:val="none" w:sz="0" w:space="0" w:color="auto"/>
      </w:divBdr>
    </w:div>
    <w:div w:id="2121341510">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 w:id="2124306933">
      <w:bodyDiv w:val="1"/>
      <w:marLeft w:val="0"/>
      <w:marRight w:val="0"/>
      <w:marTop w:val="0"/>
      <w:marBottom w:val="0"/>
      <w:divBdr>
        <w:top w:val="none" w:sz="0" w:space="0" w:color="auto"/>
        <w:left w:val="none" w:sz="0" w:space="0" w:color="auto"/>
        <w:bottom w:val="none" w:sz="0" w:space="0" w:color="auto"/>
        <w:right w:val="none" w:sz="0" w:space="0" w:color="auto"/>
      </w:divBdr>
    </w:div>
    <w:div w:id="2129082455">
      <w:bodyDiv w:val="1"/>
      <w:marLeft w:val="0"/>
      <w:marRight w:val="0"/>
      <w:marTop w:val="0"/>
      <w:marBottom w:val="0"/>
      <w:divBdr>
        <w:top w:val="none" w:sz="0" w:space="0" w:color="auto"/>
        <w:left w:val="none" w:sz="0" w:space="0" w:color="auto"/>
        <w:bottom w:val="none" w:sz="0" w:space="0" w:color="auto"/>
        <w:right w:val="none" w:sz="0" w:space="0" w:color="auto"/>
      </w:divBdr>
      <w:divsChild>
        <w:div w:id="1091655976">
          <w:marLeft w:val="0"/>
          <w:marRight w:val="0"/>
          <w:marTop w:val="0"/>
          <w:marBottom w:val="0"/>
          <w:divBdr>
            <w:top w:val="none" w:sz="0" w:space="0" w:color="auto"/>
            <w:left w:val="none" w:sz="0" w:space="0" w:color="auto"/>
            <w:bottom w:val="none" w:sz="0" w:space="0" w:color="auto"/>
            <w:right w:val="none" w:sz="0" w:space="0" w:color="auto"/>
          </w:divBdr>
          <w:divsChild>
            <w:div w:id="307706112">
              <w:marLeft w:val="0"/>
              <w:marRight w:val="0"/>
              <w:marTop w:val="0"/>
              <w:marBottom w:val="210"/>
              <w:divBdr>
                <w:top w:val="none" w:sz="0" w:space="0" w:color="auto"/>
                <w:left w:val="none" w:sz="0" w:space="0" w:color="auto"/>
                <w:bottom w:val="none" w:sz="0" w:space="0" w:color="auto"/>
                <w:right w:val="none" w:sz="0" w:space="0" w:color="auto"/>
              </w:divBdr>
            </w:div>
            <w:div w:id="1577469973">
              <w:marLeft w:val="0"/>
              <w:marRight w:val="0"/>
              <w:marTop w:val="0"/>
              <w:marBottom w:val="0"/>
              <w:divBdr>
                <w:top w:val="none" w:sz="0" w:space="0" w:color="auto"/>
                <w:left w:val="none" w:sz="0" w:space="0" w:color="auto"/>
                <w:bottom w:val="none" w:sz="0" w:space="0" w:color="auto"/>
                <w:right w:val="none" w:sz="0" w:space="0" w:color="auto"/>
              </w:divBdr>
              <w:divsChild>
                <w:div w:id="1723023130">
                  <w:marLeft w:val="0"/>
                  <w:marRight w:val="0"/>
                  <w:marTop w:val="300"/>
                  <w:marBottom w:val="300"/>
                  <w:divBdr>
                    <w:top w:val="none" w:sz="0" w:space="0" w:color="auto"/>
                    <w:left w:val="none" w:sz="0" w:space="0" w:color="auto"/>
                    <w:bottom w:val="single" w:sz="12" w:space="0" w:color="007AC3"/>
                    <w:right w:val="none" w:sz="0" w:space="0" w:color="auto"/>
                  </w:divBdr>
                  <w:divsChild>
                    <w:div w:id="418256663">
                      <w:marLeft w:val="0"/>
                      <w:marRight w:val="0"/>
                      <w:marTop w:val="0"/>
                      <w:marBottom w:val="0"/>
                      <w:divBdr>
                        <w:top w:val="single" w:sz="6" w:space="11" w:color="EDEDED"/>
                        <w:left w:val="single" w:sz="6" w:space="11" w:color="EDEDED"/>
                        <w:bottom w:val="single" w:sz="6" w:space="11" w:color="EDEDED"/>
                        <w:right w:val="single" w:sz="6" w:space="11" w:color="EDEDED"/>
                      </w:divBdr>
                      <w:divsChild>
                        <w:div w:id="961036396">
                          <w:marLeft w:val="0"/>
                          <w:marRight w:val="0"/>
                          <w:marTop w:val="0"/>
                          <w:marBottom w:val="0"/>
                          <w:divBdr>
                            <w:top w:val="none" w:sz="0" w:space="0" w:color="auto"/>
                            <w:left w:val="none" w:sz="0" w:space="0" w:color="auto"/>
                            <w:bottom w:val="none" w:sz="0" w:space="0" w:color="auto"/>
                            <w:right w:val="none" w:sz="0" w:space="0" w:color="auto"/>
                          </w:divBdr>
                          <w:divsChild>
                            <w:div w:id="1850175432">
                              <w:marLeft w:val="0"/>
                              <w:marRight w:val="0"/>
                              <w:marTop w:val="0"/>
                              <w:marBottom w:val="0"/>
                              <w:divBdr>
                                <w:top w:val="none" w:sz="0" w:space="0" w:color="auto"/>
                                <w:left w:val="none" w:sz="0" w:space="0" w:color="auto"/>
                                <w:bottom w:val="none" w:sz="0" w:space="0" w:color="auto"/>
                                <w:right w:val="none" w:sz="0" w:space="0" w:color="auto"/>
                              </w:divBdr>
                            </w:div>
                            <w:div w:id="21412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065991">
                  <w:marLeft w:val="0"/>
                  <w:marRight w:val="0"/>
                  <w:marTop w:val="0"/>
                  <w:marBottom w:val="0"/>
                  <w:divBdr>
                    <w:top w:val="none" w:sz="0" w:space="0" w:color="auto"/>
                    <w:left w:val="none" w:sz="0" w:space="0" w:color="auto"/>
                    <w:bottom w:val="none" w:sz="0" w:space="0" w:color="auto"/>
                    <w:right w:val="none" w:sz="0" w:space="0" w:color="auto"/>
                  </w:divBdr>
                  <w:divsChild>
                    <w:div w:id="7739873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35260145">
          <w:marLeft w:val="0"/>
          <w:marRight w:val="0"/>
          <w:marTop w:val="0"/>
          <w:marBottom w:val="0"/>
          <w:divBdr>
            <w:top w:val="none" w:sz="0" w:space="0" w:color="auto"/>
            <w:left w:val="none" w:sz="0" w:space="0" w:color="auto"/>
            <w:bottom w:val="single" w:sz="6" w:space="4" w:color="EEEEEE"/>
            <w:right w:val="none" w:sz="0" w:space="0" w:color="auto"/>
          </w:divBdr>
          <w:divsChild>
            <w:div w:id="10114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417">
      <w:bodyDiv w:val="1"/>
      <w:marLeft w:val="0"/>
      <w:marRight w:val="0"/>
      <w:marTop w:val="0"/>
      <w:marBottom w:val="0"/>
      <w:divBdr>
        <w:top w:val="none" w:sz="0" w:space="0" w:color="auto"/>
        <w:left w:val="none" w:sz="0" w:space="0" w:color="auto"/>
        <w:bottom w:val="none" w:sz="0" w:space="0" w:color="auto"/>
        <w:right w:val="none" w:sz="0" w:space="0" w:color="auto"/>
      </w:divBdr>
    </w:div>
    <w:div w:id="2134250425">
      <w:bodyDiv w:val="1"/>
      <w:marLeft w:val="0"/>
      <w:marRight w:val="0"/>
      <w:marTop w:val="0"/>
      <w:marBottom w:val="0"/>
      <w:divBdr>
        <w:top w:val="none" w:sz="0" w:space="0" w:color="auto"/>
        <w:left w:val="none" w:sz="0" w:space="0" w:color="auto"/>
        <w:bottom w:val="none" w:sz="0" w:space="0" w:color="auto"/>
        <w:right w:val="none" w:sz="0" w:space="0" w:color="auto"/>
      </w:divBdr>
    </w:div>
    <w:div w:id="2137020996">
      <w:bodyDiv w:val="1"/>
      <w:marLeft w:val="0"/>
      <w:marRight w:val="0"/>
      <w:marTop w:val="0"/>
      <w:marBottom w:val="0"/>
      <w:divBdr>
        <w:top w:val="none" w:sz="0" w:space="0" w:color="auto"/>
        <w:left w:val="none" w:sz="0" w:space="0" w:color="auto"/>
        <w:bottom w:val="none" w:sz="0" w:space="0" w:color="auto"/>
        <w:right w:val="none" w:sz="0" w:space="0" w:color="auto"/>
      </w:divBdr>
    </w:div>
    <w:div w:id="2140998139">
      <w:bodyDiv w:val="1"/>
      <w:marLeft w:val="0"/>
      <w:marRight w:val="0"/>
      <w:marTop w:val="0"/>
      <w:marBottom w:val="0"/>
      <w:divBdr>
        <w:top w:val="none" w:sz="0" w:space="0" w:color="auto"/>
        <w:left w:val="none" w:sz="0" w:space="0" w:color="auto"/>
        <w:bottom w:val="none" w:sz="0" w:space="0" w:color="auto"/>
        <w:right w:val="none" w:sz="0" w:space="0" w:color="auto"/>
      </w:divBdr>
    </w:div>
    <w:div w:id="2143187868">
      <w:bodyDiv w:val="1"/>
      <w:marLeft w:val="0"/>
      <w:marRight w:val="0"/>
      <w:marTop w:val="0"/>
      <w:marBottom w:val="0"/>
      <w:divBdr>
        <w:top w:val="none" w:sz="0" w:space="0" w:color="auto"/>
        <w:left w:val="none" w:sz="0" w:space="0" w:color="auto"/>
        <w:bottom w:val="none" w:sz="0" w:space="0" w:color="auto"/>
        <w:right w:val="none" w:sz="0" w:space="0" w:color="auto"/>
      </w:divBdr>
    </w:div>
    <w:div w:id="21452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BD98-8148-407B-9660-11877930F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2031</TotalTime>
  <Pages>851</Pages>
  <Words>490701</Words>
  <Characters>2797002</Characters>
  <Application>Microsoft Office Word</Application>
  <DocSecurity>0</DocSecurity>
  <Lines>23308</Lines>
  <Paragraphs>6562</Paragraphs>
  <ScaleCrop>false</ScaleCrop>
  <HeadingPairs>
    <vt:vector size="2" baseType="variant">
      <vt:variant>
        <vt:lpstr>Titre</vt:lpstr>
      </vt:variant>
      <vt:variant>
        <vt:i4>1</vt:i4>
      </vt:variant>
    </vt:vector>
  </HeadingPairs>
  <TitlesOfParts>
    <vt:vector size="1" baseType="lpstr">
      <vt:lpstr>10</vt:lpstr>
    </vt:vector>
  </TitlesOfParts>
  <Company/>
  <LinksUpToDate>false</LinksUpToDate>
  <CharactersWithSpaces>3281141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subject/>
  <dc:creator>MSE</dc:creator>
  <cp:keywords/>
  <dc:description/>
  <cp:lastModifiedBy>Mireille Servais</cp:lastModifiedBy>
  <cp:revision>73</cp:revision>
  <cp:lastPrinted>2025-10-15T10:26:00Z</cp:lastPrinted>
  <dcterms:created xsi:type="dcterms:W3CDTF">2025-05-16T05:29:00Z</dcterms:created>
  <dcterms:modified xsi:type="dcterms:W3CDTF">2025-10-15T13:07:00Z</dcterms:modified>
</cp:coreProperties>
</file>